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9C8C1" w14:textId="77777777" w:rsidR="00256CA1" w:rsidRDefault="00256CA1" w:rsidP="00256CA1">
      <w:pPr>
        <w:pStyle w:val="Portada1"/>
      </w:pPr>
      <w:r>
        <w:t>TRIBUNAL CONSTITUCIONAL</w:t>
      </w:r>
    </w:p>
    <w:p w14:paraId="266423F1" w14:textId="4B8AE32B" w:rsidR="009D7677" w:rsidRDefault="009D7677" w:rsidP="00256CA1">
      <w:pPr>
        <w:pStyle w:val="Portada1"/>
      </w:pPr>
    </w:p>
    <w:p w14:paraId="2B93F2BF" w14:textId="77777777" w:rsidR="00256CA1" w:rsidRDefault="00256CA1" w:rsidP="00256CA1">
      <w:pPr>
        <w:pStyle w:val="Portada2"/>
      </w:pPr>
      <w:r>
        <w:t>SECRETARÍA GENERAL</w:t>
      </w:r>
    </w:p>
    <w:p w14:paraId="1D403608" w14:textId="43659863" w:rsidR="00256CA1" w:rsidRDefault="00256CA1" w:rsidP="00256CA1">
      <w:pPr>
        <w:pStyle w:val="Portada2"/>
      </w:pPr>
    </w:p>
    <w:p w14:paraId="1BF307A8" w14:textId="77777777" w:rsidR="00256CA1" w:rsidRDefault="00256CA1" w:rsidP="00256CA1">
      <w:pPr>
        <w:pStyle w:val="Portada2"/>
      </w:pPr>
    </w:p>
    <w:p w14:paraId="2ED343C1" w14:textId="77777777" w:rsidR="00256CA1" w:rsidRDefault="00256CA1" w:rsidP="00256CA1">
      <w:pPr>
        <w:pStyle w:val="Portada2"/>
      </w:pPr>
    </w:p>
    <w:p w14:paraId="6177A1E9" w14:textId="77777777" w:rsidR="00256CA1" w:rsidRDefault="00256CA1" w:rsidP="00256CA1">
      <w:pPr>
        <w:pStyle w:val="Portada2"/>
      </w:pPr>
    </w:p>
    <w:p w14:paraId="0F414B56" w14:textId="77777777" w:rsidR="00256CA1" w:rsidRDefault="00256CA1" w:rsidP="00256CA1">
      <w:pPr>
        <w:pStyle w:val="Portada2"/>
      </w:pPr>
    </w:p>
    <w:p w14:paraId="643AFB6D" w14:textId="77777777" w:rsidR="00256CA1" w:rsidRDefault="00256CA1" w:rsidP="00256CA1">
      <w:pPr>
        <w:pStyle w:val="Portada2"/>
      </w:pPr>
    </w:p>
    <w:p w14:paraId="4FD09802" w14:textId="77777777" w:rsidR="00256CA1" w:rsidRDefault="00256CA1" w:rsidP="00256CA1">
      <w:pPr>
        <w:pStyle w:val="Portada2"/>
      </w:pPr>
    </w:p>
    <w:p w14:paraId="7844530C" w14:textId="77777777" w:rsidR="00256CA1" w:rsidRDefault="00256CA1" w:rsidP="00256CA1">
      <w:pPr>
        <w:pStyle w:val="Portada2"/>
      </w:pPr>
    </w:p>
    <w:p w14:paraId="19DFB728" w14:textId="77777777" w:rsidR="00256CA1" w:rsidRDefault="00256CA1" w:rsidP="00256CA1">
      <w:pPr>
        <w:pStyle w:val="PortadaPrincipal"/>
      </w:pPr>
      <w:r>
        <w:t>JURISPRUDENCIA</w:t>
      </w:r>
    </w:p>
    <w:p w14:paraId="39DEE2F6" w14:textId="77777777" w:rsidR="00256CA1" w:rsidRDefault="00256CA1" w:rsidP="00256CA1">
      <w:pPr>
        <w:pStyle w:val="PortadaPrincipal"/>
      </w:pPr>
      <w:r>
        <w:t>CONSTITUCIONAL</w:t>
      </w:r>
    </w:p>
    <w:p w14:paraId="3D24BEF5" w14:textId="45BE8AC8" w:rsidR="00256CA1" w:rsidRDefault="00256CA1" w:rsidP="00256CA1">
      <w:pPr>
        <w:pStyle w:val="PortadaPrincipal"/>
      </w:pPr>
    </w:p>
    <w:p w14:paraId="0ED0484A" w14:textId="77777777" w:rsidR="00256CA1" w:rsidRPr="00256CA1" w:rsidRDefault="00256CA1" w:rsidP="00256CA1">
      <w:pPr>
        <w:pStyle w:val="Portada1"/>
        <w:rPr>
          <w:b/>
        </w:rPr>
      </w:pPr>
      <w:r w:rsidRPr="00256CA1">
        <w:rPr>
          <w:b/>
        </w:rPr>
        <w:t>TOMO CENTÉSIMO DÉCIMO CUARTO</w:t>
      </w:r>
    </w:p>
    <w:p w14:paraId="54189500" w14:textId="77777777" w:rsidR="00256CA1" w:rsidRPr="00256CA1" w:rsidRDefault="00256CA1" w:rsidP="00256CA1">
      <w:pPr>
        <w:pStyle w:val="Portada1"/>
        <w:rPr>
          <w:b/>
        </w:rPr>
      </w:pPr>
      <w:r w:rsidRPr="00256CA1">
        <w:rPr>
          <w:b/>
        </w:rPr>
        <w:t>(enero - junio 2024)</w:t>
      </w:r>
    </w:p>
    <w:p w14:paraId="1B0F3237" w14:textId="31062725" w:rsidR="00256CA1" w:rsidRDefault="00256CA1" w:rsidP="00256CA1">
      <w:pPr>
        <w:pStyle w:val="Portada1"/>
      </w:pPr>
    </w:p>
    <w:p w14:paraId="30AF0C85" w14:textId="77777777" w:rsidR="00256CA1" w:rsidRDefault="00256CA1" w:rsidP="00256CA1">
      <w:pPr>
        <w:pStyle w:val="Portada1"/>
      </w:pPr>
    </w:p>
    <w:p w14:paraId="390411BA" w14:textId="77777777" w:rsidR="00256CA1" w:rsidRDefault="00256CA1" w:rsidP="00256CA1">
      <w:pPr>
        <w:pStyle w:val="Portada1"/>
      </w:pPr>
    </w:p>
    <w:p w14:paraId="76F6E901" w14:textId="6DDA2653" w:rsidR="00256CA1" w:rsidRDefault="00256CA1" w:rsidP="00256CA1">
      <w:pPr>
        <w:pStyle w:val="Portada1"/>
      </w:pPr>
      <w:r>
        <w:rPr>
          <w:noProof/>
        </w:rPr>
        <w:drawing>
          <wp:inline distT="0" distB="0" distL="0" distR="0" wp14:anchorId="64FD1F8F" wp14:editId="1A2E8FA7">
            <wp:extent cx="1047896" cy="1047896"/>
            <wp:effectExtent l="0" t="0" r="0" b="0"/>
            <wp:docPr id="194170863" name="Imagen 1"/>
            <wp:cNvGraphicFramePr/>
            <a:graphic xmlns:a="http://schemas.openxmlformats.org/drawingml/2006/main">
              <a:graphicData uri="http://schemas.openxmlformats.org/drawingml/2006/picture">
                <pic:pic xmlns:pic="http://schemas.openxmlformats.org/drawingml/2006/picture">
                  <pic:nvPicPr>
                    <pic:cNvPr id="194170863"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14:paraId="6B1ECF0B" w14:textId="77777777" w:rsidR="00256CA1" w:rsidRDefault="00256CA1" w:rsidP="00256CA1">
      <w:pPr>
        <w:pStyle w:val="Portada1"/>
      </w:pPr>
    </w:p>
    <w:p w14:paraId="62570197" w14:textId="77777777" w:rsidR="00256CA1" w:rsidRDefault="00256CA1" w:rsidP="00256CA1">
      <w:pPr>
        <w:pStyle w:val="Portada1"/>
      </w:pPr>
    </w:p>
    <w:p w14:paraId="3369D4C0" w14:textId="77777777" w:rsidR="00256CA1" w:rsidRDefault="00256CA1" w:rsidP="00256CA1">
      <w:pPr>
        <w:pStyle w:val="Portada1"/>
      </w:pPr>
    </w:p>
    <w:p w14:paraId="4E4A59A3" w14:textId="77777777" w:rsidR="00256CA1" w:rsidRDefault="00256CA1" w:rsidP="00256CA1">
      <w:pPr>
        <w:pStyle w:val="Portada1"/>
      </w:pPr>
    </w:p>
    <w:p w14:paraId="42F399DD" w14:textId="77777777" w:rsidR="00256CA1" w:rsidRDefault="00256CA1" w:rsidP="00256CA1">
      <w:pPr>
        <w:pStyle w:val="Portada1"/>
      </w:pPr>
    </w:p>
    <w:p w14:paraId="3953D624" w14:textId="77777777" w:rsidR="00256CA1" w:rsidRDefault="00256CA1" w:rsidP="00256CA1">
      <w:pPr>
        <w:pStyle w:val="Portada2"/>
      </w:pPr>
      <w:r>
        <w:t>MADRID 2024</w:t>
      </w:r>
    </w:p>
    <w:p w14:paraId="6F8789B0" w14:textId="710CBA44" w:rsidR="00B7708F" w:rsidRDefault="00B7708F">
      <w:pPr>
        <w:spacing w:after="160" w:line="259"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14:paraId="366220D0" w14:textId="77777777" w:rsidR="00B7708F" w:rsidRDefault="00B7708F" w:rsidP="00B7708F">
      <w:pPr>
        <w:pStyle w:val="CabeceraApartadoDerecha"/>
      </w:pPr>
      <w:r>
        <w:lastRenderedPageBreak/>
        <w:t>CONTENIDO</w:t>
      </w:r>
    </w:p>
    <w:p w14:paraId="278BFAB5" w14:textId="683E3AC9" w:rsidR="009D7677" w:rsidRDefault="009D7677" w:rsidP="00B7708F">
      <w:pPr>
        <w:pStyle w:val="CabeceraApartadoDerecha"/>
      </w:pPr>
    </w:p>
    <w:p w14:paraId="7DDD6576" w14:textId="78ACF69F" w:rsidR="00B7708F" w:rsidRDefault="00B7708F" w:rsidP="00B7708F">
      <w:pPr>
        <w:pStyle w:val="EntradandiceSumario"/>
        <w:keepNext w:val="0"/>
      </w:pPr>
      <w:r>
        <w:t>1. SENTENCIAS: STC 1/2024 A STC 93/2024</w:t>
      </w:r>
      <w:r>
        <w:tab/>
      </w:r>
      <w:r>
        <w:tab/>
      </w:r>
      <w:r>
        <w:fldChar w:fldCharType="begin"/>
      </w:r>
      <w:r>
        <w:instrText xml:space="preserve"> PAGEREF SUMARIOSENTENCIAS \h </w:instrText>
      </w:r>
      <w:r>
        <w:fldChar w:fldCharType="separate"/>
      </w:r>
      <w:r w:rsidR="0055058D">
        <w:rPr>
          <w:noProof/>
        </w:rPr>
        <w:t>3</w:t>
      </w:r>
      <w:r>
        <w:fldChar w:fldCharType="end"/>
      </w:r>
    </w:p>
    <w:p w14:paraId="7859EF29" w14:textId="2D38FA0C" w:rsidR="00B7708F" w:rsidRDefault="00B7708F" w:rsidP="00B7708F">
      <w:pPr>
        <w:pStyle w:val="EntradandiceSumario"/>
        <w:keepNext w:val="0"/>
      </w:pPr>
    </w:p>
    <w:p w14:paraId="4C588E9D" w14:textId="6B861482" w:rsidR="00B7708F" w:rsidRDefault="00B7708F" w:rsidP="00B7708F">
      <w:pPr>
        <w:pStyle w:val="EntradandiceSumario"/>
        <w:keepNext w:val="0"/>
      </w:pPr>
      <w:bookmarkStart w:id="0" w:name="SUMARIOSINDICES"/>
      <w:r>
        <w:t>2. AUTOS: ATC 1/2024 A ATC 60/2024</w:t>
      </w:r>
      <w:r>
        <w:tab/>
      </w:r>
      <w:r>
        <w:tab/>
      </w:r>
      <w:r>
        <w:fldChar w:fldCharType="begin"/>
      </w:r>
      <w:r>
        <w:instrText xml:space="preserve"> PAGEREF SUMARIOSAUTOS \h </w:instrText>
      </w:r>
      <w:r>
        <w:fldChar w:fldCharType="separate"/>
      </w:r>
      <w:r w:rsidR="0055058D">
        <w:rPr>
          <w:noProof/>
        </w:rPr>
        <w:t>22</w:t>
      </w:r>
      <w:r>
        <w:fldChar w:fldCharType="end"/>
      </w:r>
    </w:p>
    <w:bookmarkEnd w:id="0"/>
    <w:p w14:paraId="6C4DA315" w14:textId="7976599B" w:rsidR="00B7708F" w:rsidRDefault="00B7708F" w:rsidP="00B7708F">
      <w:pPr>
        <w:pStyle w:val="EntradandiceSumario"/>
        <w:keepNext w:val="0"/>
      </w:pPr>
    </w:p>
    <w:p w14:paraId="12285D80" w14:textId="77777777" w:rsidR="00B7708F" w:rsidRDefault="00B7708F" w:rsidP="00B7708F">
      <w:pPr>
        <w:pStyle w:val="EntradandiceSumario"/>
        <w:keepNext w:val="0"/>
      </w:pPr>
      <w:r>
        <w:t>3. ÍNDICE DE DISPOSICIONES CON FUERZA DE LEY IMPUGNADAS:</w:t>
      </w:r>
    </w:p>
    <w:p w14:paraId="4407252A" w14:textId="61298D8E" w:rsidR="00B7708F" w:rsidRDefault="00B7708F" w:rsidP="00B7708F">
      <w:pPr>
        <w:pStyle w:val="EntradandiceSumario"/>
        <w:keepNext w:val="0"/>
      </w:pPr>
    </w:p>
    <w:p w14:paraId="7B8A7AD0" w14:textId="4FD15BEF" w:rsidR="00B7708F" w:rsidRDefault="00B7708F" w:rsidP="00B7708F">
      <w:pPr>
        <w:pStyle w:val="EntradandiceSumarioNivel2"/>
        <w:keepNext w:val="0"/>
      </w:pPr>
      <w:r>
        <w:t>A) Disposiciones con fuerza de ley del Estado</w:t>
      </w:r>
      <w:r>
        <w:tab/>
      </w:r>
      <w:r>
        <w:tab/>
      </w:r>
      <w:r>
        <w:fldChar w:fldCharType="begin"/>
      </w:r>
      <w:r>
        <w:instrText xml:space="preserve"> PAGEREF INDICE22802 \h </w:instrText>
      </w:r>
      <w:r>
        <w:fldChar w:fldCharType="separate"/>
      </w:r>
      <w:r w:rsidR="0055058D">
        <w:rPr>
          <w:noProof/>
        </w:rPr>
        <w:t>2591</w:t>
      </w:r>
      <w:r>
        <w:fldChar w:fldCharType="end"/>
      </w:r>
    </w:p>
    <w:p w14:paraId="3194D5E6" w14:textId="57DE6690" w:rsidR="00B7708F" w:rsidRDefault="00B7708F" w:rsidP="00B7708F">
      <w:pPr>
        <w:pStyle w:val="EntradandiceSumarioNivel2"/>
        <w:keepNext w:val="0"/>
      </w:pPr>
      <w:r>
        <w:t>B) Disposiciones con fuerza de ley de las Comunidades Autónomas</w:t>
      </w:r>
      <w:r>
        <w:tab/>
      </w:r>
      <w:r>
        <w:tab/>
      </w:r>
      <w:r>
        <w:fldChar w:fldCharType="begin"/>
      </w:r>
      <w:r>
        <w:instrText xml:space="preserve"> PAGEREF INDICE22806 \h </w:instrText>
      </w:r>
      <w:r>
        <w:fldChar w:fldCharType="separate"/>
      </w:r>
      <w:r w:rsidR="0055058D">
        <w:rPr>
          <w:noProof/>
        </w:rPr>
        <w:t>2594</w:t>
      </w:r>
      <w:r>
        <w:fldChar w:fldCharType="end"/>
      </w:r>
    </w:p>
    <w:p w14:paraId="227B1ADF" w14:textId="77777777" w:rsidR="00B7708F" w:rsidRDefault="00B7708F" w:rsidP="00B7708F"/>
    <w:p w14:paraId="0C0F4378" w14:textId="77777777" w:rsidR="00B7708F" w:rsidRDefault="00B7708F" w:rsidP="00B7708F">
      <w:pPr>
        <w:pStyle w:val="EntradandiceSumario"/>
        <w:keepNext w:val="0"/>
      </w:pPr>
      <w:r>
        <w:t>4. ÍNDICE DE DISPOSICIONES GENERALES Y RESOLUCIONES IMPUGNADAS:</w:t>
      </w:r>
    </w:p>
    <w:p w14:paraId="2EE95178" w14:textId="47E735FF" w:rsidR="00B7708F" w:rsidRDefault="00B7708F" w:rsidP="00B7708F">
      <w:pPr>
        <w:pStyle w:val="EntradandiceSumario"/>
        <w:keepNext w:val="0"/>
      </w:pPr>
    </w:p>
    <w:p w14:paraId="2760974D" w14:textId="5EBA5479" w:rsidR="00B7708F" w:rsidRDefault="00B7708F" w:rsidP="00B7708F">
      <w:pPr>
        <w:pStyle w:val="EntradandiceSumarioNivel2"/>
        <w:keepNext w:val="0"/>
      </w:pPr>
      <w:r>
        <w:t>A) Disposiciones del Estado</w:t>
      </w:r>
      <w:r>
        <w:tab/>
      </w:r>
      <w:r>
        <w:tab/>
      </w:r>
      <w:r>
        <w:fldChar w:fldCharType="begin"/>
      </w:r>
      <w:r>
        <w:instrText xml:space="preserve"> PAGEREF INDICE22803 \h </w:instrText>
      </w:r>
      <w:r>
        <w:fldChar w:fldCharType="separate"/>
      </w:r>
      <w:r w:rsidR="0055058D">
        <w:rPr>
          <w:noProof/>
        </w:rPr>
        <w:t>2601</w:t>
      </w:r>
      <w:r>
        <w:fldChar w:fldCharType="end"/>
      </w:r>
    </w:p>
    <w:p w14:paraId="1A01B628" w14:textId="2C90F4AD" w:rsidR="00B7708F" w:rsidRDefault="00B7708F" w:rsidP="00B7708F">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55058D">
        <w:rPr>
          <w:noProof/>
        </w:rPr>
        <w:t>2602</w:t>
      </w:r>
      <w:r>
        <w:fldChar w:fldCharType="end"/>
      </w:r>
    </w:p>
    <w:p w14:paraId="7BC4E9D0" w14:textId="4749F6F9" w:rsidR="00B7708F" w:rsidRDefault="00B7708F" w:rsidP="00B7708F">
      <w:pPr>
        <w:pStyle w:val="EntradandiceSumarioNivel2"/>
        <w:keepNext w:val="0"/>
      </w:pPr>
      <w:r>
        <w:t>C) Disposiciones de territorios históricos y corporaciones locales</w:t>
      </w:r>
      <w:r>
        <w:tab/>
      </w:r>
      <w:r>
        <w:tab/>
      </w:r>
      <w:r>
        <w:fldChar w:fldCharType="begin"/>
      </w:r>
      <w:r>
        <w:instrText xml:space="preserve"> PAGEREF INDICE22825 \h </w:instrText>
      </w:r>
      <w:r>
        <w:fldChar w:fldCharType="separate"/>
      </w:r>
      <w:r w:rsidR="0055058D">
        <w:rPr>
          <w:noProof/>
        </w:rPr>
        <w:t>2603</w:t>
      </w:r>
      <w:r>
        <w:fldChar w:fldCharType="end"/>
      </w:r>
    </w:p>
    <w:p w14:paraId="2C2814DD" w14:textId="77777777" w:rsidR="00B7708F" w:rsidRDefault="00B7708F" w:rsidP="00B7708F"/>
    <w:p w14:paraId="5FD12DDD" w14:textId="77777777" w:rsidR="00B7708F" w:rsidRDefault="00B7708F" w:rsidP="00B7708F">
      <w:pPr>
        <w:pStyle w:val="EntradandiceSumario"/>
        <w:keepNext w:val="0"/>
      </w:pPr>
      <w:r>
        <w:t>5. ÍNDICE DE DISPOSICIONES CITADAS:</w:t>
      </w:r>
    </w:p>
    <w:p w14:paraId="12D74E31" w14:textId="68DF767B" w:rsidR="00B7708F" w:rsidRDefault="00B7708F" w:rsidP="00B7708F">
      <w:pPr>
        <w:pStyle w:val="EntradandiceSumario"/>
        <w:keepNext w:val="0"/>
      </w:pPr>
    </w:p>
    <w:p w14:paraId="2DE9FE21" w14:textId="0AFBABC5" w:rsidR="00B7708F" w:rsidRDefault="00B7708F" w:rsidP="00B7708F">
      <w:pPr>
        <w:pStyle w:val="EntradandiceSumarioNivel2"/>
        <w:keepNext w:val="0"/>
      </w:pPr>
      <w:r>
        <w:t>A) Constitución</w:t>
      </w:r>
      <w:r>
        <w:tab/>
      </w:r>
      <w:r>
        <w:tab/>
      </w:r>
      <w:r>
        <w:fldChar w:fldCharType="begin"/>
      </w:r>
      <w:r>
        <w:instrText xml:space="preserve"> PAGEREF INDICE22804 \h </w:instrText>
      </w:r>
      <w:r>
        <w:fldChar w:fldCharType="separate"/>
      </w:r>
      <w:r w:rsidR="0055058D">
        <w:rPr>
          <w:noProof/>
        </w:rPr>
        <w:t>2604</w:t>
      </w:r>
      <w:r>
        <w:fldChar w:fldCharType="end"/>
      </w:r>
    </w:p>
    <w:p w14:paraId="08ECFDFA" w14:textId="3FD5EE1E" w:rsidR="00B7708F" w:rsidRDefault="00B7708F" w:rsidP="00B7708F">
      <w:pPr>
        <w:pStyle w:val="EntradandiceSumarioNivel2"/>
        <w:keepNext w:val="0"/>
      </w:pPr>
      <w:r>
        <w:t>B) Tribunal Constitucional</w:t>
      </w:r>
      <w:r>
        <w:tab/>
      </w:r>
      <w:r>
        <w:tab/>
      </w:r>
      <w:r>
        <w:fldChar w:fldCharType="begin"/>
      </w:r>
      <w:r>
        <w:instrText xml:space="preserve"> PAGEREF INDICE22843 \h </w:instrText>
      </w:r>
      <w:r>
        <w:fldChar w:fldCharType="separate"/>
      </w:r>
      <w:r w:rsidR="0055058D">
        <w:rPr>
          <w:noProof/>
        </w:rPr>
        <w:t>2611</w:t>
      </w:r>
      <w:r>
        <w:fldChar w:fldCharType="end"/>
      </w:r>
    </w:p>
    <w:p w14:paraId="4383AC47" w14:textId="237F0DFE" w:rsidR="00B7708F" w:rsidRDefault="00B7708F" w:rsidP="00B7708F">
      <w:pPr>
        <w:pStyle w:val="EntradandiceSumarioNivel2"/>
        <w:keepNext w:val="0"/>
      </w:pPr>
      <w:r>
        <w:t>C) Cortes Generales</w:t>
      </w:r>
      <w:r>
        <w:tab/>
      </w:r>
      <w:r>
        <w:tab/>
      </w:r>
      <w:r>
        <w:fldChar w:fldCharType="begin"/>
      </w:r>
      <w:r>
        <w:instrText xml:space="preserve"> PAGEREF INDICE22844 \h </w:instrText>
      </w:r>
      <w:r>
        <w:fldChar w:fldCharType="separate"/>
      </w:r>
      <w:r w:rsidR="0055058D">
        <w:rPr>
          <w:noProof/>
        </w:rPr>
        <w:t>2615</w:t>
      </w:r>
      <w:r>
        <w:fldChar w:fldCharType="end"/>
      </w:r>
    </w:p>
    <w:p w14:paraId="62BF7649" w14:textId="65B84E78" w:rsidR="00B7708F" w:rsidRDefault="00B7708F" w:rsidP="00B7708F">
      <w:pPr>
        <w:pStyle w:val="EntradandiceSumarioNivel2"/>
        <w:keepNext w:val="0"/>
      </w:pPr>
      <w:r>
        <w:t>D) Leyes Orgánicas</w:t>
      </w:r>
      <w:r>
        <w:tab/>
      </w:r>
      <w:r>
        <w:tab/>
      </w:r>
      <w:r>
        <w:fldChar w:fldCharType="begin"/>
      </w:r>
      <w:r>
        <w:instrText xml:space="preserve"> PAGEREF INDICE22845 \h </w:instrText>
      </w:r>
      <w:r>
        <w:fldChar w:fldCharType="separate"/>
      </w:r>
      <w:r w:rsidR="0055058D">
        <w:rPr>
          <w:noProof/>
        </w:rPr>
        <w:t>2616</w:t>
      </w:r>
      <w:r>
        <w:fldChar w:fldCharType="end"/>
      </w:r>
    </w:p>
    <w:p w14:paraId="6420B107" w14:textId="2D986C33" w:rsidR="00B7708F" w:rsidRDefault="00B7708F" w:rsidP="00B7708F">
      <w:pPr>
        <w:pStyle w:val="EntradandiceSumarioNivel2"/>
        <w:keepNext w:val="0"/>
      </w:pPr>
      <w:r>
        <w:t>E) Leyes de las Cortes Generales</w:t>
      </w:r>
      <w:r>
        <w:tab/>
      </w:r>
      <w:r>
        <w:tab/>
      </w:r>
      <w:r>
        <w:fldChar w:fldCharType="begin"/>
      </w:r>
      <w:r>
        <w:instrText xml:space="preserve"> PAGEREF INDICE22846 \h </w:instrText>
      </w:r>
      <w:r>
        <w:fldChar w:fldCharType="separate"/>
      </w:r>
      <w:r w:rsidR="0055058D">
        <w:rPr>
          <w:noProof/>
        </w:rPr>
        <w:t>2630</w:t>
      </w:r>
      <w:r>
        <w:fldChar w:fldCharType="end"/>
      </w:r>
    </w:p>
    <w:p w14:paraId="6F8F9644" w14:textId="634AC999" w:rsidR="00B7708F" w:rsidRDefault="00B7708F" w:rsidP="00B7708F">
      <w:pPr>
        <w:pStyle w:val="EntradandiceSumarioNivel2"/>
        <w:keepNext w:val="0"/>
      </w:pPr>
      <w:r>
        <w:t>F) Reales Decretos Legislativos</w:t>
      </w:r>
      <w:r>
        <w:tab/>
      </w:r>
      <w:r>
        <w:tab/>
      </w:r>
      <w:r>
        <w:fldChar w:fldCharType="begin"/>
      </w:r>
      <w:r>
        <w:instrText xml:space="preserve"> PAGEREF INDICE22847 \h </w:instrText>
      </w:r>
      <w:r>
        <w:fldChar w:fldCharType="separate"/>
      </w:r>
      <w:r w:rsidR="0055058D">
        <w:rPr>
          <w:noProof/>
        </w:rPr>
        <w:t>2646</w:t>
      </w:r>
      <w:r>
        <w:fldChar w:fldCharType="end"/>
      </w:r>
    </w:p>
    <w:p w14:paraId="308C0BC4" w14:textId="6A4D16B2" w:rsidR="00B7708F" w:rsidRDefault="00B7708F" w:rsidP="00B7708F">
      <w:pPr>
        <w:pStyle w:val="EntradandiceSumarioNivel2"/>
        <w:keepNext w:val="0"/>
      </w:pPr>
      <w:r>
        <w:t>G) Reales Decretos-leyes</w:t>
      </w:r>
      <w:r>
        <w:tab/>
      </w:r>
      <w:r>
        <w:tab/>
      </w:r>
      <w:r>
        <w:fldChar w:fldCharType="begin"/>
      </w:r>
      <w:r>
        <w:instrText xml:space="preserve"> PAGEREF INDICE22848 \h </w:instrText>
      </w:r>
      <w:r>
        <w:fldChar w:fldCharType="separate"/>
      </w:r>
      <w:r w:rsidR="0055058D">
        <w:rPr>
          <w:noProof/>
        </w:rPr>
        <w:t>2647</w:t>
      </w:r>
      <w:r>
        <w:fldChar w:fldCharType="end"/>
      </w:r>
    </w:p>
    <w:p w14:paraId="0EC4AEE8" w14:textId="24ECA372" w:rsidR="00B7708F" w:rsidRDefault="00B7708F" w:rsidP="00B7708F">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55058D">
        <w:rPr>
          <w:noProof/>
        </w:rPr>
        <w:t>2651</w:t>
      </w:r>
      <w:r>
        <w:fldChar w:fldCharType="end"/>
      </w:r>
    </w:p>
    <w:p w14:paraId="47EFFE60" w14:textId="31211080" w:rsidR="00B7708F" w:rsidRDefault="00B7708F" w:rsidP="00B7708F">
      <w:pPr>
        <w:pStyle w:val="EntradandiceSumarioNivel2"/>
        <w:keepNext w:val="0"/>
      </w:pPr>
      <w:r>
        <w:t>I) Legislación preconstitucional</w:t>
      </w:r>
      <w:r>
        <w:tab/>
      </w:r>
      <w:r>
        <w:tab/>
      </w:r>
      <w:r>
        <w:fldChar w:fldCharType="begin"/>
      </w:r>
      <w:r>
        <w:instrText xml:space="preserve"> PAGEREF INDICE22850 \h </w:instrText>
      </w:r>
      <w:r>
        <w:fldChar w:fldCharType="separate"/>
      </w:r>
      <w:r w:rsidR="0055058D">
        <w:rPr>
          <w:noProof/>
        </w:rPr>
        <w:t>2657</w:t>
      </w:r>
      <w:r>
        <w:fldChar w:fldCharType="end"/>
      </w:r>
    </w:p>
    <w:p w14:paraId="28AE3D29" w14:textId="1FFAB294" w:rsidR="00B7708F" w:rsidRDefault="00B7708F" w:rsidP="00B7708F">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55058D">
        <w:rPr>
          <w:noProof/>
        </w:rPr>
        <w:t>2660</w:t>
      </w:r>
      <w:r>
        <w:fldChar w:fldCharType="end"/>
      </w:r>
    </w:p>
    <w:p w14:paraId="5070BCC1" w14:textId="23509C3B" w:rsidR="00B7708F" w:rsidRDefault="00B7708F" w:rsidP="00B7708F">
      <w:pPr>
        <w:pStyle w:val="EntradandiceSumarioNivel2"/>
        <w:keepNext w:val="0"/>
      </w:pPr>
      <w:r>
        <w:t>K) Territorios históricos y corporaciones locales</w:t>
      </w:r>
      <w:r>
        <w:tab/>
      </w:r>
      <w:r>
        <w:tab/>
      </w:r>
      <w:r>
        <w:fldChar w:fldCharType="begin"/>
      </w:r>
      <w:r>
        <w:instrText xml:space="preserve"> PAGEREF INDICE22869 \h </w:instrText>
      </w:r>
      <w:r>
        <w:fldChar w:fldCharType="separate"/>
      </w:r>
      <w:r w:rsidR="0055058D">
        <w:rPr>
          <w:noProof/>
        </w:rPr>
        <w:t>2685</w:t>
      </w:r>
      <w:r>
        <w:fldChar w:fldCharType="end"/>
      </w:r>
    </w:p>
    <w:p w14:paraId="08D880FD" w14:textId="4ADAA1EE" w:rsidR="00B7708F" w:rsidRDefault="00B7708F" w:rsidP="00B7708F">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55058D">
        <w:rPr>
          <w:noProof/>
        </w:rPr>
        <w:t>2686</w:t>
      </w:r>
      <w:r>
        <w:fldChar w:fldCharType="end"/>
      </w:r>
    </w:p>
    <w:p w14:paraId="7235C3D4" w14:textId="7DB5EE8E" w:rsidR="00B7708F" w:rsidRDefault="00B7708F" w:rsidP="00B7708F">
      <w:pPr>
        <w:pStyle w:val="EntradandiceSumarioNivel2"/>
        <w:keepNext w:val="0"/>
      </w:pPr>
      <w:r>
        <w:t>M) Unión Europea</w:t>
      </w:r>
      <w:r>
        <w:tab/>
      </w:r>
      <w:r>
        <w:tab/>
      </w:r>
      <w:r>
        <w:fldChar w:fldCharType="begin"/>
      </w:r>
      <w:r>
        <w:instrText xml:space="preserve"> PAGEREF INDICE22871 \h </w:instrText>
      </w:r>
      <w:r>
        <w:fldChar w:fldCharType="separate"/>
      </w:r>
      <w:r w:rsidR="0055058D">
        <w:rPr>
          <w:noProof/>
        </w:rPr>
        <w:t>2690</w:t>
      </w:r>
      <w:r>
        <w:fldChar w:fldCharType="end"/>
      </w:r>
    </w:p>
    <w:p w14:paraId="145734F5" w14:textId="2177D9FF" w:rsidR="00B7708F" w:rsidRDefault="00B7708F" w:rsidP="00B7708F">
      <w:pPr>
        <w:pStyle w:val="EntradandiceSumarioNivel2"/>
        <w:keepNext w:val="0"/>
      </w:pPr>
      <w:r>
        <w:t>N) Consejo de Europa</w:t>
      </w:r>
      <w:r>
        <w:tab/>
      </w:r>
      <w:r>
        <w:tab/>
      </w:r>
      <w:r>
        <w:fldChar w:fldCharType="begin"/>
      </w:r>
      <w:r>
        <w:instrText xml:space="preserve"> PAGEREF INDICE27994 \h </w:instrText>
      </w:r>
      <w:r>
        <w:fldChar w:fldCharType="separate"/>
      </w:r>
      <w:r w:rsidR="0055058D">
        <w:rPr>
          <w:noProof/>
        </w:rPr>
        <w:t>2694</w:t>
      </w:r>
      <w:r>
        <w:fldChar w:fldCharType="end"/>
      </w:r>
    </w:p>
    <w:p w14:paraId="4A97724A" w14:textId="385D81E2" w:rsidR="00B7708F" w:rsidRDefault="00B7708F" w:rsidP="00B7708F">
      <w:pPr>
        <w:pStyle w:val="EntradandiceSumarioNivel2"/>
        <w:keepNext w:val="0"/>
      </w:pPr>
      <w:r>
        <w:t>Ñ) Legislación extranjera</w:t>
      </w:r>
      <w:r>
        <w:tab/>
      </w:r>
      <w:r>
        <w:tab/>
      </w:r>
      <w:r>
        <w:fldChar w:fldCharType="begin"/>
      </w:r>
      <w:r>
        <w:instrText xml:space="preserve"> PAGEREF INDICE22872 \h </w:instrText>
      </w:r>
      <w:r>
        <w:fldChar w:fldCharType="separate"/>
      </w:r>
      <w:r w:rsidR="0055058D">
        <w:rPr>
          <w:noProof/>
        </w:rPr>
        <w:t>2696</w:t>
      </w:r>
      <w:r>
        <w:fldChar w:fldCharType="end"/>
      </w:r>
    </w:p>
    <w:p w14:paraId="363443ED" w14:textId="77777777" w:rsidR="00B7708F" w:rsidRDefault="00B7708F" w:rsidP="00B7708F"/>
    <w:p w14:paraId="1E10DCB7" w14:textId="77777777" w:rsidR="00B7708F" w:rsidRDefault="00B7708F" w:rsidP="00B7708F">
      <w:pPr>
        <w:pStyle w:val="EntradandiceSumario"/>
        <w:keepNext w:val="0"/>
      </w:pPr>
      <w:r>
        <w:t>6. ÍNDICE DE RESOLUCIONES DE OTROS TRIBUNALES CITADAS:</w:t>
      </w:r>
    </w:p>
    <w:p w14:paraId="02BAB3D4" w14:textId="4F918E67" w:rsidR="00B7708F" w:rsidRDefault="00B7708F" w:rsidP="00B7708F">
      <w:pPr>
        <w:pStyle w:val="EntradandiceSumario"/>
        <w:keepNext w:val="0"/>
      </w:pPr>
    </w:p>
    <w:p w14:paraId="4255B549" w14:textId="72FD9317" w:rsidR="00B7708F" w:rsidRDefault="00B7708F" w:rsidP="00B7708F">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55058D">
        <w:rPr>
          <w:noProof/>
        </w:rPr>
        <w:t>2697</w:t>
      </w:r>
      <w:r>
        <w:fldChar w:fldCharType="end"/>
      </w:r>
    </w:p>
    <w:p w14:paraId="6DFD52B0" w14:textId="0BFA9C76" w:rsidR="00B7708F" w:rsidRDefault="00B7708F" w:rsidP="00B7708F">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55058D">
        <w:rPr>
          <w:noProof/>
        </w:rPr>
        <w:t>2711</w:t>
      </w:r>
      <w:r>
        <w:fldChar w:fldCharType="end"/>
      </w:r>
    </w:p>
    <w:p w14:paraId="28AD3072" w14:textId="4669D11E" w:rsidR="00B7708F" w:rsidRDefault="00B7708F" w:rsidP="00B7708F">
      <w:pPr>
        <w:pStyle w:val="EntradandiceSumarioNivel2"/>
        <w:keepNext w:val="0"/>
      </w:pPr>
      <w:r>
        <w:t>C) Tribunal Supremo</w:t>
      </w:r>
      <w:r>
        <w:tab/>
      </w:r>
      <w:r>
        <w:tab/>
      </w:r>
      <w:r>
        <w:fldChar w:fldCharType="begin"/>
      </w:r>
      <w:r>
        <w:instrText xml:space="preserve"> PAGEREF INDICE22925 \h </w:instrText>
      </w:r>
      <w:r>
        <w:fldChar w:fldCharType="separate"/>
      </w:r>
      <w:r w:rsidR="0055058D">
        <w:rPr>
          <w:noProof/>
        </w:rPr>
        <w:t>2715</w:t>
      </w:r>
      <w:r>
        <w:fldChar w:fldCharType="end"/>
      </w:r>
    </w:p>
    <w:p w14:paraId="6DD40D6A" w14:textId="5BC58B5F" w:rsidR="00B7708F" w:rsidRDefault="00B7708F" w:rsidP="00B7708F">
      <w:pPr>
        <w:pStyle w:val="EntradandiceSumarioNivel2"/>
        <w:keepNext w:val="0"/>
      </w:pPr>
      <w:r>
        <w:t>D) Otros Tribunales</w:t>
      </w:r>
      <w:r>
        <w:tab/>
      </w:r>
      <w:r>
        <w:tab/>
      </w:r>
      <w:r>
        <w:fldChar w:fldCharType="begin"/>
      </w:r>
      <w:r>
        <w:instrText xml:space="preserve"> PAGEREF INDICE22926 \h </w:instrText>
      </w:r>
      <w:r>
        <w:fldChar w:fldCharType="separate"/>
      </w:r>
      <w:r w:rsidR="0055058D">
        <w:rPr>
          <w:noProof/>
        </w:rPr>
        <w:t>2721</w:t>
      </w:r>
      <w:r>
        <w:fldChar w:fldCharType="end"/>
      </w:r>
    </w:p>
    <w:p w14:paraId="407E5165" w14:textId="77777777" w:rsidR="00B7708F" w:rsidRDefault="00B7708F" w:rsidP="00B7708F"/>
    <w:p w14:paraId="2B60C5F9" w14:textId="180D5FE8" w:rsidR="00B7708F" w:rsidRDefault="00B7708F" w:rsidP="00B7708F">
      <w:pPr>
        <w:pStyle w:val="EntradandiceSumario"/>
        <w:keepNext w:val="0"/>
      </w:pPr>
      <w:r>
        <w:t>7. ÍNDICE ANALÍTICO</w:t>
      </w:r>
      <w:r>
        <w:tab/>
      </w:r>
      <w:r>
        <w:tab/>
      </w:r>
      <w:r>
        <w:fldChar w:fldCharType="begin"/>
      </w:r>
      <w:r>
        <w:instrText xml:space="preserve"> PAGEREF INDICE5ALFABETICO \h </w:instrText>
      </w:r>
      <w:r>
        <w:fldChar w:fldCharType="separate"/>
      </w:r>
      <w:r w:rsidR="0055058D">
        <w:rPr>
          <w:noProof/>
        </w:rPr>
        <w:t>2722</w:t>
      </w:r>
      <w:r>
        <w:fldChar w:fldCharType="end"/>
      </w:r>
    </w:p>
    <w:p w14:paraId="551BCC88" w14:textId="77777777" w:rsidR="00B7708F" w:rsidRDefault="00B7708F" w:rsidP="00B7708F"/>
    <w:p w14:paraId="1E02081C" w14:textId="2CF370C6" w:rsidR="00B7708F" w:rsidRDefault="00B7708F" w:rsidP="00B7708F">
      <w:pPr>
        <w:pStyle w:val="EntradandiceSumario"/>
        <w:keepNext w:val="0"/>
      </w:pPr>
      <w:r>
        <w:t>8. ABREVIATURAS Y ACRÓNIMOS</w:t>
      </w:r>
      <w:r>
        <w:tab/>
      </w:r>
      <w:r>
        <w:tab/>
      </w:r>
      <w:r>
        <w:fldChar w:fldCharType="begin"/>
      </w:r>
      <w:r>
        <w:instrText xml:space="preserve"> PAGEREF ACRONIMOS \h </w:instrText>
      </w:r>
      <w:r>
        <w:fldChar w:fldCharType="separate"/>
      </w:r>
      <w:r w:rsidR="0055058D">
        <w:rPr>
          <w:noProof/>
        </w:rPr>
        <w:t>2740</w:t>
      </w:r>
      <w:r>
        <w:fldChar w:fldCharType="end"/>
      </w:r>
    </w:p>
    <w:p w14:paraId="7C98AA83" w14:textId="07D264C5" w:rsidR="00B7708F" w:rsidRDefault="00B7708F">
      <w:pPr>
        <w:spacing w:after="160" w:line="259" w:lineRule="auto"/>
        <w:rPr>
          <w:rFonts w:ascii="Times New Roman" w:eastAsia="Times New Roman" w:hAnsi="Times New Roman" w:cs="Times New Roman"/>
          <w:sz w:val="24"/>
          <w:szCs w:val="24"/>
          <w:lang w:eastAsia="es-ES"/>
        </w:rPr>
      </w:pPr>
      <w:r>
        <w:br w:type="page"/>
      </w:r>
    </w:p>
    <w:p w14:paraId="2D7092BD" w14:textId="77777777" w:rsidR="00B7708F" w:rsidRDefault="00B7708F" w:rsidP="00B7708F">
      <w:pPr>
        <w:pStyle w:val="EntradandiceSumario"/>
        <w:keepNext w:val="0"/>
      </w:pPr>
    </w:p>
    <w:p w14:paraId="7FB79572" w14:textId="77777777" w:rsidR="00B7708F" w:rsidRDefault="00B7708F" w:rsidP="00B7708F"/>
    <w:p w14:paraId="4A70D933" w14:textId="77777777" w:rsidR="00B7708F" w:rsidRDefault="00B7708F" w:rsidP="00B7708F"/>
    <w:p w14:paraId="123BF8FB" w14:textId="77777777" w:rsidR="00B7708F" w:rsidRDefault="00B7708F" w:rsidP="00B7708F">
      <w:pPr>
        <w:pStyle w:val="Ttulondice"/>
      </w:pPr>
      <w:bookmarkStart w:id="1" w:name="SUMARIOSENTENCIAS"/>
      <w:r>
        <w:t>1. SENTENCIAS: STC 1/2024 A STC 93/2024</w:t>
      </w:r>
    </w:p>
    <w:bookmarkEnd w:id="1"/>
    <w:p w14:paraId="2349CA10" w14:textId="60D97A76" w:rsidR="00B7708F" w:rsidRDefault="00B7708F" w:rsidP="00B7708F">
      <w:pPr>
        <w:pStyle w:val="Ttulondice"/>
      </w:pPr>
    </w:p>
    <w:p w14:paraId="147501D1" w14:textId="77777777" w:rsidR="00B7708F" w:rsidRDefault="00B7708F" w:rsidP="00B7708F">
      <w:pPr>
        <w:pStyle w:val="Ttulondice"/>
      </w:pPr>
    </w:p>
    <w:p w14:paraId="3724908B" w14:textId="77777777" w:rsidR="00B7708F" w:rsidRDefault="00B7708F" w:rsidP="00B7708F">
      <w:pPr>
        <w:pStyle w:val="Ttulondice"/>
      </w:pPr>
    </w:p>
    <w:p w14:paraId="6EEC313F" w14:textId="77777777" w:rsidR="00B7708F" w:rsidRDefault="00B7708F" w:rsidP="00B7708F">
      <w:pPr>
        <w:pStyle w:val="Ttulondice"/>
      </w:pPr>
    </w:p>
    <w:p w14:paraId="4CD952E5" w14:textId="77777777" w:rsidR="00B7708F" w:rsidRDefault="00B7708F" w:rsidP="00B7708F">
      <w:pPr>
        <w:pStyle w:val="Ttulondice"/>
      </w:pPr>
    </w:p>
    <w:p w14:paraId="747B6605" w14:textId="77777777" w:rsidR="00B7708F" w:rsidRDefault="00B7708F" w:rsidP="00B7708F">
      <w:pPr>
        <w:pStyle w:val="Ttulondice"/>
      </w:pPr>
    </w:p>
    <w:p w14:paraId="348467AB" w14:textId="77777777" w:rsidR="00B7708F" w:rsidRDefault="00B7708F" w:rsidP="00B7708F">
      <w:pPr>
        <w:pStyle w:val="EntradandiceSentencia"/>
      </w:pPr>
      <w:r>
        <w:t>Sala Segunda. Sentencia 1/2024, de 15 de enero de 2024</w:t>
      </w:r>
    </w:p>
    <w:p w14:paraId="10A7DC7A" w14:textId="12C1EBEC" w:rsidR="00B7708F" w:rsidRDefault="00B7708F" w:rsidP="00B7708F">
      <w:pPr>
        <w:pStyle w:val="EntradandiceSentencia"/>
      </w:pPr>
    </w:p>
    <w:p w14:paraId="07B9BCB9" w14:textId="5DDA3BFD" w:rsidR="00B7708F" w:rsidRDefault="00B7708F" w:rsidP="00B7708F">
      <w:pPr>
        <w:pStyle w:val="EntradaSumario"/>
      </w:pPr>
      <w:r w:rsidRPr="00B7708F">
        <w:rPr>
          <w:rStyle w:val="TextoNormalCaracter"/>
        </w:rPr>
        <w:t xml:space="preserve">Recurso de amparo 6092-2021. </w:t>
      </w:r>
      <w:r w:rsidRPr="00B7708F">
        <w:rPr>
          <w:rStyle w:val="TextoNormalCursivaCaracter"/>
        </w:rPr>
        <w:t xml:space="preserve"> Vulneración del derecho a la tutela judicial efectiva: investigación insuficiente de las responsabilidades derivadas la muerte, acaecida en dependencias policiales, de quien, pocas horas antes, había protagonizado lo que parecía ser un intento autolítico.</w:t>
      </w:r>
      <w:r>
        <w:tab/>
      </w:r>
      <w:r>
        <w:tab/>
      </w:r>
      <w:r>
        <w:fldChar w:fldCharType="begin"/>
      </w:r>
      <w:r>
        <w:instrText xml:space="preserve"> PAGEREF SENTENCIA_2024_1 \h </w:instrText>
      </w:r>
      <w:r>
        <w:fldChar w:fldCharType="separate"/>
      </w:r>
      <w:r w:rsidR="0055058D">
        <w:rPr>
          <w:noProof/>
        </w:rPr>
        <w:t>31</w:t>
      </w:r>
      <w:r>
        <w:fldChar w:fldCharType="end"/>
      </w:r>
    </w:p>
    <w:p w14:paraId="54BD765C" w14:textId="77777777" w:rsidR="009D7677" w:rsidRDefault="009D7677" w:rsidP="00B7708F"/>
    <w:p w14:paraId="2CC51DE7" w14:textId="77777777" w:rsidR="00B7708F" w:rsidRDefault="00B7708F" w:rsidP="00B7708F">
      <w:pPr>
        <w:pStyle w:val="EntradandiceSentencia"/>
      </w:pPr>
      <w:r>
        <w:t>Sala Primera. Sentencia 2/2024, de 15 de enero de 2024</w:t>
      </w:r>
    </w:p>
    <w:p w14:paraId="08729584" w14:textId="2EDE99F5" w:rsidR="00B7708F" w:rsidRDefault="00B7708F" w:rsidP="00B7708F">
      <w:pPr>
        <w:pStyle w:val="EntradandiceSentencia"/>
      </w:pPr>
    </w:p>
    <w:p w14:paraId="27E8EEEE" w14:textId="590C1A91" w:rsidR="00B7708F" w:rsidRDefault="00B7708F" w:rsidP="00B7708F">
      <w:pPr>
        <w:pStyle w:val="EntradaSumario"/>
      </w:pPr>
      <w:r w:rsidRPr="00B7708F">
        <w:rPr>
          <w:rStyle w:val="TextoNormalCaracter"/>
        </w:rPr>
        <w:t xml:space="preserve">Recurso de amparo 8080-2021. </w:t>
      </w:r>
      <w:r w:rsidRPr="00B7708F">
        <w:rPr>
          <w:rStyle w:val="TextoNormalCursivaCaracter"/>
        </w:rPr>
        <w:t xml:space="preserve"> Vulneración del derecho a la tutela judicial efectiva (motivación): resoluciones judiciales que, al fijar la pensión de alimentos no satisfacen la exigencia de motivación reforzada resultante de la prevalencia del interés superior del menor.</w:t>
      </w:r>
      <w:r>
        <w:tab/>
      </w:r>
      <w:r>
        <w:tab/>
      </w:r>
      <w:r>
        <w:fldChar w:fldCharType="begin"/>
      </w:r>
      <w:r>
        <w:instrText xml:space="preserve"> PAGEREF SENTENCIA_2024_2 \h </w:instrText>
      </w:r>
      <w:r>
        <w:fldChar w:fldCharType="separate"/>
      </w:r>
      <w:r w:rsidR="0055058D">
        <w:rPr>
          <w:noProof/>
        </w:rPr>
        <w:t>46</w:t>
      </w:r>
      <w:r>
        <w:fldChar w:fldCharType="end"/>
      </w:r>
    </w:p>
    <w:p w14:paraId="12F059EB" w14:textId="77777777" w:rsidR="00B7708F" w:rsidRDefault="00B7708F" w:rsidP="00B7708F"/>
    <w:p w14:paraId="25BAD8FA" w14:textId="77777777" w:rsidR="00B7708F" w:rsidRDefault="00B7708F" w:rsidP="00B7708F">
      <w:pPr>
        <w:pStyle w:val="EntradandiceSentencia"/>
      </w:pPr>
      <w:r>
        <w:t>Sala Segunda. Sentencia 3/2024, de 15 de enero de 2024</w:t>
      </w:r>
    </w:p>
    <w:p w14:paraId="69ED2D6D" w14:textId="4AF4A06A" w:rsidR="00B7708F" w:rsidRDefault="00B7708F" w:rsidP="00B7708F">
      <w:pPr>
        <w:pStyle w:val="EntradandiceSentencia"/>
      </w:pPr>
    </w:p>
    <w:p w14:paraId="01E426C2" w14:textId="5A0CD418" w:rsidR="00B7708F" w:rsidRDefault="00B7708F" w:rsidP="00B7708F">
      <w:pPr>
        <w:pStyle w:val="EntradaSumario"/>
      </w:pPr>
      <w:r w:rsidRPr="00B7708F">
        <w:rPr>
          <w:rStyle w:val="TextoNormalCaracter"/>
        </w:rPr>
        <w:t xml:space="preserve">Recurso de amparo 8216-2021. </w:t>
      </w:r>
      <w:r w:rsidRPr="00B7708F">
        <w:rPr>
          <w:rStyle w:val="TextoNormalCursivaCaracter"/>
        </w:rPr>
        <w:t xml:space="preserve"> Vulneración del derecho a la tutela judicial efectiva (acceso al recurso): inadmisión del recurso de suplicación formulado en la confianza legítima de que el órgano judicial había accedido a la ampliación del plazo para la consignación de la cantidad del importe de la condena impuesta en la instancia (STC 241/2006).</w:t>
      </w:r>
      <w:r>
        <w:tab/>
      </w:r>
      <w:r>
        <w:tab/>
      </w:r>
      <w:r>
        <w:fldChar w:fldCharType="begin"/>
      </w:r>
      <w:r>
        <w:instrText xml:space="preserve"> PAGEREF SENTENCIA_2024_3 \h </w:instrText>
      </w:r>
      <w:r>
        <w:fldChar w:fldCharType="separate"/>
      </w:r>
      <w:r w:rsidR="0055058D">
        <w:rPr>
          <w:noProof/>
        </w:rPr>
        <w:t>68</w:t>
      </w:r>
      <w:r>
        <w:fldChar w:fldCharType="end"/>
      </w:r>
    </w:p>
    <w:p w14:paraId="5469412E" w14:textId="77777777" w:rsidR="00B7708F" w:rsidRDefault="00B7708F" w:rsidP="00B7708F"/>
    <w:p w14:paraId="211621D2" w14:textId="77777777" w:rsidR="00B7708F" w:rsidRDefault="00B7708F" w:rsidP="00B7708F">
      <w:pPr>
        <w:pStyle w:val="EntradandiceSentencia"/>
      </w:pPr>
      <w:r>
        <w:t>Sala Primera. Sentencia 4/2024, de 15 de enero de 2024</w:t>
      </w:r>
    </w:p>
    <w:p w14:paraId="0F8CF6DE" w14:textId="2DE764E3" w:rsidR="00B7708F" w:rsidRDefault="00B7708F" w:rsidP="00B7708F">
      <w:pPr>
        <w:pStyle w:val="EntradandiceSentencia"/>
      </w:pPr>
    </w:p>
    <w:p w14:paraId="2037AD33" w14:textId="3E07CACC" w:rsidR="00B7708F" w:rsidRDefault="00B7708F" w:rsidP="00B7708F">
      <w:pPr>
        <w:pStyle w:val="EntradaSumario"/>
      </w:pPr>
      <w:r w:rsidRPr="00B7708F">
        <w:rPr>
          <w:rStyle w:val="TextoNormalCaracter"/>
        </w:rPr>
        <w:t xml:space="preserve">Recurso de amparo 5505-2022. </w:t>
      </w:r>
      <w:r w:rsidRPr="00B7708F">
        <w:rPr>
          <w:rStyle w:val="TextoNormalCursivaCaracter"/>
        </w:rPr>
        <w:t xml:space="preserve"> Supuesta vulneración de los derechos a la integridad física, igualdad y no discriminación e intimidad personal, en relación con el derecho a la tutela judicial efectiva: resoluciones judiciales que realiza</w:t>
      </w:r>
      <w:r w:rsidRPr="00B7708F">
        <w:rPr>
          <w:rStyle w:val="TextoNormalCursivaCaracter"/>
        </w:rPr>
        <w:lastRenderedPageBreak/>
        <w:t>ron una ponderación adecuada de los intereses de una persona vulnerable y proporcionada a sus intereses, atendiendo a las circunstancias concurrentes (STC 38/2023).</w:t>
      </w:r>
      <w:r>
        <w:tab/>
      </w:r>
      <w:r>
        <w:tab/>
      </w:r>
      <w:r>
        <w:fldChar w:fldCharType="begin"/>
      </w:r>
      <w:r>
        <w:instrText xml:space="preserve"> PAGEREF SENTENCIA_2024_4 \h </w:instrText>
      </w:r>
      <w:r>
        <w:fldChar w:fldCharType="separate"/>
      </w:r>
      <w:r w:rsidR="0055058D">
        <w:rPr>
          <w:noProof/>
        </w:rPr>
        <w:t>86</w:t>
      </w:r>
      <w:r>
        <w:fldChar w:fldCharType="end"/>
      </w:r>
    </w:p>
    <w:p w14:paraId="414CF39D" w14:textId="77777777" w:rsidR="00B7708F" w:rsidRDefault="00B7708F" w:rsidP="00B7708F"/>
    <w:p w14:paraId="0CEF9B72" w14:textId="77777777" w:rsidR="00B7708F" w:rsidRDefault="00B7708F" w:rsidP="00B7708F">
      <w:pPr>
        <w:pStyle w:val="EntradandiceSentencia"/>
      </w:pPr>
      <w:r>
        <w:t>Sala Primera. Sentencia 5/2024, de 15 de enero de 2024</w:t>
      </w:r>
    </w:p>
    <w:p w14:paraId="5A54D790" w14:textId="03DE9465" w:rsidR="00B7708F" w:rsidRDefault="00B7708F" w:rsidP="00B7708F">
      <w:pPr>
        <w:pStyle w:val="EntradandiceSentencia"/>
      </w:pPr>
    </w:p>
    <w:p w14:paraId="6A86C613" w14:textId="14C86415" w:rsidR="00B7708F" w:rsidRDefault="00B7708F" w:rsidP="00B7708F">
      <w:pPr>
        <w:pStyle w:val="EntradaSumario"/>
      </w:pPr>
      <w:r w:rsidRPr="00B7708F">
        <w:rPr>
          <w:rStyle w:val="TextoNormalCaracter"/>
        </w:rPr>
        <w:t xml:space="preserve">Recurso de amparo 5730-2022. </w:t>
      </w:r>
      <w:r w:rsidRPr="00B7708F">
        <w:rPr>
          <w:rStyle w:val="TextoNormalCursivaCaracter"/>
        </w:rPr>
        <w:t xml:space="preserve"> Supuesta vulneración del derecho a la integridad física: STC 148/2023 [resoluciones judiciales que realizaron una ponderación adecuada de los intereses de una persona menor de edad (STC 38/2023)].</w:t>
      </w:r>
      <w:r>
        <w:tab/>
      </w:r>
      <w:r>
        <w:tab/>
      </w:r>
      <w:r>
        <w:fldChar w:fldCharType="begin"/>
      </w:r>
      <w:r>
        <w:instrText xml:space="preserve"> PAGEREF SENTENCIA_2024_5 \h </w:instrText>
      </w:r>
      <w:r>
        <w:fldChar w:fldCharType="separate"/>
      </w:r>
      <w:r w:rsidR="0055058D">
        <w:rPr>
          <w:noProof/>
        </w:rPr>
        <w:t>100</w:t>
      </w:r>
      <w:r>
        <w:fldChar w:fldCharType="end"/>
      </w:r>
    </w:p>
    <w:p w14:paraId="2E8CCC15" w14:textId="77777777" w:rsidR="00B7708F" w:rsidRDefault="00B7708F" w:rsidP="00B7708F"/>
    <w:p w14:paraId="54A0E7D0" w14:textId="77777777" w:rsidR="00B7708F" w:rsidRDefault="00B7708F" w:rsidP="00B7708F">
      <w:pPr>
        <w:pStyle w:val="EntradandiceSentencia"/>
      </w:pPr>
      <w:r>
        <w:t>Sala Primera. Sentencia 6/2024, de 15 de enero de 2024</w:t>
      </w:r>
    </w:p>
    <w:p w14:paraId="6A4B599B" w14:textId="67B98E9C" w:rsidR="00B7708F" w:rsidRDefault="00B7708F" w:rsidP="00B7708F">
      <w:pPr>
        <w:pStyle w:val="EntradandiceSentencia"/>
      </w:pPr>
    </w:p>
    <w:p w14:paraId="12C8E268" w14:textId="2C6671A0" w:rsidR="00B7708F" w:rsidRDefault="00B7708F" w:rsidP="00B7708F">
      <w:pPr>
        <w:pStyle w:val="EntradaSumario"/>
      </w:pPr>
      <w:r w:rsidRPr="00B7708F">
        <w:rPr>
          <w:rStyle w:val="TextoNormalCaracter"/>
        </w:rPr>
        <w:t xml:space="preserve">Recurso de amparo 6334-2022. </w:t>
      </w:r>
      <w:r w:rsidRPr="00B7708F">
        <w:rPr>
          <w:rStyle w:val="TextoNormalCursivaCaracter"/>
        </w:rPr>
        <w:t xml:space="preserve"> Supuesta vulneración del derecho a la integridad física: STC 148/2023 [resoluciones judiciales que realizaron una ponderación adecuada de los intereses de una persona menor de edad (STC 38/2023)].</w:t>
      </w:r>
      <w:r>
        <w:tab/>
      </w:r>
      <w:r>
        <w:tab/>
      </w:r>
      <w:r>
        <w:fldChar w:fldCharType="begin"/>
      </w:r>
      <w:r>
        <w:instrText xml:space="preserve"> PAGEREF SENTENCIA_2024_6 \h </w:instrText>
      </w:r>
      <w:r>
        <w:fldChar w:fldCharType="separate"/>
      </w:r>
      <w:r w:rsidR="0055058D">
        <w:rPr>
          <w:noProof/>
        </w:rPr>
        <w:t>110</w:t>
      </w:r>
      <w:r>
        <w:fldChar w:fldCharType="end"/>
      </w:r>
    </w:p>
    <w:p w14:paraId="73C1F022" w14:textId="77777777" w:rsidR="00B7708F" w:rsidRDefault="00B7708F" w:rsidP="00B7708F"/>
    <w:p w14:paraId="271EFCBD" w14:textId="77777777" w:rsidR="00B7708F" w:rsidRDefault="00B7708F" w:rsidP="00B7708F">
      <w:pPr>
        <w:pStyle w:val="EntradandiceSentencia"/>
      </w:pPr>
      <w:r>
        <w:t>Pleno. Sentencia 7/2024, de 16 de enero de 2024</w:t>
      </w:r>
    </w:p>
    <w:p w14:paraId="1F6BAA7E" w14:textId="00786DF5" w:rsidR="00B7708F" w:rsidRDefault="00B7708F" w:rsidP="00B7708F">
      <w:pPr>
        <w:pStyle w:val="EntradandiceSentencia"/>
      </w:pPr>
    </w:p>
    <w:p w14:paraId="0A9DB9EF" w14:textId="38257EEB" w:rsidR="00B7708F" w:rsidRDefault="00B7708F" w:rsidP="00B7708F">
      <w:pPr>
        <w:pStyle w:val="EntradaSumario"/>
      </w:pPr>
      <w:r w:rsidRPr="00B7708F">
        <w:rPr>
          <w:rStyle w:val="TextoNormalCaracter"/>
        </w:rPr>
        <w:t xml:space="preserve">Recurso de inconstitucionalidad 7007-2021. </w:t>
      </w:r>
      <w:r w:rsidRPr="00B7708F">
        <w:rPr>
          <w:rStyle w:val="TextoNormalCursivaCaracter"/>
        </w:rPr>
        <w:t xml:space="preserve"> Límites materiales de los decretos leyes: constitucionalidad de la atribución al juez de un margen de apreciación para acordar, en las circunstancias concurrentes en pandemia, la suspensión del lanzamiento de la vivienda habitual habitada sin título para ello (SSTC 9/2023 y 15/2023). Voto particular.</w:t>
      </w:r>
      <w:r>
        <w:tab/>
      </w:r>
      <w:r>
        <w:tab/>
      </w:r>
      <w:r>
        <w:fldChar w:fldCharType="begin"/>
      </w:r>
      <w:r>
        <w:instrText xml:space="preserve"> PAGEREF SENTENCIA_2024_7 \h </w:instrText>
      </w:r>
      <w:r>
        <w:fldChar w:fldCharType="separate"/>
      </w:r>
      <w:r w:rsidR="0055058D">
        <w:rPr>
          <w:noProof/>
        </w:rPr>
        <w:t>121</w:t>
      </w:r>
      <w:r>
        <w:fldChar w:fldCharType="end"/>
      </w:r>
    </w:p>
    <w:p w14:paraId="69D8A50C" w14:textId="77777777" w:rsidR="00B7708F" w:rsidRDefault="00B7708F" w:rsidP="00B7708F"/>
    <w:p w14:paraId="189D9332" w14:textId="77777777" w:rsidR="00B7708F" w:rsidRDefault="00B7708F" w:rsidP="00B7708F">
      <w:pPr>
        <w:pStyle w:val="EntradandiceSentencia"/>
      </w:pPr>
      <w:r>
        <w:t>Pleno. Sentencia 8/2024, de 16 de enero de 2024</w:t>
      </w:r>
    </w:p>
    <w:p w14:paraId="0EAB728B" w14:textId="62560228" w:rsidR="00B7708F" w:rsidRDefault="00B7708F" w:rsidP="00B7708F">
      <w:pPr>
        <w:pStyle w:val="EntradandiceSentencia"/>
      </w:pPr>
    </w:p>
    <w:p w14:paraId="4B264851" w14:textId="607EE735" w:rsidR="00B7708F" w:rsidRDefault="00B7708F" w:rsidP="00B7708F">
      <w:pPr>
        <w:pStyle w:val="EntradaSumario"/>
      </w:pPr>
      <w:r w:rsidRPr="00B7708F">
        <w:rPr>
          <w:rStyle w:val="TextoNormalCaracter"/>
        </w:rPr>
        <w:t xml:space="preserve">Recurso de amparo 697-2022. </w:t>
      </w:r>
      <w:r w:rsidRPr="00B7708F">
        <w:rPr>
          <w:rStyle w:val="TextoNormalCursivaCaracter"/>
        </w:rPr>
        <w:t xml:space="preserve"> Vulneración del derecho a la legalidad penal: sentencia condenatoria que desconoce el principio de prohibición de interpretación extensiva o analógica de los preceptos sancionadores. Votos particulares.</w:t>
      </w:r>
      <w:r>
        <w:tab/>
      </w:r>
      <w:r>
        <w:tab/>
      </w:r>
      <w:r>
        <w:fldChar w:fldCharType="begin"/>
      </w:r>
      <w:r>
        <w:instrText xml:space="preserve"> PAGEREF SENTENCIA_2024_8 \h </w:instrText>
      </w:r>
      <w:r>
        <w:fldChar w:fldCharType="separate"/>
      </w:r>
      <w:r w:rsidR="0055058D">
        <w:rPr>
          <w:noProof/>
        </w:rPr>
        <w:t>146</w:t>
      </w:r>
      <w:r>
        <w:fldChar w:fldCharType="end"/>
      </w:r>
    </w:p>
    <w:p w14:paraId="68D4FC3D" w14:textId="77777777" w:rsidR="00B7708F" w:rsidRDefault="00B7708F" w:rsidP="00B7708F"/>
    <w:p w14:paraId="7E6EF612" w14:textId="77777777" w:rsidR="00B7708F" w:rsidRDefault="00B7708F" w:rsidP="00B7708F">
      <w:pPr>
        <w:pStyle w:val="EntradandiceSentencia"/>
      </w:pPr>
      <w:r>
        <w:t>Pleno. Sentencia 9/2024, de 17 de enero de 2024</w:t>
      </w:r>
    </w:p>
    <w:p w14:paraId="74A3A775" w14:textId="455C3BCD" w:rsidR="00B7708F" w:rsidRDefault="00B7708F" w:rsidP="00B7708F">
      <w:pPr>
        <w:pStyle w:val="EntradandiceSentencia"/>
      </w:pPr>
    </w:p>
    <w:p w14:paraId="723D76BC" w14:textId="54E308E8" w:rsidR="00B7708F" w:rsidRDefault="00B7708F" w:rsidP="00B7708F">
      <w:pPr>
        <w:pStyle w:val="EntradaSumario"/>
      </w:pPr>
      <w:r w:rsidRPr="00B7708F">
        <w:rPr>
          <w:rStyle w:val="TextoNormalCaracter"/>
        </w:rPr>
        <w:t xml:space="preserve">Recurso de amparo 645-2021. </w:t>
      </w:r>
      <w:r w:rsidRPr="00B7708F">
        <w:rPr>
          <w:rStyle w:val="TextoNormalCursivaCaracter"/>
        </w:rPr>
        <w:t xml:space="preserve"> Vulneración del derecho a la tutela judicial efectiva: sentencia que desconoce la prohibición de bis in idem procesal. Votos particulares.</w:t>
      </w:r>
      <w:r>
        <w:tab/>
      </w:r>
      <w:r>
        <w:tab/>
      </w:r>
      <w:r>
        <w:fldChar w:fldCharType="begin"/>
      </w:r>
      <w:r>
        <w:instrText xml:space="preserve"> PAGEREF SENTENCIA_2024_9 \h </w:instrText>
      </w:r>
      <w:r>
        <w:fldChar w:fldCharType="separate"/>
      </w:r>
      <w:r w:rsidR="0055058D">
        <w:rPr>
          <w:noProof/>
        </w:rPr>
        <w:t>192</w:t>
      </w:r>
      <w:r>
        <w:fldChar w:fldCharType="end"/>
      </w:r>
    </w:p>
    <w:p w14:paraId="3AA31649" w14:textId="77777777" w:rsidR="00B7708F" w:rsidRDefault="00B7708F" w:rsidP="00B7708F"/>
    <w:p w14:paraId="72C3553B" w14:textId="77777777" w:rsidR="00B7708F" w:rsidRDefault="00B7708F" w:rsidP="00B7708F">
      <w:pPr>
        <w:pStyle w:val="EntradandiceSentencia"/>
      </w:pPr>
      <w:r>
        <w:lastRenderedPageBreak/>
        <w:t>Pleno. Sentencia 10/2024, de 18 de enero de 2024</w:t>
      </w:r>
    </w:p>
    <w:p w14:paraId="0E76F9B9" w14:textId="0556ECB3" w:rsidR="00B7708F" w:rsidRDefault="00B7708F" w:rsidP="00B7708F">
      <w:pPr>
        <w:pStyle w:val="EntradandiceSentencia"/>
      </w:pPr>
    </w:p>
    <w:p w14:paraId="0331D36B" w14:textId="4A680900" w:rsidR="00B7708F" w:rsidRDefault="00B7708F" w:rsidP="00B7708F">
      <w:pPr>
        <w:pStyle w:val="EntradaSumario"/>
      </w:pPr>
      <w:r w:rsidRPr="00B7708F">
        <w:rPr>
          <w:rStyle w:val="TextoNormalCaracter"/>
        </w:rPr>
        <w:t xml:space="preserve">Recurso de amparo 843-2021. </w:t>
      </w:r>
      <w:r w:rsidRPr="00B7708F">
        <w:rPr>
          <w:rStyle w:val="TextoNormalCursivaCaracter"/>
        </w:rPr>
        <w:t xml:space="preserve"> Supuesta vulneración del derecho al ejercicio del cargo representativo: resoluciones de los órganos de gobierno de la Cámara que no afectaron al núcleo de la función representativa al denegar la solicitud de remisión por el Gobierno de un dictamen del Consejo de Estado con ocasión de la convalidación de un decreto ley y su posterior tramitación como proyecto de ley. Voto particular.</w:t>
      </w:r>
      <w:r>
        <w:tab/>
      </w:r>
      <w:r>
        <w:tab/>
      </w:r>
      <w:r>
        <w:fldChar w:fldCharType="begin"/>
      </w:r>
      <w:r>
        <w:instrText xml:space="preserve"> PAGEREF SENTENCIA_2024_10 \h </w:instrText>
      </w:r>
      <w:r>
        <w:fldChar w:fldCharType="separate"/>
      </w:r>
      <w:r w:rsidR="0055058D">
        <w:rPr>
          <w:noProof/>
        </w:rPr>
        <w:t>237</w:t>
      </w:r>
      <w:r>
        <w:fldChar w:fldCharType="end"/>
      </w:r>
    </w:p>
    <w:p w14:paraId="4976779A" w14:textId="77777777" w:rsidR="00B7708F" w:rsidRDefault="00B7708F" w:rsidP="00B7708F"/>
    <w:p w14:paraId="2C7B4870" w14:textId="77777777" w:rsidR="00B7708F" w:rsidRDefault="00B7708F" w:rsidP="00B7708F">
      <w:pPr>
        <w:pStyle w:val="EntradandiceSentencia"/>
      </w:pPr>
      <w:r>
        <w:t>Pleno. Sentencia 11/2024, de 18 de enero de 2024</w:t>
      </w:r>
    </w:p>
    <w:p w14:paraId="42C9F0D3" w14:textId="5828B381" w:rsidR="00B7708F" w:rsidRDefault="00B7708F" w:rsidP="00B7708F">
      <w:pPr>
        <w:pStyle w:val="EntradandiceSentencia"/>
      </w:pPr>
    </w:p>
    <w:p w14:paraId="6D18E50C" w14:textId="4725BE01" w:rsidR="00B7708F" w:rsidRDefault="00B7708F" w:rsidP="00B7708F">
      <w:pPr>
        <w:pStyle w:val="EntradaSumario"/>
      </w:pPr>
      <w:r w:rsidRPr="00B7708F">
        <w:rPr>
          <w:rStyle w:val="TextoNormalCaracter"/>
        </w:rPr>
        <w:t xml:space="preserve">Cuestión de inconstitucionalidad 2577-2023. </w:t>
      </w:r>
      <w:r w:rsidRPr="00B7708F">
        <w:rPr>
          <w:rStyle w:val="TextoNormalCursivaCaracter"/>
        </w:rPr>
        <w:t xml:space="preserve"> Límites materiales de los decretos leyes: nulidad de las modificaciones introducidas, con efectos desde el 1 de enero de 2016, en la regulación del impuesto sobre sociedades. Voto particular.</w:t>
      </w:r>
      <w:r>
        <w:tab/>
      </w:r>
      <w:r>
        <w:tab/>
      </w:r>
      <w:r>
        <w:fldChar w:fldCharType="begin"/>
      </w:r>
      <w:r>
        <w:instrText xml:space="preserve"> PAGEREF SENTENCIA_2024_11 \h </w:instrText>
      </w:r>
      <w:r>
        <w:fldChar w:fldCharType="separate"/>
      </w:r>
      <w:r w:rsidR="0055058D">
        <w:rPr>
          <w:noProof/>
        </w:rPr>
        <w:t>266</w:t>
      </w:r>
      <w:r>
        <w:fldChar w:fldCharType="end"/>
      </w:r>
    </w:p>
    <w:p w14:paraId="0DD84EC6" w14:textId="77777777" w:rsidR="00B7708F" w:rsidRDefault="00B7708F" w:rsidP="00B7708F"/>
    <w:p w14:paraId="7F9A1AAB" w14:textId="77777777" w:rsidR="00B7708F" w:rsidRDefault="00B7708F" w:rsidP="00B7708F">
      <w:pPr>
        <w:pStyle w:val="EntradandiceSentencia"/>
      </w:pPr>
      <w:r>
        <w:t>Sala Segunda. Sentencia 12/2024, de 29 de enero de 2024</w:t>
      </w:r>
    </w:p>
    <w:p w14:paraId="3C329127" w14:textId="7AF762E6" w:rsidR="00B7708F" w:rsidRDefault="00B7708F" w:rsidP="00B7708F">
      <w:pPr>
        <w:pStyle w:val="EntradandiceSentencia"/>
      </w:pPr>
    </w:p>
    <w:p w14:paraId="1D25034A" w14:textId="5796577E" w:rsidR="00B7708F" w:rsidRDefault="00B7708F" w:rsidP="00B7708F">
      <w:pPr>
        <w:pStyle w:val="EntradaSumario"/>
      </w:pPr>
      <w:r w:rsidRPr="00B7708F">
        <w:rPr>
          <w:rStyle w:val="TextoNormalCaracter"/>
        </w:rPr>
        <w:t xml:space="preserve">Recurso de amparo 5881-2021. </w:t>
      </w:r>
      <w:r w:rsidRPr="00B7708F">
        <w:rPr>
          <w:rStyle w:val="TextoNormalCursivaCaracter"/>
        </w:rPr>
        <w:t xml:space="preserve"> Vulneración del derecho a la tutela judicial sin indefensión: emplazamiento mediante edictos llevado a cabo sin agotar las posibilidades de notificación personal y sin consultar los datos obrantes en el registro mercantil.</w:t>
      </w:r>
      <w:r>
        <w:tab/>
      </w:r>
      <w:r>
        <w:tab/>
      </w:r>
      <w:r>
        <w:fldChar w:fldCharType="begin"/>
      </w:r>
      <w:r>
        <w:instrText xml:space="preserve"> PAGEREF SENTENCIA_2024_12 \h </w:instrText>
      </w:r>
      <w:r>
        <w:fldChar w:fldCharType="separate"/>
      </w:r>
      <w:r w:rsidR="0055058D">
        <w:rPr>
          <w:noProof/>
        </w:rPr>
        <w:t>287</w:t>
      </w:r>
      <w:r>
        <w:fldChar w:fldCharType="end"/>
      </w:r>
    </w:p>
    <w:p w14:paraId="56E57549" w14:textId="77777777" w:rsidR="00B7708F" w:rsidRDefault="00B7708F" w:rsidP="00B7708F"/>
    <w:p w14:paraId="7DC21E62" w14:textId="77777777" w:rsidR="00B7708F" w:rsidRDefault="00B7708F" w:rsidP="00B7708F">
      <w:pPr>
        <w:pStyle w:val="EntradandiceSentencia"/>
      </w:pPr>
      <w:r>
        <w:t>Sala Segunda. Sentencia 13/2024, de 29 de enero de 2024</w:t>
      </w:r>
    </w:p>
    <w:p w14:paraId="23E69CC1" w14:textId="611856AD" w:rsidR="00B7708F" w:rsidRDefault="00B7708F" w:rsidP="00B7708F">
      <w:pPr>
        <w:pStyle w:val="EntradandiceSentencia"/>
      </w:pPr>
    </w:p>
    <w:p w14:paraId="1963EBD8" w14:textId="5BE5A656" w:rsidR="00B7708F" w:rsidRDefault="00B7708F" w:rsidP="00B7708F">
      <w:pPr>
        <w:pStyle w:val="EntradaSumario"/>
      </w:pPr>
      <w:r w:rsidRPr="00B7708F">
        <w:rPr>
          <w:rStyle w:val="TextoNormalCaracter"/>
        </w:rPr>
        <w:t xml:space="preserve">Recurso de amparo 644-2023. </w:t>
      </w:r>
      <w:r w:rsidRPr="00B7708F">
        <w:rPr>
          <w:rStyle w:val="TextoNormalCursivaCaracter"/>
        </w:rPr>
        <w:t xml:space="preserve"> Supuesta vulneración del derecho a la integridad física: STC 148/2023 [resoluciones judiciales que realizaron una ponderación adecuada de los intereses de una persona menor de edad (STC 38/2023)].</w:t>
      </w:r>
      <w:r>
        <w:tab/>
      </w:r>
      <w:r>
        <w:tab/>
      </w:r>
      <w:r>
        <w:fldChar w:fldCharType="begin"/>
      </w:r>
      <w:r>
        <w:instrText xml:space="preserve"> PAGEREF SENTENCIA_2024_13 \h </w:instrText>
      </w:r>
      <w:r>
        <w:fldChar w:fldCharType="separate"/>
      </w:r>
      <w:r w:rsidR="0055058D">
        <w:rPr>
          <w:noProof/>
        </w:rPr>
        <w:t>297</w:t>
      </w:r>
      <w:r>
        <w:fldChar w:fldCharType="end"/>
      </w:r>
    </w:p>
    <w:p w14:paraId="27823423" w14:textId="77777777" w:rsidR="00B7708F" w:rsidRDefault="00B7708F" w:rsidP="00B7708F"/>
    <w:p w14:paraId="7E40299D" w14:textId="77777777" w:rsidR="00B7708F" w:rsidRDefault="00B7708F" w:rsidP="00B7708F">
      <w:pPr>
        <w:pStyle w:val="EntradandiceSentencia"/>
      </w:pPr>
      <w:r>
        <w:t>Sala Primera. Sentencia 14/2024, de 29 de enero de 2024</w:t>
      </w:r>
    </w:p>
    <w:p w14:paraId="7B4507FC" w14:textId="22505100" w:rsidR="00B7708F" w:rsidRDefault="00B7708F" w:rsidP="00B7708F">
      <w:pPr>
        <w:pStyle w:val="EntradandiceSentencia"/>
      </w:pPr>
    </w:p>
    <w:p w14:paraId="64A96B43" w14:textId="5700C080" w:rsidR="00B7708F" w:rsidRDefault="00B7708F" w:rsidP="00B7708F">
      <w:pPr>
        <w:pStyle w:val="EntradaSumario"/>
      </w:pPr>
      <w:r w:rsidRPr="00B7708F">
        <w:rPr>
          <w:rStyle w:val="TextoNormalCaracter"/>
        </w:rPr>
        <w:t xml:space="preserve">Recurso de amparo 3229-2023. </w:t>
      </w:r>
      <w:r w:rsidRPr="00B7708F">
        <w:rPr>
          <w:rStyle w:val="TextoNormalCursivaCaracter"/>
        </w:rPr>
        <w:t xml:space="preserve"> Supuesta vulneración de los derechos a la integridad física y a la tutela judicial sin indefensión: STC 148/2023 [resoluciones judiciales que realizaron una ponderación adecuada de los intereses de una persona menor de edad (STC 38/2023)].</w:t>
      </w:r>
      <w:r>
        <w:tab/>
      </w:r>
      <w:r>
        <w:tab/>
      </w:r>
      <w:r>
        <w:fldChar w:fldCharType="begin"/>
      </w:r>
      <w:r>
        <w:instrText xml:space="preserve"> PAGEREF SENTENCIA_2024_14 \h </w:instrText>
      </w:r>
      <w:r>
        <w:fldChar w:fldCharType="separate"/>
      </w:r>
      <w:r w:rsidR="0055058D">
        <w:rPr>
          <w:noProof/>
        </w:rPr>
        <w:t>304</w:t>
      </w:r>
      <w:r>
        <w:fldChar w:fldCharType="end"/>
      </w:r>
    </w:p>
    <w:p w14:paraId="6CF1475C" w14:textId="77777777" w:rsidR="00B7708F" w:rsidRDefault="00B7708F" w:rsidP="00B7708F"/>
    <w:p w14:paraId="1118A1D8" w14:textId="77777777" w:rsidR="00B7708F" w:rsidRDefault="00B7708F" w:rsidP="00B7708F">
      <w:pPr>
        <w:pStyle w:val="EntradandiceSentencia"/>
      </w:pPr>
      <w:r>
        <w:t>Pleno. Sentencia 15/2024, de 30 de enero de 2024</w:t>
      </w:r>
    </w:p>
    <w:p w14:paraId="525DEA5F" w14:textId="77F51AF8" w:rsidR="00B7708F" w:rsidRDefault="00B7708F" w:rsidP="00B7708F">
      <w:pPr>
        <w:pStyle w:val="EntradandiceSentencia"/>
      </w:pPr>
    </w:p>
    <w:p w14:paraId="39990E41" w14:textId="55FE2F5C" w:rsidR="00B7708F" w:rsidRDefault="00B7708F" w:rsidP="00B7708F">
      <w:pPr>
        <w:pStyle w:val="EntradaSumario"/>
      </w:pPr>
      <w:r w:rsidRPr="00B7708F">
        <w:rPr>
          <w:rStyle w:val="TextoNormalCaracter"/>
        </w:rPr>
        <w:t xml:space="preserve">Recurso de inconstitucionalidad 3101-2021. </w:t>
      </w:r>
      <w:r w:rsidRPr="00B7708F">
        <w:rPr>
          <w:rStyle w:val="TextoNormalCursivaCaracter"/>
        </w:rPr>
        <w:t xml:space="preserve"> Régimen constitucional de las proposiciones de ley y del Consejo General del Poder Judicial: STC 128/2023 </w:t>
      </w:r>
      <w:r w:rsidRPr="00B7708F">
        <w:rPr>
          <w:rStyle w:val="TextoNormalCursivaCaracter"/>
        </w:rPr>
        <w:lastRenderedPageBreak/>
        <w:t>(constitucionalidad de las previsiones legales que limitan funciones que puede ejercer el Consejo tras la expiración del mandato de sus miembros; suspensión de las facultades de nombramiento de presidente del Tribunal Supremo y de planteamiento del conflicto de atribuciones entre órganos constitucionales), precepto que no constituye ley singular. Votos particulares.</w:t>
      </w:r>
      <w:r>
        <w:tab/>
      </w:r>
      <w:r>
        <w:tab/>
      </w:r>
      <w:r>
        <w:fldChar w:fldCharType="begin"/>
      </w:r>
      <w:r>
        <w:instrText xml:space="preserve"> PAGEREF SENTENCIA_2024_15 \h </w:instrText>
      </w:r>
      <w:r>
        <w:fldChar w:fldCharType="separate"/>
      </w:r>
      <w:r w:rsidR="0055058D">
        <w:rPr>
          <w:noProof/>
        </w:rPr>
        <w:t>315</w:t>
      </w:r>
      <w:r>
        <w:fldChar w:fldCharType="end"/>
      </w:r>
    </w:p>
    <w:p w14:paraId="5B8BA4CE" w14:textId="77777777" w:rsidR="00B7708F" w:rsidRDefault="00B7708F" w:rsidP="00B7708F"/>
    <w:p w14:paraId="313F09AE" w14:textId="77777777" w:rsidR="00B7708F" w:rsidRDefault="00B7708F" w:rsidP="00B7708F">
      <w:pPr>
        <w:pStyle w:val="EntradandiceSentencia"/>
      </w:pPr>
      <w:r>
        <w:t>Pleno. Sentencia 16/2024, de 30 de enero de 2024</w:t>
      </w:r>
    </w:p>
    <w:p w14:paraId="2D4FA4FB" w14:textId="6378ED93" w:rsidR="00B7708F" w:rsidRDefault="00B7708F" w:rsidP="00B7708F">
      <w:pPr>
        <w:pStyle w:val="EntradandiceSentencia"/>
      </w:pPr>
    </w:p>
    <w:p w14:paraId="379ADB54" w14:textId="28CB5C87" w:rsidR="00B7708F" w:rsidRDefault="00B7708F" w:rsidP="00B7708F">
      <w:pPr>
        <w:pStyle w:val="EntradaSumario"/>
      </w:pPr>
      <w:r w:rsidRPr="00B7708F">
        <w:rPr>
          <w:rStyle w:val="TextoNormalCaracter"/>
        </w:rPr>
        <w:t xml:space="preserve">Cuestión de inconstitucionalidad 2800-2023. </w:t>
      </w:r>
      <w:r w:rsidRPr="00B7708F">
        <w:rPr>
          <w:rStyle w:val="TextoNormalCursivaCaracter"/>
        </w:rPr>
        <w:t xml:space="preserve"> Límites materiales de los decretos leyes: pérdida de objeto de la cuestión de inconstitucionalidad que versa sobre el precepto legal declarado inconstitucional y nulo en la STC 11/2024, de 18 de enero.</w:t>
      </w:r>
      <w:r>
        <w:tab/>
      </w:r>
      <w:r>
        <w:tab/>
      </w:r>
      <w:r>
        <w:fldChar w:fldCharType="begin"/>
      </w:r>
      <w:r>
        <w:instrText xml:space="preserve"> PAGEREF SENTENCIA_2024_16 \h </w:instrText>
      </w:r>
      <w:r>
        <w:fldChar w:fldCharType="separate"/>
      </w:r>
      <w:r w:rsidR="0055058D">
        <w:rPr>
          <w:noProof/>
        </w:rPr>
        <w:t>352</w:t>
      </w:r>
      <w:r>
        <w:fldChar w:fldCharType="end"/>
      </w:r>
    </w:p>
    <w:p w14:paraId="26E8D1EA" w14:textId="77777777" w:rsidR="00B7708F" w:rsidRDefault="00B7708F" w:rsidP="00B7708F"/>
    <w:p w14:paraId="73ED7772" w14:textId="77777777" w:rsidR="00B7708F" w:rsidRDefault="00B7708F" w:rsidP="00B7708F">
      <w:pPr>
        <w:pStyle w:val="EntradandiceSentencia"/>
      </w:pPr>
      <w:r>
        <w:t>Pleno. Sentencia 17/2024, de 31 de enero de 2024</w:t>
      </w:r>
    </w:p>
    <w:p w14:paraId="6B125973" w14:textId="39FE82D2" w:rsidR="00B7708F" w:rsidRDefault="00B7708F" w:rsidP="00B7708F">
      <w:pPr>
        <w:pStyle w:val="EntradandiceSentencia"/>
      </w:pPr>
    </w:p>
    <w:p w14:paraId="3C6C7E73" w14:textId="2ADC9124" w:rsidR="00B7708F" w:rsidRDefault="00B7708F" w:rsidP="00B7708F">
      <w:pPr>
        <w:pStyle w:val="EntradaSumario"/>
      </w:pPr>
      <w:r w:rsidRPr="00B7708F">
        <w:rPr>
          <w:rStyle w:val="TextoNormalCaracter"/>
        </w:rPr>
        <w:t xml:space="preserve">Recurso de amparo 5249-2021. </w:t>
      </w:r>
      <w:r w:rsidRPr="00B7708F">
        <w:rPr>
          <w:rStyle w:val="TextoNormalCursivaCaracter"/>
        </w:rPr>
        <w:t xml:space="preserve"> Supuesta vulneración de los derechos a la tutela judicial efectiva y a un proceso con todas las garantías en conexión con los derechos a la libertad personal, de residencia y circulación: resoluciones judiciales que acuerdan la extradición a partir de una documentación que no permite poner en duda la necesidad y proporcionalidad de la decisión adoptada por la fiscalía de Marruecos de solicitar la entrega para asegurar el enjuiciamiento del afectado.</w:t>
      </w:r>
      <w:r>
        <w:tab/>
      </w:r>
      <w:r>
        <w:tab/>
      </w:r>
      <w:r>
        <w:fldChar w:fldCharType="begin"/>
      </w:r>
      <w:r>
        <w:instrText xml:space="preserve"> PAGEREF SENTENCIA_2024_17 \h </w:instrText>
      </w:r>
      <w:r>
        <w:fldChar w:fldCharType="separate"/>
      </w:r>
      <w:r w:rsidR="0055058D">
        <w:rPr>
          <w:noProof/>
        </w:rPr>
        <w:t>367</w:t>
      </w:r>
      <w:r>
        <w:fldChar w:fldCharType="end"/>
      </w:r>
    </w:p>
    <w:p w14:paraId="2119F86D" w14:textId="77777777" w:rsidR="00B7708F" w:rsidRDefault="00B7708F" w:rsidP="00B7708F"/>
    <w:p w14:paraId="67865444" w14:textId="77777777" w:rsidR="00B7708F" w:rsidRDefault="00B7708F" w:rsidP="00B7708F">
      <w:pPr>
        <w:pStyle w:val="EntradandiceSentencia"/>
      </w:pPr>
      <w:r>
        <w:t>Pleno. Sentencia 18/2024, de 31 de enero de 2024</w:t>
      </w:r>
    </w:p>
    <w:p w14:paraId="054495A3" w14:textId="332D2F8F" w:rsidR="00B7708F" w:rsidRDefault="00B7708F" w:rsidP="00B7708F">
      <w:pPr>
        <w:pStyle w:val="EntradandiceSentencia"/>
      </w:pPr>
    </w:p>
    <w:p w14:paraId="21228283" w14:textId="518A7BB3" w:rsidR="00B7708F" w:rsidRDefault="00B7708F" w:rsidP="00B7708F">
      <w:pPr>
        <w:pStyle w:val="EntradaSumario"/>
      </w:pPr>
      <w:r w:rsidRPr="00B7708F">
        <w:rPr>
          <w:rStyle w:val="TextoNormalCaracter"/>
        </w:rPr>
        <w:t xml:space="preserve">Recurso de amparo 74-2022. </w:t>
      </w:r>
      <w:r w:rsidRPr="00B7708F">
        <w:rPr>
          <w:rStyle w:val="TextoNormalCursivaCaracter"/>
        </w:rPr>
        <w:t xml:space="preserve"> Vulneración del derecho al ejercicio de la función pública representativa: pérdida de la condición de parlamentario en ejecución de la sentencia anulada por la STC 8/2024, de 16 de enero. Voto particular.</w:t>
      </w:r>
      <w:r>
        <w:tab/>
      </w:r>
      <w:r>
        <w:tab/>
      </w:r>
      <w:r>
        <w:fldChar w:fldCharType="begin"/>
      </w:r>
      <w:r>
        <w:instrText xml:space="preserve"> PAGEREF SENTENCIA_2024_18 \h </w:instrText>
      </w:r>
      <w:r>
        <w:fldChar w:fldCharType="separate"/>
      </w:r>
      <w:r w:rsidR="0055058D">
        <w:rPr>
          <w:noProof/>
        </w:rPr>
        <w:t>388</w:t>
      </w:r>
      <w:r>
        <w:fldChar w:fldCharType="end"/>
      </w:r>
    </w:p>
    <w:p w14:paraId="42D83948" w14:textId="77777777" w:rsidR="00B7708F" w:rsidRDefault="00B7708F" w:rsidP="00B7708F"/>
    <w:p w14:paraId="5D4FA537" w14:textId="77777777" w:rsidR="00B7708F" w:rsidRDefault="00B7708F" w:rsidP="00B7708F">
      <w:pPr>
        <w:pStyle w:val="EntradandiceSentencia"/>
      </w:pPr>
      <w:r>
        <w:t>Pleno. Sentencia 19/2024, de 31 de enero de 2024</w:t>
      </w:r>
    </w:p>
    <w:p w14:paraId="1965B8D2" w14:textId="6E7017D8" w:rsidR="00B7708F" w:rsidRDefault="00B7708F" w:rsidP="00B7708F">
      <w:pPr>
        <w:pStyle w:val="EntradandiceSentencia"/>
      </w:pPr>
    </w:p>
    <w:p w14:paraId="02B20CCB" w14:textId="657AD05E" w:rsidR="00B7708F" w:rsidRDefault="00B7708F" w:rsidP="00B7708F">
      <w:pPr>
        <w:pStyle w:val="EntradaSumario"/>
      </w:pPr>
      <w:r w:rsidRPr="00B7708F">
        <w:rPr>
          <w:rStyle w:val="TextoNormalCaracter"/>
        </w:rPr>
        <w:t xml:space="preserve">Recurso de inconstitucionalidad 1937-2022. </w:t>
      </w:r>
      <w:r w:rsidRPr="00B7708F">
        <w:rPr>
          <w:rStyle w:val="TextoNormalCursivaCaracter"/>
        </w:rPr>
        <w:t xml:space="preserve"> Competencias sobre legislación básica y régimen económico de la Seguridad Social: constitucionalidad del precepto legal que atribuyen funciones a la Comunidad Autónoma del País Vasco y a la Comunidad Foral de Navarra en relación con el ingreso mínimo vital.</w:t>
      </w:r>
      <w:r>
        <w:tab/>
      </w:r>
      <w:r>
        <w:tab/>
      </w:r>
      <w:r>
        <w:fldChar w:fldCharType="begin"/>
      </w:r>
      <w:r>
        <w:instrText xml:space="preserve"> PAGEREF SENTENCIA_2024_19 \h </w:instrText>
      </w:r>
      <w:r>
        <w:fldChar w:fldCharType="separate"/>
      </w:r>
      <w:r w:rsidR="0055058D">
        <w:rPr>
          <w:noProof/>
        </w:rPr>
        <w:t>413</w:t>
      </w:r>
      <w:r>
        <w:fldChar w:fldCharType="end"/>
      </w:r>
    </w:p>
    <w:p w14:paraId="0BB12CA3" w14:textId="77777777" w:rsidR="00B7708F" w:rsidRDefault="00B7708F" w:rsidP="00B7708F"/>
    <w:p w14:paraId="203B2615" w14:textId="77777777" w:rsidR="00B7708F" w:rsidRDefault="00B7708F" w:rsidP="00B7708F">
      <w:pPr>
        <w:pStyle w:val="EntradandiceSentencia"/>
      </w:pPr>
      <w:r>
        <w:lastRenderedPageBreak/>
        <w:t>Pleno. Sentencia 20/2024, de 31 de enero de 2024</w:t>
      </w:r>
    </w:p>
    <w:p w14:paraId="070147DA" w14:textId="572E2480" w:rsidR="00B7708F" w:rsidRDefault="00B7708F" w:rsidP="00B7708F">
      <w:pPr>
        <w:pStyle w:val="EntradandiceSentencia"/>
      </w:pPr>
    </w:p>
    <w:p w14:paraId="750AD0B1" w14:textId="7FD137C8" w:rsidR="00B7708F" w:rsidRDefault="00B7708F" w:rsidP="00B7708F">
      <w:pPr>
        <w:pStyle w:val="EntradaSumario"/>
      </w:pPr>
      <w:r w:rsidRPr="00B7708F">
        <w:rPr>
          <w:rStyle w:val="TextoNormalCaracter"/>
        </w:rPr>
        <w:t xml:space="preserve">Recurso de inconstitucionalidad 6309-2022. </w:t>
      </w:r>
      <w:r w:rsidRPr="00B7708F">
        <w:rPr>
          <w:rStyle w:val="TextoNormalCursivaCaracter"/>
        </w:rPr>
        <w:t xml:space="preserve"> Límites de los decretos leyes: justificación de la concurrencia del presupuesto habilitante de la extraordinaria y urgente necesidad y respeto al orden de distribución de competencias en la aprobación del plan de choque de ahorro y gestión energética en climatización. Voto particular.</w:t>
      </w:r>
      <w:r>
        <w:tab/>
      </w:r>
      <w:r>
        <w:tab/>
      </w:r>
      <w:r>
        <w:fldChar w:fldCharType="begin"/>
      </w:r>
      <w:r>
        <w:instrText xml:space="preserve"> PAGEREF SENTENCIA_2024_20 \h </w:instrText>
      </w:r>
      <w:r>
        <w:fldChar w:fldCharType="separate"/>
      </w:r>
      <w:r w:rsidR="0055058D">
        <w:rPr>
          <w:noProof/>
        </w:rPr>
        <w:t>435</w:t>
      </w:r>
      <w:r>
        <w:fldChar w:fldCharType="end"/>
      </w:r>
    </w:p>
    <w:p w14:paraId="7A7385BB" w14:textId="77777777" w:rsidR="00B7708F" w:rsidRDefault="00B7708F" w:rsidP="00B7708F"/>
    <w:p w14:paraId="4DCCEF03" w14:textId="77777777" w:rsidR="00B7708F" w:rsidRDefault="00B7708F" w:rsidP="00B7708F">
      <w:pPr>
        <w:pStyle w:val="EntradandiceSentencia"/>
      </w:pPr>
      <w:r>
        <w:t>Sala Segunda. Sentencia 21/2024, de 12 de febrero de 2024</w:t>
      </w:r>
    </w:p>
    <w:p w14:paraId="1ACF4B56" w14:textId="1D89E2C2" w:rsidR="00B7708F" w:rsidRDefault="00B7708F" w:rsidP="00B7708F">
      <w:pPr>
        <w:pStyle w:val="EntradandiceSentencia"/>
      </w:pPr>
    </w:p>
    <w:p w14:paraId="1F7B6A12" w14:textId="331A6073" w:rsidR="00B7708F" w:rsidRDefault="00B7708F" w:rsidP="00B7708F">
      <w:pPr>
        <w:pStyle w:val="EntradaSumario"/>
      </w:pPr>
      <w:r w:rsidRPr="00B7708F">
        <w:rPr>
          <w:rStyle w:val="TextoNormalCaracter"/>
        </w:rPr>
        <w:t xml:space="preserve">Recurso de amparo 7485-2021. </w:t>
      </w:r>
      <w:r w:rsidRPr="00B7708F">
        <w:rPr>
          <w:rStyle w:val="TextoNormalCursivaCaracter"/>
        </w:rPr>
        <w:t xml:space="preserve"> Vulneración del derecho a la tutela judicial sin indefensión: emplazamiento mediante edictos llevado a cabo sin agotar las posibilidades de notificación personal (STC 94/2021).</w:t>
      </w:r>
      <w:r>
        <w:tab/>
      </w:r>
      <w:r>
        <w:tab/>
      </w:r>
      <w:r>
        <w:fldChar w:fldCharType="begin"/>
      </w:r>
      <w:r>
        <w:instrText xml:space="preserve"> PAGEREF SENTENCIA_2024_21 \h </w:instrText>
      </w:r>
      <w:r>
        <w:fldChar w:fldCharType="separate"/>
      </w:r>
      <w:r w:rsidR="0055058D">
        <w:rPr>
          <w:noProof/>
        </w:rPr>
        <w:t>462</w:t>
      </w:r>
      <w:r>
        <w:fldChar w:fldCharType="end"/>
      </w:r>
    </w:p>
    <w:p w14:paraId="2F14EEC7" w14:textId="77777777" w:rsidR="00B7708F" w:rsidRDefault="00B7708F" w:rsidP="00B7708F"/>
    <w:p w14:paraId="0C1916E8" w14:textId="77777777" w:rsidR="00B7708F" w:rsidRDefault="00B7708F" w:rsidP="00B7708F">
      <w:pPr>
        <w:pStyle w:val="EntradandiceSentencia"/>
      </w:pPr>
      <w:r>
        <w:t>Sala Primera. Sentencia 22/2024, de 12 de febrero de 2024</w:t>
      </w:r>
    </w:p>
    <w:p w14:paraId="5F590D11" w14:textId="76573F02" w:rsidR="00B7708F" w:rsidRDefault="00B7708F" w:rsidP="00B7708F">
      <w:pPr>
        <w:pStyle w:val="EntradandiceSentencia"/>
      </w:pPr>
    </w:p>
    <w:p w14:paraId="45608509" w14:textId="209B100D" w:rsidR="00B7708F" w:rsidRDefault="00B7708F" w:rsidP="00B7708F">
      <w:pPr>
        <w:pStyle w:val="EntradaSumario"/>
      </w:pPr>
      <w:r w:rsidRPr="00B7708F">
        <w:rPr>
          <w:rStyle w:val="TextoNormalCaracter"/>
        </w:rPr>
        <w:t xml:space="preserve">Recurso de amparo 5319-2022. </w:t>
      </w:r>
      <w:r w:rsidRPr="00B7708F">
        <w:rPr>
          <w:rStyle w:val="TextoNormalCursivaCaracter"/>
        </w:rPr>
        <w:t xml:space="preserve"> Vulneración del derecho a no padecer discriminación por razón de sexo: denegación del derecho a percibir los salarios de tramitación fundada en la calificación del despido como nulo al tener efecto cuando se hallaba embarazada.</w:t>
      </w:r>
      <w:r>
        <w:tab/>
      </w:r>
      <w:r>
        <w:tab/>
      </w:r>
      <w:r>
        <w:fldChar w:fldCharType="begin"/>
      </w:r>
      <w:r>
        <w:instrText xml:space="preserve"> PAGEREF SENTENCIA_2024_22 \h </w:instrText>
      </w:r>
      <w:r>
        <w:fldChar w:fldCharType="separate"/>
      </w:r>
      <w:r w:rsidR="0055058D">
        <w:rPr>
          <w:noProof/>
        </w:rPr>
        <w:t>472</w:t>
      </w:r>
      <w:r>
        <w:fldChar w:fldCharType="end"/>
      </w:r>
    </w:p>
    <w:p w14:paraId="6D6DF256" w14:textId="77777777" w:rsidR="00B7708F" w:rsidRDefault="00B7708F" w:rsidP="00B7708F"/>
    <w:p w14:paraId="3751829B" w14:textId="77777777" w:rsidR="00B7708F" w:rsidRDefault="00B7708F" w:rsidP="00B7708F">
      <w:pPr>
        <w:pStyle w:val="EntradandiceSentencia"/>
      </w:pPr>
      <w:r>
        <w:t>Sala Segunda. Sentencia 23/2024, de 12 de febrero de 2024</w:t>
      </w:r>
    </w:p>
    <w:p w14:paraId="23B36293" w14:textId="33D96DAE" w:rsidR="00B7708F" w:rsidRDefault="00B7708F" w:rsidP="00B7708F">
      <w:pPr>
        <w:pStyle w:val="EntradandiceSentencia"/>
      </w:pPr>
    </w:p>
    <w:p w14:paraId="660B4756" w14:textId="25713C76" w:rsidR="00B7708F" w:rsidRDefault="00B7708F" w:rsidP="00B7708F">
      <w:pPr>
        <w:pStyle w:val="EntradaSumario"/>
      </w:pPr>
      <w:r w:rsidRPr="00B7708F">
        <w:rPr>
          <w:rStyle w:val="TextoNormalCaracter"/>
        </w:rPr>
        <w:t xml:space="preserve">Recurso de amparo 1762-2023. </w:t>
      </w:r>
      <w:r w:rsidRPr="00B7708F">
        <w:rPr>
          <w:rStyle w:val="TextoNormalCursivaCaracter"/>
        </w:rPr>
        <w:t xml:space="preserve"> Vulneración del derecho a la tutela judicial efectiva (acceso a la jurisdicción): denegación de la revisión judicial de una resolución del letrado de la administración de justicia en aplicación del precepto legal anulado por la STC 15/2020, de 28 de enero.</w:t>
      </w:r>
      <w:r>
        <w:tab/>
      </w:r>
      <w:r>
        <w:tab/>
      </w:r>
      <w:r>
        <w:fldChar w:fldCharType="begin"/>
      </w:r>
      <w:r>
        <w:instrText xml:space="preserve"> PAGEREF SENTENCIA_2024_23 \h </w:instrText>
      </w:r>
      <w:r>
        <w:fldChar w:fldCharType="separate"/>
      </w:r>
      <w:r w:rsidR="0055058D">
        <w:rPr>
          <w:noProof/>
        </w:rPr>
        <w:t>495</w:t>
      </w:r>
      <w:r>
        <w:fldChar w:fldCharType="end"/>
      </w:r>
    </w:p>
    <w:p w14:paraId="081EB483" w14:textId="77777777" w:rsidR="00B7708F" w:rsidRDefault="00B7708F" w:rsidP="00B7708F"/>
    <w:p w14:paraId="712179B6" w14:textId="77777777" w:rsidR="00B7708F" w:rsidRDefault="00B7708F" w:rsidP="00B7708F">
      <w:pPr>
        <w:pStyle w:val="EntradandiceSentencia"/>
      </w:pPr>
      <w:r>
        <w:t>Sala Segunda. Sentencia 24/2024, de 12 de febrero de 2024</w:t>
      </w:r>
    </w:p>
    <w:p w14:paraId="2632675C" w14:textId="76B3F741" w:rsidR="00B7708F" w:rsidRDefault="00B7708F" w:rsidP="00B7708F">
      <w:pPr>
        <w:pStyle w:val="EntradandiceSentencia"/>
      </w:pPr>
    </w:p>
    <w:p w14:paraId="5000DAD9" w14:textId="3EDD49DC" w:rsidR="00B7708F" w:rsidRDefault="00B7708F" w:rsidP="00B7708F">
      <w:pPr>
        <w:pStyle w:val="EntradaSumario"/>
      </w:pPr>
      <w:r w:rsidRPr="00B7708F">
        <w:rPr>
          <w:rStyle w:val="TextoNormalCaracter"/>
        </w:rPr>
        <w:t xml:space="preserve">Recurso de amparo 2387-2023. </w:t>
      </w:r>
      <w:r w:rsidRPr="00B7708F">
        <w:rPr>
          <w:rStyle w:val="TextoNormalCursivaCaracter"/>
        </w:rPr>
        <w:t xml:space="preserve"> Supuesta vulneración de los derechos a la integridad física y a la tutela judicial sin indefensión: STC 148/2023 [resoluciones judiciales que realizaron una ponderación adecuada de los intereses de una persona menor de edad (STC 38/2023)].</w:t>
      </w:r>
      <w:r>
        <w:tab/>
      </w:r>
      <w:r>
        <w:tab/>
      </w:r>
      <w:r>
        <w:fldChar w:fldCharType="begin"/>
      </w:r>
      <w:r>
        <w:instrText xml:space="preserve"> PAGEREF SENTENCIA_2024_24 \h </w:instrText>
      </w:r>
      <w:r>
        <w:fldChar w:fldCharType="separate"/>
      </w:r>
      <w:r w:rsidR="0055058D">
        <w:rPr>
          <w:noProof/>
        </w:rPr>
        <w:t>503</w:t>
      </w:r>
      <w:r>
        <w:fldChar w:fldCharType="end"/>
      </w:r>
    </w:p>
    <w:p w14:paraId="251F461E" w14:textId="77777777" w:rsidR="00B7708F" w:rsidRDefault="00B7708F" w:rsidP="00B7708F"/>
    <w:p w14:paraId="05D33C6E" w14:textId="77777777" w:rsidR="00B7708F" w:rsidRDefault="00B7708F" w:rsidP="00B7708F">
      <w:pPr>
        <w:pStyle w:val="EntradandiceSentencia"/>
      </w:pPr>
      <w:r>
        <w:t>Pleno. Sentencia 25/2024, de 13 de febrero de 2024</w:t>
      </w:r>
    </w:p>
    <w:p w14:paraId="6B094672" w14:textId="5DE06D70" w:rsidR="00B7708F" w:rsidRDefault="00B7708F" w:rsidP="00B7708F">
      <w:pPr>
        <w:pStyle w:val="EntradandiceSentencia"/>
      </w:pPr>
    </w:p>
    <w:p w14:paraId="0AA55158" w14:textId="793ECB18" w:rsidR="00B7708F" w:rsidRDefault="00B7708F" w:rsidP="00B7708F">
      <w:pPr>
        <w:pStyle w:val="EntradaSumario"/>
      </w:pPr>
      <w:r w:rsidRPr="00B7708F">
        <w:rPr>
          <w:rStyle w:val="TextoNormalCaracter"/>
        </w:rPr>
        <w:t xml:space="preserve">Recurso de inconstitucionalidad 1413-2022. </w:t>
      </w:r>
      <w:r w:rsidRPr="00B7708F">
        <w:rPr>
          <w:rStyle w:val="TextoNormalCursivaCaracter"/>
        </w:rPr>
        <w:t xml:space="preserve"> Principios democrático, de igualdad, legalidad y no discriminación, de seguridad jurídica y autonomía local; interdicción de la arbitrariedad y no regresión ambiental; derecho al ejercicio </w:t>
      </w:r>
      <w:r w:rsidRPr="00B7708F">
        <w:rPr>
          <w:rStyle w:val="TextoNormalCursivaCaracter"/>
        </w:rPr>
        <w:lastRenderedPageBreak/>
        <w:t>de las funciones representativas; competencias de protección ambiental: nulidad parcial de los preceptos autonómicos que permiten la edificación residencial en suelo rústico y la desafectación de vías pecuarias sujetas a planeamiento urbanístico y eximen a los usos mineros del requisito de licencia urbanística; interpretación conforme de los preceptos legales relativos a las actuaciones y usos ordinarios del suelo rústico.</w:t>
      </w:r>
      <w:r>
        <w:tab/>
      </w:r>
      <w:r>
        <w:tab/>
      </w:r>
      <w:r>
        <w:fldChar w:fldCharType="begin"/>
      </w:r>
      <w:r>
        <w:instrText xml:space="preserve"> PAGEREF SENTENCIA_2024_25 \h </w:instrText>
      </w:r>
      <w:r>
        <w:fldChar w:fldCharType="separate"/>
      </w:r>
      <w:r w:rsidR="0055058D">
        <w:rPr>
          <w:noProof/>
        </w:rPr>
        <w:t>512</w:t>
      </w:r>
      <w:r>
        <w:fldChar w:fldCharType="end"/>
      </w:r>
    </w:p>
    <w:p w14:paraId="2A8EF3A6" w14:textId="77777777" w:rsidR="00B7708F" w:rsidRDefault="00B7708F" w:rsidP="00B7708F"/>
    <w:p w14:paraId="4B1AB469" w14:textId="77777777" w:rsidR="00B7708F" w:rsidRDefault="00B7708F" w:rsidP="00B7708F">
      <w:pPr>
        <w:pStyle w:val="EntradandiceSentencia"/>
      </w:pPr>
      <w:r>
        <w:t>Pleno. Sentencia 26/2024, de 14 de febrero de 2024</w:t>
      </w:r>
    </w:p>
    <w:p w14:paraId="483DD9FC" w14:textId="07E08353" w:rsidR="00B7708F" w:rsidRDefault="00B7708F" w:rsidP="00B7708F">
      <w:pPr>
        <w:pStyle w:val="EntradandiceSentencia"/>
      </w:pPr>
    </w:p>
    <w:p w14:paraId="48B79F83" w14:textId="6ABD016D" w:rsidR="00B7708F" w:rsidRDefault="00B7708F" w:rsidP="00B7708F">
      <w:pPr>
        <w:pStyle w:val="EntradaSumario"/>
      </w:pPr>
      <w:r w:rsidRPr="00B7708F">
        <w:rPr>
          <w:rStyle w:val="TextoNormalCaracter"/>
        </w:rPr>
        <w:t xml:space="preserve">Recurso de amparo 4958-2021. </w:t>
      </w:r>
      <w:r w:rsidRPr="00B7708F">
        <w:rPr>
          <w:rStyle w:val="TextoNormalCursivaCaracter"/>
        </w:rPr>
        <w:t xml:space="preserve"> Vulneración del derecho a que los hijos reciban una formación religiosa y moral acorde con las convicciones de los padres: resoluciones judiciales que acuerdan la escolarización de una menor en un centro concertado religioso que no puede entenderse justificada en su interés superior en el seno de una familia con convicciones religiosas divergentes y que no salvaguardan su derecho a desarrollar sus propias convicciones y creencias en un contexto escolar libre de adoctrinamiento. Votos particulares.</w:t>
      </w:r>
      <w:r>
        <w:tab/>
      </w:r>
      <w:r>
        <w:tab/>
      </w:r>
      <w:r>
        <w:fldChar w:fldCharType="begin"/>
      </w:r>
      <w:r>
        <w:instrText xml:space="preserve"> PAGEREF SENTENCIA_2024_26 \h </w:instrText>
      </w:r>
      <w:r>
        <w:fldChar w:fldCharType="separate"/>
      </w:r>
      <w:r w:rsidR="0055058D">
        <w:rPr>
          <w:noProof/>
        </w:rPr>
        <w:t>584</w:t>
      </w:r>
      <w:r>
        <w:fldChar w:fldCharType="end"/>
      </w:r>
    </w:p>
    <w:p w14:paraId="25F0EBA6" w14:textId="77777777" w:rsidR="00B7708F" w:rsidRDefault="00B7708F" w:rsidP="00B7708F"/>
    <w:p w14:paraId="25D0E20D" w14:textId="77777777" w:rsidR="00B7708F" w:rsidRDefault="00B7708F" w:rsidP="00B7708F">
      <w:pPr>
        <w:pStyle w:val="EntradandiceSentencia"/>
      </w:pPr>
      <w:r>
        <w:t>Sala Segunda. Sentencia 27/2024, de 26 de febrero de 2024</w:t>
      </w:r>
    </w:p>
    <w:p w14:paraId="06A37697" w14:textId="48093F5E" w:rsidR="00B7708F" w:rsidRDefault="00B7708F" w:rsidP="00B7708F">
      <w:pPr>
        <w:pStyle w:val="EntradandiceSentencia"/>
      </w:pPr>
    </w:p>
    <w:p w14:paraId="4F1D736B" w14:textId="64948B2A" w:rsidR="00B7708F" w:rsidRDefault="00B7708F" w:rsidP="00B7708F">
      <w:pPr>
        <w:pStyle w:val="EntradaSumario"/>
      </w:pPr>
      <w:r w:rsidRPr="00B7708F">
        <w:rPr>
          <w:rStyle w:val="TextoNormalCaracter"/>
        </w:rPr>
        <w:t xml:space="preserve">Recurso de amparo 4127-2022. </w:t>
      </w:r>
      <w:r w:rsidRPr="00B7708F">
        <w:rPr>
          <w:rStyle w:val="TextoNormalCursivaCaracter"/>
        </w:rPr>
        <w:t xml:space="preserve"> Vulneración del derecho a la tutela judicial efectiva (resolución fundada en Derecho): ausencia de control judicial de las cláusulas abusivas que ignora la primacía del Derecho de la Unión Europea, en los términos de la STC 31/2019 (STC 26/2023).</w:t>
      </w:r>
      <w:r>
        <w:tab/>
      </w:r>
      <w:r>
        <w:tab/>
      </w:r>
      <w:r>
        <w:fldChar w:fldCharType="begin"/>
      </w:r>
      <w:r>
        <w:instrText xml:space="preserve"> PAGEREF SENTENCIA_2024_27 \h </w:instrText>
      </w:r>
      <w:r>
        <w:fldChar w:fldCharType="separate"/>
      </w:r>
      <w:r w:rsidR="0055058D">
        <w:rPr>
          <w:noProof/>
        </w:rPr>
        <w:t>618</w:t>
      </w:r>
      <w:r>
        <w:fldChar w:fldCharType="end"/>
      </w:r>
    </w:p>
    <w:p w14:paraId="23A448E1" w14:textId="77777777" w:rsidR="00B7708F" w:rsidRDefault="00B7708F" w:rsidP="00B7708F"/>
    <w:p w14:paraId="2E464362" w14:textId="77777777" w:rsidR="00B7708F" w:rsidRDefault="00B7708F" w:rsidP="00B7708F">
      <w:pPr>
        <w:pStyle w:val="EntradandiceSentencia"/>
      </w:pPr>
      <w:r>
        <w:t>Pleno. Sentencia 28/2024, de 27 de febrero de 2024</w:t>
      </w:r>
    </w:p>
    <w:p w14:paraId="1B9656CA" w14:textId="718C4BD6" w:rsidR="00B7708F" w:rsidRDefault="00B7708F" w:rsidP="00B7708F">
      <w:pPr>
        <w:pStyle w:val="EntradandiceSentencia"/>
      </w:pPr>
    </w:p>
    <w:p w14:paraId="506E1CE3" w14:textId="21641D84" w:rsidR="00B7708F" w:rsidRDefault="00B7708F" w:rsidP="00B7708F">
      <w:pPr>
        <w:pStyle w:val="EntradaSumario"/>
      </w:pPr>
      <w:r w:rsidRPr="00B7708F">
        <w:rPr>
          <w:rStyle w:val="TextoNormalCaracter"/>
        </w:rPr>
        <w:t xml:space="preserve">Recurso de amparo 5067-2019. </w:t>
      </w:r>
      <w:r w:rsidRPr="00B7708F">
        <w:rPr>
          <w:rStyle w:val="TextoNormalCursivaCaracter"/>
        </w:rPr>
        <w:t xml:space="preserve"> Vulneración del derecho a la tutela judicial efectiva (motivación): sentencia de apelación que, en un supuesto de gestación subrogada, no satisface las exigencias del canon de motivación reforzada que rige para los casos en los que la esfera personal y familiar de un menor se ve afectada al estar en juego la construcción de la identidad del menor y la protección de los lazos familiares creados con la recurrente. Voto particular.</w:t>
      </w:r>
      <w:r>
        <w:tab/>
      </w:r>
      <w:r>
        <w:tab/>
      </w:r>
      <w:r>
        <w:fldChar w:fldCharType="begin"/>
      </w:r>
      <w:r>
        <w:instrText xml:space="preserve"> PAGEREF SENTENCIA_2024_28 \h </w:instrText>
      </w:r>
      <w:r>
        <w:fldChar w:fldCharType="separate"/>
      </w:r>
      <w:r w:rsidR="0055058D">
        <w:rPr>
          <w:noProof/>
        </w:rPr>
        <w:t>633</w:t>
      </w:r>
      <w:r>
        <w:fldChar w:fldCharType="end"/>
      </w:r>
    </w:p>
    <w:p w14:paraId="3FE00573" w14:textId="77777777" w:rsidR="00B7708F" w:rsidRDefault="00B7708F" w:rsidP="00B7708F"/>
    <w:p w14:paraId="0772DD0E" w14:textId="77777777" w:rsidR="00B7708F" w:rsidRDefault="00B7708F" w:rsidP="00B7708F">
      <w:pPr>
        <w:pStyle w:val="EntradandiceSentencia"/>
      </w:pPr>
      <w:r>
        <w:t>Pleno. Sentencia 29/2024, de 28 de febrero de 2024</w:t>
      </w:r>
    </w:p>
    <w:p w14:paraId="1116A541" w14:textId="2CCE7532" w:rsidR="00B7708F" w:rsidRDefault="00B7708F" w:rsidP="00B7708F">
      <w:pPr>
        <w:pStyle w:val="EntradandiceSentencia"/>
      </w:pPr>
    </w:p>
    <w:p w14:paraId="08F44D72" w14:textId="0C078372" w:rsidR="00B7708F" w:rsidRDefault="00B7708F" w:rsidP="00B7708F">
      <w:pPr>
        <w:pStyle w:val="EntradaSumario"/>
      </w:pPr>
      <w:r w:rsidRPr="00B7708F">
        <w:rPr>
          <w:rStyle w:val="TextoNormalCaracter"/>
        </w:rPr>
        <w:t xml:space="preserve">Recurso de inconstitucionalidad 231-2021. </w:t>
      </w:r>
      <w:r w:rsidRPr="00B7708F">
        <w:rPr>
          <w:rStyle w:val="TextoNormalCursivaCaracter"/>
        </w:rPr>
        <w:t xml:space="preserve"> Derechos de participación política y de enmienda de las minorías en el procedimiento legislativo: extinción del proceso por pérdida sobrevenida de su objeto.</w:t>
      </w:r>
      <w:r>
        <w:tab/>
      </w:r>
      <w:r>
        <w:tab/>
      </w:r>
      <w:r>
        <w:fldChar w:fldCharType="begin"/>
      </w:r>
      <w:r>
        <w:instrText xml:space="preserve"> PAGEREF SENTENCIA_2024_29 \h </w:instrText>
      </w:r>
      <w:r>
        <w:fldChar w:fldCharType="separate"/>
      </w:r>
      <w:r w:rsidR="0055058D">
        <w:rPr>
          <w:noProof/>
        </w:rPr>
        <w:t>667</w:t>
      </w:r>
      <w:r>
        <w:fldChar w:fldCharType="end"/>
      </w:r>
    </w:p>
    <w:p w14:paraId="201B07C3" w14:textId="77777777" w:rsidR="00B7708F" w:rsidRDefault="00B7708F" w:rsidP="00B7708F"/>
    <w:p w14:paraId="2B2C2631" w14:textId="77777777" w:rsidR="00B7708F" w:rsidRDefault="00B7708F" w:rsidP="00B7708F">
      <w:pPr>
        <w:pStyle w:val="EntradandiceSentencia"/>
      </w:pPr>
      <w:r>
        <w:lastRenderedPageBreak/>
        <w:t>Pleno. Sentencia 30/2024, de 28 de febrero de 2024</w:t>
      </w:r>
    </w:p>
    <w:p w14:paraId="1A94B133" w14:textId="555EA6A7" w:rsidR="00B7708F" w:rsidRDefault="00B7708F" w:rsidP="00B7708F">
      <w:pPr>
        <w:pStyle w:val="EntradandiceSentencia"/>
      </w:pPr>
    </w:p>
    <w:p w14:paraId="079F32E0" w14:textId="1E21DEEA" w:rsidR="00B7708F" w:rsidRDefault="00B7708F" w:rsidP="00B7708F">
      <w:pPr>
        <w:pStyle w:val="EntradaSumario"/>
      </w:pPr>
      <w:r w:rsidRPr="00B7708F">
        <w:rPr>
          <w:rStyle w:val="TextoNormalCaracter"/>
        </w:rPr>
        <w:t xml:space="preserve">Recurso de amparo 1209-2021. </w:t>
      </w:r>
      <w:r w:rsidRPr="00B7708F">
        <w:rPr>
          <w:rStyle w:val="TextoNormalCursivaCaracter"/>
        </w:rPr>
        <w:t xml:space="preserve"> Supuesta vulneración del derecho al ejercicio de las funciones representativas: rechazo fundado de unas peticiones que afectaban a iniciativas de carácter potestativo y discrecional en la tramitación parlamentaria de la ley orgánica enjuiciada en las SSTC 128/2023 y 15/2024. Votos particulares.</w:t>
      </w:r>
      <w:r>
        <w:tab/>
      </w:r>
      <w:r>
        <w:tab/>
      </w:r>
      <w:r>
        <w:fldChar w:fldCharType="begin"/>
      </w:r>
      <w:r>
        <w:instrText xml:space="preserve"> PAGEREF SENTENCIA_2024_30 \h </w:instrText>
      </w:r>
      <w:r>
        <w:fldChar w:fldCharType="separate"/>
      </w:r>
      <w:r w:rsidR="0055058D">
        <w:rPr>
          <w:noProof/>
        </w:rPr>
        <w:t>683</w:t>
      </w:r>
      <w:r>
        <w:fldChar w:fldCharType="end"/>
      </w:r>
    </w:p>
    <w:p w14:paraId="3B625EFA" w14:textId="77777777" w:rsidR="00B7708F" w:rsidRDefault="00B7708F" w:rsidP="00B7708F"/>
    <w:p w14:paraId="072FE0C3" w14:textId="77777777" w:rsidR="00B7708F" w:rsidRDefault="00B7708F" w:rsidP="00B7708F">
      <w:pPr>
        <w:pStyle w:val="EntradandiceSentencia"/>
      </w:pPr>
      <w:r>
        <w:t>Pleno. Sentencia 31/2024, de 28 de febrero de 2024</w:t>
      </w:r>
    </w:p>
    <w:p w14:paraId="02481101" w14:textId="21C1142E" w:rsidR="00B7708F" w:rsidRDefault="00B7708F" w:rsidP="00B7708F">
      <w:pPr>
        <w:pStyle w:val="EntradandiceSentencia"/>
      </w:pPr>
    </w:p>
    <w:p w14:paraId="66D5E1A4" w14:textId="5D962E26" w:rsidR="00B7708F" w:rsidRDefault="00B7708F" w:rsidP="00B7708F">
      <w:pPr>
        <w:pStyle w:val="EntradaSumario"/>
      </w:pPr>
      <w:r w:rsidRPr="00B7708F">
        <w:rPr>
          <w:rStyle w:val="TextoNormalCaracter"/>
        </w:rPr>
        <w:t xml:space="preserve">Recurso de amparo 4481-2021. </w:t>
      </w:r>
      <w:r w:rsidRPr="00B7708F">
        <w:rPr>
          <w:rStyle w:val="TextoNormalCursivaCaracter"/>
        </w:rPr>
        <w:t xml:space="preserve"> Supuesta vulneración del derecho de acceso a los cargos públicos: rechazo de peticiones puramente declarativas, siendo así que el actor ya ha visto reparada la lesión que denuncia (SSTC 144/2022 y 148/2022).</w:t>
      </w:r>
      <w:r>
        <w:tab/>
      </w:r>
      <w:r>
        <w:tab/>
      </w:r>
      <w:r>
        <w:fldChar w:fldCharType="begin"/>
      </w:r>
      <w:r>
        <w:instrText xml:space="preserve"> PAGEREF SENTENCIA_2024_31 \h </w:instrText>
      </w:r>
      <w:r>
        <w:fldChar w:fldCharType="separate"/>
      </w:r>
      <w:r w:rsidR="0055058D">
        <w:rPr>
          <w:noProof/>
        </w:rPr>
        <w:t>707</w:t>
      </w:r>
      <w:r>
        <w:fldChar w:fldCharType="end"/>
      </w:r>
    </w:p>
    <w:p w14:paraId="4E4167CD" w14:textId="77777777" w:rsidR="00B7708F" w:rsidRDefault="00B7708F" w:rsidP="00B7708F"/>
    <w:p w14:paraId="6C401CEE" w14:textId="77777777" w:rsidR="00B7708F" w:rsidRDefault="00B7708F" w:rsidP="00B7708F">
      <w:pPr>
        <w:pStyle w:val="EntradandiceSentencia"/>
      </w:pPr>
      <w:r>
        <w:t>Pleno. Sentencia 32/2024, de 28 de febrero de 2024</w:t>
      </w:r>
    </w:p>
    <w:p w14:paraId="2FD5EC70" w14:textId="3CDC589C" w:rsidR="00B7708F" w:rsidRDefault="00B7708F" w:rsidP="00B7708F">
      <w:pPr>
        <w:pStyle w:val="EntradandiceSentencia"/>
      </w:pPr>
    </w:p>
    <w:p w14:paraId="168DAA08" w14:textId="61440781" w:rsidR="00B7708F" w:rsidRDefault="00B7708F" w:rsidP="00B7708F">
      <w:pPr>
        <w:pStyle w:val="EntradaSumario"/>
      </w:pPr>
      <w:r w:rsidRPr="00B7708F">
        <w:rPr>
          <w:rStyle w:val="TextoNormalCaracter"/>
        </w:rPr>
        <w:t xml:space="preserve">Recurso de inconstitucionalidad 2061-2022. </w:t>
      </w:r>
      <w:r w:rsidRPr="00B7708F">
        <w:rPr>
          <w:rStyle w:val="TextoNormalCursivaCaracter"/>
        </w:rPr>
        <w:t xml:space="preserve"> Competencias sobre legislación básica y régimen económico de la Seguridad Social: STC 19/2024 (constitucionalidad del precepto legal que atribuye funciones a la Comunidad Autónoma del País Vasco y a la Comunidad Foral de Navarra en relación con el ingreso mínimo vital).</w:t>
      </w:r>
      <w:r>
        <w:tab/>
      </w:r>
      <w:r>
        <w:tab/>
      </w:r>
      <w:r>
        <w:fldChar w:fldCharType="begin"/>
      </w:r>
      <w:r>
        <w:instrText xml:space="preserve"> PAGEREF SENTENCIA_2024_32 \h </w:instrText>
      </w:r>
      <w:r>
        <w:fldChar w:fldCharType="separate"/>
      </w:r>
      <w:r w:rsidR="0055058D">
        <w:rPr>
          <w:noProof/>
        </w:rPr>
        <w:t>724</w:t>
      </w:r>
      <w:r>
        <w:fldChar w:fldCharType="end"/>
      </w:r>
    </w:p>
    <w:p w14:paraId="31F2E741" w14:textId="77777777" w:rsidR="00B7708F" w:rsidRDefault="00B7708F" w:rsidP="00B7708F"/>
    <w:p w14:paraId="1131A19F" w14:textId="77777777" w:rsidR="00B7708F" w:rsidRDefault="00B7708F" w:rsidP="00B7708F">
      <w:pPr>
        <w:pStyle w:val="EntradandiceSentencia"/>
      </w:pPr>
      <w:r>
        <w:t>Sala Segunda. Sentencia 33/2024, de 11 de marzo de 2024</w:t>
      </w:r>
    </w:p>
    <w:p w14:paraId="32229D4B" w14:textId="74F90B41" w:rsidR="00B7708F" w:rsidRDefault="00B7708F" w:rsidP="00B7708F">
      <w:pPr>
        <w:pStyle w:val="EntradandiceSentencia"/>
      </w:pPr>
    </w:p>
    <w:p w14:paraId="61762961" w14:textId="100F9FBC" w:rsidR="00B7708F" w:rsidRDefault="00B7708F" w:rsidP="00B7708F">
      <w:pPr>
        <w:pStyle w:val="EntradaSumario"/>
      </w:pPr>
      <w:r w:rsidRPr="00B7708F">
        <w:rPr>
          <w:rStyle w:val="TextoNormalCaracter"/>
        </w:rPr>
        <w:t xml:space="preserve">Recurso de amparo 5582-2021. </w:t>
      </w:r>
      <w:r w:rsidRPr="00B7708F">
        <w:rPr>
          <w:rStyle w:val="TextoNormalCursivaCaracter"/>
        </w:rPr>
        <w:t xml:space="preserve"> Vulneración del derecho a la tutela judicial efectiva, en relación con el derecho a la integridad física y moral: investigación insuficiente de una denuncia de agresiones que se dicen padecidas bajo custodia policial (STC 12/2022).</w:t>
      </w:r>
      <w:r>
        <w:tab/>
      </w:r>
      <w:r>
        <w:tab/>
      </w:r>
      <w:r>
        <w:fldChar w:fldCharType="begin"/>
      </w:r>
      <w:r>
        <w:instrText xml:space="preserve"> PAGEREF SENTENCIA_2024_33 \h </w:instrText>
      </w:r>
      <w:r>
        <w:fldChar w:fldCharType="separate"/>
      </w:r>
      <w:r w:rsidR="0055058D">
        <w:rPr>
          <w:noProof/>
        </w:rPr>
        <w:t>740</w:t>
      </w:r>
      <w:r>
        <w:fldChar w:fldCharType="end"/>
      </w:r>
    </w:p>
    <w:p w14:paraId="45A1D8D7" w14:textId="77777777" w:rsidR="00B7708F" w:rsidRDefault="00B7708F" w:rsidP="00B7708F"/>
    <w:p w14:paraId="2B2B5CB5" w14:textId="77777777" w:rsidR="00B7708F" w:rsidRDefault="00B7708F" w:rsidP="00B7708F">
      <w:pPr>
        <w:pStyle w:val="EntradandiceSentencia"/>
      </w:pPr>
      <w:r>
        <w:t>Sala Segunda. Sentencia 34/2024, de 11 de marzo de 2024</w:t>
      </w:r>
    </w:p>
    <w:p w14:paraId="42D8A766" w14:textId="0C9AD6B4" w:rsidR="00B7708F" w:rsidRDefault="00B7708F" w:rsidP="00B7708F">
      <w:pPr>
        <w:pStyle w:val="EntradandiceSentencia"/>
      </w:pPr>
    </w:p>
    <w:p w14:paraId="0CC6DF47" w14:textId="5087CECF" w:rsidR="00B7708F" w:rsidRDefault="00B7708F" w:rsidP="00B7708F">
      <w:pPr>
        <w:pStyle w:val="EntradaSumario"/>
      </w:pPr>
      <w:r w:rsidRPr="00B7708F">
        <w:rPr>
          <w:rStyle w:val="TextoNormalCaracter"/>
        </w:rPr>
        <w:t xml:space="preserve">Recurso de amparo 6168-2021. </w:t>
      </w:r>
      <w:r w:rsidRPr="00B7708F">
        <w:rPr>
          <w:rStyle w:val="TextoNormalCursivaCaracter"/>
        </w:rPr>
        <w:t xml:space="preserve"> Supuesta vulneración de los derechos a la tutela judicial efectiva y a un proceso con todas las garantías en conexión con los derechos a la libertad personal, a la integridad física y moral y a la legalidad penal: STC 17/2024 (resoluciones judiciales que acuerdan la extradición a partir de una documentación que no permite poner en duda la necesidad y proporcionalidad de la decisión adoptada por la fiscalía de Marruecos de solicitar la entrega para asegurar el enjuiciamiento del afectado).</w:t>
      </w:r>
      <w:r>
        <w:tab/>
      </w:r>
      <w:r>
        <w:tab/>
      </w:r>
      <w:r>
        <w:fldChar w:fldCharType="begin"/>
      </w:r>
      <w:r>
        <w:instrText xml:space="preserve"> PAGEREF SENTENCIA_2024_34 \h </w:instrText>
      </w:r>
      <w:r>
        <w:fldChar w:fldCharType="separate"/>
      </w:r>
      <w:r w:rsidR="0055058D">
        <w:rPr>
          <w:noProof/>
        </w:rPr>
        <w:t>755</w:t>
      </w:r>
      <w:r>
        <w:fldChar w:fldCharType="end"/>
      </w:r>
    </w:p>
    <w:p w14:paraId="5F4A1463" w14:textId="77777777" w:rsidR="00B7708F" w:rsidRDefault="00B7708F" w:rsidP="00B7708F"/>
    <w:p w14:paraId="00C31261" w14:textId="77777777" w:rsidR="00B7708F" w:rsidRDefault="00B7708F" w:rsidP="00B7708F">
      <w:pPr>
        <w:pStyle w:val="EntradandiceSentencia"/>
      </w:pPr>
      <w:r>
        <w:lastRenderedPageBreak/>
        <w:t>Sala Segunda. Sentencia 35/2024, de 11 de marzo de 2024</w:t>
      </w:r>
    </w:p>
    <w:p w14:paraId="39021257" w14:textId="1F865DA4" w:rsidR="00B7708F" w:rsidRDefault="00B7708F" w:rsidP="00B7708F">
      <w:pPr>
        <w:pStyle w:val="EntradandiceSentencia"/>
      </w:pPr>
    </w:p>
    <w:p w14:paraId="62FBECC7" w14:textId="2AFD6742" w:rsidR="00B7708F" w:rsidRDefault="00B7708F" w:rsidP="00B7708F">
      <w:pPr>
        <w:pStyle w:val="EntradaSumario"/>
      </w:pPr>
      <w:r w:rsidRPr="00B7708F">
        <w:rPr>
          <w:rStyle w:val="TextoNormalCaracter"/>
        </w:rPr>
        <w:t xml:space="preserve">Recurso de amparo 7311-2021. </w:t>
      </w:r>
      <w:r w:rsidRPr="00B7708F">
        <w:rPr>
          <w:rStyle w:val="TextoNormalCursivaCaracter"/>
        </w:rPr>
        <w:t xml:space="preserve"> Vulneración del derecho a la tutela judicial efectiva, en relación con el derecho a la integridad física y moral: investigación insuficiente de una denuncia de tratos degradantes que se dicen padecidos durante su estancia en prisión (STC 12/2022). Voto particular.</w:t>
      </w:r>
      <w:r>
        <w:tab/>
      </w:r>
      <w:r>
        <w:tab/>
      </w:r>
      <w:r>
        <w:fldChar w:fldCharType="begin"/>
      </w:r>
      <w:r>
        <w:instrText xml:space="preserve"> PAGEREF SENTENCIA_2024_35 \h </w:instrText>
      </w:r>
      <w:r>
        <w:fldChar w:fldCharType="separate"/>
      </w:r>
      <w:r w:rsidR="0055058D">
        <w:rPr>
          <w:noProof/>
        </w:rPr>
        <w:t>769</w:t>
      </w:r>
      <w:r>
        <w:fldChar w:fldCharType="end"/>
      </w:r>
    </w:p>
    <w:p w14:paraId="07B67CED" w14:textId="77777777" w:rsidR="00B7708F" w:rsidRDefault="00B7708F" w:rsidP="00B7708F"/>
    <w:p w14:paraId="1AD5F181" w14:textId="77777777" w:rsidR="00B7708F" w:rsidRDefault="00B7708F" w:rsidP="00B7708F">
      <w:pPr>
        <w:pStyle w:val="EntradandiceSentencia"/>
      </w:pPr>
      <w:r>
        <w:t>Sala Segunda. Sentencia 36/2024, de 11 de marzo de 2024</w:t>
      </w:r>
    </w:p>
    <w:p w14:paraId="5B2BA8F9" w14:textId="34FE4CD2" w:rsidR="00B7708F" w:rsidRDefault="00B7708F" w:rsidP="00B7708F">
      <w:pPr>
        <w:pStyle w:val="EntradandiceSentencia"/>
      </w:pPr>
    </w:p>
    <w:p w14:paraId="32B0DA3F" w14:textId="7DFCD3F2" w:rsidR="00B7708F" w:rsidRDefault="00B7708F" w:rsidP="00B7708F">
      <w:pPr>
        <w:pStyle w:val="EntradaSumario"/>
      </w:pPr>
      <w:r w:rsidRPr="00B7708F">
        <w:rPr>
          <w:rStyle w:val="TextoNormalCaracter"/>
        </w:rPr>
        <w:t xml:space="preserve">Recurso de amparo 7757-2021. </w:t>
      </w:r>
      <w:r w:rsidRPr="00B7708F">
        <w:rPr>
          <w:rStyle w:val="TextoNormalCursivaCaracter"/>
        </w:rPr>
        <w:t xml:space="preserve"> Supuesta vulneración de los derechos a la tutela judicial efectiva, a un proceso con todas las garantías y a la libertad personal: STC 17/2024 (resoluciones judiciales que acuerdan la extradición a partir de una documentación que no permite poner en duda la necesidad y proporcionalidad de la decisión adoptada por la fiscalía de Marruecos de solicitar la entrega para asegurar el enjuiciamiento del afectado).</w:t>
      </w:r>
      <w:r>
        <w:tab/>
      </w:r>
      <w:r>
        <w:tab/>
      </w:r>
      <w:r>
        <w:fldChar w:fldCharType="begin"/>
      </w:r>
      <w:r>
        <w:instrText xml:space="preserve"> PAGEREF SENTENCIA_2024_36 \h </w:instrText>
      </w:r>
      <w:r>
        <w:fldChar w:fldCharType="separate"/>
      </w:r>
      <w:r w:rsidR="0055058D">
        <w:rPr>
          <w:noProof/>
        </w:rPr>
        <w:t>789</w:t>
      </w:r>
      <w:r>
        <w:fldChar w:fldCharType="end"/>
      </w:r>
    </w:p>
    <w:p w14:paraId="2E2B6B5F" w14:textId="77777777" w:rsidR="00B7708F" w:rsidRDefault="00B7708F" w:rsidP="00B7708F"/>
    <w:p w14:paraId="4EB12269" w14:textId="77777777" w:rsidR="00B7708F" w:rsidRDefault="00B7708F" w:rsidP="00B7708F">
      <w:pPr>
        <w:pStyle w:val="EntradandiceSentencia"/>
      </w:pPr>
      <w:r>
        <w:t>Sala Segunda. Sentencia 37/2024, de 11 de marzo de 2024</w:t>
      </w:r>
    </w:p>
    <w:p w14:paraId="00F7C6B6" w14:textId="3C8ED5E9" w:rsidR="00B7708F" w:rsidRDefault="00B7708F" w:rsidP="00B7708F">
      <w:pPr>
        <w:pStyle w:val="EntradandiceSentencia"/>
      </w:pPr>
    </w:p>
    <w:p w14:paraId="1B651DB3" w14:textId="497D907E" w:rsidR="00B7708F" w:rsidRDefault="00B7708F" w:rsidP="00B7708F">
      <w:pPr>
        <w:pStyle w:val="EntradaSumario"/>
      </w:pPr>
      <w:r w:rsidRPr="00B7708F">
        <w:rPr>
          <w:rStyle w:val="TextoNormalCaracter"/>
        </w:rPr>
        <w:t xml:space="preserve">Recurso de amparo 378-2022. </w:t>
      </w:r>
      <w:r w:rsidRPr="00B7708F">
        <w:rPr>
          <w:rStyle w:val="TextoNormalCursivaCaracter"/>
        </w:rPr>
        <w:t xml:space="preserve"> Supuesta vulneración de los derechos a la tutela judicial efectiva, a un proceso con todas las garantías y a la libertad personal: STC 17/2024 (resoluciones judiciales que acuerdan la extradición a partir de una documentación que no permite poner en duda la necesidad y proporcionalidad de la decisión adoptada por la fiscalía de Marruecos de solicitar la entrega para asegurar el enjuiciamiento del afectado). Voto particular.</w:t>
      </w:r>
      <w:r>
        <w:tab/>
      </w:r>
      <w:r>
        <w:tab/>
      </w:r>
      <w:r>
        <w:fldChar w:fldCharType="begin"/>
      </w:r>
      <w:r>
        <w:instrText xml:space="preserve"> PAGEREF SENTENCIA_2024_37 \h </w:instrText>
      </w:r>
      <w:r>
        <w:fldChar w:fldCharType="separate"/>
      </w:r>
      <w:r w:rsidR="0055058D">
        <w:rPr>
          <w:noProof/>
        </w:rPr>
        <w:t>802</w:t>
      </w:r>
      <w:r>
        <w:fldChar w:fldCharType="end"/>
      </w:r>
    </w:p>
    <w:p w14:paraId="182E4424" w14:textId="77777777" w:rsidR="00B7708F" w:rsidRDefault="00B7708F" w:rsidP="00B7708F"/>
    <w:p w14:paraId="2063CAC6" w14:textId="77777777" w:rsidR="00B7708F" w:rsidRDefault="00B7708F" w:rsidP="00B7708F">
      <w:pPr>
        <w:pStyle w:val="EntradandiceSentencia"/>
      </w:pPr>
      <w:r>
        <w:t>Sala Segunda. Sentencia 38/2024, de 11 de marzo de 2024</w:t>
      </w:r>
    </w:p>
    <w:p w14:paraId="4FAF5A8B" w14:textId="153153AD" w:rsidR="00B7708F" w:rsidRDefault="00B7708F" w:rsidP="00B7708F">
      <w:pPr>
        <w:pStyle w:val="EntradandiceSentencia"/>
      </w:pPr>
    </w:p>
    <w:p w14:paraId="43C3216F" w14:textId="04F11994" w:rsidR="00B7708F" w:rsidRDefault="00B7708F" w:rsidP="00B7708F">
      <w:pPr>
        <w:pStyle w:val="EntradaSumario"/>
      </w:pPr>
      <w:r w:rsidRPr="00B7708F">
        <w:rPr>
          <w:rStyle w:val="TextoNormalCaracter"/>
        </w:rPr>
        <w:t xml:space="preserve">Recurso de amparo 1430-2022. </w:t>
      </w:r>
      <w:r w:rsidRPr="00B7708F">
        <w:rPr>
          <w:rStyle w:val="TextoNormalCursivaCaracter"/>
        </w:rPr>
        <w:t xml:space="preserve"> Vulneración del derecho a la tutela judicial efectiva (motivación): ausencia de control judicial de las cláusulas abusivas que ignora la primacía del Derecho de la Unión Europea, en los términos de la STC 31/2019 (STC 26/2023).</w:t>
      </w:r>
      <w:r>
        <w:tab/>
      </w:r>
      <w:r>
        <w:tab/>
      </w:r>
      <w:r>
        <w:fldChar w:fldCharType="begin"/>
      </w:r>
      <w:r>
        <w:instrText xml:space="preserve"> PAGEREF SENTENCIA_2024_38 \h </w:instrText>
      </w:r>
      <w:r>
        <w:fldChar w:fldCharType="separate"/>
      </w:r>
      <w:r w:rsidR="0055058D">
        <w:rPr>
          <w:noProof/>
        </w:rPr>
        <w:t>815</w:t>
      </w:r>
      <w:r>
        <w:fldChar w:fldCharType="end"/>
      </w:r>
    </w:p>
    <w:p w14:paraId="22BCB6E2" w14:textId="77777777" w:rsidR="00B7708F" w:rsidRDefault="00B7708F" w:rsidP="00B7708F"/>
    <w:p w14:paraId="16F94F99" w14:textId="77777777" w:rsidR="00B7708F" w:rsidRDefault="00B7708F" w:rsidP="00B7708F">
      <w:pPr>
        <w:pStyle w:val="EntradandiceSentencia"/>
      </w:pPr>
      <w:r>
        <w:t>Sala Segunda. Sentencia 39/2024, de 11 de marzo de 2024</w:t>
      </w:r>
    </w:p>
    <w:p w14:paraId="03F4BB41" w14:textId="5EC06BED" w:rsidR="00B7708F" w:rsidRDefault="00B7708F" w:rsidP="00B7708F">
      <w:pPr>
        <w:pStyle w:val="EntradandiceSentencia"/>
      </w:pPr>
    </w:p>
    <w:p w14:paraId="31CAD942" w14:textId="2BAFFCC9" w:rsidR="00B7708F" w:rsidRDefault="00B7708F" w:rsidP="00B7708F">
      <w:pPr>
        <w:pStyle w:val="EntradaSumario"/>
      </w:pPr>
      <w:r w:rsidRPr="00B7708F">
        <w:rPr>
          <w:rStyle w:val="TextoNormalCaracter"/>
        </w:rPr>
        <w:t xml:space="preserve">Recurso de amparo 3554-2022. </w:t>
      </w:r>
      <w:r w:rsidRPr="00B7708F">
        <w:rPr>
          <w:rStyle w:val="TextoNormalCursivaCaracter"/>
        </w:rPr>
        <w:t xml:space="preserve"> Vulneración del derecho a la tutela judicial efectiva en relación con el derecho a la libertad personal: revocación de la suspensión de la pena de prisión al no haberse satisfecho la responsabilidad civil que no cumple las exigencias constitucionales de motivación (STC 32/2022).</w:t>
      </w:r>
      <w:r>
        <w:tab/>
      </w:r>
      <w:r>
        <w:tab/>
      </w:r>
      <w:r>
        <w:fldChar w:fldCharType="begin"/>
      </w:r>
      <w:r>
        <w:instrText xml:space="preserve"> PAGEREF SENTENCIA_2024_39 \h </w:instrText>
      </w:r>
      <w:r>
        <w:fldChar w:fldCharType="separate"/>
      </w:r>
      <w:r w:rsidR="0055058D">
        <w:rPr>
          <w:noProof/>
        </w:rPr>
        <w:t>826</w:t>
      </w:r>
      <w:r>
        <w:fldChar w:fldCharType="end"/>
      </w:r>
    </w:p>
    <w:p w14:paraId="06E21CE2" w14:textId="77777777" w:rsidR="00B7708F" w:rsidRDefault="00B7708F" w:rsidP="00B7708F"/>
    <w:p w14:paraId="76D9B759" w14:textId="77777777" w:rsidR="00B7708F" w:rsidRDefault="00B7708F" w:rsidP="00B7708F">
      <w:pPr>
        <w:pStyle w:val="EntradandiceSentencia"/>
      </w:pPr>
      <w:r>
        <w:lastRenderedPageBreak/>
        <w:t>Sala Segunda. Sentencia 40/2024, de 11 de marzo de 2024</w:t>
      </w:r>
    </w:p>
    <w:p w14:paraId="0D0B08BF" w14:textId="7B5B4101" w:rsidR="00B7708F" w:rsidRDefault="00B7708F" w:rsidP="00B7708F">
      <w:pPr>
        <w:pStyle w:val="EntradandiceSentencia"/>
      </w:pPr>
    </w:p>
    <w:p w14:paraId="4E4997F8" w14:textId="13DC36C2" w:rsidR="00B7708F" w:rsidRDefault="00B7708F" w:rsidP="00B7708F">
      <w:pPr>
        <w:pStyle w:val="EntradaSumario"/>
      </w:pPr>
      <w:r w:rsidRPr="00B7708F">
        <w:rPr>
          <w:rStyle w:val="TextoNormalCaracter"/>
        </w:rPr>
        <w:t xml:space="preserve">Recurso de amparo 8405-2022. </w:t>
      </w:r>
      <w:r w:rsidRPr="00B7708F">
        <w:rPr>
          <w:rStyle w:val="TextoNormalCursivaCaracter"/>
        </w:rPr>
        <w:t xml:space="preserve"> Vulneración de los derechos de defensa, en relación con el derecho a la libertad personal, y a la presunción de inocencia: prueba de alcoholemia realizada sin mediar detención policial y en ausencia de cobertura legal expresa para el traslado a dependencias policiales de quien no consintió libremente a ese desplazamiento. Voto particular.</w:t>
      </w:r>
      <w:r>
        <w:tab/>
      </w:r>
      <w:r>
        <w:tab/>
      </w:r>
      <w:r>
        <w:fldChar w:fldCharType="begin"/>
      </w:r>
      <w:r>
        <w:instrText xml:space="preserve"> PAGEREF SENTENCIA_2024_40 \h </w:instrText>
      </w:r>
      <w:r>
        <w:fldChar w:fldCharType="separate"/>
      </w:r>
      <w:r w:rsidR="0055058D">
        <w:rPr>
          <w:noProof/>
        </w:rPr>
        <w:t>842</w:t>
      </w:r>
      <w:r>
        <w:fldChar w:fldCharType="end"/>
      </w:r>
    </w:p>
    <w:p w14:paraId="6A9BC47B" w14:textId="77777777" w:rsidR="00B7708F" w:rsidRDefault="00B7708F" w:rsidP="00B7708F"/>
    <w:p w14:paraId="61E5FBF5" w14:textId="77777777" w:rsidR="00B7708F" w:rsidRDefault="00B7708F" w:rsidP="00B7708F">
      <w:pPr>
        <w:pStyle w:val="EntradandiceSentencia"/>
      </w:pPr>
      <w:r>
        <w:t>Sala Segunda. Sentencia 41/2024, de 11 de marzo de 2024</w:t>
      </w:r>
    </w:p>
    <w:p w14:paraId="02B7B791" w14:textId="5D09F417" w:rsidR="00B7708F" w:rsidRDefault="00B7708F" w:rsidP="00B7708F">
      <w:pPr>
        <w:pStyle w:val="EntradandiceSentencia"/>
      </w:pPr>
    </w:p>
    <w:p w14:paraId="6519C8B3" w14:textId="25123A47" w:rsidR="00B7708F" w:rsidRDefault="00B7708F" w:rsidP="00B7708F">
      <w:pPr>
        <w:pStyle w:val="EntradaSumario"/>
      </w:pPr>
      <w:r w:rsidRPr="00B7708F">
        <w:rPr>
          <w:rStyle w:val="TextoNormalCaracter"/>
        </w:rPr>
        <w:t xml:space="preserve">Recurso de amparo 2223-2023. </w:t>
      </w:r>
      <w:r w:rsidRPr="00B7708F">
        <w:rPr>
          <w:rStyle w:val="TextoNormalCursivaCaracter"/>
        </w:rPr>
        <w:t xml:space="preserve"> Supuesta vulneración del derecho a la integridad física: STC 148/2023 [resoluciones que realizaron una ponderación adecuada de los intereses de dos menores de edad (STC 38/2023)].</w:t>
      </w:r>
      <w:r>
        <w:tab/>
      </w:r>
      <w:r>
        <w:tab/>
      </w:r>
      <w:r>
        <w:fldChar w:fldCharType="begin"/>
      </w:r>
      <w:r>
        <w:instrText xml:space="preserve"> PAGEREF SENTENCIA_2024_41 \h </w:instrText>
      </w:r>
      <w:r>
        <w:fldChar w:fldCharType="separate"/>
      </w:r>
      <w:r w:rsidR="0055058D">
        <w:rPr>
          <w:noProof/>
        </w:rPr>
        <w:t>861</w:t>
      </w:r>
      <w:r>
        <w:fldChar w:fldCharType="end"/>
      </w:r>
    </w:p>
    <w:p w14:paraId="781F40C3" w14:textId="77777777" w:rsidR="00B7708F" w:rsidRDefault="00B7708F" w:rsidP="00B7708F"/>
    <w:p w14:paraId="6E044156" w14:textId="77777777" w:rsidR="00B7708F" w:rsidRDefault="00B7708F" w:rsidP="00B7708F">
      <w:pPr>
        <w:pStyle w:val="EntradandiceSentencia"/>
      </w:pPr>
      <w:r>
        <w:t>Sala Segunda. Sentencia 42/2024, de 11 de marzo de 2024</w:t>
      </w:r>
    </w:p>
    <w:p w14:paraId="4A471453" w14:textId="23E39CD4" w:rsidR="00B7708F" w:rsidRDefault="00B7708F" w:rsidP="00B7708F">
      <w:pPr>
        <w:pStyle w:val="EntradandiceSentencia"/>
      </w:pPr>
    </w:p>
    <w:p w14:paraId="214F1A85" w14:textId="40CE1708" w:rsidR="00B7708F" w:rsidRDefault="00B7708F" w:rsidP="00B7708F">
      <w:pPr>
        <w:pStyle w:val="EntradaSumario"/>
      </w:pPr>
      <w:r w:rsidRPr="00B7708F">
        <w:rPr>
          <w:rStyle w:val="TextoNormalCaracter"/>
        </w:rPr>
        <w:t xml:space="preserve">Recurso de amparo 4735-2023. </w:t>
      </w:r>
      <w:r w:rsidRPr="00B7708F">
        <w:rPr>
          <w:rStyle w:val="TextoNormalCursivaCaracter"/>
        </w:rPr>
        <w:t xml:space="preserve"> Supuesta vulneración de los derechos a la tutela judicial efectiva, de defensa, a un proceso con todas las garantías y a la libertad personal: STC 17/2024 (resoluciones judiciales que acuerdan la extradición a partir de una documentación que no permite poner en duda la necesidad y proporcionalidad de la decisión adoptada por la fiscalía de Marruecos de solicitar la entrega para asegurar el enjuiciamiento del afectado); inaplicabilidad del principio acusatorio al proceso de extradición. Voto particular.</w:t>
      </w:r>
      <w:r>
        <w:tab/>
      </w:r>
      <w:r>
        <w:tab/>
      </w:r>
      <w:r>
        <w:fldChar w:fldCharType="begin"/>
      </w:r>
      <w:r>
        <w:instrText xml:space="preserve"> PAGEREF SENTENCIA_2024_42 \h </w:instrText>
      </w:r>
      <w:r>
        <w:fldChar w:fldCharType="separate"/>
      </w:r>
      <w:r w:rsidR="0055058D">
        <w:rPr>
          <w:noProof/>
        </w:rPr>
        <w:t>869</w:t>
      </w:r>
      <w:r>
        <w:fldChar w:fldCharType="end"/>
      </w:r>
    </w:p>
    <w:p w14:paraId="1D216EDD" w14:textId="77777777" w:rsidR="00B7708F" w:rsidRDefault="00B7708F" w:rsidP="00B7708F"/>
    <w:p w14:paraId="5F3B3778" w14:textId="77777777" w:rsidR="00B7708F" w:rsidRDefault="00B7708F" w:rsidP="00B7708F">
      <w:pPr>
        <w:pStyle w:val="EntradandiceSentencia"/>
      </w:pPr>
      <w:r>
        <w:t>Sala Segunda. Sentencia 43/2024, de 11 de marzo de 2024</w:t>
      </w:r>
    </w:p>
    <w:p w14:paraId="15E40D3A" w14:textId="68DC1C6C" w:rsidR="00B7708F" w:rsidRDefault="00B7708F" w:rsidP="00B7708F">
      <w:pPr>
        <w:pStyle w:val="EntradandiceSentencia"/>
      </w:pPr>
    </w:p>
    <w:p w14:paraId="7A0313E3" w14:textId="38F063E0" w:rsidR="00B7708F" w:rsidRDefault="00B7708F" w:rsidP="00B7708F">
      <w:pPr>
        <w:pStyle w:val="EntradaSumario"/>
      </w:pPr>
      <w:r w:rsidRPr="00B7708F">
        <w:rPr>
          <w:rStyle w:val="TextoNormalCaracter"/>
        </w:rPr>
        <w:t xml:space="preserve">Recurso de amparo 6218-2023. </w:t>
      </w:r>
      <w:r w:rsidRPr="00B7708F">
        <w:rPr>
          <w:rStyle w:val="TextoNormalCursivaCaracter"/>
        </w:rPr>
        <w:t xml:space="preserve"> Supuesta vulneración de los derechos a la tutela judicial efectiva, de defensa, a un proceso con todas las garantías y a la libertad personal: STC 17/2024 (resoluciones judiciales que acuerdan la extradición a partir de una documentación que no permite poner en duda la necesidad y proporcionalidad de la decisión adoptada por la fiscalía de Marruecos de solicitar la entrega para asegurar el enjuiciamiento del afectado); inexistencia de lesión de los principios de doble incriminación y de non bis in idem. Voto particular.</w:t>
      </w:r>
      <w:r>
        <w:tab/>
      </w:r>
      <w:r>
        <w:tab/>
      </w:r>
      <w:r>
        <w:fldChar w:fldCharType="begin"/>
      </w:r>
      <w:r>
        <w:instrText xml:space="preserve"> PAGEREF SENTENCIA_2024_43 \h </w:instrText>
      </w:r>
      <w:r>
        <w:fldChar w:fldCharType="separate"/>
      </w:r>
      <w:r w:rsidR="0055058D">
        <w:rPr>
          <w:noProof/>
        </w:rPr>
        <w:t>886</w:t>
      </w:r>
      <w:r>
        <w:fldChar w:fldCharType="end"/>
      </w:r>
    </w:p>
    <w:p w14:paraId="4CC5D6B9" w14:textId="77777777" w:rsidR="00B7708F" w:rsidRDefault="00B7708F" w:rsidP="00B7708F"/>
    <w:p w14:paraId="6F8491DB" w14:textId="77777777" w:rsidR="00B7708F" w:rsidRDefault="00B7708F" w:rsidP="00B7708F">
      <w:pPr>
        <w:pStyle w:val="EntradandiceSentencia"/>
      </w:pPr>
      <w:r>
        <w:t>Pleno. Sentencia 44/2024, de 12 de marzo de 2024</w:t>
      </w:r>
    </w:p>
    <w:p w14:paraId="22AA2CAF" w14:textId="7580F6AF" w:rsidR="00B7708F" w:rsidRDefault="00B7708F" w:rsidP="00B7708F">
      <w:pPr>
        <w:pStyle w:val="EntradandiceSentencia"/>
      </w:pPr>
    </w:p>
    <w:p w14:paraId="6BA93CE6" w14:textId="6916103F" w:rsidR="00B7708F" w:rsidRDefault="00B7708F" w:rsidP="00B7708F">
      <w:pPr>
        <w:pStyle w:val="EntradaSumario"/>
      </w:pPr>
      <w:r w:rsidRPr="00B7708F">
        <w:rPr>
          <w:rStyle w:val="TextoNormalCaracter"/>
        </w:rPr>
        <w:t xml:space="preserve">Recurso de inconstitucionalidad 1719-2021. </w:t>
      </w:r>
      <w:r w:rsidRPr="00B7708F">
        <w:rPr>
          <w:rStyle w:val="TextoNormalCursivaCaracter"/>
        </w:rPr>
        <w:t xml:space="preserve"> Competencias sobre condiciones básicas de igualdad, legislación penal, ordenación de registros públicos y reserva de ley en relación con la extensión de la normativa de protección de la violencia de género a las mujeres transgénero: nulidad del precepto legal autonómico que impone obligaciones orgánicas y funcionales respecto de la pre</w:t>
      </w:r>
      <w:r w:rsidRPr="00B7708F">
        <w:rPr>
          <w:rStyle w:val="TextoNormalCursivaCaracter"/>
        </w:rPr>
        <w:lastRenderedPageBreak/>
        <w:t>vención, detección y actuación ante la violencia machista a los partidos políticos que operen en Cataluña. Votos particulares.</w:t>
      </w:r>
      <w:r>
        <w:tab/>
      </w:r>
      <w:r>
        <w:tab/>
      </w:r>
      <w:r>
        <w:fldChar w:fldCharType="begin"/>
      </w:r>
      <w:r>
        <w:instrText xml:space="preserve"> PAGEREF SENTENCIA_2024_44 \h </w:instrText>
      </w:r>
      <w:r>
        <w:fldChar w:fldCharType="separate"/>
      </w:r>
      <w:r w:rsidR="0055058D">
        <w:rPr>
          <w:noProof/>
        </w:rPr>
        <w:t>904</w:t>
      </w:r>
      <w:r>
        <w:fldChar w:fldCharType="end"/>
      </w:r>
    </w:p>
    <w:p w14:paraId="52564715" w14:textId="77777777" w:rsidR="00B7708F" w:rsidRDefault="00B7708F" w:rsidP="00B7708F"/>
    <w:p w14:paraId="637AB803" w14:textId="77777777" w:rsidR="00B7708F" w:rsidRDefault="00B7708F" w:rsidP="00B7708F">
      <w:pPr>
        <w:pStyle w:val="EntradandiceSentencia"/>
      </w:pPr>
      <w:r>
        <w:t>Pleno. Sentencia 45/2024, de 12 de marzo de 2024</w:t>
      </w:r>
    </w:p>
    <w:p w14:paraId="2ADB6CC1" w14:textId="3EE7F3A4" w:rsidR="00B7708F" w:rsidRDefault="00B7708F" w:rsidP="00B7708F">
      <w:pPr>
        <w:pStyle w:val="EntradandiceSentencia"/>
      </w:pPr>
    </w:p>
    <w:p w14:paraId="3F23E8A3" w14:textId="00120435" w:rsidR="00B7708F" w:rsidRDefault="00B7708F" w:rsidP="00B7708F">
      <w:pPr>
        <w:pStyle w:val="EntradaSumario"/>
      </w:pPr>
      <w:r w:rsidRPr="00B7708F">
        <w:rPr>
          <w:rStyle w:val="TextoNormalCaracter"/>
        </w:rPr>
        <w:t xml:space="preserve">Recurso de amparo 4247-2021. </w:t>
      </w:r>
      <w:r w:rsidRPr="00B7708F">
        <w:rPr>
          <w:rStyle w:val="TextoNormalCursivaCaracter"/>
        </w:rPr>
        <w:t xml:space="preserve"> Supuesta vulneración del derecho de acceso a los cargos públicos: STC 31/2024 [rechazo de peticiones puramente declarativas, siendo así que el actor ya ha visto reparada la lesión que denuncia (SSTC 144/2022 y 148/2022)].</w:t>
      </w:r>
      <w:r>
        <w:tab/>
      </w:r>
      <w:r>
        <w:tab/>
      </w:r>
      <w:r>
        <w:fldChar w:fldCharType="begin"/>
      </w:r>
      <w:r>
        <w:instrText xml:space="preserve"> PAGEREF SENTENCIA_2024_45 \h </w:instrText>
      </w:r>
      <w:r>
        <w:fldChar w:fldCharType="separate"/>
      </w:r>
      <w:r w:rsidR="0055058D">
        <w:rPr>
          <w:noProof/>
        </w:rPr>
        <w:t>946</w:t>
      </w:r>
      <w:r>
        <w:fldChar w:fldCharType="end"/>
      </w:r>
    </w:p>
    <w:p w14:paraId="7E5C33CA" w14:textId="77777777" w:rsidR="00B7708F" w:rsidRDefault="00B7708F" w:rsidP="00B7708F"/>
    <w:p w14:paraId="0A5611D1" w14:textId="77777777" w:rsidR="00B7708F" w:rsidRDefault="00B7708F" w:rsidP="00B7708F">
      <w:pPr>
        <w:pStyle w:val="EntradandiceSentencia"/>
      </w:pPr>
      <w:r>
        <w:t>Pleno. Sentencia 46/2024, de 12 de marzo de 2024</w:t>
      </w:r>
    </w:p>
    <w:p w14:paraId="1AB2107F" w14:textId="3C2FA191" w:rsidR="00B7708F" w:rsidRDefault="00B7708F" w:rsidP="00B7708F">
      <w:pPr>
        <w:pStyle w:val="EntradandiceSentencia"/>
      </w:pPr>
    </w:p>
    <w:p w14:paraId="1EA814F1" w14:textId="5A4A41E6" w:rsidR="00B7708F" w:rsidRDefault="00B7708F" w:rsidP="00B7708F">
      <w:pPr>
        <w:pStyle w:val="EntradaSumario"/>
      </w:pPr>
      <w:r w:rsidRPr="00B7708F">
        <w:rPr>
          <w:rStyle w:val="TextoNormalCaracter"/>
        </w:rPr>
        <w:t xml:space="preserve">Cuestión prejudicial de validez sobre normas forales fiscales 5349-2023. </w:t>
      </w:r>
      <w:r w:rsidRPr="00B7708F">
        <w:rPr>
          <w:rStyle w:val="TextoNormalCursivaCaracter"/>
        </w:rPr>
        <w:t xml:space="preserve"> Principio de capacidad contributiva y prohibición de confiscatoriedad: nulidad de los preceptos reguladores del impuesto sobre el valor de los terrenos de naturaleza urbana que establecen un sistema objetivo y de imperativa aplicación para la determinación de la base imponible (STC 182/2021). Voto particular.</w:t>
      </w:r>
      <w:r>
        <w:tab/>
      </w:r>
      <w:r>
        <w:tab/>
      </w:r>
      <w:r>
        <w:fldChar w:fldCharType="begin"/>
      </w:r>
      <w:r>
        <w:instrText xml:space="preserve"> PAGEREF SENTENCIA_2024_46 \h </w:instrText>
      </w:r>
      <w:r>
        <w:fldChar w:fldCharType="separate"/>
      </w:r>
      <w:r w:rsidR="0055058D">
        <w:rPr>
          <w:noProof/>
        </w:rPr>
        <w:t>963</w:t>
      </w:r>
      <w:r>
        <w:fldChar w:fldCharType="end"/>
      </w:r>
    </w:p>
    <w:p w14:paraId="3E966BA8" w14:textId="77777777" w:rsidR="00B7708F" w:rsidRDefault="00B7708F" w:rsidP="00B7708F"/>
    <w:p w14:paraId="5A5994DC" w14:textId="77777777" w:rsidR="00B7708F" w:rsidRDefault="00B7708F" w:rsidP="00B7708F">
      <w:pPr>
        <w:pStyle w:val="EntradandiceSentencia"/>
      </w:pPr>
      <w:r>
        <w:t>Sala Segunda. Sentencia 47/2024, de 8 de abril de 2024</w:t>
      </w:r>
    </w:p>
    <w:p w14:paraId="0CFF6C61" w14:textId="3DED7977" w:rsidR="00B7708F" w:rsidRDefault="00B7708F" w:rsidP="00B7708F">
      <w:pPr>
        <w:pStyle w:val="EntradandiceSentencia"/>
      </w:pPr>
    </w:p>
    <w:p w14:paraId="6E3BB77C" w14:textId="365D2D36" w:rsidR="00B7708F" w:rsidRDefault="00B7708F" w:rsidP="00B7708F">
      <w:pPr>
        <w:pStyle w:val="EntradaSumario"/>
      </w:pPr>
      <w:r w:rsidRPr="00B7708F">
        <w:rPr>
          <w:rStyle w:val="TextoNormalCaracter"/>
        </w:rPr>
        <w:t xml:space="preserve">Recurso de amparo 2794-2020. </w:t>
      </w:r>
      <w:r w:rsidRPr="00B7708F">
        <w:rPr>
          <w:rStyle w:val="TextoNormalCursivaCaracter"/>
        </w:rPr>
        <w:t xml:space="preserve"> Vulneración del derecho a la tutela judicial efectiva (acceso al recurso y resolución fundada en Derecho): resoluciones que, al aplicar el precepto legal anulado por la STC 15/2020, de 28 de enero, deniegan la revisión judicial del decreto de la letrada de la administración de justicia (STC 54/2021).</w:t>
      </w:r>
      <w:r>
        <w:tab/>
      </w:r>
      <w:r>
        <w:tab/>
      </w:r>
      <w:r>
        <w:fldChar w:fldCharType="begin"/>
      </w:r>
      <w:r>
        <w:instrText xml:space="preserve"> PAGEREF SENTENCIA_2024_47 \h </w:instrText>
      </w:r>
      <w:r>
        <w:fldChar w:fldCharType="separate"/>
      </w:r>
      <w:r w:rsidR="0055058D">
        <w:rPr>
          <w:noProof/>
        </w:rPr>
        <w:t>980</w:t>
      </w:r>
      <w:r>
        <w:fldChar w:fldCharType="end"/>
      </w:r>
    </w:p>
    <w:p w14:paraId="1D0E2E8A" w14:textId="77777777" w:rsidR="00B7708F" w:rsidRDefault="00B7708F" w:rsidP="00B7708F"/>
    <w:p w14:paraId="1094AA06" w14:textId="77777777" w:rsidR="00B7708F" w:rsidRDefault="00B7708F" w:rsidP="00B7708F">
      <w:pPr>
        <w:pStyle w:val="EntradandiceSentencia"/>
      </w:pPr>
      <w:r>
        <w:t>Sala Segunda. Sentencia 48/2024, de 8 de abril de 2024</w:t>
      </w:r>
    </w:p>
    <w:p w14:paraId="31933530" w14:textId="776C4B60" w:rsidR="00B7708F" w:rsidRDefault="00B7708F" w:rsidP="00B7708F">
      <w:pPr>
        <w:pStyle w:val="EntradandiceSentencia"/>
      </w:pPr>
    </w:p>
    <w:p w14:paraId="65482A57" w14:textId="1626E71D" w:rsidR="00B7708F" w:rsidRDefault="00B7708F" w:rsidP="00B7708F">
      <w:pPr>
        <w:pStyle w:val="EntradaSumario"/>
      </w:pPr>
      <w:r w:rsidRPr="00B7708F">
        <w:rPr>
          <w:rStyle w:val="TextoNormalCaracter"/>
        </w:rPr>
        <w:t xml:space="preserve">Recurso de amparo 2975-2020. </w:t>
      </w:r>
      <w:r w:rsidRPr="00B7708F">
        <w:rPr>
          <w:rStyle w:val="TextoNormalCursivaCaracter"/>
        </w:rPr>
        <w:t xml:space="preserve"> Vulneración del derecho a la tutela judicial efectiva en relación con el derecho a no padecer discriminación por razón de sexo: aplicación como cualificada de la circunstancia atenuante de dilaciones indebidas atendiendo al tiempo transcurrido entre la comisión de los hechos delictivos y la presentación de la denuncia. Votos particulares.</w:t>
      </w:r>
      <w:r>
        <w:tab/>
      </w:r>
      <w:r>
        <w:tab/>
      </w:r>
      <w:r>
        <w:fldChar w:fldCharType="begin"/>
      </w:r>
      <w:r>
        <w:instrText xml:space="preserve"> PAGEREF SENTENCIA_2024_48 \h </w:instrText>
      </w:r>
      <w:r>
        <w:fldChar w:fldCharType="separate"/>
      </w:r>
      <w:r w:rsidR="0055058D">
        <w:rPr>
          <w:noProof/>
        </w:rPr>
        <w:t>988</w:t>
      </w:r>
      <w:r>
        <w:fldChar w:fldCharType="end"/>
      </w:r>
    </w:p>
    <w:p w14:paraId="7BB8CB76" w14:textId="77777777" w:rsidR="00B7708F" w:rsidRDefault="00B7708F" w:rsidP="00B7708F"/>
    <w:p w14:paraId="1ED64167" w14:textId="77777777" w:rsidR="00B7708F" w:rsidRDefault="00B7708F" w:rsidP="00B7708F">
      <w:pPr>
        <w:pStyle w:val="EntradandiceSentencia"/>
      </w:pPr>
      <w:r>
        <w:t>Sala Segunda. Sentencia 49/2024, de 8 de abril de 2024</w:t>
      </w:r>
    </w:p>
    <w:p w14:paraId="18A9619C" w14:textId="35126C6C" w:rsidR="00B7708F" w:rsidRDefault="00B7708F" w:rsidP="00B7708F">
      <w:pPr>
        <w:pStyle w:val="EntradandiceSentencia"/>
      </w:pPr>
    </w:p>
    <w:p w14:paraId="32241F21" w14:textId="71DD1490" w:rsidR="00B7708F" w:rsidRDefault="00B7708F" w:rsidP="00B7708F">
      <w:pPr>
        <w:pStyle w:val="EntradaSumario"/>
      </w:pPr>
      <w:r w:rsidRPr="00B7708F">
        <w:rPr>
          <w:rStyle w:val="TextoNormalCaracter"/>
        </w:rPr>
        <w:t xml:space="preserve">Recurso de amparo 2605-2021. </w:t>
      </w:r>
      <w:r w:rsidRPr="00B7708F">
        <w:rPr>
          <w:rStyle w:val="TextoNormalCursivaCaracter"/>
        </w:rPr>
        <w:t xml:space="preserve"> Vulneración del derecho a la legalidad sancionadora: STC 47/2023 (aplicación irrazonable de la norma sancionadora que, anteponiendo la expulsión a la multa, infringió la garantía material del derecho).</w:t>
      </w:r>
      <w:r>
        <w:tab/>
      </w:r>
      <w:r>
        <w:tab/>
      </w:r>
      <w:r>
        <w:fldChar w:fldCharType="begin"/>
      </w:r>
      <w:r>
        <w:instrText xml:space="preserve"> PAGEREF SENTENCIA_2024_49 \h </w:instrText>
      </w:r>
      <w:r>
        <w:fldChar w:fldCharType="separate"/>
      </w:r>
      <w:r w:rsidR="0055058D">
        <w:rPr>
          <w:noProof/>
        </w:rPr>
        <w:t>1017</w:t>
      </w:r>
      <w:r>
        <w:fldChar w:fldCharType="end"/>
      </w:r>
    </w:p>
    <w:p w14:paraId="439214F7" w14:textId="77777777" w:rsidR="00B7708F" w:rsidRDefault="00B7708F" w:rsidP="00B7708F"/>
    <w:p w14:paraId="21E8F792" w14:textId="77777777" w:rsidR="00B7708F" w:rsidRDefault="00B7708F" w:rsidP="00B7708F">
      <w:pPr>
        <w:pStyle w:val="EntradandiceSentencia"/>
      </w:pPr>
      <w:r>
        <w:t>Sala Primera. Sentencia 50/2024, de 8 de abril de 2024</w:t>
      </w:r>
    </w:p>
    <w:p w14:paraId="014FBD55" w14:textId="6B1F1156" w:rsidR="00B7708F" w:rsidRDefault="00B7708F" w:rsidP="00B7708F">
      <w:pPr>
        <w:pStyle w:val="EntradandiceSentencia"/>
      </w:pPr>
    </w:p>
    <w:p w14:paraId="7315E62F" w14:textId="23A20A76" w:rsidR="00B7708F" w:rsidRDefault="00B7708F" w:rsidP="00B7708F">
      <w:pPr>
        <w:pStyle w:val="EntradaSumario"/>
      </w:pPr>
      <w:r w:rsidRPr="00B7708F">
        <w:rPr>
          <w:rStyle w:val="TextoNormalCaracter"/>
        </w:rPr>
        <w:t xml:space="preserve">Recurso de amparo 3971-2021. </w:t>
      </w:r>
      <w:r w:rsidRPr="00B7708F">
        <w:rPr>
          <w:rStyle w:val="TextoNormalCursivaCaracter"/>
        </w:rPr>
        <w:t xml:space="preserve"> Supuesta vulneración de los derechos a la tutela judicial efectiva y a un recurso efectivo en relación con el derecho de sufragio pasivo: resolución judicial que confirma la inelegibilidad del demandante como consecuencia de su condena a una pena de prisión.</w:t>
      </w:r>
      <w:r>
        <w:tab/>
      </w:r>
      <w:r>
        <w:tab/>
      </w:r>
      <w:r>
        <w:fldChar w:fldCharType="begin"/>
      </w:r>
      <w:r>
        <w:instrText xml:space="preserve"> PAGEREF SENTENCIA_2024_50 \h </w:instrText>
      </w:r>
      <w:r>
        <w:fldChar w:fldCharType="separate"/>
      </w:r>
      <w:r w:rsidR="0055058D">
        <w:rPr>
          <w:noProof/>
        </w:rPr>
        <w:t>1036</w:t>
      </w:r>
      <w:r>
        <w:fldChar w:fldCharType="end"/>
      </w:r>
    </w:p>
    <w:p w14:paraId="7701AE3F" w14:textId="77777777" w:rsidR="00B7708F" w:rsidRDefault="00B7708F" w:rsidP="00B7708F"/>
    <w:p w14:paraId="029BBEDC" w14:textId="77777777" w:rsidR="00B7708F" w:rsidRDefault="00B7708F" w:rsidP="00B7708F">
      <w:pPr>
        <w:pStyle w:val="EntradandiceSentencia"/>
      </w:pPr>
      <w:r>
        <w:t>Sala Segunda. Sentencia 51/2024, de 8 de abril de 2024</w:t>
      </w:r>
    </w:p>
    <w:p w14:paraId="3B703DA2" w14:textId="5BF9360F" w:rsidR="00B7708F" w:rsidRDefault="00B7708F" w:rsidP="00B7708F">
      <w:pPr>
        <w:pStyle w:val="EntradandiceSentencia"/>
      </w:pPr>
    </w:p>
    <w:p w14:paraId="075B28AE" w14:textId="0A2E8B6D" w:rsidR="00B7708F" w:rsidRDefault="00B7708F" w:rsidP="00B7708F">
      <w:pPr>
        <w:pStyle w:val="EntradaSumario"/>
      </w:pPr>
      <w:r w:rsidRPr="00B7708F">
        <w:rPr>
          <w:rStyle w:val="TextoNormalCaracter"/>
        </w:rPr>
        <w:t xml:space="preserve">Recurso de amparo 6860-2021. </w:t>
      </w:r>
      <w:r w:rsidRPr="00B7708F">
        <w:rPr>
          <w:rStyle w:val="TextoNormalCursivaCaracter"/>
        </w:rPr>
        <w:t xml:space="preserve"> Supuesta vulneración de los derechos a la libertad personal, a la tutela judicial efectiva y a un proceso con todas las garantías: STC 17/2024 (resoluciones judiciales que acuerdan la extradición a partir de una documentación que no permite poner en duda la necesidad y proporcionalidad de la decisión adoptada por la fiscalía de Marruecos de solicitar la entrega para asegurar el enjuiciamiento del afectado).</w:t>
      </w:r>
      <w:r>
        <w:tab/>
      </w:r>
      <w:r>
        <w:tab/>
      </w:r>
      <w:r>
        <w:fldChar w:fldCharType="begin"/>
      </w:r>
      <w:r>
        <w:instrText xml:space="preserve"> PAGEREF SENTENCIA_2024_51 \h </w:instrText>
      </w:r>
      <w:r>
        <w:fldChar w:fldCharType="separate"/>
      </w:r>
      <w:r w:rsidR="0055058D">
        <w:rPr>
          <w:noProof/>
        </w:rPr>
        <w:t>1057</w:t>
      </w:r>
      <w:r>
        <w:fldChar w:fldCharType="end"/>
      </w:r>
    </w:p>
    <w:p w14:paraId="20185B0A" w14:textId="77777777" w:rsidR="00B7708F" w:rsidRDefault="00B7708F" w:rsidP="00B7708F"/>
    <w:p w14:paraId="78120D1E" w14:textId="77777777" w:rsidR="00B7708F" w:rsidRDefault="00B7708F" w:rsidP="00B7708F">
      <w:pPr>
        <w:pStyle w:val="EntradandiceSentencia"/>
      </w:pPr>
      <w:r>
        <w:t>Sala Primera. Sentencia 52/2024, de 8 de abril de 2024</w:t>
      </w:r>
    </w:p>
    <w:p w14:paraId="544002FF" w14:textId="36BFD318" w:rsidR="00B7708F" w:rsidRDefault="00B7708F" w:rsidP="00B7708F">
      <w:pPr>
        <w:pStyle w:val="EntradandiceSentencia"/>
      </w:pPr>
    </w:p>
    <w:p w14:paraId="04780E32" w14:textId="56FED156" w:rsidR="00B7708F" w:rsidRDefault="00B7708F" w:rsidP="00B7708F">
      <w:pPr>
        <w:pStyle w:val="EntradaSumario"/>
      </w:pPr>
      <w:r w:rsidRPr="00B7708F">
        <w:rPr>
          <w:rStyle w:val="TextoNormalCaracter"/>
        </w:rPr>
        <w:t xml:space="preserve">Recurso de amparo 7490-2021. </w:t>
      </w:r>
      <w:r w:rsidRPr="00B7708F">
        <w:rPr>
          <w:rStyle w:val="TextoNormalCursivaCaracter"/>
        </w:rPr>
        <w:t xml:space="preserve"> Supuesta vulneración de los derechos a la libertad personal, a la tutela judicial efectiva y a un proceso con todas las garantías: resoluciones judiciales que acuerdan la extradición a partir de una documentación que no permite poner en duda la necesidad y proporcionalidad de solicitar la entrega para asegurar el enjuiciamiento del afectado a partir de una orden de detención, refrendada por la Fiscalía Popular (STC 17/2024).</w:t>
      </w:r>
      <w:r>
        <w:tab/>
      </w:r>
      <w:r>
        <w:tab/>
      </w:r>
      <w:r>
        <w:fldChar w:fldCharType="begin"/>
      </w:r>
      <w:r>
        <w:instrText xml:space="preserve"> PAGEREF SENTENCIA_2024_52 \h </w:instrText>
      </w:r>
      <w:r>
        <w:fldChar w:fldCharType="separate"/>
      </w:r>
      <w:r w:rsidR="0055058D">
        <w:rPr>
          <w:noProof/>
        </w:rPr>
        <w:t>1067</w:t>
      </w:r>
      <w:r>
        <w:fldChar w:fldCharType="end"/>
      </w:r>
    </w:p>
    <w:p w14:paraId="707B8F2F" w14:textId="77777777" w:rsidR="00B7708F" w:rsidRDefault="00B7708F" w:rsidP="00B7708F"/>
    <w:p w14:paraId="2E8F019B" w14:textId="77777777" w:rsidR="00B7708F" w:rsidRDefault="00B7708F" w:rsidP="00B7708F">
      <w:pPr>
        <w:pStyle w:val="EntradandiceSentencia"/>
      </w:pPr>
      <w:r>
        <w:t>Sala Segunda. Sentencia 53/2024, de 8 de abril de 2024</w:t>
      </w:r>
    </w:p>
    <w:p w14:paraId="4091A79D" w14:textId="2ED7F998" w:rsidR="00B7708F" w:rsidRDefault="00B7708F" w:rsidP="00B7708F">
      <w:pPr>
        <w:pStyle w:val="EntradandiceSentencia"/>
      </w:pPr>
    </w:p>
    <w:p w14:paraId="54DFAE35" w14:textId="25074016" w:rsidR="00B7708F" w:rsidRDefault="00B7708F" w:rsidP="00B7708F">
      <w:pPr>
        <w:pStyle w:val="EntradaSumario"/>
      </w:pPr>
      <w:r w:rsidRPr="00B7708F">
        <w:rPr>
          <w:rStyle w:val="TextoNormalCaracter"/>
        </w:rPr>
        <w:t xml:space="preserve">Recurso de amparo 8220-2021. </w:t>
      </w:r>
      <w:r w:rsidRPr="00B7708F">
        <w:rPr>
          <w:rStyle w:val="TextoNormalCursivaCaracter"/>
        </w:rPr>
        <w:t xml:space="preserve"> Vulneración del derecho a la tutela judicial efectiva (motivación) en relación con la obligación de asegurar la protección integral de la familia y de los hijos y el estatuto constitucional de los derechos del condenado que esté cumpliendo pena de prisión: resoluciones judiciales que consideraron, de manera irrazonable, la situación de ingreso en prisión del padre como causa de privación del derecho de visitas.</w:t>
      </w:r>
      <w:r>
        <w:tab/>
      </w:r>
      <w:r>
        <w:tab/>
      </w:r>
      <w:r>
        <w:fldChar w:fldCharType="begin"/>
      </w:r>
      <w:r>
        <w:instrText xml:space="preserve"> PAGEREF SENTENCIA_2024_53 \h </w:instrText>
      </w:r>
      <w:r>
        <w:fldChar w:fldCharType="separate"/>
      </w:r>
      <w:r w:rsidR="0055058D">
        <w:rPr>
          <w:noProof/>
        </w:rPr>
        <w:t>1077</w:t>
      </w:r>
      <w:r>
        <w:fldChar w:fldCharType="end"/>
      </w:r>
    </w:p>
    <w:p w14:paraId="1B7FAB47" w14:textId="77777777" w:rsidR="00B7708F" w:rsidRDefault="00B7708F" w:rsidP="00B7708F"/>
    <w:p w14:paraId="2755ECE7" w14:textId="77777777" w:rsidR="00B7708F" w:rsidRDefault="00B7708F" w:rsidP="00B7708F">
      <w:pPr>
        <w:pStyle w:val="EntradandiceSentencia"/>
      </w:pPr>
      <w:r>
        <w:t>Sala Segunda. Sentencia 54/2024, de 8 de abril de 2024</w:t>
      </w:r>
    </w:p>
    <w:p w14:paraId="19AA6692" w14:textId="392DA669" w:rsidR="00B7708F" w:rsidRDefault="00B7708F" w:rsidP="00B7708F">
      <w:pPr>
        <w:pStyle w:val="EntradandiceSentencia"/>
      </w:pPr>
    </w:p>
    <w:p w14:paraId="7E71F057" w14:textId="7CF60D8C" w:rsidR="00B7708F" w:rsidRDefault="00B7708F" w:rsidP="00B7708F">
      <w:pPr>
        <w:pStyle w:val="EntradaSumario"/>
      </w:pPr>
      <w:r w:rsidRPr="00B7708F">
        <w:rPr>
          <w:rStyle w:val="TextoNormalCaracter"/>
        </w:rPr>
        <w:t xml:space="preserve">Recurso de amparo 69-2022. </w:t>
      </w:r>
      <w:r w:rsidRPr="00B7708F">
        <w:rPr>
          <w:rStyle w:val="TextoNormalCursivaCaracter"/>
        </w:rPr>
        <w:t xml:space="preserve"> Vulneración del derecho a la tutela judicial efectiva (resolución fundada en Derecho): SSTC 91/2023 y 96/2023 (autos que, ignorando el principio de efectividad del Derecho de la Unión Europea, denie</w:t>
      </w:r>
      <w:r w:rsidRPr="00B7708F">
        <w:rPr>
          <w:rStyle w:val="TextoNormalCursivaCaracter"/>
        </w:rPr>
        <w:lastRenderedPageBreak/>
        <w:t>gan la imposición de costas en un proceso en el que se ha declarado el carácter abusivo de cláusulas contractuales).</w:t>
      </w:r>
      <w:r>
        <w:tab/>
      </w:r>
      <w:r>
        <w:tab/>
      </w:r>
      <w:r>
        <w:fldChar w:fldCharType="begin"/>
      </w:r>
      <w:r>
        <w:instrText xml:space="preserve"> PAGEREF SENTENCIA_2024_54 \h </w:instrText>
      </w:r>
      <w:r>
        <w:fldChar w:fldCharType="separate"/>
      </w:r>
      <w:r w:rsidR="0055058D">
        <w:rPr>
          <w:noProof/>
        </w:rPr>
        <w:t>1099</w:t>
      </w:r>
      <w:r>
        <w:fldChar w:fldCharType="end"/>
      </w:r>
    </w:p>
    <w:p w14:paraId="0F99D894" w14:textId="77777777" w:rsidR="00B7708F" w:rsidRDefault="00B7708F" w:rsidP="00B7708F"/>
    <w:p w14:paraId="030480D1" w14:textId="77777777" w:rsidR="00B7708F" w:rsidRDefault="00B7708F" w:rsidP="00B7708F">
      <w:pPr>
        <w:pStyle w:val="EntradandiceSentencia"/>
      </w:pPr>
      <w:r>
        <w:t>Sala Segunda. Sentencia 55/2024, de 8 de abril de 2024</w:t>
      </w:r>
    </w:p>
    <w:p w14:paraId="7588569E" w14:textId="0A6FEDDA" w:rsidR="00B7708F" w:rsidRDefault="00B7708F" w:rsidP="00B7708F">
      <w:pPr>
        <w:pStyle w:val="EntradandiceSentencia"/>
      </w:pPr>
    </w:p>
    <w:p w14:paraId="7AB9516E" w14:textId="77E8CD59" w:rsidR="00B7708F" w:rsidRDefault="00B7708F" w:rsidP="00B7708F">
      <w:pPr>
        <w:pStyle w:val="EntradaSumario"/>
      </w:pPr>
      <w:r w:rsidRPr="00B7708F">
        <w:rPr>
          <w:rStyle w:val="TextoNormalCaracter"/>
        </w:rPr>
        <w:t xml:space="preserve">Recurso de amparo 6222-2022. </w:t>
      </w:r>
      <w:r w:rsidRPr="00B7708F">
        <w:rPr>
          <w:rStyle w:val="TextoNormalCursivaCaracter"/>
        </w:rPr>
        <w:t xml:space="preserve"> Vulneración del derecho a la tutela judicial efectiva (acceso al recurso): inadmisión de un recurso de revisión por falta de consignación en plazo del depósito, ignorando el carácter subsanable del defecto padecido (STC 203/2012).</w:t>
      </w:r>
      <w:r>
        <w:tab/>
      </w:r>
      <w:r>
        <w:tab/>
      </w:r>
      <w:r>
        <w:fldChar w:fldCharType="begin"/>
      </w:r>
      <w:r>
        <w:instrText xml:space="preserve"> PAGEREF SENTENCIA_2024_55 \h </w:instrText>
      </w:r>
      <w:r>
        <w:fldChar w:fldCharType="separate"/>
      </w:r>
      <w:r w:rsidR="0055058D">
        <w:rPr>
          <w:noProof/>
        </w:rPr>
        <w:t>1109</w:t>
      </w:r>
      <w:r>
        <w:fldChar w:fldCharType="end"/>
      </w:r>
    </w:p>
    <w:p w14:paraId="692814C3" w14:textId="77777777" w:rsidR="00B7708F" w:rsidRDefault="00B7708F" w:rsidP="00B7708F"/>
    <w:p w14:paraId="11E16904" w14:textId="77777777" w:rsidR="00B7708F" w:rsidRDefault="00B7708F" w:rsidP="00B7708F">
      <w:pPr>
        <w:pStyle w:val="EntradandiceSentencia"/>
      </w:pPr>
      <w:r>
        <w:t>Sala Primera. Sentencia 56/2024, de 8 de abril de 2024</w:t>
      </w:r>
    </w:p>
    <w:p w14:paraId="50E66686" w14:textId="31F7FE3E" w:rsidR="00B7708F" w:rsidRDefault="00B7708F" w:rsidP="00B7708F">
      <w:pPr>
        <w:pStyle w:val="EntradandiceSentencia"/>
      </w:pPr>
    </w:p>
    <w:p w14:paraId="25F86AFC" w14:textId="54FD2810" w:rsidR="00B7708F" w:rsidRDefault="00B7708F" w:rsidP="00B7708F">
      <w:pPr>
        <w:pStyle w:val="EntradaSumario"/>
      </w:pPr>
      <w:r w:rsidRPr="00B7708F">
        <w:rPr>
          <w:rStyle w:val="TextoNormalCaracter"/>
        </w:rPr>
        <w:t xml:space="preserve">Recurso de amparo 8554-2022. </w:t>
      </w:r>
      <w:r w:rsidRPr="00B7708F">
        <w:rPr>
          <w:rStyle w:val="TextoNormalCursivaCaracter"/>
        </w:rPr>
        <w:t xml:space="preserve"> Supuesta vulneración de los derechos a la integridad física y a la tutela judicial efectiva: STC 148/2023 [resoluciones judiciales que realizaron una ponderación adecuada de los intereses de una persona menor de edad (STC 38/2023)].</w:t>
      </w:r>
      <w:r>
        <w:tab/>
      </w:r>
      <w:r>
        <w:tab/>
      </w:r>
      <w:r>
        <w:fldChar w:fldCharType="begin"/>
      </w:r>
      <w:r>
        <w:instrText xml:space="preserve"> PAGEREF SENTENCIA_2024_56 \h </w:instrText>
      </w:r>
      <w:r>
        <w:fldChar w:fldCharType="separate"/>
      </w:r>
      <w:r w:rsidR="0055058D">
        <w:rPr>
          <w:noProof/>
        </w:rPr>
        <w:t>1122</w:t>
      </w:r>
      <w:r>
        <w:fldChar w:fldCharType="end"/>
      </w:r>
    </w:p>
    <w:p w14:paraId="4C86699A" w14:textId="77777777" w:rsidR="00B7708F" w:rsidRDefault="00B7708F" w:rsidP="00B7708F"/>
    <w:p w14:paraId="77A08D2D" w14:textId="77777777" w:rsidR="00B7708F" w:rsidRDefault="00B7708F" w:rsidP="00B7708F">
      <w:pPr>
        <w:pStyle w:val="EntradandiceSentencia"/>
      </w:pPr>
      <w:r>
        <w:t>Sala Primera. Sentencia 57/2024, de 8 de abril de 2024</w:t>
      </w:r>
    </w:p>
    <w:p w14:paraId="221FC198" w14:textId="37529EBD" w:rsidR="00B7708F" w:rsidRDefault="00B7708F" w:rsidP="00B7708F">
      <w:pPr>
        <w:pStyle w:val="EntradandiceSentencia"/>
      </w:pPr>
    </w:p>
    <w:p w14:paraId="0D0817E5" w14:textId="2FBD1C28" w:rsidR="00B7708F" w:rsidRDefault="00B7708F" w:rsidP="00B7708F">
      <w:pPr>
        <w:pStyle w:val="EntradaSumario"/>
      </w:pPr>
      <w:r w:rsidRPr="00B7708F">
        <w:rPr>
          <w:rStyle w:val="TextoNormalCaracter"/>
        </w:rPr>
        <w:t xml:space="preserve">Recurso de amparo 987-2023. </w:t>
      </w:r>
      <w:r w:rsidRPr="00B7708F">
        <w:rPr>
          <w:rStyle w:val="TextoNormalCursivaCaracter"/>
        </w:rPr>
        <w:t xml:space="preserve"> Supuesta vulneración de los derechos a la libertad personal, a la tutela judicial efectiva y a un proceso con todas las garantías: resoluciones judiciales que acuerdan la extradición a partir de una documentación que no permite poner en duda la necesidad y proporcionalidad de la decisión adoptada por la fiscalía de Marruecos de solicitar la entrega para asegurar el enjuiciamiento del afectado (STC 17/2024); principio de doble incriminación.</w:t>
      </w:r>
      <w:r>
        <w:tab/>
      </w:r>
      <w:r>
        <w:tab/>
      </w:r>
      <w:r>
        <w:fldChar w:fldCharType="begin"/>
      </w:r>
      <w:r>
        <w:instrText xml:space="preserve"> PAGEREF SENTENCIA_2024_57 \h </w:instrText>
      </w:r>
      <w:r>
        <w:fldChar w:fldCharType="separate"/>
      </w:r>
      <w:r w:rsidR="0055058D">
        <w:rPr>
          <w:noProof/>
        </w:rPr>
        <w:t>1133</w:t>
      </w:r>
      <w:r>
        <w:fldChar w:fldCharType="end"/>
      </w:r>
    </w:p>
    <w:p w14:paraId="34047062" w14:textId="77777777" w:rsidR="00B7708F" w:rsidRDefault="00B7708F" w:rsidP="00B7708F"/>
    <w:p w14:paraId="3D9A8E96" w14:textId="77777777" w:rsidR="00B7708F" w:rsidRDefault="00B7708F" w:rsidP="00B7708F">
      <w:pPr>
        <w:pStyle w:val="EntradandiceSentencia"/>
      </w:pPr>
      <w:r>
        <w:t>Sala Segunda. Sentencia 58/2024, de 8 de abril de 2024</w:t>
      </w:r>
    </w:p>
    <w:p w14:paraId="354384BE" w14:textId="7A482AB0" w:rsidR="00B7708F" w:rsidRDefault="00B7708F" w:rsidP="00B7708F">
      <w:pPr>
        <w:pStyle w:val="EntradandiceSentencia"/>
      </w:pPr>
    </w:p>
    <w:p w14:paraId="1DF1F6EE" w14:textId="36F1874D" w:rsidR="00B7708F" w:rsidRDefault="00B7708F" w:rsidP="00B7708F">
      <w:pPr>
        <w:pStyle w:val="EntradaSumario"/>
      </w:pPr>
      <w:r w:rsidRPr="00B7708F">
        <w:rPr>
          <w:rStyle w:val="TextoNormalCaracter"/>
        </w:rPr>
        <w:t xml:space="preserve">Recurso de amparo 2127-2023. </w:t>
      </w:r>
      <w:r w:rsidRPr="00B7708F">
        <w:rPr>
          <w:rStyle w:val="TextoNormalCursivaCaracter"/>
        </w:rPr>
        <w:t xml:space="preserve"> Supuesta vulneración de los derechos a la integridad física y a la tutela judicial efectiva: STC 148/2023 [resoluciones judiciales que realizaron una ponderación adecuada de los intereses de una persona menor de edad (STC 38/2023)].</w:t>
      </w:r>
      <w:r>
        <w:tab/>
      </w:r>
      <w:r>
        <w:tab/>
      </w:r>
      <w:r>
        <w:fldChar w:fldCharType="begin"/>
      </w:r>
      <w:r>
        <w:instrText xml:space="preserve"> PAGEREF SENTENCIA_2024_58 \h </w:instrText>
      </w:r>
      <w:r>
        <w:fldChar w:fldCharType="separate"/>
      </w:r>
      <w:r w:rsidR="0055058D">
        <w:rPr>
          <w:noProof/>
        </w:rPr>
        <w:t>1146</w:t>
      </w:r>
      <w:r>
        <w:fldChar w:fldCharType="end"/>
      </w:r>
    </w:p>
    <w:p w14:paraId="12221301" w14:textId="77777777" w:rsidR="00B7708F" w:rsidRDefault="00B7708F" w:rsidP="00B7708F"/>
    <w:p w14:paraId="79A10A34" w14:textId="77777777" w:rsidR="00B7708F" w:rsidRDefault="00B7708F" w:rsidP="00B7708F">
      <w:pPr>
        <w:pStyle w:val="EntradandiceSentencia"/>
      </w:pPr>
      <w:r>
        <w:t>Sala Segunda. Sentencia 59/2024, de 8 de abril de 2024</w:t>
      </w:r>
    </w:p>
    <w:p w14:paraId="60FE6A9E" w14:textId="1B4D256A" w:rsidR="00B7708F" w:rsidRDefault="00B7708F" w:rsidP="00B7708F">
      <w:pPr>
        <w:pStyle w:val="EntradandiceSentencia"/>
      </w:pPr>
    </w:p>
    <w:p w14:paraId="3F64FD31" w14:textId="3DFC9F43" w:rsidR="00B7708F" w:rsidRDefault="00B7708F" w:rsidP="00B7708F">
      <w:pPr>
        <w:pStyle w:val="EntradaSumario"/>
      </w:pPr>
      <w:r w:rsidRPr="00B7708F">
        <w:rPr>
          <w:rStyle w:val="TextoNormalCaracter"/>
        </w:rPr>
        <w:t xml:space="preserve">Recurso de amparo 2295-2023. </w:t>
      </w:r>
      <w:r w:rsidRPr="00B7708F">
        <w:rPr>
          <w:rStyle w:val="TextoNormalCursivaCaracter"/>
        </w:rPr>
        <w:t xml:space="preserve"> Supuesta vulneración de los derechos a la integridad física y a la tutela judicial efectiva: STC 148/2023 [resoluciones judiciales que realizaron una ponderación adecuada de los intereses de una persona menor de edad (STC 38/2023)].</w:t>
      </w:r>
      <w:r>
        <w:tab/>
      </w:r>
      <w:r>
        <w:tab/>
      </w:r>
      <w:r>
        <w:fldChar w:fldCharType="begin"/>
      </w:r>
      <w:r>
        <w:instrText xml:space="preserve"> PAGEREF SENTENCIA_2024_59 \h </w:instrText>
      </w:r>
      <w:r>
        <w:fldChar w:fldCharType="separate"/>
      </w:r>
      <w:r w:rsidR="0055058D">
        <w:rPr>
          <w:noProof/>
        </w:rPr>
        <w:t>1154</w:t>
      </w:r>
      <w:r>
        <w:fldChar w:fldCharType="end"/>
      </w:r>
    </w:p>
    <w:p w14:paraId="1F5E47FB" w14:textId="77777777" w:rsidR="00B7708F" w:rsidRDefault="00B7708F" w:rsidP="00B7708F"/>
    <w:p w14:paraId="2F4725E8" w14:textId="77777777" w:rsidR="00B7708F" w:rsidRDefault="00B7708F" w:rsidP="00B7708F">
      <w:pPr>
        <w:pStyle w:val="EntradandiceSentencia"/>
      </w:pPr>
      <w:r>
        <w:t>Sala Segunda. Sentencia 60/2024, de 8 de abril de 2024</w:t>
      </w:r>
    </w:p>
    <w:p w14:paraId="0100C092" w14:textId="14E84FB9" w:rsidR="00B7708F" w:rsidRDefault="00B7708F" w:rsidP="00B7708F">
      <w:pPr>
        <w:pStyle w:val="EntradandiceSentencia"/>
      </w:pPr>
    </w:p>
    <w:p w14:paraId="6CEB1062" w14:textId="25DBA2AE" w:rsidR="00B7708F" w:rsidRDefault="00B7708F" w:rsidP="00B7708F">
      <w:pPr>
        <w:pStyle w:val="EntradaSumario"/>
      </w:pPr>
      <w:r w:rsidRPr="00B7708F">
        <w:rPr>
          <w:rStyle w:val="TextoNormalCaracter"/>
        </w:rPr>
        <w:t xml:space="preserve">Recurso de amparo 2548-2023. </w:t>
      </w:r>
      <w:r w:rsidRPr="00B7708F">
        <w:rPr>
          <w:rStyle w:val="TextoNormalCursivaCaracter"/>
        </w:rPr>
        <w:t xml:space="preserve"> Supuesta vulneración de los derechos a la integridad física y a la tutela judicial efectiva: STC 148/2023 [resoluciones judiciales que realizaron una ponderación adecuada de los intereses de una persona menor de edad (STC 38/2023)].</w:t>
      </w:r>
      <w:r>
        <w:tab/>
      </w:r>
      <w:r>
        <w:tab/>
      </w:r>
      <w:r>
        <w:fldChar w:fldCharType="begin"/>
      </w:r>
      <w:r>
        <w:instrText xml:space="preserve"> PAGEREF SENTENCIA_2024_60 \h </w:instrText>
      </w:r>
      <w:r>
        <w:fldChar w:fldCharType="separate"/>
      </w:r>
      <w:r w:rsidR="0055058D">
        <w:rPr>
          <w:noProof/>
        </w:rPr>
        <w:t>1162</w:t>
      </w:r>
      <w:r>
        <w:fldChar w:fldCharType="end"/>
      </w:r>
    </w:p>
    <w:p w14:paraId="0D60522F" w14:textId="77777777" w:rsidR="00B7708F" w:rsidRDefault="00B7708F" w:rsidP="00B7708F"/>
    <w:p w14:paraId="6EFFCB91" w14:textId="77777777" w:rsidR="00B7708F" w:rsidRDefault="00B7708F" w:rsidP="00B7708F">
      <w:pPr>
        <w:pStyle w:val="EntradandiceSentencia"/>
      </w:pPr>
      <w:r>
        <w:t>Pleno. Sentencia 61/2024, de 9 de abril de 2024</w:t>
      </w:r>
    </w:p>
    <w:p w14:paraId="2BB3A35B" w14:textId="258EB699" w:rsidR="00B7708F" w:rsidRDefault="00B7708F" w:rsidP="00B7708F">
      <w:pPr>
        <w:pStyle w:val="EntradandiceSentencia"/>
      </w:pPr>
    </w:p>
    <w:p w14:paraId="37913B75" w14:textId="78094D78" w:rsidR="00B7708F" w:rsidRDefault="00B7708F" w:rsidP="00B7708F">
      <w:pPr>
        <w:pStyle w:val="EntradaSumario"/>
      </w:pPr>
      <w:r w:rsidRPr="00B7708F">
        <w:rPr>
          <w:rStyle w:val="TextoNormalCaracter"/>
        </w:rPr>
        <w:t xml:space="preserve">Recurso de amparo 1186-2019. </w:t>
      </w:r>
      <w:r w:rsidRPr="00B7708F">
        <w:rPr>
          <w:rStyle w:val="TextoNormalCursivaCaracter"/>
        </w:rPr>
        <w:t xml:space="preserve"> Vulneración del derecho a la tutela judicial efectiva (acceso a la jurisdicción), en relación con el derecho a no ser sometido a torturas ni tratos inhumanos o degradantes: denegación de un pronunciamiento sobre el fondo fundada en el ejercicio de una acción inadecuada y en la consideración de que los dictámenes emitidos por los comités de Naciones Unidas no constituyen títulos ejecutivos que generen automáticamente el derecho a una indemnización. Voto particular.</w:t>
      </w:r>
      <w:r>
        <w:tab/>
      </w:r>
      <w:r>
        <w:tab/>
      </w:r>
      <w:r>
        <w:fldChar w:fldCharType="begin"/>
      </w:r>
      <w:r>
        <w:instrText xml:space="preserve"> PAGEREF SENTENCIA_2024_61 \h </w:instrText>
      </w:r>
      <w:r>
        <w:fldChar w:fldCharType="separate"/>
      </w:r>
      <w:r w:rsidR="0055058D">
        <w:rPr>
          <w:noProof/>
        </w:rPr>
        <w:t>1170</w:t>
      </w:r>
      <w:r>
        <w:fldChar w:fldCharType="end"/>
      </w:r>
    </w:p>
    <w:p w14:paraId="27F04AB4" w14:textId="77777777" w:rsidR="00B7708F" w:rsidRDefault="00B7708F" w:rsidP="00B7708F"/>
    <w:p w14:paraId="52157E6C" w14:textId="77777777" w:rsidR="00B7708F" w:rsidRDefault="00B7708F" w:rsidP="00B7708F">
      <w:pPr>
        <w:pStyle w:val="EntradandiceSentencia"/>
      </w:pPr>
      <w:r>
        <w:t>Pleno. Sentencia 62/2024, de 10 de abril de 2024</w:t>
      </w:r>
    </w:p>
    <w:p w14:paraId="7DFB2DF6" w14:textId="281F4136" w:rsidR="00B7708F" w:rsidRDefault="00B7708F" w:rsidP="00B7708F">
      <w:pPr>
        <w:pStyle w:val="EntradandiceSentencia"/>
      </w:pPr>
    </w:p>
    <w:p w14:paraId="46EAA641" w14:textId="1C45A558" w:rsidR="00B7708F" w:rsidRDefault="00B7708F" w:rsidP="00B7708F">
      <w:pPr>
        <w:pStyle w:val="EntradaSumario"/>
      </w:pPr>
      <w:r w:rsidRPr="00B7708F">
        <w:rPr>
          <w:rStyle w:val="TextoNormalCaracter"/>
        </w:rPr>
        <w:t xml:space="preserve">Recurso de amparo 3476-2020. </w:t>
      </w:r>
      <w:r w:rsidRPr="00B7708F">
        <w:rPr>
          <w:rStyle w:val="TextoNormalCursivaCaracter"/>
        </w:rPr>
        <w:t xml:space="preserve"> Alegada vulneración de los derechos a la tutela judicial efectiva (tutela cautelar y resolución fundada en Derecho), de participación y representación política y a la presunción de inocencia, en conexión con las libertades de pensamiento, expresión y reunión: extinción del proceso de amparo por pérdida sobrevenida de objeto.</w:t>
      </w:r>
      <w:r>
        <w:tab/>
      </w:r>
      <w:r>
        <w:tab/>
      </w:r>
      <w:r>
        <w:fldChar w:fldCharType="begin"/>
      </w:r>
      <w:r>
        <w:instrText xml:space="preserve"> PAGEREF SENTENCIA_2024_62 \h </w:instrText>
      </w:r>
      <w:r>
        <w:fldChar w:fldCharType="separate"/>
      </w:r>
      <w:r w:rsidR="0055058D">
        <w:rPr>
          <w:noProof/>
        </w:rPr>
        <w:t>1217</w:t>
      </w:r>
      <w:r>
        <w:fldChar w:fldCharType="end"/>
      </w:r>
    </w:p>
    <w:p w14:paraId="3386DE5F" w14:textId="77777777" w:rsidR="00B7708F" w:rsidRDefault="00B7708F" w:rsidP="00B7708F"/>
    <w:p w14:paraId="186A20A6" w14:textId="77777777" w:rsidR="00B7708F" w:rsidRDefault="00B7708F" w:rsidP="00B7708F">
      <w:pPr>
        <w:pStyle w:val="EntradandiceSentencia"/>
      </w:pPr>
      <w:r>
        <w:t>Pleno. Sentencia 63/2024, de 10 de abril de 2024</w:t>
      </w:r>
    </w:p>
    <w:p w14:paraId="65514FA6" w14:textId="7B697994" w:rsidR="00B7708F" w:rsidRDefault="00B7708F" w:rsidP="00B7708F">
      <w:pPr>
        <w:pStyle w:val="EntradandiceSentencia"/>
      </w:pPr>
    </w:p>
    <w:p w14:paraId="10928ECE" w14:textId="07855F40" w:rsidR="00B7708F" w:rsidRDefault="00B7708F" w:rsidP="00B7708F">
      <w:pPr>
        <w:pStyle w:val="EntradaSumario"/>
      </w:pPr>
      <w:r w:rsidRPr="00B7708F">
        <w:rPr>
          <w:rStyle w:val="TextoNormalCaracter"/>
        </w:rPr>
        <w:t xml:space="preserve">Cuestión de inconstitucionalidad 3512-2020. </w:t>
      </w:r>
      <w:r w:rsidRPr="00B7708F">
        <w:rPr>
          <w:rStyle w:val="TextoNormalCursivaCaracter"/>
        </w:rPr>
        <w:t xml:space="preserve"> Derechos de igualdad y libertad sindical: inadmisión parcial de la cuestión de inconstitucionalidad; trato diferencial entre los sindicatos basado en la mayor representatividad o la representatividad en el ámbito de actuación correspondiente que resulta objetivo y razonable.</w:t>
      </w:r>
      <w:r>
        <w:tab/>
      </w:r>
      <w:r>
        <w:tab/>
      </w:r>
      <w:r>
        <w:fldChar w:fldCharType="begin"/>
      </w:r>
      <w:r>
        <w:instrText xml:space="preserve"> PAGEREF SENTENCIA_2024_63 \h </w:instrText>
      </w:r>
      <w:r>
        <w:fldChar w:fldCharType="separate"/>
      </w:r>
      <w:r w:rsidR="0055058D">
        <w:rPr>
          <w:noProof/>
        </w:rPr>
        <w:t>1240</w:t>
      </w:r>
      <w:r>
        <w:fldChar w:fldCharType="end"/>
      </w:r>
    </w:p>
    <w:p w14:paraId="0F445604" w14:textId="77777777" w:rsidR="00B7708F" w:rsidRDefault="00B7708F" w:rsidP="00B7708F"/>
    <w:p w14:paraId="2BEF870D" w14:textId="77777777" w:rsidR="00B7708F" w:rsidRDefault="00B7708F" w:rsidP="00B7708F">
      <w:pPr>
        <w:pStyle w:val="EntradandiceSentencia"/>
      </w:pPr>
      <w:r>
        <w:t>Pleno. Sentencia 64/2024, de 10 de abril de 2024</w:t>
      </w:r>
    </w:p>
    <w:p w14:paraId="013ACF5A" w14:textId="48317202" w:rsidR="00B7708F" w:rsidRDefault="00B7708F" w:rsidP="00B7708F">
      <w:pPr>
        <w:pStyle w:val="EntradandiceSentencia"/>
      </w:pPr>
    </w:p>
    <w:p w14:paraId="0384C33E" w14:textId="7EA2A690" w:rsidR="00B7708F" w:rsidRDefault="00B7708F" w:rsidP="00B7708F">
      <w:pPr>
        <w:pStyle w:val="EntradaSumario"/>
      </w:pPr>
      <w:r w:rsidRPr="00B7708F">
        <w:rPr>
          <w:rStyle w:val="TextoNormalCaracter"/>
        </w:rPr>
        <w:t xml:space="preserve">Recurso de amparo 2017-2021. </w:t>
      </w:r>
      <w:r w:rsidRPr="00B7708F">
        <w:rPr>
          <w:rStyle w:val="TextoNormalCursivaCaracter"/>
        </w:rPr>
        <w:t xml:space="preserve"> Supuesta vulneración del derecho de acceso a los cargos públicos: satisfacción extraprocesal de las pretensiones planteadas, que conlleva su pérdida de objeto (STC 144/2022).</w:t>
      </w:r>
      <w:r>
        <w:tab/>
      </w:r>
      <w:r>
        <w:tab/>
      </w:r>
      <w:r>
        <w:fldChar w:fldCharType="begin"/>
      </w:r>
      <w:r>
        <w:instrText xml:space="preserve"> PAGEREF SENTENCIA_2024_64 \h </w:instrText>
      </w:r>
      <w:r>
        <w:fldChar w:fldCharType="separate"/>
      </w:r>
      <w:r w:rsidR="0055058D">
        <w:rPr>
          <w:noProof/>
        </w:rPr>
        <w:t>1280</w:t>
      </w:r>
      <w:r>
        <w:fldChar w:fldCharType="end"/>
      </w:r>
    </w:p>
    <w:p w14:paraId="0A869F5A" w14:textId="77777777" w:rsidR="00B7708F" w:rsidRDefault="00B7708F" w:rsidP="00B7708F"/>
    <w:p w14:paraId="713D34AF" w14:textId="77777777" w:rsidR="00B7708F" w:rsidRDefault="00B7708F" w:rsidP="00B7708F">
      <w:pPr>
        <w:pStyle w:val="EntradandiceSentencia"/>
      </w:pPr>
      <w:r>
        <w:lastRenderedPageBreak/>
        <w:t>Pleno. Sentencia 65/2024, de 11 de abril de 2024</w:t>
      </w:r>
    </w:p>
    <w:p w14:paraId="604B636E" w14:textId="473256EA" w:rsidR="00B7708F" w:rsidRDefault="00B7708F" w:rsidP="00B7708F">
      <w:pPr>
        <w:pStyle w:val="EntradandiceSentencia"/>
      </w:pPr>
    </w:p>
    <w:p w14:paraId="2596E329" w14:textId="721EF3F9" w:rsidR="00B7708F" w:rsidRDefault="00B7708F" w:rsidP="00B7708F">
      <w:pPr>
        <w:pStyle w:val="EntradaSumario"/>
      </w:pPr>
      <w:r w:rsidRPr="00B7708F">
        <w:rPr>
          <w:rStyle w:val="TextoNormalCaracter"/>
        </w:rPr>
        <w:t xml:space="preserve">Recurso de inconstitucionalidad 5671-2022. </w:t>
      </w:r>
      <w:r w:rsidRPr="00B7708F">
        <w:rPr>
          <w:rStyle w:val="TextoNormalCursivaCaracter"/>
        </w:rPr>
        <w:t xml:space="preserve"> Competencias en materia de contratación pública: extinción parcial del proceso de inconstitucionalidad; nulidad del precepto foral que, desconociendo el carácter básico de la determinación de los negocios excluidos del ámbito de aplicación de la Ley de contratos del sector público, extiende esta condición a servicios jurídicos distintos de los mencionados por el legislador estatal.</w:t>
      </w:r>
      <w:r>
        <w:tab/>
      </w:r>
      <w:r>
        <w:tab/>
      </w:r>
      <w:r>
        <w:fldChar w:fldCharType="begin"/>
      </w:r>
      <w:r>
        <w:instrText xml:space="preserve"> PAGEREF SENTENCIA_2024_65 \h </w:instrText>
      </w:r>
      <w:r>
        <w:fldChar w:fldCharType="separate"/>
      </w:r>
      <w:r w:rsidR="0055058D">
        <w:rPr>
          <w:noProof/>
        </w:rPr>
        <w:t>1307</w:t>
      </w:r>
      <w:r>
        <w:fldChar w:fldCharType="end"/>
      </w:r>
    </w:p>
    <w:p w14:paraId="05AD358A" w14:textId="77777777" w:rsidR="00B7708F" w:rsidRDefault="00B7708F" w:rsidP="00B7708F"/>
    <w:p w14:paraId="3B63DBA9" w14:textId="77777777" w:rsidR="00B7708F" w:rsidRDefault="00B7708F" w:rsidP="00B7708F">
      <w:pPr>
        <w:pStyle w:val="EntradandiceSentencia"/>
      </w:pPr>
      <w:r>
        <w:t>Pleno. Sentencia 66/2024, de 23 de abril de 2024</w:t>
      </w:r>
    </w:p>
    <w:p w14:paraId="6A6372AD" w14:textId="04333423" w:rsidR="00B7708F" w:rsidRDefault="00B7708F" w:rsidP="00B7708F">
      <w:pPr>
        <w:pStyle w:val="EntradandiceSentencia"/>
      </w:pPr>
    </w:p>
    <w:p w14:paraId="2281591B" w14:textId="3593999F" w:rsidR="00B7708F" w:rsidRDefault="00B7708F" w:rsidP="00B7708F">
      <w:pPr>
        <w:pStyle w:val="EntradaSumario"/>
      </w:pPr>
      <w:r w:rsidRPr="00B7708F">
        <w:rPr>
          <w:rStyle w:val="TextoNormalCaracter"/>
        </w:rPr>
        <w:t xml:space="preserve">Recurso de amparo 5301-2021. </w:t>
      </w:r>
      <w:r w:rsidRPr="00B7708F">
        <w:rPr>
          <w:rStyle w:val="TextoNormalCursivaCaracter"/>
        </w:rPr>
        <w:t xml:space="preserve"> Supuesta vulneración de los derechos a la igualdad ante la ley y a no padecer discriminación, al acceso a los cargos públicos, a la tutela judicial efectiva y a un proceso con todas las garantías: resolución judicial que dio una respuesta razonada y fundada en Derecho a las pretensiones tempestivamente deducidas por el recurrente, sin desconocer la primacía del Derecho de la Unión Europea ni el régimen procesal de la prejudicialidad penal.</w:t>
      </w:r>
      <w:r>
        <w:tab/>
      </w:r>
      <w:r>
        <w:tab/>
      </w:r>
      <w:r>
        <w:fldChar w:fldCharType="begin"/>
      </w:r>
      <w:r>
        <w:instrText xml:space="preserve"> PAGEREF SENTENCIA_2024_66 \h </w:instrText>
      </w:r>
      <w:r>
        <w:fldChar w:fldCharType="separate"/>
      </w:r>
      <w:r w:rsidR="0055058D">
        <w:rPr>
          <w:noProof/>
        </w:rPr>
        <w:t>1340</w:t>
      </w:r>
      <w:r>
        <w:fldChar w:fldCharType="end"/>
      </w:r>
    </w:p>
    <w:p w14:paraId="452AFBFB" w14:textId="77777777" w:rsidR="00B7708F" w:rsidRDefault="00B7708F" w:rsidP="00B7708F"/>
    <w:p w14:paraId="36494340" w14:textId="77777777" w:rsidR="00B7708F" w:rsidRDefault="00B7708F" w:rsidP="00B7708F">
      <w:pPr>
        <w:pStyle w:val="EntradandiceSentencia"/>
      </w:pPr>
      <w:r>
        <w:t>Pleno. Sentencia 67/2024, de 23 de abril de 2024</w:t>
      </w:r>
    </w:p>
    <w:p w14:paraId="4F7C46C8" w14:textId="6DB43B06" w:rsidR="00B7708F" w:rsidRDefault="00B7708F" w:rsidP="00B7708F">
      <w:pPr>
        <w:pStyle w:val="EntradandiceSentencia"/>
      </w:pPr>
    </w:p>
    <w:p w14:paraId="400E2AB0" w14:textId="18420807" w:rsidR="00B7708F" w:rsidRDefault="00B7708F" w:rsidP="00B7708F">
      <w:pPr>
        <w:pStyle w:val="EntradaSumario"/>
      </w:pPr>
      <w:r w:rsidRPr="00B7708F">
        <w:rPr>
          <w:rStyle w:val="TextoNormalCaracter"/>
        </w:rPr>
        <w:t xml:space="preserve">Recurso de inconstitucionalidad 2059-2022. </w:t>
      </w:r>
      <w:r w:rsidRPr="00B7708F">
        <w:rPr>
          <w:rStyle w:val="TextoNormalCursivaCaracter"/>
        </w:rPr>
        <w:t xml:space="preserve"> Límites de las leyes de presupuestos: nulidad del precepto legal que reforma la Ley reguladora de las bases del régimen local modificando la forma de selección, provisión y nombramiento de funcionarios con habilitación de carácter nacional en el ámbito de la Comunidad Autónoma del País Vasco. Voto particular.</w:t>
      </w:r>
      <w:r>
        <w:tab/>
      </w:r>
      <w:r>
        <w:tab/>
      </w:r>
      <w:r>
        <w:fldChar w:fldCharType="begin"/>
      </w:r>
      <w:r>
        <w:instrText xml:space="preserve"> PAGEREF SENTENCIA_2024_67 \h </w:instrText>
      </w:r>
      <w:r>
        <w:fldChar w:fldCharType="separate"/>
      </w:r>
      <w:r w:rsidR="0055058D">
        <w:rPr>
          <w:noProof/>
        </w:rPr>
        <w:t>1383</w:t>
      </w:r>
      <w:r>
        <w:fldChar w:fldCharType="end"/>
      </w:r>
    </w:p>
    <w:p w14:paraId="219CDAC8" w14:textId="77777777" w:rsidR="00B7708F" w:rsidRDefault="00B7708F" w:rsidP="00B7708F"/>
    <w:p w14:paraId="0F62D52D" w14:textId="77777777" w:rsidR="00B7708F" w:rsidRDefault="00B7708F" w:rsidP="00B7708F">
      <w:pPr>
        <w:pStyle w:val="EntradandiceSentencia"/>
      </w:pPr>
      <w:r>
        <w:t>Pleno. Sentencia 68/2024, de 23 de abril de 2024</w:t>
      </w:r>
    </w:p>
    <w:p w14:paraId="6A64DBAA" w14:textId="3A4BF781" w:rsidR="00B7708F" w:rsidRDefault="00B7708F" w:rsidP="00B7708F">
      <w:pPr>
        <w:pStyle w:val="EntradandiceSentencia"/>
      </w:pPr>
    </w:p>
    <w:p w14:paraId="5476038C" w14:textId="3D245B4D" w:rsidR="00B7708F" w:rsidRDefault="00B7708F" w:rsidP="00B7708F">
      <w:pPr>
        <w:pStyle w:val="EntradaSumario"/>
      </w:pPr>
      <w:r w:rsidRPr="00B7708F">
        <w:rPr>
          <w:rStyle w:val="TextoNormalCaracter"/>
        </w:rPr>
        <w:t xml:space="preserve">Recurso de inconstitucionalidad 6521-2023. </w:t>
      </w:r>
      <w:r w:rsidRPr="00B7708F">
        <w:rPr>
          <w:rStyle w:val="TextoNormalCursivaCaracter"/>
        </w:rPr>
        <w:t xml:space="preserve"> Competencias sobre el dominio público marítimo terrestre: nulidad parcial de los preceptos relativos a la garantía del acceso y permanencia de las embarcaciones gallegas en los caladeros de competencia autonómica y a la ocupación del dominio público marítimo terrestre por los sistemas de recogida, almacenamiento, tratamiento y vertido de aguas residuales; interpretación conforme con la Constitución del precepto legal autonómico que prevé la ocupación por establecimientos de la cadena mar-industria alimentaria del demanio o de la zona de servidumbre de protección. Voto particular.</w:t>
      </w:r>
      <w:r>
        <w:tab/>
      </w:r>
      <w:r>
        <w:tab/>
      </w:r>
      <w:r>
        <w:fldChar w:fldCharType="begin"/>
      </w:r>
      <w:r>
        <w:instrText xml:space="preserve"> PAGEREF SENTENCIA_2024_68 \h </w:instrText>
      </w:r>
      <w:r>
        <w:fldChar w:fldCharType="separate"/>
      </w:r>
      <w:r w:rsidR="0055058D">
        <w:rPr>
          <w:noProof/>
        </w:rPr>
        <w:t>1400</w:t>
      </w:r>
      <w:r>
        <w:fldChar w:fldCharType="end"/>
      </w:r>
    </w:p>
    <w:p w14:paraId="309523DC" w14:textId="77777777" w:rsidR="00B7708F" w:rsidRDefault="00B7708F" w:rsidP="00B7708F"/>
    <w:p w14:paraId="268FE159" w14:textId="77777777" w:rsidR="00B7708F" w:rsidRDefault="00B7708F" w:rsidP="00B7708F">
      <w:pPr>
        <w:pStyle w:val="EntradandiceSentencia"/>
      </w:pPr>
      <w:r>
        <w:lastRenderedPageBreak/>
        <w:t>Pleno. Sentencia 69/2024, de 24 de abril de 2024</w:t>
      </w:r>
    </w:p>
    <w:p w14:paraId="218A153D" w14:textId="495D97A8" w:rsidR="00B7708F" w:rsidRDefault="00B7708F" w:rsidP="00B7708F">
      <w:pPr>
        <w:pStyle w:val="EntradandiceSentencia"/>
      </w:pPr>
    </w:p>
    <w:p w14:paraId="64AC4AEA" w14:textId="4C8908DC" w:rsidR="00B7708F" w:rsidRDefault="00B7708F" w:rsidP="00B7708F">
      <w:pPr>
        <w:pStyle w:val="EntradaSumario"/>
      </w:pPr>
      <w:r w:rsidRPr="00B7708F">
        <w:rPr>
          <w:rStyle w:val="TextoNormalCaracter"/>
        </w:rPr>
        <w:t xml:space="preserve">Cuestión de inconstitucionalidad 5206-2023. </w:t>
      </w:r>
      <w:r w:rsidRPr="00B7708F">
        <w:rPr>
          <w:rStyle w:val="TextoNormalCursivaCaracter"/>
        </w:rPr>
        <w:t xml:space="preserve"> Principio de legalidad sancionadora: nulidad del precepto legal que establece la sanción mínima por la comisión de la infracción de superación de los límites de gastos electorales; extensión de la declaración de inconstitucionalidad y nulidad a otros preceptos del mismo texto legal.</w:t>
      </w:r>
      <w:r>
        <w:tab/>
      </w:r>
      <w:r>
        <w:tab/>
      </w:r>
      <w:r>
        <w:fldChar w:fldCharType="begin"/>
      </w:r>
      <w:r>
        <w:instrText xml:space="preserve"> PAGEREF SENTENCIA_2024_69 \h </w:instrText>
      </w:r>
      <w:r>
        <w:fldChar w:fldCharType="separate"/>
      </w:r>
      <w:r w:rsidR="0055058D">
        <w:rPr>
          <w:noProof/>
        </w:rPr>
        <w:t>1538</w:t>
      </w:r>
      <w:r>
        <w:fldChar w:fldCharType="end"/>
      </w:r>
    </w:p>
    <w:p w14:paraId="6CBC481D" w14:textId="77777777" w:rsidR="00B7708F" w:rsidRDefault="00B7708F" w:rsidP="00B7708F"/>
    <w:p w14:paraId="1581CF7F" w14:textId="77777777" w:rsidR="00B7708F" w:rsidRDefault="00B7708F" w:rsidP="00B7708F">
      <w:pPr>
        <w:pStyle w:val="EntradandiceSentencia"/>
      </w:pPr>
      <w:r>
        <w:t>Sala Segunda. Sentencia 70/2024, de 6 de mayo de 2024</w:t>
      </w:r>
    </w:p>
    <w:p w14:paraId="6D8420AA" w14:textId="00E6135F" w:rsidR="00B7708F" w:rsidRDefault="00B7708F" w:rsidP="00B7708F">
      <w:pPr>
        <w:pStyle w:val="EntradandiceSentencia"/>
      </w:pPr>
    </w:p>
    <w:p w14:paraId="0B58FB88" w14:textId="01DB84F3" w:rsidR="00B7708F" w:rsidRDefault="00B7708F" w:rsidP="00B7708F">
      <w:pPr>
        <w:pStyle w:val="EntradaSumario"/>
      </w:pPr>
      <w:r w:rsidRPr="00B7708F">
        <w:rPr>
          <w:rStyle w:val="TextoNormalCaracter"/>
        </w:rPr>
        <w:t xml:space="preserve">Recurso de amparo 4549-2022. </w:t>
      </w:r>
      <w:r w:rsidRPr="00B7708F">
        <w:rPr>
          <w:rStyle w:val="TextoNormalCursivaCaracter"/>
        </w:rPr>
        <w:t xml:space="preserve"> Vulneración del derecho a la tutela judicial efectiva en relación con el derecho a la libertad personal: revocación de la suspensión de una pena privativa de libertad al no haberse satisfecho la responsabilidad civil que no cumple las exigencias constitucionales de motivación (STC 32/2022).</w:t>
      </w:r>
      <w:r>
        <w:tab/>
      </w:r>
      <w:r>
        <w:tab/>
      </w:r>
      <w:r>
        <w:fldChar w:fldCharType="begin"/>
      </w:r>
      <w:r>
        <w:instrText xml:space="preserve"> PAGEREF SENTENCIA_2024_70 \h </w:instrText>
      </w:r>
      <w:r>
        <w:fldChar w:fldCharType="separate"/>
      </w:r>
      <w:r w:rsidR="0055058D">
        <w:rPr>
          <w:noProof/>
        </w:rPr>
        <w:t>1555</w:t>
      </w:r>
      <w:r>
        <w:fldChar w:fldCharType="end"/>
      </w:r>
    </w:p>
    <w:p w14:paraId="192EC609" w14:textId="77777777" w:rsidR="00B7708F" w:rsidRDefault="00B7708F" w:rsidP="00B7708F"/>
    <w:p w14:paraId="2660AC2A" w14:textId="77777777" w:rsidR="00B7708F" w:rsidRDefault="00B7708F" w:rsidP="00B7708F">
      <w:pPr>
        <w:pStyle w:val="EntradandiceSentencia"/>
      </w:pPr>
      <w:r>
        <w:t>Sala Segunda. Sentencia 71/2024, de 6 de mayo de 2024</w:t>
      </w:r>
    </w:p>
    <w:p w14:paraId="5F6CABB5" w14:textId="67042DDF" w:rsidR="00B7708F" w:rsidRDefault="00B7708F" w:rsidP="00B7708F">
      <w:pPr>
        <w:pStyle w:val="EntradandiceSentencia"/>
      </w:pPr>
    </w:p>
    <w:p w14:paraId="5EF89327" w14:textId="453E0BE5" w:rsidR="00B7708F" w:rsidRDefault="00B7708F" w:rsidP="00B7708F">
      <w:pPr>
        <w:pStyle w:val="EntradaSumario"/>
      </w:pPr>
      <w:r w:rsidRPr="00B7708F">
        <w:rPr>
          <w:rStyle w:val="TextoNormalCaracter"/>
        </w:rPr>
        <w:t xml:space="preserve">Recurso de amparo 353-2023. </w:t>
      </w:r>
      <w:r w:rsidRPr="00B7708F">
        <w:rPr>
          <w:rStyle w:val="TextoNormalCursivaCaracter"/>
        </w:rPr>
        <w:t xml:space="preserve"> Supuesta vulneración de los derechos a la igualdad, integridad física e intimidad: resoluciones que realizaron una ponderación adecuada de los intereses de una persona vulnerable y proporcionada a sus necesidades atendiendo a las circunstancias concurrentes (STC 38/2023).</w:t>
      </w:r>
      <w:r>
        <w:tab/>
      </w:r>
      <w:r>
        <w:tab/>
      </w:r>
      <w:r>
        <w:fldChar w:fldCharType="begin"/>
      </w:r>
      <w:r>
        <w:instrText xml:space="preserve"> PAGEREF SENTENCIA_2024_71 \h </w:instrText>
      </w:r>
      <w:r>
        <w:fldChar w:fldCharType="separate"/>
      </w:r>
      <w:r w:rsidR="0055058D">
        <w:rPr>
          <w:noProof/>
        </w:rPr>
        <w:t>1568</w:t>
      </w:r>
      <w:r>
        <w:fldChar w:fldCharType="end"/>
      </w:r>
    </w:p>
    <w:p w14:paraId="3D0A7799" w14:textId="77777777" w:rsidR="00B7708F" w:rsidRDefault="00B7708F" w:rsidP="00B7708F"/>
    <w:p w14:paraId="0191F95B" w14:textId="77777777" w:rsidR="00B7708F" w:rsidRDefault="00B7708F" w:rsidP="00B7708F">
      <w:pPr>
        <w:pStyle w:val="EntradandiceSentencia"/>
      </w:pPr>
      <w:r>
        <w:t>Pleno. Sentencia 72/2024, de 7 de mayo de 2024</w:t>
      </w:r>
    </w:p>
    <w:p w14:paraId="22DDC15D" w14:textId="304FD458" w:rsidR="00B7708F" w:rsidRDefault="00B7708F" w:rsidP="00B7708F">
      <w:pPr>
        <w:pStyle w:val="EntradandiceSentencia"/>
      </w:pPr>
    </w:p>
    <w:p w14:paraId="25B1FE2C" w14:textId="5CE9A0C2" w:rsidR="00B7708F" w:rsidRDefault="00B7708F" w:rsidP="00B7708F">
      <w:pPr>
        <w:pStyle w:val="EntradaSumario"/>
      </w:pPr>
      <w:r w:rsidRPr="00B7708F">
        <w:rPr>
          <w:rStyle w:val="TextoNormalCaracter"/>
        </w:rPr>
        <w:t xml:space="preserve">Recurso de amparo 2228-2020. </w:t>
      </w:r>
      <w:r w:rsidRPr="00B7708F">
        <w:rPr>
          <w:rStyle w:val="TextoNormalCursivaCaracter"/>
        </w:rPr>
        <w:t xml:space="preserve"> Vulneración de los derechos a la tutela judicial efectiva (resolución fundada en derecho) y a la presunción de inocencia: revocación de la sentencia absolutoria basada en una discrepancia en la valoración de la prueba que supone una extralimitación de las facultades del tribunal de apelación. Voto particular.</w:t>
      </w:r>
      <w:r>
        <w:tab/>
      </w:r>
      <w:r>
        <w:tab/>
      </w:r>
      <w:r>
        <w:fldChar w:fldCharType="begin"/>
      </w:r>
      <w:r>
        <w:instrText xml:space="preserve"> PAGEREF SENTENCIA_2024_72 \h </w:instrText>
      </w:r>
      <w:r>
        <w:fldChar w:fldCharType="separate"/>
      </w:r>
      <w:r w:rsidR="0055058D">
        <w:rPr>
          <w:noProof/>
        </w:rPr>
        <w:t>1579</w:t>
      </w:r>
      <w:r>
        <w:fldChar w:fldCharType="end"/>
      </w:r>
    </w:p>
    <w:p w14:paraId="20F5D75E" w14:textId="77777777" w:rsidR="00B7708F" w:rsidRDefault="00B7708F" w:rsidP="00B7708F"/>
    <w:p w14:paraId="2291F9B9" w14:textId="77777777" w:rsidR="00B7708F" w:rsidRDefault="00B7708F" w:rsidP="00B7708F">
      <w:pPr>
        <w:pStyle w:val="EntradandiceSentencia"/>
      </w:pPr>
      <w:r>
        <w:t>Pleno. Sentencia 73/2024, de 7 de mayo de 2024</w:t>
      </w:r>
    </w:p>
    <w:p w14:paraId="4CCE574E" w14:textId="22F816DE" w:rsidR="00B7708F" w:rsidRDefault="00B7708F" w:rsidP="00B7708F">
      <w:pPr>
        <w:pStyle w:val="EntradandiceSentencia"/>
      </w:pPr>
    </w:p>
    <w:p w14:paraId="25AD8089" w14:textId="01D046C1" w:rsidR="00B7708F" w:rsidRDefault="00B7708F" w:rsidP="00B7708F">
      <w:pPr>
        <w:pStyle w:val="EntradaSumario"/>
      </w:pPr>
      <w:r w:rsidRPr="00B7708F">
        <w:rPr>
          <w:rStyle w:val="TextoNormalCaracter"/>
        </w:rPr>
        <w:t xml:space="preserve">Recurso de inconstitucionalidad 2192-2022. </w:t>
      </w:r>
      <w:r w:rsidRPr="00B7708F">
        <w:rPr>
          <w:rStyle w:val="TextoNormalCursivaCaracter"/>
        </w:rPr>
        <w:t xml:space="preserve"> Límites de las leyes de presupuestos: extinción del recurso de inconstitucionalidad por pérdida sobrevenida de su objeto al versar sobre el precepto legal anulado por la STC 67/2024, de 23 de abril.</w:t>
      </w:r>
      <w:r>
        <w:tab/>
      </w:r>
      <w:r>
        <w:tab/>
      </w:r>
      <w:r>
        <w:fldChar w:fldCharType="begin"/>
      </w:r>
      <w:r>
        <w:instrText xml:space="preserve"> PAGEREF SENTENCIA_2024_73 \h </w:instrText>
      </w:r>
      <w:r>
        <w:fldChar w:fldCharType="separate"/>
      </w:r>
      <w:r w:rsidR="0055058D">
        <w:rPr>
          <w:noProof/>
        </w:rPr>
        <w:t>1638</w:t>
      </w:r>
      <w:r>
        <w:fldChar w:fldCharType="end"/>
      </w:r>
    </w:p>
    <w:p w14:paraId="49E2A6B7" w14:textId="77777777" w:rsidR="00B7708F" w:rsidRDefault="00B7708F" w:rsidP="00B7708F"/>
    <w:p w14:paraId="67AD4F27" w14:textId="77777777" w:rsidR="00B7708F" w:rsidRDefault="00B7708F" w:rsidP="00B7708F">
      <w:pPr>
        <w:pStyle w:val="EntradandiceSentencia"/>
      </w:pPr>
      <w:r>
        <w:lastRenderedPageBreak/>
        <w:t>Pleno. Sentencia 74/2024, de 7 de mayo de 2024</w:t>
      </w:r>
    </w:p>
    <w:p w14:paraId="21417D10" w14:textId="68678D86" w:rsidR="00B7708F" w:rsidRDefault="00B7708F" w:rsidP="00B7708F">
      <w:pPr>
        <w:pStyle w:val="EntradandiceSentencia"/>
      </w:pPr>
    </w:p>
    <w:p w14:paraId="4D1ADF38" w14:textId="1355D169" w:rsidR="00B7708F" w:rsidRDefault="00B7708F" w:rsidP="00B7708F">
      <w:pPr>
        <w:pStyle w:val="EntradaSumario"/>
      </w:pPr>
      <w:r w:rsidRPr="00B7708F">
        <w:rPr>
          <w:rStyle w:val="TextoNormalCaracter"/>
        </w:rPr>
        <w:t xml:space="preserve">Cuestión de inconstitucionalidad 5207-2023. </w:t>
      </w:r>
      <w:r w:rsidRPr="00B7708F">
        <w:rPr>
          <w:rStyle w:val="TextoNormalCursivaCaracter"/>
        </w:rPr>
        <w:t xml:space="preserve"> Principio de legalidad sancionadora: extinción de la cuestión de inconstitucionalidad por pérdida sobrevenida de su objeto al versar sobre el precepto legal anulado por la STC 69/2024, de 24 de abril.</w:t>
      </w:r>
      <w:r>
        <w:tab/>
      </w:r>
      <w:r>
        <w:tab/>
      </w:r>
      <w:r>
        <w:fldChar w:fldCharType="begin"/>
      </w:r>
      <w:r>
        <w:instrText xml:space="preserve"> PAGEREF SENTENCIA_2024_74 \h </w:instrText>
      </w:r>
      <w:r>
        <w:fldChar w:fldCharType="separate"/>
      </w:r>
      <w:r w:rsidR="0055058D">
        <w:rPr>
          <w:noProof/>
        </w:rPr>
        <w:t>1646</w:t>
      </w:r>
      <w:r>
        <w:fldChar w:fldCharType="end"/>
      </w:r>
    </w:p>
    <w:p w14:paraId="1C4EA73C" w14:textId="77777777" w:rsidR="00B7708F" w:rsidRDefault="00B7708F" w:rsidP="00B7708F"/>
    <w:p w14:paraId="591F092A" w14:textId="77777777" w:rsidR="00B7708F" w:rsidRDefault="00B7708F" w:rsidP="00B7708F">
      <w:pPr>
        <w:pStyle w:val="EntradandiceSentencia"/>
      </w:pPr>
      <w:r>
        <w:t>Pleno. Sentencia 75/2024, de 8 de mayo de 2024</w:t>
      </w:r>
    </w:p>
    <w:p w14:paraId="062113CE" w14:textId="3E01762A" w:rsidR="00B7708F" w:rsidRDefault="00B7708F" w:rsidP="00B7708F">
      <w:pPr>
        <w:pStyle w:val="EntradandiceSentencia"/>
      </w:pPr>
    </w:p>
    <w:p w14:paraId="3D6909FF" w14:textId="24FD38CF" w:rsidR="00B7708F" w:rsidRDefault="00B7708F" w:rsidP="00B7708F">
      <w:pPr>
        <w:pStyle w:val="EntradaSumario"/>
      </w:pPr>
      <w:r w:rsidRPr="00B7708F">
        <w:rPr>
          <w:rStyle w:val="TextoNormalCaracter"/>
        </w:rPr>
        <w:t xml:space="preserve">Recurso de inconstitucionalidad 5041-2022. </w:t>
      </w:r>
      <w:r w:rsidRPr="00B7708F">
        <w:rPr>
          <w:rStyle w:val="TextoNormalCursivaCaracter"/>
        </w:rPr>
        <w:t xml:space="preserve"> Principio de legalidad penal (taxatividad), libertades ideológicas y de expresión, derechos de igualdad, reunión y manifestación: penalización de la conducta consistente en la obstaculización del ejercicio del derecho a la interrupción voluntaria del embarazo, mediante actos molestos, ofensivos, intimidatorios o coactivos que no representa un sacrificio innecesario o desproporcionado de los derechos fundamentales concernidos. Votos particulares.</w:t>
      </w:r>
      <w:r>
        <w:tab/>
      </w:r>
      <w:r>
        <w:tab/>
      </w:r>
      <w:r>
        <w:fldChar w:fldCharType="begin"/>
      </w:r>
      <w:r>
        <w:instrText xml:space="preserve"> PAGEREF SENTENCIA_2024_75 \h </w:instrText>
      </w:r>
      <w:r>
        <w:fldChar w:fldCharType="separate"/>
      </w:r>
      <w:r w:rsidR="0055058D">
        <w:rPr>
          <w:noProof/>
        </w:rPr>
        <w:t>1654</w:t>
      </w:r>
      <w:r>
        <w:fldChar w:fldCharType="end"/>
      </w:r>
    </w:p>
    <w:p w14:paraId="4BA56127" w14:textId="77777777" w:rsidR="00B7708F" w:rsidRDefault="00B7708F" w:rsidP="00B7708F"/>
    <w:p w14:paraId="59466654" w14:textId="77777777" w:rsidR="00B7708F" w:rsidRDefault="00B7708F" w:rsidP="00B7708F">
      <w:pPr>
        <w:pStyle w:val="EntradandiceSentencia"/>
      </w:pPr>
      <w:r>
        <w:t>Pleno. Sentencia 76/2024, de 8 de mayo de 2024</w:t>
      </w:r>
    </w:p>
    <w:p w14:paraId="291BE2CA" w14:textId="2DD82D16" w:rsidR="00B7708F" w:rsidRDefault="00B7708F" w:rsidP="00B7708F">
      <w:pPr>
        <w:pStyle w:val="EntradandiceSentencia"/>
      </w:pPr>
    </w:p>
    <w:p w14:paraId="259C33AD" w14:textId="3D256726" w:rsidR="00B7708F" w:rsidRDefault="00B7708F" w:rsidP="00B7708F">
      <w:pPr>
        <w:pStyle w:val="EntradaSumario"/>
      </w:pPr>
      <w:r w:rsidRPr="00B7708F">
        <w:rPr>
          <w:rStyle w:val="TextoNormalCaracter"/>
        </w:rPr>
        <w:t xml:space="preserve">Recurso de inconstitucionalidad 6243-2023. </w:t>
      </w:r>
      <w:r w:rsidRPr="00B7708F">
        <w:rPr>
          <w:rStyle w:val="TextoNormalCursivaCaracter"/>
        </w:rPr>
        <w:t xml:space="preserve"> Competencias sobre dominio público, protección del medio ambiente y ordenación del territorio: nulidad de los preceptos legales autonómicos que establecen en quince años el plazo de caducidad de la acción para imponer la reposición de la legalidad en la zona de servidumbre de protección del dominio público marítimo-terrestre y fijan el día de inicio del cómputo de dicho plazo; extensión, por conexión o consecuencia, de los efectos de la sentencia a otros preceptos de la misma ley. Voto particular.</w:t>
      </w:r>
      <w:r>
        <w:tab/>
      </w:r>
      <w:r>
        <w:tab/>
      </w:r>
      <w:r>
        <w:fldChar w:fldCharType="begin"/>
      </w:r>
      <w:r>
        <w:instrText xml:space="preserve"> PAGEREF SENTENCIA_2024_76 \h </w:instrText>
      </w:r>
      <w:r>
        <w:fldChar w:fldCharType="separate"/>
      </w:r>
      <w:r w:rsidR="0055058D">
        <w:rPr>
          <w:noProof/>
        </w:rPr>
        <w:t>1691</w:t>
      </w:r>
      <w:r>
        <w:fldChar w:fldCharType="end"/>
      </w:r>
    </w:p>
    <w:p w14:paraId="6AE7D6DA" w14:textId="77777777" w:rsidR="00B7708F" w:rsidRDefault="00B7708F" w:rsidP="00B7708F"/>
    <w:p w14:paraId="21C800FE" w14:textId="77777777" w:rsidR="00B7708F" w:rsidRDefault="00B7708F" w:rsidP="00B7708F">
      <w:pPr>
        <w:pStyle w:val="EntradandiceSentencia"/>
      </w:pPr>
      <w:r>
        <w:t>Sala Segunda. Sentencia 77/2024, de 20 de mayo de 2024</w:t>
      </w:r>
    </w:p>
    <w:p w14:paraId="1729611F" w14:textId="297FAACB" w:rsidR="00B7708F" w:rsidRDefault="00B7708F" w:rsidP="00B7708F">
      <w:pPr>
        <w:pStyle w:val="EntradandiceSentencia"/>
      </w:pPr>
    </w:p>
    <w:p w14:paraId="3625D1B0" w14:textId="2926928A" w:rsidR="00B7708F" w:rsidRDefault="00B7708F" w:rsidP="00B7708F">
      <w:pPr>
        <w:pStyle w:val="EntradaSumario"/>
      </w:pPr>
      <w:r w:rsidRPr="00B7708F">
        <w:rPr>
          <w:rStyle w:val="TextoNormalCaracter"/>
        </w:rPr>
        <w:t xml:space="preserve">Recurso de amparo 6446-2022. </w:t>
      </w:r>
      <w:r w:rsidRPr="00B7708F">
        <w:rPr>
          <w:rStyle w:val="TextoNormalCursivaCaracter"/>
        </w:rPr>
        <w:t xml:space="preserve"> Vulneración del derecho a la tutela judicial efectiva (resolución fundada en Derecho): revocación de la sentencia absolutoria basada en una discrepancia en la valoración de la prueba que supone una extralimitación de las facultades del tribunal de apelación (STC 72/2024).</w:t>
      </w:r>
      <w:r>
        <w:tab/>
      </w:r>
      <w:r>
        <w:tab/>
      </w:r>
      <w:r>
        <w:fldChar w:fldCharType="begin"/>
      </w:r>
      <w:r>
        <w:instrText xml:space="preserve"> PAGEREF SENTENCIA_2024_77 \h </w:instrText>
      </w:r>
      <w:r>
        <w:fldChar w:fldCharType="separate"/>
      </w:r>
      <w:r w:rsidR="0055058D">
        <w:rPr>
          <w:noProof/>
        </w:rPr>
        <w:t>1715</w:t>
      </w:r>
      <w:r>
        <w:fldChar w:fldCharType="end"/>
      </w:r>
    </w:p>
    <w:p w14:paraId="4937F6DF" w14:textId="77777777" w:rsidR="00B7708F" w:rsidRDefault="00B7708F" w:rsidP="00B7708F"/>
    <w:p w14:paraId="20023FD6" w14:textId="77777777" w:rsidR="00B7708F" w:rsidRDefault="00B7708F" w:rsidP="00B7708F">
      <w:pPr>
        <w:pStyle w:val="EntradandiceSentencia"/>
      </w:pPr>
      <w:r>
        <w:t>Sala Primera. Sentencia 78/2024, de 20 de mayo de 2024</w:t>
      </w:r>
    </w:p>
    <w:p w14:paraId="3C903537" w14:textId="03564784" w:rsidR="00B7708F" w:rsidRDefault="00B7708F" w:rsidP="00B7708F">
      <w:pPr>
        <w:pStyle w:val="EntradandiceSentencia"/>
      </w:pPr>
    </w:p>
    <w:p w14:paraId="39FC0808" w14:textId="240A56D5" w:rsidR="00B7708F" w:rsidRDefault="00B7708F" w:rsidP="00B7708F">
      <w:pPr>
        <w:pStyle w:val="EntradaSumario"/>
      </w:pPr>
      <w:r w:rsidRPr="00B7708F">
        <w:rPr>
          <w:rStyle w:val="TextoNormalCaracter"/>
        </w:rPr>
        <w:t xml:space="preserve">Recurso de amparo 3790-2023. </w:t>
      </w:r>
      <w:r w:rsidRPr="00B7708F">
        <w:rPr>
          <w:rStyle w:val="TextoNormalCursivaCaracter"/>
        </w:rPr>
        <w:t xml:space="preserve"> Vulneración del derecho a la tutela judicial efectiva en relación con el derecho a la libertad personal: revocación de la suspensión de una pena privativa de libertad al no haberse satisfecho la responsabilidad civil que no cumple las exigencias constitucionales de motivación (STC 32/2022).</w:t>
      </w:r>
      <w:r>
        <w:tab/>
      </w:r>
      <w:r>
        <w:tab/>
      </w:r>
      <w:r>
        <w:fldChar w:fldCharType="begin"/>
      </w:r>
      <w:r>
        <w:instrText xml:space="preserve"> PAGEREF SENTENCIA_2024_78 \h </w:instrText>
      </w:r>
      <w:r>
        <w:fldChar w:fldCharType="separate"/>
      </w:r>
      <w:r w:rsidR="0055058D">
        <w:rPr>
          <w:noProof/>
        </w:rPr>
        <w:t>1732</w:t>
      </w:r>
      <w:r>
        <w:fldChar w:fldCharType="end"/>
      </w:r>
    </w:p>
    <w:p w14:paraId="70B1A609" w14:textId="77777777" w:rsidR="00B7708F" w:rsidRDefault="00B7708F" w:rsidP="00B7708F"/>
    <w:p w14:paraId="3ACE9B6A" w14:textId="77777777" w:rsidR="00B7708F" w:rsidRDefault="00B7708F" w:rsidP="00B7708F">
      <w:pPr>
        <w:pStyle w:val="EntradandiceSentencia"/>
      </w:pPr>
      <w:r>
        <w:t>Pleno. Sentencia 79/2024, de 21 de mayo de 2024</w:t>
      </w:r>
    </w:p>
    <w:p w14:paraId="01D66DD8" w14:textId="1A409631" w:rsidR="00B7708F" w:rsidRDefault="00B7708F" w:rsidP="00B7708F">
      <w:pPr>
        <w:pStyle w:val="EntradandiceSentencia"/>
      </w:pPr>
    </w:p>
    <w:p w14:paraId="691DB835" w14:textId="37016F37" w:rsidR="00B7708F" w:rsidRDefault="00B7708F" w:rsidP="00B7708F">
      <w:pPr>
        <w:pStyle w:val="EntradaSumario"/>
      </w:pPr>
      <w:r w:rsidRPr="00B7708F">
        <w:rPr>
          <w:rStyle w:val="TextoNormalCaracter"/>
        </w:rPr>
        <w:t xml:space="preserve">Recurso de inconstitucionalidad 5491-2023. </w:t>
      </w:r>
      <w:r w:rsidRPr="00B7708F">
        <w:rPr>
          <w:rStyle w:val="TextoNormalCursivaCaracter"/>
        </w:rPr>
        <w:t xml:space="preserve"> Competencias sobre vivienda, urbanismo, ordenación del territorio, régimen local y servicios sociales; condiciones básicas de igualdad: nulidad total o parcial de los preceptos legales que regulan el régimen de viviendas protegidas, las obligaciones de colaboración de grandes tenedores en zonas de mercado residencial tensionado, finalidad y financiación de los parques públicos de vivienda y el régimen transitorio de las viviendas de protección pública previamente calificadas. Voto particular.</w:t>
      </w:r>
      <w:r>
        <w:tab/>
      </w:r>
      <w:r>
        <w:tab/>
      </w:r>
      <w:r>
        <w:fldChar w:fldCharType="begin"/>
      </w:r>
      <w:r>
        <w:instrText xml:space="preserve"> PAGEREF SENTENCIA_2024_79 \h </w:instrText>
      </w:r>
      <w:r>
        <w:fldChar w:fldCharType="separate"/>
      </w:r>
      <w:r w:rsidR="0055058D">
        <w:rPr>
          <w:noProof/>
        </w:rPr>
        <w:t>1739</w:t>
      </w:r>
      <w:r>
        <w:fldChar w:fldCharType="end"/>
      </w:r>
    </w:p>
    <w:p w14:paraId="58FFC14D" w14:textId="77777777" w:rsidR="00B7708F" w:rsidRDefault="00B7708F" w:rsidP="00B7708F"/>
    <w:p w14:paraId="6454088A" w14:textId="77777777" w:rsidR="00B7708F" w:rsidRDefault="00B7708F" w:rsidP="00B7708F">
      <w:pPr>
        <w:pStyle w:val="EntradandiceSentencia"/>
      </w:pPr>
      <w:r>
        <w:t>Sala Primera. Sentencia 80/2024, de 3 de junio de 2024</w:t>
      </w:r>
    </w:p>
    <w:p w14:paraId="0076B3E0" w14:textId="64DF4481" w:rsidR="00B7708F" w:rsidRDefault="00B7708F" w:rsidP="00B7708F">
      <w:pPr>
        <w:pStyle w:val="EntradandiceSentencia"/>
      </w:pPr>
    </w:p>
    <w:p w14:paraId="656B9804" w14:textId="2241B840" w:rsidR="00B7708F" w:rsidRDefault="00B7708F" w:rsidP="00B7708F">
      <w:pPr>
        <w:pStyle w:val="EntradaSumario"/>
      </w:pPr>
      <w:r w:rsidRPr="00B7708F">
        <w:rPr>
          <w:rStyle w:val="TextoNormalCaracter"/>
        </w:rPr>
        <w:t xml:space="preserve">Recurso de amparo 3308-2020. </w:t>
      </w:r>
      <w:r w:rsidRPr="00B7708F">
        <w:rPr>
          <w:rStyle w:val="TextoNormalCursivaCaracter"/>
        </w:rPr>
        <w:t xml:space="preserve"> Vulneración de los derechos a un proceso con todas las garantías (doble instancia penal) y a la presunción de inocencia: condena en casación que prescinde del examen directo de los testimonios personales y del propio acusado y que no puede ser objeto de revisión.</w:t>
      </w:r>
      <w:r>
        <w:tab/>
      </w:r>
      <w:r>
        <w:tab/>
      </w:r>
      <w:r>
        <w:fldChar w:fldCharType="begin"/>
      </w:r>
      <w:r>
        <w:instrText xml:space="preserve"> PAGEREF SENTENCIA_2024_80 \h </w:instrText>
      </w:r>
      <w:r>
        <w:fldChar w:fldCharType="separate"/>
      </w:r>
      <w:r w:rsidR="0055058D">
        <w:rPr>
          <w:noProof/>
        </w:rPr>
        <w:t>1799</w:t>
      </w:r>
      <w:r>
        <w:fldChar w:fldCharType="end"/>
      </w:r>
    </w:p>
    <w:p w14:paraId="03C859B9" w14:textId="77777777" w:rsidR="00B7708F" w:rsidRDefault="00B7708F" w:rsidP="00B7708F"/>
    <w:p w14:paraId="32236520" w14:textId="77777777" w:rsidR="00B7708F" w:rsidRDefault="00B7708F" w:rsidP="00B7708F">
      <w:pPr>
        <w:pStyle w:val="EntradandiceSentencia"/>
      </w:pPr>
      <w:r>
        <w:t>Sala Segunda. Sentencia 81/2024, de 3 de junio de 2024</w:t>
      </w:r>
    </w:p>
    <w:p w14:paraId="2610D080" w14:textId="6E1B8DFF" w:rsidR="00B7708F" w:rsidRDefault="00B7708F" w:rsidP="00B7708F">
      <w:pPr>
        <w:pStyle w:val="EntradandiceSentencia"/>
      </w:pPr>
    </w:p>
    <w:p w14:paraId="2BC9D076" w14:textId="74CB9E70" w:rsidR="00B7708F" w:rsidRDefault="00B7708F" w:rsidP="00B7708F">
      <w:pPr>
        <w:pStyle w:val="EntradaSumario"/>
      </w:pPr>
      <w:r w:rsidRPr="00B7708F">
        <w:rPr>
          <w:rStyle w:val="TextoNormalCaracter"/>
        </w:rPr>
        <w:t xml:space="preserve">Recurso de amparo 3819-2020. </w:t>
      </w:r>
      <w:r w:rsidRPr="00B7708F">
        <w:rPr>
          <w:rStyle w:val="TextoNormalCursivaCaracter"/>
        </w:rPr>
        <w:t xml:space="preserve"> Supuesta vulneración del derecho a no padecer discriminación: inexistencia de prueba indiciaria de discriminación por identidad de género como causa de extinción de la relación laboral (STC 67/2022).</w:t>
      </w:r>
      <w:r>
        <w:tab/>
      </w:r>
      <w:r>
        <w:tab/>
      </w:r>
      <w:r>
        <w:fldChar w:fldCharType="begin"/>
      </w:r>
      <w:r>
        <w:instrText xml:space="preserve"> PAGEREF SENTENCIA_2024_81 \h </w:instrText>
      </w:r>
      <w:r>
        <w:fldChar w:fldCharType="separate"/>
      </w:r>
      <w:r w:rsidR="0055058D">
        <w:rPr>
          <w:noProof/>
        </w:rPr>
        <w:t>1836</w:t>
      </w:r>
      <w:r>
        <w:fldChar w:fldCharType="end"/>
      </w:r>
    </w:p>
    <w:p w14:paraId="4B5E6844" w14:textId="77777777" w:rsidR="00B7708F" w:rsidRDefault="00B7708F" w:rsidP="00B7708F"/>
    <w:p w14:paraId="45E37ADF" w14:textId="77777777" w:rsidR="00B7708F" w:rsidRDefault="00B7708F" w:rsidP="00B7708F">
      <w:pPr>
        <w:pStyle w:val="EntradandiceSentencia"/>
      </w:pPr>
      <w:r>
        <w:t>Sala Segunda. Sentencia 82/2024, de 3 de junio de 2024</w:t>
      </w:r>
    </w:p>
    <w:p w14:paraId="7114C767" w14:textId="4532B8AC" w:rsidR="00B7708F" w:rsidRDefault="00B7708F" w:rsidP="00B7708F">
      <w:pPr>
        <w:pStyle w:val="EntradandiceSentencia"/>
      </w:pPr>
    </w:p>
    <w:p w14:paraId="11AF8A02" w14:textId="467E3D4F" w:rsidR="00B7708F" w:rsidRDefault="00B7708F" w:rsidP="00B7708F">
      <w:pPr>
        <w:pStyle w:val="EntradaSumario"/>
      </w:pPr>
      <w:r w:rsidRPr="00B7708F">
        <w:rPr>
          <w:rStyle w:val="TextoNormalCaracter"/>
        </w:rPr>
        <w:t xml:space="preserve">Recurso de amparo 7937-2021. </w:t>
      </w:r>
      <w:r w:rsidRPr="00B7708F">
        <w:rPr>
          <w:rStyle w:val="TextoNormalCursivaCaracter"/>
        </w:rPr>
        <w:t xml:space="preserve"> Vulneración del derecho a la tutela judicial efectiva: resoluciones judiciales que impiden la intervención de los abuelos en el procedimiento de adopción y que descartan la alternativa del acogimiento en familia extensa.</w:t>
      </w:r>
      <w:r>
        <w:tab/>
      </w:r>
      <w:r>
        <w:tab/>
      </w:r>
      <w:r>
        <w:fldChar w:fldCharType="begin"/>
      </w:r>
      <w:r>
        <w:instrText xml:space="preserve"> PAGEREF SENTENCIA_2024_82 \h </w:instrText>
      </w:r>
      <w:r>
        <w:fldChar w:fldCharType="separate"/>
      </w:r>
      <w:r w:rsidR="0055058D">
        <w:rPr>
          <w:noProof/>
        </w:rPr>
        <w:t>1854</w:t>
      </w:r>
      <w:r>
        <w:fldChar w:fldCharType="end"/>
      </w:r>
    </w:p>
    <w:p w14:paraId="5DF7E75B" w14:textId="77777777" w:rsidR="00B7708F" w:rsidRDefault="00B7708F" w:rsidP="00B7708F"/>
    <w:p w14:paraId="11D9F2BF" w14:textId="77777777" w:rsidR="00B7708F" w:rsidRDefault="00B7708F" w:rsidP="00B7708F">
      <w:pPr>
        <w:pStyle w:val="EntradandiceSentencia"/>
      </w:pPr>
      <w:r>
        <w:t>Sala Segunda. Sentencia 83/2024, de 3 de junio de 2024</w:t>
      </w:r>
    </w:p>
    <w:p w14:paraId="3D9DFC09" w14:textId="70DAB836" w:rsidR="00B7708F" w:rsidRDefault="00B7708F" w:rsidP="00B7708F">
      <w:pPr>
        <w:pStyle w:val="EntradandiceSentencia"/>
      </w:pPr>
    </w:p>
    <w:p w14:paraId="7F1DC6AD" w14:textId="29C292F0" w:rsidR="00B7708F" w:rsidRDefault="00B7708F" w:rsidP="00B7708F">
      <w:pPr>
        <w:pStyle w:val="EntradaSumario"/>
      </w:pPr>
      <w:r w:rsidRPr="00B7708F">
        <w:rPr>
          <w:rStyle w:val="TextoNormalCaracter"/>
        </w:rPr>
        <w:t xml:space="preserve">Recurso de amparo 605-2023. </w:t>
      </w:r>
      <w:r w:rsidRPr="00B7708F">
        <w:rPr>
          <w:rStyle w:val="TextoNormalCursivaCaracter"/>
        </w:rPr>
        <w:t xml:space="preserve"> Supuesta vulneración de los derechos a la integridad física y a la tutela judicial efectiva: STC 148/2023 [resoluciones judiciales que realizaron una ponderación adecuada de los intereses de una persona menor de edad (STC 38/2023)].</w:t>
      </w:r>
      <w:r>
        <w:tab/>
      </w:r>
      <w:r>
        <w:tab/>
      </w:r>
      <w:r>
        <w:fldChar w:fldCharType="begin"/>
      </w:r>
      <w:r>
        <w:instrText xml:space="preserve"> PAGEREF SENTENCIA_2024_83 \h </w:instrText>
      </w:r>
      <w:r>
        <w:fldChar w:fldCharType="separate"/>
      </w:r>
      <w:r w:rsidR="0055058D">
        <w:rPr>
          <w:noProof/>
        </w:rPr>
        <w:t>1872</w:t>
      </w:r>
      <w:r>
        <w:fldChar w:fldCharType="end"/>
      </w:r>
    </w:p>
    <w:p w14:paraId="33A37DB5" w14:textId="77777777" w:rsidR="00B7708F" w:rsidRDefault="00B7708F" w:rsidP="00B7708F"/>
    <w:p w14:paraId="0975DF19" w14:textId="77777777" w:rsidR="00B7708F" w:rsidRDefault="00B7708F" w:rsidP="00B7708F">
      <w:pPr>
        <w:pStyle w:val="EntradandiceSentencia"/>
      </w:pPr>
      <w:r>
        <w:lastRenderedPageBreak/>
        <w:t>Sala Primera. Sentencia 84/2024, de 3 de junio de 2024</w:t>
      </w:r>
    </w:p>
    <w:p w14:paraId="15654307" w14:textId="68C93151" w:rsidR="00B7708F" w:rsidRDefault="00B7708F" w:rsidP="00B7708F">
      <w:pPr>
        <w:pStyle w:val="EntradandiceSentencia"/>
      </w:pPr>
    </w:p>
    <w:p w14:paraId="3B09ACCB" w14:textId="187B2BED" w:rsidR="00B7708F" w:rsidRDefault="00B7708F" w:rsidP="00B7708F">
      <w:pPr>
        <w:pStyle w:val="EntradaSumario"/>
      </w:pPr>
      <w:r w:rsidRPr="00B7708F">
        <w:rPr>
          <w:rStyle w:val="TextoNormalCaracter"/>
        </w:rPr>
        <w:t xml:space="preserve">Recurso de amparo 665-2023. </w:t>
      </w:r>
      <w:r w:rsidRPr="00B7708F">
        <w:rPr>
          <w:rStyle w:val="TextoNormalCursivaCaracter"/>
        </w:rPr>
        <w:t xml:space="preserve"> Vulneración del derecho a la tutela judicial sin indefensión: emplazamiento mediante edictos del demandado sin agotar las posibilidades de notificación personal (STC 30/2014).</w:t>
      </w:r>
      <w:r>
        <w:tab/>
      </w:r>
      <w:r>
        <w:tab/>
      </w:r>
      <w:r>
        <w:fldChar w:fldCharType="begin"/>
      </w:r>
      <w:r>
        <w:instrText xml:space="preserve"> PAGEREF SENTENCIA_2024_84 \h </w:instrText>
      </w:r>
      <w:r>
        <w:fldChar w:fldCharType="separate"/>
      </w:r>
      <w:r w:rsidR="0055058D">
        <w:rPr>
          <w:noProof/>
        </w:rPr>
        <w:t>1880</w:t>
      </w:r>
      <w:r>
        <w:fldChar w:fldCharType="end"/>
      </w:r>
    </w:p>
    <w:p w14:paraId="26B93E1E" w14:textId="77777777" w:rsidR="00B7708F" w:rsidRDefault="00B7708F" w:rsidP="00B7708F"/>
    <w:p w14:paraId="7A4C1B59" w14:textId="77777777" w:rsidR="00B7708F" w:rsidRDefault="00B7708F" w:rsidP="00B7708F">
      <w:pPr>
        <w:pStyle w:val="EntradandiceSentencia"/>
      </w:pPr>
      <w:r>
        <w:t>Sala Primera. Sentencia 85/2024, de 3 de junio de 2024</w:t>
      </w:r>
    </w:p>
    <w:p w14:paraId="1F936E83" w14:textId="76035E78" w:rsidR="00B7708F" w:rsidRDefault="00B7708F" w:rsidP="00B7708F">
      <w:pPr>
        <w:pStyle w:val="EntradandiceSentencia"/>
      </w:pPr>
    </w:p>
    <w:p w14:paraId="111F5A9C" w14:textId="5FC61CC3" w:rsidR="00B7708F" w:rsidRDefault="00B7708F" w:rsidP="00B7708F">
      <w:pPr>
        <w:pStyle w:val="EntradaSumario"/>
      </w:pPr>
      <w:r w:rsidRPr="00B7708F">
        <w:rPr>
          <w:rStyle w:val="TextoNormalCaracter"/>
        </w:rPr>
        <w:t xml:space="preserve">Recurso de amparo 1467-2023. </w:t>
      </w:r>
      <w:r w:rsidRPr="00B7708F">
        <w:rPr>
          <w:rStyle w:val="TextoNormalCursivaCaracter"/>
        </w:rPr>
        <w:t xml:space="preserve"> Vulneración del derecho a la libertad personal (control judicial de la detención): denegación por improcedente de una petición de habeas corpus decretada por razones de fondo sin audiencia del solicitante (STC 73/2021).</w:t>
      </w:r>
      <w:r>
        <w:tab/>
      </w:r>
      <w:r>
        <w:tab/>
      </w:r>
      <w:r>
        <w:fldChar w:fldCharType="begin"/>
      </w:r>
      <w:r>
        <w:instrText xml:space="preserve"> PAGEREF SENTENCIA_2024_85 \h </w:instrText>
      </w:r>
      <w:r>
        <w:fldChar w:fldCharType="separate"/>
      </w:r>
      <w:r w:rsidR="0055058D">
        <w:rPr>
          <w:noProof/>
        </w:rPr>
        <w:t>1892</w:t>
      </w:r>
      <w:r>
        <w:fldChar w:fldCharType="end"/>
      </w:r>
    </w:p>
    <w:p w14:paraId="33855525" w14:textId="77777777" w:rsidR="00B7708F" w:rsidRDefault="00B7708F" w:rsidP="00B7708F"/>
    <w:p w14:paraId="2EDE5B96" w14:textId="77777777" w:rsidR="00B7708F" w:rsidRDefault="00B7708F" w:rsidP="00B7708F">
      <w:pPr>
        <w:pStyle w:val="EntradandiceSentencia"/>
      </w:pPr>
      <w:r>
        <w:t>Sala Primera. Sentencia 86/2024, de 3 de junio de 2024</w:t>
      </w:r>
    </w:p>
    <w:p w14:paraId="7F75E910" w14:textId="697B00E6" w:rsidR="00B7708F" w:rsidRDefault="00B7708F" w:rsidP="00B7708F">
      <w:pPr>
        <w:pStyle w:val="EntradandiceSentencia"/>
      </w:pPr>
    </w:p>
    <w:p w14:paraId="3326CF57" w14:textId="156F7B8D" w:rsidR="00B7708F" w:rsidRDefault="00B7708F" w:rsidP="00B7708F">
      <w:pPr>
        <w:pStyle w:val="EntradaSumario"/>
      </w:pPr>
      <w:r w:rsidRPr="00B7708F">
        <w:rPr>
          <w:rStyle w:val="TextoNormalCaracter"/>
        </w:rPr>
        <w:t xml:space="preserve">Recurso de amparo 2875-2023. </w:t>
      </w:r>
      <w:r w:rsidRPr="00B7708F">
        <w:rPr>
          <w:rStyle w:val="TextoNormalCursivaCaracter"/>
        </w:rPr>
        <w:t xml:space="preserve"> Vulneración del derecho al ejercicio de las funciones representativas, en conexión con el derecho de los ciudadanos a participar en los asuntos públicos a través de sus representantes: habilitación del voto telemático que excepciona el principio de presencialidad de quien voluntariamente ha decidido eludir la acción de la jurisdicción penal española y está sujeto a una orden judicial de busca y captura.</w:t>
      </w:r>
      <w:r>
        <w:tab/>
      </w:r>
      <w:r>
        <w:tab/>
      </w:r>
      <w:r>
        <w:fldChar w:fldCharType="begin"/>
      </w:r>
      <w:r>
        <w:instrText xml:space="preserve"> PAGEREF SENTENCIA_2024_86 \h </w:instrText>
      </w:r>
      <w:r>
        <w:fldChar w:fldCharType="separate"/>
      </w:r>
      <w:r w:rsidR="0055058D">
        <w:rPr>
          <w:noProof/>
        </w:rPr>
        <w:t>1906</w:t>
      </w:r>
      <w:r>
        <w:fldChar w:fldCharType="end"/>
      </w:r>
    </w:p>
    <w:p w14:paraId="35799CEC" w14:textId="77777777" w:rsidR="00B7708F" w:rsidRDefault="00B7708F" w:rsidP="00B7708F"/>
    <w:p w14:paraId="0D34FEF4" w14:textId="77777777" w:rsidR="00B7708F" w:rsidRDefault="00B7708F" w:rsidP="00B7708F">
      <w:pPr>
        <w:pStyle w:val="EntradandiceSentencia"/>
      </w:pPr>
      <w:r>
        <w:t>Pleno. Sentencia 87/2024, de 4 de junio de 2024</w:t>
      </w:r>
    </w:p>
    <w:p w14:paraId="1BE61D50" w14:textId="65FF4633" w:rsidR="00B7708F" w:rsidRDefault="00B7708F" w:rsidP="00B7708F">
      <w:pPr>
        <w:pStyle w:val="EntradandiceSentencia"/>
      </w:pPr>
    </w:p>
    <w:p w14:paraId="2A33BCF4" w14:textId="671D0F36" w:rsidR="00B7708F" w:rsidRDefault="00B7708F" w:rsidP="00B7708F">
      <w:pPr>
        <w:pStyle w:val="EntradaSumario"/>
      </w:pPr>
      <w:r w:rsidRPr="00B7708F">
        <w:rPr>
          <w:rStyle w:val="TextoNormalCaracter"/>
        </w:rPr>
        <w:t xml:space="preserve">Recurso de amparo 4949-2021. </w:t>
      </w:r>
      <w:r w:rsidRPr="00B7708F">
        <w:rPr>
          <w:rStyle w:val="TextoNormalCursivaCaracter"/>
        </w:rPr>
        <w:t xml:space="preserve"> Supuesta vulneración de los derechos a la intimidad, a la tutela judicial efectiva y a un proceso con todas las garantías: prueba aportada por agente encubierto que no afecta a la intimidad y habiendo mediado el adecuado control judicial. Votos particulares.</w:t>
      </w:r>
      <w:r>
        <w:tab/>
      </w:r>
      <w:r>
        <w:tab/>
      </w:r>
      <w:r>
        <w:fldChar w:fldCharType="begin"/>
      </w:r>
      <w:r>
        <w:instrText xml:space="preserve"> PAGEREF SENTENCIA_2024_87 \h </w:instrText>
      </w:r>
      <w:r>
        <w:fldChar w:fldCharType="separate"/>
      </w:r>
      <w:r w:rsidR="0055058D">
        <w:rPr>
          <w:noProof/>
        </w:rPr>
        <w:t>1920</w:t>
      </w:r>
      <w:r>
        <w:fldChar w:fldCharType="end"/>
      </w:r>
    </w:p>
    <w:p w14:paraId="5ACF32FE" w14:textId="77777777" w:rsidR="00B7708F" w:rsidRDefault="00B7708F" w:rsidP="00B7708F"/>
    <w:p w14:paraId="092C1108" w14:textId="77777777" w:rsidR="00B7708F" w:rsidRDefault="00B7708F" w:rsidP="00B7708F">
      <w:pPr>
        <w:pStyle w:val="EntradandiceSentencia"/>
      </w:pPr>
      <w:r>
        <w:t>Pleno. Sentencia 88/2024, de 5 de junio de 2024</w:t>
      </w:r>
    </w:p>
    <w:p w14:paraId="5F994FF5" w14:textId="179D50A9" w:rsidR="00B7708F" w:rsidRDefault="00B7708F" w:rsidP="00B7708F">
      <w:pPr>
        <w:pStyle w:val="EntradandiceSentencia"/>
      </w:pPr>
    </w:p>
    <w:p w14:paraId="08E7F4D9" w14:textId="289D2B97" w:rsidR="00B7708F" w:rsidRDefault="00B7708F" w:rsidP="00B7708F">
      <w:pPr>
        <w:pStyle w:val="EntradaSumario"/>
      </w:pPr>
      <w:r w:rsidRPr="00B7708F">
        <w:rPr>
          <w:rStyle w:val="TextoNormalCaracter"/>
        </w:rPr>
        <w:t xml:space="preserve">Recurso de inconstitucionalidad 6026-2022. </w:t>
      </w:r>
      <w:r w:rsidRPr="00B7708F">
        <w:rPr>
          <w:rStyle w:val="TextoNormalCursivaCaracter"/>
        </w:rPr>
        <w:t xml:space="preserve"> Competencias sobre transporte, principios de autonomía local e igualdad: constitucionalidad de la regulación legal autonómica del arrendamiento de vehículos con conductor (STC 105/2018).</w:t>
      </w:r>
      <w:r>
        <w:tab/>
      </w:r>
      <w:r>
        <w:tab/>
      </w:r>
      <w:r>
        <w:fldChar w:fldCharType="begin"/>
      </w:r>
      <w:r>
        <w:instrText xml:space="preserve"> PAGEREF SENTENCIA_2024_88 \h </w:instrText>
      </w:r>
      <w:r>
        <w:fldChar w:fldCharType="separate"/>
      </w:r>
      <w:r w:rsidR="0055058D">
        <w:rPr>
          <w:noProof/>
        </w:rPr>
        <w:t>1975</w:t>
      </w:r>
      <w:r>
        <w:fldChar w:fldCharType="end"/>
      </w:r>
    </w:p>
    <w:p w14:paraId="76EB7D26" w14:textId="77777777" w:rsidR="00B7708F" w:rsidRDefault="00B7708F" w:rsidP="00B7708F"/>
    <w:p w14:paraId="694FB1A2" w14:textId="77777777" w:rsidR="00B7708F" w:rsidRDefault="00B7708F" w:rsidP="00B7708F">
      <w:pPr>
        <w:pStyle w:val="EntradandiceSentencia"/>
      </w:pPr>
      <w:r>
        <w:t>Pleno. Sentencia 89/2024, de 5 de junio de 2024</w:t>
      </w:r>
    </w:p>
    <w:p w14:paraId="0CE5C45D" w14:textId="65AAECEA" w:rsidR="00B7708F" w:rsidRDefault="00B7708F" w:rsidP="00B7708F">
      <w:pPr>
        <w:pStyle w:val="EntradandiceSentencia"/>
      </w:pPr>
    </w:p>
    <w:p w14:paraId="0095F9FF" w14:textId="3B60DDF1" w:rsidR="00B7708F" w:rsidRDefault="00B7708F" w:rsidP="00B7708F">
      <w:pPr>
        <w:pStyle w:val="EntradaSumario"/>
      </w:pPr>
      <w:r w:rsidRPr="00B7708F">
        <w:rPr>
          <w:rStyle w:val="TextoNormalCaracter"/>
        </w:rPr>
        <w:t xml:space="preserve">Recurso de inconstitucionalidad 6706-2022. </w:t>
      </w:r>
      <w:r w:rsidRPr="00B7708F">
        <w:rPr>
          <w:rStyle w:val="TextoNormalCursivaCaracter"/>
        </w:rPr>
        <w:t xml:space="preserve"> Principios de pluralismo ideológico, igualdad y no discriminación, legalidad penal y objetividad de la actua</w:t>
      </w:r>
      <w:r w:rsidRPr="00B7708F">
        <w:rPr>
          <w:rStyle w:val="TextoNormalCursivaCaracter"/>
        </w:rPr>
        <w:lastRenderedPageBreak/>
        <w:t>ción administrativa, libertades ideológica, de empresa y de enseñanza; reserva de ley orgánica: constitucionalidad de los preceptos legales relativos a la perspectiva de género en las políticas contra la discriminación, igualdad en acceso al empleo por cuenta ajena y a la vivienda, financiación pública de centros docentes que apliquen la educación diferenciada por sexos y tipificación de ilícitos administrativos. Votos particulares.</w:t>
      </w:r>
      <w:r>
        <w:tab/>
      </w:r>
      <w:r>
        <w:tab/>
      </w:r>
      <w:r>
        <w:fldChar w:fldCharType="begin"/>
      </w:r>
      <w:r>
        <w:instrText xml:space="preserve"> PAGEREF SENTENCIA_2024_89 \h </w:instrText>
      </w:r>
      <w:r>
        <w:fldChar w:fldCharType="separate"/>
      </w:r>
      <w:r w:rsidR="0055058D">
        <w:rPr>
          <w:noProof/>
        </w:rPr>
        <w:t>2001</w:t>
      </w:r>
      <w:r>
        <w:fldChar w:fldCharType="end"/>
      </w:r>
    </w:p>
    <w:p w14:paraId="3DFD1083" w14:textId="77777777" w:rsidR="00B7708F" w:rsidRDefault="00B7708F" w:rsidP="00B7708F"/>
    <w:p w14:paraId="41F75BD9" w14:textId="77777777" w:rsidR="00B7708F" w:rsidRDefault="00B7708F" w:rsidP="00B7708F">
      <w:pPr>
        <w:pStyle w:val="EntradandiceSentencia"/>
      </w:pPr>
      <w:r>
        <w:t>Pleno. Sentencia 90/2024, de 17 de junio de 2024</w:t>
      </w:r>
    </w:p>
    <w:p w14:paraId="490ACFFB" w14:textId="3ED9BB68" w:rsidR="00B7708F" w:rsidRDefault="00B7708F" w:rsidP="00B7708F">
      <w:pPr>
        <w:pStyle w:val="EntradandiceSentencia"/>
      </w:pPr>
    </w:p>
    <w:p w14:paraId="187B66DB" w14:textId="449B1B73" w:rsidR="00B7708F" w:rsidRDefault="00B7708F" w:rsidP="00B7708F">
      <w:pPr>
        <w:pStyle w:val="EntradaSumario"/>
      </w:pPr>
      <w:r w:rsidRPr="00B7708F">
        <w:rPr>
          <w:rStyle w:val="TextoNormalCaracter"/>
        </w:rPr>
        <w:t xml:space="preserve">Recurso de amparo 2552-2023. </w:t>
      </w:r>
      <w:r w:rsidRPr="00B7708F">
        <w:rPr>
          <w:rStyle w:val="TextoNormalCursivaCaracter"/>
        </w:rPr>
        <w:t xml:space="preserve"> Supuesta vulneración de los derechos a la tutela judicial efectiva y a la presunción de inocencia: demanda de amparo que no cumple las exigencias mínimas de la carga de alegar.</w:t>
      </w:r>
      <w:r>
        <w:tab/>
      </w:r>
      <w:r>
        <w:tab/>
      </w:r>
      <w:r>
        <w:fldChar w:fldCharType="begin"/>
      </w:r>
      <w:r>
        <w:instrText xml:space="preserve"> PAGEREF SENTENCIA_2024_90 \h </w:instrText>
      </w:r>
      <w:r>
        <w:fldChar w:fldCharType="separate"/>
      </w:r>
      <w:r w:rsidR="0055058D">
        <w:rPr>
          <w:noProof/>
        </w:rPr>
        <w:t>2028</w:t>
      </w:r>
      <w:r>
        <w:fldChar w:fldCharType="end"/>
      </w:r>
    </w:p>
    <w:p w14:paraId="289317DE" w14:textId="77777777" w:rsidR="00B7708F" w:rsidRDefault="00B7708F" w:rsidP="00B7708F"/>
    <w:p w14:paraId="171AC080" w14:textId="77777777" w:rsidR="00B7708F" w:rsidRDefault="00B7708F" w:rsidP="00B7708F">
      <w:pPr>
        <w:pStyle w:val="EntradandiceSentencia"/>
      </w:pPr>
      <w:r>
        <w:t>Pleno. Sentencia 91/2024, de 17 de junio de 2024</w:t>
      </w:r>
    </w:p>
    <w:p w14:paraId="4B4E357E" w14:textId="12671198" w:rsidR="00B7708F" w:rsidRDefault="00B7708F" w:rsidP="00B7708F">
      <w:pPr>
        <w:pStyle w:val="EntradandiceSentencia"/>
      </w:pPr>
    </w:p>
    <w:p w14:paraId="47C64C28" w14:textId="72D30876" w:rsidR="00B7708F" w:rsidRDefault="00B7708F" w:rsidP="00B7708F">
      <w:pPr>
        <w:pStyle w:val="EntradaSumario"/>
      </w:pPr>
      <w:r w:rsidRPr="00B7708F">
        <w:rPr>
          <w:rStyle w:val="TextoNormalCaracter"/>
        </w:rPr>
        <w:t xml:space="preserve">Cuestión de inconstitucionalidad 4409-2023. </w:t>
      </w:r>
      <w:r w:rsidRPr="00B7708F">
        <w:rPr>
          <w:rStyle w:val="TextoNormalCursivaCaracter"/>
        </w:rPr>
        <w:t xml:space="preserve"> Competencias sobre dominio público, protección del medio ambiente y ordenación del territorio: extinción de la cuestión de inconstitucionalidad por pérdida sobrevenida de su objeto al versar sobre un precepto legal anulado por la STC 76/2024, de 8 de mayo.</w:t>
      </w:r>
      <w:r>
        <w:tab/>
      </w:r>
      <w:r>
        <w:tab/>
      </w:r>
      <w:r>
        <w:fldChar w:fldCharType="begin"/>
      </w:r>
      <w:r>
        <w:instrText xml:space="preserve"> PAGEREF SENTENCIA_2024_91 \h </w:instrText>
      </w:r>
      <w:r>
        <w:fldChar w:fldCharType="separate"/>
      </w:r>
      <w:r w:rsidR="0055058D">
        <w:rPr>
          <w:noProof/>
        </w:rPr>
        <w:t>2048</w:t>
      </w:r>
      <w:r>
        <w:fldChar w:fldCharType="end"/>
      </w:r>
    </w:p>
    <w:p w14:paraId="07A6E7C8" w14:textId="77777777" w:rsidR="00B7708F" w:rsidRDefault="00B7708F" w:rsidP="00B7708F"/>
    <w:p w14:paraId="45A86BFA" w14:textId="77777777" w:rsidR="00B7708F" w:rsidRDefault="00B7708F" w:rsidP="00B7708F">
      <w:pPr>
        <w:pStyle w:val="EntradandiceSentencia"/>
      </w:pPr>
      <w:r>
        <w:t>Pleno. Sentencia 92/2024, de 18 de junio de 2024</w:t>
      </w:r>
    </w:p>
    <w:p w14:paraId="5773598F" w14:textId="7F3F979D" w:rsidR="00B7708F" w:rsidRDefault="00B7708F" w:rsidP="00B7708F">
      <w:pPr>
        <w:pStyle w:val="EntradandiceSentencia"/>
      </w:pPr>
    </w:p>
    <w:p w14:paraId="3D6CBBAC" w14:textId="70D0D363" w:rsidR="00B7708F" w:rsidRDefault="00B7708F" w:rsidP="00B7708F">
      <w:pPr>
        <w:pStyle w:val="EntradaSumario"/>
      </w:pPr>
      <w:r w:rsidRPr="00B7708F">
        <w:rPr>
          <w:rStyle w:val="TextoNormalCaracter"/>
        </w:rPr>
        <w:t xml:space="preserve">Recurso de inconstitucionalidad 3630-2023. </w:t>
      </w:r>
      <w:r w:rsidRPr="00B7708F">
        <w:rPr>
          <w:rStyle w:val="TextoNormalCursivaCaracter"/>
        </w:rPr>
        <w:t xml:space="preserve"> Valores superiores de libertad y pluralismo político; principio de legalidad; derechos a la igualdad, a la vida y la integridad física y moral, a la libertad ideológica, a la protección de datos y a la educación de los hijos conforme a las convicciones religiosas y morales de los padres; protección de las madres, asistencia a los hijos; deber de neutralidad de las administraciones públicas: constitucionalidad de los preceptos legales relativos a la integración de la perspectiva de género en las políticas públicas, formación en salud sexual y reproductiva, interrupción voluntaria del embarazo de mujeres de entre dieciséis y dieciocho años, supresión del período de reflexión previo a la interrupción voluntaria del embarazo, composición del comité clínico, registro de profesionales objetores de conciencia y exclusión de entidades y organizaciones de medidas de apoyo. Votos particulares.</w:t>
      </w:r>
      <w:r>
        <w:tab/>
      </w:r>
      <w:r>
        <w:tab/>
      </w:r>
      <w:r>
        <w:fldChar w:fldCharType="begin"/>
      </w:r>
      <w:r>
        <w:instrText xml:space="preserve"> PAGEREF SENTENCIA_2024_92 \h </w:instrText>
      </w:r>
      <w:r>
        <w:fldChar w:fldCharType="separate"/>
      </w:r>
      <w:r w:rsidR="0055058D">
        <w:rPr>
          <w:noProof/>
        </w:rPr>
        <w:t>2062</w:t>
      </w:r>
      <w:r>
        <w:fldChar w:fldCharType="end"/>
      </w:r>
    </w:p>
    <w:p w14:paraId="062F7082" w14:textId="77777777" w:rsidR="00B7708F" w:rsidRDefault="00B7708F" w:rsidP="00B7708F"/>
    <w:p w14:paraId="3F7A486A" w14:textId="77777777" w:rsidR="00B7708F" w:rsidRDefault="00B7708F" w:rsidP="00B7708F">
      <w:pPr>
        <w:pStyle w:val="EntradandiceSentencia"/>
      </w:pPr>
      <w:r>
        <w:t>Pleno. Sentencia 93/2024, de 19 de junio de 2024</w:t>
      </w:r>
    </w:p>
    <w:p w14:paraId="5F83FDFE" w14:textId="65B3D835" w:rsidR="00B7708F" w:rsidRDefault="00B7708F" w:rsidP="00B7708F">
      <w:pPr>
        <w:pStyle w:val="EntradandiceSentencia"/>
      </w:pPr>
    </w:p>
    <w:p w14:paraId="29BF787E" w14:textId="3E977BA6" w:rsidR="00B7708F" w:rsidRDefault="00B7708F" w:rsidP="00B7708F">
      <w:pPr>
        <w:pStyle w:val="EntradaSumario"/>
      </w:pPr>
      <w:r w:rsidRPr="00B7708F">
        <w:rPr>
          <w:rStyle w:val="TextoNormalCaracter"/>
        </w:rPr>
        <w:t xml:space="preserve">Recurso de amparo 6971-2022. </w:t>
      </w:r>
      <w:r w:rsidRPr="00B7708F">
        <w:rPr>
          <w:rStyle w:val="TextoNormalCursivaCaracter"/>
        </w:rPr>
        <w:t xml:space="preserve"> Vulneración del derecho a la legalidad penal: condena penal basada en una interpretación del todo imprevisible del tipo objetivo. Votos particulares.</w:t>
      </w:r>
      <w:r>
        <w:tab/>
      </w:r>
      <w:r>
        <w:tab/>
      </w:r>
      <w:r>
        <w:fldChar w:fldCharType="begin"/>
      </w:r>
      <w:r>
        <w:instrText xml:space="preserve"> PAGEREF SENTENCIA_2024_93 \h </w:instrText>
      </w:r>
      <w:r>
        <w:fldChar w:fldCharType="separate"/>
      </w:r>
      <w:r w:rsidR="0055058D">
        <w:rPr>
          <w:noProof/>
        </w:rPr>
        <w:t>2161</w:t>
      </w:r>
      <w:r>
        <w:fldChar w:fldCharType="end"/>
      </w:r>
    </w:p>
    <w:p w14:paraId="25B60CDC" w14:textId="5418284A" w:rsidR="00B7708F" w:rsidRDefault="00B7708F">
      <w:pPr>
        <w:spacing w:after="160" w:line="259" w:lineRule="auto"/>
      </w:pPr>
      <w:r>
        <w:br w:type="page"/>
      </w:r>
    </w:p>
    <w:p w14:paraId="3DCE8CF4" w14:textId="77777777" w:rsidR="00B7708F" w:rsidRDefault="00B7708F" w:rsidP="00B7708F"/>
    <w:p w14:paraId="570D1DFB" w14:textId="77777777" w:rsidR="00B7708F" w:rsidRDefault="00B7708F" w:rsidP="00B7708F"/>
    <w:p w14:paraId="495C999B" w14:textId="77777777" w:rsidR="00B7708F" w:rsidRDefault="00B7708F" w:rsidP="00B7708F"/>
    <w:p w14:paraId="6A67D958" w14:textId="77777777" w:rsidR="00B7708F" w:rsidRDefault="00B7708F" w:rsidP="00B7708F">
      <w:pPr>
        <w:pStyle w:val="Ttulondice"/>
      </w:pPr>
      <w:bookmarkStart w:id="2" w:name="SUMARIOSAUTOS"/>
      <w:r>
        <w:t>2. AUTOS: ATC 1/2024 A ATC 60/2024</w:t>
      </w:r>
    </w:p>
    <w:bookmarkEnd w:id="2"/>
    <w:p w14:paraId="6B12D78D" w14:textId="4CE438E7" w:rsidR="00B7708F" w:rsidRDefault="00B7708F" w:rsidP="00B7708F">
      <w:pPr>
        <w:pStyle w:val="Ttulondice"/>
      </w:pPr>
    </w:p>
    <w:p w14:paraId="74ABD832" w14:textId="77777777" w:rsidR="00B7708F" w:rsidRDefault="00B7708F" w:rsidP="00B7708F">
      <w:pPr>
        <w:pStyle w:val="Ttulondice"/>
      </w:pPr>
    </w:p>
    <w:p w14:paraId="1D57A951" w14:textId="77777777" w:rsidR="00B7708F" w:rsidRDefault="00B7708F" w:rsidP="00B7708F">
      <w:pPr>
        <w:pStyle w:val="Ttulondice"/>
      </w:pPr>
    </w:p>
    <w:p w14:paraId="76B76407" w14:textId="77777777" w:rsidR="00B7708F" w:rsidRDefault="00B7708F" w:rsidP="00B7708F">
      <w:pPr>
        <w:pStyle w:val="Ttulondice"/>
      </w:pPr>
    </w:p>
    <w:p w14:paraId="3A64C200" w14:textId="77777777" w:rsidR="00B7708F" w:rsidRDefault="00B7708F" w:rsidP="00B7708F">
      <w:pPr>
        <w:pStyle w:val="Ttulondice"/>
      </w:pPr>
    </w:p>
    <w:p w14:paraId="51C02CA3" w14:textId="77777777" w:rsidR="00B7708F" w:rsidRDefault="00B7708F" w:rsidP="00B7708F">
      <w:pPr>
        <w:pStyle w:val="Ttulondice"/>
      </w:pPr>
    </w:p>
    <w:p w14:paraId="67ACDD49" w14:textId="77777777" w:rsidR="00B7708F" w:rsidRDefault="00B7708F" w:rsidP="00B7708F">
      <w:pPr>
        <w:pStyle w:val="Ttulondice"/>
      </w:pPr>
    </w:p>
    <w:p w14:paraId="74C0C452" w14:textId="4E9ABF36" w:rsidR="00B7708F" w:rsidRDefault="00B7708F" w:rsidP="00B7708F">
      <w:pPr>
        <w:pStyle w:val="EntradandiceAuto"/>
      </w:pPr>
      <w:r>
        <w:t>Sección Primera. Auto 1/2024, de 9 de enero de 2024. Desestima el recurso de súplica interpuesto por el Ministerio Fiscal en relación con la providencia de inadmisión del recurso de amparo 1252-2022, promovido por doña Sigrid Bernice van der Spoel en causa penal.</w:t>
      </w:r>
      <w:r>
        <w:tab/>
      </w:r>
      <w:r>
        <w:tab/>
      </w:r>
      <w:r>
        <w:fldChar w:fldCharType="begin"/>
      </w:r>
      <w:r>
        <w:instrText xml:space="preserve"> PAGEREF AUTO_2024_1 \h </w:instrText>
      </w:r>
      <w:r>
        <w:fldChar w:fldCharType="separate"/>
      </w:r>
      <w:r w:rsidR="0055058D">
        <w:rPr>
          <w:noProof/>
        </w:rPr>
        <w:t>2262</w:t>
      </w:r>
      <w:r>
        <w:fldChar w:fldCharType="end"/>
      </w:r>
    </w:p>
    <w:p w14:paraId="5DCF76BD" w14:textId="77777777" w:rsidR="009D7677" w:rsidRDefault="009D7677" w:rsidP="00B7708F"/>
    <w:p w14:paraId="549ECE5C" w14:textId="05EBB3B4" w:rsidR="00B7708F" w:rsidRDefault="00B7708F" w:rsidP="00B7708F">
      <w:pPr>
        <w:pStyle w:val="EntradandiceAuto"/>
      </w:pPr>
      <w:r>
        <w:t>Sección Tercera. Auto 2/2024, de 18 de enero de 2024. Acepta una abstención en el recurso de amparo 8126-2022, promovido en proceso contencioso administrativo.</w:t>
      </w:r>
      <w:r>
        <w:tab/>
      </w:r>
      <w:r>
        <w:tab/>
      </w:r>
      <w:r>
        <w:fldChar w:fldCharType="begin"/>
      </w:r>
      <w:r>
        <w:instrText xml:space="preserve"> PAGEREF AUTO_2024_2 \h </w:instrText>
      </w:r>
      <w:r>
        <w:fldChar w:fldCharType="separate"/>
      </w:r>
      <w:r w:rsidR="0055058D">
        <w:rPr>
          <w:noProof/>
        </w:rPr>
        <w:t>2265</w:t>
      </w:r>
      <w:r>
        <w:fldChar w:fldCharType="end"/>
      </w:r>
    </w:p>
    <w:p w14:paraId="619BF810" w14:textId="77777777" w:rsidR="00B7708F" w:rsidRDefault="00B7708F" w:rsidP="00B7708F"/>
    <w:p w14:paraId="5CFBBF12" w14:textId="13FCAA50" w:rsidR="00B7708F" w:rsidRDefault="00B7708F" w:rsidP="00B7708F">
      <w:pPr>
        <w:pStyle w:val="EntradandiceAuto"/>
      </w:pPr>
      <w:r>
        <w:t>Sección Segunda. Auto 3/2024, de 23 de enero de 2024. Acepta una abstención en el recurso de amparo 7971-2023, promovido en proceso contencioso administrativo.</w:t>
      </w:r>
      <w:r>
        <w:tab/>
      </w:r>
      <w:r>
        <w:tab/>
      </w:r>
      <w:r>
        <w:fldChar w:fldCharType="begin"/>
      </w:r>
      <w:r>
        <w:instrText xml:space="preserve"> PAGEREF AUTO_2024_3 \h </w:instrText>
      </w:r>
      <w:r>
        <w:fldChar w:fldCharType="separate"/>
      </w:r>
      <w:r w:rsidR="0055058D">
        <w:rPr>
          <w:noProof/>
        </w:rPr>
        <w:t>2267</w:t>
      </w:r>
      <w:r>
        <w:fldChar w:fldCharType="end"/>
      </w:r>
    </w:p>
    <w:p w14:paraId="2BBEEFA5" w14:textId="77777777" w:rsidR="00B7708F" w:rsidRDefault="00B7708F" w:rsidP="00B7708F"/>
    <w:p w14:paraId="4FF6B07D" w14:textId="2F3F3CBE" w:rsidR="00B7708F" w:rsidRDefault="00B7708F" w:rsidP="00B7708F">
      <w:pPr>
        <w:pStyle w:val="EntradandiceAuto"/>
      </w:pPr>
      <w:r>
        <w:t>Sala Primera. Auto 4/2024, de 29 de enero de 2024. Acuerda la suspensión en el recurso de amparo 1719-2023, promovido por don Luis Viña García y Favigar, S.L., en causa penal.</w:t>
      </w:r>
      <w:r>
        <w:tab/>
      </w:r>
      <w:r>
        <w:tab/>
      </w:r>
      <w:r>
        <w:fldChar w:fldCharType="begin"/>
      </w:r>
      <w:r>
        <w:instrText xml:space="preserve"> PAGEREF AUTO_2024_4 \h </w:instrText>
      </w:r>
      <w:r>
        <w:fldChar w:fldCharType="separate"/>
      </w:r>
      <w:r w:rsidR="0055058D">
        <w:rPr>
          <w:noProof/>
        </w:rPr>
        <w:t>2269</w:t>
      </w:r>
      <w:r>
        <w:fldChar w:fldCharType="end"/>
      </w:r>
    </w:p>
    <w:p w14:paraId="73A309B6" w14:textId="77777777" w:rsidR="00B7708F" w:rsidRDefault="00B7708F" w:rsidP="00B7708F"/>
    <w:p w14:paraId="1F62CDD5" w14:textId="281AECC7" w:rsidR="00B7708F" w:rsidRDefault="00B7708F" w:rsidP="00B7708F">
      <w:pPr>
        <w:pStyle w:val="EntradandiceAuto"/>
      </w:pPr>
      <w:r>
        <w:t>Pleno. Auto 5/2024, de 30 de enero de 2024. Desestima el recurso de súplica interpuesto en relación con el ATC 483/2023, de 24 de octubre, que inadmitió las recusaciones formuladas en el recurso de amparo 1234-2022, promovido por don Josep Costa i Rosselló en causa penal.</w:t>
      </w:r>
      <w:r>
        <w:tab/>
      </w:r>
      <w:r>
        <w:tab/>
      </w:r>
      <w:r>
        <w:fldChar w:fldCharType="begin"/>
      </w:r>
      <w:r>
        <w:instrText xml:space="preserve"> PAGEREF AUTO_2024_5 \h </w:instrText>
      </w:r>
      <w:r>
        <w:fldChar w:fldCharType="separate"/>
      </w:r>
      <w:r w:rsidR="0055058D">
        <w:rPr>
          <w:noProof/>
        </w:rPr>
        <w:t>2273</w:t>
      </w:r>
      <w:r>
        <w:fldChar w:fldCharType="end"/>
      </w:r>
    </w:p>
    <w:p w14:paraId="2F76E3E6" w14:textId="77777777" w:rsidR="00B7708F" w:rsidRDefault="00B7708F" w:rsidP="00B7708F"/>
    <w:p w14:paraId="4A233D4E" w14:textId="3CCDBC50" w:rsidR="00B7708F" w:rsidRDefault="00B7708F" w:rsidP="00B7708F">
      <w:pPr>
        <w:pStyle w:val="EntradandiceAuto"/>
      </w:pPr>
      <w:r>
        <w:t>Sección Tercera. Auto 6/2024, de 1 de febrero de 2024. Acepta una abstención en el recurso de amparo 8334-2021, promovido por la asociación Gurasos Elkartea, en proceso contencioso administrativo.</w:t>
      </w:r>
      <w:r>
        <w:tab/>
      </w:r>
      <w:r>
        <w:tab/>
      </w:r>
      <w:r>
        <w:fldChar w:fldCharType="begin"/>
      </w:r>
      <w:r>
        <w:instrText xml:space="preserve"> PAGEREF AUTO_2024_6 \h </w:instrText>
      </w:r>
      <w:r>
        <w:fldChar w:fldCharType="separate"/>
      </w:r>
      <w:r w:rsidR="0055058D">
        <w:rPr>
          <w:noProof/>
        </w:rPr>
        <w:t>2281</w:t>
      </w:r>
      <w:r>
        <w:fldChar w:fldCharType="end"/>
      </w:r>
    </w:p>
    <w:p w14:paraId="6E24A1E2" w14:textId="77777777" w:rsidR="00B7708F" w:rsidRDefault="00B7708F" w:rsidP="00B7708F"/>
    <w:p w14:paraId="5EA92349" w14:textId="08F761F7" w:rsidR="00B7708F" w:rsidRDefault="00B7708F" w:rsidP="00B7708F">
      <w:pPr>
        <w:pStyle w:val="EntradandiceAuto"/>
      </w:pPr>
      <w:r>
        <w:t>Sección Tercera. Auto 7/2024, de 1 de febrero de 2024. Acepta una abstención en el recurso de amparo 1764-2022, promovido por la entidad Hotel Playa de la Luz, S.A., en proceso contencioso administrativo.</w:t>
      </w:r>
      <w:r>
        <w:tab/>
      </w:r>
      <w:r>
        <w:tab/>
      </w:r>
      <w:r>
        <w:fldChar w:fldCharType="begin"/>
      </w:r>
      <w:r>
        <w:instrText xml:space="preserve"> PAGEREF AUTO_2024_7 \h </w:instrText>
      </w:r>
      <w:r>
        <w:fldChar w:fldCharType="separate"/>
      </w:r>
      <w:r w:rsidR="0055058D">
        <w:rPr>
          <w:noProof/>
        </w:rPr>
        <w:t>2283</w:t>
      </w:r>
      <w:r>
        <w:fldChar w:fldCharType="end"/>
      </w:r>
    </w:p>
    <w:p w14:paraId="1195215E" w14:textId="77777777" w:rsidR="00B7708F" w:rsidRDefault="00B7708F" w:rsidP="00B7708F"/>
    <w:p w14:paraId="2BB1785E" w14:textId="6723DE13" w:rsidR="00B7708F" w:rsidRDefault="00B7708F" w:rsidP="00B7708F">
      <w:pPr>
        <w:pStyle w:val="EntradandiceAuto"/>
      </w:pPr>
      <w:r>
        <w:t>Sección Cuarta. Auto 8/2024, de 5 de febrero de 2024. Comunica el magistrado ponente y rechaza la solicitud de entrega del informe de letrado en el recurso de amparo 8273-2022, promovido por doña Encarnación Espinosa Jaén en litigio social.</w:t>
      </w:r>
      <w:r>
        <w:tab/>
      </w:r>
      <w:r>
        <w:tab/>
      </w:r>
      <w:r>
        <w:fldChar w:fldCharType="begin"/>
      </w:r>
      <w:r>
        <w:instrText xml:space="preserve"> PAGEREF AUTO_2024_8 \h </w:instrText>
      </w:r>
      <w:r>
        <w:fldChar w:fldCharType="separate"/>
      </w:r>
      <w:r w:rsidR="0055058D">
        <w:rPr>
          <w:noProof/>
        </w:rPr>
        <w:t>2285</w:t>
      </w:r>
      <w:r>
        <w:fldChar w:fldCharType="end"/>
      </w:r>
    </w:p>
    <w:p w14:paraId="67F8C94D" w14:textId="77777777" w:rsidR="00B7708F" w:rsidRDefault="00B7708F" w:rsidP="00B7708F"/>
    <w:p w14:paraId="36DE4888" w14:textId="5D975457" w:rsidR="00B7708F" w:rsidRDefault="00B7708F" w:rsidP="00B7708F">
      <w:pPr>
        <w:pStyle w:val="EntradandiceAuto"/>
      </w:pPr>
      <w:r>
        <w:t>Sala Segunda. Auto 9/2024, de 12 de febrero de 2024. Inadmite la solicitud de ejecución de la STC 69/2023, de 19 de junio, dictada en el recurso de amparo 3444-2020, promovida por el Ayuntamiento de Villanueva de Sijena (Huesca) en causa penal.</w:t>
      </w:r>
      <w:r>
        <w:tab/>
      </w:r>
      <w:r>
        <w:tab/>
      </w:r>
      <w:r>
        <w:fldChar w:fldCharType="begin"/>
      </w:r>
      <w:r>
        <w:instrText xml:space="preserve"> PAGEREF AUTO_2024_9 \h </w:instrText>
      </w:r>
      <w:r>
        <w:fldChar w:fldCharType="separate"/>
      </w:r>
      <w:r w:rsidR="0055058D">
        <w:rPr>
          <w:noProof/>
        </w:rPr>
        <w:t>2291</w:t>
      </w:r>
      <w:r>
        <w:fldChar w:fldCharType="end"/>
      </w:r>
    </w:p>
    <w:p w14:paraId="5683316A" w14:textId="77777777" w:rsidR="00B7708F" w:rsidRDefault="00B7708F" w:rsidP="00B7708F"/>
    <w:p w14:paraId="01F8D3ED" w14:textId="2C6B2DD2" w:rsidR="00B7708F" w:rsidRDefault="00B7708F" w:rsidP="00B7708F">
      <w:pPr>
        <w:pStyle w:val="EntradandiceAuto"/>
      </w:pPr>
      <w:r>
        <w:t>Sala Primera. Auto 10/2024, de 12 de febrero de 2024. Acepta una abstención en el recurso de amparo 1209-2021, promovido en procedimiento parlamentario.</w:t>
      </w:r>
      <w:r>
        <w:tab/>
      </w:r>
      <w:r>
        <w:tab/>
      </w:r>
      <w:r>
        <w:fldChar w:fldCharType="begin"/>
      </w:r>
      <w:r>
        <w:instrText xml:space="preserve"> PAGEREF AUTO_2024_10 \h </w:instrText>
      </w:r>
      <w:r>
        <w:fldChar w:fldCharType="separate"/>
      </w:r>
      <w:r w:rsidR="0055058D">
        <w:rPr>
          <w:noProof/>
        </w:rPr>
        <w:t>2295</w:t>
      </w:r>
      <w:r>
        <w:fldChar w:fldCharType="end"/>
      </w:r>
    </w:p>
    <w:p w14:paraId="03ACBA17" w14:textId="77777777" w:rsidR="00B7708F" w:rsidRDefault="00B7708F" w:rsidP="00B7708F"/>
    <w:p w14:paraId="7BD5B907" w14:textId="1E83A785" w:rsidR="00B7708F" w:rsidRDefault="00B7708F" w:rsidP="00B7708F">
      <w:pPr>
        <w:pStyle w:val="EntradandiceAuto"/>
      </w:pPr>
      <w:r>
        <w:t>Sala Segunda. Auto 11/2024, de 12 de febrero de 2024. Acepta una abstención en el recurso de amparo 2605-2021, promovido por don Mohamed El Bachiri en proceso contencioso administrativo.</w:t>
      </w:r>
      <w:r>
        <w:tab/>
      </w:r>
      <w:r>
        <w:tab/>
      </w:r>
      <w:r>
        <w:fldChar w:fldCharType="begin"/>
      </w:r>
      <w:r>
        <w:instrText xml:space="preserve"> PAGEREF AUTO_2024_11 \h </w:instrText>
      </w:r>
      <w:r>
        <w:fldChar w:fldCharType="separate"/>
      </w:r>
      <w:r w:rsidR="0055058D">
        <w:rPr>
          <w:noProof/>
        </w:rPr>
        <w:t>2297</w:t>
      </w:r>
      <w:r>
        <w:fldChar w:fldCharType="end"/>
      </w:r>
    </w:p>
    <w:p w14:paraId="38FBFCA3" w14:textId="77777777" w:rsidR="00B7708F" w:rsidRDefault="00B7708F" w:rsidP="00B7708F"/>
    <w:p w14:paraId="5943CA61" w14:textId="120D1176" w:rsidR="00B7708F" w:rsidRDefault="00B7708F" w:rsidP="00B7708F">
      <w:pPr>
        <w:pStyle w:val="EntradandiceAuto"/>
      </w:pPr>
      <w:r>
        <w:t>Sala Segunda. Auto 12/2024, de 12 de febrero de 2024. Acepta una abstención en el recurso de amparo 6168-2021, promovido por don Noureddine El Moumni en causa penal.</w:t>
      </w:r>
      <w:r>
        <w:tab/>
      </w:r>
      <w:r>
        <w:tab/>
      </w:r>
      <w:r>
        <w:fldChar w:fldCharType="begin"/>
      </w:r>
      <w:r>
        <w:instrText xml:space="preserve"> PAGEREF AUTO_2024_12 \h </w:instrText>
      </w:r>
      <w:r>
        <w:fldChar w:fldCharType="separate"/>
      </w:r>
      <w:r w:rsidR="0055058D">
        <w:rPr>
          <w:noProof/>
        </w:rPr>
        <w:t>2299</w:t>
      </w:r>
      <w:r>
        <w:fldChar w:fldCharType="end"/>
      </w:r>
    </w:p>
    <w:p w14:paraId="7AFAE701" w14:textId="77777777" w:rsidR="00B7708F" w:rsidRDefault="00B7708F" w:rsidP="00B7708F"/>
    <w:p w14:paraId="6A1EF2D6" w14:textId="77512237" w:rsidR="00B7708F" w:rsidRDefault="00B7708F" w:rsidP="00B7708F">
      <w:pPr>
        <w:pStyle w:val="EntradandiceAuto"/>
      </w:pPr>
      <w:r>
        <w:t>Sección Primera. Auto 13/2024, de 12 de febrero de 2024. Desestima el recurso de súplica interpuesto por el Ministerio Fiscal en relación con la providencia de inadmisión del recurso de amparo 7623-2022, promovido por don Juan Carlos Bernal Troyano en causa penal.</w:t>
      </w:r>
      <w:r>
        <w:tab/>
      </w:r>
      <w:r>
        <w:tab/>
      </w:r>
      <w:r>
        <w:fldChar w:fldCharType="begin"/>
      </w:r>
      <w:r>
        <w:instrText xml:space="preserve"> PAGEREF AUTO_2024_13 \h </w:instrText>
      </w:r>
      <w:r>
        <w:fldChar w:fldCharType="separate"/>
      </w:r>
      <w:r w:rsidR="0055058D">
        <w:rPr>
          <w:noProof/>
        </w:rPr>
        <w:t>2301</w:t>
      </w:r>
      <w:r>
        <w:fldChar w:fldCharType="end"/>
      </w:r>
    </w:p>
    <w:p w14:paraId="3A193E67" w14:textId="77777777" w:rsidR="00B7708F" w:rsidRDefault="00B7708F" w:rsidP="00B7708F"/>
    <w:p w14:paraId="71AD924C" w14:textId="0D56E308" w:rsidR="00B7708F" w:rsidRDefault="00B7708F" w:rsidP="00B7708F">
      <w:pPr>
        <w:pStyle w:val="EntradandiceAuto"/>
      </w:pPr>
      <w:r>
        <w:t>Pleno. Auto 14/2024, de 13 de febrero de 2024. Acepta una abstención en el recurso de inconstitucionalidad núm. 2061-2022, interpuesto por más de cincuenta diputados del Grupo Parlamentario Popular en relación con la Ley 19/2021, de 20 de diciembre, por la que se establece el ingreso mínimo vital.</w:t>
      </w:r>
      <w:r>
        <w:tab/>
      </w:r>
      <w:r>
        <w:tab/>
      </w:r>
      <w:r>
        <w:fldChar w:fldCharType="begin"/>
      </w:r>
      <w:r>
        <w:instrText xml:space="preserve"> PAGEREF AUTO_2024_14 \h </w:instrText>
      </w:r>
      <w:r>
        <w:fldChar w:fldCharType="separate"/>
      </w:r>
      <w:r w:rsidR="0055058D">
        <w:rPr>
          <w:noProof/>
        </w:rPr>
        <w:t>2305</w:t>
      </w:r>
      <w:r>
        <w:fldChar w:fldCharType="end"/>
      </w:r>
    </w:p>
    <w:p w14:paraId="23A685B2" w14:textId="77777777" w:rsidR="00B7708F" w:rsidRDefault="00B7708F" w:rsidP="00B7708F"/>
    <w:p w14:paraId="31960A0A" w14:textId="7CADB82A" w:rsidR="00B7708F" w:rsidRDefault="00B7708F" w:rsidP="00B7708F">
      <w:pPr>
        <w:pStyle w:val="EntradandiceAuto"/>
      </w:pPr>
      <w:r>
        <w:t>Sala Primera. Auto 15/2024, de 13 de febrero de 2024. Deniega la suspensión en el recurso de amparo 8554-2022, promovido por don A.J.S., en procedimiento de jurisdicción voluntaria.</w:t>
      </w:r>
      <w:r>
        <w:tab/>
      </w:r>
      <w:r>
        <w:tab/>
      </w:r>
      <w:r>
        <w:fldChar w:fldCharType="begin"/>
      </w:r>
      <w:r>
        <w:instrText xml:space="preserve"> PAGEREF AUTO_2024_15 \h </w:instrText>
      </w:r>
      <w:r>
        <w:fldChar w:fldCharType="separate"/>
      </w:r>
      <w:r w:rsidR="0055058D">
        <w:rPr>
          <w:noProof/>
        </w:rPr>
        <w:t>2307</w:t>
      </w:r>
      <w:r>
        <w:fldChar w:fldCharType="end"/>
      </w:r>
    </w:p>
    <w:p w14:paraId="27BA0839" w14:textId="77777777" w:rsidR="00B7708F" w:rsidRDefault="00B7708F" w:rsidP="00B7708F"/>
    <w:p w14:paraId="259254D7" w14:textId="3B357AFA" w:rsidR="00B7708F" w:rsidRDefault="00B7708F" w:rsidP="00B7708F">
      <w:pPr>
        <w:pStyle w:val="EntradandiceAuto"/>
      </w:pPr>
      <w:r>
        <w:lastRenderedPageBreak/>
        <w:t>Sección Tercera. Auto 16/2024, de 19 de febrero de 2024. Acepta una abstención en el recurso de amparo 499-2024, promovido en proceso contencioso administrativo.</w:t>
      </w:r>
      <w:r>
        <w:tab/>
      </w:r>
      <w:r>
        <w:tab/>
      </w:r>
      <w:r>
        <w:fldChar w:fldCharType="begin"/>
      </w:r>
      <w:r>
        <w:instrText xml:space="preserve"> PAGEREF AUTO_2024_16 \h </w:instrText>
      </w:r>
      <w:r>
        <w:fldChar w:fldCharType="separate"/>
      </w:r>
      <w:r w:rsidR="0055058D">
        <w:rPr>
          <w:noProof/>
        </w:rPr>
        <w:t>2317</w:t>
      </w:r>
      <w:r>
        <w:fldChar w:fldCharType="end"/>
      </w:r>
    </w:p>
    <w:p w14:paraId="741F7940" w14:textId="77777777" w:rsidR="00B7708F" w:rsidRDefault="00B7708F" w:rsidP="00B7708F"/>
    <w:p w14:paraId="4D98735D" w14:textId="72256185" w:rsidR="00B7708F" w:rsidRDefault="00B7708F" w:rsidP="00B7708F">
      <w:pPr>
        <w:pStyle w:val="EntradandiceAuto"/>
      </w:pPr>
      <w:r>
        <w:t>Sección Primera. Auto 17/2024, de 20 de febrero de 2024. Desestima solicitud de revisión de diligencia de ordenación dictada en el recurso de amparo 5820-2022, promovido por don Giorgio Aresu en proceso contencioso administrativo.</w:t>
      </w:r>
      <w:r>
        <w:tab/>
      </w:r>
      <w:r>
        <w:tab/>
      </w:r>
      <w:r>
        <w:fldChar w:fldCharType="begin"/>
      </w:r>
      <w:r>
        <w:instrText xml:space="preserve"> PAGEREF AUTO_2024_17 \h </w:instrText>
      </w:r>
      <w:r>
        <w:fldChar w:fldCharType="separate"/>
      </w:r>
      <w:r w:rsidR="0055058D">
        <w:rPr>
          <w:noProof/>
        </w:rPr>
        <w:t>2319</w:t>
      </w:r>
      <w:r>
        <w:fldChar w:fldCharType="end"/>
      </w:r>
    </w:p>
    <w:p w14:paraId="1CB3273C" w14:textId="77777777" w:rsidR="00B7708F" w:rsidRDefault="00B7708F" w:rsidP="00B7708F"/>
    <w:p w14:paraId="34740311" w14:textId="708C7D32" w:rsidR="00B7708F" w:rsidRDefault="00B7708F" w:rsidP="00B7708F">
      <w:pPr>
        <w:pStyle w:val="EntradandiceAuto"/>
      </w:pPr>
      <w:r>
        <w:t>Sala Segunda. Auto 18/2024, de 26 de febrero de 2024. Acepta una abstención en el recurso de amparo núm. 8026-2022, promovido en procedimiento parlamentario.</w:t>
      </w:r>
      <w:r>
        <w:tab/>
      </w:r>
      <w:r>
        <w:tab/>
      </w:r>
      <w:r>
        <w:fldChar w:fldCharType="begin"/>
      </w:r>
      <w:r>
        <w:instrText xml:space="preserve"> PAGEREF AUTO_2024_18 \h </w:instrText>
      </w:r>
      <w:r>
        <w:fldChar w:fldCharType="separate"/>
      </w:r>
      <w:r w:rsidR="0055058D">
        <w:rPr>
          <w:noProof/>
        </w:rPr>
        <w:t>2324</w:t>
      </w:r>
      <w:r>
        <w:fldChar w:fldCharType="end"/>
      </w:r>
    </w:p>
    <w:p w14:paraId="6037D6D0" w14:textId="77777777" w:rsidR="00B7708F" w:rsidRDefault="00B7708F" w:rsidP="00B7708F"/>
    <w:p w14:paraId="59D440FE" w14:textId="5459842B" w:rsidR="00B7708F" w:rsidRDefault="00B7708F" w:rsidP="00B7708F">
      <w:pPr>
        <w:pStyle w:val="EntradandiceAuto"/>
      </w:pPr>
      <w:r>
        <w:t>Sala Primera. Auto 19/2024, de 26 de febrero de 2024. Acuerda la suspensión en el recurso de amparo 3790-2023, promovido por dona Glenda Suyapa Dormes Medina en causa penal.</w:t>
      </w:r>
      <w:r>
        <w:tab/>
      </w:r>
      <w:r>
        <w:tab/>
      </w:r>
      <w:r>
        <w:fldChar w:fldCharType="begin"/>
      </w:r>
      <w:r>
        <w:instrText xml:space="preserve"> PAGEREF AUTO_2024_19 \h </w:instrText>
      </w:r>
      <w:r>
        <w:fldChar w:fldCharType="separate"/>
      </w:r>
      <w:r w:rsidR="0055058D">
        <w:rPr>
          <w:noProof/>
        </w:rPr>
        <w:t>2327</w:t>
      </w:r>
      <w:r>
        <w:fldChar w:fldCharType="end"/>
      </w:r>
    </w:p>
    <w:p w14:paraId="48DBD0A4" w14:textId="77777777" w:rsidR="00B7708F" w:rsidRDefault="00B7708F" w:rsidP="00B7708F"/>
    <w:p w14:paraId="7C9BED27" w14:textId="1EAB5940" w:rsidR="00B7708F" w:rsidRDefault="00B7708F" w:rsidP="00B7708F">
      <w:pPr>
        <w:pStyle w:val="EntradandiceAuto"/>
      </w:pPr>
      <w:r>
        <w:t>Pleno. Auto 20/2024, de 27 de febrero de 2024. Inadmite a trámite la cuestión de inconstitucionalidad 4195-2023, planteada por la Sección Cuarta de la Audiencia Provincial de A Coruña en relación con el artículo 607 de la Ley de enjuiciamiento civil.</w:t>
      </w:r>
      <w:r>
        <w:tab/>
      </w:r>
      <w:r>
        <w:tab/>
      </w:r>
      <w:r>
        <w:fldChar w:fldCharType="begin"/>
      </w:r>
      <w:r>
        <w:instrText xml:space="preserve"> PAGEREF AUTO_2024_20 \h </w:instrText>
      </w:r>
      <w:r>
        <w:fldChar w:fldCharType="separate"/>
      </w:r>
      <w:r w:rsidR="0055058D">
        <w:rPr>
          <w:noProof/>
        </w:rPr>
        <w:t>2330</w:t>
      </w:r>
      <w:r>
        <w:fldChar w:fldCharType="end"/>
      </w:r>
    </w:p>
    <w:p w14:paraId="4748B568" w14:textId="77777777" w:rsidR="00B7708F" w:rsidRDefault="00B7708F" w:rsidP="00B7708F"/>
    <w:p w14:paraId="1BD75BD4" w14:textId="426F1B36" w:rsidR="00B7708F" w:rsidRDefault="00B7708F" w:rsidP="00B7708F">
      <w:pPr>
        <w:pStyle w:val="EntradandiceAuto"/>
      </w:pPr>
      <w:r>
        <w:t>Pleno. Auto 21/2024, de 27 de febrero de 2024. Mantiene parcialmente la suspensión en el recurso de inconstitucionalidad 6243-2023, interpuesto por el presidente del Gobierno en relación con diversos preceptos de la Ley del Parlamento de Galicia 7/2022, de 27 de diciembre, de medidas fiscales y administrativas.</w:t>
      </w:r>
      <w:r>
        <w:tab/>
      </w:r>
      <w:r>
        <w:tab/>
      </w:r>
      <w:r>
        <w:fldChar w:fldCharType="begin"/>
      </w:r>
      <w:r>
        <w:instrText xml:space="preserve"> PAGEREF AUTO_2024_21 \h </w:instrText>
      </w:r>
      <w:r>
        <w:fldChar w:fldCharType="separate"/>
      </w:r>
      <w:r w:rsidR="0055058D">
        <w:rPr>
          <w:noProof/>
        </w:rPr>
        <w:t>2345</w:t>
      </w:r>
      <w:r>
        <w:fldChar w:fldCharType="end"/>
      </w:r>
    </w:p>
    <w:p w14:paraId="3E3ED97D" w14:textId="77777777" w:rsidR="00B7708F" w:rsidRDefault="00B7708F" w:rsidP="00B7708F"/>
    <w:p w14:paraId="35E5CA4E" w14:textId="6074D3A7" w:rsidR="00B7708F" w:rsidRDefault="00B7708F" w:rsidP="00B7708F">
      <w:pPr>
        <w:pStyle w:val="EntradandiceAuto"/>
      </w:pPr>
      <w:r>
        <w:t>Pleno. Auto 22/2024, de 28 de febrero de 2024. Mantiene parcialmente la suspensión en el recurso de inconstitucionalidad 6521-2023, interpuesto por el presidente del Gobierno en relación con diversos preceptos de la Ley del Parlamento de Galicia 4/2023, de 6 de julio, de ordenación y gestión integrada del litoral de Galicia.</w:t>
      </w:r>
      <w:r>
        <w:tab/>
      </w:r>
      <w:r>
        <w:tab/>
      </w:r>
      <w:r>
        <w:fldChar w:fldCharType="begin"/>
      </w:r>
      <w:r>
        <w:instrText xml:space="preserve"> PAGEREF AUTO_2024_22 \h </w:instrText>
      </w:r>
      <w:r>
        <w:fldChar w:fldCharType="separate"/>
      </w:r>
      <w:r w:rsidR="0055058D">
        <w:rPr>
          <w:noProof/>
        </w:rPr>
        <w:t>2358</w:t>
      </w:r>
      <w:r>
        <w:fldChar w:fldCharType="end"/>
      </w:r>
    </w:p>
    <w:p w14:paraId="570F39D1" w14:textId="77777777" w:rsidR="00B7708F" w:rsidRDefault="00B7708F" w:rsidP="00B7708F"/>
    <w:p w14:paraId="769B6F54" w14:textId="0080ADF2" w:rsidR="00B7708F" w:rsidRDefault="00B7708F" w:rsidP="00B7708F">
      <w:pPr>
        <w:pStyle w:val="EntradandiceAuto"/>
      </w:pPr>
      <w:r>
        <w:t>Sección Primera. Auto 23/2024, de 4 de marzo de 2024. Acepta una abstención en el recurso de amparo 7632-2023, promovido en proceso militar.</w:t>
      </w:r>
      <w:r>
        <w:tab/>
      </w:r>
      <w:r>
        <w:tab/>
      </w:r>
      <w:r>
        <w:fldChar w:fldCharType="begin"/>
      </w:r>
      <w:r>
        <w:instrText xml:space="preserve"> PAGEREF AUTO_2024_23 \h </w:instrText>
      </w:r>
      <w:r>
        <w:fldChar w:fldCharType="separate"/>
      </w:r>
      <w:r w:rsidR="0055058D">
        <w:rPr>
          <w:noProof/>
        </w:rPr>
        <w:t>2368</w:t>
      </w:r>
      <w:r>
        <w:fldChar w:fldCharType="end"/>
      </w:r>
    </w:p>
    <w:p w14:paraId="3735B8D2" w14:textId="77777777" w:rsidR="00B7708F" w:rsidRDefault="00B7708F" w:rsidP="00B7708F"/>
    <w:p w14:paraId="6298BCB0" w14:textId="36B270A0" w:rsidR="00B7708F" w:rsidRDefault="00B7708F" w:rsidP="00B7708F">
      <w:pPr>
        <w:pStyle w:val="EntradandiceAuto"/>
      </w:pPr>
      <w:r>
        <w:t>Sección Cuarta. Auto 24/2024, de 14 de marzo de 2024. Inadmite a trámite el recurso de amparo 1599-2024, promovido por el Grupo Parlamentario Vox en el Congreso de los Diputados en procedimiento parlamentario. Voto particular.</w:t>
      </w:r>
      <w:r>
        <w:tab/>
      </w:r>
      <w:r>
        <w:tab/>
      </w:r>
      <w:r>
        <w:fldChar w:fldCharType="begin"/>
      </w:r>
      <w:r>
        <w:instrText xml:space="preserve"> PAGEREF AUTO_2024_24 \h </w:instrText>
      </w:r>
      <w:r>
        <w:fldChar w:fldCharType="separate"/>
      </w:r>
      <w:r w:rsidR="0055058D">
        <w:rPr>
          <w:noProof/>
        </w:rPr>
        <w:t>2369</w:t>
      </w:r>
      <w:r>
        <w:fldChar w:fldCharType="end"/>
      </w:r>
    </w:p>
    <w:p w14:paraId="25DB376A" w14:textId="77777777" w:rsidR="00B7708F" w:rsidRDefault="00B7708F" w:rsidP="00B7708F"/>
    <w:p w14:paraId="6D16A0B5" w14:textId="2C471C92" w:rsidR="00B7708F" w:rsidRDefault="00B7708F" w:rsidP="00B7708F">
      <w:pPr>
        <w:pStyle w:val="EntradandiceAuto"/>
      </w:pPr>
      <w:r>
        <w:lastRenderedPageBreak/>
        <w:t>Sección Primera. Auto 25/2024, de 22 de marzo de 2024. Acepta una abstención en el recurso de amparo 2394-2022, promovido en proceso contencioso administrativo.</w:t>
      </w:r>
      <w:r>
        <w:tab/>
      </w:r>
      <w:r>
        <w:tab/>
      </w:r>
      <w:r>
        <w:fldChar w:fldCharType="begin"/>
      </w:r>
      <w:r>
        <w:instrText xml:space="preserve"> PAGEREF AUTO_2024_25 \h </w:instrText>
      </w:r>
      <w:r>
        <w:fldChar w:fldCharType="separate"/>
      </w:r>
      <w:r w:rsidR="0055058D">
        <w:rPr>
          <w:noProof/>
        </w:rPr>
        <w:t>2380</w:t>
      </w:r>
      <w:r>
        <w:fldChar w:fldCharType="end"/>
      </w:r>
    </w:p>
    <w:p w14:paraId="223F3C4F" w14:textId="77777777" w:rsidR="00B7708F" w:rsidRDefault="00B7708F" w:rsidP="00B7708F"/>
    <w:p w14:paraId="4F951597" w14:textId="42907DF3" w:rsidR="00B7708F" w:rsidRDefault="00B7708F" w:rsidP="00B7708F">
      <w:pPr>
        <w:pStyle w:val="EntradandiceAuto"/>
      </w:pPr>
      <w:r>
        <w:t>Sala Segunda. Auto 26/2024, de 8 de abril de 2024. Desestima el recurso de súplica interpuesto en relación con el ATC 9/2024, de 12 de febrero, que inadmitió la solicitud de ejecución de la STC 69/2023, de 19 de junio, dictada en el recurso de amparo 3444-2020, promovido por el Ayuntamiento de Villanueva de Sijena (Huesca) en causa penal.</w:t>
      </w:r>
      <w:r>
        <w:tab/>
      </w:r>
      <w:r>
        <w:tab/>
      </w:r>
      <w:r>
        <w:fldChar w:fldCharType="begin"/>
      </w:r>
      <w:r>
        <w:instrText xml:space="preserve"> PAGEREF AUTO_2024_26 \h </w:instrText>
      </w:r>
      <w:r>
        <w:fldChar w:fldCharType="separate"/>
      </w:r>
      <w:r w:rsidR="0055058D">
        <w:rPr>
          <w:noProof/>
        </w:rPr>
        <w:t>2382</w:t>
      </w:r>
      <w:r>
        <w:fldChar w:fldCharType="end"/>
      </w:r>
    </w:p>
    <w:p w14:paraId="3F29E143" w14:textId="77777777" w:rsidR="00B7708F" w:rsidRDefault="00B7708F" w:rsidP="00B7708F"/>
    <w:p w14:paraId="1A06B588" w14:textId="7ECA2991" w:rsidR="00B7708F" w:rsidRDefault="00B7708F" w:rsidP="00B7708F">
      <w:pPr>
        <w:pStyle w:val="EntradandiceAuto"/>
      </w:pPr>
      <w:r>
        <w:t>Sala Primera. Auto 27/2024, de 8 de abril de 2024. Acuerda la suspensión parcial en el recurso de amparo 5242-2023, promovido por doña Wenzhou Zeng en causa penal.</w:t>
      </w:r>
      <w:r>
        <w:tab/>
      </w:r>
      <w:r>
        <w:tab/>
      </w:r>
      <w:r>
        <w:fldChar w:fldCharType="begin"/>
      </w:r>
      <w:r>
        <w:instrText xml:space="preserve"> PAGEREF AUTO_2024_27 \h </w:instrText>
      </w:r>
      <w:r>
        <w:fldChar w:fldCharType="separate"/>
      </w:r>
      <w:r w:rsidR="0055058D">
        <w:rPr>
          <w:noProof/>
        </w:rPr>
        <w:t>2385</w:t>
      </w:r>
      <w:r>
        <w:fldChar w:fldCharType="end"/>
      </w:r>
    </w:p>
    <w:p w14:paraId="7030B4CA" w14:textId="77777777" w:rsidR="00B7708F" w:rsidRDefault="00B7708F" w:rsidP="00B7708F"/>
    <w:p w14:paraId="581C51C8" w14:textId="02560D44" w:rsidR="00B7708F" w:rsidRDefault="00B7708F" w:rsidP="00B7708F">
      <w:pPr>
        <w:pStyle w:val="EntradandiceAuto"/>
      </w:pPr>
      <w:r>
        <w:t>Sección Tercera. Auto 28/2024, de 9 de abril de 2024. Acepta una abstención en el recurso de amparo 8472-2022, promovido en proceso contencioso-administrativo.</w:t>
      </w:r>
      <w:r>
        <w:tab/>
      </w:r>
      <w:r>
        <w:tab/>
      </w:r>
      <w:r>
        <w:fldChar w:fldCharType="begin"/>
      </w:r>
      <w:r>
        <w:instrText xml:space="preserve"> PAGEREF AUTO_2024_28 \h </w:instrText>
      </w:r>
      <w:r>
        <w:fldChar w:fldCharType="separate"/>
      </w:r>
      <w:r w:rsidR="0055058D">
        <w:rPr>
          <w:noProof/>
        </w:rPr>
        <w:t>2397</w:t>
      </w:r>
      <w:r>
        <w:fldChar w:fldCharType="end"/>
      </w:r>
    </w:p>
    <w:p w14:paraId="267D75FE" w14:textId="77777777" w:rsidR="00B7708F" w:rsidRDefault="00B7708F" w:rsidP="00B7708F"/>
    <w:p w14:paraId="7F862281" w14:textId="6754ABAB" w:rsidR="00B7708F" w:rsidRDefault="00B7708F" w:rsidP="00B7708F">
      <w:pPr>
        <w:pStyle w:val="EntradandiceAuto"/>
      </w:pPr>
      <w:r>
        <w:t>Pleno. Auto 29/2024, de 9 de abril de 2024. Desestima el recurso de súplica interpuesto en relación con el ATC 490/2023, de 24 de octubre, que inadmitió las recusaciones formuladas en el recurso de amparo 5439-2023 y otros cuatro más, promovidos por don Carles Puigdemont i Casamajó, don Antoni Comín Oliveres y doña Clara Ponsatí i Obiols en causa penal.</w:t>
      </w:r>
      <w:r>
        <w:tab/>
      </w:r>
      <w:r>
        <w:tab/>
      </w:r>
      <w:r>
        <w:fldChar w:fldCharType="begin"/>
      </w:r>
      <w:r>
        <w:instrText xml:space="preserve"> PAGEREF AUTO_2024_29 \h </w:instrText>
      </w:r>
      <w:r>
        <w:fldChar w:fldCharType="separate"/>
      </w:r>
      <w:r w:rsidR="0055058D">
        <w:rPr>
          <w:noProof/>
        </w:rPr>
        <w:t>2399</w:t>
      </w:r>
      <w:r>
        <w:fldChar w:fldCharType="end"/>
      </w:r>
    </w:p>
    <w:p w14:paraId="0D5AD8C1" w14:textId="77777777" w:rsidR="00B7708F" w:rsidRDefault="00B7708F" w:rsidP="00B7708F"/>
    <w:p w14:paraId="3BBEAC16" w14:textId="6B69F288" w:rsidR="00B7708F" w:rsidRDefault="00B7708F" w:rsidP="00B7708F">
      <w:pPr>
        <w:pStyle w:val="EntradandiceAuto"/>
      </w:pPr>
      <w:r>
        <w:t>Pleno. Auto 30/2024, de 9 de abril de 2024. Inadmite a trámite la cuestión de inconstitucionalidad 7324-2023, planteada por el Juzgado de lo Social núm. 1 de Tortosa, en relación con el artículo 60.1 del texto refundido de la Ley general de la Seguridad Social, en la redacción dada por el Real Decreto-ley 3/2021, de 2 de febrero, y por el Real Decreto-ley 2/2023, de 16 de marzo.</w:t>
      </w:r>
      <w:r>
        <w:tab/>
      </w:r>
      <w:r>
        <w:tab/>
      </w:r>
      <w:r>
        <w:fldChar w:fldCharType="begin"/>
      </w:r>
      <w:r>
        <w:instrText xml:space="preserve"> PAGEREF AUTO_2024_30 \h </w:instrText>
      </w:r>
      <w:r>
        <w:fldChar w:fldCharType="separate"/>
      </w:r>
      <w:r w:rsidR="0055058D">
        <w:rPr>
          <w:noProof/>
        </w:rPr>
        <w:t>2410</w:t>
      </w:r>
      <w:r>
        <w:fldChar w:fldCharType="end"/>
      </w:r>
    </w:p>
    <w:p w14:paraId="7932377B" w14:textId="77777777" w:rsidR="00B7708F" w:rsidRDefault="00B7708F" w:rsidP="00B7708F"/>
    <w:p w14:paraId="30B50A18" w14:textId="02EB9ACF" w:rsidR="00B7708F" w:rsidRDefault="00B7708F" w:rsidP="00B7708F">
      <w:pPr>
        <w:pStyle w:val="EntradandiceAuto"/>
      </w:pPr>
      <w:r>
        <w:t>Pleno. Auto 31/2024, de 9 de abril de 2024. Inadmite una recusación formulada en el recurso de amparo 551-2024, promovido por don Antonio López Navidad en litigio social.</w:t>
      </w:r>
      <w:r>
        <w:tab/>
      </w:r>
      <w:r>
        <w:tab/>
      </w:r>
      <w:r>
        <w:fldChar w:fldCharType="begin"/>
      </w:r>
      <w:r>
        <w:instrText xml:space="preserve"> PAGEREF AUTO_2024_31 \h </w:instrText>
      </w:r>
      <w:r>
        <w:fldChar w:fldCharType="separate"/>
      </w:r>
      <w:r w:rsidR="0055058D">
        <w:rPr>
          <w:noProof/>
        </w:rPr>
        <w:t>2421</w:t>
      </w:r>
      <w:r>
        <w:fldChar w:fldCharType="end"/>
      </w:r>
    </w:p>
    <w:p w14:paraId="7B6F753C" w14:textId="77777777" w:rsidR="00B7708F" w:rsidRDefault="00B7708F" w:rsidP="00B7708F"/>
    <w:p w14:paraId="3FF97937" w14:textId="1668BEA8" w:rsidR="00B7708F" w:rsidRDefault="00B7708F" w:rsidP="00B7708F">
      <w:pPr>
        <w:pStyle w:val="EntradandiceAuto"/>
      </w:pPr>
      <w:r>
        <w:t>Pleno. Auto 32/2024, de 9 de abril de 2024. Inadmite una recusación formulada en el recurso de amparo 773-2024, promovido por don Antonio López Navidad en litigio social.</w:t>
      </w:r>
      <w:r>
        <w:tab/>
      </w:r>
      <w:r>
        <w:tab/>
      </w:r>
      <w:r>
        <w:fldChar w:fldCharType="begin"/>
      </w:r>
      <w:r>
        <w:instrText xml:space="preserve"> PAGEREF AUTO_2024_32 \h </w:instrText>
      </w:r>
      <w:r>
        <w:fldChar w:fldCharType="separate"/>
      </w:r>
      <w:r w:rsidR="0055058D">
        <w:rPr>
          <w:noProof/>
        </w:rPr>
        <w:t>2425</w:t>
      </w:r>
      <w:r>
        <w:fldChar w:fldCharType="end"/>
      </w:r>
    </w:p>
    <w:p w14:paraId="622686C7" w14:textId="77777777" w:rsidR="00B7708F" w:rsidRDefault="00B7708F" w:rsidP="00B7708F"/>
    <w:p w14:paraId="600FDD94" w14:textId="49323208" w:rsidR="00B7708F" w:rsidRDefault="00B7708F" w:rsidP="00B7708F">
      <w:pPr>
        <w:pStyle w:val="EntradandiceAuto"/>
      </w:pPr>
      <w:r>
        <w:t>Pleno. Auto 33/2024, de 9 de abril de 2024. Inadmite una recusación formulada en el recurso de amparo 787-2024, promovido por don Antonio López Navidad en litigio social.</w:t>
      </w:r>
      <w:r>
        <w:tab/>
      </w:r>
      <w:r>
        <w:tab/>
      </w:r>
      <w:r>
        <w:fldChar w:fldCharType="begin"/>
      </w:r>
      <w:r>
        <w:instrText xml:space="preserve"> PAGEREF AUTO_2024_33 \h </w:instrText>
      </w:r>
      <w:r>
        <w:fldChar w:fldCharType="separate"/>
      </w:r>
      <w:r w:rsidR="0055058D">
        <w:rPr>
          <w:noProof/>
        </w:rPr>
        <w:t>2430</w:t>
      </w:r>
      <w:r>
        <w:fldChar w:fldCharType="end"/>
      </w:r>
    </w:p>
    <w:p w14:paraId="0FA6CBD4" w14:textId="77777777" w:rsidR="00B7708F" w:rsidRDefault="00B7708F" w:rsidP="00B7708F"/>
    <w:p w14:paraId="455E7F46" w14:textId="5A9E4C36" w:rsidR="00B7708F" w:rsidRDefault="00B7708F" w:rsidP="00B7708F">
      <w:pPr>
        <w:pStyle w:val="EntradandiceAuto"/>
      </w:pPr>
      <w:r>
        <w:t>Sección Tercera. Auto 34/2024, de 12 de abril de 2024. Estima el recurso de súplica interpuesto por el Ministerio Fiscal en relación con la providencia de inadmisión del recurso de amparo 8125-2022, promovido por la entidad Kuailian App OÜ en causa penal.</w:t>
      </w:r>
      <w:r>
        <w:tab/>
      </w:r>
      <w:r>
        <w:tab/>
      </w:r>
      <w:r>
        <w:fldChar w:fldCharType="begin"/>
      </w:r>
      <w:r>
        <w:instrText xml:space="preserve"> PAGEREF AUTO_2024_34 \h </w:instrText>
      </w:r>
      <w:r>
        <w:fldChar w:fldCharType="separate"/>
      </w:r>
      <w:r w:rsidR="0055058D">
        <w:rPr>
          <w:noProof/>
        </w:rPr>
        <w:t>2434</w:t>
      </w:r>
      <w:r>
        <w:fldChar w:fldCharType="end"/>
      </w:r>
    </w:p>
    <w:p w14:paraId="4EF48628" w14:textId="77777777" w:rsidR="00B7708F" w:rsidRDefault="00B7708F" w:rsidP="00B7708F"/>
    <w:p w14:paraId="5573FA95" w14:textId="497D69CB" w:rsidR="00B7708F" w:rsidRDefault="00B7708F" w:rsidP="00B7708F">
      <w:pPr>
        <w:pStyle w:val="EntradandiceAuto"/>
      </w:pPr>
      <w:r>
        <w:t>Sala Segunda. Auto 35/2024, de 23 de abril de 2024. Acepta una abstención en el recurso de amparo 285-2023, promovido por don Nikita Bakutin en proceso contencioso-administrativo.</w:t>
      </w:r>
      <w:r>
        <w:tab/>
      </w:r>
      <w:r>
        <w:tab/>
      </w:r>
      <w:r>
        <w:fldChar w:fldCharType="begin"/>
      </w:r>
      <w:r>
        <w:instrText xml:space="preserve"> PAGEREF AUTO_2024_35 \h </w:instrText>
      </w:r>
      <w:r>
        <w:fldChar w:fldCharType="separate"/>
      </w:r>
      <w:r w:rsidR="0055058D">
        <w:rPr>
          <w:noProof/>
        </w:rPr>
        <w:t>2437</w:t>
      </w:r>
      <w:r>
        <w:fldChar w:fldCharType="end"/>
      </w:r>
    </w:p>
    <w:p w14:paraId="3ADEF26B" w14:textId="77777777" w:rsidR="00B7708F" w:rsidRDefault="00B7708F" w:rsidP="00B7708F"/>
    <w:p w14:paraId="13F3422C" w14:textId="04DCA7C6" w:rsidR="00B7708F" w:rsidRDefault="00B7708F" w:rsidP="00B7708F">
      <w:pPr>
        <w:pStyle w:val="EntradandiceAuto"/>
      </w:pPr>
      <w:r>
        <w:t>Sala Segunda. Auto 36/2024, de 23 de abril de 2024. Acuerda la suspensión en el recurso de amparo 285-2023, promovido por don Nikita Bakutin en proceso contencioso-administrativo.</w:t>
      </w:r>
      <w:r>
        <w:tab/>
      </w:r>
      <w:r>
        <w:tab/>
      </w:r>
      <w:r>
        <w:fldChar w:fldCharType="begin"/>
      </w:r>
      <w:r>
        <w:instrText xml:space="preserve"> PAGEREF AUTO_2024_36 \h </w:instrText>
      </w:r>
      <w:r>
        <w:fldChar w:fldCharType="separate"/>
      </w:r>
      <w:r w:rsidR="0055058D">
        <w:rPr>
          <w:noProof/>
        </w:rPr>
        <w:t>2439</w:t>
      </w:r>
      <w:r>
        <w:fldChar w:fldCharType="end"/>
      </w:r>
    </w:p>
    <w:p w14:paraId="4B7E7DC6" w14:textId="77777777" w:rsidR="00B7708F" w:rsidRDefault="00B7708F" w:rsidP="00B7708F"/>
    <w:p w14:paraId="14E7AA2D" w14:textId="16A07863" w:rsidR="00B7708F" w:rsidRDefault="00B7708F" w:rsidP="00B7708F">
      <w:pPr>
        <w:pStyle w:val="EntradandiceAuto"/>
      </w:pPr>
      <w:r>
        <w:t>Pleno. Auto 37/2024, de 23 de abril de 2024. Levanta la suspensión en el recurso de inconstitucionalidad 8042-2023, interpuesto por el presidente del Gobierno en relación con diversos preceptos del Decreto-ley del Gobierno de Aragón 1/2023, de 20 de marzo, de medidas urgentes para el impulso de la transición energética y el consumo de cercanía en Aragón.</w:t>
      </w:r>
      <w:r>
        <w:tab/>
      </w:r>
      <w:r>
        <w:tab/>
      </w:r>
      <w:r>
        <w:fldChar w:fldCharType="begin"/>
      </w:r>
      <w:r>
        <w:instrText xml:space="preserve"> PAGEREF AUTO_2024_37 \h </w:instrText>
      </w:r>
      <w:r>
        <w:fldChar w:fldCharType="separate"/>
      </w:r>
      <w:r w:rsidR="0055058D">
        <w:rPr>
          <w:noProof/>
        </w:rPr>
        <w:t>2443</w:t>
      </w:r>
      <w:r>
        <w:fldChar w:fldCharType="end"/>
      </w:r>
    </w:p>
    <w:p w14:paraId="6132BA48" w14:textId="77777777" w:rsidR="00B7708F" w:rsidRDefault="00B7708F" w:rsidP="00B7708F"/>
    <w:p w14:paraId="65B957B3" w14:textId="4DF10A65" w:rsidR="00B7708F" w:rsidRDefault="00B7708F" w:rsidP="00B7708F">
      <w:pPr>
        <w:pStyle w:val="EntradandiceAuto"/>
      </w:pPr>
      <w:r>
        <w:t>Sala Segunda. Auto 38/2024, de 6 de mayo de 2024. Acuerda el desistimiento en la pieza separada de suspensión en el recurso de amparo 1372-2022, promovido por doña Olga Villanueva Illana en pleito civil.</w:t>
      </w:r>
      <w:r>
        <w:tab/>
      </w:r>
      <w:r>
        <w:tab/>
      </w:r>
      <w:r>
        <w:fldChar w:fldCharType="begin"/>
      </w:r>
      <w:r>
        <w:instrText xml:space="preserve"> PAGEREF AUTO_2024_38 \h </w:instrText>
      </w:r>
      <w:r>
        <w:fldChar w:fldCharType="separate"/>
      </w:r>
      <w:r w:rsidR="0055058D">
        <w:rPr>
          <w:noProof/>
        </w:rPr>
        <w:t>2451</w:t>
      </w:r>
      <w:r>
        <w:fldChar w:fldCharType="end"/>
      </w:r>
    </w:p>
    <w:p w14:paraId="3FB56EDD" w14:textId="77777777" w:rsidR="00B7708F" w:rsidRDefault="00B7708F" w:rsidP="00B7708F"/>
    <w:p w14:paraId="5655C516" w14:textId="3B4D76F0" w:rsidR="00B7708F" w:rsidRDefault="00B7708F" w:rsidP="00B7708F">
      <w:pPr>
        <w:pStyle w:val="EntradandiceAuto"/>
      </w:pPr>
      <w:r>
        <w:t>Sección Cuarta. Auto 39/2024, de 6 de mayo de 2024. Desestima el recurso de súplica interpuesto por el Ministerio Fiscal en relación con la providencia de inadmisión del recurso de amparo 2930-2023, promovido por don Francisco Medina Castillo en causa penal.</w:t>
      </w:r>
      <w:r>
        <w:tab/>
      </w:r>
      <w:r>
        <w:tab/>
      </w:r>
      <w:r>
        <w:fldChar w:fldCharType="begin"/>
      </w:r>
      <w:r>
        <w:instrText xml:space="preserve"> PAGEREF AUTO_2024_39 \h </w:instrText>
      </w:r>
      <w:r>
        <w:fldChar w:fldCharType="separate"/>
      </w:r>
      <w:r w:rsidR="0055058D">
        <w:rPr>
          <w:noProof/>
        </w:rPr>
        <w:t>2454</w:t>
      </w:r>
      <w:r>
        <w:fldChar w:fldCharType="end"/>
      </w:r>
    </w:p>
    <w:p w14:paraId="6FD6A880" w14:textId="77777777" w:rsidR="00B7708F" w:rsidRDefault="00B7708F" w:rsidP="00B7708F"/>
    <w:p w14:paraId="78554A4A" w14:textId="029D49CA" w:rsidR="00B7708F" w:rsidRDefault="00B7708F" w:rsidP="00B7708F">
      <w:pPr>
        <w:pStyle w:val="EntradandiceAuto"/>
      </w:pPr>
      <w:r>
        <w:t>Sala Segunda. Auto 40/2024, de 6 de mayo de 2024. Acuerda la suspensión parcial en el recurso de amparo 4668-2023, promovido por doña Ana Taboada Coma en pleito civil.</w:t>
      </w:r>
      <w:r>
        <w:tab/>
      </w:r>
      <w:r>
        <w:tab/>
      </w:r>
      <w:r>
        <w:fldChar w:fldCharType="begin"/>
      </w:r>
      <w:r>
        <w:instrText xml:space="preserve"> PAGEREF AUTO_2024_40 \h </w:instrText>
      </w:r>
      <w:r>
        <w:fldChar w:fldCharType="separate"/>
      </w:r>
      <w:r w:rsidR="0055058D">
        <w:rPr>
          <w:noProof/>
        </w:rPr>
        <w:t>2459</w:t>
      </w:r>
      <w:r>
        <w:fldChar w:fldCharType="end"/>
      </w:r>
    </w:p>
    <w:p w14:paraId="5B3D10C8" w14:textId="77777777" w:rsidR="00B7708F" w:rsidRDefault="00B7708F" w:rsidP="00B7708F"/>
    <w:p w14:paraId="2D36C33E" w14:textId="00479838" w:rsidR="00B7708F" w:rsidRDefault="00B7708F" w:rsidP="00B7708F">
      <w:pPr>
        <w:pStyle w:val="EntradandiceAuto"/>
      </w:pPr>
      <w:r>
        <w:t>Pleno. Auto 41/2024, de 7 de mayo de 2024. Inadmite a trámite la cuestión de inconstitucionalidad 7754-2023, planteada por la Sección Primera de la Sala de lo Contencioso-Administrativo del Tribunal Superior de Justicia de Illes Balears, en relación con el art. 2.2 c) de la Ley del Parlamento de las Illes Balears 8/2019, de 19 de febrero, de residuos y suelos contaminados de las Illes Balears.</w:t>
      </w:r>
      <w:r>
        <w:tab/>
      </w:r>
      <w:r>
        <w:tab/>
      </w:r>
      <w:r>
        <w:fldChar w:fldCharType="begin"/>
      </w:r>
      <w:r>
        <w:instrText xml:space="preserve"> PAGEREF AUTO_2024_41 \h </w:instrText>
      </w:r>
      <w:r>
        <w:fldChar w:fldCharType="separate"/>
      </w:r>
      <w:r w:rsidR="0055058D">
        <w:rPr>
          <w:noProof/>
        </w:rPr>
        <w:t>2463</w:t>
      </w:r>
      <w:r>
        <w:fldChar w:fldCharType="end"/>
      </w:r>
    </w:p>
    <w:p w14:paraId="21B90314" w14:textId="77777777" w:rsidR="00B7708F" w:rsidRDefault="00B7708F" w:rsidP="00B7708F"/>
    <w:p w14:paraId="188D36BE" w14:textId="0CCDF290" w:rsidR="00B7708F" w:rsidRDefault="00B7708F" w:rsidP="00B7708F">
      <w:pPr>
        <w:pStyle w:val="EntradandiceAuto"/>
      </w:pPr>
      <w:r>
        <w:lastRenderedPageBreak/>
        <w:t>Pleno. Auto 42/2024, de 7 de mayo de 2024. Inadmite las recusaciones formuladas en el recurso de amparo 907-2024, promovido por don Fernando Argote Pons y doña Miren Garbiñe Garagarza Echaniz en causa penal.</w:t>
      </w:r>
      <w:r>
        <w:tab/>
      </w:r>
      <w:r>
        <w:tab/>
      </w:r>
      <w:r>
        <w:fldChar w:fldCharType="begin"/>
      </w:r>
      <w:r>
        <w:instrText xml:space="preserve"> PAGEREF AUTO_2024_42 \h </w:instrText>
      </w:r>
      <w:r>
        <w:fldChar w:fldCharType="separate"/>
      </w:r>
      <w:r w:rsidR="0055058D">
        <w:rPr>
          <w:noProof/>
        </w:rPr>
        <w:t>2482</w:t>
      </w:r>
      <w:r>
        <w:fldChar w:fldCharType="end"/>
      </w:r>
    </w:p>
    <w:p w14:paraId="031C85DC" w14:textId="77777777" w:rsidR="00B7708F" w:rsidRDefault="00B7708F" w:rsidP="00B7708F"/>
    <w:p w14:paraId="6642C7D9" w14:textId="36437003" w:rsidR="00B7708F" w:rsidRDefault="00B7708F" w:rsidP="00B7708F">
      <w:pPr>
        <w:pStyle w:val="EntradandiceAuto"/>
      </w:pPr>
      <w:r>
        <w:t>Sección Primera. Auto 43/2024, de 9 de mayo de 2024. Acepta una abstención en el recurso de amparo 522-2024, promovido por don Jacinto Ntutumu Oyana en causa penal.</w:t>
      </w:r>
      <w:r>
        <w:tab/>
      </w:r>
      <w:r>
        <w:tab/>
      </w:r>
      <w:r>
        <w:fldChar w:fldCharType="begin"/>
      </w:r>
      <w:r>
        <w:instrText xml:space="preserve"> PAGEREF AUTO_2024_43 \h </w:instrText>
      </w:r>
      <w:r>
        <w:fldChar w:fldCharType="separate"/>
      </w:r>
      <w:r w:rsidR="0055058D">
        <w:rPr>
          <w:noProof/>
        </w:rPr>
        <w:t>2486</w:t>
      </w:r>
      <w:r>
        <w:fldChar w:fldCharType="end"/>
      </w:r>
    </w:p>
    <w:p w14:paraId="53EA62F8" w14:textId="77777777" w:rsidR="00B7708F" w:rsidRDefault="00B7708F" w:rsidP="00B7708F"/>
    <w:p w14:paraId="6197D814" w14:textId="592193F9" w:rsidR="00B7708F" w:rsidRDefault="00B7708F" w:rsidP="00B7708F">
      <w:pPr>
        <w:pStyle w:val="EntradandiceAuto"/>
      </w:pPr>
      <w:r>
        <w:t>Sección Primera. Auto 44/2024, de 10 de mayo de 2024. Acepta una abstención en el recurso de amparo 6420-2021, promovido en proceso contencioso-administrativo.</w:t>
      </w:r>
      <w:r>
        <w:tab/>
      </w:r>
      <w:r>
        <w:tab/>
      </w:r>
      <w:r>
        <w:fldChar w:fldCharType="begin"/>
      </w:r>
      <w:r>
        <w:instrText xml:space="preserve"> PAGEREF AUTO_2024_44 \h </w:instrText>
      </w:r>
      <w:r>
        <w:fldChar w:fldCharType="separate"/>
      </w:r>
      <w:r w:rsidR="0055058D">
        <w:rPr>
          <w:noProof/>
        </w:rPr>
        <w:t>2488</w:t>
      </w:r>
      <w:r>
        <w:fldChar w:fldCharType="end"/>
      </w:r>
    </w:p>
    <w:p w14:paraId="28079E87" w14:textId="77777777" w:rsidR="00B7708F" w:rsidRDefault="00B7708F" w:rsidP="00B7708F"/>
    <w:p w14:paraId="3F58DFE8" w14:textId="62C3E782" w:rsidR="00B7708F" w:rsidRDefault="00B7708F" w:rsidP="00B7708F">
      <w:pPr>
        <w:pStyle w:val="EntradandiceAuto"/>
      </w:pPr>
      <w:r>
        <w:t>Sección Primera. Auto 45/2024, de 10 de mayo de 2024. Acepta una abstención en el recurso de amparo 2143-2024, promovido en proceso militar.</w:t>
      </w:r>
      <w:r>
        <w:tab/>
      </w:r>
      <w:r>
        <w:tab/>
      </w:r>
      <w:r>
        <w:fldChar w:fldCharType="begin"/>
      </w:r>
      <w:r>
        <w:instrText xml:space="preserve"> PAGEREF AUTO_2024_45 \h </w:instrText>
      </w:r>
      <w:r>
        <w:fldChar w:fldCharType="separate"/>
      </w:r>
      <w:r w:rsidR="0055058D">
        <w:rPr>
          <w:noProof/>
        </w:rPr>
        <w:t>2490</w:t>
      </w:r>
      <w:r>
        <w:fldChar w:fldCharType="end"/>
      </w:r>
    </w:p>
    <w:p w14:paraId="77C9E582" w14:textId="77777777" w:rsidR="00B7708F" w:rsidRDefault="00B7708F" w:rsidP="00B7708F"/>
    <w:p w14:paraId="6E2D1A73" w14:textId="4D1D2BED" w:rsidR="00B7708F" w:rsidRDefault="00B7708F" w:rsidP="00B7708F">
      <w:pPr>
        <w:pStyle w:val="EntradandiceAuto"/>
      </w:pPr>
      <w:r>
        <w:t>Sección Primera. Auto 46/2024, de 10 de mayo de 2024. Acepta una abstención en el recurso de amparo 2196-2024, promovido en proceso militar.</w:t>
      </w:r>
      <w:r>
        <w:tab/>
      </w:r>
      <w:r>
        <w:tab/>
      </w:r>
      <w:r>
        <w:fldChar w:fldCharType="begin"/>
      </w:r>
      <w:r>
        <w:instrText xml:space="preserve"> PAGEREF AUTO_2024_46 \h </w:instrText>
      </w:r>
      <w:r>
        <w:fldChar w:fldCharType="separate"/>
      </w:r>
      <w:r w:rsidR="0055058D">
        <w:rPr>
          <w:noProof/>
        </w:rPr>
        <w:t>2492</w:t>
      </w:r>
      <w:r>
        <w:fldChar w:fldCharType="end"/>
      </w:r>
    </w:p>
    <w:p w14:paraId="1F159986" w14:textId="77777777" w:rsidR="00B7708F" w:rsidRDefault="00B7708F" w:rsidP="00B7708F"/>
    <w:p w14:paraId="660F7919" w14:textId="5638B233" w:rsidR="00B7708F" w:rsidRDefault="00B7708F" w:rsidP="00B7708F">
      <w:pPr>
        <w:pStyle w:val="EntradandiceAuto"/>
      </w:pPr>
      <w:r>
        <w:t>Sección Cuarta. Auto 47/2024, de 14 de mayo de 2024. Inadmite a trámite el recurso de amparo 1562-2023, promovido por doña Cristina Ibarrola Guillén en procedimiento parlamentario. Voto particular.</w:t>
      </w:r>
      <w:r>
        <w:tab/>
      </w:r>
      <w:r>
        <w:tab/>
      </w:r>
      <w:r>
        <w:fldChar w:fldCharType="begin"/>
      </w:r>
      <w:r>
        <w:instrText xml:space="preserve"> PAGEREF AUTO_2024_47 \h </w:instrText>
      </w:r>
      <w:r>
        <w:fldChar w:fldCharType="separate"/>
      </w:r>
      <w:r w:rsidR="0055058D">
        <w:rPr>
          <w:noProof/>
        </w:rPr>
        <w:t>2494</w:t>
      </w:r>
      <w:r>
        <w:fldChar w:fldCharType="end"/>
      </w:r>
    </w:p>
    <w:p w14:paraId="3DA967D7" w14:textId="77777777" w:rsidR="00B7708F" w:rsidRDefault="00B7708F" w:rsidP="00B7708F"/>
    <w:p w14:paraId="26EC4D66" w14:textId="5959625F" w:rsidR="00B7708F" w:rsidRDefault="00B7708F" w:rsidP="00B7708F">
      <w:pPr>
        <w:pStyle w:val="EntradandiceAuto"/>
      </w:pPr>
      <w:r>
        <w:t>Sala Primera. Auto 48/2024, de 20 de mayo de 2024. Deniega la suspensión en el recurso de amparo 1443-2023, promovido por veintinueve participantes en procedimiento selectivo de promoción interna en proceso contencioso-administrativo.</w:t>
      </w:r>
      <w:r>
        <w:tab/>
      </w:r>
      <w:r>
        <w:tab/>
      </w:r>
      <w:r>
        <w:fldChar w:fldCharType="begin"/>
      </w:r>
      <w:r>
        <w:instrText xml:space="preserve"> PAGEREF AUTO_2024_48 \h </w:instrText>
      </w:r>
      <w:r>
        <w:fldChar w:fldCharType="separate"/>
      </w:r>
      <w:r w:rsidR="0055058D">
        <w:rPr>
          <w:noProof/>
        </w:rPr>
        <w:t>2510</w:t>
      </w:r>
      <w:r>
        <w:fldChar w:fldCharType="end"/>
      </w:r>
    </w:p>
    <w:p w14:paraId="5083D3F2" w14:textId="77777777" w:rsidR="00B7708F" w:rsidRDefault="00B7708F" w:rsidP="00B7708F"/>
    <w:p w14:paraId="72F49CDA" w14:textId="3AAF0A86" w:rsidR="00B7708F" w:rsidRDefault="00B7708F" w:rsidP="00B7708F">
      <w:pPr>
        <w:pStyle w:val="EntradandiceAuto"/>
      </w:pPr>
      <w:r>
        <w:t>Sala Segunda. Auto 49/2024, de 20 de mayo de 2024. Acuerda el desistimiento y el archivo de actuaciones en el recurso de amparo 6609-2023, promovido por doña Marta Cañadas Berrio en procedimiento de la Fiscalía Europea.</w:t>
      </w:r>
      <w:r>
        <w:tab/>
      </w:r>
      <w:r>
        <w:tab/>
      </w:r>
      <w:r>
        <w:fldChar w:fldCharType="begin"/>
      </w:r>
      <w:r>
        <w:instrText xml:space="preserve"> PAGEREF AUTO_2024_49 \h </w:instrText>
      </w:r>
      <w:r>
        <w:fldChar w:fldCharType="separate"/>
      </w:r>
      <w:r w:rsidR="0055058D">
        <w:rPr>
          <w:noProof/>
        </w:rPr>
        <w:t>2513</w:t>
      </w:r>
      <w:r>
        <w:fldChar w:fldCharType="end"/>
      </w:r>
    </w:p>
    <w:p w14:paraId="25C86E59" w14:textId="77777777" w:rsidR="00B7708F" w:rsidRDefault="00B7708F" w:rsidP="00B7708F"/>
    <w:p w14:paraId="24042986" w14:textId="1DBA8A4D" w:rsidR="00B7708F" w:rsidRDefault="00B7708F" w:rsidP="00B7708F">
      <w:pPr>
        <w:pStyle w:val="EntradandiceAuto"/>
      </w:pPr>
      <w:r>
        <w:t>Pleno. Auto 50/2024, de 21 de mayo de 2024. Acepta una abstención en la cuestión de inconstitucionalidad 2796-2024, planteada por la Sala de lo Contencioso-Administrativo del Tribunal Superior de Justicia de Castilla-La Mancha con sede en Albacete, en relación con las disposiciones adicionales sexta y octava de la Ley 20/2021, de 28 de diciembre, de medidas urgentes para la reducción de la temporalidad en el empleo público.</w:t>
      </w:r>
      <w:r>
        <w:tab/>
      </w:r>
      <w:r>
        <w:tab/>
      </w:r>
      <w:r>
        <w:fldChar w:fldCharType="begin"/>
      </w:r>
      <w:r>
        <w:instrText xml:space="preserve"> PAGEREF AUTO_2024_50 \h </w:instrText>
      </w:r>
      <w:r>
        <w:fldChar w:fldCharType="separate"/>
      </w:r>
      <w:r w:rsidR="0055058D">
        <w:rPr>
          <w:noProof/>
        </w:rPr>
        <w:t>2521</w:t>
      </w:r>
      <w:r>
        <w:fldChar w:fldCharType="end"/>
      </w:r>
    </w:p>
    <w:p w14:paraId="12576A8D" w14:textId="77777777" w:rsidR="00B7708F" w:rsidRDefault="00B7708F" w:rsidP="00B7708F"/>
    <w:p w14:paraId="704B1C63" w14:textId="12D3BF1F" w:rsidR="00B7708F" w:rsidRDefault="00B7708F" w:rsidP="00B7708F">
      <w:pPr>
        <w:pStyle w:val="EntradandiceAuto"/>
      </w:pPr>
      <w:r>
        <w:t xml:space="preserve">Sección Primera. Auto 51/2024, de 27 de mayo de 2024. Estima el recurso de súplica interpuesto por el Ministerio Fiscal en relación con la providencia de </w:t>
      </w:r>
      <w:r>
        <w:lastRenderedPageBreak/>
        <w:t>inadmisión, e inadmite a trámite el recurso de amparo 1064-2024, promovido por doña Ángeles Núñez Moya en causa penal.</w:t>
      </w:r>
      <w:r>
        <w:tab/>
      </w:r>
      <w:r>
        <w:tab/>
      </w:r>
      <w:r>
        <w:fldChar w:fldCharType="begin"/>
      </w:r>
      <w:r>
        <w:instrText xml:space="preserve"> PAGEREF AUTO_2024_51 \h </w:instrText>
      </w:r>
      <w:r>
        <w:fldChar w:fldCharType="separate"/>
      </w:r>
      <w:r w:rsidR="0055058D">
        <w:rPr>
          <w:noProof/>
        </w:rPr>
        <w:t>2523</w:t>
      </w:r>
      <w:r>
        <w:fldChar w:fldCharType="end"/>
      </w:r>
    </w:p>
    <w:p w14:paraId="2FC984A8" w14:textId="77777777" w:rsidR="00B7708F" w:rsidRDefault="00B7708F" w:rsidP="00B7708F"/>
    <w:p w14:paraId="0D3C8E3F" w14:textId="2433EC05" w:rsidR="00B7708F" w:rsidRDefault="00B7708F" w:rsidP="00B7708F">
      <w:pPr>
        <w:pStyle w:val="EntradandiceAuto"/>
      </w:pPr>
      <w:r>
        <w:t>Sección Cuarta. Auto 52/2024, de 29 de mayo de 2024. Inadmite a trámite el recurso de amparo 1492-2023, promovido por doña María Dolores Merino Chacón en procedimiento parlamentario. Voto particular.</w:t>
      </w:r>
      <w:r>
        <w:tab/>
      </w:r>
      <w:r>
        <w:tab/>
      </w:r>
      <w:r>
        <w:fldChar w:fldCharType="begin"/>
      </w:r>
      <w:r>
        <w:instrText xml:space="preserve"> PAGEREF AUTO_2024_52 \h </w:instrText>
      </w:r>
      <w:r>
        <w:fldChar w:fldCharType="separate"/>
      </w:r>
      <w:r w:rsidR="0055058D">
        <w:rPr>
          <w:noProof/>
        </w:rPr>
        <w:t>2531</w:t>
      </w:r>
      <w:r>
        <w:fldChar w:fldCharType="end"/>
      </w:r>
    </w:p>
    <w:p w14:paraId="6C605AE5" w14:textId="77777777" w:rsidR="00B7708F" w:rsidRDefault="00B7708F" w:rsidP="00B7708F"/>
    <w:p w14:paraId="1DBD5F70" w14:textId="45F5CBEF" w:rsidR="00B7708F" w:rsidRDefault="00B7708F" w:rsidP="00B7708F">
      <w:pPr>
        <w:pStyle w:val="EntradandiceAuto"/>
      </w:pPr>
      <w:r>
        <w:t>Sala Primera. Auto 53/2024, de 3 de junio de 2024. Deniega la suspensión en el recurso de amparo 4330-2023, promovido por doña J.G.V., y doña A.P.G., en causa penal.</w:t>
      </w:r>
      <w:r>
        <w:tab/>
      </w:r>
      <w:r>
        <w:tab/>
      </w:r>
      <w:r>
        <w:fldChar w:fldCharType="begin"/>
      </w:r>
      <w:r>
        <w:instrText xml:space="preserve"> PAGEREF AUTO_2024_53 \h </w:instrText>
      </w:r>
      <w:r>
        <w:fldChar w:fldCharType="separate"/>
      </w:r>
      <w:r w:rsidR="0055058D">
        <w:rPr>
          <w:noProof/>
        </w:rPr>
        <w:t>2542</w:t>
      </w:r>
      <w:r>
        <w:fldChar w:fldCharType="end"/>
      </w:r>
    </w:p>
    <w:p w14:paraId="7149CBBB" w14:textId="77777777" w:rsidR="00B7708F" w:rsidRDefault="00B7708F" w:rsidP="00B7708F"/>
    <w:p w14:paraId="17C807A5" w14:textId="0D59028A" w:rsidR="00B7708F" w:rsidRDefault="00B7708F" w:rsidP="00B7708F">
      <w:pPr>
        <w:pStyle w:val="EntradandiceAuto"/>
      </w:pPr>
      <w:r>
        <w:t>Sala Segunda. Auto 54/2024, de 3 de junio de 2024. Deniega la suspensión en el recurso de amparo 4594-2023, promovido por don Francisco Javier Pulgarín Milara en pleito civil.</w:t>
      </w:r>
      <w:r>
        <w:tab/>
      </w:r>
      <w:r>
        <w:tab/>
      </w:r>
      <w:r>
        <w:fldChar w:fldCharType="begin"/>
      </w:r>
      <w:r>
        <w:instrText xml:space="preserve"> PAGEREF AUTO_2024_54 \h </w:instrText>
      </w:r>
      <w:r>
        <w:fldChar w:fldCharType="separate"/>
      </w:r>
      <w:r w:rsidR="0055058D">
        <w:rPr>
          <w:noProof/>
        </w:rPr>
        <w:t>2560</w:t>
      </w:r>
      <w:r>
        <w:fldChar w:fldCharType="end"/>
      </w:r>
    </w:p>
    <w:p w14:paraId="711B43AC" w14:textId="77777777" w:rsidR="00B7708F" w:rsidRDefault="00B7708F" w:rsidP="00B7708F"/>
    <w:p w14:paraId="30A7FA92" w14:textId="1A2F4B0A" w:rsidR="00B7708F" w:rsidRDefault="00B7708F" w:rsidP="00B7708F">
      <w:pPr>
        <w:pStyle w:val="EntradandiceAuto"/>
      </w:pPr>
      <w:r>
        <w:t>Sala Primera. Auto 55/2024, de 3 de junio de 2024. Deniega la suspensión en el recurso de amparo 7510-2023, promovido por La Opinión de Málaga, S.L., en pleito civil.</w:t>
      </w:r>
      <w:r>
        <w:tab/>
      </w:r>
      <w:r>
        <w:tab/>
      </w:r>
      <w:r>
        <w:fldChar w:fldCharType="begin"/>
      </w:r>
      <w:r>
        <w:instrText xml:space="preserve"> PAGEREF AUTO_2024_55 \h </w:instrText>
      </w:r>
      <w:r>
        <w:fldChar w:fldCharType="separate"/>
      </w:r>
      <w:r w:rsidR="0055058D">
        <w:rPr>
          <w:noProof/>
        </w:rPr>
        <w:t>2564</w:t>
      </w:r>
      <w:r>
        <w:fldChar w:fldCharType="end"/>
      </w:r>
    </w:p>
    <w:p w14:paraId="090A6B9B" w14:textId="77777777" w:rsidR="00B7708F" w:rsidRDefault="00B7708F" w:rsidP="00B7708F"/>
    <w:p w14:paraId="23F9AEB4" w14:textId="788786B3" w:rsidR="00B7708F" w:rsidRDefault="00B7708F" w:rsidP="00B7708F">
      <w:pPr>
        <w:pStyle w:val="EntradandiceAuto"/>
      </w:pPr>
      <w:r>
        <w:t>Pleno. Auto 56/2024, de 4 de junio de 2024. Acepta una abstención en la cuestión de inconstitucionalidad 2714-2024, planteada por la Sala de lo Contencioso-Administrativo del Tribunal Superior de Justicia de Madrid, en relación con el artículo 23 de la Ley 38/1988, de 28 de diciembre, de demarcación y de planta judicial.</w:t>
      </w:r>
      <w:r>
        <w:tab/>
      </w:r>
      <w:r>
        <w:tab/>
      </w:r>
      <w:r>
        <w:fldChar w:fldCharType="begin"/>
      </w:r>
      <w:r>
        <w:instrText xml:space="preserve"> PAGEREF AUTO_2024_56 \h </w:instrText>
      </w:r>
      <w:r>
        <w:fldChar w:fldCharType="separate"/>
      </w:r>
      <w:r w:rsidR="0055058D">
        <w:rPr>
          <w:noProof/>
        </w:rPr>
        <w:t>2568</w:t>
      </w:r>
      <w:r>
        <w:fldChar w:fldCharType="end"/>
      </w:r>
    </w:p>
    <w:p w14:paraId="0F9A40FD" w14:textId="77777777" w:rsidR="00B7708F" w:rsidRDefault="00B7708F" w:rsidP="00B7708F"/>
    <w:p w14:paraId="58D2B909" w14:textId="0B53E060" w:rsidR="00B7708F" w:rsidRDefault="00B7708F" w:rsidP="00B7708F">
      <w:pPr>
        <w:pStyle w:val="EntradandiceAuto"/>
      </w:pPr>
      <w:r>
        <w:t>Pleno. Auto 57/2024, de 17 de junio de 2024. Inadmite a trámite el recurso de amparo 7261-2022, promovido por don Francisco Ventura Losada en causa penal. Votos particulares.</w:t>
      </w:r>
      <w:r>
        <w:tab/>
      </w:r>
      <w:r>
        <w:tab/>
      </w:r>
      <w:r>
        <w:fldChar w:fldCharType="begin"/>
      </w:r>
      <w:r>
        <w:instrText xml:space="preserve"> PAGEREF AUTO_2024_57 \h </w:instrText>
      </w:r>
      <w:r>
        <w:fldChar w:fldCharType="separate"/>
      </w:r>
      <w:r w:rsidR="0055058D">
        <w:rPr>
          <w:noProof/>
        </w:rPr>
        <w:t>2570</w:t>
      </w:r>
      <w:r>
        <w:fldChar w:fldCharType="end"/>
      </w:r>
    </w:p>
    <w:p w14:paraId="40071061" w14:textId="77777777" w:rsidR="00B7708F" w:rsidRDefault="00B7708F" w:rsidP="00B7708F"/>
    <w:p w14:paraId="12D93F7D" w14:textId="68ACF7AA" w:rsidR="00B7708F" w:rsidRDefault="00B7708F" w:rsidP="00B7708F">
      <w:pPr>
        <w:pStyle w:val="EntradandiceAuto"/>
      </w:pPr>
      <w:r>
        <w:t>Pleno. Auto 58/2024, de 17 de junio de 2024. Inadmite a trámite la cuestión prejudicial de validez 2239-2024, planteada por el Juzgado de lo Contencioso-Administrativo núm. 3 de Donostia-San Sebastián en relación con diversos preceptos de la Norma Foral del territorio histórico de Gipuzkoa 16/1989, de 5 de julio, relativos al impuesto sobre el incremento de valor de los terrenos de naturaleza urbana.</w:t>
      </w:r>
      <w:r>
        <w:tab/>
      </w:r>
      <w:r>
        <w:tab/>
      </w:r>
      <w:r>
        <w:fldChar w:fldCharType="begin"/>
      </w:r>
      <w:r>
        <w:instrText xml:space="preserve"> PAGEREF AUTO_2024_58 \h </w:instrText>
      </w:r>
      <w:r>
        <w:fldChar w:fldCharType="separate"/>
      </w:r>
      <w:r w:rsidR="0055058D">
        <w:rPr>
          <w:noProof/>
        </w:rPr>
        <w:t>2582</w:t>
      </w:r>
      <w:r>
        <w:fldChar w:fldCharType="end"/>
      </w:r>
    </w:p>
    <w:p w14:paraId="23EBBE52" w14:textId="77777777" w:rsidR="00B7708F" w:rsidRDefault="00B7708F" w:rsidP="00B7708F"/>
    <w:p w14:paraId="78B78FFC" w14:textId="54CE36AB" w:rsidR="00B7708F" w:rsidRDefault="00B7708F" w:rsidP="00B7708F">
      <w:pPr>
        <w:pStyle w:val="EntradandiceAuto"/>
      </w:pPr>
      <w:r>
        <w:t>Pleno. Auto 59/2024, de 17 de junio de 2024. Acepta una abstención en la cuestión de inconstitucionalidad 2525-2024, planteada por la Sala de lo Contencioso-Administrativo del Tribunal Superior de Justicia de la Comunidad Valenciana, en relación con la disposición adicional decimocuarta de la Ley 27/2014, de 27 de noviembre, del impuesto sobre sociedades.</w:t>
      </w:r>
      <w:r>
        <w:tab/>
      </w:r>
      <w:r>
        <w:tab/>
      </w:r>
      <w:r>
        <w:fldChar w:fldCharType="begin"/>
      </w:r>
      <w:r>
        <w:instrText xml:space="preserve"> PAGEREF AUTO_2024_59 \h </w:instrText>
      </w:r>
      <w:r>
        <w:fldChar w:fldCharType="separate"/>
      </w:r>
      <w:r w:rsidR="0055058D">
        <w:rPr>
          <w:noProof/>
        </w:rPr>
        <w:t>2586</w:t>
      </w:r>
      <w:r>
        <w:fldChar w:fldCharType="end"/>
      </w:r>
    </w:p>
    <w:p w14:paraId="209337E9" w14:textId="77777777" w:rsidR="00B7708F" w:rsidRDefault="00B7708F" w:rsidP="00B7708F"/>
    <w:p w14:paraId="33EB1390" w14:textId="4AD41674" w:rsidR="00B7708F" w:rsidRDefault="00B7708F" w:rsidP="00B7708F">
      <w:pPr>
        <w:pStyle w:val="EntradandiceAuto"/>
      </w:pPr>
      <w:r>
        <w:t>Pleno. Auto 60/2024, de 17 de junio de 2024. Inadmite las recusaciones formuladas en el recurso de amparo 3102-2024, promovido por don Fernando Argote Pons y doña Miren Garbiñe Garagarza Echaniz en causa penal.</w:t>
      </w:r>
      <w:r>
        <w:tab/>
      </w:r>
      <w:r>
        <w:tab/>
      </w:r>
      <w:r>
        <w:fldChar w:fldCharType="begin"/>
      </w:r>
      <w:r>
        <w:instrText xml:space="preserve"> PAGEREF AUTO_2024_60 \h </w:instrText>
      </w:r>
      <w:r>
        <w:fldChar w:fldCharType="separate"/>
      </w:r>
      <w:r w:rsidR="0055058D">
        <w:rPr>
          <w:noProof/>
        </w:rPr>
        <w:t>2588</w:t>
      </w:r>
      <w:r>
        <w:fldChar w:fldCharType="end"/>
      </w:r>
    </w:p>
    <w:p w14:paraId="40D4D42A" w14:textId="3FDC1B29" w:rsidR="00B7708F" w:rsidRDefault="00B7708F">
      <w:pPr>
        <w:spacing w:after="160" w:line="259" w:lineRule="auto"/>
      </w:pPr>
      <w:r>
        <w:br w:type="page"/>
      </w:r>
    </w:p>
    <w:p w14:paraId="7A0ACDCE" w14:textId="77777777" w:rsidR="00B7708F" w:rsidRDefault="00B7708F" w:rsidP="009D7677"/>
    <w:p w14:paraId="244FC8A9" w14:textId="77777777" w:rsidR="00B7708F" w:rsidRDefault="00B7708F" w:rsidP="009D7677"/>
    <w:p w14:paraId="749E1FA4" w14:textId="77777777" w:rsidR="009D7677" w:rsidRDefault="009D7677" w:rsidP="009D7677"/>
    <w:p w14:paraId="75B2F62E" w14:textId="77777777" w:rsidR="009D7677" w:rsidRDefault="009D7677" w:rsidP="009D7677"/>
    <w:p w14:paraId="79880F8F" w14:textId="77777777" w:rsidR="009D7677" w:rsidRDefault="009D7677" w:rsidP="009D7677"/>
    <w:p w14:paraId="240B98B1" w14:textId="77777777" w:rsidR="009D7677" w:rsidRDefault="009D7677" w:rsidP="009D7677"/>
    <w:p w14:paraId="113DD96E" w14:textId="77777777" w:rsidR="009D7677" w:rsidRDefault="009D7677" w:rsidP="009D7677"/>
    <w:p w14:paraId="65F9F163" w14:textId="77777777" w:rsidR="009D7677" w:rsidRDefault="009D7677" w:rsidP="009D7677"/>
    <w:p w14:paraId="1A2BDBD0" w14:textId="77777777" w:rsidR="009D7677" w:rsidRDefault="009D7677" w:rsidP="009D7677">
      <w:pPr>
        <w:pStyle w:val="CabeceraApartado"/>
      </w:pPr>
      <w:r>
        <w:t>SENTENCIAS</w:t>
      </w:r>
    </w:p>
    <w:p w14:paraId="50F3D342" w14:textId="34FC71C7" w:rsidR="009D7677" w:rsidRDefault="009D7677">
      <w:pPr>
        <w:spacing w:after="160" w:line="259" w:lineRule="auto"/>
        <w:rPr>
          <w:rFonts w:ascii="Times New Roman" w:eastAsia="Times New Roman" w:hAnsi="Times New Roman" w:cs="Times New Roman"/>
          <w:sz w:val="48"/>
          <w:szCs w:val="24"/>
          <w:lang w:eastAsia="es-ES"/>
        </w:rPr>
      </w:pPr>
      <w:r>
        <w:br w:type="page"/>
      </w:r>
    </w:p>
    <w:p w14:paraId="2CB3AEC3" w14:textId="77777777" w:rsidR="009D7677" w:rsidRDefault="009D7677" w:rsidP="009D7677">
      <w:pPr>
        <w:pStyle w:val="TtuloResolucin"/>
      </w:pPr>
      <w:bookmarkStart w:id="3" w:name="SENTENCIA_2024_1"/>
      <w:r>
        <w:lastRenderedPageBreak/>
        <w:t>SENTENCIA 1/2024, de 15 de enero de 2024</w:t>
      </w:r>
    </w:p>
    <w:bookmarkEnd w:id="3"/>
    <w:p w14:paraId="30D8CD40" w14:textId="77777777" w:rsidR="009D7677" w:rsidRDefault="009D7677" w:rsidP="009D7677">
      <w:pPr>
        <w:pStyle w:val="TtuloResolucin"/>
      </w:pPr>
      <w:r>
        <w:t>Sala Segunda</w:t>
      </w:r>
    </w:p>
    <w:p w14:paraId="3E310C72" w14:textId="77777777" w:rsidR="009D7677" w:rsidRDefault="009D7677" w:rsidP="009D7677">
      <w:pPr>
        <w:pStyle w:val="TtuloBOE"/>
      </w:pPr>
      <w:r>
        <w:t>(BOE núm. 45, de 20 de febrero de 2024)</w:t>
      </w:r>
    </w:p>
    <w:p w14:paraId="38909769" w14:textId="77777777" w:rsidR="009D7677" w:rsidRDefault="009D7677" w:rsidP="009D7677">
      <w:pPr>
        <w:pStyle w:val="TextoNormalCentrado"/>
      </w:pPr>
      <w:r>
        <w:t>ECLI:ES:TC:2024:1</w:t>
      </w:r>
    </w:p>
    <w:p w14:paraId="648F9121" w14:textId="72BF8650" w:rsidR="009D7677" w:rsidRDefault="009D7677" w:rsidP="009D7677">
      <w:pPr>
        <w:pStyle w:val="TextoNormalCentrado"/>
      </w:pPr>
    </w:p>
    <w:p w14:paraId="2A08B21B" w14:textId="77777777" w:rsidR="009D7677" w:rsidRDefault="009D7677" w:rsidP="009D7677">
      <w:pPr>
        <w:pStyle w:val="SntesisDescriptiva"/>
      </w:pPr>
      <w:r>
        <w:t>Recurso de amparo 6092-2021. Promovido por doña María Belén Jiménez Jiménez en relación con los autos dictados por la Audiencia Provincial de Cádiz y un juzgado de instrucción de Algeciras que acordaron el sobreseimiento provisional y archivo de la causa abierta tras el suicidio de un detenido en los calabozos de una comisaría de la Policía Nacional.</w:t>
      </w:r>
    </w:p>
    <w:p w14:paraId="17F22CD7" w14:textId="13331711" w:rsidR="009D7677" w:rsidRDefault="009D7677" w:rsidP="009D7677">
      <w:pPr>
        <w:pStyle w:val="SntesisDescriptiva"/>
      </w:pPr>
    </w:p>
    <w:p w14:paraId="4D08D309" w14:textId="77777777" w:rsidR="009D7677" w:rsidRDefault="009D7677" w:rsidP="009D7677">
      <w:pPr>
        <w:pStyle w:val="SntesisAnaltica"/>
      </w:pPr>
      <w:r>
        <w:t>Vulneración del derecho a la tutela judicial efectiva: investigación insuficiente de las responsabilidades derivadas la muerte, acaecida en dependencias policiales, de quien, pocas horas antes, había protagonizado lo que parecía ser un intento autolítico.</w:t>
      </w:r>
    </w:p>
    <w:p w14:paraId="529B1488" w14:textId="2D73C2E7" w:rsidR="009D7677" w:rsidRDefault="009D7677" w:rsidP="009D7677">
      <w:pPr>
        <w:pStyle w:val="SntesisAnaltica"/>
      </w:pPr>
    </w:p>
    <w:p w14:paraId="498DCEF1" w14:textId="653B58A5" w:rsidR="009D7677" w:rsidRDefault="009D7677" w:rsidP="009D7677">
      <w:pPr>
        <w:pStyle w:val="Extracto"/>
      </w:pPr>
      <w:r>
        <w:t>1.</w:t>
      </w:r>
      <w:r>
        <w:tab/>
        <w:t>El enjuiciamiento de las denuncias de torturas o malos tratos sedicentemente sufridos bajo custodia policial -tanto en el marco de detenciones incomunicadas, como en el caso de las comunicadas- precisa una investigación judicial suficiente y eficaz (SSTC 224/2007 o 34/2022) [FJ 2].</w:t>
      </w:r>
    </w:p>
    <w:p w14:paraId="7F92250F" w14:textId="77777777" w:rsidR="009D7677" w:rsidRDefault="009D7677" w:rsidP="009D7677">
      <w:pPr>
        <w:pStyle w:val="Extracto"/>
      </w:pPr>
    </w:p>
    <w:p w14:paraId="59E68D59" w14:textId="55A3B0DB" w:rsidR="009D7677" w:rsidRDefault="009D7677" w:rsidP="009D7677">
      <w:pPr>
        <w:pStyle w:val="Extracto"/>
      </w:pPr>
      <w:r>
        <w:t>2.</w:t>
      </w:r>
      <w:r>
        <w:tab/>
        <w:t>Si hay sospechas razonables de maltrato y modo aún de despejarlas no puede considerarse investigación oficial eficaz la que proceda al archivo de las actuaciones (STC 34/2008). El canon de investigación suficiente y eficaz se refiere tanto a la eventual existencia de sospechas razonables, como a la utilidad de continuar con la instrucción  (SSTC 34/2008, 52/2008 y 63/2008) [FJ 2].</w:t>
      </w:r>
    </w:p>
    <w:p w14:paraId="277C35E3" w14:textId="77777777" w:rsidR="009D7677" w:rsidRDefault="009D7677" w:rsidP="009D7677">
      <w:pPr>
        <w:pStyle w:val="Extracto"/>
      </w:pPr>
    </w:p>
    <w:p w14:paraId="29788189" w14:textId="2C46293B" w:rsidR="009D7677" w:rsidRDefault="009D7677" w:rsidP="009D7677">
      <w:pPr>
        <w:pStyle w:val="Extracto"/>
      </w:pPr>
      <w:r>
        <w:t>3.</w:t>
      </w:r>
      <w:r>
        <w:tab/>
        <w:t>La obligación positiva de los Estados, de adoptar medidas operativas preventivas para proteger a un individuo de sí mismo, debe interpretarse de manera que no imponga una carga imposible o desproporcionada para las autoridades; y surge cuando estas sabían o deberían haber sabido que la persona tenía un riesgo real e inmediato de suicidio (asuntos Fernandes de</w:t>
      </w:r>
      <w:r w:rsidRPr="009D7677">
        <w:rPr>
          <w:i/>
        </w:rPr>
        <w:t xml:space="preserve"> Oliveira c. Portugal</w:t>
      </w:r>
      <w:r>
        <w:t>, § 110, y</w:t>
      </w:r>
      <w:r w:rsidRPr="009D7677">
        <w:rPr>
          <w:i/>
        </w:rPr>
        <w:t xml:space="preserve"> Keenan c. Reino Unido</w:t>
      </w:r>
      <w:r>
        <w:t>, § 90) [FJ 3].</w:t>
      </w:r>
    </w:p>
    <w:p w14:paraId="4E43E800" w14:textId="77777777" w:rsidR="009D7677" w:rsidRDefault="009D7677" w:rsidP="009D7677">
      <w:pPr>
        <w:pStyle w:val="Extracto"/>
      </w:pPr>
    </w:p>
    <w:p w14:paraId="068FB0CC" w14:textId="70481F44" w:rsidR="009D7677" w:rsidRDefault="009D7677" w:rsidP="009D7677">
      <w:pPr>
        <w:pStyle w:val="Extracto"/>
      </w:pPr>
      <w:r>
        <w:t>4.</w:t>
      </w:r>
      <w:r>
        <w:tab/>
        <w:t xml:space="preserve">La exigencia de agotar los medios posibles de indagación no supone que se practiquen todas y cada una de las diligencias solicitadas o imaginables pero sí que, en un contexto aún de incertidumbre acerca de lo acaecido, se practiquen aquellas que </w:t>
      </w:r>
      <w:r w:rsidRPr="009D7677">
        <w:rPr>
          <w:i/>
        </w:rPr>
        <w:t xml:space="preserve">a priori </w:t>
      </w:r>
      <w:r>
        <w:t>se revelen susceptibles de despejar las dudas fácticas (STC 34/2008) [FJ 4].</w:t>
      </w:r>
    </w:p>
    <w:p w14:paraId="6C679B37" w14:textId="77777777" w:rsidR="009D7677" w:rsidRDefault="009D7677" w:rsidP="009D7677">
      <w:pPr>
        <w:pStyle w:val="Extracto"/>
      </w:pPr>
    </w:p>
    <w:p w14:paraId="56DB8BDC" w14:textId="77777777" w:rsidR="009D7677" w:rsidRDefault="009D7677" w:rsidP="009D7677">
      <w:pPr>
        <w:pStyle w:val="Extracto"/>
      </w:pPr>
    </w:p>
    <w:p w14:paraId="7C4FA77F" w14:textId="77777777" w:rsidR="009D7677" w:rsidRDefault="009D7677" w:rsidP="009D7677">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46E222D8" w14:textId="2B627C84" w:rsidR="009D7677" w:rsidRDefault="009D7677" w:rsidP="009D7677">
      <w:pPr>
        <w:pStyle w:val="TextoNormal"/>
      </w:pPr>
    </w:p>
    <w:p w14:paraId="45B992D6" w14:textId="77777777" w:rsidR="009D7677" w:rsidRDefault="009D7677" w:rsidP="009D7677">
      <w:pPr>
        <w:pStyle w:val="TextoNormalCentrado"/>
        <w:keepNext/>
      </w:pPr>
      <w:r>
        <w:lastRenderedPageBreak/>
        <w:t>EN NOMBRE DEL REY</w:t>
      </w:r>
    </w:p>
    <w:p w14:paraId="02F40738" w14:textId="66C59A33" w:rsidR="009D7677" w:rsidRDefault="009D7677" w:rsidP="009D7677">
      <w:pPr>
        <w:pStyle w:val="TextoNormalCentrado"/>
        <w:keepNext/>
      </w:pPr>
    </w:p>
    <w:p w14:paraId="527DEAAE" w14:textId="77777777" w:rsidR="009D7677" w:rsidRDefault="009D7677" w:rsidP="009D7677">
      <w:pPr>
        <w:pStyle w:val="TextoNormalCentrado"/>
        <w:keepNext/>
      </w:pPr>
    </w:p>
    <w:p w14:paraId="7BE10A02" w14:textId="77777777" w:rsidR="009D7677" w:rsidRDefault="009D7677" w:rsidP="009D7677">
      <w:pPr>
        <w:pStyle w:val="TextoNormal"/>
      </w:pPr>
      <w:r>
        <w:t>la siguiente</w:t>
      </w:r>
    </w:p>
    <w:p w14:paraId="6AFCE4C0" w14:textId="02E08F2B" w:rsidR="009D7677" w:rsidRDefault="009D7677" w:rsidP="009D7677">
      <w:pPr>
        <w:pStyle w:val="TextoNormal"/>
      </w:pPr>
    </w:p>
    <w:p w14:paraId="6E16AFBB" w14:textId="77777777" w:rsidR="009D7677" w:rsidRDefault="009D7677" w:rsidP="009D7677">
      <w:pPr>
        <w:pStyle w:val="TextoNormalCentrado"/>
        <w:keepNext/>
      </w:pPr>
      <w:r>
        <w:t>SENTENCIA</w:t>
      </w:r>
    </w:p>
    <w:p w14:paraId="0A045E11" w14:textId="6499747C" w:rsidR="009D7677" w:rsidRDefault="009D7677" w:rsidP="009D7677">
      <w:pPr>
        <w:pStyle w:val="TextoNormalCentrado"/>
        <w:keepNext/>
      </w:pPr>
    </w:p>
    <w:p w14:paraId="2B48486A" w14:textId="77777777" w:rsidR="009D7677" w:rsidRDefault="009D7677" w:rsidP="009D7677">
      <w:pPr>
        <w:pStyle w:val="TextoNormal"/>
      </w:pPr>
      <w:r>
        <w:t>En el recurso de amparo núm. 6092-2021, interpuesto por doña María Belén Jiménez Jiménez, contra los autos dictados el 22 de octubre de 2020 y el 19 de enero de 2021 por el Juzgado de Instrucción núm. 4 de Algeciras en diligencias previas núm. 276-2020, así como frente al auto de 12 de julio de 2021 de la Sección Séptima de la Audiencia Provincial de Cádiz, que desestima el recurso de apelación núm. 558-2021. Ha comparecido y formulado alegaciones la Asociación de Juristas Gitanos. Ha intervenido el Ministerio Fiscal. Ha sido ponente el magistrado don Enrique Arnaldo Alcubilla.</w:t>
      </w:r>
    </w:p>
    <w:p w14:paraId="11E8BDDA" w14:textId="573870B2" w:rsidR="009D7677" w:rsidRDefault="009D7677" w:rsidP="009D7677">
      <w:pPr>
        <w:pStyle w:val="TextoNormal"/>
      </w:pPr>
    </w:p>
    <w:p w14:paraId="178D8FC3" w14:textId="77777777" w:rsidR="009D7677" w:rsidRDefault="009D7677" w:rsidP="009D7677">
      <w:pPr>
        <w:pStyle w:val="TextoNormalNegritaCentrado"/>
        <w:keepNext/>
      </w:pPr>
      <w:r>
        <w:t>I. Antecedentes</w:t>
      </w:r>
    </w:p>
    <w:p w14:paraId="5CFFC634" w14:textId="5B639D12" w:rsidR="009D7677" w:rsidRDefault="009D7677" w:rsidP="009D7677">
      <w:pPr>
        <w:pStyle w:val="TextoNormalNegritaCentrado"/>
        <w:keepNext/>
      </w:pPr>
    </w:p>
    <w:p w14:paraId="55863137" w14:textId="5A562322" w:rsidR="009D7677" w:rsidRDefault="009D7677" w:rsidP="009D7677">
      <w:pPr>
        <w:pStyle w:val="TextoNormal"/>
      </w:pPr>
      <w:r w:rsidRPr="009D7677">
        <w:rPr>
          <w:rStyle w:val="NumeroAFNegritaCaracter"/>
        </w:rPr>
        <w:t>1</w:t>
      </w:r>
      <w:r>
        <w:t>. Mediante escrito presentado en el registro general de este tribunal el 27 de septiembre de 2021, la procuradora de los tribunales doña Lucina Gómez Gómez, en nombre y representación de doña María Belén Jiménez Jiménez, con asistencia de la abogada doña María Teresa Heredia Cortés, interpuso recurso de amparo contra las resoluciones judiciales a las que se ha hecho mención en el encabezamiento de esta sentencia.</w:t>
      </w:r>
    </w:p>
    <w:p w14:paraId="3EA13B97" w14:textId="77777777" w:rsidR="009D7677" w:rsidRDefault="009D7677" w:rsidP="009D7677">
      <w:pPr>
        <w:pStyle w:val="TextoNormal"/>
      </w:pPr>
    </w:p>
    <w:p w14:paraId="714EBBC8" w14:textId="77777777" w:rsidR="009D7677" w:rsidRDefault="009D7677" w:rsidP="009D7677">
      <w:pPr>
        <w:pStyle w:val="TextoNormal"/>
      </w:pPr>
      <w:r w:rsidRPr="009D7677">
        <w:rPr>
          <w:rStyle w:val="NumeroAFNegritaCaracter"/>
        </w:rPr>
        <w:t>2</w:t>
      </w:r>
      <w:r>
        <w:t>. Los hechos en que se fundamenta la demanda de amparo son, en síntesis, los que seguidamente se relacionan.</w:t>
      </w:r>
    </w:p>
    <w:p w14:paraId="73913616" w14:textId="77777777" w:rsidR="009D7677" w:rsidRDefault="009D7677" w:rsidP="009D7677">
      <w:pPr>
        <w:pStyle w:val="TextoNormal"/>
      </w:pPr>
    </w:p>
    <w:p w14:paraId="4CD08280" w14:textId="77777777" w:rsidR="009D7677" w:rsidRDefault="009D7677" w:rsidP="009D7677">
      <w:pPr>
        <w:pStyle w:val="TextoNormal"/>
      </w:pPr>
      <w:r>
        <w:t>a) El 1 de junio de 2020, el hermano de la recurrente en amparo, don Daniel Jiménez Jiménez, que se encontraba encerrado en los calabozos de la comisaría de la Policía Nacional de Algeciras tras haber sido detenido por un presunto delito de violencia de género, fue hallado ahorcado en su celda.</w:t>
      </w:r>
    </w:p>
    <w:p w14:paraId="729D2C4B" w14:textId="77777777" w:rsidR="009D7677" w:rsidRDefault="009D7677" w:rsidP="009D7677">
      <w:pPr>
        <w:pStyle w:val="TextoNormal"/>
      </w:pPr>
    </w:p>
    <w:p w14:paraId="55301299" w14:textId="77777777" w:rsidR="009D7677" w:rsidRDefault="009D7677" w:rsidP="009D7677">
      <w:pPr>
        <w:pStyle w:val="TextoNormal"/>
      </w:pPr>
      <w:r>
        <w:t>Según el atestado policial, la relación cronológica de lo ocurrido sería la siguiente. El detenido ingresó en dependencias policiales sobre las 18:10 horas del sábado 30 de mayo de 2020, y una hora más tarde, utilizando un azulejo que arrancó de su celda, se intentó quitar la vida causándose numerosos cortes en el antebrazo izquierdo, por lo que fue trasladado sobre las 20:00 horas de ese día al hospital. Devuelto a la comisaría a las 23:31 horas del 31 de mayo tras ser curado, los agentes de policía decidieron encerrarlo en una celda distinta para evitar que repitiera su intento y, en cumplimiento de los protocolos de seguridad, comenzaron a efectuar rondas de vigilancia. Sobre las 00:15 horas del 1 de junio le entregaron la cena al detenido y le acompañaron a los aseos. A las 01:40 horas, en una de las rondas de vigilancia, el detenido fue hallado ahorcado en los barrotes de su celda con los jirones de una manta, procediendo los agentes a intentar reanimarlo sin éxito. A las 03:07 horas llegó la comisión judicial, que certificó la muerte del detenido.</w:t>
      </w:r>
    </w:p>
    <w:p w14:paraId="16DEF4B1" w14:textId="77777777" w:rsidR="009D7677" w:rsidRDefault="009D7677" w:rsidP="009D7677">
      <w:pPr>
        <w:pStyle w:val="TextoNormal"/>
      </w:pPr>
    </w:p>
    <w:p w14:paraId="648348D3" w14:textId="77777777" w:rsidR="009D7677" w:rsidRDefault="009D7677" w:rsidP="009D7677">
      <w:pPr>
        <w:pStyle w:val="TextoNormal"/>
      </w:pPr>
      <w:r>
        <w:t xml:space="preserve">b) El 1 de junio de 2020 el Juzgado de Instrucción núm. 4 de Algeciras dictó auto incoando las diligencias previas núm. 276-2020, ordenando que se diera cuenta al Ministerio </w:t>
      </w:r>
      <w:r>
        <w:lastRenderedPageBreak/>
        <w:t>Fiscal y requiriendo al médico forense para que practicase la autopsia al fallecido e informase de las causas de la muerte.</w:t>
      </w:r>
    </w:p>
    <w:p w14:paraId="26359236" w14:textId="77777777" w:rsidR="009D7677" w:rsidRDefault="009D7677" w:rsidP="009D7677">
      <w:pPr>
        <w:pStyle w:val="TextoNormal"/>
      </w:pPr>
    </w:p>
    <w:p w14:paraId="60BF3D78" w14:textId="77777777" w:rsidR="009D7677" w:rsidRDefault="009D7677" w:rsidP="009D7677">
      <w:pPr>
        <w:pStyle w:val="TextoNormal"/>
      </w:pPr>
      <w:r>
        <w:t>En el avance de autopsia emitido en la misma fecha por la médico forense se informa que don Daniel Jiménez Jiménez falleció a consecuencia de asfixia mecánica por ahorcamiento, hacia las 1:30 horas del 1 de junio de 2020.</w:t>
      </w:r>
    </w:p>
    <w:p w14:paraId="369F6623" w14:textId="77777777" w:rsidR="009D7677" w:rsidRDefault="009D7677" w:rsidP="009D7677">
      <w:pPr>
        <w:pStyle w:val="TextoNormal"/>
      </w:pPr>
    </w:p>
    <w:p w14:paraId="12202BAE" w14:textId="77777777" w:rsidR="009D7677" w:rsidRDefault="009D7677" w:rsidP="009D7677">
      <w:pPr>
        <w:pStyle w:val="TextoNormal"/>
      </w:pPr>
      <w:r>
        <w:t>c) Al día siguiente la recurrente en amparo se personó en la causa y formuló denuncia contra los agentes de policía responsables de la custodia en calabozos de su hermano, a fin de obtener el esclarecimiento de los hechos y, en su caso, depurar las responsabilidades a que hubiere lugar. En su escrito de personación y denuncia solicitó que se practicasen una serie de diligencias de investigación: identificación de los agentes responsables de la custodia, copia de las grabaciones de las cámaras de vigilancia de los calabozos, datos filiatorios del resto de detenidos que se encontrasen en calabozos, registro de telefonemas desde las 20:00 del 31 de mayo de 2020 a las 9:05 del 1 de junio, informe detallado del suceso, ficha de custodia del detenido para su cotejo con el libro de registro-custodia de detenidos, y entrega de la manta con la que presuntamente se ahorcó el detenido.</w:t>
      </w:r>
    </w:p>
    <w:p w14:paraId="4990A363" w14:textId="77777777" w:rsidR="009D7677" w:rsidRDefault="009D7677" w:rsidP="009D7677">
      <w:pPr>
        <w:pStyle w:val="TextoNormal"/>
      </w:pPr>
    </w:p>
    <w:p w14:paraId="54E77581" w14:textId="77777777" w:rsidR="009D7677" w:rsidRDefault="009D7677" w:rsidP="009D7677">
      <w:pPr>
        <w:pStyle w:val="TextoNormal"/>
      </w:pPr>
      <w:r>
        <w:t>d) Mediante providencia de 9 de junio de 2020, el Juzgado de Instrucción núm. 4 de Algeciras acordó no haber lugar a lo solicitado por la representación procesal de la recurrente. Sin embargo, mediante providencia de 15 de junio de 2020, el juzgado acordó dejar sin efecto la anterior providencia, tener por presentada la denuncia de la hermana del fallecido y requerirla para que manifestase si desea ejercer acusación particular o formular querella, antes de acordar lo procedente sobre las diligencias interesadas en su denuncia. Asimismo, acordó incorporar el atestado policial a la causa. La representación de la recurrente contestó a dicho requerimiento interesando que se la tuviera por personada en la causa en calidad de acusación particular.</w:t>
      </w:r>
    </w:p>
    <w:p w14:paraId="1651D554" w14:textId="77777777" w:rsidR="009D7677" w:rsidRDefault="009D7677" w:rsidP="009D7677">
      <w:pPr>
        <w:pStyle w:val="TextoNormal"/>
      </w:pPr>
    </w:p>
    <w:p w14:paraId="0B012DE3" w14:textId="77777777" w:rsidR="009D7677" w:rsidRDefault="009D7677" w:rsidP="009D7677">
      <w:pPr>
        <w:pStyle w:val="TextoNormal"/>
      </w:pPr>
      <w:r>
        <w:t>e) La Asociación de Juristas Gitanos, mediante escrito presentado el 22 de junio de 2020, se personó en la causa ejercitando la acusación particular e interesó la práctica de diligencias de investigación coincidentes con las previamente solicitadas por la hermana del fallecido, por entender que la muerte pudiera tener una causa distinta a la del suicidio.</w:t>
      </w:r>
    </w:p>
    <w:p w14:paraId="020DE17B" w14:textId="77777777" w:rsidR="009D7677" w:rsidRDefault="009D7677" w:rsidP="009D7677">
      <w:pPr>
        <w:pStyle w:val="TextoNormal"/>
      </w:pPr>
    </w:p>
    <w:p w14:paraId="057F34E6" w14:textId="77777777" w:rsidR="009D7677" w:rsidRDefault="009D7677" w:rsidP="009D7677">
      <w:pPr>
        <w:pStyle w:val="TextoNormal"/>
      </w:pPr>
      <w:r>
        <w:t>Por providencia de 25 de junio de 2020 el juzgado requirió a la representación procesal de la Asociación de Juristas Gitanos para que acreditase la representación y el interés de dicha asociación en la causa. Cumplimentado dicho requerimiento, el juzgado dictó auto el 9 de julio de 2020 teniendo por personada a la referida asociación en calidad de acusación popular, con requerimiento para que prestase fianza en cuantía de 2000 €, que en efecto fue constituida el 13 de julio.</w:t>
      </w:r>
    </w:p>
    <w:p w14:paraId="04577ABE" w14:textId="77777777" w:rsidR="009D7677" w:rsidRDefault="009D7677" w:rsidP="009D7677">
      <w:pPr>
        <w:pStyle w:val="TextoNormal"/>
      </w:pPr>
    </w:p>
    <w:p w14:paraId="53BC39FD" w14:textId="77777777" w:rsidR="009D7677" w:rsidRDefault="009D7677" w:rsidP="009D7677">
      <w:pPr>
        <w:pStyle w:val="TextoNormal"/>
      </w:pPr>
      <w:r>
        <w:t>f) El juzgado incorporó a la causa el atestado policial, los informes forenses de autopsia del cadáver y los informes de los servicios de química y de histopatología del Instituto de Medicina Legal de Cádiz, así como las imágenes de video grabadas por las cámaras de seguridad de los calabozos de la comisaría de Algeciras durante el lapso temporal que el fallecido permaneció en aquellos. Seguidamente, dictó providencia el 8 de julio de 2020 dando traslado a las partes y al Ministerio Fiscal para que, en el plazo de diez días, a la vista de las actuaciones, se pronunciasen sobre el sobreseimiento de la causa o las diligencias a practicar.</w:t>
      </w:r>
    </w:p>
    <w:p w14:paraId="4358992E" w14:textId="77777777" w:rsidR="009D7677" w:rsidRDefault="009D7677" w:rsidP="009D7677">
      <w:pPr>
        <w:pStyle w:val="TextoNormal"/>
      </w:pPr>
    </w:p>
    <w:p w14:paraId="039B5312" w14:textId="77777777" w:rsidR="009D7677" w:rsidRDefault="009D7677" w:rsidP="009D7677">
      <w:pPr>
        <w:pStyle w:val="TextoNormal"/>
      </w:pPr>
      <w:r>
        <w:t>g) El Ministerio Fiscal interesó el sobreseimiento provisional y archivo del procedimiento. Por su parte, la representación de la Asociación de Juristas Gitanos interesó la práctica de las diligencias de investigación ya solicitadas, referidas a la ficha de custodia del finado, el listado con los datos filiatorios del resto de detenidos que se encontrasen en calabozos, la declaración de los cuatro agentes de policía que hallaron al detenido colgado en su celda, la entrega como pieza de convicción de la manta con la que presuntamente se ahorcó y el informe completo de autopsia del médico forense.</w:t>
      </w:r>
    </w:p>
    <w:p w14:paraId="294F09BF" w14:textId="77777777" w:rsidR="009D7677" w:rsidRDefault="009D7677" w:rsidP="009D7677">
      <w:pPr>
        <w:pStyle w:val="TextoNormal"/>
      </w:pPr>
    </w:p>
    <w:p w14:paraId="78F16306" w14:textId="77777777" w:rsidR="009D7677" w:rsidRDefault="009D7677" w:rsidP="009D7677">
      <w:pPr>
        <w:pStyle w:val="TextoNormal"/>
      </w:pPr>
      <w:r>
        <w:t>h) Por providencia de 14 de septiembre de 2020, el juzgado acordó unir a las actuaciones el informe definitivo de autopsia que había tenido entrada el 7 de septiembre, requerir a la Dirección General de la Policía Nacional la remisión del expediente administrativo tramitado por este suceso, y dar traslado al Ministerio Fiscal del escrito presentado por la Asociación de Juristas Gitanos, a fin de que se pronunciare sobre lo interesado por esta o se ratificase en su solicitud de sobreseimiento.</w:t>
      </w:r>
    </w:p>
    <w:p w14:paraId="07B063DE" w14:textId="77777777" w:rsidR="009D7677" w:rsidRDefault="009D7677" w:rsidP="009D7677">
      <w:pPr>
        <w:pStyle w:val="TextoNormal"/>
      </w:pPr>
    </w:p>
    <w:p w14:paraId="40EDED09" w14:textId="77777777" w:rsidR="009D7677" w:rsidRDefault="009D7677" w:rsidP="009D7677">
      <w:pPr>
        <w:pStyle w:val="TextoNormal"/>
      </w:pPr>
      <w:r>
        <w:t>i) Remitido el expediente administrativo por la Dirección General de la Policía Nacional fue incorporado a la causa, así como el escrito del Ministerio Fiscal en el que, a la vista del informe definitivo de autopsia, se ratifica en su petición de sobreseimiento provisional. Seguidamente, por auto de 22 de octubre de 2020, el juzgado acordó el sobreseimiento provisional y archivo de las actuaciones, de conformidad con los arts. 641.1 y 779.1.1 de la Ley de enjuiciamiento criminal  (LECrim), por no aparecer debidamente justificada la perpetración del delito que ha dado motivo a la formación de la causa.</w:t>
      </w:r>
    </w:p>
    <w:p w14:paraId="7EBC350D" w14:textId="77777777" w:rsidR="009D7677" w:rsidRDefault="009D7677" w:rsidP="009D7677">
      <w:pPr>
        <w:pStyle w:val="TextoNormal"/>
      </w:pPr>
    </w:p>
    <w:p w14:paraId="55518E98" w14:textId="77777777" w:rsidR="009D7677" w:rsidRDefault="009D7677" w:rsidP="009D7677">
      <w:pPr>
        <w:pStyle w:val="TextoNormal"/>
      </w:pPr>
      <w:r>
        <w:t>Razona el juzgado en su auto que “[n]o aparece dato alguno en lo investigado que apunte a que los agentes que estaban custodiando los calabozos actuaran con falta de diligencia en el desgraciado incidente autolítico que acabó con el fallecimiento del detenido Daniel Jiménez Jiménez, y ello tras analizarse minuciosamente las grabaciones de lo sucedido. Los agentes aquella noche actuaron como era de esperar, llevándolo a recibir asistencia sanitaria cuando se produjo heridas con un azulejo que partió, cambiándolo de celda para evitar que volviera a dañarse, hablando con él, acompañándolo al servicio y haciendo rondas de seguridad, en una de las cuales se descubrió el cadáver. El detenido no tenía nada que pudiera usar para volver a hacerse daño, solo una manta para cubrirse, que fue lo que usó para quitarse la vida. Los agentes no pudieron predecir ni evitar el fatal final.”</w:t>
      </w:r>
    </w:p>
    <w:p w14:paraId="683A8FCC" w14:textId="77777777" w:rsidR="009D7677" w:rsidRDefault="009D7677" w:rsidP="009D7677">
      <w:pPr>
        <w:pStyle w:val="TextoNormal"/>
      </w:pPr>
    </w:p>
    <w:p w14:paraId="0D9340CD" w14:textId="77777777" w:rsidR="009D7677" w:rsidRDefault="009D7677" w:rsidP="009D7677">
      <w:pPr>
        <w:pStyle w:val="TextoNormal"/>
      </w:pPr>
      <w:r>
        <w:t>j) Frente a la anterior resolución de archivo se interpusieron por la demandante de amparo y por la Asociación de Juristas Gitanos sendos recursos de reforma y subsidiario de apelación, en los que pusieron de manifiesto la necesidad de continuar con la investigación so pena de conculcar el derecho a la tutela judicial efectiva. A tal efecto solicitaron la práctica de diversas diligencias de investigación: citación de la médico forense que realizó la autopsia, a fin de ser interrogada en calidad de perito; toma de declaración en calidad de testigos de los agentes de la Policía Nacional que tuvieron relación con el fallecido durante su estancia en calabozos; declaración testifical de los detenidos que coincidieron con el detenido en los calabozos; declaración testifical de la médico del hospital que expidió el informe de alta de urgencia el 31 de mayo de 2020; puesta a disposición del juzgado, como pieza de convicción, de la manta con la que supuestamente se ahorcó el detenido, y ficha de la custodia del detenido.</w:t>
      </w:r>
    </w:p>
    <w:p w14:paraId="094F0B1E" w14:textId="77777777" w:rsidR="009D7677" w:rsidRDefault="009D7677" w:rsidP="009D7677">
      <w:pPr>
        <w:pStyle w:val="TextoNormal"/>
      </w:pPr>
    </w:p>
    <w:p w14:paraId="770D8F28" w14:textId="7EDF4BF5" w:rsidR="009D7677" w:rsidRDefault="009D7677" w:rsidP="009D7677">
      <w:pPr>
        <w:pStyle w:val="TextoNormal"/>
      </w:pPr>
      <w:r>
        <w:lastRenderedPageBreak/>
        <w:t>k) Desestimados los recursos de reforma por auto del juzgado de 19 de enero de 2021, fueron elevadas las actuaciones a la Audiencia Provincial de Cádiz. Esta, mediante auto de 12 de julio de 2021, desestimó los recursos de apelación y confirmó el sobreseimiento provisional y archivo de la causa acordado por el juzgado, razonando que del atestado policial y de los informes obrantes en la causa, en particular del contenido del informe de la autopsia elaborado por la médico forense, resulta que la causa de la muerte es el suicidio, por lo que no es necesaria la práctica del resto de diligencias de investigación propuestas por los recurrentes.</w:t>
      </w:r>
    </w:p>
    <w:p w14:paraId="48B76FBE" w14:textId="77777777" w:rsidR="009D7677" w:rsidRDefault="009D7677" w:rsidP="009D7677">
      <w:pPr>
        <w:pStyle w:val="TextoNormal"/>
      </w:pPr>
    </w:p>
    <w:p w14:paraId="102A4C36" w14:textId="77777777" w:rsidR="009D7677" w:rsidRDefault="009D7677" w:rsidP="009D7677">
      <w:pPr>
        <w:pStyle w:val="TextoNormal"/>
      </w:pPr>
      <w:r w:rsidRPr="009D7677">
        <w:rPr>
          <w:rStyle w:val="NumeroAFNegritaCaracter"/>
        </w:rPr>
        <w:t>3</w:t>
      </w:r>
      <w:r>
        <w:t>. La demanda de amparo se interpone contra el auto de 22 de octubre de 2020 del Juzgado de Instrucción núm. 4 de Algeciras que acuerda el sobreseimiento provisional y archivo de las diligencias previas núm. 276-2020 y contra el auto del mismo juzgado de 19 de enero de 2021 que desestima el recurso de reforma interpuesto contra el anterior, así como frente al auto de 12 de julio de 2021 de la Sección Séptima de la Audiencia Provincial de Cádiz, que desestima el recurso de apelación núm. 558-2021 y confirma el sobreseimiento provisional y archivo de la causa. La demandante alega la vulneración del derecho a la tutela judicial efectiva (art. 24.1 CE), así como de los derechos a un proceso con todas las garantías y a utilizar los medios de prueba pertinentes para la defensa (art. 24.2 CE), por lo que considera como una actividad instructora insuficiente.</w:t>
      </w:r>
    </w:p>
    <w:p w14:paraId="279EAF0E" w14:textId="77777777" w:rsidR="009D7677" w:rsidRDefault="009D7677" w:rsidP="009D7677">
      <w:pPr>
        <w:pStyle w:val="TextoNormal"/>
      </w:pPr>
    </w:p>
    <w:p w14:paraId="2085D4A4" w14:textId="77777777" w:rsidR="009D7677" w:rsidRDefault="009D7677" w:rsidP="009D7677">
      <w:pPr>
        <w:pStyle w:val="TextoNormal"/>
      </w:pPr>
      <w:r>
        <w:t xml:space="preserve">Sostiene, con cita de doctrina constitucional y del Tribunal Europeo de Derechos Humanos (SSTEDH de 24 de julio de 2012, asunto </w:t>
      </w:r>
      <w:r w:rsidRPr="009D7677">
        <w:rPr>
          <w:i/>
        </w:rPr>
        <w:t>B.S. c España</w:t>
      </w:r>
      <w:r>
        <w:t xml:space="preserve">, y de 19 de enero de 2021, asunto </w:t>
      </w:r>
      <w:r w:rsidRPr="009D7677">
        <w:rPr>
          <w:i/>
        </w:rPr>
        <w:t>González Etayo c. España</w:t>
      </w:r>
      <w:r>
        <w:t>), que en supuestos como el presente, en el que se investiga la muerte de una persona que se encontraba bajo custodia policial y, por tanto, en una situación de especial vulnerabilidad, es inexcusable que el juez instructor ha de llevar a cabo una investigación más exigente, que debe ser suficiente y efectiva para esclarecer lo sucedido, lo que no ha ocurrido en el presente caso.</w:t>
      </w:r>
    </w:p>
    <w:p w14:paraId="060B239C" w14:textId="77777777" w:rsidR="009D7677" w:rsidRDefault="009D7677" w:rsidP="009D7677">
      <w:pPr>
        <w:pStyle w:val="TextoNormal"/>
      </w:pPr>
    </w:p>
    <w:p w14:paraId="33BCB23D" w14:textId="77777777" w:rsidR="009D7677" w:rsidRDefault="009D7677" w:rsidP="009D7677">
      <w:pPr>
        <w:pStyle w:val="TextoNormal"/>
      </w:pPr>
      <w:r>
        <w:t>Señala asimismo que la especial trascendencia constitucional del recurso radica en que este ofrece a este tribunal la posibilidad de pronunciarse sobre la necesidad de una investigación judicial exhaustiva y eficaz de las circunstancias en las que se desenvuelven las detenciones de los ciudadanos en dependencias policiales, cuando en ellas se produce la muerte del detenido.</w:t>
      </w:r>
    </w:p>
    <w:p w14:paraId="6F533C12" w14:textId="77777777" w:rsidR="009D7677" w:rsidRDefault="009D7677" w:rsidP="009D7677">
      <w:pPr>
        <w:pStyle w:val="TextoNormal"/>
      </w:pPr>
    </w:p>
    <w:p w14:paraId="73BA2568" w14:textId="616B2DBD" w:rsidR="009D7677" w:rsidRDefault="009D7677" w:rsidP="009D7677">
      <w:pPr>
        <w:pStyle w:val="TextoNormal"/>
      </w:pPr>
      <w:r>
        <w:t>Solicita por todo ello que se le otorgue amparo, declarando vulnerados los derechos fundamentales alegados, y que en consecuencia se anulen las resoluciones judiciales impugnadas y se ordene la continuación de las diligencias previas núm. 276-2020, con la práctica de las diligencias necesarias para la investigación de los hechos denunciados.</w:t>
      </w:r>
    </w:p>
    <w:p w14:paraId="475261C8" w14:textId="77777777" w:rsidR="009D7677" w:rsidRDefault="009D7677" w:rsidP="009D7677">
      <w:pPr>
        <w:pStyle w:val="TextoNormal"/>
      </w:pPr>
    </w:p>
    <w:p w14:paraId="2CD36421" w14:textId="77777777" w:rsidR="009D7677" w:rsidRDefault="009D7677" w:rsidP="009D7677">
      <w:pPr>
        <w:pStyle w:val="TextoNormal"/>
      </w:pPr>
      <w:r w:rsidRPr="009D7677">
        <w:rPr>
          <w:rStyle w:val="NumeroAFNegritaCaracter"/>
        </w:rPr>
        <w:t>4</w:t>
      </w:r>
      <w:r>
        <w:t>. Por providencia de 17 de abril de 2023, la Sección Cuarta del Tribunal Constitucional acordó admitir a trámite el recurso de amparo, apreciando que concurre una especial trascendencia constitucional [art. 50.1 de la Ley Orgánica del Tribunal Constitucional (LOTC)], dado que el asunto suscitado trasciende del caso concreto porque plantea una cuestión jurídica de relevante y general repercusión social [STC 155/2009, de 25 de junio, FJ 2 g)].</w:t>
      </w:r>
    </w:p>
    <w:p w14:paraId="6F378BDD" w14:textId="77777777" w:rsidR="009D7677" w:rsidRDefault="009D7677" w:rsidP="009D7677">
      <w:pPr>
        <w:pStyle w:val="TextoNormal"/>
      </w:pPr>
    </w:p>
    <w:p w14:paraId="06531F3C" w14:textId="25CB1E77" w:rsidR="009D7677" w:rsidRDefault="009D7677" w:rsidP="009D7677">
      <w:pPr>
        <w:pStyle w:val="TextoNormal"/>
      </w:pPr>
      <w:r>
        <w:t xml:space="preserve">Por ello, en aplicación de lo dispuesto en el art. 51 LOTC, se ordenó dirigir atenta comunicación a la Sección Séptima de la Audiencia Provincial de Cádiz para que, en plazo </w:t>
      </w:r>
      <w:r>
        <w:lastRenderedPageBreak/>
        <w:t>que no excediera de diez días, remitiera testimonio de las actuaciones correspondientes al recurso de apelación núm. 558-2021. Asimismo, constando ya remitidas las actuaciones correspondientes a las diligencias previas núm. 276-2020 del Juzgado de Instrucción núm. 4 de Algeciras, se ordenó dirigir a este atenta comunicación a fin de que, en plazo que no excediera de diez días, procediera a emplazar a quienes hubieran sido parte en el procedimiento, excepto a la recurrente en amparo, a fin de que pudieran comparecer en el presente proceso constitucional.</w:t>
      </w:r>
    </w:p>
    <w:p w14:paraId="027CF701" w14:textId="77777777" w:rsidR="009D7677" w:rsidRDefault="009D7677" w:rsidP="009D7677">
      <w:pPr>
        <w:pStyle w:val="TextoNormal"/>
      </w:pPr>
    </w:p>
    <w:p w14:paraId="588676C2" w14:textId="05BB5831" w:rsidR="009D7677" w:rsidRDefault="009D7677" w:rsidP="009D7677">
      <w:pPr>
        <w:pStyle w:val="TextoNormal"/>
      </w:pPr>
      <w:r w:rsidRPr="009D7677">
        <w:rPr>
          <w:rStyle w:val="NumeroAFNegritaCaracter"/>
        </w:rPr>
        <w:t>5</w:t>
      </w:r>
      <w:r>
        <w:t>. Mediante escrito registrado en este tribunal el 22 de mayo de 2023, el procurador de los tribunales don Miguel Tubío Roldán, asistido por el abogado don Luis Mendoza Carmona, solicitó que se le tuviese por comparecido y parte en el presente recurso de amparo en nombre y representación de la Asociación de Juristas Gitanos.</w:t>
      </w:r>
    </w:p>
    <w:p w14:paraId="64E057A4" w14:textId="77777777" w:rsidR="009D7677" w:rsidRDefault="009D7677" w:rsidP="009D7677">
      <w:pPr>
        <w:pStyle w:val="TextoNormal"/>
      </w:pPr>
    </w:p>
    <w:p w14:paraId="47421481" w14:textId="62DC85DF" w:rsidR="009D7677" w:rsidRDefault="009D7677" w:rsidP="009D7677">
      <w:pPr>
        <w:pStyle w:val="TextoNormal"/>
      </w:pPr>
      <w:r w:rsidRPr="009D7677">
        <w:rPr>
          <w:rStyle w:val="NumeroAFNegritaCaracter"/>
        </w:rPr>
        <w:t>6</w:t>
      </w:r>
      <w:r>
        <w:t>. La Secretaría de justicia de la Sala Segunda de este tribunal, por diligencia de ordenación de 13 de junio de 2023, acordó tener por personado y parte al procurador don Miguel Tubío Roldán, en nombre y representación de la Asociación de Juristas Gitanos, y dar vista de las actuaciones recibidas a las partes y al Ministerio Fiscal, por plazo común de veinte días, para presentar las alegaciones que estimasen pertinentes, de conformidad con el art. 52.1 LOTC.</w:t>
      </w:r>
    </w:p>
    <w:p w14:paraId="06E45EC3" w14:textId="77777777" w:rsidR="009D7677" w:rsidRDefault="009D7677" w:rsidP="009D7677">
      <w:pPr>
        <w:pStyle w:val="TextoNormal"/>
      </w:pPr>
    </w:p>
    <w:p w14:paraId="54915BCF" w14:textId="1776692C" w:rsidR="009D7677" w:rsidRDefault="009D7677" w:rsidP="009D7677">
      <w:pPr>
        <w:pStyle w:val="TextoNormal"/>
      </w:pPr>
      <w:r w:rsidRPr="009D7677">
        <w:rPr>
          <w:rStyle w:val="NumeroAFNegritaCaracter"/>
        </w:rPr>
        <w:t>7</w:t>
      </w:r>
      <w:r>
        <w:t>. La representación procesal de la Asociación de Juristas Gitanos presentó su escrito de alegaciones el 11 de julio de 2023, en el que solicita, con argumentos coincidentes con los expuestos por la recurrente, que se le otorgue a esta el amparo interesado.</w:t>
      </w:r>
    </w:p>
    <w:p w14:paraId="01355D33" w14:textId="77777777" w:rsidR="009D7677" w:rsidRDefault="009D7677" w:rsidP="009D7677">
      <w:pPr>
        <w:pStyle w:val="TextoNormal"/>
      </w:pPr>
    </w:p>
    <w:p w14:paraId="147AD292" w14:textId="77777777" w:rsidR="009D7677" w:rsidRDefault="009D7677" w:rsidP="009D7677">
      <w:pPr>
        <w:pStyle w:val="TextoNormal"/>
      </w:pPr>
      <w:r w:rsidRPr="009D7677">
        <w:rPr>
          <w:rStyle w:val="NumeroAFNegritaCaracter"/>
        </w:rPr>
        <w:t>8</w:t>
      </w:r>
      <w:r>
        <w:t>. El Ministerio Fiscal presentó su escrito de alegaciones el 25 de julio de 2023. Tras referirse a los antecedentes del asunto y a la fundamentación del recurso de amparo, señala que lo que se plantea es la aplicación al presente caso de la conocida doctrina constitucional y del Tribunal Europeo de Derechos Humanos (que cita por extenso) relativa a la exigencia de desarrollar una investigación judicial suficiente y eficaz para esclarecer los hechos en el caso de denuncias de torturas o malos tratos que se dicen sufridos bajo detención policial o en el contexto de actuaciones de agentes estatales, con la particularidad de que en el supuesto que nos ocupa no se denuncian por la recurrente torturas o tratos inhumanos o degradantes ni se invoca el art. 15 CE como vulnerado, sino que se apunta a la existencia de algún tipo de negligencia de los agentes de policía en la custodia del detenido, que pudiera haber contribuido al fatal desenlace producido.</w:t>
      </w:r>
    </w:p>
    <w:p w14:paraId="09C7CC9E" w14:textId="77777777" w:rsidR="009D7677" w:rsidRDefault="009D7677" w:rsidP="009D7677">
      <w:pPr>
        <w:pStyle w:val="TextoNormal"/>
      </w:pPr>
    </w:p>
    <w:p w14:paraId="440975EE" w14:textId="77777777" w:rsidR="009D7677" w:rsidRDefault="009D7677" w:rsidP="009D7677">
      <w:pPr>
        <w:pStyle w:val="TextoNormal"/>
      </w:pPr>
      <w:r>
        <w:t xml:space="preserve">El Ministerio Fiscal considera que, en atención a la especial situación de vulnerabilidad en la que se encontraba el detenido y el deber de protección que incumbe a las autoridades, así como la gravedad del suceso investigado, debe entenderse aplicable en este caso el criterio que ha establecido la referida jurisprudencia del Tribunal Europeo de Derechos Humanos y del Tribunal Constitucional, lo que supone que es exigible una investigación judicial suficiente y eficaz para esclarecer un hecho tan grave como es el suicidio de un detenido en los calabozos de una comisaría. Por lo demás, advierte que tanto el Tribunal Constitucional, en su STC 87/2020, de 20 de julio, como el Tribunal Europeo de Derechos Humanos, en su sentencia de 11 de octubre de 2022, asunto </w:t>
      </w:r>
      <w:r w:rsidRPr="009D7677">
        <w:rPr>
          <w:i/>
        </w:rPr>
        <w:t>Garrido Herrero c. España</w:t>
      </w:r>
      <w:r>
        <w:t>, han extendido el canon de la investigación suficiente y eficaz a otros supuestos distintos de las denuncias de torturas o malos tratos que se dicen sufridos bajo custodia policial.</w:t>
      </w:r>
    </w:p>
    <w:p w14:paraId="61C7C503" w14:textId="77777777" w:rsidR="009D7677" w:rsidRDefault="009D7677" w:rsidP="009D7677">
      <w:pPr>
        <w:pStyle w:val="TextoNormal"/>
      </w:pPr>
    </w:p>
    <w:p w14:paraId="037307ED" w14:textId="77777777" w:rsidR="009D7677" w:rsidRDefault="009D7677" w:rsidP="009D7677">
      <w:pPr>
        <w:pStyle w:val="TextoNormal"/>
      </w:pPr>
      <w:r>
        <w:t>La aplicación de la referida doctrina al presente caso ha de conducir, a juicio del Ministerio Fiscal, a la estimación del recurso de amparo. En primer lugar sostiene que si bien es cierto que de las diligencias practicadas, especialmente de las grabaciones de las cámaras de vigilancia y de la autopsia, se desprende que no existió una actuación de los agentes de policía dirigida a provocar la muerte del detenido, en cambio no se puede descartar, en el nivel de las meras sospechas, una posible negligencia en la custodia del detenido que desembocó en su muerte, por cuanto este ya había protagonizado un intento autolítico en los calabozos y, al ser trasladado al hospital para la cura de las lesiones que se provocó, le manifestó al médico que le atendió que se había intentado suicidar y que volvería a intentarlo, por lo que el facultativo le prescribió una determinada medicación (que los agentes de policía entregaron al detenido para que se la tomara, poco antes de su fallecimiento). Pese a ello, no consta que los agentes de policía encargados de su custodia adoptasen ninguna medida especial, salvo la de encerrarlo en un calabozo distinto y retirarle la cucharilla al suministrarle la cena.</w:t>
      </w:r>
    </w:p>
    <w:p w14:paraId="7E6911C7" w14:textId="77777777" w:rsidR="009D7677" w:rsidRDefault="009D7677" w:rsidP="009D7677">
      <w:pPr>
        <w:pStyle w:val="TextoNormal"/>
      </w:pPr>
    </w:p>
    <w:p w14:paraId="07FCD1A7" w14:textId="77777777" w:rsidR="009D7677" w:rsidRDefault="009D7677" w:rsidP="009D7677">
      <w:pPr>
        <w:pStyle w:val="TextoNormal"/>
      </w:pPr>
      <w:r>
        <w:t xml:space="preserve">Teniendo en cuenta lo anterior, el juez instructor venía obligado a realizar una investigación suficiente y eficaz conforme al meritado canon constitucional, siendo así que, según el Ministerio Fiscal, en el presente caso no se realizaron todas las posibles diligencias de investigación adecuadas para el esclarecimiento del grave suceso. Considera por ello que debería tomarse declaración a los agentes de policía encargados de la custodia del detenido, para valorar si su actuación fue diligente en la custodia en calabozos de quien se hallaba detenido por violencia de género y ya había intentado suicidarse antes, a la vista del protocolo de actuación establecido por la Instrucción núm. 4/2018 de la Secretaría de Estado de Seguridad. Asimismo, debería tomarse declaración tanto a la médico que atendió al detenido en el hospital tras su primer intento suicida como a la médico forense que emitió el informe de autopsia. De igual modo, aunque </w:t>
      </w:r>
      <w:r w:rsidRPr="009D7677">
        <w:rPr>
          <w:i/>
        </w:rPr>
        <w:t>a priori</w:t>
      </w:r>
      <w:r>
        <w:t xml:space="preserve"> parece una diligencia menos relevante, podría intentarse tomar declaración, si no supone un retraso relevante en la tramitación de la causa, a los detenidos en las celdas contiguas cuando sucedieron los hechos. Por último, es necesario el examen de la manta y demás objetos que el fallecido tuvo a su disposición en la celda, para determinar cómo pudo confeccionar la cuerda para ahorcarse.</w:t>
      </w:r>
    </w:p>
    <w:p w14:paraId="6CD9A07B" w14:textId="77777777" w:rsidR="009D7677" w:rsidRDefault="009D7677" w:rsidP="009D7677">
      <w:pPr>
        <w:pStyle w:val="TextoNormal"/>
      </w:pPr>
    </w:p>
    <w:p w14:paraId="1437299D" w14:textId="77777777" w:rsidR="009D7677" w:rsidRDefault="009D7677" w:rsidP="009D7677">
      <w:pPr>
        <w:pStyle w:val="TextoNormal"/>
      </w:pPr>
      <w:r>
        <w:t>Considera, en fin, el fiscal que los autos impugnados están insuficientemente motivados, pues si bien exponen por qué consideran que no hubo negligencia en la custodia del detenido, no contienen una explicación adecuada sobre el cierre de la investigación desde la perspectiva de la exigencia constitucional de agotar cuantas posibilidades razonables de indagación resulten útiles para esclarecer los hechos, a fin de determinar si existió o no algún tipo de responsabilidad de los agentes de policía encargados de la custodia del detenido.</w:t>
      </w:r>
    </w:p>
    <w:p w14:paraId="073A791C" w14:textId="77777777" w:rsidR="009D7677" w:rsidRDefault="009D7677" w:rsidP="009D7677">
      <w:pPr>
        <w:pStyle w:val="TextoNormal"/>
      </w:pPr>
    </w:p>
    <w:p w14:paraId="3406FE68" w14:textId="3BAD3B88" w:rsidR="009D7677" w:rsidRDefault="009D7677" w:rsidP="009D7677">
      <w:pPr>
        <w:pStyle w:val="TextoNormal"/>
      </w:pPr>
      <w:r>
        <w:t>Interesa, en consecuencia, el fiscal que se estime el recurso de amparo, declarando vulnerado el derecho del recurrente a la tutela judicial efectiva (art. 24.1 CE) y anulando los autos impugnados, a fin de que se continúe la instrucción cumpliendo los estándares de investigación judicial adecuada y suficiente establecidos por la doctrina constitucional y la del Tribunal Europeo de Derechos Humanos.</w:t>
      </w:r>
    </w:p>
    <w:p w14:paraId="265B08A4" w14:textId="77777777" w:rsidR="009D7677" w:rsidRDefault="009D7677" w:rsidP="009D7677">
      <w:pPr>
        <w:pStyle w:val="TextoNormal"/>
      </w:pPr>
    </w:p>
    <w:p w14:paraId="500B3E21" w14:textId="5A5B5712" w:rsidR="009D7677" w:rsidRDefault="009D7677" w:rsidP="009D7677">
      <w:pPr>
        <w:pStyle w:val="TextoNormal"/>
      </w:pPr>
      <w:r w:rsidRPr="009D7677">
        <w:rPr>
          <w:rStyle w:val="NumeroAFNegritaCaracter"/>
        </w:rPr>
        <w:t>9</w:t>
      </w:r>
      <w:r>
        <w:t>. La representación procesal de la recurrente no presentó alegaciones.</w:t>
      </w:r>
    </w:p>
    <w:p w14:paraId="0B5E44AD" w14:textId="77777777" w:rsidR="009D7677" w:rsidRDefault="009D7677" w:rsidP="009D7677">
      <w:pPr>
        <w:pStyle w:val="TextoNormal"/>
      </w:pPr>
    </w:p>
    <w:p w14:paraId="774C2C79" w14:textId="40531B9D" w:rsidR="009D7677" w:rsidRDefault="009D7677" w:rsidP="009D7677">
      <w:pPr>
        <w:pStyle w:val="TextoNormal"/>
      </w:pPr>
      <w:r w:rsidRPr="009D7677">
        <w:rPr>
          <w:rStyle w:val="NumeroAFNegritaCaracter"/>
        </w:rPr>
        <w:t>10</w:t>
      </w:r>
      <w:r>
        <w:t>. Por providencia de 11 de enero de 2024, se señaló para la deliberación y votación de la presente sentencia el día 15 del mismo mes y año.</w:t>
      </w:r>
    </w:p>
    <w:p w14:paraId="5C9B4FA7" w14:textId="77777777" w:rsidR="009D7677" w:rsidRDefault="009D7677" w:rsidP="009D7677">
      <w:pPr>
        <w:pStyle w:val="TextoNormal"/>
      </w:pPr>
    </w:p>
    <w:p w14:paraId="436407E8" w14:textId="77777777" w:rsidR="009D7677" w:rsidRDefault="009D7677" w:rsidP="009D7677">
      <w:pPr>
        <w:pStyle w:val="TextoNormalNegritaCentrado"/>
        <w:keepNext/>
      </w:pPr>
      <w:r>
        <w:t>II. Fundamentos jurídicos</w:t>
      </w:r>
    </w:p>
    <w:p w14:paraId="68E222D3" w14:textId="465EF183" w:rsidR="009D7677" w:rsidRDefault="009D7677" w:rsidP="009D7677">
      <w:pPr>
        <w:pStyle w:val="TextoNormalNegritaCentrado"/>
        <w:keepNext/>
      </w:pPr>
    </w:p>
    <w:p w14:paraId="399E9A50" w14:textId="77777777" w:rsidR="009D7677" w:rsidRDefault="009D7677" w:rsidP="009D7677">
      <w:pPr>
        <w:pStyle w:val="TextoNormal"/>
      </w:pPr>
      <w:r w:rsidRPr="009D7677">
        <w:rPr>
          <w:rStyle w:val="NumeroAFNegritaCaracter"/>
        </w:rPr>
        <w:t>1</w:t>
      </w:r>
      <w:r>
        <w:t xml:space="preserve">. </w:t>
      </w:r>
      <w:r w:rsidRPr="009D7677">
        <w:rPr>
          <w:i/>
        </w:rPr>
        <w:t>Delimitación del objeto del recurso de amparo; especial trascendencia constitucional</w:t>
      </w:r>
    </w:p>
    <w:p w14:paraId="5D911ED5" w14:textId="77777777" w:rsidR="009D7677" w:rsidRDefault="009D7677" w:rsidP="009D7677">
      <w:pPr>
        <w:pStyle w:val="TextoNormal"/>
      </w:pPr>
    </w:p>
    <w:p w14:paraId="126CF41A" w14:textId="77777777" w:rsidR="009D7677" w:rsidRDefault="009D7677" w:rsidP="009D7677">
      <w:pPr>
        <w:pStyle w:val="TextoNormal"/>
      </w:pPr>
      <w:r>
        <w:t>Se interpone el presente recurso de amparo contra el auto de 22 de octubre de 2020 del Juzgado de Instrucción núm. 4 de Algeciras, dictado en diligencias previas núm. 276-2020, que acuerda el sobreseimiento provisional y archivo de la causa, y contra el auto del mismo juzgado de 19 de enero de 2021, que desestima los recursos de reforma interpuestos contra el anterior, así como frente al auto de 12 de julio de 2021 de la Sección Séptima de la Audiencia Provincial de Cádiz, que desestima el recurso de apelación núm. 558-2021 y confirma el sobreseimiento provisional y archivo del procedimiento acordado por el juzgado.</w:t>
      </w:r>
    </w:p>
    <w:p w14:paraId="5D0C1DA9" w14:textId="77777777" w:rsidR="009D7677" w:rsidRDefault="009D7677" w:rsidP="009D7677">
      <w:pPr>
        <w:pStyle w:val="TextoNormal"/>
      </w:pPr>
    </w:p>
    <w:p w14:paraId="4217AA59" w14:textId="77777777" w:rsidR="009D7677" w:rsidRDefault="009D7677" w:rsidP="009D7677">
      <w:pPr>
        <w:pStyle w:val="TextoNormal"/>
      </w:pPr>
      <w:r>
        <w:t>La recurrente alega la vulneración de sus derechos a la tutela judicial efectiva (art. 24.1 CE) y a un proceso con todas las garantías y a utilizar los medios de prueba pertinentes para la defensa (art. 24.2 CE). Esa vulneración se habría producido porque las resoluciones judiciales impugnadas decretan y confirman el sobreseimiento provisional y archivo de la causa incoada como consecuencia de la muerte por ahorcamiento del hermano de la recurrente, acaecida cuando se hallaba en los calabozos de una comisaría de policía tras haber sido detenido por un presunto delito de violencia de género, sin que se haya llevado a cabo una investigación judicial suficiente y eficaz para intentar esclarecer lo sucedido y en particular para determinar si los agentes de policía encargados de la custodia del detenido incurrieron en algún tipo de responsabilidad por los hechos investigados. Solicita en consecuencia la recurrente que se anulen las resoluciones impugnadas y se ordene la continuación de la investigación judicial, con la práctica de las diligencias necesarias para el esclarecimiento del suceso.</w:t>
      </w:r>
    </w:p>
    <w:p w14:paraId="0877430D" w14:textId="77777777" w:rsidR="009D7677" w:rsidRDefault="009D7677" w:rsidP="009D7677">
      <w:pPr>
        <w:pStyle w:val="TextoNormal"/>
      </w:pPr>
    </w:p>
    <w:p w14:paraId="0D939BB6" w14:textId="77777777" w:rsidR="009D7677" w:rsidRDefault="009D7677" w:rsidP="009D7677">
      <w:pPr>
        <w:pStyle w:val="TextoNormal"/>
      </w:pPr>
      <w:r>
        <w:t>El Ministerio Fiscal y la Asociación de Juristas Gitanos, que intervino en las diligencias previas en calidad de acusación popular, interesan, conforme ha quedado expuesto en el relato de antecedentes, que se le otorgue a la recurrente el amparo solicitado.</w:t>
      </w:r>
    </w:p>
    <w:p w14:paraId="32231C2A" w14:textId="77777777" w:rsidR="009D7677" w:rsidRDefault="009D7677" w:rsidP="009D7677">
      <w:pPr>
        <w:pStyle w:val="TextoNormal"/>
      </w:pPr>
    </w:p>
    <w:p w14:paraId="4AC34EA9" w14:textId="3A5EA3A2" w:rsidR="009D7677" w:rsidRDefault="009D7677" w:rsidP="009D7677">
      <w:pPr>
        <w:pStyle w:val="TextoNormal"/>
      </w:pPr>
      <w:r>
        <w:t>En el presente supuesto, el Tribunal entendió que procedía la admisión a trámite del recurso de amparo al apreciar que el asunto suscitado trasciende del caso concreto porque plantea una cuestión jurídica de relevante y general repercusión social [STC 155/2009, de 25 de junio, FJ 2 g)]. La particularidad que presenta el recurso que nos ocupa y que le dota de especial trascendencia constitucional reside en que da a este tribunal la oportunidad de pronunciarse acerca de la aplicabilidad de su doctrina acerca de la exigencia constitucional de realizar una investigación judicial eficaz y suficiente a supuestos, como el ahora examinado, en los que se trata de depurar la posible responsabilidad penal derivada de un hecho tan grave como es la muerte de un detenido en dependencias policiales.</w:t>
      </w:r>
    </w:p>
    <w:p w14:paraId="4A50CFBD" w14:textId="77777777" w:rsidR="009D7677" w:rsidRDefault="009D7677" w:rsidP="009D7677">
      <w:pPr>
        <w:pStyle w:val="TextoNormal"/>
      </w:pPr>
    </w:p>
    <w:p w14:paraId="44B5A887" w14:textId="77777777" w:rsidR="009D7677" w:rsidRDefault="009D7677" w:rsidP="009D7677">
      <w:pPr>
        <w:pStyle w:val="TextoNormal"/>
      </w:pPr>
      <w:r w:rsidRPr="009D7677">
        <w:rPr>
          <w:rStyle w:val="NumeroAFNegritaCaracter"/>
        </w:rPr>
        <w:lastRenderedPageBreak/>
        <w:t>2</w:t>
      </w:r>
      <w:r>
        <w:t xml:space="preserve">. </w:t>
      </w:r>
      <w:r w:rsidRPr="009D7677">
        <w:rPr>
          <w:i/>
        </w:rPr>
        <w:t>Consideraciones previas: la jurisprudencia constitucional en materia de investigación judicial de denuncias por torturas y tratos inhumanos o degradantes que se dicen sufridos bajo custodia policial</w:t>
      </w:r>
    </w:p>
    <w:p w14:paraId="4926E101" w14:textId="77777777" w:rsidR="009D7677" w:rsidRDefault="009D7677" w:rsidP="009D7677">
      <w:pPr>
        <w:pStyle w:val="TextoNormal"/>
      </w:pPr>
    </w:p>
    <w:p w14:paraId="4A3C442E" w14:textId="77777777" w:rsidR="009D7677" w:rsidRDefault="009D7677" w:rsidP="009D7677">
      <w:pPr>
        <w:pStyle w:val="TextoNormal"/>
      </w:pPr>
      <w:r>
        <w:t>Conviene recordar que este tribunal se ha venido tradicionalmente refiriendo a la exigencia constitucional de una investigación judicial suficiente y eficaz con ocasión del enjuiciamiento de decisiones judiciales de sobreseimiento y archivo de instrucciones penales incoadas por denuncias de torturas o malos tratos sedicentemente sufridos bajo custodia policial (tanto en el marco de detenciones incomunicadas, como en el caso de las comunicadas) o en el contexto de actuaciones de agentes estatales, como pueden ser los funcionarios de prisiones (entre otras muchas, SSTC 224/2007, de 22 de octubre; 34/2008, de 25 de febrero; 52/2008, de 14 de abril; 40/2010, de 19 de julio; 153/2013, de 9 de septiembre; 130/2016, de 18 de julio; 39/2017, de 24 de abril; 166/2021, de 4 de octubre, y 34/2022, de 7 de marzo).</w:t>
      </w:r>
    </w:p>
    <w:p w14:paraId="623E25F2" w14:textId="77777777" w:rsidR="009D7677" w:rsidRDefault="009D7677" w:rsidP="009D7677">
      <w:pPr>
        <w:pStyle w:val="TextoNormal"/>
      </w:pPr>
    </w:p>
    <w:p w14:paraId="3AAAD120" w14:textId="77777777" w:rsidR="009D7677" w:rsidRDefault="009D7677" w:rsidP="009D7677">
      <w:pPr>
        <w:pStyle w:val="TextoNormal"/>
      </w:pPr>
      <w:r>
        <w:t xml:space="preserve">En esa jurisprudencia constitucional, que se halla en consonancia con la doctrina sentada por el Tribunal Europeo de Derechos Humanos en esta materia (SSTEDH de 7 de julio de 1989, asunto </w:t>
      </w:r>
      <w:r w:rsidRPr="009D7677">
        <w:rPr>
          <w:i/>
        </w:rPr>
        <w:t>Soering c. Reino Unido</w:t>
      </w:r>
      <w:r>
        <w:t xml:space="preserve">; de 28 de julio de 1999, asunto </w:t>
      </w:r>
      <w:r w:rsidRPr="009D7677">
        <w:rPr>
          <w:i/>
        </w:rPr>
        <w:t>Selmouni c. Francia</w:t>
      </w:r>
      <w:r>
        <w:t xml:space="preserve">; de 11 de abril de 2000, asunto </w:t>
      </w:r>
      <w:r w:rsidRPr="009D7677">
        <w:rPr>
          <w:i/>
        </w:rPr>
        <w:t>Sevtap Veznedaroglu c. Turquía</w:t>
      </w:r>
      <w:r>
        <w:t xml:space="preserve">; de 16 de diciembre de 2003,asunto </w:t>
      </w:r>
      <w:r w:rsidRPr="009D7677">
        <w:rPr>
          <w:i/>
        </w:rPr>
        <w:t>Kmetty c. Hungría</w:t>
      </w:r>
      <w:r>
        <w:t xml:space="preserve">, y de 2 de noviembre de 2004, asunto </w:t>
      </w:r>
      <w:r w:rsidRPr="009D7677">
        <w:rPr>
          <w:i/>
        </w:rPr>
        <w:t>Martínez Sala y otros c. España</w:t>
      </w:r>
      <w:r>
        <w:t>, entre otras muchas), se afirma que el derecho a la tutela judicial efectiva (art. 24.1 CE) de quien denuncia haber sido víctima de torturas o de tratos inhumanos o degradantes exige una resolución motivada y fundada en Derecho y acorde con la prohibición absoluta de tales conductas, en que se ha de tener en cuenta la gravedad de la quiebra de esta prohibición y el tipo de actividad judicial necesaria para preservarla, dadas su difícil detectabilidad y la especial dependencia respecto de dicha actividad judicial de la indemnidad de la dignidad de la persona, objeto central de protección de la prohibición.</w:t>
      </w:r>
    </w:p>
    <w:p w14:paraId="27181771" w14:textId="77777777" w:rsidR="009D7677" w:rsidRDefault="009D7677" w:rsidP="009D7677">
      <w:pPr>
        <w:pStyle w:val="TextoNormal"/>
      </w:pPr>
    </w:p>
    <w:p w14:paraId="322A57D7" w14:textId="77777777" w:rsidR="009D7677" w:rsidRDefault="009D7677" w:rsidP="009D7677">
      <w:pPr>
        <w:pStyle w:val="TextoNormal"/>
      </w:pPr>
      <w:r>
        <w:t>Es de señalar en tal sentido que se trata de una tutela judicial doblemente reforzada que no encuentra parangón en otras demandas de auxilio judicial, pues se pide la tutela judicial frente a la vulneración de un derecho fundamental que constituye un derecho absoluto cuya indemnidad depende esencialmente de dicha tutela. Y hemos subrayado también que en estos casos el derecho a la tutela judicial efectiva solo se satisface si se produce una investigación de lo denunciado que sea a su vez suficiente y efectiva, atendiendo a las circunstancias concretas de cada caso y teniendo siempre presente la escasez de pruebas que de ordinario existen en este tipo de delitos y la dificultad de la víctima de aportar medios de prueba sobre su comisión.</w:t>
      </w:r>
    </w:p>
    <w:p w14:paraId="377BC983" w14:textId="77777777" w:rsidR="009D7677" w:rsidRDefault="009D7677" w:rsidP="009D7677">
      <w:pPr>
        <w:pStyle w:val="TextoNormal"/>
      </w:pPr>
    </w:p>
    <w:p w14:paraId="1BDBA806" w14:textId="77777777" w:rsidR="009D7677" w:rsidRDefault="009D7677" w:rsidP="009D7677">
      <w:pPr>
        <w:pStyle w:val="TextoNormal"/>
      </w:pPr>
      <w:r>
        <w:t>Este tribunal ha advertido igualmente que, si bien esta diligencia reforzada que se exige del órgano judicial no comporta la apertura de la instrucción en todo caso, ni impone la realización de todas las diligencias de investigación posibles, sin embargo sí “vulnera el derecho a la tutela judicial efectiva en este ámbito que no se abra o que se clausure la instrucción cuando existan sospechas razonables de que se ha podido cometer el delito de torturas o de tratos inhumanos o degradantes denunciado, y cuando tales sospechas se revelen como susceptibles de ser despejadas” (por todas, SSTC 34/2008, FJ 6, y 40/2010, FJ 2), ya que respecto a la investigación de indicios de tortura o tratos crueles, inhumanos o degradantes sufridos bajo la custodia de autoridades policiales, de los tratados internacionales firmados por España y del propio tenor del art. 15 CE se desprende un especial man</w:t>
      </w:r>
      <w:r>
        <w:lastRenderedPageBreak/>
        <w:t>dato de agotar cuantas posibilidades razonables de indagación resulten útiles para aclarar los hechos. En estos supuestos, en los que el valor superior de la dignidad humana (art. 10.1 CE) puede verse comprometido con motivo de una situación especial en la que el ciudadano se encuentra provisionalmente bajo la custodia física de agentes del Estado, es necesario acentuar las garantías, de tal modo que el ordenamiento constitucional pueda amparar al ciudadano fácticamente desprotegido ante cualquier sospecha de excesos contra su integridad física o moral.</w:t>
      </w:r>
    </w:p>
    <w:p w14:paraId="58E65DB3" w14:textId="77777777" w:rsidR="009D7677" w:rsidRDefault="009D7677" w:rsidP="009D7677">
      <w:pPr>
        <w:pStyle w:val="TextoNormal"/>
      </w:pPr>
    </w:p>
    <w:p w14:paraId="0AA00F21" w14:textId="139A9FD5" w:rsidR="009D7677" w:rsidRDefault="009D7677" w:rsidP="009D7677">
      <w:pPr>
        <w:pStyle w:val="TextoNormal"/>
      </w:pPr>
      <w:r>
        <w:t xml:space="preserve">En suma, con la exigencia de investigación eficaz y suficiente “no se trata de que se practiquen todas y cada una de las diligencias solicitadas o imaginables”, sino “de que en un contexto aún de incertidumbre acerca de lo acaecido se practiquen aquellas que </w:t>
      </w:r>
      <w:r w:rsidRPr="009D7677">
        <w:rPr>
          <w:i/>
        </w:rPr>
        <w:t>a priori</w:t>
      </w:r>
      <w:r>
        <w:t xml:space="preserve"> se revelen susceptibles de despejar tales dudas fácticas. Si hay sospechas razonables de maltrato y modo aún de despejarlas no puede considerarse investigación oficial eficaz la que proceda al archivo de las actuaciones” (STC 34/2008, FJ 8). Dicho de otro modo, el canon de investigación suficiente y eficaz se refiere tanto a la inexistencia de sospechas razonables, como a la utilidad de continuar con la instrucción (SSTC 34/2008, FJ 8; 52/2008, FJ 5, y 63/2008, de 26 de mayo, FJ 4).</w:t>
      </w:r>
    </w:p>
    <w:p w14:paraId="4991FE59" w14:textId="77777777" w:rsidR="009D7677" w:rsidRDefault="009D7677" w:rsidP="009D7677">
      <w:pPr>
        <w:pStyle w:val="TextoNormal"/>
      </w:pPr>
    </w:p>
    <w:p w14:paraId="1D1FE5B4" w14:textId="77777777" w:rsidR="009D7677" w:rsidRDefault="009D7677" w:rsidP="009D7677">
      <w:pPr>
        <w:pStyle w:val="TextoNormal"/>
      </w:pPr>
      <w:r w:rsidRPr="009D7677">
        <w:rPr>
          <w:rStyle w:val="NumeroAFNegritaCaracter"/>
        </w:rPr>
        <w:t>3</w:t>
      </w:r>
      <w:r>
        <w:t xml:space="preserve">. </w:t>
      </w:r>
      <w:r w:rsidRPr="009D7677">
        <w:rPr>
          <w:i/>
        </w:rPr>
        <w:t>La extensión de la doctrina constitucional sobre investigación judicial eficaz y suficiente a supuestos diferentes de las denuncias por malos tratos supuestamente sufridos bajo custodia policial o de otros agentes del Estado</w:t>
      </w:r>
    </w:p>
    <w:p w14:paraId="25A50C7F" w14:textId="77777777" w:rsidR="009D7677" w:rsidRDefault="009D7677" w:rsidP="009D7677">
      <w:pPr>
        <w:pStyle w:val="TextoNormal"/>
      </w:pPr>
    </w:p>
    <w:p w14:paraId="40E9CCD9" w14:textId="77777777" w:rsidR="009D7677" w:rsidRDefault="009D7677" w:rsidP="009D7677">
      <w:pPr>
        <w:pStyle w:val="TextoNormal"/>
      </w:pPr>
      <w:r>
        <w:t>El Tribunal Europeo de Derechos Humanos ha extendido el canon de la investigación suficiente y eficaz a supuestos diferentes de las denuncias de torturas o malos tratos que se dicen sufridos por detenidos en dependencias policiales.</w:t>
      </w:r>
    </w:p>
    <w:p w14:paraId="7B41E6FE" w14:textId="77777777" w:rsidR="009D7677" w:rsidRDefault="009D7677" w:rsidP="009D7677">
      <w:pPr>
        <w:pStyle w:val="TextoNormal"/>
      </w:pPr>
    </w:p>
    <w:p w14:paraId="2A69637F" w14:textId="77777777" w:rsidR="009D7677" w:rsidRDefault="009D7677" w:rsidP="009D7677">
      <w:pPr>
        <w:pStyle w:val="TextoNormal"/>
      </w:pPr>
      <w:r>
        <w:t xml:space="preserve">Lo ha hecho así, desde luego, en casos de denuncias por agresiones y apelativos racistas en el contexto de una identificación policial en la vía pública (STEDH de 24 de julio de 2012, asunto </w:t>
      </w:r>
      <w:r w:rsidRPr="009D7677">
        <w:rPr>
          <w:i/>
        </w:rPr>
        <w:t>B.S. c. España</w:t>
      </w:r>
      <w:r>
        <w:t xml:space="preserve">), o de lesiones sufridas por un ciudadano como consecuencia de enfrentamientos entre manifestantes y fuerzas del orden público (STEDH de 9 de marzo de 2021, asunto </w:t>
      </w:r>
      <w:r w:rsidRPr="009D7677">
        <w:rPr>
          <w:i/>
        </w:rPr>
        <w:t>López Martínez c. España</w:t>
      </w:r>
      <w:r>
        <w:t xml:space="preserve">), pero también en supuestos de muerte de pacientes al cuidado de un centro sanitario, tanto en el sector público como en el privado (SSTEDH de 9 de abril de 2009, asunto </w:t>
      </w:r>
      <w:r w:rsidRPr="009D7677">
        <w:rPr>
          <w:i/>
        </w:rPr>
        <w:t>Šilih c. Eslovenia</w:t>
      </w:r>
      <w:r>
        <w:t xml:space="preserve">; de 19 de diciembre de 2017, asunto </w:t>
      </w:r>
      <w:r w:rsidRPr="009D7677">
        <w:rPr>
          <w:i/>
        </w:rPr>
        <w:t>Lopes de Sousa Fernandes c. Portugal</w:t>
      </w:r>
      <w:r>
        <w:t xml:space="preserve">, y de 11 de octubre de 2022, asunto </w:t>
      </w:r>
      <w:r w:rsidRPr="009D7677">
        <w:rPr>
          <w:i/>
        </w:rPr>
        <w:t>Garrido Herrero c. España</w:t>
      </w:r>
      <w:r>
        <w:t xml:space="preserve">, entre otras), en particular —lo que tiene especial relevancia para el presente caso— en supuestos de suicidios de personas que se encontraban bajo custodia de las autoridades estatales, ya sean pacientes en hospitales psiquiátricos, presos o detenidos en dependencias policiales (entre otras, SSTEDH de 3 de abril de 2001, asunto </w:t>
      </w:r>
      <w:r w:rsidRPr="009D7677">
        <w:rPr>
          <w:i/>
        </w:rPr>
        <w:t>Keenan c. Reino Unido</w:t>
      </w:r>
      <w:r>
        <w:t xml:space="preserve">; de 16 de octubre de 2008, asunto </w:t>
      </w:r>
      <w:r w:rsidRPr="009D7677">
        <w:rPr>
          <w:i/>
        </w:rPr>
        <w:t>Renolde c. Francia</w:t>
      </w:r>
      <w:r>
        <w:t xml:space="preserve">; de 31 de enero de 2019, asunto </w:t>
      </w:r>
      <w:r w:rsidRPr="009D7677">
        <w:rPr>
          <w:i/>
        </w:rPr>
        <w:t>Fernandes de Oliveira c. Portugal</w:t>
      </w:r>
      <w:r>
        <w:t xml:space="preserve">, y de 30 de junio de 2020, asunto </w:t>
      </w:r>
      <w:r w:rsidRPr="009D7677">
        <w:rPr>
          <w:i/>
        </w:rPr>
        <w:t>S.F c. Suiza</w:t>
      </w:r>
      <w:r>
        <w:t>).</w:t>
      </w:r>
    </w:p>
    <w:p w14:paraId="24CFB0DD" w14:textId="77777777" w:rsidR="009D7677" w:rsidRDefault="009D7677" w:rsidP="009D7677">
      <w:pPr>
        <w:pStyle w:val="TextoNormal"/>
      </w:pPr>
    </w:p>
    <w:p w14:paraId="4B327EAC" w14:textId="77777777" w:rsidR="009D7677" w:rsidRDefault="009D7677" w:rsidP="009D7677">
      <w:pPr>
        <w:pStyle w:val="TextoNormal"/>
      </w:pPr>
      <w:r>
        <w:t xml:space="preserve">En estos supuestos de suicidios en establecimientos estatales el Tribunal Europeo de Derechos Humanos ha advertido que la principal obligación de los Estados es adoptar medidas operativas preventivas para proteger a un individuo de sí mismo (SSTEDH de 16 de octubre de 2008, asunto </w:t>
      </w:r>
      <w:r w:rsidRPr="009D7677">
        <w:rPr>
          <w:i/>
        </w:rPr>
        <w:t>Renolde c. Francia</w:t>
      </w:r>
      <w:r>
        <w:t xml:space="preserve">, § 81, y de 31 de enero de 2019, asunto </w:t>
      </w:r>
      <w:r w:rsidRPr="009D7677">
        <w:rPr>
          <w:i/>
        </w:rPr>
        <w:t>Fernandes de Oliveira c. Portugal</w:t>
      </w:r>
      <w:r>
        <w:t xml:space="preserve">, § 103). Precisa el Tribunal Europeo de Derechos Humanos que esta obligación positiva, que debe interpretarse de manera que no imponga una </w:t>
      </w:r>
      <w:r>
        <w:lastRenderedPageBreak/>
        <w:t xml:space="preserve">carga imposible o desproporcionada para las autoridades, surge cuando estas sabían o deberían haber sabido que la persona tenía un riesgo real e inmediato de suicidio. Cuando las autoridades conocían o deberían haber conocido ese riesgo, procede examinar si hicieron todo lo que razonablemente se podía esperar de ellas para evitar que se materializase (asuntos </w:t>
      </w:r>
      <w:r w:rsidRPr="009D7677">
        <w:rPr>
          <w:i/>
        </w:rPr>
        <w:t>Fernandes de Oliveira c. Portugal</w:t>
      </w:r>
      <w:r>
        <w:t xml:space="preserve">, § 110, y </w:t>
      </w:r>
      <w:r w:rsidRPr="009D7677">
        <w:rPr>
          <w:i/>
        </w:rPr>
        <w:t>Keenan c. Reino Unido</w:t>
      </w:r>
      <w:r>
        <w:t>, § 90).</w:t>
      </w:r>
    </w:p>
    <w:p w14:paraId="092FFCF2" w14:textId="77777777" w:rsidR="009D7677" w:rsidRDefault="009D7677" w:rsidP="009D7677">
      <w:pPr>
        <w:pStyle w:val="TextoNormal"/>
      </w:pPr>
    </w:p>
    <w:p w14:paraId="63E9351B" w14:textId="77777777" w:rsidR="009D7677" w:rsidRDefault="009D7677" w:rsidP="009D7677">
      <w:pPr>
        <w:pStyle w:val="TextoNormal"/>
      </w:pPr>
      <w:r>
        <w:t xml:space="preserve">En particular, en el asunto </w:t>
      </w:r>
      <w:r w:rsidRPr="009D7677">
        <w:rPr>
          <w:i/>
        </w:rPr>
        <w:t>S.F c. Suiza</w:t>
      </w:r>
      <w:r>
        <w:t>, el Tribunal Europeo de Derechos Humanos resuelve un supuesto similar al que nos ocupa en el presente recurso de amparo, pues se trataba de una persona que se suicidó en las dependencias policiales en las que se hallaba tras ser detenida por causar un accidente de tráfico en estado de embriaguez. Dicha sentencia concluye que se produjo violación del art. 2 del Convenio europeo de derechos humanos (CEDH) en su vertiente material y procesal, razonando que “[a] este respecto, es irrelevante si los agentes del Estado estuvieran o no implicados mediante actos u omisiones en los acontecimientos que condujeron a la muerte en cuestión (</w:t>
      </w:r>
      <w:r w:rsidRPr="009D7677">
        <w:rPr>
          <w:i/>
        </w:rPr>
        <w:t>Taner c. Turquía</w:t>
      </w:r>
      <w:r>
        <w:t xml:space="preserve">, de 9 de diciembre de 2014, § 53, y </w:t>
      </w:r>
      <w:r w:rsidRPr="009D7677">
        <w:rPr>
          <w:i/>
        </w:rPr>
        <w:t>Stern c. Francia</w:t>
      </w:r>
      <w:r>
        <w:t>, de 11 de octubre de 2005). Esto significa que el art. 2 exige algún tipo de investigación oficial efectiva incluso en los casos en los que la muerte no fue el resultado del uso de la fuerza por parte de agentes del Estado, pero en los que los agentes pueden ser considerados responsables (</w:t>
      </w:r>
      <w:r w:rsidRPr="009D7677">
        <w:rPr>
          <w:i/>
        </w:rPr>
        <w:t>Kaya c. Turquía</w:t>
      </w:r>
      <w:r>
        <w:t xml:space="preserve">, de 19 de febrero de 1998, § 86, </w:t>
      </w:r>
      <w:r w:rsidRPr="009D7677">
        <w:rPr>
          <w:i/>
        </w:rPr>
        <w:t>Ergi c. Turquía</w:t>
      </w:r>
      <w:r>
        <w:t xml:space="preserve">, de 28 de julio de 1998, § 82, y </w:t>
      </w:r>
      <w:r w:rsidRPr="009D7677">
        <w:rPr>
          <w:i/>
        </w:rPr>
        <w:t>Yaşa c</w:t>
      </w:r>
      <w:r>
        <w:t xml:space="preserve">. </w:t>
      </w:r>
      <w:r w:rsidRPr="009D7677">
        <w:rPr>
          <w:i/>
        </w:rPr>
        <w:t>Turquía</w:t>
      </w:r>
      <w:r>
        <w:t xml:space="preserve">, de 2 de septiembre de1998, §§ 98-100)” (STEDH de 30 de junio de 2020, asunto </w:t>
      </w:r>
      <w:r w:rsidRPr="009D7677">
        <w:rPr>
          <w:i/>
        </w:rPr>
        <w:t>S.F c. Suiza</w:t>
      </w:r>
      <w:r>
        <w:t>, § 117).</w:t>
      </w:r>
    </w:p>
    <w:p w14:paraId="1D03AEA6" w14:textId="77777777" w:rsidR="009D7677" w:rsidRDefault="009D7677" w:rsidP="009D7677">
      <w:pPr>
        <w:pStyle w:val="TextoNormal"/>
      </w:pPr>
    </w:p>
    <w:p w14:paraId="2E1C6BBC" w14:textId="77777777" w:rsidR="009D7677" w:rsidRDefault="009D7677" w:rsidP="009D7677">
      <w:pPr>
        <w:pStyle w:val="TextoNormal"/>
      </w:pPr>
      <w:r>
        <w:t xml:space="preserve">Recuerda el Tribunal Europeo de Derechos Humanos que “[p]ara que pueda ser calificada de ‘efectiva’ en el sentido en que debe entenderse este término en el contexto del art. 2 del Convenio, la investigación debe ser, en primer lugar, adecuada (véase </w:t>
      </w:r>
      <w:r w:rsidRPr="009D7677">
        <w:rPr>
          <w:i/>
        </w:rPr>
        <w:t>Ramsahai y otros c. Países Bajos</w:t>
      </w:r>
      <w:r>
        <w:t>, § 324). Esto significa que debe ser capaz de conducir al esclarecimiento de los hechos y, en su caso, a la identificación y sanción de los responsables (</w:t>
      </w:r>
      <w:r w:rsidRPr="009D7677">
        <w:rPr>
          <w:i/>
        </w:rPr>
        <w:t>Taner</w:t>
      </w:r>
      <w:r>
        <w:t xml:space="preserve">, decisión citada anteriormente, § 54)” (STEDH de 30 de junio de 2020, asunto </w:t>
      </w:r>
      <w:r w:rsidRPr="009D7677">
        <w:rPr>
          <w:i/>
        </w:rPr>
        <w:t>S.F c. Suiza</w:t>
      </w:r>
      <w:r>
        <w:t xml:space="preserve">, § 119). Y concluye que “[e]n todos los casos, las autoridades deben haber tomado las medidas razonables a su alcance para obtener pruebas relacionadas con los hechos en cuestión, incluyendo, entre otras cosas, el testimonio de testigos presenciales, pruebas periciales y, en su caso, una autopsia que proporcione una relación completa y precisa de las lesiones y un análisis objetivo de los hallazgos clínicos, incluyendo la causa de la muerte. Cualquier deficiencia en la investigación que debilite su capacidad para establecer la causa de la muerte o la posible responsabilidad puede incumplir esta norma (véase </w:t>
      </w:r>
      <w:r w:rsidRPr="009D7677">
        <w:rPr>
          <w:i/>
        </w:rPr>
        <w:t>Taner</w:t>
      </w:r>
      <w:r>
        <w:t xml:space="preserve">, citada anteriormente, § 55, y </w:t>
      </w:r>
      <w:r w:rsidRPr="009D7677">
        <w:rPr>
          <w:i/>
        </w:rPr>
        <w:t>Giuliani y Gaggio c. Italia</w:t>
      </w:r>
      <w:r>
        <w:t xml:space="preserve">, § 301)” (STEDH de 30 de junio de 2020, </w:t>
      </w:r>
      <w:r w:rsidRPr="009D7677">
        <w:rPr>
          <w:i/>
        </w:rPr>
        <w:t>S.F c. Suiza</w:t>
      </w:r>
      <w:r>
        <w:t>, 2020, § 120).</w:t>
      </w:r>
    </w:p>
    <w:p w14:paraId="10524DC0" w14:textId="77777777" w:rsidR="009D7677" w:rsidRDefault="009D7677" w:rsidP="009D7677">
      <w:pPr>
        <w:pStyle w:val="TextoNormal"/>
      </w:pPr>
    </w:p>
    <w:p w14:paraId="608C63AF" w14:textId="77777777" w:rsidR="009D7677" w:rsidRDefault="009D7677" w:rsidP="009D7677">
      <w:pPr>
        <w:pStyle w:val="TextoNormal"/>
      </w:pPr>
      <w:r>
        <w:t xml:space="preserve">En sentido similar, el Tribunal Constitucional ha aplicado ya la doctrina sobre la investigación suficiente y eficaz a asuntos distintos de la clausura anticipada de una instrucción penal incoada por una denuncia de supuestas torturas o tratos inhumanos y degradantes que se dicen sufridos durante una detención policial. Lo ha hecho así (siguiendo la doctrina del Tribunal Europeo de Derechos Humanos sentada en la citada STEDH de 9 de marzo de 2021, asunto </w:t>
      </w:r>
      <w:r w:rsidRPr="009D7677">
        <w:rPr>
          <w:i/>
        </w:rPr>
        <w:t>López Martínez c. España</w:t>
      </w:r>
      <w:r>
        <w:t>), en las SSTC 53/2022, de 4 de abril, y 124/2022, de 10 de octubre, en supuestos de sobreseimiento y archivo de las actuaciones penales incoadas por las lesiones sufridas por un menor, en el primer caso, y por una periodista en el ejercicio de su labor informativa, en el segundo, como consecuencia de in</w:t>
      </w:r>
      <w:r>
        <w:lastRenderedPageBreak/>
        <w:t>tervenciones policiales en el curso de enfrentamientos entre manifestantes y fuerzas del orden público.</w:t>
      </w:r>
    </w:p>
    <w:p w14:paraId="172082C9" w14:textId="77777777" w:rsidR="009D7677" w:rsidRDefault="009D7677" w:rsidP="009D7677">
      <w:pPr>
        <w:pStyle w:val="TextoNormal"/>
      </w:pPr>
    </w:p>
    <w:p w14:paraId="526A7A75" w14:textId="77777777" w:rsidR="009D7677" w:rsidRDefault="009D7677" w:rsidP="009D7677">
      <w:pPr>
        <w:pStyle w:val="TextoNormal"/>
      </w:pPr>
      <w:r>
        <w:t>Asimismo, este tribunal ha entendido que la exigencia constitucional de realizar una investigación judicial exhaustiva y eficaz alcanza también a los supuestos de sobreseimiento de diligencias previas incoadas por hechos presuntamente delictivos cometidos en contextos vinculados a la violencia de género o a la que tiene lugar dentro del ámbito familiar o afectivo sobre víctimas vulnerables (SSTC 87/2020, de 20 de julio, y 131/2023, de 23 de octubre). De modo que, en estos casos, no es la previa existencia de una relación institucional de especial sujeción con el aparato policial o represivo del Estado la que fundamenta la aplicación del canon reforzado de la investigación judicial eficaz y suficiente, sino la realidad material de esa misma especial sujeción de la víctima vulnerable con el presunto victimario.</w:t>
      </w:r>
    </w:p>
    <w:p w14:paraId="4FC2E0FC" w14:textId="77777777" w:rsidR="009D7677" w:rsidRDefault="009D7677" w:rsidP="009D7677">
      <w:pPr>
        <w:pStyle w:val="TextoNormal"/>
      </w:pPr>
    </w:p>
    <w:p w14:paraId="63F75200" w14:textId="0D7D3BD5" w:rsidR="009D7677" w:rsidRDefault="009D7677" w:rsidP="009D7677">
      <w:pPr>
        <w:pStyle w:val="TextoNormal"/>
      </w:pPr>
      <w:r>
        <w:t>En definitiva, atendiendo a la doctrina constitucional expuesta y en consonancia con lo manifestado por el Ministerio Fiscal en su escrito de alegaciones, este tribunal no advierte impedimento alguno para aplicar también el canon de investigación eficaz y suficiente a un caso como el que ahora se nos plantea, en el que, si bien no se invoca la vulneración del derecho a la vida (art. 15 CE), los graves hechos investigados (presunto suicidio de un detenido en dependencias policiales) no dejan de guardar un cierto paralelismo con los supuestos en los que se denuncian torturas o malos tratos supuestamente sufridos durante una detención policial.</w:t>
      </w:r>
    </w:p>
    <w:p w14:paraId="2A29A2B3" w14:textId="77777777" w:rsidR="009D7677" w:rsidRDefault="009D7677" w:rsidP="009D7677">
      <w:pPr>
        <w:pStyle w:val="TextoNormal"/>
      </w:pPr>
    </w:p>
    <w:p w14:paraId="725F8B6D" w14:textId="77777777" w:rsidR="009D7677" w:rsidRDefault="009D7677" w:rsidP="009D7677">
      <w:pPr>
        <w:pStyle w:val="TextoNormal"/>
      </w:pPr>
      <w:r w:rsidRPr="009D7677">
        <w:rPr>
          <w:rStyle w:val="NumeroAFNegritaCaracter"/>
        </w:rPr>
        <w:t>4</w:t>
      </w:r>
      <w:r>
        <w:t xml:space="preserve">. </w:t>
      </w:r>
      <w:r w:rsidRPr="009D7677">
        <w:rPr>
          <w:i/>
        </w:rPr>
        <w:t>Aplicación de la doctrina constitucional en materia de investigación judicial eficaz y suficiente al presente caso</w:t>
      </w:r>
    </w:p>
    <w:p w14:paraId="59991F4A" w14:textId="77777777" w:rsidR="009D7677" w:rsidRDefault="009D7677" w:rsidP="009D7677">
      <w:pPr>
        <w:pStyle w:val="TextoNormal"/>
      </w:pPr>
    </w:p>
    <w:p w14:paraId="46568EC8" w14:textId="77777777" w:rsidR="009D7677" w:rsidRDefault="009D7677" w:rsidP="009D7677">
      <w:pPr>
        <w:pStyle w:val="TextoNormal"/>
      </w:pPr>
      <w:r>
        <w:t>Como se ha dicho, en los casos de denuncias por torturas o malos tratos que se dicen padecidos bajo custodia policial la jurisprudencia constitucional, en consonancia con la doctrina sentada por el Tribunal Europeo de Derechos Humanos, ha atendido, para sopesar la suficiencia y efectividad de la investigación judicial, a la probable escasez de pruebas existente en ese tipo de delitos, motivada por el contexto de relativa “opacidad” en que se producen los hechos; a la dificultad de la víctima de aportar medios de prueba sobre su comisión; y a que la cualificación oficial de los denunciados debe compensarse con la firmeza judicial frente a la posible resistencia o demora en la aportación de pruebas, con especial atención a aquellas cuyo origen se sitúe al margen de las instituciones afectadas por la denuncia (STC 53/2022, FJ 3).</w:t>
      </w:r>
    </w:p>
    <w:p w14:paraId="6A7FC0F5" w14:textId="77777777" w:rsidR="009D7677" w:rsidRDefault="009D7677" w:rsidP="009D7677">
      <w:pPr>
        <w:pStyle w:val="TextoNormal"/>
      </w:pPr>
    </w:p>
    <w:p w14:paraId="7097C992" w14:textId="77777777" w:rsidR="009D7677" w:rsidRDefault="009D7677" w:rsidP="009D7677">
      <w:pPr>
        <w:pStyle w:val="TextoNormal"/>
      </w:pPr>
      <w:r>
        <w:t>Es innegable que existen elementos comunes entre los supuestos fácticos sobre los que se ha proyectado esa jurisprudencia constitucional y el presente caso: en efecto, la denuncia pretendía que se investigara la posible responsabilidad en la muerte, aparentemente por suicidio, de una persona que se hallaba detenida en los calabozos de una comisaría de la Policía Nacional, y que ya había protagonizado lo que parecía ser un intento autolítico pocas horas antes en esas mismas dependencias policiales. Por otra parte, el sobreseimiento provisional de las actuaciones penales incoadas por ese suceso ha sido decretado sin que se haya practicado ninguna de las diligencias de investigación interesadas por la denunciante, hermana del fallecido, y por la acusación popular, ni tan siquiera la toma de declaración a los agentes de policía encargados de la custodia del detenido.</w:t>
      </w:r>
    </w:p>
    <w:p w14:paraId="10F912DD" w14:textId="77777777" w:rsidR="009D7677" w:rsidRDefault="009D7677" w:rsidP="009D7677">
      <w:pPr>
        <w:pStyle w:val="TextoNormal"/>
      </w:pPr>
    </w:p>
    <w:p w14:paraId="737F9A06" w14:textId="77777777" w:rsidR="009D7677" w:rsidRDefault="009D7677" w:rsidP="009D7677">
      <w:pPr>
        <w:pStyle w:val="TextoNormal"/>
      </w:pPr>
      <w:r>
        <w:lastRenderedPageBreak/>
        <w:t xml:space="preserve">De acuerdo con la doctrina constitucional citada, es obligado señalar que, teniendo en cuenta la situación de vulnerabilidad en la que se encontraba el hermano de la demandante y a la vista del trágico desenlace ocurrido y del presunto intento autolítico que le precedió, era exigible del juez instructor que llevase a cabo una investigación eficaz y suficiente que permitiese despejar cualquier sospecha de responsabilidad de terceros en la muerte de aquel, lo que impedía clausurar la instrucción penal cuando aún existieran diligencias indagatorias idóneas para esclarecer los hechos. Como hemos dicho reiteradamente, la exigencia de agotar los medios posibles de indagación no supone que se practiquen todas y cada una de las diligencias solicitadas o imaginables, pero sí que “en un contexto aún de incertidumbre acerca de lo acaecido se practiquen aquellas que </w:t>
      </w:r>
      <w:r w:rsidRPr="009D7677">
        <w:rPr>
          <w:i/>
        </w:rPr>
        <w:t>a priori</w:t>
      </w:r>
      <w:r>
        <w:t xml:space="preserve"> se revelen susceptibles de despejar tales dudas fácticas” (por todas, STC 34/2008, FJ 8).</w:t>
      </w:r>
    </w:p>
    <w:p w14:paraId="48002701" w14:textId="77777777" w:rsidR="009D7677" w:rsidRDefault="009D7677" w:rsidP="009D7677">
      <w:pPr>
        <w:pStyle w:val="TextoNormal"/>
      </w:pPr>
    </w:p>
    <w:p w14:paraId="1FE5F1D7" w14:textId="77777777" w:rsidR="009D7677" w:rsidRDefault="009D7677" w:rsidP="009D7677">
      <w:pPr>
        <w:pStyle w:val="TextoNormal"/>
      </w:pPr>
      <w:r>
        <w:t>En efecto, como ha quedado reflejado en el relato de antecedentes de la presente sentencia, el juzgado de instrucción incorporó a la causa el atestado policial, los informes forenses de autopsia del cadáver y los informes de los servicios de química y de histopatología del Instituto de Medicina Legal de Cádiz, así como las imágenes de video grabadas por las cámaras de seguridad de los calabozos de la comisaría de la Policía Nacional en Algeciras durante el lapso temporal que el fallecido permaneció en aquellos. A solicitud del Ministerio Fiscal y sin practicar más diligencias de indagación que las indicadas, procedió a decretar el sobreseimiento provisional y archivo de las actuaciones, al entender que “no aparece dato alguno en lo investigado que apunte a que los agentes que estaban custodiando los calabozos actuaran con falta de diligencia en el desgraciado incidente autolítico que acabó con el fallecimiento del detenido”. La Audiencia Provincial de Cádiz confirmó en apelación el sobreseimiento provisional y archivo de la causa acordado por el juzgado, razonando que del atestado policial y de los informes obrantes en la causa, en particular del contenido del informe de la autopsia elaborado por la médico forense, resulta que el motivo de la muerte es el suicidio, por lo que no es necesaria la práctica del resto de diligencias de investigación propuestas por la hermana del fallecido y la asociación personada en la causa como acusación popular.</w:t>
      </w:r>
    </w:p>
    <w:p w14:paraId="4426AE48" w14:textId="77777777" w:rsidR="009D7677" w:rsidRDefault="009D7677" w:rsidP="009D7677">
      <w:pPr>
        <w:pStyle w:val="TextoNormal"/>
      </w:pPr>
    </w:p>
    <w:p w14:paraId="0D6D5FB9" w14:textId="77777777" w:rsidR="009D7677" w:rsidRDefault="009D7677" w:rsidP="009D7677">
      <w:pPr>
        <w:pStyle w:val="TextoNormal"/>
      </w:pPr>
      <w:r>
        <w:t>En suma, los órganos judiciales clausuraron anticipadamente la instrucción, sin practicar ninguna de las diligencias de investigación repetidamente interesadas por las acusaciones particular y popular, al llegar a la conclusión de que no aparecía debidamente justificada la perpetración del delito que dio motivo a la formación de la causa, por entender que no hubo intervención de terceros en la muerte del detenido.</w:t>
      </w:r>
    </w:p>
    <w:p w14:paraId="24201B67" w14:textId="77777777" w:rsidR="009D7677" w:rsidRDefault="009D7677" w:rsidP="009D7677">
      <w:pPr>
        <w:pStyle w:val="TextoNormal"/>
      </w:pPr>
    </w:p>
    <w:p w14:paraId="609DF783" w14:textId="77777777" w:rsidR="009D7677" w:rsidRDefault="009D7677" w:rsidP="009D7677">
      <w:pPr>
        <w:pStyle w:val="TextoNormal"/>
      </w:pPr>
      <w:r>
        <w:t>Pues bien, pese al notable esfuerzo argumental desarrollado en las resoluciones judiciales impugnadas, este tribunal aprecia que no puede considerarse que la decisión de acordar el sobreseimiento provisional y archivo de la causa sea conforme con las exigencias del canon constitucional de investigación judicial suficiente y eficaz, por cuanto se han dejado de practicar durante la instrucción diligencias de investigación propuestas en tiempo y forma por la recurrente, constituida como acusación particular, así como por la acusación popular que podían resultar adecuadas para el esclarecimiento de los hechos objeto de la causa, en particular para determinar si el riesgo de suicidio del detenido era real e inmediato y si los agentes de policía encargados de su custodia hicieron cuanto era posible para evitar que ese riesgo se materializase.</w:t>
      </w:r>
    </w:p>
    <w:p w14:paraId="110E97C7" w14:textId="77777777" w:rsidR="009D7677" w:rsidRDefault="009D7677" w:rsidP="009D7677">
      <w:pPr>
        <w:pStyle w:val="TextoNormal"/>
      </w:pPr>
    </w:p>
    <w:p w14:paraId="0DBAEEBE" w14:textId="704BC4CB" w:rsidR="009D7677" w:rsidRDefault="009D7677" w:rsidP="009D7677">
      <w:pPr>
        <w:pStyle w:val="TextoNormal"/>
      </w:pPr>
      <w:r>
        <w:lastRenderedPageBreak/>
        <w:t>Así, como señala el Ministerio Fiscal, el juzgado de instrucción pudo al menos haber tomado declaración a los agentes de policía encargados de la vigilancia en los calabozos en la comisaría de Algeciras cuando sucedieron los hechos investigados (cuya versión del suceso, plasmada en el atestado, no ha podido ser contrastada ante el juez instructor), con el fin de valorar si la actuación de los agentes fue todo lo diligente que cabía esperar en la custodia de un detenido que, según parece, ya había intentado suicidarse horas antes en los mismos calabozos. Asimismo, resultaba procedente, por la misma razón, el examen de la manta y demás objetos, que tuvo a su disposición el detenido, para comprobar cómo pudo confeccionar con esa prenda una cuerda resistente para ahorcarse en los barrotes de su celda. También habría podido tomarse declaración a la médico que atendió al detenido en las urgencias del hospital y a la forense que realizó los informes de autopsia, para aclarar si podía hablarse de un riesgo cierto de suicidio, atendida la anamnesis de aquel. En fin, hubiera debido valorarse la pertinencia de tomar declaración, en su caso, a los ocupantes de las celdas contiguas en la fecha en que tuvo lugar el desgraciado suceso.</w:t>
      </w:r>
    </w:p>
    <w:p w14:paraId="426EC602" w14:textId="77777777" w:rsidR="009D7677" w:rsidRDefault="009D7677" w:rsidP="009D7677">
      <w:pPr>
        <w:pStyle w:val="TextoNormal"/>
      </w:pPr>
    </w:p>
    <w:p w14:paraId="15B43765" w14:textId="77777777" w:rsidR="009D7677" w:rsidRDefault="009D7677" w:rsidP="009D7677">
      <w:pPr>
        <w:pStyle w:val="TextoNormal"/>
      </w:pPr>
      <w:r w:rsidRPr="009D7677">
        <w:rPr>
          <w:rStyle w:val="NumeroAFNegritaCaracter"/>
        </w:rPr>
        <w:t>5</w:t>
      </w:r>
      <w:r>
        <w:t xml:space="preserve">. </w:t>
      </w:r>
      <w:r w:rsidRPr="009D7677">
        <w:rPr>
          <w:i/>
        </w:rPr>
        <w:t>Otorgamiento del amparo solicitado</w:t>
      </w:r>
    </w:p>
    <w:p w14:paraId="361F6F85" w14:textId="77777777" w:rsidR="009D7677" w:rsidRDefault="009D7677" w:rsidP="009D7677">
      <w:pPr>
        <w:pStyle w:val="TextoNormal"/>
      </w:pPr>
    </w:p>
    <w:p w14:paraId="34577EFF" w14:textId="77777777" w:rsidR="009D7677" w:rsidRDefault="009D7677" w:rsidP="009D7677">
      <w:pPr>
        <w:pStyle w:val="TextoNormal"/>
      </w:pPr>
      <w:r>
        <w:t>En definitiva, el Tribunal aprecia que, atendidas las circunstancias concurrentes, no se realizó en el presente caso una investigación judicial suficiente y eficaz para el mejor esclarecimiento de los hechos, y ello pese a que se había propuesto por la denunciante y por la acusación popular la práctica de diligencias indagatorias cuya utilidad para la instrucción penal no resultaba descartable. Procede, en consecuencia, otorgar a la recurrente el amparo solicitado, por vulneración del derecho fundamental a la tutela judicial efectiva (art. 24.1 CE).</w:t>
      </w:r>
    </w:p>
    <w:p w14:paraId="3F8548E1" w14:textId="77777777" w:rsidR="009D7677" w:rsidRDefault="009D7677" w:rsidP="009D7677">
      <w:pPr>
        <w:pStyle w:val="TextoNormal"/>
      </w:pPr>
    </w:p>
    <w:p w14:paraId="0D89B24A" w14:textId="600B4F56" w:rsidR="009D7677" w:rsidRDefault="009D7677" w:rsidP="009D7677">
      <w:pPr>
        <w:pStyle w:val="TextoNormal"/>
      </w:pPr>
      <w:r>
        <w:t>El restablecimiento de la recurrente en la integridad de su derecho exige no solo la anulación de los autos impugnados en amparo, sino también la retroacción de actuaciones para que se le dispense la tutela judicial demandada, llevando a cabo las diligencias indagatorias que resulten posibles para satisfacer la exigencia constitucional de una investigación eficaz y suficiente.</w:t>
      </w:r>
    </w:p>
    <w:p w14:paraId="7A9A110E" w14:textId="77777777" w:rsidR="009D7677" w:rsidRDefault="009D7677" w:rsidP="009D7677">
      <w:pPr>
        <w:pStyle w:val="TextoNormal"/>
      </w:pPr>
    </w:p>
    <w:p w14:paraId="6397823E" w14:textId="77777777" w:rsidR="009D7677" w:rsidRDefault="009D7677" w:rsidP="009D7677">
      <w:pPr>
        <w:pStyle w:val="TextoNormalCentrado"/>
        <w:keepNext/>
      </w:pPr>
      <w:r>
        <w:t>FALLO</w:t>
      </w:r>
    </w:p>
    <w:p w14:paraId="5AFFB6F6" w14:textId="1F1AD62F" w:rsidR="009D7677" w:rsidRDefault="009D7677" w:rsidP="009D7677">
      <w:pPr>
        <w:pStyle w:val="TextoNormalCentrado"/>
        <w:keepNext/>
      </w:pPr>
    </w:p>
    <w:p w14:paraId="163ACDC2" w14:textId="77777777" w:rsidR="009D7677" w:rsidRDefault="009D7677" w:rsidP="009D7677">
      <w:pPr>
        <w:pStyle w:val="TextoNormal"/>
      </w:pPr>
      <w:r>
        <w:t>En atención a todo lo expuesto, el Tribunal Constitucional, por la autoridad que le confiere la Constitución de la Nación española, ha decidido estimar el recurso de amparo interpuesto por doña María Belén Jiménez Jiménez y, en su virtud:</w:t>
      </w:r>
    </w:p>
    <w:p w14:paraId="7D0049BB" w14:textId="77777777" w:rsidR="009D7677" w:rsidRDefault="009D7677" w:rsidP="009D7677">
      <w:pPr>
        <w:pStyle w:val="TextoNormal"/>
      </w:pPr>
    </w:p>
    <w:p w14:paraId="04AC5E96" w14:textId="77777777" w:rsidR="009D7677" w:rsidRDefault="009D7677" w:rsidP="009D7677">
      <w:pPr>
        <w:pStyle w:val="TextoNormal"/>
      </w:pPr>
      <w:r>
        <w:t>1º Declarar vulnerado su derecho a la tutela judicial efectiva (art. 24.1 CE).</w:t>
      </w:r>
    </w:p>
    <w:p w14:paraId="404BCCC8" w14:textId="77777777" w:rsidR="009D7677" w:rsidRDefault="009D7677" w:rsidP="009D7677">
      <w:pPr>
        <w:pStyle w:val="TextoNormal"/>
      </w:pPr>
    </w:p>
    <w:p w14:paraId="1DF5A8E6" w14:textId="77777777" w:rsidR="009D7677" w:rsidRDefault="009D7677" w:rsidP="009D7677">
      <w:pPr>
        <w:pStyle w:val="TextoNormal"/>
      </w:pPr>
      <w:r>
        <w:t>2º Restablecerla en la integridad de su derecho y, a tal fin, declarar la nulidad de los autos del Juzgado de Instrucción núm. 4 de Algeciras de 22 de octubre de 2020 y de 19 de enero de 2021, dictados en las diligencias previas núm. 276-2020, así como del auto de 12 de julio de 2021 de la Sección Séptima de la Audiencia Provincial de Cádiz, dictado en el rollo de apelación núm. 558-2021.</w:t>
      </w:r>
    </w:p>
    <w:p w14:paraId="38643598" w14:textId="77777777" w:rsidR="009D7677" w:rsidRDefault="009D7677" w:rsidP="009D7677">
      <w:pPr>
        <w:pStyle w:val="TextoNormal"/>
      </w:pPr>
    </w:p>
    <w:p w14:paraId="69FDA8DA" w14:textId="0C22BD3B" w:rsidR="009D7677" w:rsidRDefault="009D7677" w:rsidP="009D7677">
      <w:pPr>
        <w:pStyle w:val="TextoNormal"/>
      </w:pPr>
      <w:r>
        <w:lastRenderedPageBreak/>
        <w:t>3º Retrotraer las actuaciones al momento anterior al dictado del primero de los autos anulados para que el Juzgado de Instrucción núm. 4 de Algeciras proceda en términos respetuosos con el derecho fundamental vulnerado.</w:t>
      </w:r>
    </w:p>
    <w:p w14:paraId="547C413F" w14:textId="77777777" w:rsidR="009D7677" w:rsidRDefault="009D7677" w:rsidP="009D7677">
      <w:pPr>
        <w:pStyle w:val="TextoNormal"/>
      </w:pPr>
    </w:p>
    <w:p w14:paraId="76074E36" w14:textId="77777777" w:rsidR="009D7677" w:rsidRDefault="009D7677" w:rsidP="009D7677">
      <w:pPr>
        <w:pStyle w:val="TextoNormal"/>
      </w:pPr>
      <w:r>
        <w:t>Publíquese esta sentencia en el “Boletín Oficial del Estado”.</w:t>
      </w:r>
    </w:p>
    <w:p w14:paraId="555E255D" w14:textId="77777777" w:rsidR="009D7677" w:rsidRDefault="009D7677" w:rsidP="009D7677">
      <w:pPr>
        <w:pStyle w:val="TextoNormal"/>
      </w:pPr>
      <w:r>
        <w:t>Dada en Madrid, a quince de enero de dos mil veinticuatro.</w:t>
      </w:r>
    </w:p>
    <w:p w14:paraId="118A36F2" w14:textId="7E6AA0B3" w:rsidR="009D7677" w:rsidRDefault="009D7677">
      <w:pPr>
        <w:spacing w:after="160" w:line="259" w:lineRule="auto"/>
        <w:rPr>
          <w:rFonts w:ascii="Times New Roman" w:eastAsia="Times New Roman" w:hAnsi="Times New Roman" w:cs="Times New Roman"/>
          <w:sz w:val="24"/>
          <w:szCs w:val="24"/>
          <w:lang w:eastAsia="es-ES"/>
        </w:rPr>
      </w:pPr>
      <w:r>
        <w:br w:type="page"/>
      </w:r>
    </w:p>
    <w:p w14:paraId="566A750A" w14:textId="77777777" w:rsidR="009D7677" w:rsidRDefault="009D7677" w:rsidP="009D7677">
      <w:pPr>
        <w:pStyle w:val="TtuloResolucin"/>
      </w:pPr>
      <w:bookmarkStart w:id="4" w:name="SENTENCIA_2024_2"/>
      <w:r>
        <w:lastRenderedPageBreak/>
        <w:t>SENTENCIA 2/2024, de 15 de enero de 2024</w:t>
      </w:r>
    </w:p>
    <w:bookmarkEnd w:id="4"/>
    <w:p w14:paraId="616D8CE7" w14:textId="77777777" w:rsidR="009D7677" w:rsidRDefault="009D7677" w:rsidP="009D7677">
      <w:pPr>
        <w:pStyle w:val="TtuloResolucin"/>
      </w:pPr>
      <w:r>
        <w:t>Sala Primera</w:t>
      </w:r>
    </w:p>
    <w:p w14:paraId="26B71A30" w14:textId="77777777" w:rsidR="009D7677" w:rsidRDefault="009D7677" w:rsidP="009D7677">
      <w:pPr>
        <w:pStyle w:val="TtuloBOE"/>
      </w:pPr>
      <w:r>
        <w:t>(BOE núm. 45, de 20 de febrero de 2024)</w:t>
      </w:r>
    </w:p>
    <w:p w14:paraId="6308D1B5" w14:textId="77777777" w:rsidR="009D7677" w:rsidRDefault="009D7677" w:rsidP="009D7677">
      <w:pPr>
        <w:pStyle w:val="TextoNormalCentrado"/>
      </w:pPr>
      <w:r>
        <w:t>ECLI:ES:TC:2024:2</w:t>
      </w:r>
    </w:p>
    <w:p w14:paraId="63D76B65" w14:textId="5A3FF78D" w:rsidR="009D7677" w:rsidRDefault="009D7677" w:rsidP="009D7677">
      <w:pPr>
        <w:pStyle w:val="TextoNormalCentrado"/>
      </w:pPr>
    </w:p>
    <w:p w14:paraId="2AD2C8CE" w14:textId="77777777" w:rsidR="009D7677" w:rsidRDefault="009D7677" w:rsidP="009D7677">
      <w:pPr>
        <w:pStyle w:val="SntesisDescriptiva"/>
      </w:pPr>
      <w:r>
        <w:t>Recurso de amparo 8080-2021. Promovido por doña Ivete Ferreira de Lima en relación con las sentencias dictadas por la Audiencia Provincial de Madrid y un juzgado de primera instancia e instrucción de Getafe en proceso de divorcio.</w:t>
      </w:r>
    </w:p>
    <w:p w14:paraId="5387D0EB" w14:textId="1C66B24C" w:rsidR="009D7677" w:rsidRDefault="009D7677" w:rsidP="009D7677">
      <w:pPr>
        <w:pStyle w:val="SntesisDescriptiva"/>
      </w:pPr>
    </w:p>
    <w:p w14:paraId="7511134D" w14:textId="77777777" w:rsidR="009D7677" w:rsidRDefault="009D7677" w:rsidP="009D7677">
      <w:pPr>
        <w:pStyle w:val="SntesisAnaltica"/>
      </w:pPr>
      <w:r>
        <w:t>Vulneración del derecho a la tutela judicial efectiva (motivación): resoluciones judiciales que, al fijar la pensión de alimentos no satisfacen la exigencia de motivación reforzada resultante de la prevalencia del interés superior del menor.</w:t>
      </w:r>
    </w:p>
    <w:p w14:paraId="4A8A72AA" w14:textId="3C5DC9BC" w:rsidR="009D7677" w:rsidRDefault="009D7677" w:rsidP="009D7677">
      <w:pPr>
        <w:pStyle w:val="SntesisAnaltica"/>
      </w:pPr>
    </w:p>
    <w:p w14:paraId="0D5B9863" w14:textId="0DF1C56A" w:rsidR="009D7677" w:rsidRDefault="009D7677" w:rsidP="009D7677">
      <w:pPr>
        <w:pStyle w:val="Extracto"/>
      </w:pPr>
      <w:r>
        <w:t>1.</w:t>
      </w:r>
      <w:r>
        <w:tab/>
        <w:t>El texto constitucional no hace depender exclusivamente el concepto constitucional de familia a la que tiene su origen en el matrimonio (SSTC 222/1992 o 116/1999), ni la limita a las relaciones con descendencia (STC 116/1999) [FJ 2].</w:t>
      </w:r>
    </w:p>
    <w:p w14:paraId="2158C7CE" w14:textId="77777777" w:rsidR="009D7677" w:rsidRDefault="009D7677" w:rsidP="009D7677">
      <w:pPr>
        <w:pStyle w:val="Extracto"/>
      </w:pPr>
    </w:p>
    <w:p w14:paraId="25744983" w14:textId="7C9B8477" w:rsidR="009D7677" w:rsidRDefault="009D7677" w:rsidP="009D7677">
      <w:pPr>
        <w:pStyle w:val="Extracto"/>
      </w:pPr>
      <w:r>
        <w:t>2.</w:t>
      </w:r>
      <w:r>
        <w:tab/>
        <w:t>La familia a la que manda proteger el art. 39.1 CE nada tiene que ver con el hecho físico de la convivencia entre los miembros que la integran, de modo que no es posible admitir que el progenitor que no vive con sus descendientes pero que mantiene, por imposición legal o judicial, la obligación de prestarles asistencia de todo orden, quede excluido del ámbito de protección que exige aquel precepto constitucional [FJ 2].</w:t>
      </w:r>
    </w:p>
    <w:p w14:paraId="28D71798" w14:textId="77777777" w:rsidR="009D7677" w:rsidRDefault="009D7677" w:rsidP="009D7677">
      <w:pPr>
        <w:pStyle w:val="Extracto"/>
      </w:pPr>
    </w:p>
    <w:p w14:paraId="44053CAD" w14:textId="442E6E6B" w:rsidR="009D7677" w:rsidRDefault="009D7677" w:rsidP="009D7677">
      <w:pPr>
        <w:pStyle w:val="Extracto"/>
      </w:pPr>
      <w:r>
        <w:t>3.</w:t>
      </w:r>
      <w:r>
        <w:tab/>
        <w:t>En materia de alimentos, en cumplimiento del imperativo del art. 39 CE, ha de observarse el principio de seguridad jurídica</w:t>
      </w:r>
      <w:r w:rsidRPr="009D7677">
        <w:rPr>
          <w:i/>
        </w:rPr>
        <w:t xml:space="preserve"> ex </w:t>
      </w:r>
      <w:r>
        <w:t xml:space="preserve">art. 9.3 CE; debe responderse a los intereses en presencia, con prevalencia del interés del menor; y debe tenerse en cuenta el valor constitucional de la protección integral de los hijos </w:t>
      </w:r>
      <w:r w:rsidRPr="009D7677">
        <w:rPr>
          <w:i/>
        </w:rPr>
        <w:t xml:space="preserve">ex </w:t>
      </w:r>
      <w:r>
        <w:t>art. 39.2 CE (ATC 301/2014 y SSTC 273/2005 y 138/2005) [FJ 2].</w:t>
      </w:r>
    </w:p>
    <w:p w14:paraId="200A8DB9" w14:textId="77777777" w:rsidR="009D7677" w:rsidRDefault="009D7677" w:rsidP="009D7677">
      <w:pPr>
        <w:pStyle w:val="Extracto"/>
      </w:pPr>
    </w:p>
    <w:p w14:paraId="1FCCAA67" w14:textId="3774147E" w:rsidR="009D7677" w:rsidRDefault="009D7677" w:rsidP="009D7677">
      <w:pPr>
        <w:pStyle w:val="Extracto"/>
      </w:pPr>
      <w:r>
        <w:t>4.</w:t>
      </w:r>
      <w:r>
        <w:tab/>
        <w:t xml:space="preserve">En materia de pensión de alimentos a un hijo menor de edad, si se dispone de la acreditación en las actuaciones judiciales de cuáles son los ingresos y del carácter regular de su percepción, la eventual sujeción a un porcentaje del sueldo del acreedor podría ser respetuoso con el interés superior del menor. Si esto no es posible porque se desconoce la capacidad económica del demandado, la referencia a un porcentaje deviene meramente artificiosa y contraria al principio de seguridad jurídica </w:t>
      </w:r>
      <w:r w:rsidRPr="009D7677">
        <w:rPr>
          <w:i/>
        </w:rPr>
        <w:t xml:space="preserve">ex </w:t>
      </w:r>
      <w:r>
        <w:t>art. 9.3 CE (ATC 301/2014) [FJ 3].</w:t>
      </w:r>
    </w:p>
    <w:p w14:paraId="518EFBA6" w14:textId="77777777" w:rsidR="009D7677" w:rsidRDefault="009D7677" w:rsidP="009D7677">
      <w:pPr>
        <w:pStyle w:val="Extracto"/>
      </w:pPr>
    </w:p>
    <w:p w14:paraId="71F75F74" w14:textId="7077677A" w:rsidR="009D7677" w:rsidRDefault="009D7677" w:rsidP="009D7677">
      <w:pPr>
        <w:pStyle w:val="Extracto"/>
      </w:pPr>
      <w:r>
        <w:t>5.</w:t>
      </w:r>
      <w:r>
        <w:tab/>
        <w:t xml:space="preserve">El desconocimiento de la capacidad económica debida a la propia conducta elusiva del acreedor de sus deberes paternofiliales, no puede erigirse en obstáculo para que las resoluciones que quienes juzgan el caso fijen una cantidad líquida suficiente para la satisfacción de las necesidades del hijo menor </w:t>
      </w:r>
      <w:r w:rsidRPr="009D7677">
        <w:rPr>
          <w:i/>
        </w:rPr>
        <w:t xml:space="preserve">ex </w:t>
      </w:r>
      <w:r>
        <w:t>art. 142 del Código Civil [FJ 3].</w:t>
      </w:r>
    </w:p>
    <w:p w14:paraId="67F60DA1" w14:textId="77777777" w:rsidR="009D7677" w:rsidRDefault="009D7677" w:rsidP="009D7677">
      <w:pPr>
        <w:pStyle w:val="Extracto"/>
      </w:pPr>
    </w:p>
    <w:p w14:paraId="7210F0CB" w14:textId="0EF29223" w:rsidR="009D7677" w:rsidRDefault="009D7677" w:rsidP="009D7677">
      <w:pPr>
        <w:pStyle w:val="Extracto"/>
      </w:pPr>
      <w:r>
        <w:t>6.</w:t>
      </w:r>
      <w:r>
        <w:tab/>
        <w:t>La resolución judicial que opta, sin justificación objetiva, por el sistema de un porcentaje sobre los desconocidos ingresos de quien es acreedor del pago de una pensión a su hijo vulnera el derecho a la tutela judicial efectiva (art. 24.1 CE) [FJ 3].</w:t>
      </w:r>
    </w:p>
    <w:p w14:paraId="5AB835FD" w14:textId="77777777" w:rsidR="009D7677" w:rsidRDefault="009D7677" w:rsidP="009D7677">
      <w:pPr>
        <w:pStyle w:val="Extracto"/>
      </w:pPr>
    </w:p>
    <w:p w14:paraId="4CB62FBF" w14:textId="77777777" w:rsidR="009D7677" w:rsidRDefault="009D7677" w:rsidP="009D7677">
      <w:pPr>
        <w:pStyle w:val="Extracto"/>
      </w:pPr>
    </w:p>
    <w:p w14:paraId="7266FFFE" w14:textId="77777777" w:rsidR="009D7677" w:rsidRDefault="009D7677" w:rsidP="009D7677">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6DDA5EBD" w14:textId="352548CF" w:rsidR="009D7677" w:rsidRDefault="009D7677" w:rsidP="009D7677">
      <w:pPr>
        <w:pStyle w:val="TextoNormal"/>
      </w:pPr>
    </w:p>
    <w:p w14:paraId="7F7A99E7" w14:textId="77777777" w:rsidR="009D7677" w:rsidRDefault="009D7677" w:rsidP="009D7677">
      <w:pPr>
        <w:pStyle w:val="TextoNormalCentrado"/>
        <w:keepNext/>
      </w:pPr>
      <w:r>
        <w:t>EN NOMBRE DEL REY</w:t>
      </w:r>
    </w:p>
    <w:p w14:paraId="6179DF0C" w14:textId="1B6EA9F3" w:rsidR="009D7677" w:rsidRDefault="009D7677" w:rsidP="009D7677">
      <w:pPr>
        <w:pStyle w:val="TextoNormalCentrado"/>
        <w:keepNext/>
      </w:pPr>
    </w:p>
    <w:p w14:paraId="4D8A83B3" w14:textId="77777777" w:rsidR="009D7677" w:rsidRDefault="009D7677" w:rsidP="009D7677">
      <w:pPr>
        <w:pStyle w:val="TextoNormalCentrado"/>
        <w:keepNext/>
      </w:pPr>
    </w:p>
    <w:p w14:paraId="2FB8F7A3" w14:textId="77777777" w:rsidR="009D7677" w:rsidRDefault="009D7677" w:rsidP="009D7677">
      <w:pPr>
        <w:pStyle w:val="TextoNormal"/>
      </w:pPr>
      <w:r>
        <w:t>la siguiente</w:t>
      </w:r>
    </w:p>
    <w:p w14:paraId="79F86430" w14:textId="49287262" w:rsidR="009D7677" w:rsidRDefault="009D7677" w:rsidP="009D7677">
      <w:pPr>
        <w:pStyle w:val="TextoNormal"/>
      </w:pPr>
    </w:p>
    <w:p w14:paraId="0CF086CE" w14:textId="77777777" w:rsidR="009D7677" w:rsidRDefault="009D7677" w:rsidP="009D7677">
      <w:pPr>
        <w:pStyle w:val="TextoNormalCentrado"/>
        <w:keepNext/>
      </w:pPr>
      <w:r>
        <w:t>SENTENCIA</w:t>
      </w:r>
    </w:p>
    <w:p w14:paraId="3214A19E" w14:textId="5C88F374" w:rsidR="009D7677" w:rsidRDefault="009D7677" w:rsidP="009D7677">
      <w:pPr>
        <w:pStyle w:val="TextoNormalCentrado"/>
        <w:keepNext/>
      </w:pPr>
    </w:p>
    <w:p w14:paraId="3B77FA40" w14:textId="77777777" w:rsidR="009D7677" w:rsidRDefault="009D7677" w:rsidP="009D7677">
      <w:pPr>
        <w:pStyle w:val="TextoNormal"/>
      </w:pPr>
      <w:r>
        <w:t>En el recurso de amparo núm. 8080-2021, promovido por doña Ivete Ferreira de Lima, contra la sentencia del Juzgado de Primera Instancia e Instrucción núm. 3 de Getafe, de 23 de noviembre de 2015, que declaró disuelto su matrimonio y fijó la pensión de alimentos en favor de los tres hijos de la pareja; y contra la sentencia de la Sección Vigesimocuarta de la Audiencia Provincial de Madrid, de 26 de enero de 2021, que desestimó el recurso de apelación interpuesto contra la anterior resolución. Ha intervenido el Ministerio Fiscal. Ha sido ponente el magistrado don Ricardo Enríquez Sancho.</w:t>
      </w:r>
    </w:p>
    <w:p w14:paraId="2C4D3970" w14:textId="3B3A0253" w:rsidR="009D7677" w:rsidRDefault="009D7677" w:rsidP="009D7677">
      <w:pPr>
        <w:pStyle w:val="TextoNormal"/>
      </w:pPr>
    </w:p>
    <w:p w14:paraId="783637F8" w14:textId="77777777" w:rsidR="009D7677" w:rsidRDefault="009D7677" w:rsidP="009D7677">
      <w:pPr>
        <w:pStyle w:val="TextoNormalNegritaCentrado"/>
        <w:keepNext/>
      </w:pPr>
      <w:r>
        <w:t>I. Antecedentes</w:t>
      </w:r>
    </w:p>
    <w:p w14:paraId="67FD6518" w14:textId="7F1C3550" w:rsidR="009D7677" w:rsidRDefault="009D7677" w:rsidP="009D7677">
      <w:pPr>
        <w:pStyle w:val="TextoNormalNegritaCentrado"/>
        <w:keepNext/>
      </w:pPr>
    </w:p>
    <w:p w14:paraId="26F68F50" w14:textId="71454A0E" w:rsidR="009D7677" w:rsidRDefault="009D7677" w:rsidP="009D7677">
      <w:pPr>
        <w:pStyle w:val="TextoNormal"/>
      </w:pPr>
      <w:r w:rsidRPr="009D7677">
        <w:rPr>
          <w:rStyle w:val="NumeroAFNegritaCaracter"/>
        </w:rPr>
        <w:t>1</w:t>
      </w:r>
      <w:r>
        <w:t>. Mediante escrito presentado en el registro general de este tribunal el 20 de diciembre de 2021, la procuradora de los tribunales doña María Teresa Moncayola Martín, actuando en nombre y representación de doña Ivete Ferreira de Lima, bajo la defensa de la abogada doña María Isabel Olmedo Hernando, interpuso demanda de amparo contra las resoluciones arriba mencionadas.</w:t>
      </w:r>
    </w:p>
    <w:p w14:paraId="794AA386" w14:textId="77777777" w:rsidR="009D7677" w:rsidRDefault="009D7677" w:rsidP="009D7677">
      <w:pPr>
        <w:pStyle w:val="TextoNormal"/>
      </w:pPr>
    </w:p>
    <w:p w14:paraId="27869046" w14:textId="77777777" w:rsidR="009D7677" w:rsidRDefault="009D7677" w:rsidP="009D7677">
      <w:pPr>
        <w:pStyle w:val="TextoNormal"/>
      </w:pPr>
      <w:r w:rsidRPr="009D7677">
        <w:rPr>
          <w:rStyle w:val="NumeroAFNegritaCaracter"/>
        </w:rPr>
        <w:t>2</w:t>
      </w:r>
      <w:r>
        <w:t>. Los hechos con relevancia para la resolución del presente recurso de amparo y a los que se refiere la demanda presentada, son los siguientes:</w:t>
      </w:r>
    </w:p>
    <w:p w14:paraId="35B2EA72" w14:textId="77777777" w:rsidR="009D7677" w:rsidRDefault="009D7677" w:rsidP="009D7677">
      <w:pPr>
        <w:pStyle w:val="TextoNormal"/>
      </w:pPr>
    </w:p>
    <w:p w14:paraId="77213A7D" w14:textId="77777777" w:rsidR="009D7677" w:rsidRDefault="009D7677" w:rsidP="009D7677">
      <w:pPr>
        <w:pStyle w:val="TextoNormal"/>
      </w:pPr>
      <w:r>
        <w:t xml:space="preserve">a) Con fecha 4 de marzo de 2015 se dedujo demanda de divorcio contencioso por la aquí recurrente contra don Julio Donizete de Lima, ante el Juzgado de Primera Instancia e Instrucción núm. 3 de Getafe. En el suplico se solicitó que se declarase la extinción del matrimonio por divorcio entre ambos, se fijara un régimen de visitas flexible del demandado a los tres hijos de la pareja, don Julio César Ferreira de Lima (nacido el 21 de marzo de 1993); doña María Julia Lima (nacida el 7 de junio de 1997) y don Joao Víctor Ferreira de Lima (nacido el 4 de abril de 2000), atendiendo para ello a la edad de estos. También pidió que se condenara al demandado a pagar una pensión de alimentos a los tres hijos para “cubrir sus necesidades vitales básicas como manutención, habitación, higiene y educación”, en la cantidad de cien euros mensuales por cada uno de ellos y que dicha pensión fuese “revisada automáticamente con efecto 1 de enero de cada año, conforme al IPC [índice de precios al consumo] publicado por el INE [Instituto Nacional de Estadística] u </w:t>
      </w:r>
      <w:r>
        <w:lastRenderedPageBreak/>
        <w:t>organismo que le sustituya. Se contribuirá a los gastos extraordinarios de la menor por ambos progenitores al 50 por 100”.</w:t>
      </w:r>
    </w:p>
    <w:p w14:paraId="01AC3957" w14:textId="77777777" w:rsidR="009D7677" w:rsidRDefault="009D7677" w:rsidP="009D7677">
      <w:pPr>
        <w:pStyle w:val="TextoNormal"/>
      </w:pPr>
    </w:p>
    <w:p w14:paraId="16355FE7" w14:textId="77777777" w:rsidR="009D7677" w:rsidRDefault="009D7677" w:rsidP="009D7677">
      <w:pPr>
        <w:pStyle w:val="TextoNormal"/>
      </w:pPr>
      <w:r>
        <w:t>Interesa destacar a los efectos de este amparo, que en dicho escrito de demanda se informa que los “ingresos económicos de la familia provienen del trabajo del padre, que ha trabajado en España en diversas empresas”. A efectos de acreditar los recursos y patrimonio del demandado, se solicitó por medio de otrosí digo que se le requiriese por el juzgado la presentación de “las seis últimas nóminas, o certificado de sus ingresos mensuales para el acto del juicio. Así como declaración de la renta del año 2013-2014”; así como también que el juzgado se dirigiera a la “Oficina de Averiguación Patrimonial en averiguación de las cuentas corrientes bancarias y bienes” a su nombre, y a la Tesorería General de la Seguridad Social, “requiriendo información de vida laboral expedida a su nombre”.</w:t>
      </w:r>
    </w:p>
    <w:p w14:paraId="3903DC60" w14:textId="77777777" w:rsidR="009D7677" w:rsidRDefault="009D7677" w:rsidP="009D7677">
      <w:pPr>
        <w:pStyle w:val="TextoNormal"/>
      </w:pPr>
    </w:p>
    <w:p w14:paraId="5E9AA868" w14:textId="77777777" w:rsidR="009D7677" w:rsidRDefault="009D7677" w:rsidP="009D7677">
      <w:pPr>
        <w:pStyle w:val="TextoNormal"/>
      </w:pPr>
      <w:r>
        <w:t>A efectos de su localización para ser emplazado en el proceso, se afirma que aparte del domicilio familiar en Getafe, la actora desconocía algún otro domicilio del demandado, por lo que solicitó en otrosí digo la averiguación de dicho domicilio “a través de la Dirección General de la Policía, o a través de cualquier medio de los contemplados en la LECIV, Y en el caso de no ser hallado se publique en edictos del Juzgado la citación para celebración del juicio”.</w:t>
      </w:r>
    </w:p>
    <w:p w14:paraId="7E42D412" w14:textId="77777777" w:rsidR="009D7677" w:rsidRDefault="009D7677" w:rsidP="009D7677">
      <w:pPr>
        <w:pStyle w:val="TextoNormal"/>
      </w:pPr>
    </w:p>
    <w:p w14:paraId="35EAD635" w14:textId="77777777" w:rsidR="009D7677" w:rsidRDefault="009D7677" w:rsidP="009D7677">
      <w:pPr>
        <w:pStyle w:val="TextoNormal"/>
      </w:pPr>
      <w:r>
        <w:t>b) Con fecha 29 de abril de 2015, el entonces secretario judicial (denominado legalmente letrado de la administración de justicia desde el 1 de octubre de 2015) del Juzgado de Primera Instancia e Instrucción núm. 3 de Getafe encargado del asunto, dictó decreto admitiendo a trámite la demanda (procedimiento de divorcio contencioso núm. 146-2015); con apercibimiento a la parte demandada de que se le declararía en rebeldía procesal si no comparecía dentro de plazo, si bien se dispuso a este respecto que “[p]reviamente al emplazamiento, procédase a la averiguación del domicilio o residencia actual […] a través del PNJ [punto neutro judicial] y TGSS [Tesorería General de la Seguridad Social]”.</w:t>
      </w:r>
    </w:p>
    <w:p w14:paraId="6642D959" w14:textId="77777777" w:rsidR="009D7677" w:rsidRDefault="009D7677" w:rsidP="009D7677">
      <w:pPr>
        <w:pStyle w:val="TextoNormal"/>
      </w:pPr>
    </w:p>
    <w:p w14:paraId="501E606D" w14:textId="77777777" w:rsidR="009D7677" w:rsidRDefault="009D7677" w:rsidP="009D7677">
      <w:pPr>
        <w:pStyle w:val="TextoNormal"/>
      </w:pPr>
      <w:r>
        <w:t xml:space="preserve">c) En virtud de diligencia de ordenación del secretario judicial del juzgado </w:t>
      </w:r>
      <w:r w:rsidRPr="009D7677">
        <w:rPr>
          <w:i/>
        </w:rPr>
        <w:t>a quo</w:t>
      </w:r>
      <w:r>
        <w:t>, de 30 de septiembre de 2015, al no haber comparecido la parte demandada en el procedimiento se acordó declararle en rebeldía, y se convocó a las partes a la vista del juicio para el día 23 de noviembre a las 9:30 horas, que fue cuando tuvo lugar este acto conforme al acta levantada en la misma fecha, constando en blanco el espacio reservado a la parte demandada.</w:t>
      </w:r>
    </w:p>
    <w:p w14:paraId="40DAD14C" w14:textId="77777777" w:rsidR="009D7677" w:rsidRDefault="009D7677" w:rsidP="009D7677">
      <w:pPr>
        <w:pStyle w:val="TextoNormal"/>
      </w:pPr>
    </w:p>
    <w:p w14:paraId="341C6BB4" w14:textId="77777777" w:rsidR="009D7677" w:rsidRDefault="009D7677" w:rsidP="009D7677">
      <w:pPr>
        <w:pStyle w:val="TextoNormal"/>
      </w:pPr>
      <w:r>
        <w:t xml:space="preserve">d) En la misma fecha, 23 de noviembre de 2015, el juzgado </w:t>
      </w:r>
      <w:r w:rsidRPr="009D7677">
        <w:rPr>
          <w:i/>
        </w:rPr>
        <w:t>a quo</w:t>
      </w:r>
      <w:r>
        <w:t xml:space="preserve"> dictó sentencia estimando parcialmente la demanda formulada, a cuyo efecto declaró en el fallo la disolución del matrimonio por divorcio de las partes; la atribución a ambos progenitores de la patria potestad del ya para entonces único hijo menor, don Joao Víctor, con suspensión en todo caso del régimen de visitas hasta que fuese localizado el demandado y previa práctica de informe pericial psicosocial se determinase el régimen más adecuado al respecto (por las razones que desgrana el fundamento de derecho tercero). Y en lo que hace a la fijación de la obligación de alimentos, que la sentencia circunscribe al hijo menor ya citado, el propio fallo de la sentencia, apartado segundo, dispuso lo siguiente:</w:t>
      </w:r>
    </w:p>
    <w:p w14:paraId="1A17AB2A" w14:textId="77777777" w:rsidR="009D7677" w:rsidRDefault="009D7677" w:rsidP="009D7677">
      <w:pPr>
        <w:pStyle w:val="TextoNormal"/>
      </w:pPr>
    </w:p>
    <w:p w14:paraId="77DDAD06" w14:textId="77777777" w:rsidR="009D7677" w:rsidRDefault="009D7677" w:rsidP="009D7677">
      <w:pPr>
        <w:pStyle w:val="TextoNormal"/>
      </w:pPr>
      <w:r>
        <w:t>“Ambos cónyuges contribuirán al levantamiento de las cargas familiares abonando el esposo como alimentos de su hijo el 10 por 100 de sus ingresos mensuales, abonables an</w:t>
      </w:r>
      <w:r>
        <w:lastRenderedPageBreak/>
        <w:t>tes de los cinco primeros días de cada mes, ajustándose anualmente a partir del año siguiente al de la presente sentencia tal cantidad al IPC que publique el INE, computándose como contribución de la esposa al levantamiento de las cargas familiares su dedicación al cuidado del hijo común”.</w:t>
      </w:r>
    </w:p>
    <w:p w14:paraId="58A75D9F" w14:textId="77777777" w:rsidR="009D7677" w:rsidRDefault="009D7677" w:rsidP="009D7677">
      <w:pPr>
        <w:pStyle w:val="TextoNormal"/>
      </w:pPr>
    </w:p>
    <w:p w14:paraId="0AD1FE9B" w14:textId="77777777" w:rsidR="009D7677" w:rsidRDefault="009D7677" w:rsidP="009D7677">
      <w:pPr>
        <w:pStyle w:val="TextoNormal"/>
      </w:pPr>
      <w:r>
        <w:t>Esta última decisión se explica en el fundamento de derecho quinto, partiendo de los dos parámetros a tener en cuenta para dicha cuantificación: “a) los recursos del obligado y b) las necesidades y cargas a las que subvengan”, siendo que en este caso “se acreditan los ingresos de la esposa y se ignoran los del padre”. Entiende así el juzgado que: “[p]ara resolver la cuestión ha de acudirse a la más moderna jurisprudencia del Tribunal Supremo. Que supera la postura divergente que en estos supuestos mantenían las administraciones públicas y fija un porcentaje del 10 por 100 de los ingresos del padre obligado a los alimentos como contribución al sostén de los menores”, citando a continuación las sentencias de la Sala de lo Civil del alto Tribunal, de 2 de marzo de 2015, núm. 111/2015 (recurso núm. 735-2014), y la de 22 de julio de 2015, núm. 481/2015 (recurso núm. 737-2014), las cuales pasa a transcribir con cierta extensión, sin añadir luego ningún otro razonamiento propio del juzgado en este punto.</w:t>
      </w:r>
    </w:p>
    <w:p w14:paraId="548D660C" w14:textId="77777777" w:rsidR="009D7677" w:rsidRDefault="009D7677" w:rsidP="009D7677">
      <w:pPr>
        <w:pStyle w:val="TextoNormal"/>
      </w:pPr>
    </w:p>
    <w:p w14:paraId="7CDC8004" w14:textId="77777777" w:rsidR="009D7677" w:rsidRDefault="009D7677" w:rsidP="009D7677">
      <w:pPr>
        <w:pStyle w:val="TextoNormal"/>
      </w:pPr>
      <w:r>
        <w:t>e) Contra la anterior sentencia de 23 de noviembre de 2015 interpuso recurso de apelación la aquí demandante de amparo.</w:t>
      </w:r>
    </w:p>
    <w:p w14:paraId="46677F79" w14:textId="77777777" w:rsidR="009D7677" w:rsidRDefault="009D7677" w:rsidP="009D7677">
      <w:pPr>
        <w:pStyle w:val="TextoNormal"/>
      </w:pPr>
    </w:p>
    <w:p w14:paraId="1B294D0D" w14:textId="77777777" w:rsidR="009D7677" w:rsidRDefault="009D7677" w:rsidP="009D7677">
      <w:pPr>
        <w:pStyle w:val="TextoNormal"/>
      </w:pPr>
      <w:r>
        <w:t>Respecto del método elegido por el juzgado para la fijación de la cuantía de la pensión de alimentos a cargo del padre, se alega en primer lugar la infracción del principio de seguridad jurídica, ya que al establecerse con base “en un tanto por ciento de los ingresos del progenitor, y no ser determinada la pensión de alimentos de forma concreta genera una incertidumbre e inseguridad nada soportable por mi mandante”.</w:t>
      </w:r>
    </w:p>
    <w:p w14:paraId="6492A82F" w14:textId="77777777" w:rsidR="009D7677" w:rsidRDefault="009D7677" w:rsidP="009D7677">
      <w:pPr>
        <w:pStyle w:val="TextoNormal"/>
      </w:pPr>
    </w:p>
    <w:p w14:paraId="64AE3E81" w14:textId="77777777" w:rsidR="009D7677" w:rsidRDefault="009D7677" w:rsidP="009D7677">
      <w:pPr>
        <w:pStyle w:val="TextoNormal"/>
      </w:pPr>
      <w:r>
        <w:t>En segundo lugar, aduce la infracción del “derecho constitucional a la tutela judicial efectiva”, porque “de tener que ejecutar la sentencia en algún momento sería inviable la determinación de la cuantía de la ejecución, impidiendo a mi mandante el ejercicio de sus derechos civiles en sede judicial, infringiéndose el derecho a la tutela judicial efectiva. Ya que esta no dispone de ningún mecanismo efectivo para conocer los ingresos del padre de sus hijos, a no ser que sea el juzgado quien se los proporcione mensualmente. Nos encontramos ante un sistema de determinación de la pensión de alimentos, que si bien pudiera resultar equitativo, es totalmente impracticable e inefectivo a la hora de garantizar el pago de la pensión de alimentos y con ello el interés del menor”.</w:t>
      </w:r>
    </w:p>
    <w:p w14:paraId="33408106" w14:textId="77777777" w:rsidR="009D7677" w:rsidRDefault="009D7677" w:rsidP="009D7677">
      <w:pPr>
        <w:pStyle w:val="TextoNormal"/>
      </w:pPr>
    </w:p>
    <w:p w14:paraId="4F67C103" w14:textId="77777777" w:rsidR="009D7677" w:rsidRDefault="009D7677" w:rsidP="009D7677">
      <w:pPr>
        <w:pStyle w:val="TextoNormal"/>
      </w:pPr>
      <w:r>
        <w:t xml:space="preserve">f) En orden a la tramitación del recurso de apelación por el juzgado </w:t>
      </w:r>
      <w:r w:rsidRPr="009D7677">
        <w:rPr>
          <w:i/>
        </w:rPr>
        <w:t>a quo</w:t>
      </w:r>
      <w:r>
        <w:t>, son de destacar las incidencias siguientes:</w:t>
      </w:r>
    </w:p>
    <w:p w14:paraId="5BB624CF" w14:textId="77777777" w:rsidR="009D7677" w:rsidRDefault="009D7677" w:rsidP="009D7677">
      <w:pPr>
        <w:pStyle w:val="TextoNormal"/>
      </w:pPr>
    </w:p>
    <w:p w14:paraId="0345C9E4" w14:textId="77777777" w:rsidR="009D7677" w:rsidRDefault="009D7677" w:rsidP="009D7677">
      <w:pPr>
        <w:pStyle w:val="TextoNormal"/>
      </w:pPr>
      <w:r>
        <w:t>(i) Por diligencia de ordenación del letrado de la administración de justicia del referido juzgado, de 11 de febrero de 2016, se ordenó notificar la sentencia al demandado mediante edicto a publicar en el “Boletín Oficial de la Comunidad de Madrid” (“BOCM”) y en el tablón de anuncios de la oficina judicial, requiriendo a la actora para que acreditara la concesión a esta del beneficio de justifica gratuita.</w:t>
      </w:r>
    </w:p>
    <w:p w14:paraId="7F5F8C34" w14:textId="77777777" w:rsidR="009D7677" w:rsidRDefault="009D7677" w:rsidP="009D7677">
      <w:pPr>
        <w:pStyle w:val="TextoNormal"/>
      </w:pPr>
    </w:p>
    <w:p w14:paraId="2E7C2418" w14:textId="77777777" w:rsidR="009D7677" w:rsidRDefault="009D7677" w:rsidP="009D7677">
      <w:pPr>
        <w:pStyle w:val="TextoNormal"/>
      </w:pPr>
      <w:r>
        <w:t>(ii) Con fecha 5 de junio de 2018 se dictó diligencia de ordenación concediendo un plazo de diez días a la demandante para que manifestase “si persiste en el recurso de apela</w:t>
      </w:r>
      <w:r>
        <w:lastRenderedPageBreak/>
        <w:t>ción interpuesto contra la sentencia dictada en este procedimiento, para lo que deberá cumplimentar el requerimiento que se efectuó mediante diligencia de ordenación de 2 de noviembre de 2016 para proceder a la notificación de la sentencia al demandado rebelde”, añadiendo que a día de hoy aún no se había practicado esta última notificación.</w:t>
      </w:r>
    </w:p>
    <w:p w14:paraId="6230D7D6" w14:textId="77777777" w:rsidR="009D7677" w:rsidRDefault="009D7677" w:rsidP="009D7677">
      <w:pPr>
        <w:pStyle w:val="TextoNormal"/>
      </w:pPr>
    </w:p>
    <w:p w14:paraId="663AA62F" w14:textId="77777777" w:rsidR="009D7677" w:rsidRDefault="009D7677" w:rsidP="009D7677">
      <w:pPr>
        <w:pStyle w:val="TextoNormal"/>
      </w:pPr>
      <w:r>
        <w:t>En su respuesta, la representante procesal de la aquí recurrente presentó escrito el 18 de junio de 2018, por el que “esta parte se reitera en el recurso de apelación interpuesto”.</w:t>
      </w:r>
    </w:p>
    <w:p w14:paraId="5051E760" w14:textId="77777777" w:rsidR="009D7677" w:rsidRDefault="009D7677" w:rsidP="009D7677">
      <w:pPr>
        <w:pStyle w:val="TextoNormal"/>
      </w:pPr>
    </w:p>
    <w:p w14:paraId="4728EDE8" w14:textId="77777777" w:rsidR="009D7677" w:rsidRDefault="009D7677" w:rsidP="009D7677">
      <w:pPr>
        <w:pStyle w:val="TextoNormal"/>
      </w:pPr>
      <w:r>
        <w:t>(iii) Por diligencia de ordenación de 2 de julio de 2018 se advirtió a la procuradora de la demandante que “no es posible tramitar el recurso de apelación sin notificar la sentencia al demandado mediante edictos en el ‘Boletín Oficial de la Comunidad de Madrid’, debiendo justificar la concesión del beneficio de justicia gratuita”.</w:t>
      </w:r>
    </w:p>
    <w:p w14:paraId="75DE9294" w14:textId="77777777" w:rsidR="009D7677" w:rsidRDefault="009D7677" w:rsidP="009D7677">
      <w:pPr>
        <w:pStyle w:val="TextoNormal"/>
      </w:pPr>
    </w:p>
    <w:p w14:paraId="5C6DA343" w14:textId="77777777" w:rsidR="009D7677" w:rsidRDefault="009D7677" w:rsidP="009D7677">
      <w:pPr>
        <w:pStyle w:val="TextoNormal"/>
      </w:pPr>
      <w:r>
        <w:t>(iv) En virtud de diligencia de ordenación de 3 de septiembre de 2018, se acordó recabar la acreditación de aquel beneficio directamente de la Comisión de Asistencia Jurídica Gratuita, y que se procediera a la notificación de la sentencia del modo como ya se había ordenado. Por nueva diligencia de ordenación de 2 de enero de 2019 se dispuso que  visto el estado de las actuaciones y no constando aún la publicación de la sentencia, reiterar lo ya acordado en la diligencia de 3 de septiembre de 2018. La publicación se efectuó en el “BOCM” núm. 20 del jueves 24 de enero de 2019.</w:t>
      </w:r>
    </w:p>
    <w:p w14:paraId="78FEC180" w14:textId="77777777" w:rsidR="009D7677" w:rsidRDefault="009D7677" w:rsidP="009D7677">
      <w:pPr>
        <w:pStyle w:val="TextoNormal"/>
      </w:pPr>
    </w:p>
    <w:p w14:paraId="7860E492" w14:textId="77777777" w:rsidR="009D7677" w:rsidRDefault="009D7677" w:rsidP="009D7677">
      <w:pPr>
        <w:pStyle w:val="TextoNormal"/>
      </w:pPr>
      <w:r>
        <w:t>(v) El letrado de la administración de justicia del mismo juzgado dictó un decreto el 21 de mayo de 2019 por el que estimó el recurso de reposición que la demandante interpuso contra la diligencia de ordenación de 11 de abril de 2019 que declaraba firme la sentencia; estimación fundada en que “[t]iene razón la parte recurrente en sus alegaciones […] ya que contra la misma se interpuso recurso de apelación, por la ahora recurrente”. En consecuencia, el decreto acuerda en su lugar “la admisión a trámite del recurso de apelación interpuesto”, con remisión de los autos a la Audiencia Provincial de Madrid, “con emplazamiento de la parte apelante en el plazo de diez días, al no ser necesaria la intervención del Ministerio Fiscal al haber alcanzado los hijos la mayoría de edad”.</w:t>
      </w:r>
    </w:p>
    <w:p w14:paraId="4C8EDD45" w14:textId="77777777" w:rsidR="009D7677" w:rsidRDefault="009D7677" w:rsidP="009D7677">
      <w:pPr>
        <w:pStyle w:val="TextoNormal"/>
      </w:pPr>
    </w:p>
    <w:p w14:paraId="5D0A9FB3" w14:textId="77777777" w:rsidR="009D7677" w:rsidRDefault="009D7677" w:rsidP="009D7677">
      <w:pPr>
        <w:pStyle w:val="TextoNormal"/>
      </w:pPr>
      <w:r>
        <w:t>g) El conocimiento del recurso de apelación recayó en la Sección Vigesimocuarta de la Audiencia Provincial de Madrid (recurso de apelación núm. 963-2019), de cuya tramitación cabe resaltar que:</w:t>
      </w:r>
    </w:p>
    <w:p w14:paraId="658B1EC5" w14:textId="77777777" w:rsidR="009D7677" w:rsidRDefault="009D7677" w:rsidP="009D7677">
      <w:pPr>
        <w:pStyle w:val="TextoNormal"/>
      </w:pPr>
    </w:p>
    <w:p w14:paraId="4FEB5B39" w14:textId="77777777" w:rsidR="009D7677" w:rsidRDefault="009D7677" w:rsidP="009D7677">
      <w:pPr>
        <w:pStyle w:val="TextoNormal"/>
      </w:pPr>
      <w:r>
        <w:t xml:space="preserve">(i) El letrado de la administración de justicia de dicho tribunal dictó diligencia de ordenación el día 27 de junio de 2019 teniendo por recibido el oficio y autos procedentes del juzgado </w:t>
      </w:r>
      <w:r w:rsidRPr="009D7677">
        <w:rPr>
          <w:i/>
        </w:rPr>
        <w:t>a quo</w:t>
      </w:r>
      <w:r>
        <w:t xml:space="preserve"> y ordenó registrar y formar el correspondiente rollo de apelación, con “[d]oña. Ivete Ferreira de Lima, como parte apelante encontrándose el demandado de autos don Julio Donizete de Lima, en situación procesal de rebeldía, no habiéndose personado en el presente recurso”. Asimismo, dispuso que “[n]o habiéndose propuesto prueba para esta segunda instancia o inadmitida toda la prueba propuesta y no considerándose necesaria la celebración de vista, queden las actuaciones pendientes de señalamiento para deliberación, votación y fallo, cuando por turno corresponda. De la presente diligencia se da cuenta al Tribunal”.</w:t>
      </w:r>
    </w:p>
    <w:p w14:paraId="07FD3969" w14:textId="77777777" w:rsidR="009D7677" w:rsidRDefault="009D7677" w:rsidP="009D7677">
      <w:pPr>
        <w:pStyle w:val="TextoNormal"/>
      </w:pPr>
    </w:p>
    <w:p w14:paraId="3860E888" w14:textId="77777777" w:rsidR="009D7677" w:rsidRDefault="009D7677" w:rsidP="009D7677">
      <w:pPr>
        <w:pStyle w:val="TextoNormal"/>
      </w:pPr>
      <w:r>
        <w:t xml:space="preserve">(ii) También con fecha 27 de junio de 2019, la Sección de apelación dictó providencia acordando justamente que “no habiéndose solicitado la práctica de prueba o inadmitida </w:t>
      </w:r>
      <w:r>
        <w:lastRenderedPageBreak/>
        <w:t>toda la prueba propuesta y no estimándose necesaria la celebración de vista, se señala para la deliberación, votación y fallo del presente recurso el próximo día 19 de mayo de 2020”.</w:t>
      </w:r>
    </w:p>
    <w:p w14:paraId="4D1D8FFD" w14:textId="77777777" w:rsidR="009D7677" w:rsidRDefault="009D7677" w:rsidP="009D7677">
      <w:pPr>
        <w:pStyle w:val="TextoNormal"/>
      </w:pPr>
    </w:p>
    <w:p w14:paraId="0B410F71" w14:textId="77777777" w:rsidR="009D7677" w:rsidRDefault="009D7677" w:rsidP="009D7677">
      <w:pPr>
        <w:pStyle w:val="TextoNormal"/>
      </w:pPr>
      <w:r>
        <w:t>(iii) Consta posteriormente una providencia de la misma sección, de 6 de julio de 2020, donde se indica que “dado que el acto de la deliberación y votación se suspendió debido al estado de alarma, se fija nuevamente, conforme a lo dispuesto en el artículo 182.1 LEC, para que tenga lugar dicho acto el día 4 de noviembre de 2020”.</w:t>
      </w:r>
    </w:p>
    <w:p w14:paraId="6CED0D1F" w14:textId="77777777" w:rsidR="009D7677" w:rsidRDefault="009D7677" w:rsidP="009D7677">
      <w:pPr>
        <w:pStyle w:val="TextoNormal"/>
      </w:pPr>
    </w:p>
    <w:p w14:paraId="6D634D4C" w14:textId="77777777" w:rsidR="009D7677" w:rsidRDefault="009D7677" w:rsidP="009D7677">
      <w:pPr>
        <w:pStyle w:val="TextoNormal"/>
      </w:pPr>
      <w:r>
        <w:t>h) La Sección competente dictó sentencia el día 26 de enero de 2021 desestimando el recurso de apelación de la aquí demandante de amparo y en el que figura el apelado en situación de rebeldía, confirmando la resolución impugnada. La totalidad de la fundamentación jurídica con base en la que se resuelve el recurso es la siguiente:</w:t>
      </w:r>
    </w:p>
    <w:p w14:paraId="34A7AA9F" w14:textId="77777777" w:rsidR="009D7677" w:rsidRDefault="009D7677" w:rsidP="009D7677">
      <w:pPr>
        <w:pStyle w:val="TextoNormal"/>
      </w:pPr>
    </w:p>
    <w:p w14:paraId="4078255A" w14:textId="77777777" w:rsidR="009D7677" w:rsidRDefault="009D7677" w:rsidP="009D7677">
      <w:pPr>
        <w:pStyle w:val="TextoNormal"/>
      </w:pPr>
      <w:r>
        <w:t>“Primero.- En el presente caso resulta ajustada a derecho la sentencia dictada en primera instancia de conformidad con lo actuado en el procedimiento y ello debido que desconociéndose por falta directa [</w:t>
      </w:r>
      <w:r w:rsidRPr="009D7677">
        <w:rPr>
          <w:i/>
        </w:rPr>
        <w:t>sic</w:t>
      </w:r>
      <w:r>
        <w:t>] o por vía de presunción la capacidad económica del demandado, declarado en rebeldía procesal, no puede cuantificarse la pensión de alimentos al carecer de uno de los datos necesarios para ello de conformidad con el art. 146 del Código civil, que establece el principio de proporcionalidad.</w:t>
      </w:r>
    </w:p>
    <w:p w14:paraId="4695E18A" w14:textId="77777777" w:rsidR="009D7677" w:rsidRDefault="009D7677" w:rsidP="009D7677">
      <w:pPr>
        <w:pStyle w:val="TextoNormal"/>
      </w:pPr>
    </w:p>
    <w:p w14:paraId="631DABA7" w14:textId="77777777" w:rsidR="009D7677" w:rsidRDefault="009D7677" w:rsidP="009D7677">
      <w:pPr>
        <w:pStyle w:val="TextoNormal"/>
      </w:pPr>
      <w:r>
        <w:t>Segundo.- Dado los términos del debate y flexibilidad permitida en la materia, no procede hacer pronunciamiento de condena en costas causadas en esta instancia”.</w:t>
      </w:r>
    </w:p>
    <w:p w14:paraId="67565CC2" w14:textId="77777777" w:rsidR="009D7677" w:rsidRDefault="009D7677" w:rsidP="009D7677">
      <w:pPr>
        <w:pStyle w:val="TextoNormal"/>
      </w:pPr>
    </w:p>
    <w:p w14:paraId="45ACB2CD" w14:textId="77777777" w:rsidR="009D7677" w:rsidRDefault="009D7677" w:rsidP="009D7677">
      <w:pPr>
        <w:pStyle w:val="TextoNormal"/>
      </w:pPr>
      <w:r>
        <w:t>Hemos de aclarar que si bien en el antecedente de hecho tercero de la sentencia consta que una vez interpuesto recurso de apelación por la representación de la aquí demandante de amparo, “frente a estas pretensiones, la parte apelada, mostró su oposición por las razones expresadas en su escrito, que en aras a la brevedad damos aquí por reproducidos”, lo cierto es que en las actuaciones remitidas por la Audiencia Provincial de Madrid al Tribunal Constitucional no obra ningún escrito presentado por el apelado o por un tercero en su nombre, sea en el sentido indicado por el antecedente tercero o con otro contenido. En las resoluciones interlocutorias remitidas, así como en la sentencia, no consta además que haya intervenido procurador y abogado alguno asistiendo al apelado.</w:t>
      </w:r>
    </w:p>
    <w:p w14:paraId="7335FF42" w14:textId="77777777" w:rsidR="009D7677" w:rsidRDefault="009D7677" w:rsidP="009D7677">
      <w:pPr>
        <w:pStyle w:val="TextoNormal"/>
      </w:pPr>
    </w:p>
    <w:p w14:paraId="4D7224FF" w14:textId="77777777" w:rsidR="009D7677" w:rsidRDefault="009D7677" w:rsidP="009D7677">
      <w:pPr>
        <w:pStyle w:val="TextoNormal"/>
      </w:pPr>
      <w:r>
        <w:t>i) Contra la sentencia de la Audiencia Provincial de Madrid se interpuso por la aquí demandante de amparo recurso de casación por interés casacional y recurso extraordinario por infracción procesal. En cuanto al primero de ellos, y con invocación del art. 477 LEC, se denunció la infracción del artículo 39 CE y los arts. 93, 142, 144, 146 y 147 del Código civil (CC), puesto que “no se ha realizado en el presente caso el juicio de proporcionalidad que la normativa vigente exige para la concesión de una pensión de alimentos a favor de los hijos, así como la doctrina jurisprudencial del Alto Tribunal”; que no se ha tenido en cuenta la necesidad de los menores, “sobre todo en cuanto a educación, alimentación y sanidad, gastos todos esenciales para su desarrollo. Al no conocer los ingresos del demandado ni siquiera es posible determinar pensión alguna, ya que establece un porcentaje sobre los ingresos desconocidos del progenitor no custodio”, lo que “genera inseguridad jurídica para el menor, indefensión y vulneración de su derecho consagrado en el art. 39 y al desarrollo personal”.</w:t>
      </w:r>
    </w:p>
    <w:p w14:paraId="7E1EE66E" w14:textId="77777777" w:rsidR="009D7677" w:rsidRDefault="009D7677" w:rsidP="009D7677">
      <w:pPr>
        <w:pStyle w:val="TextoNormal"/>
      </w:pPr>
    </w:p>
    <w:p w14:paraId="512E5343" w14:textId="77777777" w:rsidR="009D7677" w:rsidRDefault="009D7677" w:rsidP="009D7677">
      <w:pPr>
        <w:pStyle w:val="TextoNormal"/>
      </w:pPr>
      <w:r>
        <w:lastRenderedPageBreak/>
        <w:t>Prosigue diciendo que en el caso “de que el alimentante se encuentre en paradero desconocido, no puede esta circunstancia perjudicar a los menores conforme a nuestro ordenamiento jurídico en el que impera el principio del interés del menor. La inseguridad jurídica que genera el no establecer una cuantía concreta y determinada aunque sea de forma provisional hasta que el progenitor sea hallado, supone una vulneración del principio fundamental de interés del menor, que en la mayoría de estos casos se ve privado de cobrar pensión de alimentos alguna. Ya que es prácticamente inviable su determinación y exigibilidad a efectos de ejecución y efectividad”. Cita en su apoyo sentencias de la Sala de lo Civil del Tribunal Supremo y de las audiencias provinciales que avalarían para este caso la fijación de una cantidad concreta.</w:t>
      </w:r>
    </w:p>
    <w:p w14:paraId="39832B9C" w14:textId="77777777" w:rsidR="009D7677" w:rsidRDefault="009D7677" w:rsidP="009D7677">
      <w:pPr>
        <w:pStyle w:val="TextoNormal"/>
      </w:pPr>
    </w:p>
    <w:p w14:paraId="42A01754" w14:textId="77777777" w:rsidR="009D7677" w:rsidRDefault="009D7677" w:rsidP="009D7677">
      <w:pPr>
        <w:pStyle w:val="TextoNormal"/>
      </w:pPr>
      <w:r>
        <w:t>Y respecto del recurso extraordinario por infracción procesal, el escrito de la recurrente aduce la infracción de preceptos de la Ley de enjuiciamiento civil sobre la prueba de los hechos ante la incomparecencia del demandado, así como también la infracción del derecho a la tutela judicial efectiva, sin sufrir indefensión, del art. 24 CE.</w:t>
      </w:r>
    </w:p>
    <w:p w14:paraId="6496A8DD" w14:textId="77777777" w:rsidR="009D7677" w:rsidRDefault="009D7677" w:rsidP="009D7677">
      <w:pPr>
        <w:pStyle w:val="TextoNormal"/>
      </w:pPr>
    </w:p>
    <w:p w14:paraId="64261765" w14:textId="77777777" w:rsidR="009D7677" w:rsidRDefault="009D7677" w:rsidP="009D7677">
      <w:pPr>
        <w:pStyle w:val="TextoNormal"/>
      </w:pPr>
      <w:r>
        <w:t>j) La Sección de apelación dictó auto el 30 de marzo de 2021 acordando no haber lugar a admitir a trámite los dos recursos interpuestos. El de casación por apreciar la Audiencia que el escrito de interposición ha desplazado el fundamento del recurso al ámbito de la base fáctica de la sentencia, situándose por tanto fuera del que es propio de la casación; mientras que el extraordinario por infracción procesal por la aplicación de lo previsto en la disposición final decimosexta LEC, al haberse inadmitido aquel primero.</w:t>
      </w:r>
    </w:p>
    <w:p w14:paraId="05DEAAD9" w14:textId="77777777" w:rsidR="009D7677" w:rsidRDefault="009D7677" w:rsidP="009D7677">
      <w:pPr>
        <w:pStyle w:val="TextoNormal"/>
      </w:pPr>
    </w:p>
    <w:p w14:paraId="51099DBF" w14:textId="77777777" w:rsidR="009D7677" w:rsidRDefault="009D7677" w:rsidP="009D7677">
      <w:pPr>
        <w:pStyle w:val="TextoNormal"/>
      </w:pPr>
      <w:r>
        <w:t xml:space="preserve">k) Presentado recurso de queja contra el auto de 30 de marzo de 2021, la Sala de lo Civil del Tribunal Supremo dictó auto el 3 de noviembre de 2021 en sentido desestimatorio (recurso de queja núm. 154-2021). Señala para ello la Sala que “[l]os términos en que ha sido formulado el recurso de queja, conlleva examinar el recurso de casación presentado en su día”, lo que determina la causa de inadmisión del art. 483.2.4 LEC, de carencia manifiesta de fundamento: (i) en primer lugar “por cuanto obvia la </w:t>
      </w:r>
      <w:r w:rsidRPr="009D7677">
        <w:rPr>
          <w:i/>
        </w:rPr>
        <w:t>ratio decidendi</w:t>
      </w:r>
      <w:r>
        <w:t xml:space="preserve"> de la sentencia recurrida, que confirma la de instancia”. La </w:t>
      </w:r>
      <w:r w:rsidRPr="009D7677">
        <w:rPr>
          <w:i/>
        </w:rPr>
        <w:t>ratio</w:t>
      </w:r>
      <w:r>
        <w:t xml:space="preserve"> </w:t>
      </w:r>
      <w:r w:rsidRPr="009D7677">
        <w:rPr>
          <w:i/>
        </w:rPr>
        <w:t>decidendi</w:t>
      </w:r>
      <w:r>
        <w:t xml:space="preserve"> es que procede fijar como pensión de alimentos el 10 por 100 de los ingresos mensuales del esposo porque “no consta en las actuaciones elemento alguno que permita entender acreditada cuál es la situación económica del demandado”; (ii) y en segundo lugar, hay carencia manifiesta de fundamento del recurso porque “de acuerdo con la jurisprudencia reiterada de esta sala, no puede ser objeto de recurso de casación la revisión del juicio de proporcionalidad de la pensión alimenticia, “salvo clara vulneración del juicio de proporcionalidad que la parte recurrente no justifica, alterando los parámetros tenidos en cuenta por la sentencia recurrida”. Cita en su apoyo la Sala, sus sentencias de 28 de marzo de 2014 (recurso 2840-2012) y 27 de enero de 2014 (recurso 1712-2012) y el auto de 25 de septiembre de 2019 (recurso 969-2019).</w:t>
      </w:r>
    </w:p>
    <w:p w14:paraId="0151D18D" w14:textId="77777777" w:rsidR="009D7677" w:rsidRDefault="009D7677" w:rsidP="009D7677">
      <w:pPr>
        <w:pStyle w:val="TextoNormal"/>
      </w:pPr>
    </w:p>
    <w:p w14:paraId="52698B6E" w14:textId="5C14BA75" w:rsidR="009D7677" w:rsidRDefault="009D7677" w:rsidP="009D7677">
      <w:pPr>
        <w:pStyle w:val="TextoNormal"/>
      </w:pPr>
      <w:r>
        <w:t>Finalmente, señala el auto de 3 de noviembre de 2021 del Alto Tribunal que la inadmisión del recurso de casación determina igualmente la del recurso extraordinario por infracción procesal, conforme a lo “taxativamente previsto en la disposición final decimosexta, apartado 1, párrafo primero y regla quinta, párrafo segundo, LEC”.</w:t>
      </w:r>
    </w:p>
    <w:p w14:paraId="58D733AA" w14:textId="77777777" w:rsidR="009D7677" w:rsidRDefault="009D7677" w:rsidP="009D7677">
      <w:pPr>
        <w:pStyle w:val="TextoNormal"/>
      </w:pPr>
    </w:p>
    <w:p w14:paraId="094344F1" w14:textId="77777777" w:rsidR="009D7677" w:rsidRDefault="009D7677" w:rsidP="009D7677">
      <w:pPr>
        <w:pStyle w:val="TextoNormal"/>
      </w:pPr>
      <w:r w:rsidRPr="009D7677">
        <w:rPr>
          <w:rStyle w:val="NumeroAFNegritaCaracter"/>
        </w:rPr>
        <w:t>3</w:t>
      </w:r>
      <w:r>
        <w:t xml:space="preserve">. La demanda de amparo alega la infracción por las resoluciones impugnadas, del derecho fundamental a la tutela judicial efectiva sin causar indefensión (art. 24.1 CE), y </w:t>
      </w:r>
      <w:r>
        <w:lastRenderedPageBreak/>
        <w:t>reitera lo ya afirmado en escritos procesales anteriores en el sentido de haberse conculcado también el art. 39 CE y los preceptos del Código civil que regulan el derecho de alimentos en favor de los hijos. Se insiste, así, en que lo resuelto por las sentencias recurridas no tiene en cuenta la necesidad “de los menores” al establecer un porcentaje sobre los ingresos desconocidos del progenitor no custodio, lo que genera inseguridad jurídica para el menor, indefensión e infracción del derecho a su desarrollo personal, consagrado en el referido art. 39 CE.</w:t>
      </w:r>
    </w:p>
    <w:p w14:paraId="6386F53A" w14:textId="77777777" w:rsidR="009D7677" w:rsidRDefault="009D7677" w:rsidP="009D7677">
      <w:pPr>
        <w:pStyle w:val="TextoNormal"/>
      </w:pPr>
    </w:p>
    <w:p w14:paraId="1E9D62D1" w14:textId="77777777" w:rsidR="009D7677" w:rsidRDefault="009D7677" w:rsidP="009D7677">
      <w:pPr>
        <w:pStyle w:val="TextoNormal"/>
      </w:pPr>
      <w:r>
        <w:t>Se aduce el menoscabo del “interés del menor” por cuanto la pensión de alimentos en este caso resulta “prácticamente inviable su determinación y exigibilidad a efectos de ejecución y efectividad” y no se cumple con el “juicio de proporcionalidad que exige el artículo 147 del Código civil y la doctrina del Tribunal Supremo, siempre en interés del menor. Se cumpliría si dicha pensión partiera de una base concreta o un módulo o criterio objetivo a tener en cuenta para la determinación de la pensión. […] Un porcentaje sobre nada es nada en la pensión de alimentos para el menor”. Y de nuevo se citan y transcriben sentencias de las audiencias provinciales, que a su vez se remiten a otras dictadas por la Sala de lo Civil del Tribunal Supremo, sobre la imposición de un “mínimo vital” que el alimentante siempre debe satisfacer.</w:t>
      </w:r>
    </w:p>
    <w:p w14:paraId="5C0900FC" w14:textId="77777777" w:rsidR="009D7677" w:rsidRDefault="009D7677" w:rsidP="009D7677">
      <w:pPr>
        <w:pStyle w:val="TextoNormal"/>
      </w:pPr>
    </w:p>
    <w:p w14:paraId="57534D81" w14:textId="6A39557A" w:rsidR="009D7677" w:rsidRDefault="009D7677" w:rsidP="009D7677">
      <w:pPr>
        <w:pStyle w:val="TextoNormal"/>
      </w:pPr>
      <w:r>
        <w:t>El suplico de la demanda solicita la admisión del recurso de amparo formulado, la declaración de nulidad de “la resolución que se recurre” y que este tribunal “dicte resolución en el sentido de establecer el mínimo vital como obligatorio como cantidad concreta y exigible a la hora de determinar la pensión de alimentos de los hijos menores siempre en beneficio e interés del menor”.</w:t>
      </w:r>
    </w:p>
    <w:p w14:paraId="3CAB711D" w14:textId="77777777" w:rsidR="009D7677" w:rsidRDefault="009D7677" w:rsidP="009D7677">
      <w:pPr>
        <w:pStyle w:val="TextoNormal"/>
      </w:pPr>
    </w:p>
    <w:p w14:paraId="03DA4003" w14:textId="36AFC93B" w:rsidR="009D7677" w:rsidRDefault="009D7677" w:rsidP="009D7677">
      <w:pPr>
        <w:pStyle w:val="TextoNormal"/>
      </w:pPr>
      <w:r w:rsidRPr="009D7677">
        <w:rPr>
          <w:rStyle w:val="NumeroAFNegritaCaracter"/>
        </w:rPr>
        <w:t>4</w:t>
      </w:r>
      <w:r>
        <w:t>. Presentada la demanda de amparo en la fecha que indica el encabezamiento de la presente sentencia, la Secretaría de Justicia de la Sección Primera, Sala Primera, de este Tribunal Constitucional, dictó diligencia de ordenación el 23 de diciembre de 2021 por la que acordó requerir a la procuradora de la parte recurrente para que en el plazo de diez días aportase copia de la sentencia de primera instancia, lo que fue cumplimentado por escrito de dicha representante procesal consignado en el registro de este tribunal el 29 de diciembre de 2021. Por diligencia de la Secretaría de Justicia, de 30 de diciembre de 2021, se tuvo por recibido el escrito y documento adjunto, pasando las actuaciones a la Sección “para su resolución sobre admisión o inadmisión”.</w:t>
      </w:r>
    </w:p>
    <w:p w14:paraId="57FED4BB" w14:textId="77777777" w:rsidR="009D7677" w:rsidRDefault="009D7677" w:rsidP="009D7677">
      <w:pPr>
        <w:pStyle w:val="TextoNormal"/>
      </w:pPr>
    </w:p>
    <w:p w14:paraId="30026BF8" w14:textId="77777777" w:rsidR="009D7677" w:rsidRDefault="009D7677" w:rsidP="009D7677">
      <w:pPr>
        <w:pStyle w:val="TextoNormal"/>
      </w:pPr>
      <w:r w:rsidRPr="009D7677">
        <w:rPr>
          <w:rStyle w:val="NumeroAFNegritaCaracter"/>
        </w:rPr>
        <w:t>5</w:t>
      </w:r>
      <w:r>
        <w:t>. La Sección Primera de este tribunal dictó providencia el 24 de octubre de 2022 por la que acordó admitir a trámite el recurso, “apreciando que concurre en el mismo una especial trascendencia constitucional [art. 50.1 Ley Orgánica del Tribunal Constitucional (LOTC)] porque el recurso plantea un problema o afecta a una faceta de un derecho fundamental sobre el que no hay doctrina de este tribunal [STC 155/2009, FJ 2 a)]”.</w:t>
      </w:r>
    </w:p>
    <w:p w14:paraId="385C8060" w14:textId="77777777" w:rsidR="009D7677" w:rsidRDefault="009D7677" w:rsidP="009D7677">
      <w:pPr>
        <w:pStyle w:val="TextoNormal"/>
      </w:pPr>
    </w:p>
    <w:p w14:paraId="7195FF00" w14:textId="632FB912" w:rsidR="009D7677" w:rsidRDefault="009D7677" w:rsidP="009D7677">
      <w:pPr>
        <w:pStyle w:val="TextoNormal"/>
      </w:pPr>
      <w:r>
        <w:t>En la misma resolución se acordó también dirigir atenta comunicación a la Sala de lo Civil del Tribunal Supremo, a la Sección Vigesimocuarta de la Audiencia Provincial de Madrid, y al Juzgado de Primera Instancia e Instrucción núm. 3 de Getafe, a fin de que en un plazo no superior a diez días remitieran cada uno, respectivamente, certificación o fotocopia adverada de las actuaciones del recurso de queja núm. 154-2021, del recurso de apelación núm. 963-2019, y del procedimiento de divorcio contencioso núm. 146-2015. Debiendo el juzgado proceder además a emplazar en el plazo de diez días a quienes hubie</w:t>
      </w:r>
      <w:r>
        <w:lastRenderedPageBreak/>
        <w:t>ran sido parte en el procedimiento referenciado, excepto a la parte recurrente en amparo, por si quisiesen comparecer en el presente proceso constitucional.</w:t>
      </w:r>
    </w:p>
    <w:p w14:paraId="65B84851" w14:textId="77777777" w:rsidR="009D7677" w:rsidRDefault="009D7677" w:rsidP="009D7677">
      <w:pPr>
        <w:pStyle w:val="TextoNormal"/>
      </w:pPr>
    </w:p>
    <w:p w14:paraId="74B24CCE" w14:textId="77777777" w:rsidR="009D7677" w:rsidRDefault="009D7677" w:rsidP="009D7677">
      <w:pPr>
        <w:pStyle w:val="TextoNormal"/>
      </w:pPr>
      <w:r w:rsidRPr="009D7677">
        <w:rPr>
          <w:rStyle w:val="NumeroAFNegritaCaracter"/>
        </w:rPr>
        <w:t>6</w:t>
      </w:r>
      <w:r>
        <w:t>. En virtud de diligencia de ordenación de la Secretaría de Justicia de la Sala Primera de este tribunal de 20 de enero de 2023, se tuvieron por recibidos los testimonios de las actuaciones remitidos por los órganos judiciales requeridos, así como un oficio del juzgado de primera instancia (fechado el 11 de enero de 2023) participando a este Tribunal Constitucional que no se había emplazado al demandado don Julio Donizete de Lima, al estar en rebeldía. Asimismo, la diligencia de ordenación acordó dar vista de las actuaciones a las partes personadas y al Ministerio Fiscal, por plazo común de veinte días, a fin de que pudieran presentar las alegaciones que estimasen pertinentes conforme con lo previsto en el art. 52 LOTC.</w:t>
      </w:r>
    </w:p>
    <w:p w14:paraId="6FBCA836" w14:textId="77777777" w:rsidR="009D7677" w:rsidRDefault="009D7677" w:rsidP="009D7677">
      <w:pPr>
        <w:pStyle w:val="TextoNormal"/>
      </w:pPr>
    </w:p>
    <w:p w14:paraId="4E32151D" w14:textId="6515442C" w:rsidR="009D7677" w:rsidRDefault="009D7677" w:rsidP="009D7677">
      <w:pPr>
        <w:pStyle w:val="TextoNormal"/>
      </w:pPr>
      <w:r>
        <w:t>Finalmente, en la mencionada diligencia de ordenación se hizo constar que: “[e]n virtud de lo acordado por el Pleno del Tribunal Constitucional del día 17 de enero de 2023, publicado en el “BOE” de 19 de enero de 2023, el presente recurso de amparo ha sido turnado a la Sección Segunda de la Sala Primera del Tribunal Constitucional, lo que se pone en conocimiento de las partes y el Ministerio Fiscal a los efectos oportunos”.</w:t>
      </w:r>
    </w:p>
    <w:p w14:paraId="25F66721" w14:textId="77777777" w:rsidR="009D7677" w:rsidRDefault="009D7677" w:rsidP="009D7677">
      <w:pPr>
        <w:pStyle w:val="TextoNormal"/>
      </w:pPr>
    </w:p>
    <w:p w14:paraId="670EFC84" w14:textId="77777777" w:rsidR="009D7677" w:rsidRDefault="009D7677" w:rsidP="009D7677">
      <w:pPr>
        <w:pStyle w:val="TextoNormal"/>
      </w:pPr>
      <w:r w:rsidRPr="009D7677">
        <w:rPr>
          <w:rStyle w:val="NumeroAFNegritaCaracter"/>
        </w:rPr>
        <w:t>7</w:t>
      </w:r>
      <w:r>
        <w:t>. Con fecha 17 de febrero de 2023 el fiscal ante este Tribunal Constitucional presentó su escrito de alegaciones en el que interesó que se dictase sentencia otorgando el amparo a la recurrente, declarando haberse vulnerado su derecho a la tutela judicial efectiva sin indefensión del art. 24.1 CE, con reconocimiento de tal derecho; la nulidad de las sentencias y autos impugnados, y retrotraer las actuaciones “al momento inmediatamente anterior al pronunciamiento de la sentencia dictada por el Juzgado de Primera Instancia e Instrucción núm. 3 de Getafe, divorcio contencioso núm.146-2015, para que el órgano judicial dicte una nueva respetuosa con el derecho fundamental vulnerado”.</w:t>
      </w:r>
    </w:p>
    <w:p w14:paraId="4DF20873" w14:textId="77777777" w:rsidR="009D7677" w:rsidRDefault="009D7677" w:rsidP="009D7677">
      <w:pPr>
        <w:pStyle w:val="TextoNormal"/>
      </w:pPr>
    </w:p>
    <w:p w14:paraId="2DC8CB42" w14:textId="77777777" w:rsidR="009D7677" w:rsidRDefault="009D7677" w:rsidP="009D7677">
      <w:pPr>
        <w:pStyle w:val="TextoNormal"/>
      </w:pPr>
      <w:r>
        <w:t>a) Luego de hacer un resumen de los antecedentes del caso en la vía judicial previa, el contenido de las resoluciones dictadas y el hecho de la formulación del presente recurso de amparo y su admisión a trámite por providencia de este tribunal, pasa el escrito a referirse a la fundamentación jurídica. Como primer punto, el fiscal resume las quejas de la demanda y se pronuncia sobre la concurrencia de los presupuestos procesales para la viabilidad del recurso, argumentando que se cumplen todos (legitimación activa, correcto agotamiento de la vía judicial previa, denuncia temporánea de la vulneración de un derecho fundamental, y la presentación del escrito de demanda en el plazo legal de treinta días). Precisa el fiscal que en el recurso se impugnan tanto las sentencias dictadas por el Juzgado de Primera Instancia e Instrucción núm. 3 de Getafe y la Sección Vigesimocuarta de la Audiencia Provincial de Madrid, como el auto de esta última inadmitiendo los recursos de casación y extraordinario por infracción procesal interpuestos por la recurrente, y el auto de la Sala de lo Civil del Tribunal Supremo que desestimó el recurso de queja presentado contra el anterior auto.</w:t>
      </w:r>
    </w:p>
    <w:p w14:paraId="77E950C2" w14:textId="77777777" w:rsidR="009D7677" w:rsidRDefault="009D7677" w:rsidP="009D7677">
      <w:pPr>
        <w:pStyle w:val="TextoNormal"/>
      </w:pPr>
    </w:p>
    <w:p w14:paraId="14FBAF11" w14:textId="77777777" w:rsidR="009D7677" w:rsidRDefault="009D7677" w:rsidP="009D7677">
      <w:pPr>
        <w:pStyle w:val="TextoNormal"/>
      </w:pPr>
      <w:r>
        <w:t xml:space="preserve">b) En orden al examen adecuado de la demanda, el fiscal identifica como normas aplicables: el art. 39 apartados 2 y 4 CE; el art. 3.1 de la Convención sobre los derechos del niño de 20 de noviembre de 1989; el art. 2, apartados 1 y 2 de la Ley Orgánica 1/1996, de 15 de enero, de protección jurídica del menor —respecto al interés superior del menor—; y los arts. 90 a 93, 103, 142, 154 y 158 CC sobre la naturaleza jurídica, presupuestos y </w:t>
      </w:r>
      <w:r>
        <w:lastRenderedPageBreak/>
        <w:t>contenido del derecho de alimentos de los hijos por sus progenitores, así como el art. 146 CC sobre la determinación judicial de dicha prestación con arreglo al principio de proporcionalidad. Como siguiente punto a considerar, el escrito de alegaciones ofrece reseña de la doctrina constitucional recaída con relación al interés superior del menor, con cita de las SSTC 127/2013, de 3 de junio; 19/2012, de 15 de febrero, FJ 5, y la más reciente 178/2020, de 14 de diciembre, haciendo extensa reproducción del fundamento jurídico 4 de esta última. También cita algunos pronunciamientos de la Sala de lo Civil del Tribunal Supremo, como la STS 568/2015, de 2 de marzo, sobre la fijación de un mínimo vital a favor de los hijos menores, si bien el fiscal advierte que “el supuesto de hecho es distinto ya que la sentencia recurrida suspendió la obligación del deber de prestar alimentos en atención a la situación de completa indigencia del alimentante”, lo que no está acreditado en el presente caso. También menciona las SSTS 740/2014, de 16 de diciembre (recurso 2419-2013) y 165/2014, de 28 de marzo, sobre la exigencia de cumplir con el juicio de proporcionalidad del art. 146 CC; y las SSTS 740/2014, de 16 de diciembre; 192/2022, de 7 de marzo, y 30/2019, de 17 de enero —en ese orden— sobre la posibilidad solo limitada de un control en casación de las decisiones adoptadas por los tribunales de instancia al fijar la cuantía de la pensión de alimentos. Finaliza este apartado citando la STS 625/2022, de 26 de septiembre; SSTC 178/2020 antes citada, FJ 3, y 81/2021, de 19 de abril, FJ 2 —en ese orden—; todas ellas sobre el interés superior del menor; así como la sentencia de la Audiencia Provincial de Cáceres, de 21 de enero de 2016, que expresa su criterio contrario a la fijación de un porcentaje sobre los ingresos del progenitor demandado para determinar la cuantía de alimentos a hijos menores.</w:t>
      </w:r>
    </w:p>
    <w:p w14:paraId="0DC7E31F" w14:textId="77777777" w:rsidR="009D7677" w:rsidRDefault="009D7677" w:rsidP="009D7677">
      <w:pPr>
        <w:pStyle w:val="TextoNormal"/>
      </w:pPr>
    </w:p>
    <w:p w14:paraId="56836DD3" w14:textId="77777777" w:rsidR="009D7677" w:rsidRDefault="009D7677" w:rsidP="009D7677">
      <w:pPr>
        <w:pStyle w:val="TextoNormal"/>
      </w:pPr>
      <w:r>
        <w:t>c) Sentado todo lo anterior, entra el escrito del fiscal a aplicar la doctrina reseñada al presente recurso, a partir de las razones esgrimidas por las resoluciones impugnadas para fijar la pensión de alimentos del hijo menor de la recurrente (juzgado), o revisar dicho pronunciamiento (audiencia provincial):</w:t>
      </w:r>
    </w:p>
    <w:p w14:paraId="5AF4C9A0" w14:textId="77777777" w:rsidR="009D7677" w:rsidRDefault="009D7677" w:rsidP="009D7677">
      <w:pPr>
        <w:pStyle w:val="TextoNormal"/>
      </w:pPr>
    </w:p>
    <w:p w14:paraId="59B4002A" w14:textId="77777777" w:rsidR="009D7677" w:rsidRDefault="009D7677" w:rsidP="009D7677">
      <w:pPr>
        <w:pStyle w:val="TextoNormal"/>
      </w:pPr>
      <w:r>
        <w:t>(i) De la dictada por el juzgado, dice el ministerio público que: “[n]o se realiza en la sentencia ninguna motivación específica sobre el interés superior del menor en este caso y sobre cuál es la mejor forma de protegerlo y ante las distintas alternativas que brinda la jurisprudencia”, reiterando que la sentencia del Tribunal Supremo que invoca el juzgado no contempla un supuesto de hecho similar al que aquí nos ocupa.</w:t>
      </w:r>
    </w:p>
    <w:p w14:paraId="1E57D968" w14:textId="77777777" w:rsidR="009D7677" w:rsidRDefault="009D7677" w:rsidP="009D7677">
      <w:pPr>
        <w:pStyle w:val="TextoNormal"/>
      </w:pPr>
    </w:p>
    <w:p w14:paraId="672F4211" w14:textId="77777777" w:rsidR="009D7677" w:rsidRDefault="009D7677" w:rsidP="009D7677">
      <w:pPr>
        <w:pStyle w:val="TextoNormal"/>
      </w:pPr>
      <w:r>
        <w:t xml:space="preserve">Entiende que “la resolución judicial, en tal extremo inmotivada, señala un sistema de contribución del padre al sostenimiento del hijo menor consistente en un porcentaje del 10 por 100 de los ingresos mensuales que se acrediten[,] lo que en la práctica supone no fijar una contribución por mínima que sea del padre a favor del hijo menor, en atención a la obligación legal que pesa sobre el padre, que está basada, como nos recuerda la jurisprudencia, en un principio de solidaridad familiar y que tiene un fundamento constitucional en el artículo 39.1 y 3 CE, y que es de la de mayor contenido ético del ordenamiento jurídico”. Reprocha al juzgado que no se haya realizado “ninguna investigación patrimonial sobre el progenitor que permitiera al menos indiciariamente conocer su capacidad económica y determinar su contribución al sostenimiento de las cargas del matrimonio y en particular de su hijo menor, todo ello cuando en los antecedentes de la sentencia se recoge que hasta el momento previo a la demanda de divorcio los ingresos económicos de la familia provenían del trabajo del padre, que ha trabajado en España en distintas empresa[s] y </w:t>
      </w:r>
      <w:r>
        <w:lastRenderedPageBreak/>
        <w:t>la madre ha trabajado de forma esporádica limpiando casas, o asistiendo niños y enfermos, encontrándose actualmente en situación de desempleo”.</w:t>
      </w:r>
    </w:p>
    <w:p w14:paraId="6324B701" w14:textId="77777777" w:rsidR="009D7677" w:rsidRDefault="009D7677" w:rsidP="009D7677">
      <w:pPr>
        <w:pStyle w:val="TextoNormal"/>
      </w:pPr>
    </w:p>
    <w:p w14:paraId="50791C01" w14:textId="77777777" w:rsidR="009D7677" w:rsidRDefault="009D7677" w:rsidP="009D7677">
      <w:pPr>
        <w:pStyle w:val="TextoNormal"/>
      </w:pPr>
      <w:r>
        <w:t>(ii) Por lo que atañe a la sentencia de apelación, dice el fiscal que “adolece de cualquier consideración sobre el interés superior del menor beneficiario de la prestación económica que debe realizar el progenitor, se limita a desestimar el recurso de apelación y confirmar la sentencia” con base en la escueta argumentación que dicha sentencia trae y que el escrito del fiscal reproduce.</w:t>
      </w:r>
    </w:p>
    <w:p w14:paraId="58C481BE" w14:textId="77777777" w:rsidR="009D7677" w:rsidRDefault="009D7677" w:rsidP="009D7677">
      <w:pPr>
        <w:pStyle w:val="TextoNormal"/>
      </w:pPr>
    </w:p>
    <w:p w14:paraId="139995F5" w14:textId="77777777" w:rsidR="009D7677" w:rsidRDefault="009D7677" w:rsidP="009D7677">
      <w:pPr>
        <w:pStyle w:val="TextoNormal"/>
      </w:pPr>
      <w:r>
        <w:t>(iii) Y en cuanto al auto de la Sala de lo Civil del Tribunal Supremo que desestimó el recurso de queja, dice el fiscal que la Sala examina el recurso de casación presentado por la recurrente, y pese a los términos del motivo de interés casacional que lo sustentaba, “no se aborda en la resolución judicial cuál es el interés superior del menor en la determinación de la contribución económica del padre y como se debe hacer efectivo y salvaguardar el mismo”.</w:t>
      </w:r>
    </w:p>
    <w:p w14:paraId="42184E5C" w14:textId="77777777" w:rsidR="009D7677" w:rsidRDefault="009D7677" w:rsidP="009D7677">
      <w:pPr>
        <w:pStyle w:val="TextoNormal"/>
      </w:pPr>
    </w:p>
    <w:p w14:paraId="0B41654A" w14:textId="77777777" w:rsidR="009D7677" w:rsidRDefault="009D7677" w:rsidP="009D7677">
      <w:pPr>
        <w:pStyle w:val="TextoNormal"/>
      </w:pPr>
      <w:r>
        <w:t xml:space="preserve">“En resumen, las resoluciones judiciales en todas sus instancias no han realizado una ponderación del interés superior del menor beneficiario de la contribución económica que debe satisfacer el progenitor para cubrir sus necesidades básicas, […] no han considerado tal interés de un modo preferente como norma de orden público, no ha constituido la consideración primordial del interés del menor la </w:t>
      </w:r>
      <w:r w:rsidRPr="009D7677">
        <w:rPr>
          <w:i/>
        </w:rPr>
        <w:t>ratio essendi</w:t>
      </w:r>
      <w:r>
        <w:t xml:space="preserve"> de las mismas. […], las resoluciones judiciales impugnadas no satisfacen el canon de motivación en relación con el interés superior del menor, con la consiguiente vulneración del derecho a la tutela judicial del art. 24.1 CE de la demandante”.</w:t>
      </w:r>
    </w:p>
    <w:p w14:paraId="74A9DE52" w14:textId="77777777" w:rsidR="009D7677" w:rsidRDefault="009D7677" w:rsidP="009D7677">
      <w:pPr>
        <w:pStyle w:val="TextoNormal"/>
      </w:pPr>
    </w:p>
    <w:p w14:paraId="2441CBF8" w14:textId="5D8E9762" w:rsidR="009D7677" w:rsidRDefault="009D7677" w:rsidP="009D7677">
      <w:pPr>
        <w:pStyle w:val="TextoNormal"/>
      </w:pPr>
      <w:r>
        <w:t>d) Finaliza sus alegaciones el fiscal ante este tribunal advirtiendo que, en todo caso, “no es atendible la pretensión de la demandante de que el Tribunal dicte resolución en el sentido de establecer el mínimo vital como obligatorio como cantidad concreta y exigible a la hora de determinar la pensión de alimentos de los hijos menores siempre en beneficio e interés del menor, ya que tal pronunciamiento es propio de la jurisdicción ordinaria, y excede del contenido de las sentencias estimatorias del recurso de amparo como señala el art. 55 LOTC”.</w:t>
      </w:r>
    </w:p>
    <w:p w14:paraId="72452248" w14:textId="77777777" w:rsidR="009D7677" w:rsidRDefault="009D7677" w:rsidP="009D7677">
      <w:pPr>
        <w:pStyle w:val="TextoNormal"/>
      </w:pPr>
    </w:p>
    <w:p w14:paraId="1BA6A8F7" w14:textId="75444504" w:rsidR="009D7677" w:rsidRDefault="009D7677" w:rsidP="009D7677">
      <w:pPr>
        <w:pStyle w:val="TextoNormal"/>
      </w:pPr>
      <w:r w:rsidRPr="009D7677">
        <w:rPr>
          <w:rStyle w:val="NumeroAFNegritaCaracter"/>
        </w:rPr>
        <w:t>8</w:t>
      </w:r>
      <w:r>
        <w:t>. Por diligencia de la Secretaría de Justicia de 2 de marzo de 2023 se hizo constar: haber recibido el escrito de alegaciones del Ministerio Fiscal, “no habiéndose recibido escrito de la procuradora” de la recurrente, quedando el presente recurso de amparo pendiente de deliberación cuando por turno le correspondiera.</w:t>
      </w:r>
    </w:p>
    <w:p w14:paraId="69B3910D" w14:textId="77777777" w:rsidR="009D7677" w:rsidRDefault="009D7677" w:rsidP="009D7677">
      <w:pPr>
        <w:pStyle w:val="TextoNormal"/>
      </w:pPr>
    </w:p>
    <w:p w14:paraId="6DFB0557" w14:textId="77777777" w:rsidR="009D7677" w:rsidRDefault="009D7677" w:rsidP="009D7677">
      <w:pPr>
        <w:pStyle w:val="TextoNormal"/>
      </w:pPr>
      <w:r w:rsidRPr="009D7677">
        <w:rPr>
          <w:rStyle w:val="NumeroAFNegritaCaracter"/>
        </w:rPr>
        <w:t>9</w:t>
      </w:r>
      <w:r>
        <w:t>. Con fecha 22 de septiembre de 2023 la Secretaría de Justicia de la Sección Segunda de este tribunal acordó requerir al Juzgado de Primera Instancia e Instrucción núm. 3 de Getafe, a fin de que en relación con el procedimiento de divorcio contencioso núm. 146-2015 se emitiera certificación por el letrado de la administración de justicia sobre los siguientes puntos:</w:t>
      </w:r>
    </w:p>
    <w:p w14:paraId="34E2356F" w14:textId="77777777" w:rsidR="009D7677" w:rsidRDefault="009D7677" w:rsidP="009D7677">
      <w:pPr>
        <w:pStyle w:val="TextoNormal"/>
      </w:pPr>
    </w:p>
    <w:p w14:paraId="55277A32" w14:textId="77777777" w:rsidR="009D7677" w:rsidRDefault="009D7677" w:rsidP="009D7677">
      <w:pPr>
        <w:pStyle w:val="TextoNormal"/>
      </w:pPr>
      <w:r>
        <w:t xml:space="preserve">“1º) Si con posterioridad a la sentencia de 23 de noviembre de 2015 se han dictado nuevas resoluciones modificando el criterio señalado en el apartado 2 del fallo de dicha sentencia, para la cuantificación de la pensión de alimentos en favor del menor don Joao </w:t>
      </w:r>
      <w:r>
        <w:lastRenderedPageBreak/>
        <w:t>Víctor Ferreira de Lima, que debía abonar su padre don Julio Donizete de Lima. En caso afirmativo se aporte la resolución o resoluciones dictadas en tal sentido.</w:t>
      </w:r>
    </w:p>
    <w:p w14:paraId="7CB743DC" w14:textId="77777777" w:rsidR="009D7677" w:rsidRDefault="009D7677" w:rsidP="009D7677">
      <w:pPr>
        <w:pStyle w:val="TextoNormal"/>
      </w:pPr>
    </w:p>
    <w:p w14:paraId="4B5F7057" w14:textId="77777777" w:rsidR="009D7677" w:rsidRDefault="009D7677" w:rsidP="009D7677">
      <w:pPr>
        <w:pStyle w:val="TextoNormal"/>
      </w:pPr>
      <w:r>
        <w:t>2º) Se informe sobre el estado actual de la deuda por alimentos del demandado; si ya ha sido satisfecha total o parcialmente, y en tal caso cómo se ha cuantificado el 10 por 100 de los ingresos mensuales a que se refiere el apartado 2 del fallo de la sentencia citada”.</w:t>
      </w:r>
    </w:p>
    <w:p w14:paraId="00DBB6D0" w14:textId="77777777" w:rsidR="009D7677" w:rsidRDefault="009D7677" w:rsidP="009D7677">
      <w:pPr>
        <w:pStyle w:val="TextoNormal"/>
      </w:pPr>
    </w:p>
    <w:p w14:paraId="26F89154" w14:textId="77777777" w:rsidR="009D7677" w:rsidRDefault="009D7677" w:rsidP="009D7677">
      <w:pPr>
        <w:pStyle w:val="TextoNormal"/>
      </w:pPr>
      <w:r>
        <w:t>Como resultado de dicho requerimiento:</w:t>
      </w:r>
    </w:p>
    <w:p w14:paraId="01C974DB" w14:textId="77777777" w:rsidR="009D7677" w:rsidRDefault="009D7677" w:rsidP="009D7677">
      <w:pPr>
        <w:pStyle w:val="TextoNormal"/>
      </w:pPr>
    </w:p>
    <w:p w14:paraId="14B97CE0" w14:textId="77777777" w:rsidR="009D7677" w:rsidRDefault="009D7677" w:rsidP="009D7677">
      <w:pPr>
        <w:pStyle w:val="TextoNormal"/>
      </w:pPr>
      <w:r>
        <w:t xml:space="preserve">(i) El letrado de la administración de justicia del juzgado </w:t>
      </w:r>
      <w:r w:rsidRPr="009D7677">
        <w:rPr>
          <w:i/>
        </w:rPr>
        <w:t>a quo</w:t>
      </w:r>
      <w:r>
        <w:t xml:space="preserve"> remitió un oficio a este tribunal fechado el día 23 de octubre de 2023, el cual tuvo entrada en nuestro registro general el 31 de octubre de 2023, con el siguiente texto:</w:t>
      </w:r>
    </w:p>
    <w:p w14:paraId="156D53E9" w14:textId="77777777" w:rsidR="009D7677" w:rsidRDefault="009D7677" w:rsidP="009D7677">
      <w:pPr>
        <w:pStyle w:val="TextoNormal"/>
      </w:pPr>
    </w:p>
    <w:p w14:paraId="151864E5" w14:textId="77777777" w:rsidR="009D7677" w:rsidRDefault="009D7677" w:rsidP="009D7677">
      <w:pPr>
        <w:pStyle w:val="TextoNormal"/>
      </w:pPr>
      <w:r>
        <w:t>“En virtud de lo acordado en el procedimiento de referencia y en contestación a su oficio de 29 de septiembre de 2023 en recurso de amparo núm. 8080-2021, se hace constar que con posterioridad a la sentencia de 23 de noviembre de 2015 no consta resolución alguna modificando el criterio señalado en el apartado 2 del fallo de dicha sentencia, ya que el recurso de apelación fue desestimado quedando la resolución del mismo, unida a autos.</w:t>
      </w:r>
    </w:p>
    <w:p w14:paraId="23AAEB59" w14:textId="77777777" w:rsidR="009D7677" w:rsidRDefault="009D7677" w:rsidP="009D7677">
      <w:pPr>
        <w:pStyle w:val="TextoNormal"/>
      </w:pPr>
    </w:p>
    <w:p w14:paraId="48F266E0" w14:textId="77777777" w:rsidR="009D7677" w:rsidRDefault="009D7677" w:rsidP="009D7677">
      <w:pPr>
        <w:pStyle w:val="TextoNormal"/>
      </w:pPr>
      <w:r>
        <w:t>En referencia a la información solicitada sobre el estado actual de la deuda por alimentos del demandado, no consta en la cuenta de consignación de este Juzgado, ningún mandamiento de pago”.</w:t>
      </w:r>
    </w:p>
    <w:p w14:paraId="34EF9F18" w14:textId="77777777" w:rsidR="009D7677" w:rsidRDefault="009D7677" w:rsidP="009D7677">
      <w:pPr>
        <w:pStyle w:val="TextoNormal"/>
      </w:pPr>
    </w:p>
    <w:p w14:paraId="25119278" w14:textId="77777777" w:rsidR="009D7677" w:rsidRDefault="009D7677" w:rsidP="009D7677">
      <w:pPr>
        <w:pStyle w:val="TextoNormal"/>
      </w:pPr>
      <w:r>
        <w:t>(ii) La Secretaría de Justicia de la Sección Segunda de este tribunal dictó diligencia de ordenación el 2 de noviembre de 2023, teniendo por recibida la certificación del juzgado y concediendo por ello un plazo de tres días a las partes “a fin de que aleguen lo que a su derecho convenga”.</w:t>
      </w:r>
    </w:p>
    <w:p w14:paraId="07E99501" w14:textId="77777777" w:rsidR="009D7677" w:rsidRDefault="009D7677" w:rsidP="009D7677">
      <w:pPr>
        <w:pStyle w:val="TextoNormal"/>
      </w:pPr>
    </w:p>
    <w:p w14:paraId="6C7933B6" w14:textId="77777777" w:rsidR="009D7677" w:rsidRDefault="009D7677" w:rsidP="009D7677">
      <w:pPr>
        <w:pStyle w:val="TextoNormal"/>
      </w:pPr>
      <w:r>
        <w:t>(iii) El fiscal ante este tribunal presentó escrito el día 8 de noviembre de 2023, manifestando que “se da por enterado de la documentación enviada del Juzgado de Primera Instancia núm. 3 de Getafe y mantiene las alegaciones presentadas el día 17 de febrero de 2023”.</w:t>
      </w:r>
    </w:p>
    <w:p w14:paraId="219BE667" w14:textId="77777777" w:rsidR="009D7677" w:rsidRDefault="009D7677" w:rsidP="009D7677">
      <w:pPr>
        <w:pStyle w:val="TextoNormal"/>
      </w:pPr>
    </w:p>
    <w:p w14:paraId="6685B96A" w14:textId="4BD6E43F" w:rsidR="009D7677" w:rsidRDefault="009D7677" w:rsidP="009D7677">
      <w:pPr>
        <w:pStyle w:val="TextoNormal"/>
      </w:pPr>
      <w:r>
        <w:t>(iv) La Secretaría de Justicia de este tribunal dictó diligencia el día 10 de noviembre de 2023 para hacer constar la recepción del escrito del Ministerio Fiscal, “sin que se haya recibido escrito alguno de la procuradora” de la recurrente “en el plazo concedido por resolución que antecede”; de lo que pasa a dar cuenta.</w:t>
      </w:r>
    </w:p>
    <w:p w14:paraId="0F6FF590" w14:textId="77777777" w:rsidR="009D7677" w:rsidRDefault="009D7677" w:rsidP="009D7677">
      <w:pPr>
        <w:pStyle w:val="TextoNormal"/>
      </w:pPr>
    </w:p>
    <w:p w14:paraId="225837DF" w14:textId="2D642A59" w:rsidR="009D7677" w:rsidRDefault="009D7677" w:rsidP="009D7677">
      <w:pPr>
        <w:pStyle w:val="TextoNormal"/>
      </w:pPr>
      <w:r w:rsidRPr="009D7677">
        <w:rPr>
          <w:rStyle w:val="NumeroAFNegritaCaracter"/>
        </w:rPr>
        <w:t>10</w:t>
      </w:r>
      <w:r>
        <w:t>. Mediante providencia de 11 de enero de 2024, se señaló para deliberación y votación de la presente sentencia el día 15 del mismo mes y año.</w:t>
      </w:r>
    </w:p>
    <w:p w14:paraId="4163EA6B" w14:textId="77777777" w:rsidR="009D7677" w:rsidRDefault="009D7677" w:rsidP="009D7677">
      <w:pPr>
        <w:pStyle w:val="TextoNormal"/>
      </w:pPr>
    </w:p>
    <w:p w14:paraId="7D1598AF" w14:textId="77777777" w:rsidR="009D7677" w:rsidRDefault="009D7677" w:rsidP="009D7677">
      <w:pPr>
        <w:pStyle w:val="TextoNormalNegritaCentrado"/>
        <w:keepNext/>
      </w:pPr>
      <w:r>
        <w:t>II. Fundamentos jurídicos</w:t>
      </w:r>
    </w:p>
    <w:p w14:paraId="6ED17283" w14:textId="7422FB74" w:rsidR="009D7677" w:rsidRDefault="009D7677" w:rsidP="009D7677">
      <w:pPr>
        <w:pStyle w:val="TextoNormalNegritaCentrado"/>
        <w:keepNext/>
      </w:pPr>
    </w:p>
    <w:p w14:paraId="78B66366" w14:textId="77777777" w:rsidR="009D7677" w:rsidRDefault="009D7677" w:rsidP="009D7677">
      <w:pPr>
        <w:pStyle w:val="TextoNormal"/>
      </w:pPr>
      <w:r w:rsidRPr="009D7677">
        <w:rPr>
          <w:rStyle w:val="NumeroAFNegritaCaracter"/>
        </w:rPr>
        <w:t>1</w:t>
      </w:r>
      <w:r>
        <w:t xml:space="preserve">. </w:t>
      </w:r>
      <w:r w:rsidRPr="009D7677">
        <w:rPr>
          <w:i/>
        </w:rPr>
        <w:t>Objeto del recurso y precisiones previas al examen del fondo</w:t>
      </w:r>
    </w:p>
    <w:p w14:paraId="7116A5F6" w14:textId="77777777" w:rsidR="009D7677" w:rsidRDefault="009D7677" w:rsidP="009D7677">
      <w:pPr>
        <w:pStyle w:val="TextoNormal"/>
      </w:pPr>
    </w:p>
    <w:p w14:paraId="22320158" w14:textId="77777777" w:rsidR="009D7677" w:rsidRDefault="009D7677" w:rsidP="009D7677">
      <w:pPr>
        <w:pStyle w:val="TextoNormal"/>
      </w:pPr>
      <w:r>
        <w:lastRenderedPageBreak/>
        <w:t>a) El presente recurso de amparo se interpone contra la sentencia del Juzgado de Primera Instancia e Instrucción núm. 3 de Getafe que declaró la disolución del matrimonio por divorcio de la aquí demandante de amparo respecto de su cónyuge don Julio Donizete de Lima, y en su consecuencia impuso una serie de medidas de orden familiar de entre las cuales y en lo que importa a este proceso, se incluyó la de fijar que ambos progenitores contribuirían al levantamiento de las cargas familiares del hijo entonces menor don Joao Víctor, “abonando el esposo como alimentos de su hijo el 10 por 100 de sus ingresos mensuales antes de los cinco primeros días de cada mes”, con actualización anual posterior conforme al índice de precios al consumo; y “computándose como contribución de la esposa al levantamiento de las cargas familiares su dedicación al cuidado del hijo común”.</w:t>
      </w:r>
    </w:p>
    <w:p w14:paraId="53952944" w14:textId="77777777" w:rsidR="009D7677" w:rsidRDefault="009D7677" w:rsidP="009D7677">
      <w:pPr>
        <w:pStyle w:val="TextoNormal"/>
      </w:pPr>
    </w:p>
    <w:p w14:paraId="5D548F7B" w14:textId="77777777" w:rsidR="009D7677" w:rsidRDefault="009D7677" w:rsidP="009D7677">
      <w:pPr>
        <w:pStyle w:val="TextoNormal"/>
      </w:pPr>
      <w:r>
        <w:t>Es en concreto el pronunciamiento de la cuantía de la pensión de alimentos del padre demandado, fijada en un 10 por 100 de sus ingresos mensuales sin ninguna otra precisión sobre su cuantificación, el que la aquí recurrente considera, con los argumentos que ha tenido a bien verter en su escrito de demanda y de los que se ha hecho resumen en el antecedente 3 de esta sentencia, que resulta contrario al derecho a la tutela judicial efectiva (art. 24.1 CE): (i) por no haberse resuelto esta medida con arreglo al principio de proporcionalidad que en materia de alimentos impone el art. 146 CC, y en su interpretación y aplicación la jurisprudencia del Tribunal Supremo y la de las audiencias provinciales; y (ii) porque aquella misma inconcreción en cuanto a la suma de la cantidad mensual a la que está obligado a abonar el demandado rebelde, trae consigo también la imposibilidad material de poder ejecutar la sentencia. Conectado con aquel derecho fundamental se denuncia también como conculcado el principio de seguridad jurídica del art. 9.3 CE, al no quedar determinado el importe efectivo de la pensión, ya que se desconocen cuáles son los ingresos que pueda tener el demandado, quien fue declarado en rebeldía y no ha comparecido en ningún grado jurisdiccional de la causa.</w:t>
      </w:r>
    </w:p>
    <w:p w14:paraId="01F42089" w14:textId="77777777" w:rsidR="009D7677" w:rsidRDefault="009D7677" w:rsidP="009D7677">
      <w:pPr>
        <w:pStyle w:val="TextoNormal"/>
      </w:pPr>
    </w:p>
    <w:p w14:paraId="1C405A83" w14:textId="77777777" w:rsidR="009D7677" w:rsidRDefault="009D7677" w:rsidP="009D7677">
      <w:pPr>
        <w:pStyle w:val="TextoNormal"/>
      </w:pPr>
      <w:r>
        <w:t>La demanda también se dirige contra la sentencia de la Sección Vigesimocuarta de la Audiencia Provincial de Madrid que desestimó el recurso de apelación promovido por la aquí recurrente, confirmando la sentencia de primera instancia.</w:t>
      </w:r>
    </w:p>
    <w:p w14:paraId="18FA8DA3" w14:textId="77777777" w:rsidR="009D7677" w:rsidRDefault="009D7677" w:rsidP="009D7677">
      <w:pPr>
        <w:pStyle w:val="TextoNormal"/>
      </w:pPr>
    </w:p>
    <w:p w14:paraId="353EA069" w14:textId="77777777" w:rsidR="009D7677" w:rsidRDefault="009D7677" w:rsidP="009D7677">
      <w:pPr>
        <w:pStyle w:val="TextoNormal"/>
      </w:pPr>
      <w:r>
        <w:t xml:space="preserve">El fiscal ante este tribunal, por su lado, ha presentado alegaciones en el trámite del art. 52 LOTC, interesando que se otorgue el amparo solicitado por incumplimiento del deber de motivación reforzada (art. 24.1 CE) que resulta exigible a las resoluciones judiciales impugnadas, con necesaria atención al interés superior del menor, </w:t>
      </w:r>
      <w:r w:rsidRPr="009D7677">
        <w:rPr>
          <w:i/>
        </w:rPr>
        <w:t>ex</w:t>
      </w:r>
      <w:r>
        <w:t xml:space="preserve"> art. 39.1 CE.</w:t>
      </w:r>
    </w:p>
    <w:p w14:paraId="18E2458E" w14:textId="77777777" w:rsidR="009D7677" w:rsidRDefault="009D7677" w:rsidP="009D7677">
      <w:pPr>
        <w:pStyle w:val="TextoNormal"/>
      </w:pPr>
    </w:p>
    <w:p w14:paraId="628AA538" w14:textId="77777777" w:rsidR="009D7677" w:rsidRDefault="009D7677" w:rsidP="009D7677">
      <w:pPr>
        <w:pStyle w:val="TextoNormal"/>
      </w:pPr>
      <w:r>
        <w:t>b) Así expuestas las peticiones de las partes, procede hacer algunas precisiones dirigidas a la correcta delimitación de nuestro enjuiciamiento sobre el fondo controvertido. En primer lugar, ha de advertirse que en los escritos presentados por la recurrente en apelación y casación, así como en la demanda de amparo, no se ha formulado ninguna queja de vulneración de un derecho fundamental por la exclusión por la sentencia del juzgado a recibir alimentos de dos de los hijos de la pareja, don Julio César Ferreira de Lima y doña María Julia de Lima, ambos mayores de edad a la fecha de recaer dicha sentencia (un derecho de alimentos a los hijos mayores, que no excluye el art. 93 CC). Como claramente se deduce de esos escritos, la demandante de amparo circunscribe su pretensión al sistema de fijación del derecho de alimentos del hijo entonces menor don Joao Víctor Ferreira de Lima, e invoca para ello la aplicación del principio del “interés superior del menor” (cuestión en la que más adelante nos detendremos).</w:t>
      </w:r>
    </w:p>
    <w:p w14:paraId="7346862F" w14:textId="77777777" w:rsidR="009D7677" w:rsidRDefault="009D7677" w:rsidP="009D7677">
      <w:pPr>
        <w:pStyle w:val="TextoNormal"/>
      </w:pPr>
    </w:p>
    <w:p w14:paraId="16BAA0A8" w14:textId="77777777" w:rsidR="009D7677" w:rsidRDefault="009D7677" w:rsidP="009D7677">
      <w:pPr>
        <w:pStyle w:val="TextoNormal"/>
      </w:pPr>
      <w:r>
        <w:t>c) Sobre el alcance de la tutela solicitada, la demanda de amparo pide en el suplico que determinemos en sentencia que el importe de la pensión de alimentos para don Joao Víctor debe ser el “mínimo vital obligatorio como cantidad concreta y exigible”. Ahora bien, en este punto ha de concederse la razón al fiscal quien, en su escrito de alegaciones, observa que no corresponde a este Tribunal Constitucional dirimir cuál de entre los distintos métodos utilizados por la jurisprudencia ha de ser el utilizado para la determinación de dicha pensión de alimentos, lo que supondría sustituir al órgano judicial en el ejercicio de una competencia que le es exclusiva (art. 117.3 CE).</w:t>
      </w:r>
    </w:p>
    <w:p w14:paraId="17E42BBD" w14:textId="77777777" w:rsidR="009D7677" w:rsidRDefault="009D7677" w:rsidP="009D7677">
      <w:pPr>
        <w:pStyle w:val="TextoNormal"/>
      </w:pPr>
    </w:p>
    <w:p w14:paraId="707A3F83" w14:textId="77777777" w:rsidR="009D7677" w:rsidRDefault="009D7677" w:rsidP="009D7677">
      <w:pPr>
        <w:pStyle w:val="TextoNormal"/>
      </w:pPr>
      <w:r>
        <w:t>Nuestro cometido, distintamente, consiste en enjuiciar si a tenor de las circunstancias concurrentes el método fijado para este caso concreto por el juzgado, y que han confirmado los tribunales superiores intervinientes, resulta o no respetuoso con el derecho fundamental a la tutela judicial efectiva que invoca la demandante de amparo. Y es a este propósito que se dedican los fundamentos jurídicos siguientes.</w:t>
      </w:r>
    </w:p>
    <w:p w14:paraId="5D3F6A87" w14:textId="77777777" w:rsidR="009D7677" w:rsidRDefault="009D7677" w:rsidP="009D7677">
      <w:pPr>
        <w:pStyle w:val="TextoNormal"/>
      </w:pPr>
    </w:p>
    <w:p w14:paraId="08DB6AB4" w14:textId="77777777" w:rsidR="009D7677" w:rsidRDefault="009D7677" w:rsidP="009D7677">
      <w:pPr>
        <w:pStyle w:val="TextoNormal"/>
      </w:pPr>
      <w:r>
        <w:t>d) Procede afirmar que la recurrente cumple con los requisitos de procedibilidad del recurso de amparo previstos en el art. 44 LOTC, y en particular la exigencia de agotamiento previo de la vía judicial [art. 44.1.a) LOTC]. De un lado, porque frente al auto de la Sección competente de la Audiencia Provincial que inadmitió los recursos de casación y extraordinario por infracción procesal interpuestos contra la sentencia de apelación, aquella promovió un recurso de queja, que era el idóneo para combatir esa denegación (art. 494 LEC). De otro lado, porque si bien el auto dictado por la Sala Primera del Tribunal Supremo desestimó la queja, no lo hizo por un defecto de forma imputable a la recurrente, sino por razones de fondo (“carencia manifiesta de fundamento”), al no apreciar el Alto Tribunal que se hubiere acreditado la quiebra por la sentencia de apelación del principio de proporcionalidad en la fijación de la pensión de alimentos (art. 146 CC) en virtud de un pronunciamiento arbitrario o sin razón lógica, cauce reducido pero posible para el control en casación de este punto, como se señala en la jurisprudencia citada en el propio auto desestimatorio de la queja. Mientras que el recurso extraordinario por infracción procesal se inadmitió a su vez por la aplicación automática de lo dispuesto en la disposición final decimosexta, apartado primero, regla quinta LEC, al haberse inadmitido el recurso de casación.</w:t>
      </w:r>
    </w:p>
    <w:p w14:paraId="63239244" w14:textId="77777777" w:rsidR="009D7677" w:rsidRDefault="009D7677" w:rsidP="009D7677">
      <w:pPr>
        <w:pStyle w:val="TextoNormal"/>
      </w:pPr>
    </w:p>
    <w:p w14:paraId="187B54B2" w14:textId="77777777" w:rsidR="009D7677" w:rsidRDefault="009D7677" w:rsidP="009D7677">
      <w:pPr>
        <w:pStyle w:val="TextoNormal"/>
      </w:pPr>
      <w:r>
        <w:t>El que la demanda de amparo no haya incluido un motivo específico por la vulneración del derecho al recurso merced a aquella inadmisión, el único efecto que trae consigo es que quede fuera de nuestro control —externo— el determinar si los autos dictados por la audiencia y la Sala Primera del Tribunal Supremo, conculcaron o no esa faceta del derecho a la tutela judicial efectiva. Pero no afecta al debido agotamiento de la vía judicial respecto de la queja que sí se ha deducido en la demanda de amparo, en concreto contra la medida de imposición de alimentos a cargo del progenitor demandado.</w:t>
      </w:r>
    </w:p>
    <w:p w14:paraId="41B5938B" w14:textId="77777777" w:rsidR="009D7677" w:rsidRDefault="009D7677" w:rsidP="009D7677">
      <w:pPr>
        <w:pStyle w:val="TextoNormal"/>
      </w:pPr>
    </w:p>
    <w:p w14:paraId="6903D4B1" w14:textId="77777777" w:rsidR="009D7677" w:rsidRDefault="009D7677" w:rsidP="009D7677">
      <w:pPr>
        <w:pStyle w:val="TextoNormal"/>
      </w:pPr>
      <w:r>
        <w:t xml:space="preserve">e) Finalmente, ha de precisarse que la demanda de amparo plantea como queja constitucional, la vulneración por las sentencias impugnadas del derecho a la tutela judicial efectiva (art. 24.1 CE), en la faceta del derecho a una motivación reforzada (como luego se analizará). Aunque la demanda alega también la inviabilidad de toda posible ejecución del pronunciamiento sobre alimentos, se trata en puridad de un argumento en refuerzo de </w:t>
      </w:r>
      <w:r>
        <w:lastRenderedPageBreak/>
        <w:t xml:space="preserve">aquella otra queja, puesto que no constan abiertas actuaciones ejecutivas en el proceso </w:t>
      </w:r>
      <w:r w:rsidRPr="009D7677">
        <w:rPr>
          <w:i/>
        </w:rPr>
        <w:t>a quo</w:t>
      </w:r>
      <w:r>
        <w:t>, ni desde luego se impugnan decisiones dictadas a ese respecto.</w:t>
      </w:r>
    </w:p>
    <w:p w14:paraId="491C1196" w14:textId="77777777" w:rsidR="009D7677" w:rsidRDefault="009D7677" w:rsidP="009D7677">
      <w:pPr>
        <w:pStyle w:val="TextoNormal"/>
      </w:pPr>
    </w:p>
    <w:p w14:paraId="7E8F8BCB" w14:textId="2B976530" w:rsidR="009D7677" w:rsidRDefault="009D7677" w:rsidP="009D7677">
      <w:pPr>
        <w:pStyle w:val="TextoNormal"/>
      </w:pPr>
      <w:r>
        <w:t xml:space="preserve">Respecto de la invocación por la demandante del principio de seguridad jurídica (art. 9.3 CE), y el deber de protección del menor por los poderes públicos y el de los padres sobre los hijos (art. 39 apartados 2 y 3 CE), tales principios constitucionales están con carácter general excluidos del ámbito material del recurso de amparo, </w:t>
      </w:r>
      <w:r w:rsidRPr="009D7677">
        <w:rPr>
          <w:i/>
        </w:rPr>
        <w:t>ex</w:t>
      </w:r>
      <w:r>
        <w:t xml:space="preserve"> art. 53.2 CE. Ello sin perjuicio, sin embargo, de su puntual conexión con el derecho fundamental a una motivación reforzada (art. 24.1 CE), como revela la doctrina constitucional a la que se hará referencia en el próximo fundamento jurídico.</w:t>
      </w:r>
    </w:p>
    <w:p w14:paraId="410CD408" w14:textId="77777777" w:rsidR="009D7677" w:rsidRDefault="009D7677" w:rsidP="009D7677">
      <w:pPr>
        <w:pStyle w:val="TextoNormal"/>
      </w:pPr>
    </w:p>
    <w:p w14:paraId="011D3652" w14:textId="77777777" w:rsidR="009D7677" w:rsidRDefault="009D7677" w:rsidP="009D7677">
      <w:pPr>
        <w:pStyle w:val="TextoNormal"/>
      </w:pPr>
      <w:r w:rsidRPr="009D7677">
        <w:rPr>
          <w:rStyle w:val="NumeroAFNegritaCaracter"/>
        </w:rPr>
        <w:t>2</w:t>
      </w:r>
      <w:r>
        <w:t xml:space="preserve">. </w:t>
      </w:r>
      <w:r w:rsidRPr="009D7677">
        <w:rPr>
          <w:i/>
        </w:rPr>
        <w:t>Doctrina constitucional aplicable</w:t>
      </w:r>
    </w:p>
    <w:p w14:paraId="640D6B4C" w14:textId="77777777" w:rsidR="009D7677" w:rsidRDefault="009D7677" w:rsidP="009D7677">
      <w:pPr>
        <w:pStyle w:val="TextoNormal"/>
      </w:pPr>
    </w:p>
    <w:p w14:paraId="58E0E9AC" w14:textId="77777777" w:rsidR="009D7677" w:rsidRDefault="009D7677" w:rsidP="009D7677">
      <w:pPr>
        <w:pStyle w:val="TextoNormal"/>
      </w:pPr>
      <w:r>
        <w:t>a) Sobre la exigencia de atender al principio de interés superior del menor, para la resolución judicial de controversias que afecten a su personalidad y bienestar</w:t>
      </w:r>
    </w:p>
    <w:p w14:paraId="5ED0DA95" w14:textId="77777777" w:rsidR="009D7677" w:rsidRDefault="009D7677" w:rsidP="009D7677">
      <w:pPr>
        <w:pStyle w:val="TextoNormal"/>
      </w:pPr>
    </w:p>
    <w:p w14:paraId="7D7B13F3" w14:textId="77777777" w:rsidR="009D7677" w:rsidRDefault="009D7677" w:rsidP="009D7677">
      <w:pPr>
        <w:pStyle w:val="TextoNormal"/>
      </w:pPr>
      <w:r>
        <w:t>(i) Este tribunal, en primer lugar y a los efectos que interesan a este amparo, tiene fijada doctrina acerca de la necesidad de atender a los mandatos del art. 39 CE que vinculan a los poderes públicos (art. 39.2 CE), y a los padres respecto de los hijos (art. 39.3 CE), cuando se trata del deber de protección de los menores de edad. Uno de los instrumentos hermenéuticos que facilitan la consecución de este objetivo, también a los jueces cuando han de proveer a aquella protección en situaciones de desamparo o, en su caso, de conflictividad familiar acerca de las medidas a adoptar para su mejor cuidado y desarrollo personal, es el principio del interés superior del menor, reconocido en nuestro ordenamiento interno y en convenios internacionales (art. 39.4 CE).</w:t>
      </w:r>
    </w:p>
    <w:p w14:paraId="6326DA08" w14:textId="77777777" w:rsidR="009D7677" w:rsidRDefault="009D7677" w:rsidP="009D7677">
      <w:pPr>
        <w:pStyle w:val="TextoNormal"/>
      </w:pPr>
    </w:p>
    <w:p w14:paraId="61732705" w14:textId="77777777" w:rsidR="009D7677" w:rsidRDefault="009D7677" w:rsidP="009D7677">
      <w:pPr>
        <w:pStyle w:val="TextoNormal"/>
      </w:pPr>
      <w:r>
        <w:t>A este respecto, hemos proclamado en nuestra STC 141/2000, de 29 de mayo, FJ 5, que “los menores de edad son titulares plenos de sus derechos fundamentales, […], sin que el ejercicio de los mismos y la facultad de disponer sobre ellos se abandonen por entero a lo que al respecto puedan decidir aquellos que tengan atribuida su guarda y custodia o, como en este caso, su patria potestad, cuya incidencia sobre el disfrute del menor de sus derechos fundamentales se modulará en función de la madurez del niño y los distintos estadios en que la legislación gradúa su capacidad de obrar […]. Así pues, sobre los poderes públicos, y muy en especial sobre los órganos judiciales, pesa el deber de velar por que el ejercicio de esas potestades por sus padres o tutores, o por quienes tengan atribuida su protección y defensa, se haga en interés del menor, y no al servicio de otros intereses, que por muy lícitos y respetables que puedan ser, deben postergarse ante el ‘superior’ del niño”.</w:t>
      </w:r>
    </w:p>
    <w:p w14:paraId="17BB9EC6" w14:textId="77777777" w:rsidR="009D7677" w:rsidRDefault="009D7677" w:rsidP="009D7677">
      <w:pPr>
        <w:pStyle w:val="TextoNormal"/>
      </w:pPr>
    </w:p>
    <w:p w14:paraId="7402D913" w14:textId="77777777" w:rsidR="009D7677" w:rsidRDefault="009D7677" w:rsidP="009D7677">
      <w:pPr>
        <w:pStyle w:val="TextoNormal"/>
      </w:pPr>
      <w:r>
        <w:t xml:space="preserve">(ii) Sobre su inserción en nuestro ordenamiento jurídico, nuestra STC 124/2002, de 20 de mayo, FJ 4, precisa a su vez que dicho principio se proclama en la Convención de las Naciones Unidas sobre los derechos del niño, de 20 de noviembre de 1989 (ratificada por España el 30 de noviembre de 1990), “al disponer que ‘en todas las medidas concernientes a los niños que tomen las instituciones públicas o privadas de bienestar social, los tribunales, las autoridades administrativas o los órganos legislativos, una consideración primordial a que se atenderá será el interés superior del niño’ (art. 3.1). Y que nuestra legislación en materia de menores define como rector e inspirador de todas las actuaciones de los poderes públicos relacionadas con el niño, tanto administrativas como judiciales (exposición </w:t>
      </w:r>
      <w:r>
        <w:lastRenderedPageBreak/>
        <w:t>de motivos, arts. 2 y 11.2 de la Ley Orgánica 1/1996, de 15 de enero, de protección jurídica del menor).</w:t>
      </w:r>
    </w:p>
    <w:p w14:paraId="5DEADCA0" w14:textId="77777777" w:rsidR="009D7677" w:rsidRDefault="009D7677" w:rsidP="009D7677">
      <w:pPr>
        <w:pStyle w:val="TextoNormal"/>
      </w:pPr>
    </w:p>
    <w:p w14:paraId="1EEB402D" w14:textId="77777777" w:rsidR="009D7677" w:rsidRDefault="009D7677" w:rsidP="009D7677">
      <w:pPr>
        <w:pStyle w:val="TextoNormal"/>
      </w:pPr>
      <w:r>
        <w:t>En el mismo sentido, entre otras, SSTC 93/2013, de 23 de abril, FJ 12; 127/2013, de 3 de junio, FJ 6; 64/2019, de 9 de mayo, FJ 4; 99/2019, de 18 de julio, FJ 7; 178/2020, de 14 de diciembre, FJ 3; 81/2021, de 19 de abril, FJ 2 c); 130/2022, de 24 de octubre, FJ 5; y 148/2023, de 6 de noviembre, FJ 4 B) c), y ATC 301/2014, de 16 de diciembre, FJ 4.</w:t>
      </w:r>
    </w:p>
    <w:p w14:paraId="0D198DBC" w14:textId="77777777" w:rsidR="009D7677" w:rsidRDefault="009D7677" w:rsidP="009D7677">
      <w:pPr>
        <w:pStyle w:val="TextoNormal"/>
      </w:pPr>
    </w:p>
    <w:p w14:paraId="73B40EB0" w14:textId="77777777" w:rsidR="009D7677" w:rsidRDefault="009D7677" w:rsidP="009D7677">
      <w:pPr>
        <w:pStyle w:val="TextoNormal"/>
      </w:pPr>
      <w:r>
        <w:t>(iii) Acerca del significado del mencionado principio, hemos dicho en nuestra STC 178/2020, ya citada, FJ 3, que “para valorar qué es lo que resulta más beneficioso para el menor, ha de atenderse especialmente a las circunstancias concretas del caso, pues no hay dos supuestos iguales, ni puede establecerse un criterio apriorístico sobre cuál sea su mayor beneficio. […] La decisión de cuál sea en cada caso el interés superior del menor corresponde tomarla a los jueces y tribunales ordinarios, aunque es de nuestra incumbencia examinar si la motivación ofrecida por los mismos para adoptar cuantas medidas conciernen a los menores, está sustentada en su mayor beneficio y así comprobar que no se han lesionado sus derechos fundamentales”.</w:t>
      </w:r>
    </w:p>
    <w:p w14:paraId="0912F7BA" w14:textId="77777777" w:rsidR="009D7677" w:rsidRDefault="009D7677" w:rsidP="009D7677">
      <w:pPr>
        <w:pStyle w:val="TextoNormal"/>
      </w:pPr>
    </w:p>
    <w:p w14:paraId="72B68E35" w14:textId="77777777" w:rsidR="009D7677" w:rsidRDefault="009D7677" w:rsidP="009D7677">
      <w:pPr>
        <w:pStyle w:val="TextoNormal"/>
      </w:pPr>
      <w:r>
        <w:t>(iv) Todo ello, sin perjuicio de no llegar a prescindir en estos casos del interés del progenitor: STC 176/2008, de 22 de diciembre, FJ 6, “el criterio que ha de presidir la decisión que en cada caso corresponda adoptar al juez, a la vista de las circunstancias concretas, debe ser necesariamente el del interés prevalente del menor, ponderándolo con el de sus progenitores, que aun siendo de menor rango, no por ello resulta desdeñable (SSTC 141/2000, de 29 de mayo, FJ 5; 124/2002, de 20 de mayo, FJ 4; 144/2003, de 14 de julio, FJ 2; 71/2004, de 19 de abril, FJ 8, [y] 11/2008, de 21 de enero, FJ 7)”. En el mismo sentido, STC 185/2012, de 17 de octubre, FJ 4, y ATC 301/2014, FJ 4.</w:t>
      </w:r>
    </w:p>
    <w:p w14:paraId="5452CBCA" w14:textId="77777777" w:rsidR="009D7677" w:rsidRDefault="009D7677" w:rsidP="009D7677">
      <w:pPr>
        <w:pStyle w:val="TextoNormal"/>
      </w:pPr>
    </w:p>
    <w:p w14:paraId="30623D92" w14:textId="77777777" w:rsidR="009D7677" w:rsidRDefault="009D7677" w:rsidP="009D7677">
      <w:pPr>
        <w:pStyle w:val="TextoNormal"/>
      </w:pPr>
      <w:r>
        <w:t>Esto se hace palpable en materia de prestación del derecho de alimentos, conforme ordena el art. 146 CC al establecer el principio de proporcionalidad: “[l]a cuantía de los alimentos será proporcionada al caudal o medios de quien los da y a las necesidades de quien los recibe”; principio al que se refiere la STC 19/2012, FJ 5, de la que más abajo se hace cita [apartado c) de este fundamento jurídico], pero cuya aplicación presupone justamente que se disponga de datos en las actuaciones judiciales acerca de la capacidad económica del alimentante.</w:t>
      </w:r>
    </w:p>
    <w:p w14:paraId="261FDA13" w14:textId="77777777" w:rsidR="009D7677" w:rsidRDefault="009D7677" w:rsidP="009D7677">
      <w:pPr>
        <w:pStyle w:val="TextoNormal"/>
      </w:pPr>
    </w:p>
    <w:p w14:paraId="5BA7D0EE" w14:textId="77777777" w:rsidR="009D7677" w:rsidRDefault="009D7677" w:rsidP="009D7677">
      <w:pPr>
        <w:pStyle w:val="TextoNormal"/>
      </w:pPr>
      <w:r>
        <w:t>b) Sobre el derecho a una motivación reforzada de las resoluciones judiciales, cuando está concernido el interés superior del menor</w:t>
      </w:r>
    </w:p>
    <w:p w14:paraId="3B68F6B9" w14:textId="77777777" w:rsidR="009D7677" w:rsidRDefault="009D7677" w:rsidP="009D7677">
      <w:pPr>
        <w:pStyle w:val="TextoNormal"/>
      </w:pPr>
    </w:p>
    <w:p w14:paraId="30277F15" w14:textId="77777777" w:rsidR="009D7677" w:rsidRDefault="009D7677" w:rsidP="009D7677">
      <w:pPr>
        <w:pStyle w:val="TextoNormal"/>
      </w:pPr>
      <w:r>
        <w:t xml:space="preserve">Una de las consecuencias que se deriva directamente de la exigibilidad de atender al interés superior del menor, es la imposición por nuestra doctrina de un deber de motivación reforzada de la correspondiente resolución judicial. Así por ejemplo, hemos declarado en la STC 138/2014, de 8 de septiembre, FJ 3, que “el canon de razonabilidad constitucional deviene más exigente por cuanto que se encuentran implicados valores y principios de indudable relevancia constitucional, al invocarse por el demandante de amparo el principio del interés superior del menor que tiene su proyección constitucional en el art. 39 CE y que se define como rector e inspirador de todas las actuaciones de los poderes públicos, tanto administrativas como judiciales”. Se trata, por tanto, como indica el fundamento jurídico 5 de la misma sentencia, de un canon “reforzado por la conexión con el principio </w:t>
      </w:r>
      <w:r>
        <w:lastRenderedPageBreak/>
        <w:t>de interés del menor del art 39 CE”; de modo que la fundamentación judicial “debe entenderse lesiva desde la perspectiva constitucional desde el momento en que hay una absoluta falta de ponderación del citado principio a la hora de decidir”.</w:t>
      </w:r>
    </w:p>
    <w:p w14:paraId="05E2060D" w14:textId="77777777" w:rsidR="009D7677" w:rsidRDefault="009D7677" w:rsidP="009D7677">
      <w:pPr>
        <w:pStyle w:val="TextoNormal"/>
      </w:pPr>
    </w:p>
    <w:p w14:paraId="5F704134" w14:textId="77777777" w:rsidR="009D7677" w:rsidRDefault="009D7677" w:rsidP="009D7677">
      <w:pPr>
        <w:pStyle w:val="TextoNormal"/>
      </w:pPr>
      <w:r>
        <w:t>También la STC 16/2016, de 1 de febrero, FJ 6, recogiendo lo expresado en otras anteriores, afirma que “hemos considerado que la fundamentación ‘debe entenderse lesiva desde la perspectiva constitucional desde el momento en que hay una absoluta falta de ponderación del citado principio’ (STC 138/2014, de 8 de septiembre, FJ 5) o que es legal y constitucionalmente inviable una motivación y fundamentación en derecho ajena a este criterio (STC 127/2013, de 3 de junio, FJ 6), y hemos afirmado que el interés superior del niño obliga a la autoridad judicial a un juicio de ponderación que debe constar expresamente en la resolución judicial, identificando los bienes y derechos en juego que pugnan de cada lado, a fin de poder calibrar la necesidad y proporcionalidad de la medida adoptada (STC 176/2008, de 22 de diciembre, FJ 6)”.</w:t>
      </w:r>
    </w:p>
    <w:p w14:paraId="50B30E02" w14:textId="77777777" w:rsidR="009D7677" w:rsidRDefault="009D7677" w:rsidP="009D7677">
      <w:pPr>
        <w:pStyle w:val="TextoNormal"/>
      </w:pPr>
    </w:p>
    <w:p w14:paraId="45FDD5F1" w14:textId="77777777" w:rsidR="009D7677" w:rsidRDefault="009D7677" w:rsidP="009D7677">
      <w:pPr>
        <w:pStyle w:val="TextoNormal"/>
      </w:pPr>
      <w:r>
        <w:t>Y en la STC 178/2020, FJ 3, hemos dicho que “justificar debidamente las resoluciones en las que están concernidos los intereses y derechos de los menores (art. 39 CE), significa explicitar el juicio de ponderación entre los valores y derechos en liza para hacer así efectiva la exigencia de proporcionalidad inherente a la justicia, como es también jurisprudencia constitucional (STC 71/2004, de 19 de abril, FJ 5)”.</w:t>
      </w:r>
    </w:p>
    <w:p w14:paraId="08BD67BE" w14:textId="77777777" w:rsidR="009D7677" w:rsidRDefault="009D7677" w:rsidP="009D7677">
      <w:pPr>
        <w:pStyle w:val="TextoNormal"/>
      </w:pPr>
    </w:p>
    <w:p w14:paraId="1F836501" w14:textId="77777777" w:rsidR="009D7677" w:rsidRDefault="009D7677" w:rsidP="009D7677">
      <w:pPr>
        <w:pStyle w:val="TextoNormal"/>
      </w:pPr>
      <w:r>
        <w:t>c) Sobre la relevancia constitucional del derecho de los hijos a recibir alimentos de sus padres</w:t>
      </w:r>
    </w:p>
    <w:p w14:paraId="72A961B0" w14:textId="77777777" w:rsidR="009D7677" w:rsidRDefault="009D7677" w:rsidP="009D7677">
      <w:pPr>
        <w:pStyle w:val="TextoNormal"/>
      </w:pPr>
    </w:p>
    <w:p w14:paraId="4BB12EA4" w14:textId="77777777" w:rsidR="009D7677" w:rsidRDefault="009D7677" w:rsidP="009D7677">
      <w:pPr>
        <w:pStyle w:val="TextoNormal"/>
      </w:pPr>
      <w:r>
        <w:t>En tercer y último lugar, merece destacarse ahora el reconocimiento constitucional que hemos concedido al derecho de los hijos a recibir alimentos de sus progenitores. En tal sentido, sobre su imbricación en el art. 39 CE y el contenido de ese derecho de alimentos, regulado por el Código civil (arts. 93, 110, 142 a 153), y en leyes civiles autonómicas (que no resultan de aplicación a este caso), afirmamos en la STC 19/2012, FJ 5:</w:t>
      </w:r>
    </w:p>
    <w:p w14:paraId="14F9716B" w14:textId="77777777" w:rsidR="009D7677" w:rsidRDefault="009D7677" w:rsidP="009D7677">
      <w:pPr>
        <w:pStyle w:val="TextoNormal"/>
      </w:pPr>
    </w:p>
    <w:p w14:paraId="13C0C449" w14:textId="77777777" w:rsidR="009D7677" w:rsidRDefault="009D7677" w:rsidP="009D7677">
      <w:pPr>
        <w:pStyle w:val="TextoNormal"/>
      </w:pPr>
      <w:r>
        <w:t xml:space="preserve">“[Q]ue el art. 39.3 CE impone a los padres el deber de ‘prestar asistencia de todo orden a los hijos habidos dentro o fuera del matrimonio, durante su minoría de edad’. Ese precepto constitucional, que ‘refleja una conexión directa con el art. 14 CE’ (STC 154/2006, de 22 de mayo, FJ 8), impone a los padres, por igual, el deber de prestar asistencia a los hijos, ‘—asistencia que, naturalmente, incluye la contribución a los alimentos— con independencia de que estos hayan sido concebidos dentro o fuera del matrimonio (art. 39.3 CE), de que se haya producido la nulidad matrimonial, la separación legal o la disolución del matrimonio por divorcio (art. 92 CC), o incluso, en fin, de que el progenitor quede excluido de la patria potestad y demás funciones tuitivas (arts. 110 y 111, </w:t>
      </w:r>
      <w:r w:rsidRPr="009D7677">
        <w:rPr>
          <w:i/>
        </w:rPr>
        <w:t>in fine</w:t>
      </w:r>
      <w:r>
        <w:t xml:space="preserve">, CC)’ (STC 33/2006, de 13 de febrero, FJ 4). Tales alimentos, conforme al art. 142 CC, incluyen el sustento, habitación, vestido, asistencia médica y educación de los hijos, y deben satisfacerse en medida proporcionada al caudal o medios de quien los da y a las necesidades de quien los recibe (art. 146 CC) (SSTC 1/2001, de 15 de enero, FJ 3, y 33/2006, de 13 de febrero, FJ 4). De la misma manera que el texto constitucional no hace depender exclusivamente el concepto constitucional de familia a la que tiene su origen en el matrimonio (SSTC 222/1992, de 11 de diciembre, FJ 5; 47/1993, de 8 de febrero, FJ 2, y 116/1999, de 17 de junio, FJ 13), ni tampoco la limita a las relaciones con descendencia (STC 116/1999, de 17 de junio, FJ 13), es evidente que la familia a la que manda proteger el art. </w:t>
      </w:r>
      <w:r>
        <w:lastRenderedPageBreak/>
        <w:t>39.1 CE nada tiene que ver con el hecho físico de la convivencia entre los miembros que la integran, de modo que no es posible admitir que el progenitor que no vive con sus descendientes pero que mantiene, por imposición legal o judicial, la obligación de prestarles asistencia de todo orden, quede excluido por esa circunstancia del ámbito de protección que exige aquel precepto constitucional.</w:t>
      </w:r>
    </w:p>
    <w:p w14:paraId="06172BA5" w14:textId="77777777" w:rsidR="009D7677" w:rsidRDefault="009D7677" w:rsidP="009D7677">
      <w:pPr>
        <w:pStyle w:val="TextoNormal"/>
      </w:pPr>
    </w:p>
    <w:p w14:paraId="775C3368" w14:textId="77777777" w:rsidR="009D7677" w:rsidRDefault="009D7677" w:rsidP="009D7677">
      <w:pPr>
        <w:pStyle w:val="TextoNormal"/>
      </w:pPr>
      <w:r>
        <w:t>Pues bien, si los padres vienen obligados por la Constitución a prestar asistencia de todo orden a sus hijos menores (art. 39.3 CE), los poderes públicos vienen obligados, a su vez, a asegurar la protección económica de la familia (art. 39.1 CE)”.</w:t>
      </w:r>
    </w:p>
    <w:p w14:paraId="05036C3C" w14:textId="77777777" w:rsidR="009D7677" w:rsidRDefault="009D7677" w:rsidP="009D7677">
      <w:pPr>
        <w:pStyle w:val="TextoNormal"/>
      </w:pPr>
    </w:p>
    <w:p w14:paraId="14B5CC9B" w14:textId="77777777" w:rsidR="009D7677" w:rsidRDefault="009D7677" w:rsidP="009D7677">
      <w:pPr>
        <w:pStyle w:val="TextoNormal"/>
      </w:pPr>
      <w:r>
        <w:t>Asimismo, y en lo que importa también a este recurso de amparo, en el ATC 301/2014, FJ 4, hemos relacionado en materia de alimentos el cumplimiento por el legislador del imperativo del art. 39 CE, con el principio de seguridad jurídica del art. 9.3 CE: “[d]ado que hay que evaluar la respuesta del legislador […] es preciso determinar si esta solución responde a los intereses en presencia, con prevalencia del interés del menor; si bien, teniendo también en cuenta el valor constitucional relevante de la protección integral de los hijos (art. 39.2 CE), sin perder de vista, al mismo tiempo, la seguridad jurídica (art. 9.3 CE) (STC 273/2005, de 27 de octubre, FJ 7, STC 138/2005, de 26 de mayo, FJ 4)”.</w:t>
      </w:r>
    </w:p>
    <w:p w14:paraId="7CA21FF6" w14:textId="77777777" w:rsidR="009D7677" w:rsidRDefault="009D7677" w:rsidP="009D7677">
      <w:pPr>
        <w:pStyle w:val="TextoNormal"/>
      </w:pPr>
    </w:p>
    <w:p w14:paraId="3C93E1B5" w14:textId="0FE516AB" w:rsidR="009D7677" w:rsidRDefault="009D7677" w:rsidP="009D7677">
      <w:pPr>
        <w:pStyle w:val="TextoNormal"/>
      </w:pPr>
      <w:r>
        <w:t>Relación con estos principios constitucionales que también debe atenderse en las resoluciones judiciales que adoptan decisiones en este ámbito.</w:t>
      </w:r>
    </w:p>
    <w:p w14:paraId="30C2D222" w14:textId="77777777" w:rsidR="009D7677" w:rsidRDefault="009D7677" w:rsidP="009D7677">
      <w:pPr>
        <w:pStyle w:val="TextoNormal"/>
      </w:pPr>
    </w:p>
    <w:p w14:paraId="0E29A6C1" w14:textId="77777777" w:rsidR="009D7677" w:rsidRDefault="009D7677" w:rsidP="009D7677">
      <w:pPr>
        <w:pStyle w:val="TextoNormal"/>
      </w:pPr>
      <w:r w:rsidRPr="009D7677">
        <w:rPr>
          <w:rStyle w:val="NumeroAFNegritaCaracter"/>
        </w:rPr>
        <w:t>3</w:t>
      </w:r>
      <w:r>
        <w:t xml:space="preserve">. </w:t>
      </w:r>
      <w:r w:rsidRPr="009D7677">
        <w:rPr>
          <w:i/>
        </w:rPr>
        <w:t>Resolución del caso planteado</w:t>
      </w:r>
    </w:p>
    <w:p w14:paraId="5F62886C" w14:textId="77777777" w:rsidR="009D7677" w:rsidRDefault="009D7677" w:rsidP="009D7677">
      <w:pPr>
        <w:pStyle w:val="TextoNormal"/>
      </w:pPr>
    </w:p>
    <w:p w14:paraId="74FD0C9C" w14:textId="77777777" w:rsidR="009D7677" w:rsidRDefault="009D7677" w:rsidP="009D7677">
      <w:pPr>
        <w:pStyle w:val="TextoNormal"/>
      </w:pPr>
      <w:r>
        <w:t>La aplicación de la doctrina constitucional a la que se ha hecho referencia, puesta en relación con las circunstancias concretas del presente caso, conducen a la estimación de la demanda de amparo por vulneración del derecho a la tutela judicial efectiva (art. 24.1 CE), en su vertiente de derecho a una motivación reforzada con arreglo al principio del interés superior del menor. Motivación cualificada de cuya ausencia adolecen las resoluciones aquí impugnadas.</w:t>
      </w:r>
    </w:p>
    <w:p w14:paraId="7CD99E6F" w14:textId="77777777" w:rsidR="009D7677" w:rsidRDefault="009D7677" w:rsidP="009D7677">
      <w:pPr>
        <w:pStyle w:val="TextoNormal"/>
      </w:pPr>
    </w:p>
    <w:p w14:paraId="649AEC73" w14:textId="77777777" w:rsidR="009D7677" w:rsidRDefault="009D7677" w:rsidP="009D7677">
      <w:pPr>
        <w:pStyle w:val="TextoNormal"/>
      </w:pPr>
      <w:r>
        <w:t>Tal y como se aclaró en el fundamento jurídico primero de esta sentencia, no corresponde a este tribunal determinar cuál es el criterio de legalidad ordinaria más adecuado para la cuantificación de la pensión de alimentos del entonces menor don Joao Víctor, tarea propia de los órganos judiciales intervinientes. Tampoco, añadimos ahora, se trata de evaluar con carácter general el sistema elegido por esas dos sentencias (fijar esa cuantía en un porcentaje de los ingresos del demandado), puesto que no cabe excluir que el mismo pueda ser efectivo en circunstancias distintas de las que aquí concurren (cuando por ejemplo esos ingresos sí se conocen). Exponemos a continuación, en todo caso, por qué dicho sistema no resulta respetuoso con el interés superior del menor aquí concretamente afectado, ni por ende exterioriza una ponderación adecuada de los bienes constitucionalmente protegibles en juego:</w:t>
      </w:r>
    </w:p>
    <w:p w14:paraId="6073B086" w14:textId="77777777" w:rsidR="009D7677" w:rsidRDefault="009D7677" w:rsidP="009D7677">
      <w:pPr>
        <w:pStyle w:val="TextoNormal"/>
      </w:pPr>
    </w:p>
    <w:p w14:paraId="4DCE7EE0" w14:textId="77777777" w:rsidR="009D7677" w:rsidRDefault="009D7677" w:rsidP="009D7677">
      <w:pPr>
        <w:pStyle w:val="TextoNormal"/>
      </w:pPr>
      <w:r>
        <w:t xml:space="preserve">A) Respecto de la sentencia dictada por el juzgado </w:t>
      </w:r>
      <w:r w:rsidRPr="009D7677">
        <w:rPr>
          <w:i/>
        </w:rPr>
        <w:t>a quo</w:t>
      </w:r>
      <w:r>
        <w:t>:</w:t>
      </w:r>
    </w:p>
    <w:p w14:paraId="6B70B759" w14:textId="77777777" w:rsidR="009D7677" w:rsidRDefault="009D7677" w:rsidP="009D7677">
      <w:pPr>
        <w:pStyle w:val="TextoNormal"/>
      </w:pPr>
    </w:p>
    <w:p w14:paraId="0937DB79" w14:textId="77777777" w:rsidR="009D7677" w:rsidRDefault="009D7677" w:rsidP="009D7677">
      <w:pPr>
        <w:pStyle w:val="TextoNormal"/>
      </w:pPr>
      <w:r>
        <w:t xml:space="preserve">a) La lectura de su fundamento de Derecho quinto evidencia, ante todo, que falta una motivación del porqué de la imposición como cuantía de los alimentos, de “un porcentaje </w:t>
      </w:r>
      <w:r>
        <w:lastRenderedPageBreak/>
        <w:t>del 10 por 100 de los ingresos del padre obligado”, satisfacía el interés superior del hijo menor de la recurrente:</w:t>
      </w:r>
    </w:p>
    <w:p w14:paraId="69CEAD18" w14:textId="77777777" w:rsidR="009D7677" w:rsidRDefault="009D7677" w:rsidP="009D7677">
      <w:pPr>
        <w:pStyle w:val="TextoNormal"/>
      </w:pPr>
    </w:p>
    <w:p w14:paraId="227A2B85" w14:textId="77777777" w:rsidR="009D7677" w:rsidRDefault="009D7677" w:rsidP="009D7677">
      <w:pPr>
        <w:pStyle w:val="TextoNormal"/>
      </w:pPr>
      <w:r>
        <w:t>(i) En efecto, la sentencia se limita a decir que acude a la “moderna jurisprudencia del Tribunal Supremo” que supera divergencias entre los criterios de las audiencias provinciales en la materia, y pasa entonces a citar y reproducir, como ya indicamos en los antecedentes, las sentencias de la Sala Primera del Alto Tribunal de 2 de marzo de 2015 y 22 de julio de ese mismo año. Pero tras esa cita no hay ninguna argumentación más que permita entender por qué ese criterio es más beneficioso para el menor —y para el sostenimiento de las cargas familiares del cónyuge custodio, su madre, cuyo interés no es de descartar tampoco—, que cualquier otro de los sistemas aplicados por los tribunales civiles, como por ejemplo la fijación de una cantidad concreta. Esta ausencia de argumentos de subsunción propios ya deja patente la falta de motivación reforzada que le era exigible.</w:t>
      </w:r>
    </w:p>
    <w:p w14:paraId="284B69C3" w14:textId="77777777" w:rsidR="009D7677" w:rsidRDefault="009D7677" w:rsidP="009D7677">
      <w:pPr>
        <w:pStyle w:val="TextoNormal"/>
      </w:pPr>
    </w:p>
    <w:p w14:paraId="5576CF5E" w14:textId="77777777" w:rsidR="009D7677" w:rsidRDefault="009D7677" w:rsidP="009D7677">
      <w:pPr>
        <w:pStyle w:val="TextoNormal"/>
      </w:pPr>
      <w:r>
        <w:t>(ii) Además, conviene aclarar que las dos sentencias del Tribunal Supremo que se citan no contienen siquiera el mismo criterio de fondo para dicha cuantificación, ni resuelven el mismo supuesto de hecho: la primera, de 2 de marzo de 2015, desestimó un recurso de casación interpuesto contra una sentencia de segunda instancia que acordaba suspender temporalmente la pensión alimenticia “hasta que el apelante obtenga ingresos de un trabajo remunerado o sea beneficiario de algún tipo de pensión, subsidio o cualesquiera otras prestaciones, momento en el que volverá a reanudarse la pensión alimenticia establecida”. La Sala de lo Civil del Tribunal Supremo ofrece ahí sus argumentos para entender conforme esta decisión, ante la acreditada realidad de un “alimentante absolutamente insolvente”, cuyas necesidades a su vez estaban siendo cubiertas por otros parientes. No es por tanto un caso que sirviese de soporte a la decisión adoptada aquí por el juzgado.</w:t>
      </w:r>
    </w:p>
    <w:p w14:paraId="3984E80F" w14:textId="77777777" w:rsidR="009D7677" w:rsidRDefault="009D7677" w:rsidP="009D7677">
      <w:pPr>
        <w:pStyle w:val="TextoNormal"/>
      </w:pPr>
    </w:p>
    <w:p w14:paraId="7C2ACC22" w14:textId="77777777" w:rsidR="009D7677" w:rsidRDefault="009D7677" w:rsidP="009D7677">
      <w:pPr>
        <w:pStyle w:val="TextoNormal"/>
      </w:pPr>
      <w:r>
        <w:t>Por su lado, la sentencia de 22 de julio de 2015 se refiere a un supuesto en el que el demandado fue declarado en rebeldía al no contestar a la demanda ni comparecer a la vista, estimando en parte el juzgado —y confirmando la audiencia— la demanda de la esposa, con fijación de medidas paternofiliales excepto la de alimentos, justificada en la ausencia del padre durante el procedimiento. El Alto Tribunal estima el recurso de casación, afirmando:</w:t>
      </w:r>
    </w:p>
    <w:p w14:paraId="680B3978" w14:textId="77777777" w:rsidR="009D7677" w:rsidRDefault="009D7677" w:rsidP="009D7677">
      <w:pPr>
        <w:pStyle w:val="TextoNormal"/>
      </w:pPr>
    </w:p>
    <w:p w14:paraId="1C6C69F7" w14:textId="77777777" w:rsidR="009D7677" w:rsidRDefault="009D7677" w:rsidP="009D7677">
      <w:pPr>
        <w:pStyle w:val="TextoNormal"/>
      </w:pPr>
      <w:r>
        <w:t>“[C]omo marca el art. 93 CC se deberán determinar ‘en todo caso’ los alimentos que la menor ha de percibir de su progenitor, en base al principio de proporcionalidad.</w:t>
      </w:r>
    </w:p>
    <w:p w14:paraId="0EFD2E69" w14:textId="77777777" w:rsidR="009D7677" w:rsidRDefault="009D7677" w:rsidP="009D7677">
      <w:pPr>
        <w:pStyle w:val="TextoNormal"/>
      </w:pPr>
    </w:p>
    <w:p w14:paraId="33BDC672" w14:textId="77777777" w:rsidR="009D7677" w:rsidRDefault="009D7677" w:rsidP="009D7677">
      <w:pPr>
        <w:pStyle w:val="TextoNormal"/>
      </w:pPr>
      <w:r>
        <w:t>Esta sala debe declarar que junto con la necesaria protección de los intereses del rebelde procesal, está la necesidad de que los tribunales tutelen los derechos del menor y como señala el Ministerio Fiscal, no podemos soslayar la obligación que el padre tiene, constitucionalmente establecida, de prestar asistencia a sus hijos (art. 39 CE).</w:t>
      </w:r>
    </w:p>
    <w:p w14:paraId="58B09A0A" w14:textId="77777777" w:rsidR="009D7677" w:rsidRDefault="009D7677" w:rsidP="009D7677">
      <w:pPr>
        <w:pStyle w:val="TextoNormal"/>
      </w:pPr>
    </w:p>
    <w:p w14:paraId="0F724B06" w14:textId="77777777" w:rsidR="009D7677" w:rsidRDefault="009D7677" w:rsidP="009D7677">
      <w:pPr>
        <w:pStyle w:val="TextoNormal"/>
      </w:pPr>
      <w:r>
        <w:t>El padre o madre deben afrontar la responsabilidad que les incumbe con respecto a sus hijos, no siendo de recibo que su mera ilocalización les exonere de la obligación de prestar alimentos ni que a los tribunales les esté proscrita la posibilidad de determinar un mínimo por el hecho de que el progenitor haya abandonado su lugar de residencia, todo ello sin perjuicio de las acciones que el rebelde pueda plantear una vez hallado, en orden a la modificación de las medidas, posibilidad que también podrá plantear el otro progenitor si han variado sustancialmente las circunstancias”.</w:t>
      </w:r>
    </w:p>
    <w:p w14:paraId="6D721979" w14:textId="77777777" w:rsidR="009D7677" w:rsidRDefault="009D7677" w:rsidP="009D7677">
      <w:pPr>
        <w:pStyle w:val="TextoNormal"/>
      </w:pPr>
    </w:p>
    <w:p w14:paraId="2CA16349" w14:textId="77777777" w:rsidR="009D7677" w:rsidRDefault="009D7677" w:rsidP="009D7677">
      <w:pPr>
        <w:pStyle w:val="TextoNormal"/>
      </w:pPr>
      <w:r>
        <w:t xml:space="preserve">Sobre la base de esta argumentación, en sí misma respetuosa con el derecho a una motivación reforzada y en aplicación del interés superior del menor, la sentencia de 22 de julio de 2015, invocada aquí por la del juzgado </w:t>
      </w:r>
      <w:r w:rsidRPr="009D7677">
        <w:rPr>
          <w:i/>
        </w:rPr>
        <w:t>a quo</w:t>
      </w:r>
      <w:r>
        <w:t>, resuelve sin embargo que “se fija una pensión de alimentos, abonable por el demandado del 10 por 100 de los ingresos que se acrediten como percibidos por el padre, dada la edad de la menor y que la madre trabaja como empleada de hogar y reside en régimen de alquiler compartido. Se desconoce el trabajo que el esposo pueda estar desarrollando en la actualidad”.</w:t>
      </w:r>
    </w:p>
    <w:p w14:paraId="04194B2E" w14:textId="77777777" w:rsidR="009D7677" w:rsidRDefault="009D7677" w:rsidP="009D7677">
      <w:pPr>
        <w:pStyle w:val="TextoNormal"/>
      </w:pPr>
    </w:p>
    <w:p w14:paraId="06EF4B23" w14:textId="77777777" w:rsidR="009D7677" w:rsidRDefault="009D7677" w:rsidP="009D7677">
      <w:pPr>
        <w:pStyle w:val="TextoNormal"/>
      </w:pPr>
      <w:r>
        <w:t>Pues bien, nada hemos de decir de la solución adoptada en esa sentencia de casación, que obviamente no es una resolución impugnada en este proceso de amparo. Mas sí nos compete pronunciarnos sobre su traslación al caso de autos efectuada por la resolución de primera instancia aquí impugnada, debiendo reiterar que esa traslación, sin ningún otro razonamiento que justifique su fijación prevalente sobre otro sistema de cuantificación, no satisface el mencionado canon de motivación reforzada.</w:t>
      </w:r>
    </w:p>
    <w:p w14:paraId="2B2D9D54" w14:textId="77777777" w:rsidR="009D7677" w:rsidRDefault="009D7677" w:rsidP="009D7677">
      <w:pPr>
        <w:pStyle w:val="TextoNormal"/>
      </w:pPr>
    </w:p>
    <w:p w14:paraId="2A5C9826" w14:textId="77777777" w:rsidR="009D7677" w:rsidRDefault="009D7677" w:rsidP="009D7677">
      <w:pPr>
        <w:pStyle w:val="TextoNormal"/>
      </w:pPr>
      <w:r>
        <w:t>b) Dejando al margen lo anterior, no se alcanza a comprender en el presente caso cómo el establecimiento como única referencia de cálculo de la pensión de alimentos, de un 10 por 100 de los ingresos mensuales del demandado, puede servir al interés superior del menor aquí afectado:</w:t>
      </w:r>
    </w:p>
    <w:p w14:paraId="33509D96" w14:textId="77777777" w:rsidR="009D7677" w:rsidRDefault="009D7677" w:rsidP="009D7677">
      <w:pPr>
        <w:pStyle w:val="TextoNormal"/>
      </w:pPr>
    </w:p>
    <w:p w14:paraId="3A5BECED" w14:textId="77777777" w:rsidR="009D7677" w:rsidRDefault="009D7677" w:rsidP="009D7677">
      <w:pPr>
        <w:pStyle w:val="TextoNormal"/>
      </w:pPr>
      <w:r>
        <w:t>(i) En primer lugar, dado que la sentencia declara en el mencionado fundamento de Derecho quinto, que “se acreditan los ingresos de la esposa y se ignoran los del padre”, no es posible saber de ningún modo cuál es la traducción en dinero de ese 10 por 100. Como consecuencia, no es posible decir que se cumple con el principio de proporcionalidad (art. 146 CC) imperante en este ámbito, el cual ha de medirse respecto “al caudal o medios de quien los da y a las necesidades de quien los recibe”. La sentencia nada dice sobre el primer elemento, los medios del padre; pero es que tampoco pondera las del segundo (las necesidades del menor). Se ignoran cuáles habrían sido las gestiones efectivamente realizadas por el juzgado para averiguar tanto una fuente de ingresos del demandado, como su situación patrimonial, pues la sentencia omite decirlo.</w:t>
      </w:r>
    </w:p>
    <w:p w14:paraId="6DE1B362" w14:textId="77777777" w:rsidR="009D7677" w:rsidRDefault="009D7677" w:rsidP="009D7677">
      <w:pPr>
        <w:pStyle w:val="TextoNormal"/>
      </w:pPr>
    </w:p>
    <w:p w14:paraId="2FE71DB6" w14:textId="77777777" w:rsidR="009D7677" w:rsidRDefault="009D7677" w:rsidP="009D7677">
      <w:pPr>
        <w:pStyle w:val="TextoNormal"/>
      </w:pPr>
      <w:r>
        <w:t>(ii) Como nada se sabe sobre su cuantía efectiva, no es posible determinar si ese porcentaje del 10 por 100 podía ser económicamente insuficiente en este caso para proveer a las necesidades del menor don Joao Víctor (en cuanto a los diversos conceptos que integran la prestación de alimentos). O si a la inversa, podría resultar una cantidad desproporcionadamente alta para ese mismo fin prestacional.</w:t>
      </w:r>
    </w:p>
    <w:p w14:paraId="498EBB18" w14:textId="77777777" w:rsidR="009D7677" w:rsidRDefault="009D7677" w:rsidP="009D7677">
      <w:pPr>
        <w:pStyle w:val="TextoNormal"/>
      </w:pPr>
    </w:p>
    <w:p w14:paraId="2C3FE0B0" w14:textId="77777777" w:rsidR="009D7677" w:rsidRDefault="009D7677" w:rsidP="009D7677">
      <w:pPr>
        <w:pStyle w:val="TextoNormal"/>
      </w:pPr>
      <w:r>
        <w:t>De hecho, ni siquiera es posible saber con arreglo a qué parámetro económico, estadístico o de cualquier otro orden objetivo, el juzgado ha decidido fijar el 10 por 100 (más allá de que sea lo indicado en la STS de 22 de julio de 2015), y no el 5 por 100 o el 30 por 100, por poner dos cifras al azar.</w:t>
      </w:r>
    </w:p>
    <w:p w14:paraId="50506582" w14:textId="77777777" w:rsidR="009D7677" w:rsidRDefault="009D7677" w:rsidP="009D7677">
      <w:pPr>
        <w:pStyle w:val="TextoNormal"/>
      </w:pPr>
    </w:p>
    <w:p w14:paraId="7E7CEDC5" w14:textId="77777777" w:rsidR="009D7677" w:rsidRDefault="009D7677" w:rsidP="009D7677">
      <w:pPr>
        <w:pStyle w:val="TextoNormal"/>
      </w:pPr>
      <w:r>
        <w:t xml:space="preserve">Lógicamente, si se dispusiera de la acreditación en las actuaciones de cuáles son esos ingresos y del carácter regular de su percepción por el demandado, la eventual sujeción a ese porcentaje podría ser respetuoso con el interés superior del menor. Al no ser esto posible con arreglo a la sentencia, que se limita a decir que desconoce la capacidad económica del demandado, sin explicitar siquiera, repetimos, las gestiones que debía efectuar para su </w:t>
      </w:r>
      <w:r>
        <w:lastRenderedPageBreak/>
        <w:t>averiguación, la referencia al 10 por 100 deviene meramente artificiosa. Y contraria también al principio de seguridad jurídica (art. 9.3 CE), el cual resulta aplicable en materia de derecho de alimentos con arreglo a nuestra doctrina (ATC 301/2014).</w:t>
      </w:r>
    </w:p>
    <w:p w14:paraId="24E8BA14" w14:textId="77777777" w:rsidR="009D7677" w:rsidRDefault="009D7677" w:rsidP="009D7677">
      <w:pPr>
        <w:pStyle w:val="TextoNormal"/>
      </w:pPr>
    </w:p>
    <w:p w14:paraId="2495953F" w14:textId="77777777" w:rsidR="009D7677" w:rsidRDefault="009D7677" w:rsidP="009D7677">
      <w:pPr>
        <w:pStyle w:val="TextoNormal"/>
      </w:pPr>
      <w:r>
        <w:t>(iii) El progenitor obligado judicialmente a la satisfacción de un importe dinerario por alimentos, es evidente que no responde de su cumplimiento solamente con sus “ingresos”, sino con todo el patrimonio que pudiera ser hallado por el órgano judicial, como sucedería si se tratase de ejecutar una cantidad líquida impagada. Esto sin embargo no es factible con el sistema elegido en este caso por el juzgado.</w:t>
      </w:r>
    </w:p>
    <w:p w14:paraId="1152370B" w14:textId="77777777" w:rsidR="009D7677" w:rsidRDefault="009D7677" w:rsidP="009D7677">
      <w:pPr>
        <w:pStyle w:val="TextoNormal"/>
      </w:pPr>
    </w:p>
    <w:p w14:paraId="0120E046" w14:textId="77777777" w:rsidR="009D7677" w:rsidRDefault="009D7677" w:rsidP="009D7677">
      <w:pPr>
        <w:pStyle w:val="TextoNormal"/>
      </w:pPr>
      <w:r>
        <w:t xml:space="preserve">(iv) Que el sistema seleccionado por el juzgado </w:t>
      </w:r>
      <w:r w:rsidRPr="009D7677">
        <w:rPr>
          <w:i/>
        </w:rPr>
        <w:t>a quo</w:t>
      </w:r>
      <w:r>
        <w:t xml:space="preserve"> ha devenido además ineficaz al efecto supuestamente pretendido de asegurar el derecho de alimentos del hijo menor de la recurrente, lo evidencia el oficio remitido por la letrada de la administración de justicia del Juzgado de Primera Instancia núm. 3 de Getafe, fechado el 23 de octubre del pasado año, en el que a requerimiento de este Tribunal Constitucional hace constar que, manteniendo el órgano judicial en estos años el criterio fijado en la sentencia del 23 de noviembre de 2015, “sobre el estado actual de la deuda por alimentos del demandado, no consta en la cuenta de consignaciones de este Juzgado, ningún mandamiento de pago”. Es decir, nada tras siete años y once meses después.</w:t>
      </w:r>
    </w:p>
    <w:p w14:paraId="293FC4BC" w14:textId="77777777" w:rsidR="009D7677" w:rsidRDefault="009D7677" w:rsidP="009D7677">
      <w:pPr>
        <w:pStyle w:val="TextoNormal"/>
      </w:pPr>
    </w:p>
    <w:p w14:paraId="126D038F" w14:textId="77777777" w:rsidR="009D7677" w:rsidRDefault="009D7677" w:rsidP="009D7677">
      <w:pPr>
        <w:pStyle w:val="TextoNormal"/>
      </w:pPr>
      <w:r>
        <w:t>B) Respecto de la sentencia dictada por la sección de apelación</w:t>
      </w:r>
    </w:p>
    <w:p w14:paraId="3703C199" w14:textId="77777777" w:rsidR="009D7677" w:rsidRDefault="009D7677" w:rsidP="009D7677">
      <w:pPr>
        <w:pStyle w:val="TextoNormal"/>
      </w:pPr>
    </w:p>
    <w:p w14:paraId="487B8999" w14:textId="77777777" w:rsidR="009D7677" w:rsidRDefault="009D7677" w:rsidP="009D7677">
      <w:pPr>
        <w:pStyle w:val="TextoNormal"/>
      </w:pPr>
      <w:r>
        <w:t>Como ya se hizo indicación en los antecedentes de la presente resolución, la Sección competente de la Audiencia Provincial de Madrid despachó toda la argumentación para desestimar el recurso de apelación interpuesto por la recurrente, en un parco fundamento jurídico primero que lejos de subsanar el déficit de motivación reforzada de la decisión impugnada, viene a ahondar en su ausencia, al limitarse a decir que la misma era ajustada a Derecho al desconocerse “por falta directa o por vía de presunción la capacidad económica del demandado […], al carecer de uno de los datos necesarios para ello de conformidad con el art. 146 CC que establece el principio de proporcionalidad”.</w:t>
      </w:r>
    </w:p>
    <w:p w14:paraId="1C8A48BC" w14:textId="77777777" w:rsidR="009D7677" w:rsidRDefault="009D7677" w:rsidP="009D7677">
      <w:pPr>
        <w:pStyle w:val="TextoNormal"/>
      </w:pPr>
    </w:p>
    <w:p w14:paraId="7A081807" w14:textId="77777777" w:rsidR="009D7677" w:rsidRDefault="009D7677" w:rsidP="009D7677">
      <w:pPr>
        <w:pStyle w:val="TextoNormal"/>
      </w:pPr>
      <w:r>
        <w:t>Si bien el dato de la capacidad económica se desconoce y no es posible aplicar con plenitud el citado principio de proporcionalidad, no es menos cierto que el art. 93 CC ordena que “[e]l Juez, en todo caso, determinará la contribución de cada progenitor para satisfacer los alimentos y adoptará las medidas convenientes para asegurar la efectividad y acomodación de las prestaciones a las circunstancias económicas y necesidades de los hijos en cada momento”.</w:t>
      </w:r>
    </w:p>
    <w:p w14:paraId="364FAE72" w14:textId="77777777" w:rsidR="009D7677" w:rsidRDefault="009D7677" w:rsidP="009D7677">
      <w:pPr>
        <w:pStyle w:val="TextoNormal"/>
      </w:pPr>
    </w:p>
    <w:p w14:paraId="03B463F0" w14:textId="77777777" w:rsidR="009D7677" w:rsidRDefault="009D7677" w:rsidP="009D7677">
      <w:pPr>
        <w:pStyle w:val="TextoNormal"/>
      </w:pPr>
      <w:r>
        <w:t>Por lo tanto, el desconocimiento de aquella capacidad económica del demandado, debida a su propia conducta elusiva de sus deberes paternofiliales, no puede erigirse en obstáculo para que la sentencia del juzgado, o en su revisión la de la audiencia provincial, hubiera fijado en este caso una cantidad líquida suficiente para la satisfacción de las necesidades del menor hijo de la recurrent</w:t>
      </w:r>
      <w:r w:rsidRPr="009D7677">
        <w:rPr>
          <w:i/>
        </w:rPr>
        <w:t xml:space="preserve">e </w:t>
      </w:r>
      <w:r>
        <w:t>ex art. 142 CC.</w:t>
      </w:r>
    </w:p>
    <w:p w14:paraId="28895FC4" w14:textId="77777777" w:rsidR="009D7677" w:rsidRDefault="009D7677" w:rsidP="009D7677">
      <w:pPr>
        <w:pStyle w:val="TextoNormal"/>
      </w:pPr>
    </w:p>
    <w:p w14:paraId="5CA63181" w14:textId="77777777" w:rsidR="009D7677" w:rsidRDefault="009D7677" w:rsidP="009D7677">
      <w:pPr>
        <w:pStyle w:val="TextoNormal"/>
      </w:pPr>
      <w:r>
        <w:t>Cantidad líquida cuya denominación, modo de cuantificación e importe no nos corresponde determinar, pues esto deviene en una función estrictamente jurisdiccional.</w:t>
      </w:r>
    </w:p>
    <w:p w14:paraId="3F1BFA1F" w14:textId="77777777" w:rsidR="009D7677" w:rsidRDefault="009D7677" w:rsidP="009D7677">
      <w:pPr>
        <w:pStyle w:val="TextoNormal"/>
      </w:pPr>
    </w:p>
    <w:p w14:paraId="75CD08BC" w14:textId="77777777" w:rsidR="009D7677" w:rsidRDefault="009D7677" w:rsidP="009D7677">
      <w:pPr>
        <w:pStyle w:val="TextoNormal"/>
      </w:pPr>
      <w:r>
        <w:lastRenderedPageBreak/>
        <w:t>Al haber optado sin justificación objetiva por el sistema de un porcentaje sobre los desconocidos ingresos del demandado, y con arreglo a las razones ya expuestas, cabe concluir que las resoluciones de instancia aquí impugnadas han vulnerado el derecho a la tutela judicial efectiva (art. 24.1 CE) de la recurrente y de su entonces hijo menor de edad.</w:t>
      </w:r>
    </w:p>
    <w:p w14:paraId="6B607A28" w14:textId="77777777" w:rsidR="009D7677" w:rsidRDefault="009D7677" w:rsidP="009D7677">
      <w:pPr>
        <w:pStyle w:val="TextoNormal"/>
      </w:pPr>
    </w:p>
    <w:p w14:paraId="50617BCE" w14:textId="77777777" w:rsidR="009D7677" w:rsidRDefault="009D7677" w:rsidP="009D7677">
      <w:pPr>
        <w:pStyle w:val="TextoNormal"/>
      </w:pPr>
      <w:r>
        <w:t>C) Estimación de la demanda y efectos</w:t>
      </w:r>
    </w:p>
    <w:p w14:paraId="537A0972" w14:textId="77777777" w:rsidR="009D7677" w:rsidRDefault="009D7677" w:rsidP="009D7677">
      <w:pPr>
        <w:pStyle w:val="TextoNormal"/>
      </w:pPr>
    </w:p>
    <w:p w14:paraId="1013DE73" w14:textId="77777777" w:rsidR="009D7677" w:rsidRDefault="009D7677" w:rsidP="009D7677">
      <w:pPr>
        <w:pStyle w:val="TextoNormal"/>
      </w:pPr>
      <w:r>
        <w:t>En consecuencia, procede estimar la demanda de amparo interpuesta. Como medidas para la reparación del derecho fundamental vulnerado se acuerda la nulidad de la sentencia del Juzgado de Primera Instancia e Instrucción núm. 3 de Getafe, y la dictada en apelación por la Sección Vigesimocuarta de la Audiencia Provincial de Madrid; así como también la nulidad del auto de este último órgano colegiado que declaró no haber lugar a admitir a trámite los recursos de casación y extraordinario por infracción procesal promovidos contra la sentencia de segunda instancia, y el auto de la Sala de lo Civil del Tribunal Supremo que desestimó el recurso de queja contra el anterior auto, en cuanto estas dos últimas resoluciones han supuesto la firmeza de aquellas sentencias.</w:t>
      </w:r>
    </w:p>
    <w:p w14:paraId="53208E16" w14:textId="77777777" w:rsidR="009D7677" w:rsidRDefault="009D7677" w:rsidP="009D7677">
      <w:pPr>
        <w:pStyle w:val="TextoNormal"/>
      </w:pPr>
    </w:p>
    <w:p w14:paraId="626FA48C" w14:textId="15DC4152" w:rsidR="009D7677" w:rsidRDefault="009D7677" w:rsidP="009D7677">
      <w:pPr>
        <w:pStyle w:val="TextoNormal"/>
      </w:pPr>
      <w:r>
        <w:t>Debemos acordar asimismo la retroacción de las actuaciones al momento inmediatamente anterior al de dictarse la sentencia del Juzgado de Primera Instancia e Instrucción núm. 3 de Getafe, para que en su lugar este último pronuncie otra resolución que resulte respetuosa con el derecho fundamental reconocido.</w:t>
      </w:r>
    </w:p>
    <w:p w14:paraId="6E0F4F96" w14:textId="77777777" w:rsidR="009D7677" w:rsidRDefault="009D7677" w:rsidP="009D7677">
      <w:pPr>
        <w:pStyle w:val="TextoNormal"/>
      </w:pPr>
    </w:p>
    <w:p w14:paraId="655B3547" w14:textId="77777777" w:rsidR="009D7677" w:rsidRDefault="009D7677" w:rsidP="009D7677">
      <w:pPr>
        <w:pStyle w:val="TextoNormalCentrado"/>
        <w:keepNext/>
      </w:pPr>
      <w:r>
        <w:t>FALLO</w:t>
      </w:r>
    </w:p>
    <w:p w14:paraId="6392F694" w14:textId="180A7C9C" w:rsidR="009D7677" w:rsidRDefault="009D7677" w:rsidP="009D7677">
      <w:pPr>
        <w:pStyle w:val="TextoNormalCentrado"/>
        <w:keepNext/>
      </w:pPr>
    </w:p>
    <w:p w14:paraId="2FC3C789" w14:textId="77777777" w:rsidR="009D7677" w:rsidRDefault="009D7677" w:rsidP="009D7677">
      <w:pPr>
        <w:pStyle w:val="TextoNormal"/>
      </w:pPr>
      <w:r>
        <w:t>En atención a todo lo expuesto, el Tribunal Constitucional, por la autoridad que le confiere la Constitución de la Nación española, ha decidido estimar el recurso de amparo interpuesto por doña Ivete Ferreira de Lima, y, en consecuencia:</w:t>
      </w:r>
    </w:p>
    <w:p w14:paraId="6A4A7C83" w14:textId="77777777" w:rsidR="009D7677" w:rsidRDefault="009D7677" w:rsidP="009D7677">
      <w:pPr>
        <w:pStyle w:val="TextoNormal"/>
      </w:pPr>
    </w:p>
    <w:p w14:paraId="5871A753" w14:textId="77777777" w:rsidR="009D7677" w:rsidRDefault="009D7677" w:rsidP="009D7677">
      <w:pPr>
        <w:pStyle w:val="TextoNormal"/>
      </w:pPr>
      <w:r>
        <w:t>1º Declarar que ha sido vulnerado el derecho fundamental de la demandante de amparo a la tutela judicial efectiva sin indefensión (art. 24.1 CE).</w:t>
      </w:r>
    </w:p>
    <w:p w14:paraId="28F8AC57" w14:textId="77777777" w:rsidR="009D7677" w:rsidRDefault="009D7677" w:rsidP="009D7677">
      <w:pPr>
        <w:pStyle w:val="TextoNormal"/>
      </w:pPr>
    </w:p>
    <w:p w14:paraId="0BA10BA2" w14:textId="77777777" w:rsidR="009D7677" w:rsidRDefault="009D7677" w:rsidP="009D7677">
      <w:pPr>
        <w:pStyle w:val="TextoNormal"/>
      </w:pPr>
      <w:r>
        <w:t>2º Restablecerle en su derecho y, a tal fin, declarar la nulidad de las siguientes resoluciones judiciales: (i) la sentencia del Juzgado de Primera Instancia e Instrucción núm. 3 de Getafe, de 23 de noviembre de 2015 (procedimiento de divorcio contencioso núm. 146-2015); (ii) la sentencia de la Sección Vigesimocuarta de la Audiencia Provincial de Madrid, de 26 de enero de 2021 (recurso de apelación núm. 963-2019); (iii) el auto de la misma sección, de 30 de marzo de 2021; y (iv) el auto de la Sala de lo Civil del Tribunal Supremo, de 3 de noviembre de 2021 (recurso de queja núm. 154-2021).</w:t>
      </w:r>
    </w:p>
    <w:p w14:paraId="2F5A6704" w14:textId="77777777" w:rsidR="009D7677" w:rsidRDefault="009D7677" w:rsidP="009D7677">
      <w:pPr>
        <w:pStyle w:val="TextoNormal"/>
      </w:pPr>
    </w:p>
    <w:p w14:paraId="7E98F5A5" w14:textId="33F2EAD5" w:rsidR="009D7677" w:rsidRDefault="009D7677" w:rsidP="009D7677">
      <w:pPr>
        <w:pStyle w:val="TextoNormal"/>
      </w:pPr>
      <w:r>
        <w:t>3º Retrotraer el procedimiento al momento inmediatamente anterior al de dictarse la sentencia de primera instancia, para que el juzgado mencionado dicte en su lugar otra que resulte respetuosa con el derecho fundamental declarado.</w:t>
      </w:r>
    </w:p>
    <w:p w14:paraId="53D39AE1" w14:textId="77777777" w:rsidR="009D7677" w:rsidRDefault="009D7677" w:rsidP="009D7677">
      <w:pPr>
        <w:pStyle w:val="TextoNormal"/>
      </w:pPr>
    </w:p>
    <w:p w14:paraId="1DA83E90" w14:textId="77777777" w:rsidR="009D7677" w:rsidRDefault="009D7677" w:rsidP="009D7677">
      <w:pPr>
        <w:pStyle w:val="TextoNormal"/>
      </w:pPr>
      <w:r>
        <w:t>Publíquese esta sentencia en el “Boletín Oficial del Estado”.</w:t>
      </w:r>
    </w:p>
    <w:p w14:paraId="506EB461" w14:textId="77777777" w:rsidR="009D7677" w:rsidRDefault="009D7677" w:rsidP="009D7677">
      <w:pPr>
        <w:pStyle w:val="TextoNormal"/>
      </w:pPr>
      <w:r>
        <w:t>Dada en Madrid, a quince de enero de dos mil veinticuatro.</w:t>
      </w:r>
    </w:p>
    <w:p w14:paraId="32841BF0" w14:textId="11309F95" w:rsidR="009D7677" w:rsidRDefault="009D7677">
      <w:pPr>
        <w:spacing w:after="160" w:line="259" w:lineRule="auto"/>
        <w:rPr>
          <w:rFonts w:ascii="Times New Roman" w:eastAsia="Times New Roman" w:hAnsi="Times New Roman" w:cs="Times New Roman"/>
          <w:sz w:val="24"/>
          <w:szCs w:val="24"/>
          <w:lang w:eastAsia="es-ES"/>
        </w:rPr>
      </w:pPr>
      <w:r>
        <w:br w:type="page"/>
      </w:r>
    </w:p>
    <w:p w14:paraId="4F20F285" w14:textId="77777777" w:rsidR="009D7677" w:rsidRDefault="009D7677" w:rsidP="009D7677">
      <w:pPr>
        <w:pStyle w:val="TtuloResolucin"/>
      </w:pPr>
      <w:bookmarkStart w:id="5" w:name="SENTENCIA_2024_3"/>
      <w:r>
        <w:lastRenderedPageBreak/>
        <w:t>SENTENCIA 3/2024, de 15 de enero de 2024</w:t>
      </w:r>
    </w:p>
    <w:bookmarkEnd w:id="5"/>
    <w:p w14:paraId="24716972" w14:textId="77777777" w:rsidR="009D7677" w:rsidRDefault="009D7677" w:rsidP="009D7677">
      <w:pPr>
        <w:pStyle w:val="TtuloResolucin"/>
      </w:pPr>
      <w:r>
        <w:t>Sala Segunda</w:t>
      </w:r>
    </w:p>
    <w:p w14:paraId="6F0EA175" w14:textId="77777777" w:rsidR="009D7677" w:rsidRDefault="009D7677" w:rsidP="009D7677">
      <w:pPr>
        <w:pStyle w:val="TtuloBOE"/>
      </w:pPr>
      <w:r>
        <w:t>(BOE núm. 45, de 20 de febrero de 2024)</w:t>
      </w:r>
    </w:p>
    <w:p w14:paraId="5BB0D0D8" w14:textId="77777777" w:rsidR="009D7677" w:rsidRDefault="009D7677" w:rsidP="009D7677">
      <w:pPr>
        <w:pStyle w:val="TextoNormalCentrado"/>
      </w:pPr>
      <w:r>
        <w:t>ECLI:ES:TC:2024:3</w:t>
      </w:r>
    </w:p>
    <w:p w14:paraId="189E26F9" w14:textId="0649E3B2" w:rsidR="009D7677" w:rsidRDefault="009D7677" w:rsidP="009D7677">
      <w:pPr>
        <w:pStyle w:val="TextoNormalCentrado"/>
      </w:pPr>
    </w:p>
    <w:p w14:paraId="26B131D2" w14:textId="77777777" w:rsidR="009D7677" w:rsidRDefault="009D7677" w:rsidP="009D7677">
      <w:pPr>
        <w:pStyle w:val="SntesisDescriptiva"/>
      </w:pPr>
      <w:r>
        <w:t>Recurso de amparo 8216-2021. Promovido por Babé y Cía., S.L., en relación con las resoluciones de las salas de lo social del Tribunal Supremo y del Tribunal Superior de Justicia de Castilla y León, con sede en Valladolid, que inadmitieron los recursos de suplicación y casación para la unificación de doctrina.</w:t>
      </w:r>
    </w:p>
    <w:p w14:paraId="4BFCC418" w14:textId="61CA3DC9" w:rsidR="009D7677" w:rsidRDefault="009D7677" w:rsidP="009D7677">
      <w:pPr>
        <w:pStyle w:val="SntesisDescriptiva"/>
      </w:pPr>
    </w:p>
    <w:p w14:paraId="37C43B98" w14:textId="77777777" w:rsidR="009D7677" w:rsidRDefault="009D7677" w:rsidP="009D7677">
      <w:pPr>
        <w:pStyle w:val="SntesisAnaltica"/>
      </w:pPr>
      <w:r>
        <w:t>Vulneración del derecho a la tutela judicial efectiva (acceso al recurso): inadmisión del recurso de suplicación formulado en la confianza legítima de que el órgano judicial había accedido a la ampliación del plazo para la consignación de la cantidad del importe de la condena impuesta en la instancia (STC 241/2006).</w:t>
      </w:r>
    </w:p>
    <w:p w14:paraId="48E968A5" w14:textId="34D057C7" w:rsidR="009D7677" w:rsidRDefault="009D7677" w:rsidP="009D7677">
      <w:pPr>
        <w:pStyle w:val="SntesisAnaltica"/>
      </w:pPr>
    </w:p>
    <w:p w14:paraId="48B26093" w14:textId="67EF1AE7" w:rsidR="009D7677" w:rsidRDefault="009D7677" w:rsidP="009D7677">
      <w:pPr>
        <w:pStyle w:val="Extracto"/>
      </w:pPr>
      <w:r>
        <w:t>1.</w:t>
      </w:r>
      <w:r>
        <w:tab/>
        <w:t xml:space="preserve">Los presupuestos para admitir a trámite un recurso ordinario forman parte del denominado orden público procesal, y el hecho de que el órgano de primera instancia haya efectuado una determinada interpretación de aquéllos no vincula en absoluto al órgano judicial jerárquicamente superior, que puede apreciar la existencia de vicios que hayan podido pasar inadvertidos al juez </w:t>
      </w:r>
      <w:r w:rsidRPr="009D7677">
        <w:rPr>
          <w:i/>
        </w:rPr>
        <w:t>a quo</w:t>
      </w:r>
      <w:r>
        <w:t>. Al hacerlo no lesiona el derecho alegado, puesto que se limita a interpretar la legalidad de una manera diferente, sin que tal proceder vulnere la intangibilidad de unas resoluciones que no son suyas y a las que no está vinculado [FJ 3].</w:t>
      </w:r>
    </w:p>
    <w:p w14:paraId="12ED7061" w14:textId="77777777" w:rsidR="009D7677" w:rsidRDefault="009D7677" w:rsidP="009D7677">
      <w:pPr>
        <w:pStyle w:val="Extracto"/>
      </w:pPr>
    </w:p>
    <w:p w14:paraId="3617E568" w14:textId="14C60000" w:rsidR="009D7677" w:rsidRDefault="009D7677" w:rsidP="009D7677">
      <w:pPr>
        <w:pStyle w:val="Extracto"/>
      </w:pPr>
      <w:r>
        <w:t>2.</w:t>
      </w:r>
      <w:r>
        <w:tab/>
        <w:t>Si la oficina judicial ha ofrecido indicaciones equivocadas sobre los recursos utilizables, el interesado, aun estando asistido por expertos en la materia, podría entender -por la autoridad inherente a la decisión judicial- que tales indicaciones son ciertas y obrar en consecuencia (SSTC 26/1991 y 241/2006). Ello es aplicable, en las decisiones judiciales erróneas, a la subsanación de requisitos procesales necesarios para la interposición de los recursos o de ampliación del plazo para interponerlos [FJ 4].</w:t>
      </w:r>
    </w:p>
    <w:p w14:paraId="50E088AE" w14:textId="77777777" w:rsidR="009D7677" w:rsidRDefault="009D7677" w:rsidP="009D7677">
      <w:pPr>
        <w:pStyle w:val="Extracto"/>
      </w:pPr>
    </w:p>
    <w:p w14:paraId="7AE2F31A" w14:textId="4546D770" w:rsidR="009D7677" w:rsidRDefault="009D7677" w:rsidP="009D7677">
      <w:pPr>
        <w:pStyle w:val="Extracto"/>
      </w:pPr>
      <w:r>
        <w:t>3.</w:t>
      </w:r>
      <w:r>
        <w:tab/>
        <w:t>Concurran o no motivos para acordar la ampliación del plazo de subsanación, no resulta razonable que una vez decidida la ampliación en la instancia, y actuando la parte en correspondencia y amparada por tal decisión, posteriormente se revoque ésta por el órgano judicial superior, negando el cumplimiento temporáneo del presupuesto legal [FJ 4].</w:t>
      </w:r>
    </w:p>
    <w:p w14:paraId="72AFD3B7" w14:textId="77777777" w:rsidR="009D7677" w:rsidRDefault="009D7677" w:rsidP="009D7677">
      <w:pPr>
        <w:pStyle w:val="Extracto"/>
      </w:pPr>
    </w:p>
    <w:p w14:paraId="402DB845" w14:textId="77777777" w:rsidR="009D7677" w:rsidRDefault="009D7677" w:rsidP="009D7677">
      <w:pPr>
        <w:pStyle w:val="Extracto"/>
      </w:pPr>
    </w:p>
    <w:p w14:paraId="6B33E036" w14:textId="77777777" w:rsidR="009D7677" w:rsidRDefault="009D7677" w:rsidP="009D7677">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511D5695" w14:textId="316783B1" w:rsidR="009D7677" w:rsidRDefault="009D7677" w:rsidP="009D7677">
      <w:pPr>
        <w:pStyle w:val="TextoNormal"/>
      </w:pPr>
    </w:p>
    <w:p w14:paraId="539C9B71" w14:textId="77777777" w:rsidR="009D7677" w:rsidRDefault="009D7677" w:rsidP="009D7677">
      <w:pPr>
        <w:pStyle w:val="TextoNormalCentrado"/>
        <w:keepNext/>
      </w:pPr>
      <w:r>
        <w:t>EN NOMBRE DEL REY</w:t>
      </w:r>
    </w:p>
    <w:p w14:paraId="786F202C" w14:textId="5A323809" w:rsidR="009D7677" w:rsidRDefault="009D7677" w:rsidP="009D7677">
      <w:pPr>
        <w:pStyle w:val="TextoNormalCentrado"/>
        <w:keepNext/>
      </w:pPr>
    </w:p>
    <w:p w14:paraId="4C4B9E06" w14:textId="77777777" w:rsidR="009D7677" w:rsidRDefault="009D7677" w:rsidP="009D7677">
      <w:pPr>
        <w:pStyle w:val="TextoNormalCentrado"/>
        <w:keepNext/>
      </w:pPr>
    </w:p>
    <w:p w14:paraId="18B5911D" w14:textId="77777777" w:rsidR="009D7677" w:rsidRDefault="009D7677" w:rsidP="009D7677">
      <w:pPr>
        <w:pStyle w:val="TextoNormal"/>
      </w:pPr>
      <w:r>
        <w:t>la siguiente</w:t>
      </w:r>
    </w:p>
    <w:p w14:paraId="6C5AFFA6" w14:textId="7A0E7BF0" w:rsidR="009D7677" w:rsidRDefault="009D7677" w:rsidP="009D7677">
      <w:pPr>
        <w:pStyle w:val="TextoNormal"/>
      </w:pPr>
    </w:p>
    <w:p w14:paraId="0C169F0E" w14:textId="77777777" w:rsidR="009D7677" w:rsidRDefault="009D7677" w:rsidP="009D7677">
      <w:pPr>
        <w:pStyle w:val="TextoNormalCentrado"/>
        <w:keepNext/>
      </w:pPr>
      <w:r>
        <w:t>SENTENCIA</w:t>
      </w:r>
    </w:p>
    <w:p w14:paraId="69F0C5BF" w14:textId="54DF0D86" w:rsidR="009D7677" w:rsidRDefault="009D7677" w:rsidP="009D7677">
      <w:pPr>
        <w:pStyle w:val="TextoNormalCentrado"/>
        <w:keepNext/>
      </w:pPr>
    </w:p>
    <w:p w14:paraId="437EBF49" w14:textId="77777777" w:rsidR="009D7677" w:rsidRDefault="009D7677" w:rsidP="009D7677">
      <w:pPr>
        <w:pStyle w:val="TextoNormal"/>
      </w:pPr>
      <w:r>
        <w:t>En el recurso de amparo núm. 8216-2021, promovido por la entidad Babé y Cía., S.L., contra la sentencia de la Sala de lo Social del Tribunal Superior de Justicia de Castilla y León, sede en Valladolid, de 19 de octubre de 2020, que inadmitió el recurso de suplicación núm. 1257-2020 formulado por dicha mercantil, y contra el auto de 10 de noviembre de 2021, de inadmisión del recurso de casación para unificación de doctrina núm. 3948-2020 presentado contra la anterior resolución, dictado por la Sala de lo Social del Tribunal Supremo. Ha intervenido el Ministerio Fiscal. Se ha personado la entidad González Fierro, S.A., y don Simón Ronda Albalá. Ha sido ponente la magistrada doña Laura Díez Bueso.</w:t>
      </w:r>
    </w:p>
    <w:p w14:paraId="5A5A84A8" w14:textId="465EF235" w:rsidR="009D7677" w:rsidRDefault="009D7677" w:rsidP="009D7677">
      <w:pPr>
        <w:pStyle w:val="TextoNormal"/>
      </w:pPr>
    </w:p>
    <w:p w14:paraId="52209CCC" w14:textId="77777777" w:rsidR="009D7677" w:rsidRDefault="009D7677" w:rsidP="009D7677">
      <w:pPr>
        <w:pStyle w:val="TextoNormalNegritaCentrado"/>
        <w:keepNext/>
      </w:pPr>
      <w:r>
        <w:t>I. Antecedentes</w:t>
      </w:r>
    </w:p>
    <w:p w14:paraId="2A181959" w14:textId="79913163" w:rsidR="009D7677" w:rsidRDefault="009D7677" w:rsidP="009D7677">
      <w:pPr>
        <w:pStyle w:val="TextoNormalNegritaCentrado"/>
        <w:keepNext/>
      </w:pPr>
    </w:p>
    <w:p w14:paraId="24B0EFD9" w14:textId="71D5A020" w:rsidR="009D7677" w:rsidRDefault="009D7677" w:rsidP="009D7677">
      <w:pPr>
        <w:pStyle w:val="TextoNormal"/>
      </w:pPr>
      <w:r w:rsidRPr="009D7677">
        <w:rPr>
          <w:rStyle w:val="NumeroAFNegritaCaracter"/>
        </w:rPr>
        <w:t>1</w:t>
      </w:r>
      <w:r>
        <w:t>. Mediante escrito presentado en el registro general de este tribunal el 13 de diciembre de 2021, la procuradora de los tribunales doña Patricia Díaz Muiño, actuando en nombre y representación de Babé y Cía., S.L., bajo la defensa del letrado don Francisco Alejandro Lorente Blanco, interpuso demanda de amparo contra las resoluciones arriba mencionadas.</w:t>
      </w:r>
    </w:p>
    <w:p w14:paraId="0C77B794" w14:textId="77777777" w:rsidR="009D7677" w:rsidRDefault="009D7677" w:rsidP="009D7677">
      <w:pPr>
        <w:pStyle w:val="TextoNormal"/>
      </w:pPr>
    </w:p>
    <w:p w14:paraId="3D8326F3" w14:textId="77777777" w:rsidR="009D7677" w:rsidRDefault="009D7677" w:rsidP="009D7677">
      <w:pPr>
        <w:pStyle w:val="TextoNormal"/>
      </w:pPr>
      <w:r w:rsidRPr="009D7677">
        <w:rPr>
          <w:rStyle w:val="NumeroAFNegritaCaracter"/>
        </w:rPr>
        <w:t>2</w:t>
      </w:r>
      <w:r>
        <w:t>. Los hechos con relevancia para la resolución del presente recurso de amparo y a los que se refiere la demanda presentada, son los siguientes:</w:t>
      </w:r>
    </w:p>
    <w:p w14:paraId="44DF3D07" w14:textId="77777777" w:rsidR="009D7677" w:rsidRDefault="009D7677" w:rsidP="009D7677">
      <w:pPr>
        <w:pStyle w:val="TextoNormal"/>
      </w:pPr>
    </w:p>
    <w:p w14:paraId="14C61BC3" w14:textId="77777777" w:rsidR="009D7677" w:rsidRDefault="009D7677" w:rsidP="009D7677">
      <w:pPr>
        <w:pStyle w:val="TextoNormal"/>
      </w:pPr>
      <w:r>
        <w:t>a) La entidad recurrente en amparo Babé y Cía., S.L. (en adelante, Babé), junto a otra codemandada, la mercantil González Fierro, S.A. (en adelante, GONFIESA), a la que había sucedido en la contrata, fue condenada solidariamente por despido nulo en virtud de sentencia de la Sala de lo Social del Tribunal Superior de Justicia de Castilla-León, sede en Valladolid, de 8 de febrero de 2017, a la readmisión inmediata del trabajador en su puesto de trabajo con abono de los salarios de tramitación.</w:t>
      </w:r>
    </w:p>
    <w:p w14:paraId="69C7593B" w14:textId="77777777" w:rsidR="009D7677" w:rsidRDefault="009D7677" w:rsidP="009D7677">
      <w:pPr>
        <w:pStyle w:val="TextoNormal"/>
      </w:pPr>
    </w:p>
    <w:p w14:paraId="6E663021" w14:textId="77777777" w:rsidR="009D7677" w:rsidRDefault="009D7677" w:rsidP="009D7677">
      <w:pPr>
        <w:pStyle w:val="TextoNormal"/>
      </w:pPr>
      <w:r>
        <w:t>b) El trabajador despedido solicitó la ejecución de la sentencia, al no haber procedido ninguna de las empresas a su readmisión. El 19 de julio de 2019, la empresa Babé (sucesora en la contrata) comunicó al trabajador que, a la vista de que la principal (codemandada) no había procedido a la readmisión, lo hacía con su incorporación en las oficinas que tenía en Redondela (Pontevedra), por carecer de centro de trabajo en León, ciudad donde el trabajador venía prestando servicios al tiempo del despido. A la vista de lo anterior, el trabajador pidió la declaración de readmisión irregular y la extinción de la relación laboral con abono de la correspondiente indemnización, o subsidiariamente, la ejecución en sus propios términos de la sentencia (readmisión en su puesto de trabajo, esto es, en León).</w:t>
      </w:r>
    </w:p>
    <w:p w14:paraId="06345163" w14:textId="77777777" w:rsidR="009D7677" w:rsidRDefault="009D7677" w:rsidP="009D7677">
      <w:pPr>
        <w:pStyle w:val="TextoNormal"/>
      </w:pPr>
    </w:p>
    <w:p w14:paraId="17DC87B6" w14:textId="77777777" w:rsidR="009D7677" w:rsidRDefault="009D7677" w:rsidP="009D7677">
      <w:pPr>
        <w:pStyle w:val="TextoNormal"/>
      </w:pPr>
      <w:r>
        <w:t>c) Por auto de 20 de mayo de 2019, el Juzgado de lo Social núm. 3 de León despachó ejecución.</w:t>
      </w:r>
    </w:p>
    <w:p w14:paraId="2E3BF833" w14:textId="77777777" w:rsidR="009D7677" w:rsidRDefault="009D7677" w:rsidP="009D7677">
      <w:pPr>
        <w:pStyle w:val="TextoNormal"/>
      </w:pPr>
    </w:p>
    <w:p w14:paraId="7DBA420C" w14:textId="77777777" w:rsidR="009D7677" w:rsidRDefault="009D7677" w:rsidP="009D7677">
      <w:pPr>
        <w:pStyle w:val="TextoNormal"/>
      </w:pPr>
      <w:r>
        <w:t xml:space="preserve">d) En los autos de ejecución, mediante auto de 16 de agosto de 2019, se declaró extinguida la relación laboral del actor (despido improcedente) al considerar que la desaparición de una de las condenadas y la insistencia de la otra en no readmitir al actor en su mismo puesto de trabajo contravenía la ley, teniendo como único objetivo perjudicar al </w:t>
      </w:r>
      <w:r>
        <w:lastRenderedPageBreak/>
        <w:t>actor y provocar su cese voluntario en el trabajo. Por ello, se condenó a las ejecutadas a abonarle en concepto de indemnización por despido y de daños y perjuicios la cantidad de 159 428,75 €, si bien de tal indemnización debía descontarse la parte ya adelantada por la empresa y que el trabajador aún no había devuelto, incumpliendo el fallo de la sentencia. Asimismo, declaraba la obligación de abono de los correspondientes salarios de tramitación.</w:t>
      </w:r>
    </w:p>
    <w:p w14:paraId="1B26C407" w14:textId="77777777" w:rsidR="009D7677" w:rsidRDefault="009D7677" w:rsidP="009D7677">
      <w:pPr>
        <w:pStyle w:val="TextoNormal"/>
      </w:pPr>
    </w:p>
    <w:p w14:paraId="3719661C" w14:textId="77777777" w:rsidR="009D7677" w:rsidRDefault="009D7677" w:rsidP="009D7677">
      <w:pPr>
        <w:pStyle w:val="TextoNormal"/>
      </w:pPr>
      <w:r>
        <w:t>e) El anterior auto de extinción de la relación laboral fue recurrido en reposición por las dos empresas condenadas, siendo desestimados ambos recursos por auto de 8 de octubre de 2019, toda vez que no se establecía por los recurrentes error material alguno en el auto impugnado.</w:t>
      </w:r>
    </w:p>
    <w:p w14:paraId="150399BD" w14:textId="77777777" w:rsidR="009D7677" w:rsidRDefault="009D7677" w:rsidP="009D7677">
      <w:pPr>
        <w:pStyle w:val="TextoNormal"/>
      </w:pPr>
    </w:p>
    <w:p w14:paraId="1E2BB36C" w14:textId="77777777" w:rsidR="009D7677" w:rsidRDefault="009D7677" w:rsidP="009D7677">
      <w:pPr>
        <w:pStyle w:val="TextoNormal"/>
      </w:pPr>
      <w:r>
        <w:t>f) La mercantil recurrente en amparo anunció la interposición de recurso de suplicación frente al auto del juzgado de 16 de agosto de 2019 (que, como se ha dicho, declaró extinguida la relación laboral y condenó solidariamente a la mercantil por despido improcedente), justificando la constitución del depósito para recurrir y la aportación de un aval bancario por la cantidad de 88 157,67 €, afirmando que era el importe de la condena una vez hechas las compensaciones y deducciones indicadas en el auto recurrido. En el recurso de suplicación se pretendía alegar que la readmisión del trabajador fue correcta, y que se había apreciado judicialmente una readmisión irregular con base en un error, al partirse de un hecho que había sido objeto de revisión; a saber, que el trabajador no era conductor mecánico que tuviera que hacer la ruta de León, sino jefe de servicio, de ahí que Babé le reincorporase en el único centro de trabajo que tenía.</w:t>
      </w:r>
    </w:p>
    <w:p w14:paraId="42717135" w14:textId="77777777" w:rsidR="009D7677" w:rsidRDefault="009D7677" w:rsidP="009D7677">
      <w:pPr>
        <w:pStyle w:val="TextoNormal"/>
      </w:pPr>
    </w:p>
    <w:p w14:paraId="4105907D" w14:textId="77777777" w:rsidR="009D7677" w:rsidRDefault="009D7677" w:rsidP="009D7677">
      <w:pPr>
        <w:pStyle w:val="TextoNormal"/>
      </w:pPr>
      <w:r>
        <w:t>g) Por diligencia de ordenación de 30 de octubre de 2019, el juzgado entendió cumplidos todos los requisitos procesales para recurrir en suplicación, incluidas las consignaciones realizadas, por lo que tuvo por anunciado el recurso de suplicación.</w:t>
      </w:r>
    </w:p>
    <w:p w14:paraId="3C9E0DF8" w14:textId="77777777" w:rsidR="009D7677" w:rsidRDefault="009D7677" w:rsidP="009D7677">
      <w:pPr>
        <w:pStyle w:val="TextoNormal"/>
      </w:pPr>
    </w:p>
    <w:p w14:paraId="66ADD1C0" w14:textId="77777777" w:rsidR="009D7677" w:rsidRDefault="009D7677" w:rsidP="009D7677">
      <w:pPr>
        <w:pStyle w:val="TextoNormal"/>
      </w:pPr>
      <w:r>
        <w:t>h) El 11 de diciembre de 2019, sin embargo, dictó una nueva diligencia de ordenación rectificando la anterior, requiriendo a las ejecutadas GONFIESA y Babé para que completaran, en el plazo de quince días, la consignación o aseguramiento de las cantidades objeto de condena. Concretamente, a la demandante de amparo se le conminó a completar el aval en otros 99 166,18 €, resultando que el plazo de subsanación concedido concluía el 19 de diciembre de 2019.</w:t>
      </w:r>
    </w:p>
    <w:p w14:paraId="0CC1138F" w14:textId="77777777" w:rsidR="009D7677" w:rsidRDefault="009D7677" w:rsidP="009D7677">
      <w:pPr>
        <w:pStyle w:val="TextoNormal"/>
      </w:pPr>
    </w:p>
    <w:p w14:paraId="2FAA2E23" w14:textId="77777777" w:rsidR="009D7677" w:rsidRDefault="009D7677" w:rsidP="009D7677">
      <w:pPr>
        <w:pStyle w:val="TextoNormal"/>
      </w:pPr>
      <w:r>
        <w:t>i) El 13 de diciembre de 2019, (esto es, cuando restaban aún cuatro días hábiles para completar el aval), Babé solicitó la ampliación del plazo de subsanación, a lo que accedió el juzgado por diligencia de ordenación de 17 de diciembre de 2019, a la vista del elevado importe del aval solicitado, otorgando cinco días más para llevarla a efecto, no siendo impugnada esta decisión por el trabajador.</w:t>
      </w:r>
    </w:p>
    <w:p w14:paraId="7FAE53B9" w14:textId="77777777" w:rsidR="009D7677" w:rsidRDefault="009D7677" w:rsidP="009D7677">
      <w:pPr>
        <w:pStyle w:val="TextoNormal"/>
      </w:pPr>
    </w:p>
    <w:p w14:paraId="3BE5B471" w14:textId="77777777" w:rsidR="009D7677" w:rsidRDefault="009D7677" w:rsidP="009D7677">
      <w:pPr>
        <w:pStyle w:val="TextoNormal"/>
      </w:pPr>
      <w:r>
        <w:t>j) El 30 de diciembre de 2019, y dentro del plazo concedido, la empresa Babé procedió a la subsanación y el 13 de enero de 2020 el juzgado consideró completada la consignación mediante aval constituido y presentado por Babé, resultando que la otra empresa codemandada no completó la consignación.</w:t>
      </w:r>
    </w:p>
    <w:p w14:paraId="49E938C2" w14:textId="77777777" w:rsidR="009D7677" w:rsidRDefault="009D7677" w:rsidP="009D7677">
      <w:pPr>
        <w:pStyle w:val="TextoNormal"/>
      </w:pPr>
    </w:p>
    <w:p w14:paraId="3DD99438" w14:textId="77777777" w:rsidR="009D7677" w:rsidRDefault="009D7677" w:rsidP="009D7677">
      <w:pPr>
        <w:pStyle w:val="TextoNormal"/>
      </w:pPr>
      <w:r>
        <w:t xml:space="preserve">k) Disconforme el ejecutante con la ampliación del plazo de subsanación, formuló recurso de reposición frente a la diligencia de ordenación de 17 de diciembre de 2019, que </w:t>
      </w:r>
      <w:r>
        <w:lastRenderedPageBreak/>
        <w:t>fue desestimado por decreto de 7 de julio de 2020. A juicio de la letrada de la administración de justicia, ambas empresas habían presentado sendos avales en tiempo y forma si bien con cantidades insuficientes y, una vez que se le concedió plazo de subsanación del defecto advertido, para lo que se tuvo en cuenta la elevada cantidad del aval y el periodo navideño en que coincidió el requerimiento, Babé había completado la consignación. En tal sentido y con cita de la jurisprudencia de la Sala de lo social del Tribunal Supremo recordaba con relación a la previsión del art. 230 de la Ley reguladora de la jurisdicción social (en adelante, LRJS), que la consignación insuficiente o incompleta es un defecto procesal subsanable, a diferencia de lo que sucede con la falta total o absoluta de consignación. Esta decisión no fue recurrida en revisión, por lo que quedó firme, elevándose las actuaciones al Tribunal Superior de Justicia de Castilla y León con sede en Valladolid.</w:t>
      </w:r>
    </w:p>
    <w:p w14:paraId="37D36E57" w14:textId="77777777" w:rsidR="009D7677" w:rsidRDefault="009D7677" w:rsidP="009D7677">
      <w:pPr>
        <w:pStyle w:val="TextoNormal"/>
      </w:pPr>
    </w:p>
    <w:p w14:paraId="55197B6F" w14:textId="77777777" w:rsidR="009D7677" w:rsidRDefault="009D7677" w:rsidP="009D7677">
      <w:pPr>
        <w:pStyle w:val="TextoNormal"/>
      </w:pPr>
      <w:r>
        <w:t>l) El recurso de suplicación planteado por la empresa Babé fue impugnado por el trabajador ejecutante, solicitando su inadmisión por la notoria voluntad deliberadamente rebelde al cumplimiento de los requisitos de admisión relacionados con el cumplimiento de las cargas procesales de consignación del importe de la condena. Alegaba a este respecto que el cumplimiento del requisito de subsanación se efectuó de forma extemporánea, esto es, el día 30 de diciembre de 2019, o lo que era lo mismo, fuera del plazo inicialmente concedido, que vencía el 19 de diciembre de 2019.</w:t>
      </w:r>
    </w:p>
    <w:p w14:paraId="3D0FC443" w14:textId="77777777" w:rsidR="009D7677" w:rsidRDefault="009D7677" w:rsidP="009D7677">
      <w:pPr>
        <w:pStyle w:val="TextoNormal"/>
      </w:pPr>
    </w:p>
    <w:p w14:paraId="58E996C4" w14:textId="77777777" w:rsidR="009D7677" w:rsidRDefault="009D7677" w:rsidP="009D7677">
      <w:pPr>
        <w:pStyle w:val="TextoNormal"/>
      </w:pPr>
      <w:r>
        <w:t>m) Por sentencia de 19 de octubre de 2020, se inadmitió el recurso de suplicación, al considerar la Sala que el aseguramiento de la cantidad objeto de condena se había cumplimentado fuera del plazo concedido. Para llegar a este fallo razonó que, aunque el trabajador ejecutante no hubiera impugnado en su momento el decreto de la letrada de la administración de justicia de 7 de julio de 2020, la Sala podía examinar de oficio el cumplimiento de los requisitos para tramitar el recurso de suplicación, ya que es una cuestión que pertenece a la competencia funcional de los órganos judiciales y puede ser apreciada de oficio.</w:t>
      </w:r>
    </w:p>
    <w:p w14:paraId="6BAF563E" w14:textId="77777777" w:rsidR="009D7677" w:rsidRDefault="009D7677" w:rsidP="009D7677">
      <w:pPr>
        <w:pStyle w:val="TextoNormal"/>
      </w:pPr>
    </w:p>
    <w:p w14:paraId="19C62109" w14:textId="77777777" w:rsidR="009D7677" w:rsidRDefault="009D7677" w:rsidP="009D7677">
      <w:pPr>
        <w:pStyle w:val="TextoNormal"/>
      </w:pPr>
      <w:r>
        <w:t xml:space="preserve">Tras hacer una síntesis de los hechos acontecidos, la Sala se refirió a la improrrogabilidad de los plazos procesales [arts. 43.3 LRJS y 134.1 de la Ley de enjuiciamiento civil (en adelante, LEC)], recordando que esta última norma dispone que solo son susceptibles de interrupción y demora en caso de fuerza mayor que impida cumplirlos, reanudándose su cómputo en el momento en que hubiera cesado la causa, y que la concurrencia de la fuerza mayor habrá de ser apreciada por la letrada de la administración de justicia, de oficio o a instancia de la parte, con audiencia de las demás. La Sala pasó, pues, a examinar si concurría tal fuerza mayor, entendida como circunstancia imprevisible para cumplir la obligación procesal de subsanación impuesta en el término legalmente establecido. A su juicio no concurría, pues lo que la parte alegó en la solicitud de ampliación fue “el escaso plazo de tiempo otorgado para la gestión del correspondiente aval bancario y su elevado importe”, y lo que la letrada de la administración de justicia tuvo en cuenta fue la “cantidad del aval y el periodo navideño en que coincidió dicho requerimiento”. Tales circunstancias no podían equipararse a la fuerza mayor entendida en sentido estricto, sin poder extenderse la aplicación del art. 134.2 LEC a supuestos no previstos como excepciones a la improrrogabilidad de los plazos, ya que, de lo contrario, “iría en contra de otros principios, como el de la buena fe establecido en el artículo 75 de la Ley reguladora de la jurisdicción social, en cuyo número 1 se impone a los órganos judiciales la obligación de rechazar las pretensiones formuladas con finalidad dilatoria o que entrañen abuso de derecho; y otros más </w:t>
      </w:r>
      <w:r>
        <w:lastRenderedPageBreak/>
        <w:t>[…] como el de celeridad, que ha de informar la interpretación judicial de las normas reguladoras”. Por todo ello, inadmitió el recurso de suplicación.</w:t>
      </w:r>
    </w:p>
    <w:p w14:paraId="272F539A" w14:textId="77777777" w:rsidR="009D7677" w:rsidRDefault="009D7677" w:rsidP="009D7677">
      <w:pPr>
        <w:pStyle w:val="TextoNormal"/>
      </w:pPr>
    </w:p>
    <w:p w14:paraId="71C82E92" w14:textId="77777777" w:rsidR="009D7677" w:rsidRDefault="009D7677" w:rsidP="009D7677">
      <w:pPr>
        <w:pStyle w:val="TextoNormal"/>
      </w:pPr>
      <w:r>
        <w:t>n) La empresa Babé formuló recurso de casación para la unificación de doctrina denunciando la infracción del art. 24.1 CE en relación con el art. 9.1 CE, por inadecuada aplicación del art. 134.2 LEC por remisión del art. 43.3 LRJS. Invocó como sentencia de contraste la del Tribunal Superior de Justicia de Canarias, de 8 de octubre de 2018, núm. 966/2018, en la que se justifica la admisión de un recurso de suplicación interpuesto más allá del plazo legalmente previsto pero dentro del plazo ampliado por la letrada de la administración de justicia, aun admitiendo que los plazos son improrrogables, porque ese tribunal estima que la inadmisión del recurso presentado dentro del plazo que le fue concedido iría en contra del derecho a la tutela judicial efectiva (art. 24 CE) y de la seguridad jurídica de la parte que actuó conforme a las decisiones de la letrada de la administración de justicia.</w:t>
      </w:r>
    </w:p>
    <w:p w14:paraId="15DCBC30" w14:textId="77777777" w:rsidR="009D7677" w:rsidRDefault="009D7677" w:rsidP="009D7677">
      <w:pPr>
        <w:pStyle w:val="TextoNormal"/>
      </w:pPr>
    </w:p>
    <w:p w14:paraId="57617DCB" w14:textId="0AB51280" w:rsidR="009D7677" w:rsidRDefault="009D7677" w:rsidP="009D7677">
      <w:pPr>
        <w:pStyle w:val="TextoNormal"/>
      </w:pPr>
      <w:r>
        <w:t>ñ) La Sala de lo Social del Tribunal Supremo, por auto de 10 de noviembre de 2021, inadmitió el recurso de casación al no apreciar contradicción entre la sentencia recurrida y la de contraste, por cuanto en el caso de autos se analiza un proceso de ejecución de una sentencia de despido, mientras que en la de contraste se trata de una demanda de despido en fase declarativa. Por otra parte, entiende que las situaciones a las que se anudaba la posible infracción y, por tanto, el plazo procesal afectado eran diferentes, lo que impide apreciar la divergencia de doctrina.</w:t>
      </w:r>
    </w:p>
    <w:p w14:paraId="3562EA57" w14:textId="77777777" w:rsidR="009D7677" w:rsidRDefault="009D7677" w:rsidP="009D7677">
      <w:pPr>
        <w:pStyle w:val="TextoNormal"/>
      </w:pPr>
    </w:p>
    <w:p w14:paraId="060D3044" w14:textId="77777777" w:rsidR="009D7677" w:rsidRDefault="009D7677" w:rsidP="009D7677">
      <w:pPr>
        <w:pStyle w:val="TextoNormal"/>
      </w:pPr>
      <w:r w:rsidRPr="009D7677">
        <w:rPr>
          <w:rStyle w:val="NumeroAFNegritaCaracter"/>
        </w:rPr>
        <w:t>3</w:t>
      </w:r>
      <w:r>
        <w:t>. La demanda de amparo alega que las resoluciones judiciales impugnadas causaron, en primer lugar, la vulneración del derecho a la tutela judicial efectiva (art. 24.1 CE), en su vertiente de acceso al recurso en relación con el derecho a no ser discriminado (art. 14 CE), y del principio de seguridad jurídica (art. 9.3 CE).</w:t>
      </w:r>
    </w:p>
    <w:p w14:paraId="24CADD1A" w14:textId="77777777" w:rsidR="009D7677" w:rsidRDefault="009D7677" w:rsidP="009D7677">
      <w:pPr>
        <w:pStyle w:val="TextoNormal"/>
      </w:pPr>
    </w:p>
    <w:p w14:paraId="3ED6DF81" w14:textId="77777777" w:rsidR="009D7677" w:rsidRDefault="009D7677" w:rsidP="009D7677">
      <w:pPr>
        <w:pStyle w:val="TextoNormal"/>
      </w:pPr>
      <w:r>
        <w:t xml:space="preserve">Tras resumir los hechos, la parte recurrente sostiene que su actuación no merece reproche alguno y mucho menos la sanción que le impone el Tribunal Superior de Justicia, es decir, la inadmisión </w:t>
      </w:r>
      <w:r w:rsidRPr="009D7677">
        <w:rPr>
          <w:i/>
        </w:rPr>
        <w:t>a limine</w:t>
      </w:r>
      <w:r>
        <w:t>. En apoyo de esta afirmación razona que:</w:t>
      </w:r>
    </w:p>
    <w:p w14:paraId="16919D3D" w14:textId="77777777" w:rsidR="009D7677" w:rsidRDefault="009D7677" w:rsidP="009D7677">
      <w:pPr>
        <w:pStyle w:val="TextoNormal"/>
      </w:pPr>
    </w:p>
    <w:p w14:paraId="51FCB463" w14:textId="77777777" w:rsidR="009D7677" w:rsidRDefault="009D7677" w:rsidP="009D7677">
      <w:pPr>
        <w:pStyle w:val="TextoNormal"/>
      </w:pPr>
      <w:r>
        <w:t>(i) Babé dirigió su solicitud al órgano correcto y la motivó, indicando, “el escaso plazo de tiempo otorgado para la gestión del correspondiente aval bancario y su elevado importe”. Esta circunstancia alegada por la empresa podrá entenderse constitutiva de fuerza mayor, o no, pero a quien correspondía valorarlo de acuerdo con el art. 134.2 LEC era a la letrada de la administración de justicia, y lo cierto es que, por diligencia de ordenación de 17 de diciembre de 2019, acordó la suspensión del plazo y dicha resolución judicial adquirió firmeza, lo que generó una confianza legítima en que siguiendo las instrucciones del órgano judicial actuaba conforme a Derecho.</w:t>
      </w:r>
    </w:p>
    <w:p w14:paraId="4DD4C83F" w14:textId="77777777" w:rsidR="009D7677" w:rsidRDefault="009D7677" w:rsidP="009D7677">
      <w:pPr>
        <w:pStyle w:val="TextoNormal"/>
      </w:pPr>
    </w:p>
    <w:p w14:paraId="4E33296B" w14:textId="77777777" w:rsidR="009D7677" w:rsidRDefault="009D7677" w:rsidP="009D7677">
      <w:pPr>
        <w:pStyle w:val="TextoNormal"/>
      </w:pPr>
      <w:r>
        <w:t>(ii) El principio de intangibilidad de las resoluciones judiciales firmes asegura a los que son o han sido parte en un proceso que las resoluciones judiciales dictadas en el mismo no puedan ser alteradas o modificadas fuera de los cauces legales previstos para ello (SSTC 16/1986, 159/1987, 119/1988, 12/1989, 231/1991 y 142/1992, entre otras).</w:t>
      </w:r>
    </w:p>
    <w:p w14:paraId="7F1B7460" w14:textId="77777777" w:rsidR="009D7677" w:rsidRDefault="009D7677" w:rsidP="009D7677">
      <w:pPr>
        <w:pStyle w:val="TextoNormal"/>
      </w:pPr>
    </w:p>
    <w:p w14:paraId="748D5F1C" w14:textId="77777777" w:rsidR="009D7677" w:rsidRDefault="009D7677" w:rsidP="009D7677">
      <w:pPr>
        <w:pStyle w:val="TextoNormal"/>
      </w:pPr>
      <w:r>
        <w:t xml:space="preserve">(iii) Tratándose de la ampliación de un plazo procesal, no se le puede negar a la recurrente el acceso a la Justicia por la anulación de una resolución firme, cuando ha actuado </w:t>
      </w:r>
      <w:r>
        <w:lastRenderedPageBreak/>
        <w:t>de acuerdo con los dictados de la administración de justicia, porque de otra forma se le está privando de su derecho a la tutela judicial efectiva y del acceso al recurso, en beneficio de la parte que consintió la firmeza del acto que ahora se pretende anular. La parte ha quedado indefensa, ya que no se le ha permitido obtener la justicia que recababa por causas ajenas a una actuación reprochable jurídicamente.</w:t>
      </w:r>
    </w:p>
    <w:p w14:paraId="3E59931C" w14:textId="77777777" w:rsidR="009D7677" w:rsidRDefault="009D7677" w:rsidP="009D7677">
      <w:pPr>
        <w:pStyle w:val="TextoNormal"/>
      </w:pPr>
    </w:p>
    <w:p w14:paraId="4EE8C306" w14:textId="759AEC08" w:rsidR="009D7677" w:rsidRDefault="009D7677" w:rsidP="009D7677">
      <w:pPr>
        <w:pStyle w:val="TextoNormal"/>
      </w:pPr>
      <w:r>
        <w:t>(iv) Aun en el caso de estimarse que en la ampliación del plazo concedida por la letrada de la administración de justicia existió un defecto procesal de tal entidad que resulta inasumible para nuestro sistema jurídico y debe corregirse, la única forma de no vulnerar el derecho a la tutela judicial efectiva sería la retrotracción del proceso al momento en que se dictó la diligencia ampliando el plazo, pues la consecuencia del error padecido por la letrada de la administración de justicia no puede ser la inadmisión del recurso de aquel a quien no se puede reprochar conducta antijurídica alguna.</w:t>
      </w:r>
    </w:p>
    <w:p w14:paraId="55C4B5AE" w14:textId="77777777" w:rsidR="009D7677" w:rsidRDefault="009D7677" w:rsidP="009D7677">
      <w:pPr>
        <w:pStyle w:val="TextoNormal"/>
      </w:pPr>
    </w:p>
    <w:p w14:paraId="5B9398F8" w14:textId="0B4EE847" w:rsidR="009D7677" w:rsidRDefault="009D7677" w:rsidP="009D7677">
      <w:pPr>
        <w:pStyle w:val="TextoNormal"/>
      </w:pPr>
      <w:r w:rsidRPr="009D7677">
        <w:rPr>
          <w:rStyle w:val="NumeroAFNegritaCaracter"/>
        </w:rPr>
        <w:t>4</w:t>
      </w:r>
      <w:r>
        <w:t>. La Sección Cuarta de este tribunal dictó providencia el 9 de mayo de 2022 por la que acordó admitir a trámite el recurso, “apreciando que concurre en el mismo una especial trascendencia constitucional (art. 50.1 LOTC) porque el recurso plantea un problema o afecta a una faceta de un derecho fundamental sobre el que no hay doctrina de este tribunal [STC 155/2009, FJ 2 a)]”; dirigir atenta comunicación a la Sala de lo Social del Tribunal Supremo y a la Sala de lo Social del Tribunal Superior de Justicia de Castilla y León, sede en Valladolid, a fin de que, en plazo que no exceda de diez días, remitieran íntegramente lo actuado en el recurso de casación para la unificación de doctrina núm. 3948-2020, y en el recurso de suplicación núm. 125-2020; igualmente, dirigir atenta comunicación al Juzgado de lo Social núm. 3 de León a fin de que, en plazo que no exceda de diez días, remitiera testimonio de las actuaciones correspondientes al procedimiento de ejecución de títulos judiciales núm. 93-2018; debiendo previamente emplazarse, para que en el plazo de diez días puedan comparecer, si lo desean, en el recurso de amparo, a quienes hubieran sido parte en el procedimiento, excepto la parte recurrente en amparo, y formar la correspondiente pieza separada de suspensión.</w:t>
      </w:r>
    </w:p>
    <w:p w14:paraId="24C61F95" w14:textId="77777777" w:rsidR="009D7677" w:rsidRDefault="009D7677" w:rsidP="009D7677">
      <w:pPr>
        <w:pStyle w:val="TextoNormal"/>
      </w:pPr>
    </w:p>
    <w:p w14:paraId="7477B301" w14:textId="40B5A52A" w:rsidR="009D7677" w:rsidRDefault="009D7677" w:rsidP="009D7677">
      <w:pPr>
        <w:pStyle w:val="TextoNormal"/>
      </w:pPr>
      <w:r w:rsidRPr="009D7677">
        <w:rPr>
          <w:rStyle w:val="NumeroAFNegritaCaracter"/>
        </w:rPr>
        <w:t>5</w:t>
      </w:r>
      <w:r>
        <w:t>. Por escrito presentado en el registro de este tribunal el 31 de mayo de 2022, la procuradora de los tribunales doña Sofía Pereda Gil, con la asistencia letrada de don Francisco Javier Solana Bajo, actuando en nombre y representación de don Simón Ronda Albalá, solicitó se tuviera a este último por personado y parte recurrida, entendiéndose con dicha procuradora las actuaciones sucesivas de este proceso.</w:t>
      </w:r>
    </w:p>
    <w:p w14:paraId="4CB071BA" w14:textId="77777777" w:rsidR="009D7677" w:rsidRDefault="009D7677" w:rsidP="009D7677">
      <w:pPr>
        <w:pStyle w:val="TextoNormal"/>
      </w:pPr>
    </w:p>
    <w:p w14:paraId="4FF6FD6D" w14:textId="2CEEC34D" w:rsidR="009D7677" w:rsidRDefault="009D7677" w:rsidP="009D7677">
      <w:pPr>
        <w:pStyle w:val="TextoNormal"/>
      </w:pPr>
      <w:r w:rsidRPr="009D7677">
        <w:rPr>
          <w:rStyle w:val="NumeroAFNegritaCaracter"/>
        </w:rPr>
        <w:t>6</w:t>
      </w:r>
      <w:r>
        <w:t>. El 1 de junio de 2022, la procuradora de los tribunales doña Blanca Berriatua Horta con la asistencia letrada de don Francisco Javier Berriatua Horta, actuando en nombre y representación de la mercantil GONFIESA, presentó escrito ante este tribunal solicitando que se tuviera a esta última por personada y parte recurrida, entendiéndose con dicha procuradora las actuaciones sucesivas de este proceso.</w:t>
      </w:r>
    </w:p>
    <w:p w14:paraId="1C812B3A" w14:textId="77777777" w:rsidR="009D7677" w:rsidRDefault="009D7677" w:rsidP="009D7677">
      <w:pPr>
        <w:pStyle w:val="TextoNormal"/>
      </w:pPr>
    </w:p>
    <w:p w14:paraId="75B197F2" w14:textId="46E0F504" w:rsidR="009D7677" w:rsidRDefault="009D7677" w:rsidP="009D7677">
      <w:pPr>
        <w:pStyle w:val="TextoNormal"/>
      </w:pPr>
      <w:r w:rsidRPr="009D7677">
        <w:rPr>
          <w:rStyle w:val="NumeroAFNegritaCaracter"/>
        </w:rPr>
        <w:t>7</w:t>
      </w:r>
      <w:r>
        <w:t>. Mediante diligencia de ordenación de la Secretaría de Justicia de la Sección Tercera de este tribunal, de 5 de julio de 2022, se acordó tener por personada y parte en el procedimiento a la procuradora de los tribunales doña Blanca Berriatua Horta, en nombre y representación de la mercantil GONFIESA, acordándose entender con ella las sucesivas actuaciones; tener por personada y parte a la procuradora doña Sofía Pereda Gil, en nom</w:t>
      </w:r>
      <w:r>
        <w:lastRenderedPageBreak/>
        <w:t>bre y representación de don Simón Ronda Albalá, acordándose entender con ella las actuaciones sucesivas de este proceso; y dar vista de las actuaciones recibidas a las partes personadas y al Ministerio Fiscal por plazo común de veinte días para presentar alegaciones, de conformidad con lo previsto en el art. 52.1 de la Ley Orgánica del Tribunal Constitucional (LOTC).</w:t>
      </w:r>
    </w:p>
    <w:p w14:paraId="74ADE87F" w14:textId="77777777" w:rsidR="009D7677" w:rsidRDefault="009D7677" w:rsidP="009D7677">
      <w:pPr>
        <w:pStyle w:val="TextoNormal"/>
      </w:pPr>
    </w:p>
    <w:p w14:paraId="415AB1AB" w14:textId="77777777" w:rsidR="009D7677" w:rsidRDefault="009D7677" w:rsidP="009D7677">
      <w:pPr>
        <w:pStyle w:val="TextoNormal"/>
      </w:pPr>
      <w:r w:rsidRPr="009D7677">
        <w:rPr>
          <w:rStyle w:val="NumeroAFNegritaCaracter"/>
        </w:rPr>
        <w:t>8</w:t>
      </w:r>
      <w:r>
        <w:t>. La representante procesal de don Simón Ronda Albalá presentó su escrito de alegaciones el 2 de septiembre de 2022, por el que interesó que se dictara resolución desestimatoria del recurso de amparo haciendo mención, en primer lugar, a la falta de cumplimiento de los requisitos de admisibilidad de la demanda de amparo. Así, entiende que la fundamentación ofrecida por la demandante de la especial trascendencia constitucional es endeble, confiriéndose relevancia constitucional a una cuestión circunstancial y sobre la que la parte demandante no ha aportado indicio alguno de que la resolución impugnada de 17 de diciembre de 2019 le haya podido producir una situación de indefensión material basada en una confianza legítima que pueda suponer una excepción al régimen general de plazos y preclusión.</w:t>
      </w:r>
    </w:p>
    <w:p w14:paraId="015CE48B" w14:textId="77777777" w:rsidR="009D7677" w:rsidRDefault="009D7677" w:rsidP="009D7677">
      <w:pPr>
        <w:pStyle w:val="TextoNormal"/>
      </w:pPr>
    </w:p>
    <w:p w14:paraId="58EC16A8" w14:textId="77777777" w:rsidR="009D7677" w:rsidRDefault="009D7677" w:rsidP="009D7677">
      <w:pPr>
        <w:pStyle w:val="TextoNormal"/>
      </w:pPr>
      <w:r>
        <w:t xml:space="preserve">Como segundo obstáculo procesal para la admisión del recurso, añade el inadecuado agotamiento de la vía judicial previa por la interposición de un recurso de casación para la unificación de doctrina improcedente y la omisión del trámite del incidente de nulidad de actuaciones ante el Tribunal Superior de Justicia al que se atribuye la lesión del derecho fundamental [art. 44.1 a) LOTC]. Para la parte, de conformidad con la STC 104/2021, de 10 de mayo, la inadmisión del recurso de amparo resulta aquí de la manifiesta improcedencia de la vía judicial previa de tutela del derecho fundamental elegida por la recurrente, dado que resultaba notorio el incumplimiento del requisito de contradicción entre las sentencias de contraste necesario en un recurso de casación para unificación de doctrina, por lo que debió promover un incidente excepcional de nulidad de actuaciones </w:t>
      </w:r>
      <w:r w:rsidRPr="009D7677">
        <w:rPr>
          <w:i/>
        </w:rPr>
        <w:t>ex</w:t>
      </w:r>
      <w:r>
        <w:t xml:space="preserve"> art. 241 de la Ley Orgánica del Poder Judicial (en adelante, LOPJ) y art. 228.1 LEC.</w:t>
      </w:r>
    </w:p>
    <w:p w14:paraId="25668636" w14:textId="77777777" w:rsidR="009D7677" w:rsidRDefault="009D7677" w:rsidP="009D7677">
      <w:pPr>
        <w:pStyle w:val="TextoNormal"/>
      </w:pPr>
    </w:p>
    <w:p w14:paraId="4D4787CE" w14:textId="36187273" w:rsidR="009D7677" w:rsidRDefault="009D7677" w:rsidP="009D7677">
      <w:pPr>
        <w:pStyle w:val="TextoNormal"/>
      </w:pPr>
      <w:r>
        <w:t>A continuación, entrando en el fondo de la lesión aducida por la empresa actora, señala que se ha distorsionado el debate procesal de la instancia para ocultar la readmisión irregular que llevó a cabo la demandante al declararse nulo el despido, porque no solo lo había hecho de manera extemporánea, sino que además lo readmitía en un centro de trabajo que dista cuatrocientos kilómetros del originario en el que trabajaba cuando se produjo el despido, alegando que la empresa GONFIESA había cesado en la actividad y que Babé carecía de centro de trabajo propio en León. Razona en tal sentido que una modificación sustancial de las condiciones de trabajo no es una modalidad de cumplimiento de una sentencia de despido. A ello hay que sumar que la cuestión de la consignación de la condena para el anuncio de recurso de suplicación contra los autos de 8 de octubre de 2019 y el originario de 16 de agosto de 2019, pues desde el inicio concurría una notoria voluntad de la demandante en amparo deliberadamente rebelde al cumplimiento de los requisitos de admisión relacionados con el cumplimiento de las cargas procesales de consignación del importe de la condena, y que respondía a una estrategia dirigida a la claudicación del trabajador en sus iniciativas procesales y extinción del contrato de trabajo al amparo del art. 40 del Estatuto de los trabajadores dadas las condiciones en las que debía reincorporarse al trabajo.</w:t>
      </w:r>
    </w:p>
    <w:p w14:paraId="7F270698" w14:textId="77777777" w:rsidR="009D7677" w:rsidRDefault="009D7677" w:rsidP="009D7677">
      <w:pPr>
        <w:pStyle w:val="TextoNormal"/>
      </w:pPr>
    </w:p>
    <w:p w14:paraId="350ED056" w14:textId="77777777" w:rsidR="009D7677" w:rsidRDefault="009D7677" w:rsidP="009D7677">
      <w:pPr>
        <w:pStyle w:val="TextoNormal"/>
      </w:pPr>
      <w:r w:rsidRPr="009D7677">
        <w:rPr>
          <w:rStyle w:val="NumeroAFNegritaCaracter"/>
        </w:rPr>
        <w:lastRenderedPageBreak/>
        <w:t>9</w:t>
      </w:r>
      <w:r>
        <w:t>. El fiscal ante el Tribunal Constitucional presentó escrito de alegaciones el 8 de septiembre de 2022, interesando que dicte sentencia otorgando el amparo a la recurrente.</w:t>
      </w:r>
    </w:p>
    <w:p w14:paraId="0AC071CD" w14:textId="77777777" w:rsidR="009D7677" w:rsidRDefault="009D7677" w:rsidP="009D7677">
      <w:pPr>
        <w:pStyle w:val="TextoNormal"/>
      </w:pPr>
    </w:p>
    <w:p w14:paraId="1949375F" w14:textId="77777777" w:rsidR="009D7677" w:rsidRDefault="009D7677" w:rsidP="009D7677">
      <w:pPr>
        <w:pStyle w:val="TextoNormal"/>
      </w:pPr>
      <w:r>
        <w:t xml:space="preserve">Como cuestión previa advierte que, aunque la demandante alegue varias vulneraciones de derechos fundamentales </w:t>
      </w:r>
      <w:r w:rsidRPr="009D7677">
        <w:rPr>
          <w:i/>
        </w:rPr>
        <w:t>ex</w:t>
      </w:r>
      <w:r>
        <w:t xml:space="preserve"> art. 24 CE (acceso a los recursos, intangibilidad de las resoluciones judiciales firmes e indefensión), en relación con la no discriminación (art. 14 CE) y el principio de seguridad jurídica (art. 9.3 CE), en realidad habría un único motivo de amparo por la infracción del derecho a la tutela judicial efectiva sin indefensión del art. 24.1 CE, aunque, habiéndose alegado discriminación en la demanda de amparo (art. 14 CE), considera procedente responder sobre tal vulneración.</w:t>
      </w:r>
    </w:p>
    <w:p w14:paraId="6416E2E2" w14:textId="77777777" w:rsidR="009D7677" w:rsidRDefault="009D7677" w:rsidP="009D7677">
      <w:pPr>
        <w:pStyle w:val="TextoNormal"/>
      </w:pPr>
    </w:p>
    <w:p w14:paraId="07F59611" w14:textId="77777777" w:rsidR="009D7677" w:rsidRDefault="009D7677" w:rsidP="009D7677">
      <w:pPr>
        <w:pStyle w:val="TextoNormal"/>
      </w:pPr>
      <w:r>
        <w:t xml:space="preserve">Tras recordar la doctrina constitucional sobre el derecho a la tutela judicial efectiva, en sus vertientes de derecho a la intangibilidad de las resoluciones judiciales firmes (STC 256/2006, de 11 de septiembre, FJ 3) y especialmente la relativa a los presupuestos para la admisión de los recursos ordinarios, subraya que esta última es una cuestión de orden público procesal, cuyo conocimiento compete al órgano judicial superior que debe resolver el recurso y que puede apreciar la existencia de vicios que hayan podido pasar inadvertidos al juez </w:t>
      </w:r>
      <w:r w:rsidRPr="009D7677">
        <w:rPr>
          <w:i/>
        </w:rPr>
        <w:t>a quo</w:t>
      </w:r>
      <w:r>
        <w:t xml:space="preserve"> y, al hacerlo, no lesiona el derecho a la intangibilidad de unas resoluciones judiciales que no son suyas y a las que no tiene por qué sentirse vinculado.</w:t>
      </w:r>
    </w:p>
    <w:p w14:paraId="2DA5D550" w14:textId="77777777" w:rsidR="009D7677" w:rsidRDefault="009D7677" w:rsidP="009D7677">
      <w:pPr>
        <w:pStyle w:val="TextoNormal"/>
      </w:pPr>
    </w:p>
    <w:p w14:paraId="5DCE0C5B" w14:textId="77777777" w:rsidR="009D7677" w:rsidRDefault="009D7677" w:rsidP="009D7677">
      <w:pPr>
        <w:pStyle w:val="TextoNormal"/>
      </w:pPr>
      <w:r>
        <w:t>Respecto del derecho a los recursos, subraya que, con carácter general, la doctrina constitucional viene afirmando que, tratándose de un derecho de configuración legal, para que no haya vulneración constitucional basta con que la interpretación o aplicación de las normas que regulan los recursos no haya sido arbitraria, irracional o ilógica ni haya incurrido en error patente (STC 30/2022, de 7 de marzo, FJ 3). Específicamente, cuando se alega vulneración de la tutela judicial efectiva por la inadmisión de un recurso que ha sido planteado siguiendo las indicaciones del órgano judicial, que luego se revelan erróneas, el criterio de este tribunal sigue siendo que “el interesado, aun estando asistido por expertos en la materia, podría entender, por la autoridad inherente a la decisión judicial, que tales indicaciones fueren ciertas y obrara en consecuencia, inducido así a error que, por tanto, sería excusable (STC 102/1987) y no podría serle imputado porque ‘los errores de los órganos judiciales no deben producir efectos negativos en la esfera del ciudadano’ (SSTC 93/1983 y 172/1985)” (STC 67/1994, de 28 de febrero, FJ 3). Así se expresa, entre otras, la STC 241/2006, de 20 de julio, FJ 3, que enjuicia un caso en el que los argumentos del demandante de amparo fueron muy similares a los sostenidos en la presente demanda.</w:t>
      </w:r>
    </w:p>
    <w:p w14:paraId="1B38C879" w14:textId="77777777" w:rsidR="009D7677" w:rsidRDefault="009D7677" w:rsidP="009D7677">
      <w:pPr>
        <w:pStyle w:val="TextoNormal"/>
      </w:pPr>
    </w:p>
    <w:p w14:paraId="3B6A125C" w14:textId="77777777" w:rsidR="009D7677" w:rsidRDefault="009D7677" w:rsidP="009D7677">
      <w:pPr>
        <w:pStyle w:val="TextoNormal"/>
      </w:pPr>
      <w:r>
        <w:t xml:space="preserve">En este caso, la nueva fecha límite que se concede para la actuación procesal de la parte (sea interponer el recurso o sea completar la consignación) procede de un error del órgano judicial al conceder una ampliación del plazo por unos motivos que no están previstos en la ley, siendo indiferente que el error fuera precedido de una petición de parte, pues esta no trata de engañar al juzgado, como parece dar a entender la sentencia que inadmite el recurso de suplicación, sino poder completar la consignación. Tal razón no puede tildarse de irracional o arbitraria y, aunque haya sido equivocada la concesión de la ampliación del plazo, tal patente error judicial no debe producir efectos negativos en la esfera del ciudadano, dado que este cayó en un error excusable al entender que las indicaciones hechas por la autoridad judicial debieran ser ciertas, o como en este caso que la interpretación de las normas realizada en la diligencia de ordenación que le concedió el nuevo plazo era correcta (STC 256/2006, de 11 de septiembre). Esta solución no desconoce los derechos de la </w:t>
      </w:r>
      <w:r>
        <w:lastRenderedPageBreak/>
        <w:t>otra parte, pues la misma no actuó con toda la diligencia que le era exigible, dado que, si bien es cierto que se opuso en el trámite ante el órgano superior a la admisión del recurso, solo impugnó en reposición la diligencia de ordenación de 17 de diciembre de 2019, en la que se otorgaba a la demandante de amparo nuevo plazo para recurrir, y no el decreto de 7 de julio de 2020 que confirmaba dicha diligencia, aquietándose pues con la confirmación hecha en el decreto al no recurrirlo.</w:t>
      </w:r>
    </w:p>
    <w:p w14:paraId="48CAD491" w14:textId="77777777" w:rsidR="009D7677" w:rsidRDefault="009D7677" w:rsidP="009D7677">
      <w:pPr>
        <w:pStyle w:val="TextoNormal"/>
      </w:pPr>
    </w:p>
    <w:p w14:paraId="049E6CD8" w14:textId="77777777" w:rsidR="009D7677" w:rsidRDefault="009D7677" w:rsidP="009D7677">
      <w:pPr>
        <w:pStyle w:val="TextoNormal"/>
      </w:pPr>
      <w:r>
        <w:t>Por lo que concierne a la alegación de discriminación, el fiscal considera que no estamos ante un caso de discriminación porque la demanda no se refiere a ningún supuesto de discriminación de los previstos en el art. 14 CE, y respecto al derecho de igualdad no se aporta ningún término de comparación que permita afirmar que la decisión de la inadmisión del recurso introduce una diferencia de trato perjudicial entre situaciones que pueden considerarse iguales; precisamente, lo que pretende el recurrente es que se le trate de un modo diferente a aquellos recurrentes que, como él, hayan presentado un recurso fuera del plazo legalmente previsto, porque a él se le concedió una ampliación de plazo por el órgano judicial.</w:t>
      </w:r>
    </w:p>
    <w:p w14:paraId="53F03D33" w14:textId="77777777" w:rsidR="009D7677" w:rsidRDefault="009D7677" w:rsidP="009D7677">
      <w:pPr>
        <w:pStyle w:val="TextoNormal"/>
      </w:pPr>
    </w:p>
    <w:p w14:paraId="644532BD" w14:textId="44A46A6A" w:rsidR="009D7677" w:rsidRDefault="009D7677" w:rsidP="009D7677">
      <w:pPr>
        <w:pStyle w:val="TextoNormal"/>
      </w:pPr>
      <w:r>
        <w:t>Por lo expuesto, el Ministerio Fiscal considera que se ha vulnerado el derecho del demandante de amparo a la tutela judicial efectiva sin indefensión del art. 24.1 CE, en su vertiente de acceso al recurso, y procede, en consecuencia, declarar la nulidad de las resoluciones impugnadas y la retroacción de actuaciones al momento anterior a dictar sentencia, para que se dicte una nueva acorde con el derecho fundamental vulnerado por parte del Tribunal Superior de Justicia.</w:t>
      </w:r>
    </w:p>
    <w:p w14:paraId="15D44D9E" w14:textId="77777777" w:rsidR="009D7677" w:rsidRDefault="009D7677" w:rsidP="009D7677">
      <w:pPr>
        <w:pStyle w:val="TextoNormal"/>
      </w:pPr>
    </w:p>
    <w:p w14:paraId="3505CBD2" w14:textId="3A68F45B" w:rsidR="009D7677" w:rsidRDefault="009D7677" w:rsidP="009D7677">
      <w:pPr>
        <w:pStyle w:val="TextoNormal"/>
      </w:pPr>
      <w:r w:rsidRPr="009D7677">
        <w:rPr>
          <w:rStyle w:val="NumeroAFNegritaCaracter"/>
        </w:rPr>
        <w:t>10</w:t>
      </w:r>
      <w:r>
        <w:t>. Respecto de la solicitud de suspensión formulada por la recurrente en amparo mediante otrosí de su escrito de demanda, por ATC 93/2022, de 13 de junio, se acordó denegar la medida cautelar solicitada.</w:t>
      </w:r>
    </w:p>
    <w:p w14:paraId="46F886C5" w14:textId="77777777" w:rsidR="009D7677" w:rsidRDefault="009D7677" w:rsidP="009D7677">
      <w:pPr>
        <w:pStyle w:val="TextoNormal"/>
      </w:pPr>
    </w:p>
    <w:p w14:paraId="715C83F1" w14:textId="5105494E" w:rsidR="009D7677" w:rsidRDefault="009D7677" w:rsidP="009D7677">
      <w:pPr>
        <w:pStyle w:val="TextoNormal"/>
      </w:pPr>
      <w:r w:rsidRPr="009D7677">
        <w:rPr>
          <w:rStyle w:val="NumeroAFNegritaCaracter"/>
        </w:rPr>
        <w:t>11</w:t>
      </w:r>
      <w:r>
        <w:t>. Por la Secretaría de Justicia se dictó diligencia el 14 de septiembre de 2022, dejando constancia de la presentación de los escritos de alegaciones del Ministerio Fiscal y de la representante procesal de don Simón Ronda Albalá, no constando presentado dentro del plazo del art. 52 LOTC, o con posterioridad, ningún escrito de alegaciones de las entidades Babé y GONFIESA en contestación al traslado conferido; quedando así el asunto concluso y pendiente para deliberación cuando por turno correspondiera.</w:t>
      </w:r>
    </w:p>
    <w:p w14:paraId="153F8399" w14:textId="77777777" w:rsidR="009D7677" w:rsidRDefault="009D7677" w:rsidP="009D7677">
      <w:pPr>
        <w:pStyle w:val="TextoNormal"/>
      </w:pPr>
    </w:p>
    <w:p w14:paraId="0FD1D0C1" w14:textId="2B088FEE" w:rsidR="009D7677" w:rsidRDefault="009D7677" w:rsidP="009D7677">
      <w:pPr>
        <w:pStyle w:val="TextoNormal"/>
      </w:pPr>
      <w:r w:rsidRPr="009D7677">
        <w:rPr>
          <w:rStyle w:val="NumeroAFNegritaCaracter"/>
        </w:rPr>
        <w:t>12</w:t>
      </w:r>
      <w:r>
        <w:t>. El 19 de abril de 2023, el secretario de justicia dictó diligencia de ordenación poniendo de manifiesto que, en virtud del acuerdo adoptado por el Pleno del Tribunal Constitucional el día 17 de enero de 2023, publicado en el “Boletín Oficial del Estado” de 19 de enero, el presente recurso de amparo había sido turnado a la Sección Tercera de la Sala Segunda del Tribunal Constitucional.</w:t>
      </w:r>
    </w:p>
    <w:p w14:paraId="7BE65347" w14:textId="77777777" w:rsidR="009D7677" w:rsidRDefault="009D7677" w:rsidP="009D7677">
      <w:pPr>
        <w:pStyle w:val="TextoNormal"/>
      </w:pPr>
    </w:p>
    <w:p w14:paraId="3638F461" w14:textId="42040774" w:rsidR="009D7677" w:rsidRDefault="009D7677" w:rsidP="009D7677">
      <w:pPr>
        <w:pStyle w:val="TextoNormal"/>
      </w:pPr>
      <w:r w:rsidRPr="009D7677">
        <w:rPr>
          <w:rStyle w:val="NumeroAFNegritaCaracter"/>
        </w:rPr>
        <w:t>13</w:t>
      </w:r>
      <w:r>
        <w:t>. Mediante providencia de 11 de enero de 2024, se señaló para deliberación y votación de la presente sentencia el día 15 del mismo mes y año.</w:t>
      </w:r>
    </w:p>
    <w:p w14:paraId="7783F107" w14:textId="77777777" w:rsidR="009D7677" w:rsidRDefault="009D7677" w:rsidP="009D7677">
      <w:pPr>
        <w:pStyle w:val="TextoNormal"/>
      </w:pPr>
    </w:p>
    <w:p w14:paraId="570A23DC" w14:textId="77777777" w:rsidR="009D7677" w:rsidRDefault="009D7677" w:rsidP="009D7677">
      <w:pPr>
        <w:pStyle w:val="TextoNormalNegritaCentrado"/>
        <w:keepNext/>
      </w:pPr>
      <w:r>
        <w:lastRenderedPageBreak/>
        <w:t>II. Fundamentos jurídicos</w:t>
      </w:r>
    </w:p>
    <w:p w14:paraId="121B56F3" w14:textId="3DE360EC" w:rsidR="009D7677" w:rsidRDefault="009D7677" w:rsidP="009D7677">
      <w:pPr>
        <w:pStyle w:val="TextoNormalNegritaCentrado"/>
        <w:keepNext/>
      </w:pPr>
    </w:p>
    <w:p w14:paraId="1BA0DEF0" w14:textId="77777777" w:rsidR="009D7677" w:rsidRDefault="009D7677" w:rsidP="009D7677">
      <w:pPr>
        <w:pStyle w:val="TextoNormal"/>
      </w:pPr>
      <w:r w:rsidRPr="009D7677">
        <w:rPr>
          <w:rStyle w:val="NumeroAFNegritaCaracter"/>
        </w:rPr>
        <w:t>1</w:t>
      </w:r>
      <w:r>
        <w:t xml:space="preserve">. </w:t>
      </w:r>
      <w:r w:rsidRPr="009D7677">
        <w:rPr>
          <w:i/>
        </w:rPr>
        <w:t>Objeto del recurso de amparo y pretensiones de las partes</w:t>
      </w:r>
    </w:p>
    <w:p w14:paraId="4D584F04" w14:textId="77777777" w:rsidR="009D7677" w:rsidRDefault="009D7677" w:rsidP="009D7677">
      <w:pPr>
        <w:pStyle w:val="TextoNormal"/>
      </w:pPr>
    </w:p>
    <w:p w14:paraId="110C17AE" w14:textId="77777777" w:rsidR="009D7677" w:rsidRDefault="009D7677" w:rsidP="009D7677">
      <w:pPr>
        <w:pStyle w:val="TextoNormal"/>
      </w:pPr>
      <w:r>
        <w:t>En el presente recurso, la entidad Babé y Cía., S.L. (en adelante, Babé), impugna la sentencia núm. 1483/2020 dictada en suplicación por la Sala de lo Social del Tribunal Superior de Justicia de Castilla León, sede en Valladolid, de 19 de octubre de 2020, dictada en los autos de recurso de suplicación núm. 1257-2020, y el auto de la Sala de lo Social del Tribunal Supremo de inadmisión del recurso de casación para unificación doctrina núm. 3948-2020, presentado contra la citada sentencia, interesando la nulidad de las mencionadas resoluciones por infracción del derecho a la tutela judicial efectiva (art. 24.1 CE) en sus vertientes del derecho a la intangibilidad de las resoluciones judiciales firmes y del derecho de acceso a los recursos legalmente establecidos, en relación con el derecho a no ser discriminada (art. 14 CE) y al principio de seguridad jurídica (art. 9.3 CE).</w:t>
      </w:r>
    </w:p>
    <w:p w14:paraId="30F21BEE" w14:textId="77777777" w:rsidR="009D7677" w:rsidRDefault="009D7677" w:rsidP="009D7677">
      <w:pPr>
        <w:pStyle w:val="TextoNormal"/>
      </w:pPr>
    </w:p>
    <w:p w14:paraId="2BA97D31" w14:textId="77777777" w:rsidR="009D7677" w:rsidRDefault="009D7677" w:rsidP="009D7677">
      <w:pPr>
        <w:pStyle w:val="TextoNormal"/>
      </w:pPr>
      <w:r>
        <w:t>En síntesis, la demanda de amparo considera que su actuación no merece reproche alguno y aún menos la inadmisión por el Tribunal Superior de Justicia de su recurso de suplicación, pues si la letrada de la administración de justicia erró al ampliar el plazo de subsanación al no concurrir fuerza mayor, la demandante no solo cumplió el nuevo plazo, sino que lo hizo en la confianza legítima de que su comportamiento era ajustado a derecho. En tal sentido sostiene que el derecho a la intangibilidad (art. 24.1 CE) actúa como límite que impide a los tribunales revisar las resoluciones judiciales firmes, salvo en supuestos taxativamente previstos por ley, incluso en la hipótesis de que con posterioridad se entendiera que la decisión no era ajustada a la legalidad. En conclusión, desde el momento en el que se le reconoció por la letrada de la administración de justicia la concesión de una ampliación del plazo, y la resolución que contenía esa decisión devino firme, se debería tener la certeza de que tal decisión no va a poder ser reexaminada de nuevo. Máxime cuando de esa decisión pende la admisibilidad o no del recurso que se pretende interponer y la conducta de la parte ha sido irreprochable.</w:t>
      </w:r>
    </w:p>
    <w:p w14:paraId="1A93B47B" w14:textId="77777777" w:rsidR="009D7677" w:rsidRDefault="009D7677" w:rsidP="009D7677">
      <w:pPr>
        <w:pStyle w:val="TextoNormal"/>
      </w:pPr>
    </w:p>
    <w:p w14:paraId="24D07DFB" w14:textId="77777777" w:rsidR="009D7677" w:rsidRDefault="009D7677" w:rsidP="009D7677">
      <w:pPr>
        <w:pStyle w:val="TextoNormal"/>
      </w:pPr>
      <w:r>
        <w:t>Además, añade que en este caso se ha visto afectado el derecho a la no discriminación (art. 14 CE), en tanto que una resolución judicial que inadmite un recurso por incumplimiento de un plazo, cuando previamente ha sido la propia administración de justicia la que ha otorgado ese plazo al administrado, estaría discriminando de forma arbitraria a quienes siguen las instrucciones de la administración de justicia frente a los demás administrados que sí pueden acceder a los recursos.</w:t>
      </w:r>
    </w:p>
    <w:p w14:paraId="0C22D03E" w14:textId="77777777" w:rsidR="009D7677" w:rsidRDefault="009D7677" w:rsidP="009D7677">
      <w:pPr>
        <w:pStyle w:val="TextoNormal"/>
      </w:pPr>
    </w:p>
    <w:p w14:paraId="2DEB6FC2" w14:textId="77777777" w:rsidR="009D7677" w:rsidRDefault="009D7677" w:rsidP="009D7677">
      <w:pPr>
        <w:pStyle w:val="TextoNormal"/>
      </w:pPr>
      <w:r>
        <w:t>Por su parte, don Simón Ronda Albalá ha interesado que se dicte resolución desestimatoria por la falta de cumplimiento de los requisitos de admisibilidad de la demanda de amparo; concretamente, por la insuficiente justificación de la especial trascendencia constitucional del recurso y el defectuoso agotamiento de la vía judicial previa, al haberse interpuesto un recurso de casación para la unificación de doctrina improcedente y haber omitido el planteamiento del incidente de nulidad de actuaciones ante el Tribunal Superior de Justicia al que se atribuye la lesión del derecho fundamental [art. 44.1 a) LOTC].</w:t>
      </w:r>
    </w:p>
    <w:p w14:paraId="607F6B3C" w14:textId="77777777" w:rsidR="009D7677" w:rsidRDefault="009D7677" w:rsidP="009D7677">
      <w:pPr>
        <w:pStyle w:val="TextoNormal"/>
      </w:pPr>
    </w:p>
    <w:p w14:paraId="5E7C252C" w14:textId="77777777" w:rsidR="009D7677" w:rsidRDefault="009D7677" w:rsidP="009D7677">
      <w:pPr>
        <w:pStyle w:val="TextoNormal"/>
      </w:pPr>
      <w:r>
        <w:t>En cuanto al fondo del asunto, señala que se ha distorsionado el debate con cuestiones procesales, pues desde el inicio concurría una notoria voluntad de la demandante deliberadamente rebelde al cumplimiento de los requisitos de admisión relacionados con el cum</w:t>
      </w:r>
      <w:r>
        <w:lastRenderedPageBreak/>
        <w:t xml:space="preserve">plimiento de las cargas procesales de consignación del importe de la condena, y que respondía a una estrategia dirigida a la claudicación del trabajador. Por lo demás, insiste en que en este caso no puede apreciarse ningún género de indefensión material a resultas del dictado de la diligencia de ordenación de 17 de diciembre de 2019, pues la confianza legítima y el derecho a la intangibilidad </w:t>
      </w:r>
      <w:r w:rsidRPr="009D7677">
        <w:rPr>
          <w:i/>
        </w:rPr>
        <w:t>ex</w:t>
      </w:r>
      <w:r>
        <w:t xml:space="preserve"> art. 24.1 CE se puede predicar de decisiones judiciales firmes, pero no de una resolución interlocutoria cuya revisión no se agota ante el órgano judicial de instancia, sino que puede ejercitarla el tribunal de suplicación con una decisión de inadmisión.</w:t>
      </w:r>
    </w:p>
    <w:p w14:paraId="469B8103" w14:textId="77777777" w:rsidR="009D7677" w:rsidRDefault="009D7677" w:rsidP="009D7677">
      <w:pPr>
        <w:pStyle w:val="TextoNormal"/>
      </w:pPr>
    </w:p>
    <w:p w14:paraId="01F7AB3B" w14:textId="6BDC882D" w:rsidR="009D7677" w:rsidRDefault="009D7677" w:rsidP="009D7677">
      <w:pPr>
        <w:pStyle w:val="TextoNormal"/>
      </w:pPr>
      <w:r>
        <w:t>El fiscal interesa la estimación de la demanda de amparo por entender que, conforme a la doctrina constitucional, cuando se alega vulneración de la tutela judicial efectiva por la inadmisión de un recurso que ha sido planteado siguiendo las indicaciones del órgano judicial, que luego se revelan erróneas, tal error sería excusable (STC 241/2006 de 20 de julio, FJ 3). En este caso, aunque haya sido equivocada la concesión de la ampliación del plazo para proceder a la consignación necesaria para la admisión del recurso de suplicación, tal patente error judicial no debe producir efectos negativos en la esfera de la demandante, dado que se trata de un error excusable. Por lo demás, esta solución no desconoce los derechos de la otra parte, que no actuó con toda la diligencia que le era exigible, dado que, si bien es cierto que se opuso en el trámite ante el órgano superior a la admisión del recurso, solo impugnó en reposición la diligencia de ordenación de 17 de diciembre de 2019, en la que se otorgaba a la demandante de amparo nuevo plazo para recurrir, y no el decreto de 7 de julio de 2020 que confirmaba dicha diligencia, aquietándose pues con la confirmación hecha en el decreto al no recurrir este.</w:t>
      </w:r>
    </w:p>
    <w:p w14:paraId="555EE002" w14:textId="77777777" w:rsidR="009D7677" w:rsidRDefault="009D7677" w:rsidP="009D7677">
      <w:pPr>
        <w:pStyle w:val="TextoNormal"/>
      </w:pPr>
    </w:p>
    <w:p w14:paraId="45344F5D" w14:textId="77777777" w:rsidR="009D7677" w:rsidRDefault="009D7677" w:rsidP="009D7677">
      <w:pPr>
        <w:pStyle w:val="TextoNormal"/>
      </w:pPr>
      <w:r w:rsidRPr="009D7677">
        <w:rPr>
          <w:rStyle w:val="NumeroAFNegritaCaracter"/>
        </w:rPr>
        <w:t>2</w:t>
      </w:r>
      <w:r>
        <w:t xml:space="preserve">. </w:t>
      </w:r>
      <w:r w:rsidRPr="009D7677">
        <w:rPr>
          <w:i/>
        </w:rPr>
        <w:t>Óbices procesales</w:t>
      </w:r>
    </w:p>
    <w:p w14:paraId="52B07C95" w14:textId="77777777" w:rsidR="009D7677" w:rsidRDefault="009D7677" w:rsidP="009D7677">
      <w:pPr>
        <w:pStyle w:val="TextoNormal"/>
      </w:pPr>
    </w:p>
    <w:p w14:paraId="6B8E2A39" w14:textId="77777777" w:rsidR="009D7677" w:rsidRDefault="009D7677" w:rsidP="009D7677">
      <w:pPr>
        <w:pStyle w:val="TextoNormal"/>
      </w:pPr>
      <w:r>
        <w:t>Dos son los óbices procesales que señala el representante procesal de don Simón Ronda Albalá en su escrito de alegaciones y que, en caso de ser estimados, conllevarían la inadmisión de la demanda de amparo.</w:t>
      </w:r>
    </w:p>
    <w:p w14:paraId="60EF2619" w14:textId="77777777" w:rsidR="009D7677" w:rsidRDefault="009D7677" w:rsidP="009D7677">
      <w:pPr>
        <w:pStyle w:val="TextoNormal"/>
      </w:pPr>
    </w:p>
    <w:p w14:paraId="5B967B02" w14:textId="77777777" w:rsidR="009D7677" w:rsidRDefault="009D7677" w:rsidP="009D7677">
      <w:pPr>
        <w:pStyle w:val="TextoNormal"/>
      </w:pPr>
      <w:r>
        <w:t xml:space="preserve">a) </w:t>
      </w:r>
      <w:r w:rsidRPr="009D7677">
        <w:rPr>
          <w:i/>
        </w:rPr>
        <w:t>La justificación de la especial trascendencia constitucional del recurso de amparo</w:t>
      </w:r>
    </w:p>
    <w:p w14:paraId="2C4BCD47" w14:textId="77777777" w:rsidR="009D7677" w:rsidRDefault="009D7677" w:rsidP="009D7677">
      <w:pPr>
        <w:pStyle w:val="TextoNormal"/>
      </w:pPr>
    </w:p>
    <w:p w14:paraId="581BF90A" w14:textId="77777777" w:rsidR="009D7677" w:rsidRDefault="009D7677" w:rsidP="009D7677">
      <w:pPr>
        <w:pStyle w:val="TextoNormal"/>
      </w:pPr>
      <w:r>
        <w:t>En primer lugar, se hace referencia a la endeble fundamentación ofrecida por la demandante de la especial trascendencia constitucional de su recurso (art. 49.1 LOTC), que confiriere relevancia constitucional a una cuestión circunstancial y sobre la que la parte demandante no ha aportado indicio alguno de que la resolución impugnada de 17 de diciembre de 2019 le haya podido producir una situación de indefensión material basada en una confianza legítima que pueda suponer una excepción al régimen general de plazos y preclusión.</w:t>
      </w:r>
    </w:p>
    <w:p w14:paraId="2E05F63B" w14:textId="77777777" w:rsidR="009D7677" w:rsidRDefault="009D7677" w:rsidP="009D7677">
      <w:pPr>
        <w:pStyle w:val="TextoNormal"/>
      </w:pPr>
    </w:p>
    <w:p w14:paraId="5B14193B" w14:textId="77777777" w:rsidR="009D7677" w:rsidRDefault="009D7677" w:rsidP="009D7677">
      <w:pPr>
        <w:pStyle w:val="TextoNormal"/>
      </w:pPr>
      <w:r>
        <w:t xml:space="preserve">Este motivo de inadmisión ha de ser rechazado. Como recordábamos recientemente en la STC 122/2022, de 10 de octubre, FJ 2, “la especial trascendencia constitucional del recurso de amparo constituye un requisito sustantivo que es objeto de valoración por este tribunal en el trámite de admisión del recurso. En consecuencia, corresponde únicamente al Tribunal Constitucional apreciar en cada caso, al decidir sobre la admisión a trámite de la demanda de amparo, si concurre o no ese requisito material, esto es, si el contenido del recurso justifica una decisión sobre el fondo, atendiendo a los criterios establecidos en el art. 50.1 b) LOTC (entre otras muchas, SSTC 155/2009, de 25 de junio, FJ 2; 126/2013, </w:t>
      </w:r>
      <w:r>
        <w:lastRenderedPageBreak/>
        <w:t>de 3 de junio, FJ 2; 9/2015, de 2 de febrero, FJ 3; 143/2016, de 19 de septiembre, FJ 2; 166/2016, de 6 de octubre, FJ 2, y 136/2017, de 27 de noviembre, FJ 2)”.</w:t>
      </w:r>
    </w:p>
    <w:p w14:paraId="2A8F5C33" w14:textId="77777777" w:rsidR="009D7677" w:rsidRDefault="009D7677" w:rsidP="009D7677">
      <w:pPr>
        <w:pStyle w:val="TextoNormal"/>
      </w:pPr>
    </w:p>
    <w:p w14:paraId="1895C59D" w14:textId="77777777" w:rsidR="009D7677" w:rsidRDefault="009D7677" w:rsidP="009D7677">
      <w:pPr>
        <w:pStyle w:val="TextoNormal"/>
      </w:pPr>
      <w:r>
        <w:t>En el presente caso, el Tribunal entendió que procedía la admisión a trámite de la demanda de amparo al apreciar que el recurso plantea un problema o afecta a una faceta de un derecho fundamental sobre el que no hay doctrina de este tribunal [STC 155/2009, FJ 2 a)]. No advertimos que concurran razones para revisar ahora esa apreciación. Ciertamente, este tribunal ha tenido la oportunidad de pronunciarse en repetidas ocasiones en torno a la denegación injustificada del derecho a la obtención de una resolución sobre el fondo del asunto planteado y el derecho de acceso al recurso y, concretamente, con relación a supuestos en los que los órganos judiciales habían vedado a la parte la posibilidad de subsanación de los defectos advertidos cuando tal subsanación resultaba pertinente conforme a la legalidad aplicable. También sobre casos en los que los órganos judiciales ofrecieron en su resolución un erróneo pie de recursos que derivó después en una incorrecta actuación procesal propiciada por las indicaciones del órgano judicial.</w:t>
      </w:r>
    </w:p>
    <w:p w14:paraId="33754C2F" w14:textId="77777777" w:rsidR="009D7677" w:rsidRDefault="009D7677" w:rsidP="009D7677">
      <w:pPr>
        <w:pStyle w:val="TextoNormal"/>
      </w:pPr>
    </w:p>
    <w:p w14:paraId="403373DB" w14:textId="77777777" w:rsidR="009D7677" w:rsidRDefault="009D7677" w:rsidP="009D7677">
      <w:pPr>
        <w:pStyle w:val="TextoNormal"/>
      </w:pPr>
      <w:r>
        <w:t xml:space="preserve">Sin embargo, en este recurso de amparo lo controvertido es bien distinto. Como ha quedado señalado, nos encontramos con la denegación del derecho de acceso al recurso por haber apreciado el órgano judicial </w:t>
      </w:r>
      <w:r w:rsidRPr="009D7677">
        <w:rPr>
          <w:i/>
        </w:rPr>
        <w:t>ad quem</w:t>
      </w:r>
      <w:r>
        <w:t xml:space="preserve"> la extemporaneidad en el cumplimiento de un requisito legal (el de consignación o aseguramiento de la cantidad objeto de condena para recurrir en suplicación) cuando la parte había cumplimentado su obligación dentro del plazo concedido por la letrada de la administración de justicia quien, atendiendo a las circunstancias concurrentes, decidió la ampliación del mismo, resolución que no fue impugnada de contrario. Así, se plantea una cuestión que a juicio de este tribunal merece un pronunciamiento, por cuanto se da la paradoja de que cumplimentado debidamente un requisito procesal para el acceso al recurso (concretamente, dentro del plazo concedido por el propio órgano judicial), se tilda después por el órgano judicial superior como no cumplimentado al considerarse incorrecta la decisión de ampliación del plazo acordado en la instancia. A la vista de ello, conviene examinar si la inadmisión de un recurso por incumplimiento de los plazos de subsanación, cuando existe una resolución judicial firme que otorga la ampliación de tal plazo y la parte lo cumplimenta dentro del mismo, vulnera o no el derecho a la tutela judicial efectiva de la parte que actuó conforme a la misma. Las peculiaridades del actual recurso justifican su admisión a trámite, pues permite resolver un caso novedoso en materia de acceso al recurso [apartado a) del fundamento jurídico 2 de la STC 155/2009] o, en cualquier caso, seguir perfilando el alcance del derecho fundamental controvertido [apartado b) del fundamento jurídico 2 citado].</w:t>
      </w:r>
    </w:p>
    <w:p w14:paraId="73A6819F" w14:textId="77777777" w:rsidR="009D7677" w:rsidRDefault="009D7677" w:rsidP="009D7677">
      <w:pPr>
        <w:pStyle w:val="TextoNormal"/>
      </w:pPr>
    </w:p>
    <w:p w14:paraId="6578AC88" w14:textId="77777777" w:rsidR="009D7677" w:rsidRDefault="009D7677" w:rsidP="009D7677">
      <w:pPr>
        <w:pStyle w:val="TextoNormal"/>
      </w:pPr>
      <w:r>
        <w:t xml:space="preserve">b) </w:t>
      </w:r>
      <w:r w:rsidRPr="009D7677">
        <w:rPr>
          <w:i/>
        </w:rPr>
        <w:t>El agotamiento de la vía judicial previa al planteamiento del recurso de amparo</w:t>
      </w:r>
    </w:p>
    <w:p w14:paraId="7F297513" w14:textId="77777777" w:rsidR="009D7677" w:rsidRDefault="009D7677" w:rsidP="009D7677">
      <w:pPr>
        <w:pStyle w:val="TextoNormal"/>
      </w:pPr>
    </w:p>
    <w:p w14:paraId="4F28180A" w14:textId="77777777" w:rsidR="009D7677" w:rsidRDefault="009D7677" w:rsidP="009D7677">
      <w:pPr>
        <w:pStyle w:val="TextoNormal"/>
      </w:pPr>
      <w:r>
        <w:t xml:space="preserve">Como segundo obstáculo procesal para la admisión del recurso se invoca lo que se entiende que ha sido un inadecuado agotamiento de la vía judicial previa [art. 44.1 a) LOTC], por la interposición de un recurso de casación para la unificación de doctrina improcedente, dado que resultaba notorio el incumplimiento del requisito de contradicción entre las sentencias de contraste necesario en este tipo de recursos, por lo que se debió promover un incidente excepcional de nulidad de actuaciones </w:t>
      </w:r>
      <w:r w:rsidRPr="009D7677">
        <w:rPr>
          <w:i/>
        </w:rPr>
        <w:t>ex</w:t>
      </w:r>
      <w:r>
        <w:t xml:space="preserve"> art. 241 LOPJ y art. 228.1 LEC.</w:t>
      </w:r>
    </w:p>
    <w:p w14:paraId="38E37EF3" w14:textId="77777777" w:rsidR="009D7677" w:rsidRDefault="009D7677" w:rsidP="009D7677">
      <w:pPr>
        <w:pStyle w:val="TextoNormal"/>
      </w:pPr>
    </w:p>
    <w:p w14:paraId="6A5A2D99" w14:textId="77777777" w:rsidR="009D7677" w:rsidRDefault="009D7677" w:rsidP="009D7677">
      <w:pPr>
        <w:pStyle w:val="TextoNormal"/>
      </w:pPr>
      <w:r>
        <w:lastRenderedPageBreak/>
        <w:t>Con referencia a los mismos argumentos expresados en el ATC 132/2018, de 19 de diciembre, FJ 2 d), cabe anticipar que este planteamiento no puede ser aceptado.</w:t>
      </w:r>
    </w:p>
    <w:p w14:paraId="703363CE" w14:textId="77777777" w:rsidR="009D7677" w:rsidRDefault="009D7677" w:rsidP="009D7677">
      <w:pPr>
        <w:pStyle w:val="TextoNormal"/>
      </w:pPr>
    </w:p>
    <w:p w14:paraId="0E14C399" w14:textId="77777777" w:rsidR="009D7677" w:rsidRDefault="009D7677" w:rsidP="009D7677">
      <w:pPr>
        <w:pStyle w:val="TextoNormal"/>
      </w:pPr>
      <w:r>
        <w:t>Constituye doctrina consolidada de este Tribunal Constitucional, enunciada por ejemplo en la STC 111/2000, de 5 de mayo, FJ 4, que la inadmisión de un medio de impugnación debido a su defectuosa interposición equivale a una falta de agotamiento del requisito de la vía judicial previa al amparo [art. 44.1 a) LOTC], ya que esta última “solo puede considerarse efectivamente agotada y, en consecuencia, abierta la del proceso constitucional de amparo cuando los recursos jurisdiccionales pertinentes y útiles se hayan interpuesto en tiempo y forma, ya que si se interponen extemporáneamente o sin cumplir los requisitos procesales exigibles, el órgano judicial llamado a resolverlos se verá privado de la posibilidad de entrar en el conocimiento y resolución de los temas de fondo, no pudiendo en tales circunstancias reparar la lesión constitucional que, en su caso, pudiera ser después susceptible de impugnación en el proceso de amparo constitucional, lo que es contrario a la naturaleza subsidiaria del recurso de amparo (SSTC 9/1992, de 16 de enero, FJ 5; 4/2000, de 17 de enero, FJ 2; 53/2000, de 28 de febrero, FJ 2). De modo que el fracaso de los recursos idóneos para obtener la reparación del derecho constitucional supuestamente vulnerado equivaldría a su no utilización cuando tal fracaso sea imputable a la conducta procesal del recurrente (SSTC 11/1998, de 13 de enero, FJ 2; 92/1999, de 26 de mayo, FJ 2; AATC 114/1983, de 16 de marzo; 215/1984, de 4 de abril)”.</w:t>
      </w:r>
    </w:p>
    <w:p w14:paraId="1EE2F7DE" w14:textId="77777777" w:rsidR="009D7677" w:rsidRDefault="009D7677" w:rsidP="009D7677">
      <w:pPr>
        <w:pStyle w:val="TextoNormal"/>
      </w:pPr>
    </w:p>
    <w:p w14:paraId="2698601B" w14:textId="77777777" w:rsidR="009D7677" w:rsidRDefault="009D7677" w:rsidP="009D7677">
      <w:pPr>
        <w:pStyle w:val="TextoNormal"/>
      </w:pPr>
      <w:r>
        <w:t>Ahora bien, también hemos advertido que “[c]uestión distinta, es que la resolución por la que se inadmite el recurso comporte un juicio sobre el mérito, como sucede por ejemplo con el recurso de casación para la unificación de doctrina cuando se inadmite por la ausencia de las identidades requeridas, luego del correspondiente cotejo de resoluciones por la Sala de lo Social del Tribunal Supremo, juicio éste que, hemos dicho, ‘constituye un requisito de fondo y no meramente un requisito procesal”, y excepciona aquel óbice de falta de agotamiento (STC 111/2000, FJ 4). En el mismo sentido, más recientemente, SSTC 114/2009, de 14 de mayo, FJ 3, y 140/2014, de 11 de septiembre, FJ 2 a)” [ATC 132/2018, de 19 de diciembre, FJ 4 d)].</w:t>
      </w:r>
    </w:p>
    <w:p w14:paraId="5A1B98E7" w14:textId="77777777" w:rsidR="009D7677" w:rsidRDefault="009D7677" w:rsidP="009D7677">
      <w:pPr>
        <w:pStyle w:val="TextoNormal"/>
      </w:pPr>
    </w:p>
    <w:p w14:paraId="15CBBB92" w14:textId="77777777" w:rsidR="009D7677" w:rsidRDefault="009D7677" w:rsidP="009D7677">
      <w:pPr>
        <w:pStyle w:val="TextoNormal"/>
      </w:pPr>
      <w:r>
        <w:t>Como se ha expuesto con más detalle en los antecedentes de esta resolución, en este caso la Sala de lo Social del Tribunal Supremo inadmitió el recurso de casación por auto de 10 de noviembre de 2021 al no apreciar contradicción entre la sentencia recurrida y la de contraste, por cuanto en el caso de autos se analiza un proceso de ejecución de una sentencia de despido, mientras que en la de contraste se trataba de una demanda de despido en fase declarativa. Por otra parte, entiende que las situaciones a las que se anudaba la posible infracción y, por tanto, el plazo procesal afectado eran diferentes, lo que le impedía apreciar la divergencia de doctrina.</w:t>
      </w:r>
    </w:p>
    <w:p w14:paraId="27C9414B" w14:textId="77777777" w:rsidR="009D7677" w:rsidRDefault="009D7677" w:rsidP="009D7677">
      <w:pPr>
        <w:pStyle w:val="TextoNormal"/>
      </w:pPr>
    </w:p>
    <w:p w14:paraId="10921330" w14:textId="77777777" w:rsidR="009D7677" w:rsidRDefault="009D7677" w:rsidP="009D7677">
      <w:pPr>
        <w:pStyle w:val="TextoNormal"/>
      </w:pPr>
      <w:r>
        <w:t xml:space="preserve">Sin perjuicio de que no debamos entrar a analizar el criterio sostenido por la Sala de lo Social del Tribunal Supremo en la resolución a la que acaba de hacerse referencia, que no ha sido recurrida en la demanda de amparo y respecto de la que no se han efectuado alegaciones, es lo cierto que no cabe apreciar un defectuoso agotamiento de la vía judicial previa de acuerdo con nuestra doctrina. La demandante de amparo interpuso un recurso de casación para la unificación de doctrina que le había sido expresamente ofrecido en la sentencia de suplicación y que estimó útil para subsanar las vulneraciones constitucionales ahora denunciadas en amparo, y lo interpuso contra una sentencia que había declarado la </w:t>
      </w:r>
      <w:r>
        <w:lastRenderedPageBreak/>
        <w:t>inadmisión del recurso de suplicación interpuesto por Babé por entender que el juzgado de lo social no debió admitir el recurso de suplicación al haber completado la demandante el aseguramiento fuera del plazo concedido, siendo la duración de los plazos una cuestión de orden público procesal indisponible para las partes y que vincula también a los tribunales.</w:t>
      </w:r>
    </w:p>
    <w:p w14:paraId="6C614888" w14:textId="77777777" w:rsidR="009D7677" w:rsidRDefault="009D7677" w:rsidP="009D7677">
      <w:pPr>
        <w:pStyle w:val="TextoNormal"/>
      </w:pPr>
    </w:p>
    <w:p w14:paraId="3B799A78" w14:textId="77777777" w:rsidR="009D7677" w:rsidRDefault="009D7677" w:rsidP="009D7677">
      <w:pPr>
        <w:pStyle w:val="TextoNormal"/>
      </w:pPr>
      <w:r>
        <w:t>En tales circunstancias, no es posible estimar que la inadmisión del recurso de casación obedeciera a un defecto procesal manifiesto e incontrovertible o, dicho de otro modo, fuera atribuible de forma clara e inequívoca a la falta de diligencia de la parte, sino que el juicio de contraste de las resoluciones pertenece tan solo a la Sala de lo Social del Tribunal y constituye un requisito de fondo y no meramente un requisito procesal, razón por la que procede considerar debidamente agotada la vía judicial previa al recurso de amparo.</w:t>
      </w:r>
    </w:p>
    <w:p w14:paraId="6529A0E1" w14:textId="77777777" w:rsidR="009D7677" w:rsidRDefault="009D7677" w:rsidP="009D7677">
      <w:pPr>
        <w:pStyle w:val="TextoNormal"/>
      </w:pPr>
    </w:p>
    <w:p w14:paraId="15235D95" w14:textId="17039FAA" w:rsidR="009D7677" w:rsidRDefault="009D7677" w:rsidP="009D7677">
      <w:pPr>
        <w:pStyle w:val="TextoNormal"/>
      </w:pPr>
      <w:r>
        <w:t>Por otra parte, como afirma la parte ejecutante, debe también desecharse que la falta de promoción de un incidente excepcional de nulidad de actuaciones deba causar la inadmisión de este amparo, dado que dicho remedio extraordinario no era necesario para el correcto agotamiento de la vía judicial previa por dos razones. En primer lugar, porque a la inadmisión del recurso de casación para la unificación de doctrina no se le ha imputado una lesión constitucional autónoma e independiente de la denunciada con respecto a la sentencia del Tribunal Superior de Justicia de Castilla y León. En segundo lugar, porque en el orden social la doctrina constitucional clásica establecía la preceptiva interposición del incidente de nulidad de actuaciones ante el órgano judicial de suplicación al que se imputa la lesión tras la inadmisión del recurso de casación en unificación de doctrina antes de impetrar el amparo constitucional (ver, por todas, las SSTC 39/2003, de 27 de febrero, FJ 3, y 95/2018, de 17 de septiembre, FJ 2), pero lo cierto es que este tribunal cambió de criterio en la STC 112/2019, de 3 de octubre, FJ 3, afirmando que la interposición del incidente de nulidad de actuaciones en supuestos como el que ahora se examina, “al no derivarse de forma clara su procedencia del tenor del 241.1 LOPJ, no será un requisito necesario para agotar la vía judicial previa al amparo ante este tribunal [art. 44.1 a) LOTC]”, aunque también advierte que de plantearse tal incidente excepcional “ha de considerarse un cauce idóneo para obtener la tutela de los derechos fundamentales cuya vulneración se imputa a la resolución frente a la que se interpuso el recurso inadmitido y, por tanto, no podrá considerarse un recurso manifiestamente improcedente que pueda conllevar la extemporaneidad del recurso de amparo por alargar indebidamente la vía judicial”. En consecuencia, ha de rechazarse este segundo obstáculo procesal y concluir que la vía judicial previa al amparo ha sido agotada correctamente.</w:t>
      </w:r>
    </w:p>
    <w:p w14:paraId="0363EDE2" w14:textId="77777777" w:rsidR="009D7677" w:rsidRDefault="009D7677" w:rsidP="009D7677">
      <w:pPr>
        <w:pStyle w:val="TextoNormal"/>
      </w:pPr>
    </w:p>
    <w:p w14:paraId="5DE58573" w14:textId="77777777" w:rsidR="009D7677" w:rsidRDefault="009D7677" w:rsidP="009D7677">
      <w:pPr>
        <w:pStyle w:val="TextoNormal"/>
      </w:pPr>
      <w:r w:rsidRPr="009D7677">
        <w:rPr>
          <w:rStyle w:val="NumeroAFNegritaCaracter"/>
        </w:rPr>
        <w:t>3</w:t>
      </w:r>
      <w:r>
        <w:t xml:space="preserve">. </w:t>
      </w:r>
      <w:r w:rsidRPr="009D7677">
        <w:rPr>
          <w:i/>
        </w:rPr>
        <w:t>El derecho a la intangibilidad de las resoluciones judiciales firmes</w:t>
      </w:r>
    </w:p>
    <w:p w14:paraId="55330A8C" w14:textId="77777777" w:rsidR="009D7677" w:rsidRDefault="009D7677" w:rsidP="009D7677">
      <w:pPr>
        <w:pStyle w:val="TextoNormal"/>
      </w:pPr>
    </w:p>
    <w:p w14:paraId="3896EA0A" w14:textId="77777777" w:rsidR="009D7677" w:rsidRDefault="009D7677" w:rsidP="009D7677">
      <w:pPr>
        <w:pStyle w:val="TextoNormal"/>
      </w:pPr>
      <w:r>
        <w:t>Antes de proceder al análisis de la vulneración del derecho de acceso al recurso y a la intangibilidad de las resoluciones judiciales firmes, como vertientes del más general derecho a la tutela judicial efectiva (art. 24.1 CE), de acuerdo con el Ministerio Fiscal conviene advertir lo siguiente. Aunque la demandante haya alegado la infracción del derecho a la no discriminación (art. 14 CE) y del principio de seguridad jurídica (art. 9.3 CE), conecta ambas infracciones con el acceso al recurso y la inmodificabilidad, por lo que hemos de entender que existe un único motivo de amparo originado por la infracción del derecho a la tutela judicial efectiva sin indefensión del art. 24.1 CE.</w:t>
      </w:r>
    </w:p>
    <w:p w14:paraId="7C7828E8" w14:textId="77777777" w:rsidR="009D7677" w:rsidRDefault="009D7677" w:rsidP="009D7677">
      <w:pPr>
        <w:pStyle w:val="TextoNormal"/>
      </w:pPr>
    </w:p>
    <w:p w14:paraId="6B7D8D9B" w14:textId="77777777" w:rsidR="009D7677" w:rsidRDefault="009D7677" w:rsidP="009D7677">
      <w:pPr>
        <w:pStyle w:val="TextoNormal"/>
      </w:pPr>
      <w:r>
        <w:lastRenderedPageBreak/>
        <w:t>Así, las dos cuestiones que se plantean en este recurso de amparo son, en primer lugar, si la sentencia recurrida de 19 de octubre de 2020 dictada por el Tribunal Superior de Justicia de Castilla y León vulneró el derecho de la demandante de amparo a la intangibilidad de las resoluciones judiciales firmes al no admitir por extemporáneo su recurso de suplicación, interpuesto cumpliendo el plazo otorgado en la diligencia de ordenación de 17 de diciembre de 2019 del Juzgado de lo Social núm. 3 de León y ratificada por el decreto de 7 de julio de 2020. En segundo lugar, si esa misma sentencia lesionó su derecho de acceso a los recursos como consecuencia de tal inadmisión.</w:t>
      </w:r>
    </w:p>
    <w:p w14:paraId="2013EB9D" w14:textId="77777777" w:rsidR="009D7677" w:rsidRDefault="009D7677" w:rsidP="009D7677">
      <w:pPr>
        <w:pStyle w:val="TextoNormal"/>
      </w:pPr>
    </w:p>
    <w:p w14:paraId="0A9EE88D" w14:textId="77777777" w:rsidR="009D7677" w:rsidRDefault="009D7677" w:rsidP="009D7677">
      <w:pPr>
        <w:pStyle w:val="TextoNormal"/>
      </w:pPr>
      <w:r>
        <w:t>Pues bien, comenzando por el derecho a la invariabilidad de las resoluciones judiciales firmes (art. 24.1 CE), como tuvimos ocasión de afirmar en la STC 256/2006, de 11 de septiembre, FJ 3, el derecho a la tutela judicial efectiva asegura a los que son o han sido parte en el proceso que las resoluciones judiciales dictadas en el mismo no puedan ser modificadas fuera de los cauces legales previstos para ello, pues si el órgano judicial lo hiciera sin estar legalmente habilitado para ello la protección judicial carecería de eficacia. Así, el derecho a la tutela judicial efectiva actúa como límite que impide a los jueces y tribunales variar o revisar las resoluciones judiciales definitivas y firmes al margen de los supuestos y casos taxativamente previstos por la ley, incluso en la hipótesis de que con posterioridad entendiesen que la decisión judicial no se ajusta a la legalidad (SSTC 119/1988, de 20 de junio, FJ 2; 231/1991, de 10 de diciembre, FJ 5; 19/1995, de 24 de enero, FJ 2; 48/1999, de 22 de marzo, FJ 2; 218/1999, de 29 de noviembre, FJ 2; 69/2000, de 13 de marzo, FJ 2; 111/2000, de 5 de mayo, FJ 12; 262/2000, de 30 de octubre, FJ 2; 286/2000, de 27 de noviembre, FJ 2; 140/2001, de 18 de junio, FJ 3; 216/2001, de 29 de octubre, FJ 2, y 23/2005, de 14 de febrero, FJ 4).</w:t>
      </w:r>
    </w:p>
    <w:p w14:paraId="3AA85FB4" w14:textId="77777777" w:rsidR="009D7677" w:rsidRDefault="009D7677" w:rsidP="009D7677">
      <w:pPr>
        <w:pStyle w:val="TextoNormal"/>
      </w:pPr>
    </w:p>
    <w:p w14:paraId="292F73D9" w14:textId="2042B874" w:rsidR="009D7677" w:rsidRDefault="009D7677" w:rsidP="009D7677">
      <w:pPr>
        <w:pStyle w:val="TextoNormal"/>
      </w:pPr>
      <w:r>
        <w:t xml:space="preserve">Ahora bien, establecido lo anterior, conviene igualmente subrayar que los presupuestos para admitir a trámite un recurso ordinario forman parte del denominado orden público procesal, y el hecho de que el órgano de instancia haya efectuado una determinada interpretación de los mismos no vincula en absoluto al superior (en este caso al Tribunal Superior de Justicia), que puede apreciar la existencia de vicios que hayan podido pasar inadvertidos al juez </w:t>
      </w:r>
      <w:r w:rsidRPr="009D7677">
        <w:rPr>
          <w:i/>
        </w:rPr>
        <w:t>a quo</w:t>
      </w:r>
      <w:r>
        <w:t xml:space="preserve"> (en este caso a la letrada de la administración de justicia). Al hacerlo no lesiona el derecho alegado, puesto que se limita a interpretar la legalidad de una manera diferente, sin que tal proceder vulnere la intangibilidad de unas resoluciones que no son suyas y a las que no está vinculado. Siendo así, en el presente caso la decisión del juzgado de lo social de ampliar el plazo para que la demandante de amparo completase la consignación, con la finalidad de resolver la formalización del recurso de suplicación, no impide que el Tribunal Superior de Justicia, mediante una interpretación diferente de la Ley reguladora de la jurisdicción social, tenga otro criterio y rechace dicho recurso por extemporáneo, aunque la consignación se realizara en el tiempo otorgado por el órgano inferior. Ello no lesiona el derecho a la tutela judicial efectiva de la recurrente, pues mantener lo contrario llevaría a la conclusión insostenible de que ningún órgano superior puede corregir las decisiones de admisión de aquellos órganos cuyas resoluciones pueden ser recurridas.</w:t>
      </w:r>
    </w:p>
    <w:p w14:paraId="4C1F846A" w14:textId="77777777" w:rsidR="009D7677" w:rsidRDefault="009D7677" w:rsidP="009D7677">
      <w:pPr>
        <w:pStyle w:val="TextoNormal"/>
      </w:pPr>
    </w:p>
    <w:p w14:paraId="5035B20E" w14:textId="77777777" w:rsidR="009D7677" w:rsidRDefault="009D7677" w:rsidP="009D7677">
      <w:pPr>
        <w:pStyle w:val="TextoNormal"/>
      </w:pPr>
      <w:r w:rsidRPr="009D7677">
        <w:rPr>
          <w:rStyle w:val="NumeroAFNegritaCaracter"/>
        </w:rPr>
        <w:t>4</w:t>
      </w:r>
      <w:r>
        <w:t xml:space="preserve">. </w:t>
      </w:r>
      <w:r w:rsidRPr="009D7677">
        <w:rPr>
          <w:i/>
        </w:rPr>
        <w:t>El derecho de acceso a los recursos y la indicación errónea sobre los mismos</w:t>
      </w:r>
    </w:p>
    <w:p w14:paraId="179819AE" w14:textId="77777777" w:rsidR="009D7677" w:rsidRDefault="009D7677" w:rsidP="009D7677">
      <w:pPr>
        <w:pStyle w:val="TextoNormal"/>
      </w:pPr>
    </w:p>
    <w:p w14:paraId="6934B2CD" w14:textId="77777777" w:rsidR="009D7677" w:rsidRDefault="009D7677" w:rsidP="009D7677">
      <w:pPr>
        <w:pStyle w:val="TextoNormal"/>
      </w:pPr>
      <w:r>
        <w:t xml:space="preserve">Respecto a la segunda de las vulneraciones invocadas por la demandante, esto es, la del derecho de acceso a los recursos, conviene recordar que es doctrina constitucional constante la de que el sistema de recursos frente a las resoluciones judiciales se incluyen en el </w:t>
      </w:r>
      <w:r>
        <w:lastRenderedPageBreak/>
        <w:t>derecho fundamental a la tutela judicial efectiva (art. 24.1 CE) en la concreta configuración que reciba en las leyes de enjuiciamiento reguladoras de los diferentes órdenes jurisdiccionales (por todas, SSTC 37/1995, de 7 de febrero, FJ 5; 121/1999, de 28 de junio, FJ 4; 43/2000, de 14 de febrero, FJ 3, y 74/2003, de 23 de abril, FJ 3), salvo en lo relativo a las sentencias penales condenatorias. Por ello, el control que compete a la jurisdicción constitucional no alcanza a revisar los pronunciamientos referidos a la inadmisión de recursos, al ser esta una cuestión de legalidad ordinaria, salvo en aquellos casos en los que la interpretación o aplicación de los requisitos procesales llevada a cabo por el juez o tribunal resulte arbitraria, manifiestamente irrazonable o incurra en un error de hecho patente (entre otras muchas, SSTC 43/2000, de 14 de febrero, FJ 3; 258/2000, de 30 de octubre, FJ 2; 181/2001, de 17 de septiembre, FFJJ 2 y 3; 74/2003, de 23 de abril, FJ 3, y 158/2006, de 22 de mayo, FJ 4).</w:t>
      </w:r>
    </w:p>
    <w:p w14:paraId="431A66F3" w14:textId="77777777" w:rsidR="009D7677" w:rsidRDefault="009D7677" w:rsidP="009D7677">
      <w:pPr>
        <w:pStyle w:val="TextoNormal"/>
      </w:pPr>
    </w:p>
    <w:p w14:paraId="712CC3B0" w14:textId="77777777" w:rsidR="009D7677" w:rsidRDefault="009D7677" w:rsidP="009D7677">
      <w:pPr>
        <w:pStyle w:val="TextoNormal"/>
      </w:pPr>
      <w:r>
        <w:t>En este punto, es del todo aplicable la doctrina constitucional sobre la indicación o advertencia errónea de los recursos procedentes, que recoge y sintetiza la STC 256/2006, de 11 de septiembre, FJ 6. En ella declaramos que “[e]sta visión restrictiva de las posibilidades de apreciar una vulneración del derecho de acceso a los recursos, que es la lesión que alega la demandante de amparo, debe ser, sin embargo, precisada con nuestra doctrina en relación con la indicación o advertencia errónea de recursos”, dado que “no puede considerarse como manifiestamente improcedente a los efectos de determinar la extemporaneidad del recurso de amparo la interposición por el demandante de amparo […] de recursos o remedios procesales objetiva y manifiestamente improcedentes cuando la misma sea consecuencia de una errónea indicación consignada en la instrucción de recursos”.</w:t>
      </w:r>
    </w:p>
    <w:p w14:paraId="33A589E1" w14:textId="77777777" w:rsidR="009D7677" w:rsidRDefault="009D7677" w:rsidP="009D7677">
      <w:pPr>
        <w:pStyle w:val="TextoNormal"/>
      </w:pPr>
    </w:p>
    <w:p w14:paraId="55EEBAFA" w14:textId="77777777" w:rsidR="009D7677" w:rsidRDefault="009D7677" w:rsidP="009D7677">
      <w:pPr>
        <w:pStyle w:val="TextoNormal"/>
      </w:pPr>
      <w:r>
        <w:t xml:space="preserve">Como se razona en el fundamento jurídico 3 de la STC 241/2006, de 20 de julio, “la instrucción o información errónea acerca de los recursos facilitada por los órganos judiciales, dada la </w:t>
      </w:r>
      <w:r w:rsidRPr="009D7677">
        <w:rPr>
          <w:i/>
        </w:rPr>
        <w:t>auctoritas</w:t>
      </w:r>
      <w:r>
        <w:t xml:space="preserve"> que corresponde a quien la hizo constar (STC 26/1991, de 11 de febrero, FJ 1), es susceptible de inducir a un error a la parte litigante, que hay que considerar en todo caso excusable […], pues ‘si la oficina judicial [ha] ofrecido indicaciones equivocadas sobre los recursos utilizables […] el interesado, aun estando asistido por expertos en la materia, podría entender por la autoridad inherente a la decisión judicial, que tales indicaciones fueran ciertas y obrar en consecuencia’”.</w:t>
      </w:r>
    </w:p>
    <w:p w14:paraId="75D233BD" w14:textId="77777777" w:rsidR="009D7677" w:rsidRDefault="009D7677" w:rsidP="009D7677">
      <w:pPr>
        <w:pStyle w:val="TextoNormal"/>
      </w:pPr>
    </w:p>
    <w:p w14:paraId="1135EE7F" w14:textId="77777777" w:rsidR="009D7677" w:rsidRDefault="009D7677" w:rsidP="009D7677">
      <w:pPr>
        <w:pStyle w:val="TextoNormal"/>
      </w:pPr>
      <w:r>
        <w:t>Pues bien, los mismos fundamentos que consolidan esta doctrina sobre la instrucción de los recursos sirven cuando se trata de decisiones judiciales erróneas relativas a la subsanación de requisitos procesales necesarios para la interposición de los mismos o, como en este caso, de ampliación del plazo para interponerlos. Por ello, este tribunal considera que la decisión de inadmisión del recurso de suplicación por parte del Tribunal Superior de Justicia, con base a la extemporaneidad en el cumplimiento del requisito de consignación (o aseguramiento de la cantidad objeto de condena mediante aval bancario) puede ser calificada como irrazonable.</w:t>
      </w:r>
    </w:p>
    <w:p w14:paraId="12109EFC" w14:textId="77777777" w:rsidR="009D7677" w:rsidRDefault="009D7677" w:rsidP="009D7677">
      <w:pPr>
        <w:pStyle w:val="TextoNormal"/>
      </w:pPr>
    </w:p>
    <w:p w14:paraId="22D9D24A" w14:textId="77777777" w:rsidR="009D7677" w:rsidRDefault="009D7677" w:rsidP="009D7677">
      <w:pPr>
        <w:pStyle w:val="TextoNormal"/>
      </w:pPr>
      <w:r>
        <w:t xml:space="preserve">Ciertamente, con independencia de que la ampliación del plazo de subsanación inicialmente dado estuviera o no legalmente justificada, circunstancia que no nos corresponde determinar por ser una cuestión de mera interpretación normativa, lo cierto es que el juzgado de lo social acordó otorgar a la parte cinco días más para subsanar el defecto advertido, esto es, para completar la consignación de la cantidad objeto de condena, requisito necesario para acceder al recurso de suplicación. En consecuencia, la recurrente contó con </w:t>
      </w:r>
      <w:r>
        <w:lastRenderedPageBreak/>
        <w:t>esta ampliación para poder realizar las gestiones necesarias tendentes a completar el aval. Y dentro de tal plazo procedió a cumplir con el requisito procesal de aseguramiento de la condena, aportando aval por la cantidad requerida. La forma de actuar de la demandante de amparo pone de manifiesto una conducta diligente, tendente al cumplimiento de todos los requisitos para interponer recurso de suplicación, ya que dentro del plazo concedido judicialmente llevó a cabo el presupuesto para poder acceder al recurso pretendido.</w:t>
      </w:r>
    </w:p>
    <w:p w14:paraId="572F4F0E" w14:textId="77777777" w:rsidR="009D7677" w:rsidRDefault="009D7677" w:rsidP="009D7677">
      <w:pPr>
        <w:pStyle w:val="TextoNormal"/>
      </w:pPr>
    </w:p>
    <w:p w14:paraId="16734391" w14:textId="77777777" w:rsidR="009D7677" w:rsidRDefault="009D7677" w:rsidP="009D7677">
      <w:pPr>
        <w:pStyle w:val="TextoNormal"/>
      </w:pPr>
      <w:r>
        <w:t>Además, es preciso tener en cuenta que la parte ejecutante pudo interponer recurso de revisión frente a la decisión de la letrada de la administración de justicia de ampliar el plazo de subsanación y no lo hizo, aquietándose ante tal decisión, que solo fue cuestionada ante el Tribunal Superior de Justicia con motivo de la impugnación del recurso de suplicación y cuando la cantidad objeto de condena estaba ya completamente consignada.</w:t>
      </w:r>
    </w:p>
    <w:p w14:paraId="4918B841" w14:textId="77777777" w:rsidR="009D7677" w:rsidRDefault="009D7677" w:rsidP="009D7677">
      <w:pPr>
        <w:pStyle w:val="TextoNormal"/>
      </w:pPr>
    </w:p>
    <w:p w14:paraId="7E839DE8" w14:textId="77777777" w:rsidR="009D7677" w:rsidRDefault="009D7677" w:rsidP="009D7677">
      <w:pPr>
        <w:pStyle w:val="TextoNormal"/>
      </w:pPr>
      <w:r>
        <w:t>En efecto, aunque se había cumplido ya la finalidad a la que obedece el art. 230.1 LRJS, al estar avalada la cantidad adeudada, la parte ejecutante solicitó al Tribunal Superior de Justicia que inadmitiera el recurso de suplicación formulado, por haberse incumplido el requisito de consignación, que se completó fuera del plazo “inicial” de cinco días. Y, accediendo a lo peticionado por la parte recurrida, el Tribunal Superior de Justicia inadmitió el recurso de suplicación formulado por la recurrente en amparo, al considerar que el juzgado no debió admitir el recurso de suplicación “por haber completado Babé y Cía., S.L., el aseguramiento fuera del plazo concedido”. Tal afirmación, en la que la Sala sustentó la inadmisión, carece de la razonabilidad exigible, a la vista de que la parte lo único que hizo fue cumplimentar el requisito procesal de acceso al recurso dentro del plazo otorgado por el órgano judicial a través de la letrada de la administración de justicia, decisión que, como ha quedado dicho, no fue ni siquiera combatida por la contraparte.</w:t>
      </w:r>
    </w:p>
    <w:p w14:paraId="32EE211B" w14:textId="77777777" w:rsidR="009D7677" w:rsidRDefault="009D7677" w:rsidP="009D7677">
      <w:pPr>
        <w:pStyle w:val="TextoNormal"/>
      </w:pPr>
    </w:p>
    <w:p w14:paraId="54265F94" w14:textId="77777777" w:rsidR="009D7677" w:rsidRDefault="009D7677" w:rsidP="009D7677">
      <w:pPr>
        <w:pStyle w:val="TextoNormal"/>
      </w:pPr>
      <w:r>
        <w:t>En suma, concurrieran o no motivos para acordar la ampliación del plazo de subsanación, no resulta razonable que una vez decidida la ampliación en la instancia, y actuando la parte en correspondencia y amparada por tal decisión, posteriormente se revoque esta por el órgano judicial superior negando el cumplimiento temporáneo del presupuesto legal.</w:t>
      </w:r>
    </w:p>
    <w:p w14:paraId="750AE15C" w14:textId="77777777" w:rsidR="009D7677" w:rsidRDefault="009D7677" w:rsidP="009D7677">
      <w:pPr>
        <w:pStyle w:val="TextoNormal"/>
      </w:pPr>
    </w:p>
    <w:p w14:paraId="3BB0EE82" w14:textId="3EEED249" w:rsidR="009D7677" w:rsidRDefault="009D7677" w:rsidP="009D7677">
      <w:pPr>
        <w:pStyle w:val="TextoNormal"/>
      </w:pPr>
      <w:r>
        <w:t>Por ello, procede apreciar la infracción del derecho a la tutela judicial efectiva que se denuncia, al haberse denegado irrazonablemente el derecho de acceso al recurso de suplicación de la empresa recurrente en amparo; acordar la nulidad de las resoluciones impugnadas; y retrotraer las actuaciones al momento anterior al dictado de la sentencia núm. 1483/2020 de la Sala de lo Social del Tribunal Superior de Justicia de Castilla León, con sede en Valladolid, para que se dicte otra acorde con el derecho fundamental vulnerado.</w:t>
      </w:r>
    </w:p>
    <w:p w14:paraId="63FA1713" w14:textId="77777777" w:rsidR="009D7677" w:rsidRDefault="009D7677" w:rsidP="009D7677">
      <w:pPr>
        <w:pStyle w:val="TextoNormal"/>
      </w:pPr>
    </w:p>
    <w:p w14:paraId="243C9261" w14:textId="77777777" w:rsidR="009D7677" w:rsidRDefault="009D7677" w:rsidP="009D7677">
      <w:pPr>
        <w:pStyle w:val="TextoNormalCentrado"/>
        <w:keepNext/>
      </w:pPr>
      <w:r>
        <w:t>FALLO</w:t>
      </w:r>
    </w:p>
    <w:p w14:paraId="1182EDF9" w14:textId="66F01AAF" w:rsidR="009D7677" w:rsidRDefault="009D7677" w:rsidP="009D7677">
      <w:pPr>
        <w:pStyle w:val="TextoNormalCentrado"/>
        <w:keepNext/>
      </w:pPr>
    </w:p>
    <w:p w14:paraId="573A0A51" w14:textId="77777777" w:rsidR="009D7677" w:rsidRDefault="009D7677" w:rsidP="009D7677">
      <w:pPr>
        <w:pStyle w:val="TextoNormal"/>
      </w:pPr>
      <w:r>
        <w:t>En atención a todo lo expuesto, el Tribunal Constitucional, por la autoridad que le confiere la Constitución de la Nación española, ha decidido:</w:t>
      </w:r>
    </w:p>
    <w:p w14:paraId="774D671C" w14:textId="77777777" w:rsidR="009D7677" w:rsidRDefault="009D7677" w:rsidP="009D7677">
      <w:pPr>
        <w:pStyle w:val="TextoNormal"/>
      </w:pPr>
    </w:p>
    <w:p w14:paraId="333C6D81" w14:textId="77777777" w:rsidR="009D7677" w:rsidRDefault="009D7677" w:rsidP="009D7677">
      <w:pPr>
        <w:pStyle w:val="TextoNormal"/>
      </w:pPr>
      <w:r>
        <w:t>1º Estimar la demanda presentada por la mercantil Babé y Cía., S.L., por vulneración de su derecho fundamental a la tutela judicial efectiva sin indefensión (art. 24.1 CE), con reconocimiento de tal derecho.</w:t>
      </w:r>
    </w:p>
    <w:p w14:paraId="66C2341F" w14:textId="77777777" w:rsidR="009D7677" w:rsidRDefault="009D7677" w:rsidP="009D7677">
      <w:pPr>
        <w:pStyle w:val="TextoNormal"/>
      </w:pPr>
    </w:p>
    <w:p w14:paraId="114E6330" w14:textId="77777777" w:rsidR="009D7677" w:rsidRDefault="009D7677" w:rsidP="009D7677">
      <w:pPr>
        <w:pStyle w:val="TextoNormal"/>
      </w:pPr>
      <w:r>
        <w:lastRenderedPageBreak/>
        <w:t>2º Declarar la nulidad de la sentencia núm. 1483/2020 dictada por la Sala de lo Social del Tribunal Superior de Justicia de Castilla León, sede en Valladolid, de 19 de octubre de 2020, en el recurso de suplicación núm. 1257-2020, y el auto de inadmisión de la Sala de lo Social del Tribunal Supremo dictado en el recurso de casación para unificación de doctrina núm. 3948-2020.</w:t>
      </w:r>
    </w:p>
    <w:p w14:paraId="3B3D0B24" w14:textId="77777777" w:rsidR="009D7677" w:rsidRDefault="009D7677" w:rsidP="009D7677">
      <w:pPr>
        <w:pStyle w:val="TextoNormal"/>
      </w:pPr>
    </w:p>
    <w:p w14:paraId="5C5C6B12" w14:textId="566CB2B2" w:rsidR="009D7677" w:rsidRDefault="009D7677" w:rsidP="009D7677">
      <w:pPr>
        <w:pStyle w:val="TextoNormal"/>
      </w:pPr>
      <w:r>
        <w:t>3º Retrotraer el procedimiento al momento inmediatamente anterior a dictar sentencia en el recurso de suplicación, para que por la Sala de lo Social del Tribunal Superior de Justicia de Castilla León, con sede en Valladolid, se dicte una resolución que resulte respetuosa con el derecho fundamental reconocido.</w:t>
      </w:r>
    </w:p>
    <w:p w14:paraId="427A2FFF" w14:textId="77777777" w:rsidR="009D7677" w:rsidRDefault="009D7677" w:rsidP="009D7677">
      <w:pPr>
        <w:pStyle w:val="TextoNormal"/>
      </w:pPr>
    </w:p>
    <w:p w14:paraId="36AF7A8D" w14:textId="77777777" w:rsidR="009D7677" w:rsidRDefault="009D7677" w:rsidP="009D7677">
      <w:pPr>
        <w:pStyle w:val="TextoNormal"/>
      </w:pPr>
      <w:r>
        <w:t>Publíquese esta sentencia en el “Boletín Oficial del Estado”.</w:t>
      </w:r>
    </w:p>
    <w:p w14:paraId="02FB4214" w14:textId="77777777" w:rsidR="009D7677" w:rsidRDefault="009D7677" w:rsidP="009D7677">
      <w:pPr>
        <w:pStyle w:val="TextoNormal"/>
      </w:pPr>
      <w:r>
        <w:t>Dada en Madrid, a quince de enero de dos mil veinticuatro.</w:t>
      </w:r>
    </w:p>
    <w:p w14:paraId="56F9A156" w14:textId="41AF55A8" w:rsidR="009D7677" w:rsidRDefault="009D7677">
      <w:pPr>
        <w:spacing w:after="160" w:line="259" w:lineRule="auto"/>
        <w:rPr>
          <w:rFonts w:ascii="Times New Roman" w:eastAsia="Times New Roman" w:hAnsi="Times New Roman" w:cs="Times New Roman"/>
          <w:sz w:val="24"/>
          <w:szCs w:val="24"/>
          <w:lang w:eastAsia="es-ES"/>
        </w:rPr>
      </w:pPr>
      <w:r>
        <w:br w:type="page"/>
      </w:r>
    </w:p>
    <w:p w14:paraId="1CFC10B5" w14:textId="77777777" w:rsidR="009D7677" w:rsidRDefault="009D7677" w:rsidP="009D7677">
      <w:pPr>
        <w:pStyle w:val="TtuloResolucin"/>
      </w:pPr>
      <w:bookmarkStart w:id="6" w:name="SENTENCIA_2024_4"/>
      <w:r>
        <w:lastRenderedPageBreak/>
        <w:t>SENTENCIA 4/2024, de 15 de enero de 2024</w:t>
      </w:r>
    </w:p>
    <w:bookmarkEnd w:id="6"/>
    <w:p w14:paraId="24E5D734" w14:textId="77777777" w:rsidR="009D7677" w:rsidRDefault="009D7677" w:rsidP="009D7677">
      <w:pPr>
        <w:pStyle w:val="TtuloResolucin"/>
      </w:pPr>
      <w:r>
        <w:t>Sala Primera</w:t>
      </w:r>
    </w:p>
    <w:p w14:paraId="62F441F0" w14:textId="77777777" w:rsidR="009D7677" w:rsidRDefault="009D7677" w:rsidP="009D7677">
      <w:pPr>
        <w:pStyle w:val="TtuloBOE"/>
      </w:pPr>
      <w:r>
        <w:t>(BOE núm. 45, de 20 de febrero de 2024)</w:t>
      </w:r>
    </w:p>
    <w:p w14:paraId="5CD5C245" w14:textId="77777777" w:rsidR="009D7677" w:rsidRDefault="009D7677" w:rsidP="009D7677">
      <w:pPr>
        <w:pStyle w:val="TextoNormalCentrado"/>
      </w:pPr>
      <w:r>
        <w:t>ECLI:ES:TC:2024:4</w:t>
      </w:r>
    </w:p>
    <w:p w14:paraId="40EFA491" w14:textId="44892824" w:rsidR="009D7677" w:rsidRDefault="009D7677" w:rsidP="009D7677">
      <w:pPr>
        <w:pStyle w:val="TextoNormalCentrado"/>
      </w:pPr>
    </w:p>
    <w:p w14:paraId="5A902273" w14:textId="77777777" w:rsidR="009D7677" w:rsidRDefault="009D7677" w:rsidP="009D7677">
      <w:pPr>
        <w:pStyle w:val="SntesisDescriptiva"/>
      </w:pPr>
      <w:r>
        <w:t>Recurso de amparo 5505-2022. Promovido por doña L.D.D., en relación con las resoluciones dictadas por la Audiencia Provincial de Las Palmas y un juzgado de primera instancia de Las Palmas de Gran Canaria que acordaron la administración de la vacuna frente a la covid-19.</w:t>
      </w:r>
    </w:p>
    <w:p w14:paraId="2DD018AD" w14:textId="3B62DB9E" w:rsidR="009D7677" w:rsidRDefault="009D7677" w:rsidP="009D7677">
      <w:pPr>
        <w:pStyle w:val="SntesisDescriptiva"/>
      </w:pPr>
    </w:p>
    <w:p w14:paraId="49A6C1A8" w14:textId="77777777" w:rsidR="009D7677" w:rsidRDefault="009D7677" w:rsidP="009D7677">
      <w:pPr>
        <w:pStyle w:val="SntesisAnaltica"/>
      </w:pPr>
      <w:r>
        <w:t>Supuesta vulneración de los derechos a la integridad física, igualdad y no discriminación e intimidad personal, en relación con el derecho a la tutela judicial efectiva: resoluciones judiciales que realizaron una ponderación adecuada de los intereses de una persona vulnerable y proporcionada a sus intereses, atendiendo a las circunstancias concurrentes (STC 38/2023).</w:t>
      </w:r>
    </w:p>
    <w:p w14:paraId="5F7222A5" w14:textId="1DE3DD1F" w:rsidR="009D7677" w:rsidRDefault="009D7677" w:rsidP="009D7677">
      <w:pPr>
        <w:pStyle w:val="SntesisAnaltica"/>
      </w:pPr>
    </w:p>
    <w:p w14:paraId="2237C831" w14:textId="343B2581" w:rsidR="009D7677" w:rsidRDefault="009D7677" w:rsidP="009D7677">
      <w:pPr>
        <w:pStyle w:val="Extracto"/>
      </w:pPr>
      <w:r>
        <w:t>1.</w:t>
      </w:r>
      <w:r>
        <w:tab/>
        <w:t>Aplicación de la doctrina dictada en la STC 38/2023, en materia de enjuiciamiento de la autorización judicial para la vacunación contra el covid-19 de una persona mayor de edad y privada de la suficiente capacidad intelectual para poder emitir por sí misma el consentimiento informado de esa actuación sanitaria sobre su cuerpo [FFJJ 2 y 3].</w:t>
      </w:r>
    </w:p>
    <w:p w14:paraId="00995A2B" w14:textId="77777777" w:rsidR="009D7677" w:rsidRDefault="009D7677" w:rsidP="009D7677">
      <w:pPr>
        <w:pStyle w:val="Extracto"/>
      </w:pPr>
    </w:p>
    <w:p w14:paraId="1C2C24FA" w14:textId="61476A68" w:rsidR="009D7677" w:rsidRDefault="009D7677" w:rsidP="009D7677">
      <w:pPr>
        <w:pStyle w:val="Extracto"/>
      </w:pPr>
      <w:r>
        <w:t>2.</w:t>
      </w:r>
      <w:r>
        <w:tab/>
        <w:t>Respecto de la invocación del art. 15 CE, son pautas de ponderación necesarias para determinar que la autorización judicial para vacunar a una persona con discapacidad respeta el derecho a la integridad personal: (i) debe contar con la habilitación legal que ofrece el art. 9.6 de la Ley 41/2002, precepto que defiende los intereses del paciente en un contexto de peligro para su salud y en una situación en que no pueda decidir por sí mismo sobre el tratamiento médico prescrito; y (ii) ha de responder al fin de proteger a la persona con discapacidad, ponderando beneficios y perjuicios. Además, debe ser proporcional a sus necesidades, de acuerdo con las circunstancias concurrentes (STC 38/2023) [FFJJ 2 y 3].</w:t>
      </w:r>
    </w:p>
    <w:p w14:paraId="5FF35F1E" w14:textId="77777777" w:rsidR="009D7677" w:rsidRDefault="009D7677" w:rsidP="009D7677">
      <w:pPr>
        <w:pStyle w:val="Extracto"/>
      </w:pPr>
    </w:p>
    <w:p w14:paraId="68F8053C" w14:textId="77777777" w:rsidR="009D7677" w:rsidRDefault="009D7677" w:rsidP="009D7677">
      <w:pPr>
        <w:pStyle w:val="Extracto"/>
      </w:pPr>
    </w:p>
    <w:p w14:paraId="7FECDE89" w14:textId="77777777" w:rsidR="009D7677" w:rsidRDefault="009D7677" w:rsidP="009D7677">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73065464" w14:textId="418AABC8" w:rsidR="009D7677" w:rsidRDefault="009D7677" w:rsidP="009D7677">
      <w:pPr>
        <w:pStyle w:val="TextoNormal"/>
      </w:pPr>
    </w:p>
    <w:p w14:paraId="3C47BDF1" w14:textId="77777777" w:rsidR="009D7677" w:rsidRDefault="009D7677" w:rsidP="009D7677">
      <w:pPr>
        <w:pStyle w:val="TextoNormalCentrado"/>
        <w:keepNext/>
      </w:pPr>
      <w:r>
        <w:t>EN NOMBRE DEL REY</w:t>
      </w:r>
    </w:p>
    <w:p w14:paraId="1EA121EB" w14:textId="269EFC74" w:rsidR="009D7677" w:rsidRDefault="009D7677" w:rsidP="009D7677">
      <w:pPr>
        <w:pStyle w:val="TextoNormalCentrado"/>
        <w:keepNext/>
      </w:pPr>
    </w:p>
    <w:p w14:paraId="0B3E729A" w14:textId="77777777" w:rsidR="009D7677" w:rsidRDefault="009D7677" w:rsidP="009D7677">
      <w:pPr>
        <w:pStyle w:val="TextoNormalCentrado"/>
        <w:keepNext/>
      </w:pPr>
    </w:p>
    <w:p w14:paraId="15DA5894" w14:textId="77777777" w:rsidR="009D7677" w:rsidRDefault="009D7677" w:rsidP="009D7677">
      <w:pPr>
        <w:pStyle w:val="TextoNormal"/>
      </w:pPr>
      <w:r>
        <w:t>la siguiente</w:t>
      </w:r>
    </w:p>
    <w:p w14:paraId="5DDECAEE" w14:textId="471BF031" w:rsidR="009D7677" w:rsidRDefault="009D7677" w:rsidP="009D7677">
      <w:pPr>
        <w:pStyle w:val="TextoNormal"/>
      </w:pPr>
    </w:p>
    <w:p w14:paraId="7AE6BE4F" w14:textId="77777777" w:rsidR="009D7677" w:rsidRDefault="009D7677" w:rsidP="009D7677">
      <w:pPr>
        <w:pStyle w:val="TextoNormalCentrado"/>
        <w:keepNext/>
      </w:pPr>
      <w:r>
        <w:t>SENTENCIA</w:t>
      </w:r>
    </w:p>
    <w:p w14:paraId="196135F1" w14:textId="415F2A4E" w:rsidR="009D7677" w:rsidRDefault="009D7677" w:rsidP="009D7677">
      <w:pPr>
        <w:pStyle w:val="TextoNormalCentrado"/>
        <w:keepNext/>
      </w:pPr>
    </w:p>
    <w:p w14:paraId="760F0B40" w14:textId="77777777" w:rsidR="009D7677" w:rsidRDefault="009D7677" w:rsidP="009D7677">
      <w:pPr>
        <w:pStyle w:val="TextoNormal"/>
      </w:pPr>
      <w:r>
        <w:t xml:space="preserve">En el recurso de amparo núm. 5505-2022, promovido por doña L.D.D., contra el auto de 29 de septiembre de 2021, dictado por el Juzgado de Primera Instancia núm. 15 de Las </w:t>
      </w:r>
      <w:r>
        <w:lastRenderedPageBreak/>
        <w:t>Palmas de Gran Canaria en el procedimiento de jurisdicción voluntaria núm. 464-2021, y contra el auto de 11 de marzo de 2022, dictado por la Sección Tercera de la Audiencia Provincial de Las Palmas en el rollo de apelación núm. 1576-2021. Ha intervenido el Ministerio Fiscal. Ha sido ponente el magistrado don Juan Carlos Campo Moreno.</w:t>
      </w:r>
    </w:p>
    <w:p w14:paraId="4B11EC87" w14:textId="1E59CCB5" w:rsidR="009D7677" w:rsidRDefault="009D7677" w:rsidP="009D7677">
      <w:pPr>
        <w:pStyle w:val="TextoNormal"/>
      </w:pPr>
    </w:p>
    <w:p w14:paraId="73A00EC5" w14:textId="77777777" w:rsidR="009D7677" w:rsidRDefault="009D7677" w:rsidP="009D7677">
      <w:pPr>
        <w:pStyle w:val="TextoNormalNegritaCentrado"/>
        <w:keepNext/>
      </w:pPr>
      <w:r>
        <w:t>I. Antecedentes</w:t>
      </w:r>
    </w:p>
    <w:p w14:paraId="40A0FEDF" w14:textId="7B5E81A2" w:rsidR="009D7677" w:rsidRDefault="009D7677" w:rsidP="009D7677">
      <w:pPr>
        <w:pStyle w:val="TextoNormalNegritaCentrado"/>
        <w:keepNext/>
      </w:pPr>
    </w:p>
    <w:p w14:paraId="64772D6D" w14:textId="044AA175" w:rsidR="009D7677" w:rsidRDefault="009D7677" w:rsidP="009D7677">
      <w:pPr>
        <w:pStyle w:val="TextoNormal"/>
      </w:pPr>
      <w:r w:rsidRPr="009D7677">
        <w:rPr>
          <w:rStyle w:val="NumeroAFNegritaCaracter"/>
        </w:rPr>
        <w:t>1</w:t>
      </w:r>
      <w:r>
        <w:t>. Mediante escrito presentado en este tribunal el día 26 de julio de 2022, doña L.D.D., representada por la procuradora de los tribunales doña María Cristina Sosa González, interpuso recurso de amparo contra el auto de 29 de septiembre de 2021, dictado por el Juzgado de Primera Instancia núm. 15 de Las Palmas de Gran Canaria en el procedimiento de jurisdicción voluntaria núm. 464-2021, y contra el auto de 11 de marzo de 2022, dictado por la Sección Tercera de la Audiencia Provincial de Las Palmas en el rollo de apelación núm. 1576-2021.</w:t>
      </w:r>
    </w:p>
    <w:p w14:paraId="0967FB38" w14:textId="77777777" w:rsidR="009D7677" w:rsidRDefault="009D7677" w:rsidP="009D7677">
      <w:pPr>
        <w:pStyle w:val="TextoNormal"/>
      </w:pPr>
    </w:p>
    <w:p w14:paraId="5312CEB2" w14:textId="77777777" w:rsidR="009D7677" w:rsidRDefault="009D7677" w:rsidP="009D7677">
      <w:pPr>
        <w:pStyle w:val="TextoNormal"/>
      </w:pPr>
      <w:r w:rsidRPr="009D7677">
        <w:rPr>
          <w:rStyle w:val="NumeroAFNegritaCaracter"/>
        </w:rPr>
        <w:t>2</w:t>
      </w:r>
      <w:r>
        <w:t>. Los hechos en los que tiene su origen el presente recurso y son relevantes para su resolución son, en síntesis, los siguientes:</w:t>
      </w:r>
    </w:p>
    <w:p w14:paraId="280AE691" w14:textId="77777777" w:rsidR="009D7677" w:rsidRDefault="009D7677" w:rsidP="009D7677">
      <w:pPr>
        <w:pStyle w:val="TextoNormal"/>
      </w:pPr>
    </w:p>
    <w:p w14:paraId="466F309F" w14:textId="77777777" w:rsidR="009D7677" w:rsidRDefault="009D7677" w:rsidP="009D7677">
      <w:pPr>
        <w:pStyle w:val="TextoNormal"/>
      </w:pPr>
      <w:r>
        <w:t>a) Por escrito registrado el 4 de mayo de 2021, el Ministerio Fiscal interesó al juzgado de primera instancia de Las Palmas al que por turno correspondiese que, de conformidad con lo previsto en los arts. 85 y 87 de la Ley 15/2015, de 2 de julio, de la jurisdicción voluntaria [en adelante, Ley 15/2015], convocara una comparecencia a afectos de autorizar judicialmente la administración de “la vacuna frente el covid-19” a doña C.D.Q.</w:t>
      </w:r>
    </w:p>
    <w:p w14:paraId="1BA53CD8" w14:textId="77777777" w:rsidR="009D7677" w:rsidRDefault="009D7677" w:rsidP="009D7677">
      <w:pPr>
        <w:pStyle w:val="TextoNormal"/>
      </w:pPr>
    </w:p>
    <w:p w14:paraId="1E71E4D6" w14:textId="77777777" w:rsidR="009D7677" w:rsidRDefault="009D7677" w:rsidP="009D7677">
      <w:pPr>
        <w:pStyle w:val="TextoNormal"/>
      </w:pPr>
      <w:r>
        <w:t>En el referido escrito el fiscal explica que ha recibido una comunicación del gerente de atención primaria del área de salud de Gran Canaria (Servicio Canario de Salud) a la que se adjunta un escrito de la enfermera adscrita a la zona básica de Tafira Lomo Blanco. La enfermera señala que doña L.D.D. (la recurrente de amparo) se niega a que se administre la vacuna contra la covid-19 a su madre, doña C.D.Q., que no puede decidir por sí misma.</w:t>
      </w:r>
    </w:p>
    <w:p w14:paraId="3C7B7B4B" w14:textId="77777777" w:rsidR="009D7677" w:rsidRDefault="009D7677" w:rsidP="009D7677">
      <w:pPr>
        <w:pStyle w:val="TextoNormal"/>
      </w:pPr>
    </w:p>
    <w:p w14:paraId="7C795E52" w14:textId="77777777" w:rsidR="009D7677" w:rsidRDefault="009D7677" w:rsidP="009D7677">
      <w:pPr>
        <w:pStyle w:val="TextoNormal"/>
      </w:pPr>
      <w:r>
        <w:t>El fiscal estima que, de acuerdo con la documentación recabada: (i) doña C.D.Q., no puede tomar por sí misma una decisión sobre la administración de la vacuna contra la covid-19, ya que padece una demencia senil y una psicosis orgánica crónica; (ii) dicha vacuna reporta un beneficio para su salud; (iii) la decisión tomada por su hija resulta, por ello, contraria al interés de doña C.D.Q.</w:t>
      </w:r>
    </w:p>
    <w:p w14:paraId="2D1147C7" w14:textId="77777777" w:rsidR="009D7677" w:rsidRDefault="009D7677" w:rsidP="009D7677">
      <w:pPr>
        <w:pStyle w:val="TextoNormal"/>
      </w:pPr>
    </w:p>
    <w:p w14:paraId="6E323679" w14:textId="77777777" w:rsidR="009D7677" w:rsidRDefault="009D7677" w:rsidP="009D7677">
      <w:pPr>
        <w:pStyle w:val="TextoNormal"/>
      </w:pPr>
      <w:r>
        <w:t>b) El referido escrito fue turnado al Juzgado de Primera Instancia núm. 15 de Las Palmas de Gran Canaria y dio lugar a la incoación del procedimiento de jurisdicción voluntaria núm. 464-2021. Mediante decreto de 18 de mayo de 2021 se nombró defensor judicial de doña C.D.Q., para dicho procedimiento.</w:t>
      </w:r>
    </w:p>
    <w:p w14:paraId="767C2DD8" w14:textId="77777777" w:rsidR="009D7677" w:rsidRDefault="009D7677" w:rsidP="009D7677">
      <w:pPr>
        <w:pStyle w:val="TextoNormal"/>
      </w:pPr>
    </w:p>
    <w:p w14:paraId="324167E7" w14:textId="77777777" w:rsidR="009D7677" w:rsidRDefault="009D7677" w:rsidP="009D7677">
      <w:pPr>
        <w:pStyle w:val="TextoNormal"/>
      </w:pPr>
      <w:r>
        <w:t>c) Dentro del referido procedimiento de jurisdicción voluntaria, el órgano judicial procedió, en fecha 26 de mayo de 2021, a oír a la recurrente de amparo, que manifestó que se ratificaba en su negativa a que su madre fuera vacunada. En dicha comparecencia, doña L.D.D., expresó, como motivos de esa decisión, que su madre se encontraba muy débil físicamente, que no salía de casa y que no tenía contacto sino con la familia. También de</w:t>
      </w:r>
      <w:r>
        <w:lastRenderedPageBreak/>
        <w:t>claró que se había informado con personas que “conocen del tema” y que no era conveniente vacunarse en esas condiciones físicas y de salud.</w:t>
      </w:r>
    </w:p>
    <w:p w14:paraId="1AB9C937" w14:textId="77777777" w:rsidR="009D7677" w:rsidRDefault="009D7677" w:rsidP="009D7677">
      <w:pPr>
        <w:pStyle w:val="TextoNormal"/>
      </w:pPr>
    </w:p>
    <w:p w14:paraId="6E2A52C2" w14:textId="77777777" w:rsidR="009D7677" w:rsidRDefault="009D7677" w:rsidP="009D7677">
      <w:pPr>
        <w:pStyle w:val="TextoNormal"/>
      </w:pPr>
      <w:r>
        <w:t>Acto seguido, fue oído el defensor judicial de doña C.D.Q., quien, después de manifestar que se había entrevistado con doña C.D.Q., y sus tres hijos, mostró su conformidad con que se administrara la vacuna a su defendida, pues “dado su edad, su estado de salud y las circunstancias familiares de su vida diaria, es lo más adecuado a la protección de su vida y salud”.</w:t>
      </w:r>
    </w:p>
    <w:p w14:paraId="236FB5EE" w14:textId="77777777" w:rsidR="009D7677" w:rsidRDefault="009D7677" w:rsidP="009D7677">
      <w:pPr>
        <w:pStyle w:val="TextoNormal"/>
      </w:pPr>
    </w:p>
    <w:p w14:paraId="0078D8BF" w14:textId="77777777" w:rsidR="009D7677" w:rsidRDefault="009D7677" w:rsidP="009D7677">
      <w:pPr>
        <w:pStyle w:val="TextoNormal"/>
      </w:pPr>
      <w:r>
        <w:t>d) En fecha 12 de julio de 2021, tuvo lugar la exploración judicial de doña C.D.Q., en la que esta manifestó, según consta en el acta, “que [si] nos ponemos mascarilla por algo será, que no tiene que dar explicaciones de su vida a nadie. Que nos ponemos mascarilla para que no haya contagios, que hay una enfermedad mala en el ambiente. Que le parece muy bien la vacuna contra la enfermedad, que ya se vacunó”.</w:t>
      </w:r>
    </w:p>
    <w:p w14:paraId="574AC6D5" w14:textId="77777777" w:rsidR="009D7677" w:rsidRDefault="009D7677" w:rsidP="009D7677">
      <w:pPr>
        <w:pStyle w:val="TextoNormal"/>
      </w:pPr>
    </w:p>
    <w:p w14:paraId="70D218DA" w14:textId="77777777" w:rsidR="009D7677" w:rsidRDefault="009D7677" w:rsidP="009D7677">
      <w:pPr>
        <w:pStyle w:val="TextoNormal"/>
      </w:pPr>
      <w:r>
        <w:t>e) En fecha 26 de julio de 2021, tuvo entrada en el Juzgado el informe elaborado por la médico forense del Instituto de Medicina Legal de Las Palmas de Gran Canaria. En dicho informe se afirma que “[l]a peritada presenta un deterioro cognitivo leve secundario a su demencia senil”, que dicho deterioro “la limita para consentir plenamente en esta cuestión sanitaria”, a pesar de lo cual doña C.D.Q., ha manifestado a la médico forense que “no le importaría” vacunarse y que “si hay que hacerlo se hace”. Considera, en todo caso, la médico forense que, “en cuanto a la emisión de consentimiento para ser vacunada”, doña C.D.Q., “carece de capacidad plena para emitir un consentimiento válido por su deterioro cognitivo leve, si bien tampoco se opone”.</w:t>
      </w:r>
    </w:p>
    <w:p w14:paraId="5A49573B" w14:textId="77777777" w:rsidR="009D7677" w:rsidRDefault="009D7677" w:rsidP="009D7677">
      <w:pPr>
        <w:pStyle w:val="TextoNormal"/>
      </w:pPr>
    </w:p>
    <w:p w14:paraId="702C59A0" w14:textId="77777777" w:rsidR="009D7677" w:rsidRDefault="009D7677" w:rsidP="009D7677">
      <w:pPr>
        <w:pStyle w:val="TextoNormal"/>
      </w:pPr>
      <w:r>
        <w:t>En cuanto a los riesgos de la vacunación, la médico forense estima en el informe que “todo parece indicar que los beneficios de vacunarse frente al virus son mucho mayores que los posibles efectos secundarios de la vacuna, que en la mayoría de los casos son leves y consisten en cefalea, dolor en el lugar de la punción, malestar general, astenia y febrícula”. En consecuencia “se considera que la vacunación es recomendable […] sobre todo en personas más vulnerables a sufrir infecciones y cuadros clínicos más graves, como sujetos de edad avanzada, institucionalizados o con patologías previas de base”.</w:t>
      </w:r>
    </w:p>
    <w:p w14:paraId="277F5110" w14:textId="77777777" w:rsidR="009D7677" w:rsidRDefault="009D7677" w:rsidP="009D7677">
      <w:pPr>
        <w:pStyle w:val="TextoNormal"/>
      </w:pPr>
    </w:p>
    <w:p w14:paraId="135B9EDF" w14:textId="77777777" w:rsidR="009D7677" w:rsidRDefault="009D7677" w:rsidP="009D7677">
      <w:pPr>
        <w:pStyle w:val="TextoNormal"/>
      </w:pPr>
      <w:r>
        <w:t>f) En fecha 17 de agosto de 2021, la demandante de amparo presentó, invocando el art. 17.3 de la Ley 15/2015, escrito de oposición a la solicitud de vacunación realizada por el Ministerio Fiscal.</w:t>
      </w:r>
    </w:p>
    <w:p w14:paraId="0BE0E179" w14:textId="77777777" w:rsidR="009D7677" w:rsidRDefault="009D7677" w:rsidP="009D7677">
      <w:pPr>
        <w:pStyle w:val="TextoNormal"/>
      </w:pPr>
    </w:p>
    <w:p w14:paraId="1A60980B" w14:textId="77777777" w:rsidR="009D7677" w:rsidRDefault="009D7677" w:rsidP="009D7677">
      <w:pPr>
        <w:pStyle w:val="TextoNormal"/>
      </w:pPr>
      <w:r>
        <w:t xml:space="preserve">En dicho escrito, doña L.D.D., denuncia que se trata de imponer a su madre una vacunación forzosa cuando la vacunación en España tiene carácter estrictamente voluntario. Afirma que el paciente tiene siempre, como parte del contenido esencial de su derecho fundamental a la integridad física, la facultad de aceptar o rechazar las medidas terapéuticas que se le plantean. Cualquier actuación médica que se realiza “sin contar con o en contra de la voluntad del paciente” supone, en realidad, una vulneración del art. 15 CE. Previa cita de las SSTC 120/1990, de 27 de junio, y 37/2011, de 28 de marzo, así como de la Carta de derechos fundamentales de la Unión Europea y del Convenio europeo de derechos humanos (CEDH), la demandante de amparo alega que “el consentimiento del paciente a cualquier intervención sobre su persona es algo inherente, entre otros, a su derecho fundamental a la integridad física, a la facultad que este supone de impedir toda intervención </w:t>
      </w:r>
      <w:r>
        <w:lastRenderedPageBreak/>
        <w:t>no consentida sobre el propio cuerpo, que no puede verse limitada de manera injustificada como consecuencia de una situación de enfermedad”.</w:t>
      </w:r>
    </w:p>
    <w:p w14:paraId="0063AC12" w14:textId="77777777" w:rsidR="009D7677" w:rsidRDefault="009D7677" w:rsidP="009D7677">
      <w:pPr>
        <w:pStyle w:val="TextoNormal"/>
      </w:pPr>
    </w:p>
    <w:p w14:paraId="61EC4172" w14:textId="77777777" w:rsidR="009D7677" w:rsidRDefault="009D7677" w:rsidP="009D7677">
      <w:pPr>
        <w:pStyle w:val="TextoNormal"/>
      </w:pPr>
      <w:r>
        <w:t>Estima, asimismo, que la propuesta de vacunación constituye, en realidad, la administración forzosa de un medicamento de terapia génica. El medicamento propuesto no contiene el “virus denominado Sars-Cov-2”. El influjo sobre el sistema inmune se provoca obligando a la célula a “absorber un material genético foráneo con la finalidad de producir una proteína desconocida para el organismo (proteína ‘Spike’) y posteriormente expone o libera la proteína ‘S’ producida, que es la que pone en marcha la respuesta inmune”. Al provocar una “activación endógena” de esa respuesta estaríamos ante un fármaco que no puede ser considerado como “vacuna”. La indebida denominación de “vacuna” no sería azarosa, sino que perseguiría sustraer el medicamento de terapia génica a los requisitos de la legislación sobre medicamentos sanitarios. Se trataría, además, de un medicamento en fase experimental, que no garantiza la inmunidad por un tiempo preciso, más allá de la genérica mención a una duración de varios meses. Añade que la vacuna propuesta ha tenido numerosos casos de reacciones adversas y que los últimos descubrimientos revelan que la proteína “Spike” puede tener efectos igualmente nocivos para la salud.</w:t>
      </w:r>
    </w:p>
    <w:p w14:paraId="38A0D519" w14:textId="77777777" w:rsidR="009D7677" w:rsidRDefault="009D7677" w:rsidP="009D7677">
      <w:pPr>
        <w:pStyle w:val="TextoNormal"/>
      </w:pPr>
    </w:p>
    <w:p w14:paraId="5C360AFA" w14:textId="77777777" w:rsidR="009D7677" w:rsidRDefault="009D7677" w:rsidP="009D7677">
      <w:pPr>
        <w:pStyle w:val="TextoNormal"/>
      </w:pPr>
      <w:r>
        <w:t>g) En fecha 28 de septiembre de 2021 se celebró la vista del procedimiento. En ella tanto el Ministerio Fiscal como el defensor judicial de doña C.D.Q., solicitaron que se otorgara la autorización judicial para el suministro de la vacuna. La demandante de amparo volvió a manifestar su oposición. En la referida vista también fueron oídos los dos hijos de doña C.D.Q., con los que esta convive. Uno de ellos se mostró favorable a la administración de la vacuna y el otro expresó que tenía dudas pero que él habría optado por vacunarla. La médico forense fue también oída y ratificó su informe.</w:t>
      </w:r>
    </w:p>
    <w:p w14:paraId="39CEC485" w14:textId="77777777" w:rsidR="009D7677" w:rsidRDefault="009D7677" w:rsidP="009D7677">
      <w:pPr>
        <w:pStyle w:val="TextoNormal"/>
      </w:pPr>
    </w:p>
    <w:p w14:paraId="090677F9" w14:textId="77777777" w:rsidR="009D7677" w:rsidRDefault="009D7677" w:rsidP="009D7677">
      <w:pPr>
        <w:pStyle w:val="TextoNormal"/>
      </w:pPr>
      <w:r>
        <w:t>h) En fecha 29 de septiembre de 2021 el Juzgado dictó auto resolviendo el procedimiento de jurisdicción voluntaria. En dicha resolución, el órgano judicial considera, a la vista del informe forense, que doña C.D.Q., carece de capacidad para prestar consentimiento por sí misma, por lo que procede el consentimiento por representación previsto en el art. 9.3 a) de la Ley 41/2002, de 14 de noviembre. En relación con la prestación de dicho consentimiento, en la resolución consta que, de acuerdo con lo manifestado por los tres hijos de doña C.D.Q., en el acto de la vista, la ahora recurrente de amparo “a pesar de haber sido apoderada por su madre, junto con ella, no intervenía en la toma de decisiones cotidianas que afectaban a su madre”. También constata, por las declaraciones efectuadas en la vista, que los dos hijos de doña C.D.Q., que residen con ella tienen acordado un reparto de funciones en el que uno de ellos, favorable a que se la administre la vacuna, está encargado de la gestión de las cuestiones sanitarias.</w:t>
      </w:r>
    </w:p>
    <w:p w14:paraId="0FB8F19C" w14:textId="77777777" w:rsidR="009D7677" w:rsidRDefault="009D7677" w:rsidP="009D7677">
      <w:pPr>
        <w:pStyle w:val="TextoNormal"/>
      </w:pPr>
    </w:p>
    <w:p w14:paraId="4BAC4FED" w14:textId="77777777" w:rsidR="009D7677" w:rsidRDefault="009D7677" w:rsidP="009D7677">
      <w:pPr>
        <w:pStyle w:val="TextoNormal"/>
      </w:pPr>
      <w:r>
        <w:t>Estima la resolución que el hecho de que doña C.D.Q., necesite apoyo para decidir sobre la administración de la vacuna contra la covid-19 no significa que “no deba valorarse su opinión al respecto”, con cita en este punto del art. 249 del Código civil y el art. 9.7 de la Ley 41/2002. Pone de relieve que doña C.D.Q., “manifestó expresamente, tanto a la señora médico forense (como se recoge en el informe y precisó la perito en la vista), como en la entrevista personal con esta magistrada, que le parecía bien vacunarse para no contagiarse”, por lo que “no solo no existe ningún dato que nos permite concluir que la voluntad de doña C.D.Q., es de oposición a ser vacunada contra el covid, sino que […] esta ha manifestado expresamente su predisposición a ello”.</w:t>
      </w:r>
    </w:p>
    <w:p w14:paraId="3D63DF62" w14:textId="77777777" w:rsidR="009D7677" w:rsidRDefault="009D7677" w:rsidP="009D7677">
      <w:pPr>
        <w:pStyle w:val="TextoNormal"/>
      </w:pPr>
    </w:p>
    <w:p w14:paraId="460A8E1C" w14:textId="77777777" w:rsidR="009D7677" w:rsidRDefault="009D7677" w:rsidP="009D7677">
      <w:pPr>
        <w:pStyle w:val="TextoNormal"/>
      </w:pPr>
      <w:r>
        <w:t>Se analiza, después, en la resolución el informe médico forense. De acuerdo con su contenido, la magistrada concluye que los peligros para la salud de doña C.D.Q., derivados del contagio son, en principio, mayores que los inherentes a la vacunación. Tiene en cuenta, en este punto, que doña C.D.Q., “reside con sus dos hijos, los cuales desempeñan una actividad laboral y tienen contacto, por tanto, con terceras personas, tal y como aquellos relataron en la vista, lo que supone un riesgo de contagio para ellos y, en consecuencia, para su madre”. También valora que doña C.D.Q., “sale al exterior en alguna ocasión, para ir a la peluquería […] y recibe visitas de familiares, lo que incide asimismo en ese riesgo de contagio”.</w:t>
      </w:r>
    </w:p>
    <w:p w14:paraId="35B58147" w14:textId="77777777" w:rsidR="009D7677" w:rsidRDefault="009D7677" w:rsidP="009D7677">
      <w:pPr>
        <w:pStyle w:val="TextoNormal"/>
      </w:pPr>
    </w:p>
    <w:p w14:paraId="34D4549C" w14:textId="77777777" w:rsidR="009D7677" w:rsidRDefault="009D7677" w:rsidP="009D7677">
      <w:pPr>
        <w:pStyle w:val="TextoNormal"/>
      </w:pPr>
      <w:r>
        <w:t>También toma en consideración la magistrada las explicaciones dadas por la médico forense en el acto de la vista, en particular que la vacuna tenida en cuenta en el dictamen es la Pfizer-BioNTech, pues esta es la vacuna recomendada por las autoridades sanitarias para personas en la franja de edad de doña C.D.Q. Constata la magistrada que, de acuerdo con la pericial forense, la autorización de esta vacuna por la Agencia Europea de Medicamentos y la Agencia Española del Medicamento y Productos Sanitarios “se concede al demostrarse que los beneficios del medicamento o la vacuna superan cualquier riesgo y, una vez que se ha otorgado dicha autorización, las empresas deben proporcionar más datos o estudios, en curso o nuevos, dentro de los plazos predefinidos, para confirmar que los beneficios siguen superando los riesgos”. Considera, en este punto, la magistrada que no se ha aportado al procedimiento, pese a las alegaciones realizadas por la parte oponente, “ningún informe pericial que rebata las conclusiones del informe médico forense”. Estima, por ello, que la decisión de la hija de doña C.D.Q., de no autorizar la vacunación de su madre es “contraria a los intereses” de esta, pues, “como el informe médico forense precisa, es aconsejable que la misma, por su edad, y consiguiente vulnerabilidad, sea vacunada contra el covid-19, a fin de evitar las consecuencias graves para su salud que contraer la enfermedad le podría suponer”.</w:t>
      </w:r>
    </w:p>
    <w:p w14:paraId="404C1D03" w14:textId="77777777" w:rsidR="009D7677" w:rsidRDefault="009D7677" w:rsidP="009D7677">
      <w:pPr>
        <w:pStyle w:val="TextoNormal"/>
      </w:pPr>
    </w:p>
    <w:p w14:paraId="3E4EF3FF" w14:textId="77777777" w:rsidR="009D7677" w:rsidRDefault="009D7677" w:rsidP="009D7677">
      <w:pPr>
        <w:pStyle w:val="TextoNormal"/>
      </w:pPr>
      <w:r>
        <w:t>Aclara, finalmente, la magistrada que, frente a lo alegado por doña L.D.D., en el presente supuesto no se trata de imponer “ninguna vacunación obligatoria”, pues “el consentimiento para la administración de la vacuna es por representación, siendo la autoridad judicial quien, a la vista de que la decisión adoptada por los familiares, llamados inicialmente a otorgarlo, es contraria a los intereses de doña C.D.Q., autoriza la misma”. Concluye que, en realidad “son sus familiares quienes, sin mala fe ciertamente, han prescindido de esta [la voluntad de doña C.D.Q.] en el proceso de toma de decisión, según lo referido”.</w:t>
      </w:r>
    </w:p>
    <w:p w14:paraId="1219A463" w14:textId="77777777" w:rsidR="009D7677" w:rsidRDefault="009D7677" w:rsidP="009D7677">
      <w:pPr>
        <w:pStyle w:val="TextoNormal"/>
      </w:pPr>
    </w:p>
    <w:p w14:paraId="49F31C6E" w14:textId="77777777" w:rsidR="009D7677" w:rsidRDefault="009D7677" w:rsidP="009D7677">
      <w:pPr>
        <w:pStyle w:val="TextoNormal"/>
      </w:pPr>
      <w:r>
        <w:t>El órgano judicial estima, por todo ello, la solicitud del Ministerio Fiscal y autoriza, en consecuencia, la administración de la vacuna por parte del Servicio Canario de Salud.</w:t>
      </w:r>
    </w:p>
    <w:p w14:paraId="3E940BEE" w14:textId="77777777" w:rsidR="009D7677" w:rsidRDefault="009D7677" w:rsidP="009D7677">
      <w:pPr>
        <w:pStyle w:val="TextoNormal"/>
      </w:pPr>
    </w:p>
    <w:p w14:paraId="7A4EA168" w14:textId="77777777" w:rsidR="009D7677" w:rsidRDefault="009D7677" w:rsidP="009D7677">
      <w:pPr>
        <w:pStyle w:val="TextoNormal"/>
      </w:pPr>
      <w:r>
        <w:t>i) En fecha 4 de noviembre de 2021, se interpuso por la representación procesal de la demandante de amparo recurso de apelación contra el auto de 29 de septiembre de 2021, reiterando los argumentos expresados en el escrito de oposición. A dicho recurso se opusieron tanto el defensor judicial de doña C.D.Q., en escrito registrado el 4 de febrero de 2022, como el Ministerio Fiscal, mediante escrito registrado el 11 de febrero de 2022.</w:t>
      </w:r>
    </w:p>
    <w:p w14:paraId="637D7FA0" w14:textId="77777777" w:rsidR="009D7677" w:rsidRDefault="009D7677" w:rsidP="009D7677">
      <w:pPr>
        <w:pStyle w:val="TextoNormal"/>
      </w:pPr>
    </w:p>
    <w:p w14:paraId="11C43064" w14:textId="77777777" w:rsidR="009D7677" w:rsidRDefault="009D7677" w:rsidP="009D7677">
      <w:pPr>
        <w:pStyle w:val="TextoNormal"/>
      </w:pPr>
      <w:r>
        <w:lastRenderedPageBreak/>
        <w:t>j) En fecha 11 de marzo de 2022, la Sección Tercera de la Audiencia Provincial de Las Palmas dictó auto, dentro del rollo de apelación núm. 1576-2021, desestimando el recurso de apelación interpuesto y confirmando íntegramente la resolución del juzgado.</w:t>
      </w:r>
    </w:p>
    <w:p w14:paraId="29B0FEE4" w14:textId="77777777" w:rsidR="009D7677" w:rsidRDefault="009D7677" w:rsidP="009D7677">
      <w:pPr>
        <w:pStyle w:val="TextoNormal"/>
      </w:pPr>
    </w:p>
    <w:p w14:paraId="7F2A75EB" w14:textId="77777777" w:rsidR="009D7677" w:rsidRDefault="009D7677" w:rsidP="009D7677">
      <w:pPr>
        <w:pStyle w:val="TextoNormal"/>
      </w:pPr>
      <w:r>
        <w:t>La audiencia parte del presupuesto de que la vacunación por covid-19 en España tiene carácter voluntario. Subraya, no obstante, que el caso planteado versa sobre la autorización judicial de la administración de la vacuna a una persona que no puede decidir por sí misma. Asume, en este punto, el siguiente presupuesto: de acuerdo con el art. 9.6 de la Ley de autonomía del paciente, “la única perspectiva a ponderar en el caso es la individual del paciente, es decir la identificación de la mayor protección y del mejor beneficio para la salud del residente, debiendo quedar al margen cualquier otra consideración”.</w:t>
      </w:r>
    </w:p>
    <w:p w14:paraId="1D516AB4" w14:textId="77777777" w:rsidR="009D7677" w:rsidRDefault="009D7677" w:rsidP="009D7677">
      <w:pPr>
        <w:pStyle w:val="TextoNormal"/>
      </w:pPr>
    </w:p>
    <w:p w14:paraId="77101CEB" w14:textId="77777777" w:rsidR="009D7677" w:rsidRDefault="009D7677" w:rsidP="009D7677">
      <w:pPr>
        <w:pStyle w:val="TextoNormal"/>
      </w:pPr>
      <w:r>
        <w:t>El órgano judicial considera que: (i) no existe, de acuerdo con periciales practicadas, contraindicación para la administración de la vacuna a doña C.D.Q.; (ii) la administración de la vacuna es, además, recomendable, de acuerdo con el informe médico forense; (iii) así lo aconsejarían, igualmente, los altos índices de infección y mortalidad a consecuencia de la epidemia de covid; (iv) la administración de la vacuna supone desde la perspectiva del interés individual y protección para la vida y salud del mismo, un beneficio incontestable, mucho mayor que los riesgos que supondría la no administración de la misma; (v) las vacunas que se administran en España “están autorizadas por la Agencia Europea del Medicamento y la Agencia Española del Medicamento y Productos Sanitarios, además de sometidas a continuo seguimiento lo que permite suponer que las mismas se han elaborado —a pesar de la celeridad del proceso— con las máximas garantías de calidad y eficacia”.</w:t>
      </w:r>
    </w:p>
    <w:p w14:paraId="68482E64" w14:textId="77777777" w:rsidR="009D7677" w:rsidRDefault="009D7677" w:rsidP="009D7677">
      <w:pPr>
        <w:pStyle w:val="TextoNormal"/>
      </w:pPr>
    </w:p>
    <w:p w14:paraId="15FD181C" w14:textId="77777777" w:rsidR="009D7677" w:rsidRDefault="009D7677" w:rsidP="009D7677">
      <w:pPr>
        <w:pStyle w:val="TextoNormal"/>
      </w:pPr>
      <w:r>
        <w:t>Por todo ello, la Audiencia Provincial desestima el recurso de apelación y confirma íntegramente el auto dictado por el juzgado.</w:t>
      </w:r>
    </w:p>
    <w:p w14:paraId="7B3D7DE0" w14:textId="77777777" w:rsidR="009D7677" w:rsidRDefault="009D7677" w:rsidP="009D7677">
      <w:pPr>
        <w:pStyle w:val="TextoNormal"/>
      </w:pPr>
    </w:p>
    <w:p w14:paraId="010A22C1" w14:textId="4F187D9D" w:rsidR="009D7677" w:rsidRDefault="009D7677" w:rsidP="009D7677">
      <w:pPr>
        <w:pStyle w:val="TextoNormal"/>
      </w:pPr>
      <w:r>
        <w:t>k) Mediante auto de fecha 1 de junio de 2022, la Sección Tercera de la Audiencia Provincial dictó auto aclarando el previo de 11 de marzo a los efectos de suprimir un párrafo en el que se aludía, por error, al riesgo inherente al internamiento en una residencia.</w:t>
      </w:r>
    </w:p>
    <w:p w14:paraId="511F7CE1" w14:textId="77777777" w:rsidR="009D7677" w:rsidRDefault="009D7677" w:rsidP="009D7677">
      <w:pPr>
        <w:pStyle w:val="TextoNormal"/>
      </w:pPr>
    </w:p>
    <w:p w14:paraId="369AC593" w14:textId="77777777" w:rsidR="009D7677" w:rsidRDefault="009D7677" w:rsidP="009D7677">
      <w:pPr>
        <w:pStyle w:val="TextoNormal"/>
      </w:pPr>
      <w:r w:rsidRPr="009D7677">
        <w:rPr>
          <w:rStyle w:val="NumeroAFNegritaCaracter"/>
        </w:rPr>
        <w:t>3</w:t>
      </w:r>
      <w:r>
        <w:t>. En la demanda de amparo, la recurrente invoca para justificar su legitimación, que ha sido parte “en el procedimiento en que se ha dictado la resolución”, así como su condición de “hija de la titular de los derechos fundamentales vulnerados”. Se considera, en tal calidad, “en posesión de un interés legítimo susceptible de amparo constitucional”.</w:t>
      </w:r>
    </w:p>
    <w:p w14:paraId="437C366B" w14:textId="77777777" w:rsidR="009D7677" w:rsidRDefault="009D7677" w:rsidP="009D7677">
      <w:pPr>
        <w:pStyle w:val="TextoNormal"/>
      </w:pPr>
    </w:p>
    <w:p w14:paraId="1455171D" w14:textId="77777777" w:rsidR="009D7677" w:rsidRDefault="009D7677" w:rsidP="009D7677">
      <w:pPr>
        <w:pStyle w:val="TextoNormal"/>
      </w:pPr>
      <w:r>
        <w:t>En cuanto al fondo, considera que las resoluciones judiciales impugnadas autorizan la “inoculación forzosa” a una persona de “avanzada edad” de un “medicamento de terapia génica en fase experimental” y ello “en el contexto de una situación excepcional de ‘pandemia’”, a pesar de que “el citado medicamento tiene carácter voluntario para el resto de la población”. La administración forzosa de la vacuna se habría verificado, además, “sin la expedición de la preceptiva receta médica y sin la entrega del preceptivo consentimiento informado escrito”. Esta actuación judicial supone, en opinión de la demandante, la vulneración del derecho a la igualdad ante la ley y a no ser discriminado, la vulneración del derecho a la integridad física y moral, así como la vulneración del derecho a la intimidad (arts. 14, 15 y 18 CE), todo ello en relación con el “deber de motivar las resoluciones judiciales prevenido en el art. 24.1 CE”.</w:t>
      </w:r>
    </w:p>
    <w:p w14:paraId="6B4C1EB0" w14:textId="77777777" w:rsidR="009D7677" w:rsidRDefault="009D7677" w:rsidP="009D7677">
      <w:pPr>
        <w:pStyle w:val="TextoNormal"/>
      </w:pPr>
    </w:p>
    <w:p w14:paraId="202C8EDF" w14:textId="77777777" w:rsidR="009D7677" w:rsidRDefault="009D7677" w:rsidP="009D7677">
      <w:pPr>
        <w:pStyle w:val="TextoNormal"/>
      </w:pPr>
      <w:r>
        <w:lastRenderedPageBreak/>
        <w:t>Con carácter general, la demanda hace hincapié en el carácter voluntario que en España tiene la vacunación, de acuerdo con la legislación vigente. La recurrente afirma que no hay precepto legal alguno del que pueda derivarse la obligación de vacunarse. Recuerda que la Resolución 2361 (2021) de la Asamblea Parlamentaria del Consejo de Europa, en su punto 7.3.1, pone énfasis en que los ciudadanos sean informados de que la vacunación no es obligatoria. Cita, asimismo, la Ley 33/2011, de 4 de octubre, general de salud pública, que dispone, como principio general, que la participación en las actuaciones de salud pública será voluntaria, salvo lo previsto en la Ley Orgánica 3/1986, de 14 de abril, de medidas especiales en materia de salud pública. Cita también el art. 6.1 del Convenio para la protección de los derechos humanos y la dignidad del ser humano con respecto a las aplicaciones de la biología y la medicina, hecho en Oviedo el 4 de abril de 1997, conforme al cual la “intervención a una persona que no tenga capacidad para expresar su consentimiento” solo puede producirse “cuando redunde en su beneficio directo”.</w:t>
      </w:r>
    </w:p>
    <w:p w14:paraId="7219980C" w14:textId="77777777" w:rsidR="009D7677" w:rsidRDefault="009D7677" w:rsidP="009D7677">
      <w:pPr>
        <w:pStyle w:val="TextoNormal"/>
      </w:pPr>
    </w:p>
    <w:p w14:paraId="2FDBF3FA" w14:textId="77777777" w:rsidR="009D7677" w:rsidRDefault="009D7677" w:rsidP="009D7677">
      <w:pPr>
        <w:pStyle w:val="TextoNormal"/>
      </w:pPr>
      <w:r>
        <w:t>Invoca la actora, igualmente, la doctrina fijada en las SSTC 120/1990, de 27 de junio, y 37/2011, de 28 de marzo, conforme a la cual el derecho a la integridad física “resulta afectado cuando se impone a una persona una asistencia médica en contra de su voluntad, razón por la que dicha asistencia médica constituye una limitación vulneradora del derecho fundamental, a no ser que tenga una justificación constitucional”. Tal justificación requiere, según esa misma doctrina, que la medida limitadora sea necesaria para conseguir el fin perseguido, que exista proporcionalidad y que se respete el contenido esencial del derecho fundamental afectado.</w:t>
      </w:r>
    </w:p>
    <w:p w14:paraId="37911E21" w14:textId="77777777" w:rsidR="009D7677" w:rsidRDefault="009D7677" w:rsidP="009D7677">
      <w:pPr>
        <w:pStyle w:val="TextoNormal"/>
      </w:pPr>
    </w:p>
    <w:p w14:paraId="4C526A11" w14:textId="77777777" w:rsidR="009D7677" w:rsidRDefault="009D7677" w:rsidP="009D7677">
      <w:pPr>
        <w:pStyle w:val="TextoNormal"/>
      </w:pPr>
      <w:r>
        <w:t>La demandante estima que la limitación constitucional no ha cumplido, en el presente caso, con los citados requisitos. La “ciencia y datos oficiales” demuestran “que los riesgos superan con creces el supuesto beneficio, que el medicamento experimental no está cumpliendo con la finalidad inmunizadora pretendida, que los fallecidos covid en España se han multiplicado por cuatro después de la llegada de la mal denominada ‘vacuna’”. Sería la primera vez en la historia en que se administra a la población tres dosis de un fármaco experimental en apenas nueve meses “sin receta médica y sin el preceptivo consentimiento informado”. En ese contexto, la autorización por parte de los jueces de la administración “forzosa” de la vacuna es más una cuestión de fe que de ciencia, pues la única razón que mueve a los jueces es que “creen en la ‘bondad’ del medicamento”.</w:t>
      </w:r>
    </w:p>
    <w:p w14:paraId="139E34AE" w14:textId="77777777" w:rsidR="009D7677" w:rsidRDefault="009D7677" w:rsidP="009D7677">
      <w:pPr>
        <w:pStyle w:val="TextoNormal"/>
      </w:pPr>
    </w:p>
    <w:p w14:paraId="6FCAEEEE" w14:textId="77777777" w:rsidR="009D7677" w:rsidRDefault="009D7677" w:rsidP="009D7677">
      <w:pPr>
        <w:pStyle w:val="TextoNormal"/>
      </w:pPr>
      <w:r>
        <w:t>La actora denuncia, asimismo, que se ha producido un “uso fraudulento” por parte del Ministerio Fiscal del art. 9.6 de la Ley de autonomía del paciente, que exige la aportación de prueba relativa al perjuicio ocasionado a los intereses de la persona con discapacidad, “puesto que en ningún caso se ha acreditado que la negativa de la hija a administrar el medicamento a su madre sea contrario a su beneficio, más bien al contrario, lo que se trata es de proteger y velar por la salud de su madre”. Es más, “el transcurso del tiempo” estaría “confirmando su acertada decisión, pues no solo su madre no ha contraído la enfermedad, sino además se ha confirmado que el índice de mortalidad no llega al 1 por 100”.</w:t>
      </w:r>
    </w:p>
    <w:p w14:paraId="5D911D4C" w14:textId="77777777" w:rsidR="009D7677" w:rsidRDefault="009D7677" w:rsidP="009D7677">
      <w:pPr>
        <w:pStyle w:val="TextoNormal"/>
      </w:pPr>
    </w:p>
    <w:p w14:paraId="38CE4732" w14:textId="77777777" w:rsidR="009D7677" w:rsidRDefault="009D7677" w:rsidP="009D7677">
      <w:pPr>
        <w:pStyle w:val="TextoNormal"/>
      </w:pPr>
      <w:r>
        <w:t xml:space="preserve">En lo que se refiere específicamente al derecho a la integridad personal (art. 15 CE), la actora invoca el art. 3 de la Carta de derechos fundamentales de la Unión Europea, que reconoce dicho derecho y obliga, específicamente, en el marco de la medicina y la biología, a respetar “el consentimiento libre e informado de la persona de que se trate, de acuerdo con las modalidades establecidas por la ley”. Vuelve a referirse al Convenio de </w:t>
      </w:r>
      <w:r>
        <w:lastRenderedPageBreak/>
        <w:t xml:space="preserve">Oviedo, esta vez para destacar la misma exigencia general de consentimiento informado (art. 5), salvo que concurran motivos de urgencia que hagan indispensable la intervención inmediata (art. 8). Pone, igualmente, de manifiesto que, aunque el Convenio europeo de derechos humanos no prevé un derecho análogo a la integridad física y moral reconocido en el art. 15 CE y en el art. 3 CEDH, el Tribunal Europeo de Derechos Humanos ha reconducido la exigencia de consentimiento de los pacientes a las actuaciones médicas sobre su cuerpo al derecho a la vida privada y familiar reconocido en el art. 8 del Convenio (STEDH de 29 de abril de 2002, asunto </w:t>
      </w:r>
      <w:r w:rsidRPr="009D7677">
        <w:rPr>
          <w:i/>
        </w:rPr>
        <w:t>Pretty c. Reino Unido</w:t>
      </w:r>
      <w:r>
        <w:t>).</w:t>
      </w:r>
    </w:p>
    <w:p w14:paraId="53467605" w14:textId="77777777" w:rsidR="009D7677" w:rsidRDefault="009D7677" w:rsidP="009D7677">
      <w:pPr>
        <w:pStyle w:val="TextoNormal"/>
      </w:pPr>
    </w:p>
    <w:p w14:paraId="2EBBE27E" w14:textId="77777777" w:rsidR="009D7677" w:rsidRDefault="009D7677" w:rsidP="009D7677">
      <w:pPr>
        <w:pStyle w:val="TextoNormal"/>
      </w:pPr>
      <w:r>
        <w:t>De acuerdo con los referidos preceptos, concluye la demandante que “el consentimiento del paciente a cualquier intervención sobre su persona es algo inherente, entre otros, a su derecho fundamental a la integridad física, a la facultad que este supone de impedir toda intervención no consentida sobre el propio cuerpo, que no puede verse limitada de manera injustificada como consecuencia de una situación de enfermedad”. Así lo ha reconocido, según destaca, el propio Tribunal Constitucional en la STC 37/2011, de 28 de marzo, que eleva, en opinión de la recurrente, “el consentimiento informado a nivel de exigencia constitucional” al establecer, como facultad negativa directamente amparada en el art. 15 CE, el derecho a rechazar tratamientos médicos aun siendo estos beneficiosos para la salud. En la medida en que el consentimiento informado se erige, en la referida sentencia, en “garantía para la efectividad de la autonomía de la voluntad del paciente”, la “omisión” o “defectuosa realización” de esa información médica “puede suponer la lesión del propio derecho fundamental”. Añade la actora que el resultado concreto que haya tenido la actuación médica es indiferente, pues, de acuerdo con la doctrina del Tribunal Constitucional, no es necesario que la lesión en la integridad física llegue a consumarse para que se entienda constitucionalmente vulnerado el derecho al art. 15 CE, pues basta la creación de una situación de riesgo relevante (STC 221/2002, de 25 de noviembre) siempre que pueda considerarse que se trata de un peligro grave y cierto (SSTC 119/2001, de 24 de mayo, y 5/2002, de 14 de enero).</w:t>
      </w:r>
    </w:p>
    <w:p w14:paraId="30643E5D" w14:textId="77777777" w:rsidR="009D7677" w:rsidRDefault="009D7677" w:rsidP="009D7677">
      <w:pPr>
        <w:pStyle w:val="TextoNormal"/>
      </w:pPr>
    </w:p>
    <w:p w14:paraId="4BAF695F" w14:textId="77777777" w:rsidR="009D7677" w:rsidRDefault="009D7677" w:rsidP="009D7677">
      <w:pPr>
        <w:pStyle w:val="TextoNormal"/>
      </w:pPr>
      <w:r>
        <w:t>En definitiva, la sola “privación de la información equivale a una privación o limitación del derecho a consentir o rechazar una actuación médica determinada, inherente a todo derecho fundamental a la integridad física y moral”.</w:t>
      </w:r>
    </w:p>
    <w:p w14:paraId="3D6B1DC1" w14:textId="77777777" w:rsidR="009D7677" w:rsidRDefault="009D7677" w:rsidP="009D7677">
      <w:pPr>
        <w:pStyle w:val="TextoNormal"/>
      </w:pPr>
    </w:p>
    <w:p w14:paraId="3FC8CB06" w14:textId="77777777" w:rsidR="009D7677" w:rsidRDefault="009D7677" w:rsidP="009D7677">
      <w:pPr>
        <w:pStyle w:val="TextoNormal"/>
      </w:pPr>
      <w:r>
        <w:t>En lo que se refiere al derecho a la intimidad (art. 18.1 CE), la recurrente pone de manifiesto, con cita de la STC 110/1984, de 26 de noviembre, que el Tribunal Constitucional ha considerado injerencias “arbitrarias o ilegales” en la intimidad aquellas que en las que “la penetración en el ámbito propio y reservado del sujeto no sea acorde con la ley, no sea eficazmente consentida o, aun autorizada, subvierta los términos y el alcance para el que se otorgó el consentimiento, quebrando la conexión entre la información personal que se recaba y el objetivo tolerado para el que fue recogida”. No obstante, recuerda que esa misma doctrina hace depender la intromisión en la intimidad corporal del “criterio dominante en nuestra cultura sobre el recato corporal, de modo que no pueden entenderse como intromisiones forzadas en la intimidad aquellas actuaciones que, por las partes del cuerpo sobre las que operan o por los instrumentos mediante los que se realizan, no constituyen, según un sano criterio, violación del pudor o del recato de la persona”.</w:t>
      </w:r>
    </w:p>
    <w:p w14:paraId="3E77D27E" w14:textId="77777777" w:rsidR="009D7677" w:rsidRDefault="009D7677" w:rsidP="009D7677">
      <w:pPr>
        <w:pStyle w:val="TextoNormal"/>
      </w:pPr>
    </w:p>
    <w:p w14:paraId="3424D72D" w14:textId="77777777" w:rsidR="009D7677" w:rsidRDefault="009D7677" w:rsidP="009D7677">
      <w:pPr>
        <w:pStyle w:val="TextoNormal"/>
      </w:pPr>
      <w:r>
        <w:lastRenderedPageBreak/>
        <w:t>La demanda concluye solicitando la nulidad del auto de 29 de septiembre de 2021 del Juzgado de Primera Instancia núm. 15 de Las Palmas de Gran Canaria y del auto de 11 de marzo de 2022, dictado por la Sección Tercera de la Audiencia Provincial de Las Palmas.</w:t>
      </w:r>
    </w:p>
    <w:p w14:paraId="62175BE6" w14:textId="77777777" w:rsidR="009D7677" w:rsidRDefault="009D7677" w:rsidP="009D7677">
      <w:pPr>
        <w:pStyle w:val="TextoNormal"/>
      </w:pPr>
    </w:p>
    <w:p w14:paraId="58C10979" w14:textId="2AD49D79" w:rsidR="009D7677" w:rsidRDefault="009D7677" w:rsidP="009D7677">
      <w:pPr>
        <w:pStyle w:val="TextoNormal"/>
      </w:pPr>
      <w:r>
        <w:t>Finalmente, interesa la recurrente, mediante otrosí y al amparo del art. 56.2 de la Ley Orgánica del Tribunal Constitucional (LOTC), la suspensión cautelar de la ejecución de las resoluciones judiciales impugnadas.</w:t>
      </w:r>
    </w:p>
    <w:p w14:paraId="4A617976" w14:textId="77777777" w:rsidR="009D7677" w:rsidRDefault="009D7677" w:rsidP="009D7677">
      <w:pPr>
        <w:pStyle w:val="TextoNormal"/>
      </w:pPr>
    </w:p>
    <w:p w14:paraId="4E91BE24" w14:textId="77777777" w:rsidR="009D7677" w:rsidRDefault="009D7677" w:rsidP="009D7677">
      <w:pPr>
        <w:pStyle w:val="TextoNormal"/>
      </w:pPr>
      <w:r w:rsidRPr="009D7677">
        <w:rPr>
          <w:rStyle w:val="NumeroAFNegritaCaracter"/>
        </w:rPr>
        <w:t>4</w:t>
      </w:r>
      <w:r>
        <w:t>. Por providencia de 27 de marzo de 2023, la Sección Primera del Tribunal Constitucional acordó admitir a trámite el recurso de amparo, apreciando que concurre en el mismo una especial trascendencia constitucional (art. 50.1 LOTC) porque el recurso plantea un problema o afecta a una faceta de un derecho fundamental sobre el que no hay doctrina de este tribunal [STC 155/2009, de 25 de junio, FJ 2 a)], y el asunto suscitado trasciende del caso concreto porque plantea una cuestión jurídica de relevante y general repercusión social o económica [STC 155/2009, FJ 2 g)].</w:t>
      </w:r>
    </w:p>
    <w:p w14:paraId="30966A1B" w14:textId="77777777" w:rsidR="009D7677" w:rsidRDefault="009D7677" w:rsidP="009D7677">
      <w:pPr>
        <w:pStyle w:val="TextoNormal"/>
      </w:pPr>
    </w:p>
    <w:p w14:paraId="2382A0F3" w14:textId="376A2749" w:rsidR="009D7677" w:rsidRDefault="009D7677" w:rsidP="009D7677">
      <w:pPr>
        <w:pStyle w:val="TextoNormal"/>
      </w:pPr>
      <w:r>
        <w:t>En la misma resolución ordenó que se dirigiese comunicación a la Sección Tercera de la Audiencia Provincial de Las Palmas, a fin de que esta remitiera testimonio de las actuaciones correspondientes al recurso de apelación núm. 1576-2021, y al Juzgado de Primera Instancia núm. 15 de Las Palmas de Gran Canaria a fin de que remitiese testimonio de las actuaciones correspondientes al procedimiento de jurisdicción voluntaria núm. 464-2021; debiendo previamente emplazarse a quienes hubieran sido parte en el procedimiento, excepto la parte recurrente en amparo, para que en el plazo de diez días pudieran comparecer, si lo deseasen, en el recurso de amparo.</w:t>
      </w:r>
    </w:p>
    <w:p w14:paraId="7437E397" w14:textId="77777777" w:rsidR="009D7677" w:rsidRDefault="009D7677" w:rsidP="009D7677">
      <w:pPr>
        <w:pStyle w:val="TextoNormal"/>
      </w:pPr>
    </w:p>
    <w:p w14:paraId="21A0BAB7" w14:textId="44AEEC7E" w:rsidR="009D7677" w:rsidRDefault="009D7677" w:rsidP="009D7677">
      <w:pPr>
        <w:pStyle w:val="TextoNormal"/>
      </w:pPr>
      <w:r w:rsidRPr="009D7677">
        <w:rPr>
          <w:rStyle w:val="NumeroAFNegritaCaracter"/>
        </w:rPr>
        <w:t>5</w:t>
      </w:r>
      <w:r>
        <w:t>. En relación con la solicitud de suspensión, en la providencia de admisión de 27 de marzo de 2023 se acordó formar la correspondiente pieza separada. Formuladas las alegaciones pertinentes por la recurrente de amparo y el Ministerio Fiscal, la medida cautelar fue desestimada en ATC 429/2023 de la Sala Primera de 11 de septiembre.</w:t>
      </w:r>
    </w:p>
    <w:p w14:paraId="53145BC8" w14:textId="77777777" w:rsidR="009D7677" w:rsidRDefault="009D7677" w:rsidP="009D7677">
      <w:pPr>
        <w:pStyle w:val="TextoNormal"/>
      </w:pPr>
    </w:p>
    <w:p w14:paraId="7CAE2F2D" w14:textId="6BF5570B" w:rsidR="009D7677" w:rsidRDefault="009D7677" w:rsidP="009D7677">
      <w:pPr>
        <w:pStyle w:val="TextoNormal"/>
      </w:pPr>
      <w:r w:rsidRPr="009D7677">
        <w:rPr>
          <w:rStyle w:val="NumeroAFNegritaCaracter"/>
        </w:rPr>
        <w:t>6</w:t>
      </w:r>
      <w:r>
        <w:t>. El 18 de abril de 2023, mediante diligencia de ordenación, la Secretaría de justicia de la Sala Primera del Tribunal tuvo por recibido el testimonio de las actuaciones solicitadas. En diligencia de la misma fecha, a tenor de lo dispuesto en el art. 52 LOTC, acordó dar vista de las actuaciones a la parte recurrente y al Ministerio Fiscal para que en el plazo común de veinte días presentasen alegaciones.</w:t>
      </w:r>
    </w:p>
    <w:p w14:paraId="65666735" w14:textId="77777777" w:rsidR="009D7677" w:rsidRDefault="009D7677" w:rsidP="009D7677">
      <w:pPr>
        <w:pStyle w:val="TextoNormal"/>
      </w:pPr>
    </w:p>
    <w:p w14:paraId="1AA78C12" w14:textId="28B553C6" w:rsidR="009D7677" w:rsidRDefault="009D7677" w:rsidP="009D7677">
      <w:pPr>
        <w:pStyle w:val="TextoNormal"/>
      </w:pPr>
      <w:r w:rsidRPr="009D7677">
        <w:rPr>
          <w:rStyle w:val="NumeroAFNegritaCaracter"/>
        </w:rPr>
        <w:t>7</w:t>
      </w:r>
      <w:r>
        <w:t>. El escrito de alegaciones de la recurrente de amparo tuvo entrada el 31 de mayo de 2023. En él reitera las ya formuladas en el recurso de amparo, que considera avaladas por los datos posteriores relativos a la evolución de la mortalidad por covid-19.</w:t>
      </w:r>
    </w:p>
    <w:p w14:paraId="0A0E5E1B" w14:textId="77777777" w:rsidR="009D7677" w:rsidRDefault="009D7677" w:rsidP="009D7677">
      <w:pPr>
        <w:pStyle w:val="TextoNormal"/>
      </w:pPr>
    </w:p>
    <w:p w14:paraId="75216706" w14:textId="77777777" w:rsidR="009D7677" w:rsidRDefault="009D7677" w:rsidP="009D7677">
      <w:pPr>
        <w:pStyle w:val="TextoNormal"/>
      </w:pPr>
      <w:r w:rsidRPr="009D7677">
        <w:rPr>
          <w:rStyle w:val="NumeroAFNegritaCaracter"/>
        </w:rPr>
        <w:t>8</w:t>
      </w:r>
      <w:r>
        <w:t>. El escrito de alegaciones del Ministerio Fiscal tuvo entrada el 14 de junio de 2023. En dicho escrito, el Ministerio Fiscal interesa la desestimación íntegra de la demanda de amparo, con remisión a la doctrina expuesta en la STC 38/2023, de 20 de abril. De acuerdo con la referida resolución estima que no se cumplen las exigencias mínimas de carga alegatoria en relación con las quejas relativas a los arts. 14 y 18 CE y que la vulneración del art. 24.1 CE relativa a la motivación de las resoluciones judiciales impugnadas ha de quedar subsumida en el examen de la posible vulneración del art. 15 CE.</w:t>
      </w:r>
    </w:p>
    <w:p w14:paraId="758E9101" w14:textId="77777777" w:rsidR="009D7677" w:rsidRDefault="009D7677" w:rsidP="009D7677">
      <w:pPr>
        <w:pStyle w:val="TextoNormal"/>
      </w:pPr>
    </w:p>
    <w:p w14:paraId="081FC6D6" w14:textId="77777777" w:rsidR="009D7677" w:rsidRDefault="009D7677" w:rsidP="009D7677">
      <w:pPr>
        <w:pStyle w:val="TextoNormal"/>
      </w:pPr>
      <w:r>
        <w:t>En relación con la alegada vulneración del derecho a la integridad personal, tras una amplia reproducción de la doctrina y criterios de ponderación incluidos en la STC 38/2023, de 20 de abril, estima que:</w:t>
      </w:r>
    </w:p>
    <w:p w14:paraId="325ABEA0" w14:textId="77777777" w:rsidR="009D7677" w:rsidRDefault="009D7677" w:rsidP="009D7677">
      <w:pPr>
        <w:pStyle w:val="TextoNormal"/>
      </w:pPr>
    </w:p>
    <w:p w14:paraId="1A8D6ADD" w14:textId="77777777" w:rsidR="009D7677" w:rsidRDefault="009D7677" w:rsidP="009D7677">
      <w:pPr>
        <w:pStyle w:val="TextoNormal"/>
      </w:pPr>
      <w:r>
        <w:t>a) La resolución judicial ha tenido en cuenta la voluntad de doña C.D.Q., que manifestó al juez, al forense y al defensor judicial su predisposición a vacunarse, por lo que “no hay ningún dato para presumir que su voluntad sea la de oponerse a la vacuna”, tal y como señala el auto de 29 de septiembre de 2021 del juzgado de primera instancia. Según señala, “la resolución judicial sí ha tenido en cuenta la voluntad de la persona afectada, mientras que sus familiares han prescindido de ella impidiendo que participara en una decisión que afectaba directamente”, sustituyéndola por “sus propias ideas”.</w:t>
      </w:r>
    </w:p>
    <w:p w14:paraId="21E7E5EE" w14:textId="77777777" w:rsidR="009D7677" w:rsidRDefault="009D7677" w:rsidP="009D7677">
      <w:pPr>
        <w:pStyle w:val="TextoNormal"/>
      </w:pPr>
    </w:p>
    <w:p w14:paraId="20E9C801" w14:textId="77777777" w:rsidR="009D7677" w:rsidRDefault="009D7677" w:rsidP="009D7677">
      <w:pPr>
        <w:pStyle w:val="TextoNormal"/>
      </w:pPr>
      <w:r>
        <w:t>b) La negativa de la recurrente de amparo a la administración de la vacuna fue manifestada de forma tajante e incondicionada, desde un primer momento, sin admitir posibilidad de rectificación en función de una mayor información, lo que resulta relevante a efectos de justificar la intervención judicial, ya que la recurrente no fundaba su decisión en razones objetivas distintas a una pura posición personal contraria a la vacunación.</w:t>
      </w:r>
    </w:p>
    <w:p w14:paraId="02EFDC7E" w14:textId="77777777" w:rsidR="009D7677" w:rsidRDefault="009D7677" w:rsidP="009D7677">
      <w:pPr>
        <w:pStyle w:val="TextoNormal"/>
      </w:pPr>
    </w:p>
    <w:p w14:paraId="0EC3FBC1" w14:textId="77777777" w:rsidR="009D7677" w:rsidRDefault="009D7677" w:rsidP="009D7677">
      <w:pPr>
        <w:pStyle w:val="TextoNormal"/>
      </w:pPr>
      <w:r>
        <w:t>c) La decisión judicial adoptada no desbordó los límites de la cobertura del art. 9.6 de la Ley 41/2002, pues la resolución judicial impugnada consideró que “la única perspectiva a considerar en el caso es la individual de doña C.D.Q., es decir, la identificación de la mayor protección y del mejor beneficio de su salud, debiendo quedar al margen cualesquiera otra consideración de salud pública u otros intereses, particulares o colectivos”.</w:t>
      </w:r>
    </w:p>
    <w:p w14:paraId="35083D26" w14:textId="77777777" w:rsidR="009D7677" w:rsidRDefault="009D7677" w:rsidP="009D7677">
      <w:pPr>
        <w:pStyle w:val="TextoNormal"/>
      </w:pPr>
    </w:p>
    <w:p w14:paraId="1C8BE9C5" w14:textId="77777777" w:rsidR="009D7677" w:rsidRDefault="009D7677" w:rsidP="009D7677">
      <w:pPr>
        <w:pStyle w:val="TextoNormal"/>
      </w:pPr>
      <w:r>
        <w:t>d) Los criterios de ponderación de las resoluciones judiciales responden de forma inequívoca a la finalidad legítima expuesta, pues son en síntesis (i) la fiabilidad asociada a la aprobación de la concreta vacuna por la Agencia Europea del Medicamento y la Agencia Española del Medicamento y Productos Sanitarios y su sometimiento a seguimiento permanente; (ii) la asimilación general de los márgenes de riesgo asociados a dicha vacuna a los habituales en cualquier otra vacuna recomendada por las autoridades sanitarias, de modo que los beneficios de vacunarse frente al virus son mucho mayores que los posibles efectos secundarios de la vacuna, que en la mayoría de los casos son leves; (iii) el riesgo de contagio de doña C.D.Q., unido a su edad y vulnerabilidad, pues reside con sus hijos, que trabajan, sale al exterior en ocasiones y recibe visitas de familiares; (iv) la ausencia de informe pericial que avale la posición mantenida por la demandante, frente al informe médico forense, sometido a contradicción, que recomendó la vacunación; y (v) la ausencia de patología o tratamiento médico que haga incompatible con la salud de doña C.D.Q., la administración de la vacuna contra la covid-19.</w:t>
      </w:r>
    </w:p>
    <w:p w14:paraId="4BB9C6A6" w14:textId="77777777" w:rsidR="009D7677" w:rsidRDefault="009D7677" w:rsidP="009D7677">
      <w:pPr>
        <w:pStyle w:val="TextoNormal"/>
      </w:pPr>
    </w:p>
    <w:p w14:paraId="0F46326B" w14:textId="66A9EDE8" w:rsidR="009D7677" w:rsidRDefault="009D7677" w:rsidP="009D7677">
      <w:pPr>
        <w:pStyle w:val="TextoNormal"/>
      </w:pPr>
      <w:r>
        <w:t>Por todo ello, el Ministerio Fiscal interesa que se dicte sentencia desestimando el recurso de amparo interpuesto.</w:t>
      </w:r>
    </w:p>
    <w:p w14:paraId="70E51E88" w14:textId="77777777" w:rsidR="009D7677" w:rsidRDefault="009D7677" w:rsidP="009D7677">
      <w:pPr>
        <w:pStyle w:val="TextoNormal"/>
      </w:pPr>
    </w:p>
    <w:p w14:paraId="16FD05B3" w14:textId="03D0593B" w:rsidR="009D7677" w:rsidRDefault="009D7677" w:rsidP="009D7677">
      <w:pPr>
        <w:pStyle w:val="TextoNormal"/>
      </w:pPr>
      <w:r w:rsidRPr="009D7677">
        <w:rPr>
          <w:rStyle w:val="NumeroAFNegritaCaracter"/>
        </w:rPr>
        <w:t>9</w:t>
      </w:r>
      <w:r>
        <w:t>. Por providencia de 11 de enero de 2024, se señaló para la deliberación y votación de la presente sentencia el día 15 del mismo mes y año.</w:t>
      </w:r>
    </w:p>
    <w:p w14:paraId="5B9601A5" w14:textId="77777777" w:rsidR="009D7677" w:rsidRDefault="009D7677" w:rsidP="009D7677">
      <w:pPr>
        <w:pStyle w:val="TextoNormal"/>
      </w:pPr>
    </w:p>
    <w:p w14:paraId="2326A779" w14:textId="77777777" w:rsidR="009D7677" w:rsidRDefault="009D7677" w:rsidP="009D7677">
      <w:pPr>
        <w:pStyle w:val="TextoNormalNegritaCentrado"/>
        <w:keepNext/>
      </w:pPr>
      <w:r>
        <w:lastRenderedPageBreak/>
        <w:t>II. Fundamentos jurídicos</w:t>
      </w:r>
    </w:p>
    <w:p w14:paraId="71B3FF80" w14:textId="215DB648" w:rsidR="009D7677" w:rsidRDefault="009D7677" w:rsidP="009D7677">
      <w:pPr>
        <w:pStyle w:val="TextoNormalNegritaCentrado"/>
        <w:keepNext/>
      </w:pPr>
    </w:p>
    <w:p w14:paraId="63047378" w14:textId="77777777" w:rsidR="009D7677" w:rsidRDefault="009D7677" w:rsidP="009D7677">
      <w:pPr>
        <w:pStyle w:val="TextoNormal"/>
      </w:pPr>
      <w:r w:rsidRPr="009D7677">
        <w:rPr>
          <w:rStyle w:val="NumeroAFNegritaCaracter"/>
        </w:rPr>
        <w:t>1</w:t>
      </w:r>
      <w:r>
        <w:t xml:space="preserve">. </w:t>
      </w:r>
      <w:r w:rsidRPr="009D7677">
        <w:rPr>
          <w:i/>
        </w:rPr>
        <w:t>Objeto del recurso</w:t>
      </w:r>
    </w:p>
    <w:p w14:paraId="5F4B295D" w14:textId="77777777" w:rsidR="009D7677" w:rsidRDefault="009D7677" w:rsidP="009D7677">
      <w:pPr>
        <w:pStyle w:val="TextoNormal"/>
      </w:pPr>
    </w:p>
    <w:p w14:paraId="63DE0864" w14:textId="77777777" w:rsidR="009D7677" w:rsidRDefault="009D7677" w:rsidP="009D7677">
      <w:pPr>
        <w:pStyle w:val="TextoNormal"/>
      </w:pPr>
      <w:r>
        <w:t>El presente recurso de amparo se dirige contra el auto de 29 de septiembre de 2021, dictado por el Juzgado de Primera Instancia núm. 15 de Las Palmas de Gran Canaria, recaído en procedimiento de jurisdicción voluntaria núm. 464-2021. Dicho auto acordó la administración de la vacuna frente a la covid-19 por parte del Servicio Canario de Salud a doña C.D.Q., madre de la recurrente, aquejada de una demencia severa que le impedía prestar por sí misma consentimiento a dicha actuación sanitaria. Previamente la recurrente había manifestado su negativa a tal vacunación.</w:t>
      </w:r>
    </w:p>
    <w:p w14:paraId="6760790D" w14:textId="77777777" w:rsidR="009D7677" w:rsidRDefault="009D7677" w:rsidP="009D7677">
      <w:pPr>
        <w:pStyle w:val="TextoNormal"/>
      </w:pPr>
    </w:p>
    <w:p w14:paraId="72E0A983" w14:textId="77777777" w:rsidR="009D7677" w:rsidRDefault="009D7677" w:rsidP="009D7677">
      <w:pPr>
        <w:pStyle w:val="TextoNormal"/>
      </w:pPr>
      <w:r>
        <w:t>La demanda también se dirige contra el auto de 11 de marzo de 2022, dictado por la Sección Tercera de la Audiencia Provincial de Las Palmas en el rollo de apelación 1576-2021, que desestimó el recurso de apelación presentado por la demandante de amparo contra la resolución anterior.</w:t>
      </w:r>
    </w:p>
    <w:p w14:paraId="7115EDF2" w14:textId="77777777" w:rsidR="009D7677" w:rsidRDefault="009D7677" w:rsidP="009D7677">
      <w:pPr>
        <w:pStyle w:val="TextoNormal"/>
      </w:pPr>
    </w:p>
    <w:p w14:paraId="7EBE431F" w14:textId="77777777" w:rsidR="009D7677" w:rsidRDefault="009D7677" w:rsidP="009D7677">
      <w:pPr>
        <w:pStyle w:val="TextoNormal"/>
      </w:pPr>
      <w:r>
        <w:t>A juicio de la actora, las resoluciones judiciales impugnadas habrían autorizado la administración forzosa de una vacuna, acto que carece de cobertura legal suficiente en el ordenamiento jurídico español, que solo prevé la vacunación voluntaria. Doña C.D.Q., estaba impedida para prestar consentimiento y tampoco había prestado tal consentimiento, por representación, la recurrente de amparo. Tal decisión judicial se habría adoptado, en todo caso, sin satisfacer las exigencias de proporcionalidad asociadas, de acuerdo con la doctrina de este tribunal, a la restricción de los derechos fundamentales sustantivos. Habrían resultado, por ello, vulnerados los derechos fundamentales de doña C.D.Q., a la integridad física (art. 15 CE), a la igualdad y no discriminación (art. 14 CE) y a la intimidad personal (art. 18 CE), todos ellos en relación con el derecho a la tutela judicial efectiva (art. 24.1 CE).</w:t>
      </w:r>
    </w:p>
    <w:p w14:paraId="083B0342" w14:textId="77777777" w:rsidR="009D7677" w:rsidRDefault="009D7677" w:rsidP="009D7677">
      <w:pPr>
        <w:pStyle w:val="TextoNormal"/>
      </w:pPr>
    </w:p>
    <w:p w14:paraId="67FC7841" w14:textId="5AF8AE14" w:rsidR="009D7677" w:rsidRDefault="009D7677" w:rsidP="009D7677">
      <w:pPr>
        <w:pStyle w:val="TextoNormal"/>
      </w:pPr>
      <w:r>
        <w:t>El Ministerio Fiscal se opone a la demanda de amparo por los motivos expuestos en los antecedentes, fundamentalmente por remisión a la doctrina y criterios de ponderación de la STC 38/2023, de 20 de abril.</w:t>
      </w:r>
    </w:p>
    <w:p w14:paraId="210D1880" w14:textId="77777777" w:rsidR="009D7677" w:rsidRDefault="009D7677" w:rsidP="009D7677">
      <w:pPr>
        <w:pStyle w:val="TextoNormal"/>
      </w:pPr>
    </w:p>
    <w:p w14:paraId="46B690CD" w14:textId="77777777" w:rsidR="009D7677" w:rsidRDefault="009D7677" w:rsidP="009D7677">
      <w:pPr>
        <w:pStyle w:val="TextoNormal"/>
      </w:pPr>
      <w:r w:rsidRPr="009D7677">
        <w:rPr>
          <w:rStyle w:val="NumeroAFNegritaCaracter"/>
        </w:rPr>
        <w:t>2</w:t>
      </w:r>
      <w:r>
        <w:t xml:space="preserve">. </w:t>
      </w:r>
      <w:r w:rsidRPr="009D7677">
        <w:rPr>
          <w:i/>
        </w:rPr>
        <w:t>Cuestiones generales</w:t>
      </w:r>
    </w:p>
    <w:p w14:paraId="3025DE64" w14:textId="77777777" w:rsidR="009D7677" w:rsidRDefault="009D7677" w:rsidP="009D7677">
      <w:pPr>
        <w:pStyle w:val="TextoNormal"/>
      </w:pPr>
    </w:p>
    <w:p w14:paraId="771A3762" w14:textId="77777777" w:rsidR="009D7677" w:rsidRDefault="009D7677" w:rsidP="009D7677">
      <w:pPr>
        <w:pStyle w:val="TextoNormal"/>
      </w:pPr>
      <w:r>
        <w:t>Antes de proceder al enjuiciamiento del presente recurso de amparo han de hacerse las siguientes precisiones:</w:t>
      </w:r>
    </w:p>
    <w:p w14:paraId="734E21A8" w14:textId="77777777" w:rsidR="009D7677" w:rsidRDefault="009D7677" w:rsidP="009D7677">
      <w:pPr>
        <w:pStyle w:val="TextoNormal"/>
      </w:pPr>
    </w:p>
    <w:p w14:paraId="52F424F8" w14:textId="77777777" w:rsidR="009D7677" w:rsidRDefault="009D7677" w:rsidP="009D7677">
      <w:pPr>
        <w:pStyle w:val="TextoNormal"/>
      </w:pPr>
      <w:r>
        <w:t>a) Aun cuando no haya sido solicitado por la recurrente, este tribunal viene obligado, en virtud del art. 86.3 LOTC y del art. 1 del acuerdo del Pleno de 23 de julio de 2015, por el que se regula la exclusión de los datos de identidad personal en la publicación de las resoluciones jurisdiccionales (“Boletín Oficial del Estado” núm. 178, de 27 de julio de 2015), a preservar de oficio el anonimato de las “personas que requieran un especial deber de tutela”. En consecuencia, la presente resolución identifica por sus iniciales a la persona con discapacidad a la que se refieren los hechos objeto de controversia. Este tribunal estima, también de oficio y de conformidad con el art. 2 del citado acuerdo, que dicho tratamiento reservado debe extenderse, con la finalidad de preservar de modo efectivo el ano</w:t>
      </w:r>
      <w:r>
        <w:lastRenderedPageBreak/>
        <w:t>nimato de la persona con discapacidad, a los datos personales de su hija, recurrente de amparo en el presente proceso.</w:t>
      </w:r>
    </w:p>
    <w:p w14:paraId="249942EE" w14:textId="77777777" w:rsidR="009D7677" w:rsidRDefault="009D7677" w:rsidP="009D7677">
      <w:pPr>
        <w:pStyle w:val="TextoNormal"/>
      </w:pPr>
    </w:p>
    <w:p w14:paraId="6B4FA732" w14:textId="77777777" w:rsidR="009D7677" w:rsidRDefault="009D7677" w:rsidP="009D7677">
      <w:pPr>
        <w:pStyle w:val="TextoNormal"/>
      </w:pPr>
      <w:r>
        <w:t>b) Conviene precisar, asimismo, que la recurrente no actúa en este proceso constitucional en representación legal de la persona en situación de discapacidad. No obstante, de conformidad con el criterio ya seguido en la STC 38/2023, de 20 de abril, FJ 2, con remisión a las razones y la doctrina que allí se consignan, se aprecia que concurre en la demandante un interés legítimo para interponer el presente recurso de amparo, en su calidad de hija de doña C.D.Q. ,y al haber actuado como parte en el proceso judicial.</w:t>
      </w:r>
    </w:p>
    <w:p w14:paraId="20198651" w14:textId="77777777" w:rsidR="009D7677" w:rsidRDefault="009D7677" w:rsidP="009D7677">
      <w:pPr>
        <w:pStyle w:val="TextoNormal"/>
      </w:pPr>
    </w:p>
    <w:p w14:paraId="2F826A6A" w14:textId="77777777" w:rsidR="009D7677" w:rsidRDefault="009D7677" w:rsidP="009D7677">
      <w:pPr>
        <w:pStyle w:val="TextoNormal"/>
      </w:pPr>
      <w:r>
        <w:t>c) La demanda que ha dado lugar al presente recurso de amparo reproduce, en términos prácticamente idénticos, la fundamentación jurídica de la demanda examinada con ocasión del recurso de amparo 3214-2022, resuelto por la citada STC 38/2023, de 20 de abril. Es, por ello, plenamente trasladable al presente supuesto la delimitación de los derechos fundamentales concernidos contenida en el fundamento jurídico 3 de dicha sentencia, según la cual, y por las razones que ampliamente se consignan en dicho lugar: (i) el núcleo de las diversas quejas formuladas por la recurrente pivota exclusivamente sobre la autorización de una actuación médica no consentida, en concreto la administración de la vacuna contra la covid-19, circunstancia que puede determinar la lesión del derecho fundamental a la integridad personal, reconocido en el art. 15 CE; (ii) en cambio, las alegaciones relativas a los derechos a la igualdad (art. 14 CE), intimidad (art. 18.1 CE) y tutela judicial efectiva (art. 24.1 CE), carecen de carga alegatoria suficiente y, con ello, de toda sustantividad propia, por lo que han de considerarse subsumidas en la cuestión nuclear relativa al art. 15 CE.</w:t>
      </w:r>
    </w:p>
    <w:p w14:paraId="63089A4A" w14:textId="77777777" w:rsidR="009D7677" w:rsidRDefault="009D7677" w:rsidP="009D7677">
      <w:pPr>
        <w:pStyle w:val="TextoNormal"/>
      </w:pPr>
    </w:p>
    <w:p w14:paraId="689C3744" w14:textId="77777777" w:rsidR="009D7677" w:rsidRDefault="009D7677" w:rsidP="009D7677">
      <w:pPr>
        <w:pStyle w:val="TextoNormal"/>
      </w:pPr>
      <w:r>
        <w:t>d) Resulta aplicable al presente caso la doctrina constitucional reseñada en los fundamentos jurídicos 4 y 5 de la citada STC 38/2023, de 20 de abril. De acuerdo con ella, lo que debe dilucidarse en el presente supuesto es si la decisión de autorizar la vacunación contra covid-19 a doña C.D.Q., está debidamente anclada en el ámbito de cobertura que ofrece el art. 9.6 de la Ley 41/2002, en cuanto precepto que tiene una estricta finalidad tuitiva de los intereses del paciente en un contexto de peligro para su salud y en una situación en la que la persona afectada no puede decidir por sí misma sobre el tratamiento médico prescrito. Si la decisión judicial desbordara los límites de esa concreta habilitación legal, estaríamos ante una actuación contraria al derecho a la integridad personal del art. 15 CE.</w:t>
      </w:r>
    </w:p>
    <w:p w14:paraId="5F91A7E8" w14:textId="77777777" w:rsidR="009D7677" w:rsidRDefault="009D7677" w:rsidP="009D7677">
      <w:pPr>
        <w:pStyle w:val="TextoNormal"/>
      </w:pPr>
    </w:p>
    <w:p w14:paraId="3AE7328E" w14:textId="29C1E8D4" w:rsidR="009D7677" w:rsidRDefault="009D7677" w:rsidP="009D7677">
      <w:pPr>
        <w:pStyle w:val="TextoNormal"/>
      </w:pPr>
      <w:r>
        <w:t>e) Finalmente, a los efectos de determinar si se ha producido la referida vulneración del art. 15 CE, son plenamente trasladables al presente supuesto los criterios de ponderación contenidos en el fundamento jurídico 6 de la citada STC 38/2023, de 20 de abril. Según se explica con mayor detalle en dicho fundamento: (i) ha de examinarse, en primer lugar, el contenido de la voluntad de la persona con discapacidad en la medida en que dicha voluntad haya podido manifestarse; (ii) la decisión adoptada ha de responder, en todo caso, al fin estricto de proteger a la persona con discapacidad, sin que puedan perseguirse intereses distintos, de terceros o públicos; (iii) la consiguiente ponderación de los beneficios y perjuicios ha de adecuarse a dicho fin, de modo que el criterio adoptado ha de ser proporcionado a las necesidades de la persona con discapacidad, de acuerdo con las circunstancias concurrentes.</w:t>
      </w:r>
    </w:p>
    <w:p w14:paraId="21C323BA" w14:textId="77777777" w:rsidR="009D7677" w:rsidRDefault="009D7677" w:rsidP="009D7677">
      <w:pPr>
        <w:pStyle w:val="TextoNormal"/>
      </w:pPr>
    </w:p>
    <w:p w14:paraId="157E2222" w14:textId="77777777" w:rsidR="009D7677" w:rsidRDefault="009D7677" w:rsidP="009D7677">
      <w:pPr>
        <w:pStyle w:val="TextoNormal"/>
      </w:pPr>
      <w:r w:rsidRPr="009D7677">
        <w:rPr>
          <w:rStyle w:val="NumeroAFNegritaCaracter"/>
        </w:rPr>
        <w:lastRenderedPageBreak/>
        <w:t>3</w:t>
      </w:r>
      <w:r>
        <w:t xml:space="preserve">. </w:t>
      </w:r>
      <w:r w:rsidRPr="009D7677">
        <w:rPr>
          <w:i/>
        </w:rPr>
        <w:t>Enjuiciamiento del caso</w:t>
      </w:r>
    </w:p>
    <w:p w14:paraId="73101A5D" w14:textId="77777777" w:rsidR="009D7677" w:rsidRDefault="009D7677" w:rsidP="009D7677">
      <w:pPr>
        <w:pStyle w:val="TextoNormal"/>
      </w:pPr>
    </w:p>
    <w:p w14:paraId="13DBDDA1" w14:textId="77777777" w:rsidR="009D7677" w:rsidRDefault="009D7677" w:rsidP="009D7677">
      <w:pPr>
        <w:pStyle w:val="TextoNormal"/>
      </w:pPr>
      <w:r>
        <w:t>Hechas las precisiones anteriores, debe descartarse que en el presente supuesto se haya producido una vulneración del derecho fundamental a la integridad personal de doña C.D.Q.</w:t>
      </w:r>
    </w:p>
    <w:p w14:paraId="3CB395A2" w14:textId="77777777" w:rsidR="009D7677" w:rsidRDefault="009D7677" w:rsidP="009D7677">
      <w:pPr>
        <w:pStyle w:val="TextoNormal"/>
      </w:pPr>
    </w:p>
    <w:p w14:paraId="479581A7" w14:textId="77777777" w:rsidR="009D7677" w:rsidRDefault="009D7677" w:rsidP="009D7677">
      <w:pPr>
        <w:pStyle w:val="TextoNormal"/>
      </w:pPr>
      <w:r>
        <w:t>a) En primer lugar, el juzgado procedió, como era su obligación, a oír a la persona afectada, que puso de manifiesto su voluntad favorable a la vacuna (voluntad que igualmente manifestó doña C.D.Q., al entrevistarse con la médico forense). Aunque el auto de 29 de septiembre de 2021 pone de relieve que esa manifestación de doña C.D.Q., no puede tomarse como la prestación de un consentimiento válido al acto sanitario en cuestión, dado el deterioro cognitivo diagnosticado en el propio dictamen médico forense, la práctica de la audiencia permitió a la magistrada constatar por sí misma que no había oposición alguna por parte de la interesada. También constató la magistrada en el acto de la vista que ninguno de los guardadores de hecho, los dos hijos de doña C.D.Q., con los que esta convivía, eran contrarios a la administración de la vacuna.</w:t>
      </w:r>
    </w:p>
    <w:p w14:paraId="6940C73A" w14:textId="77777777" w:rsidR="009D7677" w:rsidRDefault="009D7677" w:rsidP="009D7677">
      <w:pPr>
        <w:pStyle w:val="TextoNormal"/>
      </w:pPr>
    </w:p>
    <w:p w14:paraId="1695F3C9" w14:textId="77777777" w:rsidR="009D7677" w:rsidRDefault="009D7677" w:rsidP="009D7677">
      <w:pPr>
        <w:pStyle w:val="TextoNormal"/>
      </w:pPr>
      <w:r>
        <w:t>b) En segundo lugar, la decisión adoptada por la autoridad judicial, favorable a la vacunación de doña C.D.Q., no desbordó los límites de cobertura del precepto habilitante (art. 9.6 de la Ley 41/2002). En su auto de 29 de septiembre de 2021, la magistrada titular del Juzgado de Primera Instancia núm. 15 de Las Palmas de Gran Canaria valora exclusivamente los beneficios y desventajas que la administración de la vacuna puede reportar a doña C.D.Q., sin basar su decisión en factores distintos a la mayor protección de la salud de esta. En la misma línea, el auto de 11 de marzo de 2022, dictado en apelación por la audiencia provincial, declara que “la única perspectiva a ponderar en el caso es la individual del paciente, es decir la identificación de la mayor protección y del mejor beneficio para la salud del residente, debiendo quedar al margen cualquier otra consideración”. De este modo, la finalidad legítima (tuitiva) que caracteriza la norma de cobertura es plenamente respetada.</w:t>
      </w:r>
    </w:p>
    <w:p w14:paraId="113C577A" w14:textId="77777777" w:rsidR="009D7677" w:rsidRDefault="009D7677" w:rsidP="009D7677">
      <w:pPr>
        <w:pStyle w:val="TextoNormal"/>
      </w:pPr>
    </w:p>
    <w:p w14:paraId="03313ABC" w14:textId="77777777" w:rsidR="009D7677" w:rsidRDefault="009D7677" w:rsidP="009D7677">
      <w:pPr>
        <w:pStyle w:val="TextoNormal"/>
      </w:pPr>
      <w:r>
        <w:t>c) Finalmente, los criterios de ponderación empleados en las resoluciones judiciales responden inequívocamente a la finalidad legítima expuesta, en cuanto persiguen proteger, del mejor modo posible, los intereses de la persona vulnerable. Sintéticamente expuestos, esos criterios, claramente enunciados en ambas resoluciones, son los siguientes: (i) la fiabilidad asociada a la aprobación de la concreta vacuna por la Agencia Europea del Medicamento y la Agencia Española del Medicamento y Productos Sanitarios y su sometimiento a seguimiento permanente; (ii) la asimilación general de los márgenes de riesgo asociados a dicha vacuna a los habituales en cualquier otra vacuna recomendada por las autoridades sanitarias; (iii) la existencia de un contexto de riesgo para la salud de doña C.D.Q., tanto por razón de su avanzada edad y consiguiente mayor vulnerabilidad frente al virus, como por razón de convivir con dos personas que desarrollan su actividad laboral en el exterior y pueden, por ello, contagiarla; (iv) la existencia de un informe pericial forense sometido a contradicción que acreditaba la inexistencia de contraindicaciones específicas; (v) la evidencia estadística, reflejada por los datos oficiales y avalada por la pericial practicada, según la cual, no existiendo contraindicación particular para doña C.D.Q., es mayor y más grave el riesgo de contraer la infección por coronavirus que la de padecer algún efecto secundario grave como consecuencia de la vacuna.</w:t>
      </w:r>
    </w:p>
    <w:p w14:paraId="2B22B8C2" w14:textId="77777777" w:rsidR="009D7677" w:rsidRDefault="009D7677" w:rsidP="009D7677">
      <w:pPr>
        <w:pStyle w:val="TextoNormal"/>
      </w:pPr>
    </w:p>
    <w:p w14:paraId="30AE08E2" w14:textId="02CB70C8" w:rsidR="009D7677" w:rsidRDefault="009D7677" w:rsidP="009D7677">
      <w:pPr>
        <w:pStyle w:val="TextoNormal"/>
      </w:pPr>
      <w:r>
        <w:lastRenderedPageBreak/>
        <w:t>Puede concluirse, por todo ello, que las resoluciones judiciales impugnadas se atuvieron a los límites de habilitación legalmente previstos y realizaron una ponderación adecuada del interés de la persona vulnerable y proporcionada a sus necesidades de acuerdo con las circunstancias concurrentes, por lo que no lesionaron el derecho fundamental de doña C.D.Q., a la integridad personal (art. 15 CE).</w:t>
      </w:r>
    </w:p>
    <w:p w14:paraId="40CAA9F1" w14:textId="77777777" w:rsidR="009D7677" w:rsidRDefault="009D7677" w:rsidP="009D7677">
      <w:pPr>
        <w:pStyle w:val="TextoNormal"/>
      </w:pPr>
    </w:p>
    <w:p w14:paraId="23402724" w14:textId="77777777" w:rsidR="009D7677" w:rsidRDefault="009D7677" w:rsidP="009D7677">
      <w:pPr>
        <w:pStyle w:val="TextoNormalCentrado"/>
        <w:keepNext/>
      </w:pPr>
      <w:r>
        <w:t>FALLO</w:t>
      </w:r>
    </w:p>
    <w:p w14:paraId="5633D156" w14:textId="1CF2A211" w:rsidR="009D7677" w:rsidRDefault="009D7677" w:rsidP="009D7677">
      <w:pPr>
        <w:pStyle w:val="TextoNormalCentrado"/>
        <w:keepNext/>
      </w:pPr>
    </w:p>
    <w:p w14:paraId="0B75BF55" w14:textId="3F39CDA9" w:rsidR="009D7677" w:rsidRDefault="009D7677" w:rsidP="009D7677">
      <w:pPr>
        <w:pStyle w:val="TextoNormal"/>
      </w:pPr>
      <w:r>
        <w:t>En atención a todo lo expuesto, el Tribunal Constitucional, por la autoridad que le confiere la Constitución de la Nación española, ha decidido desestimar el recurso de amparo interpuesto por doña L.D.D.</w:t>
      </w:r>
    </w:p>
    <w:p w14:paraId="66433EA1" w14:textId="77777777" w:rsidR="009D7677" w:rsidRDefault="009D7677" w:rsidP="009D7677">
      <w:pPr>
        <w:pStyle w:val="TextoNormal"/>
      </w:pPr>
    </w:p>
    <w:p w14:paraId="1C509065" w14:textId="77777777" w:rsidR="009D7677" w:rsidRDefault="009D7677" w:rsidP="009D7677">
      <w:pPr>
        <w:pStyle w:val="TextoNormal"/>
      </w:pPr>
      <w:r>
        <w:t>Publíquese esta sentencia en el “Boletín Oficial del Estado”.</w:t>
      </w:r>
    </w:p>
    <w:p w14:paraId="3FCC4005" w14:textId="77777777" w:rsidR="009D7677" w:rsidRDefault="009D7677" w:rsidP="009D7677">
      <w:pPr>
        <w:pStyle w:val="TextoNormal"/>
      </w:pPr>
      <w:r>
        <w:t>Dada en Madrid, a quince de enero de dos mil veinticuatro.</w:t>
      </w:r>
    </w:p>
    <w:p w14:paraId="16C3EFB2" w14:textId="75CF4C63" w:rsidR="009D7677" w:rsidRDefault="009D7677">
      <w:pPr>
        <w:spacing w:after="160" w:line="259" w:lineRule="auto"/>
        <w:rPr>
          <w:rFonts w:ascii="Times New Roman" w:eastAsia="Times New Roman" w:hAnsi="Times New Roman" w:cs="Times New Roman"/>
          <w:sz w:val="24"/>
          <w:szCs w:val="24"/>
          <w:lang w:eastAsia="es-ES"/>
        </w:rPr>
      </w:pPr>
      <w:r>
        <w:br w:type="page"/>
      </w:r>
    </w:p>
    <w:p w14:paraId="3151CF82" w14:textId="77777777" w:rsidR="009D7677" w:rsidRDefault="009D7677" w:rsidP="009D7677">
      <w:pPr>
        <w:pStyle w:val="TtuloResolucin"/>
      </w:pPr>
      <w:bookmarkStart w:id="7" w:name="SENTENCIA_2024_5"/>
      <w:r>
        <w:lastRenderedPageBreak/>
        <w:t>SENTENCIA 5/2024, de 15 de enero de 2024</w:t>
      </w:r>
    </w:p>
    <w:bookmarkEnd w:id="7"/>
    <w:p w14:paraId="62C06159" w14:textId="77777777" w:rsidR="009D7677" w:rsidRDefault="009D7677" w:rsidP="009D7677">
      <w:pPr>
        <w:pStyle w:val="TtuloResolucin"/>
      </w:pPr>
      <w:r>
        <w:t>Sala Primera</w:t>
      </w:r>
    </w:p>
    <w:p w14:paraId="3E96BBF3" w14:textId="77777777" w:rsidR="009D7677" w:rsidRDefault="009D7677" w:rsidP="009D7677">
      <w:pPr>
        <w:pStyle w:val="TtuloBOE"/>
      </w:pPr>
      <w:r>
        <w:t>(BOE núm. 45, de 20 de febrero de 2024)</w:t>
      </w:r>
    </w:p>
    <w:p w14:paraId="12517C2F" w14:textId="77777777" w:rsidR="009D7677" w:rsidRDefault="009D7677" w:rsidP="009D7677">
      <w:pPr>
        <w:pStyle w:val="TextoNormalCentrado"/>
      </w:pPr>
      <w:r>
        <w:t>ECLI:ES:TC:2024:5</w:t>
      </w:r>
    </w:p>
    <w:p w14:paraId="3CA22124" w14:textId="32DE3985" w:rsidR="009D7677" w:rsidRDefault="009D7677" w:rsidP="009D7677">
      <w:pPr>
        <w:pStyle w:val="TextoNormalCentrado"/>
      </w:pPr>
    </w:p>
    <w:p w14:paraId="3F796909" w14:textId="77777777" w:rsidR="009D7677" w:rsidRDefault="009D7677" w:rsidP="009D7677">
      <w:pPr>
        <w:pStyle w:val="SntesisDescriptiva"/>
      </w:pPr>
      <w:r>
        <w:t>Recurso de amparo 5730-2022. Promovido por don M.B.G., en relación con las resoluciones de la Audiencia Provincial de Zaragoza y un juzgado de primera instancia de esa capital que acordaron la administración de la vacuna frente a la covid-19.</w:t>
      </w:r>
    </w:p>
    <w:p w14:paraId="010BA4A3" w14:textId="36B7AD20" w:rsidR="009D7677" w:rsidRDefault="009D7677" w:rsidP="009D7677">
      <w:pPr>
        <w:pStyle w:val="SntesisDescriptiva"/>
      </w:pPr>
    </w:p>
    <w:p w14:paraId="61336260" w14:textId="77777777" w:rsidR="009D7677" w:rsidRDefault="009D7677" w:rsidP="009D7677">
      <w:pPr>
        <w:pStyle w:val="SntesisAnaltica"/>
      </w:pPr>
      <w:r>
        <w:t>Supuesta vulneración del derecho a la integridad física: STC 148/2023 [resoluciones judiciales que realizaron una ponderación adecuada de los intereses de una persona menor de edad (STC 38/2023)].</w:t>
      </w:r>
    </w:p>
    <w:p w14:paraId="17B1C258" w14:textId="19796564" w:rsidR="009D7677" w:rsidRDefault="009D7677" w:rsidP="009D7677">
      <w:pPr>
        <w:pStyle w:val="SntesisAnaltica"/>
      </w:pPr>
    </w:p>
    <w:p w14:paraId="032AE3A1" w14:textId="74389F9B" w:rsidR="009D7677" w:rsidRDefault="009D7677" w:rsidP="009D7677">
      <w:pPr>
        <w:pStyle w:val="Extracto"/>
      </w:pPr>
      <w:r>
        <w:t>1.</w:t>
      </w:r>
      <w:r>
        <w:tab/>
        <w:t xml:space="preserve">La capacidad general de autodeterminación de las personas menores de edad, en relación con las actuaciones médicas que les afectan, encuentra su límite en la protección de su interés superior, que se impone como obligación a los progenitores, en cuanto titulares de la patria potestad o autoridad familiar, y a todos los poderes públicos, incluida la autoridad judicial (STC 148/2023) </w:t>
      </w:r>
    </w:p>
    <w:p w14:paraId="05B7C809" w14:textId="77777777" w:rsidR="009D7677" w:rsidRDefault="009D7677" w:rsidP="009D7677">
      <w:pPr>
        <w:pStyle w:val="Extracto"/>
      </w:pPr>
    </w:p>
    <w:p w14:paraId="67A404B4" w14:textId="5A48F2AA" w:rsidR="009D7677" w:rsidRDefault="009D7677" w:rsidP="009D7677">
      <w:pPr>
        <w:pStyle w:val="Extracto"/>
      </w:pPr>
      <w:r>
        <w:t>2.</w:t>
      </w:r>
      <w:r>
        <w:tab/>
        <w:t xml:space="preserve">La decisión de los representantes legales relativa al otorgamiento o no del consentimiento informado por representación deberá atender a la protección del derecho a la vida, supervivencia y desarrollo del menor y la satisfacción de sus necesidades básicas, tanto materiales, físicas y educativas como emocionales y afectivas [art. 2.2, letra a) de la Ley Orgánica 1/1996]; y es preciso buscar el mayor beneficio para la vida o salud del paciente menor de edad (STC 148/2023) </w:t>
      </w:r>
    </w:p>
    <w:p w14:paraId="77F53E59" w14:textId="77777777" w:rsidR="009D7677" w:rsidRDefault="009D7677" w:rsidP="009D7677">
      <w:pPr>
        <w:pStyle w:val="Extracto"/>
      </w:pPr>
    </w:p>
    <w:p w14:paraId="5DD8795C" w14:textId="77777777" w:rsidR="009D7677" w:rsidRDefault="009D7677" w:rsidP="009D7677">
      <w:pPr>
        <w:pStyle w:val="Extracto"/>
      </w:pPr>
    </w:p>
    <w:p w14:paraId="5826B30C" w14:textId="77777777" w:rsidR="009D7677" w:rsidRDefault="009D7677" w:rsidP="009D7677">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2FAC6F3A" w14:textId="31E9246A" w:rsidR="009D7677" w:rsidRDefault="009D7677" w:rsidP="009D7677">
      <w:pPr>
        <w:pStyle w:val="TextoNormal"/>
      </w:pPr>
    </w:p>
    <w:p w14:paraId="6CB79E6F" w14:textId="77777777" w:rsidR="009D7677" w:rsidRDefault="009D7677" w:rsidP="009D7677">
      <w:pPr>
        <w:pStyle w:val="TextoNormalCentrado"/>
        <w:keepNext/>
      </w:pPr>
      <w:r>
        <w:t>EN NOMBRE DEL REY</w:t>
      </w:r>
    </w:p>
    <w:p w14:paraId="25CF4528" w14:textId="1B9CE2DB" w:rsidR="009D7677" w:rsidRDefault="009D7677" w:rsidP="009D7677">
      <w:pPr>
        <w:pStyle w:val="TextoNormalCentrado"/>
        <w:keepNext/>
      </w:pPr>
    </w:p>
    <w:p w14:paraId="24EDC0F7" w14:textId="77777777" w:rsidR="009D7677" w:rsidRDefault="009D7677" w:rsidP="009D7677">
      <w:pPr>
        <w:pStyle w:val="TextoNormalCentrado"/>
        <w:keepNext/>
      </w:pPr>
    </w:p>
    <w:p w14:paraId="5018BE8D" w14:textId="77777777" w:rsidR="009D7677" w:rsidRDefault="009D7677" w:rsidP="009D7677">
      <w:pPr>
        <w:pStyle w:val="TextoNormal"/>
      </w:pPr>
      <w:r>
        <w:t>la siguiente</w:t>
      </w:r>
    </w:p>
    <w:p w14:paraId="7B418DA0" w14:textId="1CE31E93" w:rsidR="009D7677" w:rsidRDefault="009D7677" w:rsidP="009D7677">
      <w:pPr>
        <w:pStyle w:val="TextoNormal"/>
      </w:pPr>
    </w:p>
    <w:p w14:paraId="45EFCB62" w14:textId="77777777" w:rsidR="009D7677" w:rsidRDefault="009D7677" w:rsidP="009D7677">
      <w:pPr>
        <w:pStyle w:val="TextoNormalCentrado"/>
        <w:keepNext/>
      </w:pPr>
      <w:r>
        <w:t>SENTENCIA</w:t>
      </w:r>
    </w:p>
    <w:p w14:paraId="52975383" w14:textId="126BA042" w:rsidR="009D7677" w:rsidRDefault="009D7677" w:rsidP="009D7677">
      <w:pPr>
        <w:pStyle w:val="TextoNormalCentrado"/>
        <w:keepNext/>
      </w:pPr>
    </w:p>
    <w:p w14:paraId="4942C497" w14:textId="77777777" w:rsidR="009D7677" w:rsidRDefault="009D7677" w:rsidP="009D7677">
      <w:pPr>
        <w:pStyle w:val="TextoNormal"/>
      </w:pPr>
      <w:r>
        <w:t>En el recurso de amparo núm. 5730-2022, interpuesto por la procuradora de los tribunales doña Isabel Artazos Herce, en nombre y representación de don M.B.G., bajo la dirección técnica de la letrada doña Cristina Armas Suárez, contra el auto núm. 98/2022, de 2 de marzo, dictado por el Juzgado de Primera Instancia núm. 22 de Zaragoza, en los autos de jurisdicción voluntaria de intervención judicial por desacuerdo en el ejercicio de la patria potestad núm. 1255-2021, y contra el auto núm. 170/2022, de 13 de julio, dictado por la Sección Segunda de la Audiencia Provincial de Zaragoza, en el rollo de apelación núm. 256-2022. Ha intervenido el Ministerio Fiscal y doña L.R.C, representada por la procura</w:t>
      </w:r>
      <w:r>
        <w:lastRenderedPageBreak/>
        <w:t>dora doña María Pilar Morellón Usón y asistida por la abogada doña Myriam Cristina Rocafull Vallés. Ha sido ponente la magistrada doña Concepción Espejel Jorquera.</w:t>
      </w:r>
    </w:p>
    <w:p w14:paraId="177888B5" w14:textId="5DB37956" w:rsidR="009D7677" w:rsidRDefault="009D7677" w:rsidP="009D7677">
      <w:pPr>
        <w:pStyle w:val="TextoNormal"/>
      </w:pPr>
    </w:p>
    <w:p w14:paraId="05F5E287" w14:textId="77777777" w:rsidR="009D7677" w:rsidRDefault="009D7677" w:rsidP="009D7677">
      <w:pPr>
        <w:pStyle w:val="TextoNormalNegritaCentrado"/>
        <w:keepNext/>
      </w:pPr>
      <w:r>
        <w:t>I. Antecedentes</w:t>
      </w:r>
    </w:p>
    <w:p w14:paraId="6FBDF0FB" w14:textId="64D2CC56" w:rsidR="009D7677" w:rsidRDefault="009D7677" w:rsidP="009D7677">
      <w:pPr>
        <w:pStyle w:val="TextoNormalNegritaCentrado"/>
        <w:keepNext/>
      </w:pPr>
    </w:p>
    <w:p w14:paraId="50ABFC56" w14:textId="1955DEC3" w:rsidR="009D7677" w:rsidRDefault="009D7677" w:rsidP="009D7677">
      <w:pPr>
        <w:pStyle w:val="TextoNormal"/>
      </w:pPr>
      <w:r w:rsidRPr="009D7677">
        <w:rPr>
          <w:rStyle w:val="NumeroAFNegritaCaracter"/>
        </w:rPr>
        <w:t>1</w:t>
      </w:r>
      <w:r>
        <w:t>. Mediante escrito que tuvo entrada en el registro general de este tribunal el día 31 de agosto de 2022, la procuradora de los tribunales doña Isabel Artazos Herce, en nombre y representación de don M.B.G., interpuso recurso de amparo contra las resoluciones judiciales que se citan en el encabezamiento.</w:t>
      </w:r>
    </w:p>
    <w:p w14:paraId="1DDAFD08" w14:textId="77777777" w:rsidR="009D7677" w:rsidRDefault="009D7677" w:rsidP="009D7677">
      <w:pPr>
        <w:pStyle w:val="TextoNormal"/>
      </w:pPr>
    </w:p>
    <w:p w14:paraId="16EC1480" w14:textId="77777777" w:rsidR="009D7677" w:rsidRDefault="009D7677" w:rsidP="009D7677">
      <w:pPr>
        <w:pStyle w:val="TextoNormal"/>
      </w:pPr>
      <w:r w:rsidRPr="009D7677">
        <w:rPr>
          <w:rStyle w:val="NumeroAFNegritaCaracter"/>
        </w:rPr>
        <w:t>2</w:t>
      </w:r>
      <w:r>
        <w:t>. Los hechos de los que trae causa la demanda, relevantes para la resolución del recurso, son, en síntesis, los siguientes:</w:t>
      </w:r>
    </w:p>
    <w:p w14:paraId="6718FBD1" w14:textId="77777777" w:rsidR="009D7677" w:rsidRDefault="009D7677" w:rsidP="009D7677">
      <w:pPr>
        <w:pStyle w:val="TextoNormal"/>
      </w:pPr>
    </w:p>
    <w:p w14:paraId="4FDD0122" w14:textId="77777777" w:rsidR="009D7677" w:rsidRDefault="009D7677" w:rsidP="009D7677">
      <w:pPr>
        <w:pStyle w:val="TextoNormal"/>
      </w:pPr>
      <w:r>
        <w:t>a) Al amparo de lo previsto en el art. 86 de la Ley 15/2015, de 2 de julio, de la jurisdicción voluntaria y en los arts. 65 c), 74 y 76 del Código del Derecho Foral de Aragón, la procuradora doña María del Pilar Morellón Usón, en representación de doña L.R.C., promovió el 28 de diciembre de 2021 expediente por divergencia en el ejercicio de la patria potestad, ante la oposición del padre, ahora demandante de amparo, a la vacunación “contra la enfermedad covid” de la hija común menor de edad, doña M.B.R., nacida el 2 de abril de 2009.</w:t>
      </w:r>
    </w:p>
    <w:p w14:paraId="3988484C" w14:textId="77777777" w:rsidR="009D7677" w:rsidRDefault="009D7677" w:rsidP="009D7677">
      <w:pPr>
        <w:pStyle w:val="TextoNormal"/>
      </w:pPr>
    </w:p>
    <w:p w14:paraId="3071A72E" w14:textId="77777777" w:rsidR="009D7677" w:rsidRDefault="009D7677" w:rsidP="009D7677">
      <w:pPr>
        <w:pStyle w:val="TextoNormal"/>
      </w:pPr>
      <w:r>
        <w:t>b) La solicitud dio lugar a la incoación del expediente de jurisdicción voluntaria por desacuerdo en el ejercicio de la patria potestad núm. 1255-2021, en el Juzgado de Primera Instancia núm. 22 de Zaragoza, que mediante el auto núm. 98/2022, de 2 de marzo, estimó la petición formulada y atribuyó a la solicitante “la facultad de decidir sobre la administración de la vacuna frente a la covid-19 a su hija” (doña M.B.R).</w:t>
      </w:r>
    </w:p>
    <w:p w14:paraId="67D5B13E" w14:textId="77777777" w:rsidR="009D7677" w:rsidRDefault="009D7677" w:rsidP="009D7677">
      <w:pPr>
        <w:pStyle w:val="TextoNormal"/>
      </w:pPr>
    </w:p>
    <w:p w14:paraId="06CCC8BF" w14:textId="77777777" w:rsidR="009D7677" w:rsidRDefault="009D7677" w:rsidP="009D7677">
      <w:pPr>
        <w:pStyle w:val="TextoNormal"/>
      </w:pPr>
      <w:r>
        <w:t>Expuesta de forma sintética, la decisión judicial se fundamenta en que la menor, de trece años por aquel entonces, tiene la cartilla de vacunación al día y no ha existido discrepancia entre los progenitores, ni constante la convivencia ni tras la ruptura, sobre la administración tanto de las vacunas obligatorias como de las voluntarias recomendadas por el pediatra. La juez apreció madurez en la menor durante la exploración judicial, cuando manifestó que quería ponerse la vacuna para estar a salvo y, si llegara a contagiarse, “estar más segura y no sufrir tanto”; añadió que lo había hablado con ambos progenitores y que conocía las razones de cada uno al respecto, así como su intención de ir a estudiar a Inglaterra y que se sentía más segura si se contagiaba allí estando vacunada.</w:t>
      </w:r>
    </w:p>
    <w:p w14:paraId="58C82DB9" w14:textId="77777777" w:rsidR="009D7677" w:rsidRDefault="009D7677" w:rsidP="009D7677">
      <w:pPr>
        <w:pStyle w:val="TextoNormal"/>
      </w:pPr>
    </w:p>
    <w:p w14:paraId="2116E370" w14:textId="77777777" w:rsidR="009D7677" w:rsidRDefault="009D7677" w:rsidP="009D7677">
      <w:pPr>
        <w:pStyle w:val="TextoNormal"/>
      </w:pPr>
      <w:r>
        <w:t>Por su parte, la madre de la menor afirmó en el interrogatorio que el pediatra que había atendido a su hija desde su nacimiento recomendaba la vacuna como en otras ocasiones, y que aquel conocía todas las patologías y tratamientos que la menor había seguido, con intervención en todas las vacunaciones.</w:t>
      </w:r>
    </w:p>
    <w:p w14:paraId="15C5A125" w14:textId="77777777" w:rsidR="009D7677" w:rsidRDefault="009D7677" w:rsidP="009D7677">
      <w:pPr>
        <w:pStyle w:val="TextoNormal"/>
      </w:pPr>
    </w:p>
    <w:p w14:paraId="038338B9" w14:textId="77777777" w:rsidR="009D7677" w:rsidRDefault="009D7677" w:rsidP="009D7677">
      <w:pPr>
        <w:pStyle w:val="TextoNormal"/>
      </w:pPr>
      <w:r>
        <w:t xml:space="preserve">En cuanto a las normas de aplicación al caso, el auto se remite a los artículos 6 y 20 del Código de Derecho Foral de Aragón, en concreto a lo relativo a la valoración de la voluntad de los menores y a las previsiones sobre intromisiones en los derechos de la personalidad reconocidos a los menores de catorce años, derechos subjetivos dirigidos a proteger la integridad personal del ser humano tanto en su vertiente física (vida e integridad física) </w:t>
      </w:r>
      <w:r>
        <w:lastRenderedPageBreak/>
        <w:t>como espiritual (honor, intimidad, imagen, identidad, etc.), que incluirían el derecho a la autonomía del sujeto en el ámbito sanitario.</w:t>
      </w:r>
    </w:p>
    <w:p w14:paraId="6511CA2A" w14:textId="77777777" w:rsidR="009D7677" w:rsidRDefault="009D7677" w:rsidP="009D7677">
      <w:pPr>
        <w:pStyle w:val="TextoNormal"/>
      </w:pPr>
    </w:p>
    <w:p w14:paraId="2A8A1046" w14:textId="77777777" w:rsidR="009D7677" w:rsidRDefault="009D7677" w:rsidP="009D7677">
      <w:pPr>
        <w:pStyle w:val="TextoNormal"/>
      </w:pPr>
      <w:r>
        <w:t>El auto cita también el artículo 2 de la Ley Orgánica 1/1996, de 15 de enero, de protección jurídica del menor, que proclama el interés superior del menor, y el artículo 9 que le reconoce el derecho a ser oído y escuchado “tanto en el ámbito familiar como en cualquier procedimiento administrativo, judicial o de mediación en que esté afectado y que conduzca a una decisión que incida en su esfera personal, familiar o social, teniéndose debidamente en cuenta sus opiniones, en función de su edad y madurez” y que “[s]e considera, en todo caso, que tiene suficiente madurez cuando tenga doce años cumplidos”.</w:t>
      </w:r>
    </w:p>
    <w:p w14:paraId="2D67971A" w14:textId="77777777" w:rsidR="009D7677" w:rsidRDefault="009D7677" w:rsidP="009D7677">
      <w:pPr>
        <w:pStyle w:val="TextoNormal"/>
      </w:pPr>
    </w:p>
    <w:p w14:paraId="2B9DC179" w14:textId="77777777" w:rsidR="009D7677" w:rsidRDefault="009D7677" w:rsidP="009D7677">
      <w:pPr>
        <w:pStyle w:val="TextoNormal"/>
      </w:pPr>
      <w:r>
        <w:t>Por lo que se refiere a la vacuna en cuestión, la juez entiende que no hay riesgo cero o inexistencia de efectos más o menos graves, por lo que hay que moverse en el campo de ponderación entre beneficio y riesgo; en este sentido, en el ámbito médico-científico se indican los posibles efectos o reacciones adversas a la vacuna, citándose entre los más graves — aunque raros en cuanto a su aparición — la miocarditis y la pericarditis, sobre todo en una determinada franja de edad y sexo (varones jóvenes), que se resuelven satisfactoriamente en pocos días sin apenas tratamiento (así se hace constar en la ficha técnica de la vacuna Comirnaty, que es la administrable a la menor). No se desconoce que el efecto de la vacunación ha sido evidente en la evolución de la pandemia con sus diferentes variantes y la realidad es que, aunque la vacuna no haya eliminado absolutamente el riesgo de contagio ni de ingreso hospitalario, sí que ha reducido visiblemente los efectos de la enfermedad en la población contagiada.</w:t>
      </w:r>
    </w:p>
    <w:p w14:paraId="41563AD2" w14:textId="77777777" w:rsidR="009D7677" w:rsidRDefault="009D7677" w:rsidP="009D7677">
      <w:pPr>
        <w:pStyle w:val="TextoNormal"/>
      </w:pPr>
    </w:p>
    <w:p w14:paraId="3E770F3F" w14:textId="77777777" w:rsidR="009D7677" w:rsidRDefault="009D7677" w:rsidP="009D7677">
      <w:pPr>
        <w:pStyle w:val="TextoNormal"/>
      </w:pPr>
      <w:r>
        <w:t>El auto declara que la parte demandada afirma que los datos facilitados por los organismos internacionales, nacionales y científicos (pediatras, epidemiólogos, etc.) que han sido el fundamento de la estrategia de vacunación mundial, no responderían a la realidad según un documento que aquella aporta (“Estudio de la pandemia. Análisis científico independiente”) emitido por un doctor en ciencias químicas. La resolución judicial rechaza considerarla prueba pericial, por cuanto no se cumplen los requisitos exigidos por la Ley de enjuiciamiento civil (LEC) al no haber sido ratificado el estudio por su emisor; además, de su lectura se advierte cierta negación o examen en términos absolutos de determinados elementos, como la propia naturaleza de los métodos de diagnóstico del virus, el medio de transmisión, la realidad de los resultados y el carácter contraproducente de los encierros y del distanciamiento social.</w:t>
      </w:r>
    </w:p>
    <w:p w14:paraId="65FEC0E4" w14:textId="77777777" w:rsidR="009D7677" w:rsidRDefault="009D7677" w:rsidP="009D7677">
      <w:pPr>
        <w:pStyle w:val="TextoNormal"/>
      </w:pPr>
    </w:p>
    <w:p w14:paraId="075C25D3" w14:textId="77777777" w:rsidR="009D7677" w:rsidRDefault="009D7677" w:rsidP="009D7677">
      <w:pPr>
        <w:pStyle w:val="TextoNormal"/>
      </w:pPr>
      <w:r>
        <w:t xml:space="preserve">En consecuencia, no cabe sino acudir a los informes oficiales respaldados por los distintos organismos nacionales e internacionales que disponen de profesionales y técnicos en las materias médicas y epidemiológicas, en orden a aportar opiniones y conclusiones con seriedad en términos científicos. Así, atendiendo a los datos publicados en el sitio web del Centro de Coordinación de Alertas y Emergencias Sanitarias del Ministerio de Sanidad del Gobierno de España, a fecha 17 de febrero de 2022, relativos a la incidencia acumulada en catorce días por grupos de edad y los casos y tasa de incidencia semanal, según el estado de vacunación de la población a partir de los doce años, se constata que la incidencia en personas completamente vacunadas es muy inferior a la de no vacunadas. Y diferenciando por grupos de edad, en el grupo entre doce y veintinueve años durante el período comprendido entre el 13 de diciembre de 2021 y el 6 de febrero de 2022, de nuevo se alcanza </w:t>
      </w:r>
      <w:r>
        <w:lastRenderedPageBreak/>
        <w:t>igual conclusión, dado que las cifras tanto de total de contagiados, como de hospitalizados, ingresados en UCI y fallecidos, son sensiblemente superiores en los no vacunados.</w:t>
      </w:r>
    </w:p>
    <w:p w14:paraId="7ABC1B3B" w14:textId="77777777" w:rsidR="009D7677" w:rsidRDefault="009D7677" w:rsidP="009D7677">
      <w:pPr>
        <w:pStyle w:val="TextoNormal"/>
      </w:pPr>
    </w:p>
    <w:p w14:paraId="35A073A6" w14:textId="77777777" w:rsidR="009D7677" w:rsidRDefault="009D7677" w:rsidP="009D7677">
      <w:pPr>
        <w:pStyle w:val="TextoNormal"/>
      </w:pPr>
      <w:r>
        <w:t>En relación con el mayor o menor contagio en menores de edad, así como el mayor o menor riesgo de desarrollar la enfermedad de modo grave, requerir ingreso hospitalario y fallecer, los datos de la red nacional de vigilancia epidemiológica permiten colegir que en las franjas de edad de cinco a nueve años y de diez a diecinueve años se han reducido todas las cifras desde el inicio de la pandemia, tanto de casos totales como de hospitalizados, ingresos en UCI y defunciones, según datos del periodo comprendido desde el 14 de octubre de 2021 al 16 de febrero de 2022. Estos datos se corresponden con los datos relativos a la cobertura de la población vacunada mayor de doce años en el período desde el 27 de diciembre de 2020 al 16 de febrero de 2022, obrantes en la página web del Ministerio de Sanidad en el “Informe de actividad GIV covid-19, Gestión Integral de la Vacunación covid-19”.</w:t>
      </w:r>
    </w:p>
    <w:p w14:paraId="6D94E200" w14:textId="77777777" w:rsidR="009D7677" w:rsidRDefault="009D7677" w:rsidP="009D7677">
      <w:pPr>
        <w:pStyle w:val="TextoNormal"/>
      </w:pPr>
    </w:p>
    <w:p w14:paraId="36DFBF1E" w14:textId="77777777" w:rsidR="009D7677" w:rsidRDefault="009D7677" w:rsidP="009D7677">
      <w:pPr>
        <w:pStyle w:val="TextoNormal"/>
      </w:pPr>
      <w:r>
        <w:t>En cuanto al consentimiento informado de la menor de edad, se trata de un consentimiento por representación a prestar por sus progenitores conforme al artículo 9 de la Ley 41/2002, de 14 de noviembre, básica reguladora de la autonomía del paciente y de derechos y obligaciones en materia de información y documentación clínica, y, en términos similares, al artículo 14 de la Ley 6/2002, de 15 de abril, de salud de Aragón, dedicado al otorgamiento por sustitución de esta clase de consentimiento.</w:t>
      </w:r>
    </w:p>
    <w:p w14:paraId="47BACFEA" w14:textId="77777777" w:rsidR="009D7677" w:rsidRDefault="009D7677" w:rsidP="009D7677">
      <w:pPr>
        <w:pStyle w:val="TextoNormal"/>
      </w:pPr>
    </w:p>
    <w:p w14:paraId="4B749581" w14:textId="77777777" w:rsidR="009D7677" w:rsidRDefault="009D7677" w:rsidP="009D7677">
      <w:pPr>
        <w:pStyle w:val="TextoNormal"/>
      </w:pPr>
      <w:r>
        <w:t xml:space="preserve">Por todo ello, el auto concluye que con arreglo a los criterios del Ministerio de Sanidad y de la Asociación Española de Pediatría acerca de la vacuna en menores de doce a dieciocho años, la misma es beneficiosa para los menores (además de serlo para toda la sociedad en evitación de futuros contagios), a lo que debe añadirse la consideración de que ha sido autorizada por la Agencia Europea del Medicamento para los menores entre doce y dieciocho años, y aprobada para estas edades por la Agencia Española del Medicamento y Productos Sanitarios, con las consiguientes garantías de calidad, seguridad y eficacia. Es innegable, continúa el auto, que desde la existencia de las vacunas la mortalidad, gravedad y consecuencias que produce la infección por covid-19 ha disminuido, y la asistencia sanitaria por causas graves corresponde proporcionalmente a más personas sin vacunar que a vacunadas, es decir, que las personas vacunadas tienen menos riesgo de padecer consecuencias graves en caso de infección y no está acreditado en estos momentos que las personas vacunadas desarrollen otros efectos perjudiciales para su salud. Pese a que los menores de modo general no desarrollan una enfermedad grave, continúa el auto, es un hecho notorio que los menores sí se infectan y no son inmunes, con posibles cuadros graves de dolencias tales como el síndrome inflamatorio multisistémico pediátrico (SIMP) o cuadros postcovid como el covid persistente; por otra parte, los datos disponibles hasta la fecha sobre los efectos adversos no justifican un cambio en la evaluación riesgo/beneficio de la vacunación, que sigue siendo favorable a la vacunación, como recoge el informe emitido por el comité asesor de vacunas de la Sociedad Española de Infectología Pediátrica y la Asociación Española de Pediatría de 9 de diciembre de 2021. Ello determina que vacunar a la menor no va contra su interés, pues a día de hoy no hay estudios que consideren que a los menores les cause la vacuna un mayor perjuicio a la salud que no vacunarse. La decisión más favorable a la menor se corresponde con la postura de la madre, coincidente con la voluntad de aquella, de vacunación a fin de que se beneficie de los avances de la medicina para la protección de su salud contra el virus, frente a la postura del padre basada en </w:t>
      </w:r>
      <w:r>
        <w:lastRenderedPageBreak/>
        <w:t>postulados negacionistas del efecto beneficioso de las vacunas, opuestos a los informes oficiales emitidos por organismos nacionales e internacionales, los mismos que vienen efectuando el seguimiento y aprobación de otras vacunas y medicamentos, que basan sus conclusiones en los datos y cifras analizados por parte de los profesionales de los centros médicos y hospitalarios.</w:t>
      </w:r>
    </w:p>
    <w:p w14:paraId="3A6FA475" w14:textId="77777777" w:rsidR="009D7677" w:rsidRDefault="009D7677" w:rsidP="009D7677">
      <w:pPr>
        <w:pStyle w:val="TextoNormal"/>
      </w:pPr>
    </w:p>
    <w:p w14:paraId="0E55AE20" w14:textId="77777777" w:rsidR="009D7677" w:rsidRDefault="009D7677" w:rsidP="009D7677">
      <w:pPr>
        <w:pStyle w:val="TextoNormal"/>
      </w:pPr>
      <w:r>
        <w:t>c) El padre de la menor interpuso recurso de apelación contra la anterior resolución, en el que alegó la infracción de los arts. 216 a 218 y 225.3 LEC, debido a la falta de valoración de pruebas, y por vulneración del derecho a la integridad física y moral. La impugnación dio lugar al rollo de apelación civil núm. 256-2022, de la Sección Segunda de la Audiencia Provincial de Zaragoza, que desestimó la apelación y confirmó el auto impugnado mediante el auto núm. 170/2022, de 13 de julio.</w:t>
      </w:r>
    </w:p>
    <w:p w14:paraId="5D2701F2" w14:textId="77777777" w:rsidR="009D7677" w:rsidRDefault="009D7677" w:rsidP="009D7677">
      <w:pPr>
        <w:pStyle w:val="TextoNormal"/>
      </w:pPr>
    </w:p>
    <w:p w14:paraId="6192626D" w14:textId="5BE2ABEA" w:rsidR="009D7677" w:rsidRDefault="009D7677" w:rsidP="009D7677">
      <w:pPr>
        <w:pStyle w:val="TextoNormal"/>
      </w:pPr>
      <w:r>
        <w:t>Tras citar precedentes del mismo tribunal (autos núm. 72/2022, de 30 de marzo; 105/2022, de 27 de abril, y 135/2022, de 1 de junio) se afirma en el auto que es un hecho notorio que la administración de vacunas contra la covid-19 ha supuesto una reducción de fallecimientos y de ingresos hospitalarios, estando avalada por la Agencia Europea del Medicamento, la Agencia Española del Medicamento y Productos Sanitarios, la Asociación Española de Pediatría y el Centro para el Control y Prevención de Enfermedades, con un riesgo de efectos adversos muy reducido frente a los mayores beneficios que proporciona a nivel individual y colectivo. El recurrente funda su postura en informes particulares que ponen en duda sin base científica la información facilitada a los diferentes organismos oficiales. Conforme a todo ello, en consideración a la profusa fundamentación del auto recurrido y al análisis de la prueba documental aportada por el apelante frente a las directrices y resoluciones de los organismos sanitarios nacionales e internacionales, la sala confirma la resolución impugnada y desestima el recurso de apelación.</w:t>
      </w:r>
    </w:p>
    <w:p w14:paraId="2E31B158" w14:textId="77777777" w:rsidR="009D7677" w:rsidRDefault="009D7677" w:rsidP="009D7677">
      <w:pPr>
        <w:pStyle w:val="TextoNormal"/>
      </w:pPr>
    </w:p>
    <w:p w14:paraId="1EF9A267" w14:textId="77777777" w:rsidR="009D7677" w:rsidRDefault="009D7677" w:rsidP="009D7677">
      <w:pPr>
        <w:pStyle w:val="TextoNormal"/>
      </w:pPr>
      <w:r w:rsidRPr="009D7677">
        <w:rPr>
          <w:rStyle w:val="NumeroAFNegritaCaracter"/>
        </w:rPr>
        <w:t>3</w:t>
      </w:r>
      <w:r>
        <w:t>. El recurrente denuncia que se le han vulnerado los siguientes derechos fundamentales:</w:t>
      </w:r>
    </w:p>
    <w:p w14:paraId="1EA32824" w14:textId="77777777" w:rsidR="009D7677" w:rsidRDefault="009D7677" w:rsidP="009D7677">
      <w:pPr>
        <w:pStyle w:val="TextoNormal"/>
      </w:pPr>
    </w:p>
    <w:p w14:paraId="5E97B282" w14:textId="77777777" w:rsidR="009D7677" w:rsidRDefault="009D7677" w:rsidP="009D7677">
      <w:pPr>
        <w:pStyle w:val="TextoNormal"/>
      </w:pPr>
      <w:r>
        <w:t>(i) El derecho a la integridad física y moral (art. 15 CE), porque no se recabó el consentimiento informado de la menor ni de sus progenitores. Argumenta que el consentimiento informado del paciente es un derecho reconocido en la Ley 41/2022, básica de autonomía del paciente, en la Carta de los derechos fundamentales de la Unión Europea [art. 3.2 a)], y en el Convenio relativo a los derechos humanos y la biomedicina, hecho en Oviedo el 4 de abril de 1997, y que queda asimismo amparado en el Convenio para la protección de los derechos humanos y de las libertades fundamentales (CEDH) como aspecto del derecho a la vida privada y familiar reconocido en su art. 8, conforme a la jurisprudencia del Tribunal Europeo de Derechos Humanos.</w:t>
      </w:r>
    </w:p>
    <w:p w14:paraId="590A0622" w14:textId="77777777" w:rsidR="009D7677" w:rsidRDefault="009D7677" w:rsidP="009D7677">
      <w:pPr>
        <w:pStyle w:val="TextoNormal"/>
      </w:pPr>
    </w:p>
    <w:p w14:paraId="40F95440" w14:textId="77777777" w:rsidR="009D7677" w:rsidRDefault="009D7677" w:rsidP="009D7677">
      <w:pPr>
        <w:pStyle w:val="TextoNormal"/>
      </w:pPr>
      <w:r>
        <w:t>Se añade que no hay evidencias científicas que acrediten la bondad de la vacuna ni el beneficio individual para la menor, lo que supone que se ha vulnerado el interés superior de la misma, pues los estudios científicos demuestran que el riesgo para su salud derivado de la falta de vacunación es inferior al riesgo de contraer la enfermedad.</w:t>
      </w:r>
    </w:p>
    <w:p w14:paraId="0AA75AD0" w14:textId="77777777" w:rsidR="009D7677" w:rsidRDefault="009D7677" w:rsidP="009D7677">
      <w:pPr>
        <w:pStyle w:val="TextoNormal"/>
      </w:pPr>
    </w:p>
    <w:p w14:paraId="7FAC1D9F" w14:textId="77777777" w:rsidR="009D7677" w:rsidRDefault="009D7677" w:rsidP="009D7677">
      <w:pPr>
        <w:pStyle w:val="TextoNormal"/>
      </w:pPr>
      <w:r>
        <w:t xml:space="preserve">(ii) El derecho a la tutela judicial efectiva (art. 24.1 CE), porque los tribunales ordinarios han valorado las pruebas de manera errónea, en particular los informes científicos de </w:t>
      </w:r>
      <w:r>
        <w:lastRenderedPageBreak/>
        <w:t>que disponían, además de estar las resoluciones judiciales combatidas insuficientemente motivadas.</w:t>
      </w:r>
    </w:p>
    <w:p w14:paraId="62A0F3C4" w14:textId="77777777" w:rsidR="009D7677" w:rsidRDefault="009D7677" w:rsidP="009D7677">
      <w:pPr>
        <w:pStyle w:val="TextoNormal"/>
      </w:pPr>
    </w:p>
    <w:p w14:paraId="3456F520" w14:textId="77777777" w:rsidR="009D7677" w:rsidRDefault="009D7677" w:rsidP="009D7677">
      <w:pPr>
        <w:pStyle w:val="TextoNormal"/>
      </w:pPr>
      <w:r>
        <w:t>(iii) El derecho a un proceso con todas las garantías (art. 24.2 CE), que se conecta con la omisión del interrogatorio del padre en la comparecencia, que no pudo practicarse al no haberlo interesado el Ministerio Fiscal. Se añade que en el auto del juzgado se han empleado expresiones innecesarias, improcedentes y extravagantes cuando se refiere a los “postulados negacionistas” de la vacunación, lo que denota falta de imparcialidad.</w:t>
      </w:r>
    </w:p>
    <w:p w14:paraId="242760AC" w14:textId="77777777" w:rsidR="009D7677" w:rsidRDefault="009D7677" w:rsidP="009D7677">
      <w:pPr>
        <w:pStyle w:val="TextoNormal"/>
      </w:pPr>
    </w:p>
    <w:p w14:paraId="547A16F0" w14:textId="60EF8845" w:rsidR="009D7677" w:rsidRDefault="009D7677" w:rsidP="009D7677">
      <w:pPr>
        <w:pStyle w:val="TextoNormal"/>
      </w:pPr>
      <w:r>
        <w:t>En la demanda se solicita la nulidad de los autos recurridos y que se declare que no había lugar al procedimiento de jurisdicción voluntaria para la inoculación de la vacuna contra la covid-19, pues en este caso no se advierte ningún beneficio directo para la salud de la menor y las resoluciones judiciales orillan el verdadero debate sobre la controversia existente entre los riesgos y los beneficios de la vacuna. Antes al contrario, a juicio del recurrente, todos los datos médicos y científicos contradicen los razonamientos judiciales.</w:t>
      </w:r>
    </w:p>
    <w:p w14:paraId="522CABCF" w14:textId="77777777" w:rsidR="009D7677" w:rsidRDefault="009D7677" w:rsidP="009D7677">
      <w:pPr>
        <w:pStyle w:val="TextoNormal"/>
      </w:pPr>
    </w:p>
    <w:p w14:paraId="15072DAA" w14:textId="06C7E317" w:rsidR="009D7677" w:rsidRDefault="009D7677" w:rsidP="009D7677">
      <w:pPr>
        <w:pStyle w:val="TextoNormal"/>
      </w:pPr>
      <w:r w:rsidRPr="009D7677">
        <w:rPr>
          <w:rStyle w:val="NumeroAFNegritaCaracter"/>
        </w:rPr>
        <w:t>4</w:t>
      </w:r>
      <w:r>
        <w:t>. Por diligencia de ordenación de 23 de enero de 2023, se puso en conocimiento del Ministerio Fiscal y de las partes, a los efectos oportunos, que en virtud del acuerdo adoptado por el Pleno del Tribunal Constitucional el día 17 de enero de 2023, publicado en el “Boletín Oficial del Estado” de 19 de enero de 2023, el presente recurso de amparo ha sido turnado a la Sección Primera de la Sala Primera del Tribunal Constitucional.</w:t>
      </w:r>
    </w:p>
    <w:p w14:paraId="187DA424" w14:textId="77777777" w:rsidR="009D7677" w:rsidRDefault="009D7677" w:rsidP="009D7677">
      <w:pPr>
        <w:pStyle w:val="TextoNormal"/>
      </w:pPr>
    </w:p>
    <w:p w14:paraId="7E47DAD8" w14:textId="77777777" w:rsidR="009D7677" w:rsidRDefault="009D7677" w:rsidP="009D7677">
      <w:pPr>
        <w:pStyle w:val="TextoNormal"/>
      </w:pPr>
      <w:r w:rsidRPr="009D7677">
        <w:rPr>
          <w:rStyle w:val="NumeroAFNegritaCaracter"/>
        </w:rPr>
        <w:t>5</w:t>
      </w:r>
      <w:r>
        <w:t>. La Sección Primera del Tribunal Constitucional, por providencia de 6 de marzo de 2023, acordó admitir a trámite el recurso de amparo al apreciar que concurre en el mismo una especial trascendencia constitucional [art. 50.1 de la Ley Orgánica del Tribunal Constitucional (LOTC)] porque el recurso plantea un problema o afecta a una faceta de un derecho fundamental sobre el que no hay doctrina de este tribunal [STC 155/2009, de 25 de junio, FJ 2 a)] y, asimismo, porque el asunto suscitado trasciende del caso concreto porque plantea una cuestión jurídica de relevante y general repercusión social o económica [STC 155/2009, FJ 2 g)].</w:t>
      </w:r>
    </w:p>
    <w:p w14:paraId="0E149244" w14:textId="77777777" w:rsidR="009D7677" w:rsidRDefault="009D7677" w:rsidP="009D7677">
      <w:pPr>
        <w:pStyle w:val="TextoNormal"/>
      </w:pPr>
    </w:p>
    <w:p w14:paraId="78749B76" w14:textId="1B6EC32F" w:rsidR="009D7677" w:rsidRDefault="009D7677" w:rsidP="009D7677">
      <w:pPr>
        <w:pStyle w:val="TextoNormal"/>
      </w:pPr>
      <w:r>
        <w:t>En la misma providencia se acordó, en aplicación de lo dispuesto en el art. 51 LOTC, dirigir atenta comunicación a la Audiencia Provincial de Zaragoza (Sección Segunda) a fin de que, en plazo no superior a diez días, remitiera certificación o fotocopia adverada de las actuaciones correspondientes al recurso de apelación 256-2022 e, igualmente, al Juzgado de Primera Instancia núm. 22 de Zaragoza fin de que, en plazo que no excediera de diez días, remitiera certificación o fotocopia adverada de las actuaciones correspondientes al procedimiento de jurisdicción voluntaria núm. 1255-2021, debiendo emplazar previamente a quienes hubieran sido parte en el procedimiento, excepto la parte ahora recurrente, para que en el plazo de diez días pudieran comparecer, si lo desearan, en el presente recurso de amparo.</w:t>
      </w:r>
    </w:p>
    <w:p w14:paraId="2E729CBF" w14:textId="77777777" w:rsidR="009D7677" w:rsidRDefault="009D7677" w:rsidP="009D7677">
      <w:pPr>
        <w:pStyle w:val="TextoNormal"/>
      </w:pPr>
    </w:p>
    <w:p w14:paraId="18E37AA8" w14:textId="18A178F8" w:rsidR="009D7677" w:rsidRDefault="009D7677" w:rsidP="009D7677">
      <w:pPr>
        <w:pStyle w:val="TextoNormal"/>
      </w:pPr>
      <w:r w:rsidRPr="009D7677">
        <w:rPr>
          <w:rStyle w:val="NumeroAFNegritaCaracter"/>
        </w:rPr>
        <w:t>6</w:t>
      </w:r>
      <w:r>
        <w:t>. Mediante providencia de 6 de marzo de 2023, de conformidad con lo prevenido en el art. 56 LOTC, se acordó, a instancia de la parte actora, la formación de pieza separada de suspensión, que tras su tramitación fue resuelta por el ATC 324/2023, de 19 de junio, que denegó la medida cautelar de suspensión solicitada por el demandante.</w:t>
      </w:r>
    </w:p>
    <w:p w14:paraId="7B7DC4E4" w14:textId="77777777" w:rsidR="009D7677" w:rsidRDefault="009D7677" w:rsidP="009D7677">
      <w:pPr>
        <w:pStyle w:val="TextoNormal"/>
      </w:pPr>
    </w:p>
    <w:p w14:paraId="079B00EF" w14:textId="149F0B32" w:rsidR="009D7677" w:rsidRDefault="009D7677" w:rsidP="009D7677">
      <w:pPr>
        <w:pStyle w:val="TextoNormal"/>
      </w:pPr>
      <w:r w:rsidRPr="009D7677">
        <w:rPr>
          <w:rStyle w:val="NumeroAFNegritaCaracter"/>
        </w:rPr>
        <w:lastRenderedPageBreak/>
        <w:t>7</w:t>
      </w:r>
      <w:r>
        <w:t>. En fecha 24 de marzo de 2023, doña L.R.C., fue emplazada en la persona de la procuradora que la representa, doña María Luisa Morellón Usón, para comparecer en el presente proceso constitucional, lo que efectuó mediante escrito presentado el siguiente 28 de marzo.</w:t>
      </w:r>
    </w:p>
    <w:p w14:paraId="40FF3DEA" w14:textId="77777777" w:rsidR="009D7677" w:rsidRDefault="009D7677" w:rsidP="009D7677">
      <w:pPr>
        <w:pStyle w:val="TextoNormal"/>
      </w:pPr>
    </w:p>
    <w:p w14:paraId="14D25139" w14:textId="25AEEA1A" w:rsidR="009D7677" w:rsidRDefault="009D7677" w:rsidP="009D7677">
      <w:pPr>
        <w:pStyle w:val="TextoNormal"/>
      </w:pPr>
      <w:r w:rsidRPr="009D7677">
        <w:rPr>
          <w:rStyle w:val="NumeroAFNegritaCaracter"/>
        </w:rPr>
        <w:t>8</w:t>
      </w:r>
      <w:r>
        <w:t>. Por diligencia de ordenación de 14 de abril de 2023, se tuvieron por recibidos los testimonios de las actuaciones remitidas por la Audiencia Provincial de Zaragoza y por el Juzgado de Primera Instancia núm. 22 de Zaragoza y, a tenor de lo dispuesto en el art. 52 LOTC, se acordó dar vista de las mismas, por un plazo común de veinte días, al Ministerio Fiscal y a las partes personadas, para que dentro de dicho término pudieran presentar las alegaciones que a su derecho convenga.</w:t>
      </w:r>
    </w:p>
    <w:p w14:paraId="3B1D8503" w14:textId="77777777" w:rsidR="009D7677" w:rsidRDefault="009D7677" w:rsidP="009D7677">
      <w:pPr>
        <w:pStyle w:val="TextoNormal"/>
      </w:pPr>
    </w:p>
    <w:p w14:paraId="79FE5DCC" w14:textId="77777777" w:rsidR="009D7677" w:rsidRDefault="009D7677" w:rsidP="009D7677">
      <w:pPr>
        <w:pStyle w:val="TextoNormal"/>
      </w:pPr>
      <w:r w:rsidRPr="009D7677">
        <w:rPr>
          <w:rStyle w:val="NumeroAFNegritaCaracter"/>
        </w:rPr>
        <w:t>9</w:t>
      </w:r>
      <w:r>
        <w:t>. El 16 de mayo de 2023 se registró escrito de alegaciones presentado por la representación procesal de doña L.R.C., en el que solicitó la desestimación del recurso. Sostiene que las resoluciones judiciales han realizado un análisis profuso de la documentación aportada y de los informes científicos sobre la materia, en especial de los estudios de la Asociación Española de Pediatría, de los cuales se colige que los riesgos de la vacuna son muy bajos en proporción a sus beneficios potenciales. Por último, recuerda la compareciente que la vacuna se recomienda por la Agencia Europea del Medicamento y por la Agencia Española del Medicamento y Productos Sanitarios, que la menor tiene cumplimentadas todas las vacunas del calendario infantil y que manifestó su voluntad de recibir la vacuna, sin olvidar la recomendación en este mismo sentido de la pediatra que la trata.</w:t>
      </w:r>
    </w:p>
    <w:p w14:paraId="687FF7CE" w14:textId="77777777" w:rsidR="009D7677" w:rsidRDefault="009D7677" w:rsidP="009D7677">
      <w:pPr>
        <w:pStyle w:val="TextoNormal"/>
      </w:pPr>
    </w:p>
    <w:p w14:paraId="57A5F0E6" w14:textId="10527F4B" w:rsidR="009D7677" w:rsidRDefault="009D7677" w:rsidP="009D7677">
      <w:pPr>
        <w:pStyle w:val="TextoNormal"/>
      </w:pPr>
      <w:r>
        <w:t>El demandante de amparo no formuló alegaciones en este trámite.</w:t>
      </w:r>
    </w:p>
    <w:p w14:paraId="79AD35C1" w14:textId="77777777" w:rsidR="009D7677" w:rsidRDefault="009D7677" w:rsidP="009D7677">
      <w:pPr>
        <w:pStyle w:val="TextoNormal"/>
      </w:pPr>
    </w:p>
    <w:p w14:paraId="34413B75" w14:textId="77777777" w:rsidR="009D7677" w:rsidRDefault="009D7677" w:rsidP="009D7677">
      <w:pPr>
        <w:pStyle w:val="TextoNormal"/>
      </w:pPr>
      <w:r w:rsidRPr="009D7677">
        <w:rPr>
          <w:rStyle w:val="NumeroAFNegritaCaracter"/>
        </w:rPr>
        <w:t>10</w:t>
      </w:r>
      <w:r>
        <w:t>. Por escrito registrado el 1 de junio de 2023, la fiscal ante el Tribunal Constitucional formuló sus alegaciones en las que sostuvo que en el procedimiento judicial se habían respetado los principios de bilateralidad, contradicción e igualdad de armas, pues en su escrito de oposición el aquí demandante ya se había manifestado con profusión sobre los argumentos médicos y científicos que, a su juicio, debían impedir la inoculación de la vacuna, por lo que no era relevante que fuera interrogado en la comparecencia. Por otra parte, el mismo aportó prueba documental a las actuaciones. Respecto de la falta de imparcialidad, la expresión controvertida (“postulados negacionistas del efecto beneficioso de las vacunas”) es de uso coloquial, sin la suficiente consistencia como para cuestionar la imparcialidad judicial, teniendo en cuenta la doctrina constitucional sobre la materia, dado que no existe base objetiva para deducir dicha vulneración. Añade la Fiscalía que ha existido un respeto escrupuloso del derecho a la prueba a la vista de las actuaciones, por lo que descarta cualquier vulneración del derecho a un proceso con todas las garantías del art. 24.2 CE. Finalmente, estima que las resoluciones judiciales impugnadas están suficientemente motivadas, por lo que excluye la vulneración del derecho a la tutela judicial efectiva (art. 24.1 CE).</w:t>
      </w:r>
    </w:p>
    <w:p w14:paraId="286B1D33" w14:textId="77777777" w:rsidR="009D7677" w:rsidRDefault="009D7677" w:rsidP="009D7677">
      <w:pPr>
        <w:pStyle w:val="TextoNormal"/>
      </w:pPr>
    </w:p>
    <w:p w14:paraId="01D0BF34" w14:textId="77777777" w:rsidR="009D7677" w:rsidRDefault="009D7677" w:rsidP="009D7677">
      <w:pPr>
        <w:pStyle w:val="TextoNormal"/>
      </w:pPr>
      <w:r>
        <w:t xml:space="preserve">Y en cuanto a la vulneración del art. 15 CE por falta de consentimiento informado, la fiscal pone de relieve en su informe cómo en este procedimiento la autoridad judicial no autoriza la inoculación de la vacuna a la menor, ni le proporciona la información médica adecuada, sino que resuelve atribuir a uno de los progenitores la facultad de decidir sobre la administración de la vacuna ponderando, en atención a las circunstancias del caso, lo </w:t>
      </w:r>
      <w:r>
        <w:lastRenderedPageBreak/>
        <w:t>que considera más beneficioso para la menor. Es en un momento posterior, si este progenitor acude a un centro médico, cuando el personal sanitario le informará sobre la actuación médica consistente en la vacunación, y si la menor tiene capacidad para comprender el alcance de la intervención, prestará el consentimiento y, en caso de no tenerla, lo prestará su progenitor. En consecuencia, el juez no ha sustituido al progenitor en la decisión de vacunar y el consentimiento informado opera en un momento posterior a la intervención judicial. Si en ese momento ulterior se incumpliera la normativa relativa al consentimiento informado, se podría producir la violación del art. 15 CE.</w:t>
      </w:r>
    </w:p>
    <w:p w14:paraId="056C18DF" w14:textId="77777777" w:rsidR="009D7677" w:rsidRDefault="009D7677" w:rsidP="009D7677">
      <w:pPr>
        <w:pStyle w:val="TextoNormal"/>
      </w:pPr>
    </w:p>
    <w:p w14:paraId="27B1C035" w14:textId="60324CC7" w:rsidR="009D7677" w:rsidRDefault="009D7677" w:rsidP="009D7677">
      <w:pPr>
        <w:pStyle w:val="TextoNormal"/>
      </w:pPr>
      <w:r>
        <w:t>La Fiscalía aduce que si, por el contrario, se considerase que la decisión judicial de manera indirecta conlleva la autorización para la vacunación, tampoco cabría apreciar en este caso la vulneración del art. 15 CE, porque no estaría incursa en ninguno de los supuestos del art. 9.3 b) y c) de la Ley 41/2002, ya que la menor gozaba de capacidad de juicio suficiente para comprender el alcance de la intervención y consentirla o no, y sería quien prestara el consentimiento y no su representante legal. Para concluir, afirma que tampoco se trata de una actuación de grave riesgo para la vida o la salud de la menor.</w:t>
      </w:r>
    </w:p>
    <w:p w14:paraId="2F323550" w14:textId="77777777" w:rsidR="009D7677" w:rsidRDefault="009D7677" w:rsidP="009D7677">
      <w:pPr>
        <w:pStyle w:val="TextoNormal"/>
      </w:pPr>
    </w:p>
    <w:p w14:paraId="4E54C147" w14:textId="2487A460" w:rsidR="009D7677" w:rsidRDefault="009D7677" w:rsidP="009D7677">
      <w:pPr>
        <w:pStyle w:val="TextoNormal"/>
      </w:pPr>
      <w:r w:rsidRPr="009D7677">
        <w:rPr>
          <w:rStyle w:val="NumeroAFNegritaCaracter"/>
        </w:rPr>
        <w:t>11</w:t>
      </w:r>
      <w:r>
        <w:t>. Por providencia de 11 de enero de 2024 se señaló para deliberación y votación de la presente sentencia el día 15 del mismo mes y año.</w:t>
      </w:r>
    </w:p>
    <w:p w14:paraId="2A1655DB" w14:textId="77777777" w:rsidR="009D7677" w:rsidRDefault="009D7677" w:rsidP="009D7677">
      <w:pPr>
        <w:pStyle w:val="TextoNormal"/>
      </w:pPr>
    </w:p>
    <w:p w14:paraId="17D95295" w14:textId="77777777" w:rsidR="009D7677" w:rsidRDefault="009D7677" w:rsidP="009D7677">
      <w:pPr>
        <w:pStyle w:val="TextoNormalNegritaCentrado"/>
        <w:keepNext/>
      </w:pPr>
      <w:r>
        <w:t>II. Fundamentos jurídicos</w:t>
      </w:r>
    </w:p>
    <w:p w14:paraId="352E2FEE" w14:textId="47F1871E" w:rsidR="009D7677" w:rsidRDefault="009D7677" w:rsidP="009D7677">
      <w:pPr>
        <w:pStyle w:val="TextoNormalNegritaCentrado"/>
        <w:keepNext/>
      </w:pPr>
    </w:p>
    <w:p w14:paraId="74B87254" w14:textId="77777777" w:rsidR="009D7677" w:rsidRDefault="009D7677" w:rsidP="009D7677">
      <w:pPr>
        <w:pStyle w:val="TextoNormal"/>
      </w:pPr>
      <w:r w:rsidRPr="009D7677">
        <w:rPr>
          <w:rStyle w:val="NumeroAFNegritaCaracter"/>
        </w:rPr>
        <w:t>1</w:t>
      </w:r>
      <w:r>
        <w:t xml:space="preserve">. </w:t>
      </w:r>
      <w:r w:rsidRPr="009D7677">
        <w:rPr>
          <w:i/>
        </w:rPr>
        <w:t>Objeto del recurso</w:t>
      </w:r>
    </w:p>
    <w:p w14:paraId="1E8566A9" w14:textId="77777777" w:rsidR="009D7677" w:rsidRDefault="009D7677" w:rsidP="009D7677">
      <w:pPr>
        <w:pStyle w:val="TextoNormal"/>
      </w:pPr>
    </w:p>
    <w:p w14:paraId="64AE4815" w14:textId="77777777" w:rsidR="009D7677" w:rsidRDefault="009D7677" w:rsidP="009D7677">
      <w:pPr>
        <w:pStyle w:val="TextoNormal"/>
      </w:pPr>
      <w:r>
        <w:t>El presente recurso de amparo se dirige contra el auto núm. 98/2022, de 2 de marzo, dictado por el Juzgado de Primera Instancia núm. 22 de Zaragoza en el procedimiento de intervención judicial por desacuerdo en el ejercicio de la patria potestad núm. 1255-2021, que atribuyó a doña L.R.C., la facultad de decidir sobre la administración de la vacuna frente a la covid-19 a la hija común menor de edad, y contra el auto núm. 170/2022, 13 de julio, dictado por la Sección Segunda de la Audiencia Provincial de Zaragoza en el rollo de apelación núm. 256-2022, confirmatorio del anterior.</w:t>
      </w:r>
    </w:p>
    <w:p w14:paraId="44224616" w14:textId="77777777" w:rsidR="009D7677" w:rsidRDefault="009D7677" w:rsidP="009D7677">
      <w:pPr>
        <w:pStyle w:val="TextoNormal"/>
      </w:pPr>
    </w:p>
    <w:p w14:paraId="302F1F80" w14:textId="412C3AD6" w:rsidR="009D7677" w:rsidRDefault="009D7677" w:rsidP="009D7677">
      <w:pPr>
        <w:pStyle w:val="TextoNormal"/>
      </w:pPr>
      <w:r>
        <w:t>Dada la naturaleza de los hechos, debe señalarse que,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 27 de julio de 2015), la presente sentencia y demás actuaciones del proceso no incluyen la identificación completa de la persona menor de edad afectada ni la de sus parientes inmediatos que aparecen mencionados en las actuaciones, con el fin de proteger la intimidad de aquella.</w:t>
      </w:r>
    </w:p>
    <w:p w14:paraId="3F439EE5" w14:textId="77777777" w:rsidR="009D7677" w:rsidRDefault="009D7677" w:rsidP="009D7677">
      <w:pPr>
        <w:pStyle w:val="TextoNormal"/>
      </w:pPr>
    </w:p>
    <w:p w14:paraId="2ECD4997" w14:textId="77777777" w:rsidR="009D7677" w:rsidRDefault="009D7677" w:rsidP="009D7677">
      <w:pPr>
        <w:pStyle w:val="TextoNormal"/>
      </w:pPr>
      <w:r w:rsidRPr="009D7677">
        <w:rPr>
          <w:rStyle w:val="NumeroAFNegritaCaracter"/>
        </w:rPr>
        <w:t>2</w:t>
      </w:r>
      <w:r>
        <w:t xml:space="preserve">. </w:t>
      </w:r>
      <w:r w:rsidRPr="009D7677">
        <w:rPr>
          <w:i/>
        </w:rPr>
        <w:t>Cuestiones previas y delimitación de los derechos fundamentales concernidos</w:t>
      </w:r>
    </w:p>
    <w:p w14:paraId="7DA7DEF3" w14:textId="77777777" w:rsidR="009D7677" w:rsidRDefault="009D7677" w:rsidP="009D7677">
      <w:pPr>
        <w:pStyle w:val="TextoNormal"/>
      </w:pPr>
    </w:p>
    <w:p w14:paraId="09238BA6" w14:textId="77777777" w:rsidR="009D7677" w:rsidRDefault="009D7677" w:rsidP="009D7677">
      <w:pPr>
        <w:pStyle w:val="TextoNormal"/>
      </w:pPr>
      <w:r>
        <w:t>Con carácter previo al examen de las cuestiones de fondo planteadas en la demanda de amparo, deben hacerse las siguientes precisiones:</w:t>
      </w:r>
    </w:p>
    <w:p w14:paraId="292D8B38" w14:textId="77777777" w:rsidR="009D7677" w:rsidRDefault="009D7677" w:rsidP="009D7677">
      <w:pPr>
        <w:pStyle w:val="TextoNormal"/>
      </w:pPr>
    </w:p>
    <w:p w14:paraId="3F50F5B9" w14:textId="77777777" w:rsidR="009D7677" w:rsidRDefault="009D7677" w:rsidP="009D7677">
      <w:pPr>
        <w:pStyle w:val="TextoNormal"/>
      </w:pPr>
      <w:r>
        <w:t>En el recurso de amparo se alega la vulneración del derecho a la tutela judicial efectiva (art. 24.1 CE) porque las resoluciones judiciales no se ajustan al derecho positivo al con</w:t>
      </w:r>
      <w:r>
        <w:lastRenderedPageBreak/>
        <w:t>culcar los principios sobre valoración de la prueba, motivación y derecho de defensa, y residenciar su decisión en la recomendación de las autoridades sanitarias sin valorar correcta y adecuadamente los informes científicos aportados por el recurrente.</w:t>
      </w:r>
    </w:p>
    <w:p w14:paraId="426EC04B" w14:textId="77777777" w:rsidR="009D7677" w:rsidRDefault="009D7677" w:rsidP="009D7677">
      <w:pPr>
        <w:pStyle w:val="TextoNormal"/>
      </w:pPr>
    </w:p>
    <w:p w14:paraId="2FF82427" w14:textId="77777777" w:rsidR="009D7677" w:rsidRDefault="009D7677" w:rsidP="009D7677">
      <w:pPr>
        <w:pStyle w:val="TextoNormal"/>
      </w:pPr>
      <w:r>
        <w:t>Se invoca también la vulneración del derecho a un procedimiento con todas las garantías (art. 24.2 CE) y del derecho a la integridad física y moral (art. 15 CE) por falta de consentimiento informado. Todas estas vulneraciones se imputan a la decisión judicial que atribuye la facultad de decidir a la progenitora favorable a la vacunación.</w:t>
      </w:r>
    </w:p>
    <w:p w14:paraId="6BC69946" w14:textId="77777777" w:rsidR="009D7677" w:rsidRDefault="009D7677" w:rsidP="009D7677">
      <w:pPr>
        <w:pStyle w:val="TextoNormal"/>
      </w:pPr>
    </w:p>
    <w:p w14:paraId="74052073" w14:textId="622BE01A" w:rsidR="009D7677" w:rsidRDefault="009D7677" w:rsidP="009D7677">
      <w:pPr>
        <w:pStyle w:val="TextoNormal"/>
      </w:pPr>
      <w:r>
        <w:t>En realidad, estas cuestiones están directamente vinculadas con la posible lesión del derecho fundamental a la integridad personal, reconocido en el art. 15 CE, de modo que las distintas quejas planteadas bajo la cobertura del art. 24.1 y 2 CE, pueden recibir una respuesta conjunta en el fundamento jurídico siguiente, pues deben calificarse como instrumentales en el presente caso, sin perjuicio de que ya en la STC 148/2023, de 6 de noviembre, se dio respuesta a la queja de vulneración del derecho a la utilización de los medios de prueba pertinentes para la defensa (FJ 3), en este caso del interrogatorio del padre de la menor.</w:t>
      </w:r>
    </w:p>
    <w:p w14:paraId="06D853FF" w14:textId="77777777" w:rsidR="009D7677" w:rsidRDefault="009D7677" w:rsidP="009D7677">
      <w:pPr>
        <w:pStyle w:val="TextoNormal"/>
      </w:pPr>
    </w:p>
    <w:p w14:paraId="7E5E4A24" w14:textId="77777777" w:rsidR="009D7677" w:rsidRDefault="009D7677" w:rsidP="009D7677">
      <w:pPr>
        <w:pStyle w:val="TextoNormal"/>
      </w:pPr>
      <w:r w:rsidRPr="009D7677">
        <w:rPr>
          <w:rStyle w:val="NumeroAFNegritaCaracter"/>
        </w:rPr>
        <w:t>3</w:t>
      </w:r>
      <w:r>
        <w:t xml:space="preserve">. </w:t>
      </w:r>
      <w:r w:rsidRPr="009D7677">
        <w:rPr>
          <w:i/>
        </w:rPr>
        <w:t>Aplicación de la doctrina constitucional expuesta en la STC 148/2023, de 6 de noviembre</w:t>
      </w:r>
    </w:p>
    <w:p w14:paraId="34941C51" w14:textId="77777777" w:rsidR="009D7677" w:rsidRDefault="009D7677" w:rsidP="009D7677">
      <w:pPr>
        <w:pStyle w:val="TextoNormal"/>
      </w:pPr>
    </w:p>
    <w:p w14:paraId="15D35E46" w14:textId="77777777" w:rsidR="009D7677" w:rsidRDefault="009D7677" w:rsidP="009D7677">
      <w:pPr>
        <w:pStyle w:val="TextoNormal"/>
      </w:pPr>
      <w:r>
        <w:t>La cuestión constitucional suscitada en este recurso en relación con el derecho fundamental a la integridad física y moral (art. 15 CE) es la misma que ya ha sido objeto de análisis por el Pleno de este tribunal en la STC 148/2023, de 6 de noviembre, en cuyos fundamentos jurídicos 4 y 5 se expusieron de manera pormenorizada las pautas de ponderación necesarias para determinar si en este tipo de supuestos se ha vulnerado el derecho a la integridad personal.</w:t>
      </w:r>
    </w:p>
    <w:p w14:paraId="35675055" w14:textId="77777777" w:rsidR="009D7677" w:rsidRDefault="009D7677" w:rsidP="009D7677">
      <w:pPr>
        <w:pStyle w:val="TextoNormal"/>
      </w:pPr>
    </w:p>
    <w:p w14:paraId="4BE99006" w14:textId="77777777" w:rsidR="009D7677" w:rsidRDefault="009D7677" w:rsidP="009D7677">
      <w:pPr>
        <w:pStyle w:val="TextoNormal"/>
      </w:pPr>
      <w:r>
        <w:t>En la misma sentencia se cita la STC 154/2002, de 18 de julio, FJ 10, en la que ya precisamos que: (i) el reconocimiento excepcional de la capacidad del menor respecto de determinados actos jurídicos, como son los que afectan a su integridad física, no es de suyo suficiente para, por vía de equiparación reconocer en todo caso eficacia jurídica a los actos —o decisiones— del menor; (ii) la exclusión de la representación legal en tales casos debe entenderse siempre sin perjuicio del deber de los progenitores de velar y cuidar del menor y salvaguardar su interés superior, obligaciones que no desaparecen por el hecho de que se reconozca a la persona menor cierto grado de autodeterminación; y (iii) la validez y eficacia de las decisiones adoptadas por una persona menor de edad en ejercicio de su derecho a la integridad física habrán de determinarse teniendo siempre en cuenta la prevalencia de su interés superior, que ha de ser siempre tutelado por los padres y, en su caso, por los órganos judiciales, poniendo a dicho interés en relación con los efectos previsibles de tales decisiones y su eventual permanencia o irreparabilidad.</w:t>
      </w:r>
    </w:p>
    <w:p w14:paraId="7607416A" w14:textId="77777777" w:rsidR="009D7677" w:rsidRDefault="009D7677" w:rsidP="009D7677">
      <w:pPr>
        <w:pStyle w:val="TextoNormal"/>
      </w:pPr>
    </w:p>
    <w:p w14:paraId="47C71F3E" w14:textId="77777777" w:rsidR="009D7677" w:rsidRDefault="009D7677" w:rsidP="009D7677">
      <w:pPr>
        <w:pStyle w:val="TextoNormal"/>
      </w:pPr>
      <w:r>
        <w:t>En definitiva, la capacidad general de autodeterminación de las personas que todavía no hayan alcanzado la mayoría de edad en relación con las actuaciones médicas que les afectan encuentra su límite en la protección de su interés superior, que se impone como obligación a los progenitores, en cuanto titulares de la patria potestad o autoridad familiar y a todos los poderes públicos, incluida la autoridad judicial. A todos ellos corresponde garan</w:t>
      </w:r>
      <w:r>
        <w:lastRenderedPageBreak/>
        <w:t>tizar que la decisión final relativa a la actuación médica en cuestión no trae consigo una quiebra relevante, persistente y/o irreparable de dicho interés superior.</w:t>
      </w:r>
    </w:p>
    <w:p w14:paraId="3961F056" w14:textId="77777777" w:rsidR="009D7677" w:rsidRDefault="009D7677" w:rsidP="009D7677">
      <w:pPr>
        <w:pStyle w:val="TextoNormal"/>
      </w:pPr>
    </w:p>
    <w:p w14:paraId="0BB48AFF" w14:textId="14DDFF7A" w:rsidR="009D7677" w:rsidRDefault="009D7677" w:rsidP="009D7677">
      <w:pPr>
        <w:pStyle w:val="TextoNormal"/>
      </w:pPr>
      <w:r>
        <w:t>En atención a lo expuesto, en este caso, como también se concluyó en la STC 148/2023, FJ 5, el Tribunal rechaza que se haya vulnerado el art. 15 CE al constatarse que (i) se cumple el presupuesto básico que el art. 9.3 c) de la Ley 41/2002 establece para que pueda acudirse al consentimiento por representación —otorgado por los progenitores de común acuerdo o por la autoridad judicial en caso de desacuerdo— porque la menor, de trece años de edad en el momento de la exploración judicial, manifestó su voluntad expresa de vacunarse y los padres contaban con la información adecuada para la prestación del consentimiento desde un momento anterior incluso a la iniciación del procedimiento de jurisdicción voluntaria, por lo que no cabe apreciar la ausencia de consentimiento informado; y (ii) la motivación de las resoluciones judiciales tuvo como fundamento esencial la protección del interés superior de la menor en relación con la protección de su salud, teniendo en cuenta la recomendación de las autoridades sanitarias, que se mostraban a favor de la vacunación de menores haciendo una ponderación de riesgos y beneficios de la vacuna que el órgano judicial no estimó desvirtuada por los informes aportados por el recurrente.</w:t>
      </w:r>
    </w:p>
    <w:p w14:paraId="1AFEDE97" w14:textId="77777777" w:rsidR="009D7677" w:rsidRDefault="009D7677" w:rsidP="009D7677">
      <w:pPr>
        <w:pStyle w:val="TextoNormal"/>
      </w:pPr>
    </w:p>
    <w:p w14:paraId="03E6129F" w14:textId="77777777" w:rsidR="009D7677" w:rsidRDefault="009D7677" w:rsidP="009D7677">
      <w:pPr>
        <w:pStyle w:val="TextoNormalCentrado"/>
        <w:keepNext/>
      </w:pPr>
      <w:r>
        <w:t>FALLO</w:t>
      </w:r>
    </w:p>
    <w:p w14:paraId="340A594F" w14:textId="0C11047E" w:rsidR="009D7677" w:rsidRDefault="009D7677" w:rsidP="009D7677">
      <w:pPr>
        <w:pStyle w:val="TextoNormalCentrado"/>
        <w:keepNext/>
      </w:pPr>
    </w:p>
    <w:p w14:paraId="6163C512" w14:textId="4B8C308F" w:rsidR="009D7677" w:rsidRDefault="009D7677" w:rsidP="009D7677">
      <w:pPr>
        <w:pStyle w:val="TextoNormal"/>
      </w:pPr>
      <w:r>
        <w:t>En atención a todo lo expuesto, el Tribunal Constitucional, por la autoridad que le confiere la Constitución de la Nación española, ha decidido desestimar el recurso de amparo interpuesto por don M.B.G.</w:t>
      </w:r>
    </w:p>
    <w:p w14:paraId="2F511F0C" w14:textId="77777777" w:rsidR="009D7677" w:rsidRDefault="009D7677" w:rsidP="009D7677">
      <w:pPr>
        <w:pStyle w:val="TextoNormal"/>
      </w:pPr>
    </w:p>
    <w:p w14:paraId="0885DE43" w14:textId="77777777" w:rsidR="009D7677" w:rsidRDefault="009D7677" w:rsidP="009D7677">
      <w:pPr>
        <w:pStyle w:val="TextoNormal"/>
      </w:pPr>
      <w:r>
        <w:t>Publíquese esta sentencia en el “Boletín Oficial del Estado”.</w:t>
      </w:r>
    </w:p>
    <w:p w14:paraId="7C91E2AB" w14:textId="77777777" w:rsidR="009D7677" w:rsidRDefault="009D7677" w:rsidP="009D7677">
      <w:pPr>
        <w:pStyle w:val="TextoNormal"/>
      </w:pPr>
      <w:r>
        <w:t>Dada en Madrid, a quince de enero de dos mil veinticuatro.</w:t>
      </w:r>
    </w:p>
    <w:p w14:paraId="54EF6C58" w14:textId="001C4656" w:rsidR="009D7677" w:rsidRDefault="009D7677">
      <w:pPr>
        <w:spacing w:after="160" w:line="259" w:lineRule="auto"/>
        <w:rPr>
          <w:rFonts w:ascii="Times New Roman" w:eastAsia="Times New Roman" w:hAnsi="Times New Roman" w:cs="Times New Roman"/>
          <w:sz w:val="24"/>
          <w:szCs w:val="24"/>
          <w:lang w:eastAsia="es-ES"/>
        </w:rPr>
      </w:pPr>
      <w:r>
        <w:br w:type="page"/>
      </w:r>
    </w:p>
    <w:p w14:paraId="41F79073" w14:textId="77777777" w:rsidR="009D7677" w:rsidRDefault="009D7677" w:rsidP="009D7677">
      <w:pPr>
        <w:pStyle w:val="TtuloResolucin"/>
      </w:pPr>
      <w:bookmarkStart w:id="8" w:name="SENTENCIA_2024_6"/>
      <w:r>
        <w:lastRenderedPageBreak/>
        <w:t>SENTENCIA 6/2024, de 15 de enero de 2024</w:t>
      </w:r>
    </w:p>
    <w:bookmarkEnd w:id="8"/>
    <w:p w14:paraId="2DA859F9" w14:textId="77777777" w:rsidR="009D7677" w:rsidRDefault="009D7677" w:rsidP="009D7677">
      <w:pPr>
        <w:pStyle w:val="TtuloResolucin"/>
      </w:pPr>
      <w:r>
        <w:t>Sala Primera</w:t>
      </w:r>
    </w:p>
    <w:p w14:paraId="7DBC2E1C" w14:textId="77777777" w:rsidR="009D7677" w:rsidRDefault="009D7677" w:rsidP="009D7677">
      <w:pPr>
        <w:pStyle w:val="TtuloBOE"/>
      </w:pPr>
      <w:r>
        <w:t>(BOE núm. 45, de 20 de febrero de 2024)</w:t>
      </w:r>
    </w:p>
    <w:p w14:paraId="7FA82C13" w14:textId="77777777" w:rsidR="009D7677" w:rsidRDefault="009D7677" w:rsidP="009D7677">
      <w:pPr>
        <w:pStyle w:val="TextoNormalCentrado"/>
      </w:pPr>
      <w:r>
        <w:t>ECLI:ES:TC:2024:6</w:t>
      </w:r>
    </w:p>
    <w:p w14:paraId="78680694" w14:textId="49D15B4B" w:rsidR="009D7677" w:rsidRDefault="009D7677" w:rsidP="009D7677">
      <w:pPr>
        <w:pStyle w:val="TextoNormalCentrado"/>
      </w:pPr>
    </w:p>
    <w:p w14:paraId="1AA8ABB2" w14:textId="77777777" w:rsidR="009D7677" w:rsidRDefault="009D7677" w:rsidP="009D7677">
      <w:pPr>
        <w:pStyle w:val="SntesisDescriptiva"/>
      </w:pPr>
      <w:r>
        <w:t>Recurso de amparo 6334-2022. Promovido por don F.J.G.G., en relación con las resoluciones de la Audiencia Provincial de Navarra y un juzgado de primera instancia de Pamplona que acordaron la administración de la vacuna frente a la covid-19.</w:t>
      </w:r>
    </w:p>
    <w:p w14:paraId="4C8141D4" w14:textId="15C75230" w:rsidR="009D7677" w:rsidRDefault="009D7677" w:rsidP="009D7677">
      <w:pPr>
        <w:pStyle w:val="SntesisDescriptiva"/>
      </w:pPr>
    </w:p>
    <w:p w14:paraId="7F7FF674" w14:textId="77777777" w:rsidR="009D7677" w:rsidRDefault="009D7677" w:rsidP="009D7677">
      <w:pPr>
        <w:pStyle w:val="SntesisAnaltica"/>
      </w:pPr>
      <w:r>
        <w:t>Supuesta vulneración del derecho a la integridad física: STC 148/2023 [resoluciones judiciales que realizaron una ponderación adecuada de los intereses de una persona menor de edad (STC 38/2023)].</w:t>
      </w:r>
    </w:p>
    <w:p w14:paraId="67A714DE" w14:textId="0FD87EAA" w:rsidR="009D7677" w:rsidRDefault="009D7677" w:rsidP="009D7677">
      <w:pPr>
        <w:pStyle w:val="SntesisAnaltica"/>
      </w:pPr>
    </w:p>
    <w:p w14:paraId="63747D4F" w14:textId="7987F751" w:rsidR="009D7677" w:rsidRDefault="009D7677" w:rsidP="009D7677">
      <w:pPr>
        <w:pStyle w:val="Extracto"/>
      </w:pPr>
      <w:r>
        <w:t>1.</w:t>
      </w:r>
      <w:r>
        <w:tab/>
        <w:t xml:space="preserve">La capacidad general de autodeterminación de las personas menores de edad, en relación con las actuaciones médicas que les afectan, encuentra su límite en la protección de su interés superior, que se impone como obligación a los progenitores, en cuanto titulares de la patria potestad o autoridad familiar, y a todos los poderes públicos, incluida la autoridad judicial (STC 148/2023) </w:t>
      </w:r>
    </w:p>
    <w:p w14:paraId="41AEF99A" w14:textId="77777777" w:rsidR="009D7677" w:rsidRDefault="009D7677" w:rsidP="009D7677">
      <w:pPr>
        <w:pStyle w:val="Extracto"/>
      </w:pPr>
    </w:p>
    <w:p w14:paraId="52F5D231" w14:textId="3F0F05C4" w:rsidR="009D7677" w:rsidRDefault="009D7677" w:rsidP="009D7677">
      <w:pPr>
        <w:pStyle w:val="Extracto"/>
      </w:pPr>
      <w:r>
        <w:t>2.</w:t>
      </w:r>
      <w:r>
        <w:tab/>
        <w:t xml:space="preserve">La decisión de los representantes legales relativa al otorgamiento o no del consentimiento informado por representación deberá atender a la protección del derecho a la vida, supervivencia y desarrollo del menor y la satisfacción de sus necesidades básicas, tanto materiales, físicas y educativas como emocionales y afectivas [art. 2.2, letra a) de la Ley Orgánica 1/1996]; y es preciso buscar el mayor beneficio para la vida o salud del paciente menor de edad (STC 148/2023) </w:t>
      </w:r>
    </w:p>
    <w:p w14:paraId="1217DC84" w14:textId="77777777" w:rsidR="009D7677" w:rsidRDefault="009D7677" w:rsidP="009D7677">
      <w:pPr>
        <w:pStyle w:val="Extracto"/>
      </w:pPr>
    </w:p>
    <w:p w14:paraId="4059215B" w14:textId="77777777" w:rsidR="009D7677" w:rsidRDefault="009D7677" w:rsidP="009D7677">
      <w:pPr>
        <w:pStyle w:val="Extracto"/>
      </w:pPr>
    </w:p>
    <w:p w14:paraId="61DE9DCA" w14:textId="77777777" w:rsidR="009D7677" w:rsidRDefault="009D7677" w:rsidP="009D7677">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528E953F" w14:textId="02D28901" w:rsidR="009D7677" w:rsidRDefault="009D7677" w:rsidP="009D7677">
      <w:pPr>
        <w:pStyle w:val="TextoNormal"/>
      </w:pPr>
    </w:p>
    <w:p w14:paraId="2D120D00" w14:textId="77777777" w:rsidR="009D7677" w:rsidRDefault="009D7677" w:rsidP="009D7677">
      <w:pPr>
        <w:pStyle w:val="TextoNormalCentrado"/>
        <w:keepNext/>
      </w:pPr>
      <w:r>
        <w:t>EN NOMBRE DEL REY</w:t>
      </w:r>
    </w:p>
    <w:p w14:paraId="6901B27E" w14:textId="01296B9D" w:rsidR="009D7677" w:rsidRDefault="009D7677" w:rsidP="009D7677">
      <w:pPr>
        <w:pStyle w:val="TextoNormalCentrado"/>
        <w:keepNext/>
      </w:pPr>
    </w:p>
    <w:p w14:paraId="3DAE437E" w14:textId="77777777" w:rsidR="009D7677" w:rsidRDefault="009D7677" w:rsidP="009D7677">
      <w:pPr>
        <w:pStyle w:val="TextoNormalCentrado"/>
        <w:keepNext/>
      </w:pPr>
    </w:p>
    <w:p w14:paraId="332612F8" w14:textId="77777777" w:rsidR="009D7677" w:rsidRDefault="009D7677" w:rsidP="009D7677">
      <w:pPr>
        <w:pStyle w:val="TextoNormal"/>
      </w:pPr>
      <w:r>
        <w:t>la siguiente</w:t>
      </w:r>
    </w:p>
    <w:p w14:paraId="526BF454" w14:textId="12892A3D" w:rsidR="009D7677" w:rsidRDefault="009D7677" w:rsidP="009D7677">
      <w:pPr>
        <w:pStyle w:val="TextoNormal"/>
      </w:pPr>
    </w:p>
    <w:p w14:paraId="0AD82B6C" w14:textId="77777777" w:rsidR="009D7677" w:rsidRDefault="009D7677" w:rsidP="009D7677">
      <w:pPr>
        <w:pStyle w:val="TextoNormalCentrado"/>
        <w:keepNext/>
      </w:pPr>
      <w:r>
        <w:t>SENTENCIA</w:t>
      </w:r>
    </w:p>
    <w:p w14:paraId="36B4F1EF" w14:textId="56B2223C" w:rsidR="009D7677" w:rsidRDefault="009D7677" w:rsidP="009D7677">
      <w:pPr>
        <w:pStyle w:val="TextoNormalCentrado"/>
        <w:keepNext/>
      </w:pPr>
    </w:p>
    <w:p w14:paraId="4C5D2A4A" w14:textId="77777777" w:rsidR="009D7677" w:rsidRDefault="009D7677" w:rsidP="009D7677">
      <w:pPr>
        <w:pStyle w:val="TextoNormal"/>
      </w:pPr>
      <w:r>
        <w:t>En el recurso de amparo núm. 6334-2022, interpuesto por la procuradora de los tribunales doña Almudena Gil Segura, en nombre y representación de don F.J.G.G., bajo la dirección técnica del letrado don Carlos Modino Hok, contra el auto núm. 45/2022, de 11 de marzo, dictado por el Juzgado de Primera Instancia núm. 10 de Pamplona, en el procedimiento de intervención judicial por desacuerdo en el ejercicio de la patria potestad núm. 876-2021, y contra el auto núm. 120/2022, de 12 de julio, dictado por la Sección Tercera de la Audiencia Provincial de Navarra, en el rollo de apelación núm. 674-2022. Ha inter</w:t>
      </w:r>
      <w:r>
        <w:lastRenderedPageBreak/>
        <w:t>venido el Ministerio Fiscal. Ha sido ponente la magistrada doña Concepción Espejel Jorquera.</w:t>
      </w:r>
    </w:p>
    <w:p w14:paraId="1E879639" w14:textId="7CFB3640" w:rsidR="009D7677" w:rsidRDefault="009D7677" w:rsidP="009D7677">
      <w:pPr>
        <w:pStyle w:val="TextoNormal"/>
      </w:pPr>
    </w:p>
    <w:p w14:paraId="7F582F72" w14:textId="77777777" w:rsidR="009D7677" w:rsidRDefault="009D7677" w:rsidP="009D7677">
      <w:pPr>
        <w:pStyle w:val="TextoNormalNegritaCentrado"/>
        <w:keepNext/>
      </w:pPr>
      <w:r>
        <w:t>I. Antecedentes</w:t>
      </w:r>
    </w:p>
    <w:p w14:paraId="6C69E4D3" w14:textId="357C5F13" w:rsidR="009D7677" w:rsidRDefault="009D7677" w:rsidP="009D7677">
      <w:pPr>
        <w:pStyle w:val="TextoNormalNegritaCentrado"/>
        <w:keepNext/>
      </w:pPr>
    </w:p>
    <w:p w14:paraId="2B80A979" w14:textId="488F99C4" w:rsidR="009D7677" w:rsidRDefault="009D7677" w:rsidP="009D7677">
      <w:pPr>
        <w:pStyle w:val="TextoNormal"/>
      </w:pPr>
      <w:r w:rsidRPr="009D7677">
        <w:rPr>
          <w:rStyle w:val="NumeroAFNegritaCaracter"/>
        </w:rPr>
        <w:t>1</w:t>
      </w:r>
      <w:r>
        <w:t>. Mediante escrito que tuvo entrada en el registro general de este tribunal el día 26 de septiembre de 2022, la procuradora de los tribunales doña Almudena Gil Segura, en nombre y representación de don F.J.G.G., interpuso recurso de amparo contra las resoluciones judiciales que se citan en el encabezamiento.</w:t>
      </w:r>
    </w:p>
    <w:p w14:paraId="62FF541E" w14:textId="77777777" w:rsidR="009D7677" w:rsidRDefault="009D7677" w:rsidP="009D7677">
      <w:pPr>
        <w:pStyle w:val="TextoNormal"/>
      </w:pPr>
    </w:p>
    <w:p w14:paraId="7B2D6370" w14:textId="77777777" w:rsidR="009D7677" w:rsidRDefault="009D7677" w:rsidP="009D7677">
      <w:pPr>
        <w:pStyle w:val="TextoNormal"/>
      </w:pPr>
      <w:r w:rsidRPr="009D7677">
        <w:rPr>
          <w:rStyle w:val="NumeroAFNegritaCaracter"/>
        </w:rPr>
        <w:t>2</w:t>
      </w:r>
      <w:r>
        <w:t>. Los hechos de los que trae causa la demanda, relevantes para la resolución del recurso, son, en síntesis, los siguientes:</w:t>
      </w:r>
    </w:p>
    <w:p w14:paraId="74341920" w14:textId="77777777" w:rsidR="009D7677" w:rsidRDefault="009D7677" w:rsidP="009D7677">
      <w:pPr>
        <w:pStyle w:val="TextoNormal"/>
      </w:pPr>
    </w:p>
    <w:p w14:paraId="17837CB6" w14:textId="77777777" w:rsidR="009D7677" w:rsidRDefault="009D7677" w:rsidP="009D7677">
      <w:pPr>
        <w:pStyle w:val="TextoNormal"/>
      </w:pPr>
      <w:r>
        <w:t>a) Al amparo de lo previsto en los artículos 85 y siguientes de la Ley 15/2015, de 2 de julio, de la jurisdicción voluntaria, en relación con el artículo 156 del Código civil (CC), la procuradora de los tribunales doña Raquel Martínez de Muniaín Labiano, en representación de doña I.G.L., promovió el 28 de noviembre de 2021 expediente de intervención judicial por discrepancias en el ejercicio de la patria potestad conjunta sobre sus hijas menores de edad, doña N.G.G., nacida el 20 de febrero de 2005, y doña O.G.G., nacida el 16 de octubre de 2008, ante la oposición del padre, ahora demandante de amparo, a prestar su autorización para vacunar a las menores “contra la covid-19”. En concreto, solicitó al juzgado: (i) la atribución en exclusiva de la facultad de decisión con relación a la vacunación contra la covid-19 de su hija doña O.G.G., eximiéndola de la autorización del padre; (ii) en cuanto a la menor doña N.G.G., que se autorice a la madre a tomar la decisión oportuna si en algún momento hubiera una “actuación de grave riesgo”; y (iii) se la autorice a realizar a sus hijas las pruebas PCR o de antígenos que considere necesarias.</w:t>
      </w:r>
    </w:p>
    <w:p w14:paraId="74C365C0" w14:textId="77777777" w:rsidR="009D7677" w:rsidRDefault="009D7677" w:rsidP="009D7677">
      <w:pPr>
        <w:pStyle w:val="TextoNormal"/>
      </w:pPr>
    </w:p>
    <w:p w14:paraId="104AD379" w14:textId="77777777" w:rsidR="009D7677" w:rsidRDefault="009D7677" w:rsidP="009D7677">
      <w:pPr>
        <w:pStyle w:val="TextoNormal"/>
      </w:pPr>
      <w:r>
        <w:t>b) La solicitud dio lugar a la incoación en el Juzgado de Primera Instancia núm. 10 de Pamplona del expediente de jurisdicción voluntaria por desacuerdo en el ejercicio de la patria potestad núm. 876-2021. El ahora demandante de amparo se opuso a la pretensión de la solicitante y mediante el auto núm. 45/2022, de 11 de marzo, el juzgado estimó en parte la petición formulada y adoptó las siguientes medidas:</w:t>
      </w:r>
    </w:p>
    <w:p w14:paraId="006F693D" w14:textId="77777777" w:rsidR="009D7677" w:rsidRDefault="009D7677" w:rsidP="009D7677">
      <w:pPr>
        <w:pStyle w:val="TextoNormal"/>
      </w:pPr>
    </w:p>
    <w:p w14:paraId="7A8DAAB9" w14:textId="77777777" w:rsidR="009D7677" w:rsidRDefault="009D7677" w:rsidP="009D7677">
      <w:pPr>
        <w:pStyle w:val="TextoNormal"/>
      </w:pPr>
      <w:r>
        <w:t>“- Atribuir a la madre la facultad de decidir sobre la procedencia de la vacunación contra la covid 19 de la menor [O.G.G.] siguiendo las recomendaciones médicas sobre edad, tipo de vacuna, dosis y frecuencia que en cada momento se vayan adoptando.</w:t>
      </w:r>
    </w:p>
    <w:p w14:paraId="2984C39E" w14:textId="77777777" w:rsidR="009D7677" w:rsidRDefault="009D7677" w:rsidP="009D7677">
      <w:pPr>
        <w:pStyle w:val="TextoNormal"/>
      </w:pPr>
    </w:p>
    <w:p w14:paraId="1D6BDF70" w14:textId="77777777" w:rsidR="009D7677" w:rsidRDefault="009D7677" w:rsidP="009D7677">
      <w:pPr>
        <w:pStyle w:val="TextoNormal"/>
      </w:pPr>
      <w:r>
        <w:t>- Atribuir a la madre la facultad de decidir si [O.G.G.] ha de realizarse test diagnósticos de la enfermedad, bien antígenos o bien PCR para la detección de la enfermedad de covid 19”.</w:t>
      </w:r>
    </w:p>
    <w:p w14:paraId="7643A05F" w14:textId="77777777" w:rsidR="009D7677" w:rsidRDefault="009D7677" w:rsidP="009D7677">
      <w:pPr>
        <w:pStyle w:val="TextoNormal"/>
      </w:pPr>
    </w:p>
    <w:p w14:paraId="25E5F8F9" w14:textId="77777777" w:rsidR="009D7677" w:rsidRDefault="009D7677" w:rsidP="009D7677">
      <w:pPr>
        <w:pStyle w:val="TextoNormal"/>
      </w:pPr>
      <w:r>
        <w:t>Las demás peticiones de la solicitante fueron desestimadas.</w:t>
      </w:r>
    </w:p>
    <w:p w14:paraId="7CD9B5F2" w14:textId="77777777" w:rsidR="009D7677" w:rsidRDefault="009D7677" w:rsidP="009D7677">
      <w:pPr>
        <w:pStyle w:val="TextoNormal"/>
      </w:pPr>
    </w:p>
    <w:p w14:paraId="698C51EF" w14:textId="77777777" w:rsidR="009D7677" w:rsidRDefault="009D7677" w:rsidP="009D7677">
      <w:pPr>
        <w:pStyle w:val="TextoNormal"/>
      </w:pPr>
      <w:r>
        <w:t xml:space="preserve">Expuesta de forma sintética, la decisión judicial centra la discrepancia en la conveniencia de proceder a la vacunación contra la covid-19 de la menor de las hijas, doña O.G.G., ya que la mayor, doña N.G.G., tenía diecisiete años y por tanto podía decidir por sí misma si quería o no vacunarse. No obstante, respecto a esta última, también se interesó que, en </w:t>
      </w:r>
      <w:r>
        <w:lastRenderedPageBreak/>
        <w:t>caso de que se produjera una situación de grave riesgo derivada de la infección por covid-19, se otorgara a la madre la facultad de decidir. Asimismo, esta última solicitó que se le concediera la facultad de realizar pruebas diagnósticas (PCR o test de antígenos) a ambas menores para la detección de dicha enfermedad, aun sin tener síntomas.</w:t>
      </w:r>
    </w:p>
    <w:p w14:paraId="1FCB6F99" w14:textId="77777777" w:rsidR="009D7677" w:rsidRDefault="009D7677" w:rsidP="009D7677">
      <w:pPr>
        <w:pStyle w:val="TextoNormal"/>
      </w:pPr>
    </w:p>
    <w:p w14:paraId="4CC1BAF1" w14:textId="77777777" w:rsidR="009D7677" w:rsidRDefault="009D7677" w:rsidP="009D7677">
      <w:pPr>
        <w:pStyle w:val="TextoNormal"/>
      </w:pPr>
      <w:r>
        <w:t>Por su parte, don F.J.G.G., pidió que se le concediera la facultad de decidir sobre la vacunación y que no se autorizase a la madre la realización a sus hijas de pruebas de detección, salvo que presentaran síntomas compatibles con la enfermedad y previa comunicación al padre.</w:t>
      </w:r>
    </w:p>
    <w:p w14:paraId="506FB956" w14:textId="77777777" w:rsidR="009D7677" w:rsidRDefault="009D7677" w:rsidP="009D7677">
      <w:pPr>
        <w:pStyle w:val="TextoNormal"/>
      </w:pPr>
    </w:p>
    <w:p w14:paraId="007F7C43" w14:textId="77777777" w:rsidR="009D7677" w:rsidRDefault="009D7677" w:rsidP="009D7677">
      <w:pPr>
        <w:pStyle w:val="TextoNormal"/>
      </w:pPr>
      <w:r>
        <w:t>La menor de las hijas, doña O.G.G., que en el momento de dictarse la resolución judicial tenía trece años de edad, fue oída en el proceso judicial, lo mismo que doña N.G.G.</w:t>
      </w:r>
    </w:p>
    <w:p w14:paraId="58E7AB2F" w14:textId="77777777" w:rsidR="009D7677" w:rsidRDefault="009D7677" w:rsidP="009D7677">
      <w:pPr>
        <w:pStyle w:val="TextoNormal"/>
      </w:pPr>
    </w:p>
    <w:p w14:paraId="602DEC8A" w14:textId="77777777" w:rsidR="009D7677" w:rsidRDefault="009D7677" w:rsidP="009D7677">
      <w:pPr>
        <w:pStyle w:val="TextoNormal"/>
      </w:pPr>
      <w:r>
        <w:t>En cuanto al régimen jurídico aplicable, el auto cita las leyes 64 a 70 de la Ley Foral 21/2019, de 4 de abril, de modificación y actualización de la Compilación del Derecho Civil Foral de Navarra o Fuero Nuevo, que en supuestos de desacuerdo sobre el ejercicio de la responsabilidad parental, prevé que el juez pueda atribuir el ejercicio individual de la facultad de decidir a petición de uno de los progenitores. Se añade que la responsabilidad parental tiene como objeto esencial la protección de los menores de edad, cuya finalidad principal es procurar el pleno desarrollo de los menores conforme a su personalidad e interés superior y con respeto a sus derechos e integridad; el auto hace referencia en este punto a la Ley Orgánica 1/1996, de 15 de enero, de protección jurídica del menor, de modificación parcial del Código civil y de la Ley de enjuiciamiento civil, que declara de aplicación preferente el interés superior del menor en caso de imposibilidad de armonización con otros intereses legítimos, lo que exige un juicio de ponderación entre los intereses en juego. En cuanto al procedimiento a seguir, el Fuero Nuevo se remite al de jurisdicción voluntaria —Ley 15/2015, de 2 de julio, de la jurisdicción voluntaria— para la resolución de controversias sobre el ejercicio de la responsabilidad parental.</w:t>
      </w:r>
    </w:p>
    <w:p w14:paraId="729FD780" w14:textId="77777777" w:rsidR="009D7677" w:rsidRDefault="009D7677" w:rsidP="009D7677">
      <w:pPr>
        <w:pStyle w:val="TextoNormal"/>
      </w:pPr>
    </w:p>
    <w:p w14:paraId="215919BC" w14:textId="77777777" w:rsidR="009D7677" w:rsidRDefault="009D7677" w:rsidP="009D7677">
      <w:pPr>
        <w:pStyle w:val="TextoNormal"/>
      </w:pPr>
      <w:r>
        <w:t>Tras hacer referencia a las alegaciones de las partes, a las pruebas practicadas (documental aportada, informes médicos contradictorios, interrogatorio de las partes y exploración de las menores) y a su valoración, el auto refiere que hay que encontrar el fundamento médico más extenso, razonado y defendido por la generalidad de los expertos en la materia; destaca que las vacunas contra la covid-19 han sido aprobadas por la Agencia Europea del Medicamento y la Agencia Española del Medicamento y Productos Sanitarios, y que la Asociación Española de Pediatría, a través de su Comité Asesor de Vacunas, es clara y rotunda al afirmar que la vacunación en niños ha de defenderse aun cuando esté condicionada por algunos factores que deben valorarse. Por otra parte, distintos organismos (la citada Asociación Española de Pediatría, la Asociación Española de Vacunología, la Sociedad Española de Inmunología, la Sociedad Española de Microbiología y la Sociedad Española de Virología) han suscrito un comunicado que incide en la importancia de la vacunación contra la covid-19, a fin de lograr la disminución de los ingresos en hospitales y unidades de cuidados intensivos; destaca la importancia de conseguir la inmunidad colectiva y añade que para conseguirla mediante la vacunación voluntaria, es importante infundir confianza a la sociedad en forma de conocimientos científicos racionales y objetivos.</w:t>
      </w:r>
    </w:p>
    <w:p w14:paraId="2AFF59A4" w14:textId="77777777" w:rsidR="009D7677" w:rsidRDefault="009D7677" w:rsidP="009D7677">
      <w:pPr>
        <w:pStyle w:val="TextoNormal"/>
      </w:pPr>
    </w:p>
    <w:p w14:paraId="03CB57DF" w14:textId="77777777" w:rsidR="009D7677" w:rsidRDefault="009D7677" w:rsidP="009D7677">
      <w:pPr>
        <w:pStyle w:val="TextoNormal"/>
      </w:pPr>
      <w:r>
        <w:lastRenderedPageBreak/>
        <w:t>Expone el auto que en el citado comunicado se afirma que las vacunas han demostrado ser la única opción disponible hasta la actualidad para evitar el padecimiento de la enfermedad, a través del desarrollo por parte de nuestro organismo de protección directa frente al patógeno que la causa; que la vacunación masiva es la única forma aceptable de conseguir la inmunidad de grupo y que estas vacunas muestran hasta ahora un elevado nivel de eficacia y seguridad. Toda esta argumentación médica, continúa el auto, resulta decisiva por ser la más realista y protectora para toda la población y, por tanto, también para la menor doña O.G.G. El tiempo transcurrido desde el inicio de la vacunación permite constatar los avances realizados y ha posibilitado concretar qué vacunas son más eficaces para cada edad, así como saber que el beneficio de la vacunación resulta claramente mayor que el riesgo derivado de su administración.</w:t>
      </w:r>
    </w:p>
    <w:p w14:paraId="57DD4F12" w14:textId="77777777" w:rsidR="009D7677" w:rsidRDefault="009D7677" w:rsidP="009D7677">
      <w:pPr>
        <w:pStyle w:val="TextoNormal"/>
      </w:pPr>
    </w:p>
    <w:p w14:paraId="60EE233A" w14:textId="77777777" w:rsidR="009D7677" w:rsidRDefault="009D7677" w:rsidP="009D7677">
      <w:pPr>
        <w:pStyle w:val="TextoNormal"/>
      </w:pPr>
      <w:r>
        <w:t>En relación con la menor doña O.G.G., se aduce en el auto que no hay en ella problema de salud alguno vinculado a patologías que hagan menos recomendable la vacuna, además de aconsejar la vacunación el pediatra que la trata; por su parte, la menor no quiso decidir y manifestó estar abierta a lo que se decida. En consideración a lo expuesto, el auto concluye que la postura de la madre resulta más protectora de los intereses de esta menor y, en consecuencia, se le atribuye la facultad de decidir la procedencia de su vacunación contra la covid-19, con seguimiento de las recomendaciones médicas sobre edad, tipo de vacuna, dosis y frecuencia que en cada momento se vayan adoptando. Por las mismas razones, se otorga a la madre la facultad de decidir si a esta menor han de realizarse test diagnósticos de la enfermedad —antígenos o PCR—, ya que son precisos para su detección, por cuanto la enfermedad puede cursar sin que existan síntomas, más aún en personas jóvenes. En todo caso, son pruebas no invasivas y fáciles de realizar, por lo que el riesgo de estos test es infinitamente menor del que se derivaría de una enfermedad no diagnosticada a tiempo.</w:t>
      </w:r>
    </w:p>
    <w:p w14:paraId="2C5AD8CD" w14:textId="77777777" w:rsidR="009D7677" w:rsidRDefault="009D7677" w:rsidP="009D7677">
      <w:pPr>
        <w:pStyle w:val="TextoNormal"/>
      </w:pPr>
    </w:p>
    <w:p w14:paraId="26E39A1B" w14:textId="77777777" w:rsidR="009D7677" w:rsidRDefault="009D7677" w:rsidP="009D7677">
      <w:pPr>
        <w:pStyle w:val="TextoNormal"/>
      </w:pPr>
      <w:r>
        <w:t>En cuanto a la otra menor, doña N.G.G., tenía diecisiete años a fecha del auto y dejó clara su postura en la audiencia del proceso judicial. El auto parte de que la vacunación no es obligatoria en España y que la Ley 41/2002 de 14 de noviembre, básica reguladora de la autonomía del paciente y de derechos y obligaciones en materia de información y documentación clínica, atribuye a los menores mayores de dieciséis años la facultad autónoma de decidir sin prestación de consentimiento por representación (art. 9). La menor, por otra parte, no se halla ante una actuación que implique grave riesgo para su vida o salud que requiera el consentimiento prestado por su representante legal, por lo que es ella quien debe decidir. Esta capacidad de decisión se extiende tanto a la vacunación como a la realización de pruebas diagnósticas.</w:t>
      </w:r>
    </w:p>
    <w:p w14:paraId="64D5E4B7" w14:textId="77777777" w:rsidR="009D7677" w:rsidRDefault="009D7677" w:rsidP="009D7677">
      <w:pPr>
        <w:pStyle w:val="TextoNormal"/>
      </w:pPr>
    </w:p>
    <w:p w14:paraId="46488F42" w14:textId="77777777" w:rsidR="009D7677" w:rsidRDefault="009D7677" w:rsidP="009D7677">
      <w:pPr>
        <w:pStyle w:val="TextoNormal"/>
      </w:pPr>
      <w:r>
        <w:t>Para concluir, se desestima la petición de la madre para que se le atribuya la facultad de decidir si la menor doña N.G.G. está en “grave riesgo por criterio facultativo”, dado que ha de ser en ese momento concreto, si es que llega, cuando se decida qué hacer tras valorar lo que la menor manifieste en ese momento.</w:t>
      </w:r>
    </w:p>
    <w:p w14:paraId="45D6DEC7" w14:textId="77777777" w:rsidR="009D7677" w:rsidRDefault="009D7677" w:rsidP="009D7677">
      <w:pPr>
        <w:pStyle w:val="TextoNormal"/>
      </w:pPr>
    </w:p>
    <w:p w14:paraId="04FBF587" w14:textId="77777777" w:rsidR="009D7677" w:rsidRDefault="009D7677" w:rsidP="009D7677">
      <w:pPr>
        <w:pStyle w:val="TextoNormal"/>
      </w:pPr>
      <w:r>
        <w:t xml:space="preserve">c) El padre de las menores interpuso recurso de apelación contra la anterior resolución, en el que alegó, en esencia, la vulneración de los derechos a la tutela judicial efectiva (art. 24.1 CE) y al juez imparcial (art. 24.2 CE), “por absoluta omisión de la valoración de la prueba documental aportada por esta parte”, así como la vulneración de la Ley 41/2002, de autonomía del paciente, y de la “Ley 1/2015 de garantía y uso racional del medicamento” (en referencia al Real Decreto Legislativo 1/2015, de 24 de julio, por el que se aprueba el </w:t>
      </w:r>
      <w:r>
        <w:lastRenderedPageBreak/>
        <w:t>texto refundido de la Ley de garantías y uso racional de los medicamentos y productos sanitarios). La impugnación dio lugar al rollo de apelación civil núm. 674-2022, de la Sección Tercera de la Audiencia Provincial de Navarra, que desestimó la apelación y confirmó la resolución impugnada mediante el auto núm. 120/2022, de 12 de julio.</w:t>
      </w:r>
    </w:p>
    <w:p w14:paraId="11EBD552" w14:textId="77777777" w:rsidR="009D7677" w:rsidRDefault="009D7677" w:rsidP="009D7677">
      <w:pPr>
        <w:pStyle w:val="TextoNormal"/>
      </w:pPr>
    </w:p>
    <w:p w14:paraId="7CBFF973" w14:textId="77777777" w:rsidR="009D7677" w:rsidRDefault="009D7677" w:rsidP="009D7677">
      <w:pPr>
        <w:pStyle w:val="TextoNormal"/>
      </w:pPr>
      <w:r>
        <w:t>En primer lugar, el auto rechaza que la resolución apelada no haya valorado la totalidad de la prueba, ni que haya dejado de ponderar los dos puntos de vista en conflicto y, menos aún, que la juzgadora de primera instancia haya impuesto su particular postura personal por mero “sesgo cognitivo” y por ideas predeterminadas. A juicio de la sala, esto es algo que no se sostiene de la lectura del auto y de la documentación unida al procedimiento, en el que se ponderan razonadamente las dos posturas enfrentadas y se satisfacen todas las exigencias y garantías legales y constitucionales para suministrar una adecuada tutela judicial efectiva a ambas partes.</w:t>
      </w:r>
    </w:p>
    <w:p w14:paraId="673756A7" w14:textId="77777777" w:rsidR="009D7677" w:rsidRDefault="009D7677" w:rsidP="009D7677">
      <w:pPr>
        <w:pStyle w:val="TextoNormal"/>
      </w:pPr>
    </w:p>
    <w:p w14:paraId="1DB764EC" w14:textId="77777777" w:rsidR="009D7677" w:rsidRDefault="009D7677" w:rsidP="009D7677">
      <w:pPr>
        <w:pStyle w:val="TextoNormal"/>
      </w:pPr>
      <w:r>
        <w:t xml:space="preserve">En segundo término, por lo que respecta a la discrepancia mostrada por el apelante con la valoración del comunicado suscrito por la Asociación Española de Pediatría, la Asociación Española de Vacunología, la Sociedad Española de Inmunología, la Sociedad Española de Microbiología y la Sociedad Española de Virología, debido a que no fue aportado al proceso, el tribunal de apelación declara que se trata de un documento de general difusión, de conocimiento jurisprudencial y que, por su contenido y autoría, es de utilidad y referencia para el caso, para concluir en este punto que la revisión del conjunto de pruebas practicadas no conduce al tribunal </w:t>
      </w:r>
      <w:r w:rsidRPr="009D7677">
        <w:rPr>
          <w:i/>
        </w:rPr>
        <w:t>ad quem</w:t>
      </w:r>
      <w:r>
        <w:t xml:space="preserve"> a una valoración distinta de la contenida en el auto apelado.</w:t>
      </w:r>
    </w:p>
    <w:p w14:paraId="73DFBA6A" w14:textId="77777777" w:rsidR="009D7677" w:rsidRDefault="009D7677" w:rsidP="009D7677">
      <w:pPr>
        <w:pStyle w:val="TextoNormal"/>
      </w:pPr>
    </w:p>
    <w:p w14:paraId="1CD5D26B" w14:textId="77777777" w:rsidR="009D7677" w:rsidRDefault="009D7677" w:rsidP="009D7677">
      <w:pPr>
        <w:pStyle w:val="TextoNormal"/>
      </w:pPr>
      <w:r>
        <w:t>Y en tercer lugar, por lo que respecta a la imputación al auto apelado de omisión de toda ponderación y consideración a la “obligación de consentimiento informado y a la necesidad de prescripción médica para la aplicación de este tratamiento que, añade [el apelante], no es una vacuna sino una terapia génica experimental”. La sala estima lo siguiente:</w:t>
      </w:r>
    </w:p>
    <w:p w14:paraId="67610A5D" w14:textId="77777777" w:rsidR="009D7677" w:rsidRDefault="009D7677" w:rsidP="009D7677">
      <w:pPr>
        <w:pStyle w:val="TextoNormal"/>
      </w:pPr>
    </w:p>
    <w:p w14:paraId="2AE90392" w14:textId="77777777" w:rsidR="009D7677" w:rsidRDefault="009D7677" w:rsidP="009D7677">
      <w:pPr>
        <w:pStyle w:val="TextoNormal"/>
      </w:pPr>
      <w:r>
        <w:t>“[E]l objeto y alcance de este conflicto se limita a atribuir la facultad de decidir en una controversia entre progenitores sobre el ejercicio de la patria potestad, resultando completamente ajeno a la labor judicial requerida la ponderación de esos requisitos y consideraciones.</w:t>
      </w:r>
    </w:p>
    <w:p w14:paraId="0F8A84D7" w14:textId="77777777" w:rsidR="009D7677" w:rsidRDefault="009D7677" w:rsidP="009D7677">
      <w:pPr>
        <w:pStyle w:val="TextoNormal"/>
      </w:pPr>
    </w:p>
    <w:p w14:paraId="2E77AAE5" w14:textId="77777777" w:rsidR="009D7677" w:rsidRDefault="009D7677" w:rsidP="009D7677">
      <w:pPr>
        <w:pStyle w:val="TextoNormal"/>
      </w:pPr>
      <w:r>
        <w:t>Resulta así irrelevante que formal o científicamente el tratamiento discutido se trate o no de una ‘vacuna’ en sentido propio, como es intrascendente también la valoración del régimen jurídico-administrativo de la vacunación en España. Por el contrario, se trata de dirimir un conflicto en el ejercicio de la patria potestad, en relación con la aplicación de un tratamiento autorizado y validado por las autoridades sanitarias con aval científico.</w:t>
      </w:r>
    </w:p>
    <w:p w14:paraId="240C5479" w14:textId="77777777" w:rsidR="009D7677" w:rsidRDefault="009D7677" w:rsidP="009D7677">
      <w:pPr>
        <w:pStyle w:val="TextoNormal"/>
      </w:pPr>
    </w:p>
    <w:p w14:paraId="057AD2B1" w14:textId="77777777" w:rsidR="009D7677" w:rsidRDefault="009D7677" w:rsidP="009D7677">
      <w:pPr>
        <w:pStyle w:val="TextoNormal"/>
      </w:pPr>
      <w:r>
        <w:t>Se plantean en este punto en el recurso de apelación cuestiones que, en su caso, atañen a los actos adoptados por la administración pública recomendando la pauta de esta vacunación (de hecho, el recurso cita normativa y jurisprudencia contencioso-administrativa), que obviamente escapan por completo al ámbito de decisión propio de este litigio. Para la decisión que aquí nos ocupa no es censurable que la juez de primera instancia no haya tomado en consideración la normativa administrativa de autonomía del paciente, porque dicha norma no es aplicable, ni directa ni indirectamente, a la decisión jurídico-civil que nos ocupa.</w:t>
      </w:r>
    </w:p>
    <w:p w14:paraId="73EEB43D" w14:textId="77777777" w:rsidR="009D7677" w:rsidRDefault="009D7677" w:rsidP="009D7677">
      <w:pPr>
        <w:pStyle w:val="TextoNormal"/>
      </w:pPr>
    </w:p>
    <w:p w14:paraId="455D911B" w14:textId="77777777" w:rsidR="009D7677" w:rsidRDefault="009D7677" w:rsidP="009D7677">
      <w:pPr>
        <w:pStyle w:val="TextoNormal"/>
      </w:pPr>
      <w:r>
        <w:t>[…]</w:t>
      </w:r>
    </w:p>
    <w:p w14:paraId="2C071943" w14:textId="77777777" w:rsidR="009D7677" w:rsidRDefault="009D7677" w:rsidP="009D7677">
      <w:pPr>
        <w:pStyle w:val="TextoNormal"/>
      </w:pPr>
    </w:p>
    <w:p w14:paraId="24927CF9" w14:textId="77777777" w:rsidR="009D7677" w:rsidRDefault="009D7677" w:rsidP="009D7677">
      <w:pPr>
        <w:pStyle w:val="TextoNormal"/>
      </w:pPr>
      <w:r>
        <w:t>El objeto de la resolución judicial apelada no es decidir si ha de vacunarse o no a la hija menor de edad contra la covid-19, sino que por el contrario la decisión judicial consiste, ante el desacuerdo entre los progenitores y al amparo de lo previsto en el art. 156 del CC, a quien de los dos se le atribuye la decisión sobre la vacunación”.</w:t>
      </w:r>
    </w:p>
    <w:p w14:paraId="4B6DFDB3" w14:textId="77777777" w:rsidR="009D7677" w:rsidRDefault="009D7677" w:rsidP="009D7677">
      <w:pPr>
        <w:pStyle w:val="TextoNormal"/>
      </w:pPr>
    </w:p>
    <w:p w14:paraId="6B05F033" w14:textId="55AA9E68" w:rsidR="009D7677" w:rsidRDefault="009D7677" w:rsidP="009D7677">
      <w:pPr>
        <w:pStyle w:val="TextoNormal"/>
      </w:pPr>
      <w:r>
        <w:t>En consecuencia, la sala confirma la resolución impugnada con desestimación del recurso de apelación.</w:t>
      </w:r>
    </w:p>
    <w:p w14:paraId="4B6645B7" w14:textId="77777777" w:rsidR="009D7677" w:rsidRDefault="009D7677" w:rsidP="009D7677">
      <w:pPr>
        <w:pStyle w:val="TextoNormal"/>
      </w:pPr>
    </w:p>
    <w:p w14:paraId="471877E8" w14:textId="77777777" w:rsidR="009D7677" w:rsidRDefault="009D7677" w:rsidP="009D7677">
      <w:pPr>
        <w:pStyle w:val="TextoNormal"/>
      </w:pPr>
      <w:r w:rsidRPr="009D7677">
        <w:rPr>
          <w:rStyle w:val="NumeroAFNegritaCaracter"/>
        </w:rPr>
        <w:t>3</w:t>
      </w:r>
      <w:r>
        <w:t>. El recurrente alega en la demanda de amparo que las resoluciones judiciales impugnadas vulneran su derecho fundamental a la tutela judicial efectiva (art. 24.1 CE), “por déficit valorativo, falta de racionalidad en la valoración, motivación aparente, tanto en el juzgado de familia, como en la Audiencia Provincial de Navarra”, así como los derechos de doña O.G.G. “a la igualdad efectiva y derecho a no ser discriminada por razón del hecho de ser o no vacunada (artículo 14 de la C.E.) contra la covid, así como su derecho a ser oída sobre su salud y sobre las decisiones que a esta afectan, a pesar de ser menor de edad (Derecho a no ser discriminado por razón de su edad y, además, a participar directamente y tomar decisiones sobre su salud)”, y “a la integridad física, psicológica, emocional y moral […] exigible ante la vacunación covid, por cuanto el juez que decide sobre su destino, ha de tener en cuenta la especialidad de estos fármacos aún experimentales, pues no ofrecen iguales garantías de seguridad que unas vacunas aprobadas de forma definitiva y presentan además un elenco creciente de efectos adversos que pueden ser muy graves, teniendo en cuenta su tratamiento por las normativas europeas y nacionales aquí expuestas como medicamentos OMG [organismos modificados genéticamente] que nunca han sido anteriormente probados en humanos”.</w:t>
      </w:r>
    </w:p>
    <w:p w14:paraId="369D7A8C" w14:textId="77777777" w:rsidR="009D7677" w:rsidRDefault="009D7677" w:rsidP="009D7677">
      <w:pPr>
        <w:pStyle w:val="TextoNormal"/>
      </w:pPr>
    </w:p>
    <w:p w14:paraId="2144E302" w14:textId="275B4A4B" w:rsidR="009D7677" w:rsidRDefault="009D7677" w:rsidP="009D7677">
      <w:pPr>
        <w:pStyle w:val="TextoNormal"/>
      </w:pPr>
      <w:r>
        <w:t>Mediante otrosí segundo interesó, al amparo del art. 56.4 de la Ley Orgánica del Tribunal Constitucional (LOTC), la suspensión de la ejecución del auto recurrido dictado en apelación.</w:t>
      </w:r>
    </w:p>
    <w:p w14:paraId="08923248" w14:textId="77777777" w:rsidR="009D7677" w:rsidRDefault="009D7677" w:rsidP="009D7677">
      <w:pPr>
        <w:pStyle w:val="TextoNormal"/>
      </w:pPr>
    </w:p>
    <w:p w14:paraId="65061982" w14:textId="3D1ACF4B" w:rsidR="009D7677" w:rsidRDefault="009D7677" w:rsidP="009D7677">
      <w:pPr>
        <w:pStyle w:val="TextoNormal"/>
      </w:pPr>
      <w:r w:rsidRPr="009D7677">
        <w:rPr>
          <w:rStyle w:val="NumeroAFNegritaCaracter"/>
        </w:rPr>
        <w:t>4</w:t>
      </w:r>
      <w:r>
        <w:t>. Por diligencia de ordenación de fecha 23 de enero de 2023, se puso en conocimiento del Ministerio Fiscal y de las partes, a los efectos oportunos, que en virtud del acuerdo adoptado por el Pleno del Tribunal Constitucional el día 17 de enero de 2023, publicado en el “Boletín Oficial del Estado” núm. 16, de 19 de enero de 2023, el presente recurso de amparo había sido turnado a la Sección Primera de la Sala Primera del Tribunal Constitucional.</w:t>
      </w:r>
    </w:p>
    <w:p w14:paraId="3D78AFE3" w14:textId="77777777" w:rsidR="009D7677" w:rsidRDefault="009D7677" w:rsidP="009D7677">
      <w:pPr>
        <w:pStyle w:val="TextoNormal"/>
      </w:pPr>
    </w:p>
    <w:p w14:paraId="5C0673D4" w14:textId="77777777" w:rsidR="009D7677" w:rsidRDefault="009D7677" w:rsidP="009D7677">
      <w:pPr>
        <w:pStyle w:val="TextoNormal"/>
      </w:pPr>
      <w:r w:rsidRPr="009D7677">
        <w:rPr>
          <w:rStyle w:val="NumeroAFNegritaCaracter"/>
        </w:rPr>
        <w:t>5</w:t>
      </w:r>
      <w:r>
        <w:t>. La Sección Primera del Tribunal Constitucional, por providencia de 6 de marzo de 2023, acordó admitir a trámite el recurso de amparo al apreciar que concurre en el mismo una especial trascendencia constitucional (art. 50.1 LOTC), porque el recurso plantea un problema o afecta a una faceta de un derecho fundamental sobre el que no hay doctrina de este tribunal [STC 155/2009, de 25 de junio, FJ 2 a)] y, asimismo, porque el asunto suscitado trasciende del caso concreto porque plantea una cuestión jurídica de relevante y general repercusión social o económica [STC 155/2009, FJ 2 g)].</w:t>
      </w:r>
    </w:p>
    <w:p w14:paraId="6C44036A" w14:textId="77777777" w:rsidR="009D7677" w:rsidRDefault="009D7677" w:rsidP="009D7677">
      <w:pPr>
        <w:pStyle w:val="TextoNormal"/>
      </w:pPr>
    </w:p>
    <w:p w14:paraId="5D5B16C4" w14:textId="0973787B" w:rsidR="009D7677" w:rsidRDefault="009D7677" w:rsidP="009D7677">
      <w:pPr>
        <w:pStyle w:val="TextoNormal"/>
      </w:pPr>
      <w:r>
        <w:lastRenderedPageBreak/>
        <w:t>En la misma providencia se acordó, en aplicación de lo dispuesto en el art. 51 LOTC, dirigir atenta comunicación a la Audiencia Provincial de Navarra (Sección Tercera) a fin de que, en plazo no superior a diez días, remitiera certificación o fotocopia adverada de las actuaciones correspondientes al recurso de apelación 674-2022, e, igualmente, al Juzgado de Primera Instancia núm. 10 de Pamplona a fin de que, en plazo que no excediera de diez días, remitiera certificación o fotocopia adverada de las actuaciones correspondientes al procedimiento de jurisdicción voluntaria núm. 876-2021, debiendo emplazar previamente a quienes hubieran sido parte en el procedimiento, excepto la parte recurrente en amparo, a fin de que en el plazo de diez días pudieran comparecer, si lo desearan, en el presente recurso.</w:t>
      </w:r>
    </w:p>
    <w:p w14:paraId="4ACBC4BE" w14:textId="77777777" w:rsidR="009D7677" w:rsidRDefault="009D7677" w:rsidP="009D7677">
      <w:pPr>
        <w:pStyle w:val="TextoNormal"/>
      </w:pPr>
    </w:p>
    <w:p w14:paraId="0263AE92" w14:textId="638FCE0C" w:rsidR="009D7677" w:rsidRDefault="009D7677" w:rsidP="009D7677">
      <w:pPr>
        <w:pStyle w:val="TextoNormal"/>
      </w:pPr>
      <w:r w:rsidRPr="009D7677">
        <w:rPr>
          <w:rStyle w:val="NumeroAFNegritaCaracter"/>
        </w:rPr>
        <w:t>6</w:t>
      </w:r>
      <w:r>
        <w:t>. Mediante providencia de 6 de marzo de 2023 y de conformidad con lo prevenido en el art. 56 LOTC, se acordó, a instancia de la parte actora, la formación de pieza separada de suspensión, que tras su tramitación fue resuelta por el ATC 325/2023, de 19 de junio de 2023, que denegó la suspensión cautelar solicitada.</w:t>
      </w:r>
    </w:p>
    <w:p w14:paraId="26CFADC4" w14:textId="77777777" w:rsidR="009D7677" w:rsidRDefault="009D7677" w:rsidP="009D7677">
      <w:pPr>
        <w:pStyle w:val="TextoNormal"/>
      </w:pPr>
    </w:p>
    <w:p w14:paraId="1CBA00A3" w14:textId="5B2BAF70" w:rsidR="009D7677" w:rsidRDefault="009D7677" w:rsidP="009D7677">
      <w:pPr>
        <w:pStyle w:val="TextoNormal"/>
      </w:pPr>
      <w:r w:rsidRPr="009D7677">
        <w:rPr>
          <w:rStyle w:val="NumeroAFNegritaCaracter"/>
        </w:rPr>
        <w:t>7</w:t>
      </w:r>
      <w:r>
        <w:t>. Por escrito registrado en este tribunal el 31 de marzo de 2023, la procuradora doña Raquel Martínez de Muniain Labiano, en nombre y representación de doña I.G.L., expresó su voluntad de no personarse en el recurso de amparo y manifestó que la menor, por entonces de catorce años cumplidos, había sido vacunada.</w:t>
      </w:r>
    </w:p>
    <w:p w14:paraId="40DAD471" w14:textId="77777777" w:rsidR="009D7677" w:rsidRDefault="009D7677" w:rsidP="009D7677">
      <w:pPr>
        <w:pStyle w:val="TextoNormal"/>
      </w:pPr>
    </w:p>
    <w:p w14:paraId="64F825FA" w14:textId="77777777" w:rsidR="009D7677" w:rsidRDefault="009D7677" w:rsidP="009D7677">
      <w:pPr>
        <w:pStyle w:val="TextoNormal"/>
      </w:pPr>
      <w:r w:rsidRPr="009D7677">
        <w:rPr>
          <w:rStyle w:val="NumeroAFNegritaCaracter"/>
        </w:rPr>
        <w:t>8</w:t>
      </w:r>
      <w:r>
        <w:t>. Por diligencia de ordenación de 12 de abril de 2023 se tuvieron por recibidos los testimonios de las actuaciones que habían sido remitidos por la Audiencia Provincial de Navarra y por el Juzgado de Primera Instancia núm. 10 de Pamplona y, a tenor de lo dispuesto en el art. 52 LOTC, se acordó dar vista de las actuaciones judiciales por un plazo común de veinte días al Ministerio Fiscal y a las partes personadas, para que dentro de dicho término pudieran presentar las alegaciones que a su derecho convenga.</w:t>
      </w:r>
    </w:p>
    <w:p w14:paraId="0EBD2528" w14:textId="77777777" w:rsidR="009D7677" w:rsidRDefault="009D7677" w:rsidP="009D7677">
      <w:pPr>
        <w:pStyle w:val="TextoNormal"/>
      </w:pPr>
    </w:p>
    <w:p w14:paraId="049274B2" w14:textId="09473212" w:rsidR="009D7677" w:rsidRDefault="009D7677" w:rsidP="009D7677">
      <w:pPr>
        <w:pStyle w:val="TextoNormal"/>
      </w:pPr>
      <w:r>
        <w:t>El demandante de amparo no formuló alegaciones en este trámite.</w:t>
      </w:r>
    </w:p>
    <w:p w14:paraId="614EA777" w14:textId="77777777" w:rsidR="009D7677" w:rsidRDefault="009D7677" w:rsidP="009D7677">
      <w:pPr>
        <w:pStyle w:val="TextoNormal"/>
      </w:pPr>
    </w:p>
    <w:p w14:paraId="53F3E60B" w14:textId="77777777" w:rsidR="009D7677" w:rsidRDefault="009D7677" w:rsidP="009D7677">
      <w:pPr>
        <w:pStyle w:val="TextoNormal"/>
      </w:pPr>
      <w:r w:rsidRPr="009D7677">
        <w:rPr>
          <w:rStyle w:val="NumeroAFNegritaCaracter"/>
        </w:rPr>
        <w:t>9</w:t>
      </w:r>
      <w:r>
        <w:t>. Por escrito registrado el 24 de mayo de 2023, la Fiscalía ante el Tribunal Constitucional formuló sus alegaciones en las que, tras exponer los antecedentes del caso, la pretensión del actor, la normativa aplicable y la doctrina constitucional en la materia, afirma que la demanda de amparo centra la vulneración del derecho fundamental a la tutela judicial efectiva sin indefensión (art. 24.1 CE) en la falta de motivación de las resoluciones judiciales impugnados y en la defectuosa valoración de la abundante prueba documental aportada por el demandante, con infracción del orden público al haberse decantado a favor de la vacunación.</w:t>
      </w:r>
    </w:p>
    <w:p w14:paraId="2F8C6EE5" w14:textId="77777777" w:rsidR="009D7677" w:rsidRDefault="009D7677" w:rsidP="009D7677">
      <w:pPr>
        <w:pStyle w:val="TextoNormal"/>
      </w:pPr>
    </w:p>
    <w:p w14:paraId="36EE53A5" w14:textId="77777777" w:rsidR="009D7677" w:rsidRDefault="009D7677" w:rsidP="009D7677">
      <w:pPr>
        <w:pStyle w:val="TextoNormal"/>
      </w:pPr>
      <w:r>
        <w:t>Señala la Fiscalía que el objeto de enjuiciamiento constitucional consiste en examinar si en el procedimiento de jurisdicción voluntaria planteado ante la divergencia de los progenitores acerca de la vacunación frente a la covid-19 de una de las hijas comunes menor de edad, la motivación de las resoluciones judiciales al atribuir a la madre la facultad de decidir al respecto está sustentada en el mayor beneficio de la menor, conforme al canon constitucional de motivación reforzada al tener el principio del interés superior del menor su proyección constitucional en el art. 39 CE. La Fiscalía constata que este principio es la premisa de la que parte el auto de instancia para resolver la discrepancia entre los progeni</w:t>
      </w:r>
      <w:r>
        <w:lastRenderedPageBreak/>
        <w:t>tores. Dicho lo anterior, pasa a analizar los criterios de ponderación empleados en las resoluciones judiciales, para concluir que responden a la finalidad de resolver la discrepancia de los padres atendiendo a lo que es más beneficioso para la salud y beneficio de la menor, que sintéticamente expuestos son los siguientes: (i) confrontados los argumentos e informes médicos aportados por el demandante con las recomendaciones realizadas por la Asociación Española de Pediatría, la Asociación Española de Vacunología, la Sociedad Española de Inmunología, la Sociedad Española de Microbiología y la Sociedad Española de Virología, se opta por las opiniones médicas de las autoridades sanitarias con aval científico, pues las vacunas contra la covid-19 han sido aprobadas por la Agencia Europea del Medicamento y la Agencia Española del Medicamento y Productos Sanitarios; (ii) la menor ha recibido todas las vacunas del calendario oficial, que tampoco precisan prescripción médica y también tienen constatados posibles riesgos y efectos secundarios, a lo que el ahora demandante no ha puesto impedimento alguno para que sean administradas a sus hijas, estando de acuerdo en ello; (iii) la ausencia de contraindicación particular para que la hija reciba la vacuna, que ha sido aconsejada por el médico pediatra que la atiende y conoce su historia clínica; (iv) las consideraciones del demandante son personales y se basan en su estudio sobre la cuestión de la vacunación en general y no sobre una concreta situación de la menor que haga procedente apartarse de las recomendaciones generales, además de no aportar prueba solvente acreditativa de la innecesaridad o de lo riesgos certeros del tratamiento; y (v) las manifestaciones de la menor en el trámite de audiencia, que “no quiere decidir y está abierta a lo que se decida”. Tras ponderar todo lo expuesto, el auto de instancia resuelve atribuir a la madre la facultad de decidir sobre la procedencia de la vacunación de la menor, siguiendo las recomendaciones médicas sobre edad, tipo de vacuna, dosis y frecuencia que en cada momento se vayan adoptando.</w:t>
      </w:r>
    </w:p>
    <w:p w14:paraId="0E624CD0" w14:textId="77777777" w:rsidR="009D7677" w:rsidRDefault="009D7677" w:rsidP="009D7677">
      <w:pPr>
        <w:pStyle w:val="TextoNormal"/>
      </w:pPr>
    </w:p>
    <w:p w14:paraId="67E07D14" w14:textId="77777777" w:rsidR="009D7677" w:rsidRDefault="009D7677" w:rsidP="009D7677">
      <w:pPr>
        <w:pStyle w:val="TextoNormal"/>
      </w:pPr>
      <w:r>
        <w:t>En cuanto al alegado déficit valorativo porque las resoluciones impugnadas no hacen referencia a todos y cada uno de los argumentos e informes científicos aportados por el actor, el Ministerio Fiscal señala que el hecho de que los órganos judiciales no valoren estas pruebas del modo deseado por el recurrente no afecta al derecho a la tutela judicial efectiva, como viene siendo doctrina de este tribunal.</w:t>
      </w:r>
    </w:p>
    <w:p w14:paraId="5C486CCD" w14:textId="77777777" w:rsidR="009D7677" w:rsidRDefault="009D7677" w:rsidP="009D7677">
      <w:pPr>
        <w:pStyle w:val="TextoNormal"/>
      </w:pPr>
    </w:p>
    <w:p w14:paraId="748BFFB9" w14:textId="77777777" w:rsidR="009D7677" w:rsidRDefault="009D7677" w:rsidP="009D7677">
      <w:pPr>
        <w:pStyle w:val="TextoNormal"/>
      </w:pPr>
      <w:r>
        <w:t>En definitiva, continúa, el órgano judicial no es el que ha adoptado una decisión sobre la vacunación que no le compete, sino que ha atribuido, con motivación adecuada y fundamentada, la facultad de adoptarla al progenitor cuyos argumentos y planteamientos son más beneficiosos para el interés de la menor. Por tanto, concluye que los razonamientos de los autos impugnados han dado una respuesta fundada a la cuestión planteada y han motivado de forma suficiente las razones conducentes a la resolución adoptada, en el sentido de atribuir a la madre la facultad de decidir sobre la administración de la vacuna a la hija menor, ponderando adecuadamente el interés superior de esta, por lo que no lesionaron el derecho a la tutela judicial efectiva sin indefensión (art. 24.1 CE) alegada por el recurrente.</w:t>
      </w:r>
    </w:p>
    <w:p w14:paraId="1E75A8F8" w14:textId="77777777" w:rsidR="009D7677" w:rsidRDefault="009D7677" w:rsidP="009D7677">
      <w:pPr>
        <w:pStyle w:val="TextoNormal"/>
      </w:pPr>
    </w:p>
    <w:p w14:paraId="49AC53A3" w14:textId="77777777" w:rsidR="009D7677" w:rsidRDefault="009D7677" w:rsidP="009D7677">
      <w:pPr>
        <w:pStyle w:val="TextoNormal"/>
      </w:pPr>
      <w:r>
        <w:t xml:space="preserve">En cuanto a las alegaciones que la demanda imputa de forma autónoma al auto de apelación, relativas a la vulneración del derecho a la igualdad (art. 14 CE), a las libertades ideológica, religiosa y de culto de los individuos y las comunidades (art.16 CE) y de los derechos al honor, a la intimidad personal y familiar y a la propia imagen (art. 18 CE), a un proceso con todas las garantías y a utilizar los medios pertinentes para la defensa (art. </w:t>
      </w:r>
      <w:r>
        <w:lastRenderedPageBreak/>
        <w:t>24.2 CE), están huérfanas del más mínimo sustrato jurídico pues se limitan, básicamente, al enunciado de los referidos derechos fundamentales.</w:t>
      </w:r>
    </w:p>
    <w:p w14:paraId="7DFD0929" w14:textId="77777777" w:rsidR="009D7677" w:rsidRDefault="009D7677" w:rsidP="009D7677">
      <w:pPr>
        <w:pStyle w:val="TextoNormal"/>
      </w:pPr>
    </w:p>
    <w:p w14:paraId="5F08720E" w14:textId="77777777" w:rsidR="009D7677" w:rsidRDefault="009D7677" w:rsidP="009D7677">
      <w:pPr>
        <w:pStyle w:val="TextoNormal"/>
      </w:pPr>
      <w:r>
        <w:t xml:space="preserve">A juicio del Ministerio Fiscal, el desarrollo argumentativo de la lesión del derecho fundamental a la integridad personal de la menor, en su concreta dimensión de derecho a la integridad física del art. 15 CE, consiste en que en el procedimiento de jurisdicción voluntaria se ha decidido sobre la vida e integridad física de la menor que, aunque ha sido oída, no ha consentido expresamente y por escrito una actuación sanitaria consistente en la inoculación de un fármaco que no es inocuo. Pues bien, para el Ministerio Público en este caso no se ha tratado de autorizar o no la inoculación de la vacuna a la menor frente a la covid-19, sino que el objeto de las resoluciones judiciales ha sido resolver la discrepancia que mantienen los progenitores en el ejercicio de la responsabilidad parental sobre la administración de la referida vacuna. Centrado así el problema, la consideración realizada por el demandante sobre el consentimiento informado desborda el objeto del proceso, porque lo resuelto ha sido el otorgamiento a la madre de la facultad de decidir sobre la administración de la vacuna a la menor. Será después, al acudir al centro médico para la inoculación, cuando se estará en condiciones de prestar consentimiento tras recibir la información por el personal sanitario conforme a la Ley 41/2002, de autonomía del paciente. Por tanto, la obligación de dar la información y, una vez obtenida, prestar un consentimiento válido se origina </w:t>
      </w:r>
      <w:r w:rsidRPr="009D7677">
        <w:rPr>
          <w:i/>
        </w:rPr>
        <w:t>ex lege</w:t>
      </w:r>
      <w:r>
        <w:t xml:space="preserve"> cuando va a tener lugar la actuación médica. El incumplimiento de la normativa prevista podría dar lugar a la violación del derecho fundamental a la integridad física (art, 15 CE) y es en el seno de otro procedimiento que, en su caso, se incoe, donde se dilucidarían las cuestiones controvertidas entre los sujetos implicados, que son el médico y la paciente o su representante legal.</w:t>
      </w:r>
    </w:p>
    <w:p w14:paraId="0FA35E48" w14:textId="77777777" w:rsidR="009D7677" w:rsidRDefault="009D7677" w:rsidP="009D7677">
      <w:pPr>
        <w:pStyle w:val="TextoNormal"/>
      </w:pPr>
    </w:p>
    <w:p w14:paraId="2FEB170A" w14:textId="77777777" w:rsidR="009D7677" w:rsidRDefault="009D7677" w:rsidP="009D7677">
      <w:pPr>
        <w:pStyle w:val="TextoNormal"/>
      </w:pPr>
      <w:r>
        <w:t>En todo caso, concluye la Fiscalía, el resto de los argumentos en los que el demandante fundamenta la lesión de este derecho fundamental de la menor a su integridad física son los mismos que a su juicio lesionan el derecho a la tutela judicial efectiva, queja que debe descartarse por la adecuada y correcta ponderación efectuada por las resoluciones judiciales concernidas al resolver la cuestión controvertida sometida a enjuiciamiento.</w:t>
      </w:r>
    </w:p>
    <w:p w14:paraId="6855008D" w14:textId="77777777" w:rsidR="009D7677" w:rsidRDefault="009D7677" w:rsidP="009D7677">
      <w:pPr>
        <w:pStyle w:val="TextoNormal"/>
      </w:pPr>
    </w:p>
    <w:p w14:paraId="1806CA80" w14:textId="2FB3ABF9" w:rsidR="009D7677" w:rsidRDefault="009D7677" w:rsidP="009D7677">
      <w:pPr>
        <w:pStyle w:val="TextoNormal"/>
      </w:pPr>
      <w:r>
        <w:t>Por lo expuesto, el Ministerio Fiscal interesa la desestimación íntegra del recurso de amparo.</w:t>
      </w:r>
    </w:p>
    <w:p w14:paraId="1CACDC7B" w14:textId="77777777" w:rsidR="009D7677" w:rsidRDefault="009D7677" w:rsidP="009D7677">
      <w:pPr>
        <w:pStyle w:val="TextoNormal"/>
      </w:pPr>
    </w:p>
    <w:p w14:paraId="5F41B6A3" w14:textId="77086C78" w:rsidR="009D7677" w:rsidRDefault="009D7677" w:rsidP="009D7677">
      <w:pPr>
        <w:pStyle w:val="TextoNormal"/>
      </w:pPr>
      <w:r w:rsidRPr="009D7677">
        <w:rPr>
          <w:rStyle w:val="NumeroAFNegritaCaracter"/>
        </w:rPr>
        <w:t>10</w:t>
      </w:r>
      <w:r>
        <w:t>. Por providencia de 11 de enero de 2024 se señaló para deliberación y votación de la presente sentencia el día 15 del mismo mes y año.</w:t>
      </w:r>
    </w:p>
    <w:p w14:paraId="4EB42E1E" w14:textId="77777777" w:rsidR="009D7677" w:rsidRDefault="009D7677" w:rsidP="009D7677">
      <w:pPr>
        <w:pStyle w:val="TextoNormal"/>
      </w:pPr>
    </w:p>
    <w:p w14:paraId="65B04D24" w14:textId="77777777" w:rsidR="009D7677" w:rsidRDefault="009D7677" w:rsidP="009D7677">
      <w:pPr>
        <w:pStyle w:val="TextoNormalNegritaCentrado"/>
        <w:keepNext/>
      </w:pPr>
      <w:r>
        <w:t>II. Fundamentos jurídicos</w:t>
      </w:r>
    </w:p>
    <w:p w14:paraId="2611248D" w14:textId="7AB3FAFA" w:rsidR="009D7677" w:rsidRDefault="009D7677" w:rsidP="009D7677">
      <w:pPr>
        <w:pStyle w:val="TextoNormalNegritaCentrado"/>
        <w:keepNext/>
      </w:pPr>
    </w:p>
    <w:p w14:paraId="0FBED825" w14:textId="77777777" w:rsidR="009D7677" w:rsidRDefault="009D7677" w:rsidP="009D7677">
      <w:pPr>
        <w:pStyle w:val="TextoNormal"/>
      </w:pPr>
      <w:r w:rsidRPr="009D7677">
        <w:rPr>
          <w:rStyle w:val="NumeroAFNegritaCaracter"/>
        </w:rPr>
        <w:t>1</w:t>
      </w:r>
      <w:r>
        <w:t xml:space="preserve">. </w:t>
      </w:r>
      <w:r w:rsidRPr="009D7677">
        <w:rPr>
          <w:i/>
        </w:rPr>
        <w:t>Objeto del recurso</w:t>
      </w:r>
    </w:p>
    <w:p w14:paraId="0EB079EE" w14:textId="77777777" w:rsidR="009D7677" w:rsidRDefault="009D7677" w:rsidP="009D7677">
      <w:pPr>
        <w:pStyle w:val="TextoNormal"/>
      </w:pPr>
    </w:p>
    <w:p w14:paraId="2EFD5DAE" w14:textId="77777777" w:rsidR="009D7677" w:rsidRDefault="009D7677" w:rsidP="009D7677">
      <w:pPr>
        <w:pStyle w:val="TextoNormal"/>
      </w:pPr>
      <w:r>
        <w:t>El presente recurso de amparo se interpone contra el auto núm. 120/2022, de 12 de julio, dictado por la Sección Tercera de la Audiencia Provincial de Navarra en el rollo de apelación núm. 674-2022, que confirma el auto núm. 45/2022, de 11 de marzo, del Juzgado de Primera Instancia núm. 10 de Pamplona, dictado en el procedimiento de intervención judicial por desacuerdo en el ejercicio de la patria potestad núm. 876-2021.</w:t>
      </w:r>
    </w:p>
    <w:p w14:paraId="154B3EA6" w14:textId="77777777" w:rsidR="009D7677" w:rsidRDefault="009D7677" w:rsidP="009D7677">
      <w:pPr>
        <w:pStyle w:val="TextoNormal"/>
      </w:pPr>
    </w:p>
    <w:p w14:paraId="39883C4C" w14:textId="7934B654" w:rsidR="009D7677" w:rsidRDefault="009D7677" w:rsidP="009D7677">
      <w:pPr>
        <w:pStyle w:val="TextoNormal"/>
      </w:pPr>
      <w:r>
        <w:lastRenderedPageBreak/>
        <w:t>Dada la naturaleza de los hechos, debe señalarse que,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 27 de julio de 2015), la presente sentencia y demás actuaciones del proceso no incluyen la identificación completa de la persona menor de edad afectada ni la de sus parientes inmediatos que aparecen mencionados en las actuaciones, con el fin de proteger la intimidad de aquella.</w:t>
      </w:r>
    </w:p>
    <w:p w14:paraId="1ACFB2C1" w14:textId="77777777" w:rsidR="009D7677" w:rsidRDefault="009D7677" w:rsidP="009D7677">
      <w:pPr>
        <w:pStyle w:val="TextoNormal"/>
      </w:pPr>
    </w:p>
    <w:p w14:paraId="7785576B" w14:textId="77777777" w:rsidR="009D7677" w:rsidRDefault="009D7677" w:rsidP="009D7677">
      <w:pPr>
        <w:pStyle w:val="TextoNormal"/>
      </w:pPr>
      <w:r w:rsidRPr="009D7677">
        <w:rPr>
          <w:rStyle w:val="NumeroAFNegritaCaracter"/>
        </w:rPr>
        <w:t>2</w:t>
      </w:r>
      <w:r>
        <w:t xml:space="preserve">. </w:t>
      </w:r>
      <w:r w:rsidRPr="009D7677">
        <w:rPr>
          <w:i/>
        </w:rPr>
        <w:t>Cuestiones previas y delimitación de los derechos fundamentales concernidos</w:t>
      </w:r>
    </w:p>
    <w:p w14:paraId="73C796B3" w14:textId="77777777" w:rsidR="009D7677" w:rsidRDefault="009D7677" w:rsidP="009D7677">
      <w:pPr>
        <w:pStyle w:val="TextoNormal"/>
      </w:pPr>
    </w:p>
    <w:p w14:paraId="0E2F6C27" w14:textId="77777777" w:rsidR="009D7677" w:rsidRDefault="009D7677" w:rsidP="009D7677">
      <w:pPr>
        <w:pStyle w:val="TextoNormal"/>
      </w:pPr>
      <w:r>
        <w:t>Con carácter previo al examen de las cuestiones de fondo planteadas en la demanda de amparo, deben hacerse las siguientes precisiones:</w:t>
      </w:r>
    </w:p>
    <w:p w14:paraId="69DB095D" w14:textId="77777777" w:rsidR="009D7677" w:rsidRDefault="009D7677" w:rsidP="009D7677">
      <w:pPr>
        <w:pStyle w:val="TextoNormal"/>
      </w:pPr>
    </w:p>
    <w:p w14:paraId="5EAC5ADF" w14:textId="77777777" w:rsidR="009D7677" w:rsidRDefault="009D7677" w:rsidP="009D7677">
      <w:pPr>
        <w:pStyle w:val="TextoNormal"/>
      </w:pPr>
      <w:r>
        <w:t>En el recurso de amparo se alega la vulneración del derecho a la tutela judicial efectiva (art. 24.1 CE) porque las resoluciones judiciales no se ajustan al derecho positivo al conculcar los principios sobre valoración de la prueba, motivación y derecho de defensa, y residenciar su decisión en la recomendación de las autoridades sanitarias sin valorar los informes científicos aportados por el recurrente. Se invoca también la vulneración de los derechos a un proceso con todas las garantías (art. 24.2 CE), al uso de medios de prueba pertinentes para la defensa (art. 24.2 CE) y a la integridad física y moral (art. 15 CE), por falta de consentimiento informado. Todas estas vulneraciones se imputan a la decisión judicial que atribuye la facultad de decidir a la progenitora favorable a la vacunación.</w:t>
      </w:r>
    </w:p>
    <w:p w14:paraId="14A7B46F" w14:textId="77777777" w:rsidR="009D7677" w:rsidRDefault="009D7677" w:rsidP="009D7677">
      <w:pPr>
        <w:pStyle w:val="TextoNormal"/>
      </w:pPr>
    </w:p>
    <w:p w14:paraId="6F192603" w14:textId="77777777" w:rsidR="009D7677" w:rsidRDefault="009D7677" w:rsidP="009D7677">
      <w:pPr>
        <w:pStyle w:val="TextoNormal"/>
      </w:pPr>
      <w:r>
        <w:t>En realidad, estas cuestiones están directamente vinculadas con la posible lesión del derecho fundamental a la integridad personal reconocido en el art. 15 CE, de modo que las distintas quejas planteadas bajo la cobertura del art. 24.1 y 2 CE pueden recibir una respuesta conjunta en el fundamento jurídico siguiente, puesto que deben calificarse como instrumentales en el presente caso.</w:t>
      </w:r>
    </w:p>
    <w:p w14:paraId="12EC86B4" w14:textId="77777777" w:rsidR="009D7677" w:rsidRDefault="009D7677" w:rsidP="009D7677">
      <w:pPr>
        <w:pStyle w:val="TextoNormal"/>
      </w:pPr>
    </w:p>
    <w:p w14:paraId="5972AADA" w14:textId="7EDFDA49" w:rsidR="009D7677" w:rsidRDefault="009D7677" w:rsidP="009D7677">
      <w:pPr>
        <w:pStyle w:val="TextoNormal"/>
      </w:pPr>
      <w:r>
        <w:t>Debe apreciarse, por último, la falta de invocación en sede judicial de los derechos fundamentales a la igualdad (art. 14 CE), a la libertad ideológica, religiosa y de culto de los individuos y las comunidades (art. 16 CE), al honor, a la intimidad personal y familiar y a la propia imagen (art. 18.1 CE), lo que constituye un defecto insubsanable al afectar a la subsidiariedad del recurso de amparo [art. 44.1 c) LOTC].</w:t>
      </w:r>
    </w:p>
    <w:p w14:paraId="09FAD044" w14:textId="77777777" w:rsidR="009D7677" w:rsidRDefault="009D7677" w:rsidP="009D7677">
      <w:pPr>
        <w:pStyle w:val="TextoNormal"/>
      </w:pPr>
    </w:p>
    <w:p w14:paraId="6EE4AE9E" w14:textId="77777777" w:rsidR="009D7677" w:rsidRDefault="009D7677" w:rsidP="009D7677">
      <w:pPr>
        <w:pStyle w:val="TextoNormal"/>
      </w:pPr>
      <w:r w:rsidRPr="009D7677">
        <w:rPr>
          <w:rStyle w:val="NumeroAFNegritaCaracter"/>
        </w:rPr>
        <w:t>3</w:t>
      </w:r>
      <w:r>
        <w:t xml:space="preserve">. </w:t>
      </w:r>
      <w:r w:rsidRPr="009D7677">
        <w:rPr>
          <w:i/>
        </w:rPr>
        <w:t>Aplicación de la doctrina constitucional expuesta en la STC 148/2023, de 6 de noviembre</w:t>
      </w:r>
    </w:p>
    <w:p w14:paraId="1C47D4D2" w14:textId="77777777" w:rsidR="009D7677" w:rsidRDefault="009D7677" w:rsidP="009D7677">
      <w:pPr>
        <w:pStyle w:val="TextoNormal"/>
      </w:pPr>
    </w:p>
    <w:p w14:paraId="612BD514" w14:textId="77777777" w:rsidR="009D7677" w:rsidRDefault="009D7677" w:rsidP="009D7677">
      <w:pPr>
        <w:pStyle w:val="TextoNormal"/>
      </w:pPr>
      <w:r>
        <w:t xml:space="preserve">La cuestión constitucional suscitada en este recurso en relación con el derecho fundamental a la integridad física y moral (art. 15 CE) es la misma que ya ha sido objeto de análisis por el Pleno de este tribunal en la STC 148/2023, de 6 de noviembre, en cuyos fundamentos jurídicos 4 y 5 se expusieron de manera pormenorizada las pautas de ponderación necesarias para determinar si en este tipo de supuestos se ha vulnerado el derecho a la integridad personal. En la misma sentencia se cita la STC 154/2002, de 18 de julio, FJ 10, en la que ya precisamos que: (i) el reconocimiento excepcional de la capacidad del menor respecto de determinados actos jurídicos, como son los que afectan a su integridad física, no es de suyo suficiente para, por vía de equiparación reconocer en todo caso eficacia jurídica a los actos —o decisiones— del menor; (ii) la exclusión de la representación legal en </w:t>
      </w:r>
      <w:r>
        <w:lastRenderedPageBreak/>
        <w:t>tales casos debe entenderse siempre sin perjuicio del deber de los progenitores de velar y cuidar del menor y salvaguardar su interés superior, obligaciones que no desaparecen por el hecho de que se reconozca a la persona menor cierto grado de autodeterminación; y (iii) la validez y eficacia de las decisiones adoptadas por una persona menor de edad en ejercicio de su derecho a la integridad física habrán de determinarse teniendo siempre en cuenta la prevalencia de su interés superior, que ha de ser siempre tutelado por los padres y, en su caso, por los órganos judiciales, poniendo a dicho interés en relación con los efectos previsibles de tales decisiones y su eventual permanencia o irreparabilidad.</w:t>
      </w:r>
    </w:p>
    <w:p w14:paraId="5DAE043A" w14:textId="77777777" w:rsidR="009D7677" w:rsidRDefault="009D7677" w:rsidP="009D7677">
      <w:pPr>
        <w:pStyle w:val="TextoNormal"/>
      </w:pPr>
    </w:p>
    <w:p w14:paraId="41735C5C" w14:textId="77777777" w:rsidR="009D7677" w:rsidRDefault="009D7677" w:rsidP="009D7677">
      <w:pPr>
        <w:pStyle w:val="TextoNormal"/>
      </w:pPr>
      <w:r>
        <w:t>En definitiva, la capacidad general de autodeterminación de las personas que todavía no hayan alcanzado la mayoría de edad en relación con las actuaciones médicas que les afectan encuentra su límite en la protección de su interés superior, que se impone como obligación a los progenitores, en cuanto titulares de la patria potestad o autoridad familiar y a todos los poderes públicos, incluida la autoridad judicial. A todos ellos corresponde garantizar que la decisión final relativa a la actuación médica en cuestión no trae consigo una quiebra relevante, persistente y/o irreparable de dicho interés superior.</w:t>
      </w:r>
    </w:p>
    <w:p w14:paraId="1C32DAF8" w14:textId="77777777" w:rsidR="009D7677" w:rsidRDefault="009D7677" w:rsidP="009D7677">
      <w:pPr>
        <w:pStyle w:val="TextoNormal"/>
      </w:pPr>
    </w:p>
    <w:p w14:paraId="09A2DB6C" w14:textId="1DD17BFB" w:rsidR="009D7677" w:rsidRDefault="009D7677" w:rsidP="009D7677">
      <w:pPr>
        <w:pStyle w:val="TextoNormal"/>
      </w:pPr>
      <w:r>
        <w:t>En atención a lo expuesto, en este caso, como también se concluyó en la STC 148/2023, FJ 5, el Tribunal rechaza que se haya vulnerado el art. 15 CE al constatarse que (i) se cumple el presupuesto básico que el art. 9.3 c) de la Ley 41/2002 establece para que pueda acudirse al consentimiento por representación —otorgado por los progenitores de común acuerdo o por la autoridad judicial en caso de desacuerdo— porque la menor, de trece años de edad en el momento de la exploración judicial, no se opuso a la vacunación y sus padres contaban con la información adecuada para la prestación del consentimiento desde un momento anterior incluso a la iniciación del procedimiento de jurisdicción voluntaria, por lo que no cabe apreciar la ausencia de consentimiento informado; y (ii) la motivación de las resoluciones judiciales tuvo como fundamento esencial la protección del interés superior de la menor en relación con la protección de su salud, teniendo en cuenta la recomendación de las autoridades sanitarias, que se mostraban a favor de la vacunación de menores haciendo una ponderación de riesgos y beneficios de la vacuna, que el órgano judicial no estimó desvirtuada por los informes aportados por el recurrente.</w:t>
      </w:r>
    </w:p>
    <w:p w14:paraId="4DAF245F" w14:textId="77777777" w:rsidR="009D7677" w:rsidRDefault="009D7677" w:rsidP="009D7677">
      <w:pPr>
        <w:pStyle w:val="TextoNormal"/>
      </w:pPr>
    </w:p>
    <w:p w14:paraId="4CAFE2A4" w14:textId="77777777" w:rsidR="009D7677" w:rsidRDefault="009D7677" w:rsidP="009D7677">
      <w:pPr>
        <w:pStyle w:val="TextoNormalCentrado"/>
        <w:keepNext/>
      </w:pPr>
      <w:r>
        <w:t>FALLO</w:t>
      </w:r>
    </w:p>
    <w:p w14:paraId="2340B9DE" w14:textId="05273884" w:rsidR="009D7677" w:rsidRDefault="009D7677" w:rsidP="009D7677">
      <w:pPr>
        <w:pStyle w:val="TextoNormalCentrado"/>
        <w:keepNext/>
      </w:pPr>
    </w:p>
    <w:p w14:paraId="303BF569" w14:textId="074287DA" w:rsidR="009D7677" w:rsidRDefault="009D7677" w:rsidP="009D7677">
      <w:pPr>
        <w:pStyle w:val="TextoNormal"/>
      </w:pPr>
      <w:r>
        <w:t>En atención a todo lo expuesto, el Tribunal Constitucional, por la autoridad que le confiere la Constitución de la Nación española, ha decidido desestimar el recurso de amparo interpuesto por don F.J.G.G.</w:t>
      </w:r>
    </w:p>
    <w:p w14:paraId="410996D2" w14:textId="77777777" w:rsidR="009D7677" w:rsidRDefault="009D7677" w:rsidP="009D7677">
      <w:pPr>
        <w:pStyle w:val="TextoNormal"/>
      </w:pPr>
    </w:p>
    <w:p w14:paraId="1E8CE7A8" w14:textId="77777777" w:rsidR="009D7677" w:rsidRDefault="009D7677" w:rsidP="009D7677">
      <w:pPr>
        <w:pStyle w:val="TextoNormal"/>
      </w:pPr>
      <w:r>
        <w:t>Publíquese esta sentencia en el “Boletín Oficial del Estado”.</w:t>
      </w:r>
    </w:p>
    <w:p w14:paraId="76A1E59D" w14:textId="77777777" w:rsidR="009D7677" w:rsidRDefault="009D7677" w:rsidP="009D7677">
      <w:pPr>
        <w:pStyle w:val="TextoNormal"/>
      </w:pPr>
      <w:r>
        <w:t>Dada en Madrid, a quince de enero de dos mil veinticuatro.</w:t>
      </w:r>
    </w:p>
    <w:p w14:paraId="6AAC813B" w14:textId="76E6A6EC" w:rsidR="009D7677" w:rsidRDefault="009D7677">
      <w:pPr>
        <w:spacing w:after="160" w:line="259" w:lineRule="auto"/>
        <w:rPr>
          <w:rFonts w:ascii="Times New Roman" w:eastAsia="Times New Roman" w:hAnsi="Times New Roman" w:cs="Times New Roman"/>
          <w:sz w:val="24"/>
          <w:szCs w:val="24"/>
          <w:lang w:eastAsia="es-ES"/>
        </w:rPr>
      </w:pPr>
      <w:r>
        <w:br w:type="page"/>
      </w:r>
    </w:p>
    <w:p w14:paraId="109CA58D" w14:textId="77777777" w:rsidR="009D7677" w:rsidRDefault="009D7677" w:rsidP="009D7677">
      <w:pPr>
        <w:pStyle w:val="TtuloResolucin"/>
      </w:pPr>
      <w:bookmarkStart w:id="9" w:name="SENTENCIA_2024_7"/>
      <w:r>
        <w:lastRenderedPageBreak/>
        <w:t>SENTENCIA 7/2024, de 16 de enero de 2024</w:t>
      </w:r>
    </w:p>
    <w:bookmarkEnd w:id="9"/>
    <w:p w14:paraId="594CF1C1" w14:textId="77777777" w:rsidR="009D7677" w:rsidRDefault="009D7677" w:rsidP="009D7677">
      <w:pPr>
        <w:pStyle w:val="TtuloResolucin"/>
      </w:pPr>
      <w:r>
        <w:t>Pleno</w:t>
      </w:r>
    </w:p>
    <w:p w14:paraId="6E339FA0" w14:textId="77777777" w:rsidR="009D7677" w:rsidRDefault="009D7677" w:rsidP="009D7677">
      <w:pPr>
        <w:pStyle w:val="TtuloBOE"/>
      </w:pPr>
      <w:r>
        <w:t>(BOE núm. 45, de 20 de febrero de 2024)</w:t>
      </w:r>
    </w:p>
    <w:p w14:paraId="75B57682" w14:textId="77777777" w:rsidR="009D7677" w:rsidRDefault="009D7677" w:rsidP="009D7677">
      <w:pPr>
        <w:pStyle w:val="TextoNormalCentrado"/>
      </w:pPr>
      <w:r>
        <w:t>ECLI:ES:TC:2024:7</w:t>
      </w:r>
    </w:p>
    <w:p w14:paraId="3878124C" w14:textId="7162C892" w:rsidR="009D7677" w:rsidRDefault="009D7677" w:rsidP="009D7677">
      <w:pPr>
        <w:pStyle w:val="TextoNormalCentrado"/>
      </w:pPr>
    </w:p>
    <w:p w14:paraId="0A5AB5C8" w14:textId="77777777" w:rsidR="009D7677" w:rsidRDefault="009D7677" w:rsidP="009D7677">
      <w:pPr>
        <w:pStyle w:val="SntesisDescriptiva"/>
      </w:pPr>
      <w:r>
        <w:t>Recurso de inconstitucionalidad 7007-2021. Interpuesto por más de cincuenta diputados del Grupo Parlamentario Vox del Congreso de los Diputados en relación con el artículo 2.2 del Real Decreto-ley 16/2021, de 3 de agosto, por el que se adoptan medidas de protección social para hacer frente a situaciones de vulnerabilidad social y económica.</w:t>
      </w:r>
    </w:p>
    <w:p w14:paraId="5301B429" w14:textId="7C0942F5" w:rsidR="009D7677" w:rsidRDefault="009D7677" w:rsidP="009D7677">
      <w:pPr>
        <w:pStyle w:val="SntesisDescriptiva"/>
      </w:pPr>
    </w:p>
    <w:p w14:paraId="2D989644" w14:textId="77777777" w:rsidR="009D7677" w:rsidRDefault="009D7677" w:rsidP="009D7677">
      <w:pPr>
        <w:pStyle w:val="SntesisAnaltica"/>
      </w:pPr>
      <w:r>
        <w:t>Límites materiales de los decretos leyes: constitucionalidad de la atribución al juez de un margen de apreciación para acordar, en las circunstancias concurrentes en pandemia, la suspensión del lanzamiento de la vivienda habitual habitada sin título para ello (SSTC 9/2023 y 15/2023). Voto particular.</w:t>
      </w:r>
    </w:p>
    <w:p w14:paraId="5F1E9F8D" w14:textId="6D6A99BB" w:rsidR="009D7677" w:rsidRDefault="009D7677" w:rsidP="009D7677">
      <w:pPr>
        <w:pStyle w:val="SntesisAnaltica"/>
      </w:pPr>
    </w:p>
    <w:p w14:paraId="55F7FCB1" w14:textId="6B7D5A6F" w:rsidR="009D7677" w:rsidRDefault="009D7677" w:rsidP="009D7677">
      <w:pPr>
        <w:pStyle w:val="Extracto"/>
      </w:pPr>
      <w:r>
        <w:t>1.</w:t>
      </w:r>
      <w:r>
        <w:tab/>
        <w:t>Reiteración de doctrina constitucional relativa a la fiscalización de la concurrencia del presupuesto habilitante respecto de preceptos específicos de los decretos-leyes. El hecho de que un mismo decreto-ley adopte medidas que pertenezcan a sectores materiales distintos, no solo obliga a analizar el presupuesto habilitante desde una visión global, sino que en todo caso exige una justificación ad casum en relación con cada una de las medidas (SSTC 15/2023 o 27/2015) [FJ 3].</w:t>
      </w:r>
    </w:p>
    <w:p w14:paraId="709DDE7F" w14:textId="77777777" w:rsidR="009D7677" w:rsidRDefault="009D7677" w:rsidP="009D7677">
      <w:pPr>
        <w:pStyle w:val="Extracto"/>
      </w:pPr>
    </w:p>
    <w:p w14:paraId="4F398EA2" w14:textId="20925D25" w:rsidR="009D7677" w:rsidRDefault="009D7677" w:rsidP="009D7677">
      <w:pPr>
        <w:pStyle w:val="Extracto"/>
      </w:pPr>
      <w:r>
        <w:t>2.</w:t>
      </w:r>
      <w:r>
        <w:tab/>
        <w:t>De conformidad con el art. 86.1 CE, no vulneran los límites del decreto-ley las previsiones sobre una medida limitada en cuanto a su ámbito de aplicación subjetivo, objetivo y temporal, que ni tiene por objeto una regulación directa y general del derecho de propiedad de la vivienda (art. 33 CE), ni afecta, por ello, a su contenido esencial [FJ 7].</w:t>
      </w:r>
    </w:p>
    <w:p w14:paraId="2CB4FBBB" w14:textId="77777777" w:rsidR="009D7677" w:rsidRDefault="009D7677" w:rsidP="009D7677">
      <w:pPr>
        <w:pStyle w:val="Extracto"/>
      </w:pPr>
    </w:p>
    <w:p w14:paraId="0554E150" w14:textId="77777777" w:rsidR="009D7677" w:rsidRDefault="009D7677" w:rsidP="009D7677">
      <w:pPr>
        <w:pStyle w:val="Extracto"/>
      </w:pPr>
    </w:p>
    <w:p w14:paraId="2035C936" w14:textId="77777777" w:rsidR="009D7677" w:rsidRDefault="009D7677" w:rsidP="009D7677">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5822FFF9" w14:textId="3B61563A" w:rsidR="009D7677" w:rsidRDefault="009D7677" w:rsidP="009D7677">
      <w:pPr>
        <w:pStyle w:val="TextoNormal"/>
      </w:pPr>
    </w:p>
    <w:p w14:paraId="7F6A33C3" w14:textId="77777777" w:rsidR="009D7677" w:rsidRDefault="009D7677" w:rsidP="009D7677">
      <w:pPr>
        <w:pStyle w:val="TextoNormalCentrado"/>
        <w:keepNext/>
      </w:pPr>
      <w:r>
        <w:t>EN NOMBRE DEL REY</w:t>
      </w:r>
    </w:p>
    <w:p w14:paraId="14367167" w14:textId="07A927D8" w:rsidR="009D7677" w:rsidRDefault="009D7677" w:rsidP="009D7677">
      <w:pPr>
        <w:pStyle w:val="TextoNormalCentrado"/>
        <w:keepNext/>
      </w:pPr>
    </w:p>
    <w:p w14:paraId="3D196550" w14:textId="77777777" w:rsidR="009D7677" w:rsidRDefault="009D7677" w:rsidP="009D7677">
      <w:pPr>
        <w:pStyle w:val="TextoNormalCentrado"/>
        <w:keepNext/>
      </w:pPr>
    </w:p>
    <w:p w14:paraId="467FB276" w14:textId="77777777" w:rsidR="009D7677" w:rsidRDefault="009D7677" w:rsidP="009D7677">
      <w:pPr>
        <w:pStyle w:val="TextoNormal"/>
      </w:pPr>
      <w:r>
        <w:t>la siguiente</w:t>
      </w:r>
    </w:p>
    <w:p w14:paraId="0E5414A5" w14:textId="4AA8BDA1" w:rsidR="009D7677" w:rsidRDefault="009D7677" w:rsidP="009D7677">
      <w:pPr>
        <w:pStyle w:val="TextoNormal"/>
      </w:pPr>
    </w:p>
    <w:p w14:paraId="088EAE6F" w14:textId="77777777" w:rsidR="009D7677" w:rsidRDefault="009D7677" w:rsidP="009D7677">
      <w:pPr>
        <w:pStyle w:val="TextoNormalCentrado"/>
        <w:keepNext/>
      </w:pPr>
      <w:r>
        <w:t>SENTENCIA</w:t>
      </w:r>
    </w:p>
    <w:p w14:paraId="38A962F7" w14:textId="5546649D" w:rsidR="009D7677" w:rsidRDefault="009D7677" w:rsidP="009D7677">
      <w:pPr>
        <w:pStyle w:val="TextoNormalCentrado"/>
        <w:keepNext/>
      </w:pPr>
    </w:p>
    <w:p w14:paraId="1E787649" w14:textId="77777777" w:rsidR="009D7677" w:rsidRDefault="009D7677" w:rsidP="009D7677">
      <w:pPr>
        <w:pStyle w:val="TextoNormal"/>
      </w:pPr>
      <w:r>
        <w:t xml:space="preserve">En el recurso de inconstitucionalidad núm. 7007-2021, interpuesto por cincuenta y dos diputados del Grupo Parlamentario Vox del Congreso de los Diputados contra el artículo 2.2 del Real Decreto-ley 16/2021, de 3 de agosto, por el que se adoptan medidas de protección social para hacer frente a situaciones de vulnerabilidad social y económica. Ha </w:t>
      </w:r>
      <w:r>
        <w:lastRenderedPageBreak/>
        <w:t>formulado alegaciones el Gobierno de la Nación. Ha sido ponente el magistrado don Ramón Sáez Valcárcel.</w:t>
      </w:r>
    </w:p>
    <w:p w14:paraId="5993BFD7" w14:textId="142304B6" w:rsidR="009D7677" w:rsidRDefault="009D7677" w:rsidP="009D7677">
      <w:pPr>
        <w:pStyle w:val="TextoNormal"/>
      </w:pPr>
    </w:p>
    <w:p w14:paraId="54032DE0" w14:textId="77777777" w:rsidR="009D7677" w:rsidRDefault="009D7677" w:rsidP="009D7677">
      <w:pPr>
        <w:pStyle w:val="TextoNormalNegritaCentrado"/>
        <w:keepNext/>
      </w:pPr>
      <w:r>
        <w:t>I. Antecedentes</w:t>
      </w:r>
    </w:p>
    <w:p w14:paraId="349F8699" w14:textId="66FB5BF2" w:rsidR="009D7677" w:rsidRDefault="009D7677" w:rsidP="009D7677">
      <w:pPr>
        <w:pStyle w:val="TextoNormalNegritaCentrado"/>
        <w:keepNext/>
      </w:pPr>
    </w:p>
    <w:p w14:paraId="3B9DA2A9" w14:textId="77777777" w:rsidR="009D7677" w:rsidRDefault="009D7677" w:rsidP="009D7677">
      <w:pPr>
        <w:pStyle w:val="TextoNormal"/>
      </w:pPr>
      <w:r w:rsidRPr="009D7677">
        <w:rPr>
          <w:rStyle w:val="NumeroAFNegritaCaracter"/>
        </w:rPr>
        <w:t>1</w:t>
      </w:r>
      <w:r>
        <w:t>. Mediante escrito presentado en el registro del Tribunal el día 4 de noviembre de 2021, don Antonio Ortega Fuentes, procurador de los tribunales, y don Juan José Aizcorbe Torra, comisionado al efecto por cincuenta y dos diputados del Grupo Parlamentario Vox del Congreso de los Diputados, interpusieron recurso de inconstitucionalidad contra el artículo 2.2 del Real Decreto-ley 16/2021, de 3 de agosto, por el que se adoptan medidas de protección social para hacer frente a situaciones de vulnerabilidad social y económica.</w:t>
      </w:r>
    </w:p>
    <w:p w14:paraId="31A6E776" w14:textId="77777777" w:rsidR="009D7677" w:rsidRDefault="009D7677" w:rsidP="009D7677">
      <w:pPr>
        <w:pStyle w:val="TextoNormal"/>
      </w:pPr>
    </w:p>
    <w:p w14:paraId="6A7505FF" w14:textId="77777777" w:rsidR="009D7677" w:rsidRDefault="009D7677" w:rsidP="009D7677">
      <w:pPr>
        <w:pStyle w:val="TextoNormal"/>
      </w:pPr>
      <w:r>
        <w:t xml:space="preserve">Este artículo 2.2 da nueva redacción al artículo 1 </w:t>
      </w:r>
      <w:r w:rsidRPr="009D7677">
        <w:rPr>
          <w:i/>
        </w:rPr>
        <w:t>bis</w:t>
      </w:r>
      <w:r>
        <w:t xml:space="preserve"> del Real Decreto-ley 11/2020, de 31 de marzo, por el que se adoptan medidas urgentes complementarias en el ámbito social y económico para hacer frente al covid-19. El recurso se limita expresamente a los nuevos apartados 1 y 7 c) de este último precepto, que tienen el siguiente tenor:</w:t>
      </w:r>
    </w:p>
    <w:p w14:paraId="4B973DB3" w14:textId="77777777" w:rsidR="009D7677" w:rsidRDefault="009D7677" w:rsidP="009D7677">
      <w:pPr>
        <w:pStyle w:val="TextoNormal"/>
      </w:pPr>
    </w:p>
    <w:p w14:paraId="141B1282" w14:textId="77777777" w:rsidR="009D7677" w:rsidRDefault="009D7677" w:rsidP="009D7677">
      <w:pPr>
        <w:pStyle w:val="TextoNormal"/>
      </w:pPr>
      <w:r>
        <w:t>“1. Desde la entrada en vigor del presente real decreto-ley y hasta el 31 de octubre de 2021, en todos los juicios verbales en los que se sustancien las demandas a las que se refieren los apartados 2, 4 y 7 del artículo 250.1 de la Ley 1/2000, de 7 de enero, de enjuiciamiento civil, y en aquellos otros procesos penales en los que se sustancie el lanzamiento de la vivienda habitual de aquellas personas que la estén habitando sin ningún título habilitante para ello, el juez tendrá la facultad de suspender el lanzamiento hasta el 31 de octubre de 2021.</w:t>
      </w:r>
    </w:p>
    <w:p w14:paraId="6F296F37" w14:textId="77777777" w:rsidR="009D7677" w:rsidRDefault="009D7677" w:rsidP="009D7677">
      <w:pPr>
        <w:pStyle w:val="TextoNormal"/>
      </w:pPr>
    </w:p>
    <w:p w14:paraId="142050D7" w14:textId="77777777" w:rsidR="009D7677" w:rsidRDefault="009D7677" w:rsidP="009D7677">
      <w:pPr>
        <w:pStyle w:val="TextoNormal"/>
      </w:pPr>
      <w:r>
        <w:t>Estas medidas de suspensión que se establecen con carácter extraordinario y temporal, dejarán de surtir efecto en todo caso el 31 de octubre de 2021.</w:t>
      </w:r>
    </w:p>
    <w:p w14:paraId="7DE21381" w14:textId="77777777" w:rsidR="009D7677" w:rsidRDefault="009D7677" w:rsidP="009D7677">
      <w:pPr>
        <w:pStyle w:val="TextoNormal"/>
      </w:pPr>
    </w:p>
    <w:p w14:paraId="2D75AF9D" w14:textId="77777777" w:rsidR="009D7677" w:rsidRDefault="009D7677" w:rsidP="009D7677">
      <w:pPr>
        <w:pStyle w:val="TextoNormal"/>
      </w:pPr>
      <w:r>
        <w:t>[…]</w:t>
      </w:r>
    </w:p>
    <w:p w14:paraId="01A650E8" w14:textId="77777777" w:rsidR="009D7677" w:rsidRDefault="009D7677" w:rsidP="009D7677">
      <w:pPr>
        <w:pStyle w:val="TextoNormal"/>
      </w:pPr>
    </w:p>
    <w:p w14:paraId="49E2643B" w14:textId="77777777" w:rsidR="009D7677" w:rsidRDefault="009D7677" w:rsidP="009D7677">
      <w:pPr>
        <w:pStyle w:val="TextoNormal"/>
      </w:pPr>
      <w:r>
        <w:t>7. En ningún caso procederá la suspensión a que se refiere este artículo si la entrada o permanencia en la vivienda ha tenido lugar en los siguientes supuestos:</w:t>
      </w:r>
    </w:p>
    <w:p w14:paraId="6BA82D8D" w14:textId="77777777" w:rsidR="009D7677" w:rsidRDefault="009D7677" w:rsidP="009D7677">
      <w:pPr>
        <w:pStyle w:val="TextoNormal"/>
      </w:pPr>
    </w:p>
    <w:p w14:paraId="45D970F4" w14:textId="77777777" w:rsidR="009D7677" w:rsidRDefault="009D7677" w:rsidP="009D7677">
      <w:pPr>
        <w:pStyle w:val="TextoNormal"/>
      </w:pPr>
      <w:r>
        <w:t>[…]</w:t>
      </w:r>
    </w:p>
    <w:p w14:paraId="434B7A6E" w14:textId="77777777" w:rsidR="009D7677" w:rsidRDefault="009D7677" w:rsidP="009D7677">
      <w:pPr>
        <w:pStyle w:val="TextoNormal"/>
      </w:pPr>
    </w:p>
    <w:p w14:paraId="0D2C0D62" w14:textId="77777777" w:rsidR="009D7677" w:rsidRDefault="009D7677" w:rsidP="009D7677">
      <w:pPr>
        <w:pStyle w:val="TextoNormal"/>
      </w:pPr>
      <w:r>
        <w:t>c) Cuando la entrada o permanencia en el inmueble se haya producido mediando intimidación o violencia sobre las personas”.</w:t>
      </w:r>
    </w:p>
    <w:p w14:paraId="16766AD6" w14:textId="77777777" w:rsidR="009D7677" w:rsidRDefault="009D7677" w:rsidP="009D7677">
      <w:pPr>
        <w:pStyle w:val="TextoNormal"/>
      </w:pPr>
    </w:p>
    <w:p w14:paraId="049ECA91" w14:textId="77777777" w:rsidR="009D7677" w:rsidRDefault="009D7677" w:rsidP="009D7677">
      <w:pPr>
        <w:pStyle w:val="TextoNormal"/>
      </w:pPr>
      <w:r>
        <w:t xml:space="preserve">Estos apartados prorrogan hasta el 31 de octubre de 2021 la posibilidad de suspender los lanzamientos en “procesos penales” dirigidos contra “aquellas personas que estén habitando [una vivienda habitual] sin ningún título habilitante para ello” excepto cuando “la entrada o permanencia en el inmueble se haya producido mediando intimidación o violencia sobre las personas”. Según los recurrentes, los apartados recurridos incurren en los mismos motivos de inconstitucionalidad que ya hicieron valer en el recurso de inconstitucionalidad que interpusieron contra la versión anterior de estos mismos incisos del art. 1 </w:t>
      </w:r>
      <w:r w:rsidRPr="009D7677">
        <w:rPr>
          <w:i/>
        </w:rPr>
        <w:t>bis</w:t>
      </w:r>
      <w:r>
        <w:t xml:space="preserve"> del Real Decreto-ley 11/2020, aprobada por Real Decreto-ley 1/2021, de 19 de enero, </w:t>
      </w:r>
      <w:r>
        <w:lastRenderedPageBreak/>
        <w:t>“de protección de los consumidores y usuarios frente a situaciones de vulnerabilidad social y económica” (recurso de inconstitucionalidad núm. 2222-2021).</w:t>
      </w:r>
    </w:p>
    <w:p w14:paraId="220558E1" w14:textId="77777777" w:rsidR="009D7677" w:rsidRDefault="009D7677" w:rsidP="009D7677">
      <w:pPr>
        <w:pStyle w:val="TextoNormal"/>
      </w:pPr>
    </w:p>
    <w:p w14:paraId="14659391" w14:textId="77777777" w:rsidR="009D7677" w:rsidRDefault="009D7677" w:rsidP="009D7677">
      <w:pPr>
        <w:pStyle w:val="TextoNormal"/>
      </w:pPr>
      <w:r>
        <w:t>Así, “pese a ser conscientes de la gravedad de la crisis ocasionada por la propagación del virus SARS-CoV-2, que constitucionalmente legitima la utilización por el Gobierno de la norma de urgencia”, consideran que los incisos ahora impugnados vulneran, como sus antecesores, el art. 86.1 CE (en cuanto al presupuesto habilitante y a la prohibición de afectar al derecho de propiedad), el art. 33 CE (derecho de propiedad) y el art. 24.1 CE en relación con los arts. 117.3 y 118 CE (derecho a la ejecución de las resoluciones judiciales).</w:t>
      </w:r>
    </w:p>
    <w:p w14:paraId="43DC2C0F" w14:textId="77777777" w:rsidR="009D7677" w:rsidRDefault="009D7677" w:rsidP="009D7677">
      <w:pPr>
        <w:pStyle w:val="TextoNormal"/>
      </w:pPr>
    </w:p>
    <w:p w14:paraId="2FA73E83" w14:textId="77777777" w:rsidR="009D7677" w:rsidRDefault="009D7677" w:rsidP="009D7677">
      <w:pPr>
        <w:pStyle w:val="TextoNormal"/>
      </w:pPr>
      <w:r>
        <w:t>A) Presupuesto habilitante: extraordinaria y urgente necesidad, y conexión de sentido</w:t>
      </w:r>
    </w:p>
    <w:p w14:paraId="687C0198" w14:textId="77777777" w:rsidR="009D7677" w:rsidRDefault="009D7677" w:rsidP="009D7677">
      <w:pPr>
        <w:pStyle w:val="TextoNormal"/>
      </w:pPr>
    </w:p>
    <w:p w14:paraId="19B20C93" w14:textId="77777777" w:rsidR="009D7677" w:rsidRDefault="009D7677" w:rsidP="009D7677">
      <w:pPr>
        <w:pStyle w:val="TextoNormal"/>
      </w:pPr>
      <w:r>
        <w:t>a) Falta de suficiente explicitación de la extraordinaria y urgente necesidad</w:t>
      </w:r>
    </w:p>
    <w:p w14:paraId="35C9DC7A" w14:textId="77777777" w:rsidR="009D7677" w:rsidRDefault="009D7677" w:rsidP="009D7677">
      <w:pPr>
        <w:pStyle w:val="TextoNormal"/>
      </w:pPr>
    </w:p>
    <w:p w14:paraId="6D404560" w14:textId="77777777" w:rsidR="009D7677" w:rsidRDefault="009D7677" w:rsidP="009D7677">
      <w:pPr>
        <w:pStyle w:val="TextoNormal"/>
      </w:pPr>
      <w:r>
        <w:t>Tras el examen de la evolución sufrida por la normativa cuestionada dictada siempre por el Gobierno mediante decretos-leyes, los recurrentes afirman que el preámbulo del Real Decreto-ley 16/2021 “se afana en justificar formalmente la urgente necesidad de las modificaciones que introduce en el Real Decreto-ley 11/2020” pero las razones ofrecidas (genéricas) solo evidencian la utilización abusiva de este instrumento legislativo. En este sentido, alegan que en el apartado II se señala la extensión hasta el 31 de octubre de las medidas de protección en situaciones de vulnerabilidad en materia de vivienda “con objeto de atender a la realidad social y económica de los hogares”, y que en el apartado III se continúa invocando la situación derivada de la crisis sanitaria para justificar la concurrencia del presupuesto habilitante, vinculándola incluso con la actividad judicial. Pero aun así, la extraordinaria y urgente necesidad no se ampara: (i) ni en los datos de los boletines estadísticos del Consejo General del Poder Judicial y de los servicios comunes de notificaciones y embargos, que cita la exposición de motivos (apartado III); (ii) ni en “la desaparición del efecto derivado de otras medidas de protección social, unida a la prolongación de las medidas administrativas de contención de los contagios (fundamentalmente restricción de horarios y otras específicas del sector turístico)” (</w:t>
      </w:r>
      <w:r w:rsidRPr="009D7677">
        <w:rPr>
          <w:i/>
        </w:rPr>
        <w:t>ibid</w:t>
      </w:r>
      <w:r>
        <w:t xml:space="preserve">); (iii) ni en la “sobreexposición financiera al pago del alquiler que caracteriza nuestro país”; (iv) ni en “la insuficiencia de uno de los instrumentos principales de política de vivienda para atender a las situaciones de mayor vulnerabilidad, como es el parque de vivienda social de las distintas administraciones territoriales competentes”. Y no concurre el presupuesto habilitante “dada la manifiesta previsibilidad de [est]a ampliación temporal”. Asimismo, sostienen que las circunstancias de salida de la crisis social y sanitaria derivada de la pandemia (enumeradas en el apartado IV) no pueden erigirse perpetuamente en legitimadoras de la actuación inconstitucional del Gobierno. En este sentido, manifiestan que teniendo en cuenta la declaración de inconstitucionalidad de los estados de alarma declarados por el Gobierno, procede concluir que una vez finalizada su vigencia (en el que se amparaba la inicial suspensión de lanzamientos en el art. 1 </w:t>
      </w:r>
      <w:r w:rsidRPr="009D7677">
        <w:rPr>
          <w:i/>
        </w:rPr>
        <w:t>bis</w:t>
      </w:r>
      <w:r>
        <w:t xml:space="preserve"> original) ya no procede continuar manteniendo la medida impugnada.</w:t>
      </w:r>
    </w:p>
    <w:p w14:paraId="374A7566" w14:textId="77777777" w:rsidR="009D7677" w:rsidRDefault="009D7677" w:rsidP="009D7677">
      <w:pPr>
        <w:pStyle w:val="TextoNormal"/>
      </w:pPr>
    </w:p>
    <w:p w14:paraId="199C376F" w14:textId="77777777" w:rsidR="009D7677" w:rsidRDefault="009D7677" w:rsidP="009D7677">
      <w:pPr>
        <w:pStyle w:val="TextoNormal"/>
      </w:pPr>
      <w:r>
        <w:t>Por otra parte, los recurrentes reconocen que “la pandemia del covid-19 ha creado una situación de extraordinaria excepcionalidad que justificó acudir a la norma de urgencia prevista en el art 86.1 CE para adoptar las medidas necesarias para hacer frente a la crisis transversal causada por la propagación del virus”. Sin embargo, entienden que “la declara</w:t>
      </w:r>
      <w:r>
        <w:lastRenderedPageBreak/>
        <w:t>ción de un estado de excepción o las situaciones de emergencia, por muy justificadas que estén, no pueden suponer, en ningún caso, una suspensión genérica de la Constitución”; por lo que no cabe por esta causa despenalizar una conducta que, como la ocupación al margen de la legalidad vigente, reviste los caracteres necesarios para su subsunción en uno de los tipos expresamente recogidos en el Código penal.</w:t>
      </w:r>
    </w:p>
    <w:p w14:paraId="491555BF" w14:textId="77777777" w:rsidR="009D7677" w:rsidRDefault="009D7677" w:rsidP="009D7677">
      <w:pPr>
        <w:pStyle w:val="TextoNormal"/>
      </w:pPr>
    </w:p>
    <w:p w14:paraId="2F8B9E80" w14:textId="77777777" w:rsidR="009D7677" w:rsidRDefault="009D7677" w:rsidP="009D7677">
      <w:pPr>
        <w:pStyle w:val="TextoNormal"/>
      </w:pPr>
      <w:r>
        <w:t>b) Falta de concurrencia de la extraordinaria y urgente necesidad</w:t>
      </w:r>
    </w:p>
    <w:p w14:paraId="7E63319B" w14:textId="77777777" w:rsidR="009D7677" w:rsidRDefault="009D7677" w:rsidP="009D7677">
      <w:pPr>
        <w:pStyle w:val="TextoNormal"/>
      </w:pPr>
    </w:p>
    <w:p w14:paraId="27B112D4" w14:textId="77777777" w:rsidR="009D7677" w:rsidRDefault="009D7677" w:rsidP="009D7677">
      <w:pPr>
        <w:pStyle w:val="TextoNormal"/>
      </w:pPr>
      <w:r>
        <w:t>La demanda sostiene que el Gobierno no acredita la concurrencia del presupuesto habilitante respecto al art. 2.2 del Real Decreto-ley 16/2021, sino que pretende ampararse en el presupuesto habilitante de la norma prorrogada. Con ello se produce: (i) un vaciamiento de la exigencia de la extraordinaria y urgente necesidad del art. 86.1 CE, y (ii) una invasión de la potestad que de ordinario pertenece en exclusiva al poder legislativo, con grave lesión de los derechos de las minorías parlamentarias.</w:t>
      </w:r>
    </w:p>
    <w:p w14:paraId="6C16EC01" w14:textId="77777777" w:rsidR="009D7677" w:rsidRDefault="009D7677" w:rsidP="009D7677">
      <w:pPr>
        <w:pStyle w:val="TextoNormal"/>
      </w:pPr>
    </w:p>
    <w:p w14:paraId="3DF0C612" w14:textId="77777777" w:rsidR="009D7677" w:rsidRDefault="009D7677" w:rsidP="009D7677">
      <w:pPr>
        <w:pStyle w:val="TextoNormal"/>
      </w:pPr>
      <w:r>
        <w:t xml:space="preserve">Igualmente se indica que en el debate parlamentario de convalidación ante el Congreso del día 13 de septiembre de 2021, en sesión plenaria núm. 114, tampoco se justifica el precepto impugnado, reiterando escuetamente las razones ya recogidas en la exposición de motivos. Para acreditar lo afirmado se reproducen en este recurso de inconstitucionalidad algunos pasajes de la intervención del ministro de Presidencia, Relaciones con las Cortes y Memoria Democrática. En este sentido, se asevera que, pese a que el Gobierno trata de ofrecer una justificación formal sobre la concurrencia del presupuesto habilitante (contenida en el preámbulo de la norma cuestionada y defendida en el trámite parlamentario de convalidación), se trata de medidas adoptadas tras finalizar el estado de alarma, prorrogando la suspensión de los lanzamientos (apartado 1 del art. 1 </w:t>
      </w:r>
      <w:r w:rsidRPr="009D7677">
        <w:rPr>
          <w:i/>
        </w:rPr>
        <w:t>bis</w:t>
      </w:r>
      <w:r>
        <w:t xml:space="preserve">) y manteniendo intacto el supuesto de exclusión de la suspensión que se impugna [apartado 7 c) del art. 1 </w:t>
      </w:r>
      <w:r w:rsidRPr="009D7677">
        <w:rPr>
          <w:i/>
        </w:rPr>
        <w:t>bis</w:t>
      </w:r>
      <w:r>
        <w:t>]. Y una vez finalizado el estado de alarma decae la extraordinaria y urgente necesidad para su mantenimiento.</w:t>
      </w:r>
    </w:p>
    <w:p w14:paraId="5ED3951D" w14:textId="77777777" w:rsidR="009D7677" w:rsidRDefault="009D7677" w:rsidP="009D7677">
      <w:pPr>
        <w:pStyle w:val="TextoNormal"/>
      </w:pPr>
    </w:p>
    <w:p w14:paraId="532F0CCE" w14:textId="77777777" w:rsidR="009D7677" w:rsidRDefault="009D7677" w:rsidP="009D7677">
      <w:pPr>
        <w:pStyle w:val="TextoNormal"/>
      </w:pPr>
      <w:r>
        <w:t>c) Falta de la necesaria conexión de sentido</w:t>
      </w:r>
    </w:p>
    <w:p w14:paraId="75A99396" w14:textId="77777777" w:rsidR="009D7677" w:rsidRDefault="009D7677" w:rsidP="009D7677">
      <w:pPr>
        <w:pStyle w:val="TextoNormal"/>
      </w:pPr>
    </w:p>
    <w:p w14:paraId="0B2ED8F5" w14:textId="77777777" w:rsidR="009D7677" w:rsidRDefault="009D7677" w:rsidP="009D7677">
      <w:pPr>
        <w:pStyle w:val="TextoNormal"/>
      </w:pPr>
      <w:r>
        <w:t>A continuación, los diputados recurrentes se refieren a la falta de conexión de sentido de la medida aprobada con la situación de urgencia definida. A su juicio, no existe ninguna conexión entre la protección de personas vulnerables (objetivo perseguido) y amparar situaciones delictivas, refiriéndose al subapartado 7 c) y al delito de usurpación (ocupación de vivienda ajena) sin violencia o intimidación del art. 245.2 del Código penal. La extensión de la posibilidad de suspender el lanzamiento en estos procesos penales hasta el 31 de octubre de 2021, una vez vencido el estado de alarma, entraña salvaguardar situaciones contrarias a derecho y ello nunca admite apreciar conexión con el presupuesto habilitante.</w:t>
      </w:r>
    </w:p>
    <w:p w14:paraId="591982D1" w14:textId="77777777" w:rsidR="009D7677" w:rsidRDefault="009D7677" w:rsidP="009D7677">
      <w:pPr>
        <w:pStyle w:val="TextoNormal"/>
      </w:pPr>
    </w:p>
    <w:p w14:paraId="531CC4E8" w14:textId="77777777" w:rsidR="009D7677" w:rsidRDefault="009D7677" w:rsidP="009D7677">
      <w:pPr>
        <w:pStyle w:val="TextoNormal"/>
      </w:pPr>
      <w:r>
        <w:t>B) Vulneración del art. 86.1, en relación con el art. 33, por “afectar” el decreto-ley al derecho de propiedad</w:t>
      </w:r>
    </w:p>
    <w:p w14:paraId="46AE85D9" w14:textId="77777777" w:rsidR="009D7677" w:rsidRDefault="009D7677" w:rsidP="009D7677">
      <w:pPr>
        <w:pStyle w:val="TextoNormal"/>
      </w:pPr>
    </w:p>
    <w:p w14:paraId="4AD13767" w14:textId="77777777" w:rsidR="009D7677" w:rsidRDefault="009D7677" w:rsidP="009D7677">
      <w:pPr>
        <w:pStyle w:val="TextoNormal"/>
      </w:pPr>
      <w:r>
        <w:t xml:space="preserve">Esta demanda denuncia que la ampliación de la potestad judicial de suspensión operada por los incisos impugnados supone definir la función social del derecho de propiedad privada sobre las viviendas y afecta a su contenido esencial. Y ello porque la imposición directa a los propietarios, mediante la suspensión del lanzamiento ya decretado, del deber de </w:t>
      </w:r>
      <w:r>
        <w:lastRenderedPageBreak/>
        <w:t>aceptar el uso de su vivienda por quien accede a su ocupación de manera ilegal, configura un régimen general del derecho de propiedad (art. 33 CE) infringiendo los límites materiales de los decretos-leyes (art. 86.1 CE).</w:t>
      </w:r>
    </w:p>
    <w:p w14:paraId="65CFF59A" w14:textId="77777777" w:rsidR="009D7677" w:rsidRDefault="009D7677" w:rsidP="009D7677">
      <w:pPr>
        <w:pStyle w:val="TextoNormal"/>
      </w:pPr>
    </w:p>
    <w:p w14:paraId="7D400079" w14:textId="77777777" w:rsidR="009D7677" w:rsidRDefault="009D7677" w:rsidP="009D7677">
      <w:pPr>
        <w:pStyle w:val="TextoNormal"/>
      </w:pPr>
      <w:r>
        <w:t>Con cita de la STC 16/2021, FFJJ 5 e) y 13, se afirma que la norma ha excedido el marco de medidas protectoras de los decretos-leyes anteriores (Real Decreto-ley 11/2020 y Real Decreto-ley 37/2020) y, que continuando la senda del Real Decreto-ley 1/2021 (cuya prórroga es objeto del presente recurso de inconstitucionalidad), se regula una medida coactiva, no voluntaria, limitativa del derecho de propiedad de la máxima intensidad que constriñe ilegalmente los derechos de los propietarios mediante la habilitación al juez para suspender lanzamientos, aun cuando la ocupación de la vivienda proceda de un acto delictivo.</w:t>
      </w:r>
    </w:p>
    <w:p w14:paraId="29A3282E" w14:textId="77777777" w:rsidR="009D7677" w:rsidRDefault="009D7677" w:rsidP="009D7677">
      <w:pPr>
        <w:pStyle w:val="TextoNormal"/>
      </w:pPr>
    </w:p>
    <w:p w14:paraId="5B895363" w14:textId="77777777" w:rsidR="009D7677" w:rsidRDefault="009D7677" w:rsidP="009D7677">
      <w:pPr>
        <w:pStyle w:val="TextoNormal"/>
      </w:pPr>
      <w:r>
        <w:t>C) Vulneración del art. 33 CE</w:t>
      </w:r>
    </w:p>
    <w:p w14:paraId="4052D73B" w14:textId="77777777" w:rsidR="009D7677" w:rsidRDefault="009D7677" w:rsidP="009D7677">
      <w:pPr>
        <w:pStyle w:val="TextoNormal"/>
      </w:pPr>
    </w:p>
    <w:p w14:paraId="150F3F97" w14:textId="77777777" w:rsidR="009D7677" w:rsidRDefault="009D7677" w:rsidP="009D7677">
      <w:pPr>
        <w:pStyle w:val="TextoNormal"/>
      </w:pPr>
      <w:r>
        <w:t xml:space="preserve">Como segunda vertiente se añade la vulneración directa de “los límites de los límites” del derecho de propiedad (art. 33 CE). Citando la STEDH (Gran Sala) de 11 de diciembre de 2018, asunto </w:t>
      </w:r>
      <w:r w:rsidRPr="009D7677">
        <w:rPr>
          <w:i/>
        </w:rPr>
        <w:t>Lekić c. Eslovenia</w:t>
      </w:r>
      <w:r>
        <w:t>, los recurrentes sostienen que la injerencia en el derecho al “disfrute pacífico de la propiedad” debe estar (i) prevista por la ley, (ii) ser “suficientemente accesible, precisa y previsible en su aplicación” y (iii) estar basada en un “justo equilibrio” entre las exigencias del interés general de la comunidad y la salvaguarda de los derechos fundamentales del individuo, lo que trasladado a la Constitución implica previsión legal, respeto al contenido esencial y respeto al principio de proporcionalidad. En consecuencia, al proteger ocupaciones de viviendas calificadas como delito en el Código penal, la norma impugnada vulnera la exigencia de una ley de la “calidad” necesaria, al mantener en el tiempo una situación de inseguridad jurídica difícilmente aceptable. No existe, arguyen, ningún interés general que justifique la medida legislativa recurrida.</w:t>
      </w:r>
    </w:p>
    <w:p w14:paraId="041B8470" w14:textId="77777777" w:rsidR="009D7677" w:rsidRDefault="009D7677" w:rsidP="009D7677">
      <w:pPr>
        <w:pStyle w:val="TextoNormal"/>
      </w:pPr>
    </w:p>
    <w:p w14:paraId="2D179CD9" w14:textId="77777777" w:rsidR="009D7677" w:rsidRDefault="009D7677" w:rsidP="009D7677">
      <w:pPr>
        <w:pStyle w:val="TextoNormal"/>
      </w:pPr>
      <w:r>
        <w:t>A su juicio, la norma recurrida tampoco respeta el “contenido esencial” del derecho de propiedad, que se rebasa o desconoce, según doctrina constitucional, cuando “el derecho queda sometido a limitaciones que lo hacen impracticable, lo dificultan más allá de lo razonable o lo despojan de la necesaria protección” (STC 11/1981, FJ 11) desconociendo el espacio de “utilidad meramente individual” necesario para la preservación del derecho [STC 116/2019, FJ 4 a)]. En este sentido, el precepto impugnado “anula la propiedad privada”, que protege la propiedad de viviendas no solo para su ocupación sino también como fuente de ahorro personal y familiar.</w:t>
      </w:r>
    </w:p>
    <w:p w14:paraId="6BADCF4F" w14:textId="77777777" w:rsidR="009D7677" w:rsidRDefault="009D7677" w:rsidP="009D7677">
      <w:pPr>
        <w:pStyle w:val="TextoNormal"/>
      </w:pPr>
    </w:p>
    <w:p w14:paraId="5B3F3ADF" w14:textId="77777777" w:rsidR="009D7677" w:rsidRDefault="009D7677" w:rsidP="009D7677">
      <w:pPr>
        <w:pStyle w:val="TextoNormal"/>
      </w:pPr>
      <w:r>
        <w:t>Por último, sostienen que esta previsión normativa contraviene el principio de proporcionalidad con sus tres juicios de idoneidad de la medida, necesidad por no existir una alternativa menos restrictiva y proporcionalidad en sentido estricto por derivarse de ella más beneficios o ventajas para el interés general, que perjuicio sobre otros bienes o valores en conflicto. La severa e intensa intervención en la propiedad de la norma recurrida es inidónea para proteger a personas vulnerables, desconoce alternativas menos restrictivas (impulso de la vivienda pública o adquisición directa a los particulares) y provoca más perjuicios que ventajas al extenderse más allá del estado de alarma y privar al propietario de su derecho a la tutela judicial efectiva.</w:t>
      </w:r>
    </w:p>
    <w:p w14:paraId="75564F27" w14:textId="77777777" w:rsidR="009D7677" w:rsidRDefault="009D7677" w:rsidP="009D7677">
      <w:pPr>
        <w:pStyle w:val="TextoNormal"/>
      </w:pPr>
    </w:p>
    <w:p w14:paraId="05432279" w14:textId="77777777" w:rsidR="009D7677" w:rsidRDefault="009D7677" w:rsidP="009D7677">
      <w:pPr>
        <w:pStyle w:val="TextoNormal"/>
      </w:pPr>
      <w:r>
        <w:t>D) Vulneración de los arts. 24, 117.3 y 118 CE</w:t>
      </w:r>
    </w:p>
    <w:p w14:paraId="17853518" w14:textId="77777777" w:rsidR="009D7677" w:rsidRDefault="009D7677" w:rsidP="009D7677">
      <w:pPr>
        <w:pStyle w:val="TextoNormal"/>
      </w:pPr>
    </w:p>
    <w:p w14:paraId="4707362B" w14:textId="77777777" w:rsidR="009D7677" w:rsidRDefault="009D7677" w:rsidP="009D7677">
      <w:pPr>
        <w:pStyle w:val="TextoNormal"/>
      </w:pPr>
      <w:r>
        <w:t>Comienza esta denuncia incidiendo que el derecho a la tutela judicial efectiva comporta no solo el acceso a la jurisdicción sino la configuración de un proceso que discurriendo dentro de un periodo razonable permita al litigante defender sus intereses y obtener una respuesta motivada, y el cumplimiento de lo resuelto, pues solo de esa manera el derecho se hace real y efectivo.</w:t>
      </w:r>
    </w:p>
    <w:p w14:paraId="2E76F4CD" w14:textId="77777777" w:rsidR="009D7677" w:rsidRDefault="009D7677" w:rsidP="009D7677">
      <w:pPr>
        <w:pStyle w:val="TextoNormal"/>
      </w:pPr>
    </w:p>
    <w:p w14:paraId="71FA1DCC" w14:textId="0C04228C" w:rsidR="009D7677" w:rsidRDefault="009D7677" w:rsidP="009D7677">
      <w:pPr>
        <w:pStyle w:val="TextoNormal"/>
      </w:pPr>
      <w:r>
        <w:t xml:space="preserve">Aducen los recurrentes que la norma impugnada sacrifica desproporcionadamente este derecho, al extender la medida inconstitucional introducida por el Real Decreto-ley 1/2021 y anteponer el interés de quien ha delinquido ocupando ilegalmente una vivienda a la ejecución de la resolución judicial que ordena el lanzamiento. La suspensión de este prolonga una situación antijurídica judicialmente declarada e incurre en arbitrariedad, en el sentido otorgado a esta expresión en la interpretación del protocolo núm. 1 del Convenio europeo de derechos humanos por el Tribunal Europeo de Derechos Humanos, en relación con la garantía de juicio justo del art. 6.1 del Convenio europeo de derechos humanos: respeto a las resoluciones judiciales y a que no exista retraso en su ejecución (cita las sentencias de 25 de marzo de 1999, asunto </w:t>
      </w:r>
      <w:r w:rsidRPr="009D7677">
        <w:rPr>
          <w:i/>
        </w:rPr>
        <w:t>Iatridis c. Grecia</w:t>
      </w:r>
      <w:r>
        <w:t xml:space="preserve"> ; de 27 de mayo de 2003, asunto </w:t>
      </w:r>
      <w:r w:rsidRPr="009D7677">
        <w:rPr>
          <w:i/>
        </w:rPr>
        <w:t>Sanglier c. Francia</w:t>
      </w:r>
      <w:r>
        <w:t xml:space="preserve">; de 19 de mayo de 2004, asunto </w:t>
      </w:r>
      <w:r w:rsidRPr="009D7677">
        <w:rPr>
          <w:i/>
        </w:rPr>
        <w:t>Hourmidis c. Grecia</w:t>
      </w:r>
      <w:r>
        <w:t xml:space="preserve">; de 29 de marzo de 2006, asunto </w:t>
      </w:r>
      <w:r w:rsidRPr="009D7677">
        <w:rPr>
          <w:i/>
        </w:rPr>
        <w:t>Scordino c. Italia</w:t>
      </w:r>
      <w:r>
        <w:t xml:space="preserve">, y de 20 de diciembre de 2016, asunto </w:t>
      </w:r>
      <w:r w:rsidRPr="009D7677">
        <w:rPr>
          <w:i/>
        </w:rPr>
        <w:t>Sociedad Anónima del Ucieza c</w:t>
      </w:r>
      <w:r>
        <w:t xml:space="preserve">. </w:t>
      </w:r>
      <w:r w:rsidRPr="009D7677">
        <w:rPr>
          <w:i/>
        </w:rPr>
        <w:t>España</w:t>
      </w:r>
      <w:r>
        <w:t>).</w:t>
      </w:r>
    </w:p>
    <w:p w14:paraId="50A23B7E" w14:textId="77777777" w:rsidR="009D7677" w:rsidRDefault="009D7677" w:rsidP="009D7677">
      <w:pPr>
        <w:pStyle w:val="TextoNormal"/>
      </w:pPr>
    </w:p>
    <w:p w14:paraId="44400783" w14:textId="4570643C" w:rsidR="009D7677" w:rsidRDefault="009D7677" w:rsidP="009D7677">
      <w:pPr>
        <w:pStyle w:val="TextoNormal"/>
      </w:pPr>
      <w:r w:rsidRPr="009D7677">
        <w:rPr>
          <w:rStyle w:val="NumeroAFNegritaCaracter"/>
        </w:rPr>
        <w:t>2</w:t>
      </w:r>
      <w:r>
        <w:t>. Por providencia de 27 de enero de 2022, el Pleno del Tribunal acordó admitir a trámite el recurso de inconstitucionalidad interpuesto y dar traslado de las actuaciones, conforme establece el art. 34 de la Ley Orgánica del Tribunal Constitucional, al Congreso de los Diputados y al Senado, por conducto de sus presidentes, y al Gobierno, a través del ministro de Justicia, al objeto de que, en el plazo de quince días, puedan personarse en el proceso y formular alegaciones, así como publicar la incoación del recurso en el “Boletín Oficial del Estado”.</w:t>
      </w:r>
    </w:p>
    <w:p w14:paraId="4A0B49A8" w14:textId="77777777" w:rsidR="009D7677" w:rsidRDefault="009D7677" w:rsidP="009D7677">
      <w:pPr>
        <w:pStyle w:val="TextoNormal"/>
      </w:pPr>
    </w:p>
    <w:p w14:paraId="0A47EB56" w14:textId="3F9A466C" w:rsidR="009D7677" w:rsidRDefault="009D7677" w:rsidP="009D7677">
      <w:pPr>
        <w:pStyle w:val="TextoNormal"/>
      </w:pPr>
      <w:r w:rsidRPr="009D7677">
        <w:rPr>
          <w:rStyle w:val="NumeroAFNegritaCaracter"/>
        </w:rPr>
        <w:t>3</w:t>
      </w:r>
      <w:r>
        <w:t>. Por escritos presentados el 10 y el 17 de febrero de 2022, el Senado y el Congreso de los Diputados acordaron personarse en el recurso de inconstitucionalidad interpuesto y ofrecer su colaboración al Tribunal de conformidad con el artículo 88.1 de la Ley Orgánica del Tribunal Constitucional.</w:t>
      </w:r>
    </w:p>
    <w:p w14:paraId="524296C6" w14:textId="77777777" w:rsidR="009D7677" w:rsidRDefault="009D7677" w:rsidP="009D7677">
      <w:pPr>
        <w:pStyle w:val="TextoNormal"/>
      </w:pPr>
    </w:p>
    <w:p w14:paraId="17A16331" w14:textId="77777777" w:rsidR="009D7677" w:rsidRDefault="009D7677" w:rsidP="009D7677">
      <w:pPr>
        <w:pStyle w:val="TextoNormal"/>
      </w:pPr>
      <w:r w:rsidRPr="009D7677">
        <w:rPr>
          <w:rStyle w:val="NumeroAFNegritaCaracter"/>
        </w:rPr>
        <w:t>4</w:t>
      </w:r>
      <w:r>
        <w:t>. Por escrito registrado el día 2 de marzo de 2022 el abogado del Estado, en representación del Gobierno de la Nación, formuló sus alegaciones al recurso interpuesto.</w:t>
      </w:r>
    </w:p>
    <w:p w14:paraId="7C1CCBF8" w14:textId="77777777" w:rsidR="009D7677" w:rsidRDefault="009D7677" w:rsidP="009D7677">
      <w:pPr>
        <w:pStyle w:val="TextoNormal"/>
      </w:pPr>
    </w:p>
    <w:p w14:paraId="31159F3E" w14:textId="77777777" w:rsidR="009D7677" w:rsidRDefault="009D7677" w:rsidP="009D7677">
      <w:pPr>
        <w:pStyle w:val="TextoNormal"/>
      </w:pPr>
      <w:r>
        <w:t>a) Tras recordar la doctrina constitucional sobre la necesidad de que el Gobierno efectúe una “presentación explícita y razonada” de la situación de urgencia que permite aprobar el decreto-ley, y reproducir parte de la exposición de motivos del decreto-ley recurrido, el abogado del Estado puntualiza que la norma “en modo alguno provee o legaliza situaciones de impunidad”. No hay “despenalización” de conductas, sino regulación “técnico-jurídica” de la ejecución de los desahucios como “medida adicional” que hubiere de acordarse en un proceso penal, dejando incólumes las potestades de los órganos judiciales de este orden jurisdiccional de acordar la entrada en el inmueble, detener a los presuntos responsables o su prisión provisional.</w:t>
      </w:r>
    </w:p>
    <w:p w14:paraId="59DB2EFC" w14:textId="77777777" w:rsidR="009D7677" w:rsidRDefault="009D7677" w:rsidP="009D7677">
      <w:pPr>
        <w:pStyle w:val="TextoNormal"/>
      </w:pPr>
    </w:p>
    <w:p w14:paraId="230BC717" w14:textId="77777777" w:rsidR="009D7677" w:rsidRDefault="009D7677" w:rsidP="009D7677">
      <w:pPr>
        <w:pStyle w:val="TextoNormal"/>
      </w:pPr>
      <w:r>
        <w:lastRenderedPageBreak/>
        <w:t>Aclarada esta premisa interpretativa, desarrolla los motivos por los que considera que la potestad de suspender los lanzamientos cuestionada por los recurrentes es constitucional. Entiende que se trata de una medida “de corte o perfil humanitario” destinada a evitar el desalojo de familias vulnerables sin alternativa habitacional en un periodo de fuerte incidencia de la pandemia del covid-19. La ponderación de derechos es proporcionada, incorpora medidas de compensación a los propietarios o arrendadores afectados (disposición adicional segunda del Real Decreto-ley 11/2020), es de aplicación inmediata y tiene una vigencia temporal limitada en el tiempo, por lo que no rebasa el margen de apreciación del Gobierno. La necesidad apreciada es, además, imposible de atender de otro modo, dado el tiempo requerido para tramitar una ley en las Cortes Generales.</w:t>
      </w:r>
    </w:p>
    <w:p w14:paraId="0713D1A3" w14:textId="77777777" w:rsidR="009D7677" w:rsidRDefault="009D7677" w:rsidP="009D7677">
      <w:pPr>
        <w:pStyle w:val="TextoNormal"/>
      </w:pPr>
    </w:p>
    <w:p w14:paraId="1A01BF86" w14:textId="77777777" w:rsidR="009D7677" w:rsidRDefault="009D7677" w:rsidP="009D7677">
      <w:pPr>
        <w:pStyle w:val="TextoNormal"/>
      </w:pPr>
      <w:r>
        <w:t xml:space="preserve">b) Niega, en segundo lugar, que se haya producido vulneración del derecho a la tutela judicial efectiva en su modalidad de derecho a la ejecución de resoluciones judiciales. Con cita de la STEDH de 13 de diciembre de 2018, asunto </w:t>
      </w:r>
      <w:r w:rsidRPr="009D7677">
        <w:rPr>
          <w:i/>
        </w:rPr>
        <w:t>Casa di Cura Valle Fiorita S.r.l., c. Italia</w:t>
      </w:r>
      <w:r>
        <w:t>, argumenta que la demora de las autoridades a la hora de ejecutar una orden de desahucio no vulnera el derecho a un juicio equitativo del art. 6.1 del Convenio si obedece a la razón de planificar cuidadosamente el desalojo para preservar el orden público y la asistencia a personas en situación de vulnerabilidad. Subraya que la disposición impugnada solamente concede al juez la facultad de ponderar todos los intereses en juego valorando las especiales circunstancias concurrentes para suspender el lanzamiento. Y que esa necesidad de ponderación antes de acordar la recuperación posesoria ha encontrado acomodo en la jurisprudencia de la Sala de lo Penal del Tribunal Supremo (cita y reproduce ampliamente las SSTS de 23 de noviembre de 2017 y 15 de febrero de 2021).</w:t>
      </w:r>
    </w:p>
    <w:p w14:paraId="0C327681" w14:textId="77777777" w:rsidR="009D7677" w:rsidRDefault="009D7677" w:rsidP="009D7677">
      <w:pPr>
        <w:pStyle w:val="TextoNormal"/>
      </w:pPr>
    </w:p>
    <w:p w14:paraId="758A342A" w14:textId="77777777" w:rsidR="009D7677" w:rsidRDefault="009D7677" w:rsidP="009D7677">
      <w:pPr>
        <w:pStyle w:val="TextoNormal"/>
      </w:pPr>
      <w:r>
        <w:t>c) Por último, a su juicio, no se ha producido afectación indebida al derecho de propiedad, pues la norma no efectúa una regulación directa y con vocación de generalidad de este derecho, como exige la doctrina constitucional (cita la STC 93/2015, FJ 13). La norma impugnada no contiene una suspensión general de lanzamientos sino una habilitación de potestad de valorar cada caso individual. La limitación es, además, proporcionada y razonable, y no deja el derecho irreconocible ni privado de su necesaria protección. No se trata, en definitiva, de una privación singular del art. 33.3 CE sino de una delimitación temporal conforme al art. 33.2 CE basada en la “función social” de la propiedad.</w:t>
      </w:r>
    </w:p>
    <w:p w14:paraId="695AF3F1" w14:textId="77777777" w:rsidR="009D7677" w:rsidRDefault="009D7677" w:rsidP="009D7677">
      <w:pPr>
        <w:pStyle w:val="TextoNormal"/>
      </w:pPr>
    </w:p>
    <w:p w14:paraId="73F5BC00" w14:textId="7144701A" w:rsidR="009D7677" w:rsidRDefault="009D7677" w:rsidP="009D7677">
      <w:pPr>
        <w:pStyle w:val="TextoNormal"/>
      </w:pPr>
      <w:r>
        <w:t>Termina suplicando, por todo ello, la desestimación del recurso interpuesto.</w:t>
      </w:r>
    </w:p>
    <w:p w14:paraId="755A0E27" w14:textId="77777777" w:rsidR="009D7677" w:rsidRDefault="009D7677" w:rsidP="009D7677">
      <w:pPr>
        <w:pStyle w:val="TextoNormal"/>
      </w:pPr>
    </w:p>
    <w:p w14:paraId="4DEC3165" w14:textId="3A7B4AC2" w:rsidR="009D7677" w:rsidRDefault="009D7677" w:rsidP="009D7677">
      <w:pPr>
        <w:pStyle w:val="TextoNormal"/>
      </w:pPr>
      <w:r w:rsidRPr="009D7677">
        <w:rPr>
          <w:rStyle w:val="NumeroAFNegritaCaracter"/>
        </w:rPr>
        <w:t>5</w:t>
      </w:r>
      <w:r>
        <w:t>. Tras la deliberación habida en el Pleno de 12 de diciembre de 2023, el magistrado ponente, don Ricardo Enríquez Sancho, decidió no someter a votación el asunto y declinó la redacción de la resolución. El presidente, por acuerdo de la misma fecha, de conformidad con lo previsto en el art. 206 de la Ley Orgánica del Poder Judicial encomendó su redacción al magistrado don Ramón Sáez Valcárcel.</w:t>
      </w:r>
    </w:p>
    <w:p w14:paraId="585D9003" w14:textId="77777777" w:rsidR="009D7677" w:rsidRDefault="009D7677" w:rsidP="009D7677">
      <w:pPr>
        <w:pStyle w:val="TextoNormal"/>
      </w:pPr>
    </w:p>
    <w:p w14:paraId="4D7AA37A" w14:textId="74DE5DCD" w:rsidR="009D7677" w:rsidRDefault="009D7677" w:rsidP="009D7677">
      <w:pPr>
        <w:pStyle w:val="TextoNormal"/>
      </w:pPr>
      <w:r w:rsidRPr="009D7677">
        <w:rPr>
          <w:rStyle w:val="NumeroAFNegritaCaracter"/>
        </w:rPr>
        <w:t>6</w:t>
      </w:r>
      <w:r>
        <w:t>. Por providencia de 16 de enero de 2024, se señaló ese mismo día para la deliberación y votación de la presente sentencia.</w:t>
      </w:r>
    </w:p>
    <w:p w14:paraId="47E07849" w14:textId="77777777" w:rsidR="009D7677" w:rsidRDefault="009D7677" w:rsidP="009D7677">
      <w:pPr>
        <w:pStyle w:val="TextoNormal"/>
      </w:pPr>
    </w:p>
    <w:p w14:paraId="0B4E96D4" w14:textId="77777777" w:rsidR="009D7677" w:rsidRDefault="009D7677" w:rsidP="009D7677">
      <w:pPr>
        <w:pStyle w:val="TextoNormalNegritaCentrado"/>
        <w:keepNext/>
      </w:pPr>
      <w:r>
        <w:t>II. Fundamentos jurídicos</w:t>
      </w:r>
    </w:p>
    <w:p w14:paraId="2C4EC10D" w14:textId="6450D029" w:rsidR="009D7677" w:rsidRDefault="009D7677" w:rsidP="009D7677">
      <w:pPr>
        <w:pStyle w:val="TextoNormalNegritaCentrado"/>
        <w:keepNext/>
      </w:pPr>
    </w:p>
    <w:p w14:paraId="7EE4C948" w14:textId="77777777" w:rsidR="009D7677" w:rsidRDefault="009D7677" w:rsidP="009D7677">
      <w:pPr>
        <w:pStyle w:val="TextoNormal"/>
      </w:pPr>
      <w:r w:rsidRPr="009D7677">
        <w:rPr>
          <w:rStyle w:val="NumeroAFNegritaCaracter"/>
        </w:rPr>
        <w:t>1</w:t>
      </w:r>
      <w:r>
        <w:t xml:space="preserve">. </w:t>
      </w:r>
      <w:r w:rsidRPr="009D7677">
        <w:rPr>
          <w:i/>
        </w:rPr>
        <w:t>Objeto del proceso y posiciones de las partes</w:t>
      </w:r>
    </w:p>
    <w:p w14:paraId="7D6E1AD2" w14:textId="77777777" w:rsidR="009D7677" w:rsidRDefault="009D7677" w:rsidP="009D7677">
      <w:pPr>
        <w:pStyle w:val="TextoNormal"/>
      </w:pPr>
    </w:p>
    <w:p w14:paraId="43D47FA6" w14:textId="77777777" w:rsidR="009D7677" w:rsidRDefault="009D7677" w:rsidP="009D7677">
      <w:pPr>
        <w:pStyle w:val="TextoNormal"/>
      </w:pPr>
      <w:r>
        <w:t>El presente recurso de inconstitucionalidad, interpuesto por cincuenta y dos diputados del Grupo Parlamentario Vox en el Congreso de los Diputados, tiene por objeto el artículo 2.2 del Real Decreto-ley 16/2021, de 3 de agosto, “por el que se adoptan medidas de protección social para hacer frente a situaciones de vulnerabilidad social y económica”, que lleva por rúbrica “Suspensión hasta el 31 de octubre de 2021 del procedimiento de desahucio y de los lanzamientos para personas económicamente vulnerables sin alternativa habitacional en los supuestos de los apartados 2, 4 y 7 del artículo 250.1 de la Ley 1/2000, de 7 de enero, de enjuiciamiento civil, y en aquellos otros en los que el desahucio traiga causa de un procedimiento penal”.</w:t>
      </w:r>
    </w:p>
    <w:p w14:paraId="77A712F8" w14:textId="77777777" w:rsidR="009D7677" w:rsidRDefault="009D7677" w:rsidP="009D7677">
      <w:pPr>
        <w:pStyle w:val="TextoNormal"/>
      </w:pPr>
    </w:p>
    <w:p w14:paraId="64F62DC0" w14:textId="77777777" w:rsidR="009D7677" w:rsidRDefault="009D7677" w:rsidP="009D7677">
      <w:pPr>
        <w:pStyle w:val="TextoNormal"/>
      </w:pPr>
      <w:r>
        <w:t xml:space="preserve">a) Este artículo 2.2 da nueva redacción íntegra al art. 1 </w:t>
      </w:r>
      <w:r w:rsidRPr="009D7677">
        <w:rPr>
          <w:i/>
        </w:rPr>
        <w:t>bis</w:t>
      </w:r>
      <w:r>
        <w:t xml:space="preserve"> del Real Decreto-ley 11/2020, de 31 de marzo, “por el que se adoptan medidas urgentes complementarias en el ámbito social y económico para hacer frente al Covid-19”. El artículo 1 </w:t>
      </w:r>
      <w:r w:rsidRPr="009D7677">
        <w:rPr>
          <w:i/>
        </w:rPr>
        <w:t>bis</w:t>
      </w:r>
      <w:r>
        <w:t xml:space="preserve"> no figuraba </w:t>
      </w:r>
      <w:r w:rsidRPr="009D7677">
        <w:rPr>
          <w:i/>
        </w:rPr>
        <w:t>ab initio</w:t>
      </w:r>
      <w:r>
        <w:t xml:space="preserve"> en el Real Decreto-ley 11/2020, sino que se añadió al mismo con posterioridad por el Real Decreto-ley 37/2020, de 22 de diciembre, “de medidas urgentes para hacer frente a las situaciones de vulnerabilidad social y económica en el ámbito de la vivienda y en materia de transportes”. Resumidamente, la redacción original del artículo 1 </w:t>
      </w:r>
      <w:r w:rsidRPr="009D7677">
        <w:rPr>
          <w:i/>
        </w:rPr>
        <w:t>bis</w:t>
      </w:r>
      <w:r>
        <w:t xml:space="preserve"> atribuía a los jueces la potestad de suspender lanzamientos de la vivienda habitual (i) en procesos civiles contra poseedores precarios o sin título (la suspensión del lanzamiento de arrendadores se regulaba ya en el artículo 1 original del Real Decreto-ley 11/2020), (ii) a personas en situación de vulnerabilidad económica, que el propio precepto definía, (iii) siempre que la vivienda perteneciese a una persona física o jurídica titular de más de diez viviendas, (iv) previa valoración judicial ponderada y proporcional del caso concreto, y (v) de manera temporal, solamente durante la vigencia del estado de alarma declarado por Real Decreto 926/2020, de 25 de octubre, y prorrogado por Real Decreto 956/2020, de 3 de noviembre, hasta su finalización (que se produjo el 9 de mayo de 2021, de acuerdo con lo previsto en el art. 2 del Real Decreto 956/2020).</w:t>
      </w:r>
    </w:p>
    <w:p w14:paraId="43FEA9BC" w14:textId="77777777" w:rsidR="009D7677" w:rsidRDefault="009D7677" w:rsidP="009D7677">
      <w:pPr>
        <w:pStyle w:val="TextoNormal"/>
      </w:pPr>
    </w:p>
    <w:p w14:paraId="01B20C61" w14:textId="77777777" w:rsidR="009D7677" w:rsidRDefault="009D7677" w:rsidP="009D7677">
      <w:pPr>
        <w:pStyle w:val="TextoNormal"/>
      </w:pPr>
      <w:r>
        <w:t xml:space="preserve">El artículo 1 </w:t>
      </w:r>
      <w:r w:rsidRPr="009D7677">
        <w:rPr>
          <w:i/>
        </w:rPr>
        <w:t>bis</w:t>
      </w:r>
      <w:r>
        <w:t xml:space="preserve"> fue modificado antes de la expiración del estado de alarma por el Real Decreto-ley 1/2021, de 19 de enero, de protección de los consumidores y usuarios frente a situaciones de vulnerabilidad social y económica, mediante la transcripción íntegra de su contenido original, si bien extendiendo la potestad de suspender los lanzamientos de los procesos civiles mencionados a los “procesos penales en los que se sustancie el lanzamiento de la vivienda habitual de aquellas personas que la estén habitando sin ningún título habilitante para ello”, excepto “cuando la entrada o permanencia en el inmueble se haya producido mediando intimidación o violencia sobre las personas”.</w:t>
      </w:r>
    </w:p>
    <w:p w14:paraId="3A183C1B" w14:textId="77777777" w:rsidR="009D7677" w:rsidRDefault="009D7677" w:rsidP="009D7677">
      <w:pPr>
        <w:pStyle w:val="TextoNormal"/>
      </w:pPr>
    </w:p>
    <w:p w14:paraId="3C5A614B" w14:textId="77777777" w:rsidR="009D7677" w:rsidRDefault="009D7677" w:rsidP="009D7677">
      <w:pPr>
        <w:pStyle w:val="TextoNormal"/>
      </w:pPr>
      <w:r>
        <w:t xml:space="preserve">Posteriormente, varios decretos-leyes han vuelto a reproducir íntegramente el art. 1 </w:t>
      </w:r>
      <w:r w:rsidRPr="009D7677">
        <w:rPr>
          <w:i/>
        </w:rPr>
        <w:t>bis</w:t>
      </w:r>
      <w:r>
        <w:t>, sin alterar su contenido, para ampliar temporalmente esta potestad de suspensión y la vigencia de la que ya se hubiera acordado. Por primera vez, del 9 de mayo hasta el 9 de agosto de 2021 mediante el art. 7.2 del Real Decreto-ley 8/2021, de 4 de mayo, “por el que se adoptan medidas urgentes en el orden sanitario, social y jurisdiccional, a aplicar tras la finalización del estado de alarma declarado por el Real Decreto 926/2020, de 25 de octubre, por el que se declara el estado de alarma para contener la propagación de infecciones causadas por el SARS-CoV-2”; y, por segunda vez, del 4 de agosto hasta el 31 de octubre de 2021 mediante el artículo 2.2 del Real Decreto-ley 16/2021, de 3 de agosto, objeto de este recurso.</w:t>
      </w:r>
    </w:p>
    <w:p w14:paraId="02465C3D" w14:textId="77777777" w:rsidR="009D7677" w:rsidRDefault="009D7677" w:rsidP="009D7677">
      <w:pPr>
        <w:pStyle w:val="TextoNormal"/>
      </w:pPr>
    </w:p>
    <w:p w14:paraId="47CF6A3B" w14:textId="77777777" w:rsidR="009D7677" w:rsidRDefault="009D7677" w:rsidP="009D7677">
      <w:pPr>
        <w:pStyle w:val="TextoNormal"/>
      </w:pPr>
      <w:r>
        <w:t xml:space="preserve">b) Los diputados recurrentes ciñen expresamente su recurso a la prórroga temporal de la potestad de suspender los lanzamientos de viviendas en causas penales, y limitan formalmente su pretensión de inconstitucionalidad a los apartados 1 y 7 c) del artículo 1 </w:t>
      </w:r>
      <w:r w:rsidRPr="009D7677">
        <w:rPr>
          <w:i/>
        </w:rPr>
        <w:t>bis</w:t>
      </w:r>
      <w:r>
        <w:t>, en la redacción dada por el art. 2.2 del Real Decreto-ley 16/2021, transcritos en los antecedentes. Reprochan a esta nueva redacción los mismos vicios de inconstitucionalidad ya denunciados en el recurso de inconstitucionalidad que ellos mismos interpusieron contra la reforma anterior operada por el Real Decreto-ley 1/2021, antes citado, que estableció por primera vez la posibilidad de suspender lanzamientos de viviendas derivados de causas penales, cuando la ocupación se hubiera producido sin intimidación ni violencia en las personas, durante la vigencia del estado de alarma. Este recurso anterior, tramitado con el número 2222-2021, fue desestimado por la STC 15/2023, de 7 de marzo.</w:t>
      </w:r>
    </w:p>
    <w:p w14:paraId="42DF3BAA" w14:textId="77777777" w:rsidR="009D7677" w:rsidRDefault="009D7677" w:rsidP="009D7677">
      <w:pPr>
        <w:pStyle w:val="TextoNormal"/>
      </w:pPr>
    </w:p>
    <w:p w14:paraId="12395AC2" w14:textId="77777777" w:rsidR="009D7677" w:rsidRDefault="009D7677" w:rsidP="009D7677">
      <w:pPr>
        <w:pStyle w:val="TextoNormal"/>
      </w:pPr>
      <w:r>
        <w:t>En concreto, se aducen tres motivos de inconstitucionalidad. Primero, un incumplimiento de los requisitos exigidos por el art. 86.1 CE para la utilización del decreto-ley, en su doble vertiente de falta de presupuesto habilitante (ausencia de una situación justificativa de extraordinaria y urgente necesidad) y de extralimitación de su contenido por afectar al derecho de propiedad (art. 33 CE). Segundo, una vulneración frontal del contenido esencial del derecho de propiedad (art. 33 CE). Y, tercero, una contravención del derecho a la tutela judicial efectiva en su vertiente de derecho a la ejecución de las resoluciones judiciales en sus propios términos (art. 24.1 CE en conexión con los arts. 117 y 118 CE).</w:t>
      </w:r>
    </w:p>
    <w:p w14:paraId="79DBF463" w14:textId="77777777" w:rsidR="009D7677" w:rsidRDefault="009D7677" w:rsidP="009D7677">
      <w:pPr>
        <w:pStyle w:val="TextoNormal"/>
      </w:pPr>
    </w:p>
    <w:p w14:paraId="183F5609" w14:textId="305AD182" w:rsidR="009D7677" w:rsidRDefault="009D7677" w:rsidP="009D7677">
      <w:pPr>
        <w:pStyle w:val="TextoNormal"/>
      </w:pPr>
      <w:r>
        <w:t>Por su parte, el abogado del Estado formula alegaciones en defensa de la constitucionalidad de dichos preceptos en los términos que se han recogido en los antecedentes, interesando la desestimación íntegra del recurso.</w:t>
      </w:r>
    </w:p>
    <w:p w14:paraId="33160E39" w14:textId="77777777" w:rsidR="009D7677" w:rsidRDefault="009D7677" w:rsidP="009D7677">
      <w:pPr>
        <w:pStyle w:val="TextoNormal"/>
      </w:pPr>
    </w:p>
    <w:p w14:paraId="05E743E1" w14:textId="77777777" w:rsidR="009D7677" w:rsidRDefault="009D7677" w:rsidP="009D7677">
      <w:pPr>
        <w:pStyle w:val="TextoNormal"/>
      </w:pPr>
      <w:r w:rsidRPr="009D7677">
        <w:rPr>
          <w:rStyle w:val="NumeroAFNegritaCaracter"/>
        </w:rPr>
        <w:t>2</w:t>
      </w:r>
      <w:r>
        <w:t xml:space="preserve">. </w:t>
      </w:r>
      <w:r w:rsidRPr="009D7677">
        <w:rPr>
          <w:i/>
        </w:rPr>
        <w:t>Consideración previa: Pervivencia del objeto del recurso</w:t>
      </w:r>
    </w:p>
    <w:p w14:paraId="39C7B633" w14:textId="77777777" w:rsidR="009D7677" w:rsidRDefault="009D7677" w:rsidP="009D7677">
      <w:pPr>
        <w:pStyle w:val="TextoNormal"/>
      </w:pPr>
    </w:p>
    <w:p w14:paraId="48D3E0B6" w14:textId="77777777" w:rsidR="009D7677" w:rsidRDefault="009D7677" w:rsidP="009D7677">
      <w:pPr>
        <w:pStyle w:val="TextoNormal"/>
      </w:pPr>
      <w:r>
        <w:t xml:space="preserve">Antes de abordar el examen de constitucionalidad de los incisos impugnados es preciso analizar la pervivencia del objeto de este recurso, dado que: (i) el propio apartado 1 </w:t>
      </w:r>
      <w:r w:rsidRPr="009D7677">
        <w:rPr>
          <w:i/>
        </w:rPr>
        <w:t>in fine</w:t>
      </w:r>
      <w:r>
        <w:t xml:space="preserve"> del art. 1 </w:t>
      </w:r>
      <w:r w:rsidRPr="009D7677">
        <w:rPr>
          <w:i/>
        </w:rPr>
        <w:t>bis</w:t>
      </w:r>
      <w:r>
        <w:t xml:space="preserve"> aquí impugnado dispone que “[e]stas medidas de suspensión que se establecen con carácter extraordinario y temporal, dejarán de surtir efecto en todo caso el 31 de octubre de 2021”; y (ii) la norma recurrida fue expresamente derogada y sustituida por otra, pues el artículo 1 </w:t>
      </w:r>
      <w:r w:rsidRPr="009D7677">
        <w:rPr>
          <w:i/>
        </w:rPr>
        <w:t>bis</w:t>
      </w:r>
      <w:r>
        <w:t xml:space="preserve"> del Real Decreto-ley 11/2020 recibió nueva redacción íntegra en el artículo 2.2 del Real Decreto-ley 21/2021, de 26 de octubre, “por el que se prorrogan las medidas de protección social para hacer frente a situaciones de vulnerabilidad social y económica”, a fin de extender su fecha de vigencia “hasta el 28 de febrero de 2022”.</w:t>
      </w:r>
    </w:p>
    <w:p w14:paraId="2598A884" w14:textId="77777777" w:rsidR="009D7677" w:rsidRDefault="009D7677" w:rsidP="009D7677">
      <w:pPr>
        <w:pStyle w:val="TextoNormal"/>
      </w:pPr>
    </w:p>
    <w:p w14:paraId="781EEE8D" w14:textId="77777777" w:rsidR="009D7677" w:rsidRDefault="009D7677" w:rsidP="009D7677">
      <w:pPr>
        <w:pStyle w:val="TextoNormal"/>
      </w:pPr>
      <w:r>
        <w:t>Es doctrina reiterada de este tribunal que, como regla general, en los recursos de inconstitucionalidad la modificación, derogación o pérdida de vigencia de la norma impugnada produce la extinción del proceso, ya que la finalidad de este proceso abstracto no es otro que la depuración del ordenamiento jurídico, algo innecesario cuando el propio legislador ha expulsado la norma [por todas, STC 82/2020, de 15 de julio, FJ 2 b)]. Sin embargo, esta regla general tiene excepciones que pueden afectar a la pervivencia parcial del objeto de este proceso constitucional.</w:t>
      </w:r>
    </w:p>
    <w:p w14:paraId="407BF5EE" w14:textId="77777777" w:rsidR="009D7677" w:rsidRDefault="009D7677" w:rsidP="009D7677">
      <w:pPr>
        <w:pStyle w:val="TextoNormal"/>
      </w:pPr>
    </w:p>
    <w:p w14:paraId="4F8BA8DC" w14:textId="77777777" w:rsidR="009D7677" w:rsidRDefault="009D7677" w:rsidP="009D7677">
      <w:pPr>
        <w:pStyle w:val="TextoNormal"/>
      </w:pPr>
      <w:r>
        <w:t>Abstracción hecha de la subsistencia de los motivos de impugnación de carácter competencial, otra excepción opera en el supuesto de los decretos-leyes, en los que este tribu</w:t>
      </w:r>
      <w:r>
        <w:lastRenderedPageBreak/>
        <w:t>nal debe garantizar “el correcto funcionamiento del sistema de producción normativa preconizado por la Norma Fundamental, depurando y expulsando del ordenamiento las normas impugnadas que se aparten de dicho sistema, con independencia de que se encuentren o no en vigor cuando se declara su inconstitucionalidad” (SSTC 6/1986, de 20 de mayo, FJ 1; 137/2003, de 3 de julio, FJ 2, y 108/2004, de 30 de junio, FJ 4). Por ello, hemos reiterado que la derogación de normas aprobadas mediante decreto-ley durante la pendencia del recurso de inconstitucionalidad “no excluye el control de este tribunal sobre si al dictarlas se desbordaron los límites constitucionales del artículo 86.1 CE, tanto en relación con la concurrencia del presupuesto habilitante, como respecto a la superación de las restricciones materiales a su contenido” [SSTC 183/2014, de 6 de noviembre, FJ 2 c), y 103/2017, de 6 de septiembre, FJ 2]. Por el contrario, pierden objeto las tachas de inconstitucionalidad cuyo contenido no es competencial, ni se fundamentan en la vulneración del art. 86.1 CE (por todas, SSTC 214/2014, de 18 de diciembre, FJ 2).</w:t>
      </w:r>
    </w:p>
    <w:p w14:paraId="2E89CAC4" w14:textId="77777777" w:rsidR="009D7677" w:rsidRDefault="009D7677" w:rsidP="009D7677">
      <w:pPr>
        <w:pStyle w:val="TextoNormal"/>
      </w:pPr>
    </w:p>
    <w:p w14:paraId="72F09ADA" w14:textId="1A7AC34C" w:rsidR="009D7677" w:rsidRDefault="009D7677" w:rsidP="009D7677">
      <w:pPr>
        <w:pStyle w:val="TextoNormal"/>
      </w:pPr>
      <w:r>
        <w:t xml:space="preserve">En consecuencia, en aplicación de esta doctrina al presente proceso —al igual que se dispuso en las SSTC 9/2023, de 22 de febrero, FJ 2 b), y 15/2023, de 7 de marzo, FJ 2, ambas dictadas en recurso de inconstitucionalidad contra la versión originaria del mismo artículo 1 </w:t>
      </w:r>
      <w:r w:rsidRPr="009D7677">
        <w:rPr>
          <w:i/>
        </w:rPr>
        <w:t>bis</w:t>
      </w:r>
      <w:r>
        <w:t>— debe ahora concluirse que la pérdida de efectos y la derogación de los incisos impugnados, en la redacción dada mediante el Real Decreto-ley 16/2021, no priva totalmente de objeto al recurso. Así, por esta causa han decaído las tachas de inconstitucionalidad relativas a la vulneración del derecho de propiedad (art. 33 CE) y al derecho a la tutela judicial efectiva en su vertiente del derecho a la ejecución de las resoluciones judiciales en sus propios términos (art. 24.1 CE) en relación con la potestad de jueces y tribunales para hacer ejecutar lo juzgado (arts. 117 y 118 CE). En cambio, pervive el motivo de impugnación sobre el art. 86.1 CE en su doble vertiente, de infracción del presupuesto habilitante de la extraordinaria y urgente necesidad y de su extralimitación material por afectar al contenido del derecho de propiedad.</w:t>
      </w:r>
    </w:p>
    <w:p w14:paraId="721E366F" w14:textId="77777777" w:rsidR="009D7677" w:rsidRDefault="009D7677" w:rsidP="009D7677">
      <w:pPr>
        <w:pStyle w:val="TextoNormal"/>
      </w:pPr>
    </w:p>
    <w:p w14:paraId="668C021E" w14:textId="77777777" w:rsidR="009D7677" w:rsidRDefault="009D7677" w:rsidP="009D7677">
      <w:pPr>
        <w:pStyle w:val="TextoNormal"/>
      </w:pPr>
      <w:r w:rsidRPr="009D7677">
        <w:rPr>
          <w:rStyle w:val="NumeroAFNegritaCaracter"/>
        </w:rPr>
        <w:t>3</w:t>
      </w:r>
      <w:r>
        <w:t xml:space="preserve">. </w:t>
      </w:r>
      <w:r w:rsidRPr="009D7677">
        <w:rPr>
          <w:i/>
        </w:rPr>
        <w:t>Doctrina sobre el presupuesto habilitante: situación de extraordinaria y urgente necesidad</w:t>
      </w:r>
    </w:p>
    <w:p w14:paraId="6440DF12" w14:textId="77777777" w:rsidR="009D7677" w:rsidRDefault="009D7677" w:rsidP="009D7677">
      <w:pPr>
        <w:pStyle w:val="TextoNormal"/>
      </w:pPr>
    </w:p>
    <w:p w14:paraId="257AF0F0" w14:textId="77777777" w:rsidR="009D7677" w:rsidRDefault="009D7677" w:rsidP="009D7677">
      <w:pPr>
        <w:pStyle w:val="TextoNormal"/>
      </w:pPr>
      <w:r>
        <w:t xml:space="preserve">La primera queja de los diputados recurrentes es la infracción del art. 86.1 CE respecto de los incisos 1 y 7 c) del art. 1 </w:t>
      </w:r>
      <w:r w:rsidRPr="009D7677">
        <w:rPr>
          <w:i/>
        </w:rPr>
        <w:t>bis</w:t>
      </w:r>
      <w:r>
        <w:t xml:space="preserve"> del Real Decreto-ley 11/2020, en la redacción dada por el art. 2.2 del Real Decreto-ley 16/2021, tanto por la carencia del presupuesto habilitante de la extraordinaria y urgente necesidad como por la falta de conexión de sentido entre la situación de urgencia definida y la medida adoptada.</w:t>
      </w:r>
    </w:p>
    <w:p w14:paraId="7B35BED5" w14:textId="77777777" w:rsidR="009D7677" w:rsidRDefault="009D7677" w:rsidP="009D7677">
      <w:pPr>
        <w:pStyle w:val="TextoNormal"/>
      </w:pPr>
    </w:p>
    <w:p w14:paraId="0281C568" w14:textId="77777777" w:rsidR="009D7677" w:rsidRDefault="009D7677" w:rsidP="009D7677">
      <w:pPr>
        <w:pStyle w:val="TextoNormal"/>
      </w:pPr>
      <w:r>
        <w:t>Ello exige acudir a la doctrina constitucional relativa al presupuesto habilitante de la extraordinaria y urgente necesidad, que se ha ido consolidando desde las primeras sentencias de este tribunal y ha sido ampliamente resumida en pronunciamientos posteriores, lo que permite una cita sintética (SSTC 29/1982, de 31 de mayo; 6/1983, de 4 de febrero, y 111/1983, de 2 de diciembre, para la fijación de doctrina, y entre las recientes, SSTC 15/2023, de 7 de marzo, FJ 3; 18/2023, de 21 de marzo, FJ 2, o 166/2023, de 22 de noviembre, FJ 3).</w:t>
      </w:r>
    </w:p>
    <w:p w14:paraId="6679F650" w14:textId="77777777" w:rsidR="009D7677" w:rsidRDefault="009D7677" w:rsidP="009D7677">
      <w:pPr>
        <w:pStyle w:val="TextoNormal"/>
      </w:pPr>
    </w:p>
    <w:p w14:paraId="3ECCA23A" w14:textId="77777777" w:rsidR="009D7677" w:rsidRDefault="009D7677" w:rsidP="009D7677">
      <w:pPr>
        <w:pStyle w:val="TextoNormal"/>
      </w:pPr>
      <w:r>
        <w:t xml:space="preserve">Basta recordar que (i) los términos “extraordinaria y urgente necesidad” no constituyen una cláusula o expresión vacía de significado, dentro de la cual el margen de apreciación política del Gobierno se mueve libremente sin restricción alguna, sino un verdadero límite </w:t>
      </w:r>
      <w:r>
        <w:lastRenderedPageBreak/>
        <w:t>jurídico a la actuación mediante decretos-leyes; (ii) la apreciación sobre su concurrencia constituye un juicio político que corresponde efectuar al Gobierno (titular constitucional de la potestad legislativa de urgencia) y al Congreso de los Diputados (titular de la potestad de convalidar, derogar o tramitar el texto como proyecto de ley), incumbiéndole a este tribunal controlar que ese juicio político no desborde los límites de lo manifiestamente razonable, sin suplantar a los órganos constitucionales que intervienen en la aprobación y convalidación de los decretos-leyes; (iii) este control externo se concreta en la comprobación que el Gobierno ha definido, de manera explícita y razonada, una situación de extraordinaria y urgente necesidad que precisa de una respuesta normativa con rango de ley, y que existe conexión de sentido entre la situación definida y las medidas adoptadas para hacerle frente. Aunque ambos aspectos están íntimamente ligados, su examen por separado facilita desde un punto de vista metodológico el análisis de las consideraciones de las partes y, en última instancia, el control que le corresponde efectuar a este tribunal.</w:t>
      </w:r>
    </w:p>
    <w:p w14:paraId="63B5DC79" w14:textId="77777777" w:rsidR="009D7677" w:rsidRDefault="009D7677" w:rsidP="009D7677">
      <w:pPr>
        <w:pStyle w:val="TextoNormal"/>
      </w:pPr>
    </w:p>
    <w:p w14:paraId="67B2DCBF" w14:textId="77777777" w:rsidR="009D7677" w:rsidRDefault="009D7677" w:rsidP="009D7677">
      <w:pPr>
        <w:pStyle w:val="TextoNormal"/>
      </w:pPr>
      <w:r>
        <w:t>En cuanto a la definición de la situación de urgencia, hemos precisado (i) que no es indispensable que se contenga en el propio decreto-ley, pues tal presupuesto puede deducirse igualmente de una pluralidad de elementos: los que quedan reflejados en la exposición de motivos de la norma, se expresan a lo largo del debate parlamentario de convalidación o en el propio expediente de elaboración de la misma; (ii) porque todos estos elementos quedan sometidos a valoración conjunta; (iii) siendo insuficientes, por ser prácticamente de imposible control constitucional, las fórmulas genéricas, estereotipadas y rituales. Respecto de la conexión de sentido entre la situación de urgencia definida y las medidas adoptadas, deben valorarse el contenido y la estructura de las disposiciones incluidas en el decreto-ley controvertido, lo que exige que se trate, en principio, de medidas concretas y de eficacia inmediata para hacer frente a la situación de extraordinaria y urgente necesidad que ha determinado el uso de la legislación de urgencia.</w:t>
      </w:r>
    </w:p>
    <w:p w14:paraId="3EDFDDC2" w14:textId="77777777" w:rsidR="009D7677" w:rsidRDefault="009D7677" w:rsidP="009D7677">
      <w:pPr>
        <w:pStyle w:val="TextoNormal"/>
      </w:pPr>
    </w:p>
    <w:p w14:paraId="0ADDDFEF" w14:textId="6A53B1CB" w:rsidR="009D7677" w:rsidRDefault="009D7677" w:rsidP="009D7677">
      <w:pPr>
        <w:pStyle w:val="TextoNormal"/>
      </w:pPr>
      <w:r>
        <w:t xml:space="preserve">Finalmente, como se puso de relieve en la STC 15/2023, FJ 3 c), relativa a la impugnación de la redacción originaria de los incisos ahora cuestionados, en el presente proceso resulta de especial interés la doctrina constitucional relativa a la fiscalización de la concurrencia del presupuesto habilitante respecto de preceptos específicos de los decretos-leyes. Y ello porque el hecho de que un mismo decreto-ley adopte medidas que pertenezcan a sectores materiales distintos, no solo obliga a analizar el presupuesto habilitante desde una visión global, sino que en todo caso exige una justificación </w:t>
      </w:r>
      <w:r w:rsidRPr="009D7677">
        <w:rPr>
          <w:i/>
        </w:rPr>
        <w:t>ad casum</w:t>
      </w:r>
      <w:r>
        <w:t xml:space="preserve"> del mismo en relación con cada una de ellas (en este sentido, SSTC 332/2005, de 15 de diciembre, FJ 5, y 27/2015, de 19 de febrero, FJ 5).</w:t>
      </w:r>
    </w:p>
    <w:p w14:paraId="3D453617" w14:textId="77777777" w:rsidR="009D7677" w:rsidRDefault="009D7677" w:rsidP="009D7677">
      <w:pPr>
        <w:pStyle w:val="TextoNormal"/>
      </w:pPr>
    </w:p>
    <w:p w14:paraId="2786A2AC" w14:textId="77777777" w:rsidR="009D7677" w:rsidRDefault="009D7677" w:rsidP="009D7677">
      <w:pPr>
        <w:pStyle w:val="TextoNormal"/>
      </w:pPr>
      <w:r w:rsidRPr="009D7677">
        <w:rPr>
          <w:rStyle w:val="NumeroAFNegritaCaracter"/>
        </w:rPr>
        <w:t>4</w:t>
      </w:r>
      <w:r>
        <w:t xml:space="preserve">. </w:t>
      </w:r>
      <w:r w:rsidRPr="009D7677">
        <w:rPr>
          <w:i/>
        </w:rPr>
        <w:t>Examen de la concurrencia del presupuesto habilitante</w:t>
      </w:r>
    </w:p>
    <w:p w14:paraId="7C2002A3" w14:textId="77777777" w:rsidR="009D7677" w:rsidRDefault="009D7677" w:rsidP="009D7677">
      <w:pPr>
        <w:pStyle w:val="TextoNormal"/>
      </w:pPr>
    </w:p>
    <w:p w14:paraId="046CE5D5" w14:textId="77777777" w:rsidR="009D7677" w:rsidRDefault="009D7677" w:rsidP="009D7677">
      <w:pPr>
        <w:pStyle w:val="TextoNormal"/>
      </w:pPr>
      <w:r>
        <w:t>A) Corresponde, en primer lugar, analizar la presentación que el Gobierno hizo del presupuesto habilitante de la norma cuestionada, y para ello acudir a su preámbulo, al debate parlamentario de convalidación y, en su caso, al expediente de elaboración del decreto-ley.</w:t>
      </w:r>
    </w:p>
    <w:p w14:paraId="543F6C88" w14:textId="77777777" w:rsidR="009D7677" w:rsidRDefault="009D7677" w:rsidP="009D7677">
      <w:pPr>
        <w:pStyle w:val="TextoNormal"/>
      </w:pPr>
    </w:p>
    <w:p w14:paraId="7C3FF823" w14:textId="77777777" w:rsidR="009D7677" w:rsidRDefault="009D7677" w:rsidP="009D7677">
      <w:pPr>
        <w:pStyle w:val="TextoNormal"/>
      </w:pPr>
      <w:r>
        <w:t>a) El extenso preámbulo comienza, en el apartado I, ofreciendo una visión global de la necesidad de prorrogar el ámbito temporal de determinadas medidas de protección social y económica, vinculadas al estado de alarma y denominadas como “escudo social”, cuando estaba próxima la finalización de la vigencia extendida, en virtud de una primera prórroga de las mismas (el 9 de agosto de 2021). Y ello “para hacer frente a las situaciones de vul</w:t>
      </w:r>
      <w:r>
        <w:lastRenderedPageBreak/>
        <w:t>nerabilidad social y económica hasta el 31 de octubre de 2021 ante la persistencia de las consecuencias sociales en esta nueva fase de recuperación económica, que determinan que continúe siendo preciso, durante un tiempo limitado, la adopción de acciones paliativas que refuercen la estructura de bienestar social”. Se destaca que la “persistente incertidumbre sobre la evolución de la pandemia a nivel global” y “el empeoramiento de la situación epidemiológica —la denominada ‘quinta ola’—” que “está ocasionando efectos negativos en sectores clave para la economía española, como el sector hotelero y turístico, que inciden notablemente en el mercado de trabajo”; y, aunque las señales de recuperación económica son evidentes en el escenario macroeconómico, “dicha recuperación no se traslada inmediatamente a los individuos, PYMES y familias”, por lo que “diversos indicadores sociales indican que continúa el riesgo de afectación a los sectores más vulnerables de la población”.</w:t>
      </w:r>
    </w:p>
    <w:p w14:paraId="73A46627" w14:textId="77777777" w:rsidR="009D7677" w:rsidRDefault="009D7677" w:rsidP="009D7677">
      <w:pPr>
        <w:pStyle w:val="TextoNormal"/>
      </w:pPr>
    </w:p>
    <w:p w14:paraId="393CF22C" w14:textId="77777777" w:rsidR="009D7677" w:rsidRDefault="009D7677" w:rsidP="009D7677">
      <w:pPr>
        <w:pStyle w:val="TextoNormal"/>
      </w:pPr>
      <w:r>
        <w:t>Estas medidas del “escudo social” —que, junto a los expedientes de regulación temporal de empleo y al ingreso mínimo vital, han evitado desde el inicio de la pandemia que amplios sectores de la población quedaran afectados en su situación económica de subsistencia— están agrupadas en tres ámbitos: pobreza energética, vivienda y lucha contra la violencia de género. Y por lo que respecta específicamente a la vivienda, el preámbulo hace varias alusiones al precepto aquí concernido.</w:t>
      </w:r>
    </w:p>
    <w:p w14:paraId="4EEB9D54" w14:textId="77777777" w:rsidR="009D7677" w:rsidRDefault="009D7677" w:rsidP="009D7677">
      <w:pPr>
        <w:pStyle w:val="TextoNormal"/>
      </w:pPr>
    </w:p>
    <w:p w14:paraId="0FCDD123" w14:textId="77777777" w:rsidR="009D7677" w:rsidRDefault="009D7677" w:rsidP="009D7677">
      <w:pPr>
        <w:pStyle w:val="TextoNormal"/>
      </w:pPr>
      <w:r>
        <w:t>En primer lugar, en el apartado II describe su contenido y se indica que mediante el mismo “se amplía hasta el 31 de octubre de 2021 la suspensión de los procedimientos y lanzamientos de vivienda en situaciones de vulnerabilidad, en los supuestos y de acuerdo con los trámites ya establecidos”.</w:t>
      </w:r>
    </w:p>
    <w:p w14:paraId="66F4FAC1" w14:textId="77777777" w:rsidR="009D7677" w:rsidRDefault="009D7677" w:rsidP="009D7677">
      <w:pPr>
        <w:pStyle w:val="TextoNormal"/>
      </w:pPr>
    </w:p>
    <w:p w14:paraId="71F71F3A" w14:textId="77777777" w:rsidR="009D7677" w:rsidRDefault="009D7677" w:rsidP="009D7677">
      <w:pPr>
        <w:pStyle w:val="TextoNormal"/>
      </w:pPr>
      <w:r>
        <w:t xml:space="preserve">En segundo lugar, en el apartado III, se ofrecen datos (i) sobre la disminución de los lanzamientos en el orden civil durante el año 2020 obtenidos de los boletines estadísticos del Consejo General del Poder Judicial y de los servicios comunes de notificaciones y embargos, y (ii) sobre el aumento de las demandas civiles en el primer trimestre de 2021 que pueden dar lugar a lanzamientos. Posteriormente, se expone que “la desaparición del efecto derivado de otras medidas de protección social, unida a la prolongación de las medidas administrativas de contención de los contagios (fundamentalmente restricción de horarios y otras específicas del sector turístico) han situado a muchas familias de nuestro país en una situación de vulnerabilidad económica que puede determinar el lanzamiento de sus viviendas y la agravación decisiva de sus condiciones de vida, por lo que resulta absolutamente imprescindible la prórroga de estas medidas de protección hasta el 31 de octubre de 2021”. Así, “la grave situación en el ámbito económico y social está impactando en los hogares en España, y las especiales consecuencias que ello puede tener, de un modo particular, en el ámbito de la vivienda, justifica la extraordinaria y urgente necesidad de la adopción de las medidas propuestas, teniendo en cuenta el impacto de la crisis sanitaria y de las medidas adoptadas en el contexto del estado de alarma, y la necesidad de salvaguardar la protección de los hogares más vulnerables por un periodo adicional hasta el 31 de octubre para garantizar la referida protección social en la salida de la crisis”. Razones todas ellas por las que existe “necesidad de extender la aplicación de determinadas medidas de protección en el ámbito del arrendamiento de viviendas, ampliando hasta el 31 de octubre la posibilidad de suspensión de procedimientos de desahucios y lanzamientos de vivienda en situaciones de vulnerabilidad”. Otra de las razones aducidas para la prórroga temporal del “escudo social” en materia de viviendas, que afectaría específicamente a la </w:t>
      </w:r>
      <w:r>
        <w:lastRenderedPageBreak/>
        <w:t>medida de suspensión del art. 2.2, es la insuficiencia del parque de vivienda social de las administraciones públicas competentes.</w:t>
      </w:r>
    </w:p>
    <w:p w14:paraId="38990E35" w14:textId="77777777" w:rsidR="009D7677" w:rsidRDefault="009D7677" w:rsidP="009D7677">
      <w:pPr>
        <w:pStyle w:val="TextoNormal"/>
      </w:pPr>
    </w:p>
    <w:p w14:paraId="3F248EEB" w14:textId="77777777" w:rsidR="009D7677" w:rsidRDefault="009D7677" w:rsidP="009D7677">
      <w:pPr>
        <w:pStyle w:val="TextoNormal"/>
      </w:pPr>
      <w:r>
        <w:t>Finalmente, en el apartado IV se añade que “el carácter persistente de la pandemia del Covid-19, que se extiende ya desde 2020, no está sino agravando la situación de los colectivos de por sí más vulnerables de nuestra sociedad”, con referencia a los datos del último informe del Instituto Nacional de Estadística relativo a la encuesta de condiciones de vida, de julio de 2021, “que demuestra[n] que el porcentaje de población en riesgo de pobreza o exclusión social (tasa AROPE) aumentó al 26,4 por 100 en 2020, desde el 25,3 por 100 de 2019”; lo que supone “el mantenimiento de situaciones persistentes de vulnerabilidad que requieren de una atención y protección social, particularmente […] en arrendamiento de viviendas”.</w:t>
      </w:r>
    </w:p>
    <w:p w14:paraId="20F0D069" w14:textId="77777777" w:rsidR="009D7677" w:rsidRDefault="009D7677" w:rsidP="009D7677">
      <w:pPr>
        <w:pStyle w:val="TextoNormal"/>
      </w:pPr>
    </w:p>
    <w:p w14:paraId="199D6B53" w14:textId="77777777" w:rsidR="009D7677" w:rsidRDefault="009D7677" w:rsidP="009D7677">
      <w:pPr>
        <w:pStyle w:val="TextoNormal"/>
      </w:pPr>
      <w:r>
        <w:t>b) En el debate de convalidación (“Diario de Sesiones del Congreso de los Diputados”, XIV Legislatura, núm. 120, de 13 de septiembre de 2021), el ministro de Presidencia, Relaciones con las Cortes y Memoria Democrática, hizo alusión específica a lo dispuesto en el art. 2.2 al declarar que “hemos decidido prorrogar hasta octubre el escudo social, cuya vigencia terminó en agosto. […] El segundo grupo de medidas está destinado a proteger el derecho a la vivienda. La primera de ellas es la suspensión de los desahucios y de los lanzamientos a las personas vulnerables sin alternativa habitacional para ellos o para sus familias. Esta medida no se aplica si el propietario es vulnerable, si se trata de su segunda residencia o del domicilio habitual, si el inquilino entró con intimidación o violencia o cuando existen indicios de que se están llevando a cabo actividades ilícitas en ese domicilio”. Y ello debido a que “(d)iversos indicadores nos muestran que todavía buena parte de los destinatarios principales de las medidas que contempla este decreto-ley están en situación de vulnerabilidad. Este escudo social que someto a su convalidación, señorías, protege a más de 1,1 millones de personas en España, compatriotas que tienen dificultades económicas y que se han visto agravadas por la pandemia”.</w:t>
      </w:r>
    </w:p>
    <w:p w14:paraId="57B7902B" w14:textId="77777777" w:rsidR="009D7677" w:rsidRDefault="009D7677" w:rsidP="009D7677">
      <w:pPr>
        <w:pStyle w:val="TextoNormal"/>
      </w:pPr>
    </w:p>
    <w:p w14:paraId="5E4ED9D6" w14:textId="77777777" w:rsidR="009D7677" w:rsidRDefault="009D7677" w:rsidP="009D7677">
      <w:pPr>
        <w:pStyle w:val="TextoNormal"/>
      </w:pPr>
      <w:r>
        <w:t>c) Por su parte, la memoria abreviada de análisis de impacto normativo reitera literalmente, por una parte, que “la desaparición del efecto derivado de otras medidas de protección social, unida a la prolongación de las medidas administrativas de contención de los contagios (fundamentalmente restricción de horarios y otras específicas del sector turístico) han situado a muchas familias de nuestro país en una situación de vulnerabilidad económica que puede determinar el lanzamiento de sus viviendas y la agravación decisiva de sus condiciones de vida, por lo que resulta absolutamente imprescindible la prórroga de estas medidas de protección hasta el 31 de octubre de 2021”. Y, por otra parte, que “también la grave situación en el ámbito económico y social está impactando en los hogares en España, y las especiales consecuencias que ello puede tener, de un modo particular, en el ámbito de la vivienda, justifica la extraordinaria y urgente necesidad de la adopción de las medidas propuestas, teniendo en cuenta el impacto de la crisis sanitaria y de las medidas adoptadas en el contexto del estado de alarma, y la necesidad de salvaguardar la protección de los hogares más vulnerables por un periodo adicional hasta el 31 de octubre para garantizar la referida protección social en la salida de la crisis”.</w:t>
      </w:r>
    </w:p>
    <w:p w14:paraId="4ECA21EC" w14:textId="77777777" w:rsidR="009D7677" w:rsidRDefault="009D7677" w:rsidP="009D7677">
      <w:pPr>
        <w:pStyle w:val="TextoNormal"/>
      </w:pPr>
    </w:p>
    <w:p w14:paraId="2C573866" w14:textId="77777777" w:rsidR="009D7677" w:rsidRDefault="009D7677" w:rsidP="009D7677">
      <w:pPr>
        <w:pStyle w:val="TextoNormal"/>
      </w:pPr>
      <w:r>
        <w:t xml:space="preserve">d) De una valoración conjunta de los argumentos ofrecidos en el preámbulo del decreto-ley, en el expediente de elaboración de la norma y en el debate parlamentario de convalidación este tribunal considera, desde la perspectiva del control externo que le compete, </w:t>
      </w:r>
      <w:r>
        <w:lastRenderedPageBreak/>
        <w:t>que el Gobierno ha hecho explícita de forma sucinta, pero razonable, la situación de extraordinaria y urgente necesidad que justificaba la prórroga —durante el periodo que transcurre entre el 4 de agosto y el 31 de octubre del 2021— de la medida de suspensión de determinados lanzamientos de viviendas en procesos penales adoptada en su artículo 2.2. Justificación que se halla en la persistencia de los efectos de la crisis sanitaria, social y económica provocada por la pandemia del Covid-19 tras la finalización del estado de alarma, con el consiguiente aumento del porcentaje de población en riesgo de pobreza y exclusión social necesitada de protección.</w:t>
      </w:r>
    </w:p>
    <w:p w14:paraId="1B721575" w14:textId="77777777" w:rsidR="009D7677" w:rsidRDefault="009D7677" w:rsidP="009D7677">
      <w:pPr>
        <w:pStyle w:val="TextoNormal"/>
      </w:pPr>
    </w:p>
    <w:p w14:paraId="2F5C1579" w14:textId="77777777" w:rsidR="009D7677" w:rsidRDefault="009D7677" w:rsidP="009D7677">
      <w:pPr>
        <w:pStyle w:val="TextoNormal"/>
      </w:pPr>
      <w:r>
        <w:t xml:space="preserve">En efecto, como ya hiciera para el Real Decreto-ley 1/2021 dentro del contexto del estado de alarma, el Gobierno, de un lado, “ha evocado las graves repercusiones de la crisis social y económica causadas por la pandemia de la Covid-19” [STC 15/2023, FJ 4 A) d)] que, en el presente caso, subsisten tras la finalización del estado de alarma: (i) la existencia de la propia pandemia (la denominada “quinta ola”), (ii) el carácter incipiente y no pleno de la recuperación económica previa a la pandemia y (iii) el aumento de la vulnerabilidad económica y social respecto de 2019. Y, de otro lado, ha enmarcado el art. 2.2, en el que se contienen los incisos impugnados, en la relación de medidas adoptadas para hacer frente a esas situaciones de vulnerabilidad social y económica en el ámbito de la vivienda. En este sentido, al igual que se apreció en la STC 15/2023, FJ 4 A) d), sobre la versión originaria de este art. 1 </w:t>
      </w:r>
      <w:r w:rsidRPr="009D7677">
        <w:rPr>
          <w:i/>
        </w:rPr>
        <w:t>bis</w:t>
      </w:r>
      <w:r>
        <w:t>, la situación descrita responde a lo que cabe calificar como una “coyuntura económica problemática”, en los términos expresamente aceptados por la doctrina constitucional (entre otras, SSTC 215/2015, de 22 de octubre, FJ 4, y 18/2016, de 4 de febrero, FJ 5), en las que es legítimo acudir al decreto-ley para subvenir a situaciones concretas de los objetivos gubernamentales que demandan una acción normativa inmediata, en un plazo más breve que el requerido para la tramitación parlamentaria de las leyes, incluso en procedimiento de urgencia.</w:t>
      </w:r>
    </w:p>
    <w:p w14:paraId="60D01A12" w14:textId="77777777" w:rsidR="009D7677" w:rsidRDefault="009D7677" w:rsidP="009D7677">
      <w:pPr>
        <w:pStyle w:val="TextoNormal"/>
      </w:pPr>
    </w:p>
    <w:p w14:paraId="2EC0B923" w14:textId="77777777" w:rsidR="009D7677" w:rsidRDefault="009D7677" w:rsidP="009D7677">
      <w:pPr>
        <w:pStyle w:val="TextoNormal"/>
      </w:pPr>
      <w:r>
        <w:t>Esta conclusión no se ve desvirtuada, como sostienen los diputados recurrentes, porque fueran previsibles la finalización del estado de alarma y la necesidad de la ampliación temporal de esta medida. En suma, a la carencia de la nota de imprevisibilidad, debe contraponerse la doctrina de este tribunal que considera que “la valoración de la extraordinaria y urgente necesidad de una medida puede ser independiente de su imprevisibilidad […] siempre que concurra efectivamente la excepcionalidad de la situación, pues ‘lo que aquí debe importar no es tanto la causa de las circunstancias que justifican la legislación de urgencia cuanto el hecho de que tales circunstancias efectivamente concurran’” (STC 156/2015, de 9 de julio, FJ 6, entre otras muchas). “Interesa solo, en otras palabras, si la situación era objetivamente merecedora de un tratamiento normativo por la vía de la legislación de urgencia, con independencia del reproche que, en planos diferentes del enjuiciamiento que corresponde a este tribunal, pudieran merecer las causas que hubieran podido ocasionarla” (STC 166/2023, de 22 de noviembre, FJ 5). Y en el presente caso no cabe duda de la subsistencia de los efectos de la crisis sanitaria, económica y social provocada por la pandemia a la fecha de promulgación del decreto-ley aquí impugnado, tan solo tres meses después de la finalización del estado de alarma.</w:t>
      </w:r>
    </w:p>
    <w:p w14:paraId="235C4715" w14:textId="77777777" w:rsidR="009D7677" w:rsidRDefault="009D7677" w:rsidP="009D7677">
      <w:pPr>
        <w:pStyle w:val="TextoNormal"/>
      </w:pPr>
    </w:p>
    <w:p w14:paraId="573F2B42" w14:textId="77777777" w:rsidR="009D7677" w:rsidRDefault="009D7677" w:rsidP="009D7677">
      <w:pPr>
        <w:pStyle w:val="TextoNormal"/>
      </w:pPr>
      <w:r>
        <w:t xml:space="preserve">El Gobierno ha explicitado que considera de extraordinaria y urgente necesidad prorrogar la medida de suspensión para atender de manera inmediata situaciones críticas que provocan los desahucios y lanzamientos judiciales en personas económicamente vulnerables que carecen de alternativa habitacional, independientemente del orden jurisdiccional </w:t>
      </w:r>
      <w:r>
        <w:lastRenderedPageBreak/>
        <w:t>en el que se suscite el desalojo de la vivienda y, por tanto, también en las causas penales [en este sentido, STC 15/2023, FJ 4 A) d)]. Pues, lo relevante es atender a la situación de vulnerabilidad económica de personas que, habitando el inmueble sin título, no tienen vivienda alternativa, siendo secundario el tipo de proceso en el que pueden ser desalojados. Mas, cuando la suspensión se contempla como una facultad que el juez puede ejercitar después de ponderar las circunstancias del caso; entre ellas ha de concurrir que la entrada, o la permanencia en la vivienda, estuviere motivada por una situación de extrema necesidad, se hubiere accedido a ella sin emplear violencia o intimidación y no se desarrollen actividades delictivas, al margen de las circunstancias subjetivas extraordinarias que fija la norma. Por ello, resulta significativo, como se argumentó en la referida STC 15/2023, que los recurrentes no pongan en entredicho la concurrencia del presupuesto habilitante por lo que respecta al texto no impugnado del artículo 2.2, que prorroga temporalmente la habilitación a los órganos judiciales para acordar la misma medida de suspensión de los procedimientos de desahucio y de los lanzamientos para personas económicamente vulnerables sin alternativa habitacional en los supuestos de los apartados 2, 4 y 7 del art. 250.1 de la Ley 1/2000, de 7 de enero, de enjuiciamiento civil, que se refieren, entre otras, a situaciones de precario y de despojo de la posesión. “Esta circunstancia pone de manifiesto que, en realidad, lo que los recurrentes cuestionan no es la concurrencia y justificación del presupuesto de la ‘extraordinaria y urgente’ necesidad, sino la legitimidad misma de la decisión de ampliar el mencionado mecanismo a quienes carecen de título para habitar la vivienda implicada en el procedimiento de desahucio y lanzamiento. Tal extremo, sin embargo, representa una valoración esencialmente política de ordenación social que este tribunal no puede enjuiciar al hilo de la fiscalización del requisito de la extraordinaria y urgente necesidad exigido por el art. 86.1 CE” [FJ 4 A) d)].</w:t>
      </w:r>
    </w:p>
    <w:p w14:paraId="098CDE58" w14:textId="77777777" w:rsidR="009D7677" w:rsidRDefault="009D7677" w:rsidP="009D7677">
      <w:pPr>
        <w:pStyle w:val="TextoNormal"/>
      </w:pPr>
    </w:p>
    <w:p w14:paraId="6E109C90" w14:textId="77777777" w:rsidR="009D7677" w:rsidRDefault="009D7677" w:rsidP="009D7677">
      <w:pPr>
        <w:pStyle w:val="TextoNormal"/>
      </w:pPr>
      <w:r>
        <w:t>B) Procede ahora examinar la concurrencia de la necesaria conexión de sentido entre el contenido de los incisos impugnados y la situación de urgencia definida, cuya falta denuncian los recurrentes.</w:t>
      </w:r>
    </w:p>
    <w:p w14:paraId="2B7452FA" w14:textId="77777777" w:rsidR="009D7677" w:rsidRDefault="009D7677" w:rsidP="009D7677">
      <w:pPr>
        <w:pStyle w:val="TextoNormal"/>
      </w:pPr>
    </w:p>
    <w:p w14:paraId="3390E013" w14:textId="77777777" w:rsidR="009D7677" w:rsidRDefault="009D7677" w:rsidP="009D7677">
      <w:pPr>
        <w:pStyle w:val="TextoNormal"/>
      </w:pPr>
      <w:r>
        <w:t>Debe recordarse que los preceptos impugnados se limitaban a extender temporalmente (del 4 de agosto al 30 de octubre de 2021) la medida que establecía el Real Decreto-ley 1/2021, que en su versión inicial estaba restringida a la duración del estado de alarma. Una medida que otorgaba al órgano judicial competente la facultad de acordar la suspensión temporal de los procedimientos de desahucio y lanzamiento de viviendas (así como la vigencia de la suspensión eventualmente acordada) de personas económicamente vulnerables sin alternativa habitacional que, careciendo de título para habitarla, hubieren accedido o permanecieran en ella por causa de extraordinaria necesidad, con la excepción de que la acción se hubiese producido con intimidación o violencia sobre las personas.</w:t>
      </w:r>
    </w:p>
    <w:p w14:paraId="56A811D9" w14:textId="77777777" w:rsidR="009D7677" w:rsidRDefault="009D7677" w:rsidP="009D7677">
      <w:pPr>
        <w:pStyle w:val="TextoNormal"/>
      </w:pPr>
    </w:p>
    <w:p w14:paraId="6082CD13" w14:textId="77777777" w:rsidR="009D7677" w:rsidRDefault="009D7677" w:rsidP="009D7677">
      <w:pPr>
        <w:pStyle w:val="TextoNormal"/>
      </w:pPr>
      <w:r>
        <w:t xml:space="preserve">Por ello, son del todo aplicables los argumentos de la STC 15/2023, FJ 4 B), respecto de la versión original de los incisos aquí cuestionados del art. 1 </w:t>
      </w:r>
      <w:r w:rsidRPr="009D7677">
        <w:rPr>
          <w:i/>
        </w:rPr>
        <w:t>bis</w:t>
      </w:r>
      <w:r>
        <w:t xml:space="preserve"> del Real Decreto-ley 11/2020, ya que existe una identidad objetiva y subjetiva en los requisitos legales que permitirían al juez acordar la suspensión. Así, en este caso, la prórroga de la medida por casi tres meses (del 4 de agosto al 31 de octubre de 2021) “guarda una evidente relación de congruencia con el objetivo de dar cobertura inmediata a la necesidad de vivienda a las personas que se encuentren en estas situaciones”, y sin que los recurrentes hayan discutido [como tampoco lo hicieron al impugnar la redacción originaria de los apartados 1 y 7 c) del art. 1 </w:t>
      </w:r>
      <w:r w:rsidRPr="009D7677">
        <w:rPr>
          <w:i/>
        </w:rPr>
        <w:t>bis</w:t>
      </w:r>
      <w:r>
        <w:t xml:space="preserve">] “que esta misma conexión de sentido exista por lo que respecta al resto de </w:t>
      </w:r>
      <w:r>
        <w:lastRenderedPageBreak/>
        <w:t xml:space="preserve">los sujetos incluidos en el ámbito de aplicación del art. 1 </w:t>
      </w:r>
      <w:r w:rsidRPr="009D7677">
        <w:rPr>
          <w:i/>
        </w:rPr>
        <w:t>bis</w:t>
      </w:r>
      <w:r>
        <w:t xml:space="preserve"> del Real Decreto-ley 11/2020. Por lo tanto, no nos encontramos ante una disposición ‘que, por su contenido y de manera evidente, no guard[e] relación alguna, directa ni indirecta, con la situación que se trata de afrontar’, o que ‘por su estructura misma, independientemente de su contenido, no modifica de manera instantánea la situación jurídica existente’ (STC 29/1982, de 31 de mayo, FJ 3)”. Es más, se trata de “medidas concretas y de eficacia inmediata para hacer frente a la situación de extraordinaria y urgente necesidad que ha determinado el uso de la legislación de urgencia” (STC 70/2016, de 14 de abril, FFJJ 6 y 7). Hay una relación directa entre la situación de vulnerabilidad y extrema necesidad que definía el Gobierno y la medida que contempla la norma de conferir a los jueces potestad para suspender el lanzamiento de la vivienda de las personas que se encontraren en dicha circunstancia y carecieran de alternativa habitacional.</w:t>
      </w:r>
    </w:p>
    <w:p w14:paraId="11FE2B0C" w14:textId="77777777" w:rsidR="009D7677" w:rsidRDefault="009D7677" w:rsidP="009D7677">
      <w:pPr>
        <w:pStyle w:val="TextoNormal"/>
      </w:pPr>
    </w:p>
    <w:p w14:paraId="5B7CFAD1" w14:textId="5EC63324" w:rsidR="009D7677" w:rsidRDefault="009D7677" w:rsidP="009D7677">
      <w:pPr>
        <w:pStyle w:val="TextoNormal"/>
      </w:pPr>
      <w:r>
        <w:t>En consecuencia, este motivo de impugnación debe desestimarse.</w:t>
      </w:r>
    </w:p>
    <w:p w14:paraId="705AD944" w14:textId="77777777" w:rsidR="009D7677" w:rsidRDefault="009D7677" w:rsidP="009D7677">
      <w:pPr>
        <w:pStyle w:val="TextoNormal"/>
      </w:pPr>
    </w:p>
    <w:p w14:paraId="2CA5BEE5" w14:textId="77777777" w:rsidR="009D7677" w:rsidRDefault="009D7677" w:rsidP="009D7677">
      <w:pPr>
        <w:pStyle w:val="TextoNormal"/>
      </w:pPr>
      <w:r w:rsidRPr="009D7677">
        <w:rPr>
          <w:rStyle w:val="NumeroAFNegritaCaracter"/>
        </w:rPr>
        <w:t>5</w:t>
      </w:r>
      <w:r>
        <w:t xml:space="preserve">. </w:t>
      </w:r>
      <w:r w:rsidRPr="009D7677">
        <w:rPr>
          <w:i/>
        </w:rPr>
        <w:t>Prohibición del decreto-ley de afectar al derecho de propiedad. Doctrina constitucional</w:t>
      </w:r>
    </w:p>
    <w:p w14:paraId="2606D398" w14:textId="77777777" w:rsidR="009D7677" w:rsidRDefault="009D7677" w:rsidP="009D7677">
      <w:pPr>
        <w:pStyle w:val="TextoNormal"/>
      </w:pPr>
    </w:p>
    <w:p w14:paraId="4128B639" w14:textId="77777777" w:rsidR="009D7677" w:rsidRDefault="009D7677" w:rsidP="009D7677">
      <w:pPr>
        <w:pStyle w:val="TextoNormal"/>
      </w:pPr>
      <w:r>
        <w:t>La segunda queja de este recurso es la infracción del art. 86.1 CE, en relación con el art. 33 CE, por parte de los incisos impugnados, toda vez que dicha regulación afectaría al contenido del derecho de propiedad, algo materialmente vedado a la legislación de urgencia.</w:t>
      </w:r>
    </w:p>
    <w:p w14:paraId="21A3948F" w14:textId="77777777" w:rsidR="009D7677" w:rsidRDefault="009D7677" w:rsidP="009D7677">
      <w:pPr>
        <w:pStyle w:val="TextoNormal"/>
      </w:pPr>
    </w:p>
    <w:p w14:paraId="5788F49C" w14:textId="77777777" w:rsidR="009D7677" w:rsidRDefault="009D7677" w:rsidP="009D7677">
      <w:pPr>
        <w:pStyle w:val="TextoNormal"/>
      </w:pPr>
      <w:r>
        <w:t xml:space="preserve">La doctrina constitucional sobre los límites materiales a los decretos-leyes (art. 86.1 CE), así como la del contenido del derecho de propiedad (art. 33 CE) y la posibilidad de su afectación mediante decreto-ley (art. 86.1 CE en relación con el art. 33 CE), ha quedado extractada en las recientes SSTC 9/2023 y 15/2023 (FFJJ 3 y 5, respectivamente), que enjuiciaron la versión inicial del artículo 1 </w:t>
      </w:r>
      <w:r w:rsidRPr="009D7677">
        <w:rPr>
          <w:i/>
        </w:rPr>
        <w:t>bis</w:t>
      </w:r>
      <w:r>
        <w:t>. En síntesis, la doctrina aplicable dice:</w:t>
      </w:r>
    </w:p>
    <w:p w14:paraId="3A65FB34" w14:textId="77777777" w:rsidR="009D7677" w:rsidRDefault="009D7677" w:rsidP="009D7677">
      <w:pPr>
        <w:pStyle w:val="TextoNormal"/>
      </w:pPr>
    </w:p>
    <w:p w14:paraId="6601744E" w14:textId="77777777" w:rsidR="009D7677" w:rsidRDefault="009D7677" w:rsidP="009D7677">
      <w:pPr>
        <w:pStyle w:val="TextoNormal"/>
      </w:pPr>
      <w:r>
        <w:t>a) Sobre los límites materiales del decreto-ley: (i) el tribunal ha venido manteniendo, desde siempre, una posición equilibrada que evite las concepciones extremas respecto de la cláusula restrictiva —“no podrán afectar”— del art. 86.1 CE. En la STC 111/1983, de 2 de diciembre, FJ 8, ya sostuvimos que dicha cláusula restrictiva “debe ser entendida de modo tal que ni reduzca a la nada el decreto-ley, que es un instrumento normativo previsto por la Constitución ‘del que es posible hacer uso para dar respuesta a las perspectivas cambiantes de la vida actual’ (fundamento 5, sentencia de 4 de febrero de 1983), ni permita que por decreto-ley se regule el régimen general de los derechos, deberes y libertades del título I, ni dé pie para que por decreto-ley se vaya en contra del contenido o elementos esenciales de alguno de tales derechos” (SSTC 111/1983, de 2 de diciembre, FJ 8, seguida de otras muchas); y (ii) en cuanto a la expresión “derechos, deberes y libertades de los ciudadanos regulados en el título I, este tribunal ha establecido diversos criterios para determinar, en cada supuesto, si el derecho o la libertad ha resultado ‘afectado’ por un decreto ley. A tal efecto habrá de tenerse en cuenta la configuración constitucional del derecho o deber afectado en cada caso; su colocación en el texto constitucional dentro de las diversas secciones y capítulos de su título I, dotados de mayor o menor rigor protector a tenor del art. 53 CE; y la naturaleza y alcance de la concreta regulación de que se trate (SSTC 111/1983 de 2 de diciembre, FJ 9; 182/1997, de 28 de octubre, FFJJ 6 y 7, y 329/2005, de 15 de diciembre, FJ 8)”.</w:t>
      </w:r>
    </w:p>
    <w:p w14:paraId="500D85D1" w14:textId="77777777" w:rsidR="009D7677" w:rsidRDefault="009D7677" w:rsidP="009D7677">
      <w:pPr>
        <w:pStyle w:val="TextoNormal"/>
      </w:pPr>
    </w:p>
    <w:p w14:paraId="107F927C" w14:textId="28236BD3" w:rsidR="009D7677" w:rsidRDefault="009D7677" w:rsidP="009D7677">
      <w:pPr>
        <w:pStyle w:val="TextoNormal"/>
      </w:pPr>
      <w:r>
        <w:t>b) En lo que concierne al derecho de propiedad: (i) “la Constitución reconoce este derecho como un ‘haz de facultades individuales sobre las cosas’, pero también y al mismo tiempo como un conjunto de deberes y obligaciones establecidos, de acuerdo con las leyes, en atención a valores e intereses de la comunidad (STC 37/1987, de 26 de marzo, FJ 2). De ello se sigue que ‘la fijación del contenido esencial de la propiedad privada no puede hacerse desde la exclusiva consideración subjetiva del derecho o de los intereses individuales que a este subyacen, sino que debe incluir igualmente la necesaria referencia a la función social, entendida no como mero límite externo a su definición o ejercicio, sino como parte integrante del derecho mismo’ (STC 204/2004, FJ 5)”; y (ii) “el art. 86.1 CE prohíbe utilizar la legislación de urgencia para fijar como parte del contenido esencial del derecho de propiedad de la vivienda el deber de destinarla de forma efectiva al uso habitacional, pues dicho deber constituye una regulación directa y con vocación de generalidad de las vertientes individual e institucional del derecho de propiedad sobre la vivienda; supone, en otras palabras, ‘una regulación directa del derecho de propiedad de un tipo de bienes y que tiene por objeto aspectos esenciales del mismo’ (STC 93/2015, de 14 de marzo, FJ 13)”.</w:t>
      </w:r>
    </w:p>
    <w:p w14:paraId="0DA40AF9" w14:textId="77777777" w:rsidR="009D7677" w:rsidRDefault="009D7677" w:rsidP="009D7677">
      <w:pPr>
        <w:pStyle w:val="TextoNormal"/>
      </w:pPr>
    </w:p>
    <w:p w14:paraId="06B3CCD9" w14:textId="77777777" w:rsidR="009D7677" w:rsidRDefault="009D7677" w:rsidP="009D7677">
      <w:pPr>
        <w:pStyle w:val="TextoNormal"/>
      </w:pPr>
      <w:r w:rsidRPr="009D7677">
        <w:rPr>
          <w:rStyle w:val="NumeroAFNegritaCaracter"/>
        </w:rPr>
        <w:t>6</w:t>
      </w:r>
      <w:r>
        <w:t xml:space="preserve">. </w:t>
      </w:r>
      <w:r w:rsidRPr="009D7677">
        <w:rPr>
          <w:i/>
        </w:rPr>
        <w:t>Enjuiciamiento de la vulneración de los límites materiales del decreto-ley en relación con el derecho de propiedad por los apartados 1 y 7 c) del art. 1</w:t>
      </w:r>
      <w:r>
        <w:t xml:space="preserve"> bis</w:t>
      </w:r>
    </w:p>
    <w:p w14:paraId="6677A28A" w14:textId="77777777" w:rsidR="009D7677" w:rsidRDefault="009D7677" w:rsidP="009D7677">
      <w:pPr>
        <w:pStyle w:val="TextoNormal"/>
      </w:pPr>
    </w:p>
    <w:p w14:paraId="58E57FD9" w14:textId="77777777" w:rsidR="009D7677" w:rsidRDefault="009D7677" w:rsidP="009D7677">
      <w:pPr>
        <w:pStyle w:val="TextoNormal"/>
      </w:pPr>
      <w:r>
        <w:t>a) Los recurrentes sostienen que los incisos aquí impugnados contravienen los límites materiales del decreto-ley por afectar al contenido esencial del derecho de propiedad (art. 86.1 en relación con el art. 33 CE). Arguyen que la habilitación conferida al juez para suspender el lanzamiento en todos aquellos procesos penales en que la ocupación de la vivienda provenga de un acto delictivo que no conlleve intimidación o violencia sobre las personas supone definir la función social del derecho de propiedad privada sobre las viviendas, delimitando su contenido esencial y configurando un régimen general del derecho de propiedad vedado al decreto-ley.</w:t>
      </w:r>
    </w:p>
    <w:p w14:paraId="34807E86" w14:textId="77777777" w:rsidR="009D7677" w:rsidRDefault="009D7677" w:rsidP="009D7677">
      <w:pPr>
        <w:pStyle w:val="TextoNormal"/>
      </w:pPr>
    </w:p>
    <w:p w14:paraId="7E985E24" w14:textId="77777777" w:rsidR="009D7677" w:rsidRDefault="009D7677" w:rsidP="009D7677">
      <w:pPr>
        <w:pStyle w:val="TextoNormal"/>
      </w:pPr>
      <w:r>
        <w:t xml:space="preserve">Por su parte, el abogado del Estado mantiene que los apartados recurridos no establecen una regulación directa y con vocación de generalidad del derecho de propiedad, sino una protección temporal y concreta a personas o familias en situación de vulnerabilidad, tras una valoración ponderada del caso concreto por el juez competente, únicamente aplicable a los supuestos y con las condiciones previstas en el art. 1 </w:t>
      </w:r>
      <w:r w:rsidRPr="009D7677">
        <w:rPr>
          <w:i/>
        </w:rPr>
        <w:t>bis</w:t>
      </w:r>
      <w:r>
        <w:t xml:space="preserve"> del Real Decreto-ley 11/2020. Y, todo ello, sin que los derechos dominicales de los titulares de las viviendas queden desprotegidos.</w:t>
      </w:r>
    </w:p>
    <w:p w14:paraId="2FC3A6CD" w14:textId="77777777" w:rsidR="009D7677" w:rsidRDefault="009D7677" w:rsidP="009D7677">
      <w:pPr>
        <w:pStyle w:val="TextoNormal"/>
      </w:pPr>
    </w:p>
    <w:p w14:paraId="240AC0DE" w14:textId="77777777" w:rsidR="009D7677" w:rsidRDefault="009D7677" w:rsidP="009D7677">
      <w:pPr>
        <w:pStyle w:val="TextoNormal"/>
      </w:pPr>
      <w:r>
        <w:t xml:space="preserve">b) Como se ha señalado, las SSTC 9/2023 y 15/2023 se pronunciaron sobre los incisos del art. 1 </w:t>
      </w:r>
      <w:r w:rsidRPr="009D7677">
        <w:rPr>
          <w:i/>
        </w:rPr>
        <w:t>bis</w:t>
      </w:r>
      <w:r>
        <w:t xml:space="preserve"> que introdujeron por primera vez la potestad de suspender judicialmente lanzamientos de viviendas en determinadas causas penales (Real Decreto-ley 1/2021, de 19 de enero, aprobado durante la vigencia del estado de alarma declarado por Real Decreto 926/2020, de 25 de octubre, y prorrogado por seis meses por Real Decreto 956/2020, de 3 de noviembre, un estado excepcional durante el cual regían importantes limitaciones a la movilidad y reunión de personas, y que finalizó el 9 de mayo de 2021). La medida se proclamaba expresamente de “carácter extraordinario y temporal” y su vigencia, así como los efectos de la eventual suspensión del lanzamiento acordada por el juez, quedaban limitadas al ámbito temporal del citado estado de alarma.</w:t>
      </w:r>
    </w:p>
    <w:p w14:paraId="4A9D0B99" w14:textId="77777777" w:rsidR="009D7677" w:rsidRDefault="009D7677" w:rsidP="009D7677">
      <w:pPr>
        <w:pStyle w:val="TextoNormal"/>
      </w:pPr>
    </w:p>
    <w:p w14:paraId="6AC065F5" w14:textId="77777777" w:rsidR="009D7677" w:rsidRDefault="009D7677" w:rsidP="009D7677">
      <w:pPr>
        <w:pStyle w:val="TextoNormal"/>
      </w:pPr>
      <w:r>
        <w:t>No obstante, como ya se ha expuesto, esta potestad judicial de suspender los lanzamientos de las viviendas derivados de procesos penales se prorrogó por primera vez del 9 de mayo hasta el 9 de agosto de 2021 (tres meses tras la finalización del estado de alarma), mediante el Real Decreto-ley 8/2021, de 4 de mayo (como dispuso su art. 7.2) —prórroga no impugnada ante este tribunal—; y, por segunda vez, del 4 de agosto hasta el 31 de octubre de 2021 (casi tres meses tras la finalización de la primera prórroga) mediante el Real Decreto-ley 16/2021, de 3 de agosto, objeto del presente recurso de inconstitucionalidad.</w:t>
      </w:r>
    </w:p>
    <w:p w14:paraId="0F56DFD3" w14:textId="77777777" w:rsidR="009D7677" w:rsidRDefault="009D7677" w:rsidP="009D7677">
      <w:pPr>
        <w:pStyle w:val="TextoNormal"/>
      </w:pPr>
    </w:p>
    <w:p w14:paraId="18E3A29A" w14:textId="77777777" w:rsidR="009D7677" w:rsidRDefault="009D7677" w:rsidP="009D7677">
      <w:pPr>
        <w:pStyle w:val="TextoNormal"/>
      </w:pPr>
      <w:r>
        <w:t>En las dos sentencias arriba citadas se concluyó que la habilitación impugnada era (i) “una medida limitada en cuanto a su ámbito de aplicación subjetivo, objetivo y temporal, que no tiene por objeto una regulación directa y general del derecho de propiedad de la vivienda, ni afecta a su contenido esencial”, (ii) “que responde a una finalidad de interés social” —la protección de las personas en situación de vulnerabilidad como consecuencia de la crisis generada por el covid-19—; (iii) “que incide mínimamente y de forma temporal sobre la posesión o capacidad de disposición, incidencia que además podrá ser objeto de compensación económica, como se desprende de las disposiciones adicionales segunda y tercera del Real Decreto-ley 37/2020, de 22 de diciembre”; y que se da “solo en supuestos en que concurran exigentes requisitos establecidos con carácter cumulativo, y previa valoración ponderada de las circunstancias de cada caso concreto por parte del órgano judicial” [SSTC 9/2023, FJ 4, y 15/2023, FJ 6 c)]. Y a la misma conclusión debe llegarse respecto a los incisos aquí impugnados precisamente porque la medida de suspensión de los lanzamientos de viviendas en ellos establecida es idéntica a la entonces sometida a enjuiciamiento de este tribunal, si bien prorrogada del 4 de agosto al 31 de octubre de 2021.</w:t>
      </w:r>
    </w:p>
    <w:p w14:paraId="3FBAE9BB" w14:textId="77777777" w:rsidR="009D7677" w:rsidRDefault="009D7677" w:rsidP="009D7677">
      <w:pPr>
        <w:pStyle w:val="TextoNormal"/>
      </w:pPr>
    </w:p>
    <w:p w14:paraId="598EC405" w14:textId="77777777" w:rsidR="009D7677" w:rsidRDefault="009D7677" w:rsidP="009D7677">
      <w:pPr>
        <w:pStyle w:val="TextoNormal"/>
      </w:pPr>
      <w:r>
        <w:t xml:space="preserve">c) En este sentido, haciendo una interpretación de conjunto del art. 1 </w:t>
      </w:r>
      <w:r w:rsidRPr="009D7677">
        <w:rPr>
          <w:i/>
        </w:rPr>
        <w:t>bis</w:t>
      </w:r>
      <w:r>
        <w:t xml:space="preserve"> del Real Decreto-ley 11/2020 —en la redacción dada por el art. 2.2 del Real Decreto-ley 16/2021—, cabe afirmar, en coherencia con lo dicho en las SSTC 9/2023 y 15/2023 sobre la versión inicial del precepto, que la facultad de que el órgano judicial suspenda los lanzamientos de viviendas que se sustancien en procesos penales constituye una medida de alcance limitado: (i) no afecta a todos los propietarios (solamente a los titulares de más de diez viviendas); (ii) no ampara todas las circunstancias de entrada o permanencia en la vivienda sin título habilitador: es más, la medida no se aplica en las viviendas que son domicilio habitual o segunda residencia o de las que disfrute un tercero por esos mismos conceptos por cualquier título válido, ni si son inmuebles de titularidad pública o privada destinados a vivienda social ya adjudicada, o si la entrada o permanencia en ellas se ha producido mediando intimidación o violencia sobre las personas, o si se están utilizando para realizar actividades delictivas, o si dicha entrada se ha producido tras la vigencia del presente decreto-ley; (iii) debe tratarse de personas económicamente vulnerables sin alternativa habitacional como consecuencia de la emergencia sanitaria ocasionada por el covid-19, en los términos que normativamente se preceptúan (situación de desempleo o expediente de regulación temporal de empleo; pérdida sustancial de ingresos en el caso de empresarios y autónomos…), y, además, ser persona dependiente </w:t>
      </w:r>
      <w:r w:rsidRPr="009D7677">
        <w:rPr>
          <w:i/>
        </w:rPr>
        <w:t>ex</w:t>
      </w:r>
      <w:r>
        <w:t xml:space="preserve"> art. 2.2 de la Ley 39/2006 o víctima de violencia sobre la mujer o tener a su cargo alguna persona conviviente dependiente o menor de edad; (iv) la medida no es general y automática, sino que será adoptada por el juez previa valoración ponderada y proporcional del caso concreto, teniendo en cuenta las circunstancias concurrentes (extrema necesidad, existencia o no de alternativa habitacio</w:t>
      </w:r>
      <w:r>
        <w:lastRenderedPageBreak/>
        <w:t>nal); y (v) la medida tiene carácter temporal y extraordinario, en este caso, del 4 de agosto al 31 de octubre de 2021. Y, adicionalmente, se incorporan medidas de compensación a los propietarios o arrendadores afectados (disposición adicional segunda del Real Decreto-ley 11/2020).</w:t>
      </w:r>
    </w:p>
    <w:p w14:paraId="6736D31A" w14:textId="77777777" w:rsidR="009D7677" w:rsidRDefault="009D7677" w:rsidP="009D7677">
      <w:pPr>
        <w:pStyle w:val="TextoNormal"/>
      </w:pPr>
    </w:p>
    <w:p w14:paraId="725A54AD" w14:textId="77777777" w:rsidR="009D7677" w:rsidRDefault="009D7677" w:rsidP="009D7677">
      <w:pPr>
        <w:pStyle w:val="TextoNormal"/>
      </w:pPr>
      <w:r>
        <w:t xml:space="preserve">En virtud de todo lo cual debe convenirse que con la prórroga temporal de la potestad de suspensión de los lanzamientos de viviendas derivados de determinados procesos penales (así como de la vigencia de la suspensión eventualmente acordada por el juez), con las condiciones normativas subjetivas y objetivas contempladas en el art. 1 </w:t>
      </w:r>
      <w:r w:rsidRPr="009D7677">
        <w:rPr>
          <w:i/>
        </w:rPr>
        <w:t>bis</w:t>
      </w:r>
      <w:r>
        <w:t>, ya expuestas, no se establece una regulación general y directa del derecho de propiedad, con vocación de permanencia, que afecte a su contenido esencial en abierta contravención con el art. 86.1 CE en relación con el art. 33 CE. Y ello porque el carácter extraordinario y temporal de esta medida no desaparece por el hecho de haber sido extendida, tras el fin del estado de alarma, del 4 de agosto al 31 de octubre de 2021.</w:t>
      </w:r>
    </w:p>
    <w:p w14:paraId="6131B56C" w14:textId="77777777" w:rsidR="009D7677" w:rsidRDefault="009D7677" w:rsidP="009D7677">
      <w:pPr>
        <w:pStyle w:val="TextoNormal"/>
      </w:pPr>
    </w:p>
    <w:p w14:paraId="2E7D609E" w14:textId="77777777" w:rsidR="009D7677" w:rsidRDefault="009D7677" w:rsidP="009D7677">
      <w:pPr>
        <w:pStyle w:val="TextoNormal"/>
      </w:pPr>
      <w:r>
        <w:t>Resulta ahora plenamente aplicable, una vez más como precedente de obligada referencia, la argumentación de las SSTC 9/2023 y 15/2023 para rechazar la aplicación de la doctrina constitucional asentada en las SSTC 93/2015, de 14 de mayo, FJ 13, y 16/2021, de 28 de enero, FJ 5 g), en las que se declararon inconstitucionales por vulnerar la prohibición de afectar al derecho de propiedad del art. 86.1 CE algunas medidas contenidas en sendos decretos leyes autonómicos en materia de vivienda (andaluz y catalán, respectivamente), al tratarse de supuestos completamente diferentes. En efecto, de un lado, se resolvió que la imposición por decreto-ley de un “deber de destinar de forma efectiva el bien al uso habitacional” constituía una “regulación directa del derecho de propiedad de un tipo de bienes y que tiene por objeto aspectos esenciales del mismo” [STC 93/2015, FJ 13, citada por la STC 9/2023, FJ 4 c)]; y, de otro lado, se declaró contrario al art. 86.1 CE por el mismo motivo el señalamiento del incumplimiento de la función social de la propiedad por mantener viviendas desocupadas de forma permanente e injustificada por un plazo de más de dos años, o la imposición a los propietarios de viviendas de su alquiler forzoso [STC 16/2021, FJ 5 g), citada en la STC 9/2023, FJ 4 c)].</w:t>
      </w:r>
    </w:p>
    <w:p w14:paraId="141A07CF" w14:textId="77777777" w:rsidR="009D7677" w:rsidRDefault="009D7677" w:rsidP="009D7677">
      <w:pPr>
        <w:pStyle w:val="TextoNormal"/>
      </w:pPr>
    </w:p>
    <w:p w14:paraId="318281E9" w14:textId="45AA5B17" w:rsidR="009D7677" w:rsidRDefault="009D7677" w:rsidP="009D7677">
      <w:pPr>
        <w:pStyle w:val="TextoNormal"/>
      </w:pPr>
      <w:r>
        <w:t>Por tanto, debe desestimarse este motivo de impugnación.</w:t>
      </w:r>
    </w:p>
    <w:p w14:paraId="3881AB94" w14:textId="77777777" w:rsidR="009D7677" w:rsidRDefault="009D7677" w:rsidP="009D7677">
      <w:pPr>
        <w:pStyle w:val="TextoNormal"/>
      </w:pPr>
    </w:p>
    <w:p w14:paraId="17763018" w14:textId="77777777" w:rsidR="009D7677" w:rsidRDefault="009D7677" w:rsidP="009D7677">
      <w:pPr>
        <w:pStyle w:val="TextoNormal"/>
      </w:pPr>
      <w:r w:rsidRPr="009D7677">
        <w:rPr>
          <w:rStyle w:val="NumeroAFNegritaCaracter"/>
        </w:rPr>
        <w:t>7</w:t>
      </w:r>
      <w:r>
        <w:t xml:space="preserve">. </w:t>
      </w:r>
      <w:r w:rsidRPr="009D7677">
        <w:rPr>
          <w:i/>
        </w:rPr>
        <w:t>Conclusión</w:t>
      </w:r>
    </w:p>
    <w:p w14:paraId="5C54EFDD" w14:textId="77777777" w:rsidR="009D7677" w:rsidRDefault="009D7677" w:rsidP="009D7677">
      <w:pPr>
        <w:pStyle w:val="TextoNormal"/>
      </w:pPr>
    </w:p>
    <w:p w14:paraId="542A45B1" w14:textId="595E3DA4" w:rsidR="009D7677" w:rsidRDefault="009D7677" w:rsidP="009D7677">
      <w:pPr>
        <w:pStyle w:val="TextoNormal"/>
      </w:pPr>
      <w:r>
        <w:t xml:space="preserve">Este tribunal considera, por las razones anteriormente expuestas, que la norma objeto del presente recurso de inconstitucionalidad no vulnera los límites del decreto-ley derivados del art. 86.1 CE. En primer lugar, su aprobación satisface la exigencia constitucional de responder a una situación de extraordinaria y urgente necesidad, suficientemente explicitada y razonada por el Gobierno, con una medida que guarda una evidente relación de congruencia con el objetivo de dar cobertura inmediata a la necesidad de vivienda a personas que se encuentren en situaciones de extrema vulnerabilidad sin alternativa habitacional. Y, en segundo lugar, los incisos impugnados prevén una medida limitada en cuanto a su ámbito de aplicación subjetivo, objetivo y temporal, que ni tiene por objeto una regulación directa y general del derecho de propiedad de la vivienda (art. 33 CE), ni afecta, por ello, a su contenido esencial. Medida que responde a una finalidad de interés social, que tiene una incidencia temporal y parcial sobre el citado derecho, y cuya efectiva adopción </w:t>
      </w:r>
      <w:r>
        <w:lastRenderedPageBreak/>
        <w:t>requiere la ponderación de las circunstancias del caso concreto por parte del órgano judicial competente.</w:t>
      </w:r>
    </w:p>
    <w:p w14:paraId="4B8D8322" w14:textId="77777777" w:rsidR="009D7677" w:rsidRDefault="009D7677" w:rsidP="009D7677">
      <w:pPr>
        <w:pStyle w:val="TextoNormal"/>
      </w:pPr>
    </w:p>
    <w:p w14:paraId="4ED4BA6C" w14:textId="77777777" w:rsidR="009D7677" w:rsidRDefault="009D7677" w:rsidP="009D7677">
      <w:pPr>
        <w:pStyle w:val="TextoNormalCentrado"/>
        <w:keepNext/>
      </w:pPr>
      <w:r>
        <w:t>FALLO</w:t>
      </w:r>
    </w:p>
    <w:p w14:paraId="212D276F" w14:textId="5C4E9C72" w:rsidR="009D7677" w:rsidRDefault="009D7677" w:rsidP="009D7677">
      <w:pPr>
        <w:pStyle w:val="TextoNormalCentrado"/>
        <w:keepNext/>
      </w:pPr>
    </w:p>
    <w:p w14:paraId="13384200" w14:textId="77777777" w:rsidR="009D7677" w:rsidRDefault="009D7677" w:rsidP="009D7677">
      <w:pPr>
        <w:pStyle w:val="TextoNormal"/>
      </w:pPr>
      <w:r>
        <w:t>En atención a todo lo expuesto, el Tribunal Constitucional, por la autoridad que le confiere la Constitución de la Nación española, ha decidido:</w:t>
      </w:r>
    </w:p>
    <w:p w14:paraId="30DA7FFC" w14:textId="77777777" w:rsidR="009D7677" w:rsidRDefault="009D7677" w:rsidP="009D7677">
      <w:pPr>
        <w:pStyle w:val="TextoNormal"/>
      </w:pPr>
    </w:p>
    <w:p w14:paraId="28FAE267" w14:textId="77777777" w:rsidR="009D7677" w:rsidRDefault="009D7677" w:rsidP="009D7677">
      <w:pPr>
        <w:pStyle w:val="TextoNormal"/>
      </w:pPr>
      <w:r>
        <w:t>1º Declarar la pérdida sobrevenida de objeto del presente recurso de inconstitucionalidad en lo que hace a los motivos de impugnación relativos al derecho de propiedad (art. 33 CE) y al derecho a la tutela judicial efectiva en su vertiente de derecho a la ejecución de las resoluciones judiciales en sus propios términos (art. 24.1 CE) en relación con la potestad de jueces y tribunales para hacer ejecutar lo juzgado (arts. 117 y 118 CE).</w:t>
      </w:r>
    </w:p>
    <w:p w14:paraId="26D59D05" w14:textId="77777777" w:rsidR="009D7677" w:rsidRDefault="009D7677" w:rsidP="009D7677">
      <w:pPr>
        <w:pStyle w:val="TextoNormal"/>
      </w:pPr>
    </w:p>
    <w:p w14:paraId="6C5C2F44" w14:textId="6BF58295" w:rsidR="009D7677" w:rsidRDefault="009D7677" w:rsidP="009D7677">
      <w:pPr>
        <w:pStyle w:val="TextoNormal"/>
      </w:pPr>
      <w:r>
        <w:t>2º Desestimar el recurso de inconstitucionalidad en todo lo demás.</w:t>
      </w:r>
    </w:p>
    <w:p w14:paraId="386641BA" w14:textId="77777777" w:rsidR="009D7677" w:rsidRDefault="009D7677" w:rsidP="009D7677">
      <w:pPr>
        <w:pStyle w:val="TextoNormal"/>
      </w:pPr>
    </w:p>
    <w:p w14:paraId="72D0D748" w14:textId="77777777" w:rsidR="009D7677" w:rsidRDefault="009D7677" w:rsidP="009D7677">
      <w:pPr>
        <w:pStyle w:val="TextoNormal"/>
      </w:pPr>
      <w:r>
        <w:t>Publíquese esta sentencia en el “Boletín Oficial del Estado”.</w:t>
      </w:r>
    </w:p>
    <w:p w14:paraId="34051F12" w14:textId="77777777" w:rsidR="009D7677" w:rsidRDefault="009D7677" w:rsidP="009D7677">
      <w:pPr>
        <w:pStyle w:val="TextoNormal"/>
      </w:pPr>
      <w:r>
        <w:t>Dada en Madrid, a dieciséis de enero de dos mil veinticuatro.</w:t>
      </w:r>
    </w:p>
    <w:p w14:paraId="48F473B4" w14:textId="50DFC7E9" w:rsidR="009D7677" w:rsidRDefault="009D7677" w:rsidP="009D7677">
      <w:pPr>
        <w:pStyle w:val="ParrafoNormal"/>
      </w:pPr>
    </w:p>
    <w:p w14:paraId="392E6B7C" w14:textId="77777777" w:rsidR="009D7677" w:rsidRDefault="009D7677" w:rsidP="009D7677">
      <w:pPr>
        <w:pStyle w:val="TextoNormalNegritaCentrado"/>
        <w:keepNext/>
      </w:pPr>
      <w:r>
        <w:t>Voto particular que formulan los magistrados don Ricardo Enríquez Sancho, don Enrique Arnaldo Alcubilla, doña Concepción Espejel Jorquera y don César Tolosa Tribiño a la sentencia dictada en el recurso de inconstitucionalidad número 7007-2021</w:t>
      </w:r>
    </w:p>
    <w:p w14:paraId="51DFD3AF" w14:textId="12C8B758" w:rsidR="009D7677" w:rsidRDefault="009D7677" w:rsidP="009D7677">
      <w:pPr>
        <w:pStyle w:val="TextoNormalNegritaCentrado"/>
        <w:keepNext/>
      </w:pPr>
    </w:p>
    <w:p w14:paraId="598AA360" w14:textId="77777777" w:rsidR="009D7677" w:rsidRDefault="009D7677" w:rsidP="009D7677">
      <w:pPr>
        <w:pStyle w:val="TextoNormal"/>
      </w:pPr>
      <w:r>
        <w:t>En el ejercicio de la facultad que nos confiere el artículo 90.2 de la Ley Orgánica del Tribunal Constitucional, y con respeto al parecer mayoritario de nuestros compañeros, formulamos el presente voto particular para expresar nuestra discrepancia con la fundamentación y fallo de la sentencia recaída en el presente recurso de inconstitucionalidad, el cual a nuestro juicio debió ser estimado.</w:t>
      </w:r>
    </w:p>
    <w:p w14:paraId="47A6DCCD" w14:textId="77777777" w:rsidR="009D7677" w:rsidRDefault="009D7677" w:rsidP="009D7677">
      <w:pPr>
        <w:pStyle w:val="TextoNormal"/>
      </w:pPr>
    </w:p>
    <w:p w14:paraId="0ABF3571" w14:textId="77777777" w:rsidR="009D7677" w:rsidRDefault="009D7677" w:rsidP="009D7677">
      <w:pPr>
        <w:pStyle w:val="TextoNormal"/>
      </w:pPr>
      <w:r>
        <w:t xml:space="preserve">1. </w:t>
      </w:r>
      <w:r w:rsidRPr="009D7677">
        <w:rPr>
          <w:i/>
        </w:rPr>
        <w:t>Objeto del recurso</w:t>
      </w:r>
    </w:p>
    <w:p w14:paraId="0027043D" w14:textId="77777777" w:rsidR="009D7677" w:rsidRDefault="009D7677" w:rsidP="009D7677">
      <w:pPr>
        <w:pStyle w:val="TextoNormal"/>
      </w:pPr>
    </w:p>
    <w:p w14:paraId="6BFBF3B7" w14:textId="77777777" w:rsidR="009D7677" w:rsidRDefault="009D7677" w:rsidP="009D7677">
      <w:pPr>
        <w:pStyle w:val="TextoNormal"/>
      </w:pPr>
      <w:r>
        <w:t>El decreto-ley impugnado, en la parte objeto de recurso, prorroga desde el 4 de agosto de 2021 hasta el 31 de octubre de 2021 (es decir, durante casi tres meses) la potestad judicial de suspender lanzamientos de vivienda habitual de personas en situación de vulnerabilidad económica acordados en procesos penales (no civiles, cuya suspensión era ya posible con anterioridad y no ha sido discutida). A nuestro modo de ver, esta ampliación: (a) ni está amparada en la descripción de la situación de “extraordinaria y urgente necesidad” (art. 86.1 CE) efectuada por el Gobierno para justificar la aprobación del decreto-ley, (b) ni, por su contenido, podía aprobarse mediante este instrumento excepcional por “afectar” al derecho de propiedad en contra de lo previsto en el art. 86.1, en relación con el art. 33, ambos de la Constitución, en el sentido otorgado a esta expresión por la doctrina de este tribunal (SSTC 93/2015, de 14 de mayo, y 16/2021, de 28 de enero).</w:t>
      </w:r>
    </w:p>
    <w:p w14:paraId="112291CF" w14:textId="77777777" w:rsidR="009D7677" w:rsidRDefault="009D7677" w:rsidP="009D7677">
      <w:pPr>
        <w:pStyle w:val="TextoNormal"/>
      </w:pPr>
    </w:p>
    <w:p w14:paraId="1E0B20B9" w14:textId="77777777" w:rsidR="009D7677" w:rsidRDefault="009D7677" w:rsidP="009D7677">
      <w:pPr>
        <w:pStyle w:val="TextoNormal"/>
      </w:pPr>
      <w:r>
        <w:t>A continuación, desarrollaremos los argumentos que nos permiten sustentar estas conclusiones.</w:t>
      </w:r>
    </w:p>
    <w:p w14:paraId="27D294E2" w14:textId="77777777" w:rsidR="009D7677" w:rsidRDefault="009D7677" w:rsidP="009D7677">
      <w:pPr>
        <w:pStyle w:val="TextoNormal"/>
      </w:pPr>
    </w:p>
    <w:p w14:paraId="4E7388F7" w14:textId="77777777" w:rsidR="009D7677" w:rsidRDefault="009D7677" w:rsidP="009D7677">
      <w:pPr>
        <w:pStyle w:val="TextoNormal"/>
      </w:pPr>
      <w:r>
        <w:lastRenderedPageBreak/>
        <w:t xml:space="preserve">2. </w:t>
      </w:r>
      <w:r w:rsidRPr="009D7677">
        <w:rPr>
          <w:i/>
        </w:rPr>
        <w:t>Falta de presupuesto habilitante</w:t>
      </w:r>
      <w:r>
        <w:t xml:space="preserve">: </w:t>
      </w:r>
      <w:r w:rsidRPr="009D7677">
        <w:rPr>
          <w:i/>
        </w:rPr>
        <w:t>no concurre la extraordinaria y urgente necesidad</w:t>
      </w:r>
    </w:p>
    <w:p w14:paraId="414B0B45" w14:textId="77777777" w:rsidR="009D7677" w:rsidRDefault="009D7677" w:rsidP="009D7677">
      <w:pPr>
        <w:pStyle w:val="TextoNormal"/>
      </w:pPr>
    </w:p>
    <w:p w14:paraId="2F9CBA96" w14:textId="77777777" w:rsidR="009D7677" w:rsidRDefault="009D7677" w:rsidP="009D7677">
      <w:pPr>
        <w:pStyle w:val="TextoNormal"/>
      </w:pPr>
      <w:r>
        <w:t>Según nuestra consolidada doctrina desde la STC 29/1982, de 31 de mayo, que la sentencia de la mayoría reitera una vez más (FJ 3), la potestad constitucional atribuida al Gobierno para dictar decretos-leyes “en caso de extraordinaria y urgente necesidad” (art. 86.1) exige que el Gobierno efectúe una “definición explícita y razonada” de esa situación. En su aplicación al caso, la sentencia de la mayoría, como ya hizo la STC 15/2023, de 7 de marzo, FJ 4 A) d), transforma este canon de presentación “explícita y razonada” en el de “justificación sucinta, pero razonable” [FJ 4 A) d)], treta que le permite desestimar este primer motivo de impugnación. Lo cierto, sin embargo, es que ni siquiera hay justificación “sucinta” y “razonable”.</w:t>
      </w:r>
    </w:p>
    <w:p w14:paraId="137F1447" w14:textId="77777777" w:rsidR="009D7677" w:rsidRDefault="009D7677" w:rsidP="009D7677">
      <w:pPr>
        <w:pStyle w:val="TextoNormal"/>
      </w:pPr>
    </w:p>
    <w:p w14:paraId="4D11D238" w14:textId="77777777" w:rsidR="009D7677" w:rsidRDefault="009D7677" w:rsidP="009D7677">
      <w:pPr>
        <w:pStyle w:val="TextoNormal"/>
      </w:pPr>
      <w:r>
        <w:t>Tal como recoge la mayoría, en la exposición de motivos del decreto-ley, expediente de elaboración y debate de convalidación hay solamente menciones al aumento de desahucios y lanzamientos “civiles” [FJ 4 A) a)]. La suspensión de estos lanzamientos, sin embargo, ya estaba en la norma original y no ha sido recurrida. Lo que el Gobierno debía justificar, por tanto, según el canon de la justificación “</w:t>
      </w:r>
      <w:r w:rsidRPr="009D7677">
        <w:rPr>
          <w:i/>
        </w:rPr>
        <w:t>ad cassum</w:t>
      </w:r>
      <w:r>
        <w:t>” que la mayoría igualmente reconoce (FJ 3, citando sentencias del Tribunal Constitucional anteriores), era el número y evolución de los lanzamientos penales, que son los que la norma permite suspender. ¿Cuántos lanzamientos penales ha habido en nuestro país? Es más, ¿ha habido alguno en los meses anteriores a la reforma? Y de ellos, ¿cuántos han afectado a personas en situación de vulnerabilidad usurpadoras de viviendas como las definidas en el decreto-ley? Son datos que se desconocen por completo. Entonces, ¿cómo puede concluir la mayoría que su suspensión era de “extraordinaria y urgente necesidad” como exige el art. 86.1 CE?</w:t>
      </w:r>
    </w:p>
    <w:p w14:paraId="718E8A2D" w14:textId="77777777" w:rsidR="009D7677" w:rsidRDefault="009D7677" w:rsidP="009D7677">
      <w:pPr>
        <w:pStyle w:val="TextoNormal"/>
      </w:pPr>
    </w:p>
    <w:p w14:paraId="37C1A175" w14:textId="77777777" w:rsidR="009D7677" w:rsidRDefault="009D7677" w:rsidP="009D7677">
      <w:pPr>
        <w:pStyle w:val="TextoNormal"/>
      </w:pPr>
      <w:r>
        <w:t>Estamos dispuestos a admitir a efectos dialécticos —no forma parte del objeto de este recurso, así que no hay razón para polemizar sobre ello— que el aumento de lanzamientos civiles pueda justificar, según el margen de apreciación que corresponde al Gobierno como órgano de dirección política, un decreto-ley que habilite urgentemente la suspensión de los mismos bajo ciertas condiciones, como hace el decreto-ley (no recurrido en este punto). Pero lo que un aumento de lanzamientos civiles no puede justificar en modo alguno, según el canon de “control externo” que corresponde a este tribunal (fundamento jurídico 3 de la sentencia de la mayoría, citando doctrina anterior invariable), es que se suspendan los lanzamientos penales, cuyo número y evolución se desconocen por completo. La corrección lógico-formal de la justificación ofrecida por el Gobierno es lo mínimo que debe exigirse en el “control externo” de esa justificación. Como nuestra doctrina ha reiterado, “la causa justificativa del decreto-ley ha de ser explicitada por el propio Gobierno” hasta el punto de que “su carencia determina que no podamos apreciar la concurrencia del presupuesto habilitante que los diputados recurrentes niegan, el Gobierno no acredita y este tribunal no puede presumir” [SSTC 61/2018, de 7 de junio, FJ 6, y 134/2021, de 24 de junio, FJ 3 c)]” [STC 15/2023, de 7 de marzo, FJ 3 c)].</w:t>
      </w:r>
    </w:p>
    <w:p w14:paraId="4F3E1F8A" w14:textId="77777777" w:rsidR="009D7677" w:rsidRDefault="009D7677" w:rsidP="009D7677">
      <w:pPr>
        <w:pStyle w:val="TextoNormal"/>
      </w:pPr>
    </w:p>
    <w:p w14:paraId="24A9279F" w14:textId="77777777" w:rsidR="009D7677" w:rsidRDefault="009D7677" w:rsidP="009D7677">
      <w:pPr>
        <w:pStyle w:val="TextoNormal"/>
      </w:pPr>
      <w:r>
        <w:t>Esta STC 15/2023 desestimó el recurso contra un decreto-ley anterior análogo (el que estableció primeramente la potestad de suspender lanzamientos penales “hasta la finalización del estado de alarma”, que se produjo el 9 de mayo de 2021). A ella se aferra la mayoría. Pero esa desestimación, además de contar con tres votos particulares, aludió expresamente al “contexto de estado de alarma” en que se aprobó el decreto-ley anterior entonces recurrido [STC 15/2023, FJ 4 A) d)]. Un estado de alarma que había decaído tres me</w:t>
      </w:r>
      <w:r>
        <w:lastRenderedPageBreak/>
        <w:t>ses antes de la aprobación de este nuevo decreto-ley el 3 de agosto de 2021. Desaparecida esa circunstancia excepcional, la ausencia de explicitación por parte del Gobierno de la situación que trata de afrontar no puede considerarse ni “sucinta” ni “razonable” en relación con el “contexto”, que fue lo que se apreció en la citada STC 15/2023, FJ 4 A) d).</w:t>
      </w:r>
    </w:p>
    <w:p w14:paraId="29C87FC3" w14:textId="77777777" w:rsidR="009D7677" w:rsidRDefault="009D7677" w:rsidP="009D7677">
      <w:pPr>
        <w:pStyle w:val="TextoNormal"/>
      </w:pPr>
    </w:p>
    <w:p w14:paraId="71DB8660" w14:textId="77777777" w:rsidR="009D7677" w:rsidRDefault="009D7677" w:rsidP="009D7677">
      <w:pPr>
        <w:pStyle w:val="TextoNormal"/>
      </w:pPr>
      <w:r>
        <w:t>No dudamos de las secuelas económicas y sociales de la pandemia. Ahora bien, es “carga argumental” del Gobierno presentarlas de forma “explícita y razonada” cuando quiere aprobar un decreto-ley para reaccionar ante esas consecuencias, y vincular la norma así aprobada a una situación concreta derivada de la crisis que trata de remediar (STC 110/2021, de 13 de mayo, FJ 6, y las allí citadas). La pandemia no puede convertirse en un comodín ni en un conjuro para que el Gobierno sustituya la potestad legislativa del parlamento y apruebe decretos-leyes a voluntad, sacrificando así la posición institucional del poder legislativo y, con ella, la garantía de la intervención de las minorías en el procedimiento parlamentario. Como este tribunal ya ha tenido ocasión de señalar, “el empleo del decreto-ley únicamente se justifica en casos objetivos de urgente y extraordinaria necesidad, esto es, ante coyunturas en las que se haga presente la exigencia de una intervención normativa inmediata, solo atendible mediante esa disposición legislativa provisional; algo muy distinto, en suma, a la simple conveniencia de contar, lo antes posible, con la norma que el Gobierno estime oportuna» (STC 111/2021, de 13 de mayo, FJ 8). Es asimismo doctrina constitucional consolidada que no son admisibles “fórmulas genéricas, estereotipadas o rituales” aplicables para cualquier medida de un modo intercambiable (STC 110/2021, citada, FJ 6) “de una marcada abstracción y, por ello, de prácticamente imposible control constitucional” (STC 68/2007, de 28 de marzo, FJ 10), como sucede cuando se apela a la “cambiante situación de la economía internacional” para justificar medidas económicas (caso de la STC 68/2007 citada) o al “ahorro de costes” y al “principio de austeridad” para justificar una reestructuración de la corporación Radio Televisión Española, que efectivamente reducía costes pero en una medida totalmente insuficiente [STC 150/2017, de 21 de diciembre, FJ 6 b)].</w:t>
      </w:r>
    </w:p>
    <w:p w14:paraId="766C3918" w14:textId="77777777" w:rsidR="009D7677" w:rsidRDefault="009D7677" w:rsidP="009D7677">
      <w:pPr>
        <w:pStyle w:val="TextoNormal"/>
      </w:pPr>
    </w:p>
    <w:p w14:paraId="44DC9440" w14:textId="77777777" w:rsidR="009D7677" w:rsidRDefault="009D7677" w:rsidP="009D7677">
      <w:pPr>
        <w:pStyle w:val="TextoNormal"/>
      </w:pPr>
      <w:r>
        <w:t>Esto es lo que ha sucedido en este caso, en nuestra opinión. Y por ello consideramos que el recurso de inconstitucionalidad debió ser estimado por este primer motivo.</w:t>
      </w:r>
    </w:p>
    <w:p w14:paraId="1E3ABBFA" w14:textId="77777777" w:rsidR="009D7677" w:rsidRDefault="009D7677" w:rsidP="009D7677">
      <w:pPr>
        <w:pStyle w:val="TextoNormal"/>
      </w:pPr>
    </w:p>
    <w:p w14:paraId="0E6B2B3F" w14:textId="77777777" w:rsidR="009D7677" w:rsidRDefault="009D7677" w:rsidP="009D7677">
      <w:pPr>
        <w:pStyle w:val="TextoNormal"/>
      </w:pPr>
      <w:r>
        <w:t xml:space="preserve">3. </w:t>
      </w:r>
      <w:r w:rsidRPr="009D7677">
        <w:rPr>
          <w:i/>
        </w:rPr>
        <w:t>Afectación al derecho de propiedad</w:t>
      </w:r>
      <w:r>
        <w:t xml:space="preserve"> </w:t>
      </w:r>
      <w:r w:rsidRPr="009D7677">
        <w:rPr>
          <w:i/>
        </w:rPr>
        <w:t>de forma intensa e indefinida</w:t>
      </w:r>
    </w:p>
    <w:p w14:paraId="42924AC0" w14:textId="77777777" w:rsidR="009D7677" w:rsidRDefault="009D7677" w:rsidP="009D7677">
      <w:pPr>
        <w:pStyle w:val="TextoNormal"/>
      </w:pPr>
    </w:p>
    <w:p w14:paraId="5484DDB0" w14:textId="77777777" w:rsidR="009D7677" w:rsidRDefault="009D7677" w:rsidP="009D7677">
      <w:pPr>
        <w:pStyle w:val="TextoNormal"/>
      </w:pPr>
      <w:r>
        <w:t>El segundo motivo del recurso era igualmente fundado. La mayoría apela a las SSTC 9/2023, de 22 de febrero, y 15/2023, de 7 de marzo, que desestimaron este motivo en relación con el decreto-ley anterior que introdujo por primera vez la potestad judicial de suspender lanzamientos penales [fundamento jurídico 7 b) de la sentencia] para concluir que, como entonces, la potestad de suspender lanzamientos penales no “afecta” al derecho de propiedad porque “incide mínimamente y de forma temporal” en este derecho.</w:t>
      </w:r>
    </w:p>
    <w:p w14:paraId="1FDDFF24" w14:textId="77777777" w:rsidR="009D7677" w:rsidRDefault="009D7677" w:rsidP="009D7677">
      <w:pPr>
        <w:pStyle w:val="TextoNormal"/>
      </w:pPr>
    </w:p>
    <w:p w14:paraId="32ACD3E0" w14:textId="77777777" w:rsidR="009D7677" w:rsidRDefault="009D7677" w:rsidP="009D7677">
      <w:pPr>
        <w:pStyle w:val="TextoNormal"/>
      </w:pPr>
      <w:r>
        <w:t>No es así, a nuestro modo de ver. La mayoría prescinde artificiosamente de la sucesión de decretos-leyes que han prorrogado esta potestad de suspensión hasta convertirla en una medida de vigencia indefinida.</w:t>
      </w:r>
    </w:p>
    <w:p w14:paraId="290B2AAB" w14:textId="77777777" w:rsidR="009D7677" w:rsidRDefault="009D7677" w:rsidP="009D7677">
      <w:pPr>
        <w:pStyle w:val="TextoNormal"/>
      </w:pPr>
    </w:p>
    <w:p w14:paraId="3DD8A310" w14:textId="77777777" w:rsidR="009D7677" w:rsidRDefault="009D7677" w:rsidP="009D7677">
      <w:pPr>
        <w:pStyle w:val="TextoNormal"/>
      </w:pPr>
      <w:r>
        <w:t>Tal y como fue originalmente configurada en el Real Decreto-ley 1/2021, de 19 de enero (examinado en las SSTC 9/2023 y 15/2023), la potestad de suspender judicialmente lanzamientos penales por usurpaciones de vivienda se estableció “con carácter extraordi</w:t>
      </w:r>
      <w:r>
        <w:lastRenderedPageBreak/>
        <w:t>nario y temporal” “hasta la finalización del estado de alarma declarado por el Real Decreto 926/2020, de 25 de octubre, por el que se declara el estado de alarma para contener la propagación de infecciones causadas por el SARS-CoV-2, prorrogado por Real Decreto 956/2020, de 3 de noviembre”. Es decir, salvo que el Congreso autorizara una nueva prórroga del estado de alarma vigente en aquel momento (art. 116.2 CE), la medida decaería unos cuatro meses después de su aprobación, el 9 de mayo de 2021, pues esta era la fecha de vencimiento del estado de alarma prevista en el art. 2 del Real Decreto 956/2020, de 3 de noviembre, “por el que se prorroga el estado de alarma declarado por el Real Decreto 926/2020, de 25 de octubre, por el que se declara el estado de alarma para contener la propagación de infecciones causadas por el SARS-CoV-2”.</w:t>
      </w:r>
    </w:p>
    <w:p w14:paraId="4DD2295A" w14:textId="77777777" w:rsidR="009D7677" w:rsidRDefault="009D7677" w:rsidP="009D7677">
      <w:pPr>
        <w:pStyle w:val="TextoNormal"/>
      </w:pPr>
    </w:p>
    <w:p w14:paraId="41A316EA" w14:textId="77777777" w:rsidR="009D7677" w:rsidRDefault="009D7677" w:rsidP="009D7677">
      <w:pPr>
        <w:pStyle w:val="TextoNormal"/>
      </w:pPr>
      <w:r>
        <w:t>El Gobierno no solicitó una nueva prórroga del este segundo estado de alarma motivado por la crisis del covid-19, por razones que solo a él competen. Ello no le ha impedido, sin embargo, dictar hasta ocho decretos-leyes para ir prorrogando sucesivamente esta medida sin solución de continuidad: “hasta el 9 de agosto de 2021” (art. 7.2 del Real Decreto-ley 8/2021, de 4 de mayo); “hasta el 31 de octubre de 2021” (art. 2.2 del Real Decreto-ley 16/2021, de 3 de agosto, objeto de este recurso de inconstitucionalidad); “hasta el 28 de febrero de 2022” (art. 2.2 del Real Decreto-ley 21/2021, de 26 de octubre); “hasta el 30 de septiembre de 2022” (art. 2.2 del Real Decreto-ley 2/2022, de 22 de febrero); “hasta el 31 de diciembre de 2022” (art. 29.2 del Real Decreto-ley 11/2022, de 25 de junio); “hasta el 30 de junio de 2023” (art. 68.2 del Real Decreto-ley 20/2022, de 27 de diciembre); “hasta el 31 de diciembre de 2023” (art. 168.2 del Real Decreto-ley 5/2023, de 28 de junio), y “hasta el 31 de diciembre de 2024” (art. 87.2 del Real Decreto-ley 8/2023, de 27 de diciembre, último por ahora de esta larga lista).</w:t>
      </w:r>
    </w:p>
    <w:p w14:paraId="6FCCFED5" w14:textId="77777777" w:rsidR="009D7677" w:rsidRDefault="009D7677" w:rsidP="009D7677">
      <w:pPr>
        <w:pStyle w:val="TextoNormal"/>
      </w:pPr>
    </w:p>
    <w:p w14:paraId="3841BF07" w14:textId="77777777" w:rsidR="009D7677" w:rsidRDefault="009D7677" w:rsidP="009D7677">
      <w:pPr>
        <w:pStyle w:val="TextoNormal"/>
      </w:pPr>
      <w:r>
        <w:t>Y no se crea que el día siguiente a la última prórroga, es decir, el 1 de enero de 2025, las suspensiones acordadas bajo la vigencia de cualquiera de estas redacciones de la norma decaerán. Al contrario, la disposición transitoria tercera de la Ley 12/2023, de 24 de mayo, por el derecho a la vivienda (modificada al efecto por el art. 88 del Real Decreto-ley 8/2023 para retrasar su entrada en vigor y acomodarla con la última prórroga acordada en ese mismo decreto), prevé que esos lanzamientos “solo se reanudarán” si la parte actora se somete a un procedimiento de conciliación o intermediación con el ocupante y solicita la reanudación del lanzamiento suspendido en el plazo previsto. Es decir, que si no se cumplen esas condiciones no procederá el levantamiento de la suspensión.</w:t>
      </w:r>
    </w:p>
    <w:p w14:paraId="33252659" w14:textId="77777777" w:rsidR="009D7677" w:rsidRDefault="009D7677" w:rsidP="009D7677">
      <w:pPr>
        <w:pStyle w:val="TextoNormal"/>
      </w:pPr>
    </w:p>
    <w:p w14:paraId="497DEB84" w14:textId="77777777" w:rsidR="009D7677" w:rsidRDefault="009D7677" w:rsidP="009D7677">
      <w:pPr>
        <w:pStyle w:val="TextoNormal"/>
      </w:pPr>
      <w:r>
        <w:t>Resumiendo, la posibilidad de suspender lanzamientos en causas penales por delitos de usurpación de viviendas sin violencia o intimidación (art. 245.2 del Código penal), inicialmente establecida “con carácter extraordinario y temporal” por decreto-ley del Gobierno durante la vigencia de un estado de alarma, habrá prorrogado su vigencia por ocho decretos-leyes adicionales y sucesivos (entre ellos el ahora recurrido) y habrá estado vigente, sin solución de continuidad, durante casi cuatro años (desde el 21 de enero de 2021 en que entró en vigor hasta el 31 de diciembre de 2024), y más de tres años y medio después de finalizado el estado de alarma al que inicialmente se vinculó. Además, y a salvo de ulteriores prórrogas, a partir del 1 de enero de 2025 las suspensiones acordadas bajo la vigencia de cualquiera de estos decretos (también el aquí recurrido) mantendrán su vigencia bajo la fórmula del derecho (condicionado) de los propietarios a “reanudar” los lanzamientos suspendidos de la disposición transitoria tercera de la Ley de vivienda.</w:t>
      </w:r>
    </w:p>
    <w:p w14:paraId="4CBE43A0" w14:textId="77777777" w:rsidR="009D7677" w:rsidRDefault="009D7677" w:rsidP="009D7677">
      <w:pPr>
        <w:pStyle w:val="TextoNormal"/>
      </w:pPr>
    </w:p>
    <w:p w14:paraId="0425B366" w14:textId="77777777" w:rsidR="009D7677" w:rsidRDefault="009D7677" w:rsidP="009D7677">
      <w:pPr>
        <w:pStyle w:val="TextoNormal"/>
      </w:pPr>
      <w:r>
        <w:lastRenderedPageBreak/>
        <w:t>Esta no es una afectación “mínima” y “temporal” del derecho de propiedad, como sostiene la mayoría. Es una afectación indefinida. Un propietario que haya visto suspendido el lanzamiento del ocupante o usurpador de su vivienda bajo cualquiera de las sucesivas redacciones del precepto (también entre el 4 de agosto y el 31 de octubre de 2021, periodo de vigencia del concreto decreto-ley objeto de este recurso) puede tener esa suspensión prorrogada a fecha de esta sentencia, más de dos años después. Y esa suspensión aún puede prorrogarse un año más, hasta el 31 de diciembre de 2024, conforme a la última prórroga acordada. E incluso más allá de 2025 de acuerdo con la disposición transitoria tercera de la Ley de vivienda (modificada, otra vez, por decreto-ley).</w:t>
      </w:r>
    </w:p>
    <w:p w14:paraId="3E6BD5FA" w14:textId="77777777" w:rsidR="009D7677" w:rsidRDefault="009D7677" w:rsidP="009D7677">
      <w:pPr>
        <w:pStyle w:val="TextoNormal"/>
      </w:pPr>
    </w:p>
    <w:p w14:paraId="769977C1" w14:textId="77777777" w:rsidR="009D7677" w:rsidRDefault="009D7677" w:rsidP="009D7677">
      <w:pPr>
        <w:pStyle w:val="TextoNormal"/>
      </w:pPr>
      <w:r>
        <w:t xml:space="preserve">Nuestros compañeros aíslan los periodos de vigencia de cada decreto-ley como si fueran compartimentos estancos. Omiten, por una parte, que la suspensión acordada bajo la vigencia de </w:t>
      </w:r>
      <w:r w:rsidRPr="009D7677">
        <w:rPr>
          <w:i/>
        </w:rPr>
        <w:t>este</w:t>
      </w:r>
      <w:r>
        <w:t xml:space="preserve"> decreto-ley (y no de otros) puede permanecer vigente por efecto de esas prórrogas durante varios años, veremos cuántos; y por otra, que las suspensiones acordadas bajo la vigencia de decretos-leyes anteriores (vigentes entre el 21 de enero y el 3 de agosto de 2021) pudieron permanecer prorrogadas hasta el 31 de octubre de ese año (y más allá) por efecto de </w:t>
      </w:r>
      <w:r w:rsidRPr="009D7677">
        <w:rPr>
          <w:i/>
        </w:rPr>
        <w:t>este</w:t>
      </w:r>
      <w:r>
        <w:t xml:space="preserve"> decreto-ley, y no de otros. ¿Qué clase de concepto de temporalidad es ese? ¿Dónde empieza y dónde termina esa temporalidad? No se explica, obviándose que las sucesivas prórrogas de esa medida suspensiva mediante la fórmula del decreto-ley no se compadecen con la configuración constitucional de los decretos-leyes como “disposiciones legislativas provisionales” (art. 86.1 CE), únicamente admisibles “en casos objetivos de urgente y extraordinaria necesidad, esto es, ante coyunturas en las que se haga presente la exigencia de una intervención normativa inmediata” (STC 111/2021, FJ 8), porque ni siquiera mediante el procedimiento de urgencia pueden atenderse a tiempo por el poder legislativo.</w:t>
      </w:r>
    </w:p>
    <w:p w14:paraId="67111C08" w14:textId="77777777" w:rsidR="009D7677" w:rsidRDefault="009D7677" w:rsidP="009D7677">
      <w:pPr>
        <w:pStyle w:val="TextoNormal"/>
      </w:pPr>
    </w:p>
    <w:p w14:paraId="7CF3AE3E" w14:textId="77777777" w:rsidR="009D7677" w:rsidRDefault="009D7677" w:rsidP="009D7677">
      <w:pPr>
        <w:pStyle w:val="TextoNormal"/>
      </w:pPr>
      <w:r>
        <w:t>Esta naturaleza supuestamente “temporal” de la medida sirve a la mayoría, según explica al final del fundamento jurídico 7, para descartar la aplicación a este caso de la doctrina de las SSTC 93/2015, FJ 13, y 16/2021, FJ 5 g). En esas sentencias el tribunal declaró, sin votos particulares, que es inconstitucional establecer por decreto-ley la obligación de los propietarios de destinar sus viviendas al uso habitacional. Una regulación así suponía “afectar” al derecho de propiedad por decreto-ley en contra de la prohibición impuesta para este tipo de normas por el art. 86.1 CE, en relación con el art. 33. La imposición de esa obligación quedaba reservada, en su caso, a una ley formal del parlamento.</w:t>
      </w:r>
    </w:p>
    <w:p w14:paraId="139A4D41" w14:textId="77777777" w:rsidR="009D7677" w:rsidRDefault="009D7677" w:rsidP="009D7677">
      <w:pPr>
        <w:pStyle w:val="TextoNormal"/>
      </w:pPr>
    </w:p>
    <w:p w14:paraId="59ECDBF4" w14:textId="77777777" w:rsidR="009D7677" w:rsidRDefault="009D7677" w:rsidP="009D7677">
      <w:pPr>
        <w:pStyle w:val="TextoNormal"/>
      </w:pPr>
      <w:r>
        <w:t>A nuestro juicio, la extensión temporal y ultraactividad de la potestad de suspensión introducida por este decreto-ley, antes explicada, junto con la desaparición del “contexto” excepcional del estado de alarma en que se aprobó el primer decreto-ley examinado en las SSTC 9/2023 y 15/2023, obligaban a aplicar la doctrina de las SSTC 93/2015 y 16/2021, antes citadas, pues ¿qué diferencia existe para un propietario entre el establecimiento de un deber de destinar su vivienda a uso habitacional con carácter permanente mediante un solo decreto-ley (inconstitucional según las SSTC 93/2015 y 16/2021) y esta sucesión indefinida de prórrogas por decreto-ley (constitucional según la decisión de la mayoría en este caso)? Absolutamente ninguna.</w:t>
      </w:r>
    </w:p>
    <w:p w14:paraId="2FC071FF" w14:textId="77777777" w:rsidR="009D7677" w:rsidRDefault="009D7677" w:rsidP="009D7677">
      <w:pPr>
        <w:pStyle w:val="TextoNormal"/>
      </w:pPr>
    </w:p>
    <w:p w14:paraId="01D458B7" w14:textId="77777777" w:rsidR="009D7677" w:rsidRDefault="009D7677" w:rsidP="009D7677">
      <w:pPr>
        <w:pStyle w:val="TextoNormal"/>
      </w:pPr>
      <w:r>
        <w:t>El decreto-ley recurrido habilita la privación singular de bienes (viviendas) a sus propietarios (personas jurídicas y también físicas). Esta privación singular no solo no es inde</w:t>
      </w:r>
      <w:r>
        <w:lastRenderedPageBreak/>
        <w:t>finida (y no “temporal”, como dice la mayoría). Es que, además, tampoco garantiza una compensación, como afirma la mayoría [fundamento jurídico 7 c)].</w:t>
      </w:r>
    </w:p>
    <w:p w14:paraId="4832B925" w14:textId="77777777" w:rsidR="009D7677" w:rsidRDefault="009D7677" w:rsidP="009D7677">
      <w:pPr>
        <w:pStyle w:val="TextoNormal"/>
      </w:pPr>
    </w:p>
    <w:p w14:paraId="13FF1BD1" w14:textId="77777777" w:rsidR="009D7677" w:rsidRDefault="009D7677" w:rsidP="009D7677">
      <w:pPr>
        <w:pStyle w:val="TextoNormal"/>
      </w:pPr>
      <w:r>
        <w:t>La privación singular de la vivienda solo será indemnizada “si durante los tres meses siguientes a la fecha en que se emita el informe de los servicios sociales señalando las medidas adecuadas para atender la situación de vulnerabilidad acreditada, tales medidas no se hubieran adoptado por la administración competente y siempre que los propietarios acrediten que la suspensión del lanzamiento les haya ocasionado perjuicio económico al encontrarse la vivienda ofertada en venta o arrendamiento con anterioridad a la entrada en el inmueble” (disposición adicional segunda, apartado 4 del Real Decreto-ley 37/2020, de 22 de diciembre). La indemnización, además, se fija por referencia a baremos oficiales (misma disposición adicional segunda, apartado 5).</w:t>
      </w:r>
    </w:p>
    <w:p w14:paraId="32FEFA7C" w14:textId="77777777" w:rsidR="009D7677" w:rsidRDefault="009D7677" w:rsidP="009D7677">
      <w:pPr>
        <w:pStyle w:val="TextoNormal"/>
      </w:pPr>
    </w:p>
    <w:p w14:paraId="207DB6A0" w14:textId="77777777" w:rsidR="009D7677" w:rsidRDefault="009D7677" w:rsidP="009D7677">
      <w:pPr>
        <w:pStyle w:val="TextoNormal"/>
      </w:pPr>
      <w:r>
        <w:t>Ello contraviene no solo la prohibición de “afectar” al derecho constitucional de propiedad del art. 86.1, sino el “contenido esencial” de este derecho protegido por el art. 53.1 CE, en relación con el art. 33.3, que dice que “nadie podrá ser privado de sus bienes y derechos sino por causa justificada de utilidad pública o interés social, mediante la correspondiente indemnización y de conformidad con lo dispuesto por las leyes”. La insuficiencia de viviendas en alquiler es una razón constitucionalmente legítima para regular ese mercado (art. 47 CE), pero no permite al gobierno hacer recaer los costes de esa insuficiencia sobre los propietarios (STEDH de 19 de junio de 2006, asunt</w:t>
      </w:r>
      <w:r w:rsidRPr="009D7677">
        <w:rPr>
          <w:i/>
        </w:rPr>
        <w:t>o Hutten-Czapska c. Polon</w:t>
      </w:r>
      <w:r>
        <w:t>ia).</w:t>
      </w:r>
    </w:p>
    <w:p w14:paraId="05FFDB91" w14:textId="77777777" w:rsidR="009D7677" w:rsidRDefault="009D7677" w:rsidP="009D7677">
      <w:pPr>
        <w:pStyle w:val="TextoNormal"/>
      </w:pPr>
    </w:p>
    <w:p w14:paraId="152C73CE" w14:textId="77777777" w:rsidR="009D7677" w:rsidRDefault="009D7677" w:rsidP="009D7677">
      <w:pPr>
        <w:pStyle w:val="TextoNormal"/>
      </w:pPr>
      <w:r>
        <w:t>Por todas estas razones consideramos que el presente recurso de inconstitucionalidad debió ser estimado.</w:t>
      </w:r>
    </w:p>
    <w:p w14:paraId="3096D607" w14:textId="77777777" w:rsidR="009D7677" w:rsidRDefault="009D7677" w:rsidP="009D7677">
      <w:pPr>
        <w:pStyle w:val="TextoNormal"/>
      </w:pPr>
    </w:p>
    <w:p w14:paraId="296DAFA8" w14:textId="77777777" w:rsidR="009D7677" w:rsidRDefault="009D7677" w:rsidP="009D7677">
      <w:pPr>
        <w:pStyle w:val="TextoNormal"/>
      </w:pPr>
      <w:r>
        <w:t>Y en tal sentido emitimos nuestro voto particular.</w:t>
      </w:r>
    </w:p>
    <w:p w14:paraId="2EA41827" w14:textId="77777777" w:rsidR="009D7677" w:rsidRDefault="009D7677" w:rsidP="009D7677">
      <w:pPr>
        <w:pStyle w:val="TextoNormal"/>
      </w:pPr>
    </w:p>
    <w:p w14:paraId="2FC1A9FA" w14:textId="683F516E" w:rsidR="009D7677" w:rsidRDefault="009D7677" w:rsidP="009D7677">
      <w:pPr>
        <w:pStyle w:val="TextoNormal"/>
      </w:pPr>
      <w:r>
        <w:t>Madrid, a diecisiete de enero de dos mil veinticuatro.</w:t>
      </w:r>
    </w:p>
    <w:p w14:paraId="5828964E" w14:textId="281B1B22" w:rsidR="009D7677" w:rsidRDefault="009D7677">
      <w:pPr>
        <w:spacing w:after="160" w:line="259" w:lineRule="auto"/>
        <w:rPr>
          <w:rFonts w:ascii="Times New Roman" w:eastAsia="Times New Roman" w:hAnsi="Times New Roman" w:cs="Times New Roman"/>
          <w:sz w:val="24"/>
          <w:szCs w:val="24"/>
          <w:lang w:eastAsia="es-ES"/>
        </w:rPr>
      </w:pPr>
      <w:r>
        <w:br w:type="page"/>
      </w:r>
    </w:p>
    <w:p w14:paraId="5899CFC7" w14:textId="77777777" w:rsidR="009D7677" w:rsidRDefault="009D7677" w:rsidP="009D7677">
      <w:pPr>
        <w:pStyle w:val="TtuloResolucin"/>
      </w:pPr>
      <w:bookmarkStart w:id="10" w:name="SENTENCIA_2024_8"/>
      <w:r>
        <w:lastRenderedPageBreak/>
        <w:t>SENTENCIA 8/2024, de 16 de enero de 2024</w:t>
      </w:r>
    </w:p>
    <w:bookmarkEnd w:id="10"/>
    <w:p w14:paraId="75ABA1A4" w14:textId="77777777" w:rsidR="009D7677" w:rsidRDefault="009D7677" w:rsidP="009D7677">
      <w:pPr>
        <w:pStyle w:val="TtuloResolucin"/>
      </w:pPr>
      <w:r>
        <w:t>Pleno</w:t>
      </w:r>
    </w:p>
    <w:p w14:paraId="00BE2621" w14:textId="77777777" w:rsidR="009D7677" w:rsidRDefault="009D7677" w:rsidP="009D7677">
      <w:pPr>
        <w:pStyle w:val="TtuloBOE"/>
      </w:pPr>
      <w:r>
        <w:t>(BOE núm. 45, de 20 de febrero de 2024)</w:t>
      </w:r>
    </w:p>
    <w:p w14:paraId="69CD58AF" w14:textId="77777777" w:rsidR="009D7677" w:rsidRDefault="009D7677" w:rsidP="009D7677">
      <w:pPr>
        <w:pStyle w:val="TextoNormalCentrado"/>
      </w:pPr>
      <w:r>
        <w:t>ECLI:ES:TC:2024:8</w:t>
      </w:r>
    </w:p>
    <w:p w14:paraId="5E2367A3" w14:textId="0F4BCB92" w:rsidR="009D7677" w:rsidRDefault="009D7677" w:rsidP="009D7677">
      <w:pPr>
        <w:pStyle w:val="TextoNormalCentrado"/>
      </w:pPr>
    </w:p>
    <w:p w14:paraId="14E73ADF" w14:textId="77777777" w:rsidR="009D7677" w:rsidRDefault="009D7677" w:rsidP="009D7677">
      <w:pPr>
        <w:pStyle w:val="SntesisDescriptiva"/>
      </w:pPr>
      <w:r>
        <w:t>Recurso de amparo 697-2022. Promovido por don Alberto Rodríguez Rodríguez en relación con la sentencia de la Sala de lo Penal del Tribunal Supremo que le condenó por un delito de atentado contra agentes de la autoridad.</w:t>
      </w:r>
    </w:p>
    <w:p w14:paraId="7969A5EC" w14:textId="650F3EC0" w:rsidR="009D7677" w:rsidRDefault="009D7677" w:rsidP="009D7677">
      <w:pPr>
        <w:pStyle w:val="SntesisDescriptiva"/>
      </w:pPr>
    </w:p>
    <w:p w14:paraId="6B688FDB" w14:textId="77777777" w:rsidR="009D7677" w:rsidRDefault="009D7677" w:rsidP="009D7677">
      <w:pPr>
        <w:pStyle w:val="SntesisAnaltica"/>
      </w:pPr>
      <w:r>
        <w:t>Vulneración del derecho a la legalidad penal: sentencia condenatoria que desconoce el principio de prohibición de interpretación extensiva o analógica de los preceptos sancionadores. Votos particulares.</w:t>
      </w:r>
    </w:p>
    <w:p w14:paraId="31F8ACC5" w14:textId="2C08DF3A" w:rsidR="009D7677" w:rsidRDefault="009D7677" w:rsidP="009D7677">
      <w:pPr>
        <w:pStyle w:val="SntesisAnaltica"/>
      </w:pPr>
    </w:p>
    <w:p w14:paraId="17BEC8AB" w14:textId="5F0B8BCC" w:rsidR="009D7677" w:rsidRDefault="009D7677" w:rsidP="009D7677">
      <w:pPr>
        <w:pStyle w:val="Extracto"/>
      </w:pPr>
      <w:r>
        <w:t>1.</w:t>
      </w:r>
      <w:r>
        <w:tab/>
        <w:t>En supuestos en que se recurre a la violencia contra bienes o contra personas en el marco de una manifestación o concentración pública, la invocación del derecho fundamental de reunión solo puede ser entendida como un mero pretexto o subterfugio de actos antijurídicos en que se empleó violencia [FJ 5].</w:t>
      </w:r>
    </w:p>
    <w:p w14:paraId="463AA171" w14:textId="77777777" w:rsidR="009D7677" w:rsidRDefault="009D7677" w:rsidP="009D7677">
      <w:pPr>
        <w:pStyle w:val="Extracto"/>
      </w:pPr>
    </w:p>
    <w:p w14:paraId="6BF234DF" w14:textId="34AC25CF" w:rsidR="009D7677" w:rsidRDefault="009D7677" w:rsidP="009D7677">
      <w:pPr>
        <w:pStyle w:val="Extracto"/>
      </w:pPr>
      <w:r>
        <w:t>2.</w:t>
      </w:r>
      <w:r>
        <w:tab/>
        <w:t>El derecho a la legalidad sancionadora implica que nadie puede ser condenado por acciones u omisiones que no constituyan delito o falta según la legislación vigente en el momento de tales conductas (art. 25.1 CE). Además, incluye una garantía material que se concreta en un mandato de certeza o taxatividad que, entre otros extremos, prohíbe al aplicador del derecho hacer una interpretación extensiva o el uso de la analogía</w:t>
      </w:r>
      <w:r w:rsidRPr="009D7677">
        <w:rPr>
          <w:i/>
        </w:rPr>
        <w:t xml:space="preserve"> in malam partem </w:t>
      </w:r>
      <w:r>
        <w:t>de la normativa sancionadora, que se proyecta también sobre la determinación de sus consecuencias jurídicas (SSTC 129/2008 o 25/2022) [FJ 6].</w:t>
      </w:r>
    </w:p>
    <w:p w14:paraId="064852B6" w14:textId="77777777" w:rsidR="009D7677" w:rsidRDefault="009D7677" w:rsidP="009D7677">
      <w:pPr>
        <w:pStyle w:val="Extracto"/>
      </w:pPr>
    </w:p>
    <w:p w14:paraId="6913EE56" w14:textId="3CAB4DE8" w:rsidR="009D7677" w:rsidRDefault="009D7677" w:rsidP="009D7677">
      <w:pPr>
        <w:pStyle w:val="Extracto"/>
      </w:pPr>
      <w:r>
        <w:t>3.</w:t>
      </w:r>
      <w:r>
        <w:tab/>
        <w:t>Una resolución judicial resulta desproporcionada cuando concurra un desequilibrio patente y excesivo o irrazonable entre la sanción y la finalidad de la normativa aplicable, a partir de las pautas axiológicas constitucionalmente indiscutibles [FJ 6].</w:t>
      </w:r>
    </w:p>
    <w:p w14:paraId="19193E39" w14:textId="77777777" w:rsidR="009D7677" w:rsidRDefault="009D7677" w:rsidP="009D7677">
      <w:pPr>
        <w:pStyle w:val="Extracto"/>
      </w:pPr>
    </w:p>
    <w:p w14:paraId="33B3A3F2" w14:textId="77777777" w:rsidR="009D7677" w:rsidRDefault="009D7677" w:rsidP="009D7677">
      <w:pPr>
        <w:pStyle w:val="Extracto"/>
      </w:pPr>
    </w:p>
    <w:p w14:paraId="4EB287A5" w14:textId="77777777" w:rsidR="009D7677" w:rsidRDefault="009D7677" w:rsidP="009D7677">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16FCAC77" w14:textId="6B524874" w:rsidR="009D7677" w:rsidRDefault="009D7677" w:rsidP="009D7677">
      <w:pPr>
        <w:pStyle w:val="TextoNormal"/>
      </w:pPr>
    </w:p>
    <w:p w14:paraId="64DD482F" w14:textId="77777777" w:rsidR="009D7677" w:rsidRDefault="009D7677" w:rsidP="009D7677">
      <w:pPr>
        <w:pStyle w:val="TextoNormalCentrado"/>
        <w:keepNext/>
      </w:pPr>
      <w:r>
        <w:t>EN NOMBRE DEL REY</w:t>
      </w:r>
    </w:p>
    <w:p w14:paraId="016EAF77" w14:textId="0E4E1737" w:rsidR="009D7677" w:rsidRDefault="009D7677" w:rsidP="009D7677">
      <w:pPr>
        <w:pStyle w:val="TextoNormalCentrado"/>
        <w:keepNext/>
      </w:pPr>
    </w:p>
    <w:p w14:paraId="315E9E28" w14:textId="77777777" w:rsidR="009D7677" w:rsidRDefault="009D7677" w:rsidP="009D7677">
      <w:pPr>
        <w:pStyle w:val="TextoNormalCentrado"/>
        <w:keepNext/>
      </w:pPr>
    </w:p>
    <w:p w14:paraId="6828F74D" w14:textId="77777777" w:rsidR="009D7677" w:rsidRDefault="009D7677" w:rsidP="009D7677">
      <w:pPr>
        <w:pStyle w:val="TextoNormal"/>
      </w:pPr>
      <w:r>
        <w:t>la siguiente</w:t>
      </w:r>
    </w:p>
    <w:p w14:paraId="4D5A50B1" w14:textId="1CD6668D" w:rsidR="009D7677" w:rsidRDefault="009D7677" w:rsidP="009D7677">
      <w:pPr>
        <w:pStyle w:val="TextoNormal"/>
      </w:pPr>
    </w:p>
    <w:p w14:paraId="324C0634" w14:textId="77777777" w:rsidR="009D7677" w:rsidRDefault="009D7677" w:rsidP="009D7677">
      <w:pPr>
        <w:pStyle w:val="TextoNormalCentrado"/>
        <w:keepNext/>
      </w:pPr>
      <w:r>
        <w:lastRenderedPageBreak/>
        <w:t>SENTENCIA</w:t>
      </w:r>
    </w:p>
    <w:p w14:paraId="3392C24F" w14:textId="203527FE" w:rsidR="009D7677" w:rsidRDefault="009D7677" w:rsidP="009D7677">
      <w:pPr>
        <w:pStyle w:val="TextoNormalCentrado"/>
        <w:keepNext/>
      </w:pPr>
    </w:p>
    <w:p w14:paraId="4F027016" w14:textId="77777777" w:rsidR="009D7677" w:rsidRDefault="009D7677" w:rsidP="009D7677">
      <w:pPr>
        <w:pStyle w:val="TextoNormal"/>
      </w:pPr>
      <w:r>
        <w:t>En el recurso de amparo núm. 697-2022, promovido por don Alberto Rodríguez Rodríguez contra la sentencia de la Sala de lo Penal del Tribunal Supremo núm. 750/2021, de 6 de octubre de 2021 y contra el auto de 15 de diciembre de 2021, por el que se desestima el incidente de nulidad de actuaciones interpuesto contra la citada sentencia, pronunciado en la causa especial núm. 21019-2019. Ha intervenido el Ministerio Fiscal. Ha sido ponente la magistrada doña María Luisa Segoviano Astaburuaga.</w:t>
      </w:r>
    </w:p>
    <w:p w14:paraId="1008CBF2" w14:textId="4D584957" w:rsidR="009D7677" w:rsidRDefault="009D7677" w:rsidP="009D7677">
      <w:pPr>
        <w:pStyle w:val="TextoNormal"/>
      </w:pPr>
    </w:p>
    <w:p w14:paraId="7D6A76A2" w14:textId="77777777" w:rsidR="009D7677" w:rsidRDefault="009D7677" w:rsidP="009D7677">
      <w:pPr>
        <w:pStyle w:val="TextoNormalNegritaCentrado"/>
        <w:keepNext/>
      </w:pPr>
      <w:r>
        <w:t>I. Antecedentes</w:t>
      </w:r>
    </w:p>
    <w:p w14:paraId="34A74168" w14:textId="0F850701" w:rsidR="009D7677" w:rsidRDefault="009D7677" w:rsidP="009D7677">
      <w:pPr>
        <w:pStyle w:val="TextoNormalNegritaCentrado"/>
        <w:keepNext/>
      </w:pPr>
    </w:p>
    <w:p w14:paraId="5E81062D" w14:textId="4B3591D0" w:rsidR="009D7677" w:rsidRDefault="009D7677" w:rsidP="009D7677">
      <w:pPr>
        <w:pStyle w:val="TextoNormal"/>
      </w:pPr>
      <w:r w:rsidRPr="009D7677">
        <w:rPr>
          <w:rStyle w:val="NumeroAFNegritaCaracter"/>
        </w:rPr>
        <w:t>1</w:t>
      </w:r>
      <w:r>
        <w:t>. Don Alberto Rodríguez Rodríguez, representado por el procurador de los tribunales don Carlos Ricardo Estévez Sanz, bajo la dirección de los letrados don Gonzalo Boye Tuset y doña María Isabel Elbal Sánchez, interpuso recurso de amparo contra las resoluciones judiciales mencionadas en el encabezamiento de esta sentencia mediante escrito registrado en el Tribunal el 2 de febrero de 2022.</w:t>
      </w:r>
    </w:p>
    <w:p w14:paraId="4AE86B9B" w14:textId="77777777" w:rsidR="009D7677" w:rsidRDefault="009D7677" w:rsidP="009D7677">
      <w:pPr>
        <w:pStyle w:val="TextoNormal"/>
      </w:pPr>
    </w:p>
    <w:p w14:paraId="3D88B6BC" w14:textId="77777777" w:rsidR="009D7677" w:rsidRDefault="009D7677" w:rsidP="009D7677">
      <w:pPr>
        <w:pStyle w:val="TextoNormal"/>
      </w:pPr>
      <w:r w:rsidRPr="009D7677">
        <w:rPr>
          <w:rStyle w:val="NumeroAFNegritaCaracter"/>
        </w:rPr>
        <w:t>2</w:t>
      </w:r>
      <w:r>
        <w:t>. El recurso tiene su origen en los siguientes antecedentes:</w:t>
      </w:r>
    </w:p>
    <w:p w14:paraId="1886A4E8" w14:textId="77777777" w:rsidR="009D7677" w:rsidRDefault="009D7677" w:rsidP="009D7677">
      <w:pPr>
        <w:pStyle w:val="TextoNormal"/>
      </w:pPr>
    </w:p>
    <w:p w14:paraId="0DC73B29" w14:textId="77777777" w:rsidR="009D7677" w:rsidRDefault="009D7677" w:rsidP="009D7677">
      <w:pPr>
        <w:pStyle w:val="TextoNormal"/>
      </w:pPr>
      <w:r>
        <w:t>a) El demandante de amparo, diputado en el Congreso en la XIV Legislatura, fue condenado por sentencia de la Sala de lo Penal del Tribunal Supremo núm. 750-2021, de 6 de octubre de 2021, pronunciada en la causa especial núm. 21019-2019, como autor de un delito de atentado a agentes de la autoridad [art. 550.1 y 2 del Código penal (CP) en la redacción dada por la Ley Orgánica 1/2015, de 30 de marzo], “con la atenuante muy cualificada de dilaciones indebidas, a la pena de un mes y quince días de prisión, con la accesoria de inhabilitación especial para el derecho de sufragio pasivo durante el tiempo de la condena. La pena de prisión se sustituye por la pena de multa de noventa días con cuota diaria de seis euros”.</w:t>
      </w:r>
    </w:p>
    <w:p w14:paraId="2AAC516D" w14:textId="77777777" w:rsidR="009D7677" w:rsidRDefault="009D7677" w:rsidP="009D7677">
      <w:pPr>
        <w:pStyle w:val="TextoNormal"/>
      </w:pPr>
    </w:p>
    <w:p w14:paraId="6F29A49E" w14:textId="77777777" w:rsidR="009D7677" w:rsidRDefault="009D7677" w:rsidP="009D7677">
      <w:pPr>
        <w:pStyle w:val="TextoNormal"/>
      </w:pPr>
      <w:r>
        <w:t>Los hechos declarados probados en esta resolución fueron los siguientes:</w:t>
      </w:r>
    </w:p>
    <w:p w14:paraId="4BA27A6A" w14:textId="77777777" w:rsidR="009D7677" w:rsidRDefault="009D7677" w:rsidP="009D7677">
      <w:pPr>
        <w:pStyle w:val="TextoNormal"/>
      </w:pPr>
    </w:p>
    <w:p w14:paraId="0AFC59F6" w14:textId="77777777" w:rsidR="009D7677" w:rsidRDefault="009D7677" w:rsidP="009D7677">
      <w:pPr>
        <w:pStyle w:val="TextoNormal"/>
      </w:pPr>
      <w:r>
        <w:t>“1. El día 25 de enero de 2014, en la localidad de La Laguna, con ocasión de la reapertura de la catedral, se organizaron distintos actos a los que estaba previsto que asistiera el entonces ministro de Cultura, señor Wert. Como quiera que las autoridades tuvieran conocimiento de que se había convocado una manifestación bajo el lema ‘Rechazo a la LOMCE [Ley Orgánica para la mejora de la calidad educativa]’, se organizó un dispositivo policial en el centro de la localidad, en las inmediaciones de la catedral.</w:t>
      </w:r>
    </w:p>
    <w:p w14:paraId="2B151046" w14:textId="77777777" w:rsidR="009D7677" w:rsidRDefault="009D7677" w:rsidP="009D7677">
      <w:pPr>
        <w:pStyle w:val="TextoNormal"/>
      </w:pPr>
    </w:p>
    <w:p w14:paraId="7F8A6DDE" w14:textId="77777777" w:rsidR="009D7677" w:rsidRDefault="009D7677" w:rsidP="009D7677">
      <w:pPr>
        <w:pStyle w:val="TextoNormal"/>
      </w:pPr>
      <w:r>
        <w:t>2. Sobre las 11:00 horas de la mañana, tras el vallado trenzado colocado como protección en las proximidades de la catedral, protegido por efectivos policiales, se fue congregando un grupo de unas 500 personas que comenzaron a proferir gritos e insultos contra los agentes y contra el citado ministro.</w:t>
      </w:r>
    </w:p>
    <w:p w14:paraId="7F402857" w14:textId="77777777" w:rsidR="009D7677" w:rsidRDefault="009D7677" w:rsidP="009D7677">
      <w:pPr>
        <w:pStyle w:val="TextoNormal"/>
      </w:pPr>
    </w:p>
    <w:p w14:paraId="73F47C2C" w14:textId="77777777" w:rsidR="009D7677" w:rsidRDefault="009D7677" w:rsidP="009D7677">
      <w:pPr>
        <w:pStyle w:val="TextoNormal"/>
      </w:pPr>
      <w:r>
        <w:t xml:space="preserve">En un momento determinado, los congregados comenzaron a arremeter contra el vallado, lanzando las vallas contra los agentes, así como objetos diversos como piedras, botellas de agua y otros. Lo cual motivó que una unidad policial que estaba preparada como reacción, se situara entre el vallado y los congregados, tratando de mantener la línea de </w:t>
      </w:r>
      <w:r>
        <w:lastRenderedPageBreak/>
        <w:t>protección, y auxiliando a los agentes que procedían a la detención de aquellos a los que habían visto desarrollar una actitud más agresiva.</w:t>
      </w:r>
    </w:p>
    <w:p w14:paraId="65D3D352" w14:textId="77777777" w:rsidR="009D7677" w:rsidRDefault="009D7677" w:rsidP="009D7677">
      <w:pPr>
        <w:pStyle w:val="TextoNormal"/>
      </w:pPr>
    </w:p>
    <w:p w14:paraId="3EDBB53B" w14:textId="77777777" w:rsidR="009D7677" w:rsidRDefault="009D7677" w:rsidP="009D7677">
      <w:pPr>
        <w:pStyle w:val="TextoNormal"/>
      </w:pPr>
      <w:r>
        <w:t>3. En el curso de los enfrentamientos físicos que, como consecuencia de la actitud violenta de algunos de los congregados, tuvieron lugar entre estos y agentes policiales, el acusado Alberto Rodríguez Rodríguez, mayor de edad y sin antecedentes penales, cuyos demás datos constan en la causa, que en ese momento se encontraba entre los primeros, propinó una patada en la rodilla al agente del Cuerpo Nacional de Policía núm. 92.025, que, debidamente uniformado, estaba cumpliendo las funciones propias de su cargo como integrante de la referida unidad policial, el cual, a consecuencia de aquella, sufrió una contusión de la que curó en un día sin impedimento para sus actividades habituales”.</w:t>
      </w:r>
    </w:p>
    <w:p w14:paraId="41D71654" w14:textId="77777777" w:rsidR="009D7677" w:rsidRDefault="009D7677" w:rsidP="009D7677">
      <w:pPr>
        <w:pStyle w:val="TextoNormal"/>
      </w:pPr>
    </w:p>
    <w:p w14:paraId="7B7441F4" w14:textId="77777777" w:rsidR="009D7677" w:rsidRDefault="009D7677" w:rsidP="009D7677">
      <w:pPr>
        <w:pStyle w:val="TextoNormal"/>
      </w:pPr>
      <w:r>
        <w:t>b) La resolución judicial expresa que esta declaración de hechos probados se fundamenta en la prueba desarrollada en la vista oral consistente en la declaración del acusado, que negó los hechos; en la declaración testifical del agente que dirigía el dispositivo policial, que afirmó que no vio al acusado; del agente agredido, que manifestó que fue el actor quien le propinó la patada y que no le detuvo en aquel momento porque consideraba más importante mantener la línea de defensa del vallado exterior; la testifical-pericial de la doctora que asistió a este agente en el servicio de urgencias el mismo día de autos; la pericial de la médico forense que emitió el informe de sanidad; el visionado de diversos vídeos, en los que no aparecen imágenes de la agresión pero sí la presencia del demandante en el lugar de los hechos frente a agentes con equipos antidisturbios de protección; y la documental obrante en la causa (fundamento de Derecho segundo).</w:t>
      </w:r>
    </w:p>
    <w:p w14:paraId="169682E1" w14:textId="77777777" w:rsidR="009D7677" w:rsidRDefault="009D7677" w:rsidP="009D7677">
      <w:pPr>
        <w:pStyle w:val="TextoNormal"/>
      </w:pPr>
    </w:p>
    <w:p w14:paraId="5F792C6D" w14:textId="77777777" w:rsidR="009D7677" w:rsidRDefault="009D7677" w:rsidP="009D7677">
      <w:pPr>
        <w:pStyle w:val="TextoNormal"/>
      </w:pPr>
      <w:r>
        <w:t>La resolución especifica que la presencia del condenado, a pesar de que el inspector al cargo del dispositivo policial manifestó que él no lo vio, se deriva no solo del reconocimiento del acusado de que asistió a la manifestación sino también de que aparece en las imágenes de video junto con un grupo de personas que están en frente de agentes antidisturbios y de la declaración del agente víctima de la agresión, que permite descartar, por un lado, cualquier tipo de animadversión, en la medida en que declaró que le conocía de otras manifestaciones en que había mantenido una conducta no significada por su actitud especialmente activa o violenta, destacando que, además, entonces carecía de relevancia política; y, por otro, que se pretendiera hacer una criminalización de la protesta puesto que solo se produjo la detención de las personas que hicieron uso de la violencia (fundamento de Derecho tercero).</w:t>
      </w:r>
    </w:p>
    <w:p w14:paraId="0B20048B" w14:textId="77777777" w:rsidR="009D7677" w:rsidRDefault="009D7677" w:rsidP="009D7677">
      <w:pPr>
        <w:pStyle w:val="TextoNormal"/>
      </w:pPr>
    </w:p>
    <w:p w14:paraId="280BA2E8" w14:textId="77777777" w:rsidR="009D7677" w:rsidRDefault="009D7677" w:rsidP="009D7677">
      <w:pPr>
        <w:pStyle w:val="TextoNormal"/>
      </w:pPr>
      <w:r>
        <w:t xml:space="preserve">La resolución judicial expone que la existencia de la agresión y la autoría del acusado han quedado acreditadas por la declaración del agente agredido, que “no expresó duda alguna respecto a que el acusado fue quien le propinó, voluntariamente, una patada en su rodilla izquierda, en el curso de los incidentes que tuvieron lugar”, lo que queda corroborado por el hecho de haber acudido inmediatamente después de los sucesos a recibir asistencia médica y por la temprana identificación del acusado como autor de los hechos. A esos efectos, se destaca que la credibilidad del testigo viene avalada por la persistencia en la versión mantenida desde el principio y por la inexistencia de cualquier clase de animadversión contra el acusado, al que solo le imputó la patada en la rodilla, excluyendo otras lesiones que presentaba en la mano, y manifestó con claridad que los recuerdos que tiene del acusado en otras manifestaciones son de un comportamiento normal no violento; siendo, además, por su apariencia física, de fácil reconocimiento. También, se argumenta que </w:t>
      </w:r>
      <w:r>
        <w:lastRenderedPageBreak/>
        <w:t>la circunstancia de que no se procediera a la detención del acusado en el momento inmediatamente posterior a la agresión responde a la manifestación del agente agredido de que consideró más prudente mantener la línea de protección de vallado, que era la finalidad de su intervención, que proceder a la detención, lo cual no puede considerarse irrazonable, teniendo en cuenta que el acusado era una persona fácilmente identificable, conocido ya de otras manifestaciones (fundamento de Derecho cuarto).</w:t>
      </w:r>
    </w:p>
    <w:p w14:paraId="6FD0AE7D" w14:textId="77777777" w:rsidR="009D7677" w:rsidRDefault="009D7677" w:rsidP="009D7677">
      <w:pPr>
        <w:pStyle w:val="TextoNormal"/>
      </w:pPr>
    </w:p>
    <w:p w14:paraId="1EA572D8" w14:textId="77777777" w:rsidR="009D7677" w:rsidRDefault="009D7677" w:rsidP="009D7677">
      <w:pPr>
        <w:pStyle w:val="TextoNormal"/>
      </w:pPr>
      <w:r>
        <w:t>La sentencia incluye el voto particular formulado por dos de los magistrados de la Sala en el que se expone que la sentencia debió ser absolutoria, habida cuenta de que la prueba practicada en el acto del plenario no resultaba suficiente para enervar la presunción de inocencia al persistir dudas sobre la autoría de los hechos.</w:t>
      </w:r>
    </w:p>
    <w:p w14:paraId="71851DC9" w14:textId="77777777" w:rsidR="009D7677" w:rsidRDefault="009D7677" w:rsidP="009D7677">
      <w:pPr>
        <w:pStyle w:val="TextoNormal"/>
      </w:pPr>
    </w:p>
    <w:p w14:paraId="73ABDFEA" w14:textId="77777777" w:rsidR="009D7677" w:rsidRDefault="009D7677" w:rsidP="009D7677">
      <w:pPr>
        <w:pStyle w:val="TextoNormal"/>
      </w:pPr>
      <w:r>
        <w:t>c) La sentencia determina que la pena a imponer por el delito cometido, con la atenuante muy cualificada de dilaciones indebidas, es la de un mes y quince días de prisión, con la accesoria de inhabilitación especial para el derecho de sufragio pasivo durante el tiempo de la condena. Se argumenta que “por imperativo del artículo 71.2 del Código penal, la pena de prisión inferior a tres meses debe ser sustituida por multa, trabajos en beneficio de la comunidad o localización permanente. La sala considera pertinente la sustitución de la pena de prisión por una pena de multa, que será de noventa días, de conformidad con el artículo citado, con cuota diaria de seis euros”. Se añade que “[l]a sustitución no afecta a la pena accesoria de la pena de prisión. El artículo 71.1 del Código penal prevé la reducción de todas las penas, sin excluir las accesorias, de manera que los jueces o tribunales, en la determinación de la pena inferior en grado, no quedan limitados por las cuantías mínimas establecidas en la ley a cada clase de pena. Por otro lado, el artículo 71.2 solo ordena la sustitución de la pena de prisión. Y las penas accesorias son una consecuencia de la imposición de la privativa de libertad, y no de su ejecución” (fundamento de Derecho octavo).</w:t>
      </w:r>
    </w:p>
    <w:p w14:paraId="30817D29" w14:textId="77777777" w:rsidR="009D7677" w:rsidRDefault="009D7677" w:rsidP="009D7677">
      <w:pPr>
        <w:pStyle w:val="TextoNormal"/>
      </w:pPr>
    </w:p>
    <w:p w14:paraId="3D4E0FB9" w14:textId="77777777" w:rsidR="009D7677" w:rsidRDefault="009D7677" w:rsidP="009D7677">
      <w:pPr>
        <w:pStyle w:val="TextoNormal"/>
      </w:pPr>
      <w:r>
        <w:t>d) La sentencia condenatoria, en respuesta a la alegación de que lo que se pretende con la acusación formalizada en esta causa es cuestionar el ejercicio del derecho de reunión y de manifestación, afirma que “[e]sta Sala no puede compartir esa consideración. Numerosas personas hicieron uso de ese derecho en aquella ocasión y solo se practicó la detención de aquellos a quienes se imputaban actos violentos. La violencia no es inherente al ejercicio de los derechos de reunión y manifestación. La acusación sostenida en esta causa nada tiene que ver con el ejercicio de esos derechos fundamentales, sino con el empleo de violencia, en el curso de su ejercicio, contra los agentes de la autoridad que se encuentran en el cumplimiento de sus funciones” (fundamento de Derecho tercero).</w:t>
      </w:r>
    </w:p>
    <w:p w14:paraId="722055DB" w14:textId="77777777" w:rsidR="009D7677" w:rsidRDefault="009D7677" w:rsidP="009D7677">
      <w:pPr>
        <w:pStyle w:val="TextoNormal"/>
      </w:pPr>
    </w:p>
    <w:p w14:paraId="7C2A676A" w14:textId="77777777" w:rsidR="009D7677" w:rsidRDefault="009D7677" w:rsidP="009D7677">
      <w:pPr>
        <w:pStyle w:val="TextoNormal"/>
      </w:pPr>
      <w:r>
        <w:t xml:space="preserve">e) La sentencia condenatoria, en el contexto de la respuesta a las alegaciones del acusado, afirma que “[e]n el uso del derecho a la última palabra, el acusado insistió en su inocencia, y, entre otras cosas, señaló que de producirse la condena acudiría al Tribunal Constitucional y al Tribunal de Derechos Humanos de Estrasburgo. Se trata de una alegación que resulta inapropiada en una sede judicial. Es de toda evidencia que las resoluciones judiciales pueden ser cuestionadas a través de los mecanismos previstos en las leyes. De modo que la advertencia de que se acudirá a los mismos no puede perturbar en modo alguno el ejercicio de las responsabilidades que competen a esta sala o a cualquier otro órgano jurisdiccional. Por el contrario, la existencia de esos mecanismos constituye una garantía de los derechos que, en el ámbito del proceso penal, corresponde asegurar a los </w:t>
      </w:r>
      <w:r>
        <w:lastRenderedPageBreak/>
        <w:t>órganos jurisdiccionales de este orden y, muy principalmente, a esta sala del Tribunal Supremo, de conformidad con las funciones, propias de un Estado de Derecho, que le atribuyen la Constitución y el resto del ordenamiento jurídico” (fundamento de Derecho tercero).</w:t>
      </w:r>
    </w:p>
    <w:p w14:paraId="5FF5CE8E" w14:textId="77777777" w:rsidR="009D7677" w:rsidRDefault="009D7677" w:rsidP="009D7677">
      <w:pPr>
        <w:pStyle w:val="TextoNormal"/>
      </w:pPr>
    </w:p>
    <w:p w14:paraId="1A586019" w14:textId="77777777" w:rsidR="009D7677" w:rsidRDefault="009D7677" w:rsidP="009D7677">
      <w:pPr>
        <w:pStyle w:val="TextoNormal"/>
      </w:pPr>
      <w:r>
        <w:t>f) El demandante de amparo, mediante escrito registrado el 13 de octubre de 2021, formuló solicitud de rectificación de errores materiales de la sentencia condenatoria en lo referido, entre otros aspectos, a la mención que en el fundamento jurídico octavo se hace a que considera pertinente la sustitución de la pena de prisión por la de multa cuando la sustitución de dicha pena es obligatoria; a lo que añade que esa obligación implica que no resulte aplicable la pena accesoria de inhabilitación especial para el derecho de sufragio pasivo.</w:t>
      </w:r>
    </w:p>
    <w:p w14:paraId="6EDDCE88" w14:textId="77777777" w:rsidR="009D7677" w:rsidRDefault="009D7677" w:rsidP="009D7677">
      <w:pPr>
        <w:pStyle w:val="TextoNormal"/>
      </w:pPr>
    </w:p>
    <w:p w14:paraId="66AD264A" w14:textId="77777777" w:rsidR="009D7677" w:rsidRDefault="009D7677" w:rsidP="009D7677">
      <w:pPr>
        <w:pStyle w:val="TextoNormal"/>
      </w:pPr>
      <w:r>
        <w:t>La solicitud fue rechazada por auto de 14 de octubre de 2021 insistiendo en que ningún error material se aprecia en el fundamento jurídico octavo en relación con la argumentación sobre la sustitución de la pena de prisión por la de multa, ni sobre el mantenimiento de la pena accesoria de inhabilitación especial.</w:t>
      </w:r>
    </w:p>
    <w:p w14:paraId="52E5128B" w14:textId="77777777" w:rsidR="009D7677" w:rsidRDefault="009D7677" w:rsidP="009D7677">
      <w:pPr>
        <w:pStyle w:val="TextoNormal"/>
      </w:pPr>
    </w:p>
    <w:p w14:paraId="120A2A04" w14:textId="77777777" w:rsidR="009D7677" w:rsidRDefault="009D7677" w:rsidP="009D7677">
      <w:pPr>
        <w:pStyle w:val="TextoNormal"/>
      </w:pPr>
      <w:r>
        <w:t>g) El demandante de amparo, mediante escrito registrado el 10 de noviembre de 2021, interpuso incidente de nulidad de actuaciones respecto de la sentencia condenatoria. Invoca (i) el derecho a la presunción de inocencia (art. 24.2 CE) con fundamento en que la actividad probatoria desarrollada sobre la autoría de los hechos, basada exclusivamente en la declaración de un agente, no es suficiente para fundamentar la condena por la persistencia de dudas sobre los hechos acontecidos; (ii) el derecho a la imparcialidad judicial (art. 24.2 CE) con fundamento en que la afirmación contenida en la sentencia condenatoria sobre que eran inapropiadas determinadas manifestaciones hechas en el ejercicio del derecho de última palabra acreditan una animadversión hacia el acusado; (iii) el derecho a la legalidad penal (art. 25.1 CE) con fundamento tanto en que se ha hecho una interpretación y aplicación del art. 71.2 CP respecto de la sustitución de la pena de prisión y el mantenimiento de la pena accesoria contraria al principio de taxatividad como en que se ha provocado una doble afectación desproporcionada y ajena a la intención del legislador del derecho de representación política (art. 23.2 CE) pues ha supuesto la pérdida del escaño por aplicación del art. 6.2 de la Ley Orgánica del régimen electoral general (LOREG) y la privación del derecho de sufragio pasivo durante un mes y quince días, por unos hechos acaecidos hace más de ochos años; (iv) el derecho de reunión (art. 21 CE) con fundamento en que la condena trae causa de unos hechos producidos en el contexto del ejercicio de este derecho fundamental lo que genera un efecto desaliento; y (v) el derecho de representación política (art. 23.2 CE) con fundamento en la afectación ya señalada anteriormente de este derecho como consecuencia de la interpretación que se hizo del art. 71.2 CP.</w:t>
      </w:r>
    </w:p>
    <w:p w14:paraId="6A3007C9" w14:textId="77777777" w:rsidR="009D7677" w:rsidRDefault="009D7677" w:rsidP="009D7677">
      <w:pPr>
        <w:pStyle w:val="TextoNormal"/>
      </w:pPr>
    </w:p>
    <w:p w14:paraId="7C40FF87" w14:textId="77777777" w:rsidR="009D7677" w:rsidRDefault="009D7677" w:rsidP="009D7677">
      <w:pPr>
        <w:pStyle w:val="TextoNormal"/>
      </w:pPr>
      <w:r>
        <w:t xml:space="preserve">h) El incidente de nulidad fue desestimado por auto de 15 de diciembre de 2021, descartando que concurriera alguna de las vulneraciones alegadas, insistiendo en que (i) la presunción de inocencia había sido enervada en virtud de prueba suficiente practicada en la vista oral para considerar acreditados los hechos probados; (ii) no se había producido la perdida de imparcialidad del tribunal, ya que la expresión utilizada en la sentencia no supone ningún prejuicio contra el acusado ni un juicio previo sobre su culpabilidad; y (iii) el derecho de reunión no había resultado lesionado en los términos expuestos en la resolución impugnada. Por lo que se refiere a las consecuencias jurídicas impuestas, se afirma </w:t>
      </w:r>
      <w:r>
        <w:lastRenderedPageBreak/>
        <w:t>que (iv) la determinación de la pena se ha producido en respeto al principio de taxatividad, propio del derecho a la legalidad penal, ya que la regla del art. 71 CP, si bien está entre las normas de aplicación de la pena, también en estas hay previsiones relativas a la sustitución de penas; el art. 71.2 CP no establece que la pena sustituta sea una pena distinta a la sustituida y su extensión, además, se fija por referencia a la sustituida y con la finalidad de evitar la ejecución de una pena corta privativa de libertad; y el art. 71.1 CP es el que habilita la imposición de la pena de prisión por debajo de los tres meses, aunque posteriormente imponga su sustitución, en coherencia con ello, la pena accesoria no desaparece como consecuencia de la sustitución de la principal como tampoco lo es como consecuencia de su suspensión o su indulto; (v) la pena impuesta no resulta desproporcionada desde la perspectiva de su afectación al derecho de representación política, ya que la pérdida del escaño acordada en aplicación del art. 6.2 LOREG responde a la decisión del legislador que ha establecido con carácter general la imposibilidad de que quien ha sido condenado por delito a pena privativa de libertad quede inhabilitado para ostentar la representación de la soberanía popular en las cámaras y, en cualquier caso, no se trata de una pena impuesta en esta causa, sino de una consecuencia extrapenal de la imposición de una pena privativa de libertad, que no depende de su cumplimiento efectivo sino de su mera imposición; y (vi) la ejecución de la pena impuesta no ha incidido en el derecho de representación política pues la ejecución de la pena de inhabilitación especial del derecho de sufragio pasivo se desarrolló durante un periodo temporal en que no hubo elecciones y “[r]especto de la privación del escaño, no se desconoce la importancia democrática del derecho a participar en los asuntos públicos reconocido en el artículo 23 de la Constitución. Pero resulta razonable entender que el incumplimiento de las normas contenidas en el Código penal, que contienen el mínimo ético exigible socialmente, puede producir legítimamente restricciones en el ejercicio de ese derecho. Como ya se ha dicho más arriba, con cita de jurisprudencia de la Sala de lo Contencioso-Administrativo de este tribunal, resultan de la interpretación y aplicación razonable de las previsiones del artículo 6.2 de la Ley Orgánica del régimen electoral general (LOREG)”.</w:t>
      </w:r>
    </w:p>
    <w:p w14:paraId="313308D7" w14:textId="77777777" w:rsidR="009D7677" w:rsidRDefault="009D7677" w:rsidP="009D7677">
      <w:pPr>
        <w:pStyle w:val="TextoNormal"/>
      </w:pPr>
    </w:p>
    <w:p w14:paraId="23ADB20F" w14:textId="77777777" w:rsidR="009D7677" w:rsidRDefault="009D7677" w:rsidP="009D7677">
      <w:pPr>
        <w:pStyle w:val="TextoNormal"/>
      </w:pPr>
      <w:r>
        <w:t>i) La sentencia condenatoria y el auto de 8 de octubre de 2021, por el que se acordó su ejecución, fueron notificados el 13 de octubre de 2021 a la Junta Electoral Central y a la Presidencia del Congreso de los Diputados para su conocimiento y efectos oportunos. La mesa del Congreso en sesión de 19 de octubre de 2021 acordó que no cabe derivar de la citada sentencia “consecuencia extra penal alguna que afecte a la condición de diputado del señor Rodríguez, no concurriendo ni la causa de incompatibilidad sobrevenida contemplada en el apartado 2 en relación con el apartado 4 del artículo 6 de la LOREG, ni ninguno de los supuestos que, en aplicación de los artículos 21 y 22 del Reglamento del Congreso, comportarían bien la suspensión de los derechos, prerrogativas y deberes del diputado, bien la pérdida de la condición”.</w:t>
      </w:r>
    </w:p>
    <w:p w14:paraId="37BC2618" w14:textId="77777777" w:rsidR="009D7677" w:rsidRDefault="009D7677" w:rsidP="009D7677">
      <w:pPr>
        <w:pStyle w:val="TextoNormal"/>
      </w:pPr>
    </w:p>
    <w:p w14:paraId="64BDDA23" w14:textId="77777777" w:rsidR="009D7677" w:rsidRDefault="009D7677" w:rsidP="009D7677">
      <w:pPr>
        <w:pStyle w:val="TextoNormal"/>
      </w:pPr>
      <w:r>
        <w:t xml:space="preserve">El órgano judicial dirigió un oficio de 20 de octubre de 2021 a la Presidencia del Congreso de los Diputados en el que, con la finalidad de llevar a efecto la correspondiente liquidación de condena, se interesa que se informe sobre la fecha de inicio de cumplimiento de la pena de inhabilitación especial para el derecho de sufragio pasivo impuesta al demandante de amparo. La presidenta del Congreso, tras solicitar el 21 de octubre de 2021 del órgano judicial “aclaración sobre el modo de dar cumplimiento a lo dispuesto en la sentencia y, en concreto, sobre si debe procederse, como medida de cumplimiento, a declarar la pérdida de la condición de diputado del señor Rodríguez. Todo ello, con el fin de </w:t>
      </w:r>
      <w:r>
        <w:lastRenderedPageBreak/>
        <w:t>dar cumplida y exacta contestación al citado escrito recibido en el día de ayer sobre la fecha de inicio de cumplimiento de la pena de inhabilitación especial para el ejercicio del derecho de sufragio pasivo”, comunicó al órgano judicial que por acuerdo del 22 de octubre de 2021 se había procedido a dirigir al demandante de amparo, a la Junta Electoral Central y a la Secretaría General de la Cámara sendas comunicaciones en las que se ponía de manifiesto que, tras haber recibido el testimonio de la ejecución de la sentencia dictada en la causa especial número 21019-2019, “de conformidad con lo dispuesto en el artículo 6 de la Ley Orgánica 5/1985, de 19 de junio, del régimen electoral general, he acordado dar traslado del mismo a V.E., así como a la Junta Electoral Central, a los efectos de su sustitución, y a la Secretaría General del Congreso, a los efectos que procedan”.</w:t>
      </w:r>
    </w:p>
    <w:p w14:paraId="0CED313B" w14:textId="77777777" w:rsidR="009D7677" w:rsidRDefault="009D7677" w:rsidP="009D7677">
      <w:pPr>
        <w:pStyle w:val="TextoNormal"/>
      </w:pPr>
    </w:p>
    <w:p w14:paraId="70C7B98D" w14:textId="77777777" w:rsidR="009D7677" w:rsidRDefault="009D7677" w:rsidP="009D7677">
      <w:pPr>
        <w:pStyle w:val="TextoNormal"/>
      </w:pPr>
      <w:r>
        <w:t>El demandante de amparo, por escrito de 25 de octubre de 2021, solicitó a la presidenta del Congreso de los Diputados aclaración sobre determinados extremos de su acuerdo de 22 de octubre de 2021, que fue resuelta el 3 de noviembre de 2021 incidiendo en que fue la sentencia condenatoria y el procedimiento que a ella dio lugar las exclusivas y determinantes causas de la decisión adoptada.</w:t>
      </w:r>
    </w:p>
    <w:p w14:paraId="0CF6FA8F" w14:textId="77777777" w:rsidR="009D7677" w:rsidRDefault="009D7677" w:rsidP="009D7677">
      <w:pPr>
        <w:pStyle w:val="TextoNormal"/>
      </w:pPr>
    </w:p>
    <w:p w14:paraId="1107EECE" w14:textId="35C91073" w:rsidR="009D7677" w:rsidRDefault="009D7677" w:rsidP="009D7677">
      <w:pPr>
        <w:pStyle w:val="TextoNormal"/>
      </w:pPr>
      <w:r>
        <w:t>El acuerdo de la presidenta del Congreso de los Diputados de 22 de octubre de 2021 sobre la pérdida de la condición de diputado del demandante y la necesidad de su sustitución fue impugnado en amparo dando lugar el recurso núm. 74-2022, que, habiendo sido admitido a trámite, está pendiente de resolución sobre el fondo por este tribunal.</w:t>
      </w:r>
    </w:p>
    <w:p w14:paraId="06CC9C5C" w14:textId="77777777" w:rsidR="009D7677" w:rsidRDefault="009D7677" w:rsidP="009D7677">
      <w:pPr>
        <w:pStyle w:val="TextoNormal"/>
      </w:pPr>
    </w:p>
    <w:p w14:paraId="1252314E" w14:textId="77777777" w:rsidR="009D7677" w:rsidRDefault="009D7677" w:rsidP="009D7677">
      <w:pPr>
        <w:pStyle w:val="TextoNormal"/>
      </w:pPr>
      <w:r w:rsidRPr="009D7677">
        <w:rPr>
          <w:rStyle w:val="NumeroAFNegritaCaracter"/>
        </w:rPr>
        <w:t>3</w:t>
      </w:r>
      <w:r>
        <w:t>. El demandante de amparo solicita que se estime el recurso declarando que se han vulnerado sus derechos a la imparcialidad judicial (art. 24.2 CE), a la presunción de inocencia (art. 24.2 CE), a la legalidad penal (art. 25.1 CE), a la proporcionalidad penal (art. 25.1 CE), de reunión (art. 21 CE) y de participación política (art. 23.2 CE) para cuyo restablecimiento considera necesario la declaración de nulidad de las resoluciones judiciales impugnadas y de todas las que traigan causa de las mismas.</w:t>
      </w:r>
    </w:p>
    <w:p w14:paraId="333B588B" w14:textId="77777777" w:rsidR="009D7677" w:rsidRDefault="009D7677" w:rsidP="009D7677">
      <w:pPr>
        <w:pStyle w:val="TextoNormal"/>
      </w:pPr>
    </w:p>
    <w:p w14:paraId="15749403" w14:textId="77777777" w:rsidR="009D7677" w:rsidRDefault="009D7677" w:rsidP="009D7677">
      <w:pPr>
        <w:pStyle w:val="TextoNormal"/>
      </w:pPr>
      <w:r>
        <w:t>El demandante de amparo invoca el derecho a la imparcialidad judicial (art. 24.2 CE) con fundamento en que la sentencia impugnada califica como alegación inapropiada la referencia que hizo en el uso del derecho de última palabra de acudir en caso de condena al Tribunal Constitucional y al Tribunal Europeo de Derechos Humanos, lo que cuestiona la imparcialidad de los miembros del tribunal, pues no corresponde al órgano de enjuiciamiento reprender al acusado en sentencia por lo alegado en su defensa, si no ha incurrido en falta de respeto al tribunal, y pone de manifiesto un prejuicio contra su persona al evidenciar un profundo malestar ante esas manifestaciones del actor, revelador de una apariencia de la perdida de imparcialidad.</w:t>
      </w:r>
    </w:p>
    <w:p w14:paraId="3A5C1733" w14:textId="77777777" w:rsidR="009D7677" w:rsidRDefault="009D7677" w:rsidP="009D7677">
      <w:pPr>
        <w:pStyle w:val="TextoNormal"/>
      </w:pPr>
    </w:p>
    <w:p w14:paraId="4ECE65D0" w14:textId="77777777" w:rsidR="009D7677" w:rsidRDefault="009D7677" w:rsidP="009D7677">
      <w:pPr>
        <w:pStyle w:val="TextoNormal"/>
      </w:pPr>
      <w:r>
        <w:t>El demandante de amparo invoca el derecho a la presunción de inocencia (art. 24.2 CE) con fundamento en que la sentencia habría incurrido en irrazonabilidad en el juicio de inferencia sobre los hechos probados basado únicamente en el testimonio de un agente de policía, víctima de los hechos, que no puede ser suficiente para enervar la presunción de inocencia al no contar con una corroboración externa objetiva, ya que fue un testimonio muy parco en que no se precisó cómo fue capaz de reconocer al autor de la patada, frente a la declaración del agente que dirigía el operativo policial, que manifestó que no vio al actor en el lugar de los hechos, lo que es llamativo dadas su características físicas al medir casi dos metros de altura.</w:t>
      </w:r>
    </w:p>
    <w:p w14:paraId="21F736BE" w14:textId="77777777" w:rsidR="009D7677" w:rsidRDefault="009D7677" w:rsidP="009D7677">
      <w:pPr>
        <w:pStyle w:val="TextoNormal"/>
      </w:pPr>
    </w:p>
    <w:p w14:paraId="35E6C14C" w14:textId="77777777" w:rsidR="009D7677" w:rsidRDefault="009D7677" w:rsidP="009D7677">
      <w:pPr>
        <w:pStyle w:val="TextoNormal"/>
      </w:pPr>
      <w:r>
        <w:t xml:space="preserve">El demandante de amparo invoca el derecho a la legalidad penal (art. 25.1 CE) con fundamento en que la sentencia impugnada aplicó una pena no prevista en el ordenamiento jurídico como es la accesoria de inhabilitación especial para el derecho de sufragio pasivo, al considerar que la pena de multa que sustituye a la pena de prisión no es una pena autónoma, sino una ejecución de la pena de prisión impuesta, y que, además, como resultado de esta interpretación, se ha visto privado de su escaño en aplicación del art. 6.2 LOREG por la decisiva intervención del presidente de la Sala de lo Penal del Tribunal Supremo de dirigir un escrito a la presidenta del Congreso de los Diputados en respuesta a la petición de aclaración, en el que se manifestaba que la pena de inhabilitación especial mantenía su vigencia porque la pena de prisión era el desenlace punitivo asociado a la conducta declarada probada. Se argumenta que no existe ninguna norma legal que imponga que la pena accesoria permanezca vigente y ejecutable cuando la pena principal sea sustituida por multa en aplicación del art. 71.2 CP, ni la sentencia impugnada motiva mínimamente esta novedosa aplicación del precepto que supone una imprevisible interpretación analógica </w:t>
      </w:r>
      <w:r w:rsidRPr="009D7677">
        <w:rPr>
          <w:i/>
        </w:rPr>
        <w:t>in malam partem</w:t>
      </w:r>
      <w:r>
        <w:t xml:space="preserve"> lesiva del derecho a la legalidad penal que, además, ha producido un cambio de la jurisprudencia en la materia establecida en la STS 528/2018, de 5 de noviembre, o en la STS 683/2019, de 29 de enero de 2020.</w:t>
      </w:r>
    </w:p>
    <w:p w14:paraId="3993803A" w14:textId="77777777" w:rsidR="009D7677" w:rsidRDefault="009D7677" w:rsidP="009D7677">
      <w:pPr>
        <w:pStyle w:val="TextoNormal"/>
      </w:pPr>
    </w:p>
    <w:p w14:paraId="21FD084E" w14:textId="77777777" w:rsidR="009D7677" w:rsidRDefault="009D7677" w:rsidP="009D7677">
      <w:pPr>
        <w:pStyle w:val="TextoNormal"/>
      </w:pPr>
      <w:r>
        <w:t>El demandante de amparo invoca el principio de proporcionalidad penal, con cita de la jurisprudencia constitucional establecida en la STC 136/1999, de 20 de julio, sobre esta dimensión del derecho a la legalidad penal (art. 25.1 CE), con fundamento en que la errónea interpretación de la normativa vigente en cuanto a las sanciones a imponer ha determinado una consecuencia muy gravosa, dada su condición de diputado en el momento de su enjuiciamiento, ya que, por aplicación de la normativa electoral, se le ha privado de su escaño, a pesar de tratarse de unos hechos cometidos hace ocho años, de carácter leve, atenuados muy cualificadamente por las dilaciones indebidas sufridas y de que la voluntad de la normativa vigente es que una pena de prisión inferior a tres meses no implique unas consecuencias desocializadoras en cuanto a su ejecución, la aplicación de consecuencias accesorias o extrapenales.</w:t>
      </w:r>
    </w:p>
    <w:p w14:paraId="0852FBFB" w14:textId="77777777" w:rsidR="009D7677" w:rsidRDefault="009D7677" w:rsidP="009D7677">
      <w:pPr>
        <w:pStyle w:val="TextoNormal"/>
      </w:pPr>
    </w:p>
    <w:p w14:paraId="5549657F" w14:textId="77777777" w:rsidR="009D7677" w:rsidRDefault="009D7677" w:rsidP="009D7677">
      <w:pPr>
        <w:pStyle w:val="TextoNormal"/>
      </w:pPr>
      <w:r>
        <w:t>El demandante invoca el derecho de reunión (art. 21 CE) con fundamento en que su procesamiento y condena se ha producido en el contexto del desarrollo de una protesta ciudadana, trae causa de ser conocido por su activismo y tiene la finalidad de generar un desaliento en el ejercicio de este derecho tanto respecto de él como en relación con el resto de la ciudadanía. También alega que no se ha dado respuesta a esta invocación realizada durante el uso de la última palabra a pesar de que hubiera exigido una previa ponderación sobre si la conducta sancionada se ha desarrollado dentro del ámbito propio del ejercicio del derecho de reunión.</w:t>
      </w:r>
    </w:p>
    <w:p w14:paraId="32DCCCCE" w14:textId="77777777" w:rsidR="009D7677" w:rsidRDefault="009D7677" w:rsidP="009D7677">
      <w:pPr>
        <w:pStyle w:val="TextoNormal"/>
      </w:pPr>
    </w:p>
    <w:p w14:paraId="5D26BEBD" w14:textId="77777777" w:rsidR="009D7677" w:rsidRDefault="009D7677" w:rsidP="009D7677">
      <w:pPr>
        <w:pStyle w:val="TextoNormal"/>
      </w:pPr>
      <w:r>
        <w:t>El demandante de amparo invoca el derecho de representación política (art. 23.2 CE) con fundamento en que la pena accesoria le priva del derecho de sufragio pasivo durante el tiempo de la condena, lo que le impide acudir como candidato a cualquier elección que se celebrase durante dicho periodo temporal, y su condena también ha tenido como consecuencia la pérdida de su condición de diputado y, todo ello, a pesar de que en la resolución impugnada se podría haber optado por una interpretación de la normativa penal que hubiera impedido esta privación de derechos del art. 23.2 CE.</w:t>
      </w:r>
    </w:p>
    <w:p w14:paraId="1628A059" w14:textId="77777777" w:rsidR="009D7677" w:rsidRDefault="009D7677" w:rsidP="009D7677">
      <w:pPr>
        <w:pStyle w:val="TextoNormal"/>
      </w:pPr>
    </w:p>
    <w:p w14:paraId="2D28444C" w14:textId="45AC9265" w:rsidR="009D7677" w:rsidRDefault="009D7677" w:rsidP="009D7677">
      <w:pPr>
        <w:pStyle w:val="TextoNormal"/>
      </w:pPr>
      <w:r>
        <w:lastRenderedPageBreak/>
        <w:t>El demandante de amparo alega que el recurso tiene especial trascendencia constitucional, entre otros motivos, porque plantea una cuestión jurídica de relevante y general repercusión o que pudiera tener unas consecuencias políticas generales [STC 155/2009, de 25 de junio, FJ 2 g)], ya que afecta al estatuto de un representante político que se ve privado de su escaño; y una cuestión novedosa sobre la que no hay jurisprudencia constitucional [STC 155/2009, FJ 2 a)], en relación con la faceta alegada del derecho a la imparcialidad judicial.</w:t>
      </w:r>
    </w:p>
    <w:p w14:paraId="2566E7CE" w14:textId="77777777" w:rsidR="009D7677" w:rsidRDefault="009D7677" w:rsidP="009D7677">
      <w:pPr>
        <w:pStyle w:val="TextoNormal"/>
      </w:pPr>
    </w:p>
    <w:p w14:paraId="243C51B7" w14:textId="31B28E90" w:rsidR="009D7677" w:rsidRDefault="009D7677" w:rsidP="009D7677">
      <w:pPr>
        <w:pStyle w:val="TextoNormal"/>
      </w:pPr>
      <w:r w:rsidRPr="009D7677">
        <w:rPr>
          <w:rStyle w:val="NumeroAFNegritaCaracter"/>
        </w:rPr>
        <w:t>4</w:t>
      </w:r>
      <w:r>
        <w:t>. El Pleno del Tribunal, por providencia de 12 de mayo de 2022, acordó, a propuesta del presidente, recabar para sí el conocimiento del presente recurso y su admisión a trámite, apreciando que concurre en el mismo una especial trascendencia constitucional [art. 50.1 de la Ley Orgánica del Tribunal Constitucional (LOTC)] porque plantea un problema o afecta a una faceta de un derecho fundamental sobre el que no hay doctrina de este tribunal [STC 155/2009, FJ 2 a)] y porque el asunto trasciende del caso concreto porque plantea una cuestión jurídica de relevante y general repercusión social o económica [STC 155/2009, FJ 2 g)]; y dirigir atenta comunicación al órgano judicial para la remisión de testimonio de las actuaciones y emplazamiento de quienes hubieran sido parte en el procedimiento para que puedan comparecer en el recurso de amparo.</w:t>
      </w:r>
    </w:p>
    <w:p w14:paraId="5A49BC5C" w14:textId="77777777" w:rsidR="009D7677" w:rsidRDefault="009D7677" w:rsidP="009D7677">
      <w:pPr>
        <w:pStyle w:val="TextoNormal"/>
      </w:pPr>
    </w:p>
    <w:p w14:paraId="019AD883" w14:textId="002CC332" w:rsidR="009D7677" w:rsidRDefault="009D7677" w:rsidP="009D7677">
      <w:pPr>
        <w:pStyle w:val="TextoNormal"/>
      </w:pPr>
      <w:r w:rsidRPr="009D7677">
        <w:rPr>
          <w:rStyle w:val="NumeroAFNegritaCaracter"/>
        </w:rPr>
        <w:t>5</w:t>
      </w:r>
      <w:r>
        <w:t>. La Secretaría de Justicia del Pleno del Tribunal, por diligencia de ordenación de 26 de mayo de 2022, tuvo por recibido el testimonio de las actuaciones y acordó dar vista de estas al demandante de amparo y al Ministerio Fiscal, por plazo común de veinte días, a fin de que, conforme con lo previsto en el art. 52 LOTC, pudieran presentar alegaciones.</w:t>
      </w:r>
    </w:p>
    <w:p w14:paraId="1CA25FE8" w14:textId="77777777" w:rsidR="009D7677" w:rsidRDefault="009D7677" w:rsidP="009D7677">
      <w:pPr>
        <w:pStyle w:val="TextoNormal"/>
      </w:pPr>
    </w:p>
    <w:p w14:paraId="422F0815" w14:textId="77777777" w:rsidR="009D7677" w:rsidRDefault="009D7677" w:rsidP="009D7677">
      <w:pPr>
        <w:pStyle w:val="TextoNormal"/>
      </w:pPr>
      <w:r w:rsidRPr="009D7677">
        <w:rPr>
          <w:rStyle w:val="NumeroAFNegritaCaracter"/>
        </w:rPr>
        <w:t>6</w:t>
      </w:r>
      <w:r>
        <w:t>. El Ministerio Fiscal, mediante escrito registrado el 13 de julio de 2022, presentó alegaciones interesando la desestimación del recurso.</w:t>
      </w:r>
    </w:p>
    <w:p w14:paraId="75563284" w14:textId="77777777" w:rsidR="009D7677" w:rsidRDefault="009D7677" w:rsidP="009D7677">
      <w:pPr>
        <w:pStyle w:val="TextoNormal"/>
      </w:pPr>
    </w:p>
    <w:p w14:paraId="0EE524E0" w14:textId="77777777" w:rsidR="009D7677" w:rsidRDefault="009D7677" w:rsidP="009D7677">
      <w:pPr>
        <w:pStyle w:val="TextoNormal"/>
      </w:pPr>
      <w:r>
        <w:t>El Ministerio Fiscal argumenta que no concurre la aducida vulneración del derecho a la imparcialidad judicial (art. 24.2 CE), ya que la expresión contenida en la sentencia impugnada sobre el carácter inapropiado de su comentario de que procedería a impugnar en amparo y ante el Tribunal Europeo de Derechos Humanos una eventual condena, no puede ser interpretada como un reproche dirigido al condenado, en la medida en que se utiliza como sinónimo de innecesario por ser obvio ese derecho de impugnación, que es reconocido por el propio ordenamiento.</w:t>
      </w:r>
    </w:p>
    <w:p w14:paraId="143DC19A" w14:textId="77777777" w:rsidR="009D7677" w:rsidRDefault="009D7677" w:rsidP="009D7677">
      <w:pPr>
        <w:pStyle w:val="TextoNormal"/>
      </w:pPr>
    </w:p>
    <w:p w14:paraId="1B9662D5" w14:textId="77777777" w:rsidR="009D7677" w:rsidRDefault="009D7677" w:rsidP="009D7677">
      <w:pPr>
        <w:pStyle w:val="TextoNormal"/>
      </w:pPr>
      <w:r>
        <w:t>El Ministerio Fiscal afirma que no concurre la aducida vulneración del derecho a la presunción de inocencia (art. 24.2 CE), ya que el test sobre la fiabilidad de las declaraciones de los testigos, como prueba de cargo, no forma parte del parámetro de control de constitucionalidad bajo la invocación de este derecho fundamental y la jurisprudencia constitucional ha reiterado la suficiencia probatoria de la declaración de un solo testigo para enervar la presunción de inocencia, que es lo que ha sucedido en este caso. Por otra parte, destaca que, en cumplimiento de la jurisprudencia constitucional en la materia, la resolución impugnada ha hecho expreso el proceso de valoración probatorio, incluyendo el relativo a la credibilidad de la víctima y a las alegaciones de descargo efectuadas por la defensa, que no puede tacharse de inmotivado, ilógico o arbitrario.</w:t>
      </w:r>
    </w:p>
    <w:p w14:paraId="6B8E09D3" w14:textId="77777777" w:rsidR="009D7677" w:rsidRDefault="009D7677" w:rsidP="009D7677">
      <w:pPr>
        <w:pStyle w:val="TextoNormal"/>
      </w:pPr>
    </w:p>
    <w:p w14:paraId="32BDA934" w14:textId="77777777" w:rsidR="009D7677" w:rsidRDefault="009D7677" w:rsidP="009D7677">
      <w:pPr>
        <w:pStyle w:val="TextoNormal"/>
      </w:pPr>
      <w:r>
        <w:lastRenderedPageBreak/>
        <w:t xml:space="preserve">El Ministerio Fiscal rechaza que concurra la aducida vulneración del derecho a la legalidad penal (art. 25.1 CE), en el sentido alegado por el demandante de amparo de que se haya aplicado una pena no prevista legalmente pues, tanto la sustitución de la pena de prisión inferior a tres meses por la multa, como la existencia de una pena accesoria a una pena de prisión inferior a diez años, con independencia de las discrepancias sobre la naturaleza jurídica de esa sustitución o si resulta procedente mantener la pena accesoria, están previstas en los arts. 71.2 y 56.1.2 CP, respectivamente. Añade que la pérdida del escaño no puede servir de fundamento para atribuir a las resoluciones impugnadas la vulneración del art. 25.1 CE. Afirma que, si bien no resulta descartable que determinados razonamientos o actuaciones durante la ejecutoria pudieran haber condicionado la decisión extrapenal y extraprocesal de aplicar de un determinado modo el art. 6 LOREG, que es la causa directa legal de la pérdida del escaño del demandante de amparo; sin embargo, la referida pérdida del escaño constituye una consecuencia extrapenal de la condena, ajena al ámbito de la jurisdicción penal que, aun siendo una consecuencia legal de la condena por sentencia firme a una pena de prisión, está prevista en la normativa electoral sin carácter sancionador y no impuesta en la sentencia condenatoria. Por último, el Ministerio Fiscal argumenta que la interpretación y aplicación de la normativa penal en la sentencia impugnada no puede tacharse de imprevisible pues no responde a criterios analógicos </w:t>
      </w:r>
      <w:r w:rsidRPr="009D7677">
        <w:rPr>
          <w:i/>
        </w:rPr>
        <w:t>in malam partem</w:t>
      </w:r>
      <w:r>
        <w:t xml:space="preserve"> del sistema de suspensión de las penas ni tampoco implica un sorpresivo apartamiento de una jurisprudencia consolidada en la materia. A esos efectos, destaca que, al margen de apreciar la existencia de resoluciones del Tribunal Supremo en que hay un pronunciamiento expreso sobre la pervivencia de la pena accesoria a una pena de prisión inferior a tres meses (STS 458/2015, de 14 de julio), las resoluciones citadas por el demandante de amparo (SSTS 528/2018, de 5 de noviembre, y 683/2019, de 29 de enero de 2020) no respaldan las tesis interpretativas sustentadas en la demanda de amparo al no contener ningún análisis ni pronunciamiento expreso al respecto.</w:t>
      </w:r>
    </w:p>
    <w:p w14:paraId="71484F4C" w14:textId="77777777" w:rsidR="009D7677" w:rsidRDefault="009D7677" w:rsidP="009D7677">
      <w:pPr>
        <w:pStyle w:val="TextoNormal"/>
      </w:pPr>
    </w:p>
    <w:p w14:paraId="7714218F" w14:textId="77777777" w:rsidR="009D7677" w:rsidRDefault="009D7677" w:rsidP="009D7677">
      <w:pPr>
        <w:pStyle w:val="TextoNormal"/>
      </w:pPr>
      <w:r>
        <w:t>El Ministerio Fiscal, si bien reconoce que conforme a la jurisprudencia constitucional puede canalizarse una invocación del principio de proporcionalidad mediante el derecho a la legalidad penal (art. 25.1 CE), niega que haya existido la vulneración alegada de este derecho fundamental imputable a las resoluciones impugnadas en el presente recurso de amparo, en la medida en que el eventual efecto de la perdida de la condición de diputado por aplicación del art. 6.2 LOREG, que es el efecto en el que se centra la alegación del principio de proporcionalidad, es ajena a la jurisdicción penal.</w:t>
      </w:r>
    </w:p>
    <w:p w14:paraId="0CC31814" w14:textId="77777777" w:rsidR="009D7677" w:rsidRDefault="009D7677" w:rsidP="009D7677">
      <w:pPr>
        <w:pStyle w:val="TextoNormal"/>
      </w:pPr>
    </w:p>
    <w:p w14:paraId="439CE0ED" w14:textId="77777777" w:rsidR="009D7677" w:rsidRDefault="009D7677" w:rsidP="009D7677">
      <w:pPr>
        <w:pStyle w:val="TextoNormal"/>
      </w:pPr>
      <w:r>
        <w:t>El Ministerio Fiscal considera que tampoco concurre la vulneración del derecho de reunión (art. 21 CE), ya que en este caso la conducta sancionada no constituye un supuesto de ejercicio regular del derecho fundamental sino extralimitado, en atención al uso de violencia, por lo que la invocación de este derecho fundamental aparece como un mero pretexto o subterfugio para cometer un acto antijurídico; destacándose, además, la mínima sanción impuesta que impide apreciar el alegado efecto desaliento.</w:t>
      </w:r>
    </w:p>
    <w:p w14:paraId="2E9B6EB3" w14:textId="77777777" w:rsidR="009D7677" w:rsidRDefault="009D7677" w:rsidP="009D7677">
      <w:pPr>
        <w:pStyle w:val="TextoNormal"/>
      </w:pPr>
    </w:p>
    <w:p w14:paraId="441091E1" w14:textId="39C91442" w:rsidR="009D7677" w:rsidRDefault="009D7677" w:rsidP="009D7677">
      <w:pPr>
        <w:pStyle w:val="TextoNormal"/>
      </w:pPr>
      <w:r>
        <w:t xml:space="preserve">Por último, el Ministerio Fiscal también descarta que concurra la vulneración del derecho de representación política (art. 23.2 CE) ya que, al margen de cualquier otra consideración, (i) la imposición y ejecución de la pena accesoria de inhabilitación especial para el ejercicio del derecho de sufragio pasivo durante el tiempo de la condena no ha causado durante su vigencia ningún perjuicio efectivo al demandante de amparo; y (ii) la circunstancia de que se hubiera optado por la sustitución de la pena de prisión por la de multa en </w:t>
      </w:r>
      <w:r>
        <w:lastRenderedPageBreak/>
        <w:t>vez de las otras alternativas ninguna incidencia tenía, de conformidad con la interpretación sustentada por la resolución judicial impugnada, sobre la pervivencia de la pena accesoria a la de prisión.</w:t>
      </w:r>
    </w:p>
    <w:p w14:paraId="124C7327" w14:textId="77777777" w:rsidR="009D7677" w:rsidRDefault="009D7677" w:rsidP="009D7677">
      <w:pPr>
        <w:pStyle w:val="TextoNormal"/>
      </w:pPr>
    </w:p>
    <w:p w14:paraId="4C68E183" w14:textId="6EA0337B" w:rsidR="009D7677" w:rsidRDefault="009D7677" w:rsidP="009D7677">
      <w:pPr>
        <w:pStyle w:val="TextoNormal"/>
      </w:pPr>
      <w:r w:rsidRPr="009D7677">
        <w:rPr>
          <w:rStyle w:val="NumeroAFNegritaCaracter"/>
        </w:rPr>
        <w:t>7</w:t>
      </w:r>
      <w:r>
        <w:t>. El demandante de amparo, mediante escrito registrado el 23 de junio de 2022, presentó sus alegaciones ratificándose en lo expuesto en su escrito de demanda.</w:t>
      </w:r>
    </w:p>
    <w:p w14:paraId="4D34C475" w14:textId="77777777" w:rsidR="009D7677" w:rsidRDefault="009D7677" w:rsidP="009D7677">
      <w:pPr>
        <w:pStyle w:val="TextoNormal"/>
      </w:pPr>
    </w:p>
    <w:p w14:paraId="471F1C26" w14:textId="0F87BB18" w:rsidR="009D7677" w:rsidRDefault="009D7677" w:rsidP="009D7677">
      <w:pPr>
        <w:pStyle w:val="TextoNormal"/>
      </w:pPr>
      <w:r w:rsidRPr="009D7677">
        <w:rPr>
          <w:rStyle w:val="NumeroAFNegritaCaracter"/>
        </w:rPr>
        <w:t>8</w:t>
      </w:r>
      <w:r>
        <w:t>. Por providencia de 16 de enero de 2024 se señaló ese mismo día para deliberación y votación de la presente sentencia.</w:t>
      </w:r>
    </w:p>
    <w:p w14:paraId="47BA9565" w14:textId="77777777" w:rsidR="009D7677" w:rsidRDefault="009D7677" w:rsidP="009D7677">
      <w:pPr>
        <w:pStyle w:val="TextoNormal"/>
      </w:pPr>
    </w:p>
    <w:p w14:paraId="77BD8E76" w14:textId="77777777" w:rsidR="009D7677" w:rsidRDefault="009D7677" w:rsidP="009D7677">
      <w:pPr>
        <w:pStyle w:val="TextoNormalNegritaCentrado"/>
        <w:keepNext/>
      </w:pPr>
      <w:r>
        <w:t>II. Fundamentos jurídicos</w:t>
      </w:r>
    </w:p>
    <w:p w14:paraId="590B5261" w14:textId="22642A75" w:rsidR="009D7677" w:rsidRDefault="009D7677" w:rsidP="009D7677">
      <w:pPr>
        <w:pStyle w:val="TextoNormalNegritaCentrado"/>
        <w:keepNext/>
      </w:pPr>
    </w:p>
    <w:p w14:paraId="1E2E167A" w14:textId="77777777" w:rsidR="009D7677" w:rsidRDefault="009D7677" w:rsidP="009D7677">
      <w:pPr>
        <w:pStyle w:val="TextoNormal"/>
      </w:pPr>
      <w:r w:rsidRPr="009D7677">
        <w:rPr>
          <w:rStyle w:val="NumeroAFNegritaCaracter"/>
        </w:rPr>
        <w:t>1</w:t>
      </w:r>
      <w:r>
        <w:t xml:space="preserve">. </w:t>
      </w:r>
      <w:r w:rsidRPr="009D7677">
        <w:rPr>
          <w:i/>
        </w:rPr>
        <w:t>Objeto del recurso de amparo</w:t>
      </w:r>
    </w:p>
    <w:p w14:paraId="35C7A2FC" w14:textId="77777777" w:rsidR="009D7677" w:rsidRDefault="009D7677" w:rsidP="009D7677">
      <w:pPr>
        <w:pStyle w:val="TextoNormal"/>
      </w:pPr>
    </w:p>
    <w:p w14:paraId="6F2535F8" w14:textId="77777777" w:rsidR="009D7677" w:rsidRDefault="009D7677" w:rsidP="009D7677">
      <w:pPr>
        <w:pStyle w:val="TextoNormal"/>
      </w:pPr>
      <w:r>
        <w:t>El objeto del presente recurso de amparo es determinar si la condena penal de la que ha sido objeto el demandante de amparo por las resoluciones impugnadas ha vulnerado sus derechos (i) a la imparcialidad judicial (art. 24.2 CE), en atención a que determinadas expresiones utilizadas en la sentencia condenatoria serían expresivas de prejuicios contra el demandante; (ii) a la presunción de inocencia (art. 24.2 CE), por ser insuficiente la prueba practicada para enervar dicho derecho; (iii) de reunión (art. 21 CE), al haber sido condenado por una conducta desarrollada en el contexto del ejercicio de este derecho; (iv) a la legalidad penal (art. 25.1 CE), en su dimensión de la prohibición de interpretación y aplicación extensiva o analógica de las consecuencias jurídicas del delito aplicadas, por haber considerado que la pena de prisión a imponer de un mes y quince días, aun siendo sustituida por una pena de multa, pervive en cuanto a la aplicación de las accesorias legales y sus eventuales consecuencias extrapenales; (v) a la legalidad penal (art. 25.1 CE), en su dimensión del principio de proporcionalidad penal, al haberse optado por una interpretación y aplicación de las citadas consecuencias jurídicas que, dada su condición de diputado, implicaba resultados muy gravosos pues, a pesar de la levedad de la conducta reflejada en la pena impuesta, ha supuesto la pérdida de su condición de diputado derivada de la aplicación del art. 6.4, en relación con el art. 6.2 a) de la Ley Orgánica 5/1985, de 19 de junio, del régimen electoral general (LOREG); y (vi) de representación política (art. 23.2 CE), ya que la pena accesoria impuesta conjuntamente con la pena de prisión le priva del derecho de sufragio pasivo durante el tiempo de la condena, lo que le ha impedido acudir como candidato a cualquier elección que se celebrase durante dicho periodo temporal, y también ha tenido como consecuencia la pérdida de su condición de diputado y todo ello a pesar de que en la resolución impugnada se podría haber optado por una interpretación de la normativa penal que hubiera impedido esta privación de derechos del art. 23.2 CE.</w:t>
      </w:r>
    </w:p>
    <w:p w14:paraId="369FEBE0" w14:textId="77777777" w:rsidR="009D7677" w:rsidRDefault="009D7677" w:rsidP="009D7677">
      <w:pPr>
        <w:pStyle w:val="TextoNormal"/>
      </w:pPr>
    </w:p>
    <w:p w14:paraId="71DBFBBB" w14:textId="77777777" w:rsidR="009D7677" w:rsidRDefault="009D7677" w:rsidP="009D7677">
      <w:pPr>
        <w:pStyle w:val="TextoNormal"/>
      </w:pPr>
      <w:r>
        <w:t xml:space="preserve">El Tribunal considera necesario dejar establecido ya en esta fase de delimitación del objeto del presente recurso de amparo que ninguna consideración puede hacerse en su marco a la eventual afectación que en los derechos fundamentales del recurrente se pudiera derivar de la pérdida de su condición de diputado en aplicación del art. 6 LOREG. Esa es una consecuencia que, tal como se señaló en el auto de desestimación del incidente de nulidad de actuaciones impugnado y ha sido destacado por el Ministerio Fiscal en su informe, aunque tome como presupuesto legal necesario la existencia de una condena por </w:t>
      </w:r>
      <w:r>
        <w:lastRenderedPageBreak/>
        <w:t>sentencia firme a pena privativa de libertad, no se impone en el contexto del presente proceso penal ni por ningún órgano judicial del orden jurisdiccional penal.</w:t>
      </w:r>
    </w:p>
    <w:p w14:paraId="207D2D24" w14:textId="77777777" w:rsidR="009D7677" w:rsidRDefault="009D7677" w:rsidP="009D7677">
      <w:pPr>
        <w:pStyle w:val="TextoNormal"/>
      </w:pPr>
    </w:p>
    <w:p w14:paraId="735E0E93" w14:textId="20AEFBC9" w:rsidR="009D7677" w:rsidRDefault="009D7677" w:rsidP="009D7677">
      <w:pPr>
        <w:pStyle w:val="TextoNormal"/>
      </w:pPr>
      <w:r>
        <w:t>El orden en el que se van a analizar las diversas invocaciones es, a pesar de la ordenación propuesta en la demanda de amparo, el expuesto anteriormente en atención a los principios de mayor retroacción y amplitud del alcance que podría tener su eventual estimación (en el mismo sentido, STC 102/2020, de 21 de septiembre, FJ 2).</w:t>
      </w:r>
    </w:p>
    <w:p w14:paraId="7435A3AA" w14:textId="77777777" w:rsidR="009D7677" w:rsidRDefault="009D7677" w:rsidP="009D7677">
      <w:pPr>
        <w:pStyle w:val="TextoNormal"/>
      </w:pPr>
    </w:p>
    <w:p w14:paraId="5BEC5407" w14:textId="77777777" w:rsidR="009D7677" w:rsidRDefault="009D7677" w:rsidP="009D7677">
      <w:pPr>
        <w:pStyle w:val="TextoNormal"/>
      </w:pPr>
      <w:r w:rsidRPr="009D7677">
        <w:rPr>
          <w:rStyle w:val="NumeroAFNegritaCaracter"/>
        </w:rPr>
        <w:t>2</w:t>
      </w:r>
      <w:r>
        <w:t xml:space="preserve">. </w:t>
      </w:r>
      <w:r w:rsidRPr="009D7677">
        <w:rPr>
          <w:i/>
        </w:rPr>
        <w:t>Especial trascendencia constitucional</w:t>
      </w:r>
    </w:p>
    <w:p w14:paraId="5339D3A0" w14:textId="77777777" w:rsidR="009D7677" w:rsidRDefault="009D7677" w:rsidP="009D7677">
      <w:pPr>
        <w:pStyle w:val="TextoNormal"/>
      </w:pPr>
    </w:p>
    <w:p w14:paraId="231F98E9" w14:textId="71B2E947" w:rsidR="009D7677" w:rsidRDefault="009D7677" w:rsidP="009D7677">
      <w:pPr>
        <w:pStyle w:val="TextoNormal"/>
      </w:pPr>
      <w:r>
        <w:t>El Tribunal admitió este recurso al considerar que, en los términos del art. 50.1 b) LOTC, muestra especial trascendencia constitucional por plantear un problema o afectar a una faceta de un derecho fundamental sobre el que no hay doctrina de este tribunal [STC 155/2009, FJ 2 a)] y porque el asunto trasciende del caso concreto porque plantea una cuestión jurídica de relevante y general repercusión social o económica [STC 155/2009, FJ 2 g)]. El Tribunal entiende que resulta singular la cuestión relativa a la proporcionalidad de la pervivencia de las consecuencias accesorias derivadas de una interpretación del art. 71.2 CP como la controvertida en la demanda, lo que permite establecer jurisprudencia constitucional en la materia.</w:t>
      </w:r>
    </w:p>
    <w:p w14:paraId="2762316C" w14:textId="77777777" w:rsidR="009D7677" w:rsidRDefault="009D7677" w:rsidP="009D7677">
      <w:pPr>
        <w:pStyle w:val="TextoNormal"/>
      </w:pPr>
    </w:p>
    <w:p w14:paraId="50899D24" w14:textId="77777777" w:rsidR="009D7677" w:rsidRDefault="009D7677" w:rsidP="009D7677">
      <w:pPr>
        <w:pStyle w:val="TextoNormal"/>
      </w:pPr>
      <w:r w:rsidRPr="009D7677">
        <w:rPr>
          <w:rStyle w:val="NumeroAFNegritaCaracter"/>
        </w:rPr>
        <w:t>3</w:t>
      </w:r>
      <w:r>
        <w:t xml:space="preserve">. </w:t>
      </w:r>
      <w:r w:rsidRPr="009D7677">
        <w:rPr>
          <w:i/>
        </w:rPr>
        <w:t>La invocación del derecho a la imparcialidad judicial (art. 24.2 CE)</w:t>
      </w:r>
    </w:p>
    <w:p w14:paraId="1DAF1768" w14:textId="77777777" w:rsidR="009D7677" w:rsidRDefault="009D7677" w:rsidP="009D7677">
      <w:pPr>
        <w:pStyle w:val="TextoNormal"/>
      </w:pPr>
    </w:p>
    <w:p w14:paraId="2A727A2E" w14:textId="77777777" w:rsidR="009D7677" w:rsidRDefault="009D7677" w:rsidP="009D7677">
      <w:pPr>
        <w:pStyle w:val="TextoNormal"/>
      </w:pPr>
      <w:r>
        <w:t>a) El demandante de amparo invoca el derecho a la imparcialidad judicial (art. 24.2 CE) con fundamento en que se afirma en la sentencia impugnada que la referencia que hizo en el uso del derecho de última palabra a acudir en caso de condena al Tribunal Constitucional y al Tribunal Europeo de Derechos Humanos era una alegación inapropiada, lo que cuestiona la imparcialidad de los miembros del tribunal. Sostiene que no corresponde al órgano de enjuiciamiento reprender al acusado en sentencia por lo alegado en su defensa, si no ha incurrido en falta de respeto al tribunal, y que esa circunstancia pone de manifiesto un prejuicio contra su persona al evidenciar un profundo malestar ante esas manifestaciones revelador de una apariencia de la perdida de imparcialidad.</w:t>
      </w:r>
    </w:p>
    <w:p w14:paraId="3C47F079" w14:textId="77777777" w:rsidR="009D7677" w:rsidRDefault="009D7677" w:rsidP="009D7677">
      <w:pPr>
        <w:pStyle w:val="TextoNormal"/>
      </w:pPr>
    </w:p>
    <w:p w14:paraId="0ED83712" w14:textId="77777777" w:rsidR="009D7677" w:rsidRDefault="009D7677" w:rsidP="009D7677">
      <w:pPr>
        <w:pStyle w:val="TextoNormal"/>
      </w:pPr>
      <w:r>
        <w:t>b) La jurisprudencia constitucional (así, por ejemplo, SSTC 91/2021, de 22 de abril, FJ 5.1; 25/2022, de 23 de febrero, FJ 2.1; o 59/2023, de 23 de mayo, FJ 2) ha reiterado, en convergencia con la establecida por el Tribunal Europeo de Derechos Humanos, que el derecho a la imparcialidad judicial puede concretarse en las siguientes ideas que resultan relevantes para la resolución de la queja del demandante de amparo:</w:t>
      </w:r>
    </w:p>
    <w:p w14:paraId="0A5B65CD" w14:textId="77777777" w:rsidR="009D7677" w:rsidRDefault="009D7677" w:rsidP="009D7677">
      <w:pPr>
        <w:pStyle w:val="TextoNormal"/>
      </w:pPr>
    </w:p>
    <w:p w14:paraId="5E4429C3" w14:textId="77777777" w:rsidR="009D7677" w:rsidRDefault="009D7677" w:rsidP="009D7677">
      <w:pPr>
        <w:pStyle w:val="TextoNormal"/>
      </w:pPr>
      <w:r>
        <w:t>(i) El art. 24 CE, a diferencia de lo que sucede con el art. 6 del Convenio europeo de derechos humanos (CEDH), no recoge el derecho a la imparcialidad judicial de forma singularizada, lo que no ha sido obstáculo para que, a partir de las SSTC 113/1987, de 3 de julio, FJ 2, y 145/1988, de 12 de julio, FJ 5, se reconociera que queda integrado como una garantía más dentro del derecho a un proceso con todas las garantías (art. 24.2 CE) con una especial trascendencia en el ámbito penal.</w:t>
      </w:r>
    </w:p>
    <w:p w14:paraId="29C9E780" w14:textId="77777777" w:rsidR="009D7677" w:rsidRDefault="009D7677" w:rsidP="009D7677">
      <w:pPr>
        <w:pStyle w:val="TextoNormal"/>
      </w:pPr>
    </w:p>
    <w:p w14:paraId="0AC2447C" w14:textId="77777777" w:rsidR="009D7677" w:rsidRDefault="009D7677" w:rsidP="009D7677">
      <w:pPr>
        <w:pStyle w:val="TextoNormal"/>
      </w:pPr>
      <w:r>
        <w:t>(ii) El derecho al juez imparcial es una garantía fundamental de la administración de justicia en un Estado de Derecho que condiciona su existencia misma, ya que sin juez imparcial no hay, propiamente, proceso jurisdiccional. Esto exige, por estar en juego la con</w:t>
      </w:r>
      <w:r>
        <w:lastRenderedPageBreak/>
        <w:t xml:space="preserve">fianza que los tribunales deben inspirar en una sociedad democrática, que en el ámbito de la jurisdicción penal se garantice al acusado que no concurre ninguna duda razonable sobre la existencia de prejuicios o prevenciones en el órgano judicial. Esto es, debe configurarse como un tercero entre partes que permanece ajeno a los intereses en litigio, que queda sometido exclusivamente al ordenamiento jurídico con una libertad de criterio que no esté orientada </w:t>
      </w:r>
      <w:r w:rsidRPr="009D7677">
        <w:rPr>
          <w:i/>
        </w:rPr>
        <w:t>a priori</w:t>
      </w:r>
      <w:r>
        <w:t xml:space="preserve"> por simpatías o antipatías personales o ideológicas, por convicciones e incluso por prejuicios. En definitiva, la obligación de ser ajeno al litigio puede resumirse en las reglas de que el juez no puede asumir procesalmente funciones de parte y que no puede realizar actos ni mantener con las partes relaciones jurídicas o conexiones de hecho que puedan poner de manifiesto o exteriorizar una previa toma de posición anímica a su favor o en contra.</w:t>
      </w:r>
    </w:p>
    <w:p w14:paraId="3487B6C0" w14:textId="77777777" w:rsidR="009D7677" w:rsidRDefault="009D7677" w:rsidP="009D7677">
      <w:pPr>
        <w:pStyle w:val="TextoNormal"/>
      </w:pPr>
    </w:p>
    <w:p w14:paraId="5E4C423D" w14:textId="77777777" w:rsidR="009D7677" w:rsidRDefault="009D7677" w:rsidP="009D7677">
      <w:pPr>
        <w:pStyle w:val="TextoNormal"/>
      </w:pPr>
      <w:r>
        <w:t xml:space="preserve">(iii) La imparcialidad judicial comprende una vertiente subjetiva, que es la que se refiere a la ausencia de una relación del juez con las partes que pueda suscitar un interés previo en favorecerlas o perjudicarlas, y una vertiente objetiva, referida al objeto del proceso, por la que se asegura que el juez se acerca al </w:t>
      </w:r>
      <w:r w:rsidRPr="009D7677">
        <w:rPr>
          <w:i/>
        </w:rPr>
        <w:t>thema decidendi</w:t>
      </w:r>
      <w:r>
        <w:t xml:space="preserve"> sin prevenciones ni prejuicios que en su ánimo pudieran quizás existir a raíz de una relación o contacto previos con el proceso.</w:t>
      </w:r>
    </w:p>
    <w:p w14:paraId="4D5A4703" w14:textId="77777777" w:rsidR="009D7677" w:rsidRDefault="009D7677" w:rsidP="009D7677">
      <w:pPr>
        <w:pStyle w:val="TextoNormal"/>
      </w:pPr>
    </w:p>
    <w:p w14:paraId="7B6097ED" w14:textId="77777777" w:rsidR="009D7677" w:rsidRDefault="009D7677" w:rsidP="009D7677">
      <w:pPr>
        <w:pStyle w:val="TextoNormal"/>
      </w:pPr>
      <w:r>
        <w:t>(iv) Las dudas o sospechas sobre una eventual pérdida de la imparcialidad judicial no basta con que surjan en la mente de la parte que la alega, sino que es preciso determinar en cada caso si las sospechas de que el juez ha comprometido su posición de neutralidad alcanzan una consistencia tal que permitan afirmar que están objetiva y legítimamente justificadas. De ello se deriva que la imparcialidad judicial ha de presumirse y que las sospechas sobre su idoneidad han de ser probadas.</w:t>
      </w:r>
    </w:p>
    <w:p w14:paraId="08344C9E" w14:textId="77777777" w:rsidR="009D7677" w:rsidRDefault="009D7677" w:rsidP="009D7677">
      <w:pPr>
        <w:pStyle w:val="TextoNormal"/>
      </w:pPr>
    </w:p>
    <w:p w14:paraId="1F918662" w14:textId="77777777" w:rsidR="009D7677" w:rsidRDefault="009D7677" w:rsidP="009D7677">
      <w:pPr>
        <w:pStyle w:val="TextoNormal"/>
      </w:pPr>
      <w:r>
        <w:t>c) El Tribunal constata que, como ha sido expuesto en los antecedentes, han quedado acreditados los siguientes antecedentes fácticos en relación con esta invocación del art. 24.2 CE:</w:t>
      </w:r>
    </w:p>
    <w:p w14:paraId="3C712990" w14:textId="77777777" w:rsidR="009D7677" w:rsidRDefault="009D7677" w:rsidP="009D7677">
      <w:pPr>
        <w:pStyle w:val="TextoNormal"/>
      </w:pPr>
    </w:p>
    <w:p w14:paraId="3E24520E" w14:textId="77777777" w:rsidR="009D7677" w:rsidRDefault="009D7677" w:rsidP="009D7677">
      <w:pPr>
        <w:pStyle w:val="TextoNormal"/>
      </w:pPr>
      <w:r>
        <w:t>(i) La sentencia impugnada hace referencia a que el ahora demandante de amparo, en el uso del derecho a la última palabra, señaló que de producirse su condena acudiría al Tribunal Constitucional y al Tribunal de Derechos Humanos de Estrasburgo. En respuesta a ello, en la sentencia se afirma que “se trata de una alegación que resulta inapropiada en una sede judicial. Es de toda evidencia que las resoluciones judiciales pueden ser cuestionadas a través de los mecanismos previstos en las leyes. De modo que la advertencia de que se acudirá a los mismos no puede perturbar en modo alguno el ejercicio de las responsabilidades que competen a esta sala o a cualquier otro órgano jurisdiccional. Por el contrario, la existencia de esos mecanismos constituye una garantía de los derechos que, en el ámbito del proceso penal, corresponde asegurar a los órganos jurisdiccionales de este orden y, muy principalmente, a esta sala del Tribunal Supremo, de conformidad con las funciones, propias de un Estado de Derecho, que le atribuyen la Constitución y el resto del ordenamiento jurídico” (fundamento de Derecho tercero).</w:t>
      </w:r>
    </w:p>
    <w:p w14:paraId="6E56DBC3" w14:textId="77777777" w:rsidR="009D7677" w:rsidRDefault="009D7677" w:rsidP="009D7677">
      <w:pPr>
        <w:pStyle w:val="TextoNormal"/>
      </w:pPr>
    </w:p>
    <w:p w14:paraId="02F4CE06" w14:textId="77777777" w:rsidR="009D7677" w:rsidRDefault="009D7677" w:rsidP="009D7677">
      <w:pPr>
        <w:pStyle w:val="TextoNormal"/>
      </w:pPr>
      <w:r>
        <w:t>(ii) El auto desestimatorio del incidente de nulidad de actuaciones, pronunciándose sobre la invocación del derecho a la imparcialidad judicial efectuada por el demandante de amparo en relación con esa respuesta de la sentencia, negó que la expresión utilizada supusiera ningún prejuicio contra el acusado.</w:t>
      </w:r>
    </w:p>
    <w:p w14:paraId="31C82C59" w14:textId="77777777" w:rsidR="009D7677" w:rsidRDefault="009D7677" w:rsidP="009D7677">
      <w:pPr>
        <w:pStyle w:val="TextoNormal"/>
      </w:pPr>
    </w:p>
    <w:p w14:paraId="7B905045" w14:textId="77777777" w:rsidR="009D7677" w:rsidRDefault="009D7677" w:rsidP="009D7677">
      <w:pPr>
        <w:pStyle w:val="TextoNormal"/>
      </w:pPr>
      <w:r>
        <w:t>d) El Tribunal admite que, como es reconocido en la jurisprudencia constitucional (así, por ejemplo, SSTC 91/2021, de 22 de abril, FJ 5.2; 25/2022, de 23 de febrero, FJ 2.3.3, y 59/2023, de 23 de mayo, FFJJ 2 y 3), el uso de determinadas expresiones o la emisión de ciertas opiniones por parte de miembros de un órgano judicial, tanto extraprocesales como en el contexto del desarrollo de una vista oral o plasmadas en una resolución judicial, pueden conformar un presupuesto fáctico que sirva de fundamento para invocar el art. 24.2 CE por la existencia de dudas o sospechas de que un juzgador tiene comprometida su posición de neutralidad y, por lo tanto, su imparcialidad judicial.</w:t>
      </w:r>
    </w:p>
    <w:p w14:paraId="29FA06E2" w14:textId="77777777" w:rsidR="009D7677" w:rsidRDefault="009D7677" w:rsidP="009D7677">
      <w:pPr>
        <w:pStyle w:val="TextoNormal"/>
      </w:pPr>
    </w:p>
    <w:p w14:paraId="6BB8E942" w14:textId="77777777" w:rsidR="009D7677" w:rsidRDefault="009D7677" w:rsidP="009D7677">
      <w:pPr>
        <w:pStyle w:val="TextoNormal"/>
      </w:pPr>
      <w:r>
        <w:t>En el presente caso, tomando como punto de partida que la imparcialidad judicial se presume y que son las sospechas sobre su pérdida las que han de ser probadas, el Tribunal no aprecia que la respuesta dada en la sentencia impugnada a la intervención del demandante en el uso del derecho de última palabra permita entender acreditada objetivamente una sospecha de pérdida de imparcialidad en el órgano judicial que ponga en riesgo la confianza que este debe inspirar en los ciudadanos en una sociedad democrática. Dicha respuesta no evidencia ni un eventual prejuicio ni una supuesta enemistad del órgano judicial hacia la persona del recurrente ni respecto de su responsabilidad penal. El uso aislado del término “inapropiado” para calificar la alegación del recurrente debe quedar contextualizado por dos referencias que permiten despejar cualquier duda o sospecha de animadversión. La primera es que se afirma que es inapropiada esa alegación “en una sede judicial”. La segunda es que inmediatamente se da una explicación de esa afirmación, poniéndola en conexión con una idea de “innecesariedad” de la alegación a partir de que la recurribilidad conforme a Derecho de cualquier decisión judicial es una garantía del Estado de Derecho que en primera instancia corresponde garantizar a los jueces y tribunales, por lo que su invocación en modo alguno puede perturbar a un órgano judicial. Por otra parte, el uso de la expresión “perturbar” resulta meramente descriptivo y este tribunal no percibe que con su utilización el órgano judicial haya pretendido hacer un juicio de valor sobre que esa fuera la intención del demandante de amparo al advertir que recurriría una eventual condena.</w:t>
      </w:r>
    </w:p>
    <w:p w14:paraId="43BEC615" w14:textId="77777777" w:rsidR="009D7677" w:rsidRDefault="009D7677" w:rsidP="009D7677">
      <w:pPr>
        <w:pStyle w:val="TextoNormal"/>
      </w:pPr>
    </w:p>
    <w:p w14:paraId="37A5A8B8" w14:textId="57976F1C" w:rsidR="009D7677" w:rsidRDefault="009D7677" w:rsidP="009D7677">
      <w:pPr>
        <w:pStyle w:val="TextoNormal"/>
      </w:pPr>
      <w:r>
        <w:t>Por tanto, una lectura contextualizada de la respuesta judicial controvertida lleva a este tribunal a considerar que, al margen del uso de determinadas expresiones que el demandante de amparo haya podido sentir en su foro interno como prejuiciosas, recriminatorias o incluso hostiles, el mensaje contenido en dicha respuesta no evidencia ningún tipo de prejuicio o ruptura de la posición de neutralidad del órgano judicial desde una perspectiva objetiva, especialmente tomando en consideración que lo que hace es reafirmar que su misión como Sala del Tribunal Supremo es, precisamente, asegurar el pleno disfrute de sus garantías procesales, incluida la posibilidad de recurrir su decisión ante instancias nacionales o regionales de protección de los derechos fundamentales.</w:t>
      </w:r>
    </w:p>
    <w:p w14:paraId="5C21E4C9" w14:textId="77777777" w:rsidR="009D7677" w:rsidRDefault="009D7677" w:rsidP="009D7677">
      <w:pPr>
        <w:pStyle w:val="TextoNormal"/>
      </w:pPr>
    </w:p>
    <w:p w14:paraId="222A21A2" w14:textId="77777777" w:rsidR="009D7677" w:rsidRDefault="009D7677" w:rsidP="009D7677">
      <w:pPr>
        <w:pStyle w:val="TextoNormal"/>
      </w:pPr>
      <w:r w:rsidRPr="009D7677">
        <w:rPr>
          <w:rStyle w:val="NumeroAFNegritaCaracter"/>
        </w:rPr>
        <w:t>4</w:t>
      </w:r>
      <w:r>
        <w:t xml:space="preserve">. </w:t>
      </w:r>
      <w:r w:rsidRPr="009D7677">
        <w:rPr>
          <w:i/>
        </w:rPr>
        <w:t>La invocación del derecho a la presunción de inocencia (art. 24.2 CE)</w:t>
      </w:r>
    </w:p>
    <w:p w14:paraId="02D86EE3" w14:textId="77777777" w:rsidR="009D7677" w:rsidRDefault="009D7677" w:rsidP="009D7677">
      <w:pPr>
        <w:pStyle w:val="TextoNormal"/>
      </w:pPr>
    </w:p>
    <w:p w14:paraId="63465B22" w14:textId="77777777" w:rsidR="009D7677" w:rsidRDefault="009D7677" w:rsidP="009D7677">
      <w:pPr>
        <w:pStyle w:val="TextoNormal"/>
      </w:pPr>
      <w:r>
        <w:t xml:space="preserve">a) El demandante de amparo invoca el derecho a la presunción de inocencia (art. 24.2 CE) con fundamento en que la sentencia habría incurrido en irrazonabilidad en el juicio de inferencia sobre los hechos probados basado únicamente en el testimonio de un agente de policía, víctima de los hechos, que no puede ser suficiente para enervar la presunción de inocencia al no contar con una corroboración externa objetiva, ya que fue un testimonio </w:t>
      </w:r>
      <w:r>
        <w:lastRenderedPageBreak/>
        <w:t>muy parco en que no se precisó cómo fue capaz de reconocer al autor de la patada, frente a la declaración del agente que dirigía el operativo policial, que manifestó que no vio al actor en el lugar de los hechos, lo que es llamativo dadas sus características físicas al medir casi dos metros de altura.</w:t>
      </w:r>
    </w:p>
    <w:p w14:paraId="662D613A" w14:textId="77777777" w:rsidR="009D7677" w:rsidRDefault="009D7677" w:rsidP="009D7677">
      <w:pPr>
        <w:pStyle w:val="TextoNormal"/>
      </w:pPr>
    </w:p>
    <w:p w14:paraId="17032284" w14:textId="77777777" w:rsidR="009D7677" w:rsidRDefault="009D7677" w:rsidP="009D7677">
      <w:pPr>
        <w:pStyle w:val="TextoNormal"/>
      </w:pPr>
      <w:r>
        <w:t>b) La jurisprudencia constitucional ha consolidado un amplio parámetro de control del derecho a la presunción de inocencia a desarrollar por este tribunal en la jurisdicción de amparo (así, por ejemplo, SSTC 67/2021, de 17 de marzo, FJ 3; 122/2021, de 2 de junio, FJ 8.4; 25/2022, de 23 de febrero, FJ 5.3, y 46/2022, de 24 de marzo, FJ 10). Ese parámetro, en lo que resulta relevante para la resolución de la queja del demandante de amparo, en la medida en que no se ha controvertido ni la licitud o validez de las pruebas practicadas ni la clara consignación de los que se consideran hechos probados para centrarse en la ausencia de prueba suficiente que sostenga los hechos probados, puede concretarse en los siguientes aspectos:</w:t>
      </w:r>
    </w:p>
    <w:p w14:paraId="0B9B6205" w14:textId="77777777" w:rsidR="009D7677" w:rsidRDefault="009D7677" w:rsidP="009D7677">
      <w:pPr>
        <w:pStyle w:val="TextoNormal"/>
      </w:pPr>
    </w:p>
    <w:p w14:paraId="602977B2" w14:textId="77777777" w:rsidR="009D7677" w:rsidRDefault="009D7677" w:rsidP="009D7677">
      <w:pPr>
        <w:pStyle w:val="TextoNormal"/>
      </w:pPr>
      <w:r>
        <w:t>(i) Con carácter general, el derecho a la presunción de inocencia se configura como el derecho a no ser condenado sin pruebas de cargo válidas, lo que exige una mínima actividad probatoria, realizada con las garantías necesarias, referida a todos los elementos esenciales del delito, y que de la misma quepa inferir razonablemente los hechos y la participación del acusado en los mismos.</w:t>
      </w:r>
    </w:p>
    <w:p w14:paraId="3EC60CA5" w14:textId="77777777" w:rsidR="009D7677" w:rsidRDefault="009D7677" w:rsidP="009D7677">
      <w:pPr>
        <w:pStyle w:val="TextoNormal"/>
      </w:pPr>
    </w:p>
    <w:p w14:paraId="4C531853" w14:textId="77777777" w:rsidR="009D7677" w:rsidRDefault="009D7677" w:rsidP="009D7677">
      <w:pPr>
        <w:pStyle w:val="TextoNormal"/>
      </w:pPr>
      <w:r>
        <w:t>(ii) El Tribunal Constitucional, al pronunciarse sobre la invocación del derecho a la presunción de inocencia, carece de jurisdicción para valorar la actividad probatoria practicada en un proceso penal y para la evaluación de dicha valoración conforme a criterios de calidad o de oportunidad.</w:t>
      </w:r>
    </w:p>
    <w:p w14:paraId="6575992E" w14:textId="77777777" w:rsidR="009D7677" w:rsidRDefault="009D7677" w:rsidP="009D7677">
      <w:pPr>
        <w:pStyle w:val="TextoNormal"/>
      </w:pPr>
    </w:p>
    <w:p w14:paraId="203BF6CA" w14:textId="77777777" w:rsidR="009D7677" w:rsidRDefault="009D7677" w:rsidP="009D7677">
      <w:pPr>
        <w:pStyle w:val="TextoNormal"/>
      </w:pPr>
      <w:r>
        <w:t>(iii) La función de salvaguarda de este derecho a desarrollar por este tribunal queda limitada, en primer lugar, a la supervisión de que la actividad probatoria se ha practicado con las garantías necesarias para su adecuada valoración y para la preservación del derecho de defensa. En segundo lugar, a comprobar que el órgano de enjuiciamiento expone las razones que le han conducido a fijar el relato de hechos probados a partir de la actividad probatoria practicada. En tercer lugar, desde la perspectiva del resultado de la valoración, la labor del Tribunal se ciñe a supervisar externamente la razonabilidad del discurso que pone en relación la actividad probatoria con el relato fáctico resultante, por lo que la función del Tribunal no consiste en enjuiciar el resultado alcanzado, sino el control externo del razonamiento lógico seguido para llegar a él.</w:t>
      </w:r>
    </w:p>
    <w:p w14:paraId="7C626404" w14:textId="77777777" w:rsidR="009D7677" w:rsidRDefault="009D7677" w:rsidP="009D7677">
      <w:pPr>
        <w:pStyle w:val="TextoNormal"/>
      </w:pPr>
    </w:p>
    <w:p w14:paraId="479027B8" w14:textId="77777777" w:rsidR="009D7677" w:rsidRDefault="009D7677" w:rsidP="009D7677">
      <w:pPr>
        <w:pStyle w:val="TextoNormal"/>
      </w:pPr>
      <w:r>
        <w:t xml:space="preserve">(iv) Por lo que se refiere a la obligación de que el órgano sancionador exponga las razones que le han conducido a fijar el relato de hechos probados a partir de la actividad probatoria, se ha incidido en que la idoneidad incriminatoria debe ser no solo apreciada por el juez sino también plasmada en la sentencia, de forma que la carencia o insuficiencia de la motivación, en cuanto a la valoración de la prueba y la fijación de los hechos probados, entraña la lesión del derecho a la presunción de inocencia, lo que impone como parámetro de análisis no ya la mera cognoscibilidad de la </w:t>
      </w:r>
      <w:r w:rsidRPr="009D7677">
        <w:rPr>
          <w:i/>
        </w:rPr>
        <w:t>ratio decidendi</w:t>
      </w:r>
      <w:r>
        <w:t xml:space="preserve"> de la decisión judicial, sino una mínima explicación de los fundamentos probatorios del relato fáctico, con base en el cual se individualiza el caso y se posibilita la aplicación de la norma jurídica. En este marco, también se ha establecido que la presunción de inocencia se extiende a verificar si se ha dejado de someter a valoración la prueba de descargo aportada, exigién</w:t>
      </w:r>
      <w:r>
        <w:lastRenderedPageBreak/>
        <w:t>dose una ponderación de esta, pero sin que ello implique que esa ponderación se realice de modo pormenorizado, ni que la ponderación se lleve a cabo del modo pretendido por el recurrente, sino solamente que se ofrezca una explicación para su rechazo.</w:t>
      </w:r>
    </w:p>
    <w:p w14:paraId="2E1D0EA7" w14:textId="77777777" w:rsidR="009D7677" w:rsidRDefault="009D7677" w:rsidP="009D7677">
      <w:pPr>
        <w:pStyle w:val="TextoNormal"/>
      </w:pPr>
    </w:p>
    <w:p w14:paraId="57D8C5C1" w14:textId="77777777" w:rsidR="009D7677" w:rsidRDefault="009D7677" w:rsidP="009D7677">
      <w:pPr>
        <w:pStyle w:val="TextoNormal"/>
      </w:pPr>
      <w:r>
        <w:t>c) El Tribunal constata que, como ha sido expuesto en los antecedentes, han quedado acreditados los siguientes antecedentes fácticos en relación con esta invocación del art. 24.2 CE:</w:t>
      </w:r>
    </w:p>
    <w:p w14:paraId="29D2653B" w14:textId="77777777" w:rsidR="009D7677" w:rsidRDefault="009D7677" w:rsidP="009D7677">
      <w:pPr>
        <w:pStyle w:val="TextoNormal"/>
      </w:pPr>
    </w:p>
    <w:p w14:paraId="7E4CB672" w14:textId="77777777" w:rsidR="009D7677" w:rsidRDefault="009D7677" w:rsidP="009D7677">
      <w:pPr>
        <w:pStyle w:val="TextoNormal"/>
      </w:pPr>
      <w:r>
        <w:t>(i) La sentencia impugnada hace una amplia exposición de la actividad probatoria en la que se fundamenta la declaración de hechos probados donde se relata que el demandante de amparo, en el contexto de una concentración de protesta y en el curso de un enfrentamiento físico de algunos congregados con agentes de la policía, propinó una patada en la rodilla a uno de los agentes que sufrió una contusión de la que curó en un día sin impedimento para sus actividades habituales.</w:t>
      </w:r>
    </w:p>
    <w:p w14:paraId="04ABF06C" w14:textId="77777777" w:rsidR="009D7677" w:rsidRDefault="009D7677" w:rsidP="009D7677">
      <w:pPr>
        <w:pStyle w:val="TextoNormal"/>
      </w:pPr>
    </w:p>
    <w:p w14:paraId="2440669B" w14:textId="77777777" w:rsidR="009D7677" w:rsidRDefault="009D7677" w:rsidP="009D7677">
      <w:pPr>
        <w:pStyle w:val="TextoNormal"/>
      </w:pPr>
      <w:r>
        <w:t>(ii) La sentencia impugnada hace una inicial relación de la prueba desarrollada en la vista oral consistente en la declaración del acusado, que negó los hechos; en la declaración testifical del agente que dirigía el dispositivo policial, que afirmó que no vio al acusado; del agente agredido, que manifestó que fue el actor quien le propinó la patada y que no le detuvo en aquel momento porque consideraba más importante mantener la línea de defensa del vallado exterior; la testifical-pericial de la doctora que asistió a este agente en el servicio de urgencias el mismo día de autos; la pericial de la médico forense que emitió el informe de sanidad; el visionado de diversos vídeos, en los que no aparecen imágenes de la agresión pero si la presencia del demandante en el lugar de los hechos frente a agentes con equipos antidisturbios de protección; y la documental obrante en la causa (fundamento de Derecho segundo).</w:t>
      </w:r>
    </w:p>
    <w:p w14:paraId="69C54E5C" w14:textId="77777777" w:rsidR="009D7677" w:rsidRDefault="009D7677" w:rsidP="009D7677">
      <w:pPr>
        <w:pStyle w:val="TextoNormal"/>
      </w:pPr>
    </w:p>
    <w:p w14:paraId="678A6544" w14:textId="77777777" w:rsidR="009D7677" w:rsidRDefault="009D7677" w:rsidP="009D7677">
      <w:pPr>
        <w:pStyle w:val="TextoNormal"/>
      </w:pPr>
      <w:r>
        <w:t>(iii) La sentencia impugnada motiva cómo a partir de dicha prueba se han considerado probados los hechos especificando que la presencia del condenado, a pesar de que el inspector al cargo del dispositivo policial manifestó que él no lo vio, se deriva no solo del reconocimiento del acusado de que asistió a la manifestación sino también de que aparece en las imágenes de video junto con un grupo de personas que están en frente de agentes antidisturbios y de la declaración del agente víctima de la agresión. Se incide en que la existencia de la agresión y la autoría del acusado han quedado acreditadas por la declaración de la víctima, que “no expresó duda alguna respecto a que el acusado fue quien le propinó, voluntariamente, una patada en su rodilla izquierda”, lo que queda corroborado por el hecho de haber acudido inmediatamente después de los sucesos a recibir asistencia médica y por la temprana identificación del acusado como autor de los hechos; destacando que la credibilidad del testigo viene avalada por la persistencia en la versión mantenida desde el principio y por la inexistencia de cualquier clase de animadversión contra el acusado. Por último, también se pone de manifiesto que se dio una explicación razonada por dicho testigo sobre los motivos que llevaron en aquel momento a renunciar a su detención en favor de mantener la integridad del perímetro de seguridad cuya misión competía a los agentes policiales (fundamentos de Derecho tercero y cuarto).</w:t>
      </w:r>
    </w:p>
    <w:p w14:paraId="32C34352" w14:textId="77777777" w:rsidR="009D7677" w:rsidRDefault="009D7677" w:rsidP="009D7677">
      <w:pPr>
        <w:pStyle w:val="TextoNormal"/>
      </w:pPr>
    </w:p>
    <w:p w14:paraId="619CB9C6" w14:textId="77777777" w:rsidR="009D7677" w:rsidRDefault="009D7677" w:rsidP="009D7677">
      <w:pPr>
        <w:pStyle w:val="TextoNormal"/>
      </w:pPr>
      <w:r>
        <w:t xml:space="preserve">d) El Tribunal, en desarrollo de su función de control en esta jurisdicción de amparo bajo la invocación del derecho a la presunción de inocencia, a pesar de que toma conocimiento de la existencia del voto discrepante de dos de los magistrados que conformaban la </w:t>
      </w:r>
      <w:r>
        <w:lastRenderedPageBreak/>
        <w:t>sala, quienes consideran que la prueba desarrollada no era suficiente para alcanzar una convicción sobre que el demandante fuera el autor de los hechos enjuiciados, no aprecia que se haya producido la vulneración aducida por las siguientes razones:</w:t>
      </w:r>
    </w:p>
    <w:p w14:paraId="2E49AC33" w14:textId="77777777" w:rsidR="009D7677" w:rsidRDefault="009D7677" w:rsidP="009D7677">
      <w:pPr>
        <w:pStyle w:val="TextoNormal"/>
      </w:pPr>
    </w:p>
    <w:p w14:paraId="697E22B2" w14:textId="77777777" w:rsidR="009D7677" w:rsidRDefault="009D7677" w:rsidP="009D7677">
      <w:pPr>
        <w:pStyle w:val="TextoNormal"/>
      </w:pPr>
      <w:r>
        <w:t>(i) La sentencia impugnada contiene una clara consignación de los hechos probados, una relación de la prueba practicada en la vista oral y la motivación que ha llevado a concluir dicha declaración a partir de esa actividad probatoria. Por lo tanto, desde esta perspectiva formal, ninguna objeción cabe realizar.</w:t>
      </w:r>
    </w:p>
    <w:p w14:paraId="28379E64" w14:textId="77777777" w:rsidR="009D7677" w:rsidRDefault="009D7677" w:rsidP="009D7677">
      <w:pPr>
        <w:pStyle w:val="TextoNormal"/>
      </w:pPr>
    </w:p>
    <w:p w14:paraId="1F83120F" w14:textId="77777777" w:rsidR="009D7677" w:rsidRDefault="009D7677" w:rsidP="009D7677">
      <w:pPr>
        <w:pStyle w:val="TextoNormal"/>
      </w:pPr>
      <w:r>
        <w:t>(ii) Se constata, además, que la resolución impugnada ha desarrollado la motivación de la prueba practicada en relación con la autoría del recurrente, no solo a partir de la mera declaración de la víctima, sino haciendo especial hincapié sobre los elementos corroboradores de su credibilidad como son, por un lado, la circunstancia de su temprana identificación durante la instrucción y su persistencia en la misma hasta su ratificación en la vista oral; por otro, la inexistencia de cualquier clase de animadversión contra el acusado, en la medida en que se afirmó conocerlo de otras concentraciones en las que no había destacado por su actitud violenta o agresiva; y, además, por el visionado de las grabaciones videográficas de la concentración en las que, si bien no aparece la conducta objeto de acusación, sí aparece el demandante de amparo. En ese sentido, desde la perspectiva del control externo que cabe desarrollar en esta jurisdicción de amparo, se concluye que, en respeto al derecho a la presunción de inocencia, también se ha verificado una valoración de la prueba de cargo practicada con la debida inmediación por el órgano judicial de enjuiciamiento ponderando los aspectos relativos a la credibilidad y corroboración del testimonio de la víctima sin incurrir en un razonamiento carente de lógica.</w:t>
      </w:r>
    </w:p>
    <w:p w14:paraId="19C2CA7E" w14:textId="77777777" w:rsidR="009D7677" w:rsidRDefault="009D7677" w:rsidP="009D7677">
      <w:pPr>
        <w:pStyle w:val="TextoNormal"/>
      </w:pPr>
    </w:p>
    <w:p w14:paraId="0E341572" w14:textId="77777777" w:rsidR="009D7677" w:rsidRDefault="009D7677" w:rsidP="009D7677">
      <w:pPr>
        <w:pStyle w:val="TextoNormal"/>
      </w:pPr>
      <w:r>
        <w:t>(iii) Por último, también el Tribunal toma en consideración que en la resolución impugnada se ha dado cumplida y razonable respuesta a los argumentos de descargo expuestos por la defensa del demandante de amparo en relación con los aspectos que podían hacer dudar de la credibilidad del testimonio de la víctima, como eran los relativos a que el jefe del dispositivo policial no podía afirmar la presencia del acusado en el lugar de los hechos o la circunstancia de que, a pesar de la conducta denunciada, no se hubiera practicado la detención por el agente agredido. Por tanto, también se ha dado debido cumplimiento al derecho a la presunción de inocencia, en su concreta dimensión de la obligación judicial de ponderar en la sentencia condenatoria las pruebas y alegato de descargo del acusado.</w:t>
      </w:r>
    </w:p>
    <w:p w14:paraId="26721D5D" w14:textId="77777777" w:rsidR="009D7677" w:rsidRDefault="009D7677" w:rsidP="009D7677">
      <w:pPr>
        <w:pStyle w:val="TextoNormal"/>
      </w:pPr>
    </w:p>
    <w:p w14:paraId="5583A352" w14:textId="7D283348" w:rsidR="009D7677" w:rsidRDefault="009D7677" w:rsidP="009D7677">
      <w:pPr>
        <w:pStyle w:val="TextoNormal"/>
      </w:pPr>
      <w:r>
        <w:t>En definitiva, el Tribunal concluye que ningún reproche puede hacerse desde la perspectiva del derecho fundamental a la presunción de inocencia respecto de los razonamientos vertidos en la sentencia impugnada sobre la suficiencia de la actividad probatoria para llegar a la conclusión fáctica sustentada.</w:t>
      </w:r>
    </w:p>
    <w:p w14:paraId="76F5817F" w14:textId="77777777" w:rsidR="009D7677" w:rsidRDefault="009D7677" w:rsidP="009D7677">
      <w:pPr>
        <w:pStyle w:val="TextoNormal"/>
      </w:pPr>
    </w:p>
    <w:p w14:paraId="48106C20" w14:textId="77777777" w:rsidR="009D7677" w:rsidRDefault="009D7677" w:rsidP="009D7677">
      <w:pPr>
        <w:pStyle w:val="TextoNormal"/>
      </w:pPr>
      <w:r w:rsidRPr="009D7677">
        <w:rPr>
          <w:rStyle w:val="NumeroAFNegritaCaracter"/>
        </w:rPr>
        <w:t>5</w:t>
      </w:r>
      <w:r>
        <w:t xml:space="preserve">. </w:t>
      </w:r>
      <w:r w:rsidRPr="009D7677">
        <w:rPr>
          <w:i/>
        </w:rPr>
        <w:t>La invocación del derecho de reunión (art. 21 CE)</w:t>
      </w:r>
    </w:p>
    <w:p w14:paraId="5980AE90" w14:textId="77777777" w:rsidR="009D7677" w:rsidRDefault="009D7677" w:rsidP="009D7677">
      <w:pPr>
        <w:pStyle w:val="TextoNormal"/>
      </w:pPr>
    </w:p>
    <w:p w14:paraId="375B33BC" w14:textId="77777777" w:rsidR="009D7677" w:rsidRDefault="009D7677" w:rsidP="009D7677">
      <w:pPr>
        <w:pStyle w:val="TextoNormal"/>
      </w:pPr>
      <w:r>
        <w:t xml:space="preserve">a) El demandante invoca el derecho de reunión (art. 21 CE) con fundamento en que su procesamiento y condena se ha producido en el contexto del desarrollo de una protesta ciudadana con la finalidad de generar un desaliento en el ejercicio de este derecho, tanto respecto de él como en relación con el resto de la ciudadanía. También alega que no se ha dado respuesta a esta invocación realizada durante el uso de la última palabra a pesar de </w:t>
      </w:r>
      <w:r>
        <w:lastRenderedPageBreak/>
        <w:t>que hubiera exigido una previa ponderación sobre si la conducta sancionada se ha desarrollado dentro del ámbito propio del ejercicio del derecho de reunión.</w:t>
      </w:r>
    </w:p>
    <w:p w14:paraId="6980D97A" w14:textId="77777777" w:rsidR="009D7677" w:rsidRDefault="009D7677" w:rsidP="009D7677">
      <w:pPr>
        <w:pStyle w:val="TextoNormal"/>
      </w:pPr>
    </w:p>
    <w:p w14:paraId="7B1C780C" w14:textId="77777777" w:rsidR="009D7677" w:rsidRDefault="009D7677" w:rsidP="009D7677">
      <w:pPr>
        <w:pStyle w:val="TextoNormal"/>
      </w:pPr>
      <w:r>
        <w:t>b) El Tribunal ha establecido una reiterada jurisprudencia constitucional en relación con la invocación del derecho de reunión en los supuestos de sentencias condenatorias por ilícitos penales cometidos en el contexto del ejercicio de ese derecho (así, por ejemplo, SSTC 122/2021, de 2 de junio, FJ 9.3; 133/2021, de 24 de junio, FFJJ 4 y 5, y 47/2022, de 24 de marzo, FJ 8.2.1.2.). Dicha jurisprudencia queda concretada en las siguientes ideas nucleares:</w:t>
      </w:r>
    </w:p>
    <w:p w14:paraId="552D578B" w14:textId="77777777" w:rsidR="009D7677" w:rsidRDefault="009D7677" w:rsidP="009D7677">
      <w:pPr>
        <w:pStyle w:val="TextoNormal"/>
      </w:pPr>
    </w:p>
    <w:p w14:paraId="6CFE0F04" w14:textId="77777777" w:rsidR="009D7677" w:rsidRDefault="009D7677" w:rsidP="009D7677">
      <w:pPr>
        <w:pStyle w:val="TextoNormal"/>
      </w:pPr>
      <w:r>
        <w:t>(i) El derecho de reunión es una manifestación colectiva de la libertad de expresión que opera de manera instrumental al servicio del intercambio o exposición de ideas, de defensa de intereses o de publicidad de problemas y reivindicaciones. De ese modo, constituye un cauce del principio democrático participativo que también está intensamente vinculado con el pluralismo político, en tanto que coadyuva a la formación y existencia de la opinión pública, convirtiéndose en una condición previa y necesaria para el ejercicio de otros derechos inherentes al funcionamiento de un sistema democrático como es el derecho de participación política de los ciudadanos.</w:t>
      </w:r>
    </w:p>
    <w:p w14:paraId="468D9B0E" w14:textId="77777777" w:rsidR="009D7677" w:rsidRDefault="009D7677" w:rsidP="009D7677">
      <w:pPr>
        <w:pStyle w:val="TextoNormal"/>
      </w:pPr>
    </w:p>
    <w:p w14:paraId="08651003" w14:textId="77777777" w:rsidR="009D7677" w:rsidRDefault="009D7677" w:rsidP="009D7677">
      <w:pPr>
        <w:pStyle w:val="TextoNormal"/>
      </w:pPr>
      <w:r>
        <w:t>(ii) El derecho de reunión reconocido y protegido por el art. 21 CE es el derecho de reunión pacífica, por lo que quedan excluidas de su ámbito de protección aquellas reuniones o manifestaciones en las que sus organizadores o participantes tengan intenciones violentas, pretendan inducir a otros a ejercerla o, de otra manera, rechacen los fundamentos de una sociedad democrática. A estos efectos, el control sobre el carácter pacífico del ejercicio de este derecho, como requisito constitucional de su protección, puede ser evaluado antes o después de su desarrollo. Por ello, dado que las reuniones y manifestaciones son, en muchas ocasiones, espacios de visibilización de intereses no satisfechos y de reivindicación, la exigencia del carácter pacífico de la reunión sirve también para excluir del ámbito constitucionalmente tutelado las reuniones y manifestaciones durante las que se alcancen de forma generalizada determinados niveles de ejercicio intencional de violencia, en particular, cuando se den excesos agresivos de cierta intensidad contra las personas o los bienes.</w:t>
      </w:r>
    </w:p>
    <w:p w14:paraId="08159A93" w14:textId="77777777" w:rsidR="009D7677" w:rsidRDefault="009D7677" w:rsidP="009D7677">
      <w:pPr>
        <w:pStyle w:val="TextoNormal"/>
      </w:pPr>
    </w:p>
    <w:p w14:paraId="580397D4" w14:textId="77777777" w:rsidR="009D7677" w:rsidRDefault="009D7677" w:rsidP="009D7677">
      <w:pPr>
        <w:pStyle w:val="TextoNormal"/>
      </w:pPr>
      <w:r>
        <w:t>(iii) El derecho de reunión no es un derecho absoluto o ilimitado, sino que, al igual que los demás derechos fundamentales, puede verse sometido a ciertas modulaciones o límites, entre los que se encuentran tanto el específicamente previsto en el propio art. 21.2 CE —alteración del orden público con peligro para personas y bienes—, como aquellos otros que vienen impuestos por la necesidad de evitar que un ejercicio extralimitado del derecho pueda entrar en colisión con otros valores constitucionales.</w:t>
      </w:r>
    </w:p>
    <w:p w14:paraId="04F28EEC" w14:textId="77777777" w:rsidR="009D7677" w:rsidRDefault="009D7677" w:rsidP="009D7677">
      <w:pPr>
        <w:pStyle w:val="TextoNormal"/>
      </w:pPr>
    </w:p>
    <w:p w14:paraId="7484DFEB" w14:textId="77777777" w:rsidR="009D7677" w:rsidRDefault="009D7677" w:rsidP="009D7677">
      <w:pPr>
        <w:pStyle w:val="TextoNormal"/>
      </w:pPr>
      <w:r>
        <w:t xml:space="preserve">(iv) El control a desarrollar en la jurisdicción de amparo, ante la invocación del derecho de reunión en los casos de sentencias condenatorias por conductas ilícitas que se han desarrollado en el contexto del ejercicio de este derecho, implica verificar que se ha ponderado en la resolución impugnada la afectación de este derecho fundamental con la respuesta penal y, a partir de ello, el análisis de los siguientes momentos diferenciados: El primero es la identificación de si la conducta enjuiciada por la finalidad a la que se orienta o por los medios empleados, puede encuadrarse en el ámbito de protección propio de este derecho, al margen de cualquier consideración acerca de si su concreto ejercicio supuso o no </w:t>
      </w:r>
      <w:r>
        <w:lastRenderedPageBreak/>
        <w:t>una extralimitación. Este escrutinio permite identificar y excluir aquellos supuestos en los que la invocación del derecho fundamental se convierte en un mero pretexto o subterfugio para, a su pretendido amparo, cometer actos antijurídicos, lo que puede ocurrir cuando se desnaturaliza el ejercicio del derecho situándose, objetivamente, al margen del contenido propio del mismo. El segundo, de concluirse que la conducta forma parte del ámbito de protección propio del derecho de reunión, implica examinar si la conducta sancionada se sitúa inequívocamente en el ámbito del contenido del derecho y, además, respeta los límites establecidos para su ejercicio, de modo tal que puede ser calificada como ajustada al ejercicio regular del derecho fundamental. En un tercer momento, de concluir que la conducta analizada no es ejercicio plenamente legítimo sino extralimitado del derecho de reunión aducido, todavía resulta obligado determinar si en las circunstancias del caso, la sanción penal, atendida su naturaleza y su extensión, puede ser considerada una reacción proporcionada a las necesidades de protección que la justifican. Esta evaluación se dirige a garantizar que la reacción frente a dicha extralimitación no pueda producir por su severidad un sacrificio innecesario o desproporcionado de la libertad de la que priva o un efecto disuasorio o desalentador del legítimo ejercicio de los derechos fundamentales implicados en la conducta sancionada.</w:t>
      </w:r>
    </w:p>
    <w:p w14:paraId="18E3D54B" w14:textId="77777777" w:rsidR="009D7677" w:rsidRDefault="009D7677" w:rsidP="009D7677">
      <w:pPr>
        <w:pStyle w:val="TextoNormal"/>
      </w:pPr>
    </w:p>
    <w:p w14:paraId="3611CFA2" w14:textId="77777777" w:rsidR="009D7677" w:rsidRDefault="009D7677" w:rsidP="009D7677">
      <w:pPr>
        <w:pStyle w:val="TextoNormal"/>
      </w:pPr>
      <w:r>
        <w:t>c) El Tribunal constata que, como ha sido expuesto en los antecedentes, han quedado acreditados los siguientes antecedentes fácticos en relación con esta invocación del art. 21 CE:</w:t>
      </w:r>
    </w:p>
    <w:p w14:paraId="06A54E4B" w14:textId="77777777" w:rsidR="009D7677" w:rsidRDefault="009D7677" w:rsidP="009D7677">
      <w:pPr>
        <w:pStyle w:val="TextoNormal"/>
      </w:pPr>
    </w:p>
    <w:p w14:paraId="0C56ACE1" w14:textId="77777777" w:rsidR="009D7677" w:rsidRDefault="009D7677" w:rsidP="009D7677">
      <w:pPr>
        <w:pStyle w:val="TextoNormal"/>
      </w:pPr>
      <w:r>
        <w:t>(i) La sentencia impugnada declara hecho probado que la conducta enjuiciada se produjo en el contexto de una concentración de protesta de unas quinientas personas ante la visita de un ministro en la que se estableció un dispositivo de seguridad mediante un vallado trenzado protegido por efectivos policiales. Los concentrados comenzaron a proferir gritos e insultos contra los agentes y contra el citado ministro y en un momento dado arremetieron contra el vallado, lanzando vallas contra los agentes, así como objetos diversos como piedras, botellas de agua y otros. Ello motivó que una unidad policial se situara entre el vallado y los congregados y que, cuando se trataba de mantener la línea de protección, el demandante de amparo desarrolló la conducta enjuiciada de propinar una patada en la rodilla de uno de los agentes resultando también detenidos otros participantes que desarrollaron estas conductas violentas.</w:t>
      </w:r>
    </w:p>
    <w:p w14:paraId="61E2635F" w14:textId="77777777" w:rsidR="009D7677" w:rsidRDefault="009D7677" w:rsidP="009D7677">
      <w:pPr>
        <w:pStyle w:val="TextoNormal"/>
      </w:pPr>
    </w:p>
    <w:p w14:paraId="6C141728" w14:textId="77777777" w:rsidR="009D7677" w:rsidRDefault="009D7677" w:rsidP="009D7677">
      <w:pPr>
        <w:pStyle w:val="TextoNormal"/>
      </w:pPr>
      <w:r>
        <w:t>(ii) La sentencia condenatoria argumenta, en relación con la invocación del derecho de reunión, que la conducta enjuiciada nada tiene que ver con el ejercicio de ese derecho, sino con el empleo de violencia, en el curso de su ejercicio, contra los agentes de la autoridad que se encuentran en el cumplimiento de sus funciones, destacando que la violencia no es inherente al ejercicio de ese derecho y poniendo de manifiesto que numerosas personas hicieron uso de ese derecho en aquella ocasión y solo se practicó la detención de aquellos a quienes se imputaban actos violentos. A esta argumentación se remitió el auto desestimatorio del incidente de nulidad de actuaciones para rechazar la invocación de este derecho realizada en el escrito rector de ese incidente.</w:t>
      </w:r>
    </w:p>
    <w:p w14:paraId="17BEAA16" w14:textId="77777777" w:rsidR="009D7677" w:rsidRDefault="009D7677" w:rsidP="009D7677">
      <w:pPr>
        <w:pStyle w:val="TextoNormal"/>
      </w:pPr>
    </w:p>
    <w:p w14:paraId="0E0689E2" w14:textId="77777777" w:rsidR="009D7677" w:rsidRDefault="009D7677" w:rsidP="009D7677">
      <w:pPr>
        <w:pStyle w:val="TextoNormal"/>
      </w:pPr>
      <w:r>
        <w:t>d) El Tribunal, en atención a estos antecedentes y a la jurisprudencia constitucional expuesta, no aprecia que se haya producido la vulneración aducida del derecho de reunión por las siguientes razones:</w:t>
      </w:r>
    </w:p>
    <w:p w14:paraId="6FEEB38D" w14:textId="77777777" w:rsidR="009D7677" w:rsidRDefault="009D7677" w:rsidP="009D7677">
      <w:pPr>
        <w:pStyle w:val="TextoNormal"/>
      </w:pPr>
    </w:p>
    <w:p w14:paraId="01E51DE4" w14:textId="77777777" w:rsidR="009D7677" w:rsidRDefault="009D7677" w:rsidP="009D7677">
      <w:pPr>
        <w:pStyle w:val="TextoNormal"/>
      </w:pPr>
      <w:r>
        <w:lastRenderedPageBreak/>
        <w:t xml:space="preserve">(i) El Tribunal constata que, tanto la sentencia impugnada como el auto desestimatorio del incidente de nulidad de actuaciones, este último por remisión explicita a la primera, contienen una ponderación expresa sobre la afectación que implicaba en este caso el uso del </w:t>
      </w:r>
      <w:r w:rsidRPr="009D7677">
        <w:rPr>
          <w:i/>
        </w:rPr>
        <w:t>ius puniendi</w:t>
      </w:r>
      <w:r>
        <w:t xml:space="preserve"> para el derecho de reunión del demandante de amparo. Igualmente, el Tribunal advierte que esa ponderación se efectúa dentro de los márgenes de lo establecido en el parámetro de constitucionalidad del derecho de reunión, toda vez que se fundamenta en identificar si la conducta enjuiciada puede encuadrarse en el ámbito de protección de este derecho, lo que es negado atendiendo a que los medios empleados por el recurrente para su ejercicio fueron de carácter violento contra los agentes de la autoridad, que se encontraban en el cumplimiento de sus funciones de protección. Por tanto, el Tribunal debe rechazar la alegación del demandante de amparo de que las resoluciones impugnadas no dieran cumplimiento a la obligación formal que se impone en este tipo de supuesto de invocación del ejercicio de derechos fundamentales ante acusaciones penales de ponderar explícitamente la eventual afectación que el recurso al Derecho penal puede tener sobre los mismos.</w:t>
      </w:r>
    </w:p>
    <w:p w14:paraId="362C2F57" w14:textId="77777777" w:rsidR="009D7677" w:rsidRDefault="009D7677" w:rsidP="009D7677">
      <w:pPr>
        <w:pStyle w:val="TextoNormal"/>
      </w:pPr>
    </w:p>
    <w:p w14:paraId="6A47F096" w14:textId="77777777" w:rsidR="009D7677" w:rsidRDefault="009D7677" w:rsidP="009D7677">
      <w:pPr>
        <w:pStyle w:val="TextoNormal"/>
      </w:pPr>
      <w:r>
        <w:t>(ii) El Tribunal, ya dentro del análisis material sobre la ponderación a efectuar respecto de la invocación del derecho de reunión, no puede apartarse de la realizada en la resolución judicial impugnada, que se comparte plenamente. El conjunto de circunstancias relatadas en la declaración de hechos probados de la resolución impugnada permiten concluir a este tribunal que la conducta enjuiciada, por los medios violentos empleados y por enmarcarse en una dinámica de uso significativo de agresiones físicas a agentes policiales por parte de los participantes en la concentración, no puede encuadrarse en el ámbito de protección propio de este derecho, ya que, se insiste en ello, son solo las reuniones de carácter pacífico las garantizadas por el art. 21 CE. Nota pacífica que, al menos en la conducta desarrollada por algunos de los participantes en la concentración, no se respetó pues, más allá de proferir gritos dirigidos contra los agentes y el ministro cuya visita oficial estaban garantizando, en un momento dado se arremetió contra el vallado, lanzando las propias vallas contra los agentes, así como otros objetos contundentes motivando la actuación de una unidad policial para mantener la línea de protección, uno de cuyos agentes fue el objeto de la conducta agresiva objeto de la condena.</w:t>
      </w:r>
    </w:p>
    <w:p w14:paraId="58D26BD8" w14:textId="77777777" w:rsidR="009D7677" w:rsidRDefault="009D7677" w:rsidP="009D7677">
      <w:pPr>
        <w:pStyle w:val="TextoNormal"/>
      </w:pPr>
    </w:p>
    <w:p w14:paraId="190C590C" w14:textId="5D3485F5" w:rsidR="009D7677" w:rsidRDefault="009D7677" w:rsidP="009D7677">
      <w:pPr>
        <w:pStyle w:val="TextoNormal"/>
      </w:pPr>
      <w:r>
        <w:t>La jurisprudencia constitucional ha sido concluyente en afirmar que, en supuesto como el presente, en que se recurre a la violencia contra bienes o contra personas en el marco de una manifestación o concentración pública, la invocación del derecho fundamental de reunión solo puede ser entendida como un mero pretexto o subterfugio de esos actos antijurídicos. Por lo tanto, la conducta sancionada no solo no puede ser considerada un acto legítimo u ordinario de ejercicio del derecho de reunión sino tan siquiera un supuesto de ejercicio extralimitado del mismo que precise de un ulterior análisis por parte del Tribunal sobre si la intervención del orden jurisdiccional penal, atendida la naturaleza y extensión de la sanción impuesta, pudiera ser considerada desde la perspectiva de este derecho una reacción desproporcionada o con un efecto disuasorio o desalentador de su ejercicio.</w:t>
      </w:r>
    </w:p>
    <w:p w14:paraId="0660B421" w14:textId="77777777" w:rsidR="009D7677" w:rsidRDefault="009D7677" w:rsidP="009D7677">
      <w:pPr>
        <w:pStyle w:val="TextoNormal"/>
      </w:pPr>
    </w:p>
    <w:p w14:paraId="550C8D06" w14:textId="77777777" w:rsidR="009D7677" w:rsidRDefault="009D7677" w:rsidP="009D7677">
      <w:pPr>
        <w:pStyle w:val="TextoNormal"/>
      </w:pPr>
      <w:r w:rsidRPr="009D7677">
        <w:rPr>
          <w:rStyle w:val="NumeroAFNegritaCaracter"/>
        </w:rPr>
        <w:t>6</w:t>
      </w:r>
      <w:r>
        <w:t xml:space="preserve">. </w:t>
      </w:r>
      <w:r w:rsidRPr="009D7677">
        <w:rPr>
          <w:i/>
        </w:rPr>
        <w:t>La invocación del derecho a la legalidad penal (art. 25.1 CE), desde la perspectiva del principio de prohibición de interpretación extensiva o analógica de los preceptos sancionadores</w:t>
      </w:r>
    </w:p>
    <w:p w14:paraId="3AA4E247" w14:textId="77777777" w:rsidR="009D7677" w:rsidRDefault="009D7677" w:rsidP="009D7677">
      <w:pPr>
        <w:pStyle w:val="TextoNormal"/>
      </w:pPr>
    </w:p>
    <w:p w14:paraId="51D44849" w14:textId="77777777" w:rsidR="009D7677" w:rsidRDefault="009D7677" w:rsidP="009D7677">
      <w:pPr>
        <w:pStyle w:val="TextoNormal"/>
      </w:pPr>
      <w:r>
        <w:lastRenderedPageBreak/>
        <w:t xml:space="preserve">a) El demandante de amparo invoca el derecho a la legalidad penal (art. 25.1 CE) con fundamento en que la sentencia impugnada aplicó unas consecuencias jurídicas no previstas en el ordenamiento jurídico ni previsibles en su interpretación y aplicación. Se afirma que la decisión judicial de considerar que la pena de multa que sustituye a la pena de prisión en aplicación del art. 71.2 CP no es una pena autónoma —y, por tanto, que pervive tanto la pena accesoria a la de prisión de inhabilitación especial para el derecho de sufragio pasivo como aquellas consecuencias extrapenales derivadas de la pena privativa de libertad— carece de cobertura legal y supone una imprevisible interpretación analógica </w:t>
      </w:r>
      <w:r w:rsidRPr="009D7677">
        <w:rPr>
          <w:i/>
        </w:rPr>
        <w:t>in malam partem</w:t>
      </w:r>
      <w:r>
        <w:t xml:space="preserve"> lesiva del derecho a la legalidad penal que, además, se ha producido a partir de un cambio de la jurisprudencia en la materia establecida en las SSTS 528/2018, de 5 de noviembre, y 683/2019, de 29 de enero de 2020.</w:t>
      </w:r>
    </w:p>
    <w:p w14:paraId="2B33893C" w14:textId="77777777" w:rsidR="009D7677" w:rsidRDefault="009D7677" w:rsidP="009D7677">
      <w:pPr>
        <w:pStyle w:val="TextoNormal"/>
      </w:pPr>
    </w:p>
    <w:p w14:paraId="6D666E49" w14:textId="77777777" w:rsidR="009D7677" w:rsidRDefault="009D7677" w:rsidP="009D7677">
      <w:pPr>
        <w:pStyle w:val="TextoNormal"/>
      </w:pPr>
      <w:r>
        <w:t xml:space="preserve">b) La jurisprudencia constitucional ha establecido que el derecho a la legalidad sancionadora, que implica que nadie puede ser condenado por acciones u omisiones que no constituyan delito o falta según la legislación vigente en el momento de tales conductas (art. 25.1 CE), incluye una garantía material que se concreta en un mandato de certeza o taxatividad que, entre otros extremos, prohíbe al aplicador del derecho hacer una interpretación extensiva o el uso de la analogía </w:t>
      </w:r>
      <w:r w:rsidRPr="009D7677">
        <w:rPr>
          <w:i/>
        </w:rPr>
        <w:t>in malam partem</w:t>
      </w:r>
      <w:r>
        <w:t xml:space="preserve"> de la normativa sancionadora, que se proyecta también sobre la determinación de sus consecuencias jurídicas. Esta jurisprudencia, expuesta, por ejemplo, en las SSTC 129/2008, de 27 de octubre, FJ 3; 78/2021, de 19 de abril, FJ 5; 91/2021, de 22 de abril, FJ 11; 133/2021, de 24 de junio, FJ 6 B), y 25/2022, de 23 de febrero, FJ 7.2, puede resumirse en los siguientes aspectos nucleares:</w:t>
      </w:r>
    </w:p>
    <w:p w14:paraId="148516C2" w14:textId="77777777" w:rsidR="009D7677" w:rsidRDefault="009D7677" w:rsidP="009D7677">
      <w:pPr>
        <w:pStyle w:val="TextoNormal"/>
      </w:pPr>
    </w:p>
    <w:p w14:paraId="467C7CB5" w14:textId="77777777" w:rsidR="009D7677" w:rsidRDefault="009D7677" w:rsidP="009D7677">
      <w:pPr>
        <w:pStyle w:val="TextoNormal"/>
      </w:pPr>
      <w:r>
        <w:t>(i) El derecho a la legalidad sancionadora se quiebra cuando la conducta enjuiciada, ya delimitada como probada, es subsumida por el órgano de enjuiciamiento de un modo irrazonable en el tipo penal que resulta aplicado bien por la interpretación que se realiza de la norma bien por la operación de subsunción en sí. En estos supuestos la condena resulta sorpresiva para su destinatario y la intervención penal resulta contraria al valor de la seguridad jurídica en tanto que se trataría de una decisión judicial que rompe el monopolio legislativo en la definición de las conductas delictivas.</w:t>
      </w:r>
    </w:p>
    <w:p w14:paraId="2B4D055E" w14:textId="77777777" w:rsidR="009D7677" w:rsidRDefault="009D7677" w:rsidP="009D7677">
      <w:pPr>
        <w:pStyle w:val="TextoNormal"/>
      </w:pPr>
    </w:p>
    <w:p w14:paraId="7BBFFEA0" w14:textId="77777777" w:rsidR="009D7677" w:rsidRDefault="009D7677" w:rsidP="009D7677">
      <w:pPr>
        <w:pStyle w:val="TextoNormal"/>
      </w:pPr>
      <w:r>
        <w:t xml:space="preserve">(ii) La labor de interpretación y subsunción de los hechos probados en la norma sancionadora debe tomar como presupuestos, por una parte, que el legislador expresa el mensaje normativo con palabras y con palabras es conocido por sus destinatarios; y, por otro, que el lenguaje es relativamente vago y versátil, las normas son necesariamente abstractas y se remiten implícitamente a una realidad normativa subyacente, y dentro de ciertos límites el propio legislador puede potenciar esa labilidad para facilitar la adaptación de la norma a la realidad. En atención a ello, la seguridad jurídica y el respeto a las opciones legislativas de sanción de conductas sitúan la validez constitucional de la aplicación de las normas sancionadoras desde el prisma del principio de legalidad tanto en su respeto al tenor literal del enunciado normativo, que marca en todo caso una zona indudable de exclusión de comportamientos, como en su razonabilidad. Esta razonabilidad debe ser analizada desde las pautas axiológicas que informan el texto constitucional y desde modelos de argumentación aceptados por la propia comunidad jurídica, de modo que son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w:t>
      </w:r>
      <w:r>
        <w:lastRenderedPageBreak/>
        <w:t>destinatarios (SSTC 137/1997, de 21 de julio, FJ 7, y 151/1997, de 29 de septiembre, FJ 4).</w:t>
      </w:r>
    </w:p>
    <w:p w14:paraId="5C9B62D9" w14:textId="77777777" w:rsidR="009D7677" w:rsidRDefault="009D7677" w:rsidP="009D7677">
      <w:pPr>
        <w:pStyle w:val="TextoNormal"/>
      </w:pPr>
    </w:p>
    <w:p w14:paraId="61FAABD4" w14:textId="77777777" w:rsidR="009D7677" w:rsidRDefault="009D7677" w:rsidP="009D7677">
      <w:pPr>
        <w:pStyle w:val="TextoNormal"/>
      </w:pPr>
      <w:r>
        <w:t>(iii) El control a desarrollar por la jurisdicción de amparo ante la invocación del derecho a la legalidad sancionadora desde la perspectiva expuesta no permite a este tribunal sustituir a los órganos judiciales en el ejercicio de la función de interpretar y subsumir los hechos en las normas, pues se trata de una labor que corresponde en exclusiva a los jueces y tribunales ordinarios, conforme a lo establecido en el art. 117.3 CE. Por tanto, no compete a este tribunal la determinación de la interpretación última, en cuanto más correcta, de un enunciado penal, ni siquiera desde los parámetros que delimitan los valores y principios constitucionales. Tampoco le compete la demarcación de las interpretaciones posibles de tal enunciado. La labor de control a desarrollar en la jurisdicción de amparo queda limitada, desde la perspectiva externa que le es propia, a evaluar la sostenibilidad constitucional de la concreta interpretación llevada a cabo por los órganos judiciales, referida al respeto a los valores de la seguridad jurídica y de la autoría parlamentaria de la definición de los delitos y las penas, que se traducen en la razonabilidad semántica, metodológica y axiológica de la interpretación judicial de la norma y de la subsunción legal de los hechos en la misma. De ese modo, tampoco procede auspiciar alternativas interpretativas a la sustentada por el tribunal sentenciador, incluso si se considerasen más adecuadas o de mayor fuste.</w:t>
      </w:r>
    </w:p>
    <w:p w14:paraId="2C9E6F77" w14:textId="77777777" w:rsidR="009D7677" w:rsidRDefault="009D7677" w:rsidP="009D7677">
      <w:pPr>
        <w:pStyle w:val="TextoNormal"/>
      </w:pPr>
    </w:p>
    <w:p w14:paraId="52A733CF" w14:textId="77777777" w:rsidR="009D7677" w:rsidRDefault="009D7677" w:rsidP="009D7677">
      <w:pPr>
        <w:pStyle w:val="TextoNormal"/>
      </w:pPr>
      <w:r>
        <w:t>c) El Tribunal constata que, como ha sido expuesto en los antecedentes, han quedado acreditados los siguientes antecedentes fácticos en relación con esta invocación del art. 25.1 CE:</w:t>
      </w:r>
    </w:p>
    <w:p w14:paraId="5F9C0417" w14:textId="77777777" w:rsidR="009D7677" w:rsidRDefault="009D7677" w:rsidP="009D7677">
      <w:pPr>
        <w:pStyle w:val="TextoNormal"/>
      </w:pPr>
    </w:p>
    <w:p w14:paraId="162E36F8" w14:textId="77777777" w:rsidR="009D7677" w:rsidRDefault="009D7677" w:rsidP="009D7677">
      <w:pPr>
        <w:pStyle w:val="TextoNormal"/>
      </w:pPr>
      <w:r>
        <w:t>(i) La sentencia impugnada condena al demandante de amparo como autor de un delito de atentado a agentes de la autoridad (art. 550.1 y 2 CP, en la redacción dada por la Ley Orgánica 1/2015, que impone en abstracto una pena de prisión de seis meses a tres años) con la atenuante muy cualificada de dilaciones indebidas a la pena de un mes y quince días de prisión (art. 21.6 CP, en relación con el art. 66.2 CP, que implicó la rebaja de la pena de prisión en dos grados), con la accesoria de inhabilitación especial para el derecho de sufragio pasivo durante el tiempo de la condena (art. 56.1.2 CP, que establece la obligación de determinadas consecuencias accesorias, entre ellas esta, en el caso de la imposición de penas de prisión inferiores a diez años). En ese sentido, el apartado primero del fallo contempla, en primer lugar, que la pena impuesta es la de prisión de un mes y quince días con la accesoria de inhabilitación especial para el derecho de sufragio pasivo durante el tiempo de la condena y, en segundo lugar, que se sustituye la pena de prisión por la pena de multa de noventa días con cuota diaria de seis euros (art. 71.2 CP, que establece que cuando en atención a las reglas generales para la aplicación de las penas proceda imponer una pena de prisión inferior a tres meses, esta será en todo caso sustituida, entre otras penas posibles, por la de multa).</w:t>
      </w:r>
    </w:p>
    <w:p w14:paraId="3792E66D" w14:textId="77777777" w:rsidR="009D7677" w:rsidRDefault="009D7677" w:rsidP="009D7677">
      <w:pPr>
        <w:pStyle w:val="TextoNormal"/>
      </w:pPr>
    </w:p>
    <w:p w14:paraId="4525B894" w14:textId="77777777" w:rsidR="009D7677" w:rsidRDefault="009D7677" w:rsidP="009D7677">
      <w:pPr>
        <w:pStyle w:val="TextoNormal"/>
      </w:pPr>
      <w:r>
        <w:t xml:space="preserve">(ii) La sentencia impugnada razona que la sustitución de la pena de prisión no afecta a la pena accesoria a esta, ya que (a) el art. 71.1 CP prevé la reducción de todas las penas, sin excluir las accesorias, de manera que los jueces o tribunales, en la determinación de la pena inferior en grado, no quedan limitados por las cuantías mínimas establecidas en la ley a cada clase de pena; (b) el art. 71.2 CP solo ordena la sustitución de la pena de prisión; y </w:t>
      </w:r>
      <w:r>
        <w:lastRenderedPageBreak/>
        <w:t>(c) las penas accesorias son una consecuencia de la imposición de la pena de prisión y no de su efectiva ejecución (fundamento de Derecho octavo).</w:t>
      </w:r>
    </w:p>
    <w:p w14:paraId="147FB8F1" w14:textId="77777777" w:rsidR="009D7677" w:rsidRDefault="009D7677" w:rsidP="009D7677">
      <w:pPr>
        <w:pStyle w:val="TextoNormal"/>
      </w:pPr>
    </w:p>
    <w:p w14:paraId="28A11C98" w14:textId="77777777" w:rsidR="009D7677" w:rsidRDefault="009D7677" w:rsidP="009D7677">
      <w:pPr>
        <w:pStyle w:val="TextoNormal"/>
      </w:pPr>
      <w:r>
        <w:t>(iii) El auto desestimatorio del incidente de nulidad de actuaciones rechaza que la necesidad del mantenimiento de todas las consecuencias jurídicas asociadas a la imposición de una pena de prisión, aunque esta hubiera sido sustituida por la de multa, vulnere el art. 25.1 CE. Así, se insiste, en relación con la imposición de la pena accesoria de inhabilitación especial para el derecho de sufragio pasivo durante el tiempo de la condena, en que (a) la regla del art. 71 CP, si bien está entre las normas de aplicación de la pena, también en estas hay previsiones relativas a la sustitución de penas; (b) el art. 71.2 CP no establece que la pena sustituta sea una pena distinta a la sustituida y su extensión, además, se fija por referencia a la sustituida y con la finalidad de evitar la ejecución de una pena corta privativa de libertad; y (c) el art. 71.1 CP es el que habilita la imposición de la pena de prisión por debajo de los tres meses aunque posteriormente imponga su sustitución, en coherencia con ello, la pena accesoria no desaparece como consecuencia de la sustitución de la principal como tampoco lo es como consecuencia de su suspensión o su indulto.</w:t>
      </w:r>
    </w:p>
    <w:p w14:paraId="7A5FA928" w14:textId="77777777" w:rsidR="009D7677" w:rsidRDefault="009D7677" w:rsidP="009D7677">
      <w:pPr>
        <w:pStyle w:val="TextoNormal"/>
      </w:pPr>
    </w:p>
    <w:p w14:paraId="6E87B841" w14:textId="77777777" w:rsidR="009D7677" w:rsidRDefault="009D7677" w:rsidP="009D7677">
      <w:pPr>
        <w:pStyle w:val="TextoNormal"/>
      </w:pPr>
      <w:r>
        <w:t>d) El Tribunal, en atención a estos antecedentes y a la jurisprudencia constitucional expuesta, considera necesario hacer las siguientes consideraciones previas en relación con la invocación de este derecho:</w:t>
      </w:r>
    </w:p>
    <w:p w14:paraId="12A869EC" w14:textId="77777777" w:rsidR="009D7677" w:rsidRDefault="009D7677" w:rsidP="009D7677">
      <w:pPr>
        <w:pStyle w:val="TextoNormal"/>
      </w:pPr>
    </w:p>
    <w:p w14:paraId="7633B5CE" w14:textId="77777777" w:rsidR="009D7677" w:rsidRDefault="009D7677" w:rsidP="009D7677">
      <w:pPr>
        <w:pStyle w:val="TextoNormal"/>
      </w:pPr>
      <w:r>
        <w:t>(i) El Tribunal advierte que el demandante de amparo tanto en la vía judicial previa como en el actual procedimiento de amparo se ha esforzado en plantear una posible interpretación alternativa a la sustentada en las resoluciones impugnadas conforme a la cual la decisión legislativa de obligar a la sustitución de las penas privativas de libertad inferiores a los tres meses por otras implica la completa extinción de la pena sustituida y de los efectos y consecuencias que le son inherentes para que la pena sustituida pueda desplegar sus efectos y consecuencias de forma autónoma e independiente.</w:t>
      </w:r>
    </w:p>
    <w:p w14:paraId="00EE2D01" w14:textId="77777777" w:rsidR="009D7677" w:rsidRDefault="009D7677" w:rsidP="009D7677">
      <w:pPr>
        <w:pStyle w:val="TextoNormal"/>
      </w:pPr>
    </w:p>
    <w:p w14:paraId="083F9748" w14:textId="77777777" w:rsidR="009D7677" w:rsidRDefault="009D7677" w:rsidP="009D7677">
      <w:pPr>
        <w:pStyle w:val="TextoNormal"/>
      </w:pPr>
      <w:r>
        <w:t>El Tribunal ya ha incidido anteriormente en que la labor de control que le compete desarrollar en la jurisdicción de amparo bajo la invocación del derecho a la legalidad penal, desde esta perspectiva material de la prohibición de interpretaciones extensivas o analógicas, es externa y está limitada a evaluar la previsibilidad de la concreta interpretación llevada a cabo por los órganos judiciales. En este concreto y exclusivo marco, el Tribunal reitera que no resulta procedente que entre a valorar la adecuación a derecho o la mayor o menor solidez de posibles alternativas interpretativas a la concretamente sustentada por el tribunal sentenciador, que es el exclusivo objeto de análisis de este recurso de amparo.</w:t>
      </w:r>
    </w:p>
    <w:p w14:paraId="05450949" w14:textId="77777777" w:rsidR="009D7677" w:rsidRDefault="009D7677" w:rsidP="009D7677">
      <w:pPr>
        <w:pStyle w:val="TextoNormal"/>
      </w:pPr>
    </w:p>
    <w:p w14:paraId="7DB658B6" w14:textId="77777777" w:rsidR="009D7677" w:rsidRDefault="009D7677" w:rsidP="009D7677">
      <w:pPr>
        <w:pStyle w:val="TextoNormal"/>
      </w:pPr>
      <w:r>
        <w:t>(ii) El Tribunal constata que tanto la sentencia condenatoria como el auto desestimatorio del incidente de nulidad de actuaciones se han extendido en exponer, a partir de la regulación legal establecida al efecto, diversos criterios interpretativos para sustentar la conclusión de que, conforme a la regulación legal aplicable en los supuestos como el presente en que es obligada la sustitución de una pena de prisión que resulte inferior a los tres meses como consecuencia de la aplicación general de las reglas de determinación de la pena, dicha sustitución alcanza estrictamente a la propia pena de prisión pero no a las eventuales consecuencias jurídicas accesorias o vinculadas a ella.</w:t>
      </w:r>
    </w:p>
    <w:p w14:paraId="6F2D56EE" w14:textId="77777777" w:rsidR="009D7677" w:rsidRDefault="009D7677" w:rsidP="009D7677">
      <w:pPr>
        <w:pStyle w:val="TextoNormal"/>
      </w:pPr>
    </w:p>
    <w:p w14:paraId="1E7A9DB9" w14:textId="77777777" w:rsidR="009D7677" w:rsidRDefault="009D7677" w:rsidP="009D7677">
      <w:pPr>
        <w:pStyle w:val="TextoNormal"/>
      </w:pPr>
      <w:r>
        <w:lastRenderedPageBreak/>
        <w:t>Por tanto, ningún reproche constitucional puede hacerse a las decisiones impugnadas desde la exigencia formal de que se expongan de forma argumentada los criterios interpretativos y subsuntivos de la normativa penal aplicable al caso.</w:t>
      </w:r>
    </w:p>
    <w:p w14:paraId="10B6249E" w14:textId="77777777" w:rsidR="009D7677" w:rsidRDefault="009D7677" w:rsidP="009D7677">
      <w:pPr>
        <w:pStyle w:val="TextoNormal"/>
      </w:pPr>
    </w:p>
    <w:p w14:paraId="4A48FF73" w14:textId="77777777" w:rsidR="009D7677" w:rsidRDefault="009D7677" w:rsidP="009D7677">
      <w:pPr>
        <w:pStyle w:val="TextoNormal"/>
      </w:pPr>
      <w:r>
        <w:t>(iii) El Tribunal, por otra parte, no puede entender acreditada la alegación del demandante de amparo de que esta interpretación quiebra con la existencia de pronunciamientos judiciales precedentes, que incidirían en una eventual falta de previsibilidad de la subsunción efectuada. El Tribunal, tras analizar las resoluciones judiciales aportadas por el demandante de amparo como contraste —SSTS 528/2018, de 5 de noviembre, y 683/2019, de 29 de enero—, verifica que en ninguna de ellas se contiene un proceso argumental o pronunciamiento expreso sobre el particular del que deducir que podría haberse generado en la comunidad jurídica y la ciudadanía una expectativa legítima respecto del mantenimiento de una determinada interpretación del derecho.</w:t>
      </w:r>
    </w:p>
    <w:p w14:paraId="6381658E" w14:textId="77777777" w:rsidR="009D7677" w:rsidRDefault="009D7677" w:rsidP="009D7677">
      <w:pPr>
        <w:pStyle w:val="TextoNormal"/>
      </w:pPr>
    </w:p>
    <w:p w14:paraId="44AC01E7" w14:textId="77777777" w:rsidR="009D7677" w:rsidRDefault="009D7677" w:rsidP="009D7677">
      <w:pPr>
        <w:pStyle w:val="TextoNormal"/>
      </w:pPr>
      <w:r>
        <w:t>e) El Tribunal, no obstante, concluye, en atención a los antecedentes y a la jurisprudencia constitucional expuesta, que se ha vulnerado el derecho a la legalidad penal (art. 25.1 CE), desde la perspectiva del principio de prohibición de interpretación extensiva o analógica de los preceptos sancionadores, por las razones siguientes:</w:t>
      </w:r>
    </w:p>
    <w:p w14:paraId="2FAD9333" w14:textId="77777777" w:rsidR="009D7677" w:rsidRDefault="009D7677" w:rsidP="009D7677">
      <w:pPr>
        <w:pStyle w:val="TextoNormal"/>
      </w:pPr>
    </w:p>
    <w:p w14:paraId="576EBB73" w14:textId="77777777" w:rsidR="009D7677" w:rsidRDefault="009D7677" w:rsidP="009D7677">
      <w:pPr>
        <w:pStyle w:val="TextoNormal"/>
      </w:pPr>
      <w:r>
        <w:t>(i) El parámetro constitucional de control de este derecho, en los términos expuestos, aparece referido tanto al soporte metodológico de la interpretación —lo que prohíbe una argumentación ilógica o indiscutiblemente extravagante— como al axiológico —lo que prohíbe el uso de bases valorativas ajenas a los criterios que informan el ordenamiento constitucional— de modo que con cualquiera de ellos se llegue a soluciones esencialmente opuestas a la orientación material de la norma, que es lo que determinaría, en última instancia, la imprevisibilidad en la aplicación del derecho para los ciudadanos destinatarios de las normas sancionadoras.</w:t>
      </w:r>
    </w:p>
    <w:p w14:paraId="57B9ECDD" w14:textId="77777777" w:rsidR="009D7677" w:rsidRDefault="009D7677" w:rsidP="009D7677">
      <w:pPr>
        <w:pStyle w:val="TextoNormal"/>
      </w:pPr>
    </w:p>
    <w:p w14:paraId="796FBCAC" w14:textId="77777777" w:rsidR="009D7677" w:rsidRDefault="009D7677" w:rsidP="009D7677">
      <w:pPr>
        <w:pStyle w:val="TextoNormal"/>
      </w:pPr>
      <w:r>
        <w:t>(ii) El Tribunal reconoce que en las resoluciones impugnadas se ha utilizado una amplia panoplia de criterios tanto de carácter lingüístico —el art. 71.2 CP limita la sustitución estrictamente a la pena de prisión omitiendo cualquier referencia a eventuales consecuencias accesorias o vinculadas— como sistemático —las penas accesorias son una consecuencia de la imposición de la pena de prisión y no de su efectiva ejecución; la existencia de reglas sobre sustitución de las penas entre las normas de aplicación de la pena; y la suspensión de la pena privativa de libertad o el indulto no alcanzan tampoco a eventuales consecuencias accesorias o vinculadas—. También se incluyen consideraciones axiológicas como son que la comisión de un delito sancionado en abstracto con una pena de prisión puede producir legítimamente consecuencias jurídicas accesorias o vinculadas a ella.</w:t>
      </w:r>
    </w:p>
    <w:p w14:paraId="5410BCB8" w14:textId="77777777" w:rsidR="009D7677" w:rsidRDefault="009D7677" w:rsidP="009D7677">
      <w:pPr>
        <w:pStyle w:val="TextoNormal"/>
      </w:pPr>
    </w:p>
    <w:p w14:paraId="5B9983A7" w14:textId="77777777" w:rsidR="009D7677" w:rsidRDefault="009D7677" w:rsidP="009D7677">
      <w:pPr>
        <w:pStyle w:val="TextoNormal"/>
      </w:pPr>
      <w:r>
        <w:t xml:space="preserve">Desde la perspectiva del control externo que corresponde desarrollar al Tribunal, ningún reproche cabe hacer respecto del soporte metodológico seguido en esta interpretación, toda vez que los criterios utilizados son plenamente admitidos y reconocidos por la comunidad jurídica como reglas interpretativas del ordenamiento jurídico sancionador, por lo que su resultado no puede ser calificado como irrazonable, ilógico o extravagante. Ahora bien, el Tribunal también aprecia que tanto la literalidad de la normativa penal como las consideraciones sistemáticas utilizadas no son inequívocas en relación con que resulte indefectible la pervivencia de las penas de prisión inferiores a los tres meses y el mantener las consecuencias accesorias vinculadas con la original naturaleza de prisión de la pena </w:t>
      </w:r>
      <w:r>
        <w:lastRenderedPageBreak/>
        <w:t>sustituida. En este contexto de ambigüedad interpretativa, resulta de especial relevancia para el Tribunal atender de manera prioritaria al análisis del soporte axiológico para verificar si las bases valorativas utilizadas se han desarrollado dentro de los criterios que informan el ordenamiento constitucional, de modo que no se haya llegado a soluciones esencialmente opuestas a la orientación material de la norma y, por tanto, imprevisibles.</w:t>
      </w:r>
    </w:p>
    <w:p w14:paraId="153F0974" w14:textId="77777777" w:rsidR="009D7677" w:rsidRDefault="009D7677" w:rsidP="009D7677">
      <w:pPr>
        <w:pStyle w:val="TextoNormal"/>
      </w:pPr>
    </w:p>
    <w:p w14:paraId="414AED7B" w14:textId="77777777" w:rsidR="009D7677" w:rsidRDefault="009D7677" w:rsidP="009D7677">
      <w:pPr>
        <w:pStyle w:val="TextoNormal"/>
      </w:pPr>
      <w:r>
        <w:t>(iii) El Tribunal constata que, más allá de las consideraciones metodológicas antes expuestas, las resoluciones impugnadas han hecho especial incidencia desde una perspectiva axiológica en la idea de que la comisión de un delito sancionado en abstracto con una pena de prisión puede producir legítimamente consecuencias jurídicas accesorias o vinculadas a ella, a pesar de la obligación legal de su sustitución por penas que no sean las de prisión. El Tribunal estima que estas consideraciones no se desenvuelven dentro de las bases valorativas constitucionales referidas a la exigencia de proporcionalidad en la intervención penal.</w:t>
      </w:r>
    </w:p>
    <w:p w14:paraId="7FAAFDFD" w14:textId="77777777" w:rsidR="009D7677" w:rsidRDefault="009D7677" w:rsidP="009D7677">
      <w:pPr>
        <w:pStyle w:val="TextoNormal"/>
      </w:pPr>
    </w:p>
    <w:p w14:paraId="51863939" w14:textId="77777777" w:rsidR="009D7677" w:rsidRDefault="009D7677" w:rsidP="009D7677">
      <w:pPr>
        <w:pStyle w:val="TextoNormal"/>
      </w:pPr>
      <w:r>
        <w:t>El Tribunal ha reiterado en las recientes SSTC 121/2021, de 2 de junio, FJ 12.1 E), y 122/2021, de 2 de junio, FJ 10.1 E), algunas ideas esenciales ya expuestas en la STC 136/1999, de 20 de julio, FJ 23, sobre la delimitación del alcance de la exigencia de proporcionalidad en relación con la naturaleza y extensión de la pena, que pueden resumirse en los siguientes aspectos:</w:t>
      </w:r>
    </w:p>
    <w:p w14:paraId="4100187B" w14:textId="77777777" w:rsidR="009D7677" w:rsidRDefault="009D7677" w:rsidP="009D7677">
      <w:pPr>
        <w:pStyle w:val="TextoNormal"/>
      </w:pPr>
    </w:p>
    <w:p w14:paraId="48CCAB31" w14:textId="77777777" w:rsidR="009D7677" w:rsidRDefault="009D7677" w:rsidP="009D7677">
      <w:pPr>
        <w:pStyle w:val="TextoNormal"/>
      </w:pPr>
      <w:r>
        <w:t>(a) El principio de proporcionalidad puede ser inferido de diversos preceptos constitucionales (arts. 1.1, 9.3 y 10.1 CE). Se trata de un criterio de interpretación que no constituye en nuestro ordenamiento un canon de constitucionalidad autónomo cuya alegación pueda producirse de forma aislada, esto es, sin referencia a otros preceptos constitucionales. El ámbito en el que normalmente y de forma muy particular resulta aplicable es el de los derechos fundamentales, donde constituye una regla de interpretación que, por su mismo contenido, se erige en límite de toda injerencia estatal, incorporando, incluso frente a la ley, exigencias positivas y negativas; pudiendo dar lugar a un enjuiciamiento desde la perspectiva constitucional cuando esa falta de proporción implica un sacrificio excesivo e innecesario de los derechos que la Constitución garantiza. De ese modo, tanto la configuración legislativa de las limitaciones de los derechos fundamentales, como su aplicación judicial o administrativa concreta, han de quedar reducidas a las que se hallen dirigidas a un fin constitucionalmente legítimo que pueda justificarlas, en el sentido de que suponga un sacrificio del derecho fundamental estrictamente necesario para conseguirlo y resulte proporcionado a ese fin legítimo.</w:t>
      </w:r>
    </w:p>
    <w:p w14:paraId="46624FE4" w14:textId="77777777" w:rsidR="009D7677" w:rsidRDefault="009D7677" w:rsidP="009D7677">
      <w:pPr>
        <w:pStyle w:val="TextoNormal"/>
      </w:pPr>
    </w:p>
    <w:p w14:paraId="2D5AF137" w14:textId="77777777" w:rsidR="009D7677" w:rsidRDefault="009D7677" w:rsidP="009D7677">
      <w:pPr>
        <w:pStyle w:val="TextoNormal"/>
      </w:pPr>
      <w:r>
        <w:t>(b) El juicio de proporcionalidad en materia penal, respecto a la cantidad y calidad de la pena, parte de la potestad exclusiva del legislador y de su amplio margen de libertad para configurar los bienes penalmente protegidos, los comportamientos penalmente reprensibles, el tipo y la cuantía de las sanciones penales, y la proporción entre las conductas que pretende evitar y las penas con las que intenta conseguirlo. Por tanto, el juicio que procede realizar en sede de amparo, en protección de los derechos fundamentales, queda limitado a verificar que la norma penal no produzca un patente derroche inútil de coacción que convierte la norma en arbitraria y que socava los principios elementales de justicia inherentes a la dignidad de la persona y al Estado de Derecho o una actividad pública arbitraria y no respetuosa con la dignidad de la persona y, con ello, de los derechos y libertades fundamentales de la misma. Así, desde la perspectiva constitucional, solo cabrá calificar la reac</w:t>
      </w:r>
      <w:r>
        <w:lastRenderedPageBreak/>
        <w:t>ción penal como estrictamente desproporcionada cuando concurra un desequilibrio patente y excesivo o irrazonable entre la sanción y la finalidad de la norma a partir de las pautas axiológicas constitucionalmente indiscutibles y de su concreción en la propia actividad legislativa.</w:t>
      </w:r>
    </w:p>
    <w:p w14:paraId="1EAE6AD7" w14:textId="77777777" w:rsidR="009D7677" w:rsidRDefault="009D7677" w:rsidP="009D7677">
      <w:pPr>
        <w:pStyle w:val="TextoNormal"/>
      </w:pPr>
    </w:p>
    <w:p w14:paraId="648B6F1A" w14:textId="77777777" w:rsidR="009D7677" w:rsidRDefault="009D7677" w:rsidP="009D7677">
      <w:pPr>
        <w:pStyle w:val="TextoNormal"/>
      </w:pPr>
      <w:r>
        <w:t>(iv) El Tribunal, en la función de analizar si la interpretación controvertida del art. 71 CP ha respetado el soporte axiológico impuesto por el principio de proporcionalidad y la orientación material de dicha norma, constata lo siguiente:</w:t>
      </w:r>
    </w:p>
    <w:p w14:paraId="200B4B29" w14:textId="77777777" w:rsidR="009D7677" w:rsidRDefault="009D7677" w:rsidP="009D7677">
      <w:pPr>
        <w:pStyle w:val="TextoNormal"/>
      </w:pPr>
    </w:p>
    <w:p w14:paraId="4EF495D6" w14:textId="77777777" w:rsidR="009D7677" w:rsidRDefault="009D7677" w:rsidP="009D7677">
      <w:pPr>
        <w:pStyle w:val="TextoNormal"/>
      </w:pPr>
      <w:r>
        <w:t>(a) La normativa penal dispone la sanción de las conductas punibles adecuando la calidad y cantidad de la respuesta penal, en términos de privación, limitación o restricción de los derechos afectados por la pena. A esos efectos, el art. 33 CP hace una ordenación de las sanciones penales en atención a su naturaleza y duración de modo tal que en la cúspide siempre se sitúan las penas privativas de libertad —entre ellas la prisión— y en los últimos lugares las sanciones pecuniarias, apreciándose que ninguna pena de multa tiene la consideración de pena grave y calificándose incluso como pena leve la multa de hasta tres meses.</w:t>
      </w:r>
    </w:p>
    <w:p w14:paraId="63B35B85" w14:textId="77777777" w:rsidR="009D7677" w:rsidRDefault="009D7677" w:rsidP="009D7677">
      <w:pPr>
        <w:pStyle w:val="TextoNormal"/>
      </w:pPr>
    </w:p>
    <w:p w14:paraId="23C28BC3" w14:textId="77777777" w:rsidR="009D7677" w:rsidRDefault="009D7677" w:rsidP="009D7677">
      <w:pPr>
        <w:pStyle w:val="TextoNormal"/>
      </w:pPr>
      <w:r>
        <w:t>(b) La normativa penal dispone que la imposición de una pena de prisión, en su condición de sanción más aflictiva, esté acompañada de una serie de consecuencias accesorias, que difieren también según la extensión de dicha pena (arts. 55 y 56 CP) o la naturaleza del delito (art. 57 CP). Con carácter general esas consecuencias accesorias son penas privativas de derechos diferentes a la libertad, consistentes normalmente en inhabilitaciones o suspensiones, que también aparecen en la relación de sanciones del art. 33 CP con una superior gravedad a la de multa. De ese modo, se evidencia que, tanto en términos normativos como desde la perspectiva del sacrificio de derechos fundamentales, a los efectos de poder establecer comparaciones para el juicio de proporcionalidad, resultan más graves y aflictivas para los derechos personales las penas de prisión y las privativas de otros derechos que las de multa.</w:t>
      </w:r>
    </w:p>
    <w:p w14:paraId="1B9A3586" w14:textId="77777777" w:rsidR="009D7677" w:rsidRDefault="009D7677" w:rsidP="009D7677">
      <w:pPr>
        <w:pStyle w:val="TextoNormal"/>
      </w:pPr>
    </w:p>
    <w:p w14:paraId="607BB6EB" w14:textId="77777777" w:rsidR="009D7677" w:rsidRDefault="009D7677" w:rsidP="009D7677">
      <w:pPr>
        <w:pStyle w:val="TextoNormal"/>
      </w:pPr>
      <w:r>
        <w:t>(c) La pena en abstracto establecida para el delito por el que fue condenado el demandante de amparo tiene un límite mínimo de seis meses de prisión. No obstante, como consecuencia de las reglas de individualización de la pena, en la sentencia impugnada se acordó para adecuar la respuesta penal la rebaja de dos grados por la concurrencia de una atenuante muy cualificada de dilaciones indebidas, al haber transcurrido más de siete años en el enjuiciamiento de los hechos, resultando con ello la imposición de una pena de prisión que debía ser inferior a los tres meses. A esos efectos, el art. 36.2 CP establece que la duración mínima de la pena de prisión es de tres meses y el art. 71.2 CP obliga a que, cuando por aplicación de las reglas de individualización de la pena resulte a imponer una pena de prisión inferior a esa duración, esta sea sustituida en todo caso por multa, trabajos en beneficio de la comunidad o localización permanente. Estas sanciones aparecen en la relación de penas del art. 33 CP en el último lugar de las penas calificadas como leves, evidenciando su pretensión de levedad aflictiva en términos de sacrificio asociado a su imposición. Fue la aplicación del art. 71.2 CP la que determinó que la sentencia impugnada sustituyera obligadamente la pena de prisión inferior a tres meses y lo hiciera optando por la pena de multa que, se insiste en ello, tiene la calificación legal de sanción leve [art. 33.4 g) CP], entre las que no se encuentra la pena de prisión en ninguna duración temporal.</w:t>
      </w:r>
    </w:p>
    <w:p w14:paraId="01CCD70C" w14:textId="77777777" w:rsidR="009D7677" w:rsidRDefault="009D7677" w:rsidP="009D7677">
      <w:pPr>
        <w:pStyle w:val="TextoNormal"/>
      </w:pPr>
    </w:p>
    <w:p w14:paraId="32A60F5A" w14:textId="77777777" w:rsidR="009D7677" w:rsidRDefault="009D7677" w:rsidP="009D7677">
      <w:pPr>
        <w:pStyle w:val="TextoNormal"/>
      </w:pPr>
      <w:r>
        <w:t>De este modo, el Tribunal considera que los parámetros axiológicos constitucionales vinculados al principio de proporcionalidad determinan que la aflictividad a dispensar con la respuesta penal en los casos en que resulta de aplicación el art. 71.2 CP debe ser acorde y ajustada a las premisas de la inferior responsabilidad penal que conlleva la disminución por debajo del mínimo legal previsto para cualquier pena de prisión y a la circunstancia de la obligación normativa de renunciar en cualquier caso en esos supuestos a la imposición de una pena de prisión; debiendo proyectarse tales consideraciones sobre la orientación material de la norma.</w:t>
      </w:r>
    </w:p>
    <w:p w14:paraId="66B56EF0" w14:textId="77777777" w:rsidR="009D7677" w:rsidRDefault="009D7677" w:rsidP="009D7677">
      <w:pPr>
        <w:pStyle w:val="TextoNormal"/>
      </w:pPr>
    </w:p>
    <w:p w14:paraId="68289466" w14:textId="77777777" w:rsidR="009D7677" w:rsidRDefault="009D7677" w:rsidP="009D7677">
      <w:pPr>
        <w:pStyle w:val="TextoNormal"/>
      </w:pPr>
      <w:r>
        <w:t>(v) En un contexto en el que los soportes metodológicos mantenían una apertura interpretativa del art. 71.2 CP, el Tribunal estima que las resoluciones impugnadas han optado por una interpretación que no pondera adecuadamente que la pena impuesta en el apartado primero del fallo de prisión de un mes y quince días con la accesoria de la inhabilitación para el derecho de sufragio pasivo durante ese tiempo, aunque la pena de prisión en abstracto pudiera ser tomada en consideración en esa extensión durante el proceso de individualización de la pena, resultaba inexistente en una duración inferior a los tres meses por quedar sometida a la obligación legislativa de su sustitución por otras penas con una gravedad normativa e incidencia cualitativa y cuantitativa en términos de sacrificio de derechos fundamentales no parangonable con ninguna pena de prisión. Además, las penas por las que el legislador obliga a su sustitución están liberadas de las consecuencias accesorias vinculadas a la pena de prisión, que lo son solo en atención a la naturaleza de la prisión como sanción de superior gravedad dentro del ordenamiento penal y que afectaban también al derecho fundamental de representación política (art. 23.2 CE) del recurrente.</w:t>
      </w:r>
    </w:p>
    <w:p w14:paraId="4F539A28" w14:textId="77777777" w:rsidR="009D7677" w:rsidRDefault="009D7677" w:rsidP="009D7677">
      <w:pPr>
        <w:pStyle w:val="TextoNormal"/>
      </w:pPr>
    </w:p>
    <w:p w14:paraId="40A079DF" w14:textId="2929C0A3" w:rsidR="009D7677" w:rsidRDefault="009D7677" w:rsidP="009D7677">
      <w:pPr>
        <w:pStyle w:val="TextoNormal"/>
      </w:pPr>
      <w:r>
        <w:t>Por tanto, desde la perspectiva axiológica derivada de los criterios que informan el ordenamiento constitucional, el Tribunal debe concluir que, ante la inexistencia legal de penas de prisión inferior a tres meses por la decisión legislativa de su obligatoria sustitución por otras cualitativamente menos aflictivas, la interpretación y aplicación del art. 71.2 CP conforme a la cual pervive la pena privativa de libertad y las consecuencias accesorias vinculadas a ella resulta una interpretación imprevisible contraria al art. 25.1 CE, ya que utiliza un soporte axiológico ajeno al principio constitucional de proporcionalidad por implicar un desproporcionado sacrificio en el derecho fundamental del afectado de representación política, que produce un patente derroche inútil de coacción.</w:t>
      </w:r>
    </w:p>
    <w:p w14:paraId="6335C691" w14:textId="77777777" w:rsidR="009D7677" w:rsidRDefault="009D7677" w:rsidP="009D7677">
      <w:pPr>
        <w:pStyle w:val="TextoNormal"/>
      </w:pPr>
    </w:p>
    <w:p w14:paraId="25B6CB35" w14:textId="77777777" w:rsidR="009D7677" w:rsidRDefault="009D7677" w:rsidP="009D7677">
      <w:pPr>
        <w:pStyle w:val="TextoNormal"/>
      </w:pPr>
      <w:r w:rsidRPr="009D7677">
        <w:rPr>
          <w:rStyle w:val="NumeroAFNegritaCaracter"/>
        </w:rPr>
        <w:t>7</w:t>
      </w:r>
      <w:r>
        <w:t xml:space="preserve">. </w:t>
      </w:r>
      <w:r w:rsidRPr="009D7677">
        <w:rPr>
          <w:i/>
        </w:rPr>
        <w:t>El alcance de la estimación del recurso de amparo</w:t>
      </w:r>
    </w:p>
    <w:p w14:paraId="077EAD72" w14:textId="77777777" w:rsidR="009D7677" w:rsidRDefault="009D7677" w:rsidP="009D7677">
      <w:pPr>
        <w:pStyle w:val="TextoNormal"/>
      </w:pPr>
    </w:p>
    <w:p w14:paraId="342867F6" w14:textId="77777777" w:rsidR="009D7677" w:rsidRDefault="009D7677" w:rsidP="009D7677">
      <w:pPr>
        <w:pStyle w:val="TextoNormal"/>
      </w:pPr>
      <w:r>
        <w:t xml:space="preserve">La estimación del recurso por las razones expuestas determina, a los efectos del restablecimiento del recurrente en su derecho, que se declare la nulidad de las resoluciones impugnadas en el exclusivo extremo relativo a que en el apartado primero del fallo de la sentencia condenatoria se hace referencia a que se impone al recurrente “la pena de 1 mes y 15 días de prisión, con la accesoria de inhabilitación especial para el derecho de sufragio pasivo durante el tiempo de la condena”; debiendo mantenerse únicamente la mención a que la pena impuesta es “la pena de multa de noventa días con cuota diaria de seis euros”. Sin embargo, no resulta preciso para el restablecimiento del derecho reconocido la retroacción de actuaciones en el proceso penal que trae causa a este amparo, toda vez que el Tribunal constata que la pena de prisión fue efectivamente sustituida por la pena de multa, </w:t>
      </w:r>
      <w:r>
        <w:lastRenderedPageBreak/>
        <w:t>que ha sido ya abonada, y que la accesoria de inhabilitación ya ha sido cumplida íntegramente sin que ningún otro efecto haya sido derivado de su cumplimiento.</w:t>
      </w:r>
    </w:p>
    <w:p w14:paraId="7CBEEC2F" w14:textId="77777777" w:rsidR="009D7677" w:rsidRDefault="009D7677" w:rsidP="009D7677">
      <w:pPr>
        <w:pStyle w:val="TextoNormal"/>
      </w:pPr>
    </w:p>
    <w:p w14:paraId="70899483" w14:textId="633656C8" w:rsidR="009D7677" w:rsidRDefault="009D7677" w:rsidP="009D7677">
      <w:pPr>
        <w:pStyle w:val="TextoNormal"/>
      </w:pPr>
      <w:r>
        <w:t>Por otra parte, resulta innecesario abordar el análisis del resto de las invocaciones, pues el eventual efecto y alcance de su estimación sería el mismo que el que ya se ha obtenido con la declaración de la vulneración del derecho reconocido.</w:t>
      </w:r>
    </w:p>
    <w:p w14:paraId="05B91F01" w14:textId="77777777" w:rsidR="009D7677" w:rsidRDefault="009D7677" w:rsidP="009D7677">
      <w:pPr>
        <w:pStyle w:val="TextoNormal"/>
      </w:pPr>
    </w:p>
    <w:p w14:paraId="684F009C" w14:textId="77777777" w:rsidR="009D7677" w:rsidRDefault="009D7677" w:rsidP="009D7677">
      <w:pPr>
        <w:pStyle w:val="TextoNormalCentrado"/>
        <w:keepNext/>
      </w:pPr>
      <w:r>
        <w:t>FALLO</w:t>
      </w:r>
    </w:p>
    <w:p w14:paraId="24C57933" w14:textId="46C75685" w:rsidR="009D7677" w:rsidRDefault="009D7677" w:rsidP="009D7677">
      <w:pPr>
        <w:pStyle w:val="TextoNormalCentrado"/>
        <w:keepNext/>
      </w:pPr>
    </w:p>
    <w:p w14:paraId="0F5396BA" w14:textId="77777777" w:rsidR="009D7677" w:rsidRDefault="009D7677" w:rsidP="009D7677">
      <w:pPr>
        <w:pStyle w:val="TextoNormal"/>
      </w:pPr>
      <w:r>
        <w:t>En atención a todo lo expuesto, el Tribunal Constitucional, por la autoridad que le confiere la Constitución de la Nación española, ha decidido estimar el recurso de amparo interpuesto por don Alberto Rodríguez Rodríguez y, en su virtud:</w:t>
      </w:r>
    </w:p>
    <w:p w14:paraId="25FCF68B" w14:textId="77777777" w:rsidR="009D7677" w:rsidRDefault="009D7677" w:rsidP="009D7677">
      <w:pPr>
        <w:pStyle w:val="TextoNormal"/>
      </w:pPr>
    </w:p>
    <w:p w14:paraId="5FBD2DBA" w14:textId="77777777" w:rsidR="009D7677" w:rsidRDefault="009D7677" w:rsidP="009D7677">
      <w:pPr>
        <w:pStyle w:val="TextoNormal"/>
      </w:pPr>
      <w:r>
        <w:t>1º Declarar que ha sido vulnerado el derecho fundamental del demandante de amparo a la legalidad penal (art. 25.1 CE), desde la perspectiva del principio de prohibición de interpretación extensiva o analógica de los preceptos sancionadores.</w:t>
      </w:r>
    </w:p>
    <w:p w14:paraId="70B40E8F" w14:textId="77777777" w:rsidR="009D7677" w:rsidRDefault="009D7677" w:rsidP="009D7677">
      <w:pPr>
        <w:pStyle w:val="TextoNormal"/>
      </w:pPr>
    </w:p>
    <w:p w14:paraId="42D42C0C" w14:textId="30A03576" w:rsidR="009D7677" w:rsidRDefault="009D7677" w:rsidP="009D7677">
      <w:pPr>
        <w:pStyle w:val="TextoNormal"/>
      </w:pPr>
      <w:r>
        <w:t>2º Restablecer al demandante de amparo en su derecho y, a tal fin, declarar la nulidad de la sentencia de la Sala de lo Penal del Tribunal Supremo núm. 750/2021, de 6 de octubre de 2021, y del auto de 15 de diciembre de 2021, pronunciados en la causa especial núm. 21019-2019, en el exclusivo extremo relativo a que el apartado primero del fallo de la sentencia condenatoria hace referencia a que se impone al recurrente “la pena de un mes y quince días de prisión, con la accesoria de inhabilitación especial para el derecho de sufragio pasivo durante el tiempo de la condena”; debiendo mantenerse únicamente la mención a que la pena impuesta es “la pena de multa de noventa días con cuota diaria de seis euros”.</w:t>
      </w:r>
    </w:p>
    <w:p w14:paraId="7B7FABC3" w14:textId="77777777" w:rsidR="009D7677" w:rsidRDefault="009D7677" w:rsidP="009D7677">
      <w:pPr>
        <w:pStyle w:val="TextoNormal"/>
      </w:pPr>
    </w:p>
    <w:p w14:paraId="0EDA5DE2" w14:textId="77777777" w:rsidR="009D7677" w:rsidRDefault="009D7677" w:rsidP="009D7677">
      <w:pPr>
        <w:pStyle w:val="TextoNormal"/>
      </w:pPr>
      <w:r>
        <w:t>Publíquese esta sentencia en el “Boletín Oficial del Estado”.</w:t>
      </w:r>
    </w:p>
    <w:p w14:paraId="27CC7025" w14:textId="77777777" w:rsidR="009D7677" w:rsidRDefault="009D7677" w:rsidP="009D7677">
      <w:pPr>
        <w:pStyle w:val="TextoNormal"/>
      </w:pPr>
      <w:r>
        <w:t>Dada en Madrid, a dieciséis de enero de dos mil veinticuatro.</w:t>
      </w:r>
    </w:p>
    <w:p w14:paraId="09B0E2AF" w14:textId="6A505B53" w:rsidR="009D7677" w:rsidRDefault="009D7677" w:rsidP="009D7677">
      <w:pPr>
        <w:pStyle w:val="ParrafoNormal"/>
      </w:pPr>
    </w:p>
    <w:p w14:paraId="7415957A" w14:textId="77777777" w:rsidR="009D7677" w:rsidRDefault="009D7677" w:rsidP="009D7677">
      <w:pPr>
        <w:pStyle w:val="TextoNormalNegritaCentrado"/>
        <w:keepNext/>
      </w:pPr>
      <w:r>
        <w:t>Voto particular que formulan conjuntamente los magistrados don Ricardo Enríquez Sancho, don Enrique Arnaldo Alcubilla, don César Tolosa Tribiño y la magistrada doña Concepción Espejel Jorquera a la sentencia dictada en el recurso de amparo núm. 697-2022, interpuesto por don Alberto Rodríguez Rodríguez</w:t>
      </w:r>
    </w:p>
    <w:p w14:paraId="44DB1D16" w14:textId="4B1808C7" w:rsidR="009D7677" w:rsidRDefault="009D7677" w:rsidP="009D7677">
      <w:pPr>
        <w:pStyle w:val="TextoNormalNegritaCentrado"/>
        <w:keepNext/>
      </w:pPr>
    </w:p>
    <w:p w14:paraId="5926D22E" w14:textId="77777777" w:rsidR="009D7677" w:rsidRDefault="009D7677" w:rsidP="009D7677">
      <w:pPr>
        <w:pStyle w:val="TextoNormal"/>
      </w:pPr>
      <w:r>
        <w:t>En el ejercicio de la facultad que nos confiere el artículo 90.2 de la Ley Orgánica del Tribunal Constitucional, y con el máximo respeto a la opinión de la mayoría, formulamos el presente voto particular por discrepar de la fundamentación y del fallo de la sentencia recaída en el recurso de amparo avocado al Pleno núm. 697-2022, el cual, a nuestro juicio, compartiendo el criterio expuesto por el Ministerio Fiscal debió ser desestimado.</w:t>
      </w:r>
    </w:p>
    <w:p w14:paraId="361AF9FD" w14:textId="77777777" w:rsidR="009D7677" w:rsidRDefault="009D7677" w:rsidP="009D7677">
      <w:pPr>
        <w:pStyle w:val="TextoNormal"/>
      </w:pPr>
    </w:p>
    <w:p w14:paraId="67E6FE4D" w14:textId="77777777" w:rsidR="009D7677" w:rsidRDefault="009D7677" w:rsidP="009D7677">
      <w:pPr>
        <w:pStyle w:val="TextoNormal"/>
      </w:pPr>
      <w:r>
        <w:t xml:space="preserve">Discrepamos de la sentencia por las razones que serán desarrolladas a lo largo del presente voto: 1) La sentencia ha reconstruido improcedentemente la demanda de amparo al abordar la desproporción de la pena de inhabilitación especial para el ejercicio del derecho de sufragio pasivo no planteada por el recurrente, incurriendo en una incongruencia </w:t>
      </w:r>
      <w:r w:rsidRPr="009D7677">
        <w:rPr>
          <w:i/>
        </w:rPr>
        <w:t>extrapetita</w:t>
      </w:r>
      <w:r>
        <w:t xml:space="preserve"> que cercena los principios de contradicción y defensa del Ministerio Fiscal; 2) La </w:t>
      </w:r>
      <w:r>
        <w:lastRenderedPageBreak/>
        <w:t>sentencia declara indebidamente la desproporción de la pena de inhabilitación especial para el derecho de sufragio pasivo de un mes y quince días, alejándose de la doctrina constitucional, al no contrastar la gravedad de la pena con la gravedad del delito, sino la pena principal con la accesoria; 3) La sentencia incurre en incongruencia interna e irracionabilidad al excluir en el fallo la pena de prisión pese a que en la fundamentación se declara la misma conforme con el principio de legalidad penal. Y da una nueva redacción a la impugnada al decidir cuál es la pena que debió imponerse al recurrente.</w:t>
      </w:r>
    </w:p>
    <w:p w14:paraId="3746210E" w14:textId="77777777" w:rsidR="009D7677" w:rsidRDefault="009D7677" w:rsidP="009D7677">
      <w:pPr>
        <w:pStyle w:val="TextoNormal"/>
      </w:pPr>
    </w:p>
    <w:p w14:paraId="756FA37B" w14:textId="77777777" w:rsidR="009D7677" w:rsidRDefault="009D7677" w:rsidP="009D7677">
      <w:pPr>
        <w:pStyle w:val="TextoNormal"/>
      </w:pPr>
      <w:r>
        <w:t xml:space="preserve">1. </w:t>
      </w:r>
      <w:r w:rsidRPr="009D7677">
        <w:rPr>
          <w:i/>
        </w:rPr>
        <w:t>Sobre la improcedente reconstrucción de la demanda de amparo en que incurre la sentencia y la desviación de su objeto</w:t>
      </w:r>
    </w:p>
    <w:p w14:paraId="5C8FCB59" w14:textId="77777777" w:rsidR="009D7677" w:rsidRDefault="009D7677" w:rsidP="009D7677">
      <w:pPr>
        <w:pStyle w:val="TextoNormal"/>
      </w:pPr>
    </w:p>
    <w:p w14:paraId="24FA3470" w14:textId="77777777" w:rsidR="009D7677" w:rsidRDefault="009D7677" w:rsidP="009D7677">
      <w:pPr>
        <w:pStyle w:val="TextoNormal"/>
      </w:pPr>
      <w:r>
        <w:t>1.1. Delimitación del objeto de la sentencia y consecuencias</w:t>
      </w:r>
    </w:p>
    <w:p w14:paraId="655DB685" w14:textId="77777777" w:rsidR="009D7677" w:rsidRDefault="009D7677" w:rsidP="009D7677">
      <w:pPr>
        <w:pStyle w:val="TextoNormal"/>
      </w:pPr>
    </w:p>
    <w:p w14:paraId="0216A504" w14:textId="77777777" w:rsidR="009D7677" w:rsidRDefault="009D7677" w:rsidP="009D7677">
      <w:pPr>
        <w:pStyle w:val="TextoNormal"/>
      </w:pPr>
      <w:r>
        <w:t>La sentencia en su primer fundamento excluye expresamente de su examen la aplicación del art. 6 LOREG, al no derivarse la pérdida de la condición de diputado de la sentencia del Tribunal Supremo impugnada en el recurso de amparo. Lo indica en términos contundentes, como no podía ser de otro modo: “El Tribunal considera necesario dejar establecido ya en esta fase de delimitación del objeto del presente recurso de amparo que ninguna consideración puede hacerse en su marco a la eventual afectación que en los derechos fundamentales del recurrente se pudiera derivar de la pérdida de su condición de diputado en aplicación del art. 6 LOREG. Esa es una consecuencia que, tal como se señaló en el auto de desestimación del incidente de nulidad de actuaciones impugnado y ha sido destacado por el Ministerio Fiscal en su informe, aunque tome como presupuesto legal necesario la existencia de una condena por sentencia firme a pena privativa de libertad, no se impone en el contexto del presente proceso penal ni por ningún órgano judicial del orden jurisdiccional penal”.</w:t>
      </w:r>
    </w:p>
    <w:p w14:paraId="60867262" w14:textId="77777777" w:rsidR="009D7677" w:rsidRDefault="009D7677" w:rsidP="009D7677">
      <w:pPr>
        <w:pStyle w:val="TextoNormal"/>
      </w:pPr>
    </w:p>
    <w:p w14:paraId="2A9198F1" w14:textId="77777777" w:rsidR="009D7677" w:rsidRDefault="009D7677" w:rsidP="009D7677">
      <w:pPr>
        <w:pStyle w:val="TextoNormal"/>
      </w:pPr>
      <w:r>
        <w:t>Por tanto, se afirma con claridad —y debemos añadir también que con acierto— que la pérdida de su condición de diputado ninguna consideración debe merecer en relación con la eventual afectación de derechos fundamentales al no venir impuesta por la sentencia del Tribunal Supremo recurrida en amparo.</w:t>
      </w:r>
    </w:p>
    <w:p w14:paraId="10B0912B" w14:textId="77777777" w:rsidR="009D7677" w:rsidRDefault="009D7677" w:rsidP="009D7677">
      <w:pPr>
        <w:pStyle w:val="TextoNormal"/>
      </w:pPr>
    </w:p>
    <w:p w14:paraId="1B1F996E" w14:textId="77777777" w:rsidR="009D7677" w:rsidRDefault="009D7677" w:rsidP="009D7677">
      <w:pPr>
        <w:pStyle w:val="TextoNormal"/>
      </w:pPr>
      <w:r>
        <w:t>Consiguientemente, la delimitación del objeto en tales términos debía tener su incidencia al resolver la vulneración del principio de proporcionalidad, pues al vincularse la desproporción de la pena a la gravosa consecuencia de la pérdida del escaño, dicha vulneración quedaba vacía de todo contenido.</w:t>
      </w:r>
    </w:p>
    <w:p w14:paraId="130530E0" w14:textId="77777777" w:rsidR="009D7677" w:rsidRDefault="009D7677" w:rsidP="009D7677">
      <w:pPr>
        <w:pStyle w:val="TextoNormal"/>
      </w:pPr>
    </w:p>
    <w:p w14:paraId="05B43A46" w14:textId="77777777" w:rsidR="009D7677" w:rsidRDefault="009D7677" w:rsidP="009D7677">
      <w:pPr>
        <w:pStyle w:val="TextoNormal"/>
      </w:pPr>
      <w:r>
        <w:t>En tal sentido, el planteamiento del recurrente en relación con la vulneración del principio de proporcionalidad —única y expresamente vinculado a la pérdida de su condición de diputado— no deja lugar a dudas y con claridad se recoge —al referirse a la misma— en el propio fundamento primero de la sentencia, con el siguiente tenor literal: “(v) a la legalidad penal (art. 25.1 CE), en su dimensión del principio de proporcionalidad penal, al haberse optado por una interpretación y aplicación de las citadas consecuencias jurídicas que, dada su condición de diputado, implicaba resultados muy gravosos pues, a pesar de la levedad de la conducta reflejada en la pena impuesta, ha supuesto la pérdida de su condición de diputado derivada de la aplicación del art. 6.4, en relación con el art. 6.2 a) de la Ley Orgánica 5/1985, de 19 de junio, del régimen electoral general (LOREG)”.</w:t>
      </w:r>
    </w:p>
    <w:p w14:paraId="33AAC8F8" w14:textId="77777777" w:rsidR="009D7677" w:rsidRDefault="009D7677" w:rsidP="009D7677">
      <w:pPr>
        <w:pStyle w:val="TextoNormal"/>
      </w:pPr>
    </w:p>
    <w:p w14:paraId="584FB407" w14:textId="77777777" w:rsidR="009D7677" w:rsidRDefault="009D7677" w:rsidP="009D7677">
      <w:pPr>
        <w:pStyle w:val="TextoNormal"/>
      </w:pPr>
      <w:r>
        <w:lastRenderedPageBreak/>
        <w:t>De este modo, al haberse fundado la desproporción de la pena en la pérdida del escaño y al haberse declarado que cualquier consideración que pudiera derivarse de la pérdida de la condición de diputado del recurrente no podía ser valorada, la conclusión no podía ser otra que la desestimación sin más de la vulneración aludida.</w:t>
      </w:r>
    </w:p>
    <w:p w14:paraId="7D6A993D" w14:textId="77777777" w:rsidR="009D7677" w:rsidRDefault="009D7677" w:rsidP="009D7677">
      <w:pPr>
        <w:pStyle w:val="TextoNormal"/>
      </w:pPr>
    </w:p>
    <w:p w14:paraId="7194E84F" w14:textId="77777777" w:rsidR="009D7677" w:rsidRDefault="009D7677" w:rsidP="009D7677">
      <w:pPr>
        <w:pStyle w:val="TextoNormal"/>
      </w:pPr>
      <w:r>
        <w:t>Dicha conclusión era obligada, salvo que se incurriera en la proscrita e injustificada reconstrucción de la demanda, o se pretendiera suplir por el Pleno del Tribunal las razones del recurrente, contraviniendo nuestra doctrina reiterada (por todas, STC 45/2022, de 23 de marzo, FJ 15). No era posible redirigir y focalizar la vulneración del principio de proporcionalidad penal —una vez excluido del objeto la pérdida del escaño— a la privación del derecho de sufragio pasivo, durante el tiempo de cumplimiento de la condena (un mes y quince días), pues ese no era el fundamento de la demanda de amparo, como tampoco lo fue del incidente de nulidad de actuaciones, como bien se recoge en los antecedentes de la sentencia.</w:t>
      </w:r>
    </w:p>
    <w:p w14:paraId="55655588" w14:textId="77777777" w:rsidR="009D7677" w:rsidRDefault="009D7677" w:rsidP="009D7677">
      <w:pPr>
        <w:pStyle w:val="TextoNormal"/>
      </w:pPr>
    </w:p>
    <w:p w14:paraId="70C41809" w14:textId="77777777" w:rsidR="009D7677" w:rsidRDefault="009D7677" w:rsidP="009D7677">
      <w:pPr>
        <w:pStyle w:val="TextoNormal"/>
      </w:pPr>
      <w:r>
        <w:t>1.2. Vinculación por el recurrente del principio de proporcionalidad a la pérdida del escaño y no a la inhabilitación para el ejercicio del derecho de sufragio pasivo</w:t>
      </w:r>
    </w:p>
    <w:p w14:paraId="44492E06" w14:textId="77777777" w:rsidR="009D7677" w:rsidRDefault="009D7677" w:rsidP="009D7677">
      <w:pPr>
        <w:pStyle w:val="TextoNormal"/>
      </w:pPr>
    </w:p>
    <w:p w14:paraId="614DF6F7" w14:textId="77777777" w:rsidR="009D7677" w:rsidRDefault="009D7677" w:rsidP="009D7677">
      <w:pPr>
        <w:pStyle w:val="TextoNormal"/>
      </w:pPr>
      <w:r>
        <w:t>El recurrente, ya en el incidente de nulidad planteado, atribuía a la sentencia del Tribunal Supremo, entre otras, dos vulneraciones independientes (de la legalidad penal y de la proporcionalidad de la pena), pese a que tales vulneraciones aparecen refundidas en una sola en los antecedentes de la sentencia de la que discrepamos [antecedente 2 f) (iii)].</w:t>
      </w:r>
    </w:p>
    <w:p w14:paraId="62D396D9" w14:textId="77777777" w:rsidR="009D7677" w:rsidRDefault="009D7677" w:rsidP="009D7677">
      <w:pPr>
        <w:pStyle w:val="TextoNormal"/>
      </w:pPr>
    </w:p>
    <w:p w14:paraId="39B36659" w14:textId="77777777" w:rsidR="009D7677" w:rsidRDefault="009D7677" w:rsidP="009D7677">
      <w:pPr>
        <w:pStyle w:val="TextoNormal"/>
      </w:pPr>
      <w:r>
        <w:t>De este modo, el recurrente atribuía a la imposición de la pena de inhabilitación especial para el derecho de sufragio pasivo la vulneración de la legalidad penal, desde el prisma de la taxatividad —por aplicar una pena no prevista—, que ocasionaba una situación imprevisible y de inseguridad jurídica (motivo cuarto del incidente de nulidad), y cuando en dicho motivo se refería de modo tangencial a que dicha imposición afectaba al principio de proporcionalidad, lo hacía asociando la desproporción a la pérdida del escaño al privar de la representación a 64 000 electores de su circunscripción. Esto es, para el recurrente la pena impuesta no era la de prisión, sino la de multa, por lo que no procedía la pena accesoria de inhabilitación que el Código penal vincula a la pena de prisión.</w:t>
      </w:r>
    </w:p>
    <w:p w14:paraId="32052277" w14:textId="77777777" w:rsidR="009D7677" w:rsidRDefault="009D7677" w:rsidP="009D7677">
      <w:pPr>
        <w:pStyle w:val="TextoNormal"/>
      </w:pPr>
    </w:p>
    <w:p w14:paraId="4587DA19" w14:textId="77777777" w:rsidR="009D7677" w:rsidRDefault="009D7677" w:rsidP="009D7677">
      <w:pPr>
        <w:pStyle w:val="TextoNormal"/>
      </w:pPr>
      <w:r>
        <w:t xml:space="preserve">El recurrente reservaba la queja de la desproporción de forma autónoma (en el motivo quinto del incidente de nulidad, en los siguientes términos: “Quinto.- vulneración del principio de proporcionalidad, en relación con lo previsto en el artículo 49.3 de la Carta de los derechos fundamentales de la Unión Europea”), a la privación de su condición de diputado y no a la privación de su derecho de acudir como candidato a unas inexistentes elecciones. En el desarrollo de dicho motivo indicaba que “la consecuencia de este error de interpretación —que ya hemos desarrollado </w:t>
      </w:r>
      <w:r w:rsidRPr="009D7677">
        <w:rPr>
          <w:i/>
        </w:rPr>
        <w:t>up supra</w:t>
      </w:r>
      <w:r>
        <w:t xml:space="preserve">— que se torna muy gravosa, dada la condición de diputado del Congreso al momento de ser enjuiciado.”. Aludía, refiriéndose necesariamente a la pérdida de la condición de diputado, que de haberse enjuiciado los hechos en un plazo razonable el resultado no habría sido tan lesivo. E indicaba, que “este resultado no es querido por el legislador: que un diputado pierda su escaño por el perjuicio imputable al órgano judicial de haber retrasado la tramitación de una causa más allá de lo razonable”. Abundaba en ello al indicar que “formalmente, la pena es leve, se trate de una multa de noventa días o de una pena de un mes y quince días de prisión […] sin embargo, insistimos, se torna desproporcionada y materialmente injusta, en relación con la vigencia </w:t>
      </w:r>
      <w:r>
        <w:lastRenderedPageBreak/>
        <w:t>de la pena accesoria, por cuanto 64 000 electores de su circunscripción se han visto privados de su representante político”. Añadía, que no fue intención del legislador que un diputado perdiera su escaño por unos hechos sucedidos hace más de siete años —casi ocho— y se viera castigado, así, por lo sucedido antes de serlo y se vieran castigados, así, los 64 000 electores a quienes representa. Sostenía —en esa misma línea argumental— que, proyectándose el principio de proporcionalidad tanto a la culpabilidad como al daño causado, el legislador no quiso que “se viera desbordada la pena ante un daño mínimo —como sucede en el presente caso—, con un resultado como el de la pérdida del escaño”.</w:t>
      </w:r>
    </w:p>
    <w:p w14:paraId="6EC5A407" w14:textId="77777777" w:rsidR="009D7677" w:rsidRDefault="009D7677" w:rsidP="009D7677">
      <w:pPr>
        <w:pStyle w:val="TextoNormal"/>
      </w:pPr>
    </w:p>
    <w:p w14:paraId="1A93E8DB" w14:textId="77777777" w:rsidR="009D7677" w:rsidRDefault="009D7677" w:rsidP="009D7677">
      <w:pPr>
        <w:pStyle w:val="TextoNormal"/>
      </w:pPr>
      <w:r>
        <w:t>Ese mismo enfoque de las vulneraciones se proyectó en la demanda de amparo todavía con mayor claridad, trasladándose la misma argumentación contenida en los motivos tercero y cuarto del incidente de nulidad a los motivos tercero y cuarto del recurso de amparo, que son sintetizados con precisión en el primer fundamento de la sentencia.</w:t>
      </w:r>
    </w:p>
    <w:p w14:paraId="65AD3935" w14:textId="77777777" w:rsidR="009D7677" w:rsidRDefault="009D7677" w:rsidP="009D7677">
      <w:pPr>
        <w:pStyle w:val="TextoNormal"/>
      </w:pPr>
    </w:p>
    <w:p w14:paraId="1713D6C4" w14:textId="77777777" w:rsidR="009D7677" w:rsidRDefault="009D7677" w:rsidP="009D7677">
      <w:pPr>
        <w:pStyle w:val="TextoNormal"/>
      </w:pPr>
      <w:r>
        <w:t>Por tanto, de la delimitación del objeto en los términos efectuados en el fundamento primero de la sentencia y del contenido de la vulneración del principio de proporcionalidad penal —vinculado a la pérdida del escaño—, se hubiese tenido que derivar una inconsistencia sobrevenida de la vulneración del principio de proporcionalidad de la pena, pues el recurrente justificaba la desproporción de la pena en la privación de su condición de diputado y no en la privación del derecho a acudir como candidato a las elecciones que potencialmente se hubieran celebrado en el mes y quince días siguientes. La razón del enfoque del recurrente era lógica y evidente: ¿Cómo podía justificarse un alegato de desproporción de la pena de inhabilitación del derecho de sufragio pasivo por tan solo un mes y quince días, frente a la comisión de un delito de atentado, si además en ese periodo de tiempo no se habían convocado elecciones y en consecuencia la privación del derecho de sufragio pasivo no tuvo, ni podía tener, ninguna repercusión ni incidencia efectiva en su esfera de derechos? Sobre esto volveremos más adelante.</w:t>
      </w:r>
    </w:p>
    <w:p w14:paraId="259E1588" w14:textId="77777777" w:rsidR="009D7677" w:rsidRDefault="009D7677" w:rsidP="009D7677">
      <w:pPr>
        <w:pStyle w:val="TextoNormal"/>
      </w:pPr>
    </w:p>
    <w:p w14:paraId="4BD28DDB" w14:textId="77777777" w:rsidR="009D7677" w:rsidRDefault="009D7677" w:rsidP="009D7677">
      <w:pPr>
        <w:pStyle w:val="TextoNormal"/>
      </w:pPr>
      <w:r>
        <w:t>1.3. La indefensión ocasionada al Ministerio Fiscal por la modificación del objeto de la demanda</w:t>
      </w:r>
    </w:p>
    <w:p w14:paraId="6F67EFC2" w14:textId="77777777" w:rsidR="009D7677" w:rsidRDefault="009D7677" w:rsidP="009D7677">
      <w:pPr>
        <w:pStyle w:val="TextoNormal"/>
      </w:pPr>
    </w:p>
    <w:p w14:paraId="52C7F4E4" w14:textId="77777777" w:rsidR="009D7677" w:rsidRDefault="009D7677" w:rsidP="009D7677">
      <w:pPr>
        <w:pStyle w:val="TextoNormal"/>
      </w:pPr>
      <w:r>
        <w:t>Una consecuencia de la reconstrucción de la demanda de amparo efectuada por la sentencia del Pleno es la situación en la que quedan las partes del proceso constitucional a quienes se les menoscaba la posibilidad de defensa y contradicción.</w:t>
      </w:r>
    </w:p>
    <w:p w14:paraId="20B05164" w14:textId="77777777" w:rsidR="009D7677" w:rsidRDefault="009D7677" w:rsidP="009D7677">
      <w:pPr>
        <w:pStyle w:val="TextoNormal"/>
      </w:pPr>
    </w:p>
    <w:p w14:paraId="5848AC3B" w14:textId="77777777" w:rsidR="009D7677" w:rsidRDefault="009D7677" w:rsidP="009D7677">
      <w:pPr>
        <w:pStyle w:val="TextoNormal"/>
      </w:pPr>
      <w:r>
        <w:t>El Ministerio Fiscal, única parte, además del recurrente, en este proceso, dedica el fundamento de Derecho quinto de sus alegaciones (págs. 31 a 34) a examinar la vulneración del principio de proporcionalidad, contradiciendo las argumentaciones del recurrente en amparo que, como hemos indicado, centra la desproporción punitiva al afectar la aplicación de la pena a la pérdida de su condición de parlamentario, privando a sus electores de su representante público.</w:t>
      </w:r>
    </w:p>
    <w:p w14:paraId="7857B06F" w14:textId="77777777" w:rsidR="009D7677" w:rsidRDefault="009D7677" w:rsidP="009D7677">
      <w:pPr>
        <w:pStyle w:val="TextoNormal"/>
      </w:pPr>
    </w:p>
    <w:p w14:paraId="215DFF68" w14:textId="77777777" w:rsidR="009D7677" w:rsidRDefault="009D7677" w:rsidP="009D7677">
      <w:pPr>
        <w:pStyle w:val="TextoNormal"/>
      </w:pPr>
      <w:r>
        <w:t xml:space="preserve">Indica el fiscal que “[b]ajo la explicita invocación del principio de proporcionalidad, la atención del demandante se centra exclusivamente, en definitiva, en la incidencia que la interpretación de la ley conducente a la ejecución de esa pena accesoria tuvo, de forma colateral, en la consideración de la pena de prisión como subsistente a la hora de integrar el presupuesto normativo del artículo 6.2 LOREG. Pues bien, ateniéndose forzosamente a ese planteamiento, esta Fiscalía […] no puede dejar de insistir en que el efecto extrapenal </w:t>
      </w:r>
      <w:r>
        <w:lastRenderedPageBreak/>
        <w:t>de la condena impuesta no puede ser jurídicamente imputado a ninguna de las dos resoluciones que se impugnan en este procedimiento, ni a ninguna otra actuación subsiguiente de la Sala Segunda del Tribunal Supremo que pueda considerarse abracada por su objeto”. Insiste el fiscal en la corrección del razonamiento contenido en el auto de 15 de noviembre de 2021, en el que la Sala de lo Penal del Tribunal Supremo denegó la suspensión de la ejecución instada por el demandante, al tratarse de consecuencias extrapenales concretadas por quien resulta competente en ejercicio de sus propias competencias en el ámbito parlamentario.</w:t>
      </w:r>
    </w:p>
    <w:p w14:paraId="0317D110" w14:textId="77777777" w:rsidR="009D7677" w:rsidRDefault="009D7677" w:rsidP="009D7677">
      <w:pPr>
        <w:pStyle w:val="TextoNormal"/>
      </w:pPr>
    </w:p>
    <w:p w14:paraId="60C2D692" w14:textId="77777777" w:rsidR="009D7677" w:rsidRDefault="009D7677" w:rsidP="009D7677">
      <w:pPr>
        <w:pStyle w:val="TextoNormal"/>
      </w:pPr>
      <w:r>
        <w:t>Por tanto, el Ministerio Fiscal da respuesta en sus alegaciones a la vulneración del principio de proporcionalidad de la pena tal y como fue planteado por el recurrente, esto es, vinculando la eventual desproporción a la consecuencia extrapenal de la pérdida del escaño.</w:t>
      </w:r>
    </w:p>
    <w:p w14:paraId="19AADE0D" w14:textId="77777777" w:rsidR="009D7677" w:rsidRDefault="009D7677" w:rsidP="009D7677">
      <w:pPr>
        <w:pStyle w:val="TextoNormal"/>
      </w:pPr>
    </w:p>
    <w:p w14:paraId="7D142A3B" w14:textId="77777777" w:rsidR="009D7677" w:rsidRDefault="009D7677" w:rsidP="009D7677">
      <w:pPr>
        <w:pStyle w:val="TextoNormal"/>
      </w:pPr>
      <w:r>
        <w:t xml:space="preserve">Sin embargo, la mutación y reconstrucción del contenido y del objeto de la demanda, efectuada en la sentencia de la que discrepamos, ha determinado que el fiscal no haya podido alegar sobre un extremo no planteado por el recurrente y que es el que motiva —improcedentemente en cuanto al fondo como se verá— la estimación de la demanda de amparo, esto es, si vulnera el principio de proporcionalidad penal la imposición, al condenado por delito de atentado, de la pena de inhabilitación para el ejercicio del derecho de sufragio pasivo durante un mes y quince días. Tal imposibilidad de alegación del Ministerio Fiscal que trae como causa la incongruencia </w:t>
      </w:r>
      <w:r w:rsidRPr="009D7677">
        <w:rPr>
          <w:i/>
        </w:rPr>
        <w:t>extra petita</w:t>
      </w:r>
      <w:r>
        <w:t xml:space="preserve"> en que ha incurrido la sentencia, al reconstruir injustificadamente el motivo cuarto de la demanda de amparo, ha ocasionado la vulneración del principio de contradicción y defensa al que también se encuentra sujeto este tribunal.</w:t>
      </w:r>
    </w:p>
    <w:p w14:paraId="1D6DD89F" w14:textId="77777777" w:rsidR="009D7677" w:rsidRDefault="009D7677" w:rsidP="009D7677">
      <w:pPr>
        <w:pStyle w:val="TextoNormal"/>
      </w:pPr>
    </w:p>
    <w:p w14:paraId="4FFCD8B1" w14:textId="77777777" w:rsidR="009D7677" w:rsidRDefault="009D7677" w:rsidP="009D7677">
      <w:pPr>
        <w:pStyle w:val="TextoNormal"/>
      </w:pPr>
      <w:r>
        <w:t xml:space="preserve">2. </w:t>
      </w:r>
      <w:r w:rsidRPr="009D7677">
        <w:rPr>
          <w:i/>
        </w:rPr>
        <w:t>Sobre la inexistencia de desproporción de la pena de inhabilitación para el ejercicio del derecho de sufragio pasivo durante un mes y quince días</w:t>
      </w:r>
    </w:p>
    <w:p w14:paraId="70F13682" w14:textId="77777777" w:rsidR="009D7677" w:rsidRDefault="009D7677" w:rsidP="009D7677">
      <w:pPr>
        <w:pStyle w:val="TextoNormal"/>
      </w:pPr>
    </w:p>
    <w:p w14:paraId="512BC836" w14:textId="77777777" w:rsidR="009D7677" w:rsidRDefault="009D7677" w:rsidP="009D7677">
      <w:pPr>
        <w:pStyle w:val="TextoNormal"/>
      </w:pPr>
      <w:r>
        <w:t>2.1. Concepto de desproporcionalidad de la pena</w:t>
      </w:r>
    </w:p>
    <w:p w14:paraId="556519B5" w14:textId="77777777" w:rsidR="009D7677" w:rsidRDefault="009D7677" w:rsidP="009D7677">
      <w:pPr>
        <w:pStyle w:val="TextoNormal"/>
      </w:pPr>
    </w:p>
    <w:p w14:paraId="7D9AAE4F" w14:textId="77777777" w:rsidR="009D7677" w:rsidRDefault="009D7677" w:rsidP="009D7677">
      <w:pPr>
        <w:pStyle w:val="TextoNormal"/>
      </w:pPr>
      <w:r>
        <w:t>El art. 49 de la Carta de los derechos fundamentales de la Unión Europea se intitula “Principios de legalidad y de proporcionalidad de los delitos y las penas”, y reproduce en sus dos primeros apartados el contenido del art. 7 del Convenio europeo de derechos humanos. En su tercer apartado, no incluido en el art. 7 CEDH, establece que la intensidad de las penas no deberá ser desproporcionada en relación con la infracción, dando así acogida al principio de proporcionalidad entre las respectivas gravedades de la infracción penal y de la pena por ella imponible. Gravedad de la infracción y gravedad de la pena son los únicos dos parámetros de la ecuación que operan para resolver la existencia de desproporción.</w:t>
      </w:r>
    </w:p>
    <w:p w14:paraId="43FEE164" w14:textId="77777777" w:rsidR="009D7677" w:rsidRDefault="009D7677" w:rsidP="009D7677">
      <w:pPr>
        <w:pStyle w:val="TextoNormal"/>
      </w:pPr>
    </w:p>
    <w:p w14:paraId="042CC281" w14:textId="77777777" w:rsidR="009D7677" w:rsidRDefault="009D7677" w:rsidP="009D7677">
      <w:pPr>
        <w:pStyle w:val="TextoNormal"/>
      </w:pPr>
      <w:r>
        <w:t>En efecto, la exigencia de proporcionalidad se predica entre la gravedad del ilícito penal o administrativo y la de sus correspondientes sanciones. A tenor de lo declarado en la STC 55/1996, de 28 de marzo, puede afirmarse en relación con el principio de proporcionalidad lo siguiente:</w:t>
      </w:r>
    </w:p>
    <w:p w14:paraId="460923C3" w14:textId="77777777" w:rsidR="009D7677" w:rsidRDefault="009D7677" w:rsidP="009D7677">
      <w:pPr>
        <w:pStyle w:val="TextoNormal"/>
      </w:pPr>
    </w:p>
    <w:p w14:paraId="38BF7F66" w14:textId="77777777" w:rsidR="009D7677" w:rsidRDefault="009D7677" w:rsidP="009D7677">
      <w:pPr>
        <w:pStyle w:val="TextoNormal"/>
      </w:pPr>
      <w:r>
        <w:lastRenderedPageBreak/>
        <w:t>a) El principio de proporcionalidad no puede ser invocado en forma autónoma sino en relación con la vulneración de concretas normas constitucionales, siendo su principal ámbito de aplicación el propio de los derechos fundamentales.</w:t>
      </w:r>
    </w:p>
    <w:p w14:paraId="50636171" w14:textId="77777777" w:rsidR="009D7677" w:rsidRDefault="009D7677" w:rsidP="009D7677">
      <w:pPr>
        <w:pStyle w:val="TextoNormal"/>
      </w:pPr>
    </w:p>
    <w:p w14:paraId="67A064D5" w14:textId="77777777" w:rsidR="009D7677" w:rsidRDefault="009D7677" w:rsidP="009D7677">
      <w:pPr>
        <w:pStyle w:val="TextoNormal"/>
      </w:pPr>
      <w:r>
        <w:t>b) Cuando su invocación tiene origen en una decisión del poder legislativo en materia penal, debe partirse de la idea de que, dentro de los límites marcados por la Constitución, el legislador tiene atribuida una potestad exclusiva y plena para configurar los bienes penalmente protegidos, los comportamientos penalmente reprensibles, el tipo y la cuantía de las sanciones penales y la proporción entre las conductas que pretende evitar y las penas con las que intenta conseguirlo.</w:t>
      </w:r>
    </w:p>
    <w:p w14:paraId="02ACA745" w14:textId="77777777" w:rsidR="009D7677" w:rsidRDefault="009D7677" w:rsidP="009D7677">
      <w:pPr>
        <w:pStyle w:val="TextoNormal"/>
      </w:pPr>
    </w:p>
    <w:p w14:paraId="45A57A6F" w14:textId="77777777" w:rsidR="009D7677" w:rsidRDefault="009D7677" w:rsidP="009D7677">
      <w:pPr>
        <w:pStyle w:val="TextoNormal"/>
      </w:pPr>
      <w:r>
        <w:t>c) Las normas penales no son un ámbito exento del referido control, sino que el alcance del mismo es mucho más restringido cuando se trata de decisiones del legislador que cuando recae sobre decisiones judiciales, toda vez que, en este último terreno, el principio de proporcionalidad cobra un singular relieve a la hora de examinar las posibles vulneraciones de derechos fundamentales producidas a raíz de las operaciones judiciales de medición e imposición de la pena o sanción prevista al ser la proporcionalidad un límite infranqueable a la discrecionalidad judicial.</w:t>
      </w:r>
    </w:p>
    <w:p w14:paraId="33024C05" w14:textId="77777777" w:rsidR="009D7677" w:rsidRDefault="009D7677" w:rsidP="009D7677">
      <w:pPr>
        <w:pStyle w:val="TextoNormal"/>
      </w:pPr>
    </w:p>
    <w:p w14:paraId="7232B5C7" w14:textId="77777777" w:rsidR="009D7677" w:rsidRDefault="009D7677" w:rsidP="009D7677">
      <w:pPr>
        <w:pStyle w:val="TextoNormal"/>
      </w:pPr>
      <w:r>
        <w:t>d) El alcance del control constitucional de la proporcionalidad de las normas penales se limita, en cualquier caso, a verificar que la norma penal no produzca un patente derroche inútil de coacción que convierte la norma en arbitraria y que socava los principios elementales de justicia inherentes a la dignidad de la persona y al Estado de Derecho.</w:t>
      </w:r>
    </w:p>
    <w:p w14:paraId="7665A23F" w14:textId="77777777" w:rsidR="009D7677" w:rsidRDefault="009D7677" w:rsidP="009D7677">
      <w:pPr>
        <w:pStyle w:val="TextoNormal"/>
      </w:pPr>
    </w:p>
    <w:p w14:paraId="6F843AB4" w14:textId="77777777" w:rsidR="009D7677" w:rsidRDefault="009D7677" w:rsidP="009D7677">
      <w:pPr>
        <w:pStyle w:val="TextoNormal"/>
      </w:pPr>
      <w:r>
        <w:t xml:space="preserve">e) Para determinar si el legislador penal ha vulnerado el principio de proporcionalidad en la configuración de los tipos penales habrán de utilizarse los siguientes criterios: a) comprobación de que el bien jurídico protegido por la norma cuestionada —o, con mayor precisión, los fines mediatos e inmediatos de protección de la misma— son lo suficientemente relevantes como para motivar la intervención del </w:t>
      </w:r>
      <w:r w:rsidRPr="009D7677">
        <w:rPr>
          <w:i/>
        </w:rPr>
        <w:t>ius puniendi</w:t>
      </w:r>
      <w:r>
        <w:t xml:space="preserve"> (vid. STC 111/1993, de 25 de marzo, FJ 9); b) comprobación de que la medida en cuestión era idónea (juicio de idoneidad) y necesaria (juicio de necesidad) para alcanzar esos fines; y c) verificación de la existencia de una proporción en sentido estricto entre las respectivas gravedades del delito y de la pena (o juicio de proporcionalidad en sentido estricto).</w:t>
      </w:r>
    </w:p>
    <w:p w14:paraId="5765C474" w14:textId="77777777" w:rsidR="009D7677" w:rsidRDefault="009D7677" w:rsidP="009D7677">
      <w:pPr>
        <w:pStyle w:val="TextoNormal"/>
      </w:pPr>
    </w:p>
    <w:p w14:paraId="6F3FD9B5" w14:textId="77777777" w:rsidR="009D7677" w:rsidRDefault="009D7677" w:rsidP="009D7677">
      <w:pPr>
        <w:pStyle w:val="TextoNormal"/>
      </w:pPr>
      <w:r>
        <w:t>2.2. Sobre los antecedentes del procedimiento penal, la pena accesoria impuesta, la naturaleza de la atenuante de dilaciones indebidas aplicada y el sometimiento a la ley de los órganos judiciales</w:t>
      </w:r>
    </w:p>
    <w:p w14:paraId="4C3D2039" w14:textId="77777777" w:rsidR="009D7677" w:rsidRDefault="009D7677" w:rsidP="009D7677">
      <w:pPr>
        <w:pStyle w:val="TextoNormal"/>
      </w:pPr>
    </w:p>
    <w:p w14:paraId="650DC2F3" w14:textId="77777777" w:rsidR="009D7677" w:rsidRDefault="009D7677" w:rsidP="009D7677">
      <w:pPr>
        <w:pStyle w:val="TextoNormal"/>
      </w:pPr>
      <w:r>
        <w:t>Antes de entrar a examinar la proporcionalidad de la pena, parece conveniente efectuar unas consideraciones atinentes a la que le fue impuesta al recurrente en amparo.</w:t>
      </w:r>
    </w:p>
    <w:p w14:paraId="0BF940D9" w14:textId="77777777" w:rsidR="009D7677" w:rsidRDefault="009D7677" w:rsidP="009D7677">
      <w:pPr>
        <w:pStyle w:val="TextoNormal"/>
      </w:pPr>
    </w:p>
    <w:p w14:paraId="7B75E70F" w14:textId="77777777" w:rsidR="009D7677" w:rsidRDefault="009D7677" w:rsidP="009D7677">
      <w:pPr>
        <w:pStyle w:val="TextoNormal"/>
      </w:pPr>
      <w:r>
        <w:t>a) Por la STS 750/2021, de 6 de octubre, el demandante de amparo fue condenado como autor de un delito de atentado a agentes de la autoridad, con la atenuante muy cualificada de dilaciones indebidas, a la pena de un mes y quince días de prisión, con la accesoria de inhabilitación especial para el sufragio pasivo durante el tiempo de condena. La pena de prisión se sustituye por la pena de multa de noventa días con cuota diaria de seis euros.</w:t>
      </w:r>
    </w:p>
    <w:p w14:paraId="03A08307" w14:textId="77777777" w:rsidR="009D7677" w:rsidRDefault="009D7677" w:rsidP="009D7677">
      <w:pPr>
        <w:pStyle w:val="TextoNormal"/>
      </w:pPr>
    </w:p>
    <w:p w14:paraId="34534C7B" w14:textId="77777777" w:rsidR="009D7677" w:rsidRDefault="009D7677" w:rsidP="009D7677">
      <w:pPr>
        <w:pStyle w:val="TextoNormal"/>
      </w:pPr>
      <w:r>
        <w:lastRenderedPageBreak/>
        <w:t>b) El delito de atentado se encuentra previsto en el título XXII del Código penal (CP), intitulado “Delitos contra el orden público” y dentro de su capítulo II “De los atentados contra la autoridad, sus agentes y los funcionarios públicos, y de la resistencia y desobediencia”, en el art. 550 CP en el que se prevé, en lo que ahora interesa, que son “reos de atentado los que agredieren o, con intimidación grave o violencia, opusieren resistencia grave a la autoridad, a sus agentes o funcionarios públicos, o los acometieren, cuando se hallen en el ejercicio de las funciones de sus cargos o con ocasión de ella” serán castigados con las penas “de prisión de seis meses a tres años”, cuando el atentado no fuera contra la autoridad, como es el caso.</w:t>
      </w:r>
    </w:p>
    <w:p w14:paraId="61DEE3CA" w14:textId="77777777" w:rsidR="009D7677" w:rsidRDefault="009D7677" w:rsidP="009D7677">
      <w:pPr>
        <w:pStyle w:val="TextoNormal"/>
      </w:pPr>
    </w:p>
    <w:p w14:paraId="67AE2917" w14:textId="77777777" w:rsidR="009D7677" w:rsidRDefault="009D7677" w:rsidP="009D7677">
      <w:pPr>
        <w:pStyle w:val="TextoNormal"/>
      </w:pPr>
      <w:r>
        <w:t>c) La sentencia de la Sala de lo Penal del Tribunal Supremo núm. 750/2021, de 6 de octubre de 2021, impugnada en el recurso de amparo, consideró probado que don Alberto Rodríguez Rodríguez, propinó una patada en la rodilla al agente del Cuerpo Nacional de Policía núm. 92.025, que, debidamente uniformado, estaba cumpliendo las funciones propias de su cargo el cual, a consecuencia de aquella, sufrió una contusión de la que curó en un día sin impedimento para sus actividades habituales.</w:t>
      </w:r>
    </w:p>
    <w:p w14:paraId="715339EA" w14:textId="77777777" w:rsidR="009D7677" w:rsidRDefault="009D7677" w:rsidP="009D7677">
      <w:pPr>
        <w:pStyle w:val="TextoNormal"/>
      </w:pPr>
    </w:p>
    <w:p w14:paraId="54889C04" w14:textId="77777777" w:rsidR="009D7677" w:rsidRDefault="009D7677" w:rsidP="009D7677">
      <w:pPr>
        <w:pStyle w:val="TextoNormal"/>
      </w:pPr>
      <w:r>
        <w:t>d) La pena de inhabilitación especial para el sufragio pasivo durante el tiempo de condena impuesta al recurrente en amparo es una pena accesoria (art. 54 CP), al declarar el artículo 56 CP que es una pena —o una de las penas— que se impondrán junto a la pena de prisión inferior a los diez años.</w:t>
      </w:r>
    </w:p>
    <w:p w14:paraId="0F6C700A" w14:textId="77777777" w:rsidR="009D7677" w:rsidRDefault="009D7677" w:rsidP="009D7677">
      <w:pPr>
        <w:pStyle w:val="TextoNormal"/>
      </w:pPr>
    </w:p>
    <w:p w14:paraId="2AB22899" w14:textId="77777777" w:rsidR="009D7677" w:rsidRDefault="009D7677" w:rsidP="009D7677">
      <w:pPr>
        <w:pStyle w:val="TextoNormal"/>
      </w:pPr>
      <w:r>
        <w:t>En cuanto a su contenido, dispone el artículo 44 CP que la pena de “inhabilitación especial para el derecho de sufragio pasivo priva al penado, durante el tiempo de la condena, del derecho a ser elegido para cargos públicos”. Privación aplicable a todos los procesos electorales enumerados en el art. 1 LOREG y para todos los cargos públicos electivos que, en principio, tiene una duración mínima de tres meses y una máxima de veinte años, conforme al art. 40.1 CP, precepto aplicable a todo tipo de inhabilitaciones especiales. Esta pena de inhabilitación para el ejercicio del derecho de sufragio pasivo aparece enumerada en el catálogo de penas privativas de derechos diferentes a la libertad del art. 39 CP (junto a la suspensión de empleo o cargo público, la privación del derecho a conducir vehículos a motor y ciclomotores, la privación del derecho a residir en determinados lugares o acudir a ellos y la prohibición de aproximarse a la víctima, entre otras). Como tal pena, puede ser impuesta con carácter principal cuando así se prevea expresamente, como ocurre, por ejemplo, en muchos de los delitos contra la administración pública a raíz de la aprobación de la Ley Orgánica 1/2015, de 30 de marzo, por la que se modifica la Ley Orgánica 10/1995, de 23 de noviembre, del Código penal (arts. 404, 419, 420, 428, 430, 432, 436, 438, 438 bis, 439 y 442), o con carácter accesorio a otra (art. 32 CP en relación con el art. 56.1 CP).</w:t>
      </w:r>
    </w:p>
    <w:p w14:paraId="29525377" w14:textId="77777777" w:rsidR="009D7677" w:rsidRDefault="009D7677" w:rsidP="009D7677">
      <w:pPr>
        <w:pStyle w:val="TextoNormal"/>
      </w:pPr>
    </w:p>
    <w:p w14:paraId="2C4853D6" w14:textId="77777777" w:rsidR="009D7677" w:rsidRDefault="009D7677" w:rsidP="009D7677">
      <w:pPr>
        <w:pStyle w:val="TextoNormal"/>
      </w:pPr>
      <w:r>
        <w:t>Cuando se impone como pena principal, el propio Código penal fija el marco penal en el precepto que la prevé para cada figura delictiva. Cuando se trata de una pena accesoria tendrá la duración que respectivamente tenga la principal, excepto lo que dispongan expresamente otros preceptos del Código penal (art. 33.6 CP). Será considerada como pena grave si su duración es superior a cinco años [art. 33.2 c) CP], y como pena menos grave si su duración es inferior a cinco años [art. 33.3 b) CP].</w:t>
      </w:r>
    </w:p>
    <w:p w14:paraId="3AA3641B" w14:textId="77777777" w:rsidR="009D7677" w:rsidRDefault="009D7677" w:rsidP="009D7677">
      <w:pPr>
        <w:pStyle w:val="TextoNormal"/>
      </w:pPr>
    </w:p>
    <w:p w14:paraId="494EDCD6" w14:textId="77777777" w:rsidR="009D7677" w:rsidRDefault="009D7677" w:rsidP="009D7677">
      <w:pPr>
        <w:pStyle w:val="TextoNormal"/>
      </w:pPr>
      <w:r>
        <w:lastRenderedPageBreak/>
        <w:t>e) La única consecuencia penal de la imposición de la pena de inhabilitación especial para el ejercicio del derecho de sufragio pasivo durante el cumplimiento de la condena es la imposibilidad de ser elegido para cargos públicos durante el tiempo de cumplimiento de la condena.</w:t>
      </w:r>
    </w:p>
    <w:p w14:paraId="1325A45A" w14:textId="77777777" w:rsidR="009D7677" w:rsidRDefault="009D7677" w:rsidP="009D7677">
      <w:pPr>
        <w:pStyle w:val="TextoNormal"/>
      </w:pPr>
    </w:p>
    <w:p w14:paraId="55FE0CF6" w14:textId="77777777" w:rsidR="009D7677" w:rsidRDefault="009D7677" w:rsidP="009D7677">
      <w:pPr>
        <w:pStyle w:val="TextoNormal"/>
      </w:pPr>
      <w:r>
        <w:t>f) Debe indicarse —aunque sobre ello se volverá más adelante— que la pena prevista para el delito de atentado fue rebajada en dos grados por la apreciación de la circunstancia atenuante de dilaciones indebidas. Dicha circunstancia, a diferencia de otras previstas en el Código penal, no supone una menor intensidad de la gravedad de la conducta realizada o del delito cometido, nada tiene que ver dicha circunstancia con una menor antijuricidad o una atenuación del reproche culpabilítisco. En efecto, con ocasión del enjuiciamiento de la circunstancia atenuante de dilaciones indebidas, que es la aplicada por la STS 750/2021, para rebajar en dos grados la pena del delito de atentado, el Tribunal Constitucional ha indicado que “constatada judicialmente la comisión del hecho delictivo y declarada la consiguiente responsabilidad penal de su autor, el mayor o menor retraso en la conclusión del proceso no afecta... a ninguno de los extremos en que la condena se ha fundamentado, ni perjudica la realidad de la comisión del delito y las circunstancias determinantes de la responsabilidad criminal. Dada la manifiesta desconexión entre las dilaciones indebidas y la realidad del ilícito y la responsabilidad, no cabe pues derivar de aquellas una consecuencia sobre estas ni, desde luego, hacer derivar de las dilaciones la inejecución de la sentencia condenatoria” (STC 78/2013, de 8 de abril, FJ 3).</w:t>
      </w:r>
    </w:p>
    <w:p w14:paraId="66FA6EE5" w14:textId="77777777" w:rsidR="009D7677" w:rsidRDefault="009D7677" w:rsidP="009D7677">
      <w:pPr>
        <w:pStyle w:val="TextoNormal"/>
      </w:pPr>
    </w:p>
    <w:p w14:paraId="66BF48AE" w14:textId="77777777" w:rsidR="009D7677" w:rsidRDefault="009D7677" w:rsidP="009D7677">
      <w:pPr>
        <w:pStyle w:val="TextoNormal"/>
      </w:pPr>
      <w:r>
        <w:t>g) Por último, conviene recordar una evidencia cual es que en el supuesto de que la rigurosa aplicación de la pena consistente en ser elegido para cargos públicos durante un mes y quince días fuera considerada notablemente excesiva, “atendido el mal causado por la infracción y las circunstancias personales del reo”, expresamente se desautoriza al órgano judicial que eluda el sometimiento a la ley (arts. 9.3 y 117.1 CE) y que pueda hacer un uso alternativo del derecho. En efecto, el legislador ha impedido tal eventualidad. El órgano judicial no puede sustraerse de la aplicación de la pena, sino que conforme al art. 4.3 CP “sin perjuicio de ejecutar desde luego la sentencia, cuando de la rigurosa aplicación de las disposiciones de la ley […] la pena sea notablemente excesiva atendidos el mal causado por la infracción y las circunstancias personales del reo”, “acudirá al Gobierno exponiendo lo conveniente sobre la derogación o modificación del precepto o la concesión de indulto, sin perjuicio de ejecutar desde luego la sentencia”, precepto que no parece que pueda tener visos de inconstitucionalidad.</w:t>
      </w:r>
    </w:p>
    <w:p w14:paraId="5F3C1CEA" w14:textId="77777777" w:rsidR="009D7677" w:rsidRDefault="009D7677" w:rsidP="009D7677">
      <w:pPr>
        <w:pStyle w:val="TextoNormal"/>
      </w:pPr>
    </w:p>
    <w:p w14:paraId="6286CBC1" w14:textId="77777777" w:rsidR="009D7677" w:rsidRDefault="009D7677" w:rsidP="009D7677">
      <w:pPr>
        <w:pStyle w:val="TextoNormal"/>
      </w:pPr>
      <w:r>
        <w:t>Esto es, el órgano judicial no puede sustraerse de la aplicación y ejecución de la pena. Precisamente la característica principal del ejercicio de la función jurisdiccional y que la distingue del ejercicio de otras funciones públicas es que ha de hacerse con independencia y sometimiento exclusivo al imperio de la ley.</w:t>
      </w:r>
    </w:p>
    <w:p w14:paraId="04023747" w14:textId="77777777" w:rsidR="009D7677" w:rsidRDefault="009D7677" w:rsidP="009D7677">
      <w:pPr>
        <w:pStyle w:val="TextoNormal"/>
      </w:pPr>
    </w:p>
    <w:p w14:paraId="193BEE76" w14:textId="77777777" w:rsidR="009D7677" w:rsidRDefault="009D7677" w:rsidP="009D7677">
      <w:pPr>
        <w:pStyle w:val="TextoNormal"/>
      </w:pPr>
      <w:r>
        <w:t>2.3. Rechazo a la argumentación de la sentencia en relación con la desproporción derivada del contraste entre la pena accesoria (inhabilitación especial para el ejercicio del derecho de sufragio pasivo) y la forma de cumplimiento de la pena principal</w:t>
      </w:r>
    </w:p>
    <w:p w14:paraId="1CA96925" w14:textId="77777777" w:rsidR="009D7677" w:rsidRDefault="009D7677" w:rsidP="009D7677">
      <w:pPr>
        <w:pStyle w:val="TextoNormal"/>
      </w:pPr>
    </w:p>
    <w:p w14:paraId="548BE063" w14:textId="77777777" w:rsidR="009D7677" w:rsidRDefault="009D7677" w:rsidP="009D7677">
      <w:pPr>
        <w:pStyle w:val="TextoNormal"/>
      </w:pPr>
      <w:r>
        <w:t>Pese a que el demandante de amparo postula dos quejas independientes y autónomas en relación con el principio de legalidad penal, tanto al plantear el incidente de nulidad de actuaciones como al redactar la demanda de amparo —como ya se ha indicado—, sin em</w:t>
      </w:r>
      <w:r>
        <w:lastRenderedPageBreak/>
        <w:t>bargo, el tratamiento que se efectúa en la sentencia, consciente de que el recurrente no vincula la desproporción de la pena a la imposición de la inhabilitación para el ejercicio del derecho de sufragio pasivo es conjunto. Al principio de legalidad le dedica el extenso fundamento sexto.</w:t>
      </w:r>
    </w:p>
    <w:p w14:paraId="593E62CA" w14:textId="77777777" w:rsidR="009D7677" w:rsidRDefault="009D7677" w:rsidP="009D7677">
      <w:pPr>
        <w:pStyle w:val="TextoNormal"/>
      </w:pPr>
    </w:p>
    <w:p w14:paraId="6BD5FE0B" w14:textId="77777777" w:rsidR="009D7677" w:rsidRDefault="009D7677" w:rsidP="009D7677">
      <w:pPr>
        <w:pStyle w:val="TextoNormal"/>
      </w:pPr>
      <w:r>
        <w:t>En el mismo expone el contenido de la labor de control que le compete desarrollar a la jurisdicción constitucional de amparo bajo la invocación de la legalidad penal, desde la perspectiva material de prohibición de interpretaciones extensivas o analógicas, e indica que ese control es externo y limitado a evaluar la previsibilidad de la concreta interpretación llevada a cabo por los órganos judiciales, sin que resulte procedente valorar la adecuación a derecho o solidez de posibles alternativas interpretativas [FJ 6 d) (i)].</w:t>
      </w:r>
    </w:p>
    <w:p w14:paraId="42EBF100" w14:textId="77777777" w:rsidR="009D7677" w:rsidRDefault="009D7677" w:rsidP="009D7677">
      <w:pPr>
        <w:pStyle w:val="TextoNormal"/>
      </w:pPr>
    </w:p>
    <w:p w14:paraId="05C50468" w14:textId="77777777" w:rsidR="009D7677" w:rsidRDefault="009D7677" w:rsidP="009D7677">
      <w:pPr>
        <w:pStyle w:val="TextoNormal"/>
      </w:pPr>
      <w:r>
        <w:t>Señala que las resoluciones impugnadas han expuesto la regulación legal y los criterios interpretativos conforme a los cuales la sustitución de la pena de prisión inferior a tres meses no alcanza a las eventuales consecuencias accesorias o vinculadas a la pena sustituida. Debe subrayarse, por tanto, que el Tribunal Constitucional se desmarca de este modo de la queja del recurrente que consideraba que la pena impuesta no era la de prisión, sino la multa y da por hecho que la pena de multa es consecuencia de la sustitución operada. Indica, en tal sentido, que “ningún reproche constitucional puede hacerse a las decisiones impugnadas desde la exigencia formal de que se expongan de forma argumentada los criterios interpretativos y subsuntivos de la normativa penal aplicable al caso” [FJ 6 d) (ii)]. Afirma el Pleno que tampoco dicha interpretación quiebra con la existencia de pronunciamientos judiciales precedentes [FJ 6 d) (iii)], refutando, de este modo, la queja del recurrente.</w:t>
      </w:r>
    </w:p>
    <w:p w14:paraId="1C2E1D4D" w14:textId="77777777" w:rsidR="009D7677" w:rsidRDefault="009D7677" w:rsidP="009D7677">
      <w:pPr>
        <w:pStyle w:val="TextoNormal"/>
      </w:pPr>
    </w:p>
    <w:p w14:paraId="33405CDF" w14:textId="77777777" w:rsidR="009D7677" w:rsidRDefault="009D7677" w:rsidP="009D7677">
      <w:pPr>
        <w:pStyle w:val="TextoNormal"/>
      </w:pPr>
      <w:r>
        <w:t>Sin embargo, pese a tales afirmaciones, indica a renglón seguido y de modo contradictorio que se ha vulnerado el derecho a la legalidad penal desde la perspectiva de prohibición de interpretación extensiva o analógica de los preceptos sancionadores [FJ 6 e)]. Destaca que, desde la perspectiva del control externo que le corresponde desarrollar al Tribunal, ningún reproche cabe hacer respecto del soporte metodológico seguido —que según indica comprende consideraciones axiológicas—, por lo que “su resultado no puede ser calificado como irrazonable, ilógico o extravagante”. Sin embargo, a continuación, se aparta del control externo que le corresponde para indicar, tras esa afirmada inexistencia de reproche constitucional, que tanto la literalidad de la normativa penal como las consideraciones sistemáticas utilizadas no son inequívocas en relación con que resulte indefectible la pervivencia de las penas de prisión inferiores a tres meses y mantener las consecuencias accesorias. De este modo, el Tribunal Constitucional se adentra en el terreno de la interpretación de la legalidad ordinaria que le está constitucionalmente vedado y sustituye la labor del máximo intérprete de la legalidad ordinaria.</w:t>
      </w:r>
    </w:p>
    <w:p w14:paraId="3F9C6074" w14:textId="77777777" w:rsidR="009D7677" w:rsidRDefault="009D7677" w:rsidP="009D7677">
      <w:pPr>
        <w:pStyle w:val="TextoNormal"/>
      </w:pPr>
    </w:p>
    <w:p w14:paraId="664FDDEB" w14:textId="77777777" w:rsidR="009D7677" w:rsidRDefault="009D7677" w:rsidP="009D7677">
      <w:pPr>
        <w:pStyle w:val="TextoNormal"/>
      </w:pPr>
      <w:r>
        <w:t>Sostiene, contraviniendo su razonamiento anterior, que las referencias axiológicas efectuadas por el Tribunal Supremo no se desenvuelven dentro de las bases constitucionales referidas a la exigencia de proporcionalidad en la intervención penal. Y a partir de ahí, aplica el principio de proporcionalidad de la pena a la inhabilitación especial para el ejercicio del derecho de sufragio pasivo. De este modo se aparta del objeto de la demanda de amparo y de las alegaciones del recurrente, y reconstruye el recurso de amparo supliendo injustificadamente los argumentos del recurrente [FJ 6 e) (iii)] y como se verá alejándose del principio de proporcionalidad de la pena que dice aplicar.</w:t>
      </w:r>
    </w:p>
    <w:p w14:paraId="4C3C37CC" w14:textId="77777777" w:rsidR="009D7677" w:rsidRDefault="009D7677" w:rsidP="009D7677">
      <w:pPr>
        <w:pStyle w:val="TextoNormal"/>
      </w:pPr>
    </w:p>
    <w:p w14:paraId="258A7AC3" w14:textId="77777777" w:rsidR="009D7677" w:rsidRDefault="009D7677" w:rsidP="009D7677">
      <w:pPr>
        <w:pStyle w:val="TextoNormal"/>
      </w:pPr>
      <w:r>
        <w:t>La sentencia de la que discrepamos recuerda la doctrina constitucional por la que el juicio que procede realizar en amparo en relación con el principio de proporcionalidad en materia penal, respecto a la cantidad y calidad de la pena, parte de la potestad exclusiva del legislador y su amplio margen de libertad para configurar los tipos penales, los comportamientos penalmente reprensibles, el tipo y cuantía de las sanciones penales y la proporción entre las conductas que pretende evitar y las penas con las que intenta conseguirlo. Destaca que el juicio del Tribunal Constitucional queda limitado a “verificar que la norma penal no produzca un patente derroche inútil de coacción que convierte la norma en arbitraria y que socava los principios elementales de justicia inherentes a la dignidad de la persona y al Estado de Derecho o una actividad pública arbitraria y no respetuosa con la dignidad de la persona y, con ello, de los derechos y libertades fundamentales de la misma”.</w:t>
      </w:r>
    </w:p>
    <w:p w14:paraId="705801E0" w14:textId="77777777" w:rsidR="009D7677" w:rsidRDefault="009D7677" w:rsidP="009D7677">
      <w:pPr>
        <w:pStyle w:val="TextoNormal"/>
      </w:pPr>
    </w:p>
    <w:p w14:paraId="3418B62B" w14:textId="77777777" w:rsidR="009D7677" w:rsidRDefault="009D7677" w:rsidP="009D7677">
      <w:pPr>
        <w:pStyle w:val="TextoNormal"/>
      </w:pPr>
      <w:r>
        <w:t>Si bien, pese a recordar el estándar de control que se proyecta sobre el principio de proporcionalidad de la pena, lejos de verificar si existe un patente derroche inútil de coacción que socave los principios elementales de justicia, en el fundamento jurídico 6 e) (iv) se dedica a efectuar una interpretación alternativa de las normas penales para alcanzar la conclusión, al amparo de un desfigurado principio de proporcionalidad penal, de que la pena de inhabilitación de un mes y quince días, por la que el recurrente no podía presentarse como candidato a elecciones durante ese periodo —y pese a que no se convocó elección alguna— es desproporcionada.</w:t>
      </w:r>
    </w:p>
    <w:p w14:paraId="3A672F50" w14:textId="77777777" w:rsidR="009D7677" w:rsidRDefault="009D7677" w:rsidP="009D7677">
      <w:pPr>
        <w:pStyle w:val="TextoNormal"/>
      </w:pPr>
    </w:p>
    <w:p w14:paraId="1FC835F1" w14:textId="77777777" w:rsidR="009D7677" w:rsidRDefault="009D7677" w:rsidP="009D7677">
      <w:pPr>
        <w:pStyle w:val="TextoNormal"/>
      </w:pPr>
      <w:r>
        <w:t>A tal efecto, no efectúa un contraste entre la gravedad de la infracción y la gravedad de la pena de inhabilitación —únicos parámetros que deben ser utilizados para valorar la desproporción de la pena—, sino que sustenta la desproporción, apartándose de la doctrina constitucional, en un improcedente cotejo entre la pena sustitutiva —la de multa— y la pena accesoria derivada de la pena de prisión. A tal fin, refiere que ninguna pena de multa tiene la calificación de grave y que la pena de multa inferior a tres meses es una pena leve. Destaca que la pena de prisión está acompañada de consecuencias accesorias, que con carácter general son privativas de derechos diferentes a la libertad —cita las suspensiones e inhabilitaciones— e indica que, pese a que la pena que tiene señalado el delito de atentado tiene un mínimo de seis meses de prisión, la pena que resultó impuesta como consecuencia de la obligada sustitución de la pena de prisión de un mes y quince días por multa es una pena leve. Considera que el Tribunal Supremo no ha ponderado adecuadamente que la pena de prisión de duración inferior a tres meses al quedar sometida a la obligación legislativa de sustitución por otras de gravedad normativa e incidencia cualitativa y cuantitativa en términos de sacrificio no parangonables con la pena de prisión es desproporcionada. De este modo al imponer la pena de inhabilitación resulta una interpretación imprevisible “ya que utiliza un soporte axiológico ajeno al principio constitucional de proporcionalidad por implicar un desproporcionado sacrificio en el derecho fundamental del afectado de representación política, que produce un patente derroche inútil de coacción”.</w:t>
      </w:r>
    </w:p>
    <w:p w14:paraId="0A1F5CD6" w14:textId="77777777" w:rsidR="009D7677" w:rsidRDefault="009D7677" w:rsidP="009D7677">
      <w:pPr>
        <w:pStyle w:val="TextoNormal"/>
      </w:pPr>
    </w:p>
    <w:p w14:paraId="0437DFE3" w14:textId="77777777" w:rsidR="009D7677" w:rsidRDefault="009D7677" w:rsidP="009D7677">
      <w:pPr>
        <w:pStyle w:val="TextoNormal"/>
      </w:pPr>
      <w:r>
        <w:t>Dicho razonamiento que vincula por exigencias de la proyección de un transfigurado principio de proporcionalidad penal la suerte de la pena accesoria al modo de cumplimiento de la pena principal es inadmisible en términos constitucionales.</w:t>
      </w:r>
    </w:p>
    <w:p w14:paraId="5CF98885" w14:textId="77777777" w:rsidR="009D7677" w:rsidRDefault="009D7677" w:rsidP="009D7677">
      <w:pPr>
        <w:pStyle w:val="TextoNormal"/>
      </w:pPr>
    </w:p>
    <w:p w14:paraId="2C6C2965" w14:textId="77777777" w:rsidR="009D7677" w:rsidRDefault="009D7677" w:rsidP="009D7677">
      <w:pPr>
        <w:pStyle w:val="TextoNormal"/>
      </w:pPr>
      <w:r>
        <w:lastRenderedPageBreak/>
        <w:t>En efecto, la pena accesoria se mantiene cuando la pena principal —por razones de política criminal, tales como evitar el cumplimiento de penas cortas de prisión por el efecto criminógeno que de dicho cumplimiento pudiera derivarse— se cumple de modo alternativo bien a través de su sustitución o suspensión. Los fines del cumplimiento alternativo de la pena de prisión no alcanzan a las penas accesorias, así se ha pronunciado este tribunal, como se verá más adelante. El principio de proporcionalidad no determina que la suerte del cumplimiento de la pena accesoria se vincule a la forma de cumplimiento de la pena principal. De aceptarse el criterio de la sentencia y no ser doctrina de caso único, en los supuestos de indulto y de suspensión de la ejecución de la pena, se quebraría el principio de proporcionalidad en los casos en que se mantuviera el cumplimiento de la pena accesoria. Ese criterio no es —como se verá, STC 209/1993, de 28 de junio, FJ 6— el criterio que ha venido sosteniendo el Tribunal Constitucional.</w:t>
      </w:r>
    </w:p>
    <w:p w14:paraId="6DE4F013" w14:textId="77777777" w:rsidR="009D7677" w:rsidRDefault="009D7677" w:rsidP="009D7677">
      <w:pPr>
        <w:pStyle w:val="TextoNormal"/>
      </w:pPr>
    </w:p>
    <w:p w14:paraId="2DAA5707" w14:textId="77777777" w:rsidR="009D7677" w:rsidRDefault="009D7677" w:rsidP="009D7677">
      <w:pPr>
        <w:pStyle w:val="TextoNormal"/>
      </w:pPr>
      <w:r>
        <w:t>Debe añadirse que la previsión de la pena de prisión en un delito sin posible alternativa —“prisión o multa”, como sucede en el delito de atentado— es ya una valoración sobre su gravedad. La sustitución de la pena del art. 71.2 CP, esto es, la forma de cumplimiento alternativa, nada tiene que ver, como se ha indicado con un juicio de valor sobre la gravedad del hecho y de la culpabilidad del autor, sino que, como puso de manifiesto atinadamente la Sala de lo Penal del Tribunal Supremo, en sintonía con la doctrina de este tribunal, con la finalidad del cumplimiento de la pena.</w:t>
      </w:r>
    </w:p>
    <w:p w14:paraId="0411CC1E" w14:textId="77777777" w:rsidR="009D7677" w:rsidRDefault="009D7677" w:rsidP="009D7677">
      <w:pPr>
        <w:pStyle w:val="TextoNormal"/>
      </w:pPr>
    </w:p>
    <w:p w14:paraId="0464ACB1" w14:textId="77777777" w:rsidR="009D7677" w:rsidRDefault="009D7677" w:rsidP="009D7677">
      <w:pPr>
        <w:pStyle w:val="TextoNormal"/>
      </w:pPr>
      <w:r>
        <w:t>2.4. Inexistencia de derroche inútil de coacción por la imposición de la pena accesoria de inhabilitación para ser candidato a elecciones a cargo público durante un mes y quince días en que no hubo elecciones</w:t>
      </w:r>
    </w:p>
    <w:p w14:paraId="66E70DF1" w14:textId="77777777" w:rsidR="009D7677" w:rsidRDefault="009D7677" w:rsidP="009D7677">
      <w:pPr>
        <w:pStyle w:val="TextoNormal"/>
      </w:pPr>
    </w:p>
    <w:p w14:paraId="74FEA18C" w14:textId="77777777" w:rsidR="009D7677" w:rsidRDefault="009D7677" w:rsidP="009D7677">
      <w:pPr>
        <w:pStyle w:val="TextoNormal"/>
      </w:pPr>
      <w:r>
        <w:t>La imposición de una pena de inhabilitación especial para el ejercicio del derecho de sufragio pasivo que no llegó a producir afectación alguna en la esfera de derechos del recurrente al no haberse convocado en ese periodo elecciones no puede considerarse incursa en un patente derroche inútil de coacción. Esa conclusión se refuerza si se toma en consideración que la pena se ha impuesto muy por debajo del mínimo legal a quien ha sido condenado por un delito contra el orden público, en concreto por un delito de atentado. La lesividad de la conducta punible, pese a la rebaja de la pena de prisión, no se ve atenuada por el reconocimiento de la circunstancia atenuante de dilaciones indebidas, que en nada afecta a la intensidad de la antijuricidad y culpabilidad de la conducta por la que ha sido reprochado penalmente. Por otra parte, el órgano judicial no puede apartarse de la pena prevista en el Código penal aun por razón de considerarla excesiva. La distinta naturaleza y características de penas tan dispares como la prisión y la inhabilitación, determina que pueda sostenerse racionalmente en términos constitucionales —sin reproche alguno de desproporción— que la suerte que siga la forma de cumplimiento de la pena de prisión (sustitución —art.71.2 CP— o suspensión —art. 80—), no afecta al cumplimiento de la pena accesoria de inhabilitación (así lo indicó este tribunal en la STC 209/1993, de 28 de junio, FJ 6). Finalmente, no puede compartirse que el Tribunal Supremo haya ponderado inadecuadamente la imposición de la pena de inhabilitación especial.</w:t>
      </w:r>
    </w:p>
    <w:p w14:paraId="7986EEBA" w14:textId="77777777" w:rsidR="009D7677" w:rsidRDefault="009D7677" w:rsidP="009D7677">
      <w:pPr>
        <w:pStyle w:val="TextoNormal"/>
      </w:pPr>
    </w:p>
    <w:p w14:paraId="7E5932AE" w14:textId="77777777" w:rsidR="009D7677" w:rsidRDefault="009D7677" w:rsidP="009D7677">
      <w:pPr>
        <w:pStyle w:val="TextoNormal"/>
      </w:pPr>
      <w:r>
        <w:t>En primer lugar, debe indicarse que no es sostenible, desde un prisma lógico-racional, ni tampoco entendible desde parámetros interpretativos de común aceptación, que se considere “un patente derroche inútil de coacción” la imposición de una pena que consiste en impedir que el recurrente, durante un mes y quince días, no pudiera presentarse como can</w:t>
      </w:r>
      <w:r>
        <w:lastRenderedPageBreak/>
        <w:t>didato a unas potenciales elecciones que no existieron, máxime cuando esa pena se ha impuesto porque el recurrente —que fue condenado como autor de un delito de atentado— ya vio rebajada la pena muy por debajo del mínimo legal por la apreciación de la circunstancia atenuante de dilaciones indebidas, que nada tiene que ver con la gravedad de la conducta.</w:t>
      </w:r>
    </w:p>
    <w:p w14:paraId="1E07E03B" w14:textId="77777777" w:rsidR="009D7677" w:rsidRDefault="009D7677" w:rsidP="009D7677">
      <w:pPr>
        <w:pStyle w:val="TextoNormal"/>
      </w:pPr>
    </w:p>
    <w:p w14:paraId="73EBD47D" w14:textId="77777777" w:rsidR="009D7677" w:rsidRDefault="009D7677" w:rsidP="009D7677">
      <w:pPr>
        <w:pStyle w:val="TextoNormal"/>
      </w:pPr>
      <w:r>
        <w:t>La concesión del presente amparo, que previsiblemente traerá como consecuencia accesoria que no se llegue a enjuiciar la eventual vulneración del principio de proporcionalidad ocasionada por la pérdida del escaño objeto del recurso de amparo núm. 74-2022, de fecha anterior al presente, no puede ser compartida.</w:t>
      </w:r>
    </w:p>
    <w:p w14:paraId="76D2DF16" w14:textId="77777777" w:rsidR="009D7677" w:rsidRDefault="009D7677" w:rsidP="009D7677">
      <w:pPr>
        <w:pStyle w:val="TextoNormal"/>
      </w:pPr>
    </w:p>
    <w:p w14:paraId="13539F37" w14:textId="77777777" w:rsidR="009D7677" w:rsidRDefault="009D7677" w:rsidP="009D7677">
      <w:pPr>
        <w:pStyle w:val="TextoNormal"/>
      </w:pPr>
      <w:r>
        <w:t>En efecto, la sentencia produce una injustificada rebaja del estándar de exigencia ética de quienes pretenden presentarse como candidato a las elecciones. Considerar que incurre en un derroche inútil de coacción impedir que se presente como candidato durante un mes y quince días —periodo en que ni tan siquiera hubo elecciones convocadas— a quien ha sido condenado como autor de un delito de atentado por dar una patada a un policía que cumplía con las funciones de su cargo, supone reducir a la insignificancia la exigencia de ejemplaridad de quienes aspiran a ser representantes públicos.</w:t>
      </w:r>
    </w:p>
    <w:p w14:paraId="17068421" w14:textId="77777777" w:rsidR="009D7677" w:rsidRDefault="009D7677" w:rsidP="009D7677">
      <w:pPr>
        <w:pStyle w:val="TextoNormal"/>
      </w:pPr>
    </w:p>
    <w:p w14:paraId="75780DD6" w14:textId="77777777" w:rsidR="009D7677" w:rsidRDefault="009D7677" w:rsidP="009D7677">
      <w:pPr>
        <w:pStyle w:val="TextoNormal"/>
      </w:pPr>
      <w:r>
        <w:t>Debe indicarse que de la apreciación de la circunstancia atenuante de dilaciones indebidas —que es en la que fundamenta la rebaja en dos grados de la pena mínima legalmente prevista— no resulta una mitigación o una menor intensidad —determinante para efectuar el juicio de proporcionalidad— de la gravedad de la conducta realizada o del delito cometido. Nada tiene que ver dicha circunstancia —que es la que ha determinado la rebaja de la pena— con una menor antijuricidad o una atenuación del reproche de la culpabilidad. La sentencia de la que manifestamos nuestra discrepancia no se refiere desde un plano axiológico al fundamento de la rebaja punitiva a fin de ponderar si ha existido el predicado derroche inútil de coacción —tampoco alude a los efectos de la ponderación de la desproporción a que no se convocaron elecciones y que ninguna afectación tuvo la pena de inhabilitación en la esfera de derechos del recurrente— y ello pese a que le reprocha al Tribunal Supremo no haber realizado una ponderación adecuada.</w:t>
      </w:r>
    </w:p>
    <w:p w14:paraId="36A4891E" w14:textId="77777777" w:rsidR="009D7677" w:rsidRDefault="009D7677" w:rsidP="009D7677">
      <w:pPr>
        <w:pStyle w:val="TextoNormal"/>
      </w:pPr>
    </w:p>
    <w:p w14:paraId="1703CA0E" w14:textId="77777777" w:rsidR="009D7677" w:rsidRDefault="009D7677" w:rsidP="009D7677">
      <w:pPr>
        <w:pStyle w:val="TextoNormal"/>
      </w:pPr>
      <w:r>
        <w:t>La inexistente minoración de la antijuricidad y de la culpabilidad como consecuencia de la apreciación de la atenuante de dilaciones indebidas —y por tanto la inexistente disminución de la gravedad del delito de atentado— fue puesta de manifiesto por el Tribunal Constitucional al precisar que “constatada judicialmente la comisión del hecho delictivo y declarada la consiguiente responsabilidad penal de su autor, el mayor o menor retraso en la conclusión del proceso no afecta... a ninguno de los extremos en que la condena se ha fundamentado, ni perjudica la realidad de la comisión del delito y las circunstancias determinantes de la responsabilidad criminal. Dada la manifiesta desconexión entre las dilaciones indebidas y la realidad del ilícito y la responsabilidad, no cabe pues derivar de aquellas una consecuencia sobre estas ni, desde luego, hacer derivar de las dilaciones la inejecución de la sentencia condenatoria” (STC 78/2013, de 8 de abril, FJ 3). La presente sentencia no pondera axiológicamente a los efectos de valorar la proporcionalidad de la pena de inhabilitación el fundamento por el que se produce la rebaja de la pena y su desvinculación con la realidad del ilícito y la responsabilidad del recurrente.</w:t>
      </w:r>
    </w:p>
    <w:p w14:paraId="368714BE" w14:textId="77777777" w:rsidR="009D7677" w:rsidRDefault="009D7677" w:rsidP="009D7677">
      <w:pPr>
        <w:pStyle w:val="TextoNormal"/>
      </w:pPr>
    </w:p>
    <w:p w14:paraId="50D3DC85" w14:textId="77777777" w:rsidR="009D7677" w:rsidRDefault="009D7677" w:rsidP="009D7677">
      <w:pPr>
        <w:pStyle w:val="TextoNormal"/>
      </w:pPr>
      <w:r>
        <w:lastRenderedPageBreak/>
        <w:t>También conviene insistir en que en el supuesto de que la rigurosa aplicación de la pena consistente en la privación de la posibilidad de ser elegido para cargos públicos durante un mes y quince días fuera hipotéticamente considerada notablemente excesiva, “atendido el mal causado por la infracción y las circunstancias personales del reo” —apreciación que se advierte como improbable desde parámetros interpretativos aceptados por la comunidad jurídica— expresamente el legislador desautoriza que el órgano judicial eluda su sometimiento a la ley (arts. 9.3 y 117.1 CE) y pueda hacer un uso alternativo del derecho. En efecto, se indica que el órgano judicial no puede sustraerse de la aplicación de la pena, sino que conforme al art. 4.3 CP “acudirá al Gobierno exponiendo lo conveniente sobre la derogación o modificación del precepto o la concesión de indulto, sin perjuicio de ejecutar desde luego la sentencia”, precepto que no parece que pueda tener visos de inconstitucionalidad. Esto es, el Tribunal Supremo como máximo intérprete de la legalidad ordinaria, en el caso de que hubiera considerado que la pena a imponer fuera excesiva por las razones mencionadas —insistimos que dicha consideración es inviable porque ya se le ha aplicado una rebaja de la pena que nada ha tenido que ver con la minoración de la gravedad de la infracción— no podría sustraerse de la aplicación y ejecución de la pena. Precisamente la característica principal del ejercicio de la función jurisdiccional y que la distingue del ejercicio de otras funciones públicas es que ha de hacerse con independencia y sometimiento exclusivo al imperio de la ley, de tal modo que se puede afirmar que se es independiente porque se está sometido únicamente al Derecho y se está sometido únicamente al Derecho porque se es independiente (art. 117.1 CE).</w:t>
      </w:r>
    </w:p>
    <w:p w14:paraId="5915C131" w14:textId="77777777" w:rsidR="009D7677" w:rsidRDefault="009D7677" w:rsidP="009D7677">
      <w:pPr>
        <w:pStyle w:val="TextoNormal"/>
      </w:pPr>
    </w:p>
    <w:p w14:paraId="36CF6C2A" w14:textId="77777777" w:rsidR="009D7677" w:rsidRDefault="009D7677" w:rsidP="009D7677">
      <w:pPr>
        <w:pStyle w:val="TextoNormal"/>
      </w:pPr>
      <w:r>
        <w:t>Debe añadirse que tampoco el Pleno del Tribunal Constitucional ha tomado en consideración en su razonamiento axiológico la distinta naturaleza y características de penas tan dispares como la prisión y la inhabilitación, distinción que sí ha sido ponderada por el Tribunal Supremo. Al eludir enfrentarse al elemento que diferencia tales penas —y que imposibilita su automática vinculación—, la sentencia de la que discrepamos no solo silencia en su ponderación un aspecto relevante, sino que desconoce nuestra propia doctrina. Es procedente traer a colación la STC 209/1993, de 28 de junio, en la que el Tribunal Constitucional expresamente examinó la finalidad de la entonces llamada condena condicional, como mecanismo que evita los perjuicios derivados del cumplimiento de penas cortas de prisión y que no era proyectable a penas o medidas de naturaleza distinta, como la inhabilitación especial. Razonamiento que es de aplicación al presente caso, aun cuando la pena de prisión no se suspende, sino que con el mismo fin se sustituye.</w:t>
      </w:r>
    </w:p>
    <w:p w14:paraId="08E1304C" w14:textId="77777777" w:rsidR="009D7677" w:rsidRDefault="009D7677" w:rsidP="009D7677">
      <w:pPr>
        <w:pStyle w:val="TextoNormal"/>
      </w:pPr>
    </w:p>
    <w:p w14:paraId="05E33670" w14:textId="77777777" w:rsidR="009D7677" w:rsidRDefault="009D7677" w:rsidP="009D7677">
      <w:pPr>
        <w:pStyle w:val="TextoNormal"/>
      </w:pPr>
      <w:r>
        <w:t xml:space="preserve">Se indicaba que, efectivamente, la mal llamada condena condicional, que fue incorporada a nuestro ordenamiento jurídico por la ley de 17 de marzo de 1908 dentro de un generalizado movimiento de opinión en los países de nuestro entorno, tenía una finalidad explícita, a la cual sirve también la remisión condicional de la condena, en expresión más precisa del Código penal, que ha heredado la institución. En línea con los argumentos expuestos en las resoluciones impugnadas, se indicaba que una vez comprobada la ineficacia de las penas cortas de privación de libertad para conseguir la corrección del reo e incluso el riesgo de contagio que conlleva la convivencia de quien ha delinquido ocasionalmente con los delincuentes habituales o profesionales, se arbitró como “ensayo” en su día, que se ha demostrado positivo, la suspensión del cumplimiento de la condena impuesta, si se trata de “primarios” (una primera vez), para conseguir así, mediante la doble presión de la gratitud por el beneficio y el temor de su pérdida, la rehabilitación, con una función profiláctica de la criminalidad. Tal es la concepción que hace pública la exposición de motivos, </w:t>
      </w:r>
      <w:r>
        <w:lastRenderedPageBreak/>
        <w:t>interpretación auténtica de la ley y que asumía dos semanas después de su promulgación la circular del fiscal del Tribunal Supremo más arriba mencionada (STC 209/1993, FJ 5).</w:t>
      </w:r>
    </w:p>
    <w:p w14:paraId="7AFF0B40" w14:textId="77777777" w:rsidR="009D7677" w:rsidRDefault="009D7677" w:rsidP="009D7677">
      <w:pPr>
        <w:pStyle w:val="TextoNormal"/>
      </w:pPr>
    </w:p>
    <w:p w14:paraId="6DAD463D" w14:textId="77777777" w:rsidR="009D7677" w:rsidRDefault="009D7677" w:rsidP="009D7677">
      <w:pPr>
        <w:pStyle w:val="TextoNormal"/>
      </w:pPr>
      <w:r>
        <w:t>Pues bien, consecuente con tales propósitos, se indicaba que el Código penal autoriza o hace obligatoria, según los casos, la condena condicional que deja en suspenso la ejecución de ciertas penas, privativas de libertad, impuestas directa o subsidiariamente, no de las medidas de seguridad ni de las cautelares materialmente idénticas pero funcionalmente distintas (prisión preventiva), sin extenderlas a las restrictivas de derechos, si figurasen como accesorias (arts. 93 y 97), aun cuando fueren impuestas como principales. Indicaba la sentencia que “‘el texto es claro y responde a la función institucional de esta modalidad del cumplimiento de las penas, no se olvide esto, nunca de su incumplimiento’ (STC 165/1992). La distinta naturaleza así como las características tan dispares de la prisión y de la suspensión de derechos cívicos o inhabilitación para su ejercicio, cualquiera que sea su carácter, ‘pronunciamiento cuya carga infamante, como máximo reproche social, es la razón determinante de que el así señalado sea excluido de cargos y funciones públicas’ (STC 165/1993), son la más palmaria justificación de que el legislador ha optado en este caso por una solución razonable, tanto y tan legítima al menos como sería la de extender el beneficio a toda clase de penas, si así creyera servir mejor al fin último del sistema penitenciario no solamente represivo sino también constitucionalmente orientado a la reeducación y reinserción social (art. 25 CE)’” (STC 209/1993, FJ 6).</w:t>
      </w:r>
    </w:p>
    <w:p w14:paraId="7B9195A2" w14:textId="77777777" w:rsidR="009D7677" w:rsidRDefault="009D7677" w:rsidP="009D7677">
      <w:pPr>
        <w:pStyle w:val="TextoNormal"/>
      </w:pPr>
    </w:p>
    <w:p w14:paraId="37226C47" w14:textId="77777777" w:rsidR="009D7677" w:rsidRDefault="009D7677" w:rsidP="009D7677">
      <w:pPr>
        <w:pStyle w:val="TextoNormal"/>
      </w:pPr>
      <w:r>
        <w:t>Debe indicarse que conforme a la precitada sentencia puede sostenerse racionalmente en términos constitucionales —sin reproche alguno de desproporción— que la suerte que siga la forma de cumplimiento de la pena de prisión (sustitución —art.71.2 CP— o suspensión —art. 80—), no afecta al cumplimiento de la pena accesoria de inhabilitación, atendidas sus naturalezas y características dispares (así lo indicó este tribunal en la STC 209/1993, de 28 de junio, FJ 6), por lo que la vinculación automática que efectúa la sentencia de la que discrepamos entre la sustitución de la pena de prisión por multa y la imposibilidad de aplicar la pena accesoria, desnuda de cualquier razonamiento valorativo acerca de la razón de la rebaja punitiva —y por tanto de la obligada sustitución de la pena de multa— y de la distinta naturaleza y funcionalidad de las penas de prisión y de inhabilitación, para sostener la desproporción de la pena, no es admisible en términos constitucionales. Al mismo tiempo, como se ha indicado, dicho razonamiento se separa de nuestra doctrina que desvincula el modo de cumplimiento de la pena de prisión de la suerte que deba seguir el cumplimiento de la pena accesoria impuesta, atendidas su naturaleza y características dispares.</w:t>
      </w:r>
    </w:p>
    <w:p w14:paraId="36F88DC8" w14:textId="77777777" w:rsidR="009D7677" w:rsidRDefault="009D7677" w:rsidP="009D7677">
      <w:pPr>
        <w:pStyle w:val="TextoNormal"/>
      </w:pPr>
    </w:p>
    <w:p w14:paraId="49E1AC41" w14:textId="77777777" w:rsidR="009D7677" w:rsidRDefault="009D7677" w:rsidP="009D7677">
      <w:pPr>
        <w:pStyle w:val="TextoNormal"/>
      </w:pPr>
      <w:r>
        <w:t xml:space="preserve">Por otra parte, no es comprensible que la sentencia le reproche al Tribunal Supremo no haber ponderado adecuadamente que la pena de multa esta liberada de consecuencias accesorias y que la imposición de la pena de inhabilitación afecta al derecho fundamental de representación política del recurrente, cuando expresamente se ha referido a tales extremos. La sentencia silencia que el auto del Tribunal Supremo de 15 de diciembre de 2021, expresamente se refiere a sendos aspectos al poner de manifiesto —en línea con nuestra doctrina, STC 209/1993—, que el fundamento de la sustitución por la pena de multa no se relaciona con un cambio de pena en atención a la naturaleza del delito cometido que pudiera afectar al juicio de proporcionalidad, sino que se asienta en la conveniencia de evitar el cumplimiento efectivo de penas cortas de prisión; y que “aunque la liquidación de esa condena [refiriéndose a la inhabilitación del ejercicio del derecho de sufragio pasivo] aún </w:t>
      </w:r>
      <w:r>
        <w:lastRenderedPageBreak/>
        <w:t>no ha sido aprobada formalmente, se ha practicado la liquidación abarcando un periodo temporal en el que no afecta a ningún proceso electoral”.</w:t>
      </w:r>
    </w:p>
    <w:p w14:paraId="3F5C15A4" w14:textId="77777777" w:rsidR="009D7677" w:rsidRDefault="009D7677" w:rsidP="009D7677">
      <w:pPr>
        <w:pStyle w:val="TextoNormal"/>
      </w:pPr>
    </w:p>
    <w:p w14:paraId="32B43C0F" w14:textId="77777777" w:rsidR="009D7677" w:rsidRDefault="009D7677" w:rsidP="009D7677">
      <w:pPr>
        <w:pStyle w:val="TextoNormal"/>
      </w:pPr>
      <w:r>
        <w:t>Por lo anteriormente expuesto puede concluirse —a diferencia de la sentencia de la que discrepamos— que desde el alcance del control constitucional de la proporcionalidad, salvo que se desdibuje el principio de proporcionalidad hasta hacerlo irreconocible, no puede apreciarse que la pena de inhabilitación impuesta haya producido un patente derroche inútil de coacción que convierte la norma en arbitraria y que socava los principios elementales de justicia inherentes a la dignidad de la persona y al Estado de Derecho.</w:t>
      </w:r>
    </w:p>
    <w:p w14:paraId="50D41CA8" w14:textId="77777777" w:rsidR="009D7677" w:rsidRDefault="009D7677" w:rsidP="009D7677">
      <w:pPr>
        <w:pStyle w:val="TextoNormal"/>
      </w:pPr>
    </w:p>
    <w:p w14:paraId="5E12B0BF" w14:textId="77777777" w:rsidR="009D7677" w:rsidRDefault="009D7677" w:rsidP="009D7677">
      <w:pPr>
        <w:pStyle w:val="TextoNormal"/>
      </w:pPr>
      <w:r>
        <w:t xml:space="preserve">Nadie ha cuestionado que el bien jurídico protegido por la norma penal es lo suficientemente relevante como para motivar la intervención del </w:t>
      </w:r>
      <w:r w:rsidRPr="009D7677">
        <w:rPr>
          <w:i/>
        </w:rPr>
        <w:t>ius puniendi</w:t>
      </w:r>
      <w:r>
        <w:t>, por otra parte, la privación de derecho a presentarse como candidato a las elecciones durante un corto periodo de tiempo, a quien ha sido condenado precisamente por un delito contra el orden público, no puede considerare inidóneo o innecesario a fin de preservar el bien protegido por el delito contra el orden público. Y finalmente, se ha respetado la existencia de una proporción en sentido estricto entre las respectivas gravedades del delito de atentado —que no se han visto atenuadas por la aplicación de la atenuante de dilaciones indebidas, al no minorar dicha circunstancia ni la antijuricidad del delito ni la culpabilidad del autor— y de la pena impuesta de inhabilitación para el ejercicio del derecho de sufragio pasivo durante un mes y quince días, que supone una rebaja en dos grados respecto del mínimo legal y que no ha tenido ninguna repercusión en la esfera de derechos del recurrente al no haberse convocado elecciones como bien afirma el auto de la Sala de lo Penal del Tribunal Supremo recurrido.</w:t>
      </w:r>
    </w:p>
    <w:p w14:paraId="1A84D591" w14:textId="77777777" w:rsidR="009D7677" w:rsidRDefault="009D7677" w:rsidP="009D7677">
      <w:pPr>
        <w:pStyle w:val="TextoNormal"/>
      </w:pPr>
    </w:p>
    <w:p w14:paraId="6CE376A5" w14:textId="77777777" w:rsidR="009D7677" w:rsidRDefault="009D7677" w:rsidP="009D7677">
      <w:pPr>
        <w:pStyle w:val="TextoNormal"/>
      </w:pPr>
      <w:r>
        <w:t xml:space="preserve">3. </w:t>
      </w:r>
      <w:r w:rsidRPr="009D7677">
        <w:rPr>
          <w:i/>
        </w:rPr>
        <w:t>La sentencia incurre en incongruencia interna e irracionabilidad al excluir en el fallo la pena de prisión pese a que en la fundamentación se declara la misma conforme con el principio de legalidad penal</w:t>
      </w:r>
    </w:p>
    <w:p w14:paraId="0649CA17" w14:textId="77777777" w:rsidR="009D7677" w:rsidRDefault="009D7677" w:rsidP="009D7677">
      <w:pPr>
        <w:pStyle w:val="TextoNormal"/>
      </w:pPr>
    </w:p>
    <w:p w14:paraId="1C917FEE" w14:textId="77777777" w:rsidR="009D7677" w:rsidRDefault="009D7677" w:rsidP="009D7677">
      <w:pPr>
        <w:pStyle w:val="TextoNormal"/>
      </w:pPr>
      <w:r>
        <w:t>Indica el fallo de la sentencia de la que discrepamos que “el Tribunal Constitucional, por la autoridad que le confiere la Constitución de la Nación española ha decidido estimar el recurso de amparo interpuesto por don Alberto Rodríguez Rodríguez y, en su virtud […] 2º Restablecer al demandante de amparo en su derecho y, a tal fin, declarar la nulidad de la sentencia de la Sala de lo Penal del Tribunal Supremo núm. 750-2021, de 6 de octubre de 2021, y del auto de 15 de diciembre de 2021, pronunciados en la causa especial núm. 21019-2019, en el exclusivo extremo relativo a que en el apartado primero del fallo de la sentencia condenatoria se hace referencia a que se impone al recurrente ‘la pena de un mes y quince días de prisión, con la accesoria de inhabilitación especial para el derecho de sufragio pasivo durante el tiempo de la condena’; debiendo mantenerse únicamente la mención a que la pena impuesta es ‘la pena de multa de noventa días con cuota diaria de seis euros”.</w:t>
      </w:r>
    </w:p>
    <w:p w14:paraId="45E62DF6" w14:textId="77777777" w:rsidR="009D7677" w:rsidRDefault="009D7677" w:rsidP="009D7677">
      <w:pPr>
        <w:pStyle w:val="TextoNormal"/>
      </w:pPr>
    </w:p>
    <w:p w14:paraId="26BAEFBC" w14:textId="77777777" w:rsidR="009D7677" w:rsidRDefault="009D7677" w:rsidP="009D7677">
      <w:pPr>
        <w:pStyle w:val="TextoNormal"/>
      </w:pPr>
      <w:r>
        <w:t>El ordinal segundo del fallo de la sentencia es incongruente con su propia fundamentación: En ningún momento se afirma en los fundamentos jurídicos de la sentencia que la imposición de la pena de prisión vulnere derecho fundamental alguno, sino que la lesión se circunscribe al mantenimiento de la pena accesoria, por lo que excluir la pena de prisión en la redacción del fallo de la sentencia impugnada se traduce en una incongruencia interna en sentido lógico y procesal de la sentencia.</w:t>
      </w:r>
    </w:p>
    <w:p w14:paraId="485010D7" w14:textId="77777777" w:rsidR="009D7677" w:rsidRDefault="009D7677" w:rsidP="009D7677">
      <w:pPr>
        <w:pStyle w:val="TextoNormal"/>
      </w:pPr>
    </w:p>
    <w:p w14:paraId="2A2FD113" w14:textId="77777777" w:rsidR="009D7677" w:rsidRDefault="009D7677" w:rsidP="009D7677">
      <w:pPr>
        <w:pStyle w:val="TextoNormal"/>
      </w:pPr>
      <w:r>
        <w:t>Es la primera vez que una sentencia del Tribunal Constitucional modifica la pena que debe imponerse a un condenado y considera que la pena impuesta es la de multa y no la de prisión, y lo hace además no solo sin sustento alguno argumental, sino sin que hubiera sido solicitado por el recurrente de amparo.</w:t>
      </w:r>
    </w:p>
    <w:p w14:paraId="1B1F0761" w14:textId="77777777" w:rsidR="009D7677" w:rsidRDefault="009D7677" w:rsidP="009D7677">
      <w:pPr>
        <w:pStyle w:val="TextoNormal"/>
      </w:pPr>
    </w:p>
    <w:p w14:paraId="3D58F43E" w14:textId="77777777" w:rsidR="009D7677" w:rsidRDefault="009D7677" w:rsidP="009D7677">
      <w:pPr>
        <w:pStyle w:val="TextoNormal"/>
      </w:pPr>
      <w:r>
        <w:t>Ciertamente, ese pronunciamiento contenido en el fallo de la sentencia al suprimirse la pena de prisión tendrá indudable incidencia en el recurso de amparo núm. 74-2022, en el que se enjuicia si la privación del acta de diputado al recurrente le ha vulnerado sus derechos.</w:t>
      </w:r>
    </w:p>
    <w:p w14:paraId="1F931CC9" w14:textId="77777777" w:rsidR="009D7677" w:rsidRDefault="009D7677" w:rsidP="009D7677">
      <w:pPr>
        <w:pStyle w:val="TextoNormal"/>
      </w:pPr>
    </w:p>
    <w:p w14:paraId="511DF0F8" w14:textId="69C4102D" w:rsidR="009D7677" w:rsidRDefault="009D7677" w:rsidP="009D7677">
      <w:pPr>
        <w:pStyle w:val="TextoNormal"/>
      </w:pPr>
      <w:r>
        <w:t>Madrid, a dieciséis de enero de dos mil veinticuatro.</w:t>
      </w:r>
    </w:p>
    <w:p w14:paraId="1845BFCA" w14:textId="77777777" w:rsidR="009D7677" w:rsidRDefault="009D7677" w:rsidP="009D7677">
      <w:pPr>
        <w:pStyle w:val="TextoNormal"/>
      </w:pPr>
    </w:p>
    <w:p w14:paraId="21DA371A" w14:textId="77777777" w:rsidR="009D7677" w:rsidRDefault="009D7677" w:rsidP="009D7677">
      <w:pPr>
        <w:pStyle w:val="TextoNormalNegritaCentrado"/>
        <w:keepNext/>
      </w:pPr>
      <w:r>
        <w:t>Voto particular concurrente que formula el magistrado don Ramón Sáez Valcárcel a la sentencia que resuelve el recurso de amparo núm. 697-2022</w:t>
      </w:r>
    </w:p>
    <w:p w14:paraId="6862B876" w14:textId="2E4B8280" w:rsidR="009D7677" w:rsidRDefault="009D7677" w:rsidP="009D7677">
      <w:pPr>
        <w:pStyle w:val="TextoNormalNegritaCentrado"/>
        <w:keepNext/>
      </w:pPr>
    </w:p>
    <w:p w14:paraId="5A10E9BD" w14:textId="77777777" w:rsidR="009D7677" w:rsidRDefault="009D7677" w:rsidP="009D7677">
      <w:pPr>
        <w:pStyle w:val="TextoNormal"/>
      </w:pPr>
      <w:r>
        <w:t>1. Comparto la decisión de otorgar el amparo al señor Rodríguez: La interpretación del art. 71.2 CP que hizo la sentencia que le condenó vulneró el mandato de certeza que el principio de legalidad penal dirige al aplicador de la ley y, de esa manera, lesionó el derecho fundamental del demandante, al entender que pervivía la pena de prisión de un mes y un día, presupuesto para la aplicación de la consecuencia extrapenal de pérdida del escaño. La argumentación que justifica nuestra decisión supone una aportación al control constitucional de la racionalidad de la interpretación de la ley penal, al desarrollar el contenido de la razonabilidad en su vertiente axiológica y el papel que desempeña el principio de proporcionalidad. Aunque, el tenor literal de ese precepto (“en todo caso será sustituida por multa”, dice respecto a la pena de prisión inferior a tres meses) y la sistemática del código (la ausencia de dicha pena en el catálogo de sanciones del art. 33 CP) ponen de relieve que la interpretación vulneraba previamente la racionalidad semántica y metodológica. Porque la pena de prisión no era “pena imponible” que el tribunal sustituyera —el legislador no deja discrecionalidad al intérprete, la sustitución es obligada—, sino un paso necesario en el proceso de individualización de la pena para mensurar la multa.</w:t>
      </w:r>
    </w:p>
    <w:p w14:paraId="22B1CD1A" w14:textId="77777777" w:rsidR="009D7677" w:rsidRDefault="009D7677" w:rsidP="009D7677">
      <w:pPr>
        <w:pStyle w:val="TextoNormal"/>
      </w:pPr>
    </w:p>
    <w:p w14:paraId="446D7BB5" w14:textId="77777777" w:rsidR="009D7677" w:rsidRDefault="009D7677" w:rsidP="009D7677">
      <w:pPr>
        <w:pStyle w:val="TextoNormal"/>
      </w:pPr>
      <w:r>
        <w:t>2. No obstante, considero que debió acogerse también el motivo que planteaba el recurso de amparo sobre la lesión del derecho a la presunción de inocencia en relación con la suficiencia de la prueba de cargo, por incompatibilidad del razonamiento de la sentencia condenatoria con un modelo racional de valoración probatoria y de motivación del hecho.</w:t>
      </w:r>
    </w:p>
    <w:p w14:paraId="3CE4A40D" w14:textId="77777777" w:rsidR="009D7677" w:rsidRDefault="009D7677" w:rsidP="009D7677">
      <w:pPr>
        <w:pStyle w:val="TextoNormal"/>
      </w:pPr>
    </w:p>
    <w:p w14:paraId="36816189" w14:textId="77777777" w:rsidR="009D7677" w:rsidRDefault="009D7677" w:rsidP="009D7677">
      <w:pPr>
        <w:pStyle w:val="TextoNormal"/>
      </w:pPr>
      <w:r>
        <w:t>2.1. El demandante había denunciado la vulneración de su derecho a la presunción de inocencia (art. 24.2 CE) por la irrazonabilidad del juicio de inferencia probatoria que justificaba su condena. El problema constitucional que plantea el recurso es el de la suficiencia de la prueba de cargo, vinculado a una justificación no racional de los elementos de prueba. Nuestra sentencia en su fundamento jurídico 4 recoge la doctrina aplicable, que comparto. El canon de control, en lo que ahora interesa, exige la comprobación de que la condena se sustenta en una razonable justificación de la existencia de una mínima actividad probatoria, producida con las debidas garantías, que pueda estimarse de cargo con respecto al hecho y la culpabilidad del acusado.</w:t>
      </w:r>
    </w:p>
    <w:p w14:paraId="170838F0" w14:textId="77777777" w:rsidR="009D7677" w:rsidRDefault="009D7677" w:rsidP="009D7677">
      <w:pPr>
        <w:pStyle w:val="TextoNormal"/>
      </w:pPr>
    </w:p>
    <w:p w14:paraId="04C27F02" w14:textId="77777777" w:rsidR="009D7677" w:rsidRDefault="009D7677" w:rsidP="009D7677">
      <w:pPr>
        <w:pStyle w:val="TextoNormal"/>
      </w:pPr>
      <w:r>
        <w:lastRenderedPageBreak/>
        <w:t>El Tribunal Constitucional debe comprobar que la sentencia ofrece una motivación suficiente de la valoración de la prueba, para controlar externamente la racionalidad del discurso que vincula el resultado de dicha actividad argumentativa con el hecho que se afirma acreditado, en este caso que el señor Rodríguez agredió al policía y le causó una lesión. Porque tanto la ausencia como la insuficiencia de la motivación fáctica lesionan el derecho fundamental.</w:t>
      </w:r>
    </w:p>
    <w:p w14:paraId="71941B94" w14:textId="77777777" w:rsidR="009D7677" w:rsidRDefault="009D7677" w:rsidP="009D7677">
      <w:pPr>
        <w:pStyle w:val="TextoNormal"/>
      </w:pPr>
    </w:p>
    <w:p w14:paraId="08B17EF4" w14:textId="77777777" w:rsidR="009D7677" w:rsidRDefault="009D7677" w:rsidP="009D7677">
      <w:pPr>
        <w:pStyle w:val="TextoNormal"/>
      </w:pPr>
      <w:r>
        <w:t>Partiendo de este canon de control discrepo de la conclusión de la mayoría, porque, contrariamente a lo que se afirma, no encuentro en la sentencia impugnada ni “una amplia exposición de la actividad probatoria”, ni una motivación que contenga una “especial incidencia sobre los elementos de corroboración de su credibilidad” (la del testigo de cargo agente policial y víctima), ni una ponderación de “los aspectos relativos a la credibilidad y corroboración del testimonio de la víctima sin incurrir en un razonamiento carente de lógica”. La valoración de la prueba que realiza la sentencia impugnada no responde, en mi opinión, al modelo constitucional de racionalidad en la motivación de los hechos probados más allá de toda duda razonable.</w:t>
      </w:r>
    </w:p>
    <w:p w14:paraId="2CBE6392" w14:textId="77777777" w:rsidR="009D7677" w:rsidRDefault="009D7677" w:rsidP="009D7677">
      <w:pPr>
        <w:pStyle w:val="TextoNormal"/>
      </w:pPr>
    </w:p>
    <w:p w14:paraId="310A9F06" w14:textId="77777777" w:rsidR="009D7677" w:rsidRDefault="009D7677" w:rsidP="009D7677">
      <w:pPr>
        <w:pStyle w:val="TextoNormal"/>
      </w:pPr>
      <w:r>
        <w:t>Como regla de juicio o decisión, la presunción de inocencia obliga a atender a la suficiencia de elementos de prueba para confirmar o refutar la hipótesis acusatoria. Hay que tener en cuenta que el juez no solo está vinculado a la ley, también le obliga la reconstrucción racional de los hechos que constituyen el objeto del proceso, pues la distorsión del hecho que se declara probado incide negativamente en la aplicación de la norma. El hecho tutela al ciudadano no menos que la ley (Iacoviello). El deber de motivar, que la Constitución impone al juez en su art. 120.3, se conecta con el derecho a la presunción de inocencia para exigir del tribunal penal que utilice un esquema argumental racional y controlable. Porque el proceso tiene una esencial función cognoscitiva, implica una actividad que se dirige a obtener de modo contradictorio un conocimiento de calidad sobre la conducta imputada, conocimiento cuya correspondencia con la realidad es garantía de libertad.</w:t>
      </w:r>
    </w:p>
    <w:p w14:paraId="70AE265C" w14:textId="77777777" w:rsidR="009D7677" w:rsidRDefault="009D7677" w:rsidP="009D7677">
      <w:pPr>
        <w:pStyle w:val="TextoNormal"/>
      </w:pPr>
    </w:p>
    <w:p w14:paraId="65790278" w14:textId="77777777" w:rsidR="009D7677" w:rsidRDefault="009D7677" w:rsidP="009D7677">
      <w:pPr>
        <w:pStyle w:val="TextoNormal"/>
      </w:pPr>
      <w:r>
        <w:t>2.2. La sentencia que se impugna justifica el relato fáctico de modo secuencial. En primer lugar, se presenta la relación de los medios de prueba practicados, pero no se ofrece el rendimiento particular de cada uno de ellos. Posteriormente, se considera acreditado —con referencia genérica a “estas pruebas”, es decir, la testifical del jefe del operativo policial y del agente víctima, más el visionado de las grabaciones videográficas— que se produjeron incidentes violentos entre manifestantes y policías. En este apartado se desvaloran la declaración del primer testigo —que “no vio al acusado” en el lugar del enfrentamiento (con la excusa de que “no se ha precisado si la posición del inspector jefe le facilitó en todo momento la visión de las primeras filas de los concentrados”)— y la del propio acusado (“se limita pues, a negar los hechos que se le imputan”). Por fin, se afirma, de un lado, la “realidad de la contusión” por la declaración del agente víctima y por “la prueba pericial y documental sobre la lesión”. Y, de otro lado, este tercer paso de la motivación fáctica concluía que la prueba de la autoría de la agresión “consiste, fundamentalmente, en la declaración del agente policial”, que “[e]n sus declaraciones no expresó duda alguna”, “declaración [que] aparece corroborada por el hecho de haber acudido inmediatamente después de los sucesos a recibir asistencia médica y por la temprana identificación policial del acusado como autor de los hechos. La credibilidad del testigo viene avalada además por la persistencia en la versión mantenida desde el principio y por la inexistencia de cualquier clase de animadversión contra el acusado”.</w:t>
      </w:r>
    </w:p>
    <w:p w14:paraId="0D483A83" w14:textId="77777777" w:rsidR="009D7677" w:rsidRDefault="009D7677" w:rsidP="009D7677">
      <w:pPr>
        <w:pStyle w:val="TextoNormal"/>
      </w:pPr>
    </w:p>
    <w:p w14:paraId="5362CBDD" w14:textId="77777777" w:rsidR="009D7677" w:rsidRDefault="009D7677" w:rsidP="009D7677">
      <w:pPr>
        <w:pStyle w:val="TextoNormal"/>
      </w:pPr>
      <w:r>
        <w:t>2.3. La valoración de la prueba que explicita la sentencia cuestionada obedece a un modelo subjetivo, no racional, de argumentación sobre los hechos y, por ello, el proceso discursivo que conduce de la prueba al hecho probado es ilógico e insuficiente su motivación, vulnerando el derecho fundamental a la presunción de inocencia (STC 145/2005, de 6 de junio, FJ 6). La doctrina constitucional ha aplicado este parámetro de control para preservar el derecho fundamental, de forma poco incisiva, solo en relación con la denominada prueba indiciaria o circunstancial, aceptando un criterio discutible de diferenciación entre pruebas directas e indirectas. Pues, al margen de que las pruebas puedan tener una función narrativa o inductiva, criterio de interés dogmático o taxonómico, toda prueba —también la del testigo que relata ante el tribunal la agresión que ha sufrido— requiere de inferencias que lleven de un dato probatorio a otro por medio de reglas de experiencia y, por lo tanto, de un examen crítico. La diferenciación entre prueba e indicio que hace nuestra doctrina sobre la argumentación probatoria no debería tener la trascendencia que se le quiere dar.</w:t>
      </w:r>
    </w:p>
    <w:p w14:paraId="2E523247" w14:textId="77777777" w:rsidR="009D7677" w:rsidRDefault="009D7677" w:rsidP="009D7677">
      <w:pPr>
        <w:pStyle w:val="TextoNormal"/>
      </w:pPr>
    </w:p>
    <w:p w14:paraId="07B1AA6D" w14:textId="77777777" w:rsidR="009D7677" w:rsidRDefault="009D7677" w:rsidP="009D7677">
      <w:pPr>
        <w:pStyle w:val="TextoNormal"/>
      </w:pPr>
      <w:r>
        <w:t>Un modelo constitucional de racionalidad de la prueba en el proceso penal respetuoso con el derecho fundamental a la presunción de inocencia debe reunir unos mínimos requerimientos, y nuestro parámetro de control debería ser más exigente en este punto. Porque el juez penal escoge entre hipótesis alternativas, debe operar de manera racional, con base en buenas razones y entregando una suficiente motivación de este ejercicio intelectual. Para ello es necesario justificar el grado de apoyo que la hipótesis acusatoria recibe del conjunto de elementos probatorios que resultan de las distintas fuentes de conocimiento. La valoración debe consistir, en primer lugar, en un juicio analítico del rendimiento de cada fuente de prueba (los testigos, los informes médicos, las grabaciones audiovisuales del evento, el interrogatorio del acusado), exponiendo los datos o elementos informativos que cada uno de ellos permite obtener sobre la producción del hecho y la intervención del acusado. A continuación, se ha de acometer una valoración sintética, de perspectiva conjunta, de los elementos de prueba que se han obtenido de cada una de ellas.</w:t>
      </w:r>
    </w:p>
    <w:p w14:paraId="50E69312" w14:textId="77777777" w:rsidR="009D7677" w:rsidRDefault="009D7677" w:rsidP="009D7677">
      <w:pPr>
        <w:pStyle w:val="TextoNormal"/>
      </w:pPr>
    </w:p>
    <w:p w14:paraId="16DD9532" w14:textId="77777777" w:rsidR="009D7677" w:rsidRDefault="009D7677" w:rsidP="009D7677">
      <w:pPr>
        <w:pStyle w:val="TextoNormal"/>
      </w:pPr>
      <w:r>
        <w:t xml:space="preserve">2.4. La sentencia impugnada omite las dos operaciones. De modo que, primero, se analiza de manera aislada cada fuente de prueba para descalificar aquellas cuyo fruto no encajaba en la hipótesis de la acusación, sin atender al apoyo que podrían prestar a la hipótesis contradictoria, quedando atendible, exclusivamente, la declaración de la víctima. Así se opera con el relato del testigo jefe de la unidad antidisturbios de la policía, que se utiliza para afirmar un dato (el enfrentamiento entre manifestantes y policías), pero se considera que carece de cualquier valor informativo para respaldar o refutar la hipótesis sobre la autoría (aunque dijera que no vio al acusado en el episodio violento). La declaración del acusado se descarta porque se “limitó” a negar el acometimiento. Y las grabaciones del suceso sirven, en la misma línea, para apoyar un dato (el enfrentamiento de algunos manifestantes con los agentes), pero resultan sin valor para esclarecer la intervención del acusado (a pesar de que no se le veía en las imágenes que documentaron el contacto físico entre aquellos y estos, un elemento informativo que pide ser evaluado). Sobre el análisis conjunto o sintético, la fundamentación de la sentencia no hace consideración alguna acerca del respaldo que las distintas informaciones que ofrecen los medios de prueba prestan a las hipótesis en conflicto. Resulta que las pruebas solo pueden valorarse racionalmente en el contexto de las otras pruebas sobre el mismo enunciado, pues de lo contrario se fragmenta el proceso cognoscitivo, se parcela el discurso justificativo y se pierde información </w:t>
      </w:r>
      <w:r>
        <w:lastRenderedPageBreak/>
        <w:t>relevante, provocando una baja calidad epistémica. La técnica de analizar aisladamente las pruebas para neutralizar aquellas que se quieren desechar o hacer irrelevantes, prescindiendo del análisis sintético, es una práctica no asumible desde un modelo constitucional de valoración probatoria. El examen contextual o conjunto de la prueba es un requerimiento de racionalidad de la motivación que recoge la propia ley (véase, el art. 218.2 de la Ley de enjuiciamiento civil).</w:t>
      </w:r>
    </w:p>
    <w:p w14:paraId="27CD42F7" w14:textId="77777777" w:rsidR="009D7677" w:rsidRDefault="009D7677" w:rsidP="009D7677">
      <w:pPr>
        <w:pStyle w:val="TextoNormal"/>
      </w:pPr>
    </w:p>
    <w:p w14:paraId="09C7645D" w14:textId="77777777" w:rsidR="009D7677" w:rsidRDefault="009D7677" w:rsidP="009D7677">
      <w:pPr>
        <w:pStyle w:val="TextoNormal"/>
      </w:pPr>
      <w:r>
        <w:t>2.5. Otro de los rasgos esenciales de un modelo racional de valoración probatoria —que, por cierto, se encuentra en la manera de discurrir del voto particular discrepante de la sentencia impugnada— es que el rendimiento de toda prueba debe ser controlado o corroborado, como pauta de distinción de la argumentación judicial. Corroborar es dar fuerza a la información inculpatoria que procede de una fuente testifical con datos probatorios que se obtienen de otra fuente; es una definición aceptada en la doctrina constitucional y en la propia jurisprudencia penal, que por ello se denomina corroboración externa. Pues bien, la motivación de la sentencia peca aquí también de ausencia de racionalidad cuando considera que la declaración del policía víctima fue confirmada por dos datos: acudió de inmediato a recibir asistencia médica e identificó tempranamente al acusado. Carecen esos dos elementos de las características de una verdadera confirmación o corroboración, que ha de ser por principio ajena a la fuente de prueba que viene a respaldar. Aquí, los dos datos que recoge la sentencia impugnada no permiten un control sobre la correspondencia de su relato con la realidad.</w:t>
      </w:r>
    </w:p>
    <w:p w14:paraId="653DE3AF" w14:textId="77777777" w:rsidR="009D7677" w:rsidRDefault="009D7677" w:rsidP="009D7677">
      <w:pPr>
        <w:pStyle w:val="TextoNormal"/>
      </w:pPr>
    </w:p>
    <w:p w14:paraId="12C6F071" w14:textId="77777777" w:rsidR="009D7677" w:rsidRDefault="009D7677" w:rsidP="009D7677">
      <w:pPr>
        <w:pStyle w:val="TextoNormal"/>
      </w:pPr>
      <w:r>
        <w:t>2.6. La sentencia recurre al argumento de la credibilidad como método de refuerzo de la testifical, o de apoyo a los elementos informativos que el intérprete ha obtenido del medio de prueba. El testigo es creíble, se dice, por la “persistencia en la versión” y por la falta de animadversión hacia el acusado. La credibilidad del testigo viene a significar que el juez confía en la fuente, lo que evidencia un sesgo que el intérprete debería suspender o controlar en la medida que la confianza debilita el rigor del juicio fáctico y la calidad del conocimiento que se adquiere. La fiabilidad forma parte de la crítica de la prueba, pues permite descartar la fuente que resulta fútil o inatendible (el documento falso, el testigo que no presenció el hecho), pero no es un criterio racional de valoración, porque se desentiende del mensaje que soporta, aquí el relato del testigo. Precisamente, el origen de muchos errores judiciales en el tratamiento de la testifical se encuentra en la confusión entre sinceridad y verdad, cuando se concede valor a la sinceridad del testigo para afirmar un hecho como acaecido en la realidad.</w:t>
      </w:r>
    </w:p>
    <w:p w14:paraId="08C091CE" w14:textId="77777777" w:rsidR="009D7677" w:rsidRDefault="009D7677" w:rsidP="009D7677">
      <w:pPr>
        <w:pStyle w:val="TextoNormal"/>
      </w:pPr>
    </w:p>
    <w:p w14:paraId="6183EE6E" w14:textId="77777777" w:rsidR="009D7677" w:rsidRDefault="009D7677" w:rsidP="009D7677">
      <w:pPr>
        <w:pStyle w:val="TextoNormal"/>
      </w:pPr>
      <w:r>
        <w:t>3. El incumplimiento de estos requerimientos mínimos de racionalidad empírica en la valoración de la prueba que sustenta la condena del demandante supone la vulneración de su derecho fundamental a la presunción de inocencia, y debió justificar, también, el otorgamiento del amparo por este motivo.</w:t>
      </w:r>
    </w:p>
    <w:p w14:paraId="58F6DD8F" w14:textId="77777777" w:rsidR="009D7677" w:rsidRDefault="009D7677" w:rsidP="009D7677">
      <w:pPr>
        <w:pStyle w:val="TextoNormal"/>
      </w:pPr>
    </w:p>
    <w:p w14:paraId="0E9D9F19" w14:textId="77777777" w:rsidR="009D7677" w:rsidRDefault="009D7677" w:rsidP="009D7677">
      <w:pPr>
        <w:pStyle w:val="TextoNormal"/>
      </w:pPr>
      <w:r>
        <w:t>Y en este sentido emito mi voto particular.</w:t>
      </w:r>
    </w:p>
    <w:p w14:paraId="58FEAE33" w14:textId="77777777" w:rsidR="009D7677" w:rsidRDefault="009D7677" w:rsidP="009D7677">
      <w:pPr>
        <w:pStyle w:val="TextoNormal"/>
      </w:pPr>
    </w:p>
    <w:p w14:paraId="50574760" w14:textId="3D6DBEA2" w:rsidR="009D7677" w:rsidRDefault="009D7677" w:rsidP="009D7677">
      <w:pPr>
        <w:pStyle w:val="TextoNormal"/>
      </w:pPr>
      <w:r>
        <w:t>Madrid, a dieciséis de enero de dos mil veinticuatro.</w:t>
      </w:r>
    </w:p>
    <w:p w14:paraId="7AF13BB2" w14:textId="138C1D38" w:rsidR="009D7677" w:rsidRDefault="009D7677">
      <w:pPr>
        <w:spacing w:after="160" w:line="259" w:lineRule="auto"/>
        <w:rPr>
          <w:rFonts w:ascii="Times New Roman" w:eastAsia="Times New Roman" w:hAnsi="Times New Roman" w:cs="Times New Roman"/>
          <w:sz w:val="24"/>
          <w:szCs w:val="24"/>
          <w:lang w:eastAsia="es-ES"/>
        </w:rPr>
      </w:pPr>
      <w:r>
        <w:br w:type="page"/>
      </w:r>
    </w:p>
    <w:p w14:paraId="374D447B" w14:textId="77777777" w:rsidR="009D7677" w:rsidRDefault="009D7677" w:rsidP="009D7677">
      <w:pPr>
        <w:pStyle w:val="TtuloResolucin"/>
      </w:pPr>
      <w:bookmarkStart w:id="11" w:name="SENTENCIA_2024_9"/>
      <w:r>
        <w:lastRenderedPageBreak/>
        <w:t>SENTENCIA 9/2024, de 17 de enero de 2024</w:t>
      </w:r>
    </w:p>
    <w:bookmarkEnd w:id="11"/>
    <w:p w14:paraId="232B3107" w14:textId="77777777" w:rsidR="009D7677" w:rsidRDefault="009D7677" w:rsidP="009D7677">
      <w:pPr>
        <w:pStyle w:val="TtuloResolucin"/>
      </w:pPr>
      <w:r>
        <w:t>Pleno</w:t>
      </w:r>
    </w:p>
    <w:p w14:paraId="5FC02582" w14:textId="77777777" w:rsidR="009D7677" w:rsidRDefault="009D7677" w:rsidP="009D7677">
      <w:pPr>
        <w:pStyle w:val="TtuloBOE"/>
      </w:pPr>
      <w:r>
        <w:t>(BOE núm. 45, de 20 de febrero de 2024)</w:t>
      </w:r>
    </w:p>
    <w:p w14:paraId="6492FD82" w14:textId="77777777" w:rsidR="009D7677" w:rsidRDefault="009D7677" w:rsidP="009D7677">
      <w:pPr>
        <w:pStyle w:val="TextoNormalCentrado"/>
      </w:pPr>
      <w:r>
        <w:t>ECLI:ES:TC:2024:9</w:t>
      </w:r>
    </w:p>
    <w:p w14:paraId="68213A42" w14:textId="5DC4DE5A" w:rsidR="009D7677" w:rsidRDefault="009D7677" w:rsidP="009D7677">
      <w:pPr>
        <w:pStyle w:val="TextoNormalCentrado"/>
      </w:pPr>
    </w:p>
    <w:p w14:paraId="46EB9ED1" w14:textId="77777777" w:rsidR="009D7677" w:rsidRDefault="009D7677" w:rsidP="009D7677">
      <w:pPr>
        <w:pStyle w:val="SntesisDescriptiva"/>
      </w:pPr>
      <w:r>
        <w:t>Recurso de amparo 645-2021. Promovido por don Arnaldo Otegi Mondragón y cuatro personas más en relación con la sentencia de la Sala de lo Penal del Tribunal Supremo que, estimando un recurso de casación, ordena la retroacción de actuaciones y celebración de nuevo juicio en causa por delito de pertenencia a organización terrorista.</w:t>
      </w:r>
    </w:p>
    <w:p w14:paraId="63C04916" w14:textId="14A2DC56" w:rsidR="009D7677" w:rsidRDefault="009D7677" w:rsidP="009D7677">
      <w:pPr>
        <w:pStyle w:val="SntesisDescriptiva"/>
      </w:pPr>
    </w:p>
    <w:p w14:paraId="4805C636" w14:textId="77777777" w:rsidR="009D7677" w:rsidRDefault="009D7677" w:rsidP="009D7677">
      <w:pPr>
        <w:pStyle w:val="SntesisAnaltica"/>
      </w:pPr>
      <w:r>
        <w:t>Vulneración del derecho a la tutela judicial efectiva: sentencia que desconoce la prohibición de bis in idem procesal. Votos particulares.</w:t>
      </w:r>
    </w:p>
    <w:p w14:paraId="70CD8A4A" w14:textId="183F1B44" w:rsidR="009D7677" w:rsidRDefault="009D7677" w:rsidP="009D7677">
      <w:pPr>
        <w:pStyle w:val="SntesisAnaltica"/>
      </w:pPr>
    </w:p>
    <w:p w14:paraId="1868C8FB" w14:textId="33738EF9" w:rsidR="009D7677" w:rsidRDefault="009D7677" w:rsidP="009D7677">
      <w:pPr>
        <w:pStyle w:val="Extracto"/>
      </w:pPr>
      <w:r>
        <w:t>1.</w:t>
      </w:r>
      <w:r>
        <w:tab/>
        <w:t>En la vía judicial, la posibilidad de ordenar la retroacción para un nuevo enjuiciamiento requiere un juicio específico de ponderación (SSTC 311/2006 y 23/2008), cuya incorrecta realización puede dar lugar a la vulneración del derecho fundamental a la tutela judicial efectiva en su vertiente de proscripción del</w:t>
      </w:r>
      <w:r w:rsidRPr="009D7677">
        <w:rPr>
          <w:i/>
        </w:rPr>
        <w:t xml:space="preserve"> bis in idem </w:t>
      </w:r>
      <w:r>
        <w:t>procesal (STC 23/2016) [FJ 3].</w:t>
      </w:r>
    </w:p>
    <w:p w14:paraId="11F94501" w14:textId="77777777" w:rsidR="009D7677" w:rsidRDefault="009D7677" w:rsidP="009D7677">
      <w:pPr>
        <w:pStyle w:val="Extracto"/>
      </w:pPr>
    </w:p>
    <w:p w14:paraId="7A53A222" w14:textId="1E9A4DFD" w:rsidR="009D7677" w:rsidRDefault="009D7677" w:rsidP="009D7677">
      <w:pPr>
        <w:pStyle w:val="Extracto"/>
      </w:pPr>
      <w:r>
        <w:t>2.</w:t>
      </w:r>
      <w:r>
        <w:tab/>
        <w:t xml:space="preserve">El juicio celebrado ante un tribunal que no cumple con las exigencias de imparcialidad establecidas en el art. 6.1 CEDH no puede ser considerado un proceso desarrollado con todas las garantías (art. 24.2 CE); y, en este sentido, la repetición del juicio ante un nuevo tribunal puede reparar la lesión producida en los derechos fundamentales del recurrente que ha sido condenado. Por ello, la decisión de repetir la celebración del juicio oral orientada a la reparación de la lesión del derecho a un juez imparcial no puede ser considerada, por regla general, un segundo proceso a los efectos de la proscripción de la garantía del </w:t>
      </w:r>
      <w:r w:rsidRPr="009D7677">
        <w:rPr>
          <w:i/>
        </w:rPr>
        <w:t xml:space="preserve"> ne bis in idem</w:t>
      </w:r>
      <w:r>
        <w:t xml:space="preserve"> procesal, contenido en el art. 24.1 CE [FJ 4].</w:t>
      </w:r>
    </w:p>
    <w:p w14:paraId="69301311" w14:textId="77777777" w:rsidR="009D7677" w:rsidRDefault="009D7677" w:rsidP="009D7677">
      <w:pPr>
        <w:pStyle w:val="Extracto"/>
      </w:pPr>
    </w:p>
    <w:p w14:paraId="003B02D2" w14:textId="43EAF2F3" w:rsidR="009D7677" w:rsidRDefault="009D7677" w:rsidP="009D7677">
      <w:pPr>
        <w:pStyle w:val="Extracto"/>
      </w:pPr>
      <w:r>
        <w:t>3.</w:t>
      </w:r>
      <w:r>
        <w:tab/>
        <w:t>La desproporción manifiesta entre la decisión adoptada de repetir el enjuiciamiento -cuando ya están cumplidas las penas impuestas en sentencia firme-, y la necesidad de reparar un vicio esencial de procedimiento padecido por la parte acusada determina que la repetición del juicio oral haya de ser considerada, materialmente, como un segundo enjuiciamiento, contrario al art. 24.1 CE en relación con el art. 6.1 CEDH [FJ 5].</w:t>
      </w:r>
    </w:p>
    <w:p w14:paraId="1F9064D6" w14:textId="77777777" w:rsidR="009D7677" w:rsidRDefault="009D7677" w:rsidP="009D7677">
      <w:pPr>
        <w:pStyle w:val="Extracto"/>
      </w:pPr>
    </w:p>
    <w:p w14:paraId="1E8142BE" w14:textId="77777777" w:rsidR="009D7677" w:rsidRDefault="009D7677" w:rsidP="009D7677">
      <w:pPr>
        <w:pStyle w:val="Extracto"/>
      </w:pPr>
    </w:p>
    <w:p w14:paraId="378AEAC8" w14:textId="77777777" w:rsidR="009D7677" w:rsidRDefault="009D7677" w:rsidP="009D7677">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357A922C" w14:textId="3DD53624" w:rsidR="009D7677" w:rsidRDefault="009D7677" w:rsidP="009D7677">
      <w:pPr>
        <w:pStyle w:val="TextoNormal"/>
      </w:pPr>
    </w:p>
    <w:p w14:paraId="67F767C4" w14:textId="77777777" w:rsidR="009D7677" w:rsidRDefault="009D7677" w:rsidP="009D7677">
      <w:pPr>
        <w:pStyle w:val="TextoNormalCentrado"/>
        <w:keepNext/>
      </w:pPr>
      <w:r>
        <w:t>EN NOMBRE DEL REY</w:t>
      </w:r>
    </w:p>
    <w:p w14:paraId="3CB0DAD1" w14:textId="67C76841" w:rsidR="009D7677" w:rsidRDefault="009D7677" w:rsidP="009D7677">
      <w:pPr>
        <w:pStyle w:val="TextoNormalCentrado"/>
        <w:keepNext/>
      </w:pPr>
    </w:p>
    <w:p w14:paraId="649B0CD0" w14:textId="77777777" w:rsidR="009D7677" w:rsidRDefault="009D7677" w:rsidP="009D7677">
      <w:pPr>
        <w:pStyle w:val="TextoNormalCentrado"/>
        <w:keepNext/>
      </w:pPr>
    </w:p>
    <w:p w14:paraId="4309C54B" w14:textId="77777777" w:rsidR="009D7677" w:rsidRDefault="009D7677" w:rsidP="009D7677">
      <w:pPr>
        <w:pStyle w:val="TextoNormal"/>
      </w:pPr>
      <w:r>
        <w:t>la siguiente</w:t>
      </w:r>
    </w:p>
    <w:p w14:paraId="35CCEBCB" w14:textId="117EA843" w:rsidR="009D7677" w:rsidRDefault="009D7677" w:rsidP="009D7677">
      <w:pPr>
        <w:pStyle w:val="TextoNormal"/>
      </w:pPr>
    </w:p>
    <w:p w14:paraId="1C84E894" w14:textId="77777777" w:rsidR="009D7677" w:rsidRDefault="009D7677" w:rsidP="009D7677">
      <w:pPr>
        <w:pStyle w:val="TextoNormalCentrado"/>
        <w:keepNext/>
      </w:pPr>
      <w:r>
        <w:t>SENTENCIA</w:t>
      </w:r>
    </w:p>
    <w:p w14:paraId="562001BE" w14:textId="24EFBF26" w:rsidR="009D7677" w:rsidRDefault="009D7677" w:rsidP="009D7677">
      <w:pPr>
        <w:pStyle w:val="TextoNormalCentrado"/>
        <w:keepNext/>
      </w:pPr>
    </w:p>
    <w:p w14:paraId="2D5070F0" w14:textId="77777777" w:rsidR="009D7677" w:rsidRDefault="009D7677" w:rsidP="009D7677">
      <w:pPr>
        <w:pStyle w:val="TextoNormal"/>
      </w:pPr>
      <w:r>
        <w:t>En el recurso de amparo núm. 645-2021, promovido por don Arnaldo Otegi Mondragón, don Rafael Díez Usabiaga, doña Sonia Jacinto García, don Arkaitz Rodríguez Torres y doña Miren Zabaleta Tellería, representados por el procurador de tribunales don Javier J. Cuevas Rivas y asistidos del letrado don Iñigo Iruin Sanz, contra la sentencia núm. 692/2020, de 15 de diciembre de 2020, del Pleno de la Sala de lo Penal del Tribunal Supremo, que fue dictada en el recurso de casación 11773-2011, interpuesto contra la sentencia núm. 22/2011, de 16 de septiembre, de la Sección Cuarta de la Sala de lo Penal de la Audiencia Nacional, rollo de sala núm. 95-2009. Ha comparecido la Asociación Víctimas del Terrorismo Verde Esperanza (Voces contra el Terrorismo), representada por la procuradora doña Delicias Santos Montero y asistida de la letrada doña Marta Asunción Castro Fuertes. Ha intervenido el Ministerio Fiscal. Ha sido ponente el magistrado don Juan Carlos Campo Moreno.</w:t>
      </w:r>
    </w:p>
    <w:p w14:paraId="6B1B6184" w14:textId="323EC676" w:rsidR="009D7677" w:rsidRDefault="009D7677" w:rsidP="009D7677">
      <w:pPr>
        <w:pStyle w:val="TextoNormal"/>
      </w:pPr>
    </w:p>
    <w:p w14:paraId="1A5DE077" w14:textId="77777777" w:rsidR="009D7677" w:rsidRDefault="009D7677" w:rsidP="009D7677">
      <w:pPr>
        <w:pStyle w:val="TextoNormalNegritaCentrado"/>
        <w:keepNext/>
      </w:pPr>
      <w:r>
        <w:t>I. Antecedentes</w:t>
      </w:r>
    </w:p>
    <w:p w14:paraId="29875B0F" w14:textId="48BD1F12" w:rsidR="009D7677" w:rsidRDefault="009D7677" w:rsidP="009D7677">
      <w:pPr>
        <w:pStyle w:val="TextoNormalNegritaCentrado"/>
        <w:keepNext/>
      </w:pPr>
    </w:p>
    <w:p w14:paraId="013A7406" w14:textId="1F5B3BF0" w:rsidR="009D7677" w:rsidRDefault="009D7677" w:rsidP="009D7677">
      <w:pPr>
        <w:pStyle w:val="TextoNormal"/>
      </w:pPr>
      <w:r w:rsidRPr="009D7677">
        <w:rPr>
          <w:rStyle w:val="NumeroAFNegritaCaracter"/>
        </w:rPr>
        <w:t>1</w:t>
      </w:r>
      <w:r>
        <w:t>. El día 3 de febrero de 2021, el procurador de tribunales don Javier J. Cuevas Rivas, en nombre y representación de don Arnaldo Otegi Mondragón, don Rafael Díez Usabiaga, doña Sonia Jacinto García, don Arkaitz Rodríguez Torres y doña Miren Zabaleta Tellería, interpuso recurso de amparo contra la resolución mencionada en el encabezamiento.</w:t>
      </w:r>
    </w:p>
    <w:p w14:paraId="36317E8C" w14:textId="77777777" w:rsidR="009D7677" w:rsidRDefault="009D7677" w:rsidP="009D7677">
      <w:pPr>
        <w:pStyle w:val="TextoNormal"/>
      </w:pPr>
    </w:p>
    <w:p w14:paraId="5FCC08E0" w14:textId="77777777" w:rsidR="009D7677" w:rsidRDefault="009D7677" w:rsidP="009D7677">
      <w:pPr>
        <w:pStyle w:val="TextoNormal"/>
      </w:pPr>
      <w:r w:rsidRPr="009D7677">
        <w:rPr>
          <w:rStyle w:val="NumeroAFNegritaCaracter"/>
        </w:rPr>
        <w:t>2</w:t>
      </w:r>
      <w:r>
        <w:t>. El presente recurso trae causa de los siguientes antecedentes:</w:t>
      </w:r>
    </w:p>
    <w:p w14:paraId="2FCBB835" w14:textId="77777777" w:rsidR="009D7677" w:rsidRDefault="009D7677" w:rsidP="009D7677">
      <w:pPr>
        <w:pStyle w:val="TextoNormal"/>
      </w:pPr>
    </w:p>
    <w:p w14:paraId="7BA9DED6" w14:textId="77777777" w:rsidR="009D7677" w:rsidRDefault="009D7677" w:rsidP="009D7677">
      <w:pPr>
        <w:pStyle w:val="TextoNormal"/>
      </w:pPr>
      <w:r>
        <w:t>a) Por sentencia núm. 22/2011, de 16 de septiembre, de la Sección Cuarta de la Sala de lo Penal de la Audiencia Nacional, recaída en rollo de sala núm. 95-2009, los ahora recurrentes de amparo fueron condenados como autores de un delito de pertenencia a organización terrorista. En concreto: (i) don Arnaldo Otegi Mondragón y don Rafael Díez Usabiaga, en calidad de dirigentes de la organización, fueron condenados a la pena de diez años de prisión, con accesorias de inhabilitación especial para el ejercicio del derecho de sufragio pasivo y de inhabilitación especial para empleo o cargo público por igual tiempo; (ii) don Arkaitz Rodríguez Torres, doña Miren Zabaleta Tellería y doña Sonia Jacinto García fueron, a su vez, condenados, como miembros de la organización, a la pena de ocho años de prisión, con accesorias de inhabilitación especial para el ejercicio del derecho de sufragio pasivo y de inhabilitación especial para empleo o cargo público de igual duración.</w:t>
      </w:r>
    </w:p>
    <w:p w14:paraId="4F0808E7" w14:textId="77777777" w:rsidR="009D7677" w:rsidRDefault="009D7677" w:rsidP="009D7677">
      <w:pPr>
        <w:pStyle w:val="TextoNormal"/>
      </w:pPr>
    </w:p>
    <w:p w14:paraId="51B24338" w14:textId="77777777" w:rsidR="009D7677" w:rsidRDefault="009D7677" w:rsidP="009D7677">
      <w:pPr>
        <w:pStyle w:val="TextoNormal"/>
      </w:pPr>
      <w:r>
        <w:t xml:space="preserve">b) Frente a la anterior resolución los demandantes de amparo interpusieron recurso de casación ante la Sala de lo Penal del Tribunal Supremo, núm. 11773-2011. En dicho recurso, los demandantes de amparo plantearon, entre otros motivos, la vulneración de su derecho al juez imparcial (art. 24.2 CE) en relación con las manifestaciones que había expresado la presidenta del tribunal enjuiciador en el acto de la vista de un procedimiento anterior, rollo de Sala núm. 14-2009, en el que uno de los recurrentes de amparo, don Arnaldo Otegi, era acusado como autor de un delito de enaltecimiento del terrorismo. En aquel proceso previo, la Sala de lo Penal del Tribunal Supremo apreció que las citadas </w:t>
      </w:r>
      <w:r>
        <w:lastRenderedPageBreak/>
        <w:t>expresiones ponían de manifiesto un prejuicio sobre la culpabilidad (STS 31/2011, de 2 de febrero), lo que dio lugar a apreciar la vulneración del derecho al juez imparcial y a ordenar la repetición del juicio con un colegio de magistrados distinto que, finalmente, dictó sentencia absolutoria.</w:t>
      </w:r>
    </w:p>
    <w:p w14:paraId="5810AADD" w14:textId="77777777" w:rsidR="009D7677" w:rsidRDefault="009D7677" w:rsidP="009D7677">
      <w:pPr>
        <w:pStyle w:val="TextoNormal"/>
      </w:pPr>
    </w:p>
    <w:p w14:paraId="3DF96063" w14:textId="77777777" w:rsidR="009D7677" w:rsidRDefault="009D7677" w:rsidP="009D7677">
      <w:pPr>
        <w:pStyle w:val="TextoNormal"/>
      </w:pPr>
      <w:r>
        <w:t>c) Por sentencia núm. 351/2012, de 7 de mayo, la Sala de lo Penal del Tribunal Supremo estimó parcialmente la impugnación formulada y procedió a la rebaja de las penas impuestas, que pasaron a ser de seis años y seis meses de prisión para don Arnaldo Otegi Mondragón y don Rafael Díez Usabiaga, a quienes el Tribunal Supremo retiró la condición de “dirigentes”, y de seis años para el resto de los demandantes de amparo. Las penas accesorias quedaron afectadas por la nueva duración de las penas principales de prisión. La queja relativa a la vulneración del derecho al juez imparcial (art. 24.2 CE) fue desestimada.</w:t>
      </w:r>
    </w:p>
    <w:p w14:paraId="74034D77" w14:textId="77777777" w:rsidR="009D7677" w:rsidRDefault="009D7677" w:rsidP="009D7677">
      <w:pPr>
        <w:pStyle w:val="TextoNormal"/>
      </w:pPr>
    </w:p>
    <w:p w14:paraId="5BB53F11" w14:textId="77777777" w:rsidR="009D7677" w:rsidRDefault="009D7677" w:rsidP="009D7677">
      <w:pPr>
        <w:pStyle w:val="TextoNormal"/>
      </w:pPr>
      <w:r>
        <w:t>d) Mediante STC 146/2014, de 22 de septiembre, este tribunal desestimó el recurso de amparo interpuesto por don Rafael Díez Usabiaga contra las resoluciones indicadas en los apartados anteriores. Previamente, en STC 133/2014, de 22 de julio, se había desestimado el recurso de amparo presentado por los restantes demandantes de amparo. En ambos recursos se invocó la vulneración del derecho a un juez imparcial como garantía del proceso debido (art. 24.2 CE), que no fue apreciada.</w:t>
      </w:r>
    </w:p>
    <w:p w14:paraId="0F215C03" w14:textId="77777777" w:rsidR="009D7677" w:rsidRDefault="009D7677" w:rsidP="009D7677">
      <w:pPr>
        <w:pStyle w:val="TextoNormal"/>
      </w:pPr>
    </w:p>
    <w:p w14:paraId="3944E7E2" w14:textId="77777777" w:rsidR="009D7677" w:rsidRDefault="009D7677" w:rsidP="009D7677">
      <w:pPr>
        <w:pStyle w:val="TextoNormal"/>
      </w:pPr>
      <w:r>
        <w:t>e) Agotada la vía interna, los demandantes interpusieron recurso ante el Tribunal Europeo de Derechos Humanos. Mediante sentencia de 6 de noviembre de 2018, firme el 6 de febrero de 2019, el referido tribunal estimó que había resultado vulnerado el artículo 6.1 del Convenio europeo de derechos humanos por falta de imparcialidad de los miembros del tribunal que enjuició a los demandantes. El Tribunal Europeo de Derechos Humanos consideró, en particular, que la falta de imparcialidad mostrada por la presidenta de Sala en las sesiones del juicio oral generaba temores fundados sobre la imparcialidad de los restantes componentes del tribunal enjuiciador (§ 66 y 69). En lo que a este recurso de amparo interesa, dentro del apartado “A. Daño” la citada resolución dio respuesta a la petición de satisfacción equitativa formulada por el señor Díez Usabiaga, (40 000 € en concepto de daños morales), señalando lo siguiente (§ 74 y 75):</w:t>
      </w:r>
    </w:p>
    <w:p w14:paraId="1856DEDB" w14:textId="77777777" w:rsidR="009D7677" w:rsidRDefault="009D7677" w:rsidP="009D7677">
      <w:pPr>
        <w:pStyle w:val="TextoNormal"/>
      </w:pPr>
    </w:p>
    <w:p w14:paraId="6B683423" w14:textId="77777777" w:rsidR="009D7677" w:rsidRDefault="009D7677" w:rsidP="009D7677">
      <w:pPr>
        <w:pStyle w:val="TextoNormal"/>
      </w:pPr>
      <w:r>
        <w:t xml:space="preserve">“74. Cuando, como en el presente asunto, se condena a una persona en procedimientos internos que conllevan una infracción de los requisitos del artículo 6 del Convenio, este Tribunal mantiene que la forma más apropiada de reparación sería, en principio, celebrar un nuevo juicio o reabrir el caso, a solicitud de la persona interesada (ver, entre otros precedentes, </w:t>
      </w:r>
      <w:r w:rsidRPr="009D7677">
        <w:rPr>
          <w:i/>
        </w:rPr>
        <w:t>Gençel c. Turquía</w:t>
      </w:r>
      <w:r>
        <w:t xml:space="preserve">, núm. 53431/99, § 27, de 23 de octubre de 2003; </w:t>
      </w:r>
      <w:r w:rsidRPr="009D7677">
        <w:rPr>
          <w:i/>
        </w:rPr>
        <w:t>Sejdovic</w:t>
      </w:r>
      <w:r>
        <w:t xml:space="preserve">, anteriormente citado, § 126, y </w:t>
      </w:r>
      <w:r w:rsidRPr="009D7677">
        <w:rPr>
          <w:i/>
        </w:rPr>
        <w:t>Cudak c. Lituania</w:t>
      </w:r>
      <w:r>
        <w:t xml:space="preserve"> [GS], núm. 15869/02, § 79, TEDH 2010). En relación con lo anterior, indica que el artículo 954.3, de la Ley de enjuiciamiento criminal, modificado por la Ley 41/2015, de 5 de octubre de 2015, parece otorgar la posibilidad de revisar una sentencia firme en la que este tribunal haya declarado que dicha resolución fue dictada en violación de alguno de los derechos reconocidos en el Convenio o sus protocolos.</w:t>
      </w:r>
    </w:p>
    <w:p w14:paraId="305F9AFD" w14:textId="77777777" w:rsidR="009D7677" w:rsidRDefault="009D7677" w:rsidP="009D7677">
      <w:pPr>
        <w:pStyle w:val="TextoNormal"/>
      </w:pPr>
    </w:p>
    <w:p w14:paraId="2963810F" w14:textId="77777777" w:rsidR="009D7677" w:rsidRDefault="009D7677" w:rsidP="009D7677">
      <w:pPr>
        <w:pStyle w:val="TextoNormal"/>
      </w:pPr>
      <w:r>
        <w:t xml:space="preserve">75. Este tribunal además indica que anteriormente había determinado que la constatación de una vulneración del artículo 6 del Convenio constituye una satisfacción equitativa suficiente a efectos del artículo 41 del Convenio cuando dichas normas de procedimiento </w:t>
      </w:r>
      <w:r>
        <w:lastRenderedPageBreak/>
        <w:t xml:space="preserve">existen en el Derecho nacional (véase, entre los precedentes más recientes, </w:t>
      </w:r>
      <w:r w:rsidRPr="009D7677">
        <w:rPr>
          <w:i/>
        </w:rPr>
        <w:t>Hokkeling c. Países Bajos</w:t>
      </w:r>
      <w:r>
        <w:t xml:space="preserve">, núm. 30749/12, § 67 y 68, de 14 de febrero de 2017, y </w:t>
      </w:r>
      <w:r w:rsidRPr="009D7677">
        <w:rPr>
          <w:i/>
        </w:rPr>
        <w:t>Zadumov c. Rusia</w:t>
      </w:r>
      <w:r>
        <w:t>, núm. 2257/12, § 80 y 81, de 12 de diciembre de 2017). Este tribunal reitera que el abono de indemnizaciones con arreglo al artículo 41 está diseñado para reparar únicamente las consecuencias de una vulneración que no puede repararse de otro modo (</w:t>
      </w:r>
      <w:r w:rsidRPr="009D7677">
        <w:rPr>
          <w:i/>
        </w:rPr>
        <w:t>véase Scozzari y Giunta c. Italia</w:t>
      </w:r>
      <w:r>
        <w:t>, [GS], núm. 39221/98 y 41963/98, § 250, TEDH 2000 VIII). Por tanto, la constatación de una vulneración constituye una satisfacción equitativa suficiente en el presente asunto”.</w:t>
      </w:r>
    </w:p>
    <w:p w14:paraId="5F48C1D7" w14:textId="77777777" w:rsidR="009D7677" w:rsidRDefault="009D7677" w:rsidP="009D7677">
      <w:pPr>
        <w:pStyle w:val="TextoNormal"/>
      </w:pPr>
    </w:p>
    <w:p w14:paraId="245DA441" w14:textId="77777777" w:rsidR="009D7677" w:rsidRDefault="009D7677" w:rsidP="009D7677">
      <w:pPr>
        <w:pStyle w:val="TextoNormal"/>
      </w:pPr>
      <w:r>
        <w:t>f) El 4 de abril de 2019, los demandantes recabaron autorización para interponer recurso extraordinario de revisión contra la sentencia de la Sala de lo Penal del Tribunal Supremo núm. 351/2012, de 7 de mayo. Por auto de fecha 24 de octubre de 2019, la autorización fue concedida.</w:t>
      </w:r>
    </w:p>
    <w:p w14:paraId="5828D4E1" w14:textId="77777777" w:rsidR="009D7677" w:rsidRDefault="009D7677" w:rsidP="009D7677">
      <w:pPr>
        <w:pStyle w:val="TextoNormal"/>
      </w:pPr>
    </w:p>
    <w:p w14:paraId="5A48FE7F" w14:textId="77777777" w:rsidR="009D7677" w:rsidRDefault="009D7677" w:rsidP="009D7677">
      <w:pPr>
        <w:pStyle w:val="TextoNormal"/>
      </w:pPr>
      <w:r>
        <w:t>g) Al amparo de lo dispuesto en el art. 954.3 de la Ley de enjuiciamiento criminal (LECrim), el 29 de noviembre de 2019 los demandantes de amparo formularon recurso de revisión frente a la mencionada resolución. Concluida la tramitación, el Tribunal Supremo dictó sentencia núm. 426/2020, de 27 de julio, en cuyo fallo se acordó:</w:t>
      </w:r>
    </w:p>
    <w:p w14:paraId="7B5B63F8" w14:textId="77777777" w:rsidR="009D7677" w:rsidRDefault="009D7677" w:rsidP="009D7677">
      <w:pPr>
        <w:pStyle w:val="TextoNormal"/>
      </w:pPr>
    </w:p>
    <w:p w14:paraId="697935FB" w14:textId="77777777" w:rsidR="009D7677" w:rsidRDefault="009D7677" w:rsidP="009D7677">
      <w:pPr>
        <w:pStyle w:val="TextoNormal"/>
      </w:pPr>
      <w:r>
        <w:t>“1º Estimar el recurso de revisión interpuesto por los condenados don Arnaldo Otegi Mondragón, don Rafael Díez Usabiaga, doña Miren Zabaleta Tellería, don Arkaitz Rodríguez Torres y doña Sonia Jacinto García, frente a la sentencia de esta Sala núm. 351/2012, de 7 de mayo de 2012, que estimó parcialmente los recursos de casación interpuestos contra la sentencia 22/2011, de 16 de septiembre, de la Sección Cuarta de la Sala de lo Penal de la Audiencia Nacional, declarándose la nulidad de la citada resolución”.</w:t>
      </w:r>
    </w:p>
    <w:p w14:paraId="56C7D142" w14:textId="77777777" w:rsidR="009D7677" w:rsidRDefault="009D7677" w:rsidP="009D7677">
      <w:pPr>
        <w:pStyle w:val="TextoNormal"/>
      </w:pPr>
    </w:p>
    <w:p w14:paraId="69A725DB" w14:textId="77777777" w:rsidR="009D7677" w:rsidRDefault="009D7677" w:rsidP="009D7677">
      <w:pPr>
        <w:pStyle w:val="TextoNormal"/>
      </w:pPr>
      <w:r>
        <w:t>[...]</w:t>
      </w:r>
    </w:p>
    <w:p w14:paraId="38CD3947" w14:textId="77777777" w:rsidR="009D7677" w:rsidRDefault="009D7677" w:rsidP="009D7677">
      <w:pPr>
        <w:pStyle w:val="TextoNormal"/>
      </w:pPr>
    </w:p>
    <w:p w14:paraId="11640EAF" w14:textId="77777777" w:rsidR="009D7677" w:rsidRDefault="009D7677" w:rsidP="009D7677">
      <w:pPr>
        <w:pStyle w:val="TextoNormal"/>
      </w:pPr>
      <w:r>
        <w:t>3º Comunicar la presente resolución a los tribunales que han intervenido a los efectos procedentes”.</w:t>
      </w:r>
    </w:p>
    <w:p w14:paraId="37C455B4" w14:textId="77777777" w:rsidR="009D7677" w:rsidRDefault="009D7677" w:rsidP="009D7677">
      <w:pPr>
        <w:pStyle w:val="TextoNormal"/>
      </w:pPr>
    </w:p>
    <w:p w14:paraId="3809EAEB" w14:textId="77777777" w:rsidR="009D7677" w:rsidRDefault="009D7677" w:rsidP="009D7677">
      <w:pPr>
        <w:pStyle w:val="TextoNormal"/>
      </w:pPr>
      <w:r>
        <w:t>h) Pocos días después, el 11 de agosto de 2020, la Asociación Víctimas del Terrorismo Verde Esperanza (Voces contra el Terrorismo) solicitó de la Sección Cuarta de la Sala de lo Penal de la Audiencia Nacional que, en el rollo de sala núm. 95-2009, acordara la retroacción de actuaciones hasta el momento de la constitución del tribunal para que se procediera a la celebración de un nuevo juicio y se dictara ulterior sentencia.</w:t>
      </w:r>
    </w:p>
    <w:p w14:paraId="03DFB450" w14:textId="77777777" w:rsidR="009D7677" w:rsidRDefault="009D7677" w:rsidP="009D7677">
      <w:pPr>
        <w:pStyle w:val="TextoNormal"/>
      </w:pPr>
    </w:p>
    <w:p w14:paraId="623E741B" w14:textId="77777777" w:rsidR="009D7677" w:rsidRDefault="009D7677" w:rsidP="009D7677">
      <w:pPr>
        <w:pStyle w:val="TextoNormal"/>
      </w:pPr>
      <w:r>
        <w:t>Por auto de 19 de octubre de 2020, el citado tribunal desestimó esa pretensión. En esencia, las razones fueron las siguientes: (i) la legitimación para solicitar la reapertura y la celebración de un nuevo juicio corresponde a los penados, como demandantes-perjudicados que han visto violados su derecho a ser juzgados por un tribunal imparcial; (ii) ni la sentencia dictada por el Tribunal Europeo de Derechos Humanos ni la dictada en revisión por el Tribunal Supremo exigen la celebración de un nuevo juicio, sin que la Audiencia Nacional tenga competencia objetiva para determinar los efectos de la revisión; (iii) no existe previsión legal alguna que dé cobertura al pretendido segundo enjuiciamiento; (iv) las personas afectadas por la revisión de sus condenas han cumplido íntegramente las penas impuestas, por lo que concurre un riesgo de lesión del derecho a no ser enjuicia</w:t>
      </w:r>
      <w:r>
        <w:lastRenderedPageBreak/>
        <w:t>do dos veces por los mismos hechos. Por estas razones, la Sala llegó a la siguiente conclusión:</w:t>
      </w:r>
    </w:p>
    <w:p w14:paraId="3DFC6B14" w14:textId="77777777" w:rsidR="009D7677" w:rsidRDefault="009D7677" w:rsidP="009D7677">
      <w:pPr>
        <w:pStyle w:val="TextoNormal"/>
      </w:pPr>
    </w:p>
    <w:p w14:paraId="32AEE7AB" w14:textId="77777777" w:rsidR="009D7677" w:rsidRDefault="009D7677" w:rsidP="009D7677">
      <w:pPr>
        <w:pStyle w:val="TextoNormal"/>
      </w:pPr>
      <w:r>
        <w:t>“[E]ste tribunal considera que la expresión: ‘Comunicar la presente resolución a los tribunales que han intervenido a los efectos procedentes’, contenida en la parte dispositiva de la sentencia núm. 426/2020, de 27 de julio, de la Sala de lo Penal del Tribunal Supremo, en el recurso de revisión núm. 20335-2019, hace referencia a la dejación de efectos de cualquier pena o medida (personal o real) que pudiera encontrarse en vigor como consecuencia de las sentencias condenatorias en su día dictadas contra los cinco acusados, así como a la cancelación de las anotaciones que se hayan podido realizar en registros o archivos oficiales, como el Registro Central de Penados y Rebeldes”.</w:t>
      </w:r>
    </w:p>
    <w:p w14:paraId="70E67B38" w14:textId="77777777" w:rsidR="009D7677" w:rsidRDefault="009D7677" w:rsidP="009D7677">
      <w:pPr>
        <w:pStyle w:val="TextoNormal"/>
      </w:pPr>
    </w:p>
    <w:p w14:paraId="31F7AE6F" w14:textId="77777777" w:rsidR="009D7677" w:rsidRDefault="009D7677" w:rsidP="009D7677">
      <w:pPr>
        <w:pStyle w:val="TextoNormal"/>
      </w:pPr>
      <w:r>
        <w:t>Finalmente, por auto de 10 de noviembre de 2020, la Sección Cuarta de la Sala de lo Penal de la Audiencia Nacional desestimó el recurso de súplica interpuesto por la asociación mencionada, reiterando los argumentos ya expresados.</w:t>
      </w:r>
    </w:p>
    <w:p w14:paraId="3D63EF56" w14:textId="77777777" w:rsidR="009D7677" w:rsidRDefault="009D7677" w:rsidP="009D7677">
      <w:pPr>
        <w:pStyle w:val="TextoNormal"/>
      </w:pPr>
    </w:p>
    <w:p w14:paraId="65D8FA00" w14:textId="77777777" w:rsidR="009D7677" w:rsidRDefault="009D7677" w:rsidP="009D7677">
      <w:pPr>
        <w:pStyle w:val="TextoNormal"/>
      </w:pPr>
      <w:r>
        <w:t>i) De oficio y con carácter previo, en el recurso de casación núm. 11773-2011, la Sala de lo Penal del Tribunal Supremo dictó providencia de 25 de septiembre de 2020, del siguiente tenor literal:</w:t>
      </w:r>
    </w:p>
    <w:p w14:paraId="0826C450" w14:textId="77777777" w:rsidR="009D7677" w:rsidRDefault="009D7677" w:rsidP="009D7677">
      <w:pPr>
        <w:pStyle w:val="TextoNormal"/>
      </w:pPr>
    </w:p>
    <w:p w14:paraId="5F53A2AA" w14:textId="77777777" w:rsidR="009D7677" w:rsidRDefault="009D7677" w:rsidP="009D7677">
      <w:pPr>
        <w:pStyle w:val="TextoNormal"/>
      </w:pPr>
      <w:r>
        <w:t>“Declarada la nulidad de la sentencia número 351/2012, de 7 se mayo, dictada resolviendo el presente recurso de casación, y habida cuenta de que la nulidad se basa en la falta de imparcialidad del tribunal de instancia, procede realizar nuevo señalamiento del recurso de casación para deliberación y fallo, dando previamente traslado a las partes recurrentes y recurridas por término de quince días para que aleguen lo que a su derecho convenga”.</w:t>
      </w:r>
    </w:p>
    <w:p w14:paraId="1D611B5C" w14:textId="77777777" w:rsidR="009D7677" w:rsidRDefault="009D7677" w:rsidP="009D7677">
      <w:pPr>
        <w:pStyle w:val="TextoNormal"/>
      </w:pPr>
    </w:p>
    <w:p w14:paraId="7631E6C0" w14:textId="77777777" w:rsidR="009D7677" w:rsidRDefault="009D7677" w:rsidP="009D7677">
      <w:pPr>
        <w:pStyle w:val="TextoNormal"/>
      </w:pPr>
      <w:r>
        <w:t>j) En relación con el proveído indicado, mediante escrito de 20 de octubre de 2020, don Arnaldo Otegi Mondragón, doña Sonia Jacinto García, don Arkaitz Rodríguez Torres y doña Miren Zabaleta Tellería interesaron que se resolviera del siguiente modo:</w:t>
      </w:r>
    </w:p>
    <w:p w14:paraId="67E2C8A1" w14:textId="77777777" w:rsidR="009D7677" w:rsidRDefault="009D7677" w:rsidP="009D7677">
      <w:pPr>
        <w:pStyle w:val="TextoNormal"/>
      </w:pPr>
    </w:p>
    <w:p w14:paraId="51224F45" w14:textId="77777777" w:rsidR="009D7677" w:rsidRDefault="009D7677" w:rsidP="009D7677">
      <w:pPr>
        <w:pStyle w:val="TextoNormal"/>
      </w:pPr>
      <w:r>
        <w:t>“1. Declarar la nulidad de la sentencia núm. 22/2011, de 16 de septiembre, de la Sección Cuarta de la Sala de lo Penal de la Audiencia Nacional.</w:t>
      </w:r>
    </w:p>
    <w:p w14:paraId="5FEA6B54" w14:textId="77777777" w:rsidR="009D7677" w:rsidRDefault="009D7677" w:rsidP="009D7677">
      <w:pPr>
        <w:pStyle w:val="TextoNormal"/>
      </w:pPr>
    </w:p>
    <w:p w14:paraId="7ED44688" w14:textId="77777777" w:rsidR="009D7677" w:rsidRDefault="009D7677" w:rsidP="009D7677">
      <w:pPr>
        <w:pStyle w:val="TextoNormal"/>
      </w:pPr>
      <w:r>
        <w:t>2. Comunicar tal declaración al mencionado tribunal de procedencia de la causa, para que deje sin efecto cualesquiera penas o medidas que puedan encontrarse en vigor como consecuencia de las condenas dictadas, sean de naturaleza personal (privativas de libertad o privativas de derechos), o de naturaleza real, y ordenando la cancelación de las anotaciones que de las mismas se hayan podido realizar en registros o archivos de las administraciones públicas, en particular en el Registro de Penados y Rebeldes, acordando tras ello el posterior archivo de la ejecutoria núm. 21-2012 incoada en la causa, y con lo demás que en Derecho proceda”.</w:t>
      </w:r>
    </w:p>
    <w:p w14:paraId="715C817B" w14:textId="77777777" w:rsidR="009D7677" w:rsidRDefault="009D7677" w:rsidP="009D7677">
      <w:pPr>
        <w:pStyle w:val="TextoNormal"/>
      </w:pPr>
    </w:p>
    <w:p w14:paraId="0F02A8EE" w14:textId="77777777" w:rsidR="009D7677" w:rsidRDefault="009D7677" w:rsidP="009D7677">
      <w:pPr>
        <w:pStyle w:val="TextoNormal"/>
      </w:pPr>
      <w:r>
        <w:t xml:space="preserve">Respecto de la celebración de un nuevo juicio oral, los recurrentes de amparo se opusieron expresamente a ella, con fundamento en diferentes resoluciones jurisprudenciales y del Tribunal Europeo de Derechos Humanos. En el apartado tercero del escrito indicado alegaron, en particular, que el proceso de revisión había concluido con la sentencia del Tribunal Supremo núm. 426/2020, de 27 de julio, en la que se había declarado la nulidad </w:t>
      </w:r>
      <w:r>
        <w:lastRenderedPageBreak/>
        <w:t>de la sentencia de casación originaria, decisión esta con la que el Tribunal Supremo había determinado los efectos de la resolución del Tribunal Europeo de Derechos Humanos en el orden interno. En esas circunstancias, ya no podía acordarse ningún otro efecto ulterior de la sentencia del Tribunal Europeo de Derechos Humanos, “[a] lo que debe añadirse que esta parte no solicitó, ni solicita, la celebración de un nuevo juicio”, pues “[s]u petición fue, exclusivamente, la reapertura de la causa”. Advertían, asimismo, que ese segundo enjuiciamiento podía suponer la vulneración del derecho a no ser enjuiciado dos veces por los mismos hechos y que carecía de cobertura legal en nuestro ordenamiento jurídico.</w:t>
      </w:r>
    </w:p>
    <w:p w14:paraId="402FFF8D" w14:textId="77777777" w:rsidR="009D7677" w:rsidRDefault="009D7677" w:rsidP="009D7677">
      <w:pPr>
        <w:pStyle w:val="TextoNormal"/>
      </w:pPr>
    </w:p>
    <w:p w14:paraId="15FDB01C" w14:textId="77777777" w:rsidR="009D7677" w:rsidRDefault="009D7677" w:rsidP="009D7677">
      <w:pPr>
        <w:pStyle w:val="TextoNormal"/>
      </w:pPr>
      <w:r>
        <w:t>Por escrito de 20 de octubre de 2020 evacuó el trámite conferido don Rafael Díez Usabiaga, en términos sustancialmente coincidentes con los del escrito anterior.</w:t>
      </w:r>
    </w:p>
    <w:p w14:paraId="5406B4B7" w14:textId="77777777" w:rsidR="009D7677" w:rsidRDefault="009D7677" w:rsidP="009D7677">
      <w:pPr>
        <w:pStyle w:val="TextoNormal"/>
      </w:pPr>
    </w:p>
    <w:p w14:paraId="73B9CFCA" w14:textId="77777777" w:rsidR="009D7677" w:rsidRDefault="009D7677" w:rsidP="009D7677">
      <w:pPr>
        <w:pStyle w:val="TextoNormal"/>
      </w:pPr>
      <w:r>
        <w:t>k) El Ministerio Fiscal interesó, por su parte, que “la Sala acuerde la retroacción de las actuaciones al trámite previo a la designación por la Sección Cuarta [de la Sala de lo Penal] de la Audiencia Nacional de los componentes del tribunal que debían enjuiciar a los procesados [...] y tras designar unos diferentes componentes del tribunal se repita el juicio contra los referidos cinco procesados”. La misma petición hizo la acusación personada.</w:t>
      </w:r>
    </w:p>
    <w:p w14:paraId="5F90FE1A" w14:textId="77777777" w:rsidR="009D7677" w:rsidRDefault="009D7677" w:rsidP="009D7677">
      <w:pPr>
        <w:pStyle w:val="TextoNormal"/>
      </w:pPr>
    </w:p>
    <w:p w14:paraId="6414298F" w14:textId="77777777" w:rsidR="009D7677" w:rsidRDefault="009D7677" w:rsidP="009D7677">
      <w:pPr>
        <w:pStyle w:val="TextoNormal"/>
      </w:pPr>
      <w:r>
        <w:t>l) En la sentencia núm. 692/2020, de 15 de diciembre, el Pleno de la Sala de lo Penal del Tribunal Supremo dictó el siguiente pronunciamiento:</w:t>
      </w:r>
    </w:p>
    <w:p w14:paraId="1FD3D2E9" w14:textId="77777777" w:rsidR="009D7677" w:rsidRDefault="009D7677" w:rsidP="009D7677">
      <w:pPr>
        <w:pStyle w:val="TextoNormal"/>
      </w:pPr>
    </w:p>
    <w:p w14:paraId="7F1F0602" w14:textId="77777777" w:rsidR="009D7677" w:rsidRDefault="009D7677" w:rsidP="009D7677">
      <w:pPr>
        <w:pStyle w:val="TextoNormal"/>
      </w:pPr>
      <w:r>
        <w:t>“1º Estimamos el recurso de casación interpuesto por la representación procesal de don Arnaldo Otegi Mondragón y don Arkaitz Rodríguez Torres contra la sentencia dictada por la Sección Cuarta de la Sala de lo Penal de la Audiencia Nacional, afectando a los demás acusados condenados en la instancia, casamos y anulamos la sentencia recurrida, anulamos el juicio y acordamos la retroacción de las actuaciones al momento anterior al juicio oral, debiendo celebrarse, a la mayor brevedad, dado el tiempo transcurrido, un nuevo juicio contra los acusados que resultaron entonces condenados, por un tribunal compuesto por magistrados diferentes de los que dictaron la sentencia que se anula”.</w:t>
      </w:r>
    </w:p>
    <w:p w14:paraId="1A58BFBA" w14:textId="77777777" w:rsidR="009D7677" w:rsidRDefault="009D7677" w:rsidP="009D7677">
      <w:pPr>
        <w:pStyle w:val="TextoNormal"/>
      </w:pPr>
    </w:p>
    <w:p w14:paraId="6026BDB1" w14:textId="77777777" w:rsidR="009D7677" w:rsidRDefault="009D7677" w:rsidP="009D7677">
      <w:pPr>
        <w:pStyle w:val="TextoNormal"/>
      </w:pPr>
      <w:r>
        <w:t>En esta resolución, entiende el Tribunal Supremo, en primer lugar, que los efectos de la sentencia del Tribunal Europeo de Derechos Humanos de 6 de noviembre de 2018 fueron establecidos, en el orden interno, por la sentencia núm. 426/2020, de 27 de julio, del Tribunal Supremo, que estimó el recurso de revisión, “concretándose en la nulidad de la sentencia que resolvía el recurso de casación”. Considera, sin embargo, que esto no impide que puedan establecerse en resoluciones posteriores “otros efectos o consecuencias, derivados de modo natural de la declaración de nulidad”.</w:t>
      </w:r>
    </w:p>
    <w:p w14:paraId="6E791A62" w14:textId="77777777" w:rsidR="009D7677" w:rsidRDefault="009D7677" w:rsidP="009D7677">
      <w:pPr>
        <w:pStyle w:val="TextoNormal"/>
      </w:pPr>
    </w:p>
    <w:p w14:paraId="593324D0" w14:textId="77777777" w:rsidR="009D7677" w:rsidRDefault="009D7677" w:rsidP="009D7677">
      <w:pPr>
        <w:pStyle w:val="TextoNormal"/>
      </w:pPr>
      <w:r>
        <w:t>Recuerda la Sala, en este punto, que en ocasiones anteriores la nulidad de la sentencia casacional ha resultado suficiente, por sí misma, para dar ejecución al pronunciamiento del Tribunal Europeo de Derechos Humanos pues, en tales casos, la resolución que había vulnerado el derecho fundamental de los recurrentes había sido la condena recaída en vía de recurso, que había implicado la revocación de una previa sentencia absolutoria. En tales circunstancias, “la sentencia dictada en el recurso de revisión declarando la nulidad de la dictada en el recurso de casación o apelación, suponía la vigencia de la absolución acordada en la instancia, lo cual era declarado expresamente en algún caso […], y resultaba implícito en los demás. Por lo que no era necesaria una nueva resolución”.</w:t>
      </w:r>
    </w:p>
    <w:p w14:paraId="2B98BED0" w14:textId="77777777" w:rsidR="009D7677" w:rsidRDefault="009D7677" w:rsidP="009D7677">
      <w:pPr>
        <w:pStyle w:val="TextoNormal"/>
      </w:pPr>
    </w:p>
    <w:p w14:paraId="0B3C2886" w14:textId="77777777" w:rsidR="009D7677" w:rsidRDefault="009D7677" w:rsidP="009D7677">
      <w:pPr>
        <w:pStyle w:val="TextoNormal"/>
      </w:pPr>
      <w:r>
        <w:lastRenderedPageBreak/>
        <w:t>Considera que el caso presente no sería equiparable a esos supuestos previos pues “los recurrentes fueron condenados en la instancia, de manera que la declaración de nulidad de la sentencia dictada en casación no podía implicar, ni expresa ni implícitamente, la vigencia de la dictada en la instancia”. Por ello, concluye el Tribunal Supremo, es necesario “establecer las consecuencias de la declaración de nulidad de la sentencia de casación, único pronunciamiento de la sentencia dictada en el recurso de revisión”.</w:t>
      </w:r>
    </w:p>
    <w:p w14:paraId="6746A203" w14:textId="77777777" w:rsidR="009D7677" w:rsidRDefault="009D7677" w:rsidP="009D7677">
      <w:pPr>
        <w:pStyle w:val="TextoNormal"/>
      </w:pPr>
    </w:p>
    <w:p w14:paraId="0CAAE159" w14:textId="77777777" w:rsidR="009D7677" w:rsidRDefault="009D7677" w:rsidP="009D7677">
      <w:pPr>
        <w:pStyle w:val="TextoNormal"/>
      </w:pPr>
      <w:r>
        <w:t>A la hora de establecer esas consecuencias, el Tribunal Supremo sostiene que resulta aún necesaria una sentencia que resuelva válidamente el recurso de casación y revise la condena recaída en la instancia teniendo en cuenta, ahora sí, la vulneración del derecho al juez imparcial declarada por el Tribunal Europeo de Derechos Humanos. En las propias palabras de la resolución, “la sentencia de casación que desestimó aquella alegación de los recurrentes ha sido anulada por esta misma Sala al resolver el recurso de revisión. Por lo tanto, tendría que dictarse una sentencia que, resolviendo el recurso de casación, acordara expresamente la nulidad de la condena dictada en la instancia”.</w:t>
      </w:r>
    </w:p>
    <w:p w14:paraId="4D1EA3C3" w14:textId="77777777" w:rsidR="009D7677" w:rsidRDefault="009D7677" w:rsidP="009D7677">
      <w:pPr>
        <w:pStyle w:val="TextoNormal"/>
      </w:pPr>
    </w:p>
    <w:p w14:paraId="6014E0FE" w14:textId="77777777" w:rsidR="009D7677" w:rsidRDefault="009D7677" w:rsidP="009D7677">
      <w:pPr>
        <w:pStyle w:val="TextoNormal"/>
      </w:pPr>
      <w:r>
        <w:t>Descarta expresamente el alto tribunal la solución alternativa de considerar “suficiente” la sentencia del Tribunal Europeo de Derechos Humanos y “la dictada en el recurso o proceso de revisión anulando la de casación que desestimó la alegación relativa al derecho a un juez imparcial”. Esa forma de operar tendría dos consecuencias que el Tribunal Supremo considera inasumibles: (i) “no existiría un pronunciamiento definitivo de la Justicia acerca de los aspectos antes mencionados: la existencia de los hechos, la participación de los acusados en los mismos, y el carácter delictivo de los mismos”; y (ii) los acusados habrían visto cumplidas sus penas “como consecuencia de hechos sobre los cuales no existe ese pronunciamiento definitivo”.</w:t>
      </w:r>
    </w:p>
    <w:p w14:paraId="093ECC00" w14:textId="77777777" w:rsidR="009D7677" w:rsidRDefault="009D7677" w:rsidP="009D7677">
      <w:pPr>
        <w:pStyle w:val="TextoNormal"/>
      </w:pPr>
    </w:p>
    <w:p w14:paraId="5395BAEB" w14:textId="77777777" w:rsidR="009D7677" w:rsidRDefault="009D7677" w:rsidP="009D7677">
      <w:pPr>
        <w:pStyle w:val="TextoNormal"/>
      </w:pPr>
      <w:r>
        <w:t>Explica la sentencia, a continuación, la necesidad de proceder a un nuevo enjuiciamiento de los demandantes. Justifica esa decisión en las siguientes consideraciones: (i) la constatación de que los acusados tenían razones objetivas para dudar de la imparcialidad del tribunal no supone una declaración válida sobre el fondo de la cuestión; (ii) en esa situación, visto que los acusados han cumplido la pena, el Estado de Derecho “no puede permanecer impasible ante una privación de libertad cuya justificación final se ignora” y los acusados “tienen derecho a una respuesta en Derecho acerca de la vigencia de su presunción de inocencia respecto de los hechos que les fueron imputados, así como respecto al carácter no delictivo de los mismos”; (iii) del lado contrario, “las acusaciones no han decaído, y quienes las sostienen tienen derecho a una resolución motivada respecto de sus pretensiones debidamente formuladas”; (iv) en todo caso, de acuerdo con los precedentes resueltos por la propia Sala, una declaración de vulneración del derecho al juez imparcial en ningún caso supone, por sí misma y sin que venga acompañada de otras vulneraciones concurrentes, la absolución de la persona acusada; antes bien, es la celebración de un nuevo juicio ante un tribunal de composición diferente la que procede, en tales casos, a la reparación de la lesión padecida. Esa, concluye el Tribunal Supremo, debe ser, por tanto, la forma de proceder en este supuesto, en cuanto “es la única que permite un pronunciamiento sobre el fondo”.</w:t>
      </w:r>
    </w:p>
    <w:p w14:paraId="0F22FE18" w14:textId="77777777" w:rsidR="009D7677" w:rsidRDefault="009D7677" w:rsidP="009D7677">
      <w:pPr>
        <w:pStyle w:val="TextoNormal"/>
      </w:pPr>
    </w:p>
    <w:p w14:paraId="169D9B26" w14:textId="77777777" w:rsidR="009D7677" w:rsidRDefault="009D7677" w:rsidP="009D7677">
      <w:pPr>
        <w:pStyle w:val="TextoNormal"/>
      </w:pPr>
      <w:r>
        <w:t xml:space="preserve">La Sala descarta, finalmente, que esa solución suponga una vulneración del derecho de los recurrentes a no ser juzgados dos veces por los mismos hechos, pues “efectivamente, no existiría un doble enjuiciamiento en la medida en que el primero ha sido declarado nulo </w:t>
      </w:r>
      <w:r>
        <w:lastRenderedPageBreak/>
        <w:t xml:space="preserve">en atención a la protección de un derecho fundamental del acusado” y el propio Tribunal Europeo de Derechos Humanos reconoce que el segundo enjuiciamiento es, en los casos de vulneración del derecho al juez imparcial, un remedio adecuado para la vulneración procesal padecida, que, en cuanto vicio esencial de procedimiento, está expresamente contemplada, como excepción a la prohibición de </w:t>
      </w:r>
      <w:r w:rsidRPr="009D7677">
        <w:rPr>
          <w:i/>
        </w:rPr>
        <w:t>bis in idem</w:t>
      </w:r>
      <w:r>
        <w:t xml:space="preserve"> procesal, en el art. 4.2 del Protocolo núm. 7 al Convenio europeo de derechos humanos.</w:t>
      </w:r>
    </w:p>
    <w:p w14:paraId="6E4DFBB0" w14:textId="77777777" w:rsidR="009D7677" w:rsidRDefault="009D7677" w:rsidP="009D7677">
      <w:pPr>
        <w:pStyle w:val="TextoNormal"/>
      </w:pPr>
    </w:p>
    <w:p w14:paraId="09F34129" w14:textId="77777777" w:rsidR="009D7677" w:rsidRDefault="009D7677" w:rsidP="009D7677">
      <w:pPr>
        <w:pStyle w:val="TextoNormal"/>
      </w:pPr>
      <w:r>
        <w:t>m) En la diligencia de ordenación de la letrada de la administración de justicia de la Sección Tercera de la Sala de lo Penal del Tribunal Supremo, de 17 de diciembre de 2020, se hizo constar lo que sigue, en relación con la sentencia anteriormente mencionada:</w:t>
      </w:r>
    </w:p>
    <w:p w14:paraId="24F8786D" w14:textId="77777777" w:rsidR="009D7677" w:rsidRDefault="009D7677" w:rsidP="009D7677">
      <w:pPr>
        <w:pStyle w:val="TextoNormal"/>
      </w:pPr>
    </w:p>
    <w:p w14:paraId="3E19C9B5" w14:textId="77777777" w:rsidR="009D7677" w:rsidRDefault="009D7677" w:rsidP="009D7677">
      <w:pPr>
        <w:pStyle w:val="TextoNormal"/>
      </w:pPr>
      <w:r>
        <w:t>“La extiendo yo, la letrada de la administración de justicia para hacer constar que la resolución dictada en el presente recurso, junto el rollo de Sala, se han recibido en el día de hoy en la Secretaría de mi cargo. Seguidamente se procede a notificar a las partes, por los medios telemáticos (servicio de Lexnet) la resolución que se adjunta que es firme y contra la que se podrá interponer, en su caso, recurso de amparo ante el Tribunal Constitucional, dentro del término de treinta días hábiles siguientes al de la presente notificación, remitiéndose en el día de la fecha al tribunal sentenciador certificación de lo resuelto en este recurso, con devolución de la causa”.</w:t>
      </w:r>
    </w:p>
    <w:p w14:paraId="2AB8B997" w14:textId="77777777" w:rsidR="009D7677" w:rsidRDefault="009D7677" w:rsidP="009D7677">
      <w:pPr>
        <w:pStyle w:val="TextoNormal"/>
      </w:pPr>
    </w:p>
    <w:p w14:paraId="13E5A10C" w14:textId="267B4F18" w:rsidR="009D7677" w:rsidRDefault="009D7677" w:rsidP="009D7677">
      <w:pPr>
        <w:pStyle w:val="TextoNormal"/>
      </w:pPr>
      <w:r>
        <w:t>n) Según se refleja en la ejecutoria 21-2012, de la Sección Cuarta de la Sala de lo Penal de la Audiencia Nacional, (i) doña Sonia Jacinto García, don Arkaitz Rodríguez Torres y doña Miren Zabaleta Tellería cumplieron las penas de prisión el 11 de noviembre de 2015, mientras que la pena de inhabilitación especial para el empleo o cargo público fue extinguida el 13 de septiembre de 2017; (ii) don Rafael Díez Usabiaga extinguió la pena de prisión el 17 de agosto de 2017, mientras que la pena de inhabilitación especial para el empleo o cargo público se cumplió el 11 de enero de 2019; y (iii) don Arnaldo Otegi Mondragón finalizó el cumplimiento de la pena privativa de libertad el 1 de marzo de 2016, y el 28 de febrero de 2021 cumplió la pena de inhabilitación especial para empleo o cargo público.</w:t>
      </w:r>
    </w:p>
    <w:p w14:paraId="0CF5ECA2" w14:textId="77777777" w:rsidR="009D7677" w:rsidRDefault="009D7677" w:rsidP="009D7677">
      <w:pPr>
        <w:pStyle w:val="TextoNormal"/>
      </w:pPr>
    </w:p>
    <w:p w14:paraId="7CEEF6E3" w14:textId="77777777" w:rsidR="009D7677" w:rsidRDefault="009D7677" w:rsidP="009D7677">
      <w:pPr>
        <w:pStyle w:val="TextoNormal"/>
      </w:pPr>
      <w:r w:rsidRPr="009D7677">
        <w:rPr>
          <w:rStyle w:val="NumeroAFNegritaCaracter"/>
        </w:rPr>
        <w:t>3</w:t>
      </w:r>
      <w:r>
        <w:t xml:space="preserve">. En la demanda de amparo, los recurrentes alegan la lesión del derecho a la tutela judicial efectiva (art. 24.1 CE) en el entendimiento de que la resolución impugnada vulnera el principio de </w:t>
      </w:r>
      <w:r w:rsidRPr="009D7677">
        <w:rPr>
          <w:i/>
        </w:rPr>
        <w:t>ne bis in idem</w:t>
      </w:r>
      <w:r>
        <w:t xml:space="preserve"> procesal en relación con el principio de seguridad jurídica (art. 9.3 CE), el art. 14.7 del Pacto internacional de derechos civiles y políticos (PIDCP), el art. 4 del Protocolo núm. 7 al Convenio europeo de derechos humanos (CEDH) y el art. 50 de la Carta de los derechos fundamentales de la Unión Europea (CDFUE). Según afirman, dicha lesión trae causa de la decisión de celebrar un nuevo juicio contra ellos.</w:t>
      </w:r>
    </w:p>
    <w:p w14:paraId="040460CE" w14:textId="77777777" w:rsidR="009D7677" w:rsidRDefault="009D7677" w:rsidP="009D7677">
      <w:pPr>
        <w:pStyle w:val="TextoNormal"/>
      </w:pPr>
    </w:p>
    <w:p w14:paraId="1A181F51" w14:textId="77777777" w:rsidR="009D7677" w:rsidRDefault="009D7677" w:rsidP="009D7677">
      <w:pPr>
        <w:pStyle w:val="TextoNormal"/>
      </w:pPr>
      <w:r>
        <w:t xml:space="preserve">Los demandantes consideran debidamente agotada la vía judicial, toda vez que, frente a la sentencia impugnada ante este tribunal, tal y como se indica en su parte dispositiva, “no cabe recurso alguno” mediante el que procurar la reparación del derecho fundamental en sede judicial. Además, señalan que la indicada resolución judicial da respuesta a la vulneración de la garantía de la interdicción del </w:t>
      </w:r>
      <w:r w:rsidRPr="009D7677">
        <w:rPr>
          <w:i/>
        </w:rPr>
        <w:t>ne bis in idem</w:t>
      </w:r>
      <w:r>
        <w:t xml:space="preserve"> procesal, que fue planteada por los demandantes de amparo en el trámite de alegaciones, por lo que no procedía formular el incidente de nulidad de actuaciones. Finalmente, añaden que la diligencia de ordenación de 17 de diciembre de 2020 indicó, de manera expresa, que contra la sentencia núm. </w:t>
      </w:r>
      <w:r>
        <w:lastRenderedPageBreak/>
        <w:t>692/2020, de 15 de diciembre, solo procedía interponer recurso de amparo dentro de los treinta días hábiles siguientes.</w:t>
      </w:r>
    </w:p>
    <w:p w14:paraId="10F77725" w14:textId="77777777" w:rsidR="009D7677" w:rsidRDefault="009D7677" w:rsidP="009D7677">
      <w:pPr>
        <w:pStyle w:val="TextoNormal"/>
      </w:pPr>
    </w:p>
    <w:p w14:paraId="5195DBD2" w14:textId="77777777" w:rsidR="009D7677" w:rsidRDefault="009D7677" w:rsidP="009D7677">
      <w:pPr>
        <w:pStyle w:val="TextoNormal"/>
      </w:pPr>
      <w:r>
        <w:t>En cuanto al fondo, afirman que se ha acordado la celebración de un segundo juicio sin atender a las circunstancias concurrentes. Las condenas dictadas en el primer procedimiento han sido ejecutadas y cumplidas en su totalidad, por lo que un nuevo enjuiciamiento supondría reiterar la carga y gravosidad a la que ya se vieron sometidos en el primer procedimiento. Refieren también que esa decisión se ha adoptado al margen del cauce establecido por la Ley 41/2015, que es el recurso de revisión interpuesto tras el dictado de la sentencia por el Tribunal Europeo de Derechos Humanos. Lo resuelto por el órgano judicial es, asimismo, contrario a la doctrina de este último tribunal porque la celebración de un nuevo juicio solo puede llevarse a cabo a petición de la víctima de la violación del derecho concernido.</w:t>
      </w:r>
    </w:p>
    <w:p w14:paraId="276CE11B" w14:textId="77777777" w:rsidR="009D7677" w:rsidRDefault="009D7677" w:rsidP="009D7677">
      <w:pPr>
        <w:pStyle w:val="TextoNormal"/>
      </w:pPr>
    </w:p>
    <w:p w14:paraId="1E97B929" w14:textId="77777777" w:rsidR="009D7677" w:rsidRDefault="009D7677" w:rsidP="009D7677">
      <w:pPr>
        <w:pStyle w:val="TextoNormal"/>
      </w:pPr>
      <w:r>
        <w:t xml:space="preserve">Los demandantes de amparo invocan la doctrina de este tribunal sobre el principio </w:t>
      </w:r>
      <w:r w:rsidRPr="009D7677">
        <w:rPr>
          <w:i/>
        </w:rPr>
        <w:t>ne bis in idem</w:t>
      </w:r>
      <w:r>
        <w:t xml:space="preserve"> procesal. Citan, en concreto, la STC 2/2003, de 16 de enero, que determina los límites de la reapertura de procedimientos penales y sancionadores seguidos por los mismos hechos y contra las mismas personas, y las SSTC 60/2008, de 26 de mayo, y 3/2019, de 14 de enero, que proscriben un segundo enjuiciamiento cuando el mismo hecho ha sido enjuiciado en un procedimiento con eficacia de cosa juzgada. También invocan lo dispuesto en el art. 50 CDFUE, que prohíbe la reapertura de procesos penales con resultado absolutorio o condenatorio que sean firmes. Recuerdan los demandantes que el alcance que deba otorgarse a “la cosa juzgada” es una cuestión de legalidad ordinaria, por lo que la función de este tribunal se ciñe a determinar si la fundamentación dada es irrazonable o incongruente. No obstante, apuntan que en la STC 3/2019 se concluye que la decisión firme de sobreseimiento, aunque sea de carácter provisional, cumple con todos los requisitos para tener la consideración de una resolución de fondo con efectos de cosa juzgada, ya que su reapertura queda condicionada a la aparición de nuevos y distintos indicios de los que ya fueron tomados en cuenta para dictar el sobreseimiento provisional.</w:t>
      </w:r>
    </w:p>
    <w:p w14:paraId="4E429577" w14:textId="77777777" w:rsidR="009D7677" w:rsidRDefault="009D7677" w:rsidP="009D7677">
      <w:pPr>
        <w:pStyle w:val="TextoNormal"/>
      </w:pPr>
    </w:p>
    <w:p w14:paraId="5EBCC593" w14:textId="77777777" w:rsidR="009D7677" w:rsidRDefault="009D7677" w:rsidP="009D7677">
      <w:pPr>
        <w:pStyle w:val="TextoNormal"/>
      </w:pPr>
      <w:r>
        <w:t xml:space="preserve">En relación con la ejecución de pronunciamientos emitidos por el Tribunal Europeo de Derechos Humanos, los recurrentes indican que hasta el año 2015 no había previsión legal que fijara el cauce para dar eficacia interna a las sentencias del Tribunal Europeo de Derechos Humanos. Este déficit fue solventado por la Ley Orgánica 7/2015, de 21 de julio, que introdujo el art. 5 </w:t>
      </w:r>
      <w:r w:rsidRPr="009D7677">
        <w:rPr>
          <w:i/>
        </w:rPr>
        <w:t>bis</w:t>
      </w:r>
      <w:r>
        <w:t xml:space="preserve"> en la Ley Orgánica del Poder Judicial (LOPJ), precepto que subsana la deficiencia existente hasta entonces en el ordenamiento jurídico español. La adaptación de este precepto a la normativa procesal se produjo a través del art. 954.3 LECrim. Por tanto, la tarea ejecutiva de traslación interna de las decisiones del Tribunal Europeo de Derechos Humanos ha sido atribuida al Tribunal Supremo, mediante el recurso de revisión.</w:t>
      </w:r>
    </w:p>
    <w:p w14:paraId="5EC126D7" w14:textId="77777777" w:rsidR="009D7677" w:rsidRDefault="009D7677" w:rsidP="009D7677">
      <w:pPr>
        <w:pStyle w:val="TextoNormal"/>
      </w:pPr>
    </w:p>
    <w:p w14:paraId="3552CF88" w14:textId="77777777" w:rsidR="009D7677" w:rsidRDefault="009D7677" w:rsidP="009D7677">
      <w:pPr>
        <w:pStyle w:val="TextoNormal"/>
      </w:pPr>
      <w:r>
        <w:t xml:space="preserve">Respecto del recurso de revisión que fue estimado en el presente caso, los demandantes traen a colación la doctrina constitucional reflejada en el ATC 27/2017, de 20 de febrero, y en las SSTC 41/1997, de 10 de marzo, y 240/2005, de 10 de octubre, así como lo razonado en la STS 111/2015, de 26 de febrero, de cuyo contenido coligen que el recurso de revisión se concibe como un remedio extraordinario a favor del reo, que tiene por objeto la revocación de sentencias firmes condenatorias cuando concurren circunstancia excepcionales. Y en relación con el juicio de revisión promovido para dotar de efectividad interna a </w:t>
      </w:r>
      <w:r>
        <w:lastRenderedPageBreak/>
        <w:t>los pronunciamientos del Tribunal Europeo de Derechos Humanos, los demandantes analizan las diferentes sentencias dictadas por la Sala de lo Penal del Tribunal Supremo en aplicación del art. 954.3 LECrim, de cuyo contenido concluyen:</w:t>
      </w:r>
    </w:p>
    <w:p w14:paraId="53A31C83" w14:textId="77777777" w:rsidR="009D7677" w:rsidRDefault="009D7677" w:rsidP="009D7677">
      <w:pPr>
        <w:pStyle w:val="TextoNormal"/>
      </w:pPr>
    </w:p>
    <w:p w14:paraId="0FADA157" w14:textId="77777777" w:rsidR="009D7677" w:rsidRDefault="009D7677" w:rsidP="009D7677">
      <w:pPr>
        <w:pStyle w:val="TextoNormal"/>
      </w:pPr>
      <w:r>
        <w:t>a) Que entre los efectos de la estimación del recurso de revisión se encuentra la nulidad, total o parcial, de la sentencia declarada contraria al Convenio europeo de derechos humanos; pero “es incuestionable que es dentro del proceso de revisión donde se debe determinar el alcance en cada caso de la declarada vulneración del derecho reconocido en el Convenio sobre la sentencia interna”.</w:t>
      </w:r>
    </w:p>
    <w:p w14:paraId="6728E0F3" w14:textId="77777777" w:rsidR="009D7677" w:rsidRDefault="009D7677" w:rsidP="009D7677">
      <w:pPr>
        <w:pStyle w:val="TextoNormal"/>
      </w:pPr>
    </w:p>
    <w:p w14:paraId="488BA7F8" w14:textId="77777777" w:rsidR="009D7677" w:rsidRDefault="009D7677" w:rsidP="009D7677">
      <w:pPr>
        <w:pStyle w:val="TextoNormal"/>
      </w:pPr>
      <w:r>
        <w:t>b) En ninguna de las sentencias analizadas se establecen los efectos de la decisión del Tribunal Europeo de Derechos Humanos “fuera del cauce del recurso de revisión” y, más concretamente, en ninguna de ellas se ha reabierto el recurso de casación para fijar esos efectos.</w:t>
      </w:r>
    </w:p>
    <w:p w14:paraId="1217F47D" w14:textId="77777777" w:rsidR="009D7677" w:rsidRDefault="009D7677" w:rsidP="009D7677">
      <w:pPr>
        <w:pStyle w:val="TextoNormal"/>
      </w:pPr>
    </w:p>
    <w:p w14:paraId="58865D42" w14:textId="77777777" w:rsidR="009D7677" w:rsidRDefault="009D7677" w:rsidP="009D7677">
      <w:pPr>
        <w:pStyle w:val="TextoNormal"/>
      </w:pPr>
      <w:r>
        <w:t>c) En ningún caso la estimación del recurso de revisión ha dado lugar a la celebración de un nuevo juicio. Expresamente citan lo resuelto en las SSTS 145/2015, de 12 de marzo, y 113/2017, de 22 de febrero, en las que se rechazó esa petición.</w:t>
      </w:r>
    </w:p>
    <w:p w14:paraId="6993925F" w14:textId="77777777" w:rsidR="009D7677" w:rsidRDefault="009D7677" w:rsidP="009D7677">
      <w:pPr>
        <w:pStyle w:val="TextoNormal"/>
      </w:pPr>
    </w:p>
    <w:p w14:paraId="4C1681BB" w14:textId="77777777" w:rsidR="009D7677" w:rsidRDefault="009D7677" w:rsidP="009D7677">
      <w:pPr>
        <w:pStyle w:val="TextoNormal"/>
      </w:pPr>
      <w:r>
        <w:t xml:space="preserve">Los demandantes reiteran que todos ellos han cumplido íntegramente las penas privativas de libertad a las que fueron condenados, con anterioridad al dictado de la sentencia del Tribunal Europeo de Derechos Humanos de 6 de noviembre de 2018; y que en el parágrafo 74 de la sentencia indicada se señala que la celebración del nuevo juicio o la reapertura del caso deberá hacerse a solicitud de la persona interesada. Y afirman que la primera de las circunstancias indicadas es especialmente relevante, dada la vulneración del </w:t>
      </w:r>
      <w:r w:rsidRPr="009D7677">
        <w:rPr>
          <w:i/>
        </w:rPr>
        <w:t>ne bis in idem</w:t>
      </w:r>
      <w:r>
        <w:t xml:space="preserve"> procesal que comporta el nuevo enjuiciamiento acordado, habida cuenta de que a la carga y gravosidad que ello de por sí supone, se suma el hecho de que los afectados han sufrido de manera injusta una penalidad efectiva “que hace que persista el efecto preclusivo de la cosa juzgada material a pesar de que formalmente se haya anulado la sentencia de casación que la provocó. Y ello debe impedir un nuevo enjuiciamiento”.</w:t>
      </w:r>
    </w:p>
    <w:p w14:paraId="21CF8315" w14:textId="77777777" w:rsidR="009D7677" w:rsidRDefault="009D7677" w:rsidP="009D7677">
      <w:pPr>
        <w:pStyle w:val="TextoNormal"/>
      </w:pPr>
    </w:p>
    <w:p w14:paraId="36475AA8" w14:textId="77777777" w:rsidR="009D7677" w:rsidRDefault="009D7677" w:rsidP="009D7677">
      <w:pPr>
        <w:pStyle w:val="TextoNormal"/>
      </w:pPr>
      <w:r>
        <w:t>Seguidamente, formulan los siguientes reproches contra la sentencia que acordó el nuevo enjuiciamiento, a la que califican de irracional:</w:t>
      </w:r>
    </w:p>
    <w:p w14:paraId="0B2F7928" w14:textId="77777777" w:rsidR="009D7677" w:rsidRDefault="009D7677" w:rsidP="009D7677">
      <w:pPr>
        <w:pStyle w:val="TextoNormal"/>
      </w:pPr>
    </w:p>
    <w:p w14:paraId="6838AC75" w14:textId="77777777" w:rsidR="009D7677" w:rsidRDefault="009D7677" w:rsidP="009D7677">
      <w:pPr>
        <w:pStyle w:val="TextoNormal"/>
      </w:pPr>
      <w:r>
        <w:t>(i) En primer lugar censuran el argumento, que consideran “ultraformalista”, según el cual la sentencia que puso fin al recurso de revisión solo declaró la nulidad de la STS 351/2012, pero no la de la dictada en la instancia por la Audiencia Nacional. Para los demandantes, ese concreto pronunciamiento no resultaba necesario, puesto que todos los párrafos que el Tribunal Europeo de Derechos Humanos dedica a analizar la falta de imparcialidad del tribunal de enjuiciamiento se refieren, como es lógico, al juicio oral celebrado ante la Sección Cuarta de la Sala de lo Penal de la Audiencia Nacional y a la actuación de su presidenta; en ningún caso se refieren a la posterior sentencia de casación. Coligen, asimismo, que “[e]sa razón formal se convertirá en la oportunidad para adoptar fuera del marco legal establecido —recurso de revisión— una decisión que, en su caso, solo hubiera correspondido tomar a la sala de revisión del Tribunal Supremo y que, en ese proceso, no fue solicitado ni por los condenados ni por el Ministerio Fiscal”.</w:t>
      </w:r>
    </w:p>
    <w:p w14:paraId="79722D62" w14:textId="77777777" w:rsidR="009D7677" w:rsidRDefault="009D7677" w:rsidP="009D7677">
      <w:pPr>
        <w:pStyle w:val="TextoNormal"/>
      </w:pPr>
    </w:p>
    <w:p w14:paraId="5C989E45" w14:textId="77777777" w:rsidR="009D7677" w:rsidRDefault="009D7677" w:rsidP="009D7677">
      <w:pPr>
        <w:pStyle w:val="TextoNormal"/>
      </w:pPr>
      <w:r>
        <w:lastRenderedPageBreak/>
        <w:t>(ii) También critican que el órgano casacional adujera que los recurrentes tienen derecho a una respuesta en derecho sobre la vigencia de la presunción de inocencia. Sostienen que la presunción de inocencia de la que gozan en la actualidad es innegable, pues tras la sentencia dictada por el Tribunal Europeo de Derechos Humanos “sienten moral y jurídicamente satisfecha su pretensión de obtener una reparación”, al haberse reconocido que “fueron sometidos a un juicio injusto y con la anulación de la sentencia condenatoria”, sin perjuicio de la responsabilidad patrimonial que puedan exigir por el tiempo de injusta privación de libertad sufrido.</w:t>
      </w:r>
    </w:p>
    <w:p w14:paraId="25785C7E" w14:textId="77777777" w:rsidR="009D7677" w:rsidRDefault="009D7677" w:rsidP="009D7677">
      <w:pPr>
        <w:pStyle w:val="TextoNormal"/>
      </w:pPr>
    </w:p>
    <w:p w14:paraId="5FCB53C0" w14:textId="77777777" w:rsidR="009D7677" w:rsidRDefault="009D7677" w:rsidP="009D7677">
      <w:pPr>
        <w:pStyle w:val="TextoNormal"/>
      </w:pPr>
      <w:r>
        <w:t xml:space="preserve">(iii) Rechazan, igualmente, el argumento según el cual “el Estado de Derecho no puede permanecer impasible ante una privación de libertad cuya justificación final ignora”. Este razonamiento busca corregir </w:t>
      </w:r>
      <w:r w:rsidRPr="009D7677">
        <w:rPr>
          <w:i/>
        </w:rPr>
        <w:t>a posteriori</w:t>
      </w:r>
      <w:r>
        <w:t xml:space="preserve"> la falta de imparcialidad del tribunal sentenciador, mediante un nuevo enjuiciamiento que conlleve la condena de los acusados para, de ese modo, justificar los seis años y medio de privación que los demandantes cumplieron.</w:t>
      </w:r>
    </w:p>
    <w:p w14:paraId="6748BAB5" w14:textId="77777777" w:rsidR="009D7677" w:rsidRDefault="009D7677" w:rsidP="009D7677">
      <w:pPr>
        <w:pStyle w:val="TextoNormal"/>
      </w:pPr>
    </w:p>
    <w:p w14:paraId="0D3B2DB5" w14:textId="77777777" w:rsidR="009D7677" w:rsidRDefault="009D7677" w:rsidP="009D7677">
      <w:pPr>
        <w:pStyle w:val="TextoNormal"/>
      </w:pPr>
      <w:r>
        <w:t>(iv) También refutan el planteamiento del órgano casacional cuando alude al derecho de las acusaciones a que sus pretensiones sean resueltas en sentencia. Reiteran que la resolución condenatoria fue dictada en un juicio injusto y que las penas fueron cumplidas en su integridad. Por tanto, las acusaciones ya han obtenido, de hecho, mucho más de lo que podían haber pedido en Derecho, de manera que carecen de legitimidad para instar la celebración de un nuevo juicio a fin de obtener una condena, ya que esta pretensión carece de razón plausible y de interés material.</w:t>
      </w:r>
    </w:p>
    <w:p w14:paraId="092F9DDE" w14:textId="77777777" w:rsidR="009D7677" w:rsidRDefault="009D7677" w:rsidP="009D7677">
      <w:pPr>
        <w:pStyle w:val="TextoNormal"/>
      </w:pPr>
    </w:p>
    <w:p w14:paraId="7DF1D35F" w14:textId="77777777" w:rsidR="009D7677" w:rsidRDefault="009D7677" w:rsidP="009D7677">
      <w:pPr>
        <w:pStyle w:val="TextoNormal"/>
      </w:pPr>
      <w:r>
        <w:t xml:space="preserve">(v) Niegan que la celebración del nuevo juicio pueda sustentarse en lo argumentado en la STC 245/1991, de 16 de diciembre, y en la STEDH de 8 de julio de 2019, asunto </w:t>
      </w:r>
      <w:r w:rsidRPr="009D7677">
        <w:rPr>
          <w:i/>
        </w:rPr>
        <w:t>Mihalache c. Rumania</w:t>
      </w:r>
      <w:r>
        <w:t xml:space="preserve">, en relación con lo dispuesto en el art. 4.2 del Protocolo núm. 7 al CEDH, para descartar que la nueva celebración de juicio oral no supondría un doble enjuiciamiento, al haber sido declarado nulo el primer juicio. A ese aserto oponen la doctrina recogida en las SSTEDH de 20 de julio de 2004, asunto </w:t>
      </w:r>
      <w:r w:rsidRPr="009D7677">
        <w:rPr>
          <w:i/>
        </w:rPr>
        <w:t>Nikitin c. Rusia</w:t>
      </w:r>
      <w:r>
        <w:t xml:space="preserve">, y de 17 de mayo de 2016, asunto </w:t>
      </w:r>
      <w:r w:rsidRPr="009D7677">
        <w:rPr>
          <w:i/>
        </w:rPr>
        <w:t>Bakrina c. Rusia</w:t>
      </w:r>
      <w:r>
        <w:t>, y reiteran que lo razonado en este punto por el Tribunal Supremo hace prevalecer el sistema de justicia penal sobre los derechos de unas personas que fueron injustamente condenadas, que cumplieron las penas, y a las que, no obstante, se las pretende juzgar nuevamente. También reiteran que, conforme a lo dispuesto en el art. 4.2 del indicado protocolo, la reapertura debería llevarse a cabo conforme a la ley y al procedimiento del Estado interesado, por lo que la decisión de celebrar nuevo enjuiciamiento “ha de adoptarse en el seno del proceso de revisión y no fuera de él”.</w:t>
      </w:r>
    </w:p>
    <w:p w14:paraId="54B7F68A" w14:textId="77777777" w:rsidR="009D7677" w:rsidRDefault="009D7677" w:rsidP="009D7677">
      <w:pPr>
        <w:pStyle w:val="TextoNormal"/>
      </w:pPr>
    </w:p>
    <w:p w14:paraId="43FF514F" w14:textId="47CE933C" w:rsidR="009D7677" w:rsidRDefault="009D7677" w:rsidP="009D7677">
      <w:pPr>
        <w:pStyle w:val="TextoNormal"/>
      </w:pPr>
      <w:r>
        <w:t>(vi) Señalan que, en el fundamento jurídico cuarto de la sentencia combatida en esta sede, se indica que la declaración por parte del Tribunal Europeo de Derechos Humanos de la violación del derecho al juez imparcial “no puede extender sus efectos a conceder al acusado una disponibilidad sobre el proceso que el Derecho interno no le reconoce”. Sin embargo, dicha aserción se opone a la doctrina del Tribunal Europeo de Derechos Humanos que “viene incluyendo desde hace años una cláusula de reapertura del procedimiento interno. En ella precisa que la reapertura o el nuevo juicio debe ser siempre a instancias del interesado, esto es, del demandante/víctima”. Y en sintonía con esa doctrina, el art. 954.3 LECrim establece que la revisión solamente puede ser solicitada por quien, estando legitimado para interponer el recurso, hubiera sido demandante ante el Tribunal Europeo de Derechos Humanos. Siendo así, no resulta razonable que, al margen de esa vía y ha</w:t>
      </w:r>
      <w:r>
        <w:lastRenderedPageBreak/>
        <w:t>biéndose cumplido las condenas impuestas, se acuerde celebrar un nuevo juicio sin que los demandantes lo hayan solicitado.</w:t>
      </w:r>
    </w:p>
    <w:p w14:paraId="4043CA0F" w14:textId="77777777" w:rsidR="009D7677" w:rsidRDefault="009D7677" w:rsidP="009D7677">
      <w:pPr>
        <w:pStyle w:val="TextoNormal"/>
      </w:pPr>
    </w:p>
    <w:p w14:paraId="664944AC" w14:textId="585C31A6" w:rsidR="009D7677" w:rsidRDefault="009D7677" w:rsidP="009D7677">
      <w:pPr>
        <w:pStyle w:val="TextoNormal"/>
      </w:pPr>
      <w:r w:rsidRPr="009D7677">
        <w:rPr>
          <w:rStyle w:val="NumeroAFNegritaCaracter"/>
        </w:rPr>
        <w:t>4</w:t>
      </w:r>
      <w:r>
        <w:t>. Por providencia de 12 de julio de 2021, la Sala Segunda del Tribunal Constitucional acordó proponer la avocación al Pleno del presente recurso de amparo, de conformidad con lo dispuesto en el art. 10.1 n) de la Ley Orgánica del Tribunal Constitucional (LOTC).</w:t>
      </w:r>
    </w:p>
    <w:p w14:paraId="124598DB" w14:textId="77777777" w:rsidR="009D7677" w:rsidRDefault="009D7677" w:rsidP="009D7677">
      <w:pPr>
        <w:pStyle w:val="TextoNormal"/>
      </w:pPr>
    </w:p>
    <w:p w14:paraId="1938DD16" w14:textId="77777777" w:rsidR="009D7677" w:rsidRDefault="009D7677" w:rsidP="009D7677">
      <w:pPr>
        <w:pStyle w:val="TextoNormal"/>
      </w:pPr>
      <w:r w:rsidRPr="009D7677">
        <w:rPr>
          <w:rStyle w:val="NumeroAFNegritaCaracter"/>
        </w:rPr>
        <w:t>5</w:t>
      </w:r>
      <w:r>
        <w:t>. El Pleno del Tribunal Constitucional, el 7 de octubre de 2021, dictó providencia en la que acordó recabar para sí el conocimiento de este recurso, conforme a lo establecido en el art. 10.1 n) LOTC y admitirlo a trámite, apreciando que concurre en el mismo una especial trascendencia constitucional (art. 50.1 LOTC), porque el recurso plantea un problema o afecta a una faceta de un derecho fundamental sobre el que no hay doctrina de este tribunal [STC 155/2009, de 25 de junio, FJ 2 a)].</w:t>
      </w:r>
    </w:p>
    <w:p w14:paraId="7FA1C6B4" w14:textId="77777777" w:rsidR="009D7677" w:rsidRDefault="009D7677" w:rsidP="009D7677">
      <w:pPr>
        <w:pStyle w:val="TextoNormal"/>
      </w:pPr>
    </w:p>
    <w:p w14:paraId="5FFDBF3F" w14:textId="4DEA8DA9" w:rsidR="009D7677" w:rsidRDefault="009D7677" w:rsidP="009D7677">
      <w:pPr>
        <w:pStyle w:val="TextoNormal"/>
      </w:pPr>
      <w:r>
        <w:t>También acordó dirigir atenta comunicación a la Sala de lo Penal del Tribunal Supremo para que, en plazo que no exceda de diez días, remita certificación o fotocopia adverada de las actuaciones correspondientes al recurso de casación núm. 11773-2011; y a la Sección Cuarta de la Sala de lo Penal de la Audiencia Nacional para que, en el plazo indicado, envíe certificación o fotocopia adverada de las actuaciones correspondientes al rollo de sala núm. 95-2009, debiendo previamente emplazar a quienes fueron parte en el procedimiento, excepto a los recurrentes en amparo, para que en el plazo de diez días pudieran comparecer, si lo desean, en el recurso de amparo. En relación con la solicitud de suspensión de la resolución recurrida se resolvió formar la correspondiente pieza separada.</w:t>
      </w:r>
    </w:p>
    <w:p w14:paraId="3008B942" w14:textId="77777777" w:rsidR="009D7677" w:rsidRDefault="009D7677" w:rsidP="009D7677">
      <w:pPr>
        <w:pStyle w:val="TextoNormal"/>
      </w:pPr>
    </w:p>
    <w:p w14:paraId="0066D38D" w14:textId="2304D85C" w:rsidR="009D7677" w:rsidRDefault="009D7677" w:rsidP="009D7677">
      <w:pPr>
        <w:pStyle w:val="TextoNormal"/>
      </w:pPr>
      <w:r w:rsidRPr="009D7677">
        <w:rPr>
          <w:rStyle w:val="NumeroAFNegritaCaracter"/>
        </w:rPr>
        <w:t>6</w:t>
      </w:r>
      <w:r>
        <w:t>. Por escrito presentado el 16 de noviembre de 2021, la procuradora de los tribunales doña Delicias Santos Montero, en nombre y representación de la Asociación Víctimas del Terrorismo Verde Esperanza (Voces contra el Terrorismo) solicitó que se la tuviera como personada y parte en el procedimiento.</w:t>
      </w:r>
    </w:p>
    <w:p w14:paraId="1DCE93FD" w14:textId="77777777" w:rsidR="009D7677" w:rsidRDefault="009D7677" w:rsidP="009D7677">
      <w:pPr>
        <w:pStyle w:val="TextoNormal"/>
      </w:pPr>
    </w:p>
    <w:p w14:paraId="185DF65E" w14:textId="770D32E3" w:rsidR="009D7677" w:rsidRDefault="009D7677" w:rsidP="009D7677">
      <w:pPr>
        <w:pStyle w:val="TextoNormal"/>
      </w:pPr>
      <w:r w:rsidRPr="009D7677">
        <w:rPr>
          <w:rStyle w:val="NumeroAFNegritaCaracter"/>
        </w:rPr>
        <w:t>7</w:t>
      </w:r>
      <w:r>
        <w:t>. Por diligencia de ordenación de 22 de noviembre de 2021 se tuvo por personada y parte en el procedimiento a la procuradora de los tribunales doña Delicias Santos Montero, en nombre y representación de la Asociación Víctimas del Terrorismo Verde Esperanza (Voces contra el Terrorismo). También se acordó dar vista de las actuaciones, por un plazo común de veinte días, al Ministerio Fiscal y a las partes personadas para que, en dicho término, puedan presentar las alegaciones que a su derecho convenga.</w:t>
      </w:r>
    </w:p>
    <w:p w14:paraId="786A26B3" w14:textId="77777777" w:rsidR="009D7677" w:rsidRDefault="009D7677" w:rsidP="009D7677">
      <w:pPr>
        <w:pStyle w:val="TextoNormal"/>
      </w:pPr>
    </w:p>
    <w:p w14:paraId="2CD8048D" w14:textId="77777777" w:rsidR="009D7677" w:rsidRDefault="009D7677" w:rsidP="009D7677">
      <w:pPr>
        <w:pStyle w:val="TextoNormal"/>
      </w:pPr>
      <w:r w:rsidRPr="009D7677">
        <w:rPr>
          <w:rStyle w:val="NumeroAFNegritaCaracter"/>
        </w:rPr>
        <w:t>8</w:t>
      </w:r>
      <w:r>
        <w:t xml:space="preserve">. El 27 de diciembre de 2021 presentaron sus alegaciones los demandantes de amparo. En resumen, manifiestan que conforme a la reiterada doctrina del Tribunal Europeo de Derechos Humanos, que también se refleja en la STEDH de 26 de octubre de 2021, asunto </w:t>
      </w:r>
      <w:r w:rsidRPr="009D7677">
        <w:rPr>
          <w:i/>
        </w:rPr>
        <w:t>Serrano Contreras c. España</w:t>
      </w:r>
      <w:r>
        <w:t>, —núm. 2—, la posibilidad de reabrir el caso o celebrar nuevo juicio debe quedar en manos de quienes hayan sido condenados con violación del art. 6 CEDH, de suerte que las otras partes del procedimiento cuyos derechos no hayan sido vulnerados no pueden activar la nueva celebración del juicio.</w:t>
      </w:r>
    </w:p>
    <w:p w14:paraId="2C4740DC" w14:textId="77777777" w:rsidR="009D7677" w:rsidRDefault="009D7677" w:rsidP="009D7677">
      <w:pPr>
        <w:pStyle w:val="TextoNormal"/>
      </w:pPr>
    </w:p>
    <w:p w14:paraId="2353DCA1" w14:textId="2F9649D1" w:rsidR="009D7677" w:rsidRDefault="009D7677" w:rsidP="009D7677">
      <w:pPr>
        <w:pStyle w:val="TextoNormal"/>
      </w:pPr>
      <w:r>
        <w:t xml:space="preserve">Reiteran que en el presente supuesto se opusieron expresamente a esa eventualidad, por lo que la Sala de lo Penal del Tribunal Supremo no ha respetado lo resuelto por la sentencia del Tribunal Europeo de Derechos Humanos de 6 de noviembre de 2018, al ir más allá </w:t>
      </w:r>
      <w:r>
        <w:lastRenderedPageBreak/>
        <w:t>del margen de apreciación del que disponen las autoridades nacionales para decidir sobre la reapertura del procedimiento, vulnerando de ese modo el art. 6.1 CEDH. Y añaden que, aunque fueran juzgados por un tribunal imparcial, acudirían a él tras haber cumplido íntegramente las penas que les impuso el Tribunal Supremo.</w:t>
      </w:r>
    </w:p>
    <w:p w14:paraId="4E00DD75" w14:textId="77777777" w:rsidR="009D7677" w:rsidRDefault="009D7677" w:rsidP="009D7677">
      <w:pPr>
        <w:pStyle w:val="TextoNormal"/>
      </w:pPr>
    </w:p>
    <w:p w14:paraId="2A77A941" w14:textId="77777777" w:rsidR="009D7677" w:rsidRDefault="009D7677" w:rsidP="009D7677">
      <w:pPr>
        <w:pStyle w:val="TextoNormal"/>
      </w:pPr>
      <w:r w:rsidRPr="009D7677">
        <w:rPr>
          <w:rStyle w:val="NumeroAFNegritaCaracter"/>
        </w:rPr>
        <w:t>9</w:t>
      </w:r>
      <w:r>
        <w:t xml:space="preserve">. El 28 de diciembre de 2021 formuló sus alegaciones la Asociación Víctimas del Terrorismo Verde Esperanza (Voces contra el Terrorismo), quien interesa la desestimación del recurso, por no apreciar que la sentencia impugnada sea contraria al principio </w:t>
      </w:r>
      <w:r w:rsidRPr="009D7677">
        <w:rPr>
          <w:i/>
        </w:rPr>
        <w:t>ne bis in idem</w:t>
      </w:r>
      <w:r>
        <w:t>.</w:t>
      </w:r>
    </w:p>
    <w:p w14:paraId="0F6AEE60" w14:textId="77777777" w:rsidR="009D7677" w:rsidRDefault="009D7677" w:rsidP="009D7677">
      <w:pPr>
        <w:pStyle w:val="TextoNormal"/>
      </w:pPr>
    </w:p>
    <w:p w14:paraId="2A76EE2C" w14:textId="77777777" w:rsidR="009D7677" w:rsidRDefault="009D7677" w:rsidP="009D7677">
      <w:pPr>
        <w:pStyle w:val="TextoNormal"/>
      </w:pPr>
      <w:r>
        <w:t xml:space="preserve">Señala la referida asociación que para que pudiera estimarse la lesión del art. 24.1 CE en esa vertiente, sería necesario que existiera un pronunciamiento condenatorio firme que, en el presente caso, no concurre. Afirma que, tras la nulidad del juicio celebrado ante la Sala de lo Penal de la Audiencia Nacional, la celebración de un juicio justo es, precisamente, el medio de “salvaguarda de los derechos fundamentales que dispone el ordenamiento jurídico”, que los recurrentes rechazan en un entendimiento que queda fuera de todos los límites interpretativos del Derecho, al pretender “obtener las consecuencias de una sentencia absolutoria sin haber celebrado juicio”. Señalan que al haber sido anulado el juicio celebrado por la Sala de lo Penal de la Audiencia Nacional no ha existido un pronunciamiento definitivo que permita apreciar la existencia de un doble enjuiciamiento, porque no cabe apreciar cosa juzgada. Así pues, conforme a la doctrina constitucional, en el presente caso no es posible invocar la vulneración del principio </w:t>
      </w:r>
      <w:r w:rsidRPr="009D7677">
        <w:rPr>
          <w:i/>
        </w:rPr>
        <w:t>ne bis in idem</w:t>
      </w:r>
      <w:r>
        <w:t xml:space="preserve"> ni la garantía de la interdicción de doble enjuiciamiento penal, pues ello requeriría de una doble sanción o doble enjuiciamiento por unos mismos hechos, lo que no acontece en el presente caso, pues al haberse anulado el único juicio celebrado y la sentencia condenatoria, “la consecuencia jurídica es la inexistencia de la misma, y por tanto, la repetición de un juicio no significa la duplicidad del mismo”, al no existir cosa juzgada. Por tanto, el motivo debería ser desestimado y el juicio ante la Audiencia Nacional debería repetirse, dado que las graves acciones cometidas no pueden quedar impunes.</w:t>
      </w:r>
    </w:p>
    <w:p w14:paraId="065C51E7" w14:textId="77777777" w:rsidR="009D7677" w:rsidRDefault="009D7677" w:rsidP="009D7677">
      <w:pPr>
        <w:pStyle w:val="TextoNormal"/>
      </w:pPr>
    </w:p>
    <w:p w14:paraId="2ED25AAC" w14:textId="77777777" w:rsidR="009D7677" w:rsidRDefault="009D7677" w:rsidP="009D7677">
      <w:pPr>
        <w:pStyle w:val="TextoNormal"/>
      </w:pPr>
      <w:r>
        <w:t>También refuta la asociación personada que la repetición del juicio vulnere los derechos reconocidos en los arts. 24 y 25 CE. Señala que la nueva celebración del juicio oral satisface el derecho de los demandantes a obtener una resolución firme y fundada en Derecho, pues si bien no sería conforme con la doctrina constitucional la repetición del juicio cuando “la sentencia vulneradora del derecho y anulada sea absolutoria, sin embargo, no es este caso, pues la sentencia fue condenatoria”. Por ello, procede la repetición del juicio para la salvaguarda de los derechos de los recurrentes, sin que ello vulnere los derechos fundamentales. En apoyo de lo afirmado trae a colación los parágrafos 74 y 75 de la sentencia dictada por el Tribunal Europeo de Derechos Humanos en el presente supuesto, así como lo resuelto en la STC 112/2015, de 8 de junio.</w:t>
      </w:r>
    </w:p>
    <w:p w14:paraId="66E9C970" w14:textId="77777777" w:rsidR="009D7677" w:rsidRDefault="009D7677" w:rsidP="009D7677">
      <w:pPr>
        <w:pStyle w:val="TextoNormal"/>
      </w:pPr>
    </w:p>
    <w:p w14:paraId="3AF6929E" w14:textId="378302EC" w:rsidR="009D7677" w:rsidRDefault="009D7677" w:rsidP="009D7677">
      <w:pPr>
        <w:pStyle w:val="TextoNormal"/>
      </w:pPr>
      <w:r>
        <w:t>La asociación personada descarta que la repetición del juicio oral vulnere el principio de seguridad jurídica reconocido en el art. 9.3 CE y que esa decisión resulte contraria a los arts. 14.7 PIDCP, 4 del Protocolo núm. 7 CEDH y 50 CDFUE. Apunta también que la cuestión atinente al cumplimiento íntegro de las penas deberá ser analizada tras el resultado del juicio a celebrar, pues resulta prematuro considerar que este cumplimiento pueda ser vinculado a la existencia de firmeza de la resolución judicial, dado que ha sido ya anulada. Por otro lado, de acuerdo a los principios de seguridad jurídica y legalidad reconoci</w:t>
      </w:r>
      <w:r>
        <w:lastRenderedPageBreak/>
        <w:t>dos en el art. 9.3 CE, también se prevé “la adecuación del cumplimiento y ejecución de la sentencia que eventualmente se dicte en el enjuiciamiento acordado”. Y añade que, precisamente, el principio de seguridad jurídica queda salvaguardado mediante la repetición del juicio, pues la decisión que así lo acuerda no solo se acomoda a la previsión normativa (vertiente objetiva) “sino también a la interpretación en precedentes similares donde surgió la necesidad de acomodo al supuesto, en los que se impone la repetición como interpretación más garantista de los derechos de los acusados y también de otras partes intervinientes en el proceso. […] en este caso la acusación popular, a obtener un pronunciamiento judicial justo sobre los graves hechos considerados delictivos que originan el procedimiento y que también se encuentran protegidos por el artículo 24 de la Constitución Española”.</w:t>
      </w:r>
    </w:p>
    <w:p w14:paraId="6E783978" w14:textId="77777777" w:rsidR="009D7677" w:rsidRDefault="009D7677" w:rsidP="009D7677">
      <w:pPr>
        <w:pStyle w:val="TextoNormal"/>
      </w:pPr>
    </w:p>
    <w:p w14:paraId="747FC404" w14:textId="77777777" w:rsidR="009D7677" w:rsidRDefault="009D7677" w:rsidP="009D7677">
      <w:pPr>
        <w:pStyle w:val="TextoNormal"/>
      </w:pPr>
      <w:r w:rsidRPr="009D7677">
        <w:rPr>
          <w:rStyle w:val="NumeroAFNegritaCaracter"/>
        </w:rPr>
        <w:t>10</w:t>
      </w:r>
      <w:r>
        <w:t>. El 20 de enero de 2022 presentó sus alegaciones el fiscal, quien interesa la estimación del recurso por haberse vulnerado el derecho a la tutela judicial efectiva (art. 24.1 CE), en la faceta de interdicción del doble enjuiciamiento penal.</w:t>
      </w:r>
    </w:p>
    <w:p w14:paraId="7B10E05D" w14:textId="77777777" w:rsidR="009D7677" w:rsidRDefault="009D7677" w:rsidP="009D7677">
      <w:pPr>
        <w:pStyle w:val="TextoNormal"/>
      </w:pPr>
    </w:p>
    <w:p w14:paraId="09E53C71" w14:textId="77777777" w:rsidR="009D7677" w:rsidRDefault="009D7677" w:rsidP="009D7677">
      <w:pPr>
        <w:pStyle w:val="TextoNormal"/>
      </w:pPr>
      <w:r>
        <w:t xml:space="preserve">a) Tras detallar los antecedentes procesales que considera más relevantes y sintetizar el contenido del escrito de demanda, argumenta el fiscal, en primer lugar, sobre el cumplimiento del requisito de admisibilidad establecido en el art. 44.1 a) LOTC, relativo al agotamiento de los medios de impugnación previstos en las normas procesales; en particular sobre si, en el presente caso, era necesario el planteamiento del incidente de nulidad de actuaciones. Según expone, dos son los argumentos que apoyan la no exigencia de formular ese incidente para entender agotada la vía judicial. En primer lugar, porque la vulneración del principio </w:t>
      </w:r>
      <w:r w:rsidRPr="009D7677">
        <w:rPr>
          <w:i/>
        </w:rPr>
        <w:t>ne bis in idem</w:t>
      </w:r>
      <w:r>
        <w:t xml:space="preserve"> en su aspecto procesal ya se planteó al formular alegaciones en relación con la reapertura del recurso de casación núm. 11773-2011 (primer momento en que fue posible), de suerte que el Tribunal Supremo ya pudo pronunciarse (y lo hizo) sobre esa infracción constitucional. Por ello, el fiscal considera que se habría cumplido el requisito de un pronunciamiento previo de la jurisdicción ordinaria sobre la vulneración del derecho fundamental alegado en la demanda de amparo.</w:t>
      </w:r>
    </w:p>
    <w:p w14:paraId="23442B2E" w14:textId="77777777" w:rsidR="009D7677" w:rsidRDefault="009D7677" w:rsidP="009D7677">
      <w:pPr>
        <w:pStyle w:val="TextoNormal"/>
      </w:pPr>
    </w:p>
    <w:p w14:paraId="77FDFF7C" w14:textId="77777777" w:rsidR="009D7677" w:rsidRDefault="009D7677" w:rsidP="009D7677">
      <w:pPr>
        <w:pStyle w:val="TextoNormal"/>
      </w:pPr>
      <w:r>
        <w:t>En segundo lugar señala que, conforme a una consolidada doctrina constitucional (por todas, STC 31/2019, de 28 de febrero, FJ 3), para agotar la vía judicial es preciso utilizar “los recursos o instrumentos de impugnación cuya procedencia se desprenda de modo claro, terminante e inequívoco del tenor de las previsiones legales, sin dudas que hayan de resolverse con criterios interpretativos de alguna dificultad”. En el presente caso, por la razón anteriormente expresada y porque en la diligencia de ordenación de 17 de diciembre de 2020, de la Sala de lo Penal del Tribunal Supremo, se dice que contra la sentencia impugnada en esta sede procede el recurso de amparo, los demandantes pudieron razonablemente pensar que el incidente de nulidad no era un requisito previo para interponer la demanda de amparo.</w:t>
      </w:r>
    </w:p>
    <w:p w14:paraId="1EEB48A1" w14:textId="77777777" w:rsidR="009D7677" w:rsidRDefault="009D7677" w:rsidP="009D7677">
      <w:pPr>
        <w:pStyle w:val="TextoNormal"/>
      </w:pPr>
    </w:p>
    <w:p w14:paraId="7E8C95F9" w14:textId="77777777" w:rsidR="009D7677" w:rsidRDefault="009D7677" w:rsidP="009D7677">
      <w:pPr>
        <w:pStyle w:val="TextoNormal"/>
      </w:pPr>
      <w:r>
        <w:t xml:space="preserve">b) Seguidamente, el fiscal trae a colación la doctrina constitucional y del Tribunal Europeo de Derechos Humanos sobre el principio </w:t>
      </w:r>
      <w:r w:rsidRPr="009D7677">
        <w:rPr>
          <w:i/>
        </w:rPr>
        <w:t>ne bis in idem</w:t>
      </w:r>
      <w:r>
        <w:t xml:space="preserve"> en su aspecto procesal. Respecto de los límites a la posibilidad de reiteración del proceso penal por violación de derechos fundamentales, señala que existen múltiples resoluciones del Tribunal Constitucional en supuestos de sentencias absolutorias (por todas, STC 4/2004, de 14 de enero, FFJJ 3 y 4), en cuya virtud solo puede producirse la retroacción de actuaciones para la celebración de un nuevo juicio oral “cuando dicha sentencia se haya dictado en un proceso cuya sus</w:t>
      </w:r>
      <w:r>
        <w:lastRenderedPageBreak/>
        <w:t xml:space="preserve">tanciación haya adolecido de quiebras procesales esenciales causantes de indefensión en las partes acusadoras que hayan sido aducidas por estas en los pertinentes recursos”. No obstante, el fiscal invoca la doctrina establecida en la STC 23/2016, de 15 de febrero, que en un supuesto en que resultó vulnerado el derecho a la tutela judicial efectiva de la parte acusadora, se consideró que “el efecto anulatorio pretendido es desproporcionado y contrario a los intereses del menor, no solo a los fines educativos que debe presidir la intervención en el proceso penal de menores, sino también a la garantía material de la prohibición constitucional del </w:t>
      </w:r>
      <w:r w:rsidRPr="009D7677">
        <w:rPr>
          <w:i/>
        </w:rPr>
        <w:t>bis in idem</w:t>
      </w:r>
      <w:r>
        <w:t xml:space="preserve"> (art. 25 CE), ya que en este caso la conducta del menor fue objeto de reprobación por los órganos titulares del ejercicio de la potestad punitiva estatal y, además, cumplió una prestación equivalente a la medida que se le habría impuesto si el proceso no hubiese concluido anticipadamente”.</w:t>
      </w:r>
    </w:p>
    <w:p w14:paraId="43117059" w14:textId="77777777" w:rsidR="009D7677" w:rsidRDefault="009D7677" w:rsidP="009D7677">
      <w:pPr>
        <w:pStyle w:val="TextoNormal"/>
      </w:pPr>
    </w:p>
    <w:p w14:paraId="63506446" w14:textId="77777777" w:rsidR="009D7677" w:rsidRDefault="009D7677" w:rsidP="009D7677">
      <w:pPr>
        <w:pStyle w:val="TextoNormal"/>
      </w:pPr>
      <w:r>
        <w:t xml:space="preserve">También cita la STEDH de 10 de diciembre de 2020, asunto </w:t>
      </w:r>
      <w:r w:rsidRPr="009D7677">
        <w:rPr>
          <w:i/>
        </w:rPr>
        <w:t>Chernov c. Ucrania</w:t>
      </w:r>
      <w:r>
        <w:t xml:space="preserve">, en la que se consideró que “la anulación de la decisión administrativa infractora después de la apertura de una causa penal no hizo que este último procedimiento se ajustara al principio </w:t>
      </w:r>
      <w:r w:rsidRPr="009D7677">
        <w:rPr>
          <w:i/>
        </w:rPr>
        <w:t>non bis in idem</w:t>
      </w:r>
      <w:r>
        <w:t>, puesto que el demandante ya había cumplido su detención administrativa de tres días”.</w:t>
      </w:r>
    </w:p>
    <w:p w14:paraId="5E2B5129" w14:textId="77777777" w:rsidR="009D7677" w:rsidRDefault="009D7677" w:rsidP="009D7677">
      <w:pPr>
        <w:pStyle w:val="TextoNormal"/>
      </w:pPr>
    </w:p>
    <w:p w14:paraId="2058B184" w14:textId="77777777" w:rsidR="009D7677" w:rsidRDefault="009D7677" w:rsidP="009D7677">
      <w:pPr>
        <w:pStyle w:val="TextoNormal"/>
      </w:pPr>
      <w:r>
        <w:t xml:space="preserve">En relación con el presente caso, entiende el fiscal que debe considerarse vulnerada la garantía de </w:t>
      </w:r>
      <w:r w:rsidRPr="009D7677">
        <w:rPr>
          <w:i/>
        </w:rPr>
        <w:t>ne bis in idem</w:t>
      </w:r>
      <w:r>
        <w:t xml:space="preserve"> procesal por los siguientes motivos:</w:t>
      </w:r>
    </w:p>
    <w:p w14:paraId="3CA07A67" w14:textId="77777777" w:rsidR="009D7677" w:rsidRDefault="009D7677" w:rsidP="009D7677">
      <w:pPr>
        <w:pStyle w:val="TextoNormal"/>
      </w:pPr>
    </w:p>
    <w:p w14:paraId="0A1B81A8" w14:textId="77777777" w:rsidR="009D7677" w:rsidRDefault="009D7677" w:rsidP="009D7677">
      <w:pPr>
        <w:pStyle w:val="TextoNormal"/>
      </w:pPr>
      <w:r>
        <w:t>(i) Conforme a lo dispuesto en el art. 954.3 LECrim solamente quien ha obtenido una sentencia a su favor puede pedir la revisión de la sentencia firme afectada por la violación del derecho reconocida por el Tribunal Europeo de Derechos Humanos.</w:t>
      </w:r>
    </w:p>
    <w:p w14:paraId="14009583" w14:textId="77777777" w:rsidR="009D7677" w:rsidRDefault="009D7677" w:rsidP="009D7677">
      <w:pPr>
        <w:pStyle w:val="TextoNormal"/>
      </w:pPr>
    </w:p>
    <w:p w14:paraId="050ED44D" w14:textId="77777777" w:rsidR="009D7677" w:rsidRDefault="009D7677" w:rsidP="009D7677">
      <w:pPr>
        <w:pStyle w:val="TextoNormal"/>
      </w:pPr>
      <w:r>
        <w:t>(ii) Como resulta del párrafo 74 de la sentencia del Tribunal Europeo de Derechos Humanos de 6 de noviembre de 2018 y del contenido del art. 954 LECrim, solamente los demandantes de amparo están legitimados para pedir la reparación más adecuada por la violación el derecho reconocido en el art. 6 CEDH; y esa petición podrá ser estimada, en todo o en parte, o desestimada, pero lo que no es dable es que el Tribunal Supremo pueda acordar “un efecto de la sentencia del Tribunal Europeo de Derechos Humanos, que no ha pedido la persona legitimada, cuyo derecho fundamental se ha declarado infringido por la sentencia del Tribunal Europeo de Derechos Humanos, y que no aporta nada a la reparación que solicitó en el recurso de revisión, y además fuera de ese proceso”.</w:t>
      </w:r>
    </w:p>
    <w:p w14:paraId="203A2BF2" w14:textId="77777777" w:rsidR="009D7677" w:rsidRDefault="009D7677" w:rsidP="009D7677">
      <w:pPr>
        <w:pStyle w:val="TextoNormal"/>
      </w:pPr>
    </w:p>
    <w:p w14:paraId="79C8DE5C" w14:textId="77777777" w:rsidR="009D7677" w:rsidRDefault="009D7677" w:rsidP="009D7677">
      <w:pPr>
        <w:pStyle w:val="TextoNormal"/>
      </w:pPr>
      <w:r>
        <w:t>(iii) La nueva sentencia que resuelve el recurso de casación, que declaró la nulidad del juicio y de la consiguiente sentencia dictada por la Audiencia Nacional y acordó que se procediera a la celebración de un nuevo juicio oral, no aporta nada a la reparación del derecho al juez imparcial, habida cuenta que lo que anula la nueva sentencia dictada por el Tribunal Supremo ya se declaró contrario al derecho al juez imparcial por el Tribunal Europeo de Derechos Humanos y las penas impuestas ya han sido cumplidas. Por ello, “a los efectos prácticos es como si fuera un caso de primera instancia con sentencia absolutoria, porque la reapertura del proceso y la retroacción no le produce sino perjuicios”.</w:t>
      </w:r>
    </w:p>
    <w:p w14:paraId="78DF4FA0" w14:textId="77777777" w:rsidR="009D7677" w:rsidRDefault="009D7677" w:rsidP="009D7677">
      <w:pPr>
        <w:pStyle w:val="TextoNormal"/>
      </w:pPr>
    </w:p>
    <w:p w14:paraId="3883C180" w14:textId="77777777" w:rsidR="009D7677" w:rsidRDefault="009D7677" w:rsidP="009D7677">
      <w:pPr>
        <w:pStyle w:val="TextoNormal"/>
      </w:pPr>
      <w:r>
        <w:t xml:space="preserve">(iv) Debe rechazarse que la retroacción acordada tutele el derecho de los demandantes a ser correctamente juzgados, puesto que la reparación de la lesión del derecho al juez imparcial “ya […] la obtuvieron en el recurso de revisión”. Por otro lado, el segundo enjuiciamiento constituye una carga para los demandantes, que solo serviría para garantizar que </w:t>
      </w:r>
      <w:r>
        <w:lastRenderedPageBreak/>
        <w:t>el Estado pueda volver a enjuiciar para borrar su incorrecta actuación en el proceso anterior, en un supuesto en que las penas que fueron impuestas han sido cumplidas. No existe un derecho/deber del acusado a ser correctamente juzgado que justifique la repetición del juicio oral contra la voluntad de quien ya sufrió un primer enjuiciamiento por parte de un tribunal no imparcial. Ello no le reporta ninguna ventaja y sí, por el contrario, el perjuicio evidente de soportar un segundo enjuiciamiento con la posibilidad de que le sea impuesta una pena mayor.</w:t>
      </w:r>
    </w:p>
    <w:p w14:paraId="57081860" w14:textId="77777777" w:rsidR="009D7677" w:rsidRDefault="009D7677" w:rsidP="009D7677">
      <w:pPr>
        <w:pStyle w:val="TextoNormal"/>
      </w:pPr>
    </w:p>
    <w:p w14:paraId="39971928" w14:textId="77777777" w:rsidR="009D7677" w:rsidRDefault="009D7677" w:rsidP="009D7677">
      <w:pPr>
        <w:pStyle w:val="TextoNormal"/>
      </w:pPr>
      <w:r>
        <w:t>(v) En el presente caso tampoco cabe fundar la retroacción de las actuaciones en la violación de algún derecho fundamental de las partes acusadoras, pues esta circunstancia no ha tenido lugar.</w:t>
      </w:r>
    </w:p>
    <w:p w14:paraId="28BF2B53" w14:textId="77777777" w:rsidR="009D7677" w:rsidRDefault="009D7677" w:rsidP="009D7677">
      <w:pPr>
        <w:pStyle w:val="TextoNormal"/>
      </w:pPr>
    </w:p>
    <w:p w14:paraId="28A7FBF3" w14:textId="77777777" w:rsidR="009D7677" w:rsidRDefault="009D7677" w:rsidP="009D7677">
      <w:pPr>
        <w:pStyle w:val="TextoNormal"/>
      </w:pPr>
      <w:r>
        <w:t xml:space="preserve">Para el fiscal, lo decidido en la sentencia de casación supone un segundo enjuiciamiento, dado que la retroacción acordada para proceder a la nueva celebración de juicio tiene por objeto los mismos hechos y las mismas personas. Añade que “la infracción del derecho al </w:t>
      </w:r>
      <w:r w:rsidRPr="009D7677">
        <w:rPr>
          <w:i/>
        </w:rPr>
        <w:t>non bis in idem</w:t>
      </w:r>
      <w:r>
        <w:t xml:space="preserve"> procesal se inicia con la providencia de fecha 25 de septiembre de 2020, pues a partir de ese momento se realiza una retroacción parcial del recurso de casación y se inicia un nuevo enjuiciamiento no acordado en la sentencia de revisión, que se continúa en contra de la voluntad de los recurrentes, expresada ya desde las alegaciones en contestación al traslado efectuado con esa providencia, hasta dictar la nueva sentencia en el recurso de casación, acordando la nulidad de la sentencia y juicio de la Audiencia Nacional, y la retroacción de las actuaciones para la celebración de nuevo juicio”. Entiende que ese planteamiento no implica una reconstrucción de la demanda, dado que en ella solo se pide la nulidad de la parte de la sentencia que acuerda la retroacción, por lo que implícitamente se impugna la tramitación efectuada a partir de la resolución que reabrió el recurso de casación.</w:t>
      </w:r>
    </w:p>
    <w:p w14:paraId="00987F34" w14:textId="77777777" w:rsidR="009D7677" w:rsidRDefault="009D7677" w:rsidP="009D7677">
      <w:pPr>
        <w:pStyle w:val="TextoNormal"/>
      </w:pPr>
    </w:p>
    <w:p w14:paraId="14BDCD22" w14:textId="4C9F6F39" w:rsidR="009D7677" w:rsidRDefault="009D7677" w:rsidP="009D7677">
      <w:pPr>
        <w:pStyle w:val="TextoNormal"/>
      </w:pPr>
      <w:r>
        <w:t>Por todo lo expuesto, interesa la estimación del recurso de amparo y la declaración de nulidad de la sentencia núm. 692/2020 y de la providencia de 25 de septiembre de 2020, dictadas ambas en el recurso de casación núm. 11773-2011.</w:t>
      </w:r>
    </w:p>
    <w:p w14:paraId="4FE5B040" w14:textId="77777777" w:rsidR="009D7677" w:rsidRDefault="009D7677" w:rsidP="009D7677">
      <w:pPr>
        <w:pStyle w:val="TextoNormal"/>
      </w:pPr>
    </w:p>
    <w:p w14:paraId="690495D5" w14:textId="6FF4EA69" w:rsidR="009D7677" w:rsidRDefault="009D7677" w:rsidP="009D7677">
      <w:pPr>
        <w:pStyle w:val="TextoNormal"/>
      </w:pPr>
      <w:r w:rsidRPr="009D7677">
        <w:rPr>
          <w:rStyle w:val="NumeroAFNegritaCaracter"/>
        </w:rPr>
        <w:t>11</w:t>
      </w:r>
      <w:r>
        <w:t>. Por providencia de 16 de enero de 2024, se señaló para la deliberación y votación de la presente sentencia el día 17 del mismo mes y año.</w:t>
      </w:r>
    </w:p>
    <w:p w14:paraId="0643D0E0" w14:textId="77777777" w:rsidR="009D7677" w:rsidRDefault="009D7677" w:rsidP="009D7677">
      <w:pPr>
        <w:pStyle w:val="TextoNormal"/>
      </w:pPr>
    </w:p>
    <w:p w14:paraId="4AB19AF9" w14:textId="77777777" w:rsidR="009D7677" w:rsidRDefault="009D7677" w:rsidP="009D7677">
      <w:pPr>
        <w:pStyle w:val="TextoNormalNegritaCentrado"/>
        <w:keepNext/>
      </w:pPr>
      <w:r>
        <w:t>II. Fundamentos jurídicos</w:t>
      </w:r>
    </w:p>
    <w:p w14:paraId="02A0BADE" w14:textId="6B2D7A16" w:rsidR="009D7677" w:rsidRDefault="009D7677" w:rsidP="009D7677">
      <w:pPr>
        <w:pStyle w:val="TextoNormalNegritaCentrado"/>
        <w:keepNext/>
      </w:pPr>
    </w:p>
    <w:p w14:paraId="3E3A53BF" w14:textId="77777777" w:rsidR="009D7677" w:rsidRDefault="009D7677" w:rsidP="009D7677">
      <w:pPr>
        <w:pStyle w:val="TextoNormal"/>
      </w:pPr>
      <w:r w:rsidRPr="009D7677">
        <w:rPr>
          <w:rStyle w:val="NumeroAFNegritaCaracter"/>
        </w:rPr>
        <w:t>1</w:t>
      </w:r>
      <w:r>
        <w:t xml:space="preserve">. </w:t>
      </w:r>
      <w:r w:rsidRPr="009D7677">
        <w:rPr>
          <w:i/>
        </w:rPr>
        <w:t>Objeto del recurso de amparo y pretensiones deducidas por las partes</w:t>
      </w:r>
    </w:p>
    <w:p w14:paraId="78262EA3" w14:textId="77777777" w:rsidR="009D7677" w:rsidRDefault="009D7677" w:rsidP="009D7677">
      <w:pPr>
        <w:pStyle w:val="TextoNormal"/>
      </w:pPr>
    </w:p>
    <w:p w14:paraId="2A5EEE0D" w14:textId="77777777" w:rsidR="009D7677" w:rsidRDefault="009D7677" w:rsidP="009D7677">
      <w:pPr>
        <w:pStyle w:val="TextoNormal"/>
      </w:pPr>
      <w:r>
        <w:t>El presente recurso de amparo se interpone contra la sentencia núm. 692/2020, de 15 de diciembre, dictada por el Pleno de la Sala de lo Penal del Tribunal Supremo en el recurso de casación 11773-2011. Para poner esta resolución en su debido contexto han de tenerse en cuenta ciertos hitos procesales que son detalladamente descritos en los antecedentes y que conviene reiterar de forma sintética:</w:t>
      </w:r>
    </w:p>
    <w:p w14:paraId="090479CC" w14:textId="77777777" w:rsidR="009D7677" w:rsidRDefault="009D7677" w:rsidP="009D7677">
      <w:pPr>
        <w:pStyle w:val="TextoNormal"/>
      </w:pPr>
    </w:p>
    <w:p w14:paraId="623F8123" w14:textId="77777777" w:rsidR="009D7677" w:rsidRDefault="009D7677" w:rsidP="009D7677">
      <w:pPr>
        <w:pStyle w:val="TextoNormal"/>
      </w:pPr>
      <w:r>
        <w:t xml:space="preserve">(i) El 16 de septiembre de 2011, rollo de Sala núm. 95-2009, la Sección Cuarta de la Sala de lo Penal de la Audiencia Nacional condenó a los ahora demandantes de amparo por un delito de pertenencia a organización terrorista. La Sala de lo Penal del Tribunal </w:t>
      </w:r>
      <w:r>
        <w:lastRenderedPageBreak/>
        <w:t xml:space="preserve">Supremo confirmó en casación esta condena en sentencia núm. 351/2012, de 7 de mayo, si bien rebajó el </w:t>
      </w:r>
      <w:r w:rsidRPr="009D7677">
        <w:rPr>
          <w:i/>
        </w:rPr>
        <w:t>quantum</w:t>
      </w:r>
      <w:r>
        <w:t xml:space="preserve"> de las penas privativas de libertad impuestas.</w:t>
      </w:r>
    </w:p>
    <w:p w14:paraId="676C2297" w14:textId="77777777" w:rsidR="009D7677" w:rsidRDefault="009D7677" w:rsidP="009D7677">
      <w:pPr>
        <w:pStyle w:val="TextoNormal"/>
      </w:pPr>
    </w:p>
    <w:p w14:paraId="122ABF62" w14:textId="77777777" w:rsidR="009D7677" w:rsidRDefault="009D7677" w:rsidP="009D7677">
      <w:pPr>
        <w:pStyle w:val="TextoNormal"/>
      </w:pPr>
      <w:r>
        <w:t>(ii) Posteriormente, en sentencia de 6 de noviembre de 2018, el Tribunal Europeo de Derechos Humanos apreció la vulneración del art. 6.1 CEDH al considerar que existían dudas razonables (relacionadas con la exteriorización de un prejuicio sobre la culpabilidad por parte de la presidenta de la Sala) sobre la imparcialidad del tribunal que enjuició en la instancia a los recurrentes de amparo. Estos presentaron recurso de revisión, conforme a lo establecido en el art. 954.3 LECrim, que fue estimado por la Sala de lo Penal del Tribunal Supremo en sentencia núm. 426/2020, de 27 de julio. Dicha resolución acordó, tal y como expresamente solicitaban los recurrentes, la nulidad de la sentencia casacional núm. 351/2012, de 7 de mayo, sin realizar pronunciamiento alguno sobre la sentencia de la Sección Cuarta de la Audiencia Nacional.</w:t>
      </w:r>
    </w:p>
    <w:p w14:paraId="578447BB" w14:textId="77777777" w:rsidR="009D7677" w:rsidRDefault="009D7677" w:rsidP="009D7677">
      <w:pPr>
        <w:pStyle w:val="TextoNormal"/>
      </w:pPr>
    </w:p>
    <w:p w14:paraId="7F443FE1" w14:textId="77777777" w:rsidR="009D7677" w:rsidRDefault="009D7677" w:rsidP="009D7677">
      <w:pPr>
        <w:pStyle w:val="TextoNormal"/>
      </w:pPr>
      <w:r>
        <w:t>(iii) Reabierto el trámite casacional, el Pleno de la Sala de lo Penal del Tribunal Supremo, en la sentencia núm. 692/2020, de 15 de diciembre, estimó el recurso de casación originariamente interpuesto por los demandantes de amparo. Asimismo, declaró la nulidad de la sentencia condenatoria recaída en la instancia y acordó la retroacción de las actuaciones para la celebración de un nuevo juicio oral por un tribunal de diferente composición al inicial. Esta es la resolución que se impugna en el presente recurso de amparo.</w:t>
      </w:r>
    </w:p>
    <w:p w14:paraId="39A2AA5A" w14:textId="77777777" w:rsidR="009D7677" w:rsidRDefault="009D7677" w:rsidP="009D7677">
      <w:pPr>
        <w:pStyle w:val="TextoNormal"/>
      </w:pPr>
    </w:p>
    <w:p w14:paraId="0C70893F" w14:textId="77777777" w:rsidR="009D7677" w:rsidRDefault="009D7677" w:rsidP="009D7677">
      <w:pPr>
        <w:pStyle w:val="TextoNormal"/>
      </w:pPr>
      <w:r>
        <w:t xml:space="preserve">En la demanda de amparo se alega que la orden de retroacción para un nuevo enjuiciamiento contenida en la sentencia 692/2020, de 15 de diciembre, supuso la vulneración del derecho a la tutela judicial efectiva (art. 24.1 CE), en la vertiente de interdicción del </w:t>
      </w:r>
      <w:r w:rsidRPr="009D7677">
        <w:rPr>
          <w:i/>
        </w:rPr>
        <w:t>ne bis in idem</w:t>
      </w:r>
      <w:r>
        <w:t xml:space="preserve"> procesal. Esa vulneración se relaciona con el principio de seguridad jurídica (art. 9.3 CE), el art. 14.7 del Pacto internacional de derechos civiles y políticos (PIDCP), el art. 4 del Protocolo núm. 7 al Convenio europeo de derechos humanos (CEDH) y el art. 50 de la Carta de derechos fundamentales de la Unión Europea (CDFUE).</w:t>
      </w:r>
    </w:p>
    <w:p w14:paraId="4EE12538" w14:textId="77777777" w:rsidR="009D7677" w:rsidRDefault="009D7677" w:rsidP="009D7677">
      <w:pPr>
        <w:pStyle w:val="TextoNormal"/>
      </w:pPr>
    </w:p>
    <w:p w14:paraId="7C08E51A" w14:textId="5D46F687" w:rsidR="009D7677" w:rsidRDefault="009D7677" w:rsidP="009D7677">
      <w:pPr>
        <w:pStyle w:val="TextoNormal"/>
      </w:pPr>
      <w:r>
        <w:t>La Asociación Víctimas del Terrorismo Verde Esperanza (Voces contra el Terrorismo) se ha personado en el proceso de amparo y ha solicitado la desestimación del recurso. El Ministerio Fiscal ha interesado la estimación de la demanda por las razones que han sido consignadas en los antecedentes.</w:t>
      </w:r>
    </w:p>
    <w:p w14:paraId="09BC7710" w14:textId="77777777" w:rsidR="009D7677" w:rsidRDefault="009D7677" w:rsidP="009D7677">
      <w:pPr>
        <w:pStyle w:val="TextoNormal"/>
      </w:pPr>
    </w:p>
    <w:p w14:paraId="5C1FC544" w14:textId="77777777" w:rsidR="009D7677" w:rsidRDefault="009D7677" w:rsidP="009D7677">
      <w:pPr>
        <w:pStyle w:val="TextoNormal"/>
      </w:pPr>
      <w:r w:rsidRPr="009D7677">
        <w:rPr>
          <w:rStyle w:val="NumeroAFNegritaCaracter"/>
        </w:rPr>
        <w:t>2</w:t>
      </w:r>
      <w:r>
        <w:t xml:space="preserve">. </w:t>
      </w:r>
      <w:r w:rsidRPr="009D7677">
        <w:rPr>
          <w:i/>
        </w:rPr>
        <w:t>Consideraciones sobre el agotamiento de la vía judicial previa</w:t>
      </w:r>
    </w:p>
    <w:p w14:paraId="23928755" w14:textId="77777777" w:rsidR="009D7677" w:rsidRDefault="009D7677" w:rsidP="009D7677">
      <w:pPr>
        <w:pStyle w:val="TextoNormal"/>
      </w:pPr>
    </w:p>
    <w:p w14:paraId="15ED796D" w14:textId="77777777" w:rsidR="009D7677" w:rsidRDefault="009D7677" w:rsidP="009D7677">
      <w:pPr>
        <w:pStyle w:val="TextoNormal"/>
      </w:pPr>
      <w:r>
        <w:t xml:space="preserve">La vulneración alegada por los demandantes (art. 24.1 CE en su vertiente de prohibición de doble enjuiciamiento) se atribuye, como acaba de señalarse, a la orden de retroacción de las actuaciones, para la celebración de un nuevo juicio oral, contenida en la sentencia 692/2020, de 15 de diciembre, dictada en casación por la Sala de lo Penal del Tribunal Supremo. Contra esta sentencia no cabía ya recurso alguno, ordinario o extraordinario, dentro de la vía judicial. Los recurrentes de amparo no promovieron, sin embargo, el incidente de nulidad de actuaciones, previsto en el art. 241 LOPJ, y han acudido </w:t>
      </w:r>
      <w:r w:rsidRPr="009D7677">
        <w:rPr>
          <w:i/>
        </w:rPr>
        <w:t>per saltum</w:t>
      </w:r>
      <w:r>
        <w:t xml:space="preserve"> a la jurisdicción de amparo. Este tribunal considera oportuno explicitar las razones por las que, pese a ello, no concurre en el presente caso el óbice de falta de agotamiento de la vía judicial [art. 44.1 a) LOTC].</w:t>
      </w:r>
    </w:p>
    <w:p w14:paraId="1456551B" w14:textId="77777777" w:rsidR="009D7677" w:rsidRDefault="009D7677" w:rsidP="009D7677">
      <w:pPr>
        <w:pStyle w:val="TextoNormal"/>
      </w:pPr>
    </w:p>
    <w:p w14:paraId="04E302C6" w14:textId="77777777" w:rsidR="009D7677" w:rsidRDefault="009D7677" w:rsidP="009D7677">
      <w:pPr>
        <w:pStyle w:val="TextoNormal"/>
      </w:pPr>
      <w:r>
        <w:lastRenderedPageBreak/>
        <w:t>Resulta relevante, en primer lugar, que, una vez reabierta la casación, los demandantes de amparo pusieran de manifiesto, al cumplimentar el trámite de alegaciones conferido a las partes en la providencia de 25 de septiembre de 2020, que una eventual orden de retroacción para la celebración de un nuevo juicio implicaría una “lesión al derecho a no ser enjuiciado dos veces por los mismos hechos”. La lectura de la sentencia de casación pone de manifiesto que el Tribunal Supremo examinó y valoró de forma detenida y expresa dicha alegación, exponiendo las razones que sustentaban su criterio acerca de la vulneración invocada.</w:t>
      </w:r>
    </w:p>
    <w:p w14:paraId="30EF9557" w14:textId="77777777" w:rsidR="009D7677" w:rsidRDefault="009D7677" w:rsidP="009D7677">
      <w:pPr>
        <w:pStyle w:val="TextoNormal"/>
      </w:pPr>
    </w:p>
    <w:p w14:paraId="3F7E29F9" w14:textId="77777777" w:rsidR="009D7677" w:rsidRDefault="009D7677" w:rsidP="009D7677">
      <w:pPr>
        <w:pStyle w:val="TextoNormal"/>
      </w:pPr>
      <w:r>
        <w:t>Asimismo, tanto los demandantes de amparo como el fiscal invocan otra circunstancia para excusar la falta de interposición del incidente de nulidad; en concreto, que la diligencia de ordenación de 17 de diciembre de 2020 expresó que la sentencia a notificar era firme y que contra ella podía interponerse, en su caso, recurso de amparo dentro de los treinta días siguientes, sin que dicha providencia efectuase, en cambio, mención alguna a la posibilidad de promover incidente de nulidad de actuaciones.</w:t>
      </w:r>
    </w:p>
    <w:p w14:paraId="057BB5CB" w14:textId="77777777" w:rsidR="009D7677" w:rsidRDefault="009D7677" w:rsidP="009D7677">
      <w:pPr>
        <w:pStyle w:val="TextoNormal"/>
      </w:pPr>
    </w:p>
    <w:p w14:paraId="7518CAD8" w14:textId="77777777" w:rsidR="009D7677" w:rsidRDefault="009D7677" w:rsidP="009D7677">
      <w:pPr>
        <w:pStyle w:val="TextoNormal"/>
      </w:pPr>
      <w:r>
        <w:t>La referida diligencia de ordenación se ajusta, en apariencia, a la literalidad del art. 248.4 LOPJ, que dispone que “[a]l notificarse la resolución a las partes se indicará si la misma es o no firme y, en su caso, los recursos que procedan, órgano ante el que deben interponerse y plazo para ello”. Sin embargo, el recurso de amparo, pese a su denominación, se configura en nuestro ordenamiento jurídico como un proceso constitucional autónomo, ajeno a la vía judicial previa. Dada esa naturaleza, no resulta encuadrable dentro de los recursos a los que se refiere el art. 248.4 LOPJ. Por ello, la indicación de la procedencia del recurso de amparo, dentro de los treinta días siguientes, no solo no era obligada, sino que resultaba equívoca, ya que daba a entender a las partes que dicho “recurso” era el medio de impugnación subsiguiente en una secuencia procesal en curso.</w:t>
      </w:r>
    </w:p>
    <w:p w14:paraId="28D567C1" w14:textId="77777777" w:rsidR="009D7677" w:rsidRDefault="009D7677" w:rsidP="009D7677">
      <w:pPr>
        <w:pStyle w:val="TextoNormal"/>
      </w:pPr>
    </w:p>
    <w:p w14:paraId="79081ED5" w14:textId="77777777" w:rsidR="009D7677" w:rsidRDefault="009D7677" w:rsidP="009D7677">
      <w:pPr>
        <w:pStyle w:val="TextoNormal"/>
      </w:pPr>
      <w:r>
        <w:t>Obviamente, la indicación de la posibilidad de promover incidente de nulidad de actuaciones tampoco resultaba preceptiva. Sin embargo, en el caso enjuiciado, la indicación expresa de la posibilidad de interponer recurso de amparo unida al silencio del órgano judicial respecto de la posibilidad de promover incidente de nulidad de actuaciones pudo generar dudas fundadas en los demandantes sobre la viabilidad del remedio previsto en el art. 241 LOPJ, especialmente en un asunto en el que ya habían invocado la posible vulneración de sus derechos fundamentales y en el que el Tribunal Supremo había descartado expresamente dicha vulneración.</w:t>
      </w:r>
    </w:p>
    <w:p w14:paraId="0BA2C10D" w14:textId="77777777" w:rsidR="009D7677" w:rsidRDefault="009D7677" w:rsidP="009D7677">
      <w:pPr>
        <w:pStyle w:val="TextoNormal"/>
      </w:pPr>
    </w:p>
    <w:p w14:paraId="02068987" w14:textId="77777777" w:rsidR="009D7677" w:rsidRDefault="009D7677" w:rsidP="009D7677">
      <w:pPr>
        <w:pStyle w:val="TextoNormal"/>
      </w:pPr>
      <w:r>
        <w:t xml:space="preserve">Consideramos, por ello, que la alegación efectuada por los recurrentes en su recurso de casación y la respuesta dada por el Tribunal Supremo en la sentencia casacional preservaron suficientemente el carácter subsidiario del recurso de amparo en un contexto de defectuosa información sobre el régimen de recursos. En esas circunstancias, exigir al recurrente la interposición del incidente de nulidad de actuaciones supondría una carga desproporcionada que rompería “el equilibrio debido entre, por una parte, la preocupación legítima de garantizar el respeto a las formalidades para el acceso a la jurisdicción constitucional y, por otra parte, el derecho de acceso efectivo a dicha instancia” (STEDH de 23 de octubre de 2018, asunto </w:t>
      </w:r>
      <w:r w:rsidRPr="009D7677">
        <w:rPr>
          <w:i/>
        </w:rPr>
        <w:t>Arrózpide Sarasola y otros c. España</w:t>
      </w:r>
      <w:r>
        <w:t>, § 107).</w:t>
      </w:r>
    </w:p>
    <w:p w14:paraId="7872E0DA" w14:textId="77777777" w:rsidR="009D7677" w:rsidRDefault="009D7677" w:rsidP="009D7677">
      <w:pPr>
        <w:pStyle w:val="TextoNormal"/>
      </w:pPr>
    </w:p>
    <w:p w14:paraId="3D949E46" w14:textId="6A290E2B" w:rsidR="009D7677" w:rsidRDefault="009D7677" w:rsidP="009D7677">
      <w:pPr>
        <w:pStyle w:val="TextoNormal"/>
      </w:pPr>
      <w:r>
        <w:t>Corroboramos, en definitiva, la admisión a trámite del presente recurso de amparo.</w:t>
      </w:r>
    </w:p>
    <w:p w14:paraId="6CC01BE9" w14:textId="77777777" w:rsidR="009D7677" w:rsidRDefault="009D7677" w:rsidP="009D7677">
      <w:pPr>
        <w:pStyle w:val="TextoNormal"/>
      </w:pPr>
    </w:p>
    <w:p w14:paraId="4F5C34D0" w14:textId="77777777" w:rsidR="009D7677" w:rsidRDefault="009D7677" w:rsidP="009D7677">
      <w:pPr>
        <w:pStyle w:val="TextoNormal"/>
      </w:pPr>
      <w:r w:rsidRPr="009D7677">
        <w:rPr>
          <w:rStyle w:val="NumeroAFNegritaCaracter"/>
        </w:rPr>
        <w:lastRenderedPageBreak/>
        <w:t>3</w:t>
      </w:r>
      <w:r>
        <w:t xml:space="preserve">. </w:t>
      </w:r>
      <w:r w:rsidRPr="009D7677">
        <w:rPr>
          <w:i/>
        </w:rPr>
        <w:t>Doctrina constitucional sobre el derecho a no ser enjuiciado dos veces (</w:t>
      </w:r>
      <w:r>
        <w:t xml:space="preserve">ne bis in idem </w:t>
      </w:r>
      <w:r w:rsidRPr="009D7677">
        <w:rPr>
          <w:i/>
        </w:rPr>
        <w:t>procesal)</w:t>
      </w:r>
    </w:p>
    <w:p w14:paraId="2FFD0D76" w14:textId="77777777" w:rsidR="009D7677" w:rsidRDefault="009D7677" w:rsidP="009D7677">
      <w:pPr>
        <w:pStyle w:val="TextoNormal"/>
      </w:pPr>
    </w:p>
    <w:p w14:paraId="0903BA81" w14:textId="77777777" w:rsidR="009D7677" w:rsidRDefault="009D7677" w:rsidP="009D7677">
      <w:pPr>
        <w:pStyle w:val="TextoNormal"/>
      </w:pPr>
      <w:r>
        <w:t>Entrando ya en la queja planteada, resulta pertinente exponer la doctrina de este tribunal sobre la interdicción del doble enjuiciamiento penal en los supuestos de anulación de sentencias y retroacción para la celebración de un nuevo juicio oral (A). Esa exposición permitirá apreciar la singularidad que caracteriza al presente asunto, singularidad que nos llevó a considerar, en la providencia de admisión dictada por el Pleno el 7 de octubre de 2021, que nos hallamos ante un nuevo supuesto o faceta del derecho fundamental a no ser doblemente enjuiciado, necesitada, por su especial trascendencia constitucional [STC 155/2009, de 25 de junio, FJ 2 a)], de un pronunciamiento de fondo de este tribunal (B).</w:t>
      </w:r>
    </w:p>
    <w:p w14:paraId="514E4BBA" w14:textId="77777777" w:rsidR="009D7677" w:rsidRDefault="009D7677" w:rsidP="009D7677">
      <w:pPr>
        <w:pStyle w:val="TextoNormal"/>
      </w:pPr>
    </w:p>
    <w:p w14:paraId="1B80B97A" w14:textId="77777777" w:rsidR="009D7677" w:rsidRDefault="009D7677" w:rsidP="009D7677">
      <w:pPr>
        <w:pStyle w:val="TextoNormal"/>
      </w:pPr>
      <w:r>
        <w:t>A) Doctrina del Tribunal</w:t>
      </w:r>
    </w:p>
    <w:p w14:paraId="38267ED5" w14:textId="77777777" w:rsidR="009D7677" w:rsidRDefault="009D7677" w:rsidP="009D7677">
      <w:pPr>
        <w:pStyle w:val="TextoNormal"/>
      </w:pPr>
    </w:p>
    <w:p w14:paraId="5862FFF8" w14:textId="77777777" w:rsidR="009D7677" w:rsidRDefault="009D7677" w:rsidP="009D7677">
      <w:pPr>
        <w:pStyle w:val="TextoNormal"/>
      </w:pPr>
      <w:r>
        <w:t xml:space="preserve">a) A diferencia de lo que sucede en el Derecho internacional y regional convencional de los derechos humanos que resulta de aplicación en España —art. 14.7 del Pacto internacional de derechos civiles y políticos, hecho en Nueva York el 19 de diciembre de 1966 [“Boletín Oficial del Estado” (“BOE”) núm. 103, de 30 de abril de 1977]; art. 4 del Protocolo núm. 7 al Convenio europeo para la protección de los derechos humanos y de las libertades fundamentales (Convenio núm. 117 del Consejo de Europa), hecho en Estrasburgo el 22 de noviembre de 1984 (“BOE” núm. 249, de 15 de octubre de 2009), y art. 50 de la Carta de los derechos fundamentales de la Unión Europea, hecha en Niza el 7 de diciembre de 2000, (“Diario Oficial de las Comunidades Europeas” C 364/1, de 28 de diciembre de 2000; versión consolidada publicada en el “Diario Oficial de la Unión Europea” C 202/389, de 7 de junio de 2016)—, la Constitución española no reconoce expresamente, dentro del catálogo de derechos fundamentales, la garantía de la interdicción del doble enjuiciamiento penal. No obstante, este tribunal ha considerado que la prohibición de enjuiciamiento dual de la misma conducta queda encuadrada en el marco del derecho a la tutela judicial efectiva (art. 24.1 CE) como una garantía más de protección del ciudadano frente al ejercicio del </w:t>
      </w:r>
      <w:r w:rsidRPr="009D7677">
        <w:rPr>
          <w:i/>
        </w:rPr>
        <w:t>ius puniendi</w:t>
      </w:r>
      <w:r>
        <w:t xml:space="preserve"> [</w:t>
      </w:r>
      <w:r w:rsidRPr="009D7677">
        <w:rPr>
          <w:i/>
        </w:rPr>
        <w:t>vid</w:t>
      </w:r>
      <w:r>
        <w:t xml:space="preserve">., por todas, la STC 3/2019, de 14 de enero, FJ 3]. </w:t>
      </w:r>
    </w:p>
    <w:p w14:paraId="26C22560" w14:textId="77777777" w:rsidR="009D7677" w:rsidRDefault="009D7677" w:rsidP="009D7677">
      <w:pPr>
        <w:pStyle w:val="TextoNormal"/>
      </w:pPr>
    </w:p>
    <w:p w14:paraId="268500AC" w14:textId="77777777" w:rsidR="009D7677" w:rsidRDefault="009D7677" w:rsidP="009D7677">
      <w:pPr>
        <w:pStyle w:val="TextoNormal"/>
      </w:pPr>
      <w:r>
        <w:t xml:space="preserve">b) La más completa exposición de nuestra doctrina sobre el llamado principio </w:t>
      </w:r>
      <w:r w:rsidRPr="009D7677">
        <w:rPr>
          <w:i/>
        </w:rPr>
        <w:t>ne bis in idem</w:t>
      </w:r>
      <w:r>
        <w:t xml:space="preserve"> se encuentra en la STC 2/2003, de 16 de enero, adoptada por el Pleno de este tribunal. Dicha resolución se ocupó tanto de la vertiente material del referido principio, relacionada con el derecho a la legalidad penal del art. 25.1 CE, como de sus concretas implicaciones procesales. En relación con estas últimas, la citada sentencia afirma que “este tribunal ha ubicado en el ámbito del derecho a la tutela judicial efectiva la garantía consistente en la interdicción de un doble proceso penal con el mismo objeto” [FJ 3 b)] y estima que esa ubicación dentro del sistema de garantías procesales es acorde con el art. 4 del Protocolo núm. 7 al Convenio europeo de derechos humanos (entonces firmado pero aún no ratificado por España, pues la ratificación tuvo lugar el 28 de agosto de 2009, “BOE” ya citado núm. 249, de 15 de octubre de 2009).</w:t>
      </w:r>
    </w:p>
    <w:p w14:paraId="200427B8" w14:textId="77777777" w:rsidR="009D7677" w:rsidRDefault="009D7677" w:rsidP="009D7677">
      <w:pPr>
        <w:pStyle w:val="TextoNormal"/>
      </w:pPr>
    </w:p>
    <w:p w14:paraId="79243318" w14:textId="77777777" w:rsidR="009D7677" w:rsidRDefault="009D7677" w:rsidP="009D7677">
      <w:pPr>
        <w:pStyle w:val="TextoNormal"/>
      </w:pPr>
      <w:r>
        <w:t>La doctrina del Tribunal Europeo de Derechos Humanos subraya, en efecto, que el art. 4 del Protocolo núm. 7 al Convenio no se circunscribe al derecho a no ser dos veces castigado penalmente, sino que comprende también el derecho a no ser nuevamente perseguido o juzgado. El citado precepto contiene, según ha afirmado el Tribunal Europeo de Dere</w:t>
      </w:r>
      <w:r>
        <w:lastRenderedPageBreak/>
        <w:t xml:space="preserve">chos Humanos, una triple garantía que impide que una misma persona pueda ser perseguida, juzgada o castigada más de una vez por la misma infracción penal (SSTEDH de 20 de julio de 2004, asunto </w:t>
      </w:r>
      <w:r w:rsidRPr="009D7677">
        <w:rPr>
          <w:i/>
        </w:rPr>
        <w:t>Nikitin c. Rusia</w:t>
      </w:r>
      <w:r>
        <w:t xml:space="preserve">, § 36; de 10 de febrero de 2009, asunto </w:t>
      </w:r>
      <w:r w:rsidRPr="009D7677">
        <w:rPr>
          <w:i/>
        </w:rPr>
        <w:t>Sergey Zolotukhin c. Rusia</w:t>
      </w:r>
      <w:r>
        <w:t xml:space="preserve">, § 110, y de 15 de noviembre de 2016, asunto </w:t>
      </w:r>
      <w:r w:rsidRPr="009D7677">
        <w:rPr>
          <w:i/>
        </w:rPr>
        <w:t>A. y B. c. Noruega</w:t>
      </w:r>
      <w:r>
        <w:t>, § 110, estas dos últimas dictadas por la Gran Sala).</w:t>
      </w:r>
    </w:p>
    <w:p w14:paraId="47149DEF" w14:textId="77777777" w:rsidR="009D7677" w:rsidRDefault="009D7677" w:rsidP="009D7677">
      <w:pPr>
        <w:pStyle w:val="TextoNormal"/>
      </w:pPr>
    </w:p>
    <w:p w14:paraId="3922E93D" w14:textId="77777777" w:rsidR="009D7677" w:rsidRDefault="009D7677" w:rsidP="009D7677">
      <w:pPr>
        <w:pStyle w:val="TextoNormal"/>
      </w:pPr>
      <w:r>
        <w:t xml:space="preserve">c) Junto a los supuestos, más fácilmente identificables, de procedimientos penales sucesivos relativos a unos mismos hechos, nuestra doctrina también ha situado dentro del ámbito de protección de la prohibición de </w:t>
      </w:r>
      <w:r w:rsidRPr="009D7677">
        <w:rPr>
          <w:i/>
        </w:rPr>
        <w:t>bis in idem</w:t>
      </w:r>
      <w:r>
        <w:t xml:space="preserve"> del art. 24.1 CE ciertas hipótesis de doble enjuiciamiento que, formalmente o en apariencia, se verifican dentro de un solo proceso penal pero que implican, en su consideración global, una desproporción en el ejercicio del </w:t>
      </w:r>
      <w:r w:rsidRPr="009D7677">
        <w:rPr>
          <w:i/>
        </w:rPr>
        <w:t>ius puniendi</w:t>
      </w:r>
      <w:r>
        <w:t xml:space="preserve"> materialmente equivalente a una dualidad de procesos.</w:t>
      </w:r>
    </w:p>
    <w:p w14:paraId="2ECA4D12" w14:textId="77777777" w:rsidR="009D7677" w:rsidRDefault="009D7677" w:rsidP="009D7677">
      <w:pPr>
        <w:pStyle w:val="TextoNormal"/>
      </w:pPr>
    </w:p>
    <w:p w14:paraId="1C63F930" w14:textId="77777777" w:rsidR="009D7677" w:rsidRDefault="009D7677" w:rsidP="009D7677">
      <w:pPr>
        <w:pStyle w:val="TextoNormal"/>
      </w:pPr>
      <w:r>
        <w:t>Estas hipótesis vienen relacionadas, normalmente, con la necesidad de reparar derechos fundamentales de las partes que se han visto vulnerados en el desarrollo del primer enjuiciamiento de los hechos. Se plantea en tales casos si la tutela de los derechos fundamentales vulnerados puede llevar consigo la reapertura del proceso o la repetición del juicio ya celebrado. Para abordar este tipo de casos este tribunal ha distinguido dos clases de supuestos: aquellos en los que se pretende la reparación de la vulneración de un derecho fundamental sustantivo y los que versan, en cambio, sobre la vulneración de una garantía esencial del proceso.</w:t>
      </w:r>
    </w:p>
    <w:p w14:paraId="48979505" w14:textId="77777777" w:rsidR="009D7677" w:rsidRDefault="009D7677" w:rsidP="009D7677">
      <w:pPr>
        <w:pStyle w:val="TextoNormal"/>
      </w:pPr>
    </w:p>
    <w:p w14:paraId="6818197D" w14:textId="77777777" w:rsidR="009D7677" w:rsidRDefault="009D7677" w:rsidP="009D7677">
      <w:pPr>
        <w:pStyle w:val="TextoNormal"/>
      </w:pPr>
      <w:r>
        <w:t>d) Este tribunal ha considerado, en primer lugar, que la decisión de reabrir, por razón de la vulneración de derechos fundamentales sustantivos de las partes, un proceso penal que ha finalizado con un pronunciamiento absolutorio lesiona la prohibición de doble enjuiciamiento penal. Hemos señalado, en este punto, que no cabe “la retroacción de actuaciones para celebrar un nuevo juicio penal, como consecuencia del otorgamiento del amparo por vulneración de derechos fundamentales de carácter sustantivo, pues con ello se arroja sobre el reo la ‘carga y la gravosidad de un nuevo enjuiciamiento que no está destinado a corregir una vulneración en su contra de normas procesales con relevancia constitucional’ (STC 157/1989, de 26 de octubre, FJ 3)”, (STC 4/2004, de 14 de enero, FJ 4).</w:t>
      </w:r>
    </w:p>
    <w:p w14:paraId="56F65268" w14:textId="77777777" w:rsidR="009D7677" w:rsidRDefault="009D7677" w:rsidP="009D7677">
      <w:pPr>
        <w:pStyle w:val="TextoNormal"/>
      </w:pPr>
    </w:p>
    <w:p w14:paraId="50A72CAF" w14:textId="77777777" w:rsidR="009D7677" w:rsidRDefault="009D7677" w:rsidP="009D7677">
      <w:pPr>
        <w:pStyle w:val="TextoNormal"/>
      </w:pPr>
      <w:r>
        <w:t xml:space="preserve">Esta misma doctrina ha sido reiterada por este tribunal específicamente en relación con los derechos fundamentales sustantivos de las partes constituidas en acusación. Tal y como recordamos en la STC 1/2019, de 14 de enero, FJ 3, “la doctrina de este tribunal ha destacado la singularidad que plantea, a los efectos de la interdicción del </w:t>
      </w:r>
      <w:r w:rsidRPr="009D7677">
        <w:rPr>
          <w:i/>
        </w:rPr>
        <w:t>bis in idem</w:t>
      </w:r>
      <w:r>
        <w:t>, la anulación de una sentencia penal absolutoria con orden de retroacción de actuaciones, dada la diferencia que existe entre la acusación y los acusados, desde la perspectiva de los derechos fundamentales en juego dentro del proceso penal” y afirmamos a continuación, que, de acuerdo con dicha interdicción de doble enjuiciamiento “en línea de principio, no cabe retroacción de actuaciones ante la vulneración de algún derecho fundamental de carácter sustancial que asista a las acusaciones, ya que ello impone al acusado absuelto la carga de un nuevo enjuiciamiento no destinado a corregir una vulneración en su contra de normas procesales con relevancia constitucional”.</w:t>
      </w:r>
    </w:p>
    <w:p w14:paraId="5673F779" w14:textId="77777777" w:rsidR="009D7677" w:rsidRDefault="009D7677" w:rsidP="009D7677">
      <w:pPr>
        <w:pStyle w:val="TextoNormal"/>
      </w:pPr>
    </w:p>
    <w:p w14:paraId="5918DF1F" w14:textId="77777777" w:rsidR="009D7677" w:rsidRDefault="009D7677" w:rsidP="009D7677">
      <w:pPr>
        <w:pStyle w:val="TextoNormal"/>
      </w:pPr>
      <w:r>
        <w:t>e) Cuando las vulneraciones producidas en el primer enjuiciamiento son, en cambio, de naturaleza procesal, la doctrina de este tribunal ha distinguido dos situaciones diferentes:</w:t>
      </w:r>
    </w:p>
    <w:p w14:paraId="3C9523ED" w14:textId="77777777" w:rsidR="009D7677" w:rsidRDefault="009D7677" w:rsidP="009D7677">
      <w:pPr>
        <w:pStyle w:val="TextoNormal"/>
      </w:pPr>
    </w:p>
    <w:p w14:paraId="5FEE279B" w14:textId="77777777" w:rsidR="009D7677" w:rsidRDefault="009D7677" w:rsidP="009D7677">
      <w:pPr>
        <w:pStyle w:val="TextoNormal"/>
      </w:pPr>
      <w:r>
        <w:lastRenderedPageBreak/>
        <w:t>(i) Si la retroacción de actuaciones viene determinada por un vicio de procedimiento padecido por los acusadores de tal envergadura que permita inferir que el juicio celebrado no tiene las características propias de un juicio justo, la anulación de la sentencia —absolutoria o condenatoria— y la repetición del enjuiciamiento puede constituir una tutela jurídica adecuada, compatible con las exigencias del art. 24.1 CE.</w:t>
      </w:r>
    </w:p>
    <w:p w14:paraId="11EA2F97" w14:textId="77777777" w:rsidR="009D7677" w:rsidRDefault="009D7677" w:rsidP="009D7677">
      <w:pPr>
        <w:pStyle w:val="TextoNormal"/>
      </w:pPr>
    </w:p>
    <w:p w14:paraId="5860EE4B" w14:textId="77777777" w:rsidR="009D7677" w:rsidRDefault="009D7677" w:rsidP="009D7677">
      <w:pPr>
        <w:pStyle w:val="TextoNormal"/>
      </w:pPr>
      <w:r>
        <w:t>La ya citada STC 1/2019, de 14 de enero, FJ 3, recopila la doctrina sobre la materia al señalar que “en un decidido equilibrio entre el estatuto constitucional reforzado del acusado y la necesidad de no excluir a las acusaciones de las garantías del artículo 24 CE, se admite constitucionalmente la posibilidad de anular una resolución judicial penal materialmente absolutoria, con orden de retroacción de actuaciones, en aquellos casos en los que se constate la quiebra de una regla esencial del proceso en perjuicio de la acusación, ya que en ese escenario la ausencia de garantías no permite hablar de ‘proceso’ en sentido propio, ni puede permitir tampoco que la sentencia absolutoria adquiera el carácter de inatacable (SSTC 23/2008, de 11 de febrero, FJ 3; 220/2007, de 8 de octubre, FJ 4; 189/2004, de 2 de noviembre, FJ 5, o 4/2004, de 14 de enero, FJ 4)”.</w:t>
      </w:r>
    </w:p>
    <w:p w14:paraId="0F9D6D8B" w14:textId="77777777" w:rsidR="009D7677" w:rsidRDefault="009D7677" w:rsidP="009D7677">
      <w:pPr>
        <w:pStyle w:val="TextoNormal"/>
      </w:pPr>
    </w:p>
    <w:p w14:paraId="626FD69E" w14:textId="77777777" w:rsidR="009D7677" w:rsidRDefault="009D7677" w:rsidP="009D7677">
      <w:pPr>
        <w:pStyle w:val="TextoNormal"/>
      </w:pPr>
      <w:r>
        <w:t>Recordamos en esa misma resolución el carácter excepcional de tal orden de retroacción, al señalar que solo “afecta a aquellas resoluciones absolutorias dictadas en el seno de un proceso penal sustanciado sobre un proceder lesivo de las más elementales garantías procesales de las partes (SSTC 215/1999, de 29 de noviembre, FJ 1; 168/2001, de 16 de julio, FJ 7; 12/2006, de 16 de enero, FJ 2, o 112/2015, de 8 de junio, FJ 4)” (STC 1/2019, de 14 de enero, FJ 3).</w:t>
      </w:r>
    </w:p>
    <w:p w14:paraId="6C4857C1" w14:textId="77777777" w:rsidR="009D7677" w:rsidRDefault="009D7677" w:rsidP="009D7677">
      <w:pPr>
        <w:pStyle w:val="TextoNormal"/>
      </w:pPr>
    </w:p>
    <w:p w14:paraId="490606B8" w14:textId="77777777" w:rsidR="009D7677" w:rsidRDefault="009D7677" w:rsidP="009D7677">
      <w:pPr>
        <w:pStyle w:val="TextoNormal"/>
      </w:pPr>
      <w:r>
        <w:t>Esta doctrina es, por lo demás, acorde con lo expresamente previsto en el art. 4 del Protocolo núm. 7 al CEDH, en concreto con lo señalado en el apartado 2 de este precepto, según el cual “[l]o dispuesto en el párrafo anterior no impedirá la reapertura del proceso, conforme a la ley y al procedimiento penal del Estado interesado, si hechos nuevos o nuevas revelaciones o un vicio esencial en el proceso anterior pudieran afectar a la sentencia dictada”.</w:t>
      </w:r>
    </w:p>
    <w:p w14:paraId="39C7EB9A" w14:textId="77777777" w:rsidR="009D7677" w:rsidRDefault="009D7677" w:rsidP="009D7677">
      <w:pPr>
        <w:pStyle w:val="TextoNormal"/>
      </w:pPr>
    </w:p>
    <w:p w14:paraId="11580232" w14:textId="77777777" w:rsidR="009D7677" w:rsidRDefault="009D7677" w:rsidP="009D7677">
      <w:pPr>
        <w:pStyle w:val="TextoNormal"/>
      </w:pPr>
      <w:r>
        <w:t>(ii) Como reverso lógico de esa doctrina, si no se ha producido una vulneración “de las más elementales garantías procesales de las partes”, la orden de retroacción acordada a instancia de las acusaciones lesiona el derecho de la persona acusada a no ser sometido a un doble enjuiciamiento (</w:t>
      </w:r>
      <w:r w:rsidRPr="009D7677">
        <w:rPr>
          <w:i/>
        </w:rPr>
        <w:t>ne bis in idem</w:t>
      </w:r>
      <w:r>
        <w:t xml:space="preserve"> en su dimensión procesal). Hemos afirmado, en concreto, que “la anulación de una Sentencia absolutoria con retroacción de actuaciones sin haberse producido una infracción de reglas esenciales del proceso justo en perjuicio de los acusadores particulares” vulnera el “derecho a no ser sometido dos veces a proceso penal por los mismos hechos al reabrirse la primera instancia sin que se hubiera denunciado en el recurso de apelación ninguna quiebra esencial del procedimiento determinante de la retroacción de las actuaciones” (por todas, SSTC 4/2004, de 14 de enero, FJ 5, y 23/2008, de 11 de febrero, FJ 3).</w:t>
      </w:r>
    </w:p>
    <w:p w14:paraId="053B10EE" w14:textId="77777777" w:rsidR="009D7677" w:rsidRDefault="009D7677" w:rsidP="009D7677">
      <w:pPr>
        <w:pStyle w:val="TextoNormal"/>
      </w:pPr>
    </w:p>
    <w:p w14:paraId="2A39BC20" w14:textId="77777777" w:rsidR="009D7677" w:rsidRDefault="009D7677" w:rsidP="009D7677">
      <w:pPr>
        <w:pStyle w:val="TextoNormal"/>
      </w:pPr>
      <w:r>
        <w:t>Este tribunal ha apreciado, en particular, que en tales casos de revocación de sentencia para realizar un nuevo enjuiciamiento “lo que está en juego es la prohibición del doble enjuiciamiento (</w:t>
      </w:r>
      <w:r w:rsidRPr="009D7677">
        <w:rPr>
          <w:i/>
        </w:rPr>
        <w:t>ne bis in idem</w:t>
      </w:r>
      <w:r>
        <w:t xml:space="preserve"> procesal), con independencia del resultado favorable o desfavorable del mismo [del nuevo juicio], lo que constituye gravamen suficiente para acudir </w:t>
      </w:r>
      <w:r>
        <w:lastRenderedPageBreak/>
        <w:t>directamente al amparo” (SSTC 129/2018, de 12 de diciembre, FJ 6; 130/2018, de 12 de diciembre, FJ 5; 131/2018, de 12 de diciembre, FJ 5, y 70/2021, de 18 de marzo, FJ 2).</w:t>
      </w:r>
    </w:p>
    <w:p w14:paraId="193D5E61" w14:textId="77777777" w:rsidR="009D7677" w:rsidRDefault="009D7677" w:rsidP="009D7677">
      <w:pPr>
        <w:pStyle w:val="TextoNormal"/>
      </w:pPr>
    </w:p>
    <w:p w14:paraId="5C1FB8C0" w14:textId="77777777" w:rsidR="009D7677" w:rsidRDefault="009D7677" w:rsidP="009D7677">
      <w:pPr>
        <w:pStyle w:val="TextoNormal"/>
      </w:pPr>
      <w:r>
        <w:t xml:space="preserve">f) De la doctrina expuesta se infiere que la posibilidad de ordenar la retroacción para un nuevo enjuiciamiento requiere, según hemos señalado expresamente, un juicio específico de ponderación (SSTC 311/2006, de 23 de octubre, FJ 6, y 23/2008, de 11 de febrero, FJ 5), cuya incorrecta realización puede dar lugar a la vulneración del derecho fundamental a la tutela judicial efectiva en su vertiente de proscripción del </w:t>
      </w:r>
      <w:r w:rsidRPr="009D7677">
        <w:rPr>
          <w:i/>
        </w:rPr>
        <w:t>bis in idem</w:t>
      </w:r>
      <w:r>
        <w:t xml:space="preserve"> procesal. Como señalamos en la STC 23/2016, de 15 de febrero, FJ 3:</w:t>
      </w:r>
    </w:p>
    <w:p w14:paraId="2FEBFE66" w14:textId="77777777" w:rsidR="009D7677" w:rsidRDefault="009D7677" w:rsidP="009D7677">
      <w:pPr>
        <w:pStyle w:val="TextoNormal"/>
      </w:pPr>
    </w:p>
    <w:p w14:paraId="5C11B4E6" w14:textId="77777777" w:rsidR="009D7677" w:rsidRDefault="009D7677" w:rsidP="009D7677">
      <w:pPr>
        <w:pStyle w:val="TextoNormal"/>
      </w:pPr>
      <w:r>
        <w:t>“No es posible descartar, y de ello se hace eco la jurisdicción constitucional con cita del art. 55.1 de la Ley Orgánica del Tribunal Constitucional (STC 311/2006, de 23 de octubre, FJ 6), que la reparación ordinaria o común a través de la nulidad con retroacción de actuaciones (reposición en los términos del art. 241 de la Ley Orgánica del Poder Judicial), de la lesión de derechos fundamentales procesales, entre en conflicto con otros derechos, bienes y valores también constitucionales y dignos de tutela. En tales supuestos, por exigencia derivada de la eficacia propia de tales derechos y valores, así como del valor ‘justicia’ (SSTC 160/1987, de 27 de octubre, FJ 6; 50/1995, de 23 de febrero, FJ 7; 173/1995, de 21 de noviembre, FJ 2), del principio del Estado de Derecho (STC 160/1987, de 27 de octubre, FJ 6), del principio de interdicción de la arbitrariedad de los poderes públicos (SSTC 6/1988, de 21 de enero, FJ 3; 50/1995, de 23 de febrero, FJ 7) o de la dignidad de la persona (STC 160/1987, de 27 de octubre, FJ 6), la solución habrá de adoptarse previa ponderación de los derechos y valores constitucionales en conflicto, con respeto a su contenido, observancia del principio de proporcionalidad, y motivación del juicio de ponderación (SSTC 85/1992, de 8 de junio, FJ 4, y 219/1992, de 3 de diciembre, FJ 2), ‘pues solo tal fundamentación permitirá que se aprecie, en primer lugar, por el afectado y que se pueda controlar, después, la razón que justificó, a juicio del órgano judicial, el sacrificio del derecho fundamental’ (STC 37/1989, de 15 de febrero, FJ 8)”.</w:t>
      </w:r>
    </w:p>
    <w:p w14:paraId="2B5B9B80" w14:textId="77777777" w:rsidR="009D7677" w:rsidRDefault="009D7677" w:rsidP="009D7677">
      <w:pPr>
        <w:pStyle w:val="TextoNormal"/>
      </w:pPr>
    </w:p>
    <w:p w14:paraId="056E5721" w14:textId="77777777" w:rsidR="009D7677" w:rsidRDefault="009D7677" w:rsidP="009D7677">
      <w:pPr>
        <w:pStyle w:val="TextoNormal"/>
      </w:pPr>
      <w:r>
        <w:t>B) Supuesto planteado en el presente proceso de amparo</w:t>
      </w:r>
    </w:p>
    <w:p w14:paraId="337554CC" w14:textId="77777777" w:rsidR="009D7677" w:rsidRDefault="009D7677" w:rsidP="009D7677">
      <w:pPr>
        <w:pStyle w:val="TextoNormal"/>
      </w:pPr>
    </w:p>
    <w:p w14:paraId="133C6C4B" w14:textId="77777777" w:rsidR="009D7677" w:rsidRDefault="009D7677" w:rsidP="009D7677">
      <w:pPr>
        <w:pStyle w:val="TextoNormal"/>
      </w:pPr>
      <w:r>
        <w:t>Ahora se nos plantea una faceta del derecho a no ser doblemente enjuiciado, en relación con una decisión judicial de retroacción para la celebración de un nuevo juicio que, hasta el momento, no ha sido analizada por este tribunal.</w:t>
      </w:r>
    </w:p>
    <w:p w14:paraId="4D50C83A" w14:textId="77777777" w:rsidR="009D7677" w:rsidRDefault="009D7677" w:rsidP="009D7677">
      <w:pPr>
        <w:pStyle w:val="TextoNormal"/>
      </w:pPr>
    </w:p>
    <w:p w14:paraId="1153065C" w14:textId="77777777" w:rsidR="009D7677" w:rsidRDefault="009D7677" w:rsidP="009D7677">
      <w:pPr>
        <w:pStyle w:val="TextoNormal"/>
      </w:pPr>
      <w:r>
        <w:t xml:space="preserve">Aunque hemos afirmado que una retroacción indebida de las actuaciones para la celebración de un nuevo juicio puede vulnerar el principio </w:t>
      </w:r>
      <w:r w:rsidRPr="009D7677">
        <w:rPr>
          <w:i/>
        </w:rPr>
        <w:t>ne bis in idem</w:t>
      </w:r>
      <w:r>
        <w:t xml:space="preserve"> en su vertiente procesal y que esa vulneración depende de un juicio de ponderación sobre la naturaleza y la gravedad de la lesión producida (de una parte) y las consecuencias que la retroacción puede acarrear en la esfera del acusado (de la otra), hasta el presente momento solo hemos afrontado supuestos en que esa retroacción fue acordada para tutelar derechos fundamentales sustantivos o garantías procesales de las partes acusadoras. Este tribunal no ha fijado doctrina sobre esta materia en relación con asuntos en los que la orden de retroacción se ampara formalmente en la necesidad de tutelar los derechos procesales del propio individuo condenado en contextos particulares en los que esa decisión puede suponer una carga excesiva para este, determinante de un ejercicio desproporcionado de</w:t>
      </w:r>
      <w:r w:rsidRPr="009D7677">
        <w:rPr>
          <w:i/>
        </w:rPr>
        <w:t>l ius punien</w:t>
      </w:r>
      <w:r>
        <w:t>di estatal.</w:t>
      </w:r>
    </w:p>
    <w:p w14:paraId="443B2F8D" w14:textId="77777777" w:rsidR="009D7677" w:rsidRDefault="009D7677" w:rsidP="009D7677">
      <w:pPr>
        <w:pStyle w:val="TextoNormal"/>
      </w:pPr>
    </w:p>
    <w:p w14:paraId="746BC7B2" w14:textId="56D44D7C" w:rsidR="009D7677" w:rsidRDefault="009D7677" w:rsidP="009D7677">
      <w:pPr>
        <w:pStyle w:val="TextoNormal"/>
      </w:pPr>
      <w:r>
        <w:lastRenderedPageBreak/>
        <w:t>En definitiva, se plantea en el presente supuesto si un segundo enjuiciamiento, ordenado para reparar los derechos fundamentales procesales de quien ha sido condenado, puede convertirse, por las especiales circunstancias concurrentes, en una carga desproporcionada, contraria, por el exceso de gravamen que conlleva, a la prohibición de doble enjuiciamiento penal de unos mismos hechos.</w:t>
      </w:r>
    </w:p>
    <w:p w14:paraId="7C6601E9" w14:textId="77777777" w:rsidR="009D7677" w:rsidRDefault="009D7677" w:rsidP="009D7677">
      <w:pPr>
        <w:pStyle w:val="TextoNormal"/>
      </w:pPr>
    </w:p>
    <w:p w14:paraId="465D8E7B" w14:textId="77777777" w:rsidR="009D7677" w:rsidRDefault="009D7677" w:rsidP="009D7677">
      <w:pPr>
        <w:pStyle w:val="TextoNormal"/>
      </w:pPr>
      <w:r w:rsidRPr="009D7677">
        <w:rPr>
          <w:rStyle w:val="NumeroAFNegritaCaracter"/>
        </w:rPr>
        <w:t>4</w:t>
      </w:r>
      <w:r>
        <w:t xml:space="preserve">. </w:t>
      </w:r>
      <w:r w:rsidRPr="009D7677">
        <w:rPr>
          <w:i/>
        </w:rPr>
        <w:t>Elementos del juicio de ponderación</w:t>
      </w:r>
    </w:p>
    <w:p w14:paraId="5C4D99CD" w14:textId="77777777" w:rsidR="009D7677" w:rsidRDefault="009D7677" w:rsidP="009D7677">
      <w:pPr>
        <w:pStyle w:val="TextoNormal"/>
      </w:pPr>
    </w:p>
    <w:p w14:paraId="02A030CB" w14:textId="77777777" w:rsidR="009D7677" w:rsidRDefault="009D7677" w:rsidP="009D7677">
      <w:pPr>
        <w:pStyle w:val="TextoNormal"/>
      </w:pPr>
      <w:r>
        <w:t>Nuestro pronunciamiento sobre esta nueva faceta del derecho fundamental a no ser doblemente enjuiciado debe fundarse, al igual que en los supuestos anteriormente abordados por este tribunal en relación con la prohibición de doble enjuiciamiento, en un juicio de ponderación de los valores, bienes y derechos constitucionales afectados —como es, por otra parte, habitual en el ámbito específico de las garantías procesales (por ejemplo, respecto de la prueba ilícita, véase la STC 97/2019, de 16 de julio, FJ 2)—.</w:t>
      </w:r>
    </w:p>
    <w:p w14:paraId="042A8867" w14:textId="77777777" w:rsidR="009D7677" w:rsidRDefault="009D7677" w:rsidP="009D7677">
      <w:pPr>
        <w:pStyle w:val="TextoNormal"/>
      </w:pPr>
    </w:p>
    <w:p w14:paraId="59A395AA" w14:textId="77777777" w:rsidR="009D7677" w:rsidRDefault="009D7677" w:rsidP="009D7677">
      <w:pPr>
        <w:pStyle w:val="TextoNormal"/>
      </w:pPr>
      <w:r>
        <w:t>En el caso que nos ocupa, la sentencia del Tribunal Supremo núm. 692/2020, al resolver por segunda vez el recurso de casación formulado en su día frente a la condena penal, pondera la necesidad de acordar la retroacción para la celebración de un nuevo juicio utilizando argumentos diversos, que nos corresponde ahora revisar. Para afrontar esa revisión deben tomarse, previamente, en consideración los siguientes parámetros rectores:</w:t>
      </w:r>
    </w:p>
    <w:p w14:paraId="7E818D52" w14:textId="77777777" w:rsidR="009D7677" w:rsidRDefault="009D7677" w:rsidP="009D7677">
      <w:pPr>
        <w:pStyle w:val="TextoNormal"/>
      </w:pPr>
    </w:p>
    <w:p w14:paraId="4368F8BA" w14:textId="77777777" w:rsidR="009D7677" w:rsidRDefault="009D7677" w:rsidP="009D7677">
      <w:pPr>
        <w:pStyle w:val="TextoNormal"/>
      </w:pPr>
      <w:r>
        <w:t>a) Ha de reiterarse, en primer lugar, que la declaración de nulidad y retroacción, como mecanismo de reparación de un vicio esencial del proceso, es, en línea de principio, una excepción a la operatividad de la prohibición de doble enjuiciamiento que está expresamente contemplada en el art. 4.2 del Protocolo núm. 7 CEDH y que tiene plena proyección sobre una eventual vulneración del derecho al juez imparcial sufrida por la parte acusada.</w:t>
      </w:r>
    </w:p>
    <w:p w14:paraId="7B8C9C09" w14:textId="77777777" w:rsidR="009D7677" w:rsidRDefault="009D7677" w:rsidP="009D7677">
      <w:pPr>
        <w:pStyle w:val="TextoNormal"/>
      </w:pPr>
    </w:p>
    <w:p w14:paraId="28765D17" w14:textId="77777777" w:rsidR="009D7677" w:rsidRDefault="009D7677" w:rsidP="009D7677">
      <w:pPr>
        <w:pStyle w:val="TextoNormal"/>
      </w:pPr>
      <w:r>
        <w:t xml:space="preserve">La declaración de nulidad de la resolución condenatoria, con retroacción de las actuaciones para la celebración de un nuevo juicio, es, de hecho, la tutela que, de ordinario, repara la lesión del derecho a un juez imparcial sufrida por el individuo que ha sido condenado. Para el propio Tribunal Europeo de Derechos Humanos, un nuevo juicio o la reapertura del caso, si así es solicitado por la persona que ha sido condenada, representa en principio una vía apropiada de reparación de la vulneración del derecho al juez imparcial [por todas, SSTEDH (Gran Sala) de 12 de mayo de 2005, asunto </w:t>
      </w:r>
      <w:r w:rsidRPr="009D7677">
        <w:rPr>
          <w:i/>
        </w:rPr>
        <w:t>Öcalan c. Turquía</w:t>
      </w:r>
      <w:r>
        <w:t xml:space="preserve">, § 210, y de 1 de marzo de 2006, asunto </w:t>
      </w:r>
      <w:r w:rsidRPr="009D7677">
        <w:rPr>
          <w:i/>
        </w:rPr>
        <w:t>Sejdovic c. Italia</w:t>
      </w:r>
      <w:r>
        <w:t>, § 126]. Ese medio de reparación es, además, mencionado de forma expresa en el párrafo 74 de la sentencia del Tribunal Europeo de Derechos Humanos de 6 de noviembre de 2018 que declaró la vulneración del derecho al juez imparcial de los ahora recurrentes en amparo y que dio lugar a la segunda sentencia casacional del Tribunal Supremo, que es la aquí impugnada.</w:t>
      </w:r>
    </w:p>
    <w:p w14:paraId="613CC63F" w14:textId="77777777" w:rsidR="009D7677" w:rsidRDefault="009D7677" w:rsidP="009D7677">
      <w:pPr>
        <w:pStyle w:val="TextoNormal"/>
      </w:pPr>
    </w:p>
    <w:p w14:paraId="32822461" w14:textId="77777777" w:rsidR="009D7677" w:rsidRDefault="009D7677" w:rsidP="009D7677">
      <w:pPr>
        <w:pStyle w:val="TextoNormal"/>
      </w:pPr>
      <w:r>
        <w:t>El juicio celebrado ante un tribunal que no cumple con las exigencias de imparcialidad establecidas en el art. 6.1 CEDH no puede ser considerado un juicio justo —o, en los términos de la Constitución española, un proceso desarrollado con todas las garantías (art. 24.2 CE)—. En este sentido, la repetición del juicio ante un nuevo tribunal puede reparar la lesión producida en los derechos fundamentales del recurrente que ha sido condenado. Por ello, la decisión de repetir la celebración del juicio oral orientada a la reparación de la lesión del derecho a un juez imparcial no puede ser considerada, por regla general, un se</w:t>
      </w:r>
      <w:r>
        <w:lastRenderedPageBreak/>
        <w:t xml:space="preserve">gundo proceso a los efectos de la proscripción de la garantía del </w:t>
      </w:r>
      <w:r w:rsidRPr="009D7677">
        <w:rPr>
          <w:i/>
        </w:rPr>
        <w:t>ne bis in idem</w:t>
      </w:r>
      <w:r>
        <w:t xml:space="preserve"> procesal, contenido en el art. 24.1 CE.</w:t>
      </w:r>
    </w:p>
    <w:p w14:paraId="1C495086" w14:textId="77777777" w:rsidR="009D7677" w:rsidRDefault="009D7677" w:rsidP="009D7677">
      <w:pPr>
        <w:pStyle w:val="TextoNormal"/>
      </w:pPr>
    </w:p>
    <w:p w14:paraId="204C5543" w14:textId="77777777" w:rsidR="009D7677" w:rsidRDefault="009D7677" w:rsidP="009D7677">
      <w:pPr>
        <w:pStyle w:val="TextoNormal"/>
      </w:pPr>
      <w:r>
        <w:t>b) Ahora bien, desde el punto de vista del individuo condenado, la repetición del juicio no constituye un fin en sí mismo, sino que está orientada a la obtención de un efecto útil: evitar la condena y la imposición de la pena. Ello determina que la procedencia de este medio de reparación no sea, en todo caso, automática, cualesquiera que sean las consecuencias que pueda tener sobre la esfera del individuo agraviado. En este punto, a la hora de realizar el juicio de ponderación pertinente, han de tenerse en cuenta dos circunstancias fundamentales que resultan de la doctrina elaborada por el Tribunal Europeo de Derechos Humanos:</w:t>
      </w:r>
    </w:p>
    <w:p w14:paraId="746EA69F" w14:textId="77777777" w:rsidR="009D7677" w:rsidRDefault="009D7677" w:rsidP="009D7677">
      <w:pPr>
        <w:pStyle w:val="TextoNormal"/>
      </w:pPr>
    </w:p>
    <w:p w14:paraId="38359E49" w14:textId="77777777" w:rsidR="009D7677" w:rsidRDefault="009D7677" w:rsidP="009D7677">
      <w:pPr>
        <w:pStyle w:val="TextoNormal"/>
      </w:pPr>
      <w:r>
        <w:t xml:space="preserve">(i) En primer lugar, es esencial determinar si la retroacción ha sido la vía de reparación solicitada por la propia víctima de la vulneración del derecho fundamental procesal. En este sentido, no puede olvidarse que para el Tribunal Europeo de Derechos Humanos la repetición del juicio es una tutela idónea para remediar la vulneración del derecho al juez imparcial siempre que sea solicitada por el afectado (asuntos </w:t>
      </w:r>
      <w:r w:rsidRPr="009D7677">
        <w:rPr>
          <w:i/>
        </w:rPr>
        <w:t>Öcalan c. Turquía</w:t>
      </w:r>
      <w:r>
        <w:t xml:space="preserve">, § 210, y </w:t>
      </w:r>
      <w:r w:rsidRPr="009D7677">
        <w:rPr>
          <w:i/>
        </w:rPr>
        <w:t>Sejdovic c. Italia</w:t>
      </w:r>
      <w:r>
        <w:t>, § 126, ya citados). Quien ha sido condenado puede, en definitiva, aceptar la condena ya impuesta y evitar el riesgo de un segundo enjuiciamiento que conlleve una condena aún más gravosa. En ese caso, puede optar por otro tipo de reparación del derecho vulnerado. En el supuesto que ahora nos ocupa, el ya citado § 74 de la sentencia del Tribunal Europeo de Derechos Humanos de 6 de noviembre de 2018 hace mención expresa a la solicitud de la persona interesada como presupuesto necesario de la repetición del juicio oral.</w:t>
      </w:r>
    </w:p>
    <w:p w14:paraId="11860D1C" w14:textId="77777777" w:rsidR="009D7677" w:rsidRDefault="009D7677" w:rsidP="009D7677">
      <w:pPr>
        <w:pStyle w:val="TextoNormal"/>
      </w:pPr>
    </w:p>
    <w:p w14:paraId="0E5D799D" w14:textId="77777777" w:rsidR="009D7677" w:rsidRDefault="009D7677" w:rsidP="009D7677">
      <w:pPr>
        <w:pStyle w:val="TextoNormal"/>
      </w:pPr>
      <w:r>
        <w:t xml:space="preserve">(ii) Por otra parte, en la sentencia de la Gran Sala de 1 de marzo de 2006, asunto </w:t>
      </w:r>
      <w:r w:rsidRPr="009D7677">
        <w:rPr>
          <w:i/>
        </w:rPr>
        <w:t>Sejdovic c. Italia</w:t>
      </w:r>
      <w:r>
        <w:t>, § 28, el Tribunal Europeo de Derechos Humanos se remite expresamente, para la ponderación de la idoneidad de un nuevo enjuiciamiento como remedio de la vulneración padecida en el derecho al juez imparcial, a la Recomendación núm. R (2000) 2 del Comité de Ministros del Consejo de Europa, relativa al reexamen y reapertura de procedimientos nacionales a raíz de resoluciones dictadas por el Tribunal Europeo de Derechos Humanos. Destaca la referida sentencia que, de acuerdo con la Recomendación núm. R (2000) 2, uno de los elementos fundamentales a ponderar para determinar si procede la repetición del juicio, como mecanismo de reparación del derecho vulnerado, es que la víctima de la vulneración siga sufriendo consecuencias negativas muy graves a consecuencia de la decisión judicial controvertida, de modo que dichas consecuencias, por su gravedad, no puedan ser reparadas mediante la alternativa de una satisfacción equitativa.</w:t>
      </w:r>
    </w:p>
    <w:p w14:paraId="6850E9C0" w14:textId="77777777" w:rsidR="009D7677" w:rsidRDefault="009D7677" w:rsidP="009D7677">
      <w:pPr>
        <w:pStyle w:val="TextoNormal"/>
      </w:pPr>
    </w:p>
    <w:p w14:paraId="5008B9E4" w14:textId="34902DD0" w:rsidR="009D7677" w:rsidRDefault="009D7677" w:rsidP="009D7677">
      <w:pPr>
        <w:pStyle w:val="TextoNormal"/>
      </w:pPr>
      <w:r>
        <w:t>A la vista de esta doctrina, es claro que pueden concurrir circunstancias en las que la violación del derecho a un juez imparcial, pese a su naturaleza ordinaria de vicio esencial de procedimiento, no puede legítimamente dar lugar un segundo enjuiciamiento como mecanismo idóneo para la reparación del derecho fundamental vulnerado. En particular, cuando dicha medida no ha sido solicitada por el condenado o cuando desborda claramente los fines de reparación de la vulneración del derecho fundamental, por carecer de todo efecto útil, puede convertirse en un gravamen desproporcionado para la persona condenada. En tales circunstancias, la retroacción deja de estar amparada en la excepción prevista en el art. 4.2 del Protocolo núm. 7 CEDH, pues la repetición del juicio no guarda la im</w:t>
      </w:r>
      <w:r>
        <w:lastRenderedPageBreak/>
        <w:t>prescindible correlación con la necesidad de reparar la lesión producida en los derechos fundamentales procesales, como fundamento de la referida excepción.</w:t>
      </w:r>
    </w:p>
    <w:p w14:paraId="4A223FA9" w14:textId="77777777" w:rsidR="009D7677" w:rsidRDefault="009D7677" w:rsidP="009D7677">
      <w:pPr>
        <w:pStyle w:val="TextoNormal"/>
      </w:pPr>
    </w:p>
    <w:p w14:paraId="17D55624" w14:textId="77777777" w:rsidR="009D7677" w:rsidRDefault="009D7677" w:rsidP="009D7677">
      <w:pPr>
        <w:pStyle w:val="TextoNormal"/>
      </w:pPr>
      <w:r w:rsidRPr="009D7677">
        <w:rPr>
          <w:rStyle w:val="NumeroAFNegritaCaracter"/>
        </w:rPr>
        <w:t>5</w:t>
      </w:r>
      <w:r>
        <w:t xml:space="preserve">. </w:t>
      </w:r>
      <w:r w:rsidRPr="009D7677">
        <w:rPr>
          <w:i/>
        </w:rPr>
        <w:t>Enjuiciamiento del caso. Existencia de lesión</w:t>
      </w:r>
    </w:p>
    <w:p w14:paraId="00B95D78" w14:textId="77777777" w:rsidR="009D7677" w:rsidRDefault="009D7677" w:rsidP="009D7677">
      <w:pPr>
        <w:pStyle w:val="TextoNormal"/>
      </w:pPr>
    </w:p>
    <w:p w14:paraId="78C89828" w14:textId="77777777" w:rsidR="009D7677" w:rsidRDefault="009D7677" w:rsidP="009D7677">
      <w:pPr>
        <w:pStyle w:val="TextoNormal"/>
      </w:pPr>
      <w:r>
        <w:t>De acuerdo con la doctrina expuesta, hemos de examinar el juicio de ponderación realizado por el Tribunal Supremo a efectos de dilucidar si nos encontramos ante una retroacción para un nuevo enjuiciamiento que vulnera el art. 24.1 CE en su vertiente de derecho a no ser doblemente juzgado. Debemos señalar, al respecto, lo siguiente:</w:t>
      </w:r>
    </w:p>
    <w:p w14:paraId="19CDCCC9" w14:textId="77777777" w:rsidR="009D7677" w:rsidRDefault="009D7677" w:rsidP="009D7677">
      <w:pPr>
        <w:pStyle w:val="TextoNormal"/>
      </w:pPr>
    </w:p>
    <w:p w14:paraId="65A65F61" w14:textId="77777777" w:rsidR="009D7677" w:rsidRDefault="009D7677" w:rsidP="009D7677">
      <w:pPr>
        <w:pStyle w:val="TextoNormal"/>
      </w:pPr>
      <w:r>
        <w:t>(i) El Tribunal Supremo considera, en primer lugar, que, frente a lo alegado por los recurrentes, la reparación del derecho fundamental al juez imparcial no podía consistir en la mera declaración de nulidad de la condena acaecida en la instancia, sin retroacción para la celebración de un nuevo juicio, pues dicha tutela, equivalente a un pronunciamiento materialmente absolutorio, no guardaba correlación con la lesión estrictamente procesal que debía ser reparada en casación. En tal sentido, el razonamiento del Tribunal Supremo es plenamente acorde con las exigencias derivadas del art. 24.1 CE.</w:t>
      </w:r>
    </w:p>
    <w:p w14:paraId="0BD123E9" w14:textId="77777777" w:rsidR="009D7677" w:rsidRDefault="009D7677" w:rsidP="009D7677">
      <w:pPr>
        <w:pStyle w:val="TextoNormal"/>
      </w:pPr>
    </w:p>
    <w:p w14:paraId="13920A60" w14:textId="77777777" w:rsidR="009D7677" w:rsidRDefault="009D7677" w:rsidP="009D7677">
      <w:pPr>
        <w:pStyle w:val="TextoNormal"/>
      </w:pPr>
      <w:r>
        <w:t>(ii) Tampoco puede decirse que la tutela prestada por el Tribunal Supremo (declaración de nulidad con retroacción) fuera totalmente ajena a la solicitud de reparación formulada por los recurrentes en amparo. Es cierto que estos nunca solicitaron expresamente, como tutela a prestar para el restablecimiento de su derecho fundamental al juez imparcial, la repetición del juicio ante un nuevo tribunal. No puede ignorarse, sin embargo, que instaron la ejecución de la sentencia del Tribunal Europeo de Derechos Humanos de un modo sumamente equívoco.</w:t>
      </w:r>
    </w:p>
    <w:p w14:paraId="1DEDCA1F" w14:textId="77777777" w:rsidR="009D7677" w:rsidRDefault="009D7677" w:rsidP="009D7677">
      <w:pPr>
        <w:pStyle w:val="TextoNormal"/>
      </w:pPr>
    </w:p>
    <w:p w14:paraId="74D32409" w14:textId="77777777" w:rsidR="009D7677" w:rsidRDefault="009D7677" w:rsidP="009D7677">
      <w:pPr>
        <w:pStyle w:val="TextoNormal"/>
      </w:pPr>
      <w:r>
        <w:t>En efecto, la solicitud de revisión formulada ante el Tribunal Supremo pretendía exclusivamente la declaración de nulidad de la sentencia de casación, resolución que, manifiestamente, no había causado por sí misma la vulneración del derecho al juez imparcial. Por ello, tal petición suponía, en principio, la reanudación del procedimiento penal originario a partir del propio trámite casacional, ya que no podía entenderse, sin más, que se dejaba firme la previa sentencia de instancia, que había sido condenatoria y había impuesto, de hecho, penas superiores a las que después fueron establecidas por el Tribunal Supremo.</w:t>
      </w:r>
    </w:p>
    <w:p w14:paraId="06935BF8" w14:textId="77777777" w:rsidR="009D7677" w:rsidRDefault="009D7677" w:rsidP="009D7677">
      <w:pPr>
        <w:pStyle w:val="TextoNormal"/>
      </w:pPr>
    </w:p>
    <w:p w14:paraId="2B0CB9BE" w14:textId="77777777" w:rsidR="009D7677" w:rsidRDefault="009D7677" w:rsidP="009D7677">
      <w:pPr>
        <w:pStyle w:val="TextoNormal"/>
      </w:pPr>
      <w:r>
        <w:t>Cuando en la providencia de 25 de septiembre de 2020 el Tribunal Supremo dio trámite a las partes para que hicieran alegaciones en el nuevo señalamiento para deliberación y fallo del recurso de casación, los recurrentes de amparo no se manifestaron disconformes con la reanudación de ese recurso ni se quejaron tampoco de la reviviscencia del procedimiento originario. Al contrario, se aquietaron a ella. En este sentido, la decisión del Tribunal Supremo fue, en buena medida, el resultado lógico de la vía de reparación elegida por los recurrentes de amparo: resolvió el recurso de casación anulando su primera resolución, en la que se había descartado la vulneración del derecho al juez imparcial, y entendió que solo podía repararla en los términos ordinariamente fijados en el ordenamiento procesal vigente con la consiguiente retroacción para la celebración de un nuevo juicio oral.</w:t>
      </w:r>
    </w:p>
    <w:p w14:paraId="5456764D" w14:textId="77777777" w:rsidR="009D7677" w:rsidRDefault="009D7677" w:rsidP="009D7677">
      <w:pPr>
        <w:pStyle w:val="TextoNormal"/>
      </w:pPr>
    </w:p>
    <w:p w14:paraId="56B2D6C4" w14:textId="77777777" w:rsidR="009D7677" w:rsidRDefault="009D7677" w:rsidP="009D7677">
      <w:pPr>
        <w:pStyle w:val="TextoNormal"/>
      </w:pPr>
      <w:r>
        <w:t xml:space="preserve">(iii) No obstante, al adoptar tal decisión de retroacción, el Tribunal Supremo no tuvo en cuenta el singular escenario que el presente caso plantea desde el punto de vista de la reparación del derecho fundamental vulnerado. Como con más detalle se ha expuesto en los </w:t>
      </w:r>
      <w:r>
        <w:lastRenderedPageBreak/>
        <w:t>antecedentes de esta resolución, los demandantes se opusieron expresamente a la celebración de un segundo enjuiciamiento; además, tal posibilidad se planteó cuando los condenados por un tribunal que no cumplía con las exigencias de imparcialidad derivadas del art. 6 CEDH y del art. 24.2 CE ya habían cumplido íntegramente las penas que les habían sido impuestas. Es claro que, en ese contexto, la celebración de un segundo enjuiciamiento perdía su principal efecto útil, que es, como se ha dicho, evitar el cumplimiento efectivo de la pena impuesta, como gravamen que, en la doctrina ya reproducida del Tribunal Europeo de Derechos Humanos, resulta esencial para valorar la pertinencia de una decisión de retroacción.</w:t>
      </w:r>
    </w:p>
    <w:p w14:paraId="0379A4B4" w14:textId="77777777" w:rsidR="009D7677" w:rsidRDefault="009D7677" w:rsidP="009D7677">
      <w:pPr>
        <w:pStyle w:val="TextoNormal"/>
      </w:pPr>
    </w:p>
    <w:p w14:paraId="6026CA00" w14:textId="77777777" w:rsidR="009D7677" w:rsidRDefault="009D7677" w:rsidP="009D7677">
      <w:pPr>
        <w:pStyle w:val="TextoNormal"/>
      </w:pPr>
      <w:r>
        <w:t xml:space="preserve">(iv) En esas concretas circunstancias, una repetición del juicio que no había sido interesada de forma clara y expresa por los afectados (que no la habían solicitado en el recurso de revisión ni en el reabierto trámite de casación), constituía un gravamen excesivo, que perdía la necesaria correlación con la finalidad de reparar los derechos fundamentales procesales vulnerados. Con ella se exponía a los individuos condenados, no solo al gravamen inherente a un segundo enjuiciamiento, sino también al riesgo adicional de sufrir una penalidad mayor sin la contrapartida lógica de evitar (total o parcialmente) el sufrimiento efectivo del gravamen derivado de la condena originaria. El fundamento transversal de la garantía de </w:t>
      </w:r>
      <w:r w:rsidRPr="009D7677">
        <w:rPr>
          <w:i/>
        </w:rPr>
        <w:t>ne bis in idem</w:t>
      </w:r>
      <w:r>
        <w:t xml:space="preserve">, que explica tanto su dimensión material como la procesal, se ve, de ese modo, comprometido, al producirse un ejercicio dual del </w:t>
      </w:r>
      <w:r w:rsidRPr="009D7677">
        <w:rPr>
          <w:i/>
        </w:rPr>
        <w:t>ius puniendi</w:t>
      </w:r>
      <w:r>
        <w:t xml:space="preserve"> estatal que resulta desproporcionado y carece, globalmente considerado, de una debida justificación.</w:t>
      </w:r>
    </w:p>
    <w:p w14:paraId="3389C064" w14:textId="77777777" w:rsidR="009D7677" w:rsidRDefault="009D7677" w:rsidP="009D7677">
      <w:pPr>
        <w:pStyle w:val="TextoNormal"/>
      </w:pPr>
    </w:p>
    <w:p w14:paraId="1CD977C4" w14:textId="77777777" w:rsidR="009D7677" w:rsidRDefault="009D7677" w:rsidP="009D7677">
      <w:pPr>
        <w:pStyle w:val="TextoNormal"/>
      </w:pPr>
      <w:r>
        <w:t xml:space="preserve">(v) En ese particular escenario, se aprecia que los argumentos ofrecidos por el Tribunal Supremo para ponderar la necesidad de la repetición del juicio fueron insuficientes. El interés del Estado en la condena agotó sus efectos prácticos con el íntegro cumplimiento de la pena impuesta. Con él también resultó materialmente satisfecho el interés de las partes acusadoras en coadyuvar al ejercicio efectivo del </w:t>
      </w:r>
      <w:r w:rsidRPr="009D7677">
        <w:rPr>
          <w:i/>
        </w:rPr>
        <w:t>ius puniendi</w:t>
      </w:r>
      <w:r>
        <w:t>, potestad de la que, como ha reiterado este tribunal, no son titulares, pues en nuestro ordenamiento constitucional “no existe un ‘principio de legalidad invertido’, esto es, un derecho fundamental de la víctima a obtener la condena penal de otro, haya o no vulnerado sus derechos fundamentales, pues estos son derechos de libertad, e introducir entre ellos la pretensión punitiva supondría alterar radicalmente su sentido” (STC 41/1997, de 10 de marzo, FJ 4). Menos convincente resulta aún la invocación por parte de la resolución impugnada, como argumento para sustentar la decisión de repetir el juicio, de la necesidad de satisfacer el derecho a la presunción de inocencia de los propios recurrentes de amparo, como si el objeto del proceso penal (y del juicio oral en particular) fuera dar la oportunidad de demostrar la inocencia frente a una presunción inicial de culpabilidad.</w:t>
      </w:r>
    </w:p>
    <w:p w14:paraId="37E53928" w14:textId="77777777" w:rsidR="009D7677" w:rsidRDefault="009D7677" w:rsidP="009D7677">
      <w:pPr>
        <w:pStyle w:val="TextoNormal"/>
      </w:pPr>
    </w:p>
    <w:p w14:paraId="23530517" w14:textId="6FA9E084" w:rsidR="009D7677" w:rsidRDefault="009D7677" w:rsidP="009D7677">
      <w:pPr>
        <w:pStyle w:val="TextoNormal"/>
      </w:pPr>
      <w:r>
        <w:t>Vista la insuficiencia de estos argumentos, se aprecia una desproporción manifiesta entre la decisión adoptada de repetir el enjuiciamiento, cuando ya estaban cumplidas las penas impuestas en sentencia firme, y la necesidad de reparar un vicio esencial de procedimiento padecido por la parte acusada. Esto determina que, en el presente caso, la repetición del juicio oral haya de ser considerada, materialmente, como un segundo enjuiciamiento contrario al art. 24.1 CE (en relación con el art. 6.1 CEDH). Debemos, por ello, declarar la nulidad de la Sentencia 692/2020, de 15 de diciembre, de la Sala de lo Penal del Tribunal Supremo, con los efectos que serán expuestos en el fundamento jurídico siguiente.</w:t>
      </w:r>
    </w:p>
    <w:p w14:paraId="0AB714EB" w14:textId="77777777" w:rsidR="009D7677" w:rsidRDefault="009D7677" w:rsidP="009D7677">
      <w:pPr>
        <w:pStyle w:val="TextoNormal"/>
      </w:pPr>
    </w:p>
    <w:p w14:paraId="6F7D24F8" w14:textId="77777777" w:rsidR="009D7677" w:rsidRDefault="009D7677" w:rsidP="009D7677">
      <w:pPr>
        <w:pStyle w:val="TextoNormal"/>
      </w:pPr>
      <w:r w:rsidRPr="009D7677">
        <w:rPr>
          <w:rStyle w:val="NumeroAFNegritaCaracter"/>
        </w:rPr>
        <w:t>6</w:t>
      </w:r>
      <w:r>
        <w:t xml:space="preserve">. </w:t>
      </w:r>
      <w:r w:rsidRPr="009D7677">
        <w:rPr>
          <w:i/>
        </w:rPr>
        <w:t>Efectos de la estimación del recurso de amparo</w:t>
      </w:r>
    </w:p>
    <w:p w14:paraId="36E720D8" w14:textId="77777777" w:rsidR="009D7677" w:rsidRDefault="009D7677" w:rsidP="009D7677">
      <w:pPr>
        <w:pStyle w:val="TextoNormal"/>
      </w:pPr>
    </w:p>
    <w:p w14:paraId="08D03464" w14:textId="77777777" w:rsidR="009D7677" w:rsidRDefault="009D7677" w:rsidP="009D7677">
      <w:pPr>
        <w:pStyle w:val="TextoNormal"/>
      </w:pPr>
      <w:r>
        <w:t>La particular complejidad del proceso penal del que trae causa el presente recurso, así como las numerosas vicisitudes que han caracterizado su tramitación durante más de una década, aconsejan que precisemos los efectos que se derivan de la estimación de la pretensión de amparo. En este punto, los recurrentes solicitan en su demanda (núm. 3 del suplico) que se anule únicamente la orden de retroacción para la repetición del juicio oral contenida en la segunda sentencia de casación, núm. 692/2020, y que se mantenga, en cambio, la declaración de nulidad de la sentencia condenatoria recaída en la instancia. En relación con esta petición, han de hacerse las siguientes consideraciones:</w:t>
      </w:r>
    </w:p>
    <w:p w14:paraId="7E8CB1F1" w14:textId="77777777" w:rsidR="009D7677" w:rsidRDefault="009D7677" w:rsidP="009D7677">
      <w:pPr>
        <w:pStyle w:val="TextoNormal"/>
      </w:pPr>
    </w:p>
    <w:p w14:paraId="624787E5" w14:textId="77777777" w:rsidR="009D7677" w:rsidRDefault="009D7677" w:rsidP="009D7677">
      <w:pPr>
        <w:pStyle w:val="TextoNormal"/>
      </w:pPr>
      <w:r>
        <w:t>a) Al instar la revisión de su condena como consecuencia de la sentencia del Tribunal Europeo de Derechos Humanos de 6 de noviembre de 2018, los ahora recurrentes nunca solicitaron al Tribunal Supremo una reparación de la lesión del derecho al juez imparcial que consistiera en la declaración de nulidad, sin retroacción, de la sentencia condenatoria recaída en la instancia. Tampoco interesaron al Tribunal Supremo que les otorgase alguna satisfacción equitativa (que era la alternativa a la repetición del juicio que realmente contemplaba la resolución del Tribunal Europeo de Derechos Humanos). Se limitaron a solicitar que se declarase la nulidad de la sentencia casacional, petición a la que accedió el Tribunal Supremo en la sentencia núm. 426/2020, de 27 de julio.</w:t>
      </w:r>
    </w:p>
    <w:p w14:paraId="2E2CF9A8" w14:textId="77777777" w:rsidR="009D7677" w:rsidRDefault="009D7677" w:rsidP="009D7677">
      <w:pPr>
        <w:pStyle w:val="TextoNormal"/>
      </w:pPr>
    </w:p>
    <w:p w14:paraId="2ED4404F" w14:textId="77777777" w:rsidR="009D7677" w:rsidRDefault="009D7677" w:rsidP="009D7677">
      <w:pPr>
        <w:pStyle w:val="TextoNormal"/>
      </w:pPr>
      <w:r>
        <w:t>b) Una vez reabierto el trámite casacional, es cierto que la sentencia 692/2020, de 15 de diciembre, anuló, en su fallo, la sentencia condenatoria recurrida en casación, dictada por la Sección Cuarta de la Sala de lo Penal de la Audiencia Nacional. Es claro, sin embargo, que el referido pronunciamiento se encontraba, en la citada sentencia 692/2020, instrumentalmente vinculado a la consiguiente orden de retroacción para la repetición del juicio. La Sala de lo Penal del Tribunal Supremo acordó en la sentencia 692/2020 la nulidad de la sentencia de instancia a los solos efectos de facilitar la repetición del juicio oral, en la consideración, claramente expresada en la fundamentación jurídica de la resolución, de que, en el trámite casacional, se trata de la única vía de reparación posible de la vulneración padecida por los recurrentes. La Sala descartó expresamente que la reparación del derecho fundamental al juez imparcial pudiera consistir en la nulidad de la sentencia de instancia, sin retroacción alguna, en cuanto tal pronunciamiento, materialmente absolutorio, no guardaba correlación con la vulneración puramente procesal denunciada en el recurso de casación. Las nulidades y la retroacción ordenadas por el Tribunal Supremo formaban, en definitiva, un pronunciamiento único, que se materializaba, por razones lógicas, de forma secuencial.</w:t>
      </w:r>
    </w:p>
    <w:p w14:paraId="54F1B1DF" w14:textId="77777777" w:rsidR="009D7677" w:rsidRDefault="009D7677" w:rsidP="009D7677">
      <w:pPr>
        <w:pStyle w:val="TextoNormal"/>
      </w:pPr>
    </w:p>
    <w:p w14:paraId="363BA340" w14:textId="77777777" w:rsidR="009D7677" w:rsidRDefault="009D7677" w:rsidP="009D7677">
      <w:pPr>
        <w:pStyle w:val="TextoNormal"/>
      </w:pPr>
      <w:r>
        <w:t>c) No puede ignorarse, finalmente, que el objeto del presente recurso de amparo versa, exclusivamente, sobre la lesión del derecho a la tutela judicial efectiva (art. 24.1 CE) que derivaría de la celebración de un segundo enjuiciamiento. La tutela a prestar a los recurrentes ha de consistir, por ello, en la proscripción de ese segundo proceso sin que resulte procedente adoptar, en este trámite, una decisión materialmente absolutoria (como sería una nulidad sin retroacción) en relación con el primer enjuiciamiento. Especialmente cuando esa tutela no fue siquiera solicitada ante el Tribunal Supremo, en el recurso de revisión, como forma de reparación del derecho al juez imparcial a efectos de ejecución de la sentencia del Tribunal Europeo de Derechos Humanos de 6 de noviembre de 2018.</w:t>
      </w:r>
    </w:p>
    <w:p w14:paraId="01551E74" w14:textId="77777777" w:rsidR="009D7677" w:rsidRDefault="009D7677" w:rsidP="009D7677">
      <w:pPr>
        <w:pStyle w:val="TextoNormal"/>
      </w:pPr>
    </w:p>
    <w:p w14:paraId="1E692BB0" w14:textId="77777777" w:rsidR="009D7677" w:rsidRDefault="009D7677" w:rsidP="009D7677">
      <w:pPr>
        <w:pStyle w:val="TextoNormal"/>
      </w:pPr>
      <w:r>
        <w:t>Las referidas circunstancias, consideradas en su conjunto, nos llevan a concluir, en relación con los efectos del presente recurso de amparo, lo siguiente:</w:t>
      </w:r>
    </w:p>
    <w:p w14:paraId="5FA33BFB" w14:textId="77777777" w:rsidR="009D7677" w:rsidRDefault="009D7677" w:rsidP="009D7677">
      <w:pPr>
        <w:pStyle w:val="TextoNormal"/>
      </w:pPr>
    </w:p>
    <w:p w14:paraId="23E9EA83" w14:textId="77777777" w:rsidR="009D7677" w:rsidRDefault="009D7677" w:rsidP="009D7677">
      <w:pPr>
        <w:pStyle w:val="TextoNormal"/>
      </w:pPr>
      <w:r>
        <w:t>(i) La nulidad de la sentencia de casación núm. 692/2020, de 15 de diciembre, ha de afectar a todos los pronunciamientos de esta, sin que pueda acogerse la pretensión de los recurrentes de que se proceda únicamente a la anulación de la orden de retroacción con mantenimiento de la declaración de nulidad de la condena de instancia.</w:t>
      </w:r>
    </w:p>
    <w:p w14:paraId="3FC25739" w14:textId="77777777" w:rsidR="009D7677" w:rsidRDefault="009D7677" w:rsidP="009D7677">
      <w:pPr>
        <w:pStyle w:val="TextoNormal"/>
      </w:pPr>
    </w:p>
    <w:p w14:paraId="77678110" w14:textId="77777777" w:rsidR="009D7677" w:rsidRDefault="009D7677" w:rsidP="009D7677">
      <w:pPr>
        <w:pStyle w:val="TextoNormal"/>
      </w:pPr>
      <w:r>
        <w:t>(ii) La declaración de nulidad de todos los pronunciamientos de la sentencia núm. 692/2020 no ha de conllevar retroacción alguna. Una vez que, por propio deseo de los recurrentes, quedó cerrada la posibilidad de celebración de un nuevo enjuiciamiento, y no habiendo estos solicitado otro tipo de satisfacción equitativa, más allá de la ya reconocida en la sentencia del Tribunal Europeo de Derechos Humanos de 6 de noviembre de 2018 (consistente en la declaración de la vulneración del derecho fundamental procesal), una nueva retroacción de actuaciones al Tribunal Supremo para que se dictase una tercera sentencia casacional carecería de todo efecto útil. No puede olvidarse que, de acuerdo con el art. 954.3 LECrim, el recurso de revisión es un mecanismo de reparación excepcional, que solo resulta procedente cuando los efectos de la vulneración persisten y no pueden ser reparados de ningún otro modo.</w:t>
      </w:r>
    </w:p>
    <w:p w14:paraId="1F90418E" w14:textId="77777777" w:rsidR="009D7677" w:rsidRDefault="009D7677" w:rsidP="009D7677">
      <w:pPr>
        <w:pStyle w:val="TextoNormal"/>
      </w:pPr>
    </w:p>
    <w:p w14:paraId="19FED38C" w14:textId="221D4D51" w:rsidR="009D7677" w:rsidRDefault="009D7677" w:rsidP="009D7677">
      <w:pPr>
        <w:pStyle w:val="TextoNormal"/>
      </w:pPr>
      <w:r>
        <w:t>(iii) Lo anterior implica necesariamente el mantenimiento del efecto de cosa juzgada de la condena inicialmente impuesta en la primera sentencia casacional (núm. 351/2012, de 7 de mayo, íntegramente cumplida por los recurrentes). La sentencia de la Sala de lo Penal del Tribunal Supremo núm. 351/2012 mantiene, con ello, en lo que a la condena impuesta y cumplida se refiere y con el complemento de la declaración de vulneración del derecho al juez imparcial realizada por el Tribunal Europeo de Derechos Humanos, su vigencia y plenitud de efectos.</w:t>
      </w:r>
    </w:p>
    <w:p w14:paraId="020A14A0" w14:textId="77777777" w:rsidR="009D7677" w:rsidRDefault="009D7677" w:rsidP="009D7677">
      <w:pPr>
        <w:pStyle w:val="TextoNormal"/>
      </w:pPr>
    </w:p>
    <w:p w14:paraId="1C31C40E" w14:textId="77777777" w:rsidR="009D7677" w:rsidRDefault="009D7677" w:rsidP="009D7677">
      <w:pPr>
        <w:pStyle w:val="TextoNormalCentrado"/>
        <w:keepNext/>
      </w:pPr>
      <w:r>
        <w:t>FALLO</w:t>
      </w:r>
    </w:p>
    <w:p w14:paraId="620B9903" w14:textId="71F9EE24" w:rsidR="009D7677" w:rsidRDefault="009D7677" w:rsidP="009D7677">
      <w:pPr>
        <w:pStyle w:val="TextoNormalCentrado"/>
        <w:keepNext/>
      </w:pPr>
    </w:p>
    <w:p w14:paraId="4ECE9C2D" w14:textId="77777777" w:rsidR="009D7677" w:rsidRDefault="009D7677" w:rsidP="009D7677">
      <w:pPr>
        <w:pStyle w:val="TextoNormal"/>
      </w:pPr>
      <w:r>
        <w:t>En atención a todo lo expuesto, el Tribunal Constitucional, por la autoridad que le confiere la Constitución de la Nación española, ha decidido estimar el recurso de amparo interpuesto por don Arnaldo Otegi Mondragón, don Rafael Díez Usabiaga, doña Sonia Jacinto García, don Arkaitz Rodríguez Torres y doña Miren Zabaleta Tellería y, en su virtud:</w:t>
      </w:r>
    </w:p>
    <w:p w14:paraId="2640C175" w14:textId="77777777" w:rsidR="009D7677" w:rsidRDefault="009D7677" w:rsidP="009D7677">
      <w:pPr>
        <w:pStyle w:val="TextoNormal"/>
      </w:pPr>
    </w:p>
    <w:p w14:paraId="6121FC5D" w14:textId="77777777" w:rsidR="009D7677" w:rsidRDefault="009D7677" w:rsidP="009D7677">
      <w:pPr>
        <w:pStyle w:val="TextoNormal"/>
      </w:pPr>
      <w:r>
        <w:t xml:space="preserve">1º Declarar que ha sido vulnerado su derecho a la tutela judicial efectiva sin indefensión (art. 24.1 CE), en su vertiente de prohibición del </w:t>
      </w:r>
      <w:r w:rsidRPr="009D7677">
        <w:rPr>
          <w:i/>
        </w:rPr>
        <w:t>bis in idem</w:t>
      </w:r>
      <w:r>
        <w:t xml:space="preserve"> procesal.</w:t>
      </w:r>
    </w:p>
    <w:p w14:paraId="4FEEA493" w14:textId="77777777" w:rsidR="009D7677" w:rsidRDefault="009D7677" w:rsidP="009D7677">
      <w:pPr>
        <w:pStyle w:val="TextoNormal"/>
      </w:pPr>
    </w:p>
    <w:p w14:paraId="7DC9D04A" w14:textId="74F336A7" w:rsidR="009D7677" w:rsidRDefault="009D7677" w:rsidP="009D7677">
      <w:pPr>
        <w:pStyle w:val="TextoNormal"/>
      </w:pPr>
      <w:r>
        <w:t>2º Restablecerles en su derecho y, en consecuencia, declarar la nulidad de la sentencia núm. 692/2020, de 15 de diciembre de 2020, del Pleno de la Sala de lo Penal del Tribunal Supremo, que fue dictada en el recurso de casación 11773-2011, con los efectos señalados en el fundamento jurídico 6 de esta sentencia.</w:t>
      </w:r>
    </w:p>
    <w:p w14:paraId="4893524F" w14:textId="77777777" w:rsidR="009D7677" w:rsidRDefault="009D7677" w:rsidP="009D7677">
      <w:pPr>
        <w:pStyle w:val="TextoNormal"/>
      </w:pPr>
    </w:p>
    <w:p w14:paraId="6EA40FF1" w14:textId="77777777" w:rsidR="009D7677" w:rsidRDefault="009D7677" w:rsidP="009D7677">
      <w:pPr>
        <w:pStyle w:val="TextoNormal"/>
      </w:pPr>
      <w:r>
        <w:t>Publíquese esta sentencia en el “Boletín Oficial del Estado”.</w:t>
      </w:r>
    </w:p>
    <w:p w14:paraId="758B29EC" w14:textId="77777777" w:rsidR="009D7677" w:rsidRDefault="009D7677" w:rsidP="009D7677">
      <w:pPr>
        <w:pStyle w:val="TextoNormal"/>
      </w:pPr>
      <w:r>
        <w:t>Dada en Madrid, a diecisiete de enero de dos mil veinticuatro.</w:t>
      </w:r>
    </w:p>
    <w:p w14:paraId="0D12536B" w14:textId="27049314" w:rsidR="009D7677" w:rsidRDefault="009D7677" w:rsidP="009D7677">
      <w:pPr>
        <w:pStyle w:val="ParrafoNormal"/>
      </w:pPr>
    </w:p>
    <w:p w14:paraId="24F23091" w14:textId="77777777" w:rsidR="009D7677" w:rsidRDefault="009D7677" w:rsidP="009D7677">
      <w:pPr>
        <w:pStyle w:val="TextoNormalNegritaCentrado"/>
        <w:keepNext/>
      </w:pPr>
      <w:r>
        <w:t>Voto particular que formulan las magistradas y el magistrado doña Inmaculada Montalbán Huertas, don Ramón Sáez Valcárcel, doña María Luisa Segoviano Astaburuaga y doña Laura Díez Bueso, respecto de la sentencia dictada en el recurso de amparo avocado núm. 645-2021</w:t>
      </w:r>
    </w:p>
    <w:p w14:paraId="6945302B" w14:textId="5D190C1A" w:rsidR="009D7677" w:rsidRDefault="009D7677" w:rsidP="009D7677">
      <w:pPr>
        <w:pStyle w:val="TextoNormalNegritaCentrado"/>
        <w:keepNext/>
      </w:pPr>
    </w:p>
    <w:p w14:paraId="64E17E84" w14:textId="77777777" w:rsidR="009D7677" w:rsidRDefault="009D7677" w:rsidP="009D7677">
      <w:pPr>
        <w:pStyle w:val="TextoNormal"/>
      </w:pPr>
      <w:r>
        <w:t>En el ejercicio de la facultad que nos confiere el art. 90.2 de la Ley Orgánica del Tribunal Constitucional, y con el máximo respeto a los magistrados y magistradas del tribunal, formulamos el presente voto particular.</w:t>
      </w:r>
    </w:p>
    <w:p w14:paraId="027020B8" w14:textId="77777777" w:rsidR="009D7677" w:rsidRDefault="009D7677" w:rsidP="009D7677">
      <w:pPr>
        <w:pStyle w:val="TextoNormal"/>
      </w:pPr>
    </w:p>
    <w:p w14:paraId="50D6D483" w14:textId="77777777" w:rsidR="009D7677" w:rsidRDefault="009D7677" w:rsidP="009D7677">
      <w:pPr>
        <w:pStyle w:val="TextoNormal"/>
      </w:pPr>
      <w:r>
        <w:t>1. Como expusimos en el momento de emitir nuestro voto, estamos plenamente conformes con el fallo de la sentencia en cuanto a la estimación del recurso de amparo, así como con la declaración de nulidad del acuerdo de retroacción de actuaciones para nuevo enjuiciamiento —contenida en la resolución impugnada— por vulnerar el art. 24.1 CE.</w:t>
      </w:r>
    </w:p>
    <w:p w14:paraId="087BE3B4" w14:textId="77777777" w:rsidR="009D7677" w:rsidRDefault="009D7677" w:rsidP="009D7677">
      <w:pPr>
        <w:pStyle w:val="TextoNormal"/>
      </w:pPr>
    </w:p>
    <w:p w14:paraId="0503D87D" w14:textId="77777777" w:rsidR="009D7677" w:rsidRDefault="009D7677" w:rsidP="009D7677">
      <w:pPr>
        <w:pStyle w:val="TextoNormal"/>
      </w:pPr>
      <w:r>
        <w:t>2. Sin embargo, no consideramos razonada la afirmación contenida en el fundamento jurídico 6 de la sentencia según la cual los efectos de la estimación del recurso de amparo incluyen la declaración de cosa juzgada de la condena inicialmente impuesta en la primera sentencia casacional (núm. 351/2012, de 7 de mayo). Tal aseveración no se encuentra fundamentada y no guarda coherencia con el objeto del recurso de amparo, integrado (i) por la pretensión de los recurrentes y (ii) por la sentencia del Tribunal Supremo impugnada (art. 49 LOTC).</w:t>
      </w:r>
    </w:p>
    <w:p w14:paraId="0ECC1FBE" w14:textId="77777777" w:rsidR="009D7677" w:rsidRDefault="009D7677" w:rsidP="009D7677">
      <w:pPr>
        <w:pStyle w:val="TextoNormal"/>
      </w:pPr>
    </w:p>
    <w:p w14:paraId="4DA689AA" w14:textId="77777777" w:rsidR="009D7677" w:rsidRDefault="009D7677" w:rsidP="009D7677">
      <w:pPr>
        <w:pStyle w:val="TextoNormal"/>
      </w:pPr>
      <w:r>
        <w:t>(i) La pretensión de los recurrentes ante este tribunal se recoge en el apartado tercero del suplico de su demanda de amparo y consiste en la declaración de nulidad de la STS núm. 692/2020, de 15 de diciembre, solo en el concreto particular de que se acuerda la retroacción de actuaciones para la celebración de un nuevo juicio oral, en coherencia con que solo ese extremo es el que consideran lesivo del derecho fundamental invocado. Consideramos que la declaración de nulidad de la citada STS núm. 692/2020 debe responder a esta única petición de los recurrentes de amparo. Sin embargo, el fundamento jurídico 6 no argumenta el motivo por el cual extiende los efectos del amparo más allá de esta declaración.</w:t>
      </w:r>
    </w:p>
    <w:p w14:paraId="4BC11D51" w14:textId="77777777" w:rsidR="009D7677" w:rsidRDefault="009D7677" w:rsidP="009D7677">
      <w:pPr>
        <w:pStyle w:val="TextoNormal"/>
      </w:pPr>
    </w:p>
    <w:p w14:paraId="622B4FB2" w14:textId="77777777" w:rsidR="009D7677" w:rsidRDefault="009D7677" w:rsidP="009D7677">
      <w:pPr>
        <w:pStyle w:val="TextoNormal"/>
      </w:pPr>
      <w:r>
        <w:t>(ii) Por su parte, el presente recurso de amparo se ha dirigido contra la STS 692/2020, en la que se resuelve por segunda vez el recurso de casación núm. 11773-2011, tras anularse la primera (núm. 351/2012, de 7 de mayo) por la sentencia núm. 426/2020, de 27 de julio, pronunciada en el recurso de revisión núm. 20335-2019. Esto es, la sentencia impugnada en este recurso de amparo (núm. 692/2020, de 15 de diciembre) no fue la que anuló la primera sentencia de casación (núm. 351/2012, de 7 de mayo). Esa sentencia fue anulada de manera firme y definitiva por la sentencia de revisión (núm. 426/2020, de 27 de julio), que no es objeto de este recurso de amparo ni ha sido impugnada o controvertida en ningún momento ante esta jurisdicción de amparo.</w:t>
      </w:r>
    </w:p>
    <w:p w14:paraId="58DE4B8E" w14:textId="77777777" w:rsidR="009D7677" w:rsidRDefault="009D7677" w:rsidP="009D7677">
      <w:pPr>
        <w:pStyle w:val="TextoNormal"/>
      </w:pPr>
    </w:p>
    <w:p w14:paraId="588B45E9" w14:textId="77777777" w:rsidR="009D7677" w:rsidRDefault="009D7677" w:rsidP="009D7677">
      <w:pPr>
        <w:pStyle w:val="TextoNormal"/>
      </w:pPr>
      <w:r>
        <w:t xml:space="preserve">Pues bien, de nuevo, no se razona en el fundamento jurídico 6 que la extensión de los efectos del amparo deba extenderse más allá de esta sentencia impugnada en amparo. Si la STS 351/2012 fue anulada en firme por una posterior resolución del Tribunal Supremo, que no ha sido controvertida y no es objeto de este recurso de amparo, no se argumenta en </w:t>
      </w:r>
      <w:r>
        <w:lastRenderedPageBreak/>
        <w:t>este fundamento jurídico 6 que con ocasión del presente recurso se le pueda dar efecto de cosa juzgada a esa sentencia.</w:t>
      </w:r>
    </w:p>
    <w:p w14:paraId="66FDEF25" w14:textId="77777777" w:rsidR="009D7677" w:rsidRDefault="009D7677" w:rsidP="009D7677">
      <w:pPr>
        <w:pStyle w:val="TextoNormal"/>
      </w:pPr>
    </w:p>
    <w:p w14:paraId="50EE4BF7" w14:textId="77777777" w:rsidR="009D7677" w:rsidRDefault="009D7677" w:rsidP="009D7677">
      <w:pPr>
        <w:pStyle w:val="TextoNormal"/>
      </w:pPr>
      <w:r>
        <w:t xml:space="preserve">(iii) La pretendida justificación de la extensión de los efectos del presente amparo dada en el fundamento jurídico 6, esto es, evitar un supuesto efecto “materialmente absolutorio”, no nos resulta lo suficientemente convincente porque no existe tal absolución, sino una consecuencia de las garantías constitucionales que limitan el ejercicio de la potestad punitiva. La circunstancia de que la anulación de esa orden de retroacción, en conjunción con la anulación de la sentencia condenatoria de instancia que acordó la resolución impugnada, pudiera implicar formalmente que no exista un pronunciamiento sobre la pretensión punitiva ejercida por las acusaciones es, simplemente, la confirmación de que en este tipo de supuestos, por la vigencia de una de las garantías constitucionales esenciales inherentes al proceso penal como es la prohibición del </w:t>
      </w:r>
      <w:r w:rsidRPr="009D7677">
        <w:rPr>
          <w:i/>
        </w:rPr>
        <w:t>ne bis in idem</w:t>
      </w:r>
      <w:r>
        <w:t>, el Estado ya no tiene oportunidad de proceder a un segundo enjuiciamiento de los demandantes.</w:t>
      </w:r>
    </w:p>
    <w:p w14:paraId="542EF48D" w14:textId="77777777" w:rsidR="009D7677" w:rsidRDefault="009D7677" w:rsidP="009D7677">
      <w:pPr>
        <w:pStyle w:val="TextoNormal"/>
      </w:pPr>
    </w:p>
    <w:p w14:paraId="35B024DB" w14:textId="77777777" w:rsidR="009D7677" w:rsidRDefault="009D7677" w:rsidP="009D7677">
      <w:pPr>
        <w:pStyle w:val="TextoNormal"/>
      </w:pPr>
      <w:r>
        <w:t>En este sentido, cabe recordar que los pronunciamientos señalados en el párrafo anterior traen causa de la sentencia del Tribunal Europeo de Derechos Humanos de 6 de noviembre de 2018, que motivó la interposición por parte de los demandantes de amparo del recurso de revisión previsto en el art. 954.3 LECrim. De conformidad con la competencia que le atribuye el art. 57.1.1 LOPJ, la Sala de lo Penal del Tribunal Supremo dictó la STS 426/2020 estimando el recurso de revisión y anulando la STS 351/2012, cuyos efectos de cosa juzgada se mantienen según lo dispuesto en el fundamento jurídico 6 de esta sentencia de amparo, lo que hubiera requerido una argumentación más prolija que fundamentara esta decisión.</w:t>
      </w:r>
    </w:p>
    <w:p w14:paraId="514BA557" w14:textId="77777777" w:rsidR="009D7677" w:rsidRDefault="009D7677" w:rsidP="009D7677">
      <w:pPr>
        <w:pStyle w:val="TextoNormal"/>
      </w:pPr>
    </w:p>
    <w:p w14:paraId="0E6027DE" w14:textId="77777777" w:rsidR="009D7677" w:rsidRDefault="009D7677" w:rsidP="009D7677">
      <w:pPr>
        <w:pStyle w:val="TextoNormal"/>
      </w:pPr>
      <w:r>
        <w:t xml:space="preserve">3. En suma, y como expusimos en el momento de emitir nuestro voto, estamos plenamente conformes con el fallo de la sentencia en cuanto a la estimación del recurso de amparo y la declaración de nulidad del acuerdo de retroacción de actuaciones para nuevo enjuiciamiento, que contiene la resolución impugnada, por vulnerar el principio de </w:t>
      </w:r>
      <w:r w:rsidRPr="009D7677">
        <w:rPr>
          <w:i/>
        </w:rPr>
        <w:t>ne bis in idem</w:t>
      </w:r>
      <w:r>
        <w:t xml:space="preserve"> procesal (art. 24.1 CE). Sin embargo, no consideramos razonada la afirmación contenida en el fundamento jurídico 6 de la sentencia que extiende los efectos de la estimación del recurso de amparo más allá de su objeto, integrado por la pretensión de los recurrentes y por la sentencia del Tribunal Supremo impugnada (art. 49 LOTC).</w:t>
      </w:r>
    </w:p>
    <w:p w14:paraId="2E3464E9" w14:textId="77777777" w:rsidR="009D7677" w:rsidRDefault="009D7677" w:rsidP="009D7677">
      <w:pPr>
        <w:pStyle w:val="TextoNormal"/>
      </w:pPr>
    </w:p>
    <w:p w14:paraId="7308C0F5" w14:textId="2B0FF9FD" w:rsidR="009D7677" w:rsidRDefault="009D7677" w:rsidP="009D7677">
      <w:pPr>
        <w:pStyle w:val="TextoNormal"/>
      </w:pPr>
      <w:r>
        <w:t>Madrid, a diecisiete de enero de dos mil veinticuatro.</w:t>
      </w:r>
    </w:p>
    <w:p w14:paraId="661CF8BB" w14:textId="77777777" w:rsidR="009D7677" w:rsidRDefault="009D7677" w:rsidP="009D7677">
      <w:pPr>
        <w:pStyle w:val="TextoNormal"/>
      </w:pPr>
    </w:p>
    <w:p w14:paraId="4EB8B8FE" w14:textId="77777777" w:rsidR="009D7677" w:rsidRDefault="009D7677" w:rsidP="009D7677">
      <w:pPr>
        <w:pStyle w:val="TextoNormalNegritaCentrado"/>
        <w:keepNext/>
      </w:pPr>
      <w:r>
        <w:t>Voto particular que formulan los magistrados don Ricardo Enríquez Sancho y don Enrique Arnaldo Alcubilla y la magistrada doña Concepción Espejel Jorquera a la sentencia dictada en el recurso de amparo núm. 645-2021</w:t>
      </w:r>
    </w:p>
    <w:p w14:paraId="261BC8C1" w14:textId="12F150E2" w:rsidR="009D7677" w:rsidRDefault="009D7677" w:rsidP="009D7677">
      <w:pPr>
        <w:pStyle w:val="TextoNormalNegritaCentrado"/>
        <w:keepNext/>
      </w:pPr>
    </w:p>
    <w:p w14:paraId="4F2605BB" w14:textId="77777777" w:rsidR="009D7677" w:rsidRDefault="009D7677" w:rsidP="009D7677">
      <w:pPr>
        <w:pStyle w:val="TextoNormal"/>
      </w:pPr>
      <w:r>
        <w:t xml:space="preserve">En el ejercicio de la facultad que nos confiere el artículo 90.2 de la Ley Orgánica del Tribunal Constitucional (LOTC), y con el máximo respeto a la opinión de la mayoría, formulamos el presente voto particular por discrepar de la fundamentación y del fallo de la sentencia recaída en el recurso de amparo núm. 645-2021, que ha conducido a la estimación de la demanda por vulneración del derecho a la tutela judicial efectiva sin indefensión, en su vertiente de prohibición de </w:t>
      </w:r>
      <w:r w:rsidRPr="009D7677">
        <w:rPr>
          <w:i/>
        </w:rPr>
        <w:t>bis in idem</w:t>
      </w:r>
      <w:r>
        <w:t xml:space="preserve"> procesal, y en la declaración de nulidad de la sentencia núm. 692/2020, de 15 de diciembre, del Pleno de la Sala de lo Penal del </w:t>
      </w:r>
      <w:r>
        <w:lastRenderedPageBreak/>
        <w:t>Tribunal Supremo, dictada en el recurso de casación núm. 11773-2011, con los efectos señalados en el fundamento jurídico 6 de la sentencia de amparo.</w:t>
      </w:r>
    </w:p>
    <w:p w14:paraId="7A947A03" w14:textId="77777777" w:rsidR="009D7677" w:rsidRDefault="009D7677" w:rsidP="009D7677">
      <w:pPr>
        <w:pStyle w:val="TextoNormal"/>
      </w:pPr>
    </w:p>
    <w:p w14:paraId="526D579D" w14:textId="77777777" w:rsidR="009D7677" w:rsidRDefault="009D7677" w:rsidP="009D7677">
      <w:pPr>
        <w:pStyle w:val="TextoNormal"/>
      </w:pPr>
      <w:r>
        <w:t xml:space="preserve">1. </w:t>
      </w:r>
      <w:r w:rsidRPr="009D7677">
        <w:rPr>
          <w:i/>
        </w:rPr>
        <w:t>Concurrencia del óbice procesal de falta de agotamiento de la vía judicial previa</w:t>
      </w:r>
    </w:p>
    <w:p w14:paraId="3B2C0A58" w14:textId="77777777" w:rsidR="009D7677" w:rsidRDefault="009D7677" w:rsidP="009D7677">
      <w:pPr>
        <w:pStyle w:val="TextoNormal"/>
      </w:pPr>
    </w:p>
    <w:p w14:paraId="280156DB" w14:textId="77777777" w:rsidR="009D7677" w:rsidRDefault="009D7677" w:rsidP="009D7677">
      <w:pPr>
        <w:pStyle w:val="TextoNormal"/>
      </w:pPr>
      <w:r>
        <w:t>Consideramos, en primer lugar, que el recurso debió ser inadmitido por falta de agotamiento de la vía judicial previa, [art. 50.1 a) en relación con el art. 44.1 a) LOTC].</w:t>
      </w:r>
    </w:p>
    <w:p w14:paraId="502A108A" w14:textId="77777777" w:rsidR="009D7677" w:rsidRDefault="009D7677" w:rsidP="009D7677">
      <w:pPr>
        <w:pStyle w:val="TextoNormal"/>
      </w:pPr>
    </w:p>
    <w:p w14:paraId="7B0A8726" w14:textId="77777777" w:rsidR="009D7677" w:rsidRDefault="009D7677" w:rsidP="009D7677">
      <w:pPr>
        <w:pStyle w:val="TextoNormal"/>
      </w:pPr>
      <w:r>
        <w:t>Entre otras muchas, la STC 152/2001, de 2 de julio, FJ 5, recuerda que “es preciso indagar si el recurrente ha observado o no los requisitos legalmente establecidos para el recurso de amparo, cuestión de orden público susceptible de análisis en el momento de [dictar] sentencia, aunque el eventual defecto no se hubiese advertido en el trámite de admisión (por todas STC 201/2000, de 24 de julio, FFJJ 2 y 3)”.</w:t>
      </w:r>
    </w:p>
    <w:p w14:paraId="5032F30F" w14:textId="77777777" w:rsidR="009D7677" w:rsidRDefault="009D7677" w:rsidP="009D7677">
      <w:pPr>
        <w:pStyle w:val="TextoNormal"/>
      </w:pPr>
    </w:p>
    <w:p w14:paraId="5ACFC885" w14:textId="77777777" w:rsidR="009D7677" w:rsidRDefault="009D7677" w:rsidP="009D7677">
      <w:pPr>
        <w:pStyle w:val="TextoNormal"/>
      </w:pPr>
      <w:r>
        <w:t>Señala igualmente dicha STC 152/2001, FJ 5, que “el requisito establecido en el art. 44.1 c) LOTC (‘Que se haya invocado formalmente en el proceso el derecho constitucional vulnerado, tan pronto, una vez conocida la violación, hubiere lugar para ello’) […] es especialmente riguroso en su formulación, pues no se limita a exigir la invocación de la violación del derecho fundamental en el proceso, sino que precisa que dicha invocación se produzca ‘tan pronto, una vez conocida la violación, hubiere lugar para ello’. Lo que se suscita en este caso es si el momento de la alegación fue el que la Ley exige o si hubo una demora inaceptable, en cuyo caso la inobservancia del requisito determinaría la inadmisibilidad de la demanda de amparo. […] [E]l análisis de la puntualidad de la invocación de la lesión no tiene que ver con un mero formalismo, sino con algo mucho más sustantivo, como es la propia razón de ser sustancial del requisito, y con la exigencia de buena fe en el comportamiento procesal, exigencia establecida en el art. 11.1 LOPJ [Ley Orgánica del Poder Judicial], con la consecuencia, impuesta en el apartado 2 del propio artículo, que es de aplicación supletoria en el proceso constitucional de amparo, según lo dispuesto en el art. 80 de la Ley Orgánica rectora de este Tribunal”.</w:t>
      </w:r>
    </w:p>
    <w:p w14:paraId="426E5E10" w14:textId="77777777" w:rsidR="009D7677" w:rsidRDefault="009D7677" w:rsidP="009D7677">
      <w:pPr>
        <w:pStyle w:val="TextoNormal"/>
      </w:pPr>
    </w:p>
    <w:p w14:paraId="5DDD3389" w14:textId="77777777" w:rsidR="009D7677" w:rsidRDefault="009D7677" w:rsidP="009D7677">
      <w:pPr>
        <w:pStyle w:val="TextoNormal"/>
      </w:pPr>
      <w:r>
        <w:t>En el caso examinado la vulneración alegada por los demandantes (art. 24.1 CE en su vertiente de prohibición de doble enjuiciamiento) se atribuye a la orden de retroacción de las actuaciones para la celebración de un nuevo juicio oral, contenida en la sentencia 692/2020, de 15 de diciembre, dictada en casación por la Sala de lo Penal del Tribunal Supremo, por lo que era preceptivo haber promovido incidente de nulidad de actuaciones (art. 241 LOPJ), a fin de preservar la subsidiariedad de esta jurisdicción constitucional. Al no haberse interpuesto incidente de nulidad de actuaciones el recurso era inadmisible [SSTC 45/2020, de 9 de marzo, FJ único; 107/2021, de 13 de mayo, FJ 2 b); 147/2022, de 29 de noviembre, FJ 2 b), y 87/2023, de 17 de julio, FJ 2].</w:t>
      </w:r>
    </w:p>
    <w:p w14:paraId="7BE9D8B7" w14:textId="77777777" w:rsidR="009D7677" w:rsidRDefault="009D7677" w:rsidP="009D7677">
      <w:pPr>
        <w:pStyle w:val="TextoNormal"/>
      </w:pPr>
    </w:p>
    <w:p w14:paraId="12F495DF" w14:textId="77777777" w:rsidR="009D7677" w:rsidRDefault="009D7677" w:rsidP="009D7677">
      <w:pPr>
        <w:pStyle w:val="TextoNormal"/>
      </w:pPr>
      <w:r>
        <w:t>Ninguna razón concurre para sostener que en el presente caso no concurre el óbice de falta de agotamiento de la vía judicial [art. 44.1 a) LOTC].</w:t>
      </w:r>
    </w:p>
    <w:p w14:paraId="71B1F7D7" w14:textId="77777777" w:rsidR="009D7677" w:rsidRDefault="009D7677" w:rsidP="009D7677">
      <w:pPr>
        <w:pStyle w:val="TextoNormal"/>
      </w:pPr>
    </w:p>
    <w:p w14:paraId="71851263" w14:textId="77777777" w:rsidR="009D7677" w:rsidRDefault="009D7677" w:rsidP="009D7677">
      <w:pPr>
        <w:pStyle w:val="TextoNormal"/>
      </w:pPr>
      <w:r>
        <w:t>De una parte, resulta irrelevante que los demandantes de amparo pusieran preventivamente de manifiesto, al cumplimentar el trámite de alegaciones conferido a las partes en la providencia de 25 de septiembre de 2020, que una eventual orden de retroacción para la celebración de un nuevo juicio implicaría la “lesión al derecho a no ser enjuiciado dos veces por los mismos hechos”. Este argumento, alegado por los demandantes y el Ministe</w:t>
      </w:r>
      <w:r>
        <w:lastRenderedPageBreak/>
        <w:t>rio Fiscal, no puede ser acogido pues es doctrina de este tribunal que la mera “alegación preventiva de lesión” no exime del planteamiento del incidente de nulidad de actuaciones (ATC 10/2010, de 25 de enero, FJ único). Así lo reconoce la sentencia de la que discrepamos (fundamento jurídico 2).</w:t>
      </w:r>
    </w:p>
    <w:p w14:paraId="5FBF9126" w14:textId="77777777" w:rsidR="009D7677" w:rsidRDefault="009D7677" w:rsidP="009D7677">
      <w:pPr>
        <w:pStyle w:val="TextoNormal"/>
      </w:pPr>
    </w:p>
    <w:p w14:paraId="5B79E373" w14:textId="77777777" w:rsidR="009D7677" w:rsidRDefault="009D7677" w:rsidP="009D7677">
      <w:pPr>
        <w:pStyle w:val="TextoNormal"/>
      </w:pPr>
      <w:r>
        <w:t>De otra parte, tampoco se puede sustentar que no concurre dicho óbice procesal, tal y como hace la sentencia aprobada por la mayoría, en el hecho de que la diligencia de ordenación de 17 de diciembre de 2020 expresó que la sentencia a notificar era firme y que contra ella podía interponerse, en su caso, recurso de amparo dentro de los treinta días siguientes, sin que dicha providencia efectuase, en cambio, mención alguna a la posibilidad de promover incidente de nulidad de actuaciones.</w:t>
      </w:r>
    </w:p>
    <w:p w14:paraId="1CA4CB18" w14:textId="77777777" w:rsidR="009D7677" w:rsidRDefault="009D7677" w:rsidP="009D7677">
      <w:pPr>
        <w:pStyle w:val="TextoNormal"/>
      </w:pPr>
    </w:p>
    <w:p w14:paraId="41A7BFA3" w14:textId="77777777" w:rsidR="009D7677" w:rsidRDefault="009D7677" w:rsidP="009D7677">
      <w:pPr>
        <w:pStyle w:val="TextoNormal"/>
      </w:pPr>
      <w:r>
        <w:t>Es bien conocida la doctrina constitucional relativa a la errónea indicación del órgano judicial consignada en la instrucción de recursos a que se refiere el art. 248.4 LOPJ, de la que es exponente la STC 241/2006, de 20 de julio, FJ 3, reiterada con posterioridad. Dicha doctrina pretendía orientar a los recurrentes en el agotamiento de la vía judicial previa al recurso de amparo. No puede ser compartido que el hecho de que se ofrezca innecesariamente la posibilidad de interponer recurso de amparo, permita diluir el principio de subsidiariedad que rige la actuación del Tribunal Constitucional en la defensa de derechos fundamentales, permitiendo al recurrente la no interposición de un remedio procesal idóneo para reparar la lesión que se trata de combatir cometida en una resolución judicial firme, con mayor razón cuando el recurrente actúa asistido de abogado y la doctrina constitucional es inequívoca en este punto. Como ya dijo este tribunal en la citada sentencia 241/2006, FJ 3, “es obvio que en cuanto la instrucción de recursos constituye una simple información al interesado, este no está obligado a seguirla si la considera errónea”.</w:t>
      </w:r>
    </w:p>
    <w:p w14:paraId="639FA67E" w14:textId="77777777" w:rsidR="009D7677" w:rsidRDefault="009D7677" w:rsidP="009D7677">
      <w:pPr>
        <w:pStyle w:val="TextoNormal"/>
      </w:pPr>
    </w:p>
    <w:p w14:paraId="25A25BC6" w14:textId="77777777" w:rsidR="009D7677" w:rsidRDefault="009D7677" w:rsidP="009D7677">
      <w:pPr>
        <w:pStyle w:val="TextoNormal"/>
      </w:pPr>
      <w:r>
        <w:t>El hecho de que no se haga mención en la citada diligencia de ordenación de la posibilidad de plantear este incidente debe considerarse irrelevante y no exime de su planteamiento conforme dispone el citado art. 241 LOPJ y su concordante art. 44.1 a) LOTC, tal como viene siendo interpretado de forma constante por este tribunal.</w:t>
      </w:r>
    </w:p>
    <w:p w14:paraId="16510EC5" w14:textId="77777777" w:rsidR="009D7677" w:rsidRDefault="009D7677" w:rsidP="009D7677">
      <w:pPr>
        <w:pStyle w:val="TextoNormal"/>
      </w:pPr>
    </w:p>
    <w:p w14:paraId="27D93B91" w14:textId="77777777" w:rsidR="009D7677" w:rsidRDefault="009D7677" w:rsidP="009D7677">
      <w:pPr>
        <w:pStyle w:val="TextoNormal"/>
      </w:pPr>
      <w:r>
        <w:t>Este contexto normativo y jurisprudencial necesariamente debía ser conocido por la asistencia letrada de los recurrentes. Como declara el ATC 23/2011, de 28 de febrero, FJ 3, “[h]emos dicho en más de una ocasión (por ejemplo, en el ATC 80/1999, de 8 de abril), que las partes que intervienen en un proceso no pueden desentenderse de su ordenación legal, estando obligadas a cumplir con diligencia los deberes procesales que pesan sobre ellas o a padecer las consecuencias jurídicas ligadas a la omisión del levantamiento de las cargas procesales que aquella ordenación establezca. Mucho menos pueden hacerlo quienes interponen un recurso, como el de amparo, que hemos calificado reiteradamente (en los AATC 72/2003, de 27 de febrero, y 10/2010, de 25 de enero, entre otras resoluciones) de extraordinario o excepcional y que, como tal, exige una especial diligencia en quien lo promueve y en quienes profesionalmente lo representan y defienden, que en este caso no se ha observado”.</w:t>
      </w:r>
    </w:p>
    <w:p w14:paraId="43AA9FF5" w14:textId="77777777" w:rsidR="009D7677" w:rsidRDefault="009D7677" w:rsidP="009D7677">
      <w:pPr>
        <w:pStyle w:val="TextoNormal"/>
      </w:pPr>
    </w:p>
    <w:p w14:paraId="6F4C6069" w14:textId="77777777" w:rsidR="009D7677" w:rsidRDefault="009D7677" w:rsidP="009D7677">
      <w:pPr>
        <w:pStyle w:val="TextoNormal"/>
      </w:pPr>
      <w:r>
        <w:t>La conclusión que se desprende es que el recurso de amparo debió ser inadmitido por falta de agotamiento de la vía judicial previa, en virtud del art. 44.1 a) LOTC.</w:t>
      </w:r>
    </w:p>
    <w:p w14:paraId="19CEE79C" w14:textId="77777777" w:rsidR="009D7677" w:rsidRDefault="009D7677" w:rsidP="009D7677">
      <w:pPr>
        <w:pStyle w:val="TextoNormal"/>
      </w:pPr>
    </w:p>
    <w:p w14:paraId="6DB71620" w14:textId="77777777" w:rsidR="009D7677" w:rsidRDefault="009D7677" w:rsidP="009D7677">
      <w:pPr>
        <w:pStyle w:val="TextoNormal"/>
      </w:pPr>
      <w:r>
        <w:lastRenderedPageBreak/>
        <w:t xml:space="preserve">2. </w:t>
      </w:r>
      <w:r w:rsidRPr="009D7677">
        <w:rPr>
          <w:i/>
        </w:rPr>
        <w:t>Consideraciones generales sobre la declaración de nulidad de sentencias con retroacción de actuaciones para la celebración de nuevo juicio oral - Inexistencia de vulneración del principio</w:t>
      </w:r>
      <w:r>
        <w:t xml:space="preserve"> non bis in ide</w:t>
      </w:r>
      <w:r w:rsidRPr="009D7677">
        <w:rPr>
          <w:i/>
        </w:rPr>
        <w:t>m proces</w:t>
      </w:r>
      <w:r>
        <w:t>al</w:t>
      </w:r>
    </w:p>
    <w:p w14:paraId="4E731F62" w14:textId="77777777" w:rsidR="009D7677" w:rsidRDefault="009D7677" w:rsidP="009D7677">
      <w:pPr>
        <w:pStyle w:val="TextoNormal"/>
      </w:pPr>
    </w:p>
    <w:p w14:paraId="6BBA22A5" w14:textId="77777777" w:rsidR="009D7677" w:rsidRDefault="009D7677" w:rsidP="009D7677">
      <w:pPr>
        <w:pStyle w:val="TextoNormal"/>
      </w:pPr>
      <w:r>
        <w:t>A fin de centrar las razones de nuestra discrepancia con la decisión de la mayoría del Tribunal, exponemos de forma sintética el marco jurídico en que se encuadra la sentencia impugnada y su conformidad con el derecho fundamental a la tutela judicial efectiva (art. 24.1 CE), en relación con el principio d</w:t>
      </w:r>
      <w:r w:rsidRPr="009D7677">
        <w:rPr>
          <w:i/>
        </w:rPr>
        <w:t>e non bis in id</w:t>
      </w:r>
      <w:r>
        <w:t>em procesal.</w:t>
      </w:r>
    </w:p>
    <w:p w14:paraId="6D403C9A" w14:textId="77777777" w:rsidR="009D7677" w:rsidRDefault="009D7677" w:rsidP="009D7677">
      <w:pPr>
        <w:pStyle w:val="TextoNormal"/>
      </w:pPr>
    </w:p>
    <w:p w14:paraId="498D8760" w14:textId="77777777" w:rsidR="009D7677" w:rsidRDefault="009D7677" w:rsidP="009D7677">
      <w:pPr>
        <w:pStyle w:val="TextoNormal"/>
      </w:pPr>
      <w:r>
        <w:t>A) Régimen jurídico de la Ley de enjuiciamiento criminal</w:t>
      </w:r>
    </w:p>
    <w:p w14:paraId="776E0A3E" w14:textId="77777777" w:rsidR="009D7677" w:rsidRDefault="009D7677" w:rsidP="009D7677">
      <w:pPr>
        <w:pStyle w:val="TextoNormal"/>
      </w:pPr>
    </w:p>
    <w:p w14:paraId="6F881E08" w14:textId="77777777" w:rsidR="009D7677" w:rsidRDefault="009D7677" w:rsidP="009D7677">
      <w:pPr>
        <w:pStyle w:val="TextoNormal"/>
      </w:pPr>
      <w:r>
        <w:t xml:space="preserve">a) No es extraña a nuestro proceso penal la posibilidad de declaración de nulidad de actuaciones por infracciones insubsanables de naturaleza procesal, que determinan la retroacción de actuaciones a un momento procesal anterior, que en función del momento en que se produce la infracción, se limitará al momento anterior a dictar sentencia o al momento anterior a la celebración del juicio (lo que ha sido denominado en el ámbito del recurso de casación quebrantamientos de forma </w:t>
      </w:r>
      <w:r w:rsidRPr="009D7677">
        <w:rPr>
          <w:i/>
        </w:rPr>
        <w:t>in iudicando</w:t>
      </w:r>
      <w:r>
        <w:t xml:space="preserve"> o quebrantamientos de forma </w:t>
      </w:r>
      <w:r w:rsidRPr="009D7677">
        <w:rPr>
          <w:i/>
        </w:rPr>
        <w:t>in procedendo</w:t>
      </w:r>
      <w:r>
        <w:t>). Dadas las circunstancias del caso, nos centraremos en estos últimos.</w:t>
      </w:r>
    </w:p>
    <w:p w14:paraId="7802D044" w14:textId="77777777" w:rsidR="009D7677" w:rsidRDefault="009D7677" w:rsidP="009D7677">
      <w:pPr>
        <w:pStyle w:val="TextoNormal"/>
      </w:pPr>
    </w:p>
    <w:p w14:paraId="1AF2931F" w14:textId="77777777" w:rsidR="009D7677" w:rsidRDefault="009D7677" w:rsidP="009D7677">
      <w:pPr>
        <w:pStyle w:val="TextoNormal"/>
      </w:pPr>
      <w:r>
        <w:t>b) La regulación del recurso de apelación prevé de forma expresa, como efecto de la sentencia estimatoria, la posibilidad de retroacción de actuaciones para celebración de nuevo juicio en los apartados 2 y 3 del art. 790 LECrim —y, por remisión, los arts. 803.1 y 976.2 LECrim—, cuando es un juzgado el órgano sentenciador en primera instancia, distinguiendo entre determinados supuestos de error en la valoración de la prueba cometido en sentencia absolutoria, y aquellos otros de quebrantamiento de formas esenciales del procedimiento, con efecto de reponer la causa al estado en que se encontraba en el momento de cometerse la falta.</w:t>
      </w:r>
    </w:p>
    <w:p w14:paraId="73EC3481" w14:textId="77777777" w:rsidR="009D7677" w:rsidRDefault="009D7677" w:rsidP="009D7677">
      <w:pPr>
        <w:pStyle w:val="TextoNormal"/>
      </w:pPr>
    </w:p>
    <w:p w14:paraId="10B5CD25" w14:textId="77777777" w:rsidR="009D7677" w:rsidRDefault="009D7677" w:rsidP="009D7677">
      <w:pPr>
        <w:pStyle w:val="TextoNormal"/>
      </w:pPr>
      <w:r>
        <w:t xml:space="preserve">En los supuestos de tribunales colegiados sentenciadores en primera instancia, la revocación en apelación de la sentencia y reenvío para celebración de nuevo juicio está prevista en el art. 846 </w:t>
      </w:r>
      <w:r w:rsidRPr="009D7677">
        <w:rPr>
          <w:i/>
        </w:rPr>
        <w:t>bis</w:t>
      </w:r>
      <w:r>
        <w:t xml:space="preserve"> f) LECrim, para el caso, entre otros, de haberse incurrido en el procedimiento en quebrantamiento de las normas y garantías procesales causante de indefensión.</w:t>
      </w:r>
    </w:p>
    <w:p w14:paraId="6EB43435" w14:textId="77777777" w:rsidR="009D7677" w:rsidRDefault="009D7677" w:rsidP="009D7677">
      <w:pPr>
        <w:pStyle w:val="TextoNormal"/>
      </w:pPr>
    </w:p>
    <w:p w14:paraId="41912242" w14:textId="77777777" w:rsidR="009D7677" w:rsidRDefault="009D7677" w:rsidP="009D7677">
      <w:pPr>
        <w:pStyle w:val="TextoNormal"/>
      </w:pPr>
      <w:r>
        <w:t xml:space="preserve">c) En cuanto al recurso de casación y en lo que ahora interesa respecto a la garantía del juez imparcial, el art. 851.6 LECrim prevé, como motivo de casación por quebrantamiento de forma, que haya concurrido a dictar sentencia algún magistrado cuya recusación, intentada en tiempo y forma, y fundada en causa legal, se hubiese rechazado. Conectado lo anterior con la sentencia dictada en casación, el art. 901 </w:t>
      </w:r>
      <w:r w:rsidRPr="009D7677">
        <w:rPr>
          <w:i/>
        </w:rPr>
        <w:t>bis</w:t>
      </w:r>
      <w:r>
        <w:t xml:space="preserve"> a) LECrim dispone que la estimación de motivos por quebrantamiento de forma tendrá como efecto la devolución de la causa al tribunal de que proceda para que, reponiéndola al estado que tenía cuando se cometió la falta, la sustancie y termine con arreglo a Derecho.</w:t>
      </w:r>
    </w:p>
    <w:p w14:paraId="520064C2" w14:textId="77777777" w:rsidR="009D7677" w:rsidRDefault="009D7677" w:rsidP="009D7677">
      <w:pPr>
        <w:pStyle w:val="TextoNormal"/>
      </w:pPr>
    </w:p>
    <w:p w14:paraId="7740A253" w14:textId="77777777" w:rsidR="009D7677" w:rsidRDefault="009D7677" w:rsidP="009D7677">
      <w:pPr>
        <w:pStyle w:val="TextoNormal"/>
      </w:pPr>
      <w:r>
        <w:t>Como cabe extraer de esta regulación, la infracción de garantías procesales que la Constitución reconoce como derechos fundamentales y que se proyectan sobre el juicio, entre la que se encuentra la garantía del juez imparcial, es causa de revocación no solo de la sentencia impugnada, sino que la nulidad declarada alcanza al acto del juicio, cuya validez se erige en presupuesto necesario de la decisión de fondo. Resulta, por tanto, ineludi</w:t>
      </w:r>
      <w:r>
        <w:lastRenderedPageBreak/>
        <w:t>ble la retroacción de actuaciones con celebración de un nuevo juicio que, con observancia de las garantías procesales, sitúe al órgano sentenciador en disposición de dictar sentencia. Así se viene aplicando de modo constante por los tribunales del orden penal y es doctrina consolidada de la Sala de lo Penal del Tribunal Supremo.</w:t>
      </w:r>
    </w:p>
    <w:p w14:paraId="6E043CD3" w14:textId="77777777" w:rsidR="009D7677" w:rsidRDefault="009D7677" w:rsidP="009D7677">
      <w:pPr>
        <w:pStyle w:val="TextoNormal"/>
      </w:pPr>
    </w:p>
    <w:p w14:paraId="4F65A020" w14:textId="77777777" w:rsidR="009D7677" w:rsidRDefault="009D7677" w:rsidP="009D7677">
      <w:pPr>
        <w:pStyle w:val="TextoNormal"/>
      </w:pPr>
      <w:r>
        <w:t>La doctrina casacional en esta materia es uniforme: estimada la vulneración del derecho a un juez imparcial, es casada y anulada la sentencia recurrida en casación, con retroacción de las actuaciones al momento de señalamiento del juicio, que habrá de ser celebrado por magistrados distintos. Así se acordó, entre otras muchas, en SSTS 53/2016, de 3 de febrero; 856/2013, de 12 de noviembre; 883/2012, de 24 de octubre, y 31/2011, de 2 de febrero, y STC 169/2004, de 6 de octubre.</w:t>
      </w:r>
    </w:p>
    <w:p w14:paraId="4E9C84A2" w14:textId="77777777" w:rsidR="009D7677" w:rsidRDefault="009D7677" w:rsidP="009D7677">
      <w:pPr>
        <w:pStyle w:val="TextoNormal"/>
      </w:pPr>
    </w:p>
    <w:p w14:paraId="3CA1BD23" w14:textId="77777777" w:rsidR="009D7677" w:rsidRDefault="009D7677" w:rsidP="009D7677">
      <w:pPr>
        <w:pStyle w:val="TextoNormal"/>
      </w:pPr>
      <w:r>
        <w:t>B) Doctrina de este Tribunal Constitucional</w:t>
      </w:r>
    </w:p>
    <w:p w14:paraId="2689193C" w14:textId="77777777" w:rsidR="009D7677" w:rsidRDefault="009D7677" w:rsidP="009D7677">
      <w:pPr>
        <w:pStyle w:val="TextoNormal"/>
      </w:pPr>
    </w:p>
    <w:p w14:paraId="70D01C36" w14:textId="77777777" w:rsidR="009D7677" w:rsidRDefault="009D7677" w:rsidP="009D7677">
      <w:pPr>
        <w:pStyle w:val="TextoNormal"/>
      </w:pPr>
      <w:r>
        <w:t>Los precedentes de este tribunal admiten la retroacción de actuaciones para la celebración de nuevo juicio y rechazan que ello se oponga a la proscripción de</w:t>
      </w:r>
      <w:r w:rsidRPr="009D7677">
        <w:rPr>
          <w:i/>
        </w:rPr>
        <w:t>l bis in id</w:t>
      </w:r>
      <w:r>
        <w:t>em procesal.</w:t>
      </w:r>
    </w:p>
    <w:p w14:paraId="30517574" w14:textId="77777777" w:rsidR="009D7677" w:rsidRDefault="009D7677" w:rsidP="009D7677">
      <w:pPr>
        <w:pStyle w:val="TextoNormal"/>
      </w:pPr>
    </w:p>
    <w:p w14:paraId="55CD74E0" w14:textId="77777777" w:rsidR="009D7677" w:rsidRDefault="009D7677" w:rsidP="009D7677">
      <w:pPr>
        <w:pStyle w:val="TextoNormal"/>
      </w:pPr>
      <w:r>
        <w:t>Sin ánimo de exhaustividad, cabe citar, en primer lugar, la STC 245/1991, de 16 de diciembre, FJ 6, —a la que se remite de forma expresa la sentencia recurrida en amparo en su fundamento de Derecho 3.1—, la cual declara, en lo que ahora concierne en un caso de sentencia condenatoria, que:</w:t>
      </w:r>
    </w:p>
    <w:p w14:paraId="76E4ECDE" w14:textId="77777777" w:rsidR="009D7677" w:rsidRDefault="009D7677" w:rsidP="009D7677">
      <w:pPr>
        <w:pStyle w:val="TextoNormal"/>
      </w:pPr>
    </w:p>
    <w:p w14:paraId="0DE308D3" w14:textId="77777777" w:rsidR="009D7677" w:rsidRDefault="009D7677" w:rsidP="009D7677">
      <w:pPr>
        <w:pStyle w:val="TextoNormal"/>
      </w:pPr>
      <w:r>
        <w:t>“Conforme al art. 55.1 a) LOTC, la declaración de la nulidad de la decisión que haya impedido el pleno ejercicio de los derechos o libertades protegidas se ha de realizar ‘con determinación, en su caso, de la extensión de sus efectos’. En el proceso público con todas las garantías, para restablecer ese derecho la declaración de nulidad de la sentencia del Tribunal Supremo de 1990 y de las sentencias de la Audiencia Nacional y del Tribunal Supremo de 1982, ha de venir acompañada de la retroacción de las actuaciones al momento de la celebración del juicio, para que este se lleve a cabo de nuevo, con todas las garantías constitucionalmente exigibles.</w:t>
      </w:r>
    </w:p>
    <w:p w14:paraId="0A24D9CD" w14:textId="77777777" w:rsidR="009D7677" w:rsidRDefault="009D7677" w:rsidP="009D7677">
      <w:pPr>
        <w:pStyle w:val="TextoNormal"/>
      </w:pPr>
    </w:p>
    <w:p w14:paraId="3205A48D" w14:textId="77777777" w:rsidR="009D7677" w:rsidRDefault="009D7677" w:rsidP="009D7677">
      <w:pPr>
        <w:pStyle w:val="TextoNormal"/>
      </w:pPr>
      <w:r>
        <w:t>Dado que lo que se remedian son vicios esenciales del procedimiento, quebrantamientos de forma, lo que corresponde pues, como este tribunal viene haciendo en supuestos similares de defectos sustanciales en el procedimiento, y es la práctica común de nuestra jurisdicción penal, es reponer los autos al estado y momento en que se encontraban cuando se cometieron las faltas de las que derivó la infracción constitucional y la consecuente invalidez del proceso, esto es al momento del inicio de las sesiones del juicio oral, pues en su transcurso fue donde se produjeron las consiguientes infracciones”.</w:t>
      </w:r>
    </w:p>
    <w:p w14:paraId="4DB54FC9" w14:textId="77777777" w:rsidR="009D7677" w:rsidRDefault="009D7677" w:rsidP="009D7677">
      <w:pPr>
        <w:pStyle w:val="TextoNormal"/>
      </w:pPr>
    </w:p>
    <w:p w14:paraId="387D6FA7" w14:textId="77777777" w:rsidR="009D7677" w:rsidRDefault="009D7677" w:rsidP="009D7677">
      <w:pPr>
        <w:pStyle w:val="TextoNormal"/>
      </w:pPr>
      <w:r>
        <w:t>Este precedente es citado en las SSTC 313/2005, de 12 de diciembre, FJ 2 b); 240/2005, de 10 de octubre, FJ 3 b), y 197/2006, de 3 de julio, FJ 4, si bien es en el segundo de ellos donde la doctrina es plenamente aplicable con efecto de retroacción de las actuaciones penales ante el propio órgano judicial que cometió la infracción.</w:t>
      </w:r>
    </w:p>
    <w:p w14:paraId="5E9D27DF" w14:textId="77777777" w:rsidR="009D7677" w:rsidRDefault="009D7677" w:rsidP="009D7677">
      <w:pPr>
        <w:pStyle w:val="TextoNormal"/>
      </w:pPr>
    </w:p>
    <w:p w14:paraId="4CE6E726" w14:textId="77777777" w:rsidR="009D7677" w:rsidRDefault="009D7677" w:rsidP="009D7677">
      <w:pPr>
        <w:pStyle w:val="TextoNormal"/>
      </w:pPr>
      <w:r>
        <w:t xml:space="preserve">Es muy reiterada la doctrina de este tribunal que considera que la vulneración del derecho a la tutela judicial efectiva por no ser respetada la garantía de interdicción de un doble </w:t>
      </w:r>
      <w:r>
        <w:lastRenderedPageBreak/>
        <w:t>proceso penal con el mismo objeto, se ciñe a los supuestos en que el primer proceso ha concluido con una resolución de fondo con efecto de cosa juzgada.</w:t>
      </w:r>
    </w:p>
    <w:p w14:paraId="628E7E4E" w14:textId="77777777" w:rsidR="009D7677" w:rsidRDefault="009D7677" w:rsidP="009D7677">
      <w:pPr>
        <w:pStyle w:val="TextoNormal"/>
      </w:pPr>
    </w:p>
    <w:p w14:paraId="2F635462" w14:textId="77777777" w:rsidR="009D7677" w:rsidRDefault="009D7677" w:rsidP="009D7677">
      <w:pPr>
        <w:pStyle w:val="TextoNormal"/>
      </w:pPr>
      <w:r>
        <w:t>La STC 229/2003, de 18 diciembre, FJ·3, señala lo siguiente:</w:t>
      </w:r>
    </w:p>
    <w:p w14:paraId="3C8D26BB" w14:textId="77777777" w:rsidR="009D7677" w:rsidRDefault="009D7677" w:rsidP="009D7677">
      <w:pPr>
        <w:pStyle w:val="TextoNormal"/>
      </w:pPr>
    </w:p>
    <w:p w14:paraId="5EC0F287" w14:textId="77777777" w:rsidR="009D7677" w:rsidRDefault="009D7677" w:rsidP="009D7677">
      <w:pPr>
        <w:pStyle w:val="TextoNormal"/>
      </w:pPr>
      <w:r>
        <w:t>“Como dijimos en la precitada STC 159/1987, FJ 2, ‘en el ámbito, pues, de lo definitivamente resuelto por un órgano judicial no cabe iniciar —a salvo el remedio extraordinario de la revisión y el subsidiario del amparo constitucional— un nuevo procedimiento, y si así se hiciera se menoscabaría, sin duda, la tutela judicial dispensada por la anterior resolución firme’. Por lo tanto el presupuesto para la aplicación de dicho principio es que se inicie un nuevo procedimiento sancionador por los mismos hechos enjuiciados en otro que ha concluido con una resolución judicial que produzca el efecto de cosa juzgada (SSTC 222/1997, de 4 de diciembre, FJ 4; 2/2003, de 16 de enero, FJ 3 b)”.</w:t>
      </w:r>
    </w:p>
    <w:p w14:paraId="48B42ED9" w14:textId="77777777" w:rsidR="009D7677" w:rsidRDefault="009D7677" w:rsidP="009D7677">
      <w:pPr>
        <w:pStyle w:val="TextoNormal"/>
      </w:pPr>
    </w:p>
    <w:p w14:paraId="2207130D" w14:textId="77777777" w:rsidR="009D7677" w:rsidRDefault="009D7677" w:rsidP="009D7677">
      <w:pPr>
        <w:pStyle w:val="TextoNormal"/>
      </w:pPr>
      <w:r>
        <w:t>Por su parte la STC 218/2007, de 8 de octubre, FJ 4, declara:</w:t>
      </w:r>
    </w:p>
    <w:p w14:paraId="39A28F12" w14:textId="77777777" w:rsidR="009D7677" w:rsidRDefault="009D7677" w:rsidP="009D7677">
      <w:pPr>
        <w:pStyle w:val="TextoNormal"/>
      </w:pPr>
    </w:p>
    <w:p w14:paraId="54305B0D" w14:textId="77777777" w:rsidR="009D7677" w:rsidRDefault="009D7677" w:rsidP="009D7677">
      <w:pPr>
        <w:pStyle w:val="TextoNormal"/>
      </w:pPr>
      <w:r>
        <w:t xml:space="preserve">“[D]ada la veda constitucional del </w:t>
      </w:r>
      <w:r w:rsidRPr="009D7677">
        <w:rPr>
          <w:i/>
        </w:rPr>
        <w:t>bis in idem</w:t>
      </w:r>
      <w:r>
        <w:t xml:space="preserve">, ha de tenerse en cuenta que aun cuando la retroacción de actuaciones acordada en la vía judicial previa pueda significar la sumisión a un nuevo juicio, tal efecto no es cuestionable, desde la perspectiva constitucional, pues aquella prohibición opera respecto de sentencias firmes con efecto de cosa juzgada, y la recurrida en casación en este caso carecía de ese carácter. Así pues no cabe hablar en rigor de doble proceso cuando el que pudiera ser considerado como primero ha sido anulado. Como indicamos en la STC 169/2004, de 6 de octubre, FJ 3 e), citada luego en la STC 192/2005, de 18 de julio, FJ 3, ‘el elemento de la firmeza de la sentencia impeditiva de la celebración de un nuevo juicio se destaca en los textos internacionales que </w:t>
      </w:r>
      <w:r w:rsidRPr="009D7677">
        <w:rPr>
          <w:i/>
        </w:rPr>
        <w:t>ex</w:t>
      </w:r>
      <w:r>
        <w:t xml:space="preserve"> art. 10.2 CE deben operar como elemento interpretativo de los derechos fundamentales, como es el caso del art. 14.7 del Pacto internacional de derechos civiles y políticos, de 19 de diciembre de 1966, y del art. 4.1 del Protocolo núm. 7 al Convenio europeo para la protección de los derechos humanos y de las libertades fundamentales, de 22 de noviembre de 1984, suscrito, aunque no ratificado por España. De modo que no existe impedimento constitucional de principio para que una sentencia penal absolutoria, si la legalidad infraconstitucional lo permite, pueda ser objeto de recurso de apelación, para que por ello pueda ser anulada en la apelación y para que consecuentemente pueda celebrarse un segundo juicio penal respecto del acusado’”.</w:t>
      </w:r>
    </w:p>
    <w:p w14:paraId="5804660A" w14:textId="77777777" w:rsidR="009D7677" w:rsidRDefault="009D7677" w:rsidP="009D7677">
      <w:pPr>
        <w:pStyle w:val="TextoNormal"/>
      </w:pPr>
    </w:p>
    <w:p w14:paraId="0544BF05" w14:textId="77777777" w:rsidR="009D7677" w:rsidRDefault="009D7677" w:rsidP="009D7677">
      <w:pPr>
        <w:pStyle w:val="TextoNormal"/>
      </w:pPr>
      <w:r>
        <w:t>Continúa la STC 218/2007, FJ 5, declarando:</w:t>
      </w:r>
    </w:p>
    <w:p w14:paraId="54D2D85B" w14:textId="77777777" w:rsidR="009D7677" w:rsidRDefault="009D7677" w:rsidP="009D7677">
      <w:pPr>
        <w:pStyle w:val="TextoNormal"/>
      </w:pPr>
    </w:p>
    <w:p w14:paraId="6F868B85" w14:textId="77777777" w:rsidR="009D7677" w:rsidRDefault="009D7677" w:rsidP="009D7677">
      <w:pPr>
        <w:pStyle w:val="TextoNormal"/>
      </w:pPr>
      <w:r>
        <w:t xml:space="preserve">“[S]in embargo, aplicando la doctrina anteriormente expuesta al caso, resulta, en primer lugar, que en este supuesto no estamos ante un pronunciamiento absolutorio de fondo que haya adquirido firmeza. Si ya dijimos, entre otras, en las SSTC 81/2002, de 22 de abril, FJ 6, y 45/2005, de 28 de febrero, FJ 2, que, aunque la declaración de lesión de un derecho fundamental en el seno de un proceso penal no puede llevar aparejada la anulación en esta jurisdicción de amparo de una sentencia firme absolutoria ‘por poderosas razones de seguridad jurídica’, ello ‘no ha de entenderse referido a las resoluciones absolutorias dictadas en el seno de un proceso penal sustanciado con lesión de las más esenciales garantías procesales de las partes, pues toda resolución judicial ha de dictarse en el seno de un proceso respetando en él las garantías que le son consustanciales’, la posibilidad de anulación de un pronunciamiento absolutorio y retroacción de actuaciones para la celebración de un </w:t>
      </w:r>
      <w:r>
        <w:lastRenderedPageBreak/>
        <w:t>nuevo juicio es aún más evidente en casos, como el presente, en los que el pronunciamiento absolutorio ya fue anulado por la sentencia de apelación, que fue la impugnada en casación.</w:t>
      </w:r>
    </w:p>
    <w:p w14:paraId="7177129D" w14:textId="77777777" w:rsidR="009D7677" w:rsidRDefault="009D7677" w:rsidP="009D7677">
      <w:pPr>
        <w:pStyle w:val="TextoNormal"/>
      </w:pPr>
    </w:p>
    <w:p w14:paraId="05C9DFBD" w14:textId="77777777" w:rsidR="009D7677" w:rsidRDefault="009D7677" w:rsidP="009D7677">
      <w:pPr>
        <w:pStyle w:val="TextoNormal"/>
      </w:pPr>
      <w:r>
        <w:t xml:space="preserve">Tampoco es posible hablar en este caso del riesgo de sumisión a un doble juicio, en cuanto el que pudiera ser considerado como primero ha sido anulado. Como se indicaba anteriormente, la prohibición de </w:t>
      </w:r>
      <w:r w:rsidRPr="009D7677">
        <w:rPr>
          <w:i/>
        </w:rPr>
        <w:t>bis in idem</w:t>
      </w:r>
      <w:r>
        <w:t xml:space="preserve"> opera respecto de sentencias firmes con efecto de cosa juzgada, y la impugnada en este caso carecía de ese carácter.</w:t>
      </w:r>
    </w:p>
    <w:p w14:paraId="08563A7E" w14:textId="77777777" w:rsidR="009D7677" w:rsidRDefault="009D7677" w:rsidP="009D7677">
      <w:pPr>
        <w:pStyle w:val="TextoNormal"/>
      </w:pPr>
    </w:p>
    <w:p w14:paraId="759F7AF2" w14:textId="77777777" w:rsidR="009D7677" w:rsidRDefault="009D7677" w:rsidP="009D7677">
      <w:pPr>
        <w:pStyle w:val="TextoNormal"/>
      </w:pPr>
      <w:r>
        <w:t>En definitiva, se produjo un quebrantamiento de las exigencias propias del correcto desarrollo del procedimiento en curso que limitó los derechos de defensa de la parte y generó indefensión material, proscrita por el art. 24.1 CE, deparando a las recurrentes un perjuicio real y efectivo en sus derechos e intereses legítimos. Esta violación, de acuerdo con la doctrina constitucional anteriormente expuesta, es compatible con la anulación de la sentencia impugnada y, en definitiva, con la repetición del juicio oral”.</w:t>
      </w:r>
    </w:p>
    <w:p w14:paraId="6591FA19" w14:textId="77777777" w:rsidR="009D7677" w:rsidRDefault="009D7677" w:rsidP="009D7677">
      <w:pPr>
        <w:pStyle w:val="TextoNormal"/>
      </w:pPr>
    </w:p>
    <w:p w14:paraId="6E4D1A9F" w14:textId="77777777" w:rsidR="009D7677" w:rsidRDefault="009D7677" w:rsidP="009D7677">
      <w:pPr>
        <w:pStyle w:val="TextoNormal"/>
      </w:pPr>
      <w:r>
        <w:t xml:space="preserve">Apunta igualmente la mencionada STC 218/2007, FJ 3. que aunque “[l]a víctima de un delito no tiene un derecho fundamental constitucionalmente protegido a la condena penal de otra persona (por todas, SSTC 157/1990, de 18 de octubre, FJ 4; 199/1996, de 3 de diciembre, FJ 4; 215/1999, de 29 de noviembre, FJ 1, y 168/2001, de 16 de julio, FJ 7), sino que meramente es titular del </w:t>
      </w:r>
      <w:r w:rsidRPr="009D7677">
        <w:rPr>
          <w:i/>
        </w:rPr>
        <w:t>ius ut procedatur</w:t>
      </w:r>
      <w:r>
        <w:t>, es decir, del ‘derecho a poner en marcha un proceso, substanciado de conformidad con las reglas del proceso justo, en el que pueda obtener una respuesta razonable y fundada en Derecho’ (por todas, STC 120/2000, de 10 de mayo, FJ 4), que ha sido configurado por este tribunal como una manifestación específica del derecho a la jurisdicción (por todas, SSTC 31/1996, de 27 de febrero, FFJJ 10 y 11; 16/2001, de 29 de enero, FJ 4) y que no se agota en un mero impulso del proceso o una mera comparecencia en el mismo, sino que de él derivan con naturalidad y necesidad los derechos relativos a las reglas esenciales del desarrollo del proceso (SSTC 218/1997, de 4 de diciembre, FJ 2; 138/1999, de 22 de julio, FJ 5; 215/1999, de 29 de noviembre, FJ 1; 16/2001, de 29 de enero, FJ 4, entre otras muchas)”.</w:t>
      </w:r>
    </w:p>
    <w:p w14:paraId="5A74F3ED" w14:textId="77777777" w:rsidR="009D7677" w:rsidRDefault="009D7677" w:rsidP="009D7677">
      <w:pPr>
        <w:pStyle w:val="TextoNormal"/>
      </w:pPr>
    </w:p>
    <w:p w14:paraId="5148C049" w14:textId="77777777" w:rsidR="009D7677" w:rsidRDefault="009D7677" w:rsidP="009D7677">
      <w:pPr>
        <w:pStyle w:val="TextoNormal"/>
      </w:pPr>
      <w:r>
        <w:t xml:space="preserve">Para terminar con la exposición de los precedentes en esta materia, viene al caso, entre otras resoluciones, la STC 169/2004, de 6 de octubre, FJ 3 e) —reiterada en las SSTC 192/2005, de 18 de julio, FJ 3 b); 115/2006, de 24 de abril, FJ 9, y 218/2007, de 8 de octubre, FJ 4—, que declara en caso de anulación de sentencia absolutoria que “[d]ada la veda constitucional del </w:t>
      </w:r>
      <w:r w:rsidRPr="009D7677">
        <w:rPr>
          <w:i/>
        </w:rPr>
        <w:t>bis in idem</w:t>
      </w:r>
      <w:r>
        <w:t>, ha de tenerse en cuenta que aun cuando la retroacción de actuaciones acordada en la vía judicial previa ha significado para el demandante de amparo la sumisión a un nuevo juicio, tal efecto no es cuestionable desde la perspectiva constitucional, pues aquella prohibición opera respecto de sentencias firmes con efecto de cosa juzgada, y la recurrida en apelación en este caso carecía de ese carácter. Así pues no cabe hablar en rigor de doble proceso cuando el que pudiera ser considerado como primero ha sido anulado”.</w:t>
      </w:r>
    </w:p>
    <w:p w14:paraId="4199E89B" w14:textId="77777777" w:rsidR="009D7677" w:rsidRDefault="009D7677" w:rsidP="009D7677">
      <w:pPr>
        <w:pStyle w:val="TextoNormal"/>
      </w:pPr>
    </w:p>
    <w:p w14:paraId="755FA9B4" w14:textId="77777777" w:rsidR="009D7677" w:rsidRDefault="009D7677" w:rsidP="009D7677">
      <w:pPr>
        <w:pStyle w:val="TextoNormal"/>
      </w:pPr>
      <w:r>
        <w:t xml:space="preserve">Como ya hemos anticipado y se desprende de los precedentes acabados de trascribir, la doctrina constitucional excluye el </w:t>
      </w:r>
      <w:r w:rsidRPr="009D7677">
        <w:rPr>
          <w:i/>
        </w:rPr>
        <w:t>bis in idem</w:t>
      </w:r>
      <w:r>
        <w:t xml:space="preserve"> procesal en aquellos casos en que se acuerda la retroacción de actuaciones para la celebración de nuevo juicio oral, cuando ha sido previamente declarada en vía de recurso la nulidad de la sentencia, haya sido esta absolutoria o condenatoria.</w:t>
      </w:r>
    </w:p>
    <w:p w14:paraId="450A0FC7" w14:textId="77777777" w:rsidR="009D7677" w:rsidRDefault="009D7677" w:rsidP="009D7677">
      <w:pPr>
        <w:pStyle w:val="TextoNormal"/>
      </w:pPr>
    </w:p>
    <w:p w14:paraId="22DC63F9" w14:textId="77777777" w:rsidR="009D7677" w:rsidRDefault="009D7677" w:rsidP="009D7677">
      <w:pPr>
        <w:pStyle w:val="TextoNormal"/>
      </w:pPr>
      <w:r>
        <w:t>C) Doctrina del Tribunal Europeo de Derechos Humanos</w:t>
      </w:r>
    </w:p>
    <w:p w14:paraId="5CA05575" w14:textId="77777777" w:rsidR="009D7677" w:rsidRDefault="009D7677" w:rsidP="009D7677">
      <w:pPr>
        <w:pStyle w:val="TextoNormal"/>
      </w:pPr>
    </w:p>
    <w:p w14:paraId="6E6C224A" w14:textId="77777777" w:rsidR="009D7677" w:rsidRDefault="009D7677" w:rsidP="009D7677">
      <w:pPr>
        <w:pStyle w:val="TextoNormal"/>
      </w:pPr>
      <w:r>
        <w:t>Con carácter previo al sucinto análisis de los precedentes del Tribunal Europeo de Derechos Humanos, es preciso reproducir el tenor del art. 4 del Protocolo núm. 7 al Convenio europeo para la protección de los derechos humanos y de las libertades fundamentales (Convenio núm. 117 del Consejo de Europa), hecho en Estrasburgo el 22 de noviembre de 1984 (instrumento de ratificación de 28 de agosto de 2009):</w:t>
      </w:r>
    </w:p>
    <w:p w14:paraId="6BA89142" w14:textId="77777777" w:rsidR="009D7677" w:rsidRDefault="009D7677" w:rsidP="009D7677">
      <w:pPr>
        <w:pStyle w:val="TextoNormal"/>
      </w:pPr>
    </w:p>
    <w:p w14:paraId="5B175394" w14:textId="77777777" w:rsidR="009D7677" w:rsidRDefault="009D7677" w:rsidP="009D7677">
      <w:pPr>
        <w:pStyle w:val="TextoNormal"/>
      </w:pPr>
      <w:r>
        <w:t>1. Nadie podrá ser juzgado ni sancionado penalmente de nuevo, bajo la jurisdicción del mismo Estado, por un delito del que ya hubiere sido absuelto o condenado por sentencia firme de acuerdo con la ley y el procedimiento penal de dicho Estado.</w:t>
      </w:r>
    </w:p>
    <w:p w14:paraId="59360BAA" w14:textId="77777777" w:rsidR="009D7677" w:rsidRDefault="009D7677" w:rsidP="009D7677">
      <w:pPr>
        <w:pStyle w:val="TextoNormal"/>
      </w:pPr>
    </w:p>
    <w:p w14:paraId="684A0F38" w14:textId="77777777" w:rsidR="009D7677" w:rsidRDefault="009D7677" w:rsidP="009D7677">
      <w:pPr>
        <w:pStyle w:val="TextoNormal"/>
      </w:pPr>
      <w:r>
        <w:t xml:space="preserve">2. </w:t>
      </w:r>
      <w:r w:rsidRPr="009D7677">
        <w:rPr>
          <w:i/>
        </w:rPr>
        <w:t>Lo dispuesto en el apartado anterior no impedirá la reapertura de la causa de conformidad con la ley y el procedimiento penal del Estado</w:t>
      </w:r>
      <w:r>
        <w:t xml:space="preserve"> de que se trate, si existen pruebas de hechos nuevos o recientemente descubiertos, </w:t>
      </w:r>
      <w:r w:rsidRPr="009D7677">
        <w:rPr>
          <w:i/>
        </w:rPr>
        <w:t>o si ha habido un defecto fundamental en el procedimiento anterior, que pueda afectar al resultado de la causa</w:t>
      </w:r>
      <w:r>
        <w:t xml:space="preserve">. </w:t>
      </w:r>
    </w:p>
    <w:p w14:paraId="5985C641" w14:textId="77777777" w:rsidR="009D7677" w:rsidRDefault="009D7677" w:rsidP="009D7677">
      <w:pPr>
        <w:pStyle w:val="TextoNormal"/>
      </w:pPr>
    </w:p>
    <w:p w14:paraId="1477BEDE" w14:textId="77777777" w:rsidR="009D7677" w:rsidRDefault="009D7677" w:rsidP="009D7677">
      <w:pPr>
        <w:pStyle w:val="TextoNormal"/>
      </w:pPr>
      <w:r>
        <w:t>3. No se hará ninguna excepción al presente artículo en virtud del artículo 15 del Convenio.</w:t>
      </w:r>
    </w:p>
    <w:p w14:paraId="0923E032" w14:textId="77777777" w:rsidR="009D7677" w:rsidRDefault="009D7677" w:rsidP="009D7677">
      <w:pPr>
        <w:pStyle w:val="TextoNormal"/>
      </w:pPr>
    </w:p>
    <w:p w14:paraId="0927D7AF" w14:textId="77777777" w:rsidR="009D7677" w:rsidRDefault="009D7677" w:rsidP="009D7677">
      <w:pPr>
        <w:pStyle w:val="TextoNormal"/>
      </w:pPr>
      <w:r>
        <w:t xml:space="preserve">De la STEDH, Gran Sala, de 8 de julio de 2019, asunto </w:t>
      </w:r>
      <w:r w:rsidRPr="009D7677">
        <w:rPr>
          <w:i/>
        </w:rPr>
        <w:t>Mihalache c. Rumanía</w:t>
      </w:r>
      <w:r>
        <w:t>, citada por la sentencia impugnada en amparo (fundamento de Derecho 3.1), interpretativa de este artículo, se extraen los siguientes parágrafos atinentes al caso resuelto en amparo:</w:t>
      </w:r>
    </w:p>
    <w:p w14:paraId="40F0DD14" w14:textId="77777777" w:rsidR="009D7677" w:rsidRDefault="009D7677" w:rsidP="009D7677">
      <w:pPr>
        <w:pStyle w:val="TextoNormal"/>
      </w:pPr>
    </w:p>
    <w:p w14:paraId="364CE812" w14:textId="77777777" w:rsidR="009D7677" w:rsidRDefault="009D7677" w:rsidP="009D7677">
      <w:pPr>
        <w:pStyle w:val="TextoNormal"/>
      </w:pPr>
      <w:r>
        <w:t xml:space="preserve">“128. El artículo 4 del Protocolo núm. 7 del Convenio establece una clara distinción entre un segundo procesamiento o juicio, que está prohibido por el primer párrafo de ese artículo, y la reanudación de un proceso en circunstancias excepcionales, situación mencionada en su segundo párrafo. El artículo 4.2 del Protocolo núm. 7 prevé expresamente la posibilidad de que una persona tenga que aceptar ser procesada por los mismos cargos, de conformidad con el Derecho interno, cuando un caso se reabra tras la aparición de nuevas pruebas o el descubrimiento de un defecto fundamental en el procedimiento anterior (véanse </w:t>
      </w:r>
      <w:r w:rsidRPr="009D7677">
        <w:rPr>
          <w:i/>
        </w:rPr>
        <w:t>Nikitin</w:t>
      </w:r>
      <w:r>
        <w:t xml:space="preserve">, antes citado, § 45, y </w:t>
      </w:r>
      <w:r w:rsidRPr="009D7677">
        <w:rPr>
          <w:i/>
        </w:rPr>
        <w:t>Kadušić</w:t>
      </w:r>
      <w:r>
        <w:t>, antes citado, § 84). El Comité de Ministros del Consejo de Europa también ha considerado que la posibilidad de reexaminar o reabrir un caso ofrece una garantía de reparación, particularmente en el contexto de la ejecución de las sentencias del Tribunal. En su Recomendación núm. R (2000) 2 sobre el reexamen o reapertura de ciertos casos a nivel interno tras sentencias del Tribunal Europeo de Derechos Humanos, instó a los Estados miembros a garantizar que sus sistemas jurídicos nacionales previeran procedimientos apropiados para reexaminar o reabrir casos (véas</w:t>
      </w:r>
      <w:r w:rsidRPr="009D7677">
        <w:rPr>
          <w:i/>
        </w:rPr>
        <w:t>e Nikit</w:t>
      </w:r>
      <w:r>
        <w:t>in, antes citado, § 56).</w:t>
      </w:r>
    </w:p>
    <w:p w14:paraId="3D1A029B" w14:textId="77777777" w:rsidR="009D7677" w:rsidRDefault="009D7677" w:rsidP="009D7677">
      <w:pPr>
        <w:pStyle w:val="TextoNormal"/>
      </w:pPr>
    </w:p>
    <w:p w14:paraId="2488ACB4" w14:textId="77777777" w:rsidR="009D7677" w:rsidRDefault="009D7677" w:rsidP="009D7677">
      <w:pPr>
        <w:pStyle w:val="TextoNormal"/>
      </w:pPr>
      <w:r>
        <w:t>129. El artículo 4.2 del Protocolo núm. 7 establece un límite a la aplicación del principio de seguridad jurídica en materia penal. Como ha declarado el Tribunal en numerosas ocasiones, las exigencias de seguridad jurídica no son absolutas y, en los casos penales, deben evaluarse a la luz del artículo 4.2 del Protocolo núm. 7, que permite expresamente a los Estados contratantes reabrir un caso. cuando surgen nuevos hechos, o cuando se detecta un defecto fundamental en el procedimiento</w:t>
      </w:r>
      <w:r w:rsidRPr="009D7677">
        <w:rPr>
          <w:i/>
        </w:rPr>
        <w:t xml:space="preserve"> (ib</w:t>
      </w:r>
      <w:r>
        <w:t>id.).</w:t>
      </w:r>
    </w:p>
    <w:p w14:paraId="4B86837A" w14:textId="77777777" w:rsidR="009D7677" w:rsidRDefault="009D7677" w:rsidP="009D7677">
      <w:pPr>
        <w:pStyle w:val="TextoNormal"/>
      </w:pPr>
    </w:p>
    <w:p w14:paraId="27C7D40A" w14:textId="77777777" w:rsidR="009D7677" w:rsidRDefault="009D7677" w:rsidP="009D7677">
      <w:pPr>
        <w:pStyle w:val="TextoNormal"/>
      </w:pPr>
      <w:r>
        <w:lastRenderedPageBreak/>
        <w:t xml:space="preserve">130. Como se señaló anteriormente (véase el parágrafo 128 </w:t>
      </w:r>
      <w:r w:rsidRPr="009D7677">
        <w:rPr>
          <w:i/>
        </w:rPr>
        <w:t>supra</w:t>
      </w:r>
      <w:r>
        <w:t>), la reapertura del procedimiento es posible pero está sujeta a condiciones estrictas: la decisión de reabrir el caso debe estar justificada por la aparición de hechos nuevos o recientemente descubiertos o por el descubrimiento de un defecto fundamental en el procedimiento anterior que pudiera afectar el resultado del caso. Esas condiciones son alternativas y no acumulativas.</w:t>
      </w:r>
    </w:p>
    <w:p w14:paraId="7C34A7D2" w14:textId="77777777" w:rsidR="009D7677" w:rsidRDefault="009D7677" w:rsidP="009D7677">
      <w:pPr>
        <w:pStyle w:val="TextoNormal"/>
      </w:pPr>
    </w:p>
    <w:p w14:paraId="10F5F351" w14:textId="77777777" w:rsidR="009D7677" w:rsidRDefault="009D7677" w:rsidP="009D7677">
      <w:pPr>
        <w:pStyle w:val="TextoNormal"/>
      </w:pPr>
      <w:r>
        <w:t>[…]</w:t>
      </w:r>
    </w:p>
    <w:p w14:paraId="5836792A" w14:textId="77777777" w:rsidR="009D7677" w:rsidRDefault="009D7677" w:rsidP="009D7677">
      <w:pPr>
        <w:pStyle w:val="TextoNormal"/>
      </w:pPr>
    </w:p>
    <w:p w14:paraId="58BB0969" w14:textId="77777777" w:rsidR="009D7677" w:rsidRDefault="009D7677" w:rsidP="009D7677">
      <w:pPr>
        <w:pStyle w:val="TextoNormal"/>
      </w:pPr>
      <w:r>
        <w:t xml:space="preserve">132. En algunos casos, el Tribunal también ha considerado que la excepción establecida en el artículo 4.2 del Protocolo núm. 7 es aplicable en caso de reapertura del procedimiento debido a un “defecto fundamental en el procedimiento anterior”. En el asunto </w:t>
      </w:r>
      <w:r w:rsidRPr="009D7677">
        <w:rPr>
          <w:i/>
        </w:rPr>
        <w:t>Fadin c. Rusia</w:t>
      </w:r>
      <w:r>
        <w:t xml:space="preserve">, (núm. 58079/00, § 32, de 27 de julio de 2006), por ejemplo, sostuvo que la reapertura del procedimiento por considerar que el tribunal de primera instancia no había seguido las instrucciones que le había dado el Tribunal Supremo en relación con las medidas de investigación que debían llevarse a cabo estaba justificada por un defecto fundamental en el procedimiento anterior y, por tanto, era compatible con el artículo 4.2 del Protocolo núm. 7 [véase también </w:t>
      </w:r>
      <w:r w:rsidRPr="009D7677">
        <w:rPr>
          <w:i/>
        </w:rPr>
        <w:t>Bratyakin c. Rusia</w:t>
      </w:r>
      <w:r>
        <w:t xml:space="preserve"> (decisión), núm. 72776/01, de 9 de marzo de 2006, </w:t>
      </w:r>
      <w:r w:rsidRPr="009D7677">
        <w:rPr>
          <w:i/>
        </w:rPr>
        <w:t>y Goncharovy c. Rus</w:t>
      </w:r>
      <w:r>
        <w:t>ia, núm. 77989/01, de 27 de noviembre de 2008].</w:t>
      </w:r>
    </w:p>
    <w:p w14:paraId="2D200577" w14:textId="77777777" w:rsidR="009D7677" w:rsidRDefault="009D7677" w:rsidP="009D7677">
      <w:pPr>
        <w:pStyle w:val="TextoNormal"/>
      </w:pPr>
    </w:p>
    <w:p w14:paraId="112D4629" w14:textId="77777777" w:rsidR="009D7677" w:rsidRDefault="009D7677" w:rsidP="009D7677">
      <w:pPr>
        <w:pStyle w:val="TextoNormal"/>
      </w:pPr>
      <w:r>
        <w:t xml:space="preserve">133. La jurisprudencia antes mencionada indica, por tanto, que el Tribunal valora caso por caso si las circunstancias invocadas por una autoridad de nivel superior para reabrir el procedimiento constituyen hechos nuevos o recientemente descubiertos o un defecto fundamental en las diligencias anteriores. El concepto de ‘vicio fundamental’ en el sentido del artículo 4.2 del Protocolo núm. 7 sugiere que solo una violación grave de una norma procesal que menoscabe gravemente la integridad del procedimiento anterior puede servir como base para reabrir este último en perjuicio del imputado, cuando este haya sido absuelto de un delito o sancionado por un delito menos grave que el previsto por la ley aplicable. Por consiguiente, en tales casos, una mera reevaluación de las pruebas obrantes por parte del fiscal o del tribunal superior no cumpliría ese criterio. Sin embargo, en lo que respecta a las situaciones en las que un acusado ha sido declarado culpable y la reapertura del procedimiento podría resultar ventajosa para él, el Tribunal señala que el párrafo 31 del informe explicativo del Protocolo núm. 7 (véase el parágrafo 37 </w:t>
      </w:r>
      <w:r w:rsidRPr="009D7677">
        <w:rPr>
          <w:i/>
        </w:rPr>
        <w:t>supra</w:t>
      </w:r>
      <w:r>
        <w:t xml:space="preserve">) subraya que ‘este artículo no impide la reapertura del proceso a favor del condenado y cualquier otra modificación de la sentencia en beneficio del condenado’. Por lo tanto, en tales situaciones, la naturaleza del defecto debe evaluarse principalmente para determinar si ha habido una violación del derecho de defensa y, por tanto, un impedimento a la buena administración de justicia. Por último, en todos los casos, los motivos que justifican la reapertura del procedimiento deben, según el artículo 4.2 del Protocolo núm. 7 </w:t>
      </w:r>
      <w:r w:rsidRPr="009D7677">
        <w:rPr>
          <w:i/>
        </w:rPr>
        <w:t>in fine</w:t>
      </w:r>
      <w:r>
        <w:t>, ser tales que ‘influyan en el resultado del asunto’, ya sea a favor de la persona o en su perjuicio (véase, en este sentido, el párrafo 30 del informe explicativo del Protocolo núm. 7, citado en el parágrafo 3</w:t>
      </w:r>
      <w:r w:rsidRPr="009D7677">
        <w:rPr>
          <w:i/>
        </w:rPr>
        <w:t>7 sup</w:t>
      </w:r>
      <w:r>
        <w:t>ra)”.</w:t>
      </w:r>
    </w:p>
    <w:p w14:paraId="616B4E9A" w14:textId="77777777" w:rsidR="009D7677" w:rsidRDefault="009D7677" w:rsidP="009D7677">
      <w:pPr>
        <w:pStyle w:val="TextoNormal"/>
      </w:pPr>
    </w:p>
    <w:p w14:paraId="08EC51A3" w14:textId="77777777" w:rsidR="009D7677" w:rsidRDefault="009D7677" w:rsidP="009D7677">
      <w:pPr>
        <w:pStyle w:val="TextoNormal"/>
      </w:pPr>
      <w:r>
        <w:t xml:space="preserve">Esta doctrina es reiterada en la STEDH de 14 de enero de 2021, asunto </w:t>
      </w:r>
      <w:r w:rsidRPr="009D7677">
        <w:rPr>
          <w:i/>
        </w:rPr>
        <w:t>Sabalić c. Croacia</w:t>
      </w:r>
      <w:r>
        <w:t xml:space="preserve">, en cuyo párrafo se afirma, con respecto al principio </w:t>
      </w:r>
      <w:r w:rsidRPr="009D7677">
        <w:rPr>
          <w:i/>
        </w:rPr>
        <w:t>ne bis in idem</w:t>
      </w:r>
      <w:r>
        <w:t xml:space="preserve">, que el artículo 4.2 del Protocolo núm. 7 establece un límite a la aplicación del principio de seguridad jurídica en materia penal, permitiendo expresamente a los Estados contratantes reabrir un caso cuando, </w:t>
      </w:r>
      <w:r w:rsidRPr="009D7677">
        <w:rPr>
          <w:i/>
        </w:rPr>
        <w:t>inter alia</w:t>
      </w:r>
      <w:r>
        <w:t xml:space="preserve">, se detecta un defecto fundamental en el procedimiento. Bajo el concepto de “vicio fundamental”, el proceso podrá reabrirse en perjuicio del acusado </w:t>
      </w:r>
      <w:r>
        <w:lastRenderedPageBreak/>
        <w:t>cuando haya sido absuelto de un delito o sancionado por un delito menos grave que el previsto por la ley aplicable si existe violación grave de una norma procesal que menoscaba gravemente la integridad del proceso.</w:t>
      </w:r>
    </w:p>
    <w:p w14:paraId="60E5262E" w14:textId="77777777" w:rsidR="009D7677" w:rsidRDefault="009D7677" w:rsidP="009D7677">
      <w:pPr>
        <w:pStyle w:val="TextoNormal"/>
      </w:pPr>
    </w:p>
    <w:p w14:paraId="3A310E78" w14:textId="77777777" w:rsidR="009D7677" w:rsidRDefault="009D7677" w:rsidP="009D7677">
      <w:pPr>
        <w:pStyle w:val="TextoNormal"/>
      </w:pPr>
      <w:r>
        <w:t xml:space="preserve">La doctrina expuesta al interpretar el art. 4.2 del Protocolo núm. 7 al CEDH, declara que no se produce vulneración del principio </w:t>
      </w:r>
      <w:r w:rsidRPr="009D7677">
        <w:rPr>
          <w:i/>
        </w:rPr>
        <w:t>ne bis in idem</w:t>
      </w:r>
      <w:r>
        <w:t xml:space="preserve"> cuando la “reapertura de la causa” sea la constatación de haberse incurrido en un “defecto fundamental del procedimiento”.</w:t>
      </w:r>
    </w:p>
    <w:p w14:paraId="615323CF" w14:textId="77777777" w:rsidR="009D7677" w:rsidRDefault="009D7677" w:rsidP="009D7677">
      <w:pPr>
        <w:pStyle w:val="TextoNormal"/>
      </w:pPr>
    </w:p>
    <w:p w14:paraId="64F0D268" w14:textId="77777777" w:rsidR="009D7677" w:rsidRDefault="009D7677" w:rsidP="009D7677">
      <w:pPr>
        <w:pStyle w:val="TextoNormal"/>
      </w:pPr>
      <w:r>
        <w:t>3</w:t>
      </w:r>
      <w:r w:rsidRPr="009D7677">
        <w:rPr>
          <w:i/>
        </w:rPr>
        <w:t>. Fundamentos de la discrepancia con la estimación del recurso de ampa</w:t>
      </w:r>
      <w:r>
        <w:t>ro</w:t>
      </w:r>
    </w:p>
    <w:p w14:paraId="6A5374ED" w14:textId="77777777" w:rsidR="009D7677" w:rsidRDefault="009D7677" w:rsidP="009D7677">
      <w:pPr>
        <w:pStyle w:val="TextoNormal"/>
      </w:pPr>
    </w:p>
    <w:p w14:paraId="39B65C13" w14:textId="77777777" w:rsidR="009D7677" w:rsidRDefault="009D7677" w:rsidP="009D7677">
      <w:pPr>
        <w:pStyle w:val="TextoNormal"/>
      </w:pPr>
      <w:r>
        <w:t>Consideramos que, en el supuesto de no ser inadmitido el recurso por falta de agotamiento de la vía judicial, el mismo debería haber sido desestimado, por cuanto la sentencia de la Sala de lo Penal del Tribunal Supremo se ajusta a lo establecido en la sentencia del Tribunal Europeo de Derechos Humanos que sirvió de base al recurso de revisión y no vulnera el derecho a la tutela judicial efectiva sin indefensión de los recurrentes en su vertiente de prohibición de</w:t>
      </w:r>
      <w:r w:rsidRPr="009D7677">
        <w:rPr>
          <w:i/>
        </w:rPr>
        <w:t>l bis in id</w:t>
      </w:r>
      <w:r>
        <w:t>em procesal.</w:t>
      </w:r>
    </w:p>
    <w:p w14:paraId="569D5C26" w14:textId="77777777" w:rsidR="009D7677" w:rsidRDefault="009D7677" w:rsidP="009D7677">
      <w:pPr>
        <w:pStyle w:val="TextoNormal"/>
      </w:pPr>
    </w:p>
    <w:p w14:paraId="40A32257" w14:textId="77777777" w:rsidR="009D7677" w:rsidRDefault="009D7677" w:rsidP="009D7677">
      <w:pPr>
        <w:pStyle w:val="TextoNormal"/>
      </w:pPr>
      <w:r>
        <w:t>3.1. Del régimen jurídico procesal y de la doctrina sucintamente expuesta en el apartado precedente se infiere que los pronunciamientos de la resolución del Tribunal Supremo en los que se acordó la nulidad de la sentencia 22/2011, de 16 de septiembre, de la Sección Cuarta de la Sala de lo Penal de la Audiencia Nacional y la retroacción de actuaciones para la celebración de nuevo juicio eran los únicos posibles frente a la pretensión deducida por los recurrentes.</w:t>
      </w:r>
    </w:p>
    <w:p w14:paraId="581F5ED4" w14:textId="77777777" w:rsidR="009D7677" w:rsidRDefault="009D7677" w:rsidP="009D7677">
      <w:pPr>
        <w:pStyle w:val="TextoNormal"/>
      </w:pPr>
    </w:p>
    <w:p w14:paraId="4E986EB4" w14:textId="77777777" w:rsidR="009D7677" w:rsidRDefault="009D7677" w:rsidP="009D7677">
      <w:pPr>
        <w:pStyle w:val="TextoNormal"/>
      </w:pPr>
      <w:r>
        <w:t xml:space="preserve">Los impugnantes pudieron estimar que, conforme señala el apartado 75 de la sentencia del Tribunal Europeo de Derechos Humanos, asunto </w:t>
      </w:r>
      <w:r w:rsidRPr="009D7677">
        <w:rPr>
          <w:i/>
        </w:rPr>
        <w:t>Otegi Mondragón y otros c. España</w:t>
      </w:r>
      <w:r>
        <w:t>, “la constatación de una vulneración constituye una satisfacción equitativa suficiente en el presente asunto”.</w:t>
      </w:r>
    </w:p>
    <w:p w14:paraId="320316C5" w14:textId="77777777" w:rsidR="009D7677" w:rsidRDefault="009D7677" w:rsidP="009D7677">
      <w:pPr>
        <w:pStyle w:val="TextoNormal"/>
      </w:pPr>
    </w:p>
    <w:p w14:paraId="1A81F725" w14:textId="77777777" w:rsidR="009D7677" w:rsidRDefault="009D7677" w:rsidP="009D7677">
      <w:pPr>
        <w:pStyle w:val="TextoNormal"/>
      </w:pPr>
      <w:r>
        <w:t>Sin embargo, optaron por hacer uso del recurso extraordinario de revisión, al amparo de lo dispuesto en el artículo 954.3 LECrim, modificado por la Ley 41/2015, de 5 de octubre.</w:t>
      </w:r>
    </w:p>
    <w:p w14:paraId="360254A9" w14:textId="77777777" w:rsidR="009D7677" w:rsidRDefault="009D7677" w:rsidP="009D7677">
      <w:pPr>
        <w:pStyle w:val="TextoNormal"/>
      </w:pPr>
    </w:p>
    <w:p w14:paraId="6C40F613" w14:textId="77777777" w:rsidR="009D7677" w:rsidRDefault="009D7677" w:rsidP="009D7677">
      <w:pPr>
        <w:pStyle w:val="TextoNormal"/>
      </w:pPr>
      <w:r>
        <w:t>A dicha posibilidad igualmente hizo alusión la STEDH mencionada en su parágrafo 74, en los siguientes términos:</w:t>
      </w:r>
    </w:p>
    <w:p w14:paraId="446389B3" w14:textId="77777777" w:rsidR="009D7677" w:rsidRDefault="009D7677" w:rsidP="009D7677">
      <w:pPr>
        <w:pStyle w:val="TextoNormal"/>
      </w:pPr>
    </w:p>
    <w:p w14:paraId="50F718FF" w14:textId="77777777" w:rsidR="009D7677" w:rsidRDefault="009D7677" w:rsidP="009D7677">
      <w:pPr>
        <w:pStyle w:val="TextoNormal"/>
      </w:pPr>
      <w:r>
        <w:t xml:space="preserve">“Cuando, como en el presente asunto, se condena a una persona en procedimientos internos que conllevan una infracción de los requisitos del artículo 6 del Convenio, este Tribunal mantiene que la forma más apropiada de reparación sería, en principio, celebrar un nuevo juicio o reabrir el caso, a solicitud de la persona interesada (ver, entre otros precedentes, </w:t>
      </w:r>
      <w:r w:rsidRPr="009D7677">
        <w:rPr>
          <w:i/>
        </w:rPr>
        <w:t>Gençel c. Turquía</w:t>
      </w:r>
      <w:r>
        <w:t xml:space="preserve">, núm. 53431/99, § 27, de 23 de octubre de 2003; </w:t>
      </w:r>
      <w:r w:rsidRPr="009D7677">
        <w:rPr>
          <w:i/>
        </w:rPr>
        <w:t>Sejdovic</w:t>
      </w:r>
      <w:r>
        <w:t xml:space="preserve">, anteriormente citado, § 126, y </w:t>
      </w:r>
      <w:r w:rsidRPr="009D7677">
        <w:rPr>
          <w:i/>
        </w:rPr>
        <w:t>Cudak c. Lituania</w:t>
      </w:r>
      <w:r>
        <w:t>, [GS], núm. 15869/02, § 79, TEDH 2010). En relación con lo anterior, indica que el artículo 954.3, de la Ley de enjuiciamiento criminal, modificado por la Ley 41/2015, de 5 de octubre de 2015, parece otorgar la posibilidad de revisar una sentencia firme en la que este Tribunal haya declarado que dicha resolución fue dictada en violación de alguno de los derechos reconocidos en el Convenio o sus protocolos”.</w:t>
      </w:r>
    </w:p>
    <w:p w14:paraId="776CBD00" w14:textId="77777777" w:rsidR="009D7677" w:rsidRDefault="009D7677" w:rsidP="009D7677">
      <w:pPr>
        <w:pStyle w:val="TextoNormal"/>
      </w:pPr>
    </w:p>
    <w:p w14:paraId="7E5409FA" w14:textId="77777777" w:rsidR="009D7677" w:rsidRDefault="009D7677" w:rsidP="009D7677">
      <w:pPr>
        <w:pStyle w:val="TextoNormal"/>
      </w:pPr>
      <w:r>
        <w:lastRenderedPageBreak/>
        <w:t>Del texto del mencionado apartado resulta que el Tribunal Europeo de Derechos Humanos plantea una doble opción: celebrar nuevo juicio o reabrir el caso a solicitud de la persona interesada, con mención acto seguido de la posibilidad del recurso de revisión prevista en el Derecho interno español.</w:t>
      </w:r>
    </w:p>
    <w:p w14:paraId="6BAD03ED" w14:textId="77777777" w:rsidR="009D7677" w:rsidRDefault="009D7677" w:rsidP="009D7677">
      <w:pPr>
        <w:pStyle w:val="TextoNormal"/>
      </w:pPr>
    </w:p>
    <w:p w14:paraId="5028D38F" w14:textId="77777777" w:rsidR="009D7677" w:rsidRDefault="009D7677" w:rsidP="009D7677">
      <w:pPr>
        <w:pStyle w:val="TextoNormal"/>
      </w:pPr>
      <w:r>
        <w:t>A favor de tal posibilidad optaron los recurrentes en amparo al instar el recurso de revisión. Interesaron, inicialmente, únicamente la nulidad de la sentencia núm. 351/2012, de 7 de mayo, de la Sala de lo Penal del Tribunal Supremo, petición de revisión que fue estimada por el mismo Tribunal en la sentencia núm. 426/2020, de 27 de julio.</w:t>
      </w:r>
    </w:p>
    <w:p w14:paraId="1092AF50" w14:textId="77777777" w:rsidR="009D7677" w:rsidRDefault="009D7677" w:rsidP="009D7677">
      <w:pPr>
        <w:pStyle w:val="TextoNormal"/>
      </w:pPr>
    </w:p>
    <w:p w14:paraId="68697A91" w14:textId="77777777" w:rsidR="009D7677" w:rsidRDefault="009D7677" w:rsidP="009D7677">
      <w:pPr>
        <w:pStyle w:val="TextoNormal"/>
      </w:pPr>
      <w:r>
        <w:t>La nulidad declarada en la sentencia dictada en el recurso de casación, interesada por los recurrentes, comportaba la reapertura del caso y la asunción de las consecuencias que, conforme al Derecho interno, comportaba dicho trámite, a saber, la necesidad de efectuar nuevo señalamiento para deliberación y fallo del recurso de casación, como así lo hizo la Sala de lo Penal del Tribunal Supremo en la sentencia núm. 692/2020, de 15 de diciembre, previo traslado a las partes, que no se opusieron a dicha reapertura.</w:t>
      </w:r>
    </w:p>
    <w:p w14:paraId="7BFAC00C" w14:textId="77777777" w:rsidR="009D7677" w:rsidRDefault="009D7677" w:rsidP="009D7677">
      <w:pPr>
        <w:pStyle w:val="TextoNormal"/>
      </w:pPr>
    </w:p>
    <w:p w14:paraId="5B52EB3F" w14:textId="77777777" w:rsidR="009D7677" w:rsidRDefault="009D7677" w:rsidP="009D7677">
      <w:pPr>
        <w:pStyle w:val="TextoNormal"/>
      </w:pPr>
      <w:r>
        <w:t>Los recurrentes aceptaron dicha reanudación del trámite del recurso de casación y en el traslado que les fue conferido interesaron la nulidad de la sentencia de la Audiencia Nacional referenciada, pero sin retroacción de actuaciones para la celebración de nuevo juicio oral, a lo que opusieron.</w:t>
      </w:r>
    </w:p>
    <w:p w14:paraId="02D9CA9B" w14:textId="77777777" w:rsidR="009D7677" w:rsidRDefault="009D7677" w:rsidP="009D7677">
      <w:pPr>
        <w:pStyle w:val="TextoNormal"/>
      </w:pPr>
    </w:p>
    <w:p w14:paraId="2CBD8BF3" w14:textId="77777777" w:rsidR="009D7677" w:rsidRDefault="009D7677" w:rsidP="009D7677">
      <w:pPr>
        <w:pStyle w:val="TextoNormal"/>
      </w:pPr>
      <w:r>
        <w:t>El pedimento de declaración de nulidad de la sentencia de la Sección Cuarta de la Sala de lo Penal de la Audiencia Nacional, pero sin retroacción de actuaciones para la celebración de nuevo juicio, tal como se formuló, no podía ser acogido por resultar contrario a lo dispuesto en la Ley de enjuiciamiento criminal y en reiterada doctrina jurisprudencial, antes reseñada, lo que no podían ignorar los abogados de los recurrentes.</w:t>
      </w:r>
    </w:p>
    <w:p w14:paraId="0E94C933" w14:textId="77777777" w:rsidR="009D7677" w:rsidRDefault="009D7677" w:rsidP="009D7677">
      <w:pPr>
        <w:pStyle w:val="TextoNormal"/>
      </w:pPr>
    </w:p>
    <w:p w14:paraId="37970C40" w14:textId="77777777" w:rsidR="009D7677" w:rsidRDefault="009D7677" w:rsidP="009D7677">
      <w:pPr>
        <w:pStyle w:val="TextoNormal"/>
      </w:pPr>
      <w:r>
        <w:t xml:space="preserve">Como hemos indicado precedentemente, una vez casada y anulada la sentencia conforme establece el artículo 901 LECrim para el caso de estimación de cualquiera de los motivos de casación alegados, en caso de vulneración del derecho al juez imparcial la consecuencia no podía ser otra que la prevista en el art. 901 </w:t>
      </w:r>
      <w:r w:rsidRPr="009D7677">
        <w:rPr>
          <w:i/>
        </w:rPr>
        <w:t>bis</w:t>
      </w:r>
      <w:r>
        <w:t xml:space="preserve"> a) LECrim: la devolución de la causa al tribunal de procedencia para que, reponiéndola al estado que tenía cuando se cometió la falta, la sustancie y termine con arreglo a derecho.</w:t>
      </w:r>
    </w:p>
    <w:p w14:paraId="64F5F714" w14:textId="77777777" w:rsidR="009D7677" w:rsidRDefault="009D7677" w:rsidP="009D7677">
      <w:pPr>
        <w:pStyle w:val="TextoNormal"/>
      </w:pPr>
    </w:p>
    <w:p w14:paraId="06B1BD13" w14:textId="77777777" w:rsidR="009D7677" w:rsidRDefault="009D7677" w:rsidP="009D7677">
      <w:pPr>
        <w:pStyle w:val="TextoNormal"/>
      </w:pPr>
      <w:r>
        <w:t xml:space="preserve">La nulidad de la sentencia de la Audiencia Nacional interesada por los recurrentes comportaba necesariamente la celebración de nuevo juicio, dado que el </w:t>
      </w:r>
      <w:r w:rsidRPr="009D7677">
        <w:rPr>
          <w:i/>
        </w:rPr>
        <w:t>ius ut procedatur</w:t>
      </w:r>
      <w:r>
        <w:t xml:space="preserve"> exige que, abierto el juicio oral, este concluya por sentencia, careciendo los recurrentes de la potestad de disposición del proceso penal que nuestro ordenamiento jurídico interno no atribuye a las partes, al estar regido por el principio de oficialidad.</w:t>
      </w:r>
    </w:p>
    <w:p w14:paraId="396395A6" w14:textId="77777777" w:rsidR="009D7677" w:rsidRDefault="009D7677" w:rsidP="009D7677">
      <w:pPr>
        <w:pStyle w:val="TextoNormal"/>
      </w:pPr>
    </w:p>
    <w:p w14:paraId="5E7FE9A0" w14:textId="77777777" w:rsidR="009D7677" w:rsidRDefault="009D7677" w:rsidP="009D7677">
      <w:pPr>
        <w:pStyle w:val="TextoNormal"/>
      </w:pPr>
      <w:r>
        <w:t xml:space="preserve">3.2. Dicha decisión, la única posible en nuestro Derecho, no vulneró el principio </w:t>
      </w:r>
      <w:r w:rsidRPr="009D7677">
        <w:rPr>
          <w:i/>
        </w:rPr>
        <w:t>ne bis in idem</w:t>
      </w:r>
      <w:r>
        <w:t xml:space="preserve">, ya que declarada la nulidad de la sentencia condenatoria por una vulneración cometida en el acto del juicio, ello determinó la inexistencia del pronunciamiento condenatorio y la nulidad del juicio en que se produjo la lesión del derecho fundamental de los acusados, con la única posible consecuencia de reponer las actuaciones al momento en que se cometió la vulneración, ordenando un nuevo señalamiento para la celebración de juicio </w:t>
      </w:r>
      <w:r>
        <w:lastRenderedPageBreak/>
        <w:t>oral ante un tribunal distinto, decisión que fue la adoptada por la Sala de lo Penal del Tribunal Supremo en la sentencia recurrida en amparo.</w:t>
      </w:r>
    </w:p>
    <w:p w14:paraId="697F5492" w14:textId="77777777" w:rsidR="009D7677" w:rsidRDefault="009D7677" w:rsidP="009D7677">
      <w:pPr>
        <w:pStyle w:val="TextoNormal"/>
      </w:pPr>
    </w:p>
    <w:p w14:paraId="5B18241D" w14:textId="77777777" w:rsidR="009D7677" w:rsidRDefault="009D7677" w:rsidP="009D7677">
      <w:pPr>
        <w:pStyle w:val="TextoNormal"/>
      </w:pPr>
      <w:r>
        <w:t xml:space="preserve">Compartimos los razonamientos de la sentencia recurrida que rechazan el </w:t>
      </w:r>
      <w:r w:rsidRPr="009D7677">
        <w:rPr>
          <w:i/>
        </w:rPr>
        <w:t>bis in idem</w:t>
      </w:r>
      <w:r>
        <w:t>, dado que “no existiría un doble enjuiciamiento en la medida en que el primero ha sido declarado nulo en atención a la protección de un derecho fundamental del acusado”, con cita de las SSTEDH de 23 de octubre de 2003, asunt</w:t>
      </w:r>
      <w:r w:rsidRPr="009D7677">
        <w:rPr>
          <w:i/>
        </w:rPr>
        <w:t>o Gençel c. Turqu</w:t>
      </w:r>
      <w:r>
        <w:t>ía, y de 8 de julio de 2019, asunt</w:t>
      </w:r>
      <w:r w:rsidRPr="009D7677">
        <w:rPr>
          <w:i/>
        </w:rPr>
        <w:t>o Mihalache c. Ruman</w:t>
      </w:r>
      <w:r>
        <w:t>ía.</w:t>
      </w:r>
    </w:p>
    <w:p w14:paraId="347689B8" w14:textId="77777777" w:rsidR="009D7677" w:rsidRDefault="009D7677" w:rsidP="009D7677">
      <w:pPr>
        <w:pStyle w:val="TextoNormal"/>
      </w:pPr>
    </w:p>
    <w:p w14:paraId="210DE9EC" w14:textId="77777777" w:rsidR="009D7677" w:rsidRDefault="009D7677" w:rsidP="009D7677">
      <w:pPr>
        <w:pStyle w:val="TextoNormal"/>
      </w:pPr>
      <w:r>
        <w:t xml:space="preserve">La propia STC 2/2003, de 16 de enero, que se cita en la sentencia de la que discrepamos como la más completa exposición de nuestra doctrina sobre el llamado principio </w:t>
      </w:r>
      <w:r w:rsidRPr="009D7677">
        <w:rPr>
          <w:i/>
        </w:rPr>
        <w:t>ne bis in idem</w:t>
      </w:r>
      <w:r>
        <w:t>, circunscribe el ámbito de la pretendida vulneración al supuesto de existencia de un pronunciamiento judicial firme y deja a salvo el remedio extraordinario de la revisión y el subsidiario de amparo constitucional.</w:t>
      </w:r>
    </w:p>
    <w:p w14:paraId="30F60547" w14:textId="77777777" w:rsidR="009D7677" w:rsidRDefault="009D7677" w:rsidP="009D7677">
      <w:pPr>
        <w:pStyle w:val="TextoNormal"/>
      </w:pPr>
    </w:p>
    <w:p w14:paraId="4FA6507B" w14:textId="77777777" w:rsidR="009D7677" w:rsidRDefault="009D7677" w:rsidP="009D7677">
      <w:pPr>
        <w:pStyle w:val="TextoNormal"/>
      </w:pPr>
      <w:r>
        <w:t>Efectivamente, en dicha sentencia, fundamento jurídico 3, con mención de la STC 159/1987, de 26 de octubre, FJ 2, se indica que “en el ámbito […] de lo definitivamente resuelto por un órgano judicial no cabe iniciar —a salvo del remedio extraordinario de la revisión y el subsidiario del amparo constitucional— un nuevo procedimiento, y si así se hiciera se menoscabaría, sin duda, la tutela judicial dispensada por la anterior decisión firme”. Dicha resolución firme no existe en el caso examinado, en el que a petición de la propia parte que instó la revisión, conforme se reconoce en la sentencia de la mayoría, de forma confusa, fue declarada en un primer momento la nulidad de la sentencia de casación y, después, la de la dictada en única instancia por la Sección Cuarta de la Sala de lo Penal de la Audiencia Nacional.</w:t>
      </w:r>
    </w:p>
    <w:p w14:paraId="1F9BBE48" w14:textId="77777777" w:rsidR="009D7677" w:rsidRDefault="009D7677" w:rsidP="009D7677">
      <w:pPr>
        <w:pStyle w:val="TextoNormal"/>
      </w:pPr>
    </w:p>
    <w:p w14:paraId="5EF721EE" w14:textId="77777777" w:rsidR="009D7677" w:rsidRDefault="009D7677" w:rsidP="009D7677">
      <w:pPr>
        <w:pStyle w:val="TextoNormal"/>
      </w:pPr>
      <w:r>
        <w:t>La STC 2/2003, FJ 3, cita además el contenido del art. 14.7 del Pacto internacional de derechos civiles y políticos, que dispone que “[n]adie podrá ser juzgado ni sancionado por un delito por el cual haya sido ya condenado o absuelto por una sentencia firme de acuerdo con la Ley y el procedimiento penal de cada país” y recoge, de otra parte, también el art. 4 del citado Protocolo núm. 7 al Convenio europeo de derechos humanos, aunque no había sido ratificado por España —pero sí firmado—, que reconoce este derecho con un contenido similar:</w:t>
      </w:r>
    </w:p>
    <w:p w14:paraId="5470B938" w14:textId="77777777" w:rsidR="009D7677" w:rsidRDefault="009D7677" w:rsidP="009D7677">
      <w:pPr>
        <w:pStyle w:val="TextoNormal"/>
      </w:pPr>
    </w:p>
    <w:p w14:paraId="5FFD483A" w14:textId="77777777" w:rsidR="009D7677" w:rsidRDefault="009D7677" w:rsidP="009D7677">
      <w:pPr>
        <w:pStyle w:val="TextoNormal"/>
      </w:pPr>
      <w:r>
        <w:t>1. Nadie podrá ser procesado o castigado penalmente por las jurisdicciones del mismo Estado por una infracción por la que hubiera sido absuelto o condenado por sentencia firme conforme a la ley y al procedimiento penal de ese Estado.</w:t>
      </w:r>
    </w:p>
    <w:p w14:paraId="39369E4D" w14:textId="77777777" w:rsidR="009D7677" w:rsidRDefault="009D7677" w:rsidP="009D7677">
      <w:pPr>
        <w:pStyle w:val="TextoNormal"/>
      </w:pPr>
    </w:p>
    <w:p w14:paraId="7ABE46F2" w14:textId="77777777" w:rsidR="009D7677" w:rsidRDefault="009D7677" w:rsidP="009D7677">
      <w:pPr>
        <w:pStyle w:val="TextoNormal"/>
      </w:pPr>
      <w:r>
        <w:t>2. Lo dispuesto en el párrafo anterior no obsta a la reapertura del proceso, conforme a la ley y al procedimiento penal del Estado interesado, en caso de que hechos nuevos o revelaciones nuevas o un vicio esencial en ese procedimiento pudieran afectar a la sentencia dictada.</w:t>
      </w:r>
    </w:p>
    <w:p w14:paraId="5D6A2E81" w14:textId="77777777" w:rsidR="009D7677" w:rsidRDefault="009D7677" w:rsidP="009D7677">
      <w:pPr>
        <w:pStyle w:val="TextoNormal"/>
      </w:pPr>
    </w:p>
    <w:p w14:paraId="79021E07" w14:textId="77777777" w:rsidR="009D7677" w:rsidRDefault="009D7677" w:rsidP="009D7677">
      <w:pPr>
        <w:pStyle w:val="TextoNormal"/>
      </w:pPr>
      <w:r>
        <w:t>Apunta igualmente la indicada STC 2/2003, FJ 5, que el Tribunal Europeo de Derechos Humanos afirma que el art. 4 del Protocolo núm. 7 al CEDH no se refiere al “mismo ilícito”, sino a ser “perseguido o sancionado penalmente ‘de nuevo’ por un ilícito por el cual ya ha sido definitivamente absuelto o condenado”.</w:t>
      </w:r>
    </w:p>
    <w:p w14:paraId="77CD52B9" w14:textId="77777777" w:rsidR="009D7677" w:rsidRDefault="009D7677" w:rsidP="009D7677">
      <w:pPr>
        <w:pStyle w:val="TextoNormal"/>
      </w:pPr>
    </w:p>
    <w:p w14:paraId="1E93F3BC" w14:textId="77777777" w:rsidR="009D7677" w:rsidRDefault="009D7677" w:rsidP="009D7677">
      <w:pPr>
        <w:pStyle w:val="TextoNormal"/>
      </w:pPr>
      <w:r>
        <w:lastRenderedPageBreak/>
        <w:t xml:space="preserve">Es obvio que los presupuestos de eventual vulneración del principio </w:t>
      </w:r>
      <w:r w:rsidRPr="009D7677">
        <w:rPr>
          <w:i/>
        </w:rPr>
        <w:t>ne bis in idem</w:t>
      </w:r>
      <w:r>
        <w:t xml:space="preserve"> a los que alude la STC 2/2003, de existencia de una sentencia judicial firme por la que haya sido definitivamente absuelto o condenado el acusado y la inexistencia de un vicio esencial en el procedimiento que pudiera afectar a la validez de la sentencia, no concurren en el caso analizado.</w:t>
      </w:r>
    </w:p>
    <w:p w14:paraId="153AF9C2" w14:textId="77777777" w:rsidR="009D7677" w:rsidRDefault="009D7677" w:rsidP="009D7677">
      <w:pPr>
        <w:pStyle w:val="TextoNormal"/>
      </w:pPr>
    </w:p>
    <w:p w14:paraId="15CF46E6" w14:textId="77777777" w:rsidR="009D7677" w:rsidRDefault="009D7677" w:rsidP="009D7677">
      <w:pPr>
        <w:pStyle w:val="TextoNormal"/>
      </w:pPr>
      <w:r>
        <w:t xml:space="preserve">Dicha conclusión se infiere igualmente de la doctrina recogida en el apartado precedente, ya que la vulneración del principio </w:t>
      </w:r>
      <w:r w:rsidRPr="009D7677">
        <w:rPr>
          <w:i/>
        </w:rPr>
        <w:t>ne bis in idem</w:t>
      </w:r>
      <w:r>
        <w:t xml:space="preserve"> no puede producirse, atendida la inexistencia de un pronunciamiento absolutorio o condenatorio con efecto de cosa juzgada, situación que se ha producido precisamente por concurrir uno de los supuestos recogidos en dicha doctrina como excepción a la vulneración del derecho a la tutela judicial efectiva, a saber, el de revisión de la sentencia, por el que optó la parte recurrente, que necesariamente comportaba las consecuencias, conforme al Derecho interno, que ahora pretende impugnar, lo que supondría dejar imprejuzgada la acción penal correctamente formulada en el momento procesal oportuno, vulnerando e</w:t>
      </w:r>
      <w:r w:rsidRPr="009D7677">
        <w:rPr>
          <w:i/>
        </w:rPr>
        <w:t>l ius ut procedat</w:t>
      </w:r>
      <w:r>
        <w:t>ur al que se refiere, entre otras, la STC 218/2007, de 8 de octubre, que asiste a las acusaciones.</w:t>
      </w:r>
    </w:p>
    <w:p w14:paraId="5EFE170C" w14:textId="77777777" w:rsidR="009D7677" w:rsidRDefault="009D7677" w:rsidP="009D7677">
      <w:pPr>
        <w:pStyle w:val="TextoNormal"/>
      </w:pPr>
    </w:p>
    <w:p w14:paraId="573315C0" w14:textId="77777777" w:rsidR="009D7677" w:rsidRDefault="009D7677" w:rsidP="009D7677">
      <w:pPr>
        <w:pStyle w:val="TextoNormal"/>
      </w:pPr>
      <w:r>
        <w:t>3.3. Discrepancia con parte de las consideraciones y de la conclusión alcanzada en el fundamento jurídico 4 de la sentencia, en el que se enumeran los elementos del juicio de ponderación que llevan finalmente a la estimación del amparo.</w:t>
      </w:r>
    </w:p>
    <w:p w14:paraId="00D1A303" w14:textId="77777777" w:rsidR="009D7677" w:rsidRDefault="009D7677" w:rsidP="009D7677">
      <w:pPr>
        <w:pStyle w:val="TextoNormal"/>
      </w:pPr>
    </w:p>
    <w:p w14:paraId="436F0FC0" w14:textId="77777777" w:rsidR="009D7677" w:rsidRDefault="009D7677" w:rsidP="009D7677">
      <w:pPr>
        <w:pStyle w:val="TextoNormal"/>
      </w:pPr>
      <w:r>
        <w:t>En dicho apartado se reconoce que la declaración de nulidad y retroacción como mecanismo de reparación de un vicio esencial del proceso es, en línea de principio, una excepción a la operatividad de prohibición del doble enjuiciamiento que está expresamente contemplada en el artículo 4.2 del Protocolo núm. 7 al Convenio europeo de derechos humanos y que tiene plena proyección sobre una eventual vulneración del derecho al juez imparcial sufrido por la parte acusada.</w:t>
      </w:r>
    </w:p>
    <w:p w14:paraId="48CE74C4" w14:textId="77777777" w:rsidR="009D7677" w:rsidRDefault="009D7677" w:rsidP="009D7677">
      <w:pPr>
        <w:pStyle w:val="TextoNormal"/>
      </w:pPr>
    </w:p>
    <w:p w14:paraId="78B9BD2E" w14:textId="77777777" w:rsidR="009D7677" w:rsidRDefault="009D7677" w:rsidP="009D7677">
      <w:pPr>
        <w:pStyle w:val="TextoNormal"/>
      </w:pPr>
      <w:r>
        <w:t>Se admite igualmente en la sentencia que la declaración de nulidad de la resolución condenatoria con retroacción de las actuaciones para la celebración de un nuevo juicio es, de hecho, la tutela que, de ordinario, repara la lesión del derecho a un juez imparcial sufrida por el individuo que ha sido condenado y que la decisión de repetir la celebración del juicio oral orientada a la reparación de la lesión del derecho a un juez imparcial no puede ser considerada, por regla general, un segundo proceso a los efectos de la proscripción de la garantía d</w:t>
      </w:r>
      <w:r w:rsidRPr="009D7677">
        <w:rPr>
          <w:i/>
        </w:rPr>
        <w:t>e ne bis in id</w:t>
      </w:r>
      <w:r>
        <w:t>em procesal contenida en el artículo 24.1 de la Constitución, consideraciones que compartimos.</w:t>
      </w:r>
    </w:p>
    <w:p w14:paraId="5346D441" w14:textId="77777777" w:rsidR="009D7677" w:rsidRDefault="009D7677" w:rsidP="009D7677">
      <w:pPr>
        <w:pStyle w:val="TextoNormal"/>
      </w:pPr>
    </w:p>
    <w:p w14:paraId="5E6E2E94" w14:textId="77777777" w:rsidR="009D7677" w:rsidRDefault="009D7677" w:rsidP="009D7677">
      <w:pPr>
        <w:pStyle w:val="TextoNormal"/>
      </w:pPr>
      <w:r>
        <w:t>Discrepamos, sin embargo, de la lectura que se efectúa en la sentencia del parágrafo 74 de la sentencia del Tribunal Europeo de Derechos Humanos de 6 de noviembre de 2018, de la cual se pretende concluir que la repetición del juicio, como medio de reparación del derecho fundamental vulnerado, no era posible, al quedar condicionada a la solicitud de la persona interesada.</w:t>
      </w:r>
    </w:p>
    <w:p w14:paraId="7B1FF54B" w14:textId="77777777" w:rsidR="009D7677" w:rsidRDefault="009D7677" w:rsidP="009D7677">
      <w:pPr>
        <w:pStyle w:val="TextoNormal"/>
      </w:pPr>
    </w:p>
    <w:p w14:paraId="50A402A1" w14:textId="77777777" w:rsidR="009D7677" w:rsidRDefault="009D7677" w:rsidP="009D7677">
      <w:pPr>
        <w:pStyle w:val="TextoNormal"/>
      </w:pPr>
      <w:r>
        <w:t xml:space="preserve">Consideramos, con el debido respeto a la opinión mayoritaria, que se efectúa en la sentencia una lectura fraccionada del referido parágrafo 74 de la sentencia del Tribunal Europeo de Derechos Humanos, que al referirse a la solicitud de la persona interesada la vincula, no solo a la repetición del juicio, sino también a la reapertura del procedimiento; mencionando, además, la existencia en el Derecho interno español del recurso de revisión, </w:t>
      </w:r>
      <w:r>
        <w:lastRenderedPageBreak/>
        <w:t>opción que comporta la reapertura del proceso, la cual, obviamente, fue asumida por los recurrentes al instar la revisión; habiendo podido, como ya hemos expuesto, entender satisfecho su derecho en los términos establecidos en el parágrafo 75 de la sentencia del Tribunal Europeo de Derechos Humanos.</w:t>
      </w:r>
    </w:p>
    <w:p w14:paraId="5A313D2F" w14:textId="77777777" w:rsidR="009D7677" w:rsidRDefault="009D7677" w:rsidP="009D7677">
      <w:pPr>
        <w:pStyle w:val="TextoNormal"/>
      </w:pPr>
    </w:p>
    <w:p w14:paraId="74EBEA14" w14:textId="77777777" w:rsidR="009D7677" w:rsidRDefault="009D7677" w:rsidP="009D7677">
      <w:pPr>
        <w:pStyle w:val="TextoNormal"/>
      </w:pPr>
      <w:r>
        <w:t>Seguidamente, en el fundamento jurídico 5, titulad</w:t>
      </w:r>
      <w:r w:rsidRPr="009D7677">
        <w:rPr>
          <w:i/>
        </w:rPr>
        <w:t>o Enjuiciamiento del caso. Existencia de lesi</w:t>
      </w:r>
      <w:r>
        <w:t>ón, se efectúan una serie de consideraciones que, a nuestro juicio, debieron llevar a la desestimación del amparo.</w:t>
      </w:r>
    </w:p>
    <w:p w14:paraId="5AF0F684" w14:textId="77777777" w:rsidR="009D7677" w:rsidRDefault="009D7677" w:rsidP="009D7677">
      <w:pPr>
        <w:pStyle w:val="TextoNormal"/>
      </w:pPr>
    </w:p>
    <w:p w14:paraId="0E8C00BE" w14:textId="77777777" w:rsidR="009D7677" w:rsidRDefault="009D7677" w:rsidP="009D7677">
      <w:pPr>
        <w:pStyle w:val="TextoNormal"/>
      </w:pPr>
      <w:r>
        <w:t>Inicialmente, en el inciso (i) se admite que es plenamente acorde con las exigencias derivadas del artículo 24.1 CE el razonamiento del Tribunal Supremo que consideró que la reparación del derecho fundamental al juez imparcial no podía consistir en la mera declaración de nulidad de la condena acaecida en la instancia, sin retroacción para la celebración del juicio, pues dicha tutela, equivalente a un pronunciamiento materialmente absolutorio, no guardaba correlación con la lesión, estrictamente procesal, que debía ser reparada en casación.</w:t>
      </w:r>
    </w:p>
    <w:p w14:paraId="602C7DC7" w14:textId="77777777" w:rsidR="009D7677" w:rsidRDefault="009D7677" w:rsidP="009D7677">
      <w:pPr>
        <w:pStyle w:val="TextoNormal"/>
      </w:pPr>
    </w:p>
    <w:p w14:paraId="1FB392AC" w14:textId="77777777" w:rsidR="009D7677" w:rsidRDefault="009D7677" w:rsidP="009D7677">
      <w:pPr>
        <w:pStyle w:val="TextoNormal"/>
      </w:pPr>
      <w:r>
        <w:t>En el inciso (ii) se reconoce, seguidamente, que no puede decirse que la tutela prestada por el Tribunal Supremo (declaración de nulidad con retroacción) fuera totalmente ajena a la solicitud de reparación formulada por los recurrentes en amparo. Tras indicar que es cierto que estos nunca solicitaron expresamente como tutela a prestar para el restablecimiento de su derecho fundamental al juez imparcial la repetición del juicio ante un nuevo tribunal, se indica que no puede ignorarse, sin embargo, que instaron la ejecución de la sentencia del Tribunal Europeo de Derechos Humanos “de un modo sumamente equívoco”.</w:t>
      </w:r>
    </w:p>
    <w:p w14:paraId="1308E49F" w14:textId="77777777" w:rsidR="009D7677" w:rsidRDefault="009D7677" w:rsidP="009D7677">
      <w:pPr>
        <w:pStyle w:val="TextoNormal"/>
      </w:pPr>
    </w:p>
    <w:p w14:paraId="124DA7B9" w14:textId="77777777" w:rsidR="009D7677" w:rsidRDefault="009D7677" w:rsidP="009D7677">
      <w:pPr>
        <w:pStyle w:val="TextoNormal"/>
      </w:pPr>
      <w:r>
        <w:t>Se argumenta, seguidamente, que la solicitud de revisión formulada ante el Tribunal Supremo, inicialmente limitada a la declaración de nulidad de la sentencia de casación, resolución que manifiestamente no había causado por sí misma la vulneración del derecho, suponía en principio la reanudación del procedimiento penal originario a partir del propio trámite casacional.</w:t>
      </w:r>
    </w:p>
    <w:p w14:paraId="453E24F4" w14:textId="77777777" w:rsidR="009D7677" w:rsidRDefault="009D7677" w:rsidP="009D7677">
      <w:pPr>
        <w:pStyle w:val="TextoNormal"/>
      </w:pPr>
    </w:p>
    <w:p w14:paraId="223F7769" w14:textId="77777777" w:rsidR="009D7677" w:rsidRDefault="009D7677" w:rsidP="009D7677">
      <w:pPr>
        <w:pStyle w:val="TextoNormal"/>
      </w:pPr>
      <w:r>
        <w:t>Se admite igualmente que, cuando se dio traslado a las partes para que hicieran alegaciones en el nuevo señalamiento para deliberación y fallo del recurso, los recurrentes no se manifestaron disconformes con la reanudación de ese recurso ni se quejaron tampoco de la reviviscencia del procedimiento originario, sino que, al contrario, se aquietaron a ella.</w:t>
      </w:r>
    </w:p>
    <w:p w14:paraId="3845BD88" w14:textId="77777777" w:rsidR="009D7677" w:rsidRDefault="009D7677" w:rsidP="009D7677">
      <w:pPr>
        <w:pStyle w:val="TextoNormal"/>
      </w:pPr>
    </w:p>
    <w:p w14:paraId="79A1FC4B" w14:textId="77777777" w:rsidR="009D7677" w:rsidRDefault="009D7677" w:rsidP="009D7677">
      <w:pPr>
        <w:pStyle w:val="TextoNormal"/>
      </w:pPr>
      <w:r>
        <w:t>Se reconoce incluso, seguidamente, que la decisión del Tribunal Supremo fue en buena medida el resultado lógico de la vía de reparación elegida por los recurrentes de amparo: resolvió el recurso de casación anulando su primera resolución en la que se había descartado la vulneración del derecho al juez imparcial, y entendió que solo podía repararla en los términos ordinariamente fijados por el ordenamiento procesal vigente con la consiguiente retroacción para la celebración de un nuevo juicio oral.</w:t>
      </w:r>
    </w:p>
    <w:p w14:paraId="262C9E6D" w14:textId="77777777" w:rsidR="009D7677" w:rsidRDefault="009D7677" w:rsidP="009D7677">
      <w:pPr>
        <w:pStyle w:val="TextoNormal"/>
      </w:pPr>
    </w:p>
    <w:p w14:paraId="0FED9A16" w14:textId="77777777" w:rsidR="009D7677" w:rsidRDefault="009D7677" w:rsidP="009D7677">
      <w:pPr>
        <w:pStyle w:val="TextoNormal"/>
      </w:pPr>
      <w:r>
        <w:t>Dichas consideraciones que compartimos debieron llevar a la desestimación del recurso de amparo.</w:t>
      </w:r>
    </w:p>
    <w:p w14:paraId="2289B473" w14:textId="77777777" w:rsidR="009D7677" w:rsidRDefault="009D7677" w:rsidP="009D7677">
      <w:pPr>
        <w:pStyle w:val="TextoNormal"/>
      </w:pPr>
    </w:p>
    <w:p w14:paraId="0C2845E0" w14:textId="77777777" w:rsidR="009D7677" w:rsidRDefault="009D7677" w:rsidP="009D7677">
      <w:pPr>
        <w:pStyle w:val="TextoNormal"/>
      </w:pPr>
      <w:r>
        <w:lastRenderedPageBreak/>
        <w:t>Discrepamos asimismo de los argumentos que se contienen en los incisos (iii), (iv) y (v) del fundamento jurídico 5, en los que se argumenta que el Tribunal Supremo no tuvo en cuenta el singular escenario que el presente caso plantea, a saber, que los demandantes se opusieron expresamente a la celebración de un segundo enjuiciamiento y que esta eventualidad se planteó cuando ya había perdido su principal efecto útil, que era evitar el cumplimiento efectivo de las penas impuestas, lo que la sentencia considera un elemento esencial para valorar la pertinencia de la decisión de retroacción. En consecuencia, se concluye que la repetición de un juicio que no había sido interesado de forma clara y expresa por los afectados constituía un gravamen excesivo que perdía la necesaria correlación con la finalidad de reparar los derechos fundamentales procesales vulnerados y que, en ese particular escenario, los argumentos ofrecidos por el Tribunal Supremo para ponderar la necesidad de repetición del juicio fueron insuficientes, dado que el interés del Estado en la condena agotó sus efectos prácticos con el íntegro cumplimiento de la pena impuesta, con el que también resultó materialmente satisfecho el interés de las partes acusadoras en coadyuvar al ejercicio efectivo de</w:t>
      </w:r>
      <w:r w:rsidRPr="009D7677">
        <w:rPr>
          <w:i/>
        </w:rPr>
        <w:t>l ius punien</w:t>
      </w:r>
      <w:r>
        <w:t>di estatal.</w:t>
      </w:r>
    </w:p>
    <w:p w14:paraId="19644C3A" w14:textId="77777777" w:rsidR="009D7677" w:rsidRDefault="009D7677" w:rsidP="009D7677">
      <w:pPr>
        <w:pStyle w:val="TextoNormal"/>
      </w:pPr>
    </w:p>
    <w:p w14:paraId="54A6B7DF" w14:textId="77777777" w:rsidR="009D7677" w:rsidRDefault="009D7677" w:rsidP="009D7677">
      <w:pPr>
        <w:pStyle w:val="TextoNormal"/>
      </w:pPr>
      <w:r>
        <w:t>Por nuestra parte, consideramos que resulta contradictorio reconocer que es plenamente acorde con las exigencias derivadas del artículo 24.1 de la Constitución el razonamiento del Tribunal Supremo que concluyó que no podía ser acogida la solicitud de nulidad de la sentencia de condena sin retroacción para la celebración del juicio, equivalente a un pronunciamiento materialmente absolutorio que no guardaba correlación con la lesión, estrictamente procesal, que debía ser reparada y, seguidamente, reprochar que los argumentos que llevan a la decisión de repetición del juicio fueron insuficientes.</w:t>
      </w:r>
    </w:p>
    <w:p w14:paraId="6E84FAD2" w14:textId="77777777" w:rsidR="009D7677" w:rsidRDefault="009D7677" w:rsidP="009D7677">
      <w:pPr>
        <w:pStyle w:val="TextoNormal"/>
      </w:pPr>
    </w:p>
    <w:p w14:paraId="7B209472" w14:textId="77777777" w:rsidR="009D7677" w:rsidRDefault="009D7677" w:rsidP="009D7677">
      <w:pPr>
        <w:pStyle w:val="TextoNormal"/>
      </w:pPr>
      <w:r>
        <w:t>Igualmente, llama la atención que se argumente que la repetición del juicio no fue interesada de forma expresa y clara por los afectados, tras señalar que la solicitud de ejecución de la sentencia del Tribunal Europeo de Derechos Humanos se efectuó en un modo sumamente equívoco y que la declaración de nulidad con retroacción no puede considerarse ajena a la solicitud de reparación formulada por los recurrentes en amparo por la vía del recurso de revisión, que dicha petición suponía la reanudación del procedimiento penal originario a partir del propio trámite casacional, e incluso que la decisión del Tribunal Supremo fue el resultado lógico de la vía de reparación elegida por los recurrentes.</w:t>
      </w:r>
    </w:p>
    <w:p w14:paraId="11E015F5" w14:textId="77777777" w:rsidR="009D7677" w:rsidRDefault="009D7677" w:rsidP="009D7677">
      <w:pPr>
        <w:pStyle w:val="TextoNormal"/>
      </w:pPr>
    </w:p>
    <w:p w14:paraId="791FF2BC" w14:textId="77777777" w:rsidR="009D7677" w:rsidRDefault="009D7677" w:rsidP="009D7677">
      <w:pPr>
        <w:pStyle w:val="TextoNormal"/>
      </w:pPr>
      <w:r>
        <w:t>Dicha solución, como hemos apuntado, era la única posible en nuestro Derecho interno, extremo que la experimentada defensa letrada de los recurrentes no podía ignorar.</w:t>
      </w:r>
    </w:p>
    <w:p w14:paraId="52F1A31B" w14:textId="77777777" w:rsidR="009D7677" w:rsidRDefault="009D7677" w:rsidP="009D7677">
      <w:pPr>
        <w:pStyle w:val="TextoNormal"/>
      </w:pPr>
    </w:p>
    <w:p w14:paraId="4BF70E53" w14:textId="77777777" w:rsidR="009D7677" w:rsidRDefault="009D7677" w:rsidP="009D7677">
      <w:pPr>
        <w:pStyle w:val="TextoNormal"/>
      </w:pPr>
      <w:r>
        <w:t xml:space="preserve">Pese a ello, la parte, tras instar la reapertura de la causa, interesó la nulidad de la sentencia, sin nuevo juicio, pedimento equivalente a un pronunciamiento absolutorio, lo que se infiere con claridad de la solicitud formulada en su momento por los recurrentes que pidieron la declaración de nulidad de la sentencia de la Audiencia Nacional y la comunicación de tal declaración a la Sección Cuarta de la Sala de lo Penal, para que dejase sin efecto cualquiera de las penas o medidas que puedan encontrarse en vigor como consecuencia de las condenas dictadas, sean de naturaleza personal (privativas de libertad o privativas de derechos) o de naturaleza real, y ordenando la cancelación de las anotaciones que de las mismas se haya podido realizar en los registros o archivos de las administraciones públicas, en particular en el registro de penados y rebeldes, para finalmente decretar el posterior archivo de la ejecutoria 211-2012 incoada en la causa y lo demás que en Derecho </w:t>
      </w:r>
      <w:r>
        <w:lastRenderedPageBreak/>
        <w:t>proceda, pedimento que, como hemos indicado, no podía ser acogido sin la celebración de nuevo juicio.</w:t>
      </w:r>
    </w:p>
    <w:p w14:paraId="32CA2AF4" w14:textId="77777777" w:rsidR="009D7677" w:rsidRDefault="009D7677" w:rsidP="009D7677">
      <w:pPr>
        <w:pStyle w:val="TextoNormal"/>
      </w:pPr>
    </w:p>
    <w:p w14:paraId="46138451" w14:textId="77777777" w:rsidR="009D7677" w:rsidRDefault="009D7677" w:rsidP="009D7677">
      <w:pPr>
        <w:pStyle w:val="TextoNormal"/>
      </w:pPr>
      <w:r>
        <w:t>Por otro lado, no cabe admitir que la celebración del juicio resultare inútil por haber sido ya cumplida la pena, lo que hubiera comportad</w:t>
      </w:r>
      <w:r w:rsidRPr="009D7677">
        <w:rPr>
          <w:i/>
        </w:rPr>
        <w:t>o a limi</w:t>
      </w:r>
      <w:r>
        <w:t>ne la improcedencia de la revisión instada por los condenados.</w:t>
      </w:r>
    </w:p>
    <w:p w14:paraId="138AE35A" w14:textId="77777777" w:rsidR="009D7677" w:rsidRDefault="009D7677" w:rsidP="009D7677">
      <w:pPr>
        <w:pStyle w:val="TextoNormal"/>
      </w:pPr>
    </w:p>
    <w:p w14:paraId="4D4EDF76" w14:textId="77777777" w:rsidR="009D7677" w:rsidRDefault="009D7677" w:rsidP="009D7677">
      <w:pPr>
        <w:pStyle w:val="TextoNormal"/>
      </w:pPr>
      <w:r>
        <w:t>En contra de lo señalado en la sentencia de la que discrepamos, de los antecedentes que constan en la ejecutoria se infiere que las penas no habían sido cumplidas en su totalidad, ni cuando se instó la revisión, ni cuando fue dictada la sentencia de casación ahora recurrida en amparo, siendo ese pretendido cumplimiento un argumento esencial de la sentencia objeto de nuestra discrepancia, en el que se viene a sustentar la vulneración del derecho a la tutela judicial efectiva anudada a la retroacción de actuaciones impugnada.</w:t>
      </w:r>
    </w:p>
    <w:p w14:paraId="49E308BD" w14:textId="77777777" w:rsidR="009D7677" w:rsidRDefault="009D7677" w:rsidP="009D7677">
      <w:pPr>
        <w:pStyle w:val="TextoNormal"/>
      </w:pPr>
    </w:p>
    <w:p w14:paraId="280D0719" w14:textId="77777777" w:rsidR="009D7677" w:rsidRDefault="009D7677" w:rsidP="009D7677">
      <w:pPr>
        <w:pStyle w:val="TextoNormal"/>
      </w:pPr>
      <w:r>
        <w:t>Cuando fue dictada la sentencia del Pleno de la Sala de lo Penal del Tribunal Supremo núm. 692/2020 recurrida en amparo, el 15 de diciembre de 2020, las penas impuestas a los recurrentes no habían sido íntegramente cumplidas.</w:t>
      </w:r>
    </w:p>
    <w:p w14:paraId="2DF69FE3" w14:textId="77777777" w:rsidR="009D7677" w:rsidRDefault="009D7677" w:rsidP="009D7677">
      <w:pPr>
        <w:pStyle w:val="TextoNormal"/>
      </w:pPr>
    </w:p>
    <w:p w14:paraId="63B309EB" w14:textId="77777777" w:rsidR="009D7677" w:rsidRDefault="009D7677" w:rsidP="009D7677">
      <w:pPr>
        <w:pStyle w:val="TextoNormal"/>
      </w:pPr>
      <w:r>
        <w:t>Consta en las actuaciones que el 24 de enero de 2013 fue dictada providencia por la Sección Cuarta de la Sala de lo Penal de la Audiencia Nacional, que aprobó “la liquidación de condena de la pena de inhabilitación especial para el ejercicio del derecho de sufragio pasivo e inhabilitación especial para empleo o cargo público, por tiempo de seis años y seis meses, practicada al penado Arnaldo Otegi Mondragón”, en la que consta que comenzó a cumplirla el 4 de septiembre de 2014 y que la dejaría extinguida el 28 de febrero de 2021.</w:t>
      </w:r>
    </w:p>
    <w:p w14:paraId="4D86E1EA" w14:textId="77777777" w:rsidR="009D7677" w:rsidRDefault="009D7677" w:rsidP="009D7677">
      <w:pPr>
        <w:pStyle w:val="TextoNormal"/>
      </w:pPr>
    </w:p>
    <w:p w14:paraId="3A724028" w14:textId="77777777" w:rsidR="009D7677" w:rsidRDefault="009D7677" w:rsidP="009D7677">
      <w:pPr>
        <w:pStyle w:val="TextoNormal"/>
      </w:pPr>
      <w:r>
        <w:t>En virtud de todo lo anterior, consideramos que la sentencia recurrida en amparo se ajusta a la opción para la ejecución de la sentencia del Tribunal Europeo de Derechos Humanos libremente elegida por los recurrentes, que comportaba la reapertura del procedimiento, la nulidad de la primera sentencia de casación, el nuevo señalamiento para deliberación y fallo del recurso, con el cual se mostraron conformes los recurrentes, y la nulidad de la sentencia de la Sección Cuarta de la Sala de lo Penal de la Audiencia Nacional, con retroacción de las actuaciones para la celebración de nuevo juicio por un tribunal con diferente composición, única decisión conforme al Derecho interno y que deriva de la pretensión de los demandantes dirigida al Tribunal Supremo.</w:t>
      </w:r>
    </w:p>
    <w:p w14:paraId="3B33F7F5" w14:textId="77777777" w:rsidR="009D7677" w:rsidRDefault="009D7677" w:rsidP="009D7677">
      <w:pPr>
        <w:pStyle w:val="TextoNormal"/>
      </w:pPr>
    </w:p>
    <w:p w14:paraId="4F06F7D8" w14:textId="77777777" w:rsidR="009D7677" w:rsidRDefault="009D7677" w:rsidP="009D7677">
      <w:pPr>
        <w:pStyle w:val="TextoNormal"/>
      </w:pPr>
      <w:r>
        <w:t>Concluimos, por tanto, que el recurso de amparo debió ser inadmitido o, subsidiariamente, desestimado.</w:t>
      </w:r>
    </w:p>
    <w:p w14:paraId="2DDF0A63" w14:textId="77777777" w:rsidR="009D7677" w:rsidRDefault="009D7677" w:rsidP="009D7677">
      <w:pPr>
        <w:pStyle w:val="TextoNormal"/>
      </w:pPr>
    </w:p>
    <w:p w14:paraId="307C4E23" w14:textId="77777777" w:rsidR="009D7677" w:rsidRDefault="009D7677" w:rsidP="009D7677">
      <w:pPr>
        <w:pStyle w:val="TextoNormal"/>
      </w:pPr>
      <w:r>
        <w:t>Y en tal sentido emitimos nuestro voto particular discrepante a la sentencia dictada en el presente recurso.</w:t>
      </w:r>
    </w:p>
    <w:p w14:paraId="25E1F863" w14:textId="77777777" w:rsidR="009D7677" w:rsidRDefault="009D7677" w:rsidP="009D7677">
      <w:pPr>
        <w:pStyle w:val="TextoNormal"/>
      </w:pPr>
    </w:p>
    <w:p w14:paraId="590CE049" w14:textId="6902A722" w:rsidR="009D7677" w:rsidRDefault="009D7677" w:rsidP="009D7677">
      <w:pPr>
        <w:pStyle w:val="TextoNormal"/>
      </w:pPr>
      <w:r>
        <w:t>Madrid, a veintidós de enero de dos mil veinticuatro.</w:t>
      </w:r>
    </w:p>
    <w:p w14:paraId="1F4C2B4A" w14:textId="48257A38" w:rsidR="009D7677" w:rsidRDefault="009D7677">
      <w:pPr>
        <w:spacing w:after="160" w:line="259" w:lineRule="auto"/>
        <w:rPr>
          <w:rFonts w:ascii="Times New Roman" w:eastAsia="Times New Roman" w:hAnsi="Times New Roman" w:cs="Times New Roman"/>
          <w:sz w:val="24"/>
          <w:szCs w:val="24"/>
          <w:lang w:eastAsia="es-ES"/>
        </w:rPr>
      </w:pPr>
      <w:r>
        <w:br w:type="page"/>
      </w:r>
    </w:p>
    <w:p w14:paraId="061EA806" w14:textId="77777777" w:rsidR="009D7677" w:rsidRDefault="009D7677" w:rsidP="009D7677">
      <w:pPr>
        <w:pStyle w:val="TtuloResolucin"/>
      </w:pPr>
      <w:bookmarkStart w:id="12" w:name="SENTENCIA_2024_10"/>
      <w:r>
        <w:lastRenderedPageBreak/>
        <w:t>SENTENCIA 10/2024, de 18 de enero de 2024</w:t>
      </w:r>
    </w:p>
    <w:bookmarkEnd w:id="12"/>
    <w:p w14:paraId="369881DB" w14:textId="77777777" w:rsidR="009D7677" w:rsidRDefault="009D7677" w:rsidP="009D7677">
      <w:pPr>
        <w:pStyle w:val="TtuloResolucin"/>
      </w:pPr>
      <w:r>
        <w:t>Pleno</w:t>
      </w:r>
    </w:p>
    <w:p w14:paraId="30E38708" w14:textId="77777777" w:rsidR="009D7677" w:rsidRDefault="009D7677" w:rsidP="009D7677">
      <w:pPr>
        <w:pStyle w:val="TtuloBOE"/>
      </w:pPr>
      <w:r>
        <w:t>(BOE núm. 45, de 20 de febrero de 2024)</w:t>
      </w:r>
    </w:p>
    <w:p w14:paraId="27E052D4" w14:textId="77777777" w:rsidR="009D7677" w:rsidRDefault="009D7677" w:rsidP="009D7677">
      <w:pPr>
        <w:pStyle w:val="TextoNormalCentrado"/>
      </w:pPr>
      <w:r>
        <w:t>ECLI:ES:TC:2024:10</w:t>
      </w:r>
    </w:p>
    <w:p w14:paraId="1AF170D9" w14:textId="3B82E6E2" w:rsidR="009D7677" w:rsidRDefault="009D7677" w:rsidP="009D7677">
      <w:pPr>
        <w:pStyle w:val="TextoNormalCentrado"/>
      </w:pPr>
    </w:p>
    <w:p w14:paraId="4339E1D7" w14:textId="77777777" w:rsidR="009D7677" w:rsidRDefault="009D7677" w:rsidP="009D7677">
      <w:pPr>
        <w:pStyle w:val="SntesisDescriptiva"/>
      </w:pPr>
      <w:r>
        <w:t>Recurso de amparo 843-2021. Promovido por doña Concepción Gamarra Ruiz-Clavijo y doña Isabel Borrego Cortés respecto de las resoluciones de la presidenta y la mesa del Congreso de los Diputados que deniegan la solicitud de remisión de un dictamen del Consejo de Estado.</w:t>
      </w:r>
    </w:p>
    <w:p w14:paraId="2D4212EC" w14:textId="5DB6A737" w:rsidR="009D7677" w:rsidRDefault="009D7677" w:rsidP="009D7677">
      <w:pPr>
        <w:pStyle w:val="SntesisDescriptiva"/>
      </w:pPr>
    </w:p>
    <w:p w14:paraId="1F259CCD" w14:textId="77777777" w:rsidR="009D7677" w:rsidRDefault="009D7677" w:rsidP="009D7677">
      <w:pPr>
        <w:pStyle w:val="SntesisAnaltica"/>
      </w:pPr>
      <w:r>
        <w:t>Supuesta vulneración del derecho al ejercicio del cargo representativo: resoluciones de los órganos de gobierno de la Cámara que no afectaron al núcleo de la función representativa al denegar la solicitud de remisión por el Gobierno de un dictamen del Consejo de Estado con ocasión de la convalidación de un decreto ley y su posterior tramitación como proyecto de ley. Voto particular.</w:t>
      </w:r>
    </w:p>
    <w:p w14:paraId="6B3B24E8" w14:textId="456A6EB3" w:rsidR="009D7677" w:rsidRDefault="009D7677" w:rsidP="009D7677">
      <w:pPr>
        <w:pStyle w:val="SntesisAnaltica"/>
      </w:pPr>
    </w:p>
    <w:p w14:paraId="34717E8E" w14:textId="0110D54C" w:rsidR="009D7677" w:rsidRDefault="009D7677" w:rsidP="009D7677">
      <w:pPr>
        <w:pStyle w:val="Extracto"/>
      </w:pPr>
      <w:r>
        <w:t>1.</w:t>
      </w:r>
      <w:r>
        <w:tab/>
        <w:t>La ausencia de un informe puede llegar a viciar el proceso de formación de la voluntad de la Cámara legislativa, en función de si la normativa aplicable le otorga carácter preceptivo o facultativo (STC 108/1986 y ATC 342/2006) [FJ 2].</w:t>
      </w:r>
    </w:p>
    <w:p w14:paraId="33B8A0EB" w14:textId="77777777" w:rsidR="009D7677" w:rsidRDefault="009D7677" w:rsidP="009D7677">
      <w:pPr>
        <w:pStyle w:val="Extracto"/>
      </w:pPr>
    </w:p>
    <w:p w14:paraId="66100E57" w14:textId="3FBA1BF1" w:rsidR="009D7677" w:rsidRDefault="009D7677" w:rsidP="009D7677">
      <w:pPr>
        <w:pStyle w:val="Extracto"/>
      </w:pPr>
      <w:r>
        <w:t>2.</w:t>
      </w:r>
      <w:r>
        <w:tab/>
        <w:t>Es preciso distinguir entre los supuestos en los que una consulta venga impuesta por una norma integrante del bloque de constitucionalidad -en cuyo caso la ausencia de informe constituye motivo para la declaración de inconstitucionalidad (SSTC 35/1984 y 13/2015)-, de aquellos otros en los que no ocurre así, en los que la falta de un determinado antecedente solo tiene trascendencia si priva a las Cámaras de un elemento necesario para su decisión [SSTC 108/1986 y 238/2012) [FJ 2].</w:t>
      </w:r>
    </w:p>
    <w:p w14:paraId="52EE8F66" w14:textId="77777777" w:rsidR="009D7677" w:rsidRDefault="009D7677" w:rsidP="009D7677">
      <w:pPr>
        <w:pStyle w:val="Extracto"/>
      </w:pPr>
    </w:p>
    <w:p w14:paraId="0FEA3D24" w14:textId="1387DB9F" w:rsidR="009D7677" w:rsidRDefault="009D7677" w:rsidP="009D7677">
      <w:pPr>
        <w:pStyle w:val="Extracto"/>
      </w:pPr>
      <w:r>
        <w:t>3.</w:t>
      </w:r>
      <w:r>
        <w:tab/>
        <w:t>Cuando el Gobierno aprueba y remite al Congreso de los Diputados un real decreto-ley que pasa a tramitarse como proyecto de ley no muta su verdadero origen y naturaleza. Se trata de dos tipos normativos distintos, por más que por una decisión de la Cámara el real decreto-ley, una vez superado el trámite de convalidación, quede sujeto al mismo procedimiento parlamentario que siguen los proyectos de ley [FJ 4].</w:t>
      </w:r>
    </w:p>
    <w:p w14:paraId="69EFFD24" w14:textId="77777777" w:rsidR="009D7677" w:rsidRDefault="009D7677" w:rsidP="009D7677">
      <w:pPr>
        <w:pStyle w:val="Extracto"/>
      </w:pPr>
    </w:p>
    <w:p w14:paraId="4862C431" w14:textId="77777777" w:rsidR="009D7677" w:rsidRDefault="009D7677" w:rsidP="009D7677">
      <w:pPr>
        <w:pStyle w:val="Extracto"/>
      </w:pPr>
    </w:p>
    <w:p w14:paraId="3B947737" w14:textId="77777777" w:rsidR="009D7677" w:rsidRDefault="009D7677" w:rsidP="009D7677">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ha pronunciado</w:t>
      </w:r>
    </w:p>
    <w:p w14:paraId="6E658636" w14:textId="2CFB3106" w:rsidR="009D7677" w:rsidRDefault="009D7677" w:rsidP="009D7677">
      <w:pPr>
        <w:pStyle w:val="TextoNormal"/>
      </w:pPr>
    </w:p>
    <w:p w14:paraId="06EB70CA" w14:textId="77777777" w:rsidR="009D7677" w:rsidRDefault="009D7677" w:rsidP="009D7677">
      <w:pPr>
        <w:pStyle w:val="TextoNormalCentrado"/>
        <w:keepNext/>
      </w:pPr>
      <w:r>
        <w:t>EN NOMBRE DEL REY</w:t>
      </w:r>
    </w:p>
    <w:p w14:paraId="1BA3A268" w14:textId="6F9A20DB" w:rsidR="009D7677" w:rsidRDefault="009D7677" w:rsidP="009D7677">
      <w:pPr>
        <w:pStyle w:val="TextoNormalCentrado"/>
        <w:keepNext/>
      </w:pPr>
    </w:p>
    <w:p w14:paraId="2D9D3525" w14:textId="77777777" w:rsidR="009D7677" w:rsidRDefault="009D7677" w:rsidP="009D7677">
      <w:pPr>
        <w:pStyle w:val="TextoNormalCentrado"/>
        <w:keepNext/>
      </w:pPr>
    </w:p>
    <w:p w14:paraId="31BD82F8" w14:textId="77777777" w:rsidR="009D7677" w:rsidRDefault="009D7677" w:rsidP="009D7677">
      <w:pPr>
        <w:pStyle w:val="TextoNormal"/>
      </w:pPr>
      <w:r>
        <w:t>la siguiente</w:t>
      </w:r>
    </w:p>
    <w:p w14:paraId="744D6F18" w14:textId="59ABE002" w:rsidR="009D7677" w:rsidRDefault="009D7677" w:rsidP="009D7677">
      <w:pPr>
        <w:pStyle w:val="TextoNormal"/>
      </w:pPr>
    </w:p>
    <w:p w14:paraId="661ED4EF" w14:textId="77777777" w:rsidR="009D7677" w:rsidRDefault="009D7677" w:rsidP="009D7677">
      <w:pPr>
        <w:pStyle w:val="TextoNormalCentrado"/>
        <w:keepNext/>
      </w:pPr>
      <w:r>
        <w:lastRenderedPageBreak/>
        <w:t>SENTENCIA</w:t>
      </w:r>
    </w:p>
    <w:p w14:paraId="71AB205D" w14:textId="4D0579CF" w:rsidR="009D7677" w:rsidRDefault="009D7677" w:rsidP="009D7677">
      <w:pPr>
        <w:pStyle w:val="TextoNormalCentrado"/>
        <w:keepNext/>
      </w:pPr>
    </w:p>
    <w:p w14:paraId="41C303C2" w14:textId="77777777" w:rsidR="009D7677" w:rsidRDefault="009D7677" w:rsidP="009D7677">
      <w:pPr>
        <w:pStyle w:val="TextoNormal"/>
      </w:pPr>
      <w:r>
        <w:t>En el recurso de amparo núm. 843-2021, interpuesto por doña Concepción Gamarra Ruiz-Clavijo y doña Isabel Borrego Cortés, portavoz y secretaria general adjunta del Grupo Parlamentario Popular en el Congreso de los Diputados, representadas por el procurador de los tribunales don Manuel Sánchez-Puelles González-Carvajal, contra (i) el acuerdo de la presidenta del Congreso de los Diputados, de 4 de febrero de 2021, por el que se deniega la convocatoria de reunión extraordinaria de la mesa y se informa de que para la convalidación de los decretos-leyes es requisito suficiente que hayan sido publicados en el “Boletín Oficial del Estado”, no siendo preceptiva ni condición de validez del procedimiento la remisión por el Gobierno de los informes recabados con ocasión de su aprobación, sin perjuicio de la facultad de los diputados de recabar de las administraciones públicas los informes o documentos que obren en poder de estas y (ii) el acuerdo de la mesa del Congreso de los Diputados, de 9 de febrero de 2021, por el que se comunica al Grupo Parlamentario Popular que para la convalidación de los decretos-leyes es requisito suficiente que hayan sido publicados en el “Boletín Oficial del Estado”, no siendo preceptiva ni condición de validez del procedimiento la remisión por el Gobierno de otros documentos o informes recabados con ocasión de su aprobación, sin perjuicio de la facultad de los diputados de recabar de las administraciones públicas los informes o documentos que obren en poder de estas, así como ejercer las iniciativas de control de la acción del Gobierno que estimen oportunas. Ha comparecido el Congreso de los Diputados, representado por la letrada de las Cortes Generales doña Paloma Martínez Santa María, y ha intervenido el Ministerio Fiscal. Ha sido ponente la magistrada doña Laura Díez Bueso.</w:t>
      </w:r>
    </w:p>
    <w:p w14:paraId="2C99894B" w14:textId="33E70BF8" w:rsidR="009D7677" w:rsidRDefault="009D7677" w:rsidP="009D7677">
      <w:pPr>
        <w:pStyle w:val="TextoNormal"/>
      </w:pPr>
    </w:p>
    <w:p w14:paraId="4E4FC349" w14:textId="77777777" w:rsidR="009D7677" w:rsidRDefault="009D7677" w:rsidP="009D7677">
      <w:pPr>
        <w:pStyle w:val="TextoNormalNegritaCentrado"/>
        <w:keepNext/>
      </w:pPr>
      <w:r>
        <w:t>I. Antecedentes</w:t>
      </w:r>
    </w:p>
    <w:p w14:paraId="4D011DE1" w14:textId="3EE4103D" w:rsidR="009D7677" w:rsidRDefault="009D7677" w:rsidP="009D7677">
      <w:pPr>
        <w:pStyle w:val="TextoNormalNegritaCentrado"/>
        <w:keepNext/>
      </w:pPr>
    </w:p>
    <w:p w14:paraId="37852EEF" w14:textId="6E66D028" w:rsidR="009D7677" w:rsidRDefault="009D7677" w:rsidP="009D7677">
      <w:pPr>
        <w:pStyle w:val="TextoNormal"/>
      </w:pPr>
      <w:r w:rsidRPr="009D7677">
        <w:rPr>
          <w:rStyle w:val="NumeroAFNegritaCaracter"/>
        </w:rPr>
        <w:t>1</w:t>
      </w:r>
      <w:r>
        <w:t>. Mediante escrito presentado en este tribunal el 12 de febrero de 2021, don Manuel Sánchez-Puelles González-Carvajal, procurador de los tribunales y de doña Concepción Gamarra Ruiz-Clavijo y doña Isabel Borrego Cortés, portavoz y secretaria general adjunta del Grupo Parlamentario Popular en el Congreso de los Diputados, formuló demanda de amparo contra los acuerdos de la presidenta y de la mesa del Congreso de los Diputados a los que se ha hecho mención en el encabezamiento.</w:t>
      </w:r>
    </w:p>
    <w:p w14:paraId="0626F56A" w14:textId="77777777" w:rsidR="009D7677" w:rsidRDefault="009D7677" w:rsidP="009D7677">
      <w:pPr>
        <w:pStyle w:val="TextoNormal"/>
      </w:pPr>
    </w:p>
    <w:p w14:paraId="34B3E2C3" w14:textId="77777777" w:rsidR="009D7677" w:rsidRDefault="009D7677" w:rsidP="009D7677">
      <w:pPr>
        <w:pStyle w:val="TextoNormal"/>
      </w:pPr>
      <w:r w:rsidRPr="009D7677">
        <w:rPr>
          <w:rStyle w:val="NumeroAFNegritaCaracter"/>
        </w:rPr>
        <w:t>2</w:t>
      </w:r>
      <w:r>
        <w:t>. El recurso tiene su origen en los siguientes antecedentes:</w:t>
      </w:r>
    </w:p>
    <w:p w14:paraId="04F2A3BB" w14:textId="77777777" w:rsidR="009D7677" w:rsidRDefault="009D7677" w:rsidP="009D7677">
      <w:pPr>
        <w:pStyle w:val="TextoNormal"/>
      </w:pPr>
    </w:p>
    <w:p w14:paraId="269F48C9" w14:textId="77777777" w:rsidR="009D7677" w:rsidRDefault="009D7677" w:rsidP="009D7677">
      <w:pPr>
        <w:pStyle w:val="TextoNormal"/>
      </w:pPr>
      <w:r>
        <w:t>a) En la reunión del Consejo de Ministros de 22 de diciembre de 2020 se aprobó el Real Decreto-ley 36/2020, de 30 de diciembre, por el que se aprueban medidas urgentes para la modernización de la administración pública y para la ejecución del Plan de recuperación, transformación y resiliencia.</w:t>
      </w:r>
    </w:p>
    <w:p w14:paraId="7CC6159E" w14:textId="77777777" w:rsidR="009D7677" w:rsidRDefault="009D7677" w:rsidP="009D7677">
      <w:pPr>
        <w:pStyle w:val="TextoNormal"/>
      </w:pPr>
    </w:p>
    <w:p w14:paraId="03F168FF" w14:textId="77777777" w:rsidR="009D7677" w:rsidRDefault="009D7677" w:rsidP="009D7677">
      <w:pPr>
        <w:pStyle w:val="TextoNormal"/>
      </w:pPr>
      <w:r>
        <w:t>Dicho real decreto-ley se publicó en el “Boletín Oficial del Estado” núm. 341, de 31 de diciembre de 2020, y fue remitido al Congreso de los Diputados el 4 de enero de 2021, a los efectos de lo dispuesto en los artículos 86.1 CE y 151.1 del Reglamento del Congreso de los Diputados (RCD), acompañado de la memoria abreviada de análisis de impacto normativo.</w:t>
      </w:r>
    </w:p>
    <w:p w14:paraId="73432F5D" w14:textId="77777777" w:rsidR="009D7677" w:rsidRDefault="009D7677" w:rsidP="009D7677">
      <w:pPr>
        <w:pStyle w:val="TextoNormal"/>
      </w:pPr>
    </w:p>
    <w:p w14:paraId="3B8716BC" w14:textId="77777777" w:rsidR="009D7677" w:rsidRDefault="009D7677" w:rsidP="009D7677">
      <w:pPr>
        <w:pStyle w:val="TextoNormal"/>
      </w:pPr>
      <w:r>
        <w:lastRenderedPageBreak/>
        <w:t>La memoria de análisis de impacto normativo indicaba en su apartado “Informes evacuados” (pág. 4) que se habían recabado los siguientes: (i) el informe de la intervención delegada de la Intervención General de la Administración del Estado en el Ministerio de la Presidencia, Relaciones con las Cortes y Memoria Democrática; (ii) el informe de la Oficina de Coordinación y Calidad Normativa; y (iii) el dictamen de la Comisión Permanente del Consejo de Estado núm. 783/2020, de 21 de diciembre de 2020, a que se refiere este recurso de amparo. En las páginas 25 a 27 de la memoria de análisis de impacto normativo se trascribían algunos fragmentos del dictamen del Consejo de Estado. Ninguno de estos informes fue remitido al Congreso de los Diputados.</w:t>
      </w:r>
    </w:p>
    <w:p w14:paraId="731FD964" w14:textId="77777777" w:rsidR="009D7677" w:rsidRDefault="009D7677" w:rsidP="009D7677">
      <w:pPr>
        <w:pStyle w:val="TextoNormal"/>
      </w:pPr>
    </w:p>
    <w:p w14:paraId="63CF0660" w14:textId="77777777" w:rsidR="009D7677" w:rsidRDefault="009D7677" w:rsidP="009D7677">
      <w:pPr>
        <w:pStyle w:val="TextoNormal"/>
      </w:pPr>
      <w:r>
        <w:t>b) El Real Decreto-ley 36/2020 se convalidó en la sesión plenaria de 28 de enero de 2021, acordándose su tramitación como proyecto de ley por el procedimiento de urgencia.</w:t>
      </w:r>
    </w:p>
    <w:p w14:paraId="325B4D33" w14:textId="77777777" w:rsidR="009D7677" w:rsidRDefault="009D7677" w:rsidP="009D7677">
      <w:pPr>
        <w:pStyle w:val="TextoNormal"/>
      </w:pPr>
    </w:p>
    <w:p w14:paraId="310BDD4E" w14:textId="77777777" w:rsidR="009D7677" w:rsidRDefault="009D7677" w:rsidP="009D7677">
      <w:pPr>
        <w:pStyle w:val="TextoNormal"/>
      </w:pPr>
      <w:r>
        <w:t>c) Con fecha 2 de febrero de 2021 la mesa del Congreso de los Diputados acordó encomendar su aprobación con competencia legislativa plena y por el procedimiento de urgencia, conforme a los artículos 148 y 151.4 RCD, a la Comisión de Asuntos Económicos y Transformación Digital, así como abrir un plazo de ocho días hábiles para la presentación de enmiendas, que expiraba el día 15 de febrero de 2021.</w:t>
      </w:r>
    </w:p>
    <w:p w14:paraId="3A642B87" w14:textId="77777777" w:rsidR="009D7677" w:rsidRDefault="009D7677" w:rsidP="009D7677">
      <w:pPr>
        <w:pStyle w:val="TextoNormal"/>
      </w:pPr>
    </w:p>
    <w:p w14:paraId="044741A1" w14:textId="77777777" w:rsidR="009D7677" w:rsidRDefault="009D7677" w:rsidP="009D7677">
      <w:pPr>
        <w:pStyle w:val="TextoNormal"/>
      </w:pPr>
      <w:r>
        <w:t>d) El día 3 de febrero de 2021, doña Concepción Gamarra Ruiz-Clavijo, en su condición de portavoz del Grupo Parlamentario Popular, presentó dos escritos: uno dirigido a la dirección técnica parlamentaria (número de expediente 420/000128/0000) y otro a la presidenta del Congreso de los Diputados (número de expediente 025/000037/0000).</w:t>
      </w:r>
    </w:p>
    <w:p w14:paraId="632178EE" w14:textId="77777777" w:rsidR="009D7677" w:rsidRDefault="009D7677" w:rsidP="009D7677">
      <w:pPr>
        <w:pStyle w:val="TextoNormal"/>
      </w:pPr>
    </w:p>
    <w:p w14:paraId="4BE1E0A2" w14:textId="77777777" w:rsidR="009D7677" w:rsidRDefault="009D7677" w:rsidP="009D7677">
      <w:pPr>
        <w:pStyle w:val="TextoNormal"/>
      </w:pPr>
      <w:r>
        <w:t>En ellos se exponía que entre la documentación remitida por el Gobierno a los efectos de la convalidación del Real Decreto-ley 36/2020 no se encontraba el informe del Consejo de Estado, solicitado por el Gobierno.</w:t>
      </w:r>
    </w:p>
    <w:p w14:paraId="6FA1690B" w14:textId="77777777" w:rsidR="009D7677" w:rsidRDefault="009D7677" w:rsidP="009D7677">
      <w:pPr>
        <w:pStyle w:val="TextoNormal"/>
      </w:pPr>
    </w:p>
    <w:p w14:paraId="7F38A557" w14:textId="77777777" w:rsidR="009D7677" w:rsidRDefault="009D7677" w:rsidP="009D7677">
      <w:pPr>
        <w:pStyle w:val="TextoNormal"/>
      </w:pPr>
      <w:r>
        <w:t>Se señalaba que ni la Ley 50/1997, de 27 de noviembre, del Gobierno, ni la Ley Orgánica 3/1980, de 22 de abril, del Consejo de Estado establecen que sea preceptivo que el Gobierno solicite dictamen del Consejo de Estado, pero que una vez que se ha emitido, el mismo pasa a formar parte del expediente de elaboración de la norma y, por ende, debe formar parte de la documentación que el Gobierno debe remitir al Congreso de los Diputados a fin de que los diputados cuenten con toda la información necesaria para formarse una opinión antes de emitir su voto. Refería que el Real Decreto-ley había sido convalidado por el Congreso de los Diputados sin que la Cámara hubiera tenido los elementos necesarios para poder formarse un juicio adecuado a los efectos de configurar su voluntad.</w:t>
      </w:r>
    </w:p>
    <w:p w14:paraId="234CD169" w14:textId="77777777" w:rsidR="009D7677" w:rsidRDefault="009D7677" w:rsidP="009D7677">
      <w:pPr>
        <w:pStyle w:val="TextoNormal"/>
      </w:pPr>
    </w:p>
    <w:p w14:paraId="042AC80F" w14:textId="77777777" w:rsidR="009D7677" w:rsidRDefault="009D7677" w:rsidP="009D7677">
      <w:pPr>
        <w:pStyle w:val="TextoNormal"/>
      </w:pPr>
      <w:r>
        <w:t>En el escrito dirigido a la presidenta del Congreso añadía que “sustraer o hurtar al conocimiento del Congreso un documento tan relevante como este supone un grave vicio de procedimiento, porque ha impedido el correcto ejercicio de las funciones propias del Parlamento, al imposibilitar que el Congreso pueda expresar su voluntad conociendo todos los elementos en juego”.</w:t>
      </w:r>
    </w:p>
    <w:p w14:paraId="3998957B" w14:textId="77777777" w:rsidR="009D7677" w:rsidRDefault="009D7677" w:rsidP="009D7677">
      <w:pPr>
        <w:pStyle w:val="TextoNormal"/>
      </w:pPr>
    </w:p>
    <w:p w14:paraId="3F47F813" w14:textId="77777777" w:rsidR="009D7677" w:rsidRDefault="009D7677" w:rsidP="009D7677">
      <w:pPr>
        <w:pStyle w:val="TextoNormal"/>
      </w:pPr>
      <w:r>
        <w:t>Terminaba solicitando que se procediera a convocar de forma extraordinaria y urgente la mesa del Congreso para acordar:</w:t>
      </w:r>
    </w:p>
    <w:p w14:paraId="1B6D2905" w14:textId="77777777" w:rsidR="009D7677" w:rsidRDefault="009D7677" w:rsidP="009D7677">
      <w:pPr>
        <w:pStyle w:val="TextoNormal"/>
      </w:pPr>
    </w:p>
    <w:p w14:paraId="63F80801" w14:textId="77777777" w:rsidR="009D7677" w:rsidRDefault="009D7677" w:rsidP="009D7677">
      <w:pPr>
        <w:pStyle w:val="TextoNormal"/>
      </w:pPr>
      <w:r>
        <w:lastRenderedPageBreak/>
        <w:t>“1º Dirigirse al Gobierno para que remita inmediatamente el dictamen elaborado por el Consejo de Estado y que debería haber formado parte del expediente de elaboración del Real Decreto-ley 36/2020, de 22 de diciembre [</w:t>
      </w:r>
      <w:r w:rsidRPr="009D7677">
        <w:rPr>
          <w:i/>
        </w:rPr>
        <w:t>sic</w:t>
      </w:r>
      <w:r>
        <w:t>], por el que se aprueban medidas urgentes para la modernización de la administración pública y para la ejecución del Plan de recuperación, transformación y resiliencia.</w:t>
      </w:r>
    </w:p>
    <w:p w14:paraId="71FAD2F9" w14:textId="77777777" w:rsidR="009D7677" w:rsidRDefault="009D7677" w:rsidP="009D7677">
      <w:pPr>
        <w:pStyle w:val="TextoNormal"/>
      </w:pPr>
    </w:p>
    <w:p w14:paraId="197B1735" w14:textId="77777777" w:rsidR="009D7677" w:rsidRDefault="009D7677" w:rsidP="009D7677">
      <w:pPr>
        <w:pStyle w:val="TextoNormal"/>
      </w:pPr>
      <w:r>
        <w:t>2º Que los servicios jurídicos de la Cámara emitan informe urgente sobre las consecuencias jurídicas que tal hecho comporta sobre la validez del procedimiento de tramitación de la norma, y, específicamente, si tal hecho puede ser causa de nulidad de todo lo actuado por estos graves vicios de procedimiento.</w:t>
      </w:r>
    </w:p>
    <w:p w14:paraId="0F695A89" w14:textId="77777777" w:rsidR="009D7677" w:rsidRDefault="009D7677" w:rsidP="009D7677">
      <w:pPr>
        <w:pStyle w:val="TextoNormal"/>
      </w:pPr>
    </w:p>
    <w:p w14:paraId="2051DA00" w14:textId="77777777" w:rsidR="009D7677" w:rsidRDefault="009D7677" w:rsidP="009D7677">
      <w:pPr>
        <w:pStyle w:val="TextoNormal"/>
      </w:pPr>
      <w:r>
        <w:t>3º Igualmente, que al ostentar la representación de la Cámara en su conjunto, se dirija al presidente del Gobierno, reiterándole sus obligaciones constitucionales en relación con el Parlamento, entre ellas, remitir los expediente de elaboración de las normas completos, a fin de que los diputados puedan contar con todos los elementos de juicio necesarios para formar su voluntad”.</w:t>
      </w:r>
    </w:p>
    <w:p w14:paraId="483ECB91" w14:textId="77777777" w:rsidR="009D7677" w:rsidRDefault="009D7677" w:rsidP="009D7677">
      <w:pPr>
        <w:pStyle w:val="TextoNormal"/>
      </w:pPr>
    </w:p>
    <w:p w14:paraId="5AFA95DB" w14:textId="77777777" w:rsidR="009D7677" w:rsidRDefault="009D7677" w:rsidP="009D7677">
      <w:pPr>
        <w:pStyle w:val="TextoNormal"/>
      </w:pPr>
      <w:r>
        <w:t>e) Esta solicitud fue desestimada, por acuerdo de 4 de febrero de 2021 de la presidenta del Congreso de los Diputados, del siguiente tenor literal:</w:t>
      </w:r>
    </w:p>
    <w:p w14:paraId="5C95CE0F" w14:textId="77777777" w:rsidR="009D7677" w:rsidRDefault="009D7677" w:rsidP="009D7677">
      <w:pPr>
        <w:pStyle w:val="TextoNormal"/>
      </w:pPr>
    </w:p>
    <w:p w14:paraId="31C79272" w14:textId="77777777" w:rsidR="009D7677" w:rsidRDefault="009D7677" w:rsidP="009D7677">
      <w:pPr>
        <w:pStyle w:val="TextoNormal"/>
      </w:pPr>
      <w:r>
        <w:t>“En relación con su escrito de 3 de febrero por el que solicita de esta presidenta determinadas actuaciones en relación con la tramitación del Real Decreto-ley 36/2020, de 30 de diciembre, por el que se aprueban medidas urgentes para la modernización de la administración pública y para la ejecución del Plan de recuperación, transformación y resiliencia, los servicios de la secretaría general confirman que para la convalidación de los decretos-leyes por el Congreso de los Diputados es requisito suficiente, conforme a lo dispuesto en el artículo 151.1 del Reglamento de la Cámara, que hayan sido publicados en el ‘Boletín Oficial del Estado’, no siendo en modo alguno preceptiva, ni condición para la validez el procedimiento, la remisión por el Gobierno de otros documentos o informes que hayan podido ser recabados con ocasión de su aprobación.</w:t>
      </w:r>
    </w:p>
    <w:p w14:paraId="419B5C65" w14:textId="77777777" w:rsidR="009D7677" w:rsidRDefault="009D7677" w:rsidP="009D7677">
      <w:pPr>
        <w:pStyle w:val="TextoNormal"/>
      </w:pPr>
    </w:p>
    <w:p w14:paraId="306F71DC" w14:textId="77777777" w:rsidR="009D7677" w:rsidRDefault="009D7677" w:rsidP="009D7677">
      <w:pPr>
        <w:pStyle w:val="TextoNormal"/>
      </w:pPr>
      <w:r>
        <w:t>Por otra parte, todos los miembros del Congreso, previo conocimiento de su grupo parlamentario, pueden recabar de las administraciones públicas los informes o documentos que obren en poder de aquellas, dirigiendo una solicitud en dicho sentido que, en ese caso, sería tramitada en la reunión correspondiente de la mesa de la Cámara, a cuyo efecto no es necesaria la convocatoria de una reunión extraordinaria de este órgano de gobierno”.</w:t>
      </w:r>
    </w:p>
    <w:p w14:paraId="64F84E0D" w14:textId="77777777" w:rsidR="009D7677" w:rsidRDefault="009D7677" w:rsidP="009D7677">
      <w:pPr>
        <w:pStyle w:val="TextoNormal"/>
      </w:pPr>
    </w:p>
    <w:p w14:paraId="1DA55AE8" w14:textId="77777777" w:rsidR="009D7677" w:rsidRDefault="009D7677" w:rsidP="009D7677">
      <w:pPr>
        <w:pStyle w:val="TextoNormal"/>
      </w:pPr>
      <w:r>
        <w:t>f) El día inmediatamente posterior, el 5 de febrero de 2021, doña Concepción Gamarra Ruiz-Clavijo, en su condición de portavoz del Grupo Parlamentario Popular en el Congreso de los Diputados, dirigió a la presidenta del Congreso de los Diputados un nuevo escrito (número de expediente 025/000037/0001), en el que afirmaba el carácter preceptivo del dictamen, conforme a lo dispuesto en el art. 22.3 de la Ley Orgánica del Consejo de Estado, en relación con los arts. 63 y 64 y la modificación del Reglamento de emisiones industriales y de desarrollo de la Ley 16/2002, de 1 de julio, dado el carácter reglamentario que le atribuye la disposición final decimosegunda del Real Decreto-ley 36/2020.</w:t>
      </w:r>
    </w:p>
    <w:p w14:paraId="0A1249BA" w14:textId="77777777" w:rsidR="009D7677" w:rsidRDefault="009D7677" w:rsidP="009D7677">
      <w:pPr>
        <w:pStyle w:val="TextoNormal"/>
      </w:pPr>
    </w:p>
    <w:p w14:paraId="39A34CA3" w14:textId="77777777" w:rsidR="009D7677" w:rsidRDefault="009D7677" w:rsidP="009D7677">
      <w:pPr>
        <w:pStyle w:val="TextoNormal"/>
      </w:pPr>
      <w:r>
        <w:t>A continuación, efectuaba las siguientes consideraciones:</w:t>
      </w:r>
    </w:p>
    <w:p w14:paraId="0536F919" w14:textId="77777777" w:rsidR="009D7677" w:rsidRDefault="009D7677" w:rsidP="009D7677">
      <w:pPr>
        <w:pStyle w:val="TextoNormal"/>
      </w:pPr>
    </w:p>
    <w:p w14:paraId="03BFDEF7" w14:textId="77777777" w:rsidR="009D7677" w:rsidRDefault="009D7677" w:rsidP="009D7677">
      <w:pPr>
        <w:pStyle w:val="TextoNormal"/>
      </w:pPr>
      <w:r>
        <w:lastRenderedPageBreak/>
        <w:t>(i) En primer lugar, refería que la deficiente información por parte del Gobierno ha provocado que el Poder Legislativo, representante de la soberanía popular, no haya dispuesto de todos los elementos necesarios para poder configurar su voluntad, pues previamente a su convalidación “se ha hurtado un elemento esencial para la configuración de la voluntad del órgano”. Ante esta situación, el Congreso de los Diputados no puede permanecer pasivo y la presidenta, en nombre y representación de la Cámara, debe exigir que se le informe de modo completo para salvaguardar el adecuado ejercicio de las funciones legislativas y de control. Por ello solicita el amparo de la mesa de la Cámara para que pida explicaciones sobre los motivos que han llevado al Gobierno a ocultar la existencia del informe del Consejo de Estado y que se reclame la entrega de toda la documentación que conste en el expediente de aprobación del Real Decreto-ley, especialmente el mencionado informe del Consejo de Estado.</w:t>
      </w:r>
    </w:p>
    <w:p w14:paraId="187A84B0" w14:textId="77777777" w:rsidR="009D7677" w:rsidRDefault="009D7677" w:rsidP="009D7677">
      <w:pPr>
        <w:pStyle w:val="TextoNormal"/>
      </w:pPr>
    </w:p>
    <w:p w14:paraId="5B88F126" w14:textId="77777777" w:rsidR="009D7677" w:rsidRDefault="009D7677" w:rsidP="009D7677">
      <w:pPr>
        <w:pStyle w:val="TextoNormal"/>
      </w:pPr>
      <w:r>
        <w:t>(ii) En segundo lugar, afirma que el Gobierno ha incumplido la obligación prevista en el art. 2.2 de la Ley Orgánica del Consejo de Estado, al no mencionarse en el preámbulo del Real Decreto-ley que se había solicitado el informe al Consejo de Estado y, de “cara a la convalidación del Real Decreto-ley, esta omisión es todavía más grave”. Refiere que se han incumplido las exigencias de transparencia previstas en los apartados 1 y 5 del art. 129 de la Ley 39/2015, de 1 de octubre, de procedimiento administrativo común de las administraciones públicas (LPACAP) a cuyo Título VI remite al art. 22 de la Ley 50/1997, del Gobierno. Reproduce en apoyo de la obligación del Gobierno de remitir la documentación relativa al proceso de elaboración de la norma el apartado 8 del art. 26 de esta última ley.</w:t>
      </w:r>
    </w:p>
    <w:p w14:paraId="7C743B64" w14:textId="77777777" w:rsidR="009D7677" w:rsidRDefault="009D7677" w:rsidP="009D7677">
      <w:pPr>
        <w:pStyle w:val="TextoNormal"/>
      </w:pPr>
    </w:p>
    <w:p w14:paraId="19F0742A" w14:textId="77777777" w:rsidR="009D7677" w:rsidRDefault="009D7677" w:rsidP="009D7677">
      <w:pPr>
        <w:pStyle w:val="TextoNormal"/>
      </w:pPr>
      <w:r>
        <w:t>(iii) En tercer lugar, se debe solicitar al Consejo de Estado que conforme al art. 132 del Reglamento del Consejo de Estado incluya el dictamen en la base pública de dictámenes y en tanto esto no se produce requerirle el envío del informe al Congreso de los Diputados.</w:t>
      </w:r>
    </w:p>
    <w:p w14:paraId="35A1F065" w14:textId="77777777" w:rsidR="009D7677" w:rsidRDefault="009D7677" w:rsidP="009D7677">
      <w:pPr>
        <w:pStyle w:val="TextoNormal"/>
      </w:pPr>
    </w:p>
    <w:p w14:paraId="75C3266B" w14:textId="77777777" w:rsidR="009D7677" w:rsidRDefault="009D7677" w:rsidP="009D7677">
      <w:pPr>
        <w:pStyle w:val="TextoNormal"/>
      </w:pPr>
      <w:r>
        <w:t>(iv) En cuarto lugar, añade que el Real Decreto-ley 36/2020 se está tramitando como proyecto de ley, por lo que es todavía más necesario e imprescindible conforme al art. 88 CE y el art. 109 RCD que se solicite del Gobierno el envío a la Cámara de “los antecedentes necesarios para poder pronunciarse” sobre dicho proyecto de ley, debiendo suspenderse los plazos de tramitación parlamentaria del proyecto de ley para garantizar el adecuado ejercicio de la función legislativa, salvaguardando e</w:t>
      </w:r>
      <w:r w:rsidRPr="009D7677">
        <w:rPr>
          <w:i/>
        </w:rPr>
        <w:t>l ius in offici</w:t>
      </w:r>
      <w:r>
        <w:t>um de los parlamentarios.</w:t>
      </w:r>
    </w:p>
    <w:p w14:paraId="27F0BD60" w14:textId="77777777" w:rsidR="009D7677" w:rsidRDefault="009D7677" w:rsidP="009D7677">
      <w:pPr>
        <w:pStyle w:val="TextoNormal"/>
      </w:pPr>
    </w:p>
    <w:p w14:paraId="34F196FA" w14:textId="77777777" w:rsidR="009D7677" w:rsidRDefault="009D7677" w:rsidP="009D7677">
      <w:pPr>
        <w:pStyle w:val="TextoNormal"/>
      </w:pPr>
      <w:r>
        <w:t>Finaliza reiterando que en el escrito anterior se había solicitado una reunión extraordinaria de la mesa para no dilatar innecesariamente el requerimiento de toda la información disponible por parte del Gobierno. Indicaba también que no se trataba de discutir sobre la validez o no de la norma, sino de defender y garantizar las competencias y funciones del Poder Legislativo y el correcto ejercicio del derecho de representación política reconocido y protegido en el artículo 23 CE.</w:t>
      </w:r>
    </w:p>
    <w:p w14:paraId="4A69AA32" w14:textId="77777777" w:rsidR="009D7677" w:rsidRDefault="009D7677" w:rsidP="009D7677">
      <w:pPr>
        <w:pStyle w:val="TextoNormal"/>
      </w:pPr>
    </w:p>
    <w:p w14:paraId="6DB2B4AD" w14:textId="77777777" w:rsidR="009D7677" w:rsidRDefault="009D7677" w:rsidP="009D7677">
      <w:pPr>
        <w:pStyle w:val="TextoNormal"/>
      </w:pPr>
      <w:r>
        <w:t xml:space="preserve">g) La mesa del Congreso de los Diputados, en su reunión de 9 de febrero de 2021, en relación con el escrito número 025/000037/0001, acordó comunicar al grupo parlamentario “que para la convalidación de los decretos-leyes por el Congreso de los Diputados es requisito suficiente, conforme a lo dispuesto en el artículo 151.1 del Reglamento de la Cámara, que hayan sido publicados en el ‘Boletín Oficial del Estado’, no siendo preceptiva, ni condición para la validez del procedimiento, la remisión por el Gobierno de otros </w:t>
      </w:r>
      <w:r>
        <w:lastRenderedPageBreak/>
        <w:t>documentos o informes que hayan podido ser recabados con ocasión de su aprobación”. Todo ello sin perjuicio, además, de la facultad que tienen los diputados de recabar de las administraciones públicas, al amparo del artículo 7 del Reglamento, los informes o documentos que obren en poder de estas, así como ejercer las iniciativas de control de la acción del Gobierno que estimen oportunas.</w:t>
      </w:r>
    </w:p>
    <w:p w14:paraId="19104E71" w14:textId="77777777" w:rsidR="009D7677" w:rsidRDefault="009D7677" w:rsidP="009D7677">
      <w:pPr>
        <w:pStyle w:val="TextoNormal"/>
      </w:pPr>
    </w:p>
    <w:p w14:paraId="390F7A31" w14:textId="77777777" w:rsidR="009D7677" w:rsidRDefault="009D7677" w:rsidP="009D7677">
      <w:pPr>
        <w:pStyle w:val="TextoNormal"/>
      </w:pPr>
      <w:r>
        <w:t>h) Paralelamente, el 3 de febrero de 2021, doña Concepción Gamarra Ruiz-Clavijo, en su condición de portavoz del Grupo Parlamentario Popular del Congreso de los Diputados, solicitó del Ministerio de la Presidencia, Relaciones con las Cortes y Memoria Democrática, por conducto de la presidenta del Congreso de los Diputados, al amparo del artículo 7 RCD, copia del referido dictamen del Consejo de Estado. Con fecha 9 de marzo de 2021 tuvo entrada en el registro general del Congreso de los Diputados la respuesta del Gobierno a dicha solicitud, poniendo a su disposición el dictamen del Consejo de Estado a través del correspondiente enlace del sitio web del Consejo de Estado.</w:t>
      </w:r>
    </w:p>
    <w:p w14:paraId="320B0FF7" w14:textId="77777777" w:rsidR="009D7677" w:rsidRDefault="009D7677" w:rsidP="009D7677">
      <w:pPr>
        <w:pStyle w:val="TextoNormal"/>
      </w:pPr>
    </w:p>
    <w:p w14:paraId="0A92F7D2" w14:textId="77777777" w:rsidR="009D7677" w:rsidRDefault="009D7677" w:rsidP="009D7677">
      <w:pPr>
        <w:pStyle w:val="TextoNormal"/>
      </w:pPr>
      <w:r>
        <w:t>i) Según consta en el “Diario de Sesiones del Congreso de los Diputados”, en la sesión plenaria celebrada el 25 de febrero de 2021, tuvo lugar el debate de totalidad del proyecto de ley por el que se aprueban medidas urgentes para la modernización de la administración pública y para la ejecución del plan de recuperación, transformación y resiliencia, procedente del Real Decreto-ley 36/2020, de 30 de diciembre, respecto del cual el Grupo Parlamentario Ciudadanos en el Congreso de los Diputados había presentado una enmienda a la totalidad de texto alternativo, que resultó rechazada.</w:t>
      </w:r>
    </w:p>
    <w:p w14:paraId="1DB311C2" w14:textId="77777777" w:rsidR="009D7677" w:rsidRDefault="009D7677" w:rsidP="009D7677">
      <w:pPr>
        <w:pStyle w:val="TextoNormal"/>
      </w:pPr>
    </w:p>
    <w:p w14:paraId="14835AB9" w14:textId="725A1FDB" w:rsidR="009D7677" w:rsidRDefault="009D7677" w:rsidP="009D7677">
      <w:pPr>
        <w:pStyle w:val="TextoNormal"/>
      </w:pPr>
      <w:r>
        <w:t>j) El plazo de enmiendas al articulado del proyecto de ley por el que se aprueban medidas urgentes para la modernización de la administración pública y para la ejecución del plan de recuperación, transformación y resiliencia, procedente del Real Decreto-ley 36/2020, de 30 de diciembre, fue objeto de sucesivas prórrogas, hasta el 30 de mayo de 2023. En su reunión de 1 de junio de 2023, la mesa de la Diputación Permanente acordó, una vez producida la disolución del Congreso de los Diputados, la publicación de la relación de iniciativas ya calificadas que se hallaban en tramitación en el momento de la disolución y que caducaron como consecuencia de esta, entre las que se encontraba el referido proyecto de ley.</w:t>
      </w:r>
    </w:p>
    <w:p w14:paraId="398E9931" w14:textId="77777777" w:rsidR="009D7677" w:rsidRDefault="009D7677" w:rsidP="009D7677">
      <w:pPr>
        <w:pStyle w:val="TextoNormal"/>
      </w:pPr>
    </w:p>
    <w:p w14:paraId="1738CA93" w14:textId="77777777" w:rsidR="009D7677" w:rsidRDefault="009D7677" w:rsidP="009D7677">
      <w:pPr>
        <w:pStyle w:val="TextoNormal"/>
      </w:pPr>
      <w:r w:rsidRPr="009D7677">
        <w:rPr>
          <w:rStyle w:val="NumeroAFNegritaCaracter"/>
        </w:rPr>
        <w:t>3</w:t>
      </w:r>
      <w:r>
        <w:t xml:space="preserve">. En la demanda de amparo se denuncia una única vulneración, la del </w:t>
      </w:r>
      <w:r w:rsidRPr="009D7677">
        <w:rPr>
          <w:i/>
        </w:rPr>
        <w:t>ius in officium</w:t>
      </w:r>
      <w:r>
        <w:t xml:space="preserve"> integrado en el derecho fundamental reconocido en el art. 23.2 CE. Esta denuncia se basa en los argumentos que a continuación se sintetizan:</w:t>
      </w:r>
    </w:p>
    <w:p w14:paraId="00D26ADE" w14:textId="77777777" w:rsidR="009D7677" w:rsidRDefault="009D7677" w:rsidP="009D7677">
      <w:pPr>
        <w:pStyle w:val="TextoNormal"/>
      </w:pPr>
    </w:p>
    <w:p w14:paraId="460324CF" w14:textId="77777777" w:rsidR="009D7677" w:rsidRDefault="009D7677" w:rsidP="009D7677">
      <w:pPr>
        <w:pStyle w:val="TextoNormal"/>
      </w:pPr>
      <w:r>
        <w:t>a) Indica que el derecho a la representación política reconocido en el art. 23 CE, en su vertiente del derecho al ejercicio del cargo representativo, ha sido vulnerado en el presente caso por los acuerdos parlamentarios recurridos. Ilustra esta afirmación con la cita de diversos fragmentos de la STC 208/2003, de 1 de diciembre, relativos al contenido del derecho de los parlamentarios al desempeño de su labor representativa y sostiene que los acuerdos han incumplido el derecho de los parlamentarios a contar con los antecedentes, la documentación correspondiente y preceptiva, reconocido en el ordenamiento jurídico. Añade que los acuerdos han efectuado una interpretación restrictiva del derecho de los diputados para rechazar su solicitud, y han limitado de este modo el ejercicio pleno de su función representativa, mediante acuerdos que han incurrido en falta de motivación sufi</w:t>
      </w:r>
      <w:r>
        <w:lastRenderedPageBreak/>
        <w:t xml:space="preserve">ciente y adecuada. La demanda considera que las restricciones en su función parlamentaria han afectado al </w:t>
      </w:r>
      <w:r w:rsidRPr="009D7677">
        <w:rPr>
          <w:i/>
        </w:rPr>
        <w:t>ius in officium</w:t>
      </w:r>
      <w:r>
        <w:t xml:space="preserve"> al alcanzar al ejercicio de la función legislativa.</w:t>
      </w:r>
    </w:p>
    <w:p w14:paraId="25EF581B" w14:textId="77777777" w:rsidR="009D7677" w:rsidRDefault="009D7677" w:rsidP="009D7677">
      <w:pPr>
        <w:pStyle w:val="TextoNormal"/>
      </w:pPr>
    </w:p>
    <w:p w14:paraId="01D04F1F" w14:textId="77777777" w:rsidR="009D7677" w:rsidRDefault="009D7677" w:rsidP="009D7677">
      <w:pPr>
        <w:pStyle w:val="TextoNormal"/>
      </w:pPr>
      <w:r>
        <w:t>b) Tras destacar que el derecho fundamental al ejercicio del cargo representativo es de configuración legal, de modo que se vulnera cuando se desconoce un determinado estatuto legal del ejercicio de la función parlamentaria, afirma que los acuerdos recurridos han incurrido en dicha vulneración al decidir no reclamar los antecedentes precisos para la aprobación de una determinada norma de rango legal cuando, de conformidad con el ordenamiento jurídico, era preceptiva su aportación tanto en relación con la actividad legislativa de convalidación del Real Decreto-ley 36/2020, como, especialmente, respecto de la tramitación como proyecto de ley por el procedimiento de urgencia.</w:t>
      </w:r>
    </w:p>
    <w:p w14:paraId="2D0DB053" w14:textId="77777777" w:rsidR="009D7677" w:rsidRDefault="009D7677" w:rsidP="009D7677">
      <w:pPr>
        <w:pStyle w:val="TextoNormal"/>
      </w:pPr>
    </w:p>
    <w:p w14:paraId="01854B38" w14:textId="77777777" w:rsidR="009D7677" w:rsidRDefault="009D7677" w:rsidP="009D7677">
      <w:pPr>
        <w:pStyle w:val="TextoNormal"/>
      </w:pPr>
      <w:r>
        <w:t xml:space="preserve">La ocultación del “informe preceptivo del Consejo de Estado” supone un grave vicio del procedimiento que impide el correcto ejercicio de las funciones parlamentarias, que afecta a la conformación de la voluntad de la Cámara al ser despojada de la información necesaria para formarse una opinión completa sobre la cuestión. Considera que la falta de remisión del informe incumplió el art. 2.2 de la Ley Orgánica del Consejo de Estado y —como ya hizo en sus solicitudes— sustenta el carácter preceptivo del dictamen del Consejo de Estado al menos en lo relativo a los arts. 63 y 64 del Real Decreto-ley y a la modificación que en el mismo se realiza del Reglamento de emisiones industriales, atendida su naturaleza reglamentaria conforme a la disposición final duodécima del propio real decreto-ley (art. 22.3 de la Ley Orgánica del Consejo de Estado). Refiere, que dicha vulneración fue sancionada por los órganos parlamentarios encargados de velar por el pleno ejercicio de la función representativa. Dicha vulneración es calificada de palmaria cuando tales órganos se niegan a reclamar la referida documentación una vez que comienza la tramitación del real decreto-ley como proyecto de ley por el procedimiento de urgencia, pues en ese momento entran en aplicación de modo indiscutible los arts. 88 CE, 22 de la Ley del Gobierno en relación con el título VI y el apartado 5 del art. 129 LPACAP, que exigen la remisión de todos los antecedentes relevantes, afectando la no remisión al estatuto del parlamentario o al </w:t>
      </w:r>
      <w:r w:rsidRPr="009D7677">
        <w:rPr>
          <w:i/>
        </w:rPr>
        <w:t>ius in officium</w:t>
      </w:r>
      <w:r>
        <w:t>, en la media que impiden desarrollar la función legislativa.</w:t>
      </w:r>
    </w:p>
    <w:p w14:paraId="22046AF0" w14:textId="77777777" w:rsidR="009D7677" w:rsidRDefault="009D7677" w:rsidP="009D7677">
      <w:pPr>
        <w:pStyle w:val="TextoNormal"/>
      </w:pPr>
    </w:p>
    <w:p w14:paraId="36A313E6" w14:textId="77777777" w:rsidR="009D7677" w:rsidRDefault="009D7677" w:rsidP="009D7677">
      <w:pPr>
        <w:pStyle w:val="TextoNormal"/>
      </w:pPr>
      <w:r>
        <w:t>c) Afirma, que la denunciada vulneración trae causa también del carácter restrictivo y limitador de la interpretación que los órganos parlamentarios han realizado en los acuerdos recurridos. En tal sentido, con cita de la STC 90/2005, de 18 de abril, sostienen que la negativa a acoger la solicitud de cumplimiento de la ley, ha supuesto una aplicación restrictiva de las posibilidades del derecho de los parlamentarios a solicitar los antecedentes relevantes para el ejercicio de la función legislativa. En apoyo de su derecho se citan los arts. 7 y 44.1 RCD, que configuran un deber de la mesa y de la Presidencia del Congreso de tramitar las distintas peticiones de los parlamentarios en cuanto a la reclamación de información y documentación del Gobierno y de las administraciones públicas en aras a poder ejercer informadamente el voto en relación con las distintas iniciativas parlamentarias.</w:t>
      </w:r>
    </w:p>
    <w:p w14:paraId="7AB0BD5C" w14:textId="77777777" w:rsidR="009D7677" w:rsidRDefault="009D7677" w:rsidP="009D7677">
      <w:pPr>
        <w:pStyle w:val="TextoNormal"/>
      </w:pPr>
    </w:p>
    <w:p w14:paraId="27C50B03" w14:textId="77777777" w:rsidR="009D7677" w:rsidRDefault="009D7677" w:rsidP="009D7677">
      <w:pPr>
        <w:pStyle w:val="TextoNormal"/>
      </w:pPr>
      <w:r>
        <w:t xml:space="preserve">d) Por último, considera que el derecho fundamental se ha visto vulnerado ante la absoluta falta de motivación de los acuerdos de la presidenta y de la mesa del Congreso de los Diputados. Nuevamente trae colación el contenido de las SSTC 208/2003 y 90/2005, para sostener que los acuerdos recurridos han incumplido las exigencias de motivación suficiente y adecuada de las decisiones limitativas de los derechos de los parlamentarios. Tras </w:t>
      </w:r>
      <w:r>
        <w:lastRenderedPageBreak/>
        <w:t>reproducir el contenido del acuerdo de la presidenta, afirma que la misma “se erige en celoso paladín del ejecutivo para desechar la solicitud alegando telegráficamente que la remisión no es preceptiva”. Los recurrentes sostienen que la mesa del Congreso se limita a repetir los argumentos esgrimidos por la presidenta de la Cámara: (i) el carácter no preceptivo de la remisión y (ii) la posibilidad de que los diputados soliciten el informe de las administraciones públicas.</w:t>
      </w:r>
    </w:p>
    <w:p w14:paraId="4E898D7F" w14:textId="77777777" w:rsidR="009D7677" w:rsidRDefault="009D7677" w:rsidP="009D7677">
      <w:pPr>
        <w:pStyle w:val="TextoNormal"/>
      </w:pPr>
    </w:p>
    <w:p w14:paraId="6E63EBA0" w14:textId="77777777" w:rsidR="009D7677" w:rsidRDefault="009D7677" w:rsidP="009D7677">
      <w:pPr>
        <w:pStyle w:val="TextoNormal"/>
      </w:pPr>
      <w:r>
        <w:t>Considera que el primero de los argumentos, dado el carácter preceptivo del dictamen del Consejo de Estado (art. 22.3 de la Ley Orgánica del Consejo de Estado) y al encontrarse la solicitud vinculada no solo a la convalidación de un decreto ley sino a la tramitación de este como proyecto de ley, infringió el art. 88 CE. En relación con el segundo de los argumentos no puede considerarse que contenga motivación alguna pues se escuda en la existencia de posibilidades de información por los propios diputados, pero sin justificar por qué se deniega la solicitud de requerimiento.</w:t>
      </w:r>
    </w:p>
    <w:p w14:paraId="3646EEED" w14:textId="77777777" w:rsidR="009D7677" w:rsidRDefault="009D7677" w:rsidP="009D7677">
      <w:pPr>
        <w:pStyle w:val="TextoNormal"/>
      </w:pPr>
    </w:p>
    <w:p w14:paraId="5DDA4AC8" w14:textId="77777777" w:rsidR="009D7677" w:rsidRDefault="009D7677" w:rsidP="009D7677">
      <w:pPr>
        <w:pStyle w:val="TextoNormal"/>
      </w:pPr>
      <w:r>
        <w:t>Tras lo expuesto solicita que se declare la nulidad de los acuerdos impugnados por haber vulnerado el ejercicio del cargo representativo de las recurrentes (art. 23.2 CE).</w:t>
      </w:r>
    </w:p>
    <w:p w14:paraId="6875090B" w14:textId="77777777" w:rsidR="009D7677" w:rsidRDefault="009D7677" w:rsidP="009D7677">
      <w:pPr>
        <w:pStyle w:val="TextoNormal"/>
      </w:pPr>
    </w:p>
    <w:p w14:paraId="0F8CB4AD" w14:textId="0E2101EF" w:rsidR="009D7677" w:rsidRDefault="009D7677" w:rsidP="009D7677">
      <w:pPr>
        <w:pStyle w:val="TextoNormal"/>
      </w:pPr>
      <w:r>
        <w:t>e) La demanda justifica la especial trascendencia constitucional por tres motivos: (i) que el recurso trasciende el caso concreto porque plantea una cuestión jurídica de relevante y general repercusión social o económica o tiene consecuencias políticas generales; (ii) que el recurso plantea un problema o una faceta de un derecho fundamental susceptible de amparo sobre el que no existe doctrina del Tribunal Constitucional; y (iii) que el recurso plantea una cuestión nueva de especial trascendencia constitucional.</w:t>
      </w:r>
    </w:p>
    <w:p w14:paraId="66D417AA" w14:textId="77777777" w:rsidR="009D7677" w:rsidRDefault="009D7677" w:rsidP="009D7677">
      <w:pPr>
        <w:pStyle w:val="TextoNormal"/>
      </w:pPr>
    </w:p>
    <w:p w14:paraId="65C1FB64" w14:textId="77777777" w:rsidR="009D7677" w:rsidRDefault="009D7677" w:rsidP="009D7677">
      <w:pPr>
        <w:pStyle w:val="TextoNormal"/>
      </w:pPr>
      <w:r w:rsidRPr="009D7677">
        <w:rPr>
          <w:rStyle w:val="NumeroAFNegritaCaracter"/>
        </w:rPr>
        <w:t>4</w:t>
      </w:r>
      <w:r>
        <w:t>. Mediante providencia de 29 de junio de 2021 de la Sección Tercera de la Sala Segunda de este tribunal se admitió a trámite el recurso de amparo, apreciando que concurre en el mismo una especial trascendencia constitucional (art. 50.1 de la Ley Orgánica del Tribunal Constitucional: LOTC) porque plantea un problema o una faceta de un derecho fundamental sobre el que no hay doctrina de este tribunal [STC 155/2009, de 25 de junio, FJ 2 a)] y el asunto trasciende del caso concreto porque plantea una cuestión jurídica de relevante y general repercusión social o económica [STC 155/2009, FJ 2 g)].</w:t>
      </w:r>
    </w:p>
    <w:p w14:paraId="7785694C" w14:textId="77777777" w:rsidR="009D7677" w:rsidRDefault="009D7677" w:rsidP="009D7677">
      <w:pPr>
        <w:pStyle w:val="TextoNormal"/>
      </w:pPr>
    </w:p>
    <w:p w14:paraId="264FADD0" w14:textId="4E7015E9" w:rsidR="009D7677" w:rsidRDefault="009D7677" w:rsidP="009D7677">
      <w:pPr>
        <w:pStyle w:val="TextoNormal"/>
      </w:pPr>
      <w:r>
        <w:t>En la misma providencia, en aplicación del art. 51 LOTC, se acordó dirigir atenta comunicación al Congreso de los Diputados a fin de que, en plazo que no excediera de diez días, remitiera certificación o fotocopia adverada de las actuaciones correspondientes a los acuerdos impugnados, debiendo previamente emplazarse, para que en el plazo de diez días pudieran comparecer, si así lo deseaban, en el recurso de amparo a quienes hubieran sido parte en el procedimiento, con excepción de la parte recurrente en amparo.</w:t>
      </w:r>
    </w:p>
    <w:p w14:paraId="11BFE6FB" w14:textId="77777777" w:rsidR="009D7677" w:rsidRDefault="009D7677" w:rsidP="009D7677">
      <w:pPr>
        <w:pStyle w:val="TextoNormal"/>
      </w:pPr>
    </w:p>
    <w:p w14:paraId="2E981F19" w14:textId="690721D7" w:rsidR="009D7677" w:rsidRDefault="009D7677" w:rsidP="009D7677">
      <w:pPr>
        <w:pStyle w:val="TextoNormal"/>
      </w:pPr>
      <w:r w:rsidRPr="009D7677">
        <w:rPr>
          <w:rStyle w:val="NumeroAFNegritaCaracter"/>
        </w:rPr>
        <w:t>5</w:t>
      </w:r>
      <w:r>
        <w:t>. Por diligencia de ordenación de 16 de julio de 2021 se acordó tener por personada y parte en el procedimiento a la letrada doña Paloma Martínez Santa María, en representación y defensa de la Cámara, y dar vista de las actuaciones recibidas a las partes personadas y al Ministerio Fiscal por plazo común de veinte días para que, dentro de dicho término, pudieran presentar las alegaciones que estimasen pertinentes conforme determina el art. 52.1 LOTC.</w:t>
      </w:r>
    </w:p>
    <w:p w14:paraId="06790FA8" w14:textId="77777777" w:rsidR="009D7677" w:rsidRDefault="009D7677" w:rsidP="009D7677">
      <w:pPr>
        <w:pStyle w:val="TextoNormal"/>
      </w:pPr>
    </w:p>
    <w:p w14:paraId="0B89F6D7" w14:textId="77777777" w:rsidR="009D7677" w:rsidRDefault="009D7677" w:rsidP="009D7677">
      <w:pPr>
        <w:pStyle w:val="TextoNormal"/>
      </w:pPr>
      <w:r w:rsidRPr="009D7677">
        <w:rPr>
          <w:rStyle w:val="NumeroAFNegritaCaracter"/>
        </w:rPr>
        <w:lastRenderedPageBreak/>
        <w:t>6</w:t>
      </w:r>
      <w:r>
        <w:t>. El escrito de alegaciones de la letrada de las Cortes Generales, en nombre del Congreso de los Diputados, se presentó el 20 de septiembre de 2021 y en él solicitó la desestimación de la demanda de amparo.</w:t>
      </w:r>
    </w:p>
    <w:p w14:paraId="17B9FCA7" w14:textId="77777777" w:rsidR="009D7677" w:rsidRDefault="009D7677" w:rsidP="009D7677">
      <w:pPr>
        <w:pStyle w:val="TextoNormal"/>
      </w:pPr>
    </w:p>
    <w:p w14:paraId="76726EDB" w14:textId="77777777" w:rsidR="009D7677" w:rsidRDefault="009D7677" w:rsidP="009D7677">
      <w:pPr>
        <w:pStyle w:val="TextoNormal"/>
      </w:pPr>
      <w:r>
        <w:t xml:space="preserve">a) Tras delimitar el objeto del recurso de amparo, concretado en si los acuerdos de la presidenta del Congreso de los Diputados de 4 de febrero de 2021 y de la mesa de la Cámara de 9 de febrero de 2021 vulneraron el </w:t>
      </w:r>
      <w:r w:rsidRPr="009D7677">
        <w:rPr>
          <w:i/>
        </w:rPr>
        <w:t>ius in officium</w:t>
      </w:r>
      <w:r>
        <w:t xml:space="preserve"> de las diputadas recurrentes, comienza examinando los requisitos de los decretos leyes en sus distintas fases procedimentales.</w:t>
      </w:r>
    </w:p>
    <w:p w14:paraId="51B2FA50" w14:textId="77777777" w:rsidR="009D7677" w:rsidRDefault="009D7677" w:rsidP="009D7677">
      <w:pPr>
        <w:pStyle w:val="TextoNormal"/>
      </w:pPr>
    </w:p>
    <w:p w14:paraId="2817B679" w14:textId="77777777" w:rsidR="009D7677" w:rsidRDefault="009D7677" w:rsidP="009D7677">
      <w:pPr>
        <w:pStyle w:val="TextoNormal"/>
      </w:pPr>
      <w:r>
        <w:t>(i) Elaboración y aprobación por el Gobierno. Señala la letrada de las Cortes Generales que los decretos-leyes son normas con rango de ley cuya aprobación corresponde al Gobierno y que quedan incorporadas al ordenamiento jurídico desde su publicación en el “Boletín Oficial del Estado”. Son normas excepcionales que no pueden utilizarse más que en casos de “extraordinaria y urgente necesidad”, que no pueden afectar a las materias recogidas en el art. 86.1 CE, y que tienen una vigencia provisional, pues en los treinta días siguientes a su publicación el Congreso de los Diputados debe pronunciarse sobre su convalidación o derogación.</w:t>
      </w:r>
    </w:p>
    <w:p w14:paraId="5365A765" w14:textId="77777777" w:rsidR="009D7677" w:rsidRDefault="009D7677" w:rsidP="009D7677">
      <w:pPr>
        <w:pStyle w:val="TextoNormal"/>
      </w:pPr>
    </w:p>
    <w:p w14:paraId="71ACFE4E" w14:textId="77777777" w:rsidR="009D7677" w:rsidRDefault="009D7677" w:rsidP="009D7677">
      <w:pPr>
        <w:pStyle w:val="TextoNormal"/>
      </w:pPr>
      <w:r>
        <w:t>A juicio de la letrada de las Cortes Generales, esta necesidad extraordinaria y urgente, además de constituir el presupuesto habilitante de los decretos-leyes, condiciona el procedimiento de elaboración. Por ello, el art. 26 de la Ley 50/1997, de 27 de noviembre del Gobierno establece en su apartado 11 que el procedimiento para la elaboración de normas con rango de ley y reglamentos no es de aplicación para la tramitación y aprobación de decretos-leyes, que solo precisa de la elaboración de la memoria de análisis de impacto normativo, si bien de carácter abreviado.</w:t>
      </w:r>
    </w:p>
    <w:p w14:paraId="15093B1C" w14:textId="77777777" w:rsidR="009D7677" w:rsidRDefault="009D7677" w:rsidP="009D7677">
      <w:pPr>
        <w:pStyle w:val="TextoNormal"/>
      </w:pPr>
    </w:p>
    <w:p w14:paraId="6605DBB8" w14:textId="77777777" w:rsidR="009D7677" w:rsidRDefault="009D7677" w:rsidP="009D7677">
      <w:pPr>
        <w:pStyle w:val="TextoNormal"/>
      </w:pPr>
      <w:r>
        <w:t>Igualmente, se exceptúa de esta tramitación el dictamen del Consejo de Estado, que no tiene carácter preceptivo para la tramitación y aprobación de los decretos-leyes, como resulta también de los arts. 21 y 22 de la Ley Orgánica 3/1980, de 22 de abril del Consejo de Estado. Indica, además, que el propio dictamen del Consejo de Estado (ref. 783/2020), emitido en relación con el proyecto de real decreto-ley a que se refiere este recurso de amparo, razona expresamente sobre su carácter no preceptivo. Con esto se rechazan las alegaciones de la demanda de amparo acerca del carácter preceptivo del dictamen del Consejo de Estado.</w:t>
      </w:r>
    </w:p>
    <w:p w14:paraId="4ED50FD4" w14:textId="77777777" w:rsidR="009D7677" w:rsidRDefault="009D7677" w:rsidP="009D7677">
      <w:pPr>
        <w:pStyle w:val="TextoNormal"/>
      </w:pPr>
    </w:p>
    <w:p w14:paraId="7DC32299" w14:textId="77777777" w:rsidR="009D7677" w:rsidRDefault="009D7677" w:rsidP="009D7677">
      <w:pPr>
        <w:pStyle w:val="TextoNormal"/>
      </w:pPr>
      <w:r>
        <w:t>(ii) Remisión al Congreso de los Diputados. En relación con esta fase del procedimiento, la letrada de las Cortes Generales considera que existe una laguna normativa sobre la determinación de la documentación que ha de remitirse a la Cámara.</w:t>
      </w:r>
    </w:p>
    <w:p w14:paraId="75A7DEF1" w14:textId="77777777" w:rsidR="009D7677" w:rsidRDefault="009D7677" w:rsidP="009D7677">
      <w:pPr>
        <w:pStyle w:val="TextoNormal"/>
      </w:pPr>
    </w:p>
    <w:p w14:paraId="7C119AAF" w14:textId="77777777" w:rsidR="009D7677" w:rsidRDefault="009D7677" w:rsidP="009D7677">
      <w:pPr>
        <w:pStyle w:val="TextoNormal"/>
      </w:pPr>
      <w:r>
        <w:t>Razona acerca de las diferencias entre la regulación existente en relación con los proyectos de ley, en los que el art. 88 CE exige que se acompañen de una “exposición de motivos y de los antecedentes necesarios para pronunciarse sobre ellos”, previsión que se desarrolla en el apartado 8 del artículo 26 de la Ley del Gobierno, y los decretos-leyes a los que no resultan de aplicación ninguna de estas previsiones. Sostiene que la Ley del Gobierno no obliga a remitir la documentación del procedimiento de elaboración de los decretos-leyes ni siquiera el propio texto del decreto-ley, aunque es deseable que así sea.</w:t>
      </w:r>
    </w:p>
    <w:p w14:paraId="15DAE2C9" w14:textId="77777777" w:rsidR="009D7677" w:rsidRDefault="009D7677" w:rsidP="009D7677">
      <w:pPr>
        <w:pStyle w:val="TextoNormal"/>
      </w:pPr>
    </w:p>
    <w:p w14:paraId="6BE36A5B" w14:textId="77777777" w:rsidR="009D7677" w:rsidRDefault="009D7677" w:rsidP="009D7677">
      <w:pPr>
        <w:pStyle w:val="TextoNormal"/>
      </w:pPr>
      <w:r>
        <w:lastRenderedPageBreak/>
        <w:t>Aunque cita dos precedentes en los que se omitió la remisión del propio texto del decreto-ley, afirma que en la actualidad lo habitual es que el Gobierno remita el texto, después o incluso antes de la publicación en el “Boletín Oficial del Estado”, acompañándolo de la memoria de análisis de impacto normativo y de los informes preceptivos que haya recabado, pero insiste en que no hay obligación de remitir la documentación recabada durante la elaboración del real decreto-ley.</w:t>
      </w:r>
    </w:p>
    <w:p w14:paraId="152B96AE" w14:textId="77777777" w:rsidR="009D7677" w:rsidRDefault="009D7677" w:rsidP="009D7677">
      <w:pPr>
        <w:pStyle w:val="TextoNormal"/>
      </w:pPr>
    </w:p>
    <w:p w14:paraId="6F07B018" w14:textId="77777777" w:rsidR="009D7677" w:rsidRDefault="009D7677" w:rsidP="009D7677">
      <w:pPr>
        <w:pStyle w:val="TextoNormal"/>
      </w:pPr>
      <w:r>
        <w:t>(iii) Sometimiento al Pleno a efectos de su convalidación o derogación. Cita el artículo 151.1 RCD, en virtud del cual el único requisito exigido para que la Cámara se pronuncie sobre la convalidación o derogación de los decretos-leyes es la publicación en el “Boletín Oficial del Estado”, como indicaron los acuerdos impugnados de 4 de febrero de 2021 de la presidenta del Congreso de los Diputados y de 9 de febrero de 2021 de la mesa del Congreso de los Diputados. Este requisito se cumplió en el presente caso y, por tanto, el Real Decreto-ley cumplía los requisitos parlamentarios para ser sometido al trámite de convalidación o derogación.</w:t>
      </w:r>
    </w:p>
    <w:p w14:paraId="0DBB5A59" w14:textId="77777777" w:rsidR="009D7677" w:rsidRDefault="009D7677" w:rsidP="009D7677">
      <w:pPr>
        <w:pStyle w:val="TextoNormal"/>
      </w:pPr>
    </w:p>
    <w:p w14:paraId="78FC6864" w14:textId="77777777" w:rsidR="009D7677" w:rsidRDefault="009D7677" w:rsidP="009D7677">
      <w:pPr>
        <w:pStyle w:val="TextoNormal"/>
      </w:pPr>
      <w:r>
        <w:t>(iv) Ulterior tramitación como proyecto de ley. Tras analizar la previsión reglamentaria relativa a la tramitación de los reales decretos-leyes como proyectos de ley por el procedimiento de urgencia, contenida en el art. 151.4 RCD, concluye que dicha tramitación no tiene ninguna especialidad más que la prevista para los procedimientos de urgencia, consistente en que se reducen los plazos a la mitad, conforme al art. 94 RCD, así como la exclusión de las enmiendas a la totalidad de devolución, que se consideran incompatibles con la decisión de convalidación.</w:t>
      </w:r>
    </w:p>
    <w:p w14:paraId="0A8408EA" w14:textId="77777777" w:rsidR="009D7677" w:rsidRDefault="009D7677" w:rsidP="009D7677">
      <w:pPr>
        <w:pStyle w:val="TextoNormal"/>
      </w:pPr>
    </w:p>
    <w:p w14:paraId="7D5F0FDD" w14:textId="77777777" w:rsidR="009D7677" w:rsidRDefault="009D7677" w:rsidP="009D7677">
      <w:pPr>
        <w:pStyle w:val="TextoNormal"/>
      </w:pPr>
      <w:r>
        <w:t>Niega que los reales decretos-leyes que pasan a tramitarse como proyectos de ley queden sujetos a los mismos requisitos que se exigen para la remisión al Congreso de los Diputados de los proyectos de ley por el Gobierno. En ningún lugar se establece que en estos casos sea de aplicación lo previsto en el art. 26 de la Ley del Gobierno. Afirma que la tesis de la demanda parte de una asimilación entre anteproyectos de ley y decretos-leyes que no tiene ninguna base jurídica, porque un decreto-ley que pasa a tramitarse como proyecto de ley nunca fue aprobado como tal proyecto de ley por el Gobierno.</w:t>
      </w:r>
    </w:p>
    <w:p w14:paraId="1F04FD06" w14:textId="77777777" w:rsidR="009D7677" w:rsidRDefault="009D7677" w:rsidP="009D7677">
      <w:pPr>
        <w:pStyle w:val="TextoNormal"/>
      </w:pPr>
    </w:p>
    <w:p w14:paraId="1AADD2A3" w14:textId="77777777" w:rsidR="009D7677" w:rsidRDefault="009D7677" w:rsidP="009D7677">
      <w:pPr>
        <w:pStyle w:val="TextoNormal"/>
      </w:pPr>
      <w:r>
        <w:t>Además de señalar que estamos ante dos tipos normativos distintos, añade que, desde la perspectiva procedimental, tampoco es lógico que si el decreto-ley pasa a tramitarse como proyecto de ley resulte necesaria la remisión de sus antecedentes, pues el Congreso ya dispone obviamente del texto y, además, a través del trámite de convalidación, la Cámara ya ha hecho suya la iniciativa y la ha aceptado en sus propios términos.</w:t>
      </w:r>
    </w:p>
    <w:p w14:paraId="6EC27BA7" w14:textId="77777777" w:rsidR="009D7677" w:rsidRDefault="009D7677" w:rsidP="009D7677">
      <w:pPr>
        <w:pStyle w:val="TextoNormal"/>
      </w:pPr>
    </w:p>
    <w:p w14:paraId="2E735116" w14:textId="77777777" w:rsidR="009D7677" w:rsidRDefault="009D7677" w:rsidP="009D7677">
      <w:pPr>
        <w:pStyle w:val="TextoNormal"/>
      </w:pPr>
      <w:r>
        <w:t>Concluye señalando que, en estos casos, no es de aplicación el art. 88 CE ni las demás exigencias relativas a los proyectos de ley para la presentación de enmiendas, ya que no se trata de un proyecto de ley aprobado en Consejo de Ministros, sino de un decreto-ley que el Congreso de los Diputados ha decidido tramitar como proyecto de ley, para que, si queda aprobado como ley de las Cortes Generales, el contenido del decreto-ley pase a formar parte de una ley formal del Parlamento.</w:t>
      </w:r>
    </w:p>
    <w:p w14:paraId="5D4AA4CB" w14:textId="77777777" w:rsidR="009D7677" w:rsidRDefault="009D7677" w:rsidP="009D7677">
      <w:pPr>
        <w:pStyle w:val="TextoNormal"/>
      </w:pPr>
    </w:p>
    <w:p w14:paraId="239CCB86" w14:textId="77777777" w:rsidR="009D7677" w:rsidRDefault="009D7677" w:rsidP="009D7677">
      <w:pPr>
        <w:pStyle w:val="TextoNormal"/>
      </w:pPr>
      <w:r>
        <w:t xml:space="preserve">b) A continuación analiza cuál ha de ser la actuación de la mesa frente a posibles incumplimientos de los requisitos en cualesquiera de las cuatro fases procedimentales indicadas. En relación con esta cuestión, comienza señalando que en ningún momento hubo </w:t>
      </w:r>
      <w:r>
        <w:lastRenderedPageBreak/>
        <w:t>inactividad por parte de los órganos de gobierno de la Cámara como lo demuestran las contestaciones dadas por la presidenta del Congreso de los Diputados y por la mesa a los escritos presentados por el Grupo Parlamentario Popular, así como la calificación de la mesa de las solicitudes de informe que fueron presentadas con posterioridad. Señalado esto, afirma que la capacidad de la mesa de comprobar la adecuación de los expedientes de los decretos-leyes queda determinada por lo exigido por el Reglamento del Congreso de los Diputados que, como ya ha razonado, únicamente exige la publicación del real decreto-ley en el “Boletín Oficial del Estado”.</w:t>
      </w:r>
    </w:p>
    <w:p w14:paraId="031B5EE3" w14:textId="77777777" w:rsidR="009D7677" w:rsidRDefault="009D7677" w:rsidP="009D7677">
      <w:pPr>
        <w:pStyle w:val="TextoNormal"/>
      </w:pPr>
    </w:p>
    <w:p w14:paraId="1C35B819" w14:textId="77777777" w:rsidR="009D7677" w:rsidRDefault="009D7677" w:rsidP="009D7677">
      <w:pPr>
        <w:pStyle w:val="TextoNormal"/>
      </w:pPr>
      <w:r>
        <w:t>Añade que la Cámara goza de autonomía en el procedimiento para la convalidación o derogación de los decretos-leyes así como para decidir la información que se considere más apropiada para su adecuada tramitación. Tras citar los fundamentos jurídicos 3 y 4 de la STC 108/1986, de 29 de julio, deduce de ellos las siguientes conclusiones: (i) la ausencia de los informes preceptivos no implica la inconstitucionalidad de la ley, salvo que se hubiese privado a la Cámara de un elemento de juicio necesario para su decisión, vulnerado los derechos de los parlamentarios; (ii) que la Cámara cuenta con autonomía para decidir los antecedentes que deben ser necesarios para pronunciarse sobre los proyectos de ley; y (iii) que el defecto consistente en la ausencia de un informe preceptivo solo sería relevante si hubiera mediado protesta de los diputados o grupos considerando esencial haber tenido este elemento de juicio.</w:t>
      </w:r>
    </w:p>
    <w:p w14:paraId="7B5A3B99" w14:textId="77777777" w:rsidR="009D7677" w:rsidRDefault="009D7677" w:rsidP="009D7677">
      <w:pPr>
        <w:pStyle w:val="TextoNormal"/>
      </w:pPr>
    </w:p>
    <w:p w14:paraId="3E5F3FC7" w14:textId="77777777" w:rsidR="009D7677" w:rsidRDefault="009D7677" w:rsidP="009D7677">
      <w:pPr>
        <w:pStyle w:val="TextoNormal"/>
      </w:pPr>
      <w:r>
        <w:t>Trasladando estas consideraciones al presente caso, destaca que la protesta del Grupo Parlamentario Popular se produjo después de la convalidación del Real Decreto-ley 36/2020. Por lo tanto, no hubo protesta alguna durante el plazo de convalidación, ni durante el debate parlamentario, a pesar de que tenían ya conocimiento de la existencia del dictamen del Consejo de Estado, puesto que lo mencionaba expresamente la memoria de análisis de impacto normativo que sí fue remitida por el Gobierno (página 119 del expediente).</w:t>
      </w:r>
    </w:p>
    <w:p w14:paraId="17CDDAE7" w14:textId="77777777" w:rsidR="009D7677" w:rsidRDefault="009D7677" w:rsidP="009D7677">
      <w:pPr>
        <w:pStyle w:val="TextoNormal"/>
      </w:pPr>
    </w:p>
    <w:p w14:paraId="5C991018" w14:textId="77777777" w:rsidR="009D7677" w:rsidRDefault="009D7677" w:rsidP="009D7677">
      <w:pPr>
        <w:pStyle w:val="TextoNormal"/>
      </w:pPr>
      <w:r>
        <w:t>Por otro lado, afirma que aun en el caso de que hubiera mediado tal protesta, no existe un deber de los órganos de la Cámara de conceder lo que se solicita, pues es a la mesa del Congreso de los Diputados a la que corresponde decidir sobre la tramitación de todos los escritos y documentos de índole parlamentaria, en virtud del art. 31 RCD. Todo ello sin perjuicio de la posibilidad de que, conforme a los arts. 7 y 44 RCD, los diputados y las comisiones puedan solicitar informes, como se indicó en los acuerdos objeto de impugnación.</w:t>
      </w:r>
    </w:p>
    <w:p w14:paraId="05785FF6" w14:textId="77777777" w:rsidR="009D7677" w:rsidRDefault="009D7677" w:rsidP="009D7677">
      <w:pPr>
        <w:pStyle w:val="TextoNormal"/>
      </w:pPr>
    </w:p>
    <w:p w14:paraId="304D04CE" w14:textId="77777777" w:rsidR="009D7677" w:rsidRDefault="009D7677" w:rsidP="009D7677">
      <w:pPr>
        <w:pStyle w:val="TextoNormal"/>
      </w:pPr>
      <w:r>
        <w:t xml:space="preserve">Afirma que la demanda parte de una asimilación o confusión entre los escritos presentados, y que recibieron respuesta en los acuerdos impugnados, con solicitudes de informe </w:t>
      </w:r>
      <w:r w:rsidRPr="009D7677">
        <w:rPr>
          <w:i/>
        </w:rPr>
        <w:t>ex</w:t>
      </w:r>
      <w:r>
        <w:t xml:space="preserve"> arts. 7 y 44 RCD, si bien se trata de solicitudes distintas y que ni la presidenta ni la mesa del Congreso de los Diputados tiene potestad para transformar un tipo de iniciativa en otra, razón por la cual los acuerdos recurridos se limitaron a indicar que la vía reglamentaria para pedir el dictamen era la del art. 7 RCD, dejando tal decisión a la voluntad de la diputada. Por ello, una respuesta negativa a las solicitudes del Grupo Parlamentario Popular no se puede asimilar con una vulneración de los derechos reconocidos en los arts. 7 y 44 RCD, sino que, al contrario, los acuerdos recurridos precisamente favorecieron el ejercicio de este derecho.</w:t>
      </w:r>
    </w:p>
    <w:p w14:paraId="3B2F413F" w14:textId="77777777" w:rsidR="009D7677" w:rsidRDefault="009D7677" w:rsidP="009D7677">
      <w:pPr>
        <w:pStyle w:val="TextoNormal"/>
      </w:pPr>
    </w:p>
    <w:p w14:paraId="3004A3C0" w14:textId="77777777" w:rsidR="009D7677" w:rsidRDefault="009D7677" w:rsidP="009D7677">
      <w:pPr>
        <w:pStyle w:val="TextoNormal"/>
      </w:pPr>
      <w:r>
        <w:lastRenderedPageBreak/>
        <w:t>c) En tercer lugar, analiza si existe un derecho de las demandantes a convocar una reunión extraordinaria de la mesa. Niega que exista tal derecho, porque la decisión de convocatoria extraordinaria de la mesa es una competencia exclusiva de la presidenta del Congreso. Añade que no existía una situación de urgencia que exigiera un pronunciamiento de la mesa toda vez que la convalidación del decreto-ley ya se había producido.</w:t>
      </w:r>
    </w:p>
    <w:p w14:paraId="615BED1B" w14:textId="77777777" w:rsidR="009D7677" w:rsidRDefault="009D7677" w:rsidP="009D7677">
      <w:pPr>
        <w:pStyle w:val="TextoNormal"/>
      </w:pPr>
    </w:p>
    <w:p w14:paraId="620418C9" w14:textId="77777777" w:rsidR="009D7677" w:rsidRDefault="009D7677" w:rsidP="009D7677">
      <w:pPr>
        <w:pStyle w:val="TextoNormal"/>
      </w:pPr>
      <w:r>
        <w:t>Además, se refiere a los escritos de 3 y 4 de febrero de 2021, aportados con la demanda de amparo, en los que la portavoz del Grupo Parlamentario Popular solicitaba, entre otros, el dictamen del Consejo de Estado por la vía del art. 7 RCD. Explica que estos escritos fueron calificados y tramitados por la mesa en su reunión ordinaria de 7 de febrero de 2021, de acuerdo con la práctica habitual. La contestación relativa a la solicitud del dictamen del Consejo de Estado se produjo el 9 de marzo de 2021, por lo que la diputada ha podido acceder a la documentación solicitada, sin que sus derechos fueran vulnerados. Añade, además, que, a la fecha de presentación de sus alegaciones, la tramitación del proyecto de ley se encontraba en fase de ampliación de enmiendas, por lo que debe decaer la alegación referida a la vulneración del art. 23 CE por no haber podido disponer del informe del Consejo de Estado durante la tramitación del proyecto de ley.</w:t>
      </w:r>
    </w:p>
    <w:p w14:paraId="3FD31F36" w14:textId="77777777" w:rsidR="009D7677" w:rsidRDefault="009D7677" w:rsidP="009D7677">
      <w:pPr>
        <w:pStyle w:val="TextoNormal"/>
      </w:pPr>
    </w:p>
    <w:p w14:paraId="199FD596" w14:textId="77777777" w:rsidR="009D7677" w:rsidRDefault="009D7677" w:rsidP="009D7677">
      <w:pPr>
        <w:pStyle w:val="TextoNormal"/>
      </w:pPr>
      <w:r>
        <w:t>d) Verificado lo anterior, niega que, en este caso, se haya producido una vulneración del derecho reconocido en el art. 23 CE aduciendo que:</w:t>
      </w:r>
    </w:p>
    <w:p w14:paraId="39CB2D3D" w14:textId="77777777" w:rsidR="009D7677" w:rsidRDefault="009D7677" w:rsidP="009D7677">
      <w:pPr>
        <w:pStyle w:val="TextoNormal"/>
      </w:pPr>
    </w:p>
    <w:p w14:paraId="2ACDBD8B" w14:textId="77777777" w:rsidR="009D7677" w:rsidRDefault="009D7677" w:rsidP="009D7677">
      <w:pPr>
        <w:pStyle w:val="TextoNormal"/>
      </w:pPr>
      <w:r>
        <w:t>(i) No se ha producido ninguna infracción de la legalidad, porque conforme a la normativa no era preceptiva la remisión del dictamen del Consejo de Estado ni ninguna otra documentación.</w:t>
      </w:r>
    </w:p>
    <w:p w14:paraId="75E69652" w14:textId="77777777" w:rsidR="009D7677" w:rsidRDefault="009D7677" w:rsidP="009D7677">
      <w:pPr>
        <w:pStyle w:val="TextoNormal"/>
      </w:pPr>
    </w:p>
    <w:p w14:paraId="1FB7480A" w14:textId="77777777" w:rsidR="009D7677" w:rsidRDefault="009D7677" w:rsidP="009D7677">
      <w:pPr>
        <w:pStyle w:val="TextoNormal"/>
      </w:pPr>
      <w:r>
        <w:t>(ii) No se ha producido una interpretación restrictiva del ejercicio de la función representativa, porque los hechos demuestran que cuando se presentó la solicitud conforme al art. 7 RCD, la misma se tramitó y se recibió el dictamen del Consejo de Estado, por lo que los derechos de los diputados quedaron satisfechos, durante la tramitación del proyecto de ley. Además, aunque las demandantes reiteran que se ha producido una restricción del ejercicio de sus funciones parlamentarias, la alegación es genérica y no permite conocer cuáles son los elementos de juicio que debían haber conocido para poder haber ejercicio adecuadamente su función representativa. Hace referencia al debate de convalidación y a la tramitación parlamentaria como proyecto de ley, durante los cuales el Grupo Parlamentario Popular nunca ha hecho referencia a ninguna circunstancia que les hubiera impedido formar adecuadamente su opinión en relación con la iniciativa. Y reitera que el dictamen está publicado de forma transparente en la base de dictámenes de la página web del Consejo de Estado y es plenamente accesible a través del buscador de la página web de la Agencia Estatal Boletín Oficial del Estado.</w:t>
      </w:r>
    </w:p>
    <w:p w14:paraId="7A736BFC" w14:textId="77777777" w:rsidR="009D7677" w:rsidRDefault="009D7677" w:rsidP="009D7677">
      <w:pPr>
        <w:pStyle w:val="TextoNormal"/>
      </w:pPr>
    </w:p>
    <w:p w14:paraId="3C064220" w14:textId="36DC7E0B" w:rsidR="009D7677" w:rsidRDefault="009D7677" w:rsidP="009D7677">
      <w:pPr>
        <w:pStyle w:val="TextoNormal"/>
      </w:pPr>
      <w:r>
        <w:t xml:space="preserve">(iii) Por último, considera que los acuerdos impugnados cuentan con una motivación adecuada y suficiente, pues la cita del art. 151.1 RCD es adecuada para fundamentar jurídicamente la solicitud de documentación, sin perjuicio de la facultad de los diputados de hacer solicitar información del Gobierno </w:t>
      </w:r>
      <w:r w:rsidRPr="009D7677">
        <w:rPr>
          <w:i/>
        </w:rPr>
        <w:t>ex</w:t>
      </w:r>
      <w:r>
        <w:t xml:space="preserve"> art. 7 RCD.</w:t>
      </w:r>
    </w:p>
    <w:p w14:paraId="75308BBF" w14:textId="77777777" w:rsidR="009D7677" w:rsidRDefault="009D7677" w:rsidP="009D7677">
      <w:pPr>
        <w:pStyle w:val="TextoNormal"/>
      </w:pPr>
    </w:p>
    <w:p w14:paraId="33C946DB" w14:textId="77777777" w:rsidR="009D7677" w:rsidRDefault="009D7677" w:rsidP="009D7677">
      <w:pPr>
        <w:pStyle w:val="TextoNormal"/>
      </w:pPr>
      <w:r w:rsidRPr="009D7677">
        <w:rPr>
          <w:rStyle w:val="NumeroAFNegritaCaracter"/>
        </w:rPr>
        <w:t>7</w:t>
      </w:r>
      <w:r>
        <w:t>. Con fecha de 22 de octubre de 2021 se registró el escrito de alegaciones del Ministerio Fiscal. Tras la exposición de los antecedentes, se desarrollan los argumentos por los que se postula la estimación del amparo interesado.</w:t>
      </w:r>
    </w:p>
    <w:p w14:paraId="3AA933CF" w14:textId="77777777" w:rsidR="009D7677" w:rsidRDefault="009D7677" w:rsidP="009D7677">
      <w:pPr>
        <w:pStyle w:val="TextoNormal"/>
      </w:pPr>
    </w:p>
    <w:p w14:paraId="7B08F82F" w14:textId="77777777" w:rsidR="009D7677" w:rsidRDefault="009D7677" w:rsidP="009D7677">
      <w:pPr>
        <w:pStyle w:val="TextoNormal"/>
      </w:pPr>
      <w:r>
        <w:t>a) En primer lugar, considera que el dictamen núm. 783/2020, de 21 de diciembre, fue emitido por el Consejo de Estado, con carácter potestativo, a petición del Gobierno, descartando que el mismo tuviera carácter preceptivo por más que se recogieran en el real decreto-ley modificaciones reglamentarias, al no concurrir ninguno de los supuestos de los arts. 21 y 22 de la Ley Orgánica del Consejo de Estado y resultar así también del apartado 11, en relación con el apartado 7, del art. 26 de la Ley del Gobierno y del propio informe del Consejo de Estado en el que se indica que el dictamen se emite con carácter potestativo y no preceptivo.</w:t>
      </w:r>
    </w:p>
    <w:p w14:paraId="2CB6C605" w14:textId="77777777" w:rsidR="009D7677" w:rsidRDefault="009D7677" w:rsidP="009D7677">
      <w:pPr>
        <w:pStyle w:val="TextoNormal"/>
      </w:pPr>
    </w:p>
    <w:p w14:paraId="5C093EE5" w14:textId="77777777" w:rsidR="009D7677" w:rsidRDefault="009D7677" w:rsidP="009D7677">
      <w:pPr>
        <w:pStyle w:val="TextoNormal"/>
      </w:pPr>
      <w:r>
        <w:t xml:space="preserve">b) Sostiene que no era preciso que los recurrentes plantearan reconsideración contra los acuerdos impugnados (art. 31.4 y 5 RCD). Añade que lo que se discute es si los acuerdos de la presidenta y de la mesa del Congreso de los Diputados que denegaron reclamar al Gobierno el informe del Consejo de Estado y la documentación sobre el Real Decreto-ley 36/2020, han supuesto la vulneración del </w:t>
      </w:r>
      <w:r w:rsidRPr="009D7677">
        <w:rPr>
          <w:i/>
        </w:rPr>
        <w:t>ius in officium</w:t>
      </w:r>
      <w:r>
        <w:t xml:space="preserve"> de los recurrentes. Indica que la no remisión del dictamen y la decisión de los órganos de la Cámara afectaban por igual a todas las fuerzas políticas con representación parlamentaria por lo que desde la perspectiva de la igualdad no se habría vulnerado el art. 23.2 CE. Por otra parte, tampoco la normativa constitucional o reglamentaria hacen referencia a la obligación del Gobierno de remitir a la Cámara los antecedentes e informes, para convalidar o derogar el decreto-ley (arts. 151.1 y 109 RCD), por lo que su remisión no le era exigible al Gobierno.</w:t>
      </w:r>
    </w:p>
    <w:p w14:paraId="542CEAFB" w14:textId="77777777" w:rsidR="009D7677" w:rsidRDefault="009D7677" w:rsidP="009D7677">
      <w:pPr>
        <w:pStyle w:val="TextoNormal"/>
      </w:pPr>
    </w:p>
    <w:p w14:paraId="4D9319E7" w14:textId="77777777" w:rsidR="009D7677" w:rsidRDefault="009D7677" w:rsidP="009D7677">
      <w:pPr>
        <w:pStyle w:val="TextoNormal"/>
      </w:pPr>
      <w:r>
        <w:t>Desde un punto de vista procedimental, ninguna afectación se habría producido al derecho de representación y participación política (art. 23.2 CE). Ahora bien, los recurrentes vieron restringidas sus posibilidades de conocer las recomendaciones y reflexiones del dictamen del Consejo de Estado, cuya relevancia no puede obviarse al ser emitido por un órgano consultivo de máximo rango, caracterizado por su objetividad y eminente carácter técnico y su aportación hubiera permitido transmitir a los diputados una información relevante sobre la norma y la trascendencia en los ámbitos en los que incide, siendo útil y necesario su conocimiento para emitir un voto informado, afectándose con ello a la función legislativa.</w:t>
      </w:r>
    </w:p>
    <w:p w14:paraId="32A0A225" w14:textId="77777777" w:rsidR="009D7677" w:rsidRDefault="009D7677" w:rsidP="009D7677">
      <w:pPr>
        <w:pStyle w:val="TextoNormal"/>
      </w:pPr>
    </w:p>
    <w:p w14:paraId="3D765EE7" w14:textId="77777777" w:rsidR="009D7677" w:rsidRDefault="009D7677" w:rsidP="009D7677">
      <w:pPr>
        <w:pStyle w:val="TextoNormal"/>
      </w:pPr>
      <w:r>
        <w:t>De este modo, alega que “la ocultación del informe imposibilitó que los recurrentes pudieran expresar su voluntad conociendo todos y cada uno de los elementos que el gobierno pudo tomar en consideración”. No obstante, en tanto que su omisión no les impidió el desempeño de la función legislativa “conforme a la ley”, dada la función que se asigna al Congreso de los Diputados respecto de la convalidación o derogación del decreto-ley, que no es propiamente una función legislativa, no puede afirmarse que la falta de conocimiento del dictamen emitido por el Consejo de Estado haya afectado a su derecho de participación política del art. 23.2 CE.</w:t>
      </w:r>
    </w:p>
    <w:p w14:paraId="4B994D7B" w14:textId="77777777" w:rsidR="009D7677" w:rsidRDefault="009D7677" w:rsidP="009D7677">
      <w:pPr>
        <w:pStyle w:val="TextoNormal"/>
      </w:pPr>
    </w:p>
    <w:p w14:paraId="43436C45" w14:textId="77777777" w:rsidR="009D7677" w:rsidRDefault="009D7677" w:rsidP="009D7677">
      <w:pPr>
        <w:pStyle w:val="TextoNormal"/>
      </w:pPr>
      <w:r>
        <w:t xml:space="preserve">Al no ser preceptivo el dictamen para elaborar o derogar el decreto-ley aprobado por el Gobierno, no le era exigible a la Presidencia —ni a la mesa— recabar del Gobierno dicho informe, pues en nada se afectaba a las garantías del procedimiento establecido para el debate y votación de convalidación o derogación. Y, al no estar prevista la queja en el Reglamento del Congreso de los Diputados, ninguna vulneración del </w:t>
      </w:r>
      <w:r w:rsidRPr="009D7677">
        <w:rPr>
          <w:i/>
        </w:rPr>
        <w:t>ius in officium</w:t>
      </w:r>
      <w:r>
        <w:t xml:space="preserve"> de las demandantes se habría producido por la falta de remisión del dictamen (</w:t>
      </w:r>
      <w:r w:rsidRPr="009D7677">
        <w:rPr>
          <w:i/>
        </w:rPr>
        <w:t>a sensu contrario</w:t>
      </w:r>
      <w:r>
        <w:t>, STC 10/2018).</w:t>
      </w:r>
    </w:p>
    <w:p w14:paraId="0B5CD501" w14:textId="77777777" w:rsidR="009D7677" w:rsidRDefault="009D7677" w:rsidP="009D7677">
      <w:pPr>
        <w:pStyle w:val="TextoNormal"/>
      </w:pPr>
    </w:p>
    <w:p w14:paraId="793FC10A" w14:textId="77777777" w:rsidR="009D7677" w:rsidRDefault="009D7677" w:rsidP="009D7677">
      <w:pPr>
        <w:pStyle w:val="TextoNormal"/>
      </w:pPr>
      <w:r>
        <w:t>c) Expuesto lo anterior, considera que una vez acordada por el Pleno del Congreso de los Diputados la tramitación del decreto-ley como proyecto de ley por el procedimiento de urgencia, la petición que efectúa la portavoz del Grupo Parlamentario Popular con invocación expresa del derecho de información, con cita o no del art. 7 RCD, reclamando —conforme al art. 109 RCD— a la Presidencia y a la mesa de la Cámara, el cumplimiento de su deber de solicitar del Gobierno y procurar la remisión del dictamen del Consejo de Estado y demás antecedentes, tiene un alcance distinto a la que se formuló para la convalidación o derogación del decreto-ley. Al tramitarse como proyecto de ley los recurrentes pueden desplegar plenamente las facultades de su función legislativas.</w:t>
      </w:r>
    </w:p>
    <w:p w14:paraId="5B467EEF" w14:textId="77777777" w:rsidR="009D7677" w:rsidRDefault="009D7677" w:rsidP="009D7677">
      <w:pPr>
        <w:pStyle w:val="TextoNormal"/>
      </w:pPr>
    </w:p>
    <w:p w14:paraId="7BD98FD1" w14:textId="77777777" w:rsidR="009D7677" w:rsidRDefault="009D7677" w:rsidP="009D7677">
      <w:pPr>
        <w:pStyle w:val="TextoNormal"/>
      </w:pPr>
      <w:r>
        <w:t>La negativa de los órganos de la cámara a reclamar directamente estos antecedentes produce una afectación del derecho de representación y participación política, no solo porque afecta al procedimiento de tramitación del proyecto de ley previsto en el art. 109 RCD, cuyo cumplimiento debe ser exigido por la presidenta del Congreso (art. 32 RCD), sino porque se afectaría al derecho de los diputados a obtener una información valiosa y necesaria para adoptar una postura parlamentaria frente al proyecto de ley, que al incidir sobre su función legislativa, vulneraría el derecho fundamental como consecuencia de una infracción del Reglamento de la Cámara.</w:t>
      </w:r>
    </w:p>
    <w:p w14:paraId="1CAD49E0" w14:textId="77777777" w:rsidR="009D7677" w:rsidRDefault="009D7677" w:rsidP="009D7677">
      <w:pPr>
        <w:pStyle w:val="TextoNormal"/>
      </w:pPr>
    </w:p>
    <w:p w14:paraId="60AF00D6" w14:textId="77777777" w:rsidR="009D7677" w:rsidRDefault="009D7677" w:rsidP="009D7677">
      <w:pPr>
        <w:pStyle w:val="TextoNormal"/>
      </w:pPr>
      <w:r>
        <w:t>Añade que, de la lectura de los escritos de los días 3 y 4 de febrero de 2021 de la portavoz del Grupo Parlamentario Popular, resulta con claridad que se formuló como petición que se recabara por el órgano de la Cámara el dictamen del Consejo de Estado emitido y, sin embargo, la presidenta y la mesa del Congreso de los Diputados no se pronunciaron sobre dichas peticiones.</w:t>
      </w:r>
    </w:p>
    <w:p w14:paraId="4435E859" w14:textId="77777777" w:rsidR="009D7677" w:rsidRDefault="009D7677" w:rsidP="009D7677">
      <w:pPr>
        <w:pStyle w:val="TextoNormal"/>
      </w:pPr>
    </w:p>
    <w:p w14:paraId="28383BC7" w14:textId="77777777" w:rsidR="009D7677" w:rsidRDefault="009D7677" w:rsidP="009D7677">
      <w:pPr>
        <w:pStyle w:val="TextoNormal"/>
      </w:pPr>
      <w:r>
        <w:t xml:space="preserve">La respuesta dada aparece como “totalmente incongruente y carente de lógica y sentido”, de modo que la afectación del </w:t>
      </w:r>
      <w:r w:rsidRPr="009D7677">
        <w:rPr>
          <w:i/>
        </w:rPr>
        <w:t>ius in officium</w:t>
      </w:r>
      <w:r>
        <w:t>, por desconocer el derecho de información que asiste al diputado conforme al art. 7 RCD, debe ponerse en relación con la que se formula frente a los acuerdos impugnados por falta de motivación. Refiere que la respuesta que tales órganos dan a las solicitudes de los días 3 y 5 de febrero de 2021 contienen una insuficiente motivación, pues, frente a la solicitud basada en el art. 7 RCD, se limitan a recordar el ejercicio del derecho a recabar los informes y documentos que obran en poder de las administraciones públicas, derecho al que se refiere el art. 7 RCD.</w:t>
      </w:r>
    </w:p>
    <w:p w14:paraId="6B2620A7" w14:textId="77777777" w:rsidR="009D7677" w:rsidRDefault="009D7677" w:rsidP="009D7677">
      <w:pPr>
        <w:pStyle w:val="TextoNormal"/>
      </w:pPr>
    </w:p>
    <w:p w14:paraId="3464C65E" w14:textId="5903406D" w:rsidR="009D7677" w:rsidRDefault="009D7677" w:rsidP="009D7677">
      <w:pPr>
        <w:pStyle w:val="TextoNormal"/>
      </w:pPr>
      <w:r>
        <w:t>Por todo ello, consideran que debe estimarse el recurso de amparo al entender vulnerado el derecho de representación y participación política del art. 23.2 CE en relación con el derecho de los ciudadanos a participar en los asuntos públicos a través de sus legítimos representantes del art. 23.1 CE, y anular los acuerdos de la Presidencia y de la mesa del Congreso de los Diputados de 4 y 9 de febrero de 2021.</w:t>
      </w:r>
    </w:p>
    <w:p w14:paraId="5425A5DC" w14:textId="77777777" w:rsidR="009D7677" w:rsidRDefault="009D7677" w:rsidP="009D7677">
      <w:pPr>
        <w:pStyle w:val="TextoNormal"/>
      </w:pPr>
    </w:p>
    <w:p w14:paraId="3DD0148C" w14:textId="10D38845" w:rsidR="009D7677" w:rsidRDefault="009D7677" w:rsidP="009D7677">
      <w:pPr>
        <w:pStyle w:val="TextoNormal"/>
      </w:pPr>
      <w:r w:rsidRPr="009D7677">
        <w:rPr>
          <w:rStyle w:val="NumeroAFNegritaCaracter"/>
        </w:rPr>
        <w:t>8</w:t>
      </w:r>
      <w:r>
        <w:t>. La ponencia correspondió en primer lugar al magistrado señor Tolosa Tribiño, cuya propuesta fue deliberada y no aprobada en la Sala Segunda de 23 de octubre de 2023. Al declinar el magistrado la ponencia, le fue encomendada a la magistrada señora Díez Bueso.</w:t>
      </w:r>
    </w:p>
    <w:p w14:paraId="37910F22" w14:textId="77777777" w:rsidR="009D7677" w:rsidRDefault="009D7677" w:rsidP="009D7677">
      <w:pPr>
        <w:pStyle w:val="TextoNormal"/>
      </w:pPr>
    </w:p>
    <w:p w14:paraId="053A91F1" w14:textId="41432AF1" w:rsidR="009D7677" w:rsidRDefault="009D7677" w:rsidP="009D7677">
      <w:pPr>
        <w:pStyle w:val="TextoNormal"/>
      </w:pPr>
      <w:r w:rsidRPr="009D7677">
        <w:rPr>
          <w:rStyle w:val="NumeroAFNegritaCaracter"/>
        </w:rPr>
        <w:t>9</w:t>
      </w:r>
      <w:r>
        <w:t>. La Sala Segunda, en sesión celebrada el día 20 de noviembre de 2023, acordó proponer la avocación al Pleno del presente recurso de amparo, de conformidad con lo dis</w:t>
      </w:r>
      <w:r>
        <w:lastRenderedPageBreak/>
        <w:t>puesto en el art. 10.1 n) LOTC. La avocación propuesta fue aceptada por el Pleno, que recabó para sí el conocimiento del recurso mediante providencia de 12 de diciembre de 2023.</w:t>
      </w:r>
    </w:p>
    <w:p w14:paraId="67DADF31" w14:textId="77777777" w:rsidR="009D7677" w:rsidRDefault="009D7677" w:rsidP="009D7677">
      <w:pPr>
        <w:pStyle w:val="TextoNormal"/>
      </w:pPr>
    </w:p>
    <w:p w14:paraId="75932E59" w14:textId="2A65FEE6" w:rsidR="009D7677" w:rsidRDefault="009D7677" w:rsidP="009D7677">
      <w:pPr>
        <w:pStyle w:val="TextoNormal"/>
      </w:pPr>
      <w:r w:rsidRPr="009D7677">
        <w:rPr>
          <w:rStyle w:val="NumeroAFNegritaCaracter"/>
        </w:rPr>
        <w:t>10</w:t>
      </w:r>
      <w:r>
        <w:t>. El Pleno del Tribunal, por ATC 664/2023, de 12 de diciembre, aceptó la abstención formulada por el magistrado don Juan Carlos Campo Moreno en el presente recurso de amparo, apartándole definitivamente de su conocimiento y de todas sus incidencias.</w:t>
      </w:r>
    </w:p>
    <w:p w14:paraId="18602137" w14:textId="77777777" w:rsidR="009D7677" w:rsidRDefault="009D7677" w:rsidP="009D7677">
      <w:pPr>
        <w:pStyle w:val="TextoNormal"/>
      </w:pPr>
    </w:p>
    <w:p w14:paraId="4742DC97" w14:textId="6B15723B" w:rsidR="009D7677" w:rsidRDefault="009D7677" w:rsidP="009D7677">
      <w:pPr>
        <w:pStyle w:val="TextoNormal"/>
      </w:pPr>
      <w:r w:rsidRPr="009D7677">
        <w:rPr>
          <w:rStyle w:val="NumeroAFNegritaCaracter"/>
        </w:rPr>
        <w:t>11</w:t>
      </w:r>
      <w:r>
        <w:t>. Por providencia de 16 de enero de 2024, se señaló para deliberación y votación de la presente sentencia el día 18 del mismo mes y año.</w:t>
      </w:r>
    </w:p>
    <w:p w14:paraId="259D4BCC" w14:textId="77777777" w:rsidR="009D7677" w:rsidRDefault="009D7677" w:rsidP="009D7677">
      <w:pPr>
        <w:pStyle w:val="TextoNormal"/>
      </w:pPr>
    </w:p>
    <w:p w14:paraId="4150476A" w14:textId="77777777" w:rsidR="009D7677" w:rsidRDefault="009D7677" w:rsidP="009D7677">
      <w:pPr>
        <w:pStyle w:val="TextoNormalNegritaCentrado"/>
        <w:keepNext/>
      </w:pPr>
      <w:r>
        <w:t>II. Fundamentos jurídicos</w:t>
      </w:r>
    </w:p>
    <w:p w14:paraId="052052D9" w14:textId="4416FF63" w:rsidR="009D7677" w:rsidRDefault="009D7677" w:rsidP="009D7677">
      <w:pPr>
        <w:pStyle w:val="TextoNormalNegritaCentrado"/>
        <w:keepNext/>
      </w:pPr>
    </w:p>
    <w:p w14:paraId="68A666E2" w14:textId="77777777" w:rsidR="009D7677" w:rsidRDefault="009D7677" w:rsidP="009D7677">
      <w:pPr>
        <w:pStyle w:val="TextoNormal"/>
      </w:pPr>
      <w:r w:rsidRPr="009D7677">
        <w:rPr>
          <w:rStyle w:val="NumeroAFNegritaCaracter"/>
        </w:rPr>
        <w:t>1</w:t>
      </w:r>
      <w:r>
        <w:t xml:space="preserve">. </w:t>
      </w:r>
      <w:r w:rsidRPr="009D7677">
        <w:rPr>
          <w:i/>
        </w:rPr>
        <w:t>Objeto del recurso de amparo</w:t>
      </w:r>
    </w:p>
    <w:p w14:paraId="0BE51695" w14:textId="77777777" w:rsidR="009D7677" w:rsidRDefault="009D7677" w:rsidP="009D7677">
      <w:pPr>
        <w:pStyle w:val="TextoNormal"/>
      </w:pPr>
    </w:p>
    <w:p w14:paraId="69E02669" w14:textId="77777777" w:rsidR="009D7677" w:rsidRDefault="009D7677" w:rsidP="009D7677">
      <w:pPr>
        <w:pStyle w:val="TextoNormal"/>
      </w:pPr>
      <w:r>
        <w:t>a) El presente recurso de amparo se dirige contra (i) el acuerdo de la presidenta del Congreso de los Diputados, de 4 de febrero de 2021, por el que se deniega la convocatoria de reunión extraordinaria de la mesa y se informa de que para la convalidación de los decretos-leyes es requisito suficiente que hayan sido publicados en el “Boletín Oficial del Estado”, no siendo preceptiva ni condición de validez del procedimiento la remisión por el Gobierno de los informes recabados con ocasión de su aprobación, sin perjuicio de la facultad de los diputados de recabar de las administraciones públicas los informes o documentos que obren en poder de estas, y (ii) el acuerdo de la mesa del Congreso de los Diputados, de 9 de febrero de 2021, por el que se comunica al Grupo Parlamentario Popular que para la convalidación de los decretos-leyes es requisito suficiente que hayan sido publicados en el “Boletín Oficial del Estado”, no siendo preceptiva ni condición de validez del procedimiento la remisión por el Gobierno de otros documentos o informes recabados con ocasión de su aprobación, sin perjuicio de la facultad de los diputados de recabar de las administraciones públicas los informes o documentos que obren en poder de estas, así como ejercer las iniciativas de control de la acción del Gobierno que estimen oportunas.</w:t>
      </w:r>
    </w:p>
    <w:p w14:paraId="2C779CD2" w14:textId="77777777" w:rsidR="009D7677" w:rsidRDefault="009D7677" w:rsidP="009D7677">
      <w:pPr>
        <w:pStyle w:val="TextoNormal"/>
      </w:pPr>
    </w:p>
    <w:p w14:paraId="5BA81D6B" w14:textId="77777777" w:rsidR="009D7677" w:rsidRDefault="009D7677" w:rsidP="009D7677">
      <w:pPr>
        <w:pStyle w:val="TextoNormal"/>
      </w:pPr>
      <w:r>
        <w:t>Estos acuerdos daban respuesta a sendos escritos presentados por doña Concepción Gamarra Ruiz-Clavijo, en su condición de portavoz del Grupo Parlamentario Popular, dirigidos a la presidencia del Congreso de los Diputados, en los que ponía de manifiesto la no remisión a la Cámara del dictamen del Consejo de Estado núm. 783/2020, emitido con carácter previo a la aprobación por el Consejo de Ministros del Real Decreto-ley 36/2020, de 30 de diciembre, por el que se aprueban medidas urgentes para la modernización de la administración pública y para la ejecución del Plan de recuperación, transformación y resiliencia. En el primero de dichos escritos, fechado a 3 de febrero de 2021, se denunciaba que la omisión del citado dictamen había sustraído a los diputados un elemento de juicio esencial para fijar su postura en el trámite de convalidación o derogación del mencionado Real Decreto-ley 36/2020. En el segundo de ellos, de 5 de febrero de 2021, además de lo anterior, se añadía que esta omisión les privaba de un elemento esencial para el ejercicio de su función legislativa, una vez que el Congreso de los Diputados había acordado la tramitación como proyecto de ley por el procedimiento de urgencia, conforme a los artículos 86.3 CE y 151.4 RCD, por lo que era preciso que el Gobierno remitiera los “antece</w:t>
      </w:r>
      <w:r>
        <w:lastRenderedPageBreak/>
        <w:t>dentes necesarios”, tal y como exigen los arts. 88 CE y 109 RCD en relación con los proyectos de ley.</w:t>
      </w:r>
    </w:p>
    <w:p w14:paraId="79686AF2" w14:textId="77777777" w:rsidR="009D7677" w:rsidRDefault="009D7677" w:rsidP="009D7677">
      <w:pPr>
        <w:pStyle w:val="TextoNormal"/>
      </w:pPr>
    </w:p>
    <w:p w14:paraId="7C9EE174" w14:textId="77777777" w:rsidR="009D7677" w:rsidRDefault="009D7677" w:rsidP="009D7677">
      <w:pPr>
        <w:pStyle w:val="TextoNormal"/>
      </w:pPr>
      <w:r>
        <w:t xml:space="preserve">Siendo este el </w:t>
      </w:r>
      <w:r w:rsidRPr="009D7677">
        <w:rPr>
          <w:i/>
        </w:rPr>
        <w:t>iter</w:t>
      </w:r>
      <w:r>
        <w:t xml:space="preserve"> procedimental seguido, la cuestión controvertida en este recurso de amparo es si los acuerdos de la presidenta del Congreso de los Diputados, de 4 de febrero de 2021, y de la mesa del Congreso de los Diputados, de 9 de febrero de 2021, lesionaron el derecho de representación política </w:t>
      </w:r>
      <w:r w:rsidRPr="009D7677">
        <w:rPr>
          <w:i/>
        </w:rPr>
        <w:t>ex</w:t>
      </w:r>
      <w:r>
        <w:t xml:space="preserve"> art. 23.2 CE, de los recurrentes, en su vertiente relativa al ejercicio de sus funciones parlamentarias (</w:t>
      </w:r>
      <w:r w:rsidRPr="009D7677">
        <w:rPr>
          <w:i/>
        </w:rPr>
        <w:t>ius in officium</w:t>
      </w:r>
      <w:r>
        <w:t>), al haberles negado la incorporación al procedimiento legislativo de un antecedente necesario, tanto para la convalidación o derogación del Real Decreto-ley 36/2020, como para la tramitación de este como proyecto de ley por el procedimiento de urgencia.</w:t>
      </w:r>
    </w:p>
    <w:p w14:paraId="7860A92F" w14:textId="77777777" w:rsidR="009D7677" w:rsidRDefault="009D7677" w:rsidP="009D7677">
      <w:pPr>
        <w:pStyle w:val="TextoNormal"/>
      </w:pPr>
    </w:p>
    <w:p w14:paraId="375956C3" w14:textId="77777777" w:rsidR="009D7677" w:rsidRDefault="009D7677" w:rsidP="009D7677">
      <w:pPr>
        <w:pStyle w:val="TextoNormal"/>
      </w:pPr>
      <w:r>
        <w:t xml:space="preserve">b) Como ha quedado expuesto en detalle en el relato de antecedentes, la demanda de amparo denuncia la vulneración del </w:t>
      </w:r>
      <w:r w:rsidRPr="009D7677">
        <w:rPr>
          <w:i/>
        </w:rPr>
        <w:t>ius in officium</w:t>
      </w:r>
      <w:r>
        <w:t xml:space="preserve"> (art. 23.2 CE) de los demandantes, considerando que el dictamen del Consejo de Estado núm. 783/2020 tenía carácter preceptivo y que debía haber sido remitido por el Gobierno al Congreso de los Diputados como antecedente necesario, no sólo en el trámite de convalidación del Real Decreto-ley 36/2020, sino también una vez que la Cámara había acordado su tramitación como proyecto de ley. Consideran que los acuerdos impugnados son contrarios a la normativa constitucional y parlamentaria y que incurren en falta de motivación.</w:t>
      </w:r>
    </w:p>
    <w:p w14:paraId="4A1A47C4" w14:textId="77777777" w:rsidR="009D7677" w:rsidRDefault="009D7677" w:rsidP="009D7677">
      <w:pPr>
        <w:pStyle w:val="TextoNormal"/>
      </w:pPr>
    </w:p>
    <w:p w14:paraId="7FB6F21B" w14:textId="77777777" w:rsidR="009D7677" w:rsidRDefault="009D7677" w:rsidP="009D7677">
      <w:pPr>
        <w:pStyle w:val="TextoNormal"/>
      </w:pPr>
      <w:r>
        <w:t>La letrada de las Cortes Generales, en representación del Congreso de los Diputados, niega la vulneración del derecho fundamental recogido en el art. 23.2 CE, defendiendo que conforme al art. 151 RCD para la convalidación de los reales decretos leyes no es precisa la remisión de documentación por parte del Gobierno, siendo suficiente con la publicación en el “Boletín Oficial del Estado”, y que tampoco lo es una vez que la Cámara acuerda la tramitación de los decretos leyes como proyectos de ley, porque esta decisión parlamentaria no convierte la iniciativa original aprobada por el Consejo de Ministros en un proyecto de ley, sujeto a las exigencias de los arts. 88 y 109 CE, sino que solo determina su tramitación legislativa. Subraya que los acuerdos impugnados dejaban a salvo la facultad de las recurrentes de solicitar del Gobierno el citado dictamen del Consejo de Estado conforme al art. 7 RCD. Destaca, además, que las solicitudes presentadas ante los órganos de gobierno del Congreso de los Diputados fueron posteriores a la convalidación del Real Decreto-ley 36/2020, sin que hubiera denuncia previa al debate de convalidación. Pone de manifiesto que el dictamen fue remitido por el Gobierno, a solicitud de la portavoz del Grupo Parlamentario Popular, cuando todavía se encontraba abierto el plazo para presentar enmiendas al proyecto de ley. Y, por último, defiende que los acuerdos recurridos cuentan con una motivación adecuada y suficiente.</w:t>
      </w:r>
    </w:p>
    <w:p w14:paraId="5CBC49C4" w14:textId="77777777" w:rsidR="009D7677" w:rsidRDefault="009D7677" w:rsidP="009D7677">
      <w:pPr>
        <w:pStyle w:val="TextoNormal"/>
      </w:pPr>
    </w:p>
    <w:p w14:paraId="4593BE7B" w14:textId="77777777" w:rsidR="009D7677" w:rsidRDefault="009D7677" w:rsidP="009D7677">
      <w:pPr>
        <w:pStyle w:val="TextoNormal"/>
      </w:pPr>
      <w:r>
        <w:t>Por su parte, el Ministerio Fiscal niega la vulneración del derecho fundamental reconocido en el art. 23.2 CE, en relación con la convalidación del Real Decreto-ley 36/2020, con arreglo a lo previsto en el art. 151 RCD, pero sí aprecia la vulneración denunciada una vez que pasó a tramitarse como proyecto de ley. Considera que los acuerdos recurridos contienen una motivación insuficiente.</w:t>
      </w:r>
    </w:p>
    <w:p w14:paraId="0DB3FC0A" w14:textId="77777777" w:rsidR="009D7677" w:rsidRDefault="009D7677" w:rsidP="009D7677">
      <w:pPr>
        <w:pStyle w:val="TextoNormal"/>
      </w:pPr>
    </w:p>
    <w:p w14:paraId="742D36B1" w14:textId="77777777" w:rsidR="009D7677" w:rsidRDefault="009D7677" w:rsidP="009D7677">
      <w:pPr>
        <w:pStyle w:val="TextoNormal"/>
      </w:pPr>
      <w:r>
        <w:t>c) Una vez fijadas las posiciones de las partes, a la vista de algunas de las alegaciones de los demandantes y del Ministerio Fiscal, conviene efectuar una última precisión para delimitar lo que ha de constituir el objeto de nuestro enjuiciamiento.</w:t>
      </w:r>
    </w:p>
    <w:p w14:paraId="3450AD91" w14:textId="77777777" w:rsidR="009D7677" w:rsidRDefault="009D7677" w:rsidP="009D7677">
      <w:pPr>
        <w:pStyle w:val="TextoNormal"/>
      </w:pPr>
    </w:p>
    <w:p w14:paraId="72D2EEE4" w14:textId="77777777" w:rsidR="009D7677" w:rsidRDefault="009D7677" w:rsidP="009D7677">
      <w:pPr>
        <w:pStyle w:val="TextoNormal"/>
      </w:pPr>
      <w:r>
        <w:t xml:space="preserve">Las solicitudes que fueron desestimadas por los acuerdos de la presidenta y de la mesa del Congreso de los Diputados, objeto del presente recurso de amparo, se referían únicamente a la afectación del </w:t>
      </w:r>
      <w:r w:rsidRPr="009D7677">
        <w:rPr>
          <w:i/>
        </w:rPr>
        <w:t>ius in officium</w:t>
      </w:r>
      <w:r>
        <w:t xml:space="preserve"> de los diputados cuando no se remiten a la Cámara los antecedentes necesarios para formar su criterio en relación con una determinada iniciativa legislativa. En los escritos presentados no se ejercitaba una solicitud de información o documentación de las previstas en el art. 7 RCD, por lo que no nos corresponde pronunciarnos sobre si el derecho de los diputados a recabar de las administraciones datos, informes o documentos que obren en su poder fue debidamente atendido o tutelado o no por los órganos de Gobierno del Congreso de los Diputados.</w:t>
      </w:r>
    </w:p>
    <w:p w14:paraId="6D759234" w14:textId="77777777" w:rsidR="009D7677" w:rsidRDefault="009D7677" w:rsidP="009D7677">
      <w:pPr>
        <w:pStyle w:val="TextoNormal"/>
      </w:pPr>
    </w:p>
    <w:p w14:paraId="6578EACA" w14:textId="1C1B5EF2" w:rsidR="009D7677" w:rsidRDefault="009D7677" w:rsidP="009D7677">
      <w:pPr>
        <w:pStyle w:val="TextoNormal"/>
      </w:pPr>
      <w:r>
        <w:t>En todo caso, de la documentación aportada con la demanda de amparo se desprende que la portavoz del Grupo Parlamentario Popular, efectuó una solicitud, conforme al art. 7 RCD, dirigida al Gobierno a fin de que le remitiera el citado dictamen del Consejo de Estado. Y a este tribunal le consta, por haberlo acreditado así la letrada de las Cortes Generales, con la documental acompañada con su escrito de alegaciones, que dicha solicitud recibió respuesta del Gobierno, poniendo a su disposición el referido dictamen a través del correspondiente enlace a la página web del Consejo de Estado.</w:t>
      </w:r>
    </w:p>
    <w:p w14:paraId="28EB1192" w14:textId="77777777" w:rsidR="009D7677" w:rsidRDefault="009D7677" w:rsidP="009D7677">
      <w:pPr>
        <w:pStyle w:val="TextoNormal"/>
      </w:pPr>
    </w:p>
    <w:p w14:paraId="3B2994BB" w14:textId="77777777" w:rsidR="009D7677" w:rsidRDefault="009D7677" w:rsidP="009D7677">
      <w:pPr>
        <w:pStyle w:val="TextoNormal"/>
      </w:pPr>
      <w:r w:rsidRPr="009D7677">
        <w:rPr>
          <w:rStyle w:val="NumeroAFNegritaCaracter"/>
        </w:rPr>
        <w:t>2</w:t>
      </w:r>
      <w:r>
        <w:t xml:space="preserve">. </w:t>
      </w:r>
      <w:r w:rsidRPr="009D7677">
        <w:rPr>
          <w:i/>
        </w:rPr>
        <w:t>Doctrina constitucional sobre el</w:t>
      </w:r>
      <w:r>
        <w:t xml:space="preserve"> ius in officium </w:t>
      </w:r>
      <w:r w:rsidRPr="009D7677">
        <w:rPr>
          <w:i/>
        </w:rPr>
        <w:t>y sobre los antecedentes necesarios en el procedimiento legislativo</w:t>
      </w:r>
    </w:p>
    <w:p w14:paraId="18AB3B46" w14:textId="77777777" w:rsidR="009D7677" w:rsidRDefault="009D7677" w:rsidP="009D7677">
      <w:pPr>
        <w:pStyle w:val="TextoNormal"/>
      </w:pPr>
    </w:p>
    <w:p w14:paraId="52CE2217" w14:textId="77777777" w:rsidR="009D7677" w:rsidRDefault="009D7677" w:rsidP="009D7677">
      <w:pPr>
        <w:pStyle w:val="TextoNormal"/>
      </w:pPr>
      <w:r>
        <w:t>a) La doctrina de este tribunal sobre el derecho de representación política ha sido sistematizada, en términos generales, en la STC 93/2023, de 12 de septiembre, FJ 3 a), concretando los siguientes extremos:</w:t>
      </w:r>
    </w:p>
    <w:p w14:paraId="6E9EE249" w14:textId="77777777" w:rsidR="009D7677" w:rsidRDefault="009D7677" w:rsidP="009D7677">
      <w:pPr>
        <w:pStyle w:val="TextoNormal"/>
      </w:pPr>
    </w:p>
    <w:p w14:paraId="0869CCDF" w14:textId="77777777" w:rsidR="009D7677" w:rsidRDefault="009D7677" w:rsidP="009D7677">
      <w:pPr>
        <w:pStyle w:val="TextoNormal"/>
      </w:pPr>
      <w:r>
        <w:t>(i) El art. 23.2 CE, que reconoce el derecho de los ciudadanos “a acceder en condiciones de igualdad a las funciones y cargos públicos, con los requisitos que señalen las leyes”, no solo garantiza el acceso igualitario a las funciones y cargos públicos, sino también a que los que hayan accedido a los mismos se mantengan en ellos y los desempeñen de conformidad con lo que la ley disponga. De ese modo, existe una conexión directa entre el derecho de los representantes políticos (art. 23.2 CE) y el que la Constitución atribuye a los ciudadanos a participar en los asuntos públicos (art. 23.1 CE) ya que, con carácter general, en una democracia representativa son aquellos quienes dan efectividad al derecho de los ciudadanos a participar en los asuntos públicos, por lo que ambos preceptos, de manera directa el art. 23.2 CE y de manera indirecta el art. 23.1 CE, quedarían vacíos de contenido, o serían ineficaces, si el representante político se viese privado de su cargo o perturbado en su ejercicio.</w:t>
      </w:r>
    </w:p>
    <w:p w14:paraId="3CD3CCA9" w14:textId="77777777" w:rsidR="009D7677" w:rsidRDefault="009D7677" w:rsidP="009D7677">
      <w:pPr>
        <w:pStyle w:val="TextoNormal"/>
      </w:pPr>
    </w:p>
    <w:p w14:paraId="216973AB" w14:textId="77777777" w:rsidR="009D7677" w:rsidRDefault="009D7677" w:rsidP="009D7677">
      <w:pPr>
        <w:pStyle w:val="TextoNormal"/>
      </w:pPr>
      <w:r>
        <w:t xml:space="preserve">(ii) El derecho a la representación política del art. 23.2 CE es de configuración legal, en el sentido de que compete a los reglamentos parlamentarios fijar y ordenar los derechos y atribuciones que a los representantes políticos corresponden, que una vez creados quedan integrados en el estatus propio del cargo. No obstante, el art. 23.2 CE no consagra un derecho al respeto de todas y cada una de las prescripciones de aquellos reglamentos, con la consecuencia de que el derecho de los representantes, y en particular su </w:t>
      </w:r>
      <w:r w:rsidRPr="009D7677">
        <w:rPr>
          <w:i/>
        </w:rPr>
        <w:t>ius in officium</w:t>
      </w:r>
      <w:r>
        <w:t xml:space="preserve">, solo podrá considerarse vulnerado si las aducidas contravenciones de las normas internas de las asambleas afectan a la igualdad entre representantes o contrarían la naturaleza de la representación por afectar al núcleo de sus derechos y facultades o, en otros términos, a su </w:t>
      </w:r>
      <w:r>
        <w:lastRenderedPageBreak/>
        <w:t>estatuto constitucionalmente relevante, como son, principalmente, los que tienen relación directa con el ejercicio de las potestades legislativas y de control de la acción del Gobierno.</w:t>
      </w:r>
    </w:p>
    <w:p w14:paraId="0C8CC051" w14:textId="77777777" w:rsidR="009D7677" w:rsidRDefault="009D7677" w:rsidP="009D7677">
      <w:pPr>
        <w:pStyle w:val="TextoNormal"/>
      </w:pPr>
    </w:p>
    <w:p w14:paraId="7AADCBA9" w14:textId="77777777" w:rsidR="009D7677" w:rsidRDefault="009D7677" w:rsidP="009D7677">
      <w:pPr>
        <w:pStyle w:val="TextoNormal"/>
      </w:pPr>
      <w:r>
        <w:t xml:space="preserve">(iii) Su carácter de derecho de configuración legal debe ser puesto en relación con el principio de autonomía parlamentaria reconocido por el art. 72.1 CE, que incluye como una de sus manifestaciones la autonomía normativa, que comporta, no solo una esfera de decisión propia de las asambleas legislativas en relación con la elaboración de su reglamentación interna, sino también el reconocimiento de que sus órganos están dotados de un margen de interpretación suficiente de dicha reglamentación. Esa autonomía interpretativa cuenta con ciertos límites como son: (a) la subordinación del órgano interpretador a la labor de creación normativa del Pleno de la asamblea, lo que impide innovaciones que contradigan los contenidos de las disposiciones legales o reglamentarias en la materia; (b) la exégesis restrictiva de las normas limitativas de los derechos o atribuciones que integran el estatuto constitucionalmente relevante del representante público la motivación de las razones de su aplicación; y (c) la necesidad de que aquellos acuerdos que sean restrictivos del </w:t>
      </w:r>
      <w:r w:rsidRPr="009D7677">
        <w:rPr>
          <w:i/>
        </w:rPr>
        <w:t>ius in officium</w:t>
      </w:r>
      <w:r>
        <w:t xml:space="preserve"> de los parlamentarios no resulten decisiones arbitrarias o manifiestamente irrazonables, por lo que deben incorporar una motivación expresa, suficiente y adecuada, que permita determinar si la decisión adoptada entraña en sí misma el desconocimiento de la facultad que se ha querido ejercitar y que no se manifiesta desprovista de razonabilidad en atención al fin institucional propio de la función que quiso ejercerse y los motivos aducidos para impedir su ejercicio.</w:t>
      </w:r>
    </w:p>
    <w:p w14:paraId="3B14D307" w14:textId="77777777" w:rsidR="009D7677" w:rsidRDefault="009D7677" w:rsidP="009D7677">
      <w:pPr>
        <w:pStyle w:val="TextoNormal"/>
      </w:pPr>
    </w:p>
    <w:p w14:paraId="0D30BA51" w14:textId="77777777" w:rsidR="009D7677" w:rsidRDefault="009D7677" w:rsidP="009D7677">
      <w:pPr>
        <w:pStyle w:val="TextoNormal"/>
      </w:pPr>
      <w:r>
        <w:t xml:space="preserve">b) De manera más específica, la doctrina constitucional también ha tenido la oportunidad de pronunciarse en relación con las vulneraciones del </w:t>
      </w:r>
      <w:r w:rsidRPr="009D7677">
        <w:rPr>
          <w:i/>
        </w:rPr>
        <w:t>ius in officium</w:t>
      </w:r>
      <w:r>
        <w:t xml:space="preserve"> producidas en el seno del procedimiento legislativo tanto en relación con la omisión como con la no remisión o remisión tardía de antecedentes.</w:t>
      </w:r>
    </w:p>
    <w:p w14:paraId="3E538EAB" w14:textId="77777777" w:rsidR="009D7677" w:rsidRDefault="009D7677" w:rsidP="009D7677">
      <w:pPr>
        <w:pStyle w:val="TextoNormal"/>
      </w:pPr>
    </w:p>
    <w:p w14:paraId="6A80F0BF" w14:textId="77777777" w:rsidR="009D7677" w:rsidRDefault="009D7677" w:rsidP="009D7677">
      <w:pPr>
        <w:pStyle w:val="TextoNormal"/>
      </w:pPr>
      <w:r>
        <w:t>(i) Con carácter general, este tribunal ha venido señalando que la ausencia de un determinado antecedente solo tiene trascendencia si se hubiera privado a las cámaras de un elemento de juicio necesario para su decisión (SSTC 108/1986, de 29 de agosto, FJ 3; 238/2012, de 13 de diciembre, FJ 3, y 68/2013, de 14 de marzo, FJ 2).</w:t>
      </w:r>
    </w:p>
    <w:p w14:paraId="04DBC177" w14:textId="77777777" w:rsidR="009D7677" w:rsidRDefault="009D7677" w:rsidP="009D7677">
      <w:pPr>
        <w:pStyle w:val="TextoNormal"/>
      </w:pPr>
    </w:p>
    <w:p w14:paraId="2DA6F428" w14:textId="77777777" w:rsidR="009D7677" w:rsidRDefault="009D7677" w:rsidP="009D7677">
      <w:pPr>
        <w:pStyle w:val="TextoNormal"/>
      </w:pPr>
      <w:r>
        <w:t>(ii) Además, a la hora de enjuiciar las quejas constitucionales relacionadas con la ausencia de antecedentes necesarios, hemos dado una singular relevancia a la diligencia desplegada por los parlamentarios, rechazando las quejas fundadas en la infracción del art. 88 CE si el vicio denunciado no se puso de manifiesto tempestivamente durante el procedimiento legislativo.</w:t>
      </w:r>
    </w:p>
    <w:p w14:paraId="5EDC0C9E" w14:textId="77777777" w:rsidR="009D7677" w:rsidRDefault="009D7677" w:rsidP="009D7677">
      <w:pPr>
        <w:pStyle w:val="TextoNormal"/>
      </w:pPr>
    </w:p>
    <w:p w14:paraId="57BF4230" w14:textId="77777777" w:rsidR="009D7677" w:rsidRDefault="009D7677" w:rsidP="009D7677">
      <w:pPr>
        <w:pStyle w:val="TextoNormal"/>
      </w:pPr>
      <w:r>
        <w:t>En esta línea, en relación con la omisión de un informe preceptivo durante la elaboración de un proyecto de ley, la STC 108/1986 razonó que “[t]ambién está fuera de lugar la invocación a este propósito del art. 88 de la Constitución, antes transcrito. La ausencia de un determinado antecedente sólo tendrá trascendencia si se hubiere privado a las Cámaras de un elemento de juicio necesario para su decisión, pero, en este caso, el defecto, que tuvo que ser conocido de inmediato, hubiese debido ser denunciado ante las mismas Cámaras y los recurrentes no alegan en ningún momento que esto ocurriese. No habiéndose producido esa denuncia, es forzoso concluir que las Cámaras no estimaron que el informe era un elemento de juicio necesario para su decisión, sin que este tribunal pueda interferir</w:t>
      </w:r>
      <w:r>
        <w:lastRenderedPageBreak/>
        <w:t>se en la valoración de la relevancia que un elemento de juicio tuvo para los parlamentarios” (FJ 3). E idéntico criterio siguió este tribunal en relación con la remisión tardía de antecedentes por parte del Gobierno, negando la vulneración del art. 88 CE por no haber mediado protesta de los diputados demandantes de amparo (FJ 4).</w:t>
      </w:r>
    </w:p>
    <w:p w14:paraId="435C040A" w14:textId="77777777" w:rsidR="009D7677" w:rsidRDefault="009D7677" w:rsidP="009D7677">
      <w:pPr>
        <w:pStyle w:val="TextoNormal"/>
      </w:pPr>
    </w:p>
    <w:p w14:paraId="330E72E4" w14:textId="77777777" w:rsidR="009D7677" w:rsidRDefault="009D7677" w:rsidP="009D7677">
      <w:pPr>
        <w:pStyle w:val="TextoNormal"/>
      </w:pPr>
      <w:r>
        <w:t>(iii) Por otra parte, a la hora de considerar si la ausencia de un determinado informe pudo viciar de manera sustancial el proceso de formación de la voluntad de la cámara, este tribunal ha atendido a diversos aspectos. De un lado, la doctrina constitucional ha otorgado relevancia, a estos efectos, al carácter preceptivo o facultativo del informe (STC 108/1986, FJ 3, y ATC 342/2006, de 4 de octubre, FJ 2). De otro, ha venido distinguiendo entre los supuestos en los que la consulta viniera impuesta por una norma integrante del bloque de constitucionalidad, en cuyo caso la ausencia de informe constituye motivo para la declaración de inconstitucionalidad (SSTC 35/1984, de 13 de marzo, FJ 6, y 13/2015, de 5 de febrero, FJ 5), de aquellos otros en los que no ocurre así, en los que la falta de un determinado antecedente solo tiene trascendencia si priva a las cámaras de un elemento necesario para su decisión [SSTC 108/1986, FJ 3, y 238/2012, FJ 3 c)].</w:t>
      </w:r>
    </w:p>
    <w:p w14:paraId="42493F55" w14:textId="77777777" w:rsidR="009D7677" w:rsidRDefault="009D7677" w:rsidP="009D7677">
      <w:pPr>
        <w:pStyle w:val="TextoNormal"/>
      </w:pPr>
    </w:p>
    <w:p w14:paraId="1CB246C4" w14:textId="77777777" w:rsidR="009D7677" w:rsidRDefault="009D7677" w:rsidP="009D7677">
      <w:pPr>
        <w:pStyle w:val="TextoNormal"/>
      </w:pPr>
      <w:r>
        <w:t>(iv) Por último, no puede perderse de vista que el enjuiciamiento de decisiones parlamentarias como la que ahora nos ocupa debe partir siempre del respeto de la autonomía parlamentaria y de la consideración de que es a los órganos de gobierno del Congreso de los Diputados a los que les corresponde la prerrogativa de interpretar las previsiones del Reglamento del Congreso de los Diputados. Así se puso de manifiesto en el ATC 342/2006, FJ 2, donde dijimos: “Hay que recordar que la Constitución no recoge un derecho a la legalidad parlamentaria que convierta a este tribunal en revisor de todas las decisiones de los órganos de gobierno parlamentario (ATC 215/2000), ni le permite sustituir la autonomía de las Cámaras para su autoorganización, garantizada en el art. 72 CE. Dentro de tales límites, a través de la vía del recurso de amparo prevista en el art. 42 LOTC nos corresponde amparar las lesiones de la legalidad parlamentaria en cuanto fuente de facultades de los representantes y grupos parlamentarios, que repercutan de modo tal sobre los derechos que integran el estatuto del representante como para llegar a vaciar de contenido el ejercicio de su función, afectando indirectamente el derecho de los ciudadanos a verse representados (ATC 35/2001)”.</w:t>
      </w:r>
    </w:p>
    <w:p w14:paraId="18CDB8DC" w14:textId="77777777" w:rsidR="009D7677" w:rsidRDefault="009D7677" w:rsidP="009D7677">
      <w:pPr>
        <w:pStyle w:val="TextoNormal"/>
      </w:pPr>
    </w:p>
    <w:p w14:paraId="5A3A2E83" w14:textId="77777777" w:rsidR="009D7677" w:rsidRDefault="009D7677" w:rsidP="009D7677">
      <w:pPr>
        <w:pStyle w:val="TextoNormal"/>
      </w:pPr>
      <w:r>
        <w:t xml:space="preserve">A propósito de los informes preceptivos hay que partir de que a la mesa “le compete, por estar sujeta al ordenamiento jurídico, en particular a la Constitución y a los Reglamentos parlamentarios que regulan sus atribuciones y funcionamiento, y en aras de la mencionada eficacia del trabajo parlamentario, verificar la regularidad jurídica y la viabilidad procesal de las iniciativas, esto es, examinar si las iniciativas cumplen los requisitos formales exigidos por la norma reglamentaria” (STC 40/2003, de 27 de febrero, FJ 2). Para ello debe contar con los antecedentes necesarios; le corresponde, por tanto, a la propia mesa de la cámara interpretar individualizadamente, de conformidad con las normas aplicables, qué materiales son imprescindibles en cada ocasión para poder realizar adecuadamente el control formal que se plasma en la calificación y en la decisión sobre la admisibilidad de los proyectos de ley, y para que el debate legislativo se realice con plena libertad de decisión. Debe hacerlo motivadamente y de manera razonable, siendo el control que puede realizar este tribunal meramente externo y limitado a la suficiencia y coherencia jurídica de dicha motivación (SSTC 38/1999 y 177/2002) pues, como hemos dicho recientemente en la STC 242/2006, de 24 de julio, FJ 6, cuando se trata de enjuiciar decisiones </w:t>
      </w:r>
      <w:r>
        <w:lastRenderedPageBreak/>
        <w:t>de la mesas de una cámara parlamentaria “las consideraciones funcionales que rodean a esta institución y a su control no pueden ser desconocidas y obligan a limitar nuestro control a las decisiones arbitrarias o manifiestamente irrazonables”.</w:t>
      </w:r>
    </w:p>
    <w:p w14:paraId="69B2ADE2" w14:textId="77777777" w:rsidR="009D7677" w:rsidRDefault="009D7677" w:rsidP="009D7677">
      <w:pPr>
        <w:pStyle w:val="TextoNormal"/>
      </w:pPr>
    </w:p>
    <w:p w14:paraId="76831711" w14:textId="474A012D" w:rsidR="009D7677" w:rsidRDefault="009D7677" w:rsidP="009D7677">
      <w:pPr>
        <w:pStyle w:val="TextoNormal"/>
      </w:pPr>
      <w:r>
        <w:t xml:space="preserve">c) Partiendo de tales consideraciones, estamos ya en disposición de examinar la cuestión controvertida en el presente recurso de amparo. A los efectos de nuestro enjuiciamiento, hemos de distinguir, por un lado, la afectación que la omisión del meritado informe pudo tener respecto del </w:t>
      </w:r>
      <w:r w:rsidRPr="009D7677">
        <w:rPr>
          <w:i/>
        </w:rPr>
        <w:t>ius in officium</w:t>
      </w:r>
      <w:r>
        <w:t xml:space="preserve"> de los demandantes en relación con la fase de convalidación del Real Decreto-ley 36/2020, y, por otro lado, la incidencia de dicha ausencia durante la tramitación de aquel como proyecto de ley.</w:t>
      </w:r>
    </w:p>
    <w:p w14:paraId="3371F16E" w14:textId="77777777" w:rsidR="009D7677" w:rsidRDefault="009D7677" w:rsidP="009D7677">
      <w:pPr>
        <w:pStyle w:val="TextoNormal"/>
      </w:pPr>
    </w:p>
    <w:p w14:paraId="71149747" w14:textId="77777777" w:rsidR="009D7677" w:rsidRDefault="009D7677" w:rsidP="009D7677">
      <w:pPr>
        <w:pStyle w:val="TextoNormal"/>
      </w:pPr>
      <w:r w:rsidRPr="009D7677">
        <w:rPr>
          <w:rStyle w:val="NumeroAFNegritaCaracter"/>
        </w:rPr>
        <w:t>3</w:t>
      </w:r>
      <w:r>
        <w:t xml:space="preserve">. </w:t>
      </w:r>
      <w:r w:rsidRPr="009D7677">
        <w:rPr>
          <w:i/>
        </w:rPr>
        <w:t>Sobre la denunciada lesión del</w:t>
      </w:r>
      <w:r>
        <w:t xml:space="preserve"> ius in officium </w:t>
      </w:r>
      <w:r w:rsidRPr="009D7677">
        <w:rPr>
          <w:i/>
        </w:rPr>
        <w:t>en el trámite de convalidación del Real Decreto-ley 36/2020</w:t>
      </w:r>
    </w:p>
    <w:p w14:paraId="1AFCCA3F" w14:textId="77777777" w:rsidR="009D7677" w:rsidRDefault="009D7677" w:rsidP="009D7677">
      <w:pPr>
        <w:pStyle w:val="TextoNormal"/>
      </w:pPr>
    </w:p>
    <w:p w14:paraId="7157D1F7" w14:textId="77777777" w:rsidR="009D7677" w:rsidRDefault="009D7677" w:rsidP="009D7677">
      <w:pPr>
        <w:pStyle w:val="TextoNormal"/>
      </w:pPr>
      <w:r>
        <w:t>a) Como ha quedado expuesto en el relato de antecedentes, la demanda de amparo denuncia que la no remisión del dictamen del Consejo de Estado emitido con carácter previo a la aprobación del Real Decreto-ley 36/2020 vició el procedimiento parlamentario e impidió a los diputados el correcto ejercicio de sus funciones en el trámite de convalidación o derogación de aquel.</w:t>
      </w:r>
    </w:p>
    <w:p w14:paraId="286A50E4" w14:textId="77777777" w:rsidR="009D7677" w:rsidRDefault="009D7677" w:rsidP="009D7677">
      <w:pPr>
        <w:pStyle w:val="TextoNormal"/>
      </w:pPr>
    </w:p>
    <w:p w14:paraId="3541771B" w14:textId="77777777" w:rsidR="009D7677" w:rsidRDefault="009D7677" w:rsidP="009D7677">
      <w:pPr>
        <w:pStyle w:val="TextoNormal"/>
      </w:pPr>
      <w:r>
        <w:t>En relación con esta queja, este tribunal ha de atender a la fecha en la que esta omisión se puso de manifiesto por la portavoz del Grupo Parlamentario Popular, porque este dato tiene relevancia fundamental para nuestro enjuiciamiento, como seguidamente se verá.</w:t>
      </w:r>
    </w:p>
    <w:p w14:paraId="5FB95B49" w14:textId="77777777" w:rsidR="009D7677" w:rsidRDefault="009D7677" w:rsidP="009D7677">
      <w:pPr>
        <w:pStyle w:val="TextoNormal"/>
      </w:pPr>
    </w:p>
    <w:p w14:paraId="16900D57" w14:textId="77777777" w:rsidR="009D7677" w:rsidRDefault="009D7677" w:rsidP="009D7677">
      <w:pPr>
        <w:pStyle w:val="TextoNormal"/>
      </w:pPr>
      <w:r>
        <w:t>Como ha quedado expuesto en el relato de antecedentes, el Real Decreto-ley 36/2020 fue publicado en el “Boletín Oficial del Estado” de 31 de diciembre de 2020, y fue remitido por el Gobierno al Congreso de los Diputados el 4 de enero de 2021, acompañado de la memoria de análisis de impacto normativo abreviada. El Real Decreto-ley 36/2020 fue convalidado el 28 de enero de 2021, acordándose su tramitación como proyecto de ley por el procedimiento de urgencia. No fue hasta el 3 de febrero de 2021, una vez acordada la convalidación por el Pleno del Congreso de los Diputados, cuando se puso de manifiesto la ausencia del dictamen del Consejo de Estado núm. 783-2020.</w:t>
      </w:r>
    </w:p>
    <w:p w14:paraId="0C1633AE" w14:textId="77777777" w:rsidR="009D7677" w:rsidRDefault="009D7677" w:rsidP="009D7677">
      <w:pPr>
        <w:pStyle w:val="TextoNormal"/>
      </w:pPr>
    </w:p>
    <w:p w14:paraId="3BCEA61F" w14:textId="77777777" w:rsidR="009D7677" w:rsidRDefault="009D7677" w:rsidP="009D7677">
      <w:pPr>
        <w:pStyle w:val="TextoNormal"/>
      </w:pPr>
      <w:r>
        <w:t>De acuerdo con nuestra doctrina antes reseñada, resulta decisivo para apreciar la vulneración denunciada examinar la diligencia de los demandantes durante el procedimiento parlamentario, en particular si la existencia del informe no remitido pudo ser conocida por aquellos y si, en caso de ser así, lo denunciaron de forma tempestiva mediante la oportuna protesta [SSTC 108/1986, FJ 3, y 238/2012, FJ 3 c)].</w:t>
      </w:r>
    </w:p>
    <w:p w14:paraId="6867B7E0" w14:textId="77777777" w:rsidR="009D7677" w:rsidRDefault="009D7677" w:rsidP="009D7677">
      <w:pPr>
        <w:pStyle w:val="TextoNormal"/>
      </w:pPr>
    </w:p>
    <w:p w14:paraId="7F6D9E86" w14:textId="77777777" w:rsidR="009D7677" w:rsidRDefault="009D7677" w:rsidP="009D7677">
      <w:pPr>
        <w:pStyle w:val="TextoNormal"/>
      </w:pPr>
      <w:r>
        <w:t xml:space="preserve">En el caso que nos ocupa, el examen de las actuaciones pone de relieve que todos los diputados tenían conocimiento de la existencia del dictamen del Consejo de Estado o, como mínimo, podían haberlo conocido. Es cierto que el preámbulo del Real Decreto-ley 36/2020 no lo menciona, pues no indica si se aprobó “de acuerdo con el Consejo de Estado” u “oído el Consejo de Estado” (art. 2.2 de la Ley Orgánica 3/1980, de 22 de abril, del Consejo de Estado). Sin embargo, en la memoria abreviada de análisis impacto normativo, que sí fue remitida al Congreso de los Diputados junto con el texto del Real Decreto-ley 36/2020, no solamente se indicaba expresamente que, con carácter previo a su aprobación en Consejo de Ministros, se había emitido dictamen facultativo por el Consejo de Estado </w:t>
      </w:r>
      <w:r>
        <w:lastRenderedPageBreak/>
        <w:t>(págs. 4 y 33), sino que además se trascribían algunas consideraciones del informe (págs. 25 y ss.).</w:t>
      </w:r>
    </w:p>
    <w:p w14:paraId="3C9439D5" w14:textId="77777777" w:rsidR="009D7677" w:rsidRDefault="009D7677" w:rsidP="009D7677">
      <w:pPr>
        <w:pStyle w:val="TextoNormal"/>
      </w:pPr>
    </w:p>
    <w:p w14:paraId="2439A156" w14:textId="77777777" w:rsidR="009D7677" w:rsidRDefault="009D7677" w:rsidP="009D7677">
      <w:pPr>
        <w:pStyle w:val="TextoNormal"/>
      </w:pPr>
      <w:r>
        <w:t>Dado que los diputados conocían o podían conocer la existencia del informe del Consejo de Estado, si consideraban que la no remisión del mismo les privaba de un elemento esencial para la formación de su criterio en relación con el trámite de convalidación, debieron haberlo puesto de manifiesto con carácter previo al debate de convalidación, que tuvo lugar el 28 de enero de 2021. Sin embargo, no solo no denunciaron tal omisión antes de la señalada fecha, sino que, examinado el “Diario de Sesiones” de la sesión plenaria extraordinaria celebrada el 28 de enero de 2021, se constata que la diputada del Grupo Parlamentario Popular que intervino en el debate de convalidación, la señora Rodríguez Herrer, expuso la posición de su grupo parlamentario en relación con el Real Decreto-ley 36/2020, sin hacer mención alguna a la ausencia del dictamen del Consejo de Estado.</w:t>
      </w:r>
    </w:p>
    <w:p w14:paraId="5D22FE71" w14:textId="77777777" w:rsidR="009D7677" w:rsidRDefault="009D7677" w:rsidP="009D7677">
      <w:pPr>
        <w:pStyle w:val="TextoNormal"/>
      </w:pPr>
    </w:p>
    <w:p w14:paraId="2BC6DA57" w14:textId="77777777" w:rsidR="009D7677" w:rsidRDefault="009D7677" w:rsidP="009D7677">
      <w:pPr>
        <w:pStyle w:val="TextoNormal"/>
      </w:pPr>
      <w:r>
        <w:t xml:space="preserve">En definitiva, pese a haber tenido conocimiento de la existencia del dictamen del Consejo de Estado, no remitido al Congreso de los Diputados, no consideraron que hubiera infracción alguna de la legalidad parlamentaria con carácter previo al trámite de convalidación del Real Decreto-ley 36/2020, ni manifestaron queja alguna por este motivo ante los órganos de gobierno de la Cámara. Su reacción frente a tal omisión se produjo con posterioridad, una vez que el Congreso de los Diputados ya había acordado convalidar dicho real decreto-ley. Para poder apreciar la eventual vulneración del </w:t>
      </w:r>
      <w:r w:rsidRPr="009D7677">
        <w:rPr>
          <w:i/>
        </w:rPr>
        <w:t>ius in officium</w:t>
      </w:r>
      <w:r>
        <w:t>, con arreglo a la doctrina constitucional, el grupo recurrente debería haber actuado con la debida diligencia y haber expresado su queja por este motivo antes de la convalidación del real decreto-ley, cosa que no hizo de manera tempestiva.</w:t>
      </w:r>
    </w:p>
    <w:p w14:paraId="1D399FE2" w14:textId="77777777" w:rsidR="009D7677" w:rsidRDefault="009D7677" w:rsidP="009D7677">
      <w:pPr>
        <w:pStyle w:val="TextoNormal"/>
      </w:pPr>
    </w:p>
    <w:p w14:paraId="10E270C3" w14:textId="77777777" w:rsidR="009D7677" w:rsidRDefault="009D7677" w:rsidP="009D7677">
      <w:pPr>
        <w:pStyle w:val="TextoNormal"/>
      </w:pPr>
      <w:r>
        <w:t>b) Sin perjuicio de lo anterior, procede examinar la respuesta dada a los escritos del Grupo Parlamentario Popular por los acuerdos de la presidenta y por la mesa del Congreso de los Diputados, objeto de impugnación, para comprobar si la misma se desenvuelve dentro de los márgenes de la autonomía parlamentaria (art. 72 CE). Esto implica analizar si dicha respuesta puede considerarse motivada o si, por el contrario, cabe calificarla como arbitraria o irrazonable.</w:t>
      </w:r>
    </w:p>
    <w:p w14:paraId="320093A6" w14:textId="77777777" w:rsidR="009D7677" w:rsidRDefault="009D7677" w:rsidP="009D7677">
      <w:pPr>
        <w:pStyle w:val="TextoNormal"/>
      </w:pPr>
    </w:p>
    <w:p w14:paraId="376D5657" w14:textId="77777777" w:rsidR="009D7677" w:rsidRDefault="009D7677" w:rsidP="009D7677">
      <w:pPr>
        <w:pStyle w:val="TextoNormal"/>
      </w:pPr>
      <w:r>
        <w:t>Los acuerdos citados parten del artículo 151.1 RCD, que regula el procedimiento de convalidación o derogación de los reales decretos leyes, y de su lectura e interpretación concluyen que “para la convalidación de los decretos-leyes por el Congreso de los Diputados es requisito suficiente, conforme a lo dispuesto en el artículo 151.1 del Reglamento de la Cámara, que hayan sido publicados en el ‘Boletín Oficial del Estado’, no siendo en modo alguno preceptiva, ni condición para la validez del procedimiento, la remisión por el Gobierno de otros documentos o informes que hayan podido ser recabados con ocasión de su aprobación”.</w:t>
      </w:r>
    </w:p>
    <w:p w14:paraId="2F5AA8F2" w14:textId="77777777" w:rsidR="009D7677" w:rsidRDefault="009D7677" w:rsidP="009D7677">
      <w:pPr>
        <w:pStyle w:val="TextoNormal"/>
      </w:pPr>
    </w:p>
    <w:p w14:paraId="3AF8E8E5" w14:textId="77777777" w:rsidR="009D7677" w:rsidRDefault="009D7677" w:rsidP="009D7677">
      <w:pPr>
        <w:pStyle w:val="TextoNormal"/>
      </w:pPr>
      <w:r>
        <w:t xml:space="preserve">Expuesta en estos términos, la respuesta de los órganos de gobierno del Congreso de los Diputados a las solicitudes de la portavoz del Grupo Parlamentario Popular debe considerarse que contiene una motivación adecuada y suficiente, efectuando de manera razonada una interpretación jurídicamente posible de la normativa parlamentaria. Por más que pueda discreparse de esta interpretación, lo cierto es que la misma sigue las reglas del razonamiento lógico, de manera que no cabe calificarla como arbitraria, ni tampoco puede apreciarse que incurra en error patente o manifiesto. En efecto, ni la Constitución ni el </w:t>
      </w:r>
      <w:r>
        <w:lastRenderedPageBreak/>
        <w:t>Reglamento del Congreso de los Diputados imponen expresamente al Gobierno la obligación de remisión del texto del real decreto-ley ni tampoco de acompañar el mismo de los antecedentes correspondientes al procedimiento de elaboración, sino que para insertar en el orden del día un real decreto-ley, para el debate y la votación sobre su convalidación o derogación, el art. 151.1 RCD únicamente exige que el real decreto-ley haya sido objeto de publicación en el “Boletín Oficial del Estado”.</w:t>
      </w:r>
    </w:p>
    <w:p w14:paraId="21D907A5" w14:textId="77777777" w:rsidR="009D7677" w:rsidRDefault="009D7677" w:rsidP="009D7677">
      <w:pPr>
        <w:pStyle w:val="TextoNormal"/>
      </w:pPr>
    </w:p>
    <w:p w14:paraId="2C1C8496" w14:textId="77777777" w:rsidR="009D7677" w:rsidRDefault="009D7677" w:rsidP="009D7677">
      <w:pPr>
        <w:pStyle w:val="TextoNormal"/>
      </w:pPr>
      <w:r>
        <w:t>A idéntica conclusión hemos de llegar en relación con la contestación dada por el acuerdo de 9 de febrero de 2021 de la mesa del Congreso de los Diputados al escrito presentado por el Grupo Parlamentario Popular el 5 de febrero de 2021. Si bien es cierto que esta respuesta es sustancialmente idéntica a la contenida en el acuerdo de la presidenta del Congreso de los Diputados de 3 de febrero de 2021, la motivación empleada por la mesa en este caso no ha de merecer reproche alguno de este tribunal, sino que, atendidas las circunstancias del caso, se juzga coherente y suficiente. Este tribunal no puede dejar de tener en cuenta lo siguiente: (i) que el segundo de los escritos del Grupo Parlamentario Popular se presentó dos días después del primero de ellos y el día inmediatamente posterior a haber recibido ya respuesta denegatoria a aquel de parte de la presidenta de la Cámara; (ii) que en dicho segundo escrito se volvía a hacer referencia de nuevo prácticamente a las mismas cuestiones ya planteadas en relación con la omisión del informe del Consejo de Estado en relación con la convalidación del Real Decreto-ley 36/2020; (iii) que no se hacía ninguna referencia al derecho previsto en el art. 7 RCD; y (iv) que del mismo no podía inferirse con la debida claridad y precisión que se estuviera solicitando algo verdaderamente distinto de lo que ya se había solicitado en el escrito de 3 de febrero de 2021, y que ya les había sido denegado por la presidenta del Congreso de los Diputados. Todos estos elementos nos llevan a considerar que la mesa pudo razonablemente entender que se encontraba ante una solicitud esencialmente reiterativa de la precedente —ya denegada— y que por ello podía y debía ser contestado en términos coincidentes con aquella, sin necesidad de hacer ulteriores consideraciones.</w:t>
      </w:r>
    </w:p>
    <w:p w14:paraId="5CBB2A8A" w14:textId="77777777" w:rsidR="009D7677" w:rsidRDefault="009D7677" w:rsidP="009D7677">
      <w:pPr>
        <w:pStyle w:val="TextoNormal"/>
      </w:pPr>
    </w:p>
    <w:p w14:paraId="22252087" w14:textId="445D1BC0" w:rsidR="009D7677" w:rsidRDefault="009D7677" w:rsidP="009D7677">
      <w:pPr>
        <w:pStyle w:val="TextoNormal"/>
      </w:pPr>
      <w:r>
        <w:t xml:space="preserve">c) Como corolario de cuanto antecede, este tribunal constata que no cabe apreciar la vulneración del </w:t>
      </w:r>
      <w:r w:rsidRPr="009D7677">
        <w:rPr>
          <w:i/>
        </w:rPr>
        <w:t>ius in officium</w:t>
      </w:r>
      <w:r>
        <w:t xml:space="preserve"> de los recurrentes por la no remisión del dictamen del Consejo de Estado, en relación con el ejercicio de sus funciones durante el trámite de convalidación del Real Decreto-ley 36/2020, de 30 de diciembre. En conclusión, debe desestimarse el recurso de amparo interpuesto contra los acuerdos recurridos.</w:t>
      </w:r>
    </w:p>
    <w:p w14:paraId="3339474F" w14:textId="77777777" w:rsidR="009D7677" w:rsidRDefault="009D7677" w:rsidP="009D7677">
      <w:pPr>
        <w:pStyle w:val="TextoNormal"/>
      </w:pPr>
    </w:p>
    <w:p w14:paraId="6EAF0710" w14:textId="77777777" w:rsidR="009D7677" w:rsidRDefault="009D7677" w:rsidP="009D7677">
      <w:pPr>
        <w:pStyle w:val="TextoNormal"/>
      </w:pPr>
      <w:r w:rsidRPr="009D7677">
        <w:rPr>
          <w:rStyle w:val="NumeroAFNegritaCaracter"/>
        </w:rPr>
        <w:t>4</w:t>
      </w:r>
      <w:r>
        <w:t xml:space="preserve">. </w:t>
      </w:r>
      <w:r w:rsidRPr="009D7677">
        <w:rPr>
          <w:i/>
        </w:rPr>
        <w:t>Sobre la denunciada vulneración del</w:t>
      </w:r>
      <w:r>
        <w:t xml:space="preserve"> ius in officium </w:t>
      </w:r>
      <w:r w:rsidRPr="009D7677">
        <w:rPr>
          <w:i/>
        </w:rPr>
        <w:t>durante la tramitación del texto como proyecto de ley</w:t>
      </w:r>
    </w:p>
    <w:p w14:paraId="0EDD152C" w14:textId="77777777" w:rsidR="009D7677" w:rsidRDefault="009D7677" w:rsidP="009D7677">
      <w:pPr>
        <w:pStyle w:val="TextoNormal"/>
      </w:pPr>
    </w:p>
    <w:p w14:paraId="692E5208" w14:textId="77777777" w:rsidR="009D7677" w:rsidRDefault="009D7677" w:rsidP="009D7677">
      <w:pPr>
        <w:pStyle w:val="TextoNormal"/>
      </w:pPr>
      <w:r>
        <w:t>a) En relación con la tramitación del Real Decreto-ley 36/2020 como proyecto de ley, este tribunal estima que las consideraciones realizadas en el fundamento jurídico anterior serían suficientes para desestimar el recurso de amparo. Como ha quedado expuesto, las solicitudes del Grupo Parlamentario Popular fueron denegadas mediante acuerdos de la presidenta y de la mesa del Congreso de los Diputados con una motivación que cumplía con las exigencias de la doctrina de este tribunal, por ser coherente y suficiente.</w:t>
      </w:r>
    </w:p>
    <w:p w14:paraId="7F07A01C" w14:textId="77777777" w:rsidR="009D7677" w:rsidRDefault="009D7677" w:rsidP="009D7677">
      <w:pPr>
        <w:pStyle w:val="TextoNormal"/>
      </w:pPr>
    </w:p>
    <w:p w14:paraId="4378DC94" w14:textId="77777777" w:rsidR="009D7677" w:rsidRDefault="009D7677" w:rsidP="009D7677">
      <w:pPr>
        <w:pStyle w:val="TextoNormal"/>
      </w:pPr>
      <w:r>
        <w:t>b) No obstante lo anterior, aún en el caso de no haber alcanzado la anterior conclusión, el recurso de amparo habría de correr la misma suerte desestimatoria.</w:t>
      </w:r>
    </w:p>
    <w:p w14:paraId="004FA8F8" w14:textId="77777777" w:rsidR="009D7677" w:rsidRDefault="009D7677" w:rsidP="009D7677">
      <w:pPr>
        <w:pStyle w:val="TextoNormal"/>
      </w:pPr>
    </w:p>
    <w:p w14:paraId="40866C90" w14:textId="77777777" w:rsidR="009D7677" w:rsidRDefault="009D7677" w:rsidP="009D7677">
      <w:pPr>
        <w:pStyle w:val="TextoNormal"/>
      </w:pPr>
      <w:r>
        <w:lastRenderedPageBreak/>
        <w:t>La cuestión planteada en este punto es si, una vez el Congreso de los Diputados acuerda la convalidación de un real decreto-ley y su tramitación como proyecto de ley por el procedimiento de urgencia, éste queda sujeto a las previsiones que para la remisión de los proyectos de ley establecen los art. 88 CE y 109 RCD, en el sentido de que el Gobierno viene obligado a acompañarlos de “los antecedentes necesarios para pronunciarse sobre ellos”. La respuesta de este tribunal ha de ser negativa.</w:t>
      </w:r>
    </w:p>
    <w:p w14:paraId="0F5A7565" w14:textId="77777777" w:rsidR="009D7677" w:rsidRDefault="009D7677" w:rsidP="009D7677">
      <w:pPr>
        <w:pStyle w:val="TextoNormal"/>
      </w:pPr>
    </w:p>
    <w:p w14:paraId="72921DEE" w14:textId="77777777" w:rsidR="009D7677" w:rsidRDefault="009D7677" w:rsidP="009D7677">
      <w:pPr>
        <w:pStyle w:val="TextoNormal"/>
      </w:pPr>
      <w:r>
        <w:t>La tramitación de los reales decretos-leyes como proyectos de ley por el procedimiento de urgencia se regula en el artículo 86.3 CE “las Cortes podrán tramitarlos como proyectos de ley por el procedimiento de urgencia” y en el artículo 151.4 RCD “se tramitará como proyecto de ley por el procedimiento de urgencia, sin que sean admisibles las enmiendas de totalidad de devolución”. En ambos preceptos se determina que, una vez el real decreto-ley es convalidado y si lo acuerda la Cámara, se tramitará con arreglo al procedimiento correspondiente a los proyectos de ley. Ni la Constitución ni el Reglamento del Congreso de los Diputados establecen que, al pasar a tramitarse como proyecto de ley, el real decreto-ley se convierta o transforme en un proyecto de ley, quedando por ello sujeto a los requisitos de estos; lo que establecen ambos textos normativos es que el texto convalidado por el Congreso de los Diputados pasa a tramitarse conforme a las normas del procedimiento legislativo de la Cámara correspondiente a los proyectos de ley.</w:t>
      </w:r>
    </w:p>
    <w:p w14:paraId="2AAAE418" w14:textId="77777777" w:rsidR="009D7677" w:rsidRDefault="009D7677" w:rsidP="009D7677">
      <w:pPr>
        <w:pStyle w:val="TextoNormal"/>
      </w:pPr>
    </w:p>
    <w:p w14:paraId="796FCD59" w14:textId="77777777" w:rsidR="009D7677" w:rsidRDefault="009D7677" w:rsidP="009D7677">
      <w:pPr>
        <w:pStyle w:val="TextoNormal"/>
      </w:pPr>
      <w:r>
        <w:t>Como acertadamente ha razonado la letrada de las Cortes Generales, lo que el Gobierno aprueba y remite al Congreso de los Diputados es un real decreto-ley y el hecho de que pase a tramitarse como proyecto de ley no viene a mutar su verdadero origen y naturaleza. Se trata de dos tipos normativos distintos, por más que por una decisión de la Cámara el real decreto-ley, una vez superado el trámite de convalidación, quede sujeto al mismo procedimiento parlamentario que siguen los proyectos de ley.</w:t>
      </w:r>
    </w:p>
    <w:p w14:paraId="3202133E" w14:textId="77777777" w:rsidR="009D7677" w:rsidRDefault="009D7677" w:rsidP="009D7677">
      <w:pPr>
        <w:pStyle w:val="TextoNormal"/>
      </w:pPr>
    </w:p>
    <w:p w14:paraId="150DCC4B" w14:textId="32BE70A0" w:rsidR="009D7677" w:rsidRDefault="009D7677" w:rsidP="009D7677">
      <w:pPr>
        <w:pStyle w:val="TextoNormal"/>
      </w:pPr>
      <w:r>
        <w:t xml:space="preserve">c) Por lo tanto, este tribunal concluye que los acuerdos parlamentarios impugnados se ajustaron a la Constitución y al Reglamento del Congreso de los Diputados y que, en consecuencia, no puede apreciarse la vulneración del </w:t>
      </w:r>
      <w:r w:rsidRPr="009D7677">
        <w:rPr>
          <w:i/>
        </w:rPr>
        <w:t>ius in officium</w:t>
      </w:r>
      <w:r>
        <w:t xml:space="preserve"> denunciada en el recurso de amparo en relación con la tramitación del Real Decreto-ley 36/2020 como proyecto de ley.</w:t>
      </w:r>
    </w:p>
    <w:p w14:paraId="6BBEF312" w14:textId="77777777" w:rsidR="009D7677" w:rsidRDefault="009D7677" w:rsidP="009D7677">
      <w:pPr>
        <w:pStyle w:val="TextoNormal"/>
      </w:pPr>
    </w:p>
    <w:p w14:paraId="7FB5336D" w14:textId="77777777" w:rsidR="009D7677" w:rsidRDefault="009D7677" w:rsidP="009D7677">
      <w:pPr>
        <w:pStyle w:val="TextoNormalCentrado"/>
        <w:keepNext/>
      </w:pPr>
      <w:r>
        <w:t>FALLO</w:t>
      </w:r>
    </w:p>
    <w:p w14:paraId="1E7B1AF3" w14:textId="73C5A0C2" w:rsidR="009D7677" w:rsidRDefault="009D7677" w:rsidP="009D7677">
      <w:pPr>
        <w:pStyle w:val="TextoNormalCentrado"/>
        <w:keepNext/>
      </w:pPr>
    </w:p>
    <w:p w14:paraId="7B41D488" w14:textId="77EEF734" w:rsidR="009D7677" w:rsidRDefault="009D7677" w:rsidP="009D7677">
      <w:pPr>
        <w:pStyle w:val="TextoNormal"/>
      </w:pPr>
      <w:r>
        <w:t>En atención a todo lo expuesto, el Tribunal Constitucional, por la autoridad que le confiere la Constitución de la Nación española, ha decidido desestimar el recurso de amparo interpuesto por doña Concepción Gamarra Ruiz-Clavijo y doña Isabel Borrego Cortés.</w:t>
      </w:r>
    </w:p>
    <w:p w14:paraId="6892AED7" w14:textId="77777777" w:rsidR="009D7677" w:rsidRDefault="009D7677" w:rsidP="009D7677">
      <w:pPr>
        <w:pStyle w:val="TextoNormal"/>
      </w:pPr>
    </w:p>
    <w:p w14:paraId="4C4F01F2" w14:textId="77777777" w:rsidR="009D7677" w:rsidRDefault="009D7677" w:rsidP="009D7677">
      <w:pPr>
        <w:pStyle w:val="TextoNormal"/>
      </w:pPr>
      <w:r>
        <w:t>Publíquese esta sentencia en el “Boletín Oficial del Estado”.</w:t>
      </w:r>
    </w:p>
    <w:p w14:paraId="41C3BEEB" w14:textId="77777777" w:rsidR="009D7677" w:rsidRDefault="009D7677" w:rsidP="009D7677">
      <w:pPr>
        <w:pStyle w:val="TextoNormal"/>
      </w:pPr>
      <w:r>
        <w:t>Dada en Madrid, a dieciocho de enero de dos mil veinticuatro.</w:t>
      </w:r>
    </w:p>
    <w:p w14:paraId="6468ED0E" w14:textId="0E0A71FD" w:rsidR="009D7677" w:rsidRDefault="009D7677" w:rsidP="009D7677">
      <w:pPr>
        <w:pStyle w:val="ParrafoNormal"/>
      </w:pPr>
    </w:p>
    <w:p w14:paraId="03D8C976" w14:textId="77777777" w:rsidR="009D7677" w:rsidRDefault="009D7677" w:rsidP="009D7677">
      <w:pPr>
        <w:pStyle w:val="TextoNormalNegritaCentrado"/>
        <w:keepNext/>
      </w:pPr>
      <w:r>
        <w:lastRenderedPageBreak/>
        <w:t>Voto particular conjunto que formulan los magistrados don Ricardo Enríquez Sancho, don Enrique Arnaldo Alcubilla y don César Tolosa Tribiño y la magistrada doña Concepción Espejel Jorquera a la sentencia dictada por el Pleno en el recurso de amparo avocado núm. 843-2021</w:t>
      </w:r>
    </w:p>
    <w:p w14:paraId="68A6C1A0" w14:textId="3803C63C" w:rsidR="009D7677" w:rsidRDefault="009D7677" w:rsidP="009D7677">
      <w:pPr>
        <w:pStyle w:val="TextoNormalNegritaCentrado"/>
        <w:keepNext/>
      </w:pPr>
    </w:p>
    <w:p w14:paraId="46B0D704" w14:textId="77777777" w:rsidR="009D7677" w:rsidRDefault="009D7677" w:rsidP="009D7677">
      <w:pPr>
        <w:pStyle w:val="TextoNormal"/>
      </w:pPr>
      <w:r>
        <w:t>En el ejercicio de la facultad que nos confiere el artículo 90.2 de la Ley Orgánica del Tribunal Constitucional, y con respeto a la opinión de la mayoría, formulamos el presente voto particular por discrepar de la fundamentación y del fallo de la sentencia recaída en el recurso de amparo avocado al Pleno núm. 843-2021, el cual a nuestro juicio debió ser estimado, declarando la vulneración del derecho de participación política de las diputadas del Grupo Parlamentario Popular del Congreso recurrentes.</w:t>
      </w:r>
    </w:p>
    <w:p w14:paraId="691BE856" w14:textId="77777777" w:rsidR="009D7677" w:rsidRDefault="009D7677" w:rsidP="009D7677">
      <w:pPr>
        <w:pStyle w:val="TextoNormal"/>
      </w:pPr>
    </w:p>
    <w:p w14:paraId="75D2373B" w14:textId="77777777" w:rsidR="009D7677" w:rsidRDefault="009D7677" w:rsidP="009D7677">
      <w:pPr>
        <w:pStyle w:val="TextoNormal"/>
      </w:pPr>
      <w:r>
        <w:t>La sentencia de la que disentimos niega que los acuerdos parlamentarios impugnados hayan incurrido en la vulneración del derecho al ejercicio del cargo representativo, integrado en el derecho fundamental reconocido en el art. 23.2 CE. A nuestro juicio, por las razones que defendimos en la deliberación y que seguidamente pasamos a exponer, este tribunal debió apreciar que se produjo esa lesión y otorgar el amparo solicitado, declarando la nulidad de los acuerdos de la presidenta del Congreso de los Diputados de 4 de febrero de 2021 y de la mesa de dicha Cámara de 9 de febrero de 2021.</w:t>
      </w:r>
    </w:p>
    <w:p w14:paraId="6AC0EA53" w14:textId="77777777" w:rsidR="009D7677" w:rsidRDefault="009D7677" w:rsidP="009D7677">
      <w:pPr>
        <w:pStyle w:val="TextoNormal"/>
      </w:pPr>
    </w:p>
    <w:p w14:paraId="0D88465D" w14:textId="77777777" w:rsidR="009D7677" w:rsidRDefault="009D7677" w:rsidP="009D7677">
      <w:pPr>
        <w:pStyle w:val="TextoNormal"/>
      </w:pPr>
      <w:r>
        <w:t xml:space="preserve">1. </w:t>
      </w:r>
      <w:r w:rsidRPr="009D7677">
        <w:rPr>
          <w:i/>
        </w:rPr>
        <w:t>El derecho de los diputados a disponer de la información necesaria para formar adecuadamente su voluntad en el ejercicio de sus facultades parlamentarias</w:t>
      </w:r>
    </w:p>
    <w:p w14:paraId="5F83136A" w14:textId="77777777" w:rsidR="009D7677" w:rsidRDefault="009D7677" w:rsidP="009D7677">
      <w:pPr>
        <w:pStyle w:val="TextoNormal"/>
      </w:pPr>
    </w:p>
    <w:p w14:paraId="20338196" w14:textId="77777777" w:rsidR="009D7677" w:rsidRDefault="009D7677" w:rsidP="009D7677">
      <w:pPr>
        <w:pStyle w:val="TextoNormal"/>
      </w:pPr>
      <w:r>
        <w:t>La cuestión a resolver en este recurso de amparo es si los acuerdos impugnados de la presidenta y la mesa del Congreso de los Diputados han vulnerado el derecho de participación política de los diputados del grupo parlamentario recurrente, en su vertiente relativa al ejercicio de las funciones representativas (</w:t>
      </w:r>
      <w:r w:rsidRPr="009D7677">
        <w:rPr>
          <w:i/>
        </w:rPr>
        <w:t>ius in officium</w:t>
      </w:r>
      <w:r>
        <w:t>), al haberles denegado injustificadamente la incorporación al procedimiento de un antecedente necesario (el dictamen emitido por la Comisión Permanente del Consejo de Estado que fue solicitado por el Gobierno, aunque no era preceptivo,) tanto para la convalidación o derogación del Real Decreto-ley 36/2020 (art. 86.2 CE), como para su tramitación como proyecto de ley por el procedimiento de urgencia (art. 86.3 CE).</w:t>
      </w:r>
    </w:p>
    <w:p w14:paraId="3E8B0FCC" w14:textId="77777777" w:rsidR="009D7677" w:rsidRDefault="009D7677" w:rsidP="009D7677">
      <w:pPr>
        <w:pStyle w:val="TextoNormal"/>
      </w:pPr>
    </w:p>
    <w:p w14:paraId="1DD9D6A5" w14:textId="77777777" w:rsidR="009D7677" w:rsidRDefault="009D7677" w:rsidP="009D7677">
      <w:pPr>
        <w:pStyle w:val="TextoNormal"/>
      </w:pPr>
      <w:r>
        <w:t>Para dar respuesta a esta cuestión, entendemos que debió partirse de la premisa de que los órganos de gobierno de las Cámaras han de tener en cuenta el principio de interpretación más favorable a la eficacia de los derechos fundamentales, que ha sido afirmado por este tribunal en relación con el art. 23 CE (STC 44/2010, de 26 de julio, FJ 4, entre otras).</w:t>
      </w:r>
    </w:p>
    <w:p w14:paraId="7340B5A9" w14:textId="77777777" w:rsidR="009D7677" w:rsidRDefault="009D7677" w:rsidP="009D7677">
      <w:pPr>
        <w:pStyle w:val="TextoNormal"/>
      </w:pPr>
    </w:p>
    <w:p w14:paraId="20D9B107" w14:textId="77777777" w:rsidR="009D7677" w:rsidRDefault="009D7677" w:rsidP="009D7677">
      <w:pPr>
        <w:pStyle w:val="TextoNormal"/>
      </w:pPr>
      <w:r>
        <w:t xml:space="preserve">También, y así lo hemos afirmado en la STC 93/2023, de 12 de septiembre, FJ 3 b), han de realizar una interpretación restrictiva de todas aquellas normas que puedan suponer una limitación al ejercicio de aquellos derechos o atribuciones que integran el estatuto constitucionalmente relevante del representante público (STC 115/2019, de 16 de octubre, FJ 7, entre otras), y deben ejercer su función de velar por los derechos de los miembros de la Cámara (SSTC 94/2018, de 17 de septiembre, FJ 5; 139/2018, de 17 de diciembre, FJ 5; 17/2019, de 11 de febrero, FJ 3; 53/2021, de 15 de marzo, FJ 5, y 93/2023, FJ 3), específicamente los de aquellos que están en la minoría, pues cabe recordar que el pluralismo político, como valor superior del ordenamiento jurídico, junto a los valores de libertad, igualdad y justicia (art. 1.1 CE), adquiere uno de sus más claros sentidos en la actividad </w:t>
      </w:r>
      <w:r>
        <w:lastRenderedPageBreak/>
        <w:t>parlamentaria, al permitir ejercer a las minorías una función de control en el seno mismo de la representación política (STC 115/2019, de 16 de octubre, FJ 3). Tanto uno como otro principio interpretativo han sido desoídos, marginados y obviados en la sentencia de la que discrepamos.</w:t>
      </w:r>
    </w:p>
    <w:p w14:paraId="0FCB54F3" w14:textId="77777777" w:rsidR="009D7677" w:rsidRDefault="009D7677" w:rsidP="009D7677">
      <w:pPr>
        <w:pStyle w:val="TextoNormal"/>
      </w:pPr>
    </w:p>
    <w:p w14:paraId="69F2E1F9" w14:textId="77777777" w:rsidR="009D7677" w:rsidRDefault="009D7677" w:rsidP="009D7677">
      <w:pPr>
        <w:pStyle w:val="TextoNormal"/>
      </w:pPr>
      <w:r>
        <w:t>La necesidad de que los órganos de gobierno de las cámaras (la presidencia y la mesa) velen por los derechos de los parlamentarios es una función en sí misma y por ello todas sus decisiones deben atender a esta finalidad. En particular, la posición institucional de la presidencia, conforme a la tradición constitucional de la que nuestro régimen parlamentario trae causa, se traduce en un estatuto de neutralidad acorde con su misión garante de los derechos de la totalidad de los miembros del Parlamento.</w:t>
      </w:r>
    </w:p>
    <w:p w14:paraId="50B2D9DF" w14:textId="77777777" w:rsidR="009D7677" w:rsidRDefault="009D7677" w:rsidP="009D7677">
      <w:pPr>
        <w:pStyle w:val="TextoNormal"/>
      </w:pPr>
    </w:p>
    <w:p w14:paraId="432E8902" w14:textId="77777777" w:rsidR="009D7677" w:rsidRDefault="009D7677" w:rsidP="009D7677">
      <w:pPr>
        <w:pStyle w:val="TextoNormal"/>
      </w:pPr>
      <w:r>
        <w:t>Atendido lo expuesto, la función de los órganos de gobierno del Congreso de velar por los derechos de los diputados no puede dejar de extenderse al derecho de estos de disponer de la información necesaria para formar adecuadamente su voluntad en el debate de convalidación o derogación de un decreto-ley, así como en la votación para decidir si, una vez convalidado, debe tramitarse como un proyecto de ley y, en caso de que así sea, en la propia tramitación de esa noma como proyecto de ley por el procedimiento de urgencia (art. 86.3 CE). La información es el basamento y la fuente de la que se alimentan los diputados y los grupos parlamentarios para el ejercicio de sus funciones constitucionales y como principio, en un sistema parlamentario, no puede admitirse que aquellos se encuentren en posición desequilibrada en el acceso a la información (aquí los antecedentes en el procedimiento legislativo) en relación con el Gobierno o con los diputados y grupos que lo apoyan.</w:t>
      </w:r>
    </w:p>
    <w:p w14:paraId="31508CF9" w14:textId="77777777" w:rsidR="009D7677" w:rsidRDefault="009D7677" w:rsidP="009D7677">
      <w:pPr>
        <w:pStyle w:val="TextoNormal"/>
      </w:pPr>
    </w:p>
    <w:p w14:paraId="51180F11" w14:textId="77777777" w:rsidR="009D7677" w:rsidRDefault="009D7677" w:rsidP="009D7677">
      <w:pPr>
        <w:pStyle w:val="TextoNormal"/>
      </w:pPr>
      <w:r>
        <w:t xml:space="preserve">2. </w:t>
      </w:r>
      <w:r w:rsidRPr="009D7677">
        <w:rPr>
          <w:i/>
        </w:rPr>
        <w:t>Sobre la vulneración denunciada del</w:t>
      </w:r>
      <w:r>
        <w:t xml:space="preserve"> ius in officium </w:t>
      </w:r>
      <w:r w:rsidRPr="009D7677">
        <w:rPr>
          <w:i/>
        </w:rPr>
        <w:t>en el trámite de convalidación del Real Decreto-ley</w:t>
      </w:r>
      <w:r>
        <w:t xml:space="preserve"> 36/2020</w:t>
      </w:r>
    </w:p>
    <w:p w14:paraId="5C9A33C4" w14:textId="77777777" w:rsidR="009D7677" w:rsidRDefault="009D7677" w:rsidP="009D7677">
      <w:pPr>
        <w:pStyle w:val="TextoNormal"/>
      </w:pPr>
    </w:p>
    <w:p w14:paraId="7FB2EE9D" w14:textId="77777777" w:rsidR="009D7677" w:rsidRDefault="009D7677" w:rsidP="009D7677">
      <w:pPr>
        <w:pStyle w:val="TextoNormal"/>
      </w:pPr>
      <w:r>
        <w:t>Por lo que se refiere al procedimiento de convalidación o derogación del real decreto-ley, conviene tener presente, en primer lugar, que el control que ejerce el Congreso de los Diputados a través de ese trámite se lleva a cabo sobre una norma con rango de ley vigente, aprobada por el Gobierno en el ejercicio de la facultad que le confiere el art. 86.1 CE “en caso de extraordinaria y urgente necesidad” y que ha estado generando efectos tras su publicación en el “Boletín Oficial del Estado”. Se trata de un instrumento de control parlamentario de la acción de Gobierno limitado, pues se reduce a la aceptación o rechazo del decreto-ley, que únicamente es sometido a un debate y votación de totalidad, sin posibilidad de introducir enmiendas.</w:t>
      </w:r>
    </w:p>
    <w:p w14:paraId="4F5084AB" w14:textId="77777777" w:rsidR="009D7677" w:rsidRDefault="009D7677" w:rsidP="009D7677">
      <w:pPr>
        <w:pStyle w:val="TextoNormal"/>
      </w:pPr>
    </w:p>
    <w:p w14:paraId="2BC9B92B" w14:textId="77777777" w:rsidR="009D7677" w:rsidRDefault="009D7677" w:rsidP="009D7677">
      <w:pPr>
        <w:pStyle w:val="TextoNormal"/>
      </w:pPr>
      <w:r>
        <w:t>Tanto la Constitución como el Reglamento del Congreso de los Diputados (art. 86.2 CE y 151 RCD) han previsto que, para decidir si convalidan o rechazan un decreto-ley, los diputados conozcan el texto de dicha norma excepcional (por lo que es necesario que el decreto-ley haya sido publicado en el “Boletín Oficial del Estado”), que un miembro del Gobierno exponga ante el Pleno de la Cámara las razones que justifican su aprobación y que los diputados hagan las réplicas que crean pertinentes.</w:t>
      </w:r>
    </w:p>
    <w:p w14:paraId="20B64905" w14:textId="77777777" w:rsidR="009D7677" w:rsidRDefault="009D7677" w:rsidP="009D7677">
      <w:pPr>
        <w:pStyle w:val="TextoNormal"/>
      </w:pPr>
    </w:p>
    <w:p w14:paraId="3905B6CD" w14:textId="77777777" w:rsidR="009D7677" w:rsidRDefault="009D7677" w:rsidP="009D7677">
      <w:pPr>
        <w:pStyle w:val="TextoNormal"/>
      </w:pPr>
      <w:r>
        <w:t xml:space="preserve">Ciertamente, ni la Constitución ni el Reglamento del Congreso de los Diputados imponen expresamente al Gobierno la obligación de remisión de los antecedentes correspondientes al procedimiento de elaboración del texto del real decreto-ley, si bien ello debería </w:t>
      </w:r>
      <w:r>
        <w:lastRenderedPageBreak/>
        <w:t>entenderse consustancial al procedimiento de convalidación del decreto-ley para el mejor cumplimiento de la función parlamentaria, tanto en lo que tiene de control del Gobierno como en lo que participa de la función legislativa, aunque esta se limite a ratificar o rechazar el decreto-ley sometido a debate y votación de totalidad. Es decir, el Gobierno debería remitir al Congreso de los Diputados el expediente de elaboración de la norma completo, a fin de que los diputados puedan contar con todos los elementos de juicio necesarios para formar adecuadamente su voluntad en el trámite de convalidación o derogación del decreto-ley y llevar así a cabo un adecuado control sobre esa disposición excepcional del Gobierno con fuerza de ley, máxime teniendo en cuenta que ese control parlamentario del decreto-ley es limitado, ya que solo cabe la ratificación o el rechazo.</w:t>
      </w:r>
    </w:p>
    <w:p w14:paraId="3A2D6AD2" w14:textId="77777777" w:rsidR="009D7677" w:rsidRDefault="009D7677" w:rsidP="009D7677">
      <w:pPr>
        <w:pStyle w:val="TextoNormal"/>
      </w:pPr>
    </w:p>
    <w:p w14:paraId="177DEE67" w14:textId="77777777" w:rsidR="009D7677" w:rsidRDefault="009D7677" w:rsidP="009D7677">
      <w:pPr>
        <w:pStyle w:val="TextoNormal"/>
      </w:pPr>
      <w:r>
        <w:t xml:space="preserve">Sin perjuicio de lo expuesto, es obligado convenir con la sentencia en que la respuesta de los acuerdos parlamentarios a la solicitud de la portavoz del grupo parlamentario recurrente, respecto del trámite de convalidación del decreto-ley, basada en que no existe previsión normativa expresa que imponga al Gobierno la obligación de remitir los antecedentes correspondientes al procedimiento de elaboración de la norma, no puede reputarse lesiva del </w:t>
      </w:r>
      <w:r w:rsidRPr="009D7677">
        <w:rPr>
          <w:i/>
        </w:rPr>
        <w:t>ius in officium</w:t>
      </w:r>
      <w:r>
        <w:t xml:space="preserve"> de los diputados de dicho grupo, pues resulta suficientemente motivada y fundada en una interpretación razonable de la normativa parlamentaria.</w:t>
      </w:r>
    </w:p>
    <w:p w14:paraId="20DDBA46" w14:textId="77777777" w:rsidR="009D7677" w:rsidRDefault="009D7677" w:rsidP="009D7677">
      <w:pPr>
        <w:pStyle w:val="TextoNormal"/>
      </w:pPr>
    </w:p>
    <w:p w14:paraId="602845A4" w14:textId="77777777" w:rsidR="009D7677" w:rsidRDefault="009D7677" w:rsidP="009D7677">
      <w:pPr>
        <w:pStyle w:val="TextoNormal"/>
      </w:pPr>
      <w:r>
        <w:t xml:space="preserve">3. </w:t>
      </w:r>
      <w:r w:rsidRPr="009D7677">
        <w:rPr>
          <w:i/>
        </w:rPr>
        <w:t>Sobre la vulneración del</w:t>
      </w:r>
      <w:r>
        <w:t xml:space="preserve"> ius in officium </w:t>
      </w:r>
      <w:r w:rsidRPr="009D7677">
        <w:rPr>
          <w:i/>
        </w:rPr>
        <w:t>en la tramitación del Real Decreto-ley 36/2020 como proyecto de ley por el procedimiento de urgencia</w:t>
      </w:r>
    </w:p>
    <w:p w14:paraId="3D192D88" w14:textId="77777777" w:rsidR="009D7677" w:rsidRDefault="009D7677" w:rsidP="009D7677">
      <w:pPr>
        <w:pStyle w:val="TextoNormal"/>
      </w:pPr>
    </w:p>
    <w:p w14:paraId="10183C4D" w14:textId="77777777" w:rsidR="009D7677" w:rsidRDefault="009D7677" w:rsidP="009D7677">
      <w:pPr>
        <w:pStyle w:val="TextoNormal"/>
      </w:pPr>
      <w:r>
        <w:t>Distinta es la conclusión a la que debe llegarse en relación con la no remisión del dictamen del Consejo de Estado durante la tramitación del Real Decreto-ley 36/2020 como proyecto de ley por el procedimiento de urgencia.</w:t>
      </w:r>
    </w:p>
    <w:p w14:paraId="557BA766" w14:textId="77777777" w:rsidR="009D7677" w:rsidRDefault="009D7677" w:rsidP="009D7677">
      <w:pPr>
        <w:pStyle w:val="TextoNormal"/>
      </w:pPr>
    </w:p>
    <w:p w14:paraId="786F00CE" w14:textId="77777777" w:rsidR="009D7677" w:rsidRDefault="009D7677" w:rsidP="009D7677">
      <w:pPr>
        <w:pStyle w:val="TextoNormal"/>
      </w:pPr>
      <w:r>
        <w:t>El art. 86.3 CE ha previsto que, tras su convalidación por el Congreso, esta Cámara pueda decidir tramitar el proyecto de ley por el procedimiento de urgencia, como así ha sucedido en el caso que nos ocupa. De este modo, en el supuesto del art. 86.3 CE la Cámara recupera toda su potestad legislativa sobre el texto, con la salvedad de que no son admisibles las enmiendas de totalidad de devolución (art. 151.4 RCD).</w:t>
      </w:r>
    </w:p>
    <w:p w14:paraId="7D3CCB73" w14:textId="77777777" w:rsidR="009D7677" w:rsidRDefault="009D7677" w:rsidP="009D7677">
      <w:pPr>
        <w:pStyle w:val="TextoNormal"/>
      </w:pPr>
    </w:p>
    <w:p w14:paraId="1C8B61B0" w14:textId="77777777" w:rsidR="009D7677" w:rsidRDefault="009D7677" w:rsidP="009D7677">
      <w:pPr>
        <w:pStyle w:val="TextoNormal"/>
      </w:pPr>
      <w:r>
        <w:t>Por tanto, tras la convalidación del Real decreto-ley 36/2020, su tramitación era ya la propia de los proyectos de ley, por el procedimiento de urgencia (art. 86.3 CE). Esto es, una vez acordada su tramitación por el Congreso como proyecto de ley (art. 151.4 RCD), debía ser sometido a esta Cámara “acompañado de una exposición de motivos y de los antecedentes necesarios para pronunciarse sobre ellos” (art. 88 CE y art. 109 RCD). Cabe señalar que, además de ser costumbre remitir tales antecedentes por el Gobierno —como reconoce en sus alegaciones la letrada de las Cortes Generales— previamente a la convalidación del decreto-ley, tal proceder no puede entenderse que se viniera sustentado en el mero “respeto de las reglas de cortesía” —como también afirma la letrada de las Cortes—, sino que su verdadero fundamento tiene que ver con la arquitectura constitucional diseñada sobre el equilibrio de poderes, que impregna el correcto funcionamiento de las instituciones y que proscribe situaciones de desequilibrio o menoscabos que puedan afectar al desempeño de los distintos poderes del Estado, y que en este caso se vinculan a un mejor conocimiento por los diputados de los antecedentes del decreto-ley que había sido sometido a convalidación y que se estaba tramitando como proyecto de ley por el procedimiento de urgencia. La proscripción de situaciones de desequilibrio es consustancial con el siste</w:t>
      </w:r>
      <w:r>
        <w:lastRenderedPageBreak/>
        <w:t>ma parlamentario, porque el desequilibrio se traduce en deformación de su naturaleza o en su transmutación en otro sistema de Gobierno.</w:t>
      </w:r>
    </w:p>
    <w:p w14:paraId="7626AD6A" w14:textId="77777777" w:rsidR="009D7677" w:rsidRDefault="009D7677" w:rsidP="009D7677">
      <w:pPr>
        <w:pStyle w:val="TextoNormal"/>
      </w:pPr>
    </w:p>
    <w:p w14:paraId="1C6A6DFD" w14:textId="77777777" w:rsidR="009D7677" w:rsidRDefault="009D7677" w:rsidP="009D7677">
      <w:pPr>
        <w:pStyle w:val="TextoNormal"/>
      </w:pPr>
      <w:r>
        <w:t xml:space="preserve">La sentencia de la que discrepamos sostiene en su fundamento jurídico 4, con apoyo en las alegaciones de la letrada de las Cortes Generales, que el dictamen del Consejo de Estado en cuestión fue remitido por el Gobierno en respuesta a una solicitud de informe, </w:t>
      </w:r>
      <w:r w:rsidRPr="009D7677">
        <w:rPr>
          <w:i/>
        </w:rPr>
        <w:t>ex</w:t>
      </w:r>
      <w:r>
        <w:t xml:space="preserve"> art. 7 RCD, presentada por la portavoz del Grupo Parlamentario Popular, habiéndose recibido en el Congreso el 9 de marzo de 2021, fecha en la cual los grupos parlamentarios y los diputados todavía estaban en disposición de presentar enmiendas al articulado, lo que habría provocado la satisfacción extraprocesal de la pretensión y la consiguiente pérdida sobrevenida de objeto de la queja de las diputadas recurrentes, pues estas, una vez recibido el dictamen del Consejo de Estado “pudieron conocer íntegramente su contenido en tiempo hábil para la presentación de las enmiendas que tuvieran por convenientes”.</w:t>
      </w:r>
    </w:p>
    <w:p w14:paraId="34C9C628" w14:textId="77777777" w:rsidR="009D7677" w:rsidRDefault="009D7677" w:rsidP="009D7677">
      <w:pPr>
        <w:pStyle w:val="TextoNormal"/>
      </w:pPr>
    </w:p>
    <w:p w14:paraId="1171F709" w14:textId="77777777" w:rsidR="009D7677" w:rsidRDefault="009D7677" w:rsidP="009D7677">
      <w:pPr>
        <w:pStyle w:val="TextoNormal"/>
      </w:pPr>
      <w:r>
        <w:t>No podemos compartir esta conclusión, que además no se ajusta a los antecedentes del asunto. No consta que el Gobierno remitiera el dictamen del Consejo de Estado al Congreso de los Diputados, como se afirma en la sentencia, pues, en efecto, lo ocurrido es que en la comunicación del Gobierno lo que se facilita a la portavoz del Grupo Parlamentario Popular el 9 de marzo de 2021 no es el dictamen interesado, sino un enlace de acceso a la base de datos del Consejo de Estado, en la que podía consultarse ese dictamen.</w:t>
      </w:r>
    </w:p>
    <w:p w14:paraId="23D07CD6" w14:textId="77777777" w:rsidR="009D7677" w:rsidRDefault="009D7677" w:rsidP="009D7677">
      <w:pPr>
        <w:pStyle w:val="TextoNormal"/>
      </w:pPr>
    </w:p>
    <w:p w14:paraId="1C3C738A" w14:textId="77777777" w:rsidR="009D7677" w:rsidRDefault="009D7677" w:rsidP="009D7677">
      <w:pPr>
        <w:pStyle w:val="TextoNormal"/>
      </w:pPr>
      <w:r>
        <w:t>Por otra parte, la sentencia yerra al sustentar su conclusión de que el recurso de amparo haya quedado carente de objeto de forma sobrevenida en la razón expresada en el fundamento jurídico 4, en el que se afirma, que “los grupos parlamentarios y los diputados todavía estaban en la indicada fecha en disposición de presentar enmiendas al articulado, puesto que el plazo inicial para la presentación de enmiendas (que terminaba el 15 de febrero de 2021) fue sucesivamente prorrogado hasta que la disolución de las Cortes Generales, por Real Decreto 400/2023, de 29 de mayo, provocó la caducidad de la iniciativa”. En efecto, la sentencia no tiene en cuenta que ya había transcurrido en gran parte el plazo para la presentación de enmiendas al articulado y que, en todo caso, y según las actuaciones del presente recurso de amparo, había finalizado con creces el plazo de presentación de enmiendas a la totalidad.</w:t>
      </w:r>
    </w:p>
    <w:p w14:paraId="040D7A17" w14:textId="77777777" w:rsidR="009D7677" w:rsidRDefault="009D7677" w:rsidP="009D7677">
      <w:pPr>
        <w:pStyle w:val="TextoNormal"/>
      </w:pPr>
    </w:p>
    <w:p w14:paraId="221DA351" w14:textId="77777777" w:rsidR="009D7677" w:rsidRDefault="009D7677" w:rsidP="009D7677">
      <w:pPr>
        <w:pStyle w:val="TextoNormal"/>
      </w:pPr>
      <w:r>
        <w:t>Consta en el “Boletín Oficial de las Cortes Generales” de 5 de febrero de 2021 que “[l]a mesa del Congreso de los Diputados, en su reunión del día de hoy, ha acordado su remisión a la Comisión de Asuntos Económicos y Transformación Digital, para su aprobación con competencia legislativa plena, así como abrir un plazo de ocho días hábiles, que expira el día 15 de febrero de 2021, en el que los Sres. diputados y los grupos parlamentarios podrán presentar enmiendas”. Y el 25 de febrero de 2021 se celebró debate de totalidad por la presentación de una enmienda a la totalidad con texto alternativo presentada por el Grupo Parlamentario Ciudadanos, que fue rechazada, tal como recoge el antecedente 2 i) de la sentencia.</w:t>
      </w:r>
    </w:p>
    <w:p w14:paraId="6D3E69F0" w14:textId="77777777" w:rsidR="009D7677" w:rsidRDefault="009D7677" w:rsidP="009D7677">
      <w:pPr>
        <w:pStyle w:val="TextoNormal"/>
      </w:pPr>
    </w:p>
    <w:p w14:paraId="384B1385" w14:textId="77777777" w:rsidR="009D7677" w:rsidRDefault="009D7677" w:rsidP="009D7677">
      <w:pPr>
        <w:pStyle w:val="TextoNormal"/>
      </w:pPr>
      <w:r>
        <w:t xml:space="preserve">Por lo tanto, frente lo que se afirma en la sentencia, cuando se recibe la comunicación del Ministerio de la Presidencia indicando el enlace a la base de datos del Consejo de Estado ya había concluido el plazo de presentación de enmiendas a la totalidad. De modo que no es correcta la conclusión de la sentencia [fundamento jurídico 4 b)], en la que se sustenta la desestimación de la lesión del derecho garantizado por el art.23.2 CE, de que </w:t>
      </w:r>
      <w:r>
        <w:lastRenderedPageBreak/>
        <w:t>los diputados del grupo parlamentario recurrente pudieron conocer íntegramente el contenido del dictamen del Consejo de Estado “en tiempo hábil para la presentación de las enmiendas que tuvieran por convenientes”, cuando lo cierto es que ese enlace se comunicó a la portavoz del grupo solicitante cuando ya había transcurrido el plazo para la presentación de enmiendas a la totalidad.</w:t>
      </w:r>
    </w:p>
    <w:p w14:paraId="221A1265" w14:textId="77777777" w:rsidR="009D7677" w:rsidRDefault="009D7677" w:rsidP="009D7677">
      <w:pPr>
        <w:pStyle w:val="TextoNormal"/>
      </w:pPr>
    </w:p>
    <w:p w14:paraId="629576DF" w14:textId="77777777" w:rsidR="009D7677" w:rsidRDefault="009D7677" w:rsidP="009D7677">
      <w:pPr>
        <w:pStyle w:val="TextoNormal"/>
      </w:pPr>
      <w:r>
        <w:t>El acceso al dictamen del Consejo de Estado con posterioridad a la fase de presentación de enmiendas a la totalidad no puede determinar, por tanto, la pérdida sobrevenida de objeto del recurso de amparo. Como tampoco pierde objeto este por el hecho de que la iniciativa hubiera caducado, pues ello en modo alguno repara la vulneración ocasionada por la presidencia y la mesa del Congreso. Dichos órganos injustificada e inmotivadamente se negaron a reclamar los antecedentes del proyecto de real decreto-ley que debían haber sido remitidos por el Gobierno, una vez decidida su tramitación como proyecto de ley, como dispone el art. 88 CE.</w:t>
      </w:r>
    </w:p>
    <w:p w14:paraId="2599B3B1" w14:textId="77777777" w:rsidR="009D7677" w:rsidRDefault="009D7677" w:rsidP="009D7677">
      <w:pPr>
        <w:pStyle w:val="TextoNormal"/>
      </w:pPr>
    </w:p>
    <w:p w14:paraId="730D6760" w14:textId="77777777" w:rsidR="009D7677" w:rsidRDefault="009D7677" w:rsidP="009D7677">
      <w:pPr>
        <w:pStyle w:val="TextoNormal"/>
      </w:pPr>
      <w:r>
        <w:t>Por tanto, una vez constatado que los diputados del grupo parlamentario recurrente no tuvieron a su disposición el dictamen del Consejo de Estado en un momento de la tramitación adecuado para desarrollar con plenitud su función legislativa, debe concluirse, como señala el Ministerio Fiscal, que tanto la presidenta como la Mesa del Congreso de los Diputados no se pronunciaron sobre las peticiones formuladas por la portavoz del grupo parlamentario Popular, careciendo palmariamente, por tanto, los acuerdos impugnados de motivación razonable.</w:t>
      </w:r>
    </w:p>
    <w:p w14:paraId="15320A73" w14:textId="77777777" w:rsidR="009D7677" w:rsidRDefault="009D7677" w:rsidP="009D7677">
      <w:pPr>
        <w:pStyle w:val="TextoNormal"/>
      </w:pPr>
    </w:p>
    <w:p w14:paraId="1A7CC087" w14:textId="77777777" w:rsidR="009D7677" w:rsidRDefault="009D7677" w:rsidP="009D7677">
      <w:pPr>
        <w:pStyle w:val="TextoNormal"/>
      </w:pPr>
      <w:r>
        <w:t>Ello en primer lugar, porque pese a que los escritos de la portavoz del Grupo Parlamentario Popular contenían la expresa solicitud a la presidenta del Congreso para que se dirigiera al Gobierno requiriéndole la remisión del dictamen del Consejo de Estado y la documentación relativa al proceso de elaboración de la norma, la respuesta de los órganos rectores de la Cámara fue recordarle a la solicitante que los diputados tienen la facultad de recabar de las administraciones públicas, al amparo del art. 7 RCD, los informes o documentos que obren en poder de estas, “por conducto de la presidenta del Congreso”, y a la vez rechazar su solicitud, que tenía encaje en dicho precepto, según los propios acuerdos impugnados.</w:t>
      </w:r>
    </w:p>
    <w:p w14:paraId="01BE97BB" w14:textId="77777777" w:rsidR="009D7677" w:rsidRDefault="009D7677" w:rsidP="009D7677">
      <w:pPr>
        <w:pStyle w:val="TextoNormal"/>
      </w:pPr>
    </w:p>
    <w:p w14:paraId="5809E29F" w14:textId="77777777" w:rsidR="009D7677" w:rsidRDefault="009D7677" w:rsidP="009D7677">
      <w:pPr>
        <w:pStyle w:val="TextoNormal"/>
      </w:pPr>
      <w:r>
        <w:t xml:space="preserve">Y en segundo lugar, porque, una vez acordado que el Real Decreto-ley 36/2020 se tramitase como proyecto de ley (art. 86.3 CE), era inexcusable de acuerdo con el art. 88 CE y el art. 109 RCD que los diputados contaran con el dictamen elaborado por el Consejo de Estado, pese a lo cual en su acuerdo de 9 de febrero de 2021 la mesa elude dar respuesta a la portavoz del Grupo Parlamentario Popular sobre la necesidad de exigir al Gobierno que remita ese dictamen. Es decir, nos encontramos en un supuesto en el que no se trata ya de que la mesa considere que no es necesario contar con ese antecedente para que los diputados formen adecuadamente su voluntad de la forma exigida por el </w:t>
      </w:r>
      <w:r w:rsidRPr="009D7677">
        <w:rPr>
          <w:i/>
        </w:rPr>
        <w:t>ius in officium</w:t>
      </w:r>
      <w:r>
        <w:t>, sino que ni siquiera se ofrece una razón por la que pudiera considerarse innecesario solicitarlo, razón por lo demás inencontrable.</w:t>
      </w:r>
    </w:p>
    <w:p w14:paraId="74E917C9" w14:textId="77777777" w:rsidR="009D7677" w:rsidRDefault="009D7677" w:rsidP="009D7677">
      <w:pPr>
        <w:pStyle w:val="TextoNormal"/>
      </w:pPr>
    </w:p>
    <w:p w14:paraId="5321A024" w14:textId="77777777" w:rsidR="009D7677" w:rsidRDefault="009D7677" w:rsidP="009D7677">
      <w:pPr>
        <w:pStyle w:val="TextoNormal"/>
      </w:pPr>
      <w:r>
        <w:t>4</w:t>
      </w:r>
      <w:r w:rsidRPr="009D7677">
        <w:rPr>
          <w:i/>
        </w:rPr>
        <w:t>. Conclusión. Estimación del recurso de ampa</w:t>
      </w:r>
      <w:r>
        <w:t>ro</w:t>
      </w:r>
    </w:p>
    <w:p w14:paraId="20E11425" w14:textId="77777777" w:rsidR="009D7677" w:rsidRDefault="009D7677" w:rsidP="009D7677">
      <w:pPr>
        <w:pStyle w:val="TextoNormal"/>
      </w:pPr>
    </w:p>
    <w:p w14:paraId="258DC51B" w14:textId="77777777" w:rsidR="009D7677" w:rsidRDefault="009D7677" w:rsidP="009D7677">
      <w:pPr>
        <w:pStyle w:val="TextoNormal"/>
      </w:pPr>
      <w:r>
        <w:t xml:space="preserve">En suma, ha de llegarse a la conclusión de que en este caso la presidenta y la mesa del Congreso de los Diputados renunciaron a ejercer la función de tutela de los derechos de </w:t>
      </w:r>
      <w:r>
        <w:lastRenderedPageBreak/>
        <w:t xml:space="preserve">los parlamentarios, y que los acuerdos impugnados en amparos no dieron respuesta a la legítima solicitud de la portavoz del Grupo Parlamentario Popular, fundada en su derecho a contar con los antecedentes necesarios para pronunciarse con conocimiento de causa en la tramitación como proyecto de ley del Real Decreto-ley 36/2020, una vez convalidado este, derecho que forma parte del </w:t>
      </w:r>
      <w:r w:rsidRPr="009D7677">
        <w:rPr>
          <w:i/>
        </w:rPr>
        <w:t>ius in officium</w:t>
      </w:r>
      <w:r>
        <w:t xml:space="preserve"> de los diputados, garantizado por el derecho de participación política que el art. 23.2 CE reconoce.</w:t>
      </w:r>
    </w:p>
    <w:p w14:paraId="103BFBB1" w14:textId="77777777" w:rsidR="009D7677" w:rsidRDefault="009D7677" w:rsidP="009D7677">
      <w:pPr>
        <w:pStyle w:val="TextoNormal"/>
      </w:pPr>
    </w:p>
    <w:p w14:paraId="2E5E5E4F" w14:textId="77777777" w:rsidR="009D7677" w:rsidRDefault="009D7677" w:rsidP="009D7677">
      <w:pPr>
        <w:pStyle w:val="TextoNormal"/>
      </w:pPr>
      <w:r>
        <w:t>En consecuencia, debió otorgarse al grupo parlamentario recurrente el amparo solicitado, reconociendo su derecho fundamental de participación política y declarando la nulidad de los acuerdos impugnados, sin que proceda adoptar cualquier otra medida de restablecimiento en el disfrute del derecho vulnerado, al haber concluido la legislatura en que tales acuerdos fueron adoptados (en este sentido, SSTC 107/2001, de 23 de abril, FJ 10, y 177/2002, de 14 de octubre, FJ 11, por todas).</w:t>
      </w:r>
    </w:p>
    <w:p w14:paraId="50DFD303" w14:textId="77777777" w:rsidR="009D7677" w:rsidRDefault="009D7677" w:rsidP="009D7677">
      <w:pPr>
        <w:pStyle w:val="TextoNormal"/>
      </w:pPr>
    </w:p>
    <w:p w14:paraId="1BBD2598" w14:textId="35AF0B4F" w:rsidR="009D7677" w:rsidRDefault="009D7677" w:rsidP="009D7677">
      <w:pPr>
        <w:pStyle w:val="TextoNormal"/>
      </w:pPr>
      <w:r>
        <w:t>Madrid, a veintidós de enero de dos mil veinticuatro.</w:t>
      </w:r>
    </w:p>
    <w:p w14:paraId="30ABD6A1" w14:textId="4B55AE83" w:rsidR="009D7677" w:rsidRDefault="009D7677">
      <w:pPr>
        <w:spacing w:after="160" w:line="259" w:lineRule="auto"/>
        <w:rPr>
          <w:rFonts w:ascii="Times New Roman" w:eastAsia="Times New Roman" w:hAnsi="Times New Roman" w:cs="Times New Roman"/>
          <w:sz w:val="24"/>
          <w:szCs w:val="24"/>
          <w:lang w:eastAsia="es-ES"/>
        </w:rPr>
      </w:pPr>
      <w:r>
        <w:br w:type="page"/>
      </w:r>
    </w:p>
    <w:p w14:paraId="740A6AAD" w14:textId="77777777" w:rsidR="009D7677" w:rsidRDefault="009D7677" w:rsidP="009D7677">
      <w:pPr>
        <w:pStyle w:val="TtuloResolucin"/>
      </w:pPr>
      <w:bookmarkStart w:id="13" w:name="SENTENCIA_2024_11"/>
      <w:r>
        <w:lastRenderedPageBreak/>
        <w:t>SENTENCIA 11/2024, de 18 de enero de 2024</w:t>
      </w:r>
    </w:p>
    <w:bookmarkEnd w:id="13"/>
    <w:p w14:paraId="5D8C21B1" w14:textId="77777777" w:rsidR="009D7677" w:rsidRDefault="009D7677" w:rsidP="009D7677">
      <w:pPr>
        <w:pStyle w:val="TtuloResolucin"/>
      </w:pPr>
      <w:r>
        <w:t>Pleno</w:t>
      </w:r>
    </w:p>
    <w:p w14:paraId="16054681" w14:textId="77777777" w:rsidR="009D7677" w:rsidRDefault="009D7677" w:rsidP="009D7677">
      <w:pPr>
        <w:pStyle w:val="TtuloBOE"/>
      </w:pPr>
      <w:r>
        <w:t>(BOE núm. 45, de 20 de febrero de 2024)</w:t>
      </w:r>
    </w:p>
    <w:p w14:paraId="73E9C699" w14:textId="77777777" w:rsidR="009D7677" w:rsidRDefault="009D7677" w:rsidP="009D7677">
      <w:pPr>
        <w:pStyle w:val="TextoNormalCentrado"/>
      </w:pPr>
      <w:r>
        <w:t>ECLI:ES:TC:2024:11</w:t>
      </w:r>
    </w:p>
    <w:p w14:paraId="2295F88F" w14:textId="6E6D5885" w:rsidR="009D7677" w:rsidRDefault="009D7677" w:rsidP="009D7677">
      <w:pPr>
        <w:pStyle w:val="TextoNormalCentrado"/>
      </w:pPr>
    </w:p>
    <w:p w14:paraId="789ADB6E" w14:textId="77777777" w:rsidR="009D7677" w:rsidRDefault="009D7677" w:rsidP="009D7677">
      <w:pPr>
        <w:pStyle w:val="SntesisDescriptiva"/>
      </w:pPr>
      <w:r>
        <w:t>Cuestión de inconstitucionalidad 2577-2023. Planteada por la Sección Segunda de la Sala de lo Contencioso-Administrativo de la Audiencia Nacional en relación con el artículo 3.1, apartados primero y segundo, del Real Decreto-ley 3/2016, de 2 de diciembre, por el que se adoptan medidas en el ámbito tributario dirigidas a la consolidación de las finanzas públicas y otras medidas urgentes en materia social.</w:t>
      </w:r>
    </w:p>
    <w:p w14:paraId="53155B2E" w14:textId="468F0AB7" w:rsidR="009D7677" w:rsidRDefault="009D7677" w:rsidP="009D7677">
      <w:pPr>
        <w:pStyle w:val="SntesisDescriptiva"/>
      </w:pPr>
    </w:p>
    <w:p w14:paraId="35A0EC6D" w14:textId="77777777" w:rsidR="009D7677" w:rsidRDefault="009D7677" w:rsidP="009D7677">
      <w:pPr>
        <w:pStyle w:val="SntesisAnaltica"/>
      </w:pPr>
      <w:r>
        <w:t>Límites materiales de los decretos leyes: nulidad de las modificaciones introducidas, con efectos desde el 1 de enero de 2016, en la regulación del impuesto sobre sociedades. Voto particular.</w:t>
      </w:r>
    </w:p>
    <w:p w14:paraId="360117F5" w14:textId="6300ED6A" w:rsidR="009D7677" w:rsidRDefault="009D7677" w:rsidP="009D7677">
      <w:pPr>
        <w:pStyle w:val="SntesisAnaltica"/>
      </w:pPr>
    </w:p>
    <w:p w14:paraId="479F48E1" w14:textId="24F50865" w:rsidR="009D7677" w:rsidRDefault="009D7677" w:rsidP="009D7677">
      <w:pPr>
        <w:pStyle w:val="Extracto"/>
      </w:pPr>
      <w:r>
        <w:t>1.</w:t>
      </w:r>
      <w:r>
        <w:tab/>
        <w:t>Aplicación de la doctrina sobre la vulneración del art. 86.1 por parte de un Decreto-Ley si: (i) modifica la normativa de un impuesto -que constituye uno de los pilares estructurales del sistema tributario-; (ii) lo hace incidiendo en los tres elementos esenciales de la obligación tributaria -la base de cálculo, el porcentaje aplicable y la cuantía del ingreso-; y (iii) el alcance de la modificación es notable y su estimación por la Agencia Estatal de Administración Tributaria supone un excesivo aumento de la recaudación tributaria (STC 78/2020) [FJ 2].</w:t>
      </w:r>
    </w:p>
    <w:p w14:paraId="7A6FFB95" w14:textId="77777777" w:rsidR="009D7677" w:rsidRDefault="009D7677" w:rsidP="009D7677">
      <w:pPr>
        <w:pStyle w:val="Extracto"/>
      </w:pPr>
    </w:p>
    <w:p w14:paraId="4657C002" w14:textId="26AEB4CA" w:rsidR="009D7677" w:rsidRDefault="009D7677" w:rsidP="009D7677">
      <w:pPr>
        <w:pStyle w:val="Extracto"/>
      </w:pPr>
      <w:r>
        <w:t>2.</w:t>
      </w:r>
      <w:r>
        <w:tab/>
        <w:t>Las medidas reguladas mediante un Decreto-Ley que ocasionan un excesivo impacto en los elementos estructurales (base imponible y cuota líquida) de un impuesto fundamental del sistema tributario, afectan de manera indebida a la esencia del deber de contribuir de los obligados tributarios [FJ 3].</w:t>
      </w:r>
    </w:p>
    <w:p w14:paraId="02C87D28" w14:textId="77777777" w:rsidR="009D7677" w:rsidRDefault="009D7677" w:rsidP="009D7677">
      <w:pPr>
        <w:pStyle w:val="Extracto"/>
      </w:pPr>
    </w:p>
    <w:p w14:paraId="2C282239" w14:textId="77777777" w:rsidR="009D7677" w:rsidRDefault="009D7677" w:rsidP="009D7677">
      <w:pPr>
        <w:pStyle w:val="Extracto"/>
      </w:pPr>
    </w:p>
    <w:p w14:paraId="382CB8DB" w14:textId="77777777" w:rsidR="009D7677" w:rsidRDefault="009D7677" w:rsidP="009D7677">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ha pronunciado</w:t>
      </w:r>
    </w:p>
    <w:p w14:paraId="48AF5A4A" w14:textId="3018882B" w:rsidR="009D7677" w:rsidRDefault="009D7677" w:rsidP="009D7677">
      <w:pPr>
        <w:pStyle w:val="TextoNormal"/>
      </w:pPr>
    </w:p>
    <w:p w14:paraId="5C2479E3" w14:textId="77777777" w:rsidR="009D7677" w:rsidRDefault="009D7677" w:rsidP="009D7677">
      <w:pPr>
        <w:pStyle w:val="TextoNormalCentrado"/>
        <w:keepNext/>
      </w:pPr>
      <w:r>
        <w:t>EN NOMBRE DEL REY</w:t>
      </w:r>
    </w:p>
    <w:p w14:paraId="1003DE9B" w14:textId="7F7F9282" w:rsidR="009D7677" w:rsidRDefault="009D7677" w:rsidP="009D7677">
      <w:pPr>
        <w:pStyle w:val="TextoNormalCentrado"/>
        <w:keepNext/>
      </w:pPr>
    </w:p>
    <w:p w14:paraId="01BCB2F4" w14:textId="77777777" w:rsidR="009D7677" w:rsidRDefault="009D7677" w:rsidP="009D7677">
      <w:pPr>
        <w:pStyle w:val="TextoNormalCentrado"/>
        <w:keepNext/>
      </w:pPr>
    </w:p>
    <w:p w14:paraId="7E871CE8" w14:textId="77777777" w:rsidR="009D7677" w:rsidRDefault="009D7677" w:rsidP="009D7677">
      <w:pPr>
        <w:pStyle w:val="TextoNormal"/>
      </w:pPr>
      <w:r>
        <w:t>la siguiente</w:t>
      </w:r>
    </w:p>
    <w:p w14:paraId="13509368" w14:textId="1533C7DD" w:rsidR="009D7677" w:rsidRDefault="009D7677" w:rsidP="009D7677">
      <w:pPr>
        <w:pStyle w:val="TextoNormal"/>
      </w:pPr>
    </w:p>
    <w:p w14:paraId="19DBC79A" w14:textId="77777777" w:rsidR="009D7677" w:rsidRDefault="009D7677" w:rsidP="009D7677">
      <w:pPr>
        <w:pStyle w:val="TextoNormalCentrado"/>
        <w:keepNext/>
      </w:pPr>
      <w:r>
        <w:t>SENTENCIA</w:t>
      </w:r>
    </w:p>
    <w:p w14:paraId="1856EDA3" w14:textId="59E74F58" w:rsidR="009D7677" w:rsidRDefault="009D7677" w:rsidP="009D7677">
      <w:pPr>
        <w:pStyle w:val="TextoNormalCentrado"/>
        <w:keepNext/>
      </w:pPr>
    </w:p>
    <w:p w14:paraId="01C36D80" w14:textId="77777777" w:rsidR="009D7677" w:rsidRDefault="009D7677" w:rsidP="009D7677">
      <w:pPr>
        <w:pStyle w:val="TextoNormal"/>
      </w:pPr>
      <w:r>
        <w:t xml:space="preserve">En la cuestión de inconstitucionalidad núm. 2577-2023, planteada por la Sección Segunda de la Sala de lo Contencioso-Administrativo de la Audiencia Nacional, en relación con el art. 3.1, apartados primero y segundo, del Real Decreto-ley 3/2016, de 2 de diciembre, por el que se adoptan medidas en el ámbito tributario dirigidas a la consolidación de </w:t>
      </w:r>
      <w:r>
        <w:lastRenderedPageBreak/>
        <w:t>las finanzas públicas y otras medidas urgentes en materia social, por posible vulneración del art. 86.1 CE. Han comparecido y formulado alegaciones el Gobierno, el fiscal general del Estado y la entidad Globalia Corporación Empresarial, S.A. Ha sido ponente el magistrado don César Tolosa Tribiño.</w:t>
      </w:r>
    </w:p>
    <w:p w14:paraId="4989E1D4" w14:textId="0F8BD051" w:rsidR="009D7677" w:rsidRDefault="009D7677" w:rsidP="009D7677">
      <w:pPr>
        <w:pStyle w:val="TextoNormal"/>
      </w:pPr>
    </w:p>
    <w:p w14:paraId="3BCF3CEC" w14:textId="77777777" w:rsidR="009D7677" w:rsidRDefault="009D7677" w:rsidP="009D7677">
      <w:pPr>
        <w:pStyle w:val="TextoNormalNegritaCentrado"/>
        <w:keepNext/>
      </w:pPr>
      <w:r>
        <w:t>I. Antecedentes</w:t>
      </w:r>
    </w:p>
    <w:p w14:paraId="66E2F14E" w14:textId="2B501F58" w:rsidR="009D7677" w:rsidRDefault="009D7677" w:rsidP="009D7677">
      <w:pPr>
        <w:pStyle w:val="TextoNormalNegritaCentrado"/>
        <w:keepNext/>
      </w:pPr>
    </w:p>
    <w:p w14:paraId="48A6F277" w14:textId="451168F7" w:rsidR="009D7677" w:rsidRDefault="009D7677" w:rsidP="009D7677">
      <w:pPr>
        <w:pStyle w:val="TextoNormal"/>
      </w:pPr>
      <w:r w:rsidRPr="009D7677">
        <w:rPr>
          <w:rStyle w:val="NumeroAFNegritaCaracter"/>
        </w:rPr>
        <w:t>1</w:t>
      </w:r>
      <w:r>
        <w:t>. El día 19 de abril de 2023 tuvo entrada en el registro general de este tribunal el auto de 3 de marzo de 2023 de la Sección Segunda de la Sala de lo Contencioso-Administrativo de la Audiencia Nacional, que acuerda plantear una cuestión de inconstitucionalidad respecto del art. 3.1, apartados primero y segundo, del Real Decreto-ley 3/2016, de 2 de diciembre, por el que se adoptan medidas en el ámbito tributario dirigidas a la consolidación de las finanzas públicas y otras medidas urgentes en materia social (en adelante, Real Decreto-ley 3/2016), por posible vulneración del art. 86.1 CE. Los apartados primero y segundo del art. 3.1 de la citada norma modifican la Ley 27/2014, de 27 de noviembre, del impuesto sobre sociedades (en adelante, LIS), para añadir una nueva disposición adicional decimoquinta y dar nueva redacción a la disposición transitoria decimosexta, respectivamente. Al auto se acompaña el testimonio de las actuaciones del procedimiento ordinario núm. 575-2017, tramitado a instancia de la entidad Globalia Corporación Empresarial, S.A. (en adelante, Globalia, S.A.).</w:t>
      </w:r>
    </w:p>
    <w:p w14:paraId="0CC90303" w14:textId="77777777" w:rsidR="009D7677" w:rsidRDefault="009D7677" w:rsidP="009D7677">
      <w:pPr>
        <w:pStyle w:val="TextoNormal"/>
      </w:pPr>
    </w:p>
    <w:p w14:paraId="4F0135CF" w14:textId="77777777" w:rsidR="009D7677" w:rsidRDefault="009D7677" w:rsidP="009D7677">
      <w:pPr>
        <w:pStyle w:val="TextoNormal"/>
      </w:pPr>
      <w:r w:rsidRPr="009D7677">
        <w:rPr>
          <w:rStyle w:val="NumeroAFNegritaCaracter"/>
        </w:rPr>
        <w:t>2</w:t>
      </w:r>
      <w:r>
        <w:t>. Los antecedentes de hecho de la presente cuestión de inconstitucionalidad son, en síntesis, los siguientes:</w:t>
      </w:r>
    </w:p>
    <w:p w14:paraId="764858FD" w14:textId="77777777" w:rsidR="009D7677" w:rsidRDefault="009D7677" w:rsidP="009D7677">
      <w:pPr>
        <w:pStyle w:val="TextoNormal"/>
      </w:pPr>
    </w:p>
    <w:p w14:paraId="1ECB24F2" w14:textId="77777777" w:rsidR="009D7677" w:rsidRDefault="009D7677" w:rsidP="009D7677">
      <w:pPr>
        <w:pStyle w:val="TextoNormal"/>
      </w:pPr>
      <w:r>
        <w:t>a) La entidad Globalia, S.A., interpuso un recurso contencioso-administrativo directo contra la Orden Ministerial HFP/399/2017, de 5 de mayo (“Boletín Oficial del Estado” de 9 de mayo), por considerarla contraria a Derecho, en cuanto que plasmaba en el modelo de autoliquidación del impuesto sobre sociedades, tanto a nivel individual (modelo 200), como consolidado (modelo 220), para el ejercicio 2016, lo establecido en el Real Decreto-ley 3/2016. La demanda argumentaba que la citada orden debía ser declarada nula de pleno derecho, en la medida en que la norma que desarrolla contraviene diversos preceptos constitucionales; por ello, mediante otrosí, solicitaba el planteamiento de una cuestión de inconstitucionalidad respecto del art. 3.1, apartados primero y segundo, del Real Decreto-ley 3/2016.</w:t>
      </w:r>
    </w:p>
    <w:p w14:paraId="44BC8053" w14:textId="77777777" w:rsidR="009D7677" w:rsidRDefault="009D7677" w:rsidP="009D7677">
      <w:pPr>
        <w:pStyle w:val="TextoNormal"/>
      </w:pPr>
    </w:p>
    <w:p w14:paraId="03928D6B" w14:textId="77777777" w:rsidR="009D7677" w:rsidRDefault="009D7677" w:rsidP="009D7677">
      <w:pPr>
        <w:pStyle w:val="TextoNormal"/>
      </w:pPr>
      <w:r>
        <w:t>b) Una vez tramitado el recurso, y tras diversos señalamientos para votación y fallo, por providencia de fecha 9 de julio de 2020 se acordó oír a las partes sobre el planteamiento de una cuestión de inconstitucionalidad respecto del art. 3.1, apartados uno y dos, del Real Decreto-ley 3/2016. Mediante una posterior providencia de 13 de enero de 2021, se acordó, asimismo, oír al Ministerio Fiscal.</w:t>
      </w:r>
    </w:p>
    <w:p w14:paraId="6B6E2B12" w14:textId="77777777" w:rsidR="009D7677" w:rsidRDefault="009D7677" w:rsidP="009D7677">
      <w:pPr>
        <w:pStyle w:val="TextoNormal"/>
      </w:pPr>
    </w:p>
    <w:p w14:paraId="3C5FD566" w14:textId="77777777" w:rsidR="009D7677" w:rsidRDefault="009D7677" w:rsidP="009D7677">
      <w:pPr>
        <w:pStyle w:val="TextoNormal"/>
      </w:pPr>
      <w:r>
        <w:t>El día 23 de marzo de 2021, la Sala dictó un auto por el que se acordaba plantear la cuestión de inconstitucionalidad, que fue inadmitida por ATC 20/2022, de 26 de enero, por no cumplir los requisitos procesales relativos a la adecuada formulación del trámite de audiencia y al juicio de aplicabilidad y relevancia en los términos exigidos por el art. 35.2 de la Ley Orgánica del Tribunal Constitucional (LOTC).</w:t>
      </w:r>
    </w:p>
    <w:p w14:paraId="35B6058F" w14:textId="77777777" w:rsidR="009D7677" w:rsidRDefault="009D7677" w:rsidP="009D7677">
      <w:pPr>
        <w:pStyle w:val="TextoNormal"/>
      </w:pPr>
    </w:p>
    <w:p w14:paraId="4D36D1EF" w14:textId="77777777" w:rsidR="009D7677" w:rsidRDefault="009D7677" w:rsidP="009D7677">
      <w:pPr>
        <w:pStyle w:val="TextoNormal"/>
      </w:pPr>
      <w:r>
        <w:lastRenderedPageBreak/>
        <w:t>c) Recibido el citado auto, la Sección Segunda de la Sala de lo Contencioso-Administrativo de la Audiencia Nacional acordó, por providencia de 7 de diciembre de 2022, oír de nuevo a las partes y al Ministerio Fiscal para que, en el plazo común e improrrogable de diez días, pudieran alegar sobre la pertinencia de plantear una cuestión de inconstitucionalidad respecto de los citados preceptos del Real Decreto-ley 3/2016. La providencia justificaba su aplicabilidad y relevancia identificando las casillas de los modelos que resultarían afectadas por la declaración de inconstitucionalidad. Asimismo, expresaba sus dudas de constitucionalidad respecto de los arts. 9.3, 14, 31.1, 86.1 y 96 CE.</w:t>
      </w:r>
    </w:p>
    <w:p w14:paraId="3C4D4798" w14:textId="77777777" w:rsidR="009D7677" w:rsidRDefault="009D7677" w:rsidP="009D7677">
      <w:pPr>
        <w:pStyle w:val="TextoNormal"/>
      </w:pPr>
    </w:p>
    <w:p w14:paraId="0DDFBB1B" w14:textId="77777777" w:rsidR="009D7677" w:rsidRDefault="009D7677" w:rsidP="009D7677">
      <w:pPr>
        <w:pStyle w:val="TextoNormal"/>
      </w:pPr>
      <w:r>
        <w:t>d) El Ministerio Fiscal presentó un informe de fecha 19 de diciembre de 2022 sosteniendo que “el necesario juicio de relevancia que ha de hacerse para llegar a la conclusión de que una norma con rango de ley aplicable al caso y de cuya validez dependa el fallo puede ser contraria a la Constitución, está correctamente planteado, sin que ello suponga compartirlo, y, por tanto, corresponde a la Sala resolver sobre el planteamiento de la cuestión en los términos previstos en el art. 35 LOTC y con las consecuencias asimismo establecidas en ese artículo”.</w:t>
      </w:r>
    </w:p>
    <w:p w14:paraId="01295040" w14:textId="77777777" w:rsidR="009D7677" w:rsidRDefault="009D7677" w:rsidP="009D7677">
      <w:pPr>
        <w:pStyle w:val="TextoNormal"/>
      </w:pPr>
    </w:p>
    <w:p w14:paraId="4A2E882A" w14:textId="77777777" w:rsidR="009D7677" w:rsidRDefault="009D7677" w:rsidP="009D7677">
      <w:pPr>
        <w:pStyle w:val="TextoNormal"/>
      </w:pPr>
      <w:r>
        <w:t>La entidad Globalia, S.A., mediante un escrito de 27 de diciembre de 2022, sostuvo la procedencia de plantear la cuestión de inconstitucionalidad.</w:t>
      </w:r>
    </w:p>
    <w:p w14:paraId="5903AECC" w14:textId="77777777" w:rsidR="009D7677" w:rsidRDefault="009D7677" w:rsidP="009D7677">
      <w:pPr>
        <w:pStyle w:val="TextoNormal"/>
      </w:pPr>
    </w:p>
    <w:p w14:paraId="1080B663" w14:textId="7D55A8D7" w:rsidR="009D7677" w:rsidRDefault="009D7677" w:rsidP="009D7677">
      <w:pPr>
        <w:pStyle w:val="TextoNormal"/>
      </w:pPr>
      <w:r>
        <w:t>El abogado del Estado presentó un escrito de 5 de enero de 2023 por el que se oponía a su planteamiento.</w:t>
      </w:r>
    </w:p>
    <w:p w14:paraId="2B3C29C2" w14:textId="77777777" w:rsidR="009D7677" w:rsidRDefault="009D7677" w:rsidP="009D7677">
      <w:pPr>
        <w:pStyle w:val="TextoNormal"/>
      </w:pPr>
    </w:p>
    <w:p w14:paraId="0CBB05ED" w14:textId="77777777" w:rsidR="009D7677" w:rsidRDefault="009D7677" w:rsidP="009D7677">
      <w:pPr>
        <w:pStyle w:val="TextoNormal"/>
      </w:pPr>
      <w:r w:rsidRPr="009D7677">
        <w:rPr>
          <w:rStyle w:val="NumeroAFNegritaCaracter"/>
        </w:rPr>
        <w:t>3</w:t>
      </w:r>
      <w:r>
        <w:t>. El auto de planteamiento, tras sintetizar la controversia que da origen a la cuestión de inconstitucionalidad, razona en los términos que seguidamente se resumen.</w:t>
      </w:r>
    </w:p>
    <w:p w14:paraId="7391BBF4" w14:textId="77777777" w:rsidR="009D7677" w:rsidRDefault="009D7677" w:rsidP="009D7677">
      <w:pPr>
        <w:pStyle w:val="TextoNormal"/>
      </w:pPr>
    </w:p>
    <w:p w14:paraId="20583060" w14:textId="77777777" w:rsidR="009D7677" w:rsidRDefault="009D7677" w:rsidP="009D7677">
      <w:pPr>
        <w:pStyle w:val="TextoNormal"/>
      </w:pPr>
      <w:r>
        <w:t>a) Explica el cumplimiento de los presupuestos procesales, en particular, el cumplimiento del trámite de audiencia común a las partes y al Ministerio Fiscal.</w:t>
      </w:r>
    </w:p>
    <w:p w14:paraId="4C21E280" w14:textId="77777777" w:rsidR="009D7677" w:rsidRDefault="009D7677" w:rsidP="009D7677">
      <w:pPr>
        <w:pStyle w:val="TextoNormal"/>
      </w:pPr>
    </w:p>
    <w:p w14:paraId="3B1F5405" w14:textId="77777777" w:rsidR="009D7677" w:rsidRDefault="009D7677" w:rsidP="009D7677">
      <w:pPr>
        <w:pStyle w:val="TextoNormal"/>
      </w:pPr>
      <w:r>
        <w:t>A continuación, acota las dudas de constitucionalidad respecto de las expuestas en el trámite de audiencia, para excluir las relativas a los arts. 9.3, 14, 31.1 y 96 CE. Razona por qué dichas dudas no deben mantenerse, pues entiende que las modificaciones analizadas no son retroactivas, no vulneran el principio de igualdad por el hecho de tomar la cifra de negocios como criterio de delimitación y que el control de convencionalidad es una mera regla de selección del Derecho aplicable, luego no existe lesión del art. 96 CE.</w:t>
      </w:r>
    </w:p>
    <w:p w14:paraId="2B109739" w14:textId="77777777" w:rsidR="009D7677" w:rsidRDefault="009D7677" w:rsidP="009D7677">
      <w:pPr>
        <w:pStyle w:val="TextoNormal"/>
      </w:pPr>
    </w:p>
    <w:p w14:paraId="328D2893" w14:textId="77777777" w:rsidR="009D7677" w:rsidRDefault="009D7677" w:rsidP="009D7677">
      <w:pPr>
        <w:pStyle w:val="TextoNormal"/>
      </w:pPr>
      <w:r>
        <w:t>De esta forma, mantiene tan solo la duda relativa a si el art. 3.1, apartados primero y segundo, del Real Decreto-ley 3/2016, puede infringir el límite material del decreto-ley por afectar al deber de contribuir al sostenimiento de los gastos públicos (art. 86.1 CE, en conexión con el art. 31.1 CE).</w:t>
      </w:r>
    </w:p>
    <w:p w14:paraId="640B5B1D" w14:textId="77777777" w:rsidR="009D7677" w:rsidRDefault="009D7677" w:rsidP="009D7677">
      <w:pPr>
        <w:pStyle w:val="TextoNormal"/>
      </w:pPr>
    </w:p>
    <w:p w14:paraId="330A208D" w14:textId="77777777" w:rsidR="009D7677" w:rsidRDefault="009D7677" w:rsidP="009D7677">
      <w:pPr>
        <w:pStyle w:val="TextoNormal"/>
      </w:pPr>
      <w:r>
        <w:t>b) A continuación, identifica de forma precisa los preceptos del Real Decreto-ley 3/2016 afectados por las dudas de constitucionalidad, que son los siguientes:</w:t>
      </w:r>
    </w:p>
    <w:p w14:paraId="6ACFCDED" w14:textId="77777777" w:rsidR="009D7677" w:rsidRDefault="009D7677" w:rsidP="009D7677">
      <w:pPr>
        <w:pStyle w:val="TextoNormal"/>
      </w:pPr>
    </w:p>
    <w:p w14:paraId="6754BF37" w14:textId="77777777" w:rsidR="009D7677" w:rsidRDefault="009D7677" w:rsidP="009D7677">
      <w:pPr>
        <w:pStyle w:val="TextoNormal"/>
      </w:pPr>
      <w:r>
        <w:t>El art. 3.1, apartado primero, añade una disposición adicional decimoquinta a la LIS, mediante la cual se regulan determinados límites a la compensación de bases imponibles negativas y a las deducciones para evitar la doble imposición que pueden aplicar las grandes empresas a partir del 1 de enero de 2016.</w:t>
      </w:r>
    </w:p>
    <w:p w14:paraId="496D3DB3" w14:textId="77777777" w:rsidR="009D7677" w:rsidRDefault="009D7677" w:rsidP="009D7677">
      <w:pPr>
        <w:pStyle w:val="TextoNormal"/>
      </w:pPr>
    </w:p>
    <w:p w14:paraId="131FEEA4" w14:textId="77777777" w:rsidR="009D7677" w:rsidRDefault="009D7677" w:rsidP="009D7677">
      <w:pPr>
        <w:pStyle w:val="TextoNormal"/>
      </w:pPr>
      <w:r>
        <w:t>El art. 3.1, apartado segundo, modifica la disposición transitoria decimosexta LIS, para añadir un nuevo apartado tercero, en virtud del cual se establece la obligación de integrar en la base imponible los deterioros que hayan sido deducidos en ejercicios anteriores, a razón de una quinta parte por año, durante un plazo de cinco años a partir del día 1 de enero de 2016.</w:t>
      </w:r>
    </w:p>
    <w:p w14:paraId="2AC01EAE" w14:textId="77777777" w:rsidR="009D7677" w:rsidRDefault="009D7677" w:rsidP="009D7677">
      <w:pPr>
        <w:pStyle w:val="TextoNormal"/>
      </w:pPr>
    </w:p>
    <w:p w14:paraId="78BF37C9" w14:textId="77777777" w:rsidR="009D7677" w:rsidRDefault="009D7677" w:rsidP="009D7677">
      <w:pPr>
        <w:pStyle w:val="TextoNormal"/>
      </w:pPr>
      <w:r>
        <w:t>El auto explica que el recurso tiene por objeto la impugnación directa de la Orden Ministerial HFP/399/2017, y que la conexión entre esta orden y los preceptos con rango de ley de cuya constitucionalidad duda el órgano judicial viene dada porque aquella aprueba los modelos del impuesto sobre sociedades correspondientes al ejercicio 2016, tanto a nivel individual (modelo 200), como consolidado (modelo 220), plasmando en cada uno de dichos modelos las distintas modificaciones operadas en la LIS por el Real Decreto-ley 3/2016. Indica de forma pormenorizada las casillas que quedan afectadas por las modificaciones respecto de los modelos del impuesto vigentes con anterioridad.</w:t>
      </w:r>
    </w:p>
    <w:p w14:paraId="635BCB59" w14:textId="77777777" w:rsidR="009D7677" w:rsidRDefault="009D7677" w:rsidP="009D7677">
      <w:pPr>
        <w:pStyle w:val="TextoNormal"/>
      </w:pPr>
    </w:p>
    <w:p w14:paraId="6B8734E5" w14:textId="77777777" w:rsidR="009D7677" w:rsidRDefault="009D7677" w:rsidP="009D7677">
      <w:pPr>
        <w:pStyle w:val="TextoNormal"/>
      </w:pPr>
      <w:r>
        <w:t>Argumenta que la orden que aprueba los modelos de declaración se recurre por la indebida utilización del real decreto-ley, existiendo una íntima conexión entre las obligaciones tributarias formales y materiales, por lo que las primeras pueden impugnarse por ser inconstitucionales. Razona que la decisión del proceso depende de la validez de las normas con rango de ley que se cuestionan, que pueden ser inconstitucionales por haberse aprobado mediante un instrumento normativo con el que no se puede afectar al deber de contribuir al sostenimiento de los gastos del Estado.</w:t>
      </w:r>
    </w:p>
    <w:p w14:paraId="0AD2E18B" w14:textId="77777777" w:rsidR="009D7677" w:rsidRDefault="009D7677" w:rsidP="009D7677">
      <w:pPr>
        <w:pStyle w:val="TextoNormal"/>
      </w:pPr>
    </w:p>
    <w:p w14:paraId="7F7D8CA4" w14:textId="77777777" w:rsidR="009D7677" w:rsidRDefault="009D7677" w:rsidP="009D7677">
      <w:pPr>
        <w:pStyle w:val="TextoNormal"/>
      </w:pPr>
      <w:r>
        <w:t>c) El órgano judicial justifica sus dudas de constitucionalidad en la doctrina sentada por la STC 78/2020, de 1 de julio, atendiendo a la cual identifica tres extremos para concluir que ha existido afectación del deber de contribuir: (i) el tributo en el que ha incidido el precepto controvertido es el impuesto sobre sociedades, que constituye un pilar básico de la imposición directa en España; (ii) los elementos del tributo que han resultado alterados por el precepto controvertido son la base imponible, es decir, un elemento estructural del tributo esencial en la cuantificación del tributo, en cuanto a los límites a la compensación de bases imponibles aplicables a las grandes empresas y al establecimiento de un nuevo régimen en relación con la reversión de las pérdidas por deterioro que hayan resultado fiscalmente deducibles; y la cuota líquida, por lo que se refiere a los límites a las deducciones para evitar la doble imposición; y (iii) respecto a la naturaleza y alcance de la concreta regulación, explica que se produce una alteración sustancial en la determinación de la base imponible y en la cuantificación de la cuota líquida del impuesto sobre sociedades.</w:t>
      </w:r>
    </w:p>
    <w:p w14:paraId="49DFB9FC" w14:textId="77777777" w:rsidR="009D7677" w:rsidRDefault="009D7677" w:rsidP="009D7677">
      <w:pPr>
        <w:pStyle w:val="TextoNormal"/>
      </w:pPr>
    </w:p>
    <w:p w14:paraId="40F63CC3" w14:textId="77777777" w:rsidR="009D7677" w:rsidRDefault="009D7677" w:rsidP="009D7677">
      <w:pPr>
        <w:pStyle w:val="TextoNormal"/>
      </w:pPr>
      <w:r>
        <w:t>Para el órgano promotor de la cuestión, la incidencia de las medidas incorporadas por el Real Decreto-ley 3/2016, respecto al deber de contribuir al sostenimiento de los gastos públicos, queda evidenciada en su propio preámbulo, que hace referencia a la adopción de tres medidas “de relevancia” con “un ensanchamiento de las bases imponibles de las entidades españolas” para “asegurar el nivel de recaudación adecuado de esta figura impositiva”. Por lo cual, considera que se ha afectado de modo sustancial a la esencia del deber de contribuir al sostenimiento de los gastos públicos, al incidir en la determinación de la carga tributaria resultante del impuesto sobre sociedades, trasgrediendo los límites materiales del decreto-ley.</w:t>
      </w:r>
    </w:p>
    <w:p w14:paraId="453E6798" w14:textId="77777777" w:rsidR="009D7677" w:rsidRDefault="009D7677" w:rsidP="009D7677">
      <w:pPr>
        <w:pStyle w:val="TextoNormal"/>
      </w:pPr>
    </w:p>
    <w:p w14:paraId="25A084D1" w14:textId="387C58D6" w:rsidR="009D7677" w:rsidRDefault="009D7677" w:rsidP="009D7677">
      <w:pPr>
        <w:pStyle w:val="TextoNormal"/>
      </w:pPr>
      <w:r>
        <w:lastRenderedPageBreak/>
        <w:t>Si así se concluyera por el Tribunal Constitucional, “esa declaración determinaría directamente el sentido del fallo del presente recurso”, dado que la Orden Ministerial HFP 399/2017 recoge en los modelos del impuesto sobre sociedades las medidas tributarias incorporadas por el art. 3.1, apartados primero y segundo, del Real Decreto-ley 3/2016. Así pues, termina concluyendo que la inconstitucionalidad de la norma acarrea la de la orden que la desarrolla.</w:t>
      </w:r>
    </w:p>
    <w:p w14:paraId="733A84F2" w14:textId="77777777" w:rsidR="009D7677" w:rsidRDefault="009D7677" w:rsidP="009D7677">
      <w:pPr>
        <w:pStyle w:val="TextoNormal"/>
      </w:pPr>
    </w:p>
    <w:p w14:paraId="730D58E2" w14:textId="46406EC5" w:rsidR="009D7677" w:rsidRDefault="009D7677" w:rsidP="009D7677">
      <w:pPr>
        <w:pStyle w:val="TextoNormal"/>
      </w:pPr>
      <w:r w:rsidRPr="009D7677">
        <w:rPr>
          <w:rStyle w:val="NumeroAFNegritaCaracter"/>
        </w:rPr>
        <w:t>4</w:t>
      </w:r>
      <w:r>
        <w:t>. El Pleno del Tribunal Constitucional, a propuesta de la Sección Tercera, acordó admitir a trámite la cuestión, mediante providencia de 4 de julio de 2023. Reservó para sí el conocimiento del asunto [art. 10.1 c) LOTC], acordó los traslados pertinentes y la publicación en el “Boletín Oficial del Estado”, lo que tuvo lugar el 8 de julio siguiente.</w:t>
      </w:r>
    </w:p>
    <w:p w14:paraId="1238C7FF" w14:textId="77777777" w:rsidR="009D7677" w:rsidRDefault="009D7677" w:rsidP="009D7677">
      <w:pPr>
        <w:pStyle w:val="TextoNormal"/>
      </w:pPr>
    </w:p>
    <w:p w14:paraId="3DF0C987" w14:textId="3A44FFCE" w:rsidR="009D7677" w:rsidRDefault="009D7677" w:rsidP="009D7677">
      <w:pPr>
        <w:pStyle w:val="TextoNormal"/>
      </w:pPr>
      <w:r w:rsidRPr="009D7677">
        <w:rPr>
          <w:rStyle w:val="NumeroAFNegritaCaracter"/>
        </w:rPr>
        <w:t>5</w:t>
      </w:r>
      <w:r>
        <w:t>. Mediante ATC 355/2023, de 4 de julio, el Pleno aceptó la solicitud de abstención formulada por el magistrado don Juan Carlos Campo Moreno al amparo de lo previsto en los arts. 217 y 221 de la Ley Orgánica del Poder Judicial, por haber participado, en su condición de diputado, en la votación por la que se convalidó el Real Decreto-ley 3/2016.</w:t>
      </w:r>
    </w:p>
    <w:p w14:paraId="658ED2A2" w14:textId="77777777" w:rsidR="009D7677" w:rsidRDefault="009D7677" w:rsidP="009D7677">
      <w:pPr>
        <w:pStyle w:val="TextoNormal"/>
      </w:pPr>
    </w:p>
    <w:p w14:paraId="5B4543C9" w14:textId="0B464F0A" w:rsidR="009D7677" w:rsidRDefault="009D7677" w:rsidP="009D7677">
      <w:pPr>
        <w:pStyle w:val="TextoNormal"/>
      </w:pPr>
      <w:r w:rsidRPr="009D7677">
        <w:rPr>
          <w:rStyle w:val="NumeroAFNegritaCaracter"/>
        </w:rPr>
        <w:t>6</w:t>
      </w:r>
      <w:r>
        <w:t>. El Senado se personó mediante escrito registrado en este tribunal el día 12 de julio de 2023, ofreciendo su colaboración a los efectos del art. 88.1 LOTC. Lo mismo hizo el Congreso de los Diputados, por escrito registrado el día 27 de julio de 2023.</w:t>
      </w:r>
    </w:p>
    <w:p w14:paraId="3D1C1FD0" w14:textId="77777777" w:rsidR="009D7677" w:rsidRDefault="009D7677" w:rsidP="009D7677">
      <w:pPr>
        <w:pStyle w:val="TextoNormal"/>
      </w:pPr>
    </w:p>
    <w:p w14:paraId="69FB5307" w14:textId="77777777" w:rsidR="009D7677" w:rsidRDefault="009D7677" w:rsidP="009D7677">
      <w:pPr>
        <w:pStyle w:val="TextoNormal"/>
      </w:pPr>
      <w:r w:rsidRPr="009D7677">
        <w:rPr>
          <w:rStyle w:val="NumeroAFNegritaCaracter"/>
        </w:rPr>
        <w:t>7</w:t>
      </w:r>
      <w:r>
        <w:t>. El abogado del Estado se personó en las actuaciones mediante un escrito registrado el día 26 de julio de 2023 y formuló sus alegaciones solicitando la desestimación íntegra de la cuestión, con base en los argumentos siguientes:</w:t>
      </w:r>
    </w:p>
    <w:p w14:paraId="34287DC0" w14:textId="77777777" w:rsidR="009D7677" w:rsidRDefault="009D7677" w:rsidP="009D7677">
      <w:pPr>
        <w:pStyle w:val="TextoNormal"/>
      </w:pPr>
    </w:p>
    <w:p w14:paraId="7610F870" w14:textId="77777777" w:rsidR="009D7677" w:rsidRDefault="009D7677" w:rsidP="009D7677">
      <w:pPr>
        <w:pStyle w:val="TextoNormal"/>
      </w:pPr>
      <w:r>
        <w:t>a) Comienza afirmando que concurren los presupuestos formales y materiales para el empleo del decreto-ley como instrumento normativo. Tras exponer la doctrina constitucional aplicable, aduce que el Real Decreto-ley 3/2016 se dictó en una situación de extraordinaria y urgente necesidad. En concreto, como consecuencia de la exigencia manifestada por las autoridades comunitarias para que el Reino de España diera cumplimiento al objetivo de déficit público. Se refiere a la Decisión (UE) 2016/1222 del Consejo de 12 de julio de 2016, por la que se indicó a España que no ha tomado medidas eficaces para seguir la Recomendación de 21 de junio de 2013 del Consejo, conforme a la cual se fijaban objetivos anuales de déficit público para el periodo 2013-2016. Aclara que el siguiente 2 de agosto de 2016, el Consejo aprobó otra decisión por la que se formulaba “una advertencia a España para que adopte medidas dirigidas a una reducción del déficit que se considera necesaria para poner remedio a la situación de déficit excesivo” y se fijaba una senda de ajuste, cuyo incumplimiento podía dar lugar a diferentes y muy relevantes consecuencias, como multas, suspensión del pago de fondos comunitarios, etc.</w:t>
      </w:r>
    </w:p>
    <w:p w14:paraId="2260850F" w14:textId="77777777" w:rsidR="009D7677" w:rsidRDefault="009D7677" w:rsidP="009D7677">
      <w:pPr>
        <w:pStyle w:val="TextoNormal"/>
      </w:pPr>
    </w:p>
    <w:p w14:paraId="1AE429C6" w14:textId="77777777" w:rsidR="009D7677" w:rsidRDefault="009D7677" w:rsidP="009D7677">
      <w:pPr>
        <w:pStyle w:val="TextoNormal"/>
      </w:pPr>
      <w:r>
        <w:t>Concluye afirmando que la situación económica hacía imprescindible garantizar el cumplimiento de los objetivos de déficit marcados por el Consejo de la Unión Europea, tanto para el año 2016 como para 2017, y a ello se encaminaron las medidas tomadas en los Reales Decretos-leyes 2/2016, de 30 de septiembre, por el que se introducen medidas tributarias dirigidas a la reducción del déficit público (en adelante, Real Decreto-ley 2/2016) y 3/2016.</w:t>
      </w:r>
    </w:p>
    <w:p w14:paraId="6EC6E49E" w14:textId="77777777" w:rsidR="009D7677" w:rsidRDefault="009D7677" w:rsidP="009D7677">
      <w:pPr>
        <w:pStyle w:val="TextoNormal"/>
      </w:pPr>
    </w:p>
    <w:p w14:paraId="0893E383" w14:textId="77777777" w:rsidR="009D7677" w:rsidRDefault="009D7677" w:rsidP="009D7677">
      <w:pPr>
        <w:pStyle w:val="TextoNormal"/>
      </w:pPr>
      <w:r>
        <w:lastRenderedPageBreak/>
        <w:t xml:space="preserve">b) Con cita de las SSTC 182/1997, de 28 de octubre, FJ 6, y 73/2017, de 8 de junio, FJ 2, recuerda que es posible mediante la figura del real decreto-ley establecer, modificar o derogar prestaciones patrimoniales de carácter público. Sin embargo, reconoce que no puede incidirse en la determinación de la carga tributaria de manera que afecte al deber general de los ciudadanos de contribuir a los gastos públicos mediante un sistema tributario justo. A su juicio, queda claro que el Real Decreto-ley 3/2016 no crea </w:t>
      </w:r>
      <w:r w:rsidRPr="009D7677">
        <w:rPr>
          <w:i/>
        </w:rPr>
        <w:t>ex novo</w:t>
      </w:r>
      <w:r>
        <w:t xml:space="preserve"> un tributo, sino que solo introduce modificaciones en relación con uno preexistente.</w:t>
      </w:r>
    </w:p>
    <w:p w14:paraId="098820B5" w14:textId="77777777" w:rsidR="009D7677" w:rsidRDefault="009D7677" w:rsidP="009D7677">
      <w:pPr>
        <w:pStyle w:val="TextoNormal"/>
      </w:pPr>
    </w:p>
    <w:p w14:paraId="30D0FDB9" w14:textId="77777777" w:rsidR="009D7677" w:rsidRDefault="009D7677" w:rsidP="009D7677">
      <w:pPr>
        <w:pStyle w:val="TextoNormal"/>
      </w:pPr>
      <w:r>
        <w:t>Además, con las modificaciones introducidas tampoco se está afectando al deber de contribuir, como se puede demostrar con la denominada “teoría de los tres pasos” acuñada en la citada STC 73/2017, según la cual se debe examinar: (i) el tributo concreto en que ha incidido el decreto-ley, constatando su naturaleza, estructura y la función que cumple dentro del conjunto del sistema tributario, así como el grado o medida en que interviene el principio de capacidad económica; (ii) los elementos del impuesto que han resultado alterados por este excepcional modo de producción normativa; y (iii) cuál es la naturaleza y alcance de la concreta regulación aprobada.</w:t>
      </w:r>
    </w:p>
    <w:p w14:paraId="5D89AC0B" w14:textId="77777777" w:rsidR="009D7677" w:rsidRDefault="009D7677" w:rsidP="009D7677">
      <w:pPr>
        <w:pStyle w:val="TextoNormal"/>
      </w:pPr>
    </w:p>
    <w:p w14:paraId="6E2EF3A4" w14:textId="77777777" w:rsidR="009D7677" w:rsidRDefault="009D7677" w:rsidP="009D7677">
      <w:pPr>
        <w:pStyle w:val="TextoNormal"/>
      </w:pPr>
      <w:r>
        <w:t>La disposición adicional decimosexta LIS, en la redacción dada por el Real Decreto-ley 3/2016 (art. 3.1, apartado segundo), modifica la manera de efectuar la reversión de los deterioros, pero lo hace sobre una obligación que ya existía. Destaca que la pérdida producida o el beneficio obtenido en la adquisición de valores representativos de la participación en el capital o en los fondos propios de entidades, tanto desde un punto de vista económico como contable o fiscal, únicamente puede llegar a conocerse cuando finaliza la inversión, bien porque se transmitan esos valores representativos, o bien porque se produzca la extinción de la entidad participada. Hasta ese momento, lo que se produce es, en aplicación del principio de prudencia, un examen periódico del valor de las participaciones que puede determinar la posibilidad de que se produzca una pérdida en el futuro que, no obstante, puede revertir en ejercicios posteriores si cambian las circunstancias consideradas.</w:t>
      </w:r>
    </w:p>
    <w:p w14:paraId="034BEED3" w14:textId="77777777" w:rsidR="009D7677" w:rsidRDefault="009D7677" w:rsidP="009D7677">
      <w:pPr>
        <w:pStyle w:val="TextoNormal"/>
      </w:pPr>
    </w:p>
    <w:p w14:paraId="778A2D36" w14:textId="77777777" w:rsidR="009D7677" w:rsidRDefault="009D7677" w:rsidP="009D7677">
      <w:pPr>
        <w:pStyle w:val="TextoNormal"/>
      </w:pPr>
      <w:r>
        <w:t>En el caso analizado, el elemento esencial a tener en cuenta —y que lo diferencia de otros supuestos concretos que fueron objeto de sentencias del Tribunal Constitucional— es que, con carácter previo a la reversión obligatoria por quintas partes, se ha producido una deducción fiscal consecuencia del deterioro de las participaciones. Es decir, ya se computó una renta negativa.</w:t>
      </w:r>
    </w:p>
    <w:p w14:paraId="06298C47" w14:textId="77777777" w:rsidR="009D7677" w:rsidRDefault="009D7677" w:rsidP="009D7677">
      <w:pPr>
        <w:pStyle w:val="TextoNormal"/>
      </w:pPr>
    </w:p>
    <w:p w14:paraId="122B5C27" w14:textId="77777777" w:rsidR="009D7677" w:rsidRDefault="009D7677" w:rsidP="009D7677">
      <w:pPr>
        <w:pStyle w:val="TextoNormal"/>
      </w:pPr>
      <w:r>
        <w:t>De hecho, la deducibilidad fiscal de esos deterioros se pudo producir durante varios ejercicios (desde 2008 hasta 2012) apartándose del régimen contable en la medida en que su imputación en la base imponible no estaba condicionada al registro contable de gasto alguno (es decir, no se exigía que existiera una dotación contable por deterioro de esas participaciones en entidades).</w:t>
      </w:r>
    </w:p>
    <w:p w14:paraId="1D0B0026" w14:textId="77777777" w:rsidR="009D7677" w:rsidRDefault="009D7677" w:rsidP="009D7677">
      <w:pPr>
        <w:pStyle w:val="TextoNormal"/>
      </w:pPr>
    </w:p>
    <w:p w14:paraId="4C2F7615" w14:textId="77777777" w:rsidR="009D7677" w:rsidRDefault="009D7677" w:rsidP="009D7677">
      <w:pPr>
        <w:pStyle w:val="TextoNormal"/>
      </w:pPr>
      <w:r>
        <w:t>El abogado del Estado pone de manifiesto la peculiar naturaleza del tratamiento fiscal dado a los deterioros de valores representativos de la participación en otras entidades que ha pasado en la historia reciente del impuesto por diferentes soluciones, que son alternativas legítimas en la regulación de esta materia que —subraya— tienen un carácter esencialmente temporal, a la espera de que la finalización de la inversión determine la existencia de pérdida o beneficio.</w:t>
      </w:r>
    </w:p>
    <w:p w14:paraId="33022F19" w14:textId="77777777" w:rsidR="009D7677" w:rsidRDefault="009D7677" w:rsidP="009D7677">
      <w:pPr>
        <w:pStyle w:val="TextoNormal"/>
      </w:pPr>
    </w:p>
    <w:p w14:paraId="3123DED2" w14:textId="77777777" w:rsidR="009D7677" w:rsidRDefault="009D7677" w:rsidP="009D7677">
      <w:pPr>
        <w:pStyle w:val="TextoNormal"/>
      </w:pPr>
      <w:r>
        <w:t>La reversión obligatoria por quintas partes que se analiza no deja de ser otra opción legítima de ese tratamiento temporal de las dotaciones por deterioro de participaciones. En todo caso, no debe olvidarse que la reversión que se integre en la base imponible incrementa el valor fiscal de las participaciones y ello, lógicamente, tendrá su reflejo en el momento en que se produzca la transmisión de las mismas o la extinción de la entidad participada.</w:t>
      </w:r>
    </w:p>
    <w:p w14:paraId="3F0B0B4F" w14:textId="77777777" w:rsidR="009D7677" w:rsidRDefault="009D7677" w:rsidP="009D7677">
      <w:pPr>
        <w:pStyle w:val="TextoNormal"/>
      </w:pPr>
    </w:p>
    <w:p w14:paraId="28655CFE" w14:textId="77777777" w:rsidR="009D7677" w:rsidRDefault="009D7677" w:rsidP="009D7677">
      <w:pPr>
        <w:pStyle w:val="TextoNormal"/>
      </w:pPr>
      <w:r>
        <w:t>Por ello, difícilmente puede entenderse producida la afección esencial en el deber constitucional de contribuir que proclama el auto de planteamiento, dada la naturaleza, finalidad y entidad de la reforma del régimen de reversión.</w:t>
      </w:r>
    </w:p>
    <w:p w14:paraId="39B10085" w14:textId="77777777" w:rsidR="009D7677" w:rsidRDefault="009D7677" w:rsidP="009D7677">
      <w:pPr>
        <w:pStyle w:val="TextoNormal"/>
      </w:pPr>
    </w:p>
    <w:p w14:paraId="59AED771" w14:textId="77777777" w:rsidR="009D7677" w:rsidRDefault="009D7677" w:rsidP="009D7677">
      <w:pPr>
        <w:pStyle w:val="TextoNormal"/>
      </w:pPr>
      <w:r>
        <w:t>c) Una conclusión similar debe alcanzarse en relación con la modificación referida a los límites a la compensación de bases imponibles negativas. Al igual que sucede con la reversión obligatoria, la limitación de la compensación de bases imponibles negativas no es una novedad en la configuración del tributo, sino un cambio de mecánica en relación con obligaciones preexistentes.</w:t>
      </w:r>
    </w:p>
    <w:p w14:paraId="48B8333E" w14:textId="77777777" w:rsidR="009D7677" w:rsidRDefault="009D7677" w:rsidP="009D7677">
      <w:pPr>
        <w:pStyle w:val="TextoNormal"/>
      </w:pPr>
    </w:p>
    <w:p w14:paraId="5F73C43F" w14:textId="5D776F75" w:rsidR="009D7677" w:rsidRDefault="009D7677" w:rsidP="009D7677">
      <w:pPr>
        <w:pStyle w:val="TextoNormal"/>
      </w:pPr>
      <w:r>
        <w:t>En consecuencia, difícilmente pueden cumplirse los tres pasos que el Tribunal Constitucional ha determinado para considerar afectado el deber constitucional de contribuir, cuando es claro que la naturaleza y alcance de esta nueva regulación carece de una trascendencia esencial en la configuración del tributo y en la posición cualitativa y cuantitativa de los contribuyentes.</w:t>
      </w:r>
    </w:p>
    <w:p w14:paraId="5AFDE4E5" w14:textId="77777777" w:rsidR="009D7677" w:rsidRDefault="009D7677" w:rsidP="009D7677">
      <w:pPr>
        <w:pStyle w:val="TextoNormal"/>
      </w:pPr>
    </w:p>
    <w:p w14:paraId="7BDC94F4" w14:textId="5A3F9407" w:rsidR="009D7677" w:rsidRDefault="009D7677" w:rsidP="009D7677">
      <w:pPr>
        <w:pStyle w:val="TextoNormal"/>
      </w:pPr>
      <w:r w:rsidRPr="009D7677">
        <w:rPr>
          <w:rStyle w:val="NumeroAFNegritaCaracter"/>
        </w:rPr>
        <w:t>8</w:t>
      </w:r>
      <w:r>
        <w:t>. La entidad Globalia, S.A., mediante un escrito registrado el día 26 de julio de 2023, solicitó que se la tuviera por personada y le fuera concedido un plazo de quince días para formular alegaciones. Este tribunal, mediante diligencia de ordenación del secretario de justicia del Pleno de 4 de septiembre de 2023 acordó tenerla por personada y, conforme establece el art. 37.2 LOTC, concederle un plazo de quince días para formular las alegaciones que estimara convenientes.</w:t>
      </w:r>
    </w:p>
    <w:p w14:paraId="3AE7FBD4" w14:textId="77777777" w:rsidR="009D7677" w:rsidRDefault="009D7677" w:rsidP="009D7677">
      <w:pPr>
        <w:pStyle w:val="TextoNormal"/>
      </w:pPr>
    </w:p>
    <w:p w14:paraId="35544011" w14:textId="77777777" w:rsidR="009D7677" w:rsidRDefault="009D7677" w:rsidP="009D7677">
      <w:pPr>
        <w:pStyle w:val="TextoNormal"/>
      </w:pPr>
      <w:r w:rsidRPr="009D7677">
        <w:rPr>
          <w:rStyle w:val="NumeroAFNegritaCaracter"/>
        </w:rPr>
        <w:t>9</w:t>
      </w:r>
      <w:r>
        <w:t>. El fiscal general del Estado presentó su informe en el registro general de este tribunal el día 14 de septiembre de 2023. En él interesa la estimación de la cuestión de inconstitucionalidad, por las razones que se exponen a continuación:</w:t>
      </w:r>
    </w:p>
    <w:p w14:paraId="0B01BB33" w14:textId="77777777" w:rsidR="009D7677" w:rsidRDefault="009D7677" w:rsidP="009D7677">
      <w:pPr>
        <w:pStyle w:val="TextoNormal"/>
      </w:pPr>
    </w:p>
    <w:p w14:paraId="7DAF089B" w14:textId="77777777" w:rsidR="009D7677" w:rsidRDefault="009D7677" w:rsidP="009D7677">
      <w:pPr>
        <w:pStyle w:val="TextoNormal"/>
      </w:pPr>
      <w:r>
        <w:t>a) Tras resumir los antecedentes y el contenido del auto de planteamiento, argumenta que ha de partirse de la doctrina sentada en la STC 78/2020, que resuelve una cuestión de inconstitucionalidad que está muy relacionada con la presente, puesto que se refería a los pagos fraccionados en el impuesto sobre sociedades. Considera que, para resolver este proceso, debe seguirse el procedimiento de análisis de dicha sentencia en la que se resume la doctrina constitucional sobre el uso del decreto-ley en materia tributaria.</w:t>
      </w:r>
    </w:p>
    <w:p w14:paraId="387CBEDA" w14:textId="77777777" w:rsidR="009D7677" w:rsidRDefault="009D7677" w:rsidP="009D7677">
      <w:pPr>
        <w:pStyle w:val="TextoNormal"/>
      </w:pPr>
    </w:p>
    <w:p w14:paraId="78DE392B" w14:textId="77777777" w:rsidR="009D7677" w:rsidRDefault="009D7677" w:rsidP="009D7677">
      <w:pPr>
        <w:pStyle w:val="TextoNormal"/>
      </w:pPr>
      <w:r>
        <w:t xml:space="preserve">b) El impuesto sobre sociedades, como señala el preámbulo de su ley reguladora, “constituye un pilar básico de la imposición directa en España junto con el impuesto sobre la renta de las personas físicas, encontrando ambas figuras su razón de ser en el art. 31 CE, que exige la contribución al sostenimiento de los gastos públicos, de acuerdo con la capacidad económica de cada contribuyente”. Asimismo, cita las SSTC 73/2017, FJ 3 a), y </w:t>
      </w:r>
      <w:r>
        <w:lastRenderedPageBreak/>
        <w:t>78/2020, FJ 4 a), que han corroborado que este impuesto se puede considerar como una de las piezas básicas del sistema tributario.</w:t>
      </w:r>
    </w:p>
    <w:p w14:paraId="523EB6A4" w14:textId="77777777" w:rsidR="009D7677" w:rsidRDefault="009D7677" w:rsidP="009D7677">
      <w:pPr>
        <w:pStyle w:val="TextoNormal"/>
      </w:pPr>
    </w:p>
    <w:p w14:paraId="52C8CB1B" w14:textId="77777777" w:rsidR="009D7677" w:rsidRDefault="009D7677" w:rsidP="009D7677">
      <w:pPr>
        <w:pStyle w:val="TextoNormal"/>
      </w:pPr>
      <w:r>
        <w:t>c) A continuación, examina los elementos del tributo que han sido alterados por las normas cuestionadas. En primer lugar, el art. 3.1, apartado primero, del Real Decreto-ley 3/2016 añade una disposición adicional decimoquinta a la LIS mediante la cual se afecta directamente a la determinación de la base imponible, y, por lo tanto, a un elemento esencial del impuesto, que resulta notoriamente aumentado por las normas cuestionadas, ya que se acota la posibilidad de compensar las bases imponibles negativas de ejercicios anteriores. En la misma disposición adicional se limita igualmente la aplicación de las deducciones para evitar la doble imposición, afectando a la cuota líquida del impuesto.</w:t>
      </w:r>
    </w:p>
    <w:p w14:paraId="2765481B" w14:textId="77777777" w:rsidR="009D7677" w:rsidRDefault="009D7677" w:rsidP="009D7677">
      <w:pPr>
        <w:pStyle w:val="TextoNormal"/>
      </w:pPr>
    </w:p>
    <w:p w14:paraId="19A6445A" w14:textId="77777777" w:rsidR="009D7677" w:rsidRDefault="009D7677" w:rsidP="009D7677">
      <w:pPr>
        <w:pStyle w:val="TextoNormal"/>
      </w:pPr>
      <w:r>
        <w:t>Por otro lado, el art. 3.1, apartado segundo, del Real Decreto-ley modifica la disposición transitoria decimosexta LIS para incrementar la base imponible mediante una reversión automática de deterioros deducidos, lo que incide en la base imponible.</w:t>
      </w:r>
    </w:p>
    <w:p w14:paraId="79C63780" w14:textId="77777777" w:rsidR="009D7677" w:rsidRDefault="009D7677" w:rsidP="009D7677">
      <w:pPr>
        <w:pStyle w:val="TextoNormal"/>
      </w:pPr>
    </w:p>
    <w:p w14:paraId="74369B23" w14:textId="77777777" w:rsidR="009D7677" w:rsidRDefault="009D7677" w:rsidP="009D7677">
      <w:pPr>
        <w:pStyle w:val="TextoNormal"/>
      </w:pPr>
      <w:r>
        <w:t>d) Finalmente, debe valorarse la naturaleza y el alcance de la regulación introducida. El fiscal general del Estado apunta que, según la parte recurrente, por la primera norma (límite a la compensación de bases imponibles negativas), tuvo que aplicar un ajuste fiscal por importe de 1 000 000 €; por la segunda (límite a las deducciones por doble imposición), otro por importe de 1406,33 €; y por la tercera (reversión automática de deterioros), otra de 2 309 969,59 €.</w:t>
      </w:r>
    </w:p>
    <w:p w14:paraId="57F4BD54" w14:textId="77777777" w:rsidR="009D7677" w:rsidRDefault="009D7677" w:rsidP="009D7677">
      <w:pPr>
        <w:pStyle w:val="TextoNormal"/>
      </w:pPr>
    </w:p>
    <w:p w14:paraId="57771695" w14:textId="77777777" w:rsidR="009D7677" w:rsidRDefault="009D7677" w:rsidP="009D7677">
      <w:pPr>
        <w:pStyle w:val="TextoNormal"/>
      </w:pPr>
      <w:r>
        <w:t>Al margen de dichas cifras, el fiscal considera que es suficiente constatar la diferencia existente con las normas anteriormente vigentes para llegar a la conclusión de que se ha producido una alteración sustancial del tributo, que incide en la capacidad contributiva del sujeto pasivo del impuesto, y, por tanto, en el art. 31.1 CE.</w:t>
      </w:r>
    </w:p>
    <w:p w14:paraId="313D5C94" w14:textId="77777777" w:rsidR="009D7677" w:rsidRDefault="009D7677" w:rsidP="009D7677">
      <w:pPr>
        <w:pStyle w:val="TextoNormal"/>
      </w:pPr>
    </w:p>
    <w:p w14:paraId="6F273500" w14:textId="77777777" w:rsidR="009D7677" w:rsidRDefault="009D7677" w:rsidP="009D7677">
      <w:pPr>
        <w:pStyle w:val="TextoNormal"/>
      </w:pPr>
      <w:r>
        <w:t>e) Por lo expuesto, concluye solicitando que las normas cuestionadas se declaren inconstitucionales y nulas por haber afectado, mediante el instrumento normativo excepcional previsto en el art. 86.1 CE, a la esencia del deber de contribuir al sostenimiento de los gastos públicos que enuncia el art. 31.1 CE.</w:t>
      </w:r>
    </w:p>
    <w:p w14:paraId="1AE0514E" w14:textId="77777777" w:rsidR="009D7677" w:rsidRDefault="009D7677" w:rsidP="009D7677">
      <w:pPr>
        <w:pStyle w:val="TextoNormal"/>
      </w:pPr>
    </w:p>
    <w:p w14:paraId="6494AD5B" w14:textId="384D1A39" w:rsidR="009D7677" w:rsidRDefault="009D7677" w:rsidP="009D7677">
      <w:pPr>
        <w:pStyle w:val="TextoNormal"/>
      </w:pPr>
      <w:r>
        <w:t>No obstante, considera que la declaración de inconstitucionalidad no debería permitir que se puedan revisar con fundamento en ella, ni las situaciones decididas mediante sentencia con fuerza de cosa juzgada (art. 40.1 LOTC), ni tampoco, por exigencia del principio de seguridad jurídica (art. 9.3 CE), las consolidadas en vía administrativa por no haber sido impugnadas en tiempo y forma.</w:t>
      </w:r>
    </w:p>
    <w:p w14:paraId="269CDD79" w14:textId="77777777" w:rsidR="009D7677" w:rsidRDefault="009D7677" w:rsidP="009D7677">
      <w:pPr>
        <w:pStyle w:val="TextoNormal"/>
      </w:pPr>
    </w:p>
    <w:p w14:paraId="5F659830" w14:textId="77777777" w:rsidR="009D7677" w:rsidRDefault="009D7677" w:rsidP="009D7677">
      <w:pPr>
        <w:pStyle w:val="TextoNormal"/>
      </w:pPr>
      <w:r w:rsidRPr="009D7677">
        <w:rPr>
          <w:rStyle w:val="NumeroAFNegritaCaracter"/>
        </w:rPr>
        <w:t>10</w:t>
      </w:r>
      <w:r>
        <w:t>. El escrito de alegaciones de la entidad Globalia, S.A., tuvo entrada en el registro del Tribunal el día 22 de septiembre de 2023. Su contenido se resume a continuación:</w:t>
      </w:r>
    </w:p>
    <w:p w14:paraId="3AB8CF92" w14:textId="77777777" w:rsidR="009D7677" w:rsidRDefault="009D7677" w:rsidP="009D7677">
      <w:pPr>
        <w:pStyle w:val="TextoNormal"/>
      </w:pPr>
    </w:p>
    <w:p w14:paraId="4A3C6513" w14:textId="77777777" w:rsidR="009D7677" w:rsidRDefault="009D7677" w:rsidP="009D7677">
      <w:pPr>
        <w:pStyle w:val="TextoNormal"/>
      </w:pPr>
      <w:r>
        <w:t xml:space="preserve">a) Comienza analizando las condiciones para el uso del decreto-ley en materia tributaria, a partir de lo señalado en la STC 78/2020, que enjuició el Real Decreto-ley 2/2016, de 30 de septiembre. En primer lugar, debe concurrir el presupuesto habilitante de la “extraordinaria y urgente necesidad”. Junto al presupuesto habilitante, se debe examinar si el Real Decreto-ley 3/2016 excede el límite material previsto para los decretos-leyes en materia tributaria, por afectar al deber de contribuir. Tras enumerar las medidas introducidas </w:t>
      </w:r>
      <w:r>
        <w:lastRenderedPageBreak/>
        <w:t>por dicha norma, concluye que prácticamente se produce una reforma integral de la base imponible del impuesto sobre sociedades, elemento estructural del tributo, esencial en la cuantificación de la cuota tributaria. Afirma que la norma siembra de excepciones fiscales, por vía de decreto-ley, la ecuación de la base imponible y el resultado contable establecida por ley formal (art. 10 LIS).</w:t>
      </w:r>
    </w:p>
    <w:p w14:paraId="013F2AF0" w14:textId="77777777" w:rsidR="009D7677" w:rsidRDefault="009D7677" w:rsidP="009D7677">
      <w:pPr>
        <w:pStyle w:val="TextoNormal"/>
      </w:pPr>
    </w:p>
    <w:p w14:paraId="404A7F85" w14:textId="77777777" w:rsidR="009D7677" w:rsidRDefault="009D7677" w:rsidP="009D7677">
      <w:pPr>
        <w:pStyle w:val="TextoNormal"/>
      </w:pPr>
      <w:r>
        <w:t>Además, penetra también en la limitación de la deducción por doble imposición, operando sobre otro elemento esencial de cuantificación como es la cuota líquida. Con todo, considera que la modificación más relevante es la reversión automática de los ajustes practicados en el pasado en concepto de deterioro fiscal de cartera de las entidades participadas, por un periodo de cinco años, con independencia de que se haya producido una recuperación patrimonial en la entidad participada que provocó tal deterioro.</w:t>
      </w:r>
    </w:p>
    <w:p w14:paraId="10451FB0" w14:textId="77777777" w:rsidR="009D7677" w:rsidRDefault="009D7677" w:rsidP="009D7677">
      <w:pPr>
        <w:pStyle w:val="TextoNormal"/>
      </w:pPr>
    </w:p>
    <w:p w14:paraId="467691D6" w14:textId="77777777" w:rsidR="009D7677" w:rsidRDefault="009D7677" w:rsidP="009D7677">
      <w:pPr>
        <w:pStyle w:val="TextoNormal"/>
      </w:pPr>
      <w:r>
        <w:t xml:space="preserve">Con cita de las SSTC 73/2017 y 78/2020, sostiene que el impuesto sobre sociedades es una de las piezas esenciales de nuestro engranaje tributario, con una función insustituible en el reparto de la carga tributaria. En puridad lógica, y por identidad de razón con la segunda de las sentencias citadas, que declaró la inconstitucionalidad del Real Decreto-ley 2/2016, debería declararse la inconstitucionalidad del Real Decreto-ley 3/2016. Es decir, si era inconstitucional el Real Decreto-ley 2/2016, que regula los pagos fraccionados, </w:t>
      </w:r>
      <w:r w:rsidRPr="009D7677">
        <w:rPr>
          <w:i/>
        </w:rPr>
        <w:t>a fortiori</w:t>
      </w:r>
      <w:r>
        <w:t xml:space="preserve"> lo es el Real Decreto-ley 3/2016 que regula la obligación tributaria principal de este impuesto esencial del sistema tributario, modificando íntegramente un elemento esencial como es su base imponible.</w:t>
      </w:r>
    </w:p>
    <w:p w14:paraId="3155D3F9" w14:textId="77777777" w:rsidR="009D7677" w:rsidRDefault="009D7677" w:rsidP="009D7677">
      <w:pPr>
        <w:pStyle w:val="TextoNormal"/>
      </w:pPr>
    </w:p>
    <w:p w14:paraId="6BE9C362" w14:textId="77777777" w:rsidR="009D7677" w:rsidRDefault="009D7677" w:rsidP="009D7677">
      <w:pPr>
        <w:pStyle w:val="TextoNormal"/>
      </w:pPr>
      <w:r>
        <w:t>El segundo elemento del test son los aspectos del impuesto modificados: los límites para la compensación de bases imponibles negativas y para las deducciones por doble imposición y la reversión automática del deterioro de participaciones deducido en el pasado, incluso aunque estas no hayan recuperado su valor.</w:t>
      </w:r>
    </w:p>
    <w:p w14:paraId="5BACEA7B" w14:textId="77777777" w:rsidR="009D7677" w:rsidRDefault="009D7677" w:rsidP="009D7677">
      <w:pPr>
        <w:pStyle w:val="TextoNormal"/>
      </w:pPr>
    </w:p>
    <w:p w14:paraId="1EB2D221" w14:textId="77777777" w:rsidR="009D7677" w:rsidRDefault="009D7677" w:rsidP="009D7677">
      <w:pPr>
        <w:pStyle w:val="TextoNormal"/>
      </w:pPr>
      <w:r>
        <w:t>En tercer y último lugar, hay que analizar la naturaleza y alcance de la regulación normativa. Al respecto, considera que puede calificarse como una reforma integral de la base imponible del impuesto, afectando a múltiples y variados aspectos en la determinación de esta medición de la capacidad económica gravada, elemento esencial en la cuantificación del tributo, que se amplía drásticamente.</w:t>
      </w:r>
    </w:p>
    <w:p w14:paraId="5D56AFD0" w14:textId="77777777" w:rsidR="009D7677" w:rsidRDefault="009D7677" w:rsidP="009D7677">
      <w:pPr>
        <w:pStyle w:val="TextoNormal"/>
      </w:pPr>
    </w:p>
    <w:p w14:paraId="5F9B50BD" w14:textId="77777777" w:rsidR="009D7677" w:rsidRDefault="009D7677" w:rsidP="009D7677">
      <w:pPr>
        <w:pStyle w:val="TextoNormal"/>
      </w:pPr>
      <w:r>
        <w:t>En suma, considera que el Real Decreto-ley 3/2016 franquea el límite del art. 86.1 CE.</w:t>
      </w:r>
    </w:p>
    <w:p w14:paraId="03566CE1" w14:textId="77777777" w:rsidR="009D7677" w:rsidRDefault="009D7677" w:rsidP="009D7677">
      <w:pPr>
        <w:pStyle w:val="TextoNormal"/>
      </w:pPr>
    </w:p>
    <w:p w14:paraId="05FE36DE" w14:textId="77777777" w:rsidR="009D7677" w:rsidRDefault="009D7677" w:rsidP="009D7677">
      <w:pPr>
        <w:pStyle w:val="TextoNormal"/>
      </w:pPr>
      <w:r>
        <w:t>b) En segundo término, aunque se declare la inconstitucionalidad de los preceptos cuestionados del Real Decreto-ley 3/2016 por vulnerar el límite material del art. 86.1 CE, la entidad Globalia, S.A., solicita que se analicen los motivos de fondo (art. 39.2 LOTC). De lo contrario, podría frustrarse el derecho a la tutela judicial efectiva, al apreciarse solo una inconstitucionalidad por motivos formales, sin entrar a examinar el fondo. Esto podría dar lugar a que el contenido normativo del decreto-ley se incorporara a una norma con rango de ley, obligando a las entidades afectadas a promover nuevos recursos judiciales.</w:t>
      </w:r>
    </w:p>
    <w:p w14:paraId="7A0B1B4B" w14:textId="77777777" w:rsidR="009D7677" w:rsidRDefault="009D7677" w:rsidP="009D7677">
      <w:pPr>
        <w:pStyle w:val="TextoNormal"/>
      </w:pPr>
    </w:p>
    <w:p w14:paraId="53B39EB1" w14:textId="77777777" w:rsidR="009D7677" w:rsidRDefault="009D7677" w:rsidP="009D7677">
      <w:pPr>
        <w:pStyle w:val="TextoNormal"/>
      </w:pPr>
      <w:r>
        <w:t>Por tanto, solicita que el Tribunal se pronuncie sobre la incompatibilidad de las concretas medidas fiscales adoptadas con los principios constitucionales de seguridad jurídica, igualdad, capacidad económica y sujeción a los convenios internacionales (arts. 9.3, 14, 31.1 y 96.1 CE).</w:t>
      </w:r>
    </w:p>
    <w:p w14:paraId="095B0194" w14:textId="77777777" w:rsidR="009D7677" w:rsidRDefault="009D7677" w:rsidP="009D7677">
      <w:pPr>
        <w:pStyle w:val="TextoNormal"/>
      </w:pPr>
    </w:p>
    <w:p w14:paraId="0773EAE3" w14:textId="77777777" w:rsidR="009D7677" w:rsidRDefault="009D7677" w:rsidP="009D7677">
      <w:pPr>
        <w:pStyle w:val="TextoNormal"/>
      </w:pPr>
      <w:r>
        <w:t>En este sentido, argumenta que el art. 3.1, apartado segundo, del Real Decreto-ley 3/2016 vulnera el principio de capacidad económica (art. 31.1 CE) y de seguridad jurídica (art. 9.3 CE), especialmente en cuanto a la regla de reversión de los deterioros fiscales de cartera porque somete a gravamen recuperaciones patrimoniales que no se han producido, es decir, que no son una manifestación de riqueza.</w:t>
      </w:r>
    </w:p>
    <w:p w14:paraId="70CA052F" w14:textId="77777777" w:rsidR="009D7677" w:rsidRDefault="009D7677" w:rsidP="009D7677">
      <w:pPr>
        <w:pStyle w:val="TextoNormal"/>
      </w:pPr>
    </w:p>
    <w:p w14:paraId="5616388E" w14:textId="77777777" w:rsidR="009D7677" w:rsidRDefault="009D7677" w:rsidP="009D7677">
      <w:pPr>
        <w:pStyle w:val="TextoNormal"/>
      </w:pPr>
      <w:r>
        <w:t xml:space="preserve">Adicionalmente, la regla de reversión automática vulnera el principio de seguridad jurídica del art. 9.3 CE puesto que introduce un cambio normativo retroactivo. Con cita de la STC 173/1996, de 31 de octubre, subraya que la norma cuestionada no es una norma transitoria, sino la modificación retroactiva </w:t>
      </w:r>
      <w:r w:rsidRPr="009D7677">
        <w:rPr>
          <w:i/>
        </w:rPr>
        <w:t>in peius</w:t>
      </w:r>
      <w:r>
        <w:t xml:space="preserve"> de una norma de derecho transitorio que es aplicable a los cinco años consecutivos para los que se prevé una reversión lineal por quintas partes de un beneficio fiscal consolidado.</w:t>
      </w:r>
    </w:p>
    <w:p w14:paraId="4DB4A1F6" w14:textId="77777777" w:rsidR="009D7677" w:rsidRDefault="009D7677" w:rsidP="009D7677">
      <w:pPr>
        <w:pStyle w:val="TextoNormal"/>
      </w:pPr>
    </w:p>
    <w:p w14:paraId="0A7B6D19" w14:textId="77777777" w:rsidR="009D7677" w:rsidRDefault="009D7677" w:rsidP="009D7677">
      <w:pPr>
        <w:pStyle w:val="TextoNormal"/>
      </w:pPr>
      <w:r>
        <w:t>Lo razonado sobre el art. 3.1, apartado segundo, es también aplicable al apartado primero, que supone una ralentización del ritmo normal de compensación de bases imponibles negativas, derogando el régimen normal de compensación. Considera que es una medida puramente recaudatoria, que quiebra el principio de igualdad ante la ley (art. 14 CE), al discriminar el derecho a compensar en función de la cifra de negocios. Otro tanto cabría decir del nuevo límite al importe de las deducciones para evitar la doble imposición que establece dicho apartado primero, según el cual la suma de aquellas no podrá superar el 50 por 100 de la cuota íntegra del contribuyente. En este caso, además, podrían estarse vulnerando los convenios de doble imposición suscritos por España, en contra de lo dispuesto en el art. 96 CE.</w:t>
      </w:r>
    </w:p>
    <w:p w14:paraId="0EBC9AE0" w14:textId="77777777" w:rsidR="009D7677" w:rsidRDefault="009D7677" w:rsidP="009D7677">
      <w:pPr>
        <w:pStyle w:val="TextoNormal"/>
      </w:pPr>
    </w:p>
    <w:p w14:paraId="0D0D7C52" w14:textId="4F1F208C" w:rsidR="009D7677" w:rsidRDefault="009D7677" w:rsidP="009D7677">
      <w:pPr>
        <w:pStyle w:val="TextoNormal"/>
      </w:pPr>
      <w:r>
        <w:t>c) Finalmente, la entidad solicita que el juicio de constitucionalidad se amplíe a aquellos preceptos afectados, por conexión o consecuencia, por la eventual declaración de inconstitucionalidad de los ajustes fiscales introducidos por el Real Decreto-ley 3/2016, con base en el art. 39.1 LOTC. En concreto, solicita que se declare inconstitucional y nulo el art. 3.7 del Real Decreto-ley 3/2016, referido a la no integración en la base imponible de las minusvalías que se pongan de manifiesto con la transmisión de participaciones regulada en el art 21.6 LIS pues, a su juicio, presenta una íntima conexión formal y material con los preceptos legales cuestionados, ya que todos se refieren al tratamiento fiscal de las pérdidas en el impuesto sobre sociedades.</w:t>
      </w:r>
    </w:p>
    <w:p w14:paraId="78CE281B" w14:textId="77777777" w:rsidR="009D7677" w:rsidRDefault="009D7677" w:rsidP="009D7677">
      <w:pPr>
        <w:pStyle w:val="TextoNormal"/>
      </w:pPr>
    </w:p>
    <w:p w14:paraId="5CF90E02" w14:textId="599B4E79" w:rsidR="009D7677" w:rsidRDefault="009D7677" w:rsidP="009D7677">
      <w:pPr>
        <w:pStyle w:val="TextoNormal"/>
      </w:pPr>
      <w:r w:rsidRPr="009D7677">
        <w:rPr>
          <w:rStyle w:val="NumeroAFNegritaCaracter"/>
        </w:rPr>
        <w:t>11</w:t>
      </w:r>
      <w:r>
        <w:t>. Mediante providencia de 16 de enero de 2024, se señaló para deliberación y votación de la presente sentencia el día 18 del mismo mes y año.</w:t>
      </w:r>
    </w:p>
    <w:p w14:paraId="455A0397" w14:textId="77777777" w:rsidR="009D7677" w:rsidRDefault="009D7677" w:rsidP="009D7677">
      <w:pPr>
        <w:pStyle w:val="TextoNormal"/>
      </w:pPr>
    </w:p>
    <w:p w14:paraId="78E62751" w14:textId="77777777" w:rsidR="009D7677" w:rsidRDefault="009D7677" w:rsidP="009D7677">
      <w:pPr>
        <w:pStyle w:val="TextoNormalNegritaCentrado"/>
        <w:keepNext/>
      </w:pPr>
      <w:r>
        <w:t>II. Fundamentos jurídicos</w:t>
      </w:r>
    </w:p>
    <w:p w14:paraId="60382944" w14:textId="6593F9E1" w:rsidR="009D7677" w:rsidRDefault="009D7677" w:rsidP="009D7677">
      <w:pPr>
        <w:pStyle w:val="TextoNormalNegritaCentrado"/>
        <w:keepNext/>
      </w:pPr>
    </w:p>
    <w:p w14:paraId="5B92C790" w14:textId="77777777" w:rsidR="009D7677" w:rsidRDefault="009D7677" w:rsidP="009D7677">
      <w:pPr>
        <w:pStyle w:val="TextoNormal"/>
      </w:pPr>
      <w:r w:rsidRPr="009D7677">
        <w:rPr>
          <w:rStyle w:val="NumeroAFNegritaCaracter"/>
        </w:rPr>
        <w:t>1</w:t>
      </w:r>
      <w:r>
        <w:t xml:space="preserve">. </w:t>
      </w:r>
      <w:r w:rsidRPr="009D7677">
        <w:rPr>
          <w:i/>
        </w:rPr>
        <w:t>Objeto de la cuestión de inconstitucionalidad y posiciones de las partes</w:t>
      </w:r>
    </w:p>
    <w:p w14:paraId="535ECD4F" w14:textId="77777777" w:rsidR="009D7677" w:rsidRDefault="009D7677" w:rsidP="009D7677">
      <w:pPr>
        <w:pStyle w:val="TextoNormal"/>
      </w:pPr>
    </w:p>
    <w:p w14:paraId="5FCA5EF0" w14:textId="77777777" w:rsidR="009D7677" w:rsidRDefault="009D7677" w:rsidP="009D7677">
      <w:pPr>
        <w:pStyle w:val="TextoNormal"/>
      </w:pPr>
      <w:r>
        <w:t>a) La Sección Segunda de la Sala de lo Contencioso-Administrativo de la Audiencia Nacional plantea una cuestión de inconstitucionalidad sobre el art. 3.1, apartados primero y segundo, del Real Decreto-ley 3/2016, de 2 de diciembre, por el que se adoptan medidas en el ámbito tributario dirigidas a la consolidación de las finanzas públicas y otras medidas urgentes en materia social (en adelante, Real Decreto-ley 3/2016).</w:t>
      </w:r>
    </w:p>
    <w:p w14:paraId="7AB7C91A" w14:textId="77777777" w:rsidR="009D7677" w:rsidRDefault="009D7677" w:rsidP="009D7677">
      <w:pPr>
        <w:pStyle w:val="TextoNormal"/>
      </w:pPr>
    </w:p>
    <w:p w14:paraId="541F1FE7" w14:textId="77777777" w:rsidR="009D7677" w:rsidRDefault="009D7677" w:rsidP="009D7677">
      <w:pPr>
        <w:pStyle w:val="TextoNormal"/>
      </w:pPr>
      <w:r>
        <w:t>El apartado primero del art. 3.1 del Real Decreto-ley 3/2016 añade una disposición adicional decimoquinta a la Ley 27/2014, de 27 de noviembre, del impuesto sobre sociedades (en adelante, LIS), con el siguiente tenor:</w:t>
      </w:r>
    </w:p>
    <w:p w14:paraId="2E58F6AB" w14:textId="77777777" w:rsidR="009D7677" w:rsidRDefault="009D7677" w:rsidP="009D7677">
      <w:pPr>
        <w:pStyle w:val="TextoNormal"/>
      </w:pPr>
    </w:p>
    <w:p w14:paraId="2794779B" w14:textId="77777777" w:rsidR="009D7677" w:rsidRDefault="009D7677" w:rsidP="009D7677">
      <w:pPr>
        <w:pStyle w:val="TextoNormal"/>
      </w:pPr>
      <w:r>
        <w:t>“Disposición adicional decimoquinta. Límites aplicables a las grandes empresas en períodos impositivos iniciados a partir de 1 de enero de 2016</w:t>
      </w:r>
    </w:p>
    <w:p w14:paraId="4958E493" w14:textId="77777777" w:rsidR="009D7677" w:rsidRDefault="009D7677" w:rsidP="009D7677">
      <w:pPr>
        <w:pStyle w:val="TextoNormal"/>
      </w:pPr>
    </w:p>
    <w:p w14:paraId="2FFE8394" w14:textId="77777777" w:rsidR="009D7677" w:rsidRDefault="009D7677" w:rsidP="009D7677">
      <w:pPr>
        <w:pStyle w:val="TextoNormal"/>
      </w:pPr>
      <w:r>
        <w:t>Los contribuyentes cuyo importe neto de la cifra de negocios sea al menos de veinte millones de euros durante los doce meses anteriores a la fecha en que se inicie el período impositivo, aplicarán las siguientes especialidades:</w:t>
      </w:r>
    </w:p>
    <w:p w14:paraId="78D01BE1" w14:textId="77777777" w:rsidR="009D7677" w:rsidRDefault="009D7677" w:rsidP="009D7677">
      <w:pPr>
        <w:pStyle w:val="TextoNormal"/>
      </w:pPr>
    </w:p>
    <w:p w14:paraId="2622748F" w14:textId="77777777" w:rsidR="009D7677" w:rsidRDefault="009D7677" w:rsidP="009D7677">
      <w:pPr>
        <w:pStyle w:val="TextoNormal"/>
      </w:pPr>
      <w:r>
        <w:t>1. Los límites establecidos en el apartado 12 del artículo 11, en el primer párrafo del apartado 1 del artículo 26, en la letra e) del apartado 1 del artículo 62 y en las letras d) y e) del artículo 67, de esta ley se sustituirán por los siguientes:</w:t>
      </w:r>
    </w:p>
    <w:p w14:paraId="774A938A" w14:textId="77777777" w:rsidR="009D7677" w:rsidRDefault="009D7677" w:rsidP="009D7677">
      <w:pPr>
        <w:pStyle w:val="TextoNormal"/>
      </w:pPr>
    </w:p>
    <w:p w14:paraId="5841B863" w14:textId="77777777" w:rsidR="009D7677" w:rsidRDefault="009D7677" w:rsidP="009D7677">
      <w:pPr>
        <w:pStyle w:val="TextoNormal"/>
      </w:pPr>
      <w:r>
        <w:t>– El 50 por 100, cuando en los referidos doce meses el importe neto de la cifra de negocios sea al menos de veinte millones de euros, pero inferior a sesenta millones de euros.</w:t>
      </w:r>
    </w:p>
    <w:p w14:paraId="2CED013D" w14:textId="77777777" w:rsidR="009D7677" w:rsidRDefault="009D7677" w:rsidP="009D7677">
      <w:pPr>
        <w:pStyle w:val="TextoNormal"/>
      </w:pPr>
    </w:p>
    <w:p w14:paraId="4CD3997F" w14:textId="77777777" w:rsidR="009D7677" w:rsidRDefault="009D7677" w:rsidP="009D7677">
      <w:pPr>
        <w:pStyle w:val="TextoNormal"/>
      </w:pPr>
      <w:r>
        <w:t>– El 25 por 100, cuando en los referidos doce meses el importe neto de la cifra de negocios sea al menos de sesenta millones de euros.</w:t>
      </w:r>
    </w:p>
    <w:p w14:paraId="61569139" w14:textId="77777777" w:rsidR="009D7677" w:rsidRDefault="009D7677" w:rsidP="009D7677">
      <w:pPr>
        <w:pStyle w:val="TextoNormal"/>
      </w:pPr>
    </w:p>
    <w:p w14:paraId="0FE89D11" w14:textId="77777777" w:rsidR="009D7677" w:rsidRDefault="009D7677" w:rsidP="009D7677">
      <w:pPr>
        <w:pStyle w:val="TextoNormal"/>
      </w:pPr>
      <w:r>
        <w:t>2. El importe de las deducciones para evitar la doble imposición internacional previstas en los artículos 31, 32 y apartado 11 del artículo 100, así como el de aquellas deducciones para evitar la doble imposición a que se refiere la disposición transitoria vigésima tercera, de esta ley, no podrá exceder conjuntamente del 50 por 100 de la cuota íntegra del contribuyente”.</w:t>
      </w:r>
    </w:p>
    <w:p w14:paraId="10E65136" w14:textId="77777777" w:rsidR="009D7677" w:rsidRDefault="009D7677" w:rsidP="009D7677">
      <w:pPr>
        <w:pStyle w:val="TextoNormal"/>
      </w:pPr>
    </w:p>
    <w:p w14:paraId="15EB3E4A" w14:textId="77777777" w:rsidR="009D7677" w:rsidRDefault="009D7677" w:rsidP="009D7677">
      <w:pPr>
        <w:pStyle w:val="TextoNormal"/>
      </w:pPr>
      <w:r>
        <w:t>El apartado segundo del art. 3.1 del citado decreto-ley, modifica la disposición transitoria decimosexta LIS, añadiéndole un nuevo apartado tercero, con la siguiente redacción:</w:t>
      </w:r>
    </w:p>
    <w:p w14:paraId="1F150C85" w14:textId="77777777" w:rsidR="009D7677" w:rsidRDefault="009D7677" w:rsidP="009D7677">
      <w:pPr>
        <w:pStyle w:val="TextoNormal"/>
      </w:pPr>
    </w:p>
    <w:p w14:paraId="34C65A69" w14:textId="77777777" w:rsidR="009D7677" w:rsidRDefault="009D7677" w:rsidP="009D7677">
      <w:pPr>
        <w:pStyle w:val="TextoNormal"/>
      </w:pPr>
      <w:r>
        <w:t>“En todo caso, la reversión de las pérdidas por deterioro de los valores representativos de la participación en el capital o en los fondos propios de entidades que hayan resultado fiscalmente deducibles en la base imponible del impuesto sobre sociedades en períodos impositivos iniciados con anterioridad a 1 de enero de 2013, se integrará, como mínimo, por partes iguales en la base imponible correspondiente a cada uno de los cinco primeros períodos impositivos que se inicien a partir de 1 de enero de 2016.</w:t>
      </w:r>
    </w:p>
    <w:p w14:paraId="3651FDB5" w14:textId="77777777" w:rsidR="009D7677" w:rsidRDefault="009D7677" w:rsidP="009D7677">
      <w:pPr>
        <w:pStyle w:val="TextoNormal"/>
      </w:pPr>
    </w:p>
    <w:p w14:paraId="6AFCA74D" w14:textId="77777777" w:rsidR="009D7677" w:rsidRDefault="009D7677" w:rsidP="009D7677">
      <w:pPr>
        <w:pStyle w:val="TextoNormal"/>
      </w:pPr>
      <w:r>
        <w:t>En el supuesto de haberse producido la reversión de un importe superior por aplicación de lo dispuesto en los apartados 1 o 2 de esta disposición, el saldo que reste se integrará por partes iguales entre los restantes períodos impositivos.</w:t>
      </w:r>
    </w:p>
    <w:p w14:paraId="36692503" w14:textId="77777777" w:rsidR="009D7677" w:rsidRDefault="009D7677" w:rsidP="009D7677">
      <w:pPr>
        <w:pStyle w:val="TextoNormal"/>
      </w:pPr>
    </w:p>
    <w:p w14:paraId="49E823A5" w14:textId="77777777" w:rsidR="009D7677" w:rsidRDefault="009D7677" w:rsidP="009D7677">
      <w:pPr>
        <w:pStyle w:val="TextoNormal"/>
      </w:pPr>
      <w:r>
        <w:t>No obstante, en caso de transmisión de los valores representativos de la participación en el capital o en los fondos propios de entidades durante los referidos períodos impositivos, se integrarán en la base imponible del período impositivo en que aquella se produzca las cantidades pendientes de revertir, con el límite de la renta positiva derivada de esa transmisión”.</w:t>
      </w:r>
    </w:p>
    <w:p w14:paraId="11F16A01" w14:textId="77777777" w:rsidR="009D7677" w:rsidRDefault="009D7677" w:rsidP="009D7677">
      <w:pPr>
        <w:pStyle w:val="TextoNormal"/>
      </w:pPr>
    </w:p>
    <w:p w14:paraId="2C62F8C6" w14:textId="77777777" w:rsidR="009D7677" w:rsidRDefault="009D7677" w:rsidP="009D7677">
      <w:pPr>
        <w:pStyle w:val="TextoNormal"/>
      </w:pPr>
      <w:r>
        <w:lastRenderedPageBreak/>
        <w:t>Con las normas transcritas se introducen, con efectos a partir de 1 de enero de 2016, tres modificaciones en la regulación del impuesto sobre sociedades cuyo efecto común es incrementar la recaudación de esta figura impositiva. En expresión del preámbulo (apartado II, párrafo segundo) del Real Decreto-ley 3/2016, las medidas buscan un “ensanchamiento” de la base imponible y “asegura[r] el nivel de recaudación adecuado”. En esencia, los cambios son los siguientes:</w:t>
      </w:r>
    </w:p>
    <w:p w14:paraId="38532C57" w14:textId="77777777" w:rsidR="009D7677" w:rsidRDefault="009D7677" w:rsidP="009D7677">
      <w:pPr>
        <w:pStyle w:val="TextoNormal"/>
      </w:pPr>
    </w:p>
    <w:p w14:paraId="6CC4E897" w14:textId="77777777" w:rsidR="009D7677" w:rsidRDefault="009D7677" w:rsidP="009D7677">
      <w:pPr>
        <w:pStyle w:val="TextoNormal"/>
      </w:pPr>
      <w:r>
        <w:t>(i) Se regula la compensación de bases imponibles negativas que pueden aplicar las grandes empresas (aquellas cuya cifra de negocios sea superior a veinte millones de euros), estableciendo topes máximos más severos que los vigentes hasta ese momento.</w:t>
      </w:r>
    </w:p>
    <w:p w14:paraId="1DA66356" w14:textId="77777777" w:rsidR="009D7677" w:rsidRDefault="009D7677" w:rsidP="009D7677">
      <w:pPr>
        <w:pStyle w:val="TextoNormal"/>
      </w:pPr>
    </w:p>
    <w:p w14:paraId="15664515" w14:textId="77777777" w:rsidR="009D7677" w:rsidRDefault="009D7677" w:rsidP="009D7677">
      <w:pPr>
        <w:pStyle w:val="TextoNormal"/>
      </w:pPr>
      <w:r>
        <w:t xml:space="preserve">(ii) Se introduce </w:t>
      </w:r>
      <w:r w:rsidRPr="009D7677">
        <w:rPr>
          <w:i/>
        </w:rPr>
        <w:t>ex novo</w:t>
      </w:r>
      <w:r>
        <w:t xml:space="preserve"> un límite a las deducciones para evitar la doble imposición que pueden aplicar las grandes empresas, de modo que la suma conjunta de tales deducciones no podrá superar el 50 por 100 de la cuota íntegra de la entidad.</w:t>
      </w:r>
    </w:p>
    <w:p w14:paraId="1750B0ED" w14:textId="77777777" w:rsidR="009D7677" w:rsidRDefault="009D7677" w:rsidP="009D7677">
      <w:pPr>
        <w:pStyle w:val="TextoNormal"/>
      </w:pPr>
    </w:p>
    <w:p w14:paraId="65A90CA2" w14:textId="77777777" w:rsidR="009D7677" w:rsidRDefault="009D7677" w:rsidP="009D7677">
      <w:pPr>
        <w:pStyle w:val="TextoNormal"/>
      </w:pPr>
      <w:r>
        <w:t>(iii) Se establece la obligación de integrar en la base imponible los deterioros (pérdida de valor) que hayan sido deducidos en ejercicios anteriores, a razón de una quinta parte por año, durante un plazo de cinco años. Esta integración será automática, por lo que el incremento de la base imponible se producirá, aunque las participaciones que generaron en su momento el deterioro deducible no hayan recuperado efectivamente su valor. A diferencia de las medidas (i) y (ii), que van dirigidas exclusivamente a las grandes empresas, esta tercera es aplicable a todos los sujetos pasivos del impuesto sobre sociedades.</w:t>
      </w:r>
    </w:p>
    <w:p w14:paraId="13ABC268" w14:textId="77777777" w:rsidR="009D7677" w:rsidRDefault="009D7677" w:rsidP="009D7677">
      <w:pPr>
        <w:pStyle w:val="TextoNormal"/>
      </w:pPr>
    </w:p>
    <w:p w14:paraId="51D3E26F" w14:textId="77777777" w:rsidR="009D7677" w:rsidRDefault="009D7677" w:rsidP="009D7677">
      <w:pPr>
        <w:pStyle w:val="TextoNormal"/>
      </w:pPr>
      <w:r>
        <w:t>b) El órgano judicial promotor de la cuestión invoca el precedente de la STC 78/2020, de 1 de julio, recaída respecto del Real Decreto-ley 2/2016, de 30 de septiembre, por el que se introducen medidas tributarias dirigidas a la reducción del déficit público (en adelante, Real Decreto-ley 2/2016). Según el auto, como en aquel caso, las medidas cuestionadas han afectado de modo sustancial al deber de contribuir al sostenimiento de los gastos públicos, trasgrediendo con ello los límites materiales del real decreto-ley.</w:t>
      </w:r>
    </w:p>
    <w:p w14:paraId="200E7EF1" w14:textId="77777777" w:rsidR="009D7677" w:rsidRDefault="009D7677" w:rsidP="009D7677">
      <w:pPr>
        <w:pStyle w:val="TextoNormal"/>
      </w:pPr>
    </w:p>
    <w:p w14:paraId="33B78463" w14:textId="77777777" w:rsidR="009D7677" w:rsidRDefault="009D7677" w:rsidP="009D7677">
      <w:pPr>
        <w:pStyle w:val="TextoNormal"/>
      </w:pPr>
      <w:r>
        <w:t xml:space="preserve">El fiscal general del Estado y la entidad Globalia, S.A., comparten la valoración que hace el órgano judicial, destacando la similitud de este asunto con el que fue resuelto en la citada STC 78/2020. Además, la entidad recurrente en el proceso </w:t>
      </w:r>
      <w:r w:rsidRPr="009D7677">
        <w:rPr>
          <w:i/>
        </w:rPr>
        <w:t>a quo</w:t>
      </w:r>
      <w:r>
        <w:t xml:space="preserve"> interesa que, aunque se declare la inconstitucionalidad por infringir el límite material del art. 86.1 CE, se analicen también los motivos de fondo, en relación con la posible vulneración de los arts. 9.3 (seguridad jurídica), 14 (igualdad), 31.1 (capacidad económica) y 96 CE (incumplimiento de los convenios de doble imposición suscritos por España). Asimismo, solicita, con base en el art. 39.1 LOTC, que se declare inconstitucional y nulo el art. 3.7 del Real Decreto-ley 3/2016, por el que se dispone la no integración en la base imponible de las minusvalías que se pongan de manifiesto con la transmisión de participaciones, pues, a su juicio, presenta una íntima conexión formal y material con los preceptos legales cuestionados.</w:t>
      </w:r>
    </w:p>
    <w:p w14:paraId="20EA881A" w14:textId="77777777" w:rsidR="009D7677" w:rsidRDefault="009D7677" w:rsidP="009D7677">
      <w:pPr>
        <w:pStyle w:val="TextoNormal"/>
      </w:pPr>
    </w:p>
    <w:p w14:paraId="1C1B47AC" w14:textId="5DAA6B86" w:rsidR="009D7677" w:rsidRDefault="009D7677" w:rsidP="009D7677">
      <w:pPr>
        <w:pStyle w:val="TextoNormal"/>
      </w:pPr>
      <w:r>
        <w:t>Por el contrario, el abogado del Estado solicita que se desestime la cuestión de inconstitucionalidad, argumentando que las normas cuestionadas tienen un carácter esencialmente temporal y no son una novedad esencial en la configuración del tributo, sino un cambio de mecánica en relación con obligaciones preexistentes.</w:t>
      </w:r>
    </w:p>
    <w:p w14:paraId="0E9F064C" w14:textId="77777777" w:rsidR="009D7677" w:rsidRDefault="009D7677" w:rsidP="009D7677">
      <w:pPr>
        <w:pStyle w:val="TextoNormal"/>
      </w:pPr>
    </w:p>
    <w:p w14:paraId="242BF8DE" w14:textId="77777777" w:rsidR="009D7677" w:rsidRDefault="009D7677" w:rsidP="009D7677">
      <w:pPr>
        <w:pStyle w:val="TextoNormal"/>
      </w:pPr>
      <w:r w:rsidRPr="009D7677">
        <w:rPr>
          <w:rStyle w:val="NumeroAFNegritaCaracter"/>
        </w:rPr>
        <w:lastRenderedPageBreak/>
        <w:t>2</w:t>
      </w:r>
      <w:r>
        <w:t xml:space="preserve">. </w:t>
      </w:r>
      <w:r w:rsidRPr="009D7677">
        <w:rPr>
          <w:i/>
        </w:rPr>
        <w:t>Doctrina constitucional sobre el uso del real decreto-ley en materia tributaria</w:t>
      </w:r>
    </w:p>
    <w:p w14:paraId="330163FD" w14:textId="77777777" w:rsidR="009D7677" w:rsidRDefault="009D7677" w:rsidP="009D7677">
      <w:pPr>
        <w:pStyle w:val="TextoNormal"/>
      </w:pPr>
    </w:p>
    <w:p w14:paraId="057033F9" w14:textId="77777777" w:rsidR="009D7677" w:rsidRDefault="009D7677" w:rsidP="009D7677">
      <w:pPr>
        <w:pStyle w:val="TextoNormal"/>
      </w:pPr>
      <w:r>
        <w:t>La Sección Segunda de la Sala de lo Contencioso-A</w:t>
      </w:r>
      <w:r>
        <w:tab/>
        <w:t>dministrativo de la Audiencia Nacional acota su duda a la posible vulneración del límite material del decreto-ley, tras razonar por qué la ha despejado en relación con el resto de los motivos expuestos en el trámite de audiencia. Por tanto, debemos comenzar recordando la doctrina constitucional sobre el uso del decreto-ley en materia tributaria, que se puede sintetizar en los siguientes términos:</w:t>
      </w:r>
    </w:p>
    <w:p w14:paraId="0FDD6C63" w14:textId="77777777" w:rsidR="009D7677" w:rsidRDefault="009D7677" w:rsidP="009D7677">
      <w:pPr>
        <w:pStyle w:val="TextoNormal"/>
      </w:pPr>
    </w:p>
    <w:p w14:paraId="73D60B10" w14:textId="77777777" w:rsidR="009D7677" w:rsidRDefault="009D7677" w:rsidP="009D7677">
      <w:pPr>
        <w:pStyle w:val="TextoNormal"/>
      </w:pPr>
      <w:r>
        <w:t>a) Cuando la Constitución autoriza el establecimiento de prestaciones patrimoniales de carácter público, dispone que tenga lugar “con arreglo a la ley” (art. 31.3 CE), de modo que “‘cualquier prestación patrimonial de carácter público, de naturaleza tributaria o no, debe fijarse por la propia ley o con arreglo a lo dispuesto en la misma’ (SSTC 185/1995, de 14 de diciembre, FJ 3; 233/1999, de 16 de diciembre, FFJJ 7, 9 y 10; 3/2003, de 16 de enero, FJ 4; 136/2011, de 13 de septiembre, FJ 11, y 73/2017, de 8 de junio, FJ 2)” STC 78/2020, FJ 3. Ahora bien, “de la misma manera que la Constitución ha sometido al imperio de la ley, con carácter general, el establecimiento de prestaciones patrimoniales de carácter público, cuando tienen naturaleza tributaria, ha condicionado los instrumentos normativos a través de los cuales se puede cumplir con aquella reserva, pues no solo limita el uso del decreto-ley a aquellos supuestos en los que no se afecte a los deberes de los ciudadanos regulados en el título I (art. 86.1 CE) y, concretamente, al deber de contribuir de todos al sostenimiento de los gastos públicos (art. 31.1 CE), sino que impide la utilización de la Ley de presupuestos como instrumento a través del cual ‘crear tributos’ (art. 134.7 CE) y excluye la materia tributaria de la iniciativa popular (art. 87.3 CE)” (SSTC 83/2014, de 29 de mayo, FJ 3; 44/2015, de 5 de marzo, FJ 5; 139/2016, de 21 de julio, FJ 6, y 73/2017, FJ 2)” (STC 78/2020, FJ 3).</w:t>
      </w:r>
    </w:p>
    <w:p w14:paraId="655EEE90" w14:textId="77777777" w:rsidR="009D7677" w:rsidRDefault="009D7677" w:rsidP="009D7677">
      <w:pPr>
        <w:pStyle w:val="TextoNormal"/>
      </w:pPr>
    </w:p>
    <w:p w14:paraId="05D9A1BB" w14:textId="77777777" w:rsidR="009D7677" w:rsidRDefault="009D7677" w:rsidP="009D7677">
      <w:pPr>
        <w:pStyle w:val="TextoNormal"/>
      </w:pPr>
      <w:r>
        <w:t>Del hecho de que el establecimiento de prestaciones patrimoniales “de carácter público” esté sujeto al principio de reserva de ley (art. 31.3 CE) “no se deriva necesariamente que la citada materia se encuentre excluida del ámbito de regulación del decreto-ley, que podrá penetrar en la misma siempre que se den los requisitos constitucionales del presupuesto habilitante y no ‘afecte’ en el sentido constitucional del término, a las materias excluidas (SSTC 245/2004, de 16 de diciembre, FJ 4; y 83/2014, FJ 5, y en sentido similar, SSTC 182/1997, de 28 de octubre, FJ 8; 137/2003, de 3 de julio, FJ 6; 100/2012, de 8 de mayo, FJ 9, y 73/2017, FJ 2)” (STC 78/2020, FJ 3). “Ningún óbice existe desde el punto de vista constitucional, entonces, para que mediante un decreto-ley se puedan establecer, modificar o derogar prestaciones patrimoniales de carácter público, siempre que concurra una situación de extraordinaria urgencia que justifique el uso de este instrumento normativo y que, mediante él, no se afecte al deber de contribuir al sostenimiento de los gastos públicos que establece el art. 31.1 CE (entre otras, SSTC 111/1983, de 2 de diciembre, FJ 8; 60/1986, de 20 de mayo, FJ 4; 182/1997, FJ 6; 189/2005, de 7 de julio, FJ 7; 139/2016, FJ 6; 73/2017, FJ 2)” (</w:t>
      </w:r>
      <w:r w:rsidRPr="009D7677">
        <w:rPr>
          <w:i/>
        </w:rPr>
        <w:t>ibidem</w:t>
      </w:r>
      <w:r>
        <w:t>).</w:t>
      </w:r>
    </w:p>
    <w:p w14:paraId="65F7D8E0" w14:textId="77777777" w:rsidR="009D7677" w:rsidRDefault="009D7677" w:rsidP="009D7677">
      <w:pPr>
        <w:pStyle w:val="TextoNormal"/>
      </w:pPr>
    </w:p>
    <w:p w14:paraId="57D7E1BB" w14:textId="77777777" w:rsidR="009D7677" w:rsidRDefault="009D7677" w:rsidP="009D7677">
      <w:pPr>
        <w:pStyle w:val="TextoNormal"/>
      </w:pPr>
      <w:r>
        <w:t>b) Para interpretar el límite material del art. 86.1 CE y, por tanto, determinar si ha existido “afectación” del deber de contribuir al sostenimiento de los gastos públicos del art. 31.1 CE, el Tribunal tiene declarado que el decreto-ley “no podrá alterar ni el régimen general ni aquellos elementos esenciales de los tributos que inciden en la determinación de la carga tributaria, afectando así al deber general de los ciudadanos de contribuir al soste</w:t>
      </w:r>
      <w:r>
        <w:lastRenderedPageBreak/>
        <w:t>nimiento de los gastos públicos de acuerdo con su riqueza mediante un sistema tributario justo” vulnerando, en consecuencia, el art. 86.1 CE cualquier intervención o innovación normativa que, por su entidad cualitativa o cuantitativa, altere sensiblemente la posición del obligado a contribuir según su capacidad económica en el conjunto del sistema tributario [SSTC 182/1997, FJ 7; 100/2012, FJ 9; 139/2016, FJ 6; 35/2017, de 1 de marzo, FJ 5; 73/2017, FJ 2; 78/2020, FJ 3; 156/2021, de 16 de septiembre, FJ 6, y 17/2023, de 9 de marzo, FJ 3 A)].</w:t>
      </w:r>
    </w:p>
    <w:p w14:paraId="41BD34FC" w14:textId="77777777" w:rsidR="009D7677" w:rsidRDefault="009D7677" w:rsidP="009D7677">
      <w:pPr>
        <w:pStyle w:val="TextoNormal"/>
      </w:pPr>
    </w:p>
    <w:p w14:paraId="168229FE" w14:textId="77777777" w:rsidR="009D7677" w:rsidRDefault="009D7677" w:rsidP="009D7677">
      <w:pPr>
        <w:pStyle w:val="TextoNormal"/>
      </w:pPr>
      <w:r>
        <w:t>A fin de valorar si se ha producido dicho efecto, es preciso tener en cuenta, en cada caso, “en qué tributo concreto incide el decreto-ley —constatando su naturaleza, estructura y la función que cumple dentro del conjunto del sistema tributario, así como el grado o medida en que interviene el principio de capacidad económica—, qué elementos del mismo —esenciales o no— resultan alterados por este excepcional modo de producción normativa y, en fin, cuál es la naturaleza y alcance de la concreta regulación de que se trate” [SSTC 182/1997, FJ 7; 189/2005, FJ 7; 83/2014, FJ 5; 73/2017, FJ 2; 156/2021, FJ 6, y 17/2023, FJ 3 A)].</w:t>
      </w:r>
    </w:p>
    <w:p w14:paraId="62766EBD" w14:textId="77777777" w:rsidR="009D7677" w:rsidRDefault="009D7677" w:rsidP="009D7677">
      <w:pPr>
        <w:pStyle w:val="TextoNormal"/>
      </w:pPr>
    </w:p>
    <w:p w14:paraId="61D7B66C" w14:textId="5C2CC58E" w:rsidR="009D7677" w:rsidRDefault="009D7677" w:rsidP="009D7677">
      <w:pPr>
        <w:pStyle w:val="TextoNormal"/>
      </w:pPr>
      <w:r>
        <w:t>c) Debemos reparar especialmente en la ya citada STC 78/2020, que declaró inconstitucional y nulo el Real Decreto-ley 2/2016. Por medio de esta norma se habían incrementado los pagos fraccionados (pagos a cuenta) de las grandes empresas en el impuesto sobre sociedades, medida que este tribunal consideró que vulneraba el art. 86.1 CE porque: (i) modificaba la normativa del impuesto sobre sociedades, que constituye uno de los pilares estructurales del sistema tributario; (ii) lo hacía incidiendo en tres elementos esenciales de la obligación tributaria de realizar pagos fraccionados: la base de cálculo, el porcentaje aplicable y la cuantía del ingreso; y (iii) el alcance de la modificación era notable, habiéndose estimado por la Agencia Estatal de Administración Tributaria (en adelante, AEAT) que supuso un aumento de la recaudación de casi un 9 por 100 en el año 2016 (FJ 5).</w:t>
      </w:r>
    </w:p>
    <w:p w14:paraId="7128B870" w14:textId="77777777" w:rsidR="009D7677" w:rsidRDefault="009D7677" w:rsidP="009D7677">
      <w:pPr>
        <w:pStyle w:val="TextoNormal"/>
      </w:pPr>
    </w:p>
    <w:p w14:paraId="65FEC7D7" w14:textId="77777777" w:rsidR="009D7677" w:rsidRDefault="009D7677" w:rsidP="009D7677">
      <w:pPr>
        <w:pStyle w:val="TextoNormal"/>
      </w:pPr>
      <w:r w:rsidRPr="009D7677">
        <w:rPr>
          <w:rStyle w:val="NumeroAFNegritaCaracter"/>
        </w:rPr>
        <w:t>3</w:t>
      </w:r>
      <w:r>
        <w:t xml:space="preserve">. </w:t>
      </w:r>
      <w:r w:rsidRPr="009D7677">
        <w:rPr>
          <w:i/>
        </w:rPr>
        <w:t>Aplicación al caso. Vulneración del art. 86.1 CE, por exceder el límite material del decreto-ley</w:t>
      </w:r>
    </w:p>
    <w:p w14:paraId="554FFBF3" w14:textId="77777777" w:rsidR="009D7677" w:rsidRDefault="009D7677" w:rsidP="009D7677">
      <w:pPr>
        <w:pStyle w:val="TextoNormal"/>
      </w:pPr>
    </w:p>
    <w:p w14:paraId="19B5C88A" w14:textId="77777777" w:rsidR="009D7677" w:rsidRDefault="009D7677" w:rsidP="009D7677">
      <w:pPr>
        <w:pStyle w:val="TextoNormal"/>
      </w:pPr>
      <w:r>
        <w:t>A) La aplicación de la doctrina expuesta en el fundamento jurídico anterior nos exige analizar los siguientes aspectos de las medidas tributarias cuestionadas por el órgano judicial:</w:t>
      </w:r>
    </w:p>
    <w:p w14:paraId="090F0033" w14:textId="77777777" w:rsidR="009D7677" w:rsidRDefault="009D7677" w:rsidP="009D7677">
      <w:pPr>
        <w:pStyle w:val="TextoNormal"/>
      </w:pPr>
    </w:p>
    <w:p w14:paraId="2341EC00" w14:textId="77777777" w:rsidR="009D7677" w:rsidRDefault="009D7677" w:rsidP="009D7677">
      <w:pPr>
        <w:pStyle w:val="TextoNormal"/>
      </w:pPr>
      <w:r>
        <w:t>a) El tributo al que se refieren es el impuesto sobre sociedades, que constituye un “pilar básico de la imposición directa en España” (preámbulo de la LIS, apartado I, párrafo primero) y una “pieza básica del sistema tributario” [SSTC 73/2017, FJ 3 a), y 78/2020, FJ 4 a)].</w:t>
      </w:r>
    </w:p>
    <w:p w14:paraId="4234EB7F" w14:textId="77777777" w:rsidR="009D7677" w:rsidRDefault="009D7677" w:rsidP="009D7677">
      <w:pPr>
        <w:pStyle w:val="TextoNormal"/>
      </w:pPr>
    </w:p>
    <w:p w14:paraId="0F7D88B9" w14:textId="77777777" w:rsidR="009D7677" w:rsidRDefault="009D7677" w:rsidP="009D7677">
      <w:pPr>
        <w:pStyle w:val="TextoNormal"/>
      </w:pPr>
      <w:r>
        <w:t>b) Los elementos del tributo modificados son la base imponible (art. 10 LIS), en el caso de las restricciones a la compensación de bases imponibles negativas y de la obligación de revertir los deterioros deducidos en ejercicios anteriores; y la cuota líquida (art. 30 LIS), en el caso del límite fijado a las deducciones por doble imposición. Las normas debatidas incrementan ambos parámetros, que son estructurales en el impuesto sobre sociedades, pues con ellos se mide la capacidad económica gravada por esta figura (base imponible) y se concreta la cuantía de la obligación tributaria principal (cuota líquida).</w:t>
      </w:r>
    </w:p>
    <w:p w14:paraId="4B3FE7EE" w14:textId="77777777" w:rsidR="009D7677" w:rsidRDefault="009D7677" w:rsidP="009D7677">
      <w:pPr>
        <w:pStyle w:val="TextoNormal"/>
      </w:pPr>
    </w:p>
    <w:p w14:paraId="40E72C4A" w14:textId="77777777" w:rsidR="009D7677" w:rsidRDefault="009D7677" w:rsidP="009D7677">
      <w:pPr>
        <w:pStyle w:val="TextoNormal"/>
      </w:pPr>
      <w:r>
        <w:lastRenderedPageBreak/>
        <w:t>c) Por último, respecto del alcance de las modificaciones, el preámbulo del Real Decreto-ley 3/2016 (apartado II, párrafo segundo) las considera “de relevancia”. Esto se confirma a la vista del “Informe de los proyectos y líneas fundamentales de presupuestos de las administraciones públicas: proyecto de presupuestos generales del estado 2017” elaborado por la Autoridad Independiente de Responsabilidad Fiscal el día 25 de abril de 2017 con base en el mandato previsto en el art. 17.1 de la Ley Orgánica 2/2012, de 27 de abril, de estabilidad presupuestaria y sostenibilidad financiera. En dicho informe se hace constar lo siguiente:</w:t>
      </w:r>
    </w:p>
    <w:p w14:paraId="775E1105" w14:textId="77777777" w:rsidR="009D7677" w:rsidRDefault="009D7677" w:rsidP="009D7677">
      <w:pPr>
        <w:pStyle w:val="TextoNormal"/>
      </w:pPr>
    </w:p>
    <w:p w14:paraId="6176BD6D" w14:textId="77777777" w:rsidR="009D7677" w:rsidRDefault="009D7677" w:rsidP="009D7677">
      <w:pPr>
        <w:pStyle w:val="TextoNormal"/>
      </w:pPr>
      <w:r>
        <w:t>“El proyecto de presupuestos generales del Estado para 2017 (en adelante, PGE) prevé un incremento de los ingresos tributarios totales antes de cesión de un 7,9 por 100 respecto al cierre de 2016. Este incremento se basa, fundamentalmente, en el dinamismo de las principales variables macroeconómicas, así como en los efectos de las medidas normativas aprobadas en el Real Decreto-ley 3/2016 (dichas medidas están detalladas en el recuadro 1). Los ingresos tributarios que corresponden finalmente al Estado aumentan un 7,2 por 100, resultado de la incidencia del sistema de financiación” (pág. 18).</w:t>
      </w:r>
    </w:p>
    <w:p w14:paraId="7DDF4210" w14:textId="77777777" w:rsidR="009D7677" w:rsidRDefault="009D7677" w:rsidP="009D7677">
      <w:pPr>
        <w:pStyle w:val="TextoNormal"/>
      </w:pPr>
    </w:p>
    <w:p w14:paraId="4E23F293" w14:textId="77777777" w:rsidR="009D7677" w:rsidRDefault="009D7677" w:rsidP="009D7677">
      <w:pPr>
        <w:pStyle w:val="TextoNormal"/>
      </w:pPr>
      <w:r>
        <w:t>El recuadro 1 al que se refiere el párrafo extractado recoge la previsión de impacto recaudatorio de las medidas cuestionadas, en los términos siguientes (cursiva añadida):</w:t>
      </w:r>
    </w:p>
    <w:p w14:paraId="164178BE" w14:textId="77777777" w:rsidR="009D7677" w:rsidRDefault="009D7677" w:rsidP="009D7677">
      <w:pPr>
        <w:pStyle w:val="TextoNormal"/>
      </w:pPr>
    </w:p>
    <w:p w14:paraId="6C4E97A9" w14:textId="77777777" w:rsidR="009D7677" w:rsidRDefault="009D7677" w:rsidP="009D7677">
      <w:pPr>
        <w:pStyle w:val="TextoNormal"/>
      </w:pPr>
      <w:r>
        <w:t>“1) Medidas relativas al impuesto sobre sociedades […]</w:t>
      </w:r>
    </w:p>
    <w:p w14:paraId="5FED9CC6" w14:textId="77777777" w:rsidR="009D7677" w:rsidRDefault="009D7677" w:rsidP="009D7677">
      <w:pPr>
        <w:pStyle w:val="TextoNormal"/>
      </w:pPr>
    </w:p>
    <w:p w14:paraId="20133DB9" w14:textId="77777777" w:rsidR="009D7677" w:rsidRDefault="009D7677" w:rsidP="009D7677">
      <w:pPr>
        <w:pStyle w:val="TextoNormal"/>
      </w:pPr>
      <w:r>
        <w:t xml:space="preserve">a) Limitación bases imponibles negativas y de la deducción por doble imposición. La compensación de las bases imponibles negativas se limita al 25 por 100 y 50 por 100, según la cifra de negocios de las empresas, para periodos iniciados a partir de 1 de enero de 2016. Cabe recordar que esta medida ya había estado en vigor hasta el año 2015. Además, se establece un nuevo límite para la aplicación de deducciones por doble imposición generadas o pendientes de compensar, que se cifra en el 50 por 100 de la cuota íntegra. </w:t>
      </w:r>
      <w:r w:rsidRPr="009D7677">
        <w:rPr>
          <w:i/>
        </w:rPr>
        <w:t>El Gobierno ha facilitado información sobre el impacto de esta medida, estimado en 2220 millones de euros</w:t>
      </w:r>
      <w:r>
        <w:t>.</w:t>
      </w:r>
    </w:p>
    <w:p w14:paraId="60E51685" w14:textId="77777777" w:rsidR="009D7677" w:rsidRDefault="009D7677" w:rsidP="009D7677">
      <w:pPr>
        <w:pStyle w:val="TextoNormal"/>
      </w:pPr>
    </w:p>
    <w:p w14:paraId="6D06D027" w14:textId="77777777" w:rsidR="009D7677" w:rsidRDefault="009D7677" w:rsidP="009D7677">
      <w:pPr>
        <w:pStyle w:val="TextoNormal"/>
      </w:pPr>
      <w:r>
        <w:t xml:space="preserve">b) Reversión de las pérdidas por deterioros. Hasta 2012 eran fiscalmente deducibles las pérdidas por deterioro de la participación en fondos propios. Desde 2013 dejan de ser fiscalmente deducibles, pero se mantenía el deterioro dotado hasta ese año (Ley 16/2013, de 29 de octubre, por la que se establecen determinadas medidas en materia de fiscalidad medioambiental y se adoptan otras medidas tributarias y financieras). Con efectos desde 2016 se obliga a la reversión en un plazo de cinco años del stock de las provisiones dotadas hasta 2012. </w:t>
      </w:r>
      <w:r w:rsidRPr="009D7677">
        <w:rPr>
          <w:i/>
        </w:rPr>
        <w:t>El Gobierno cuantifica la medida en 2000 millones de euros para</w:t>
      </w:r>
      <w:r>
        <w:t xml:space="preserve"> 2017” (pág. 19).</w:t>
      </w:r>
    </w:p>
    <w:p w14:paraId="0CE76D8A" w14:textId="77777777" w:rsidR="009D7677" w:rsidRDefault="009D7677" w:rsidP="009D7677">
      <w:pPr>
        <w:pStyle w:val="TextoNormal"/>
      </w:pPr>
    </w:p>
    <w:p w14:paraId="076090A1" w14:textId="77777777" w:rsidR="009D7677" w:rsidRDefault="009D7677" w:rsidP="009D7677">
      <w:pPr>
        <w:pStyle w:val="TextoNormal"/>
      </w:pPr>
      <w:r>
        <w:t xml:space="preserve">Como indica el citado informe, el Gobierno atribuyó a las concretas medidas cuestionadas en el presente proceso un impacto recaudatorio adicional de 4220 millones de euros en 2017 (de los que 2220 millones de euros correspondían al límite a la compensación de bases imponibles negativas y a las deducciones por doble imposición de las grandes empresas —art. 3.1, apartado primero del Real Decreto-ley 3/2016—; y 2000 millones de euros a la reversión de las pérdidas por deterioros —art. 3.1, apartado segundo—). Dado que el presupuesto de dicho año estimaba la recaudación del impuesto sobre sociedades en 24 399 millones de euros (Ministerio de Hacienda y Función Pública: “Presentación del </w:t>
      </w:r>
      <w:r>
        <w:lastRenderedPageBreak/>
        <w:t>proyecto de PGE para 2017”, pág. 152), se colige que el aumento de la recaudación que se calculó obtener gracias a las normas discutidas fue de un 21 por 100.</w:t>
      </w:r>
    </w:p>
    <w:p w14:paraId="770DA97B" w14:textId="77777777" w:rsidR="009D7677" w:rsidRDefault="009D7677" w:rsidP="009D7677">
      <w:pPr>
        <w:pStyle w:val="TextoNormal"/>
      </w:pPr>
    </w:p>
    <w:p w14:paraId="58D911D9" w14:textId="77777777" w:rsidR="009D7677" w:rsidRDefault="009D7677" w:rsidP="009D7677">
      <w:pPr>
        <w:pStyle w:val="TextoNormal"/>
      </w:pPr>
      <w:r>
        <w:t>Por su parte, el “Informe anual de recaudación tributaria año 2016” elaborado por la AEAT afirma lo siguiente (cursiva añadida):</w:t>
      </w:r>
    </w:p>
    <w:p w14:paraId="6C823545" w14:textId="77777777" w:rsidR="009D7677" w:rsidRDefault="009D7677" w:rsidP="009D7677">
      <w:pPr>
        <w:pStyle w:val="TextoNormal"/>
      </w:pPr>
    </w:p>
    <w:p w14:paraId="5D05D4AA" w14:textId="77777777" w:rsidR="009D7677" w:rsidRDefault="009D7677" w:rsidP="009D7677">
      <w:pPr>
        <w:pStyle w:val="TextoNormal"/>
      </w:pPr>
      <w:r>
        <w:t xml:space="preserve">“La base imponible agregada de los principales impuestos aumentó un 4,3 por 100, casi dos puntos más que el año anterior. </w:t>
      </w:r>
      <w:r w:rsidRPr="009D7677">
        <w:rPr>
          <w:i/>
        </w:rPr>
        <w:t>Una parte significativa de esta subida se relaciona con el impacto alcista que sobre la base del impuesto sobre sociedades tuvieron las medidas adoptadas en el Real Decreto-ley</w:t>
      </w:r>
      <w:r>
        <w:t xml:space="preserve"> 3/2016” (pág. 7).</w:t>
      </w:r>
    </w:p>
    <w:p w14:paraId="301F64B7" w14:textId="77777777" w:rsidR="009D7677" w:rsidRDefault="009D7677" w:rsidP="009D7677">
      <w:pPr>
        <w:pStyle w:val="TextoNormal"/>
      </w:pPr>
    </w:p>
    <w:p w14:paraId="0412AC60" w14:textId="77777777" w:rsidR="009D7677" w:rsidRDefault="009D7677" w:rsidP="009D7677">
      <w:pPr>
        <w:pStyle w:val="TextoNormal"/>
      </w:pPr>
      <w:r>
        <w:t>Por consiguiente, tanto el preámbulo de la norma como las previsiones recaudatorias que la acompañaban coincidían en que las medidas cuestionadas tenían un notable impacto recaudatorio.</w:t>
      </w:r>
    </w:p>
    <w:p w14:paraId="4A6FBD20" w14:textId="77777777" w:rsidR="009D7677" w:rsidRDefault="009D7677" w:rsidP="009D7677">
      <w:pPr>
        <w:pStyle w:val="TextoNormal"/>
      </w:pPr>
    </w:p>
    <w:p w14:paraId="149FDBB8" w14:textId="77777777" w:rsidR="009D7677" w:rsidRDefault="009D7677" w:rsidP="009D7677">
      <w:pPr>
        <w:pStyle w:val="TextoNormal"/>
      </w:pPr>
      <w:r>
        <w:t>B) En este sentido, cabe apreciar una estrecha conexión entre el Real Decreto-ley 2/2016 y el Real Decreto-ley 3/2016 ahora analizado. Así lo subraya tanto el abogado del Estado, cuando enmarca ambas normas en las medidas para la reducción del déficit exigidas por el Consejo de la Unión Europea, como el preámbulo (apartado I) del Real Decreto-ley 3/2016, cuando afirma lo siguiente (cursiva añadida):</w:t>
      </w:r>
    </w:p>
    <w:p w14:paraId="12866BF8" w14:textId="77777777" w:rsidR="009D7677" w:rsidRDefault="009D7677" w:rsidP="009D7677">
      <w:pPr>
        <w:pStyle w:val="TextoNormal"/>
      </w:pPr>
    </w:p>
    <w:p w14:paraId="6D5DABFB" w14:textId="77777777" w:rsidR="009D7677" w:rsidRDefault="009D7677" w:rsidP="009D7677">
      <w:pPr>
        <w:pStyle w:val="TextoNormal"/>
      </w:pPr>
      <w:r>
        <w:t>“En este sentido, el Real Decreto-ley 2/2016, de 30 de septiembre, por el que se introducen medidas tributarias dirigidas a la reducción del déficit público, modificó el régimen legal de los pagos fraccionados en el impuesto sobre sociedades, incorporando a las arcas públicas el deseable volumen de ingresos, para favorecer el cumplimiento de los objetivos marcados a nivel de la Unión Europea.</w:t>
      </w:r>
    </w:p>
    <w:p w14:paraId="19C51D3B" w14:textId="77777777" w:rsidR="009D7677" w:rsidRDefault="009D7677" w:rsidP="009D7677">
      <w:pPr>
        <w:pStyle w:val="TextoNormal"/>
      </w:pPr>
    </w:p>
    <w:p w14:paraId="3DE026FE" w14:textId="77777777" w:rsidR="009D7677" w:rsidRDefault="009D7677" w:rsidP="009D7677">
      <w:pPr>
        <w:pStyle w:val="TextoNormal"/>
      </w:pPr>
      <w:r>
        <w:t xml:space="preserve">Ahora, con este real decreto-ley se adoptan diversas medidas dirigidas a la consolidación de las finanzas públicas </w:t>
      </w:r>
      <w:r w:rsidRPr="009D7677">
        <w:rPr>
          <w:i/>
        </w:rPr>
        <w:t>que vienen a completar las contenidas en aquel</w:t>
      </w:r>
      <w:r>
        <w:t xml:space="preserve"> y que guiarán a la economía española por una senda de crecimiento y creación de empleo, compatible con el cumplimiento de nuestros compromisos de consolidación fiscal alcanzados en el ámbito de la Unión Europea”.</w:t>
      </w:r>
    </w:p>
    <w:p w14:paraId="74699873" w14:textId="77777777" w:rsidR="009D7677" w:rsidRDefault="009D7677" w:rsidP="009D7677">
      <w:pPr>
        <w:pStyle w:val="TextoNormal"/>
      </w:pPr>
    </w:p>
    <w:p w14:paraId="7F8CC8B6" w14:textId="77777777" w:rsidR="009D7677" w:rsidRDefault="009D7677" w:rsidP="009D7677">
      <w:pPr>
        <w:pStyle w:val="TextoNormal"/>
      </w:pPr>
      <w:r>
        <w:t>Como exponen los párrafos transcritos, el Real Decreto-ley 3/2016 viene a “completar” las medidas del anterior Real Decreto-ley 2/2016, referidas a los pagos fraccionados del impuesto sobre sociedades, que son pagos a cuenta o anticipos del impuesto definitivo, que se van ingresando a lo largo del periodo impositivo. La recaudación adicional derivada del incremento de tales pagos era provisional, salvo que viniera acompañada de una modificación de las normas que determinan el cálculo de la obligación tributaria principal. De no ser así, los contribuyentes podrían recuperar lo anticipado mediante los pagos fraccionados cuando, al año siguiente, presentasen la declaración-liquidación del impuesto, obteniendo las devoluciones correspondientes.</w:t>
      </w:r>
    </w:p>
    <w:p w14:paraId="3EABE46B" w14:textId="77777777" w:rsidR="009D7677" w:rsidRDefault="009D7677" w:rsidP="009D7677">
      <w:pPr>
        <w:pStyle w:val="TextoNormal"/>
      </w:pPr>
    </w:p>
    <w:p w14:paraId="6B595A59" w14:textId="77777777" w:rsidR="009D7677" w:rsidRDefault="009D7677" w:rsidP="009D7677">
      <w:pPr>
        <w:pStyle w:val="TextoNormal"/>
      </w:pPr>
      <w:r>
        <w:t>Precisamente, las medidas del Real Decreto-ley 3/2016 aquí controvertidas tienen el efecto de incrementar la cuantificación definitiva del impuesto sobre sociedades y consolidar así el aumento de recaudación derivado de los mayores pagos fraccionados establecidos en el Real Decreto-ley 2/2016. Para ello, la norma controvertida en el presente proceso modifica, por un lado, la base imponible (reduciendo la compensación de bases imponi</w:t>
      </w:r>
      <w:r>
        <w:lastRenderedPageBreak/>
        <w:t>bles negativas y obligando a revertir los deterioros deducidos en ejercicios anteriores), aumento que se traducirá en una mayor cuota líquida; y, por otro, incide directamente sobre esta última, al limitar las deducciones por doble imposición que se pueden restar de la cuota íntegra para obtener la cuota líquida.</w:t>
      </w:r>
    </w:p>
    <w:p w14:paraId="416114EA" w14:textId="77777777" w:rsidR="009D7677" w:rsidRDefault="009D7677" w:rsidP="009D7677">
      <w:pPr>
        <w:pStyle w:val="TextoNormal"/>
      </w:pPr>
    </w:p>
    <w:p w14:paraId="57F81B3D" w14:textId="77777777" w:rsidR="009D7677" w:rsidRDefault="009D7677" w:rsidP="009D7677">
      <w:pPr>
        <w:pStyle w:val="TextoNormal"/>
      </w:pPr>
      <w:r>
        <w:t>En suma, las medidas reguladas en los preceptos que se cuestionan en este proceso han tenido, tanto en conjunto, como aisladamente consideradas, un impacto notable en los elementos estructurales (base imponible y cuota líquida) de una pieza fundamental del sistema tributario como es el impuesto sobre sociedades, afectando con ello a la esencia del deber de contribuir de los obligados por este tributo.</w:t>
      </w:r>
    </w:p>
    <w:p w14:paraId="1A549556" w14:textId="77777777" w:rsidR="009D7677" w:rsidRDefault="009D7677" w:rsidP="009D7677">
      <w:pPr>
        <w:pStyle w:val="TextoNormal"/>
      </w:pPr>
    </w:p>
    <w:p w14:paraId="4167E6BB" w14:textId="77777777" w:rsidR="009D7677" w:rsidRDefault="009D7677" w:rsidP="009D7677">
      <w:pPr>
        <w:pStyle w:val="TextoNormal"/>
      </w:pPr>
      <w:r>
        <w:t>C) No obstan a la conclusión anterior los argumentos que esgrime de contrario el abogado del Estado. Respecto de que las medidas enjuiciadas solo tienen un efecto temporal de anticipar la recaudación, en la STC 78/2020 ya concluimos que un alza en los pagos fraccionados, que son provisionales por naturaleza, “durante un lapso de tiempo determinado, pero suficientemente relevante, incide en la determinación de la carga tributaria afectando con ello de modo sustancial a la esencia del deber de contribuir al sostenimiento de los gastos públicos” (fundamento jurídico 5). Por consiguiente, el que en algunos casos las medidas aprobadas tengan únicamente el efecto de anticipar la carga tributaria de ejercicios futuros no excluye que afecten al deber de contribuir.</w:t>
      </w:r>
    </w:p>
    <w:p w14:paraId="343CCE11" w14:textId="77777777" w:rsidR="009D7677" w:rsidRDefault="009D7677" w:rsidP="009D7677">
      <w:pPr>
        <w:pStyle w:val="TextoNormal"/>
      </w:pPr>
    </w:p>
    <w:p w14:paraId="5B7F3D22" w14:textId="77777777" w:rsidR="009D7677" w:rsidRDefault="009D7677" w:rsidP="009D7677">
      <w:pPr>
        <w:pStyle w:val="TextoNormal"/>
      </w:pPr>
      <w:r>
        <w:t>Tampoco puede acogerse el argumento de que las reglas cuestionadas se limitan a introducir un “cambio de mecánica” en relación con obligaciones preexistentes. Es cierto que la reversión de pérdidas por deterioro deducidas en el pasado y el endurecimiento de la restricción a la compensación de bases imponibles negativas operan sobre normas que ya estaban vigentes cuando se aprobó el Real Decreto-ley 3/2016. Pero la clave es que, por su objeto, contenido y relevancia, confirmada en el preámbulo y en las previsiones de impacto recaudatorio, son medidas que no podían aprobarse mediante dicho instrumento normativo.</w:t>
      </w:r>
    </w:p>
    <w:p w14:paraId="66CADD92" w14:textId="77777777" w:rsidR="009D7677" w:rsidRDefault="009D7677" w:rsidP="009D7677">
      <w:pPr>
        <w:pStyle w:val="TextoNormal"/>
      </w:pPr>
    </w:p>
    <w:p w14:paraId="7E3679FB" w14:textId="77777777" w:rsidR="009D7677" w:rsidRDefault="009D7677" w:rsidP="009D7677">
      <w:pPr>
        <w:pStyle w:val="TextoNormal"/>
      </w:pPr>
      <w:r>
        <w:t xml:space="preserve">En definitiva, si el Real Decreto-ley 2/2016 afectaba al deber de contribuir, por modificar de manera sustancial la cuantificación de los pagos fraccionados (a cuenta) del impuesto sobre sociedades, </w:t>
      </w:r>
      <w:r w:rsidRPr="009D7677">
        <w:rPr>
          <w:i/>
        </w:rPr>
        <w:t>a fortiori</w:t>
      </w:r>
      <w:r>
        <w:t xml:space="preserve"> lo hace el Real Decreto-ley 3/2016, que hace lo propio respecto de la obligación tributaria principal, con medidas que “vienen a completar las contenidas en aquel” (apartado I del preámbulo).</w:t>
      </w:r>
    </w:p>
    <w:p w14:paraId="14267179" w14:textId="77777777" w:rsidR="009D7677" w:rsidRDefault="009D7677" w:rsidP="009D7677">
      <w:pPr>
        <w:pStyle w:val="TextoNormal"/>
      </w:pPr>
    </w:p>
    <w:p w14:paraId="1DCE2987" w14:textId="77777777" w:rsidR="009D7677" w:rsidRDefault="009D7677" w:rsidP="009D7677">
      <w:pPr>
        <w:pStyle w:val="TextoNormal"/>
      </w:pPr>
      <w:r>
        <w:t>En consideración a todo lo expuesto, debemos concluir que, con la aprobación mediante decreto-ley de los preceptos cuestionados, se ha afectado a la esencia del deber de contribuir al sostenimiento de los gastos públicos del art. 31.1 CE, vulnerando lo dispuesto en el art. 86.1 CE, por lo que se declaran inconstitucionales y nulos.</w:t>
      </w:r>
    </w:p>
    <w:p w14:paraId="0BD363E3" w14:textId="77777777" w:rsidR="009D7677" w:rsidRDefault="009D7677" w:rsidP="009D7677">
      <w:pPr>
        <w:pStyle w:val="TextoNormal"/>
      </w:pPr>
    </w:p>
    <w:p w14:paraId="22BECA11" w14:textId="77777777" w:rsidR="009D7677" w:rsidRDefault="009D7677" w:rsidP="009D7677">
      <w:pPr>
        <w:pStyle w:val="TextoNormal"/>
      </w:pPr>
      <w:r>
        <w:t xml:space="preserve">3 </w:t>
      </w:r>
      <w:r w:rsidRPr="009D7677">
        <w:rPr>
          <w:i/>
        </w:rPr>
        <w:t>bis</w:t>
      </w:r>
      <w:r>
        <w:t xml:space="preserve">. </w:t>
      </w:r>
      <w:r w:rsidRPr="009D7677">
        <w:rPr>
          <w:i/>
        </w:rPr>
        <w:t>Ampliación del canon de enjuiciamiento y del objeto del proceso</w:t>
      </w:r>
    </w:p>
    <w:p w14:paraId="0E70B8E4" w14:textId="77777777" w:rsidR="009D7677" w:rsidRDefault="009D7677" w:rsidP="009D7677">
      <w:pPr>
        <w:pStyle w:val="TextoNormal"/>
      </w:pPr>
    </w:p>
    <w:p w14:paraId="599CA389" w14:textId="77777777" w:rsidR="009D7677" w:rsidRDefault="009D7677" w:rsidP="009D7677">
      <w:pPr>
        <w:pStyle w:val="TextoNormal"/>
      </w:pPr>
      <w:r>
        <w:t xml:space="preserve">La entidad Globalia, S.A., solicita que: (i) aunque la cuestión de inconstitucionalidad fuera estimada por apreciarse la vulneración del límite material del art. 86.1 CE —como así ha sido–, este tribunal entre a analizar otras vulneraciones, por ser el contenido de los preceptos cuestionados contrario a los arts. 9.3, 14, 31.1 y 96.1 CE; y (ii) se declare también inconstitucional y nulo, por conexión o consecuencia (art. 39.1 LOTC), el art. 3.7 del </w:t>
      </w:r>
      <w:r>
        <w:lastRenderedPageBreak/>
        <w:t>Real Decreto-ley 3/2016, que establece la no integración en la base imponible de las minusvalías que se pongan de manifiesto con la transmisión de determinadas participaciones en entidades.</w:t>
      </w:r>
    </w:p>
    <w:p w14:paraId="0753D1FA" w14:textId="77777777" w:rsidR="009D7677" w:rsidRDefault="009D7677" w:rsidP="009D7677">
      <w:pPr>
        <w:pStyle w:val="TextoNormal"/>
      </w:pPr>
    </w:p>
    <w:p w14:paraId="1700074A" w14:textId="77777777" w:rsidR="009D7677" w:rsidRDefault="009D7677" w:rsidP="009D7677">
      <w:pPr>
        <w:pStyle w:val="TextoNormal"/>
      </w:pPr>
      <w:r>
        <w:t xml:space="preserve">(i) En primer lugar, la parte actora en el proceso </w:t>
      </w:r>
      <w:r w:rsidRPr="009D7677">
        <w:rPr>
          <w:i/>
        </w:rPr>
        <w:t>a quo</w:t>
      </w:r>
      <w:r>
        <w:t xml:space="preserve"> interesa la ampliación del canon de enjuiciamiento a los motivos de inconstitucionalidad que el órgano judicial expuso en el trámite de audiencia, pero luego excluyó expresamente del auto de planteamiento.</w:t>
      </w:r>
    </w:p>
    <w:p w14:paraId="49CE71DE" w14:textId="77777777" w:rsidR="009D7677" w:rsidRDefault="009D7677" w:rsidP="009D7677">
      <w:pPr>
        <w:pStyle w:val="TextoNormal"/>
      </w:pPr>
    </w:p>
    <w:p w14:paraId="47C8A4DE" w14:textId="77777777" w:rsidR="009D7677" w:rsidRDefault="009D7677" w:rsidP="009D7677">
      <w:pPr>
        <w:pStyle w:val="TextoNormal"/>
      </w:pPr>
      <w:r>
        <w:t>Al respecto, y siguiendo el mismo criterio que cuando enjuiciamos el Real Decreto-ley 2/2016, debemos concluir que, una vez declarada la inconstitucionalidad y nulidad de los preceptos cuestionados por infracción del límite material del art. 86.1 CE, no procede entrar a conocer de otras posibles lesiones (STC 78/2020, FJ 6).</w:t>
      </w:r>
    </w:p>
    <w:p w14:paraId="2EC5CD78" w14:textId="77777777" w:rsidR="009D7677" w:rsidRDefault="009D7677" w:rsidP="009D7677">
      <w:pPr>
        <w:pStyle w:val="TextoNormal"/>
      </w:pPr>
    </w:p>
    <w:p w14:paraId="2D1BB015" w14:textId="77777777" w:rsidR="009D7677" w:rsidRDefault="009D7677" w:rsidP="009D7677">
      <w:pPr>
        <w:pStyle w:val="TextoNormal"/>
      </w:pPr>
      <w:r>
        <w:t>(ii) En segundo término, sobre la solicitud de que se declare la inconstitucionalidad del art. 3.7 del Real Decreto-ley “por conexión o consecuencia”, debemos recordar, conforme a nuestra consolidada doctrina, que esta es una prerrogativa del Tribunal que no puede ser objeto de pretensión de parte (por todas, STC 109/2021, de 13 de mayo, FJ 2).</w:t>
      </w:r>
    </w:p>
    <w:p w14:paraId="78FD3CB7" w14:textId="77777777" w:rsidR="009D7677" w:rsidRDefault="009D7677" w:rsidP="009D7677">
      <w:pPr>
        <w:pStyle w:val="TextoNormal"/>
      </w:pPr>
    </w:p>
    <w:p w14:paraId="0DD806BD" w14:textId="18D8E25C" w:rsidR="009D7677" w:rsidRDefault="009D7677" w:rsidP="009D7677">
      <w:pPr>
        <w:pStyle w:val="TextoNormal"/>
      </w:pPr>
      <w:r>
        <w:t>En cualquier caso, el Tribunal aprecia que la no integración en la base imponible del impuesto sobre sociedades de las pérdidas derivadas de la transmisión de la participación en una entidad, según dispone el art. 3.7 del Real Decreto-ley 3/2016, es una medida independiente de las incluidas en el auto de planteamiento. Ciertamente, se refiere también al tratamiento de las pérdidas en el impuesto sobre sociedades, pero su contenido es diferente y desvinculado del que tienen las normas aquí enjuiciadas, por lo que no procede extender nuestro pronunciamiento a dicho precepto (por todas, STC 151/2017, de 21 de diciembre, FJ 8).</w:t>
      </w:r>
    </w:p>
    <w:p w14:paraId="25591930" w14:textId="77777777" w:rsidR="009D7677" w:rsidRDefault="009D7677" w:rsidP="009D7677">
      <w:pPr>
        <w:pStyle w:val="TextoNormal"/>
      </w:pPr>
    </w:p>
    <w:p w14:paraId="6FF19AA0" w14:textId="77777777" w:rsidR="009D7677" w:rsidRDefault="009D7677" w:rsidP="009D7677">
      <w:pPr>
        <w:pStyle w:val="TextoNormal"/>
      </w:pPr>
      <w:r w:rsidRPr="009D7677">
        <w:rPr>
          <w:rStyle w:val="NumeroAFNegritaCaracter"/>
        </w:rPr>
        <w:t>4</w:t>
      </w:r>
      <w:r>
        <w:t xml:space="preserve">. </w:t>
      </w:r>
      <w:r w:rsidRPr="009D7677">
        <w:rPr>
          <w:i/>
        </w:rPr>
        <w:t>Efectos de la declaración de inconstitucionalidad y nulidad</w:t>
      </w:r>
    </w:p>
    <w:p w14:paraId="1B8A00FA" w14:textId="77777777" w:rsidR="009D7677" w:rsidRDefault="009D7677" w:rsidP="009D7677">
      <w:pPr>
        <w:pStyle w:val="TextoNormal"/>
      </w:pPr>
    </w:p>
    <w:p w14:paraId="2AF56647" w14:textId="1B304110" w:rsidR="009D7677" w:rsidRDefault="009D7677" w:rsidP="009D7677">
      <w:pPr>
        <w:pStyle w:val="TextoNormal"/>
      </w:pPr>
      <w:r>
        <w:t>Antes del fallo es necesario realizar una última precisión, referida a los efectos de esta sentencia, al igual que hizo la STC 78/2020, FJ 6. Por exigencias del principio de seguridad jurídica (art. 9.3 CE), no pueden considerarse situaciones susceptibles de ser revisadas con fundamento en la presente sentencia aquellas obligaciones tributarias devengadas por el impuesto sobre sociedades que, a la fecha de dictarse la misma, hayan sido decididas definitivamente mediante sentencia con fuerza de cosa juzgada (art. 40.1 LOTC) o mediante resolución administrativa firme. Tampoco podrán revisarse aquellas liquidaciones que no hayan sido impugnadas a la fecha de dictarse esta sentencia, ni las autoliquidaciones cuya rectificación no haya sido solicitada a dicha fecha [STC 182/2021, de 26 de octubre, FJ 6 b)].</w:t>
      </w:r>
    </w:p>
    <w:p w14:paraId="2626FB2D" w14:textId="77777777" w:rsidR="009D7677" w:rsidRDefault="009D7677" w:rsidP="009D7677">
      <w:pPr>
        <w:pStyle w:val="TextoNormal"/>
      </w:pPr>
    </w:p>
    <w:p w14:paraId="7FE20F47" w14:textId="77777777" w:rsidR="009D7677" w:rsidRDefault="009D7677" w:rsidP="009D7677">
      <w:pPr>
        <w:pStyle w:val="TextoNormalCentrado"/>
        <w:keepNext/>
      </w:pPr>
      <w:r>
        <w:t>FALLO</w:t>
      </w:r>
    </w:p>
    <w:p w14:paraId="58002CE3" w14:textId="19C6EF96" w:rsidR="009D7677" w:rsidRDefault="009D7677" w:rsidP="009D7677">
      <w:pPr>
        <w:pStyle w:val="TextoNormalCentrado"/>
        <w:keepNext/>
      </w:pPr>
    </w:p>
    <w:p w14:paraId="3181FA89" w14:textId="129AD3F0" w:rsidR="009D7677" w:rsidRDefault="009D7677" w:rsidP="009D7677">
      <w:pPr>
        <w:pStyle w:val="TextoNormal"/>
      </w:pPr>
      <w:r>
        <w:t>En atención a todo lo expuesto, el Tribunal Constitucional, por la autoridad que le confiere la Constitución de la Nación española, ha decidido estimar la cuestión de inconstitucionalidad núm. 2577-2023, promovida por la Sección Segunda de la Sala de lo Contencioso-Administrativo de la Audiencia Nacional, y, en consecuencia, declarar que la disposición adicional decimoquinta y el apartado tercero de la disposición transitoria decimo</w:t>
      </w:r>
      <w:r>
        <w:lastRenderedPageBreak/>
        <w:t>sexta de la Ley 27/2014, de 27 de noviembre, del impuesto sobre sociedades, en la redacción dada por el art. 3.1, apartados uno y dos, del Real Decreto-ley 3/2016, de 2 de diciembre, por el que se adoptan medidas en el ámbito tributario dirigidas a la consolidación de las finanzas públicas y otras medidas urgentes en materia social, son inconstitucionales y nulos, con los efectos previstos en el fundamento jurídico cuarto.</w:t>
      </w:r>
    </w:p>
    <w:p w14:paraId="0A2D6688" w14:textId="77777777" w:rsidR="009D7677" w:rsidRDefault="009D7677" w:rsidP="009D7677">
      <w:pPr>
        <w:pStyle w:val="TextoNormal"/>
      </w:pPr>
    </w:p>
    <w:p w14:paraId="584EEABC" w14:textId="77777777" w:rsidR="009D7677" w:rsidRDefault="009D7677" w:rsidP="009D7677">
      <w:pPr>
        <w:pStyle w:val="TextoNormal"/>
      </w:pPr>
      <w:r>
        <w:t>Publíquese esta sentencia en el “Boletín Oficial del Estado”.</w:t>
      </w:r>
    </w:p>
    <w:p w14:paraId="3FDF8984" w14:textId="77777777" w:rsidR="009D7677" w:rsidRDefault="009D7677" w:rsidP="009D7677">
      <w:pPr>
        <w:pStyle w:val="TextoNormal"/>
      </w:pPr>
      <w:r>
        <w:t>Dada en Madrid, a dieciocho de enero de dos mil veinticuatro.</w:t>
      </w:r>
    </w:p>
    <w:p w14:paraId="79607DD1" w14:textId="669010C0" w:rsidR="009D7677" w:rsidRDefault="009D7677" w:rsidP="009D7677">
      <w:pPr>
        <w:pStyle w:val="ParrafoNormal"/>
      </w:pPr>
    </w:p>
    <w:p w14:paraId="1E1AA3A4" w14:textId="77777777" w:rsidR="009D7677" w:rsidRDefault="009D7677" w:rsidP="009D7677">
      <w:pPr>
        <w:pStyle w:val="TextoNormalNegritaCentrado"/>
        <w:keepNext/>
      </w:pPr>
      <w:r>
        <w:t>Voto particular que formula el magistrado don Enrique Arnaldo Alcubilla a la sentencia que resuelve la cuestión de inconstitucionalidad núm. 2577-2023</w:t>
      </w:r>
    </w:p>
    <w:p w14:paraId="076A1F86" w14:textId="0D47FF52" w:rsidR="009D7677" w:rsidRDefault="009D7677" w:rsidP="009D7677">
      <w:pPr>
        <w:pStyle w:val="TextoNormalNegritaCentrado"/>
        <w:keepNext/>
      </w:pPr>
    </w:p>
    <w:p w14:paraId="4E976343" w14:textId="77777777" w:rsidR="009D7677" w:rsidRDefault="009D7677" w:rsidP="009D7677">
      <w:pPr>
        <w:pStyle w:val="TextoNormal"/>
      </w:pPr>
      <w:r>
        <w:t>En el ejercicio de la facultad que me confiere el art. 90.2 de la Ley Orgánica del Tribunal Constitucional (LOTC) y con el debido respeto a la opinión de mis compañeros, formulo este voto particular por las razones ya defendidas en su momento durante la deliberación y en los términos que expongo a continuación.</w:t>
      </w:r>
    </w:p>
    <w:p w14:paraId="2DFF6795" w14:textId="77777777" w:rsidR="009D7677" w:rsidRDefault="009D7677" w:rsidP="009D7677">
      <w:pPr>
        <w:pStyle w:val="TextoNormal"/>
      </w:pPr>
    </w:p>
    <w:p w14:paraId="53D1352E" w14:textId="77777777" w:rsidR="009D7677" w:rsidRDefault="009D7677" w:rsidP="009D7677">
      <w:pPr>
        <w:pStyle w:val="TextoNormal"/>
      </w:pPr>
      <w:r>
        <w:t>Comparto la fundamentación de la sentencia y las razones que la llevan a apreciar la inconstitucionalidad del artículo 3.1, apartados primero y segundo, del Real Decreto-ley 3/2016, de 2 de diciembre, por el que se adoptan medidas en el ámbito tributario dirigidas a la consolidación de las finanzas públicas y otras medidas urgentes en materia social. Disiento únicamente de la decisión que se adopta en el último fundamento jurídico, el cuarto (al que el fallo se remite), en el que se modulan los efectos de la nulidad del precepto legal cuestionado que, como regla, sigue a un pronunciamiento de declaración de inconstitucionalidad de ese precepto como el que se contiene en la sentencia.</w:t>
      </w:r>
    </w:p>
    <w:p w14:paraId="2FEDDE7D" w14:textId="77777777" w:rsidR="009D7677" w:rsidRDefault="009D7677" w:rsidP="009D7677">
      <w:pPr>
        <w:pStyle w:val="TextoNormal"/>
      </w:pPr>
    </w:p>
    <w:p w14:paraId="2C04690C" w14:textId="77777777" w:rsidR="009D7677" w:rsidRDefault="009D7677" w:rsidP="009D7677">
      <w:pPr>
        <w:pStyle w:val="TextoNormal"/>
      </w:pPr>
      <w:r>
        <w:t>Como ya tuve ocasión de exponer en el voto particular que formulé a la STC 133/2022, de 25 de octubre, el Tribunal Constitucional viene realizando —desde la STC 45/1989, de 20 de febrero, aunque con no pocas excepciones y entre las últimas las SSTC 94/2017, de 6 de julio; 113/2017, de 16 de octubre, y 52/2018, de 10 de mayo, ciertamente sobre impuestos no estatales— una interpretación extensiva de sus facultades, al proceder sin expresa habilitación legal a limitar los efectos de sus sentencias que declaran la inconstitucionalidad de un precepto, especialmente en el caso de normas tributarias.</w:t>
      </w:r>
    </w:p>
    <w:p w14:paraId="43D55766" w14:textId="77777777" w:rsidR="009D7677" w:rsidRDefault="009D7677" w:rsidP="009D7677">
      <w:pPr>
        <w:pStyle w:val="TextoNormal"/>
      </w:pPr>
    </w:p>
    <w:p w14:paraId="484119E6" w14:textId="77777777" w:rsidR="009D7677" w:rsidRDefault="009D7677" w:rsidP="009D7677">
      <w:pPr>
        <w:pStyle w:val="TextoNormal"/>
      </w:pPr>
      <w:r>
        <w:t>En efecto, es inequívoco que el art. 39.1 LOTC anuda la nulidad a la declaración de inconstitucionalidad de la norma legal, pero también es cierto que este tribunal, como decimos, desde la STC 45/1989, de 20 de febrero, ha introducido la práctica de modular en ocasiones los efectos de la declaración de nulidad. No obstante, aunque la vinculación entre inconstitucionalidad y nulidad pueda no ser absoluta, lo cierto es que la regla de principio debe ser que la declaración de inconstitucionalidad de una norma legal lleva aparejada su nulidad, lo que supone la definitiva y total eliminación de esa norma del ordenamiento jurídico, como si nunca hubiera existido. Esta regla general únicamente puede ceder en casos excepcionales, determinados por la necesidad de evitar las consecuencias indeseables que podrían derivarse de no limitar los efectos de la declaración de nulidad. Dicho de otro modo, en esos casos excepcionales se trata de preservar en los bienes o valores que este tribunal considera constitucionalmente relevantes, lo que justifica la desvinculación entre inconstitucionalidad y nulidad o la modulación del alcance de esta.</w:t>
      </w:r>
    </w:p>
    <w:p w14:paraId="70464EE1" w14:textId="77777777" w:rsidR="009D7677" w:rsidRDefault="009D7677" w:rsidP="009D7677">
      <w:pPr>
        <w:pStyle w:val="TextoNormal"/>
      </w:pPr>
    </w:p>
    <w:p w14:paraId="42D08E28" w14:textId="77777777" w:rsidR="009D7677" w:rsidRDefault="009D7677" w:rsidP="009D7677">
      <w:pPr>
        <w:pStyle w:val="TextoNormal"/>
      </w:pPr>
      <w:r>
        <w:lastRenderedPageBreak/>
        <w:t>No creo que esto suceda en el presente caso, en el que la limitación de efectos de la sentencia opera simplemente como una suerte de cláusula de estilo, ya habitual, reitero, en las sentencias de este tribunal que declaran la inconstitucionalidad de normas tributarias, aunque es verdad que con expresiones diferentes, en algún caso poco claras o poco definidas sobre la limitación temporal de efectos extendiendo la intangibilidad de situaciones jurídicas afectadas por la sentencia de inconstitucionalidad.</w:t>
      </w:r>
    </w:p>
    <w:p w14:paraId="1BC47944" w14:textId="77777777" w:rsidR="009D7677" w:rsidRDefault="009D7677" w:rsidP="009D7677">
      <w:pPr>
        <w:pStyle w:val="TextoNormal"/>
      </w:pPr>
    </w:p>
    <w:p w14:paraId="3689A659" w14:textId="77777777" w:rsidR="009D7677" w:rsidRDefault="009D7677" w:rsidP="009D7677">
      <w:pPr>
        <w:pStyle w:val="TextoNormal"/>
      </w:pPr>
      <w:r>
        <w:t>En este caso, en el fundamento jurídico cuarto de la sentencia se considera que, por exigencias del principio de seguridad jurídica (art. 9.3 CE), no cabe que se revisen las situaciones decididas definitivamente mediante sentencia con fuerza de cosa juzgada, lo que no plantea problema alguno [arts. 161.1 a) CE y 40 LOTC]. A lo anterior, sin embargo y con la solitaria apelación a la seguridad jurídica, se añaden las resoluciones administrativas firmes, a las que se equiparan las liquidaciones del impuesto de sociedades que no hayan sido impugnadas a la fecha de dictarse esta sentencia y las autoliquidaciones cuya rectificación no haya sido solicitada a dicha fecha.</w:t>
      </w:r>
    </w:p>
    <w:p w14:paraId="207B0520" w14:textId="77777777" w:rsidR="009D7677" w:rsidRDefault="009D7677" w:rsidP="009D7677">
      <w:pPr>
        <w:pStyle w:val="TextoNormal"/>
      </w:pPr>
    </w:p>
    <w:p w14:paraId="537180E7" w14:textId="77777777" w:rsidR="009D7677" w:rsidRDefault="009D7677" w:rsidP="009D7677">
      <w:pPr>
        <w:pStyle w:val="TextoNormal"/>
      </w:pPr>
      <w:r>
        <w:t>A mi juicio resulta evidente que la desnuda invocación del principio de seguridad jurídica, sin mayor concreción, no puede justificar esa limitación de efectos, ni siquiera en uso del considerable margen de apreciación que el Tribunal se ha otorgado a sí mismo en relación al que, en principio y con arreglo a lo dispuesto en su Ley Orgánica, parecía un inexorable vínculo entre inconstitucionalidad y nulidad de sus sentencias estimatorias de procesos de declaración de inconstitucionalidad. La mera invocación de la seguridad jurídica resulta insuficiente para justificar la inamovilidad de las situaciones administrativas en los términos definidos por la sentencia.</w:t>
      </w:r>
    </w:p>
    <w:p w14:paraId="56FD3BA8" w14:textId="77777777" w:rsidR="009D7677" w:rsidRDefault="009D7677" w:rsidP="009D7677">
      <w:pPr>
        <w:pStyle w:val="TextoNormal"/>
      </w:pPr>
    </w:p>
    <w:p w14:paraId="0E8D1E5D" w14:textId="77777777" w:rsidR="009D7677" w:rsidRDefault="009D7677" w:rsidP="009D7677">
      <w:pPr>
        <w:pStyle w:val="TextoNormal"/>
      </w:pPr>
      <w:r>
        <w:t>En primer lugar, la limitación de efectos de la sentencia es la consecuencia que esta asocia a la actitud de aquel contribuyente que cumplió con la norma, confiando en su presunción de constitucionalidad. Por eso mismo, no era razonable exigirle una actitud beligerante o de desconfianza respecto a su aplicación, bajo la amenaza de que, de no hacerlo así, va a ver roto el vínculo legal entre inconstitucionalidad y nulidad. Es como si se insinuase que el contribuyente que no discutía la existencia de su obligación debería, en una suerte de juicio retrospectivo, haber sabido que la norma iba a ser declarada inconstitucional y haber ajustado su conducta a esa convicción combatiendo sus actos de aplicación. Resulta entonces que el invocado principio de seguridad jurídica, proyectado sobre las circunstancias del caso, significa, lisa y llanamente, que la inconstitucionalidad de la norma tributaria no tiene ninguna consecuencia para aquellos que se aquietaron en su aplicación.</w:t>
      </w:r>
    </w:p>
    <w:p w14:paraId="689A81F9" w14:textId="77777777" w:rsidR="009D7677" w:rsidRDefault="009D7677" w:rsidP="009D7677">
      <w:pPr>
        <w:pStyle w:val="TextoNormal"/>
      </w:pPr>
    </w:p>
    <w:p w14:paraId="4D2C04DC" w14:textId="77777777" w:rsidR="009D7677" w:rsidRDefault="009D7677" w:rsidP="009D7677">
      <w:pPr>
        <w:pStyle w:val="TextoNormal"/>
      </w:pPr>
      <w:r>
        <w:t>No parece que ese resultado pueda reputarse justo. Y no debe olvidarse que, junto al principio de seguridad jurídica (art. 9.3 CE), la Constitución también consagra la justicia como valor superior del ordenamiento jurídico (art. 1.1 CE) y determina asimismo que el sistema tributario debe ser justo (art. 31.1 CE). Una justicia tributaria que se pone en entredicho cuando se hace de peor condición a quienes no cuestionaron la aplicación de una norma tributaria, confiando en la corrección de la decisión del legislador, frente a quienes optaron por su impugnación.</w:t>
      </w:r>
    </w:p>
    <w:p w14:paraId="5ACD9A32" w14:textId="77777777" w:rsidR="009D7677" w:rsidRDefault="009D7677" w:rsidP="009D7677">
      <w:pPr>
        <w:pStyle w:val="TextoNormal"/>
      </w:pPr>
    </w:p>
    <w:p w14:paraId="5C637D07" w14:textId="77777777" w:rsidR="009D7677" w:rsidRDefault="009D7677" w:rsidP="009D7677">
      <w:pPr>
        <w:pStyle w:val="TextoNormal"/>
      </w:pPr>
      <w:r>
        <w:t>No pongo en discusión que, en determinados supuestos y atendiendo a las circunstancias concurrentes, resulte necesario limitar o modular los efectos de la declaración de nuli</w:t>
      </w:r>
      <w:r>
        <w:lastRenderedPageBreak/>
        <w:t>dad de la norma (que es el modo ordinario de reparación de su inconstitucionalidad), mediante la aplicación de criterios objetivos que conduzcan a la adecuada ponderación de los bienes y valores en presencia dignos de protección constitucional.</w:t>
      </w:r>
    </w:p>
    <w:p w14:paraId="41AC1D83" w14:textId="77777777" w:rsidR="009D7677" w:rsidRDefault="009D7677" w:rsidP="009D7677">
      <w:pPr>
        <w:pStyle w:val="TextoNormal"/>
      </w:pPr>
    </w:p>
    <w:p w14:paraId="74A6706E" w14:textId="77777777" w:rsidR="009D7677" w:rsidRDefault="009D7677" w:rsidP="009D7677">
      <w:pPr>
        <w:pStyle w:val="TextoNormal"/>
      </w:pPr>
      <w:r>
        <w:t>Esa ponderación, como he expuesto, está ausente en el presente caso.</w:t>
      </w:r>
    </w:p>
    <w:p w14:paraId="5AFC4F19" w14:textId="77777777" w:rsidR="009D7677" w:rsidRDefault="009D7677" w:rsidP="009D7677">
      <w:pPr>
        <w:pStyle w:val="TextoNormal"/>
      </w:pPr>
    </w:p>
    <w:p w14:paraId="0F178431" w14:textId="77777777" w:rsidR="009D7677" w:rsidRDefault="009D7677" w:rsidP="009D7677">
      <w:pPr>
        <w:pStyle w:val="TextoNormal"/>
      </w:pPr>
      <w:r>
        <w:t>Y en este sentido emito mi voto particular.</w:t>
      </w:r>
    </w:p>
    <w:p w14:paraId="1FCED73B" w14:textId="77777777" w:rsidR="009D7677" w:rsidRDefault="009D7677" w:rsidP="009D7677">
      <w:pPr>
        <w:pStyle w:val="TextoNormal"/>
      </w:pPr>
    </w:p>
    <w:p w14:paraId="1F581D90" w14:textId="5D23B485" w:rsidR="009D7677" w:rsidRDefault="009D7677" w:rsidP="009D7677">
      <w:pPr>
        <w:pStyle w:val="TextoNormal"/>
      </w:pPr>
      <w:r>
        <w:t>Madrid, a diecinueve de enero de dos mil veinticuatro.</w:t>
      </w:r>
    </w:p>
    <w:p w14:paraId="1DC87E7F" w14:textId="2FA998B1" w:rsidR="009D7677" w:rsidRDefault="009D7677">
      <w:pPr>
        <w:spacing w:after="160" w:line="259" w:lineRule="auto"/>
        <w:rPr>
          <w:rFonts w:ascii="Times New Roman" w:eastAsia="Times New Roman" w:hAnsi="Times New Roman" w:cs="Times New Roman"/>
          <w:sz w:val="24"/>
          <w:szCs w:val="24"/>
          <w:lang w:eastAsia="es-ES"/>
        </w:rPr>
      </w:pPr>
      <w:r>
        <w:br w:type="page"/>
      </w:r>
    </w:p>
    <w:p w14:paraId="59F6EA1E" w14:textId="77777777" w:rsidR="009D7677" w:rsidRDefault="009D7677" w:rsidP="009D7677">
      <w:pPr>
        <w:pStyle w:val="TtuloResolucin"/>
      </w:pPr>
      <w:bookmarkStart w:id="14" w:name="SENTENCIA_2024_12"/>
      <w:r>
        <w:lastRenderedPageBreak/>
        <w:t>SENTENCIA 12/2024, de 29 de enero de 2024</w:t>
      </w:r>
    </w:p>
    <w:bookmarkEnd w:id="14"/>
    <w:p w14:paraId="54390E57" w14:textId="77777777" w:rsidR="009D7677" w:rsidRDefault="009D7677" w:rsidP="009D7677">
      <w:pPr>
        <w:pStyle w:val="TtuloResolucin"/>
      </w:pPr>
      <w:r>
        <w:t>Sala Segunda</w:t>
      </w:r>
    </w:p>
    <w:p w14:paraId="5808C193" w14:textId="77777777" w:rsidR="009D7677" w:rsidRDefault="009D7677" w:rsidP="009D7677">
      <w:pPr>
        <w:pStyle w:val="TtuloBOE"/>
      </w:pPr>
      <w:r>
        <w:t>(BOE núm. 53, de 29 de febrero de 2024)</w:t>
      </w:r>
    </w:p>
    <w:p w14:paraId="28B659EE" w14:textId="77777777" w:rsidR="009D7677" w:rsidRDefault="009D7677" w:rsidP="009D7677">
      <w:pPr>
        <w:pStyle w:val="TextoNormalCentrado"/>
      </w:pPr>
      <w:r>
        <w:t>ECLI:ES:TC:2024:12</w:t>
      </w:r>
    </w:p>
    <w:p w14:paraId="39CC1374" w14:textId="65131916" w:rsidR="009D7677" w:rsidRDefault="009D7677" w:rsidP="009D7677">
      <w:pPr>
        <w:pStyle w:val="TextoNormalCentrado"/>
      </w:pPr>
    </w:p>
    <w:p w14:paraId="22F40EF8" w14:textId="77777777" w:rsidR="009D7677" w:rsidRDefault="009D7677" w:rsidP="009D7677">
      <w:pPr>
        <w:pStyle w:val="SntesisDescriptiva"/>
      </w:pPr>
      <w:r>
        <w:t>Recurso de amparo 5881-2021. Promovido por Golf &amp; Mar 2000, S.L., y otras dos sociedades mercantiles, en relación con las resoluciones dictadas por un juzgado de primera instancia e instrucción de Alzira (Valencia) en procedimiento de ejecución hipotecaria.</w:t>
      </w:r>
    </w:p>
    <w:p w14:paraId="2AA32BBA" w14:textId="08B85726" w:rsidR="009D7677" w:rsidRDefault="009D7677" w:rsidP="009D7677">
      <w:pPr>
        <w:pStyle w:val="SntesisDescriptiva"/>
      </w:pPr>
    </w:p>
    <w:p w14:paraId="172CAD8E" w14:textId="77777777" w:rsidR="009D7677" w:rsidRDefault="009D7677" w:rsidP="009D7677">
      <w:pPr>
        <w:pStyle w:val="SntesisAnaltica"/>
      </w:pPr>
      <w:r>
        <w:t>Vulneración del derecho a la tutela judicial sin indefensión: emplazamiento mediante edictos llevado a cabo sin agotar las posibilidades de notificación personal y sin consultar los datos obrantes en el registro mercantil.</w:t>
      </w:r>
    </w:p>
    <w:p w14:paraId="55CA65CD" w14:textId="50B05153" w:rsidR="009D7677" w:rsidRDefault="009D7677" w:rsidP="009D7677">
      <w:pPr>
        <w:pStyle w:val="SntesisAnaltica"/>
      </w:pPr>
    </w:p>
    <w:p w14:paraId="750BE592" w14:textId="299EB397" w:rsidR="009D7677" w:rsidRDefault="009D7677" w:rsidP="009D7677">
      <w:pPr>
        <w:pStyle w:val="Extracto"/>
      </w:pPr>
      <w:r>
        <w:t>1.</w:t>
      </w:r>
      <w:r>
        <w:tab/>
        <w:t>Es preciso que el órgano judicial agote las posibilidades de averiguación del domicilio real del demandado antes de acudir a su notificación por edictos. Cuando no conste tal domicilio en las actuaciones, el órgano judicial deberá realizar otras gestiones en orden a su averiguación, siempre que ello no suponga exigirle una desmedida actividad investigadora (SSTC 126/1999 o 181/2021) [FJ 2].</w:t>
      </w:r>
    </w:p>
    <w:p w14:paraId="1E250FA4" w14:textId="77777777" w:rsidR="009D7677" w:rsidRDefault="009D7677" w:rsidP="009D7677">
      <w:pPr>
        <w:pStyle w:val="Extracto"/>
      </w:pPr>
    </w:p>
    <w:p w14:paraId="3D37A43E" w14:textId="3C83B67C" w:rsidR="009D7677" w:rsidRDefault="009D7677" w:rsidP="009D7677">
      <w:pPr>
        <w:pStyle w:val="Extracto"/>
      </w:pPr>
      <w:r>
        <w:t>2.</w:t>
      </w:r>
      <w:r>
        <w:tab/>
        <w:t>Tras el intento infructuoso de notificación personal del demandado y tratándose de sociedades mercantiles, el órgano judicial debe consultar los datos del Registro mercantil y, en ellos, los relativos al administrador; teniendo en cuenta lo que establece el art. 155.3 LEC en su último párrafo para los casos en que la demanda se dirige contra una persona jurídica, así como la jurisprudencia constitucional relativa al emplazamiento a través del administrador de una sociedad mercantil [FJ 3].</w:t>
      </w:r>
    </w:p>
    <w:p w14:paraId="27EFB215" w14:textId="77777777" w:rsidR="009D7677" w:rsidRDefault="009D7677" w:rsidP="009D7677">
      <w:pPr>
        <w:pStyle w:val="Extracto"/>
      </w:pPr>
    </w:p>
    <w:p w14:paraId="6CA4F1F3" w14:textId="77777777" w:rsidR="009D7677" w:rsidRDefault="009D7677" w:rsidP="009D7677">
      <w:pPr>
        <w:pStyle w:val="Extracto"/>
      </w:pPr>
    </w:p>
    <w:p w14:paraId="1D082F20" w14:textId="77777777" w:rsidR="009D7677" w:rsidRDefault="009D7677" w:rsidP="009D7677">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30408944" w14:textId="1D81F106" w:rsidR="009D7677" w:rsidRDefault="009D7677" w:rsidP="009D7677">
      <w:pPr>
        <w:pStyle w:val="TextoNormal"/>
      </w:pPr>
    </w:p>
    <w:p w14:paraId="58C169F1" w14:textId="77777777" w:rsidR="009D7677" w:rsidRDefault="009D7677" w:rsidP="009D7677">
      <w:pPr>
        <w:pStyle w:val="TextoNormalCentrado"/>
        <w:keepNext/>
      </w:pPr>
      <w:r>
        <w:t>EN NOMBRE DEL REY</w:t>
      </w:r>
    </w:p>
    <w:p w14:paraId="7188869F" w14:textId="1DA186E9" w:rsidR="009D7677" w:rsidRDefault="009D7677" w:rsidP="009D7677">
      <w:pPr>
        <w:pStyle w:val="TextoNormalCentrado"/>
        <w:keepNext/>
      </w:pPr>
    </w:p>
    <w:p w14:paraId="1265D4B3" w14:textId="77777777" w:rsidR="009D7677" w:rsidRDefault="009D7677" w:rsidP="009D7677">
      <w:pPr>
        <w:pStyle w:val="TextoNormalCentrado"/>
        <w:keepNext/>
      </w:pPr>
    </w:p>
    <w:p w14:paraId="700A0F9A" w14:textId="77777777" w:rsidR="009D7677" w:rsidRDefault="009D7677" w:rsidP="009D7677">
      <w:pPr>
        <w:pStyle w:val="TextoNormal"/>
      </w:pPr>
      <w:r>
        <w:t>la siguiente</w:t>
      </w:r>
    </w:p>
    <w:p w14:paraId="7EEA64BE" w14:textId="0127D459" w:rsidR="009D7677" w:rsidRDefault="009D7677" w:rsidP="009D7677">
      <w:pPr>
        <w:pStyle w:val="TextoNormal"/>
      </w:pPr>
    </w:p>
    <w:p w14:paraId="6F4523FD" w14:textId="77777777" w:rsidR="009D7677" w:rsidRDefault="009D7677" w:rsidP="009D7677">
      <w:pPr>
        <w:pStyle w:val="TextoNormalCentrado"/>
        <w:keepNext/>
      </w:pPr>
      <w:r>
        <w:t>SENTENCIA</w:t>
      </w:r>
    </w:p>
    <w:p w14:paraId="22E7C1B7" w14:textId="2FFF46A0" w:rsidR="009D7677" w:rsidRDefault="009D7677" w:rsidP="009D7677">
      <w:pPr>
        <w:pStyle w:val="TextoNormalCentrado"/>
        <w:keepNext/>
      </w:pPr>
    </w:p>
    <w:p w14:paraId="7EA70DF6" w14:textId="77777777" w:rsidR="009D7677" w:rsidRDefault="009D7677" w:rsidP="009D7677">
      <w:pPr>
        <w:pStyle w:val="TextoNormal"/>
      </w:pPr>
      <w:r>
        <w:t>En el recurso de amparo núm. 5881-2021, promovido por Golf &amp; Mar 2000, S.L.; Promociones Torreurbe, S.L., e Ibermagreb, S.L., Import-Export, representadas por la procuradora de los tribunales doña Carmen Lis Gómez, y bajo la dirección letrada de don Miguel Ángel del Hierro Hernández, contra el auto de 12 de julio de 2021 dictado por el Juzgado de Primera Instancia e Instrucción núm. 5 de Alzira (Valencia), que desestimó el incidente extraordinario de nulidad de actuaciones planteado en el procedimiento de ejecución hipotecaria núm. 646-2019, iniciado por la Sociedad de Gestión de Activos proce</w:t>
      </w:r>
      <w:r>
        <w:lastRenderedPageBreak/>
        <w:t>dentes de Reestructuración Bancaria, S.A. (SAREB). Ha sido parte la citada SAREB, representada por el procurador de los tribunales don Javier Hernández Berrocal y bajo la dirección letrada de doña Esther Cuquerella Cuquerella. Ha intervenido el Ministerio Fiscal. Ha sido ponente la magistrada doña María Luisa Balaguer Callejón.</w:t>
      </w:r>
    </w:p>
    <w:p w14:paraId="3905DA89" w14:textId="152319F2" w:rsidR="009D7677" w:rsidRDefault="009D7677" w:rsidP="009D7677">
      <w:pPr>
        <w:pStyle w:val="TextoNormal"/>
      </w:pPr>
    </w:p>
    <w:p w14:paraId="037FF880" w14:textId="77777777" w:rsidR="009D7677" w:rsidRDefault="009D7677" w:rsidP="009D7677">
      <w:pPr>
        <w:pStyle w:val="TextoNormalNegritaCentrado"/>
        <w:keepNext/>
      </w:pPr>
      <w:r>
        <w:t>I. Antecedentes</w:t>
      </w:r>
    </w:p>
    <w:p w14:paraId="54A9BCFA" w14:textId="0EC3AAE6" w:rsidR="009D7677" w:rsidRDefault="009D7677" w:rsidP="009D7677">
      <w:pPr>
        <w:pStyle w:val="TextoNormalNegritaCentrado"/>
        <w:keepNext/>
      </w:pPr>
    </w:p>
    <w:p w14:paraId="4F43C1C2" w14:textId="76BCEF8C" w:rsidR="009D7677" w:rsidRDefault="009D7677" w:rsidP="009D7677">
      <w:pPr>
        <w:pStyle w:val="TextoNormal"/>
      </w:pPr>
      <w:r w:rsidRPr="009D7677">
        <w:rPr>
          <w:rStyle w:val="NumeroAFNegritaCaracter"/>
        </w:rPr>
        <w:t>1</w:t>
      </w:r>
      <w:r>
        <w:t>. Mediante escrito presentado en el registro general de este tribunal el día 17 de septiembre de 2021, la procuradora doña Carmen Lis Gómez interpuso recurso de amparo contra la resolución indicada en el encabezamiento de la sentencia, en nombre de las entidades Golf &amp; Mar 2000, S.L.; Promociones Torreurbe, S.L., e Ibermagreb, S.L., Import-Export.</w:t>
      </w:r>
    </w:p>
    <w:p w14:paraId="076EA4D7" w14:textId="77777777" w:rsidR="009D7677" w:rsidRDefault="009D7677" w:rsidP="009D7677">
      <w:pPr>
        <w:pStyle w:val="TextoNormal"/>
      </w:pPr>
    </w:p>
    <w:p w14:paraId="096E4608" w14:textId="77777777" w:rsidR="009D7677" w:rsidRDefault="009D7677" w:rsidP="009D7677">
      <w:pPr>
        <w:pStyle w:val="TextoNormal"/>
      </w:pPr>
      <w:r w:rsidRPr="009D7677">
        <w:rPr>
          <w:rStyle w:val="NumeroAFNegritaCaracter"/>
        </w:rPr>
        <w:t>2</w:t>
      </w:r>
      <w:r>
        <w:t>. Los hechos relevantes para la resolución de este recurso de amparo son los siguientes:</w:t>
      </w:r>
    </w:p>
    <w:p w14:paraId="09BD2EB8" w14:textId="77777777" w:rsidR="009D7677" w:rsidRDefault="009D7677" w:rsidP="009D7677">
      <w:pPr>
        <w:pStyle w:val="TextoNormal"/>
      </w:pPr>
    </w:p>
    <w:p w14:paraId="271E080F" w14:textId="77777777" w:rsidR="009D7677" w:rsidRDefault="009D7677" w:rsidP="009D7677">
      <w:pPr>
        <w:pStyle w:val="TextoNormal"/>
      </w:pPr>
      <w:r>
        <w:t>a) El 30 de julio de 2019, SAREB formuló demanda de ejecución hipotecaria contra Promociones Torreurbe, S.L., en calidad de deudora, y contra Golf &amp; Mar 2000, S.L., como hipotecante no deudora, respecto de cinco parcelas de naturaleza urbana, solicitando, además, que se notificase la existencia del procedimiento a los fiadores, Ibermagreb, S.L., Import-Export ,y Golf &amp; Mar 2000, S.L. Se señaló como domicilio de todas ellas la calle Hort dels Frares, núm. 23, de Alzira, que es el domicilio que figuraba en las escrituras de préstamo hipotecario. Entre la documentación que acompañaba a la demanda se encontraba el justificante de envío de un burofax a cada uno de los demandados, a los efectos de los arts. 572 y 573 de la Ley de enjuiciamiento civil (LEC), indicando el saldo exigible, constando en todos ellos que habían pasado a lista, lo que significa que el domicilio era el correcto pero las entidades no pasaron a recoger el burofax.</w:t>
      </w:r>
    </w:p>
    <w:p w14:paraId="076769D4" w14:textId="77777777" w:rsidR="009D7677" w:rsidRDefault="009D7677" w:rsidP="009D7677">
      <w:pPr>
        <w:pStyle w:val="TextoNormal"/>
      </w:pPr>
    </w:p>
    <w:p w14:paraId="63065EEF" w14:textId="77777777" w:rsidR="009D7677" w:rsidRDefault="009D7677" w:rsidP="009D7677">
      <w:pPr>
        <w:pStyle w:val="TextoNormal"/>
      </w:pPr>
      <w:r>
        <w:t>b) El Juzgado de Primera Instancia e Instrucción núm. 5 de Alzira dictó auto el 17 de septiembre de 2019, acordando el despacho de la ejecución y el requerimiento de pago al ejecutado y al hipotecante no deudor, con notificación a los fiadores en el domicilio de Alzira antes reseñado.</w:t>
      </w:r>
    </w:p>
    <w:p w14:paraId="4C8C8360" w14:textId="77777777" w:rsidR="009D7677" w:rsidRDefault="009D7677" w:rsidP="009D7677">
      <w:pPr>
        <w:pStyle w:val="TextoNormal"/>
      </w:pPr>
    </w:p>
    <w:p w14:paraId="10C38A20" w14:textId="77777777" w:rsidR="009D7677" w:rsidRDefault="009D7677" w:rsidP="009D7677">
      <w:pPr>
        <w:pStyle w:val="TextoNormal"/>
      </w:pPr>
      <w:r>
        <w:t>c) El 8 de octubre de 2019 se intentó la notificación a las tres mercantiles en la calle Hort dels Frares, núm. 23, de Alzira con resultado negativo. Indican las tres diligencias extendidas, una por cada uno de los destinatarios, que “[t]ras varias llamadas nadie responde al timbre. No constan nombres en timbres ni buzones. Los vecinos desconocen a la mercantil requerida. Acompaño fotografías”.</w:t>
      </w:r>
    </w:p>
    <w:p w14:paraId="042B2595" w14:textId="77777777" w:rsidR="009D7677" w:rsidRDefault="009D7677" w:rsidP="009D7677">
      <w:pPr>
        <w:pStyle w:val="TextoNormal"/>
      </w:pPr>
    </w:p>
    <w:p w14:paraId="4ADCE9B5" w14:textId="77777777" w:rsidR="009D7677" w:rsidRDefault="009D7677" w:rsidP="009D7677">
      <w:pPr>
        <w:pStyle w:val="TextoNormal"/>
      </w:pPr>
      <w:r>
        <w:t>d) SAREB solicitó la averiguación domiciliaria, que fue acordada por diligencia de ordenación de 14 de octubre de 2019. El resultado de la consulta arrojó como resultado únicamente el domicilio de la calle Hort dels Frares, por lo que, previa petición de la ejecutante, se dictó diligencia de ordenación el 18 de octubre de 2019 acordando realizar la notificación y requerimiento de pago mediante edictos.</w:t>
      </w:r>
    </w:p>
    <w:p w14:paraId="1BBE39EC" w14:textId="77777777" w:rsidR="009D7677" w:rsidRDefault="009D7677" w:rsidP="009D7677">
      <w:pPr>
        <w:pStyle w:val="TextoNormal"/>
      </w:pPr>
    </w:p>
    <w:p w14:paraId="60079A30" w14:textId="77777777" w:rsidR="009D7677" w:rsidRDefault="009D7677" w:rsidP="009D7677">
      <w:pPr>
        <w:pStyle w:val="TextoNormal"/>
      </w:pPr>
      <w:r>
        <w:t>El procedimiento siguió su curso, dictándose decreto de adjudicación el 10 de febrero de 2021.</w:t>
      </w:r>
    </w:p>
    <w:p w14:paraId="5862A826" w14:textId="77777777" w:rsidR="009D7677" w:rsidRDefault="009D7677" w:rsidP="009D7677">
      <w:pPr>
        <w:pStyle w:val="TextoNormal"/>
      </w:pPr>
    </w:p>
    <w:p w14:paraId="6CCEA004" w14:textId="77777777" w:rsidR="009D7677" w:rsidRDefault="009D7677" w:rsidP="009D7677">
      <w:pPr>
        <w:pStyle w:val="TextoNormal"/>
      </w:pPr>
      <w:r>
        <w:t>e) El 26 de abril de 2021, Promociones Torreurbe, S.L., y Golf &amp; Mar 2000, S.L., se personaron en el procedimiento, planteando posteriormente incidente de nulidad de actuaciones alegando que ninguna de las tres mercantiles había recibido requerimiento de pago de la entidad ejecutante, ni del juzgado, ni ninguna otra notificación de lo acontecido en el procedimiento, causando indefensión. Señalaban en su escrito que el procurador de SAREB tan solo intentó la notificación una vez y no dejó aviso, que tras la averiguación domiciliaria que corroboró que el domicilio era el correcto, no se intentó nueva notificación en el mismo, sino que se procedió a la notificación por edictos, y que existen otras ejecuciones instadas por SAREB contra las mismas mercantiles, que se han personado en aquellos procedimientos por medio de abogado y procurador, por lo que SAREB sabía a qué profesionales dirigirse para notificar la demanda. Consideran que se ha vulnerado la jurisprudencia del Tribunal Constitucional y el Tribunal Supremo sobre el requisito de agotamiento de las vías de localización antes de acudir a los edictos, con cita de las SSTC 176/2009, de 16 de julio; 61/2010, de 18 de octubre, y 30/2014, de 24 de febrero, apuntando además a una maquinación fraudulenta de la ejecutante, al ser conocedora de la identidad del abogado y procurador de Golf &amp; Mar 2000, S.L., en otra ejecución hipotecaria.</w:t>
      </w:r>
    </w:p>
    <w:p w14:paraId="4931ACF1" w14:textId="77777777" w:rsidR="009D7677" w:rsidRDefault="009D7677" w:rsidP="009D7677">
      <w:pPr>
        <w:pStyle w:val="TextoNormal"/>
      </w:pPr>
    </w:p>
    <w:p w14:paraId="0931C74F" w14:textId="26398843" w:rsidR="009D7677" w:rsidRDefault="009D7677" w:rsidP="009D7677">
      <w:pPr>
        <w:pStyle w:val="TextoNormal"/>
      </w:pPr>
      <w:r>
        <w:t>El juzgado dictó auto el 12 de julio de 2021, desestimando la nulidad solicitada, al apreciar que se habría cumplido con el art. 686.2 LEC, que fija como lugar de notificación el domicilio que conste consignado en el registro. En este caso, el 8 de octubre de 2019 se procedió, a través del procurador de SAREB, de conformidad con el art. 152.1 LEC, a la notificación del auto despachando ejecución y del requerimiento de pago a Promociones Torreurbe, S.L.; Golf &amp; Mar 2000, S.L., e Ibermagreb, S.L., Import-Export, en el domicilio que constaba en el registro de la propiedad. Tras el resultado negativo, se realizó la averiguación domiciliaria de las mercantiles, que no arrojó nuevos domicilios, por lo que se procedió a la notificación por edictos. No se acredita infracción alguna de norma esencial del procedimiento que haya causado indefensión.</w:t>
      </w:r>
    </w:p>
    <w:p w14:paraId="476F7054" w14:textId="77777777" w:rsidR="009D7677" w:rsidRDefault="009D7677" w:rsidP="009D7677">
      <w:pPr>
        <w:pStyle w:val="TextoNormal"/>
      </w:pPr>
    </w:p>
    <w:p w14:paraId="7AC3C0C3" w14:textId="77777777" w:rsidR="009D7677" w:rsidRDefault="009D7677" w:rsidP="009D7677">
      <w:pPr>
        <w:pStyle w:val="TextoNormal"/>
      </w:pPr>
      <w:r w:rsidRPr="009D7677">
        <w:rPr>
          <w:rStyle w:val="NumeroAFNegritaCaracter"/>
        </w:rPr>
        <w:t>3</w:t>
      </w:r>
      <w:r>
        <w:t>. En la demanda de amparo se alega la vulneración del derecho a la tutela judicial efectiva sin indefensión (art. 24.1 CE), por la defectuosa notificación de la demanda y del resto de resoluciones dictadas en el procedimiento de ejecución hipotecaria dirigido contra los recurrentes. Los demandantes consideran que el juzgado no agotó las posibilidades de averiguación del domicilio real del ejecutado y de comunicación en el mismo antes de acudir a la notificación edictal, sobre la que reiteradamente se ha referido el Tribunal Constitucional en relación con las ejecuciones hipotecarias. En este caso, tan solo se practicó un intento de notificación en el domicilio de Alzira, sin que se pueda deducir de la diligencia negativa que se trate de una vivienda en desuso. La averiguación domiciliaria confirmó que era el domicilio correcto, y en otros procedimientos instados por SAREB frente a las mismas mercantiles se practicó la notificación con éxito en ese domicilio. Añaden que SAREB conocía la identidad del abogado y del procurador de aquellos procedimientos, a través de los cuales habría sido fácil lograr la notificación, pero incumplió su obligación de aportar al órgano judicial cuantos datos conociera del demandado. Y concluyen que el órgano judicial ha incumplido su obligación de extremar la búsqueda al no haber consultado los datos del registro mercantil, y en ellos, los relativos al administrador, como establecen los arts. 686.2, último párrafo y 155.3 LEC.</w:t>
      </w:r>
    </w:p>
    <w:p w14:paraId="6524D9FD" w14:textId="77777777" w:rsidR="009D7677" w:rsidRDefault="009D7677" w:rsidP="009D7677">
      <w:pPr>
        <w:pStyle w:val="TextoNormal"/>
      </w:pPr>
    </w:p>
    <w:p w14:paraId="28B39760" w14:textId="7CF7FA68" w:rsidR="009D7677" w:rsidRDefault="009D7677" w:rsidP="009D7677">
      <w:pPr>
        <w:pStyle w:val="TextoNormal"/>
      </w:pPr>
      <w:r>
        <w:lastRenderedPageBreak/>
        <w:t>Como motivo de especial trascendencia constitucional se alega que el órgano judicial se aparta claramente, en negativa manifiesta, del deber de acatamiento de la doctrina del Tribunal Constitucional [STC 155/2009, de 25 de junio, FJ 2 f)], y cita a tal efecto la STC 30/2014, FFJJ 3 y 4. Añade que el recurso puede dar ocasión al Tribunal para aclarar o cambiar su doctrina como consecuencia de cambios normativos relevantes para la configuración del contenido del derecho fundamental [STC 155/2009, FJ 2 b)] en relación con dos cuestiones concretas: (i) si es o no suficiente un solo intento de notificación fallido en un domicilio para deducir la necesidad de averiguar y notificar en otro domicilio; y (ii) si en los casos en los que el procurador de la parte contraria se encarga de intentar la notificación al demandado, es suficiente aportar una fotografía del lugar para justificar que se ha intentado la notificación. Añade a sus alegaciones una duda acerca de la imparcialidad del procurador contrario cuando intenta la notificación.</w:t>
      </w:r>
    </w:p>
    <w:p w14:paraId="6BC1373D" w14:textId="77777777" w:rsidR="009D7677" w:rsidRDefault="009D7677" w:rsidP="009D7677">
      <w:pPr>
        <w:pStyle w:val="TextoNormal"/>
      </w:pPr>
    </w:p>
    <w:p w14:paraId="02CA7B9C" w14:textId="7B3B208E" w:rsidR="009D7677" w:rsidRDefault="009D7677" w:rsidP="009D7677">
      <w:pPr>
        <w:pStyle w:val="TextoNormal"/>
      </w:pPr>
      <w:r w:rsidRPr="009D7677">
        <w:rPr>
          <w:rStyle w:val="NumeroAFNegritaCaracter"/>
        </w:rPr>
        <w:t>4</w:t>
      </w:r>
      <w:r>
        <w:t>. La Sala Primera, Sección Segunda, de este Tribunal Constitucional dictó providencia el 14 de noviembre de 2022 admitiendo a trámite la demanda de amparo por apreciar que concurre una especial trascendencia constitucional [art. 50.1 de la Ley Orgánica del Tribunal Constitucional (LOTC)] porque el recurso puede dar ocasión para aclarar o cambiar su doctrina, como consecuencia de cambios normativos relevantes para la configuración del contenido del derecho fundamental [STC 155/2009, FJ 2 b)] y porque el órgano judicial pudiera haber incurrido en una negativa manifiesta del deber de acatamiento de la doctrina de este tribunal [STC 155/2009, FJ 2 f)]. Por ello, en aplicación de lo dispuesto en el art. 51 LOTC, acordó dirigir atenta comunicación al Juzgado de Primera Instancia e Instrucción núm. 5 de Alzira a fin de que, en plazo que no excediera de diez días, remitiese certificación o fotocopia adverada de las actuaciones correspondientes al procedimiento de ejecución hipotecaria núm. 646-2019, debiendo previamente emplazarse a quienes hubieran sido parte en el procedimiento, excepto la parte recurrente en amparo, para que en el plazo de diez días pudieran comparecer en el recurso de amparo, si lo desearan.</w:t>
      </w:r>
    </w:p>
    <w:p w14:paraId="5343B894" w14:textId="77777777" w:rsidR="009D7677" w:rsidRDefault="009D7677" w:rsidP="009D7677">
      <w:pPr>
        <w:pStyle w:val="TextoNormal"/>
      </w:pPr>
    </w:p>
    <w:p w14:paraId="2EF27611" w14:textId="77777777" w:rsidR="009D7677" w:rsidRDefault="009D7677" w:rsidP="009D7677">
      <w:pPr>
        <w:pStyle w:val="TextoNormal"/>
      </w:pPr>
      <w:r w:rsidRPr="009D7677">
        <w:rPr>
          <w:rStyle w:val="NumeroAFNegritaCaracter"/>
        </w:rPr>
        <w:t>5</w:t>
      </w:r>
      <w:r>
        <w:t>. Por diligencia de ordenación de la Sala Primera del Tribunal Constitucional de 15 de diciembre de 2022, se tuvieron por recibidos los testimonios de las actuaciones del Juzgado de Primera Instancia e Instrucción núm. 5 de Alzira y el escrito del procurador don Javier Hernández Berrocal, a quien se tuvo por personado y parte en nombre y representación de SAREB.</w:t>
      </w:r>
    </w:p>
    <w:p w14:paraId="1C9D094A" w14:textId="77777777" w:rsidR="009D7677" w:rsidRDefault="009D7677" w:rsidP="009D7677">
      <w:pPr>
        <w:pStyle w:val="TextoNormal"/>
      </w:pPr>
    </w:p>
    <w:p w14:paraId="508C333F" w14:textId="18B78D94" w:rsidR="009D7677" w:rsidRDefault="009D7677" w:rsidP="009D7677">
      <w:pPr>
        <w:pStyle w:val="TextoNormal"/>
      </w:pPr>
      <w:r>
        <w:t>La misma diligencia acordaba, a tenor de lo dispuesto en el art. 52 LOTC, dar vista de todas las actuaciones del recurso de amparo por un plazo común de veinte días al Ministerio Fiscal y a las partes personadas, para que dentro de dicho término pudieran presentar las alegaciones que a su derecho conviniera.</w:t>
      </w:r>
    </w:p>
    <w:p w14:paraId="4594A935" w14:textId="77777777" w:rsidR="009D7677" w:rsidRDefault="009D7677" w:rsidP="009D7677">
      <w:pPr>
        <w:pStyle w:val="TextoNormal"/>
      </w:pPr>
    </w:p>
    <w:p w14:paraId="02C4C8CE" w14:textId="1FF54764" w:rsidR="009D7677" w:rsidRDefault="009D7677" w:rsidP="009D7677">
      <w:pPr>
        <w:pStyle w:val="TextoNormal"/>
      </w:pPr>
      <w:r w:rsidRPr="009D7677">
        <w:rPr>
          <w:rStyle w:val="NumeroAFNegritaCaracter"/>
        </w:rPr>
        <w:t>6</w:t>
      </w:r>
      <w:r>
        <w:t>. En virtud de lo acordado por el Pleno del Tribunal Constitucional el día 17 de enero de 2023, publicado en el “Boletín Oficial del Estado” de 19 de enero, el presente recurso de amparo fue turnado a la Sala Segunda del Tribunal Constitucional, lo que se puso en conocimiento de las partes y del Ministerio Fiscal por diligencia de ordenación de 20 de enero de 2023.</w:t>
      </w:r>
    </w:p>
    <w:p w14:paraId="3944BF34" w14:textId="77777777" w:rsidR="009D7677" w:rsidRDefault="009D7677" w:rsidP="009D7677">
      <w:pPr>
        <w:pStyle w:val="TextoNormal"/>
      </w:pPr>
    </w:p>
    <w:p w14:paraId="74C3A90C" w14:textId="77777777" w:rsidR="009D7677" w:rsidRDefault="009D7677" w:rsidP="009D7677">
      <w:pPr>
        <w:pStyle w:val="TextoNormal"/>
      </w:pPr>
      <w:r w:rsidRPr="009D7677">
        <w:rPr>
          <w:rStyle w:val="NumeroAFNegritaCaracter"/>
        </w:rPr>
        <w:t>7</w:t>
      </w:r>
      <w:r>
        <w:t>. El 27 de enero de 2023, la representación procesal de SAREB presentó escrito de alegaciones en el que solicitaba la desestimación del recurso de amparo. Basa esta peti</w:t>
      </w:r>
      <w:r>
        <w:lastRenderedPageBreak/>
        <w:t>ción, en concreto, en que la ejecutante remitió el correspondiente burofax al deudor, al hipotecante no deudor y al fiador, en el domicilio de Alzira, antes de la interposición de la demanda. Todos los burofaxes pasaron a lista, lo que significa que el domicilio es correcto pero las entidades no pasaron a recogerlo. Posteriormente, tras presentarse la demanda, el procurador intentó el requerimiento de pago en el domicilio pactado, que se encontraba cerrado y no presentaba un cartel o placa con los nombres de las mercantiles, ni había un buzón para correspondencia, ni se indicaba horario de oficina, todo lo cual evitaba que se dejase aviso en el local. Seguidamente, dando cumplimiento al art. 686.3 LEC, se realizó la consulta domiciliaria que dio como resultado el mismo domicilio en que había resultado negativo el intento de notificación. Y la recurrente no había comunicado en ningún momento cambio de domicilio, tal y como se pactó en las escrituras de préstamo hipotecario.</w:t>
      </w:r>
    </w:p>
    <w:p w14:paraId="5743D4AF" w14:textId="77777777" w:rsidR="009D7677" w:rsidRDefault="009D7677" w:rsidP="009D7677">
      <w:pPr>
        <w:pStyle w:val="TextoNormal"/>
      </w:pPr>
    </w:p>
    <w:p w14:paraId="390C18FB" w14:textId="6EFA98A5" w:rsidR="009D7677" w:rsidRDefault="009D7677" w:rsidP="009D7677">
      <w:pPr>
        <w:pStyle w:val="TextoNormal"/>
      </w:pPr>
      <w:r>
        <w:t>En sus alegaciones, SAREB invocó además la jurisprudencia constitucional conforme a la cual no se produce indefensión cuando la omisión o frustración de los actos de comunicación procesal tienen su causa en la falta de diligencia del afectado en la defensa de sus derechos e intereses, bien porque se ha colocado al margen del proceso mediante una actitud pasiva, bien cuando resulte probado que poseía un conocimiento extraprocesal de la existencia del litigio en el que no fue personalmente emplazado (SSTC 149/2002, de 15 de julio; 6/2003, de 20 de enero; 55/2003, de 24 de marzo; 90/2003, de 19 de mayo; 191/2003, de 27 de octubre; 43/2006, de 13 febrero; 161/2006, de 22 de mayo, y 93/2009, de 20 de abril). Considera que, en este caso, el órgano judicial ha desplegado todos los medios a su alcance para averiguar el domicilio de las recurrentes, siendo la pasividad de estas la que ha propiciado la frustración de la notificación. Y niega que, en este caso, haya habido una indefensión real y efectiva. Finalmente, invoca la necesidad de ponderación, conforme a la jurisprudencia constitucional, de los defectos procesales y la sanción que acarrean, procurando, siempre que sea posible, la conservación de la eficacia de los actos procesales y del proceso como instrumento para alcanzar la efectividad de la tutela judicial, teniendo en cuenta la finalidad perseguida por la norma infringida y su trascendencia para las garantías procesales de las partes, así como la voluntad y grado de diligencia procesal apreciada en la parte en orden al cumplimiento del requisito procesal omitido o irregularmente observado (SSTC 331/1994, de 19 de diciembre, y 145/1998, de 30 de junio). En este procedimiento de ejecución hipotecaria se estaba reclamando un préstamo vencido desde 2014, habiéndose seguido la tramitación hasta la adjudicación al ejecutante por el 50 por 100 del valor de tasación, sin que el administrador de las tres mercantiles, que ya no tienen actividad, hubiera desplegado un mínimo de diligencia para recibir las notificaciones, dificultando la realización de los bienes a la entidad acreedora.</w:t>
      </w:r>
    </w:p>
    <w:p w14:paraId="1DD97D0A" w14:textId="77777777" w:rsidR="009D7677" w:rsidRDefault="009D7677" w:rsidP="009D7677">
      <w:pPr>
        <w:pStyle w:val="TextoNormal"/>
      </w:pPr>
    </w:p>
    <w:p w14:paraId="52894710" w14:textId="77777777" w:rsidR="009D7677" w:rsidRDefault="009D7677" w:rsidP="009D7677">
      <w:pPr>
        <w:pStyle w:val="TextoNormal"/>
      </w:pPr>
      <w:r w:rsidRPr="009D7677">
        <w:rPr>
          <w:rStyle w:val="NumeroAFNegritaCaracter"/>
        </w:rPr>
        <w:t>8</w:t>
      </w:r>
      <w:r>
        <w:t xml:space="preserve">. El 2 de febrero de 2023, el Ministerio Fiscal formuló sus alegaciones en las que, tras relatar lo acontecido en el procedimiento, interesó que se otorgara el amparo solicitado apoyándose en la STC 140/2022, de 14 de noviembre, FJ 2. Recuerda esta sentencia la jurisprudencia constitucional que establece el deber del órgano judicial de intentar la localización personal del demandado, de manera que cuando no sea posible la notificación en el domicilio designado en la escritura pública, debe emprender las gestiones previstas en los arts. 155.3 y 156 LEC antes de acudir al emplazamiento por edictos, que siempre ha de considerarse subsidiario. Y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edictal. Esta sentencia se refiere </w:t>
      </w:r>
      <w:r>
        <w:lastRenderedPageBreak/>
        <w:t>además a la jurisprudencia constitucional que estableció la necesidad de realizar una interpretación del art. 686.3 LEC secundum constitutionem, integrando su contenido con el art. 553 LEC, de manera que la comunicación edictal solo puede realizarse cuando se hayan agotado los medios de averiguación del domicilio del deudor o ejecutado, habiendo sido posteriormente modificado el art. 686.3 LEC por la Ley 19/2015, de 13 de julio, de medidas de reforma administrativa en el ámbito de la administración de justicia y del registro civil, con el fin de ajustar la norma a esta doctrina constitucional.</w:t>
      </w:r>
    </w:p>
    <w:p w14:paraId="53AD954C" w14:textId="77777777" w:rsidR="009D7677" w:rsidRDefault="009D7677" w:rsidP="009D7677">
      <w:pPr>
        <w:pStyle w:val="TextoNormal"/>
      </w:pPr>
    </w:p>
    <w:p w14:paraId="4EA6D20B" w14:textId="36C56B52" w:rsidR="009D7677" w:rsidRDefault="009D7677" w:rsidP="009D7677">
      <w:pPr>
        <w:pStyle w:val="TextoNormal"/>
      </w:pPr>
      <w:r>
        <w:t>En este caso, entiende el Ministerio Fiscal que el órgano judicial no agotó todas las posibilidades de averiguación legales, porque no se consultó en archivos o registros públicos a los que el juzgado tenía acceso, tal y como previenen los arts. 155, 156 y 686 LEC y, particularmente, señala que se podía haber intentado el emplazamiento en el domicilio del administrador único de las mercantiles, como contempla el art. 155.3, párrafo tercero LEC. No consta, por otra parte, que existiera conocimiento extraprocesal del procedimiento por parte de las demandadas hasta que se personaron en el procedimiento. En consecuencia, se habría producido una indefensión real y efectiva.</w:t>
      </w:r>
    </w:p>
    <w:p w14:paraId="42C0DFF2" w14:textId="77777777" w:rsidR="009D7677" w:rsidRDefault="009D7677" w:rsidP="009D7677">
      <w:pPr>
        <w:pStyle w:val="TextoNormal"/>
      </w:pPr>
    </w:p>
    <w:p w14:paraId="77D121B8" w14:textId="2D0783C2" w:rsidR="009D7677" w:rsidRDefault="009D7677" w:rsidP="009D7677">
      <w:pPr>
        <w:pStyle w:val="TextoNormal"/>
      </w:pPr>
      <w:r w:rsidRPr="009D7677">
        <w:rPr>
          <w:rStyle w:val="NumeroAFNegritaCaracter"/>
        </w:rPr>
        <w:t>9</w:t>
      </w:r>
      <w:r>
        <w:t>. No habiendo formulado alegaciones los recurrentes en amparo, mediante diligencia de 7 de febrero de 2023 quedó el recurso pendiente para deliberación cuando por turno corresponda.</w:t>
      </w:r>
    </w:p>
    <w:p w14:paraId="55F88C19" w14:textId="77777777" w:rsidR="009D7677" w:rsidRDefault="009D7677" w:rsidP="009D7677">
      <w:pPr>
        <w:pStyle w:val="TextoNormal"/>
      </w:pPr>
    </w:p>
    <w:p w14:paraId="5A38142E" w14:textId="346B1AD4" w:rsidR="009D7677" w:rsidRDefault="009D7677" w:rsidP="009D7677">
      <w:pPr>
        <w:pStyle w:val="TextoNormal"/>
      </w:pPr>
      <w:r w:rsidRPr="009D7677">
        <w:rPr>
          <w:rStyle w:val="NumeroAFNegritaCaracter"/>
        </w:rPr>
        <w:t>10</w:t>
      </w:r>
      <w:r>
        <w:t>. Mediante providencia de 25 de enero de 2024, se señaló para la deliberación y votación de la presente sentencia el día 29 del mismo mes y año.</w:t>
      </w:r>
    </w:p>
    <w:p w14:paraId="380CAB28" w14:textId="77777777" w:rsidR="009D7677" w:rsidRDefault="009D7677" w:rsidP="009D7677">
      <w:pPr>
        <w:pStyle w:val="TextoNormal"/>
      </w:pPr>
    </w:p>
    <w:p w14:paraId="31DD0A0F" w14:textId="77777777" w:rsidR="009D7677" w:rsidRDefault="009D7677" w:rsidP="009D7677">
      <w:pPr>
        <w:pStyle w:val="TextoNormalNegritaCentrado"/>
        <w:keepNext/>
      </w:pPr>
      <w:r>
        <w:t>II. Fundamentos jurídicos</w:t>
      </w:r>
    </w:p>
    <w:p w14:paraId="2D68B25E" w14:textId="248F8B3B" w:rsidR="009D7677" w:rsidRDefault="009D7677" w:rsidP="009D7677">
      <w:pPr>
        <w:pStyle w:val="TextoNormalNegritaCentrado"/>
        <w:keepNext/>
      </w:pPr>
    </w:p>
    <w:p w14:paraId="4739A417" w14:textId="77777777" w:rsidR="009D7677" w:rsidRDefault="009D7677" w:rsidP="009D7677">
      <w:pPr>
        <w:pStyle w:val="TextoNormal"/>
      </w:pPr>
      <w:r w:rsidRPr="009D7677">
        <w:rPr>
          <w:rStyle w:val="NumeroAFNegritaCaracter"/>
        </w:rPr>
        <w:t>1</w:t>
      </w:r>
      <w:r>
        <w:t>. Objeto del recurso de amparo</w:t>
      </w:r>
    </w:p>
    <w:p w14:paraId="3167124B" w14:textId="77777777" w:rsidR="009D7677" w:rsidRDefault="009D7677" w:rsidP="009D7677">
      <w:pPr>
        <w:pStyle w:val="TextoNormal"/>
      </w:pPr>
    </w:p>
    <w:p w14:paraId="55677982" w14:textId="77777777" w:rsidR="009D7677" w:rsidRDefault="009D7677" w:rsidP="009D7677">
      <w:pPr>
        <w:pStyle w:val="TextoNormal"/>
      </w:pPr>
      <w:r>
        <w:t>La demanda de amparo se dirige contra el auto de 12 de julio de 2021 del Juzgado de Primera Instancia e Instrucción núm. 5 de Alzira en el procedimiento de ejecución hipotecaria núm. 646-2021, que desestimó el incidente extraordinario de nulidad de actuaciones promovido por los recurrentes por falta de notificación personal de la demanda de ejecución hipotecaria.</w:t>
      </w:r>
    </w:p>
    <w:p w14:paraId="7B194A31" w14:textId="77777777" w:rsidR="009D7677" w:rsidRDefault="009D7677" w:rsidP="009D7677">
      <w:pPr>
        <w:pStyle w:val="TextoNormal"/>
      </w:pPr>
    </w:p>
    <w:p w14:paraId="6396A710" w14:textId="77777777" w:rsidR="009D7677" w:rsidRDefault="009D7677" w:rsidP="009D7677">
      <w:pPr>
        <w:pStyle w:val="TextoNormal"/>
      </w:pPr>
      <w:r>
        <w:t>Las demandantes de amparo denuncian que la resolución impugnada ha vulnerado su derecho a la tutela judicial efectiva (art. 24.1 CE) en su vertiente de derecho a no padecer indefensión por una defectuosa notificación de la demanda y del resto de las resoluciones dictadas en el procedimiento de ejecución hipotecaria seguido contra ellos. Consideran que el órgano judicial incumplió su obligación de agotar las posibilidades de averiguación del domicilio real del ejecutado antes de acudir a la notificación por edicto. En su lugar, solo se practicó un único intento de notificación por el procurador del ejecutante y, tras la averiguación domiciliaria, que confirmó que se trataba del domicilio de los demandados, no se realizó un nuevo intento de notificación ni averiguación de otro domicilio por otros medios, acordando directamente la notificación por medio de edicto, sin haber consultado los datos del registro mercantil relativos al administrador (arts. 686.2 y 155.3 LEC).</w:t>
      </w:r>
    </w:p>
    <w:p w14:paraId="3A834D77" w14:textId="77777777" w:rsidR="009D7677" w:rsidRDefault="009D7677" w:rsidP="009D7677">
      <w:pPr>
        <w:pStyle w:val="TextoNormal"/>
      </w:pPr>
    </w:p>
    <w:p w14:paraId="4EBD8625" w14:textId="77777777" w:rsidR="009D7677" w:rsidRDefault="009D7677" w:rsidP="009D7677">
      <w:pPr>
        <w:pStyle w:val="TextoNormal"/>
      </w:pPr>
      <w:r>
        <w:lastRenderedPageBreak/>
        <w:t>El Ministerio Fiscal considera que procede estimar el recurso de amparo porque, conforme estableció la STC 140/2022, FJ 2, el órgano judicial debió agotar las posibilidades de notificación personal antes de acudir al emplazamiento por edicto. En este sentido, señala que no se consultó en archivos o registros públicos a los que el juzgado tenía acceso, tal y como previenen los arts. 155, 156 y 686 LEC, ni se intentó el emplazamiento a través del administrador único de las mercantiles, ocasionando una indefensión real y efectiva.</w:t>
      </w:r>
    </w:p>
    <w:p w14:paraId="653B5A6C" w14:textId="77777777" w:rsidR="009D7677" w:rsidRDefault="009D7677" w:rsidP="009D7677">
      <w:pPr>
        <w:pStyle w:val="TextoNormal"/>
      </w:pPr>
    </w:p>
    <w:p w14:paraId="04CCB378" w14:textId="77777777" w:rsidR="009D7677" w:rsidRDefault="009D7677" w:rsidP="009D7677">
      <w:pPr>
        <w:pStyle w:val="TextoNormal"/>
      </w:pPr>
      <w:r>
        <w:t>Para SAREB, no se habría producido en este caso la vulneración alegada porque la omisión o frustración de los actos de comunicación procesal habrían tenido su causa en la falta de diligencia del afectado en la defensa de sus derechos e intereses, circunstancia que conforme a la jurisprudencia constitucional impide apreciar la indefensión real y efectiva.</w:t>
      </w:r>
    </w:p>
    <w:p w14:paraId="737C3450" w14:textId="77777777" w:rsidR="009D7677" w:rsidRDefault="009D7677" w:rsidP="009D7677">
      <w:pPr>
        <w:pStyle w:val="TextoNormal"/>
      </w:pPr>
    </w:p>
    <w:p w14:paraId="5BA7D3CF" w14:textId="305B6E88" w:rsidR="009D7677" w:rsidRDefault="009D7677" w:rsidP="009D7677">
      <w:pPr>
        <w:pStyle w:val="TextoNormal"/>
      </w:pPr>
      <w:r>
        <w:t>En definitiva, se trata de determinar si el órgano judicial habría incurrido en la vulneración del derecho a la tutela judicial efectiva sin indefensión por haber acudido al emplazamiento edictal tras un intento de notificación y tras realizar la averiguación domiciliaria que confirmó que el domicilio de los demandados era aquel en el que se intentó el emplazamiento, o si la falta de emplazamiento personal de los demandados debiera atribuirse a la falta de diligencia de los mismos para que tuviera lugar la notificación personal de la demanda, lo que excluiría la vulneración del derecho fundamental.</w:t>
      </w:r>
    </w:p>
    <w:p w14:paraId="6A9A4138" w14:textId="77777777" w:rsidR="009D7677" w:rsidRDefault="009D7677" w:rsidP="009D7677">
      <w:pPr>
        <w:pStyle w:val="TextoNormal"/>
      </w:pPr>
    </w:p>
    <w:p w14:paraId="355D7442" w14:textId="77777777" w:rsidR="009D7677" w:rsidRDefault="009D7677" w:rsidP="009D7677">
      <w:pPr>
        <w:pStyle w:val="TextoNormal"/>
      </w:pPr>
      <w:r w:rsidRPr="009D7677">
        <w:rPr>
          <w:rStyle w:val="NumeroAFNegritaCaracter"/>
        </w:rPr>
        <w:t>2</w:t>
      </w:r>
      <w:r>
        <w:t>. Doctrina constitucional sobre los actos de comunicación procesal</w:t>
      </w:r>
    </w:p>
    <w:p w14:paraId="403F461A" w14:textId="77777777" w:rsidR="009D7677" w:rsidRDefault="009D7677" w:rsidP="009D7677">
      <w:pPr>
        <w:pStyle w:val="TextoNormal"/>
      </w:pPr>
    </w:p>
    <w:p w14:paraId="626ECF7E" w14:textId="77777777" w:rsidR="009D7677" w:rsidRDefault="009D7677" w:rsidP="009D7677">
      <w:pPr>
        <w:pStyle w:val="TextoNormal"/>
      </w:pPr>
      <w:r>
        <w:t>Existe abundante jurisprudencia de este tribunal en relación con la posible vulneración del derecho a la tutela judicial efectiva sin indefensión en relación con los actos de comunicación procesal y la citación mediante edictos. En este sentido, hemos insistido reiteradamente en la importancia de los actos de comunicación para la correcta constitución de la relación jurídica procesal para garantizar el derecho de defensa reconocido en el art. 24 CE, que implica la posibilidad de un juicio contradictorio en el que las partes puedan hacer valer sus derechos e intereses legítimos (SSTC 30/2014, de 24 de febrero; 181/2015, de 7 de septiembre; 39/2018, de 25 de abril; 123/2019, de 28 de octubre; 62/2020, de 15 de junio, y 20/2021, de 15 de febrero). Se impone, en consecuencia, a los órganos judiciales un especial deber de diligencia en la realización de los actos de comunicación procesal que asegure, en la medida de lo posible, su recepción por parte de los destinatarios, para darles la oportunidad de defensa y evitar indefensión (SSTC 167/1992, de 26 de octubre; 103/1993, de 22 de marzo; 216/1993, de 30 de junio; 108/1994, de 11 de abril; 186/1997, de 10 de noviembre; 59/2002, de 11 de marzo, y 91/2022, de 11 de julio).</w:t>
      </w:r>
    </w:p>
    <w:p w14:paraId="38EF78C7" w14:textId="77777777" w:rsidR="009D7677" w:rsidRDefault="009D7677" w:rsidP="009D7677">
      <w:pPr>
        <w:pStyle w:val="TextoNormal"/>
      </w:pPr>
    </w:p>
    <w:p w14:paraId="32A91728" w14:textId="77777777" w:rsidR="009D7677" w:rsidRDefault="009D7677" w:rsidP="009D7677">
      <w:pPr>
        <w:pStyle w:val="TextoNormal"/>
      </w:pPr>
      <w:r>
        <w:t xml:space="preserve">La jurisprudencia constitucional insiste, en este sentido, en la necesidad de que el órgano judicial agote las posibilidades de averiguación del domicilio real antes de acudir a la notificación por edictos. Por ello, cuando del examen de los autos o de la documentación aportada por las partes se deduzca la existencia de un domicilio que haga factible la notificación personal al demandado, debe intentarse esta antes de acudir a la notificación por edictos (SSTC 40/2005, de 28 de febrero, FJ 2; 293/2005, de 21 de noviembre, FJ 2; 245/2006, de 24 de julio, FJ 2, y 122/2013, de 20 de mayo, FJ 3). E incluso cuando no conste ese domicilio en las actuaciones, el órgano judicial deberá realizar otras gestiones en orden a la averiguación del domicilio real del demandado, siempre que ello no suponga exigirle una desmedida actividad investigadora (SSTC 126/1999, de 28 de junio, FJ 4; 113/2001, de 7 de mayo, FJ 5; 131/2014, de 21 de julio, FJ 2; 83/2018, de 16 de julio, FJ </w:t>
      </w:r>
      <w:r>
        <w:lastRenderedPageBreak/>
        <w:t>4, y 181/2021, de 25 de octubre, FJ 2). En ocasiones, se ha considerado que estas gestiones pueden consistir en intentar el emplazamiento en el domicilio del administrador de la sociedad cuando se desconozca el domicilio de la sociedad demandada (SSTC 181/2021, FJ 4; 73/2022, de 13 de junio, FJ 3, y 140/2022, de 14 de noviembre, FJ 3).</w:t>
      </w:r>
    </w:p>
    <w:p w14:paraId="7F9139E9" w14:textId="77777777" w:rsidR="009D7677" w:rsidRDefault="009D7677" w:rsidP="009D7677">
      <w:pPr>
        <w:pStyle w:val="TextoNormal"/>
      </w:pPr>
    </w:p>
    <w:p w14:paraId="2E781BF8" w14:textId="714E4A06" w:rsidR="009D7677" w:rsidRDefault="009D7677" w:rsidP="009D7677">
      <w:pPr>
        <w:pStyle w:val="TextoNormal"/>
      </w:pPr>
      <w:r>
        <w:t>No obstante, este deber que se impone a los órganos judiciales no puede llegar a significar que se deba exigir al juez o tribunal correspondiente el despliegue de una desmedida labor investigadora, lo que llevaría más bien a la indebida restricción de los derechos de defensa de los restantes personados en el proceso (SSTC 126/1999, de 28 de junio, FJ 4; 268/2000, de 13 de noviembre, FJ 4; 34/2001, de 12 de febrero, FJ 2; 55/2003, de 24 de marzo, FJ 2; 76/2006, de 13 de marzo, FJ 3, y 131/2014, de 21 de julio, FJ 2). Asimismo, venimos considerando que la indefensión del demandado por falta de emplazamiento personal cede cuando la situación de incomunicación sea imputable a la propia conducta del afectado, que voluntaria o negligentemente se ha situado al margen del proceso. En efecto, el conocimiento extraprocesal del afectado o su posible negligencia, descuido o impericia impide apreciar la vulneración del derecho fundamental, aunque debe tenerse en cuenta que tales situaciones no pueden fundarse en simples conjeturas, sino que debe acreditarse fehacientemente para que pueda invalidar la tacha de indefensión (SSTC 219/1999, de 29 de noviembre, FJ 2; 128/2000, de 16 de mayo, FJ 5; 268/2000, de 13 de noviembre, FJ 4, y 20/2021, de 15 de febrero, FJ 2). Hemos precisado, además, a propósito de esta cuestión, que el conocimiento extraprocesal del litigio ha de verificarse mediante una prueba suficiente, que no excluye las reglas del criterio humano que rigen la prueba de presunciones (por todas, SSTC 102/2003, de 2 de junio, FJ 2; 102/2004, de 2 de junio, FJ 3; 207/2005, de 18 de julio, FJ 2; 246/2005, de 10 de octubre, FJ 3; 124/2006, de 24 de abril, FJ 2, y 136/2014, de 8 de septiembre, FJ 2).</w:t>
      </w:r>
    </w:p>
    <w:p w14:paraId="7607A48F" w14:textId="77777777" w:rsidR="009D7677" w:rsidRDefault="009D7677" w:rsidP="009D7677">
      <w:pPr>
        <w:pStyle w:val="TextoNormal"/>
      </w:pPr>
    </w:p>
    <w:p w14:paraId="660F1E40" w14:textId="77777777" w:rsidR="009D7677" w:rsidRDefault="009D7677" w:rsidP="009D7677">
      <w:pPr>
        <w:pStyle w:val="TextoNormal"/>
      </w:pPr>
      <w:r w:rsidRPr="009D7677">
        <w:rPr>
          <w:rStyle w:val="NumeroAFNegritaCaracter"/>
        </w:rPr>
        <w:t>3</w:t>
      </w:r>
      <w:r>
        <w:t>. Aplicación de la doctrina constitucional al caso planteado</w:t>
      </w:r>
    </w:p>
    <w:p w14:paraId="792F0368" w14:textId="77777777" w:rsidR="009D7677" w:rsidRDefault="009D7677" w:rsidP="009D7677">
      <w:pPr>
        <w:pStyle w:val="TextoNormal"/>
      </w:pPr>
    </w:p>
    <w:p w14:paraId="59A46858" w14:textId="77777777" w:rsidR="009D7677" w:rsidRDefault="009D7677" w:rsidP="009D7677">
      <w:pPr>
        <w:pStyle w:val="TextoNormal"/>
      </w:pPr>
      <w:r>
        <w:t>En este caso, como se ha expuesto con mayor detalle en los antecedentes, han quedado acreditados los siguientes extremos: (i) el órgano judicial intentó el emplazamiento en el domicilio que se indicaba en la demanda, que era, por otra parte, el mismo que figuraba en las escrituras de préstamo hipotecario; (ii) se intentó la notificación en el domicilio de los demandados con resultado negativo, indicando la diligencia que nadie respondía al timbre, ni constaban nombres en timbres ni buzones, y que los vecinos desconocían a las mercantiles; (iii) se procedió a la averiguación domiciliaria, que arrojó como único resultado el mismo domicilio en el que se había intentado la notificación; (iv) se acordó seguidamente el emplazamiento por medio de edictos.</w:t>
      </w:r>
    </w:p>
    <w:p w14:paraId="2ACF2FA4" w14:textId="77777777" w:rsidR="009D7677" w:rsidRDefault="009D7677" w:rsidP="009D7677">
      <w:pPr>
        <w:pStyle w:val="TextoNormal"/>
      </w:pPr>
    </w:p>
    <w:p w14:paraId="27E68A31" w14:textId="77777777" w:rsidR="009D7677" w:rsidRDefault="009D7677" w:rsidP="009D7677">
      <w:pPr>
        <w:pStyle w:val="TextoNormal"/>
      </w:pPr>
      <w:r>
        <w:t>La aplicación de la doctrina constitucional anteriormente expuesta nos lleva a realizar las siguientes consideraciones:</w:t>
      </w:r>
    </w:p>
    <w:p w14:paraId="6E916D27" w14:textId="77777777" w:rsidR="009D7677" w:rsidRDefault="009D7677" w:rsidP="009D7677">
      <w:pPr>
        <w:pStyle w:val="TextoNormal"/>
      </w:pPr>
    </w:p>
    <w:p w14:paraId="6E5ED344" w14:textId="77777777" w:rsidR="009D7677" w:rsidRDefault="009D7677" w:rsidP="009D7677">
      <w:pPr>
        <w:pStyle w:val="TextoNormal"/>
      </w:pPr>
      <w:r>
        <w:t>(i) En este caso, no nos encontramos ante un supuesto en el que el órgano judicial no hubiera desplegado ninguna actividad tendente a averiguar el domicilio de los demandados, pues consta en las actuaciones que se acordó practicar la averiguación domiciliaria por diligencia de ordenación de 14 de octubre de 2019, obrando también en autos el resultado de la misma, que revelaba como único domicilio aquel en el que se había intentado el emplazamiento. Los propios recurrentes reconocen como propio el domicilio en el que se intentó la citación personal.</w:t>
      </w:r>
    </w:p>
    <w:p w14:paraId="7A2A9A22" w14:textId="77777777" w:rsidR="009D7677" w:rsidRDefault="009D7677" w:rsidP="009D7677">
      <w:pPr>
        <w:pStyle w:val="TextoNormal"/>
      </w:pPr>
    </w:p>
    <w:p w14:paraId="4817EFA6" w14:textId="77777777" w:rsidR="009D7677" w:rsidRDefault="009D7677" w:rsidP="009D7677">
      <w:pPr>
        <w:pStyle w:val="TextoNormal"/>
      </w:pPr>
      <w:r>
        <w:t>(ii) Sin embargo, y a pesar de que se conocía el domicilio real de los demandados, no pudo realizarse el emplazamiento personal porque se hizo un único intento y, cuando se llevó a cabo, nadie contestó al timbre. No consta, por otra parte, que se dejara aviso.</w:t>
      </w:r>
    </w:p>
    <w:p w14:paraId="2616F358" w14:textId="77777777" w:rsidR="009D7677" w:rsidRDefault="009D7677" w:rsidP="009D7677">
      <w:pPr>
        <w:pStyle w:val="TextoNormal"/>
      </w:pPr>
    </w:p>
    <w:p w14:paraId="4F621DD2" w14:textId="77777777" w:rsidR="009D7677" w:rsidRDefault="009D7677" w:rsidP="009D7677">
      <w:pPr>
        <w:pStyle w:val="TextoNormal"/>
      </w:pPr>
      <w:r>
        <w:t>(iii) Tampoco consta que, tras el intento infructuoso de notificación personal de los demandados, y tratándose de sociedades mercantiles, el órgano judicial hubiera consultado los datos del registro mercantil, y en ellos, los relativos al administrador, teniendo en cuenta lo que establece el art. 155.3 LEC en su último párrafo para los casos en que la demanda se dirige contra una persona jurídica, así como la jurisprudencia constitucional antes citada en relación con el emplazamiento a través del administrador de una sociedad mercantil.</w:t>
      </w:r>
    </w:p>
    <w:p w14:paraId="77923296" w14:textId="77777777" w:rsidR="009D7677" w:rsidRDefault="009D7677" w:rsidP="009D7677">
      <w:pPr>
        <w:pStyle w:val="TextoNormal"/>
      </w:pPr>
    </w:p>
    <w:p w14:paraId="3CFF9AE1" w14:textId="47A49306" w:rsidR="009D7677" w:rsidRDefault="009D7677" w:rsidP="009D7677">
      <w:pPr>
        <w:pStyle w:val="TextoNormal"/>
      </w:pPr>
      <w:r>
        <w:t>A la vista de estas circunstancias, concluimos que los recurrentes no pudieron conocer la existencia del procedimiento en el que habían sido demandados por causa no imputable a ellos, lo que les impidió personarse en el mismo para formular las alegaciones que estimasen pertinentes para su defensa. Esta indefensión resulta imputable al órgano judicial porque debió agotar todas las posibilidades de localización personal de los recurrentes mediante la consulta a los registros, organismos, colegios profesionales y entidades a los que se refieren los arts. 155.3 y 156 LEC. Sin embargo, no realizó todas las gestiones que le eran exigibles para procurar el emplazamiento personal. Tras un único intento de notificación en el domicilio con resultado negativo, y sin que conste que se dejara aviso, trató de averiguar un domicilio alternativo de las mercantiles demandadas, lo que no fue posible. Llegado este punto, debió persistir en sus esfuerzos para procurar el emplazamiento personal a través del administrador de las sociedades, tal y como permite el art. 155.3 LEC en su último párrafo, antes de acudir al emplazamiento edictal. Al no hacerlo, provocó la indefensión de los recurrentes. Por este motivo, debemos otorgar el amparo solicitado.</w:t>
      </w:r>
    </w:p>
    <w:p w14:paraId="66704651" w14:textId="77777777" w:rsidR="009D7677" w:rsidRDefault="009D7677" w:rsidP="009D7677">
      <w:pPr>
        <w:pStyle w:val="TextoNormal"/>
      </w:pPr>
    </w:p>
    <w:p w14:paraId="61A6E3BE" w14:textId="77777777" w:rsidR="009D7677" w:rsidRDefault="009D7677" w:rsidP="009D7677">
      <w:pPr>
        <w:pStyle w:val="TextoNormal"/>
      </w:pPr>
      <w:r w:rsidRPr="009D7677">
        <w:rPr>
          <w:rStyle w:val="NumeroAFNegritaCaracter"/>
        </w:rPr>
        <w:t>4</w:t>
      </w:r>
      <w:r>
        <w:t>. Estimación del amparo y efectos</w:t>
      </w:r>
    </w:p>
    <w:p w14:paraId="5CB395A9" w14:textId="77777777" w:rsidR="009D7677" w:rsidRDefault="009D7677" w:rsidP="009D7677">
      <w:pPr>
        <w:pStyle w:val="TextoNormal"/>
      </w:pPr>
    </w:p>
    <w:p w14:paraId="356E174A" w14:textId="47E8C823" w:rsidR="009D7677" w:rsidRDefault="009D7677" w:rsidP="009D7677">
      <w:pPr>
        <w:pStyle w:val="TextoNormal"/>
      </w:pPr>
      <w:r>
        <w:t>Debemos otorgar el amparo solicitado por las razones expuestas, al haberse producido la vulneración del derecho a la tutela judicial efectiva sin padecer indefensión (art. 24.1 CE) de las recurrentes, que fueron emplazadas indebidamente por edictos, viéndose privadas de su derecho a defenderse en el procedimiento de ejecución hipotecaria dirigido contra ellas. Como medidas para la reparación del derecho se acuerda la nulidad del auto del Juzgado de Primera Instancia e Instrucción núm. 5 de Alzira (Valencia), de 12 de julio de 2021, así como la nulidad del proceso ejecutivo hipotecario núm. 646-2019 seguido ante dicho juzgado, desde el momento inmediatamente anterior a aquel en que se dictó la diligencia de ordenación de 18 de octubre de 2019 que resolvió el emplazamiento por edictos de la demandante de amparo. Consiguientemente, acordamos también la retroacción de las actuaciones de dicho procedimiento hasta ese mismo momento procesal, para que por el letrado de la administración de justicia se dicte una resolución que resulte respetuosa con el derecho reconocido.</w:t>
      </w:r>
    </w:p>
    <w:p w14:paraId="2AABEE02" w14:textId="77777777" w:rsidR="009D7677" w:rsidRDefault="009D7677" w:rsidP="009D7677">
      <w:pPr>
        <w:pStyle w:val="TextoNormal"/>
      </w:pPr>
    </w:p>
    <w:p w14:paraId="20A53D54" w14:textId="77777777" w:rsidR="009D7677" w:rsidRDefault="009D7677" w:rsidP="009D7677">
      <w:pPr>
        <w:pStyle w:val="TextoNormalCentrado"/>
        <w:keepNext/>
      </w:pPr>
      <w:r>
        <w:lastRenderedPageBreak/>
        <w:t>FALLO</w:t>
      </w:r>
    </w:p>
    <w:p w14:paraId="62333003" w14:textId="60C5D5BA" w:rsidR="009D7677" w:rsidRDefault="009D7677" w:rsidP="009D7677">
      <w:pPr>
        <w:pStyle w:val="TextoNormalCentrado"/>
        <w:keepNext/>
      </w:pPr>
    </w:p>
    <w:p w14:paraId="294B5C8E" w14:textId="77777777" w:rsidR="009D7677" w:rsidRDefault="009D7677" w:rsidP="009D7677">
      <w:pPr>
        <w:pStyle w:val="TextoNormal"/>
      </w:pPr>
      <w:r>
        <w:t>En atención a todo lo expuesto, el Tribunal Constitucional, por la autoridad que le confiere la Constitución de la Nación española, ha decidido estimar el recurso de amparo interpuesto por Golf &amp; Mar 2000, S.L.; Promociones Torreurbe, S.L., e Ibermagreb, S.L., Import-Export y, en consecuencia:</w:t>
      </w:r>
    </w:p>
    <w:p w14:paraId="39DF6783" w14:textId="77777777" w:rsidR="009D7677" w:rsidRDefault="009D7677" w:rsidP="009D7677">
      <w:pPr>
        <w:pStyle w:val="TextoNormal"/>
      </w:pPr>
    </w:p>
    <w:p w14:paraId="00A49B61" w14:textId="77777777" w:rsidR="009D7677" w:rsidRDefault="009D7677" w:rsidP="009D7677">
      <w:pPr>
        <w:pStyle w:val="TextoNormal"/>
      </w:pPr>
      <w:r>
        <w:t>1º Declarar que ha sido vulnerado el derecho fundamental de las demandantes de amparo a la tutela judicial efectiva sin indefensión (art. 24.1 CE).</w:t>
      </w:r>
    </w:p>
    <w:p w14:paraId="2A544C28" w14:textId="77777777" w:rsidR="009D7677" w:rsidRDefault="009D7677" w:rsidP="009D7677">
      <w:pPr>
        <w:pStyle w:val="TextoNormal"/>
      </w:pPr>
    </w:p>
    <w:p w14:paraId="4A396C8C" w14:textId="77777777" w:rsidR="009D7677" w:rsidRDefault="009D7677" w:rsidP="009D7677">
      <w:pPr>
        <w:pStyle w:val="TextoNormal"/>
      </w:pPr>
      <w:r>
        <w:t>2º Restablecerlas en su derecho y, a tal fin, declarar la nulidad del auto de 12 de julio de 2021 dictado por el Juzgado de Primera Instancia e Instrucción núm. 5 de Alzira (Valencia), que desestimó el incidente extraordinario de nulidad de actuaciones en el proceso de ejecución hipotecaria núm. 646-2019; así como la nulidad de todas las actuaciones realizadas en el referido proceso de ejecución hipotecaria seguido ante el mismo órgano judicial, hasta el dictado de la diligencia de ordenación del letrado de la administración de justicia de 18 de octubre de 2019, incluyendo esta.</w:t>
      </w:r>
    </w:p>
    <w:p w14:paraId="3B5C98F8" w14:textId="77777777" w:rsidR="009D7677" w:rsidRDefault="009D7677" w:rsidP="009D7677">
      <w:pPr>
        <w:pStyle w:val="TextoNormal"/>
      </w:pPr>
    </w:p>
    <w:p w14:paraId="1F2A073F" w14:textId="6A652A06" w:rsidR="009D7677" w:rsidRDefault="009D7677" w:rsidP="009D7677">
      <w:pPr>
        <w:pStyle w:val="TextoNormal"/>
      </w:pPr>
      <w:r>
        <w:t>3º Retrotraer el procedimiento al momento inmediatamente anterior al de dictarse la diligencia de ordenación de 18 de octubre de 2019, para que se emita una nueva resolución que sea respetuosa con el derecho fundamental reconocido.</w:t>
      </w:r>
    </w:p>
    <w:p w14:paraId="0B2432A9" w14:textId="77777777" w:rsidR="009D7677" w:rsidRDefault="009D7677" w:rsidP="009D7677">
      <w:pPr>
        <w:pStyle w:val="TextoNormal"/>
      </w:pPr>
    </w:p>
    <w:p w14:paraId="7F33ADAB" w14:textId="77777777" w:rsidR="009D7677" w:rsidRDefault="009D7677" w:rsidP="009D7677">
      <w:pPr>
        <w:pStyle w:val="TextoNormal"/>
      </w:pPr>
      <w:r>
        <w:t>Publíquese esta sentencia en el “Boletín Oficial del Estado”.</w:t>
      </w:r>
    </w:p>
    <w:p w14:paraId="4AA39420" w14:textId="77777777" w:rsidR="009D7677" w:rsidRDefault="009D7677" w:rsidP="009D7677">
      <w:pPr>
        <w:pStyle w:val="TextoNormal"/>
      </w:pPr>
      <w:r>
        <w:t>Dada en Madrid, a veintinueve de enero de dos mil veinticuatro.</w:t>
      </w:r>
    </w:p>
    <w:p w14:paraId="5C4DEE28" w14:textId="34B6592A" w:rsidR="009D7677" w:rsidRDefault="009D7677">
      <w:pPr>
        <w:spacing w:after="160" w:line="259" w:lineRule="auto"/>
        <w:rPr>
          <w:rFonts w:ascii="Times New Roman" w:eastAsia="Times New Roman" w:hAnsi="Times New Roman" w:cs="Times New Roman"/>
          <w:sz w:val="24"/>
          <w:szCs w:val="24"/>
          <w:lang w:eastAsia="es-ES"/>
        </w:rPr>
      </w:pPr>
      <w:r>
        <w:br w:type="page"/>
      </w:r>
    </w:p>
    <w:p w14:paraId="1A4661EE" w14:textId="77777777" w:rsidR="009D7677" w:rsidRDefault="009D7677" w:rsidP="009D7677">
      <w:pPr>
        <w:pStyle w:val="TtuloResolucin"/>
      </w:pPr>
      <w:bookmarkStart w:id="15" w:name="SENTENCIA_2024_13"/>
      <w:r>
        <w:lastRenderedPageBreak/>
        <w:t>SENTENCIA 13/2024, de 29 de enero de 2024</w:t>
      </w:r>
    </w:p>
    <w:bookmarkEnd w:id="15"/>
    <w:p w14:paraId="1DCC08C3" w14:textId="77777777" w:rsidR="009D7677" w:rsidRDefault="009D7677" w:rsidP="009D7677">
      <w:pPr>
        <w:pStyle w:val="TtuloResolucin"/>
      </w:pPr>
      <w:r>
        <w:t>Sala Segunda</w:t>
      </w:r>
    </w:p>
    <w:p w14:paraId="431F33B5" w14:textId="77777777" w:rsidR="009D7677" w:rsidRDefault="009D7677" w:rsidP="009D7677">
      <w:pPr>
        <w:pStyle w:val="TtuloBOE"/>
      </w:pPr>
      <w:r>
        <w:t>(BOE núm. 53, de 29 de febrero de 2024)</w:t>
      </w:r>
    </w:p>
    <w:p w14:paraId="6A83AA54" w14:textId="77777777" w:rsidR="009D7677" w:rsidRDefault="009D7677" w:rsidP="009D7677">
      <w:pPr>
        <w:pStyle w:val="TextoNormalCentrado"/>
      </w:pPr>
      <w:r>
        <w:t>ECLI:ES:TC:2024:13</w:t>
      </w:r>
    </w:p>
    <w:p w14:paraId="316BD164" w14:textId="104CB9E1" w:rsidR="009D7677" w:rsidRDefault="009D7677" w:rsidP="009D7677">
      <w:pPr>
        <w:pStyle w:val="TextoNormalCentrado"/>
      </w:pPr>
    </w:p>
    <w:p w14:paraId="7D5EB277" w14:textId="77777777" w:rsidR="009D7677" w:rsidRDefault="009D7677" w:rsidP="009D7677">
      <w:pPr>
        <w:pStyle w:val="SntesisDescriptiva"/>
      </w:pPr>
      <w:r>
        <w:t>Recurso de amparo 644-2023. Promovido por doña M.S.D., en relación con las resoluciones de la Audiencia Provincial de Tenerife y un juzgado de primera instancia de La Orotava que acordaron la administración de la vacuna frente a la covid-19.</w:t>
      </w:r>
    </w:p>
    <w:p w14:paraId="5471CF6A" w14:textId="2D2EF44B" w:rsidR="009D7677" w:rsidRDefault="009D7677" w:rsidP="009D7677">
      <w:pPr>
        <w:pStyle w:val="SntesisDescriptiva"/>
      </w:pPr>
    </w:p>
    <w:p w14:paraId="58D1B300" w14:textId="77777777" w:rsidR="009D7677" w:rsidRDefault="009D7677" w:rsidP="009D7677">
      <w:pPr>
        <w:pStyle w:val="SntesisAnaltica"/>
      </w:pPr>
      <w:r>
        <w:t>Supuesta vulneración del derecho a la integridad física: STC 148/2023 [resoluciones judiciales que realizaron una ponderación adecuada de los intereses de una persona menor de edad (STC 38/2023)].</w:t>
      </w:r>
    </w:p>
    <w:p w14:paraId="09B6901E" w14:textId="3BC39256" w:rsidR="009D7677" w:rsidRDefault="009D7677" w:rsidP="009D7677">
      <w:pPr>
        <w:pStyle w:val="SntesisAnaltica"/>
      </w:pPr>
    </w:p>
    <w:p w14:paraId="7F72B2E5" w14:textId="0BD31A00" w:rsidR="009D7677" w:rsidRDefault="009D7677" w:rsidP="009D7677">
      <w:pPr>
        <w:pStyle w:val="Extracto"/>
      </w:pPr>
      <w:r>
        <w:t>1.</w:t>
      </w:r>
      <w:r>
        <w:tab/>
        <w:t xml:space="preserve">La capacidad general de autodeterminación de las personas menores de edad, en relación con las actuaciones médicas que les afectan, encuentra su límite en la protección de su interés superior, que se impone como obligación a los progenitores, en cuanto titulares de la patria potestad o autoridad familiar, y a todos los poderes públicos, incluida la autoridad judicial (STC 148/2023) </w:t>
      </w:r>
    </w:p>
    <w:p w14:paraId="590918F5" w14:textId="77777777" w:rsidR="009D7677" w:rsidRDefault="009D7677" w:rsidP="009D7677">
      <w:pPr>
        <w:pStyle w:val="Extracto"/>
      </w:pPr>
    </w:p>
    <w:p w14:paraId="61CE7115" w14:textId="5671050E" w:rsidR="009D7677" w:rsidRDefault="009D7677" w:rsidP="009D7677">
      <w:pPr>
        <w:pStyle w:val="Extracto"/>
      </w:pPr>
      <w:r>
        <w:t>2.</w:t>
      </w:r>
      <w:r>
        <w:tab/>
        <w:t xml:space="preserve">La decisión de los representantes legales relativa al otorgamiento o no del consentimiento informado por representación deberá atender a la protección del derecho a la vida, supervivencia y desarrollo del menor y la satisfacción de sus necesidades básicas, tanto materiales, físicas y educativas como emocionales y afectivas [art. 2.2, letra a) de la Ley Orgánica 1/1996]; y es preciso buscar el mayor beneficio para la vida o salud del paciente menor de edad (STC 148/2023) </w:t>
      </w:r>
    </w:p>
    <w:p w14:paraId="3173F2B8" w14:textId="77777777" w:rsidR="009D7677" w:rsidRDefault="009D7677" w:rsidP="009D7677">
      <w:pPr>
        <w:pStyle w:val="Extracto"/>
      </w:pPr>
    </w:p>
    <w:p w14:paraId="7429CDE6" w14:textId="77777777" w:rsidR="009D7677" w:rsidRDefault="009D7677" w:rsidP="009D7677">
      <w:pPr>
        <w:pStyle w:val="Extracto"/>
      </w:pPr>
    </w:p>
    <w:p w14:paraId="24031644" w14:textId="77777777" w:rsidR="009D7677" w:rsidRDefault="009D7677" w:rsidP="009D7677">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0A685DCC" w14:textId="0262D146" w:rsidR="009D7677" w:rsidRDefault="009D7677" w:rsidP="009D7677">
      <w:pPr>
        <w:pStyle w:val="TextoNormal"/>
      </w:pPr>
    </w:p>
    <w:p w14:paraId="0A932A6F" w14:textId="77777777" w:rsidR="009D7677" w:rsidRDefault="009D7677" w:rsidP="009D7677">
      <w:pPr>
        <w:pStyle w:val="TextoNormalCentrado"/>
        <w:keepNext/>
      </w:pPr>
      <w:r>
        <w:t>EN NOMBRE DEL REY</w:t>
      </w:r>
    </w:p>
    <w:p w14:paraId="53433DE6" w14:textId="55AA8A94" w:rsidR="009D7677" w:rsidRDefault="009D7677" w:rsidP="009D7677">
      <w:pPr>
        <w:pStyle w:val="TextoNormalCentrado"/>
        <w:keepNext/>
      </w:pPr>
    </w:p>
    <w:p w14:paraId="17C33360" w14:textId="77777777" w:rsidR="009D7677" w:rsidRDefault="009D7677" w:rsidP="009D7677">
      <w:pPr>
        <w:pStyle w:val="TextoNormalCentrado"/>
        <w:keepNext/>
      </w:pPr>
    </w:p>
    <w:p w14:paraId="079396AF" w14:textId="77777777" w:rsidR="009D7677" w:rsidRDefault="009D7677" w:rsidP="009D7677">
      <w:pPr>
        <w:pStyle w:val="TextoNormal"/>
      </w:pPr>
      <w:r>
        <w:t>la siguiente</w:t>
      </w:r>
    </w:p>
    <w:p w14:paraId="316B4A15" w14:textId="7C05DA45" w:rsidR="009D7677" w:rsidRDefault="009D7677" w:rsidP="009D7677">
      <w:pPr>
        <w:pStyle w:val="TextoNormal"/>
      </w:pPr>
    </w:p>
    <w:p w14:paraId="35EB6172" w14:textId="77777777" w:rsidR="009D7677" w:rsidRDefault="009D7677" w:rsidP="009D7677">
      <w:pPr>
        <w:pStyle w:val="TextoNormalCentrado"/>
        <w:keepNext/>
      </w:pPr>
      <w:r>
        <w:t>SENTENCIA</w:t>
      </w:r>
    </w:p>
    <w:p w14:paraId="18315A7D" w14:textId="38692CE0" w:rsidR="009D7677" w:rsidRDefault="009D7677" w:rsidP="009D7677">
      <w:pPr>
        <w:pStyle w:val="TextoNormalCentrado"/>
        <w:keepNext/>
      </w:pPr>
    </w:p>
    <w:p w14:paraId="33F957BB" w14:textId="77777777" w:rsidR="009D7677" w:rsidRDefault="009D7677" w:rsidP="009D7677">
      <w:pPr>
        <w:pStyle w:val="TextoNormal"/>
      </w:pPr>
      <w:r>
        <w:t xml:space="preserve">En el recurso de amparo núm. 644-2023, interpuesto por la procuradora de los tribunales doña María Cristina Sosa González, en nombre y representación de doña M.S.D., bajo la dirección técnica de la letrada doña Cristina Armas Suárez, contra el auto de 30 de junio de 2022 dictado por el Juzgado de Primera Instancia núm. 1 de La Orotava en el procedimiento de intervención judicial por desacuerdo en el ejercicio de la patria potestad 108-2022 y contra el auto de 19 de enero de 2023 dictado por la Sección Primera de la Audiencia Provincial de Tenerife, en el rollo de apelación núm. 552-2022, confirmatorio del </w:t>
      </w:r>
      <w:r>
        <w:lastRenderedPageBreak/>
        <w:t>anterior. Ha intervenido el Ministerio Fiscal. Ha sido ponente la magistrada doña Inmaculada Montalbán Huertas.</w:t>
      </w:r>
    </w:p>
    <w:p w14:paraId="0809EC31" w14:textId="1E6F6EC6" w:rsidR="009D7677" w:rsidRDefault="009D7677" w:rsidP="009D7677">
      <w:pPr>
        <w:pStyle w:val="TextoNormal"/>
      </w:pPr>
    </w:p>
    <w:p w14:paraId="7B1C2430" w14:textId="77777777" w:rsidR="009D7677" w:rsidRDefault="009D7677" w:rsidP="009D7677">
      <w:pPr>
        <w:pStyle w:val="TextoNormalNegritaCentrado"/>
        <w:keepNext/>
      </w:pPr>
      <w:r>
        <w:t>I. Antecedentes</w:t>
      </w:r>
    </w:p>
    <w:p w14:paraId="4EB9F50B" w14:textId="4EFA8063" w:rsidR="009D7677" w:rsidRDefault="009D7677" w:rsidP="009D7677">
      <w:pPr>
        <w:pStyle w:val="TextoNormalNegritaCentrado"/>
        <w:keepNext/>
      </w:pPr>
    </w:p>
    <w:p w14:paraId="1537470A" w14:textId="7F96DC0F" w:rsidR="009D7677" w:rsidRDefault="009D7677" w:rsidP="009D7677">
      <w:pPr>
        <w:pStyle w:val="TextoNormal"/>
      </w:pPr>
      <w:r w:rsidRPr="009D7677">
        <w:rPr>
          <w:rStyle w:val="NumeroAFNegritaCaracter"/>
        </w:rPr>
        <w:t>1</w:t>
      </w:r>
      <w:r>
        <w:t>. Doña M.S.D., representada por la procuradora de los tribunales doña María Cristina Sosa González, ha interpuesto recurso de amparo contra las resoluciones reseñadas en el encabezamiento de la presente resolución mediante escrito presentado en el registro de este tribunal el día 1 de febrero de 2023.</w:t>
      </w:r>
    </w:p>
    <w:p w14:paraId="64AEFA00" w14:textId="77777777" w:rsidR="009D7677" w:rsidRDefault="009D7677" w:rsidP="009D7677">
      <w:pPr>
        <w:pStyle w:val="TextoNormal"/>
      </w:pPr>
    </w:p>
    <w:p w14:paraId="7AD99FD9" w14:textId="77777777" w:rsidR="009D7677" w:rsidRDefault="009D7677" w:rsidP="009D7677">
      <w:pPr>
        <w:pStyle w:val="TextoNormal"/>
      </w:pPr>
      <w:r w:rsidRPr="009D7677">
        <w:rPr>
          <w:rStyle w:val="NumeroAFNegritaCaracter"/>
        </w:rPr>
        <w:t>2</w:t>
      </w:r>
      <w:r>
        <w:t>. Los hechos de los que trae causa la demanda de amparo son, en síntesis, los siguientes:</w:t>
      </w:r>
    </w:p>
    <w:p w14:paraId="7AB088F2" w14:textId="77777777" w:rsidR="009D7677" w:rsidRDefault="009D7677" w:rsidP="009D7677">
      <w:pPr>
        <w:pStyle w:val="TextoNormal"/>
      </w:pPr>
    </w:p>
    <w:p w14:paraId="2BA6AD3E" w14:textId="77777777" w:rsidR="009D7677" w:rsidRDefault="009D7677" w:rsidP="009D7677">
      <w:pPr>
        <w:pStyle w:val="TextoNormal"/>
      </w:pPr>
      <w:r>
        <w:t>a) Don R.H.H., promovió expediente de jurisdicción voluntaria al amparo de los arts. 85 y 86 de la Ley de la jurisdicción voluntaria y 156 del Código civil, solicitando la intervención judicial por desacuerdo de los progenitores en el ejercicio de la patria potestad respecto de los hijos menores comunes, que en aquel momento estaban próximos a cumplir los nueve años de edad, por la negativa de la madre, doña M.S.D., a que les fuera administrada la vacuna contra la covid-19 a pesar de la recomendación de las autoridades sanitarias, la inexistencia de patologías previas que desaconsejasen la vacunación y las limitaciones deambulatorias, así como el riesgo a la estigmatización en sus relaciones sociales por falta de vacunación. Interesaba que le fuera atribuida la facultad de decidir en relación con esta cuestión.</w:t>
      </w:r>
    </w:p>
    <w:p w14:paraId="1E4ED5EA" w14:textId="77777777" w:rsidR="009D7677" w:rsidRDefault="009D7677" w:rsidP="009D7677">
      <w:pPr>
        <w:pStyle w:val="TextoNormal"/>
      </w:pPr>
    </w:p>
    <w:p w14:paraId="4B68E6A4" w14:textId="77777777" w:rsidR="009D7677" w:rsidRDefault="009D7677" w:rsidP="009D7677">
      <w:pPr>
        <w:pStyle w:val="TextoNormal"/>
      </w:pPr>
      <w:r>
        <w:t>b) Por decreto de 10 de marzo de 2022 se admitió la solicitud presentada y se convocó a las partes y al Ministerio Fiscal a una comparecencia el día 21 de abril de 2022.</w:t>
      </w:r>
    </w:p>
    <w:p w14:paraId="47AF024D" w14:textId="77777777" w:rsidR="009D7677" w:rsidRDefault="009D7677" w:rsidP="009D7677">
      <w:pPr>
        <w:pStyle w:val="TextoNormal"/>
      </w:pPr>
    </w:p>
    <w:p w14:paraId="65374F44" w14:textId="77777777" w:rsidR="009D7677" w:rsidRDefault="009D7677" w:rsidP="009D7677">
      <w:pPr>
        <w:pStyle w:val="TextoNormal"/>
      </w:pPr>
      <w:r>
        <w:t>c) Doña M.S.D., presentó escrito oponiéndose a la solicitud presentada por la falta de seguridad de la vacuna. Alegaba además la ausencia de evidencia médica/científica que justificase la inoculación de los medicamentos de terapia génica para la covid-19 en menores de edad atendiendo a la gravedad de la enfermedad en este colectivo, donde la tasa de mortalidad y de hospitalización estaba siendo muy baja, y a los efectos adversos que podía llevar aparejada la vacuna, que podían ser muy superiores a la ausencia de vacunación. A ello añadía que el medicamento se encontraba en fase experimental y que la ponderación de riesgos y beneficios aconsejaba la no vacunación por la existencia de efectos adversos ya constatados, aparte de que la situación epidemiológica en España no justificaría la vacunación porque los datos de contagios habían aumentado desde que se comenzó a suministrar la vacuna. Finalmente, consideraba que se produciría una vulneración del derecho a la integridad física y moral (art. 15 CE) por la falta de consentimiento informado por escrito y falta de prescripción médica en los términos de la Ley 41/2002, básica de autonomía del paciente, en relación con la STC 37/2011, de 28 de marzo, y la vulneración del Convenio de Oviedo, con cita de resoluciones judiciales que habían resuelto en contra de la vacunación.</w:t>
      </w:r>
    </w:p>
    <w:p w14:paraId="1DC4C346" w14:textId="77777777" w:rsidR="009D7677" w:rsidRDefault="009D7677" w:rsidP="009D7677">
      <w:pPr>
        <w:pStyle w:val="TextoNormal"/>
      </w:pPr>
    </w:p>
    <w:p w14:paraId="623A8907" w14:textId="77777777" w:rsidR="009D7677" w:rsidRDefault="009D7677" w:rsidP="009D7677">
      <w:pPr>
        <w:pStyle w:val="TextoNormal"/>
      </w:pPr>
      <w:r>
        <w:t>d) El Juzgado de Primera Instancia e Instrucción núm. 1 de La Orotava dictó auto el 30 de junio de 2022 acordando atribuir la facultad de decidir sobre la vacunación contra la covid-19 al padre de los menores, atendida la prueba documental aportada y los interroga</w:t>
      </w:r>
      <w:r>
        <w:lastRenderedPageBreak/>
        <w:t>torios practicados, y en atención al mayor beneficio de los menores. Señalaba asimismo la inclusión de la vacuna en el calendario de vacunación de 2022 de la Asociación Española de Pediatría para mayores de cinco años, debido a la recomendación de las autoridades sanitarias, que cuentan con conocimientos científicos. Finalmente, señalaba que a los menores se les había administrado otras vacunas anteriormente sin generar desacuerdo entre los progenitores.</w:t>
      </w:r>
    </w:p>
    <w:p w14:paraId="110CD63F" w14:textId="77777777" w:rsidR="009D7677" w:rsidRDefault="009D7677" w:rsidP="009D7677">
      <w:pPr>
        <w:pStyle w:val="TextoNormal"/>
      </w:pPr>
    </w:p>
    <w:p w14:paraId="4B552E62" w14:textId="77777777" w:rsidR="009D7677" w:rsidRDefault="009D7677" w:rsidP="009D7677">
      <w:pPr>
        <w:pStyle w:val="TextoNormal"/>
      </w:pPr>
      <w:r>
        <w:t>e) Doña M.S.D., presentó recurso de apelación alegando la vulneración de los arts. 216, 217 y 218 de la Ley de enjuiciamiento civil en relación con el art. 24 CE por vulneración del principio de justicia rogada, falta de valoración de la prueba aportada por el recurrente y falta de motivación del auto recurrido, siendo la motivación del auto meramente aparente por déficit valorativo, al considerar que no se habían tenido en cuenta las pruebas aportadas por esta parte, e infracción de la carga de la prueba. Asimismo, consideraba que se había vulnerado el art. 15 CE por falta de consentimiento informado en relación con la Ley 41/2002, básica de autonomía del paciente, pese a que deberían extremarse las precauciones por tratarse de un medicamento en fase experimental, y en contra también del Convenio de Oviedo.</w:t>
      </w:r>
    </w:p>
    <w:p w14:paraId="662EB981" w14:textId="77777777" w:rsidR="009D7677" w:rsidRDefault="009D7677" w:rsidP="009D7677">
      <w:pPr>
        <w:pStyle w:val="TextoNormal"/>
      </w:pPr>
    </w:p>
    <w:p w14:paraId="18D75261" w14:textId="77777777" w:rsidR="009D7677" w:rsidRDefault="009D7677" w:rsidP="009D7677">
      <w:pPr>
        <w:pStyle w:val="TextoNormal"/>
      </w:pPr>
      <w:r>
        <w:t>f) Don R.H.H., formuló oposición al recurso de apelación invocando el interés superior de los menores como criterio decisorio, y que en este caso se había decidido con arreglo a la recomendación de las autoridades sanitarias, por lo que no habría vulneración del principio de justicia rogada ni ausencia de valoración de la prueba. Negaba también en su escrito la vulneración del art. 15 CE y de la Ley 41/2002, porque el órgano judicial no ordenó administrar la vacuna, sino que autorizaba a uno de los progenitores a decidir, dentro del ejercicio de la patria potestad.</w:t>
      </w:r>
    </w:p>
    <w:p w14:paraId="27E45141" w14:textId="77777777" w:rsidR="009D7677" w:rsidRDefault="009D7677" w:rsidP="009D7677">
      <w:pPr>
        <w:pStyle w:val="TextoNormal"/>
      </w:pPr>
    </w:p>
    <w:p w14:paraId="0F9C67DB" w14:textId="77777777" w:rsidR="009D7677" w:rsidRDefault="009D7677" w:rsidP="009D7677">
      <w:pPr>
        <w:pStyle w:val="TextoNormal"/>
      </w:pPr>
      <w:r>
        <w:t>g) El fiscal presentó escrito por el que se oponía al recurso de apelación en base a los razonamientos de la resolución recurrida.</w:t>
      </w:r>
    </w:p>
    <w:p w14:paraId="4EB7803E" w14:textId="77777777" w:rsidR="009D7677" w:rsidRDefault="009D7677" w:rsidP="009D7677">
      <w:pPr>
        <w:pStyle w:val="TextoNormal"/>
      </w:pPr>
    </w:p>
    <w:p w14:paraId="1AD6B3B3" w14:textId="74F4DA28" w:rsidR="009D7677" w:rsidRDefault="009D7677" w:rsidP="009D7677">
      <w:pPr>
        <w:pStyle w:val="TextoNormal"/>
      </w:pPr>
      <w:r>
        <w:t>h) La Sección Primera de la Audiencia Provincial de Tenerife dictó auto el 19 de enero de 2023 por el que desestimó el recurso de apelación. No consideró vulnerado el principio de justicia rogada ni apreció error en la valoración de la prueba ni falta de motivación, pues la resolución de primera instancia se había adoptado en los términos avalados por los organismos oficiales y estaba debidamente motivada, dado que había exteriorizado las razones que justificaban la decisión. Tampoco consideró vulnerado el derecho a la integridad física y moral, el derecho a la libertad y el derecho a la intimidad personal porque no podía considerarse que la vacunación fuera un ataque a la integridad física o moral, al tratarse de un leve pinchazo, sin que pudiera anteponerse la incomodidad de su inoculación a la protección que podía conllevar. Finalmente, reiteró la recomendación de las autoridades sanitarias (Agencia Europea del Medicamento, Asociación Española de Pediatría y Comisión de Salud Pública de España) en relación con la vacunación.</w:t>
      </w:r>
    </w:p>
    <w:p w14:paraId="02C64488" w14:textId="77777777" w:rsidR="009D7677" w:rsidRDefault="009D7677" w:rsidP="009D7677">
      <w:pPr>
        <w:pStyle w:val="TextoNormal"/>
      </w:pPr>
    </w:p>
    <w:p w14:paraId="0BBCA3C0" w14:textId="77777777" w:rsidR="009D7677" w:rsidRDefault="009D7677" w:rsidP="009D7677">
      <w:pPr>
        <w:pStyle w:val="TextoNormal"/>
      </w:pPr>
      <w:r w:rsidRPr="009D7677">
        <w:rPr>
          <w:rStyle w:val="NumeroAFNegritaCaracter"/>
        </w:rPr>
        <w:t>3</w:t>
      </w:r>
      <w:r>
        <w:t>. La recurrente denuncia que se le han vulnerado los siguientes derechos fundamentales:</w:t>
      </w:r>
    </w:p>
    <w:p w14:paraId="3AC8C4A5" w14:textId="77777777" w:rsidR="009D7677" w:rsidRDefault="009D7677" w:rsidP="009D7677">
      <w:pPr>
        <w:pStyle w:val="TextoNormal"/>
      </w:pPr>
    </w:p>
    <w:p w14:paraId="4D1D2EBF" w14:textId="77777777" w:rsidR="009D7677" w:rsidRDefault="009D7677" w:rsidP="009D7677">
      <w:pPr>
        <w:pStyle w:val="TextoNormal"/>
      </w:pPr>
      <w:r>
        <w:t xml:space="preserve">(i) El derecho a la integridad física y moral (art. 15 CE) porque no se recabó el consentimiento informado. Argumenta que el consentimiento informado del paciente es un derecho reconocido en la Ley 41/2022, básica de autonomía del paciente, en la Carta de los </w:t>
      </w:r>
      <w:r>
        <w:lastRenderedPageBreak/>
        <w:t>derechos fundamentales de la Unión Europea [art. 3.2 a)], y en el Convenio relativo a los derechos humanos y la biomedicina hecho en Oviedo el 4 de abril de 1997, y que queda asimismo amparado en el Convenio europeo de derechos humanos (CEDH) como aspecto del derecho a la vida privada y familiar reconocido en el art. 8 CEDH, conforme a la jurisprudencia del Tribunal Europeo de Derechos Humanos. Invoca asimismo la doctrina enunciada en la STC 37/2011, de 28 de marzo, que relaciona el consentimiento informado con el derecho de la persona a la integridad física y moral, entendido como derecho a rechazar intervenciones que afecten a su incolumidad corporal.</w:t>
      </w:r>
    </w:p>
    <w:p w14:paraId="090460DE" w14:textId="77777777" w:rsidR="009D7677" w:rsidRDefault="009D7677" w:rsidP="009D7677">
      <w:pPr>
        <w:pStyle w:val="TextoNormal"/>
      </w:pPr>
    </w:p>
    <w:p w14:paraId="341F37A1" w14:textId="77777777" w:rsidR="009D7677" w:rsidRDefault="009D7677" w:rsidP="009D7677">
      <w:pPr>
        <w:pStyle w:val="TextoNormal"/>
      </w:pPr>
      <w:r>
        <w:t>(ii) El derecho a la tutela judicial efectiva sin indefensión (art. 24.1 CE) en relación con el principio de justicia rogada, la infracción del principio de carga de la prueba, falta de motivación y derecho a un juez imparcial. Considera que la fundamentación de la resolución judicial de primera instancia no cumple los parámetros de motivación exigidos por la doctrina del Tribunal Constitucional, al basarse únicamente en meras creencias personales avaladas principalmente por las autoridades sanitarias, frente a los datos objetivos proporcionados por los organismos oficiales y Pfizer en relación con la seguridad y eficacia, siendo el riesgo de miocarditis y pericarditis tres veces superior con la vacunación que padeciendo la enfermedad.</w:t>
      </w:r>
    </w:p>
    <w:p w14:paraId="71ED3549" w14:textId="77777777" w:rsidR="009D7677" w:rsidRDefault="009D7677" w:rsidP="009D7677">
      <w:pPr>
        <w:pStyle w:val="TextoNormal"/>
      </w:pPr>
    </w:p>
    <w:p w14:paraId="39C78373" w14:textId="77777777" w:rsidR="009D7677" w:rsidRDefault="009D7677" w:rsidP="009D7677">
      <w:pPr>
        <w:pStyle w:val="TextoNormal"/>
      </w:pPr>
      <w:r>
        <w:t>En el recurso de amparo se alega también la vulneración del derecho a un proceso con todas las garantías (art. 24.2 CE), aunque no se desarrolla.</w:t>
      </w:r>
    </w:p>
    <w:p w14:paraId="515C48C7" w14:textId="77777777" w:rsidR="009D7677" w:rsidRDefault="009D7677" w:rsidP="009D7677">
      <w:pPr>
        <w:pStyle w:val="TextoNormal"/>
      </w:pPr>
    </w:p>
    <w:p w14:paraId="29E4CDF3" w14:textId="0BDED532" w:rsidR="009D7677" w:rsidRDefault="009D7677" w:rsidP="009D7677">
      <w:pPr>
        <w:pStyle w:val="TextoNormal"/>
      </w:pPr>
      <w:r>
        <w:t>Por medio de otrosí, solicitó la suspensión de la ejecución del auto de 30 de junio de 2022 del Juzgado de Primera Instancia e Instrucción núm. 1 de La Orotava, ratificado por el auto de 19 de enero de 2023 de la Sección Primera de la Audiencia Provincial de Tenerife.</w:t>
      </w:r>
    </w:p>
    <w:p w14:paraId="330E1732" w14:textId="77777777" w:rsidR="009D7677" w:rsidRDefault="009D7677" w:rsidP="009D7677">
      <w:pPr>
        <w:pStyle w:val="TextoNormal"/>
      </w:pPr>
    </w:p>
    <w:p w14:paraId="7529748E" w14:textId="77777777" w:rsidR="009D7677" w:rsidRDefault="009D7677" w:rsidP="009D7677">
      <w:pPr>
        <w:pStyle w:val="TextoNormal"/>
      </w:pPr>
      <w:r w:rsidRPr="009D7677">
        <w:rPr>
          <w:rStyle w:val="NumeroAFNegritaCaracter"/>
        </w:rPr>
        <w:t>4</w:t>
      </w:r>
      <w:r>
        <w:t>. Mediante providencia de 12 de septiembre de 2023, la Sección Tercera del Tribunal Constitucional acordó admitir a trámite el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de 25 de junio, FJ 2 a)] y, asimismo, porque el asunto suscitado trasciende del caso concreto porque plantea una cuestión jurídica de relevante y general repercusión social o económica [STC 155/2009, FJ 2 g)].</w:t>
      </w:r>
    </w:p>
    <w:p w14:paraId="2DC6DF42" w14:textId="77777777" w:rsidR="009D7677" w:rsidRDefault="009D7677" w:rsidP="009D7677">
      <w:pPr>
        <w:pStyle w:val="TextoNormal"/>
      </w:pPr>
    </w:p>
    <w:p w14:paraId="1C977E85" w14:textId="3902D249" w:rsidR="009D7677" w:rsidRDefault="009D7677" w:rsidP="009D7677">
      <w:pPr>
        <w:pStyle w:val="TextoNormal"/>
      </w:pPr>
      <w:r>
        <w:t>En la misma providencia se acordó, en aplicación de lo dispuesto en el art. 51 LOTC, dirigir atenta comunicación a la Sección Primera de la Audiencia Provincial de Santa Cruz de Tenerife a fin de que, en plazo que no superior a diez días, remitiera certificación o fotocopia adverada de las actuaciones correspondientes al recurso de apelación 552-2022, e igualmente, al Juzgado de Primera Instancia e Instrucción núm. 1 de La Orotava a fin de que, en plazo que no excediera de diez días, remitiera certificación o fotocopia adverada de las actuaciones correspondientes al procedimiento de jurisdicción voluntaria núm. 108-2022, debiendo emplazar previamente, para que en el plazo de diez días pudieran comparecer, si lo desearan, en el recurso de amparo, a quienes hubieran sido parte en el procedimiento, excepto la parte recurrente en amparo.</w:t>
      </w:r>
    </w:p>
    <w:p w14:paraId="7E02215D" w14:textId="77777777" w:rsidR="009D7677" w:rsidRDefault="009D7677" w:rsidP="009D7677">
      <w:pPr>
        <w:pStyle w:val="TextoNormal"/>
      </w:pPr>
    </w:p>
    <w:p w14:paraId="115C7BAB" w14:textId="24010106" w:rsidR="009D7677" w:rsidRDefault="009D7677" w:rsidP="009D7677">
      <w:pPr>
        <w:pStyle w:val="TextoNormal"/>
      </w:pPr>
      <w:r w:rsidRPr="009D7677">
        <w:rPr>
          <w:rStyle w:val="NumeroAFNegritaCaracter"/>
        </w:rPr>
        <w:lastRenderedPageBreak/>
        <w:t>5</w:t>
      </w:r>
      <w:r>
        <w:t>. Mediante providencia de 12 de septiembre de 2023 se acordó, a solicitud de la parte actora, la formación de pieza separada de suspensión, iniciándose su tramitación conforme al art. 56 LOTC.</w:t>
      </w:r>
    </w:p>
    <w:p w14:paraId="3AEADC4D" w14:textId="77777777" w:rsidR="009D7677" w:rsidRDefault="009D7677" w:rsidP="009D7677">
      <w:pPr>
        <w:pStyle w:val="TextoNormal"/>
      </w:pPr>
    </w:p>
    <w:p w14:paraId="59A151DC" w14:textId="2ED1D5F2" w:rsidR="009D7677" w:rsidRDefault="009D7677" w:rsidP="009D7677">
      <w:pPr>
        <w:pStyle w:val="TextoNormal"/>
      </w:pPr>
      <w:r w:rsidRPr="009D7677">
        <w:rPr>
          <w:rStyle w:val="NumeroAFNegritaCaracter"/>
        </w:rPr>
        <w:t>6</w:t>
      </w:r>
      <w:r>
        <w:t>. Por diligencia de ordenación de 7 de noviembre de 2023 se acordó dar vista de las actuaciones recibidas a la parte recurrente y al Ministerio Fiscal por plazo común de veinte días, dentro de los cuales pudieron presentar las alegaciones, conforme determina el art. 52.1 de la Ley Orgánica de este tribunal.</w:t>
      </w:r>
    </w:p>
    <w:p w14:paraId="5B70A4E4" w14:textId="77777777" w:rsidR="009D7677" w:rsidRDefault="009D7677" w:rsidP="009D7677">
      <w:pPr>
        <w:pStyle w:val="TextoNormal"/>
      </w:pPr>
    </w:p>
    <w:p w14:paraId="40927AAB" w14:textId="77777777" w:rsidR="009D7677" w:rsidRDefault="009D7677" w:rsidP="009D7677">
      <w:pPr>
        <w:pStyle w:val="TextoNormal"/>
      </w:pPr>
      <w:r w:rsidRPr="009D7677">
        <w:rPr>
          <w:rStyle w:val="NumeroAFNegritaCaracter"/>
        </w:rPr>
        <w:t>7</w:t>
      </w:r>
      <w:r>
        <w:t>. El fiscal presentó alegaciones interesando la desestimación del recurso de amparo. Respecto de la vulneración del derecho a la tutela judicial efectiva sin indefensión (art. 24.1 CE) en relación con el principio de justicia rogada, la infracción del principio de carga de la prueba, la falta de motivación y el derecho a un juez imparcial, advierte que el contenido de la argumentación del recurso únicamente se refiere a la motivación del auto de primera instancia, considerando la recurrente que no se valoró la prueba por ella aportada, sin que se contenga un desarrollo específico de las otras vulneraciones alegadas. Tal cuestión, indica el fiscal, debe responderse a través de la contestación que se dé a la vulneración del derecho a la integridad física del art. 15 CE. Pero, en todo caso, analiza esta posible vulneración del art. 24.1 CE a la luz de la jurisprudencia constitucional sobre el derecho a la tutela judicial efectiva en su vertiente de derecho a obtener una resolución fundada en derecho, concluyendo que no habría vulneración del derecho fundamental. Ante dos pruebas contradictorias de carácter pericial, se tiene que decidir por dar más valor a una que a otra, y no resulta arbitrario preferir la que proviene de fuentes oficiales, teniendo en cuenta además que el derecho a la tutela judicial efectiva no garantiza el acierto de las resoluciones judiciales, sino que la motivación sea razonable, y en este caso lo es. El auto del juzgado, por otra parte, no solo ha valorado la información médico-científica, sino que ha tenido en cuenta también las manifestaciones de los progenitores y el acuerdo que anteriormente hubo para administrar otra vacuna no incluida en el calendario oficial de vacunación. Y la Audiencia Provincial, a pesar de que erróneamente niega que la vacunación pueda suponer un ataque a la integridad física y la justifica porque contribuye a disminuir el contagio hacia toda la comunidad, sí acierta al justificar la vacunación en la protección que comporta para los menores de edad, centrándose en la información facilitada por la Agencia Europea del Medicamento, la Asociación Española de Pediatría y la Comisión de Salud Pública de España en relación con la protección a los menores y la consideración de la vacunación como la única alternativa eficiente frente al riesgo real de desarrollar la enfermedad y que el riesgo de la vacunación es muy inferior al riesgo de padecer la enfermedad. Concluye así el fiscal que la motivación es razonada y razonable, sin arbitrariedad, pese a que algunos argumentos puedan ser erróneos.</w:t>
      </w:r>
    </w:p>
    <w:p w14:paraId="0C8E5E86" w14:textId="77777777" w:rsidR="009D7677" w:rsidRDefault="009D7677" w:rsidP="009D7677">
      <w:pPr>
        <w:pStyle w:val="TextoNormal"/>
      </w:pPr>
    </w:p>
    <w:p w14:paraId="49264976" w14:textId="43BF0BF8" w:rsidR="009D7677" w:rsidRDefault="009D7677" w:rsidP="009D7677">
      <w:pPr>
        <w:pStyle w:val="TextoNormal"/>
      </w:pPr>
      <w:r>
        <w:t xml:space="preserve">Tampoco aprecia que se haya vulnerado el derecho a la integridad física y moral (art. 15 CE) por falta de consentimiento informado, a la luz de los razonamientos contenidos en la STC 148/2023, de 6 de noviembre. En este caso, no consta que los menores cuenten con madurez suficiente para prestar el consentimiento con exclusión de sus padres, y del expediente judicial se desprende que ambos progenitores asumieron de consuno el hecho de que estos carecían de la capacidad emocional e intelectual que requiere el art. 9.3 c) de la Ley 41/2002, de autonomía del paciente para prestar el consentimiento informado por sí mismos y de forma autónoma, por lo que son los progenitores quienes deben consentir. </w:t>
      </w:r>
      <w:r>
        <w:lastRenderedPageBreak/>
        <w:t>Esta cuestión no se discutió en ningún momento de la tramitación del expediente ni lo cuestionaron los órganos judiciales, dada la complejidad científico-médica de la cuestión. El hecho de no haber escuchado a los menores carece de la entidad suficiente para constituir por sí mismo una vulneración del derecho a la integridad física y moral de los menores. Y al igual que se razonó en la STC 148/2023, del expediente judicial se desprende con claridad que los progenitores contaban con la información adecuada para la prestación del consentimiento regulado en la Ley 41/2002. El fiscal aprecia, por otra parte, que las resoluciones judiciales contenían una motivación que pondera el interés superior del menor en cuanto a su integridad física y que tiene en cuenta también, aunque sea tácitamente, su salud mental.</w:t>
      </w:r>
    </w:p>
    <w:p w14:paraId="58F247BF" w14:textId="77777777" w:rsidR="009D7677" w:rsidRDefault="009D7677" w:rsidP="009D7677">
      <w:pPr>
        <w:pStyle w:val="TextoNormal"/>
      </w:pPr>
    </w:p>
    <w:p w14:paraId="50ACC0A0" w14:textId="0E66ABB8" w:rsidR="009D7677" w:rsidRDefault="009D7677" w:rsidP="009D7677">
      <w:pPr>
        <w:pStyle w:val="TextoNormal"/>
      </w:pPr>
      <w:r w:rsidRPr="009D7677">
        <w:rPr>
          <w:rStyle w:val="NumeroAFNegritaCaracter"/>
        </w:rPr>
        <w:t>8</w:t>
      </w:r>
      <w:r>
        <w:t>. Por providencia de 25 de enero de 2024 se señaló para deliberación y votación de la presente sentencia el día 29 del mismo mes y año.</w:t>
      </w:r>
    </w:p>
    <w:p w14:paraId="25163426" w14:textId="77777777" w:rsidR="009D7677" w:rsidRDefault="009D7677" w:rsidP="009D7677">
      <w:pPr>
        <w:pStyle w:val="TextoNormal"/>
      </w:pPr>
    </w:p>
    <w:p w14:paraId="08151C69" w14:textId="77777777" w:rsidR="009D7677" w:rsidRDefault="009D7677" w:rsidP="009D7677">
      <w:pPr>
        <w:pStyle w:val="TextoNormalNegritaCentrado"/>
        <w:keepNext/>
      </w:pPr>
      <w:r>
        <w:t>II. Fundamentos jurídicos</w:t>
      </w:r>
    </w:p>
    <w:p w14:paraId="7F262C51" w14:textId="767F2E03" w:rsidR="009D7677" w:rsidRDefault="009D7677" w:rsidP="009D7677">
      <w:pPr>
        <w:pStyle w:val="TextoNormalNegritaCentrado"/>
        <w:keepNext/>
      </w:pPr>
    </w:p>
    <w:p w14:paraId="642392CC" w14:textId="77777777" w:rsidR="009D7677" w:rsidRDefault="009D7677" w:rsidP="009D7677">
      <w:pPr>
        <w:pStyle w:val="TextoNormal"/>
      </w:pPr>
      <w:r w:rsidRPr="009D7677">
        <w:rPr>
          <w:rStyle w:val="NumeroAFNegritaCaracter"/>
        </w:rPr>
        <w:t>1</w:t>
      </w:r>
      <w:r>
        <w:t>. Objeto del recurso</w:t>
      </w:r>
    </w:p>
    <w:p w14:paraId="418A23A8" w14:textId="77777777" w:rsidR="009D7677" w:rsidRDefault="009D7677" w:rsidP="009D7677">
      <w:pPr>
        <w:pStyle w:val="TextoNormal"/>
      </w:pPr>
    </w:p>
    <w:p w14:paraId="4B114265" w14:textId="77777777" w:rsidR="009D7677" w:rsidRDefault="009D7677" w:rsidP="009D7677">
      <w:pPr>
        <w:pStyle w:val="TextoNormal"/>
      </w:pPr>
      <w:r>
        <w:t>El presente recurso de amparo se dirige contra el auto de 30 de junio de 2022 dictado por el Juzgado de Primera Instancia núm. 1 de La Orotava en el procedimiento de intervención judicial por desacuerdo en el ejercicio de la patria potestad 108-2022, que atribuyó la facultad de decidir sobre la administración de la vacuna a los hijos menores de edad a don R.H.H., y contra el auto de 19 de enero de 2023 dictado por la Sección Primera de la Audiencia Provincial de Tenerife, en el rollo de apelación núm. 552-2022, confirmatorio del anterior.</w:t>
      </w:r>
    </w:p>
    <w:p w14:paraId="064B647B" w14:textId="77777777" w:rsidR="009D7677" w:rsidRDefault="009D7677" w:rsidP="009D7677">
      <w:pPr>
        <w:pStyle w:val="TextoNormal"/>
      </w:pPr>
    </w:p>
    <w:p w14:paraId="2353CEBE" w14:textId="3EFC1A61" w:rsidR="009D7677" w:rsidRDefault="009D7677" w:rsidP="009D7677">
      <w:pPr>
        <w:pStyle w:val="TextoNormal"/>
      </w:pPr>
      <w:r>
        <w:t>Dada la naturaleza de los hechos, debe señalarse que,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 27 de julio de 2015), la presente sentencia y demás actuaciones del proceso no incluyen la identificación completa de la persona menor de edad afectada ni la de sus parientes inmediatos que aparecen mencionados en las actuaciones, con el fin de proteger la intimidad de aquella.</w:t>
      </w:r>
    </w:p>
    <w:p w14:paraId="7F05045B" w14:textId="77777777" w:rsidR="009D7677" w:rsidRDefault="009D7677" w:rsidP="009D7677">
      <w:pPr>
        <w:pStyle w:val="TextoNormal"/>
      </w:pPr>
    </w:p>
    <w:p w14:paraId="0A510D5A" w14:textId="77777777" w:rsidR="009D7677" w:rsidRDefault="009D7677" w:rsidP="009D7677">
      <w:pPr>
        <w:pStyle w:val="TextoNormal"/>
      </w:pPr>
      <w:r w:rsidRPr="009D7677">
        <w:rPr>
          <w:rStyle w:val="NumeroAFNegritaCaracter"/>
        </w:rPr>
        <w:t>2</w:t>
      </w:r>
      <w:r>
        <w:t>. Delimitación de los derechos fundamentales concernidos</w:t>
      </w:r>
    </w:p>
    <w:p w14:paraId="7B3ABFE9" w14:textId="77777777" w:rsidR="009D7677" w:rsidRDefault="009D7677" w:rsidP="009D7677">
      <w:pPr>
        <w:pStyle w:val="TextoNormal"/>
      </w:pPr>
    </w:p>
    <w:p w14:paraId="512DEA6E" w14:textId="632D57F6" w:rsidR="009D7677" w:rsidRDefault="009D7677" w:rsidP="009D7677">
      <w:pPr>
        <w:pStyle w:val="TextoNormal"/>
      </w:pPr>
      <w:r>
        <w:t>En la demanda de amparo se invoca la vulneración del derecho fundamental a la integridad física y moral (art. 15 CE) por falta de consentimiento informado, pero también la vulneración del derecho a la tutela judicial efectiva (art. 24.1 CE) en relación con el principio de justicia rogada, la infracción del principio de carga de la prueba, falta de motivación y derecho a un juez imparcial. Se menciona asimismo la vulneración del derecho a un proceso con todas las garantías (art. 24.2 CE). La referencia al principio de justicia rogada, el principio de carga de la prueba, el derecho a un juez imparcial y derecho a un proceso con todas las garantías está desprovista de todo desarrollo argumental, y la falta de motivación debe calificarse de instrumental respecto de la queja de vulneración del derecho a la integridad personal, por lo que no procede el examen de ninguna de las quejas formuladas en relación con el art. 24.1 y 2 CE.</w:t>
      </w:r>
    </w:p>
    <w:p w14:paraId="2280BA9F" w14:textId="77777777" w:rsidR="009D7677" w:rsidRDefault="009D7677" w:rsidP="009D7677">
      <w:pPr>
        <w:pStyle w:val="TextoNormal"/>
      </w:pPr>
    </w:p>
    <w:p w14:paraId="4474A6AD" w14:textId="77777777" w:rsidR="009D7677" w:rsidRDefault="009D7677" w:rsidP="009D7677">
      <w:pPr>
        <w:pStyle w:val="TextoNormal"/>
      </w:pPr>
      <w:r w:rsidRPr="009D7677">
        <w:rPr>
          <w:rStyle w:val="NumeroAFNegritaCaracter"/>
        </w:rPr>
        <w:t>3</w:t>
      </w:r>
      <w:r>
        <w:t>. Aplicación de la doctrina constitucional expuesta en la STC 148/2023, de 6 de noviembre</w:t>
      </w:r>
    </w:p>
    <w:p w14:paraId="72CB09D7" w14:textId="77777777" w:rsidR="009D7677" w:rsidRDefault="009D7677" w:rsidP="009D7677">
      <w:pPr>
        <w:pStyle w:val="TextoNormal"/>
      </w:pPr>
    </w:p>
    <w:p w14:paraId="18EDC562" w14:textId="77777777" w:rsidR="009D7677" w:rsidRDefault="009D7677" w:rsidP="009D7677">
      <w:pPr>
        <w:pStyle w:val="TextoNormal"/>
      </w:pPr>
      <w:r>
        <w:t>La cuestión constitucional suscitada en este recurso en relación con el derecho fundamental a la integridad física y moral (art. 15 CE) es la misma que ya ha sido objeto de análisis por el Pleno de este tribunal en la STC 148/2023, de 6 de noviembre, en cuyos fundamentos jurídicos 4 y 5 se expusieron de manera pormenorizada las pautas de ponderación necesarias para determinar si en este tipo de supuestos se ha vulnerado el derecho a la integridad personal, centrando la cuestión en que la administración de la vacuna, a falta de consentimiento libre, válido e informado de la persona afectada, precisa para su constitucionalidad el cumplimiento de los requisitos generales que, de acuerdo con nuestra doctrina, rigen la restricción de los derechos fundamentales sustantivos.</w:t>
      </w:r>
    </w:p>
    <w:p w14:paraId="1D6DCE16" w14:textId="77777777" w:rsidR="009D7677" w:rsidRDefault="009D7677" w:rsidP="009D7677">
      <w:pPr>
        <w:pStyle w:val="TextoNormal"/>
      </w:pPr>
    </w:p>
    <w:p w14:paraId="4AF11D83" w14:textId="60286EF3" w:rsidR="009D7677" w:rsidRDefault="009D7677" w:rsidP="009D7677">
      <w:pPr>
        <w:pStyle w:val="TextoNormal"/>
      </w:pPr>
      <w:r>
        <w:t>En atención a lo expuesto, en este caso, como también se concluyó en la STC 148/2023, FJ 5, el Tribunal rechaza que se haya vulnerado el art. 15 CE al constatarse que (i) se cumple el presupuesto básico que el art. 9.3, letra c) de la Ley 41/2002 establece para que pueda acudirse al consentimiento por representación —otorgado por los progenitores de común acuerdo o por la autoridad judicial en caso de desacuerdo— porque los menores, que tenían nueve años durante la tramitación del expediente, carecían de la capacidad emocional e intelectual necesarias para comprender el alcance de la intervención y los padres contaban con la información adecuada para la prestación del consentimiento desde un momento anterior incluso a la iniciación del procedimiento de jurisdicción voluntaria, por lo que no cabe apreciar la ausencia de consentimiento informado; y (ii) la motivación de las resoluciones judiciales tuvo como fundamento esencial la protección del interés superior de los menores en relación con la protección de su salud, teniendo en cuenta la recomendación de las autoridades sanitarias, que se mostraban a favor de la vacunación de menores haciendo una ponderación de riesgos y beneficios de la vacuna, que el órgano judicial no estima desvirtuadas por los informes aportados por la recurrente.</w:t>
      </w:r>
    </w:p>
    <w:p w14:paraId="3B89CE74" w14:textId="77777777" w:rsidR="009D7677" w:rsidRDefault="009D7677" w:rsidP="009D7677">
      <w:pPr>
        <w:pStyle w:val="TextoNormal"/>
      </w:pPr>
    </w:p>
    <w:p w14:paraId="7EB01E12" w14:textId="77777777" w:rsidR="009D7677" w:rsidRDefault="009D7677" w:rsidP="009D7677">
      <w:pPr>
        <w:pStyle w:val="TextoNormalCentrado"/>
        <w:keepNext/>
      </w:pPr>
      <w:r>
        <w:t>FALLO</w:t>
      </w:r>
    </w:p>
    <w:p w14:paraId="1E7B0FE7" w14:textId="721DDCE4" w:rsidR="009D7677" w:rsidRDefault="009D7677" w:rsidP="009D7677">
      <w:pPr>
        <w:pStyle w:val="TextoNormalCentrado"/>
        <w:keepNext/>
      </w:pPr>
    </w:p>
    <w:p w14:paraId="6CFD2301" w14:textId="4634E030" w:rsidR="009D7677" w:rsidRDefault="009D7677" w:rsidP="009D7677">
      <w:pPr>
        <w:pStyle w:val="TextoNormal"/>
      </w:pPr>
      <w:r>
        <w:t>En atención a todo lo expuesto, el Tribunal Constitucional, por la autoridad que le confiere la Constitución de la Nación española, ha decidido desestimar el recurso de amparo interpuesto por doña M.S.D.</w:t>
      </w:r>
    </w:p>
    <w:p w14:paraId="34BFCAA3" w14:textId="77777777" w:rsidR="009D7677" w:rsidRDefault="009D7677" w:rsidP="009D7677">
      <w:pPr>
        <w:pStyle w:val="TextoNormal"/>
      </w:pPr>
    </w:p>
    <w:p w14:paraId="0E92E709" w14:textId="77777777" w:rsidR="009D7677" w:rsidRDefault="009D7677" w:rsidP="009D7677">
      <w:pPr>
        <w:pStyle w:val="TextoNormal"/>
      </w:pPr>
      <w:r>
        <w:t>Publíquese esta sentencia en el “Boletín Oficial del Estado”.</w:t>
      </w:r>
    </w:p>
    <w:p w14:paraId="4244BF33" w14:textId="77777777" w:rsidR="009D7677" w:rsidRDefault="009D7677" w:rsidP="009D7677">
      <w:pPr>
        <w:pStyle w:val="TextoNormal"/>
      </w:pPr>
      <w:r>
        <w:t>Dada en Madrid, a veintinueve de enero de dos mil veinticuatro.</w:t>
      </w:r>
    </w:p>
    <w:p w14:paraId="4596EC52" w14:textId="49F4E805" w:rsidR="009D7677" w:rsidRDefault="009D7677">
      <w:pPr>
        <w:spacing w:after="160" w:line="259" w:lineRule="auto"/>
        <w:rPr>
          <w:rFonts w:ascii="Times New Roman" w:eastAsia="Times New Roman" w:hAnsi="Times New Roman" w:cs="Times New Roman"/>
          <w:sz w:val="24"/>
          <w:szCs w:val="24"/>
          <w:lang w:eastAsia="es-ES"/>
        </w:rPr>
      </w:pPr>
      <w:r>
        <w:br w:type="page"/>
      </w:r>
    </w:p>
    <w:p w14:paraId="65C17874" w14:textId="77777777" w:rsidR="009D7677" w:rsidRDefault="009D7677" w:rsidP="009D7677">
      <w:pPr>
        <w:pStyle w:val="TtuloResolucin"/>
      </w:pPr>
      <w:bookmarkStart w:id="16" w:name="SENTENCIA_2024_14"/>
      <w:r>
        <w:lastRenderedPageBreak/>
        <w:t>SENTENCIA 14/2024, de 29 de enero de 2024</w:t>
      </w:r>
    </w:p>
    <w:bookmarkEnd w:id="16"/>
    <w:p w14:paraId="6C64DC00" w14:textId="77777777" w:rsidR="009D7677" w:rsidRDefault="009D7677" w:rsidP="009D7677">
      <w:pPr>
        <w:pStyle w:val="TtuloResolucin"/>
      </w:pPr>
      <w:r>
        <w:t>Sala Primera</w:t>
      </w:r>
    </w:p>
    <w:p w14:paraId="41A8E5EA" w14:textId="77777777" w:rsidR="009D7677" w:rsidRDefault="009D7677" w:rsidP="009D7677">
      <w:pPr>
        <w:pStyle w:val="TtuloBOE"/>
      </w:pPr>
      <w:r>
        <w:t>(BOE núm. 53, de 29 de febrero de 2024)</w:t>
      </w:r>
    </w:p>
    <w:p w14:paraId="53AE97CC" w14:textId="77777777" w:rsidR="009D7677" w:rsidRDefault="009D7677" w:rsidP="009D7677">
      <w:pPr>
        <w:pStyle w:val="TextoNormalCentrado"/>
      </w:pPr>
      <w:r>
        <w:t>ECLI:ES:TC:2024:14</w:t>
      </w:r>
    </w:p>
    <w:p w14:paraId="3442CB62" w14:textId="01812D2C" w:rsidR="009D7677" w:rsidRDefault="009D7677" w:rsidP="009D7677">
      <w:pPr>
        <w:pStyle w:val="TextoNormalCentrado"/>
      </w:pPr>
    </w:p>
    <w:p w14:paraId="6F892553" w14:textId="77777777" w:rsidR="009D7677" w:rsidRDefault="009D7677" w:rsidP="009D7677">
      <w:pPr>
        <w:pStyle w:val="SntesisDescriptiva"/>
      </w:pPr>
      <w:r>
        <w:t>Recurso de amparo 3229-2023. Promovido por don R.R., en relación con las resoluciones de la Audiencia Provincial de Alicante y un juzgado de primera instancia de esa capital que acordaron la administración de la vacuna frente a la covid-19.</w:t>
      </w:r>
    </w:p>
    <w:p w14:paraId="17BE08D2" w14:textId="70650BF8" w:rsidR="009D7677" w:rsidRDefault="009D7677" w:rsidP="009D7677">
      <w:pPr>
        <w:pStyle w:val="SntesisDescriptiva"/>
      </w:pPr>
    </w:p>
    <w:p w14:paraId="25B5759C" w14:textId="77777777" w:rsidR="009D7677" w:rsidRDefault="009D7677" w:rsidP="009D7677">
      <w:pPr>
        <w:pStyle w:val="SntesisAnaltica"/>
      </w:pPr>
      <w:r>
        <w:t>Supuesta vulneración de los derechos a la integridad física y a la tutela judicial sin indefensión: STC 148/2023 [resoluciones judiciales que realizaron una ponderación adecuada de los intereses de una persona menor de edad (STC 38/2023)].</w:t>
      </w:r>
    </w:p>
    <w:p w14:paraId="6401ED5A" w14:textId="38FB8F4E" w:rsidR="009D7677" w:rsidRDefault="009D7677" w:rsidP="009D7677">
      <w:pPr>
        <w:pStyle w:val="SntesisAnaltica"/>
      </w:pPr>
    </w:p>
    <w:p w14:paraId="4587A32B" w14:textId="2572020B" w:rsidR="009D7677" w:rsidRDefault="009D7677" w:rsidP="009D7677">
      <w:pPr>
        <w:pStyle w:val="Extracto"/>
      </w:pPr>
      <w:r>
        <w:t>1.</w:t>
      </w:r>
      <w:r>
        <w:tab/>
        <w:t xml:space="preserve">La capacidad general de autodeterminación de las personas menores de edad, en relación con las actuaciones médicas que les afectan, encuentra su límite en la protección de su interés superior, que se impone como obligación a los progenitores, en cuanto titulares de la patria potestad o autoridad familiar, y a todos los poderes públicos, incluida la autoridad judicial (STC 148/2023) </w:t>
      </w:r>
    </w:p>
    <w:p w14:paraId="21CACC26" w14:textId="77777777" w:rsidR="009D7677" w:rsidRDefault="009D7677" w:rsidP="009D7677">
      <w:pPr>
        <w:pStyle w:val="Extracto"/>
      </w:pPr>
    </w:p>
    <w:p w14:paraId="205B3BAD" w14:textId="7D171D8B" w:rsidR="009D7677" w:rsidRDefault="009D7677" w:rsidP="009D7677">
      <w:pPr>
        <w:pStyle w:val="Extracto"/>
      </w:pPr>
      <w:r>
        <w:t>2.</w:t>
      </w:r>
      <w:r>
        <w:tab/>
        <w:t xml:space="preserve">La decisión de los representantes legales relativa al otorgamiento o no del consentimiento informado por representación deberá atender a la protección del derecho a la vida, supervivencia y desarrollo del menor y la satisfacción de sus necesidades básicas, tanto materiales, físicas y educativas como emocionales y afectivas [art. 2.2, letra a) de la Ley Orgánica 1/1996]; y es preciso buscar el mayor beneficio para la vida o salud del paciente menor de edad (STC 148/2023) </w:t>
      </w:r>
    </w:p>
    <w:p w14:paraId="6478C4CB" w14:textId="77777777" w:rsidR="009D7677" w:rsidRDefault="009D7677" w:rsidP="009D7677">
      <w:pPr>
        <w:pStyle w:val="Extracto"/>
      </w:pPr>
    </w:p>
    <w:p w14:paraId="2F4E6DC4" w14:textId="77777777" w:rsidR="009D7677" w:rsidRDefault="009D7677" w:rsidP="009D7677">
      <w:pPr>
        <w:pStyle w:val="Extracto"/>
      </w:pPr>
    </w:p>
    <w:p w14:paraId="279E32D9" w14:textId="77777777" w:rsidR="009D7677" w:rsidRDefault="009D7677" w:rsidP="009D7677">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1B2FC9F3" w14:textId="5C75A094" w:rsidR="009D7677" w:rsidRDefault="009D7677" w:rsidP="009D7677">
      <w:pPr>
        <w:pStyle w:val="TextoNormal"/>
      </w:pPr>
    </w:p>
    <w:p w14:paraId="436ED4C2" w14:textId="77777777" w:rsidR="009D7677" w:rsidRDefault="009D7677" w:rsidP="009D7677">
      <w:pPr>
        <w:pStyle w:val="TextoNormalCentrado"/>
        <w:keepNext/>
      </w:pPr>
      <w:r>
        <w:t>EN NOMBRE DEL REY</w:t>
      </w:r>
    </w:p>
    <w:p w14:paraId="45831276" w14:textId="5068115C" w:rsidR="009D7677" w:rsidRDefault="009D7677" w:rsidP="009D7677">
      <w:pPr>
        <w:pStyle w:val="TextoNormalCentrado"/>
        <w:keepNext/>
      </w:pPr>
    </w:p>
    <w:p w14:paraId="211559EC" w14:textId="77777777" w:rsidR="009D7677" w:rsidRDefault="009D7677" w:rsidP="009D7677">
      <w:pPr>
        <w:pStyle w:val="TextoNormalCentrado"/>
        <w:keepNext/>
      </w:pPr>
    </w:p>
    <w:p w14:paraId="1085226F" w14:textId="77777777" w:rsidR="009D7677" w:rsidRDefault="009D7677" w:rsidP="009D7677">
      <w:pPr>
        <w:pStyle w:val="TextoNormal"/>
      </w:pPr>
      <w:r>
        <w:t>la siguiente</w:t>
      </w:r>
    </w:p>
    <w:p w14:paraId="3A87D80E" w14:textId="0878774B" w:rsidR="009D7677" w:rsidRDefault="009D7677" w:rsidP="009D7677">
      <w:pPr>
        <w:pStyle w:val="TextoNormal"/>
      </w:pPr>
    </w:p>
    <w:p w14:paraId="016A8A2A" w14:textId="77777777" w:rsidR="009D7677" w:rsidRDefault="009D7677" w:rsidP="009D7677">
      <w:pPr>
        <w:pStyle w:val="TextoNormalCentrado"/>
        <w:keepNext/>
      </w:pPr>
      <w:r>
        <w:t>SENTENCIA</w:t>
      </w:r>
    </w:p>
    <w:p w14:paraId="275C1DFB" w14:textId="13F6E2E1" w:rsidR="009D7677" w:rsidRDefault="009D7677" w:rsidP="009D7677">
      <w:pPr>
        <w:pStyle w:val="TextoNormalCentrado"/>
        <w:keepNext/>
      </w:pPr>
    </w:p>
    <w:p w14:paraId="500C8C8A" w14:textId="77777777" w:rsidR="009D7677" w:rsidRDefault="009D7677" w:rsidP="009D7677">
      <w:pPr>
        <w:pStyle w:val="TextoNormal"/>
      </w:pPr>
      <w:r>
        <w:t>En el recurso de amparo 3229-2023, interpuesto por la procuradora de los tribunales doña Ana María Álvarez Úbeda en nombre y representación de don R.R., y bajo la dirección letrada de don Luis María Pardo Rodríguez, contra el auto núm. 437/2022, de 15 de junio, dictado por el Juzgado de Primera Instancia núm. 8 de Alicante en el procedimiento de jurisdicción voluntaria núm. 318-2022, y contra el auto núm. 87/2023, de 23 de marzo, dictado por la Sección Sexta de la Audiencia Provincial de Alicante en el rollo de apelación núm. 281-2023, confirmatorio del anterior. Ha intervenido el Ministerio Fiscal. Ha sido ponente la magistrada doña Concepción Espejel Jorquera.</w:t>
      </w:r>
    </w:p>
    <w:p w14:paraId="457943FC" w14:textId="22025F3E" w:rsidR="009D7677" w:rsidRDefault="009D7677" w:rsidP="009D7677">
      <w:pPr>
        <w:pStyle w:val="TextoNormal"/>
      </w:pPr>
    </w:p>
    <w:p w14:paraId="37820013" w14:textId="77777777" w:rsidR="009D7677" w:rsidRDefault="009D7677" w:rsidP="009D7677">
      <w:pPr>
        <w:pStyle w:val="TextoNormalNegritaCentrado"/>
        <w:keepNext/>
      </w:pPr>
      <w:r>
        <w:t>I. Antecedentes</w:t>
      </w:r>
    </w:p>
    <w:p w14:paraId="1F322E87" w14:textId="632FB00E" w:rsidR="009D7677" w:rsidRDefault="009D7677" w:rsidP="009D7677">
      <w:pPr>
        <w:pStyle w:val="TextoNormalNegritaCentrado"/>
        <w:keepNext/>
      </w:pPr>
    </w:p>
    <w:p w14:paraId="52332FBA" w14:textId="678BBD79" w:rsidR="009D7677" w:rsidRDefault="009D7677" w:rsidP="009D7677">
      <w:pPr>
        <w:pStyle w:val="TextoNormal"/>
      </w:pPr>
      <w:r w:rsidRPr="009D7677">
        <w:rPr>
          <w:rStyle w:val="NumeroAFNegritaCaracter"/>
        </w:rPr>
        <w:t>1</w:t>
      </w:r>
      <w:r>
        <w:t>. Don R.R., representado por la procuradora de los tribunales doña Ana María Álvarez Úbeda, interpuso recurso de amparo contra las resoluciones indicadas en el encabezamiento de esta resolución, mediante escrito presentado en el registro de este tribunal el día 16 de mayo de 2023.</w:t>
      </w:r>
    </w:p>
    <w:p w14:paraId="0AC0A2D6" w14:textId="77777777" w:rsidR="009D7677" w:rsidRDefault="009D7677" w:rsidP="009D7677">
      <w:pPr>
        <w:pStyle w:val="TextoNormal"/>
      </w:pPr>
    </w:p>
    <w:p w14:paraId="5288ACB5" w14:textId="77777777" w:rsidR="009D7677" w:rsidRDefault="009D7677" w:rsidP="009D7677">
      <w:pPr>
        <w:pStyle w:val="TextoNormal"/>
      </w:pPr>
      <w:r w:rsidRPr="009D7677">
        <w:rPr>
          <w:rStyle w:val="NumeroAFNegritaCaracter"/>
        </w:rPr>
        <w:t>2</w:t>
      </w:r>
      <w:r>
        <w:t>. Los hechos de los que trae causa la demanda de amparo son, en síntesis, los siguientes:</w:t>
      </w:r>
    </w:p>
    <w:p w14:paraId="707413AE" w14:textId="77777777" w:rsidR="009D7677" w:rsidRDefault="009D7677" w:rsidP="009D7677">
      <w:pPr>
        <w:pStyle w:val="TextoNormal"/>
      </w:pPr>
    </w:p>
    <w:p w14:paraId="0D65B961" w14:textId="77777777" w:rsidR="009D7677" w:rsidRDefault="009D7677" w:rsidP="009D7677">
      <w:pPr>
        <w:pStyle w:val="TextoNormal"/>
      </w:pPr>
      <w:r>
        <w:t>a) De conformidad con el art. 156 del Código civil (CC), el 25 de febrero de 2022 doña S.A.A., promovió expediente de jurisdicción voluntaria en nombre propio por medio de un formulario, al no haber llegado a un acuerdo con el padre, ahora demandante de amparo, respecto a la “realización de tratamiento/valoración por vacuna covid” del hijo común menor de edad, don C.R.A., nacido el 10 de agosto de 2014.</w:t>
      </w:r>
    </w:p>
    <w:p w14:paraId="22F85BB5" w14:textId="77777777" w:rsidR="009D7677" w:rsidRDefault="009D7677" w:rsidP="009D7677">
      <w:pPr>
        <w:pStyle w:val="TextoNormal"/>
      </w:pPr>
    </w:p>
    <w:p w14:paraId="10A92B67" w14:textId="77777777" w:rsidR="009D7677" w:rsidRDefault="009D7677" w:rsidP="009D7677">
      <w:pPr>
        <w:pStyle w:val="TextoNormal"/>
      </w:pPr>
      <w:r>
        <w:t>b) La solicitud dio lugar a la incoación del procedimiento de jurisdicción voluntaria núm. 318-2022 en el Juzgado de Primera Instancia núm. 8 de Alicante, que mediante el auto núm. 437/2022, de 15 de junio, estimó la petición formulada y atribuyó a la solicitante la facultad de decidir sobre la administración de la vacuna frente a la covid-19 al citado menor.</w:t>
      </w:r>
    </w:p>
    <w:p w14:paraId="2FA38443" w14:textId="77777777" w:rsidR="009D7677" w:rsidRDefault="009D7677" w:rsidP="009D7677">
      <w:pPr>
        <w:pStyle w:val="TextoNormal"/>
      </w:pPr>
    </w:p>
    <w:p w14:paraId="5C4B231C" w14:textId="77777777" w:rsidR="009D7677" w:rsidRDefault="009D7677" w:rsidP="009D7677">
      <w:pPr>
        <w:pStyle w:val="TextoNormal"/>
      </w:pPr>
      <w:r>
        <w:t>Expuesto de forma sintética, la decisión judicial se fundamenta en que el objeto del incidente no es determinar si el proceso de elaboración de la vacuna o el de vacunación que se está llevando a cabo en España, se ajusta a las prescripciones legales, sino la atribución de la facultad de decidir sobre la vacunación del menor a uno de sus progenitores, en función del interés del menor concernido.</w:t>
      </w:r>
    </w:p>
    <w:p w14:paraId="044C623B" w14:textId="77777777" w:rsidR="009D7677" w:rsidRDefault="009D7677" w:rsidP="009D7677">
      <w:pPr>
        <w:pStyle w:val="TextoNormal"/>
      </w:pPr>
    </w:p>
    <w:p w14:paraId="05713801" w14:textId="77777777" w:rsidR="009D7677" w:rsidRDefault="009D7677" w:rsidP="009D7677">
      <w:pPr>
        <w:pStyle w:val="TextoNormal"/>
      </w:pPr>
      <w:r>
        <w:t>En consideración a las normas legales de aplicación —arts. 156 y 162.1 CC; arts. 2.1, 9.1 y 2 de la Ley Orgánica 1/1996, de 15 de enero, de protección jurídica del menor, de modificación parcial del Código civil y de la Ley de enjuiciamiento civil; arts. 3, 4, 8 y 9.3 de la Ley 41/2002, de 14 de noviembre, básica reguladora de la autonomía del paciente y de derechos y obligaciones en materia de información y documentación clínica; y art. 43 de la Ley 10/2014 de 29 de diciembre, de salud de la Comunidad Valenciana— los hechos alegados y la prueba practicada, la resolución judicial se basa en los siguientes argumentos:</w:t>
      </w:r>
    </w:p>
    <w:p w14:paraId="7DAC3B5B" w14:textId="77777777" w:rsidR="009D7677" w:rsidRDefault="009D7677" w:rsidP="009D7677">
      <w:pPr>
        <w:pStyle w:val="TextoNormal"/>
      </w:pPr>
    </w:p>
    <w:p w14:paraId="6BFDBA52" w14:textId="77777777" w:rsidR="009D7677" w:rsidRDefault="009D7677" w:rsidP="009D7677">
      <w:pPr>
        <w:pStyle w:val="TextoNormal"/>
      </w:pPr>
      <w:r>
        <w:t>(i) Existen diversas posturas y multitud de estudios sobre la conveniencia de vacunar o no a los menores entre cinco y once años, pero lo cierto es que la Agencia Europea del Medicamento, tras los estudios pertinentes, aprobó la utilización de la vacuna contra el coronavirus.</w:t>
      </w:r>
    </w:p>
    <w:p w14:paraId="14D30744" w14:textId="77777777" w:rsidR="009D7677" w:rsidRDefault="009D7677" w:rsidP="009D7677">
      <w:pPr>
        <w:pStyle w:val="TextoNormal"/>
      </w:pPr>
    </w:p>
    <w:p w14:paraId="40CB058B" w14:textId="77777777" w:rsidR="009D7677" w:rsidRDefault="009D7677" w:rsidP="009D7677">
      <w:pPr>
        <w:pStyle w:val="TextoNormal"/>
      </w:pPr>
      <w:r>
        <w:t xml:space="preserve">(ii) El Ministerio de Sanidad español incluye en el plan de vacunación a los menores entre cinco y once años, y en su página web bajo la rúbrica “Vacunación covid en población infantil: preguntas y respuestas”, analiza los riesgos y beneficios de la vacunación. Advierte que las respuestas que da “están adaptadas a la normativa y recomendaciones </w:t>
      </w:r>
      <w:r>
        <w:lastRenderedPageBreak/>
        <w:t>oficiales en España”. En la página web se examinan los efectos secundarios de la vacunación, en su mayoría leves y de corta duración, así como que se han notificado casos muy raros de miocarditis y pericarditis (trece por cada 100 000 varones vacunados entre doce y veintinueve años) y que se desconoce en la población infantil la frecuencia de su aparición. La información oficial refiere que vale la pena vacunarse a pesar del riesgo antes aludido y que es más frecuente que los niños padezcan la enfermedad “siendo en la actualidad el colectivo con mayor incidencia en casos de contagio”, además de que los niños pueden padecer de forma muy excepcional graves complicaciones, como el síndrome inflamatorio multisistémico. La información oficial también valora que en los ensayos clínicos no se produjeron en menores de edad casos de miocarditis y que con la vacunación se protege a los miembros de la familia, permitiendo que los niños puedan acudir al colegio y participar en actividades de forma más segura. Las propias autoridades sanitarias consideran que esta vacuna debe considerarse como “vacunación de calendario oficial”. Por lo tanto, es clara la postura de la autoridad sanitaria favorable a la vacunación. Y desde esta perspectiva, el auto declara que en principio el interés del menor pasa por otorgar la facultad de decisión a aquel de los progenitores que defienda la postura oficial favorable.</w:t>
      </w:r>
    </w:p>
    <w:p w14:paraId="71D4C856" w14:textId="77777777" w:rsidR="009D7677" w:rsidRDefault="009D7677" w:rsidP="009D7677">
      <w:pPr>
        <w:pStyle w:val="TextoNormal"/>
      </w:pPr>
    </w:p>
    <w:p w14:paraId="0992C5CB" w14:textId="77777777" w:rsidR="009D7677" w:rsidRDefault="009D7677" w:rsidP="009D7677">
      <w:pPr>
        <w:pStyle w:val="TextoNormal"/>
      </w:pPr>
      <w:r>
        <w:t>(iii) El auto también señala que debe atenderse a las circunstancias concretas de la familia y del menor para valorar si existen razones que en el caso concreto desaconsejen la vacunación. En este caso ni se alega ni se acredita que el menor sufra algún tipo de patología por la cual la vacunación esté contraindicada.</w:t>
      </w:r>
    </w:p>
    <w:p w14:paraId="38F6642D" w14:textId="77777777" w:rsidR="009D7677" w:rsidRDefault="009D7677" w:rsidP="009D7677">
      <w:pPr>
        <w:pStyle w:val="TextoNormal"/>
      </w:pPr>
    </w:p>
    <w:p w14:paraId="4BAA5056" w14:textId="77777777" w:rsidR="009D7677" w:rsidRDefault="009D7677" w:rsidP="009D7677">
      <w:pPr>
        <w:pStyle w:val="TextoNormal"/>
      </w:pPr>
      <w:r>
        <w:t>Por todo ello, el auto estima la pretensión de intervención judicial por desacuerdo en el ejercicio de la patria potestad entre los progenitores y atribuye la facultad de decidir a la madre sobre la vacunación del menor contra la covid-19.</w:t>
      </w:r>
    </w:p>
    <w:p w14:paraId="1DEF7165" w14:textId="77777777" w:rsidR="009D7677" w:rsidRDefault="009D7677" w:rsidP="009D7677">
      <w:pPr>
        <w:pStyle w:val="TextoNormal"/>
      </w:pPr>
    </w:p>
    <w:p w14:paraId="26BB6A34" w14:textId="77777777" w:rsidR="009D7677" w:rsidRDefault="009D7677" w:rsidP="009D7677">
      <w:pPr>
        <w:pStyle w:val="TextoNormal"/>
      </w:pPr>
      <w:r>
        <w:t>c) El padre del menor interpuso recurso de apelación contra la anterior resolución, en el que alegó, en síntesis, lo siguiente: (i) la lesión de su derecho a la tutela judicial efectiva, pues se le comunicó por correo electrónico y en idioma español, que no domina, la existencia del procedimiento y la citación para la comparecencia que tuvo lugar, declarándose precluida la posibilidad de oponerse a la solicitud a pesar de que solicitó la suspensión de la vista, por lo que se resolvió la petición sin que fuera oído; (ii) la vacunación del menor no supone un beneficio para el mismo, dados los efectos adversos ya producidos, la alta probabilidad de que las vacunas produjeran enfermedades a largo plazo, dada su fabricación con ARN mensajero, y que la vacuna no produce inmunidad, pues no existe ninguna evidencia científica en tal sentido; (iii) la vacunación del menor infringiría el art. 6.1 del Convenio de Oviedo, la citada Ley 41/2002, por falta de consentimiento informado, el Real Decreto 1090/2015, de 4 de diciembre, por el que se regulan los ensayos clínicos con medicamentos, y el Real Decreto Legislativo 1/2015, de 24 de julio, sobre la necesidad de prescripción médica; y (iv) resultan inadecuados los trámites del procedimiento de jurisdicción voluntaria para solventar la cuestión planteada.</w:t>
      </w:r>
    </w:p>
    <w:p w14:paraId="5E434749" w14:textId="77777777" w:rsidR="009D7677" w:rsidRDefault="009D7677" w:rsidP="009D7677">
      <w:pPr>
        <w:pStyle w:val="TextoNormal"/>
      </w:pPr>
    </w:p>
    <w:p w14:paraId="28CAA476" w14:textId="77777777" w:rsidR="009D7677" w:rsidRDefault="009D7677" w:rsidP="009D7677">
      <w:pPr>
        <w:pStyle w:val="TextoNormal"/>
      </w:pPr>
      <w:r>
        <w:t>La impugnación dio lugar al recurso de apelación núm. 281-2023 de la Sección Sexta de la Audiencia Provincial de Alicante, que desestimó la apelación y confirmó el auto impugnado mediante el auto núm. 87/2023, de 23 de marzo.</w:t>
      </w:r>
    </w:p>
    <w:p w14:paraId="797ED5DD" w14:textId="77777777" w:rsidR="009D7677" w:rsidRDefault="009D7677" w:rsidP="009D7677">
      <w:pPr>
        <w:pStyle w:val="TextoNormal"/>
      </w:pPr>
    </w:p>
    <w:p w14:paraId="61BC47F4" w14:textId="77777777" w:rsidR="009D7677" w:rsidRDefault="009D7677" w:rsidP="009D7677">
      <w:pPr>
        <w:pStyle w:val="TextoNormal"/>
      </w:pPr>
      <w:r>
        <w:t>En primer lugar, la sala rechaza la alegación de indefensión formulada por el recurrente al constar que fue informado, con antelación suficiente a la celebración de la comparecen</w:t>
      </w:r>
      <w:r>
        <w:lastRenderedPageBreak/>
        <w:t>cia, de la existencia del procedimiento y de la posibilidad de oponerse a la cuestión planteada, practicándose la comunicación válidamente por correo electrónico, cuya recepción aquel reconoció. Si su conocimiento del idioma español es deficiente, continúa el auto, tuvo tiempo suficiente para solicitar la traducción y pudo acudir a letrados de su lugar de residencia para recabar asesoramiento. Invoca además la sala el denominado principio de economía procesal, que aconseja evitar una retroacción de actuaciones que solo produciría una pérdida de tiempo y de esfuerzo sin preverse que con ello el resultado final fuera a ser distinto.</w:t>
      </w:r>
    </w:p>
    <w:p w14:paraId="0ACAE1CE" w14:textId="77777777" w:rsidR="009D7677" w:rsidRDefault="009D7677" w:rsidP="009D7677">
      <w:pPr>
        <w:pStyle w:val="TextoNormal"/>
      </w:pPr>
    </w:p>
    <w:p w14:paraId="5872910C" w14:textId="77777777" w:rsidR="009D7677" w:rsidRDefault="009D7677" w:rsidP="009D7677">
      <w:pPr>
        <w:pStyle w:val="TextoNormal"/>
      </w:pPr>
      <w:r>
        <w:t>En cuanto al fondo del asunto, el auto declara, en esencia, que en el presente caso ambos progenitores ejercen conjuntamente la patria potestad y no hay acuerdo en cuanto a la administración de la vacuna contra la covid-19 al hijo menor, siendo adecuados los trámites del procedimiento de jurisdicción voluntaria empleado conforme al art. 156 CC y los arts. 85 y 86 de la Ley 15/2015, de 2 de julio, de la jurisdicción voluntaria.</w:t>
      </w:r>
    </w:p>
    <w:p w14:paraId="529B56BB" w14:textId="77777777" w:rsidR="009D7677" w:rsidRDefault="009D7677" w:rsidP="009D7677">
      <w:pPr>
        <w:pStyle w:val="TextoNormal"/>
      </w:pPr>
    </w:p>
    <w:p w14:paraId="59FC1FF3" w14:textId="77777777" w:rsidR="009D7677" w:rsidRDefault="009D7677" w:rsidP="009D7677">
      <w:pPr>
        <w:pStyle w:val="TextoNormal"/>
      </w:pPr>
      <w:r>
        <w:t>Estas medidas han de adoptarse necesariamente en interés del menor (art. 2.1 de la Ley Orgánica 1/1996, de protección jurídica del menor) y tomando como punto de partida el art. 43 CE, que reconoce el derecho a la protección de la salud, que ha sido objeto de regulación básica a través de la Ley 14/1986, de 25 de abril, general de sanidad, y la Ley 33/2011, de 4 de octubre, general de salud pública. Afirma la sala que la vacunación tiene en la actualidad carácter voluntario, por lo que es necesario obtener el consentimiento informado de quien ha se ser vacunado. Añade que no es obligada la vacunación, pero sí se recomienda por las autoridades sanitarias.</w:t>
      </w:r>
    </w:p>
    <w:p w14:paraId="36650164" w14:textId="77777777" w:rsidR="009D7677" w:rsidRDefault="009D7677" w:rsidP="009D7677">
      <w:pPr>
        <w:pStyle w:val="TextoNormal"/>
      </w:pPr>
    </w:p>
    <w:p w14:paraId="3B9B2CEE" w14:textId="77777777" w:rsidR="009D7677" w:rsidRDefault="009D7677" w:rsidP="009D7677">
      <w:pPr>
        <w:pStyle w:val="TextoNormal"/>
      </w:pPr>
      <w:r>
        <w:t>El auto cita el Convenio del Consejo de Europa para la protección de los derechos humanos y la dignidad del ser humano respecto de las aplicaciones de la biología y la medicina (Convenio sobre los derechos del hombre y la biomedicina), suscrito el día 4 de abril de 1997, vigente en España, así como la Ley 41/2002, promulgada ante la necesidad de matizar y ampliar el derecho a la información del paciente. En el art. 9 de esta ley se recogen los límites del consentimiento informado y el consentimiento por representación, cuyos apartados 6 y 7 fueron incorporados a la Ley 41/2002 por la disposición final segunda de la Ley 26/2015, de 28 de julio, de modificación del sistema de protección a la infancia y a la adolescencia, a los efectos de que en los casos en que el consentimiento haya de otorgarlo el representante legal o las personas vinculadas por razones familiares o de hecho, la decisión se adopte atendiendo siempre al mayor beneficio para la vida o salud del paciente y que, en caso contrario, se ponga en conocimiento de la autoridad judicial para que adopte la resolución que proceda. En el ámbito de la Comunidad Valenciana, la Ley 10/2014, de 29 de diciembre, de salud de la Comunidad Valenciana, regula en el art. 43 el derecho al consentimiento informado. En aplicación de esta normativa, la sala entiende que en caso de menores de edad se está ante el consentimiento por sustitución o representación, que recaería sobre los progenitores que ostentan la patria potestad o sobre aquel de los dos designado judicialmente en caso de discrepancia, decisión que el o los progenitores habrán de adoptar atendiendo siempre al mayor beneficio para la vida o salud del paciente.</w:t>
      </w:r>
    </w:p>
    <w:p w14:paraId="61372968" w14:textId="77777777" w:rsidR="009D7677" w:rsidRDefault="009D7677" w:rsidP="009D7677">
      <w:pPr>
        <w:pStyle w:val="TextoNormal"/>
      </w:pPr>
    </w:p>
    <w:p w14:paraId="71D9A796" w14:textId="77777777" w:rsidR="009D7677" w:rsidRDefault="009D7677" w:rsidP="009D7677">
      <w:pPr>
        <w:pStyle w:val="TextoNormal"/>
      </w:pPr>
      <w:r>
        <w:t>En relación con la vacunación contra la covid-19, el auto destaca los siguientes hechos esenciales para la resolución del recurso que califica como notorios:</w:t>
      </w:r>
    </w:p>
    <w:p w14:paraId="67CBF59E" w14:textId="77777777" w:rsidR="009D7677" w:rsidRDefault="009D7677" w:rsidP="009D7677">
      <w:pPr>
        <w:pStyle w:val="TextoNormal"/>
      </w:pPr>
    </w:p>
    <w:p w14:paraId="7230A182" w14:textId="77777777" w:rsidR="009D7677" w:rsidRDefault="009D7677" w:rsidP="009D7677">
      <w:pPr>
        <w:pStyle w:val="TextoNormal"/>
      </w:pPr>
      <w:r>
        <w:lastRenderedPageBreak/>
        <w:t>“A.- El 25 de noviembre de 2021 la Agencia Europea del Medicamento (EMA) autorizó la vacuna infantil Pfizer-Comirnaty para la población de entre cinco y once años.</w:t>
      </w:r>
    </w:p>
    <w:p w14:paraId="725A9231" w14:textId="77777777" w:rsidR="009D7677" w:rsidRDefault="009D7677" w:rsidP="009D7677">
      <w:pPr>
        <w:pStyle w:val="TextoNormal"/>
      </w:pPr>
    </w:p>
    <w:p w14:paraId="102A7E2E" w14:textId="77777777" w:rsidR="009D7677" w:rsidRDefault="009D7677" w:rsidP="009D7677">
      <w:pPr>
        <w:pStyle w:val="TextoNormal"/>
      </w:pPr>
      <w:r>
        <w:t>B.- El 7 de diciembre de 2021 la Comisión de salud pública constituida dentro del Ministerio de Sanidad aprobó la propuesta realizada por la Ponencia de Vacunas para la incorporación de los niños y niñas de entre cinco y once años a la estrategia nacional de vacunación contra la covid-19, justificando su decisión en la conveniencia de disminuir la carga de enfermedad de este colectivo y la transmisión en el entorno familiar, en los centros educativos y en la comunidad, destacando la importancia de proteger a los menores de estas edades no solo de la enfermedad en su faceta aguda, sino también ante posibles afecciones a futuro y frente al síndrome de covid persistente.</w:t>
      </w:r>
    </w:p>
    <w:p w14:paraId="6B6491C6" w14:textId="77777777" w:rsidR="009D7677" w:rsidRDefault="009D7677" w:rsidP="009D7677">
      <w:pPr>
        <w:pStyle w:val="TextoNormal"/>
      </w:pPr>
    </w:p>
    <w:p w14:paraId="4F5AE5E7" w14:textId="77777777" w:rsidR="009D7677" w:rsidRDefault="009D7677" w:rsidP="009D7677">
      <w:pPr>
        <w:pStyle w:val="TextoNormal"/>
      </w:pPr>
      <w:r>
        <w:t>C.- La Asociación Española de Pediatría acordó incluir la vacuna de estos menores en el calendario de vacunación de 2022 con base en los siguientes puntos:</w:t>
      </w:r>
    </w:p>
    <w:p w14:paraId="4DDC90FD" w14:textId="77777777" w:rsidR="009D7677" w:rsidRDefault="009D7677" w:rsidP="009D7677">
      <w:pPr>
        <w:pStyle w:val="TextoNormal"/>
      </w:pPr>
    </w:p>
    <w:p w14:paraId="7081E1F8" w14:textId="77777777" w:rsidR="009D7677" w:rsidRDefault="009D7677" w:rsidP="009D7677">
      <w:pPr>
        <w:pStyle w:val="TextoNormal"/>
      </w:pPr>
      <w:r>
        <w:t>a.- Contemplar el derecho del niño a su protección individual frente a esta enfermedad que, aunque en general en estas edades es leve, puede complicarse en ocasiones.</w:t>
      </w:r>
    </w:p>
    <w:p w14:paraId="02EF8B0A" w14:textId="77777777" w:rsidR="009D7677" w:rsidRDefault="009D7677" w:rsidP="009D7677">
      <w:pPr>
        <w:pStyle w:val="TextoNormal"/>
      </w:pPr>
    </w:p>
    <w:p w14:paraId="654E2710" w14:textId="77777777" w:rsidR="009D7677" w:rsidRDefault="009D7677" w:rsidP="009D7677">
      <w:pPr>
        <w:pStyle w:val="TextoNormal"/>
      </w:pPr>
      <w:r>
        <w:t>b.- Conseguir y mantener espacios educativos seguros, que permitan la normalización de la escolarización y las relaciones interpersonales de los niños, con el consiguiente bienestar psicoemocional.</w:t>
      </w:r>
    </w:p>
    <w:p w14:paraId="0C44F6E8" w14:textId="77777777" w:rsidR="009D7677" w:rsidRDefault="009D7677" w:rsidP="009D7677">
      <w:pPr>
        <w:pStyle w:val="TextoNormal"/>
      </w:pPr>
    </w:p>
    <w:p w14:paraId="2005B76A" w14:textId="77777777" w:rsidR="009D7677" w:rsidRDefault="009D7677" w:rsidP="009D7677">
      <w:pPr>
        <w:pStyle w:val="TextoNormal"/>
      </w:pPr>
      <w:r>
        <w:t>c.- Lograr la inmunidad de grupo o de rebaño.</w:t>
      </w:r>
    </w:p>
    <w:p w14:paraId="1D270D39" w14:textId="77777777" w:rsidR="009D7677" w:rsidRDefault="009D7677" w:rsidP="009D7677">
      <w:pPr>
        <w:pStyle w:val="TextoNormal"/>
      </w:pPr>
    </w:p>
    <w:p w14:paraId="103DD749" w14:textId="77777777" w:rsidR="009D7677" w:rsidRDefault="009D7677" w:rsidP="009D7677">
      <w:pPr>
        <w:pStyle w:val="TextoNormal"/>
      </w:pPr>
      <w:r>
        <w:t>d.- Disminuir la circulación del SARS-COV-2 y la aparición de nuevas variantes.</w:t>
      </w:r>
    </w:p>
    <w:p w14:paraId="47B6DDA0" w14:textId="77777777" w:rsidR="009D7677" w:rsidRDefault="009D7677" w:rsidP="009D7677">
      <w:pPr>
        <w:pStyle w:val="TextoNormal"/>
      </w:pPr>
    </w:p>
    <w:p w14:paraId="226198BD" w14:textId="77777777" w:rsidR="009D7677" w:rsidRDefault="009D7677" w:rsidP="009D7677">
      <w:pPr>
        <w:pStyle w:val="TextoNormal"/>
      </w:pPr>
      <w:r>
        <w:t>e.- No privar a la población infantil del beneficio que aporta la vacunación, del que ya gozan los mayores de doce años (aunque los objetivos en términos de salud sean diferentes)”.</w:t>
      </w:r>
    </w:p>
    <w:p w14:paraId="0841C203" w14:textId="77777777" w:rsidR="009D7677" w:rsidRDefault="009D7677" w:rsidP="009D7677">
      <w:pPr>
        <w:pStyle w:val="TextoNormal"/>
      </w:pPr>
    </w:p>
    <w:p w14:paraId="791FA521" w14:textId="77777777" w:rsidR="009D7677" w:rsidRDefault="009D7677" w:rsidP="009D7677">
      <w:pPr>
        <w:pStyle w:val="TextoNormal"/>
      </w:pPr>
      <w:r>
        <w:t>El auto centra la cuestión en determinar a cuál de los progenitores se ha de atribuir la facultad de decidir si el menor debe ser vacunado, sin que corresponda a los órganos judiciales entrar en debates científicos sobre los efectos y las consecuencias de la administración o falta de administración de la vacuna, pues los propios expertos en dicha materia desconocen exactamente no solo el origen de la pandemia, sino cómo va a evolucionar y los efectos a largo plazo de las vacunas. No puede obviarse, a juicio de la sala, que desde la existencia de las vacunas la mortalidad, gravedad y consecuencias que produce la enfermedad covid-19 han disminuido. La solución ha de tomar como punto de partida las recomendaciones, avaladas por informes científicos, de las autoridades administrativas competentes en materia de salud pública y también de aquella respuesta al problema que goza de un más elevado nivel de consenso social. Trasladado al ámbito del art. 156 CC y disposiciones concordantes, aquella postura constituye en nuestro entorno social el canon objetivo que define, con carácter general, lo que debe considerarse más beneficioso para el interés de los menores que se encuentren en situación de normalidad.</w:t>
      </w:r>
    </w:p>
    <w:p w14:paraId="2D95F04F" w14:textId="77777777" w:rsidR="009D7677" w:rsidRDefault="009D7677" w:rsidP="009D7677">
      <w:pPr>
        <w:pStyle w:val="TextoNormal"/>
      </w:pPr>
    </w:p>
    <w:p w14:paraId="7FBC453A" w14:textId="77777777" w:rsidR="009D7677" w:rsidRDefault="009D7677" w:rsidP="009D7677">
      <w:pPr>
        <w:pStyle w:val="TextoNormal"/>
      </w:pPr>
      <w:r>
        <w:t>A continuación, el auto procede al examen del caso concreto, atendidas las patologías del paciente, su estado de salud, las posibles contraindicaciones a la vacunación y los casos en los cuales no es aconsejable o, al menos, debe suspenderse o retrasarse la adminis</w:t>
      </w:r>
      <w:r>
        <w:lastRenderedPageBreak/>
        <w:t>tración de la vacuna. En el caso sometido a su consideración, la sala afirma que no se aporta por ninguna de las partes informe médico alguno que aconseje o desaconseje la vacunación del menor, ni se acredita que este sufra algún tipo de patología que determine la contraindicación de la vacuna, por lo que debe estarse a las recomendaciones generales ya expuestas.</w:t>
      </w:r>
    </w:p>
    <w:p w14:paraId="6C1F0A7C" w14:textId="77777777" w:rsidR="009D7677" w:rsidRDefault="009D7677" w:rsidP="009D7677">
      <w:pPr>
        <w:pStyle w:val="TextoNormal"/>
      </w:pPr>
    </w:p>
    <w:p w14:paraId="5F4010A9" w14:textId="77777777" w:rsidR="009D7677" w:rsidRDefault="009D7677" w:rsidP="009D7677">
      <w:pPr>
        <w:pStyle w:val="TextoNormal"/>
      </w:pPr>
      <w:r>
        <w:t>Se afirma en el auto que es cierto que la resolución recurrida en apelación no contiene referencia alguna al derecho del menor a ser oído, lo que se debió producir de conformidad con la Ley de la jurisdicción voluntaria en relación con el art. 9 de la Ley Orgánica 1/1996, tal como lo interpreta el Tribunal Supremo en sentencia de 27 de julio de 2021, que cita la STC 64/2019, de 9 de mayo. Pero la sala considera que resulta innecesaria dicha exploración y oír al menor, que en el presente caso no ha cumplido doce años (tiene ocho años a fecha del auto de apelación) y entiende que con dicha edad carece de la madurez suficiente para conocer la repercusión y consecuencias de las preguntas que se le formulen, atendidas las consideraciones técnicas y científicas de la cuestión planteada, requisito necesario para que resulte procedente la práctica de la exploración del menor o que sea oído.</w:t>
      </w:r>
    </w:p>
    <w:p w14:paraId="297684AF" w14:textId="77777777" w:rsidR="009D7677" w:rsidRDefault="009D7677" w:rsidP="009D7677">
      <w:pPr>
        <w:pStyle w:val="TextoNormal"/>
      </w:pPr>
    </w:p>
    <w:p w14:paraId="240E946F" w14:textId="1C61E824" w:rsidR="009D7677" w:rsidRDefault="009D7677" w:rsidP="009D7677">
      <w:pPr>
        <w:pStyle w:val="TextoNormal"/>
      </w:pPr>
      <w:r>
        <w:t>Como conclusión, el auto rechaza que se haya producido error en la valoración de la prueba y declara que, en ningún caso, se está autorizando la vacunación del menor, sino que se autoriza a uno de los progenitores a decidir lo que considere más apropiado en interés del menor, todo lo cual determina la desestimación del recurso de apelación.</w:t>
      </w:r>
    </w:p>
    <w:p w14:paraId="4C125ABD" w14:textId="77777777" w:rsidR="009D7677" w:rsidRDefault="009D7677" w:rsidP="009D7677">
      <w:pPr>
        <w:pStyle w:val="TextoNormal"/>
      </w:pPr>
    </w:p>
    <w:p w14:paraId="1D01195D" w14:textId="77777777" w:rsidR="009D7677" w:rsidRDefault="009D7677" w:rsidP="009D7677">
      <w:pPr>
        <w:pStyle w:val="TextoNormal"/>
      </w:pPr>
      <w:r w:rsidRPr="009D7677">
        <w:rPr>
          <w:rStyle w:val="NumeroAFNegritaCaracter"/>
        </w:rPr>
        <w:t>3</w:t>
      </w:r>
      <w:r>
        <w:t>. El recurrente alega en la demanda de amparo, en esencia, que las resoluciones judiciales impugnadas vulneran el “derecho a la seguridad jurídica” (art. 9 CE) y los derechos a la tutela judicial efectiva y a la defensa (art. 24 CE), porque no le fue notificado el expediente de jurisdicción voluntaria conforme al Reglamento (CE) número 1393/2007, del Parlamento Europeo y del Consejo, de 13 de noviembre de 2007, relativo a la notificación y al traslado en los Estados miembros de documentos judiciales y extrajudiciales en materia civil o mercantil, al art. 155.1 a la Ley de enjuiciamiento civil (LEC) y a la jurisprudencia constitucional, sino que las notificaciones le fueron despachadas por correo electrónico, siendo extranjero con domicilio conocido en Italia y reseñado en la demanda, lo que le ha perjudicado gravemente al no poder contestar ni oponerse a la demanda de jurisdicción voluntaria. Sostiene que las resoluciones judiciales no sustentan en derecho positivo la inaplicación de las normas que regulan los medicamentos bajo seguimiento adicional, esto es, el Real Decreto Legislativo 1/2015 y el Real Decreto 1090/2015, ya que no se han completado todas las fases del estudio clínico aleatorizado, controlado con placebo y enmascaramiento.</w:t>
      </w:r>
    </w:p>
    <w:p w14:paraId="246472B8" w14:textId="77777777" w:rsidR="009D7677" w:rsidRDefault="009D7677" w:rsidP="009D7677">
      <w:pPr>
        <w:pStyle w:val="TextoNormal"/>
      </w:pPr>
    </w:p>
    <w:p w14:paraId="7266B921" w14:textId="77777777" w:rsidR="009D7677" w:rsidRDefault="009D7677" w:rsidP="009D7677">
      <w:pPr>
        <w:pStyle w:val="TextoNormal"/>
      </w:pPr>
      <w:r>
        <w:t>Asimismo, alega la vulneración de los derechos a la integridad física y moral (art. 15 CE) y a la igualdad ante la ley y no discriminación (art. 14 CE), al atribuir unilateralmente a uno de los progenitores por resolución judicial en procedimiento de jurisdicción voluntaria, la facultad de inocular al menor don C.R.A. las denominadas vacunas contra la covid-19 —en su estatus actual—, esto es, como medicamento bajo distintivo triangulo negro, bajo autorización condicional y seguimiento adicional y que, para confirmar la eficacia y seguridad el fabricante deberá enviar el informe del estudio clínico final para el estudio aleatorizado, controlado con placebo y con enmascaramiento en diciembre de 2023 (plazo ampliado cinco años más por los graves casos de pericarditis y miocarditis).</w:t>
      </w:r>
    </w:p>
    <w:p w14:paraId="4AF51238" w14:textId="77777777" w:rsidR="009D7677" w:rsidRDefault="009D7677" w:rsidP="009D7677">
      <w:pPr>
        <w:pStyle w:val="TextoNormal"/>
      </w:pPr>
    </w:p>
    <w:p w14:paraId="0066BDF9" w14:textId="36C8D140" w:rsidR="009D7677" w:rsidRDefault="009D7677" w:rsidP="009D7677">
      <w:pPr>
        <w:pStyle w:val="TextoNormal"/>
      </w:pPr>
      <w:r>
        <w:t>Mediante otrosí interesó, al amparo del art. 56.2 de la Ley Orgánica del Tribunal Constitucional (LOTC), la suspensión de la ejecución de los autos recurridos, que fue denegada por ATC 661/2023, de 11 de diciembre.</w:t>
      </w:r>
    </w:p>
    <w:p w14:paraId="7A9D798B" w14:textId="77777777" w:rsidR="009D7677" w:rsidRDefault="009D7677" w:rsidP="009D7677">
      <w:pPr>
        <w:pStyle w:val="TextoNormal"/>
      </w:pPr>
    </w:p>
    <w:p w14:paraId="1F18C6E4" w14:textId="77777777" w:rsidR="009D7677" w:rsidRDefault="009D7677" w:rsidP="009D7677">
      <w:pPr>
        <w:pStyle w:val="TextoNormal"/>
      </w:pPr>
      <w:r w:rsidRPr="009D7677">
        <w:rPr>
          <w:rStyle w:val="NumeroAFNegritaCaracter"/>
        </w:rPr>
        <w:t>4</w:t>
      </w:r>
      <w:r>
        <w:t>. Mediante providencia de 11 de septiembre de 2023, la Sección Primera del Tribunal Constitucional acordó admitir a trámite el recurso de amparo, al apreciar que concurre en el mismo una especial trascendencia constitucional (art. 50.1 LOTC) porque el recurso plantea un problema o afecta a una faceta de un derecho fundamental sobre el que no hay doctrina de este tribunal [STC 155/2009, de 25 de junio, FJ 2 a)] y el asunto suscitado trasciende del caso concreto porque plantea una cuestión jurídica de relevante y general repercusión social o económica [STC 155/2009, FJ 2 g)].</w:t>
      </w:r>
    </w:p>
    <w:p w14:paraId="6243D502" w14:textId="77777777" w:rsidR="009D7677" w:rsidRDefault="009D7677" w:rsidP="009D7677">
      <w:pPr>
        <w:pStyle w:val="TextoNormal"/>
      </w:pPr>
    </w:p>
    <w:p w14:paraId="4A3071CB" w14:textId="08F13A90" w:rsidR="009D7677" w:rsidRDefault="009D7677" w:rsidP="009D7677">
      <w:pPr>
        <w:pStyle w:val="TextoNormal"/>
      </w:pPr>
      <w:r>
        <w:t>En la misma providencia se acordó librar atenta comunicación a la Sección Sexta de la Audiencia Provincial de Alicante a fin de que, en plazo que no excediera de diez días, remitiera certificación o fotocopia adverada de las actuaciones correspondientes al recurso de apelación 281-2023, y al Juzgado de Primera Instancia núm. 8 de Alicante para que, en el mismo plazo, remitiese certificación o fotocopia adverada de las actuaciones correspondientes al procedimiento de jurisdicción voluntaria 318-2022, debiendo previamente emplazarse en el presente recurso de amparo a quienes hubieran sido parte en el procedimiento, excepto a la parte recurrente en amparo, para que en el plazo de diez días pudieran comparecer si así lo deseasen.</w:t>
      </w:r>
    </w:p>
    <w:p w14:paraId="6E70226D" w14:textId="77777777" w:rsidR="009D7677" w:rsidRDefault="009D7677" w:rsidP="009D7677">
      <w:pPr>
        <w:pStyle w:val="TextoNormal"/>
      </w:pPr>
    </w:p>
    <w:p w14:paraId="2A209978" w14:textId="701C1240" w:rsidR="009D7677" w:rsidRDefault="009D7677" w:rsidP="009D7677">
      <w:pPr>
        <w:pStyle w:val="TextoNormal"/>
      </w:pPr>
      <w:r w:rsidRPr="009D7677">
        <w:rPr>
          <w:rStyle w:val="NumeroAFNegritaCaracter"/>
        </w:rPr>
        <w:t>5</w:t>
      </w:r>
      <w:r>
        <w:t>. Mediante diligencia de ordenación de 23 de octubre de 2023, la Sala Primera de este tribunal tuvo por recibidos los testimonios de las actuaciones remitidos por la Sección Sexta de la Audiencia Provincial de Alicante y por el Juzgado de Primera Instancia núm. 8 de dicha localidad, habiéndose cumplido los emplazamientos acordados sin que se hubiera producido personación alguna. A tenor de lo dispuesto en el art. 52 LOTC, se acordó dar vista de todas las actuaciones del presente recurso de amparo por un plazo común de veinte días al Ministerio Fiscal y a la parte recurrente, para que dentro de dicho término pudieran presentar las alegaciones que a su derecho conviniera.</w:t>
      </w:r>
    </w:p>
    <w:p w14:paraId="75D86183" w14:textId="77777777" w:rsidR="009D7677" w:rsidRDefault="009D7677" w:rsidP="009D7677">
      <w:pPr>
        <w:pStyle w:val="TextoNormal"/>
      </w:pPr>
    </w:p>
    <w:p w14:paraId="70E90076" w14:textId="2AB66A30" w:rsidR="009D7677" w:rsidRDefault="009D7677" w:rsidP="009D7677">
      <w:pPr>
        <w:pStyle w:val="TextoNormal"/>
      </w:pPr>
      <w:r w:rsidRPr="009D7677">
        <w:rPr>
          <w:rStyle w:val="NumeroAFNegritaCaracter"/>
        </w:rPr>
        <w:t>6</w:t>
      </w:r>
      <w:r>
        <w:t>. El recurrente presentó escrito de alegaciones, en fecha 20 de noviembre de 2023, por el que se ratificó en lo solicitado en el recurso de amparo en relación con la vulneración del derecho a la seguridad jurídica (art. 9.3 CE) y el derecho a la tutela judicial efectiva sin indefensión (art. 24.1 CE), el derecho a la integridad física y moral (art. 15 CE) y el derecho de igualdad y no discriminación por motivos de salud (art. 14 CE).</w:t>
      </w:r>
    </w:p>
    <w:p w14:paraId="34016B0C" w14:textId="77777777" w:rsidR="009D7677" w:rsidRDefault="009D7677" w:rsidP="009D7677">
      <w:pPr>
        <w:pStyle w:val="TextoNormal"/>
      </w:pPr>
    </w:p>
    <w:p w14:paraId="13A824C2" w14:textId="77777777" w:rsidR="009D7677" w:rsidRDefault="009D7677" w:rsidP="009D7677">
      <w:pPr>
        <w:pStyle w:val="TextoNormal"/>
      </w:pPr>
      <w:r w:rsidRPr="009D7677">
        <w:rPr>
          <w:rStyle w:val="NumeroAFNegritaCaracter"/>
        </w:rPr>
        <w:t>7</w:t>
      </w:r>
      <w:r>
        <w:t xml:space="preserve">. El Ministerio Fiscal presentó alegaciones en fecha 15 de diciembre de 2023 por las que interesó la desestimación del recurso. Respecto a la vulneración del art. 24 CE, advierte que, según consta en las actuaciones, tras intentar la notificación por correo y a través de los profesionales que le asistían en otro procedimiento pendiente en el juzgado, el recurrente, que había negado por escrito en español y firmado la no autorización de la vacunación, tuvo conocimiento desde el 3 de mayo de 2022 y con suficiente antelación a la celebración de la comparecencia, señalada para el día 14 de junio de 2022, de la existencia del procedimiento y la posibilidad de manifestar lo que estimara procedente respecto de la solicitud formulada por la madre. Y en el escrito del recurso de apelación, al que adjuntó </w:t>
      </w:r>
      <w:r>
        <w:lastRenderedPageBreak/>
        <w:t>numerosa documentación, expuso de forma detallada las razones por las que se oponía a la vacunación y sobre las que se pronunció el auto de apelación. En consecuencia, no aprecia que haya habido indefensión.</w:t>
      </w:r>
    </w:p>
    <w:p w14:paraId="1DFFCB9A" w14:textId="77777777" w:rsidR="009D7677" w:rsidRDefault="009D7677" w:rsidP="009D7677">
      <w:pPr>
        <w:pStyle w:val="TextoNormal"/>
      </w:pPr>
    </w:p>
    <w:p w14:paraId="1A09C5C6" w14:textId="77777777" w:rsidR="009D7677" w:rsidRDefault="009D7677" w:rsidP="009D7677">
      <w:pPr>
        <w:pStyle w:val="TextoNormal"/>
      </w:pPr>
      <w:r>
        <w:t>A juicio de la Fiscalía no procede examinar la vulneración del derecho a la libertad ideológica (art. 16 CE) porque no se denunció en el recurso de apelación, lo que es un defecto insubsanable, además de estar huérfana de toda argumentación.</w:t>
      </w:r>
    </w:p>
    <w:p w14:paraId="695B190F" w14:textId="77777777" w:rsidR="009D7677" w:rsidRDefault="009D7677" w:rsidP="009D7677">
      <w:pPr>
        <w:pStyle w:val="TextoNormal"/>
      </w:pPr>
    </w:p>
    <w:p w14:paraId="7EAC1F51" w14:textId="77777777" w:rsidR="009D7677" w:rsidRDefault="009D7677" w:rsidP="009D7677">
      <w:pPr>
        <w:pStyle w:val="TextoNormal"/>
      </w:pPr>
      <w:r>
        <w:t>Aprecia también falta de invocación del art. 14 CE, y añade que no llega a individualizar un término de comparación válido como exige la doctrina constitucional como fundamento de la existencia de discriminación.</w:t>
      </w:r>
    </w:p>
    <w:p w14:paraId="542766C6" w14:textId="77777777" w:rsidR="009D7677" w:rsidRDefault="009D7677" w:rsidP="009D7677">
      <w:pPr>
        <w:pStyle w:val="TextoNormal"/>
      </w:pPr>
    </w:p>
    <w:p w14:paraId="5097392D" w14:textId="214254DA" w:rsidR="009D7677" w:rsidRDefault="009D7677" w:rsidP="009D7677">
      <w:pPr>
        <w:pStyle w:val="TextoNormal"/>
      </w:pPr>
      <w:r>
        <w:t>Sostiene el Ministerio Fiscal que la vulneración del art. 24.1 y 2 CE debe considerarse como instrumental respecto del art. 15 CE y, con relación a esto último, no aprecia que se haya producido la vulneración denunciada a la vista de la doctrina establecida en la STC 148/2023, de 6 de noviembre. En este caso se cumple el presupuesto básico del art. 9.3 c) de la Ley 41/2002, de autonomía del paciente, para poder acudir al consentimiento por representación otorgado por los progenitores de común acuerdo o por la autoridad judicial en caso de desacuerdo, porque el menor, de siete años en la primera instancia judicial, carecía de la capacidad emocional e intelectual necesaria para comprender el alcance de la intervención y los padres contaban con la información adecuada para prestar el consentimiento, desde antes incluso de la iniciación del procedimiento de jurisdicción voluntaria, por lo que habría consentimiento informado. Y la motivación de las resoluciones judiciales tuvo como fundamento esencial la protección del interés superior del menor en relación con su salud, al tener en cuenta la recomendación de las autoridades sanitarias, favorable a la vacunación de menores y efectuar una ponderación de riesgos y beneficios que, a juicio de la audiencia provincial, no quedó desvirtuada por los informes aportados por el recurrente, sin quedar tampoco acreditada contraindicación alguna para la vacunación del menor.</w:t>
      </w:r>
    </w:p>
    <w:p w14:paraId="78B06684" w14:textId="77777777" w:rsidR="009D7677" w:rsidRDefault="009D7677" w:rsidP="009D7677">
      <w:pPr>
        <w:pStyle w:val="TextoNormal"/>
      </w:pPr>
    </w:p>
    <w:p w14:paraId="67913B48" w14:textId="499C2833" w:rsidR="009D7677" w:rsidRDefault="009D7677" w:rsidP="009D7677">
      <w:pPr>
        <w:pStyle w:val="TextoNormal"/>
      </w:pPr>
      <w:r w:rsidRPr="009D7677">
        <w:rPr>
          <w:rStyle w:val="NumeroAFNegritaCaracter"/>
        </w:rPr>
        <w:t>8</w:t>
      </w:r>
      <w:r>
        <w:t>. Por providencia de 25 de enero de 2024 se señaló para deliberación y votación de la presente sentencia el día 29 del mismo mes y año.</w:t>
      </w:r>
    </w:p>
    <w:p w14:paraId="6A7DC925" w14:textId="77777777" w:rsidR="009D7677" w:rsidRDefault="009D7677" w:rsidP="009D7677">
      <w:pPr>
        <w:pStyle w:val="TextoNormal"/>
      </w:pPr>
    </w:p>
    <w:p w14:paraId="4DF13E9A" w14:textId="77777777" w:rsidR="009D7677" w:rsidRDefault="009D7677" w:rsidP="009D7677">
      <w:pPr>
        <w:pStyle w:val="TextoNormalNegritaCentrado"/>
        <w:keepNext/>
      </w:pPr>
      <w:r>
        <w:t>II. Fundamentos jurídicos</w:t>
      </w:r>
    </w:p>
    <w:p w14:paraId="1F927F4F" w14:textId="522AC5C0" w:rsidR="009D7677" w:rsidRDefault="009D7677" w:rsidP="009D7677">
      <w:pPr>
        <w:pStyle w:val="TextoNormalNegritaCentrado"/>
        <w:keepNext/>
      </w:pPr>
    </w:p>
    <w:p w14:paraId="3A76D3E0" w14:textId="77777777" w:rsidR="009D7677" w:rsidRDefault="009D7677" w:rsidP="009D7677">
      <w:pPr>
        <w:pStyle w:val="TextoNormal"/>
      </w:pPr>
      <w:r w:rsidRPr="009D7677">
        <w:rPr>
          <w:rStyle w:val="NumeroAFNegritaCaracter"/>
        </w:rPr>
        <w:t>1</w:t>
      </w:r>
      <w:r>
        <w:t>. Objeto del recurso</w:t>
      </w:r>
    </w:p>
    <w:p w14:paraId="6D149795" w14:textId="77777777" w:rsidR="009D7677" w:rsidRDefault="009D7677" w:rsidP="009D7677">
      <w:pPr>
        <w:pStyle w:val="TextoNormal"/>
      </w:pPr>
    </w:p>
    <w:p w14:paraId="4FC16EB9" w14:textId="77777777" w:rsidR="009D7677" w:rsidRDefault="009D7677" w:rsidP="009D7677">
      <w:pPr>
        <w:pStyle w:val="TextoNormal"/>
      </w:pPr>
      <w:r>
        <w:t>El presente recurso de amparo se dirige contra el auto núm. 437/2022, de 15 de junio, del Juzgado de Primera Instancia núm. 8 de Alicante, dictado en el procedimiento de jurisdicción voluntaria núm. 318-2022, que otorgó a doña S.A.A., la facultad de decidir sobre la inoculación de la vacuna contra la covid-19 a su hijo menor de edad, y contra el auto núm. 87/2023, de 23 de marzo, dictado por la Sección Sexta de la Audiencia Provincial de Alicante en el rollo de apelación núm. 281-2023, confirmatorio del anterior.</w:t>
      </w:r>
    </w:p>
    <w:p w14:paraId="7C7FD0DE" w14:textId="77777777" w:rsidR="009D7677" w:rsidRDefault="009D7677" w:rsidP="009D7677">
      <w:pPr>
        <w:pStyle w:val="TextoNormal"/>
      </w:pPr>
    </w:p>
    <w:p w14:paraId="2AA70CFB" w14:textId="08C4C0C2" w:rsidR="009D7677" w:rsidRDefault="009D7677" w:rsidP="009D7677">
      <w:pPr>
        <w:pStyle w:val="TextoNormal"/>
      </w:pPr>
      <w:r>
        <w:t xml:space="preserve">Dada la naturaleza de los hechos, debe señalarse que, en aplicación de las potestades atribuidas a este tribunal por el art. 86.3 LOTC y el acuerdo del Pleno de 23 de julio de 2015, por el que se regula la exclusión de los datos de identidad personal en la publicación </w:t>
      </w:r>
      <w:r>
        <w:lastRenderedPageBreak/>
        <w:t>de las resoluciones jurisdiccionales (“Boletín Oficial del Estado” núm. 178, de 27 de julio de 2015), la presente sentencia y demás actuaciones del proceso no incluyen la identificación completa de la persona menor de edad afectada ni la de sus parientes inmediatos que aparecen mencionados en las actuaciones, con el fin de proteger la intimidad de aquella.</w:t>
      </w:r>
    </w:p>
    <w:p w14:paraId="103B7A4D" w14:textId="77777777" w:rsidR="009D7677" w:rsidRDefault="009D7677" w:rsidP="009D7677">
      <w:pPr>
        <w:pStyle w:val="TextoNormal"/>
      </w:pPr>
    </w:p>
    <w:p w14:paraId="61E40AF2" w14:textId="77777777" w:rsidR="009D7677" w:rsidRDefault="009D7677" w:rsidP="009D7677">
      <w:pPr>
        <w:pStyle w:val="TextoNormal"/>
      </w:pPr>
      <w:r w:rsidRPr="009D7677">
        <w:rPr>
          <w:rStyle w:val="NumeroAFNegritaCaracter"/>
        </w:rPr>
        <w:t>2</w:t>
      </w:r>
      <w:r>
        <w:t>. Cuestiones previas y delimitación de los derechos fundamentales concernidos</w:t>
      </w:r>
    </w:p>
    <w:p w14:paraId="76E1FC92" w14:textId="77777777" w:rsidR="009D7677" w:rsidRDefault="009D7677" w:rsidP="009D7677">
      <w:pPr>
        <w:pStyle w:val="TextoNormal"/>
      </w:pPr>
    </w:p>
    <w:p w14:paraId="561E7B38" w14:textId="77777777" w:rsidR="009D7677" w:rsidRDefault="009D7677" w:rsidP="009D7677">
      <w:pPr>
        <w:pStyle w:val="TextoNormal"/>
      </w:pPr>
      <w:r>
        <w:t>Con carácter previo al examen de las cuestiones de fondo planteadas en la demanda de amparo, deben hacerse las siguientes precisiones:</w:t>
      </w:r>
    </w:p>
    <w:p w14:paraId="7D60CE5F" w14:textId="77777777" w:rsidR="009D7677" w:rsidRDefault="009D7677" w:rsidP="009D7677">
      <w:pPr>
        <w:pStyle w:val="TextoNormal"/>
      </w:pPr>
    </w:p>
    <w:p w14:paraId="3E728ED8" w14:textId="77777777" w:rsidR="009D7677" w:rsidRDefault="009D7677" w:rsidP="009D7677">
      <w:pPr>
        <w:pStyle w:val="TextoNormal"/>
      </w:pPr>
      <w:r>
        <w:t>a) Debe apreciarse una falta de invocación del principio de igualdad y no discriminación (art. 14 CE), porque no fue objeto de denuncia en el recurso de apelación, siendo un defecto insubsanable.</w:t>
      </w:r>
    </w:p>
    <w:p w14:paraId="3C83CB0C" w14:textId="77777777" w:rsidR="009D7677" w:rsidRDefault="009D7677" w:rsidP="009D7677">
      <w:pPr>
        <w:pStyle w:val="TextoNormal"/>
      </w:pPr>
    </w:p>
    <w:p w14:paraId="38888E6B" w14:textId="060A1409" w:rsidR="009D7677" w:rsidRDefault="009D7677" w:rsidP="009D7677">
      <w:pPr>
        <w:pStyle w:val="TextoNormal"/>
      </w:pPr>
      <w:r>
        <w:t>b) El demandante alega, como núcleo central de su pretensión, la vulneración del derecho a la integridad personal reconocido en el art. 15 CE, de modo que la queja planteada bajo la cobertura del art. 24.1 CE por la atribución judicial de la facultad de decidir sobre la vacunación del menor a la madre sin apoyo positivo, consignadas en los antecedentes de esta resolución, deben calificarse de instrumentales en relación con la queja de vulneración del derecho a la integridad personal.</w:t>
      </w:r>
    </w:p>
    <w:p w14:paraId="214ECED3" w14:textId="77777777" w:rsidR="009D7677" w:rsidRDefault="009D7677" w:rsidP="009D7677">
      <w:pPr>
        <w:pStyle w:val="TextoNormal"/>
      </w:pPr>
    </w:p>
    <w:p w14:paraId="6F1AD3A2" w14:textId="77777777" w:rsidR="009D7677" w:rsidRDefault="009D7677" w:rsidP="009D7677">
      <w:pPr>
        <w:pStyle w:val="TextoNormal"/>
      </w:pPr>
      <w:r w:rsidRPr="009D7677">
        <w:rPr>
          <w:rStyle w:val="NumeroAFNegritaCaracter"/>
        </w:rPr>
        <w:t>3</w:t>
      </w:r>
      <w:r>
        <w:t>. Examen de la eventual vulneración del derecho a la tutela judicial efectiva (art. 24.1 CE) por falta de notificación del expediente de jurisdicción voluntaria</w:t>
      </w:r>
    </w:p>
    <w:p w14:paraId="7761DC2D" w14:textId="77777777" w:rsidR="009D7677" w:rsidRDefault="009D7677" w:rsidP="009D7677">
      <w:pPr>
        <w:pStyle w:val="TextoNormal"/>
      </w:pPr>
    </w:p>
    <w:p w14:paraId="2334A873" w14:textId="77777777" w:rsidR="009D7677" w:rsidRDefault="009D7677" w:rsidP="009D7677">
      <w:pPr>
        <w:pStyle w:val="TextoNormal"/>
      </w:pPr>
      <w:r>
        <w:t>Alega el recurrente en amparo que se ha vulnerado su derecho fundamental a la tutela judicial efectiva (art. 24.1 CE) en relación con el principio de legalidad y de seguridad jurídica (art. 9.3 CE), porque no se procedió a notificarle el expediente de jurisdicción voluntaria, de acuerdo con lo previsto en el Reglamento Europeo 1393/2007, el art. 155 LEC y la jurisprudencia constitucional, al haberse practicado la notificación por correo electrónico pese a tratarse de persona de nacionalidad extranjera con domicilio en Italia.</w:t>
      </w:r>
    </w:p>
    <w:p w14:paraId="43F29D39" w14:textId="77777777" w:rsidR="009D7677" w:rsidRDefault="009D7677" w:rsidP="009D7677">
      <w:pPr>
        <w:pStyle w:val="TextoNormal"/>
      </w:pPr>
    </w:p>
    <w:p w14:paraId="70C6CC5B" w14:textId="77777777" w:rsidR="009D7677" w:rsidRDefault="009D7677" w:rsidP="009D7677">
      <w:pPr>
        <w:pStyle w:val="TextoNormal"/>
      </w:pPr>
      <w:r>
        <w:t>Consta en las actuaciones el escrito presentado por la actora en el proceso judicial en el que indicaba que el demandado se encontraba residiendo en Alicante para el cumplimiento del régimen de visitas, si bien no tenía un domicilio fijo, por lo que proporcionaba su número de teléfono y dirección de correo electrónico. Tras varios intentos infructuosos de contactar con el demandado por este último medio, y tras haber intentado también sin éxito citarlo a través de la representación procesal que tenía en el procedimiento de modificación de medidas seguido ante el mismo juzgado, se acordó por diligencia de ordenación de 3 de mayo de 2022 un nuevo intento de notificación por correo electrónico y a través de edictos. El 24 de mayo de 2022 el demandado remitió un mensaje de correo electrónico al juzgado solicitando el aplazamiento de la comparecencia hasta finales de noviembre con motivo de estar residiendo en Italia.</w:t>
      </w:r>
    </w:p>
    <w:p w14:paraId="69F09E62" w14:textId="77777777" w:rsidR="009D7677" w:rsidRDefault="009D7677" w:rsidP="009D7677">
      <w:pPr>
        <w:pStyle w:val="TextoNormal"/>
      </w:pPr>
    </w:p>
    <w:p w14:paraId="74470768" w14:textId="77777777" w:rsidR="009D7677" w:rsidRDefault="009D7677" w:rsidP="009D7677">
      <w:pPr>
        <w:pStyle w:val="TextoNormal"/>
      </w:pPr>
      <w:r>
        <w:t>Este tribunal tiene declarado que “[l]a indefensión alegada debe ser imputable a actos u omisiones de los órganos judiciales y debe tener su origen inmediato y directo en tales actos u omisiones. Ello determina que queda excluido del ámbito protector del art. 24 CE la indefensión debida a la pasividad, desinterés, negligencia, error técnico o impericia de la parte o de los profesionales que la representen o defiendan, pues este derecho no garan</w:t>
      </w:r>
      <w:r>
        <w:lastRenderedPageBreak/>
        <w:t>tiza los supuestos en que el propio interesado, ignorando o despreciando las posibilidades de subsanación a su alcance, no hizo lo necesario para defender sus derechos e intereses, cooperando con ello, al menoscabo de su posición procesal”, así como que “[l]os actos u omisiones de los órganos judiciales a los que se imputen la vulneración del art. 24.1 CE solo son susceptibles de alcanzar relevancia constitucional cuando generan una indefensión material en el sentido de que sea algo real, efectivo y actual, nunca potencial o abstracto, por colocar a su víctima en una situación concreta que le produzca un perjuicio, sin que le sea equiparable cualquier expectativa de un peligro o riesgo” [STC 37/2023, de 19 de abril, FJ 3 A) b) y c)].</w:t>
      </w:r>
    </w:p>
    <w:p w14:paraId="26C1FF62" w14:textId="77777777" w:rsidR="009D7677" w:rsidRDefault="009D7677" w:rsidP="009D7677">
      <w:pPr>
        <w:pStyle w:val="TextoNormal"/>
      </w:pPr>
    </w:p>
    <w:p w14:paraId="2FB351EE" w14:textId="77777777" w:rsidR="009D7677" w:rsidRDefault="009D7677" w:rsidP="009D7677">
      <w:pPr>
        <w:pStyle w:val="TextoNormal"/>
      </w:pPr>
      <w:r>
        <w:t>En el presente caso, el mensaje de correo electrónico remitido por el propio demandado el 24 de mayo de 2022 solicitando el aplazamiento de la comparecencia, fijada para el día 14 de junio de 2022, permite tener por acreditado el conocimiento del procedimiento y que, si no se personó en el mismo ni acudió a la comparecencia para formular las alegaciones que estimara pertinentes, fue por causa a él imputable y no al desconocimiento del proceso.</w:t>
      </w:r>
    </w:p>
    <w:p w14:paraId="72C00179" w14:textId="77777777" w:rsidR="009D7677" w:rsidRDefault="009D7677" w:rsidP="009D7677">
      <w:pPr>
        <w:pStyle w:val="TextoNormal"/>
      </w:pPr>
    </w:p>
    <w:p w14:paraId="1A2433EC" w14:textId="2AB2F340" w:rsidR="009D7677" w:rsidRDefault="009D7677" w:rsidP="009D7677">
      <w:pPr>
        <w:pStyle w:val="TextoNormal"/>
      </w:pPr>
      <w:r>
        <w:t>En tales circunstancias, no puede apreciarse la vulneración del derecho a la tutela judicial efectiva sin indefensión por la razón alegada en la demanda de amparo.</w:t>
      </w:r>
    </w:p>
    <w:p w14:paraId="34AC2125" w14:textId="77777777" w:rsidR="009D7677" w:rsidRDefault="009D7677" w:rsidP="009D7677">
      <w:pPr>
        <w:pStyle w:val="TextoNormal"/>
      </w:pPr>
    </w:p>
    <w:p w14:paraId="46164426" w14:textId="77777777" w:rsidR="009D7677" w:rsidRDefault="009D7677" w:rsidP="009D7677">
      <w:pPr>
        <w:pStyle w:val="TextoNormal"/>
      </w:pPr>
      <w:r w:rsidRPr="009D7677">
        <w:rPr>
          <w:rStyle w:val="NumeroAFNegritaCaracter"/>
        </w:rPr>
        <w:t>4</w:t>
      </w:r>
      <w:r>
        <w:t>. El derecho a la integridad física y moral en los supuestos de administración de vacunas contra la covid-19 (art. 15 CE). Aplicación de la doctrina constitucional expuesta en la STC 148/2023, de 6 de noviembre</w:t>
      </w:r>
    </w:p>
    <w:p w14:paraId="662D835C" w14:textId="77777777" w:rsidR="009D7677" w:rsidRDefault="009D7677" w:rsidP="009D7677">
      <w:pPr>
        <w:pStyle w:val="TextoNormal"/>
      </w:pPr>
    </w:p>
    <w:p w14:paraId="396AA991" w14:textId="77777777" w:rsidR="009D7677" w:rsidRDefault="009D7677" w:rsidP="009D7677">
      <w:pPr>
        <w:pStyle w:val="TextoNormal"/>
      </w:pPr>
      <w:r>
        <w:t>La cuestión constitucional suscitada en este recurso relativa al derecho fundamental a la integridad física y moral (art. 15 CE), es análoga a la que ya ha sido objeto de análisis por el Pleno de este tribunal en la STC 148/2023, de 6 de noviembre, en cuyos fundamentos jurídicos 4 y 5 se expusieron de manera pormenorizada las pautas de ponderación necesarias para determinar si en este tipo de supuestos se ha vulnerado el derecho a la integridad personal.</w:t>
      </w:r>
    </w:p>
    <w:p w14:paraId="0054CF59" w14:textId="77777777" w:rsidR="009D7677" w:rsidRDefault="009D7677" w:rsidP="009D7677">
      <w:pPr>
        <w:pStyle w:val="TextoNormal"/>
      </w:pPr>
    </w:p>
    <w:p w14:paraId="0F3C7C84" w14:textId="77777777" w:rsidR="009D7677" w:rsidRDefault="009D7677" w:rsidP="009D7677">
      <w:pPr>
        <w:pStyle w:val="TextoNormal"/>
      </w:pPr>
      <w:r>
        <w:t>En la misma sentencia se cita la STC 154/2002, de 18 de julio, FJ 10, en la que ya precisamos que: (i) el reconocimiento excepcional de la capacidad del menor respecto de determinados actos jurídicos, como son los que afectan a su integridad física, no es de suyo suficiente para, por vía de equiparación reconocer en todo caso eficacia jurídica a los actos —o decisiones— del menor; (ii) la exclusión de la representación legal en tales casos debe entenderse siempre sin perjuicio del deber de los progenitores de velar y cuidar del menor y salvaguardar su interés superior, obligaciones que no desaparecen por el hecho de que se reconozca a la persona menor cierto grado de autodeterminación; y (iii) la validez y eficacia de las decisiones adoptadas por una persona menor de edad en ejercicio de su derecho a la integridad física habrán de determinarse teniendo siempre en cuenta la prevalencia de su interés superior, que ha de ser siempre tutelado por los padres y, en su caso, por los órganos judiciales, poniendo dicho interés en relación con los efectos previsibles de tales decisiones y su eventual permanencia o irreparabilidad.</w:t>
      </w:r>
    </w:p>
    <w:p w14:paraId="69A87EF8" w14:textId="77777777" w:rsidR="009D7677" w:rsidRDefault="009D7677" w:rsidP="009D7677">
      <w:pPr>
        <w:pStyle w:val="TextoNormal"/>
      </w:pPr>
    </w:p>
    <w:p w14:paraId="59EC5DCF" w14:textId="77777777" w:rsidR="009D7677" w:rsidRDefault="009D7677" w:rsidP="009D7677">
      <w:pPr>
        <w:pStyle w:val="TextoNormal"/>
      </w:pPr>
      <w:r>
        <w:t>En definitiva, la capacidad general de autodeterminación de las personas que todavía no hayan alcanzado la mayoría de edad en relación con las actuaciones médicas que les afectan encuentra su límite en la protección de su interés superior, que se impone como obli</w:t>
      </w:r>
      <w:r>
        <w:lastRenderedPageBreak/>
        <w:t>gación a los progenitores, en cuanto titulares de la patria potestad o autoridad familiar y a todos los poderes públicos, incluida la autoridad judicial. A todos ellos corresponde garantizar que la decisión final relativa a la actuación médica en cuestión no trae consigo una quiebra relevante, persistente y/o irreparable de dicho interés superior.</w:t>
      </w:r>
    </w:p>
    <w:p w14:paraId="7F2A8D33" w14:textId="77777777" w:rsidR="009D7677" w:rsidRDefault="009D7677" w:rsidP="009D7677">
      <w:pPr>
        <w:pStyle w:val="TextoNormal"/>
      </w:pPr>
    </w:p>
    <w:p w14:paraId="393BE1DB" w14:textId="742BE585" w:rsidR="009D7677" w:rsidRDefault="009D7677" w:rsidP="009D7677">
      <w:pPr>
        <w:pStyle w:val="TextoNormal"/>
      </w:pPr>
      <w:r>
        <w:t>En atención a lo expuesto, en este caso, como también se concluyó en la STC 148/2023, FJ 5, el Tribunal rechaza que se haya vulnerado el art. 15 CE al constatarse que (i) se cumple el presupuesto básico que el art. 9.3 c) de la Ley 41/2002, establece para que pueda acudirse al consentimiento por representación —otorgado por los progenitores de común acuerdo o por la autoridad judicial en caso de desacuerdo— porque el menor, de siete años de edad en la primera instancia judicial, carecía de la capacidad emocional e intelectual necesarias para comprender el alcance la intervención y los padres contaban con la información adecuada para la prestación del consentimiento desde un momento anterior incluso a la iniciación del procedimiento de jurisdicción voluntaria, por lo que no cabe apreciar la ausencia de consentimiento informado; y (ii) la motivación de las resoluciones judiciales tuvo como fundamento esencial la protección del interés superior del menor en relación con la protección de su salud, teniendo en cuenta la recomendación de las autoridades sanitarias, que se mostraban a favor de la vacunación de menores haciendo una ponderación de riesgos y beneficios de la vacuna, que el órgano judicial no estima desvirtuadas por los informes aportados por el recurrente.</w:t>
      </w:r>
    </w:p>
    <w:p w14:paraId="5351DEB8" w14:textId="77777777" w:rsidR="009D7677" w:rsidRDefault="009D7677" w:rsidP="009D7677">
      <w:pPr>
        <w:pStyle w:val="TextoNormal"/>
      </w:pPr>
    </w:p>
    <w:p w14:paraId="5DF06F0B" w14:textId="77777777" w:rsidR="009D7677" w:rsidRDefault="009D7677" w:rsidP="009D7677">
      <w:pPr>
        <w:pStyle w:val="TextoNormalCentrado"/>
        <w:keepNext/>
      </w:pPr>
      <w:r>
        <w:t>FALLO</w:t>
      </w:r>
    </w:p>
    <w:p w14:paraId="799817E3" w14:textId="5AD95075" w:rsidR="009D7677" w:rsidRDefault="009D7677" w:rsidP="009D7677">
      <w:pPr>
        <w:pStyle w:val="TextoNormalCentrado"/>
        <w:keepNext/>
      </w:pPr>
    </w:p>
    <w:p w14:paraId="2300EC2E" w14:textId="75715A7A" w:rsidR="009D7677" w:rsidRDefault="009D7677" w:rsidP="009D7677">
      <w:pPr>
        <w:pStyle w:val="TextoNormal"/>
      </w:pPr>
      <w:r>
        <w:t>En atención a todo lo expuesto, el Tribunal Constitucional, por la autoridad que le confiere la Constitución de la Nación española, ha decidido desestimar el recurso de amparo interpuesto por don R. R.</w:t>
      </w:r>
    </w:p>
    <w:p w14:paraId="25E1D587" w14:textId="77777777" w:rsidR="009D7677" w:rsidRDefault="009D7677" w:rsidP="009D7677">
      <w:pPr>
        <w:pStyle w:val="TextoNormal"/>
      </w:pPr>
    </w:p>
    <w:p w14:paraId="254BFCA6" w14:textId="77777777" w:rsidR="009D7677" w:rsidRDefault="009D7677" w:rsidP="009D7677">
      <w:pPr>
        <w:pStyle w:val="TextoNormal"/>
      </w:pPr>
      <w:r>
        <w:t>Publíquese esta sentencia en el “Boletín Oficial del Estado”.</w:t>
      </w:r>
    </w:p>
    <w:p w14:paraId="72AE34F0" w14:textId="77777777" w:rsidR="009D7677" w:rsidRDefault="009D7677" w:rsidP="009D7677">
      <w:pPr>
        <w:pStyle w:val="TextoNormal"/>
      </w:pPr>
      <w:r>
        <w:t>Dada en Madrid, a veintinueve de enero de dos mil veinticuatro.</w:t>
      </w:r>
    </w:p>
    <w:p w14:paraId="338C5F25" w14:textId="2B2AE403" w:rsidR="009D7677" w:rsidRDefault="009D7677">
      <w:pPr>
        <w:spacing w:after="160" w:line="259" w:lineRule="auto"/>
        <w:rPr>
          <w:rFonts w:ascii="Times New Roman" w:eastAsia="Times New Roman" w:hAnsi="Times New Roman" w:cs="Times New Roman"/>
          <w:sz w:val="24"/>
          <w:szCs w:val="24"/>
          <w:lang w:eastAsia="es-ES"/>
        </w:rPr>
      </w:pPr>
      <w:r>
        <w:br w:type="page"/>
      </w:r>
    </w:p>
    <w:p w14:paraId="4AD62973" w14:textId="77777777" w:rsidR="009D7677" w:rsidRDefault="009D7677" w:rsidP="009D7677">
      <w:pPr>
        <w:pStyle w:val="TtuloResolucin"/>
      </w:pPr>
      <w:bookmarkStart w:id="17" w:name="SENTENCIA_2024_15"/>
      <w:r>
        <w:lastRenderedPageBreak/>
        <w:t>SENTENCIA 15/2024, de 30 de enero de 2024</w:t>
      </w:r>
    </w:p>
    <w:bookmarkEnd w:id="17"/>
    <w:p w14:paraId="17A5F2B3" w14:textId="77777777" w:rsidR="009D7677" w:rsidRDefault="009D7677" w:rsidP="009D7677">
      <w:pPr>
        <w:pStyle w:val="TtuloResolucin"/>
      </w:pPr>
      <w:r>
        <w:t>Pleno</w:t>
      </w:r>
    </w:p>
    <w:p w14:paraId="4221E2AC" w14:textId="77777777" w:rsidR="009D7677" w:rsidRDefault="009D7677" w:rsidP="009D7677">
      <w:pPr>
        <w:pStyle w:val="TtuloBOE"/>
      </w:pPr>
      <w:r>
        <w:t>(BOE núm. 53, de 29 de febrero de 2024)</w:t>
      </w:r>
    </w:p>
    <w:p w14:paraId="3CFF0B80" w14:textId="77777777" w:rsidR="009D7677" w:rsidRDefault="009D7677" w:rsidP="009D7677">
      <w:pPr>
        <w:pStyle w:val="TextoNormalCentrado"/>
      </w:pPr>
      <w:r>
        <w:t>ECLI:ES:TC:2024:15</w:t>
      </w:r>
    </w:p>
    <w:p w14:paraId="437546E4" w14:textId="052D7C1D" w:rsidR="009D7677" w:rsidRDefault="009D7677" w:rsidP="009D7677">
      <w:pPr>
        <w:pStyle w:val="TextoNormalCentrado"/>
      </w:pPr>
    </w:p>
    <w:p w14:paraId="188C447F" w14:textId="77777777" w:rsidR="009D7677" w:rsidRDefault="009D7677" w:rsidP="009D7677">
      <w:pPr>
        <w:pStyle w:val="SntesisDescriptiva"/>
      </w:pPr>
      <w:r>
        <w:t>Recurso de inconstitucionalidad 3101-2021. Interpuesto por más de cincuenta diputados del Grupo Parlamentario Popular en el Congreso respecto de la Ley Orgánica 4/2021, de 29 de marzo, por la que se modifica la Ley Orgánica 6/1985, de 1 de julio, del Poder Judicial, para el establecimiento del régimen jurídico aplicable al Consejo General del Poder Judicial en funciones.</w:t>
      </w:r>
    </w:p>
    <w:p w14:paraId="06339F87" w14:textId="774476BE" w:rsidR="009D7677" w:rsidRDefault="009D7677" w:rsidP="009D7677">
      <w:pPr>
        <w:pStyle w:val="SntesisDescriptiva"/>
      </w:pPr>
    </w:p>
    <w:p w14:paraId="41241C8B" w14:textId="77777777" w:rsidR="009D7677" w:rsidRDefault="009D7677" w:rsidP="009D7677">
      <w:pPr>
        <w:pStyle w:val="SntesisAnaltica"/>
      </w:pPr>
      <w:r>
        <w:t>Régimen constitucional de las proposiciones de ley y del Consejo General del Poder Judicial: STC 128/2023 (constitucionalidad de las previsiones legales que limitan funciones que puede ejercer el Consejo tras la expiración del mandato de sus miembros; suspensión de las facultades de nombramiento de presidente del Tribunal Supremo y de planteamiento del conflicto de atribuciones entre órganos constitucionales), precepto que no constituye ley singular. Votos particulares.</w:t>
      </w:r>
    </w:p>
    <w:p w14:paraId="2079D901" w14:textId="37AB4934" w:rsidR="009D7677" w:rsidRDefault="009D7677" w:rsidP="009D7677">
      <w:pPr>
        <w:pStyle w:val="SntesisAnaltica"/>
      </w:pPr>
    </w:p>
    <w:p w14:paraId="69F08C6C" w14:textId="7E25F052" w:rsidR="009D7677" w:rsidRDefault="009D7677" w:rsidP="009D7677">
      <w:pPr>
        <w:pStyle w:val="Extracto"/>
      </w:pPr>
      <w:r>
        <w:t>1.</w:t>
      </w:r>
      <w:r>
        <w:tab/>
        <w:t>No existe obstáculo alguno en el bloque de la constitucionalidad ni vulnera el procedimiento legislativo el hecho de que una norma tenga su origen en una proposición de ley y no en un proyecto de ley. La elección entre estos dos tipos de normas es expresión de apreciación política, que en absoluto se compadece con la racionalidad de la democracia parlamentaria (SSTC 19/2023 y 128/2023) [FJ 3].</w:t>
      </w:r>
    </w:p>
    <w:p w14:paraId="5023CE9C" w14:textId="77777777" w:rsidR="009D7677" w:rsidRDefault="009D7677" w:rsidP="009D7677">
      <w:pPr>
        <w:pStyle w:val="Extracto"/>
      </w:pPr>
    </w:p>
    <w:p w14:paraId="68CFB874" w14:textId="625A9946" w:rsidR="009D7677" w:rsidRDefault="009D7677" w:rsidP="009D7677">
      <w:pPr>
        <w:pStyle w:val="Extracto"/>
      </w:pPr>
      <w:r>
        <w:t>2.</w:t>
      </w:r>
      <w:r>
        <w:tab/>
        <w:t>De la jurisprudencia del TJUE no se deduce la exigencia a los Estados miembros de la Unión Europea de un determinado procedimiento legislativo para tramitar reformas legislativas de la Administración de justicia o del órgano de gobierno del Poder Judicial. Tampoco se deduce que la intervención de los consejos judiciales en ese procedimiento sea preceptiva para garantizar la independencia judicial [FJ 3].</w:t>
      </w:r>
    </w:p>
    <w:p w14:paraId="2DFFF451" w14:textId="77777777" w:rsidR="009D7677" w:rsidRDefault="009D7677" w:rsidP="009D7677">
      <w:pPr>
        <w:pStyle w:val="Extracto"/>
      </w:pPr>
    </w:p>
    <w:p w14:paraId="46108AB3" w14:textId="0AD88E01" w:rsidR="009D7677" w:rsidRDefault="009D7677" w:rsidP="009D7677">
      <w:pPr>
        <w:pStyle w:val="Extracto"/>
      </w:pPr>
      <w:r>
        <w:t>3.</w:t>
      </w:r>
      <w:r>
        <w:tab/>
        <w:t>La Constitución configura el Consejo General del Poder Judicial como una institución no subordinada a los demás poderes públicos; por ello, los Vocales del Consejo no están ligados por mandato imperativo alguno ni pueden ser removidos de su cargo por decisión o a impulso de cualquier otro poder público (arts. 581 y 582.1 LOPJ), y es independiente Gobierno y de las Cortes Generales (SSTC  238/2012 o 191/2016) [FJ 4].</w:t>
      </w:r>
    </w:p>
    <w:p w14:paraId="3021A34D" w14:textId="77777777" w:rsidR="009D7677" w:rsidRDefault="009D7677" w:rsidP="009D7677">
      <w:pPr>
        <w:pStyle w:val="Extracto"/>
      </w:pPr>
    </w:p>
    <w:p w14:paraId="4D7A1ABE" w14:textId="305382AC" w:rsidR="009D7677" w:rsidRDefault="009D7677" w:rsidP="009D7677">
      <w:pPr>
        <w:pStyle w:val="Extracto"/>
      </w:pPr>
      <w:r>
        <w:t>4.</w:t>
      </w:r>
      <w:r>
        <w:tab/>
        <w:t>No debe entenderse a priori que el Poder Legislativo ataque la independencia judicial al cambiar la regulación sobre nombramientos, cuando actúa en ejercicio del mandato constitucional contenido en el art. 122.1 CE. Entre las garantías orientadas a reforzar la independencia judicial no se encuentra la prohibición de modificar la legislación relativa al gobierno del Poder Judicial, en el sentido que el legislador entienda más oportuno y siempre que se efectúe dentro del respeto a las reglas de contenido material y formal definidas por el bloque de la constitucionalidad (STC 238/2012) [FJ 4].</w:t>
      </w:r>
    </w:p>
    <w:p w14:paraId="473C188D" w14:textId="77777777" w:rsidR="009D7677" w:rsidRDefault="009D7677" w:rsidP="009D7677">
      <w:pPr>
        <w:pStyle w:val="Extracto"/>
      </w:pPr>
    </w:p>
    <w:p w14:paraId="386A5DA3" w14:textId="54ED9E7C" w:rsidR="009D7677" w:rsidRDefault="009D7677" w:rsidP="009D7677">
      <w:pPr>
        <w:pStyle w:val="Extracto"/>
      </w:pPr>
      <w:r>
        <w:lastRenderedPageBreak/>
        <w:t>5.</w:t>
      </w:r>
      <w:r>
        <w:tab/>
        <w:t>El Consejo General del Poder Judicial en funciones debe poder desarrollar las atribuciones que constitucionalmente le correspondan, pero sometidas a límites estrictos que eviten que este órgano, en situación de prórroga, comprometa la capacidad de decisión futura del gobierno del Poder Judicial, allí donde las decisiones a adoptar tengan un alto grado de discrecionalidad y un bajo contenido de mera gestión administrativa. Esta configuración del Consejo en funciones en nada afecta a su papel de garante de la independencia judicial, ni le coloca en una posición de subordinación respecto del Poder Legislativo (STC 128/2023) [FJ 5].</w:t>
      </w:r>
    </w:p>
    <w:p w14:paraId="1F5E2C0B" w14:textId="77777777" w:rsidR="009D7677" w:rsidRDefault="009D7677" w:rsidP="009D7677">
      <w:pPr>
        <w:pStyle w:val="Extracto"/>
      </w:pPr>
    </w:p>
    <w:p w14:paraId="0D92E224" w14:textId="55501BD4" w:rsidR="009D7677" w:rsidRDefault="009D7677" w:rsidP="009D7677">
      <w:pPr>
        <w:pStyle w:val="Extracto"/>
      </w:pPr>
      <w:r>
        <w:t>6.</w:t>
      </w:r>
      <w:r>
        <w:tab/>
        <w:t>Corresponde al legislador la facultad de regular los elementos básicos del proceso constitucional, pero esto no significa que tal regulación deba contenerse de forma completa y exhaustiva en la Ley Orgánica del Tribunal Constitucional, dado que el art. 165 CE no identifica una reserva excluyente por razón de la especialidad de la ley a favor de la mencionada Ley Orgánica [FJ 6].</w:t>
      </w:r>
    </w:p>
    <w:p w14:paraId="60F5A1D9" w14:textId="77777777" w:rsidR="009D7677" w:rsidRDefault="009D7677" w:rsidP="009D7677">
      <w:pPr>
        <w:pStyle w:val="Extracto"/>
      </w:pPr>
    </w:p>
    <w:p w14:paraId="4EC121FC" w14:textId="08066E13" w:rsidR="009D7677" w:rsidRDefault="009D7677" w:rsidP="009D7677">
      <w:pPr>
        <w:pStyle w:val="Extracto"/>
      </w:pPr>
      <w:r>
        <w:t>7.</w:t>
      </w:r>
      <w:r>
        <w:tab/>
        <w:t>Las leyes singulares se dictan en atención a un supuesto de hecho concreto y singular, que agotan su contenido y eficacia en la adopción y ejecución de la medida tomada por el legislador ante aquel concreto supuesto de hecho (SSTC 129/2013 y 166/1986) [FJ 7].</w:t>
      </w:r>
    </w:p>
    <w:p w14:paraId="5C92177F" w14:textId="77777777" w:rsidR="009D7677" w:rsidRDefault="009D7677" w:rsidP="009D7677">
      <w:pPr>
        <w:pStyle w:val="Extracto"/>
      </w:pPr>
    </w:p>
    <w:p w14:paraId="64AB0B2E" w14:textId="77777777" w:rsidR="009D7677" w:rsidRDefault="009D7677" w:rsidP="009D7677">
      <w:pPr>
        <w:pStyle w:val="Extracto"/>
      </w:pPr>
    </w:p>
    <w:p w14:paraId="3099D685" w14:textId="77777777" w:rsidR="009D7677" w:rsidRDefault="009D7677" w:rsidP="009D7677">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67680AD2" w14:textId="090F721F" w:rsidR="009D7677" w:rsidRDefault="009D7677" w:rsidP="009D7677">
      <w:pPr>
        <w:pStyle w:val="TextoNormal"/>
      </w:pPr>
    </w:p>
    <w:p w14:paraId="0EA7C5A2" w14:textId="77777777" w:rsidR="009D7677" w:rsidRDefault="009D7677" w:rsidP="009D7677">
      <w:pPr>
        <w:pStyle w:val="TextoNormalCentrado"/>
        <w:keepNext/>
      </w:pPr>
      <w:r>
        <w:t>EN NOMBRE DEL REY</w:t>
      </w:r>
    </w:p>
    <w:p w14:paraId="6F346F69" w14:textId="49A30947" w:rsidR="009D7677" w:rsidRDefault="009D7677" w:rsidP="009D7677">
      <w:pPr>
        <w:pStyle w:val="TextoNormalCentrado"/>
        <w:keepNext/>
      </w:pPr>
    </w:p>
    <w:p w14:paraId="4E1C83B2" w14:textId="77777777" w:rsidR="009D7677" w:rsidRDefault="009D7677" w:rsidP="009D7677">
      <w:pPr>
        <w:pStyle w:val="TextoNormalCentrado"/>
        <w:keepNext/>
      </w:pPr>
    </w:p>
    <w:p w14:paraId="25279801" w14:textId="77777777" w:rsidR="009D7677" w:rsidRDefault="009D7677" w:rsidP="009D7677">
      <w:pPr>
        <w:pStyle w:val="TextoNormal"/>
      </w:pPr>
      <w:r>
        <w:t>la siguiente</w:t>
      </w:r>
    </w:p>
    <w:p w14:paraId="59C0B065" w14:textId="503BE75C" w:rsidR="009D7677" w:rsidRDefault="009D7677" w:rsidP="009D7677">
      <w:pPr>
        <w:pStyle w:val="TextoNormal"/>
      </w:pPr>
    </w:p>
    <w:p w14:paraId="40EB4125" w14:textId="77777777" w:rsidR="009D7677" w:rsidRDefault="009D7677" w:rsidP="009D7677">
      <w:pPr>
        <w:pStyle w:val="TextoNormalCentrado"/>
        <w:keepNext/>
      </w:pPr>
      <w:r>
        <w:t>SENTENCIA</w:t>
      </w:r>
    </w:p>
    <w:p w14:paraId="6F6CA63C" w14:textId="363240C3" w:rsidR="009D7677" w:rsidRDefault="009D7677" w:rsidP="009D7677">
      <w:pPr>
        <w:pStyle w:val="TextoNormalCentrado"/>
        <w:keepNext/>
      </w:pPr>
    </w:p>
    <w:p w14:paraId="5B636708" w14:textId="77777777" w:rsidR="009D7677" w:rsidRDefault="009D7677" w:rsidP="009D7677">
      <w:pPr>
        <w:pStyle w:val="TextoNormal"/>
      </w:pPr>
      <w:r>
        <w:t>En el recurso de inconstitucionalidad núm. 3101-2021, interpuesto por más de cincuenta diputados del Grupo Parlamentario Popular en el Congreso de los Diputados contra la Ley Orgánica 4/2021, de 29 de marzo, por la que se modifica la Ley Orgánica 6/1985, de 1 de julio, del Poder Judicial, para el establecimiento del régimen jurídico aplicable al Consejo General del Poder Judicial en funciones. Han comparecido y formulado alegaciones el abogado del Estado y la letrada de las Cortes Generales. Ha sido ponente la magistrada María Luisa Balaguer.</w:t>
      </w:r>
    </w:p>
    <w:p w14:paraId="3C71F468" w14:textId="646D97BF" w:rsidR="009D7677" w:rsidRDefault="009D7677" w:rsidP="009D7677">
      <w:pPr>
        <w:pStyle w:val="TextoNormal"/>
      </w:pPr>
    </w:p>
    <w:p w14:paraId="746FC8AD" w14:textId="77777777" w:rsidR="009D7677" w:rsidRDefault="009D7677" w:rsidP="009D7677">
      <w:pPr>
        <w:pStyle w:val="TextoNormalNegritaCentrado"/>
        <w:keepNext/>
      </w:pPr>
      <w:r>
        <w:lastRenderedPageBreak/>
        <w:t>I. Antecedentes</w:t>
      </w:r>
    </w:p>
    <w:p w14:paraId="474291AB" w14:textId="5FDB2037" w:rsidR="009D7677" w:rsidRDefault="009D7677" w:rsidP="009D7677">
      <w:pPr>
        <w:pStyle w:val="TextoNormalNegritaCentrado"/>
        <w:keepNext/>
      </w:pPr>
    </w:p>
    <w:p w14:paraId="5CCFF4F5" w14:textId="77777777" w:rsidR="009D7677" w:rsidRDefault="009D7677" w:rsidP="009D7677">
      <w:pPr>
        <w:pStyle w:val="TextoNormal"/>
      </w:pPr>
      <w:r w:rsidRPr="009D7677">
        <w:rPr>
          <w:rStyle w:val="NumeroAFNegritaCaracter"/>
        </w:rPr>
        <w:t>1</w:t>
      </w:r>
      <w:r>
        <w:t>. Mediante escrito presentado en el registro de este tribunal el día 17 de mayo de 2021, más de cincuenta diputados del Grupo Parlamentario Popular en el Congreso de los Diputados interpusieron recurso de inconstitucionalidad contra la Ley Orgánica 4/2021, de 29 de marzo, por la que se modifica la Ley Orgánica 6/1985, de 1 de julio, del Poder Judicial, para el establecimiento del régimen jurídico aplicable al Consejo General del Poder Judicial en funciones, publicada en el “Boletín Oficial del Estado” núm. 76, de 30 de marzo de 2021 (en adelante, Ley Orgánica 4/2021).</w:t>
      </w:r>
    </w:p>
    <w:p w14:paraId="4AD0AA71" w14:textId="77777777" w:rsidR="009D7677" w:rsidRDefault="009D7677" w:rsidP="009D7677">
      <w:pPr>
        <w:pStyle w:val="TextoNormal"/>
      </w:pPr>
    </w:p>
    <w:p w14:paraId="3BF21AF5" w14:textId="77777777" w:rsidR="009D7677" w:rsidRDefault="009D7677" w:rsidP="009D7677">
      <w:pPr>
        <w:pStyle w:val="TextoNormal"/>
      </w:pPr>
      <w:r>
        <w:t>En un primer apartado de la demanda, los recurrentes formulan una serie de consideraciones generales sobre el contexto político en el que ha tenido lugar la aprobación de la ley impugnada, caracterizado en el escrito como una deriva progresiva hacia la desautorización del Poder Judicial y el deterioro de su estatuto de independencia. A partir de tal consideración introductoria, los argumentos principales que sustentan la demanda de amparo son los que se exponen sucintamente a continuación:</w:t>
      </w:r>
    </w:p>
    <w:p w14:paraId="0CB16051" w14:textId="77777777" w:rsidR="009D7677" w:rsidRDefault="009D7677" w:rsidP="009D7677">
      <w:pPr>
        <w:pStyle w:val="TextoNormal"/>
      </w:pPr>
    </w:p>
    <w:p w14:paraId="7A0C7915" w14:textId="77777777" w:rsidR="009D7677" w:rsidRDefault="009D7677" w:rsidP="009D7677">
      <w:pPr>
        <w:pStyle w:val="TextoNormal"/>
      </w:pPr>
      <w:r>
        <w:t>a) La demanda identifica una serie de vicios de procedimiento en la tramitación parlamentaria de la Ley Orgánica 4/2021, que derivan en la individualización de dos causas de inconstitucionalidad formal por oposición de la norma a los arts. 23 y 93 CE.</w:t>
      </w:r>
    </w:p>
    <w:p w14:paraId="249CDB3B" w14:textId="77777777" w:rsidR="009D7677" w:rsidRDefault="009D7677" w:rsidP="009D7677">
      <w:pPr>
        <w:pStyle w:val="TextoNormal"/>
      </w:pPr>
    </w:p>
    <w:p w14:paraId="1FD7CA57" w14:textId="77777777" w:rsidR="009D7677" w:rsidRDefault="009D7677" w:rsidP="009D7677">
      <w:pPr>
        <w:pStyle w:val="TextoNormal"/>
      </w:pPr>
      <w:r>
        <w:t>En primer término, los recurrentes alegan que la tramitación parlamentaria de la Ley Orgánica 4/2021 se efectúo mediante el uso fraudulento de la fórmula de la proposición de ley por la vía de urgencia y sin la exigible audiencia a los interesados. Sostienen que esta iniciativa se ha tramitado como proposición de ley, y no como proyecto de ley, con el doble fin de evitar que los sectores afectados y el Consejo General del Poder Judicial tuvieran que ser oídos y de acelerar su tramitación sorteando un debate profundo sobre esta iniciativa. También constatan que no se ha dado audiencia al Consejo General del Poder Judicial, pese a la solicitud evacuada por el Pleno del mismo, el 17 de diciembre de 2020, pidiendo al Congreso de los Diputados que la iniciativa legislativa se tramitara dando audiencia a los sectores implicados, incluyendo al propio Consejo, y a la Comisión Europea para la Democracia por el Derecho (Comisión de Venecia), razonando que la iniciativa afecta al núcleo esencial de las competencias que la Constitución atribuye al Consejo General del Poder Judicial en garantía de la independencia judicial.</w:t>
      </w:r>
    </w:p>
    <w:p w14:paraId="50376A10" w14:textId="77777777" w:rsidR="009D7677" w:rsidRDefault="009D7677" w:rsidP="009D7677">
      <w:pPr>
        <w:pStyle w:val="TextoNormal"/>
      </w:pPr>
    </w:p>
    <w:p w14:paraId="585AB297" w14:textId="77777777" w:rsidR="009D7677" w:rsidRDefault="009D7677" w:rsidP="009D7677">
      <w:pPr>
        <w:pStyle w:val="TextoNormal"/>
      </w:pPr>
      <w:r>
        <w:t>Al hilo de la exposición de este argumento en la demanda, los recurrentes refieren cómo el Grupo Parlamentario Popular solicitó en su momento a la mesa de la Cámara que se recabara informe al Consejo General del Poder Judicial y a la Comisión de Venecia y que fueran oídos todos los agentes afectados por la reforma. Esta solicitud fue rechazada mediante acuerdo de 13 de enero de 2021, recurrido en reconsideración por su carácter infundado y carente de motivación. La petición de reconsideración recibió el apoyo institucional del Pleno del Consejo General del Poder Judicial, mediante declaración aprobada en sesión extraordinaria de 21 de enero de 2021, pero fue finalmente desestimada por acuerdo de la mesa del Congreso de 9 de febrero de 2021. Al tener por inmotivada esta segunda resolución, ambas decisiones de la mesa han sido objeto de recurso de amparo constitucional, por considerarlos lesivos de los derechos que consagra el art. 23 CE. Consideran los recurrentes que la estimación de la referida demanda de amparo, con la consecuente declaración de nulidad de los acuerdos de la mesa por vulneración de derechos fundamen</w:t>
      </w:r>
      <w:r>
        <w:lastRenderedPageBreak/>
        <w:t>tales, conllevaría la propia inconstitucionalidad formal de la norma aprobada con base en el procedimiento viciado.</w:t>
      </w:r>
    </w:p>
    <w:p w14:paraId="5E9868E5" w14:textId="77777777" w:rsidR="009D7677" w:rsidRDefault="009D7677" w:rsidP="009D7677">
      <w:pPr>
        <w:pStyle w:val="TextoNormal"/>
      </w:pPr>
    </w:p>
    <w:p w14:paraId="34754BF5" w14:textId="77777777" w:rsidR="009D7677" w:rsidRDefault="009D7677" w:rsidP="009D7677">
      <w:pPr>
        <w:pStyle w:val="TextoNormal"/>
      </w:pPr>
      <w:r>
        <w:t>En suma, los recurrentes aducen que los acuerdos de 13 de enero de 2021 y de 9 de febrero de 2021, adoptados por la mesa del Congreso, vulneran el art. 93 del Reglamento del Congreso de los Diputados (RCD) resultando relevante tal vulneración desde la perspectiva de los arts. 93 y 23 CE.</w:t>
      </w:r>
    </w:p>
    <w:p w14:paraId="11BE08E8" w14:textId="77777777" w:rsidR="009D7677" w:rsidRDefault="009D7677" w:rsidP="009D7677">
      <w:pPr>
        <w:pStyle w:val="TextoNormal"/>
      </w:pPr>
    </w:p>
    <w:p w14:paraId="0A2DAF4C" w14:textId="77777777" w:rsidR="009D7677" w:rsidRDefault="009D7677" w:rsidP="009D7677">
      <w:pPr>
        <w:pStyle w:val="TextoNormal"/>
      </w:pPr>
      <w:r>
        <w:t xml:space="preserve">(i) La denuncia de contravención del art. 93 CE, por incumplimiento del Derecho de la Unión Europea, parte de la consideración de que los jueces y tribunales españoles son jueces de la Unión y ello determina que se les trasladen, </w:t>
      </w:r>
      <w:r w:rsidRPr="009D7677">
        <w:rPr>
          <w:i/>
        </w:rPr>
        <w:t>ex</w:t>
      </w:r>
      <w:r>
        <w:t xml:space="preserve"> art. 19.1 del Tratado de la Unión Europea (TUE), las exigencias que resultan del respeto al Estado de Derecho (art. 2 TUE), así como las exigencias y atribuciones que los tratados reconocen al Tribunal de Justicia de la Unión Europea (art. 19 TUE).</w:t>
      </w:r>
    </w:p>
    <w:p w14:paraId="4EDEA494" w14:textId="77777777" w:rsidR="009D7677" w:rsidRDefault="009D7677" w:rsidP="009D7677">
      <w:pPr>
        <w:pStyle w:val="TextoNormal"/>
      </w:pPr>
    </w:p>
    <w:p w14:paraId="2486B9A1" w14:textId="77777777" w:rsidR="009D7677" w:rsidRDefault="009D7677" w:rsidP="009D7677">
      <w:pPr>
        <w:pStyle w:val="TextoNormal"/>
      </w:pPr>
      <w:r>
        <w:t xml:space="preserve">El respeto al valor fundacional del Estado de Derecho se ha concretado en múltiples actos de las instituciones de la Unión, citando específicamente la demanda: el considerando tercero del Reglamento (UE, Euratom) 2020/2092 del Parlamento Europeo y del Consejo de 16 de diciembre de 2020; la Recomendación CM/Rec (2010) 12, del Comité de Ministros del Consejo de Europa, que la Unión Europea asume como propia; las Recomendaciones (UE) 2017/1520, de 26 de julio de 2017, y 2018/103, de 20 de diciembre de 2017, ambas de la Comisión; y las SSTJUE de 24 de junio de 2019 </w:t>
      </w:r>
      <w:r w:rsidRPr="009D7677">
        <w:rPr>
          <w:i/>
        </w:rPr>
        <w:t>Comisión Europea c. Polonia</w:t>
      </w:r>
      <w:r>
        <w:t xml:space="preserve">, asunto C-619/18; de 2 de marzo de 2021, </w:t>
      </w:r>
      <w:r w:rsidRPr="009D7677">
        <w:rPr>
          <w:i/>
        </w:rPr>
        <w:t>A.B. y otros</w:t>
      </w:r>
      <w:r>
        <w:t xml:space="preserve">, asunto C-824/18, y de 19 de noviembre de 2019, </w:t>
      </w:r>
      <w:r w:rsidRPr="009D7677">
        <w:rPr>
          <w:i/>
        </w:rPr>
        <w:t>A.K</w:t>
      </w:r>
      <w:r>
        <w:t>., asunto C-585/18. Los recurrentes deducen de los estándares identificados por el Consejo de Europa y la Unión Europea que ninguna reforma de la legislación del Poder Judicial, y específicamente las que afecten al régimen de atribuciones de su órgano de gobierno para preservar la independencia judicial (como la relativa al nombramiento de jueces y magistrados), debe tramitarse de manera acelerada y todas deben llevarse a cabo tomando en consideración y escuchando a los sectores implicados, lo que incluye a las asociaciones profesionales de jueces y magistrados, al propio Consejo General del Poder Judicial y a la Comisión de Venecia. Se sostiene en la demanda que la falta de garantías durante la tramitación legislativa en otros Estados miembros, en reformas de esta índole, ha sido motivo para considerarlas contrarias a los estándares definidos por el derecho de la Unión Europea. Se citan como ejemplo de ello los considerandos 43, 46 y 53 de la Recomendación (UE) 2017/1520, de 26 de julio, dirigida a Polonia.</w:t>
      </w:r>
    </w:p>
    <w:p w14:paraId="1C93C2A2" w14:textId="77777777" w:rsidR="009D7677" w:rsidRDefault="009D7677" w:rsidP="009D7677">
      <w:pPr>
        <w:pStyle w:val="TextoNormal"/>
      </w:pPr>
    </w:p>
    <w:p w14:paraId="3829623B" w14:textId="77777777" w:rsidR="009D7677" w:rsidRDefault="009D7677" w:rsidP="009D7677">
      <w:pPr>
        <w:pStyle w:val="TextoNormal"/>
      </w:pPr>
      <w:r>
        <w:t xml:space="preserve">Las alegaciones expuestas llevan a los recurrentes a concluir que la tramitación de la ley ahora impugnada por el procedimiento de urgencia y sin dar audiencia a los afectados, vulneró el art. 93 RCD al no garantizar un proceso legislativo transparente, responsable, democrático y pluralista en una materia inmediatamente implicada o nuclear de las garantías de independencia del órgano de gobierno del Poder Judicial (entre otros aspectos, por su afectación de las potestades constitucionales, </w:t>
      </w:r>
      <w:r w:rsidRPr="009D7677">
        <w:rPr>
          <w:i/>
        </w:rPr>
        <w:t>ex</w:t>
      </w:r>
      <w:r>
        <w:t xml:space="preserve"> art. 122 CE, para el nombramiento y ascenso de jueces y magistrados), y lo anterior sin que concurra ninguna razón justificativa de la urgencia o la falta de audiencia de los afectados. Asimismo, sostienen que la referida infracción del Reglamento del Congreso conlleva la vulneración del art. 93 CE que impone a las Cortes Generales el deber de garantizar el cumplimiento de los tratados constitutivos de la Unión Europea.</w:t>
      </w:r>
    </w:p>
    <w:p w14:paraId="6D4A8E49" w14:textId="77777777" w:rsidR="009D7677" w:rsidRDefault="009D7677" w:rsidP="009D7677">
      <w:pPr>
        <w:pStyle w:val="TextoNormal"/>
      </w:pPr>
    </w:p>
    <w:p w14:paraId="0CB55BDE" w14:textId="77777777" w:rsidR="009D7677" w:rsidRDefault="009D7677" w:rsidP="009D7677">
      <w:pPr>
        <w:pStyle w:val="TextoNormal"/>
      </w:pPr>
      <w:r>
        <w:lastRenderedPageBreak/>
        <w:t xml:space="preserve">(ii) Por otra parte, se argumenta que los acuerdos de la mesa del Congreso lesionan el derecho fundamental de los parlamentarios a ejercer el </w:t>
      </w:r>
      <w:r w:rsidRPr="009D7677">
        <w:rPr>
          <w:i/>
        </w:rPr>
        <w:t>ius in officium</w:t>
      </w:r>
      <w:r>
        <w:t xml:space="preserve"> (art. 23.2 CE) porque impidieron a los recurrentes contar con el exigible trámite de audiencia al Consejo General del Poder Judicial, desconociendo la existencia de una obligación jurídica conforme al Derecho de la Unión y al art. 561.1 de la Ley Orgánica del Poder Judicial (LOPJ). Y, a su vez, porque aplicaron de forma restrictiva el ordenamiento jurídico al rechazar la petición de recabar los informes, tramitar la reforma por el procedimiento de urgencia y no admitir la apertura de un trámite de comparecencias de expertos (con cita de la STC 90/2005, de 18 de abril). Tal vulneración también habría supuesto la del derecho fundamental de los ciudadanos a participar en los asuntos públicos a través de sus representantes (art. 23.1 CE), de conformidad con lo dispuesto en las SSTC 161/1988, de 20 de septiembre, FJ 6; 181/1989, de 3 de noviembre, FJ 4; 205/1990, de 13 de diciembre, FJ 4, y 177/2002, de 14 de octubre, FJ 3.</w:t>
      </w:r>
    </w:p>
    <w:p w14:paraId="0FD4F790" w14:textId="77777777" w:rsidR="009D7677" w:rsidRDefault="009D7677" w:rsidP="009D7677">
      <w:pPr>
        <w:pStyle w:val="TextoNormal"/>
      </w:pPr>
    </w:p>
    <w:p w14:paraId="7CCB674C" w14:textId="77777777" w:rsidR="009D7677" w:rsidRDefault="009D7677" w:rsidP="009D7677">
      <w:pPr>
        <w:pStyle w:val="TextoNormal"/>
      </w:pPr>
      <w:r>
        <w:t>b) Como motivos de inconstitucionalidad material, los recurrentes denuncian la infracción de los arts. 122, 165, 167 y 169 CE.</w:t>
      </w:r>
    </w:p>
    <w:p w14:paraId="0E6AF67D" w14:textId="77777777" w:rsidR="009D7677" w:rsidRDefault="009D7677" w:rsidP="009D7677">
      <w:pPr>
        <w:pStyle w:val="TextoNormal"/>
      </w:pPr>
    </w:p>
    <w:p w14:paraId="39BDD927" w14:textId="77777777" w:rsidR="009D7677" w:rsidRDefault="009D7677" w:rsidP="009D7677">
      <w:pPr>
        <w:pStyle w:val="TextoNormal"/>
      </w:pPr>
      <w:r>
        <w:t xml:space="preserve">(i) El art. 570 </w:t>
      </w:r>
      <w:r w:rsidRPr="009D7677">
        <w:rPr>
          <w:i/>
        </w:rPr>
        <w:t>bis</w:t>
      </w:r>
      <w:r>
        <w:t xml:space="preserve"> LOPJ, introducido por el apartado uno de la Ley Orgánica 4/2021, configura un régimen extraordinario que rige cuando el Consejo General del Poder Judicial agota su mandato ordinario, minimizando las funciones del Consejo al establecer, con carácter de </w:t>
      </w:r>
      <w:r w:rsidRPr="009D7677">
        <w:rPr>
          <w:i/>
        </w:rPr>
        <w:t>numerus clausus</w:t>
      </w:r>
      <w:r>
        <w:t>, las competencias que puede ejercer. La demanda afirma que el régimen normativo impugnado priva al Consejo General del Poder Judicial de potestades fundamentales para el ordinario funcionamiento del Consejo y del propio Poder Judicial. Tras enumerar las dieciocho potestades suprimidas al Consejo en funciones, la demanda cita las limitaciones al normal funcionamiento del Poder Judicial; en particular, la proscripción de las decisiones en materia de gobierno de los tribunales y la resolución de recursos de alzada en este ámbito, la prohibición de asesorar a los jueces sobre conflictos de intereses, o de ejercer la potestad reglamentaria en ámbitos trascendentales, o la limitación para regular y determinar la carga de trabajo exigible, convocar el concurso oposición de los letrados del Consejo, o regular el Centro de Documentación Judicial (CENDOJ) en materia de publicación de sentencias, o interponer conflicto de atribuciones conforme a la Ley Orgánica del Tribunal Constitucional.</w:t>
      </w:r>
    </w:p>
    <w:p w14:paraId="1ACAC8F5" w14:textId="77777777" w:rsidR="009D7677" w:rsidRDefault="009D7677" w:rsidP="009D7677">
      <w:pPr>
        <w:pStyle w:val="TextoNormal"/>
      </w:pPr>
    </w:p>
    <w:p w14:paraId="20B05604" w14:textId="77777777" w:rsidR="009D7677" w:rsidRDefault="009D7677" w:rsidP="009D7677">
      <w:pPr>
        <w:pStyle w:val="TextoNormal"/>
      </w:pPr>
      <w:r>
        <w:t>Entienden los recurrentes que el hecho de que la Constitución omita regular el periodo en funciones del Consejo responde a la diversa naturaleza de este respecto del Gobierno y las Cortes (cuyo régimen de actividad en funciones si está previsto), así como al deseo del constituyente de garantizar la continuidad e independencia del Poder Judicial. Insisten en que la inexistencia de un régimen en funciones obedece a la configuración constitucional del Consejo General del Poder Judicial, establecida en los apartados 2 y 3 del art. 122 CE, y a la necesidad de atribuir las facultades allí previstas a un órgano independiente del poder político (con cita de las SSTC 108/1986, de 29 de julio, y 105/2000, de 13 de abril). También cuestionan que la reducción competencial pueda justificarse en un supuesto déficit de legitimidad democrática del Consejo en funciones, ya que la legitimidad democrática del Consejo reside en su previsión constitucional y en su sometimiento al imperio de la ley, y no en su vinculación con las Cortes que nombran a los vocales (con cita de la STC 191/2016, de 15 de noviembre).</w:t>
      </w:r>
    </w:p>
    <w:p w14:paraId="6C80BB28" w14:textId="77777777" w:rsidR="009D7677" w:rsidRDefault="009D7677" w:rsidP="009D7677">
      <w:pPr>
        <w:pStyle w:val="TextoNormal"/>
      </w:pPr>
    </w:p>
    <w:p w14:paraId="3FCB7555" w14:textId="77777777" w:rsidR="009D7677" w:rsidRDefault="009D7677" w:rsidP="009D7677">
      <w:pPr>
        <w:pStyle w:val="TextoNormal"/>
      </w:pPr>
      <w:r>
        <w:lastRenderedPageBreak/>
        <w:t>La demanda sostiene que la norma recurrida impone limitaciones arbitrarias, cercenadoras del normal funcionamiento del Poder Judicial, sin que ello se justifique en la necesidad de limitar los nombramientos irrevocables, supuestamente limitativos de las facultades del Consejo entrante. Esta razón no justificaría que se eliminen funciones como la de decidir en materia de gobierno de los tribunales, la resolución de los recursos de alzada, el asesoramiento a los jueces sobre conflictos de interés, el ejercicio de la potestad reglamentaria en ámbitos trascendentales, la regulación y determinación de la carga de trabajo exigible, la convocatoria del concurso oposición de los letrados del Consejo, la regulación del CENDOJ o la publicación de sentencias, que nada tienen que ver con los nombramientos. Y la retirada de las competencias en este ámbito desconoce lo establecido por el art. 122.2 CE, porque tal proscripción es susceptible de alterar el normal funcionamiento de los tribunales, al vaciar determinados órganos jurisdiccionales del Poder Judicial cuando no se puedan designar a nuevos magistrados.</w:t>
      </w:r>
    </w:p>
    <w:p w14:paraId="53F500C0" w14:textId="77777777" w:rsidR="009D7677" w:rsidRDefault="009D7677" w:rsidP="009D7677">
      <w:pPr>
        <w:pStyle w:val="TextoNormal"/>
      </w:pPr>
    </w:p>
    <w:p w14:paraId="0F5D2FAD" w14:textId="77777777" w:rsidR="009D7677" w:rsidRDefault="009D7677" w:rsidP="009D7677">
      <w:pPr>
        <w:pStyle w:val="TextoNormal"/>
      </w:pPr>
      <w:r>
        <w:t>Por último, explican que esta vulneración se hace más evidente a la vista de la motivación expresada en el preámbulo de la ley, al justificar la reforma sosteniendo que esta limitación de funciones constituye un medio para favorecer la renovación del Consejo, por lo que va dirigida no solo a forzar la renovación sino una determinada constitución del referido órgano constitucional.</w:t>
      </w:r>
    </w:p>
    <w:p w14:paraId="1F28FB10" w14:textId="77777777" w:rsidR="009D7677" w:rsidRDefault="009D7677" w:rsidP="009D7677">
      <w:pPr>
        <w:pStyle w:val="TextoNormal"/>
      </w:pPr>
    </w:p>
    <w:p w14:paraId="61259DDE" w14:textId="77777777" w:rsidR="009D7677" w:rsidRDefault="009D7677" w:rsidP="009D7677">
      <w:pPr>
        <w:pStyle w:val="TextoNormal"/>
      </w:pPr>
      <w:r>
        <w:t>(ii) En la medida en que el vaciamiento competencial operado por la Ley Orgánica 4/2021 innova y transforma lo dispuesto por el art. 122 CE esta reforma lleva a cabo una mutación constitucional, que constituye una reforma encubierta de la Constitución de la que deriva una vulneración del art. 167 CE, al haberse soslayado el procedimiento formalmente previsto en este precepto para la reforma constitucional. Además, como esta reforma constitucional se ha producido estando en vigor el estado de alarma acordado por el Gobierno, mediante el Real Decreto 926/2020, de 25 de octubre, se ha vulnerado también el art. 169 CE, que impide que pueda iniciarse la reforma constitucional cuando estén en vigor algunos de los estados excepcionales, como el de alarma, previstos en el art. 116 CE.</w:t>
      </w:r>
    </w:p>
    <w:p w14:paraId="05383062" w14:textId="77777777" w:rsidR="009D7677" w:rsidRDefault="009D7677" w:rsidP="009D7677">
      <w:pPr>
        <w:pStyle w:val="TextoNormal"/>
      </w:pPr>
    </w:p>
    <w:p w14:paraId="7316BA3D" w14:textId="77777777" w:rsidR="009D7677" w:rsidRDefault="009D7677" w:rsidP="009D7677">
      <w:pPr>
        <w:pStyle w:val="TextoNormal"/>
      </w:pPr>
      <w:r>
        <w:t xml:space="preserve">(iii) Los recurrentes entienden que la Ley Orgánica 4/2021 infringe el art. 165 CE porque se invade el contenido de la Ley Orgánica del Tribunal Constitucional. De acuerdo con lo dispuesto en el art. 165 CE, la definición del ejercicio de acciones ante el Tribunal Constitucional corresponde a la Ley Orgánica del Tribunal Constitucional, que no puede modificarse ni derogarse a través de la Ley Orgánica del Poder Judicial, norma esta que, por tanto, tampoco puede modificar la regulación del conflicto de atribuciones. Por las mismas razones la prohibición de la designación de los dos magistrados del Tribunal Constitucional establecidos por la Carta Magna, y que se deriva del </w:t>
      </w:r>
      <w:r w:rsidRPr="009D7677">
        <w:rPr>
          <w:i/>
        </w:rPr>
        <w:t>numerus clausus</w:t>
      </w:r>
      <w:r>
        <w:t xml:space="preserve"> de funciones recogido en la nueva redacción del art. 570 </w:t>
      </w:r>
      <w:r w:rsidRPr="009D7677">
        <w:rPr>
          <w:i/>
        </w:rPr>
        <w:t>bis</w:t>
      </w:r>
      <w:r>
        <w:t xml:space="preserve"> LOPJ, supone una afectación del régimen del Tribunal Constitucional, que excede de la Constitución y de su Ley Orgánica.</w:t>
      </w:r>
    </w:p>
    <w:p w14:paraId="224C6621" w14:textId="77777777" w:rsidR="009D7677" w:rsidRDefault="009D7677" w:rsidP="009D7677">
      <w:pPr>
        <w:pStyle w:val="TextoNormal"/>
      </w:pPr>
    </w:p>
    <w:p w14:paraId="4A75FFA9" w14:textId="77777777" w:rsidR="009D7677" w:rsidRDefault="009D7677" w:rsidP="009D7677">
      <w:pPr>
        <w:pStyle w:val="TextoNormal"/>
      </w:pPr>
      <w:r>
        <w:t xml:space="preserve">(iv) Finalmente, los recurrentes consideran que al introducir el nuevo art. 598 </w:t>
      </w:r>
      <w:r w:rsidRPr="009D7677">
        <w:rPr>
          <w:i/>
        </w:rPr>
        <w:t>bis</w:t>
      </w:r>
      <w:r>
        <w:t xml:space="preserve"> LOPJ, el apartado 2 del artículo único de la Ley Orgánica 4/2021, vulnera el art. 9.3 CE. Argumentan que este nuevo artículo, que prohíbe al Consejo General del Poder Judicial en funciones acordar el cese del secretario general o del vicesecretario general del Consejo, es una ley singular arbitraria que no respeta la jurisprudencia constitucional. Aducen que de acuerdo con la referida jurisprudencia (se citan las SSTC 129/2013, de 4 de junio, y </w:t>
      </w:r>
      <w:r>
        <w:lastRenderedPageBreak/>
        <w:t xml:space="preserve">203/2013, de 5 de diciembre) las leyes singulares son excepcionales, deben tener una justificación objetiva y razonable y ser proporcionadas a la situación excepcional que justifica la regulación singular. Alegan que a través de esta norma se está implantando una cláusula de protección </w:t>
      </w:r>
      <w:r w:rsidRPr="009D7677">
        <w:rPr>
          <w:i/>
        </w:rPr>
        <w:t>ad personam</w:t>
      </w:r>
      <w:r>
        <w:t>, impidiendo sin causa alguna el cese de quienes actualmente desempeñan dichos cargos, no existiendo ningún motivo de interés público que lo justifique y siendo manifiesta la arbitrariedad del legislador a la hora de llevar a cabo dicha regulación. Por ello entienden que atenta contra el principio consagrado en el art. 9.3 CE, incumpliéndose del mismo modo lo estipulado por la jurisprudencia del Tribunal Constitucional en cuanto a las limitaciones que deben ser observadas por parte de las leyes singulares para considerarse válidas.</w:t>
      </w:r>
    </w:p>
    <w:p w14:paraId="78E8B3AD" w14:textId="77777777" w:rsidR="009D7677" w:rsidRDefault="009D7677" w:rsidP="009D7677">
      <w:pPr>
        <w:pStyle w:val="TextoNormal"/>
      </w:pPr>
    </w:p>
    <w:p w14:paraId="776572ED" w14:textId="4B4C3D93" w:rsidR="009D7677" w:rsidRDefault="009D7677" w:rsidP="009D7677">
      <w:pPr>
        <w:pStyle w:val="TextoNormal"/>
      </w:pPr>
      <w:r>
        <w:t>Sobre la base de todos los argumentos anteriores, los recurrentes solicitan al Tribunal que admita el presente recurso y, previos los trámites pertinentes, declare que la Ley Orgánica 4/2021, de 29 de marzo, por la que se modifica la Ley Orgánica 6/1985, de 1 de julio, del Poder Judicial, para el establecimiento del régimen jurídico aplicable al Consejo General del Poder Judicial en funciones, es inconstitucional y nula en su integridad.</w:t>
      </w:r>
    </w:p>
    <w:p w14:paraId="0D80100C" w14:textId="77777777" w:rsidR="009D7677" w:rsidRDefault="009D7677" w:rsidP="009D7677">
      <w:pPr>
        <w:pStyle w:val="TextoNormal"/>
      </w:pPr>
    </w:p>
    <w:p w14:paraId="2A93A2D5" w14:textId="7157D2FC" w:rsidR="009D7677" w:rsidRDefault="009D7677" w:rsidP="009D7677">
      <w:pPr>
        <w:pStyle w:val="TextoNormal"/>
      </w:pPr>
      <w:r w:rsidRPr="009D7677">
        <w:rPr>
          <w:rStyle w:val="NumeroAFNegritaCaracter"/>
        </w:rPr>
        <w:t>2</w:t>
      </w:r>
      <w:r>
        <w:t>. El 6 de septiembre de 2021 el Pleno del Tribunal Constitucional acordó, a propuesta de la Sección Tercera, admitir a trámite el recurso de inconstitucionalidad, dar traslado de la demanda y documentos presentados, conforme establece el art. 34 de la Ley Orgánica del Tribunal Constitucional (LOTC), al Congreso de los Diputados y al Senado por conducto de sus presidentes y al Gobierno a través de la ministra de Justicia, al objeto de que, en el plazo de quince días, pudieran personarse en el proceso y formular las alegaciones que estimaren convenientes, y publicar la incoación del recurso en el “Boletín Oficial del Estado”.</w:t>
      </w:r>
    </w:p>
    <w:p w14:paraId="02F2A578" w14:textId="77777777" w:rsidR="009D7677" w:rsidRDefault="009D7677" w:rsidP="009D7677">
      <w:pPr>
        <w:pStyle w:val="TextoNormal"/>
      </w:pPr>
    </w:p>
    <w:p w14:paraId="142A3135" w14:textId="56ACE311" w:rsidR="009D7677" w:rsidRDefault="009D7677" w:rsidP="009D7677">
      <w:pPr>
        <w:pStyle w:val="TextoNormal"/>
      </w:pPr>
      <w:r w:rsidRPr="009D7677">
        <w:rPr>
          <w:rStyle w:val="NumeroAFNegritaCaracter"/>
        </w:rPr>
        <w:t>3</w:t>
      </w:r>
      <w:r>
        <w:t>. Por escrito de 28 de septiembre de 2021, registrado en el Tribunal Constitucional el día 30 del mismo mes, la presidenta del Congreso de los Diputados comunicó el acuerdo de la mesa de la Cámara, de la misma fecha, en orden a dar por personado al Congreso de los Diputados en este procedimiento a los solos efectos de formular alegaciones en relación con los vicios de procedimiento legislativo, que se denuncian en la demanda, en lo que afecta al Congreso de los Diputados; encomendar la representación y defensa de la Cámara a la letrada de las Cortes Generales; y remitir copia del recurso a la dirección de estudios, análisis y publicaciones de la Secretaría General.</w:t>
      </w:r>
    </w:p>
    <w:p w14:paraId="4B09E6FD" w14:textId="77777777" w:rsidR="009D7677" w:rsidRDefault="009D7677" w:rsidP="009D7677">
      <w:pPr>
        <w:pStyle w:val="TextoNormal"/>
      </w:pPr>
    </w:p>
    <w:p w14:paraId="5BFD0371" w14:textId="25FBB80F" w:rsidR="009D7677" w:rsidRDefault="009D7677" w:rsidP="009D7677">
      <w:pPr>
        <w:pStyle w:val="TextoNormal"/>
      </w:pPr>
      <w:r w:rsidRPr="009D7677">
        <w:rPr>
          <w:rStyle w:val="NumeroAFNegritaCaracter"/>
        </w:rPr>
        <w:t>4</w:t>
      </w:r>
      <w:r>
        <w:t>. El presidente del Senado, por escrito de 28 de septiembre de 2021, registrado en el Tribunal Constitucional el día 30 del mismo mes, comunicó el acuerdo de la mesa de la Cámara en orden a dar por personado al Senado en este procedimiento y por ofrecida su colaboración a los efectos del art. 88.1 LOTC.</w:t>
      </w:r>
    </w:p>
    <w:p w14:paraId="1A5048E6" w14:textId="77777777" w:rsidR="009D7677" w:rsidRDefault="009D7677" w:rsidP="009D7677">
      <w:pPr>
        <w:pStyle w:val="TextoNormal"/>
      </w:pPr>
    </w:p>
    <w:p w14:paraId="2569618D" w14:textId="1C8ABB28" w:rsidR="009D7677" w:rsidRDefault="009D7677" w:rsidP="009D7677">
      <w:pPr>
        <w:pStyle w:val="TextoNormal"/>
      </w:pPr>
      <w:r w:rsidRPr="009D7677">
        <w:rPr>
          <w:rStyle w:val="NumeroAFNegritaCaracter"/>
        </w:rPr>
        <w:t>5</w:t>
      </w:r>
      <w:r>
        <w:t>. Por escrito de 7 de octubre de 2021, registrado en el Tribunal Constitucional en la misma fecha, la Abogacía del Estado se personó en nombre del Gobierno en este procedimiento y solicitó, habida cuenta del número de asuntos pendientes ante esa abogacía, que se prorrogara por el máximo legal el plazo concedido para formular alegaciones. Por diligencia de ordenación del secretario de justicia del Pleno, de 8 de octubre de 2021, se prorrogó en ocho días, a contar desde el siguiente al de expiración del ordinario, el plazo inicialmente concedido para alegaciones.</w:t>
      </w:r>
    </w:p>
    <w:p w14:paraId="11B2963B" w14:textId="77777777" w:rsidR="009D7677" w:rsidRDefault="009D7677" w:rsidP="009D7677">
      <w:pPr>
        <w:pStyle w:val="TextoNormal"/>
      </w:pPr>
    </w:p>
    <w:p w14:paraId="2036F01E" w14:textId="77777777" w:rsidR="009D7677" w:rsidRDefault="009D7677" w:rsidP="009D7677">
      <w:pPr>
        <w:pStyle w:val="TextoNormal"/>
      </w:pPr>
      <w:r w:rsidRPr="009D7677">
        <w:rPr>
          <w:rStyle w:val="NumeroAFNegritaCaracter"/>
        </w:rPr>
        <w:t>6</w:t>
      </w:r>
      <w:r>
        <w:t>. El Congreso de los Diputados presentó sus alegaciones mediante escrito de 11 de octubre de 2021, registrado en la misma fecha.</w:t>
      </w:r>
    </w:p>
    <w:p w14:paraId="68E2057E" w14:textId="77777777" w:rsidR="009D7677" w:rsidRDefault="009D7677" w:rsidP="009D7677">
      <w:pPr>
        <w:pStyle w:val="TextoNormal"/>
      </w:pPr>
    </w:p>
    <w:p w14:paraId="6C795884" w14:textId="77777777" w:rsidR="009D7677" w:rsidRDefault="009D7677" w:rsidP="009D7677">
      <w:pPr>
        <w:pStyle w:val="TextoNormal"/>
      </w:pPr>
      <w:r>
        <w:t xml:space="preserve">En primer término, la letrada del Congreso de los Diputados expone los pasos seguidos en la tramitación en el Congreso de la Ley Orgánica impugnada, acompañando la documentación correspondiente. Tras ello se refiere a las consideraciones generales de la demanda: (i) confrontando el argumento referido al contexto político de la aprobación de la norma, afirmando que este no es un criterio para analizar la constitucionalidad de la norma pues solo aporta la visión subjetiva de quien lo relata; (ii) explicando que la figura del Consejo en funciones no es una creación </w:t>
      </w:r>
      <w:r w:rsidRPr="009D7677">
        <w:rPr>
          <w:i/>
        </w:rPr>
        <w:t>ex novo</w:t>
      </w:r>
      <w:r>
        <w:t>, porque ya se recogía en el art. 570.2 LOPJ, en la redacción introducida por la Ley Orgánica 4/2013, de 28 de junio, que nunca fue objeto de recurso de inconstitucionalidad; (iii) recordando que los apartados 1 y 3 del art. 570 LOPJ, y el apartado 3 de la disposición transitoria décima, fueron objeto de recurso de inconstitucionalidad resuelto por la STC 191/2016, de 15 de noviembre, que se refiere a la amplia libertad de la que dispone el legislador orgánico, en todo lo no predeterminado por la Constitución, para configurar en cada momento el Consejo General del Poder Judicial, sin ataduras respecto a lo dispuesto por el legislador anterior y especialmente para paliar situaciones de anomalía, como las derivadas de los bloqueos en la renovación del Consejo.</w:t>
      </w:r>
    </w:p>
    <w:p w14:paraId="3A996AEB" w14:textId="77777777" w:rsidR="009D7677" w:rsidRDefault="009D7677" w:rsidP="009D7677">
      <w:pPr>
        <w:pStyle w:val="TextoNormal"/>
      </w:pPr>
    </w:p>
    <w:p w14:paraId="5675498B" w14:textId="77777777" w:rsidR="009D7677" w:rsidRDefault="009D7677" w:rsidP="009D7677">
      <w:pPr>
        <w:pStyle w:val="TextoNormal"/>
      </w:pPr>
      <w:r>
        <w:t>A partir de estas consideraciones iniciales, la letrada del Congreso de los Diputados contesta a los argumentos relativos a la inconstitucionalidad formal de la Ley Orgánica 4/2021, negando la vulneración de los arts. 23 y 93 CE, y solicitando la total desestimación de la demanda.</w:t>
      </w:r>
    </w:p>
    <w:p w14:paraId="6744AEFB" w14:textId="77777777" w:rsidR="009D7677" w:rsidRDefault="009D7677" w:rsidP="009D7677">
      <w:pPr>
        <w:pStyle w:val="TextoNormal"/>
      </w:pPr>
    </w:p>
    <w:p w14:paraId="02C6FF96" w14:textId="77777777" w:rsidR="009D7677" w:rsidRDefault="009D7677" w:rsidP="009D7677">
      <w:pPr>
        <w:pStyle w:val="TextoNormal"/>
      </w:pPr>
      <w:r>
        <w:t>(i) La letrada del Congreso de los Diputados niega que haya habido un fraude de ley respecto a la tramitación de la Ley Orgánica. Para desarrollar este argumento constata que el art. 87 CE distingue entre las iniciativas legislativas gubernamentales (proyectos de ley), y las iniciativas no gubernamentales (proposiciones de ley), poniendo de manifiesto que la principal diferencia radica en que los proyectos de ley no están sometidos al trámite de la toma en consideración. También sostiene que frente a la minuciosa regulación de la tramitación de los proyectos de ley, la iniciativa legislativa articulada por proposición de ley responde a una escueta regulación (arts. 124 y 126 RCD), que no contiene precisión alguna sobre los documentos que tienen que incorporarse como antecedentes, y que no exige dictámenes o informes con carácter preceptivo.</w:t>
      </w:r>
    </w:p>
    <w:p w14:paraId="0BA6AF10" w14:textId="77777777" w:rsidR="009D7677" w:rsidRDefault="009D7677" w:rsidP="009D7677">
      <w:pPr>
        <w:pStyle w:val="TextoNormal"/>
      </w:pPr>
    </w:p>
    <w:p w14:paraId="5A8DEAD3" w14:textId="77777777" w:rsidR="009D7677" w:rsidRDefault="009D7677" w:rsidP="009D7677">
      <w:pPr>
        <w:pStyle w:val="TextoNormal"/>
      </w:pPr>
      <w:r>
        <w:t>Sentado lo anterior, se detiene en el análisis de la figura del fraude de ley concluyendo que no es posible su aplicación a este caso, porque no concurren los dos elementos que lo configuran; esto es, un acto realizado al amparo de una ley de cobertura que persigue un resultado prohibido por el ordenamiento jurídico o contrario a él. Por un lado, no existe una ley de cobertura que responda a una finalidad distinta a la norma que se pretende evitar, que es el ejercicio de la iniciativa legislativa, porque esta puede provenir de distintos autores y si uno de ellos ejerce la iniciativa legislativa ajustándose a los requisitos que marcan las normas en función de la autoría, no se puede decir que exista fraude respecto a la aplicación de las normas previstas para el otro supuesto de autoría (con cita de la STC 53/2021, de 15 de marzo, FJ 3). Por otro lado, tampoco se puede considerar que la propo</w:t>
      </w:r>
      <w:r>
        <w:lastRenderedPageBreak/>
        <w:t>sición de ley que se presentó fuese una iniciativa ficticia para ocultar el negocio que realmente se quería celebrar.</w:t>
      </w:r>
    </w:p>
    <w:p w14:paraId="0C9E9EE9" w14:textId="77777777" w:rsidR="009D7677" w:rsidRDefault="009D7677" w:rsidP="009D7677">
      <w:pPr>
        <w:pStyle w:val="TextoNormal"/>
      </w:pPr>
    </w:p>
    <w:p w14:paraId="10ADC5DA" w14:textId="77777777" w:rsidR="009D7677" w:rsidRDefault="009D7677" w:rsidP="009D7677">
      <w:pPr>
        <w:pStyle w:val="TextoNormal"/>
      </w:pPr>
      <w:r>
        <w:t>Por último, la determinación del tipo de procedimiento aplicable nada tiene que ver con la supuesta relevancia de la materia (con cita de las SSTC 153/2016, de 22 de septiembre; 45/2019, de 27 de marzo, y 96/2019, de 15 de julio) y la modificación propuesta no pretendía una reforma constitucional sin atender a lo preceptuado en el art. 169 CE. De hecho, en aquellos casos en los que se ha pretendido una reforma constitucional mediante una proposición de ley, la mesa de la Cámara ha hecho uso de la posibilidad de inadmisión indicando el autor de la iniciativa legislativa el cauce reglamentario adecuado para tramitarla.</w:t>
      </w:r>
    </w:p>
    <w:p w14:paraId="13FAD0B8" w14:textId="77777777" w:rsidR="009D7677" w:rsidRDefault="009D7677" w:rsidP="009D7677">
      <w:pPr>
        <w:pStyle w:val="TextoNormal"/>
      </w:pPr>
    </w:p>
    <w:p w14:paraId="60F23A77" w14:textId="77777777" w:rsidR="009D7677" w:rsidRDefault="009D7677" w:rsidP="009D7677">
      <w:pPr>
        <w:pStyle w:val="TextoNormal"/>
      </w:pPr>
      <w:r>
        <w:t>(ii) Respecto a la denunciada omisión de informes en el procedimiento legislativo y sus consecuencias en la inconstitucionalidad formal de la norma, esta parte recuerda que las exigencias del art. 26 de la Ley 50/1997, del Gobierno, relativas a los anteproyectos de ley no se aplican a las proposiciones de ley de las cámaras, por lo que debe excluirse en este caso la aplicación del art. 561.1.1 LOPJ que exige el informe del Consejo para los anteproyectos de ley que versen sobre las modificaciones de su contenido (con cita de la STC 153/2016).</w:t>
      </w:r>
    </w:p>
    <w:p w14:paraId="3F979A07" w14:textId="77777777" w:rsidR="009D7677" w:rsidRDefault="009D7677" w:rsidP="009D7677">
      <w:pPr>
        <w:pStyle w:val="TextoNormal"/>
      </w:pPr>
    </w:p>
    <w:p w14:paraId="67FA5D8F" w14:textId="77777777" w:rsidR="009D7677" w:rsidRDefault="009D7677" w:rsidP="009D7677">
      <w:pPr>
        <w:pStyle w:val="TextoNormal"/>
      </w:pPr>
      <w:r>
        <w:t>Tampoco vulnera el art. 124 RCD el hecho de que una proposición de ley no se presente acompañada de los estudios e informes que justifiquen su oportunidad. La mesa de la Cámara debe limitarse a examinar los requisitos formales de las proposiciones de ley y proceder a su admisión una vez verificado el cumplimiento de tales requisitos, que se limitan a la exposición de motivos y los antecedentes. Por eso la mesa del Congreso, en su reunión del día 4 de diciembre de 2020, acordó la admisión a trámite de la proposición de ley al considerar cumplidos los requisitos formales, no pudiendo considerarse esta decisión contraria al art. 23.2 CE por haberse tramitado una iniciativa inconstitucional, porque solo el Tribunal Constitucional puede realizar tal juicio de constitucionalidad y no corresponde a la mesa rechazar la tramitación de una iniciativa legislativa que resulte manifiestamente inconstitucional (con cita de la STC 96/2019, de 15 de julio). Además, el art. 23.2 CE no incluye un derecho fundamental a la constitucionalidad de las iniciativas parlamentarias.</w:t>
      </w:r>
    </w:p>
    <w:p w14:paraId="6ED453F8" w14:textId="77777777" w:rsidR="009D7677" w:rsidRDefault="009D7677" w:rsidP="009D7677">
      <w:pPr>
        <w:pStyle w:val="TextoNormal"/>
      </w:pPr>
    </w:p>
    <w:p w14:paraId="795D19C5" w14:textId="77777777" w:rsidR="009D7677" w:rsidRDefault="009D7677" w:rsidP="009D7677">
      <w:pPr>
        <w:pStyle w:val="TextoNormal"/>
      </w:pPr>
      <w:r>
        <w:t xml:space="preserve">Respecto de la obligación de la mesa de solicitar informe al Consejo General del Poder Judicial la letrada del Congreso sostiene que no es tal, sino una mera posibilidad. Y, con apoyo en la STC 108/1986, de 29 de julio, sostiene que la ausencia de informes no implica la inconstitucionalidad de la ley, salvo que se hubiese privado a la Cámara de un elemento necesario para su decisión vulnerando los derechos de los parlamentarios, de modo que la Cámara cuenta con autonomía para decidir qué antecedentes son necesarios (incluyendo o no los preceptivos). La ausencia de un determinado informe solo sería relevante si hubiera mediado protesta de los diputados o grupos, considerando relevante haber tenido este elemento de juicio, y se constatase efectivamente esa relevancia. La letrada admite que la STC 108/1986, citada en sustento de sus argumentos, no se refiere a las proposiciones de ley, pero estima que algunas de sus conclusiones pueden servir para este caso, dado que si se permite a la Cámara decidir sobre la posibilidad de recabar o no un informe que tenga carácter preceptivo, con mayor razón debe ser así en los casos en los que no tenga tal carácter, como ocurre en relación con la tramitación de las proposiciones de ley. Entiende </w:t>
      </w:r>
      <w:r>
        <w:lastRenderedPageBreak/>
        <w:t>que el hecho de que hubiese mediado protesta de un grupo, que consideraba relevante contar con esos informes, no determina que se tenga que conceder en todo caso, puesto que corresponde a la mesa de la Cámara decidir sobre la tramitación de todos los escritos y documentos de índole parlamentaria. Más concretamente, la posibilidad de someter a informe del Consejo General del Poder Judicial la proposición de ley se configura en el art. 561.1 LOPJ como una facultad de la Cámara, pues se trata de un informe potestativo y no preceptivo. Incluso, observa que nunca ha sido obligatorio que el Consejo se tuviera que pronunciar previamente sobre las proposiciones de ley, tal y como resulta del anterior art. 109.3 LOPJ que también lo configuraba como un informe de naturaleza potestativa.</w:t>
      </w:r>
    </w:p>
    <w:p w14:paraId="75E8494F" w14:textId="77777777" w:rsidR="009D7677" w:rsidRDefault="009D7677" w:rsidP="009D7677">
      <w:pPr>
        <w:pStyle w:val="TextoNormal"/>
      </w:pPr>
    </w:p>
    <w:p w14:paraId="37DBFC8D" w14:textId="77777777" w:rsidR="009D7677" w:rsidRDefault="009D7677" w:rsidP="009D7677">
      <w:pPr>
        <w:pStyle w:val="TextoNormal"/>
      </w:pPr>
      <w:r>
        <w:t>Concluye la letrada que la omisión de los informes no ha provocado la vulneración del derecho fundamental del art. 23 CE, conforme a la doctrina constitucional (SSTC 136/2011, de 13 de septiembre; 176/2011, de 8 de noviembre, y 68/2013, de 14 de marzo), ya que, atendiendo al contenido de los debates parlamentarios, no se ha privado a los diputados de los elementos de juicio necesarios para su participación en el proceso.</w:t>
      </w:r>
    </w:p>
    <w:p w14:paraId="47A282B0" w14:textId="77777777" w:rsidR="009D7677" w:rsidRDefault="009D7677" w:rsidP="009D7677">
      <w:pPr>
        <w:pStyle w:val="TextoNormal"/>
      </w:pPr>
    </w:p>
    <w:p w14:paraId="55DCD6A1" w14:textId="77777777" w:rsidR="009D7677" w:rsidRDefault="009D7677" w:rsidP="009D7677">
      <w:pPr>
        <w:pStyle w:val="TextoNormal"/>
      </w:pPr>
      <w:r>
        <w:t>(iii) En relación con la decisión de tramitar la proposición de ley por el procedimiento de urgencia, esta parte niega que pueda derivarse de la misma la vulneración del art. 23 CE. Recuerda que se trata de una potestad discrecional de la mesa de la Cámara (con cita de las SSTC 136/2011, de 13 de septiembre, y 185/2016, de 3 de noviembre) cuyo único elemento reglado es el relativo a los sujetos legitimados para solicitar la declaración de urgencia (art. 93.1 RCD). En el supuesto de la proposición de ley recurrida la solicitud de tramitación por el procedimiento de urgencia fue firmada por los portavoces de los Grupos Parlamentarios Socialista y Confederal de Unidas Podemos-En Comú Podem-Galicia en Común, cumpliéndose con el requisito reglado de los sujetos legitimados. Además, según la jurisprudencia constitucional, la reducción de los plazos de tramitación en el procedimiento de urgencia solo podrá llegar a tener relevancia constitucional cuando haya alterado de forma sustancial el proceso de formación de la voluntad de una Cámara, y en este supuesto los parlamentarios contaron con tiempo suficiente para conocer la iniciativa, dado que se desarrollaron una a una todas las fases previstas en el art. 126 RCD, de modo que la reducción de plazos no ha mermado su función representativa. La tramitación por el procedimiento de urgencia es una opción procedimental válida (STC 119/2011, de 5 de julio, FJ 11), contemplada en el artículo 93 RCD, y no ha impedido o coartado en este caso el desempeño de los derechos y facultades de los recurrentes que acompañan al núcleo de la función representativa parlamentaria (ATC 118/1999, de 10 de mayo). Pone de manifiesto el escrito de alegaciones que se celebraron hasta dos debates plenarios (el de toma en consideración y el de aprobación); que los diputados pudieron presentar las enmiendas que consideraron convenientes, que fueron defendidas y votadas tanto en la sesión plenaria como en ponencia y comisión; y que la proposición tuvo una tramitación de más de tres meses, incluido el periodo anterior a la declaración de urgencia, que también ha de ser considerado, porque no existe una limitación temporal máxima.</w:t>
      </w:r>
    </w:p>
    <w:p w14:paraId="136532ED" w14:textId="77777777" w:rsidR="009D7677" w:rsidRDefault="009D7677" w:rsidP="009D7677">
      <w:pPr>
        <w:pStyle w:val="TextoNormal"/>
      </w:pPr>
    </w:p>
    <w:p w14:paraId="3CEE49F9" w14:textId="77777777" w:rsidR="009D7677" w:rsidRDefault="009D7677" w:rsidP="009D7677">
      <w:pPr>
        <w:pStyle w:val="TextoNormal"/>
      </w:pPr>
      <w:r>
        <w:t xml:space="preserve">(iv) La letrada del Congreso también descarta la lesión del art. 23.2 CE por la falta de motivación del acuerdo de la mesa de la comisión de justicia, de 16 de febrero de 2021, por el que se deniegan las comparecencias solicitadas. Recuerda el escrito de alegaciones que el órgano competente para decidir sobre la celebración de comparecencia es la mesa de la comisión (resolución de la Presidencia de 2 de noviembre de 1983, art. 44, apartados 2, 3 y 4 RCD) y en esa decisión no es necesaria la unanimidad ni su posterior ratificación </w:t>
      </w:r>
      <w:r>
        <w:lastRenderedPageBreak/>
        <w:t>por el Pleno, del mismo modo que no cabe recurso interno. La decisión es política y no requiere motivación, a pesar de lo cual, en este caso, la mesa la ofreció atendiendo al criterio de que no tiene sentido celebrar comparecencias cuando la iniciativa ha sido objeto de informe e iba a ser dictaminada ese mismo día.</w:t>
      </w:r>
    </w:p>
    <w:p w14:paraId="28EE63C2" w14:textId="77777777" w:rsidR="009D7677" w:rsidRDefault="009D7677" w:rsidP="009D7677">
      <w:pPr>
        <w:pStyle w:val="TextoNormal"/>
      </w:pPr>
    </w:p>
    <w:p w14:paraId="7B7C2C25" w14:textId="77777777" w:rsidR="009D7677" w:rsidRDefault="009D7677" w:rsidP="009D7677">
      <w:pPr>
        <w:pStyle w:val="TextoNormal"/>
      </w:pPr>
      <w:r>
        <w:t>Respecto del rechazo de la solicitud de informes que recoge el mismo acuerdo, la letrada de la Cámara sostiene que la facultad de pedir la información y documentación se establece en el apartado 1 del art. 44 RCD y está delegada por la comisión de justicia a su mesa en términos incondicionados (acuerdo de la comisión de 30 de septiembre de 2020), de modo que los acuerdos al respecto se adoptan sobre la base de un criterio de oportunidad política, por lo que no necesitaban motivación. No obstante, en este caso la mesa también aporta una motivación de su acuerdo por remisión a las motivaciones que fueron dadas por la mesa del Congreso para rechazar esas mismas solicitudes en la resolución de 9 de febrero de 2021.</w:t>
      </w:r>
    </w:p>
    <w:p w14:paraId="265EF80A" w14:textId="77777777" w:rsidR="009D7677" w:rsidRDefault="009D7677" w:rsidP="009D7677">
      <w:pPr>
        <w:pStyle w:val="TextoNormal"/>
      </w:pPr>
    </w:p>
    <w:p w14:paraId="7B2DBF02" w14:textId="77777777" w:rsidR="009D7677" w:rsidRDefault="009D7677" w:rsidP="009D7677">
      <w:pPr>
        <w:pStyle w:val="TextoNormal"/>
      </w:pPr>
      <w:r>
        <w:t>(v) En último término, la letrada del Congreso de los Diputados examina la denunciada vulneración del art. 93 CE y, tras examinar los principios que rigen la relación entre el Derecho de la Unión Europea y el Derecho nacional, el contenido del art. 93 CE y su relación con la posible declaración de inconstitucionalidad de la ley y aclarar la naturaleza jurídica del Convenio europeo para la protección de los derechos humanos y de las libertades fundamentales, concluye que: (1) las normas del Derecho de la Unión no actúan como un canon para medir la constitucionalidad de las leyes aprobadas por las Cortes (con cita de las SSTC 28/1991, de 14 de febrero, y 232/2015, de 5 de noviembre); (2) es posible utilizar el Derecho de la Unión Europea como criterio interpretativo porque la propia Constitución así lo permite, pero la eventual vulneración del art. 93 CE no se daría mediante la contradicción de una ley nacional con una norma de la Unión Europea; (3) el art. 6.3 TUE y los arts. 52 y 53 de la Carta de los derechos fundamentales de la Unión Europea (CDFUE) utilizan la técnica del reenvío para incorporar al Derecho de la Unión los derechos de la Convención como principios generales, pero la jurisprudencia constitucional no acepta que la contradicción con el Convenio europeo de derechos humanos derive en contradicción con el art. 93 CE, limitándose a utilizar el Convenio para interpretar la Constitución por vía del artículo 10.2 CE.</w:t>
      </w:r>
    </w:p>
    <w:p w14:paraId="67AAFEA7" w14:textId="77777777" w:rsidR="009D7677" w:rsidRDefault="009D7677" w:rsidP="009D7677">
      <w:pPr>
        <w:pStyle w:val="TextoNormal"/>
      </w:pPr>
    </w:p>
    <w:p w14:paraId="46CFAACA" w14:textId="77777777" w:rsidR="009D7677" w:rsidRDefault="009D7677" w:rsidP="009D7677">
      <w:pPr>
        <w:pStyle w:val="TextoNormal"/>
      </w:pPr>
      <w:r>
        <w:t>El escrito de alegaciones analiza la infracción que los recurrentes imputan al art. 93 CE por haber llevado a cabo una tramitación de urgencia, sin audiencia a los afectados y sin responder a los estándares mínimos de calidad exigidos por el Tribunal Europeo de Derechos Humanos, y cuestiona que la demanda no cite ninguna norma, acto, sentencia o resolución de las instituciones de la Unión Europea que sustente el argumento, limitándose a extraerlo del considerando tercero del Reglamento (UE, Euratom) 2020/2092, de 16 de diciembre de 2020. Según la letrada del Congreso esta disposición no contiene ninguna exigencia procedimental para aprobar una ley, refiriéndose tan solo a una consecuencia lógica del Estado de Derecho; esto es, que se respete un proceso legislativo transparente, responsable, democrático y pluralista, que también se puede derivar del art. 1.1 de nuestra Constitución. Entiende esta parte que el art. 2 TUE establece los valores en que se fundamenta la Unión, pero en el art. 3.6 TUE también se determina que la Unión perseguirá sus objetivos por los medios apropiados de acuerdo con las competencias que se le atribuyan en los tratados, y sin que la garantía de los valores suponga un incremento de competencias. Por tanto, si bien de los valores de la Unión Europea se desprende la necesaria inde</w:t>
      </w:r>
      <w:r>
        <w:lastRenderedPageBreak/>
        <w:t>pendencia de los órganos jurisdiccionales (arts. 19 TUE y 47 CDFUE), esta independencia puede exigirse por medio de diferentes vías contempladas en los tratados [art. 7 TUE o arts. 258 a 260 del Tratado de funcionamiento de la Unión Europea (TFUE)], pero no a través de este recurso de inconstitucionalidad. La organización de la administración de justicia es competencia de los Estados miembros, como también lo es la regulación de los requisitos de las proposiciones de ley y de los trámites legislativos.</w:t>
      </w:r>
    </w:p>
    <w:p w14:paraId="218EA65F" w14:textId="77777777" w:rsidR="009D7677" w:rsidRDefault="009D7677" w:rsidP="009D7677">
      <w:pPr>
        <w:pStyle w:val="TextoNormal"/>
      </w:pPr>
    </w:p>
    <w:p w14:paraId="4AAE78C0" w14:textId="00B6F75C" w:rsidR="009D7677" w:rsidRDefault="009D7677" w:rsidP="009D7677">
      <w:pPr>
        <w:pStyle w:val="TextoNormal"/>
      </w:pPr>
      <w:r>
        <w:t>En relación con las recomendaciones citadas en la demanda advierte que vienen dirigidas a Polonia, cuyas circunstancias particulares son distintas a las de España, por lo que la actividad de la Cámara no puede verse determinada por las mismas, ni tampoco por las declaraciones de las autoridades europeas que carecen de valor jurídico, ni por las referencias generales al Consejo de Europa que también son simples recomendaciones. Finalmente, considera que a las mismas conclusiones se llega a la hora de examinar las exigencias que se imponen por el Convenio de Roma, a partir de la interpretación del Tribunal Europeo de Derechos Humanos. Reproduce parcialmente el voto particular al acuerdo del Consejo General del Poder Judicial de 16 de diciembre de 2020 donde se recordaba que órganos como la Red Europea de Consejos de Justicia, o la llamada Comisión de Venecia, no son órganos colegisladores ni de la Unión Europea, ni de sus Estados miembros, con independencia de lo ilustrativas y orientadoras que puedan ser sus opiniones.</w:t>
      </w:r>
    </w:p>
    <w:p w14:paraId="4C340704" w14:textId="77777777" w:rsidR="009D7677" w:rsidRDefault="009D7677" w:rsidP="009D7677">
      <w:pPr>
        <w:pStyle w:val="TextoNormal"/>
      </w:pPr>
    </w:p>
    <w:p w14:paraId="0850DB34" w14:textId="77777777" w:rsidR="009D7677" w:rsidRDefault="009D7677" w:rsidP="009D7677">
      <w:pPr>
        <w:pStyle w:val="TextoNormal"/>
      </w:pPr>
      <w:r w:rsidRPr="009D7677">
        <w:rPr>
          <w:rStyle w:val="NumeroAFNegritaCaracter"/>
        </w:rPr>
        <w:t>7</w:t>
      </w:r>
      <w:r>
        <w:t>. El 22 de octubre de 2021 el abogado del Estado presentó su escrito de alegaciones en el que, tras exponer los antecedentes de la Ley Orgánica 4/2021, interesa la desestimación del recurso de inconstitucionalidad, con base en las razones que se exponen seguidamente:</w:t>
      </w:r>
    </w:p>
    <w:p w14:paraId="18D09351" w14:textId="77777777" w:rsidR="009D7677" w:rsidRDefault="009D7677" w:rsidP="009D7677">
      <w:pPr>
        <w:pStyle w:val="TextoNormal"/>
      </w:pPr>
    </w:p>
    <w:p w14:paraId="7F7DBCAC" w14:textId="77777777" w:rsidR="009D7677" w:rsidRDefault="009D7677" w:rsidP="009D7677">
      <w:pPr>
        <w:pStyle w:val="TextoNormal"/>
      </w:pPr>
      <w:r>
        <w:t>a) Respecto del procedimiento legislativo, la Abogacía del Estado niega la vulneración del art. 23 CE, al sostener que se deduce de la redacción de las enmiendas presentadas en el curso de aquel y del debate de la proposición de ley, que los diputados tenían un conocimiento completo del contenido y alcance de la modificación propuesta (durante el trámite de enmiendas se presentaron cuatro a la totalidad y dos de supresión).</w:t>
      </w:r>
    </w:p>
    <w:p w14:paraId="67F56069" w14:textId="77777777" w:rsidR="009D7677" w:rsidRDefault="009D7677" w:rsidP="009D7677">
      <w:pPr>
        <w:pStyle w:val="TextoNormal"/>
      </w:pPr>
    </w:p>
    <w:p w14:paraId="69D2EFD6" w14:textId="77777777" w:rsidR="009D7677" w:rsidRDefault="009D7677" w:rsidP="009D7677">
      <w:pPr>
        <w:pStyle w:val="TextoNormal"/>
      </w:pPr>
      <w:r>
        <w:t>En relación con la denunciada vulneración del Derecho de la Unión, y correlativa infracción del art. 93 CE, el escrito de alegaciones advierte que el argumento relativo al menoscabo del Estado de Derecho es genérico y no recoge ninguna vulneración concreta, más allá de no cumplirse una recomendación en orden a que cualquier reforma del órgano de gobierno de los jueces busque el mayor consenso. Entiende esta parte que, con arreglo a la jurisprudencia constitucional, no cabe tomar el Derecho de la Unión Europea como parámetro de constitucionalidad (con cita de las SSTC 99/2012, de 8 de mayo, FJ 2 B), y 212/2014, de 18 de diciembre, FJ 3). Y, en relación con la cita que los recurrentes hacen del art. 561.1 LOPJ y la exigencia de informe del Consejo, sostiene el abogado del Estado que no se realiza argumentación de desarrollo alguno y que, en cualquier caso, el art. 561.1 LOPJ se refiere solo a anteproyectos de ley o de disposiciones generales, no a proposiciones de ley.</w:t>
      </w:r>
    </w:p>
    <w:p w14:paraId="48220365" w14:textId="77777777" w:rsidR="009D7677" w:rsidRDefault="009D7677" w:rsidP="009D7677">
      <w:pPr>
        <w:pStyle w:val="TextoNormal"/>
      </w:pPr>
    </w:p>
    <w:p w14:paraId="461DB2A1" w14:textId="77777777" w:rsidR="009D7677" w:rsidRDefault="009D7677" w:rsidP="009D7677">
      <w:pPr>
        <w:pStyle w:val="TextoNormal"/>
      </w:pPr>
      <w:r>
        <w:t xml:space="preserve">b) A continuación, en el apartado cuarto de su escrito de alegaciones, el abogado del Estado se centra en la denuncia de los vicios de inconstitucionalidad material. A este respecto se afirma que solo cabe examinar el primer motivo de los invocados en este sentido, relativo a la prohibición constitucional de la existencia de un Consejo General del Poder </w:t>
      </w:r>
      <w:r>
        <w:lastRenderedPageBreak/>
        <w:t>Judicial en funciones, no pudiendo analizarse la segunda crítica que el recurso realiza en relación a las competencias que ejerce y no ejerce el Consejo porque, a juicio del abogado del Estado, los recurrentes no realizan argumentación alguna, limitándose a señalar el listado de materias que no pueden tratar, refiriendo que ello implica una drástica reducción de sus atribuciones que afectan a su funcionamiento ordinario, citando sin más argumentos adicionales el art. 122 CE, los relativos a la reforma constitucional (arts. 167 y 169 CE) y el art. 165 CE en relación con la Ley Orgánica del Tribunal Constitucional.</w:t>
      </w:r>
    </w:p>
    <w:p w14:paraId="3E47A634" w14:textId="77777777" w:rsidR="009D7677" w:rsidRDefault="009D7677" w:rsidP="009D7677">
      <w:pPr>
        <w:pStyle w:val="TextoNormal"/>
      </w:pPr>
    </w:p>
    <w:p w14:paraId="189796E3" w14:textId="77777777" w:rsidR="009D7677" w:rsidRDefault="009D7677" w:rsidP="009D7677">
      <w:pPr>
        <w:pStyle w:val="TextoNormal"/>
      </w:pPr>
      <w:r>
        <w:t>Centrada así la cuestión, el abogado del Estado trae a colación la jurisprudencia del Tribunal Constitucional relativa al carácter incompleto y abierto de la regulación del Consejo en la Constitución y el subsiguiente margen de libertad de que dispone el legislador para atender a eventualidades que, por anómalas o atípicas que sean, puedan llegar a verificarse sin ser objeto de expresa prevención por la norma fundamental. Igualmente, atiende al contenido del art. 122.2 y 3 CE, explicando que remite a la ley orgánica para la regulación de las funciones del Consejo, previendo que sus miembros sean nombrados por un periodo de cinco años, para concluir que, de la conjunción de ambas previsiones constitucionales, se deduce que el constituyente ha querido una permanencia temporal limitada en el cargo de miembro del órgano de gobierno y que el legislador orgánico sea quien regule las funciones del órgano de gobierno de los jueces. Y siendo esta previsión constitucional evidente, el abogado del Estado entiende que de ella se deduce que existe una diferencia constitucional entre el Consejo integrado por miembros dentro de su mandato de cinco años y el Consejo integrado por miembros con mandato caducado.</w:t>
      </w:r>
    </w:p>
    <w:p w14:paraId="0F83144B" w14:textId="77777777" w:rsidR="009D7677" w:rsidRDefault="009D7677" w:rsidP="009D7677">
      <w:pPr>
        <w:pStyle w:val="TextoNormal"/>
      </w:pPr>
    </w:p>
    <w:p w14:paraId="227554E9" w14:textId="77777777" w:rsidR="009D7677" w:rsidRDefault="009D7677" w:rsidP="009D7677">
      <w:pPr>
        <w:pStyle w:val="TextoNormal"/>
      </w:pPr>
      <w:r>
        <w:t xml:space="preserve">A continuación, y si bien insiste de nuevo en que los recurrentes no argumentan por qué la limitación de las atribuciones del Consejo implica una politización del órgano de gobierno de los jueces, analiza la limitación de las funciones relativas a la interposición de un conflicto de atribuciones entre órganos constitucionales, explicando que dada la remisión que el art. 560 LOPJ hace a la Ley Orgánica del Tribunal Constitucional para su interposición, habrá que estar a esta última para analizar los requisitos que deba cumplir el Consejo General del Poder Judicial para el ejercicio de acciones, sin que sea incompatible con la previsión del nuevo art. 571 </w:t>
      </w:r>
      <w:r w:rsidRPr="009D7677">
        <w:rPr>
          <w:i/>
        </w:rPr>
        <w:t>bis</w:t>
      </w:r>
      <w:r>
        <w:t xml:space="preserve"> LOPJ.</w:t>
      </w:r>
    </w:p>
    <w:p w14:paraId="6A27E090" w14:textId="77777777" w:rsidR="009D7677" w:rsidRDefault="009D7677" w:rsidP="009D7677">
      <w:pPr>
        <w:pStyle w:val="TextoNormal"/>
      </w:pPr>
    </w:p>
    <w:p w14:paraId="6620CABA" w14:textId="36EA528B" w:rsidR="009D7677" w:rsidRDefault="009D7677" w:rsidP="009D7677">
      <w:pPr>
        <w:pStyle w:val="TextoNormal"/>
      </w:pPr>
      <w:r>
        <w:t xml:space="preserve">Finalmente, en el apartado quinto de su escrito de alegaciones, el abogado del Estado niega que el art. 598 </w:t>
      </w:r>
      <w:r w:rsidRPr="009D7677">
        <w:rPr>
          <w:i/>
        </w:rPr>
        <w:t>bis</w:t>
      </w:r>
      <w:r>
        <w:t xml:space="preserve"> LOPJ sea una ley singular vedada por el art. 9.3 CE. Advierte que la STC 129/2013, citada por los recurrentes en sustento de su tesis, se refiere a una ley autonómica sobre declaración de proyectos regionales de infraestructuras de residuos. Y que la previsión del art. 598 </w:t>
      </w:r>
      <w:r w:rsidRPr="009D7677">
        <w:rPr>
          <w:i/>
        </w:rPr>
        <w:t>bis</w:t>
      </w:r>
      <w:r>
        <w:t xml:space="preserve"> LOPJ no se puede entender como una ley singular dirigida a proteger a determinadas personas, ya que su vocación es general y diferida en el tiempo, por cuanto se aplicará en todos aquellos momentos en que el Consejo General del Poder Judicial esté en funciones, con independencia de la persona que en concreto ostente el cargo de vicepresidente y de secretario general del Consejo (con apoyo en la STC 148/2020, de 22 de octubre).</w:t>
      </w:r>
    </w:p>
    <w:p w14:paraId="3E4CE855" w14:textId="77777777" w:rsidR="009D7677" w:rsidRDefault="009D7677" w:rsidP="009D7677">
      <w:pPr>
        <w:pStyle w:val="TextoNormal"/>
      </w:pPr>
    </w:p>
    <w:p w14:paraId="011262D7" w14:textId="77777777" w:rsidR="009D7677" w:rsidRDefault="009D7677" w:rsidP="009D7677">
      <w:pPr>
        <w:pStyle w:val="TextoNormal"/>
      </w:pPr>
      <w:r w:rsidRPr="009D7677">
        <w:rPr>
          <w:rStyle w:val="NumeroAFNegritaCaracter"/>
        </w:rPr>
        <w:t>8</w:t>
      </w:r>
      <w:r>
        <w:t xml:space="preserve">. El día 31 de enero de 2023, los recurrentes presentaron sendos escritos formulando recusación, respectivamente, contra la magistrada doña Laura Díez Bueso y el magistrado don Juan Carlos Campo Moreno, por incurrir ambos en las causas de recusación previstas en los apartados 13 y 16 del art. 219 LOPJ. El 6 de febrero de 2023 el secretario de justicia del Pleno dictó diligencia de ordenación en la que, de acuerdo con el turno de ponencias, </w:t>
      </w:r>
      <w:r>
        <w:lastRenderedPageBreak/>
        <w:t>se designó ponente para la resolución del primer incidente a la magistrada doña María Luisa Balaguer Callejón y del segundo incidente al magistrado don Ramón Sáez Valcárcel.</w:t>
      </w:r>
    </w:p>
    <w:p w14:paraId="2F783BC6" w14:textId="77777777" w:rsidR="009D7677" w:rsidRDefault="009D7677" w:rsidP="009D7677">
      <w:pPr>
        <w:pStyle w:val="TextoNormal"/>
      </w:pPr>
    </w:p>
    <w:p w14:paraId="08035A4C" w14:textId="034B6DBD" w:rsidR="009D7677" w:rsidRDefault="009D7677" w:rsidP="009D7677">
      <w:pPr>
        <w:pStyle w:val="TextoNormal"/>
      </w:pPr>
      <w:r>
        <w:t>El Pleno del Tribunal Constitucional dictó los AATC 68/2023 y 69/2023, de 21 de febrero, en los que inadmitió, respectivamente, las recusaciones promovidas contra el magistrado don Juan Carlos Campo Moreno y la magistrada doña Laura Díez Bueso, por apreciar su extemporaneidad, dado que el plazo para recusar, conforme al art. 223.1.1 LOPJ, se inició el día 9 de enero de 2023, fecha de la toma de posesión como magistrados del Tribunal Constitucional y finalizó a las 15:00 horas del día 23 de enero de 2023, habiéndose formulado las recusaciones el día 31 de enero de 2023.</w:t>
      </w:r>
    </w:p>
    <w:p w14:paraId="27D9BB8A" w14:textId="77777777" w:rsidR="009D7677" w:rsidRDefault="009D7677" w:rsidP="009D7677">
      <w:pPr>
        <w:pStyle w:val="TextoNormal"/>
      </w:pPr>
    </w:p>
    <w:p w14:paraId="709CDF15" w14:textId="77777777" w:rsidR="009D7677" w:rsidRDefault="009D7677" w:rsidP="009D7677">
      <w:pPr>
        <w:pStyle w:val="TextoNormal"/>
      </w:pPr>
      <w:r w:rsidRPr="009D7677">
        <w:rPr>
          <w:rStyle w:val="NumeroAFNegritaCaracter"/>
        </w:rPr>
        <w:t>9</w:t>
      </w:r>
      <w:r>
        <w:t>. El 10 de marzo de 2023 los recurrentes presentaron sendos escritos interponiendo recurso de súplica contra los AATC 68/2023 y 69/2023, de 21 de febrero. Por diligencia de ordenación de 16 de marzo de 2023 el secretario de justicia del Pleno acuerda incorporar a las actuaciones los escritos presentados por los recurrentes y dar traslado a las demás partes personadas para que, en el plazo de tres días, puedan alegar lo que estimen procedente en relación con dicho recurso.</w:t>
      </w:r>
    </w:p>
    <w:p w14:paraId="710E93DE" w14:textId="77777777" w:rsidR="009D7677" w:rsidRDefault="009D7677" w:rsidP="009D7677">
      <w:pPr>
        <w:pStyle w:val="TextoNormal"/>
      </w:pPr>
    </w:p>
    <w:p w14:paraId="7AB86ACE" w14:textId="2B763A3B" w:rsidR="009D7677" w:rsidRDefault="009D7677" w:rsidP="009D7677">
      <w:pPr>
        <w:pStyle w:val="TextoNormal"/>
      </w:pPr>
      <w:r>
        <w:t>El 23 de marzo de 2023 la letrada de las Cortes Generales presenta escrito comunicando que no va a formular alegaciones en relación con la cuestión planteada. El 24 de marzo de 2023 el abogado del Estado presenta escrito manifestándose conforme con el contenido de dichos autos en todos sus extremos, así como con lo resuelto en el fallo en relación con el caso concreto, pidiendo la desestimación de los recursos de súplica y la confirmación de los autos de 21 de febrero de 2023. Mediante los AATC 235/2023 y 237/2023, ambos de 9 de mayo, el Pleno desestimó los recursos de súplica interpuestos contra los AATC 69/2023 y 68/2023, de 21 de febrero, respectivamente, confirmando la extemporaneidad de las recusaciones promovidas.</w:t>
      </w:r>
    </w:p>
    <w:p w14:paraId="595CE0AB" w14:textId="77777777" w:rsidR="009D7677" w:rsidRDefault="009D7677" w:rsidP="009D7677">
      <w:pPr>
        <w:pStyle w:val="TextoNormal"/>
      </w:pPr>
    </w:p>
    <w:p w14:paraId="0C2AE47D" w14:textId="72A71EE1" w:rsidR="009D7677" w:rsidRDefault="009D7677" w:rsidP="009D7677">
      <w:pPr>
        <w:pStyle w:val="TextoNormal"/>
      </w:pPr>
      <w:r w:rsidRPr="009D7677">
        <w:rPr>
          <w:rStyle w:val="NumeroAFNegritaCaracter"/>
        </w:rPr>
        <w:t>10</w:t>
      </w:r>
      <w:r>
        <w:t>. El 2 de octubre de 2023 el presidente del Tribunal Constitucional, en el ejercicio de las competencias del art. 15 LOTC, en relación con el artículo 206 LOPJ, designa a la magistrada doña María Luisa Balaguer Callejón como ponente del presente recurso de inconstitucionalidad, al haber declinado la ponencia del asunto el magistrado don César Tolosa Tribiño.</w:t>
      </w:r>
    </w:p>
    <w:p w14:paraId="2E492AFF" w14:textId="77777777" w:rsidR="009D7677" w:rsidRDefault="009D7677" w:rsidP="009D7677">
      <w:pPr>
        <w:pStyle w:val="TextoNormal"/>
      </w:pPr>
    </w:p>
    <w:p w14:paraId="3E5B33B7" w14:textId="4BDBBF02" w:rsidR="009D7677" w:rsidRDefault="009D7677" w:rsidP="009D7677">
      <w:pPr>
        <w:pStyle w:val="TextoNormal"/>
      </w:pPr>
      <w:r w:rsidRPr="009D7677">
        <w:rPr>
          <w:rStyle w:val="NumeroAFNegritaCaracter"/>
        </w:rPr>
        <w:t>11</w:t>
      </w:r>
      <w:r>
        <w:t>. Por providencia de 30 de enero de 2024, se señaló ese mismo día para la deliberación y votación de la presente sentencia.</w:t>
      </w:r>
    </w:p>
    <w:p w14:paraId="2FA34B24" w14:textId="77777777" w:rsidR="009D7677" w:rsidRDefault="009D7677" w:rsidP="009D7677">
      <w:pPr>
        <w:pStyle w:val="TextoNormal"/>
      </w:pPr>
    </w:p>
    <w:p w14:paraId="5A3B57C0" w14:textId="77777777" w:rsidR="009D7677" w:rsidRDefault="009D7677" w:rsidP="009D7677">
      <w:pPr>
        <w:pStyle w:val="TextoNormalNegritaCentrado"/>
        <w:keepNext/>
      </w:pPr>
      <w:r>
        <w:t>II. Fundamentos jurídicos</w:t>
      </w:r>
    </w:p>
    <w:p w14:paraId="0FA23D2B" w14:textId="5E1156C9" w:rsidR="009D7677" w:rsidRDefault="009D7677" w:rsidP="009D7677">
      <w:pPr>
        <w:pStyle w:val="TextoNormalNegritaCentrado"/>
        <w:keepNext/>
      </w:pPr>
    </w:p>
    <w:p w14:paraId="790FA789" w14:textId="77777777" w:rsidR="009D7677" w:rsidRDefault="009D7677" w:rsidP="009D7677">
      <w:pPr>
        <w:pStyle w:val="TextoNormal"/>
      </w:pPr>
      <w:r w:rsidRPr="009D7677">
        <w:rPr>
          <w:rStyle w:val="NumeroAFNegritaCaracter"/>
        </w:rPr>
        <w:t>1</w:t>
      </w:r>
      <w:r>
        <w:t xml:space="preserve">. </w:t>
      </w:r>
      <w:r w:rsidRPr="009D7677">
        <w:rPr>
          <w:i/>
        </w:rPr>
        <w:t>Objeto del recurso y posiciones de las partes</w:t>
      </w:r>
    </w:p>
    <w:p w14:paraId="215BF61C" w14:textId="77777777" w:rsidR="009D7677" w:rsidRDefault="009D7677" w:rsidP="009D7677">
      <w:pPr>
        <w:pStyle w:val="TextoNormal"/>
      </w:pPr>
    </w:p>
    <w:p w14:paraId="4BE6D7A1" w14:textId="77777777" w:rsidR="009D7677" w:rsidRDefault="009D7677" w:rsidP="009D7677">
      <w:pPr>
        <w:pStyle w:val="TextoNormal"/>
      </w:pPr>
      <w:r>
        <w:t>a) El presente recurso de inconstitucionalidad núm. 3101-2021, interpuesto a instancia de más de cincuenta diputados del Grupo Parlamentario Popular en el Congreso de los Diputados, tiene por objeto la totalidad de la Ley Orgánica 4/2021, de 29 de marzo, por la que se modifica la Ley Orgánica 6/1985, de 1 de julio, del Poder Judicial, para el estable</w:t>
      </w:r>
      <w:r>
        <w:lastRenderedPageBreak/>
        <w:t>cimiento del régimen jurídico aplicable al Consejo General del Poder Judicial en funciones.</w:t>
      </w:r>
    </w:p>
    <w:p w14:paraId="65E5636C" w14:textId="77777777" w:rsidR="009D7677" w:rsidRDefault="009D7677" w:rsidP="009D7677">
      <w:pPr>
        <w:pStyle w:val="TextoNormal"/>
      </w:pPr>
    </w:p>
    <w:p w14:paraId="5757FFCE" w14:textId="77777777" w:rsidR="009D7677" w:rsidRDefault="009D7677" w:rsidP="009D7677">
      <w:pPr>
        <w:pStyle w:val="TextoNormal"/>
      </w:pPr>
      <w:r>
        <w:t xml:space="preserve">La Ley Orgánica 4/2021, en su artículo único, añade a la Ley Orgánica del Poder Judicial los arts. 570 </w:t>
      </w:r>
      <w:r w:rsidRPr="009D7677">
        <w:rPr>
          <w:i/>
        </w:rPr>
        <w:t>bis</w:t>
      </w:r>
      <w:r>
        <w:t xml:space="preserve"> y 598 </w:t>
      </w:r>
      <w:r w:rsidRPr="009D7677">
        <w:rPr>
          <w:i/>
        </w:rPr>
        <w:t>bis</w:t>
      </w:r>
      <w:r>
        <w:t>. Los preceptos impugnados tienen el siguiente tenor literal:</w:t>
      </w:r>
    </w:p>
    <w:p w14:paraId="42B01929" w14:textId="77777777" w:rsidR="009D7677" w:rsidRDefault="009D7677" w:rsidP="009D7677">
      <w:pPr>
        <w:pStyle w:val="TextoNormal"/>
      </w:pPr>
    </w:p>
    <w:p w14:paraId="4681FBBB" w14:textId="77777777" w:rsidR="009D7677" w:rsidRDefault="009D7677" w:rsidP="009D7677">
      <w:pPr>
        <w:pStyle w:val="TextoNormal"/>
      </w:pPr>
      <w:r>
        <w:t>“Artículo 570</w:t>
      </w:r>
      <w:r w:rsidRPr="009D7677">
        <w:rPr>
          <w:i/>
        </w:rPr>
        <w:t xml:space="preserve"> bi</w:t>
      </w:r>
      <w:r>
        <w:t>s.</w:t>
      </w:r>
    </w:p>
    <w:p w14:paraId="20E51A54" w14:textId="77777777" w:rsidR="009D7677" w:rsidRDefault="009D7677" w:rsidP="009D7677">
      <w:pPr>
        <w:pStyle w:val="TextoNormal"/>
      </w:pPr>
    </w:p>
    <w:p w14:paraId="26794929" w14:textId="77777777" w:rsidR="009D7677" w:rsidRDefault="009D7677" w:rsidP="009D7677">
      <w:pPr>
        <w:pStyle w:val="TextoNormal"/>
      </w:pPr>
      <w:r>
        <w:t>1. Cuando, por no haberse producido su renovación en el plazo legalmente previsto, el Consejo General del Poder Judicial entre en funciones según lo previsto en el apartado 2 del artículo 570, la actividad del mismo se limitará a la realización de las siguientes atribuciones:</w:t>
      </w:r>
    </w:p>
    <w:p w14:paraId="7767518C" w14:textId="77777777" w:rsidR="009D7677" w:rsidRDefault="009D7677" w:rsidP="009D7677">
      <w:pPr>
        <w:pStyle w:val="TextoNormal"/>
      </w:pPr>
    </w:p>
    <w:p w14:paraId="49DE92A2" w14:textId="77777777" w:rsidR="009D7677" w:rsidRDefault="009D7677" w:rsidP="009D7677">
      <w:pPr>
        <w:pStyle w:val="TextoNormal"/>
      </w:pPr>
      <w:r>
        <w:t>1. Ser oído por el Gobierno antes del nombramiento del fiscal general del Estado.</w:t>
      </w:r>
    </w:p>
    <w:p w14:paraId="3BE88336" w14:textId="77777777" w:rsidR="009D7677" w:rsidRDefault="009D7677" w:rsidP="009D7677">
      <w:pPr>
        <w:pStyle w:val="TextoNormal"/>
      </w:pPr>
    </w:p>
    <w:p w14:paraId="7D443C7B" w14:textId="77777777" w:rsidR="009D7677" w:rsidRDefault="009D7677" w:rsidP="009D7677">
      <w:pPr>
        <w:pStyle w:val="TextoNormal"/>
      </w:pPr>
      <w:r>
        <w:t>2. Participar, en los términos legalmente previstos, en la selección de jueces y magistrados.</w:t>
      </w:r>
    </w:p>
    <w:p w14:paraId="204E16E2" w14:textId="77777777" w:rsidR="009D7677" w:rsidRDefault="009D7677" w:rsidP="009D7677">
      <w:pPr>
        <w:pStyle w:val="TextoNormal"/>
      </w:pPr>
    </w:p>
    <w:p w14:paraId="5833C2BE" w14:textId="77777777" w:rsidR="009D7677" w:rsidRDefault="009D7677" w:rsidP="009D7677">
      <w:pPr>
        <w:pStyle w:val="TextoNormal"/>
      </w:pPr>
      <w:r>
        <w:t>3. Resolver lo que proceda en materia de formación y perfeccionamiento, provisión de destinos, ascensos reglados, situaciones administrativas y régimen disciplinario de jueces y magistrados.</w:t>
      </w:r>
    </w:p>
    <w:p w14:paraId="549279E8" w14:textId="77777777" w:rsidR="009D7677" w:rsidRDefault="009D7677" w:rsidP="009D7677">
      <w:pPr>
        <w:pStyle w:val="TextoNormal"/>
      </w:pPr>
    </w:p>
    <w:p w14:paraId="608C2263" w14:textId="77777777" w:rsidR="009D7677" w:rsidRDefault="009D7677" w:rsidP="009D7677">
      <w:pPr>
        <w:pStyle w:val="TextoNormal"/>
      </w:pPr>
      <w:r>
        <w:t>4. Ejercer la alta inspección de tribunales, así como la supervisión y coordinación de la actividad inspectora ordinaria de los presidentes y salas de gobierno de los tribunales.</w:t>
      </w:r>
    </w:p>
    <w:p w14:paraId="31F30E65" w14:textId="77777777" w:rsidR="009D7677" w:rsidRDefault="009D7677" w:rsidP="009D7677">
      <w:pPr>
        <w:pStyle w:val="TextoNormal"/>
      </w:pPr>
    </w:p>
    <w:p w14:paraId="57F2E110" w14:textId="77777777" w:rsidR="009D7677" w:rsidRDefault="009D7677" w:rsidP="009D7677">
      <w:pPr>
        <w:pStyle w:val="TextoNormal"/>
      </w:pPr>
      <w:r>
        <w:t>5. Cuidar de la publicación oficial de las sentencias y demás resoluciones que se determinen del Tribunal Supremo y del resto de órganos judiciales.</w:t>
      </w:r>
    </w:p>
    <w:p w14:paraId="70777D39" w14:textId="77777777" w:rsidR="009D7677" w:rsidRDefault="009D7677" w:rsidP="009D7677">
      <w:pPr>
        <w:pStyle w:val="TextoNormal"/>
      </w:pPr>
    </w:p>
    <w:p w14:paraId="6D0EDE03" w14:textId="77777777" w:rsidR="009D7677" w:rsidRDefault="009D7677" w:rsidP="009D7677">
      <w:pPr>
        <w:pStyle w:val="TextoNormal"/>
      </w:pPr>
      <w:r>
        <w:t>6. Garantizar el funcionamiento y actualizar los programas formativos de la Escuela Judicial.</w:t>
      </w:r>
    </w:p>
    <w:p w14:paraId="283ADF9E" w14:textId="77777777" w:rsidR="009D7677" w:rsidRDefault="009D7677" w:rsidP="009D7677">
      <w:pPr>
        <w:pStyle w:val="TextoNormal"/>
      </w:pPr>
    </w:p>
    <w:p w14:paraId="6D69FAC7" w14:textId="77777777" w:rsidR="009D7677" w:rsidRDefault="009D7677" w:rsidP="009D7677">
      <w:pPr>
        <w:pStyle w:val="TextoNormal"/>
      </w:pPr>
      <w:r>
        <w:t>7. Ejercer la potestad reglamentaria en las siguientes materias:</w:t>
      </w:r>
    </w:p>
    <w:p w14:paraId="7C37C0C8" w14:textId="77777777" w:rsidR="009D7677" w:rsidRDefault="009D7677" w:rsidP="009D7677">
      <w:pPr>
        <w:pStyle w:val="TextoNormal"/>
      </w:pPr>
    </w:p>
    <w:p w14:paraId="48A45E53" w14:textId="77777777" w:rsidR="009D7677" w:rsidRDefault="009D7677" w:rsidP="009D7677">
      <w:pPr>
        <w:pStyle w:val="TextoNormal"/>
      </w:pPr>
      <w:r>
        <w:t>a) Publicidad de las actuaciones judiciales.</w:t>
      </w:r>
    </w:p>
    <w:p w14:paraId="393365DF" w14:textId="77777777" w:rsidR="009D7677" w:rsidRDefault="009D7677" w:rsidP="009D7677">
      <w:pPr>
        <w:pStyle w:val="TextoNormal"/>
      </w:pPr>
    </w:p>
    <w:p w14:paraId="0D4A9187" w14:textId="77777777" w:rsidR="009D7677" w:rsidRDefault="009D7677" w:rsidP="009D7677">
      <w:pPr>
        <w:pStyle w:val="TextoNormal"/>
      </w:pPr>
      <w:r>
        <w:t>b) Publicación y reutilización de las resoluciones judiciales.</w:t>
      </w:r>
    </w:p>
    <w:p w14:paraId="06D5BA0B" w14:textId="77777777" w:rsidR="009D7677" w:rsidRDefault="009D7677" w:rsidP="009D7677">
      <w:pPr>
        <w:pStyle w:val="TextoNormal"/>
      </w:pPr>
    </w:p>
    <w:p w14:paraId="7C4AF98B" w14:textId="77777777" w:rsidR="009D7677" w:rsidRDefault="009D7677" w:rsidP="009D7677">
      <w:pPr>
        <w:pStyle w:val="TextoNormal"/>
      </w:pPr>
      <w:r>
        <w:t>c) Habilitación de días y horas, así como fijación de horas de audiencia pública.</w:t>
      </w:r>
    </w:p>
    <w:p w14:paraId="346E0042" w14:textId="77777777" w:rsidR="009D7677" w:rsidRDefault="009D7677" w:rsidP="009D7677">
      <w:pPr>
        <w:pStyle w:val="TextoNormal"/>
      </w:pPr>
    </w:p>
    <w:p w14:paraId="5D88E8D8" w14:textId="77777777" w:rsidR="009D7677" w:rsidRDefault="009D7677" w:rsidP="009D7677">
      <w:pPr>
        <w:pStyle w:val="TextoNormal"/>
      </w:pPr>
      <w:r>
        <w:t>d) Constitución de los órganos judiciales fuera de su sede.</w:t>
      </w:r>
    </w:p>
    <w:p w14:paraId="501FDFE4" w14:textId="77777777" w:rsidR="009D7677" w:rsidRDefault="009D7677" w:rsidP="009D7677">
      <w:pPr>
        <w:pStyle w:val="TextoNormal"/>
      </w:pPr>
    </w:p>
    <w:p w14:paraId="4995849C" w14:textId="77777777" w:rsidR="009D7677" w:rsidRDefault="009D7677" w:rsidP="009D7677">
      <w:pPr>
        <w:pStyle w:val="TextoNormal"/>
      </w:pPr>
      <w:r>
        <w:t>e) Régimen de guardias de los órganos jurisdiccionales.</w:t>
      </w:r>
    </w:p>
    <w:p w14:paraId="7C2E6FBA" w14:textId="77777777" w:rsidR="009D7677" w:rsidRDefault="009D7677" w:rsidP="009D7677">
      <w:pPr>
        <w:pStyle w:val="TextoNormal"/>
      </w:pPr>
    </w:p>
    <w:p w14:paraId="1FD6D219" w14:textId="77777777" w:rsidR="009D7677" w:rsidRDefault="009D7677" w:rsidP="009D7677">
      <w:pPr>
        <w:pStyle w:val="TextoNormal"/>
      </w:pPr>
      <w:r>
        <w:t>f) Organización y gestión de la actuación de los órganos judiciales españoles en materia de cooperación jurisdiccional interna e internacional.</w:t>
      </w:r>
    </w:p>
    <w:p w14:paraId="2A0F90DA" w14:textId="77777777" w:rsidR="009D7677" w:rsidRDefault="009D7677" w:rsidP="009D7677">
      <w:pPr>
        <w:pStyle w:val="TextoNormal"/>
      </w:pPr>
    </w:p>
    <w:p w14:paraId="7733A306" w14:textId="77777777" w:rsidR="009D7677" w:rsidRDefault="009D7677" w:rsidP="009D7677">
      <w:pPr>
        <w:pStyle w:val="TextoNormal"/>
      </w:pPr>
      <w:r>
        <w:t>g) Condiciones accesorias para el ejercicio de los derechos y deberes que conforman el estatuto de jueces y magistrados, así como el régimen jurídico de las asociaciones judicia</w:t>
      </w:r>
      <w:r>
        <w:lastRenderedPageBreak/>
        <w:t>les, sin que tal desarrollo reglamentario pueda suponer innovación o alteración alguna de la regulación legal.</w:t>
      </w:r>
    </w:p>
    <w:p w14:paraId="4F1A9938" w14:textId="77777777" w:rsidR="009D7677" w:rsidRDefault="009D7677" w:rsidP="009D7677">
      <w:pPr>
        <w:pStyle w:val="TextoNormal"/>
      </w:pPr>
    </w:p>
    <w:p w14:paraId="7EBCA4E8" w14:textId="77777777" w:rsidR="009D7677" w:rsidRDefault="009D7677" w:rsidP="009D7677">
      <w:pPr>
        <w:pStyle w:val="TextoNormal"/>
      </w:pPr>
      <w:r>
        <w:t>8. Aprobar la relación de puestos de trabajo del personal funcionario a su servicio.</w:t>
      </w:r>
    </w:p>
    <w:p w14:paraId="358041B2" w14:textId="77777777" w:rsidR="009D7677" w:rsidRDefault="009D7677" w:rsidP="009D7677">
      <w:pPr>
        <w:pStyle w:val="TextoNormal"/>
      </w:pPr>
    </w:p>
    <w:p w14:paraId="03F3A15D" w14:textId="77777777" w:rsidR="009D7677" w:rsidRDefault="009D7677" w:rsidP="009D7677">
      <w:pPr>
        <w:pStyle w:val="TextoNormal"/>
      </w:pPr>
      <w:r>
        <w:t>9. Colaborar con la autoridad de control en materia de protección de datos en el ámbito de la administración de justicia.</w:t>
      </w:r>
    </w:p>
    <w:p w14:paraId="7DA3ECF3" w14:textId="77777777" w:rsidR="009D7677" w:rsidRDefault="009D7677" w:rsidP="009D7677">
      <w:pPr>
        <w:pStyle w:val="TextoNormal"/>
      </w:pPr>
    </w:p>
    <w:p w14:paraId="672324CC" w14:textId="77777777" w:rsidR="009D7677" w:rsidRDefault="009D7677" w:rsidP="009D7677">
      <w:pPr>
        <w:pStyle w:val="TextoNormal"/>
      </w:pPr>
      <w:r>
        <w:t>10. Recibir quejas de los ciudadanos en materias relacionadas con la administración de justicia.</w:t>
      </w:r>
    </w:p>
    <w:p w14:paraId="3887EAF6" w14:textId="77777777" w:rsidR="009D7677" w:rsidRDefault="009D7677" w:rsidP="009D7677">
      <w:pPr>
        <w:pStyle w:val="TextoNormal"/>
      </w:pPr>
    </w:p>
    <w:p w14:paraId="2CA784DC" w14:textId="77777777" w:rsidR="009D7677" w:rsidRDefault="009D7677" w:rsidP="009D7677">
      <w:pPr>
        <w:pStyle w:val="TextoNormal"/>
      </w:pPr>
      <w:r>
        <w:t>11. Elaborar y ejecutar su propio presupuesto, en los términos previstos en la presente ley orgánica.</w:t>
      </w:r>
    </w:p>
    <w:p w14:paraId="7E42ED5B" w14:textId="77777777" w:rsidR="009D7677" w:rsidRDefault="009D7677" w:rsidP="009D7677">
      <w:pPr>
        <w:pStyle w:val="TextoNormal"/>
      </w:pPr>
    </w:p>
    <w:p w14:paraId="2355FED9" w14:textId="77777777" w:rsidR="009D7677" w:rsidRDefault="009D7677" w:rsidP="009D7677">
      <w:pPr>
        <w:pStyle w:val="TextoNormal"/>
      </w:pPr>
      <w:r>
        <w:t>12. Proponer, previa justificación de la necesidad, las medidas de refuerzo que sean precisas en concretos órganos judiciales.</w:t>
      </w:r>
    </w:p>
    <w:p w14:paraId="71A0832C" w14:textId="77777777" w:rsidR="009D7677" w:rsidRDefault="009D7677" w:rsidP="009D7677">
      <w:pPr>
        <w:pStyle w:val="TextoNormal"/>
      </w:pPr>
    </w:p>
    <w:p w14:paraId="4F210EF1" w14:textId="77777777" w:rsidR="009D7677" w:rsidRDefault="009D7677" w:rsidP="009D7677">
      <w:pPr>
        <w:pStyle w:val="TextoNormal"/>
      </w:pPr>
      <w:r>
        <w:t>13. Emitir informe en los expedientes de responsabilidad patrimonial por anormal funcionamiento de la administración de justicia.</w:t>
      </w:r>
    </w:p>
    <w:p w14:paraId="3BBC9CC9" w14:textId="77777777" w:rsidR="009D7677" w:rsidRDefault="009D7677" w:rsidP="009D7677">
      <w:pPr>
        <w:pStyle w:val="TextoNormal"/>
      </w:pPr>
    </w:p>
    <w:p w14:paraId="1CDBEF7E" w14:textId="77777777" w:rsidR="009D7677" w:rsidRDefault="009D7677" w:rsidP="009D7677">
      <w:pPr>
        <w:pStyle w:val="TextoNormal"/>
      </w:pPr>
      <w:r>
        <w:t>14. Recopilar y actualizar los principios de ética judicial y proceder a su divulgación, así como a su promoción con otras entidades y organizaciones judiciales, nacionales o internacionales.</w:t>
      </w:r>
    </w:p>
    <w:p w14:paraId="7FFFE336" w14:textId="77777777" w:rsidR="009D7677" w:rsidRDefault="009D7677" w:rsidP="009D7677">
      <w:pPr>
        <w:pStyle w:val="TextoNormal"/>
      </w:pPr>
    </w:p>
    <w:p w14:paraId="2DE637EF" w14:textId="77777777" w:rsidR="009D7677" w:rsidRDefault="009D7677" w:rsidP="009D7677">
      <w:pPr>
        <w:pStyle w:val="TextoNormal"/>
      </w:pPr>
      <w:r>
        <w:t>15. Elaborar los informes sobre los anteproyectos de ley y disposiciones generales que en virtud de lo dispuesto en el artículo 561 le correspondan.</w:t>
      </w:r>
    </w:p>
    <w:p w14:paraId="3C1C1712" w14:textId="77777777" w:rsidR="009D7677" w:rsidRDefault="009D7677" w:rsidP="009D7677">
      <w:pPr>
        <w:pStyle w:val="TextoNormal"/>
      </w:pPr>
    </w:p>
    <w:p w14:paraId="573EBE26" w14:textId="77777777" w:rsidR="009D7677" w:rsidRDefault="009D7677" w:rsidP="009D7677">
      <w:pPr>
        <w:pStyle w:val="TextoNormal"/>
      </w:pPr>
      <w:r>
        <w:t>2. Sin perjuicio de lo dispuesto en el apartado anterior, el Consejo en funciones podrá realizar aquellas otras actuaciones que sean indispensables para garantizar el funcionamiento ordinario del órgano”.</w:t>
      </w:r>
    </w:p>
    <w:p w14:paraId="492C54A9" w14:textId="77777777" w:rsidR="009D7677" w:rsidRDefault="009D7677" w:rsidP="009D7677">
      <w:pPr>
        <w:pStyle w:val="TextoNormal"/>
      </w:pPr>
    </w:p>
    <w:p w14:paraId="7D2C1430" w14:textId="77777777" w:rsidR="009D7677" w:rsidRDefault="009D7677" w:rsidP="009D7677">
      <w:pPr>
        <w:pStyle w:val="TextoNormal"/>
      </w:pPr>
      <w:r>
        <w:t>“Artículo 59</w:t>
      </w:r>
      <w:r w:rsidRPr="009D7677">
        <w:rPr>
          <w:i/>
        </w:rPr>
        <w:t>8 b</w:t>
      </w:r>
      <w:r>
        <w:t>is.</w:t>
      </w:r>
    </w:p>
    <w:p w14:paraId="2FC79ED3" w14:textId="77777777" w:rsidR="009D7677" w:rsidRDefault="009D7677" w:rsidP="009D7677">
      <w:pPr>
        <w:pStyle w:val="TextoNormal"/>
      </w:pPr>
    </w:p>
    <w:p w14:paraId="1E857132" w14:textId="77777777" w:rsidR="009D7677" w:rsidRDefault="009D7677" w:rsidP="009D7677">
      <w:pPr>
        <w:pStyle w:val="TextoNormal"/>
      </w:pPr>
      <w:r>
        <w:t>Cuando el Consejo General del Poder Judicial se encuentre en funciones, según lo previsto en el artículo 570.2, su Presidencia no podrá acordar el cese del secretario general ni del vicesecretario general del Consejo General del Poder Judicial”.</w:t>
      </w:r>
    </w:p>
    <w:p w14:paraId="3D389120" w14:textId="77777777" w:rsidR="009D7677" w:rsidRDefault="009D7677" w:rsidP="009D7677">
      <w:pPr>
        <w:pStyle w:val="TextoNormal"/>
      </w:pPr>
    </w:p>
    <w:p w14:paraId="7AD9685B" w14:textId="77777777" w:rsidR="009D7677" w:rsidRDefault="009D7677" w:rsidP="009D7677">
      <w:pPr>
        <w:pStyle w:val="TextoNormal"/>
      </w:pPr>
      <w:r>
        <w:t xml:space="preserve">b) Los diputados recurrentes consideran que la totalidad de la norma incurre en inconstitucionalidad formal por defectos en su tramitación parlamentaria, al haberse formalizado fraudulentamente la iniciativa mediante proposición de ley y continuado el procedimiento de aprobación por la vía de urgencia y sin oír a los sectores implicados, lo que conlleva una vulneración del art. 93 RCD y, por derivación, del art. 93 CE, al haberse contravenido el Derecho de la Unión Europea, y del art. 23 CE, por el desconocimiento de los derechos fundamentales al ejercicio del cargo representativo de los parlamentarios conforme a la ley y a la representación política de los ciudadanos. Además, alegan que el artículo único de la norma recurrida infringe materialmente los arts. 122, 165, 167 y 169 CE, en la media en que la limitación de atribuciones que opera produce un menoscabo inconstitucional de las funciones del Consejo, afectando a la independencia y al regular funcionamiento del Poder </w:t>
      </w:r>
      <w:r>
        <w:lastRenderedPageBreak/>
        <w:t xml:space="preserve">Judicial; conlleva una mutación constitucional ajena al procedimiento de reforma previsto por el título X de la Constitución; y pretende modificar el régimen previsto en la Ley Orgánica del Tribunal Constitucional sin su derogación expresa. Finalmente, el apartado dos del artículo único de la Ley Orgánica 4/2021, que introduce el nuevo art. 598 </w:t>
      </w:r>
      <w:r w:rsidRPr="009D7677">
        <w:rPr>
          <w:i/>
        </w:rPr>
        <w:t>bis</w:t>
      </w:r>
      <w:r>
        <w:t xml:space="preserve"> LOPJ, vulnera según los recurrentes el art. 9.3 CE, por constituir una ley singular irrespetuosa de la jurisprudencia constitucional y adolecer de arbitrariedad, al impedir el cese de las personas que actualmente desempeñan los cargos de secretario general y de vicesecretario general en el Consejo.</w:t>
      </w:r>
    </w:p>
    <w:p w14:paraId="77429191" w14:textId="77777777" w:rsidR="009D7677" w:rsidRDefault="009D7677" w:rsidP="009D7677">
      <w:pPr>
        <w:pStyle w:val="TextoNormal"/>
      </w:pPr>
    </w:p>
    <w:p w14:paraId="650FEF4B" w14:textId="26B43D5E" w:rsidR="009D7677" w:rsidRDefault="009D7677" w:rsidP="009D7677">
      <w:pPr>
        <w:pStyle w:val="TextoNormal"/>
      </w:pPr>
      <w:r>
        <w:t>La letrada del Congreso de los Diputados ha presentado alegaciones negando las dos vulneraciones que se imputan a la tramitación parlamentaria de la Ley Orgánica 4/2021, por no existir fraude de ley, ni irregularidad alguna en tal procedimiento asociada a la declaración de urgencia y a la ausencia de determinados informes, particularmente del Consejo General del Poder Judicial. También defiende la constitucionalidad del procedimiento legislativo el abogado del Estado que, además, niega el resto de las vulneraciones constitucionales sustantivas denunciadas en el recurso, cuya íntegra desestimación interesa, haciendo notar la insuficiente argumentación de las quejas planteadas en relación con la oposición de la Ley Orgánica 4/2021 a los arts. 165, 167 y 169 CE, que debieran llevar a la exclusión de estos argumentos del juicio de constitucionalidad.</w:t>
      </w:r>
    </w:p>
    <w:p w14:paraId="66B5851D" w14:textId="77777777" w:rsidR="009D7677" w:rsidRDefault="009D7677" w:rsidP="009D7677">
      <w:pPr>
        <w:pStyle w:val="TextoNormal"/>
      </w:pPr>
    </w:p>
    <w:p w14:paraId="34F81A44" w14:textId="77777777" w:rsidR="009D7677" w:rsidRDefault="009D7677" w:rsidP="009D7677">
      <w:pPr>
        <w:pStyle w:val="TextoNormal"/>
      </w:pPr>
      <w:r w:rsidRPr="009D7677">
        <w:rPr>
          <w:rStyle w:val="NumeroAFNegritaCaracter"/>
        </w:rPr>
        <w:t>2</w:t>
      </w:r>
      <w:r>
        <w:t xml:space="preserve">. </w:t>
      </w:r>
      <w:r w:rsidRPr="009D7677">
        <w:rPr>
          <w:i/>
        </w:rPr>
        <w:t>Delimitación del objeto y sistemática</w:t>
      </w:r>
    </w:p>
    <w:p w14:paraId="0279DA86" w14:textId="77777777" w:rsidR="009D7677" w:rsidRDefault="009D7677" w:rsidP="009D7677">
      <w:pPr>
        <w:pStyle w:val="TextoNormal"/>
      </w:pPr>
    </w:p>
    <w:p w14:paraId="7703850D" w14:textId="77777777" w:rsidR="009D7677" w:rsidRDefault="009D7677" w:rsidP="009D7677">
      <w:pPr>
        <w:pStyle w:val="TextoNormal"/>
      </w:pPr>
      <w:r>
        <w:t>Expuesto el contenido literal de los preceptos impugnados y sintetizadas las posiciones de las partes, es preciso, antes de abordar las cuestiones de fondo, realizar unas consideraciones previas sobre: (a) la proyección sobre el presente pronunciamiento del contenido de la STC 128/2023, de 2 de octubre; y (b) el orden de examen de los motivos de impugnación alegados por los recurrentes y no resueltos por la STC 128/2023, de 2 de octubre.</w:t>
      </w:r>
    </w:p>
    <w:p w14:paraId="6D61EE23" w14:textId="77777777" w:rsidR="009D7677" w:rsidRDefault="009D7677" w:rsidP="009D7677">
      <w:pPr>
        <w:pStyle w:val="TextoNormal"/>
      </w:pPr>
    </w:p>
    <w:p w14:paraId="325804B3" w14:textId="77777777" w:rsidR="009D7677" w:rsidRDefault="009D7677" w:rsidP="009D7677">
      <w:pPr>
        <w:pStyle w:val="TextoNormal"/>
      </w:pPr>
      <w:r>
        <w:t xml:space="preserve">a) </w:t>
      </w:r>
      <w:r w:rsidRPr="009D7677">
        <w:rPr>
          <w:i/>
        </w:rPr>
        <w:t>Proyección sobre el presente pronunciamiento del contenido de la STC 128/2023, de 2 de octubre</w:t>
      </w:r>
    </w:p>
    <w:p w14:paraId="59B5FBC0" w14:textId="77777777" w:rsidR="009D7677" w:rsidRDefault="009D7677" w:rsidP="009D7677">
      <w:pPr>
        <w:pStyle w:val="TextoNormal"/>
      </w:pPr>
    </w:p>
    <w:p w14:paraId="7D0E2070" w14:textId="77777777" w:rsidR="009D7677" w:rsidRDefault="009D7677" w:rsidP="009D7677">
      <w:pPr>
        <w:pStyle w:val="TextoNormal"/>
      </w:pPr>
      <w:r>
        <w:t>El recurso de inconstitucionalidad actual se dirige contra la totalidad de la Ley Orgánica 4/2021, de 29 de marzo, disposición esta que también fue objeto del recurso de inconstitucionalidad núm. 2379-2021, interpuesto a instancia de cincuenta diputados y diputadas del Grupo Parlamentario Vox en el Congreso, y que fue resuelto por el Tribunal en la sentencia 128/2023, aprobada el 2 de octubre de 2023.</w:t>
      </w:r>
    </w:p>
    <w:p w14:paraId="5F8A1770" w14:textId="77777777" w:rsidR="009D7677" w:rsidRDefault="009D7677" w:rsidP="009D7677">
      <w:pPr>
        <w:pStyle w:val="TextoNormal"/>
      </w:pPr>
    </w:p>
    <w:p w14:paraId="08715D59" w14:textId="77777777" w:rsidR="009D7677" w:rsidRDefault="009D7677" w:rsidP="009D7677">
      <w:pPr>
        <w:pStyle w:val="TextoNormal"/>
      </w:pPr>
      <w:r>
        <w:t>La coincidencia entre estos recursos no se refiere solo al objeto normativo de control, sino a buena parte de las alegaciones contenidas en las respectivas demandas de incoación de ambos procesos constitucionales. El recurso de inconstitucionalidad núm. 2379-2021 también denunciaba vicios formales relacionados con la ausencia del informe del Consejo General del Poder Judicial en la tramitación parlamentaria de la proposición de ley, al tiempo que sostenía que la opción de utilizar la iniciativa legislativa parlamentaria, a través de la proposición de ley, incurría en fraude de ley, constituyendo ambas circunstancias vulneraciones directas del art. 23 CE. Por otra parte, también se denunciaron en aquel recurso vicios materiales de inconstitucionalidad de la Ley Orgánica 4/2021, derivados de la creación de un Consejo General del Poder Judicial en funciones sin cobertura constitucio</w:t>
      </w:r>
      <w:r>
        <w:lastRenderedPageBreak/>
        <w:t>nal, siendo además contrario a las previsiones de los arts. 122, 123.2, 124.4, 159.1 y 161.l d) CE.</w:t>
      </w:r>
    </w:p>
    <w:p w14:paraId="049F9806" w14:textId="77777777" w:rsidR="009D7677" w:rsidRDefault="009D7677" w:rsidP="009D7677">
      <w:pPr>
        <w:pStyle w:val="TextoNormal"/>
      </w:pPr>
    </w:p>
    <w:p w14:paraId="572E4F94" w14:textId="77777777" w:rsidR="009D7677" w:rsidRDefault="009D7677" w:rsidP="009D7677">
      <w:pPr>
        <w:pStyle w:val="TextoNormal"/>
      </w:pPr>
      <w:r>
        <w:t xml:space="preserve">La STC 128/2023 desestima la totalidad de los motivos de inconstitucionalidad planteados en el recurso núm. 2379-2021, por lo que muchas de las cuestiones planteadas en la demanda por la que se incoa el presente proceso han sido ya resueltas y nos atendremos al juicio formulado en el pronunciamiento de referencia. En este pronunciamiento, partiendo de la misma doctrina constitucional que sirvió de base a la STC 128/2023, desarrollaremos </w:t>
      </w:r>
      <w:r w:rsidRPr="009D7677">
        <w:rPr>
          <w:i/>
        </w:rPr>
        <w:t>in extenso</w:t>
      </w:r>
      <w:r>
        <w:t xml:space="preserve"> los argumentos precisos para analizar las quejas de inconstitucionalidad que no se habían planteado en el recurso de inconstitucionalidad núm. 2379-2021. Respecto de las cuestiones ya tratadas, expuestas en el párrafo anterior, nos limitaremos a realizar una remisión expresa, más o menos sintética según el caso, al fundamento jurídico de la STC 128/2023 en la que quedó desestimada la vulneración en concreto de que se trate.</w:t>
      </w:r>
    </w:p>
    <w:p w14:paraId="41625DC7" w14:textId="77777777" w:rsidR="009D7677" w:rsidRDefault="009D7677" w:rsidP="009D7677">
      <w:pPr>
        <w:pStyle w:val="TextoNormal"/>
      </w:pPr>
    </w:p>
    <w:p w14:paraId="65E142EE" w14:textId="77777777" w:rsidR="009D7677" w:rsidRDefault="009D7677" w:rsidP="009D7677">
      <w:pPr>
        <w:pStyle w:val="TextoNormal"/>
      </w:pPr>
      <w:r>
        <w:t xml:space="preserve">Así pues, se dará respuesta completa a los argumentos novedosos, conforme al orden de examen que a continuación se indica, teniendo en cuenta que corresponde a este tribunal, en función de las circunstancias concurrentes en cada supuesto concreto sometido a su consideración, determinar el orden del examen de las quejas planteadas [STC 183/2021, de 27 de octubre, FJ 2 C)]. Por lo que hace a las denuncias de inconstitucionalidad formal de la ley, se analizará (i) la eventual vulneración del art. 23.1 CE vinculado a la tramitación por el procedimiento de urgencia de la aprobación de la proposición de ley [FJ 3 a) y b)]; y (ii) la denuncia relativa a la lesión del art. 93 CE por infracción de Derecho de la Unión Europea [FJ 3 c)]. Y en relación con las quejas de inconstitucionalidad material de la norma impugnada, se atenderá: (i) a la imputación de que la reforma legal supone una mutación constitucional contraria al art. 167 CE y, correlativamente, contraria al art. 169 CE por haberse realizado mediando la declaración del estado de alarma (FJ 5); (ii) la vulneración del art. 165 CE, vinculada a las modificaciones de la Ley Orgánica del Tribunal Constitucional (FJ 6); y (iii) la queja, estrictamente vinculada a la revisión del art. 598 </w:t>
      </w:r>
      <w:r w:rsidRPr="009D7677">
        <w:rPr>
          <w:i/>
        </w:rPr>
        <w:t>bis</w:t>
      </w:r>
      <w:r>
        <w:t>, por suponer este una lesión del art. 9.3 CE (FJ 7).</w:t>
      </w:r>
    </w:p>
    <w:p w14:paraId="3DE64818" w14:textId="77777777" w:rsidR="009D7677" w:rsidRDefault="009D7677" w:rsidP="009D7677">
      <w:pPr>
        <w:pStyle w:val="TextoNormal"/>
      </w:pPr>
    </w:p>
    <w:p w14:paraId="370F4556" w14:textId="77777777" w:rsidR="009D7677" w:rsidRDefault="009D7677" w:rsidP="009D7677">
      <w:pPr>
        <w:pStyle w:val="TextoNormal"/>
      </w:pPr>
      <w:r>
        <w:t xml:space="preserve">b) </w:t>
      </w:r>
      <w:r w:rsidRPr="009D7677">
        <w:rPr>
          <w:i/>
        </w:rPr>
        <w:t>Óbices procesales</w:t>
      </w:r>
    </w:p>
    <w:p w14:paraId="4026BBA8" w14:textId="77777777" w:rsidR="009D7677" w:rsidRDefault="009D7677" w:rsidP="009D7677">
      <w:pPr>
        <w:pStyle w:val="TextoNormal"/>
      </w:pPr>
    </w:p>
    <w:p w14:paraId="007FBDD6" w14:textId="77777777" w:rsidR="009D7677" w:rsidRDefault="009D7677" w:rsidP="009D7677">
      <w:pPr>
        <w:pStyle w:val="TextoNormal"/>
      </w:pPr>
      <w:r>
        <w:t xml:space="preserve">Se afirma en la demanda de inconstitucionalidad que la Ley Orgánica 4/2021 vacía de competencias al Consejo General del Poder Judicial, transformando lo dispuesto por el art. 122 CE, por lo que debe entenderse que esta revisión legal lleva a cabo una mutación constitucional constitutiva de una reforma encubierta de la Constitución, lesiva del art. 167 CE. Reforma constitucional que, además, se habría producido estando en vigor el estado de alarma acordado por el Gobierno mediante el Real Decreto 926/2020, de 25 de octubre, lo que resulta contrario a los límites temporales de la reforma constitucional que prevé el art. 169 CE en conexión con el art. 116 CE. Asimismo, consideran los recurrentes que la Ley Orgánica impugnada infringe el art. 165 CE, que establece una reserva regulatoria a favor de la Ley Orgánica del Tribunal Constitucional, en la medida en que modifica esta última al referirse a los legitimados para interponer el conflicto de atribuciones. Por las mismas razones, alegan los recurrentes que es contraria al art. 165 CE la prohibición de la designación de los dos magistrados del Tribunal Constitucional establecidos por la Carta Magna, derivada del </w:t>
      </w:r>
      <w:r w:rsidRPr="009D7677">
        <w:rPr>
          <w:i/>
        </w:rPr>
        <w:t>numerus clausus</w:t>
      </w:r>
      <w:r>
        <w:t xml:space="preserve"> de atribuciones configurado por el art. 57</w:t>
      </w:r>
      <w:r w:rsidRPr="009D7677">
        <w:rPr>
          <w:i/>
        </w:rPr>
        <w:t>0 b</w:t>
      </w:r>
      <w:r>
        <w:t>is LOPJ.</w:t>
      </w:r>
    </w:p>
    <w:p w14:paraId="57D25057" w14:textId="77777777" w:rsidR="009D7677" w:rsidRDefault="009D7677" w:rsidP="009D7677">
      <w:pPr>
        <w:pStyle w:val="TextoNormal"/>
      </w:pPr>
    </w:p>
    <w:p w14:paraId="2FD4FBDA" w14:textId="77777777" w:rsidR="009D7677" w:rsidRDefault="009D7677" w:rsidP="009D7677">
      <w:pPr>
        <w:pStyle w:val="TextoNormal"/>
      </w:pPr>
      <w:r>
        <w:lastRenderedPageBreak/>
        <w:t xml:space="preserve">A criterio de la Abogacía del Estado el juicio de constitucionalidad no debería dar respuesta a ninguna de estas quejas porque los recurrentes no habrían desarrollado una argumentación suficiente al respecto. En un sentido muy próximo, el abogado del Estado en el recurso de inconstitucionalidad núm. 2379-2021 también había defendido la inadmisión </w:t>
      </w:r>
      <w:r w:rsidRPr="009D7677">
        <w:rPr>
          <w:i/>
        </w:rPr>
        <w:t>a limine</w:t>
      </w:r>
      <w:r>
        <w:t xml:space="preserve"> de algunos argumentos de inconstitucionalidad en aquel proceso, pero tal alegación fue rechazada en el fundamento jurídico 2 C) de la STC 128/2023, e idéntica suerte debe correr el óbice denunciado en el proceso que ahora nos ocupa.</w:t>
      </w:r>
    </w:p>
    <w:p w14:paraId="4A7F0A3B" w14:textId="77777777" w:rsidR="009D7677" w:rsidRDefault="009D7677" w:rsidP="009D7677">
      <w:pPr>
        <w:pStyle w:val="TextoNormal"/>
      </w:pPr>
    </w:p>
    <w:p w14:paraId="77C798A1" w14:textId="77777777" w:rsidR="009D7677" w:rsidRDefault="009D7677" w:rsidP="009D7677">
      <w:pPr>
        <w:pStyle w:val="TextoNormal"/>
      </w:pPr>
      <w:r>
        <w:t>Independientemente de la valoración que merezca la extensión de la argumentación desarrollada por los recurrentes, y atendiendo a una consolidada jurisprudencia sobre este particular que se inicia con la STC 11/1981, de 8 de abril, y que perfila y sintetiza la STC 87/2017, de 4 de julio, el Tribunal considera procedente examinar el fondo del asunto, porque los recurrentes han ofrecido argumentos suficientes para ello, por más que su examen de las causas de inconstitucionalidad de la Ley Orgánica 4/2021, en relación con los arts. 165, 167 y 169 CE, no haya sido pormenorizado. El argumento fundamental está claramente expuesto en el escrito de demanda: la regulación contenida en la Ley Orgánica 4/2021 supone, de un lado, una modificación de la Ley Orgánica del Tribunal Constitucional que se opone a una reserva de ley especial que los recurrentes deducen del art. 165 CE, y de otro una reforma constitucional encubierta, por afectar al contenido del art. 122 CE, que traduce una reforma constitucional sin adecuarse al procedimiento (art. 167 CE) y sin respetar los límites temporales impuestos constitucionalmente a la reforma constitucional (art. 169 CE). La presentación de esta tesis es suficiente para que este tribunal considere cumplida la carga de alegar, descartando la existencia del óbice procesal planteado por la Abogacía del Estado.</w:t>
      </w:r>
    </w:p>
    <w:p w14:paraId="49F6289A" w14:textId="77777777" w:rsidR="009D7677" w:rsidRDefault="009D7677" w:rsidP="009D7677">
      <w:pPr>
        <w:pStyle w:val="TextoNormal"/>
      </w:pPr>
    </w:p>
    <w:p w14:paraId="01A2E23D" w14:textId="77777777" w:rsidR="009D7677" w:rsidRDefault="009D7677" w:rsidP="009D7677">
      <w:pPr>
        <w:pStyle w:val="TextoNormal"/>
      </w:pPr>
      <w:r>
        <w:t xml:space="preserve">c) </w:t>
      </w:r>
      <w:r w:rsidRPr="009D7677">
        <w:rPr>
          <w:i/>
        </w:rPr>
        <w:t>Desaparición sobrevenida parcial del objeto del recurso</w:t>
      </w:r>
    </w:p>
    <w:p w14:paraId="57DE4A56" w14:textId="77777777" w:rsidR="009D7677" w:rsidRDefault="009D7677" w:rsidP="009D7677">
      <w:pPr>
        <w:pStyle w:val="TextoNormal"/>
      </w:pPr>
    </w:p>
    <w:p w14:paraId="1D0CCA7A" w14:textId="77777777" w:rsidR="009D7677" w:rsidRDefault="009D7677" w:rsidP="009D7677">
      <w:pPr>
        <w:pStyle w:val="TextoNormal"/>
      </w:pPr>
      <w:r>
        <w:t xml:space="preserve">Tal y como ha sido expuesto en los antecedentes, los recurrentes consideran que es contraria al art. 165 CE la prohibición de designación de los dos magistrados del Tribunal Constitucional por parte del Consejo General del Poder Judicial en funciones. Ahora bien, tal y como se expone en detalle en el fundamento jurídico 2 A) de la STC 128/2023, la reforma introducida en la regulación sometida a juicio de constitucionalidad por la Ley Orgánica 8/2022, de 27 de julio, de modificación de los artículos 570 </w:t>
      </w:r>
      <w:r w:rsidRPr="009D7677">
        <w:rPr>
          <w:i/>
        </w:rPr>
        <w:t>bis</w:t>
      </w:r>
      <w:r>
        <w:t xml:space="preserve"> y 599 de la Ley Orgánica 6/1985, de 1 de julio, del Poder Judicial, afecta de forma directa al objeto del recurso de inconstitucionalidad en el punto concreto al que acabamos de hacer referencia.</w:t>
      </w:r>
    </w:p>
    <w:p w14:paraId="05DDE125" w14:textId="77777777" w:rsidR="009D7677" w:rsidRDefault="009D7677" w:rsidP="009D7677">
      <w:pPr>
        <w:pStyle w:val="TextoNormal"/>
      </w:pPr>
    </w:p>
    <w:p w14:paraId="614042C0" w14:textId="4AF02085" w:rsidR="009D7677" w:rsidRDefault="009D7677" w:rsidP="009D7677">
      <w:pPr>
        <w:pStyle w:val="TextoNormal"/>
      </w:pPr>
      <w:r>
        <w:t>El artículo único de la Ley Orgánica 8/2022 introduce una doble revisión de la Ley Orgánica del Poder Judicial, que recupera para el Consejo en funciones la capacidad de nombramiento de magistrados del Tribunal Constitucional. En la medida en que, en su demanda, los recurrentes denunciaban una lesión autónoma del art. 165 CE por la exclusión de dicha facultad y esta ha sido otorgada al Consejo General del Poder Judicial en funciones por obra del mismo legislador que inicialmente no la previó, este tribunal ya no debe pronunciarse sobre este concreto motivo de impugnación, al carecer de sentido “pronunciarse sobre normas que el mismo legislador ha expulsado ya del ordenamiento de modo total, sin ultraactividad” [STC 128/2023, FJ 2 A) y jurisprudencia allí citada].</w:t>
      </w:r>
    </w:p>
    <w:p w14:paraId="5073081C" w14:textId="77777777" w:rsidR="009D7677" w:rsidRDefault="009D7677" w:rsidP="009D7677">
      <w:pPr>
        <w:pStyle w:val="TextoNormal"/>
      </w:pPr>
    </w:p>
    <w:p w14:paraId="067FECC0" w14:textId="77777777" w:rsidR="009D7677" w:rsidRDefault="009D7677" w:rsidP="009D7677">
      <w:pPr>
        <w:pStyle w:val="TextoNormal"/>
      </w:pPr>
      <w:r w:rsidRPr="009D7677">
        <w:rPr>
          <w:rStyle w:val="NumeroAFNegritaCaracter"/>
        </w:rPr>
        <w:t>3</w:t>
      </w:r>
      <w:r>
        <w:t xml:space="preserve">. </w:t>
      </w:r>
      <w:r w:rsidRPr="009D7677">
        <w:rPr>
          <w:i/>
        </w:rPr>
        <w:t>Impugnación del conjunto de la Ley Orgánica 4/2021 por motivos procedimentales</w:t>
      </w:r>
    </w:p>
    <w:p w14:paraId="41473E0D" w14:textId="77777777" w:rsidR="009D7677" w:rsidRDefault="009D7677" w:rsidP="009D7677">
      <w:pPr>
        <w:pStyle w:val="TextoNormal"/>
      </w:pPr>
    </w:p>
    <w:p w14:paraId="0F25F112" w14:textId="77777777" w:rsidR="009D7677" w:rsidRDefault="009D7677" w:rsidP="009D7677">
      <w:pPr>
        <w:pStyle w:val="TextoNormal"/>
      </w:pPr>
      <w:r>
        <w:lastRenderedPageBreak/>
        <w:t>a) Las censuras de inconstitucionalidad de carácter formal que la demanda atribuye a la Ley Orgánica 4/2021, y que vinculan la lesión del art. 23.1 CE con la omisión del informe del Consejo General del Poder Judicial y el fraude de ley por utilizar la vía de la proposición de ley, han sido desestimadas por la STC 128/2023, con los argumentos que se recogen en su fundamento jurídico 3, y que sintetizamos seguidamente.</w:t>
      </w:r>
    </w:p>
    <w:p w14:paraId="6FA61071" w14:textId="77777777" w:rsidR="009D7677" w:rsidRDefault="009D7677" w:rsidP="009D7677">
      <w:pPr>
        <w:pStyle w:val="TextoNormal"/>
      </w:pPr>
    </w:p>
    <w:p w14:paraId="6D07401E" w14:textId="77777777" w:rsidR="009D7677" w:rsidRDefault="009D7677" w:rsidP="009D7677">
      <w:pPr>
        <w:pStyle w:val="TextoNormal"/>
      </w:pPr>
      <w:r>
        <w:t>Respecto de la primera queja este tribunal ha entendido que carece de relieve jurídico-constitucional la ausencia, durante la tramitación parlamentaria de la proposición de ley, del informe del Consejo General del Poder Judicial contemplado en el art. 561.1 LOPJ, que establece que se someterán a informe del Consejo los anteproyectos de ley que versen sobre modificaciones de la Ley Orgánica del Poder Judicial. Se afirma en la STC 128/2023 que “la discusión sobre la eventual trascendencia constitucional de la omisión del informe del Consejo General del Poder Judicial solo podría suscitarse respecto de los proyectos de ley sometidos por el Consejo de Ministros al Congreso de los Diputados [véanse las SSTC 108/1986, de 29 de julio, FJ 5, aunque a propósito de una normativa distinta a la vigente, y 238/2012, FJ 3 c)], nunca sobre las proposiciones de ley tomadas en consideración por una u otra Cámara, proposiciones cuya tramitación se rige, exclusivamente, por los reglamentos respectivos (art. 89.1 CE), en los que no se prevé informe preceptivo alguno a cargo de otros órganos” [FJ 3 A)]. El hecho de que la Cámara no considerase oportuno pedir informe al Consejo General del Poder Judicial para integrarlo como antecedente en la tramitación legislativa de la iniciativa (a los efectos del art. 124 RCD) tampoco merece objeción alguna en términos jurídicos constitucionales [STC 128/2023, FJ 3 A)].</w:t>
      </w:r>
    </w:p>
    <w:p w14:paraId="39EA2BA6" w14:textId="77777777" w:rsidR="009D7677" w:rsidRDefault="009D7677" w:rsidP="009D7677">
      <w:pPr>
        <w:pStyle w:val="TextoNormal"/>
      </w:pPr>
    </w:p>
    <w:p w14:paraId="529C6DA1" w14:textId="77777777" w:rsidR="009D7677" w:rsidRDefault="009D7677" w:rsidP="009D7677">
      <w:pPr>
        <w:pStyle w:val="TextoNormal"/>
      </w:pPr>
      <w:r>
        <w:t>Respecto del argumento de la demanda referido al uso fraudulento de la proposición de ley, ya se estableció en el fundamento jurídico 3 B) de la STC 128/2023 que esta “alegación no puede prosperar, toda vez que dicha afirmación ‘es expresión de una apreciación política, que en absoluto se compadece con la propia racionalidad de la democracia parlamentaria’ [STC 19/2023, de 22 de marzo, FJ 3 B) c)]”, y ello en la medida en que se sostiene que “no se vulnera el procedimiento legislativo por el hecho de que la norma impugnada tenga su origen en una proposición de ley y no en un proyecto de ley, porque no existe obstáculo alguno en ninguna disposición del bloque de la constitucionalidad, para que la disposición normativa impugnada pudiera tener su origen en una u otra iniciativa legislativa” [STC 128/2023, FJ 3 B)].</w:t>
      </w:r>
    </w:p>
    <w:p w14:paraId="235313A5" w14:textId="77777777" w:rsidR="009D7677" w:rsidRDefault="009D7677" w:rsidP="009D7677">
      <w:pPr>
        <w:pStyle w:val="TextoNormal"/>
      </w:pPr>
    </w:p>
    <w:p w14:paraId="736C93DF" w14:textId="77777777" w:rsidR="009D7677" w:rsidRDefault="009D7677" w:rsidP="009D7677">
      <w:pPr>
        <w:pStyle w:val="TextoNormal"/>
      </w:pPr>
      <w:r>
        <w:t>b) Por lo que hace a la queja relativa a la tramitación por el procedimiento de urgencia de la que sería aprobada finalmente como Ley Orgánica 4/2021, solicitada por los grupos autores de la proposición de ley, ninguna tacha de inconstitucionalidad puede oponerse a la misma.</w:t>
      </w:r>
    </w:p>
    <w:p w14:paraId="50338C6C" w14:textId="77777777" w:rsidR="009D7677" w:rsidRDefault="009D7677" w:rsidP="009D7677">
      <w:pPr>
        <w:pStyle w:val="TextoNormal"/>
      </w:pPr>
    </w:p>
    <w:p w14:paraId="2BB95B5E" w14:textId="77777777" w:rsidR="009D7677" w:rsidRDefault="009D7677" w:rsidP="009D7677">
      <w:pPr>
        <w:pStyle w:val="TextoNormal"/>
      </w:pPr>
      <w:r>
        <w:t xml:space="preserve">La declaración de urgencia ha seguido los cauces previstos en los arts. 93 y 94 del Reglamento del Congreso de los Diputados, cuestión que no resulta controvertida en la demanda de inconstitucionalidad. Y, puesto que el art. 93 RCD dispone que “[a] petición del Gobierno, de dos grupos parlamentarios o de una quinta parte de los diputados, la mesa del Congreso podrá acordar que un asunto se tramite por procedimiento de urgencia”, sin excluir ningún tipo de iniciativa ni de contenido de la norma tramitada, no parece que pueda estar vedada a la reforma de la Ley Orgánica del Poder Judicial, por más que los recurrentes invoquen la interdicción, deducible según la demanda del Derecho de la Unión </w:t>
      </w:r>
      <w:r>
        <w:lastRenderedPageBreak/>
        <w:t>europea, de que toda reforma que afecte al núcleo esencial de la independencia judicial se tramite de manera “acelerada”. No es posible ignorar que, en el ATC 9/2012, de 13 de enero, el Tribunal consideró posible una tramitación de reforma constitucional por vía de urgencia, amparándose en el argumento de que el art. 93 RCD no excluye tal opción.</w:t>
      </w:r>
    </w:p>
    <w:p w14:paraId="027840C1" w14:textId="77777777" w:rsidR="009D7677" w:rsidRDefault="009D7677" w:rsidP="009D7677">
      <w:pPr>
        <w:pStyle w:val="TextoNormal"/>
      </w:pPr>
    </w:p>
    <w:p w14:paraId="0AE07DB0" w14:textId="77777777" w:rsidR="009D7677" w:rsidRDefault="009D7677" w:rsidP="009D7677">
      <w:pPr>
        <w:pStyle w:val="TextoNormal"/>
      </w:pPr>
      <w:r>
        <w:t>Tal y como se argumentó en el fundamento jurídico 4 del ATC 9/2012, el órgano rector de la Cámara no ha de motivar o justificar su decisión, sino adoptarla en función de la solicitud elevada por los sujetos legitimados para ejercerla (art. 93.1 RCD). En el supuesto que ahora nos ocupa, los grupos autores de la proposición de ley orgánica. Ninguna justificación resulta exigible a la mesa sobre las razones de la aceptación de la solicitud, si bien, lo mismo que sucedía en el supuesto tratado en el ATC 9/2012, también aquí han existido razones de fondo para la solicitud que se explican en la propia exposición de motivos de la proposición de ley cuando se refiere al retraso en la renovación de los vocales del Consejo General del Poder Judicial. Finalmente, puede afirmarse que la tramitación urgente no ha impedido a los recurrentes ejercer las facultades que les corresponden como diputados en el procedimiento legislativo, notablemente la facultad de presentación de enmiendas a la totalidad con texto alternativo.</w:t>
      </w:r>
    </w:p>
    <w:p w14:paraId="5060AC85" w14:textId="77777777" w:rsidR="009D7677" w:rsidRDefault="009D7677" w:rsidP="009D7677">
      <w:pPr>
        <w:pStyle w:val="TextoNormal"/>
      </w:pPr>
    </w:p>
    <w:p w14:paraId="5FCB6613" w14:textId="77777777" w:rsidR="009D7677" w:rsidRDefault="009D7677" w:rsidP="009D7677">
      <w:pPr>
        <w:pStyle w:val="TextoNormal"/>
      </w:pPr>
      <w:r>
        <w:t xml:space="preserve">También se denuncia en la demanda que la vulneración del art. 23.2 CE en su vertiente de </w:t>
      </w:r>
      <w:r w:rsidRPr="009D7677">
        <w:rPr>
          <w:i/>
        </w:rPr>
        <w:t>ius in officium</w:t>
      </w:r>
      <w:r>
        <w:t>, conlleva a su vez la del derecho fundamental a la representación política de los ciudadanos. Pero una vez ha sido descartada la lesión del derecho de los diputados a ejercer las funciones representativas con los requisitos que señalan las leyes (art. 23.2 CE), decae correlativamente la queja en relación con el derecho de los ciudadanos a participar en los asuntos públicos a través de sus representantes (art. 23.1 CE).</w:t>
      </w:r>
    </w:p>
    <w:p w14:paraId="3FD6E45C" w14:textId="77777777" w:rsidR="009D7677" w:rsidRDefault="009D7677" w:rsidP="009D7677">
      <w:pPr>
        <w:pStyle w:val="TextoNormal"/>
      </w:pPr>
    </w:p>
    <w:p w14:paraId="056E025F" w14:textId="77777777" w:rsidR="009D7677" w:rsidRDefault="009D7677" w:rsidP="009D7677">
      <w:pPr>
        <w:pStyle w:val="TextoNormal"/>
      </w:pPr>
      <w:r>
        <w:t>c) Por último, la demanda aborda la infracción del art. 93 CE argumentando que el Derecho de la Unión impide que una reforma de la legislación referida al Poder Judicial, como la contenida en la Ley Orgánica 4/2021, se tramite de forma acelerada y sin oír a los sectores implicados, en particular, a las asociaciones profesionales de jueces y magistrados, al Consejo General del Poder Judicial y a la Comisión de Venecia. Se razona en la demanda que tal exigencia deriva del principio de respeto al Estado de Derecho (art. 2 TUE) que se traslada a los jueces y tribunales nacionales (art. 19.1 TUE), y que la tramitación por vía de urgencia y sin dar audiencia a los afectados vulneró el art. 93 RCD y correlativamente el art. 93 CE que impone a las Cortes Generales el deber de garantizar el cumplimiento de los tratados constitutivos de la Unión Europea.</w:t>
      </w:r>
    </w:p>
    <w:p w14:paraId="6E714802" w14:textId="77777777" w:rsidR="009D7677" w:rsidRDefault="009D7677" w:rsidP="009D7677">
      <w:pPr>
        <w:pStyle w:val="TextoNormal"/>
      </w:pPr>
    </w:p>
    <w:p w14:paraId="38469570" w14:textId="77777777" w:rsidR="009D7677" w:rsidRDefault="009D7677" w:rsidP="009D7677">
      <w:pPr>
        <w:pStyle w:val="TextoNormal"/>
      </w:pPr>
      <w:r>
        <w:t>A este respecto, nuestra jurisprudencia sostiene que el Derecho de la Unión Europea no integra en sí mismo el canon de constitucionalidad bajo el que hayan de examinarse las leyes del Estado español (STC 140/2016, de 21 de julio, FJ 5). El art. 93 CE se limita a disponer un procedimiento de autorización formal de determinado tipo de tratados (en este sentido, STC 28/1991, de 14 de febrero, FJ 4), pero la eventual infracción del Derecho de la Unión por una disposición española con rango de ley no entraña necesariamente la contravención directa del art. 93 CE, que no resulta afectado “por la eventual disconformidad en que pueda incurrir la legislación nacional —estatal y autonómica— respecto del ordenamiento comunitario, cuestión esta que escapa al objeto y contenido de esa norma” (STC 28/1991, de 14 de febrero, FJ 4). En línea con este planteamiento de principio, si no es posible, en el marco de atribuciones que corresponden a este tribunal, declarar la conformidad o disconformidad de una normal nacional con el Derecho de la Unión, ni dicha de</w:t>
      </w:r>
      <w:r>
        <w:lastRenderedPageBreak/>
        <w:t>claración podría dar lugar a una vulneración, “por derivación”, del art. 93 CE, todavía menos cabría declarar la conformidad o disconformidad del procedimiento parlamentario de aprobación de una norma nacional con el Derecho de la Unión utilizando como parámetro interpuesto de constitucionalidad de la norma interna el art. 93 CE.</w:t>
      </w:r>
    </w:p>
    <w:p w14:paraId="50996C82" w14:textId="77777777" w:rsidR="009D7677" w:rsidRDefault="009D7677" w:rsidP="009D7677">
      <w:pPr>
        <w:pStyle w:val="TextoNormal"/>
      </w:pPr>
    </w:p>
    <w:p w14:paraId="680379F1" w14:textId="77777777" w:rsidR="009D7677" w:rsidRDefault="009D7677" w:rsidP="009D7677">
      <w:pPr>
        <w:pStyle w:val="TextoNormal"/>
      </w:pPr>
      <w:r>
        <w:t xml:space="preserve">Lo dicho no impide dar respuesta al argumento relativo a que el procedimiento de tramitación de la reforma de la Ley Orgánica del Poder Judicial es lesivo del Derecho de la Unión al atentar contra el principio de independencia judicial (art. 47 CDFUE y art. 19 TUE), porque este principio se contiene también en los arts. 117.1, 124, 127, 136.3, 152 CE y disposición adicional cuarta CE, además de conectar con la garantía procesal prevista en el art. 24.1 CE. Siendo aplicable el art. 47 CDFUE y la noción de independencia formulada por el Tribunal de Justicia de la Unión Europea (por todas, STJUE de 20 de abril de 2021, </w:t>
      </w:r>
      <w:r w:rsidRPr="009D7677">
        <w:rPr>
          <w:i/>
        </w:rPr>
        <w:t>Repubblika c. Il-Prim Ministru</w:t>
      </w:r>
      <w:r>
        <w:t>, asunto C-896/19, §51, y jurisprudencia allí citada) a todos los jueces y tribunales nacionales, porque son jueces del Derecho de la Unión, resulta relevante analizar si el procedimiento legislativo impugnado limita dicha noción de independencia, porque de verificarse tal limitación podría haberse producido asimismo un menoscabo del principio de independencia judicial constitucionalmente reconocido.</w:t>
      </w:r>
    </w:p>
    <w:p w14:paraId="47D44DFE" w14:textId="77777777" w:rsidR="009D7677" w:rsidRDefault="009D7677" w:rsidP="009D7677">
      <w:pPr>
        <w:pStyle w:val="TextoNormal"/>
      </w:pPr>
    </w:p>
    <w:p w14:paraId="03CCA5AF" w14:textId="77777777" w:rsidR="009D7677" w:rsidRDefault="009D7677" w:rsidP="009D7677">
      <w:pPr>
        <w:pStyle w:val="TextoNormal"/>
      </w:pPr>
      <w:r>
        <w:t xml:space="preserve">De los dos elementos básicos del principio de independencia judicial según el Tribunal de Luxemburgo (autonomía e imparcialidad) la demanda invoca la dimensión de autonomía, al cuestionar la capacidad del Poder Legislativo para modificar las funciones del gobierno del Poder Judicial. La autonomía “supone que el órgano en cuestión ejerza sus funciones […] sin estar sometido a ningún vínculo jerárquico o de subordinación respecto a terceros y sin recibir órdenes ni instrucciones de ningún tipo, cualquiera que sea su procedencia, de tal modo que quede protegido de injerencias o presiones externas que puedan hacer peligrar la independencia de sus miembros a la hora de juzgar o que puedan influir en sus decisiones” (por todas STJUE de 19 de noviembre de 2019, </w:t>
      </w:r>
      <w:r w:rsidRPr="009D7677">
        <w:rPr>
          <w:i/>
        </w:rPr>
        <w:t>A.K. c. Krajowa Rada Sądownictwa</w:t>
      </w:r>
      <w:r>
        <w:t xml:space="preserve"> y </w:t>
      </w:r>
      <w:r w:rsidRPr="009D7677">
        <w:rPr>
          <w:i/>
        </w:rPr>
        <w:t>CP y DO c. Sąd Najwyższy</w:t>
      </w:r>
      <w:r>
        <w:t>, asuntos acumulados C-585/18, C-624/18 y C-625/18, § 121).</w:t>
      </w:r>
    </w:p>
    <w:p w14:paraId="6B415181" w14:textId="77777777" w:rsidR="009D7677" w:rsidRDefault="009D7677" w:rsidP="009D7677">
      <w:pPr>
        <w:pStyle w:val="TextoNormal"/>
      </w:pPr>
    </w:p>
    <w:p w14:paraId="57620BF6" w14:textId="77777777" w:rsidR="009D7677" w:rsidRDefault="009D7677" w:rsidP="009D7677">
      <w:pPr>
        <w:pStyle w:val="TextoNormal"/>
      </w:pPr>
      <w:r>
        <w:t xml:space="preserve">Entre los instrumentos de garantía de la independencia, el Tribunal de Justicia de la Unión Europea se refiere a los consejos judiciales, sosteniendo además que la intervención de un consejo judicial, cuando y donde exista, en el contexto de un proceso de nombramiento de los jueces, puede contribuir a objetivar ese proceso (véase STJUE de 19 de noviembre de 2019, </w:t>
      </w:r>
      <w:r w:rsidRPr="009D7677">
        <w:rPr>
          <w:i/>
        </w:rPr>
        <w:t>A.K. c. Krajowa Rada Sądownictwa</w:t>
      </w:r>
      <w:r>
        <w:t xml:space="preserve"> y </w:t>
      </w:r>
      <w:r w:rsidRPr="009D7677">
        <w:rPr>
          <w:i/>
        </w:rPr>
        <w:t>CP y DO c. Sąd Najwyższy</w:t>
      </w:r>
      <w:r>
        <w:t xml:space="preserve">, asuntos acumulados C-585/18, C-624/18 y C-625/18, § 137, y jurisprudencia allí citada). Pero solo contribuye en ese sentido cuando dicho organismo disfruta “él mismo de una independencia suficiente respecto de los poderes Legislativo y Ejecutivo y de la autoridad a la que debe remitir tal propuesta de nombramiento” (STJUE de 19 de noviembre de 2019, </w:t>
      </w:r>
      <w:r w:rsidRPr="009D7677">
        <w:rPr>
          <w:i/>
        </w:rPr>
        <w:t>A.K. c. Krajowa Rada Sądownictwa</w:t>
      </w:r>
      <w:r>
        <w:t xml:space="preserve"> y </w:t>
      </w:r>
      <w:r w:rsidRPr="009D7677">
        <w:rPr>
          <w:i/>
        </w:rPr>
        <w:t>CP y DO c. Sąd Najwyższy</w:t>
      </w:r>
      <w:r>
        <w:t xml:space="preserve">, asuntos acumulados C-585/18, C-624/18 y C-625/18, § 138). A partir de ahí resulta propio a los Estados miembros determinar cómo organizan su administración de justicia dentro del respeto al principio de no regresividad en relación con la garantía de independencia (STJUE de 20 de abril de 2021, </w:t>
      </w:r>
      <w:r w:rsidRPr="009D7677">
        <w:rPr>
          <w:i/>
        </w:rPr>
        <w:t>Repubblika c. Il-Prim Ministru</w:t>
      </w:r>
      <w:r>
        <w:t xml:space="preserve">, asunto C-896/19, § 64) y de la observancia de las obligaciones impuestas por el Derecho de la Unión que se proyectan a las “normas nacionales relativas a los requisitos materiales y a la regulación procesal que rigen la adopción de las decisiones de nombramiento de los jueces y, en su caso, de las normas relativas al </w:t>
      </w:r>
      <w:r>
        <w:lastRenderedPageBreak/>
        <w:t xml:space="preserve">control judicial aplicable en el contexto de tales procedimientos de nombramiento” (STJUE de 2 de marzo de 2021, </w:t>
      </w:r>
      <w:r w:rsidRPr="009D7677">
        <w:rPr>
          <w:i/>
        </w:rPr>
        <w:t>A.B. y otros c. Krajowa Rada Sądownictwa y otros</w:t>
      </w:r>
      <w:r>
        <w:t>, asunto C-824/18, § 68, y jurisprudencia allí citada).</w:t>
      </w:r>
    </w:p>
    <w:p w14:paraId="11FA4ED3" w14:textId="77777777" w:rsidR="009D7677" w:rsidRDefault="009D7677" w:rsidP="009D7677">
      <w:pPr>
        <w:pStyle w:val="TextoNormal"/>
      </w:pPr>
    </w:p>
    <w:p w14:paraId="373E8936" w14:textId="77777777" w:rsidR="009D7677" w:rsidRDefault="009D7677" w:rsidP="009D7677">
      <w:pPr>
        <w:pStyle w:val="TextoNormal"/>
      </w:pPr>
      <w:r>
        <w:t xml:space="preserve">De la jurisprudencia citada no se deduce la exigencia a los Estados miembros de la Unión Europea de un determinado procedimiento legislativo para tramitar reformas legislativas de la administración de justicia o del órgano de gobierno del Poder Judicial. Tampoco que la intervención de los consejos judiciales en ese procedimiento sea preceptiva para garantizar la independencia. De la jurisprudencia del Tribunal de Justicia de la Unión Europea se deriva que las exigencias a las que queda sujeta la tramitación de las normas con rango de ley a nivel nacional vienen íntegramente reguladas por el Derecho interno, igual que las normas que afectan a la organización de la administración de justicia, que es una competencia que los Estados no han cedido en los tratados constitutivos. Así lo viene admitiendo el Tribunal de Justicia cuando afirma que “corresponde a los Estados miembros determinar cómo organizan su administración de justicia” (por todas, STJUE de 24 de junio de 2019, </w:t>
      </w:r>
      <w:r w:rsidRPr="009D7677">
        <w:rPr>
          <w:i/>
        </w:rPr>
        <w:t>Comisión Europea c. Polonia</w:t>
      </w:r>
      <w:r>
        <w:t xml:space="preserve">, asunto C-619/18, § 55). Las Recomendaciones (UE) 2017/1520, de 26 de julio, y 2018/103, de 20 de diciembre, invocadas por los recurrentes, por más que deban inspirar la acción de los Estados, carecen de valor normativo vinculante y de eficacia directa, según reconoce la jurisprudencia del Tribunal de Justicia que declara que “no están destinadas a producir efectos vinculantes y no pueden crear derechos que los particulares puedan invocar ante un juez nacional” (STJUE de 18 de marzo de 2010, </w:t>
      </w:r>
      <w:r w:rsidRPr="009D7677">
        <w:rPr>
          <w:i/>
        </w:rPr>
        <w:t>Rosalba Alassini c. Telecom Italia SpA</w:t>
      </w:r>
      <w:r>
        <w:t xml:space="preserve">, </w:t>
      </w:r>
      <w:r w:rsidRPr="009D7677">
        <w:rPr>
          <w:i/>
        </w:rPr>
        <w:t>Filomena Califano c. Wind SpA</w:t>
      </w:r>
      <w:r>
        <w:t xml:space="preserve">, </w:t>
      </w:r>
      <w:r w:rsidRPr="009D7677">
        <w:rPr>
          <w:i/>
        </w:rPr>
        <w:t>Lucia Anna Giorgia Iacono c. Telecom Italia SpA</w:t>
      </w:r>
      <w:r>
        <w:t xml:space="preserve"> y </w:t>
      </w:r>
      <w:r w:rsidRPr="009D7677">
        <w:rPr>
          <w:i/>
        </w:rPr>
        <w:t>Multiservice Srl c. Telecom Italia SpA</w:t>
      </w:r>
      <w:r>
        <w:t>, asuntos acumulados C-317/08, C-318/08, C-319/08 y C-320/08, § 40, y jurisprudencia que cita). Por último, la invocación de la jurisprudencia del Tribunal de Estrasburgo formulada por los recurrentes (SSTJUE de 24 de junio de 2019, asunto C-619/18; de 2 de marzo de 2021, asunto C-824/18, y de 19 de noviembre de 2019, asuntos acumulados C-585/18, C-624/18 y C-625/18), para defender que la garantía de independencia de los jueces depende de la garantía de independencia del órgano de gobierno caso de existir, es una cuestión que no resulta determinante a los efectos de identificar el incumplimiento de un requisito del procedimiento legislativo como el que nos ocupa.</w:t>
      </w:r>
    </w:p>
    <w:p w14:paraId="514E0633" w14:textId="77777777" w:rsidR="009D7677" w:rsidRDefault="009D7677" w:rsidP="009D7677">
      <w:pPr>
        <w:pStyle w:val="TextoNormal"/>
      </w:pPr>
    </w:p>
    <w:p w14:paraId="57D56F85" w14:textId="77777777" w:rsidR="009D7677" w:rsidRDefault="009D7677" w:rsidP="009D7677">
      <w:pPr>
        <w:pStyle w:val="TextoNormal"/>
      </w:pPr>
      <w:r>
        <w:t>En suma, no habiéndose quebrantado, en el presente supuesto, las normas de procedimiento para la tramitación de la ley cuestionada, tal y como ha sido ya resuelto por la STC 128/2023 y por los apartados b) y c) del presente fundamento jurídico, no puede derivarse del procedimiento legislativo utilizado, ni del modo en que se ha materializado el mismo, una vulneración del principio de independencia judicial impuesto por los arts. 19 TUE y 47 CDFUE del que derive a su vez una infracción constitucional.</w:t>
      </w:r>
    </w:p>
    <w:p w14:paraId="2D806739" w14:textId="77777777" w:rsidR="009D7677" w:rsidRDefault="009D7677" w:rsidP="009D7677">
      <w:pPr>
        <w:pStyle w:val="TextoNormal"/>
      </w:pPr>
    </w:p>
    <w:p w14:paraId="086ADB51" w14:textId="3204C20F" w:rsidR="009D7677" w:rsidRDefault="009D7677" w:rsidP="009D7677">
      <w:pPr>
        <w:pStyle w:val="TextoNormal"/>
      </w:pPr>
      <w:r>
        <w:t>Por tanto, todos los argumentos relativos a la concurrencia de causas de inconstitucionalidad formal de la Ley Orgánica 4/2021 deben ser desestimados.</w:t>
      </w:r>
    </w:p>
    <w:p w14:paraId="34C7697A" w14:textId="77777777" w:rsidR="009D7677" w:rsidRDefault="009D7677" w:rsidP="009D7677">
      <w:pPr>
        <w:pStyle w:val="TextoNormal"/>
      </w:pPr>
    </w:p>
    <w:p w14:paraId="535E4151" w14:textId="77777777" w:rsidR="009D7677" w:rsidRDefault="009D7677" w:rsidP="009D7677">
      <w:pPr>
        <w:pStyle w:val="TextoNormal"/>
      </w:pPr>
      <w:r w:rsidRPr="009D7677">
        <w:rPr>
          <w:rStyle w:val="NumeroAFNegritaCaracter"/>
        </w:rPr>
        <w:t>4</w:t>
      </w:r>
      <w:r>
        <w:t xml:space="preserve">. </w:t>
      </w:r>
      <w:r w:rsidRPr="009D7677">
        <w:rPr>
          <w:i/>
        </w:rPr>
        <w:t>Impugnación de la Ley Orgánica 4/2021 por motivos materiales. Jurisprudencia constitucional precedente</w:t>
      </w:r>
    </w:p>
    <w:p w14:paraId="34F01AC5" w14:textId="77777777" w:rsidR="009D7677" w:rsidRDefault="009D7677" w:rsidP="009D7677">
      <w:pPr>
        <w:pStyle w:val="TextoNormal"/>
      </w:pPr>
    </w:p>
    <w:p w14:paraId="5EC5AB1E" w14:textId="77777777" w:rsidR="009D7677" w:rsidRDefault="009D7677" w:rsidP="009D7677">
      <w:pPr>
        <w:pStyle w:val="TextoNormal"/>
      </w:pPr>
      <w:r>
        <w:t>La demanda atribuye varias tachas de inconstitucionalidad a la creación, por la Ley Orgánica 4/2021, de un Consejo General del Poder Judicial en funciones, al que se recortan potestades esenciales que, entienden los recurrentes, emanan directamente de la Constitu</w:t>
      </w:r>
      <w:r>
        <w:lastRenderedPageBreak/>
        <w:t>ción y son, por esa razón, indisponibles por el legislador. Se argumenta que ello vulnera el art. 122 CE, así como los arts. 165, 167 y 169 CE, planteando la cuestión de los límites impuestos por la Constitución al desarrollo legislativo del art. 122 CE y vinculando la superación de esos límites a una eventual fractura del procedimiento de reforma constitucional y de la reserva a la Ley Orgánica del Tribunal Constitucional de la especialidad en la regulación de los procesos constitucionales.</w:t>
      </w:r>
    </w:p>
    <w:p w14:paraId="761CE419" w14:textId="77777777" w:rsidR="009D7677" w:rsidRDefault="009D7677" w:rsidP="009D7677">
      <w:pPr>
        <w:pStyle w:val="TextoNormal"/>
      </w:pPr>
    </w:p>
    <w:p w14:paraId="1B3760A6" w14:textId="77777777" w:rsidR="009D7677" w:rsidRDefault="009D7677" w:rsidP="009D7677">
      <w:pPr>
        <w:pStyle w:val="TextoNormal"/>
      </w:pPr>
      <w:r>
        <w:t>La respuesta a esta queja, en parte solventada por la STC 128/2023, exige partir de nuestros pronunciamientos previos, que se han referido ya a diferentes aspectos de la regulación del Consejo (SSTC 45/1986, de 17 de abril; 108/1986, de 29 de julio; 105/2000, de 13 de abril; 238/2012, de 13 de diciembre, y 191/2016, de 15 de noviembre) y que han dado respuesta, en particular, a la cuestión de la necesaria intervención del legislador en el establecimiento del régimen jurídico del Consejo General del Poder Judicial, cuestión esta a la que ya se hizo referencia en el fundamento jurídico 4 B) de la STC 128/2023, pero que entendemos necesario reproducir de nuevo.</w:t>
      </w:r>
    </w:p>
    <w:p w14:paraId="6F2DEC99" w14:textId="77777777" w:rsidR="009D7677" w:rsidRDefault="009D7677" w:rsidP="009D7677">
      <w:pPr>
        <w:pStyle w:val="TextoNormal"/>
      </w:pPr>
    </w:p>
    <w:p w14:paraId="17BDA87C" w14:textId="77777777" w:rsidR="009D7677" w:rsidRDefault="009D7677" w:rsidP="009D7677">
      <w:pPr>
        <w:pStyle w:val="TextoNormal"/>
      </w:pPr>
      <w:r>
        <w:t>La falta de concreción constitucional y el necesario desarrollo legislativo de un modelo propio de gobierno del Poder Judicial han llevado a este tribunal a pronunciarse sobre diferentes aspectos de la regulación del Consejo General del Poder Judicial, estableciendo el alcance de las facultades del legislador o, en otras palabras, los límites que de forma implícita o explícita se reconocen a la potestad normativa de desarrollo de las previsiones constitucionales sobre el Consejo. En concreto, a los efectos de este recurso, hemos de atender a los pronunciamientos emitidos en relación con: (a) el sistema de nombramiento y renovación de sus miembros; y (b) las funciones atribuidas al Consejo y su configuración legal.</w:t>
      </w:r>
    </w:p>
    <w:p w14:paraId="1B7AF237" w14:textId="77777777" w:rsidR="009D7677" w:rsidRDefault="009D7677" w:rsidP="009D7677">
      <w:pPr>
        <w:pStyle w:val="TextoNormal"/>
      </w:pPr>
    </w:p>
    <w:p w14:paraId="4CC2996F" w14:textId="77777777" w:rsidR="009D7677" w:rsidRDefault="009D7677" w:rsidP="009D7677">
      <w:pPr>
        <w:pStyle w:val="TextoNormal"/>
      </w:pPr>
      <w:r>
        <w:t>Nuestro examen ha de partir, necesariamente, de dos consideraciones de alcance general y complementarias. Por un lado, el legislador orgánico está condicionado, sin duda, por lo dispuesto en los apartados 2 y 3 del art. 122 CE, “por el respeto, también, a la ‘naturaleza del Consejo’ (STC 108/1986, FJ 12) y por lo que impongan, en general, las demás reglas y principios constitucionales. Pero no pesan sobre él más límites, de modo que bien puede decirse que la vinculación de la ley a la Constitución es, aquí también, de carácter negativo, excluyente de toda transgresión constitucional, pero no impositiva de una sola configuración del órgano, acabada en todos sus extremos (STC 49/2008, de 9 de abril, FJ 16, relativa a la Ley Orgánica del Tribunal Constitucional)” [STC 191/2016, FJ 3 b)]. Por otro lado, también se le ha reconocido al legislador un margen de libertad suficiente “para atender a eventualidades que, por anómalas o atípicas que sean, pueden llegar a verificarse y que no fueron objeto de expresa prevención por la norma fundamental” [STC 191/2016, FJ 8 d)].</w:t>
      </w:r>
    </w:p>
    <w:p w14:paraId="6C82E355" w14:textId="77777777" w:rsidR="009D7677" w:rsidRDefault="009D7677" w:rsidP="009D7677">
      <w:pPr>
        <w:pStyle w:val="TextoNormal"/>
      </w:pPr>
    </w:p>
    <w:p w14:paraId="74015BC2" w14:textId="77777777" w:rsidR="009D7677" w:rsidRDefault="009D7677" w:rsidP="009D7677">
      <w:pPr>
        <w:pStyle w:val="TextoNormal"/>
      </w:pPr>
      <w:r>
        <w:t>a) En cuanto al sistema de nombramiento de los vocales y su renovación tras el cumplimiento del mandato de cinco años (art. 122.3 CE), hemos de destacar que:</w:t>
      </w:r>
    </w:p>
    <w:p w14:paraId="3215E510" w14:textId="77777777" w:rsidR="009D7677" w:rsidRDefault="009D7677" w:rsidP="009D7677">
      <w:pPr>
        <w:pStyle w:val="TextoNormal"/>
      </w:pPr>
    </w:p>
    <w:p w14:paraId="2CE1A4C9" w14:textId="77777777" w:rsidR="009D7677" w:rsidRDefault="009D7677" w:rsidP="009D7677">
      <w:pPr>
        <w:pStyle w:val="TextoNormal"/>
      </w:pPr>
      <w:r>
        <w:t xml:space="preserve">(i) No existe una definición constitucional excluyente del sistema de nombramiento de los vocales del Consejo General del Poder Judicial, siendo posible, dentro del marco constitucional, que la propuesta para su nombramiento proceda en todo o en parte del Congreso y del Senado; y ello porque, en último término, “la posición de los integrantes de un órgano no tiene por qué depender de manera ineludible de quienes sean los encargados de </w:t>
      </w:r>
      <w:r>
        <w:lastRenderedPageBreak/>
        <w:t>su designación sino que deriva de la situación que les otorgue el ordenamiento jurídico. En el caso del Consejo, todos sus vocales, incluidos los que forzosamente han de ser propuestos por las Cámaras y los que lo sean por cualquier otro mecanismo, no están vinculados al órgano proponente, como lo demuestra la prohibición del mandato imperativo (art. 119.2 LOPJ) y la fijación de un plazo determinado de mandato (cinco años), que no coincide con el de las Cámaras y durante los cuales no pueden ser removidos más que en los casos taxativamente determinados en la Ley Orgánica (art. 119.2 citada)” (STC 108/1986, FJ 10, y concordantes); prohibición de mandato imperativo que, en todo caso, es expresión del principio de separación de poderes consagrado por el texto constitucional.</w:t>
      </w:r>
    </w:p>
    <w:p w14:paraId="079B9F55" w14:textId="77777777" w:rsidR="009D7677" w:rsidRDefault="009D7677" w:rsidP="009D7677">
      <w:pPr>
        <w:pStyle w:val="TextoNormal"/>
      </w:pPr>
    </w:p>
    <w:p w14:paraId="383BCA2B" w14:textId="77777777" w:rsidR="009D7677" w:rsidRDefault="009D7677" w:rsidP="009D7677">
      <w:pPr>
        <w:pStyle w:val="TextoNormal"/>
      </w:pPr>
      <w:r>
        <w:t>(ii) En cuanto al modo de renovación del Consejo General del Poder Judicial, si parcial o general, nada dice al respecto el art. 122.3 CE, lo que significa que la renovación en su integridad del Consejo es una opción legítima del legislador orgánico —es, de hecho, la fórmula por la que ha optado el legislador desde el principio—, no siendo inconcebible algún sistema de renovación del órgano por partes [STC 191/2016, FFJJ 7 b) y 8 a)].</w:t>
      </w:r>
    </w:p>
    <w:p w14:paraId="4BA783F5" w14:textId="77777777" w:rsidR="009D7677" w:rsidRDefault="009D7677" w:rsidP="009D7677">
      <w:pPr>
        <w:pStyle w:val="TextoNormal"/>
      </w:pPr>
    </w:p>
    <w:p w14:paraId="17FAA642" w14:textId="77777777" w:rsidR="009D7677" w:rsidRDefault="009D7677" w:rsidP="009D7677">
      <w:pPr>
        <w:pStyle w:val="TextoNormal"/>
      </w:pPr>
      <w:r>
        <w:t>(iii) La renovación íntegra del Consejo General del Poder Judicial presupone o exige una situación de normalidad institucional de la que se derivan dos consecuencias: por una parte, “ambas Cámaras han de proceder a sus propuestas […] con la mayor simultaneidad posible y dentro siempre del respeto del plazo que al efecto prescribe la Ley Orgánica del Poder Judicial”; por otra parte, “de no producirse demoras contrarias a la ley en la propuesta de una de las Cámaras, el mandato de cinco años de los vocales (art. 122.3 CE) deviene, obviamente, mandato colegiado del órgano, y así lo prevé el artículo 568.1: ‘[e]l Consejo General del Poder Judicial se renovará en su totalidad cada cinco años’” [STC 191/2016, FJ 8 a)].</w:t>
      </w:r>
    </w:p>
    <w:p w14:paraId="0B86D1BB" w14:textId="77777777" w:rsidR="009D7677" w:rsidRDefault="009D7677" w:rsidP="009D7677">
      <w:pPr>
        <w:pStyle w:val="TextoNormal"/>
      </w:pPr>
    </w:p>
    <w:p w14:paraId="5F7ACD70" w14:textId="77777777" w:rsidR="009D7677" w:rsidRDefault="009D7677" w:rsidP="009D7677">
      <w:pPr>
        <w:pStyle w:val="TextoNormal"/>
      </w:pPr>
      <w:r>
        <w:t>(iv) No existen objeciones constitucionales a que la Ley Orgánica prevea opciones subsidiarias para la hipótesis de que “debiendo concurrir ambas Cámaras, por separado, a la designación de los vocales cuya propuesta les corresponde, tan solo una de ellas, por los motivos que sean, esté en condiciones de cumplir su cometido”; y eso porque “por mandato del art. 122.3 CE, la propuesta corresponde a cada una de las Cámaras, al Congreso de los Diputados y al Senado, no, pues, al órgano ‘de estructura global’, ‘plural’ o compleja que son las Cortes Generales (SSTC 45/1986, de 17 de abril, FFJJ 2 y 4, y 155/2005, de 9 de junio, FJ 5) ni a estas últimas, obviamente, en sesión conjunta” [STC 191/2016, FJ 8 b)].</w:t>
      </w:r>
    </w:p>
    <w:p w14:paraId="71699C8B" w14:textId="77777777" w:rsidR="009D7677" w:rsidRDefault="009D7677" w:rsidP="009D7677">
      <w:pPr>
        <w:pStyle w:val="TextoNormal"/>
      </w:pPr>
    </w:p>
    <w:p w14:paraId="194B4518" w14:textId="77777777" w:rsidR="009D7677" w:rsidRDefault="009D7677" w:rsidP="009D7677">
      <w:pPr>
        <w:pStyle w:val="TextoNormal"/>
      </w:pPr>
      <w:r>
        <w:t>(v) Del mismo modo, no cabe apreciar objeciones constitucionales a una regulación que prevea que los vocales nombrados como sustitutos de los inicialmente designados —supuesto de nombramiento tardío—, no se mantengan en el cargo más allá del mandato que corresponde al órgano como tal [STC 191/2016, FJ 8 d)].</w:t>
      </w:r>
    </w:p>
    <w:p w14:paraId="4388E1E4" w14:textId="77777777" w:rsidR="009D7677" w:rsidRDefault="009D7677" w:rsidP="009D7677">
      <w:pPr>
        <w:pStyle w:val="TextoNormal"/>
      </w:pPr>
    </w:p>
    <w:p w14:paraId="5DEA9ED6" w14:textId="77777777" w:rsidR="009D7677" w:rsidRDefault="009D7677" w:rsidP="009D7677">
      <w:pPr>
        <w:pStyle w:val="TextoNormal"/>
      </w:pPr>
      <w:r>
        <w:t>b) En relación con las funciones atribuidas al Consejo General del Poder Judicial ex art. 122.2 CE y por el legislador orgánico en el ejercicio de su potestad normativa de desarrollo constitucional, hemos de atender a los siguientes criterios:</w:t>
      </w:r>
    </w:p>
    <w:p w14:paraId="7EA50B18" w14:textId="77777777" w:rsidR="009D7677" w:rsidRDefault="009D7677" w:rsidP="009D7677">
      <w:pPr>
        <w:pStyle w:val="TextoNormal"/>
      </w:pPr>
    </w:p>
    <w:p w14:paraId="107C3906" w14:textId="77777777" w:rsidR="009D7677" w:rsidRDefault="009D7677" w:rsidP="009D7677">
      <w:pPr>
        <w:pStyle w:val="TextoNormal"/>
      </w:pPr>
      <w:r>
        <w:t xml:space="preserve">(i) En la medida en que el Consejo General del Poder Judicial se define, como hemos indicado con anterioridad, por ser una garantía específica de la independencia judicial, a la hora de regular sus funciones, se le deben atribuir necesariamente las “que más pueden </w:t>
      </w:r>
      <w:r>
        <w:lastRenderedPageBreak/>
        <w:t>servir al Gobierno para intentar influir sobre los tribunales: de un lado, el posible favorecimiento de algunos jueces por medio de nombramientos y ascensos; de otra parte, las eventuales molestias y perjuicios que podrían sufrir con la inspección y la imposición de sanciones. La finalidad del Consejo es, pues, privar al Gobierno de esas funciones y transferirlas a un órgano autónomo y separado. Es, desde luego, una solución posible en un Estado de Derecho, aunque, conviene recordarlo frente a ciertas afirmaciones de los recurrentes, no es su consecuencia necesaria ni se encuentra, al menos con relevancia constitucional, en la mayoría de los ordenamientos jurídicos actuales” (STC 108/1986, FJ 7; en términos sustancialmente idénticos se pronuncian las SSTC 105/2000, FJ 4; 238/2012, FJ 8, y 191/2016, FJ 5).</w:t>
      </w:r>
    </w:p>
    <w:p w14:paraId="24DFD862" w14:textId="77777777" w:rsidR="009D7677" w:rsidRDefault="009D7677" w:rsidP="009D7677">
      <w:pPr>
        <w:pStyle w:val="TextoNormal"/>
      </w:pPr>
    </w:p>
    <w:p w14:paraId="14E7630D" w14:textId="77777777" w:rsidR="009D7677" w:rsidRDefault="009D7677" w:rsidP="009D7677">
      <w:pPr>
        <w:pStyle w:val="TextoNormal"/>
      </w:pPr>
      <w:r>
        <w:t>(ii) Fuera del marco de atribuciones que la Constitución confiere al Consejo (art. 122.2 CE), y una vez regulados por la Ley Orgánica del Poder Judicial “la constitución, el funcionamiento y el gobierno de los juzgados y tribunales, así como el estatuto jurídico de los jueces y magistrados de carrera (art. 122.1 CE)”, nada impide que “la misma Ley Orgánica pueda atribuir al Gobierno de la Nación o al Consejo General del Poder Judicial, indistintamente, competencias sobre todas aquellas materias que no afecten a dicho marco de atribuciones, constitucionalmente reservado al Consejo a través de la precisión que haga la LOPJ” (STC 105/2000, FJ 4).</w:t>
      </w:r>
    </w:p>
    <w:p w14:paraId="36196759" w14:textId="77777777" w:rsidR="009D7677" w:rsidRDefault="009D7677" w:rsidP="009D7677">
      <w:pPr>
        <w:pStyle w:val="TextoNormal"/>
      </w:pPr>
    </w:p>
    <w:p w14:paraId="08368880" w14:textId="77777777" w:rsidR="009D7677" w:rsidRDefault="009D7677" w:rsidP="009D7677">
      <w:pPr>
        <w:pStyle w:val="TextoNormal"/>
      </w:pPr>
      <w:r>
        <w:t>(iii) En el ejercicio de estas funciones, es necesario recordar que “la norma fundamental configura el Consejo como una institución ‘no subordinada a los demás poderes públicos’, en general”; por ello, los vocales del Consejo General del Poder Judicial “no están ligados por mandato imperativo alguno ni pueden ser removidos de su cargo por decisión o a impulso de cualquier otro poder público (arts. 581 y 582.1 LOPJ), de tal manera que el Consejo, independiente sin duda del Gobierno, lo es también respecto de las Cortes Generales, sin que entre aquel y estas medie ‘una vinculación de dependencia política’ que el constituyente, como en su día advertimos, también quiso evitar (STC 238/2012, FJ 8, y jurisprudencia allí citada)” (STC 191/2016, FJ 5).</w:t>
      </w:r>
    </w:p>
    <w:p w14:paraId="5D1E1C3C" w14:textId="77777777" w:rsidR="009D7677" w:rsidRDefault="009D7677" w:rsidP="009D7677">
      <w:pPr>
        <w:pStyle w:val="TextoNormal"/>
      </w:pPr>
    </w:p>
    <w:p w14:paraId="67A0CD92" w14:textId="77777777" w:rsidR="009D7677" w:rsidRDefault="009D7677" w:rsidP="009D7677">
      <w:pPr>
        <w:pStyle w:val="TextoNormal"/>
      </w:pPr>
      <w:r>
        <w:t xml:space="preserve">(iv) En relación con la competencia de nombramientos, manifestamos que “garantizaba la independencia del Poder Judicial respecto del Poder Ejecutivo. Por tanto no debe entenderse </w:t>
      </w:r>
      <w:r w:rsidRPr="009D7677">
        <w:rPr>
          <w:i/>
        </w:rPr>
        <w:t>a priori</w:t>
      </w:r>
      <w:r>
        <w:t xml:space="preserve"> que el Poder Legislativo ataque la independencia judicial al cambiar la regulación sobre nombramientos, cuando actúa en ejercicio del mandato constitucional contenido en el art. 122.1 CE de determinar, mediante la Ley Orgánica del Poder Judicial ‘la constitución, funcionamiento y gobierno de los juzgados y tribunales, así como el estatuto jurídico de los jueces y magistrados de carrera, que formarán un cuerpo único’”; y añadimos, que entre las garantías o cautelas orientadas a reforzar la independencia judicial no se encuentra “la prohibición de modificar la legislación relativa al gobierno del Poder Judicial en el momento y en el sentido que el legislador entienda más oportunos, y siempre dentro del respeto a las reglas de contenido material y formal definidas por el bloque de la constitucionalidad” (STC 238/2012, FJ 8).</w:t>
      </w:r>
    </w:p>
    <w:p w14:paraId="264FACEC" w14:textId="77777777" w:rsidR="009D7677" w:rsidRDefault="009D7677" w:rsidP="009D7677">
      <w:pPr>
        <w:pStyle w:val="TextoNormal"/>
      </w:pPr>
    </w:p>
    <w:p w14:paraId="142E8573" w14:textId="07972D64" w:rsidR="009D7677" w:rsidRDefault="009D7677" w:rsidP="009D7677">
      <w:pPr>
        <w:pStyle w:val="TextoNormal"/>
      </w:pPr>
      <w:r>
        <w:t>(v) Igualmente, en el marco de la función de nombramientos, respecto del concreto supuesto de provisión de plazas de nombramiento discrecional en los órganos judiciales, afirmamos que el Consejo General del Poder Judicial “respetará el principio constitucional de interdicción de la arbitrariedad de los poderes públicos (artículo 9.3 CE), el respeto al derecho fundamental de acceso en condiciones de igualdad a las funciones y cargos públi</w:t>
      </w:r>
      <w:r>
        <w:lastRenderedPageBreak/>
        <w:t>cos (artículo 23.2 CE), así como el respeto a los principios de mérito y capacidad que han de inspirar el acceso a la función pública (art. 103.3 CE) y […] el ascenso en la carrera judicial”; más allá de este marco constitucional, “no se puede deducir del texto de la Constitución límite alguno impuesto al legislador orgánico a la hora de configurar el modo concreto en que el Consejo General del Poder Judicial adopta las decisiones relativas a la provisión de plazas de nombramiento discrecional” (STC 238/2012, FJ 7).</w:t>
      </w:r>
    </w:p>
    <w:p w14:paraId="37D17978" w14:textId="77777777" w:rsidR="009D7677" w:rsidRDefault="009D7677" w:rsidP="009D7677">
      <w:pPr>
        <w:pStyle w:val="TextoNormal"/>
      </w:pPr>
    </w:p>
    <w:p w14:paraId="6A4F1D42" w14:textId="77777777" w:rsidR="009D7677" w:rsidRDefault="009D7677" w:rsidP="009D7677">
      <w:pPr>
        <w:pStyle w:val="TextoNormal"/>
      </w:pPr>
      <w:r w:rsidRPr="009D7677">
        <w:rPr>
          <w:rStyle w:val="NumeroAFNegritaCaracter"/>
        </w:rPr>
        <w:t>5</w:t>
      </w:r>
      <w:r>
        <w:t xml:space="preserve">. </w:t>
      </w:r>
      <w:r w:rsidRPr="009D7677">
        <w:rPr>
          <w:i/>
        </w:rPr>
        <w:t>La constitucionalidad del Consejo General del Poder Judicial en funciones: el margen que el art. 122 CE atribuye al legislador democrático</w:t>
      </w:r>
    </w:p>
    <w:p w14:paraId="5B395597" w14:textId="77777777" w:rsidR="009D7677" w:rsidRDefault="009D7677" w:rsidP="009D7677">
      <w:pPr>
        <w:pStyle w:val="TextoNormal"/>
      </w:pPr>
    </w:p>
    <w:p w14:paraId="3418E57D" w14:textId="77777777" w:rsidR="009D7677" w:rsidRDefault="009D7677" w:rsidP="009D7677">
      <w:pPr>
        <w:pStyle w:val="TextoNormal"/>
      </w:pPr>
      <w:r>
        <w:t>Los antecedentes jurisprudenciales citados, que se mantienen incólumes a la hora de resolver las dudas de constitucionalidad planteadas por quienes incoan el presente recurso de inconstitucionalidad, conducen directamente a desestimar la lesión de los arts. 122, 167 y 169 CE asociada a una extralimitación del legislador a la hora de desarrollar la regulación de funciones del Consejo General del Poder Judicial cesante.</w:t>
      </w:r>
    </w:p>
    <w:p w14:paraId="47506DAF" w14:textId="77777777" w:rsidR="009D7677" w:rsidRDefault="009D7677" w:rsidP="009D7677">
      <w:pPr>
        <w:pStyle w:val="TextoNormal"/>
      </w:pPr>
    </w:p>
    <w:p w14:paraId="7623F729" w14:textId="77777777" w:rsidR="009D7677" w:rsidRDefault="009D7677" w:rsidP="009D7677">
      <w:pPr>
        <w:pStyle w:val="TextoNormal"/>
      </w:pPr>
      <w:r>
        <w:t>Partiendo de lo resuelto en la STC 128/2023, podemos establecer lo siguiente:</w:t>
      </w:r>
    </w:p>
    <w:p w14:paraId="5FE47ECB" w14:textId="77777777" w:rsidR="009D7677" w:rsidRDefault="009D7677" w:rsidP="009D7677">
      <w:pPr>
        <w:pStyle w:val="TextoNormal"/>
      </w:pPr>
    </w:p>
    <w:p w14:paraId="36A46CEA" w14:textId="77777777" w:rsidR="009D7677" w:rsidRDefault="009D7677" w:rsidP="009D7677">
      <w:pPr>
        <w:pStyle w:val="TextoNormal"/>
      </w:pPr>
      <w:r>
        <w:t>a) “Al argumento de la ausencia de habilitación constitucional para la creación del Consejo en funciones, de la que se deriva la asunción por el legislador orgánico de un supuesto papel de constituyente, cabe oponer que la Constitución deja al legislador un margen de actuación lo suficientemente amplio como para que sea posible desarrollar de manera extensa el art. 122 CE, sin que ello suponga que el legislador esté asumiendo funciones constituyentes. […] Desde el punto de vista que ahora se examina, no es posible sostener, como hacen los recurrentes, que el Poder Legislativo, al cumplir el mandato constitucional, actúe como Poder Constituyente al regular un órgano constitucional cuya configuración está predeterminada por la Constitución, precisamente porque no existe tal predeterminación” [STC 128/2023, FJ 4 C) a)].</w:t>
      </w:r>
    </w:p>
    <w:p w14:paraId="742986E7" w14:textId="77777777" w:rsidR="009D7677" w:rsidRDefault="009D7677" w:rsidP="009D7677">
      <w:pPr>
        <w:pStyle w:val="TextoNormal"/>
      </w:pPr>
    </w:p>
    <w:p w14:paraId="2F840C8C" w14:textId="77777777" w:rsidR="009D7677" w:rsidRDefault="009D7677" w:rsidP="009D7677">
      <w:pPr>
        <w:pStyle w:val="TextoNormal"/>
      </w:pPr>
      <w:r>
        <w:t>De esta consideración deducimos el argumento necesario para descartar la eventual lesión del art. 167 CE. Una vez se rechaza que el legislador esté actuando como Poder Constituyente al aprobar la Ley Orgánica 4/2021, la conclusión automática es que la actividad legislativa impugnada no puede definirse como mutación constitucional, porque no se deriva de la ley un cambio sustancial implícito de un hipotético modelo de gobierno judicial que ni siquiera viene cerrado en el texto constitucional.</w:t>
      </w:r>
    </w:p>
    <w:p w14:paraId="3C02CE3C" w14:textId="77777777" w:rsidR="009D7677" w:rsidRDefault="009D7677" w:rsidP="009D7677">
      <w:pPr>
        <w:pStyle w:val="TextoNormal"/>
      </w:pPr>
    </w:p>
    <w:p w14:paraId="2387C173" w14:textId="77777777" w:rsidR="009D7677" w:rsidRDefault="009D7677" w:rsidP="009D7677">
      <w:pPr>
        <w:pStyle w:val="TextoNormal"/>
      </w:pPr>
      <w:r>
        <w:t>También se decía en el fundamento jurídico 4 C) a) de la STC 128/2023, que “[l]a Constitución únicamente determina, de forma clara y unívoca, que la duración del mandato de los vocales del Consejo es de cinco años, periodo en el que están en el pleno ejercicio de sus atribuciones. Lo que el texto constitucional no prevé, en ningún caso, es una prórroga indeterminada o indefinida de dicho mandato. Es, por ello, que transcurrido el plazo de cinco años, sin que se haya producido la debida renovación, nada se opone a que el legislador orgánico pueda establecer el régimen jurídico del Consejo en funciones, en los términos que considere adecuados a una situación extraordinaria o de anormalidad institucional, siempre y cuando garantice la gestión del aparato administrativo del Poder Judicial”.</w:t>
      </w:r>
    </w:p>
    <w:p w14:paraId="09C24EE5" w14:textId="77777777" w:rsidR="009D7677" w:rsidRDefault="009D7677" w:rsidP="009D7677">
      <w:pPr>
        <w:pStyle w:val="TextoNormal"/>
      </w:pPr>
    </w:p>
    <w:p w14:paraId="46D70108" w14:textId="77777777" w:rsidR="009D7677" w:rsidRDefault="009D7677" w:rsidP="009D7677">
      <w:pPr>
        <w:pStyle w:val="TextoNormal"/>
      </w:pPr>
      <w:r>
        <w:lastRenderedPageBreak/>
        <w:t>Por tanto, no puede sostenerse que exista una reforma constitucional implícita no tramitada por el procedimiento constitucionalmente previsto en el art. 167 CE, sencillamente porque no se identifica en la Ley Orgánica ninguna alteración de la dicción literal del art. 122 CE, precepto que no contiene una expresa previsión constitucional para la regulación del Consejo en funciones. Falta de previsión que no se traduce, como se dijo también en la STC 128/2023, en una “objeción jurídico-constitucional para que el legislador prevea un régimen excepcional de funcionamiento del Consejo en aquellos supuestos en que las Cámaras no hayan cumplido su deber constitucional de nombrar a los nuevos vocales, pasado el mandato de cinco años que la Constitución prevé para este órgano constitucional en el art. 122.3 [en el mismo sentido, STC 191/2016, FJ 8 d)] y, de este modo, favorecer su renovación” [FJ 4 C) a)].</w:t>
      </w:r>
    </w:p>
    <w:p w14:paraId="1C9338CE" w14:textId="77777777" w:rsidR="009D7677" w:rsidRDefault="009D7677" w:rsidP="009D7677">
      <w:pPr>
        <w:pStyle w:val="TextoNormal"/>
      </w:pPr>
    </w:p>
    <w:p w14:paraId="1294CB21" w14:textId="77777777" w:rsidR="009D7677" w:rsidRDefault="009D7677" w:rsidP="009D7677">
      <w:pPr>
        <w:pStyle w:val="TextoNormal"/>
      </w:pPr>
      <w:r>
        <w:t>Rechazado el alegato relativo a la vulneración del art. 167 CE, decae también el argumento concerniente a la infracción del art. 169 CE, que establece que “[n]o podrá iniciarse la reforma constitucional en tiempo de guerra o de vigencia de alguno de los estados previstos en el artículo 116”. En tanto que la Ley Orgánica 4/2021 no ha supuesto en su tramitación el impulso de ninguna reforma constitucional, ni explícita ni implícita, no resulta pertinente analizar si han sido respetados los límites temporales a la reforma que fija el art. 169 CE.</w:t>
      </w:r>
    </w:p>
    <w:p w14:paraId="75F70C8B" w14:textId="77777777" w:rsidR="009D7677" w:rsidRDefault="009D7677" w:rsidP="009D7677">
      <w:pPr>
        <w:pStyle w:val="TextoNormal"/>
      </w:pPr>
    </w:p>
    <w:p w14:paraId="4A960095" w14:textId="77777777" w:rsidR="009D7677" w:rsidRDefault="009D7677" w:rsidP="009D7677">
      <w:pPr>
        <w:pStyle w:val="TextoNormal"/>
      </w:pPr>
      <w:r>
        <w:t>b) “El art. 122 CE no establece un elenco definido y cerrado de las funciones del Consejo General del Poder Judicial, siendo prueba de ello la ampliación progresiva, en la mayoría de las sucesivas reformas de la Ley Orgánica del Poder Judicial, de sus competencias funcionales. […] [E]l legislador dispone de margen de libertad ‘para atender a eventualidades que, por anómalas o atípicas que sean, pueden llegar a verificarse y que no fueron objeto de expresa prevención por la norma fundamental’ y nada hay que objetar, en términos jurídico-constitucionales, a una opción legislativa que busque paliar, con vocación de transitoriedad, los efectos de una eventual anomalía, como es la debida renovación una vez expirado el plazo de cinco años [STC 191/2016, FJ 8 d)]. […]</w:t>
      </w:r>
    </w:p>
    <w:p w14:paraId="7F1101E1" w14:textId="77777777" w:rsidR="009D7677" w:rsidRDefault="009D7677" w:rsidP="009D7677">
      <w:pPr>
        <w:pStyle w:val="TextoNormal"/>
      </w:pPr>
    </w:p>
    <w:p w14:paraId="6A7E35FA" w14:textId="77777777" w:rsidR="009D7677" w:rsidRDefault="009D7677" w:rsidP="009D7677">
      <w:pPr>
        <w:pStyle w:val="TextoNormal"/>
      </w:pPr>
      <w:r>
        <w:t>De acuerdo con lo expuesto, el Consejo General del Poder Judicial en funciones debe poder desarrollar las atribuciones que constitucionalmente le correspondan, pero sometidas a límites estrictos que eviten que este órgano, en situación de prórroga por la concurrencia de una circunstancia de anomalía institucional, comprometa la capacidad de decisión futura del gobierno del Poder Judicial, allí donde las decisiones a adoptar tengan un alto grado de discrecionalidad y un bajo contenido de mera gestión administrativa.</w:t>
      </w:r>
    </w:p>
    <w:p w14:paraId="4D76C4AC" w14:textId="77777777" w:rsidR="009D7677" w:rsidRDefault="009D7677" w:rsidP="009D7677">
      <w:pPr>
        <w:pStyle w:val="TextoNormal"/>
      </w:pPr>
    </w:p>
    <w:p w14:paraId="36C68330" w14:textId="77777777" w:rsidR="009D7677" w:rsidRDefault="009D7677" w:rsidP="009D7677">
      <w:pPr>
        <w:pStyle w:val="TextoNormal"/>
      </w:pPr>
      <w:r>
        <w:t>Esta configuración del Consejo General del Poder Judicial en funciones en nada afecta a su papel de garante de la independencia judicial, ni coloca al órgano de gobierno del Poder Judicial en una posición de subordinación respecto del Poder Legislativo” [STC 128/2023, FJ 4 C) b)].</w:t>
      </w:r>
    </w:p>
    <w:p w14:paraId="3941C7B5" w14:textId="77777777" w:rsidR="009D7677" w:rsidRDefault="009D7677" w:rsidP="009D7677">
      <w:pPr>
        <w:pStyle w:val="TextoNormal"/>
      </w:pPr>
    </w:p>
    <w:p w14:paraId="09D7A388" w14:textId="77777777" w:rsidR="009D7677" w:rsidRDefault="009D7677" w:rsidP="009D7677">
      <w:pPr>
        <w:pStyle w:val="TextoNormal"/>
      </w:pPr>
      <w:r>
        <w:t xml:space="preserve">c) “[E]ste tribunal considera que se ha de reconocer al legislador orgánico la potestad normativa necesaria para desarrollar las funciones propias del Consejo General del Poder Judicial, e incluso para establecer un régimen excepcional aplicable transitoriamente una vez que expira el mandato constitucional de cinco años, única previsión clara e inequívoca del art. 122.3 CE, sin que ese reconocimiento suponga vulneración alguna del art. 122.2 </w:t>
      </w:r>
      <w:r>
        <w:lastRenderedPageBreak/>
        <w:t>CE, ni suponga atribuir facultades constituyentes al legislador democrático” [STC 128/2023, FJ 4 C) c)].</w:t>
      </w:r>
    </w:p>
    <w:p w14:paraId="6969736D" w14:textId="77777777" w:rsidR="009D7677" w:rsidRDefault="009D7677" w:rsidP="009D7677">
      <w:pPr>
        <w:pStyle w:val="TextoNormal"/>
      </w:pPr>
    </w:p>
    <w:p w14:paraId="4AEC884A" w14:textId="26B4E6EC" w:rsidR="009D7677" w:rsidRDefault="009D7677" w:rsidP="009D7677">
      <w:pPr>
        <w:pStyle w:val="TextoNormal"/>
      </w:pPr>
      <w:r>
        <w:t>Las afirmaciones precedentes llevan, en idéntico sentido al resuelto por la STC 128/2023, a desestimar el argumento de que la Ley Orgánica 4/2021 resulta contraria al art. 122 CE y, adicionalmente, a negar asimismo la infracción de lo dispuesto en los arts. 167 y 169 CE.</w:t>
      </w:r>
    </w:p>
    <w:p w14:paraId="2F820BC2" w14:textId="77777777" w:rsidR="009D7677" w:rsidRDefault="009D7677" w:rsidP="009D7677">
      <w:pPr>
        <w:pStyle w:val="TextoNormal"/>
      </w:pPr>
    </w:p>
    <w:p w14:paraId="1E126C50" w14:textId="77777777" w:rsidR="009D7677" w:rsidRDefault="009D7677" w:rsidP="009D7677">
      <w:pPr>
        <w:pStyle w:val="TextoNormal"/>
      </w:pPr>
      <w:r w:rsidRPr="009D7677">
        <w:rPr>
          <w:rStyle w:val="NumeroAFNegritaCaracter"/>
        </w:rPr>
        <w:t>6</w:t>
      </w:r>
      <w:r>
        <w:t xml:space="preserve">. </w:t>
      </w:r>
      <w:r w:rsidRPr="009D7677">
        <w:rPr>
          <w:i/>
        </w:rPr>
        <w:t>La vulneración del art. 165 CE</w:t>
      </w:r>
    </w:p>
    <w:p w14:paraId="6A93F776" w14:textId="77777777" w:rsidR="009D7677" w:rsidRDefault="009D7677" w:rsidP="009D7677">
      <w:pPr>
        <w:pStyle w:val="TextoNormal"/>
      </w:pPr>
    </w:p>
    <w:p w14:paraId="50FC2D20" w14:textId="77777777" w:rsidR="009D7677" w:rsidRDefault="009D7677" w:rsidP="009D7677">
      <w:pPr>
        <w:pStyle w:val="TextoNormal"/>
      </w:pPr>
      <w:r>
        <w:t xml:space="preserve">La demanda invoca una tacha de inconstitucionalidad dirigida contra el nuevo art. 570 </w:t>
      </w:r>
      <w:r w:rsidRPr="009D7677">
        <w:rPr>
          <w:i/>
        </w:rPr>
        <w:t>bis</w:t>
      </w:r>
      <w:r>
        <w:t xml:space="preserve"> LOPJ, por la supresión o restricción funcional del Consejo en relación con la facultad de interponer conflicto de atribuciones ante el Tribunal Constitucional. Si en el recurso de inconstitucionalidad núm. 2379-2021 los recurrentes entendían que esta previsión resultaba lesiva del art. 161.l d) CE, en la demanda por la que se incoa el presente procedimiento de control de constitucionalidad el precepto que se invoca como parámetro de control es el art. 165 CE, que establece que “(u)na ley orgánica regulará el funcionamiento del Tribunal Constitucional, el estatuto de sus miembros, el procedimiento ante el mismo y las condiciones para el ejercicio de las acciones”. Se sostiene en la demanda que es única y exclusivamente la Ley Orgánica del Tribunal Constitucional la norma habilitada para regular los procesos constitucionales.</w:t>
      </w:r>
    </w:p>
    <w:p w14:paraId="6809ACB3" w14:textId="77777777" w:rsidR="009D7677" w:rsidRDefault="009D7677" w:rsidP="009D7677">
      <w:pPr>
        <w:pStyle w:val="TextoNormal"/>
      </w:pPr>
    </w:p>
    <w:p w14:paraId="32E2F6D8" w14:textId="77777777" w:rsidR="009D7677" w:rsidRDefault="009D7677" w:rsidP="009D7677">
      <w:pPr>
        <w:pStyle w:val="TextoNormal"/>
      </w:pPr>
      <w:r>
        <w:t>Para resolver la cuestión planteada hemos de partir de la afirmación, contenida en el fundamento jurídico 5 b) de la STC 128/2023, de que “no es una función directamente atribuida por la Constitución al Consejo General del Poder Judicial aquella de la que deriva su legitimación para interponer un conflicto de atribuciones ante la jurisdicción constitucional, porque esta legitimación es una facultad surgida del mero reconocimiento legal que formula la Ley Orgánica del Tribunal Constitucional en su art. 59.1 c), no teniendo un reflejo constitucional expreso”. Por tanto, según lo establecido en nuestro anterior pronunciamiento, se reconoce que es el legislador quien tiene la facultad de regular los elementos básicos del proceso constitucional. Pero esto no significa que tal regulación deba contenerse de forma completa y exhaustiva en la Ley Orgánica del Tribunal Constitucional, porque no se identifica en el art. 165 CE una reserva excluyente por razón de la especialidad de la ley a favor de la Ley Orgánica del Tribunal Constitucional, gracias a lo cual otras leyes orgánicas han complementado la regulación de distintos procesos constitucionales. Sin ir más lejos, el art. 8.1 de la Ley Orgánica 2/1982, de 12 de mayo, del Tribunal de Cuentas, establece que “(l)os conflictos que se susciten sobre las competencias o atribuciones del Tribunal de Cuentas serán resueltos por el Tribunal Constitucional”; y los arts. 49.3 y 4 y 114 de la Ley Orgánica 5/1985, de 19 de junio, del régimen electoral general, prevén unos plazos y sistema de subsidiariedad específicos para la tramitación de los recursos de amparo contra la proclamación de candidatos a las convocatorias electorales, y contra la proclamación de electos tras la celebración de elecciones.</w:t>
      </w:r>
    </w:p>
    <w:p w14:paraId="3D6534DB" w14:textId="77777777" w:rsidR="009D7677" w:rsidRDefault="009D7677" w:rsidP="009D7677">
      <w:pPr>
        <w:pStyle w:val="TextoNormal"/>
      </w:pPr>
    </w:p>
    <w:p w14:paraId="08294076" w14:textId="77777777" w:rsidR="009D7677" w:rsidRDefault="009D7677" w:rsidP="009D7677">
      <w:pPr>
        <w:pStyle w:val="TextoNormal"/>
      </w:pPr>
      <w:r>
        <w:t xml:space="preserve">En la STC 215/2016, de 15 de diciembre, afirmamos, citando el fundamento jurídico 4 d) de la STC 118/2016, de 23 de junio, que el modelo de jurisdicción constitucional diseñado por el constituyente, no es un modelo cerrado o petrificado, resultando expresiva de este diseño “la reserva de ley orgánica del art. 165 CE, ‘cuya amplitud y vocación de plenitud hemos destacado como manifestación de la estrecha relación que existe entre la </w:t>
      </w:r>
      <w:r>
        <w:lastRenderedPageBreak/>
        <w:t>Norma Suprema y la Ley Orgánica del Tribunal Constitucional’” [STC 215/2016, FJ 6 a)]. Pues bien, la amplitud de la reserva de ley orgánica excluye una interpretación de la misma que impida al legislador orgánico completar la dicción literal de la Ley Orgánica del Tribunal Constitucional con previsiones complementarias contenidas en otras leyes orgánicas, que permitan definir uno o más elementos constitutivos de los procesos constitucionales. Si bien lo ideal, por razones de coherencia, sistemática y buena técnica legislativa es evitar la dispersión normativa y abordar la reforma de los procedimientos a través de la revisión del texto de la Ley Orgánica del Tribunal Constitucional, no puede derivarse de esa preferencia un juicio de inconstitucionalidad en el caso de que la opción del legislador orgánico sea otra. Es constante la posición jurisprudencial que sostiene que el juicio de constitucionalidad que corresponde a este tribunal “‘no lo es de técnica legislativa’ [SSTC 109/1987, de 29 de junio, FJ 3 c), y 195/1996, de 28 de noviembre, FJ 4], ni de ‘perfección técnica de las leyes’ (SSTC 226/1993, de 8 de julio, FJ 4), pues nuestro control ‘nada tiene que ver con su depuración técnica’ (SSTC 226/1993, de 8 de julio, FJ 5, y 195/1996, de 28 de noviembre, FJ 4)” (por todas, STC 136/2011, de 13 de septiembre, FJ 3, y 126/2021, de 3 de junio, FJ 6).</w:t>
      </w:r>
    </w:p>
    <w:p w14:paraId="14EE14A9" w14:textId="77777777" w:rsidR="009D7677" w:rsidRDefault="009D7677" w:rsidP="009D7677">
      <w:pPr>
        <w:pStyle w:val="TextoNormal"/>
      </w:pPr>
    </w:p>
    <w:p w14:paraId="330BDCD6" w14:textId="3DA81245" w:rsidR="009D7677" w:rsidRDefault="009D7677" w:rsidP="009D7677">
      <w:pPr>
        <w:pStyle w:val="TextoNormal"/>
      </w:pPr>
      <w:r>
        <w:t>Por tanto, cabe desestimar el argumento de que la Ley Orgánica 4/2021, en cuanto limita la potestad del Consejo General del Poder Judicial en funciones para plantear conflicto de atribuciones ante el Tribunal Constitucional, vulnera la reserva de ley orgánica prevista en el art. 165 CE.</w:t>
      </w:r>
    </w:p>
    <w:p w14:paraId="4E1EFD6C" w14:textId="77777777" w:rsidR="009D7677" w:rsidRDefault="009D7677" w:rsidP="009D7677">
      <w:pPr>
        <w:pStyle w:val="TextoNormal"/>
      </w:pPr>
    </w:p>
    <w:p w14:paraId="1B28FB52" w14:textId="77777777" w:rsidR="009D7677" w:rsidRDefault="009D7677" w:rsidP="009D7677">
      <w:pPr>
        <w:pStyle w:val="TextoNormal"/>
      </w:pPr>
      <w:r w:rsidRPr="009D7677">
        <w:rPr>
          <w:rStyle w:val="NumeroAFNegritaCaracter"/>
        </w:rPr>
        <w:t>7</w:t>
      </w:r>
      <w:r>
        <w:t xml:space="preserve">. </w:t>
      </w:r>
      <w:r w:rsidRPr="009D7677">
        <w:rPr>
          <w:i/>
        </w:rPr>
        <w:t>La vulneración de la interdicción de leyes singulares (</w:t>
      </w:r>
      <w:r>
        <w:t>ex</w:t>
      </w:r>
      <w:r w:rsidRPr="009D7677">
        <w:rPr>
          <w:i/>
        </w:rPr>
        <w:t xml:space="preserve"> art. 9.3 CE) por parte del art. 598</w:t>
      </w:r>
      <w:r>
        <w:t xml:space="preserve"> bis </w:t>
      </w:r>
      <w:r w:rsidRPr="009D7677">
        <w:rPr>
          <w:i/>
        </w:rPr>
        <w:t>LOPJ</w:t>
      </w:r>
    </w:p>
    <w:p w14:paraId="02A7F935" w14:textId="77777777" w:rsidR="009D7677" w:rsidRDefault="009D7677" w:rsidP="009D7677">
      <w:pPr>
        <w:pStyle w:val="TextoNormal"/>
      </w:pPr>
    </w:p>
    <w:p w14:paraId="04B2BC06" w14:textId="77777777" w:rsidR="009D7677" w:rsidRDefault="009D7677" w:rsidP="009D7677">
      <w:pPr>
        <w:pStyle w:val="TextoNormal"/>
      </w:pPr>
      <w:r>
        <w:t xml:space="preserve">En último término los recurrentes denuncian que el apartado segundo del artículo único, al introducir el nuevo art. 598 </w:t>
      </w:r>
      <w:r w:rsidRPr="009D7677">
        <w:rPr>
          <w:i/>
        </w:rPr>
        <w:t>bis</w:t>
      </w:r>
      <w:r>
        <w:t xml:space="preserve"> LOPJ, vulnera el art. 9.3 CE en la medida en que este prohíbe las leyes singulares y la arbitrariedad en la actuación de los poderes públicos. Este nuevo precepto establece que cuando el Consejo General del Poder Judicial se encuentre en funciones no puede acordar el cese del secretario general ni del vicesecretario general del Consejo, y la demanda considera esta limitación de funciones contraria las previsiones del art. 9.3 CE previamente reseñadas. Para resolver la impugnación planteada resulta necesario determinar, con carácter previo, cuál es la verdadera naturaleza del precepto impugnado, que los recurrentes califican de ley singular o de caso único y autoaplicativa, que entienden dirigida únicamente a impedir el cese de las personas que actualmente desempeñan los cargos de secretario general y de vicesecretario general.</w:t>
      </w:r>
    </w:p>
    <w:p w14:paraId="5BC33D27" w14:textId="77777777" w:rsidR="009D7677" w:rsidRDefault="009D7677" w:rsidP="009D7677">
      <w:pPr>
        <w:pStyle w:val="TextoNormal"/>
      </w:pPr>
    </w:p>
    <w:p w14:paraId="0F69063A" w14:textId="77777777" w:rsidR="009D7677" w:rsidRDefault="009D7677" w:rsidP="009D7677">
      <w:pPr>
        <w:pStyle w:val="TextoNormal"/>
      </w:pPr>
      <w:r>
        <w:t xml:space="preserve">Venimos definiendo en nuestra doctrina las leyes singulares como “[a]quellas dictadas en atención a un supuesto de hecho concreto y singular, que agotan su contenido y eficacia en la adopción y ejecución de la medida tomada por el legislador ante ese supuesto de hecho, aislado en la Ley singular y no comunicable con ningún otro” (SSTC 129/2013, FJ 4, y 166/1986, de 19 de diciembre, FJ 10), de modo que “una ley que no fuera de destinatario único, ni autoaplicativa, adolece de tal naturaleza si ha sido dictada en atención a un supuesto de hecho concreto, esto es, a una situación singular o excepcional” (STC 50/2015, de 5 de marzo, FJ 3, y 203/2013, FJ 3). Pues bien, en el presente supuesto, de la simple lectura del nuevo art. 598 </w:t>
      </w:r>
      <w:r w:rsidRPr="009D7677">
        <w:rPr>
          <w:i/>
        </w:rPr>
        <w:t>bis</w:t>
      </w:r>
      <w:r>
        <w:t xml:space="preserve"> se desprende, inequívocamente, que este precepto no constituye una ley singular dado que va dirigido a aplicarse en todos los supuestos en los que el </w:t>
      </w:r>
      <w:r>
        <w:lastRenderedPageBreak/>
        <w:t>Consejo esté en funciones, y no únicamente a impedir el cese de los actuales secretario general y vicesecretario general del Consejo General del Poder Judicial.</w:t>
      </w:r>
    </w:p>
    <w:p w14:paraId="3EDBD16A" w14:textId="77777777" w:rsidR="009D7677" w:rsidRDefault="009D7677" w:rsidP="009D7677">
      <w:pPr>
        <w:pStyle w:val="TextoNormal"/>
      </w:pPr>
    </w:p>
    <w:p w14:paraId="3D072079" w14:textId="4C3F6287" w:rsidR="009D7677" w:rsidRDefault="009D7677" w:rsidP="009D7677">
      <w:pPr>
        <w:pStyle w:val="TextoNormal"/>
      </w:pPr>
      <w:r>
        <w:t>Por lo tanto, constatado que no estamos frente a una ley singular o de caso único y autoaplicativa, decae la totalidad de la argumentación sostenida por los recurrentes, por lo que procede rechazar este último motivo de inconstitucionalidad alegado.</w:t>
      </w:r>
    </w:p>
    <w:p w14:paraId="27EF72C4" w14:textId="77777777" w:rsidR="009D7677" w:rsidRDefault="009D7677" w:rsidP="009D7677">
      <w:pPr>
        <w:pStyle w:val="TextoNormal"/>
      </w:pPr>
    </w:p>
    <w:p w14:paraId="48773F7A" w14:textId="77777777" w:rsidR="009D7677" w:rsidRDefault="009D7677" w:rsidP="009D7677">
      <w:pPr>
        <w:pStyle w:val="TextoNormal"/>
      </w:pPr>
      <w:r w:rsidRPr="009D7677">
        <w:rPr>
          <w:rStyle w:val="NumeroAFNegritaCaracter"/>
        </w:rPr>
        <w:t>8</w:t>
      </w:r>
      <w:r>
        <w:t xml:space="preserve">. </w:t>
      </w:r>
      <w:r w:rsidRPr="009D7677">
        <w:rPr>
          <w:i/>
        </w:rPr>
        <w:t>Conclusión</w:t>
      </w:r>
    </w:p>
    <w:p w14:paraId="06A58FA5" w14:textId="77777777" w:rsidR="009D7677" w:rsidRDefault="009D7677" w:rsidP="009D7677">
      <w:pPr>
        <w:pStyle w:val="TextoNormal"/>
      </w:pPr>
    </w:p>
    <w:p w14:paraId="696843D2" w14:textId="587C6B8C" w:rsidR="009D7677" w:rsidRDefault="009D7677" w:rsidP="009D7677">
      <w:pPr>
        <w:pStyle w:val="TextoNormal"/>
      </w:pPr>
      <w:r>
        <w:t xml:space="preserve">Este tribunal considera, por las razones anteriormente expuestas, que la norma objeto del presente recurso no incurre en ninguna de las tachas de inconstitucionalidad denunciadas por los recurrentes. En primer lugar, la tramitación parlamentaria de la Ley Orgánica 4/2021 no ha conculcado ni el art. 23 CE, ni el art. 93 CE, ni ningún otro de los preceptos invocados por los demandantes al formular el motivo de impugnación. En segundo lugar, y tal y como ya dijimos en el fundamento jurídico 6 de la STC 128/2023, “el establecimiento de un régimen jurídico específico del Consejo General del Poder Judicial en funciones no tiene otra finalidad que dar respuesta a una eventual anomalía: el incumplimiento del mandato constitucional de renovar cada cinco años los vocales del órgano de gobierno del Poder Judicial. A tales efectos, se ha de reconocer al legislador orgánico la potestad normativa necesaria, no solo para desarrollar las funciones propias del Consejo, sino incluso para establecer un régimen excepcional aplicable transitoriamente una vez que expira el mandato constitucional de cinco años, única previsión clara e inequívoca del art. 122.3 CE”, sin que de ese reconocimiento se pueda derivar vulneración alguna de los arts. 122.2, 167 y 169 CE, ni suponga atribuir facultades constituyentes al legislador. Tampoco resulta vulnerado el art. 9.3 CE, por cuanto el art. 598 </w:t>
      </w:r>
      <w:r w:rsidRPr="009D7677">
        <w:rPr>
          <w:i/>
        </w:rPr>
        <w:t>bis</w:t>
      </w:r>
      <w:r>
        <w:t xml:space="preserve"> LOPJ no puede ser calificado como ley autoaplicativa o de caso único. Y, por último, tampoco identificamos lesión alguna del art. 165 CE, porque no puede proclamarse una reserva de ley orgánica específica y excluyente a favor de la Ley Orgánica del Tribunal Constitucional.</w:t>
      </w:r>
    </w:p>
    <w:p w14:paraId="28DA4632" w14:textId="77777777" w:rsidR="009D7677" w:rsidRDefault="009D7677" w:rsidP="009D7677">
      <w:pPr>
        <w:pStyle w:val="TextoNormal"/>
      </w:pPr>
    </w:p>
    <w:p w14:paraId="2E799097" w14:textId="77777777" w:rsidR="009D7677" w:rsidRDefault="009D7677" w:rsidP="009D7677">
      <w:pPr>
        <w:pStyle w:val="TextoNormalCentrado"/>
        <w:keepNext/>
      </w:pPr>
      <w:r>
        <w:t>FALLO</w:t>
      </w:r>
    </w:p>
    <w:p w14:paraId="689E70E5" w14:textId="215E01D8" w:rsidR="009D7677" w:rsidRDefault="009D7677" w:rsidP="009D7677">
      <w:pPr>
        <w:pStyle w:val="TextoNormalCentrado"/>
        <w:keepNext/>
      </w:pPr>
    </w:p>
    <w:p w14:paraId="1474FCF3" w14:textId="04A13FBC" w:rsidR="009D7677" w:rsidRDefault="009D7677" w:rsidP="009D7677">
      <w:pPr>
        <w:pStyle w:val="TextoNormal"/>
      </w:pPr>
      <w:r>
        <w:t>En atención a todo lo expuesto, el Tribunal Constitucional, por la autoridad que le confiere la Constitución de la Nación española, ha decidido desestimar el recurso de inconstitucionalidad promovido por más de cincuenta diputados del Grupo Parlamentario Popular en el Congreso de los Diputados, contra la Ley Orgánica 4/2021, de 29 de marzo, por la que se modifica la Ley Orgánica 6/1985, de 1 de julio, del Poder Judicial, para el establecimiento del régimen jurídico aplicable al Consejo General del Poder Judicial en funciones.</w:t>
      </w:r>
    </w:p>
    <w:p w14:paraId="39B0D24D" w14:textId="77777777" w:rsidR="009D7677" w:rsidRDefault="009D7677" w:rsidP="009D7677">
      <w:pPr>
        <w:pStyle w:val="TextoNormal"/>
      </w:pPr>
    </w:p>
    <w:p w14:paraId="2F6C657A" w14:textId="77777777" w:rsidR="009D7677" w:rsidRDefault="009D7677" w:rsidP="009D7677">
      <w:pPr>
        <w:pStyle w:val="TextoNormal"/>
      </w:pPr>
      <w:r>
        <w:t>Publíquese esta sentencia en el “Boletín Oficial del Estado”.</w:t>
      </w:r>
    </w:p>
    <w:p w14:paraId="2D6BF37F" w14:textId="77777777" w:rsidR="009D7677" w:rsidRDefault="009D7677" w:rsidP="009D7677">
      <w:pPr>
        <w:pStyle w:val="TextoNormal"/>
      </w:pPr>
      <w:r>
        <w:t>Dada en Madrid, a treinta de enero de dos mil veinticuatro.</w:t>
      </w:r>
    </w:p>
    <w:p w14:paraId="143491C9" w14:textId="6C7DB3E9" w:rsidR="009D7677" w:rsidRDefault="009D7677" w:rsidP="009D7677">
      <w:pPr>
        <w:pStyle w:val="ParrafoNormal"/>
      </w:pPr>
    </w:p>
    <w:p w14:paraId="3DC9BCBE" w14:textId="77777777" w:rsidR="009D7677" w:rsidRDefault="009D7677" w:rsidP="009D7677">
      <w:pPr>
        <w:pStyle w:val="TextoNormalNegritaCentrado"/>
        <w:keepNext/>
      </w:pPr>
      <w:r>
        <w:lastRenderedPageBreak/>
        <w:t>Voto particular que formulan los magistrados don Ricardo Enríquez Sancho y don César Tolosa Tribiño a la sentencia del Pleno del Tribunal que resuelve el recurso de inconstitucionalidad núm. 3101-2021</w:t>
      </w:r>
    </w:p>
    <w:p w14:paraId="3881E22E" w14:textId="69CECE35" w:rsidR="009D7677" w:rsidRDefault="009D7677" w:rsidP="009D7677">
      <w:pPr>
        <w:pStyle w:val="TextoNormalNegritaCentrado"/>
        <w:keepNext/>
      </w:pPr>
    </w:p>
    <w:p w14:paraId="01D115BC" w14:textId="77777777" w:rsidR="009D7677" w:rsidRDefault="009D7677" w:rsidP="009D7677">
      <w:pPr>
        <w:pStyle w:val="TextoNormal"/>
      </w:pPr>
      <w:r>
        <w:t>En el ejercicio de la facultad que nos confiere el art. 90.2 de la Ley Orgánica del Tribunal Constitucional, y con respeto a la opinión de los magistrados y las magistradas que han conformado la mayoría del Pleno, formulamos el presente voto particular por discrepar de la fundamentación y del fallo de la sentencia recaída en el recurso de inconstitucionalidad, el cual a nuestro juicio debió ser estimado, declarando la inconstitucionalidad y consiguiente nulidad del artículo único de la Ley Orgánica 4/2021, de 29 de marzo, por la que se modifica la Ley Orgánica 6/1985, de 1 de julio, del Poder Judicial, para el establecimiento del régimen jurídico aplicable al Consejo General del Poder Judicial en funciones.</w:t>
      </w:r>
    </w:p>
    <w:p w14:paraId="7DA2CACB" w14:textId="77777777" w:rsidR="009D7677" w:rsidRDefault="009D7677" w:rsidP="009D7677">
      <w:pPr>
        <w:pStyle w:val="TextoNormal"/>
      </w:pPr>
    </w:p>
    <w:p w14:paraId="44D906E2" w14:textId="77777777" w:rsidR="009D7677" w:rsidRDefault="009D7677" w:rsidP="009D7677">
      <w:pPr>
        <w:pStyle w:val="TextoNormal"/>
      </w:pPr>
      <w:r>
        <w:t>Las razones de nuestra discrepancia han quedado detalladamente expuestas en el voto particular formulado a la STC 128/2023, de 2 de octubre, que resolvió un recurso de inconstitucionalidad sustancialmente idéntico al presente, al que por tanto nos remitimos.</w:t>
      </w:r>
    </w:p>
    <w:p w14:paraId="2D5D9242" w14:textId="77777777" w:rsidR="009D7677" w:rsidRDefault="009D7677" w:rsidP="009D7677">
      <w:pPr>
        <w:pStyle w:val="TextoNormal"/>
      </w:pPr>
    </w:p>
    <w:p w14:paraId="2947DB4E" w14:textId="77777777" w:rsidR="009D7677" w:rsidRDefault="009D7677" w:rsidP="009D7677">
      <w:pPr>
        <w:pStyle w:val="TextoNormal"/>
      </w:pPr>
      <w:r>
        <w:t>Y en tal sentido emitimos nuestro voto particular.</w:t>
      </w:r>
    </w:p>
    <w:p w14:paraId="70773D55" w14:textId="77777777" w:rsidR="009D7677" w:rsidRDefault="009D7677" w:rsidP="009D7677">
      <w:pPr>
        <w:pStyle w:val="TextoNormal"/>
      </w:pPr>
    </w:p>
    <w:p w14:paraId="2E9DAA32" w14:textId="2978C6C3" w:rsidR="009D7677" w:rsidRDefault="009D7677" w:rsidP="009D7677">
      <w:pPr>
        <w:pStyle w:val="TextoNormal"/>
      </w:pPr>
      <w:r>
        <w:t>Madrid, a treinta de enero de dos mil veinticuatro.</w:t>
      </w:r>
    </w:p>
    <w:p w14:paraId="2B53ADF0" w14:textId="77777777" w:rsidR="009D7677" w:rsidRDefault="009D7677" w:rsidP="009D7677">
      <w:pPr>
        <w:pStyle w:val="TextoNormal"/>
      </w:pPr>
    </w:p>
    <w:p w14:paraId="090012A5" w14:textId="77777777" w:rsidR="009D7677" w:rsidRDefault="009D7677" w:rsidP="009D7677">
      <w:pPr>
        <w:pStyle w:val="TextoNormalNegritaCentrado"/>
        <w:keepNext/>
      </w:pPr>
      <w:r>
        <w:t>Voto particular que formulan el magistrado don Enrique Arnaldo Alcubilla y la magistrada doña Concepción Espejel Jorquera a la sentencia del Pleno del Tribunal que resuelve el recurso de inconstitucionalidad núm. 3101-2021</w:t>
      </w:r>
    </w:p>
    <w:p w14:paraId="166740CF" w14:textId="122DFAED" w:rsidR="009D7677" w:rsidRDefault="009D7677" w:rsidP="009D7677">
      <w:pPr>
        <w:pStyle w:val="TextoNormalNegritaCentrado"/>
        <w:keepNext/>
      </w:pPr>
    </w:p>
    <w:p w14:paraId="44286F69" w14:textId="77777777" w:rsidR="009D7677" w:rsidRDefault="009D7677" w:rsidP="009D7677">
      <w:pPr>
        <w:pStyle w:val="TextoNormal"/>
      </w:pPr>
      <w:r>
        <w:t>En el ejercicio de la facultad que nos confiere el artículo 90.2 de la Ley Orgánica del Tribunal Constitucional, y con respeto a la opinión de los magistrados y las magistradas que han conformado la mayoría del Pleno, formulamos el presente voto particular para expresar nuestra discrepancia con la fundamentación y el fallo de la sentencia recaída en el presente recurso de inconstitucionalidad, que a nuestro entender debió ser estimado, declarando la inconstitucionalidad y consiguiente nulidad del artículo único de la Ley Orgánica 4/2021, de 29 de marzo, por la que se modifica la Ley Orgánica 6/1985, de 1 de julio, del Poder Judicial, para el establecimiento del régimen jurídico aplicable al Consejo General del Poder Judicial en funciones.</w:t>
      </w:r>
    </w:p>
    <w:p w14:paraId="624AD2DF" w14:textId="77777777" w:rsidR="009D7677" w:rsidRDefault="009D7677" w:rsidP="009D7677">
      <w:pPr>
        <w:pStyle w:val="TextoNormal"/>
      </w:pPr>
    </w:p>
    <w:p w14:paraId="6FB935F3" w14:textId="77777777" w:rsidR="009D7677" w:rsidRDefault="009D7677" w:rsidP="009D7677">
      <w:pPr>
        <w:pStyle w:val="TextoNormal"/>
      </w:pPr>
      <w:r>
        <w:t xml:space="preserve">1. </w:t>
      </w:r>
      <w:r w:rsidRPr="009D7677">
        <w:rPr>
          <w:i/>
        </w:rPr>
        <w:t>Cuestiones previas</w:t>
      </w:r>
    </w:p>
    <w:p w14:paraId="4F777528" w14:textId="77777777" w:rsidR="009D7677" w:rsidRDefault="009D7677" w:rsidP="009D7677">
      <w:pPr>
        <w:pStyle w:val="TextoNormal"/>
      </w:pPr>
    </w:p>
    <w:p w14:paraId="1F6E74D5" w14:textId="77777777" w:rsidR="009D7677" w:rsidRDefault="009D7677" w:rsidP="009D7677">
      <w:pPr>
        <w:pStyle w:val="TextoNormal"/>
      </w:pPr>
      <w:r>
        <w:t xml:space="preserve">1.1. </w:t>
      </w:r>
      <w:r w:rsidRPr="009D7677">
        <w:rPr>
          <w:i/>
        </w:rPr>
        <w:t>Remisión al voto particular formulado a la STC 128/2023, de 2 de octubre</w:t>
      </w:r>
    </w:p>
    <w:p w14:paraId="5F92F8F6" w14:textId="77777777" w:rsidR="009D7677" w:rsidRDefault="009D7677" w:rsidP="009D7677">
      <w:pPr>
        <w:pStyle w:val="TextoNormal"/>
      </w:pPr>
    </w:p>
    <w:p w14:paraId="4AB21DF1" w14:textId="77777777" w:rsidR="009D7677" w:rsidRDefault="009D7677" w:rsidP="009D7677">
      <w:pPr>
        <w:pStyle w:val="TextoNormal"/>
      </w:pPr>
      <w:r>
        <w:t>Las razones principales de nuestra discrepancia con la sentencia que resuelve este recurso de inconstitucionalidad son las expresadas en el voto particular que suscribimos junto a los magistrados don Ricardo Enríquez Sancho y don César Tolosa Tribiño a la STC 128/2023, de 2 de octubre, que desestimó el recurso de inconstitucionalidad interpuesto por cincuenta diputados del Grupo Parlamentario Vox contra la Ley Orgánica 4/2021, de 29 de marzo, con fundamentos en buena medida coincidentes con los esgrimidos contra esa misma ley en el presente recurso, interpuesto por más de cincuenta diputados del Grupo Parlamentario Popular.</w:t>
      </w:r>
    </w:p>
    <w:p w14:paraId="082A9581" w14:textId="77777777" w:rsidR="009D7677" w:rsidRDefault="009D7677" w:rsidP="009D7677">
      <w:pPr>
        <w:pStyle w:val="TextoNormal"/>
      </w:pPr>
    </w:p>
    <w:p w14:paraId="086C490E" w14:textId="77777777" w:rsidR="009D7677" w:rsidRDefault="009D7677" w:rsidP="009D7677">
      <w:pPr>
        <w:pStyle w:val="TextoNormal"/>
      </w:pPr>
      <w:r>
        <w:t>Bastará por ello con remitirnos a lo expuesto en dicho voto particular, en cuanto a las cuestiones ya resueltas en la STC 128/2023 que coinciden con las que se plantean en el presente recurso. La sentencia que ahora se dicta, partiendo de lo decidido en la STC 128/2023, desestima esas quejas coincidentes con la misma fundamentación, que innecesariamente reproduce más o menos extensamente, cuando hubiera sido suficiente con una remisión al concreto fundamento jurídico de dicha sentencia, ciñéndose la que resuelve este recurso a examinar las quejas de inconstitucionalidad dirigidas contra la Ley Orgánica 4/2021 que no se habían planteado en el recurso ya desestimado de los diputados del Grupo Parlamentario Vox.</w:t>
      </w:r>
    </w:p>
    <w:p w14:paraId="2A7AD30B" w14:textId="77777777" w:rsidR="009D7677" w:rsidRDefault="009D7677" w:rsidP="009D7677">
      <w:pPr>
        <w:pStyle w:val="TextoNormal"/>
      </w:pPr>
    </w:p>
    <w:p w14:paraId="49DC480D" w14:textId="77777777" w:rsidR="009D7677" w:rsidRDefault="009D7677" w:rsidP="009D7677">
      <w:pPr>
        <w:pStyle w:val="TextoNormal"/>
      </w:pPr>
      <w:r>
        <w:t>Como queda dicho, respecto de esas tachas de inconstitucionalidad coincidentes en uno y otro recurso, que la actual sentencia desestima en aplicación de lo razonado en la citada STC 128/2023, nos limitaremos a remitirnos al voto particular conjunto formulado a dicha sentencia, sin más que advertir que el fundamento principal de nuestra discrepancia, ahora como entonces, reside en entender que los motivos materiales planteados por los recurrentes debieron estimarse, declarando que la Ley Orgánica 4/2021 vulnera el art. 122.2 CE por haber llevado a cabo una desnaturalización del Consejo General del Poder Judicial cuando está prorrogado por no haber sido renovado en plazo, al privarle de las potestades esenciales atribuidas para el cumplimiento de su cometido constitucional, y afectar a los principios de independencia judicial y separación de poderes. Asimismo, debió declararse que la ley impugnada vulneró los arts. 161.1 d) y 165 CE, en relación con el art. 59.1 c) LOTC, por negar legitimación al llamado Consejo “en funciones” para interponer un conflicto de atribuciones ante el Tribunal Constitucional frente a decisiones o actos de otros órganos constitucionales que supongan una efectiva y actual invasión de sus atribuciones.</w:t>
      </w:r>
    </w:p>
    <w:p w14:paraId="78740F27" w14:textId="77777777" w:rsidR="009D7677" w:rsidRDefault="009D7677" w:rsidP="009D7677">
      <w:pPr>
        <w:pStyle w:val="TextoNormal"/>
      </w:pPr>
    </w:p>
    <w:p w14:paraId="31D9FA61" w14:textId="77777777" w:rsidR="009D7677" w:rsidRDefault="009D7677" w:rsidP="009D7677">
      <w:pPr>
        <w:pStyle w:val="TextoNormal"/>
      </w:pPr>
      <w:r>
        <w:t xml:space="preserve">1.2. </w:t>
      </w:r>
      <w:r w:rsidRPr="009D7677">
        <w:rPr>
          <w:i/>
        </w:rPr>
        <w:t>Sobre la pérdida sobrevenida (parcial) del objeto del recurso</w:t>
      </w:r>
    </w:p>
    <w:p w14:paraId="197813F4" w14:textId="77777777" w:rsidR="009D7677" w:rsidRDefault="009D7677" w:rsidP="009D7677">
      <w:pPr>
        <w:pStyle w:val="TextoNormal"/>
      </w:pPr>
    </w:p>
    <w:p w14:paraId="56AE0D6B" w14:textId="77777777" w:rsidR="009D7677" w:rsidRDefault="009D7677" w:rsidP="009D7677">
      <w:pPr>
        <w:pStyle w:val="TextoNormal"/>
      </w:pPr>
      <w:r>
        <w:t>Se declara en el fundamento jurídico 2 c) de la sentencia la desaparición sobrevenida del objeto del recurso de inconstitucionalidad en relación con la impugnación de la Ley Orgánica 4/2021 basada en que la prohibición de que el Consejo General del Poder Judicial “en funciones” designe los dos magistrados del Tribunal Constitucional incurre en vulneración del art. 165 CE. La razón de esa pérdida parcial del objeto del recurso descansa en la circunstancia sobrevenida de la modificación de la ley impugnada por la Ley Orgánica 8/2022, de 27 de junio, que devolvió al Consejo esa competencia de designación de magistrados constitucionales que la Ley Orgánica 4/2021 le había hurtado, lo que determina, conforme a la conocida doctrina constitucional sobre la pérdida de objeto del recurso de inconstitucionalidad cuando el precepto legal impugnado ha sido ya expulsado por el propio legislador, que la sentencia cita.</w:t>
      </w:r>
    </w:p>
    <w:p w14:paraId="02A0E232" w14:textId="77777777" w:rsidR="009D7677" w:rsidRDefault="009D7677" w:rsidP="009D7677">
      <w:pPr>
        <w:pStyle w:val="TextoNormal"/>
      </w:pPr>
    </w:p>
    <w:p w14:paraId="2DA86364" w14:textId="77777777" w:rsidR="009D7677" w:rsidRDefault="009D7677" w:rsidP="009D7677">
      <w:pPr>
        <w:pStyle w:val="TextoNormal"/>
      </w:pPr>
      <w:r>
        <w:t>Sobre esta reforma legal, que sin duda conforme a nuestra consolidada doctrina sobre la impugnación por motivos sustantivos de un texto legal que resulta modificado o derogado por el legislador durante la pendencia del recurso de inconstitucionalidad determina la pérdida sobrevenida del objeto del recurso en ese punto, habrá ocasión de volver luego. Por ahora nos contentamos con observar que llama poderosamente la atención cómo, sin fundamento jurídico para ello, la mayoría del Pleno aplica una vara de medir diferente en función de los asuntos sometidos al enjuiciamiento de este tribunal.</w:t>
      </w:r>
    </w:p>
    <w:p w14:paraId="1C3E07EF" w14:textId="77777777" w:rsidR="009D7677" w:rsidRDefault="009D7677" w:rsidP="009D7677">
      <w:pPr>
        <w:pStyle w:val="TextoNormal"/>
      </w:pPr>
    </w:p>
    <w:p w14:paraId="74BB7BDA" w14:textId="77777777" w:rsidR="009D7677" w:rsidRDefault="009D7677" w:rsidP="009D7677">
      <w:pPr>
        <w:pStyle w:val="TextoNormal"/>
      </w:pPr>
      <w:r>
        <w:lastRenderedPageBreak/>
        <w:t>En efecto, en este caso, en aplicación de esa conocida doctrina constitucional a la que se hace referencia sucinta en la sentencia, se declara la desaparición sobrevenida del objeto del recurso en cuanto a la alegada infracción del art. 165 CE, mientras que en la STC 44/2023, de 9 de mayo, como pusimos de relieve los magistrados firmantes del voto particular a dicha sentencia, la mayoría, sorprendentemente (o quizás no tanto), decidió que, pese a que la Ley Orgánica 1/2023, de 28 de febrero, modificó (de manera sustancial, además) buena parte de los preceptos de la Ley Orgánica 2/2010 impugnados en el recurso de inconstitucionalidad, ello no determinaba la pérdida de objeto del recurso. La principal razón (la otra razón esgrimida ni siquiera se correspondía con la realidad de lo acontecido) que se dio entonces para tan singular decisión era “que pervive el interés constitucional en el enjuiciamiento sobre los motivos de inconstitucionalidad incluidos en la demanda”, y ello “dado el planteamiento de la demanda y el alcance material de los cambios introducidos”.</w:t>
      </w:r>
    </w:p>
    <w:p w14:paraId="15BC27F6" w14:textId="77777777" w:rsidR="009D7677" w:rsidRDefault="009D7677" w:rsidP="009D7677">
      <w:pPr>
        <w:pStyle w:val="TextoNormal"/>
      </w:pPr>
    </w:p>
    <w:p w14:paraId="6C0FB22B" w14:textId="77777777" w:rsidR="009D7677" w:rsidRDefault="009D7677" w:rsidP="009D7677">
      <w:pPr>
        <w:pStyle w:val="TextoNormal"/>
      </w:pPr>
      <w:r>
        <w:t>Tales argumentos nos parecieron entonces (y nos lo siguen pareciendo) insostenibles. Pero es claro que, en aras de la coherencia, si la mayoría sostuvo entonces la opinión de la “pervivencia del interés constitucional” en que el Tribunal se pronuncie sobre unos preceptos que el legislador ya ha expulsado del ordenamiento, sin ultraactividad, por “el planteamiento” del recurso y “el alcance material” de la reforma legal en cuestión, también en este caso debería haber entendido que el recurso no perdía objeto en cuanto a la impugnación referida a la infracción del art. 165 CE. Lo que no parece admisible es dispensar un distinto tratamiento a los supuestos de impugnación por motivos sustantivos de un texto legal que resulta modificado o derogado por el legislador durante la pendencia del recurso de inconstitucionalidad, desvirtuando así nuestra consolidada doctrina al respecto, en función de no se sabe qué razones (si es que de razones puede propiamente hablarse).</w:t>
      </w:r>
    </w:p>
    <w:p w14:paraId="0CD12CAB" w14:textId="77777777" w:rsidR="009D7677" w:rsidRDefault="009D7677" w:rsidP="009D7677">
      <w:pPr>
        <w:pStyle w:val="TextoNormal"/>
      </w:pPr>
    </w:p>
    <w:p w14:paraId="7A85C803" w14:textId="77777777" w:rsidR="009D7677" w:rsidRDefault="009D7677" w:rsidP="009D7677">
      <w:pPr>
        <w:pStyle w:val="TextoNormal"/>
      </w:pPr>
      <w:r>
        <w:t xml:space="preserve">2. </w:t>
      </w:r>
      <w:r w:rsidRPr="009D7677">
        <w:rPr>
          <w:i/>
        </w:rPr>
        <w:t>Algunas reflexiones sobre la respuesta que la sentencia da a las quejas de los recurrentes de carácter procedimental</w:t>
      </w:r>
    </w:p>
    <w:p w14:paraId="1B187C84" w14:textId="77777777" w:rsidR="009D7677" w:rsidRDefault="009D7677" w:rsidP="009D7677">
      <w:pPr>
        <w:pStyle w:val="TextoNormal"/>
      </w:pPr>
    </w:p>
    <w:p w14:paraId="0EACC718" w14:textId="77777777" w:rsidR="009D7677" w:rsidRDefault="009D7677" w:rsidP="009D7677">
      <w:pPr>
        <w:pStyle w:val="TextoNormal"/>
      </w:pPr>
      <w:r>
        <w:t>La sentencia desestima las quejas de orden procedimental por remisión a lo ya decidido en la STC 128/2023 cuando esas quejas son coincidentes con las planteadas en el recurso resuelto entonces (omisión del informe del Consejo General del Poder Judicial y fraude de ley por utilizar la vía de la proposición de ley y no la del proyecto de ley), y con una argumentación específica cuando se trata de quejas no formuladas en aquel recurso, esto es, la referida a la vulneración del art. 23 CE por la utilización del procedimiento de urgencia y la relativa a la infracción del art. 93 CE, por incumplimiento del Derecho de la Unión Europa en la tramitación de la norma.</w:t>
      </w:r>
    </w:p>
    <w:p w14:paraId="690928C4" w14:textId="77777777" w:rsidR="009D7677" w:rsidRDefault="009D7677" w:rsidP="009D7677">
      <w:pPr>
        <w:pStyle w:val="TextoNormal"/>
      </w:pPr>
    </w:p>
    <w:p w14:paraId="1755D148" w14:textId="77777777" w:rsidR="009D7677" w:rsidRDefault="009D7677" w:rsidP="009D7677">
      <w:pPr>
        <w:pStyle w:val="TextoNormal"/>
      </w:pPr>
      <w:r>
        <w:t>Pues bien, aunque pudieran descartarse las infracciones de los arts. 23 CE y 93 CE que aducen los diputados recurrentes, consideramos que el Tribunal ha desaprovechado la ocasión de advertir al legislador de la necesidad de realizar un uso adecuado de los procedimientos parlamentarios a su disposición en atención al calado de la reforma legal que se pretende abordar, particularmente en lo que atañe al empleo del procedimiento de urgencia, que comporta la radical reducción de los plazos de análisis, estudio y deliberación de una iniciativa legislativa, es decir, un examen compendiado y acelerado de esta. Formas y procedimientos son esenciales, hemos escrito repetidamente los juristas, y aun lo son más cuando hablamos de las formas y procedimientos que conducen a la aprobación de una ley en cuanto esta es la expresión de la voluntad popular, como dice el preámbulo de la Cons</w:t>
      </w:r>
      <w:r>
        <w:lastRenderedPageBreak/>
        <w:t>titución, una voluntad debidamente formada y regida por los principios deliberativo y de transparencia y publicidad.</w:t>
      </w:r>
    </w:p>
    <w:p w14:paraId="0B769FB3" w14:textId="77777777" w:rsidR="009D7677" w:rsidRDefault="009D7677" w:rsidP="009D7677">
      <w:pPr>
        <w:pStyle w:val="TextoNormal"/>
      </w:pPr>
    </w:p>
    <w:p w14:paraId="197FE5D9" w14:textId="77777777" w:rsidR="009D7677" w:rsidRDefault="009D7677" w:rsidP="009D7677">
      <w:pPr>
        <w:pStyle w:val="TextoNormal"/>
      </w:pPr>
      <w:r>
        <w:t>En efecto, por más que, como se afirma en la sentencia, de nuestra doctrina resulte que no se vulnera el procedimiento legislativo por el hecho de que la norma impugnada tenga su origen en una proposición de ley, y no en un proyecto de ley, sería ingenuo pretender desconocer que la opción de acudir a la proposición de ley, a iniciativa de los grupos parlamentarios que sustentaban la coalición gubernamental, para desapoderar al Consejo General del Poder Judicial de sus funciones más relevantes cuando está prorrogado por no haber sido renovado en plazo, tenía el propósito de evitar, como sostienen los recurrentes, que se recabara, entre otros, el informe del propio Consejo, lo que no habría podido eludirse si la iniciativa se hubiera articulado a través de la vía del proyecto de ley, de conformidad con el art. 88 CE y el art. 109 del Reglamento del Congreso de los Diputados (RCD).</w:t>
      </w:r>
    </w:p>
    <w:p w14:paraId="002BEC87" w14:textId="77777777" w:rsidR="009D7677" w:rsidRDefault="009D7677" w:rsidP="009D7677">
      <w:pPr>
        <w:pStyle w:val="TextoNormal"/>
      </w:pPr>
    </w:p>
    <w:p w14:paraId="45828E69" w14:textId="77777777" w:rsidR="009D7677" w:rsidRDefault="009D7677" w:rsidP="009D7677">
      <w:pPr>
        <w:pStyle w:val="TextoNormal"/>
      </w:pPr>
      <w:r>
        <w:t>Se suma a lo anterior que, a solicitud de los grupos parlamentarios autores de la iniciativa (se insiste, los que sostenían en la Cámara a la coalición de Gobierno), la mesa del Congreso acordó la tramitación de la proposición de ley por el procedimiento de urgencia (art. 93 RCD), lo que supone, como efecto principal, la reducción de los plazos previstos en el procedimiento ordinario a la mitad (art. 94 RCD). Ciertamente, el recurso al procedimiento de urgencia, aunque constituya “una decisión de mera oportunidad política” (STC 136/2011, de 13 de septiembre, FJ 10), que no puede entenderse lesiva del derecho garantizado por el art. 23.2 CE (STC 153/2016, de 22 de septiembre, FJ 3), encuentra su verdadera razón de ser en la conveniencia de economizar tiempos y trámites en función de la iniciativa de que se trate. Por eso, resulta de difícil justificación la decisión de acordar la tramitación por el procedimiento de urgencia en supuestos como el presente en el que la reforma legal pretendida es de gran calado constitucional (pues atañe a las funciones que puede desempeñar el Consejo General del Poder Judicial cuando sus miembros han agotado su mandato y no se ha producido la renovación) y está sujeta a una gran controversia, tanto pública como en el propio ámbito parlamentario, donde la oposición interesó, sin éxito, que se recabara el informe del propio Consejo, así como de la Comisión Europea para la Democracia por el Derecho (Comisión de Venecia) y que se diera audiencia a los sectores implicados en la reforma.</w:t>
      </w:r>
    </w:p>
    <w:p w14:paraId="1AA8789E" w14:textId="77777777" w:rsidR="009D7677" w:rsidRDefault="009D7677" w:rsidP="009D7677">
      <w:pPr>
        <w:pStyle w:val="TextoNormal"/>
      </w:pPr>
    </w:p>
    <w:p w14:paraId="67CADA7B" w14:textId="77777777" w:rsidR="009D7677" w:rsidRDefault="009D7677" w:rsidP="009D7677">
      <w:pPr>
        <w:pStyle w:val="TextoNormal"/>
      </w:pPr>
      <w:r>
        <w:t>En esta tesitura, no parece temerario conjeturar que la articulación de la iniciativa por la vía de la proposición de ley, unida a la decisión de tramitarla por el procedimiento de urgencia, pretendía evitar que el Consejo General del Poder Judicial y los sectores afectados fueran oídos en la tramitación parlamentaria de la reforma pretendida y, al propio tiempo, acelerar esa tramitación, frustrando así un debate suficiente en las Cortes Generales sobre esa reforma legislativa afectante nada menos que a un órgano constitucional como es el Consejo General del Poder Judicial.</w:t>
      </w:r>
    </w:p>
    <w:p w14:paraId="046795B2" w14:textId="77777777" w:rsidR="009D7677" w:rsidRDefault="009D7677" w:rsidP="009D7677">
      <w:pPr>
        <w:pStyle w:val="TextoNormal"/>
      </w:pPr>
    </w:p>
    <w:p w14:paraId="3FE18B7E" w14:textId="77777777" w:rsidR="009D7677" w:rsidRDefault="009D7677" w:rsidP="009D7677">
      <w:pPr>
        <w:pStyle w:val="TextoNormal"/>
      </w:pPr>
      <w:r>
        <w:t xml:space="preserve">No puede olvidarse que, aunque la decisión final que dé lugar a la ley quede en manos de la mayoría parlamentaria, en el procedimiento de formación de la voluntad de las Cámaras debe quedar plenamente garantizado el derecho de la minoría a la integridad del debate parlamentario, una integridad que se pone en entredicho cuando, en una reforma legal tan relevante como la que dio lugar a la aprobación de la Ley Orgánica 4/2021, por la que se modifica la Ley Orgánica del Poder Judicial para establecer el régimen jurídico </w:t>
      </w:r>
      <w:r>
        <w:lastRenderedPageBreak/>
        <w:t>aplicable al Consejo General del Poder Judicial “en funciones”, no solo se rechaza recabar el informe del propio Consejo y dar audiencia a los sectores afectados por la reforma, sino que se acude al procedimiento de urgencia para acelerar la tramitación parlamentaria en un asunto en el que la importancia de la reforma y lo encontrado de las posiciones parlamentarias, antes bien aconsejaba una tramitación meditada.</w:t>
      </w:r>
    </w:p>
    <w:p w14:paraId="0DB1F8BC" w14:textId="77777777" w:rsidR="009D7677" w:rsidRDefault="009D7677" w:rsidP="009D7677">
      <w:pPr>
        <w:pStyle w:val="TextoNormal"/>
      </w:pPr>
    </w:p>
    <w:p w14:paraId="374494DA" w14:textId="77777777" w:rsidR="009D7677" w:rsidRDefault="009D7677" w:rsidP="009D7677">
      <w:pPr>
        <w:pStyle w:val="TextoNormal"/>
      </w:pPr>
      <w:r>
        <w:t xml:space="preserve">3. </w:t>
      </w:r>
      <w:r w:rsidRPr="009D7677">
        <w:rPr>
          <w:i/>
        </w:rPr>
        <w:t>La Ley Orgánica 4/2021 como ley singular de caso úni</w:t>
      </w:r>
      <w:r>
        <w:t>co</w:t>
      </w:r>
    </w:p>
    <w:p w14:paraId="2DB9B838" w14:textId="77777777" w:rsidR="009D7677" w:rsidRDefault="009D7677" w:rsidP="009D7677">
      <w:pPr>
        <w:pStyle w:val="TextoNormal"/>
      </w:pPr>
    </w:p>
    <w:p w14:paraId="11B27454" w14:textId="77777777" w:rsidR="009D7677" w:rsidRDefault="009D7677" w:rsidP="009D7677">
      <w:pPr>
        <w:pStyle w:val="TextoNormal"/>
      </w:pPr>
      <w:r>
        <w:t>La sentencia da respuesta expresa, igualmente desestimatoria, a otra tacha que los recurrentes dirigían a la Ley Orgánica 4/2021 (tacha que no se planteaba en el recurso que fue resuelto por la STC 128/2023) consistente en que es una ley singular, arbitraria y que no respeta la jurisprudencia constitucional en relación con las leyes singulares. La sentencia que ahora nos ocupa rechaza expeditivamente ese motivo de impugnación por el sencillo expediente de negar que la ley impugnada sea una ley singular.</w:t>
      </w:r>
    </w:p>
    <w:p w14:paraId="654FB710" w14:textId="77777777" w:rsidR="009D7677" w:rsidRDefault="009D7677" w:rsidP="009D7677">
      <w:pPr>
        <w:pStyle w:val="TextoNormal"/>
      </w:pPr>
    </w:p>
    <w:p w14:paraId="47692859" w14:textId="77777777" w:rsidR="009D7677" w:rsidRDefault="009D7677" w:rsidP="009D7677">
      <w:pPr>
        <w:pStyle w:val="TextoNormal"/>
      </w:pPr>
      <w:r>
        <w:t>Los parcos argumentos que al respecto ofrece la sentencia en su fundamento jurídico 7 no son mínimamente convincentes. Por las razones que defendimos en la deliberación y que pasamos seguidamente a exponer, cabe afirmar que estamos ante un supuesto de ley singular y asimismo que no se cumplen los requisitos que la doctrina de este tribunal viene exigiendo para que puedan ser válidamente aprobadas este tipo de leyes excepcionales que son las leyes singulares.</w:t>
      </w:r>
    </w:p>
    <w:p w14:paraId="60C9D8EF" w14:textId="77777777" w:rsidR="009D7677" w:rsidRDefault="009D7677" w:rsidP="009D7677">
      <w:pPr>
        <w:pStyle w:val="TextoNormal"/>
      </w:pPr>
    </w:p>
    <w:p w14:paraId="63C0BA94" w14:textId="77777777" w:rsidR="009D7677" w:rsidRDefault="009D7677" w:rsidP="009D7677">
      <w:pPr>
        <w:pStyle w:val="TextoNormal"/>
      </w:pPr>
      <w:r>
        <w:t>Como es sabido, conforme a la doctrina constitucional, dentro de la categoría de la ley singular se encuentran, por una parte, las leyes no autoaplicativas, que a su vez se distinguen en las de destinatario único o de estructura singular, en atención a los destinatarios a los que va dirigida, y las dictadas en atención a un supuesto de hecho concreto, esto es, a una situación singular o excepcional; y por otra, las leyes autoaplicativas.</w:t>
      </w:r>
    </w:p>
    <w:p w14:paraId="0DD046DC" w14:textId="77777777" w:rsidR="009D7677" w:rsidRDefault="009D7677" w:rsidP="009D7677">
      <w:pPr>
        <w:pStyle w:val="TextoNormal"/>
      </w:pPr>
    </w:p>
    <w:p w14:paraId="412C0E96" w14:textId="77777777" w:rsidR="009D7677" w:rsidRDefault="009D7677" w:rsidP="009D7677">
      <w:pPr>
        <w:pStyle w:val="TextoNormal"/>
      </w:pPr>
      <w:r>
        <w:t>A nuestro entender, la Ley Orgánica 4/2021 es una ley singular de caso único. El artículo único de esta ley, que modifica la Ley Orgánica del Poder Judicial para privar al Consejo General del Poder Judicial de funciones esenciales cuando no se haya producido su renovación en plazo, aparece formulado en términos generales, ciertamente, pero, en realidad, constituye una regulación singular con destinatario único (el órgano de gobierno del Poder Judicial) y dictada en atención a un supuesto de hecho concreto, pues lo que se pretende es hacer frente a lo que la propia sentencia de la que se discrepa (fundamento jurídico 5) con remisión a lo declarado en la STC 128/2023, FJ 4 C), califica como una “situación extraordinaria” de “anomalía institucional” (que no es otra que el incumplimiento por parte de las Cortes Generales de su deber constitucional de renovar en plazo los vocales del Consejo), a la que la Ley Orgánica 4/2021 quiere hacer frente recortando drásticamente las funciones del Consejo mientras los vocales de este no hayan sido renovados, “y, de este modo, favorecer su renovación”.</w:t>
      </w:r>
    </w:p>
    <w:p w14:paraId="5BAFB564" w14:textId="77777777" w:rsidR="009D7677" w:rsidRDefault="009D7677" w:rsidP="009D7677">
      <w:pPr>
        <w:pStyle w:val="TextoNormal"/>
      </w:pPr>
    </w:p>
    <w:p w14:paraId="62559BA2" w14:textId="77777777" w:rsidR="009D7677" w:rsidRDefault="009D7677" w:rsidP="009D7677">
      <w:pPr>
        <w:pStyle w:val="TextoNormal"/>
      </w:pPr>
      <w:r>
        <w:t xml:space="preserve">Que se trata de una ley singular de caso único ha venido a reconocerlo implícitamente el propio legislador, cuando, para asegurar la pronta entrada en el Tribunal Constitucional de dos magistrados cuya renovación correspondía proponer al Gobierno, aprobó la Ley Orgánica 8/2022, de 27 de julio, para restituirle al Consejo General del Poder Judicial en situación de prórroga (o “en funciones” si se sigue la fraseología de la Ley Orgánica 4/2021) no todas las competencias de nombramiento que esta ley le sustrajo, sino solo la </w:t>
      </w:r>
      <w:r>
        <w:lastRenderedPageBreak/>
        <w:t>de designar a dos magistrados del Tribunal Constitucional. Y ello por motivos de mera oportunidad o conveniencia, porque, como la renovación del Tribunal correspondía en ese momento al tercio compuesto por dos magistrados a propuesta del Gobierno y otros dos a propuesta del Consejo General del Poder Judicial (art. 159.1 CE y art. 16.1 LOTC), era necesario que el Consejo designase sus dos magistrados para que el Gobierno pudiera a su vez designar los dos suyos.</w:t>
      </w:r>
    </w:p>
    <w:p w14:paraId="0C4DF9D5" w14:textId="77777777" w:rsidR="009D7677" w:rsidRDefault="009D7677" w:rsidP="009D7677">
      <w:pPr>
        <w:pStyle w:val="TextoNormal"/>
      </w:pPr>
    </w:p>
    <w:p w14:paraId="0B3C75EB" w14:textId="77777777" w:rsidR="009D7677" w:rsidRDefault="009D7677" w:rsidP="009D7677">
      <w:pPr>
        <w:pStyle w:val="TextoNormal"/>
      </w:pPr>
      <w:r>
        <w:t>Conforme a nuestra doctrina, que cita sucintamente la sentencia, las leyes singulares no constituyen un ejercicio normal de la potestad legislativa, por lo que están sujetas a una serie de límites contenidos en la propia Constitución, en particular que no introduzcan una desigualdad arbitraria o injustificada. Tal es, cabalmente, el vicio en que incurre la Ley Orgánica 4/2021, al privar al Consejo General del Poder Judicial del ejercicio de competencias consustanciales a este órgano mientras no se produzca su renovación, siendo obligado advertir que lo que este tribunal (</w:t>
      </w:r>
      <w:r w:rsidRPr="009D7677">
        <w:rPr>
          <w:i/>
        </w:rPr>
        <w:t>rectius</w:t>
      </w:r>
      <w:r>
        <w:t>: la mayoría que ha sacado adelante la STC 128/2023 y la actual sentencia) califica como “circunstancia de anomalía institucional” no puede deparar la desnaturalización de un órgano constitucional que, por lo demás, no es el responsable de que se produzca tal “anomalía” (pues es a las Cortes Generales, como las propias sentencias no dejan de reconocer, a las que es imputable el incumplimiento de su deber constitucional de renovar el Consejo en el plazo establecido), pues el Consejo General del Poder Judicial debe ejercer en todo momento la plenitud de las competencias que, como órgano constitucional, tiene atribuidas y que son esenciales para preservar la independencia judicial.</w:t>
      </w:r>
    </w:p>
    <w:p w14:paraId="5A663BC4" w14:textId="77777777" w:rsidR="009D7677" w:rsidRDefault="009D7677" w:rsidP="009D7677">
      <w:pPr>
        <w:pStyle w:val="TextoNormal"/>
      </w:pPr>
    </w:p>
    <w:p w14:paraId="25C468E8" w14:textId="77777777" w:rsidR="009D7677" w:rsidRDefault="009D7677" w:rsidP="009D7677">
      <w:pPr>
        <w:pStyle w:val="TextoNormal"/>
      </w:pPr>
      <w:r>
        <w:t xml:space="preserve">A mayor abundamiento, y de modo específico, el apartado 2 del artículo único de la Ley Orgánica 4/2021, que prohíbe a la presidencia del Consejo General del Poder Judicial acordar el cese del secretario general o del vicesecretario general del mismo cuando el Consejo se encuentre “en funciones”, es también una ley singular de caso único, que excede de los límites constitucionales para este tipo de leyes excepcionales porque, como señalan los recurrentes, este precepto viene a introducir arbitrariamente una cláusula de protección </w:t>
      </w:r>
      <w:r w:rsidRPr="009D7677">
        <w:rPr>
          <w:i/>
        </w:rPr>
        <w:t>ad personam</w:t>
      </w:r>
      <w:r>
        <w:t xml:space="preserve"> que impide el cese de quienes actualmente desempeñan dichos cargos sin que exista motivo alguno de interés público que justifique esta regulación singular; y no es argumento sostenible que en cada ocasión en que el Consejo pueda volver a encontrarse en funciones podría volver a reproducirse la misma situación de protección </w:t>
      </w:r>
      <w:r w:rsidRPr="009D7677">
        <w:rPr>
          <w:i/>
        </w:rPr>
        <w:t>ad personam</w:t>
      </w:r>
      <w:r>
        <w:t xml:space="preserve"> del secretario y del vicesecretario general que ocuparen tales cargos al tiempo que adviniera la situación “en funciones”, entre otras razones porque la Ley Orgánica 4/2021, como explicita en su exposición de motivos, nace y se justifica </w:t>
      </w:r>
      <w:r w:rsidRPr="009D7677">
        <w:rPr>
          <w:i/>
        </w:rPr>
        <w:t>ad hoc</w:t>
      </w:r>
      <w:r>
        <w:t xml:space="preserve"> por el momento en que nace y al que se aplica.</w:t>
      </w:r>
    </w:p>
    <w:p w14:paraId="49C1A81C" w14:textId="77777777" w:rsidR="009D7677" w:rsidRDefault="009D7677" w:rsidP="009D7677">
      <w:pPr>
        <w:pStyle w:val="TextoNormal"/>
      </w:pPr>
    </w:p>
    <w:p w14:paraId="6B0F266B" w14:textId="77777777" w:rsidR="009D7677" w:rsidRDefault="009D7677" w:rsidP="009D7677">
      <w:pPr>
        <w:pStyle w:val="TextoNormal"/>
      </w:pPr>
      <w:r>
        <w:t>Y en tal sentido emitimos nuestro voto particular.</w:t>
      </w:r>
    </w:p>
    <w:p w14:paraId="5A77B5FF" w14:textId="77777777" w:rsidR="009D7677" w:rsidRDefault="009D7677" w:rsidP="009D7677">
      <w:pPr>
        <w:pStyle w:val="TextoNormal"/>
      </w:pPr>
    </w:p>
    <w:p w14:paraId="631C105B" w14:textId="3D8DE9AE" w:rsidR="009D7677" w:rsidRDefault="009D7677" w:rsidP="009D7677">
      <w:pPr>
        <w:pStyle w:val="TextoNormal"/>
      </w:pPr>
      <w:r>
        <w:t>Madrid, a uno de febrero de dos mil veinticuatro.</w:t>
      </w:r>
    </w:p>
    <w:p w14:paraId="2CB2B259" w14:textId="5E70D47A" w:rsidR="009D7677" w:rsidRDefault="009D7677">
      <w:pPr>
        <w:spacing w:after="160" w:line="259" w:lineRule="auto"/>
        <w:rPr>
          <w:rFonts w:ascii="Times New Roman" w:eastAsia="Times New Roman" w:hAnsi="Times New Roman" w:cs="Times New Roman"/>
          <w:sz w:val="24"/>
          <w:szCs w:val="24"/>
          <w:lang w:eastAsia="es-ES"/>
        </w:rPr>
      </w:pPr>
      <w:r>
        <w:br w:type="page"/>
      </w:r>
    </w:p>
    <w:p w14:paraId="40700F0D" w14:textId="77777777" w:rsidR="009D7677" w:rsidRDefault="009D7677" w:rsidP="009D7677">
      <w:pPr>
        <w:pStyle w:val="TtuloResolucin"/>
      </w:pPr>
      <w:bookmarkStart w:id="18" w:name="SENTENCIA_2024_16"/>
      <w:r>
        <w:lastRenderedPageBreak/>
        <w:t>SENTENCIA 16/2024, de 30 de enero de 2024</w:t>
      </w:r>
    </w:p>
    <w:bookmarkEnd w:id="18"/>
    <w:p w14:paraId="45DE50DC" w14:textId="77777777" w:rsidR="009D7677" w:rsidRDefault="009D7677" w:rsidP="009D7677">
      <w:pPr>
        <w:pStyle w:val="TtuloResolucin"/>
      </w:pPr>
      <w:r>
        <w:t>Pleno</w:t>
      </w:r>
    </w:p>
    <w:p w14:paraId="212F7B6B" w14:textId="77777777" w:rsidR="009D7677" w:rsidRDefault="009D7677" w:rsidP="009D7677">
      <w:pPr>
        <w:pStyle w:val="TtuloBOE"/>
      </w:pPr>
      <w:r>
        <w:t>(BOE núm. 53, de 29 de febrero de 2024)</w:t>
      </w:r>
    </w:p>
    <w:p w14:paraId="146C88E5" w14:textId="77777777" w:rsidR="009D7677" w:rsidRDefault="009D7677" w:rsidP="009D7677">
      <w:pPr>
        <w:pStyle w:val="TextoNormalCentrado"/>
      </w:pPr>
      <w:r>
        <w:t>ECLI:ES:TC:2024:16</w:t>
      </w:r>
    </w:p>
    <w:p w14:paraId="19582935" w14:textId="6631829C" w:rsidR="009D7677" w:rsidRDefault="009D7677" w:rsidP="009D7677">
      <w:pPr>
        <w:pStyle w:val="TextoNormalCentrado"/>
      </w:pPr>
    </w:p>
    <w:p w14:paraId="7BF1E43C" w14:textId="77777777" w:rsidR="009D7677" w:rsidRDefault="009D7677" w:rsidP="009D7677">
      <w:pPr>
        <w:pStyle w:val="SntesisDescriptiva"/>
      </w:pPr>
      <w:r>
        <w:t>Cuestión de inconstitucionalidad 2800-2023. Planteada por la Sección Segunda de la Sala de lo Contencioso-Administrativo de la Audiencia Nacional, en relación con el artículo 3.1, apartados primero y segundo, del Real Decreto-ley 3/2016, de 2 de diciembre, por el que se adoptan medidas en el ámbito tributario dirigidas a la consolidación de las finanzas públicas y otras medidas urgentes en materia social.</w:t>
      </w:r>
    </w:p>
    <w:p w14:paraId="1484F704" w14:textId="7B30030C" w:rsidR="009D7677" w:rsidRDefault="009D7677" w:rsidP="009D7677">
      <w:pPr>
        <w:pStyle w:val="SntesisDescriptiva"/>
      </w:pPr>
    </w:p>
    <w:p w14:paraId="2382DA12" w14:textId="77777777" w:rsidR="009D7677" w:rsidRDefault="009D7677" w:rsidP="009D7677">
      <w:pPr>
        <w:pStyle w:val="SntesisAnaltica"/>
      </w:pPr>
      <w:r>
        <w:t>Límites materiales de los decretos leyes: pérdida de objeto de la cuestión de inconstitucionalidad que versa sobre el precepto legal declarado inconstitucional y nulo en la STC 11/2024, de 18 de enero.</w:t>
      </w:r>
    </w:p>
    <w:p w14:paraId="074C037A" w14:textId="0A2E0BAE" w:rsidR="009D7677" w:rsidRDefault="009D7677" w:rsidP="009D7677">
      <w:pPr>
        <w:pStyle w:val="SntesisAnaltica"/>
      </w:pPr>
    </w:p>
    <w:p w14:paraId="5489379F" w14:textId="2F27B963" w:rsidR="009D7677" w:rsidRDefault="009D7677" w:rsidP="009D7677">
      <w:pPr>
        <w:pStyle w:val="Extracto"/>
      </w:pPr>
      <w:r>
        <w:t>1.</w:t>
      </w:r>
      <w:r>
        <w:tab/>
        <w:t>La expulsión del ordenamiento jurídico -por la STC 11/2024- de los preceptos cuestionados determina la pérdida sobrevenida de objeto de la presente cuestión de inconstitucionalidad (SSTC 149/2014 o 153/2019) [FJ 2].</w:t>
      </w:r>
    </w:p>
    <w:p w14:paraId="6DF4474B" w14:textId="77777777" w:rsidR="009D7677" w:rsidRDefault="009D7677" w:rsidP="009D7677">
      <w:pPr>
        <w:pStyle w:val="Extracto"/>
      </w:pPr>
    </w:p>
    <w:p w14:paraId="31875D15" w14:textId="77777777" w:rsidR="009D7677" w:rsidRDefault="009D7677" w:rsidP="009D7677">
      <w:pPr>
        <w:pStyle w:val="Extracto"/>
      </w:pPr>
    </w:p>
    <w:p w14:paraId="1D08195E" w14:textId="77777777" w:rsidR="009D7677" w:rsidRDefault="009D7677" w:rsidP="009D7677">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ha pronunciado</w:t>
      </w:r>
    </w:p>
    <w:p w14:paraId="01D9C1E3" w14:textId="2110CFFE" w:rsidR="009D7677" w:rsidRDefault="009D7677" w:rsidP="009D7677">
      <w:pPr>
        <w:pStyle w:val="TextoNormal"/>
      </w:pPr>
    </w:p>
    <w:p w14:paraId="4B4BC83A" w14:textId="77777777" w:rsidR="009D7677" w:rsidRDefault="009D7677" w:rsidP="009D7677">
      <w:pPr>
        <w:pStyle w:val="TextoNormalCentrado"/>
        <w:keepNext/>
      </w:pPr>
      <w:r>
        <w:t>EN NOMBRE DEL REY</w:t>
      </w:r>
    </w:p>
    <w:p w14:paraId="3660ADED" w14:textId="35FD239B" w:rsidR="009D7677" w:rsidRDefault="009D7677" w:rsidP="009D7677">
      <w:pPr>
        <w:pStyle w:val="TextoNormalCentrado"/>
        <w:keepNext/>
      </w:pPr>
    </w:p>
    <w:p w14:paraId="6BF1F9F9" w14:textId="77777777" w:rsidR="009D7677" w:rsidRDefault="009D7677" w:rsidP="009D7677">
      <w:pPr>
        <w:pStyle w:val="TextoNormalCentrado"/>
        <w:keepNext/>
      </w:pPr>
    </w:p>
    <w:p w14:paraId="46D04C72" w14:textId="77777777" w:rsidR="009D7677" w:rsidRDefault="009D7677" w:rsidP="009D7677">
      <w:pPr>
        <w:pStyle w:val="TextoNormal"/>
      </w:pPr>
      <w:r>
        <w:t>la siguiente</w:t>
      </w:r>
    </w:p>
    <w:p w14:paraId="1C23E2D3" w14:textId="27C189CD" w:rsidR="009D7677" w:rsidRDefault="009D7677" w:rsidP="009D7677">
      <w:pPr>
        <w:pStyle w:val="TextoNormal"/>
      </w:pPr>
    </w:p>
    <w:p w14:paraId="3132228E" w14:textId="77777777" w:rsidR="009D7677" w:rsidRDefault="009D7677" w:rsidP="009D7677">
      <w:pPr>
        <w:pStyle w:val="TextoNormalCentrado"/>
        <w:keepNext/>
      </w:pPr>
      <w:r>
        <w:t>SENTENCIA</w:t>
      </w:r>
    </w:p>
    <w:p w14:paraId="1472CA95" w14:textId="12D28482" w:rsidR="009D7677" w:rsidRDefault="009D7677" w:rsidP="009D7677">
      <w:pPr>
        <w:pStyle w:val="TextoNormalCentrado"/>
        <w:keepNext/>
      </w:pPr>
    </w:p>
    <w:p w14:paraId="54DB4CB6" w14:textId="77777777" w:rsidR="009D7677" w:rsidRDefault="009D7677" w:rsidP="009D7677">
      <w:pPr>
        <w:pStyle w:val="TextoNormal"/>
      </w:pPr>
      <w:r>
        <w:t>En la cuestión de inconstitucionalidad núm. 2800-2023, promovida por la Sección Segunda de la Sala de lo Contencioso-Administrativo de la Audiencia Nacional, en relación con el artículo 3.1, apartados primero y segundo, del Real Decreto-ley 3/2016, de 2 de diciembre, por el que se adoptan medidas en el ámbito tributario dirigidas a la consolidación de las finanzas públicas y otras medidas urgentes en materia social. Han comparecido y presentado alegaciones el abogado del Estado, en la representación que ostenta, y la entidad Lamigraf, S.A., representada por el procurador de los tribunales don Jacobo de Gandarillas Martos y asistida de la letrada doña Laia Colomés Barbarà. Ha intervenido el fiscal general del Estado. Ha sido ponente la magistrada doña María Luisa Segoviano Astaburuaga.</w:t>
      </w:r>
    </w:p>
    <w:p w14:paraId="797A40C8" w14:textId="14F9F93D" w:rsidR="009D7677" w:rsidRDefault="009D7677" w:rsidP="009D7677">
      <w:pPr>
        <w:pStyle w:val="TextoNormal"/>
      </w:pPr>
    </w:p>
    <w:p w14:paraId="59DE54B9" w14:textId="77777777" w:rsidR="009D7677" w:rsidRDefault="009D7677" w:rsidP="009D7677">
      <w:pPr>
        <w:pStyle w:val="TextoNormalNegritaCentrado"/>
        <w:keepNext/>
      </w:pPr>
      <w:r>
        <w:lastRenderedPageBreak/>
        <w:t>I. Antecedentes</w:t>
      </w:r>
    </w:p>
    <w:p w14:paraId="57BA0BE2" w14:textId="1766B299" w:rsidR="009D7677" w:rsidRDefault="009D7677" w:rsidP="009D7677">
      <w:pPr>
        <w:pStyle w:val="TextoNormalNegritaCentrado"/>
        <w:keepNext/>
      </w:pPr>
    </w:p>
    <w:p w14:paraId="176F258C" w14:textId="32336CC7" w:rsidR="009D7677" w:rsidRDefault="009D7677" w:rsidP="009D7677">
      <w:pPr>
        <w:pStyle w:val="TextoNormal"/>
      </w:pPr>
      <w:r w:rsidRPr="009D7677">
        <w:rPr>
          <w:rStyle w:val="NumeroAFNegritaCaracter"/>
        </w:rPr>
        <w:t>1</w:t>
      </w:r>
      <w:r>
        <w:t>. Con fecha 27 de abril de 2023 tuvo entrada en el registro de este tribunal un oficio de la Sección Segunda de la Sala de lo Contencioso-Administrativo de la Audiencia Nacional, al que se acompañaba, junto al testimonio del procedimiento ordinario núm. 727/2019, el auto de 3 de marzo de 2023, por el que se acuerda plantear cuestión de inconstitucionalidad en relación con el art. 3.1, apartados primero y segundo, del Real Decreto-ley 3/2016, de 2 de diciembre, por los que se añade una disposición adicional decimoquinta y se modifica la disposición transitoria decimosexta de la Ley 27/2014, de 27 de noviembre, del impuesto sobre sociedades (en adelante, LIS), por vulneración de los límites materiales en orden a la modificación de elementos esenciales del impuesto sobre sociedades (art. 86.1 CE), y por incidir en la capacidad económica (art. 31.1 CE).</w:t>
      </w:r>
    </w:p>
    <w:p w14:paraId="44D72AC8" w14:textId="77777777" w:rsidR="009D7677" w:rsidRDefault="009D7677" w:rsidP="009D7677">
      <w:pPr>
        <w:pStyle w:val="TextoNormal"/>
      </w:pPr>
    </w:p>
    <w:p w14:paraId="231F17A6" w14:textId="77777777" w:rsidR="009D7677" w:rsidRDefault="009D7677" w:rsidP="009D7677">
      <w:pPr>
        <w:pStyle w:val="TextoNormal"/>
      </w:pPr>
      <w:r w:rsidRPr="009D7677">
        <w:rPr>
          <w:rStyle w:val="NumeroAFNegritaCaracter"/>
        </w:rPr>
        <w:t>2</w:t>
      </w:r>
      <w:r>
        <w:t>. Los hechos de los que trae causa la presente cuestión de inconstitucionalidad son, sucintamente expuestos, los siguientes:</w:t>
      </w:r>
    </w:p>
    <w:p w14:paraId="40400FB4" w14:textId="77777777" w:rsidR="009D7677" w:rsidRDefault="009D7677" w:rsidP="009D7677">
      <w:pPr>
        <w:pStyle w:val="TextoNormal"/>
      </w:pPr>
    </w:p>
    <w:p w14:paraId="40009D1E" w14:textId="77777777" w:rsidR="009D7677" w:rsidRDefault="009D7677" w:rsidP="009D7677">
      <w:pPr>
        <w:pStyle w:val="TextoNormal"/>
      </w:pPr>
      <w:r>
        <w:t>a) La entidad Lamigraf, S.A., presentó en julio de 2017 la autoliquidación por el impuesto sobre sociedades del ejercicio de 2016, en el que resultó una base imponible de 1 878 896,50 € y una cuota a ingresar de 345 315,19 €, a pesar de que había tenido pérdidas en dicho ejercicio por importe de 144 843,36 €. Esto fue consecuencia de la aplicación del apartado tercero de la disposición transitoria decimosexta LIS (modificada por el precepto cuestionado), que determinó la realización de un ajuste positivo en el resultado contable por importe de 3 193 498,47 €, correspondiente a la reversión del deterioro de valores representativos de participaciones de la recurrente en su filial alemana, Lamigraf GmbH. Por otra parte, al ser su cifra de negocios en 2015 superior a veinte millones de euros, por virtud de lo previsto en la disposición adicional decimoquinta LIS (introducida por el apartado primero del art. 3.1 del Real Decreto-ley 3/2016) se le limitó la compensación de las bases imponibles negativas generadas en ejercicios anteriores (25 212 162 € en los ejercicios 2007 a 2009 y 2011 a 2013) al 50 por 100.</w:t>
      </w:r>
    </w:p>
    <w:p w14:paraId="5B23DEBF" w14:textId="77777777" w:rsidR="009D7677" w:rsidRDefault="009D7677" w:rsidP="009D7677">
      <w:pPr>
        <w:pStyle w:val="TextoNormal"/>
      </w:pPr>
    </w:p>
    <w:p w14:paraId="3A2FD588" w14:textId="77777777" w:rsidR="009D7677" w:rsidRDefault="009D7677" w:rsidP="009D7677">
      <w:pPr>
        <w:pStyle w:val="TextoNormal"/>
      </w:pPr>
      <w:r>
        <w:t>b) No estando de acuerdo con el resultado de la autoliquidación, que obedecía a correcciones que derivaban de las modificaciones introducidas en la Ley del impuesto sobre sociedades por el art. 3.1 del Real Decreto-ley 3/2016, de 2 de diciembre, presentó ante la administración tributaria solicitud de rectificación de la autoliquidación del impuesto sobre sociedades de 2016 y de devolución de ingresos indebidos, que fue denegada por resolución del inspector regional adjunto de la Unidad de Gestión de Grandes Empresas de Cataluña de 7 de agosto de 2018.</w:t>
      </w:r>
    </w:p>
    <w:p w14:paraId="4D7B086C" w14:textId="77777777" w:rsidR="009D7677" w:rsidRDefault="009D7677" w:rsidP="009D7677">
      <w:pPr>
        <w:pStyle w:val="TextoNormal"/>
      </w:pPr>
    </w:p>
    <w:p w14:paraId="680056F3" w14:textId="77777777" w:rsidR="009D7677" w:rsidRDefault="009D7677" w:rsidP="009D7677">
      <w:pPr>
        <w:pStyle w:val="TextoNormal"/>
      </w:pPr>
      <w:r>
        <w:t xml:space="preserve">c) Frente a esta resolución interpuso reclamación económico-administrativa ante el Tribunal Económico-Administrativo Central, y, ante su desestimación presunta, promovió recurso contencioso-administrativo ante la Sala de lo Contencioso-Administrativo de la Audiencia Nacional, que posteriormente extendió a la desestimación expresa de su reclamación de 24 de septiembre de 2020. En la demanda se denunció exclusivamente la inconstitucionalidad del Real Decreto-ley 3/2016, por haber infringido los límites del art. 86.1 CE, ya que se afectaba al deber de contribuir, y porque no concurría el presupuesto de la extraordinaria y urgente necesidad. Además, en cuanto a la reversión automática de los deterioros que fueron fiscalmente deducidos, se sostuvo en la demanda que el Real </w:t>
      </w:r>
      <w:r>
        <w:lastRenderedPageBreak/>
        <w:t>Decreto-ley 3/2016 incurría en infracción del art. 31.1 CE por vulneración del principio de capacidad económica y no confiscatoriedad, y en infracción del art. 9.3 CE. Por otra parte, adujo que la limitación a la deducción de las bases imponibles negativas vulneraba el principio de igualdad y de justicia tributaria. Por medio de otrosí interesó el planteamiento de cuestión de inconstitucionalidad ante el Tribunal Constitucional.</w:t>
      </w:r>
    </w:p>
    <w:p w14:paraId="6390485B" w14:textId="77777777" w:rsidR="009D7677" w:rsidRDefault="009D7677" w:rsidP="009D7677">
      <w:pPr>
        <w:pStyle w:val="TextoNormal"/>
      </w:pPr>
    </w:p>
    <w:p w14:paraId="29EB5261" w14:textId="77777777" w:rsidR="009D7677" w:rsidRDefault="009D7677" w:rsidP="009D7677">
      <w:pPr>
        <w:pStyle w:val="TextoNormal"/>
      </w:pPr>
      <w:r>
        <w:t>d) Una vez concluso el proceso, y antes de dictar sentencia, la Sección Segunda de la Sala de lo Contencioso-Administrativo de la Audiencia Nacional, por medio de providencia de 19 de diciembre de 2022 (rectificada, en cuanto a un error advertido, por otra de 13 de febrero de 2023), acordó oír a las partes y al Ministerio Fiscal, por plazo común de diez días, sobre la procedencia de plantear cuestión de inconstitucionalidad ante el Tribunal Constitucional, en relación con el Real Decreto-ley 3/2016, de 2 de diciembre. De las modificaciones que introduce el art. 3 del Real Decreto-ley, se centra la duda de constitucionalidad en las contenidas en el apartado tercero de la disposición transitoria decimosexta LIS, sobre la obligación de revertir el deterioro de valores representativos de participaciones en el capital o fondos propios que fueron fiscalmente deducibles (modificado por el art. 3.1, apartado segundo del Real Decreto-ley), y en la disposición adicional decimoquinta LIS (introducida por el art. 3.1, apartado primero del Real Decreto-ley), que establece un nuevo régimen para la compensación de las bases imponibles negativas para empresas con un importe neto de cifra de negocios de más de veinte millones de euros, con modificación de los límites previstos en la Ley del impuesto sobre sociedades, que pasan a ser del 50 por 100 de la base imponible para sociedades con una cifra de negocios de entre veinte y sesenta millones de euros, y del 25 por 100 para sociedades cuya cifra de negocios sea superior a sesenta millones de euros. Las dudas de constitucionalidad que se suscitaban a la Sala se referían, en síntesis, a la posible vulneración de los arts. 9.3, 14, 31.1 y 86.1 CE. Además, se hacía constar que dichas normas resultaban aplicables y determinantes de la resolución del asunto puesto que la temática litigiosa estriba en determinar la procedencia o no de la autoliquidación del impuesto sobre sociedades correspondiente del período impositivo de 2016, que depende de la constitucionalidad del apartado tercero de la disposición transitoria decimosexta LIS (ya que Lamigraf practicó en la autoliquidación de 2016 un ajuste extracontable en su base imponible por la reversión del deterioro de unas participaciones que, en principio, no habrían recuperado valor), y de la constitucionalidad de la disposición adicional decimoquinta LIS, que regula un nuevo régimen para la compensación de bases imponibles negativas para las empresas con una cifra de negocios superior a veinte millones de euros.</w:t>
      </w:r>
    </w:p>
    <w:p w14:paraId="543C5564" w14:textId="77777777" w:rsidR="009D7677" w:rsidRDefault="009D7677" w:rsidP="009D7677">
      <w:pPr>
        <w:pStyle w:val="TextoNormal"/>
      </w:pPr>
    </w:p>
    <w:p w14:paraId="5C748FF4" w14:textId="77777777" w:rsidR="009D7677" w:rsidRDefault="009D7677" w:rsidP="009D7677">
      <w:pPr>
        <w:pStyle w:val="TextoNormal"/>
      </w:pPr>
      <w:r>
        <w:t>e) La representación de Lamigraf presentó escrito el 19 de enero de 2023, defendiendo la procedencia de plantear la cuestión de inconstitucionalidad. El abogado del Estado, mediante escrito presentado el 20 de enero de 2023, sostuvo que las normas de cuya constitucionalidad se trata no plantean duda alguna de validez. Por su parte, el Ministerio Fiscal, en informe presentado el 3 de febrero de 2023, se limitó a indicar la pertinencia de plantear la cuestión de inconstitucionalidad, sin entrar en el fondo del asunto.</w:t>
      </w:r>
    </w:p>
    <w:p w14:paraId="2C5E15E3" w14:textId="77777777" w:rsidR="009D7677" w:rsidRDefault="009D7677" w:rsidP="009D7677">
      <w:pPr>
        <w:pStyle w:val="TextoNormal"/>
      </w:pPr>
    </w:p>
    <w:p w14:paraId="11A99F5D" w14:textId="7B5EF1F9" w:rsidR="009D7677" w:rsidRDefault="009D7677" w:rsidP="009D7677">
      <w:pPr>
        <w:pStyle w:val="TextoNormal"/>
      </w:pPr>
      <w:r>
        <w:t xml:space="preserve">f) Por auto de 3 de marzo de 2023, la Sección Segunda de la Sala de lo Contencioso-Administrativo de la Audiencia Nacional acordó plantear cuestión de inconstitucionalidad en relación con el art. 3.1 del Real Decreto-ley 3/2016, apartados primero y segundo, por vulneración de los límites materiales en orden a la modificación de elementos esenciales </w:t>
      </w:r>
      <w:r>
        <w:lastRenderedPageBreak/>
        <w:t>del impuesto sobre sociedades (art. 86.1 CE) y por incidir en la capacidad económica (art. 31.1 CE).</w:t>
      </w:r>
    </w:p>
    <w:p w14:paraId="3804D6BB" w14:textId="77777777" w:rsidR="009D7677" w:rsidRDefault="009D7677" w:rsidP="009D7677">
      <w:pPr>
        <w:pStyle w:val="TextoNormal"/>
      </w:pPr>
    </w:p>
    <w:p w14:paraId="2C5CC3BB" w14:textId="77777777" w:rsidR="009D7677" w:rsidRDefault="009D7677" w:rsidP="009D7677">
      <w:pPr>
        <w:pStyle w:val="TextoNormal"/>
      </w:pPr>
      <w:r w:rsidRPr="009D7677">
        <w:rPr>
          <w:rStyle w:val="NumeroAFNegritaCaracter"/>
        </w:rPr>
        <w:t>3</w:t>
      </w:r>
      <w:r>
        <w:t>. El auto del órgano judicial fundamenta el planteamiento de la cuestión de inconstitucionalidad en las consideraciones que se resumen a continuación.</w:t>
      </w:r>
    </w:p>
    <w:p w14:paraId="5768416C" w14:textId="77777777" w:rsidR="009D7677" w:rsidRDefault="009D7677" w:rsidP="009D7677">
      <w:pPr>
        <w:pStyle w:val="TextoNormal"/>
      </w:pPr>
    </w:p>
    <w:p w14:paraId="3A43D200" w14:textId="77777777" w:rsidR="009D7677" w:rsidRDefault="009D7677" w:rsidP="009D7677">
      <w:pPr>
        <w:pStyle w:val="TextoNormal"/>
      </w:pPr>
      <w:r>
        <w:t>a) Tras hacer referencia a los antecedentes del caso, incluida la exposición de las pretensiones de la recurrente, el órgano promotor de la cuestión pone de manifiesto que se cumplen los requisitos procesales para plantearla, y acota las dudas de constitucionalidad, excluyendo la mayor parte de las que se plantearon en el trámite de audiencia, para mantener únicamente la relativa a que el nuevo régimen de deterioros y la regulación de la compensación de las bases imponibles negativas para grandes empresas han utilizado indebidamente el vehículo normativo del real decreto-ley, infringiendo el límite del art. 86.1 CE.</w:t>
      </w:r>
    </w:p>
    <w:p w14:paraId="56382233" w14:textId="77777777" w:rsidR="009D7677" w:rsidRDefault="009D7677" w:rsidP="009D7677">
      <w:pPr>
        <w:pStyle w:val="TextoNormal"/>
      </w:pPr>
    </w:p>
    <w:p w14:paraId="2D3FF68B" w14:textId="77777777" w:rsidR="009D7677" w:rsidRDefault="009D7677" w:rsidP="009D7677">
      <w:pPr>
        <w:pStyle w:val="TextoNormal"/>
      </w:pPr>
      <w:r>
        <w:t>b) A continuación, identifica como preceptos legales afectados por la duda de constitucionalidad (i) el art. 3.1.1 del Real Decreto-ley 3/2016, en cuanto añade la disposición adicional decimoquinta LIS, que establece límites a la compensación de bases imponibles negativas aplicables a las empresas en períodos impositivos iniciados a partir del 1 de enero de 2016, centrando la duda de constitucionalidad exclusivamente en el apartado primero de dicha disposición adicional; (ii) el art. 3.1.2 del Real Decreto-ley, en cuanto modifica el apartado tercero de la disposición transitoria decimosexta LIS, en virtud del cual se establece la obligación de integrar en la base imponible los deterioros que hayan sido deducidos en ejercicios anteriores, a razón de una quinta parte por año, durante un plazo de cinco años a partir del 1 de enero de 2016.</w:t>
      </w:r>
    </w:p>
    <w:p w14:paraId="3F7BD6DD" w14:textId="77777777" w:rsidR="009D7677" w:rsidRDefault="009D7677" w:rsidP="009D7677">
      <w:pPr>
        <w:pStyle w:val="TextoNormal"/>
      </w:pPr>
    </w:p>
    <w:p w14:paraId="3DE5FDD4" w14:textId="77777777" w:rsidR="009D7677" w:rsidRDefault="009D7677" w:rsidP="009D7677">
      <w:pPr>
        <w:pStyle w:val="TextoNormal"/>
      </w:pPr>
      <w:r>
        <w:t>Acto seguido, el auto efectúa el juicio de aplicabilidad y relevancia, afirmando que la decisión del proceso depende de la validez de las normas con rango de ley que se cuestionan, ya que, si se concluyera que el art. 3.1 del Real Decreto-ley 3/2016, apartados primero y segundo, ha traspasado los límites derivados de los arts. 86.1 y 31.1 CE, quedaría determinado directamente el sentido del fallo del recurso, puesto que las únicas dudas que subsisten para su decisión afectan a la constitucionalidad de las normas anotadas. En tal sentido, indica la Sala que la liquidación del impuesto sobre sociedades correspondiente al ejercicio 2016 presentada por Lamigraf se vio directamente afectada por las medidas introducidas en el Real Decreto-ley 3/2016, y, particularmente, por la modificación de la disposición transitoria decimosexta y por la disposición adicional decimoquinta LIS. Estas modificaciones produjeron el incremento de la base imponible, al ser preciso realizar un ajuste positivo en el resultado contable por importe de 3 193 498,47 € por la reversión del deterioro de las participaciones de la recurrente en su filial alemana Lamigraf GmbH, y, al ser su cifra de negocios superior a veinte millones de euros, la compensación de las bases imponibles negativas quedó limitada en un 50 por 100, a pesar de tener unas bases negativas pendientes de aplicación de 25 212 162 €. Por tanto, la decisión sobre la constitucionalidad de aquellas normas tiene una clara incidencia en la determinación de la base imponible del impuesto sobre sociedades correspondiente al ejercicio de 2016 de la recurrente, ya que, a pesar de haber experimentado pérdidas, tuvo que tributar, ingresando una cuota de 345 315,19 €, “lo que supondría, de una forma general, tributar por una capacidad económica inexistente”.</w:t>
      </w:r>
    </w:p>
    <w:p w14:paraId="4133D9BE" w14:textId="77777777" w:rsidR="009D7677" w:rsidRDefault="009D7677" w:rsidP="009D7677">
      <w:pPr>
        <w:pStyle w:val="TextoNormal"/>
      </w:pPr>
    </w:p>
    <w:p w14:paraId="235D632E" w14:textId="77777777" w:rsidR="009D7677" w:rsidRDefault="009D7677" w:rsidP="009D7677">
      <w:pPr>
        <w:pStyle w:val="TextoNormal"/>
      </w:pPr>
      <w:r>
        <w:lastRenderedPageBreak/>
        <w:t>c) Por último, el auto realiza la exposición de la duda de constitucionalidad sobre los preceptos cuestionados, refiriéndose, en primer lugar, a la doctrina constitucional sobre los límites del uso del decreto-ley en materia tributaria, con mención de la STC 78/2020, de 1 de julio (que resolvió la cuestión de inconstitucionalidad promovida por la Sección Séptima de la misma Sala en relación con el Real Decreto-ley 2/2016), a partir de la cual se observa que en el preámbulo de la Ley del impuesto sobre sociedades se declara que este constituye un pilar básico de la imposición directa en España, junto con el impuesto sobre la renta de las personas físicas, declaración que también ha tenido su reflejo en la doctrina del Tribunal Constitucional, que lo ha considerado como una de las piezas básicas del sistema tributario y de la imposición directa. Y añade que, del análisis realizado a efectos de determinar la validez (o no) de las normas cuestionadas, resulta que:</w:t>
      </w:r>
    </w:p>
    <w:p w14:paraId="714806C6" w14:textId="77777777" w:rsidR="009D7677" w:rsidRDefault="009D7677" w:rsidP="009D7677">
      <w:pPr>
        <w:pStyle w:val="TextoNormal"/>
      </w:pPr>
    </w:p>
    <w:p w14:paraId="51AE4DE2" w14:textId="77777777" w:rsidR="009D7677" w:rsidRDefault="009D7677" w:rsidP="009D7677">
      <w:pPr>
        <w:pStyle w:val="TextoNormal"/>
      </w:pPr>
      <w:r>
        <w:t>(i) El Real Decreto-ley 3/2016 introduce modificaciones en el impuesto sobre sociedades que, por su entidad cuantitativa, alteran significativamente la posición del obligado a contribuir según su capacidad económica en el conjunto del sistema tributario.</w:t>
      </w:r>
    </w:p>
    <w:p w14:paraId="2EC7768F" w14:textId="77777777" w:rsidR="009D7677" w:rsidRDefault="009D7677" w:rsidP="009D7677">
      <w:pPr>
        <w:pStyle w:val="TextoNormal"/>
      </w:pPr>
    </w:p>
    <w:p w14:paraId="19D842DA" w14:textId="77777777" w:rsidR="009D7677" w:rsidRDefault="009D7677" w:rsidP="009D7677">
      <w:pPr>
        <w:pStyle w:val="TextoNormal"/>
      </w:pPr>
      <w:r>
        <w:t>(ii) Los elementos del impuesto alterados afectan a la determinación de la base imponible, por la restricción a las grandes empresas de la compensación de bases imponibles negativas generadas en ejercicios anteriores y por el establecimiento de un nuevo régimen en relación con la reversión de las pérdidas por deterioros que hayan resultado fiscalmente deducibles de la base imponible del impuesto sobre sociedades en periodos impositivos iniciados con anterioridad a 1 de enero de 2013. Y la base imponible es un elemento esencial de cuantificación de la obligación tributaria, ya que constituye la medida del hecho imponible, y, por ende, de la capacidad contributiva.</w:t>
      </w:r>
    </w:p>
    <w:p w14:paraId="6AB95205" w14:textId="77777777" w:rsidR="009D7677" w:rsidRDefault="009D7677" w:rsidP="009D7677">
      <w:pPr>
        <w:pStyle w:val="TextoNormal"/>
      </w:pPr>
    </w:p>
    <w:p w14:paraId="5087551B" w14:textId="77777777" w:rsidR="009D7677" w:rsidRDefault="009D7677" w:rsidP="009D7677">
      <w:pPr>
        <w:pStyle w:val="TextoNormal"/>
      </w:pPr>
      <w:r>
        <w:t>(iii) Respecto a la naturaleza y alcance de la concreta regulación explica que se produce una alteración sustancial en la determinación de la base imponible y en la cuantificación de la cuota líquida del impuesto. Respecto a la primera, como consecuencia de esa limitación de la compensación de bases imponibles negativas y de la obligación de revertir los deterioros que fueron fiscalmente deducibles en períodos impositivos anteriores a 1 de enero de 2013, con independencia de la renta obtenida, Y, en cuanto a la segunda, puesto que se viene a limitar a las grandes empresas la aplicación de deducciones por doble imposición.</w:t>
      </w:r>
    </w:p>
    <w:p w14:paraId="01DC3963" w14:textId="77777777" w:rsidR="009D7677" w:rsidRDefault="009D7677" w:rsidP="009D7677">
      <w:pPr>
        <w:pStyle w:val="TextoNormal"/>
      </w:pPr>
    </w:p>
    <w:p w14:paraId="7FE2C148" w14:textId="77777777" w:rsidR="009D7677" w:rsidRDefault="009D7677" w:rsidP="009D7677">
      <w:pPr>
        <w:pStyle w:val="TextoNormal"/>
      </w:pPr>
      <w:r>
        <w:t>A lo anterior se añade en el auto que la incidencia de las medidas incorporadas por el Real Decreto-ley 3/2016, respecto al deber de contribuir al sostenimiento de los gastos públicos queda evidenciada en el propio preámbulo de dicha norma, que hace referencia a la adopción de “tres medidas de relevancia” con “un ensanchamiento de las bases imponibles de las entidades españolas, en unos casos” y de “asegurar el nivel de recaudación adecuado de esta figura impositiva”.</w:t>
      </w:r>
    </w:p>
    <w:p w14:paraId="485BE789" w14:textId="77777777" w:rsidR="009D7677" w:rsidRDefault="009D7677" w:rsidP="009D7677">
      <w:pPr>
        <w:pStyle w:val="TextoNormal"/>
      </w:pPr>
    </w:p>
    <w:p w14:paraId="42F89A51" w14:textId="588777CF" w:rsidR="009D7677" w:rsidRDefault="009D7677" w:rsidP="009D7677">
      <w:pPr>
        <w:pStyle w:val="TextoNormal"/>
      </w:pPr>
      <w:r>
        <w:t>Concluye el auto con el acuerdo de plantear cuestión de inconstitucionalidad en relación con el art. 3.1 del Real Decreto-ley 3/2016, apartados primero —por el que se añade una disposición adicional decimoquinta a la LIS— y segundo —por el que se modifica la disposición transitoria decimosexta de la LIS—, por vulneración de los límites materiales en orden a la modificación de elementos esenciales del impuesto sobre sociedades (art. 86.1 CE) y por afectar a la capacidad económica (art. 31.1 CE).</w:t>
      </w:r>
    </w:p>
    <w:p w14:paraId="4C07BB07" w14:textId="77777777" w:rsidR="009D7677" w:rsidRDefault="009D7677" w:rsidP="009D7677">
      <w:pPr>
        <w:pStyle w:val="TextoNormal"/>
      </w:pPr>
    </w:p>
    <w:p w14:paraId="6C139AC5" w14:textId="268E9CFB" w:rsidR="009D7677" w:rsidRDefault="009D7677" w:rsidP="009D7677">
      <w:pPr>
        <w:pStyle w:val="TextoNormal"/>
      </w:pPr>
      <w:r w:rsidRPr="009D7677">
        <w:rPr>
          <w:rStyle w:val="NumeroAFNegritaCaracter"/>
        </w:rPr>
        <w:lastRenderedPageBreak/>
        <w:t>4</w:t>
      </w:r>
      <w:r>
        <w:t>. Mediante escrito de 7 de julio de 2023, el magistrado don Juan Carlos Campo Moreno, de acuerdo con lo previsto en los arts. 217 y 221 de la Ley Orgánica del Poder Judicial (LOPJ), en relación con el art. 80 de la Ley Orgánica del Tribunal Constitucional (LOTC), comunicó su voluntad de abstenerse en el conocimiento de la presente cuestión de inconstitucionalidad, por entender que concurría la causa del art. 219.13 LOPJ. Por ATC 377/2023, de 18 de julio, el Pleno de este tribunal acordó estimar justificada la abstención formulada por el magistrado don Juan Carlos Campo Moreno en la presente cuestión de inconstitucionalidad, apartándole definitivamente del conocimiento de la misma.</w:t>
      </w:r>
    </w:p>
    <w:p w14:paraId="699F6EFA" w14:textId="77777777" w:rsidR="009D7677" w:rsidRDefault="009D7677" w:rsidP="009D7677">
      <w:pPr>
        <w:pStyle w:val="TextoNormal"/>
      </w:pPr>
    </w:p>
    <w:p w14:paraId="2DEEF6AC" w14:textId="4C8888C5" w:rsidR="009D7677" w:rsidRDefault="009D7677" w:rsidP="009D7677">
      <w:pPr>
        <w:pStyle w:val="TextoNormal"/>
      </w:pPr>
      <w:r w:rsidRPr="009D7677">
        <w:rPr>
          <w:rStyle w:val="NumeroAFNegritaCaracter"/>
        </w:rPr>
        <w:t>5</w:t>
      </w:r>
      <w:r>
        <w:t>. Por providencia de 18 de julio de 2023, el Pleno del Tribunal Constitucional, a propuesta de la Sección Primera, acordó admitir a trámite la cuestión de inconstitucionalidad; reservar para sí su conocimiento; dar traslado de las actuaciones recibidas al Congreso de los Diputados, al Senado, al Gobierno y al fiscal general del Estado, al objeto de que en el plazo de quince días pudieran personarse en el procedimiento y formular las alegaciones que estimasen convenientes, de acuerdo con lo establecido por el art. 37.3 LOTC. Asimismo, decidió comunicar dicha resolución a la Sección Segunda de la Sala de lo Contencioso-Administrativo de la Audiencia Nacional a fin de que, de conformidad con lo dispuesto en el art. 35.3 LOTC, permaneciese suspendido el proceso hasta la resolución de la cuestión, y publicar su incoación en el “Boletín Oficial del Estado” (publicación que tuvo lugar en el “BOE” núm. 177, de 26 de julio de 2023).</w:t>
      </w:r>
    </w:p>
    <w:p w14:paraId="1F21935C" w14:textId="77777777" w:rsidR="009D7677" w:rsidRDefault="009D7677" w:rsidP="009D7677">
      <w:pPr>
        <w:pStyle w:val="TextoNormal"/>
      </w:pPr>
    </w:p>
    <w:p w14:paraId="4E5B2F36" w14:textId="3D1CC052" w:rsidR="009D7677" w:rsidRDefault="009D7677" w:rsidP="009D7677">
      <w:pPr>
        <w:pStyle w:val="TextoNormal"/>
      </w:pPr>
      <w:r w:rsidRPr="009D7677">
        <w:rPr>
          <w:rStyle w:val="NumeroAFNegritaCaracter"/>
        </w:rPr>
        <w:t>6</w:t>
      </w:r>
      <w:r>
        <w:t>. A través de escrito registrado el 21 de julio de 2023, el presidente del Senado dio por personada a esta Cámara y por ofrecida su colaboración a los efectos del art. 88.1 LOTC. Por su parte, la presidenta del Congreso de los Diputados, en escrito recibido el 27 de julio de 2023, puso en conocimiento de este tribunal el acuerdo adoptado por la mesa de la Diputación Permanente, en reunión celebrada el anterior día 26, dando por personada a la Cámara en el procedimiento y por ofrecida su colaboración a los efectos del art. 88.1 LOTC.</w:t>
      </w:r>
    </w:p>
    <w:p w14:paraId="243E63FD" w14:textId="77777777" w:rsidR="009D7677" w:rsidRDefault="009D7677" w:rsidP="009D7677">
      <w:pPr>
        <w:pStyle w:val="TextoNormal"/>
      </w:pPr>
    </w:p>
    <w:p w14:paraId="2AB9194C" w14:textId="77777777" w:rsidR="009D7677" w:rsidRDefault="009D7677" w:rsidP="009D7677">
      <w:pPr>
        <w:pStyle w:val="TextoNormal"/>
      </w:pPr>
      <w:r w:rsidRPr="009D7677">
        <w:rPr>
          <w:rStyle w:val="NumeroAFNegritaCaracter"/>
        </w:rPr>
        <w:t>7</w:t>
      </w:r>
      <w:r>
        <w:t>. Mediante escrito presentado el día 11 de septiembre de 2023, el abogado del Estado, en la representación que ostenta, formuló alegaciones, solicitando la íntegra desestimación de la cuestión de inconstitucionalidad, con base en los siguientes argumentos:</w:t>
      </w:r>
    </w:p>
    <w:p w14:paraId="64FD805F" w14:textId="77777777" w:rsidR="009D7677" w:rsidRDefault="009D7677" w:rsidP="009D7677">
      <w:pPr>
        <w:pStyle w:val="TextoNormal"/>
      </w:pPr>
    </w:p>
    <w:p w14:paraId="253D8C3E" w14:textId="77777777" w:rsidR="009D7677" w:rsidRDefault="009D7677" w:rsidP="009D7677">
      <w:pPr>
        <w:pStyle w:val="TextoNormal"/>
      </w:pPr>
      <w:r>
        <w:t>a) Comienza afirmando que concurren los presupuestos formales y materiales para el empleo del decreto-ley como instrumento normativo. Tras exponer la doctrina constitucional aplicable, aduce que el Real Decreto-ley 3/2016 se dictó en una situación de extraordinaria y urgente necesidad. En concreto, como consecuencia de la exigencia manifestada por las autoridades comunitarias para que el Reino de España diera cumplimiento al objetivo de déficit público. Se refiere a la Decisión (UE) 2016/1222 del Consejo de 12 de julio de 2016, por la que se indicó a España que no ha tomado medidas eficaces para seguir la Recomendación de 21 de junio de 2013 del Consejo, conforme a la cual se fijaban objetivos anuales de déficit público para el periodo 2013-2016. Aclara que el siguiente 2 de agosto de 2016, el Consejo aprobó otra decisión por la que se formulaba “una advertencia a España para que adopte medidas dirigidas a una reducción del déficit que se considera necesaria para poner remedio a la situación de déficit excesivo” y se fijaba una senda de ajuste, cuyo incumplimiento podía dar lugar a diferentes y muy relevantes consecuencias, como multas, suspensión del pago de fondos comunitarios, etc.</w:t>
      </w:r>
    </w:p>
    <w:p w14:paraId="5813BC2B" w14:textId="77777777" w:rsidR="009D7677" w:rsidRDefault="009D7677" w:rsidP="009D7677">
      <w:pPr>
        <w:pStyle w:val="TextoNormal"/>
      </w:pPr>
    </w:p>
    <w:p w14:paraId="032DEF95" w14:textId="77777777" w:rsidR="009D7677" w:rsidRDefault="009D7677" w:rsidP="009D7677">
      <w:pPr>
        <w:pStyle w:val="TextoNormal"/>
      </w:pPr>
      <w:r>
        <w:t>Concluye afirmando que la situación económica hacía imprescindible garantizar el cumplimiento de los objetivos de déficit marcados por el Consejo de la Unión Europea, tanto para el año 2016 como para 2017, y a ello se encaminaron las medidas tomadas en los Reales Decretos-leyes 2/2016, de 30 de septiembre, por el que se introducen medidas tributarias dirigidas a la reducción del déficit público (en adelante, Real Decreto-ley 2/2016) y 3/2016.</w:t>
      </w:r>
    </w:p>
    <w:p w14:paraId="63823CF2" w14:textId="77777777" w:rsidR="009D7677" w:rsidRDefault="009D7677" w:rsidP="009D7677">
      <w:pPr>
        <w:pStyle w:val="TextoNormal"/>
      </w:pPr>
    </w:p>
    <w:p w14:paraId="411C7000" w14:textId="77777777" w:rsidR="009D7677" w:rsidRDefault="009D7677" w:rsidP="009D7677">
      <w:pPr>
        <w:pStyle w:val="TextoNormal"/>
      </w:pPr>
      <w:r>
        <w:t xml:space="preserve">b) Con cita de las SSTC 182/1997, de 28 de octubre, FJ 6, y 73/2017, de 8 de junio, FJ 2, recuerda que es posible mediante la figura del real decreto-ley establecer, modificar o derogar prestaciones patrimoniales de carácter público. Sin embargo, reconoce que no puede incidirse en la determinación de la carga tributaria de manera que afecte al deber general de los ciudadanos de contribuir a los gastos públicos mediante un sistema tributario justo. A su juicio, queda claro que el Real Decreto-ley 3/2016 no crea </w:t>
      </w:r>
      <w:r w:rsidRPr="009D7677">
        <w:rPr>
          <w:i/>
        </w:rPr>
        <w:t>ex novo</w:t>
      </w:r>
      <w:r>
        <w:t xml:space="preserve"> un tributo, sino que solo introduce modificaciones en relación con uno preexistente.</w:t>
      </w:r>
    </w:p>
    <w:p w14:paraId="075394C9" w14:textId="77777777" w:rsidR="009D7677" w:rsidRDefault="009D7677" w:rsidP="009D7677">
      <w:pPr>
        <w:pStyle w:val="TextoNormal"/>
      </w:pPr>
    </w:p>
    <w:p w14:paraId="0996E4A9" w14:textId="77777777" w:rsidR="009D7677" w:rsidRDefault="009D7677" w:rsidP="009D7677">
      <w:pPr>
        <w:pStyle w:val="TextoNormal"/>
      </w:pPr>
      <w:r>
        <w:t>Además, con las modificaciones introducidas tampoco se está afectando al deber de contribuir, como se puede demostrar con la denominada “teoría de los tres pasos” acuñada en la citada STC 73/2017, de 8 de junio, según la cual se debe examinar: (i) el tributo concreto en que ha incidido el decreto-ley, constatando su naturaleza, estructura y la función que cumple dentro del conjunto del sistema tributario, así como el grado o medida en que interviene el principio de capacidad económica; (ii) los elementos del impuesto que han resultado alterados por este excepcional modo de producción normativa y (iii) cuál es la naturaleza y alcance de la concreta regulación aprobada.</w:t>
      </w:r>
    </w:p>
    <w:p w14:paraId="27142127" w14:textId="77777777" w:rsidR="009D7677" w:rsidRDefault="009D7677" w:rsidP="009D7677">
      <w:pPr>
        <w:pStyle w:val="TextoNormal"/>
      </w:pPr>
    </w:p>
    <w:p w14:paraId="363D9B21" w14:textId="77777777" w:rsidR="009D7677" w:rsidRDefault="009D7677" w:rsidP="009D7677">
      <w:pPr>
        <w:pStyle w:val="TextoNormal"/>
      </w:pPr>
      <w:r>
        <w:t>La disposición transitoria decimosexta LIS, en la redacción dada por el Real Decreto-ley 3/2016 (art. 3.1, apartado segundo), modifica la manera de efectuar la reversión de los deterioros, pero lo hace sobre una obligación que ya existía. Destaca que la pérdida producida o el beneficio obtenido en la adquisición de valores representativos de la participación en el capital o en los fondos propios de entidades, tanto desde un punto de vista económico como contable o fiscal, únicamente puede llegar a conocerse cuando finaliza la inversión, bien porque se transmitan esos valores representativos, o bien porque se produzca la extinción de la entidad participada. Hasta ese momento, lo que se produce es, en aplicación del principio de prudencia, un examen periódico del valor de las participaciones que puede determinar la posibilidad de que se produzca una pérdida en el futuro que, no obstante, puede revertir en ejercicios posteriores si cambian las circunstancias consideradas.</w:t>
      </w:r>
    </w:p>
    <w:p w14:paraId="4C4B0069" w14:textId="77777777" w:rsidR="009D7677" w:rsidRDefault="009D7677" w:rsidP="009D7677">
      <w:pPr>
        <w:pStyle w:val="TextoNormal"/>
      </w:pPr>
    </w:p>
    <w:p w14:paraId="7AFD2D52" w14:textId="77777777" w:rsidR="009D7677" w:rsidRDefault="009D7677" w:rsidP="009D7677">
      <w:pPr>
        <w:pStyle w:val="TextoNormal"/>
      </w:pPr>
      <w:r>
        <w:t>En el caso analizado, el elemento esencial a tener en cuenta —y que lo diferencia de otros supuestos concretos que fueron objeto de sentencias del Tribunal Constitucional— es que, con carácter previo a la reversión obligatoria por quintas partes, se ha producido una deducción fiscal consecuencia del deterioro de las participaciones. Es decir, ya se computó una renta negativa.</w:t>
      </w:r>
    </w:p>
    <w:p w14:paraId="4034534D" w14:textId="77777777" w:rsidR="009D7677" w:rsidRDefault="009D7677" w:rsidP="009D7677">
      <w:pPr>
        <w:pStyle w:val="TextoNormal"/>
      </w:pPr>
    </w:p>
    <w:p w14:paraId="05C32E5E" w14:textId="77777777" w:rsidR="009D7677" w:rsidRDefault="009D7677" w:rsidP="009D7677">
      <w:pPr>
        <w:pStyle w:val="TextoNormal"/>
      </w:pPr>
      <w:r>
        <w:t xml:space="preserve">De hecho, la deducibilidad fiscal de esos deterioros se pudo producir durante varios ejercicios (desde 2008 hasta 2012) apartándose del régimen contable en la medida en que su imputación en la base imponible no estaba condicionada al registro contable de gasto </w:t>
      </w:r>
      <w:r>
        <w:lastRenderedPageBreak/>
        <w:t>alguno (es decir, no se exigía que existiera una dotación contable por deterioro de esas participaciones en entidades).</w:t>
      </w:r>
    </w:p>
    <w:p w14:paraId="5E19183C" w14:textId="77777777" w:rsidR="009D7677" w:rsidRDefault="009D7677" w:rsidP="009D7677">
      <w:pPr>
        <w:pStyle w:val="TextoNormal"/>
      </w:pPr>
    </w:p>
    <w:p w14:paraId="324087F6" w14:textId="77777777" w:rsidR="009D7677" w:rsidRDefault="009D7677" w:rsidP="009D7677">
      <w:pPr>
        <w:pStyle w:val="TextoNormal"/>
      </w:pPr>
      <w:r>
        <w:t>El abogado del Estado pone de manifiesto la peculiar naturaleza del tratamiento fiscal dado a los deterioros de valores representativos de la participación en otras entidades que ha pasado en la historia reciente del impuesto por diferentes soluciones, que son alternativas legítimas en la regulación de esta materia que —subraya— tienen un carácter esencialmente temporal, a la espera de que la finalización de la inversión determine la existencia de pérdida o beneficio.</w:t>
      </w:r>
    </w:p>
    <w:p w14:paraId="2C72B625" w14:textId="77777777" w:rsidR="009D7677" w:rsidRDefault="009D7677" w:rsidP="009D7677">
      <w:pPr>
        <w:pStyle w:val="TextoNormal"/>
      </w:pPr>
    </w:p>
    <w:p w14:paraId="5E580584" w14:textId="77777777" w:rsidR="009D7677" w:rsidRDefault="009D7677" w:rsidP="009D7677">
      <w:pPr>
        <w:pStyle w:val="TextoNormal"/>
      </w:pPr>
      <w:r>
        <w:t>La reversión obligatoria por quintas partes que se analiza no deja de ser otra opción legítima de ese tratamiento temporal de las dotaciones por deterioro de participaciones. En todo caso, no debe olvidarse que la reversión que se integre en la base imponible incrementa el valor fiscal de las participaciones y ello, lógicamente, tendrá su reflejo en el momento en que se produzca la transmisión de las mismas o la extinción de la entidad participada.</w:t>
      </w:r>
    </w:p>
    <w:p w14:paraId="1B0001A8" w14:textId="77777777" w:rsidR="009D7677" w:rsidRDefault="009D7677" w:rsidP="009D7677">
      <w:pPr>
        <w:pStyle w:val="TextoNormal"/>
      </w:pPr>
    </w:p>
    <w:p w14:paraId="0D784C84" w14:textId="77777777" w:rsidR="009D7677" w:rsidRDefault="009D7677" w:rsidP="009D7677">
      <w:pPr>
        <w:pStyle w:val="TextoNormal"/>
      </w:pPr>
      <w:r>
        <w:t>Por ello, difícilmente puede entenderse producida la afección esencial en el deber constitucional de contribuir que proclama el auto de planteamiento, dada la naturaleza, finalidad y entidad de la reforma del régimen de reversión.</w:t>
      </w:r>
    </w:p>
    <w:p w14:paraId="63424006" w14:textId="77777777" w:rsidR="009D7677" w:rsidRDefault="009D7677" w:rsidP="009D7677">
      <w:pPr>
        <w:pStyle w:val="TextoNormal"/>
      </w:pPr>
    </w:p>
    <w:p w14:paraId="7FCA3E33" w14:textId="77777777" w:rsidR="009D7677" w:rsidRDefault="009D7677" w:rsidP="009D7677">
      <w:pPr>
        <w:pStyle w:val="TextoNormal"/>
      </w:pPr>
      <w:r>
        <w:t>c) Una conclusión similar debe alcanzarse en relación con la modificación referida a los límites a la compensación de bases imponibles negativas. Al igual que sucede con la reversión obligatoria, la limitación de la compensación de bases imponibles negativas no es una novedad en la configuración del tributo, sino un cambio de mecánica en relación con obligaciones preexistentes.</w:t>
      </w:r>
    </w:p>
    <w:p w14:paraId="6B4BC5C3" w14:textId="77777777" w:rsidR="009D7677" w:rsidRDefault="009D7677" w:rsidP="009D7677">
      <w:pPr>
        <w:pStyle w:val="TextoNormal"/>
      </w:pPr>
    </w:p>
    <w:p w14:paraId="64D8FDDA" w14:textId="65A4D25E" w:rsidR="009D7677" w:rsidRDefault="009D7677" w:rsidP="009D7677">
      <w:pPr>
        <w:pStyle w:val="TextoNormal"/>
      </w:pPr>
      <w:r>
        <w:t>En consecuencia, difícilmente pueden cumplirse los tres pasos que el Tribunal Constitucional ha determinado para considerar afectado el deber constitucional de contribuir, cuando es claro que la naturaleza y alcance de esta nueva regulación carece de una trascendencia esencial en la configuración del tributo y en la posición cualitativa y cuantitativa de los contribuyentes.</w:t>
      </w:r>
    </w:p>
    <w:p w14:paraId="21D0EF17" w14:textId="77777777" w:rsidR="009D7677" w:rsidRDefault="009D7677" w:rsidP="009D7677">
      <w:pPr>
        <w:pStyle w:val="TextoNormal"/>
      </w:pPr>
    </w:p>
    <w:p w14:paraId="74FE09ED" w14:textId="3ED86132" w:rsidR="009D7677" w:rsidRDefault="009D7677" w:rsidP="009D7677">
      <w:pPr>
        <w:pStyle w:val="TextoNormal"/>
      </w:pPr>
      <w:r w:rsidRPr="009D7677">
        <w:rPr>
          <w:rStyle w:val="NumeroAFNegritaCaracter"/>
        </w:rPr>
        <w:t>8</w:t>
      </w:r>
      <w:r>
        <w:t>. Por medio de escrito registrado el 14 de septiembre de 2023, el procurador de los tribunales don Jacobo de Gandarillas Martos, en nombre y representación de Lamigraf, S.A., compareció en la presente cuestión de inconstitucionalidad, interesando que se le tuviera por personado y parte, y que se le concediera el plazo de quince días para presentar alegaciones. En virtud de diligencia de ordenación del secretario de justicia del Pleno de 20 de septiembre de 2023, se acordó tenerle por personado y parte, y, conforme establece el art. 37.2 LOTC, concederle un plazo de quince días para formular las alegaciones que estimara convenientes.</w:t>
      </w:r>
    </w:p>
    <w:p w14:paraId="6EF64288" w14:textId="77777777" w:rsidR="009D7677" w:rsidRDefault="009D7677" w:rsidP="009D7677">
      <w:pPr>
        <w:pStyle w:val="TextoNormal"/>
      </w:pPr>
    </w:p>
    <w:p w14:paraId="6C3C6669" w14:textId="77777777" w:rsidR="009D7677" w:rsidRDefault="009D7677" w:rsidP="009D7677">
      <w:pPr>
        <w:pStyle w:val="TextoNormal"/>
      </w:pPr>
      <w:r w:rsidRPr="009D7677">
        <w:rPr>
          <w:rStyle w:val="NumeroAFNegritaCaracter"/>
        </w:rPr>
        <w:t>9</w:t>
      </w:r>
      <w:r>
        <w:t>. El 20 de septiembre de 2023 tuvo entrada en el registro de este tribunal el escrito de alegaciones del fiscal general del Estado, en el que solicita la estimación de la cuestión de inconstitucionalidad por las razones que se exponen a continuación:</w:t>
      </w:r>
    </w:p>
    <w:p w14:paraId="62C565C1" w14:textId="77777777" w:rsidR="009D7677" w:rsidRDefault="009D7677" w:rsidP="009D7677">
      <w:pPr>
        <w:pStyle w:val="TextoNormal"/>
      </w:pPr>
    </w:p>
    <w:p w14:paraId="5A62BCCA" w14:textId="77777777" w:rsidR="009D7677" w:rsidRDefault="009D7677" w:rsidP="009D7677">
      <w:pPr>
        <w:pStyle w:val="TextoNormal"/>
      </w:pPr>
      <w:r>
        <w:t xml:space="preserve">a) Tras resumir los antecedentes y el contenido del auto de planteamiento, y analizar el cumplimiento de los requisitos procesales, de acuerdo con lo previsto en el art. 35.2 </w:t>
      </w:r>
      <w:r>
        <w:lastRenderedPageBreak/>
        <w:t>LOTC, argumenta que ha de partirse de la doctrina sentada en la STC 78/2020, de 1 de julio, que resuelve una cuestión de inconstitucionalidad que está muy relacionada con la presente, puesto que se refería a los pagos fraccionados en el impuesto sobre sociedades. Considera que, para resolver este proceso, debe seguirse el procedimiento de análisis de dicha sentencia en la que se resume la doctrina constitucional sobre el uso del decreto-ley en materia tributaria.</w:t>
      </w:r>
    </w:p>
    <w:p w14:paraId="016EB297" w14:textId="77777777" w:rsidR="009D7677" w:rsidRDefault="009D7677" w:rsidP="009D7677">
      <w:pPr>
        <w:pStyle w:val="TextoNormal"/>
      </w:pPr>
    </w:p>
    <w:p w14:paraId="563B1699" w14:textId="77777777" w:rsidR="009D7677" w:rsidRDefault="009D7677" w:rsidP="009D7677">
      <w:pPr>
        <w:pStyle w:val="TextoNormal"/>
      </w:pPr>
      <w:r>
        <w:t>b) El impuesto sobre sociedades, como señala el preámbulo de su ley reguladora, “constituye un pilar básico de la imposición directa en España junto con el IRPF [impuesto sobre la renta de las personas físicas], encontrando ambas figuras su razón de ser en el art. 31 CE, que exige la contribución al sostenimiento de los gastos públicos, de acuerdo con la capacidad económica de cada contribuyente”. Asimismo, cita las SSTC 73/2017, FJ 3 a), y 78/2020, FJ 4 a), que han corroborado que este impuesto se puede considerar como una de las piezas básicas del sistema tributario.</w:t>
      </w:r>
    </w:p>
    <w:p w14:paraId="04E3CAED" w14:textId="77777777" w:rsidR="009D7677" w:rsidRDefault="009D7677" w:rsidP="009D7677">
      <w:pPr>
        <w:pStyle w:val="TextoNormal"/>
      </w:pPr>
    </w:p>
    <w:p w14:paraId="5C8E26EF" w14:textId="77777777" w:rsidR="009D7677" w:rsidRDefault="009D7677" w:rsidP="009D7677">
      <w:pPr>
        <w:pStyle w:val="TextoNormal"/>
      </w:pPr>
      <w:r>
        <w:t>c) A continuación, examina los elementos del tributo que han sido alterados por las normas cuestionadas, comparándolas con las regulaciones previas, para llegar a la conclusión de que las normas modificadas afectan directamente a la determinación de la base imponible y, por ello, a un elemento esencial del impuesto, que resulta notoriamente aumentado por las normas cuestionadas. En terminología de la propia exposición de motivos del decreto-ley, conlleva “un ensanchamiento” de la base imponible.</w:t>
      </w:r>
    </w:p>
    <w:p w14:paraId="31712D1D" w14:textId="77777777" w:rsidR="009D7677" w:rsidRDefault="009D7677" w:rsidP="009D7677">
      <w:pPr>
        <w:pStyle w:val="TextoNormal"/>
      </w:pPr>
    </w:p>
    <w:p w14:paraId="352D5282" w14:textId="77777777" w:rsidR="009D7677" w:rsidRDefault="009D7677" w:rsidP="009D7677">
      <w:pPr>
        <w:pStyle w:val="TextoNormal"/>
      </w:pPr>
      <w:r>
        <w:t xml:space="preserve">d) Finalmente, se valoran la naturaleza y el alcance de la regulación introducida. Afirma el fiscal general del Estado, en primer lugar, que afecta directamente a la cuantificación de la base imponible, que es un elemento esencial del tributo, en la que restringe la proporción de las deducciones, y afecta, asimismo, a la determinación de la cuota tributaria, que es también un elemento esencial. En segundo lugar, apunta que, según lo señalado por la parte recurrente en el procedimiento </w:t>
      </w:r>
      <w:r w:rsidRPr="009D7677">
        <w:rPr>
          <w:i/>
        </w:rPr>
        <w:t>a quo</w:t>
      </w:r>
      <w:r>
        <w:t>, a pesar de haber tenido unas pérdidas de 144 843,36 €, acabó tributando sobre una base imponible definitiva de 1 878 896,50 €, y una cuota íntegra de 345 315,19 €, como consecuencia de los ajustes que debió efectuar en aplicación de las normas aprobadas por el Real Decreto-ley 3/2016. Así, tuvo que realizar un ajuste positivo por importe de 3 193 498,47 €, derivado de la reversión de deterioros, en aplicación del apartado tercero de la disposición transitoria decimosexta LIS (introducida por el art. 3.1, apartado segundo del Real Decreto-ley 3/2016), y, a pesar de tener unas bases imponibles negativas pendientes de aplicación de 25 212.162 €, solo pudo reducir su base imponible en un 50 por 100 (1 878 896,50 €), conforme a la disposición adicional decimoquinta LIS (en la redacción dada por el art. 3.1, apartado primero del Real Decreto-ley 3/2016).</w:t>
      </w:r>
    </w:p>
    <w:p w14:paraId="245B1A11" w14:textId="77777777" w:rsidR="009D7677" w:rsidRDefault="009D7677" w:rsidP="009D7677">
      <w:pPr>
        <w:pStyle w:val="TextoNormal"/>
      </w:pPr>
    </w:p>
    <w:p w14:paraId="3D3C75A0" w14:textId="77777777" w:rsidR="009D7677" w:rsidRDefault="009D7677" w:rsidP="009D7677">
      <w:pPr>
        <w:pStyle w:val="TextoNormal"/>
      </w:pPr>
      <w:r>
        <w:t>e) Por lo expuesto, concluye solicitando que las normas cuestionadas se declaren inconstitucionales y nulas por haber afectado, mediante el instrumento normativo excepcional previsto en el art. 86.1 CE, a la esencia del deber de contribuir al sostenimiento de los gastos públicos que enuncia el art. 31.1 CE.</w:t>
      </w:r>
    </w:p>
    <w:p w14:paraId="6D2582C9" w14:textId="77777777" w:rsidR="009D7677" w:rsidRDefault="009D7677" w:rsidP="009D7677">
      <w:pPr>
        <w:pStyle w:val="TextoNormal"/>
      </w:pPr>
    </w:p>
    <w:p w14:paraId="12B36FFB" w14:textId="3E1D9B9D" w:rsidR="009D7677" w:rsidRDefault="009D7677" w:rsidP="009D7677">
      <w:pPr>
        <w:pStyle w:val="TextoNormal"/>
      </w:pPr>
      <w:r>
        <w:t>No obstante, considera que la declaración de inconstitucionalidad no debería permitir que se puedan revisar con fundamento en ella, ni las situaciones decididas mediante sentencia con fuerza de cosa juzgada (art. 40.1 LOTC), ni tampoco, por exigencia del princi</w:t>
      </w:r>
      <w:r>
        <w:lastRenderedPageBreak/>
        <w:t>pio de seguridad jurídica (art. 9.3 CE), las consolidadas en vía administrativa por no haber sido impugnadas en tiempo y forma.</w:t>
      </w:r>
    </w:p>
    <w:p w14:paraId="2469C981" w14:textId="77777777" w:rsidR="009D7677" w:rsidRDefault="009D7677" w:rsidP="009D7677">
      <w:pPr>
        <w:pStyle w:val="TextoNormal"/>
      </w:pPr>
    </w:p>
    <w:p w14:paraId="0201A14F" w14:textId="77777777" w:rsidR="009D7677" w:rsidRDefault="009D7677" w:rsidP="009D7677">
      <w:pPr>
        <w:pStyle w:val="TextoNormal"/>
      </w:pPr>
      <w:r w:rsidRPr="009D7677">
        <w:rPr>
          <w:rStyle w:val="NumeroAFNegritaCaracter"/>
        </w:rPr>
        <w:t>10</w:t>
      </w:r>
      <w:r>
        <w:t>. La representación de Lamigraf, S.A., presentó su escrito de alegaciones el 11 de octubre de 2023, en el que solicitó la estimación de la cuestión de inconstitucionalidad con base en los siguientes argumentos:</w:t>
      </w:r>
    </w:p>
    <w:p w14:paraId="7D284052" w14:textId="77777777" w:rsidR="009D7677" w:rsidRDefault="009D7677" w:rsidP="009D7677">
      <w:pPr>
        <w:pStyle w:val="TextoNormal"/>
      </w:pPr>
    </w:p>
    <w:p w14:paraId="448586CA" w14:textId="77777777" w:rsidR="009D7677" w:rsidRDefault="009D7677" w:rsidP="009D7677">
      <w:pPr>
        <w:pStyle w:val="TextoNormal"/>
      </w:pPr>
      <w:r>
        <w:t>a) En primer lugar, considera conveniente que se analicen y resuelvan conjuntamente la presente cuestión de inconstitucionalidad y la cuestión de inconstitucionalidad 2577-2023, si bien entiende que se debe dar prioridad a la cuestión de inconstitucionalidad 2800-2023, pues se ha planteado en un procedimiento que analiza un caso concreto de aplicación de las normas cuestionadas, lo que permite apreciar con mayor claridad y precisión los inconstitucionales efectos que genera dicha normativa.</w:t>
      </w:r>
    </w:p>
    <w:p w14:paraId="3D42DCAE" w14:textId="77777777" w:rsidR="009D7677" w:rsidRDefault="009D7677" w:rsidP="009D7677">
      <w:pPr>
        <w:pStyle w:val="TextoNormal"/>
      </w:pPr>
    </w:p>
    <w:p w14:paraId="546460A8" w14:textId="77777777" w:rsidR="009D7677" w:rsidRDefault="009D7677" w:rsidP="009D7677">
      <w:pPr>
        <w:pStyle w:val="TextoNormal"/>
      </w:pPr>
      <w:r>
        <w:t xml:space="preserve">A continuación explica los pormenores de la liquidación objeto de impugnación en la vía judicial, y el porqué del resultado positivo, a pesar de haber generado en el año 2016 unas pérdidas de 144 843,36 €, derivado de una serie de correcciones practicadas para determinar la base imponible del impuesto sobre sociedades (con un resultado positivo), destacando, especialmente, el ajuste positivo por la reversión de los deterioros de las participaciones en su filial alemana, como consecuencia de la aplicación del apartado tercero de la disposición transitoria decimosexta LIS, en la redacción dada por el Real Decreto-ley 3/2016, si bien la deducción de los deterioros dotados hasta 2013 no produjo una menor tributación, puesto que en la mayoría de ejercicios la sociedad generó pérdidas, incrementando las bases imponibles negativas de ejercicios anteriores. A ello se une el nuevo régimen para la compensación de bases imponibles negativas (disposición adicional decimoquinta LIS, introducida por el referido real decreto-ley). A partir de lo anterior, expone el </w:t>
      </w:r>
      <w:r w:rsidRPr="009D7677">
        <w:rPr>
          <w:i/>
        </w:rPr>
        <w:t>iter</w:t>
      </w:r>
      <w:r>
        <w:t xml:space="preserve"> de su reclamación y el planteamiento de su demanda.</w:t>
      </w:r>
    </w:p>
    <w:p w14:paraId="1C01BA22" w14:textId="77777777" w:rsidR="009D7677" w:rsidRDefault="009D7677" w:rsidP="009D7677">
      <w:pPr>
        <w:pStyle w:val="TextoNormal"/>
      </w:pPr>
    </w:p>
    <w:p w14:paraId="1FD10FE9" w14:textId="77777777" w:rsidR="009D7677" w:rsidRDefault="009D7677" w:rsidP="009D7677">
      <w:pPr>
        <w:pStyle w:val="TextoNormal"/>
      </w:pPr>
      <w:r>
        <w:t>b) Entrando en la cuestión de fondo, sostiene el escrito de alegaciones que el Real Decreto-ley 3/2016 vulnera el art. 86.1 CE en un doble sentido:</w:t>
      </w:r>
    </w:p>
    <w:p w14:paraId="161CE97B" w14:textId="77777777" w:rsidR="009D7677" w:rsidRDefault="009D7677" w:rsidP="009D7677">
      <w:pPr>
        <w:pStyle w:val="TextoNormal"/>
      </w:pPr>
    </w:p>
    <w:p w14:paraId="282D8997" w14:textId="77777777" w:rsidR="009D7677" w:rsidRDefault="009D7677" w:rsidP="009D7677">
      <w:pPr>
        <w:pStyle w:val="TextoNormal"/>
      </w:pPr>
      <w:r>
        <w:t>(i) Por una parte, al igual que la Audiencia Nacional, considera vulnerado el límite material del precepto constitucional porque las modificaciones introducidas por la norma de urgencia en el impuesto sobre sociedades alteran significativamente la posición del obligado a contribuir según su capacidad económica, y los elementos modificados inciden en la determinación de la base imponible sujeta a gravamen —elemento esencial del tributo, según ha declarado el Tribunal Constitucional— y en la cuantificación de la cuota líquida. Hace referencia, asimismo, a la doctrina constitucional relativa al límite material del art. 86.1 CE en relación con el deber de contribuir al sostenimiento del gasto público (art. 31.1 CE), señalando, en aplicación de la misma: que incide en el impuesto sobre sociedades, que es un pilar fundamental del sistema tributario; que las medidas aprobadas han afectado significativamente al principio de capacidad económica, ya que se incrementa la base imponible de forma generalizada para una gran mayoría de contribuyentes (con el consiguiente incremento de la recaudación, que era uno de los objetivos de las medidas introducidas); y que la modificación operada por el Real Decreto-ley 3/2016 ha incidido en los elementos esenciales del tributo. Asimismo, menciona el pronunciamiento contenido en la STC 78/2020, que declaró inconstitucional y nulo el Real Decreto-ley 2/2016, que modifi</w:t>
      </w:r>
      <w:r>
        <w:lastRenderedPageBreak/>
        <w:t>caba el régimen de pagos fraccionados del impuesto sobre sociedades, y afirma que aquí debe aplicarse idéntico razonamiento.</w:t>
      </w:r>
    </w:p>
    <w:p w14:paraId="1A60201C" w14:textId="77777777" w:rsidR="009D7677" w:rsidRDefault="009D7677" w:rsidP="009D7677">
      <w:pPr>
        <w:pStyle w:val="TextoNormal"/>
      </w:pPr>
    </w:p>
    <w:p w14:paraId="2B9251D8" w14:textId="77777777" w:rsidR="009D7677" w:rsidRDefault="009D7677" w:rsidP="009D7677">
      <w:pPr>
        <w:pStyle w:val="TextoNormal"/>
      </w:pPr>
      <w:r>
        <w:t>(ii) Por otra parte, y a pesar de que la Audiencia Nacional no fundamenta su argumentación en este motivo, añade el escrito de alegaciones que no concurre el presupuesto de la extraordinaria y urgente necesidad, según las exigencias que en tal sentido ha establecido la doctrina constitucional, señalando que el Gobierno se limitó a alegar que existía una situación de extraordinaria y urgente necesidad, pero sin justificarla ni aportar datos que acreditasen su concurrencia, y tampoco definió correctamente la conexión entre la urgencia y la medida concreta que se adoptaba para revertirla. Afirma, en tal sentido, que en la exposición de motivos de la norma se aprecian contradicciones y que las dudas sobre su concurrencia se pusieron de manifiesto en el debate de convalidación. Así pues, ese presupuesto no está suficientemente motivado, a lo que se añade la falta de acreditación de la conexión de sentido, pues el objetivo de aprobar las reformas en el ámbito del impuesto sobre sociedades era la reducción del déficit público para avanzar en el cumplimiento de los objetivos establecidos por la Unión Europea, oponiendo Lamigraf que el déficit se solventa mediante la reducción de los gastos, la mejora de la gestión pública y el incremento de ingresos. Además, observa que no existe la nota de imprevisión, puesto que la situación generada por las reformas tributarias anteriores era conocida, y, en último término, no existía una coyuntura económica problemática, sino, antes al contrario, una situación positiva, puesta de relieve tanto en la exposición de motivos como en el debate de convalidación por parte del ministro de Hacienda.</w:t>
      </w:r>
    </w:p>
    <w:p w14:paraId="5B707A46" w14:textId="77777777" w:rsidR="009D7677" w:rsidRDefault="009D7677" w:rsidP="009D7677">
      <w:pPr>
        <w:pStyle w:val="TextoNormal"/>
      </w:pPr>
    </w:p>
    <w:p w14:paraId="193BA633" w14:textId="77777777" w:rsidR="009D7677" w:rsidRDefault="009D7677" w:rsidP="009D7677">
      <w:pPr>
        <w:pStyle w:val="TextoNormal"/>
      </w:pPr>
      <w:r>
        <w:t xml:space="preserve">c) Acto seguido, se alega que la reversión obligatoria de los deterioros vulnera el principio de capacidad económica consagrado en el art. 31.1 CE, al gravar una renta inexistente, y el art. 9.3 CE. En cuanto a lo primero, señala que la reversión del deterioro no se realiza a medida que la sociedad participada recupera valor, sino de manera automática, de suerte que, en el caso de la recurrente en el proceso </w:t>
      </w:r>
      <w:r w:rsidRPr="009D7677">
        <w:rPr>
          <w:i/>
        </w:rPr>
        <w:t>a quo</w:t>
      </w:r>
      <w:r>
        <w:t>, a pesar de haber tenido pérdidas en el ejercicio, se ha visto obligada a practicar un ajuste extracontable positivo en su base imponible por la reversión del deterioro de las participaciones que han recuperado su valor en un importe mínimo. Esto es, a raíz de la modificación introducida en la disposición transitoria decimosexta LIS, se obliga a una sociedad que ha generado pérdidas a tributar e ingresar una cuota por importe de 345 315,19 €, lo que es un claro ejemplo de vulneración del principio de no confiscatoriedad. Aclara que la práctica del deterioro del valor de las participaciones de su filial no ha comportado nunca una menor tributación, ya que no generó beneficios, por lo que el importe de los deterioros solo incrementó las bases imponibles negativas. De tal suerte que, si se obliga a la reversión de los deterioros, y, simultáneamente, se limita la aplicación de las bases imponibles negativas, no se está ante una recuperación del impuesto diferido en el pasado, sino ante un anticipo de impuestos o ante una sobreimposición. A esta tacha anuda la concurrencia de la vulneración del principio constitucional de irretroactividad y seguridad jurídica (art. 9.3 CE), pues, a efectos prácticos, la reforma operada por el Real Decreto-ley 3/2016 viene a modificar la normativa aplicable en los ejercicios 2001-2012, pasando a considerar tales deterioros como no deducibles desde el momento en que se practicaron. Ello supone, además, un quebranto del principio de confianza legítima.</w:t>
      </w:r>
    </w:p>
    <w:p w14:paraId="2AB8FC77" w14:textId="77777777" w:rsidR="009D7677" w:rsidRDefault="009D7677" w:rsidP="009D7677">
      <w:pPr>
        <w:pStyle w:val="TextoNormal"/>
      </w:pPr>
    </w:p>
    <w:p w14:paraId="0AC2B703" w14:textId="77777777" w:rsidR="009D7677" w:rsidRDefault="009D7677" w:rsidP="009D7677">
      <w:pPr>
        <w:pStyle w:val="TextoNormal"/>
      </w:pPr>
      <w:r>
        <w:t xml:space="preserve">d) Finalmente, afirma el escrito de alegaciones que la limitación de las bases imponibles negativas, establecida en función de la cuantía de la cifra de negocios en la nueva </w:t>
      </w:r>
      <w:r>
        <w:lastRenderedPageBreak/>
        <w:t>disposición adicional decimoquinta LIS, resulta contraria al principio de capacidad económica (art. 31.1 CE) y a los principios de igualdad (art. 14 CE) y de justicia tributaria (art. 31.1 CE).</w:t>
      </w:r>
    </w:p>
    <w:p w14:paraId="1E5F16CD" w14:textId="77777777" w:rsidR="009D7677" w:rsidRDefault="009D7677" w:rsidP="009D7677">
      <w:pPr>
        <w:pStyle w:val="TextoNormal"/>
      </w:pPr>
    </w:p>
    <w:p w14:paraId="1A0C3E15" w14:textId="77777777" w:rsidR="009D7677" w:rsidRDefault="009D7677" w:rsidP="009D7677">
      <w:pPr>
        <w:pStyle w:val="TextoNormal"/>
      </w:pPr>
      <w:r>
        <w:t>(i) En primer lugar, considera que la mecánica de limitar la compensación de esas bases negativas es inconstitucional porque genera que se tribute sobre beneficios ficticios. Defiende que el respeto al principio de capacidad económica en la limitación de las bases negativas debe analizarse desde una perspectiva dinámica plurianual, a pesar de que el sistema de declaración de ingresos del impuesto sobre sociedades sea anual por cuestiones prácticas y recaudatorias. En este sentido, señala que el régimen anterior no preveía la limitación de las bases imponibles negativas, lo que tenía una lógica económica y jurídica, pues, hasta que la sociedad no recupera su valor, no pone de manifiesto capacidad económica alguna. Por tanto, no permitir compensarlas sin limitación conculca el principio de capacidad económica, al hacer tributar por unas rentas a una sociedad que, en cómputo global, no ha generado beneficios, sino pérdidas.</w:t>
      </w:r>
    </w:p>
    <w:p w14:paraId="0C6ADDF4" w14:textId="77777777" w:rsidR="009D7677" w:rsidRDefault="009D7677" w:rsidP="009D7677">
      <w:pPr>
        <w:pStyle w:val="TextoNormal"/>
      </w:pPr>
    </w:p>
    <w:p w14:paraId="61A50EA4" w14:textId="36DA152A" w:rsidR="009D7677" w:rsidRDefault="009D7677" w:rsidP="009D7677">
      <w:pPr>
        <w:pStyle w:val="TextoNormal"/>
      </w:pPr>
      <w:r>
        <w:t>(ii) En segundo lugar, el parámetro que utiliza el Real Decreto-ley 3/2016 para diferenciar la tributación a soportar por los obligados tributarios del impuesto sobre sociedades genera efectos discriminatorios constitucionalmente prohibidos, al establecer como parámetro diferenciador el importe neto de la cifra de negocios en los doce meses anteriores, que produce una diferencia de trato fiscal para contribuyentes que han manifestado la misma capacidad económica, sin que esa desigualdad esté justificada en el real decreto-ley, por lo que resulta arbitraria. Y, finalmente, la medida no es proporcional al objetivo perseguido, ya que la limitación de las bases negativas en función de aquel parámetro provoca distorsiones incluso en la mecánica de determinación de la cuota tributaria, convirtiendo un tipo de gravamen único en impuesto progresivo, con generación de resultados carentes de justificación que comportan que se haga tributar más a quien menos beneficios produce.</w:t>
      </w:r>
    </w:p>
    <w:p w14:paraId="046FB394" w14:textId="77777777" w:rsidR="009D7677" w:rsidRDefault="009D7677" w:rsidP="009D7677">
      <w:pPr>
        <w:pStyle w:val="TextoNormal"/>
      </w:pPr>
    </w:p>
    <w:p w14:paraId="25A33172" w14:textId="00ACA5B4" w:rsidR="009D7677" w:rsidRDefault="009D7677" w:rsidP="009D7677">
      <w:pPr>
        <w:pStyle w:val="TextoNormal"/>
      </w:pPr>
      <w:r w:rsidRPr="009D7677">
        <w:rPr>
          <w:rStyle w:val="NumeroAFNegritaCaracter"/>
        </w:rPr>
        <w:t>11</w:t>
      </w:r>
      <w:r>
        <w:t>. Mediante providencia de 30 de enero de 2024 se señaló ese mismo día para deliberación y fallo de la presente sentencia.</w:t>
      </w:r>
    </w:p>
    <w:p w14:paraId="7524D7D1" w14:textId="77777777" w:rsidR="009D7677" w:rsidRDefault="009D7677" w:rsidP="009D7677">
      <w:pPr>
        <w:pStyle w:val="TextoNormal"/>
      </w:pPr>
    </w:p>
    <w:p w14:paraId="6233F537" w14:textId="77777777" w:rsidR="009D7677" w:rsidRDefault="009D7677" w:rsidP="009D7677">
      <w:pPr>
        <w:pStyle w:val="TextoNormalNegritaCentrado"/>
        <w:keepNext/>
      </w:pPr>
      <w:r>
        <w:t>II. Fundamentos jurídicos</w:t>
      </w:r>
    </w:p>
    <w:p w14:paraId="245598DB" w14:textId="02D5E161" w:rsidR="009D7677" w:rsidRDefault="009D7677" w:rsidP="009D7677">
      <w:pPr>
        <w:pStyle w:val="TextoNormalNegritaCentrado"/>
        <w:keepNext/>
      </w:pPr>
    </w:p>
    <w:p w14:paraId="27E917E0" w14:textId="77777777" w:rsidR="009D7677" w:rsidRDefault="009D7677" w:rsidP="009D7677">
      <w:pPr>
        <w:pStyle w:val="TextoNormal"/>
      </w:pPr>
      <w:r w:rsidRPr="009D7677">
        <w:rPr>
          <w:rStyle w:val="NumeroAFNegritaCaracter"/>
        </w:rPr>
        <w:t>1</w:t>
      </w:r>
      <w:r>
        <w:t xml:space="preserve">. </w:t>
      </w:r>
      <w:r w:rsidRPr="009D7677">
        <w:rPr>
          <w:i/>
        </w:rPr>
        <w:t>Objeto de la cuestión de inconstitucionalidad y posiciones de las partes</w:t>
      </w:r>
    </w:p>
    <w:p w14:paraId="6FC16C77" w14:textId="77777777" w:rsidR="009D7677" w:rsidRDefault="009D7677" w:rsidP="009D7677">
      <w:pPr>
        <w:pStyle w:val="TextoNormal"/>
      </w:pPr>
    </w:p>
    <w:p w14:paraId="78CABA1F" w14:textId="77777777" w:rsidR="009D7677" w:rsidRDefault="009D7677" w:rsidP="009D7677">
      <w:pPr>
        <w:pStyle w:val="TextoNormal"/>
      </w:pPr>
      <w:r>
        <w:t xml:space="preserve">La Sección Segunda de la Sala de lo Contencioso-Administrativo de la Audiencia Nacional plantea cuestión de inconstitucionalidad contra el art. 3.1 del Real Decreto-ley 3/2016, de 2 de diciembre, por el que se adoptan medidas en el ámbito tributario dirigidas a la consolidación de las finanzas públicas y otras medidas urgentes en materia social. En concreto, la cuestión se dirige contra el apartado primero, que añade una disposición adicional decimoquinta a la Ley 27/2014, de 27 de noviembre, del impuesto sobre sociedades, y contra el apartado segundo, que modifica la disposición transitoria decimosexta de la misma ley, si bien, en el primer caso, la duda de constitucionalidad se centra exclusivamente en el apartado primero de la disposición adicional decimoquinta LIS (que es el único apartado que reproduce el auto de planteamiento), y, en el supuesto del apartado </w:t>
      </w:r>
      <w:r>
        <w:lastRenderedPageBreak/>
        <w:t>segundo, la tacha de inconstitucionalidad se limita al apartado tercero de la disposición transitoria decimosexta LIS.</w:t>
      </w:r>
    </w:p>
    <w:p w14:paraId="54C361BC" w14:textId="77777777" w:rsidR="009D7677" w:rsidRDefault="009D7677" w:rsidP="009D7677">
      <w:pPr>
        <w:pStyle w:val="TextoNormal"/>
      </w:pPr>
    </w:p>
    <w:p w14:paraId="3EBB5B07" w14:textId="77777777" w:rsidR="009D7677" w:rsidRDefault="009D7677" w:rsidP="009D7677">
      <w:pPr>
        <w:pStyle w:val="TextoNormal"/>
      </w:pPr>
      <w:r>
        <w:t>Los preceptos cuestionados establecen lo siguiente:</w:t>
      </w:r>
    </w:p>
    <w:p w14:paraId="786758D4" w14:textId="77777777" w:rsidR="009D7677" w:rsidRDefault="009D7677" w:rsidP="009D7677">
      <w:pPr>
        <w:pStyle w:val="TextoNormal"/>
      </w:pPr>
    </w:p>
    <w:p w14:paraId="1D8A7578" w14:textId="77777777" w:rsidR="009D7677" w:rsidRDefault="009D7677" w:rsidP="009D7677">
      <w:pPr>
        <w:pStyle w:val="TextoNormal"/>
      </w:pPr>
      <w:r>
        <w:t>“Artículo 3. Modificaciones de la Ley 27/2014, de 27 de noviembre, del impuesto sobre sociedades</w:t>
      </w:r>
    </w:p>
    <w:p w14:paraId="39F800AF" w14:textId="77777777" w:rsidR="009D7677" w:rsidRDefault="009D7677" w:rsidP="009D7677">
      <w:pPr>
        <w:pStyle w:val="TextoNormal"/>
      </w:pPr>
    </w:p>
    <w:p w14:paraId="2E0AD430" w14:textId="77777777" w:rsidR="009D7677" w:rsidRDefault="009D7677" w:rsidP="009D7677">
      <w:pPr>
        <w:pStyle w:val="TextoNormal"/>
      </w:pPr>
      <w:r>
        <w:t>Primero. Con efectos para los períodos impositivos que se inicien a partir de 1 de enero de 2016, se introducen las siguientes modificaciones en la Ley 27/2014, de 27 de noviembre, del impuesto sobre sociedades:</w:t>
      </w:r>
    </w:p>
    <w:p w14:paraId="3A651B38" w14:textId="77777777" w:rsidR="009D7677" w:rsidRDefault="009D7677" w:rsidP="009D7677">
      <w:pPr>
        <w:pStyle w:val="TextoNormal"/>
      </w:pPr>
    </w:p>
    <w:p w14:paraId="597DC60C" w14:textId="77777777" w:rsidR="009D7677" w:rsidRDefault="009D7677" w:rsidP="009D7677">
      <w:pPr>
        <w:pStyle w:val="TextoNormal"/>
      </w:pPr>
      <w:r>
        <w:t>Uno. Se añade una disposición adicional decimoquinta, que queda redactada de la siguiente forma:</w:t>
      </w:r>
    </w:p>
    <w:p w14:paraId="78043726" w14:textId="77777777" w:rsidR="009D7677" w:rsidRDefault="009D7677" w:rsidP="009D7677">
      <w:pPr>
        <w:pStyle w:val="TextoNormal"/>
      </w:pPr>
    </w:p>
    <w:p w14:paraId="1778DF8C" w14:textId="77777777" w:rsidR="009D7677" w:rsidRDefault="009D7677" w:rsidP="009D7677">
      <w:pPr>
        <w:pStyle w:val="TextoNormal"/>
      </w:pPr>
      <w:r>
        <w:t>‘Disposición adicional decimoquinta. Límites aplicables a las grandes empresas en períodos impositivos iniciados a partir de 1 de enero de 2016</w:t>
      </w:r>
    </w:p>
    <w:p w14:paraId="060C6FDE" w14:textId="77777777" w:rsidR="009D7677" w:rsidRDefault="009D7677" w:rsidP="009D7677">
      <w:pPr>
        <w:pStyle w:val="TextoNormal"/>
      </w:pPr>
    </w:p>
    <w:p w14:paraId="6F8843B5" w14:textId="77777777" w:rsidR="009D7677" w:rsidRDefault="009D7677" w:rsidP="009D7677">
      <w:pPr>
        <w:pStyle w:val="TextoNormal"/>
      </w:pPr>
      <w:r>
        <w:t>Los contribuyentes cuyo importe neto de la cifra de negocios sea al menos de veinte millones de euros durante los doce meses anteriores a la fecha en que se inicie el período impositivo, aplicarán las siguientes especialidades:</w:t>
      </w:r>
    </w:p>
    <w:p w14:paraId="148AB57F" w14:textId="77777777" w:rsidR="009D7677" w:rsidRDefault="009D7677" w:rsidP="009D7677">
      <w:pPr>
        <w:pStyle w:val="TextoNormal"/>
      </w:pPr>
    </w:p>
    <w:p w14:paraId="4E1867DB" w14:textId="77777777" w:rsidR="009D7677" w:rsidRDefault="009D7677" w:rsidP="009D7677">
      <w:pPr>
        <w:pStyle w:val="TextoNormal"/>
      </w:pPr>
      <w:r>
        <w:t>1. Los límites establecidos en el apartado 12 del artículo 11 , en el primer párrafo del apartado 1 del artículo 26 , en la letra e) del apartado 1 del artículo 62 y en las letras d) y e) del artículo 67 , de esta ley se sustituirán por los siguientes:</w:t>
      </w:r>
    </w:p>
    <w:p w14:paraId="6F016778" w14:textId="77777777" w:rsidR="009D7677" w:rsidRDefault="009D7677" w:rsidP="009D7677">
      <w:pPr>
        <w:pStyle w:val="TextoNormal"/>
      </w:pPr>
    </w:p>
    <w:p w14:paraId="26F199C7" w14:textId="77777777" w:rsidR="009D7677" w:rsidRDefault="009D7677" w:rsidP="009D7677">
      <w:pPr>
        <w:pStyle w:val="TextoNormal"/>
      </w:pPr>
      <w:r>
        <w:t>– El 50 por 100, cuando en los referidos doce meses el importe neto de la cifra de negocios sea al menos de veinte millones de euros pero inferior a sesenta millones de euros.</w:t>
      </w:r>
    </w:p>
    <w:p w14:paraId="6661D6CD" w14:textId="77777777" w:rsidR="009D7677" w:rsidRDefault="009D7677" w:rsidP="009D7677">
      <w:pPr>
        <w:pStyle w:val="TextoNormal"/>
      </w:pPr>
    </w:p>
    <w:p w14:paraId="39F1D887" w14:textId="77777777" w:rsidR="009D7677" w:rsidRDefault="009D7677" w:rsidP="009D7677">
      <w:pPr>
        <w:pStyle w:val="TextoNormal"/>
      </w:pPr>
      <w:r>
        <w:t>– El 25 por 100, cuando en los referidos doce meses el importe neto de la cifra de negocios sea al menos de sesenta millones de euros.</w:t>
      </w:r>
    </w:p>
    <w:p w14:paraId="118E56E6" w14:textId="77777777" w:rsidR="009D7677" w:rsidRDefault="009D7677" w:rsidP="009D7677">
      <w:pPr>
        <w:pStyle w:val="TextoNormal"/>
      </w:pPr>
    </w:p>
    <w:p w14:paraId="051F9A95" w14:textId="77777777" w:rsidR="009D7677" w:rsidRDefault="009D7677" w:rsidP="009D7677">
      <w:pPr>
        <w:pStyle w:val="TextoNormal"/>
      </w:pPr>
      <w:r>
        <w:t>[…]’</w:t>
      </w:r>
    </w:p>
    <w:p w14:paraId="67B1E046" w14:textId="77777777" w:rsidR="009D7677" w:rsidRDefault="009D7677" w:rsidP="009D7677">
      <w:pPr>
        <w:pStyle w:val="TextoNormal"/>
      </w:pPr>
    </w:p>
    <w:p w14:paraId="042ADBF3" w14:textId="77777777" w:rsidR="009D7677" w:rsidRDefault="009D7677" w:rsidP="009D7677">
      <w:pPr>
        <w:pStyle w:val="TextoNormal"/>
      </w:pPr>
      <w:r>
        <w:t>Dos. Se modifica la disposición transitoria decimosexta, que queda redactada de la siguiente forma:</w:t>
      </w:r>
    </w:p>
    <w:p w14:paraId="1273B302" w14:textId="77777777" w:rsidR="009D7677" w:rsidRDefault="009D7677" w:rsidP="009D7677">
      <w:pPr>
        <w:pStyle w:val="TextoNormal"/>
      </w:pPr>
    </w:p>
    <w:p w14:paraId="57495C59" w14:textId="77777777" w:rsidR="009D7677" w:rsidRDefault="009D7677" w:rsidP="009D7677">
      <w:pPr>
        <w:pStyle w:val="TextoNormal"/>
      </w:pPr>
      <w:r>
        <w:t>‘Disposición transitoria decimosexta. Régimen transitorio aplicable a las pérdidas por deterioro de los valores representativos de la participación en el capital o en los fondos propios de entidades, y a las rentas negativas obtenidas en el extranjero a través de un establecimiento permanente, generadas en períodos impositivos iniciados con anterioridad a 1 de enero de 2013</w:t>
      </w:r>
    </w:p>
    <w:p w14:paraId="30890420" w14:textId="77777777" w:rsidR="009D7677" w:rsidRDefault="009D7677" w:rsidP="009D7677">
      <w:pPr>
        <w:pStyle w:val="TextoNormal"/>
      </w:pPr>
    </w:p>
    <w:p w14:paraId="4DAAA61E" w14:textId="77777777" w:rsidR="009D7677" w:rsidRDefault="009D7677" w:rsidP="009D7677">
      <w:pPr>
        <w:pStyle w:val="TextoNormal"/>
      </w:pPr>
      <w:r>
        <w:t>[…]</w:t>
      </w:r>
    </w:p>
    <w:p w14:paraId="57CAF2E8" w14:textId="77777777" w:rsidR="009D7677" w:rsidRDefault="009D7677" w:rsidP="009D7677">
      <w:pPr>
        <w:pStyle w:val="TextoNormal"/>
      </w:pPr>
    </w:p>
    <w:p w14:paraId="2AA7A03E" w14:textId="77777777" w:rsidR="009D7677" w:rsidRDefault="009D7677" w:rsidP="009D7677">
      <w:pPr>
        <w:pStyle w:val="TextoNormal"/>
      </w:pPr>
      <w:r>
        <w:t xml:space="preserve">3. En todo caso, la reversión de las pérdidas por deterioro de los valores representativos de la participación en el capital o en los fondos propios de entidades que hayan resultado fiscalmente deducibles en la base imponible del impuesto sobre sociedades en períodos </w:t>
      </w:r>
      <w:r>
        <w:lastRenderedPageBreak/>
        <w:t>impositivos iniciados con anterioridad a 1 de enero de 2013, se integrará, como mínimo, por partes iguales en la base imponible correspondiente a cada uno de los cinco primeros períodos impositivos que se inicien a partir de 1 de enero de 2016.</w:t>
      </w:r>
    </w:p>
    <w:p w14:paraId="5A825239" w14:textId="77777777" w:rsidR="009D7677" w:rsidRDefault="009D7677" w:rsidP="009D7677">
      <w:pPr>
        <w:pStyle w:val="TextoNormal"/>
      </w:pPr>
    </w:p>
    <w:p w14:paraId="02D3FBBE" w14:textId="77777777" w:rsidR="009D7677" w:rsidRDefault="009D7677" w:rsidP="009D7677">
      <w:pPr>
        <w:pStyle w:val="TextoNormal"/>
      </w:pPr>
      <w:r>
        <w:t>En el supuesto de haberse producido la reversión de un importe superior por aplicación de lo dispuesto en los apartados primero o segundo de esta disposición, el saldo que reste se integrará por partes iguales entre los restantes períodos impositivos.</w:t>
      </w:r>
    </w:p>
    <w:p w14:paraId="14A0E090" w14:textId="77777777" w:rsidR="009D7677" w:rsidRDefault="009D7677" w:rsidP="009D7677">
      <w:pPr>
        <w:pStyle w:val="TextoNormal"/>
      </w:pPr>
    </w:p>
    <w:p w14:paraId="5173612E" w14:textId="77777777" w:rsidR="009D7677" w:rsidRDefault="009D7677" w:rsidP="009D7677">
      <w:pPr>
        <w:pStyle w:val="TextoNormal"/>
      </w:pPr>
      <w:r>
        <w:t>No obstante, en caso de transmisión de los valores representativos de la participación en el capital o en los fondos propios de entidades durante los referidos períodos impositivos, se integrarán en la base imponible del período impositivo en que aquella se produzca las cantidades pendientes de revertir, con el límite de la renta positiva derivada de esa transmisión.</w:t>
      </w:r>
    </w:p>
    <w:p w14:paraId="63B2BF7E" w14:textId="77777777" w:rsidR="009D7677" w:rsidRDefault="009D7677" w:rsidP="009D7677">
      <w:pPr>
        <w:pStyle w:val="TextoNormal"/>
      </w:pPr>
    </w:p>
    <w:p w14:paraId="6D29A34A" w14:textId="77777777" w:rsidR="009D7677" w:rsidRDefault="009D7677" w:rsidP="009D7677">
      <w:pPr>
        <w:pStyle w:val="TextoNormal"/>
      </w:pPr>
      <w:r>
        <w:t>[…]’”.</w:t>
      </w:r>
    </w:p>
    <w:p w14:paraId="11BEE7BB" w14:textId="77777777" w:rsidR="009D7677" w:rsidRDefault="009D7677" w:rsidP="009D7677">
      <w:pPr>
        <w:pStyle w:val="TextoNormal"/>
      </w:pPr>
    </w:p>
    <w:p w14:paraId="47B4E27B" w14:textId="77777777" w:rsidR="009D7677" w:rsidRDefault="009D7677" w:rsidP="009D7677">
      <w:pPr>
        <w:pStyle w:val="TextoNormal"/>
      </w:pPr>
      <w:r>
        <w:t>El órgano judicial considera que los preceptos cuestionados vulneran el límite material que el art. 86.1 CE impone a los decretos-leyes, al afectar a la capacidad económica de los contribuyentes (art. 31.1 CE), ya que modifican la regulación del impuesto sobre sociedades, que es un pilar básico de la imposición directa en España, estableciendo unos límites más estrictos para la compensación de bases imponible negativas y la obligación de integrar en la base imponible los deterioros de los valores representativos de la participación en el capital o en los fondos propios de entidades que hayan sido deducidos en ejercicios anteriores. Se introducen con ello unas innovaciones que, por su entidad cuantitativa, alteran significativamente la posición del obligado a contribuir según su capacidad económica en el conjunto del sistema tributario, y que, además, afectan a elementos esenciales del impuesto, ya que producen una modificación sustancial en la determinación de la base imponible y en la cuantificación de la cuota líquida. A lo anterior añade que la incidencia de las medidas incorporadas por el Real Decreto-ley 3/2016 respecto al deber de contribuir al sostenimiento de los gastos públicos queda evidenciada en el propio preámbulo de dicha norma, que hace referencia a la adopción de “tres medidas de relevancia” con “un ensanchamiento de las bases imponibles de las entidades españolas, en unos casos” y de “asegurar el nivel de recaudación adecuado de esta figura impositiva”.</w:t>
      </w:r>
    </w:p>
    <w:p w14:paraId="114F71DF" w14:textId="77777777" w:rsidR="009D7677" w:rsidRDefault="009D7677" w:rsidP="009D7677">
      <w:pPr>
        <w:pStyle w:val="TextoNormal"/>
      </w:pPr>
    </w:p>
    <w:p w14:paraId="215A5065" w14:textId="7B511D92" w:rsidR="009D7677" w:rsidRDefault="009D7677" w:rsidP="009D7677">
      <w:pPr>
        <w:pStyle w:val="TextoNormal"/>
      </w:pPr>
      <w:r>
        <w:t xml:space="preserve">El fiscal general del Estado, así como la entidad recurrente en el procedimiento </w:t>
      </w:r>
      <w:r w:rsidRPr="009D7677">
        <w:rPr>
          <w:i/>
        </w:rPr>
        <w:t>a quo</w:t>
      </w:r>
      <w:r>
        <w:t>, interesan la estimación de la cuestión de inconstitucionalidad, mientras que el abogado del Estado ha solicitado su desestimación, de acuerdo con los argumentos que han quedado recogidos en los antecedentes.</w:t>
      </w:r>
    </w:p>
    <w:p w14:paraId="79581FB0" w14:textId="77777777" w:rsidR="009D7677" w:rsidRDefault="009D7677" w:rsidP="009D7677">
      <w:pPr>
        <w:pStyle w:val="TextoNormal"/>
      </w:pPr>
    </w:p>
    <w:p w14:paraId="25CCE1BB" w14:textId="77777777" w:rsidR="009D7677" w:rsidRDefault="009D7677" w:rsidP="009D7677">
      <w:pPr>
        <w:pStyle w:val="TextoNormal"/>
      </w:pPr>
      <w:r w:rsidRPr="009D7677">
        <w:rPr>
          <w:rStyle w:val="NumeroAFNegritaCaracter"/>
        </w:rPr>
        <w:t>2</w:t>
      </w:r>
      <w:r>
        <w:t xml:space="preserve">. </w:t>
      </w:r>
      <w:r w:rsidRPr="009D7677">
        <w:rPr>
          <w:i/>
        </w:rPr>
        <w:t>Pervivencia de la cuestión de inconstitucionalidad: extinción por pérdida sobrevenida de objeto</w:t>
      </w:r>
    </w:p>
    <w:p w14:paraId="55F52DAF" w14:textId="77777777" w:rsidR="009D7677" w:rsidRDefault="009D7677" w:rsidP="009D7677">
      <w:pPr>
        <w:pStyle w:val="TextoNormal"/>
      </w:pPr>
    </w:p>
    <w:p w14:paraId="421FCC7D" w14:textId="77777777" w:rsidR="009D7677" w:rsidRDefault="009D7677" w:rsidP="009D7677">
      <w:pPr>
        <w:pStyle w:val="TextoNormal"/>
      </w:pPr>
      <w:r>
        <w:t>La cuestión de inconstitucionalidad que nos ocupa guarda una identidad sustancial con la núm. 2577-2023, promovida por el mismo órgano judicial, y resuelta recientemente por este tribunal en la STC 11/2024, de 18 de enero, en la que hemos declarado la inconstitucionalidad y nulidad de los preceptos aquí cuestionados, porque las medidas que en ellos se regulan “han tenido, tanto en conjunto, como aisladamente consideradas, un impacto notable en los elementos estructurales (base imponible y cuota líquida) de una pieza fun</w:t>
      </w:r>
      <w:r>
        <w:lastRenderedPageBreak/>
        <w:t>damental del sistema tributario como es el impuesto sobre sociedades” con la consiguiente afección sobre la esencia del deber de contribuir de los obligados por este tributo (art. 31.1 CE), por lo que, con su aprobación mediante decreto-ley, se ha vulnerado lo dispuesto en el art. 86.1 CE (FJ 3), por haber trasvasado los límites materiales establecidos en este último precepto.</w:t>
      </w:r>
    </w:p>
    <w:p w14:paraId="3DC7FB5B" w14:textId="77777777" w:rsidR="009D7677" w:rsidRDefault="009D7677" w:rsidP="009D7677">
      <w:pPr>
        <w:pStyle w:val="TextoNormal"/>
      </w:pPr>
    </w:p>
    <w:p w14:paraId="459F7A3D" w14:textId="42C8132F" w:rsidR="009D7677" w:rsidRDefault="009D7677" w:rsidP="009D7677">
      <w:pPr>
        <w:pStyle w:val="TextoNormal"/>
      </w:pPr>
      <w:r>
        <w:t>En consecuencia, los preceptos cuestionados en el presente proceso constitucional han sido ya expulsados del ordenamiento jurídico en los términos señalados por la STC 11/2024. Este pronunciamiento determina, de acuerdo con reiterada doctrina constitucional [entre otras muchas, SSTC 149/2014, de 22 de septiembre, FJ 4, y 153/2019, de 25 de noviembre, FJ único b); y AATC 140/2013, de 3 de junio, FJ único; 101/2017, de 4 de julio, FJ único, y 66/2022, de 7 de abril, FJ 3] la extinción, por desaparición sobrevenida de su objeto, de la presente cuestión de inconstitucionalidad.</w:t>
      </w:r>
    </w:p>
    <w:p w14:paraId="382318E3" w14:textId="77777777" w:rsidR="009D7677" w:rsidRDefault="009D7677" w:rsidP="009D7677">
      <w:pPr>
        <w:pStyle w:val="TextoNormal"/>
      </w:pPr>
    </w:p>
    <w:p w14:paraId="3B125A47" w14:textId="77777777" w:rsidR="009D7677" w:rsidRDefault="009D7677" w:rsidP="009D7677">
      <w:pPr>
        <w:pStyle w:val="TextoNormalCentrado"/>
        <w:keepNext/>
      </w:pPr>
      <w:r>
        <w:t>FALLO</w:t>
      </w:r>
    </w:p>
    <w:p w14:paraId="528754F5" w14:textId="2CD323D5" w:rsidR="009D7677" w:rsidRDefault="009D7677" w:rsidP="009D7677">
      <w:pPr>
        <w:pStyle w:val="TextoNormalCentrado"/>
        <w:keepNext/>
      </w:pPr>
    </w:p>
    <w:p w14:paraId="72C92643" w14:textId="5CDEF2B6" w:rsidR="009D7677" w:rsidRDefault="009D7677" w:rsidP="009D7677">
      <w:pPr>
        <w:pStyle w:val="TextoNormal"/>
      </w:pPr>
      <w:r>
        <w:t>En atención a todo lo expuesto, el Tribunal Constitucional, por la autoridad que le confiere la Constitución de la Nación española, ha decidido declarar extinguida, por desaparición sobrevenida de su objeto, la cuestión de inconstitucionalidad promovida por la Sección Segunda de la Sala de lo Contencioso-Administrativo de la Audiencia Nacional, en relación con el artículo 3.1, apartados primero y segundo, del Real Decreto-ley 3/2016, de 2 de diciembre, por el que se adoptan medidas en el ámbito tributario dirigidas a la consolidación de las finanzas públicas y otras medidas urgentes en materia social.</w:t>
      </w:r>
    </w:p>
    <w:p w14:paraId="004B3FB6" w14:textId="77777777" w:rsidR="009D7677" w:rsidRDefault="009D7677" w:rsidP="009D7677">
      <w:pPr>
        <w:pStyle w:val="TextoNormal"/>
      </w:pPr>
    </w:p>
    <w:p w14:paraId="6AC9DA4A" w14:textId="77777777" w:rsidR="009D7677" w:rsidRDefault="009D7677" w:rsidP="009D7677">
      <w:pPr>
        <w:pStyle w:val="TextoNormal"/>
      </w:pPr>
      <w:r>
        <w:t>Publíquese esta sentencia en el “Boletín Oficial del Estado”.</w:t>
      </w:r>
    </w:p>
    <w:p w14:paraId="08A33A05" w14:textId="77777777" w:rsidR="009D7677" w:rsidRDefault="009D7677" w:rsidP="009D7677">
      <w:pPr>
        <w:pStyle w:val="TextoNormal"/>
      </w:pPr>
      <w:r>
        <w:t>Dada en Madrid, a treinta de enero de dos mil veinticuatro.</w:t>
      </w:r>
    </w:p>
    <w:p w14:paraId="00EFDE6D" w14:textId="0D34B585" w:rsidR="009D7677" w:rsidRDefault="009D7677">
      <w:pPr>
        <w:spacing w:after="160" w:line="259" w:lineRule="auto"/>
        <w:rPr>
          <w:rFonts w:ascii="Times New Roman" w:eastAsia="Times New Roman" w:hAnsi="Times New Roman" w:cs="Times New Roman"/>
          <w:sz w:val="24"/>
          <w:szCs w:val="24"/>
          <w:lang w:eastAsia="es-ES"/>
        </w:rPr>
      </w:pPr>
      <w:r>
        <w:br w:type="page"/>
      </w:r>
    </w:p>
    <w:p w14:paraId="0F00AC99" w14:textId="77777777" w:rsidR="009D7677" w:rsidRDefault="009D7677" w:rsidP="009D7677">
      <w:pPr>
        <w:pStyle w:val="TtuloResolucin"/>
      </w:pPr>
      <w:bookmarkStart w:id="19" w:name="SENTENCIA_2024_17"/>
      <w:r>
        <w:lastRenderedPageBreak/>
        <w:t>SENTENCIA 17/2024, de 31 de enero de 2024</w:t>
      </w:r>
    </w:p>
    <w:bookmarkEnd w:id="19"/>
    <w:p w14:paraId="69AF082C" w14:textId="77777777" w:rsidR="009D7677" w:rsidRDefault="009D7677" w:rsidP="009D7677">
      <w:pPr>
        <w:pStyle w:val="TtuloResolucin"/>
      </w:pPr>
      <w:r>
        <w:t>Pleno</w:t>
      </w:r>
    </w:p>
    <w:p w14:paraId="58E21968" w14:textId="77777777" w:rsidR="009D7677" w:rsidRDefault="009D7677" w:rsidP="009D7677">
      <w:pPr>
        <w:pStyle w:val="TtuloBOE"/>
      </w:pPr>
      <w:r>
        <w:t>(BOE núm. 53, de 29 de febrero de 2024)</w:t>
      </w:r>
    </w:p>
    <w:p w14:paraId="6B21E680" w14:textId="77777777" w:rsidR="009D7677" w:rsidRDefault="009D7677" w:rsidP="009D7677">
      <w:pPr>
        <w:pStyle w:val="TextoNormalCentrado"/>
      </w:pPr>
      <w:r>
        <w:t>ECLI:ES:TC:2024:17</w:t>
      </w:r>
    </w:p>
    <w:p w14:paraId="08D1063E" w14:textId="55E91D9D" w:rsidR="009D7677" w:rsidRDefault="009D7677" w:rsidP="009D7677">
      <w:pPr>
        <w:pStyle w:val="TextoNormalCentrado"/>
      </w:pPr>
    </w:p>
    <w:p w14:paraId="1583EF8B" w14:textId="77777777" w:rsidR="009D7677" w:rsidRDefault="009D7677" w:rsidP="009D7677">
      <w:pPr>
        <w:pStyle w:val="SntesisDescriptiva"/>
      </w:pPr>
      <w:r>
        <w:t>Recurso de amparo 5249-2021. Promovido por don Rachid Assham respecto de los autos dictados por la Sección Segunda y el Pleno de la Sala de lo Penal de la Audiencia Nacional que autorizaron su extradición a Marruecos.</w:t>
      </w:r>
    </w:p>
    <w:p w14:paraId="2C1DECDC" w14:textId="131486CC" w:rsidR="009D7677" w:rsidRDefault="009D7677" w:rsidP="009D7677">
      <w:pPr>
        <w:pStyle w:val="SntesisDescriptiva"/>
      </w:pPr>
    </w:p>
    <w:p w14:paraId="314BAED3" w14:textId="77777777" w:rsidR="009D7677" w:rsidRDefault="009D7677" w:rsidP="009D7677">
      <w:pPr>
        <w:pStyle w:val="SntesisAnaltica"/>
      </w:pPr>
      <w:r>
        <w:t>Supuesta vulneración de los derechos a la tutela judicial efectiva y a un proceso con todas las garantías en conexión con los derechos a la libertad personal, de residencia y circulación: resoluciones judiciales que acuerdan la extradición a partir de una documentación que no permite poner en duda la necesidad y proporcionalidad de la decisión adoptada por la fiscalía de Marruecos de solicitar la entrega para asegurar el enjuiciamiento del afectado.</w:t>
      </w:r>
    </w:p>
    <w:p w14:paraId="2FE223BC" w14:textId="3969F794" w:rsidR="009D7677" w:rsidRDefault="009D7677" w:rsidP="009D7677">
      <w:pPr>
        <w:pStyle w:val="SntesisAnaltica"/>
      </w:pPr>
    </w:p>
    <w:p w14:paraId="2D7C72D4" w14:textId="7E8AA56B" w:rsidR="009D7677" w:rsidRDefault="009D7677" w:rsidP="009D7677">
      <w:pPr>
        <w:pStyle w:val="Extracto"/>
      </w:pPr>
      <w:r>
        <w:t>1.</w:t>
      </w:r>
      <w:r>
        <w:tab/>
        <w:t xml:space="preserve">Los órganos de la Audiencia Nacional que reciben de otro Estado una solicitud de extradición para someter a enjuiciamiento a una persona reclamada ostentan un deber de tutela de los derechos fundamentales a la libertad personal (art. 17.1 CE) y de circulación (art. 19 CE) del </w:t>
      </w:r>
      <w:r w:rsidRPr="009D7677">
        <w:rPr>
          <w:i/>
        </w:rPr>
        <w:t>extraditurus</w:t>
      </w:r>
      <w:r>
        <w:t xml:space="preserve"> que, conforme a la doctrina fijada en las SSTC 147/2020 y 147/2021, exige la verificación de que: (i) la autoridad que ha solicitado la entrega ha obrado con la debida objetividad e imparcialidad y (ii) que cuenta para ello con el refrendo de una autoridad judicial independiente, si ella misma carece de esa naturaleza [FJ 3].</w:t>
      </w:r>
    </w:p>
    <w:p w14:paraId="14E684EE" w14:textId="77777777" w:rsidR="009D7677" w:rsidRDefault="009D7677" w:rsidP="009D7677">
      <w:pPr>
        <w:pStyle w:val="Extracto"/>
      </w:pPr>
    </w:p>
    <w:p w14:paraId="3E4452E3" w14:textId="71681D1F" w:rsidR="009D7677" w:rsidRDefault="009D7677" w:rsidP="009D7677">
      <w:pPr>
        <w:pStyle w:val="Extracto"/>
      </w:pPr>
      <w:r>
        <w:t>2.</w:t>
      </w:r>
      <w:r>
        <w:tab/>
        <w:t>La eventual vulneración del derecho a la libertad que pueda derivarse de la falta de fundamento material o de vicios invalidantes en las decisiones adoptadas por las autoridades del Estado requirente son de la exclusiva responsabilidad de estas; pero ello no dispensa a los órganos judiciales españoles de adoptar las medidas necesarias para impedir que sus efectos se consuman en nuestro país, pues la responsabilidad de los órganos judiciales españoles, por acción u omisión en los procedimientos de extradición, no se limita a las consecuencias de su propia conducta [FJ 3].</w:t>
      </w:r>
    </w:p>
    <w:p w14:paraId="16170C0E" w14:textId="77777777" w:rsidR="009D7677" w:rsidRDefault="009D7677" w:rsidP="009D7677">
      <w:pPr>
        <w:pStyle w:val="Extracto"/>
      </w:pPr>
    </w:p>
    <w:p w14:paraId="734E7C01" w14:textId="610C1298" w:rsidR="009D7677" w:rsidRDefault="009D7677" w:rsidP="009D7677">
      <w:pPr>
        <w:pStyle w:val="Extracto"/>
      </w:pPr>
      <w:r>
        <w:t>3.</w:t>
      </w:r>
      <w:r>
        <w:tab/>
        <w:t xml:space="preserve">Es exigencia inherente a la tutela judicial efectiva del derecho a la libertad personal del </w:t>
      </w:r>
      <w:r w:rsidRPr="009D7677">
        <w:rPr>
          <w:i/>
        </w:rPr>
        <w:t>extraditurus</w:t>
      </w:r>
      <w:r>
        <w:t xml:space="preserve"> que nuestros tribunales verifiquen que la necesidad y proporcionalidad de la medida ha sido debidamente ponderada por un órgano judicial del país emisor [FJ 3].</w:t>
      </w:r>
    </w:p>
    <w:p w14:paraId="4FAF9650" w14:textId="77777777" w:rsidR="009D7677" w:rsidRDefault="009D7677" w:rsidP="009D7677">
      <w:pPr>
        <w:pStyle w:val="Extracto"/>
      </w:pPr>
    </w:p>
    <w:p w14:paraId="3F68D588" w14:textId="0B364744" w:rsidR="009D7677" w:rsidRDefault="009D7677" w:rsidP="009D7677">
      <w:pPr>
        <w:pStyle w:val="Extracto"/>
      </w:pPr>
      <w:r>
        <w:t>4.</w:t>
      </w:r>
      <w:r>
        <w:tab/>
        <w:t>La intermediación judicial puede dispensarse si concurren las siguientes exigencias: (i) Que se trate de un procedimiento de extradición regido por un convenio bilateral o multilateral que admita la posibilidad de que la petición de entrega pueda emanar de una autoridad no jurisdiccional. (ii) Que el país requirente suministre información suficientemente expresiva de que se trata de una autoridad competente que, conforme a su legislación interna, está facultada para emitir una solicitud de extradición en condiciones equivalentes a las de una autoridad judicial. (iii) Que el contenido de la solicitud y de la documentación anexa pro</w:t>
      </w:r>
      <w:r>
        <w:lastRenderedPageBreak/>
        <w:t>porcione a los órganos judiciales españoles la información suficiente para verificar que la misma resulta necesaria y proporcionada [FJ 3].</w:t>
      </w:r>
    </w:p>
    <w:p w14:paraId="33E02B61" w14:textId="77777777" w:rsidR="009D7677" w:rsidRDefault="009D7677" w:rsidP="009D7677">
      <w:pPr>
        <w:pStyle w:val="Extracto"/>
      </w:pPr>
    </w:p>
    <w:p w14:paraId="54D7468A" w14:textId="380C8CE3" w:rsidR="009D7677" w:rsidRDefault="009D7677" w:rsidP="009D7677">
      <w:pPr>
        <w:pStyle w:val="Extracto"/>
      </w:pPr>
      <w:r>
        <w:t>5.</w:t>
      </w:r>
      <w:r>
        <w:tab/>
        <w:t>La misión de los tribunales españoles se ha de limitar a depurar aquellas solicitudes de extradición que presenten indicios de falta de proporcionalidad o de fundamento, mediante el examen en concreto de las alegaciones y documentos aportados por la persona reclamada, y de las razones y documentos aportados por las autoridades requirentes junto con la petición de extradición o de aquellos otros que el tribunal español pueda solicitar como complemento de los anteriores [FJ 4].</w:t>
      </w:r>
    </w:p>
    <w:p w14:paraId="267A7457" w14:textId="77777777" w:rsidR="009D7677" w:rsidRDefault="009D7677" w:rsidP="009D7677">
      <w:pPr>
        <w:pStyle w:val="Extracto"/>
      </w:pPr>
    </w:p>
    <w:p w14:paraId="741A7C6E" w14:textId="77777777" w:rsidR="009D7677" w:rsidRDefault="009D7677" w:rsidP="009D7677">
      <w:pPr>
        <w:pStyle w:val="Extracto"/>
      </w:pPr>
    </w:p>
    <w:p w14:paraId="5B08A639" w14:textId="77777777" w:rsidR="009D7677" w:rsidRDefault="009D7677" w:rsidP="009D7677">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Enrique Arnaldo Alcubilla, doña María Luisa Segoviano Astaburuaga, don César Tolosa Tribiño, don Juan Carlos Campo Moreno y doña Laura Díez Bueso, ha pronunciado</w:t>
      </w:r>
    </w:p>
    <w:p w14:paraId="0D2160AF" w14:textId="535E12EB" w:rsidR="009D7677" w:rsidRDefault="009D7677" w:rsidP="009D7677">
      <w:pPr>
        <w:pStyle w:val="TextoNormal"/>
      </w:pPr>
    </w:p>
    <w:p w14:paraId="65BE6739" w14:textId="77777777" w:rsidR="009D7677" w:rsidRDefault="009D7677" w:rsidP="009D7677">
      <w:pPr>
        <w:pStyle w:val="TextoNormalCentrado"/>
        <w:keepNext/>
      </w:pPr>
      <w:r>
        <w:t>EN NOMBRE DEL REY</w:t>
      </w:r>
    </w:p>
    <w:p w14:paraId="48E96B07" w14:textId="3DBBB93E" w:rsidR="009D7677" w:rsidRDefault="009D7677" w:rsidP="009D7677">
      <w:pPr>
        <w:pStyle w:val="TextoNormalCentrado"/>
        <w:keepNext/>
      </w:pPr>
    </w:p>
    <w:p w14:paraId="6E87E5AA" w14:textId="77777777" w:rsidR="009D7677" w:rsidRDefault="009D7677" w:rsidP="009D7677">
      <w:pPr>
        <w:pStyle w:val="TextoNormalCentrado"/>
        <w:keepNext/>
      </w:pPr>
    </w:p>
    <w:p w14:paraId="7F8BA814" w14:textId="77777777" w:rsidR="009D7677" w:rsidRDefault="009D7677" w:rsidP="009D7677">
      <w:pPr>
        <w:pStyle w:val="TextoNormal"/>
      </w:pPr>
      <w:r>
        <w:t>la siguiente</w:t>
      </w:r>
    </w:p>
    <w:p w14:paraId="2D9E78AA" w14:textId="3387E5E7" w:rsidR="009D7677" w:rsidRDefault="009D7677" w:rsidP="009D7677">
      <w:pPr>
        <w:pStyle w:val="TextoNormal"/>
      </w:pPr>
    </w:p>
    <w:p w14:paraId="1144502D" w14:textId="77777777" w:rsidR="009D7677" w:rsidRDefault="009D7677" w:rsidP="009D7677">
      <w:pPr>
        <w:pStyle w:val="TextoNormalCentrado"/>
        <w:keepNext/>
      </w:pPr>
      <w:r>
        <w:t>SENTENCIA</w:t>
      </w:r>
    </w:p>
    <w:p w14:paraId="4E1DFAA6" w14:textId="6F259EA7" w:rsidR="009D7677" w:rsidRDefault="009D7677" w:rsidP="009D7677">
      <w:pPr>
        <w:pStyle w:val="TextoNormalCentrado"/>
        <w:keepNext/>
      </w:pPr>
    </w:p>
    <w:p w14:paraId="61FEC659" w14:textId="77777777" w:rsidR="009D7677" w:rsidRDefault="009D7677" w:rsidP="009D7677">
      <w:pPr>
        <w:pStyle w:val="TextoNormal"/>
      </w:pPr>
      <w:r>
        <w:t>En el recurso de amparo núm. 5249-2021, promovido por don Rachid Assham, representado por la procuradora de los tribunales doña Silvia González Milara, asistido por el letrado don Jacobo Teijuelo Casanova, contra el auto núm. 35/2020, de 21 de diciembre, de la Sección Segunda de la Sala de lo Penal de la Audiencia Nacional y contra el auto núm. 37/2021, de 4 de junio, del Pleno de la Sala de lo Penal de la Audiencia Nacional. Ha intervenido el Ministerio Fiscal. Ha sido ponente el presidente del Tribunal Constitucional don Cándido Conde-Pumpido Tourón.</w:t>
      </w:r>
    </w:p>
    <w:p w14:paraId="49BCB36F" w14:textId="7AA33395" w:rsidR="009D7677" w:rsidRDefault="009D7677" w:rsidP="009D7677">
      <w:pPr>
        <w:pStyle w:val="TextoNormal"/>
      </w:pPr>
    </w:p>
    <w:p w14:paraId="28C89B48" w14:textId="77777777" w:rsidR="009D7677" w:rsidRDefault="009D7677" w:rsidP="009D7677">
      <w:pPr>
        <w:pStyle w:val="TextoNormalNegritaCentrado"/>
        <w:keepNext/>
      </w:pPr>
      <w:r>
        <w:t>I. Antecedentes</w:t>
      </w:r>
    </w:p>
    <w:p w14:paraId="7C2552F9" w14:textId="3EED1843" w:rsidR="009D7677" w:rsidRDefault="009D7677" w:rsidP="009D7677">
      <w:pPr>
        <w:pStyle w:val="TextoNormalNegritaCentrado"/>
        <w:keepNext/>
      </w:pPr>
    </w:p>
    <w:p w14:paraId="402839D3" w14:textId="0ADB141B" w:rsidR="009D7677" w:rsidRDefault="009D7677" w:rsidP="009D7677">
      <w:pPr>
        <w:pStyle w:val="TextoNormal"/>
      </w:pPr>
      <w:r w:rsidRPr="009D7677">
        <w:rPr>
          <w:rStyle w:val="NumeroAFNegritaCaracter"/>
        </w:rPr>
        <w:t>1</w:t>
      </w:r>
      <w:r>
        <w:t>. Mediante escrito registrado en este tribunal el día 28 de julio de 2021, la representación procesal de don Rachid Assham interpuso recurso de amparo contra el auto núm. 35/2020, de 21 de diciembre, de la Sección Segunda de la Sala de lo Penal de la Audiencia Nacional, dictado en el rollo de sala 9-2020, dimanante del procedimiento de extradición pasiva núm. 9-2020 del Juzgado Central de Instrucción núm. 6, y contra el auto núm. 37/2021, de 4 de junio, del Pleno de la Sala de lo Penal de la Audiencia Nacional, dictado en el recurso de súplica núm. 8-2021, que confirmó el anterior.</w:t>
      </w:r>
    </w:p>
    <w:p w14:paraId="1CFA516F" w14:textId="77777777" w:rsidR="009D7677" w:rsidRDefault="009D7677" w:rsidP="009D7677">
      <w:pPr>
        <w:pStyle w:val="TextoNormal"/>
      </w:pPr>
    </w:p>
    <w:p w14:paraId="309149F9" w14:textId="77777777" w:rsidR="009D7677" w:rsidRDefault="009D7677" w:rsidP="009D7677">
      <w:pPr>
        <w:pStyle w:val="TextoNormal"/>
      </w:pPr>
      <w:r w:rsidRPr="009D7677">
        <w:rPr>
          <w:rStyle w:val="NumeroAFNegritaCaracter"/>
        </w:rPr>
        <w:t>2</w:t>
      </w:r>
      <w:r>
        <w:t>. El recurso de amparo se fundamenta en los siguientes hechos:</w:t>
      </w:r>
    </w:p>
    <w:p w14:paraId="4B314085" w14:textId="77777777" w:rsidR="009D7677" w:rsidRDefault="009D7677" w:rsidP="009D7677">
      <w:pPr>
        <w:pStyle w:val="TextoNormal"/>
      </w:pPr>
    </w:p>
    <w:p w14:paraId="669C79E2" w14:textId="77777777" w:rsidR="009D7677" w:rsidRDefault="009D7677" w:rsidP="009D7677">
      <w:pPr>
        <w:pStyle w:val="TextoNormal"/>
      </w:pPr>
      <w:r>
        <w:lastRenderedPageBreak/>
        <w:t>a) El fiscal del rey ante el Tribunal de Primera Instancia de Tánger (Marruecos) dictó el 26 de diciembre de 2019 la orden internacional de detención núm. 22-2019 TK contra el ahora demandante de amparo y otras dos personas (don Fayssal Boujghal y don Omar Nabour), a los que atribuía su implicación en un delito de tráfico de sustancias estupefacientes, con los siguientes fundamentos:</w:t>
      </w:r>
    </w:p>
    <w:p w14:paraId="49E4CFCE" w14:textId="77777777" w:rsidR="009D7677" w:rsidRDefault="009D7677" w:rsidP="009D7677">
      <w:pPr>
        <w:pStyle w:val="TextoNormal"/>
      </w:pPr>
    </w:p>
    <w:p w14:paraId="5983EFDF" w14:textId="77777777" w:rsidR="009D7677" w:rsidRDefault="009D7677" w:rsidP="009D7677">
      <w:pPr>
        <w:pStyle w:val="TextoNormal"/>
      </w:pPr>
      <w:r>
        <w:t>“En virtud del atestado de la dependencia prefectoral de la Policía Judicial de Tánger núm. 3864/GG/PJ, de fecha 30/11/2019, las llamadas Sanae Jermouni Bouzelmat y Touria Chaouche Jermouni fueron puestas a disposición de este Ministerio Fiscal. Se desprende del atestado antes citado, que con fecha de 27/11/2019, los agentes de la policía en el puerto de Tánger-Medina frustraron un intento para introducir una gran cantidad de pastillas de droga en el territorio nacional, se trata de 85 650 pasillas de droga (Rivotril 2mg) que estaban escondidas en cajas de cartón de detergente, y en maletas que contienen ropa y otros enseres, transportadas en el maletero del vehículo marca Seat León, matriculado en España con el 4306FMV, conducido por la llamada Sanae Jermouni Bouzelmat, acompañada por la llamada Touria Chaouche Jermouni.</w:t>
      </w:r>
    </w:p>
    <w:p w14:paraId="5D4E3323" w14:textId="77777777" w:rsidR="009D7677" w:rsidRDefault="009D7677" w:rsidP="009D7677">
      <w:pPr>
        <w:pStyle w:val="TextoNormal"/>
      </w:pPr>
    </w:p>
    <w:p w14:paraId="14725B42" w14:textId="77777777" w:rsidR="009D7677" w:rsidRDefault="009D7677" w:rsidP="009D7677">
      <w:pPr>
        <w:pStyle w:val="TextoNormal"/>
      </w:pPr>
      <w:r>
        <w:t>Durante el interrogatorio preliminar, las detenidas negaron tener información alguna sobre las pastillas de droga. La llamada Sanae Jermouni confirmó que recibió las maletas que contienen las pastillas de droga en la ciudad de Madrid de una persona que se llama ‘Mohamed’, y las transportó en su vehículo a Marruecos para entregarlas al llamado Oussama; diciendo que (ella) había conocido y encontrado a este último en barrio Benkiran en la ciudad de Tánger, y que es un amigo próximo del llamado: ‘Mohamed’.</w:t>
      </w:r>
    </w:p>
    <w:p w14:paraId="2D05FE31" w14:textId="77777777" w:rsidR="009D7677" w:rsidRDefault="009D7677" w:rsidP="009D7677">
      <w:pPr>
        <w:pStyle w:val="TextoNormal"/>
      </w:pPr>
    </w:p>
    <w:p w14:paraId="47128C36" w14:textId="77777777" w:rsidR="009D7677" w:rsidRDefault="009D7677" w:rsidP="009D7677">
      <w:pPr>
        <w:pStyle w:val="TextoNormal"/>
      </w:pPr>
      <w:r>
        <w:t>En base a las declaraciones de la detenida, y al examinar el número de teléfono del llamado Oussama —facilitado por la misma—, se efectuaron investigaciones técnicas que probaron que el número de teléfono antes referido pertenece al llamado Oussama Dekkousse, que la llamada Sanae Jermouni reconoció tras mostrarle su foto, confirmando que es la persona a la que se refiere en sus declaraciones, que era él quien iba a recibir las maletas con las pastillas de droga confiscadas en el territorio nacional, si la operación de tráfico hubiera tenido éxito. En cuanto a la persona que le había entregado las maletas en España, la declarante no dio ninguna información o dato que facilitan su identificación.</w:t>
      </w:r>
    </w:p>
    <w:p w14:paraId="7DD3D10C" w14:textId="77777777" w:rsidR="009D7677" w:rsidRDefault="009D7677" w:rsidP="009D7677">
      <w:pPr>
        <w:pStyle w:val="TextoNormal"/>
      </w:pPr>
    </w:p>
    <w:p w14:paraId="6A6D8AB6" w14:textId="77777777" w:rsidR="009D7677" w:rsidRDefault="009D7677" w:rsidP="009D7677">
      <w:pPr>
        <w:pStyle w:val="TextoNormal"/>
      </w:pPr>
      <w:r>
        <w:t>Para esclarecer la investigación, se realizó una lectura técnica de los teléfonos móviles confiscados de las dos detenidas, que probó que estas trabajan en una red internacional especializada en el tráfico y comercio internacional de pastillas de droga, y que vinieron a Marruecos en este viaje, precisamente para introducir y traficar con este tipo de droga peligrosa en el territorio nacional.</w:t>
      </w:r>
    </w:p>
    <w:p w14:paraId="5791C881" w14:textId="77777777" w:rsidR="009D7677" w:rsidRDefault="009D7677" w:rsidP="009D7677">
      <w:pPr>
        <w:pStyle w:val="TextoNormal"/>
      </w:pPr>
    </w:p>
    <w:p w14:paraId="7010B9FA" w14:textId="77777777" w:rsidR="009D7677" w:rsidRDefault="009D7677" w:rsidP="009D7677">
      <w:pPr>
        <w:pStyle w:val="TextoNormal"/>
      </w:pPr>
      <w:r>
        <w:t xml:space="preserve">Asimismo, en sus declaraciones en la fase preliminar, la acusada Sanae Jermouni Bouzelmat declaró que conocía el tema de la droga confiscada y que su compañera, llamada Touria Chaoueche, trajo esta droga de España, con el fin de entregarla al llamado Oussama Ben Driss, en la ciudad de Tánger. La declarante confirmó que su compañera antes citada, tiene alguna relación con un tal Omar que se dedica a esta misma actividad. La declarante reconoció, —tras exponerle el resultado de la exploración técnica de su teléfono móvil confiscado—, haber contactado con el dueño del número de teléfono registrado en su teléfono con el nombre de Cunado. Se trata del llamado Faisal Boujghal, apodado ‘Tito’, quien era novio de su hermana llamada Farah Jermouni. La declarante explicó que </w:t>
      </w:r>
      <w:r>
        <w:lastRenderedPageBreak/>
        <w:t>esta persona la llamó y le comunicó que una persona llamada Soufian, quiere una cantidad de pastillas de droga; tras lo cual, la declarante contactó con la llamada Touria Chaoueche y le informó sobre el pedido. Esta última aceptó suministrarle dicha cantidad. En efecto, Touria Chaoueche, recibió del llamado Faissal Boujgual las fotos del tipo de pastillas de droga pedidas por el llamado Soufian: su compañera vio las fotos; pero esta operación no se realizó según dice. La declarante continuó diciendo que intervino como intermediaria entre su allegada llamada Touria Chaoueche y el llamado Rachid Assaham —que es su novio—, en una operación de compra de pastillas de droga, que se realizó efectivamente, entre Rachid Assaham y la llamada Touria Chaoueche. Esta cantidad de pastillas droga estaba destinada a una persona llamada Rachid, que se dedica al tráfico de pastillas de droga en la ciudad de Tetuán en Marruecos. Asimismo, la declarante intervino como mediadora entre Rachid Assaham y la llamada Touria Chaoueche en la compra de pastillas de droga para la cuenta de dos otros clientes en la ciudad de Tánger, uno de ellos había solicitado una gran cantidad de pastillas droga. La declarante no dio ninguna información o dato que permite la identificación de este último.</w:t>
      </w:r>
    </w:p>
    <w:p w14:paraId="540E732B" w14:textId="77777777" w:rsidR="009D7677" w:rsidRDefault="009D7677" w:rsidP="009D7677">
      <w:pPr>
        <w:pStyle w:val="TextoNormal"/>
      </w:pPr>
    </w:p>
    <w:p w14:paraId="24B00A13" w14:textId="77777777" w:rsidR="009D7677" w:rsidRDefault="009D7677" w:rsidP="009D7677">
      <w:pPr>
        <w:pStyle w:val="TextoNormal"/>
      </w:pPr>
      <w:r>
        <w:t>En cuanto al llamado Oussama Ben Driss, apodado Dekkousse que iba a recibir las pastillas de droga confiscada en esta operación, de su compañera Touria Chaouche, la declarante afirmó que le había visto anteriormente en la ciudad de Tánger, en agosto pasado, pero no le había entregado, entonces, ninguna cantidad de pastillas de droga.</w:t>
      </w:r>
    </w:p>
    <w:p w14:paraId="7F4D556B" w14:textId="77777777" w:rsidR="009D7677" w:rsidRDefault="009D7677" w:rsidP="009D7677">
      <w:pPr>
        <w:pStyle w:val="TextoNormal"/>
      </w:pPr>
    </w:p>
    <w:p w14:paraId="361DC3A9" w14:textId="77777777" w:rsidR="009D7677" w:rsidRDefault="009D7677" w:rsidP="009D7677">
      <w:pPr>
        <w:pStyle w:val="TextoNormal"/>
      </w:pPr>
      <w:r>
        <w:t>Visto que la exploración técnica del teléfono móvil de la declarante y el teléfono de su familiar, demostró la implicación de varias personas, entre las cuales el llamado Fayssal Boujghal, y el llamado Rachid Assaham. Al mostrar el resultado de esta exploración a la declarante, esta confirmó que estos últimos se dedican, todos, al tráfico de pastillas de droga.</w:t>
      </w:r>
    </w:p>
    <w:p w14:paraId="13FA7A5D" w14:textId="77777777" w:rsidR="009D7677" w:rsidRDefault="009D7677" w:rsidP="009D7677">
      <w:pPr>
        <w:pStyle w:val="TextoNormal"/>
      </w:pPr>
    </w:p>
    <w:p w14:paraId="20735AD0" w14:textId="77777777" w:rsidR="009D7677" w:rsidRDefault="009D7677" w:rsidP="009D7677">
      <w:pPr>
        <w:pStyle w:val="TextoNormal"/>
      </w:pPr>
      <w:r>
        <w:t>La segunda acusada, Touria Chaoueche Jermouni, declaró en la fase preliminar en un acta legal, que se dedica al tráfico de pastillas de droga y de droga ‘chira’ en España, que trata con el llamado Yassine Parla, que le suministra pastillas de droga en España, recabándola de personas que las compran de farmacias ubicadas en pequeños barrios, presentado recetas médicas. La declarante añadió que trata con el llamado Faouzi, su hermano Nabil y su cómplice en esta actividad ilegal, y con el llamado Youssef y el llamado Omar Nabour, quienes le suministran droga ‘chira’, que (la declarante) trafica en España en contrapartida de comisiones que varían según la cantidad de droga ‘chira’ vendida. La declarante reconoce haber reclutado personas para introducir cantidades de pastillas de droga en el territorio nacional, que habían entregado al llamado Nabil, hermano del llamado Faouzi. La declarante se reunía con este último en Marruecos, para recibir las comisiones (sumas de dinero) en contrapartida del tráfico de droga.</w:t>
      </w:r>
    </w:p>
    <w:p w14:paraId="47D3F607" w14:textId="77777777" w:rsidR="009D7677" w:rsidRDefault="009D7677" w:rsidP="009D7677">
      <w:pPr>
        <w:pStyle w:val="TextoNormal"/>
      </w:pPr>
    </w:p>
    <w:p w14:paraId="57F53BFA" w14:textId="77777777" w:rsidR="009D7677" w:rsidRDefault="009D7677" w:rsidP="009D7677">
      <w:pPr>
        <w:pStyle w:val="TextoNormal"/>
      </w:pPr>
      <w:r>
        <w:t xml:space="preserve">Visto lo que antecede, y en base a las copias de algunos documentos examinados durante la exploración técnica de los teléfonos confiscados de las personas implicadas en este caso; se efectuaron pesquisas sobre los llamados: Fayssal Boujghal, Rachid Assaham y Omar Nabour, que llevaron a identificar personas que tienen el mismo nombre y apellido antes citados. Se sacaron sus fotografías del servicio de la documentación y de los documentos de identidad, y fueron exhibidos a ambas acusadas quienes les reconocieron, confirmando que son las personas a las que se refieren en sus declaraciones. Cabe señalar, </w:t>
      </w:r>
      <w:r>
        <w:lastRenderedPageBreak/>
        <w:t>que tras examinar el registro de entradas y salidas, se comprobó que los llamados Fayssal Boujghal, Rachid Assaham y Omar Nabour se encuentran fuera del territorio nacional”.</w:t>
      </w:r>
    </w:p>
    <w:p w14:paraId="17952EFB" w14:textId="77777777" w:rsidR="009D7677" w:rsidRDefault="009D7677" w:rsidP="009D7677">
      <w:pPr>
        <w:pStyle w:val="TextoNormal"/>
      </w:pPr>
    </w:p>
    <w:p w14:paraId="73228DA8" w14:textId="77777777" w:rsidR="009D7677" w:rsidRDefault="009D7677" w:rsidP="009D7677">
      <w:pPr>
        <w:pStyle w:val="TextoNormal"/>
      </w:pPr>
      <w:r>
        <w:t>b) El demandante fue detenido en Fuenlabrada el día 30 de enero de 2020, a las 12:00 horas, y puesto a disposición del Juzgado Central de Instrucción núm. 6, que incoó el procedimiento de extradición pasiva núm. 9-2020. El juzgado celebró el mismo día la comparecencia de medidas cautelares del art. 505 de la Ley de enjuiciamiento criminal, en la que el actor, asistido por letrado de su libre designación, manifestó que no consentía la extradición simplificada y que no renunciaba al principio de especialidad, procediendo el juzgado a dictar auto el mismo día en el que acordó su libertad provisional sin fianza, tal y como había solicitado el fiscal, y le impuso diversas medidas, entre ellas, la prohibición de salida del territorio español con retirada de pasaporte y la obligación de presentarse quincenalmente en el juzgado de instrucción de su domicilio.</w:t>
      </w:r>
    </w:p>
    <w:p w14:paraId="3D3DC495" w14:textId="77777777" w:rsidR="009D7677" w:rsidRDefault="009D7677" w:rsidP="009D7677">
      <w:pPr>
        <w:pStyle w:val="TextoNormal"/>
      </w:pPr>
    </w:p>
    <w:p w14:paraId="07AB4AB3" w14:textId="77777777" w:rsidR="009D7677" w:rsidRDefault="009D7677" w:rsidP="009D7677">
      <w:pPr>
        <w:pStyle w:val="TextoNormal"/>
      </w:pPr>
      <w:r>
        <w:t>c) El 9 de marzo de 2020 se recibió por vía diplomática la nota verbal núm. 618, de 6 de marzo de 2020, de la Embajada de Marruecos, en la que se solicitaba del Ministerio de Justicia de España la extradición del demandante para ser enjuiciado por delito de tráfico de drogas, lo que se acompañaba de la orden internacional de detención emitida por el fiscal, de un resumen de los hechos que reproducía los de la orden internacional de detención y una relación de los preceptos legales aplicables.</w:t>
      </w:r>
    </w:p>
    <w:p w14:paraId="0A5ECD6E" w14:textId="77777777" w:rsidR="009D7677" w:rsidRDefault="009D7677" w:rsidP="009D7677">
      <w:pPr>
        <w:pStyle w:val="TextoNormal"/>
      </w:pPr>
    </w:p>
    <w:p w14:paraId="2C19E57B" w14:textId="77777777" w:rsidR="009D7677" w:rsidRDefault="009D7677" w:rsidP="009D7677">
      <w:pPr>
        <w:pStyle w:val="TextoNormal"/>
      </w:pPr>
      <w:r>
        <w:t>d) El Consejo de Ministros en sesión de 15 de septiembre de 2020 acordó, de conformidad con el art. 9.3 de la Ley 4/1985, de 21 de marzo, de extradición pasiva (LEP), la continuación del procedimiento en vía judicial.</w:t>
      </w:r>
    </w:p>
    <w:p w14:paraId="2EA03463" w14:textId="77777777" w:rsidR="009D7677" w:rsidRDefault="009D7677" w:rsidP="009D7677">
      <w:pPr>
        <w:pStyle w:val="TextoNormal"/>
      </w:pPr>
    </w:p>
    <w:p w14:paraId="4024D743" w14:textId="77777777" w:rsidR="009D7677" w:rsidRDefault="009D7677" w:rsidP="009D7677">
      <w:pPr>
        <w:pStyle w:val="TextoNormal"/>
      </w:pPr>
      <w:r>
        <w:t>e) El juzgado central de instrucción convocó la comparecencia del art. 12 LEP el día 24 de septiembre de 2020, en la que el actor manifestó que no aceptaba la extradición y que no renunciaba al principio de especialidad.</w:t>
      </w:r>
    </w:p>
    <w:p w14:paraId="4E189996" w14:textId="77777777" w:rsidR="009D7677" w:rsidRDefault="009D7677" w:rsidP="009D7677">
      <w:pPr>
        <w:pStyle w:val="TextoNormal"/>
      </w:pPr>
    </w:p>
    <w:p w14:paraId="2C65FB23" w14:textId="77777777" w:rsidR="009D7677" w:rsidRDefault="009D7677" w:rsidP="009D7677">
      <w:pPr>
        <w:pStyle w:val="TextoNormal"/>
      </w:pPr>
      <w:r>
        <w:t>f) Elevados los autos a la Sección Segunda de la Sala de lo Penal de la Audiencia Nacional, esta incoó el rollo núm. 9-2020 y dio vista de los mismos, en los términos del art. 13 LEP, al fiscal y a la defensa del reclamado para que formularan alegaciones. El fiscal, mediante escrito de 15 de octubre de 2020, interesó se accediera a la solicitud de extradición porque la documental aportada por las autoridades marroquíes precisaba de forma suficiente las acciones delictivas atribuidas al reclamado y porque se cumplían los requisitos del convenio de extradición. La defensa, en escrito de 23 de octubre de 2020, se opuso a la misma alegando que los hechos expuestos por las autoridades marroquíes eran imprecisos en lo que concernía a la participación del reclamado, que no se cumplía el principio de doble incriminación, pues las pastillas de Rivotril 2 mg. son en España un medicamento de venta en farmacias, ni el principio de mínimo punitivo, pues sería aplicable, en su caso, el inciso segundo del art. 368 del Código penal (CP), al tratarse de sustancia que no causa grave daño a la salud, por lo que su pena mínima sería de un año de prisión, inferior a los dos años de mínimo exigidos en el convenio de extradición. También alegaba la residencia legal y el arraigo del reclamado en España.</w:t>
      </w:r>
    </w:p>
    <w:p w14:paraId="0A63F2BF" w14:textId="77777777" w:rsidR="009D7677" w:rsidRDefault="009D7677" w:rsidP="009D7677">
      <w:pPr>
        <w:pStyle w:val="TextoNormal"/>
      </w:pPr>
    </w:p>
    <w:p w14:paraId="110F36AB" w14:textId="77777777" w:rsidR="009D7677" w:rsidRDefault="009D7677" w:rsidP="009D7677">
      <w:pPr>
        <w:pStyle w:val="TextoNormal"/>
      </w:pPr>
      <w:r>
        <w:t>g) Celebrada vista oral extradicional el 15 de diciembre de 2020, en la que el fiscal informó a favor de la concesión de la extradición y la defensa en contra, la Sección Segunda de la Sala de lo Penal de la Audiencia Nacional dictó el auto núm. 35/2020, de 21 de di</w:t>
      </w:r>
      <w:r>
        <w:lastRenderedPageBreak/>
        <w:t>ciembre, por el que acordó acceder en fase jurisdiccional a la solicitud de extradición del actor por concurrir los requisitos exigidos en el Convenio de Extradición entre el Reino de España y el Reino de Marruecos, suscrito en Rabat el 24 de junio de 2009, y en la Ley de extradición pasiva, en particular los requisitos de doble incriminación y mínimo punitivo exigidos en el art. 2.1 del convenio bilateral, pues los hechos por los que se le reclama constituyen en la legislación penal española un delito contra la salud pública, en su modalidad de tráfico de drogas de las que no causan grave daño a la salud, del art. 368 CP, castigado con pena de prisión de uno a tres años, lo que realiza el mínimo punitivo de dos años establecido en el convenio.</w:t>
      </w:r>
    </w:p>
    <w:p w14:paraId="160E1FC5" w14:textId="77777777" w:rsidR="009D7677" w:rsidRDefault="009D7677" w:rsidP="009D7677">
      <w:pPr>
        <w:pStyle w:val="TextoNormal"/>
      </w:pPr>
    </w:p>
    <w:p w14:paraId="1D084158" w14:textId="77777777" w:rsidR="009D7677" w:rsidRDefault="009D7677" w:rsidP="009D7677">
      <w:pPr>
        <w:pStyle w:val="TextoNormal"/>
      </w:pPr>
      <w:r>
        <w:t>h) Contra esta decisión el actor interpuso recurso de súplica, en escrito presentado el 30 de diciembre de 2020, en el que alegó:</w:t>
      </w:r>
    </w:p>
    <w:p w14:paraId="2DFFE377" w14:textId="77777777" w:rsidR="009D7677" w:rsidRDefault="009D7677" w:rsidP="009D7677">
      <w:pPr>
        <w:pStyle w:val="TextoNormal"/>
      </w:pPr>
    </w:p>
    <w:p w14:paraId="406237B4" w14:textId="77777777" w:rsidR="009D7677" w:rsidRDefault="009D7677" w:rsidP="009D7677">
      <w:pPr>
        <w:pStyle w:val="TextoNormal"/>
      </w:pPr>
      <w:r>
        <w:t>Vulneración de los arts. 7 LEP, 12 del Convenio bilateral de extradición con Marruecos y 24 CE. Alega, en primer lugar, que en las actuaciones, folios novena y cuatro a 105, solo existe un resumen de los hechos realizado por el fiscal de Marruecos, en base a actuaciones policiales, donde se afirma que el recurrente fue identificado mediante reconocimiento fotográfico y declaración de otras personas, sin más pruebas, resultando un relato impreciso y contradictorio de su supuesta participación en los hechos. Sostiene asimismo que se han vulnerado los arts. 17, 24 y 25 CE porque la solicitud de extradición se basa en una orden de detención expedida por el fiscal, que no es equiparable a una resolución ejecutoria de condena ni a una resolución jurisdiccional, por lo que era insuficiente en los términos del art. 12 a) del convenio de extradición, y carente de legitimidad constitucional con arreglo a la STC 147/2020, de 19 de octubre.</w:t>
      </w:r>
    </w:p>
    <w:p w14:paraId="7AA5DE75" w14:textId="77777777" w:rsidR="009D7677" w:rsidRDefault="009D7677" w:rsidP="009D7677">
      <w:pPr>
        <w:pStyle w:val="TextoNormal"/>
      </w:pPr>
    </w:p>
    <w:p w14:paraId="1D2F5E74" w14:textId="77777777" w:rsidR="009D7677" w:rsidRDefault="009D7677" w:rsidP="009D7677">
      <w:pPr>
        <w:pStyle w:val="TextoNormal"/>
      </w:pPr>
      <w:r>
        <w:t>Vulneración del art. 2.1 del convenio bilateral, que exige que los hechos estén castigados en la legislaciones de ambos Estados con una pena privativa de libertad de dos años de duración como mínimo, porque el art. 368, inciso segundo, del Código penal español prevé para estos hechos una pena mínima de un año.</w:t>
      </w:r>
    </w:p>
    <w:p w14:paraId="75057D2F" w14:textId="77777777" w:rsidR="009D7677" w:rsidRDefault="009D7677" w:rsidP="009D7677">
      <w:pPr>
        <w:pStyle w:val="TextoNormal"/>
      </w:pPr>
    </w:p>
    <w:p w14:paraId="2CB96E1E" w14:textId="77777777" w:rsidR="009D7677" w:rsidRDefault="009D7677" w:rsidP="009D7677">
      <w:pPr>
        <w:pStyle w:val="TextoNormal"/>
      </w:pPr>
      <w:r>
        <w:t>Dado traslado del recurso de súplica al fiscal, este lo impugnó en escrito presentado el 29 de enero de 2021 en el que interesó su desestimación y la confirmación del auto recurrido.</w:t>
      </w:r>
    </w:p>
    <w:p w14:paraId="1784AF28" w14:textId="77777777" w:rsidR="009D7677" w:rsidRDefault="009D7677" w:rsidP="009D7677">
      <w:pPr>
        <w:pStyle w:val="TextoNormal"/>
      </w:pPr>
    </w:p>
    <w:p w14:paraId="1AEA6FD6" w14:textId="77777777" w:rsidR="009D7677" w:rsidRDefault="009D7677" w:rsidP="009D7677">
      <w:pPr>
        <w:pStyle w:val="TextoNormal"/>
      </w:pPr>
      <w:r>
        <w:t>i) El 16 de febrero de 2021 el Pleno de la Sala de lo Penal de la Audiencia Nacional dictó providencia en la que acordaba, antes de resolver el recurso de súplica, a la vista de la documentación extradicional aportada por el Estado requirente, emitida por el fiscal del rey de Marruecos, y la doctrina sentada en la STC 147/2020, de 19 de octubre, recabar información complementaria a las autoridades reclamantes a fin de que en el plazo de treinta días informasen a la sala de “si existe una resolución del juez o tribunal de Marruecos sobre la procedencia de la reclamación extradicional y detención del reclamado, realizada con carácter previo, simultáneo o posterior a la emisión por el fiscal del rey de la documentación citada”.</w:t>
      </w:r>
    </w:p>
    <w:p w14:paraId="2AF63BD7" w14:textId="77777777" w:rsidR="009D7677" w:rsidRDefault="009D7677" w:rsidP="009D7677">
      <w:pPr>
        <w:pStyle w:val="TextoNormal"/>
      </w:pPr>
    </w:p>
    <w:p w14:paraId="688E0796" w14:textId="77777777" w:rsidR="009D7677" w:rsidRDefault="009D7677" w:rsidP="009D7677">
      <w:pPr>
        <w:pStyle w:val="TextoNormal"/>
      </w:pPr>
      <w:r>
        <w:t>El fiscal del rey ante el Tribunal de Primera Instancia de Tánger, mediante escrito fechado el 26 de abril de 2021, transmitido por vía diplomática, informó lo siguiente:</w:t>
      </w:r>
    </w:p>
    <w:p w14:paraId="627721A4" w14:textId="77777777" w:rsidR="009D7677" w:rsidRDefault="009D7677" w:rsidP="009D7677">
      <w:pPr>
        <w:pStyle w:val="TextoNormal"/>
      </w:pPr>
    </w:p>
    <w:p w14:paraId="5D764856" w14:textId="77777777" w:rsidR="009D7677" w:rsidRDefault="009D7677" w:rsidP="009D7677">
      <w:pPr>
        <w:pStyle w:val="TextoNormal"/>
      </w:pPr>
      <w:r>
        <w:lastRenderedPageBreak/>
        <w:t>“Tengo el honor de informar a su excelencia que la orden internacional emitida contra el llamado Rachid Assham, ha sido emitida por este Ministerio Fiscal en su calidad de uno de los componentes del poder judicial, de conformidad con el artículo 3 del Dahir Jerifiano núm. 1.16.40, de fecha 24 de marzo de 2016, promulgando la Ley Orgánica núm. 13 100, relativa al Consejo Supremo del Poder Judicial que dice: El poder judicial en el Reino de Marruecos corresponde a los magistrados que ejercen, efectivamente, sus funciones judiciales en los tribunales de la organización judicial del reino, sean magistrados del Ministerio Fiscal (fiscales) o magistrados encargados de dictar sentencias (jueces).</w:t>
      </w:r>
    </w:p>
    <w:p w14:paraId="35ABA3B4" w14:textId="77777777" w:rsidR="009D7677" w:rsidRDefault="009D7677" w:rsidP="009D7677">
      <w:pPr>
        <w:pStyle w:val="TextoNormal"/>
      </w:pPr>
    </w:p>
    <w:p w14:paraId="606A6BF8" w14:textId="77777777" w:rsidR="009D7677" w:rsidRDefault="009D7677" w:rsidP="009D7677">
      <w:pPr>
        <w:pStyle w:val="TextoNormal"/>
      </w:pPr>
      <w:r>
        <w:t>Asimismo, el Dahir Jerifiano núm. 1.16.41, de fecha 24 de marzo de 2016, promulgando la Ley Orgánica núm. 13 106, relativa al ‘Reglamento de los Magistrados’, y particularmente, su artículo núm. 3, establece que: El órgano judicial en el Reino de Marruecos, está formado por los magistrados encargados de dictar sentencias (jueces) y los magistrados del Ministerio Fiscal (fiscales) juntos, sin ninguna distinción entre las dos categorías.</w:t>
      </w:r>
    </w:p>
    <w:p w14:paraId="025D9C5F" w14:textId="77777777" w:rsidR="009D7677" w:rsidRDefault="009D7677" w:rsidP="009D7677">
      <w:pPr>
        <w:pStyle w:val="TextoNormal"/>
      </w:pPr>
    </w:p>
    <w:p w14:paraId="75F8F58A" w14:textId="77777777" w:rsidR="009D7677" w:rsidRDefault="009D7677" w:rsidP="009D7677">
      <w:pPr>
        <w:pStyle w:val="TextoNormal"/>
      </w:pPr>
      <w:r>
        <w:t>En efecto, el Ministerio Fiscal —como parte componente del poder judicial en Marruecos—, está formado por los magistrados que disponen de esta calidad, y que ejercen las funciones del Ministerio fiscal. En los tribunales de primera instancia, el Ministerio Fiscal está representado por el fiscal del rey y sus sustitutos, que son los magistrados del Ministerio Fiscal (artículo 39 del Código de enjuiciamiento criminal), y en los tribunales de apelación por el fiscal general del rey y sus sustitutos que son, igualmente, los magistrados del Ministerio Fiscal (artículo 48 del mismo texto legal).</w:t>
      </w:r>
    </w:p>
    <w:p w14:paraId="2DBA110B" w14:textId="77777777" w:rsidR="009D7677" w:rsidRDefault="009D7677" w:rsidP="009D7677">
      <w:pPr>
        <w:pStyle w:val="TextoNormal"/>
      </w:pPr>
    </w:p>
    <w:p w14:paraId="5F5C4BBE" w14:textId="77777777" w:rsidR="009D7677" w:rsidRDefault="009D7677" w:rsidP="009D7677">
      <w:pPr>
        <w:pStyle w:val="TextoNormal"/>
      </w:pPr>
      <w:r>
        <w:t>Por consiguiente, emitir las órdenes internacionales de arresto es una competencia firme del Ministerio Fiscal, que corresponde al fiscal del rey ante el Tribunal de primera instancia y al fiscal general del rey ante el Tribunal de Apelación y surten efectos inmediatamente después de su emisión y publicación. Asimismo, los jueces de instrucción disponen, a su vez, de la competencia de emitir órdenes similares dentro del límite de sus competencias, con motivo de las investigaciones que hacen. Estas órdenes, una vez emitidas por sendas partes, no necesitan ninguna otra legalización judicial, dado que estas órdenes aunque son emitidas por el Ministerio Fiscal, se consideran órdenes judiciales según el reglamento judicial marroquí.</w:t>
      </w:r>
    </w:p>
    <w:p w14:paraId="13FBD3E8" w14:textId="77777777" w:rsidR="009D7677" w:rsidRDefault="009D7677" w:rsidP="009D7677">
      <w:pPr>
        <w:pStyle w:val="TextoNormal"/>
      </w:pPr>
    </w:p>
    <w:p w14:paraId="046461A5" w14:textId="77777777" w:rsidR="009D7677" w:rsidRDefault="009D7677" w:rsidP="009D7677">
      <w:pPr>
        <w:pStyle w:val="TextoNormal"/>
      </w:pPr>
      <w:r>
        <w:t>Visto lo que antecede, comunicamos a las autoridades españolas las informaciones antes citadas, y les manifestamos que la orden internacional de arresto emitida contra el llamado Rachid Assham, no ha sido objeto de ninguna orden o diligencia judicial sucesiva o simultánea, porque no existe esta posibilidad en la organización judicial marroquí, y porque la orden internacional de arresto ha sido emitida por este Ministerio Fiscal como uno de los componentes del poder judicial. Por ende, las órdenes emitidas por el Ministerio Fiscal —que dispone de esta calidad— son firmes y definitivas. Al final, confirmamos la solicitud de extradición del ciudadano marroquí Rachid Assham, para su enjuiciamiento por los hechos que se le atribuyen”.</w:t>
      </w:r>
    </w:p>
    <w:p w14:paraId="71C6CE42" w14:textId="77777777" w:rsidR="009D7677" w:rsidRDefault="009D7677" w:rsidP="009D7677">
      <w:pPr>
        <w:pStyle w:val="TextoNormal"/>
      </w:pPr>
    </w:p>
    <w:p w14:paraId="6DDF3B93" w14:textId="77777777" w:rsidR="009D7677" w:rsidRDefault="009D7677" w:rsidP="009D7677">
      <w:pPr>
        <w:pStyle w:val="TextoNormal"/>
      </w:pPr>
      <w:r>
        <w:t>j) El Pleno de la Sala de lo Penal de la Audiencia Nacional dictó el auto núm. 37/2021, de 4 de junio, por el que desestimó el recurso de súplica.</w:t>
      </w:r>
    </w:p>
    <w:p w14:paraId="3E4F3193" w14:textId="77777777" w:rsidR="009D7677" w:rsidRDefault="009D7677" w:rsidP="009D7677">
      <w:pPr>
        <w:pStyle w:val="TextoNormal"/>
      </w:pPr>
    </w:p>
    <w:p w14:paraId="6EE1A9A8" w14:textId="77777777" w:rsidR="009D7677" w:rsidRDefault="009D7677" w:rsidP="009D7677">
      <w:pPr>
        <w:pStyle w:val="TextoNormal"/>
      </w:pPr>
      <w:r>
        <w:t xml:space="preserve">La Sala desestima que las autoridades reclamantes hubieran incumplido la obligación de determinar los hechos por los que solicitaban la extradición [art. 12 b) del convenio] </w:t>
      </w:r>
      <w:r>
        <w:lastRenderedPageBreak/>
        <w:t>pues los mismos aparecen en el documento de “resumen de los hechos” suscrito por el fiscal del rey el 4 de febrero de 2020, obrante a los folios novena y cuatro a novena y seis de las actuaciones, que coincide, en esencia, con los hechos descritos en la orden internacional de detención emitida el 26 de diciembre de 2019 por la misma autoridad, obrante a los folios novena y ocho a 101, en los que se describe, en síntesis, que tras la detención de dos mujeres que trataban de introducir en el puerto de Tetuán 85 650 comprimidos de “Rivotril”, en el interrogatorio al que fueron sometidas relataron, entre otros detalles, quiénes les encargaron llevar a cabo la introducción en Marruecos de tal sustancia; también se dice que con motivo de averiguar la veracidad de la implicación de esas terceras personas, la policía llevó a cabo ciertas averiguaciones, entre ellas, la constatación a través del teléfono de una de las detenidas de las conversaciones con esos terceros, de los que las detenidas facilitaron sus nombres, obteniendo la policía las fotografías de sus documentos de identidad que después exhibieron a las detenidas, quienes reconocieron su identidad y su implicación en los hechos. Se concluye de ello que tanto la orden de detención como el documento de resumen de hechos contienen suficientes datos de cargo para que las autoridades reclamantes soliciten la entrega del recurrente a los efectos de su enjuiciamiento, correspondiendo al tribunal encargado de enjuiciarlos valorar si hay o no las pruebas que negaba la representación legal del reclamado. Se añade que en los citados documentos se indica el lugar y la fecha del intento de introducción de las pastillas, así como que las dos detenidas se dedican a la introducción de sustancias estupefacientes encargadas por terceros, y que en la citada ocasión viajaban en un vehículo, las averiguaciones realizadas por la policía y su resultado, datos que considera reúnen los requisitos de precisión exigidos en el art. 12 b) del tratado bilateral de extradición.</w:t>
      </w:r>
    </w:p>
    <w:p w14:paraId="61ECB125" w14:textId="77777777" w:rsidR="009D7677" w:rsidRDefault="009D7677" w:rsidP="009D7677">
      <w:pPr>
        <w:pStyle w:val="TextoNormal"/>
      </w:pPr>
    </w:p>
    <w:p w14:paraId="5F6A41BF" w14:textId="77777777" w:rsidR="009D7677" w:rsidRDefault="009D7677" w:rsidP="009D7677">
      <w:pPr>
        <w:pStyle w:val="TextoNormal"/>
      </w:pPr>
      <w:r>
        <w:t>La Sala considera asimismo que la STC 147/2020, de 19 de octubre, no es de aplicación a este caso por los siguientes motivos:</w:t>
      </w:r>
    </w:p>
    <w:p w14:paraId="7CA05F93" w14:textId="77777777" w:rsidR="009D7677" w:rsidRDefault="009D7677" w:rsidP="009D7677">
      <w:pPr>
        <w:pStyle w:val="TextoNormal"/>
      </w:pPr>
    </w:p>
    <w:p w14:paraId="3F63B2C9" w14:textId="77777777" w:rsidR="009D7677" w:rsidRDefault="009D7677" w:rsidP="009D7677">
      <w:pPr>
        <w:pStyle w:val="TextoNormal"/>
      </w:pPr>
      <w:r>
        <w:t>El supuesto de hecho base de dicha sentencia del Tribunal Constitucional se refiere a una solicitud de extradición cursada por Colombia de un ciudadano español para ser juzgado por delitos de cohecho. La base del recurso de amparo y de su concesión fue la inexistencia de una resolución judicial que acordara la prisión del reclamado en la solicitud de extradición, toda vez que la inicialmente existente expedida por un juzgado en función de control de garantías fue anulada por otro órgano jurisdiccional, de forma tal que una vez cursada la extradición su única cobertura legal era el escrito de acusación presentado por la Fiscalía General de la Nación que, según se hacía constar por las autoridades de Colombia, era una decisión equivalente al auto de proceder previsto en el art. 8.2 del convenio bilateral, de modo que lo que se debatía era el cumplimiento de los requisitos exigidos en dicho precepto, que dice: “Cuando se refiera a un individuo acusado o perseguido, se requerirá copia autorizada del mandamiento de prisión o auto de proceder expedido contra él, o de cualquier otro documento que tenga la misma fuerza de dicho auto y precise igualmente los hechos denunciados y la disposición que les sea aplicable”.</w:t>
      </w:r>
    </w:p>
    <w:p w14:paraId="07D4C8E6" w14:textId="77777777" w:rsidR="009D7677" w:rsidRDefault="009D7677" w:rsidP="009D7677">
      <w:pPr>
        <w:pStyle w:val="TextoNormal"/>
      </w:pPr>
    </w:p>
    <w:p w14:paraId="1EF0A0A4" w14:textId="77777777" w:rsidR="009D7677" w:rsidRDefault="009D7677" w:rsidP="009D7677">
      <w:pPr>
        <w:pStyle w:val="TextoNormal"/>
      </w:pPr>
      <w:r>
        <w:t xml:space="preserve">El Tribunal Constitucional otorgó el amparo, en síntesis, sobre la base de la doctrina elaborada por el Tribunal de Justicia de la Unión Europea y la necesidad de que una autoridad judicial acuerde o ratifique la privación de libertad de quien va a ser objeto de una solicitud extradicional, pero ni las circunstancias del procedimiento judicial colombiano son las mismas que las de este procedimiento ni, en consecuencia, la doctrina y conclusión de la sentencia indicada es de aplicación al caso, porque el art. 12 del convenio bilateral de </w:t>
      </w:r>
      <w:r>
        <w:lastRenderedPageBreak/>
        <w:t>extradición con Marruecos establece que la solicitud de extradición se cursará por vía diplomática y deberá ir acompañada del “original o copia auténtica, bien de una resolución ejecutoria de condena, o bien de una orden de detención o de cualquier otro documento que tenga la misma fuerza y que haya sido expedido en la forma prescrita por la ley del Estado requirente”.</w:t>
      </w:r>
    </w:p>
    <w:p w14:paraId="54D78BBA" w14:textId="77777777" w:rsidR="009D7677" w:rsidRDefault="009D7677" w:rsidP="009D7677">
      <w:pPr>
        <w:pStyle w:val="TextoNormal"/>
      </w:pPr>
    </w:p>
    <w:p w14:paraId="2936B493" w14:textId="77777777" w:rsidR="009D7677" w:rsidRDefault="009D7677" w:rsidP="009D7677">
      <w:pPr>
        <w:pStyle w:val="TextoNormal"/>
      </w:pPr>
      <w:r>
        <w:t>Considera por ello la sala que el título extradicional lo constituye la orden internacional de detención (folios noventa y ocho a 101) emitida el 26 de diciembre de 2019 por el fiscal del rey, por tratarse de una autoridad que, según la información complementaria suministrada por las autoridades reclamantes, es competente para emitirla, en su calidad de componente del poder judicial, siendo sus órdenes de detención consideradas como órdenes judiciales, firmes y definitivas según la legislación de dicho país. Concluye que a la vista de estos datos no sería viable aplicar al caso la doctrina de la STC 147/2020, de 19 de octubre.</w:t>
      </w:r>
    </w:p>
    <w:p w14:paraId="2CA94819" w14:textId="77777777" w:rsidR="009D7677" w:rsidRDefault="009D7677" w:rsidP="009D7677">
      <w:pPr>
        <w:pStyle w:val="TextoNormal"/>
      </w:pPr>
    </w:p>
    <w:p w14:paraId="4FE72031" w14:textId="3053CB91" w:rsidR="009D7677" w:rsidRDefault="009D7677" w:rsidP="009D7677">
      <w:pPr>
        <w:pStyle w:val="TextoNormal"/>
      </w:pPr>
      <w:r>
        <w:t>El auto va acompañado de dos votos particulares disidentes, firmados por cinco de los magistrados de la sala, que consideran que la mayoría no ha aplicado correctamente la doctrina sentada en la STC 147/2020, en la que es esencial que se cumpla la garantía jurisdiccional de la libertad en el propio país solicitante de la extradición, mediante la homologación por un órgano judicial de la orden de detención.</w:t>
      </w:r>
    </w:p>
    <w:p w14:paraId="58A00B2C" w14:textId="77777777" w:rsidR="009D7677" w:rsidRDefault="009D7677" w:rsidP="009D7677">
      <w:pPr>
        <w:pStyle w:val="TextoNormal"/>
      </w:pPr>
    </w:p>
    <w:p w14:paraId="48AFEA78" w14:textId="4D0C56F4" w:rsidR="009D7677" w:rsidRDefault="009D7677" w:rsidP="009D7677">
      <w:pPr>
        <w:pStyle w:val="TextoNormal"/>
      </w:pPr>
      <w:r w:rsidRPr="009D7677">
        <w:rPr>
          <w:rStyle w:val="NumeroAFNegritaCaracter"/>
        </w:rPr>
        <w:t>3</w:t>
      </w:r>
      <w:r>
        <w:t xml:space="preserve">. El recurrente en amparo denuncia que se ha vulnerado su derecho a la tutela judicial efectiva, por incumplimiento del canon de motivación reforzada (art. 24.1 CE), y su derecho a un proceso con todas las garantías (art. 24.2 CE), en conexión con los derechos a la libertad personal (art. 17.1 CE) y a la libertad de residencia y circulación (art. 19 CE), porque la orden de arresto de 26 de diciembre de 2019, emitida por el fiscal sustituto del rey de Marruecos, careció de control judicial en origen. De acuerdo con la información suministrada, la orden de detención la podría haber emitido también un juez de instrucción, por lo que no existía imposibilidad alguna para ello. No se ha producido la necesaria concurrencia de una autoridad judicial, exigida en las SSTC 147/2020 y 147/2021, para garantizar la proporcionalidad de la solicitud de extradición, lo que tiene que verificarse en el país de origen, dado que afecta a derechos fundamentales, pues la extradición conlleva la privación de libertad del </w:t>
      </w:r>
      <w:r w:rsidRPr="009D7677">
        <w:rPr>
          <w:i/>
        </w:rPr>
        <w:t>extraditurus</w:t>
      </w:r>
      <w:r>
        <w:t xml:space="preserve"> y le impide la permanencia en territorio español mediante un traslado forzoso. En este caso no hay ninguna resolución judicial que controle la necesidad y proporcionalidad de la medida.</w:t>
      </w:r>
    </w:p>
    <w:p w14:paraId="17AB74F6" w14:textId="77777777" w:rsidR="009D7677" w:rsidRDefault="009D7677" w:rsidP="009D7677">
      <w:pPr>
        <w:pStyle w:val="TextoNormal"/>
      </w:pPr>
    </w:p>
    <w:p w14:paraId="0D189C6C" w14:textId="0EC7036E" w:rsidR="009D7677" w:rsidRDefault="009D7677" w:rsidP="009D7677">
      <w:pPr>
        <w:pStyle w:val="TextoNormal"/>
      </w:pPr>
      <w:r w:rsidRPr="009D7677">
        <w:rPr>
          <w:rStyle w:val="NumeroAFNegritaCaracter"/>
        </w:rPr>
        <w:t>4</w:t>
      </w:r>
      <w:r>
        <w:t>. Por escrito presentado el 10 de diciembre de 2021, la magistrada doña Concepción Espejel Jorquera manifestó su voluntad de abstenerse del conocimiento del presente recurso de amparo al concurrir en su persona la causa establecida en el art. 219.11 de la Ley Orgánica del Poder Judicial (LOPJ), haber resuelto el pleito o causa en anterior instancia, pues en su condición de presidenta de la Sala de lo Penal de la Audiencia Nacional, formó parte del pleno de dicha sala que dictó el auto núm. 37/2021, de 4 de junio, impugnado en el presente recurso de amparo. Por ATC 106/2021, de 14 de diciembre, de la Sección Tercera de este tribunal, se estimó justificada su abstención.</w:t>
      </w:r>
    </w:p>
    <w:p w14:paraId="0E3E2775" w14:textId="77777777" w:rsidR="009D7677" w:rsidRDefault="009D7677" w:rsidP="009D7677">
      <w:pPr>
        <w:pStyle w:val="TextoNormal"/>
      </w:pPr>
    </w:p>
    <w:p w14:paraId="6CF26669" w14:textId="77777777" w:rsidR="009D7677" w:rsidRDefault="009D7677" w:rsidP="009D7677">
      <w:pPr>
        <w:pStyle w:val="TextoNormal"/>
      </w:pPr>
      <w:r w:rsidRPr="009D7677">
        <w:rPr>
          <w:rStyle w:val="NumeroAFNegritaCaracter"/>
        </w:rPr>
        <w:t>5</w:t>
      </w:r>
      <w:r>
        <w:t xml:space="preserve">. La Sección Tercera del Tribunal Constitucional, por providencia de 17 de diciembre de 2021, acordó admitir a trámite el recurso de amparo apreciando que concurre en el </w:t>
      </w:r>
      <w:r>
        <w:lastRenderedPageBreak/>
        <w:t>mismo una especial trascendencia constitucional (art. 50.1 de la Ley Orgánica del Tribunal Constitucional: LOTC) como consecuencia de que el órgano judicial pudiera haber incurrido en una negativa manifiesta del deber de acatamiento de la doctrina de este tribunal [STC 155/2009, FJ 2, f)].</w:t>
      </w:r>
    </w:p>
    <w:p w14:paraId="501B80A3" w14:textId="77777777" w:rsidR="009D7677" w:rsidRDefault="009D7677" w:rsidP="009D7677">
      <w:pPr>
        <w:pStyle w:val="TextoNormal"/>
      </w:pPr>
    </w:p>
    <w:p w14:paraId="1DE34D36" w14:textId="4569E8C6" w:rsidR="009D7677" w:rsidRDefault="009D7677" w:rsidP="009D7677">
      <w:pPr>
        <w:pStyle w:val="TextoNormal"/>
      </w:pPr>
      <w:r>
        <w:t>En la providencia se acordó, en aplicación de lo dispuesto en el art. 51 LOTC, dirigir atenta comunicación a la Sala de lo Penal, Sección Segunda, de la Audiencia Nacional para que, en plazo que no excediera de diez días, remitiera certificación o fotocopia adverada de las actuaciones correspondientes al rollo núm. 9-2020, dimanante del procedimiento de extradición pasiva núm. 9-2020 del Juzgado Central de Instrucción núm. 6, debiendo previamente emplazarse, para que en el plazo de diez días pudieran comparecer, si lo deseasen, en el recurso de amparo a quienes hubieran sido parte en el procedimiento, excepto la parte recurrente en amparo. Se acordó asimismo, conforme a lo solicitado por la parte recurrente, la apertura de pieza separada de suspensión.</w:t>
      </w:r>
    </w:p>
    <w:p w14:paraId="0FB6082B" w14:textId="77777777" w:rsidR="009D7677" w:rsidRDefault="009D7677" w:rsidP="009D7677">
      <w:pPr>
        <w:pStyle w:val="TextoNormal"/>
      </w:pPr>
    </w:p>
    <w:p w14:paraId="38CDC6D8" w14:textId="77777777" w:rsidR="009D7677" w:rsidRDefault="009D7677" w:rsidP="009D7677">
      <w:pPr>
        <w:pStyle w:val="TextoNormal"/>
      </w:pPr>
      <w:r w:rsidRPr="009D7677">
        <w:rPr>
          <w:rStyle w:val="NumeroAFNegritaCaracter"/>
        </w:rPr>
        <w:t>6</w:t>
      </w:r>
      <w:r>
        <w:t>. Por diligencia de ordenación de 17 de diciembre de 2021 se concedió un plazo común de tres días a la parte recurrente y al Ministerio Fiscal para que alegasen lo que estimasen pertinente en la pieza separada de suspensión cautelar.</w:t>
      </w:r>
    </w:p>
    <w:p w14:paraId="6CCB9671" w14:textId="77777777" w:rsidR="009D7677" w:rsidRDefault="009D7677" w:rsidP="009D7677">
      <w:pPr>
        <w:pStyle w:val="TextoNormal"/>
      </w:pPr>
    </w:p>
    <w:p w14:paraId="7673093B" w14:textId="77777777" w:rsidR="009D7677" w:rsidRDefault="009D7677" w:rsidP="009D7677">
      <w:pPr>
        <w:pStyle w:val="TextoNormal"/>
      </w:pPr>
      <w:r>
        <w:t>Por escrito presentado el 23 de diciembre de 2021, la representación procesal del actor se ratificó en el contenido del otrosí de su demanda, alegando que en caso de no suspenderse la ejecución de la extradición se le ocasionaría el lógico perjuicio, con la consiguiente pérdida de la finalidad del recurso de amparo en caso de otorgarse.</w:t>
      </w:r>
    </w:p>
    <w:p w14:paraId="5573E545" w14:textId="77777777" w:rsidR="009D7677" w:rsidRDefault="009D7677" w:rsidP="009D7677">
      <w:pPr>
        <w:pStyle w:val="TextoNormal"/>
      </w:pPr>
    </w:p>
    <w:p w14:paraId="1C7A8329" w14:textId="77777777" w:rsidR="009D7677" w:rsidRDefault="009D7677" w:rsidP="009D7677">
      <w:pPr>
        <w:pStyle w:val="TextoNormal"/>
      </w:pPr>
      <w:r>
        <w:t>Por escrito presentado el 13 de enero de 2021, la fiscal ante el Tribunal Constitucional presentó alegaciones en las que interesó se accediera a la medida cautelar solicitada por apreciar la concurrencia de un perjuicio irreparable para el demandante en el supuesto de que se ejecutase la decisión judicial de autorizar su entrega extradicional al Reino de Marruecos, suspensión que no habría de extenderse a las medidas que puedan adoptarse para garantizar que el demandante queda a disposición de la justicia.</w:t>
      </w:r>
    </w:p>
    <w:p w14:paraId="4D802C6B" w14:textId="77777777" w:rsidR="009D7677" w:rsidRDefault="009D7677" w:rsidP="009D7677">
      <w:pPr>
        <w:pStyle w:val="TextoNormal"/>
      </w:pPr>
    </w:p>
    <w:p w14:paraId="798B32EF" w14:textId="0B5E578C" w:rsidR="009D7677" w:rsidRDefault="009D7677" w:rsidP="009D7677">
      <w:pPr>
        <w:pStyle w:val="TextoNormal"/>
      </w:pPr>
      <w:r>
        <w:t>Por ATC 35/2022, de 7 de febrero, la Sala Segunda de este tribunal acordó la suspensión de la ejecución de las resoluciones judiciales impugnadas, circunscrita a la declaración judicial de procedencia de la extradición, y sin perjuicio de las resoluciones judiciales que el tribunal competente pudiera adoptar para asegurar que el recurrente en amparo permanezca a disposición de la justicia. Se fundamenta la decisión en que la ejecución de los autos impugnados implicaría acceder en fase jurisdiccional, sin perjuicio de la última decisión sobre la entrega, que corresponde al Consejo de Ministros, a la extradición del recurrente al Reino de Marruecos para ser enjuiciado por los delitos que se le imputan, por lo que, obviamente, de tal ejecución se le derivarían perjuicios personales de difícil reparación, siendo práctica constitucional reiterada la de acordar la suspensión de la ejecución de las resoluciones judiciales que acuerdan la extradición pues, en estos casos, si la persona requerida fuera entregada a las autoridades del Estado requirente perdería su finalidad el recurso de amparo que, en definitiva, tiene por objeto impedir su extradición.</w:t>
      </w:r>
    </w:p>
    <w:p w14:paraId="702434AF" w14:textId="77777777" w:rsidR="009D7677" w:rsidRDefault="009D7677" w:rsidP="009D7677">
      <w:pPr>
        <w:pStyle w:val="TextoNormal"/>
      </w:pPr>
    </w:p>
    <w:p w14:paraId="593C0075" w14:textId="6DEA6244" w:rsidR="009D7677" w:rsidRDefault="009D7677" w:rsidP="009D7677">
      <w:pPr>
        <w:pStyle w:val="TextoNormal"/>
      </w:pPr>
      <w:r w:rsidRPr="009D7677">
        <w:rPr>
          <w:rStyle w:val="NumeroAFNegritaCaracter"/>
        </w:rPr>
        <w:t>7</w:t>
      </w:r>
      <w:r>
        <w:t>. Por escrito presentado el 26 de enero de 2022, la representación procesal del recurrente en amparo se personó en el presente procedimiento constitucional.</w:t>
      </w:r>
    </w:p>
    <w:p w14:paraId="56D85227" w14:textId="77777777" w:rsidR="009D7677" w:rsidRDefault="009D7677" w:rsidP="009D7677">
      <w:pPr>
        <w:pStyle w:val="TextoNormal"/>
      </w:pPr>
    </w:p>
    <w:p w14:paraId="48E59310" w14:textId="73D9FC9B" w:rsidR="009D7677" w:rsidRDefault="009D7677" w:rsidP="009D7677">
      <w:pPr>
        <w:pStyle w:val="TextoNormal"/>
      </w:pPr>
      <w:r w:rsidRPr="009D7677">
        <w:rPr>
          <w:rStyle w:val="NumeroAFNegritaCaracter"/>
        </w:rPr>
        <w:lastRenderedPageBreak/>
        <w:t>8</w:t>
      </w:r>
      <w:r>
        <w:t>. Por escrito presentado el 4 de febrero de 2022, el magistrado don Ramón Sáez Valcárcel manifestó su voluntad de abstenerse en el conocimiento del presente recurso de amparo al concurrir en su persona la causa establecida en el art. 219.11 LOPJ, haber resuelto el pleito o causa en anterior instancia, por cuanto se trata de una demanda contra una resolución en la que participó como magistrado de la Sala de lo Penal de la Audiencia Nacional, refiriéndose al auto del Pleno de la Sala de lo Penal de la Audiencia Nacional núm. 37/2021, de 4 de junio, dictado en el recurso de súplica núm. 8-2021. Por ATC 34/2022, de 7 de febrero, la Sala Segunda del Tribunal Constitucional estimó justificada la causa de abstención formulada por dicho magistrado.</w:t>
      </w:r>
    </w:p>
    <w:p w14:paraId="3EF07A2B" w14:textId="77777777" w:rsidR="009D7677" w:rsidRDefault="009D7677" w:rsidP="009D7677">
      <w:pPr>
        <w:pStyle w:val="TextoNormal"/>
      </w:pPr>
    </w:p>
    <w:p w14:paraId="47F6B71E" w14:textId="33E0999E" w:rsidR="009D7677" w:rsidRDefault="009D7677" w:rsidP="009D7677">
      <w:pPr>
        <w:pStyle w:val="TextoNormal"/>
      </w:pPr>
      <w:r w:rsidRPr="009D7677">
        <w:rPr>
          <w:rStyle w:val="NumeroAFNegritaCaracter"/>
        </w:rPr>
        <w:t>9</w:t>
      </w:r>
      <w:r>
        <w:t>. Recibidas las actuaciones de la Sala de lo Penal de la Audiencia Nacional, el 10 de febrero de 2022 la Secretaría de Justicia de la Sala Segunda de este tribunal dictó diligencia de ordenación en la que acordaba dar vista de las mismas por un plazo común de veinte días a la parte recurrente y al Ministerio Fiscal, para que presentasen las alegaciones que estimasen pertinentes, conforme determina el art. 52.1 LOTC.</w:t>
      </w:r>
    </w:p>
    <w:p w14:paraId="1281F213" w14:textId="77777777" w:rsidR="009D7677" w:rsidRDefault="009D7677" w:rsidP="009D7677">
      <w:pPr>
        <w:pStyle w:val="TextoNormal"/>
      </w:pPr>
    </w:p>
    <w:p w14:paraId="448D9529" w14:textId="31AC5D18" w:rsidR="009D7677" w:rsidRDefault="009D7677" w:rsidP="009D7677">
      <w:pPr>
        <w:pStyle w:val="TextoNormal"/>
      </w:pPr>
      <w:r w:rsidRPr="009D7677">
        <w:rPr>
          <w:rStyle w:val="NumeroAFNegritaCaracter"/>
        </w:rPr>
        <w:t>10</w:t>
      </w:r>
      <w:r>
        <w:t>. Por escrito presentado el 15 de marzo de 2022 la representación procesal del actor formuló alegaciones en las que se ratificó íntegramente en la demanda. Argumenta que la Audiencia Nacional convalidó la entrega extradicional del reclamado sin que hubiera existido intervención judicial, lo que contraviene la doctrina de las SSTC 147/2020 y 147/2021. La orden de detención firmada por el fiscal de Marruecos, al carecer de homologación judicial, da lugar a que la solicitud de extradición no cumpla las garantías de necesidad y proporcionalidad, que hacen precisa la intervención de un juez, garante de los derechos fundamentales. Cita el art. 110.2 de la Constitución de Marruecos, que establece que los fiscales están sometidos a las instrucciones escritas que emita la autoridad jerárquica, el fiscal nombrado por el Rey, por lo que existe una dependencia interna, en tanto que el artículo 117 de la Constitución de Marruecos confía en exclusiva al juez la garantía de la libertad y de los derechos fundamentales.</w:t>
      </w:r>
    </w:p>
    <w:p w14:paraId="02B86923" w14:textId="77777777" w:rsidR="009D7677" w:rsidRDefault="009D7677" w:rsidP="009D7677">
      <w:pPr>
        <w:pStyle w:val="TextoNormal"/>
      </w:pPr>
    </w:p>
    <w:p w14:paraId="2DF8E63A" w14:textId="77777777" w:rsidR="009D7677" w:rsidRDefault="009D7677" w:rsidP="009D7677">
      <w:pPr>
        <w:pStyle w:val="TextoNormal"/>
      </w:pPr>
      <w:r w:rsidRPr="009D7677">
        <w:rPr>
          <w:rStyle w:val="NumeroAFNegritaCaracter"/>
        </w:rPr>
        <w:t>11</w:t>
      </w:r>
      <w:r>
        <w:t>. Por escrito presentado el 28 de marzo de 2022, la fiscal ante el Tribunal Constitucional presentó alegaciones en las que solicitó la estimación del recurso de amparo, que se declarase que las resoluciones judiciales impugnadas en el mismo vulneraron el derecho fundamental del recurrente a la tutela judicial efectiva del art. 24.1 CE, y a un proceso con todas las garantías del art. 24.2 CE, en conexión con los derechos a la libertad del art. 17 CE y a la libertad de circulación y residencia del art. 19 CE, con infracción de la doctrina del Tribunal Constitucional, y que en consecuencia se declarase su nulidad. Subsidiariamente, solicitaba una aclaración o precisión de la doctrina constitucional.</w:t>
      </w:r>
    </w:p>
    <w:p w14:paraId="156F3A36" w14:textId="77777777" w:rsidR="009D7677" w:rsidRDefault="009D7677" w:rsidP="009D7677">
      <w:pPr>
        <w:pStyle w:val="TextoNormal"/>
      </w:pPr>
    </w:p>
    <w:p w14:paraId="60920432" w14:textId="77777777" w:rsidR="009D7677" w:rsidRDefault="009D7677" w:rsidP="009D7677">
      <w:pPr>
        <w:pStyle w:val="TextoNormal"/>
      </w:pPr>
      <w:r>
        <w:t xml:space="preserve">Tras exponer las vicisitudes del procedimiento antecedente, la fiscal encuadra la cuestión suscitada en el recurso de amparo en la falta de habilitación legal de la solicitud de extradición formulada por el Reino de Marruecos, en tanto se funda en una orden internacional de detención dictada por el fiscal del rey ante el Tribunal de Primera Instancia de Tánger, sin que exista una resolución judicial que la corrobore, apartándose las resoluciones judiciales impugnadas de la doctrina establecida por el Tribunal Constitucional en las SSTC 147/2020, de 19 de octubre, y 147/2021, de 12 de julio, doctrina que sintetiza y de la que destaca, mediante extensa cita literal de los fundamentos jurídicos 7 y 8 de la primera de ellas, el valor hermenéutico e integrador que el Tribunal Constitucional atribuye </w:t>
      </w:r>
      <w:r>
        <w:lastRenderedPageBreak/>
        <w:t>(art. 10.2 CE) a los pronunciamientos del Tribunal de Justicia de la Unión Europea relativos a la orden europea de detención y entrega (Decisión Marco 2002/584/JAI) para incorporar a la tutela judicial efectiva del derecho a la libertad y a la libertad de circulación, en los procedimientos de extradición pasiva, la exigencia de que en el país reclamante exista un control judicial de la ponderación de la necesidad de la medida.</w:t>
      </w:r>
    </w:p>
    <w:p w14:paraId="12988E59" w14:textId="77777777" w:rsidR="009D7677" w:rsidRDefault="009D7677" w:rsidP="009D7677">
      <w:pPr>
        <w:pStyle w:val="TextoNormal"/>
      </w:pPr>
    </w:p>
    <w:p w14:paraId="0896196E" w14:textId="77777777" w:rsidR="009D7677" w:rsidRDefault="009D7677" w:rsidP="009D7677">
      <w:pPr>
        <w:pStyle w:val="TextoNormal"/>
      </w:pPr>
      <w:r>
        <w:t>En el presente caso, la orden internacional de detención emitida por el fiscal del rey no fue objeto, según informó explícitamente la misma autoridad, de ninguna orden o diligencia judicial, sucesiva o simultánea, porque no existe esa posibilidad en la organización judicial marroquí y porque el Ministerio Fiscal actúa como componente del poder judicial y sus órdenes son firmes y definitivas.</w:t>
      </w:r>
    </w:p>
    <w:p w14:paraId="01CC2528" w14:textId="77777777" w:rsidR="009D7677" w:rsidRDefault="009D7677" w:rsidP="009D7677">
      <w:pPr>
        <w:pStyle w:val="TextoNormal"/>
      </w:pPr>
    </w:p>
    <w:p w14:paraId="09D52C9A" w14:textId="77777777" w:rsidR="009D7677" w:rsidRDefault="009D7677" w:rsidP="009D7677">
      <w:pPr>
        <w:pStyle w:val="TextoNormal"/>
      </w:pPr>
      <w:r>
        <w:t>La fiscal ante el Tribunal Constitucional aduce seguidamente que los motivos expuestos en el auto de 4 de junio de 2021 del Pleno de la Sala de lo Penal de la Audiencia Nacional para rechazar la aplicación al caso de la doctrina de la STC 147/2020 constituyen un razonamiento que no se corresponde con lo establecido en dicha sentencia, y que el meritado auto no entra a valorar si el fiscal del rey de Marruecos, que de acuerdo con la organización judicial de ese Estado se integra en el poder judicial en igualdad de condiciones que los jueces, pero con distintas funciones, goza de acuerdo con su propio ordenamiento constitucional de plena independencia o autonomía del poder ejecutivo, en orden a comprobar si resultaba o no necesaria una intervención judicial en la emisión de la solicitud extradicional; cita los arts. 109, 110 y 117 de la Constitución de Marruecos para resaltar el estatuto de independencia que se reconoce a los jueces marroquíes, en contraste con los fiscales que deben aplicar el derecho y deben atenerse a las instrucciones escritas emanadas de la autoridad jerárquica.</w:t>
      </w:r>
    </w:p>
    <w:p w14:paraId="35596E35" w14:textId="77777777" w:rsidR="009D7677" w:rsidRDefault="009D7677" w:rsidP="009D7677">
      <w:pPr>
        <w:pStyle w:val="TextoNormal"/>
      </w:pPr>
    </w:p>
    <w:p w14:paraId="76DDC9F9" w14:textId="77777777" w:rsidR="009D7677" w:rsidRDefault="009D7677" w:rsidP="009D7677">
      <w:pPr>
        <w:pStyle w:val="TextoNormal"/>
      </w:pPr>
      <w:r>
        <w:t>Concluye de ello que el auto del Pleno de la Sala de lo Penal de la Audiencia Nacional, que confirma el auto de la Sección Segunda de la misma sala, no es una resolución judicial que responda al canon de motivación reforzada, al dar trámite en vía judicial a una solicitud de extradición que se sustentaba únicamente en la orden internacional de arresto del fiscal del rey, apartándose inmotivadamente del criterio establecido por el Tribunal Constitucional en la STC 147/2020, reiterado en la STC 147/2021.</w:t>
      </w:r>
    </w:p>
    <w:p w14:paraId="79A4AADE" w14:textId="77777777" w:rsidR="009D7677" w:rsidRDefault="009D7677" w:rsidP="009D7677">
      <w:pPr>
        <w:pStyle w:val="TextoNormal"/>
      </w:pPr>
    </w:p>
    <w:p w14:paraId="07BED030" w14:textId="77777777" w:rsidR="009D7677" w:rsidRDefault="009D7677" w:rsidP="009D7677">
      <w:pPr>
        <w:pStyle w:val="TextoNormal"/>
      </w:pPr>
      <w:r>
        <w:t>La fiscal no concluye aquí sus alegaciones, sino que con carácter subsidiario plantea la posibilidad de que el presente recurso de amparo sirva de oportunidad para que este tribunal aclare o cambie su doctrina, a cuyo efecto apunta que el recurso de amparo núm. 7490-2021, que plantea la misma cuestión, ha sido admitido a trámite en providencia de 1 de diciembre de 2021 de la Sala Primera de este tribunal, en virtud del supuesto de especial trascendencia constitucional enunciado en la letra b) de la STC 155/2009.</w:t>
      </w:r>
    </w:p>
    <w:p w14:paraId="087AF401" w14:textId="77777777" w:rsidR="009D7677" w:rsidRDefault="009D7677" w:rsidP="009D7677">
      <w:pPr>
        <w:pStyle w:val="TextoNormal"/>
      </w:pPr>
    </w:p>
    <w:p w14:paraId="23B4B7BA" w14:textId="77777777" w:rsidR="009D7677" w:rsidRDefault="009D7677" w:rsidP="009D7677">
      <w:pPr>
        <w:pStyle w:val="TextoNormal"/>
      </w:pPr>
      <w:r>
        <w:t xml:space="preserve">En desarrollo de esta segunda línea argumental, la fiscal cita la STC 132/2020, de 23 de septiembre, que destaca las diferencias de naturaleza y procedimiento que se observan entre el sistema de la euroorden, en el que impera el principio general de ejecución, con excepciones regladas, y el extradicional clásico, en el que impera el principio de reciprocidad, de contenido esencialmente político, que puede llevar a su denegación, y en la que se dice que el Tribunal Constitucional, como juez de los derechos fundamentales, mantiene plenitud de facultades para valorar la actuación de los órganos jurisdiccionales y su sujeción a las garantías del art. 24 CE, tanto en los supuestos en que resuelven sobre una </w:t>
      </w:r>
      <w:r>
        <w:lastRenderedPageBreak/>
        <w:t>extradición como cuando lo hacen sobre una orden europea de entrega, con la única salvedad de que deberán aplicar la interpretación formulada por el Tribunal de Justicia de la Unión Europea respecto del Derecho de la Unión Europea cuando este sea aplicable al caso.</w:t>
      </w:r>
    </w:p>
    <w:p w14:paraId="7DF858DF" w14:textId="77777777" w:rsidR="009D7677" w:rsidRDefault="009D7677" w:rsidP="009D7677">
      <w:pPr>
        <w:pStyle w:val="TextoNormal"/>
      </w:pPr>
    </w:p>
    <w:p w14:paraId="1DDF1E68" w14:textId="77777777" w:rsidR="009D7677" w:rsidRDefault="009D7677" w:rsidP="009D7677">
      <w:pPr>
        <w:pStyle w:val="TextoNormal"/>
      </w:pPr>
      <w:r>
        <w:t>La fiscal, sin perjuicio de compartir la doctrina constitucional sobre la necesidad de establecer un elevado estándar de protección de los derechos fundamentales sustantivos y de salvaguardar el contenido absoluto o esencial de los derechos fundamentales reconocidos en los tratados internacionales sobre la materia ratificados por España (art. 10.2 CE), entiende que sería conveniente que el Tribunal Constitucional precisase si el canon de control de constitucionalidad de las resoluciones judiciales que se dictan en un procedimiento de extradición pasiva, regido por un convenio bilateral en vigor, puede ser objeto de alguna modulación, atendiendo a las circunstancias del caso. Aduce que los tratados internacionales ratificados por España se incorporan a nuestro ordenamiento jurídico en virtud del art. 96 CE, y que es necesario valorar la repercusión que tiene desde el punto de vista de la vigencia y aplicación de estos tratados un canon de constitucionalidad como el inspirado en la doctrina del Tribunal de Justicia de la Unión Europea, que conduce a que los órganos judiciales competentes para examinar las solicitudes de extradición en aplicación de un convenio bilateral tengan que inaplicar algunas de sus disposiciones, que solo pueden ser derogadas, modificadas o suspendidas en la forma prevista en los tratados internacionales o de acuerdo con las normas del derecho internacional (art. 96 CE); estos tratados no solo responden al contenido jurídico propio del auxilio judicial internacional, sino también a un contenido político de cooperación internacional y de reciprocidad con otros Estados, valorado por los respectivos gobiernos en el ámbito de sus competencias de política exterior, que podría quedar vacío de contenido.</w:t>
      </w:r>
    </w:p>
    <w:p w14:paraId="3A33BE5C" w14:textId="77777777" w:rsidR="009D7677" w:rsidRDefault="009D7677" w:rsidP="009D7677">
      <w:pPr>
        <w:pStyle w:val="TextoNormal"/>
      </w:pPr>
    </w:p>
    <w:p w14:paraId="39E2E3D4" w14:textId="7A2F8B50" w:rsidR="009D7677" w:rsidRDefault="009D7677" w:rsidP="009D7677">
      <w:pPr>
        <w:pStyle w:val="TextoNormal"/>
      </w:pPr>
      <w:r>
        <w:t>En definitiva, la fiscal plantea la oportunidad de que el Tribunal Constitucional precise si la tutela judicial del derecho a la libertad, afectado por las resoluciones judiciales que se pronuncian sobre solicitudes de extradición, exige en todo caso comprobar que en el Estado requirente ha existido la intervención de un juez o tribunal que garantice que la solicitud extradicional resulta necesaria y proporcionada, sin ninguna modulación, aunque ello suponga inaplicar lo previsto en una disposición del tratado bilateral de extradición, en alusión al art. 12 a) del tratado bilateral de extradición con Marruecos de 24 de junio de 2009, que reproduce literalmente.</w:t>
      </w:r>
    </w:p>
    <w:p w14:paraId="67BD223D" w14:textId="77777777" w:rsidR="009D7677" w:rsidRDefault="009D7677" w:rsidP="009D7677">
      <w:pPr>
        <w:pStyle w:val="TextoNormal"/>
      </w:pPr>
    </w:p>
    <w:p w14:paraId="2A2F5FF9" w14:textId="677D72CE" w:rsidR="009D7677" w:rsidRDefault="009D7677" w:rsidP="009D7677">
      <w:pPr>
        <w:pStyle w:val="TextoNormal"/>
      </w:pPr>
      <w:r w:rsidRPr="009D7677">
        <w:rPr>
          <w:rStyle w:val="NumeroAFNegritaCaracter"/>
        </w:rPr>
        <w:t>12</w:t>
      </w:r>
      <w:r>
        <w:t>. Por diligencia de ordenación de la Secretaría de Justicia de la Sala Primera de este tribunal de 25 de enero de 2023 se comunicó al Ministerio Fiscal y a las partes, a los efectos oportunos, que en virtud del acuerdo adoptado por el Pleno del Tribunal Constitucional el día 17 de enero de 2023, publicado en el “BOE” de 19 de enero, el presente recurso de amparo había sido turnado a la Sala Primera del Tribunal Constitucional.</w:t>
      </w:r>
    </w:p>
    <w:p w14:paraId="6850E6DB" w14:textId="77777777" w:rsidR="009D7677" w:rsidRDefault="009D7677" w:rsidP="009D7677">
      <w:pPr>
        <w:pStyle w:val="TextoNormal"/>
      </w:pPr>
    </w:p>
    <w:p w14:paraId="01A65ED8" w14:textId="669146A1" w:rsidR="009D7677" w:rsidRDefault="009D7677" w:rsidP="009D7677">
      <w:pPr>
        <w:pStyle w:val="TextoNormal"/>
      </w:pPr>
      <w:r w:rsidRPr="009D7677">
        <w:rPr>
          <w:rStyle w:val="NumeroAFNegritaCaracter"/>
        </w:rPr>
        <w:t>13</w:t>
      </w:r>
      <w:r>
        <w:t>. Por providencia de 15 de enero de 2024, la Sala Primera del Tribunal Constitucional acordó proponer la avocación al Pleno del presente recurso de amparo, de conformidad con lo dispuesto en el art. 10.1 n) LOTC.</w:t>
      </w:r>
    </w:p>
    <w:p w14:paraId="7D107546" w14:textId="77777777" w:rsidR="009D7677" w:rsidRDefault="009D7677" w:rsidP="009D7677">
      <w:pPr>
        <w:pStyle w:val="TextoNormal"/>
      </w:pPr>
    </w:p>
    <w:p w14:paraId="145A09A7" w14:textId="5D30F64D" w:rsidR="009D7677" w:rsidRDefault="009D7677" w:rsidP="009D7677">
      <w:pPr>
        <w:pStyle w:val="TextoNormal"/>
      </w:pPr>
      <w:r w:rsidRPr="009D7677">
        <w:rPr>
          <w:rStyle w:val="NumeroAFNegritaCaracter"/>
        </w:rPr>
        <w:lastRenderedPageBreak/>
        <w:t>14</w:t>
      </w:r>
      <w:r>
        <w:t>. El Pleno del Tribunal Constitucional, con fecha 30 de enero de 2024, dictó providencia en la que acordó, a propuesta de la Sala Primera, recabar para sí el conocimiento de este recurso, conforme a lo establecido en el art. 10.1 n) LOTC.</w:t>
      </w:r>
    </w:p>
    <w:p w14:paraId="6ED162D3" w14:textId="77777777" w:rsidR="009D7677" w:rsidRDefault="009D7677" w:rsidP="009D7677">
      <w:pPr>
        <w:pStyle w:val="TextoNormal"/>
      </w:pPr>
    </w:p>
    <w:p w14:paraId="4CF93983" w14:textId="10203F1E" w:rsidR="009D7677" w:rsidRDefault="009D7677" w:rsidP="009D7677">
      <w:pPr>
        <w:pStyle w:val="TextoNormal"/>
      </w:pPr>
      <w:r w:rsidRPr="009D7677">
        <w:rPr>
          <w:rStyle w:val="NumeroAFNegritaCaracter"/>
        </w:rPr>
        <w:t>15</w:t>
      </w:r>
      <w:r>
        <w:t>. Mediante providencia de 30 de enero de 2024, se señaló para deliberación y votación de la presente sentencia el día 31 del mismo mes y año.</w:t>
      </w:r>
    </w:p>
    <w:p w14:paraId="78D6DBCF" w14:textId="77777777" w:rsidR="009D7677" w:rsidRDefault="009D7677" w:rsidP="009D7677">
      <w:pPr>
        <w:pStyle w:val="TextoNormal"/>
      </w:pPr>
    </w:p>
    <w:p w14:paraId="735A4142" w14:textId="77777777" w:rsidR="009D7677" w:rsidRDefault="009D7677" w:rsidP="009D7677">
      <w:pPr>
        <w:pStyle w:val="TextoNormalNegritaCentrado"/>
        <w:keepNext/>
      </w:pPr>
      <w:r>
        <w:t>II. Fundamentos jurídicos</w:t>
      </w:r>
    </w:p>
    <w:p w14:paraId="65FCFED3" w14:textId="35C8CC81" w:rsidR="009D7677" w:rsidRDefault="009D7677" w:rsidP="009D7677">
      <w:pPr>
        <w:pStyle w:val="TextoNormalNegritaCentrado"/>
        <w:keepNext/>
      </w:pPr>
    </w:p>
    <w:p w14:paraId="77A4005C" w14:textId="77777777" w:rsidR="009D7677" w:rsidRDefault="009D7677" w:rsidP="009D7677">
      <w:pPr>
        <w:pStyle w:val="TextoNormal"/>
      </w:pPr>
      <w:r w:rsidRPr="009D7677">
        <w:rPr>
          <w:rStyle w:val="NumeroAFNegritaCaracter"/>
        </w:rPr>
        <w:t>1</w:t>
      </w:r>
      <w:r>
        <w:t xml:space="preserve">. </w:t>
      </w:r>
      <w:r w:rsidRPr="009D7677">
        <w:rPr>
          <w:i/>
        </w:rPr>
        <w:t>Objeto del proceso y posición de las partes</w:t>
      </w:r>
    </w:p>
    <w:p w14:paraId="6FB68540" w14:textId="77777777" w:rsidR="009D7677" w:rsidRDefault="009D7677" w:rsidP="009D7677">
      <w:pPr>
        <w:pStyle w:val="TextoNormal"/>
      </w:pPr>
    </w:p>
    <w:p w14:paraId="3E15987D" w14:textId="77777777" w:rsidR="009D7677" w:rsidRDefault="009D7677" w:rsidP="009D7677">
      <w:pPr>
        <w:pStyle w:val="TextoNormal"/>
      </w:pPr>
      <w:r>
        <w:t>La demanda de amparo interesa la nulidad del auto núm. 35/2020, de 21 de diciembre, dictado por la Sección Segunda de la Sala de lo Penal de la Audiencia Nacional, que acordó haber lugar en fase judicial a la extradición del demandante a Marruecos al objeto de ser enjuiciado por hechos constitutivos de tráfico de sustancias estupefacientes, y del auto núm. 37/2021, de 4 de junio, dictado por el Pleno de la Sala de lo Penal de la Audiencia Nacional, que confirmó en súplica el anterior.</w:t>
      </w:r>
    </w:p>
    <w:p w14:paraId="3CDA0D6F" w14:textId="77777777" w:rsidR="009D7677" w:rsidRDefault="009D7677" w:rsidP="009D7677">
      <w:pPr>
        <w:pStyle w:val="TextoNormal"/>
      </w:pPr>
    </w:p>
    <w:p w14:paraId="44C2B695" w14:textId="77777777" w:rsidR="009D7677" w:rsidRDefault="009D7677" w:rsidP="009D7677">
      <w:pPr>
        <w:pStyle w:val="TextoNormal"/>
      </w:pPr>
      <w:r>
        <w:t>El recurrente aduce que las resoluciones judiciales impugnadas han vulnerado sus derechos a la tutela judicial efectiva (art. 24.1 CE) y a un proceso con todas las garantías (art. 24.2 CE), en conexión con los derechos a la libertad personal (art. 17.1 CE) y a la libertad de residencia y circulación (art. 19 CE), porque la orden de arresto de 26 de diciembre de 2019 emitida por el fiscal sustituto del rey de Marruecos, en la que se basa la solicitud de entrega, careció del control judicial en origen exigido en las SSTC 147/2020 y 147/2021 para garantizar su necesidad y proporcionalidad.</w:t>
      </w:r>
    </w:p>
    <w:p w14:paraId="35F7A580" w14:textId="77777777" w:rsidR="009D7677" w:rsidRDefault="009D7677" w:rsidP="009D7677">
      <w:pPr>
        <w:pStyle w:val="TextoNormal"/>
      </w:pPr>
    </w:p>
    <w:p w14:paraId="6E6FB728" w14:textId="05A4567D" w:rsidR="009D7677" w:rsidRDefault="009D7677" w:rsidP="009D7677">
      <w:pPr>
        <w:pStyle w:val="TextoNormal"/>
      </w:pPr>
      <w:r>
        <w:t>La fiscal ante el Tribunal Constitucional apoya el motivo e interesa la nulidad de las resoluciones judiciales impugnadas, aunque de manera subsidiaria propone que se module la doctrina constitucional sentada en la STC 147/2020 a la luz de las circunstancias del caso.</w:t>
      </w:r>
    </w:p>
    <w:p w14:paraId="0C4DC850" w14:textId="77777777" w:rsidR="009D7677" w:rsidRDefault="009D7677" w:rsidP="009D7677">
      <w:pPr>
        <w:pStyle w:val="TextoNormal"/>
      </w:pPr>
    </w:p>
    <w:p w14:paraId="4F76940C" w14:textId="77777777" w:rsidR="009D7677" w:rsidRDefault="009D7677" w:rsidP="009D7677">
      <w:pPr>
        <w:pStyle w:val="TextoNormal"/>
      </w:pPr>
      <w:r w:rsidRPr="009D7677">
        <w:rPr>
          <w:rStyle w:val="NumeroAFNegritaCaracter"/>
        </w:rPr>
        <w:t>2</w:t>
      </w:r>
      <w:r>
        <w:t xml:space="preserve">. </w:t>
      </w:r>
      <w:r w:rsidRPr="009D7677">
        <w:rPr>
          <w:i/>
        </w:rPr>
        <w:t>Especial trascendencia constitucional</w:t>
      </w:r>
    </w:p>
    <w:p w14:paraId="76CDBF2E" w14:textId="77777777" w:rsidR="009D7677" w:rsidRDefault="009D7677" w:rsidP="009D7677">
      <w:pPr>
        <w:pStyle w:val="TextoNormal"/>
      </w:pPr>
    </w:p>
    <w:p w14:paraId="5D1B9F16" w14:textId="77777777" w:rsidR="009D7677" w:rsidRDefault="009D7677" w:rsidP="009D7677">
      <w:pPr>
        <w:pStyle w:val="TextoNormal"/>
      </w:pPr>
      <w:r>
        <w:t>La Sección Tercera del Tribunal Constitucional, por providencia de 17 de diciembre de 2021, admitió a trámite el presente recurso de amparo apreciando la concurrencia de especial trascendencia constitucional (art. 50.1 LOTC) como consecuencia de que el órgano judicial pudiera haber incurrido en una negativa manifiesta del deber de acatamiento de la doctrina de este tribunal [STC 155/2009, FJ 2, f)]. No se puede obviar, sin embargo, que este tribunal ha admitido otros recursos de amparo en los que, frente al mismo problema, ha reconocido como motivo de especial trascendencia constitucional el enunciado en la letra b) de la STC 155/2009, de 25 de junio, FJ 2, porque el recurso puede dar ocasión al Tribunal para aclarar o cambiar su doctrina, como consecuencia de un proceso de reflexión interna, lo que ha sucedido, entre otros, en el recurso de amparo 7490-2021, al que alude la fiscal en su escrito de alegaciones.</w:t>
      </w:r>
    </w:p>
    <w:p w14:paraId="78CB6052" w14:textId="77777777" w:rsidR="009D7677" w:rsidRDefault="009D7677" w:rsidP="009D7677">
      <w:pPr>
        <w:pStyle w:val="TextoNormal"/>
      </w:pPr>
    </w:p>
    <w:p w14:paraId="69F0C371" w14:textId="468ADB9D" w:rsidR="009D7677" w:rsidRDefault="009D7677" w:rsidP="009D7677">
      <w:pPr>
        <w:pStyle w:val="TextoNormal"/>
      </w:pPr>
      <w:r>
        <w:t xml:space="preserve">Desde la STC 9/2015, de 2 de febrero, FJ 3, hemos establecido que “constituye una exigencia de certeza que este tribunal explicite el cumplimiento de este requisito, haciendo </w:t>
      </w:r>
      <w:r>
        <w:lastRenderedPageBreak/>
        <w:t xml:space="preserve">así recognoscibles los criterios de aplicación empleados al respecto por este Tribunal [sentencia del Tribunal Europeo de Derechos Humanos (STEDH) de 20 de enero de 2015, asunto </w:t>
      </w:r>
      <w:r w:rsidRPr="009D7677">
        <w:rPr>
          <w:i/>
        </w:rPr>
        <w:t>Arribas Antón c. España</w:t>
      </w:r>
      <w:r>
        <w:t>]”, lo que también aconseja evitar la dispersión de criterios en asuntos que presentan una acusada identidad de objeto. Declaramos por ello que, en la medida en que el presente recurso de amparo sitúa el fundamento impugnatorio en que las resoluciones de la Audiencia Nacional han vulnerado sus derechos fundamentales a la tutela judicial efectiva, a un proceso con todas las garantías, y a la libertad personal y de circulación (art. 24.1 y 2 CE, en conexión con los arts. 17 y 19 CE) por haber autorizado una solicitud de extradición remitida por el fiscal del rey ante el Tribunal de Apelación de Tánger carente de refrendo judicial, resulta especialmente idóneo para iniciar, si procede, un proceso de reflexión interna dirigido aclarar o cambiar la doctrina sentada en las SSTC 147/2020 y 147/2021, necesidad reforzada por la reiteración de asuntos de extradición pasiva, procedentes del mismo país y de otros, que inciden en la misma cuestión, por lo que declaramos que la especial trascendencia constitucional del presente recurso de amparo debe quedar igualmente encuadrada en el supuesto de la letra b) de la STC 155/2009, de 25 de junio.</w:t>
      </w:r>
    </w:p>
    <w:p w14:paraId="281E0446" w14:textId="77777777" w:rsidR="009D7677" w:rsidRDefault="009D7677" w:rsidP="009D7677">
      <w:pPr>
        <w:pStyle w:val="TextoNormal"/>
      </w:pPr>
    </w:p>
    <w:p w14:paraId="4DFCC7AC" w14:textId="77777777" w:rsidR="009D7677" w:rsidRDefault="009D7677" w:rsidP="009D7677">
      <w:pPr>
        <w:pStyle w:val="TextoNormal"/>
      </w:pPr>
      <w:r w:rsidRPr="009D7677">
        <w:rPr>
          <w:rStyle w:val="NumeroAFNegritaCaracter"/>
        </w:rPr>
        <w:t>3</w:t>
      </w:r>
      <w:r>
        <w:t xml:space="preserve">. </w:t>
      </w:r>
      <w:r w:rsidRPr="009D7677">
        <w:rPr>
          <w:i/>
        </w:rPr>
        <w:t>La tutela judicial de la libertad en los procedimientos de extradición pasiva</w:t>
      </w:r>
    </w:p>
    <w:p w14:paraId="0630AD3E" w14:textId="77777777" w:rsidR="009D7677" w:rsidRDefault="009D7677" w:rsidP="009D7677">
      <w:pPr>
        <w:pStyle w:val="TextoNormal"/>
      </w:pPr>
    </w:p>
    <w:p w14:paraId="2BE44E3C" w14:textId="77777777" w:rsidR="009D7677" w:rsidRDefault="009D7677" w:rsidP="009D7677">
      <w:pPr>
        <w:pStyle w:val="TextoNormal"/>
      </w:pPr>
      <w:r>
        <w:t>a) La demanda de amparo esgrime como único fundamento impugnatorio que las resoluciones dictadas por la Audiencia Nacional que autorizaron su extradición al Reino de Marruecos le han rehusado la tutela judicial debida de sus derechos fundamentales a la libertad personal y de circulación (art. 24.1 y 2 CE, en conexión con los arts. 17 y 19 CE) al dar curso a una petición de extradición procedente de un fiscal que no contaba con el refrendo de una autoridad judicial de su país, apoyando su pretensión en el supuesto incumplimiento de la doctrina constitucional más reciente.</w:t>
      </w:r>
    </w:p>
    <w:p w14:paraId="61E1C568" w14:textId="77777777" w:rsidR="009D7677" w:rsidRDefault="009D7677" w:rsidP="009D7677">
      <w:pPr>
        <w:pStyle w:val="TextoNormal"/>
      </w:pPr>
    </w:p>
    <w:p w14:paraId="37628A3F" w14:textId="77777777" w:rsidR="009D7677" w:rsidRDefault="009D7677" w:rsidP="009D7677">
      <w:pPr>
        <w:pStyle w:val="TextoNormal"/>
      </w:pPr>
      <w:r>
        <w:t>Planteado en estos términos el debate, hemos de señalar, con carácter preliminar, que el art. 7.1 a) LEP exige que la petición de extradición vaya acompañada de “[l]a sentencia condenatoria o el auto de procesamiento y prisión o resolución análoga según la legislación del país requirente con expresión sumaria de los hechos y lugar y fecha en que fueron realizados”, de lo que se sigue que el control jurisdiccional en origen de la necesidad de la medida constituya la regla general.</w:t>
      </w:r>
    </w:p>
    <w:p w14:paraId="7269F9A8" w14:textId="77777777" w:rsidR="009D7677" w:rsidRDefault="009D7677" w:rsidP="009D7677">
      <w:pPr>
        <w:pStyle w:val="TextoNormal"/>
      </w:pPr>
    </w:p>
    <w:p w14:paraId="4D1C04FF" w14:textId="77777777" w:rsidR="009D7677" w:rsidRDefault="009D7677" w:rsidP="009D7677">
      <w:pPr>
        <w:pStyle w:val="TextoNormal"/>
      </w:pPr>
      <w:r>
        <w:t>Se trata, no obstante, de una regla que puede verse modulada en los convenios ratificados por nuestro país, cuyo valor legislativo, en virtud de los arts. 96 CE y 1.5 del Código civil, les dota de una primacía en el sistema de fuentes de la extradición que este tribunal ya ha reconocido en otras ocasiones (SSTC 11/1985, de 30 de enero, FJ 4, y 87/2000, de 23 de julio, FJ 5).</w:t>
      </w:r>
    </w:p>
    <w:p w14:paraId="478907C9" w14:textId="77777777" w:rsidR="009D7677" w:rsidRDefault="009D7677" w:rsidP="009D7677">
      <w:pPr>
        <w:pStyle w:val="TextoNormal"/>
      </w:pPr>
    </w:p>
    <w:p w14:paraId="25011F93" w14:textId="77777777" w:rsidR="009D7677" w:rsidRDefault="009D7677" w:rsidP="009D7677">
      <w:pPr>
        <w:pStyle w:val="TextoNormal"/>
      </w:pPr>
      <w:r>
        <w:t xml:space="preserve">Por otra parte, los órganos de la Audiencia Nacional que reciben de otro Estado una solicitud de extradición para someter al reclamado a enjuiciamiento ostentan asimismo un deber de tutela de los derechos fundamentales a la libertad personal (art. 17.1 CE) y de circulación (art. 19 CE) del </w:t>
      </w:r>
      <w:r w:rsidRPr="009D7677">
        <w:rPr>
          <w:i/>
        </w:rPr>
        <w:t>extraditurus</w:t>
      </w:r>
      <w:r>
        <w:t xml:space="preserve"> que, conforme a la doctrina fijada en las SSTC 147/2020, de 19 de octubre, y 147/2021, de 12 de julio, exige la verificación de que (i) la autoridad que ha solicitado la entrega ha obrado con la debida objetividad e imparcialidad y (ii) que cuenta para ello con el refrendo de una autoridad judicial independiente, si ella misma carece de esa naturaleza.</w:t>
      </w:r>
    </w:p>
    <w:p w14:paraId="25F21B73" w14:textId="77777777" w:rsidR="009D7677" w:rsidRDefault="009D7677" w:rsidP="009D7677">
      <w:pPr>
        <w:pStyle w:val="TextoNormal"/>
      </w:pPr>
    </w:p>
    <w:p w14:paraId="46FC86BF" w14:textId="77777777" w:rsidR="009D7677" w:rsidRDefault="009D7677" w:rsidP="009D7677">
      <w:pPr>
        <w:pStyle w:val="TextoNormal"/>
      </w:pPr>
      <w:r>
        <w:t>La primera exigencia la conectamos con el deber de motivación reforzada de las decisiones que autorizan en vía jurisdiccional una extradición. En la STC 147/2020 declaramos incumplido dicho canon porque se había admitido una petición de extradición procedente de la República de Colombia apoyada únicamente en el escrito de acusación del fiscal, tras haberse anulado en el país de origen, por carente de fundamento, el auto judicial que había acordado inicialmente la prisión provisional del reclamado, lo que por otra parte tampoco satisfacía las exigencias documentales del art. 8.2 del Convenio de extradición entre España y Colombia, firmado en Bogotá el día 23 de julio de 1892 “se requerirá copia autorizada del mandamiento de prisión o auto de proceder expedido contra él, o de cualquier otro documento que tenga la misma fuerza que dicho auto y precise igualmente los hechos denunciados y la disposición que les sea aplicable”. En la STC 147/2021, resultó, por lo demás, relevante que la petición de extradición no cumpliera lo exigido en el art. 7.1 a) LEP, de aplicación directa al proceder de un Estado con el que España no tiene concertado convenio de extradición (Angola).</w:t>
      </w:r>
    </w:p>
    <w:p w14:paraId="473B6323" w14:textId="77777777" w:rsidR="009D7677" w:rsidRDefault="009D7677" w:rsidP="009D7677">
      <w:pPr>
        <w:pStyle w:val="TextoNormal"/>
      </w:pPr>
    </w:p>
    <w:p w14:paraId="553206C9" w14:textId="77777777" w:rsidR="009D7677" w:rsidRDefault="009D7677" w:rsidP="009D7677">
      <w:pPr>
        <w:pStyle w:val="TextoNormal"/>
      </w:pPr>
      <w:r>
        <w:t xml:space="preserve">La motivación judicial constitucionalmente exigible “obliga a un escrutinio previo de la solicitud de extradición y de su justificación documental para comprobar si se sustenta en decisiones o actos que hayan sido adoptados de una forma respetuosa con las garantías procesales y tras una ponderación adecuada de su necesidad y proporcionalidad para realizar los fines de la extradición y en un caso como este asegurar la presencia del </w:t>
      </w:r>
      <w:r w:rsidRPr="009D7677">
        <w:rPr>
          <w:i/>
        </w:rPr>
        <w:t>extraditurus</w:t>
      </w:r>
      <w:r>
        <w:t xml:space="preserve"> en el juicio, pues solo a partir de ese análisis será posible que los tribunales de nuestro país puedan exteriorizar de un modo adecuado las razones justificativas de sus propias decisiones desde la perspectiva de la incidencia limitadora que los derechos fundamentales tienen sobre el ejercicio de la potestad de extraditar (SSTC 292/2005, de 10 de noviembre, FJ 2, y 140/2007, de 4 de junio, FJ 3, y ATC 412/2004, de 2 de noviembre, FJ 5)” a lo que añadimos que “[e]l análisis ha de extenderse necesariamente a las condiciones de objetividad e imparcialidad de la autoridad cuya decisión se halla en el origen del procedimiento de auxilio judicial internacional, procedimiento que al tener por objeto el desplazamiento internacional del reclamado, debe garantizarle como mínimo una valoración imparcial de las pruebas disponibles, tanto de cargo como de descargo, y una ponderación de la necesidad de su entrega para la realización de los fines procesales esgrimidos” (STC 147/2020, FJ 6).</w:t>
      </w:r>
    </w:p>
    <w:p w14:paraId="29C13B67" w14:textId="77777777" w:rsidR="009D7677" w:rsidRDefault="009D7677" w:rsidP="009D7677">
      <w:pPr>
        <w:pStyle w:val="TextoNormal"/>
      </w:pPr>
    </w:p>
    <w:p w14:paraId="70B1092E" w14:textId="77777777" w:rsidR="009D7677" w:rsidRDefault="009D7677" w:rsidP="009D7677">
      <w:pPr>
        <w:pStyle w:val="TextoNormal"/>
      </w:pPr>
      <w:r>
        <w:t>En lo que concierne a la segunda exigencia, relativa al refrendo judicial, este tribunal apeló al valor hermenéutico de la doctrina fijada por el Tribunal de Justicia de la Unión Europea en la interpretación del artículo 6.1 de la Decisión Marco 2002/584/JAI del Consejo, de 13 de junio de 2002, relativa a la orden de detención europea y a los procedimientos de entrega entre Estados miembros, modificada por la Decisión Marco 2009/299/JAI del Consejo, de 26 de febrero de 2009, cuyo hilo conductor es “[l]a idea de que la verificación de la calidad y consistencia del juicio de proporcionalidad y necesidad de la entrega efectuado en origen es parámetro indisociable de la tutela judicial efectiva” (STC 147/2020, FJ 7).</w:t>
      </w:r>
    </w:p>
    <w:p w14:paraId="49E13373" w14:textId="77777777" w:rsidR="009D7677" w:rsidRDefault="009D7677" w:rsidP="009D7677">
      <w:pPr>
        <w:pStyle w:val="TextoNormal"/>
      </w:pPr>
    </w:p>
    <w:p w14:paraId="552ED226" w14:textId="77777777" w:rsidR="009D7677" w:rsidRDefault="009D7677" w:rsidP="009D7677">
      <w:pPr>
        <w:pStyle w:val="TextoNormal"/>
      </w:pPr>
      <w:r>
        <w:t xml:space="preserve">b) En la delimitación de los criterios que han de servir de guía para el control de la proporcionalidad de la medida, adquiere singular relevancia el sistema de garantías del Convenio europeo de derechos humanos (CEDH), aplicable a todas las personas que se encuentran bajo la jurisdicción de uno de los Estados contratantes (art. 1), y cuyo art. 5.1 f), </w:t>
      </w:r>
      <w:r>
        <w:lastRenderedPageBreak/>
        <w:t>inciso final, reconoce como título habilitante de la privación de libertad de una persona que contra la misma “esté en curso un procedimiento de expulsión o extradición”.</w:t>
      </w:r>
    </w:p>
    <w:p w14:paraId="56925B99" w14:textId="77777777" w:rsidR="009D7677" w:rsidRDefault="009D7677" w:rsidP="009D7677">
      <w:pPr>
        <w:pStyle w:val="TextoNormal"/>
      </w:pPr>
    </w:p>
    <w:p w14:paraId="23C50114" w14:textId="77777777" w:rsidR="009D7677" w:rsidRDefault="009D7677" w:rsidP="009D7677">
      <w:pPr>
        <w:pStyle w:val="TextoNormal"/>
      </w:pPr>
      <w:r>
        <w:t xml:space="preserve">Este precepto ha originado una amplia doctrina del Tribunal Europeo de Derechos Humanos, sintetizada en la STEDH de 10 de diciembre de 2020, asunto </w:t>
      </w:r>
      <w:r w:rsidRPr="009D7677">
        <w:rPr>
          <w:i/>
        </w:rPr>
        <w:t>Shiksaitov c. Eslovaquia</w:t>
      </w:r>
      <w:r>
        <w:t>, § 53 a 56, donde se declara que proporciona un nivel de protección específico, basado en primer término en que la privación de libertad sea, en todo caso, legal, en el sentido de que cumpla las normas sustantivas y procesales del Estado requerido, limitando entonces el Tribunal Europeo de Derechos Humanos su examen a la cuestión de si la interpretación de las normas nacionales verificada por las autoridades del país fue arbitraria o irrazonable. Se dice igualmente que el cumplimiento de la ley nacional es condición necesaria pero no suficiente, pues el precepto protege, adicionalmente, contra la arbitrariedad, al ser un principio fundamental que ninguna detención que sea arbitraria puede ser compatible con el art. 5.1 CEDH; asimismo, que la noción de arbitrariedad va más allá de la falta de cumplimiento de la ley nacional, por lo que una privación de libertad puede ser conforme con la ley nacional, y sin embargo arbitraria y contraria al Convenio, de modo que para evitar su consideración como arbitraria es preciso que la detención se lleve a cabo de buena fe, y que esté estrechamente conectada con los fundamentos alegados. En último término, la privación de libertad solo es aceptable en tanto que el procedimiento de extradición esté en marcha, de modo que si dicho procedimiento no se sigue con la debida diligencia, la detención dejará de ser admisible, lo que sucede en aquellos casos en que la extradición, por cualquier motivo —nacionalidad del reclamado, pendencia de una solicitud de asilo, reconocimiento del estatus de refugiado al reclamado— no tenga visos de prosperabilidad.</w:t>
      </w:r>
    </w:p>
    <w:p w14:paraId="0D152248" w14:textId="77777777" w:rsidR="009D7677" w:rsidRDefault="009D7677" w:rsidP="009D7677">
      <w:pPr>
        <w:pStyle w:val="TextoNormal"/>
      </w:pPr>
    </w:p>
    <w:p w14:paraId="36087812" w14:textId="77777777" w:rsidR="009D7677" w:rsidRDefault="009D7677" w:rsidP="009D7677">
      <w:pPr>
        <w:pStyle w:val="TextoNormal"/>
      </w:pPr>
      <w:r>
        <w:t xml:space="preserve">Más esclarecedores a los efectos de dirimir el problema planteado en este recurso de amparo, son los pronunciamientos del Tribunal Europeo de Derechos Humanos que han declarado que la falta de justificación de la orden de detención, o el vicio invalidante de la misma, en caso de haberse producido, son reprochables al Estado emisor de la petición de extradición, no al que la ejecuta: SSTEDH de 2 de mayo de 2017, asunto </w:t>
      </w:r>
      <w:r w:rsidRPr="009D7677">
        <w:rPr>
          <w:i/>
        </w:rPr>
        <w:t>Vasiliciuc c. la República de Moldavia</w:t>
      </w:r>
      <w:r>
        <w:t xml:space="preserve">, § 24, y de 21 de abril de 2009, asunto </w:t>
      </w:r>
      <w:r w:rsidRPr="009D7677">
        <w:rPr>
          <w:i/>
        </w:rPr>
        <w:t>Stephens c. Malta</w:t>
      </w:r>
      <w:r>
        <w:t xml:space="preserve"> núm. 1, § 52. Es importante detenerse en ellos.</w:t>
      </w:r>
    </w:p>
    <w:p w14:paraId="711B4DB0" w14:textId="77777777" w:rsidR="009D7677" w:rsidRDefault="009D7677" w:rsidP="009D7677">
      <w:pPr>
        <w:pStyle w:val="TextoNormal"/>
      </w:pPr>
    </w:p>
    <w:p w14:paraId="278C8E6B" w14:textId="77777777" w:rsidR="009D7677" w:rsidRDefault="009D7677" w:rsidP="009D7677">
      <w:pPr>
        <w:pStyle w:val="TextoNormal"/>
      </w:pPr>
      <w:r>
        <w:t xml:space="preserve">En el asunto </w:t>
      </w:r>
      <w:r w:rsidRPr="009D7677">
        <w:rPr>
          <w:i/>
        </w:rPr>
        <w:t>Stephens c. Malta</w:t>
      </w:r>
      <w:r>
        <w:t xml:space="preserve"> núm. 1, el Tribunal Europeo de Derechos Humanos, al examinar su jurisdicción para conocer la demanda cursada por un ciudadano británico contra Malta por el tiempo que permaneció privado de libertad durante la tramitación de un procedimiento de extradición, estableció que habiendo sido Malta el país que había cursado la petición de detención del demandante a efectos de su extradición —detención que se produjo en España, país en el que se hallaba el reclamado-—correspondía a Malta asegurarse de que la orden de arresto y extradición eran válidos conforme a su propia legislación, tanto sustantiva como procesal. En el contexto de un procedimiento de extradición, el Estado requerido debería estar en condiciones de presumir la validez de los documentos legales remitidos por el Estado requirente en los que se funda la petición de privación de libertad. En este caso la orden de detención había sido expedida por un tribunal que carecía de competencia para ello, como se reconoció posteriormente en el país de origen, tratándose de una irregularidad técnica que no era previsible que pudiera ser detectada por el tribunal español al examinar los documentos. Concluía de ello que el acto denunciado por el demandante, su privación de libertad en España, habiendo sido instigado por Malta con </w:t>
      </w:r>
      <w:r>
        <w:lastRenderedPageBreak/>
        <w:t>fundamento en su ley interna y cumplimentado por España en cumplimiento de sus obligaciones convencionales, debía ser atribuido a Malta, pese a que fuera ejecutado en España (§ 52).</w:t>
      </w:r>
    </w:p>
    <w:p w14:paraId="02806E80" w14:textId="77777777" w:rsidR="009D7677" w:rsidRDefault="009D7677" w:rsidP="009D7677">
      <w:pPr>
        <w:pStyle w:val="TextoNormal"/>
      </w:pPr>
    </w:p>
    <w:p w14:paraId="3F9095FA" w14:textId="77777777" w:rsidR="009D7677" w:rsidRDefault="009D7677" w:rsidP="009D7677">
      <w:pPr>
        <w:pStyle w:val="TextoNormal"/>
      </w:pPr>
      <w:r>
        <w:t>El Comité de tres jueces del Tribunal Europeo de Derechos Humanos que verificó el examen preliminar de las quejas formuladas por el mismo ciudadano británico contra España, retiró dicha demanda de la lista de casos pendientes (§ 45).</w:t>
      </w:r>
    </w:p>
    <w:p w14:paraId="46012FFF" w14:textId="77777777" w:rsidR="009D7677" w:rsidRDefault="009D7677" w:rsidP="009D7677">
      <w:pPr>
        <w:pStyle w:val="TextoNormal"/>
      </w:pPr>
    </w:p>
    <w:p w14:paraId="0ACF8E94" w14:textId="77777777" w:rsidR="009D7677" w:rsidRDefault="009D7677" w:rsidP="009D7677">
      <w:pPr>
        <w:pStyle w:val="TextoNormal"/>
      </w:pPr>
      <w:r>
        <w:t xml:space="preserve">En el asunto </w:t>
      </w:r>
      <w:r w:rsidRPr="009D7677">
        <w:rPr>
          <w:i/>
        </w:rPr>
        <w:t>Vasiliciuc</w:t>
      </w:r>
      <w:r>
        <w:t>, el Tribunal Europeo de Derechos Humanos establece que estando en juego un asunto tan relevante como la libertad de las personas, incumbe a las autoridades del país requirente acreditar de manera convincente que la detención era necesaria (§ 40).</w:t>
      </w:r>
    </w:p>
    <w:p w14:paraId="4F395417" w14:textId="77777777" w:rsidR="009D7677" w:rsidRDefault="009D7677" w:rsidP="009D7677">
      <w:pPr>
        <w:pStyle w:val="TextoNormal"/>
      </w:pPr>
    </w:p>
    <w:p w14:paraId="342C29C4" w14:textId="77777777" w:rsidR="009D7677" w:rsidRDefault="009D7677" w:rsidP="009D7677">
      <w:pPr>
        <w:pStyle w:val="TextoNormal"/>
      </w:pPr>
      <w:r>
        <w:t>A la luz de estos pronunciamientos, la eventual vulneración del derecho a la libertad que pueda derivarse de la falta de fundamento material o de vicios invalidantes en las decisiones adoptadas por las autoridades del Estado requirente son, en principio, de la exclusiva responsabilidad de estas, pero ello no dispensa a los órganos judiciales españoles de adoptar las medidas necesarias para impedir que sus efectos se consuman en nuestro país, pues también constituye doctrina constitucional consolidada que la responsabilidad de los órganos judiciales españoles, por acción u omisión en los procedimientos de extradición, no se limita a las consecuencias de su propia conducta, pues al concretarse en dicho procedimiento un estrecho complejo de actuaciones imbricadas, en el país requirente y en el requerido, el destino del extraditado en aquel no es ni puede ser indiferente para las autoridades de este, de modo que los tribunales españoles atraen la competencia por el dominio de que disponen sobre la situación personal del extraditado y por los medios con que cuentan para remediar los efectos de las irregularidades denunciadas, siendo exigible, en definitiva, una cuidadosa labor de verificación por el órgano judicial en relación con las circunstancias alegadas por el reclamado, con el fin de evitar que, en caso de accederse a la extradición, se pudiera convertir en autor de una lesión contra los derechos del extraditado (por todas, STC 140/2007, de 4 de junio, FJ 2).</w:t>
      </w:r>
    </w:p>
    <w:p w14:paraId="6450FA3D" w14:textId="77777777" w:rsidR="009D7677" w:rsidRDefault="009D7677" w:rsidP="009D7677">
      <w:pPr>
        <w:pStyle w:val="TextoNormal"/>
      </w:pPr>
    </w:p>
    <w:p w14:paraId="61F2BD07" w14:textId="77777777" w:rsidR="009D7677" w:rsidRDefault="009D7677" w:rsidP="009D7677">
      <w:pPr>
        <w:pStyle w:val="TextoNormal"/>
      </w:pPr>
      <w:r>
        <w:t>En consecuencia, existe una obligación judicial de depurar solicitudes de extradición que presenten deficiencias fácilmente detectables o que hayan sido oportunamente alegadas y debatidas en el procedimiento, lo que también exige el correlativo esfuerzo alegatorio y argumental de quien se opone a la medida.</w:t>
      </w:r>
    </w:p>
    <w:p w14:paraId="248D192C" w14:textId="77777777" w:rsidR="009D7677" w:rsidRDefault="009D7677" w:rsidP="009D7677">
      <w:pPr>
        <w:pStyle w:val="TextoNormal"/>
      </w:pPr>
    </w:p>
    <w:p w14:paraId="77BE8CC9" w14:textId="77777777" w:rsidR="009D7677" w:rsidRDefault="009D7677" w:rsidP="009D7677">
      <w:pPr>
        <w:pStyle w:val="TextoNormal"/>
      </w:pPr>
      <w:r>
        <w:t xml:space="preserve">c) Procede, en consecuencia, aclarar y matizar la doctrina sobre tutela judicial del derecho a la libertad en los procedimientos de extradición pasiva fijada en las SSTC 147/2020 y 147/2021 en el sentido de distinguir una garantía básica, consistente en que el órgano judicial verifique, al examinar la petición de extradición, la imparcialidad de la autoridad que la ha emitido, garantía inherente al deber de motivación reforzada de una decisión que ha de afectar necesariamente a la esfera de la libertad personal del reclamado, y una garantía específica, consistente en que la solicitud venga refrendada por una autoridad judicial desde el mismo país de origen, fundada en el art. 7.1 a) LEP, que es de directa aplicación en caso de ausencia de convenio extradicional con el Estado reclamante (STC 147/2021, FJ 4), pero que puede verse modulada en función de lo previsto en el convenio de extradición vigente entre las partes, en tanto que fuente normativa de aplicación preferente en los términos del art. 1.1 LEP, de modo que, aun cuando sea una exigencia inherente a la tutela </w:t>
      </w:r>
      <w:r>
        <w:lastRenderedPageBreak/>
        <w:t xml:space="preserve">judicial efectiva del derecho a la libertad personal del </w:t>
      </w:r>
      <w:r w:rsidRPr="009D7677">
        <w:rPr>
          <w:i/>
        </w:rPr>
        <w:t>extraditurus</w:t>
      </w:r>
      <w:r>
        <w:t xml:space="preserve"> que nuestros tribunales verifiquen que la necesidad y proporcionalidad de la medida ha sido debidamente ponderada por un órgano judicial del país emisor, dicha intermediación judicial puede dispensarse excepcionalmente cuando concurran las siguientes exigencias:</w:t>
      </w:r>
    </w:p>
    <w:p w14:paraId="079EFC75" w14:textId="77777777" w:rsidR="009D7677" w:rsidRDefault="009D7677" w:rsidP="009D7677">
      <w:pPr>
        <w:pStyle w:val="TextoNormal"/>
      </w:pPr>
    </w:p>
    <w:p w14:paraId="7A1E3E50" w14:textId="77777777" w:rsidR="009D7677" w:rsidRDefault="009D7677" w:rsidP="009D7677">
      <w:pPr>
        <w:pStyle w:val="TextoNormal"/>
      </w:pPr>
      <w:r>
        <w:t>(i) Que se trate de un procedimiento de extradición regido por un convenio bilateral o multilateral que admita la posibilidad de que la petición de entrega pueda emanar de una autoridad no jurisdiccional.</w:t>
      </w:r>
    </w:p>
    <w:p w14:paraId="1CED9F87" w14:textId="77777777" w:rsidR="009D7677" w:rsidRDefault="009D7677" w:rsidP="009D7677">
      <w:pPr>
        <w:pStyle w:val="TextoNormal"/>
      </w:pPr>
    </w:p>
    <w:p w14:paraId="2A971141" w14:textId="77777777" w:rsidR="009D7677" w:rsidRDefault="009D7677" w:rsidP="009D7677">
      <w:pPr>
        <w:pStyle w:val="TextoNormal"/>
      </w:pPr>
      <w:r>
        <w:t>(ii) Que el país requirente suministre información suficientemente expresiva de que se trata de una autoridad competente que, conforme a su legislación interna, está facultada para emitir una solicitud de extradición en condiciones equivalentes a las de una autoridad judicial.</w:t>
      </w:r>
    </w:p>
    <w:p w14:paraId="6EB383B0" w14:textId="77777777" w:rsidR="009D7677" w:rsidRDefault="009D7677" w:rsidP="009D7677">
      <w:pPr>
        <w:pStyle w:val="TextoNormal"/>
      </w:pPr>
    </w:p>
    <w:p w14:paraId="0CE174AD" w14:textId="7EB3AF85" w:rsidR="009D7677" w:rsidRDefault="009D7677" w:rsidP="009D7677">
      <w:pPr>
        <w:pStyle w:val="TextoNormal"/>
      </w:pPr>
      <w:r>
        <w:t>(iii) Que el contenido de la solicitud y de la documentación anexa proporcione a los órganos judiciales españoles la información suficiente para verificar que la misma resulta necesaria y proporcionada.</w:t>
      </w:r>
    </w:p>
    <w:p w14:paraId="0E5395D3" w14:textId="77777777" w:rsidR="009D7677" w:rsidRDefault="009D7677" w:rsidP="009D7677">
      <w:pPr>
        <w:pStyle w:val="TextoNormal"/>
      </w:pPr>
    </w:p>
    <w:p w14:paraId="33240344" w14:textId="77777777" w:rsidR="009D7677" w:rsidRDefault="009D7677" w:rsidP="009D7677">
      <w:pPr>
        <w:pStyle w:val="TextoNormal"/>
      </w:pPr>
      <w:r w:rsidRPr="009D7677">
        <w:rPr>
          <w:rStyle w:val="NumeroAFNegritaCaracter"/>
        </w:rPr>
        <w:t>4</w:t>
      </w:r>
      <w:r>
        <w:t xml:space="preserve">. </w:t>
      </w:r>
      <w:r w:rsidRPr="009D7677">
        <w:rPr>
          <w:i/>
        </w:rPr>
        <w:t>Análisis de la vulneración denunciada</w:t>
      </w:r>
    </w:p>
    <w:p w14:paraId="54EA6C2A" w14:textId="77777777" w:rsidR="009D7677" w:rsidRDefault="009D7677" w:rsidP="009D7677">
      <w:pPr>
        <w:pStyle w:val="TextoNormal"/>
      </w:pPr>
    </w:p>
    <w:p w14:paraId="7C3C3D58" w14:textId="77777777" w:rsidR="009D7677" w:rsidRDefault="009D7677" w:rsidP="009D7677">
      <w:pPr>
        <w:pStyle w:val="TextoNormal"/>
      </w:pPr>
      <w:r>
        <w:t>El recurrente en amparo fue detenido en Fuenlabrada el día 30 de enero de 2020, a las 12:00 horas, y puesto a disposición del Juzgado Central de Instrucción núm. 6, que incoó el procedimiento de extradición pasiva núm. 9-2020, en virtud de una orden internacional de detención que dictó el fiscal del rey ante el Tribunal de Primera Instancia de Tánger que le atribuía haber participado como intermediario en la introducción de sustancias estupefacientes en Marruecos desde España.</w:t>
      </w:r>
    </w:p>
    <w:p w14:paraId="5C59B22F" w14:textId="77777777" w:rsidR="009D7677" w:rsidRDefault="009D7677" w:rsidP="009D7677">
      <w:pPr>
        <w:pStyle w:val="TextoNormal"/>
      </w:pPr>
    </w:p>
    <w:p w14:paraId="2A063BD0" w14:textId="77777777" w:rsidR="009D7677" w:rsidRDefault="009D7677" w:rsidP="009D7677">
      <w:pPr>
        <w:pStyle w:val="TextoNormal"/>
      </w:pPr>
      <w:r>
        <w:t>Acordada por el Consejo de Ministros la continuación del procedimiento en vía judicial, y cumplimentados los trámites del procedimiento judicial, la Sección Segunda de la Sala de lo Penal de la Audiencia Nacional dictó el auto núm. 35/2020, de 21 de diciembre, por el que autorizó la entrega del demandante, por considerar que concurrían los requisitos establecidos en el convenio de extradición entre el Reino de España y el Reino de Marruecos, suscrito en Rabat el 24 de junio de 2009, y los de la Ley 4/1985, de 21 de marzo, de extradición pasiva, en particular los requisitos de doble incriminación y mínimo punitivo exigidos en el art. 2.1 del convenio bilateral.</w:t>
      </w:r>
    </w:p>
    <w:p w14:paraId="1FA1CCB9" w14:textId="77777777" w:rsidR="009D7677" w:rsidRDefault="009D7677" w:rsidP="009D7677">
      <w:pPr>
        <w:pStyle w:val="TextoNormal"/>
      </w:pPr>
    </w:p>
    <w:p w14:paraId="4E10F0E1" w14:textId="77777777" w:rsidR="009D7677" w:rsidRDefault="009D7677" w:rsidP="009D7677">
      <w:pPr>
        <w:pStyle w:val="TextoNormal"/>
      </w:pPr>
      <w:r>
        <w:t>Interpuesto recurso de súplica fue desestimado en el auto núm. 37/2021, de 4 de junio, del Pleno de la Sala de lo Penal de la Audiencia Nacional. En el recurso de súplica el demandante hizo valer, entre otros motivos, la vulneración de los arts. 17, 24 y 25 CE por basarse la solicitud en una orden de detención expedida por el fiscal, no equiparable a una resolución ejecutoria de condena ni a una resolución jurisdiccional, por lo que afirmaba que dicha orden era insuficiente y carente de legitimidad constitucional con arreglo a la STC 147/2020, de 19 de octubre.</w:t>
      </w:r>
    </w:p>
    <w:p w14:paraId="42CDA864" w14:textId="77777777" w:rsidR="009D7677" w:rsidRDefault="009D7677" w:rsidP="009D7677">
      <w:pPr>
        <w:pStyle w:val="TextoNormal"/>
      </w:pPr>
    </w:p>
    <w:p w14:paraId="56C50ABE" w14:textId="77777777" w:rsidR="009D7677" w:rsidRDefault="009D7677" w:rsidP="009D7677">
      <w:pPr>
        <w:pStyle w:val="TextoNormal"/>
      </w:pPr>
      <w:r>
        <w:t xml:space="preserve">La sala niega que las autoridades reclamantes hubieran incumplido la obligación de determinar los hechos por los que solicitaban la extradición [art. 12 b) del convenio] pues los mismos aparecen en el documento de “resumen de los hechos” suscrito por el fiscal del rey el 4 de febrero de 2020, obrante a los folios noventa y cuatro a noventa y seis de las </w:t>
      </w:r>
      <w:r>
        <w:lastRenderedPageBreak/>
        <w:t>actuaciones, que coincide, en esencia, con los hechos descritos en la orden internacional de detención emitida el 26 de diciembre de 2019 por la misma autoridad, obrante a los folios noventa y ocho a 101, en los que se describe, en síntesis, que tras la detención de dos mujeres que trataban de introducir en el puerto de Tetuán 85 650 comprimidos de “Rivotril”, en el interrogatorio al que fueron sometidas relataron, entre otros detalles, quiénes les encargaron llevar a cabo la introducción en Marruecos de tal sustancia; también se dice que con motivo de averiguar la veracidad de la implicación de esas terceras personas, la policía llevó a cabo ciertas averiguaciones, entre ellas, la constatación a través del teléfono de una de las detenidas de las conversaciones con esos terceros, de los que las detenidas facilitaron sus nombres, obteniendo la policía las fotografías de sus documentos de identidad que después exhibieron a las detenidas, quienes reconocieron su identidad y su implicación en los hechos. Concluye de ello la sala que tanto la orden de detención como el documento de resumen de hechos emitidos por el fiscal encargado del caso, contienen suficientes datos de cargo para que las autoridades reclamantes soliciten la entrega del recurrente a los efectos de su enjuiciamiento, correspondiendo al tribunal encargado de enjuiciarlos valorar si hay o no las pruebas que negaba la representación legal del reclamado. Añade la Sala que en los citados documentos se indica el lugar y la fecha del intento de introducción de las pastillas, así como que las dos detenidas se dedican a la introducción de sustancias estupefacientes encargadas por terceros, y que en la citada ocasión viajaban en un vehículo, las averiguaciones realizadas por la policía y su resultado, datos que considera reúnen los requisitos de precisión exigidos en el art. 12 b) del tratado bilateral de extradición.</w:t>
      </w:r>
    </w:p>
    <w:p w14:paraId="2E16EA0F" w14:textId="77777777" w:rsidR="009D7677" w:rsidRDefault="009D7677" w:rsidP="009D7677">
      <w:pPr>
        <w:pStyle w:val="TextoNormal"/>
      </w:pPr>
    </w:p>
    <w:p w14:paraId="128011EA" w14:textId="77777777" w:rsidR="009D7677" w:rsidRDefault="009D7677" w:rsidP="009D7677">
      <w:pPr>
        <w:pStyle w:val="TextoNormal"/>
      </w:pPr>
      <w:r>
        <w:t>La sala considera asimismo que la STC 147/2020, de 19 de octubre no era aplicable a este caso, porque en el resuelto en aquella había sido anulada la resolución judicial que acordó la prisión del reclamado en el país requirente (Colombia) y el único sustento de la petición de extradición era el escrito de acusación presentado por la Fiscalía General de la Nación, que no cumplía las exigencias documentales del art. 8.2 del convenio bilateral “cuando se refiera a un individuo acusado o perseguido, se requerirá copia autorizada del mandamiento de prisión o auto de proceder expedido contra él, o de cualquier otro documento que tenga la misma fuerza de dicho auto y precise igualmente los hechos denunciados y la disposición que les sea aplicable” exigencias distintas a las establecidas en el art. 12 del convenio bilateral de extradición con Marruecos, que establece que la solicitud de extradición se cursará por vía diplomática y deberá ir acompañada del “original o copia auténtica, bien de una resolución ejecutoria de condena, o bien de una orden de detención o de cualquier otro documento que tenga la misma fuerza y que haya sido expedido en la forma prescrita por la ley del Estado requirente”.</w:t>
      </w:r>
    </w:p>
    <w:p w14:paraId="530E0657" w14:textId="77777777" w:rsidR="009D7677" w:rsidRDefault="009D7677" w:rsidP="009D7677">
      <w:pPr>
        <w:pStyle w:val="TextoNormal"/>
      </w:pPr>
    </w:p>
    <w:p w14:paraId="1CF3F247" w14:textId="77777777" w:rsidR="009D7677" w:rsidRDefault="009D7677" w:rsidP="009D7677">
      <w:pPr>
        <w:pStyle w:val="TextoNormal"/>
      </w:pPr>
      <w:r>
        <w:t>Concluía de ello la sala que la orden internacional de detención (folios noventa y ocho a 101) emitida el 26 de diciembre de 2019 por el fiscal del rey, era título extradicional suficiente por provenir de una autoridad que, según la información complementaria suministrada por las autoridades reclamantes, era competente para emitirla, en su calidad de componente del poder judicial, siendo sus órdenes de detención consideradas como órdenes judiciales, firmes y definitivas según la legislación de dicho país.</w:t>
      </w:r>
    </w:p>
    <w:p w14:paraId="4D94BB64" w14:textId="77777777" w:rsidR="009D7677" w:rsidRDefault="009D7677" w:rsidP="009D7677">
      <w:pPr>
        <w:pStyle w:val="TextoNormal"/>
      </w:pPr>
    </w:p>
    <w:p w14:paraId="4E5BF666" w14:textId="77777777" w:rsidR="009D7677" w:rsidRDefault="009D7677" w:rsidP="009D7677">
      <w:pPr>
        <w:pStyle w:val="TextoNormal"/>
      </w:pPr>
      <w:r>
        <w:t xml:space="preserve">El demandante de amparo, don Rachid Assham, combate estas resoluciones judiciales con el argumento de que careciendo la orden de arresto emitida por el fiscal sustituto del rey de Marruecos de control judicial en dicho país, en el que, por otra parte, la orden de </w:t>
      </w:r>
      <w:r>
        <w:lastRenderedPageBreak/>
        <w:t>detención podría haber sido emitida también un juez de instrucción, las resoluciones judiciales impugnadas que autorizaron la extradición en estas condiciones incumplieron la doctrina sentada en las SSTC 147/2020 y 147/2021, que interpreta en el sentido de que la falta de refrendo judicial equivale a una falta de necesidad y proporcionalidad de la medida.</w:t>
      </w:r>
    </w:p>
    <w:p w14:paraId="16C9DCEB" w14:textId="77777777" w:rsidR="009D7677" w:rsidRDefault="009D7677" w:rsidP="009D7677">
      <w:pPr>
        <w:pStyle w:val="TextoNormal"/>
      </w:pPr>
    </w:p>
    <w:p w14:paraId="43BA7DA7" w14:textId="77777777" w:rsidR="009D7677" w:rsidRDefault="009D7677" w:rsidP="009D7677">
      <w:pPr>
        <w:pStyle w:val="TextoNormal"/>
      </w:pPr>
      <w:r>
        <w:t>De conformidad con lo que hemos expuesto en el anterior fundamento jurídico de esta sentencia, el planteamiento impugnatorio del demandante no puede ser asumido, pues el art. 12 a) del convenio bilateral de extradición no exige el dictado de una resolución judicial como punto de partida de la solicitud de entrega, por lo que la documentación remitida en apoyo de la solicitud de extradición no queda fuera de la cobertura legal conformada por las fuentes aplicables. Por otra parte, la información complementaria remitida por el Estado requirente es suficientemente expresiva de la integración de la fiscalía en el órgano judicial, de sus condiciones de imparcialidad y del valor equivalente que la legislación del país otorga a las órdenes internacionales de arresto emitidas por el fiscal respecto de las emitidas por un juez de instrucción en el ámbito de su competencia, lo que excluye la necesidad de su validación judicial.</w:t>
      </w:r>
    </w:p>
    <w:p w14:paraId="37E2FA5D" w14:textId="77777777" w:rsidR="009D7677" w:rsidRDefault="009D7677" w:rsidP="009D7677">
      <w:pPr>
        <w:pStyle w:val="TextoNormal"/>
      </w:pPr>
    </w:p>
    <w:p w14:paraId="77220B53" w14:textId="77777777" w:rsidR="009D7677" w:rsidRDefault="009D7677" w:rsidP="009D7677">
      <w:pPr>
        <w:pStyle w:val="TextoNormal"/>
      </w:pPr>
      <w:r>
        <w:t>La misión de los tribunales españoles se ha de limitar a depurar aquellas solicitudes de extradición que presenten indicios de falta de proporcionalidad o de fundamento, mediante el examen en concreto de las alegaciones y documentos aportados por la persona reclamada, y de las razones y documentos aportados por las autoridades requirentes junto con la petición de extradición o de aquellos otros que el tribunal español pueda solicitar como complemento de los anteriores.</w:t>
      </w:r>
    </w:p>
    <w:p w14:paraId="1B394327" w14:textId="77777777" w:rsidR="009D7677" w:rsidRDefault="009D7677" w:rsidP="009D7677">
      <w:pPr>
        <w:pStyle w:val="TextoNormal"/>
      </w:pPr>
    </w:p>
    <w:p w14:paraId="2EDBA072" w14:textId="55DD3032" w:rsidR="009D7677" w:rsidRDefault="009D7677" w:rsidP="009D7677">
      <w:pPr>
        <w:pStyle w:val="TextoNormal"/>
      </w:pPr>
      <w:r>
        <w:t>En este caso, la documentación remitida por las autoridades marroquíes por vía diplomática, que incluye la orden internacional de detención y la solicitud de extradición expedidas por el fiscal del rey, contiene una exposición circunstanciada tanto de los hechos imputados al demandante de amparo como de su calificación jurídica y de las diligencias de investigación practicadas bajo la dirección de la fiscalía marroquí, en cuyo resultado se funda dicha imputación, en términos que no permiten poner en duda la necesidad y proporcionalidad de su decisión de solicitar su entrega para asegurar su enjuiciamiento. Procede por ello declarar que las resoluciones judiciales impugnadas, al dar curso en vía jurisdiccional a dicha solicitud, no han vulnerado los derechos fundamentales sustantivos y procesales invocados en la demanda de amparo.</w:t>
      </w:r>
    </w:p>
    <w:p w14:paraId="7E2B5991" w14:textId="77777777" w:rsidR="009D7677" w:rsidRDefault="009D7677" w:rsidP="009D7677">
      <w:pPr>
        <w:pStyle w:val="TextoNormal"/>
      </w:pPr>
    </w:p>
    <w:p w14:paraId="0D595526" w14:textId="77777777" w:rsidR="009D7677" w:rsidRDefault="009D7677" w:rsidP="009D7677">
      <w:pPr>
        <w:pStyle w:val="TextoNormalCentrado"/>
        <w:keepNext/>
      </w:pPr>
      <w:r>
        <w:t>FALLO</w:t>
      </w:r>
    </w:p>
    <w:p w14:paraId="13F295D6" w14:textId="5C6AEED5" w:rsidR="009D7677" w:rsidRDefault="009D7677" w:rsidP="009D7677">
      <w:pPr>
        <w:pStyle w:val="TextoNormalCentrado"/>
        <w:keepNext/>
      </w:pPr>
    </w:p>
    <w:p w14:paraId="25644517" w14:textId="12BB557B" w:rsidR="009D7677" w:rsidRDefault="009D7677" w:rsidP="009D7677">
      <w:pPr>
        <w:pStyle w:val="TextoNormal"/>
      </w:pPr>
      <w:r>
        <w:t>En atención a todo lo expuesto, el Tribunal Constitucional, por la autoridad que le confiere la Constitución de la Nación española, ha decidido desestimar el presente recurso de amparo.</w:t>
      </w:r>
    </w:p>
    <w:p w14:paraId="02B80866" w14:textId="77777777" w:rsidR="009D7677" w:rsidRDefault="009D7677" w:rsidP="009D7677">
      <w:pPr>
        <w:pStyle w:val="TextoNormal"/>
      </w:pPr>
    </w:p>
    <w:p w14:paraId="7CEAEA83" w14:textId="77777777" w:rsidR="009D7677" w:rsidRDefault="009D7677" w:rsidP="009D7677">
      <w:pPr>
        <w:pStyle w:val="TextoNormal"/>
      </w:pPr>
      <w:r>
        <w:t>Publíquese esta sentencia en el “Boletín Oficial del Estado”.</w:t>
      </w:r>
    </w:p>
    <w:p w14:paraId="680849F1" w14:textId="77777777" w:rsidR="009D7677" w:rsidRDefault="009D7677" w:rsidP="009D7677">
      <w:pPr>
        <w:pStyle w:val="TextoNormal"/>
      </w:pPr>
      <w:r>
        <w:t>Dada en Madrid, a treinta y uno de enero de dos mil veinticuatro.</w:t>
      </w:r>
    </w:p>
    <w:p w14:paraId="059C66FE" w14:textId="5C27D951" w:rsidR="009D7677" w:rsidRDefault="009D7677">
      <w:pPr>
        <w:spacing w:after="160" w:line="259" w:lineRule="auto"/>
        <w:rPr>
          <w:rFonts w:ascii="Times New Roman" w:eastAsia="Times New Roman" w:hAnsi="Times New Roman" w:cs="Times New Roman"/>
          <w:sz w:val="24"/>
          <w:szCs w:val="24"/>
          <w:lang w:eastAsia="es-ES"/>
        </w:rPr>
      </w:pPr>
      <w:r>
        <w:br w:type="page"/>
      </w:r>
    </w:p>
    <w:p w14:paraId="6D2DF8FA" w14:textId="77777777" w:rsidR="009D7677" w:rsidRDefault="009D7677" w:rsidP="009D7677">
      <w:pPr>
        <w:pStyle w:val="TtuloResolucin"/>
      </w:pPr>
      <w:bookmarkStart w:id="20" w:name="SENTENCIA_2024_18"/>
      <w:r>
        <w:lastRenderedPageBreak/>
        <w:t>SENTENCIA 18/2024, de 31 de enero de 2024</w:t>
      </w:r>
    </w:p>
    <w:bookmarkEnd w:id="20"/>
    <w:p w14:paraId="59EC5DE8" w14:textId="77777777" w:rsidR="009D7677" w:rsidRDefault="009D7677" w:rsidP="009D7677">
      <w:pPr>
        <w:pStyle w:val="TtuloResolucin"/>
      </w:pPr>
      <w:r>
        <w:t>Pleno</w:t>
      </w:r>
    </w:p>
    <w:p w14:paraId="6A7F050C" w14:textId="77777777" w:rsidR="009D7677" w:rsidRDefault="009D7677" w:rsidP="009D7677">
      <w:pPr>
        <w:pStyle w:val="TtuloBOE"/>
      </w:pPr>
      <w:r>
        <w:t>(BOE núm. 53, de 29 de febrero de 2024)</w:t>
      </w:r>
    </w:p>
    <w:p w14:paraId="0BEF3980" w14:textId="77777777" w:rsidR="009D7677" w:rsidRDefault="009D7677" w:rsidP="009D7677">
      <w:pPr>
        <w:pStyle w:val="TextoNormalCentrado"/>
      </w:pPr>
      <w:r>
        <w:t>ECLI:ES:TC:2024:18</w:t>
      </w:r>
    </w:p>
    <w:p w14:paraId="3F1CE72B" w14:textId="52DD3962" w:rsidR="009D7677" w:rsidRDefault="009D7677" w:rsidP="009D7677">
      <w:pPr>
        <w:pStyle w:val="TextoNormalCentrado"/>
      </w:pPr>
    </w:p>
    <w:p w14:paraId="26EB6E1F" w14:textId="77777777" w:rsidR="009D7677" w:rsidRDefault="009D7677" w:rsidP="009D7677">
      <w:pPr>
        <w:pStyle w:val="SntesisDescriptiva"/>
      </w:pPr>
      <w:r>
        <w:t>Recurso de amparo 74-2022. Promovido por don Alberto Rodríguez Rodríguez en relación con el acuerdo de la presidenta del Congreso de los Diputados dándole traslado de la sentencia de la Sala de lo Penal del Tribunal Supremo que le condenó por un delito de atentado contra agentes de la autoridad.</w:t>
      </w:r>
    </w:p>
    <w:p w14:paraId="09F11979" w14:textId="7D93B749" w:rsidR="009D7677" w:rsidRDefault="009D7677" w:rsidP="009D7677">
      <w:pPr>
        <w:pStyle w:val="SntesisDescriptiva"/>
      </w:pPr>
    </w:p>
    <w:p w14:paraId="4A3CCEA5" w14:textId="77777777" w:rsidR="009D7677" w:rsidRDefault="009D7677" w:rsidP="009D7677">
      <w:pPr>
        <w:pStyle w:val="SntesisAnaltica"/>
      </w:pPr>
      <w:r>
        <w:t>Vulneración del derecho al ejercicio de la función pública representativa: pérdida de la condición de parlamentario en ejecución de la sentencia anulada por la STC 8/2024, de 16 de enero. Voto particular.</w:t>
      </w:r>
    </w:p>
    <w:p w14:paraId="1DCE2B0C" w14:textId="09562E59" w:rsidR="009D7677" w:rsidRDefault="009D7677" w:rsidP="009D7677">
      <w:pPr>
        <w:pStyle w:val="SntesisAnaltica"/>
      </w:pPr>
    </w:p>
    <w:p w14:paraId="16DFC2C2" w14:textId="1431920C" w:rsidR="009D7677" w:rsidRDefault="009D7677" w:rsidP="009D7677">
      <w:pPr>
        <w:pStyle w:val="Extracto"/>
      </w:pPr>
      <w:r>
        <w:t>1.</w:t>
      </w:r>
      <w:r>
        <w:tab/>
        <w:t>Desaparecido como consecuencia del fallo de la STC 8/2024 el presupuesto legal necesario previsto en el art. 6 LOREG para fundamentar la pérdida de la condición de diputado, el acuerdo impugnado, en lo que se refiere a la comunicación de la pérdida de la condición de diputado y de la necesidad de su sustitución, vulnera el derecho fundamental a ejercer las funciones representativas con los requisitos que señalan las leyes (art. 23.2 CE) [FJ Único].</w:t>
      </w:r>
    </w:p>
    <w:p w14:paraId="77E6C993" w14:textId="77777777" w:rsidR="009D7677" w:rsidRDefault="009D7677" w:rsidP="009D7677">
      <w:pPr>
        <w:pStyle w:val="Extracto"/>
      </w:pPr>
    </w:p>
    <w:p w14:paraId="273E4AF5" w14:textId="77777777" w:rsidR="009D7677" w:rsidRDefault="009D7677" w:rsidP="009D7677">
      <w:pPr>
        <w:pStyle w:val="Extracto"/>
      </w:pPr>
    </w:p>
    <w:p w14:paraId="45ACC733" w14:textId="77777777" w:rsidR="009D7677" w:rsidRDefault="009D7677" w:rsidP="009D7677">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ha pronunciado</w:t>
      </w:r>
    </w:p>
    <w:p w14:paraId="56FF3DD5" w14:textId="64AFC1DA" w:rsidR="009D7677" w:rsidRDefault="009D7677" w:rsidP="009D7677">
      <w:pPr>
        <w:pStyle w:val="TextoNormal"/>
      </w:pPr>
    </w:p>
    <w:p w14:paraId="103A57AF" w14:textId="77777777" w:rsidR="009D7677" w:rsidRDefault="009D7677" w:rsidP="009D7677">
      <w:pPr>
        <w:pStyle w:val="TextoNormalCentrado"/>
        <w:keepNext/>
      </w:pPr>
      <w:r>
        <w:t>EN NOMBRE DEL REY</w:t>
      </w:r>
    </w:p>
    <w:p w14:paraId="6CB77E11" w14:textId="566C3501" w:rsidR="009D7677" w:rsidRDefault="009D7677" w:rsidP="009D7677">
      <w:pPr>
        <w:pStyle w:val="TextoNormalCentrado"/>
        <w:keepNext/>
      </w:pPr>
    </w:p>
    <w:p w14:paraId="7A0539E6" w14:textId="77777777" w:rsidR="009D7677" w:rsidRDefault="009D7677" w:rsidP="009D7677">
      <w:pPr>
        <w:pStyle w:val="TextoNormalCentrado"/>
        <w:keepNext/>
      </w:pPr>
    </w:p>
    <w:p w14:paraId="4DA2F17A" w14:textId="77777777" w:rsidR="009D7677" w:rsidRDefault="009D7677" w:rsidP="009D7677">
      <w:pPr>
        <w:pStyle w:val="TextoNormal"/>
      </w:pPr>
      <w:r>
        <w:t>la siguiente</w:t>
      </w:r>
    </w:p>
    <w:p w14:paraId="22D2D4AA" w14:textId="0D35379B" w:rsidR="009D7677" w:rsidRDefault="009D7677" w:rsidP="009D7677">
      <w:pPr>
        <w:pStyle w:val="TextoNormal"/>
      </w:pPr>
    </w:p>
    <w:p w14:paraId="02FF7600" w14:textId="77777777" w:rsidR="009D7677" w:rsidRDefault="009D7677" w:rsidP="009D7677">
      <w:pPr>
        <w:pStyle w:val="TextoNormalCentrado"/>
        <w:keepNext/>
      </w:pPr>
      <w:r>
        <w:t>SENTENCIA</w:t>
      </w:r>
    </w:p>
    <w:p w14:paraId="6481B078" w14:textId="5E5BCE1F" w:rsidR="009D7677" w:rsidRDefault="009D7677" w:rsidP="009D7677">
      <w:pPr>
        <w:pStyle w:val="TextoNormalCentrado"/>
        <w:keepNext/>
      </w:pPr>
    </w:p>
    <w:p w14:paraId="0B04D064" w14:textId="77777777" w:rsidR="009D7677" w:rsidRDefault="009D7677" w:rsidP="009D7677">
      <w:pPr>
        <w:pStyle w:val="TextoNormal"/>
      </w:pPr>
      <w:r>
        <w:t>En el recurso de amparo núm. 74-2022, promovido por don Alberto Rodríguez Rodríguez, representado por el procurador de los tribunales don Carlos Ricardo Estévez Sanz y bajo la asistencia letrada de don Gonzalo Boye y doña María Isabel Elba Sánchez, contra el acuerdo de la presidenta del Congreso de los Diputados de 22 de octubre de 2021 por el que se da traslado al recurrente en amparo de la sentencia de la Sala de lo Penal del Tribunal Supremo 750/2021, de 6 de octubre, dictada en la causa especial núm. 21019-2019, así como del auto de 8 de octubre de 2021, que acuerda proceder a la ejecución de la citada sentencia. Ha sido parte en el procedimiento de amparo el Congreso de los Diputados. Ha intervenido el Ministerio Fiscal. Ha sido ponente la magistrada doña María Luisa Balaguer Callejón.</w:t>
      </w:r>
    </w:p>
    <w:p w14:paraId="4F8A0A36" w14:textId="166A672C" w:rsidR="009D7677" w:rsidRDefault="009D7677" w:rsidP="009D7677">
      <w:pPr>
        <w:pStyle w:val="TextoNormal"/>
      </w:pPr>
    </w:p>
    <w:p w14:paraId="1D6F42FF" w14:textId="77777777" w:rsidR="009D7677" w:rsidRDefault="009D7677" w:rsidP="009D7677">
      <w:pPr>
        <w:pStyle w:val="TextoNormalNegritaCentrado"/>
        <w:keepNext/>
      </w:pPr>
      <w:r>
        <w:lastRenderedPageBreak/>
        <w:t>I. Antecedentes</w:t>
      </w:r>
    </w:p>
    <w:p w14:paraId="13B9D4DC" w14:textId="5B27B59E" w:rsidR="009D7677" w:rsidRDefault="009D7677" w:rsidP="009D7677">
      <w:pPr>
        <w:pStyle w:val="TextoNormalNegritaCentrado"/>
        <w:keepNext/>
      </w:pPr>
    </w:p>
    <w:p w14:paraId="7C63EFAA" w14:textId="2FA3A900" w:rsidR="009D7677" w:rsidRDefault="009D7677" w:rsidP="009D7677">
      <w:pPr>
        <w:pStyle w:val="TextoNormal"/>
      </w:pPr>
      <w:r w:rsidRPr="009D7677">
        <w:rPr>
          <w:rStyle w:val="NumeroAFNegritaCaracter"/>
        </w:rPr>
        <w:t>1</w:t>
      </w:r>
      <w:r>
        <w:t>. Mediante escrito registrado en este tribunal el día 4 de enero de 2022, don Carlos Ricardo Estévez Sanz, procurador de los tribunales, en nombre y representación de don Alberto Rodríguez Rodríguez, bajo la asistencia letrada de don Gonzalo Boye y doña María Isabel Elba Sánchez, interpuso recurso de amparo contra la decisión de la presidenta del Congreso de los Diputados de 22 de octubre de 2021 por la que, de conformidad con lo dispuesto en el art. 6 de la Ley Orgánica 5/1985, de 19 de junio, del régimen electoral general (LOREG), se da traslado al recurrente en amparo, así como a la Junta Electoral Central, a los efectos de su sustitución, y a la Secretaría General del Congreso, a los efectos que procedan, de la sentencia de la Sala de lo Penal del Tribunal Supremo 750/2021, de 6 de octubre, dictada en la causa especial núm. 21019-2019, que condena al demandante a la pena de un mes y quince días de prisión, que se sustituye por la pena de multa de noventa días con cuota diaria de seis euros, con la accesoria de inhabilitación especial para el derecho de sufragio pasivo durante el tiempo de condena, así como del auto de 8 de octubre de 2021, que acuerda proceder a la ejecución de la citada sentencia.</w:t>
      </w:r>
    </w:p>
    <w:p w14:paraId="271C4942" w14:textId="77777777" w:rsidR="009D7677" w:rsidRDefault="009D7677" w:rsidP="009D7677">
      <w:pPr>
        <w:pStyle w:val="TextoNormal"/>
      </w:pPr>
    </w:p>
    <w:p w14:paraId="35F7A07C" w14:textId="77777777" w:rsidR="009D7677" w:rsidRDefault="009D7677" w:rsidP="009D7677">
      <w:pPr>
        <w:pStyle w:val="TextoNormal"/>
      </w:pPr>
      <w:r w:rsidRPr="009D7677">
        <w:rPr>
          <w:rStyle w:val="NumeroAFNegritaCaracter"/>
        </w:rPr>
        <w:t>2</w:t>
      </w:r>
      <w:r>
        <w:t>. Los antecedentes procesales relevantes para resolver las pretensiones planteadas son los siguientes:</w:t>
      </w:r>
    </w:p>
    <w:p w14:paraId="2C9D98A0" w14:textId="77777777" w:rsidR="009D7677" w:rsidRDefault="009D7677" w:rsidP="009D7677">
      <w:pPr>
        <w:pStyle w:val="TextoNormal"/>
      </w:pPr>
    </w:p>
    <w:p w14:paraId="0687DF0C" w14:textId="77777777" w:rsidR="009D7677" w:rsidRDefault="009D7677" w:rsidP="009D7677">
      <w:pPr>
        <w:pStyle w:val="TextoNormal"/>
      </w:pPr>
      <w:r>
        <w:t>a) El demandante de amparo, diputado en el Congreso en la XIV Legislatura, fue condenado por sentencia de la Sala de lo Penal del Tribunal Supremo núm. 750/2021, de 6 de octubre, pronunciada en la causa especial núm. 21019-2019, como autor de un delito de atentado a agentes de la autoridad [art. 550.1 y 2 del Código penal (CP)] en la redacción dada por la Ley Orgánica 1/2015, de 30 de marzo), “con la atenuante muy cualificada de dilaciones indebidas, a la pena de un mes y quince días de prisión, con la accesoria de inhabilitación especial para el derecho de sufragio pasivo durante el tiempo de la condena. La pena de prisión se sustituye por la pena de multa de noventa días con cuota diaria de seis euros”. La sustitución fue adoptada por la Sala por imperativo del art. 71.2 CP. Se añadía que dicha sustitución no afectaba a la pena accesoria a la de prisión. A este respecto la sentencia afirma que “el artículo 71.1 del Código penal prevé la reducción de todas las penas, sin excluir las accesorias, de manera que los jueces o tribunales, en la determinación de la pena inferior en grado, no quedan limitados por las cuantías mínimas establecidas en la ley a cada clase de pena. Por otro lado, el artículo 71.2 solo ordena la sustitución de la pena de prisión. Y las penas accesorias son una consecuencia de la imposición de la privativa de libertad, y no de su ejecución” (fundamento de Derecho octavo).</w:t>
      </w:r>
    </w:p>
    <w:p w14:paraId="65F5906C" w14:textId="77777777" w:rsidR="009D7677" w:rsidRDefault="009D7677" w:rsidP="009D7677">
      <w:pPr>
        <w:pStyle w:val="TextoNormal"/>
      </w:pPr>
    </w:p>
    <w:p w14:paraId="54555870" w14:textId="77777777" w:rsidR="009D7677" w:rsidRDefault="009D7677" w:rsidP="009D7677">
      <w:pPr>
        <w:pStyle w:val="TextoNormal"/>
      </w:pPr>
      <w:r>
        <w:t>b) Por auto de 8 de octubre de 2021, la sala acordó que se procediera a la ejecución de la sentencia dictada en la causa especial; ordenó que se procediera a la anotación de la pena impuesta en el registro central de penados y rebeldes y que, hecho, se practicara la correspondiente liquidación de condena; requirió a don Alberto Rodríguez Rodríguez al pago de la multa impuesta, una vez deducido el importe de la finanza consignada (350 €), así como que procediera al abono de la indemnización acordada (50 €), al agente del Cuerpo Nacional de Policía núm. 92025. Por último, se acordó librar copia del auto, a través de la Presidencia del Tribunal, a la Excma. Sra. presidenta del Congreso de los Diputados.</w:t>
      </w:r>
    </w:p>
    <w:p w14:paraId="3DD3A8BB" w14:textId="77777777" w:rsidR="009D7677" w:rsidRDefault="009D7677" w:rsidP="009D7677">
      <w:pPr>
        <w:pStyle w:val="TextoNormal"/>
      </w:pPr>
    </w:p>
    <w:p w14:paraId="62BBCCCA" w14:textId="77777777" w:rsidR="009D7677" w:rsidRDefault="009D7677" w:rsidP="009D7677">
      <w:pPr>
        <w:pStyle w:val="TextoNormal"/>
      </w:pPr>
      <w:r>
        <w:lastRenderedPageBreak/>
        <w:t>La sentencia condenatoria y el auto de 8 de octubre de 2021, por el que se acordó su ejecución, fueron notificados a la Junta Electoral Central y se remitieron copias digitales a la Presidencia del Congreso de los Diputados para su conocimiento y efectos oportunos, en fecha 13 de octubre de 2021.</w:t>
      </w:r>
    </w:p>
    <w:p w14:paraId="43653D78" w14:textId="77777777" w:rsidR="009D7677" w:rsidRDefault="009D7677" w:rsidP="009D7677">
      <w:pPr>
        <w:pStyle w:val="TextoNormal"/>
      </w:pPr>
    </w:p>
    <w:p w14:paraId="3C2697A5" w14:textId="77777777" w:rsidR="009D7677" w:rsidRDefault="009D7677" w:rsidP="009D7677">
      <w:pPr>
        <w:pStyle w:val="TextoNormal"/>
      </w:pPr>
      <w:r>
        <w:t>c) Por auto de 14 de octubre de 2021, la Sala juzgadora desestimó la solicitud de aclaración y rectificación interesada por el demandante de amparo [</w:t>
      </w:r>
      <w:r w:rsidRPr="009D7677">
        <w:rPr>
          <w:i/>
        </w:rPr>
        <w:t>ex</w:t>
      </w:r>
      <w:r>
        <w:t xml:space="preserve"> art. 267 de la Ley Orgánica del Poder Judicial (LOPJ)] el día anterior. A los efectos que a este recurso interesan, no se apreciaron en el auto los errores materiales alegados en relación con las penas impuestas, pues en la sentencia “se explica con suficiente claridad todo lo relativo a la imposición de la pena de prisión y su accesoria, a la necesidad de la sustitución de conformidad con el artículo 71.2 del Código Penal y a las consecuencias de la misma, todo ello en los términos contenidos en el FJ 8, que expresan el criterio del Tribunal y que se dan aquí por reiterados” (fundamento de Derecho único).</w:t>
      </w:r>
    </w:p>
    <w:p w14:paraId="6BF7C580" w14:textId="77777777" w:rsidR="009D7677" w:rsidRDefault="009D7677" w:rsidP="009D7677">
      <w:pPr>
        <w:pStyle w:val="TextoNormal"/>
      </w:pPr>
    </w:p>
    <w:p w14:paraId="477ACE42" w14:textId="77777777" w:rsidR="009D7677" w:rsidRDefault="009D7677" w:rsidP="009D7677">
      <w:pPr>
        <w:pStyle w:val="TextoNormal"/>
      </w:pPr>
      <w:r>
        <w:t>d) La mesa del Congreso de los Diputados, en sesión de 19 de octubre de 2021, delibera sobre el modo en que debe ser ejecutada la STS 750/2021, en respuesta a los escritos presentados por el diputado señor Cambronero (Grupo Parlamentario Mixto) y los grupos parlamentarios Vox y Popular, instando la ejecución de la referida sentencia. A su vez, el señor Rodríguez también se había dirigido a la mesa dando cuenta del total cumplimiento de la condena tras el pago de la multa sustitutiva y la indemnización. Asimismo, se somete a debate el escrito presentado por el diputado don José María Guijarro García (Grupo Parlamentario Confederal Unidas Podemos-En Comú Podem-Galicia en Común) en el que expone la posición del grupo sobre la ejecución de la condena penal impuesta por el Tribunal Supremo al diputado don Alberto Rodríguez.</w:t>
      </w:r>
    </w:p>
    <w:p w14:paraId="4CB3F978" w14:textId="77777777" w:rsidR="009D7677" w:rsidRDefault="009D7677" w:rsidP="009D7677">
      <w:pPr>
        <w:pStyle w:val="TextoNormal"/>
      </w:pPr>
    </w:p>
    <w:p w14:paraId="6A095F5D" w14:textId="77777777" w:rsidR="009D7677" w:rsidRDefault="009D7677" w:rsidP="009D7677">
      <w:pPr>
        <w:pStyle w:val="TextoNormal"/>
      </w:pPr>
      <w:r>
        <w:t>Según consta en el acta de la reunión, la Secretaría General expuso su parecer concluyendo:</w:t>
      </w:r>
    </w:p>
    <w:p w14:paraId="7C4B3B40" w14:textId="77777777" w:rsidR="009D7677" w:rsidRDefault="009D7677" w:rsidP="009D7677">
      <w:pPr>
        <w:pStyle w:val="TextoNormal"/>
      </w:pPr>
    </w:p>
    <w:p w14:paraId="04373D06" w14:textId="77777777" w:rsidR="009D7677" w:rsidRDefault="009D7677" w:rsidP="009D7677">
      <w:pPr>
        <w:pStyle w:val="TextoNormal"/>
      </w:pPr>
      <w:r>
        <w:t>“[H]a realizado un informe relativo a la forma en que procede ejecutar la citada sentencia, el cual se adjunta al índice rojo, y en el que se concluye que, analizada la normativa aplicable, interpretada a la luz de los principios constitucionales en la forma en que los mismos han sido configurados por el Tribunal Constitucional en jurisprudencia reiterada, no cabe derivar de la sentencia consecuencia extrapenal alguna que afecte a la condición de diputado del señor Rodriguez, no concurriendo ni la causa de incompatibilidad sobrevenida contemplada en el apartado 2 en relación con el apartado 4 del artículo 6 de la LOREG, ni ninguno de los supuestos que, en aplicación de los artículos 21 y 22 del Reglamento del Congreso de los Diputados, comportarían bien la suspensión de los derechos, prerrogativas y deberes del diputado, bien la pérdida de la condición”.</w:t>
      </w:r>
    </w:p>
    <w:p w14:paraId="0E8AB4D4" w14:textId="77777777" w:rsidR="009D7677" w:rsidRDefault="009D7677" w:rsidP="009D7677">
      <w:pPr>
        <w:pStyle w:val="TextoNormal"/>
      </w:pPr>
    </w:p>
    <w:p w14:paraId="2D0A0F13" w14:textId="77777777" w:rsidR="009D7677" w:rsidRDefault="009D7677" w:rsidP="009D7677">
      <w:pPr>
        <w:pStyle w:val="TextoNormal"/>
      </w:pPr>
      <w:r>
        <w:t>Tras la oportuna deliberación, la mesa adoptó el siguiente acuerdo:</w:t>
      </w:r>
    </w:p>
    <w:p w14:paraId="3E9DE311" w14:textId="77777777" w:rsidR="009D7677" w:rsidRDefault="009D7677" w:rsidP="009D7677">
      <w:pPr>
        <w:pStyle w:val="TextoNormal"/>
      </w:pPr>
    </w:p>
    <w:p w14:paraId="41C2265E" w14:textId="77777777" w:rsidR="009D7677" w:rsidRDefault="009D7677" w:rsidP="009D7677">
      <w:pPr>
        <w:pStyle w:val="TextoNormal"/>
      </w:pPr>
      <w:r>
        <w:t xml:space="preserve">“[C]omunicar a los autores de los citados escritos que la mesa, teniendo en cuenta las conclusiones del informe elaborado por la Secretaría General, ha considerado que no cabe derivar de la sentencia 750/2021, de 6 de octubre, consecuencia extra penal alguna que afecte a la condición de diputado del señor Rodríguez, no concurriendo ni la causa de incompatibilidad sobrevenida contemplada en el apartado 2 en relación con el apartado 4 del artículo 6 de la LOREG, ni ninguno de los supuestos que, en aplicación de los artículos 21 </w:t>
      </w:r>
      <w:r>
        <w:lastRenderedPageBreak/>
        <w:t>y 22 del Reglamento del Congreso, comportarían bien la suspensión de los derechos, prerrogativas y deberes del diputado, bien la pérdida de la condición” (acta de la sesión, pág. 12).</w:t>
      </w:r>
    </w:p>
    <w:p w14:paraId="42024677" w14:textId="77777777" w:rsidR="009D7677" w:rsidRDefault="009D7677" w:rsidP="009D7677">
      <w:pPr>
        <w:pStyle w:val="TextoNormal"/>
      </w:pPr>
    </w:p>
    <w:p w14:paraId="4E09CAB9" w14:textId="77777777" w:rsidR="009D7677" w:rsidRDefault="009D7677" w:rsidP="009D7677">
      <w:pPr>
        <w:pStyle w:val="TextoNormal"/>
      </w:pPr>
      <w:r>
        <w:t>e) El 20 de octubre de 2021, el presidente del Tribunal Supremo trasladó a la presidenta del Congreso de los Diputados oficio del presidente de la Sala de lo Penal. En este escrito, y con la finalidad de llevar a efecto la correspondiente liquidación de condena, se interesa informe sobre la fecha de inicio de cumplimiento de la pena de inhabilitación especial para el derecho de sufragio pasivo impuesta al diputado señor Rodríguez Rodríguez.</w:t>
      </w:r>
    </w:p>
    <w:p w14:paraId="32DA5144" w14:textId="77777777" w:rsidR="009D7677" w:rsidRDefault="009D7677" w:rsidP="009D7677">
      <w:pPr>
        <w:pStyle w:val="TextoNormal"/>
      </w:pPr>
    </w:p>
    <w:p w14:paraId="70D5A72D" w14:textId="77777777" w:rsidR="009D7677" w:rsidRDefault="009D7677" w:rsidP="009D7677">
      <w:pPr>
        <w:pStyle w:val="TextoNormal"/>
      </w:pPr>
      <w:r>
        <w:t>f) A la vista de la antedicha comunicación y escritos presentados por la vicepresidenta segunda y el secretario cuarto de la mesa (señora doña Ana María Pastor Julián y señor don Adolfo Suárez Illana), por la portavoz adjunta del Grupo Parlamentario Vox (doña Macarena Olona Choclán) y por don José María Guijarro García, en su condición de secretario general del Grupo Parlamentario Confederal Unidas Podemos-En Comú Podem-Galicia en Común, la presidenta del Congreso de los Diputados convocó con carácter de urgencia a la mesa del Congreso de los Diputados.</w:t>
      </w:r>
    </w:p>
    <w:p w14:paraId="47E70D83" w14:textId="77777777" w:rsidR="009D7677" w:rsidRDefault="009D7677" w:rsidP="009D7677">
      <w:pPr>
        <w:pStyle w:val="TextoNormal"/>
      </w:pPr>
    </w:p>
    <w:p w14:paraId="23BB80FB" w14:textId="77777777" w:rsidR="009D7677" w:rsidRDefault="009D7677" w:rsidP="009D7677">
      <w:pPr>
        <w:pStyle w:val="TextoNormal"/>
      </w:pPr>
      <w:r>
        <w:t>En sesión celebrada el jueves 21 de octubre de 2021, la Presidencia reconoce que, el martes anterior, la mesa “adoptó una decisión a la vista del único elemento de juicio de carácter técnico del que disponía: el informe que, ante los escritos que se habían presentado por diputados y grupos, había elaborado la Secretaría General”. Siendo esto así, continúa la señora presidenta, “la comunicación remitida por el Tribunal Supremo en el día de ayer introduce una nueva variable en el asunto, contradiciendo, en su opinión, las conclusiones del informe de la Secretaría General, lo que obligaría a que la mesa se replanteara su anterior decisión”. E insiste en que “[a] la vista del escrito remitido por el Tribunal Supremo en el día de ayer […] no es posible sostener que no hay nada que ejecutar, puesto que, claramente, aquel viene a reclamar una ejecución”.</w:t>
      </w:r>
    </w:p>
    <w:p w14:paraId="74012727" w14:textId="77777777" w:rsidR="009D7677" w:rsidRDefault="009D7677" w:rsidP="009D7677">
      <w:pPr>
        <w:pStyle w:val="TextoNormal"/>
      </w:pPr>
    </w:p>
    <w:p w14:paraId="43E16ED4" w14:textId="77777777" w:rsidR="009D7677" w:rsidRDefault="009D7677" w:rsidP="009D7677">
      <w:pPr>
        <w:pStyle w:val="TextoNormal"/>
      </w:pPr>
      <w:r>
        <w:t>En el marco de esta reunión y a preguntas de la Presidencia, el secretario general del Congreso de los Diputados afirma lo siguiente:</w:t>
      </w:r>
    </w:p>
    <w:p w14:paraId="66BE9F36" w14:textId="77777777" w:rsidR="009D7677" w:rsidRDefault="009D7677" w:rsidP="009D7677">
      <w:pPr>
        <w:pStyle w:val="TextoNormal"/>
      </w:pPr>
    </w:p>
    <w:p w14:paraId="0928D1A0" w14:textId="77777777" w:rsidR="009D7677" w:rsidRDefault="009D7677" w:rsidP="009D7677">
      <w:pPr>
        <w:pStyle w:val="TextoNormal"/>
      </w:pPr>
      <w:r>
        <w:t xml:space="preserve">“[L]o que se está solicitando por medio de este último oficio remitido por el Tribunal Supremo es que se informe sobre la fecha de inicio de cumplimiento de la pena de inhabilitación especial para el derecho de sufragio pasivo impuesta al señor Rodríguez, con la finalidad de llevar a efecto la práctica de la correspondiente liquidación de condena, de donde parece inferirse que se está refiriendo a una pena que se prolonga en el tiempo, lo que no se correspondería con la pérdida de la condición de diputado, la cual se produce de una sola vez y </w:t>
      </w:r>
      <w:r w:rsidRPr="009D7677">
        <w:rPr>
          <w:i/>
        </w:rPr>
        <w:t>ope legis</w:t>
      </w:r>
      <w:r>
        <w:t>. Ahora bien, también es posible entender que el Tribunal Supremo lo que está requiriendo de la presidenta, de forma no explícita, es que se prive al señor Rodriguez de su condición de diputado y, ello por cuanto que de todas las actuaciones posibles en este punto, la privación del cargo es la única que le competería a la Presidencia. No en vano […] la inhabilitación para el ejercicio del derecho de sufragio pasivo, que comporta la imposibilidad del inhabilitado de concurrir como candidato en unas elecciones, es una previsión que por sí sola no produce ningún efect</w:t>
      </w:r>
      <w:r w:rsidRPr="009D7677">
        <w:rPr>
          <w:i/>
        </w:rPr>
        <w:t>o ad int</w:t>
      </w:r>
      <w:r>
        <w:t>ra en la Cámara”.</w:t>
      </w:r>
    </w:p>
    <w:p w14:paraId="2A10C80B" w14:textId="77777777" w:rsidR="009D7677" w:rsidRDefault="009D7677" w:rsidP="009D7677">
      <w:pPr>
        <w:pStyle w:val="TextoNormal"/>
      </w:pPr>
    </w:p>
    <w:p w14:paraId="3703A6BA" w14:textId="77777777" w:rsidR="009D7677" w:rsidRDefault="009D7677" w:rsidP="009D7677">
      <w:pPr>
        <w:pStyle w:val="TextoNormal"/>
      </w:pPr>
      <w:r>
        <w:t>Añade el secretario general:</w:t>
      </w:r>
    </w:p>
    <w:p w14:paraId="42D74CA9" w14:textId="77777777" w:rsidR="009D7677" w:rsidRDefault="009D7677" w:rsidP="009D7677">
      <w:pPr>
        <w:pStyle w:val="TextoNormal"/>
      </w:pPr>
    </w:p>
    <w:p w14:paraId="3E24A005" w14:textId="77777777" w:rsidR="009D7677" w:rsidRDefault="009D7677" w:rsidP="009D7677">
      <w:pPr>
        <w:pStyle w:val="TextoNormal"/>
      </w:pPr>
      <w:r>
        <w:lastRenderedPageBreak/>
        <w:t>“[E]n principio, la lógica lleva a pensar que las penas se ejecutan desde el momento en que la sentencia adquiere firmeza. Ahora bien, en este caso y dadas las particularidades del mismo, en su opinión solo caben dos opciones: que de la pena no se derive la privación del cargo, en cuyo caso nada tendría que decirse por la Cámara, siendo competencia de la sala la determinación del momento de inicio del cómputo de los plazos, o que sí que se derive, siendo esta la única razón que explicaría un escrito como el que ahora nos ocupa y del que, en consecuencia, cabría inferir que en la conciencia del Tribunal Supremo está que una de las consecuencias de la pena impuesta es la privación del cargo, correspondiéndole a la Presidencia llevarla a cabo”.</w:t>
      </w:r>
    </w:p>
    <w:p w14:paraId="270D6675" w14:textId="77777777" w:rsidR="009D7677" w:rsidRDefault="009D7677" w:rsidP="009D7677">
      <w:pPr>
        <w:pStyle w:val="TextoNormal"/>
      </w:pPr>
    </w:p>
    <w:p w14:paraId="648F7C59" w14:textId="77777777" w:rsidR="009D7677" w:rsidRDefault="009D7677" w:rsidP="009D7677">
      <w:pPr>
        <w:pStyle w:val="TextoNormal"/>
      </w:pPr>
      <w:r>
        <w:t>Tras la deliberación, la presidenta del Congreso de los Diputados, por escrito de 21 de octubre de 2021, informó al presidente del Tribunal Supremo, para su traslado al presidente de su Sala de lo Penal que, en el día de la fecha, la mesa había conocido de aquel oficio en reunión convocada al efecto, en la que</w:t>
      </w:r>
    </w:p>
    <w:p w14:paraId="40E7D341" w14:textId="77777777" w:rsidR="009D7677" w:rsidRDefault="009D7677" w:rsidP="009D7677">
      <w:pPr>
        <w:pStyle w:val="TextoNormal"/>
      </w:pPr>
    </w:p>
    <w:p w14:paraId="26E77EDB" w14:textId="77777777" w:rsidR="009D7677" w:rsidRDefault="009D7677" w:rsidP="009D7677">
      <w:pPr>
        <w:pStyle w:val="TextoNormal"/>
      </w:pPr>
      <w:r>
        <w:t>“por cinco votos a favor y tres en contra, ha estimado conveniente solicitar de la sala sentenciadora aclaración sobre el modo de dar cumplimiento a lo dispuesto en la sentencia y, en concreto, sobre si debe procederse, como medida de cumplimiento, a declarar la pérdida de la condición de diputado del señor Rodríguez. Todo ello, con el fin de dar cumplida y exacta contestación al citado escrito recibido en el día de ayer sobre la fecha de inicio de cumplimiento de la pena de inhabilitación especial para el ejercicio del derecho de sufragio pasivo”.</w:t>
      </w:r>
    </w:p>
    <w:p w14:paraId="331A5E90" w14:textId="77777777" w:rsidR="009D7677" w:rsidRDefault="009D7677" w:rsidP="009D7677">
      <w:pPr>
        <w:pStyle w:val="TextoNormal"/>
      </w:pPr>
    </w:p>
    <w:p w14:paraId="6573081A" w14:textId="77777777" w:rsidR="009D7677" w:rsidRDefault="009D7677" w:rsidP="009D7677">
      <w:pPr>
        <w:pStyle w:val="TextoNormal"/>
      </w:pPr>
      <w:r>
        <w:t>g) El presidente en funciones del Tribunal Supremo, por escrito de 22 de octubre de 2021, trasladó a la presidenta del Congreso de los Diputados la contestación del presidente de la Sala de lo Penal, señor Marchena Gómez, a su escrito del día anterior, con el siguiente tenor literal:</w:t>
      </w:r>
    </w:p>
    <w:p w14:paraId="7B838D60" w14:textId="77777777" w:rsidR="009D7677" w:rsidRDefault="009D7677" w:rsidP="009D7677">
      <w:pPr>
        <w:pStyle w:val="TextoNormal"/>
      </w:pPr>
    </w:p>
    <w:p w14:paraId="4E9399FB" w14:textId="77777777" w:rsidR="009D7677" w:rsidRDefault="009D7677" w:rsidP="009D7677">
      <w:pPr>
        <w:pStyle w:val="TextoNormal"/>
      </w:pPr>
      <w:r>
        <w:t>“Como V.E. conoce, la Ley 6/1985, de 1 de julio, del Poder Judicial, no incluye entre las funciones del Tribunal Supremo la de asesorar a otros órganos constitucionales acerca de los términos de ejecución de una sentencia firme.</w:t>
      </w:r>
    </w:p>
    <w:p w14:paraId="4C3B2FED" w14:textId="77777777" w:rsidR="009D7677" w:rsidRDefault="009D7677" w:rsidP="009D7677">
      <w:pPr>
        <w:pStyle w:val="TextoNormal"/>
      </w:pPr>
    </w:p>
    <w:p w14:paraId="6CA963E5" w14:textId="77777777" w:rsidR="009D7677" w:rsidRDefault="009D7677" w:rsidP="009D7677">
      <w:pPr>
        <w:pStyle w:val="TextoNormal"/>
      </w:pPr>
      <w:r>
        <w:t>La aclaración, por un órgano jurisdiccional de sus propias resoluciones sí está, en cambio, prevista en el art. 267 de la Ley Orgánica del Poder Judicial ‘a petición de la parte o del Ministerio Fiscal’. Se da la circunstancia de que la representación procesal de don Alberto Rodríguez promovió solicitud de aclaración de la sentencia que le condenó como autor de un delito de atentado a agente de la autoridad a la ‘pena de un mes y quince días de prisión, con la accesoria de inhabilitación especial para el ejercicio del derecho de sufragio pasivo durante el tiempo de la condena’. En el mismo fallo se añadía que ‘la pena de prisión se sustituye por la pena de multa de noventa días con cuota diaria de seis euros’.</w:t>
      </w:r>
    </w:p>
    <w:p w14:paraId="3BC18F60" w14:textId="77777777" w:rsidR="009D7677" w:rsidRDefault="009D7677" w:rsidP="009D7677">
      <w:pPr>
        <w:pStyle w:val="TextoNormal"/>
      </w:pPr>
    </w:p>
    <w:p w14:paraId="58D8BB43" w14:textId="77777777" w:rsidR="009D7677" w:rsidRDefault="009D7677" w:rsidP="009D7677">
      <w:pPr>
        <w:pStyle w:val="TextoNormal"/>
      </w:pPr>
      <w:r>
        <w:t>En esta petición de aclaración, la letrada entendía que en la sentencia se apreciaban ‘errores materiales manifiestos’, debiendo la sala proceder a su rectificación. El error que se imputaba a nuestra resolución estaría relacionado con el supuesto carácter forzoso de la sustitución de la pena, lo que conllevaría —a su juicio— ‘la eliminación en la sentencia de las referencias a la pena accesoria, pues la sustitución de la pena de prisión es de carácter forzoso y no conlleva la aplicación de penas accesorias’.</w:t>
      </w:r>
    </w:p>
    <w:p w14:paraId="23A6E42B" w14:textId="77777777" w:rsidR="009D7677" w:rsidRDefault="009D7677" w:rsidP="009D7677">
      <w:pPr>
        <w:pStyle w:val="TextoNormal"/>
      </w:pPr>
    </w:p>
    <w:p w14:paraId="0AA565EF" w14:textId="77777777" w:rsidR="009D7677" w:rsidRDefault="009D7677" w:rsidP="009D7677">
      <w:pPr>
        <w:pStyle w:val="TextoNormal"/>
      </w:pPr>
      <w:r>
        <w:lastRenderedPageBreak/>
        <w:t>En nuestro auto de fecha 14 de octubre de 2021 dimos respuesta a la solicitud de la defensa de que fuera anulada la pena de inhabilitación especial. En el apartado 2 de su fundamento jurídico señalábamos que ‘la cuestión se resuelve expresamente […] en la sentencia cuya aclaración se solicita, de forma que resulta perfectamente inteligible y que se da aquí por reiterada, sin que se aprecie error alguno que deba ser rectificado’. La parte dispositiva de nuestra resolución apuntaba lo siguiente: ‘no procede la aclaración de la sentencia núm. 750/2021, de 6 de octubre, dictada en la presente causa’.</w:t>
      </w:r>
    </w:p>
    <w:p w14:paraId="04D9D8D3" w14:textId="77777777" w:rsidR="009D7677" w:rsidRDefault="009D7677" w:rsidP="009D7677">
      <w:pPr>
        <w:pStyle w:val="TextoNormal"/>
      </w:pPr>
    </w:p>
    <w:p w14:paraId="5FA23E5F" w14:textId="77777777" w:rsidR="009D7677" w:rsidRDefault="009D7677" w:rsidP="009D7677">
      <w:pPr>
        <w:pStyle w:val="TextoNormal"/>
      </w:pPr>
      <w:r>
        <w:t>Descartábamos, por tanto, cualquier error por el hecho de mantener la vigencia de la inhabilitación especial para el ejercicio del derecho de sufragio pasivo, pues esta pena accesoria es obligada a la vista de lo dispuesto en el art. 56.1.2 del CP. Así lo exige este precepto cuando se imponga una pena privativa de libertad, como ha sucedido en el presente caso. La pena de prisión es el desenlace punitivo asociado a la conducta que se declara probada, sin perjuicio de que a efectos de su ejecución —y solo a estos exclusivos efectos— se haya acordado su sustitución por una pena de multa”.</w:t>
      </w:r>
    </w:p>
    <w:p w14:paraId="1D716B6D" w14:textId="77777777" w:rsidR="009D7677" w:rsidRDefault="009D7677" w:rsidP="009D7677">
      <w:pPr>
        <w:pStyle w:val="TextoNormal"/>
      </w:pPr>
    </w:p>
    <w:p w14:paraId="36C2F703" w14:textId="77777777" w:rsidR="009D7677" w:rsidRDefault="009D7677" w:rsidP="009D7677">
      <w:pPr>
        <w:pStyle w:val="TextoNormal"/>
      </w:pPr>
      <w:r>
        <w:t>En relación con esta comunicación, a petición de la Presidencia del Congreso de los Diputados, se manifiesta oralmente su secretario general en el sentido que recogerá un posterior escrito fechado el 25 de octubre. En este informe, se indicaba:</w:t>
      </w:r>
    </w:p>
    <w:p w14:paraId="1EE49C58" w14:textId="77777777" w:rsidR="009D7677" w:rsidRDefault="009D7677" w:rsidP="009D7677">
      <w:pPr>
        <w:pStyle w:val="TextoNormal"/>
      </w:pPr>
    </w:p>
    <w:p w14:paraId="1A74C3E6" w14:textId="77777777" w:rsidR="009D7677" w:rsidRDefault="009D7677" w:rsidP="009D7677">
      <w:pPr>
        <w:pStyle w:val="TextoNormal"/>
      </w:pPr>
      <w:r>
        <w:t>“[E]l Tribunal Supremo considera, en interpretación auténtica de la sentencia, que la pena privativa de libertad impuesta en origen, no pierde su naturaleza por el hecho de haber sido sustituida. Por ello, y como consecuencia necesaria, ha de entenderse que opera la causa de incompatibilidad sobrevenida prevista en el apartado 4 en relación con el apartado 2 a) del artículo 6 de la LOREG […] en cumplimiento de la sentencia del Tribunal Supremo 750/2021, de 6 de octubre, que así lo estaría disponiendo, debía la Presidencia de la Cámara declarar la pérdida de la condición de diputado del señor Rodriguez e iniciar los trámites conducentes a su sustitución como efectivamente hizo”.</w:t>
      </w:r>
    </w:p>
    <w:p w14:paraId="728FDA91" w14:textId="77777777" w:rsidR="009D7677" w:rsidRDefault="009D7677" w:rsidP="009D7677">
      <w:pPr>
        <w:pStyle w:val="TextoNormal"/>
      </w:pPr>
    </w:p>
    <w:p w14:paraId="05ED43AC" w14:textId="77777777" w:rsidR="009D7677" w:rsidRDefault="009D7677" w:rsidP="009D7677">
      <w:pPr>
        <w:pStyle w:val="TextoNormal"/>
      </w:pPr>
      <w:r>
        <w:t>Al día siguiente de emitir el informe por escrito, en reunión de la mesa, el secretario general aclaró que la premura que exigía el asunto le llevó a expresar su opinión jurídica verbalmente, para no dilatar la toma de decisiones.</w:t>
      </w:r>
    </w:p>
    <w:p w14:paraId="7CD0FFD0" w14:textId="77777777" w:rsidR="009D7677" w:rsidRDefault="009D7677" w:rsidP="009D7677">
      <w:pPr>
        <w:pStyle w:val="TextoNormal"/>
      </w:pPr>
    </w:p>
    <w:p w14:paraId="13D69F44" w14:textId="77777777" w:rsidR="009D7677" w:rsidRDefault="009D7677" w:rsidP="009D7677">
      <w:pPr>
        <w:pStyle w:val="TextoNormal"/>
      </w:pPr>
      <w:r>
        <w:t>h) El 22 de octubre de 2021, la presidenta del Congreso de los Diputados dirigió al demandante de amparo, a la Junta Electoral Central y a la Secretaría General de la Cámara sendas comunicaciones del siguiente tenor:</w:t>
      </w:r>
    </w:p>
    <w:p w14:paraId="023EC913" w14:textId="77777777" w:rsidR="009D7677" w:rsidRDefault="009D7677" w:rsidP="009D7677">
      <w:pPr>
        <w:pStyle w:val="TextoNormal"/>
      </w:pPr>
    </w:p>
    <w:p w14:paraId="1BB4D536" w14:textId="77777777" w:rsidR="009D7677" w:rsidRDefault="009D7677" w:rsidP="009D7677">
      <w:pPr>
        <w:pStyle w:val="TextoNormal"/>
      </w:pPr>
      <w:r>
        <w:t>“El pasado 14 de octubre se ha recibido en esta Presidencia un oficio del presidente del Tribunal Supremo, al que acompaña testimonio del auto de ejecución junto con la sentencia 750/2021, dictada por la Sala Segunda de dicho tribunal, en fecha 6 de octubre del presente año, en la causa especial número 3-21019-2019, por la que se le condena a V.E. a la pena de un mes y quince días de prisión, que se sustituye por la pena de multa de noventa días con cuota diaria de seis euros, con la accesoria de inhabilitación especial para el derecho de sufragio pasivo durante el tiempo de la condena.</w:t>
      </w:r>
    </w:p>
    <w:p w14:paraId="3843C0A1" w14:textId="77777777" w:rsidR="009D7677" w:rsidRDefault="009D7677" w:rsidP="009D7677">
      <w:pPr>
        <w:pStyle w:val="TextoNormal"/>
      </w:pPr>
    </w:p>
    <w:p w14:paraId="64685346" w14:textId="77777777" w:rsidR="009D7677" w:rsidRDefault="009D7677" w:rsidP="009D7677">
      <w:pPr>
        <w:pStyle w:val="TextoNormal"/>
      </w:pPr>
      <w:r>
        <w:t>El referido auto dispone:</w:t>
      </w:r>
    </w:p>
    <w:p w14:paraId="366EB7E8" w14:textId="77777777" w:rsidR="009D7677" w:rsidRDefault="009D7677" w:rsidP="009D7677">
      <w:pPr>
        <w:pStyle w:val="TextoNormal"/>
      </w:pPr>
    </w:p>
    <w:p w14:paraId="1B8CDC7D" w14:textId="77777777" w:rsidR="009D7677" w:rsidRDefault="009D7677" w:rsidP="009D7677">
      <w:pPr>
        <w:pStyle w:val="TextoNormal"/>
      </w:pPr>
      <w:r>
        <w:lastRenderedPageBreak/>
        <w:t>‘Procédase a la ejecución de la sentencia dictada en la presente causa especial, quedando registrada en el libro correspondiente con el número 2/2021, incoando la presente ejecutoria, dando cuenta al Ministerio Fiscal y demás partes personadas’.</w:t>
      </w:r>
    </w:p>
    <w:p w14:paraId="6365AE79" w14:textId="77777777" w:rsidR="009D7677" w:rsidRDefault="009D7677" w:rsidP="009D7677">
      <w:pPr>
        <w:pStyle w:val="TextoNormal"/>
      </w:pPr>
    </w:p>
    <w:p w14:paraId="36A99DF1" w14:textId="77777777" w:rsidR="009D7677" w:rsidRDefault="009D7677" w:rsidP="009D7677">
      <w:pPr>
        <w:pStyle w:val="TextoNormal"/>
      </w:pPr>
      <w:r>
        <w:t>En su virtud, y de conformidad con lo dispuesto en el artículo 6 de la Ley Orgánica 5/1985, de 19 de junio, del régimen electoral general, he acordado dar traslado del mismo a V.E., así como a la Junta Electoral Central, a los efectos de su sustitución, y a la Secretaría General del Congreso, a los efectos que procedan”.</w:t>
      </w:r>
    </w:p>
    <w:p w14:paraId="076B5097" w14:textId="77777777" w:rsidR="009D7677" w:rsidRDefault="009D7677" w:rsidP="009D7677">
      <w:pPr>
        <w:pStyle w:val="TextoNormal"/>
      </w:pPr>
    </w:p>
    <w:p w14:paraId="18798788" w14:textId="77777777" w:rsidR="009D7677" w:rsidRDefault="009D7677" w:rsidP="009D7677">
      <w:pPr>
        <w:pStyle w:val="TextoNormal"/>
      </w:pPr>
      <w:r>
        <w:t>i) Ese mismo día, la presidenta del Congreso de los Diputados dirigió un escrito al presidente del Tribunal Supremo, para su traslado al presidente de su Sala de lo Penal, en el que se le comunica que, en cumplimiento de lo dispuesto en el auto de ejecución de la sentencia 750/2021, dictada por la Sala de lo Penal del Tribunal Supremo, se le da traslado de las comunicaciones referidas en el antecedente 2 h).</w:t>
      </w:r>
    </w:p>
    <w:p w14:paraId="0A7CF90B" w14:textId="77777777" w:rsidR="009D7677" w:rsidRDefault="009D7677" w:rsidP="009D7677">
      <w:pPr>
        <w:pStyle w:val="TextoNormal"/>
      </w:pPr>
    </w:p>
    <w:p w14:paraId="23AAAEB6" w14:textId="77777777" w:rsidR="009D7677" w:rsidRDefault="009D7677" w:rsidP="009D7677">
      <w:pPr>
        <w:pStyle w:val="TextoNormal"/>
      </w:pPr>
      <w:r>
        <w:t>j) También el día 22 de octubre, el diputado señor Rodríguez Rodríguez solicitó a la mesa del Congreso la notificación de todos los acuerdos adoptados en ejecución de la sentencia. Esta documentación fue el día 30 de octubre.</w:t>
      </w:r>
    </w:p>
    <w:p w14:paraId="42788DF2" w14:textId="77777777" w:rsidR="009D7677" w:rsidRDefault="009D7677" w:rsidP="009D7677">
      <w:pPr>
        <w:pStyle w:val="TextoNormal"/>
      </w:pPr>
    </w:p>
    <w:p w14:paraId="28214B8B" w14:textId="77777777" w:rsidR="009D7677" w:rsidRDefault="009D7677" w:rsidP="009D7677">
      <w:pPr>
        <w:pStyle w:val="TextoNormal"/>
      </w:pPr>
      <w:r>
        <w:t>Entretanto, el 26 de octubre, la mesa adoptó el acuerdo de declarar decaídas las iniciativas del demandante que se encontraban en tramitación, teniendo en cuenta que el señor diputado causó baja el día 22 de octubre de 2021 (“BOCG”, Congreso de los Diputados, serie D, núm. 353, de 29 de octubre). Su cese como diputado fue publicado en el “BOCG”, Congreso de los Diputados, serie D, núm. 357, de 5 de noviembre, con efectos de 22 de octubre de 2021.</w:t>
      </w:r>
    </w:p>
    <w:p w14:paraId="7E03B812" w14:textId="77777777" w:rsidR="009D7677" w:rsidRDefault="009D7677" w:rsidP="009D7677">
      <w:pPr>
        <w:pStyle w:val="TextoNormal"/>
      </w:pPr>
    </w:p>
    <w:p w14:paraId="7CCF498F" w14:textId="77777777" w:rsidR="009D7677" w:rsidRDefault="009D7677" w:rsidP="009D7677">
      <w:pPr>
        <w:pStyle w:val="TextoNormal"/>
      </w:pPr>
      <w:r>
        <w:t>k) El demandante de amparo, por escrito de 25 de octubre de 2021, solicitó a la presidenta del Congreso de los Diputados aclaración sobre los siguientes extremos de la comunicación que le había dirigido el 22 de octubre de 2021:</w:t>
      </w:r>
    </w:p>
    <w:p w14:paraId="10771D8A" w14:textId="77777777" w:rsidR="009D7677" w:rsidRDefault="009D7677" w:rsidP="009D7677">
      <w:pPr>
        <w:pStyle w:val="TextoNormal"/>
      </w:pPr>
    </w:p>
    <w:p w14:paraId="506F235F" w14:textId="77777777" w:rsidR="009D7677" w:rsidRDefault="009D7677" w:rsidP="009D7677">
      <w:pPr>
        <w:pStyle w:val="TextoNormal"/>
      </w:pPr>
      <w:r>
        <w:t>“1. ¿Por qué motivo indica en esa comunicación que procedería mi sustitución como diputado, sin procedimiento previo alguno para privarme de mi escaño? 2. […] ¿cuándo y mediante qué resolución se adoptó tal medida? 3. ¿Con qué base legal ha decidido transformar una pena accesoria de inhabilitación especial para el derecho de sufragio pasivo durante el tiempo de la condena en una privación del escaño […], creando de ese modo una pena no prevista en la sentencia 750/2021? En concreto, ¿qué precepto de los muchos contenidos en la Ley Orgánica 5/1985, de 19 de junio, del régimen electoral general considera me ha aplicado usted? 4. Finalmente, interesa a mi derecho conocer si la arbitraria privación del escaño se trata de una decisión personal suya o la misma ha sido adoptada por algún órgano colegiado. En cualquiera de los dos casos, ruego me indique qué norma le atribuye tales competencias a usted o al órgano colegiado que haya adoptado tan arbitraria decisión”.</w:t>
      </w:r>
    </w:p>
    <w:p w14:paraId="4D038833" w14:textId="77777777" w:rsidR="009D7677" w:rsidRDefault="009D7677" w:rsidP="009D7677">
      <w:pPr>
        <w:pStyle w:val="TextoNormal"/>
      </w:pPr>
    </w:p>
    <w:p w14:paraId="08010F3A" w14:textId="77777777" w:rsidR="009D7677" w:rsidRDefault="009D7677" w:rsidP="009D7677">
      <w:pPr>
        <w:pStyle w:val="TextoNormal"/>
      </w:pPr>
      <w:r>
        <w:t>La presidenta contestó a la petición de aclaración el 3 de noviembre, en los siguientes términos:</w:t>
      </w:r>
    </w:p>
    <w:p w14:paraId="639525C6" w14:textId="77777777" w:rsidR="009D7677" w:rsidRDefault="009D7677" w:rsidP="009D7677">
      <w:pPr>
        <w:pStyle w:val="TextoNormal"/>
      </w:pPr>
    </w:p>
    <w:p w14:paraId="48B86811" w14:textId="77777777" w:rsidR="009D7677" w:rsidRDefault="009D7677" w:rsidP="009D7677">
      <w:pPr>
        <w:pStyle w:val="TextoNormal"/>
      </w:pPr>
      <w:r>
        <w:t>“Habiéndose recibido en la Cámara comunicación del Tribunal Supremo por la que se trasladaba la sentencia antes citada, así como el auto de ejecución de la misma, y poste</w:t>
      </w:r>
      <w:r>
        <w:lastRenderedPageBreak/>
        <w:t>riormente un escrito de 20 de octubre por el que se trasladaba comunicación del Excmo. señor presidente de la Sala Segunda del Tribunal Supremo interesando informe sobre la fecha de inicio del cumplimiento de la pena de inhabilitación especial para el derecho de sufragio pasivo impuesta en dicha sentencia, el pasado 21 de octubre me dirigí a la Sala Segunda de este tribunal, solicitando aclaración sobre el modo de dar debido cumplimiento a lo dispuesto en la sentencia.</w:t>
      </w:r>
    </w:p>
    <w:p w14:paraId="0D52AD07" w14:textId="77777777" w:rsidR="009D7677" w:rsidRDefault="009D7677" w:rsidP="009D7677">
      <w:pPr>
        <w:pStyle w:val="TextoNormal"/>
      </w:pPr>
    </w:p>
    <w:p w14:paraId="06027352" w14:textId="77777777" w:rsidR="009D7677" w:rsidRDefault="009D7677" w:rsidP="009D7677">
      <w:pPr>
        <w:pStyle w:val="TextoNormal"/>
      </w:pPr>
      <w:r>
        <w:t>El 22 de octubre, se me dio traslado del escrito del presidente de la Sala Segunda del Tribunal Supremo en contestación a la solicitud de aclaración cursada. En el mismo, tras reproducirse la contestación que, en petición de aclaración de sentencia, se había dado a usted en relación con la procedencia de la imposición de una pena accesoria, se afirmaba que ‘la pena de prisión es el desenlace punitivo asociado a la conducta que se declara probada, sin perjuicio de que a efectos de su ejecución —y solo a estos exclusivos efectos— se haya acordado su sustitución por una pena de multa’.</w:t>
      </w:r>
    </w:p>
    <w:p w14:paraId="7AC60ACE" w14:textId="77777777" w:rsidR="009D7677" w:rsidRDefault="009D7677" w:rsidP="009D7677">
      <w:pPr>
        <w:pStyle w:val="TextoNormal"/>
      </w:pPr>
    </w:p>
    <w:p w14:paraId="478AB6A1" w14:textId="77777777" w:rsidR="009D7677" w:rsidRDefault="009D7677" w:rsidP="009D7677">
      <w:pPr>
        <w:pStyle w:val="TextoNormal"/>
      </w:pPr>
      <w:r>
        <w:t>En consecuencia, en cumplimiento de la citada sentencia, di traslado de la misma, por un lado a usted como interesado, y por otro a la Junta Electoral Central a los efectos de su sustitución, siendo esa sentencia y el procedimiento que a ella dio lugar las exclusivas y determinantes causas de ese traslado, de acuerdo con los fundamentos normativos que constan en la propia sentencia y los citados escritos”.</w:t>
      </w:r>
    </w:p>
    <w:p w14:paraId="55AB6080" w14:textId="77777777" w:rsidR="009D7677" w:rsidRDefault="009D7677" w:rsidP="009D7677">
      <w:pPr>
        <w:pStyle w:val="TextoNormal"/>
      </w:pPr>
    </w:p>
    <w:p w14:paraId="27CF32DA" w14:textId="77777777" w:rsidR="009D7677" w:rsidRDefault="009D7677" w:rsidP="009D7677">
      <w:pPr>
        <w:pStyle w:val="TextoNormal"/>
      </w:pPr>
      <w:r>
        <w:t>l) También el 25 de octubre, el señor Rodríguez Rodríguez, interesó a la Sala de lo Penal del Tribunal Supremo la suspensión provisional de la ejecución de la sentencia y, con carácter subsidiario, solicitó que se instase a la presidenta del Congreso de los Diputados para que procediera a ejecutar la pena en los términos establecidos en la sentencia, sin realizar ninguna modificación de la pena impuesta. La Sala entiende que no ha lugar a las pretensiones del recurrente y establece que</w:t>
      </w:r>
    </w:p>
    <w:p w14:paraId="3F059675" w14:textId="77777777" w:rsidR="009D7677" w:rsidRDefault="009D7677" w:rsidP="009D7677">
      <w:pPr>
        <w:pStyle w:val="TextoNormal"/>
      </w:pPr>
    </w:p>
    <w:p w14:paraId="7DC001C5" w14:textId="77777777" w:rsidR="009D7677" w:rsidRDefault="009D7677" w:rsidP="009D7677">
      <w:pPr>
        <w:pStyle w:val="TextoNormal"/>
      </w:pPr>
      <w:r>
        <w:t xml:space="preserve">“las consecuencias extrapenales no tienen su causa en la ejecución de la sentencia, sino en el pronunciamiento de la condena. En este sentido, se decía en la STC núm. 166/1995, de 20 de mayo, que conviene dejar bien sentado que la causa de inelegibilidad que afecta a ‘los condenados por sentencia firme a pena privativa de libertad, en el periodo que dure la pena’ [art. 6.2 a) LOREG] no está en función del cumplimiento efectivo de la condena, que también se produce formalmente cuando se suspende, sino por ese pronunciamiento cuya carga infamante, como máximo reproche social, es la razón determinante de que el así señalado sea excluido del proceso electoral’. Como se ha dicho, al recurrente se le ha impuesto una pena de prisión de un mes y quince días, con la accesoria de inhabilitación especial para el derecho de sufragio pasivo durante el tiempo de la condena. En cuanto a las consecuencias estrictamente penales de la condena, la pena de prisión impuesta al penado, de conformidad con lo previsto en el art. 71.2 del Código penal, ha sido sustituida por una pena de multa. Y, en este aspecto, la sentencia debe considerarse ejecutada en la medida en que el penado ha satisfecho su importe. La pena accesoria se encuentra pendiente de la correspondiente liquidación de condena. Y la indemnización se encuentra en trámite de entrega al perjudicado. En su momento, por lo tanto, se procederá al archivo de la ejecutoria. No procede, por lo tanto, la suspensión solicitada. […] En cuanto al segundo aspecto —se continúa razonando en el auto—, las consecuencias extrapenales han sido concretadas por quien resulta competente en el ejercicio de sus propias competencias en el ámbito parlamentario, y, como el propio solicitante reconoce en su escrito, se ha hecho en </w:t>
      </w:r>
      <w:r>
        <w:lastRenderedPageBreak/>
        <w:t>aplicación de lo dispuesto en el artículo 6 de la Ley Orgánica de régimen electoral general. Este precepto dispone en su apartado 2: Son inelegibles: a) Los condenados por sentencia firme, a pena privativa de libertad, en el periodo que dure la pena. Y en el apartado 4: Las causas de inelegibilidad lo son también de incompatibilidad. Las resoluciones de la Presidencia del Congreso de los Diputados que, como se ha dicho más arriba, se relacionan con la previsión legal de la existencia de condena y no con la ejecución penal de la misma, no son recurribles ante esta sala, que carece de competencia para proceder a su revisión. Y por otro lado, no corresponde a este tribunal instar o realizar advertencias a otras instancias u órganos del Estado […] acerca de la forma en que deben aplicar las leyes en sus respectivos ámbitos de competencia” (fundamento de Derecho único).</w:t>
      </w:r>
    </w:p>
    <w:p w14:paraId="056DEA98" w14:textId="77777777" w:rsidR="009D7677" w:rsidRDefault="009D7677" w:rsidP="009D7677">
      <w:pPr>
        <w:pStyle w:val="TextoNormal"/>
      </w:pPr>
    </w:p>
    <w:p w14:paraId="1FB15E9F" w14:textId="77777777" w:rsidR="009D7677" w:rsidRDefault="009D7677" w:rsidP="009D7677">
      <w:pPr>
        <w:pStyle w:val="TextoNormal"/>
      </w:pPr>
      <w:r>
        <w:t>m) La Junta Electoral Central, en sesión de 27 de octubre de 2021 (expediente 570-194), tomó conocimiento de la sentencia condenatoria, así como del auto de ejecución de 8 de octubre. También de la comunicación de la baja del señor Rodríguez Rodríguez como diputado del Congreso. A resultas, se acordó que, como consecuencia de la imposición de la pena de inhabilitación especial del derecho de sufragio pasivo durante el tiempo de la condena (art. 44 CP), el demandante de amparo “no podrá concurrir como candidato a procesos electorales durante el periodo de duración de la pena impuesta en dicha sentencia”. Se decide asimismo comunicar al Presidente de la Sala de lo Penal del Tribunal Supremo la expedición de la credencial de diputada a doña Fátima González Bello, en sustitución de don Alberto Rodríguez Rodríguez, en ejecución de la solicitud de 22 de octubre de la presidenta del Congreso de los Diputados. Este acuerdo de la Junta Electoral fue objeto de recurso contencioso-administrativo interpuesto por don Alberto Rodríguez Rodríguez ante el Tribunal Supremo, que se declaró caducado por ATS de 21 de marzo de 2022, por falta de formalización de la demanda en el plazo exigido.</w:t>
      </w:r>
    </w:p>
    <w:p w14:paraId="5DB404CD" w14:textId="77777777" w:rsidR="009D7677" w:rsidRDefault="009D7677" w:rsidP="009D7677">
      <w:pPr>
        <w:pStyle w:val="TextoNormal"/>
      </w:pPr>
    </w:p>
    <w:p w14:paraId="7C7E4CC4" w14:textId="77777777" w:rsidR="009D7677" w:rsidRDefault="009D7677" w:rsidP="009D7677">
      <w:pPr>
        <w:pStyle w:val="TextoNormal"/>
      </w:pPr>
      <w:r>
        <w:t>n) El Grupo Parlamentario Confederal Unidas Podemos-En Comú Podem-Galicia en Común, invocando los arts. 30 y 32 RCD, plantea ante la mesa del Congreso escrito de reconsideración del acuerdo de la presidenta de 22 de octubre de 2021. Se solicita la revocación de la sustitución de don Alberto Rodríguez Rodríguez como diputado, así como que se reconozca que compete a la mesa, previo dictamen de la Comisión del Estatuto de los Diputados, la facultad para decidir los efectos parlamentarios de la sentencia condenatoria. Por acuerdo de 3 de noviembre, la mesa resuelve inadmitir ambas pretensiones, alegando que la competencia para dar cumplimiento a las resoluciones judiciales es propia de la Presidencia de la Cámara, no existiendo vía reglamentaria para que la mesa revise las decisiones adoptadas por la presidencia.</w:t>
      </w:r>
    </w:p>
    <w:p w14:paraId="75C3AC62" w14:textId="77777777" w:rsidR="009D7677" w:rsidRDefault="009D7677" w:rsidP="009D7677">
      <w:pPr>
        <w:pStyle w:val="TextoNormal"/>
      </w:pPr>
    </w:p>
    <w:p w14:paraId="764C3CF9" w14:textId="77777777" w:rsidR="009D7677" w:rsidRDefault="009D7677" w:rsidP="009D7677">
      <w:pPr>
        <w:pStyle w:val="TextoNormal"/>
      </w:pPr>
      <w:r>
        <w:t>ñ) Por escrito fechado el 8 de noviembre, la representación procesal del recurrente en amparo promovió incidente de nulidad de actuaciones de la sentencia condenatoria ante la Sala de lo Penal del Tribunal Supremo, que fue desestimado por auto núm. 16830/2021, de 15 de diciembre.</w:t>
      </w:r>
    </w:p>
    <w:p w14:paraId="6265F1DC" w14:textId="77777777" w:rsidR="009D7677" w:rsidRDefault="009D7677" w:rsidP="009D7677">
      <w:pPr>
        <w:pStyle w:val="TextoNormal"/>
      </w:pPr>
    </w:p>
    <w:p w14:paraId="0781D98B" w14:textId="77777777" w:rsidR="009D7677" w:rsidRDefault="009D7677" w:rsidP="009D7677">
      <w:pPr>
        <w:pStyle w:val="TextoNormal"/>
      </w:pPr>
      <w:r>
        <w:t>o) La Sala de lo Penal del Tribunal Supremo, por auto de 20 de diciembre de 2021, aprobó la liquidación de condena de la pena de inhabilitación especial para el derecho de sufragio pasivo del demandante de amparo. Tras ello, el demandante de amparo, por escrito de 28 de diciembre, solicitó a la presidenta del Congreso de los Diputados que le restituyera en su cargo de diputado, al no existir pena alguna pendiente de cumplir. La presi</w:t>
      </w:r>
      <w:r>
        <w:lastRenderedPageBreak/>
        <w:t>denta, por escrito fechado el 30 de diciembre de 2021, rechaza el requerimiento argumentando:</w:t>
      </w:r>
    </w:p>
    <w:p w14:paraId="182E3529" w14:textId="77777777" w:rsidR="009D7677" w:rsidRDefault="009D7677" w:rsidP="009D7677">
      <w:pPr>
        <w:pStyle w:val="TextoNormal"/>
      </w:pPr>
    </w:p>
    <w:p w14:paraId="05C7B34E" w14:textId="77777777" w:rsidR="009D7677" w:rsidRDefault="009D7677" w:rsidP="009D7677">
      <w:pPr>
        <w:pStyle w:val="TextoNormal"/>
      </w:pPr>
      <w:r>
        <w:t>“La pérdida de su condición de diputado se declaró en cumplimiento de la sentencia del Tribunal Supremo 750/2021, de 6 de octubre, por la que se le condenaba a una pena de privación de libertad, sustituida por una multa a los exclusivos efectos de su ejecución, de acuerdo con lo afirmado por el propio tribunal en escrito de aclaración solicitado por esta Presidencia. Concurría, en su virtud, la causa de incompatibilidad sobrevenida prevista en el artículo 6.2 a) de la LOREG, que opera de acuerdo con la doctrina del Tribunal Constitucional, como causa de cese.</w:t>
      </w:r>
    </w:p>
    <w:p w14:paraId="15289C35" w14:textId="77777777" w:rsidR="009D7677" w:rsidRDefault="009D7677" w:rsidP="009D7677">
      <w:pPr>
        <w:pStyle w:val="TextoNormal"/>
      </w:pPr>
    </w:p>
    <w:p w14:paraId="4FFEBFDB" w14:textId="77777777" w:rsidR="009D7677" w:rsidRDefault="009D7677" w:rsidP="009D7677">
      <w:pPr>
        <w:pStyle w:val="TextoNormal"/>
      </w:pPr>
      <w:r>
        <w:t>En consecuencia, dicha pérdida resulta definitiva y no se vincula con el fin del cumplimiento de la pena privativa de libertad impuesta y es ajena a la privación del derecho de sufragio derivada de la sentencia y ya efectivamente cumplida.</w:t>
      </w:r>
    </w:p>
    <w:p w14:paraId="24D733D5" w14:textId="77777777" w:rsidR="009D7677" w:rsidRDefault="009D7677" w:rsidP="009D7677">
      <w:pPr>
        <w:pStyle w:val="TextoNormal"/>
      </w:pPr>
    </w:p>
    <w:p w14:paraId="5BB4B5DA" w14:textId="77BC6E77" w:rsidR="009D7677" w:rsidRDefault="009D7677" w:rsidP="009D7677">
      <w:pPr>
        <w:pStyle w:val="TextoNormal"/>
      </w:pPr>
      <w:r>
        <w:t>Por ello, de acuerdo con los precedentes en la actuación del Congreso, la mesa de la Cámara en su reunión de 26 de octubre de 2021 declaró decaídas sus iniciativas en tramitación y la Junta Electoral Central procedió a expedir credencial expresiva de la designación como diputada por la circunscripción electoral de Santa Cruz de Tenerife de quien debía sustituirle tras la pérdida de su condición de diputado”.</w:t>
      </w:r>
    </w:p>
    <w:p w14:paraId="38EF4BE7" w14:textId="77777777" w:rsidR="009D7677" w:rsidRDefault="009D7677" w:rsidP="009D7677">
      <w:pPr>
        <w:pStyle w:val="TextoNormal"/>
      </w:pPr>
    </w:p>
    <w:p w14:paraId="4D79446C" w14:textId="77777777" w:rsidR="009D7677" w:rsidRDefault="009D7677" w:rsidP="009D7677">
      <w:pPr>
        <w:pStyle w:val="TextoNormal"/>
      </w:pPr>
      <w:r w:rsidRPr="009D7677">
        <w:rPr>
          <w:rStyle w:val="NumeroAFNegritaCaracter"/>
        </w:rPr>
        <w:t>3</w:t>
      </w:r>
      <w:r>
        <w:t>. En la demanda de amparo se alega que el acuerdo de la presidenta del Congreso de los Diputados de 22 de octubre de 2021 vulnera los derechos fundamentales recogidos en los arts. 9.3, 14, 16, 21, 23, 24 y 25 CE, en relación con los arts. 12, 49, 50 y 54 de la Carta de los derechos fundamentales de la Unión Europea, así como con el art. 3 del Protocolo núm. 1 y el art. 1 del Protocolo núm. 12 al Convenio europeo de derechos humanos, en relación con sus arts. 11 y 17. Por ello se interesa que se otorgue el amparo solicitado y se declare la nulidad del acuerdo de la presidenta por el que se priva de su escaño al recurrente en amparo.</w:t>
      </w:r>
    </w:p>
    <w:p w14:paraId="5DCAA789" w14:textId="77777777" w:rsidR="009D7677" w:rsidRDefault="009D7677" w:rsidP="009D7677">
      <w:pPr>
        <w:pStyle w:val="TextoNormal"/>
      </w:pPr>
    </w:p>
    <w:p w14:paraId="30557A51" w14:textId="77777777" w:rsidR="009D7677" w:rsidRDefault="009D7677" w:rsidP="009D7677">
      <w:pPr>
        <w:pStyle w:val="TextoNormal"/>
      </w:pPr>
      <w:r>
        <w:t>La especial trascendencia constitucional se justifica porque plantea un problema o una faceta de distintos derechos fundamentales sobre los que no hay doctrina del Tribunal Constitucional (STC 155/2009, de 25 de junio, FJ 2 a)]. En este sentido, se aduce como uno de los problemas a dilucidar la “proporcionalidad o desproporcionalidad existente” entre la condena impuesta “y las consecuencias extrapenales” deducidas por la presidenta del Congreso de los Diputados, “como es la pérdida de la condición de Diputado del aquí recurrente”, así como “si tal medida puede ser acordada, sin quebranto constitucional, por quien no tiene entre sus potestades la de privar a un miembro del Congreso de su condición de diputado”. También resulta esencial, a juicio del recurrente, que el Tribunal se pronuncie sobre “el encaje constitucional que tendría, de existir alguno, una privación de un escaño en el Congreso de los Diputados, sin procedimiento alguno y a sola voluntad de la presidenta […] en relación con el derecho de participación política de los diputados”. En otras palabras, si estos “pueden ser privados de su escaño con una decisión de la presidenta de la Cámara sin acudir a un proceso reglado y sin que su actuación tenga respaldo constitucional o legal que le atribuya tal competencia”. Asimismo, debe dilucidarse si pueden generarse consecuencias extrapenales, como es la privación del escaño, por unos mismos hechos por los que se ha impuesto una pena en la jurisdicción penal, que no conlleva la privación de libertad; es decir, si unos mismos hechos pueden ser doblemente san</w:t>
      </w:r>
      <w:r>
        <w:lastRenderedPageBreak/>
        <w:t>cionados, imponiéndose, además, una sanción que resulta más severa, y de mayor duración, que la pena impuesta en la jurisdicción penal.</w:t>
      </w:r>
    </w:p>
    <w:p w14:paraId="3AABAF1D" w14:textId="77777777" w:rsidR="009D7677" w:rsidRDefault="009D7677" w:rsidP="009D7677">
      <w:pPr>
        <w:pStyle w:val="TextoNormal"/>
      </w:pPr>
    </w:p>
    <w:p w14:paraId="0DE6A727" w14:textId="77777777" w:rsidR="009D7677" w:rsidRDefault="009D7677" w:rsidP="009D7677">
      <w:pPr>
        <w:pStyle w:val="TextoNormal"/>
      </w:pPr>
      <w:r>
        <w:t>Como segundo motivo de especial trascendencia constitucional se invoca que el recurso trasciende el caso concreto porque plantea una cuestión jurídica de relevante y general repercusión social y tiene también unas consecuencias políticas generales [STC 155/2009, FJ 2 g)]. En esta línea, se afirma en la demanda que se trata de determinar si un diputado del Congreso puede perder su condición de parlamentario, sin que “dicha medida esté específicamente establecida en una sentencia condenatoria y si, además, tal decisión puede ser adoptada, sin más, de forma arbitraria y exclusivamente, por parte de la Excma. presidenta del Congreso de los Diputados, sin seguir ningún tipo de procedimiento para ello, obviando los informes de los letrados del Congreso y los acuerdos de la Junta Electoral Central”, produciéndose un diferente trato discriminatorio “por razón de la ideología y la significación política del recurrente”.</w:t>
      </w:r>
    </w:p>
    <w:p w14:paraId="7F131C29" w14:textId="77777777" w:rsidR="009D7677" w:rsidRDefault="009D7677" w:rsidP="009D7677">
      <w:pPr>
        <w:pStyle w:val="TextoNormal"/>
      </w:pPr>
    </w:p>
    <w:p w14:paraId="644EACA6" w14:textId="77777777" w:rsidR="009D7677" w:rsidRDefault="009D7677" w:rsidP="009D7677">
      <w:pPr>
        <w:pStyle w:val="TextoNormal"/>
      </w:pPr>
      <w:r>
        <w:t>Por lo que hace a las invocaciones relacionadas con el problema de fondo, la demanda estructura los argumentos en torno a tres grandes cuestiones:</w:t>
      </w:r>
    </w:p>
    <w:p w14:paraId="4000CEA0" w14:textId="77777777" w:rsidR="009D7677" w:rsidRDefault="009D7677" w:rsidP="009D7677">
      <w:pPr>
        <w:pStyle w:val="TextoNormal"/>
      </w:pPr>
    </w:p>
    <w:p w14:paraId="79CFF812" w14:textId="77777777" w:rsidR="009D7677" w:rsidRDefault="009D7677" w:rsidP="009D7677">
      <w:pPr>
        <w:pStyle w:val="TextoNormal"/>
      </w:pPr>
      <w:r>
        <w:t>a) La falta de motivación de la resolución de la presidenta del Congreso de los Diputados de 22 de octubre de 2021</w:t>
      </w:r>
    </w:p>
    <w:p w14:paraId="7AFB2925" w14:textId="77777777" w:rsidR="009D7677" w:rsidRDefault="009D7677" w:rsidP="009D7677">
      <w:pPr>
        <w:pStyle w:val="TextoNormal"/>
      </w:pPr>
    </w:p>
    <w:p w14:paraId="32782B6F" w14:textId="77777777" w:rsidR="009D7677" w:rsidRDefault="009D7677" w:rsidP="009D7677">
      <w:pPr>
        <w:pStyle w:val="TextoNormal"/>
      </w:pPr>
      <w:r>
        <w:t>En la demanda se sostiene que la primera y más evidente vulneración en la que incurre la resolución impugnada estriba en que carece de cualquier fundamento o razonamiento que permita entender que se trata de una resolución ajustada a derecho. Su único fundamento sería que, en virtud de la sentencia de la Sala de lo Penal del Tribunal Supremo núm. 750/2021, de 6 de marzo, se tenía que proceder, en aplicación a lo dispuesto en el art. 6 LOREG, a la sustitución del recurrente en su escaño.</w:t>
      </w:r>
    </w:p>
    <w:p w14:paraId="427AC9BB" w14:textId="77777777" w:rsidR="009D7677" w:rsidRDefault="009D7677" w:rsidP="009D7677">
      <w:pPr>
        <w:pStyle w:val="TextoNormal"/>
      </w:pPr>
    </w:p>
    <w:p w14:paraId="63DC442A" w14:textId="77777777" w:rsidR="009D7677" w:rsidRDefault="009D7677" w:rsidP="009D7677">
      <w:pPr>
        <w:pStyle w:val="TextoNormal"/>
      </w:pPr>
      <w:r>
        <w:t>Para el recurrente la decisión de privación del escaño no tiene base legal alguna. De un lado, nuestro ordenamiento jurídico no prevé que se ejecute la pena accesoria de inhabilitación especial para el derecho de sufragio pasivo, mediante la privación del escaño. El artículo 44 del Código penal es muy claro al respecto y la única consecuencia prevista es la prohibición de presentarse como candidato en una lista electoral en cualquier proceso electoral, caso de convocarse, durante el tiempo que dure su condena.</w:t>
      </w:r>
    </w:p>
    <w:p w14:paraId="0FDE29C0" w14:textId="77777777" w:rsidR="009D7677" w:rsidRDefault="009D7677" w:rsidP="009D7677">
      <w:pPr>
        <w:pStyle w:val="TextoNormal"/>
      </w:pPr>
    </w:p>
    <w:p w14:paraId="0B96B915" w14:textId="77777777" w:rsidR="009D7677" w:rsidRDefault="009D7677" w:rsidP="009D7677">
      <w:pPr>
        <w:pStyle w:val="TextoNormal"/>
      </w:pPr>
      <w:r>
        <w:t xml:space="preserve">De otro, el demandante afirma que no logra comprender cuál es el encaje de la sentencia condenatoria en el art. 6 LOREG. Entiende que, en virtud de la remisión contenida en su apartado 4 (“las causas de inelegibilidad lo son también de incompatibilidad”), las causas de inelegibilidad de las letras a) y b) del art. 6.2 LOREG no son aplicables aquí (“2. Son inelegibles: a) Los condenados por sentencia firme, a pena privativa de libertad, en el periodo que dure la pena. b) Los condenados por sentencia, aunque no sea firme, por delitos de rebelión, de terrorismo, contra la administración pública o contra las instituciones del Estado cuando la misma haya establecido la pena de inhabilitación para el ejercicio del derecho de sufragio pasivo o la inhabilitación absoluta o especial o de suspensión para empleo o cargo público en los términos previstos en la legislación penal”). La presidenta del Congreso de los Diputados, en opinión del recurrente, se inventó una causa no prevista en la ley para privarle de su escaño, pues es evidente que este caso no es subsumible en los supuestos citados. El recurrente considera que no se encontraba incurso en ninguna de las </w:t>
      </w:r>
      <w:r>
        <w:lastRenderedPageBreak/>
        <w:t>causas de inelegibilidad contempladas en el art. 6.2 a) y b) LOREG, ya que, de una parte, la sentencia le impuso una pena no prevista en nuestro ordenamiento penal —por inejecutable—, y, de otra, la pena de prisión fue sustituida por la pena de multa de noventa días con cuota diaria de seis euros. Se aducía que cuando se sustituye una pena como la impuesta, “la pena de prisión queda definitiva e irreversiblemente sustituida” (STS 683/2019, de 29 de enero de 2020), por lo que no concurría base jurídica para incardinar la situación del demandante en los supuestos del art. 6 LOREG. Además, la multa fue pagada de manera inmediata, por lo que en ese momento se agotó su ejecución. En otras palabras, la pena de prisión nunca llegó a nacer porque quedó definitiva e irreversiblemente sustituida, y, por lo tanto, nunca comenzó a ejecutarse. No pueden desprenderse de esa inexistente ejecución consecuencias extrapenales como la acordada en la resolución impugnada en amparo.</w:t>
      </w:r>
    </w:p>
    <w:p w14:paraId="33D1F281" w14:textId="77777777" w:rsidR="009D7677" w:rsidRDefault="009D7677" w:rsidP="009D7677">
      <w:pPr>
        <w:pStyle w:val="TextoNormal"/>
      </w:pPr>
    </w:p>
    <w:p w14:paraId="141A36D6" w14:textId="77777777" w:rsidR="009D7677" w:rsidRDefault="009D7677" w:rsidP="009D7677">
      <w:pPr>
        <w:pStyle w:val="TextoNormal"/>
      </w:pPr>
      <w:r>
        <w:t>La demanda recuerda que es el régimen de incompatibilidades el que, en su caso, debería haberse aplicado al recurrente de forma sobrevenida, enmarcándose ello en el ámbito de las relaciones jurídico-parlamentarias, aun cuando la regulación sustantiva de las incompatibilidades se contenga en la norma electoral.</w:t>
      </w:r>
    </w:p>
    <w:p w14:paraId="0FF18003" w14:textId="77777777" w:rsidR="009D7677" w:rsidRDefault="009D7677" w:rsidP="009D7677">
      <w:pPr>
        <w:pStyle w:val="TextoNormal"/>
      </w:pPr>
    </w:p>
    <w:p w14:paraId="568D6E77" w14:textId="77777777" w:rsidR="009D7677" w:rsidRDefault="009D7677" w:rsidP="009D7677">
      <w:pPr>
        <w:pStyle w:val="TextoNormal"/>
      </w:pPr>
      <w:r>
        <w:t>La decisión de la presidenta del Congreso tampoco encuentra cobertura en el Reglamento del Congreso de los Diputados, porque entre sus normas no existe alguna que permita a la presidenta actuar como lo ha hecho. En cambio, debería haber acudido al art. 21.2 RCD, que regula la suspensión de los diputados —aunque, a su juicio, tampoco era de aplicación—, “si hubiese actuado de forma coherente con su peculiar entendimiento del caso”. Este precepto evidencia, en su opinión, “el despropósito de la decisión objeto de la presente demanda de amparo”. Se niega, también que la situación del demandante en amparo tuviera encaje en alguno de los supuestos de pérdida de la condición de diputado previstos en el art. 22 RCD.</w:t>
      </w:r>
    </w:p>
    <w:p w14:paraId="7536CC49" w14:textId="77777777" w:rsidR="009D7677" w:rsidRDefault="009D7677" w:rsidP="009D7677">
      <w:pPr>
        <w:pStyle w:val="TextoNormal"/>
      </w:pPr>
    </w:p>
    <w:p w14:paraId="74DDDAFE" w14:textId="77777777" w:rsidR="009D7677" w:rsidRDefault="009D7677" w:rsidP="009D7677">
      <w:pPr>
        <w:pStyle w:val="TextoNormal"/>
      </w:pPr>
      <w:r>
        <w:t>En definitiva, no existía norma que amparara la resolución impugnada, de modo que la decisión de privarle de su condición de diputado vulneró su derecho de participación política, que no solo implica el derecho a presentarse a unas elecciones y a ser elegido, sino también el derecho de no ser removido del cargo sin sustento legal ni procedimental alguno, lo que afecta tanto a los derechos del recurrente en amparo, como a los de sus electores (art. 23 CE).</w:t>
      </w:r>
    </w:p>
    <w:p w14:paraId="40B89051" w14:textId="77777777" w:rsidR="009D7677" w:rsidRDefault="009D7677" w:rsidP="009D7677">
      <w:pPr>
        <w:pStyle w:val="TextoNormal"/>
      </w:pPr>
    </w:p>
    <w:p w14:paraId="29291B73" w14:textId="77777777" w:rsidR="009D7677" w:rsidRDefault="009D7677" w:rsidP="009D7677">
      <w:pPr>
        <w:pStyle w:val="TextoNormal"/>
      </w:pPr>
      <w:r>
        <w:t>b) La creación e imposición de una segunda pena por los mismos hechos y el principio de proporcionalidad (art. 25 CE)</w:t>
      </w:r>
    </w:p>
    <w:p w14:paraId="39432BA5" w14:textId="77777777" w:rsidR="009D7677" w:rsidRDefault="009D7677" w:rsidP="009D7677">
      <w:pPr>
        <w:pStyle w:val="TextoNormal"/>
      </w:pPr>
    </w:p>
    <w:p w14:paraId="1CB71E55" w14:textId="77777777" w:rsidR="009D7677" w:rsidRDefault="009D7677" w:rsidP="009D7677">
      <w:pPr>
        <w:pStyle w:val="TextoNormal"/>
      </w:pPr>
      <w:r>
        <w:t>El demandante sostiene que la resolución impugnada constituye una sanción por los mismos hechos por los que ha sido condenado por el Tribunal Supremo, lo que implica una doble punibilidad incompatible con el art. 25 CE. Argumenta que por los mismos hechos se le condenó a la pena de un mes y quince días de prisión, con la accesoria de inhabilitación especial para el derecho de sufragio pasivo durante el tiempo de la condena, sustituyéndose la pena de prisión por la de multa de noventa días con cuota diaria de seis euros, y, después, a una pena, también inexistente, de privación de su escaño.</w:t>
      </w:r>
    </w:p>
    <w:p w14:paraId="59494E34" w14:textId="77777777" w:rsidR="009D7677" w:rsidRDefault="009D7677" w:rsidP="009D7677">
      <w:pPr>
        <w:pStyle w:val="TextoNormal"/>
      </w:pPr>
    </w:p>
    <w:p w14:paraId="7F46F64C" w14:textId="77777777" w:rsidR="009D7677" w:rsidRDefault="009D7677" w:rsidP="009D7677">
      <w:pPr>
        <w:pStyle w:val="TextoNormal"/>
      </w:pPr>
      <w:r>
        <w:t>Si nos atenemos al principio de proporcionalidad, la sanción impuesta por la presidenta del Congreso de los Diputados tiene unas marcadas connotaciones penales, cuya intensi</w:t>
      </w:r>
      <w:r>
        <w:lastRenderedPageBreak/>
        <w:t>dad supera, con creces, las de la propia sanción impuesta por el Tribunal Supremo. Frente a las penas de la sentencia condenatoria, la presidenta del Congreso impuso una pena que equivalía, en el tiempo, al resto de la duración de la legislatura en aquel momento vigente, con una serie de privaciones añadidas —pérdida de sus honores, emolumentos y demás prerrogativas propias de la condición de diputado— que la transforman no solo en una pérdida odiosa, sino de mucha mayor lesividad e intensidad que la impuesta por el tribunal sentenciador. Y, a su vez, implicó una sanción para los miles de ciudadanos que le votaron y que le confiaron el ejercicio de sus respectivos derechos de representación política.</w:t>
      </w:r>
    </w:p>
    <w:p w14:paraId="6C546E39" w14:textId="77777777" w:rsidR="009D7677" w:rsidRDefault="009D7677" w:rsidP="009D7677">
      <w:pPr>
        <w:pStyle w:val="TextoNormal"/>
      </w:pPr>
    </w:p>
    <w:p w14:paraId="1D4AFAF7" w14:textId="77777777" w:rsidR="009D7677" w:rsidRDefault="009D7677" w:rsidP="009D7677">
      <w:pPr>
        <w:pStyle w:val="TextoNormal"/>
      </w:pPr>
      <w:r>
        <w:t>c) La resolución ha sido adoptada por quien no tiene competencias para ello y sin haberse seguido el procedimiento legalmente establecido.</w:t>
      </w:r>
    </w:p>
    <w:p w14:paraId="404B0A92" w14:textId="77777777" w:rsidR="009D7677" w:rsidRDefault="009D7677" w:rsidP="009D7677">
      <w:pPr>
        <w:pStyle w:val="TextoNormal"/>
      </w:pPr>
    </w:p>
    <w:p w14:paraId="48619EBB" w14:textId="77777777" w:rsidR="009D7677" w:rsidRDefault="009D7677" w:rsidP="009D7677">
      <w:pPr>
        <w:pStyle w:val="TextoNormal"/>
      </w:pPr>
      <w:r>
        <w:t>En la demanda se invoca la doctrina de la STC 7/1992, de 16 de enero, por estimarla de aplicación al caso. Tras reproducir parte de su fundamentación jurídica, de ella se destaca que la apreciación de una causa de incompatibilidad asociada a la existencia de una condena penal que puede ser eventualmente determinante del cese de un parlamentario debe respetar el procedimiento legalmente establecido a tal efecto.</w:t>
      </w:r>
    </w:p>
    <w:p w14:paraId="50CAA139" w14:textId="77777777" w:rsidR="009D7677" w:rsidRDefault="009D7677" w:rsidP="009D7677">
      <w:pPr>
        <w:pStyle w:val="TextoNormal"/>
      </w:pPr>
    </w:p>
    <w:p w14:paraId="6697A256" w14:textId="77777777" w:rsidR="009D7677" w:rsidRDefault="009D7677" w:rsidP="009D7677">
      <w:pPr>
        <w:pStyle w:val="TextoNormal"/>
      </w:pPr>
      <w:r>
        <w:t>Pues bien, ni el Reglamento del Congreso de los Diputados (art. 32) ni la normativa electoral atribuyen a la presidenta de la Cámara la competencia para privar de su escaño a un diputado. Por el contrario, en opinión del recurrente, de la lectura conjunta de los arts. 150 y 160 LOREG cabe inferir la voluntad del legislador de que la referida competencia corresponde al Pleno de la Cámara, previa propuesta de la Comisión del Estatuto de los Diputados. De modo que, para respetar el procedimiento legalmente previsto, debería haberse remitido la sentencia condenatoria a la Comisión del Estatuto de los Diputados, para que, previa audiencia del recurrente emitiera el informe que considerase oportuno a fin de someterlo a votación del Pleno de la Cámara.</w:t>
      </w:r>
    </w:p>
    <w:p w14:paraId="289D7310" w14:textId="77777777" w:rsidR="009D7677" w:rsidRDefault="009D7677" w:rsidP="009D7677">
      <w:pPr>
        <w:pStyle w:val="TextoNormal"/>
      </w:pPr>
    </w:p>
    <w:p w14:paraId="5B1F7D48" w14:textId="77777777" w:rsidR="009D7677" w:rsidRDefault="009D7677" w:rsidP="009D7677">
      <w:pPr>
        <w:pStyle w:val="TextoNormal"/>
      </w:pPr>
      <w:r>
        <w:t>d) Apartamiento de la resolución del criterio aconsejado en el informe emitido por los letrados del Congreso y de lo solicitado por el Tribunal Supremo</w:t>
      </w:r>
    </w:p>
    <w:p w14:paraId="02F1E4D4" w14:textId="77777777" w:rsidR="009D7677" w:rsidRDefault="009D7677" w:rsidP="009D7677">
      <w:pPr>
        <w:pStyle w:val="TextoNormal"/>
      </w:pPr>
    </w:p>
    <w:p w14:paraId="537CADC0" w14:textId="77777777" w:rsidR="009D7677" w:rsidRDefault="009D7677" w:rsidP="009D7677">
      <w:pPr>
        <w:pStyle w:val="TextoNormal"/>
      </w:pPr>
      <w:r>
        <w:t>De ese apartamiento, tras exponer el contenido del informe de los letrados del Congreso, deduce la demanda el carácter infundado del acuerdo impugnado. Además, el Tribunal Supremo solo pidió a la presidenta del Congreso la notificación de la fecha en que comenzaba a cumplirse los cuarenta y cinco días de prohibición de presentarse a cualesquiera elecciones por el señor Rodríguez Rodríguez. No obstante, ella, desoyendo el informe de sus letrados, interpretó la solicitud del Tribunal Supremo en el sentido impugnado.</w:t>
      </w:r>
    </w:p>
    <w:p w14:paraId="52877558" w14:textId="77777777" w:rsidR="009D7677" w:rsidRDefault="009D7677" w:rsidP="009D7677">
      <w:pPr>
        <w:pStyle w:val="TextoNormal"/>
      </w:pPr>
    </w:p>
    <w:p w14:paraId="59252FBA" w14:textId="6B1768D5" w:rsidR="009D7677" w:rsidRDefault="009D7677" w:rsidP="009D7677">
      <w:pPr>
        <w:pStyle w:val="TextoNormal"/>
      </w:pPr>
      <w:r>
        <w:t>En el primer otrosí de la demanda se solicita la urgente suspensión cautelar de la resolución impugnada, de conformidad con el art. 56.6 de la Ley Orgánica del Tribunal Constitucional (LOTC) o, su caso, con el art. 56.2 y 3 LOTC. Mediante un segundo otrosí se solicita, de conformidad con el art. 85.3 LOTC, que se acuerde la celebración de vista oral para la resolución del recurso de amparo.</w:t>
      </w:r>
    </w:p>
    <w:p w14:paraId="189682DD" w14:textId="77777777" w:rsidR="009D7677" w:rsidRDefault="009D7677" w:rsidP="009D7677">
      <w:pPr>
        <w:pStyle w:val="TextoNormal"/>
      </w:pPr>
    </w:p>
    <w:p w14:paraId="34792CCD" w14:textId="512C4962" w:rsidR="009D7677" w:rsidRDefault="009D7677" w:rsidP="009D7677">
      <w:pPr>
        <w:pStyle w:val="TextoNormal"/>
      </w:pPr>
      <w:r w:rsidRPr="009D7677">
        <w:rPr>
          <w:rStyle w:val="NumeroAFNegritaCaracter"/>
        </w:rPr>
        <w:t>4</w:t>
      </w:r>
      <w:r>
        <w:t>. El Pleno del Tribunal Constitucional, por providencia de 12 de mayo de 2022, acordó recabar para sí el conocimiento del recurso de amparo, de conformidad con lo dispuesto en el art. 10.1 n) LOTC, y admitirlo a trámite, apreciando que concurre en el mismo especial trascendencia constitucional (art. 50.1 LOTC) porque el recurso plantea un pro</w:t>
      </w:r>
      <w:r>
        <w:lastRenderedPageBreak/>
        <w:t xml:space="preserve">blema o afecta a una faceta de un derecho fundamental sobre el que no hay doctrina de este tribunal [STC 155/2009, FJ 2 a)], y porque el asunto suscitado trasciende del caso concreto porque pudiera tener unas consecuencias políticas generales [STC 155/2009, FJ 2 g)]. Por ello, en aplicación de lo dispuesto en el artículo 51 LOTC se ordenó dirigir atenta comunicación al Congreso de los Diputados, a fin de que, en plazo que no exceda de diez días, remita certificación o fotocopia adverada de las actuaciones correspondientes al acuerdo de la presidenta de fecha 22 de octubre de 2021; debiendo previamente emplazarse a quienes hubieran sido parte en el procedimiento, excepto la parte recurrente en amparo, para que en el plazo de diez días, puedan comparecer, si lo desean, en el recurso de amparo. En relación con la solicitud de suspensión de las resoluciones recurridas formulada en la demanda de amparo mediante otrosí, el Pleno no aprecia la urgencia excepcional a la que se refiere el art. 56.6 LOTC, que justificaría su adopción </w:t>
      </w:r>
      <w:r w:rsidRPr="009D7677">
        <w:rPr>
          <w:i/>
        </w:rPr>
        <w:t>inaudita parte</w:t>
      </w:r>
      <w:r>
        <w:t xml:space="preserve"> de forma inmotivada, por lo que, a fin de resolver sobre la misma procede formar la oportuna pieza separada y, en ella, conceder un plazo de tres días al Ministerio Fiscal y al solicitante de amparo para que efectúen alegaciones respecto a dicha petición.</w:t>
      </w:r>
    </w:p>
    <w:p w14:paraId="6D86B48C" w14:textId="77777777" w:rsidR="009D7677" w:rsidRDefault="009D7677" w:rsidP="009D7677">
      <w:pPr>
        <w:pStyle w:val="TextoNormal"/>
      </w:pPr>
    </w:p>
    <w:p w14:paraId="3F819849" w14:textId="6DA1EA5B" w:rsidR="009D7677" w:rsidRDefault="009D7677" w:rsidP="009D7677">
      <w:pPr>
        <w:pStyle w:val="TextoNormal"/>
      </w:pPr>
      <w:r w:rsidRPr="009D7677">
        <w:rPr>
          <w:rStyle w:val="NumeroAFNegritaCaracter"/>
        </w:rPr>
        <w:t>5</w:t>
      </w:r>
      <w:r>
        <w:t>. Mediante escrito registrado el día 26 de mayo de 2022, la presidenta del Congreso de los Diputados remitió el acuerdo de la mesa de la Cámara, de fecha 24 de mayo de 2022, por el que se traslada a este tribunal fotocopia adverada de las actuaciones correspondientes al acuerdo de la presidenta del Congreso de los Diputados de 22 de octubre de 2021, y se persona en el procedimiento.</w:t>
      </w:r>
    </w:p>
    <w:p w14:paraId="1C43283B" w14:textId="77777777" w:rsidR="009D7677" w:rsidRDefault="009D7677" w:rsidP="009D7677">
      <w:pPr>
        <w:pStyle w:val="TextoNormal"/>
      </w:pPr>
    </w:p>
    <w:p w14:paraId="41D84548" w14:textId="4E7823C6" w:rsidR="009D7677" w:rsidRDefault="009D7677" w:rsidP="009D7677">
      <w:pPr>
        <w:pStyle w:val="TextoNormal"/>
      </w:pPr>
      <w:r w:rsidRPr="009D7677">
        <w:rPr>
          <w:rStyle w:val="NumeroAFNegritaCaracter"/>
        </w:rPr>
        <w:t>6</w:t>
      </w:r>
      <w:r>
        <w:t>. Mediante diligencia de ordenación fechada el 27 de mayo de 2022, se tiene por recibida copia adverada de las actuaciones solicitadas y por personado en el procedimiento al Congreso de los Diputados. Asimismo, a tenor de lo dispuesto en el art. 52 LOTC, se da vista de todas las actuaciones, por un plazo común de veinte días al Ministerio Fiscal y a las partes personadas, para que dentro de dicho término puedan presentar las alegaciones que a su derecho convenga.</w:t>
      </w:r>
    </w:p>
    <w:p w14:paraId="33EFA9F7" w14:textId="77777777" w:rsidR="009D7677" w:rsidRDefault="009D7677" w:rsidP="009D7677">
      <w:pPr>
        <w:pStyle w:val="TextoNormal"/>
      </w:pPr>
    </w:p>
    <w:p w14:paraId="71643E1D" w14:textId="77777777" w:rsidR="009D7677" w:rsidRDefault="009D7677" w:rsidP="009D7677">
      <w:pPr>
        <w:pStyle w:val="TextoNormal"/>
      </w:pPr>
      <w:r w:rsidRPr="009D7677">
        <w:rPr>
          <w:rStyle w:val="NumeroAFNegritaCaracter"/>
        </w:rPr>
        <w:t>7</w:t>
      </w:r>
      <w:r>
        <w:t>. Mediante escrito registrado el 27 de junio de 2022, comparece la letrada de las Cortes Generales actuando en nombre y representación del Congreso de los Diputados y presenta sus alegaciones solicitando, como argumento inicial, la inadmisión del recurso de amparo porque carece de autonomía propia y se engloba en el recurso de amparo 697-2022, interpuesto contra lo resuelto por el Tribunal Supremo. Así, la representación de la Cámara negaba la existencia de un acto parlamentario recurrible al amparo del art. 42 LOTC, en la medida en que existía la obligación de obedecer las resoluciones judiciales y colaborar en la ejecución de estas si así se requiere, tal y como se deduce de los arts. 117.3 y 118 CE, y del art. 3.1 CP. Es la sentencia de la Sala de lo Penal del Tribunal Supremo núm. 750/2021, de 6 de octubre, la que condenó al recurrente en amparo y le impuso una pena de privación de libertad, sustituida por una pena de multa, y la pena accesoria de inhabilitación para el derecho de sufragio activo. El Congreso de los Diputados se limitó a ejecutar la resolución judicial condenatoria en cuanto a la pena de privación de libertad impuesta, en aplicación del art. 6.2 a), en relación con su apartado 4, LOREG. Así, la lesión, en caso de existir, había de identificarse en la sentencia y en su ejecución, entendida esta en sentido literal.</w:t>
      </w:r>
    </w:p>
    <w:p w14:paraId="4DCA5860" w14:textId="77777777" w:rsidR="009D7677" w:rsidRDefault="009D7677" w:rsidP="009D7677">
      <w:pPr>
        <w:pStyle w:val="TextoNormal"/>
      </w:pPr>
    </w:p>
    <w:p w14:paraId="2DB29374" w14:textId="77777777" w:rsidR="009D7677" w:rsidRDefault="009D7677" w:rsidP="009D7677">
      <w:pPr>
        <w:pStyle w:val="TextoNormal"/>
      </w:pPr>
      <w:r>
        <w:lastRenderedPageBreak/>
        <w:t>Siguiendo la misma premisa, la representación del Congreso afirmaba que la pérdida de la condición de diputado no provenía de una decisión propia de la Cámara al amparo de alguna de las causas del art. 22 RCD, sino de una sentencia penal que impuso una pena privativa de libertad. Por tanto, estamos ante un supuesto extra reglamentario de pérdida de la condición de diputado, ya que el artículo 22 RCD no agota todas las posibilidades.</w:t>
      </w:r>
    </w:p>
    <w:p w14:paraId="5311925E" w14:textId="77777777" w:rsidR="009D7677" w:rsidRDefault="009D7677" w:rsidP="009D7677">
      <w:pPr>
        <w:pStyle w:val="TextoNormal"/>
      </w:pPr>
    </w:p>
    <w:p w14:paraId="15E7F141" w14:textId="77777777" w:rsidR="009D7677" w:rsidRDefault="009D7677" w:rsidP="009D7677">
      <w:pPr>
        <w:pStyle w:val="TextoNormal"/>
      </w:pPr>
      <w:r>
        <w:t xml:space="preserve">La aplicación de la causa de inelegibilidad sobrevenida que implica la pérdida de la condición de diputado no era, pues, una consecuencia extrapenal adoptada libremente por el Congreso, al margen de la pena impuesta, sino que se trataba de un efecto </w:t>
      </w:r>
      <w:r w:rsidRPr="009D7677">
        <w:rPr>
          <w:i/>
        </w:rPr>
        <w:t>ex lege</w:t>
      </w:r>
      <w:r>
        <w:t>, obligatorio, que forma parte de la pena misma. Por tanto, la resolución de la Presidencia impugnada por el recurrente en amparo fue un acto debido, respecto del que no tenía margen de maniobra en su interpretación o aplicación. No se dudaba de que la pena de privación de libertad debía ser considerada supuesto de aplicación del artículo 6.2 a) LOREG, en cuanto determinante de una inelegibilidad sobrevenida, que implicaba la pérdida de la condición de diputado, al convertirse en causa de incompatibilidad, conforme a la regla art. 6.4 LOREG.</w:t>
      </w:r>
    </w:p>
    <w:p w14:paraId="08315112" w14:textId="77777777" w:rsidR="009D7677" w:rsidRDefault="009D7677" w:rsidP="009D7677">
      <w:pPr>
        <w:pStyle w:val="TextoNormal"/>
      </w:pPr>
    </w:p>
    <w:p w14:paraId="73C5C894" w14:textId="77777777" w:rsidR="009D7677" w:rsidRDefault="009D7677" w:rsidP="009D7677">
      <w:pPr>
        <w:pStyle w:val="TextoNormal"/>
      </w:pPr>
      <w:r>
        <w:t>A lo dicho, se añade un último argumento relativo a la falta de viabilidad del recurso de amparo, en este caso en relación con la legitimación pasiva de la Cámara. Sostiene la representación parlamentaria que de existir la denunciada lesión del art. 23 CE, la misma no habría sido causada por una decisión del Congreso, sino por la sentencia que impone la consecuencia de la pérdida del cargo, por lo que estaríamos ante un amparo del art. 44 LOTC.</w:t>
      </w:r>
    </w:p>
    <w:p w14:paraId="52854936" w14:textId="77777777" w:rsidR="009D7677" w:rsidRDefault="009D7677" w:rsidP="009D7677">
      <w:pPr>
        <w:pStyle w:val="TextoNormal"/>
      </w:pPr>
    </w:p>
    <w:p w14:paraId="150821D0" w14:textId="77777777" w:rsidR="009D7677" w:rsidRDefault="009D7677" w:rsidP="009D7677">
      <w:pPr>
        <w:pStyle w:val="TextoNormal"/>
      </w:pPr>
      <w:r>
        <w:t>Subsidiariamente, la representación procesal del Congreso de los Diputados descarta todas las supuestas vulneraciones de derechos contenidas en la demanda, tal y como se sintetiza a continuación.</w:t>
      </w:r>
    </w:p>
    <w:p w14:paraId="21586BFA" w14:textId="77777777" w:rsidR="009D7677" w:rsidRDefault="009D7677" w:rsidP="009D7677">
      <w:pPr>
        <w:pStyle w:val="TextoNormal"/>
      </w:pPr>
    </w:p>
    <w:p w14:paraId="12B307BB" w14:textId="77777777" w:rsidR="009D7677" w:rsidRDefault="009D7677" w:rsidP="009D7677">
      <w:pPr>
        <w:pStyle w:val="TextoNormal"/>
      </w:pPr>
      <w:r>
        <w:t xml:space="preserve">a) Sobre la falta de motivación del acuerdo de la Presidenta, se recuerda que el deber de motivación no autoriza a exigir un razonamiento exhaustivo y pormenorizado de todos y cada uno de los hechos y fundamentos de Derecho que justifiquen la resolución acordada, sino que se reduce a la expresión de las razones que permiten conocer cuáles han sido los criterios jurídicos esenciales de la decisión, su </w:t>
      </w:r>
      <w:r w:rsidRPr="009D7677">
        <w:rPr>
          <w:i/>
        </w:rPr>
        <w:t>ratio decidendi</w:t>
      </w:r>
      <w:r>
        <w:t xml:space="preserve"> (STC 43/1997, de 10 de marzo, FJ 6, y todas las que allí se citan).</w:t>
      </w:r>
    </w:p>
    <w:p w14:paraId="1686D3ED" w14:textId="77777777" w:rsidR="009D7677" w:rsidRDefault="009D7677" w:rsidP="009D7677">
      <w:pPr>
        <w:pStyle w:val="TextoNormal"/>
      </w:pPr>
    </w:p>
    <w:p w14:paraId="6EB825AC" w14:textId="77777777" w:rsidR="009D7677" w:rsidRDefault="009D7677" w:rsidP="009D7677">
      <w:pPr>
        <w:pStyle w:val="TextoNormal"/>
      </w:pPr>
      <w:r>
        <w:t>En el caso de los actos de ejecución por medio de los que se procede al cumplimiento de una previa resolución judicial que prive, limite o restrinja un derecho fundamental, la motivación responde a la justificación de contar con la información suficiente para controlar la adecuación de la ejecución a la sentencia o resolución judicial de referencia. Por lo que hace al acuerdo impugnado, este fue un acuerdo formal que se comunicó al diputado. Para dictar dicha resolución se solicitó aclaración a la Sala sentenciadora y, según la interpretación de la Sala, se consideró que “la pena privativa de libertad había surgido como tal y había originado los efectos contemplados en el ordenamiento jurídico para el caso de su imposición; y que se había procedido a su sustitución solamente a los efectos de la ejecución o puesta en práctica de la pena, sin afectar al pronunciamiento de la pena privativa de libertad”.</w:t>
      </w:r>
    </w:p>
    <w:p w14:paraId="31A1E512" w14:textId="77777777" w:rsidR="009D7677" w:rsidRDefault="009D7677" w:rsidP="009D7677">
      <w:pPr>
        <w:pStyle w:val="TextoNormal"/>
      </w:pPr>
    </w:p>
    <w:p w14:paraId="15D84C87" w14:textId="77777777" w:rsidR="009D7677" w:rsidRDefault="009D7677" w:rsidP="009D7677">
      <w:pPr>
        <w:pStyle w:val="TextoNormal"/>
      </w:pPr>
      <w:r>
        <w:lastRenderedPageBreak/>
        <w:t xml:space="preserve">A juicio de la Cámara, la propia sentencia condenatoria es la motivación del acuerdo de la presidenta, que no podría existir sin aquella. La motivación del acuerdo se refiere no solo a los acuerdos judiciales que obligan a dictarlo, sino también al artículo 6 LOREG, por el que se pierde la condición de diputado por la incompatibilidad sobrevenida. Además, ambas referencias aparecen no solo aisladamente o por primera vez en el acuerdo de la presidenta que se impugna, sino que son constantes en todos los escritos que integran el expediente, los cuales, en virtud de la técnica de la motivación </w:t>
      </w:r>
      <w:r w:rsidRPr="009D7677">
        <w:rPr>
          <w:i/>
        </w:rPr>
        <w:t>in aliunde</w:t>
      </w:r>
      <w:r>
        <w:t>, han de servir igualmente para integrar la motivación (informe de la Secretaría General del Congreso de los Diputados de 18 de octubre de 2021; escrito de la presidenta del Congreso de fecha 21 de octubre de 2021; escrito del secretario general del Congreso de los Diputados de 25 de octubre de 2021). No cabe duda de la validez constitucional de este tipo de motivación, tal y como se deriva de la STC 212/2009, de 26 de noviembre, además de otras del Tribunal Supremo, ni de que los requisitos para considerar motivados los informes que contiene dicha jurisprudencia se dan en el caso que nos ocupa.</w:t>
      </w:r>
    </w:p>
    <w:p w14:paraId="6640AC21" w14:textId="77777777" w:rsidR="009D7677" w:rsidRDefault="009D7677" w:rsidP="009D7677">
      <w:pPr>
        <w:pStyle w:val="TextoNormal"/>
      </w:pPr>
    </w:p>
    <w:p w14:paraId="45D47956" w14:textId="77777777" w:rsidR="009D7677" w:rsidRDefault="009D7677" w:rsidP="009D7677">
      <w:pPr>
        <w:pStyle w:val="TextoNormal"/>
      </w:pPr>
      <w:r>
        <w:t>Desde el punto de vista subjetivo, teniendo en cuenta la facultad de supervisión del cumplimiento del órgano judicial sentenciador [art. 990 de la Ley de enjuiciamiento criminal  (LECrim)], no se puede reprochar antijuricidad alguna a la acción de la presidenta porque con su acuerdo cumple con la resolución judicial; desde la vertiente objetiva, el acuerdo se adecúa al fallo, al auto de ejecución y a la aclaración sobre sustitución de la pena privativa de libertad, por lo que tampoco podría alegarse nada en contra de la presidenta por este motivo. No se puede decir que estemos ante una decisión “unilateral, infundada y, por ende, arbitraria”. Si a pesar de todo existieran dudas sobre la motivación del acuerdo de la presidenta de 22 de octubre de 2021, este se debe entender complementado con la posterior aclaración que la presidenta, a solicitud del propio señor Rodríguez Rodríguez, realiza en su escrito de 3 de noviembre de 2021.</w:t>
      </w:r>
    </w:p>
    <w:p w14:paraId="3F4ECDE7" w14:textId="77777777" w:rsidR="009D7677" w:rsidRDefault="009D7677" w:rsidP="009D7677">
      <w:pPr>
        <w:pStyle w:val="TextoNormal"/>
      </w:pPr>
    </w:p>
    <w:p w14:paraId="2FBD6ED9" w14:textId="77777777" w:rsidR="009D7677" w:rsidRDefault="009D7677" w:rsidP="009D7677">
      <w:pPr>
        <w:pStyle w:val="TextoNormal"/>
      </w:pPr>
      <w:r>
        <w:t>Como argumento complementario, la letrada representante de la Cámara sostiene que la presidenta del Congreso debía seguir la interpretación de los efectos de la sustitución de la pena de prisión por una de multa establecida por la sentencia del Tribunal Supremo. Haber actuado de otra manera hubiera supuesto incurrir en un delito de desobediencia (art. 410 CP).</w:t>
      </w:r>
    </w:p>
    <w:p w14:paraId="1BAFDCE1" w14:textId="77777777" w:rsidR="009D7677" w:rsidRDefault="009D7677" w:rsidP="009D7677">
      <w:pPr>
        <w:pStyle w:val="TextoNormal"/>
      </w:pPr>
    </w:p>
    <w:p w14:paraId="2B8325F7" w14:textId="77777777" w:rsidR="009D7677" w:rsidRDefault="009D7677" w:rsidP="009D7677">
      <w:pPr>
        <w:pStyle w:val="TextoNormal"/>
      </w:pPr>
      <w:r>
        <w:t xml:space="preserve">b) En relación con la denunciada lesión del principio </w:t>
      </w:r>
      <w:r w:rsidRPr="009D7677">
        <w:rPr>
          <w:i/>
        </w:rPr>
        <w:t>non bis in idem</w:t>
      </w:r>
      <w:r>
        <w:t xml:space="preserve"> (art. 25 CE), el Congreso de los Diputados recuerda que no vulnera este principio el hecho de que se asocien a los actos de naturaleza penal o sancionadora, una medida o consecuencia que el ordenamiento estipule como efecto a la imposición de las penas o sanciones, que es lo que sucede en el presente recurso de amparo. La Cámara no añadió ninguna sanción a la que ya venía impuesta por el tribunal. La pérdida de la condición de diputado fue consecuencia de la imposición de la pena privativa de libertad, a partir del artículo 6.4, en relación con la letra a) del apartado segundo del artículo 6, de la Ley Orgánica del régimen electoral general, como causa de “incompatibilidad sobrevenida”. Pero no hay doble procedimiento penal o sancionador ni doble imposición de pena o sanción, sin concurrir, por tanto, el presupuesto del principio d</w:t>
      </w:r>
      <w:r w:rsidRPr="009D7677">
        <w:rPr>
          <w:i/>
        </w:rPr>
        <w:t>e non bis in id</w:t>
      </w:r>
      <w:r>
        <w:t>em.</w:t>
      </w:r>
    </w:p>
    <w:p w14:paraId="7A4009BE" w14:textId="77777777" w:rsidR="009D7677" w:rsidRDefault="009D7677" w:rsidP="009D7677">
      <w:pPr>
        <w:pStyle w:val="TextoNormal"/>
      </w:pPr>
    </w:p>
    <w:p w14:paraId="066C3CD0" w14:textId="77777777" w:rsidR="009D7677" w:rsidRDefault="009D7677" w:rsidP="009D7677">
      <w:pPr>
        <w:pStyle w:val="TextoNormal"/>
      </w:pPr>
      <w:r>
        <w:t xml:space="preserve">Sobre la vulneración del principio de proporcionalidad al aplicar la consecuencia prevista en el art. 6 LOREG, la Cámara sustenta que tal vulneración, de existir, no se puede imputar a la presidenta de la Cámara, sino al legislador, que aprobó, sin diferenciar el </w:t>
      </w:r>
      <w:r>
        <w:lastRenderedPageBreak/>
        <w:t>tiempo de la condena, el artículo 6 LOREG y estipuló como causa de inelegibilidad y de incompatibilidad la pena privativa de libertad, con la consecuencia que esto supone.</w:t>
      </w:r>
    </w:p>
    <w:p w14:paraId="333D1D5E" w14:textId="77777777" w:rsidR="009D7677" w:rsidRDefault="009D7677" w:rsidP="009D7677">
      <w:pPr>
        <w:pStyle w:val="TextoNormal"/>
      </w:pPr>
    </w:p>
    <w:p w14:paraId="6DED2471" w14:textId="77777777" w:rsidR="009D7677" w:rsidRDefault="009D7677" w:rsidP="009D7677">
      <w:pPr>
        <w:pStyle w:val="TextoNormal"/>
      </w:pPr>
      <w:r>
        <w:t>c) Frente al reproche relativo a la privación de la condición de diputado sin haberse seguido un procedimiento ante un órgano colegiado, la representación procesal del Congreso de los Diputados, en sus alegaciones recuerda la diferencia entre las causas de incompatibilidad contempladas en la Ley Orgánica del régimen electoral general, que requieren un procedimiento concreto previsto en el Reglamento del Congreso de los Diputados, y la causa de incompatibilidad sobrevenida. Para el primer caso, el art. 19 RCD prevé un procedimiento concreto, pero para el segundo, la competencia solo puede ser de la Presidencia de la Cámara [con cita del fundamento jurídico 2 a) de la STC 155/2014, de 25 de septiembre] y no se aplica el art. 19 RCD. La razón de este doble régimen está en la diferente finalidad a la que responden ambos tipos de incompatibilidad. Mientras que las incompatibilidades previstas en el artículo 19 RCD tienden a asegurar el ejercicio exclusivo de la actividad parlamentaria, impidiendo que el diputado pueda simultáneamente dedicarse a otras actividades (STC 155/2014), en el caso que nos ocupa, la incompatibilidad sobrevenida responde a la finalidad de preservar cierto orden moral o reputación de la función parlamentaria, de forma que no pueda seguir ejerciendo como diputado quien ha sido condenado a una pena privativa de libertad (con cita de la STC 166/1993, de 20 de mayo, FJ 4).</w:t>
      </w:r>
    </w:p>
    <w:p w14:paraId="211C75A4" w14:textId="77777777" w:rsidR="009D7677" w:rsidRDefault="009D7677" w:rsidP="009D7677">
      <w:pPr>
        <w:pStyle w:val="TextoNormal"/>
      </w:pPr>
    </w:p>
    <w:p w14:paraId="03AFB709" w14:textId="77777777" w:rsidR="009D7677" w:rsidRDefault="009D7677" w:rsidP="009D7677">
      <w:pPr>
        <w:pStyle w:val="TextoNormal"/>
      </w:pPr>
      <w:r>
        <w:t>Sobre la falta de competencia de la presidenta, se defiende que es a ella a quien se dirigen las comunicaciones judiciales y quien asume la representación de la Cámara (art. 32.l RCD) y, como tal, es el órgano adecuado para dar cumplimiento de la resolución judicial correspondiente, expresando la voluntad de la Cámara. Las convocatorias a la mesa respondieron a las solicitudes de diversos diputados y grupos parlamentarios que habían presentado escritos cuya tramitación parlamentaria se requería, y porque la presidenta consideró oportuno conocer el parecer de la mesa, aunque hubiera podido responder directamente al Tribunal Supremo sin necesidad de convocar reunión alguna. La competencia de la presidenta en relación con este tema viene reforzada con la cita de las actas de la mesa en las reuniones de 21 de octubre, 26 de octubre y 3 de noviembre de 2021.</w:t>
      </w:r>
    </w:p>
    <w:p w14:paraId="2A2C5DF2" w14:textId="77777777" w:rsidR="009D7677" w:rsidRDefault="009D7677" w:rsidP="009D7677">
      <w:pPr>
        <w:pStyle w:val="TextoNormal"/>
      </w:pPr>
    </w:p>
    <w:p w14:paraId="2E91C8A6" w14:textId="01D10536" w:rsidR="009D7677" w:rsidRDefault="009D7677" w:rsidP="009D7677">
      <w:pPr>
        <w:pStyle w:val="TextoNormal"/>
      </w:pPr>
      <w:r>
        <w:t>d) La representación del Congreso de los Diputados concluye su escrito con una serie de argumentos relacionados con la validez e independencia de criterio de los informes de la Secretaría General del Congreso de los Diputados contenidos en el expediente.</w:t>
      </w:r>
    </w:p>
    <w:p w14:paraId="7EBC8256" w14:textId="77777777" w:rsidR="009D7677" w:rsidRDefault="009D7677" w:rsidP="009D7677">
      <w:pPr>
        <w:pStyle w:val="TextoNormal"/>
      </w:pPr>
    </w:p>
    <w:p w14:paraId="09C89D07" w14:textId="77777777" w:rsidR="009D7677" w:rsidRDefault="009D7677" w:rsidP="009D7677">
      <w:pPr>
        <w:pStyle w:val="TextoNormal"/>
      </w:pPr>
      <w:r w:rsidRPr="009D7677">
        <w:rPr>
          <w:rStyle w:val="NumeroAFNegritaCaracter"/>
        </w:rPr>
        <w:t>8</w:t>
      </w:r>
      <w:r>
        <w:t>. Por escrito registrado el 27 de junio de 2022, el recurrente en amparo presenta escrito de alegaciones remitiéndose, en primer término, al escrito de interposición del recurso de amparo. Adicionalmente se completa la posición de la parte recurrente con los siguientes argumentos:</w:t>
      </w:r>
    </w:p>
    <w:p w14:paraId="65B0E53B" w14:textId="77777777" w:rsidR="009D7677" w:rsidRDefault="009D7677" w:rsidP="009D7677">
      <w:pPr>
        <w:pStyle w:val="TextoNormal"/>
      </w:pPr>
    </w:p>
    <w:p w14:paraId="21750800" w14:textId="77777777" w:rsidR="009D7677" w:rsidRDefault="009D7677" w:rsidP="009D7677">
      <w:pPr>
        <w:pStyle w:val="TextoNormal"/>
      </w:pPr>
      <w:r>
        <w:t xml:space="preserve">a) En relación con la denuncia de vulneración del derecho a una resolución motivada, refuerza su argumento el recurrente refiriéndose a que la Comisión de Venecia del Consejo de Europa ha establecido que, incluso en los casos en que el Parlamento únicamente debe verificar, sin margen de discrecionalidad, si se dan las condiciones legalmente establecidas, debe ofrecer unas garantías procedimentales mínimas que, en este caso, no han sido respetadas (con cita del documento </w:t>
      </w:r>
      <w:r w:rsidRPr="009D7677">
        <w:rPr>
          <w:i/>
        </w:rPr>
        <w:t>amicus curiae</w:t>
      </w:r>
      <w:r>
        <w:t xml:space="preserve"> presentado por la Comisión de Venecia del Consejo de Europa ante el Tribunal Europeo de Derechos Humanos en el asunto </w:t>
      </w:r>
      <w:r w:rsidRPr="009D7677">
        <w:rPr>
          <w:i/>
        </w:rPr>
        <w:lastRenderedPageBreak/>
        <w:t>Berlusconi c. Italia</w:t>
      </w:r>
      <w:r>
        <w:t>, de 9 de octubre de 2017). Al negarse la participación de la Comisión del Estatuto de los Diputados, se obviaron las garantías de igualdad de armas, inmediación y publicidad que exige la Comisión de Venecia.</w:t>
      </w:r>
    </w:p>
    <w:p w14:paraId="758C63D1" w14:textId="77777777" w:rsidR="009D7677" w:rsidRDefault="009D7677" w:rsidP="009D7677">
      <w:pPr>
        <w:pStyle w:val="TextoNormal"/>
      </w:pPr>
    </w:p>
    <w:p w14:paraId="74065B18" w14:textId="77777777" w:rsidR="009D7677" w:rsidRDefault="009D7677" w:rsidP="009D7677">
      <w:pPr>
        <w:pStyle w:val="TextoNormal"/>
      </w:pPr>
      <w:r>
        <w:t>b) No concurre la causa de incompatibilidad que establece el artículo 155.1 LOREG, en relación con lo dispuesto en el artículo 6.2 a) LOREG, de modo que se vulnera el artículo 23.2 CE, en relación con el principio de legalidad penal, que impone una interpretación taxativa de la pena impuesta por la sentencia de la Sala de lo Penal del Tribunal Supremo 750/2021, de 6 de octubre, sin que pueda ser objeto de una interpretación extensiva como la llevada a cabo por la presidenta del Congreso.</w:t>
      </w:r>
    </w:p>
    <w:p w14:paraId="16CB70DC" w14:textId="77777777" w:rsidR="009D7677" w:rsidRDefault="009D7677" w:rsidP="009D7677">
      <w:pPr>
        <w:pStyle w:val="TextoNormal"/>
      </w:pPr>
    </w:p>
    <w:p w14:paraId="76F1530F" w14:textId="00561374" w:rsidR="009D7677" w:rsidRDefault="009D7677" w:rsidP="009D7677">
      <w:pPr>
        <w:pStyle w:val="TextoNormal"/>
      </w:pPr>
      <w:r>
        <w:t>c) Respecto de la competencia de la Presidencia del Congreso de los Diputados para apreciar la existencia de una causa de incompatibilidad, el recurrente la niega apelando a la dicción literal del art. 19.2 RCD, relativo a las facultades del Pleno del Congreso y de la Comisión del Estatuto de los Diputados en relación con la identificación de causas de incompatibilidad, y argumentando que este precepto es aplicable a las causas de incompatibilidad derivadas del artículo 155.1 LOREG en relación con lo dispuesto en el artículo 6.2 a) LOREG (con cita en apoyo del argumento de las SSTC 7/1992 y 155/2014, FJ 2).</w:t>
      </w:r>
    </w:p>
    <w:p w14:paraId="69C8FFB0" w14:textId="77777777" w:rsidR="009D7677" w:rsidRDefault="009D7677" w:rsidP="009D7677">
      <w:pPr>
        <w:pStyle w:val="TextoNormal"/>
      </w:pPr>
    </w:p>
    <w:p w14:paraId="726ACA89" w14:textId="77777777" w:rsidR="009D7677" w:rsidRDefault="009D7677" w:rsidP="009D7677">
      <w:pPr>
        <w:pStyle w:val="TextoNormal"/>
      </w:pPr>
      <w:r w:rsidRPr="009D7677">
        <w:rPr>
          <w:rStyle w:val="NumeroAFNegritaCaracter"/>
        </w:rPr>
        <w:t>9</w:t>
      </w:r>
      <w:r>
        <w:t>. Mediante escrito presentado el 21 de julio de 2022, el Ministerio Fiscal expone sus alegaciones proponiendo la estimación parcial del recurso de amparo.</w:t>
      </w:r>
    </w:p>
    <w:p w14:paraId="4FC730D9" w14:textId="77777777" w:rsidR="009D7677" w:rsidRDefault="009D7677" w:rsidP="009D7677">
      <w:pPr>
        <w:pStyle w:val="TextoNormal"/>
      </w:pPr>
    </w:p>
    <w:p w14:paraId="531FFFD8" w14:textId="77777777" w:rsidR="009D7677" w:rsidRDefault="009D7677" w:rsidP="009D7677">
      <w:pPr>
        <w:pStyle w:val="TextoNormal"/>
      </w:pPr>
      <w:r>
        <w:t>La Fiscalía delimita el objeto del amparo limitándolo a las quejas atinentes a los arts. 23 y 25 CE. A continuación, descarta la existencia de óbices procesales vinculados al principio de subsidiariedad del recurso de amparo. De un lado, se reconoce agotada la vía de revisión previa en el marco de los amparos del art. 42 LOTC, porque, aunque el recurrente en amparo no acudió al procedimiento de reconsideración previsto en el Reglamento del Congreso de los Diputados, sí lo hizo el grupo parlamentario al que pertenecía, resolviendo la mesa del Congreso que frente a la decisión de la presidenta del Congreso no era practicable la vía de reconsideración, en la medida en que debía considerarse firme. El Ministerio Fiscal también descarta que afecte a dicha firmeza la petición de restitución en su cargo de diputado que reclamaba el señor Rodríguez Rodríguez, porque dicha petición de restitución no es un procedimiento idóneo para la impugnación del acto que constituye el objeto del presente recurso de amparo, tratándose de una petición de decisión nueva. La última consideración en relación con la eventual identificación de óbices procesales, tiene que ver con el requisito de previa invocación de los derechos traídos en amparo y, en este punto, el Ministerio Fiscal entiende que el recurrente los hizo valer en su escrito dirigido a la presidenta del Congreso el 25 de octubre de 2021.</w:t>
      </w:r>
    </w:p>
    <w:p w14:paraId="55D37063" w14:textId="77777777" w:rsidR="009D7677" w:rsidRDefault="009D7677" w:rsidP="009D7677">
      <w:pPr>
        <w:pStyle w:val="TextoNormal"/>
      </w:pPr>
    </w:p>
    <w:p w14:paraId="4717911F" w14:textId="77777777" w:rsidR="009D7677" w:rsidRDefault="009D7677" w:rsidP="009D7677">
      <w:pPr>
        <w:pStyle w:val="TextoNormal"/>
      </w:pPr>
      <w:r>
        <w:t>Superados los argumentos relativos a la delimitación del objeto del recurso de amparo y la ausencia de óbices de procedibilidad, el Ministerio Fiscal estructura su argumentación sobre el fondo en torno a la desestimación de los argumentos relativos a la lesión del art. 25 CE, y a la estimación parcial de los que se refieren a la lesión del art. 23 CE.</w:t>
      </w:r>
    </w:p>
    <w:p w14:paraId="6DBA2B4C" w14:textId="77777777" w:rsidR="009D7677" w:rsidRDefault="009D7677" w:rsidP="009D7677">
      <w:pPr>
        <w:pStyle w:val="TextoNormal"/>
      </w:pPr>
    </w:p>
    <w:p w14:paraId="3E8EBBAA" w14:textId="77777777" w:rsidR="009D7677" w:rsidRDefault="009D7677" w:rsidP="009D7677">
      <w:pPr>
        <w:pStyle w:val="TextoNormal"/>
      </w:pPr>
      <w:r>
        <w:t xml:space="preserve">A) Por lo que hace al derecho fundamental a la legalidad penal (art. 25 CE), la Fiscalía descarta los tres argumentos que sostienen la queja: (a) la imposición al recurrente de una pena no prevista en la ley, consistente en la privación de su escaño de diputado, que infringiría la exigencia constitucional de legalidad y previsibilidad de las sanciones penales; </w:t>
      </w:r>
      <w:r>
        <w:lastRenderedPageBreak/>
        <w:t xml:space="preserve">(b) la infracción del principio </w:t>
      </w:r>
      <w:r w:rsidRPr="009D7677">
        <w:rPr>
          <w:i/>
        </w:rPr>
        <w:t>non bis in idem</w:t>
      </w:r>
      <w:r>
        <w:t xml:space="preserve"> como consecuencia de ello; y (c) la infracción del principio de proporcionalidad.</w:t>
      </w:r>
    </w:p>
    <w:p w14:paraId="2B569B32" w14:textId="77777777" w:rsidR="009D7677" w:rsidRDefault="009D7677" w:rsidP="009D7677">
      <w:pPr>
        <w:pStyle w:val="TextoNormal"/>
      </w:pPr>
    </w:p>
    <w:p w14:paraId="4D1C0D0D" w14:textId="77777777" w:rsidR="009D7677" w:rsidRDefault="009D7677" w:rsidP="009D7677">
      <w:pPr>
        <w:pStyle w:val="TextoNormal"/>
      </w:pPr>
      <w:r>
        <w:t>a) En relación con la queja relativa a la sustitución de la pena de prisión por multa, no se puede atribuir a la presidenta del Congreso ninguna lesión de un derecho fundamental del actor causada directamente por el modo en que el Tribunal Supremo sustituyó la pena de prisión. Por lo que hace a la decisión adoptada por la presidenta, esta trae causa del artículo 6.2 a) LOREG, y por tanto tiene que ver exclusivamente con la pena de prisión, no con la de inhabilitación especial accesoria a ella.</w:t>
      </w:r>
    </w:p>
    <w:p w14:paraId="1801B91D" w14:textId="77777777" w:rsidR="009D7677" w:rsidRDefault="009D7677" w:rsidP="009D7677">
      <w:pPr>
        <w:pStyle w:val="TextoNormal"/>
      </w:pPr>
    </w:p>
    <w:p w14:paraId="482B8DCF" w14:textId="77777777" w:rsidR="009D7677" w:rsidRDefault="009D7677" w:rsidP="009D7677">
      <w:pPr>
        <w:pStyle w:val="TextoNormal"/>
      </w:pPr>
      <w:r>
        <w:t>Entiende la Fiscalía que ni la voluntad del legislador ni la finalidad objetiva del complejo normativo formado por los apartados 2 a) y 4 del artículo 6 de la Ley Orgánica del régimen electoral general, que determina la incompatibilidad para el cargo representativo de quien resulta afectado por su aplicación, se corresponde con un propósito y una función de carácter sancionador. La condena firme a pena privativa de libertad, o, con independencia de su firmeza, la imposición de penas privativas de derechos por determinados delitos que la propia ley enumera [art. 6.2 b)] no constituyen en la Ley Orgánica del régimen electoral general supuestos fácticos de un tipo sancionador, sino presupuestos normativos de un juicio de inidoneidad para la concurrencia a un cargo público representativo o para su desempeño. Ese juicio se asocia a una base ética o vinculada a la exigencia de una imagen de probidad o de ejemplaridad y dignidad en el desempeño de los cargos públicos, muy especialmente cuando se trata del ejercicio de la representación política en virtud de una legitimación democrática directa a través del sufragio popular (en este sentido STC 166/1993). Por todo lo anterior no es aplicable al caso el art. 25 CE, ya que sus postulados no pueden extenderse a ámbitos que no sean los específicos• del ilícito penal o administrativo, siendo improcedente su aplicación extensiva o analógica (con cita de las SSTC 73/1982, de 2 diciembre; 69/1983, de 26 julio, y 96/1988, de 26 de mayo).</w:t>
      </w:r>
    </w:p>
    <w:p w14:paraId="00ADF175" w14:textId="77777777" w:rsidR="009D7677" w:rsidRDefault="009D7677" w:rsidP="009D7677">
      <w:pPr>
        <w:pStyle w:val="TextoNormal"/>
      </w:pPr>
    </w:p>
    <w:p w14:paraId="4C6B001E" w14:textId="77777777" w:rsidR="009D7677" w:rsidRDefault="009D7677" w:rsidP="009D7677">
      <w:pPr>
        <w:pStyle w:val="TextoNormal"/>
      </w:pPr>
      <w:r>
        <w:t xml:space="preserve">b) Como consecuencia de lo anterior, la invocación del principio </w:t>
      </w:r>
      <w:r w:rsidRPr="009D7677">
        <w:rPr>
          <w:i/>
        </w:rPr>
        <w:t>non bis in idem</w:t>
      </w:r>
      <w:r>
        <w:t xml:space="preserve"> y la supuesta falta de previsibilidad de la sanción también debe descartarse, en el marco del artículo 25 CE.</w:t>
      </w:r>
    </w:p>
    <w:p w14:paraId="01B8B5C0" w14:textId="77777777" w:rsidR="009D7677" w:rsidRDefault="009D7677" w:rsidP="009D7677">
      <w:pPr>
        <w:pStyle w:val="TextoNormal"/>
      </w:pPr>
    </w:p>
    <w:p w14:paraId="6FD9F563" w14:textId="77777777" w:rsidR="009D7677" w:rsidRDefault="009D7677" w:rsidP="009D7677">
      <w:pPr>
        <w:pStyle w:val="TextoNormal"/>
      </w:pPr>
      <w:r>
        <w:t xml:space="preserve">c) Por lo que hace al principio de proporcionalidad, el presente recurso no puede entrar al juicio de la relación de proporcionalidad interna, en el estricto ámbito del ejercicio del </w:t>
      </w:r>
      <w:r w:rsidRPr="009D7677">
        <w:rPr>
          <w:i/>
        </w:rPr>
        <w:t>ius puniendi</w:t>
      </w:r>
      <w:r>
        <w:t>, entre la naturaleza y la gravedad de los hechos por los que fue condenado el señor Rodríguez Rodríguez y las penas que le fueron impuestas por el Tribunal Supremo, porque la desproporción de la respuesta punitiva no procedería de la decisión de la presidenta del Congreso que aquí se impugna, sino de la sentencia condenatoria. Ahora bien, sí resulta posible valorar el efecto desproporcionado de la consecuencia extrapenal de la condena, que se concretó en la privación del escaño del demandante, en virtud de la aplicación del art. 6 LOREG, pero no desde el marco del art. 25 CE, sino desde la posible lesión del artículo 23 CE.</w:t>
      </w:r>
    </w:p>
    <w:p w14:paraId="1DE213C4" w14:textId="77777777" w:rsidR="009D7677" w:rsidRDefault="009D7677" w:rsidP="009D7677">
      <w:pPr>
        <w:pStyle w:val="TextoNormal"/>
      </w:pPr>
    </w:p>
    <w:p w14:paraId="675E0182" w14:textId="77777777" w:rsidR="009D7677" w:rsidRDefault="009D7677" w:rsidP="009D7677">
      <w:pPr>
        <w:pStyle w:val="TextoNormal"/>
      </w:pPr>
      <w:r>
        <w:t>B) Para argumentar en relación con las alegaciones del recurrente respecto de la vulneración de su derecho de participación política (art. 23 CE), el Ministerio Fiscal estructura sus argumentos en torno a cuatro alegatos: (a) falta de motivación (“fundamento o razonamiento”) de la decisión recurrida; (b) falta de encaje legal en los supuestos previstos en el art. 6 LOREG y en el Reglamento del Congreso; (c) falta de competencia de la presi</w:t>
      </w:r>
      <w:r>
        <w:lastRenderedPageBreak/>
        <w:t>denta del Congreso para adoptar dicha decisión y ausencia total de procedimiento; y (d) infracción del principio de proporcionalidad.</w:t>
      </w:r>
    </w:p>
    <w:p w14:paraId="14B53CC9" w14:textId="77777777" w:rsidR="009D7677" w:rsidRDefault="009D7677" w:rsidP="009D7677">
      <w:pPr>
        <w:pStyle w:val="TextoNormal"/>
      </w:pPr>
    </w:p>
    <w:p w14:paraId="06545297" w14:textId="77777777" w:rsidR="009D7677" w:rsidRDefault="009D7677" w:rsidP="009D7677">
      <w:pPr>
        <w:pStyle w:val="TextoNormal"/>
      </w:pPr>
      <w:r>
        <w:t>a) Sobre la motivación de la decisión recurrida, sostiene la Fiscalía que el ahora demandante de amparo conoció las razones que fundamentaron la decisión de la presidenta del Congreso, como acredita su propia actuación en el proceso penal, en el ámbito parlamentario y en el proceso constitucional que ahora nos ocupa. Por consiguiente, la motivación del acto que impugna, por concisa que fuera, permitió al recurrente conocer el fundamento jurídico de la decisión adoptada, y someter dicho fundamento al control que arbitra el ordenamiento jurídico, en este caso mediante el recurso de amparo.</w:t>
      </w:r>
    </w:p>
    <w:p w14:paraId="1EB1F732" w14:textId="77777777" w:rsidR="009D7677" w:rsidRDefault="009D7677" w:rsidP="009D7677">
      <w:pPr>
        <w:pStyle w:val="TextoNormal"/>
      </w:pPr>
    </w:p>
    <w:p w14:paraId="7F67A7BE" w14:textId="77777777" w:rsidR="009D7677" w:rsidRDefault="009D7677" w:rsidP="009D7677">
      <w:pPr>
        <w:pStyle w:val="TextoNormal"/>
      </w:pPr>
      <w:r>
        <w:t>b) Para dar respuesta a la cuestión relativa al encaje legal de la decisión adoptada por la presidenta del Congreso, el Ministerio Fiscal parte de las siguientes premisas:</w:t>
      </w:r>
    </w:p>
    <w:p w14:paraId="47344920" w14:textId="77777777" w:rsidR="009D7677" w:rsidRDefault="009D7677" w:rsidP="009D7677">
      <w:pPr>
        <w:pStyle w:val="TextoNormal"/>
      </w:pPr>
    </w:p>
    <w:p w14:paraId="24D2396E" w14:textId="77777777" w:rsidR="009D7677" w:rsidRDefault="009D7677" w:rsidP="009D7677">
      <w:pPr>
        <w:pStyle w:val="TextoNormal"/>
      </w:pPr>
      <w:r>
        <w:t>(i) La decisión de la presidenta del Congreso frente a la que se solicita amparo se adoptó en aplicación de los artículos 6.2 a) y 6.4 LOREG, que imponen la incompatibilidad por inelegibilidad sobrevenida a “los condenados por sentencia firme, a pena privativa de libertad, en el período que dure la pena”.</w:t>
      </w:r>
    </w:p>
    <w:p w14:paraId="6EE961F1" w14:textId="77777777" w:rsidR="009D7677" w:rsidRDefault="009D7677" w:rsidP="009D7677">
      <w:pPr>
        <w:pStyle w:val="TextoNormal"/>
      </w:pPr>
    </w:p>
    <w:p w14:paraId="2CCE319A" w14:textId="77777777" w:rsidR="009D7677" w:rsidRDefault="009D7677" w:rsidP="009D7677">
      <w:pPr>
        <w:pStyle w:val="TextoNormal"/>
      </w:pPr>
      <w:r>
        <w:t>(ii) Fue la pena de prisión de un mes y quince días impuesta al demandante, y sustituida en la propia sentencia por multa, la que determinó la aplicación de la Ley Orgánica del régimen electoral general y la mencionada decisión de la presidenta de la Cámara de solicitar a la Junta Electoral Central la sustitución del señor Rodríguez Rodríguez en su escaño.</w:t>
      </w:r>
    </w:p>
    <w:p w14:paraId="42C82A95" w14:textId="77777777" w:rsidR="009D7677" w:rsidRDefault="009D7677" w:rsidP="009D7677">
      <w:pPr>
        <w:pStyle w:val="TextoNormal"/>
      </w:pPr>
    </w:p>
    <w:p w14:paraId="5572957E" w14:textId="77777777" w:rsidR="009D7677" w:rsidRDefault="009D7677" w:rsidP="009D7677">
      <w:pPr>
        <w:pStyle w:val="TextoNormal"/>
      </w:pPr>
      <w:r>
        <w:t>(iii) La aplicación del art. 6 LOREG aparece innegablemente vinculada a la interpretación del art. 71.2 CP. La decisión adoptada por la presidenta del Congreso remitía de forma explícita a la sentencia, evitando cualquier fiscalización de su contenido, y, en consecuencia, asumía implícitamente el razonamiento del Tribunal Supremo, siendo irrelevante si lo hacía porque consideraba que dicho criterio era objetivamente incuestionable o porque entendió, en la línea aparentemente trazada por el secretario general, que simplemente no podía cuestionarlo. En todo caso, mediante esa remisión lo convirtió en fundamento de su propia decisión, al inferir que si la pena privativa de libertad subsistía, debía inexorablemente producir el efecto previsto en la ley electoral. Estamos claramente ante un supuesto de aplicación del art. 6.2 a) en relación con el art. 6.4 LOREG, y por tanto ante una incompatibilidad por inelegibilidad sobrevenida. La queja del demandante respecto de la elección del precepto legal aplicado —el artículo 6.2 a) en relación con el artículo 6.4 LOREG— carece, por tanto, de fundamento.</w:t>
      </w:r>
    </w:p>
    <w:p w14:paraId="0400D4BF" w14:textId="77777777" w:rsidR="009D7677" w:rsidRDefault="009D7677" w:rsidP="009D7677">
      <w:pPr>
        <w:pStyle w:val="TextoNormal"/>
      </w:pPr>
    </w:p>
    <w:p w14:paraId="55C18425" w14:textId="77777777" w:rsidR="009D7677" w:rsidRDefault="009D7677" w:rsidP="009D7677">
      <w:pPr>
        <w:pStyle w:val="TextoNormal"/>
      </w:pPr>
      <w:r>
        <w:t>c) Distinta es la apreciación de la Fiscalía respecto de la queja sobre la falta de competencia de la presidenta para tomar la decisión cuestionada y la inexistencia de procedimiento para la aplicación del art. 6.2 a) en relación con el art. 6.4 LOREG. A partir de la exposición de los arts. 19.2 y 48 RCD y del art. 160.3 LOREG, que definen un determinado procedimiento para definir la situación de incompatibilidad, así como la atribución al Pleno de la Cámara de la competencia para adoptar decisiones al respecto, y de la explicación de las SSTC 7/1992, de 16 de enero y 97/2020, de 21 de julio, se concluye la ausencia de criterio unánime para determinar la competencia y el procedimiento a seguir en este caso. De un lado, se reconoce que el margen de interpretación sobre el contenido del pre</w:t>
      </w:r>
      <w:r>
        <w:lastRenderedPageBreak/>
        <w:t xml:space="preserve">supuesto de hecho —en este caso la condena a pena privativa de libertad— es muy escaso, por no decir nulo, de modo que no parece tener sentido un pronunciamiento por votación del Pleno del Congreso para confirmar la aplicación de una norma (el art. 6 LOREG) y su consecuencia (la incompatibilidad sobrevenida) que vendría también impuesta </w:t>
      </w:r>
      <w:r w:rsidRPr="009D7677">
        <w:rPr>
          <w:i/>
        </w:rPr>
        <w:t>ex lege</w:t>
      </w:r>
      <w:r>
        <w:t xml:space="preserve">. De otro, no está claro que el Congreso carezca de todo margen de maniobra para interpretar y aplicar el art. 6 LOREG, ni que la competencia que ejerce individualmente la presidenta resulte indiscutible, si se toma en consideración, </w:t>
      </w:r>
      <w:r w:rsidRPr="009D7677">
        <w:rPr>
          <w:i/>
        </w:rPr>
        <w:t>mutatis mutandi</w:t>
      </w:r>
      <w:r>
        <w:t>s, lo afirmado en la STC 97/2020 acerca de ámbito competencial de la mesa del Congreso.</w:t>
      </w:r>
    </w:p>
    <w:p w14:paraId="5DE65145" w14:textId="77777777" w:rsidR="009D7677" w:rsidRDefault="009D7677" w:rsidP="009D7677">
      <w:pPr>
        <w:pStyle w:val="TextoNormal"/>
      </w:pPr>
    </w:p>
    <w:p w14:paraId="5EF614B3" w14:textId="77777777" w:rsidR="009D7677" w:rsidRDefault="009D7677" w:rsidP="009D7677">
      <w:pPr>
        <w:pStyle w:val="TextoNormal"/>
      </w:pPr>
      <w:r>
        <w:t xml:space="preserve">Entiende la Fiscalía que la falta de una motivación explícita respecto de la competencia de la presidenta ha impedido, o al menos dificultado seriamente, que pueda conocerse el sustento jurídico y la base fáctica que justificaría la atribución de dicha competencia y la definición del concreto procedimiento aplicado, consistente en remitir tres comunicaciones simultáneas al interesado, a la Junta Electoral Central y al secretario general del Congreso. La afirmación meramente apodíctica sobre la competencia contenida en el informe que este último emitió </w:t>
      </w:r>
      <w:r w:rsidRPr="009D7677">
        <w:rPr>
          <w:i/>
        </w:rPr>
        <w:t>a posteriori</w:t>
      </w:r>
      <w:r>
        <w:t>, y el silencio absoluto sobre el procedimiento aplicable a un acto que se ha concretado en la privación definitiva del derecho fundamental alegado pueden valorarse por sí mismos como lesivos del derecho del recurrente a no ser removido de su escaño de diputado más que de acuerdo con procedimientos legalmente establecidos (art. 23 CE).</w:t>
      </w:r>
    </w:p>
    <w:p w14:paraId="08AB31B0" w14:textId="77777777" w:rsidR="009D7677" w:rsidRDefault="009D7677" w:rsidP="009D7677">
      <w:pPr>
        <w:pStyle w:val="TextoNormal"/>
      </w:pPr>
    </w:p>
    <w:p w14:paraId="5F3CAD1F" w14:textId="77777777" w:rsidR="009D7677" w:rsidRDefault="009D7677" w:rsidP="009D7677">
      <w:pPr>
        <w:pStyle w:val="TextoNormal"/>
      </w:pPr>
      <w:r>
        <w:t>d) Por último, el Ministerio Fiscal se refiere a la aplicación del principio de proporcionalidad en el juicio a la decisión controvertida de la presidenta del Congreso de los Diputados.</w:t>
      </w:r>
    </w:p>
    <w:p w14:paraId="2ED66CCA" w14:textId="77777777" w:rsidR="009D7677" w:rsidRDefault="009D7677" w:rsidP="009D7677">
      <w:pPr>
        <w:pStyle w:val="TextoNormal"/>
      </w:pPr>
    </w:p>
    <w:p w14:paraId="6402C7A7" w14:textId="77777777" w:rsidR="009D7677" w:rsidRDefault="009D7677" w:rsidP="009D7677">
      <w:pPr>
        <w:pStyle w:val="TextoNormal"/>
      </w:pPr>
      <w:r>
        <w:t xml:space="preserve">La apreciación de una quiebra de la regla de proporcionalidad entre los hechos determinantes de la decisión parlamentaria impugnada y sus consecuencias en el ámbito del derecho tutelado por el artículo 23 CE no depende de cuál sea su concreta causa o cómo se hayan repartido las contribuciones argumentales o decisorias entre unos y otros intervinientes, mediatos o inmediatos en la generación de esas consecuencias. No se trata de arbitrar un juicio de causalidad, ni mucho menos de culpabilidad. Lo relevante es determinar si “la pérdida de la condición de diputado del hoy recurrente” es fruto o no de “un acto de los poderes públicos […] que pueda, supuestamente, haber violado un derecho o libertad fundamental susceptible de amparo” (STC 7/1992, de 16 de enero, FJ 1). Y, en este marco tener presente la razón de ser del art. 6.2 a) LOREG, partiendo de lo que dice la STC 166/1993, esto es, que se ejecute o no </w:t>
      </w:r>
      <w:r w:rsidRPr="009D7677">
        <w:rPr>
          <w:i/>
        </w:rPr>
        <w:t>in natura</w:t>
      </w:r>
      <w:r>
        <w:t xml:space="preserve"> la pena privativa de libertad, es su carácter infamante lo que justifica y desencadena la exclusión del derecho del condenado a ostentar un cargo público representativo, y en su caso, vía art. 6.4 LOREG, la extinción de dicho derecho y el consiguiente cese en el cargo.</w:t>
      </w:r>
    </w:p>
    <w:p w14:paraId="28B98CA9" w14:textId="77777777" w:rsidR="009D7677" w:rsidRDefault="009D7677" w:rsidP="009D7677">
      <w:pPr>
        <w:pStyle w:val="TextoNormal"/>
      </w:pPr>
    </w:p>
    <w:p w14:paraId="28387CAC" w14:textId="77777777" w:rsidR="009D7677" w:rsidRDefault="009D7677" w:rsidP="009D7677">
      <w:pPr>
        <w:pStyle w:val="TextoNormal"/>
      </w:pPr>
      <w:r>
        <w:t xml:space="preserve">Circunscribiendo el análisis a este último supuesto, esa categórica vinculación entre el </w:t>
      </w:r>
      <w:r w:rsidRPr="009D7677">
        <w:rPr>
          <w:i/>
        </w:rPr>
        <w:t>nomen iuris</w:t>
      </w:r>
      <w:r>
        <w:t xml:space="preserve"> de la pena y el efecto automático de la pérdida definitiva del cargo por incompatibilidad sobrevenida (art. 6.4 LOREG) conduciría a prescindir de cualquier juicio ponderativo basado en consideraciones de proporcionalidad que tengan que ver, por ejemplo, con la naturaleza o circunstancias de la conducta por la que el afectado fue condenado, la consiguiente entidad o gravedad y, en particular, la duración de la pena de prisión, la distinta afectación de derechos fundamentales que puede derivar de la diferencia entre privar a un candidato de su acceso al proceso electoral y privar a un representante político </w:t>
      </w:r>
      <w:r>
        <w:lastRenderedPageBreak/>
        <w:t>ya electo y a sus electores del derecho que recíprocamente les reconoce el artículo 23 CE, o el hecho de que la modalidad de cumplimiento o no cumplimiento efectivo de esa pena impida o no materialmente el ejercicio del cargo.</w:t>
      </w:r>
    </w:p>
    <w:p w14:paraId="7D4E5A46" w14:textId="77777777" w:rsidR="009D7677" w:rsidRDefault="009D7677" w:rsidP="009D7677">
      <w:pPr>
        <w:pStyle w:val="TextoNormal"/>
      </w:pPr>
    </w:p>
    <w:p w14:paraId="042E9539" w14:textId="2D01B859" w:rsidR="009D7677" w:rsidRDefault="009D7677" w:rsidP="009D7677">
      <w:pPr>
        <w:pStyle w:val="TextoNormal"/>
      </w:pPr>
      <w:r>
        <w:t>En esta línea, la Fiscalía se centra en algunos aspectos no planteados en la jurisprudencia previa. En particular en la necesidad de definir el significado y alcance de la expresión “en el período que dure la pena”, que contiene el art. 6.2 a) LOREG (son inelegibles “los condenados por sentencia firme, a pena privativa de libertad, en el período que dure la pena”). La cuestión por determinar sería qué sucede cuando la causa de inelegibilidad se transforma en causa de incompatibilidad y la pena privativa de libertad es de extensión menor al tiempo restante de legislatura. Es preciso determinar si esa mutación de la consecuencia extrapenal de la prisión incluye la eliminación de su alcance temporal y su transformación en un efecto definitivo, como la pérdida de la condición parlamentaria, o, por el contrario, una interpretación sistemática y ajustada a parámetros de proporcionalidad permitiría llegar a una conclusión distinta. Lo cierto es, se apunta, que se ha justificado a la hora de decidir sobre el alcance del art. 6.4 LOREG por qué ha de acudirse a la analogía (</w:t>
      </w:r>
      <w:r w:rsidRPr="009D7677">
        <w:rPr>
          <w:i/>
        </w:rPr>
        <w:t>in malam partem</w:t>
      </w:r>
      <w:r>
        <w:t>) a la hora de atribuirle los efectos definitivos que el Reglamento del Congreso atribuye a otras incompatibilidades, en lugar de contemplar la posible identidad de razón con el sentido temporal que deriva del propio apartado 2 a) del mismo artículo, en relación con el artículo 21.2 RCD, que prevé expresamente la mera suspensión de los derechos de los diputados “cuando una sentencia firme condenatoria lo comporte”. En el presente caso no es posible apreciar en el proceso decisorio que tuvo lugar en sede parlamentaria, en el marco de su autonomía, ningún ejercicio ponderativo que condujera a descartar —puesto que obviamente no se aceptaron— alguna o algunas de las posibilidades de interpretación diferente de las normas —no penales y no sujetas al juicio del tribunal penal— aplicables en función de la situación planteada. No hay evidencia alguna de que la decisión recurrida contase con más sustento que el de un doble automatismo: la aceptación de cualquier pena privativa de libertad como desencadenante automático de la aplicación del art. 6.2 a) LOREG, y la conclusión de que la combinación de esta norma con la del art. 6.4 LOREG conducía, de forma igualmente automática, a la pérdida definitiva el escaño del recurrente.</w:t>
      </w:r>
    </w:p>
    <w:p w14:paraId="36D4B518" w14:textId="77777777" w:rsidR="009D7677" w:rsidRDefault="009D7677" w:rsidP="009D7677">
      <w:pPr>
        <w:pStyle w:val="TextoNormal"/>
      </w:pPr>
    </w:p>
    <w:p w14:paraId="7F57ECE6" w14:textId="6B282B83" w:rsidR="009D7677" w:rsidRDefault="009D7677" w:rsidP="009D7677">
      <w:pPr>
        <w:pStyle w:val="TextoNormal"/>
      </w:pPr>
      <w:r w:rsidRPr="009D7677">
        <w:rPr>
          <w:rStyle w:val="NumeroAFNegritaCaracter"/>
        </w:rPr>
        <w:t>10</w:t>
      </w:r>
      <w:r>
        <w:t>. Mediante escrito presentado por la representación procesal del recurrente en amparo se solicita impulso procesal respecto de la solicitud de medidas cautelares planteadas en el recurso de amparo.</w:t>
      </w:r>
    </w:p>
    <w:p w14:paraId="2C1ACA2B" w14:textId="77777777" w:rsidR="009D7677" w:rsidRDefault="009D7677" w:rsidP="009D7677">
      <w:pPr>
        <w:pStyle w:val="TextoNormal"/>
      </w:pPr>
    </w:p>
    <w:p w14:paraId="6AB2AD74" w14:textId="63B5295C" w:rsidR="009D7677" w:rsidRDefault="009D7677" w:rsidP="009D7677">
      <w:pPr>
        <w:pStyle w:val="TextoNormal"/>
      </w:pPr>
      <w:r w:rsidRPr="009D7677">
        <w:rPr>
          <w:rStyle w:val="NumeroAFNegritaCaracter"/>
        </w:rPr>
        <w:t>11</w:t>
      </w:r>
      <w:r>
        <w:t>. Por auto 29/2023, de 7 de febrero, se declara la abstención del presente procedimiento del magistrado señor  Campo Moreno, extremo que se notifica a las partes en el procedimiento y al Ministerio Fiscal el 14 de febrero de 2023.</w:t>
      </w:r>
    </w:p>
    <w:p w14:paraId="0894D736" w14:textId="77777777" w:rsidR="009D7677" w:rsidRDefault="009D7677" w:rsidP="009D7677">
      <w:pPr>
        <w:pStyle w:val="TextoNormal"/>
      </w:pPr>
    </w:p>
    <w:p w14:paraId="126040FC" w14:textId="11A9CBEE" w:rsidR="009D7677" w:rsidRDefault="009D7677" w:rsidP="009D7677">
      <w:pPr>
        <w:pStyle w:val="TextoNormal"/>
      </w:pPr>
      <w:r w:rsidRPr="009D7677">
        <w:rPr>
          <w:rStyle w:val="NumeroAFNegritaCaracter"/>
        </w:rPr>
        <w:t>12</w:t>
      </w:r>
      <w:r>
        <w:t>. Por providencia de 30 de enero de 2024, se señaló para deliberación y votación de la presente sentencia el día 31 del mismo mes y año.</w:t>
      </w:r>
    </w:p>
    <w:p w14:paraId="5A6C1614" w14:textId="77777777" w:rsidR="009D7677" w:rsidRDefault="009D7677" w:rsidP="009D7677">
      <w:pPr>
        <w:pStyle w:val="TextoNormal"/>
      </w:pPr>
    </w:p>
    <w:p w14:paraId="4BDBF2AB" w14:textId="77777777" w:rsidR="009D7677" w:rsidRDefault="009D7677" w:rsidP="009D7677">
      <w:pPr>
        <w:pStyle w:val="TextoNormalNegritaCentrado"/>
        <w:keepNext/>
      </w:pPr>
      <w:r>
        <w:t>II. Fundamentos jurídicos</w:t>
      </w:r>
    </w:p>
    <w:p w14:paraId="0190DC8D" w14:textId="2D69B89C" w:rsidR="009D7677" w:rsidRDefault="009D7677" w:rsidP="009D7677">
      <w:pPr>
        <w:pStyle w:val="TextoNormalNegritaCentrado"/>
        <w:keepNext/>
      </w:pPr>
    </w:p>
    <w:p w14:paraId="7C98CF37" w14:textId="77777777" w:rsidR="009D7677" w:rsidRDefault="009D7677" w:rsidP="009D7677">
      <w:pPr>
        <w:pStyle w:val="TextoNormal"/>
      </w:pPr>
      <w:r w:rsidRPr="009D7677">
        <w:rPr>
          <w:rStyle w:val="TextoNormalNegritaCaracter"/>
        </w:rPr>
        <w:t xml:space="preserve">Único. </w:t>
      </w:r>
      <w:r w:rsidRPr="009D7677">
        <w:rPr>
          <w:i/>
        </w:rPr>
        <w:t>Aplicación de lo acordado en la STC 8/2024, de 16 de enero</w:t>
      </w:r>
    </w:p>
    <w:p w14:paraId="2CD30095" w14:textId="77777777" w:rsidR="009D7677" w:rsidRDefault="009D7677" w:rsidP="009D7677">
      <w:pPr>
        <w:pStyle w:val="TextoNormal"/>
      </w:pPr>
    </w:p>
    <w:p w14:paraId="616ED4F3" w14:textId="77777777" w:rsidR="009D7677" w:rsidRDefault="009D7677" w:rsidP="009D7677">
      <w:pPr>
        <w:pStyle w:val="TextoNormal"/>
      </w:pPr>
      <w:r>
        <w:lastRenderedPageBreak/>
        <w:t>El objeto del presente recurso de amparo parlamentario es determinar si, como alega el demandante, ha vulnerado sus derechos reconocidos en los arts. 9.3, 14, 16, 21, 23, 24 y 25 CE el acuerdo de la presidenta del Congreso de los Diputados de 22 de octubre de 2021 por el que, de conformidad con lo dispuesto en el art. 6 LOREG, se da traslado al recurrente en amparo, así como a la Junta Electoral Central, a los efectos de su sustitución, y a la Secretaría General del Congreso, a los efectos que procedan, de la sentencia de la Sala de lo Penal del Tribunal Supremo 750/2021, de 6 de octubre, dictada en la causa especial núm. 21019/2019, que condena al demandante a la pena de un mes y quince días de prisión, que se sustituye por la pena de multa de noventa días con cuota diaria de seis euros, con la accesoria de inhabilitación especial para el derecho de sufragio pasivo durante la condena, así como del auto de 8 de octubre de 2021, que acuerda proceder a la ejecución de la citada sentencia.</w:t>
      </w:r>
    </w:p>
    <w:p w14:paraId="4B18D2C0" w14:textId="77777777" w:rsidR="009D7677" w:rsidRDefault="009D7677" w:rsidP="009D7677">
      <w:pPr>
        <w:pStyle w:val="TextoNormal"/>
      </w:pPr>
    </w:p>
    <w:p w14:paraId="015B1180" w14:textId="77777777" w:rsidR="009D7677" w:rsidRDefault="009D7677" w:rsidP="009D7677">
      <w:pPr>
        <w:pStyle w:val="TextoNormal"/>
      </w:pPr>
      <w:r>
        <w:t>Como se ha expuesto más ampliamente en los antecedentes, el acuerdo impugnado, en lo que se refiere a la comunicación de la pérdida de la condición de diputado del recurrente y de la necesidad de su sustitución, trae causa directa de la ejecución del fallo de la sentencia del Sala de lo Penal del Tribunal Supremo 750/2021, de 6 de octubre, dictada en la causa especial núm. 21019/2019, en cuanto a que en esta resolución judicial se acuerda la imposición de una pena de prisión al demandante de un mes y quince días de prisión, en relación con lo previsto en el art. 6.2 a) LOREG, que establece que son inelegibles “los condenados por sentencia firme, a pena privativa de libertad, en el período que dure la pena”, y el art. 6.4 LOREG, que establece que “las causas de inelegibilidad lo son también de incompatibilidad”.</w:t>
      </w:r>
    </w:p>
    <w:p w14:paraId="2A54945A" w14:textId="77777777" w:rsidR="009D7677" w:rsidRDefault="009D7677" w:rsidP="009D7677">
      <w:pPr>
        <w:pStyle w:val="TextoNormal"/>
      </w:pPr>
    </w:p>
    <w:p w14:paraId="697FCBA0" w14:textId="77777777" w:rsidR="009D7677" w:rsidRDefault="009D7677" w:rsidP="009D7677">
      <w:pPr>
        <w:pStyle w:val="TextoNormal"/>
      </w:pPr>
      <w:r>
        <w:t>La vinculación del acuerdo parlamentario impugnado con la citada sentencia condenatoria no implica, como alega la representación del Congreso de los Diputados, ni la inexistencia de un acto parlamentario recurrible al amparo del art. 42 LOTC ni la falta de legitimación pasiva de la Cámara por haberse limitado el acuerdo impugnado a dar cumplimiento a una resolución judicial que es a la que, en su caso, cabría imputar las lesiones constitucionales alegadas en la presente demanda de amparo. Como ya se afirmó en la STC 8/2024 (que resolvió el recurso de amparo núm. 697-2022), de 16 de enero, FJ 1, en la que el Tribunal analizó la constitucionalidad de la condena penal del recurrente, la circunstancia de que este acuerdo parlamentario tome como presupuesto legal necesario la existencia de una condena por sentencia firme a pena privativa de libertad, no resulta determinante para que cualquier eventual efecto extraprocesal de la imposición de esa pena deba imputarse necesariamente a la decisión judicial, ya que, como sucede en este caso, no se impone en el contexto del proceso penal ni por ningún órgano judicial del orden jurisdiccional penal. Todo ello sin perjuicio de la eventual repercusión que sobre el presente amparo pueda tener lo decidido en relación con la sentencia condenatoria.</w:t>
      </w:r>
    </w:p>
    <w:p w14:paraId="1704E6C3" w14:textId="77777777" w:rsidR="009D7677" w:rsidRDefault="009D7677" w:rsidP="009D7677">
      <w:pPr>
        <w:pStyle w:val="TextoNormal"/>
      </w:pPr>
    </w:p>
    <w:p w14:paraId="5E9BB5E3" w14:textId="77777777" w:rsidR="009D7677" w:rsidRDefault="009D7677" w:rsidP="009D7677">
      <w:pPr>
        <w:pStyle w:val="TextoNormal"/>
      </w:pPr>
      <w:r>
        <w:t>La STC 8/2024, en el apartado segundo de su fallo, declaró “la nulidad de la sentencia de la Sala de lo Penal del Tribunal Supremo núm. 750/2021, de 6 de octubre de 2021, y del auto de 15 de diciembre de 2021, pronunciados en la causa especial núm. 21019-2019, en el exclusivo extremo relativo a que en el apartado primero del fallo de la sentencia condenatoria se hace referencia a que se impone al recurrente ‘la pena de un mes y quince días de prisión, con la accesoria de inhabilitación especial para el derecho de sufragio pasivo durante el tiempo de la condena’; debiendo mantenerse únicamente la mención a que la pena impuesta es ‘la pena de multa de noventa días con cuota diaria de seis euros’”.</w:t>
      </w:r>
    </w:p>
    <w:p w14:paraId="3C17156B" w14:textId="77777777" w:rsidR="009D7677" w:rsidRDefault="009D7677" w:rsidP="009D7677">
      <w:pPr>
        <w:pStyle w:val="TextoNormal"/>
      </w:pPr>
    </w:p>
    <w:p w14:paraId="3649E5C9" w14:textId="77777777" w:rsidR="009D7677" w:rsidRDefault="009D7677" w:rsidP="009D7677">
      <w:pPr>
        <w:pStyle w:val="TextoNormal"/>
      </w:pPr>
      <w:r>
        <w:t>La STC 8/2024, al anular la condena del demandante de amparo a una pena privativa de libertad, que es el presupuesto normativo que ha dado lugar a la aplicación del art. 6 LOREG en el acuerdo impugnado, determina que deba estimarse que dicho acuerdo ha vulnerado objetivamente el art. 23.2 CE del recurrente, ya que, como ha reiterado la jurisprudencia constitucional, en supuestos como el presente, la incidencia en el ejercicio del cargo surge automáticamente</w:t>
      </w:r>
      <w:r w:rsidRPr="009D7677">
        <w:rPr>
          <w:i/>
        </w:rPr>
        <w:t xml:space="preserve"> ex leg</w:t>
      </w:r>
      <w:r>
        <w:t>e.</w:t>
      </w:r>
    </w:p>
    <w:p w14:paraId="648FE481" w14:textId="77777777" w:rsidR="009D7677" w:rsidRDefault="009D7677" w:rsidP="009D7677">
      <w:pPr>
        <w:pStyle w:val="TextoNormal"/>
      </w:pPr>
    </w:p>
    <w:p w14:paraId="64B1E0E4" w14:textId="73A09E3C" w:rsidR="009D7677" w:rsidRDefault="009D7677" w:rsidP="009D7677">
      <w:pPr>
        <w:pStyle w:val="TextoNormal"/>
      </w:pPr>
      <w:r>
        <w:t>Por tanto, desaparecido como consecuencia del fallo de la STC 8/2024 el presupuesto legal necesario previsto en el art. 6 LOREG para fundamentar la pérdida de la condición de diputado del demandante de amparo adoptada en el acuerdo impugnado de que el recurrente hubiera sido condenado a una pena privativa de libertad, el Tribunal debe declarar que se ha vulnerado su derecho fundamental a ejercer las funciones representativas con los requisitos que señalan las leyes (art. 23.2 CE). Su restablecimiento exige la anulación del acuerdo impugnado sin que resulte posible ningún otro pronunciamiento sobre retroacción de actuaciones habida cuenta de que la XIV Legislatura ya ha finalizado.</w:t>
      </w:r>
    </w:p>
    <w:p w14:paraId="761E3EB5" w14:textId="77777777" w:rsidR="009D7677" w:rsidRDefault="009D7677" w:rsidP="009D7677">
      <w:pPr>
        <w:pStyle w:val="TextoNormal"/>
      </w:pPr>
    </w:p>
    <w:p w14:paraId="291C5D28" w14:textId="77777777" w:rsidR="009D7677" w:rsidRDefault="009D7677" w:rsidP="009D7677">
      <w:pPr>
        <w:pStyle w:val="TextoNormalCentrado"/>
        <w:keepNext/>
      </w:pPr>
      <w:r>
        <w:t>FALLO</w:t>
      </w:r>
    </w:p>
    <w:p w14:paraId="3DB31E7B" w14:textId="1BA5222A" w:rsidR="009D7677" w:rsidRDefault="009D7677" w:rsidP="009D7677">
      <w:pPr>
        <w:pStyle w:val="TextoNormalCentrado"/>
        <w:keepNext/>
      </w:pPr>
    </w:p>
    <w:p w14:paraId="7F2A7B75" w14:textId="77777777" w:rsidR="009D7677" w:rsidRDefault="009D7677" w:rsidP="009D7677">
      <w:pPr>
        <w:pStyle w:val="TextoNormal"/>
      </w:pPr>
      <w:r>
        <w:t>En atención a todo lo expuesto, el Tribunal Constitucional, por la autoridad que le confiere la Constitución de la Nación española, ha decidido estimar el recurso de amparo interpuesto por don Alberto Rodríguez Rodríguez y, en su virtud:</w:t>
      </w:r>
    </w:p>
    <w:p w14:paraId="752088F3" w14:textId="77777777" w:rsidR="009D7677" w:rsidRDefault="009D7677" w:rsidP="009D7677">
      <w:pPr>
        <w:pStyle w:val="TextoNormal"/>
      </w:pPr>
    </w:p>
    <w:p w14:paraId="4E23974F" w14:textId="77777777" w:rsidR="009D7677" w:rsidRDefault="009D7677" w:rsidP="009D7677">
      <w:pPr>
        <w:pStyle w:val="TextoNormal"/>
      </w:pPr>
      <w:r>
        <w:t>1º Declarar que ha sido vulnerado su derecho fundamental a ejercer las funciones representativas con los requisitos que señalan las leyes (art. 23.2 CE).</w:t>
      </w:r>
    </w:p>
    <w:p w14:paraId="64CBB424" w14:textId="77777777" w:rsidR="009D7677" w:rsidRDefault="009D7677" w:rsidP="009D7677">
      <w:pPr>
        <w:pStyle w:val="TextoNormal"/>
      </w:pPr>
    </w:p>
    <w:p w14:paraId="34BE06F4" w14:textId="4AEFF08D" w:rsidR="009D7677" w:rsidRDefault="009D7677" w:rsidP="009D7677">
      <w:pPr>
        <w:pStyle w:val="TextoNormal"/>
      </w:pPr>
      <w:r>
        <w:t>2º Restablecer al demandante de amparo en su derecho y, a tal fin, declarar la nulidad del acuerdo de la presidenta del Congreso de los Diputados de 22 de octubre de 2021 sobre comunicación de que se había dispuesto la sustitución del demandante como miembro de la Cámara, en ejecución de la sentencia de la Sala de lo Penal del Tribunal Supremo núm. 750/2021, de 6 de octubre, dictada en la causa especial núm. 21019-2019, así como del auto de 8 de octubre de 2021, que acuerda proceder a la ejecución de la citada sentencia.</w:t>
      </w:r>
    </w:p>
    <w:p w14:paraId="0ECC3900" w14:textId="77777777" w:rsidR="009D7677" w:rsidRDefault="009D7677" w:rsidP="009D7677">
      <w:pPr>
        <w:pStyle w:val="TextoNormal"/>
      </w:pPr>
    </w:p>
    <w:p w14:paraId="1B2BC9E5" w14:textId="77777777" w:rsidR="009D7677" w:rsidRDefault="009D7677" w:rsidP="009D7677">
      <w:pPr>
        <w:pStyle w:val="TextoNormal"/>
      </w:pPr>
      <w:r>
        <w:t>Publíquese esta sentencia en el “Boletín Oficial del Estado”.</w:t>
      </w:r>
    </w:p>
    <w:p w14:paraId="165C2E00" w14:textId="77777777" w:rsidR="009D7677" w:rsidRDefault="009D7677" w:rsidP="009D7677">
      <w:pPr>
        <w:pStyle w:val="TextoNormal"/>
      </w:pPr>
      <w:r>
        <w:t>Dada en Madrid, a treinta y uno de enero de dos mil veinticuatro.</w:t>
      </w:r>
    </w:p>
    <w:p w14:paraId="3F9BC0E3" w14:textId="79ED0EC2" w:rsidR="009D7677" w:rsidRDefault="009D7677" w:rsidP="009D7677">
      <w:pPr>
        <w:pStyle w:val="ParrafoNormal"/>
      </w:pPr>
    </w:p>
    <w:p w14:paraId="1C8FAB88" w14:textId="77777777" w:rsidR="009D7677" w:rsidRDefault="009D7677" w:rsidP="009D7677">
      <w:pPr>
        <w:pStyle w:val="TextoNormalNegritaCentrado"/>
        <w:keepNext/>
      </w:pPr>
      <w:r>
        <w:t>Voto particular que formulan conjuntamente la magistrada doña Concepción Espejel Jorquera y los magistrados don Ricardo Enríquez Sancho, don Enrique Arnaldo Alcubilla y don César Tolosa Tribiño a la sentencia dictada en el recurso de amparo núm. 74-2022, interpuesto por don Alberto Rodríguez Rodríguez</w:t>
      </w:r>
    </w:p>
    <w:p w14:paraId="0FE3E25C" w14:textId="39D43205" w:rsidR="009D7677" w:rsidRDefault="009D7677" w:rsidP="009D7677">
      <w:pPr>
        <w:pStyle w:val="TextoNormalNegritaCentrado"/>
        <w:keepNext/>
      </w:pPr>
    </w:p>
    <w:p w14:paraId="6802F12B" w14:textId="77777777" w:rsidR="009D7677" w:rsidRDefault="009D7677" w:rsidP="009D7677">
      <w:pPr>
        <w:pStyle w:val="TextoNormal"/>
      </w:pPr>
      <w:r>
        <w:t xml:space="preserve">En el ejercicio de la facultad que nos confiere el art. 90.2 de la Ley Orgánica del Tribunal Constitucional, y con respeto a la opinión de los magistrados y las magistradas que han conformado la mayoría del Pleno, formulamos el presente voto particular por discrepar de </w:t>
      </w:r>
      <w:r>
        <w:lastRenderedPageBreak/>
        <w:t>la fundamentación y del fallo de la sentencia recaída en el recurso de amparo núm. 74-2022, el cual a nuestro juicio debió ser desestimado.</w:t>
      </w:r>
    </w:p>
    <w:p w14:paraId="75E8FCBB" w14:textId="77777777" w:rsidR="009D7677" w:rsidRDefault="009D7677" w:rsidP="009D7677">
      <w:pPr>
        <w:pStyle w:val="TextoNormal"/>
      </w:pPr>
    </w:p>
    <w:p w14:paraId="602A938D" w14:textId="77777777" w:rsidR="009D7677" w:rsidRDefault="009D7677" w:rsidP="009D7677">
      <w:pPr>
        <w:pStyle w:val="TextoNormal"/>
      </w:pPr>
      <w:r>
        <w:t>La sentencia de la que discrepamos sustenta la estimación de la demanda de amparo en el apartado segundo del fallo de la STC 8/2024, de 16 de enero, en el que se determinaba que la pena impuesta al recurrente era la de multa y no la de prisión. Dicho pronunciamiento fue calificado en nuestro voto particular como incurso en incongruencia interna en sentido lógico y procesal. Advertimos entonces que era la primera vez que una sentencia del Tribunal Constitucional modificaba la pena que debe imponerse a un condenado y pronosticamos —ahora vemos que con acierto— la indudable incidencia que dicho pronunciamiento iba a tener en el recurso de amparo núm. 74-2022. Las razones de nuestra discrepancia con la STC 8/2024, que sirve de sustento a la presente han quedado detalladamente expuestas en el voto particular formulado a la misma y a la que nos debemos remitir.</w:t>
      </w:r>
    </w:p>
    <w:p w14:paraId="217AD082" w14:textId="77777777" w:rsidR="009D7677" w:rsidRDefault="009D7677" w:rsidP="009D7677">
      <w:pPr>
        <w:pStyle w:val="TextoNormal"/>
      </w:pPr>
    </w:p>
    <w:p w14:paraId="1D8902D5" w14:textId="77777777" w:rsidR="009D7677" w:rsidRDefault="009D7677" w:rsidP="009D7677">
      <w:pPr>
        <w:pStyle w:val="TextoNormal"/>
      </w:pPr>
      <w:r>
        <w:t>La sentencia de la que discrepamos ha dejado imprejuzgados los motivos planteados por el recurrente que a nuestro juicio debieron ser bien inadmitidos, por falta de argumentación jurídica en relación con las vulneraciones invocadas con sustento en los arts. 9.3, 14, 16, 21 y 24 CE, al incumplir con la carga procesal de proporcionar la fundamentación fáctica y jurídica del recurso [por todas, STC 97/2020, de 21 de julio, FJ 3 A)], bien desestimados en relación con las vulneraciones vinculadas a los art. 23.2 y 25.1 CE.</w:t>
      </w:r>
    </w:p>
    <w:p w14:paraId="71EBB84F" w14:textId="77777777" w:rsidR="009D7677" w:rsidRDefault="009D7677" w:rsidP="009D7677">
      <w:pPr>
        <w:pStyle w:val="TextoNormal"/>
      </w:pPr>
    </w:p>
    <w:p w14:paraId="1558096F" w14:textId="77777777" w:rsidR="009D7677" w:rsidRDefault="009D7677" w:rsidP="009D7677">
      <w:pPr>
        <w:pStyle w:val="TextoNormal"/>
      </w:pPr>
      <w:r>
        <w:t>En tal sentido, la vulneración del derecho a acceder a los cargos públicos, en su vertiente de derecho a mantenerse en los mismos (art. 23.2 CE), debió ser desestimada al haberse acordado la sustitución del recurrente como diputado del Congreso en aplicación de la causa de incompatibilidad sobrevenida del art. 6.4, en relación con el art. 6.2 a), ambos de la Ley Orgánica del régimen electoral general, esto es, por haber sido condenado por sentencia firme a pena privativa de libertad. Dicha causa sobrevenida opera como supuesto de incompatibilidad generador del impedimento para asumir el cargo electivo o de cese, si se hubiera accedido al escaño (SSTC 45/1983, de 25 de mayo, FJ 5; 72/1984, de 14 de junio, FJ 3, y 155/2014, de 25 de septiembre, FFJJ 2, 3 y 6).</w:t>
      </w:r>
    </w:p>
    <w:p w14:paraId="465DE5D8" w14:textId="77777777" w:rsidR="009D7677" w:rsidRDefault="009D7677" w:rsidP="009D7677">
      <w:pPr>
        <w:pStyle w:val="TextoNormal"/>
      </w:pPr>
    </w:p>
    <w:p w14:paraId="7974420C" w14:textId="77777777" w:rsidR="009D7677" w:rsidRDefault="009D7677" w:rsidP="009D7677">
      <w:pPr>
        <w:pStyle w:val="TextoNormal"/>
      </w:pPr>
      <w:r>
        <w:t>También la vulneración del principio de legalidad penal por la imposición de una doble sanción (art. 25.1 CE), debió ser desestimada, pues si bien la referida causa de incompatibilidad sobrevenida es una consecuencia jurídica gravosa para el demandante, no por ello se convierte en una medida punitiva. No se pretende a través de la misma infligir castigo alguno, sino responder a mínimos éticos infranqueables que son exigibles a quienes se erigen en representantes del cuerpo electoral. La condena supone una carga infamante que representa el máximo reproche social al que con ella es señalado (STC 209/1993, de 28 de junio, FJ 6), una tacha ignominiosa, que le hace merecedor de ser excluido de la representación del pueblo español (art. 66.1 CE), máxime cuando dicha condena se impone por el órgano jurisdiccional superior en todos los órdenes (art. 123.1 CE) y por la comisión de un delito contra el orden público.</w:t>
      </w:r>
    </w:p>
    <w:p w14:paraId="0F5C649E" w14:textId="77777777" w:rsidR="009D7677" w:rsidRDefault="009D7677" w:rsidP="009D7677">
      <w:pPr>
        <w:pStyle w:val="TextoNormal"/>
      </w:pPr>
    </w:p>
    <w:p w14:paraId="3E90CC38" w14:textId="77777777" w:rsidR="009D7677" w:rsidRDefault="009D7677" w:rsidP="009D7677">
      <w:pPr>
        <w:pStyle w:val="TextoNormal"/>
      </w:pPr>
      <w:r>
        <w:t>Y en tal sentido emitimos nuestro voto particular.</w:t>
      </w:r>
    </w:p>
    <w:p w14:paraId="54EF3BDD" w14:textId="77777777" w:rsidR="009D7677" w:rsidRDefault="009D7677" w:rsidP="009D7677">
      <w:pPr>
        <w:pStyle w:val="TextoNormal"/>
      </w:pPr>
    </w:p>
    <w:p w14:paraId="7C1CBE2F" w14:textId="22B97420" w:rsidR="009D7677" w:rsidRDefault="009D7677" w:rsidP="009D7677">
      <w:pPr>
        <w:pStyle w:val="TextoNormal"/>
      </w:pPr>
      <w:r>
        <w:t>Madrid, a uno de febrero de dos mil veinticuatro.</w:t>
      </w:r>
    </w:p>
    <w:p w14:paraId="44DEDE99" w14:textId="350E712B" w:rsidR="009D7677" w:rsidRDefault="009D7677">
      <w:pPr>
        <w:spacing w:after="160" w:line="259" w:lineRule="auto"/>
        <w:rPr>
          <w:rFonts w:ascii="Times New Roman" w:eastAsia="Times New Roman" w:hAnsi="Times New Roman" w:cs="Times New Roman"/>
          <w:sz w:val="24"/>
          <w:szCs w:val="24"/>
          <w:lang w:eastAsia="es-ES"/>
        </w:rPr>
      </w:pPr>
      <w:r>
        <w:br w:type="page"/>
      </w:r>
    </w:p>
    <w:p w14:paraId="09DD68DA" w14:textId="77777777" w:rsidR="009D7677" w:rsidRDefault="009D7677" w:rsidP="009D7677">
      <w:pPr>
        <w:pStyle w:val="TtuloResolucin"/>
      </w:pPr>
      <w:bookmarkStart w:id="21" w:name="SENTENCIA_2024_19"/>
      <w:r>
        <w:lastRenderedPageBreak/>
        <w:t>SENTENCIA 19/2024, de 31 de enero de 2024</w:t>
      </w:r>
    </w:p>
    <w:bookmarkEnd w:id="21"/>
    <w:p w14:paraId="598BE1D3" w14:textId="77777777" w:rsidR="009D7677" w:rsidRDefault="009D7677" w:rsidP="009D7677">
      <w:pPr>
        <w:pStyle w:val="TtuloResolucin"/>
      </w:pPr>
      <w:r>
        <w:t>Pleno</w:t>
      </w:r>
    </w:p>
    <w:p w14:paraId="2C56A3AC" w14:textId="77777777" w:rsidR="009D7677" w:rsidRDefault="009D7677" w:rsidP="009D7677">
      <w:pPr>
        <w:pStyle w:val="TtuloBOE"/>
      </w:pPr>
      <w:r>
        <w:t>(BOE núm. 53, de 29 de febrero de 2024)</w:t>
      </w:r>
    </w:p>
    <w:p w14:paraId="4C0E0DD3" w14:textId="77777777" w:rsidR="009D7677" w:rsidRDefault="009D7677" w:rsidP="009D7677">
      <w:pPr>
        <w:pStyle w:val="TextoNormalCentrado"/>
      </w:pPr>
      <w:r>
        <w:t>ECLI:ES:TC:2024:19</w:t>
      </w:r>
    </w:p>
    <w:p w14:paraId="14028213" w14:textId="3F44C388" w:rsidR="009D7677" w:rsidRDefault="009D7677" w:rsidP="009D7677">
      <w:pPr>
        <w:pStyle w:val="TextoNormalCentrado"/>
      </w:pPr>
    </w:p>
    <w:p w14:paraId="589C431C" w14:textId="77777777" w:rsidR="009D7677" w:rsidRDefault="009D7677" w:rsidP="009D7677">
      <w:pPr>
        <w:pStyle w:val="SntesisDescriptiva"/>
      </w:pPr>
      <w:r>
        <w:t>Recurso de inconstitucionalidad 1937-2022. Interpuesto por más de cincuenta diputados del Grupo Parlamentario Vox en el Congreso respecto de la disposición adicional quinta de la Ley 19/2021, de 20 de diciembre, por la que se establece el ingreso mínimo vital, y la disposición final trigésima de la Ley 22/2021, de 28 de diciembre, de presupuestos generales del Estado para el año 2022, que da una nueva redacción al primer párrafo de la citada disposición.</w:t>
      </w:r>
    </w:p>
    <w:p w14:paraId="2976EA5D" w14:textId="58F8B749" w:rsidR="009D7677" w:rsidRDefault="009D7677" w:rsidP="009D7677">
      <w:pPr>
        <w:pStyle w:val="SntesisDescriptiva"/>
      </w:pPr>
    </w:p>
    <w:p w14:paraId="7CF3D5A0" w14:textId="77777777" w:rsidR="009D7677" w:rsidRDefault="009D7677" w:rsidP="009D7677">
      <w:pPr>
        <w:pStyle w:val="SntesisAnaltica"/>
      </w:pPr>
      <w:r>
        <w:t>Competencias sobre legislación básica y régimen económico de la Seguridad Social: constitucionalidad del precepto legal que atribuyen funciones a la Comunidad Autónoma del País Vasco y a la Comunidad Foral de Navarra en relación con el ingreso mínimo vital.</w:t>
      </w:r>
    </w:p>
    <w:p w14:paraId="0A7A959D" w14:textId="3B1A59CD" w:rsidR="009D7677" w:rsidRDefault="009D7677" w:rsidP="009D7677">
      <w:pPr>
        <w:pStyle w:val="SntesisAnaltica"/>
      </w:pPr>
    </w:p>
    <w:p w14:paraId="17CB9FDC" w14:textId="6AD2FD20" w:rsidR="009D7677" w:rsidRDefault="009D7677" w:rsidP="009D7677">
      <w:pPr>
        <w:pStyle w:val="Extracto"/>
      </w:pPr>
      <w:r>
        <w:t>1.</w:t>
      </w:r>
      <w:r>
        <w:tab/>
        <w:t>El ingreso mínimo vital (IMV) no es un mecanismo de protección social que actúe extramuros del sistema de la Seguridad Social, sino una prestación ínsita en su acción protectora en la medida que supone el ejercicio de una función del Estado que le atribuye el art. 41 CE, destinada a poner remedio a situaciones de necesidad (STC 158/2021) [FJ 3].</w:t>
      </w:r>
    </w:p>
    <w:p w14:paraId="7734F470" w14:textId="77777777" w:rsidR="009D7677" w:rsidRDefault="009D7677" w:rsidP="009D7677">
      <w:pPr>
        <w:pStyle w:val="Extracto"/>
      </w:pPr>
    </w:p>
    <w:p w14:paraId="1DDE1333" w14:textId="0E40545F" w:rsidR="009D7677" w:rsidRDefault="009D7677" w:rsidP="009D7677">
      <w:pPr>
        <w:pStyle w:val="Extracto"/>
      </w:pPr>
      <w:r>
        <w:t>2.</w:t>
      </w:r>
      <w:r>
        <w:tab/>
        <w:t>El subsidio extraordinario de desempleo es una prestación no contributiva que responde a la concepción evolutiva del propio sistema de la Seguridad Social y de la libertad de configuración del legislador para modular su acción protectora (STC 133/2019) [FJ 3].</w:t>
      </w:r>
    </w:p>
    <w:p w14:paraId="4D3DCB1E" w14:textId="77777777" w:rsidR="009D7677" w:rsidRDefault="009D7677" w:rsidP="009D7677">
      <w:pPr>
        <w:pStyle w:val="Extracto"/>
      </w:pPr>
    </w:p>
    <w:p w14:paraId="3D5C7A29" w14:textId="3AAAE267" w:rsidR="009D7677" w:rsidRDefault="009D7677" w:rsidP="009D7677">
      <w:pPr>
        <w:pStyle w:val="Extracto"/>
      </w:pPr>
      <w:r>
        <w:t>3.</w:t>
      </w:r>
      <w:r>
        <w:tab/>
        <w:t>Las comunidades autónomas que asuman en sus estatutos la competencia de gestión del régimen económico de la Seguridad Social, como es el caso del País Vasco y la Comunidad Foral de Navarra, podrán realizar, previo convenio con el Estado, aquellos actos de gestión de las prestaciones de la Seguridad Social que no comprometan la caja única ni el modelo unitario de Seguridad Social [FJ 3].</w:t>
      </w:r>
    </w:p>
    <w:p w14:paraId="7DFF2F3B" w14:textId="77777777" w:rsidR="009D7677" w:rsidRDefault="009D7677" w:rsidP="009D7677">
      <w:pPr>
        <w:pStyle w:val="Extracto"/>
      </w:pPr>
    </w:p>
    <w:p w14:paraId="14D677E9" w14:textId="0BCD80DF" w:rsidR="009D7677" w:rsidRDefault="009D7677" w:rsidP="009D7677">
      <w:pPr>
        <w:pStyle w:val="Extracto"/>
      </w:pPr>
      <w:r>
        <w:t>4.</w:t>
      </w:r>
      <w:r>
        <w:tab/>
        <w:t>De la caja única de la Seguridad Social que gestiona la TGSS no se desgaja la porción correspondiente a las comunidades vasca y navarra, sino que estas afrontan el pago de la prestación conforme a su específico sistema de financiación foral, sin menoscabo de la TGSS ni de la titularidad estatal de sus fondos [FJ 5].</w:t>
      </w:r>
    </w:p>
    <w:p w14:paraId="506D1BB8" w14:textId="77777777" w:rsidR="009D7677" w:rsidRDefault="009D7677" w:rsidP="009D7677">
      <w:pPr>
        <w:pStyle w:val="Extracto"/>
      </w:pPr>
    </w:p>
    <w:p w14:paraId="52EFDDCB" w14:textId="571C9C39" w:rsidR="009D7677" w:rsidRDefault="009D7677" w:rsidP="009D7677">
      <w:pPr>
        <w:pStyle w:val="Extracto"/>
      </w:pPr>
      <w:r>
        <w:t>5.</w:t>
      </w:r>
      <w:r>
        <w:tab/>
        <w:t>Dada su naturaleza instrumental, provisional y transitoria, no resulta inconstitucional la previsión sobre una encomienda de gestión sobre actuaciones “de carácter material o técnico” a las comunidades forales [FJ 5].</w:t>
      </w:r>
    </w:p>
    <w:p w14:paraId="067E86C0" w14:textId="77777777" w:rsidR="009D7677" w:rsidRDefault="009D7677" w:rsidP="009D7677">
      <w:pPr>
        <w:pStyle w:val="Extracto"/>
      </w:pPr>
    </w:p>
    <w:p w14:paraId="201F0E30" w14:textId="77777777" w:rsidR="009D7677" w:rsidRDefault="009D7677" w:rsidP="009D7677">
      <w:pPr>
        <w:pStyle w:val="Extracto"/>
      </w:pPr>
    </w:p>
    <w:p w14:paraId="1C032E19" w14:textId="77777777" w:rsidR="009D7677" w:rsidRDefault="009D7677" w:rsidP="009D7677">
      <w:pPr>
        <w:pStyle w:val="TextoNormal"/>
      </w:pPr>
      <w:r>
        <w:t xml:space="preserve">El Pleno del Tribunal Constitucional, compuesto por el magistrado don Cándido Conde-Pumpido Tourón, presidente, y las magistradas y magistrados doña Inmaculada Montalbán Huertas, don Ricardo Enríquez Sancho, doña María Luisa Balaguer Callejón, don </w:t>
      </w:r>
      <w:r>
        <w:lastRenderedPageBreak/>
        <w:t>Ramón Sáez Valcárcel, don Enrique Arnaldo Alcubilla, doña Concepción Espejel Jorquera, doña María Luisa Segoviano Astaburuaga, don César Tolosa Tribiño y doña Laura Díez Bueso, ha pronunciado</w:t>
      </w:r>
    </w:p>
    <w:p w14:paraId="0171C136" w14:textId="25E6A2E0" w:rsidR="009D7677" w:rsidRDefault="009D7677" w:rsidP="009D7677">
      <w:pPr>
        <w:pStyle w:val="TextoNormal"/>
      </w:pPr>
    </w:p>
    <w:p w14:paraId="23D49A84" w14:textId="77777777" w:rsidR="009D7677" w:rsidRDefault="009D7677" w:rsidP="009D7677">
      <w:pPr>
        <w:pStyle w:val="TextoNormalCentrado"/>
        <w:keepNext/>
      </w:pPr>
      <w:r>
        <w:t>EN NOMBRE DEL REY</w:t>
      </w:r>
    </w:p>
    <w:p w14:paraId="545E7BB3" w14:textId="47BC74AB" w:rsidR="009D7677" w:rsidRDefault="009D7677" w:rsidP="009D7677">
      <w:pPr>
        <w:pStyle w:val="TextoNormalCentrado"/>
        <w:keepNext/>
      </w:pPr>
    </w:p>
    <w:p w14:paraId="48462A0D" w14:textId="77777777" w:rsidR="009D7677" w:rsidRDefault="009D7677" w:rsidP="009D7677">
      <w:pPr>
        <w:pStyle w:val="TextoNormalCentrado"/>
        <w:keepNext/>
      </w:pPr>
    </w:p>
    <w:p w14:paraId="2FE1414F" w14:textId="77777777" w:rsidR="009D7677" w:rsidRDefault="009D7677" w:rsidP="009D7677">
      <w:pPr>
        <w:pStyle w:val="TextoNormal"/>
      </w:pPr>
      <w:r>
        <w:t>la siguiente</w:t>
      </w:r>
    </w:p>
    <w:p w14:paraId="6701CE29" w14:textId="4B4EFA33" w:rsidR="009D7677" w:rsidRDefault="009D7677" w:rsidP="009D7677">
      <w:pPr>
        <w:pStyle w:val="TextoNormal"/>
      </w:pPr>
    </w:p>
    <w:p w14:paraId="5DF1CC45" w14:textId="77777777" w:rsidR="009D7677" w:rsidRDefault="009D7677" w:rsidP="009D7677">
      <w:pPr>
        <w:pStyle w:val="TextoNormalCentrado"/>
        <w:keepNext/>
      </w:pPr>
      <w:r>
        <w:t>SENTENCIA</w:t>
      </w:r>
    </w:p>
    <w:p w14:paraId="3513A459" w14:textId="4D94BBB4" w:rsidR="009D7677" w:rsidRDefault="009D7677" w:rsidP="009D7677">
      <w:pPr>
        <w:pStyle w:val="TextoNormalCentrado"/>
        <w:keepNext/>
      </w:pPr>
    </w:p>
    <w:p w14:paraId="6B1AFC70" w14:textId="77777777" w:rsidR="009D7677" w:rsidRDefault="009D7677" w:rsidP="009D7677">
      <w:pPr>
        <w:pStyle w:val="TextoNormal"/>
      </w:pPr>
      <w:r>
        <w:t>En el recurso de inconstitucionalidad núm. 1937-2022 interpuesto por más de cincuenta diputados del Grupo Parlamentario Vox en el Congreso de los Diputados contra la disposición adicional quinta de la Ley 19/2021, de 20 de diciembre, por la que se establece el ingreso mínimo vital, y la disposición final trigésima de la Ley 22/2021, de 28 de diciembre, de presupuestos generales del Estado para el año 2022, que da una nueva redacción al primer párrafo de la citada disposición. Ha comparecido el Congreso de los Diputados, el Senado, el Gobierno de la Nación, la Comunidad Autónoma del País Vasco y la Comunidad Foral de Navarra. Han formulado alegaciones los tres últimos. Ha sido ponente el presidente don Cándido Conde-Pumpido Tourón.</w:t>
      </w:r>
    </w:p>
    <w:p w14:paraId="7CEA594F" w14:textId="0469D4F2" w:rsidR="009D7677" w:rsidRDefault="009D7677" w:rsidP="009D7677">
      <w:pPr>
        <w:pStyle w:val="TextoNormal"/>
      </w:pPr>
    </w:p>
    <w:p w14:paraId="13CD572D" w14:textId="77777777" w:rsidR="009D7677" w:rsidRDefault="009D7677" w:rsidP="009D7677">
      <w:pPr>
        <w:pStyle w:val="TextoNormalNegritaCentrado"/>
        <w:keepNext/>
      </w:pPr>
      <w:r>
        <w:t>I. Antecedentes</w:t>
      </w:r>
    </w:p>
    <w:p w14:paraId="47CC8E81" w14:textId="0D83C947" w:rsidR="009D7677" w:rsidRDefault="009D7677" w:rsidP="009D7677">
      <w:pPr>
        <w:pStyle w:val="TextoNormalNegritaCentrado"/>
        <w:keepNext/>
      </w:pPr>
    </w:p>
    <w:p w14:paraId="1E5C1092" w14:textId="77777777" w:rsidR="009D7677" w:rsidRDefault="009D7677" w:rsidP="009D7677">
      <w:pPr>
        <w:pStyle w:val="TextoNormal"/>
      </w:pPr>
      <w:r w:rsidRPr="009D7677">
        <w:rPr>
          <w:rStyle w:val="NumeroAFNegritaCaracter"/>
        </w:rPr>
        <w:t>1</w:t>
      </w:r>
      <w:r>
        <w:t>. Mediante un escrito registrado en el Tribunal el 21 de marzo de 2022 más de cincuenta diputados del Grupo Parlamentario Vox en el Congreso de los Diputados promovieron un recurso de inconstitucionalidad contra la disposición adicional quinta de la Ley 19/2021, de 20 de diciembre, por la que se establece el ingreso mínimo vital; y contra la disposición final trigésima de la Ley 22/2021, de 28 de diciembre, de presupuestos generales del Estado para el año 2022, que da una nueva redacción a la citada disposición. En su redacción original, la disposición adicional quinta de la Ley 19/2021 tenía el siguiente tenor:</w:t>
      </w:r>
    </w:p>
    <w:p w14:paraId="5B38FA27" w14:textId="77777777" w:rsidR="009D7677" w:rsidRDefault="009D7677" w:rsidP="009D7677">
      <w:pPr>
        <w:pStyle w:val="TextoNormal"/>
      </w:pPr>
    </w:p>
    <w:p w14:paraId="6EEB02E0" w14:textId="77777777" w:rsidR="009D7677" w:rsidRDefault="009D7677" w:rsidP="009D7677">
      <w:pPr>
        <w:pStyle w:val="TextoNormal"/>
      </w:pPr>
      <w:r>
        <w:t>“Disposición adicional quinta. Aplicación en los territorios forales</w:t>
      </w:r>
    </w:p>
    <w:p w14:paraId="7A21F80B" w14:textId="77777777" w:rsidR="009D7677" w:rsidRDefault="009D7677" w:rsidP="009D7677">
      <w:pPr>
        <w:pStyle w:val="TextoNormal"/>
      </w:pPr>
    </w:p>
    <w:p w14:paraId="3C2685B6" w14:textId="77777777" w:rsidR="009D7677" w:rsidRDefault="009D7677" w:rsidP="009D7677">
      <w:pPr>
        <w:pStyle w:val="TextoNormal"/>
      </w:pPr>
      <w:r>
        <w:t>En razón de la especificidad que supone la existencia de haciendas forales, las comunidades autónomas de régimen foral asumirán con referencia a su ámbito territorial, las funciones y servicios correspondientes que en esta Ley se atribuyen al Instituto Nacional de la Seguridad Social en relación con la prestación económica no contributiva de la Seguridad Social del ingreso mínimo vital en los términos que se acuerde antes del 31 de octubre de 2020.</w:t>
      </w:r>
    </w:p>
    <w:p w14:paraId="534F92DB" w14:textId="77777777" w:rsidR="009D7677" w:rsidRDefault="009D7677" w:rsidP="009D7677">
      <w:pPr>
        <w:pStyle w:val="TextoNormal"/>
      </w:pPr>
    </w:p>
    <w:p w14:paraId="654C369C" w14:textId="77777777" w:rsidR="009D7677" w:rsidRDefault="009D7677" w:rsidP="009D7677">
      <w:pPr>
        <w:pStyle w:val="TextoNormal"/>
      </w:pPr>
      <w:r>
        <w:t>En tanto no se produzca la asunción de las funciones y servicios a que hace referencia el párrafo anterior, se acordará mediante convenio a suscribir entre los órganos competentes del Estado y de la comunidad autónoma interesada, una encomienda de gestión para realizar las actuaciones que se prevean en el mismo en relación con la prestación econó</w:t>
      </w:r>
      <w:r>
        <w:lastRenderedPageBreak/>
        <w:t>mica del ingreso mínimo vital y que permitan la atención integral de sus beneficiarios en el País Vasco y Navarra”.</w:t>
      </w:r>
    </w:p>
    <w:p w14:paraId="70CD51E9" w14:textId="77777777" w:rsidR="009D7677" w:rsidRDefault="009D7677" w:rsidP="009D7677">
      <w:pPr>
        <w:pStyle w:val="TextoNormal"/>
      </w:pPr>
    </w:p>
    <w:p w14:paraId="2CF135FA" w14:textId="77777777" w:rsidR="009D7677" w:rsidRDefault="009D7677" w:rsidP="009D7677">
      <w:pPr>
        <w:pStyle w:val="TextoNormal"/>
      </w:pPr>
      <w:r>
        <w:t>La disposición final trigésima de la Ley 22/2021 modificó el precepto transcrito en los siguientes términos:</w:t>
      </w:r>
    </w:p>
    <w:p w14:paraId="5BCB3DD5" w14:textId="77777777" w:rsidR="009D7677" w:rsidRDefault="009D7677" w:rsidP="009D7677">
      <w:pPr>
        <w:pStyle w:val="TextoNormal"/>
      </w:pPr>
    </w:p>
    <w:p w14:paraId="3D89AA18" w14:textId="77777777" w:rsidR="009D7677" w:rsidRDefault="009D7677" w:rsidP="009D7677">
      <w:pPr>
        <w:pStyle w:val="TextoNormal"/>
      </w:pPr>
      <w:r>
        <w:t>“Disposición final trigésima. Modificación de la Ley 19/2021, de 20 de diciembre, por la que se establece el ingreso mínimo vital</w:t>
      </w:r>
    </w:p>
    <w:p w14:paraId="27D743B2" w14:textId="77777777" w:rsidR="009D7677" w:rsidRDefault="009D7677" w:rsidP="009D7677">
      <w:pPr>
        <w:pStyle w:val="TextoNormal"/>
      </w:pPr>
    </w:p>
    <w:p w14:paraId="05B8481C" w14:textId="77777777" w:rsidR="009D7677" w:rsidRDefault="009D7677" w:rsidP="009D7677">
      <w:pPr>
        <w:pStyle w:val="TextoNormal"/>
      </w:pPr>
      <w:r>
        <w:t>Con efectos desde la entrada en vigor de esta Ley y vigencia indefinida se modifica el primer párrafo de la disposición adicional quinta, que queda redactado como sigue:</w:t>
      </w:r>
    </w:p>
    <w:p w14:paraId="3769D098" w14:textId="77777777" w:rsidR="009D7677" w:rsidRDefault="009D7677" w:rsidP="009D7677">
      <w:pPr>
        <w:pStyle w:val="TextoNormal"/>
      </w:pPr>
    </w:p>
    <w:p w14:paraId="0D2D5D1E" w14:textId="77777777" w:rsidR="009D7677" w:rsidRDefault="009D7677" w:rsidP="009D7677">
      <w:pPr>
        <w:pStyle w:val="TextoNormal"/>
      </w:pPr>
      <w:r>
        <w:t>‘En razón de la especificidad que supone la existencia de haciendas forales, en relación con esta prestación, las comunidades autónomas de régimen foral asumirán, con referencia a su ámbito territorial, las funciones y servicios correspondientes que en esta Ley se atribuyen al Instituto Nacional de la Seguridad Social así como, en atención al sistema de financiación de dichas haciendas forales, el pago, en relación con la prestación económica no contributiva de la Seguridad Social del ingreso mínimo vital, en los términos que se acuerde’.</w:t>
      </w:r>
    </w:p>
    <w:p w14:paraId="3A773C3C" w14:textId="77777777" w:rsidR="009D7677" w:rsidRDefault="009D7677" w:rsidP="009D7677">
      <w:pPr>
        <w:pStyle w:val="TextoNormal"/>
      </w:pPr>
    </w:p>
    <w:p w14:paraId="5F11621D" w14:textId="77777777" w:rsidR="009D7677" w:rsidRDefault="009D7677" w:rsidP="009D7677">
      <w:pPr>
        <w:pStyle w:val="TextoNormal"/>
      </w:pPr>
      <w:r>
        <w:t>El resto de la disposición adicional permanece con la misma redacción”.</w:t>
      </w:r>
    </w:p>
    <w:p w14:paraId="19F3A071" w14:textId="77777777" w:rsidR="009D7677" w:rsidRDefault="009D7677" w:rsidP="009D7677">
      <w:pPr>
        <w:pStyle w:val="TextoNormal"/>
      </w:pPr>
    </w:p>
    <w:p w14:paraId="4B8330F0" w14:textId="7881C4E7" w:rsidR="009D7677" w:rsidRDefault="009D7677" w:rsidP="009D7677">
      <w:pPr>
        <w:pStyle w:val="TextoNormal"/>
      </w:pPr>
      <w:r>
        <w:t>Los recurrentes aducen que, como a la fecha de interposición de este recurso la disposición adicional quinta había sido reformada por la disposición final trigésima de la Ley 22/2021, impugnan también esta última.</w:t>
      </w:r>
    </w:p>
    <w:p w14:paraId="3171E327" w14:textId="77777777" w:rsidR="009D7677" w:rsidRDefault="009D7677" w:rsidP="009D7677">
      <w:pPr>
        <w:pStyle w:val="TextoNormal"/>
      </w:pPr>
    </w:p>
    <w:p w14:paraId="1054BC24" w14:textId="77777777" w:rsidR="009D7677" w:rsidRDefault="009D7677" w:rsidP="009D7677">
      <w:pPr>
        <w:pStyle w:val="TextoNormal"/>
      </w:pPr>
      <w:r w:rsidRPr="009D7677">
        <w:rPr>
          <w:rStyle w:val="NumeroAFNegritaCaracter"/>
        </w:rPr>
        <w:t>2</w:t>
      </w:r>
      <w:r>
        <w:t>. El escrito de interposición del recurso señala que, según el preámbulo de la Ley 19/2021, España es uno de los países de la Unión Europea en el que la distribución de la renta es más desigual. Asimismo, indica que, partiendo de este presupuesto, y al amparo de los arts. 41 CE y 9.2 CE, la Ley crea una “prestación dirigida a prevenir el riesgo de pobreza y exclusión social” (art. 1) y se configura por el legislador estatal dentro de “la acción protectora del sistema de la Seguridad Social como prestación económica en su modalidad no contributiva” (art. 2.2). Se afirma que el art. 25.1 de la Ley atribuye la competencia para el reconocimiento y control de esta prestación económica no contributiva de la Seguridad Social al Instituto Nacional de la Seguridad Social (INSS), aunque establece excepciones a esta regla, entre ellas la prevista en la disposición adicional quinta, que es la norma impugnada en el recurso. Los recurrentes aducen que esta norma supone la atribución íntegra al País Vasco y a Navarra de las competencias en materia de Seguridad Social con relación al ingreso mínimo vital (IMV). En su redacción inicial les otorgaba las funciones y servicios que corresponden, con carácter general, al INSS. La reforma de esta disposición, en atención al sistema de financiación de las haciendas locales, añade a estas competencias la relativa al pago de la prestación. De este modo —sostienen los recurrentes—, la norma atribuye a las comunidades autónomas de régimen foral competencias absolutas respecto del IMV.</w:t>
      </w:r>
    </w:p>
    <w:p w14:paraId="468FA223" w14:textId="77777777" w:rsidR="009D7677" w:rsidRDefault="009D7677" w:rsidP="009D7677">
      <w:pPr>
        <w:pStyle w:val="TextoNormal"/>
      </w:pPr>
    </w:p>
    <w:p w14:paraId="6509CE7E" w14:textId="77777777" w:rsidR="009D7677" w:rsidRDefault="009D7677" w:rsidP="009D7677">
      <w:pPr>
        <w:pStyle w:val="TextoNormal"/>
      </w:pPr>
      <w:r>
        <w:t>a) A continuación, se exponen los fundamentos jurídicos en los que se basa el recurso, que califica como competencial. Se aduce que, al atribuirse al País Vasco y a Navarra competencias en relación con una prestación pública no contributiva con cargo a la Segu</w:t>
      </w:r>
      <w:r>
        <w:lastRenderedPageBreak/>
        <w:t>ridad Social, se infringe el art. 149.1.17 CE. Los demandantes invocan la doctrina constitucional que, a su juicio, avala el encuadramiento de la controversia en el ámbito material de la Seguridad Social. En concreto, citan las SSTC 133/2019, de 13 de noviembre, FJ 4, relativa al subsidio extraordinario de desempleo, y 158/2021, de 16 de septiembre, FJ 3, que abordó la competencia para la gestión del IMV.</w:t>
      </w:r>
    </w:p>
    <w:p w14:paraId="7274C054" w14:textId="77777777" w:rsidR="009D7677" w:rsidRDefault="009D7677" w:rsidP="009D7677">
      <w:pPr>
        <w:pStyle w:val="TextoNormal"/>
      </w:pPr>
    </w:p>
    <w:p w14:paraId="1C8D6B19" w14:textId="77777777" w:rsidR="009D7677" w:rsidRDefault="009D7677" w:rsidP="009D7677">
      <w:pPr>
        <w:pStyle w:val="TextoNormal"/>
      </w:pPr>
      <w:r>
        <w:t>En relación con el título competencial del art. 149.1.17 CE, tras el examen de la doctrina constitucional [cita las SSTC 195/1996, de 28 de noviembre, FJ 6; 239/2002, de 11 de diciembre, FJ 8 d); 7/2016, de 21 de enero, FJ 4, y 158/2021, FJ 4 a)], los recurrentes concluyen que la disposición objeto de controversia “rompe, por primera vez desde la aprobación de la Constitución, el régimen económico de la Seguridad Social para atribuir la totalidad de funciones y servicios de una prestación pública a cargo de la Seguridad Social a las haciendas forales del País Vasco y Navarra”.</w:t>
      </w:r>
    </w:p>
    <w:p w14:paraId="0ADE77CE" w14:textId="77777777" w:rsidR="009D7677" w:rsidRDefault="009D7677" w:rsidP="009D7677">
      <w:pPr>
        <w:pStyle w:val="TextoNormal"/>
      </w:pPr>
    </w:p>
    <w:p w14:paraId="39E74C80" w14:textId="77777777" w:rsidR="009D7677" w:rsidRDefault="009D7677" w:rsidP="009D7677">
      <w:pPr>
        <w:pStyle w:val="TextoNormal"/>
      </w:pPr>
      <w:r>
        <w:t>Igualmente, con apoyo en la jurisprudencia del Tribunal (entre otras, SSTC 148/2006, de 11 de mayo, y 195/2006, de 22 de junio, sintetizadas en la STC 139/2016, de 21 de julio, FJ 12), los demandantes argumentan que, en relación con las supuestas “especificidades” que suponen las haciendas forales, “el régimen de foralidad no presenta particularidad alguna en relación con el régimen económico de la Seguridad Social, ya que la foralidad se ciñe al régimen tributario, mientras que la Seguridad Social se configura como un sistema estatal de prestaciones públicas igual en todo el territorio nacional y que se financia mediante ingresos propios estatales que se integran en la caja única de la Seguridad Social”. Sostienen que tanto el Estatuto de Autonomía para el País Vasco (EAPV) como la Ley Orgánica 13/1982, de 10 de agosto, de reintegración y amejoramiento del régimen foral de Navarra (LORAFNA) deben interpretarse de conformidad con la exégesis que del art. 149.1.17 CE ha realizado la jurisprudencia constitucional.</w:t>
      </w:r>
    </w:p>
    <w:p w14:paraId="22A0E66E" w14:textId="77777777" w:rsidR="009D7677" w:rsidRDefault="009D7677" w:rsidP="009D7677">
      <w:pPr>
        <w:pStyle w:val="TextoNormal"/>
      </w:pPr>
    </w:p>
    <w:p w14:paraId="2520F138" w14:textId="77777777" w:rsidR="009D7677" w:rsidRDefault="009D7677" w:rsidP="009D7677">
      <w:pPr>
        <w:pStyle w:val="TextoNormal"/>
      </w:pPr>
      <w:r>
        <w:t>b) Según afirman los diputados recurrentes, la disposición controvertida, al prever la atribución a las haciendas forales de la totalidad de las competencias del INSS en relación con el IMV “está desapoderando al Estado y atribuyendo a esas dos comunidades competencias nucleares para garantizar el mantenimiento de la caja única de la Seguridad Social y la persistencia de un sistema único de prestaciones públicas en todo el territorio nacional con cargo a aquella Seguridad Social”. Consideran, por ello, que la norma impugnada infringe el art. 149.1.17 CE. A su juicio, este precepto constitucional garantiza un régimen unitario de la caja única de la Seguridad Social que asegura una mínima igualdad en todo el territorio nacional en el disfrute de prestaciones públicas a cargo de la Seguridad Social. Entienden que la configuración del régimen público de Seguridad Social, “como único y unitario garante de la igualdad de todos los españoles en materia de derechos y obligaciones de Seguridad Social, incide también de manera muy relevante en la competencia exclusiva del Estado en materia de régimen económico”. Por esta razón sostienen que al Estado le corresponde la gestión o ejecución de los recursos económicos y la administración financiera. Aducen, además, que la competencia exclusiva estatal sobre esta materia no solo comprende la totalidad de las potestades normativas, sino también las facultades ejecutivas que recaen directamente sobre la actividad económica de la Seguridad Social —la relativa a la percepción de sus ingresos y la realización gastos— (STC 124/1989, de 7 de julio, FJ 3) y, en general, todas las facultades de ejecución “necesarias para configurar un sistema materialmente unitario” (STC 195/1996, FJ 6).</w:t>
      </w:r>
    </w:p>
    <w:p w14:paraId="608D3E76" w14:textId="77777777" w:rsidR="009D7677" w:rsidRDefault="009D7677" w:rsidP="009D7677">
      <w:pPr>
        <w:pStyle w:val="TextoNormal"/>
      </w:pPr>
    </w:p>
    <w:p w14:paraId="4D8B6CC8" w14:textId="77777777" w:rsidR="009D7677" w:rsidRDefault="009D7677" w:rsidP="009D7677">
      <w:pPr>
        <w:pStyle w:val="TextoNormal"/>
      </w:pPr>
      <w:r>
        <w:lastRenderedPageBreak/>
        <w:t>Invocan la STC 158/2021, en la que, a propósito del IMV, se sostiene que el régimen económico de la Seguridad Social como competencia exclusiva del Estado trata de garantizar la unidad presupuestaria del sistema a través de los principios de unidad de caja y solidaridad financiera, “impidiéndose, de este modo, la existencia de diversas políticas territoriales de Seguridad Social en cada una de las comunidades autónomas”. Los recurrentes alegan también que el IMV, al ser una prestación no contributiva de la Seguridad Social, ha de financiarse a cargo de la caja única de la Seguridad Social (se citan las SSTC 239/2002, de 11 de diciembre, FJ 8, y la 33/2014, de 27 de febrero, FJ 8). Sostienen que el reconocimiento y pago de las prestaciones de Seguridad Social integran su régimen económico en cuanto suponen un gasto y una obligación a cargo de la caja única (citan las SSTC 124/1989, FJ 6; 104/2013, de 25 de abril, FJ 4, y 133/2019, FJ 5).</w:t>
      </w:r>
    </w:p>
    <w:p w14:paraId="3BFC5991" w14:textId="77777777" w:rsidR="009D7677" w:rsidRDefault="009D7677" w:rsidP="009D7677">
      <w:pPr>
        <w:pStyle w:val="TextoNormal"/>
      </w:pPr>
    </w:p>
    <w:p w14:paraId="04378C4F" w14:textId="77777777" w:rsidR="009D7677" w:rsidRDefault="009D7677" w:rsidP="009D7677">
      <w:pPr>
        <w:pStyle w:val="TextoNormal"/>
      </w:pPr>
      <w:r>
        <w:t>Aducen también que la STC 272/2015, de 17 de diciembre, FJ 3, ha señalado que la gestión de una prestación de Seguridad Social comprende “las potestades ejecutivas que la misma conlleva, incluidas las que afectan” al “régimen económico unitario de la Seguridad Social”. Asimismo, sostienen que, según ha afirmado el Tribunal Constitucional, el Estado, en relación con su competencia exclusiva sobre “régimen económico”, no solo retiene la totalidad de las competencias normativas, sino también las facultades de gestión o ejecución necesarias para configurar un sistema materialmente unitario. Por todo ello, consideran que el art. 149.1.17 CE atribuye al Estado una gestión única que comprende, además de las funciones relativas a la gestión en sentido estricto (conocimiento y tramitación de solicitudes, supervisión de cumplimiento de los requisitos, revisión de actos relativos a la prestación de que se trate…), la ordenación jurídica del sistema de la Seguridad Social, interpretando la norma y disposiciones que le afecten en un mismo sentido en todo el territorio nacional. Afirman que, de acuerdo con la doctrina constitucional, el régimen público de Seguridad Social no es solo único, sino también unitario. Dentro del régimen único está incluida la totalidad de la acción protectora, tanto contributiva como no contributiva, para garantizar la igualdad de derechos y obligaciones de todos los ciudadanos.</w:t>
      </w:r>
    </w:p>
    <w:p w14:paraId="5CE8A43A" w14:textId="77777777" w:rsidR="009D7677" w:rsidRDefault="009D7677" w:rsidP="009D7677">
      <w:pPr>
        <w:pStyle w:val="TextoNormal"/>
      </w:pPr>
    </w:p>
    <w:p w14:paraId="04230D29" w14:textId="77777777" w:rsidR="009D7677" w:rsidRDefault="009D7677" w:rsidP="009D7677">
      <w:pPr>
        <w:pStyle w:val="TextoNormal"/>
      </w:pPr>
      <w:r>
        <w:t>c) La demanda señala que la especificidad de las haciendas forales no justifica que dichas comunidades autónomas asuman competencias en materia de gestión y pago del IMV. Citan la STC 123/1984, de 18 de diciembre, FJ 3, en la que se sostiene que “la idea de derechos históricos de las comunidades y territorios forales, a que alude la disposición adicional primera de la Constitución, no puede considerarse como un título autónomo, del que puedan deducirse específicas competencias, pues la propia disposición adicional manifiesta con toda claridad que la actualización general de dicho régimen foral se ha de llevar a cabo en el marco de la Constitución y de los estatutos de autonomía”.</w:t>
      </w:r>
    </w:p>
    <w:p w14:paraId="0F3605CB" w14:textId="77777777" w:rsidR="009D7677" w:rsidRDefault="009D7677" w:rsidP="009D7677">
      <w:pPr>
        <w:pStyle w:val="TextoNormal"/>
      </w:pPr>
    </w:p>
    <w:p w14:paraId="7912BDBA" w14:textId="77777777" w:rsidR="009D7677" w:rsidRDefault="009D7677" w:rsidP="009D7677">
      <w:pPr>
        <w:pStyle w:val="TextoNormal"/>
      </w:pPr>
      <w:r>
        <w:t>Por último, alegan que la inconstitucionalidad de la disposición impugnada no queda desvirtuada por el hecho de que se aplace la efectiva asunción de competencias por las comunidades autónomas de régimen foral hasta la suscripción del acuerdo previsto en el párrafo primero de esa disposición o del convenio al que alude el párrafo segundo de la misma. Al margen de que el efectivo ejercicio de la competencia dependa del oportuno acuerdo, lo que resulta indudable, la disposición adicional quinta es inconstitucional en cuanto, en contradicción con el art. 149.1.17 CE, habilita a los órganos del Estado para la ruptura de la unidad de caja de la Seguridad Social a través de un acuerdo o convenio.</w:t>
      </w:r>
    </w:p>
    <w:p w14:paraId="6EDC0E06" w14:textId="77777777" w:rsidR="009D7677" w:rsidRDefault="009D7677" w:rsidP="009D7677">
      <w:pPr>
        <w:pStyle w:val="TextoNormal"/>
      </w:pPr>
    </w:p>
    <w:p w14:paraId="78914290" w14:textId="709A423E" w:rsidR="009D7677" w:rsidRDefault="009D7677" w:rsidP="009D7677">
      <w:pPr>
        <w:pStyle w:val="TextoNormal"/>
      </w:pPr>
      <w:r>
        <w:lastRenderedPageBreak/>
        <w:t>Por todo ello, los diputados recurrentes solicitan al Tribunal que admita el recurso de inconstitucionalidad y, tras los trámites que procedan, dicte sentencia por la que se declare la inconstitucionalidad y nulidad de la disposición adicional quinta de la Ley 19/2021 y de la disposición final trigésima de la Ley 22/2021, que la modifica.</w:t>
      </w:r>
    </w:p>
    <w:p w14:paraId="490D1CCD" w14:textId="77777777" w:rsidR="009D7677" w:rsidRDefault="009D7677" w:rsidP="009D7677">
      <w:pPr>
        <w:pStyle w:val="TextoNormal"/>
      </w:pPr>
    </w:p>
    <w:p w14:paraId="5D620250" w14:textId="5A7F8844" w:rsidR="009D7677" w:rsidRDefault="009D7677" w:rsidP="009D7677">
      <w:pPr>
        <w:pStyle w:val="TextoNormal"/>
      </w:pPr>
      <w:r w:rsidRPr="009D7677">
        <w:rPr>
          <w:rStyle w:val="NumeroAFNegritaCaracter"/>
        </w:rPr>
        <w:t>3</w:t>
      </w:r>
      <w:r>
        <w:t>. El Pleno del Tribunal, a propuesta de la Sección Tercera, acordó, por providencia de 7 de abril de 2022, admitir a trámite el recurso de inconstitucionalidad. Asimismo, acordó dar traslado de la demanda y de los documentos presentados, conforme establece el art. 34 de la Ley Orgánica del Tribunal Constitucional (LOTC), al Congreso de los Diputados y al Senado, por conducto de sus presidentes, y al Gobierno, a través de la ministra de Justicia, al objeto de que, en el plazo de quince días, pudieran personarse en el proceso y formular las alegaciones que estimaran conveniente. Por último, ordenó publicar la incoación del recurso en el “Boletín Oficial del Estado”.</w:t>
      </w:r>
    </w:p>
    <w:p w14:paraId="0BB9CDD8" w14:textId="77777777" w:rsidR="009D7677" w:rsidRDefault="009D7677" w:rsidP="009D7677">
      <w:pPr>
        <w:pStyle w:val="TextoNormal"/>
      </w:pPr>
    </w:p>
    <w:p w14:paraId="7FA1B3F6" w14:textId="071387D3" w:rsidR="009D7677" w:rsidRDefault="009D7677" w:rsidP="009D7677">
      <w:pPr>
        <w:pStyle w:val="TextoNormal"/>
      </w:pPr>
      <w:r w:rsidRPr="009D7677">
        <w:rPr>
          <w:rStyle w:val="NumeroAFNegritaCaracter"/>
        </w:rPr>
        <w:t>4</w:t>
      </w:r>
      <w:r>
        <w:t>. Por escrito registrado en el Tribunal el 28 de abril de 2022, la presidenta del Congreso de los Diputados comunicó que la mesa había acordado dar por personada a esta Cámara y ofrecer su colaboración a los efectos de lo previsto en el art. 88.1 LOTC. Asimismo, en dicha fecha tuvo entrada en el registro del Tribunal un escrito del presidente del Senado con análoga comunicación.</w:t>
      </w:r>
    </w:p>
    <w:p w14:paraId="40858A97" w14:textId="77777777" w:rsidR="009D7677" w:rsidRDefault="009D7677" w:rsidP="009D7677">
      <w:pPr>
        <w:pStyle w:val="TextoNormal"/>
      </w:pPr>
    </w:p>
    <w:p w14:paraId="726ED87C" w14:textId="7D1E9721" w:rsidR="009D7677" w:rsidRDefault="009D7677" w:rsidP="009D7677">
      <w:pPr>
        <w:pStyle w:val="TextoNormal"/>
      </w:pPr>
      <w:r w:rsidRPr="009D7677">
        <w:rPr>
          <w:rStyle w:val="NumeroAFNegritaCaracter"/>
        </w:rPr>
        <w:t>5</w:t>
      </w:r>
      <w:r>
        <w:t>. El 4 de mayo de 2022 el letrado de los servicios jurídicos centrales del Gobierno Vasco compareció ante el Tribunal y solicitó que se admitiera la personación de la Comunidad Autónoma del País Vasco como coadyuvante, en orden a la defensa de la constitucionalidad de las disposiciones impugnadas, se le diera traslado del escrito de interposición del recurso y se le otorgara plazo para formular alegaciones.</w:t>
      </w:r>
    </w:p>
    <w:p w14:paraId="16DC38ED" w14:textId="77777777" w:rsidR="009D7677" w:rsidRDefault="009D7677" w:rsidP="009D7677">
      <w:pPr>
        <w:pStyle w:val="TextoNormal"/>
      </w:pPr>
    </w:p>
    <w:p w14:paraId="75C2D88B" w14:textId="72073016" w:rsidR="009D7677" w:rsidRDefault="009D7677" w:rsidP="009D7677">
      <w:pPr>
        <w:pStyle w:val="TextoNormal"/>
      </w:pPr>
      <w:r w:rsidRPr="009D7677">
        <w:rPr>
          <w:rStyle w:val="NumeroAFNegritaCaracter"/>
        </w:rPr>
        <w:t>6</w:t>
      </w:r>
      <w:r>
        <w:t>. El abogado del Estado, por escrito registrado en el Tribunal el 6 de mayo de 2022, se personó en nombre del Gobierno de la Nación y solicitó que, habida cuenta de la cantidad de asuntos pendientes ante esa Abogacía, se le concediera una prórroga del plazo para formular alegaciones por ocho días más.</w:t>
      </w:r>
    </w:p>
    <w:p w14:paraId="000C4B1F" w14:textId="77777777" w:rsidR="009D7677" w:rsidRDefault="009D7677" w:rsidP="009D7677">
      <w:pPr>
        <w:pStyle w:val="TextoNormal"/>
      </w:pPr>
    </w:p>
    <w:p w14:paraId="151624A4" w14:textId="41AA0A50" w:rsidR="009D7677" w:rsidRDefault="009D7677" w:rsidP="009D7677">
      <w:pPr>
        <w:pStyle w:val="TextoNormal"/>
      </w:pPr>
      <w:r w:rsidRPr="009D7677">
        <w:rPr>
          <w:rStyle w:val="NumeroAFNegritaCaracter"/>
        </w:rPr>
        <w:t>7</w:t>
      </w:r>
      <w:r>
        <w:t>. Por diligencia de ordenación del secretario de justicia del Pleno de 10 de mayo de 2022 se tuvo por personado al abogado del Estado y se le prorrogó en ocho días el plazo concedido para formular alegaciones. Respecto del escrito presentado por el letrado del Gobierno Vasco solicitando que se le admitiera su personación en calidad de coadyuvante, se acordó dar traslado a la parte recurrente y al abogado del Estado para que, en el plazo de diez días, alegaran lo que estimaran conveniente.</w:t>
      </w:r>
    </w:p>
    <w:p w14:paraId="2F5BD8EC" w14:textId="77777777" w:rsidR="009D7677" w:rsidRDefault="009D7677" w:rsidP="009D7677">
      <w:pPr>
        <w:pStyle w:val="TextoNormal"/>
      </w:pPr>
    </w:p>
    <w:p w14:paraId="45D914F1" w14:textId="0597C5E4" w:rsidR="009D7677" w:rsidRDefault="009D7677" w:rsidP="009D7677">
      <w:pPr>
        <w:pStyle w:val="TextoNormal"/>
      </w:pPr>
      <w:r w:rsidRPr="009D7677">
        <w:rPr>
          <w:rStyle w:val="NumeroAFNegritaCaracter"/>
        </w:rPr>
        <w:t>8</w:t>
      </w:r>
      <w:r>
        <w:t>. El asesor jurídico-letrado de la Comunidad Foral de Navarra, en representación del Gobierno de dicha comunidad solicitó, mediante escrito registrado el 19 de mayo de 2022, intervenir en este proceso constitucional de forma adhesiva, en calidad de coadyuvante, y que se le confiriera trámite para efectuar alegaciones. Por diligencia de ordenación de 20 de mayo de 2022 del secretario de justicia del Pleno se dio traslado del referido escrito a la parte recurrente y al abogado del Estado para que en el plazo de diez días formularan alegaciones.</w:t>
      </w:r>
    </w:p>
    <w:p w14:paraId="5DE41B87" w14:textId="77777777" w:rsidR="009D7677" w:rsidRDefault="009D7677" w:rsidP="009D7677">
      <w:pPr>
        <w:pStyle w:val="TextoNormal"/>
      </w:pPr>
    </w:p>
    <w:p w14:paraId="4598C4C9" w14:textId="77777777" w:rsidR="009D7677" w:rsidRDefault="009D7677" w:rsidP="009D7677">
      <w:pPr>
        <w:pStyle w:val="TextoNormal"/>
      </w:pPr>
      <w:r w:rsidRPr="009D7677">
        <w:rPr>
          <w:rStyle w:val="NumeroAFNegritaCaracter"/>
        </w:rPr>
        <w:lastRenderedPageBreak/>
        <w:t>9</w:t>
      </w:r>
      <w:r>
        <w:t>. Por escrito registrado en el Tribunal el 23 de mayo de 2022 el abogado del Estado formuló alegaciones solicitando la desestimación del recurso.</w:t>
      </w:r>
    </w:p>
    <w:p w14:paraId="031D72A9" w14:textId="77777777" w:rsidR="009D7677" w:rsidRDefault="009D7677" w:rsidP="009D7677">
      <w:pPr>
        <w:pStyle w:val="TextoNormal"/>
      </w:pPr>
    </w:p>
    <w:p w14:paraId="60C95690" w14:textId="77777777" w:rsidR="009D7677" w:rsidRDefault="009D7677" w:rsidP="009D7677">
      <w:pPr>
        <w:pStyle w:val="TextoNormal"/>
      </w:pPr>
      <w:r>
        <w:t>a) En primer lugar, aduce que la impugnación de la redacción originaria de la disposición adicional quinta de la Ley 19/2021 carece de objeto, al haber sido derogada por la Ley 22/2021. Por ello, considera que esta impugnación ha de ser inadmitida. Por otra parte, pone de manifiesto que en el recurso no se argumenta sobre la inconstitucionalidad del segundo párrafo de la disposición adicional quinta, por lo que, al no haber cumplido los recurrentes la carga de justificar su impugnación, considera que no procede que el Tribunal lo examine. En consecuencia, las alegaciones que efectúa se ciñen al párrafo primero de la disposición adicional quinta en la redacción vigente.</w:t>
      </w:r>
    </w:p>
    <w:p w14:paraId="60BA377C" w14:textId="77777777" w:rsidR="009D7677" w:rsidRDefault="009D7677" w:rsidP="009D7677">
      <w:pPr>
        <w:pStyle w:val="TextoNormal"/>
      </w:pPr>
    </w:p>
    <w:p w14:paraId="373F2FF1" w14:textId="77777777" w:rsidR="009D7677" w:rsidRDefault="009D7677" w:rsidP="009D7677">
      <w:pPr>
        <w:pStyle w:val="TextoNormal"/>
      </w:pPr>
      <w:r>
        <w:t>b) El abogado del Estado considera que la disposición impugnada no conlleva una extensión del ámbito competencial de las comunidades del País Vasco y de Navarra al amparo de la disposición adicional primera CE. Entiende que, como ha afirmado la STC 158/2021, el IMV es de competencia exclusiva del Estado. No obstante, considera que las especialidades de las haciendas forales justifican la previsión que contiene la disposición adicional recurrida. Según sostiene, el particular régimen tributario que tienen el País Vasco y Navarra, que conlleva que estas comunidades ostenten competencias parciales para la regulación y exacción de los tributos concertados o convenidos, un régimen de autofinanciación de los gastos que se deriven del ejercicio de sus competencias y un sistema de cupo o aportación con el que las referidas comunidades deben contribuir a los gastos del Estado, lleva a que la disposición impugnada habilite para que, en virtud del principio de colaboración, la administración del Estado y las comunidades autónomas forales puedan concluir un acuerdo para la más eficaz aplicación del IMV.</w:t>
      </w:r>
    </w:p>
    <w:p w14:paraId="561284B1" w14:textId="77777777" w:rsidR="009D7677" w:rsidRDefault="009D7677" w:rsidP="009D7677">
      <w:pPr>
        <w:pStyle w:val="TextoNormal"/>
      </w:pPr>
    </w:p>
    <w:p w14:paraId="6FC8328D" w14:textId="77777777" w:rsidR="009D7677" w:rsidRDefault="009D7677" w:rsidP="009D7677">
      <w:pPr>
        <w:pStyle w:val="TextoNormal"/>
      </w:pPr>
      <w:r>
        <w:t>El abogado del Estado cita otros supuestos de colaboración entre administraciones públicas que prevé la Ley 19/2021. Se refiere, en concreto, a los supuestos regulados en los arts. 25.2 y 32 y en la disposición adicional cuarta, en los que se prevé la posibilidad de que  comunidades autónomas y entidades locales puedan suscribir convenios con fórmulas para la gestión del IMV. Por otra parte, recuerda que la STC 158/2021 hizo una llamada expresa a la colaboración entre administraciones públicas en la gestión de esta prestación.</w:t>
      </w:r>
    </w:p>
    <w:p w14:paraId="62E4CFFC" w14:textId="77777777" w:rsidR="009D7677" w:rsidRDefault="009D7677" w:rsidP="009D7677">
      <w:pPr>
        <w:pStyle w:val="TextoNormal"/>
      </w:pPr>
    </w:p>
    <w:p w14:paraId="7810D49C" w14:textId="77777777" w:rsidR="009D7677" w:rsidRDefault="009D7677" w:rsidP="009D7677">
      <w:pPr>
        <w:pStyle w:val="TextoNormal"/>
      </w:pPr>
      <w:r>
        <w:t>Por todo ello, considera que la disposición adicional quinta no habilita una transferencia de competencias del INSS sobre el IMV, sino un modo de colaboración entre administraciones basado en sus características específicas —un sistema propio de gestión tributaria y de autofinanciación— que no son extrapolables a otras comunidades autónomas. En su opinión, este mecanismo de colaboración es conforme con la doctrina de la STC 158/2021.</w:t>
      </w:r>
    </w:p>
    <w:p w14:paraId="3A68823F" w14:textId="77777777" w:rsidR="009D7677" w:rsidRDefault="009D7677" w:rsidP="009D7677">
      <w:pPr>
        <w:pStyle w:val="TextoNormal"/>
      </w:pPr>
    </w:p>
    <w:p w14:paraId="4B173C8C" w14:textId="77777777" w:rsidR="009D7677" w:rsidRDefault="009D7677" w:rsidP="009D7677">
      <w:pPr>
        <w:pStyle w:val="TextoNormal"/>
      </w:pPr>
      <w:r>
        <w:t>c) El representante del Gobierno de la Nación aduce que las comunidades forales actúan como mandatarias del pago, con estricto cumplimiento de los criterios fijados por la ley que regula el IMV, por lo que la atribución de estas facultades no conlleva una ruptura del régimen de caja única de la Seguridad Social, ya que los requisitos para la obtención del IMV en los territorios forales son los mismos que en el resto. Esta disposición —a su juicio— solo prevé, con los condicionamientos establecidos por el Estado, un régimen de mandato de pago material que ejecutan las comunidades forales, sin perjuicio de que los correspondientes flujos financieros se articulen a través de su específico régimen financie</w:t>
      </w:r>
      <w:r>
        <w:lastRenderedPageBreak/>
        <w:t>ro. Subraya, además, que la atribución de las facultades de tramitación del IMV al País Vasco y Navarra no les otorga ningún margen de discrecionalidad para valorar si procede o no reconocer la prestación, por lo que el ejercicio de las referidas facultades no afecta al principio de igualdad.</w:t>
      </w:r>
    </w:p>
    <w:p w14:paraId="5EAFCAF6" w14:textId="77777777" w:rsidR="009D7677" w:rsidRDefault="009D7677" w:rsidP="009D7677">
      <w:pPr>
        <w:pStyle w:val="TextoNormal"/>
      </w:pPr>
    </w:p>
    <w:p w14:paraId="28F31012" w14:textId="36F98F73" w:rsidR="009D7677" w:rsidRDefault="009D7677" w:rsidP="009D7677">
      <w:pPr>
        <w:pStyle w:val="TextoNormal"/>
      </w:pPr>
      <w:r>
        <w:t>Las consideraciones expuestas llevan al abogado del Estado a solicitar que se inadmita el recurso respecto de la versión inicial de la disposición adicional quinta de la Ley 19/2021 y se desestime el recurso en todo lo demás.</w:t>
      </w:r>
    </w:p>
    <w:p w14:paraId="020E311B" w14:textId="77777777" w:rsidR="009D7677" w:rsidRDefault="009D7677" w:rsidP="009D7677">
      <w:pPr>
        <w:pStyle w:val="TextoNormal"/>
      </w:pPr>
    </w:p>
    <w:p w14:paraId="66A87EFB" w14:textId="77777777" w:rsidR="009D7677" w:rsidRDefault="009D7677" w:rsidP="009D7677">
      <w:pPr>
        <w:pStyle w:val="TextoNormal"/>
      </w:pPr>
      <w:r w:rsidRPr="009D7677">
        <w:rPr>
          <w:rStyle w:val="NumeroAFNegritaCaracter"/>
        </w:rPr>
        <w:t>10</w:t>
      </w:r>
      <w:r>
        <w:t>. Por sendos escritos registrados en el Tribunal el 25 y el 31 de mayo de 2022 el abogado del Estado manifestó que no se oponía a la solicitud de personación en este proceso formulada por los gobiernos vasco y navarro.</w:t>
      </w:r>
    </w:p>
    <w:p w14:paraId="7D4C4A9B" w14:textId="77777777" w:rsidR="009D7677" w:rsidRDefault="009D7677" w:rsidP="009D7677">
      <w:pPr>
        <w:pStyle w:val="TextoNormal"/>
      </w:pPr>
    </w:p>
    <w:p w14:paraId="74C31E02" w14:textId="77777777" w:rsidR="009D7677" w:rsidRDefault="009D7677" w:rsidP="009D7677">
      <w:pPr>
        <w:pStyle w:val="TextoNormal"/>
      </w:pPr>
      <w:r>
        <w:t>Por escrito presentado en el Tribunal el 31 de mayo de 2022 la representación procesal de los diputados recurrentes adujo que no se oponía a la solicitud formulada por el Gobierno de Navarra para intervenir en calidad de coadyuvante.</w:t>
      </w:r>
    </w:p>
    <w:p w14:paraId="00CBB27F" w14:textId="77777777" w:rsidR="009D7677" w:rsidRDefault="009D7677" w:rsidP="009D7677">
      <w:pPr>
        <w:pStyle w:val="TextoNormal"/>
      </w:pPr>
    </w:p>
    <w:p w14:paraId="124604CB" w14:textId="48548AD4" w:rsidR="009D7677" w:rsidRDefault="009D7677" w:rsidP="009D7677">
      <w:pPr>
        <w:pStyle w:val="TextoNormal"/>
      </w:pPr>
      <w:r>
        <w:t>Mediante providencia de 30 de junio de 2022 el Pleno acordó acceder a lo solicitado por los gobiernos vasco y navarro y, en consecuencia, tenerlos por comparecidos en el recurso de inconstitucionalidad en calidad de coadyuvantes del Gobierno de España, dándoles traslado del recurso de inconstitucionalidad y de los documentos presentados a fin de que en el plazo de quince días pudieran formular las alegaciones que considerasen necesarias en defensa de la constitucionalidad de las disposiciones impugnadas.</w:t>
      </w:r>
    </w:p>
    <w:p w14:paraId="459A91E7" w14:textId="77777777" w:rsidR="009D7677" w:rsidRDefault="009D7677" w:rsidP="009D7677">
      <w:pPr>
        <w:pStyle w:val="TextoNormal"/>
      </w:pPr>
    </w:p>
    <w:p w14:paraId="3616594A" w14:textId="77777777" w:rsidR="009D7677" w:rsidRDefault="009D7677" w:rsidP="009D7677">
      <w:pPr>
        <w:pStyle w:val="TextoNormal"/>
      </w:pPr>
      <w:r w:rsidRPr="009D7677">
        <w:rPr>
          <w:rStyle w:val="NumeroAFNegritaCaracter"/>
        </w:rPr>
        <w:t>11</w:t>
      </w:r>
      <w:r>
        <w:t>. El Gobierno Vasco presentó su escrito de alegaciones el 21 de julio de 2022, interesando la desestimación del recurso.</w:t>
      </w:r>
    </w:p>
    <w:p w14:paraId="5E3481F5" w14:textId="77777777" w:rsidR="009D7677" w:rsidRDefault="009D7677" w:rsidP="009D7677">
      <w:pPr>
        <w:pStyle w:val="TextoNormal"/>
      </w:pPr>
    </w:p>
    <w:p w14:paraId="6EDF1F63" w14:textId="77777777" w:rsidR="009D7677" w:rsidRDefault="009D7677" w:rsidP="009D7677">
      <w:pPr>
        <w:pStyle w:val="TextoNormal"/>
      </w:pPr>
      <w:r>
        <w:t>a) Coincide con los diputados recurrentes en que la cuestión planteada en este recurso es estrictamente competencial. Entiende que la cuestión que ha de examinar el Tribunal es si la regulación que establece el precepto impugnado de la Ley que establece el IMV supone una vulneración de la caja única de la Seguridad Social.</w:t>
      </w:r>
    </w:p>
    <w:p w14:paraId="7D59E020" w14:textId="77777777" w:rsidR="009D7677" w:rsidRDefault="009D7677" w:rsidP="009D7677">
      <w:pPr>
        <w:pStyle w:val="TextoNormal"/>
      </w:pPr>
    </w:p>
    <w:p w14:paraId="447E3012" w14:textId="77777777" w:rsidR="009D7677" w:rsidRDefault="009D7677" w:rsidP="009D7677">
      <w:pPr>
        <w:pStyle w:val="TextoNormal"/>
      </w:pPr>
      <w:r>
        <w:t>A juicio de esta parte, las determinaciones contenidas en la disposición impugnada no presentan tachas de inconstitucionalidad. Alega que las Cortes Generales, en el marco de la Constitución, pueden configurar el modelo de protección social que mejor se adapte a cada momento y establecer las formas de gestión de este modelo que consideren procedente. Asimismo, pone de relieve que el IMV constituye una nueva prestación económica no contributiva de la Seguridad Social. La disposición impugnada respeta el orden constitucional de competencias al atribuir a la Comunidad Autónoma del País Vasco y a la Comunidad Foral de Navarra las funciones y servicios que la ley asigna organizativamente al INSS, así como las correspondientes al pago de esta prestación, en los términos que se acuerden con el Estado.</w:t>
      </w:r>
    </w:p>
    <w:p w14:paraId="00492427" w14:textId="77777777" w:rsidR="009D7677" w:rsidRDefault="009D7677" w:rsidP="009D7677">
      <w:pPr>
        <w:pStyle w:val="TextoNormal"/>
      </w:pPr>
    </w:p>
    <w:p w14:paraId="1802A2E4" w14:textId="77777777" w:rsidR="009D7677" w:rsidRDefault="009D7677" w:rsidP="009D7677">
      <w:pPr>
        <w:pStyle w:val="TextoNormal"/>
      </w:pPr>
      <w:r>
        <w:t xml:space="preserve">El letrado autonómico considera que los títulos competenciales implicados en el conflicto competencial que se suscita en este recurso son los previstos en el art. 149.1.17 y en la disposición adicional primera CE y, para el caso de la Comunidad Autónoma del País Vasco, en el art. 18 y la disposición transitoria quinta EAPV. Esta es la conclusión a la que llegó la STC 158/2021, FFJJ 3 y 4, al afirmar que la prestación no contributiva del </w:t>
      </w:r>
      <w:r>
        <w:lastRenderedPageBreak/>
        <w:t>IMV tiene encaje en el art. 149.1.17 CE, en el que se establece la competencia exclusiva del Estado en “[l]egislación básica y régimen económico de la Seguridad Social, sin perjuicio de la ejecución de sus servicios por las comunidades autónomas”. En las citadas normas estatutarias se establece la competencia del País Vasco en materia de gestión del régimen económico de la Seguridad Social.</w:t>
      </w:r>
    </w:p>
    <w:p w14:paraId="1D842E8F" w14:textId="77777777" w:rsidR="009D7677" w:rsidRDefault="009D7677" w:rsidP="009D7677">
      <w:pPr>
        <w:pStyle w:val="TextoNormal"/>
      </w:pPr>
    </w:p>
    <w:p w14:paraId="061EADC9" w14:textId="77777777" w:rsidR="009D7677" w:rsidRDefault="009D7677" w:rsidP="009D7677">
      <w:pPr>
        <w:pStyle w:val="TextoNormal"/>
      </w:pPr>
      <w:r>
        <w:t>Razona, además, que la disposición impugnada encuentra uno de sus fundamentos constitucionales en la singularidad que supone la existencia de las haciendas forales, así como en su sistema de financiación, lo que, según se afirma, supone una llamada al sistema de concierto económico anclado en la disposición adicional primera CE. Por ello, el Gobierno Vasco entiende que la Ley 19/2021 no ha hecho más que, atendiendo al mandato constitucional, preservar la singularidad del régimen foral en unos términos compatibles con la Constitución.</w:t>
      </w:r>
    </w:p>
    <w:p w14:paraId="594D53F7" w14:textId="77777777" w:rsidR="009D7677" w:rsidRDefault="009D7677" w:rsidP="009D7677">
      <w:pPr>
        <w:pStyle w:val="TextoNormal"/>
      </w:pPr>
    </w:p>
    <w:p w14:paraId="4A941B3A" w14:textId="77777777" w:rsidR="009D7677" w:rsidRDefault="009D7677" w:rsidP="009D7677">
      <w:pPr>
        <w:pStyle w:val="TextoNormal"/>
      </w:pPr>
      <w:r>
        <w:t xml:space="preserve">El escrito del Gobierno autonómico sostiene, en contra de lo que afirman los recurrentes, que no es aplicable el título contenido en el art. 149.1.1 CE, dado que al Estado le corresponde la competencia en materia de legislación básica de la Seguridad Social en virtud del art. 149.1.17 CE. Invoca la doctrina establecida en la STC 128/2016, de 7 de julio, FJ 9, en la que el Tribunal afirmó que la igualdad a preservar </w:t>
      </w:r>
      <w:r w:rsidRPr="009D7677">
        <w:rPr>
          <w:i/>
        </w:rPr>
        <w:t>ex</w:t>
      </w:r>
      <w:r>
        <w:t xml:space="preserve"> art. 149.1.1 CE queda subsumida en las competencias básicas que el art. 149.1 CE atribuye al Estado que, en el caso enjuiciado, son las del apartado 17.</w:t>
      </w:r>
    </w:p>
    <w:p w14:paraId="2F4F95F9" w14:textId="77777777" w:rsidR="009D7677" w:rsidRDefault="009D7677" w:rsidP="009D7677">
      <w:pPr>
        <w:pStyle w:val="TextoNormal"/>
      </w:pPr>
    </w:p>
    <w:p w14:paraId="2C6AFA50" w14:textId="77777777" w:rsidR="009D7677" w:rsidRDefault="009D7677" w:rsidP="009D7677">
      <w:pPr>
        <w:pStyle w:val="TextoNormal"/>
      </w:pPr>
      <w:r>
        <w:t>El Gobierno Vasco señala que, como ha sostenido reiteradamente el Tribunal (cita la STC 195/1996, FJ 6), el art. 149.1.17 CE, contiene dos submaterias distintas: la Seguridad Social y su régimen económico. Indica que la STC 158/2021 no define claramente en cuál de estas dos materias tiene su encaje la prestación del IMV pero, en cualquiera de los dos casos, la Comunidad Autónoma del País Vasco tiene reconocidas competencias ejecutivas bastantes para llevar a cabo las funciones y servicios de gestión y pago del IMV, en los términos que se concierten con el Estado tal y como dispone la disposición controvertida en este proceso constitucional.</w:t>
      </w:r>
    </w:p>
    <w:p w14:paraId="7F61E770" w14:textId="77777777" w:rsidR="009D7677" w:rsidRDefault="009D7677" w:rsidP="009D7677">
      <w:pPr>
        <w:pStyle w:val="TextoNormal"/>
      </w:pPr>
    </w:p>
    <w:p w14:paraId="55FB3B2D" w14:textId="77777777" w:rsidR="009D7677" w:rsidRDefault="009D7677" w:rsidP="009D7677">
      <w:pPr>
        <w:pStyle w:val="TextoNormal"/>
      </w:pPr>
      <w:r>
        <w:t>b) El letrado autonómico descarta que atente al reparto constitucional de competencias el que esa comunidad autónoma desarrolle las funciones ejecutivas de las prestaciones en los términos expuestos en la disposición adicional quinta de la Ley 19/2021, pues el libramiento del pago a los beneficiarios definidos en la normativa estatal es una función ejecutiva que no es necesaria “para configurar un sistema materialmente unitario” (cita las SSTC 133/2019 y 158/2021). Entiende, por otra parte, que la Ley 19/2021 ha establecido el régimen jurídico del IMV para todo el territorio nacional, sin posibilidad de desarrollo normativo por las comunidades autónomas y también ha fijado el modelo de gestión que, en el caso del País Vasco y Navarra, conlleva que estas comunidades realicen las funciones y servicios de gestión y pago, previo acuerdo con el Estado. El ejercicio de estas competencias por las comunidades autónomas forales no puede comprometer la unidad del sistema de Seguridad Social ni perturbar su funcionamiento uniforme.</w:t>
      </w:r>
    </w:p>
    <w:p w14:paraId="5B9B392F" w14:textId="77777777" w:rsidR="009D7677" w:rsidRDefault="009D7677" w:rsidP="009D7677">
      <w:pPr>
        <w:pStyle w:val="TextoNormal"/>
      </w:pPr>
    </w:p>
    <w:p w14:paraId="5529BC94" w14:textId="77777777" w:rsidR="009D7677" w:rsidRDefault="009D7677" w:rsidP="009D7677">
      <w:pPr>
        <w:pStyle w:val="TextoNormal"/>
      </w:pPr>
      <w:r>
        <w:t>Por otra parte, el Gobierno autonómico pone de manifiesto que el IMV es una nueva prestación económica no contributiva en el marco de un sistema dirigido hacia una progresiva acción protectora a la Seguridad Social. Esta evolución conlleva una participación más activa de las comunidades autónomas para la gestión de estas prestaciones no contri</w:t>
      </w:r>
      <w:r>
        <w:lastRenderedPageBreak/>
        <w:t>butivas (“modelo de gobernanza compartida”). En contra de lo que sostienen los recurrentes, este sistema ni quiebra la unidad del régimen económico de la Seguridad Social ni es la primera vez que las comunidades autónomas gestionan y pagan prestaciones no contributivas de la Seguridad Social. El Gobierno Vasco aduce que el mero libramiento del pago por la Comunidad Autónoma del País Vasco no supone la “quiebra de la unidad de régimen económico” o el “desgarro de la unidad de caja”, máxime cuando el Estado dispone de variadas herramientas (normativas y coordinadoras) para reconducir cualquier uso torticero que pudiera hacerse.</w:t>
      </w:r>
    </w:p>
    <w:p w14:paraId="1F74A512" w14:textId="77777777" w:rsidR="009D7677" w:rsidRDefault="009D7677" w:rsidP="009D7677">
      <w:pPr>
        <w:pStyle w:val="TextoNormal"/>
      </w:pPr>
    </w:p>
    <w:p w14:paraId="1F9A953D" w14:textId="77777777" w:rsidR="009D7677" w:rsidRDefault="009D7677" w:rsidP="009D7677">
      <w:pPr>
        <w:pStyle w:val="TextoNormal"/>
      </w:pPr>
      <w:r>
        <w:t>Alega también que es un hecho incontestable que la Comunidad Autónoma del País Vasco ya gestiona y paga las pensiones no contributivas por jubilación e invalidez que la Ley 26/1990 reconoció como prestaciones de la Seguridad Social y es evidente que ello no ha ocasionado quiebra ni desgarro alguno de la unidad de caja de la Seguridad Social.</w:t>
      </w:r>
    </w:p>
    <w:p w14:paraId="4B2A9937" w14:textId="77777777" w:rsidR="009D7677" w:rsidRDefault="009D7677" w:rsidP="009D7677">
      <w:pPr>
        <w:pStyle w:val="TextoNormal"/>
      </w:pPr>
    </w:p>
    <w:p w14:paraId="200C3D63" w14:textId="77777777" w:rsidR="009D7677" w:rsidRDefault="009D7677" w:rsidP="009D7677">
      <w:pPr>
        <w:pStyle w:val="TextoNormal"/>
      </w:pPr>
      <w:r>
        <w:t>A continuación, el Gobierno Vasco expone cómo ha ido cambiando el marco de protección social que garantiza el art. 41 CE, destacando la evolución de la Seguridad Social “interna”, a la que se han incorporado las prestaciones no contributivas (STC 158/2021). También alude a los hitos históricos en la materia del art. 149.1.17 CE, exponiendo las sentencias del Tribunal recaídas sobre ella. Asimismo, alude al régimen de financiación y de gestión específico para las prestaciones no contributivas, diferenciándolo del contributivo y efectúa un excurso sobre la evolución de otras acciones protectoras del Estado inicialmente integradas en la Seguridad Social y financiadas por la Tesorería General de la Seguridad Social.</w:t>
      </w:r>
    </w:p>
    <w:p w14:paraId="40D16272" w14:textId="77777777" w:rsidR="009D7677" w:rsidRDefault="009D7677" w:rsidP="009D7677">
      <w:pPr>
        <w:pStyle w:val="TextoNormal"/>
      </w:pPr>
    </w:p>
    <w:p w14:paraId="51EB2F09" w14:textId="77777777" w:rsidR="009D7677" w:rsidRDefault="009D7677" w:rsidP="009D7677">
      <w:pPr>
        <w:pStyle w:val="TextoNormal"/>
      </w:pPr>
      <w:r>
        <w:t>El letrado autonómico sostiene, asimismo, que el art. 41 CE no prejuzga ningún modelo de la Seguridad Social. Es el legislador estatal, al regular las “bases del sistema” y su “régimen económico” quien debe configurar en cada momento la dimensión y contenido concreto que se haya querido dar a la llamada acción protectora pública de la Seguridad Social. Señala que el art. 41 CE concibe el sistema de Seguridad Social como una “función del Estado” de protección a los ciudadanos ante situaciones de necesidad. Salvada esta limitación, los derechos que los ciudadanos pueden tener en materia de Seguridad Social son de estricta configuración legal, disponiendo el legislador de un amplio margen de configuración, por ejemplo, para establecer una gestión descentralizada de esta prestación no contributiva.</w:t>
      </w:r>
    </w:p>
    <w:p w14:paraId="115418C2" w14:textId="77777777" w:rsidR="009D7677" w:rsidRDefault="009D7677" w:rsidP="009D7677">
      <w:pPr>
        <w:pStyle w:val="TextoNormal"/>
      </w:pPr>
    </w:p>
    <w:p w14:paraId="74F8A0CF" w14:textId="77777777" w:rsidR="009D7677" w:rsidRDefault="009D7677" w:rsidP="009D7677">
      <w:pPr>
        <w:pStyle w:val="TextoNormal"/>
      </w:pPr>
      <w:r>
        <w:t xml:space="preserve">c) Por otro lado, el Gobierno Vasco aduce que los recurrentes no han argumentado por qué consideran que la norma impugnada conlleva el quebranto del sistema constitucional de la Seguridad Social. Se indica que en el momento de la aprobación del IMV el País Vasco ya tenía una experiencia acumulada de trece años distribuyendo los fondos de una ayuda social (renta de garantía de ingresos) configurada de modo muy parecido al IMV. Asimismo, reitera que el País Vasco lleva gestionando y pagando desde hace décadas las prestaciones no contributivas de jubilación e invalidez y financiándolas conforme al sistema del concierto económico. Aduce que la caja única de la Seguridad Social no se puede identificar como una incompatibilidad con la utilización de formas descentralizadas pues la centralización única no existe, ni siquiera en el seno de la Seguridad Social, ya que buena parte de su gestión se efectúa por entes colaboradores. Afirma que la decisión del legislador de crear una nueva prestación no contributiva y atribuirla a la Comunidad Autónoma </w:t>
      </w:r>
      <w:r>
        <w:lastRenderedPageBreak/>
        <w:t>del País Vasco, por sus especificidades forales, supone una continuidad del modelo definido en relación con las prestaciones no contributivas.</w:t>
      </w:r>
    </w:p>
    <w:p w14:paraId="480E1383" w14:textId="77777777" w:rsidR="009D7677" w:rsidRDefault="009D7677" w:rsidP="009D7677">
      <w:pPr>
        <w:pStyle w:val="TextoNormal"/>
      </w:pPr>
    </w:p>
    <w:p w14:paraId="060EA2BD" w14:textId="77777777" w:rsidR="009D7677" w:rsidRDefault="009D7677" w:rsidP="009D7677">
      <w:pPr>
        <w:pStyle w:val="TextoNormal"/>
      </w:pPr>
      <w:r>
        <w:t xml:space="preserve">Invoca las SSTC 128/2016, FJ 9; 133/2019, FJ 5, y 158/2021, FJ 5, según las cuales las comunidades autónomas pueden gestionar íntegramente las prestaciones no contributivas si no se comprometen los principios constitucionales de la institución de la Seguridad Social y se suscribe un convenio, en el caso vasco previsto en la disposición transitoria quinta EAPV, en el que se coordinen la ejecución de estos servicios y funciones ejecutivas a desarrollar. Por tanto, la asunción de estas funciones y servicios no tienen lugar </w:t>
      </w:r>
      <w:r w:rsidRPr="009D7677">
        <w:rPr>
          <w:i/>
        </w:rPr>
        <w:t>ope legis</w:t>
      </w:r>
      <w:r>
        <w:t>, sino que exige, de acuerdo con la doctrina establecida en la STC 158/2021, FJ 5, un convenio previo en el que se dispongan “los términos [en] que se acuerde” el traspaso.</w:t>
      </w:r>
    </w:p>
    <w:p w14:paraId="7ECEBB0B" w14:textId="77777777" w:rsidR="009D7677" w:rsidRDefault="009D7677" w:rsidP="009D7677">
      <w:pPr>
        <w:pStyle w:val="TextoNormal"/>
      </w:pPr>
    </w:p>
    <w:p w14:paraId="1D7E5CB9" w14:textId="77777777" w:rsidR="009D7677" w:rsidRDefault="009D7677" w:rsidP="009D7677">
      <w:pPr>
        <w:pStyle w:val="TextoNormal"/>
      </w:pPr>
      <w:r>
        <w:t>d) El letrado del Gobierno Vasco termina recalcando que la norma impugnada no cuestiona la titularidad estatal de todos los recursos de la Seguridad Social y se limita a establecer un sistema organizativo que no engendra desigualdades entre los ciudadanos en lo que atañe a la satisfacción de sus derechos y al cumplimiento de sus obligaciones de Seguridad Social, pues las funciones asumidas por la comunidad autónoma, previo convenio (cita la STC 158/2021, FJ 5), son estrictamente de gestión, correspondiendo al Estado la competencia normativa y de coordinación.</w:t>
      </w:r>
    </w:p>
    <w:p w14:paraId="11E06224" w14:textId="77777777" w:rsidR="009D7677" w:rsidRDefault="009D7677" w:rsidP="009D7677">
      <w:pPr>
        <w:pStyle w:val="TextoNormal"/>
      </w:pPr>
    </w:p>
    <w:p w14:paraId="7725130C" w14:textId="3DE4FB24" w:rsidR="009D7677" w:rsidRDefault="009D7677" w:rsidP="009D7677">
      <w:pPr>
        <w:pStyle w:val="TextoNormal"/>
      </w:pPr>
      <w:r>
        <w:t>Por último, rechaza la alegación de los recurrentes por la que la disposición impugnada, al prever un diferente régimen ejecutivo para las comunidades autónomas vasca y navarra vulnera la igualdad. Con cita de la STC 37/1987, alega que “el principio constitucional de igualdad no impone que todas las comunidades autónomas ostenten las mismas competencias”. Las diferencias que puedan existir entre comunidades autónomas por la atribución de una tarea concreta de gestión no pueden vulnerar la igualdad de derechos y obligaciones de los beneficiarios del IMV. Además, la norma impugnada no transfiere una competencia inaccesible para otras comunidades autónomas, sino que se trata de una diferente intensidad en el ejercicio de la competencia de ejecución que se justifica en las singularidades constitucionales que las comunidades de régimen foral tienen en materia hacendística.</w:t>
      </w:r>
    </w:p>
    <w:p w14:paraId="10564AF8" w14:textId="77777777" w:rsidR="009D7677" w:rsidRDefault="009D7677" w:rsidP="009D7677">
      <w:pPr>
        <w:pStyle w:val="TextoNormal"/>
      </w:pPr>
    </w:p>
    <w:p w14:paraId="74EA1AFC" w14:textId="77777777" w:rsidR="009D7677" w:rsidRDefault="009D7677" w:rsidP="009D7677">
      <w:pPr>
        <w:pStyle w:val="TextoNormal"/>
      </w:pPr>
      <w:r w:rsidRPr="009D7677">
        <w:rPr>
          <w:rStyle w:val="NumeroAFNegritaCaracter"/>
        </w:rPr>
        <w:t>12</w:t>
      </w:r>
      <w:r>
        <w:t>. Por escrito registrado en el Tribunal el 29 de agosto de 2022 formuló sus alegaciones la Comunidad Foral de Navarra. Tras señalar que el título competencial específico en el que ha de encuadrarse la disposición impugnada es el previsto en el art. 149.1.17 CE, que atribuye a las comunidades autónomas competencias ejecutivas en materia de Seguridad Social, alega que la medida no compromete la unidad del sistema ni su funcionamiento económico uniforme, ya que la titularidad de los recursos en esta materia es estatal y no permite a la Comunidad Foral el desarrollo de ninguna política propia en materia de Seguridad Social.</w:t>
      </w:r>
    </w:p>
    <w:p w14:paraId="0DA96BC6" w14:textId="77777777" w:rsidR="009D7677" w:rsidRDefault="009D7677" w:rsidP="009D7677">
      <w:pPr>
        <w:pStyle w:val="TextoNormal"/>
      </w:pPr>
    </w:p>
    <w:p w14:paraId="73E635D9" w14:textId="77777777" w:rsidR="009D7677" w:rsidRDefault="009D7677" w:rsidP="009D7677">
      <w:pPr>
        <w:pStyle w:val="TextoNormal"/>
      </w:pPr>
      <w:r>
        <w:t xml:space="preserve">a) El Gobierno navarro considera que, de acuerdo con la doctrina constitucional, la delimitación precisa por el legislador del Estado del régimen de una prestación permite la descentralización de las funciones de reconocimiento, concesión y pago, al tratarse de “una actividad ejecutiva reglada en alto grado” (cita las SSTC 40/2019, de 27 de marzo, FJ 4; 100/2017, de 20 de julio, y 153/2019, de 25 de noviembre). Aduce, asimismo, que el hecho de que el abono material se lleve a cabo por la Comunidad Foral no afecta a los aspectos sustanciales que el Tribunal Constitucional ha considerado garantes de la unidad </w:t>
      </w:r>
      <w:r>
        <w:lastRenderedPageBreak/>
        <w:t>del régimen económico de la Seguridad Social pues, al tratarse de una prestación no contributiva, la mera actuación de abono no compromete la unidad del sistema, no perturba el funcionamiento económico uniforme ni la igualdad, ni tampoco pone en cuestión la titularidad estatal de los recursos de la Seguridad Social.</w:t>
      </w:r>
    </w:p>
    <w:p w14:paraId="3CCE7216" w14:textId="77777777" w:rsidR="009D7677" w:rsidRDefault="009D7677" w:rsidP="009D7677">
      <w:pPr>
        <w:pStyle w:val="TextoNormal"/>
      </w:pPr>
    </w:p>
    <w:p w14:paraId="5EFC319A" w14:textId="77777777" w:rsidR="009D7677" w:rsidRDefault="009D7677" w:rsidP="009D7677">
      <w:pPr>
        <w:pStyle w:val="TextoNormal"/>
      </w:pPr>
      <w:r>
        <w:t>El letrado de la Comunidad Foral pone de manifiesto, por otra parte, que el art. 54 LORAFNA confiere de forma expresa a la Comunidad Foral la gestión del régimen económico de la Seguridad Social y que, por acuerdo de la junta de transferencias de 31 de marzo de 2022, Navarra ha asumido la gestión del IMV en términos respetuosos con las competencias del Estado.</w:t>
      </w:r>
    </w:p>
    <w:p w14:paraId="20927750" w14:textId="77777777" w:rsidR="009D7677" w:rsidRDefault="009D7677" w:rsidP="009D7677">
      <w:pPr>
        <w:pStyle w:val="TextoNormal"/>
      </w:pPr>
    </w:p>
    <w:p w14:paraId="1C1FB7DF" w14:textId="77777777" w:rsidR="009D7677" w:rsidRDefault="009D7677" w:rsidP="009D7677">
      <w:pPr>
        <w:pStyle w:val="TextoNormal"/>
      </w:pPr>
      <w:r>
        <w:t>Junto a ello, alude a que las comunidades autónomas ya gestionan las prestaciones no contributivas de jubilación e invalidez. Señala que la disposición adicional cuarta de la Ley 26/1990 establecía que dichas prestaciones no contributivas serían gestionadas por el Instituto Nacional de Servicios Sociales o, en su caso, por las comunidades autónomas estatutariamente competentes a las que se hubieran transferidos los servicios del referido organismo, autorizando, además, al Gobierno para que pudiera establecer con las comunidades autónomas los oportunos conciertos con el fin de que las pensiones no contributivas de la Seguridad Social pudiesen ser gestionadas por aquellas, que es el modelo que reproduce la disposición recurrida. Se indica que Navarra viene desempeñando, sin cuestionamiento alguno, las labores de reconocimiento y pago de las prestaciones no contributivas de jubilación y de invalidez con un sistema de financiación similar al que se ha establecido respecto del IMV, a través del convenio económico.</w:t>
      </w:r>
    </w:p>
    <w:p w14:paraId="5D55CB0F" w14:textId="77777777" w:rsidR="009D7677" w:rsidRDefault="009D7677" w:rsidP="009D7677">
      <w:pPr>
        <w:pStyle w:val="TextoNormal"/>
      </w:pPr>
    </w:p>
    <w:p w14:paraId="494B5F13" w14:textId="77777777" w:rsidR="009D7677" w:rsidRDefault="009D7677" w:rsidP="009D7677">
      <w:pPr>
        <w:pStyle w:val="TextoNormal"/>
      </w:pPr>
      <w:r>
        <w:t>b) Esta parte procesal justifica la atribución a las comunidades autónomas forales de las tareas ejecutivas previstas en la norma impugnada en las peculiaridades de su sistema de financiación, pues la compensación del coste se hará cuando haya de calcularse la aportación al Estado, con el correspondiente descuento. Así se deduce del acuerdo de la junta de transferencias administración del Estado-Comunidad Foral de Navarra de 31 de marzo de 2022 por el que Navarra asumió la gestión y el pago del IMV.</w:t>
      </w:r>
    </w:p>
    <w:p w14:paraId="55E193F9" w14:textId="77777777" w:rsidR="009D7677" w:rsidRDefault="009D7677" w:rsidP="009D7677">
      <w:pPr>
        <w:pStyle w:val="TextoNormal"/>
      </w:pPr>
    </w:p>
    <w:p w14:paraId="5AE0244C" w14:textId="77777777" w:rsidR="009D7677" w:rsidRDefault="009D7677" w:rsidP="009D7677">
      <w:pPr>
        <w:pStyle w:val="TextoNormal"/>
      </w:pPr>
      <w:r>
        <w:t>La Comunidad Foral de Navarra finaliza sus alegaciones concluyendo que la norma que se impugna respeta la Constitución. Fundamenta esto en que la prestación la regula íntegramente el legislador estatal, siendo las tareas asumidas de mera ejecución, que no comprometen la unidad del sistema, ni su funcionamiento económico uniforme, ni la igualdad de los españoles, ni la titularidad de los recursos de la Seguridad Social. Al igual que el País Vasco, Navarra descontará de las aportaciones que realiza al Estado el importe correspondiente al IMV.</w:t>
      </w:r>
    </w:p>
    <w:p w14:paraId="3BD282BA" w14:textId="77777777" w:rsidR="009D7677" w:rsidRDefault="009D7677" w:rsidP="009D7677">
      <w:pPr>
        <w:pStyle w:val="TextoNormal"/>
      </w:pPr>
    </w:p>
    <w:p w14:paraId="23BD5B33" w14:textId="63D69DDE" w:rsidR="009D7677" w:rsidRDefault="009D7677" w:rsidP="009D7677">
      <w:pPr>
        <w:pStyle w:val="TextoNormal"/>
      </w:pPr>
      <w:r>
        <w:t>Las consideraciones expuestas llevan al letrado autonómico a solicitar la desestimación íntegra del recurso de inconstitucionalidad.</w:t>
      </w:r>
    </w:p>
    <w:p w14:paraId="4EAA1675" w14:textId="77777777" w:rsidR="009D7677" w:rsidRDefault="009D7677" w:rsidP="009D7677">
      <w:pPr>
        <w:pStyle w:val="TextoNormal"/>
      </w:pPr>
    </w:p>
    <w:p w14:paraId="37CF1DC3" w14:textId="2B2B9B9D" w:rsidR="009D7677" w:rsidRDefault="009D7677" w:rsidP="009D7677">
      <w:pPr>
        <w:pStyle w:val="TextoNormal"/>
      </w:pPr>
      <w:r w:rsidRPr="009D7677">
        <w:rPr>
          <w:rStyle w:val="NumeroAFNegritaCaracter"/>
        </w:rPr>
        <w:t>13</w:t>
      </w:r>
      <w:r>
        <w:t xml:space="preserve">. Mediante ATC 62/2023, de 21 de febrero, el Pleno aceptó la solicitud de abstención formulada por el magistrado don Juan Carlos Campo Moreno, al amparo de lo previsto en los arts. 217 y 221 de la Ley Orgánica del Poder Judicial, por haber participado, en su anterior condición de ministro de Justicia, en el Consejo de Ministros en el que se aprobó el Real Decreto-ley 20/2020, de 29 de mayo, que después fue tramitado por las Cortes </w:t>
      </w:r>
      <w:r>
        <w:lastRenderedPageBreak/>
        <w:t>como proyecto de ley que dio lugar a la Ley 19/2021, de 20 de diciembre, por la que se establece el ingreso mínimo vital.</w:t>
      </w:r>
    </w:p>
    <w:p w14:paraId="1696757A" w14:textId="77777777" w:rsidR="009D7677" w:rsidRDefault="009D7677" w:rsidP="009D7677">
      <w:pPr>
        <w:pStyle w:val="TextoNormal"/>
      </w:pPr>
    </w:p>
    <w:p w14:paraId="2AB889B4" w14:textId="608EC51D" w:rsidR="009D7677" w:rsidRDefault="009D7677" w:rsidP="009D7677">
      <w:pPr>
        <w:pStyle w:val="TextoNormal"/>
      </w:pPr>
      <w:r w:rsidRPr="009D7677">
        <w:rPr>
          <w:rStyle w:val="NumeroAFNegritaCaracter"/>
        </w:rPr>
        <w:t>14</w:t>
      </w:r>
      <w:r>
        <w:t>. Por medio del ATC 104/2023, de 7 de marzo, el Pleno rechazó la recusación formulada por don Antonio Ortega Fuentes, procurador de los tribunales, en nombre y representación de los diputados recurrentes, del presidente del Tribunal, don Cándido Conde-Pumpido Tourón, y de las magistradas doña María Luisa Segoviano Astaburuaga y doña Laura Díez Bueso, para conocer del presente recurso de inconstitucionalidad.</w:t>
      </w:r>
    </w:p>
    <w:p w14:paraId="32249678" w14:textId="77777777" w:rsidR="009D7677" w:rsidRDefault="009D7677" w:rsidP="009D7677">
      <w:pPr>
        <w:pStyle w:val="TextoNormal"/>
      </w:pPr>
    </w:p>
    <w:p w14:paraId="51671D86" w14:textId="7BE49137" w:rsidR="009D7677" w:rsidRDefault="009D7677" w:rsidP="009D7677">
      <w:pPr>
        <w:pStyle w:val="TextoNormal"/>
      </w:pPr>
      <w:r w:rsidRPr="009D7677">
        <w:rPr>
          <w:rStyle w:val="NumeroAFNegritaCaracter"/>
        </w:rPr>
        <w:t>15</w:t>
      </w:r>
      <w:r>
        <w:t>. Mediante providencia de 30 de enero de 2024 se señaló para deliberación y votación de la presente sentencia el día 31 del mismo mes y año.</w:t>
      </w:r>
    </w:p>
    <w:p w14:paraId="4E0675DF" w14:textId="77777777" w:rsidR="009D7677" w:rsidRDefault="009D7677" w:rsidP="009D7677">
      <w:pPr>
        <w:pStyle w:val="TextoNormal"/>
      </w:pPr>
    </w:p>
    <w:p w14:paraId="69C61094" w14:textId="77777777" w:rsidR="009D7677" w:rsidRDefault="009D7677" w:rsidP="009D7677">
      <w:pPr>
        <w:pStyle w:val="TextoNormalNegritaCentrado"/>
        <w:keepNext/>
      </w:pPr>
      <w:r>
        <w:t>II. Fundamentos jurídicos</w:t>
      </w:r>
    </w:p>
    <w:p w14:paraId="2CD75EBD" w14:textId="5D5A3C3E" w:rsidR="009D7677" w:rsidRDefault="009D7677" w:rsidP="009D7677">
      <w:pPr>
        <w:pStyle w:val="TextoNormalNegritaCentrado"/>
        <w:keepNext/>
      </w:pPr>
    </w:p>
    <w:p w14:paraId="0FEB23F3" w14:textId="77777777" w:rsidR="009D7677" w:rsidRDefault="009D7677" w:rsidP="009D7677">
      <w:pPr>
        <w:pStyle w:val="TextoNormal"/>
      </w:pPr>
      <w:r w:rsidRPr="009D7677">
        <w:rPr>
          <w:rStyle w:val="NumeroAFNegritaCaracter"/>
        </w:rPr>
        <w:t>1</w:t>
      </w:r>
      <w:r>
        <w:t xml:space="preserve">. </w:t>
      </w:r>
      <w:r w:rsidRPr="009D7677">
        <w:rPr>
          <w:i/>
        </w:rPr>
        <w:t>Planteamiento</w:t>
      </w:r>
    </w:p>
    <w:p w14:paraId="7E1AA6E2" w14:textId="77777777" w:rsidR="009D7677" w:rsidRDefault="009D7677" w:rsidP="009D7677">
      <w:pPr>
        <w:pStyle w:val="TextoNormal"/>
      </w:pPr>
    </w:p>
    <w:p w14:paraId="5E1B83E2" w14:textId="77777777" w:rsidR="009D7677" w:rsidRDefault="009D7677" w:rsidP="009D7677">
      <w:pPr>
        <w:pStyle w:val="TextoNormal"/>
      </w:pPr>
      <w:r>
        <w:t>Más de cincuenta diputados del Grupo Parlamentario Vox en el Congreso de los Diputados promueven un recurso de inconstitucionalidad contra la disposición adicional quinta de la Ley 19/2021, de 20 de diciembre, por la que se establece el ingreso mínimo vital, y contra la disposición final trigésima de la Ley 22/2021, de 28 de diciembre, de presupuestos generales del Estado para el año 2022, que modifica la anterior.</w:t>
      </w:r>
    </w:p>
    <w:p w14:paraId="5F500F6C" w14:textId="77777777" w:rsidR="009D7677" w:rsidRDefault="009D7677" w:rsidP="009D7677">
      <w:pPr>
        <w:pStyle w:val="TextoNormal"/>
      </w:pPr>
    </w:p>
    <w:p w14:paraId="54952DE3" w14:textId="77777777" w:rsidR="009D7677" w:rsidRDefault="009D7677" w:rsidP="009D7677">
      <w:pPr>
        <w:pStyle w:val="TextoNormal"/>
      </w:pPr>
      <w:r>
        <w:t>Los recurrentes consideran que las normas impugnadas, al otorgar a la Comunidad Autónoma del País Vasco y a la Comunidad Foral de Navarra competencias en relación con el ingreso mínimo vital, que es una prestación pública no contributiva con cargo a la Seguridad Social, vulnera las competencias exclusivas que corresponden al Estado conforme al art. 149.1.17 CE. Según sostienen, al atribuir a dichas comunidades autónomas las funciones y servicios que la Ley 19/2021 reconoce al Instituto Nacional de la Seguridad Social sobre la referida prestación, así como el pago, se vulnera el citado precepto constitucional y se rompe “por primera vez desde la aprobación de la Constitución” la caja única de la Seguridad Social, que es lo que permite garantizar un régimen único que asegure la igualdad de todos los españoles en materia de derechos y obligaciones de la Seguridad Social. Alegan que la atribución de estas competencias no puede justificarse, pese a lo que pretende la norma recurrida, en “la especificidad que supone la existencia de haciendas forales”, pues esta se ciñe al régimen tributario y no alcanza al sistema de Seguridad Social.</w:t>
      </w:r>
    </w:p>
    <w:p w14:paraId="0F74F11D" w14:textId="77777777" w:rsidR="009D7677" w:rsidRDefault="009D7677" w:rsidP="009D7677">
      <w:pPr>
        <w:pStyle w:val="TextoNormal"/>
      </w:pPr>
    </w:p>
    <w:p w14:paraId="50628BCF" w14:textId="77777777" w:rsidR="009D7677" w:rsidRDefault="009D7677" w:rsidP="009D7677">
      <w:pPr>
        <w:pStyle w:val="TextoNormal"/>
      </w:pPr>
      <w:r>
        <w:t>El abogado del Estado interesa la inadmisión del recurso en lo concerniente a la redacción originaria de la disposición adicional quinta de la Ley 19/2021. Respecto de la redacción vigente, considera que solo debe analizarse el párrafo primero, pues sobre el segundo los recurrentes no han satisfecho la carga de argumentar la contradicción con la Constitución. En cuanto al fondo, solicita que la impugnación se desestime porque la atribución de facultades de gestión a las comunidades forales prevista en el párrafo primero no conlleva una ruptura del régimen de caja única de la Seguridad Social ni de su régimen unitario. La disposición impugnada solo prevé, con los condicionamientos establecidos por el Estado, un régimen de mandato de pago material que ejecutan las comunidades forales, sin perjuicio de que los correspondientes flujos financieros se articulen a través de su específico sistema de financiación.</w:t>
      </w:r>
    </w:p>
    <w:p w14:paraId="134F7231" w14:textId="77777777" w:rsidR="009D7677" w:rsidRDefault="009D7677" w:rsidP="009D7677">
      <w:pPr>
        <w:pStyle w:val="TextoNormal"/>
      </w:pPr>
    </w:p>
    <w:p w14:paraId="32EF962A" w14:textId="329DD9CE" w:rsidR="009D7677" w:rsidRDefault="009D7677" w:rsidP="009D7677">
      <w:pPr>
        <w:pStyle w:val="TextoNormal"/>
      </w:pPr>
      <w:r>
        <w:t>También solicitan la desestimación del recurso los letrados de la Comunidad Autónoma del País Vasco y de la Comunidad Foral de Navarra, que han comparecido como coadyuvantes del Gobierno de la Nación. Con argumentos sustancialmente coincidentes entre sí, razonan que los respectivos estatutos asumen competencias en materia de “gestión del régimen económico de la Seguridad Social”, lo que es compatible con la unidad del sistema de Seguridad Social y con la titularidad estatal de sus recursos. Para garantizar esto, la disposición adicional quinta de la Ley 19/2021 remite a los términos que se acuerden con el Estado. Insisten en que dicho precepto establece el mismo procedimiento que se viene aplicando para la gestión de las pensiones no contributivas de jubilación e invalidez por las comunidades forales. Estas, en virtud de su específico sistema de financiación, asumen el pago de dichas pensiones, descontando del cupo o aportación el importe calculado conforme al régimen del concierto y convenio, y esto es justamente lo que ahora se establece para el IMV.</w:t>
      </w:r>
    </w:p>
    <w:p w14:paraId="2554B955" w14:textId="77777777" w:rsidR="009D7677" w:rsidRDefault="009D7677" w:rsidP="009D7677">
      <w:pPr>
        <w:pStyle w:val="TextoNormal"/>
      </w:pPr>
    </w:p>
    <w:p w14:paraId="0C2D817A" w14:textId="77777777" w:rsidR="009D7677" w:rsidRDefault="009D7677" w:rsidP="009D7677">
      <w:pPr>
        <w:pStyle w:val="TextoNormal"/>
      </w:pPr>
      <w:r w:rsidRPr="009D7677">
        <w:rPr>
          <w:rStyle w:val="NumeroAFNegritaCaracter"/>
        </w:rPr>
        <w:t>2</w:t>
      </w:r>
      <w:r>
        <w:t xml:space="preserve">. </w:t>
      </w:r>
      <w:r w:rsidRPr="009D7677">
        <w:rPr>
          <w:i/>
        </w:rPr>
        <w:t>Delimitación del objeto</w:t>
      </w:r>
    </w:p>
    <w:p w14:paraId="7885BAAC" w14:textId="77777777" w:rsidR="009D7677" w:rsidRDefault="009D7677" w:rsidP="009D7677">
      <w:pPr>
        <w:pStyle w:val="TextoNormal"/>
      </w:pPr>
    </w:p>
    <w:p w14:paraId="3B259F94" w14:textId="77777777" w:rsidR="009D7677" w:rsidRDefault="009D7677" w:rsidP="009D7677">
      <w:pPr>
        <w:pStyle w:val="TextoNormal"/>
      </w:pPr>
      <w:r>
        <w:t>Los diputados recurrentes impugnan la disposición adicional quinta de la Ley 19/2021, en su redacción originaria, así como en la dada por la disposición final trigésima de la Ley 22/2021, que modificó el párrafo primero de la anterior. Ambas redacciones han quedado reproducidas en el antecedente primero de esta resolución.</w:t>
      </w:r>
    </w:p>
    <w:p w14:paraId="02026BEA" w14:textId="77777777" w:rsidR="009D7677" w:rsidRDefault="009D7677" w:rsidP="009D7677">
      <w:pPr>
        <w:pStyle w:val="TextoNormal"/>
      </w:pPr>
    </w:p>
    <w:p w14:paraId="60F89E23" w14:textId="77777777" w:rsidR="009D7677" w:rsidRDefault="009D7677" w:rsidP="009D7677">
      <w:pPr>
        <w:pStyle w:val="TextoNormal"/>
      </w:pPr>
      <w:r>
        <w:t>En relación con la incidencia de las modificaciones normativas en los procesos constitucionales, “es doctrina reiterada de este tribunal que la eventual apreciación de la pérdida de objeto del proceso dependerá de la incidencia real que sobre el mismo tenga la derogación, sustitución o modificación de la norma y no puede resolverse apriorísticamente en función de criterios abstractos o genéricos, pues lo relevante no es tanto la expulsión de la concreta norma impugnada del ordenamiento cuanto determinar si con esa expulsión ha cesado o no la controversia competencial, toda vez que poner fin a la misma a la luz del orden constitucional de reparto de competencias es el fin último al que sirven tales procesos (por todas, SSTC 147/1998, de 2 de julio, FJ 5; 233/1999, de 16 de diciembre, FJ 3; 148/2000, de 1 de junio, FJ 3; 190/2000, de 13 de julio, FJ 2; 223/2000, de 21 de septiembre, FJ 3; 24/2002, de 31 de enero, FJ 4, y 16/2003, de 30 de enero, FJ 2)” (STC 18/2011, de 3 de marzo, FJ 3, por todas).</w:t>
      </w:r>
    </w:p>
    <w:p w14:paraId="36604E3F" w14:textId="77777777" w:rsidR="009D7677" w:rsidRDefault="009D7677" w:rsidP="009D7677">
      <w:pPr>
        <w:pStyle w:val="TextoNormal"/>
      </w:pPr>
    </w:p>
    <w:p w14:paraId="1FE6C525" w14:textId="390C9B7A" w:rsidR="009D7677" w:rsidRDefault="009D7677" w:rsidP="009D7677">
      <w:pPr>
        <w:pStyle w:val="TextoNormal"/>
      </w:pPr>
      <w:r>
        <w:t>En este caso, los recurrentes han impugnado tanto la disposición adicional quinta de la Ley 19/2021 en su integridad como la disposición final trigésima de la Ley 22/2021 que modifica el primer párrafo de aquella. En la medida en que la controversia competencial suscitada por la disposición adicional quinta de la Ley 19/2021 permanece inalterable tanto en su versión original como en la versión modificada —la atribución al País Vasco y Navarra de competencias en relación con el IMV—, analizaremos dicho precepto en su vigente redacción.</w:t>
      </w:r>
    </w:p>
    <w:p w14:paraId="53303EA7" w14:textId="77777777" w:rsidR="009D7677" w:rsidRDefault="009D7677" w:rsidP="009D7677">
      <w:pPr>
        <w:pStyle w:val="TextoNormal"/>
      </w:pPr>
    </w:p>
    <w:p w14:paraId="0D818227" w14:textId="77777777" w:rsidR="009D7677" w:rsidRDefault="009D7677" w:rsidP="009D7677">
      <w:pPr>
        <w:pStyle w:val="TextoNormal"/>
      </w:pPr>
      <w:r w:rsidRPr="009D7677">
        <w:rPr>
          <w:rStyle w:val="NumeroAFNegritaCaracter"/>
        </w:rPr>
        <w:t>3</w:t>
      </w:r>
      <w:r>
        <w:t xml:space="preserve">. </w:t>
      </w:r>
      <w:r w:rsidRPr="009D7677">
        <w:rPr>
          <w:i/>
        </w:rPr>
        <w:t>Encuadramiento material y distribución competencial</w:t>
      </w:r>
    </w:p>
    <w:p w14:paraId="662A6840" w14:textId="77777777" w:rsidR="009D7677" w:rsidRDefault="009D7677" w:rsidP="009D7677">
      <w:pPr>
        <w:pStyle w:val="TextoNormal"/>
      </w:pPr>
    </w:p>
    <w:p w14:paraId="13995633" w14:textId="77777777" w:rsidR="009D7677" w:rsidRDefault="009D7677" w:rsidP="009D7677">
      <w:pPr>
        <w:pStyle w:val="TextoNormal"/>
      </w:pPr>
      <w:r>
        <w:t>La controversia planteada en este proceso es exclusivamente competencial, por lo que, antes de nuestro enjuiciamiento, se debe determinar la materia en la que se encuadra y cómo se distribuyen las competencias sobre ella.</w:t>
      </w:r>
    </w:p>
    <w:p w14:paraId="3843D775" w14:textId="77777777" w:rsidR="009D7677" w:rsidRDefault="009D7677" w:rsidP="009D7677">
      <w:pPr>
        <w:pStyle w:val="TextoNormal"/>
      </w:pPr>
    </w:p>
    <w:p w14:paraId="0641002B" w14:textId="77777777" w:rsidR="009D7677" w:rsidRDefault="009D7677" w:rsidP="009D7677">
      <w:pPr>
        <w:pStyle w:val="TextoNormal"/>
      </w:pPr>
      <w:r>
        <w:t>a) De acuerdo con la doctrina constitucional, el encuadramiento competencial ha de efectuarse atendiendo al específico contenido, sentido y finalidad de la norma examinada [SSTC 26/2016, de 18 de febrero, FJ 6; 21/2017, de 2 de febrero, FJ 2, y 100/2017, de 20 de julio, FJ 5 b)], sin que el Tribunal esté vinculado por las “incardinaciones competenciales contenidas en las normas sometidas a su enjuiciamiento”, ni tampoco por “el encuadramiento competencial que realicen las partes en el proceso” (SSTC 18/2016, de 4 de febrero, FJ 10, y 133/2022, de 25 de octubre, FJ 3).</w:t>
      </w:r>
    </w:p>
    <w:p w14:paraId="2BFC9F3E" w14:textId="77777777" w:rsidR="009D7677" w:rsidRDefault="009D7677" w:rsidP="009D7677">
      <w:pPr>
        <w:pStyle w:val="TextoNormal"/>
      </w:pPr>
    </w:p>
    <w:p w14:paraId="755FED10" w14:textId="77777777" w:rsidR="009D7677" w:rsidRDefault="009D7677" w:rsidP="009D7677">
      <w:pPr>
        <w:pStyle w:val="TextoNormal"/>
      </w:pPr>
      <w:r>
        <w:t>El Tribunal, en la STC 158/2021, de 16 de septiembre, FJ 3, ya se ha pronunciado sobre la materia en la que debe encuadrarse la prestación no contributiva del IMV. Según afirmó la referida sentencia, esta prestación “no es un mecanismo de protección social que actúe extramuros del sistema de la Seguridad Social, sino una prestación ínsita en su acción protectora en la medida que supone el ejercicio de una ‘función del Estado’ (la que le atribuye el art. 41 CE) destinada a poner remedio a situaciones de necesidad”. Y precisó, con cita de la STC 133/2019, de 13 de noviembre, FJ 4, referida al subsidio extraordinario de desempleo, que también es una prestación no contributiva, que estas prestaciones “responden a la ‘concepción evolutiva’ del propio sistema de la Seguridad Social y de la ‘libertad de configuración’ del legislador para modular su acción protectora, lo que determina que el examen de esta controversia competencial haya de abordarse exclusivamente desde la óptica material de las competencias sobre ‘Seguridad Social’”.</w:t>
      </w:r>
    </w:p>
    <w:p w14:paraId="027E9762" w14:textId="77777777" w:rsidR="009D7677" w:rsidRDefault="009D7677" w:rsidP="009D7677">
      <w:pPr>
        <w:pStyle w:val="TextoNormal"/>
      </w:pPr>
    </w:p>
    <w:p w14:paraId="29FA729D" w14:textId="77777777" w:rsidR="009D7677" w:rsidRDefault="009D7677" w:rsidP="009D7677">
      <w:pPr>
        <w:pStyle w:val="TextoNormal"/>
      </w:pPr>
      <w:r>
        <w:t xml:space="preserve">b) El reparto competencial en la materia de “Seguridad Social” está previsto en el art. 149.1.17 CE, que atribuye al Estado la competencia exclusiva sobre “[l]egislación básica y régimen económico de la Seguridad Social, sin perjuicio de la ejecución de sus servicios por las comunidades autónomas”. Según nuestra consolidada doctrina (por todas, STC 195/1996, de 28 de noviembre, FJ 6), en dicho precepto ha de distinguirse entre “legislación básica” y “régimen económico” como submaterias diferentes. En relación con la primera, corresponde a las comunidades autónomas el desarrollo de la legislación básica y el ejercicio de las competencias ejecutivas. En cambio, en la submateria “régimen económico” el Estado también conserva funciones ejecutivas, pues la atribución al Estado o a las comunidades autónomas del “régimen” en una determinada materia comprende, desde luego, la totalidad de las competencias normativas sobre la misma (SSTC 84/1982, de 23 de diciembre, FJ 4, y 38/1983, de 16 de mayo, FJ 3); pero implica también un </w:t>
      </w:r>
      <w:r w:rsidRPr="009D7677">
        <w:rPr>
          <w:i/>
        </w:rPr>
        <w:t>plus</w:t>
      </w:r>
      <w:r>
        <w:t>: además de la legislación, puede comportar la atribución de las competencias de ejecución necesarias para configurar un sistema materialmente unitario. Esto es lo que sucede en el caso del “régimen económico de la Seguridad Social” (STC 195/1996, FJ 6).</w:t>
      </w:r>
    </w:p>
    <w:p w14:paraId="42AA3C24" w14:textId="77777777" w:rsidR="009D7677" w:rsidRDefault="009D7677" w:rsidP="009D7677">
      <w:pPr>
        <w:pStyle w:val="TextoNormal"/>
      </w:pPr>
    </w:p>
    <w:p w14:paraId="34EEAC62" w14:textId="77777777" w:rsidR="009D7677" w:rsidRDefault="009D7677" w:rsidP="009D7677">
      <w:pPr>
        <w:pStyle w:val="TextoNormal"/>
      </w:pPr>
      <w:r>
        <w:t>De la citada STC 158/2021, FJ 4, se infiere que los actos de gestión del IMV se enmarcan en el régimen económico de la Seguridad Social. Las competencias del Estado sobre dicho régimen económico fueron precisadas en la STC 124/1989, de 7 de julio, FJ 3, en los siguientes términos:</w:t>
      </w:r>
    </w:p>
    <w:p w14:paraId="1FAAF632" w14:textId="77777777" w:rsidR="009D7677" w:rsidRDefault="009D7677" w:rsidP="009D7677">
      <w:pPr>
        <w:pStyle w:val="TextoNormal"/>
      </w:pPr>
    </w:p>
    <w:p w14:paraId="65D05DA1" w14:textId="77777777" w:rsidR="009D7677" w:rsidRDefault="009D7677" w:rsidP="009D7677">
      <w:pPr>
        <w:pStyle w:val="TextoNormal"/>
      </w:pPr>
      <w:r>
        <w:t xml:space="preserve">“[L]a mención separada del ‘régimen económico’ como función exclusiva del Estado trataba de garantizar la unidad del sistema de la Seguridad Social, y no solo la unidad de su regulación jurídica, impidiendo diversas políticas territoriales de Seguridad Social en cada una de las comunidades autónomas. En su dimensión o expresión jurídica, el principio de unidad presupuestaria de la Seguridad Social significa la unidad de titularidad y por </w:t>
      </w:r>
      <w:r>
        <w:lastRenderedPageBreak/>
        <w:t>lo mismo la titularidad estatal de todos los fondos de la Seguridad Social, puesto que si faltara un único titular de los recursos financieros del sistema público de aseguramiento social, tanto para operaciones presupuestarias como extrapresupuestarias, no podría preservarse la vigencia efectiva de los principios de caja única y de solidaridad financiera, ni consecuentemente la unidad del sistema. No basta, por tanto, con la reserva de las competencias normativas para, desde las mismas, disponer la solidaridad financiera, mediante el establecimiento de reglas para la transferencia de fondos, a través de la tesorería, de una a otra comunidad autónoma, en función de las disponibilidades financieras de cada momento. La Constitución no se ha limitado a establecer esa solidaridad interterritorial, sino que, partiendo de la misma, ha establecido e impuesto el carácter unitario del sistema y de su régimen económico, la estatalidad de los fondos financieros de la Seguridad Social y, por ende, la competencia exclusiva del Estado no solo de normación sino también de disponibilidad directa sobre esos fondos propios, que en este momento se articula a través y por medio de la Tesorería General de la Seguridad Social. Por ello es competencia exclusiva del Estado, ejercida a través de la Tesorería General de la Seguridad Social, ‘la gestión de los recursos económicos y la administración financiera del sistema, en aplicación de los principios de solidaridad financiera y caja única’, como se dice en el art. 1 del Real Decreto 1314/1984”.</w:t>
      </w:r>
    </w:p>
    <w:p w14:paraId="1FF9DBC1" w14:textId="77777777" w:rsidR="009D7677" w:rsidRDefault="009D7677" w:rsidP="009D7677">
      <w:pPr>
        <w:pStyle w:val="TextoNormal"/>
      </w:pPr>
    </w:p>
    <w:p w14:paraId="13151562" w14:textId="77777777" w:rsidR="009D7677" w:rsidRDefault="009D7677" w:rsidP="009D7677">
      <w:pPr>
        <w:pStyle w:val="TextoNormal"/>
      </w:pPr>
      <w:r>
        <w:t>c) Por lo que se refiere a las competencias autonómicas, el art. 18.2 del Estatuto de Autonomía para el País Vasco dispone que en materia de Seguridad Social corresponderá a dicha comunidad autónoma:</w:t>
      </w:r>
    </w:p>
    <w:p w14:paraId="3E7805C5" w14:textId="77777777" w:rsidR="009D7677" w:rsidRDefault="009D7677" w:rsidP="009D7677">
      <w:pPr>
        <w:pStyle w:val="TextoNormal"/>
      </w:pPr>
    </w:p>
    <w:p w14:paraId="271A70DC" w14:textId="77777777" w:rsidR="009D7677" w:rsidRDefault="009D7677" w:rsidP="009D7677">
      <w:pPr>
        <w:pStyle w:val="TextoNormal"/>
      </w:pPr>
      <w:r>
        <w:t>“a) El desarrollo legislativo y la ejecución de la legislación básica del Estado, salvo las normas que configuran el régimen económico de la misma.</w:t>
      </w:r>
    </w:p>
    <w:p w14:paraId="0D7567FA" w14:textId="77777777" w:rsidR="009D7677" w:rsidRDefault="009D7677" w:rsidP="009D7677">
      <w:pPr>
        <w:pStyle w:val="TextoNormal"/>
      </w:pPr>
    </w:p>
    <w:p w14:paraId="60088A5A" w14:textId="77777777" w:rsidR="009D7677" w:rsidRDefault="009D7677" w:rsidP="009D7677">
      <w:pPr>
        <w:pStyle w:val="TextoNormal"/>
      </w:pPr>
      <w:r>
        <w:t>b) La gestión del régimen económico de la Seguridad Social”.</w:t>
      </w:r>
    </w:p>
    <w:p w14:paraId="0AB3276A" w14:textId="77777777" w:rsidR="009D7677" w:rsidRDefault="009D7677" w:rsidP="009D7677">
      <w:pPr>
        <w:pStyle w:val="TextoNormal"/>
      </w:pPr>
    </w:p>
    <w:p w14:paraId="7697702C" w14:textId="77777777" w:rsidR="009D7677" w:rsidRDefault="009D7677" w:rsidP="009D7677">
      <w:pPr>
        <w:pStyle w:val="TextoNormal"/>
      </w:pPr>
      <w:r>
        <w:t>La previsión anterior se desarrolla en la disposición transitoria quinta EAPV:</w:t>
      </w:r>
    </w:p>
    <w:p w14:paraId="5331186E" w14:textId="77777777" w:rsidR="009D7677" w:rsidRDefault="009D7677" w:rsidP="009D7677">
      <w:pPr>
        <w:pStyle w:val="TextoNormal"/>
      </w:pPr>
    </w:p>
    <w:p w14:paraId="314AE6E1" w14:textId="77777777" w:rsidR="009D7677" w:rsidRDefault="009D7677" w:rsidP="009D7677">
      <w:pPr>
        <w:pStyle w:val="TextoNormal"/>
      </w:pPr>
      <w:r>
        <w:t>“La comisión mixta de transferencias que se crea para la aplicación de este Estatuto establecerá los oportunos convenios, mediante los cuales la comunidad autónoma asumirá la gestión del régimen económico de la Seguridad Social, dentro de su carácter unitario y del respeto al principio de solidaridad, según los procedimientos, plazos y compromisos que, para una ordenada gestión, se contengan en tales convenios”.</w:t>
      </w:r>
    </w:p>
    <w:p w14:paraId="7DF6C505" w14:textId="77777777" w:rsidR="009D7677" w:rsidRDefault="009D7677" w:rsidP="009D7677">
      <w:pPr>
        <w:pStyle w:val="TextoNormal"/>
      </w:pPr>
    </w:p>
    <w:p w14:paraId="5D1CAF17" w14:textId="77777777" w:rsidR="009D7677" w:rsidRDefault="009D7677" w:rsidP="009D7677">
      <w:pPr>
        <w:pStyle w:val="TextoNormal"/>
      </w:pPr>
      <w:r>
        <w:t>Por su parte, el art. 54.1 de la Ley Orgánica de reintegración y amejoramiento del régimen foral de Navarra, regula las competencias que asume la Comunidad Foral en materia de Seguridad Social en idénticos términos que el art. 18.2 EAPV ya transcrito. Estas previsiones y las equivalentes de otros estatutos de autonomía deben acomodarse a las competencias que también tiene el Estado para la gestión del régimen económico de la Seguridad Social. En expresión de la STC 124/1989, FJ 3:</w:t>
      </w:r>
    </w:p>
    <w:p w14:paraId="379E14B4" w14:textId="77777777" w:rsidR="009D7677" w:rsidRDefault="009D7677" w:rsidP="009D7677">
      <w:pPr>
        <w:pStyle w:val="TextoNormal"/>
      </w:pPr>
    </w:p>
    <w:p w14:paraId="7F8B581D" w14:textId="77777777" w:rsidR="009D7677" w:rsidRDefault="009D7677" w:rsidP="009D7677">
      <w:pPr>
        <w:pStyle w:val="TextoNormal"/>
      </w:pPr>
      <w:r>
        <w:t>“[L]as concretas facultades que integran la competencia estatutaria de gestión del régimen económico de la Seguridad Social serán solo aquellas que no puedan comprometer la unidad del sistema o perturbar su funcionamiento económico uniforme, ni cuestionar la titularidad estatal de todos los recursos de la Seguridad Social o engendrar directa o indirectamente desigualdades entre los ciudadanos en lo que atañe a la satisfacción de sus de</w:t>
      </w:r>
      <w:r>
        <w:lastRenderedPageBreak/>
        <w:t>rechos y al cumplimiento de sus obligaciones de Seguridad Social. Tales facultades autonómicas deben, en suma, conciliarse con las competencias exclusivas que sobre la gestión del régimen económico la Constitución ha reservado al Estado, en garantía de la unidad y solidaridad del sistema público de Seguridad Social”.</w:t>
      </w:r>
    </w:p>
    <w:p w14:paraId="2F6D79D7" w14:textId="77777777" w:rsidR="009D7677" w:rsidRDefault="009D7677" w:rsidP="009D7677">
      <w:pPr>
        <w:pStyle w:val="TextoNormal"/>
      </w:pPr>
    </w:p>
    <w:p w14:paraId="3F1D3DB7" w14:textId="77777777" w:rsidR="009D7677" w:rsidRDefault="009D7677" w:rsidP="009D7677">
      <w:pPr>
        <w:pStyle w:val="TextoNormal"/>
      </w:pPr>
      <w:r>
        <w:t>En este sentido, la STC 133/2019, FJ 5, enmarcó las competencias del País Vasco para la gestión del régimen económico de la Seguridad Social en el párrafo de la STC 124/1989, FJ 3, recién transcrito. Asimismo señaló, con cita de la STC 272/2015, de 17 de diciembre, FJ 3, que dichas competencias han de ponerse en relación con la disposición transitoria quinta EAPV, de modo que “la asunción por la Comunidad Autónoma del País Vasco de la gestión del régimen económico de la Seguridad Social, ‘dentro de su carácter unitario y del respeto al principio de solidaridad’, precisa de la suscripción de los oportunos convenios en el seno de la comisión mixta de transferencias creada para la aplicación del Estatuto de Autonomía para el País vasco, ‘según los procedimientos, plazos y compromisos que, para una ordenada gestión, se contengan en tales convenios’”. A dichos convenios les corresponde especificar —prosigue la STC 133/2019, FJ 5— “las concretas facultades que puede asumir la Comunidad Autónoma del País Vasco sin comprometer el modelo unitario de Seguridad Social” recordando que “el correcto funcionamiento del sistema autonómico depende en buena medida de que el Estado y las comunidades autónomas desarrollen fórmulas racionales de cooperación, acuerdo o concertación” (STC 141/2016, de 21 de julio, FJ 7, con cita de las SSTC 247/2007, de 12 de diciembre, FJ 23, y 20/2016, de 4 de febrero, FJ 2).</w:t>
      </w:r>
    </w:p>
    <w:p w14:paraId="1B0DE39A" w14:textId="77777777" w:rsidR="009D7677" w:rsidRDefault="009D7677" w:rsidP="009D7677">
      <w:pPr>
        <w:pStyle w:val="TextoNormal"/>
      </w:pPr>
    </w:p>
    <w:p w14:paraId="473F611B" w14:textId="21F0C93C" w:rsidR="009D7677" w:rsidRDefault="009D7677" w:rsidP="009D7677">
      <w:pPr>
        <w:pStyle w:val="TextoNormal"/>
      </w:pPr>
      <w:r>
        <w:t>En definitiva, las comunidades autónomas que asuman en sus estatutos la competencia de “gestión del régimen económico de la Seguridad Social”, como es el caso del País Vasco y la Comunidad Foral de Navarra, podrán realizar, previo convenio con el Estado, aquellos actos de gestión de las prestaciones de la Seguridad Social que no comprometan la caja única ni el modelo unitario de Seguridad Social.</w:t>
      </w:r>
    </w:p>
    <w:p w14:paraId="10FE3010" w14:textId="77777777" w:rsidR="009D7677" w:rsidRDefault="009D7677" w:rsidP="009D7677">
      <w:pPr>
        <w:pStyle w:val="TextoNormal"/>
      </w:pPr>
    </w:p>
    <w:p w14:paraId="7F938EA6" w14:textId="77777777" w:rsidR="009D7677" w:rsidRDefault="009D7677" w:rsidP="009D7677">
      <w:pPr>
        <w:pStyle w:val="TextoNormal"/>
      </w:pPr>
      <w:r w:rsidRPr="009D7677">
        <w:rPr>
          <w:rStyle w:val="NumeroAFNegritaCaracter"/>
        </w:rPr>
        <w:t>4</w:t>
      </w:r>
      <w:r>
        <w:t xml:space="preserve">. </w:t>
      </w:r>
      <w:r w:rsidRPr="009D7677">
        <w:rPr>
          <w:i/>
        </w:rPr>
        <w:t>Enjuiciamiento (I). Asunción por las comunidades autónomas forales de las funciones y servicios del Instituto Nacional de la Seguridad Social en relación con la prestación del IMV. Desestimación</w:t>
      </w:r>
    </w:p>
    <w:p w14:paraId="23CA8B4A" w14:textId="77777777" w:rsidR="009D7677" w:rsidRDefault="009D7677" w:rsidP="009D7677">
      <w:pPr>
        <w:pStyle w:val="TextoNormal"/>
      </w:pPr>
    </w:p>
    <w:p w14:paraId="303E5AA3" w14:textId="77777777" w:rsidR="009D7677" w:rsidRDefault="009D7677" w:rsidP="009D7677">
      <w:pPr>
        <w:pStyle w:val="TextoNormal"/>
      </w:pPr>
      <w:r>
        <w:t>Una vez constatado que la Comunidad Autónoma del País Vasco y la Comunidad Foral de Navarra tienen asumidas estatutariamente competencias de “gestión del régimen económico de la Seguridad Social”, y perfilados los límites aplicables —caja única y modelo unitario—, estamos ya en disposición de analizar la norma impugnada.</w:t>
      </w:r>
    </w:p>
    <w:p w14:paraId="0FC3DD2D" w14:textId="77777777" w:rsidR="009D7677" w:rsidRDefault="009D7677" w:rsidP="009D7677">
      <w:pPr>
        <w:pStyle w:val="TextoNormal"/>
      </w:pPr>
    </w:p>
    <w:p w14:paraId="267C1882" w14:textId="77777777" w:rsidR="009D7677" w:rsidRDefault="009D7677" w:rsidP="009D7677">
      <w:pPr>
        <w:pStyle w:val="TextoNormal"/>
      </w:pPr>
      <w:r>
        <w:t>La disposición adicional quinta, párrafo primero, de la Ley 19/2021, en la redacción dada por la disposición final trigésima de la Ley 22/2021, prevé que las comunidades autónomas de régimen foral asumirán en relación con el IMV: (i) “las funciones y servicios correspondientes que en esta Ley se atribuyen al Instituto Nacional de la Seguridad Social”; así como (ii) “el pago”; en ambos casos, “en los términos que se acuerde”.</w:t>
      </w:r>
    </w:p>
    <w:p w14:paraId="7EFABDB3" w14:textId="77777777" w:rsidR="009D7677" w:rsidRDefault="009D7677" w:rsidP="009D7677">
      <w:pPr>
        <w:pStyle w:val="TextoNormal"/>
      </w:pPr>
    </w:p>
    <w:p w14:paraId="413E9243" w14:textId="77777777" w:rsidR="009D7677" w:rsidRDefault="009D7677" w:rsidP="009D7677">
      <w:pPr>
        <w:pStyle w:val="TextoNormal"/>
      </w:pPr>
      <w:r>
        <w:t>En este fundamento jurídico enjuiciaremos la asunción de las funciones del Instituto Nacional de la Seguridad Social respecto del IMV (primer inciso); y en el siguiente el pago de la prestación (segundo inciso).</w:t>
      </w:r>
    </w:p>
    <w:p w14:paraId="334F3F10" w14:textId="77777777" w:rsidR="009D7677" w:rsidRDefault="009D7677" w:rsidP="009D7677">
      <w:pPr>
        <w:pStyle w:val="TextoNormal"/>
      </w:pPr>
    </w:p>
    <w:p w14:paraId="0DCAE296" w14:textId="77777777" w:rsidR="009D7677" w:rsidRDefault="009D7677" w:rsidP="009D7677">
      <w:pPr>
        <w:pStyle w:val="TextoNormal"/>
      </w:pPr>
      <w:r>
        <w:lastRenderedPageBreak/>
        <w:t>a) Las funciones y servicios correspondientes al INSS que asumen las citadas comunidades son, en síntesis, la iniciación, tramitación, resolución y control de los expedientes del IMV. Dichas actividades no se refieren a la gestión de la tesorería (recaudación y pagos) de la Seguridad Social, que no está atribuida al INSS como entidad gestora de la Seguridad Social [art. 66.1 a) del texto refundido de la Ley general de la Seguridad Social aprobado por el Real Decreto Legislativo 8/2015, de 30 de octubre (TRLGSS)], sino a la Tesorería General de la Seguridad Social (TGSS), ente diferenciado que personifica la caja única del sistema, según verificó la STC 124/1989, FJ 3, de continua cita, cuando afirmó que “la estatalidad de los fondos financieros de la Seguridad Social y [la] disponibilidad directa sobre esos fondos propios […] se articula a través y por medio de la Tesorería General de la Seguridad Social”.</w:t>
      </w:r>
    </w:p>
    <w:p w14:paraId="6C7353C1" w14:textId="77777777" w:rsidR="009D7677" w:rsidRDefault="009D7677" w:rsidP="009D7677">
      <w:pPr>
        <w:pStyle w:val="TextoNormal"/>
      </w:pPr>
    </w:p>
    <w:p w14:paraId="53C0E62B" w14:textId="77777777" w:rsidR="009D7677" w:rsidRDefault="009D7677" w:rsidP="009D7677">
      <w:pPr>
        <w:pStyle w:val="TextoNormal"/>
      </w:pPr>
      <w:r>
        <w:t xml:space="preserve">Así se plasma en el TRLGSS, que conceptúa a la TGSS “como </w:t>
      </w:r>
      <w:r w:rsidRPr="009D7677">
        <w:rPr>
          <w:i/>
        </w:rPr>
        <w:t>caja única</w:t>
      </w:r>
      <w:r>
        <w:t xml:space="preserve"> del sistema de la Seguridad Social” (art. 21.1) y la describe como “servicio común con personalidad jurídica propia, en el que, por aplicación de los principios de solidaridad financiera y </w:t>
      </w:r>
      <w:r w:rsidRPr="009D7677">
        <w:rPr>
          <w:i/>
        </w:rPr>
        <w:t>caja única</w:t>
      </w:r>
      <w:r>
        <w:t>, se unifican todos los recursos financieros, tanto por operaciones presupuestarias como extrapresupuestarias” (cursivas añadidas), que tiene a su cargo “la custodia de los fondos, valores y créditos y las atenciones generales y de los servicios de recaudación de derechos y pagos de las obligaciones del sistema de la Seguridad Social” (art. 74.1). Dichos preceptos son desarrollados por el Real Decreto 1314/1984, de 20 de junio, por el que se regula la estructura y competencias de la TGSS, ya vigente al aprobarse la STC 124/1989 y al que esta alude expresamente.</w:t>
      </w:r>
    </w:p>
    <w:p w14:paraId="16C43BAD" w14:textId="77777777" w:rsidR="009D7677" w:rsidRDefault="009D7677" w:rsidP="009D7677">
      <w:pPr>
        <w:pStyle w:val="TextoNormal"/>
      </w:pPr>
    </w:p>
    <w:p w14:paraId="6C5693D5" w14:textId="77777777" w:rsidR="009D7677" w:rsidRDefault="009D7677" w:rsidP="009D7677">
      <w:pPr>
        <w:pStyle w:val="TextoNormal"/>
      </w:pPr>
      <w:r>
        <w:t>Por tanto, no refiriéndose las funciones y servicios atribuidos al País Vasco y a Navarra, a la TGSS, no se menoscaba la caja única que “se articula a través y por medio” de ella (STC 124/1989, FJ 3).</w:t>
      </w:r>
    </w:p>
    <w:p w14:paraId="4A13CFB1" w14:textId="77777777" w:rsidR="009D7677" w:rsidRDefault="009D7677" w:rsidP="009D7677">
      <w:pPr>
        <w:pStyle w:val="TextoNormal"/>
      </w:pPr>
    </w:p>
    <w:p w14:paraId="367D4134" w14:textId="77777777" w:rsidR="009D7677" w:rsidRDefault="009D7677" w:rsidP="009D7677">
      <w:pPr>
        <w:pStyle w:val="TextoNormal"/>
      </w:pPr>
      <w:r>
        <w:t>b) Por lo que se refiere a la necesidad de preservar el “modelo unitario” de la Seguridad Social, debemos comprobar que las funciones y servicios del INSS que se confieren tampoco “compromete[n] la unidad del sistema o perturba[n] su funcionamiento económico uniforme, ni cuestiona[n] la titularidad estatal de todos los recursos de la Seguridad Social o engendra[n] directa o indirectamente desigualdades entre los ciudadanos en lo que atañe a la satisfacción de sus derechos y al cumplimiento de sus obligaciones de Seguridad Social”, como exige la STC 124/1989, FJ 3, de repetida cita.</w:t>
      </w:r>
    </w:p>
    <w:p w14:paraId="3F9DD3E7" w14:textId="77777777" w:rsidR="009D7677" w:rsidRDefault="009D7677" w:rsidP="009D7677">
      <w:pPr>
        <w:pStyle w:val="TextoNormal"/>
      </w:pPr>
    </w:p>
    <w:p w14:paraId="75EBE3D7" w14:textId="77777777" w:rsidR="009D7677" w:rsidRDefault="009D7677" w:rsidP="009D7677">
      <w:pPr>
        <w:pStyle w:val="TextoNormal"/>
      </w:pPr>
      <w:r>
        <w:t>En este punto debe subrayarse que la normativa que habrán de aplicar la Comunidad Autónoma del País Vasco y la Comunidad Foral de Navarra en el ejercicio de las competencias de iniciación, tramitación, resolución y control de los expedientes del IMV es íntegramente estatal (Ley 19/2021 y normas que la desarrollen). Además, para garantizar una interpretación y aplicación uniforme de esta normativa, en el acuerdo al que se supedita la asunción de funciones se han de especificar las concretas facultades que pueden ejercer “sin comprometer el modelo unitario de Seguridad Social” (STC 133/2019, FJ 5).</w:t>
      </w:r>
    </w:p>
    <w:p w14:paraId="480A393F" w14:textId="77777777" w:rsidR="009D7677" w:rsidRDefault="009D7677" w:rsidP="009D7677">
      <w:pPr>
        <w:pStyle w:val="TextoNormal"/>
      </w:pPr>
    </w:p>
    <w:p w14:paraId="74AC11F6" w14:textId="77777777" w:rsidR="009D7677" w:rsidRDefault="009D7677" w:rsidP="009D7677">
      <w:pPr>
        <w:pStyle w:val="TextoNormal"/>
      </w:pPr>
      <w:r>
        <w:t xml:space="preserve">En este sentido, en los convenios suscritos con las comunidades autónomas forales para la asunción de la gestión del IMV (acuerdo de la comisión mixta de transferencias administración del Estado-Comunidad Autónoma del País Vasco, de 16 de marzo de 2022, y acuerdo de la junta de transferencias administración del Estado-Comunidad Foral de Navarra, de 31 de marzo de 2022), el Estado se ha reservado, entre otras, “[l]a garantía de la </w:t>
      </w:r>
      <w:r>
        <w:lastRenderedPageBreak/>
        <w:t>unidad de criterio mediante la fijación por parte del Estado de criterios normativos e interpretativos homogéneos para la efectividad y eficacia del sistema en orden a garantizar la unidad del régimen económico de la Seguridad Social, el principio de solidaridad y la igualdad de todos los ciudadanos en la satisfacción de sus derechos y el cumplimiento de sus obligaciones de Seguridad Social”; así como “la función interventora en la modalidad del control financiero posterior, para determinar que los actos dictados por la Comunidad Autónoma del País Vasco/Comunidad Foral de Navarra se adecuan a los principios de legalidad, economía y eficiencia” [apartado tercero del convenio con el País Vasco y apartado C) del convenio con Navarra].</w:t>
      </w:r>
    </w:p>
    <w:p w14:paraId="3452D028" w14:textId="77777777" w:rsidR="009D7677" w:rsidRDefault="009D7677" w:rsidP="009D7677">
      <w:pPr>
        <w:pStyle w:val="TextoNormal"/>
      </w:pPr>
    </w:p>
    <w:p w14:paraId="0FB65F81" w14:textId="77777777" w:rsidR="009D7677" w:rsidRDefault="009D7677" w:rsidP="009D7677">
      <w:pPr>
        <w:pStyle w:val="TextoNormal"/>
      </w:pPr>
      <w:r>
        <w:t>Asimismo, los mencionados convenios establecen diversas obligaciones a cargo de las comunidades forales, como la de garantizar la actualización del sistema de la “tarjeta social digital”, comunicar mensualmente los datos de los beneficiarios del IMV y suministrar información con fines de evaluación, estadística y seguimiento del sistema por el Estado [apartado cuarto del convenio con el País Vasco y apartado D) del convenio con Navarra].</w:t>
      </w:r>
    </w:p>
    <w:p w14:paraId="14E99BA1" w14:textId="77777777" w:rsidR="009D7677" w:rsidRDefault="009D7677" w:rsidP="009D7677">
      <w:pPr>
        <w:pStyle w:val="TextoNormal"/>
      </w:pPr>
    </w:p>
    <w:p w14:paraId="056A385A" w14:textId="77777777" w:rsidR="009D7677" w:rsidRDefault="009D7677" w:rsidP="009D7677">
      <w:pPr>
        <w:pStyle w:val="TextoNormal"/>
      </w:pPr>
      <w:r>
        <w:t>De este modo, la disposición adicional quinta de la Ley 19/2021 impugnada se inscribe en lo que afirma la STC 158/2021, FJ 5, según la cual las comunidades autónomas pueden “asumir las potestades de iniciación, tramitación y resolución de los expedientes de reconocimiento del IMV tras la suscripción de un convenio con la citada entidad gestora de la Seguridad Social [el INSS]”, no sin advertir que corresponde al Estado determinar “el modelo de gestión”, así como “implantar los mecanismos necesarios para asegurar que la cooperación de las comunidades autónomas en la referida gestión respete los principios de unidad e igualdad en los que se fundamenta el sistema”; mecanismos que han recogido los convenios anteriormente mencionados.</w:t>
      </w:r>
    </w:p>
    <w:p w14:paraId="4AED8C39" w14:textId="77777777" w:rsidR="009D7677" w:rsidRDefault="009D7677" w:rsidP="009D7677">
      <w:pPr>
        <w:pStyle w:val="TextoNormal"/>
      </w:pPr>
    </w:p>
    <w:p w14:paraId="19934BCA" w14:textId="77777777" w:rsidR="009D7677" w:rsidRDefault="009D7677" w:rsidP="009D7677">
      <w:pPr>
        <w:pStyle w:val="TextoNormal"/>
      </w:pPr>
      <w:r>
        <w:t>c) Por último, convenimos con las representaciones de los gobiernos vasco y navarro en que el modelo de gestión del IMV definido por el Estado en la disposición impugnada reproduce el que se viene aplicando para las pensiones no contributivas de jubilación e invalidez. Estas son, al igual que el IMV, prestaciones de carácter no contributivo integradas en la caja única de la Seguridad Social [como confirma la STC 239/2002, de 11 de diciembre, FJ 8 d)], lo cual no ha impedido su gestión por las comunidades autónomas, ya desde su creación por la Ley 26/1990, de 20 de diciembre (disposición adicional cuarta, actualmente sustituida por el art. 373 TRLGSS). De la competencia autonómica para la gestión de dichas pensiones se ha hecho eco el Tribunal en las SSTC 128/2016, de 7 de julio, FJ 9 A), y 158/2021, FJ 5, constatando que la Comunidad Autónoma de Cataluña, a la que se refieren dichas resoluciones, cuenta con título jurídico bastante para su reconocimiento y gestión.</w:t>
      </w:r>
    </w:p>
    <w:p w14:paraId="232E7E21" w14:textId="77777777" w:rsidR="009D7677" w:rsidRDefault="009D7677" w:rsidP="009D7677">
      <w:pPr>
        <w:pStyle w:val="TextoNormal"/>
      </w:pPr>
    </w:p>
    <w:p w14:paraId="5BB94CFF" w14:textId="77777777" w:rsidR="009D7677" w:rsidRDefault="009D7677" w:rsidP="009D7677">
      <w:pPr>
        <w:pStyle w:val="TextoNormal"/>
      </w:pPr>
      <w:r>
        <w:t>En conexión con esto, baste reseñar que por medio del art. 81 del Real Decreto-ley 8/2023, de 27 de diciembre, por el que se adoptan medidas para afrontar las consecuencias económicas y sociales derivadas de los conflictos en Ucrania y Oriente Próximo, así como para paliar los efectos de la sequía, el Estado ha extendido a todas las comunidades autónomas la posibilidad de asumir, previo convenio, la gestión de la prestación del IMV que corresponde al INSS, conforme al modelo en vigor para las pensiones no contributivas de jubilación e invalidez.</w:t>
      </w:r>
    </w:p>
    <w:p w14:paraId="1A3C6C9C" w14:textId="77777777" w:rsidR="009D7677" w:rsidRDefault="009D7677" w:rsidP="009D7677">
      <w:pPr>
        <w:pStyle w:val="TextoNormal"/>
      </w:pPr>
    </w:p>
    <w:p w14:paraId="7FF15AAB" w14:textId="1EDEEA9D" w:rsidR="009D7677" w:rsidRDefault="009D7677" w:rsidP="009D7677">
      <w:pPr>
        <w:pStyle w:val="TextoNormal"/>
      </w:pPr>
      <w:r>
        <w:lastRenderedPageBreak/>
        <w:t>En consideración a lo expuesto, debemos concluir que la previsión del primer inciso de la disposición adicional quinta, párrafo primero, de la Ley 19/2021, en la redacción dada por la disposición final trigésima de la Ley 22/2021, se ajusta a la distribución de competencias establecida en el art. 149.1.17 CE, desestimándose la impugnación.</w:t>
      </w:r>
    </w:p>
    <w:p w14:paraId="3DEC7C6B" w14:textId="77777777" w:rsidR="009D7677" w:rsidRDefault="009D7677" w:rsidP="009D7677">
      <w:pPr>
        <w:pStyle w:val="TextoNormal"/>
      </w:pPr>
    </w:p>
    <w:p w14:paraId="0D96EE4D" w14:textId="77777777" w:rsidR="009D7677" w:rsidRDefault="009D7677" w:rsidP="009D7677">
      <w:pPr>
        <w:pStyle w:val="TextoNormal"/>
      </w:pPr>
      <w:r w:rsidRPr="009D7677">
        <w:rPr>
          <w:rStyle w:val="NumeroAFNegritaCaracter"/>
        </w:rPr>
        <w:t>5</w:t>
      </w:r>
      <w:r>
        <w:t xml:space="preserve">. </w:t>
      </w:r>
      <w:r w:rsidRPr="009D7677">
        <w:rPr>
          <w:i/>
        </w:rPr>
        <w:t>Enjuiciamiento (y II). Asunción del pago de la prestación del IMV. Desestimación</w:t>
      </w:r>
    </w:p>
    <w:p w14:paraId="39B7D75A" w14:textId="77777777" w:rsidR="009D7677" w:rsidRDefault="009D7677" w:rsidP="009D7677">
      <w:pPr>
        <w:pStyle w:val="TextoNormal"/>
      </w:pPr>
    </w:p>
    <w:p w14:paraId="20DDC880" w14:textId="77777777" w:rsidR="009D7677" w:rsidRDefault="009D7677" w:rsidP="009D7677">
      <w:pPr>
        <w:pStyle w:val="TextoNormal"/>
      </w:pPr>
      <w:r>
        <w:t>El segundo aspecto controvertido es el que atribuye a las comunidades forales el pago de la prestación del IMV (segundo inciso de la disposición adicional quinta, párrafo primero, de la Ley 19/2021).</w:t>
      </w:r>
    </w:p>
    <w:p w14:paraId="788EB898" w14:textId="77777777" w:rsidR="009D7677" w:rsidRDefault="009D7677" w:rsidP="009D7677">
      <w:pPr>
        <w:pStyle w:val="TextoNormal"/>
      </w:pPr>
    </w:p>
    <w:p w14:paraId="296AC868" w14:textId="77777777" w:rsidR="009D7677" w:rsidRDefault="009D7677" w:rsidP="009D7677">
      <w:pPr>
        <w:pStyle w:val="TextoNormal"/>
      </w:pPr>
      <w:r>
        <w:t>a) Pese a que, según el tenor del precepto, el País Vasco y Navarra asumen el pago del IMV “en atención al sistema de financiación de dichas haciendas forales”, debemos dar la razón a los diputados recurrentes cuando afirman que las comunidades autónomas de régimen foral no tienen ninguna especialidad respecto de “la gestión del régimen económico de la Seguridad Social”, puesto que esta competencia corresponde a las comunidades autónomas que, con la misma o análoga expresión, la hayan asumido en sus estatutos. Según hemos constatado en el fundamento jurídico anterior, con base en dicha previsión estatutaria, las comunidades autónomas de régimen común vienen ejerciendo las competencias de gestión de otras prestaciones no contributivas, como también se ha previsto que lo hagan respecto del IMV (a través del citado art. 81 del Real Decreto-ley 8/2023).</w:t>
      </w:r>
    </w:p>
    <w:p w14:paraId="3C9DA106" w14:textId="77777777" w:rsidR="009D7677" w:rsidRDefault="009D7677" w:rsidP="009D7677">
      <w:pPr>
        <w:pStyle w:val="TextoNormal"/>
      </w:pPr>
    </w:p>
    <w:p w14:paraId="5FD1AD6E" w14:textId="77777777" w:rsidR="009D7677" w:rsidRDefault="009D7677" w:rsidP="009D7677">
      <w:pPr>
        <w:pStyle w:val="TextoNormal"/>
      </w:pPr>
      <w:r>
        <w:t>Ahora bien, el sistema de financiación foral sí juega un papel diferencial en cuanto a la ejecución material del pago de la prestación. Como recuerdan el abogado del Estado y las representaciones de los gobiernos autonómicos coadyuvantes, las relaciones financieras de las comunidades autónomas forales con el Estado se rigen por el sistema foral tradicional de concierto y convenio económico, previsto en el art. 41 EAPV, desarrollado por la Ley 12/2002, de 23 de mayo, por la que se aprueba el concierto, y en el art. 45 LORAFNA, desarrollado por la Ley 28/1990, de 26 de diciembre, por la que se aprueba el convenio. En esencia, este sistema consiste en que dichas comunidades recaudan la práctica totalidad de los tributos generados en su territorio e ingresan al Estado una cantidad (cupo —País Vasco— y aportación —Navarra—) para financiar las competencias estatales. Esta singularidad les permite asumir el pago del IMV y descontar del cupo y de la aportación la cantidad que corresponde conforme a las reglas del concierto y del convenio.</w:t>
      </w:r>
    </w:p>
    <w:p w14:paraId="6F96A8EB" w14:textId="77777777" w:rsidR="009D7677" w:rsidRDefault="009D7677" w:rsidP="009D7677">
      <w:pPr>
        <w:pStyle w:val="TextoNormal"/>
      </w:pPr>
    </w:p>
    <w:p w14:paraId="768D2483" w14:textId="77777777" w:rsidR="009D7677" w:rsidRDefault="009D7677" w:rsidP="009D7677">
      <w:pPr>
        <w:pStyle w:val="TextoNormal"/>
      </w:pPr>
      <w:r>
        <w:t>De acuerdo con lo expuesto, los acuerdos suscritos para la asunción de esta competencia, citados en el fundamento jurídico anterior, especifican el régimen financiero de la gestión del pago de la prestación del IMV por las comunidades forales. En concreto, establecen que la respectiva comunidad dispondrá de una cantidad determinada mediante la aplicación del porcentaje correspondiente al índice de imputación utilizado para el cálculo del cupo y aportación al gasto total a nivel estatal por el IMV y dicho importe será objeto de compensación en el cálculo del cupo y aportación a satisfacer al Estado [apartado quinto, puntos 1 y 2, del concierto con el País Vasco y apartado E), puntos 1 y 2, del convenio con Navarra].</w:t>
      </w:r>
    </w:p>
    <w:p w14:paraId="71B8A56B" w14:textId="77777777" w:rsidR="009D7677" w:rsidRDefault="009D7677" w:rsidP="009D7677">
      <w:pPr>
        <w:pStyle w:val="TextoNormal"/>
      </w:pPr>
    </w:p>
    <w:p w14:paraId="145D3005" w14:textId="77777777" w:rsidR="009D7677" w:rsidRDefault="009D7677" w:rsidP="009D7677">
      <w:pPr>
        <w:pStyle w:val="TextoNormal"/>
      </w:pPr>
      <w:r>
        <w:t>Así pues, de la caja única de la Seguridad Social que gestiona la TGSS no se desgaja la porción correspondiente a las comunidades vasca y navarra —como sostienen los diputados recurrentes—, sino que estas afrontan el pago de la prestación conforme a su especí</w:t>
      </w:r>
      <w:r>
        <w:lastRenderedPageBreak/>
        <w:t>fico sistema de financiación foral, sin menoscabo de la TGSS ni de la titularidad estatal de sus fondos.</w:t>
      </w:r>
    </w:p>
    <w:p w14:paraId="0BBDD6D9" w14:textId="77777777" w:rsidR="009D7677" w:rsidRDefault="009D7677" w:rsidP="009D7677">
      <w:pPr>
        <w:pStyle w:val="TextoNormal"/>
      </w:pPr>
    </w:p>
    <w:p w14:paraId="56BD62CB" w14:textId="77777777" w:rsidR="009D7677" w:rsidRDefault="009D7677" w:rsidP="009D7677">
      <w:pPr>
        <w:pStyle w:val="TextoNormal"/>
      </w:pPr>
      <w:r>
        <w:t>La ejecución del pago por las comunidades autónomas forales también preserva el modelo unitario de Seguridad Social aplicable a dicha actividad material. A tal efecto, en los convenios suscritos se prevé aplicar “procedimientos de pago similares a los utilizados por la Seguridad Social, con nóminas mensuales, nóminas no abonables, cruces de fallecidos y retrocesión de prestaciones abonadas, que aseguren una adecuada gestión de los fondos públicos” [apartado cuarto del concierto con el País Vasco y apartado D) del convenio con Navarra].</w:t>
      </w:r>
    </w:p>
    <w:p w14:paraId="6EF1BD00" w14:textId="77777777" w:rsidR="009D7677" w:rsidRDefault="009D7677" w:rsidP="009D7677">
      <w:pPr>
        <w:pStyle w:val="TextoNormal"/>
      </w:pPr>
    </w:p>
    <w:p w14:paraId="490E994C" w14:textId="77777777" w:rsidR="009D7677" w:rsidRDefault="009D7677" w:rsidP="009D7677">
      <w:pPr>
        <w:pStyle w:val="TextoNormal"/>
      </w:pPr>
      <w:r>
        <w:t>b) Al igual que hemos constatado en el fundamento jurídico anterior para el reconocimiento de la prestación, la asunción del pago por las comunidades forales replica el modelo en vigor para las pensiones no contributivas de jubilación e invalidez en dichos territorios. En las comunidades autónomas de régimen común dichas pensiones también se gestionan y reconocen por la administración autonómica pero el pago sigue realizándolo la TGSS (art. 21.2 de la Orden de 22 de febrero de 1996 para la aplicación y desarrollo del reglamento general de la gestión financiera de la Seguridad Social). Sin embargo, y en atención al sistema de financiación foral, el País Vasco y Navarra no solo asumieron la gestión y reconocimiento de las pensiones no contributivas de jubilación de invalidez —como el resto de comunidades autónomas—, sino también el pago. Así se estableció al traspasar a dichas comunidades las funciones y servicios del Instituto Nacional de Servicios Sociales mediante los Reales Decretos 1476/1987, de 2 de octubre, para el País Vasco y 1681/1990, de 28 de diciembre, para Navarra. En ellos se dispone que las comunidades forales se hacen cargo de las prestaciones del sistema de servicios sociales de la Seguridad Social, incluidas las citadas pensiones no contributivas, con sus recursos tributarios y mediante descuento del cupo y aportación [apartado G) del anexo del Real Decreto 1476/1987 y apartado 7 del anexo del Real Decreto 1681/1990], de forma análoga a como se ha instrumentado el pago de la prestación del IMV.</w:t>
      </w:r>
    </w:p>
    <w:p w14:paraId="5922B7E4" w14:textId="77777777" w:rsidR="009D7677" w:rsidRDefault="009D7677" w:rsidP="009D7677">
      <w:pPr>
        <w:pStyle w:val="TextoNormal"/>
      </w:pPr>
    </w:p>
    <w:p w14:paraId="59E4A99E" w14:textId="77777777" w:rsidR="009D7677" w:rsidRDefault="009D7677" w:rsidP="009D7677">
      <w:pPr>
        <w:pStyle w:val="TextoNormal"/>
      </w:pPr>
      <w:r>
        <w:t>Por consiguiente, toda vez que no hay menoscabo de la caja única ni del régimen unitario de la Seguridad Social, la impugnación del inciso referido al pago de la disposición adicional quinta, párrafo primero, de la Ley 19/2021, en la redacción dada por la disposición final trigésima de la Ley 22/2021, también debe ser desestimada.</w:t>
      </w:r>
    </w:p>
    <w:p w14:paraId="630E2B29" w14:textId="77777777" w:rsidR="009D7677" w:rsidRDefault="009D7677" w:rsidP="009D7677">
      <w:pPr>
        <w:pStyle w:val="TextoNormal"/>
      </w:pPr>
    </w:p>
    <w:p w14:paraId="7A5842D3" w14:textId="77777777" w:rsidR="009D7677" w:rsidRDefault="009D7677" w:rsidP="009D7677">
      <w:pPr>
        <w:pStyle w:val="TextoNormal"/>
      </w:pPr>
      <w:r>
        <w:t>c) Finalmente, en relación con el párrafo segundo de la disposición adicional quinta de la Ley 19/2021, el abogado del Estado planteó un óbice procesal, al entender que los recurrentes no habían satisfecho la carga de argumentar su contradicción con la Constitución.</w:t>
      </w:r>
    </w:p>
    <w:p w14:paraId="101C1877" w14:textId="77777777" w:rsidR="009D7677" w:rsidRDefault="009D7677" w:rsidP="009D7677">
      <w:pPr>
        <w:pStyle w:val="TextoNormal"/>
      </w:pPr>
    </w:p>
    <w:p w14:paraId="19D808D0" w14:textId="77777777" w:rsidR="009D7677" w:rsidRDefault="009D7677" w:rsidP="009D7677">
      <w:pPr>
        <w:pStyle w:val="TextoNormal"/>
      </w:pPr>
      <w:r>
        <w:t>Este párrafo prevé una encomienda de gestión a las comunidades forales, en tanto no se produzca la asunción de funciones y servicios a que se refiere el párrafo primero. Dada la naturaleza instrumental de dicha previsión respecto del núcleo central de la controversia competencial, la objeción del abogado del Estado no puede estimarse.</w:t>
      </w:r>
    </w:p>
    <w:p w14:paraId="41D1ABF0" w14:textId="77777777" w:rsidR="009D7677" w:rsidRDefault="009D7677" w:rsidP="009D7677">
      <w:pPr>
        <w:pStyle w:val="TextoNormal"/>
      </w:pPr>
    </w:p>
    <w:p w14:paraId="6A0751FD" w14:textId="77777777" w:rsidR="009D7677" w:rsidRDefault="009D7677" w:rsidP="009D7677">
      <w:pPr>
        <w:pStyle w:val="TextoNormal"/>
      </w:pPr>
      <w:r>
        <w:t xml:space="preserve">Dicho esto, habiendo desestimado la impugnación contra el párrafo primero, procede la misma decisión respecto del párrafo segundo, pues la encomienda de gestión solo incluye actuaciones “de carácter material o técnico” (art. 11 de la Ley 40/2015, de 1 de octubre, de régimen jurídico del sector público), como fórmula provisional y transitoria mientras se </w:t>
      </w:r>
      <w:r>
        <w:lastRenderedPageBreak/>
        <w:t>suscribe el acuerdo de asunción de funciones y servicios previsto en el párrafo primero; lo que —como hemos indicado anteriormente— ya se ha hecho tanto con la Comunidad Autónoma del País Vasco como con la Comunidad Foral de Navarra.</w:t>
      </w:r>
    </w:p>
    <w:p w14:paraId="1C401A1B" w14:textId="77777777" w:rsidR="009D7677" w:rsidRDefault="009D7677" w:rsidP="009D7677">
      <w:pPr>
        <w:pStyle w:val="TextoNormal"/>
      </w:pPr>
    </w:p>
    <w:p w14:paraId="7643A69E" w14:textId="62362E5C" w:rsidR="009D7677" w:rsidRDefault="009D7677" w:rsidP="009D7677">
      <w:pPr>
        <w:pStyle w:val="TextoNormal"/>
      </w:pPr>
      <w:r>
        <w:t>Con base en todo lo expuesto, debemos desestimar íntegramente el recurso de inconstitucionalidad promovido contra la disposición adicional quinta de la Ley 19/2021, en la redacción dada por la disposición final trigésima de la Ley 22/2021.</w:t>
      </w:r>
    </w:p>
    <w:p w14:paraId="5A810274" w14:textId="77777777" w:rsidR="009D7677" w:rsidRDefault="009D7677" w:rsidP="009D7677">
      <w:pPr>
        <w:pStyle w:val="TextoNormal"/>
      </w:pPr>
    </w:p>
    <w:p w14:paraId="51ECE25A" w14:textId="77777777" w:rsidR="009D7677" w:rsidRDefault="009D7677" w:rsidP="009D7677">
      <w:pPr>
        <w:pStyle w:val="TextoNormalCentrado"/>
        <w:keepNext/>
      </w:pPr>
      <w:r>
        <w:t>FALLO</w:t>
      </w:r>
    </w:p>
    <w:p w14:paraId="3F861AE8" w14:textId="16C3003D" w:rsidR="009D7677" w:rsidRDefault="009D7677" w:rsidP="009D7677">
      <w:pPr>
        <w:pStyle w:val="TextoNormalCentrado"/>
        <w:keepNext/>
      </w:pPr>
    </w:p>
    <w:p w14:paraId="0F2B3D8B" w14:textId="032AC2C9" w:rsidR="009D7677" w:rsidRDefault="009D7677" w:rsidP="009D7677">
      <w:pPr>
        <w:pStyle w:val="TextoNormal"/>
      </w:pPr>
      <w:r>
        <w:t>En atención a todo lo expuesto, el Tribunal Constitucional, por la autoridad que le confiere la Constitución de la Nación española, ha decidido desestimar íntegramente el recurso de inconstitucionalidad interpuesto por más de cincuenta diputados del Grupo Parlamentario Vox en el Congreso de los Diputados, contra la disposición adicional quinta de la Ley 19/2021, de 20 de diciembre, por la que se establece el ingreso mínimo vital, en la redacción dada por la disposición final trigésima de la Ley 22/2021, de 28 de diciembre, de presupuestos generales del Estado para 2022.</w:t>
      </w:r>
    </w:p>
    <w:p w14:paraId="1FD49F41" w14:textId="77777777" w:rsidR="009D7677" w:rsidRDefault="009D7677" w:rsidP="009D7677">
      <w:pPr>
        <w:pStyle w:val="TextoNormal"/>
      </w:pPr>
    </w:p>
    <w:p w14:paraId="6E1024A8" w14:textId="77777777" w:rsidR="009D7677" w:rsidRDefault="009D7677" w:rsidP="009D7677">
      <w:pPr>
        <w:pStyle w:val="TextoNormal"/>
      </w:pPr>
      <w:r>
        <w:t>Publíquese esta sentencia en el “Boletín Oficial del Estado”.</w:t>
      </w:r>
    </w:p>
    <w:p w14:paraId="50A691CA" w14:textId="77777777" w:rsidR="009D7677" w:rsidRDefault="009D7677" w:rsidP="009D7677">
      <w:pPr>
        <w:pStyle w:val="TextoNormal"/>
      </w:pPr>
      <w:r>
        <w:t>Dada en Madrid, a treinta y uno de enero de dos mil veinticuatro.</w:t>
      </w:r>
    </w:p>
    <w:p w14:paraId="5BCF7123" w14:textId="40342481" w:rsidR="009D7677" w:rsidRDefault="009D7677">
      <w:pPr>
        <w:spacing w:after="160" w:line="259" w:lineRule="auto"/>
        <w:rPr>
          <w:rFonts w:ascii="Times New Roman" w:eastAsia="Times New Roman" w:hAnsi="Times New Roman" w:cs="Times New Roman"/>
          <w:sz w:val="24"/>
          <w:szCs w:val="24"/>
          <w:lang w:eastAsia="es-ES"/>
        </w:rPr>
      </w:pPr>
      <w:r>
        <w:br w:type="page"/>
      </w:r>
    </w:p>
    <w:p w14:paraId="42668489" w14:textId="77777777" w:rsidR="009D7677" w:rsidRDefault="009D7677" w:rsidP="009D7677">
      <w:pPr>
        <w:pStyle w:val="TtuloResolucin"/>
      </w:pPr>
      <w:bookmarkStart w:id="22" w:name="SENTENCIA_2024_20"/>
      <w:r>
        <w:lastRenderedPageBreak/>
        <w:t>SENTENCIA 20/2024, de 31 de enero de 2024</w:t>
      </w:r>
    </w:p>
    <w:bookmarkEnd w:id="22"/>
    <w:p w14:paraId="080AC847" w14:textId="77777777" w:rsidR="009D7677" w:rsidRDefault="009D7677" w:rsidP="009D7677">
      <w:pPr>
        <w:pStyle w:val="TtuloResolucin"/>
      </w:pPr>
      <w:r>
        <w:t>Pleno</w:t>
      </w:r>
    </w:p>
    <w:p w14:paraId="57E012F8" w14:textId="77777777" w:rsidR="009D7677" w:rsidRDefault="009D7677" w:rsidP="009D7677">
      <w:pPr>
        <w:pStyle w:val="TtuloBOE"/>
      </w:pPr>
      <w:r>
        <w:t>(BOE núm. 53, de 29 de febrero de 2024)</w:t>
      </w:r>
    </w:p>
    <w:p w14:paraId="61E52DFC" w14:textId="77777777" w:rsidR="009D7677" w:rsidRDefault="009D7677" w:rsidP="009D7677">
      <w:pPr>
        <w:pStyle w:val="TextoNormalCentrado"/>
      </w:pPr>
      <w:r>
        <w:t>ECLI:ES:TC:2024:20</w:t>
      </w:r>
    </w:p>
    <w:p w14:paraId="45F139DF" w14:textId="5245FC19" w:rsidR="009D7677" w:rsidRDefault="009D7677" w:rsidP="009D7677">
      <w:pPr>
        <w:pStyle w:val="TextoNormalCentrado"/>
      </w:pPr>
    </w:p>
    <w:p w14:paraId="5489C476" w14:textId="77777777" w:rsidR="009D7677" w:rsidRDefault="009D7677" w:rsidP="009D7677">
      <w:pPr>
        <w:pStyle w:val="SntesisDescriptiva"/>
      </w:pPr>
      <w:r>
        <w:t>Recurso de inconstitucionalidad 6309-2022. Interpuesto por el Consejo de Gobierno de la Comunidad de Madrid en relación con el art. 29 del Real Decreto-ley 14/2022, de 1 de agosto, de medidas de sostenibilidad económica en el ámbito del transporte, en materia de becas y ayudas al estudio, así como de medidas de ahorro, eficiencia energética y de reducción de la dependencia energética del gas natural.</w:t>
      </w:r>
    </w:p>
    <w:p w14:paraId="13C83305" w14:textId="549E35FB" w:rsidR="009D7677" w:rsidRDefault="009D7677" w:rsidP="009D7677">
      <w:pPr>
        <w:pStyle w:val="SntesisDescriptiva"/>
      </w:pPr>
    </w:p>
    <w:p w14:paraId="0812B08E" w14:textId="77777777" w:rsidR="009D7677" w:rsidRDefault="009D7677" w:rsidP="009D7677">
      <w:pPr>
        <w:pStyle w:val="SntesisAnaltica"/>
      </w:pPr>
      <w:r>
        <w:t>Límites de los decretos leyes: justificación de la concurrencia del presupuesto habilitante de la extraordinaria y urgente necesidad y respeto al orden de distribución de competencias en la aprobación del plan de choque de ahorro y gestión energética en climatización. Voto particular.</w:t>
      </w:r>
    </w:p>
    <w:p w14:paraId="625DCB19" w14:textId="57FFB6BF" w:rsidR="009D7677" w:rsidRDefault="009D7677" w:rsidP="009D7677">
      <w:pPr>
        <w:pStyle w:val="SntesisAnaltica"/>
      </w:pPr>
    </w:p>
    <w:p w14:paraId="66F675EB" w14:textId="379774E6" w:rsidR="009D7677" w:rsidRDefault="009D7677" w:rsidP="009D7677">
      <w:pPr>
        <w:pStyle w:val="Extracto"/>
      </w:pPr>
      <w:r>
        <w:t>1.</w:t>
      </w:r>
      <w:r>
        <w:tab/>
        <w:t>Es exigible que las medidas que se incluyen en el decreto-ley sean medidas concretas y de eficacia inmediata para hacer frente a la situación de extraordinaria y urgente necesidad que ha determinado el uso de la legislación de urgencia establecida en el art. 86 CE  (STC 70/2016) [FJ 3].</w:t>
      </w:r>
    </w:p>
    <w:p w14:paraId="0267E64F" w14:textId="77777777" w:rsidR="009D7677" w:rsidRDefault="009D7677" w:rsidP="009D7677">
      <w:pPr>
        <w:pStyle w:val="Extracto"/>
      </w:pPr>
    </w:p>
    <w:p w14:paraId="4A346403" w14:textId="76BF0B0F" w:rsidR="009D7677" w:rsidRDefault="009D7677" w:rsidP="009D7677">
      <w:pPr>
        <w:pStyle w:val="Extracto"/>
      </w:pPr>
      <w:r>
        <w:t>2.</w:t>
      </w:r>
      <w:r>
        <w:tab/>
        <w:t>El hecho de que un mismo decreto-ley adopte medidas que pertenezcan a sectores materiales distintos, no solo obliga a analizar el presupuesto habilitante desde una visión global, sino que en todo caso exige una justificación ad casum del mismo en relación con cada una de ellas (SSTC 332/2005 o 15/2023) [FJ 3].</w:t>
      </w:r>
    </w:p>
    <w:p w14:paraId="2E0EAB17" w14:textId="77777777" w:rsidR="009D7677" w:rsidRDefault="009D7677" w:rsidP="009D7677">
      <w:pPr>
        <w:pStyle w:val="Extracto"/>
      </w:pPr>
    </w:p>
    <w:p w14:paraId="6C4DA2E1" w14:textId="1FCDD44D" w:rsidR="009D7677" w:rsidRDefault="009D7677" w:rsidP="009D7677">
      <w:pPr>
        <w:pStyle w:val="Extracto"/>
      </w:pPr>
      <w:r>
        <w:t>3.</w:t>
      </w:r>
      <w:r>
        <w:tab/>
        <w:t>Es directamente apreciable la conexión de sentido entre el ahorro energético y la reducción de la demanda de gas y las medidas de limitación de temperaturas de climatización, cierre de puertas, restricción de la iluminación exterior nocturna y control de eficiencia de las instalaciones térmicas a través de inspecciones. Y la mencionada conexión de sentido es complementaria o accesoria, respecto a la obligación de colocar carteles informativos [FJ 3].</w:t>
      </w:r>
    </w:p>
    <w:p w14:paraId="27671B73" w14:textId="77777777" w:rsidR="009D7677" w:rsidRDefault="009D7677" w:rsidP="009D7677">
      <w:pPr>
        <w:pStyle w:val="Extracto"/>
      </w:pPr>
    </w:p>
    <w:p w14:paraId="1D5BB25F" w14:textId="77777777" w:rsidR="009D7677" w:rsidRDefault="009D7677" w:rsidP="009D7677">
      <w:pPr>
        <w:pStyle w:val="Extracto"/>
      </w:pPr>
    </w:p>
    <w:p w14:paraId="199621D7" w14:textId="77777777" w:rsidR="009D7677" w:rsidRDefault="009D7677" w:rsidP="009D7677">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00C7519F" w14:textId="14D063EC" w:rsidR="009D7677" w:rsidRDefault="009D7677" w:rsidP="009D7677">
      <w:pPr>
        <w:pStyle w:val="TextoNormal"/>
      </w:pPr>
    </w:p>
    <w:p w14:paraId="4BEC6A58" w14:textId="77777777" w:rsidR="009D7677" w:rsidRDefault="009D7677" w:rsidP="009D7677">
      <w:pPr>
        <w:pStyle w:val="TextoNormalCentrado"/>
        <w:keepNext/>
      </w:pPr>
      <w:r>
        <w:t>EN NOMBRE DEL REY</w:t>
      </w:r>
    </w:p>
    <w:p w14:paraId="6DBE74FA" w14:textId="3E9A9900" w:rsidR="009D7677" w:rsidRDefault="009D7677" w:rsidP="009D7677">
      <w:pPr>
        <w:pStyle w:val="TextoNormalCentrado"/>
        <w:keepNext/>
      </w:pPr>
    </w:p>
    <w:p w14:paraId="0D347D3F" w14:textId="77777777" w:rsidR="009D7677" w:rsidRDefault="009D7677" w:rsidP="009D7677">
      <w:pPr>
        <w:pStyle w:val="TextoNormalCentrado"/>
        <w:keepNext/>
      </w:pPr>
    </w:p>
    <w:p w14:paraId="073B05C6" w14:textId="77777777" w:rsidR="009D7677" w:rsidRDefault="009D7677" w:rsidP="009D7677">
      <w:pPr>
        <w:pStyle w:val="TextoNormal"/>
      </w:pPr>
      <w:r>
        <w:t>la siguiente</w:t>
      </w:r>
    </w:p>
    <w:p w14:paraId="40CE81F9" w14:textId="4D5D16A8" w:rsidR="009D7677" w:rsidRDefault="009D7677" w:rsidP="009D7677">
      <w:pPr>
        <w:pStyle w:val="TextoNormal"/>
      </w:pPr>
    </w:p>
    <w:p w14:paraId="58AC0414" w14:textId="77777777" w:rsidR="009D7677" w:rsidRDefault="009D7677" w:rsidP="009D7677">
      <w:pPr>
        <w:pStyle w:val="TextoNormalCentrado"/>
        <w:keepNext/>
      </w:pPr>
      <w:r>
        <w:lastRenderedPageBreak/>
        <w:t>SENTENCIA</w:t>
      </w:r>
    </w:p>
    <w:p w14:paraId="0965FA0F" w14:textId="2836C839" w:rsidR="009D7677" w:rsidRDefault="009D7677" w:rsidP="009D7677">
      <w:pPr>
        <w:pStyle w:val="TextoNormalCentrado"/>
        <w:keepNext/>
      </w:pPr>
    </w:p>
    <w:p w14:paraId="731DB976" w14:textId="77777777" w:rsidR="009D7677" w:rsidRDefault="009D7677" w:rsidP="009D7677">
      <w:pPr>
        <w:pStyle w:val="TextoNormal"/>
      </w:pPr>
      <w:r>
        <w:t>En el recurso de inconstitucionalidad núm. 6309-2022, promovido por el Consejo de Gobierno de la Comunidad de Madrid contra el art. 29 del Real Decreto-ley 14/2022, de 1 de agosto, de medidas de sostenibilidad económica en el ámbito del transporte, en materia de becas y ayudas al estudio, así como de medidas de ahorro, eficiencia energética y de reducción de la dependencia energética del gas natural. Han comparecido el Senado, el Congreso de los Diputados y el Gobierno de la Nación, habiendo formulado alegaciones este último. Ha sido ponente el magistrado don Ramón Sáez Valcárcel.</w:t>
      </w:r>
    </w:p>
    <w:p w14:paraId="4857D04C" w14:textId="248DE883" w:rsidR="009D7677" w:rsidRDefault="009D7677" w:rsidP="009D7677">
      <w:pPr>
        <w:pStyle w:val="TextoNormal"/>
      </w:pPr>
    </w:p>
    <w:p w14:paraId="5D8380D0" w14:textId="77777777" w:rsidR="009D7677" w:rsidRDefault="009D7677" w:rsidP="009D7677">
      <w:pPr>
        <w:pStyle w:val="TextoNormalNegritaCentrado"/>
        <w:keepNext/>
      </w:pPr>
      <w:r>
        <w:t>I. Antecedentes</w:t>
      </w:r>
    </w:p>
    <w:p w14:paraId="06B8A352" w14:textId="745E377C" w:rsidR="009D7677" w:rsidRDefault="009D7677" w:rsidP="009D7677">
      <w:pPr>
        <w:pStyle w:val="TextoNormalNegritaCentrado"/>
        <w:keepNext/>
      </w:pPr>
    </w:p>
    <w:p w14:paraId="3DA5D523" w14:textId="61D3C195" w:rsidR="009D7677" w:rsidRDefault="009D7677" w:rsidP="009D7677">
      <w:pPr>
        <w:pStyle w:val="TextoNormal"/>
      </w:pPr>
      <w:r w:rsidRPr="009D7677">
        <w:rPr>
          <w:rStyle w:val="NumeroAFNegritaCaracter"/>
        </w:rPr>
        <w:t>1</w:t>
      </w:r>
      <w:r>
        <w:t>. Con fecha 26 de septiembre de 2022 tuvo entrada en el registro de este tribunal el recurso de inconstitucionalidad promovido por el Consejo de Gobierno de la Comunidad de Madrid contra el art. 29 del real decreto-ley citado. Este fue publicado en el “Boletín Oficial del Estado” núm. 184, de 2 de agosto de 2022, y el Congreso de los Diputados acordó su convalidación en su sesión del día 25 de agosto de 2022 (“Boletín Oficial del Estado” núm. 208, de 30 de agosto de 2022).</w:t>
      </w:r>
    </w:p>
    <w:p w14:paraId="560D3F3E" w14:textId="77777777" w:rsidR="009D7677" w:rsidRDefault="009D7677" w:rsidP="009D7677">
      <w:pPr>
        <w:pStyle w:val="TextoNormal"/>
      </w:pPr>
    </w:p>
    <w:p w14:paraId="3F82FEEB" w14:textId="77777777" w:rsidR="009D7677" w:rsidRDefault="009D7677" w:rsidP="009D7677">
      <w:pPr>
        <w:pStyle w:val="TextoNormal"/>
      </w:pPr>
      <w:r w:rsidRPr="009D7677">
        <w:rPr>
          <w:rStyle w:val="NumeroAFNegritaCaracter"/>
        </w:rPr>
        <w:t>2</w:t>
      </w:r>
      <w:r>
        <w:t>. El recurso se fundamenta en cinco motivos. Uno atiene a la supuesta utilización indebida de la figura del real decreto-ley y afecta por tanto a la totalidad del artículo impugnado, que regula el llamado plan de choque de ahorro y gestión energética en climatización; el resto se proyecta sobre cinco de los seis apartados del precepto, con carácter competencial. A continuación, se sintetizan las tachas de inconstitucionalidad contempladas en la demanda, siguiendo la estructura y argumentación de esta:</w:t>
      </w:r>
    </w:p>
    <w:p w14:paraId="30CD02AF" w14:textId="77777777" w:rsidR="009D7677" w:rsidRDefault="009D7677" w:rsidP="009D7677">
      <w:pPr>
        <w:pStyle w:val="TextoNormal"/>
      </w:pPr>
    </w:p>
    <w:p w14:paraId="08668813" w14:textId="77777777" w:rsidR="009D7677" w:rsidRDefault="009D7677" w:rsidP="009D7677">
      <w:pPr>
        <w:pStyle w:val="TextoNormal"/>
      </w:pPr>
      <w:r>
        <w:t>A) Vulneración de los arts. 23.2 y 86.1 CE por abusiva e indebida utilización del real decreto-ley</w:t>
      </w:r>
    </w:p>
    <w:p w14:paraId="00A3083A" w14:textId="77777777" w:rsidR="009D7677" w:rsidRDefault="009D7677" w:rsidP="009D7677">
      <w:pPr>
        <w:pStyle w:val="TextoNormal"/>
      </w:pPr>
    </w:p>
    <w:p w14:paraId="4E3FD9CD" w14:textId="77777777" w:rsidR="009D7677" w:rsidRDefault="009D7677" w:rsidP="009D7677">
      <w:pPr>
        <w:pStyle w:val="TextoNormal"/>
      </w:pPr>
      <w:r>
        <w:t>La demanda afirma que el uso de la fuente normativa del real decreto-ley sin que concurra el presupuesto habilitante de la “extraordinaria y urgente necesidad” (art. 86.1 CE), que según reiterada doctrina constitucional debe ser interpretado restrictivamente, desdibuja el principio de separación de poderes y limita el ejercicio del derecho fundamental de participación política, al no permitir debate ni enmiendas (art. 23.2 CE).</w:t>
      </w:r>
    </w:p>
    <w:p w14:paraId="6E8A1BBA" w14:textId="77777777" w:rsidR="009D7677" w:rsidRDefault="009D7677" w:rsidP="009D7677">
      <w:pPr>
        <w:pStyle w:val="TextoNormal"/>
      </w:pPr>
    </w:p>
    <w:p w14:paraId="74255B83" w14:textId="77777777" w:rsidR="009D7677" w:rsidRDefault="009D7677" w:rsidP="009D7677">
      <w:pPr>
        <w:pStyle w:val="TextoNormal"/>
      </w:pPr>
      <w:r>
        <w:t>Se aprecia que así sucede en el presente caso, en que la extraordinaria y urgente necesidad de la adopción de medidas de ahorro energético se justifica en el apartado VIII del preámbulo del Real Decreto-ley en el cumplimiento de (i) el Plan “REPowerEU”, presentado por la Comisión Europea el 18 de mayo de 2022 con el objetivo de poner fin a la dependencia de los combustibles fósiles de origen ruso; y (ii) el acuerdo alcanzado en el Consejo Extraordinario de Ministros de Energía celebrado el 26 de julio de 2022. El recurso considera fuera de toda duda que la situación energética en la Unión Europea ha devenido compleja a resultas de la guerra en Ucrania y las consiguientes restricciones en el suministro del gas ruso y que, como consecuencia de ello, pueden llegar a resultar necesarias determinadas medidas para compensar una reducción en el suministro. Lo que cuestiona es la necesidad de que ello deba realizarse mediante real decreto-ley porque considera indudable que las medidas se adoptan con vistas al siguiente invierno y que, por lo tan</w:t>
      </w:r>
      <w:r>
        <w:lastRenderedPageBreak/>
        <w:t>to, podrían haberse canalizado igualmente por medio de una ley, atendiendo a los plazos regulados en los reglamentos de las cámaras para su tramitación. Según demuestran informaciones periodísticas y varios ejemplos recientes, es posible aprobar una ley en un plazo medio de cinco meses, o incluso en un plazo inferior a un mes si se utiliza el procedimiento legislativo de urgencia.</w:t>
      </w:r>
    </w:p>
    <w:p w14:paraId="78CB295A" w14:textId="77777777" w:rsidR="009D7677" w:rsidRDefault="009D7677" w:rsidP="009D7677">
      <w:pPr>
        <w:pStyle w:val="TextoNormal"/>
      </w:pPr>
    </w:p>
    <w:p w14:paraId="4F65285C" w14:textId="77777777" w:rsidR="009D7677" w:rsidRDefault="009D7677" w:rsidP="009D7677">
      <w:pPr>
        <w:pStyle w:val="TextoNormal"/>
      </w:pPr>
      <w:r>
        <w:t>Por ello, sostiene que no era necesario en este caso emplear el decreto-ley. Seguidamente denuncia que esto viene sucediendo indiscriminadamente y con especial intensidad durante los últimos años. Afirma que urge restringir la posibilidad de utilización del decreto-ley a los casos en que se acredite que no resulta posible aprobar las medidas deseadas ni tan siquiera por el procedimiento legislativo de urgencia, ya que, de otro modo, se llega a una situación en la que basta con incorporar una justificación formal, más o menos fundada, de la “extraordinaria y urgente necesidad” de una determinada regulación para poder emplear el cauce del decreto-ley, convirtiendo lo extraordinario en usual. Además, debe revisarse la incidencia del decreto-ley sobre el derecho fundamental protegido por el art. 23.2 CE a la luz de la doctrina contenida en la STC 139/2017, de 29 de noviembre, relativa a la supresión del trámite de enmiendas en el procedimiento legislativo en lectura única, en tanto que la ratificación de los decretos-leyes lo es mediante un debate de totalidad que no permite la introducción de enmiendas al articulado ni la votación separada de sus preceptos, lo cual resulta especialmente flagrante en caso de normas de considerable extensión y contenidos heterogéneos, como sucede en el presente caso.</w:t>
      </w:r>
    </w:p>
    <w:p w14:paraId="43FEC59E" w14:textId="77777777" w:rsidR="009D7677" w:rsidRDefault="009D7677" w:rsidP="009D7677">
      <w:pPr>
        <w:pStyle w:val="TextoNormal"/>
      </w:pPr>
    </w:p>
    <w:p w14:paraId="75447D25" w14:textId="77777777" w:rsidR="009D7677" w:rsidRDefault="009D7677" w:rsidP="009D7677">
      <w:pPr>
        <w:pStyle w:val="TextoNormal"/>
      </w:pPr>
      <w:r>
        <w:t>La demanda deriva también la innecesariedad de acudir al decreto-ley para aprobar las disposiciones contenidas en el art. 29 del hecho de que las mismas son consecuencia de recomendaciones que se establecen sin carácter vinculante por la Unión Europea para los Estados miembros (unos objetivos voluntarios que, además, deberían cumplirse a finales de septiembre, plazo en el que podría haberse promulgado una ley por el procedimiento de urgencia) y del hecho de que la propia Comisión Europea haya propuesto un nuevo Reglamento del Consejo relativo a la adopción de medidas coordinadas para la reducción de la demanda de gas, que a fecha del registro de la demanda aún no se ha aprobado, pero cuyo borrador contiene un art. 3 con medidas para la reducción voluntaria de la demanda; reducción que deviene únicamente obligatoria en los supuestos de los arts. 4 y 5, que no requieren de medidas internas por los Estados miembros. A lo anterior se suma la condición de “isla energética” del Reino de España y la República de Portugal, por su bajísima interconexión con los restantes Estados miembros y su menor dependencia del gas ruso, lo que determina una necesidad de reducción menor del consumo, como también se reconoce en el preámbulo del Real Decreto-ley 14/2022 (del 7 por 100 frente al objetivo general del 15 por 100).</w:t>
      </w:r>
    </w:p>
    <w:p w14:paraId="176AF180" w14:textId="77777777" w:rsidR="009D7677" w:rsidRDefault="009D7677" w:rsidP="009D7677">
      <w:pPr>
        <w:pStyle w:val="TextoNormal"/>
      </w:pPr>
    </w:p>
    <w:p w14:paraId="278D26FF" w14:textId="77777777" w:rsidR="009D7677" w:rsidRDefault="009D7677" w:rsidP="009D7677">
      <w:pPr>
        <w:pStyle w:val="TextoNormal"/>
      </w:pPr>
      <w:r>
        <w:t xml:space="preserve">Por último, la improcedencia de acudir al real decreto-ley para aprobar las medidas previstas en el art. 29 queda demostrada por el hecho de que parte de esas medidas se encontraban ya reguladas, si bien con límites, en disposiciones de rango reglamentario (en particular, en el Reglamento de instalaciones térmicas de edificios (en adelante RITE), aprobado mediante Real Decreto 1027/2007, de 20 de julio). Como señalaron las SSTC 332/2005, de 15 de diciembre, FJ 7, y 14/2020, de 28 de enero, FJ 5, la posibilidad de haber utilizado una norma reglamentaria para regular la materia en cuestión, por no estar sujeta a reserva de ley, puede constituir un indicio de la inexistencia de extraordinaria y urgente necesidad, de modo que el uso del real decreto-ley para ordenar una materia que </w:t>
      </w:r>
      <w:r>
        <w:lastRenderedPageBreak/>
        <w:t>antes era regulada por normas reglamentarias exige que el Gobierno justifique por qué era necesaria la elevación del rango; justificación que no existe en el caso del Real Decreto-ley 14/2022.</w:t>
      </w:r>
    </w:p>
    <w:p w14:paraId="2A2CAB30" w14:textId="77777777" w:rsidR="009D7677" w:rsidRDefault="009D7677" w:rsidP="009D7677">
      <w:pPr>
        <w:pStyle w:val="TextoNormal"/>
      </w:pPr>
    </w:p>
    <w:p w14:paraId="10A1090F" w14:textId="77777777" w:rsidR="009D7677" w:rsidRDefault="009D7677" w:rsidP="009D7677">
      <w:pPr>
        <w:pStyle w:val="TextoNormal"/>
      </w:pPr>
      <w:r>
        <w:t>B) Inconstitucionalidad de los arts. 29.1 y 29.2 por extralimitación de las bases estatales</w:t>
      </w:r>
    </w:p>
    <w:p w14:paraId="50D02E92" w14:textId="77777777" w:rsidR="009D7677" w:rsidRDefault="009D7677" w:rsidP="009D7677">
      <w:pPr>
        <w:pStyle w:val="TextoNormal"/>
      </w:pPr>
    </w:p>
    <w:p w14:paraId="7DC59F75" w14:textId="77777777" w:rsidR="009D7677" w:rsidRDefault="009D7677" w:rsidP="009D7677">
      <w:pPr>
        <w:pStyle w:val="TextoNormal"/>
      </w:pPr>
      <w:r>
        <w:t>a) Se impugna, en primer lugar, el art. 29.1 del Real Decreto-ley 14/2022, que establece unos valores mínimos y máximos de temperatura del aire en los “recintos habitables acondicionados” relacionados en el apartado 2 de la instrucción técnica 3.8.1 del RITE.</w:t>
      </w:r>
    </w:p>
    <w:p w14:paraId="4227D117" w14:textId="77777777" w:rsidR="009D7677" w:rsidRDefault="009D7677" w:rsidP="009D7677">
      <w:pPr>
        <w:pStyle w:val="TextoNormal"/>
      </w:pPr>
    </w:p>
    <w:p w14:paraId="7B7EF283" w14:textId="77777777" w:rsidR="009D7677" w:rsidRDefault="009D7677" w:rsidP="009D7677">
      <w:pPr>
        <w:pStyle w:val="TextoNormal"/>
      </w:pPr>
      <w:r>
        <w:t>El art. 29.1 sigue la misma estructura que tal instrucción y coincide parcialmente en su contenido. No cambian los recintos incluidos dentro de su ámbito de aplicación, ni las condiciones de humedad relativa. Las novedades que introduce el precepto impugnado son (i) la modificación de las condiciones de temperatura máxima de calefacción (que se rebaja de 21 a 19 grados centígrados) y mínima de refrigeración (que se eleva de 26 a 27 grados centígrados) y (ii) la no supeditación de tales limitaciones a la alimentación con energía convencional.</w:t>
      </w:r>
    </w:p>
    <w:p w14:paraId="0D38C5F0" w14:textId="77777777" w:rsidR="009D7677" w:rsidRDefault="009D7677" w:rsidP="009D7677">
      <w:pPr>
        <w:pStyle w:val="TextoNormal"/>
      </w:pPr>
    </w:p>
    <w:p w14:paraId="26BAF669" w14:textId="77777777" w:rsidR="009D7677" w:rsidRDefault="009D7677" w:rsidP="009D7677">
      <w:pPr>
        <w:pStyle w:val="TextoNormal"/>
      </w:pPr>
      <w:r>
        <w:t>Así las cosas, cualquier tacha de inconstitucionalidad sustantiva afectaría también a dicha instrucción técnica, que entró en vigor el 29 de febrero de 2008; circunstancia esta que, sin embargo, no es óbice para examinar su constitucionalidad en este momento, dado que, por su rango reglamentario, el RITE no ha podido tener acceso al Tribunal Constitucional.</w:t>
      </w:r>
    </w:p>
    <w:p w14:paraId="2A027FEA" w14:textId="77777777" w:rsidR="009D7677" w:rsidRDefault="009D7677" w:rsidP="009D7677">
      <w:pPr>
        <w:pStyle w:val="TextoNormal"/>
      </w:pPr>
    </w:p>
    <w:p w14:paraId="3365855F" w14:textId="77777777" w:rsidR="009D7677" w:rsidRDefault="009D7677" w:rsidP="009D7677">
      <w:pPr>
        <w:pStyle w:val="TextoNormal"/>
      </w:pPr>
      <w:r>
        <w:t>Desde un punto de vista formal, el hecho de que las medidas contenidas en el art. 29.1 del Real Decreto-ley 14/2022 hayan sido reguladas hasta ahora en una norma con rango reglamentario constituye un indicio de abuso del real decreto–ley.</w:t>
      </w:r>
    </w:p>
    <w:p w14:paraId="01891FF8" w14:textId="77777777" w:rsidR="009D7677" w:rsidRDefault="009D7677" w:rsidP="009D7677">
      <w:pPr>
        <w:pStyle w:val="TextoNormal"/>
      </w:pPr>
    </w:p>
    <w:p w14:paraId="6147420B" w14:textId="77777777" w:rsidR="009D7677" w:rsidRDefault="009D7677" w:rsidP="009D7677">
      <w:pPr>
        <w:pStyle w:val="TextoNormal"/>
      </w:pPr>
      <w:r>
        <w:t>Desde un punto de vista sustantivo, las medidas adoptadas exceden de las bases de que dispone el Estado para regular la materia. La demanda considera, a la luz de los títulos competenciales en cuyo ejercicio se adoptan las medidas de ahorro energético en la norma (arts. 149.1.13, 18 y 25 CE), el contenido del precepto impugnado [que lleva a descartar de entrada el art.149.1.18, y por tanto circunscribe los títulos competenciales a dos en que la Comunidad de Madrid ha asumido las competencias de desarrollo en virtud de los arts. 26.3.1.1 y 27.8 del Estatuto de Autonomía de la Comunidad de Madrid (EAM), relativos respectivamente a la ordenación y planificación de la actividad económica regional y al desarrollo legislativo, la potestad reglamentaria y la ejecución en materia de régimen minero y energético] y la doctrina sobre la no intercambiabilidad de las competencias de los arts. 149.1.13 y 25 CE (SSTC 18/2011, de 3 de marzo, FJ 6, y 102/2013, de 23 de abril, FJ 5), que el título competencial que lo ampara es el de las “bases de régimen minero y energético” (art. 149.1.25 CE). Sentado esto, se afirma que el precepto desborda los márgenes de la competencia estatal, ya que agota la materia regulada, sin dejar margen de actuación a las comunidades autónomas ni permitirles introducir modulaciones o matizaciones a su contenido pues, si bien se contemplan en el precepto impugnado ciertas posibles excepciones, las mismas se configuran por remisión o como consecuencia de disposiciones estatales, lo que impide a la Comunidad de Madrid desarrollar una política propia en la materia.</w:t>
      </w:r>
    </w:p>
    <w:p w14:paraId="542833AF" w14:textId="77777777" w:rsidR="009D7677" w:rsidRDefault="009D7677" w:rsidP="009D7677">
      <w:pPr>
        <w:pStyle w:val="TextoNormal"/>
      </w:pPr>
    </w:p>
    <w:p w14:paraId="41780C1F" w14:textId="77777777" w:rsidR="009D7677" w:rsidRDefault="009D7677" w:rsidP="009D7677">
      <w:pPr>
        <w:pStyle w:val="TextoNormal"/>
      </w:pPr>
      <w:r>
        <w:t>No se desconoce que la STC 102/2013, de 23 de abril, FJ 6, concluyó que, en virtud del art. 149.1.25, “el Gobierno, con la finalidad de garantizar el suministro de energía eléctrica, puede adoptar medidas para un plazo determinado dirigidas a hacer frente a situaciones de riesgo cierto en la prestación del suministro de energía eléctrica”. Sin embargo, se sostiene que en este caso no existe un riesgo de desabastecimiento de las fuentes de energía; desabastecimiento que ha de ser inminente y fundado, sin que baste su carácter potencial o a futuro. En este sentido, ha de tenerse en cuenta que (i) son numerosas las declaraciones del Gobierno afirmando que el suministro de gas se encuentra garantizado en España, sin que exista riesgo de desabastecimiento; (ii) el propio Consejo Europeo, al autorizar la llamada “excepción ibérica” en el mercado de la electricidad, ha reconocido la condición de “isla energética” de España y Portugal, lo que reduce notablemente el riesgo de desabastecimiento; y (iii) la garantía y seguridad en el suministro aparece expresamente reconocida en el preámbulo del Real Decreto-ley 14/2022.</w:t>
      </w:r>
    </w:p>
    <w:p w14:paraId="0682B930" w14:textId="77777777" w:rsidR="009D7677" w:rsidRDefault="009D7677" w:rsidP="009D7677">
      <w:pPr>
        <w:pStyle w:val="TextoNormal"/>
      </w:pPr>
    </w:p>
    <w:p w14:paraId="46F79D3B" w14:textId="77777777" w:rsidR="009D7677" w:rsidRDefault="009D7677" w:rsidP="009D7677">
      <w:pPr>
        <w:pStyle w:val="TextoNormal"/>
      </w:pPr>
      <w:r>
        <w:t>En realidad, estima la demanda, la razón que ha llevado a la promulgación de las medidas previstas en el art. 29 del Real Decreto-ley 14/2022 no es la seguridad en el suministro, sino la solidaridad en el cumplimiento de acuerdos (no vinculantes) comunitarios, como se reconoce en el mismo preámbulo. Dicha justificación contrasta con la doctrina constitucional que rechaza que la plena garantía del cumplimiento y ejecución de las obligaciones internacionales pueda tener una incidencia o proyección interna que venga a alterar la distribución de poderes entre el Estado y las comunidades autónomas operada por el bloque de la constitucionalidad (STC 80/1993, de 8 de marzo, FJ 3).</w:t>
      </w:r>
    </w:p>
    <w:p w14:paraId="545B438F" w14:textId="77777777" w:rsidR="009D7677" w:rsidRDefault="009D7677" w:rsidP="009D7677">
      <w:pPr>
        <w:pStyle w:val="TextoNormal"/>
      </w:pPr>
    </w:p>
    <w:p w14:paraId="2E7439C3" w14:textId="77777777" w:rsidR="009D7677" w:rsidRDefault="009D7677" w:rsidP="009D7677">
      <w:pPr>
        <w:pStyle w:val="TextoNormal"/>
      </w:pPr>
      <w:r>
        <w:t>A mayor abundamiento, y aun cuando, hipotéticamente, se llegase a considerar que la limitación en la temperatura tiene cobertura en la competencia básica estatal, la medida adoptada no guarda la debida proporcionalidad, puesto que excede de los objetivos de reducción que con carácter voluntario ha fijado la Unión Europea. En efecto, la comisión ha propuesto una reducción del 7 por 100 del consumo y se refiere exclusivamente al de gas, en tanto que la perseguida por el Real Decreto-ley 14/2022 es del doble, pues en el caso de los recintos con calefacción, impone una limitación de 19 grados centígrados, frente a los 21 grados centígrados previstos en la citada instrucción técnica, a pesar de que el propio preámbulo indica que “cada grado […] puede suponer un ahorro del 7 por 100 del consumo”; y, además, afecta de forma indiscriminada a todas las fuentes de energía (incluidas las renovables, excluidas de la regla hasta ahora prevista). Debido a esto último, la norma tampoco superaría el juicio de adecuación, pues la aplicación de los límites de temperatura a los locales que se climaticen con energía renovable en nada va a ayudar a reducir la dependencia del gas natural de la economía española.</w:t>
      </w:r>
    </w:p>
    <w:p w14:paraId="024F5F7B" w14:textId="77777777" w:rsidR="009D7677" w:rsidRDefault="009D7677" w:rsidP="009D7677">
      <w:pPr>
        <w:pStyle w:val="TextoNormal"/>
      </w:pPr>
    </w:p>
    <w:p w14:paraId="5C3EABD4" w14:textId="77777777" w:rsidR="009D7677" w:rsidRDefault="009D7677" w:rsidP="009D7677">
      <w:pPr>
        <w:pStyle w:val="TextoNormal"/>
      </w:pPr>
      <w:r>
        <w:t>b) En segundo lugar, y por los mismos motivos, se impugna el art. 29.2 del Real Decreto-ley 14/2022, que obliga a la instalación de carteles o pantallas informativos referentes a las medidas de ahorro energético adoptadas de conformidad con el art. 29.1. Además, en este supuesto, el recurso ve evidente que la medida impuesta no guarda ninguna relación ni con la salvaguarda del suministro eléctrico ni con el cumplimiento de los compromisos comunitarios, pues en modo alguno coadyuva al ahorro energético y, por lo tanto, no puede encontrar sustento en la competencia prevista en el art. 149.1.25 CE, además de tener un nivel de detalle excesivo e impropio de unas bases.</w:t>
      </w:r>
    </w:p>
    <w:p w14:paraId="64B11988" w14:textId="77777777" w:rsidR="009D7677" w:rsidRDefault="009D7677" w:rsidP="009D7677">
      <w:pPr>
        <w:pStyle w:val="TextoNormal"/>
      </w:pPr>
    </w:p>
    <w:p w14:paraId="3CFB0812" w14:textId="77777777" w:rsidR="009D7677" w:rsidRDefault="009D7677" w:rsidP="009D7677">
      <w:pPr>
        <w:pStyle w:val="TextoNormal"/>
      </w:pPr>
      <w:r>
        <w:lastRenderedPageBreak/>
        <w:t>C) Inconstitucionalidad del art. 29.3 por invasión de la competencia autonómica en materia de sanidad e higiene</w:t>
      </w:r>
    </w:p>
    <w:p w14:paraId="698541B2" w14:textId="77777777" w:rsidR="009D7677" w:rsidRDefault="009D7677" w:rsidP="009D7677">
      <w:pPr>
        <w:pStyle w:val="TextoNormal"/>
      </w:pPr>
    </w:p>
    <w:p w14:paraId="15650AA2" w14:textId="77777777" w:rsidR="009D7677" w:rsidRDefault="009D7677" w:rsidP="009D7677">
      <w:pPr>
        <w:pStyle w:val="TextoNormal"/>
      </w:pPr>
      <w:r>
        <w:t>Se impugna el art. 29.3 del Real Decreto-ley 14/2022, cuyo contenido prácticamente no difiere del de la instrucción técnica 3.8.4 del RITE, que fue introducida por el Real Decreto 1826/2009. La única diferencia entre ambas es que en el RITE la existencia de sistema de cierre de puertas de los edificios y locales con acceso desde la calle solo era exigible cuando para la climatización se estuviese empleando energía convencional, mientras que ahora se extiende a todo tipo de energías.</w:t>
      </w:r>
    </w:p>
    <w:p w14:paraId="500D4C2B" w14:textId="77777777" w:rsidR="009D7677" w:rsidRDefault="009D7677" w:rsidP="009D7677">
      <w:pPr>
        <w:pStyle w:val="TextoNormal"/>
      </w:pPr>
    </w:p>
    <w:p w14:paraId="19DE1607" w14:textId="77777777" w:rsidR="009D7677" w:rsidRDefault="009D7677" w:rsidP="009D7677">
      <w:pPr>
        <w:pStyle w:val="TextoNormal"/>
      </w:pPr>
      <w:r>
        <w:t>Sin embargo, se dice, la disposición contenida en la citada instrucción técnica, precedente a la pandemia de covid˗19, entró en colisión con las exigencias de ventilación de recintos cerrados que se impusieron durante la misma y que continúan vigentes, y que habrían desplazado o exceptuado aquella. Concretamente, en el ámbito de la Comunidad de Madrid está vigente la Orden 1224/2021, de 1 de octubre, de la Consejería de Sanidad, por la que se establecen medidas preventivas para hacer frente a la crisis sanitaria ocasionada por el covid˗19. Adicionalmente, existen guías de buenas prácticas y recomendaciones sobre ventilación, tanto de la Comunidad de Madrid como de la administración general del Estado para la prevención de la propagación del SARS-CoV-2.</w:t>
      </w:r>
    </w:p>
    <w:p w14:paraId="2B7C9CB8" w14:textId="77777777" w:rsidR="009D7677" w:rsidRDefault="009D7677" w:rsidP="009D7677">
      <w:pPr>
        <w:pStyle w:val="TextoNormal"/>
      </w:pPr>
    </w:p>
    <w:p w14:paraId="3F0CF58B" w14:textId="77777777" w:rsidR="009D7677" w:rsidRDefault="009D7677" w:rsidP="009D7677">
      <w:pPr>
        <w:pStyle w:val="TextoNormal"/>
      </w:pPr>
      <w:r>
        <w:t>Por lo tanto, el art. 29.3, que se ampara en la competencia estatal en materia energética, de cuyo ámbito formaría parte la eficiencia energética (por todas, STC 69/2018, de 21 de junio, FJ 5), entraría en colisión directa con la competencia en materia de “sanidad e higiene”, en su vertiente de protección de la salud, atribuida a la Comunidad de Madrid por el art. 27.4 EAM.</w:t>
      </w:r>
    </w:p>
    <w:p w14:paraId="5567E5B3" w14:textId="77777777" w:rsidR="009D7677" w:rsidRDefault="009D7677" w:rsidP="009D7677">
      <w:pPr>
        <w:pStyle w:val="TextoNormal"/>
      </w:pPr>
    </w:p>
    <w:p w14:paraId="1D20ACBD" w14:textId="77777777" w:rsidR="009D7677" w:rsidRDefault="009D7677" w:rsidP="009D7677">
      <w:pPr>
        <w:pStyle w:val="TextoNormal"/>
      </w:pPr>
      <w:r>
        <w:t>La protección de la salud y, en última instancia, de la vida, ha sido antepuesta por el Tribunal Constitucional a cualquier otro derecho o libertad. Ello debe interpretarse en un contexto epidemiológico en que no resulta posible ni conveniente la relajación de las medidas más eficaces y menos restrictivas (como sucede con la obligación de ventilar). Ante la eventual colisión de dos bienes jurídicos protegidos, como son la salud y la vida, por un lado, y la garantía del suministro eléctrico, por otro —en el hipotético caso de que este se viese afectado—, aquel debe prevalecer en todo caso.</w:t>
      </w:r>
    </w:p>
    <w:p w14:paraId="6177AAC6" w14:textId="77777777" w:rsidR="009D7677" w:rsidRDefault="009D7677" w:rsidP="009D7677">
      <w:pPr>
        <w:pStyle w:val="TextoNormal"/>
      </w:pPr>
    </w:p>
    <w:p w14:paraId="35D71C2A" w14:textId="77777777" w:rsidR="009D7677" w:rsidRDefault="009D7677" w:rsidP="009D7677">
      <w:pPr>
        <w:pStyle w:val="TextoNormal"/>
      </w:pPr>
      <w:r>
        <w:t>D) Inconstitucionalidad del art. 29.4 por invasión de las competencias autonómicas en materia de comercio interior, promoción turística y vigilancia y protección de edificios</w:t>
      </w:r>
    </w:p>
    <w:p w14:paraId="4383F8AA" w14:textId="77777777" w:rsidR="009D7677" w:rsidRDefault="009D7677" w:rsidP="009D7677">
      <w:pPr>
        <w:pStyle w:val="TextoNormal"/>
      </w:pPr>
    </w:p>
    <w:p w14:paraId="183F315E" w14:textId="77777777" w:rsidR="009D7677" w:rsidRDefault="009D7677" w:rsidP="009D7677">
      <w:pPr>
        <w:pStyle w:val="TextoNormal"/>
      </w:pPr>
      <w:r>
        <w:t>Se impugna el art. 29.4 del Real Decreto˗ley 14/2022, que impone el apagado del alumbrado, a partir de las 22:00 horas, de (i) los escaparates; y (ii) los edificios públicos que se encuentren desocupados a la referida hora.</w:t>
      </w:r>
    </w:p>
    <w:p w14:paraId="2C9A5425" w14:textId="77777777" w:rsidR="009D7677" w:rsidRDefault="009D7677" w:rsidP="009D7677">
      <w:pPr>
        <w:pStyle w:val="TextoNormal"/>
      </w:pPr>
    </w:p>
    <w:p w14:paraId="0FAF01D8" w14:textId="77777777" w:rsidR="009D7677" w:rsidRDefault="009D7677" w:rsidP="009D7677">
      <w:pPr>
        <w:pStyle w:val="TextoNormal"/>
      </w:pPr>
      <w:r>
        <w:t xml:space="preserve">En lo que afecta al apagado de escaparates, el precepto remite al apartado 6 de la instrucción técnica complementaria EA-02 del Reglamento de eficiencia energética en instalaciones de alumbrado exterior, aprobado por Real Decreto 1890/2008, de 14 de noviembre. Esta norma no define el concepto de “escaparate”, ni acota su ámbito a determinadas clases de ellos, estableciendo unos valores de referencia de niveles máximos de luminancia que deben cumplir. Por lo tanto, la obligación de apagado de escaparates establecida en el precepto impugnado se extiende indiscriminadamente a todos ellos, sin diferenciar entre </w:t>
      </w:r>
      <w:r>
        <w:lastRenderedPageBreak/>
        <w:t>los correspondientes a locales que están cerrados a las 22:00 horas y los que no. Esta falta de discriminación supone un perjuicio evidente para aquellos establecimientos que, en aplicación de la libertad de horarios comerciales establecida por la Comunidad de Madrid en ejercicio de su competencia sobre comercio interior (art. 26.3.1.2 EAM), hayan decidido mantener su actividad más allá de las 22:00 horas, pues el apagado dará la sensación de estar cerrados, con la consiguiente merma de clientela, actividad e ingresos económicos. Como es sabido, la Comunidad de Madrid viene ejerciendo la citada competencia desde hace ya varias décadas en sentido liberalizador, siendo la libertad horaria de los establecimientos comerciales uno de los aspectos medulares de su política en materia de comercio interior. Dicha libertad está prevista en el art. 26 de la Ley 16/1999, de 29 de abril, de comercio interior de la Comunidad de Madrid (en la redacción dada por la Ley 1/2008) y en el art. 6 de la Ley 2/2012, de 12 de junio, de dinamización de la actividad comercial en la Comunidad de Madrid.</w:t>
      </w:r>
    </w:p>
    <w:p w14:paraId="6FBC3A41" w14:textId="77777777" w:rsidR="009D7677" w:rsidRDefault="009D7677" w:rsidP="009D7677">
      <w:pPr>
        <w:pStyle w:val="TextoNormal"/>
      </w:pPr>
    </w:p>
    <w:p w14:paraId="4316C5EA" w14:textId="77777777" w:rsidR="009D7677" w:rsidRDefault="009D7677" w:rsidP="009D7677">
      <w:pPr>
        <w:pStyle w:val="TextoNormal"/>
      </w:pPr>
      <w:r>
        <w:t>Dado el gran número de establecimientos que, permaneciendo tradicionalmente abiertos tras las 22:00 horas, se han visto afectados por la obligación de apagado de sus escaparates, la medida adoptada ha abocado directamente al cierre de dichos establecimientos o ha conllevado importantes pérdidas de clientela. En estas condiciones no puede considerarse que la regulación estatal que se impugna suponga una afectación puntual sobre una competencia autonómica al amparo de otros títulos propios, pues a diferencia de lo que sucedía en el caso resuelto por la STC 170/2012, de 4 de octubre, aquí se está afectando a la posibilidad de ejercicio de la actividad misma a partir de determinado horario y, con ello, al núcleo esencial de la competencia autonómica en materia de fijación de horarios comerciales; competencia que el propio Tribunal Constitucional ha constatado como de titularidad autonómica (STC 31/2010, de 28 de junio, FJ 68). Ha de recordarse, a estos efectos, que la STC 88/2010, de 15 de noviembre, FJ 5, concluyó que la Ley 1/2004, de 21 de diciembre, de horarios comerciales, dictada como básica al amparo del art. 149.1.13 CE, “establece un régimen mínimo de regulación en materia de horarios comerciales dentro del cual las comunidades autónomas pueden optar por grados superiores de liberalización” y que ello no desplazaba totalmente la competencia de la comunidad autónoma porque esta “disfruta de un margen de desarrollo de la normativa básica para el establecimiento de una política propia en la materia en el marco definido por la base estatal”. Igualmente relevante para la resolución de la presente controversia se entiende la STC 156/2015, de 9 de julio, FJ 10. A diferencia de lo que sucedía en los casos resueltos por estas dos sentencias, el art. 29.4 ahora impugnado se encuentra formulado de tal modo que no permite la introducción de excepciones por parte de las comunidades autónomas y agota la regulación de la materia.</w:t>
      </w:r>
    </w:p>
    <w:p w14:paraId="1188CFA7" w14:textId="77777777" w:rsidR="009D7677" w:rsidRDefault="009D7677" w:rsidP="009D7677">
      <w:pPr>
        <w:pStyle w:val="TextoNormal"/>
      </w:pPr>
    </w:p>
    <w:p w14:paraId="796A4A89" w14:textId="77777777" w:rsidR="009D7677" w:rsidRDefault="009D7677" w:rsidP="009D7677">
      <w:pPr>
        <w:pStyle w:val="TextoNormal"/>
      </w:pPr>
      <w:r>
        <w:t>Además, dada la relevancia de la actividad comercial en la Comunidad de Madrid (en la que la libertad horaria es un componente esencial), dicha actividad se ha convertido en un polo de atracción turística, lo que hace que la norma impugnada afecte también a la competencia exclusiva autonómica en materia de promoción y ordenación del turismo en su ámbito territorial (art. 26.1.21 EAM). En este caso, al apagado de escaparates y cierre de tiendas se suma el apagado de edificios públicos, que restaría un importante atractivo turístico a la Comunidad de Madrid y a su capital, conocida por su vida nocturna. El apagado forzoso a las 22:00 horas determinaría, además, que en los días más largos del año (junio y julio) ni siquiera pudieran llegar a encenderse sus monumentos.</w:t>
      </w:r>
    </w:p>
    <w:p w14:paraId="752F73CD" w14:textId="77777777" w:rsidR="009D7677" w:rsidRDefault="009D7677" w:rsidP="009D7677">
      <w:pPr>
        <w:pStyle w:val="TextoNormal"/>
      </w:pPr>
    </w:p>
    <w:p w14:paraId="4D1FB1F4" w14:textId="77777777" w:rsidR="009D7677" w:rsidRDefault="009D7677" w:rsidP="009D7677">
      <w:pPr>
        <w:pStyle w:val="TextoNormal"/>
      </w:pPr>
      <w:r>
        <w:lastRenderedPageBreak/>
        <w:t>Por último, se considera que el apagado obligatorio de edificios públicos podría comprometer igualmente la competencia exclusiva autonómica consistente en la “vigilancia y protección de sus edificios e instalaciones” (art. 26.1.27 EAM), que, en muchos contextos, hace necesario contar con una iluminación suficiente y adecuada de los inmuebles.</w:t>
      </w:r>
    </w:p>
    <w:p w14:paraId="53B9E2BA" w14:textId="77777777" w:rsidR="009D7677" w:rsidRDefault="009D7677" w:rsidP="009D7677">
      <w:pPr>
        <w:pStyle w:val="TextoNormal"/>
      </w:pPr>
    </w:p>
    <w:p w14:paraId="1BCE0D73" w14:textId="77777777" w:rsidR="009D7677" w:rsidRDefault="009D7677" w:rsidP="009D7677">
      <w:pPr>
        <w:pStyle w:val="TextoNormal"/>
      </w:pPr>
      <w:r>
        <w:t>E) Inconstitucionalidad del art. 29.5 por extralimitación de las bases estatales</w:t>
      </w:r>
    </w:p>
    <w:p w14:paraId="0D0B4036" w14:textId="77777777" w:rsidR="009D7677" w:rsidRDefault="009D7677" w:rsidP="009D7677">
      <w:pPr>
        <w:pStyle w:val="TextoNormal"/>
      </w:pPr>
    </w:p>
    <w:p w14:paraId="72136CA2" w14:textId="77777777" w:rsidR="009D7677" w:rsidRDefault="009D7677" w:rsidP="009D7677">
      <w:pPr>
        <w:pStyle w:val="TextoNormal"/>
      </w:pPr>
      <w:r>
        <w:t>La demanda considera que, al adelantar a la fecha máxima del 1 de diciembre de 2022 las inspecciones de eficiencia energética de las instalaciones obligadas a superarla cuya última inspección se hubiera realizado antes del 1 de enero de 2021, el art. 29.5 invade la competencia autonómica de desarrollo de las bases estatales en materia de eficiencia energética y contraviene el régimen establecido en el art. 31 RITE, cuyo carácter no básico en sus apartados segundo, cuarto y sexto se recoge expresamente en la disposición final primera del Real Decreto 1027/2007.</w:t>
      </w:r>
    </w:p>
    <w:p w14:paraId="7B0E6E0A" w14:textId="77777777" w:rsidR="009D7677" w:rsidRDefault="009D7677" w:rsidP="009D7677">
      <w:pPr>
        <w:pStyle w:val="TextoNormal"/>
      </w:pPr>
    </w:p>
    <w:p w14:paraId="7CD8E411" w14:textId="77777777" w:rsidR="009D7677" w:rsidRDefault="009D7677" w:rsidP="009D7677">
      <w:pPr>
        <w:pStyle w:val="TextoNormal"/>
      </w:pPr>
      <w:r>
        <w:t>El art. 31.1 RITE establece la exigencia de que las instalaciones térmicas se inspeccionen periódicamente a lo largo de su vida útil, y remite a la instrucción técnica 4 los contenidos y plazos de estas inspecciones, entre otros extremos. El art. 31.6 RITE establece que las instalaciones existentes a la entrada en vigor del RITE se someterán al régimen y periodicidad de las inspecciones de eficiencia energética establecidas en la instrucción técnica 4. Sin embargo, dicho art. 31.6 RITE carece de naturaleza básica y no es aplicable en las comunidades autónomas que hayan aprobado o aprueben normas de transposición de la Directiva 2002/91/CE, de 16 de diciembre (disposición final primera del Real Decreto 1027/2007, por el que se aprueba el RITE). Por lo tanto, las comunidades autónomas pueden regular la periodicidad de las inspecciones de las instalaciones térmicas exigidas por el art. 31.1 RITE. La sentencia del Tribunal de Justicia de la Unión Europea de 16 de enero de 2014 (asunto C-67/12) confirmó que del tenor del Real Decreto 1027/2007 se deriva que esta norma deja en manos de las comunidades autónomas la decisión sobre el calendario de inspecciones de las calderas ya existentes a la fecha de su entrada en vigor.</w:t>
      </w:r>
    </w:p>
    <w:p w14:paraId="7D9BE3D9" w14:textId="77777777" w:rsidR="009D7677" w:rsidRDefault="009D7677" w:rsidP="009D7677">
      <w:pPr>
        <w:pStyle w:val="TextoNormal"/>
      </w:pPr>
    </w:p>
    <w:p w14:paraId="1810624D" w14:textId="3A53F44C" w:rsidR="009D7677" w:rsidRDefault="009D7677" w:rsidP="009D7677">
      <w:pPr>
        <w:pStyle w:val="TextoNormal"/>
      </w:pPr>
      <w:r>
        <w:t>En ejercicio de dicha competencia, la Comunidad de Madrid aprobó el Decreto 10/2014, de 6 de febrero, del Consejo de Gobierno, por el que se aprueba el procedimiento para llevar a cabo las inspecciones de eficiencia energética de determinadas instalaciones térmicas de edificios, que en su art. 8 regula la periodicidad de las inspecciones fijándolas en dos, cuatro o cinco años, dependiendo del tipo de instalación. Atendiendo al carácter no básico tanto del art. 31.6 RITE como, por congruencia, de la instrucción técnica 4 dictada en desarrollo de este, debe prevalecer la normativa autonómica sobre la estatal en la materia. A idéntica conclusión se llegaría por aplicación del art. 149.3 CE, así como del art. 33 EAM, conforme al cual “[e]l Derecho propio de la Comunidad de Madrid […] es aplicable con preferencia a cualquier otro en el territorio de Madrid. En todo caso, el Derecho estatal tiene carácter supletorio del Derecho propio de Madrid”.</w:t>
      </w:r>
    </w:p>
    <w:p w14:paraId="5EBB2DF0" w14:textId="77777777" w:rsidR="009D7677" w:rsidRDefault="009D7677" w:rsidP="009D7677">
      <w:pPr>
        <w:pStyle w:val="TextoNormal"/>
      </w:pPr>
    </w:p>
    <w:p w14:paraId="641B055F" w14:textId="49DC3861" w:rsidR="009D7677" w:rsidRDefault="009D7677" w:rsidP="009D7677">
      <w:pPr>
        <w:pStyle w:val="TextoNormal"/>
      </w:pPr>
      <w:r w:rsidRPr="009D7677">
        <w:rPr>
          <w:rStyle w:val="NumeroAFNegritaCaracter"/>
        </w:rPr>
        <w:t>3</w:t>
      </w:r>
      <w:r>
        <w:t>. Por providencia de 11 de octubre de 2022, el Pleno, a propuesta de la Sección Cuarta, acordó admitir a trámite el recurso y dar traslado de la demanda y los documentos presentados, conforme establece el art. 34 de la Ley Orgánica del Tribunal Constitucional (LOTC), al Congreso de los Diputados y al Senado, por conducto de sus presidencias, y al Gobierno, por conducto de la ministra de Justicia, al objeto de que, en el plazo de quince días, pudieran personarse en el procedimiento y formular alegaciones. Asimismo, se acor</w:t>
      </w:r>
      <w:r>
        <w:lastRenderedPageBreak/>
        <w:t>dó publicar la incoación del procedimiento en el “Boletín Oficial del Estado”, lo que se verificó en el núm. 250, de 18 de octubre de 2022.</w:t>
      </w:r>
    </w:p>
    <w:p w14:paraId="6275C319" w14:textId="77777777" w:rsidR="009D7677" w:rsidRDefault="009D7677" w:rsidP="009D7677">
      <w:pPr>
        <w:pStyle w:val="TextoNormal"/>
      </w:pPr>
    </w:p>
    <w:p w14:paraId="23656036" w14:textId="4B271EA8" w:rsidR="009D7677" w:rsidRDefault="009D7677" w:rsidP="009D7677">
      <w:pPr>
        <w:pStyle w:val="TextoNormal"/>
      </w:pPr>
      <w:r w:rsidRPr="009D7677">
        <w:rPr>
          <w:rStyle w:val="NumeroAFNegritaCaracter"/>
        </w:rPr>
        <w:t>4</w:t>
      </w:r>
      <w:r>
        <w:t>. Mediante escrito registrado el 26 de octubre de 2022, el presidente del Senado comunicó el acuerdo de la mesa de la Cámara, por el que se persona en el proceso y ofrece su colaboración a los efectos del art. 88.1 LOTC. Lo mismo hizo la presidenta del Congreso de los Diputados, por escrito que tuvo entrada en este tribunal el día 28 de octubre de 2022.</w:t>
      </w:r>
    </w:p>
    <w:p w14:paraId="62296AE6" w14:textId="77777777" w:rsidR="009D7677" w:rsidRDefault="009D7677" w:rsidP="009D7677">
      <w:pPr>
        <w:pStyle w:val="TextoNormal"/>
      </w:pPr>
    </w:p>
    <w:p w14:paraId="4190A7E4" w14:textId="5609F546" w:rsidR="009D7677" w:rsidRDefault="009D7677" w:rsidP="009D7677">
      <w:pPr>
        <w:pStyle w:val="TextoNormal"/>
      </w:pPr>
      <w:r w:rsidRPr="009D7677">
        <w:rPr>
          <w:rStyle w:val="NumeroAFNegritaCaracter"/>
        </w:rPr>
        <w:t>5</w:t>
      </w:r>
      <w:r>
        <w:t>. El abogado del Estado se personó en el proceso por escrito registrado el día 8 de noviembre de 2022, solicitando una prórroga del plazo inicialmente concedido para formular alegaciones. La prórroga le fue concedida por diligencia de ordenación de la Secretaría de Justicia del Pleno del día 10 de noviembre de 2022.</w:t>
      </w:r>
    </w:p>
    <w:p w14:paraId="1CBDDA46" w14:textId="77777777" w:rsidR="009D7677" w:rsidRDefault="009D7677" w:rsidP="009D7677">
      <w:pPr>
        <w:pStyle w:val="TextoNormal"/>
      </w:pPr>
    </w:p>
    <w:p w14:paraId="56F66A34" w14:textId="77777777" w:rsidR="009D7677" w:rsidRDefault="009D7677" w:rsidP="009D7677">
      <w:pPr>
        <w:pStyle w:val="TextoNormal"/>
      </w:pPr>
      <w:r w:rsidRPr="009D7677">
        <w:rPr>
          <w:rStyle w:val="NumeroAFNegritaCaracter"/>
        </w:rPr>
        <w:t>6</w:t>
      </w:r>
      <w:r>
        <w:t>. El escrito de alegaciones del abogado del Estado, en el que se solicita la íntegra desestimación del recurso, se registró en el Tribunal con fecha 23 de noviembre de 2022. Después de sintetizar el objeto del recurso y sus antecedentes:</w:t>
      </w:r>
    </w:p>
    <w:p w14:paraId="4F537C38" w14:textId="77777777" w:rsidR="009D7677" w:rsidRDefault="009D7677" w:rsidP="009D7677">
      <w:pPr>
        <w:pStyle w:val="TextoNormal"/>
      </w:pPr>
    </w:p>
    <w:p w14:paraId="36B2F1EF" w14:textId="77777777" w:rsidR="009D7677" w:rsidRDefault="009D7677" w:rsidP="009D7677">
      <w:pPr>
        <w:pStyle w:val="TextoNormal"/>
      </w:pPr>
      <w:r>
        <w:t>a) Llama la atención sobre la necesidad de completar el análisis del precepto impugnado con otros de la misma norma. En concreto, (i) el apartado 2 de la disposición final decimoséptima, sobre entrada en vigor y vigencia de las diferentes obligaciones del art. 29; (ii) la disposición final decimotercera, que salvaguarda el rango de las disposiciones incluidas en normas reglamentarias modificadas, entre otras, por el art. 29, que podrán ser modificadas por normas reglamentarias del mismo rango; y (iii) el apartado 10 de la disposición final decimocuarta, relativa al título competencial que ampara el dictado del título en que se encuadra el referido artículo.</w:t>
      </w:r>
    </w:p>
    <w:p w14:paraId="12682757" w14:textId="77777777" w:rsidR="009D7677" w:rsidRDefault="009D7677" w:rsidP="009D7677">
      <w:pPr>
        <w:pStyle w:val="TextoNormal"/>
      </w:pPr>
    </w:p>
    <w:p w14:paraId="580B56C4" w14:textId="77777777" w:rsidR="009D7677" w:rsidRDefault="009D7677" w:rsidP="009D7677">
      <w:pPr>
        <w:pStyle w:val="TextoNormal"/>
      </w:pPr>
      <w:r>
        <w:t>b) Precisa, tras sintetizar las concretas impugnaciones realizadas por la demanda, que (i) aunque el recurso se refiere a la totalidad del art. 29 del real decreto-ley en cuestión, no se impugna su apartado sexto; (ii) la impugnación del art. 29.5 se limita al plazo de revisión periódica, que la Comunidad de Madrid entendía que era competencia autonómica; (iii) la impugnación del art. 29.4 en relación con los edificios públicos carece de la mínima carga argumentativa; y (iv) lo mismo sucede en la impugnación del art. 29.2. Esto último debe conllevar, apunta, la inadmisibilidad del recurso en relación con el art. 29.2 y la referencia a edificios públicos del 29.4, conforme a la jurisprudencia de este tribunal, por todas, STC 37/2022, de 10 de marzo.</w:t>
      </w:r>
    </w:p>
    <w:p w14:paraId="67ACEDC0" w14:textId="77777777" w:rsidR="009D7677" w:rsidRDefault="009D7677" w:rsidP="009D7677">
      <w:pPr>
        <w:pStyle w:val="TextoNormal"/>
      </w:pPr>
    </w:p>
    <w:p w14:paraId="4B5614D8" w14:textId="77777777" w:rsidR="009D7677" w:rsidRDefault="009D7677" w:rsidP="009D7677">
      <w:pPr>
        <w:pStyle w:val="TextoNormal"/>
      </w:pPr>
      <w:r>
        <w:t>c) En relación con la infracción de los arts. 86.1 y 23.2 CE, argumenta la existencia de presupuesto habilitante de extraordinaria y urgente necesidad. En particular llama la atención sobre el hecho de que, de no haberse acudido al dictado del Real Decreto-ley, no habría sido posible implementar sus medidas de forma inmediata, lo que hubiera sido imprudente y gravoso, ya que, de acuerdo con lo previsto en el Reglamento (UE) 2022/1369 del Consejo, de 5 de agosto de 2022, sobre medidas coordinadas para la reducción de la demanda de gas, cuyo proyecto estaba ultimado en la reunión del Consejo Extraordinario de Ministros de Energía, el 26 de julio, y cuyo contenido determinó en gran parte el de la norma impugnada, no lograr el ahorro comprometido desde el 1 de agosto de 2022 de forma voluntaria obligaría a que las medidas coercitivas que tuvieran que implantarse pos</w:t>
      </w:r>
      <w:r>
        <w:lastRenderedPageBreak/>
        <w:t>teriormente fueran más agresivas. Elementales razones de prudencia y prospectiva determinaron la necesidad de adoptar desde un primer momento las medidas tendentes a lograr el objetivo, tal y como se refleja en la exposición de motivos, al describir tanto la situación coyuntural general como en su referencia a las modificaciones que introduce el art. 29, y en la memoria de análisis de impacto normativo, como fue reiterado en el debate de convalidación del Real Decreto-ley. Tras reprochar a la demanda la realización de un juicio de cariz político, en relación con los argumentos sobre la regulación de materia reglamentaria en el Real Decreto-ley, el abogado del Estado confirma la extraordinaria y urgente necesidad, porque los plazos de tramitación reglamentaria por la vía del art. 26 de la Ley 50/1997, de 27 de noviembre, del Gobierno, resultan incompatibles con la urgencia con que debían tomarse las medidas de ahorro energético. Después destaca que las obligaciones de los art. 29.1 y 29.2 tienen carácter temporal, por lo que no hay a su respecto congelación de rango, que por otra parte impide para todo el título en que se incluye el artículo la disposición final decimotercera.</w:t>
      </w:r>
    </w:p>
    <w:p w14:paraId="4EF94256" w14:textId="77777777" w:rsidR="009D7677" w:rsidRDefault="009D7677" w:rsidP="009D7677">
      <w:pPr>
        <w:pStyle w:val="TextoNormal"/>
      </w:pPr>
    </w:p>
    <w:p w14:paraId="22EBCD31" w14:textId="77777777" w:rsidR="009D7677" w:rsidRDefault="009D7677" w:rsidP="009D7677">
      <w:pPr>
        <w:pStyle w:val="TextoNormal"/>
      </w:pPr>
      <w:r>
        <w:t>d) Sobre la vulneración de las competencias autonómicas por los art. 29.1 y 29.2 del Real Decreto-ley, se niega que las medidas discutidas agoten la materia regulada, subrayando la falta de concreción respecto a lo que le impediría establecer una política propia en la materia. Considera extrapolable a este caso lo sentado en el fundamento jurídico 10 de la STC 170/2012, referida a la competencia autonómica de comercio interior, pero con un modelo de reparto competencial igual al del régimen minero y energético. Respecto a la proporcionalidad de la medida, se critica que la demanda se desarrolle en un cierto vacío al no precisar qué derecho o principio constitucional se vería afectado, lo que convierte las críticas en políticas o de oportunidad. Se insiste, finalmente, en la ausencia de carga argumentativa en relación con la impugnación del art. 29.2.</w:t>
      </w:r>
    </w:p>
    <w:p w14:paraId="64D6ABE7" w14:textId="77777777" w:rsidR="009D7677" w:rsidRDefault="009D7677" w:rsidP="009D7677">
      <w:pPr>
        <w:pStyle w:val="TextoNormal"/>
      </w:pPr>
    </w:p>
    <w:p w14:paraId="772FF633" w14:textId="77777777" w:rsidR="009D7677" w:rsidRDefault="009D7677" w:rsidP="009D7677">
      <w:pPr>
        <w:pStyle w:val="TextoNormal"/>
      </w:pPr>
      <w:r>
        <w:t>e) Se sostiene la inexistencia de invasión de competencias en materia de sanidad e higiene por el art. 29.3 remarcándose que, en realidad, el recurso no alega tal vulneración, sino que recoge una supuesta contradicción con las normas sobre ventilación en el marco del covid-19. La argumentación se tilda de peregrina, por resultar compatible la necesidad de ventilación adecuada con la de cierre de puertas para evitar la pérdida de temperatura (se trataría de competencias concurrentes) y se recuerda, una vez más, que el Real Decreto-ley no incorpora al marco vigente más que la novedad de que las reglas sobre cierre de puertas se apliquen con independencia del origen convencional o renovable de la energía que se consuma.</w:t>
      </w:r>
    </w:p>
    <w:p w14:paraId="05F977B5" w14:textId="77777777" w:rsidR="009D7677" w:rsidRDefault="009D7677" w:rsidP="009D7677">
      <w:pPr>
        <w:pStyle w:val="TextoNormal"/>
      </w:pPr>
    </w:p>
    <w:p w14:paraId="554AD100" w14:textId="77777777" w:rsidR="009D7677" w:rsidRDefault="009D7677" w:rsidP="009D7677">
      <w:pPr>
        <w:pStyle w:val="TextoNormal"/>
      </w:pPr>
      <w:r>
        <w:t>f) Se niega igualmente la denunciada vulneración de las competencias autonómicas en materia de comercio interior, promoción turística y vigilancia y protección de edificios por falta de desarrollo argumentativo y de datos objetivos y contrastables, tratándose de juicios subjetivos y de interpretaciones sobre la apreciación de las medidas por la ciudadanía. Además, se resalta que, en cualquier caso, es la normativa autonómica la que debe acomodarse en cada momento a las disposiciones básicas.</w:t>
      </w:r>
    </w:p>
    <w:p w14:paraId="7BC54481" w14:textId="77777777" w:rsidR="009D7677" w:rsidRDefault="009D7677" w:rsidP="009D7677">
      <w:pPr>
        <w:pStyle w:val="TextoNormal"/>
      </w:pPr>
    </w:p>
    <w:p w14:paraId="484A8716" w14:textId="328DB2E4" w:rsidR="009D7677" w:rsidRDefault="009D7677" w:rsidP="009D7677">
      <w:pPr>
        <w:pStyle w:val="TextoNormal"/>
      </w:pPr>
      <w:r>
        <w:t>g) Finalmente, respecto a la vulneración de la competencia autonómica para fijar la periodicidad de las revisiones por el art. 29.5, se llama la atención sobre la doctrina constitucional de la variabilidad de las bases estatales, que aquí se han modificado para llegar al invierno con las instalaciones existentes en las mejores condiciones energéticas. Por tanto, lo dispuesto en el Real Decreto 1027/2007 no es determinante del análisis de la constitu</w:t>
      </w:r>
      <w:r>
        <w:lastRenderedPageBreak/>
        <w:t>cionalidad de la medida, al tiempo que la sentencia del Tribunal de Justicia de la Unión Europea que se invoca por la demanda tan solo relataba la normativa existente en aquel momento y que empleó en su defensa el Reino de España frente a una demanda por incumplimiento.</w:t>
      </w:r>
    </w:p>
    <w:p w14:paraId="0E7E35D4" w14:textId="77777777" w:rsidR="009D7677" w:rsidRDefault="009D7677" w:rsidP="009D7677">
      <w:pPr>
        <w:pStyle w:val="TextoNormal"/>
      </w:pPr>
    </w:p>
    <w:p w14:paraId="2D9C2085" w14:textId="5998690E" w:rsidR="009D7677" w:rsidRDefault="009D7677" w:rsidP="009D7677">
      <w:pPr>
        <w:pStyle w:val="TextoNormal"/>
      </w:pPr>
      <w:r w:rsidRPr="009D7677">
        <w:rPr>
          <w:rStyle w:val="NumeroAFNegritaCaracter"/>
        </w:rPr>
        <w:t>7</w:t>
      </w:r>
      <w:r>
        <w:t>. Mediante providencia de 30 de enero de 2024 se señaló para deliberación y votación de la presente sentencia el día 31 del mismo mes y año.</w:t>
      </w:r>
    </w:p>
    <w:p w14:paraId="5C88D2F7" w14:textId="77777777" w:rsidR="009D7677" w:rsidRDefault="009D7677" w:rsidP="009D7677">
      <w:pPr>
        <w:pStyle w:val="TextoNormal"/>
      </w:pPr>
    </w:p>
    <w:p w14:paraId="0216B602" w14:textId="77777777" w:rsidR="009D7677" w:rsidRDefault="009D7677" w:rsidP="009D7677">
      <w:pPr>
        <w:pStyle w:val="TextoNormalNegritaCentrado"/>
        <w:keepNext/>
      </w:pPr>
      <w:r>
        <w:t>II. Fundamentos jurídicos</w:t>
      </w:r>
    </w:p>
    <w:p w14:paraId="403387C8" w14:textId="13ECE4EB" w:rsidR="009D7677" w:rsidRDefault="009D7677" w:rsidP="009D7677">
      <w:pPr>
        <w:pStyle w:val="TextoNormalNegritaCentrado"/>
        <w:keepNext/>
      </w:pPr>
    </w:p>
    <w:p w14:paraId="26CC9776" w14:textId="77777777" w:rsidR="009D7677" w:rsidRDefault="009D7677" w:rsidP="009D7677">
      <w:pPr>
        <w:pStyle w:val="TextoNormal"/>
      </w:pPr>
      <w:r w:rsidRPr="009D7677">
        <w:rPr>
          <w:rStyle w:val="NumeroAFNegritaCaracter"/>
        </w:rPr>
        <w:t>1</w:t>
      </w:r>
      <w:r>
        <w:t xml:space="preserve">. </w:t>
      </w:r>
      <w:r w:rsidRPr="009D7677">
        <w:rPr>
          <w:i/>
        </w:rPr>
        <w:t>Objeto del recurso y posiciones de las partes</w:t>
      </w:r>
    </w:p>
    <w:p w14:paraId="27A13308" w14:textId="77777777" w:rsidR="009D7677" w:rsidRDefault="009D7677" w:rsidP="009D7677">
      <w:pPr>
        <w:pStyle w:val="TextoNormal"/>
      </w:pPr>
    </w:p>
    <w:p w14:paraId="23298C5D" w14:textId="77777777" w:rsidR="009D7677" w:rsidRDefault="009D7677" w:rsidP="009D7677">
      <w:pPr>
        <w:pStyle w:val="TextoNormal"/>
      </w:pPr>
      <w:r>
        <w:t>A) El recurso de inconstitucionalidad núm. 6309-2022, promovido por el Consejo de Gobierno de la Comunidad de Madrid, tiene por objeto el art. 29 del Real Decreto-ley 14/2022, de 1 de agosto, de medidas de sostenibilidad económica en el ámbito del transporte, en materia de becas y ayudas al estudio, así como de medidas de ahorro, eficiencia energética y de reducción de la dependencia energética del gas natural. Ese precepto tiene el siguiente tenor:</w:t>
      </w:r>
    </w:p>
    <w:p w14:paraId="24331C0A" w14:textId="77777777" w:rsidR="009D7677" w:rsidRDefault="009D7677" w:rsidP="009D7677">
      <w:pPr>
        <w:pStyle w:val="TextoNormal"/>
      </w:pPr>
    </w:p>
    <w:p w14:paraId="1B5D82E3" w14:textId="77777777" w:rsidR="009D7677" w:rsidRDefault="009D7677" w:rsidP="009D7677">
      <w:pPr>
        <w:pStyle w:val="TextoNormal"/>
      </w:pPr>
      <w:r>
        <w:t>“Artículo 29. Plan de choque de ahorro y gestión energética en climatización</w:t>
      </w:r>
    </w:p>
    <w:p w14:paraId="6F5C2957" w14:textId="77777777" w:rsidR="009D7677" w:rsidRDefault="009D7677" w:rsidP="009D7677">
      <w:pPr>
        <w:pStyle w:val="TextoNormal"/>
      </w:pPr>
    </w:p>
    <w:p w14:paraId="50E17F32" w14:textId="77777777" w:rsidR="009D7677" w:rsidRDefault="009D7677" w:rsidP="009D7677">
      <w:pPr>
        <w:pStyle w:val="TextoNormal"/>
      </w:pPr>
      <w:r>
        <w:t>Uno. La temperatura del aire en los recintos habitables acondicionados que se indican en el apartado 2 de la I.T. 3.8.1 del Reglamento de Instalaciones Térmicas en los Edificios (RITE), aprobado por Real Decreto 1027/2007, de 20 de julio, se limitará a los siguientes valores:</w:t>
      </w:r>
    </w:p>
    <w:p w14:paraId="33F75F89" w14:textId="77777777" w:rsidR="009D7677" w:rsidRDefault="009D7677" w:rsidP="009D7677">
      <w:pPr>
        <w:pStyle w:val="TextoNormal"/>
      </w:pPr>
    </w:p>
    <w:p w14:paraId="38A29662" w14:textId="77777777" w:rsidR="009D7677" w:rsidRDefault="009D7677" w:rsidP="009D7677">
      <w:pPr>
        <w:pStyle w:val="TextoNormal"/>
      </w:pPr>
      <w:r>
        <w:t>a) La temperatura del aire en los recintos calefactados no será superior a 19 ºC.</w:t>
      </w:r>
    </w:p>
    <w:p w14:paraId="70E0B980" w14:textId="77777777" w:rsidR="009D7677" w:rsidRDefault="009D7677" w:rsidP="009D7677">
      <w:pPr>
        <w:pStyle w:val="TextoNormal"/>
      </w:pPr>
    </w:p>
    <w:p w14:paraId="7301E845" w14:textId="77777777" w:rsidR="009D7677" w:rsidRDefault="009D7677" w:rsidP="009D7677">
      <w:pPr>
        <w:pStyle w:val="TextoNormal"/>
      </w:pPr>
      <w:r>
        <w:t>b) La temperatura del aire en los recintos refrigerados no será inferior a 27 ºC.</w:t>
      </w:r>
    </w:p>
    <w:p w14:paraId="356595D9" w14:textId="77777777" w:rsidR="009D7677" w:rsidRDefault="009D7677" w:rsidP="009D7677">
      <w:pPr>
        <w:pStyle w:val="TextoNormal"/>
      </w:pPr>
    </w:p>
    <w:p w14:paraId="4B2DF41E" w14:textId="77777777" w:rsidR="009D7677" w:rsidRDefault="009D7677" w:rsidP="009D7677">
      <w:pPr>
        <w:pStyle w:val="TextoNormal"/>
      </w:pPr>
      <w:r>
        <w:t>c) Las condiciones de temperatura anteriores estarán referidas al mantenimiento de una humedad relativa comprendida entre el 30 por 100 y el 70 por 100</w:t>
      </w:r>
    </w:p>
    <w:p w14:paraId="0223A2D4" w14:textId="77777777" w:rsidR="009D7677" w:rsidRDefault="009D7677" w:rsidP="009D7677">
      <w:pPr>
        <w:pStyle w:val="TextoNormal"/>
      </w:pPr>
    </w:p>
    <w:p w14:paraId="7B1BD4BA" w14:textId="77777777" w:rsidR="009D7677" w:rsidRDefault="009D7677" w:rsidP="009D7677">
      <w:pPr>
        <w:pStyle w:val="TextoNormal"/>
      </w:pPr>
      <w:r>
        <w:t>Las limitaciones anteriores se aplicarán exclusivamente durante el uso, explotación y mantenimiento de la instalación térmica, por razones de ahorro de energía, con independencia de las condiciones interiores de diseño establecidas en la I.T. 1.1.4.1.2 del citado reglamento o en la reglamentación que le hubiera sido de aplicación en el momento del diseño de la instalación térmica.</w:t>
      </w:r>
    </w:p>
    <w:p w14:paraId="670E3C32" w14:textId="77777777" w:rsidR="009D7677" w:rsidRDefault="009D7677" w:rsidP="009D7677">
      <w:pPr>
        <w:pStyle w:val="TextoNormal"/>
      </w:pPr>
    </w:p>
    <w:p w14:paraId="3A2D6019" w14:textId="77777777" w:rsidR="009D7677" w:rsidRDefault="009D7677" w:rsidP="009D7677">
      <w:pPr>
        <w:pStyle w:val="TextoNormal"/>
      </w:pPr>
      <w:r>
        <w:t>Los umbrales de temperatura indicados anteriormente deberán ajustarse, en su caso, para cumplir con lo previsto en el Real Decreto 486/1997, de 14 de abril, por el que se establecen las disposiciones mínimas de seguridad y salud en los lugares de trabajo.</w:t>
      </w:r>
    </w:p>
    <w:p w14:paraId="35E894A8" w14:textId="77777777" w:rsidR="009D7677" w:rsidRDefault="009D7677" w:rsidP="009D7677">
      <w:pPr>
        <w:pStyle w:val="TextoNormal"/>
      </w:pPr>
    </w:p>
    <w:p w14:paraId="37CA61C4" w14:textId="77777777" w:rsidR="009D7677" w:rsidRDefault="009D7677" w:rsidP="009D7677">
      <w:pPr>
        <w:pStyle w:val="TextoNormal"/>
      </w:pPr>
      <w:r>
        <w:t xml:space="preserve">No tendrán que cumplir dichas limitaciones de temperatura aquellos recintos que justifiquen la necesidad de mantener condiciones ambientales especiales o dispongan de una normativa específica que así lo establezca. En este caso debe existir una separación física </w:t>
      </w:r>
      <w:r>
        <w:lastRenderedPageBreak/>
        <w:t>entre el recinto con los locales contiguos que vengan obligados a mantener las condiciones indicadas anteriormente.</w:t>
      </w:r>
    </w:p>
    <w:p w14:paraId="5308450F" w14:textId="77777777" w:rsidR="009D7677" w:rsidRDefault="009D7677" w:rsidP="009D7677">
      <w:pPr>
        <w:pStyle w:val="TextoNormal"/>
      </w:pPr>
    </w:p>
    <w:p w14:paraId="34DE1745" w14:textId="77777777" w:rsidR="009D7677" w:rsidRDefault="009D7677" w:rsidP="009D7677">
      <w:pPr>
        <w:pStyle w:val="TextoNormal"/>
      </w:pPr>
      <w:r>
        <w:t>Dos. Adicionalmente a las medidas de información previstas en la IT. 3.8.3 del RITE, los recintos habitables acondicionados a que hace referencia el apartado anterior deberán informar, mediante carteles informativos o el uso de pantallas, las medidas de aplicación que contribuyen al ahorro energético relativas a los valores límites de las temperaturas del aire, información sobre temperatura y humedad, apertura de puertas y regímenes de revisión y mantenimiento y reguladas en el RITE y en el apartado anterior.</w:t>
      </w:r>
    </w:p>
    <w:p w14:paraId="02E9998E" w14:textId="77777777" w:rsidR="009D7677" w:rsidRDefault="009D7677" w:rsidP="009D7677">
      <w:pPr>
        <w:pStyle w:val="TextoNormal"/>
      </w:pPr>
    </w:p>
    <w:p w14:paraId="29355C90" w14:textId="77777777" w:rsidR="009D7677" w:rsidRDefault="009D7677" w:rsidP="009D7677">
      <w:pPr>
        <w:pStyle w:val="TextoNormal"/>
      </w:pPr>
      <w:r>
        <w:t>Dichos carteles o pantallas deberán ser claramente visibles desde la entrada o acceso a los edificios, así como en cada una de las ubicaciones en las que existan los dispositivos de visualización a los que hace referencia la citada I.T. Dichos carteles o pantallas podrán indicar, adicionalmente, otras medidas que se estén adoptando para el ahorro y la eficiencia energética.</w:t>
      </w:r>
    </w:p>
    <w:p w14:paraId="73334472" w14:textId="77777777" w:rsidR="009D7677" w:rsidRDefault="009D7677" w:rsidP="009D7677">
      <w:pPr>
        <w:pStyle w:val="TextoNormal"/>
      </w:pPr>
    </w:p>
    <w:p w14:paraId="5870E887" w14:textId="77777777" w:rsidR="009D7677" w:rsidRDefault="009D7677" w:rsidP="009D7677">
      <w:pPr>
        <w:pStyle w:val="TextoNormal"/>
      </w:pPr>
      <w:r>
        <w:t>Tres. Los edificios y locales con acceso desde la calle incluidos en el ámbito de aplicación de la I.T. 3.8 del RITE dispondrán de un sistema de cierre de puertas adecuado, el cual podrá consistir en un sencillo brazo de cierre automático de las puertas, con el fin de impedir que estas permanezcan abiertas permanentemente, con el consiguiente despilfarro energético por las pérdidas de energía al exterior, independientemente del origen renovable o no de la energía utilizada para la generación de calor y frío por parte de los sistemas de calefacción y refrigeración.</w:t>
      </w:r>
    </w:p>
    <w:p w14:paraId="4463ACE7" w14:textId="77777777" w:rsidR="009D7677" w:rsidRDefault="009D7677" w:rsidP="009D7677">
      <w:pPr>
        <w:pStyle w:val="TextoNormal"/>
      </w:pPr>
    </w:p>
    <w:p w14:paraId="366B3A88" w14:textId="77777777" w:rsidR="009D7677" w:rsidRDefault="009D7677" w:rsidP="009D7677">
      <w:pPr>
        <w:pStyle w:val="TextoNormal"/>
      </w:pPr>
      <w:r>
        <w:t>Cuatro. El alumbrado de escaparates regulado en el apartado 6 de la Instrucción Técnica Complementaria EA-02 del Reglamento de eficiencia energética en instalaciones de alumbrado exterior, aprobado por Real Decreto 1890/2008, de 14 de noviembre, deberá mantenerse apagado desde las 22 horas. Está disposición también aplicará al alumbrado de edificios públicos que a la referida hora se encuentren desocupados.</w:t>
      </w:r>
    </w:p>
    <w:p w14:paraId="0E3DE373" w14:textId="77777777" w:rsidR="009D7677" w:rsidRDefault="009D7677" w:rsidP="009D7677">
      <w:pPr>
        <w:pStyle w:val="TextoNormal"/>
      </w:pPr>
    </w:p>
    <w:p w14:paraId="75F663DD" w14:textId="77777777" w:rsidR="009D7677" w:rsidRDefault="009D7677" w:rsidP="009D7677">
      <w:pPr>
        <w:pStyle w:val="TextoNormal"/>
      </w:pPr>
      <w:r>
        <w:t>Cinco. Todas aquellas instalaciones incluidas en el ámbito de aplicación del apartado Uno anterior, que tengan obligación de cumplir con las inspecciones de eficiencia energética incluidas en las IT 4.2.1 e IT 4.2.2, y cuya última inspección se haya realizado con anterioridad al 1 de enero de 2021, deberán adelantar de forma puntual la siguiente inspección de las mismas para cumplir con dichas obligaciones antes del 1 de diciembre de 2022, para que en esta fecha, las instalaciones obligadas hayan pasado por una inspección de este tipo en los últimos dos años. Las inspecciones deberán cumplir con lo previsto en las citadas ITs, y en particular, la obligación de incluir en el informe de inspección recomendaciones para mejorar en términos de rentabilidad la eficiencia energética de la instalación inspeccionada.</w:t>
      </w:r>
    </w:p>
    <w:p w14:paraId="352176B2" w14:textId="77777777" w:rsidR="009D7677" w:rsidRDefault="009D7677" w:rsidP="009D7677">
      <w:pPr>
        <w:pStyle w:val="TextoNormal"/>
      </w:pPr>
    </w:p>
    <w:p w14:paraId="6301EE99" w14:textId="77777777" w:rsidR="009D7677" w:rsidRDefault="009D7677" w:rsidP="009D7677">
      <w:pPr>
        <w:pStyle w:val="TextoNormal"/>
      </w:pPr>
      <w:r>
        <w:t>Seis. Asimismo, es de aplicación a las obligaciones previstas en este artículo lo establecido en el capítulo IX del Reglamento de Instalaciones Térmicas en los Edificios (RITE), aprobado por Real Decreto 1027/2007, de 20 de julio.”</w:t>
      </w:r>
    </w:p>
    <w:p w14:paraId="01DA6A2B" w14:textId="77777777" w:rsidR="009D7677" w:rsidRDefault="009D7677" w:rsidP="009D7677">
      <w:pPr>
        <w:pStyle w:val="TextoNormal"/>
      </w:pPr>
    </w:p>
    <w:p w14:paraId="146D2E4F" w14:textId="77777777" w:rsidR="009D7677" w:rsidRDefault="009D7677" w:rsidP="009D7677">
      <w:pPr>
        <w:pStyle w:val="TextoNormal"/>
      </w:pPr>
      <w:r>
        <w:t>B) La interposición del recurso se fundamenta en cinco motivos, reconducibles a dos tipos de infracciones constitucionales:</w:t>
      </w:r>
    </w:p>
    <w:p w14:paraId="108D147A" w14:textId="77777777" w:rsidR="009D7677" w:rsidRDefault="009D7677" w:rsidP="009D7677">
      <w:pPr>
        <w:pStyle w:val="TextoNormal"/>
      </w:pPr>
    </w:p>
    <w:p w14:paraId="11C40009" w14:textId="77777777" w:rsidR="009D7677" w:rsidRDefault="009D7677" w:rsidP="009D7677">
      <w:pPr>
        <w:pStyle w:val="TextoNormal"/>
      </w:pPr>
      <w:r>
        <w:lastRenderedPageBreak/>
        <w:t>a) La abusiva e indebida utilización del decreto-ley, por la falta del presupuesto habilitante de extraordinaria y urgente necesidad que exige el art. 86.1 CE, que limitó el derecho fundamental de participación política del 23.2 CE.</w:t>
      </w:r>
    </w:p>
    <w:p w14:paraId="2D48BD8A" w14:textId="77777777" w:rsidR="009D7677" w:rsidRDefault="009D7677" w:rsidP="009D7677">
      <w:pPr>
        <w:pStyle w:val="TextoNormal"/>
      </w:pPr>
    </w:p>
    <w:p w14:paraId="1A2338D9" w14:textId="77777777" w:rsidR="009D7677" w:rsidRDefault="009D7677" w:rsidP="009D7677">
      <w:pPr>
        <w:pStyle w:val="TextoNormal"/>
      </w:pPr>
      <w:r>
        <w:t>b) La no adecuación al orden constitucional y estatutario de distribución de competencias de cinco de los seis apartados del artículo recurrido. Los apartados primero, segundo y quinto del art. 29 se extralimitan al aplicar el título competencial del art. 149.1.25 CE (bases de régimen minero y energético), impidiendo el ejercicio de las competencias autonómicas previstas en el art. 27.8 (desarrollo legislativo, potestad reglamentaria y ejecución en materia de régimen minero y energético) y 26.3.1.1 (competencia exclusiva en materia de ordenación y planificación de la actividad económica regional) del Estatuto de Autonomía de la Comunidad de Madrid (EAM), aprobado por Ley Orgánica 3/1983, de 25 de febrero. El art. 29.3 invade la competencia del art. 27.4 EAM (desarrollo legislativo, potestad reglamentaria y ejecución en materia de sanidad e higiene), y el art. 29.4 es contrario a los art. 26.3.1.2, 26.1.21 y 26.1.27 EAM (competencia exclusiva en materia de comercio interior, promoción y ordenación del turismo en su ámbito territorial, y vigilancia y protección de sus edificios e instalaciones, respectivamente).</w:t>
      </w:r>
    </w:p>
    <w:p w14:paraId="026CCEFE" w14:textId="77777777" w:rsidR="009D7677" w:rsidRDefault="009D7677" w:rsidP="009D7677">
      <w:pPr>
        <w:pStyle w:val="TextoNormal"/>
      </w:pPr>
    </w:p>
    <w:p w14:paraId="109E9F9E" w14:textId="70D70607" w:rsidR="009D7677" w:rsidRDefault="009D7677" w:rsidP="009D7677">
      <w:pPr>
        <w:pStyle w:val="TextoNormal"/>
      </w:pPr>
      <w:r>
        <w:t>c) La Abogacía del Estado interesa la desestimación del recurso en su totalidad, sosteniendo la existencia de presupuesto habilitante para el empleo del decreto-ley y la inexistencia de vulneración de las competencias autonómicas.</w:t>
      </w:r>
    </w:p>
    <w:p w14:paraId="567BACA6" w14:textId="77777777" w:rsidR="009D7677" w:rsidRDefault="009D7677" w:rsidP="009D7677">
      <w:pPr>
        <w:pStyle w:val="TextoNormal"/>
      </w:pPr>
    </w:p>
    <w:p w14:paraId="23843666" w14:textId="77777777" w:rsidR="009D7677" w:rsidRDefault="009D7677" w:rsidP="009D7677">
      <w:pPr>
        <w:pStyle w:val="TextoNormal"/>
      </w:pPr>
      <w:r w:rsidRPr="009D7677">
        <w:rPr>
          <w:rStyle w:val="NumeroAFNegritaCaracter"/>
        </w:rPr>
        <w:t>2</w:t>
      </w:r>
      <w:r>
        <w:t xml:space="preserve">. </w:t>
      </w:r>
      <w:r w:rsidRPr="009D7677">
        <w:rPr>
          <w:i/>
        </w:rPr>
        <w:t>Delimitación del objeto del proceso</w:t>
      </w:r>
    </w:p>
    <w:p w14:paraId="678220FE" w14:textId="77777777" w:rsidR="009D7677" w:rsidRDefault="009D7677" w:rsidP="009D7677">
      <w:pPr>
        <w:pStyle w:val="TextoNormal"/>
      </w:pPr>
    </w:p>
    <w:p w14:paraId="47F0E8D4" w14:textId="77777777" w:rsidR="009D7677" w:rsidRDefault="009D7677" w:rsidP="009D7677">
      <w:pPr>
        <w:pStyle w:val="TextoNormal"/>
      </w:pPr>
      <w:r>
        <w:t>Antes de abordar las cuestiones de fondo, resulta preciso realizar una observación previa sobre la pervivencia del objeto del proceso.</w:t>
      </w:r>
    </w:p>
    <w:p w14:paraId="0964CFD0" w14:textId="77777777" w:rsidR="009D7677" w:rsidRDefault="009D7677" w:rsidP="009D7677">
      <w:pPr>
        <w:pStyle w:val="TextoNormal"/>
      </w:pPr>
    </w:p>
    <w:p w14:paraId="1605646C" w14:textId="77777777" w:rsidR="009D7677" w:rsidRDefault="009D7677" w:rsidP="009D7677">
      <w:pPr>
        <w:pStyle w:val="TextoNormal"/>
      </w:pPr>
      <w:r>
        <w:t>El Real Decreto-ley 14/2022, de 1 de agosto, fue convalidado mediante acuerdo del Pleno del Congreso de los Diputados de 25 de agosto de 2022 (“Boletín Oficial del Estado” núm. 208, de 30 de agosto). El art. 29 aquí concernido no ha sido modificado ni formalmente derogado, pero en su mayor parte ha perdido vigencia pues (i) las obligaciones de los apartados uno, dos y cuatro se mantuvieron solo hasta el 1 de noviembre de 2023, según lo dispuesto en la disposición final decimoséptima; y (ii) la obligación del apartado cinco era, según su propia literalidad, aplicable puntualmente para el adelanto de ciertas inspecciones de eficacia energética, que deberían realizarse antes del 1 de diciembre de 2022.</w:t>
      </w:r>
    </w:p>
    <w:p w14:paraId="20726815" w14:textId="77777777" w:rsidR="009D7677" w:rsidRDefault="009D7677" w:rsidP="009D7677">
      <w:pPr>
        <w:pStyle w:val="TextoNormal"/>
      </w:pPr>
    </w:p>
    <w:p w14:paraId="094BD065" w14:textId="77777777" w:rsidR="009D7677" w:rsidRDefault="009D7677" w:rsidP="009D7677">
      <w:pPr>
        <w:pStyle w:val="TextoNormal"/>
      </w:pPr>
      <w:r>
        <w:t>La doctrina constitucional señala que la “regla general es que en los procesos de inconstitucionalidad la modificación, derogación o pérdida de vigencia de la norma que se recurre produce la extinción del proceso (por todas, SSTC 19/2012, de 15 de febrero, FJ 2; 216/2012, de 14 de noviembre, FJ 2; 9/2013, de 28 de enero, FJ 2, y 108/2015, de 28 de mayo, FJ 2), ya que la finalidad de este proceso abstracto no es otro que la depuración del ordenamiento jurídico, algo innecesario cuando el propio legislador ha expulsado la norma de dicho ordenamiento” [STC 82/2020, de 15 de julio, FJ 2 b)]. Dicha regla tiene, no obstante, algunas excepciones que determinan la pervivencia parcial del objeto en este proceso.</w:t>
      </w:r>
    </w:p>
    <w:p w14:paraId="0C40C354" w14:textId="77777777" w:rsidR="009D7677" w:rsidRDefault="009D7677" w:rsidP="009D7677">
      <w:pPr>
        <w:pStyle w:val="TextoNormal"/>
      </w:pPr>
    </w:p>
    <w:p w14:paraId="0D0E0321" w14:textId="77777777" w:rsidR="009D7677" w:rsidRDefault="009D7677" w:rsidP="009D7677">
      <w:pPr>
        <w:pStyle w:val="TextoNormal"/>
      </w:pPr>
      <w:r>
        <w:lastRenderedPageBreak/>
        <w:t>a) Por un lado, que el pleito tenga carácter competencial y que tal controversia no pueda entenderse resuelta con la modificación o derogación de la norma [por todas, STC 134/2011, de 20 de julio, FJ 2 b)]. Así, de acuerdo con la consolidada doctrina de este tribunal en procesos constitucionales de naturaleza competencial, “la eventual apreciación de la pérdida de objeto del proceso dependerá de la incidencia real que sobre el mismo tenga la derogación, sustitución o modificación de la norma y no puede resolverse apriorísticamente en función de criterios abstractos o genéricos, pues lo relevante no es tanto la expulsión de la concreta norma impugnada del ordenamiento, cuanto determinar si con esa expulsión ha cesado o no la controversia competencial, toda vez que poner fin a la misma a la luz del orden constitucional de reparto de competencias es el fin último al que sirven tales procesos” [STC 38/2021, de 18 de febrero, FJ 2 a)].</w:t>
      </w:r>
    </w:p>
    <w:p w14:paraId="65E94E02" w14:textId="77777777" w:rsidR="009D7677" w:rsidRDefault="009D7677" w:rsidP="009D7677">
      <w:pPr>
        <w:pStyle w:val="TextoNormal"/>
      </w:pPr>
    </w:p>
    <w:p w14:paraId="01C0E32A" w14:textId="77777777" w:rsidR="009D7677" w:rsidRDefault="009D7677" w:rsidP="009D7677">
      <w:pPr>
        <w:pStyle w:val="TextoNormal"/>
      </w:pPr>
      <w:r>
        <w:t>En este caso ya hemos señalado que varios de los apartados del art. 29 tenían una vigencia temporal limitada, a lo que se añade que la pérdida de vigencia de cuatro de los cinco preceptos impugnados por razones de orden competencial acontece de modo total, sin ultraactividad. En efecto, durante la pendencia de este proceso constitucional se ha producido el agotamiento de todos los efectos jurídicos del art. 29, apartados primero, segundo y quinto, sin que sus previsiones hayan sido sustituidas por otras en las que perviva el conflicto competencial planteado, lo que lleva a la pérdida sobrevenida del objeto del recurso respecto a dichos preceptos [en este mismo sentido, STC 185/2021, de 28 de octubre, FJ 2 b)].</w:t>
      </w:r>
    </w:p>
    <w:p w14:paraId="671D26DC" w14:textId="77777777" w:rsidR="009D7677" w:rsidRDefault="009D7677" w:rsidP="009D7677">
      <w:pPr>
        <w:pStyle w:val="TextoNormal"/>
      </w:pPr>
    </w:p>
    <w:p w14:paraId="5C8F6781" w14:textId="77777777" w:rsidR="009D7677" w:rsidRDefault="009D7677" w:rsidP="009D7677">
      <w:pPr>
        <w:pStyle w:val="TextoNormal"/>
      </w:pPr>
      <w:r>
        <w:t>b) Por otro lado, es también una excepción que se denuncie la infracción del art. 86.1 CE pues, como declaramos, por ejemplo en la STC 9/2023, de 22 de febrero, “no pierde objeto ya que ‘como tantas veces se ha reiterado […], la falta de vigencia, en este momento, del precepto recurrido, no impide controlar si el ejercicio de la potestad reconocida al Gobierno por el artículo 86.1 CE se realizó siguiendo los requisitos establecidos en dicho precepto constitucional, pues este control tiene por objeto velar por el recto ejercicio de la potestad de dictar decretos-leyes, dentro del marco constitucional, decidiendo la validez o invalidez de las normas impugnadas sin atender a su vigencia o derogación en el momento en que se pronuncia el fallo’”. Ello porque “es función esencial de esta jurisdicción garantizar ‘el correcto funcionamiento del sistema de producción normativa preconizado por la Norma fundamental, depurando y expulsando del ordenamiento las normas impugnadas que se aparten de dicho sistema, con independencia de que se encuentren o no en vigor cuando se declara su inconstitucionalidad’ (SSTC 60/1986, de 20 de mayo, FJ 1; 137/2003, de 3 de julio, FJ 2, y 108/2004, de 30 de junio, FJ 4). Por ello, hemos reiterado que la derogación de normas aprobadas mediante decreto-ley que tiene lugar durante la pendencia del recurso de inconstitucionalidad ‘no excluye el control de este tribunal sobre si al dictarlas se desbordaron los límites constitucionales del artículo 86.1 CE, tanto en relación con la concurrencia del presupuesto habilitante, como respecto a la superación de las restricciones materiales a su contenido’ [SSTC 183/2014, de 6 de noviembre, FJ 2 c), y 103/2017, de 6 de septiembre, FJ 2]” (STC 15/2023, de 7 de marzo, FJ 2).</w:t>
      </w:r>
    </w:p>
    <w:p w14:paraId="226BF343" w14:textId="77777777" w:rsidR="009D7677" w:rsidRDefault="009D7677" w:rsidP="009D7677">
      <w:pPr>
        <w:pStyle w:val="TextoNormal"/>
      </w:pPr>
    </w:p>
    <w:p w14:paraId="1B958E50" w14:textId="1F085063" w:rsidR="009D7677" w:rsidRDefault="009D7677" w:rsidP="009D7677">
      <w:pPr>
        <w:pStyle w:val="TextoNormal"/>
      </w:pPr>
      <w:r>
        <w:t>En consecuencia, en aplicación de esta doctrina al presente proceso, cabe ahora concluir que la pérdida de vigencia de cuatro de los seis apartados del precepto impugnado no priva totalmente de objeto al recurso. Han decaído las tachas de inconstitucionalidad de carácter competencial de los cuatro incisos del art. 29 de vigencia limitada (apartados primero, segundo, cuarto y quinto) al no subsistir tal controversia. En cambio, pervive el mo</w:t>
      </w:r>
      <w:r>
        <w:lastRenderedPageBreak/>
        <w:t>tivo de impugnación sobre el art. 86.1 CE de infracción del presupuesto habilitante de la extraordinaria y urgente necesidad y la queja competencial respecto al apartado tres del art. 29, al ser este de vigencia indefinida y encontrarse en vigor.</w:t>
      </w:r>
    </w:p>
    <w:p w14:paraId="3B25348F" w14:textId="77777777" w:rsidR="009D7677" w:rsidRDefault="009D7677" w:rsidP="009D7677">
      <w:pPr>
        <w:pStyle w:val="TextoNormal"/>
      </w:pPr>
    </w:p>
    <w:p w14:paraId="2EFF58C7" w14:textId="77777777" w:rsidR="009D7677" w:rsidRDefault="009D7677" w:rsidP="009D7677">
      <w:pPr>
        <w:pStyle w:val="TextoNormal"/>
      </w:pPr>
      <w:r w:rsidRPr="009D7677">
        <w:rPr>
          <w:rStyle w:val="NumeroAFNegritaCaracter"/>
        </w:rPr>
        <w:t>3</w:t>
      </w:r>
      <w:r>
        <w:t xml:space="preserve">. </w:t>
      </w:r>
      <w:r w:rsidRPr="009D7677">
        <w:rPr>
          <w:i/>
        </w:rPr>
        <w:t>Impugnación del conjunto del art. 29 por indebida utilización del decreto-ley</w:t>
      </w:r>
    </w:p>
    <w:p w14:paraId="5F63B6FB" w14:textId="77777777" w:rsidR="009D7677" w:rsidRDefault="009D7677" w:rsidP="009D7677">
      <w:pPr>
        <w:pStyle w:val="TextoNormal"/>
      </w:pPr>
    </w:p>
    <w:p w14:paraId="4AD98921" w14:textId="77777777" w:rsidR="009D7677" w:rsidRDefault="009D7677" w:rsidP="009D7677">
      <w:pPr>
        <w:pStyle w:val="TextoNormal"/>
      </w:pPr>
      <w:r>
        <w:t>A) Posición de las partes</w:t>
      </w:r>
    </w:p>
    <w:p w14:paraId="2CB96F8A" w14:textId="77777777" w:rsidR="009D7677" w:rsidRDefault="009D7677" w:rsidP="009D7677">
      <w:pPr>
        <w:pStyle w:val="TextoNormal"/>
      </w:pPr>
    </w:p>
    <w:p w14:paraId="6FF1C8AB" w14:textId="77777777" w:rsidR="009D7677" w:rsidRDefault="009D7677" w:rsidP="009D7677">
      <w:pPr>
        <w:pStyle w:val="TextoNormal"/>
      </w:pPr>
      <w:r>
        <w:t>En síntesis, la demanda sostiene la falta de extraordinaria y urgente necesidad para la adopción del decreto-ley porque (i) hubiera podido tramitarse una ley por el procedimiento de urgencia que habría permitido igualmente implementar las medidas en cuestión antes de la llegada del invierno, denunciándose adicionalmente que este tipo de abusos se está produciendo de forma generalizada en los últimos tiempos; (ii) se excusa en el cumplimiento de unos objetivos europeos que eran meras recomendaciones, yendo más allá de lo allí fijado; y (iii) gran parte de su contenido habría podido regularse por vía reglamentaria. No existiendo entonces presupuesto habilitante, se vulnera el art. 86.1 CE y a su través, según el recurso, el 23.2 CE, en su vertiente de derecho de discusión parlamentaria y enmienda, al convalidarse mediante un debate de totalidad.</w:t>
      </w:r>
    </w:p>
    <w:p w14:paraId="50B5D174" w14:textId="77777777" w:rsidR="009D7677" w:rsidRDefault="009D7677" w:rsidP="009D7677">
      <w:pPr>
        <w:pStyle w:val="TextoNormal"/>
      </w:pPr>
    </w:p>
    <w:p w14:paraId="6BE31CB0" w14:textId="77777777" w:rsidR="009D7677" w:rsidRDefault="009D7677" w:rsidP="009D7677">
      <w:pPr>
        <w:pStyle w:val="TextoNormal"/>
      </w:pPr>
      <w:r>
        <w:t>El abogado del Estado sostiene que se daba el presupuesto habilitante en los términos de la jurisprudencia constitucional aplicable.</w:t>
      </w:r>
    </w:p>
    <w:p w14:paraId="11C03F51" w14:textId="77777777" w:rsidR="009D7677" w:rsidRDefault="009D7677" w:rsidP="009D7677">
      <w:pPr>
        <w:pStyle w:val="TextoNormal"/>
      </w:pPr>
    </w:p>
    <w:p w14:paraId="0322D373" w14:textId="77777777" w:rsidR="009D7677" w:rsidRDefault="009D7677" w:rsidP="009D7677">
      <w:pPr>
        <w:pStyle w:val="TextoNormal"/>
      </w:pPr>
      <w:r>
        <w:t>B) Doctrina constitucional relativa al presupuesto habilitante de la “extraordinaria y urgente necesidad”</w:t>
      </w:r>
    </w:p>
    <w:p w14:paraId="7F780E52" w14:textId="77777777" w:rsidR="009D7677" w:rsidRDefault="009D7677" w:rsidP="009D7677">
      <w:pPr>
        <w:pStyle w:val="TextoNormal"/>
      </w:pPr>
    </w:p>
    <w:p w14:paraId="7D1CE22D" w14:textId="77777777" w:rsidR="009D7677" w:rsidRDefault="009D7677" w:rsidP="009D7677">
      <w:pPr>
        <w:pStyle w:val="TextoNormal"/>
      </w:pPr>
      <w:r>
        <w:t>Para enjuiciar la tacha de inconstitucionalidad denunciada es necesario partir de la doctrina constitucional al respecto, que se ha ido consolidando desde las primeras sentencias de este tribunal (SSTC 29/1982, de 31 de mayo; 6/1983, de 4 de febrero, y 111/1983, de 2 de diciembre) y que ha sido ampliamente resumida en pronunciamientos posteriores (entre los más recientes, las SSTC 18/2023, de 21 de marzo, y 144/2023, de 25 de octubre). Doctrina que sintetizamos a continuación.</w:t>
      </w:r>
    </w:p>
    <w:p w14:paraId="09CD64A2" w14:textId="77777777" w:rsidR="009D7677" w:rsidRDefault="009D7677" w:rsidP="009D7677">
      <w:pPr>
        <w:pStyle w:val="TextoNormal"/>
      </w:pPr>
    </w:p>
    <w:p w14:paraId="619BB539" w14:textId="77777777" w:rsidR="009D7677" w:rsidRDefault="009D7677" w:rsidP="009D7677">
      <w:pPr>
        <w:pStyle w:val="TextoNormal"/>
      </w:pPr>
      <w:r>
        <w:t>a) El art. 86.1 CE establece una habilitación al Gobierno para dictar normas con fuerza de ley. En la medida en que supone sustituir en su función al Parlamento, es una facultad excepcional al procedimiento legislativo ordinario que se encuentra, en consecuencia, sometida a estrictos requisitos en la Constitución. Ahora bien, la necesidad justificadora de los decretos-leyes no puede entenderse de manera tan absoluta que suponga un peligro grave para el sistema constitucional o para el orden público, concebido como normal ejercicio de los derechos fundamentales y libertades públicas y normal funcionamiento de los servicios públicos, sino que hay que entenderlo con mayor amplitud como necesidad relativa respecto de situaciones concretas de los objetivos gubernamentales que, por razones difíciles de prever, requieren una acción normativa inmediata en un plazo más breve que el requerido por la vía normal o por el procedimiento de urgencia para la tramitación parlamentaria de las leyes. Lo determinante es que la situación que se trata de afrontar venga cualificada por las notas de gravedad, imprevisibilidad o relevancia.</w:t>
      </w:r>
    </w:p>
    <w:p w14:paraId="41DD9AD1" w14:textId="77777777" w:rsidR="009D7677" w:rsidRDefault="009D7677" w:rsidP="009D7677">
      <w:pPr>
        <w:pStyle w:val="TextoNormal"/>
      </w:pPr>
    </w:p>
    <w:p w14:paraId="14F2A00E" w14:textId="77777777" w:rsidR="009D7677" w:rsidRDefault="009D7677" w:rsidP="009D7677">
      <w:pPr>
        <w:pStyle w:val="TextoNormal"/>
      </w:pPr>
      <w:r>
        <w:t>b) Los términos “extraordinaria y urgente necesidad” no constituyen una cláusula o expresión vacía de significado dentro de la cual el margen de apreciación política del Go</w:t>
      </w:r>
      <w:r>
        <w:lastRenderedPageBreak/>
        <w:t>bierno pueda moverse libremente sin restricción alguna, sino un verdadero límite jurídico a la actuación mediante decretos-leyes. Incumbe a este tribunal controlar que ese juicio político no desborde los límites de lo manifiestamente razonable, sin suplantar a los órganos constitucionales que intervienen en la aprobación y convalidación de los decretos leyes. Se trata, en definitiva, de un control externo, en el sentido de que debe verificar, pero no sustituir, el juicio político o de oportunidad que corresponde al Gobierno. Solo “en supuestos de uso abusivo o arbitrario” podrá este tribunal rechazar la definición que el Gobierno haya hecho de una situación como de extraordinaria y urgente necesidad.</w:t>
      </w:r>
    </w:p>
    <w:p w14:paraId="15C03299" w14:textId="77777777" w:rsidR="009D7677" w:rsidRDefault="009D7677" w:rsidP="009D7677">
      <w:pPr>
        <w:pStyle w:val="TextoNormal"/>
      </w:pPr>
    </w:p>
    <w:p w14:paraId="5763D02F" w14:textId="77777777" w:rsidR="009D7677" w:rsidRDefault="009D7677" w:rsidP="009D7677">
      <w:pPr>
        <w:pStyle w:val="TextoNormal"/>
      </w:pPr>
      <w:r>
        <w:t xml:space="preserve">c) Dicho control externo y </w:t>
      </w:r>
      <w:r w:rsidRPr="009D7677">
        <w:rPr>
          <w:i/>
        </w:rPr>
        <w:t>ex post</w:t>
      </w:r>
      <w:r>
        <w:t xml:space="preserve"> requiere el análisis de dos aspectos: por un lado, de la presentación explícita y razonada de los motivos que han sido tenidos en cuenta por el Gobierno en la aprobación del decreto-ley; y, de otra parte, de la existencia de una necesaria conexión de sentido entre la situación de urgencia definida y la medida concreta adoptada para subvenir a ella. Aunque ambos aspectos están íntimamente ligados, su examen por separado facilita desde un punto de vista metodológico el análisis de las consideraciones de las partes y, en última instancia, el control que nos corresponde efectuar.</w:t>
      </w:r>
    </w:p>
    <w:p w14:paraId="632A46F0" w14:textId="77777777" w:rsidR="009D7677" w:rsidRDefault="009D7677" w:rsidP="009D7677">
      <w:pPr>
        <w:pStyle w:val="TextoNormal"/>
      </w:pPr>
    </w:p>
    <w:p w14:paraId="628B12C9" w14:textId="77777777" w:rsidR="009D7677" w:rsidRDefault="009D7677" w:rsidP="009D7677">
      <w:pPr>
        <w:pStyle w:val="TextoNormal"/>
      </w:pPr>
      <w:r>
        <w:t>En cuanto a la definición de la situación de urgencia, no es necesario que haya de contenerse siempre en el propio real decreto-ley, sino que cabe deducirlo de una pluralidad de elementos. El examen de la concurrencia del presupuesto habilitante siempre se ha de llevar a cabo mediante la valoración conjunta de todos aquellos factores que determinaron al Gobierno a dictar la disposición legal excepcional y que son, básicamente, los que quedan reflejados en la exposición de motivos de la norma, en el debate parlamentario de convalidación y en el propio expediente de su elaboración (por todas, STC 182/1997, de 28 de octubre, FJ 4).</w:t>
      </w:r>
    </w:p>
    <w:p w14:paraId="588FEFFE" w14:textId="77777777" w:rsidR="009D7677" w:rsidRDefault="009D7677" w:rsidP="009D7677">
      <w:pPr>
        <w:pStyle w:val="TextoNormal"/>
      </w:pPr>
    </w:p>
    <w:p w14:paraId="2CD20D5C" w14:textId="77777777" w:rsidR="009D7677" w:rsidRDefault="009D7677" w:rsidP="009D7677">
      <w:pPr>
        <w:pStyle w:val="TextoNormal"/>
      </w:pPr>
      <w:r>
        <w:t>En cuanto a la conexión de sentido entre la situación de necesidad definida y las medidas que en el real decreto-ley se adoptan, este tribunal ha afirmado un doble criterio o perspectiva para valorar la existencia de la conexión de sentido: el contenido, por un lado, y la estructura, por otro, de las disposiciones incluidas en el real decreto-ley controvertido (STC 29/1982, FJ 3). Desde esta perspectiva, lo que se exige es que las medidas que se incluyen en el decreto-ley sean, en principio, medidas concretas y de eficacia inmediata para hacer frente a la situación de extraordinaria y urgente necesidad que ha determinado el uso de la legislación de urgencia (STC 70/2016, de 14 de abril, FFJJ 6 y 7).</w:t>
      </w:r>
    </w:p>
    <w:p w14:paraId="5DE8DA1E" w14:textId="77777777" w:rsidR="009D7677" w:rsidRDefault="009D7677" w:rsidP="009D7677">
      <w:pPr>
        <w:pStyle w:val="TextoNormal"/>
      </w:pPr>
    </w:p>
    <w:p w14:paraId="339AFC22" w14:textId="77777777" w:rsidR="009D7677" w:rsidRDefault="009D7677" w:rsidP="009D7677">
      <w:pPr>
        <w:pStyle w:val="TextoNormal"/>
      </w:pPr>
      <w:r>
        <w:t xml:space="preserve">d) Finalmente, en el presente proceso resulta de especial interés la doctrina constitucional relativa a la fiscalización de la concurrencia del presupuesto habilitante respecto de preceptos específicos de los decretos-leyes. Y ello porque el hecho de que un mismo decreto-ley adopte medidas que pertenezcan a sectores materiales distintos, no solo obliga a analizar el presupuesto habilitante desde una visión global, sino que en todo caso exige una justificación </w:t>
      </w:r>
      <w:r w:rsidRPr="009D7677">
        <w:rPr>
          <w:i/>
        </w:rPr>
        <w:t>ad casum</w:t>
      </w:r>
      <w:r>
        <w:t xml:space="preserve"> del mismo en relación con cada una de ellas [en este sentido, SSTC 332/2005, de 15 de diciembre, FJ 5; 27/2015, de 19 de febrero, FJ 5, y 15/2023, de 7 de marzo, FJ 3 c)].</w:t>
      </w:r>
    </w:p>
    <w:p w14:paraId="0B80DAAC" w14:textId="77777777" w:rsidR="009D7677" w:rsidRDefault="009D7677" w:rsidP="009D7677">
      <w:pPr>
        <w:pStyle w:val="TextoNormal"/>
      </w:pPr>
    </w:p>
    <w:p w14:paraId="7C7B56D4" w14:textId="77777777" w:rsidR="009D7677" w:rsidRDefault="009D7677" w:rsidP="009D7677">
      <w:pPr>
        <w:pStyle w:val="TextoNormal"/>
      </w:pPr>
      <w:r>
        <w:t>C) Justificación aportada por el Gobierno</w:t>
      </w:r>
    </w:p>
    <w:p w14:paraId="169A79B2" w14:textId="77777777" w:rsidR="009D7677" w:rsidRDefault="009D7677" w:rsidP="009D7677">
      <w:pPr>
        <w:pStyle w:val="TextoNormal"/>
      </w:pPr>
    </w:p>
    <w:p w14:paraId="292B1B2F" w14:textId="77777777" w:rsidR="009D7677" w:rsidRDefault="009D7677" w:rsidP="009D7677">
      <w:pPr>
        <w:pStyle w:val="TextoNormal"/>
      </w:pPr>
      <w:r>
        <w:t xml:space="preserve">a) El preámbulo de la norma es extenso en línea con su contenido, al adoptar diferentes medidas en materia de transporte terrestre, aéreo y marítimo, becas y ayudas al estudio y </w:t>
      </w:r>
      <w:r>
        <w:lastRenderedPageBreak/>
        <w:t>ahorro, y eficiencia energética y reducción de la dependencia energética del gas natural. Por lo que respecta específicamente a las medidas de ahorro y eficiencia energética, el preámbulo hace varias alusiones al precepto aquí concernido.</w:t>
      </w:r>
    </w:p>
    <w:p w14:paraId="2FDDD71F" w14:textId="77777777" w:rsidR="009D7677" w:rsidRDefault="009D7677" w:rsidP="009D7677">
      <w:pPr>
        <w:pStyle w:val="TextoNormal"/>
      </w:pPr>
    </w:p>
    <w:p w14:paraId="59E76E50" w14:textId="77777777" w:rsidR="009D7677" w:rsidRDefault="009D7677" w:rsidP="009D7677">
      <w:pPr>
        <w:pStyle w:val="TextoNormal"/>
      </w:pPr>
      <w:r>
        <w:t>El apartado I alude a la coyuntura general de especial incertidumbre debido a la invasión de Ucrania por parte de Rusia indicándose, en lo que aquí interesa, que</w:t>
      </w:r>
    </w:p>
    <w:p w14:paraId="27CAACC1" w14:textId="77777777" w:rsidR="009D7677" w:rsidRDefault="009D7677" w:rsidP="009D7677">
      <w:pPr>
        <w:pStyle w:val="TextoNormal"/>
      </w:pPr>
    </w:p>
    <w:p w14:paraId="3111F97D" w14:textId="77777777" w:rsidR="009D7677" w:rsidRDefault="009D7677" w:rsidP="009D7677">
      <w:pPr>
        <w:pStyle w:val="TextoNormal"/>
      </w:pPr>
      <w:r>
        <w:t>“De acuerdo con el reciente Plan aprobado por la Unión Europea con el objetivo de poner fin a la dependencia de los combustibles fósiles de origen rusos (REPowerEU), presentado por la Comisión Europea el 18 de mayo de 2022 y el acuerdo alcanzado en el Consejo Extraordinario de Ministros de Energía celebrado el 26 de julio, resulta de extraordinaria y urgente necesidad adoptar un conjunto de medidas encaminadas a favorecer el ahorro de energía, el fomento de la electrificación y el despliegue de las energías renovables y el desarrollo de los gases renovables de modo que se consiga un doble objetivo: avanzar en la descarbonización de la economía y fomentar la producción de fuentes renovables autóctonas, incrementando nuestra independencia energética.</w:t>
      </w:r>
    </w:p>
    <w:p w14:paraId="399EDF6A" w14:textId="77777777" w:rsidR="009D7677" w:rsidRDefault="009D7677" w:rsidP="009D7677">
      <w:pPr>
        <w:pStyle w:val="TextoNormal"/>
      </w:pPr>
    </w:p>
    <w:p w14:paraId="4A52B4ED" w14:textId="77777777" w:rsidR="009D7677" w:rsidRDefault="009D7677" w:rsidP="009D7677">
      <w:pPr>
        <w:pStyle w:val="TextoNormal"/>
      </w:pPr>
      <w:r>
        <w:t>Por ello, mediante este real decreto-ley se plantean una serie de medidas en el ámbito del ahorro y la eficiencia energética que “para cumplir con los acuerdos solidarios de reducción de demanda alcanzados en el Consejo Extraordinario de Ministros de Energía del 26 de julio, así como para reducir la dependencia energética del gas natural, es necesario la adopción de medidas de efecto inmediato orientadas a un uso responsable de la energía que permite minimizar el impacto sobre la economía y la seguridad de suministro de una interrupción parcial o total del suministros [</w:t>
      </w:r>
      <w:r w:rsidRPr="009D7677">
        <w:rPr>
          <w:i/>
        </w:rPr>
        <w:t>sic</w:t>
      </w:r>
      <w:r>
        <w:t>] de gas por parte de Rusia, y evitar que el peso de estas posibles situaciones recaiga sobre los más vulnerables.</w:t>
      </w:r>
    </w:p>
    <w:p w14:paraId="6271C2AE" w14:textId="77777777" w:rsidR="009D7677" w:rsidRDefault="009D7677" w:rsidP="009D7677">
      <w:pPr>
        <w:pStyle w:val="TextoNormal"/>
      </w:pPr>
    </w:p>
    <w:p w14:paraId="6C420800" w14:textId="77777777" w:rsidR="009D7677" w:rsidRDefault="009D7677" w:rsidP="009D7677">
      <w:pPr>
        <w:pStyle w:val="TextoNormal"/>
      </w:pPr>
      <w:r>
        <w:t>Se trata de adoptar medidas tempranas sobre dos pilares que España lleva desplegando durante años en su política energética, por una parte, el fomento del ahorro y la eficiencia energética y, por otra, el fomento de la electrificación de la economía”.</w:t>
      </w:r>
    </w:p>
    <w:p w14:paraId="11F022D9" w14:textId="77777777" w:rsidR="009D7677" w:rsidRDefault="009D7677" w:rsidP="009D7677">
      <w:pPr>
        <w:pStyle w:val="TextoNormal"/>
      </w:pPr>
    </w:p>
    <w:p w14:paraId="16BC6895" w14:textId="77777777" w:rsidR="009D7677" w:rsidRDefault="009D7677" w:rsidP="009D7677">
      <w:pPr>
        <w:pStyle w:val="TextoNormal"/>
      </w:pPr>
      <w:r>
        <w:t>Después, en el apartado VI, al presentar las medidas de fomento del ahorro y la eficiencia energética, en que se enmarca el art. 29, se afirma que</w:t>
      </w:r>
    </w:p>
    <w:p w14:paraId="38129726" w14:textId="77777777" w:rsidR="009D7677" w:rsidRDefault="009D7677" w:rsidP="009D7677">
      <w:pPr>
        <w:pStyle w:val="TextoNormal"/>
      </w:pPr>
    </w:p>
    <w:p w14:paraId="56776DF4" w14:textId="77777777" w:rsidR="009D7677" w:rsidRDefault="009D7677" w:rsidP="009D7677">
      <w:pPr>
        <w:pStyle w:val="TextoNormal"/>
      </w:pPr>
      <w:r>
        <w:t>“España ya cuenta con un marco normativo exigente para el consumo racional de energía. Así, el Reglamento de Instalaciones Térmicas en los Edificios (RITE), aprobado por Real Decreto 1027/2007, de 20 de julio, ya prevé obligaciones para una adecuada gestión y un consumo eficiente de energía en los sistemas de climatización o producción de agua caliente sanitaria […] En el contexto actual, la necesidad de empezar abordando las medidas inmediatas de menor coste y complejidad requiere un refuerzo puntual de las obligaciones previstas en el RITE. Así, este real decreto-ley introduce una serie de obligaciones de forma temporal hasta el 1 de noviembre de 2023 sobre los edificios y locales sujetos a obligaciones de temperatura en el marco del RITE.</w:t>
      </w:r>
    </w:p>
    <w:p w14:paraId="36E396A3" w14:textId="77777777" w:rsidR="009D7677" w:rsidRDefault="009D7677" w:rsidP="009D7677">
      <w:pPr>
        <w:pStyle w:val="TextoNormal"/>
      </w:pPr>
    </w:p>
    <w:p w14:paraId="2DF47B79" w14:textId="77777777" w:rsidR="009D7677" w:rsidRDefault="009D7677" w:rsidP="009D7677">
      <w:pPr>
        <w:pStyle w:val="TextoNormal"/>
      </w:pPr>
      <w:r>
        <w:t>En primer lugar, se modifica la limitación de temperaturas de calefacción y refrigeración a 19 y 27 ºC, respectivamente. En este sentido, se estima que cada grado en el que se cambie la consigna de temperatura que suponga una menor necesidad de calefacción o refrigeración puede suponer un ahorro del 7 por 100 del consumo.</w:t>
      </w:r>
    </w:p>
    <w:p w14:paraId="66023655" w14:textId="77777777" w:rsidR="009D7677" w:rsidRDefault="009D7677" w:rsidP="009D7677">
      <w:pPr>
        <w:pStyle w:val="TextoNormal"/>
      </w:pPr>
    </w:p>
    <w:p w14:paraId="1AAD2404" w14:textId="77777777" w:rsidR="009D7677" w:rsidRDefault="009D7677" w:rsidP="009D7677">
      <w:pPr>
        <w:pStyle w:val="TextoNormal"/>
      </w:pPr>
      <w:r>
        <w:lastRenderedPageBreak/>
        <w:t>En segundo lugar, dada la necesidad de ahorrar energía con carácter general, se hace extensiva tanto esta obligación, como la obligación relativa a los cierres automáticos de puertas, también a los edificios y locales que se climaticen con energía renovable, que hasta el momento estaban exentos de estas obligaciones.</w:t>
      </w:r>
    </w:p>
    <w:p w14:paraId="0C0E6267" w14:textId="77777777" w:rsidR="009D7677" w:rsidRDefault="009D7677" w:rsidP="009D7677">
      <w:pPr>
        <w:pStyle w:val="TextoNormal"/>
      </w:pPr>
    </w:p>
    <w:p w14:paraId="10591599" w14:textId="77777777" w:rsidR="009D7677" w:rsidRDefault="009D7677" w:rsidP="009D7677">
      <w:pPr>
        <w:pStyle w:val="TextoNormal"/>
      </w:pPr>
      <w:r>
        <w:t>En tercer lugar, dada la importancia de un adecuado cumplimiento y seguimiento de las medidas de ahorro energético, así como la sensibilización del conjunto de la ciudadanía, se introduce la obligación a estos locales y edificios, que actualmente ya deben contar con carteles o pantallas donde se hacen visibles al público las temperaturas y humedad relativa de los mismos, que incorporen carteles explicativos de las medidas obligatorias de ahorro, en las que también pueden incluir otras medidas que estén adoptando para reducir el consumo energético.</w:t>
      </w:r>
    </w:p>
    <w:p w14:paraId="0644EC08" w14:textId="77777777" w:rsidR="009D7677" w:rsidRDefault="009D7677" w:rsidP="009D7677">
      <w:pPr>
        <w:pStyle w:val="TextoNormal"/>
      </w:pPr>
    </w:p>
    <w:p w14:paraId="56C84C8C" w14:textId="77777777" w:rsidR="009D7677" w:rsidRDefault="009D7677" w:rsidP="009D7677">
      <w:pPr>
        <w:pStyle w:val="TextoNormal"/>
      </w:pPr>
      <w:r>
        <w:t>Por último, en línea con medidas similares adoptadas en países de nuestro entorno y de acuerdo con la necesidad de llegar al invierno con las instalaciones existentes en las mejores condiciones energéticas, se introduce la obligación de adelantar la siguiente inspección de eficiencia energética en aquellos edificios obligados a ello cuya última inspección sea anterior al 1 de enero de 2021. De este modo, llegado el final del año 2022, todos los edificios con un consumo relevante de climatización habrán pasado por una inspección de este tipo en los últimos dos años”.</w:t>
      </w:r>
    </w:p>
    <w:p w14:paraId="32607F2D" w14:textId="77777777" w:rsidR="009D7677" w:rsidRDefault="009D7677" w:rsidP="009D7677">
      <w:pPr>
        <w:pStyle w:val="TextoNormal"/>
      </w:pPr>
    </w:p>
    <w:p w14:paraId="19C130F3" w14:textId="77777777" w:rsidR="009D7677" w:rsidRDefault="009D7677" w:rsidP="009D7677">
      <w:pPr>
        <w:pStyle w:val="TextoNormal"/>
      </w:pPr>
      <w:r>
        <w:t>La justificación del presupuesto habilitante aparece en el apartado VIII, que se ocupa sucesivamente de cada una de las materias a regular. Al llegar a las medidas de fomento del ahorro y la eficiencia energética, que se tratan junto al fomento de la electrificación y el despliegue de energías renovables por su ubicación sistemática en el título V del decreto-ley, se sostiene:</w:t>
      </w:r>
    </w:p>
    <w:p w14:paraId="7042AD36" w14:textId="77777777" w:rsidR="009D7677" w:rsidRDefault="009D7677" w:rsidP="009D7677">
      <w:pPr>
        <w:pStyle w:val="TextoNormal"/>
      </w:pPr>
    </w:p>
    <w:p w14:paraId="1C8FADA6" w14:textId="77777777" w:rsidR="009D7677" w:rsidRDefault="009D7677" w:rsidP="009D7677">
      <w:pPr>
        <w:pStyle w:val="TextoNormal"/>
      </w:pPr>
      <w:r>
        <w:t>“[L]a eventualidad de un corte total del suministro de gas hacia Europa hace imprescindible la adopción de medidas urgentes dirigidas a aumentar la producción de energías renovables en nuestro sistema eléctrico, acelerando la puesta en marcha de estas instalaciones, e incluyendo aquí también el desarrollo del autoconsumo renovable, para disminuir la necesidad de la generación eléctrica a partir de gas natural y de esta manera reducir nuestra dependencia de este combustible”.</w:t>
      </w:r>
    </w:p>
    <w:p w14:paraId="22CE30EB" w14:textId="77777777" w:rsidR="009D7677" w:rsidRDefault="009D7677" w:rsidP="009D7677">
      <w:pPr>
        <w:pStyle w:val="TextoNormal"/>
      </w:pPr>
    </w:p>
    <w:p w14:paraId="41020960" w14:textId="77777777" w:rsidR="009D7677" w:rsidRDefault="009D7677" w:rsidP="009D7677">
      <w:pPr>
        <w:pStyle w:val="TextoNormal"/>
      </w:pPr>
      <w:r>
        <w:t>Y, en concreto, sobre las medidas de ahorro y eficiencia energética arguye que</w:t>
      </w:r>
    </w:p>
    <w:p w14:paraId="401F2791" w14:textId="77777777" w:rsidR="009D7677" w:rsidRDefault="009D7677" w:rsidP="009D7677">
      <w:pPr>
        <w:pStyle w:val="TextoNormal"/>
      </w:pPr>
    </w:p>
    <w:p w14:paraId="200D544B" w14:textId="77777777" w:rsidR="009D7677" w:rsidRDefault="009D7677" w:rsidP="009D7677">
      <w:pPr>
        <w:pStyle w:val="TextoNormal"/>
      </w:pPr>
      <w:r>
        <w:t>“De acuerdo con el reciente Plan aprobado por la Unión Europea con el objetivo de poner fin a la dependencia de los combustibles fósiles de origen rusos (REPowerEU), presentado por la Comisión Europea el 18 de mayo de 2022 y el acuerdo alcanzado en el Consejo Extraordinario de Ministros de Energía celebrado el 26 de julio, resulta de extraordinaria y urgente necesidad adoptar un conjunto de medidas encaminadas a favorecer el ahorro de energía, el fomento de la electrificación y el despliegue de las energías renovables y el desarrollo de los gases renovables de modo que se consiga un doble objetivo: avanzar en la descarbonización de la economía y fomentar la producción de fuentes renovables autóctonas, incrementando nuestra independencia energética.</w:t>
      </w:r>
    </w:p>
    <w:p w14:paraId="2D8593ED" w14:textId="77777777" w:rsidR="009D7677" w:rsidRDefault="009D7677" w:rsidP="009D7677">
      <w:pPr>
        <w:pStyle w:val="TextoNormal"/>
      </w:pPr>
    </w:p>
    <w:p w14:paraId="30078ECC" w14:textId="77777777" w:rsidR="009D7677" w:rsidRDefault="009D7677" w:rsidP="009D7677">
      <w:pPr>
        <w:pStyle w:val="TextoNormal"/>
      </w:pPr>
      <w:r>
        <w:t xml:space="preserve">Por ello, mediante este real decreto-ley se plantean una serie de medidas en el ámbito del ahorro y la eficiencia energética que son urgentes y necesarias para conseguir reducir </w:t>
      </w:r>
      <w:r>
        <w:lastRenderedPageBreak/>
        <w:t>el consumo energético en general, y con ello, reducir la dependencia energética del exterior de la economía española. Tal y como se refleja en el mencionado REPowerEU, el ahorro de energía es la forma más rápida y barata de hacer frente a la actual crisis energética y de reducir las facturas. En estimaciones de la Comisión Europea, los cambios de comportamiento a corto plazo podrían reducir la demanda de gas y petróleo en un 5 por 100, incluyendo en este porcentaje los ahorros que se producen a instancias de campañas de comunicación.</w:t>
      </w:r>
    </w:p>
    <w:p w14:paraId="22DACFC9" w14:textId="77777777" w:rsidR="009D7677" w:rsidRDefault="009D7677" w:rsidP="009D7677">
      <w:pPr>
        <w:pStyle w:val="TextoNormal"/>
      </w:pPr>
    </w:p>
    <w:p w14:paraId="2ABD66A4" w14:textId="77777777" w:rsidR="009D7677" w:rsidRDefault="009D7677" w:rsidP="009D7677">
      <w:pPr>
        <w:pStyle w:val="TextoNormal"/>
      </w:pPr>
      <w:r>
        <w:t>A tal efecto, el presente real decreto-ley aprueba una serie de medidas dirigidas a reducir el gasto en sistemas de climatización en edificios administrativos, comerciales y de pública concurrencia, incluyendo la comunicación y concienciación mediante carteles o pantallas. Se incluye también la obligación del cierre de puertas en edificios y locales con acceso desde la calle, una limitación en el alumbrado de escaparates, así como una campaña especial de inspección de sistemas de climatización y agua caliente sanitaria”.</w:t>
      </w:r>
    </w:p>
    <w:p w14:paraId="7FE9EBF1" w14:textId="77777777" w:rsidR="009D7677" w:rsidRDefault="009D7677" w:rsidP="009D7677">
      <w:pPr>
        <w:pStyle w:val="TextoNormal"/>
      </w:pPr>
    </w:p>
    <w:p w14:paraId="5CEB35C5" w14:textId="77777777" w:rsidR="009D7677" w:rsidRDefault="009D7677" w:rsidP="009D7677">
      <w:pPr>
        <w:pStyle w:val="TextoNormal"/>
      </w:pPr>
      <w:r>
        <w:t>b) En el debate de convalidación, la ministra de Transportes, Movilidad y Agenda Urbana reiteraba que (“Diario de Sesiones del Congreso de los Diputados”. Pleno y Diputación Permanente, núm. 204, 25 de agosto de 2022, pág. 24):</w:t>
      </w:r>
    </w:p>
    <w:p w14:paraId="6BB8ACCF" w14:textId="77777777" w:rsidR="009D7677" w:rsidRDefault="009D7677" w:rsidP="009D7677">
      <w:pPr>
        <w:pStyle w:val="TextoNormal"/>
      </w:pPr>
    </w:p>
    <w:p w14:paraId="49EF15E7" w14:textId="77777777" w:rsidR="009D7677" w:rsidRDefault="009D7677" w:rsidP="009D7677">
      <w:pPr>
        <w:pStyle w:val="TextoNormal"/>
      </w:pPr>
      <w:r>
        <w:t>“Es vital que reduzcamos nuestra dependencia de los combustibles fósiles y el consumo energético, porque solo así podremos resistir las coacciones con las que Rusia, el señor Putin, amenaza a toda Europa. Ahorrar energía beneficia a todos, nos ayuda a responder al chantaje energético de Putin”.</w:t>
      </w:r>
    </w:p>
    <w:p w14:paraId="42BD6B77" w14:textId="77777777" w:rsidR="009D7677" w:rsidRDefault="009D7677" w:rsidP="009D7677">
      <w:pPr>
        <w:pStyle w:val="TextoNormal"/>
      </w:pPr>
    </w:p>
    <w:p w14:paraId="17AA916B" w14:textId="77777777" w:rsidR="009D7677" w:rsidRDefault="009D7677" w:rsidP="009D7677">
      <w:pPr>
        <w:pStyle w:val="TextoNormal"/>
      </w:pPr>
      <w:r>
        <w:t>Por eso era necesario adoptar (pág. 27):</w:t>
      </w:r>
    </w:p>
    <w:p w14:paraId="6D5F1F7B" w14:textId="77777777" w:rsidR="009D7677" w:rsidRDefault="009D7677" w:rsidP="009D7677">
      <w:pPr>
        <w:pStyle w:val="TextoNormal"/>
      </w:pPr>
    </w:p>
    <w:p w14:paraId="54033536" w14:textId="77777777" w:rsidR="009D7677" w:rsidRDefault="009D7677" w:rsidP="009D7677">
      <w:pPr>
        <w:pStyle w:val="TextoNormal"/>
      </w:pPr>
      <w:r>
        <w:t>“[M]edidas de ahorro y eficiencia energética como respuesta solidaria con el resto de la Unión Europea para disminuir la dependencia del gas ruso. Estas medidas forman parte de la respuesta unánime, solidaria y flexible de la Unión Europea frente al chantaje energético de Putin tras la agresión a Ucrania. Porque Europa necesita nuestra ayuda, necesita que se refuercen los mecanismos para hacer llegar esa energía a todos nuestros vecinos europeos, y España también debe ser solidaria. En este sentido, a finales de julio se aprobó en Consejo de Ministros de Energía de la Unión Europea un reglamento europeo que, bajo el principio de solidaridad, establece un objetivo de ahorro del consumo de gas natural de los Estados miembros, con cuyo cumplimiento todos los países europeos nos hemos comprometido. Este objetivo podrá llegar a ser de obligado cumplimiento si la situación a nivel europeo se agrava. Por ello, debemos estar preparados. La manera de conseguir estos objetivos es mediante el refuerzo del ahorro y siendo más eficientes en nuestro consumo”.</w:t>
      </w:r>
    </w:p>
    <w:p w14:paraId="6CDAC789" w14:textId="77777777" w:rsidR="009D7677" w:rsidRDefault="009D7677" w:rsidP="009D7677">
      <w:pPr>
        <w:pStyle w:val="TextoNormal"/>
      </w:pPr>
    </w:p>
    <w:p w14:paraId="64D97AB0" w14:textId="77777777" w:rsidR="009D7677" w:rsidRDefault="009D7677" w:rsidP="009D7677">
      <w:pPr>
        <w:pStyle w:val="TextoNormal"/>
      </w:pPr>
      <w:r>
        <w:t>Se indicaba también que (pág. 28):</w:t>
      </w:r>
    </w:p>
    <w:p w14:paraId="0FDB35A6" w14:textId="77777777" w:rsidR="009D7677" w:rsidRDefault="009D7677" w:rsidP="009D7677">
      <w:pPr>
        <w:pStyle w:val="TextoNormal"/>
      </w:pPr>
    </w:p>
    <w:p w14:paraId="2ADE6B9A" w14:textId="77777777" w:rsidR="009D7677" w:rsidRDefault="009D7677" w:rsidP="009D7677">
      <w:pPr>
        <w:pStyle w:val="TextoNormal"/>
      </w:pPr>
      <w:r>
        <w:t>“[E]ste real decreto ley es un primer paso para el ahorro y la eficiencia energética en climatización […] estas medidas ya se están aplicando y, gracias al esfuerzo colectivo, hemos conseguido ya reducir el consumo energético un 9,5 por 100 en la última semana y un 8,5 por 100 con respecto al año 2021 […] es una muestra del compromiso de la ciudadanía con estas medidas de ahorro, que, lejos de tener un carácter sancionador, lo que buscan es mentalizar a los ciudadanos sobre la importancia de hacer un uso prudente de la energía”.</w:t>
      </w:r>
    </w:p>
    <w:p w14:paraId="7A80AC4F" w14:textId="77777777" w:rsidR="009D7677" w:rsidRDefault="009D7677" w:rsidP="009D7677">
      <w:pPr>
        <w:pStyle w:val="TextoNormal"/>
      </w:pPr>
    </w:p>
    <w:p w14:paraId="3E82DB27" w14:textId="77777777" w:rsidR="009D7677" w:rsidRDefault="009D7677" w:rsidP="009D7677">
      <w:pPr>
        <w:pStyle w:val="TextoNormal"/>
      </w:pPr>
      <w:r>
        <w:t>c) Finalmente, la memoria del análisis de impacto normativo, aportada por el abogado del Estado en sus alegaciones, insiste en particular en que (pág. 74):</w:t>
      </w:r>
    </w:p>
    <w:p w14:paraId="49861FDE" w14:textId="77777777" w:rsidR="009D7677" w:rsidRDefault="009D7677" w:rsidP="009D7677">
      <w:pPr>
        <w:pStyle w:val="TextoNormal"/>
      </w:pPr>
    </w:p>
    <w:p w14:paraId="3641F146" w14:textId="77777777" w:rsidR="009D7677" w:rsidRDefault="009D7677" w:rsidP="009D7677">
      <w:pPr>
        <w:pStyle w:val="TextoNormal"/>
      </w:pPr>
      <w:r>
        <w:t>“La invasión de Ucrania por parte de Rusia ha puesto de manifiesto los riesgos de una elevada dependencia energética del exterior y de los combustibles fósiles. Asimismo, la situación actual de altos precios de la energía urge a acelerar en el corto plazo la transición energética, intensificando las políticas y medidas en ahorro y eficiencia energética y penetración de las energías renovables.</w:t>
      </w:r>
    </w:p>
    <w:p w14:paraId="01C755E3" w14:textId="77777777" w:rsidR="009D7677" w:rsidRDefault="009D7677" w:rsidP="009D7677">
      <w:pPr>
        <w:pStyle w:val="TextoNormal"/>
      </w:pPr>
    </w:p>
    <w:p w14:paraId="216027C1" w14:textId="77777777" w:rsidR="009D7677" w:rsidRDefault="009D7677" w:rsidP="009D7677">
      <w:pPr>
        <w:pStyle w:val="TextoNormal"/>
      </w:pPr>
      <w:r>
        <w:t>En este contexto, las medidas que se plantean en este artículo 29 están dirigidas a reducir el consumo de energía final y contribuir a cumplir con el objetivo establecidos en el Consejo Extraordinario de Ministros de Energía, celebrado el 26 de julio, donde se alcanzó un acuerdo político de reducción voluntaria de la demanda de gas natural del 15 por 100 entre el 1 de agosto de 2022 y el 31 de marzo de 2023 respecto a la media del mismo periodo de los últimos cinco años, que en el caso de España según las derogaciones acordadas, llevan a un objetivo de reducción de la demanda de gas por debajo de d</w:t>
      </w:r>
      <w:r w:rsidRPr="009D7677">
        <w:rPr>
          <w:i/>
        </w:rPr>
        <w:t xml:space="preserve">el </w:t>
      </w:r>
      <w:r>
        <w:t>[sic] 7 por 100”.</w:t>
      </w:r>
    </w:p>
    <w:p w14:paraId="764D502B" w14:textId="77777777" w:rsidR="009D7677" w:rsidRDefault="009D7677" w:rsidP="009D7677">
      <w:pPr>
        <w:pStyle w:val="TextoNormal"/>
      </w:pPr>
    </w:p>
    <w:p w14:paraId="7795FDAA" w14:textId="77777777" w:rsidR="009D7677" w:rsidRDefault="009D7677" w:rsidP="009D7677">
      <w:pPr>
        <w:pStyle w:val="TextoNormal"/>
      </w:pPr>
      <w:r>
        <w:t>D) Enjuiciamiento</w:t>
      </w:r>
    </w:p>
    <w:p w14:paraId="0FABC031" w14:textId="77777777" w:rsidR="009D7677" w:rsidRDefault="009D7677" w:rsidP="009D7677">
      <w:pPr>
        <w:pStyle w:val="TextoNormal"/>
      </w:pPr>
    </w:p>
    <w:p w14:paraId="46DA461C" w14:textId="77777777" w:rsidR="009D7677" w:rsidRDefault="009D7677" w:rsidP="009D7677">
      <w:pPr>
        <w:pStyle w:val="TextoNormal"/>
      </w:pPr>
      <w:r>
        <w:t>a) Justificación del presupuesto habilitante</w:t>
      </w:r>
    </w:p>
    <w:p w14:paraId="7974727E" w14:textId="77777777" w:rsidR="009D7677" w:rsidRDefault="009D7677" w:rsidP="009D7677">
      <w:pPr>
        <w:pStyle w:val="TextoNormal"/>
      </w:pPr>
    </w:p>
    <w:p w14:paraId="5B95C80A" w14:textId="77777777" w:rsidR="009D7677" w:rsidRDefault="009D7677" w:rsidP="009D7677">
      <w:pPr>
        <w:pStyle w:val="TextoNormal"/>
      </w:pPr>
      <w:r>
        <w:t>De cuanto ha quedado expuesto puede inferirse que el Gobierno ha aportado una justificación explícita y razonada de su opción normativa. Justificación que se identifica con el impacto energético que ha provocado el conflicto armado en Ucrania, que obliga a la adopción de un plan de choque de ahorro y gestión energética en climatización, de modo urgente y necesario para lograr reducir el consumo energético, y con ello, la dependencia del exterior, lo que situaría a España en disposición de afrontar mejor las derivas de la guerra y de alinearse con el Plan REPowerEU. Este prevé, efectivamente, que el ahorro de energía es la forma más rápida y barata de hacer frente a la crisis energética y de reducir las facturas.</w:t>
      </w:r>
    </w:p>
    <w:p w14:paraId="48DB2D74" w14:textId="77777777" w:rsidR="009D7677" w:rsidRDefault="009D7677" w:rsidP="009D7677">
      <w:pPr>
        <w:pStyle w:val="TextoNormal"/>
      </w:pPr>
    </w:p>
    <w:p w14:paraId="07EC021F" w14:textId="77777777" w:rsidR="009D7677" w:rsidRDefault="009D7677" w:rsidP="009D7677">
      <w:pPr>
        <w:pStyle w:val="TextoNormal"/>
      </w:pPr>
      <w:r>
        <w:t>Esta conclusión no se ve desvirtuada por los argumentos del recurrente.</w:t>
      </w:r>
    </w:p>
    <w:p w14:paraId="755F4493" w14:textId="77777777" w:rsidR="009D7677" w:rsidRDefault="009D7677" w:rsidP="009D7677">
      <w:pPr>
        <w:pStyle w:val="TextoNormal"/>
      </w:pPr>
    </w:p>
    <w:p w14:paraId="6B24A269" w14:textId="77777777" w:rsidR="009D7677" w:rsidRDefault="009D7677" w:rsidP="009D7677">
      <w:pPr>
        <w:pStyle w:val="TextoNormal"/>
      </w:pPr>
      <w:r>
        <w:t>Frente al razonamiento de que no era necesario reaccionar con tanta inmediatez, pudiendo haberse seguido el procedimiento parlamentario de urgencia para la tramitación legislativa o incluso el de aprobación de reglamentos, este tribunal observa que lo que se pretendía con el precepto impugnado era precisamente generar efectos súbitos, que con otros instrumentos se hubieran dilatado necesariamente en el tiempo. Baste señalar que las medidas ya estaban aplicándose y consiguiendo resultados en el momento del debate para la convalidación parlamentaria (veintitrés días después de la publicación oficial de la norma y la entrada en vigor de la mayor parte de sus previsiones, aunque algunas lo harían siete días más tarde).</w:t>
      </w:r>
    </w:p>
    <w:p w14:paraId="41374D02" w14:textId="77777777" w:rsidR="009D7677" w:rsidRDefault="009D7677" w:rsidP="009D7677">
      <w:pPr>
        <w:pStyle w:val="TextoNormal"/>
      </w:pPr>
    </w:p>
    <w:p w14:paraId="265BB1C4" w14:textId="77777777" w:rsidR="009D7677" w:rsidRDefault="009D7677" w:rsidP="009D7677">
      <w:pPr>
        <w:pStyle w:val="TextoNormal"/>
      </w:pPr>
      <w:r>
        <w:t xml:space="preserve">La circunstancia de que los acuerdos europeos de reducción de la demanda de gas natural fueran de cumplimiento voluntario en aquel momento no impide que el Gobierno pueda adoptar medidas inmediatas para su cumplimiento. Existía la voluntad de cumplirlos de </w:t>
      </w:r>
      <w:r>
        <w:lastRenderedPageBreak/>
        <w:t>esa forma por razones de solidaridad y de mejor preparación ante previsibles escenarios de agravamiento, como se destacó especialmente en el debate de convalidación.</w:t>
      </w:r>
    </w:p>
    <w:p w14:paraId="180B3946" w14:textId="77777777" w:rsidR="009D7677" w:rsidRDefault="009D7677" w:rsidP="009D7677">
      <w:pPr>
        <w:pStyle w:val="TextoNormal"/>
      </w:pPr>
    </w:p>
    <w:p w14:paraId="4D0B3BD2" w14:textId="77777777" w:rsidR="009D7677" w:rsidRDefault="009D7677" w:rsidP="009D7677">
      <w:pPr>
        <w:pStyle w:val="TextoNormal"/>
      </w:pPr>
      <w:r>
        <w:t>Por otra parte, no es óbice para apreciar una situación de extraordinaria y urgente necesidad la naturaleza materialmente reglamentaria de algunas de las disposiciones impugnadas pues, si bien nuestra doctrina ha sentado que puede constituir un indicio de su inexistencia, “desde una perspectiva constitucional debe partirse, como hemos reconocido en otras ocasiones, de que nuestro sistema de fuentes no contempla reservas de reglamento, lo cual implica que a la ley no le está vedada la regulación de materias atribuidas anteriormente al poder reglamentario [por todas, SSTC 5/1981, de 13 de febrero, FJ 21 B); 73/2000, de 14 de marzo, FJ 15, y 104/2000, de 13 de abril, FJ 9]” (STC 332/2005, de 15 de diciembre, FJ 7). El recurrente sostiene que no hay en este caso justificación para ello, pero tal justificación existe, cuando el preámbulo de la norma se remite al RITE y a la “necesidad de empezar abordando las medidas de menor coste y complejidad” a través de la implantación de un plan de choque de ahorro y gestión energética en climatización. De ahí que quepa concluir que, en el caso que nos ocupa, fue constitucionalmente legítima su adopción mediante decreto-ley al no permitir la norma reglamentaria dar respuesta urgente a la situación que, según el Gobierno, era preciso resolver [entre otras, la STC 14/2020, de 28 de enero, FJ 5 c)].</w:t>
      </w:r>
    </w:p>
    <w:p w14:paraId="5B282720" w14:textId="77777777" w:rsidR="009D7677" w:rsidRDefault="009D7677" w:rsidP="009D7677">
      <w:pPr>
        <w:pStyle w:val="TextoNormal"/>
      </w:pPr>
    </w:p>
    <w:p w14:paraId="6E31EB3B" w14:textId="77777777" w:rsidR="009D7677" w:rsidRDefault="009D7677" w:rsidP="009D7677">
      <w:pPr>
        <w:pStyle w:val="TextoNormal"/>
      </w:pPr>
      <w:r>
        <w:t>De acuerdo con nuestra doctrina late “un juicio político o de oportunidad que corresponde al Gobierno en primer término y al Congreso de los Diputados en el ejercicio de la función de control parlamentario. No es posible, pues, un control por este tribunal de esa valoración que permita una revisión de fondo del juicio político, más allá de la constatación de que no se trata de una decisión abusiva o arbitraria (por todas, SSTC 182/1997, de 28 de octubre, FJ 3; 11/2002, de 17 de enero, FJ 4; 137/2003, de 3 de julio, FJ 3, y 189/2005, de 7 de julio, FJ 3)” (STC 150/2017, de 21 de septiembre, FJ 4).</w:t>
      </w:r>
    </w:p>
    <w:p w14:paraId="63336E08" w14:textId="77777777" w:rsidR="009D7677" w:rsidRDefault="009D7677" w:rsidP="009D7677">
      <w:pPr>
        <w:pStyle w:val="TextoNormal"/>
      </w:pPr>
    </w:p>
    <w:p w14:paraId="3F28FCAF" w14:textId="77777777" w:rsidR="009D7677" w:rsidRDefault="009D7677" w:rsidP="009D7677">
      <w:pPr>
        <w:pStyle w:val="TextoNormal"/>
      </w:pPr>
      <w:r>
        <w:t>Tampoco puede prosperar el reproche general que el recurso contiene a la actuación normativa del Gobierno a través de decretos-leyes porque, como hemos indicado en otras ocasiones, “el recurso de inconstitucionalidad es un cauce procesal apto para el enjuiciamiento de textos legales y de fórmulas legislativas determinadas, pero no ‘una vía de impugnación que pueda dirigirse de forma indiscriminada contra un bloque de legalidad o contra una parte del sistema normativo’ (STC 86/1982, de 23 de diciembre, FJ 5) o que pueda utilizarse para enjuiciar ‘las intenciones del legislador, su estrategia política o su propósito último’ (por todas, STC 128/2016, de 10 de agosto, FJ 5)” (STC 144/2023, de 25 de octubre, FJ 5).</w:t>
      </w:r>
    </w:p>
    <w:p w14:paraId="1F74D88C" w14:textId="77777777" w:rsidR="009D7677" w:rsidRDefault="009D7677" w:rsidP="009D7677">
      <w:pPr>
        <w:pStyle w:val="TextoNormal"/>
      </w:pPr>
    </w:p>
    <w:p w14:paraId="3B87F447" w14:textId="77777777" w:rsidR="009D7677" w:rsidRDefault="009D7677" w:rsidP="009D7677">
      <w:pPr>
        <w:pStyle w:val="TextoNormal"/>
      </w:pPr>
      <w:r>
        <w:t xml:space="preserve">Así las cosas, no puede aceptarse que el Gobierno se haya apartado del margen de apreciación que le corresponde. Tampoco puede aceptarse que la adopción de estas medidas por decreto-ley haya vulnerado el art. 23.2 CE de los diputados, porque pudieron ejercer su derecho al </w:t>
      </w:r>
      <w:r w:rsidRPr="009D7677">
        <w:rPr>
          <w:i/>
        </w:rPr>
        <w:t>ius in officium</w:t>
      </w:r>
      <w:r>
        <w:t xml:space="preserve"> en el trámite de la convalidación de la norma. Ninguna queja sobre la base del art. 23.2 CE puede servir para desplazar lo previsto en el art. 86.2 CE.</w:t>
      </w:r>
    </w:p>
    <w:p w14:paraId="15BCB0F2" w14:textId="77777777" w:rsidR="009D7677" w:rsidRDefault="009D7677" w:rsidP="009D7677">
      <w:pPr>
        <w:pStyle w:val="TextoNormal"/>
      </w:pPr>
    </w:p>
    <w:p w14:paraId="6E4708C6" w14:textId="77777777" w:rsidR="009D7677" w:rsidRDefault="009D7677" w:rsidP="009D7677">
      <w:pPr>
        <w:pStyle w:val="TextoNormal"/>
      </w:pPr>
      <w:r>
        <w:t>b) Conexión de sentido</w:t>
      </w:r>
    </w:p>
    <w:p w14:paraId="4E51BED1" w14:textId="77777777" w:rsidR="009D7677" w:rsidRDefault="009D7677" w:rsidP="009D7677">
      <w:pPr>
        <w:pStyle w:val="TextoNormal"/>
      </w:pPr>
    </w:p>
    <w:p w14:paraId="00CDADED" w14:textId="77777777" w:rsidR="009D7677" w:rsidRDefault="009D7677" w:rsidP="009D7677">
      <w:pPr>
        <w:pStyle w:val="TextoNormal"/>
      </w:pPr>
      <w:r>
        <w:lastRenderedPageBreak/>
        <w:t>Este tribunal entiende que es directamente apreciable la conexión de sentido entre el ahorro energético y la reducción de la demanda de gas y las medidas de limitación de temperaturas de climatización (art. 29.1), cierre de puertas (art. 29.3), restricción de la iluminación exterior nocturna (art. 29.4) y control de eficiencia de las instalaciones térmicas a través de inspecciones actualizadas (art. 29.5). Es indirecta, pero complementaria o accesoria, respecto a la obligación de colocar carteles informativos (art. 29.2); así, el preámbulo de la norma expresamente la vincula con la sensibilización del conjunto de la ciudadanía y formula en varias ocasiones el objetivo de ahorrar energía “con carácter general”, mientras que en el debate de convalidación se insistió en el objetivo de mentalizar a la sociedad sobre la importancia de hacer un uso prudente de la energía. La conexión también existe de forma evidente respecto al art. 29.6, que se limita a extender a las medidas del artículo la previsión del RITE que identifica la norma sancionadora de cobertura en caso de incumplimiento.</w:t>
      </w:r>
    </w:p>
    <w:p w14:paraId="3176C408" w14:textId="77777777" w:rsidR="009D7677" w:rsidRDefault="009D7677" w:rsidP="009D7677">
      <w:pPr>
        <w:pStyle w:val="TextoNormal"/>
      </w:pPr>
    </w:p>
    <w:p w14:paraId="6385E827" w14:textId="77777777" w:rsidR="009D7677" w:rsidRDefault="009D7677" w:rsidP="009D7677">
      <w:pPr>
        <w:pStyle w:val="TextoNormal"/>
      </w:pPr>
      <w:r>
        <w:t>Además, las medidas dispuestas en el art. 29 tenían una marcada vocación de provisionalidad. Esto, sin ser en todo caso imprescindible para avalar la conexión entre las medidas adoptadas y la situación de urgencia [por todas, STC 144/2023, de 25 de octubre, FJ 5 B)] es, desde luego, muestra de ello.</w:t>
      </w:r>
    </w:p>
    <w:p w14:paraId="50DCC2D2" w14:textId="77777777" w:rsidR="009D7677" w:rsidRDefault="009D7677" w:rsidP="009D7677">
      <w:pPr>
        <w:pStyle w:val="TextoNormal"/>
      </w:pPr>
    </w:p>
    <w:p w14:paraId="12C68E14" w14:textId="77777777" w:rsidR="009D7677" w:rsidRDefault="009D7677" w:rsidP="009D7677">
      <w:pPr>
        <w:pStyle w:val="TextoNormal"/>
      </w:pPr>
      <w:r>
        <w:t>Se trata, pues, de “medidas concretas y de eficacia inmediata para hacer frente a la situación que ha determinado el uso de la legislación de urgencia” (STC 70/2016, de 14 de abril, FFJJ 6 y 7).</w:t>
      </w:r>
    </w:p>
    <w:p w14:paraId="0C68E2AA" w14:textId="77777777" w:rsidR="009D7677" w:rsidRDefault="009D7677" w:rsidP="009D7677">
      <w:pPr>
        <w:pStyle w:val="TextoNormal"/>
      </w:pPr>
    </w:p>
    <w:p w14:paraId="40E254A2" w14:textId="6BECF074" w:rsidR="009D7677" w:rsidRDefault="009D7677" w:rsidP="009D7677">
      <w:pPr>
        <w:pStyle w:val="TextoNormal"/>
      </w:pPr>
      <w:r>
        <w:t>Concurriendo el presupuesto habilitante de la extraordinaria y urgente necesidad, y no habiéndose realizado un uso inadecuado de la figura del decreto-ley, procede desestimar este motivo de recurso.</w:t>
      </w:r>
    </w:p>
    <w:p w14:paraId="2D983D61" w14:textId="77777777" w:rsidR="009D7677" w:rsidRDefault="009D7677" w:rsidP="009D7677">
      <w:pPr>
        <w:pStyle w:val="TextoNormal"/>
      </w:pPr>
    </w:p>
    <w:p w14:paraId="2631DBF9" w14:textId="77777777" w:rsidR="009D7677" w:rsidRDefault="009D7677" w:rsidP="009D7677">
      <w:pPr>
        <w:pStyle w:val="TextoNormal"/>
      </w:pPr>
      <w:r w:rsidRPr="009D7677">
        <w:rPr>
          <w:rStyle w:val="NumeroAFNegritaCaracter"/>
        </w:rPr>
        <w:t>4</w:t>
      </w:r>
      <w:r>
        <w:t xml:space="preserve">. </w:t>
      </w:r>
      <w:r w:rsidRPr="009D7677">
        <w:rPr>
          <w:i/>
        </w:rPr>
        <w:t>Impugnación del art. 29.3 por vulneración de las competencias autonómicas en materia de sanidad e higiene</w:t>
      </w:r>
    </w:p>
    <w:p w14:paraId="1E41F737" w14:textId="77777777" w:rsidR="009D7677" w:rsidRDefault="009D7677" w:rsidP="009D7677">
      <w:pPr>
        <w:pStyle w:val="TextoNormal"/>
      </w:pPr>
    </w:p>
    <w:p w14:paraId="4FD8E5CF" w14:textId="77777777" w:rsidR="009D7677" w:rsidRDefault="009D7677" w:rsidP="009D7677">
      <w:pPr>
        <w:pStyle w:val="TextoNormal"/>
      </w:pPr>
      <w:r>
        <w:t>a) Posición de las partes</w:t>
      </w:r>
    </w:p>
    <w:p w14:paraId="29612DB9" w14:textId="77777777" w:rsidR="009D7677" w:rsidRDefault="009D7677" w:rsidP="009D7677">
      <w:pPr>
        <w:pStyle w:val="TextoNormal"/>
      </w:pPr>
    </w:p>
    <w:p w14:paraId="38760F3F" w14:textId="77777777" w:rsidR="009D7677" w:rsidRDefault="009D7677" w:rsidP="009D7677">
      <w:pPr>
        <w:pStyle w:val="TextoNormal"/>
      </w:pPr>
      <w:r>
        <w:t>El recurso sostiene la inconstitucionalidad del art. 29.3 del Real Decreto-ley, que se considera, como todo el precepto impugnado, dictado con fundamento en el art. 149.1.25 CE (bases de régimen minero y energético), por invasión de la competencia autonómica en materia de sanidad e higiene. Esta se atribuye a la Comunidad de Madrid, en el art. 27.4 EAM, para el desarrollo legislativo, la potestad reglamentaria y la ejecución, en el marco de la legislación básica del Estado y, en su caso, en los términos que la misma establezca.</w:t>
      </w:r>
    </w:p>
    <w:p w14:paraId="6D1CBB9B" w14:textId="77777777" w:rsidR="009D7677" w:rsidRDefault="009D7677" w:rsidP="009D7677">
      <w:pPr>
        <w:pStyle w:val="TextoNormal"/>
      </w:pPr>
    </w:p>
    <w:p w14:paraId="1000B14F" w14:textId="77777777" w:rsidR="009D7677" w:rsidRDefault="009D7677" w:rsidP="009D7677">
      <w:pPr>
        <w:pStyle w:val="TextoNormal"/>
      </w:pPr>
      <w:r>
        <w:t>El argumento que se emplea al desarrollar este motivo de impugnación es la existencia de un conflicto entre la normativa estatal y la autonómica, pues se aduce que la previsión recurrida (que amplía el ámbito de aplicación de una medida ya fijada en el RITE, respecto al sistema de cierre de puertas de los edificios y locales con acceso desde la calle, para hacerlo vinculante sin importar la fuente de energía de la climatización) colisiona con el art. 7.3 de la Orden 1244/2021, de 1 de octubre, de la Consejería de Sanidad de la Comunidad de Madrid, por la que se establecen medidas preventivas para hacer frente a la crisis sanitaria ocasionada por el covid-19 (que dispone que, en todos los espacios cerrados de uso público, tanto de titularidad pública como privada, se ha de proporcionar una ventila</w:t>
      </w:r>
      <w:r>
        <w:lastRenderedPageBreak/>
        <w:t>ción adecuada con aire exterior y/o renovar el aire de las dependencias a través de ventilación natural y/o mecánica). El recurso considera que ambas previsiones son incompatibles y debe primar la protección de la salud.</w:t>
      </w:r>
    </w:p>
    <w:p w14:paraId="3AF95C47" w14:textId="77777777" w:rsidR="009D7677" w:rsidRDefault="009D7677" w:rsidP="009D7677">
      <w:pPr>
        <w:pStyle w:val="TextoNormal"/>
      </w:pPr>
    </w:p>
    <w:p w14:paraId="4754FD80" w14:textId="77777777" w:rsidR="009D7677" w:rsidRDefault="009D7677" w:rsidP="009D7677">
      <w:pPr>
        <w:pStyle w:val="TextoNormal"/>
      </w:pPr>
      <w:r>
        <w:t>La Abogacía del Estado niega que exista una colisión de bienes jurídicos protegidos por títulos competenciales diferentes, sosteniendo que ambas medidas son compatibles y las respectivas competencias, concurrentes.</w:t>
      </w:r>
    </w:p>
    <w:p w14:paraId="3CCC0D1F" w14:textId="77777777" w:rsidR="009D7677" w:rsidRDefault="009D7677" w:rsidP="009D7677">
      <w:pPr>
        <w:pStyle w:val="TextoNormal"/>
      </w:pPr>
    </w:p>
    <w:p w14:paraId="1ACDB4E2" w14:textId="77777777" w:rsidR="009D7677" w:rsidRDefault="009D7677" w:rsidP="009D7677">
      <w:pPr>
        <w:pStyle w:val="TextoNormal"/>
      </w:pPr>
      <w:r>
        <w:t>b) Enjuiciamiento</w:t>
      </w:r>
    </w:p>
    <w:p w14:paraId="1C0AE8A5" w14:textId="77777777" w:rsidR="009D7677" w:rsidRDefault="009D7677" w:rsidP="009D7677">
      <w:pPr>
        <w:pStyle w:val="TextoNormal"/>
      </w:pPr>
    </w:p>
    <w:p w14:paraId="0ED015CF" w14:textId="77777777" w:rsidR="009D7677" w:rsidRDefault="009D7677" w:rsidP="009D7677">
      <w:pPr>
        <w:pStyle w:val="TextoNormal"/>
      </w:pPr>
      <w:r>
        <w:t>Ningún reproche cabe hacer a la identificación que la comunidad autónoma realiza respecto al título competencial estatal ejercido al dictar el art. 29.3 del real decreto-ley aquí cuestionado, como tampoco lo hace la Abogacía del Estado en sus alegaciones, puesto que, como ya hemos sentado en otras ocasiones, la eficiencia energética se encuadra en la materia “régimen energético” (por todas, STC 69/2018, de 21 de junio, FJ 5).</w:t>
      </w:r>
    </w:p>
    <w:p w14:paraId="64314865" w14:textId="77777777" w:rsidR="009D7677" w:rsidRDefault="009D7677" w:rsidP="009D7677">
      <w:pPr>
        <w:pStyle w:val="TextoNormal"/>
      </w:pPr>
    </w:p>
    <w:p w14:paraId="04DD02FD" w14:textId="77777777" w:rsidR="009D7677" w:rsidRDefault="009D7677" w:rsidP="009D7677">
      <w:pPr>
        <w:pStyle w:val="TextoNormal"/>
      </w:pPr>
      <w:r>
        <w:t>Una vez sentado lo anterior, este tribunal no aprecia colisión de títulos competenciales. Estado y comunidad autónoma inciden sobre una misma realidad desde perspectivas distintas, y las normas resultantes son perfectamente compatibles. Ante la falta de exhaustividad del recurso en este punto, baste destacar que una cosa es que proceda impedir que las puertas a la calle estén abiertas permanentemente, para evitar un despilfarro energético, como ha establecido el Estado en ejercicio de la competencia prevista en el art. 149.1.25 CE, y, otra, que de ello se deduzca que deben estar permanentemente cerradas o que no deban cumplirse las medidas higiénicas de ventilación dispuestas por la Comunidad de Madrid al amparo de sus competencias en materia de sanidad e higiene (art. 27.4 EAM); ventilación que, además, no necesariamente se ha de realizar a través de las puertas de entrada desde la calle, como se desprende del tenor del propio art. 7.3 de la Orden 1244/2021 (en la redacción dada por la Orden 439/2022, de 28 de marzo, de la Consejería de Sanidad).</w:t>
      </w:r>
    </w:p>
    <w:p w14:paraId="797146C6" w14:textId="77777777" w:rsidR="009D7677" w:rsidRDefault="009D7677" w:rsidP="009D7677">
      <w:pPr>
        <w:pStyle w:val="TextoNormal"/>
      </w:pPr>
    </w:p>
    <w:p w14:paraId="35F2D338" w14:textId="09B5041B" w:rsidR="009D7677" w:rsidRDefault="009D7677" w:rsidP="009D7677">
      <w:pPr>
        <w:pStyle w:val="TextoNormal"/>
      </w:pPr>
      <w:r>
        <w:t>Debe pues, desestimarse este motivo de recurso.</w:t>
      </w:r>
    </w:p>
    <w:p w14:paraId="2DD46F96" w14:textId="77777777" w:rsidR="009D7677" w:rsidRDefault="009D7677" w:rsidP="009D7677">
      <w:pPr>
        <w:pStyle w:val="TextoNormal"/>
      </w:pPr>
    </w:p>
    <w:p w14:paraId="7D30D957" w14:textId="77777777" w:rsidR="009D7677" w:rsidRDefault="009D7677" w:rsidP="009D7677">
      <w:pPr>
        <w:pStyle w:val="TextoNormalCentrado"/>
        <w:keepNext/>
      </w:pPr>
      <w:r>
        <w:t>FALLO</w:t>
      </w:r>
    </w:p>
    <w:p w14:paraId="568757AD" w14:textId="213B5B78" w:rsidR="009D7677" w:rsidRDefault="009D7677" w:rsidP="009D7677">
      <w:pPr>
        <w:pStyle w:val="TextoNormalCentrado"/>
        <w:keepNext/>
      </w:pPr>
    </w:p>
    <w:p w14:paraId="26211EF7" w14:textId="77777777" w:rsidR="009D7677" w:rsidRDefault="009D7677" w:rsidP="009D7677">
      <w:pPr>
        <w:pStyle w:val="TextoNormal"/>
      </w:pPr>
      <w:r>
        <w:t>En atención a todo lo expuesto, el Tribunal Constitucional, por la autoridad que le confiere la Constitución de la Nación española, ha decidido:</w:t>
      </w:r>
    </w:p>
    <w:p w14:paraId="2693BC77" w14:textId="77777777" w:rsidR="009D7677" w:rsidRDefault="009D7677" w:rsidP="009D7677">
      <w:pPr>
        <w:pStyle w:val="TextoNormal"/>
      </w:pPr>
    </w:p>
    <w:p w14:paraId="0A2955BD" w14:textId="77777777" w:rsidR="009D7677" w:rsidRDefault="009D7677" w:rsidP="009D7677">
      <w:pPr>
        <w:pStyle w:val="TextoNormal"/>
      </w:pPr>
      <w:r>
        <w:t>1º Declarar la pérdida sobrevenida de objeto del presente recurso de inconstitucionalidad en lo que hace a los motivos de impugnación relativos a los apartados 1, 2, 4 y 5 del art. 29 del Real Decreto-ley 14/2022, de 1 de agosto, de medidas de sostenibilidad económica en el ámbito del transporte, en materia de becas y ayudas al estudio, así como de medidas de ahorro, eficiencia energética y de reducción de la dependencia energética del gas natural.</w:t>
      </w:r>
    </w:p>
    <w:p w14:paraId="79AA5487" w14:textId="77777777" w:rsidR="009D7677" w:rsidRDefault="009D7677" w:rsidP="009D7677">
      <w:pPr>
        <w:pStyle w:val="TextoNormal"/>
      </w:pPr>
    </w:p>
    <w:p w14:paraId="3617C77D" w14:textId="1679CAA3" w:rsidR="009D7677" w:rsidRDefault="009D7677" w:rsidP="009D7677">
      <w:pPr>
        <w:pStyle w:val="TextoNormal"/>
      </w:pPr>
      <w:r>
        <w:t>2º Desestimar el recurso de inconstitucionalidad en todo lo demás.</w:t>
      </w:r>
    </w:p>
    <w:p w14:paraId="426FF797" w14:textId="77777777" w:rsidR="009D7677" w:rsidRDefault="009D7677" w:rsidP="009D7677">
      <w:pPr>
        <w:pStyle w:val="TextoNormal"/>
      </w:pPr>
    </w:p>
    <w:p w14:paraId="358D3FC8" w14:textId="77777777" w:rsidR="009D7677" w:rsidRDefault="009D7677" w:rsidP="009D7677">
      <w:pPr>
        <w:pStyle w:val="TextoNormal"/>
      </w:pPr>
      <w:r>
        <w:t>Publíquese esta sentencia en el “Boletín Oficial del Estado”.</w:t>
      </w:r>
    </w:p>
    <w:p w14:paraId="2A18513D" w14:textId="77777777" w:rsidR="009D7677" w:rsidRDefault="009D7677" w:rsidP="009D7677">
      <w:pPr>
        <w:pStyle w:val="TextoNormal"/>
      </w:pPr>
      <w:r>
        <w:t>Dada en Madrid, a treinta y uno de enero de dos mil veinticuatro.</w:t>
      </w:r>
    </w:p>
    <w:p w14:paraId="57D7FA6C" w14:textId="06D4BB0B" w:rsidR="009D7677" w:rsidRDefault="009D7677" w:rsidP="009D7677">
      <w:pPr>
        <w:pStyle w:val="ParrafoNormal"/>
      </w:pPr>
    </w:p>
    <w:p w14:paraId="14DE3AB8" w14:textId="77777777" w:rsidR="009D7677" w:rsidRDefault="009D7677" w:rsidP="009D7677">
      <w:pPr>
        <w:pStyle w:val="TextoNormalNegritaCentrado"/>
        <w:keepNext/>
      </w:pPr>
      <w:r>
        <w:t>Voto particular que formulan el magistrado don Enrique Arnaldo Alcubilla y la magistrada doña Concepción Espejel Jorquera a la sentencia del Pleno del Tribunal que resuelve el recurso de inconstitucionalidad núm. 6309-2022</w:t>
      </w:r>
    </w:p>
    <w:p w14:paraId="6E72ADA8" w14:textId="407CF560" w:rsidR="009D7677" w:rsidRDefault="009D7677" w:rsidP="009D7677">
      <w:pPr>
        <w:pStyle w:val="TextoNormalNegritaCentrado"/>
        <w:keepNext/>
      </w:pPr>
    </w:p>
    <w:p w14:paraId="565575C6" w14:textId="77777777" w:rsidR="009D7677" w:rsidRDefault="009D7677" w:rsidP="009D7677">
      <w:pPr>
        <w:pStyle w:val="TextoNormal"/>
      </w:pPr>
      <w:r>
        <w:t>En el ejercicio de la facultad que nos confiere el art. 90.2 de la Ley Orgánica del Tribunal Constitucional, y con expresa manifestación de respeto hacia el parecer mayoritario contrario, formulamos el presente voto particular para expresar nuestra discrepancia con parte de la fundamentación y el fallo de la sentencia recaída en el presente recurso de inconstitucionalidad interpuesto por la Comunidad de Madrid, que debió ser estimado, declarando la inconstitucionalidad y consiguiente nulidad del impugnado art. 29 del Real Decreto-ley 14/2022, de 1 de agosto, de medidas de sostenibilidad económica en el ámbito del transporte, en materia de becas y ayudas al estudio, así como de medidas de ahorro, eficiencia energética y de reducción de la dependencia energética del gas natural, en todo aquello en lo que, por el motivo indicado en el fundamento jurídico 2 de la sentencia (punto en el que no disentimos de esta), la impugnación no había perdido sobrevenidamente objeto.</w:t>
      </w:r>
    </w:p>
    <w:p w14:paraId="78DF56AE" w14:textId="77777777" w:rsidR="009D7677" w:rsidRDefault="009D7677" w:rsidP="009D7677">
      <w:pPr>
        <w:pStyle w:val="TextoNormal"/>
      </w:pPr>
    </w:p>
    <w:p w14:paraId="0438D53E" w14:textId="77777777" w:rsidR="009D7677" w:rsidRDefault="009D7677" w:rsidP="009D7677">
      <w:pPr>
        <w:pStyle w:val="TextoNormal"/>
      </w:pPr>
      <w:r>
        <w:t xml:space="preserve">1. </w:t>
      </w:r>
      <w:r w:rsidRPr="009D7677">
        <w:rPr>
          <w:i/>
        </w:rPr>
        <w:t>Necesidad de un control constitucional riguroso del presupuesto habilitante para aprobar decretos-leyes</w:t>
      </w:r>
    </w:p>
    <w:p w14:paraId="679B494A" w14:textId="77777777" w:rsidR="009D7677" w:rsidRDefault="009D7677" w:rsidP="009D7677">
      <w:pPr>
        <w:pStyle w:val="TextoNormal"/>
      </w:pPr>
    </w:p>
    <w:p w14:paraId="5E03E7D8" w14:textId="77777777" w:rsidR="009D7677" w:rsidRDefault="009D7677" w:rsidP="009D7677">
      <w:pPr>
        <w:pStyle w:val="TextoNormal"/>
      </w:pPr>
      <w:r>
        <w:t>En diferentes votos particulares formulados a sentencias del Tribunal que resolvían recursos de inconstitucionalidad contra decretos-leyes por incumplir los límites constitucionales hemos advertido que no compartimos la laxitud del bautizado como “control externo” del presupuesto habilitante del art. 86.1 CE, en cuanto supone ceder al Gobierno la determinación de lo que sea la “extraordinaria y urgente necesidad” y cuando la misma concurre, obviando, por lo demás, la excepcionalidad de los decretos-leyes, por cuanto la potestad legislativa se atribuye a las Cortes Generales (art. 66.1 CE).</w:t>
      </w:r>
    </w:p>
    <w:p w14:paraId="403FD388" w14:textId="77777777" w:rsidR="009D7677" w:rsidRDefault="009D7677" w:rsidP="009D7677">
      <w:pPr>
        <w:pStyle w:val="TextoNormal"/>
      </w:pPr>
    </w:p>
    <w:p w14:paraId="4CC4224C" w14:textId="77777777" w:rsidR="009D7677" w:rsidRDefault="009D7677" w:rsidP="009D7677">
      <w:pPr>
        <w:pStyle w:val="TextoNormal"/>
      </w:pPr>
      <w:r>
        <w:t>Los requisitos a los que se refiere el art. 86.1 CE no se determinan a voluntad del Gobierno, so pena de devaluar y vaciar de contenido este precepto constitucional, de modo que el empleo del decreto-ley únicamente se justifica en casos objetivos, plenamente acreditados, de auténtica urgente y extraordinaria necesidad, esto es, ante coyunturas en las que se haga presente la exigencia inexcusable de una intervención normativa inmediata, solo atendible mediante esa disposición legislativa provisional y excepcional (por todas, STC 110/2021, de 13 de mayo, FJ 9).</w:t>
      </w:r>
    </w:p>
    <w:p w14:paraId="7AF0C105" w14:textId="77777777" w:rsidR="009D7677" w:rsidRDefault="009D7677" w:rsidP="009D7677">
      <w:pPr>
        <w:pStyle w:val="TextoNormal"/>
      </w:pPr>
    </w:p>
    <w:p w14:paraId="3E8F36E4" w14:textId="77777777" w:rsidR="009D7677" w:rsidRDefault="009D7677" w:rsidP="009D7677">
      <w:pPr>
        <w:pStyle w:val="TextoNormal"/>
      </w:pPr>
      <w:r>
        <w:t xml:space="preserve">Justamente por ello, estimamos que no es aceptable, hablando en términos de un apropiado control constitucional, una interpretación laxa del presupuesto habilitante del decreto-ley (art. 86.1 CE) que lo haga prácticamente fungible con la ley, sacrificando con ello la posición institucional del Parlamento, sede natural de la soberanía nacional en la democracia representativa y por tanto de la potestad legislativa, en cuanto la ley es expresión de la voluntad popular. Por eso, el escrutinio por el Tribunal Constitucional del cumplimiento del presupuesto habilitante de la “extraordinaria y urgente necesidad” debe ser riguroso e incisivo. En efecto, si en el control constitucional de las leyes formales cabe admitir una cierta deferencia del Tribunal hacia la obra normativa del Parlamento, fundada en la posición institucional que a este le corresponde, y que se beneficia así del principio de presunción de constitucionalidad de las leyes, en el caso de la potestad del Gobierno de dictar </w:t>
      </w:r>
      <w:r>
        <w:lastRenderedPageBreak/>
        <w:t>decretos-leyes carece de justificación aplicar ese criterio, pues de hacerlo así el Tribunal estaría abdicando de su función de control de estas normas excepcionales con rango de ley, dados los estrictos límites y cautelas a los que el constituyente ha querido sujetar esa potestad gubernamental, para evitar precisamente un ejercicio abusivo o desviado de esta por el Gobierno. El uso desmedido, fraudulento o abusivo del decreto-ley comporta un grave desequilibrio de la arquitectura constitucional, fundada en la separación de poderes de manera que tal desequilibrio quebranta la propia noción de democracia parlamentaria, que por su carácter nuclear ha de presidir en todo momento la tarea del intérprete supremo de la Constitución.</w:t>
      </w:r>
    </w:p>
    <w:p w14:paraId="15CC9235" w14:textId="77777777" w:rsidR="009D7677" w:rsidRDefault="009D7677" w:rsidP="009D7677">
      <w:pPr>
        <w:pStyle w:val="TextoNormal"/>
      </w:pPr>
    </w:p>
    <w:p w14:paraId="491B0CB6" w14:textId="77777777" w:rsidR="009D7677" w:rsidRDefault="009D7677" w:rsidP="009D7677">
      <w:pPr>
        <w:pStyle w:val="TextoNormal"/>
      </w:pPr>
      <w:r>
        <w:t xml:space="preserve">2. </w:t>
      </w:r>
      <w:r w:rsidRPr="009D7677">
        <w:rPr>
          <w:i/>
        </w:rPr>
        <w:t>No cabe regular mediante decreto-ley materias que pueden serlo mediante reglamento. Necesidad de cambiar la doctrina constitucional al respecto</w:t>
      </w:r>
    </w:p>
    <w:p w14:paraId="4062ED12" w14:textId="77777777" w:rsidR="009D7677" w:rsidRDefault="009D7677" w:rsidP="009D7677">
      <w:pPr>
        <w:pStyle w:val="TextoNormal"/>
      </w:pPr>
    </w:p>
    <w:p w14:paraId="30BF5746" w14:textId="77777777" w:rsidR="009D7677" w:rsidRDefault="009D7677" w:rsidP="009D7677">
      <w:pPr>
        <w:pStyle w:val="TextoNormal"/>
      </w:pPr>
      <w:r>
        <w:t>La laxitud del control de los decretos-leyes ha conducido a este tribunal (en lo que ahora importa) a equiparar la función de esta norma excepcional no solo con la de la ley formal aprobada por el Parlamento, sino también con la del reglamento. Así ha sucedido en el caso de la presente sentencia que se apoya en la jurisprudencia constitucional que, basándose en la inexistencia de una reserva de reglamento en nuestra Constitución, ha considerado lícito regular mediante decreto-ley materias que pudieran serlo por reglamento (SSTC 329/2005, de 15 de diciembre, FJ 6; 332/2005, de 15 de diciembre, FJ 7; 12/2015, de 5 de febrero, FJ 5, y 199/2015, de 24 de septiembre, FJ 7, por todas). Conforme a tal doctrina la sentencia de la que discrepamos descarta, en su fundamento jurídico 3 D), que el hecho de que las medidas contenidas en el art. 29 del Real Decreto-ley 14/2022 hayan sido reguladas hasta ahora en una norma con rango reglamentario constituya un indicio de abuso del real decreto-ley, del que quepa inferir que el Gobierno haya excedido los límites del art. 86.1 CE.</w:t>
      </w:r>
    </w:p>
    <w:p w14:paraId="5B203C2D" w14:textId="77777777" w:rsidR="009D7677" w:rsidRDefault="009D7677" w:rsidP="009D7677">
      <w:pPr>
        <w:pStyle w:val="TextoNormal"/>
      </w:pPr>
    </w:p>
    <w:p w14:paraId="08C9722C" w14:textId="77777777" w:rsidR="009D7677" w:rsidRDefault="009D7677" w:rsidP="009D7677">
      <w:pPr>
        <w:pStyle w:val="TextoNormal"/>
      </w:pPr>
      <w:r>
        <w:t>Disentimos de esa conclusión de la sentencia y, por tanto, sostenemos la pertinencia de revisar esa jurisprudencia constitucional en la que se apoya, que consideramos desacertada, por las razones que defendimos en la deliberación y que seguidamente pasamos a exponer.</w:t>
      </w:r>
    </w:p>
    <w:p w14:paraId="7BC53F77" w14:textId="77777777" w:rsidR="009D7677" w:rsidRDefault="009D7677" w:rsidP="009D7677">
      <w:pPr>
        <w:pStyle w:val="TextoNormal"/>
      </w:pPr>
    </w:p>
    <w:p w14:paraId="5D20134E" w14:textId="77777777" w:rsidR="009D7677" w:rsidRDefault="009D7677" w:rsidP="009D7677">
      <w:pPr>
        <w:pStyle w:val="TextoNormal"/>
      </w:pPr>
      <w:r>
        <w:t>La potestad excepcional de dictar decretos-leyes que al Gobierno confiere el art. 86.1 CE, que se contrapone al modo normal de producción de normas con rango de ley mediante el procedimiento parlamentario, solo se justifica por la necesidad de dar respuesta inmediata, en situaciones de normalidad constitucional, a problemas cuya resolución no admite la inevitable demora que supondría la tramitación del procedimiento legislativo, ni siquiera acudiendo al procedimiento de urgencia. Ello excluye a su vez que el Gobierno pueda acudir al instrumento del decreto-ley para regular en una norma con valor o fuerza de ley materias que puedan serlo por reglamento (art. 97 CE), pues quien puede hacer tal cosa (en la medida en que en nuestro sistema constitucional no existe una reserva material de reglamento) es únicamente el legislador, es decir, las Cortes Generales y no el Gobierno convertido en productor de normas con fuerza de ley. El Gobierno no puede elegir, a su antojo, la fuente normativa y, amparándose en la urgencia, optar por el decreto-ley para regular materia reglamentaria por la mayor simplicidad del procedimiento de aprobación de aquel, en comparación con el procedimiento de aprobación de disposiciones generales.</w:t>
      </w:r>
    </w:p>
    <w:p w14:paraId="13F705A5" w14:textId="77777777" w:rsidR="009D7677" w:rsidRDefault="009D7677" w:rsidP="009D7677">
      <w:pPr>
        <w:pStyle w:val="TextoNormal"/>
      </w:pPr>
    </w:p>
    <w:p w14:paraId="6A6C9E1D" w14:textId="77777777" w:rsidR="009D7677" w:rsidRDefault="009D7677" w:rsidP="009D7677">
      <w:pPr>
        <w:pStyle w:val="TextoNormal"/>
      </w:pPr>
      <w:r>
        <w:lastRenderedPageBreak/>
        <w:t>Compartimos, pues, la opinión expresada por quien fuera presidenta de este tribunal, doña María Emilia Casas Bahamonde, en su atinado voto particular a la citada STC 332/2005, al que se adhirió el magistrado don Eugeni Gay Montalvo (reiterado en el voto particular que dichos magistrados formularon a la también citada STC 329/2005), que por su claridad transcribimos a continuación en sus partes esenciales:</w:t>
      </w:r>
    </w:p>
    <w:p w14:paraId="20BA00C8" w14:textId="77777777" w:rsidR="009D7677" w:rsidRDefault="009D7677" w:rsidP="009D7677">
      <w:pPr>
        <w:pStyle w:val="TextoNormal"/>
      </w:pPr>
    </w:p>
    <w:p w14:paraId="21DB4E5E" w14:textId="77777777" w:rsidR="009D7677" w:rsidRDefault="009D7677" w:rsidP="009D7677">
      <w:pPr>
        <w:pStyle w:val="TextoNormal"/>
      </w:pPr>
      <w:r>
        <w:t>“La posición defendida por la mayoría abunda en la línea de legitimar la adopción de decretos-leyes en toda circunstancia, haciéndose así cada vez más indiscernible el que, en mi opinión, es el verdadero fundamento constitucional de la legislación de urgencia por parte del Gobierno.</w:t>
      </w:r>
    </w:p>
    <w:p w14:paraId="2116C549" w14:textId="77777777" w:rsidR="009D7677" w:rsidRDefault="009D7677" w:rsidP="009D7677">
      <w:pPr>
        <w:pStyle w:val="TextoNormal"/>
      </w:pPr>
    </w:p>
    <w:p w14:paraId="3D384AAF" w14:textId="77777777" w:rsidR="009D7677" w:rsidRDefault="009D7677" w:rsidP="009D7677">
      <w:pPr>
        <w:pStyle w:val="TextoNormal"/>
      </w:pPr>
      <w:r>
        <w:t>[…]</w:t>
      </w:r>
    </w:p>
    <w:p w14:paraId="1B4AFCC4" w14:textId="77777777" w:rsidR="009D7677" w:rsidRDefault="009D7677" w:rsidP="009D7677">
      <w:pPr>
        <w:pStyle w:val="TextoNormal"/>
      </w:pPr>
    </w:p>
    <w:p w14:paraId="69928EC9" w14:textId="77777777" w:rsidR="009D7677" w:rsidRDefault="009D7677" w:rsidP="009D7677">
      <w:pPr>
        <w:pStyle w:val="TextoNormal"/>
      </w:pPr>
      <w:r>
        <w:t>No cabe, pues, recurrir a esta forma normativa para regular materia que puede ser disciplinada por reglamento. No porque deba respetarse una inexistente reserva reglamentaria, ni porque el legislador no pueda regular cualquier materia sin más límite que el respeto a la Constitución, sino, sencillamente, porque quien puede hacer tal cosa es solo el verdadero legislador, es decir, las Cortes Generales, y no el Gobierno con ocasión del ejercicio, excepcional, de facultades legislativas.</w:t>
      </w:r>
    </w:p>
    <w:p w14:paraId="6636206D" w14:textId="77777777" w:rsidR="009D7677" w:rsidRDefault="009D7677" w:rsidP="009D7677">
      <w:pPr>
        <w:pStyle w:val="TextoNormal"/>
      </w:pPr>
    </w:p>
    <w:p w14:paraId="442234AC" w14:textId="77777777" w:rsidR="009D7677" w:rsidRDefault="009D7677" w:rsidP="009D7677">
      <w:pPr>
        <w:pStyle w:val="TextoNormal"/>
      </w:pPr>
      <w:r>
        <w:t>La mayoría viene a identificar la necesidad de adoptar con urgencia una disposición normativa con la licitud constitucional de la adopción de un decreto-ley. Sin embargo, la ‘extraordinaria y urgente necesidad’ relevante a los efectos del art. 86.1 CE es solo la referida a la adopción de normas con rango o valor de ley, de manera que si a la urgencia acreditada de la adopción de una norma se provee suficientemente con la emisión de un decreto, es decir, si el Gobierno puede subvenir a la situación de urgencia con el ejercicio de facultades normativas propias, no es constitucionalmente lícito que se sirva de facultades de las que solo puede disponer cuando la intervención normativa necesaria lo es sobre un terreno reservado al legislador. A ello no puede oponerse que la ley no conoce límites frente al reglamento, pues aquí no se trata de la ley ni del legislador, sino de una norma excepcionalmente equiparada a la ley y adoptada por quien no es el titular de la potestad legislativa, sino solo de la reglamentaria, por más que en determinadas circunstancias, para cohonestar, justamente, el respeto debido a la reserva de ley con la necesidad de regular materia reservada en un plazo inferior al establecido para la elaboración de una ley formal, se le habilite para dictar normas que valen como leyes en la medida estrictamente necesaria. El Gobierno, en suma, no puede regular legislativamente cualquier materia y en cualquier circunstancia, sino solo cuando sea inevitable. En definitiva, cuando hayan de verse afectadas materias inaccesibles al reglamento y frente a las que, por tanto, no es suficiente con el ejercicio de su potestad normativa propia. […]</w:t>
      </w:r>
    </w:p>
    <w:p w14:paraId="3EB5DA9C" w14:textId="77777777" w:rsidR="009D7677" w:rsidRDefault="009D7677" w:rsidP="009D7677">
      <w:pPr>
        <w:pStyle w:val="TextoNormal"/>
      </w:pPr>
    </w:p>
    <w:p w14:paraId="057955E1" w14:textId="77777777" w:rsidR="009D7677" w:rsidRDefault="009D7677" w:rsidP="009D7677">
      <w:pPr>
        <w:pStyle w:val="TextoNormal"/>
      </w:pPr>
      <w:r>
        <w:t>En efecto, la necesidad de reconducir la jurisprudencia del Tribunal en esta materia hacia cauces estrictamente adecuados al fundamento constitucional de la legislación de urgencia es, además, tanto más necesaria cuanto dejar al arbitrio del Gobierno la decisión de regular con valor de ley una materia que admite la disciplina reglamentaria lleva aparejada la nada despreciable consecuencia de dejar asimismo a su arbitrio la decisión acerca del régimen de enjuiciamiento jurisdiccional posible de la norma adoptada, con los evidentes perjuicios que de ello pueden derivar para la defensa de los derechos de los particulares”.</w:t>
      </w:r>
    </w:p>
    <w:p w14:paraId="2B039E34" w14:textId="77777777" w:rsidR="009D7677" w:rsidRDefault="009D7677" w:rsidP="009D7677">
      <w:pPr>
        <w:pStyle w:val="TextoNormal"/>
      </w:pPr>
    </w:p>
    <w:p w14:paraId="234575FE" w14:textId="77777777" w:rsidR="009D7677" w:rsidRDefault="009D7677" w:rsidP="009D7677">
      <w:pPr>
        <w:pStyle w:val="TextoNormal"/>
      </w:pPr>
      <w:r>
        <w:lastRenderedPageBreak/>
        <w:t xml:space="preserve">Este entendimiento correcto de los límites del decreto-ley como la fuente normativa excepcional que es (si el Gobierno puede regular por reglamento una determinada materia no es constitucionalmente lícito que lo haga mediante decreto-ley) viene a ser el que se sigue también en el voto particular que formuló el magistrado don Luis Ortega Álvarez a la STC 12/2015, de 5 de febrero, y se apunta asimismo en el voto particular conjunto que formularon la magistrada doña Adela Asúa Batarrita y los magistrados don Fernando Valdés Dal-Ré y don José Antonio Xiol Ríos a la STC 199/2015, de 24 de septiembre. Es igualmente el criterio que sostiene, haciéndose eco de los votos particulares referidos, quien fuera también magistrado de este tribunal, don Manuel Aragón Reyes, en su conocida monografía sobre el uso y el abuso del decreto-ley. No se trata, pues, de una posición doctrinal aislada, como puede verse, y en la que no puede obviarse la nuclear cuestión sobre el control jurisdiccional. Si al Gobierno se reconoce, como hace la sentencia de la que disentimos, la libertad de disposición sobre la fuente normativa, la consecuencia es que, al optar por la que está dotada de fuerza de ley, se constriñe la legitimación activa para interponer el correspondiente recurso, que solo puede serlo de inconstitucionalidad </w:t>
      </w:r>
      <w:r w:rsidRPr="009D7677">
        <w:rPr>
          <w:i/>
        </w:rPr>
        <w:t>ex</w:t>
      </w:r>
      <w:r>
        <w:t xml:space="preserve"> art. 161.1 a) CE, a los órganos que señala el art. 162.1 a) CE, de forma que quedan excluidos quienes simplemente son titulares de derechos subjetivos o intereses legítimos.</w:t>
      </w:r>
    </w:p>
    <w:p w14:paraId="497EEB09" w14:textId="77777777" w:rsidR="009D7677" w:rsidRDefault="009D7677" w:rsidP="009D7677">
      <w:pPr>
        <w:pStyle w:val="TextoNormal"/>
      </w:pPr>
    </w:p>
    <w:p w14:paraId="22A7637A" w14:textId="77777777" w:rsidR="009D7677" w:rsidRDefault="009D7677" w:rsidP="009D7677">
      <w:pPr>
        <w:pStyle w:val="TextoNormal"/>
      </w:pPr>
      <w:r>
        <w:t>En definitiva, por las razones expuestas, consideramos que nuestra sentencia debió corregir la referida jurisprudencia constitucional que admite, a nuestro juicio indebidamente, la licitud de regular mediante decreto-ley materias que pueden regularse mediante el ejercicio de la potestad reglamentaria (art. 97 CE) y, en consecuencia, declarar la inconstitucionalidad y nulidad del art. 29 del Real Decreto-ley 14/2022, de 1 de agosto, en todo aquello en lo que la impugnación no había perdido sobrevenidamente objeto.</w:t>
      </w:r>
    </w:p>
    <w:p w14:paraId="371817ED" w14:textId="77777777" w:rsidR="009D7677" w:rsidRDefault="009D7677" w:rsidP="009D7677">
      <w:pPr>
        <w:pStyle w:val="TextoNormal"/>
      </w:pPr>
    </w:p>
    <w:p w14:paraId="45D7AB57" w14:textId="5C814BDA" w:rsidR="009D7677" w:rsidRDefault="009D7677" w:rsidP="009D7677">
      <w:pPr>
        <w:pStyle w:val="TextoNormal"/>
      </w:pPr>
      <w:r>
        <w:t>Madrid, a uno de febrero de dos mil veinticuatro.</w:t>
      </w:r>
    </w:p>
    <w:p w14:paraId="47E7B70D" w14:textId="1F665846" w:rsidR="009D7677" w:rsidRDefault="009D7677">
      <w:pPr>
        <w:spacing w:after="160" w:line="259" w:lineRule="auto"/>
        <w:rPr>
          <w:rFonts w:ascii="Times New Roman" w:eastAsia="Times New Roman" w:hAnsi="Times New Roman" w:cs="Times New Roman"/>
          <w:sz w:val="24"/>
          <w:szCs w:val="24"/>
          <w:lang w:eastAsia="es-ES"/>
        </w:rPr>
      </w:pPr>
      <w:r>
        <w:br w:type="page"/>
      </w:r>
    </w:p>
    <w:p w14:paraId="763EFEA0" w14:textId="77777777" w:rsidR="009D7677" w:rsidRDefault="009D7677" w:rsidP="009D7677">
      <w:pPr>
        <w:pStyle w:val="TtuloResolucin"/>
      </w:pPr>
      <w:bookmarkStart w:id="23" w:name="SENTENCIA_2024_21"/>
      <w:r>
        <w:lastRenderedPageBreak/>
        <w:t>SENTENCIA 21/2024, de 12 de febrero de 2024</w:t>
      </w:r>
    </w:p>
    <w:bookmarkEnd w:id="23"/>
    <w:p w14:paraId="149DF1DB" w14:textId="77777777" w:rsidR="009D7677" w:rsidRDefault="009D7677" w:rsidP="009D7677">
      <w:pPr>
        <w:pStyle w:val="TtuloResolucin"/>
      </w:pPr>
      <w:r>
        <w:t>Sala Segunda</w:t>
      </w:r>
    </w:p>
    <w:p w14:paraId="3CB1416D" w14:textId="77777777" w:rsidR="009D7677" w:rsidRDefault="009D7677" w:rsidP="009D7677">
      <w:pPr>
        <w:pStyle w:val="TtuloBOE"/>
      </w:pPr>
      <w:r>
        <w:t>(BOE núm. 72, de 22 de marzo de 2024)</w:t>
      </w:r>
    </w:p>
    <w:p w14:paraId="610097C2" w14:textId="77777777" w:rsidR="009D7677" w:rsidRDefault="009D7677" w:rsidP="009D7677">
      <w:pPr>
        <w:pStyle w:val="TextoNormalCentrado"/>
      </w:pPr>
      <w:r>
        <w:t>ECLI:ES:TC:2024:21</w:t>
      </w:r>
    </w:p>
    <w:p w14:paraId="4CBDF7A7" w14:textId="2ED29DE8" w:rsidR="009D7677" w:rsidRDefault="009D7677" w:rsidP="009D7677">
      <w:pPr>
        <w:pStyle w:val="TextoNormalCentrado"/>
      </w:pPr>
    </w:p>
    <w:p w14:paraId="12701481" w14:textId="77777777" w:rsidR="009D7677" w:rsidRDefault="009D7677" w:rsidP="009D7677">
      <w:pPr>
        <w:pStyle w:val="SntesisDescriptiva"/>
      </w:pPr>
      <w:r>
        <w:t>Recurso de amparo 7485-2021. Promovido por doña Judit Mora Bonfil respecto de las resoluciones dictadas por un juzgado de primera instancia e instrucción de Igualada (Barcelona) en juicio verbal de desahucio.</w:t>
      </w:r>
    </w:p>
    <w:p w14:paraId="21ADC170" w14:textId="21E2BCC2" w:rsidR="009D7677" w:rsidRDefault="009D7677" w:rsidP="009D7677">
      <w:pPr>
        <w:pStyle w:val="SntesisDescriptiva"/>
      </w:pPr>
    </w:p>
    <w:p w14:paraId="27329E45" w14:textId="77777777" w:rsidR="009D7677" w:rsidRDefault="009D7677" w:rsidP="009D7677">
      <w:pPr>
        <w:pStyle w:val="SntesisAnaltica"/>
      </w:pPr>
      <w:r>
        <w:t>Vulneración del derecho a la tutela judicial sin indefensión: emplazamiento mediante edictos llevado a cabo sin agotar las posibilidades de notificación personal (STC 94/2021).</w:t>
      </w:r>
    </w:p>
    <w:p w14:paraId="3EEB9D51" w14:textId="6FFF10C1" w:rsidR="009D7677" w:rsidRDefault="009D7677" w:rsidP="009D7677">
      <w:pPr>
        <w:pStyle w:val="SntesisAnaltica"/>
      </w:pPr>
    </w:p>
    <w:p w14:paraId="79CBE956" w14:textId="4E730DDE" w:rsidR="009D7677" w:rsidRDefault="009D7677" w:rsidP="009D7677">
      <w:pPr>
        <w:pStyle w:val="Extracto"/>
      </w:pPr>
      <w:r>
        <w:t>1.</w:t>
      </w:r>
      <w:r>
        <w:tab/>
        <w:t>Aplica la doctrina relativa a la vulneración de la tutela judicial efectiva, toda vez que el órgano judicial acude a la comunicación edictal sin haber agotado previamente las posibilidades razonables de averiguación del domicilio real del recurrente para proceder a la notificación personal, en los procesos arrendaticios (STC 94/2021) [FJ 4].</w:t>
      </w:r>
    </w:p>
    <w:p w14:paraId="0FCF81C0" w14:textId="77777777" w:rsidR="009D7677" w:rsidRDefault="009D7677" w:rsidP="009D7677">
      <w:pPr>
        <w:pStyle w:val="Extracto"/>
      </w:pPr>
    </w:p>
    <w:p w14:paraId="7AB072F9" w14:textId="77777777" w:rsidR="009D7677" w:rsidRDefault="009D7677" w:rsidP="009D7677">
      <w:pPr>
        <w:pStyle w:val="Extracto"/>
      </w:pPr>
    </w:p>
    <w:p w14:paraId="42E7BE22" w14:textId="77777777" w:rsidR="009D7677" w:rsidRDefault="009D7677" w:rsidP="009D7677">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1BC70E25" w14:textId="5FF486E4" w:rsidR="009D7677" w:rsidRDefault="009D7677" w:rsidP="009D7677">
      <w:pPr>
        <w:pStyle w:val="TextoNormal"/>
      </w:pPr>
    </w:p>
    <w:p w14:paraId="0A22AC79" w14:textId="77777777" w:rsidR="009D7677" w:rsidRDefault="009D7677" w:rsidP="009D7677">
      <w:pPr>
        <w:pStyle w:val="TextoNormalCentrado"/>
        <w:keepNext/>
      </w:pPr>
      <w:r>
        <w:t>EN NOMBRE DEL REY</w:t>
      </w:r>
    </w:p>
    <w:p w14:paraId="2160B0D6" w14:textId="156CCDDF" w:rsidR="009D7677" w:rsidRDefault="009D7677" w:rsidP="009D7677">
      <w:pPr>
        <w:pStyle w:val="TextoNormalCentrado"/>
        <w:keepNext/>
      </w:pPr>
    </w:p>
    <w:p w14:paraId="691B9867" w14:textId="77777777" w:rsidR="009D7677" w:rsidRDefault="009D7677" w:rsidP="009D7677">
      <w:pPr>
        <w:pStyle w:val="TextoNormalCentrado"/>
        <w:keepNext/>
      </w:pPr>
    </w:p>
    <w:p w14:paraId="275D6619" w14:textId="77777777" w:rsidR="009D7677" w:rsidRDefault="009D7677" w:rsidP="009D7677">
      <w:pPr>
        <w:pStyle w:val="TextoNormal"/>
      </w:pPr>
      <w:r>
        <w:t>la siguiente</w:t>
      </w:r>
    </w:p>
    <w:p w14:paraId="3638DEFB" w14:textId="3ECF0772" w:rsidR="009D7677" w:rsidRDefault="009D7677" w:rsidP="009D7677">
      <w:pPr>
        <w:pStyle w:val="TextoNormal"/>
      </w:pPr>
    </w:p>
    <w:p w14:paraId="72459EC8" w14:textId="77777777" w:rsidR="009D7677" w:rsidRDefault="009D7677" w:rsidP="009D7677">
      <w:pPr>
        <w:pStyle w:val="TextoNormalCentrado"/>
        <w:keepNext/>
      </w:pPr>
      <w:r>
        <w:t>SENTENCIA</w:t>
      </w:r>
    </w:p>
    <w:p w14:paraId="6972F681" w14:textId="7A67917F" w:rsidR="009D7677" w:rsidRDefault="009D7677" w:rsidP="009D7677">
      <w:pPr>
        <w:pStyle w:val="TextoNormalCentrado"/>
        <w:keepNext/>
      </w:pPr>
    </w:p>
    <w:p w14:paraId="658263E6" w14:textId="77777777" w:rsidR="009D7677" w:rsidRDefault="009D7677" w:rsidP="009D7677">
      <w:pPr>
        <w:pStyle w:val="TextoNormal"/>
      </w:pPr>
      <w:r>
        <w:t>En el recurso de amparo núm. 7485-2021, promovido por doña Judit Mora Bonfil, representada por el procurador de los tribunales don Antonio Nicolás Vallellano y asistida por el letrado don Ramón Font Rodríguez, contra la providencia de 15 de octubre de 2021, dictada por el Juzgado de Primera Instancia e Instrucción núm. 1 de Igualada. Han intervenido la Sociedad de Gestión de Activos Procedentes de la Reestructuración Bancaria, S.A. (SAREB), representada por el procurador de los tribunales don Mauricio Gordillo Alcalá y asistida por el letrado don Marc Vallès Fontanals, y el Ministerio Fiscal. Ha sido ponente el magistrado don Ramón Sáez Valcárcel.</w:t>
      </w:r>
    </w:p>
    <w:p w14:paraId="1F580BD4" w14:textId="5AE02F45" w:rsidR="009D7677" w:rsidRDefault="009D7677" w:rsidP="009D7677">
      <w:pPr>
        <w:pStyle w:val="TextoNormal"/>
      </w:pPr>
    </w:p>
    <w:p w14:paraId="5FE26B98" w14:textId="77777777" w:rsidR="009D7677" w:rsidRDefault="009D7677" w:rsidP="009D7677">
      <w:pPr>
        <w:pStyle w:val="TextoNormalNegritaCentrado"/>
        <w:keepNext/>
      </w:pPr>
      <w:r>
        <w:t>I. Antecedentes</w:t>
      </w:r>
    </w:p>
    <w:p w14:paraId="284751AB" w14:textId="5314CBFC" w:rsidR="009D7677" w:rsidRDefault="009D7677" w:rsidP="009D7677">
      <w:pPr>
        <w:pStyle w:val="TextoNormalNegritaCentrado"/>
        <w:keepNext/>
      </w:pPr>
    </w:p>
    <w:p w14:paraId="42B8586E" w14:textId="007F41B4" w:rsidR="009D7677" w:rsidRDefault="009D7677" w:rsidP="009D7677">
      <w:pPr>
        <w:pStyle w:val="TextoNormal"/>
      </w:pPr>
      <w:r w:rsidRPr="009D7677">
        <w:rPr>
          <w:rStyle w:val="NumeroAFNegritaCaracter"/>
        </w:rPr>
        <w:t>1</w:t>
      </w:r>
      <w:r>
        <w:t>. Por escrito registrado en este tribunal el día 24 de noviembre de 2021, doña Judit Mora Bonfil, representada por el procurador de los tribunales don Antonio Nicolás Vallellano y bajo la asistencia del letrado don Ramón Font Rodríguez, interpuso recurso de am</w:t>
      </w:r>
      <w:r>
        <w:lastRenderedPageBreak/>
        <w:t>paro contra la resolución a la que se hace referencia en el encabezamiento, dictada por el Juzgado de Primera Instancia e Instrucción núm. 1 de Igualada en el juicio verbal núm. 741-2020, alegando la vulneración del derecho a la tutela judicial efectiva sin indefensión (art. 24.1 CE).</w:t>
      </w:r>
    </w:p>
    <w:p w14:paraId="3090EC23" w14:textId="77777777" w:rsidR="009D7677" w:rsidRDefault="009D7677" w:rsidP="009D7677">
      <w:pPr>
        <w:pStyle w:val="TextoNormal"/>
      </w:pPr>
    </w:p>
    <w:p w14:paraId="2D7E0CE2" w14:textId="77777777" w:rsidR="009D7677" w:rsidRDefault="009D7677" w:rsidP="009D7677">
      <w:pPr>
        <w:pStyle w:val="TextoNormal"/>
      </w:pPr>
      <w:r w:rsidRPr="009D7677">
        <w:rPr>
          <w:rStyle w:val="NumeroAFNegritaCaracter"/>
        </w:rPr>
        <w:t>2</w:t>
      </w:r>
      <w:r>
        <w:t>. Los antecedentes relevantes para resolver el recurso son los siguientes:</w:t>
      </w:r>
    </w:p>
    <w:p w14:paraId="2121C486" w14:textId="77777777" w:rsidR="009D7677" w:rsidRDefault="009D7677" w:rsidP="009D7677">
      <w:pPr>
        <w:pStyle w:val="TextoNormal"/>
      </w:pPr>
    </w:p>
    <w:p w14:paraId="3DAE5F5A" w14:textId="77777777" w:rsidR="009D7677" w:rsidRDefault="009D7677" w:rsidP="009D7677">
      <w:pPr>
        <w:pStyle w:val="TextoNormal"/>
      </w:pPr>
      <w:r>
        <w:t>a) La recurrente en amparo, doña Judit Mora Bonfil, otorgó contrato de arrendamiento de vivienda el 11 de noviembre de 2013 con la propietaria del inmueble, posteriormente ejecutada, doña María Teresa Mora Sanahuja.</w:t>
      </w:r>
    </w:p>
    <w:p w14:paraId="6712137C" w14:textId="77777777" w:rsidR="009D7677" w:rsidRDefault="009D7677" w:rsidP="009D7677">
      <w:pPr>
        <w:pStyle w:val="TextoNormal"/>
      </w:pPr>
    </w:p>
    <w:p w14:paraId="6D0BC37C" w14:textId="77777777" w:rsidR="009D7677" w:rsidRDefault="009D7677" w:rsidP="009D7677">
      <w:pPr>
        <w:pStyle w:val="TextoNormal"/>
      </w:pPr>
      <w:r>
        <w:t>La finca arrendada fue adquirida por la mercantil SAREB en virtud de decreto de adjudicación de 9 de junio de 2017 dictado en procedimiento de ejecución hipotecaria, si bien por auto de 28 de septiembre de 2018 el Juzgado de Primera Instancia e Instrucción núm. 5 de Igualada declaró (en pieza de oposición a la ejecución del art. 675 de la Ley de enjuiciamiento civil, que regula la posesión judicial y ocupantes del inmueble en procedimientos hipotecarios) que la recurrente en amparo tenía derecho a permanecer en el inmueble arrendado.</w:t>
      </w:r>
    </w:p>
    <w:p w14:paraId="6BBED496" w14:textId="77777777" w:rsidR="009D7677" w:rsidRDefault="009D7677" w:rsidP="009D7677">
      <w:pPr>
        <w:pStyle w:val="TextoNormal"/>
      </w:pPr>
    </w:p>
    <w:p w14:paraId="4DA1711F" w14:textId="77777777" w:rsidR="009D7677" w:rsidRDefault="009D7677" w:rsidP="009D7677">
      <w:pPr>
        <w:pStyle w:val="TextoNormal"/>
      </w:pPr>
      <w:r>
        <w:t>b) El Juzgado de Primera Instancia e Instrucción núm. 5 de Igualada dictó auto el 28 de septiembre de 2018, dentro de la pieza de oposición a la ejecución núm. 736-2011, que se estaba tramitando ante ese juzgado, en el que se declaraba que la ahora recurrente, doña Judit Mora Bonfil, tenía derecho a permanecer en el inmueble sito en la calle 11 de septiembre, núm. 31 A, de Piera (Barcelona).</w:t>
      </w:r>
    </w:p>
    <w:p w14:paraId="7D0FCC21" w14:textId="77777777" w:rsidR="009D7677" w:rsidRDefault="009D7677" w:rsidP="009D7677">
      <w:pPr>
        <w:pStyle w:val="TextoNormal"/>
      </w:pPr>
    </w:p>
    <w:p w14:paraId="456273B9" w14:textId="77777777" w:rsidR="009D7677" w:rsidRDefault="009D7677" w:rsidP="009D7677">
      <w:pPr>
        <w:pStyle w:val="TextoNormal"/>
      </w:pPr>
      <w:r>
        <w:t>c) Mediante escrito fechado el 31 de octubre de 2020, la mercantil SAREB formuló demanda de juicio verbal de desahucio por falta de pago de la vivienda indicada y reclamación de rentas vencidas y no pagadas contra doña Judit Mora Bonfill ante los juzgados de Igualada.</w:t>
      </w:r>
    </w:p>
    <w:p w14:paraId="7219AF53" w14:textId="77777777" w:rsidR="009D7677" w:rsidRDefault="009D7677" w:rsidP="009D7677">
      <w:pPr>
        <w:pStyle w:val="TextoNormal"/>
      </w:pPr>
    </w:p>
    <w:p w14:paraId="4C66A45E" w14:textId="77777777" w:rsidR="009D7677" w:rsidRDefault="009D7677" w:rsidP="009D7677">
      <w:pPr>
        <w:pStyle w:val="TextoNormal"/>
      </w:pPr>
      <w:r>
        <w:t>En la demanda se indicó como domicilio de la demandada el de la finca objeto de arrendamiento, si bien en el quinto otrosí digo de la demanda se interesó subsidiariamente “y para el supuesto que resultase negativa la notificación de la presente demanda en el domicilio arrendado, previo a la notificación por edictos, y al amparo de lo que establece el artículo 156 de la LEC, […] se proceda a la averiguación de domicilio, y a tal efecto, se solicita que el/la letrado/a de la administración de justicia del juzgado, que por turno de reparto corresponda, se sirva de los medios oportunos para averiguar el domicilio de doña Judit Mora Bonfil, mayor de edad y con DNI 46780395M, a través del punto neutro judicial, y en su defecto, dirigiéndose a los Organismos (AEAT, DGT, CNP, SEPE, TGSS, Catastro, etc.), Colegios profesionales, entidades y empresas que puedan ser precisos para conocer su domicilio a efecto de notificaciones”.</w:t>
      </w:r>
    </w:p>
    <w:p w14:paraId="149BC184" w14:textId="77777777" w:rsidR="009D7677" w:rsidRDefault="009D7677" w:rsidP="009D7677">
      <w:pPr>
        <w:pStyle w:val="TextoNormal"/>
      </w:pPr>
    </w:p>
    <w:p w14:paraId="66A07036" w14:textId="77777777" w:rsidR="009D7677" w:rsidRDefault="009D7677" w:rsidP="009D7677">
      <w:pPr>
        <w:pStyle w:val="TextoNormal"/>
      </w:pPr>
      <w:r>
        <w:t>d) Habiendo correspondido el asunto al Juzgado de Primera Instancia e Instrucción núm. 1 de Igualada, por decreto de 3 de diciembre de 2020, se incoó el juicio verbal con núm. 741-2020. En esa resolución se acordó, asimismo, entre otros pronunciamientos, requerir a la demandada, ahora recurrente, para que en el plazo de diez días desalojara el inmueble o pagara la renta y, en su caso, para que formalizara su oposición; advirtiéndole de que, si no atendiera al requerimiento de pago o no compareciera para oponerse, se fija</w:t>
      </w:r>
      <w:r>
        <w:lastRenderedPageBreak/>
        <w:t>ba como fecha del lanzamiento el día 29 de abril de 2021. En el decreto se establecía el emplazamiento de la parte demandada en la vivienda o local arrendado.</w:t>
      </w:r>
    </w:p>
    <w:p w14:paraId="2524CBCC" w14:textId="77777777" w:rsidR="009D7677" w:rsidRDefault="009D7677" w:rsidP="009D7677">
      <w:pPr>
        <w:pStyle w:val="TextoNormal"/>
      </w:pPr>
    </w:p>
    <w:p w14:paraId="3FB1EA44" w14:textId="77777777" w:rsidR="009D7677" w:rsidRDefault="009D7677" w:rsidP="009D7677">
      <w:pPr>
        <w:pStyle w:val="TextoNormal"/>
      </w:pPr>
      <w:r>
        <w:t>e) En esa misma fecha se libró exhorto al Juzgado de Paz de Piera a efectos de la entrega de la cédula de requerimiento y citación de la demandada, con copia de la demanda y demás documentos. El día 14 de diciembre de 2020, a las 10:50 horas, el Juzgado de Paz realizó un primer intento de notificación, con resultado negativo, aclarándose en el acta correspondiente: “No se encuentra a nadie […] Ni vecinos a quien preguntar. Se deja aviso urgente, para que se persone en el juzgado. No se presenta”. El día 21 de diciembre de 2020, a las 12:45 horas, se llevó a cabo un nuevo intento, que también resultó infructuoso, anotándose en el acta: “No he podido practicar la diligencia que se interesa por […] No encuentro a nadie. Vuelvo a dejar aviso. No se persona”.</w:t>
      </w:r>
    </w:p>
    <w:p w14:paraId="4D640537" w14:textId="77777777" w:rsidR="009D7677" w:rsidRDefault="009D7677" w:rsidP="009D7677">
      <w:pPr>
        <w:pStyle w:val="TextoNormal"/>
      </w:pPr>
    </w:p>
    <w:p w14:paraId="498B7C2E" w14:textId="77777777" w:rsidR="009D7677" w:rsidRDefault="009D7677" w:rsidP="009D7677">
      <w:pPr>
        <w:pStyle w:val="TextoNormal"/>
      </w:pPr>
      <w:r>
        <w:t>f) Por diligencia de ordenación de 22 de enero de 2021, el Juzgado de Primera Instancia e Instrucción núm. 1 de Igualada consideró que, “[h]abiendo recibido exhorto del juzgado de paz de Piera […] con resultado negativo por no encontrar a nadie, dejar aviso y no personarse la demandada”, procedía la notificación a la demandada por edictos.</w:t>
      </w:r>
    </w:p>
    <w:p w14:paraId="1DB1C7F7" w14:textId="77777777" w:rsidR="009D7677" w:rsidRDefault="009D7677" w:rsidP="009D7677">
      <w:pPr>
        <w:pStyle w:val="TextoNormal"/>
      </w:pPr>
    </w:p>
    <w:p w14:paraId="614387B5" w14:textId="77777777" w:rsidR="009D7677" w:rsidRDefault="009D7677" w:rsidP="009D7677">
      <w:pPr>
        <w:pStyle w:val="TextoNormal"/>
      </w:pPr>
      <w:r>
        <w:t>g) Mediante decreto de 15 de febrero de 2021 se declaró finalizado el juicio verbal de desahucio, confirmando la fecha de 29 de abril de 2021, a las 12:00 horas, para la práctica del lanzamiento.</w:t>
      </w:r>
    </w:p>
    <w:p w14:paraId="5EA46F76" w14:textId="77777777" w:rsidR="009D7677" w:rsidRDefault="009D7677" w:rsidP="009D7677">
      <w:pPr>
        <w:pStyle w:val="TextoNormal"/>
      </w:pPr>
    </w:p>
    <w:p w14:paraId="3FC13CF5" w14:textId="77777777" w:rsidR="009D7677" w:rsidRDefault="009D7677" w:rsidP="009D7677">
      <w:pPr>
        <w:pStyle w:val="TextoNormal"/>
      </w:pPr>
      <w:r>
        <w:t>Intentada la notificación personal de dicha resolución a la parte demandada mediante correo certificado dirigido a la vivienda objeto de arrendamiento tampoco pudo formalizarse, acordándose por diligencia de ordenación de 4 de marzo de 2021 su notificación por edictos.</w:t>
      </w:r>
    </w:p>
    <w:p w14:paraId="50D272D4" w14:textId="77777777" w:rsidR="009D7677" w:rsidRDefault="009D7677" w:rsidP="009D7677">
      <w:pPr>
        <w:pStyle w:val="TextoNormal"/>
      </w:pPr>
    </w:p>
    <w:p w14:paraId="5DB8CFA5" w14:textId="77777777" w:rsidR="009D7677" w:rsidRDefault="009D7677" w:rsidP="009D7677">
      <w:pPr>
        <w:pStyle w:val="TextoNormal"/>
      </w:pPr>
      <w:r>
        <w:t>h) La parte demandante promovió incidente excepcional de nulidad de actuaciones invocando la doctrina del Tribunal Constitucional relativa a la preferencia de la notificación personal y la posibilidad de acudir a la edictal como último mecanismo, tras agotar todos los medios de averiguación domiciliaria al alcance de los organismos judiciales, pues, según se recoge en el escrito de promoción del incidente, “la incorrecta práctica del sistema de notificaciones, citaciones y emplazamientos, supone una vulneración al derecho a la tutela judicial efectiva, por cuanto impide ejercitar los derechos procesales que ostente el interesado”, solicitando que se declarara la nulidad de la diligencia de ordenación de 22 de enero de 2021, del decreto de 15 de febrero de 2021 y actuaciones subsiguientes.</w:t>
      </w:r>
    </w:p>
    <w:p w14:paraId="04B02B66" w14:textId="77777777" w:rsidR="009D7677" w:rsidRDefault="009D7677" w:rsidP="009D7677">
      <w:pPr>
        <w:pStyle w:val="TextoNormal"/>
      </w:pPr>
    </w:p>
    <w:p w14:paraId="73CAFEE1" w14:textId="77777777" w:rsidR="009D7677" w:rsidRDefault="009D7677" w:rsidP="009D7677">
      <w:pPr>
        <w:pStyle w:val="TextoNormal"/>
      </w:pPr>
      <w:r>
        <w:t>i) Por providencia de 28 de abril de 2021 se inadmitió a trámite el incidente planteado pues, según sostenía el juzgado, “la parte pudo haber recurrido las resoluciones cuya nulidad interesa y no lo hizo, por lo que se aprecia un ánimo dilatorio del procedimiento porque no formula discusión sobre el fondo del asunto, no se le ha causado indefensión y es la primera vez que introduce la cuestión en el procedimiento”.</w:t>
      </w:r>
    </w:p>
    <w:p w14:paraId="2FE82A2A" w14:textId="77777777" w:rsidR="009D7677" w:rsidRDefault="009D7677" w:rsidP="009D7677">
      <w:pPr>
        <w:pStyle w:val="TextoNormal"/>
      </w:pPr>
    </w:p>
    <w:p w14:paraId="2121AF07" w14:textId="77777777" w:rsidR="009D7677" w:rsidRDefault="009D7677" w:rsidP="009D7677">
      <w:pPr>
        <w:pStyle w:val="TextoNormal"/>
      </w:pPr>
      <w:r>
        <w:t>j) El 29 de abril de 2021 se procedió al lanzamiento de la vivienda no encontrándose nadie en su interior.</w:t>
      </w:r>
    </w:p>
    <w:p w14:paraId="6C2BF8BF" w14:textId="77777777" w:rsidR="009D7677" w:rsidRDefault="009D7677" w:rsidP="009D7677">
      <w:pPr>
        <w:pStyle w:val="TextoNormal"/>
      </w:pPr>
    </w:p>
    <w:p w14:paraId="076449FE" w14:textId="77777777" w:rsidR="009D7677" w:rsidRDefault="009D7677" w:rsidP="009D7677">
      <w:pPr>
        <w:pStyle w:val="TextoNormal"/>
      </w:pPr>
      <w:r>
        <w:t>k) Mediante escrito fechado el 2 de septiembre de 2021 se presentó por la mercantil SAREB demanda de ejecución contra doña Judit Mora Bonfil, la ahora recurrente.</w:t>
      </w:r>
    </w:p>
    <w:p w14:paraId="52F56D84" w14:textId="77777777" w:rsidR="009D7677" w:rsidRDefault="009D7677" w:rsidP="009D7677">
      <w:pPr>
        <w:pStyle w:val="TextoNormal"/>
      </w:pPr>
    </w:p>
    <w:p w14:paraId="6280403A" w14:textId="77777777" w:rsidR="009D7677" w:rsidRDefault="009D7677" w:rsidP="009D7677">
      <w:pPr>
        <w:pStyle w:val="TextoNormal"/>
      </w:pPr>
      <w:r>
        <w:t>l) Por auto de 21 de septiembre de 2021 se dictó orden general de ejecución y despacho de la misma, acordándose por diligencia de ordenación, de la misma fecha, la consulta telemática a través del punto neutro judicial al objeto de la averiguar del domicilio actual de la ejecutada, localizándose como tal uno sito en la calle Folch i Torres, núm. 52, de Piera, donde se procedió a notificar la resolución mencionada.</w:t>
      </w:r>
    </w:p>
    <w:p w14:paraId="6B8511E6" w14:textId="77777777" w:rsidR="009D7677" w:rsidRDefault="009D7677" w:rsidP="009D7677">
      <w:pPr>
        <w:pStyle w:val="TextoNormal"/>
      </w:pPr>
    </w:p>
    <w:p w14:paraId="036FEBE7" w14:textId="77777777" w:rsidR="009D7677" w:rsidRDefault="009D7677" w:rsidP="009D7677">
      <w:pPr>
        <w:pStyle w:val="TextoNormal"/>
      </w:pPr>
      <w:r>
        <w:t>m) Comparecida doña Judit Mora Bonfil ante el juzgado el día 24 de septiembre de 2021 solicitó la suspensión del procedimiento en tanto se tramitaba el reconocimiento del beneficio de asistencia jurídica gratuita y se designaba abogado y procurador de oficio; suspensión que fue acordada por decreto de 28 de septiembre de 2021.</w:t>
      </w:r>
    </w:p>
    <w:p w14:paraId="27553F86" w14:textId="77777777" w:rsidR="009D7677" w:rsidRDefault="009D7677" w:rsidP="009D7677">
      <w:pPr>
        <w:pStyle w:val="TextoNormal"/>
      </w:pPr>
    </w:p>
    <w:p w14:paraId="78906A66" w14:textId="77777777" w:rsidR="009D7677" w:rsidRDefault="009D7677" w:rsidP="009D7677">
      <w:pPr>
        <w:pStyle w:val="TextoNormal"/>
      </w:pPr>
      <w:r>
        <w:t>n) El 14 de octubre de 2021 doña Judit Mora Bonfil promovió un incidente de nulidad de actuaciones “contra la totalidad del procedimiento y el decreto de 15 de febrero de 2021 dictado en el juicio verbal [741/2020] y las actuaciones subsiguientes y consecuentes”, alegando falta o deficiente realización de su emplazamiento personal, con vulneración del derecho a la tutela judicial efectiva sin indefensión (art. 24.1 CE). La promovente alegaba en su escrito que tuvo conocimiento del procedimiento a raíz del embargo de una cuenta bancaria de la que era titular y que esa situación era atribuible a la mala fe de la demandante. En cuanto a esta última afirmación, doña Judit Mora Bonfil relató cómo el día 6 de julio de 2020 hizo entrega de las llaves y de la posesión de la vivienda objeto de la acción de desahucio al representante de una mercantil que a su vez intervenía en representación de SAREB, cambiando de domicilio dentro de la misma localidad. También afirmaba haber mantenido conversaciones con una intermediaria de SAREB, con quien pactó la condonación de la deuda por las mejoras realizadas en la finca. Finalmente, reiteraba que no había tenido ninguna posibilidad de enterarse de la existencia de la causa dirigida contra ella ya que no residía en la vivienda en cuestión, siendo esa circunstancia sabida por la parte demandante.</w:t>
      </w:r>
    </w:p>
    <w:p w14:paraId="01157FFA" w14:textId="77777777" w:rsidR="009D7677" w:rsidRDefault="009D7677" w:rsidP="009D7677">
      <w:pPr>
        <w:pStyle w:val="TextoNormal"/>
      </w:pPr>
    </w:p>
    <w:p w14:paraId="3B56478F" w14:textId="77777777" w:rsidR="009D7677" w:rsidRDefault="009D7677" w:rsidP="009D7677">
      <w:pPr>
        <w:pStyle w:val="TextoNormal"/>
      </w:pPr>
      <w:r>
        <w:t>Estimaba doña Judit Mora Bonfil que, de acuerdo con lo dispuesto en el art. 156.1 de la Ley de enjuiciamiento civil (LEC), confirmado que en el domicilio facilitado por la demandante no era localizada, debería haberse acudido a la averiguación domiciliaria a través del punto neutro judicial antes de optar por la notificación por edictos, “todo ello en aras a un juicio con todas las garantías y evitar la indefensión que ha sufrido”. Sus argumentos, aducía, venían sustentados por la doctrina contenida en la STC 176/2009, de 16 de julio.</w:t>
      </w:r>
    </w:p>
    <w:p w14:paraId="50BBD0C2" w14:textId="77777777" w:rsidR="009D7677" w:rsidRDefault="009D7677" w:rsidP="009D7677">
      <w:pPr>
        <w:pStyle w:val="TextoNormal"/>
      </w:pPr>
    </w:p>
    <w:p w14:paraId="4FFE9EB9" w14:textId="30A0EC1B" w:rsidR="009D7677" w:rsidRDefault="009D7677" w:rsidP="009D7677">
      <w:pPr>
        <w:pStyle w:val="TextoNormal"/>
      </w:pPr>
      <w:r>
        <w:t>o) Por providencia de 15 de octubre de 2021 se decidió que no había lugar a tramitar el incidente de nulidad de actuaciones “por su carácter excepcional, habiéndose dictado resolución que puso fin al procedimiento y constando en autos la tramitación conforme a derecho en relación a las notificaciones y emplazamientos que regula la Ley de Enjuiciamiento Civil para el Juicio Verbal de desahucio, y debiendo estarse a la providencia de fecha 28/04/2021”.</w:t>
      </w:r>
    </w:p>
    <w:p w14:paraId="02A8714F" w14:textId="77777777" w:rsidR="009D7677" w:rsidRDefault="009D7677" w:rsidP="009D7677">
      <w:pPr>
        <w:pStyle w:val="TextoNormal"/>
      </w:pPr>
    </w:p>
    <w:p w14:paraId="5F6A573B" w14:textId="77777777" w:rsidR="009D7677" w:rsidRDefault="009D7677" w:rsidP="009D7677">
      <w:pPr>
        <w:pStyle w:val="TextoNormal"/>
      </w:pPr>
      <w:r w:rsidRPr="009D7677">
        <w:rPr>
          <w:rStyle w:val="NumeroAFNegritaCaracter"/>
        </w:rPr>
        <w:t>3</w:t>
      </w:r>
      <w:r>
        <w:t>. El día 24 de noviembre de 2021 tuvo entrada en el registro del Tribunal Constitucional la demanda de amparo formulada por doña Judit Mora Bonfil denunciando que la resolución judicial impugnada vulneraba su derecho fundamental a la tutela judicial efectiva y el derecho a un procedimiento con las debidas garantías [art. 24.1 y 2 CE y art. 6 del Con</w:t>
      </w:r>
      <w:r>
        <w:lastRenderedPageBreak/>
        <w:t>venio europeo de derechos humanos (CEDH)] por la falta de diligencia del órgano judicial en la tramitación del juicio verbal de desahucio, al haber incumplido su obligación de procurar la notificación personal de la demandada y, en su caso, realizar las labores de averiguación que se contemplan en el art. 156 LEC antes de acudir a la citación por edictos. Dicho comportamiento, sostiene, le causó indefensión. Destaca la existencia de numerosos pronunciamientos del Tribunal Constitucional relativos a los actos de comunicación personal en procesos arrendaticios, como el presente, donde se insiste en que sobre los órganos judiciales no solo recae el deber de velar por la correcta ejecución de los actos de comunicación procesal, sino también el de asegurarse que dichos actos sirven al propósito de garantizar que la parte sea oída en el proceso (con cita, entre otras, de las SSTC 62/2020, de 15 de junio, y 20/2021, de 15 de febrero).</w:t>
      </w:r>
    </w:p>
    <w:p w14:paraId="7FA1AEFA" w14:textId="77777777" w:rsidR="009D7677" w:rsidRDefault="009D7677" w:rsidP="009D7677">
      <w:pPr>
        <w:pStyle w:val="TextoNormal"/>
      </w:pPr>
    </w:p>
    <w:p w14:paraId="7F946C60" w14:textId="77777777" w:rsidR="009D7677" w:rsidRDefault="009D7677" w:rsidP="009D7677">
      <w:pPr>
        <w:pStyle w:val="TextoNormal"/>
      </w:pPr>
      <w:r>
        <w:t>De acuerdo con lo precedente, el Juzgado de Primera Instancia e Instrucción núm. 1 de Igualada debería haber intentado emplazar a la demandada al juicio verbal de forma personal, en el domicilio conocido por tratarse de la vivienda arrendada, y, de obtener un resultado negativo, debería haber agotado los medios de averiguación domiciliaria que se contemplan en la legislación procesal antes de efectuar dicha comunicación por medio de edictos. La respuesta que el juzgado proporcionó en su providencia de 15 de octubre de 2021, subraya la recurrente, obvió la doctrina constitucional sobre la materia al no dedicar atención alguna a su aplicación en este asunto.</w:t>
      </w:r>
    </w:p>
    <w:p w14:paraId="55CBED1A" w14:textId="77777777" w:rsidR="009D7677" w:rsidRDefault="009D7677" w:rsidP="009D7677">
      <w:pPr>
        <w:pStyle w:val="TextoNormal"/>
      </w:pPr>
    </w:p>
    <w:p w14:paraId="57B47032" w14:textId="53BE5E3E" w:rsidR="009D7677" w:rsidRDefault="009D7677" w:rsidP="009D7677">
      <w:pPr>
        <w:pStyle w:val="TextoNormal"/>
      </w:pPr>
      <w:r>
        <w:t>Por todo ello, doña Judit Mora Bonfil solicita la nulidad de la providencia de 15 de octubre de 2021. Al objeto de cumplimentar la doctrina constitucional expuesta y restablecer su derecho, esa declaración de nulidad alcanzará a todo lo actuado en el juicio verbal núm. 741-2020 desde la diligencia de ordenación de 22 de enero de 2021, en la que se dispuso la notificación por edictos, comprendido el decreto de 15 de febrero de 2021, por el que se daba por finalizado dicho procedimiento declarativo, y, por igual, a todas las diligencias adoptadas en el subsiguiente procedimiento de ejecución núm. 741-2021.</w:t>
      </w:r>
    </w:p>
    <w:p w14:paraId="29D47508" w14:textId="77777777" w:rsidR="009D7677" w:rsidRDefault="009D7677" w:rsidP="009D7677">
      <w:pPr>
        <w:pStyle w:val="TextoNormal"/>
      </w:pPr>
    </w:p>
    <w:p w14:paraId="7DDE7C5D" w14:textId="0B665975" w:rsidR="009D7677" w:rsidRDefault="009D7677" w:rsidP="009D7677">
      <w:pPr>
        <w:pStyle w:val="TextoNormal"/>
      </w:pPr>
      <w:r w:rsidRPr="009D7677">
        <w:rPr>
          <w:rStyle w:val="NumeroAFNegritaCaracter"/>
        </w:rPr>
        <w:t>4</w:t>
      </w:r>
      <w:r>
        <w:t>. Mediante diligencia de ordenación de 27 de septiembre de 2022 la Sección Cuarta de este Tribunal Constitucional acordó dirigir atenta comunicación al Juzgado de Primera Instancia e Instrucción núm. 1 de Igualada a fin de que, a la mayor brevedad posible, se remitiera certificación o fotocopia adverada de las actuaciones íntegras correspondientes al juicio verbal de desahucio por falta de pago núm. 741-2020 y de ejecución de títulos judiciales núm. 741-2021.</w:t>
      </w:r>
    </w:p>
    <w:p w14:paraId="5DF7C839" w14:textId="77777777" w:rsidR="009D7677" w:rsidRDefault="009D7677" w:rsidP="009D7677">
      <w:pPr>
        <w:pStyle w:val="TextoNormal"/>
      </w:pPr>
    </w:p>
    <w:p w14:paraId="3E965328" w14:textId="77777777" w:rsidR="009D7677" w:rsidRDefault="009D7677" w:rsidP="009D7677">
      <w:pPr>
        <w:pStyle w:val="TextoNormal"/>
      </w:pPr>
      <w:r w:rsidRPr="009D7677">
        <w:rPr>
          <w:rStyle w:val="NumeroAFNegritaCaracter"/>
        </w:rPr>
        <w:t>5</w:t>
      </w:r>
      <w:r>
        <w:t>. Por providencia de 22 de mayo de 2023, la Sección Cuarta de este Tribunal Constitucional admitió a trámite el recurso de amparo, apreciando que concurría especial trascendencia constitucional [art. 50.1 de la Ley Orgánica del Tribunal Constitucional (LOTC)] como consecuencia de que el órgano judicial podría haber incurrido en una negativa manifiesta del deber de acatamiento de la doctrina de este Tribunal [STC 155/2009, de 25 de junio, FJ 2 f)].</w:t>
      </w:r>
    </w:p>
    <w:p w14:paraId="4954910E" w14:textId="77777777" w:rsidR="009D7677" w:rsidRDefault="009D7677" w:rsidP="009D7677">
      <w:pPr>
        <w:pStyle w:val="TextoNormal"/>
      </w:pPr>
    </w:p>
    <w:p w14:paraId="0E0CDBDC" w14:textId="39E4DBA0" w:rsidR="009D7677" w:rsidRDefault="009D7677" w:rsidP="009D7677">
      <w:pPr>
        <w:pStyle w:val="TextoNormal"/>
      </w:pPr>
      <w:r>
        <w:t>Constando ya testimonio de las actuaciones seguidas ante el Juzgado de Primera Instancia e Instrucción núm. 1 de Igualada, en la misma resolución se acordó dirigir atenta comunicación al juzgado a fin de que, en un plazo que no excediera de diez días, se procediese a emplazar a quienes hubieran sido parte en el procedimiento de juicio verbal 741-</w:t>
      </w:r>
      <w:r>
        <w:lastRenderedPageBreak/>
        <w:t>2020, excepto al recurrente en amparo, para que, si así lo deseaban, pudieran comparecer en el presente recurso de amparo.</w:t>
      </w:r>
    </w:p>
    <w:p w14:paraId="3ED8E8AE" w14:textId="77777777" w:rsidR="009D7677" w:rsidRDefault="009D7677" w:rsidP="009D7677">
      <w:pPr>
        <w:pStyle w:val="TextoNormal"/>
      </w:pPr>
    </w:p>
    <w:p w14:paraId="4F876CF8" w14:textId="196C3A8A" w:rsidR="009D7677" w:rsidRDefault="009D7677" w:rsidP="009D7677">
      <w:pPr>
        <w:pStyle w:val="TextoNormal"/>
      </w:pPr>
      <w:r w:rsidRPr="009D7677">
        <w:rPr>
          <w:rStyle w:val="NumeroAFNegritaCaracter"/>
        </w:rPr>
        <w:t>6</w:t>
      </w:r>
      <w:r>
        <w:t>. El 21 de noviembre de 2023 compareció en el procedimiento la mercantil SAREB, representada por el procurador de los tribunales don Mauricio Gordillo Alcalá.</w:t>
      </w:r>
    </w:p>
    <w:p w14:paraId="11896A67" w14:textId="77777777" w:rsidR="009D7677" w:rsidRDefault="009D7677" w:rsidP="009D7677">
      <w:pPr>
        <w:pStyle w:val="TextoNormal"/>
      </w:pPr>
    </w:p>
    <w:p w14:paraId="6F911740" w14:textId="28AC6B9E" w:rsidR="009D7677" w:rsidRDefault="009D7677" w:rsidP="009D7677">
      <w:pPr>
        <w:pStyle w:val="TextoNormal"/>
      </w:pPr>
      <w:r w:rsidRPr="009D7677">
        <w:rPr>
          <w:rStyle w:val="NumeroAFNegritaCaracter"/>
        </w:rPr>
        <w:t>7</w:t>
      </w:r>
      <w:r>
        <w:t>. Por diligencia de ordenación de 22 de noviembre de 2023 se tuvo por personada y parte en el procedimiento a la mencionada mercantil, acordándose además dar vista de las actuaciones a las partes personadas y al Ministerio Fiscal por un plazo común de veinte días, dentro de los cuales podrían presentar las alegaciones que estimaran convenientes.</w:t>
      </w:r>
    </w:p>
    <w:p w14:paraId="6E93D411" w14:textId="77777777" w:rsidR="009D7677" w:rsidRDefault="009D7677" w:rsidP="009D7677">
      <w:pPr>
        <w:pStyle w:val="TextoNormal"/>
      </w:pPr>
    </w:p>
    <w:p w14:paraId="6074E71B" w14:textId="1ED1C23D" w:rsidR="009D7677" w:rsidRDefault="009D7677" w:rsidP="009D7677">
      <w:pPr>
        <w:pStyle w:val="TextoNormal"/>
      </w:pPr>
      <w:r w:rsidRPr="009D7677">
        <w:rPr>
          <w:rStyle w:val="NumeroAFNegritaCaracter"/>
        </w:rPr>
        <w:t>8</w:t>
      </w:r>
      <w:r>
        <w:t>. El 5 de enero de 2024 la recurrente en amparo formuló alegaciones reiterado los argumentos ya desplegados en su escrito de interposición de la demanda de amparo en cuanto a la resolución recurrida y las razones para ello, haciendo hincapié en la doctrina constitucional que proclama la vinculación existente entre el derecho a la tutela judicial efectiva (art. 24.1 CE) y la correcta constitución de la relación jurídico procesal a través de los actos de comunicación, y la preferencia, siempre que sea posible, por las notificaciones y emplazamientos personales, para lo cual se habrán de emplear los medios razonablemente existentes. Según expone, tal doctrina constitucional se había visto subvertida en la presente causa.</w:t>
      </w:r>
    </w:p>
    <w:p w14:paraId="00732327" w14:textId="77777777" w:rsidR="009D7677" w:rsidRDefault="009D7677" w:rsidP="009D7677">
      <w:pPr>
        <w:pStyle w:val="TextoNormal"/>
      </w:pPr>
    </w:p>
    <w:p w14:paraId="43AEACDA" w14:textId="77777777" w:rsidR="009D7677" w:rsidRDefault="009D7677" w:rsidP="009D7677">
      <w:pPr>
        <w:pStyle w:val="TextoNormal"/>
      </w:pPr>
      <w:r w:rsidRPr="009D7677">
        <w:rPr>
          <w:rStyle w:val="NumeroAFNegritaCaracter"/>
        </w:rPr>
        <w:t>9</w:t>
      </w:r>
      <w:r>
        <w:t>. El Ministerio Fiscal presentó alegaciones por escrito el 10 de enero de 2024, en sentido favorable a la estimación de la demanda de amparo.</w:t>
      </w:r>
    </w:p>
    <w:p w14:paraId="29AD257C" w14:textId="77777777" w:rsidR="009D7677" w:rsidRDefault="009D7677" w:rsidP="009D7677">
      <w:pPr>
        <w:pStyle w:val="TextoNormal"/>
      </w:pPr>
    </w:p>
    <w:p w14:paraId="6CB95D6D" w14:textId="77777777" w:rsidR="009D7677" w:rsidRDefault="009D7677" w:rsidP="009D7677">
      <w:pPr>
        <w:pStyle w:val="TextoNormal"/>
      </w:pPr>
      <w:r>
        <w:t>Una vez compendiados los acontecimientos procesales que consideró de interés al caso y concretar los aspectos más relevantes de la pretensión del demandante, el fiscal señala que el objeto del presente recurso consiste en dilucidar si el juez ha vulnerado el derecho a la tutela judicial efectiva sin indefensión de la recurrente (art. 24.1 CE), dado su comportamiento en orden al emplazamiento de aquella en el juicio verbal de desahucio por falta de pago en que figuraba como demandada.</w:t>
      </w:r>
    </w:p>
    <w:p w14:paraId="69AFEFB3" w14:textId="77777777" w:rsidR="009D7677" w:rsidRDefault="009D7677" w:rsidP="009D7677">
      <w:pPr>
        <w:pStyle w:val="TextoNormal"/>
      </w:pPr>
    </w:p>
    <w:p w14:paraId="6A88DDC9" w14:textId="77777777" w:rsidR="009D7677" w:rsidRDefault="009D7677" w:rsidP="009D7677">
      <w:pPr>
        <w:pStyle w:val="TextoNormal"/>
      </w:pPr>
      <w:r>
        <w:t>Repasada la doctrina constitucional aplicable al caso, el fiscal considera que ”[r]esulta de las actuaciones que se siguió el procedimiento judicial tras la citación edictal, sin agotar las posibilidades de emplazamiento de la persona demanda que brinda la legislación procesal y que fueron instadas por la parte demandante, que la demandada no tuvo conocimiento extraprocesal de la existencia del procedimiento hasta que en la ejecución se le embargó la cuenta corriente y que tal actuación le ha causado una situación de indefensión material y efectiva pues no tuvo oportunidad de personarse y ejercer, en su caso, su defensa frente a las pretensiones de la parte contraria”.</w:t>
      </w:r>
    </w:p>
    <w:p w14:paraId="74655F76" w14:textId="77777777" w:rsidR="009D7677" w:rsidRDefault="009D7677" w:rsidP="009D7677">
      <w:pPr>
        <w:pStyle w:val="TextoNormal"/>
      </w:pPr>
    </w:p>
    <w:p w14:paraId="2AA1BB87" w14:textId="1E5FB47F" w:rsidR="009D7677" w:rsidRDefault="009D7677" w:rsidP="009D7677">
      <w:pPr>
        <w:pStyle w:val="TextoNormal"/>
      </w:pPr>
      <w:r>
        <w:t>En conclusión, sostiene el fiscal, “se cumplen los requisitos de la doctrina constitucional sobre la vulneración del derecho a la tutela judicial sin indefensión por emplazamiento edictal de la demandada sin agotar las posibilidades de comunicación personal y en consecuencia procede otorgar el amparo”.</w:t>
      </w:r>
    </w:p>
    <w:p w14:paraId="7A5885FA" w14:textId="77777777" w:rsidR="009D7677" w:rsidRDefault="009D7677" w:rsidP="009D7677">
      <w:pPr>
        <w:pStyle w:val="TextoNormal"/>
      </w:pPr>
    </w:p>
    <w:p w14:paraId="1E6823CF" w14:textId="7E3D18BA" w:rsidR="009D7677" w:rsidRDefault="009D7677" w:rsidP="009D7677">
      <w:pPr>
        <w:pStyle w:val="TextoNormal"/>
      </w:pPr>
      <w:r w:rsidRPr="009D7677">
        <w:rPr>
          <w:rStyle w:val="NumeroAFNegritaCaracter"/>
        </w:rPr>
        <w:t>10</w:t>
      </w:r>
      <w:r>
        <w:t>. La mercantil SAREB formuló alegaciones por escrito también el 10 de enero de 2024 oponiéndose a la admisión de la demanda al estimar que el recurso de amparo pre</w:t>
      </w:r>
      <w:r>
        <w:lastRenderedPageBreak/>
        <w:t>sentado no reunía los requisitos establecidos legal y jurisprudencialmente para apreciar la concurrencia de especial trascendencia constitucional, y, en particular, “que el actuar del órgano jurisdiccional de instancia en ningún caso constituye una negativa manifiesta del deber de acatamiento de la doctrina constitucional” relativa a las notificaciones y emplazamientos en procedimientos arrendaticios.</w:t>
      </w:r>
    </w:p>
    <w:p w14:paraId="28D92F2E" w14:textId="77777777" w:rsidR="009D7677" w:rsidRDefault="009D7677" w:rsidP="009D7677">
      <w:pPr>
        <w:pStyle w:val="TextoNormal"/>
      </w:pPr>
    </w:p>
    <w:p w14:paraId="59EEC913" w14:textId="38A4CF58" w:rsidR="009D7677" w:rsidRDefault="009D7677" w:rsidP="009D7677">
      <w:pPr>
        <w:pStyle w:val="TextoNormal"/>
      </w:pPr>
      <w:r w:rsidRPr="009D7677">
        <w:rPr>
          <w:rStyle w:val="NumeroAFNegritaCaracter"/>
        </w:rPr>
        <w:t>11</w:t>
      </w:r>
      <w:r>
        <w:t>. Por providencia de 8 de febrero de 2024, se señaló para la deliberación y votación de la presente sentencia el día 12 del mismo mes y año.</w:t>
      </w:r>
    </w:p>
    <w:p w14:paraId="6836629C" w14:textId="77777777" w:rsidR="009D7677" w:rsidRDefault="009D7677" w:rsidP="009D7677">
      <w:pPr>
        <w:pStyle w:val="TextoNormal"/>
      </w:pPr>
    </w:p>
    <w:p w14:paraId="5971CA87" w14:textId="77777777" w:rsidR="009D7677" w:rsidRDefault="009D7677" w:rsidP="009D7677">
      <w:pPr>
        <w:pStyle w:val="TextoNormalNegritaCentrado"/>
        <w:keepNext/>
      </w:pPr>
      <w:r>
        <w:t>II. Fundamentos jurídicos</w:t>
      </w:r>
    </w:p>
    <w:p w14:paraId="7364C40C" w14:textId="7BC1EB6E" w:rsidR="009D7677" w:rsidRDefault="009D7677" w:rsidP="009D7677">
      <w:pPr>
        <w:pStyle w:val="TextoNormalNegritaCentrado"/>
        <w:keepNext/>
      </w:pPr>
    </w:p>
    <w:p w14:paraId="4B3D2FF7" w14:textId="77777777" w:rsidR="009D7677" w:rsidRDefault="009D7677" w:rsidP="009D7677">
      <w:pPr>
        <w:pStyle w:val="TextoNormal"/>
      </w:pPr>
      <w:r w:rsidRPr="009D7677">
        <w:rPr>
          <w:rStyle w:val="NumeroAFNegritaCaracter"/>
        </w:rPr>
        <w:t>1</w:t>
      </w:r>
      <w:r>
        <w:t xml:space="preserve">. </w:t>
      </w:r>
      <w:r w:rsidRPr="009D7677">
        <w:rPr>
          <w:i/>
        </w:rPr>
        <w:t>Objeto del recurso de amparo y pretensiones de las partes</w:t>
      </w:r>
    </w:p>
    <w:p w14:paraId="31AB6FA5" w14:textId="77777777" w:rsidR="009D7677" w:rsidRDefault="009D7677" w:rsidP="009D7677">
      <w:pPr>
        <w:pStyle w:val="TextoNormal"/>
      </w:pPr>
    </w:p>
    <w:p w14:paraId="06B0C19A" w14:textId="77777777" w:rsidR="009D7677" w:rsidRDefault="009D7677" w:rsidP="009D7677">
      <w:pPr>
        <w:pStyle w:val="TextoNormal"/>
      </w:pPr>
      <w:r>
        <w:t>La demanda de amparo impugna la providencia de 15 de octubre de 2021, dictada por el Juzgado de Primera Instancia e Instrucción núm. 1 de Igualada, por la que se inadmitió el incidente de nulidad de actuaciones planteado por la recurrente en el procedimiento de juicio verbal de desahucio por falta de pago núm. 741-2020, por entender vulnerado su derecho a la tutela judicial efectiva (art. 24.1 CE) al haber acudido a la notificación edictal sin desplegar las oportunas medidas de averiguación domiciliaria previstas en la ley, al objeto de su localización, como exige la doctrina constitucional.</w:t>
      </w:r>
    </w:p>
    <w:p w14:paraId="07B0E078" w14:textId="77777777" w:rsidR="009D7677" w:rsidRDefault="009D7677" w:rsidP="009D7677">
      <w:pPr>
        <w:pStyle w:val="TextoNormal"/>
      </w:pPr>
    </w:p>
    <w:p w14:paraId="2387AE46" w14:textId="5A2B961F" w:rsidR="009D7677" w:rsidRDefault="009D7677" w:rsidP="009D7677">
      <w:pPr>
        <w:pStyle w:val="TextoNormal"/>
      </w:pPr>
      <w:r>
        <w:t>Por su parte, el Ministerio Fiscal considera que procede estimar el recurso y declarar que el citado derecho fundamental ha sido vulnerado, por las mismas razones expuestas por la recurrente. La mercantil SAREB interesa la inadmisión del recurso al no apreciar la concurrencia de especial trascendencia constitucional y, en particular, descartar que el órgano jurisdiccional hubiera incurrido en una negativa manifiesta de acatar la doctrina constitucional invocada por la recurrente [letra f) del fundamento jurídico 2 de la STC 155/2009], atinente a las notificaciones y emplazamientos en procedimientos arrendaticios.</w:t>
      </w:r>
    </w:p>
    <w:p w14:paraId="6EB24F4D" w14:textId="77777777" w:rsidR="009D7677" w:rsidRDefault="009D7677" w:rsidP="009D7677">
      <w:pPr>
        <w:pStyle w:val="TextoNormal"/>
      </w:pPr>
    </w:p>
    <w:p w14:paraId="1BE7C1CE" w14:textId="77777777" w:rsidR="009D7677" w:rsidRDefault="009D7677" w:rsidP="009D7677">
      <w:pPr>
        <w:pStyle w:val="TextoNormal"/>
      </w:pPr>
      <w:r w:rsidRPr="009D7677">
        <w:rPr>
          <w:rStyle w:val="NumeroAFNegritaCaracter"/>
        </w:rPr>
        <w:t>2</w:t>
      </w:r>
      <w:r>
        <w:t xml:space="preserve">. </w:t>
      </w:r>
      <w:r w:rsidRPr="009D7677">
        <w:rPr>
          <w:i/>
        </w:rPr>
        <w:t>Rechazo del óbice procesal</w:t>
      </w:r>
    </w:p>
    <w:p w14:paraId="762B7DC7" w14:textId="77777777" w:rsidR="009D7677" w:rsidRDefault="009D7677" w:rsidP="009D7677">
      <w:pPr>
        <w:pStyle w:val="TextoNormal"/>
      </w:pPr>
    </w:p>
    <w:p w14:paraId="30BB5F8A" w14:textId="77777777" w:rsidR="009D7677" w:rsidRDefault="009D7677" w:rsidP="009D7677">
      <w:pPr>
        <w:pStyle w:val="TextoNormal"/>
      </w:pPr>
      <w:r>
        <w:t>Como ya indicamos, denuncia la mercantil SAREB la falta de especial trascendencia constitucional del recurso y, en concreto, rechaza la concurrencia de la causa prevista en la letra f) del fundamento jurídico 2 de la STC 155/2009, de 25 de junio.</w:t>
      </w:r>
    </w:p>
    <w:p w14:paraId="66356BF6" w14:textId="77777777" w:rsidR="009D7677" w:rsidRDefault="009D7677" w:rsidP="009D7677">
      <w:pPr>
        <w:pStyle w:val="TextoNormal"/>
      </w:pPr>
    </w:p>
    <w:p w14:paraId="7EF37A56" w14:textId="77777777" w:rsidR="009D7677" w:rsidRDefault="009D7677" w:rsidP="009D7677">
      <w:pPr>
        <w:pStyle w:val="TextoNormal"/>
      </w:pPr>
      <w:r>
        <w:t>Como recientemente evocábamos en la STC 122/2022, de 10 de octubre, FJ 2, “la especial trascendencia constitucional del recurso de amparo constituye un requisito sustantivo que es objeto de valoración por este tribunal en el trámite de admisión del recurso. En consecuencia, corresponde únicamente al Tribunal Constitucional apreciar en cada caso, al decidir sobre la admisión a trámite de la demanda de amparo, si concurre o no ese requisito material, esto es, si el contenido del recurso justifica una decisión sobre el fondo, atendiendo a los criterios establecidos en el art. 50.1 b) LOTC”.</w:t>
      </w:r>
    </w:p>
    <w:p w14:paraId="4048DE97" w14:textId="77777777" w:rsidR="009D7677" w:rsidRDefault="009D7677" w:rsidP="009D7677">
      <w:pPr>
        <w:pStyle w:val="TextoNormal"/>
      </w:pPr>
    </w:p>
    <w:p w14:paraId="16EF378C" w14:textId="2387EFB9" w:rsidR="009D7677" w:rsidRDefault="009D7677" w:rsidP="009D7677">
      <w:pPr>
        <w:pStyle w:val="TextoNormal"/>
      </w:pPr>
      <w:r>
        <w:t>En el presente caso, el Tribunal entendió que procedía la admisión a trámite de la demanda de amparo por el motivo indicado. No advertimos que concurran razones para revisar ahora esa apreciación.</w:t>
      </w:r>
    </w:p>
    <w:p w14:paraId="0FEE55FE" w14:textId="77777777" w:rsidR="009D7677" w:rsidRDefault="009D7677" w:rsidP="009D7677">
      <w:pPr>
        <w:pStyle w:val="TextoNormal"/>
      </w:pPr>
    </w:p>
    <w:p w14:paraId="1AC51E52" w14:textId="77777777" w:rsidR="009D7677" w:rsidRDefault="009D7677" w:rsidP="009D7677">
      <w:pPr>
        <w:pStyle w:val="TextoNormal"/>
      </w:pPr>
      <w:r w:rsidRPr="009D7677">
        <w:rPr>
          <w:rStyle w:val="NumeroAFNegritaCaracter"/>
        </w:rPr>
        <w:t>3</w:t>
      </w:r>
      <w:r>
        <w:t xml:space="preserve">. </w:t>
      </w:r>
      <w:r w:rsidRPr="009D7677">
        <w:rPr>
          <w:i/>
        </w:rPr>
        <w:t>Doctrina constitucional sobre los actos de comunicación en los procesos arrendaticios</w:t>
      </w:r>
    </w:p>
    <w:p w14:paraId="19133D50" w14:textId="77777777" w:rsidR="009D7677" w:rsidRDefault="009D7677" w:rsidP="009D7677">
      <w:pPr>
        <w:pStyle w:val="TextoNormal"/>
      </w:pPr>
    </w:p>
    <w:p w14:paraId="04FCC44A" w14:textId="77777777" w:rsidR="009D7677" w:rsidRDefault="009D7677" w:rsidP="009D7677">
      <w:pPr>
        <w:pStyle w:val="TextoNormal"/>
      </w:pPr>
      <w:r>
        <w:t>En los términos expuestos por el demandante de amparo y el Ministerio Fiscal, este tribunal se ha pronunciado sobre la cuestión planteada en numerosas resoluciones, una doctrina que en síntesis recogemos a partir de la STC 20/2021, de 15 de febrero, FJ 2.</w:t>
      </w:r>
    </w:p>
    <w:p w14:paraId="3E635B67" w14:textId="77777777" w:rsidR="009D7677" w:rsidRDefault="009D7677" w:rsidP="009D7677">
      <w:pPr>
        <w:pStyle w:val="TextoNormal"/>
      </w:pPr>
    </w:p>
    <w:p w14:paraId="03BC1042" w14:textId="77777777" w:rsidR="009D7677" w:rsidRDefault="009D7677" w:rsidP="009D7677">
      <w:pPr>
        <w:pStyle w:val="TextoNormal"/>
      </w:pPr>
      <w:r>
        <w:t xml:space="preserve">(i) Hemos subrayado la gran relevancia que posee la correcta constitución de la relación jurídica procesal para garantizar el derecho de defensa reconocido en el art. 24 CE, que implica la posibilidad de un juicio contradictorio en que las partes puedan hacer valer sus derechos e intereses legítimos. De ahí la especial trascendencia de los actos de comunicación del órgano judicial con las partes, en particular el emplazamiento, citación o notificación a quien ha de ser o puede ser parte en el procedimiento, pues en este caso el acto de comunicación es el necesario instrumento que facilita la defensa en el proceso de los derechos e intereses cuestionados. De manera que su falta o deficiente realización, siempre que se frustre la finalidad con ellos perseguida, coloca al interesado en una situación de indefensión que vulnera el referido derecho fundamental, salvo que la situación de falta de comunicación sea imputable a la propia conducta del afectado por haberse situado voluntaria o negligentemente al margen del proceso, pese a tener conocimiento por otros medios distintos de su existencia. Pero la posible negligencia, descuido o impericia imputables a la parte, o el conocimiento extraprocesal de la causa judicial tramitada </w:t>
      </w:r>
      <w:r w:rsidRPr="009D7677">
        <w:rPr>
          <w:i/>
        </w:rPr>
        <w:t>inaudita parte</w:t>
      </w:r>
      <w:r>
        <w:t>, que excluiría la relevancia constitucional de la queja, no puede fundarse sin más en una presunción cimentada en simples conjeturas, sino que debe acreditarse fehacientemente para que surta su efecto invalidante de la tacha de indefensión, pues lo presumido es, justamente, el desconocimiento del proceso si así se alega.</w:t>
      </w:r>
    </w:p>
    <w:p w14:paraId="014A14EE" w14:textId="77777777" w:rsidR="009D7677" w:rsidRDefault="009D7677" w:rsidP="009D7677">
      <w:pPr>
        <w:pStyle w:val="TextoNormal"/>
      </w:pPr>
    </w:p>
    <w:p w14:paraId="4FF3D640" w14:textId="77777777" w:rsidR="009D7677" w:rsidRDefault="009D7677" w:rsidP="009D7677">
      <w:pPr>
        <w:pStyle w:val="TextoNormal"/>
      </w:pPr>
      <w:r>
        <w:t>(ii) Sobre los órganos judiciales recae el deber de velar por la correcta ejecución de los actos de comunicación procesal y asegurarse de que dichos actos sirven al propósito de garantizar que la parte sea oída en el proceso. Ello comporta, en lo posible, la exigencia del emplazamiento personal de los afectados y, desde otra perspectiva, la limitación del empleo de la notificación edictal a aquellos supuestos en los que, tras intentar su averiguación, no conste el domicilio de quien haya de ser emplazado o bien se ignore su paradero. En este sentido hemos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w:t>
      </w:r>
    </w:p>
    <w:p w14:paraId="3C90D57A" w14:textId="77777777" w:rsidR="009D7677" w:rsidRDefault="009D7677" w:rsidP="009D7677">
      <w:pPr>
        <w:pStyle w:val="TextoNormal"/>
      </w:pPr>
    </w:p>
    <w:p w14:paraId="204C9441" w14:textId="77777777" w:rsidR="009D7677" w:rsidRDefault="009D7677" w:rsidP="009D7677">
      <w:pPr>
        <w:pStyle w:val="TextoNormal"/>
      </w:pPr>
      <w:r>
        <w:t>(iii) Frente a esta doctrina, no cabe pensar que la Ley de enjuiciamiento civil no exija realizar mayores averiguaciones tras la reforma del art. 164 LEC llevada a cabo mediante la Ley 19/2009, de 23 de noviembre, de medidas de fomento y agilización procesal del alquiler y de la eficiencia energética de los edificios. “Semejante argumentación es la que pone de relieve, precisamente, la especial trascendencia constitucional del presente recurso, pues hemos reiterado en la jurisprudencia reseñada que dicho cambio normativo no permite obviar la doctrina constitucional precedente, que fue expresamente alegada por el recurrente” (STC 62/2020, de 15 de junio, FJ 2)”.</w:t>
      </w:r>
    </w:p>
    <w:p w14:paraId="181C8822" w14:textId="77777777" w:rsidR="009D7677" w:rsidRDefault="009D7677" w:rsidP="009D7677">
      <w:pPr>
        <w:pStyle w:val="TextoNormal"/>
      </w:pPr>
    </w:p>
    <w:p w14:paraId="68EC7A38" w14:textId="1AF5B98C" w:rsidR="009D7677" w:rsidRDefault="009D7677" w:rsidP="009D7677">
      <w:pPr>
        <w:pStyle w:val="TextoNormal"/>
      </w:pPr>
      <w:r>
        <w:lastRenderedPageBreak/>
        <w:t>En conclusión, es tarea fundamental del órgano jurisdiccional asegurar que la demandada tome conocimiento de la causa y tenga oportunidad de ser oída en defensa de sus intereses, para lo cual debe procurar que las notificaciones sean efectivas. A tal fin debe limitarse el empleo de la notificación edictal a aquellos supuestos en que no haya sido posible la notificación personal tras haberse agotado todas las posibilidades razonables de comunicación en el domicilio indicado, eventualmente, por la parte contraria o en otros que fueran descubiertos por constar en las actuaciones o por haberse accedido a ellos tras haberse desplegado las oportunas diligencias de averiguación domiciliaria.</w:t>
      </w:r>
    </w:p>
    <w:p w14:paraId="11BE6B24" w14:textId="77777777" w:rsidR="009D7677" w:rsidRDefault="009D7677" w:rsidP="009D7677">
      <w:pPr>
        <w:pStyle w:val="TextoNormal"/>
      </w:pPr>
    </w:p>
    <w:p w14:paraId="23BA2523" w14:textId="77777777" w:rsidR="009D7677" w:rsidRDefault="009D7677" w:rsidP="009D7677">
      <w:pPr>
        <w:pStyle w:val="TextoNormal"/>
      </w:pPr>
      <w:r w:rsidRPr="009D7677">
        <w:rPr>
          <w:rStyle w:val="NumeroAFNegritaCaracter"/>
        </w:rPr>
        <w:t>4</w:t>
      </w:r>
      <w:r>
        <w:t xml:space="preserve">. </w:t>
      </w:r>
      <w:r w:rsidRPr="009D7677">
        <w:rPr>
          <w:i/>
        </w:rPr>
        <w:t>Aplicación de la doctrina al caso</w:t>
      </w:r>
    </w:p>
    <w:p w14:paraId="33C5D4E4" w14:textId="77777777" w:rsidR="009D7677" w:rsidRDefault="009D7677" w:rsidP="009D7677">
      <w:pPr>
        <w:pStyle w:val="TextoNormal"/>
      </w:pPr>
    </w:p>
    <w:p w14:paraId="6BFED8D6" w14:textId="77777777" w:rsidR="009D7677" w:rsidRDefault="009D7677" w:rsidP="009D7677">
      <w:pPr>
        <w:pStyle w:val="TextoNormal"/>
      </w:pPr>
      <w:r>
        <w:t>La doctrina constitucional expuesta es aplicable al asunto que plantea el recurso, que es equiparable al que se enjuició en la STC 94/2021, de 10 de mayo, cuyas conclusiones hemos de reproducir. El Juzgado de Primera Instancia e Instrucción núm. 1 de Igualada, una vez fracasado el primer intento de notificación personal en el inmueble arrendado, debería haber acudido a los medios de averiguación domiciliaria que se recogen en la legislación procesal, actuación que, incluso, le fue interesada por la parte demandante, antes de proceder a realizar la comunicación por medio de edictos. A la luz de la doctrina constitucional mencionada, ese habría sido el comportamiento razonable.</w:t>
      </w:r>
    </w:p>
    <w:p w14:paraId="419212A9" w14:textId="77777777" w:rsidR="009D7677" w:rsidRDefault="009D7677" w:rsidP="009D7677">
      <w:pPr>
        <w:pStyle w:val="TextoNormal"/>
      </w:pPr>
    </w:p>
    <w:p w14:paraId="527DB717" w14:textId="77777777" w:rsidR="009D7677" w:rsidRDefault="009D7677" w:rsidP="009D7677">
      <w:pPr>
        <w:pStyle w:val="TextoNormal"/>
      </w:pPr>
      <w:r>
        <w:t>Asimismo, la providencia impugnada, de 15 de octubre de 2021, por la que se inadmitió a trámite el incidente de nulidad de actuaciones, hizo caso omiso de dicha doctrina que le fue invocada expresamente por la recurrente, no siguiendo la interpretación constitucional que se le proponía sino, antes al contrario, se remitió de manera genérica a la legalidad aplicable a los juicios verbales de desahucio (es de suponer que los arts. 155.3 y 164 LEC).</w:t>
      </w:r>
    </w:p>
    <w:p w14:paraId="7987B5CA" w14:textId="77777777" w:rsidR="009D7677" w:rsidRDefault="009D7677" w:rsidP="009D7677">
      <w:pPr>
        <w:pStyle w:val="TextoNormal"/>
      </w:pPr>
    </w:p>
    <w:p w14:paraId="4C3F6227" w14:textId="77777777" w:rsidR="009D7677" w:rsidRDefault="009D7677" w:rsidP="009D7677">
      <w:pPr>
        <w:pStyle w:val="TextoNormal"/>
      </w:pPr>
      <w:r>
        <w:t>Sentado lo precedente, este tribunal tiene que declarar la vulneración constitucional alegada por la demandante de amparo. En primer término, por el automatismo del órgano judicial que acudió al requerimiento y la notificación edictal sin realizar averiguación domiciliaria alguna. Y, en segundo término, porque la respuesta del auto resolutorio del incidente de nulidad prescindió de las alegaciones del demandante y no reparó en la doctrina constitucional que se le invocaba, lo que le permitió mantener una interpretación formalista de la legalidad, incompatible con dicha doctrina, obviando así cualquier argumento sobre el particular.</w:t>
      </w:r>
    </w:p>
    <w:p w14:paraId="7E283CFB" w14:textId="77777777" w:rsidR="009D7677" w:rsidRDefault="009D7677" w:rsidP="009D7677">
      <w:pPr>
        <w:pStyle w:val="TextoNormal"/>
      </w:pPr>
    </w:p>
    <w:p w14:paraId="49D9FA9E" w14:textId="77777777" w:rsidR="009D7677" w:rsidRDefault="009D7677" w:rsidP="009D7677">
      <w:pPr>
        <w:pStyle w:val="TextoNormal"/>
      </w:pPr>
      <w:r>
        <w:t>Con ello, además, se pone de manifiesto la concurrencia del motivo de la especial trascendencia constitucional apreciado en el trámite de admisión [STC 155/2009, FJ 2 f)], y no solo porque la decisión cuestionada se apartó de la doctrina establecida por este tribunal en materia de emplazamientos y notificaciones, sino porque, como así se refleja en los antecedentes, fue alegada expresamente en el incidente de nulidad de actuaciones por la recurrente, sin que la juzgadora la tuviera en cuenta.</w:t>
      </w:r>
    </w:p>
    <w:p w14:paraId="545E3C59" w14:textId="77777777" w:rsidR="009D7677" w:rsidRDefault="009D7677" w:rsidP="009D7677">
      <w:pPr>
        <w:pStyle w:val="TextoNormal"/>
      </w:pPr>
    </w:p>
    <w:p w14:paraId="7ABFBD7E" w14:textId="7E72EDD3" w:rsidR="009D7677" w:rsidRDefault="009D7677" w:rsidP="009D7677">
      <w:pPr>
        <w:pStyle w:val="TextoNormal"/>
      </w:pPr>
      <w:r>
        <w:t xml:space="preserve">La aplicación de nuestra doctrina al presente caso conlleva que declaremos vulnerado el derecho de la demandante a la tutela judicial efectiva sin indefensión (art. 24.1 CE) y, consiguientemente, estimemos el presente recurso de amparo. Por ello, de conformidad con lo establecido en el art. 55 LOTC, procede declarar la nulidad de la providencia de 15 de octubre de 2021, dictada por el Juzgado de Primera Instancia e Instrucción núm. 1 de </w:t>
      </w:r>
      <w:r>
        <w:lastRenderedPageBreak/>
        <w:t>Igualada, por el que se desestimó el incidente de nulidad planteado, acordando la retroacción de las actuaciones al momento en que deba de efectuarse el emplazamiento de la demandada por los medios previstos en la Ley de enjuiciamiento civil.</w:t>
      </w:r>
    </w:p>
    <w:p w14:paraId="0B1260A8" w14:textId="77777777" w:rsidR="009D7677" w:rsidRDefault="009D7677" w:rsidP="009D7677">
      <w:pPr>
        <w:pStyle w:val="TextoNormal"/>
      </w:pPr>
    </w:p>
    <w:p w14:paraId="545D6B48" w14:textId="77777777" w:rsidR="009D7677" w:rsidRDefault="009D7677" w:rsidP="009D7677">
      <w:pPr>
        <w:pStyle w:val="TextoNormalCentrado"/>
        <w:keepNext/>
      </w:pPr>
      <w:r>
        <w:t>FALLO</w:t>
      </w:r>
    </w:p>
    <w:p w14:paraId="7864B8EC" w14:textId="4B17351D" w:rsidR="009D7677" w:rsidRDefault="009D7677" w:rsidP="009D7677">
      <w:pPr>
        <w:pStyle w:val="TextoNormalCentrado"/>
        <w:keepNext/>
      </w:pPr>
    </w:p>
    <w:p w14:paraId="5CF8231B" w14:textId="77777777" w:rsidR="009D7677" w:rsidRDefault="009D7677" w:rsidP="009D7677">
      <w:pPr>
        <w:pStyle w:val="TextoNormal"/>
      </w:pPr>
      <w:r>
        <w:t>En atención a todo lo expuesto, el Tribunal Constitucional, por la autoridad que le confiere la Constitución de la Nación española, ha decidido estimar el recurso de amparo interpuesto por doña Judit Mora Bonfil y, en su virtud:</w:t>
      </w:r>
    </w:p>
    <w:p w14:paraId="44948891" w14:textId="77777777" w:rsidR="009D7677" w:rsidRDefault="009D7677" w:rsidP="009D7677">
      <w:pPr>
        <w:pStyle w:val="TextoNormal"/>
      </w:pPr>
    </w:p>
    <w:p w14:paraId="642D6F9D" w14:textId="77777777" w:rsidR="009D7677" w:rsidRDefault="009D7677" w:rsidP="009D7677">
      <w:pPr>
        <w:pStyle w:val="TextoNormal"/>
      </w:pPr>
      <w:r>
        <w:t>1º Declarar que ha sido vulnerado su derecho fundamental a la tutela judicial efectiva sin padecer indefensión (art. 24.1 CE), con reconocimiento de tal derecho.</w:t>
      </w:r>
    </w:p>
    <w:p w14:paraId="65F0343F" w14:textId="77777777" w:rsidR="009D7677" w:rsidRDefault="009D7677" w:rsidP="009D7677">
      <w:pPr>
        <w:pStyle w:val="TextoNormal"/>
      </w:pPr>
    </w:p>
    <w:p w14:paraId="713AB488" w14:textId="77777777" w:rsidR="009D7677" w:rsidRDefault="009D7677" w:rsidP="009D7677">
      <w:pPr>
        <w:pStyle w:val="TextoNormal"/>
      </w:pPr>
      <w:r>
        <w:t>2º Restablecerle en su derecho y, a tal fin, declarar la nulidad de la providencia de 15 de octubre de 2021, dictada por el Juzgado de Primera Instancia e Instrucción núm. 1 de Igualada en el proceso de juicio verbal de desahucio núm. 741-2020, y de todas las actuaciones seguidas en ese procedimiento, desde la diligencia de ordenación de 22 de enero de 2021, así como en el de ejecución de título judicial núm. 741-2021.</w:t>
      </w:r>
    </w:p>
    <w:p w14:paraId="72CB78D4" w14:textId="77777777" w:rsidR="009D7677" w:rsidRDefault="009D7677" w:rsidP="009D7677">
      <w:pPr>
        <w:pStyle w:val="TextoNormal"/>
      </w:pPr>
    </w:p>
    <w:p w14:paraId="6A304438" w14:textId="0162F9EC" w:rsidR="009D7677" w:rsidRDefault="009D7677" w:rsidP="009D7677">
      <w:pPr>
        <w:pStyle w:val="TextoNormal"/>
      </w:pPr>
      <w:r>
        <w:t>3º Retrotraer el procedimiento al momento inmediatamente anterior a la diligencia de ordenación de 22 de enero de 2021, debiendo llevarse a cabo el emplazamiento de la parte demandada de forma que resulte respetuosa con el derecho fundamental reconocido.</w:t>
      </w:r>
    </w:p>
    <w:p w14:paraId="0CE0D6B2" w14:textId="77777777" w:rsidR="009D7677" w:rsidRDefault="009D7677" w:rsidP="009D7677">
      <w:pPr>
        <w:pStyle w:val="TextoNormal"/>
      </w:pPr>
    </w:p>
    <w:p w14:paraId="5774DAD6" w14:textId="77777777" w:rsidR="009D7677" w:rsidRDefault="009D7677" w:rsidP="009D7677">
      <w:pPr>
        <w:pStyle w:val="TextoNormal"/>
      </w:pPr>
      <w:r>
        <w:t>Publíquese esta sentencia en el “Boletín Oficial del Estado”.</w:t>
      </w:r>
    </w:p>
    <w:p w14:paraId="3E0CEC03" w14:textId="77777777" w:rsidR="009D7677" w:rsidRDefault="009D7677" w:rsidP="009D7677">
      <w:pPr>
        <w:pStyle w:val="TextoNormal"/>
      </w:pPr>
      <w:r>
        <w:t>Dada en Madrid, a doce de febrero de dos mil veinticuatro.</w:t>
      </w:r>
    </w:p>
    <w:p w14:paraId="3F357E0E" w14:textId="0231B69B" w:rsidR="009D7677" w:rsidRDefault="009D7677">
      <w:pPr>
        <w:spacing w:after="160" w:line="259" w:lineRule="auto"/>
        <w:rPr>
          <w:rFonts w:ascii="Times New Roman" w:eastAsia="Times New Roman" w:hAnsi="Times New Roman" w:cs="Times New Roman"/>
          <w:sz w:val="24"/>
          <w:szCs w:val="24"/>
          <w:lang w:eastAsia="es-ES"/>
        </w:rPr>
      </w:pPr>
      <w:r>
        <w:br w:type="page"/>
      </w:r>
    </w:p>
    <w:p w14:paraId="5AB860F2" w14:textId="77777777" w:rsidR="009D7677" w:rsidRDefault="009D7677" w:rsidP="009D7677">
      <w:pPr>
        <w:pStyle w:val="TtuloResolucin"/>
      </w:pPr>
      <w:bookmarkStart w:id="24" w:name="SENTENCIA_2024_22"/>
      <w:r>
        <w:lastRenderedPageBreak/>
        <w:t>SENTENCIA 22/2024, de 12 de febrero de 2024</w:t>
      </w:r>
    </w:p>
    <w:bookmarkEnd w:id="24"/>
    <w:p w14:paraId="27979142" w14:textId="77777777" w:rsidR="009D7677" w:rsidRDefault="009D7677" w:rsidP="009D7677">
      <w:pPr>
        <w:pStyle w:val="TtuloResolucin"/>
      </w:pPr>
      <w:r>
        <w:t>Sala Primera</w:t>
      </w:r>
    </w:p>
    <w:p w14:paraId="71FED596" w14:textId="77777777" w:rsidR="009D7677" w:rsidRDefault="009D7677" w:rsidP="009D7677">
      <w:pPr>
        <w:pStyle w:val="TtuloBOE"/>
      </w:pPr>
      <w:r>
        <w:t>(BOE núm. 72, de 22 de marzo de 2024)</w:t>
      </w:r>
    </w:p>
    <w:p w14:paraId="4A7F5100" w14:textId="77777777" w:rsidR="009D7677" w:rsidRDefault="009D7677" w:rsidP="009D7677">
      <w:pPr>
        <w:pStyle w:val="TextoNormalCentrado"/>
      </w:pPr>
      <w:r>
        <w:t>ECLI:ES:TC:2024:22</w:t>
      </w:r>
    </w:p>
    <w:p w14:paraId="4B6E828C" w14:textId="69931451" w:rsidR="009D7677" w:rsidRDefault="009D7677" w:rsidP="009D7677">
      <w:pPr>
        <w:pStyle w:val="TextoNormalCentrado"/>
      </w:pPr>
    </w:p>
    <w:p w14:paraId="54605DD6" w14:textId="77777777" w:rsidR="009D7677" w:rsidRDefault="009D7677" w:rsidP="009D7677">
      <w:pPr>
        <w:pStyle w:val="SntesisDescriptiva"/>
      </w:pPr>
      <w:r>
        <w:t>Recurso de amparo 5319-2022. Promovido por doña Natalia Rodríguez Aguilera respecto de la resolución dictada por la Dirección General de Relaciones con la Administración de Justicia y las sentencias de la Sala de lo Social del Tribunal Superior de Justicia de Cataluña y un juzgado de este mismo orden jurisdiccional de Barcelona, que desestimaron su solicitud de reconocimiento de salarios de tramitación.</w:t>
      </w:r>
    </w:p>
    <w:p w14:paraId="3FEB9EB4" w14:textId="66A14852" w:rsidR="009D7677" w:rsidRDefault="009D7677" w:rsidP="009D7677">
      <w:pPr>
        <w:pStyle w:val="SntesisDescriptiva"/>
      </w:pPr>
    </w:p>
    <w:p w14:paraId="004B0A65" w14:textId="77777777" w:rsidR="009D7677" w:rsidRDefault="009D7677" w:rsidP="009D7677">
      <w:pPr>
        <w:pStyle w:val="SntesisAnaltica"/>
      </w:pPr>
      <w:r>
        <w:t>Vulneración del derecho a no padecer discriminación por razón de sexo: denegación del derecho a percibir los salarios de tramitación fundada en la calificación del despido como nulo al tener efecto cuando se hallaba embarazada.</w:t>
      </w:r>
    </w:p>
    <w:p w14:paraId="68AC42E1" w14:textId="338E9731" w:rsidR="009D7677" w:rsidRDefault="009D7677" w:rsidP="009D7677">
      <w:pPr>
        <w:pStyle w:val="SntesisAnaltica"/>
      </w:pPr>
    </w:p>
    <w:p w14:paraId="117E46B1" w14:textId="4BCA1603" w:rsidR="009D7677" w:rsidRDefault="009D7677" w:rsidP="009D7677">
      <w:pPr>
        <w:pStyle w:val="Extracto"/>
      </w:pPr>
      <w:r>
        <w:t>1.</w:t>
      </w:r>
      <w:r>
        <w:tab/>
        <w:t>La prohibición de la discriminación por razón de sexo comprende no sólo el tratamiento peyorativo que se funda en la pura y simple constatación del sexo de la persona afectada, sino en la concurrencia de razones o circunstancias que tengan con el sexo de la persona una conexión directa e inequívoca (SSTC 17/2003 o 108/2019); tal y como ocurre con el embarazo, elemento o factor diferencial que, en tanto que hecho biológico incontrovertible, incide de forma exclusiva sobre las mujeres (SSTC 173/1994 o 11/2023) [FJ 3].</w:t>
      </w:r>
    </w:p>
    <w:p w14:paraId="0824C7E4" w14:textId="77777777" w:rsidR="009D7677" w:rsidRDefault="009D7677" w:rsidP="009D7677">
      <w:pPr>
        <w:pStyle w:val="Extracto"/>
      </w:pPr>
    </w:p>
    <w:p w14:paraId="77CF851F" w14:textId="10400F54" w:rsidR="009D7677" w:rsidRDefault="009D7677" w:rsidP="009D7677">
      <w:pPr>
        <w:pStyle w:val="Extracto"/>
      </w:pPr>
      <w:r>
        <w:t>2.</w:t>
      </w:r>
      <w:r>
        <w:tab/>
        <w:t>En la medida en que el embarazo, el parto y la maternidad, son situaciones vitales asociadas al sexo femenino, el hecho de que pueda existir una diferenciación de trato fundada en tales circunstancias se vincula a la existencia de una discriminación por razón de sexo (STC 44/2023) [FJ 3].</w:t>
      </w:r>
    </w:p>
    <w:p w14:paraId="713E3D76" w14:textId="77777777" w:rsidR="009D7677" w:rsidRDefault="009D7677" w:rsidP="009D7677">
      <w:pPr>
        <w:pStyle w:val="Extracto"/>
      </w:pPr>
    </w:p>
    <w:p w14:paraId="6263C44D" w14:textId="3A8B6124" w:rsidR="009D7677" w:rsidRDefault="009D7677" w:rsidP="009D7677">
      <w:pPr>
        <w:pStyle w:val="Extracto"/>
      </w:pPr>
      <w:r>
        <w:t>3.</w:t>
      </w:r>
      <w:r>
        <w:tab/>
        <w:t>La protección de la condición biológica y de la salud de la mujer trabajadora ha de ser compatible con la conservación de sus derechos profesionales, de suerte que la minusvaloración o el perjuicio causado por el embarazo o la sucesiva maternidad constituyen un supuesto de discriminación directa por razón de sexo (SSTC 162/2016 o 11/2023) [FJ 3].</w:t>
      </w:r>
    </w:p>
    <w:p w14:paraId="645E290A" w14:textId="77777777" w:rsidR="009D7677" w:rsidRDefault="009D7677" w:rsidP="009D7677">
      <w:pPr>
        <w:pStyle w:val="Extracto"/>
      </w:pPr>
    </w:p>
    <w:p w14:paraId="7CC696B5" w14:textId="6BF192C8" w:rsidR="009D7677" w:rsidRDefault="009D7677" w:rsidP="009D7677">
      <w:pPr>
        <w:pStyle w:val="Extracto"/>
      </w:pPr>
      <w:r>
        <w:t>4.</w:t>
      </w:r>
      <w:r>
        <w:tab/>
        <w:t>Aunque el art. 14 CE no consagra la promoción de la maternidad o de la natalidad (STC 182/2005), sí excluye toda distinción, trato peyorativo y limitación de derechos o legítimas expectativas de la mujer en la relación laboral fundado en dichas circunstancias (SSTC 233/2007 o 108/2019) [FJ 3].</w:t>
      </w:r>
    </w:p>
    <w:p w14:paraId="623AA1CD" w14:textId="77777777" w:rsidR="009D7677" w:rsidRDefault="009D7677" w:rsidP="009D7677">
      <w:pPr>
        <w:pStyle w:val="Extracto"/>
      </w:pPr>
    </w:p>
    <w:p w14:paraId="7DBFB0B7" w14:textId="73B0219E" w:rsidR="009D7677" w:rsidRDefault="009D7677" w:rsidP="009D7677">
      <w:pPr>
        <w:pStyle w:val="Extracto"/>
      </w:pPr>
      <w:r>
        <w:t>5.</w:t>
      </w:r>
      <w:r>
        <w:tab/>
        <w:t xml:space="preserve">A diferencia del principio de igualdad, que solo exige la razonabilidad de la diferencia normativa de trato, las prohibiciones de discriminación contenidas en el art. 14 CE implican un juicio de razonabilidad de la diferenciación establecida </w:t>
      </w:r>
      <w:r w:rsidRPr="009D7677">
        <w:rPr>
          <w:i/>
        </w:rPr>
        <w:t>ex constitutione</w:t>
      </w:r>
      <w:r>
        <w:t>, que imponen como fin y como medio la parificación, de manera que solo pueden ser utilizadas excepcionalmente por el legislador como criterio de diferenciación jurídica; ello implica un mayor rigor respecto a las exigencias materiales de proporcionalidad (SSTC 233/2007 o 11/2023) [FJ 3].</w:t>
      </w:r>
    </w:p>
    <w:p w14:paraId="65A9293E" w14:textId="77777777" w:rsidR="009D7677" w:rsidRDefault="009D7677" w:rsidP="009D7677">
      <w:pPr>
        <w:pStyle w:val="Extracto"/>
      </w:pPr>
    </w:p>
    <w:p w14:paraId="0A378812" w14:textId="3452B211" w:rsidR="009D7677" w:rsidRDefault="009D7677" w:rsidP="009D7677">
      <w:pPr>
        <w:pStyle w:val="Extracto"/>
      </w:pPr>
      <w:r>
        <w:lastRenderedPageBreak/>
        <w:t>6.</w:t>
      </w:r>
      <w:r>
        <w:tab/>
        <w:t>Resulta inasumible desde la perspectiva del derecho a la igualdad y no discriminación, reconocido en el art. 14 CE, que el derecho al cobro de salarios de tramitación -reconocidos por sentencia firme- quede cercenado como consecuencia de la previa atribución de una garantía legal consistente en la calificación de su despido como “nulo” porque la trabajadora esté embarazada [FJ 4].</w:t>
      </w:r>
    </w:p>
    <w:p w14:paraId="297A571E" w14:textId="77777777" w:rsidR="009D7677" w:rsidRDefault="009D7677" w:rsidP="009D7677">
      <w:pPr>
        <w:pStyle w:val="Extracto"/>
      </w:pPr>
    </w:p>
    <w:p w14:paraId="4DD861F7" w14:textId="77777777" w:rsidR="009D7677" w:rsidRDefault="009D7677" w:rsidP="009D7677">
      <w:pPr>
        <w:pStyle w:val="Extracto"/>
      </w:pPr>
    </w:p>
    <w:p w14:paraId="253B46DC" w14:textId="77777777" w:rsidR="009D7677" w:rsidRDefault="009D7677" w:rsidP="009D7677">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1F55D2CF" w14:textId="1FC6B5DB" w:rsidR="009D7677" w:rsidRDefault="009D7677" w:rsidP="009D7677">
      <w:pPr>
        <w:pStyle w:val="TextoNormal"/>
      </w:pPr>
    </w:p>
    <w:p w14:paraId="3E5BDAB7" w14:textId="77777777" w:rsidR="009D7677" w:rsidRDefault="009D7677" w:rsidP="009D7677">
      <w:pPr>
        <w:pStyle w:val="TextoNormalCentrado"/>
        <w:keepNext/>
      </w:pPr>
      <w:r>
        <w:t>EN NOMBRE DEL REY</w:t>
      </w:r>
    </w:p>
    <w:p w14:paraId="456F5C2E" w14:textId="5C30272D" w:rsidR="009D7677" w:rsidRDefault="009D7677" w:rsidP="009D7677">
      <w:pPr>
        <w:pStyle w:val="TextoNormalCentrado"/>
        <w:keepNext/>
      </w:pPr>
    </w:p>
    <w:p w14:paraId="5E291F3A" w14:textId="77777777" w:rsidR="009D7677" w:rsidRDefault="009D7677" w:rsidP="009D7677">
      <w:pPr>
        <w:pStyle w:val="TextoNormalCentrado"/>
        <w:keepNext/>
      </w:pPr>
    </w:p>
    <w:p w14:paraId="2012E248" w14:textId="77777777" w:rsidR="009D7677" w:rsidRDefault="009D7677" w:rsidP="009D7677">
      <w:pPr>
        <w:pStyle w:val="TextoNormal"/>
      </w:pPr>
      <w:r>
        <w:t>la siguiente</w:t>
      </w:r>
    </w:p>
    <w:p w14:paraId="70C3C86E" w14:textId="21ED1A33" w:rsidR="009D7677" w:rsidRDefault="009D7677" w:rsidP="009D7677">
      <w:pPr>
        <w:pStyle w:val="TextoNormal"/>
      </w:pPr>
    </w:p>
    <w:p w14:paraId="1691C464" w14:textId="77777777" w:rsidR="009D7677" w:rsidRDefault="009D7677" w:rsidP="009D7677">
      <w:pPr>
        <w:pStyle w:val="TextoNormalCentrado"/>
        <w:keepNext/>
      </w:pPr>
      <w:r>
        <w:t>SENTENCIA</w:t>
      </w:r>
    </w:p>
    <w:p w14:paraId="1B223412" w14:textId="0A34619F" w:rsidR="009D7677" w:rsidRDefault="009D7677" w:rsidP="009D7677">
      <w:pPr>
        <w:pStyle w:val="TextoNormalCentrado"/>
        <w:keepNext/>
      </w:pPr>
    </w:p>
    <w:p w14:paraId="33FAB791" w14:textId="77777777" w:rsidR="009D7677" w:rsidRDefault="009D7677" w:rsidP="009D7677">
      <w:pPr>
        <w:pStyle w:val="TextoNormal"/>
      </w:pPr>
      <w:r>
        <w:t>En el recurso de amparo núm. 5319-2022, promovido por doña Natalia Rodríguez Aguilera, representada por la procuradora de los tribunales doña María Isabel Torres Ruiz y bajo la dirección del letrado don Joaquim Español i Escoda, contra la desestimación por resolución no fechada de la Dirección General de Relaciones con la Administración de Justicia en el expediente de reclamación al Estado de salarios de tramitación (núm. 10519BA), confirmada en la instancia por la sentencia núm. 265/2021, de 12 de julio, del Juzgado de lo Social núm. 2 de Barcelona (autos núm. 1069-2019) y en suplicación por la sentencia núm. 3447/2022, de 13 de junio, de la Sala de lo Social del Tribunal Superior de Justicia de Cataluña (recurso núm. 749-2022). Ha intervenido el Ministerio Fiscal. Ha sido parte el abogado del Estado en la representación que ostenta. Ha sido ponente el magistrado don Ricardo Enríquez Sancho.</w:t>
      </w:r>
    </w:p>
    <w:p w14:paraId="1EAE9E1C" w14:textId="329FB54A" w:rsidR="009D7677" w:rsidRDefault="009D7677" w:rsidP="009D7677">
      <w:pPr>
        <w:pStyle w:val="TextoNormal"/>
      </w:pPr>
    </w:p>
    <w:p w14:paraId="31243F5C" w14:textId="77777777" w:rsidR="009D7677" w:rsidRDefault="009D7677" w:rsidP="009D7677">
      <w:pPr>
        <w:pStyle w:val="TextoNormalNegritaCentrado"/>
        <w:keepNext/>
      </w:pPr>
      <w:r>
        <w:t>I. Antecedentes</w:t>
      </w:r>
    </w:p>
    <w:p w14:paraId="5E227483" w14:textId="6ADCBBF9" w:rsidR="009D7677" w:rsidRDefault="009D7677" w:rsidP="009D7677">
      <w:pPr>
        <w:pStyle w:val="TextoNormalNegritaCentrado"/>
        <w:keepNext/>
      </w:pPr>
    </w:p>
    <w:p w14:paraId="5EF23965" w14:textId="06F6D20B" w:rsidR="009D7677" w:rsidRDefault="009D7677" w:rsidP="009D7677">
      <w:pPr>
        <w:pStyle w:val="TextoNormal"/>
      </w:pPr>
      <w:r w:rsidRPr="009D7677">
        <w:rPr>
          <w:rStyle w:val="NumeroAFNegritaCaracter"/>
        </w:rPr>
        <w:t>1</w:t>
      </w:r>
      <w:r>
        <w:t>. Mediante escrito presentado en el registro general de este tribunal el 19 de julio de 2022, la procuradora de los tribunales doña María Isabel Torres Ruiz, actuando en nombre y representación de doña Natalia Rodríguez Aguilera, bajo la defensa de don Joaquim Español i Escoda, interpuso una demanda de amparo contra las resoluciones arriba mencionadas.</w:t>
      </w:r>
    </w:p>
    <w:p w14:paraId="6DEA7B70" w14:textId="77777777" w:rsidR="009D7677" w:rsidRDefault="009D7677" w:rsidP="009D7677">
      <w:pPr>
        <w:pStyle w:val="TextoNormal"/>
      </w:pPr>
    </w:p>
    <w:p w14:paraId="79AA9813" w14:textId="77777777" w:rsidR="009D7677" w:rsidRDefault="009D7677" w:rsidP="009D7677">
      <w:pPr>
        <w:pStyle w:val="TextoNormal"/>
      </w:pPr>
      <w:r w:rsidRPr="009D7677">
        <w:rPr>
          <w:rStyle w:val="NumeroAFNegritaCaracter"/>
        </w:rPr>
        <w:t>2</w:t>
      </w:r>
      <w:r>
        <w:t>. Los hechos relevantes para la resolución del presente recurso de amparo son los siguientes:</w:t>
      </w:r>
    </w:p>
    <w:p w14:paraId="2A4EF4B3" w14:textId="77777777" w:rsidR="009D7677" w:rsidRDefault="009D7677" w:rsidP="009D7677">
      <w:pPr>
        <w:pStyle w:val="TextoNormal"/>
      </w:pPr>
    </w:p>
    <w:p w14:paraId="796F9832" w14:textId="77777777" w:rsidR="009D7677" w:rsidRDefault="009D7677" w:rsidP="009D7677">
      <w:pPr>
        <w:pStyle w:val="TextoNormal"/>
      </w:pPr>
      <w:r>
        <w:t xml:space="preserve">a) Despido objetivo: la empresa Petmark, S.L., dedicada a la venta directa al público de productos de alimentación y artículos para el cuidado de mascotas y pequeños animales, al tener una situación de pérdidas generalizadas que hacían insostenible su negocio, presentó una solicitud de concurso de acreedores el día 10 de abril de 2017 (procedimiento núm. </w:t>
      </w:r>
      <w:r>
        <w:lastRenderedPageBreak/>
        <w:t>259-2017 ante el Juzgado de lo Mercantil núm. 9 de Barcelona). Con fecha 27 de marzo de 2017 cesó en su actividad, eximiendo a sus (cuatro) empleadas de presentarse en su puesto de trabajo hasta que por el citado juzgado se resolviera lo pertinente sobre sus contratos de trabajo. El día 19 de mayo siguiente, les entregó (entre ellas, a la recurrente en amparo) la correspondiente carta de despido objetivo por causas económicas. Todas ellas, del mismo tenor literal, indicaban que, debido a la situación de inexistencia de tesorería, no se podía poner a su disposición las indemnizaciones que legalmente les pudiese corresponder.</w:t>
      </w:r>
    </w:p>
    <w:p w14:paraId="1CD11B8F" w14:textId="77777777" w:rsidR="009D7677" w:rsidRDefault="009D7677" w:rsidP="009D7677">
      <w:pPr>
        <w:pStyle w:val="TextoNormal"/>
      </w:pPr>
    </w:p>
    <w:p w14:paraId="6A778BDA" w14:textId="77777777" w:rsidR="009D7677" w:rsidRDefault="009D7677" w:rsidP="009D7677">
      <w:pPr>
        <w:pStyle w:val="TextoNormal"/>
      </w:pPr>
      <w:r>
        <w:t>b) Demanda de despido: disconformes con la extinción de sus contratos de trabajo, las trabajadoras formularon demanda frente a la empresa, el administrador concursal y el Fondo de Garantía Salarial (FOGASA), instando la declaración de “improcedencia” del despido tanto por la insuficiencia del contenido de la carta que lo comunicaba, así como por falta de puesta a disposición de la indemnización legalmente prevista [en el art. 53.1 del texto refundido de la Ley del estatuto de los trabajadores, aprobado por el Real Decreto Legislativo 2/2015, de 23 de octubre (en adelante, LET)]. En el caso de la recurrente en amparo, la calificación del despido solicitada fue la de “nulo”, al encontrarse en situación de embarazo en el momento de la extinción contractual [conforme establece el art. 53.4 b) LET].</w:t>
      </w:r>
    </w:p>
    <w:p w14:paraId="4EB8F1EF" w14:textId="77777777" w:rsidR="009D7677" w:rsidRDefault="009D7677" w:rsidP="009D7677">
      <w:pPr>
        <w:pStyle w:val="TextoNormal"/>
      </w:pPr>
    </w:p>
    <w:p w14:paraId="6AD43AEB" w14:textId="77777777" w:rsidR="009D7677" w:rsidRDefault="009D7677" w:rsidP="009D7677">
      <w:pPr>
        <w:pStyle w:val="TextoNormal"/>
      </w:pPr>
      <w:r>
        <w:t>No habiendo comparecido al acto del juicio la empresa demandada y, por tanto, no habiendo aportado ninguna prueba de las causas justificativas de su decisión, se declaró la “improcedencia” del despido por medio de sentencia núm. 268/2018, de 5 de julio de 2018, del Juzgado de lo Social núm. 2 de Barcelona (autos núm. 503-2017), aclarándose que, en el caso de la recurrente en amparo, procedía la declaración de nulidad, puesto que a la fecha de extinción de la relación laboral se hallaba embarazada [art. 53.4 b) LET]. Y no siendo posible la readmisión en su puesto de trabajo para ninguna de las empleadas al haber cesado la empresa en su actividad, interesaron en el acto del juicio que se acordase la extinción de la relación laboral al amparo de lo previsto en el art. 110.1 b) de la Ley 36/2011, de 10 de octubre, reguladora de la jurisdicción social (en adelante, LJS). Dicha petición resultó estimada, declarándose extinguidas las relaciones laborales con reconocimiento de las cantidades que les correspondían en concepto de indemnización. Además, aunque el citado precepto no reconoce en tales casos el derecho a la percepción de los salarios de tramitación, el juzgado se los reconoció al realizar una interpretación finalista y sistemática del mencionado art. 110.1 b) LJS, en los términos sostenidos por la sentencia núm. 362/2018, de 4 de abril de 2018, de la Sala de lo Social del Tribunal Supremo. Por lo que a la recurrente en amparo se refiere, la sentencia de despido cuantificó en 28 811,16 € los salarios de tramitación que le correspondían.</w:t>
      </w:r>
    </w:p>
    <w:p w14:paraId="749893F2" w14:textId="77777777" w:rsidR="009D7677" w:rsidRDefault="009D7677" w:rsidP="009D7677">
      <w:pPr>
        <w:pStyle w:val="TextoNormal"/>
      </w:pPr>
    </w:p>
    <w:p w14:paraId="15F8D1D4" w14:textId="77777777" w:rsidR="009D7677" w:rsidRDefault="009D7677" w:rsidP="009D7677">
      <w:pPr>
        <w:pStyle w:val="TextoNormal"/>
      </w:pPr>
      <w:r>
        <w:t>c) Reclamación de los salarios de tramitación al Estado: con fecha 13 de septiembre de 2019, al amparo de lo dispuesto en el art. 116.2 LJS (que permite que en el supuesto de insolvencia provisional del empresario el trabajador pueda reclamar directamente al Estado los salarios de tramitación que corren a su cargo, esto es, los que exceden de los noventa días hábiles desde la fecha de la presentación de la demanda de despido hasta la fecha de la sentencia que declara su improcedencia), la recurrente en amparo solicitó de la Delegación del Gobierno en Cataluña el abono de la cantidad de 18 243,06 € (expediente núm. 105-2019). Otra de las trabajadoras hizo lo propio reclamando la cantidad de 5839,98 € (expediente núm. 106-2019).</w:t>
      </w:r>
    </w:p>
    <w:p w14:paraId="770255F5" w14:textId="77777777" w:rsidR="009D7677" w:rsidRDefault="009D7677" w:rsidP="009D7677">
      <w:pPr>
        <w:pStyle w:val="TextoNormal"/>
      </w:pPr>
    </w:p>
    <w:p w14:paraId="0314E181" w14:textId="77777777" w:rsidR="009D7677" w:rsidRDefault="009D7677" w:rsidP="009D7677">
      <w:pPr>
        <w:pStyle w:val="TextoNormal"/>
      </w:pPr>
      <w:r>
        <w:t>Por lo que se refiere a la trabajadora que reclamó el abono de los salarios de tramitación del Estado en el expediente núm. 106-2019, con fecha de 9 de octubre de 2019 se dictó por la Delegación del Gobierno en Cataluña propuesta de resolución estimatoria. Sin embargo, con relación a la recurrente en amparo, con fecha de 10 de octubre de 2019, la Delegación del Gobierno en Cataluña dictó una propuesta de desestimación, con fundamento en que, de conformidad con la normativa aplicable (arts. 116.1 LJS, 56 LET y 1.2 del Real Decreto 418/2014, de 6 de junio, por el que se modifica el procedimiento de tramitación de las reclamaciones al Estado por salarios de tramitación en juicios de despido), el pago de los salarios de tramitación solo era posible en el supuesto de los despidos “improcedentes”, pero no —como sucedía con el caso de la reclamante— en el de los “nulos” (supuesto no previsto en la normativa aplicable, tal y como se había puesto de manifiesto por la sentencia del Tribunal Supremo de 7 de julio de 1997).</w:t>
      </w:r>
    </w:p>
    <w:p w14:paraId="68F8E89A" w14:textId="77777777" w:rsidR="009D7677" w:rsidRDefault="009D7677" w:rsidP="009D7677">
      <w:pPr>
        <w:pStyle w:val="TextoNormal"/>
      </w:pPr>
    </w:p>
    <w:p w14:paraId="70287C49" w14:textId="77777777" w:rsidR="009D7677" w:rsidRDefault="009D7677" w:rsidP="009D7677">
      <w:pPr>
        <w:pStyle w:val="TextoNormal"/>
      </w:pPr>
      <w:r>
        <w:t>Mediante oficio de 11 de octubre de 2019 fue remitida la anterior propuesta a la Subdirección General de Recursos Económicos de la Administración de Justicia a los efectos de que se dictase la correspondiente resolución por el órgano competente. Esto se llevó a efecto, en fecha indeterminada, mediante resolución de la Dirección General de Relaciones con la Administración de Justicia, desestimatoria de la reclamación de los salarios de tramitación, con fundamento en que la normativa aplicable preveía la responsabilidad del Estado tan solo en los casos de despidos “improcedentes” y no en los de “nulidad”.</w:t>
      </w:r>
    </w:p>
    <w:p w14:paraId="73D684BB" w14:textId="77777777" w:rsidR="009D7677" w:rsidRDefault="009D7677" w:rsidP="009D7677">
      <w:pPr>
        <w:pStyle w:val="TextoNormal"/>
      </w:pPr>
    </w:p>
    <w:p w14:paraId="35FB05D5" w14:textId="77777777" w:rsidR="009D7677" w:rsidRDefault="009D7677" w:rsidP="009D7677">
      <w:pPr>
        <w:pStyle w:val="TextoNormal"/>
      </w:pPr>
      <w:r>
        <w:t>d) Demanda de reclamación de salarios de tramitación con cargo al Estado: antes del dictado de la anterior “resolución no fechada”, al considerar la parte recurrente en amparo que su reclamación había sido desestimada por silencio negativo, presentó una demanda (núm. 1069-2019) ante el mismo órgano que conoció del proceso de despido (de conformidad con lo previsto en el art. 8 del Real Decreto 418/2014, de 6 de junio), a saber, el Juzgado de lo Social núm. 2 de Barcelona. En su escrito de demanda denunciaba que el único motivo por el que se le había denegado su solicitud había sido su estado de embarazo, incurriendo la administración demandada en una discriminación directa por razón de sexo. Subrayaba que se encontraba en las mismas circunstancias que el resto de las trabajadoras despedidas por cuanto que, en todos los casos, la empresa había aducido la misma justificación del despido (causas económicas), había utilizado idéntica comunicación escrita para notificar la extinción del contrato de trabajo, había dejado impagada la correspondiente indemnización debido a la falta de liquidez y, en fin, había resultado condenada al abono de los salarios de tramitación devengados y al pago de la indemnización derivada de la imposible readmisión. En suma, solo a la actora se le impidió el acceso a la protección del Estado en caso de insolvencia empresarial con fundamento exclusivo en su situación de embarazo, en contra del principio de igualdad y de no discriminación consagrado en la Constitución (art. 14 CE), en el derecho de la Unión Europea, así como en la doctrina del Tribunal Constitucional y del Tribunal de Justicia de la Unión Europea.</w:t>
      </w:r>
    </w:p>
    <w:p w14:paraId="10C0441D" w14:textId="77777777" w:rsidR="009D7677" w:rsidRDefault="009D7677" w:rsidP="009D7677">
      <w:pPr>
        <w:pStyle w:val="TextoNormal"/>
      </w:pPr>
    </w:p>
    <w:p w14:paraId="7F0DBA32" w14:textId="77777777" w:rsidR="009D7677" w:rsidRDefault="009D7677" w:rsidP="009D7677">
      <w:pPr>
        <w:pStyle w:val="TextoNormal"/>
      </w:pPr>
      <w:r>
        <w:t xml:space="preserve">La anterior demanda fue desestimada por medio de sentencia núm. 265/2021, de 12 de julio, del Juzgado de lo Social núm. 2 de Barcelona. Tras exponerse el contenido de la normativa aplicable (que circunscribe la procedencia de los salarios de tramitación a cargo del Estado solo a los casos de “despido improcedente”), se recordó que la doctrina judicial era unánime al rechazar que pudiera operar la señalada normativa en los supuestos de “despido nulo”, debido a que se trataba de una normativa excepcional que, por definición, </w:t>
      </w:r>
      <w:r>
        <w:lastRenderedPageBreak/>
        <w:t>no podía entenderse aplicable por analogía a otros supuestos no previstos en la norma. En esa resolución judicial se trascribía el contenido de la sentencia de 16 de abril de 2018 de la Sala de lo Social del Tribunal Superior de Justicia de Madrid, que recogía la postura del Tribunal Supremo mantenida al respecto y que subrayaba que la responsabilidad del Estado establecida en la ley se limitaba exclusivamente al despido improcedente, con base a los siguientes argumentos: “a) los preceptos legales de los artículos 56 LET y 116 LPL [Ley de procedimiento laboral] se refieren sin lugar a dudas al despido improcedente y no al despido nulo; b) resulta inimaginable que el legislador haya incurrido en formulación defectuosa del mandato contenido en estos preceptos, habida cuenta del carácter central que las calificaciones de nulidad o improcedencia del despido tienen en el régimen jurídico de esta institución; y c) la transferencia al Estado de la responsabilidad empresarial de la indemnización de salarios de tramitación tiene carácter excepcional, y debe por tanto ser interpretada de manera estricta”. Y a estas razones de interpretación gramatical y lógica —continuaba la sentencia— se podía añadir una interpretación finalista (en la línea ya adoptada por sentencias del Tribunal Supremo de 3 de junio de 1996 y de 8 de julio de 1996), conforme a la cual “la transferencia al Estado de la indemnización de los salarios de tramitación no está inspirada en el principio de responsabilidad estatal por los daños causados por el funcionamiento anormal de la administración de justicia, sino que es solamente un supuesto de imputación de responsabilidad a los poderes públicos con propósito de aliviar a las empresas de determinados costes derivados del mero transcurso del tiempo en la resolución de los procesos de despido”. En fin, a reglón seguido, la resolución del juzgado citó —entre otras— la sentencia de 26 de mayo de 2015 de la misma Sala de lo Social del Tribunal Superior de Justicia de Madrid, la cual, tras remitirse a la anterior jurisprudencia, añadió que: “En su consecuencia, en los casos de despidos nulos el empresario es el único responsable de su abono, cualquiera que haya sido el tiempo de duración del proceso, lo que es utilizado como argumento por un sector doctrinal para entender que mientras los salarios de tramitación en el despido nulo tienen verdadera naturaleza salarial, en cambio, cuando se trata de despidos calificados de improcedentes, su naturaleza vendría a ser indemnizatoria”.</w:t>
      </w:r>
    </w:p>
    <w:p w14:paraId="27456D4B" w14:textId="77777777" w:rsidR="009D7677" w:rsidRDefault="009D7677" w:rsidP="009D7677">
      <w:pPr>
        <w:pStyle w:val="TextoNormal"/>
      </w:pPr>
    </w:p>
    <w:p w14:paraId="6AE73617" w14:textId="77777777" w:rsidR="009D7677" w:rsidRDefault="009D7677" w:rsidP="009D7677">
      <w:pPr>
        <w:pStyle w:val="TextoNormal"/>
      </w:pPr>
      <w:r>
        <w:t>Una vez expuesta por el Juzgado de lo Social núm. 2 de Barcelona la interpretación jurisprudencial y judicial realizada al respecto, negó la existencia de la denunciada “discriminación directa”, si bien reconociendo la peculiaridad del supuesto en tanto que, de las trabajadoras que accionaron, la que acabó siendo más perjudicada fue aquella a la que se declaró la nulidad de su despido debido a su estado de embarazo, pues a las restantes se les reconoció la responsabilidad del Estado (como consecuencia de la insolvencia empresarial) al haberse calificado su despido como improcedente (por no concurrir circunstancia agravatoria de su situación que pudiera desembocar en la nulidad del despido). El juzgado fundó su decisión en que la normativa no contemplaba distinción alguna para los casos de nulidad por maternidad, ni tampoco la resolución impugnada había tomado la decisión basándose en la condición de embarazo, de manera que, en las reclamaciones de cantidades concurría una distinción que impedía la comparación válida de ambas situaciones: si bien, en el caso de la recurrente el despido fue declarado “nulo”, en el de las restantes trabajadores fue considerado como “improcedente”. A su juicio, no se había tratado de forma desigual situaciones que pudiesen considerarse iguales o análogas, pues la sentencia de despido (precisamente porque lo había solicitado la propia actora) calificó de forma jurídicamente distinta los despidos de una y otras. En suma, la maternidad no había servido co</w:t>
      </w:r>
      <w:r>
        <w:lastRenderedPageBreak/>
        <w:t>mo elemento de diferenciación, sino que lo fue la calificación jurídica del despido, por más que esta derivara de aquella.</w:t>
      </w:r>
    </w:p>
    <w:p w14:paraId="4D60B06B" w14:textId="77777777" w:rsidR="009D7677" w:rsidRDefault="009D7677" w:rsidP="009D7677">
      <w:pPr>
        <w:pStyle w:val="TextoNormal"/>
      </w:pPr>
    </w:p>
    <w:p w14:paraId="3618FF97" w14:textId="77777777" w:rsidR="009D7677" w:rsidRDefault="009D7677" w:rsidP="009D7677">
      <w:pPr>
        <w:pStyle w:val="TextoNormal"/>
      </w:pPr>
      <w:r>
        <w:t>Por otra parte, con relación a la posible concurrencia de una “discriminación indirecta”, el juzgado reconoció que era innegable la singularidad del supuesto porque, a fin de cuentas, fue su condición de embarazada en el momento del despido la que la habría impedido finalmente resarcirse del Estado la cuantía de unos salarios que sus compañeras sí tuvieron la ocasión de percibir. De este modo, resultaba sugerente la tesis de la demandante, fundada en la idea de que los arts. 57 LET y 116 de la Ley reguladora de la jurisdicción social (LJS) se dirigían a la protección de los trabajadores, por lo que “desde la perspectiva de la justicia material, o incluso meramente intuitiva, parece que esa situación deb[ería] ser reparada”. Sin embargo, para el juzgado, ni era procedente el planteamiento de una cuestión de inconstitucionalidad (respecto del citado art. 116 LJS), ni faltaban razones para sostener lo contrario (con fundamento en las sentencias del Tribunal Supremo de 26 de febrero de 2008 y de 19 de junio de 1998), concretamente, que la finalidad de la norma no podía concebirse como un mecanismo de protección a los trabajadores (por más que, finalmente, en caso de insolvencia garantiza el cobro de los salarios), dado que esa “protección” derivaría de la calificación del despido como nulo, circunstancia que provocaba que se desplegasen todos los efectos potenciales. Además, la trabajadora embarazada podía contar con las prestaciones por desempleo (que, en ese caso, percibió) y con la responsabilidad del FOGASA (aunque dentro de sus topes).</w:t>
      </w:r>
    </w:p>
    <w:p w14:paraId="693B10A5" w14:textId="77777777" w:rsidR="009D7677" w:rsidRDefault="009D7677" w:rsidP="009D7677">
      <w:pPr>
        <w:pStyle w:val="TextoNormal"/>
      </w:pPr>
    </w:p>
    <w:p w14:paraId="3768803C" w14:textId="77777777" w:rsidR="009D7677" w:rsidRDefault="009D7677" w:rsidP="009D7677">
      <w:pPr>
        <w:pStyle w:val="TextoNormal"/>
      </w:pPr>
      <w:r>
        <w:t>En suma, a juicio del juzgado, existían razones objetivas que explicaban que el legislador hubiera optado por trasladar al Estado la responsabilidad solo cuando el despido fuera considerado “improcedente”, existiendo medidas de protección alternativas para los “nulos” (desempleo y FOGASA), hasta el punto que cabría pensar que el legislador no quiso aliviar a las empresas del coste de salarios en procedimientos excesivamente dilatados en el tiempo cuando el despido fuera declarado nulo, precisamente, para evitar la protección que ello supondría para las propias mercantiles. Por consiguiente, aunque en el caso concreto la trabajadora cuyo despido era declarado nulo (por embarazo) no cobrase del Estado los salarios de tramitación (mientras que sí lo hacían las que obtuvieron la declaración de improcedencia), lo cierto era que la norma estaba destinada a aliviar a las empresas del coste de salarios cuando se produjese un retraso en la administración de justicia, de modo que, en ese concreto ámbito, no podía pretenderse la operatividad de la protección instada.</w:t>
      </w:r>
    </w:p>
    <w:p w14:paraId="583A31FF" w14:textId="77777777" w:rsidR="009D7677" w:rsidRDefault="009D7677" w:rsidP="009D7677">
      <w:pPr>
        <w:pStyle w:val="TextoNormal"/>
      </w:pPr>
    </w:p>
    <w:p w14:paraId="004CBC34" w14:textId="77777777" w:rsidR="009D7677" w:rsidRDefault="009D7677" w:rsidP="009D7677">
      <w:pPr>
        <w:pStyle w:val="TextoNormal"/>
      </w:pPr>
      <w:r>
        <w:t>e) Recurso de suplicación: contra la anterior sentencia la parte actora interpuso el correspondiente recurso de suplicación (núm. 749-2022), interesando el examen de infracciones de normas sustantivas y de jurisprudencia al amparo del apartado c) del art. 193 LJS, al considerar que el art. 116.2 LJS había sido interpretado erróneamente, con infracción, entre otros, del art. 14 CE y de la doctrina constitucional que lo interpretaba. Insistió la actora en la indeseable situación generada y en la necesidad de su reparación, al haberse producido una discriminación directa y/o indirecta por razón de embarazo, instando al órgano judicial al planteamiento de una cuestión de inconstitucionalidad.</w:t>
      </w:r>
    </w:p>
    <w:p w14:paraId="243ADF17" w14:textId="77777777" w:rsidR="009D7677" w:rsidRDefault="009D7677" w:rsidP="009D7677">
      <w:pPr>
        <w:pStyle w:val="TextoNormal"/>
      </w:pPr>
    </w:p>
    <w:p w14:paraId="0F553AAF" w14:textId="2F7F85F4" w:rsidR="009D7677" w:rsidRDefault="009D7677" w:rsidP="009D7677">
      <w:pPr>
        <w:pStyle w:val="TextoNormal"/>
      </w:pPr>
      <w:r>
        <w:t>El recurso fue desestimado por medio de sentencia núm. 3447/2022, de 13 de junio de 2022, de la Sala de lo Social del Tribunal Superior de Justicia de Cataluña, que confirmó lo decidido en la instancia. Tras sintetizar la Sala la doctrina aplicable al caso, recogiendo los argumentos ofrecidos por el juzgado, concluyó negando la existencia de discrimina</w:t>
      </w:r>
      <w:r>
        <w:lastRenderedPageBreak/>
        <w:t>ción (directa o indirecta) por el hecho de que el abono de los salarios de tramitación por el Estado se produjese solo en aquellos casos en los que el despido hubiera sido declarado “improcedente” y no “nulo”, ya que, en ambos casos, la trabajadora tenía un sujeto pagador de sus salarios de tramitación, siendo únicamente la diferencia quién era este, pues en el caso de trabajadoras embarazadas sería la empresa y en el de las no embarazadas lo serían el Estado y la empresa (según se tratase de unos períodos u otros). La finalidad de esa responsabilidad estatal se hallaba en aliviar a las empresas de determinados costes derivados del mero transcurso del tiempo en la resolución de los procesos de despido y no en satisfacer los salarios de tramitación a las trabajadoras. Por ello, entendió la Sala que no existía la vulneración invocada por la recurrente, siendo innecesario plantear cuestión de inconstitucionalidad.</w:t>
      </w:r>
    </w:p>
    <w:p w14:paraId="78F1DF76" w14:textId="77777777" w:rsidR="009D7677" w:rsidRDefault="009D7677" w:rsidP="009D7677">
      <w:pPr>
        <w:pStyle w:val="TextoNormal"/>
      </w:pPr>
    </w:p>
    <w:p w14:paraId="5F30CD90" w14:textId="77777777" w:rsidR="009D7677" w:rsidRDefault="009D7677" w:rsidP="009D7677">
      <w:pPr>
        <w:pStyle w:val="TextoNormal"/>
      </w:pPr>
      <w:r w:rsidRPr="009D7677">
        <w:rPr>
          <w:rStyle w:val="NumeroAFNegritaCaracter"/>
        </w:rPr>
        <w:t>3</w:t>
      </w:r>
      <w:r>
        <w:t>. La demanda de amparo considera que tanto la resolución administrativa que denegó a la recurrente los salarios de tramitación reclamados al Estado, como las sentencias núm. 265/2021, de 12 de julio de 2021 del Juzgado de lo Social núm. 2 de Barcelona, y 3447/2022, de 13 de junio de 2022, de la Sala de lo Social del Tribunal Superior de Justicia de Cataluña, que la confirmaron, han vulnerado el principio de igualdad de trato y la prohibición de discriminación por razón de sexo (art. 14 CE), pues el embarazo ha servido como un elemento o factor diferencial que ha impedido a la recurrente la percepción de los salarios de tramitación a cargo del Estado.</w:t>
      </w:r>
    </w:p>
    <w:p w14:paraId="4DFDDD6C" w14:textId="77777777" w:rsidR="009D7677" w:rsidRDefault="009D7677" w:rsidP="009D7677">
      <w:pPr>
        <w:pStyle w:val="TextoNormal"/>
      </w:pPr>
    </w:p>
    <w:p w14:paraId="579F9E95" w14:textId="77777777" w:rsidR="009D7677" w:rsidRDefault="009D7677" w:rsidP="009D7677">
      <w:pPr>
        <w:pStyle w:val="TextoNormal"/>
      </w:pPr>
      <w:r>
        <w:t>En primer lugar, sostiene la vulneración del derecho a la igualdad (art. 14 CE) al darse todos los requisitos exigidos por la doctrina constitucional para apreciar su infracción (STC 79/2020, de 2 de julio, FJ 4), a saber: (i) existe una evidente diferencia de trato entre la trabajadora demandante de amparo, que ha visto denegada su solicitud de abono de los salarios de tramitación por parte del Estado, y su compañera de trabajo, a quien le fue estimada idéntica pretensión; (ii) las situaciones subjetivas que se traen a comparación son absolutamente homogéneas pues, como destacan los propios pronunciamientos judiciales, la única diferencia existente entre ambas trabajadoras era la condición de embarazada de la recurrente. En este punto, se señala que no se puede compartir la tesis sostenida por las sentencias recurridas de que la diferencia de trato nace de la distinta calificación jurídica del despido, orillando que tal diferencia se ha producido única y exclusivamente por el embarazo de la demandante. Este extremo es indiscutible pues, precisamente por esa condición de embarazada, tornó el despido de improcedente a nulo, con los efectos jurídicos correspondientes. Se recuerda, además, que en los casos de insolvencia empresarial las trabajadoras que han visto declarada la improcedencia de sus despidos perciben cantidades por parte del Estado, mientras que la trabajadora que ha visto declarada la nulidad, por su condición de embarazada, no goza de la protección frente a la insolvencia, quedando sin percibir cantidad alguna.</w:t>
      </w:r>
    </w:p>
    <w:p w14:paraId="36135D98" w14:textId="77777777" w:rsidR="009D7677" w:rsidRDefault="009D7677" w:rsidP="009D7677">
      <w:pPr>
        <w:pStyle w:val="TextoNormal"/>
      </w:pPr>
    </w:p>
    <w:p w14:paraId="2D3C1905" w14:textId="77777777" w:rsidR="009D7677" w:rsidRDefault="009D7677" w:rsidP="009D7677">
      <w:pPr>
        <w:pStyle w:val="TextoNormal"/>
      </w:pPr>
      <w:r>
        <w:t xml:space="preserve">En segundo lugar, aduce la recurrente la vulneración del derecho a la no discriminación por razón de sexo (art. 14 CE), haciendo referencia a la doctrina constitucional sobre tal tipo de discriminación, a la positivización del criterio jurisprudencial de la discriminación directa en el art. 8 de la Ley 3/2007, de igualdad efectiva entre hombres y mujeres, y a la discriminación indirecta descrita en el art. 1 b) de la Directiva 2006/54/CE del Parlamento europeo y del Consejo, de 5 de julio de 2006, relativa a la aplicación del principio de igualdad de oportunidades de trato entre hombres y mujeres en asuntos de empleo y de ocupación. Tras ello, afirma que nos encontramos ante dos normas aparentemente neutras </w:t>
      </w:r>
      <w:r>
        <w:lastRenderedPageBreak/>
        <w:t>(de un lado, la que prevé la protección frente al despido injustificado de las trabajadoras embarazadas; de otro, la que permite a los trabajadores reclamar al Estado el pago de salarios de tramitación en los supuestos de insolvencia empresarial) que, en su interpretación conjunta, llevan a un trato peyorativo de las trabajadoras embarazadas en el momento del despido. En efecto, aunque ambas disposiciones normativas en su interpretación aislada contienen disposiciones acordes con el contenido constitucional, aplicadas conjuntamente arrojan una situación claramente peyorativa para las mujeres que carece de una finalidad legítima que pueda justificar la diferencia de trato. De hecho, el propio juzgador de instancia reconoce que, en una aproximación desde la perspectiva de la justicia material o meramente intuitiva, parece que esta situación debiera ser reparada, descartando con ello la existencia de alguna causa justificativa y objetivable que validase la diferencia de trato. Asimismo, recuerda que este tribunal ha tenido la oportunidad de aplicar tal doctrina en materia de pensiones de incapacidad (STC 155/2021, de 13 de septiembre) y de jubilación (STC 91/2019, de 3 de julio), en las que ha declarado el carácter discriminatorio de las normas reguladoras —aparentemente neutras— al conllevar un trato peyorativo para el colectivo de los trabajadores a tiempo parcial, que viene ocupado mayoritariamente por mujeres. A su juicio, la situación que se plantea, en una interpretación conjunta de las normas, ostentaría ciertas notas de similitud.</w:t>
      </w:r>
    </w:p>
    <w:p w14:paraId="7BE7666B" w14:textId="77777777" w:rsidR="009D7677" w:rsidRDefault="009D7677" w:rsidP="009D7677">
      <w:pPr>
        <w:pStyle w:val="TextoNormal"/>
      </w:pPr>
    </w:p>
    <w:p w14:paraId="6B6F71A5" w14:textId="0D2556E1" w:rsidR="009D7677" w:rsidRDefault="009D7677" w:rsidP="009D7677">
      <w:pPr>
        <w:pStyle w:val="TextoNormal"/>
      </w:pPr>
      <w:r>
        <w:t>En cuanto a la especial trascendencia constitucional del recurso formulado, se afirma que: (i) la lesión constitucional provendría de la ley, al no brindar a las trabajadoras embarazadas cuyo despido sea declarado nulo la protección frente a la insolvencia empresarial para la reclamación al Estado de los salarios de tramitación, afectando tal situación potencialmente a todas las mujeres trabajadoras que puedan quedarse embarazadas; (ii) la lesión traería causa de una reiterada interpretación jurisprudencial de la ley por la Sala de lo Social del Tribunal Supremo, según la cual no corresponde el abono de los salarios de tramitación con cargo al Estado en los despidos declarados nulos, sin atender al criterio diferencial concurrente del embarazo en casos como el planteado (de insolvencia empresarial), siendo preciso que dicha doctrina sea matizada, pues la declaración automática de nulidad de los despidos injustificados de las trabajadoras embarazadas las despoja de la protección frente al empresario insolvente; y (iii) se plantearía un problema o una faceta de un derecho fundamental susceptible de amparo sobre el que no hay doctrina constitucional, como lo es el de la existencia de la discriminación que sufren las mujeres embarazadas en la protección que mantienen frente a la insolvencia empresarial. Insiste la parte recurrente, a tal fin, en que cuando se conjuga la protección a los salarios de tramitación (arts. 116 LJS y 2 del Real decreto 418/2014) con la del despido (arts. 53 y 55 LET), se produce como efecto el que las trabajadoras embarazadas pierdan la protección frente al empresario insolvente. Por consiguiente —se concluye—, la evolución legislativa y socio-política permitiría considerar necesario un pronunciamiento del Tribunal Constitucional al respecto.</w:t>
      </w:r>
    </w:p>
    <w:p w14:paraId="6AC51E9C" w14:textId="77777777" w:rsidR="009D7677" w:rsidRDefault="009D7677" w:rsidP="009D7677">
      <w:pPr>
        <w:pStyle w:val="TextoNormal"/>
      </w:pPr>
    </w:p>
    <w:p w14:paraId="17514202" w14:textId="05955CCA" w:rsidR="009D7677" w:rsidRDefault="009D7677" w:rsidP="009D7677">
      <w:pPr>
        <w:pStyle w:val="TextoNormal"/>
      </w:pPr>
      <w:r w:rsidRPr="009D7677">
        <w:rPr>
          <w:rStyle w:val="NumeroAFNegritaCaracter"/>
        </w:rPr>
        <w:t>4</w:t>
      </w:r>
      <w:r>
        <w:t xml:space="preserve">. La Sección Segunda de este tribunal, mediante providencia de 27 de marzo de 2023 acordó la admisión a trámite del recurso al apreciar que su contenido justificaba una decisión sobre el fondo por parte del Tribunal por su especial trascendencia constitucional [art. 50.1 de la Ley Orgánica del Tribunal Constitucional (LOTC)], al plantear un problema o una faceta de un derecho fundamental sobre el que no había doctrina [STC 155/2009, de 25 de junio, FJ 2 a)], y, asimismo, que la posible vulneración del derecho fundamental que se denunciaba podía provenir de la ley o de otra disposición de carácter general [STC 155/2009, FJ 2 c)]. Acordó igualmente dirigir atenta comunicación a la Sala de lo Social </w:t>
      </w:r>
      <w:r>
        <w:lastRenderedPageBreak/>
        <w:t>del Tribunal Superior de Justicia de Cataluña, así como al Juzgado de lo Social núm. 2 de Barcelona, a fin de que, en plazo que no excediera de diez días, remitiesen certificación o fotocopia adverada de las actuaciones correspondientes, respectivamente, al recurso de suplicación núm. 749-2022, y a los autos de reclamación al Estado de salarios de tramitación núm. 1069-2019, debiendo previamente emplazarse por ese último, para que en el plazo de diez días pudieran comparecer en el recurso de amparo, si lo deseaban, a quienes hubieran sido parte en el procedimiento, excepto la parte recurrente en amparo.</w:t>
      </w:r>
    </w:p>
    <w:p w14:paraId="236C98E2" w14:textId="77777777" w:rsidR="009D7677" w:rsidRDefault="009D7677" w:rsidP="009D7677">
      <w:pPr>
        <w:pStyle w:val="TextoNormal"/>
      </w:pPr>
    </w:p>
    <w:p w14:paraId="4CD1F91D" w14:textId="2E4EA773" w:rsidR="009D7677" w:rsidRDefault="009D7677" w:rsidP="009D7677">
      <w:pPr>
        <w:pStyle w:val="TextoNormal"/>
      </w:pPr>
      <w:r w:rsidRPr="009D7677">
        <w:rPr>
          <w:rStyle w:val="NumeroAFNegritaCaracter"/>
        </w:rPr>
        <w:t>5</w:t>
      </w:r>
      <w:r>
        <w:t>. Con fecha de 4 de mayo de 2023 tuvo su entrada en el registro de este tribunal un escrito por el que el abogado del Estado en la representación que ostenta se personaba en el presente recurso de amparo.</w:t>
      </w:r>
    </w:p>
    <w:p w14:paraId="720E4123" w14:textId="77777777" w:rsidR="009D7677" w:rsidRDefault="009D7677" w:rsidP="009D7677">
      <w:pPr>
        <w:pStyle w:val="TextoNormal"/>
      </w:pPr>
    </w:p>
    <w:p w14:paraId="36836B85" w14:textId="5A18C51D" w:rsidR="009D7677" w:rsidRDefault="009D7677" w:rsidP="009D7677">
      <w:pPr>
        <w:pStyle w:val="TextoNormal"/>
      </w:pPr>
      <w:r w:rsidRPr="009D7677">
        <w:rPr>
          <w:rStyle w:val="NumeroAFNegritaCaracter"/>
        </w:rPr>
        <w:t>6</w:t>
      </w:r>
      <w:r>
        <w:t>. Por diligencia de ordenación de 18 de mayo de 2023 se tuvo por personado y parte en el procedimiento al abogado del Estado en la representación que ostenta, acordándose entender con él las sucesivas actuaciones, y se dio vista de las recibidas a las partes personas y al Ministerio Fiscal por plazo común de veinte días, para que pudieran presentar las alegaciones que estimasen pertinentes de conformidad con el art. 52.1 LOTC. Finalmente, habiéndose recibido comunicación del Juzgado de lo Social núm. 2 de Barcelona por la que se manifestaba que la entidad Petmark, S.L., no se había personado en los autos de reclamación al Estado de salarios de tramitación núm. 1069-2019 y que se había realizado la notificación de terminación por edictos, se acordó que se librase oficio a dicho órgano judicial para que procedieran a su emplazamiento a fin de que pudiera personarse en las actuaciones en el plazo de diez días y conferirle traslado para realizar alegaciones.</w:t>
      </w:r>
    </w:p>
    <w:p w14:paraId="039AFE28" w14:textId="77777777" w:rsidR="009D7677" w:rsidRDefault="009D7677" w:rsidP="009D7677">
      <w:pPr>
        <w:pStyle w:val="TextoNormal"/>
      </w:pPr>
    </w:p>
    <w:p w14:paraId="7D1C1AA3" w14:textId="64E3EC1A" w:rsidR="009D7677" w:rsidRDefault="009D7677" w:rsidP="009D7677">
      <w:pPr>
        <w:pStyle w:val="TextoNormal"/>
      </w:pPr>
      <w:r w:rsidRPr="009D7677">
        <w:rPr>
          <w:rStyle w:val="NumeroAFNegritaCaracter"/>
        </w:rPr>
        <w:t>7</w:t>
      </w:r>
      <w:r>
        <w:t>. Por escrito de 15 de junio de 2023, la procuradora de los tribunales doña Isabel Torres Ruiz, en nombre y representación de la recurrente en amparo, evacuó el trámite conferido y se ratificó en lo expuesto en su escrito inicial de demanda, solicitando la estimación del recurso de amparo.</w:t>
      </w:r>
    </w:p>
    <w:p w14:paraId="7DDF83DE" w14:textId="77777777" w:rsidR="009D7677" w:rsidRDefault="009D7677" w:rsidP="009D7677">
      <w:pPr>
        <w:pStyle w:val="TextoNormal"/>
      </w:pPr>
    </w:p>
    <w:p w14:paraId="6DD8F0E9" w14:textId="0C1BB608" w:rsidR="009D7677" w:rsidRDefault="009D7677" w:rsidP="009D7677">
      <w:pPr>
        <w:pStyle w:val="TextoNormal"/>
      </w:pPr>
      <w:r w:rsidRPr="009D7677">
        <w:rPr>
          <w:rStyle w:val="NumeroAFNegritaCaracter"/>
        </w:rPr>
        <w:t>8</w:t>
      </w:r>
      <w:r>
        <w:t>. Por diligencia de ordenación de 21 de junio de 2023 se hizo constar que, habiendo transcurrido el plazo de diez días conferido en la diligencia de 18 de mayo de 2023, notificada a la entidad Petmark, S.L., por edicto publicado en el “Boletín Oficial del Estado” de 6 de junio de 2023 [núm. 134 (tablón edictal judicial único)], no se había personado en las actuaciones.</w:t>
      </w:r>
    </w:p>
    <w:p w14:paraId="4154CACC" w14:textId="77777777" w:rsidR="009D7677" w:rsidRDefault="009D7677" w:rsidP="009D7677">
      <w:pPr>
        <w:pStyle w:val="TextoNormal"/>
      </w:pPr>
    </w:p>
    <w:p w14:paraId="1C799DF2" w14:textId="77777777" w:rsidR="009D7677" w:rsidRDefault="009D7677" w:rsidP="009D7677">
      <w:pPr>
        <w:pStyle w:val="TextoNormal"/>
      </w:pPr>
      <w:r w:rsidRPr="009D7677">
        <w:rPr>
          <w:rStyle w:val="NumeroAFNegritaCaracter"/>
        </w:rPr>
        <w:t>9</w:t>
      </w:r>
      <w:r>
        <w:t xml:space="preserve">. Por escrito que tuvo entrada en el registro de este tribunal con fecha de 16 de junio de 2023, el abogado del Estado presentó escrito de alegaciones negando la vulneración del derecho a la igualdad (art. 14 CE) por falta de aportación de un </w:t>
      </w:r>
      <w:r w:rsidRPr="009D7677">
        <w:rPr>
          <w:i/>
        </w:rPr>
        <w:t>tertium comparationis</w:t>
      </w:r>
      <w:r>
        <w:t xml:space="preserve"> válido, ya que la recurrente estaría considerando como idénticas dos situaciones diferentes, como son el despido nulo y el improcedente, que tienen consecuencias jurídicas diversas. A su juicio, el legislador posee un margen de discrecionalidad al regular la improcedencia y la nulidad de los despidos, teniendo en cuenta las diferentes causas a las que obedecen y las consecuencias que a una y a otra calificación se anudan. De este modo, el hecho de que no se haya previsto para el despido nulo el devengo de salarios de tramitación, partiría de la base de que, </w:t>
      </w:r>
      <w:r w:rsidRPr="009D7677">
        <w:rPr>
          <w:i/>
        </w:rPr>
        <w:t>a priori</w:t>
      </w:r>
      <w:r>
        <w:t>, la declaración del despido nulo resulta más protectora para el trabajador en tanto que, debido a la mayor gravedad de la conducta sancionada, se impone legalmente su readmisión en su puesto de trabajo con abono de todo lo debido.</w:t>
      </w:r>
    </w:p>
    <w:p w14:paraId="08E64324" w14:textId="77777777" w:rsidR="009D7677" w:rsidRDefault="009D7677" w:rsidP="009D7677">
      <w:pPr>
        <w:pStyle w:val="TextoNormal"/>
      </w:pPr>
    </w:p>
    <w:p w14:paraId="79BCE86E" w14:textId="77777777" w:rsidR="009D7677" w:rsidRDefault="009D7677" w:rsidP="009D7677">
      <w:pPr>
        <w:pStyle w:val="TextoNormal"/>
      </w:pPr>
      <w:r>
        <w:t xml:space="preserve">Subraya el abogado del Estado que la discriminación que se denuncia derivaría de la ley y no de su aplicación, que resulta clara en su contenido, encontrándose el órgano judicial vinculado a ella en sus decisiones (art. 117 CE), por lo que debe aplicarla con sus diferencias de tratamiento legislativo. A su juicio, realmente lo que la parte recurrente pretende es que se le reconozca un derecho a la igualdad “por indiferenciación” respecto de los demás supuestos posibles de despido nulo previstos en la ley, lo que exigiría una reforma legislativa. Sin embargo, la pretendida modificación de la norma no podría realizarse por vía de amparo, sino a través de los procesos constitucionales previstos para la impugnación en abstracto de las leyes, declarando, en su caso, su inconstitucionalidad, salvo que se plantease una cuestión interna por este Tribunal Constitucional al amparo del art. 55.2 LOTC. Esta vía, sin embargo, tampoco resultaría procedente, pues la diferencia de régimen entre el despido nulo y el improcedente, salvo disfunciones ocasionales en cuanto a las consecuencias que pueda ocasionar, resulta lógica y razonable, adecuada a la diferente naturaleza de cada uno de ellos y proporcionada a sus fines. En fin, entiende que tampoco cabría abordar subsidiariamente el caso concreto a través de la vía de amparo, pues al efectuarse un inexistente reproche a la ley no cabría apreciar </w:t>
      </w:r>
      <w:r w:rsidRPr="009D7677">
        <w:rPr>
          <w:i/>
        </w:rPr>
        <w:t>a priori</w:t>
      </w:r>
      <w:r>
        <w:t xml:space="preserve"> la trascendencia constitucional del recurso.</w:t>
      </w:r>
    </w:p>
    <w:p w14:paraId="79F38F31" w14:textId="77777777" w:rsidR="009D7677" w:rsidRDefault="009D7677" w:rsidP="009D7677">
      <w:pPr>
        <w:pStyle w:val="TextoNormal"/>
      </w:pPr>
    </w:p>
    <w:p w14:paraId="1F3748A0" w14:textId="77777777" w:rsidR="009D7677" w:rsidRDefault="009D7677" w:rsidP="009D7677">
      <w:pPr>
        <w:pStyle w:val="TextoNormal"/>
      </w:pPr>
      <w:r>
        <w:t>Una vez negada la vulneración del art. 14 CE desde la perspectiva del derecho a la igualdad, el abogado del Estado descarta también la infracción de ese precepto constitucional desde el prisma de la prohibición de discriminación. Insiste de nuevo en que la parte, de forma implícita, viene a reprochar al legislador el haber establecido una regulación discriminatoria por indiferenciación, al quejarse de un injusto tratamiento legal distinto. Destaca a estos efectos que la parte no se queja de que su despido haya sido declarado nulo, sino de que la ley no haya previsto una consecuencia indemnizatoria alternativa y, por lo tanto, más favorable que la que el ordenamiento jurídico prevé con carácter general para los demás casos de despido nulo (arts. 55 LET y 108 LJS). De este modo, lo que defiende la parte es que la norma tendría que distinguir las consecuencias legales del despido por embarazo de los demás supuestos de despido nulo. En otras palabras, se estaría poniendo de manifiesto un defecto por omisión de la norma reguladora, al no establecer una diferencia positiva a favor del despido nulo por embarazo, de manera que la hipotética modificación de la ley exigiría también su declaración de inconstitucionalidad. Subraya a estos efectos que en el caso de autos la administración competente no pudo actuar de manera distinta a la que lo hizo (denegando la petición), pues tenía que aplicar la norma y esta no preveía el pago de salarios de tramitación por el Estado en caso de despido declarado nulo. Y los órganos jurisdiccionales confirmaron tal decisión administrativa, como no podía ser de otro modo, en aplicación de la ley al caso concreto (art. 117.3 CE).</w:t>
      </w:r>
    </w:p>
    <w:p w14:paraId="78B08D31" w14:textId="77777777" w:rsidR="009D7677" w:rsidRDefault="009D7677" w:rsidP="009D7677">
      <w:pPr>
        <w:pStyle w:val="TextoNormal"/>
      </w:pPr>
    </w:p>
    <w:p w14:paraId="5C88741B" w14:textId="77777777" w:rsidR="009D7677" w:rsidRDefault="009D7677" w:rsidP="009D7677">
      <w:pPr>
        <w:pStyle w:val="TextoNormal"/>
      </w:pPr>
      <w:r>
        <w:t xml:space="preserve">Como había anticipado al principio de sus alegaciones, considera el abogado del Estado que no concurre el requisito de especial trascendencia constitucional dado que: (i) no existe vulneración de derecho fundamental imputable a la ley, por cuanto que la norma no contraviene el art. 14 CE y de lo que se queja la parte, en realidad, es de que la misma no haya previsto una preferencia favorable a favor del despido nulo por embarazo respecto de las demás causas de nulidad; (ii) de existir, no traería causa en una “reiterada interpretación jurisprudencial de la ley” contraria a la Constitución, en tanto que los órganos judiciales no han creado una diferencia de trato respecto a los efectos del despido en orden al devengo y abono de salarios de tramitación sino que se han limitado a aplicar la ley; (iii) </w:t>
      </w:r>
      <w:r>
        <w:lastRenderedPageBreak/>
        <w:t>tampoco el recurso plantearía un “problema o una faceta de un derecho fundamental susceptible de amparo sobre el que no haya doctrina del Tribunal Constitucional”, porque la ley no establece distinción alguna entre los casos que integran los posibles supuestos de despido nulo en cuanto a su definición legal y sus consecuencias jurídicas, no siendo posible entrar a juzgar si desde la perspectiva constitucional dicho régimen resulta ser discriminatorio o no; y (iv) el análisis pretendido no podría hacerse en un proceso de amparo sino, todo lo más, en el seno de un proceso de enjuiciamiento de la norma en abstracto.</w:t>
      </w:r>
    </w:p>
    <w:p w14:paraId="66806F45" w14:textId="77777777" w:rsidR="009D7677" w:rsidRDefault="009D7677" w:rsidP="009D7677">
      <w:pPr>
        <w:pStyle w:val="TextoNormal"/>
      </w:pPr>
    </w:p>
    <w:p w14:paraId="083441F1" w14:textId="6839AAB7" w:rsidR="009D7677" w:rsidRDefault="009D7677" w:rsidP="009D7677">
      <w:pPr>
        <w:pStyle w:val="TextoNormal"/>
      </w:pPr>
      <w:r>
        <w:t>A la vista de todo lo anterior, solicita la inadmisión del recurso por carecer de especial trascendencia constitucional y, subsidiariamente, que se desestime íntegramente.</w:t>
      </w:r>
    </w:p>
    <w:p w14:paraId="35F1A965" w14:textId="77777777" w:rsidR="009D7677" w:rsidRDefault="009D7677" w:rsidP="009D7677">
      <w:pPr>
        <w:pStyle w:val="TextoNormal"/>
      </w:pPr>
    </w:p>
    <w:p w14:paraId="69C7DCA7" w14:textId="77777777" w:rsidR="009D7677" w:rsidRDefault="009D7677" w:rsidP="009D7677">
      <w:pPr>
        <w:pStyle w:val="TextoNormal"/>
      </w:pPr>
      <w:r w:rsidRPr="009D7677">
        <w:rPr>
          <w:rStyle w:val="NumeroAFNegritaCaracter"/>
        </w:rPr>
        <w:t>10</w:t>
      </w:r>
      <w:r>
        <w:t>. Por escrito que tuvo entrada en el registro de este tribunal el 23 de junio de 2023, el Ministerio Fiscal evacuó el trámite de alegaciones conferido. Comienza su escrito haciendo una síntesis de los antecedentes de hecho, del contenido de las resoluciones judiciales impugnadas, de las vulneraciones constitucionales aducidas por la recurrente y de la doctrina constitucional sobre el derecho a la igualdad y prohibición de discriminación (con cita, entre otras, de la STC 91/2019, de 3 de julio, FJ 4), con especial mención a la discriminación por razón de sexo en materia laboral (STC 214/2006, de 3 de julio, FJ 3), tanto en su modalidad directa como indirecta. A continuación, señala que como la pretensión de la demandante de amparo ante la administración fue obtener el abono de una cantidad a cargo del Estado con fundamento en el art. 56.5 LET y, dado que en esta norma también se hace referencia a la Seguridad Social, a su juicio, se produce una cierta proximidad con los supuestos de reclamación de prestaciones de la Seguridad Social, por lo que hace mención de la doctrina constitucional relativa al amplio margen del legislador para la configuración del sistema de Seguridad Social [SSTC 41/2013, de 14 de febrero, FJ 3, y 172/2021, de 7 de octubre, FJ 3 c)]. Finalmente, para terminar de exponer la doctrina constitucional que considera de aplicación al presente caso precisa que, dado que lo que la parte recurrente reprocha a la norma legal aplicada es su falta de referencia al despido nulo por embarazo, se estaría postulando una inconstitucionalidad por omisión [STC 34/2003, de 18 de abril, FJ 8 h)].</w:t>
      </w:r>
    </w:p>
    <w:p w14:paraId="5B798F59" w14:textId="77777777" w:rsidR="009D7677" w:rsidRDefault="009D7677" w:rsidP="009D7677">
      <w:pPr>
        <w:pStyle w:val="TextoNormal"/>
      </w:pPr>
    </w:p>
    <w:p w14:paraId="21D4A5AD" w14:textId="77777777" w:rsidR="009D7677" w:rsidRDefault="009D7677" w:rsidP="009D7677">
      <w:pPr>
        <w:pStyle w:val="TextoNormal"/>
      </w:pPr>
      <w:r>
        <w:t>Dicho lo anterior, transcribe el precepto cuya constitucionalidad se discute, esto es, el art. 116 LJS, que está en conexión con lo dispuesto en el art. 1.2 del Real Decreto 418/2014, de 6 de junio, por el que se modifica el procedimiento de tramitación de las reclamaciones al Estado por salarios de tramitación en juicios por despido, precepto que, como aquel, solo se refiere al despido improcedente sin mencionar el nulo. Asimismo, por estar directamente relacionados con el precepto legal discutido, recuerda el contenido de los arts. 53.4 b) y 56.5 LET, relativos, respectivamente, a la nulidad del despido por causas objetivas y a la posibilidad de reclamación al Estado de los salarios de tramitación.</w:t>
      </w:r>
    </w:p>
    <w:p w14:paraId="602E8637" w14:textId="77777777" w:rsidR="009D7677" w:rsidRDefault="009D7677" w:rsidP="009D7677">
      <w:pPr>
        <w:pStyle w:val="TextoNormal"/>
      </w:pPr>
    </w:p>
    <w:p w14:paraId="5D5B0D80" w14:textId="77777777" w:rsidR="009D7677" w:rsidRDefault="009D7677" w:rsidP="009D7677">
      <w:pPr>
        <w:pStyle w:val="TextoNormal"/>
      </w:pPr>
      <w:r>
        <w:t xml:space="preserve">Una vez concretadas las normas legales aplicadas, el fiscal pasa a examinar el fondo del asunto, comenzando por descartar la vulneración del art. 14 CE en su faceta de derecho a la igualdad ante la ley, por falta de aportación de un término válido de comparación. En este sentido, indica que las situaciones contrastadas eran diferentes, ya que a la demandante se le declaró el despido como nulo, mientras que a su compañera de trabajo lo fue como improcedente. Existía, a su juicio, una diferencia jurídica relevante entre ambos supuestos en tanto que la declaración de nulidad da derecho a la readmisión inmediata del trabajador, con abono de los salarios dejados de percibir, y la improcedencia otorga al empresario el </w:t>
      </w:r>
      <w:r>
        <w:lastRenderedPageBreak/>
        <w:t>derecho a optar entre la readmisión o la indemnización. Es cierto, sin embargo, que esa diferencia se reduce notablemente si, como sucedía en el caso de autos, resultaba imposible la readmisión.</w:t>
      </w:r>
    </w:p>
    <w:p w14:paraId="72C30D14" w14:textId="77777777" w:rsidR="009D7677" w:rsidRDefault="009D7677" w:rsidP="009D7677">
      <w:pPr>
        <w:pStyle w:val="TextoNormal"/>
      </w:pPr>
    </w:p>
    <w:p w14:paraId="10912790" w14:textId="77777777" w:rsidR="009D7677" w:rsidRDefault="009D7677" w:rsidP="009D7677">
      <w:pPr>
        <w:pStyle w:val="TextoNormal"/>
      </w:pPr>
      <w:r>
        <w:t>Una vez descartada la desigualdad de trato pasa a analizar la eventual discriminación por razón de sexo, en concreto, por motivo de embarazo. A tal fin, comienza señalando que: (i) las resoluciones judiciales impugnadas aplicaron los arts. 56.5 LET (despido improcedente) y 116 LJS (reclamación del pago de salarios de tramitación), que establecen la obligación del Estado de abonar los salarios de tramitación que excedan de los noventa días hábiles, desde la fecha en que se tuvo por presentada la demanda por despido hasta la sentencia del juzgado o tribunal que por primera vez declarase su improcedencia; (ii) es el empresario quien puede reclamar del Estado tales salarios (art. 116.1 LJS) siempre que los haya pagado a sus trabajadores, pues es el condenado en la sentencia de despido; (iii) el art. 116.2 LJS contempla la posibilidad de que el empresario no pueda pagar los salarios de tramitación porque sea declarado insolvente y, en ese caso, se activa un sistema para que los trabajadores cobren esos salarios por encima de los noventa días, abriéndose la posibilidad de que los trabajadores se los puedan reclamar al Estado; (iv) lo dispuesto en los arts. 56.5 LET y 116.1 LJS —como ha puntualizado el Tribunal Supremo (sentencias de la Sala de lo Social de 23 de julio de 1996 y 7 de julio de 1997)— constituye una medida para aliviar a las empresas de determinados costes derivados del mero transcurso del tiempo en la resolución de los procesos por despido, por lo cual está justificado que si el empresario hubiese despedido a un trabajador con violación de derechos fundamentales (despido nulo) el Estado no se haría cargo de la parte de los salarios de tramitación que excediesen de los noventa días, sino que sería el empresario —al tener el despido nulo un plus de “injusticia” y de una actuación más contraria a derecho— quien se haría cargo de la totalidad de esos salarios. Por tal motivo, como ha puntualizado la STS 1110/2020, de 10 de diciembre, no procedería que el Estado se hiciese cargo de tales salarios cuando el despido fuese nulo.</w:t>
      </w:r>
    </w:p>
    <w:p w14:paraId="558357AB" w14:textId="77777777" w:rsidR="009D7677" w:rsidRDefault="009D7677" w:rsidP="009D7677">
      <w:pPr>
        <w:pStyle w:val="TextoNormal"/>
      </w:pPr>
    </w:p>
    <w:p w14:paraId="2DB1155F" w14:textId="77777777" w:rsidR="009D7677" w:rsidRDefault="009D7677" w:rsidP="009D7677">
      <w:pPr>
        <w:pStyle w:val="TextoNormal"/>
      </w:pPr>
      <w:r>
        <w:t>A renglón seguido precisa el fiscal que lo dispuesto en el art. 116.2 LJS no puede entenderse como una medida para aliviar a las empresas de los costes derivados del transcurso del tiempo en la resolución de los procesos por despido, sino que constituye una medida de protección del trabajador para que puedan cobrar salarios de tramitación en el caso de insolvencia empresarial. Por ello, la mayor antijuridicidad de la actuación empresarial no puede servir de justificación para negar el abono de los salarios de tramitación a cargo del Estado a los trabajadores cuyo despido sea nulo. Y recuerda que, aunque el legislador tiene un amplio margen de maniobra para decidir los supuestos que protege (como así se ha señalado por la doctrina constitucional en relación con la acción protectora de la Seguridad Social), en todo caso, su libertad se ve limitada por las exigencias derivadas del respeto al principio de igualdad y de no discriminación (art. 14 CE).</w:t>
      </w:r>
    </w:p>
    <w:p w14:paraId="3DF6E971" w14:textId="77777777" w:rsidR="009D7677" w:rsidRDefault="009D7677" w:rsidP="009D7677">
      <w:pPr>
        <w:pStyle w:val="TextoNormal"/>
      </w:pPr>
    </w:p>
    <w:p w14:paraId="2363A9BC" w14:textId="77777777" w:rsidR="009D7677" w:rsidRDefault="009D7677" w:rsidP="009D7677">
      <w:pPr>
        <w:pStyle w:val="TextoNormal"/>
      </w:pPr>
      <w:r>
        <w:t xml:space="preserve">Una vez descartada la justificación expresada en las sentencias impugnadas para circunscribir al despido improcedente el pago por el Estado de los salarios de tramitación en caso de insolvencia empresarial, pasa a analizar si en el asunto concreto se ha producido una discriminación por razón de sexo y, en caso de existir esta, si puede achacarse a la interpretación que se ha realizado de la normativa aplicable o se deriva indefectiblemente de la ley. A tal fin, subraya que la única razón material por la que no se concedió a la trabajadora demandante el pago por el Estado de los salarios de tramitación fue su condición </w:t>
      </w:r>
      <w:r>
        <w:lastRenderedPageBreak/>
        <w:t>de mujer embarazada cuando fue despedida, pues la única razón de la desestimación de su petición fue la calificación de su despido como nulo y la única causa de que no fuera considerado como improcedente (como sucedió con el resto de sus compañeras) se halló en su estado de embarazo [art. 54.3 b) LET]. Resulta evidente, a su juicio, que la desestimación de su petición de abono de salarios de tramitación a cargo del Estado supuso un trato desfavorable o peyorativo, al no haber podido cobrar del empresario tales salarios dada su insolvencia. De este modo, concurrirían todos los requisitos para apreciar la existencia de una discriminación directa por razón de sexo, teniendo en cuenta que si bien el art. 116.2 LJS contiene una medida que supone un beneficio para los trabajadores despedidos en caso de despido improcedente, cuando se dan los requisitos para la improcedencia en el caso de una mujer embarazada, automáticamente ese despido improcedente ha de convertirse en nulo [arts. 53.4 b) y 55.5 b) LET], lo que conlleva el que, en ningún caso, el Estado se haga cargo de los salarios de tramitación devengados por la trabajadora embarazada. Con ello resulta que una norma que se creó para proteger a las mujeres embarazadas [art. 53.4 b) LET], termina provocándoles un perjuicio como resultado de la aplicación del art. 116.2 LJS. Según esto, se darían los requisitos exigidos por la legislación (art. 8 de la Ley Orgánica 3/2007, de 22 de marzo, para la igualdad efectiva de mujeres y hombres) y por la doctrina constitucional para apreciar la existencia de una discriminación directa por razón de sexo, en tanto que se habría producido un trato desfavorable como consecuencia del embarazo; dicho de otra manera, concurriría el factor protegido (el sexo plasmado en la situación de embarazo) y la existencia de un perjuicio directamente asociado al mismo.</w:t>
      </w:r>
    </w:p>
    <w:p w14:paraId="00CB72F5" w14:textId="77777777" w:rsidR="009D7677" w:rsidRDefault="009D7677" w:rsidP="009D7677">
      <w:pPr>
        <w:pStyle w:val="TextoNormal"/>
      </w:pPr>
    </w:p>
    <w:p w14:paraId="43D7F636" w14:textId="77777777" w:rsidR="009D7677" w:rsidRDefault="009D7677" w:rsidP="009D7677">
      <w:pPr>
        <w:pStyle w:val="TextoNormal"/>
      </w:pPr>
      <w:r>
        <w:t xml:space="preserve">Llegados a este punto, considerando el fiscal que se ha producido una discriminación por razón de sexo, pasa a analizar si deriva directamente de la norma legal aplicada (en cuyo caso, la Sala debería plantear una cuestión de inconstitucionalidad) o si es posible realizar una interpretación del precepto </w:t>
      </w:r>
      <w:r w:rsidRPr="009D7677">
        <w:rPr>
          <w:i/>
        </w:rPr>
        <w:t>secundum constitutionem</w:t>
      </w:r>
      <w:r>
        <w:t xml:space="preserve"> que permita mantener su validez. Para ello, trae a colación la STC 138/2005, de 26 de mayo, en la que se recuerda la doctrina relativa al principio de conservación de la ley. Según esa sentencia, solo cabría declarar la inconstitucionalidad de aquellos preceptos “cuya incompatibilidad con la Constitución resulte indudable por ser imposible llevar a cabo una interpretación conforme a la misma”, al ser necesaria la preservación de la validez de la ley cuando su texto no impida una interpretación adecuada de la Constitución, para lo cual es preciso “explorar las posibilidades interpretativas del precepto cuestionado, por si hubiera alguna que permitiera salvar la primacía de la Constitución” y sin que se pueda “ignorar o desfigurar el sentido de los enunciados legales meridianos”, por cuanto que “la interpretación conforme no puede ser una interpretación </w:t>
      </w:r>
      <w:r w:rsidRPr="009D7677">
        <w:rPr>
          <w:i/>
        </w:rPr>
        <w:t>contra legem</w:t>
      </w:r>
      <w:r>
        <w:t>”, lo que “implicaría desfigurar y manipular los enunciados legales”, asumiendo el Tribunal Constitucional la función de legislador positivo (FJ 6).</w:t>
      </w:r>
    </w:p>
    <w:p w14:paraId="4D604528" w14:textId="77777777" w:rsidR="009D7677" w:rsidRDefault="009D7677" w:rsidP="009D7677">
      <w:pPr>
        <w:pStyle w:val="TextoNormal"/>
      </w:pPr>
    </w:p>
    <w:p w14:paraId="14BFFEA7" w14:textId="77777777" w:rsidR="009D7677" w:rsidRDefault="009D7677" w:rsidP="009D7677">
      <w:pPr>
        <w:pStyle w:val="TextoNormal"/>
      </w:pPr>
      <w:r>
        <w:t xml:space="preserve">Una vez recordada la anterior doctrina, considera el fiscal que es posible y procedente realizar una interpretación conforme a la Constitución que evite el trato peyorativo a la trabajadora por razón de su embarazo, aun siendo consciente de la dificultad que plantea el tenor literal de la normativa aplicable. Y sería posible porque es claro que la razón del legislador para establecer la nulidad de un despido (que sería improcedente de no estar la trabajadora embarazada) se halla en su mayor protección, al implicar su readmisión con abono de los salarios dejados de percibir, frente al efecto normal de la improcedencia que supondría otorgar al empresario la posibilidad de no readmitirla, con el abono de la indemnización fijada en la correspondiente sentencia. Se impide con ello que la trabajadora </w:t>
      </w:r>
      <w:r>
        <w:lastRenderedPageBreak/>
        <w:t>embarazada pierda su puesto de trabajo y su salario, y que el empresario pueda optar por extinguir la relación laboral si considera más económico pagar la indemnización por despido que afrontar el coste que le pudiera suponer el apoyo a la maternidad (permiso para el cuidado de los hijos, por ejemplo) impidiendo, en la práctica, la eficacia de esos apoyos.</w:t>
      </w:r>
    </w:p>
    <w:p w14:paraId="206D31A9" w14:textId="77777777" w:rsidR="009D7677" w:rsidRDefault="009D7677" w:rsidP="009D7677">
      <w:pPr>
        <w:pStyle w:val="TextoNormal"/>
      </w:pPr>
    </w:p>
    <w:p w14:paraId="0EB70AE5" w14:textId="77777777" w:rsidR="009D7677" w:rsidRDefault="009D7677" w:rsidP="009D7677">
      <w:pPr>
        <w:pStyle w:val="TextoNormal"/>
      </w:pPr>
      <w:r>
        <w:t>Para el fiscal, la interpretación de la normativa aplicable que se ha realizado en las resoluciones impugnadas se ciñe al tenor literal de las normas, en particular, del art. 116.2 LJS (reclamación del pago de salarios de tramitación), que es acorde con la jurisprudencia del Tribunal Supremo anteriormente mencionada (aunque con relación a reclamaciones realizadas por los empresarios) y con la interpretación que han hecho otros tribunales superiores de justicia. Pero, como no se trata de una cuestión de igualdad ante la ley sino de un supuesto de prohibición de discriminación, subraya que la interpretación efectuada ha resultado excesivamente formalista, al ser posible otra más conforme con el derecho a la no discriminación por razón de sexo. El problema para la interpretación del art. 116.2 LJS de modo que evite un trato peyorativo por motivos de embarazo estaría, no obstante, en la exigencia legal de que haya una sentencia que declare el despido como improcedente. Pues bien, destaca que en la sentencia de despido (fundamento de Derecho tercero, párrafo tercero) consta que “no habiendo aportado [la empresa] ninguna prueba de las causas justificativas de su decisión, más allá de las meras manifestaciones vertidas en la carta de despido, debe declararse improcedente el mismo, con los efectos que luego se dirán”. En definitiva, la sentencia declara el despido “improcedente” desde un punto de vista objetivo, y solo después, cuando aplica esa consideración de improcedencia objetiva a cada una de las trabajadoras (al establecer sus efectos), lo convierte en nulo —en el caso de la demandante en amparo— por imposición legal como consecuencia de su embarazo. A la vista de ello, la interpretación judicial del art. 116.2 LJS habría resultado contraria al contenido material del derecho fundamental a la no discriminación por razón de sexo, pues existiendo una declaración de improcedencia del despido en los fundamentos jurídicos de la sentencia, pudo aplicarse el citado precepto legal con la simple consideración de que estaba cumplido el requisito relativo a que la sentencia declarase su improcedencia. Por consiguiente, en virtud de lo dispuesto en el art. 8 de Ley Orgánica 3/2007 mencionada, en relación con el art. 14 CE, procedería interpretar el art. 116.2 LJS en el sentido de que si se declara en la sentencia que el despido resulta improcedente y se convierte en nulo por el solo hecho de que la trabajadora estuviese embarazada, para evitar la discriminación por razón de sexo, se debe considerar cumplido el requisito de la declaración de improcedencia del despido a los efectos de la reclamación frente al Estado.</w:t>
      </w:r>
    </w:p>
    <w:p w14:paraId="1B17095E" w14:textId="77777777" w:rsidR="009D7677" w:rsidRDefault="009D7677" w:rsidP="009D7677">
      <w:pPr>
        <w:pStyle w:val="TextoNormal"/>
      </w:pPr>
    </w:p>
    <w:p w14:paraId="2562A9BE" w14:textId="77777777" w:rsidR="009D7677" w:rsidRDefault="009D7677" w:rsidP="009D7677">
      <w:pPr>
        <w:pStyle w:val="TextoNormal"/>
      </w:pPr>
      <w:r>
        <w:t xml:space="preserve">A continuación, señala que, si bien es cierto que se propone una interpretación extensiva de la ley, no sería la primera vez que por vía interpretativa se amplían los beneficios para el trabajador despedido a supuestos que no están expresamente contemplados en la norma. En la propia sentencia del juzgado de lo social que resolvió el juicio de despido se aplicó la jurisprudencia dictada con relación al art. 110.1 b) LJS (STS 1344/2018, de 4 de abril, y las allí citadas) en la que, precisamente, se realizaba una interpretación que ampliaba el reconocimiento de los salarios de tramitación a otros casos no contemplados en la norma, a saber, no solo cuando el despido había sido calificado como nulo sino también cuando lo fuese como improcedente si no fuese posible la readmisión y la parte demandante instase que se tuviese por hecha la opción por la indemnización y que se declarase extinguida la relación laboral. Ahora bien, pese al tenor literal de la norma y siguiendo esa jurisprudencia, el juzgado de lo social declaró para todas las trabajadoras la extinción de la </w:t>
      </w:r>
      <w:r>
        <w:lastRenderedPageBreak/>
        <w:t>relación laboral porque la readmisión resultaba imposible, interpretando que el art. 110.1 b) LJS permitía que todas ellas (y no solo aquella cuyo despido se transformó en nulo por razón de su embarazo) tuvieran derecho a los salarios de tramitación, a pesar de que estos no estaban previstos para la improcedencia. Resulta poco acorde con la regulación protectora de la mujer embarazada y con el art. 14 CE, por consiguiente, que se haya hecho una interpretación muy amplia de las normas aplicables para favorecer a las trabajadoras no embarazadas, atribuyéndoles un derecho a los salarios de tramitación no previsto legalmente [art. 110.1 b)], para luego negar es misma interpretación amplia de la ley (en este caso, del art. 116.2 LJS) a la trabajadora embarazada, convirtiendo —en su caso— una legislación prevista para su protección en una normativa que la perjudicó respecto del resto de trabajadoras.</w:t>
      </w:r>
    </w:p>
    <w:p w14:paraId="637E8C1E" w14:textId="77777777" w:rsidR="009D7677" w:rsidRDefault="009D7677" w:rsidP="009D7677">
      <w:pPr>
        <w:pStyle w:val="TextoNormal"/>
      </w:pPr>
    </w:p>
    <w:p w14:paraId="7007CA3B" w14:textId="77777777" w:rsidR="009D7677" w:rsidRDefault="009D7677" w:rsidP="009D7677">
      <w:pPr>
        <w:pStyle w:val="TextoNormal"/>
      </w:pPr>
      <w:r>
        <w:t xml:space="preserve">La interpretación que propone el fiscal se apoyaría en la propia práctica de este Tribunal Constitucional que, en otras ocasiones, ha hecho una interpretación de carácter similar con la finalidad de integrar en una norma supuestos no contemplados expresamente en la misma (cita como ejemplo los supuestos analizados en las SSTC 74/1987, de 25 de mayo, y 126/2021, de 3 de junio). En consecuencia, descartando toda posibilidad de efectuar una interpretación </w:t>
      </w:r>
      <w:r w:rsidRPr="009D7677">
        <w:rPr>
          <w:i/>
        </w:rPr>
        <w:t>contra legem</w:t>
      </w:r>
      <w:r>
        <w:t xml:space="preserve"> (en los términos recogidos en la citada STC 138/2005, de 26 de mayo, FJ 6), considera que es perfectamente posible realizar una interpretación de la norma compatible con el art. 14 CE en el sentido antes propuesto, esto es, entendiendo que la efectuada por las resoluciones judiciales impugnadas vulneró el derecho a la no discriminación por razón de sexo. Y en cuanto al alcance de esta declaración, precisa que la vulneración del art. 14 CE se habría producido en las tres resoluciones impugnadas, por lo que debería declararse su nulidad, pero sin acordar el importe al que debería hacer frente el Estado, cuestión que le compete a la administración y, en su caso, a la jurisdicción ordinaria, y no a este Tribunal Constitucional.</w:t>
      </w:r>
    </w:p>
    <w:p w14:paraId="18E55A81" w14:textId="77777777" w:rsidR="009D7677" w:rsidRDefault="009D7677" w:rsidP="009D7677">
      <w:pPr>
        <w:pStyle w:val="TextoNormal"/>
      </w:pPr>
    </w:p>
    <w:p w14:paraId="75CF203E" w14:textId="0AB1F7E9" w:rsidR="009D7677" w:rsidRDefault="009D7677" w:rsidP="009D7677">
      <w:pPr>
        <w:pStyle w:val="TextoNormal"/>
      </w:pPr>
      <w:r>
        <w:t>Por todo lo anterior, interesa la estimación del recurso de amparo y el reconocimiento de la vulneración del derecho de la recurrente a la no discriminación por razón de sexo (art. 14 CE), con la consiguiente declaración de nulidad de las tres resoluciones impugnadas, retrotrayendo las actuaciones al momento previo al de la emisión de la resolución administrativa impugnada (expediente 105-2019) para que se dicte una nueva interpretando el art. 116.2 LJS de acuerdo con el art. 14 CE.</w:t>
      </w:r>
    </w:p>
    <w:p w14:paraId="1CB1856A" w14:textId="77777777" w:rsidR="009D7677" w:rsidRDefault="009D7677" w:rsidP="009D7677">
      <w:pPr>
        <w:pStyle w:val="TextoNormal"/>
      </w:pPr>
    </w:p>
    <w:p w14:paraId="05227944" w14:textId="1692CE51" w:rsidR="009D7677" w:rsidRDefault="009D7677" w:rsidP="009D7677">
      <w:pPr>
        <w:pStyle w:val="TextoNormal"/>
      </w:pPr>
      <w:r w:rsidRPr="009D7677">
        <w:rPr>
          <w:rStyle w:val="NumeroAFNegritaCaracter"/>
        </w:rPr>
        <w:t>11</w:t>
      </w:r>
      <w:r>
        <w:t>. Por providencia de 8 de febrero de 2024, se fijó para deliberación y votación de la presente sentencia el día 12 del mismo mes y año.</w:t>
      </w:r>
    </w:p>
    <w:p w14:paraId="72E80DD8" w14:textId="77777777" w:rsidR="009D7677" w:rsidRDefault="009D7677" w:rsidP="009D7677">
      <w:pPr>
        <w:pStyle w:val="TextoNormal"/>
      </w:pPr>
    </w:p>
    <w:p w14:paraId="650B3161" w14:textId="77777777" w:rsidR="009D7677" w:rsidRDefault="009D7677" w:rsidP="009D7677">
      <w:pPr>
        <w:pStyle w:val="TextoNormalNegritaCentrado"/>
        <w:keepNext/>
      </w:pPr>
      <w:r>
        <w:t>II. Fundamentos jurídicos</w:t>
      </w:r>
    </w:p>
    <w:p w14:paraId="6F3F22D2" w14:textId="6427C707" w:rsidR="009D7677" w:rsidRDefault="009D7677" w:rsidP="009D7677">
      <w:pPr>
        <w:pStyle w:val="TextoNormalNegritaCentrado"/>
        <w:keepNext/>
      </w:pPr>
    </w:p>
    <w:p w14:paraId="6540CB04" w14:textId="77777777" w:rsidR="009D7677" w:rsidRDefault="009D7677" w:rsidP="009D7677">
      <w:pPr>
        <w:pStyle w:val="TextoNormal"/>
      </w:pPr>
      <w:r w:rsidRPr="009D7677">
        <w:rPr>
          <w:rStyle w:val="NumeroAFNegritaCaracter"/>
        </w:rPr>
        <w:t>1</w:t>
      </w:r>
      <w:r>
        <w:t xml:space="preserve">. </w:t>
      </w:r>
      <w:r w:rsidRPr="009D7677">
        <w:rPr>
          <w:i/>
        </w:rPr>
        <w:t>Objeto del recurso y pretensiones de las partes</w:t>
      </w:r>
    </w:p>
    <w:p w14:paraId="3D37DCF8" w14:textId="77777777" w:rsidR="009D7677" w:rsidRDefault="009D7677" w:rsidP="009D7677">
      <w:pPr>
        <w:pStyle w:val="TextoNormal"/>
      </w:pPr>
    </w:p>
    <w:p w14:paraId="600B4BF6" w14:textId="77777777" w:rsidR="009D7677" w:rsidRDefault="009D7677" w:rsidP="009D7677">
      <w:pPr>
        <w:pStyle w:val="TextoNormal"/>
      </w:pPr>
      <w:r>
        <w:t>El objeto del presente recurso de amparo se dirige a determinar si la denegación a la recurrente por parte del Estado de la reclamación de los salarios de tramitación que le fueron reconocidos en una previa sentencia de despido ha vulnerado su derecho a la igualdad y a la no discriminación por razón de sexo (art. 14 CE), por haber sido ese despido declarado nulo a causa de su situación de embarazo. Como ha quedado indicado en los antecedentes de esta sentencia, a la recurrente en amparo, al igual que a las restantes trabajadoras des</w:t>
      </w:r>
      <w:r>
        <w:lastRenderedPageBreak/>
        <w:t>pedidas, como consecuencia de la declaración judicial de la extinción de su relación laboral les fue reconocido el derecho a percibir tanto la indemnización legalmente prevista, como los salarios de tramitación devengados. A pesar de ello, habiendo solicitado el abono de estos últimos al Estado, solo a ella se le denegó el derecho a reclamarlos con fundamento en que su despido no fue calificado como improcedente sino como nulo, por hallarse embarazada al tiempo de ser despedida [art. 53.4 b) LET].</w:t>
      </w:r>
    </w:p>
    <w:p w14:paraId="117421F7" w14:textId="77777777" w:rsidR="009D7677" w:rsidRDefault="009D7677" w:rsidP="009D7677">
      <w:pPr>
        <w:pStyle w:val="TextoNormal"/>
      </w:pPr>
    </w:p>
    <w:p w14:paraId="49CBB8E5" w14:textId="77777777" w:rsidR="009D7677" w:rsidRDefault="009D7677" w:rsidP="009D7677">
      <w:pPr>
        <w:pStyle w:val="TextoNormal"/>
      </w:pPr>
      <w:r>
        <w:t xml:space="preserve">El abogado del Estado solicita, en primer lugar, la inadmisión del recurso por considerar que carece de especial trascendencia constitucional y, subsidiariamente, la desestimación por falta de vulneración del art. 14 CE, en su doble vertiente de derecho a la igualdad y a la no discriminación; la primera, al no haberse ofrecido un </w:t>
      </w:r>
      <w:r w:rsidRPr="009D7677">
        <w:rPr>
          <w:i/>
        </w:rPr>
        <w:t>tertium comparationis</w:t>
      </w:r>
      <w:r>
        <w:t xml:space="preserve"> válido, al pretender compararse dos situaciones jurídicas diferentes (despido improcedente y despido nulo); y, la segunda, al denunciarse una discriminación por indiferenciación, esto es, por la falta de diferenciación legal a favor del despido nulo por embarazo respecto del resto de supuestos de nulidad.</w:t>
      </w:r>
    </w:p>
    <w:p w14:paraId="1B38BD43" w14:textId="77777777" w:rsidR="009D7677" w:rsidRDefault="009D7677" w:rsidP="009D7677">
      <w:pPr>
        <w:pStyle w:val="TextoNormal"/>
      </w:pPr>
    </w:p>
    <w:p w14:paraId="2C98ED94" w14:textId="0CFD1206" w:rsidR="009D7677" w:rsidRDefault="009D7677" w:rsidP="009D7677">
      <w:pPr>
        <w:pStyle w:val="TextoNormal"/>
      </w:pPr>
      <w:r>
        <w:t>El fiscal, por su parte, aunque descarta la infracción del derecho a la igualdad por el mismo motivo señalado por el abogado del Estado, sin embargo, considera que se ha producido una discriminación por razón de sexo en tanto que la desestimación de la reclamación de los salarios de tramitación habría tenido por causa el estado de embarazo de la recurrente, que es lo que provocó que su despido fuese calificado finalmente como nulo. Tal infracción constitucional no sería imputable a la ley, sino a la interpretación judicial de la misma, pues existiendo una declaración de improcedencia en la sentencia respecto de todas las actoras (que se transformó en la de nulidad por imposición legal respecto a la recurrente por estar embarazada), la interpretación literal del art. 116.2 LJS, habría resultado contraria al contenido material del derecho a la no discriminación por razón de sexo.</w:t>
      </w:r>
    </w:p>
    <w:p w14:paraId="69CCC115" w14:textId="77777777" w:rsidR="009D7677" w:rsidRDefault="009D7677" w:rsidP="009D7677">
      <w:pPr>
        <w:pStyle w:val="TextoNormal"/>
      </w:pPr>
    </w:p>
    <w:p w14:paraId="582A57C5" w14:textId="77777777" w:rsidR="009D7677" w:rsidRDefault="009D7677" w:rsidP="009D7677">
      <w:pPr>
        <w:pStyle w:val="TextoNormal"/>
      </w:pPr>
      <w:r w:rsidRPr="009D7677">
        <w:rPr>
          <w:rStyle w:val="NumeroAFNegritaCaracter"/>
        </w:rPr>
        <w:t>2</w:t>
      </w:r>
      <w:r>
        <w:t xml:space="preserve">. </w:t>
      </w:r>
      <w:r w:rsidRPr="009D7677">
        <w:rPr>
          <w:i/>
        </w:rPr>
        <w:t>Precisiones previas</w:t>
      </w:r>
    </w:p>
    <w:p w14:paraId="276D80F5" w14:textId="77777777" w:rsidR="009D7677" w:rsidRDefault="009D7677" w:rsidP="009D7677">
      <w:pPr>
        <w:pStyle w:val="TextoNormal"/>
      </w:pPr>
    </w:p>
    <w:p w14:paraId="30FDFEB7" w14:textId="77777777" w:rsidR="009D7677" w:rsidRDefault="009D7677" w:rsidP="009D7677">
      <w:pPr>
        <w:pStyle w:val="TextoNormal"/>
      </w:pPr>
      <w:r>
        <w:t>Antes de llevar a cabo el examen de fondo que nos corresponde, resulta necesario realizar una serie de precisiones previas, tanto sobre el objeto de este recurso como con relación al óbice de procedibilidad alegado por el abogado del Estado, ya que la inicial decisión de admisión a trámite no impide que, de oficio o a instancia de parte, pueda este tribunal analizar en sentencia la concurrencia de los presupuestos procesales necesarios para la viabilidad del recurso (por todas, STC 151/2023, de 20 de noviembre, FJ 2).</w:t>
      </w:r>
    </w:p>
    <w:p w14:paraId="6D56A265" w14:textId="77777777" w:rsidR="009D7677" w:rsidRDefault="009D7677" w:rsidP="009D7677">
      <w:pPr>
        <w:pStyle w:val="TextoNormal"/>
      </w:pPr>
    </w:p>
    <w:p w14:paraId="3719792D" w14:textId="77777777" w:rsidR="009D7677" w:rsidRDefault="009D7677" w:rsidP="009D7677">
      <w:pPr>
        <w:pStyle w:val="TextoNormal"/>
      </w:pPr>
      <w:r>
        <w:t>a) Resolución administrativa impugnada: es necesario precisar que, aunque la recurrente y el fiscal indican que la resolución de la Dirección General de Relaciones con la Administración de Justicia impugnada en este recurso de amparo tiene fecha de 10 de octubre de 2019, en realidad dicha resolución —como se ha señalado en el encabezamiento de esta sentencia— no se encuentra fechada, tal y como se hace constar en los antecedentes de hecho de la sentencia núm. 265/2021 de 12 de julio de 2021, del Juzgado de lo Social núm. 2 de Barcelona. Lo que se corresponde con la fecha indicada de 10 de octubre de 2019 es tan solo una resolución de mero trámite por la que la Delegación del Gobierno en Cataluña remitió a la Subdirección General de Recursos Económicos de la Administración de Justicia la propuesta de resolución desestimatoria de la reclamación al Estado de salarios de tramitación formulada por la recurrente en amparo en el expediente núm. 105-2019.</w:t>
      </w:r>
    </w:p>
    <w:p w14:paraId="32F77206" w14:textId="77777777" w:rsidR="009D7677" w:rsidRDefault="009D7677" w:rsidP="009D7677">
      <w:pPr>
        <w:pStyle w:val="TextoNormal"/>
      </w:pPr>
    </w:p>
    <w:p w14:paraId="5BFEA37F" w14:textId="77777777" w:rsidR="009D7677" w:rsidRDefault="009D7677" w:rsidP="009D7677">
      <w:pPr>
        <w:pStyle w:val="TextoNormal"/>
      </w:pPr>
      <w:r>
        <w:t>b) Reconocimiento judicial de los salarios de tramitación: conviene subrayar que cuando se declara judicialmente la extinción de la relación laboral a instancia de un trabajador por imposibilidad de readmisión, tal y como ha sucedido en el caso de autos, la ley no reconoce el derecho al cobro de los salarios de tramitación sino tan solo a la percepción de la indemnización por despido improcedente [art. 110.1 b) LJS]. A pesar de ello, en el presente caso, la sentencia de despido reconoció a las cuatro trabajadoras despedidas el derecho a cobrarlos, al descartar una interpretación literal de la citada norma de conformidad con el criterio sentado por la Sala de lo Social del Tribunal Supremo en su sentencia núm. 362/2018, de 4 de abril (recurso de casación para la unificación de doctrina núm. 2935-2016), siguiendo la doctrina mantenida en precedentes pronunciamientos de esa misma Sala (sentencias de 21 de julio de 2016, recurso núm. 879-2015; de 25 de septiembre de 2017, recurso núm. 2798-2015, y de 25 de octubre de 2017, recurso núm. 243-2016). Efectivamente, según advirtió en esta sentencia, una interpretación estricta y literal del citado precepto conduciría a un “resultado incoherente” y a una “conclusión abiertamente insatisfactoria y disfuncional”, al hacer que el trabajador permaneciera pasivo y no solicitase tal declaración de extinción de la relación laboral hasta un momento posterior (a pesar de ser conocedor de la imposibilidad de su readmisión), con la consiguiente prolongación innecesaria del procedimiento y el incremento significativo de los salarios de tramitación (fundamento de Derecho segundo). De este modo, el juzgado de lo social, acogiendo la interpretación sistemática defendida por el máximo intérprete de la legalidad ordinaria, reconoció a todas las actoras no solo la indemnización por despido sino también el derecho a la percepción de las cantidades devengadas por cada de ellas en concepto de salarios de tramitación (que, en el caso de la recurrente, ascendía a 28 811,16 €).</w:t>
      </w:r>
    </w:p>
    <w:p w14:paraId="0991480E" w14:textId="77777777" w:rsidR="009D7677" w:rsidRDefault="009D7677" w:rsidP="009D7677">
      <w:pPr>
        <w:pStyle w:val="TextoNormal"/>
      </w:pPr>
    </w:p>
    <w:p w14:paraId="3B890A88" w14:textId="77777777" w:rsidR="009D7677" w:rsidRDefault="009D7677" w:rsidP="009D7677">
      <w:pPr>
        <w:pStyle w:val="TextoNormal"/>
      </w:pPr>
      <w:r>
        <w:t>Por otra parte, es necesario advertir que la sentencia de despido por la que se condenó a la empresa al pago de los salarios de tramitación no fue recurrida en suplicación, adquiriendo por ello firmeza y desplegando, consecuentemente, efectos de cosa juzgada material en los autos de reclamación al Estado de los salarios de tramitación, de los que este recurso de amparo trae causa. En otras palabras, el derecho de la recurrente a percibir como efecto de la extinción de su contrato de trabajo los salarios de tramitación constituía una cuestión que había sido definitivamente resuelta en una resolución judicial que era intangible y que solo podía ser modificada a través de los cauces previstos en el ordenamiento jurídico. No cabía desconocerla, entonces, en un proceso judicial posterior.</w:t>
      </w:r>
    </w:p>
    <w:p w14:paraId="4416C061" w14:textId="77777777" w:rsidR="009D7677" w:rsidRDefault="009D7677" w:rsidP="009D7677">
      <w:pPr>
        <w:pStyle w:val="TextoNormal"/>
      </w:pPr>
    </w:p>
    <w:p w14:paraId="7E84E5FD" w14:textId="77777777" w:rsidR="009D7677" w:rsidRDefault="009D7677" w:rsidP="009D7677">
      <w:pPr>
        <w:pStyle w:val="TextoNormal"/>
      </w:pPr>
      <w:r>
        <w:t xml:space="preserve">c) Derecho fundamental concernido: aunque la recurrente en amparo sostiene la infracción del art. 14 CE, tanto desde la perspectiva del derecho a la igualdad como desde la de la prohibición de discriminación, hemos de centrarnos en esta última vertiente dado que lo denunciado es la existencia de un trato desigual por motivo de embarazo. Siendo este “un elemento o factor diferencial”, que en tanto que este hecho biológico “incide de forma exclusiva sobre las mujeres” (SSTC 173/1994, de 7 de junio, FJ 2; 233/2007, de 5 de noviembre, FJ 6, y 11/2023, de 23 de febrero, FJ 3), hemos de llevar a cabo nuestro examen desde la concreta perspectiva de la prohibición de las discriminaciones “por razón de sexo”. Por consiguiente, debe rechazarse que la recurrente esté denunciando —como sostiene el abogado del Estado— una “discriminación por indiferenciación”, a cuyo través reclame el reconocimiento de una desigualdad de trato a favor del despido nulo por embarazo respecto del resto de los supuestos de nulidad, lo que no tendría amparo —como bien dice— en el art. 14 CE. La demanda no pretende que se le dispense un trato normativo </w:t>
      </w:r>
      <w:r>
        <w:lastRenderedPageBreak/>
        <w:t>desigual mediante una diferenciación entre los diversos supuestos de despido nulo, sino que lo que denuncia es el trato discriminatorio por razón de sexo recibido con relación al resto de sus compañeras despedidas en idénticas circunstancias, al entender que ha sido su embarazo el único motivo por el que se le cercenó la posibilidad de obtener del Estado los salarios de tramitación reclamados.</w:t>
      </w:r>
    </w:p>
    <w:p w14:paraId="564840CD" w14:textId="77777777" w:rsidR="009D7677" w:rsidRDefault="009D7677" w:rsidP="009D7677">
      <w:pPr>
        <w:pStyle w:val="TextoNormal"/>
      </w:pPr>
    </w:p>
    <w:p w14:paraId="46EB0103" w14:textId="77777777" w:rsidR="009D7677" w:rsidRDefault="009D7677" w:rsidP="009D7677">
      <w:pPr>
        <w:pStyle w:val="TextoNormal"/>
      </w:pPr>
      <w:r>
        <w:t>d) Especial trascendencia constitucional: opone el abogado del Estado como causa de inadmisión la falta de especial trascendencia constitucional del recurso de amparo, al considerar que no concurren los motivos alegados por la parte recurrente para sustentarla. Como hemos tenido la oportunidad de reiterar, corresponde únicamente al Tribunal apreciar en cada caso, en el momento de admitir a trámite el recurso de amparo, si este tiene especial trascendencia constitucional, de acuerdo con lo exigido por el art. 50.1 LOTC [entre muchas, SSTC 134/2023, de 23 de octubre, FJ 2, y 172/2023, de 11 de diciembre, FJ 2 c)]. La providencia de 27 de marzo de 2023 de la Sección Segunda de este tribunal, al acordar la admisión a trámite de este recurso dejó establecidas como causas de especial trascendencia constitucional, de un lado, que el recurso planteaba un problema o afectaba a una faceta de un derecho fundamental sobre el que no había doctrina de este tribunal [STC 155/2009, FJ 2 a)] y, de otro, que la posible vulneración del derecho fundamental podría provenir de la ley o de otra disposición de carácter general [STC 155/2009, FJ 2 c)]. A esta conclusión se llegó porque, de una parte, en el presente recurso concurrían singularidades a las que todavía no se había enfrentado este tribunal, que permitían perfilar y ahondar en la doctrina constitucional sobre la prohibición de discriminación por razón de sexo en el ámbito laboral, por cuanto que, por vez primera, se denunciaba un trato peyorativo por razón de embarazo respecto de los derechos económicos derivados de la extinción del contrato, al negarse a la trabajadora cuyo despido fue calificado como nulo como consecuencia de su estado de embarazo, la posibilidad de percibir del Estado los salarios de tramitación reconocidos en la sentencia. De otra parte, se apreció que la lesión que se denunciaba podía derivar del tenor de la propia ley (concretamente, del art. 116 LJS), en la medida en que pudiera conllevar una falta de protección de las mujeres embarazadas despedidas en el caso de insolvencia empresarial, al no poder beneficiarse de la previsión legal que traslada al Estado la responsabilidad en el abono de los salarios de tramitación generados por la tardanza en la tramitación judicial del procedimiento de despido.</w:t>
      </w:r>
    </w:p>
    <w:p w14:paraId="550F66D2" w14:textId="77777777" w:rsidR="009D7677" w:rsidRDefault="009D7677" w:rsidP="009D7677">
      <w:pPr>
        <w:pStyle w:val="TextoNormal"/>
      </w:pPr>
    </w:p>
    <w:p w14:paraId="0D929C0B" w14:textId="53D8B453" w:rsidR="009D7677" w:rsidRDefault="009D7677" w:rsidP="009D7677">
      <w:pPr>
        <w:pStyle w:val="TextoNormal"/>
      </w:pPr>
      <w:r>
        <w:t>Pues bien, los argumentos del abogado del Estado no ponen de manifiesto la inexistencia de las causas de especial trascendencia constitucional apreciadas por este tribunal en la fase de admisión del recurso, lo que determina el rechazo del óbice alegado.</w:t>
      </w:r>
    </w:p>
    <w:p w14:paraId="561E8E75" w14:textId="77777777" w:rsidR="009D7677" w:rsidRDefault="009D7677" w:rsidP="009D7677">
      <w:pPr>
        <w:pStyle w:val="TextoNormal"/>
      </w:pPr>
    </w:p>
    <w:p w14:paraId="5E9378F8" w14:textId="77777777" w:rsidR="009D7677" w:rsidRDefault="009D7677" w:rsidP="009D7677">
      <w:pPr>
        <w:pStyle w:val="TextoNormal"/>
      </w:pPr>
      <w:r w:rsidRPr="009D7677">
        <w:rPr>
          <w:rStyle w:val="NumeroAFNegritaCaracter"/>
        </w:rPr>
        <w:t>3</w:t>
      </w:r>
      <w:r>
        <w:t xml:space="preserve">. </w:t>
      </w:r>
      <w:r w:rsidRPr="009D7677">
        <w:rPr>
          <w:i/>
        </w:rPr>
        <w:t>Doctrina constitucional aplicable</w:t>
      </w:r>
    </w:p>
    <w:p w14:paraId="1217F289" w14:textId="77777777" w:rsidR="009D7677" w:rsidRDefault="009D7677" w:rsidP="009D7677">
      <w:pPr>
        <w:pStyle w:val="TextoNormal"/>
      </w:pPr>
    </w:p>
    <w:p w14:paraId="618D7159" w14:textId="77777777" w:rsidR="009D7677" w:rsidRDefault="009D7677" w:rsidP="009D7677">
      <w:pPr>
        <w:pStyle w:val="TextoNormal"/>
      </w:pPr>
      <w:r>
        <w:t>En orden a determinar si se ha producido la infracción del derecho a la no discriminación por razón de sexo que la recurrente denuncia, es necesario recordar brevemente el contenido del derecho fundamental invocado. Como hemos tenido la oportunidad de señalar en repetidas ocasiones, la virtualidad del art. 14 CE no se agota con la proclamación del derecho a la igualdad de su primer inciso, pues el precepto constitucional también se refiere —acto seguido— a la prohibición de una serie de motivos o razones concretas de discriminación, lo que representa una explícita interdicción de determinadas diferencias históricamente muy arraigadas y que han situado a sectores de la población, tanto por la acción de los poderes públicos como por la práctica social, en posiciones no solo desven</w:t>
      </w:r>
      <w:r>
        <w:lastRenderedPageBreak/>
        <w:t>tajosas sino contrarias a la dignidad de la persona que reconoce el art. 10.1 CE (SSTC 128/1987, de 16 de julio, FJ 5; 166/1988, de 26 de septiembre, FJ 2, y 145/1991, de 1 de julio, FJ 2).</w:t>
      </w:r>
    </w:p>
    <w:p w14:paraId="2D424F5A" w14:textId="77777777" w:rsidR="009D7677" w:rsidRDefault="009D7677" w:rsidP="009D7677">
      <w:pPr>
        <w:pStyle w:val="TextoNormal"/>
      </w:pPr>
    </w:p>
    <w:p w14:paraId="1D889EC8" w14:textId="77777777" w:rsidR="009D7677" w:rsidRDefault="009D7677" w:rsidP="009D7677">
      <w:pPr>
        <w:pStyle w:val="TextoNormal"/>
      </w:pPr>
      <w:r>
        <w:t>Entre otros motivos —por lo que aquí interesa—, el precepto prohíbe la discriminación “por razón de sexo”, que comprende “no solo el tratamiento peyorativo que se funda en la pura y simple constatación del sexo de la persona afectada, sino en la concurrencia de razones o circunstancias que tengan con el sexo de la persona una conexión directa e inequívoca” (por todas, SSTC 17/2003, de 30 de enero, FJ 3; 3/2007, de 15 de enero, FJ 2; 2/2017, de 16 de enero, FJ 5, y 108/2019, de 30 de septiembre, FJ 2), tal y como ocurre con el embarazo, “elemento o factor diferencial que, en tanto que hecho biológico incontrovertible, incide de forma exclusiva sobre las mujeres” (SSTC 173/1994, de 7 de junio, FJ 2; 233/2007, de 5 de noviembre, FJ 6; 108/2019, FJ 2, y 11/2023, de 23 de febrero, FJ 3). En la medida en que el embarazo, el parto y la maternidad, son situaciones vitales asociadas al sexo femenino, el hecho de que pueda existir una diferenciación de trato fundada en tales circunstancias se vincula a la existencia de una discriminación por razón de sexo. Mediante la construcción de ese ámbito de protección reforzada de los derechos de las mujeres se da cumplimiento a la obligación impuesta constitucionalmente a los poderes públicos de promover las condiciones para que la igualdad, como valor superior del ordenamiento jurídico, sea real y efectiva (art. 9.2 CE) (STC 44/2023, de 9 de mayo, FJ 8). Por consiguiente, la protección de la condición biológica y de la salud de la mujer trabajadora ha de ser compatible con la conservación de sus derechos profesionales, de suerte que la minusvaloración o el perjuicio causado por el embarazo o la sucesiva maternidad constituyen un supuesto de discriminación directa por razón de sexo (SSTC 162/2016, de 3 de octubre, FJ 6; 108/2019, FJ 2; 71/2020, de 29 de junio, FJ 3, y 11/2023, FJ 3). Aunque el art. 14 CE no consagra la promoción de la maternidad o de la natalidad (STC 182/2005, de 4 de julio, FJ 4), sí excluye toda distinción, trato peyorativo y limitación de derechos o legítimas expectativas de la mujer en la relación laboral fundado en dichas circunstancias (SSTC 233/2007, de 5 de noviembre, FJ 7; 2/2017, FJ 5, y 108/2019, FJ 2).</w:t>
      </w:r>
    </w:p>
    <w:p w14:paraId="3F6EA3BB" w14:textId="77777777" w:rsidR="009D7677" w:rsidRDefault="009D7677" w:rsidP="009D7677">
      <w:pPr>
        <w:pStyle w:val="TextoNormal"/>
      </w:pPr>
    </w:p>
    <w:p w14:paraId="16B6D751" w14:textId="4C2DF655" w:rsidR="009D7677" w:rsidRDefault="009D7677" w:rsidP="009D7677">
      <w:pPr>
        <w:pStyle w:val="TextoNormal"/>
      </w:pPr>
      <w:r>
        <w:t xml:space="preserve">Para hacer efectiva la cláusula de no discriminación por razón de sexo del art. 14 CE, este tribunal ha establecido un canon mucho más estricto y riguroso que el de la mera razonabilidad y proporcionalidad que, desde la perspectiva genérica del principio de igualdad, se exige para la justificación de la diferencia normativa de trato. En efecto, “a diferencia del principio genérico de igualdad, que no postula ni como fin ni como medio la paridad y solo exige la razonabilidad de la diferencia normativa de trato, las prohibiciones de discriminación contenidas en el art. 14 CE implican un juicio de irrazonabilidad de la diferenciación establecida </w:t>
      </w:r>
      <w:r w:rsidRPr="009D7677">
        <w:rPr>
          <w:i/>
        </w:rPr>
        <w:t>ex constitutione</w:t>
      </w:r>
      <w:r>
        <w:t>, que imponen como fin y generalmente como medio la parificación, de manera que solo pueden ser utilizadas excepcionalmente por el legislador como criterio de diferenciación jurídica, lo que implica la necesidad de usar en el juicio de legitimidad constitucional un canon mucho más estricto, así como un mayor rigor respecto a las exigencias materiales de proporcionalidad” [SSTC 233/2007, FJ 5; 71/2020, FJ 3 a), y 11/2023, FJ 3 B)]. No basta, en fin, con que las resoluciones judiciales estén motivadas y fundadas en derecho, sino que es preciso que sean coherentes con el derecho fundamental que está en juego (STC 63/2005, de 17 de marzo, FJ 3), expresando o trasluciendo “una argumentación axiológica que sea respetuosa” con su contenido (STC 63/2005, FJ 3).</w:t>
      </w:r>
    </w:p>
    <w:p w14:paraId="0A99AF6E" w14:textId="77777777" w:rsidR="009D7677" w:rsidRDefault="009D7677" w:rsidP="009D7677">
      <w:pPr>
        <w:pStyle w:val="TextoNormal"/>
      </w:pPr>
    </w:p>
    <w:p w14:paraId="5BA75732" w14:textId="77777777" w:rsidR="009D7677" w:rsidRDefault="009D7677" w:rsidP="009D7677">
      <w:pPr>
        <w:pStyle w:val="TextoNormal"/>
      </w:pPr>
      <w:r w:rsidRPr="009D7677">
        <w:rPr>
          <w:rStyle w:val="NumeroAFNegritaCaracter"/>
        </w:rPr>
        <w:lastRenderedPageBreak/>
        <w:t>4</w:t>
      </w:r>
      <w:r>
        <w:t xml:space="preserve">. </w:t>
      </w:r>
      <w:r w:rsidRPr="009D7677">
        <w:rPr>
          <w:i/>
        </w:rPr>
        <w:t>Enjuiciamiento del caso</w:t>
      </w:r>
    </w:p>
    <w:p w14:paraId="64E51394" w14:textId="77777777" w:rsidR="009D7677" w:rsidRDefault="009D7677" w:rsidP="009D7677">
      <w:pPr>
        <w:pStyle w:val="TextoNormal"/>
      </w:pPr>
    </w:p>
    <w:p w14:paraId="32EF06C0" w14:textId="77777777" w:rsidR="009D7677" w:rsidRDefault="009D7677" w:rsidP="009D7677">
      <w:pPr>
        <w:pStyle w:val="TextoNormal"/>
      </w:pPr>
      <w:r>
        <w:t>a) Hechos más relevantes: antes de pronunciarnos sobre el fondo, conviene recordar sintéticamente los antecedentes fácticos en los que ha de basarse nuestro pronunciamiento:</w:t>
      </w:r>
    </w:p>
    <w:p w14:paraId="14BF797F" w14:textId="77777777" w:rsidR="009D7677" w:rsidRDefault="009D7677" w:rsidP="009D7677">
      <w:pPr>
        <w:pStyle w:val="TextoNormal"/>
      </w:pPr>
    </w:p>
    <w:p w14:paraId="09F11C11" w14:textId="77777777" w:rsidR="009D7677" w:rsidRDefault="009D7677" w:rsidP="009D7677">
      <w:pPr>
        <w:pStyle w:val="TextoNormal"/>
      </w:pPr>
      <w:r>
        <w:t>(i) Autos de despido (núm. 503-2017): la empresa Petmark, S.L. (dedicada a la venta directa al público de productos de alimentación y artículos para el cuidado de mascotas y pequeños animales), cesó en su actividad comercial comunicando a sus cuatro trabajadoras (y, entre ellas, a la recurrente en amparo), la extinción de sus contratos de trabajo por causas objetivas de índole económico. Las trabajadoras despedidas impugnaron tal decisión en la vía judicial dictándose la sentencia núm. 268/2018, de 5 de julio, del Juzgado de lo Social núm. 2 de Barcelona, en la que se calificaban los despidos de todos los trabajadores como “improcedentes” (al no haberse acreditado por la empresa demandada la causa de despido), excepto de la recurrente que se calificó de nulo al encontrarse en estado de embarazo, como así lo preceptúa el art. 53.4 b) LET, que impone dicha calificación (salvo en el caso de merecer la decisión extintiva la de procedencia) al despido “de las trabajadoras embarazadas, desde la fecha de inicio del embarazo” hasta el comienzo del periodo de suspensión por nacimiento. El efecto de tal calificación debía ser la readmisión inmediata de la trabajadora en su puesto de trabajo, al carecer la empresa en tal supuesto (a diferencia de lo que sucede con los despidos improcedentes), de la posibilidad de optar por la extinción indemnizada del contrato de trabajo (art. 53.5 en conexión con el art. 55.6 LET).</w:t>
      </w:r>
    </w:p>
    <w:p w14:paraId="663000E8" w14:textId="77777777" w:rsidR="009D7677" w:rsidRDefault="009D7677" w:rsidP="009D7677">
      <w:pPr>
        <w:pStyle w:val="TextoNormal"/>
      </w:pPr>
    </w:p>
    <w:p w14:paraId="72BADE5F" w14:textId="77777777" w:rsidR="009D7677" w:rsidRDefault="009D7677" w:rsidP="009D7677">
      <w:pPr>
        <w:pStyle w:val="TextoNormal"/>
      </w:pPr>
      <w:r>
        <w:t>Puesto que no era posible la readmisión de ninguna de las trabajadoras al haber cesado la empresa en su actividad, solicitaron todas ellas en el acto del juicio la extinción indemnizada de sus relaciones laborales [al amparo del art. 110.1 b) LJS], petición que fue atendida por el órgano judicial, declarando la extinción con reconocimiento de las respectivas cantidades que a cada una de ellas le correspondían en concepto de indemnización y de “salarios de tramitación” (devengados durante la tramitación del procedimiento de despido, desde la presentación de la demanda hasta la declaración por sentencia de la improcedencia y nulidad del despido). De este modo, conforme a lo dispuesto en los arts. 56.5 LET y 116.1 LJS, le correspondía al Estado asumir el pago de los que excedieran de los noventa días hábiles contados desde la presentación de la demanda.</w:t>
      </w:r>
    </w:p>
    <w:p w14:paraId="29882FC4" w14:textId="77777777" w:rsidR="009D7677" w:rsidRDefault="009D7677" w:rsidP="009D7677">
      <w:pPr>
        <w:pStyle w:val="TextoNormal"/>
      </w:pPr>
    </w:p>
    <w:p w14:paraId="649B363E" w14:textId="77777777" w:rsidR="009D7677" w:rsidRDefault="009D7677" w:rsidP="009D7677">
      <w:pPr>
        <w:pStyle w:val="TextoNormal"/>
      </w:pPr>
      <w:r>
        <w:t>(ii) Autos de reclamación del pago de salarios de tramitación (núm. 1069-2019): la empresa demandada, declarada judicialmente en estado de insolvencia, no abonó los salarios de tramitación y, por consiguiente, tampoco procedió a solicitar del Estado el reintegro de la parte que corría a su cargo (normalmente, la empresa anticipa su abono a los trabajadores, procediendo después a reclamar del Estado la parte que le corresponde). Por ello, tanto la recurrente en amparo como otra de las trabajadoras despedidas solicitaron al Estado —al amparo de lo dispuesto en el art. 116.2 LJS— el abono de los que debía asumir. Según ese precepto, “en el supuesto de insolvencia provisional del empresario, el trabajador podrá reclamar directamente al Estado los salarios a los que se refiere el apartado anterior [los que exceden de los noventa días hábiles desde la presentación de la demanda de despido], que no hubieran sido abonados por aquel [por el empresario]”. Mientras que a la otra reclamante le fue estimada su solicitud en vía administrativa, a la recurrente le fue denegada tanto en la vía administrativa como en la judicial, primero, por sentencia núm. 265/2021, de 12 de julio, del mismo Juzgado de lo Social núm. 2 de Barcelona y, a conti</w:t>
      </w:r>
      <w:r>
        <w:lastRenderedPageBreak/>
        <w:t>nuación, por sentencia núm. 3447/2022, de 13 de junio, de la Sala de lo Social del Tribunal Superior de Justicia de Cataluña.</w:t>
      </w:r>
    </w:p>
    <w:p w14:paraId="1E948948" w14:textId="77777777" w:rsidR="009D7677" w:rsidRDefault="009D7677" w:rsidP="009D7677">
      <w:pPr>
        <w:pStyle w:val="TextoNormal"/>
      </w:pPr>
    </w:p>
    <w:p w14:paraId="3FCB98CD" w14:textId="77777777" w:rsidR="009D7677" w:rsidRDefault="009D7677" w:rsidP="009D7677">
      <w:pPr>
        <w:pStyle w:val="TextoNormal"/>
      </w:pPr>
      <w:r>
        <w:t>A pesar de que su despido, fue calificado como nulo por carecer de causa justificativa, declarándose su relación laboral extinguida por imposibilidad de readmisión, tanto el órgano administrativo como los órganos judiciales consideraron que no procedía el abono de los salarios de tramitación (aquellos que exceden de los noventa días) con cargo al Estado por cuanto legalmente tal reclamación estaba prevista solo para los casos de despido “improcedente” y no para los del “nulo”, calificación esta última que se aplicó en el caso de la recurrente por hallarse en estado de embarazo.</w:t>
      </w:r>
    </w:p>
    <w:p w14:paraId="406EA7F1" w14:textId="77777777" w:rsidR="009D7677" w:rsidRDefault="009D7677" w:rsidP="009D7677">
      <w:pPr>
        <w:pStyle w:val="TextoNormal"/>
      </w:pPr>
    </w:p>
    <w:p w14:paraId="501B998B" w14:textId="77777777" w:rsidR="009D7677" w:rsidRDefault="009D7677" w:rsidP="009D7677">
      <w:pPr>
        <w:pStyle w:val="TextoNormal"/>
      </w:pPr>
      <w:r>
        <w:t>b) Resolución: hemos de coincidir con el Ministerio Fiscal en el hecho de que la vulneración del art. 14 CE no es imputable a la norma legal de cobertura, sino a la interpretación que de ella se realizó tanto por la administración como por los órganos judiciales de manera que, a la vista de las circunstancias anteriormente subrayadas y en aplicación de la doctrina constitucional que ha sido expuesta, debemos concluir que en el caso de autos la recurrente sufrió una discriminación por razón de sexo derivada de su embarazo, al ser este último el único motivo por el que su despido fue declarado nulo y, en consecuencia por el que le fueron denegados los derechos económicos derivados de la extinción de su contrato de trabajo (percepción de salarios de tramitación a cargo del Estado) que le habían sido reconocidos por sentencia firme como al resto de sus compañeras de trabajo. Como ha quedado señalado, los órganos judiciales declararon la ilicitud del despido de todas las trabajadoras por falta de acreditación por parte de la empresa de la causa alegada y, siendo imposible la readmisión en sus puestos de trabajo, a solicitud de todas, fue declarada la extinción indemnizada de todos los contratos de trabajo con reconocimiento del derecho a percibir los correspondientes “salarios de tramitación”. Tal pronunciamiento judicial firme fue desconocido ulteriormente por el mismo juzgado que lo dictó respecto a la trabajadora embarazada, al considerar que no se cumplían en su caso las exigencias del art. 116.2 LJS (precepto que se refería solo a la improcedencia del despido) ya que en su caso mereció la calificación de “nulo” por encontrarse en estado de embarazo. Conviene poner de relieve que las razones por las que la empresa procedió al despido de la recurrente no tenían que ver con ninguna circunstancia que pudiera asociarse a su comportamiento en el trabajo sino que adujo circunstancias objetivas relativas a su situación de pérdidas generalizadas que hacían insostenible su negocio, razones que el juzgado de lo social consideró injustificadas, no solo respecto a su despido sino el de las cuatro empleadas, y que el juzgado de lo social, por ello, estimó la demanda que habían presentado y, en consecuencia, declaró improcedente el despido de tres de ellas y nulo el de la recurrente, toda vez que estaba embarazada.</w:t>
      </w:r>
    </w:p>
    <w:p w14:paraId="625FB0B3" w14:textId="77777777" w:rsidR="009D7677" w:rsidRDefault="009D7677" w:rsidP="009D7677">
      <w:pPr>
        <w:pStyle w:val="TextoNormal"/>
      </w:pPr>
    </w:p>
    <w:p w14:paraId="11616DA1" w14:textId="77777777" w:rsidR="009D7677" w:rsidRDefault="009D7677" w:rsidP="009D7677">
      <w:pPr>
        <w:pStyle w:val="TextoNormal"/>
      </w:pPr>
      <w:r>
        <w:t xml:space="preserve">Resulta inasumible desde la perspectiva del derecho a la igualdad y no discriminación reconocido en el art. 14 CE que su derecho al cobro de salarios de tramitación (reconocidos por sentencia firme) quedase cercenado como consecuencia de la previa atribución de una garantía legal (calificación de su despido como “nulo” por hallarse embarazada), que tenía como finalidad la de otorgarle un plus de protección por su condición de trabajadora gestante, imponiendo a la empresa su obligada readmisión en su puesto de trabajo. Sin embargo, tal calificación del despido por imperativo legal [art. 53.4 b) LET], no solo tuvo meros efectos formales (por ser imposible su reincorporación en el puesto de trabajo al haber cesado la empresa en su actividad), sino que la colocó en peor situación que al resto </w:t>
      </w:r>
      <w:r>
        <w:lastRenderedPageBreak/>
        <w:t>de las trabajadoras, operando finalmente su situación de embarazo como un elemento pernicioso. En efecto, en lugar de proporcionar a la trabajadora un “plus protector” debido a su estado biológico, la conjunción con el art. 116.2 LJS le provocó el efecto contrario: un evidente e injustificado trato peyorativo con relación al resto de las compañeras despedidas, en la medida que ni pudo ser readmitida (por haberse cerrado el centro de trabajo), ni tuvo la posibilidad de percibir del Estado los salarios de tramitación. De este modo, el mecanismo de tutela reforzada para la trabajadora embarazada legalmente previsto en el art. 53.4 b) LET, con el fin de promover la igualdad de oportunidades en el trabajo y evitar la discriminación por razón de sexo, se volvió en su contra, pues, en lugar de verse beneficiada, se la colocó en peor condición que al resto de sus compañeras de trabajo, al negarle el derecho a obtener del Estado la parte de los salarios que le correspondía legalmente asumir.</w:t>
      </w:r>
    </w:p>
    <w:p w14:paraId="537D612E" w14:textId="77777777" w:rsidR="009D7677" w:rsidRDefault="009D7677" w:rsidP="009D7677">
      <w:pPr>
        <w:pStyle w:val="TextoNormal"/>
      </w:pPr>
    </w:p>
    <w:p w14:paraId="4E575716" w14:textId="77777777" w:rsidR="009D7677" w:rsidRDefault="009D7677" w:rsidP="009D7677">
      <w:pPr>
        <w:pStyle w:val="TextoNormal"/>
      </w:pPr>
      <w:r>
        <w:t>En suma, la negación a la recurrente de su derecho a percibir los salarios de tramitación sobre la base de que su despido mereció la calificación de “nulo” no es sino fruto de una interpretación rigorista, literal y formalista de la legalidad ordinaria. Dicha interpretación ha resultado contraria al derecho a la no discriminación por razón de sexo (art. 14 CE), al no haber optado las resoluciones impugnadas por una interpretación del art. 116.2 LJS en conexión con el art. 53.4 b) LET que resultase respetuosa con el contenido de ese derecho fundamental.</w:t>
      </w:r>
    </w:p>
    <w:p w14:paraId="3DA3EE0D" w14:textId="77777777" w:rsidR="009D7677" w:rsidRDefault="009D7677" w:rsidP="009D7677">
      <w:pPr>
        <w:pStyle w:val="TextoNormal"/>
      </w:pPr>
    </w:p>
    <w:p w14:paraId="24698A88" w14:textId="7936FEF6" w:rsidR="009D7677" w:rsidRDefault="009D7677" w:rsidP="009D7677">
      <w:pPr>
        <w:pStyle w:val="TextoNormal"/>
      </w:pPr>
      <w:r>
        <w:t>c) Otorgamiento del amparo y alcance del fallo: conforme a lo expuesto, procede otorgar el amparo solicitado por vulneración del derecho a la no discriminación por razón de sexo (art. 14 CE). Y para reestablecer a la recurrente en la integridad de su derecho no basta con declarar la nulidad de las sentencias impugnadas, siendo necesario ordenar también la retroacción de las actuaciones al momento inmediatamente anterior al dictado de la resolución administrativa para que se resuelva por el organismo competente la reclamación de salarios de tramitación mediante una interpretación del art. 116.2 LJS acorde al derecho a la no discriminación por razón de sexo (art. 14 CE), en los términos que han sido señalados, dando por cumplimentada, en consecuencia, la exigencia legal de que el despido hubiera sido declarado improcedente.</w:t>
      </w:r>
    </w:p>
    <w:p w14:paraId="2890E2EE" w14:textId="77777777" w:rsidR="009D7677" w:rsidRDefault="009D7677" w:rsidP="009D7677">
      <w:pPr>
        <w:pStyle w:val="TextoNormal"/>
      </w:pPr>
    </w:p>
    <w:p w14:paraId="2953246A" w14:textId="77777777" w:rsidR="009D7677" w:rsidRDefault="009D7677" w:rsidP="009D7677">
      <w:pPr>
        <w:pStyle w:val="TextoNormalCentrado"/>
        <w:keepNext/>
      </w:pPr>
      <w:r>
        <w:t>FALLO</w:t>
      </w:r>
    </w:p>
    <w:p w14:paraId="1D8CE5EA" w14:textId="415D09F0" w:rsidR="009D7677" w:rsidRDefault="009D7677" w:rsidP="009D7677">
      <w:pPr>
        <w:pStyle w:val="TextoNormalCentrado"/>
        <w:keepNext/>
      </w:pPr>
    </w:p>
    <w:p w14:paraId="0F5563CB" w14:textId="77777777" w:rsidR="009D7677" w:rsidRDefault="009D7677" w:rsidP="009D7677">
      <w:pPr>
        <w:pStyle w:val="TextoNormal"/>
      </w:pPr>
      <w:r>
        <w:t>En atención a todo lo expuesto, el Tribunal Constitucional, por la autoridad que le confiere la Constitución de la Nación española, ha decidido estimar el recurso de amparo interpuesto por doña Natalia Rodríguez Aguilera y, en su virtud:</w:t>
      </w:r>
    </w:p>
    <w:p w14:paraId="53D41F59" w14:textId="77777777" w:rsidR="009D7677" w:rsidRDefault="009D7677" w:rsidP="009D7677">
      <w:pPr>
        <w:pStyle w:val="TextoNormal"/>
      </w:pPr>
    </w:p>
    <w:p w14:paraId="1DC9365B" w14:textId="77777777" w:rsidR="009D7677" w:rsidRDefault="009D7677" w:rsidP="009D7677">
      <w:pPr>
        <w:pStyle w:val="TextoNormal"/>
      </w:pPr>
      <w:r>
        <w:t>1º Declarar que ha sido vulnerado su derecho a la no discriminación por razón de sexo (art. 14 CE).</w:t>
      </w:r>
    </w:p>
    <w:p w14:paraId="18836419" w14:textId="77777777" w:rsidR="009D7677" w:rsidRDefault="009D7677" w:rsidP="009D7677">
      <w:pPr>
        <w:pStyle w:val="TextoNormal"/>
      </w:pPr>
    </w:p>
    <w:p w14:paraId="300A8222" w14:textId="473A2D80" w:rsidR="009D7677" w:rsidRDefault="009D7677" w:rsidP="009D7677">
      <w:pPr>
        <w:pStyle w:val="TextoNormal"/>
      </w:pPr>
      <w:r>
        <w:t>2º Restablecer a la recurrente en su derecho y, a tal fin, declarar la nulidad tanto de la resolución [no fechada] de la Dirección General de Relaciones con la Administración de Justicia (expediente núm. 105-2019), así como de la sentencia núm. 265/2021, de 12 de julio, del Juzgado de lo Social núm. 2 de Barcelona (autos núm. 1069-2019) y de la sentencia núm. 3447/2022, de 13 de junio, de la Sala de lo Social del Tribunal Superior de Justicia de Cataluña (recurso de suplicación núm. 749-2022), con retroacción de las actua</w:t>
      </w:r>
      <w:r>
        <w:lastRenderedPageBreak/>
        <w:t>ciones al momento previo al dictado de la primera de dichas resoluciones para que se dicte una nueva en los términos señalados en el fundamento jurídico 4.</w:t>
      </w:r>
    </w:p>
    <w:p w14:paraId="2868E893" w14:textId="77777777" w:rsidR="009D7677" w:rsidRDefault="009D7677" w:rsidP="009D7677">
      <w:pPr>
        <w:pStyle w:val="TextoNormal"/>
      </w:pPr>
    </w:p>
    <w:p w14:paraId="3A2F0856" w14:textId="77777777" w:rsidR="009D7677" w:rsidRDefault="009D7677" w:rsidP="009D7677">
      <w:pPr>
        <w:pStyle w:val="TextoNormal"/>
      </w:pPr>
      <w:r>
        <w:t>Publíquese esta sentencia en el “Boletín Oficial del Estado”.</w:t>
      </w:r>
    </w:p>
    <w:p w14:paraId="257AE63C" w14:textId="77777777" w:rsidR="009D7677" w:rsidRDefault="009D7677" w:rsidP="009D7677">
      <w:pPr>
        <w:pStyle w:val="TextoNormal"/>
      </w:pPr>
      <w:r>
        <w:t>Dada en Madrid, a doce de febrero de dos mil veinticuatro.</w:t>
      </w:r>
    </w:p>
    <w:p w14:paraId="6F17E041" w14:textId="0202FDC0" w:rsidR="009D7677" w:rsidRDefault="009D7677">
      <w:pPr>
        <w:spacing w:after="160" w:line="259" w:lineRule="auto"/>
        <w:rPr>
          <w:rFonts w:ascii="Times New Roman" w:eastAsia="Times New Roman" w:hAnsi="Times New Roman" w:cs="Times New Roman"/>
          <w:sz w:val="24"/>
          <w:szCs w:val="24"/>
          <w:lang w:eastAsia="es-ES"/>
        </w:rPr>
      </w:pPr>
      <w:r>
        <w:br w:type="page"/>
      </w:r>
    </w:p>
    <w:p w14:paraId="197B82CB" w14:textId="77777777" w:rsidR="009D7677" w:rsidRDefault="009D7677" w:rsidP="009D7677">
      <w:pPr>
        <w:pStyle w:val="TtuloResolucin"/>
      </w:pPr>
      <w:bookmarkStart w:id="25" w:name="SENTENCIA_2024_23"/>
      <w:r>
        <w:lastRenderedPageBreak/>
        <w:t>SENTENCIA 23/2024, de 12 de febrero de 2024</w:t>
      </w:r>
    </w:p>
    <w:bookmarkEnd w:id="25"/>
    <w:p w14:paraId="4BA709E6" w14:textId="77777777" w:rsidR="009D7677" w:rsidRDefault="009D7677" w:rsidP="009D7677">
      <w:pPr>
        <w:pStyle w:val="TtuloResolucin"/>
      </w:pPr>
      <w:r>
        <w:t>Sala Segunda</w:t>
      </w:r>
    </w:p>
    <w:p w14:paraId="70C58EC7" w14:textId="77777777" w:rsidR="009D7677" w:rsidRDefault="009D7677" w:rsidP="009D7677">
      <w:pPr>
        <w:pStyle w:val="TtuloBOE"/>
      </w:pPr>
      <w:r>
        <w:t>(BOE núm. 72, de 22 de marzo de 2024)</w:t>
      </w:r>
    </w:p>
    <w:p w14:paraId="303D4FE8" w14:textId="77777777" w:rsidR="009D7677" w:rsidRDefault="009D7677" w:rsidP="009D7677">
      <w:pPr>
        <w:pStyle w:val="TextoNormalCentrado"/>
      </w:pPr>
      <w:r>
        <w:t>ECLI:ES:TC:2024:23</w:t>
      </w:r>
    </w:p>
    <w:p w14:paraId="2BE680A5" w14:textId="44E2149B" w:rsidR="009D7677" w:rsidRDefault="009D7677" w:rsidP="009D7677">
      <w:pPr>
        <w:pStyle w:val="TextoNormalCentrado"/>
      </w:pPr>
    </w:p>
    <w:p w14:paraId="6A42F2F7" w14:textId="77777777" w:rsidR="009D7677" w:rsidRDefault="009D7677" w:rsidP="009D7677">
      <w:pPr>
        <w:pStyle w:val="SntesisDescriptiva"/>
      </w:pPr>
      <w:r>
        <w:t>Recurso de amparo 1762-2023. Promovido por don Ernesto Gallego Sánchez en relación con las resoluciones dictadas por un juzgado de primera instancia e instrucción de Coslada (Madrid) en procedimiento de ejecución hipotecaria.</w:t>
      </w:r>
    </w:p>
    <w:p w14:paraId="7F840521" w14:textId="06C5B87B" w:rsidR="009D7677" w:rsidRDefault="009D7677" w:rsidP="009D7677">
      <w:pPr>
        <w:pStyle w:val="SntesisDescriptiva"/>
      </w:pPr>
    </w:p>
    <w:p w14:paraId="3C408127" w14:textId="77777777" w:rsidR="009D7677" w:rsidRDefault="009D7677" w:rsidP="009D7677">
      <w:pPr>
        <w:pStyle w:val="SntesisAnaltica"/>
      </w:pPr>
      <w:r>
        <w:t>Vulneración del derecho a la tutela judicial efectiva (acceso a la jurisdicción): denegación de la revisión judicial de una resolución del letrado de la administración de justicia en aplicación del precepto legal anulado por la STC 15/2020, de 28 de enero.</w:t>
      </w:r>
    </w:p>
    <w:p w14:paraId="08F845C0" w14:textId="7323B76B" w:rsidR="009D7677" w:rsidRDefault="009D7677" w:rsidP="009D7677">
      <w:pPr>
        <w:pStyle w:val="SntesisAnaltica"/>
      </w:pPr>
    </w:p>
    <w:p w14:paraId="1782F7D2" w14:textId="1669FD3F" w:rsidR="009D7677" w:rsidRDefault="009D7677" w:rsidP="009D7677">
      <w:pPr>
        <w:pStyle w:val="Extracto"/>
      </w:pPr>
      <w:r>
        <w:t>1.</w:t>
      </w:r>
      <w:r>
        <w:tab/>
        <w:t>Se aplica la doctrina constitucional sobre la revisión judicial de las resoluciones de los letrados de la Administración de justicia, en el ámbito de la Ley de enjuiciamiento civil (SSTC 15/2020) [FJ 2].</w:t>
      </w:r>
    </w:p>
    <w:p w14:paraId="591987F6" w14:textId="77777777" w:rsidR="009D7677" w:rsidRDefault="009D7677" w:rsidP="009D7677">
      <w:pPr>
        <w:pStyle w:val="Extracto"/>
      </w:pPr>
    </w:p>
    <w:p w14:paraId="67A1D348" w14:textId="77777777" w:rsidR="009D7677" w:rsidRDefault="009D7677" w:rsidP="009D7677">
      <w:pPr>
        <w:pStyle w:val="Extracto"/>
      </w:pPr>
    </w:p>
    <w:p w14:paraId="22ECC129" w14:textId="77777777" w:rsidR="009D7677" w:rsidRDefault="009D7677" w:rsidP="009D7677">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3B1B4FED" w14:textId="2CC1D3F2" w:rsidR="009D7677" w:rsidRDefault="009D7677" w:rsidP="009D7677">
      <w:pPr>
        <w:pStyle w:val="TextoNormal"/>
      </w:pPr>
    </w:p>
    <w:p w14:paraId="56C2C1C6" w14:textId="77777777" w:rsidR="009D7677" w:rsidRDefault="009D7677" w:rsidP="009D7677">
      <w:pPr>
        <w:pStyle w:val="TextoNormalCentrado"/>
        <w:keepNext/>
      </w:pPr>
      <w:r>
        <w:t>EN NOMBRE DEL REY</w:t>
      </w:r>
    </w:p>
    <w:p w14:paraId="39451580" w14:textId="2A5695EF" w:rsidR="009D7677" w:rsidRDefault="009D7677" w:rsidP="009D7677">
      <w:pPr>
        <w:pStyle w:val="TextoNormalCentrado"/>
        <w:keepNext/>
      </w:pPr>
    </w:p>
    <w:p w14:paraId="2EAA5DC9" w14:textId="77777777" w:rsidR="009D7677" w:rsidRDefault="009D7677" w:rsidP="009D7677">
      <w:pPr>
        <w:pStyle w:val="TextoNormalCentrado"/>
        <w:keepNext/>
      </w:pPr>
    </w:p>
    <w:p w14:paraId="2E97DAAA" w14:textId="77777777" w:rsidR="009D7677" w:rsidRDefault="009D7677" w:rsidP="009D7677">
      <w:pPr>
        <w:pStyle w:val="TextoNormal"/>
      </w:pPr>
      <w:r>
        <w:t>la siguiente</w:t>
      </w:r>
    </w:p>
    <w:p w14:paraId="3AF1F776" w14:textId="6FAF2E80" w:rsidR="009D7677" w:rsidRDefault="009D7677" w:rsidP="009D7677">
      <w:pPr>
        <w:pStyle w:val="TextoNormal"/>
      </w:pPr>
    </w:p>
    <w:p w14:paraId="2DCEB5ED" w14:textId="77777777" w:rsidR="009D7677" w:rsidRDefault="009D7677" w:rsidP="009D7677">
      <w:pPr>
        <w:pStyle w:val="TextoNormalCentrado"/>
        <w:keepNext/>
      </w:pPr>
      <w:r>
        <w:t>SENTENCIA</w:t>
      </w:r>
    </w:p>
    <w:p w14:paraId="22F6067C" w14:textId="5363916C" w:rsidR="009D7677" w:rsidRDefault="009D7677" w:rsidP="009D7677">
      <w:pPr>
        <w:pStyle w:val="TextoNormalCentrado"/>
        <w:keepNext/>
      </w:pPr>
    </w:p>
    <w:p w14:paraId="6B16777C" w14:textId="77777777" w:rsidR="009D7677" w:rsidRDefault="009D7677" w:rsidP="009D7677">
      <w:pPr>
        <w:pStyle w:val="TextoNormal"/>
      </w:pPr>
      <w:r>
        <w:t>En el recurso de amparo núm. 1762-2023, interpuesto por don Ernesto Gallego Sánchez contra las providencias de 6 y 22 de febrero de 2023 del Juzgado de Primera Instancia e Instrucción núm. 6 de Coslada, dictadas en el procedimiento de ejecución hipotecaria núm. 602-2011. Ha intervenido el Ministerio Fiscal. Ha sido ponente el magistrado don Enrique Arnaldo Alcubilla.</w:t>
      </w:r>
    </w:p>
    <w:p w14:paraId="37F9CA58" w14:textId="61F40FFE" w:rsidR="009D7677" w:rsidRDefault="009D7677" w:rsidP="009D7677">
      <w:pPr>
        <w:pStyle w:val="TextoNormal"/>
      </w:pPr>
    </w:p>
    <w:p w14:paraId="12849530" w14:textId="77777777" w:rsidR="009D7677" w:rsidRDefault="009D7677" w:rsidP="009D7677">
      <w:pPr>
        <w:pStyle w:val="TextoNormalNegritaCentrado"/>
        <w:keepNext/>
      </w:pPr>
      <w:r>
        <w:t>I. Antecedentes</w:t>
      </w:r>
    </w:p>
    <w:p w14:paraId="70E1F40A" w14:textId="275C1454" w:rsidR="009D7677" w:rsidRDefault="009D7677" w:rsidP="009D7677">
      <w:pPr>
        <w:pStyle w:val="TextoNormalNegritaCentrado"/>
        <w:keepNext/>
      </w:pPr>
    </w:p>
    <w:p w14:paraId="1EBE307E" w14:textId="02E434C1" w:rsidR="009D7677" w:rsidRDefault="009D7677" w:rsidP="009D7677">
      <w:pPr>
        <w:pStyle w:val="TextoNormal"/>
      </w:pPr>
      <w:r w:rsidRPr="009D7677">
        <w:rPr>
          <w:rStyle w:val="NumeroAFNegritaCaracter"/>
        </w:rPr>
        <w:t>1</w:t>
      </w:r>
      <w:r>
        <w:t>. Mediante escrito presentado en el registro general del Tribunal Constitucional el 16 de marzo de 2023, el procurador de los tribunales don Jacobo García García, en nombre y representación de don Ernesto Gallego Sánchez y asistido por el abogado don Emilio Zurro Fuente, interpuso recurso de amparo contra las resoluciones judiciales mencionadas en el encabezamiento.</w:t>
      </w:r>
    </w:p>
    <w:p w14:paraId="30A6E976" w14:textId="77777777" w:rsidR="009D7677" w:rsidRDefault="009D7677" w:rsidP="009D7677">
      <w:pPr>
        <w:pStyle w:val="TextoNormal"/>
      </w:pPr>
    </w:p>
    <w:p w14:paraId="32B31243" w14:textId="77777777" w:rsidR="009D7677" w:rsidRDefault="009D7677" w:rsidP="009D7677">
      <w:pPr>
        <w:pStyle w:val="TextoNormal"/>
      </w:pPr>
      <w:r w:rsidRPr="009D7677">
        <w:rPr>
          <w:rStyle w:val="NumeroAFNegritaCaracter"/>
        </w:rPr>
        <w:t>2</w:t>
      </w:r>
      <w:r>
        <w:t>. El recurso tiene su origen en los antecedentes que seguidamente se relacionan.</w:t>
      </w:r>
    </w:p>
    <w:p w14:paraId="47598C51" w14:textId="77777777" w:rsidR="009D7677" w:rsidRDefault="009D7677" w:rsidP="009D7677">
      <w:pPr>
        <w:pStyle w:val="TextoNormal"/>
      </w:pPr>
    </w:p>
    <w:p w14:paraId="53F6CA75" w14:textId="77777777" w:rsidR="009D7677" w:rsidRDefault="009D7677" w:rsidP="009D7677">
      <w:pPr>
        <w:pStyle w:val="TextoNormal"/>
      </w:pPr>
      <w:r>
        <w:lastRenderedPageBreak/>
        <w:t>a) Ante el Juzgado de Primera Instancia e Instrucción núm. 6 de Coslada se siguió el procedimiento de ejecución hipotecaria núm. 602-2011 a instancias de la sociedad Promontoria Holding 38, B.V. (como sucesora del Banco Santander, S.A.), contra el ahora recurrente en amparo. Concluido dicho procedimiento, el ejecutado presentó escrito al juzgado solicitando la suspensión del lanzamiento, en virtud de lo dispuesto en el art. 1 de la Ley 1/2013, de 14 de mayo, de medidas para reforzar la protección a los deudores hipotecarios, reestructuración de deuda y alquiler social.</w:t>
      </w:r>
    </w:p>
    <w:p w14:paraId="509E52B9" w14:textId="77777777" w:rsidR="009D7677" w:rsidRDefault="009D7677" w:rsidP="009D7677">
      <w:pPr>
        <w:pStyle w:val="TextoNormal"/>
      </w:pPr>
    </w:p>
    <w:p w14:paraId="14E15E8C" w14:textId="77777777" w:rsidR="009D7677" w:rsidRDefault="009D7677" w:rsidP="009D7677">
      <w:pPr>
        <w:pStyle w:val="TextoNormal"/>
      </w:pPr>
      <w:r>
        <w:t>b) En respuesta a lo solicitado el juzgado dictó auto de 13 de abril de 2021, acordando no haber lugar a la suspensión del lanzamiento porque no se cumple uno de los presupuestos esenciales para declarar la situación de especial vulnerabilidad, concretamente el exigido en el art. 1.3 d) de la Ley 1/2013, esto es, “[q]ue se trate de un crédito o préstamo garantizado con hipoteca que recaiga sobre la única vivienda en propiedad del deudor y concedido para la adquisición de la misma”. El juzgado entiende que no concurre ese requisito porque el préstamo hipotecario objeto de las actuaciones, que se constituyó, entre otras fincas, sobre la vivienda habitual del ejecutado, no se concedió para la adquisición de esa vivienda, sobre la que se lleva a cabo el lanzamiento.</w:t>
      </w:r>
    </w:p>
    <w:p w14:paraId="5F26BD0D" w14:textId="77777777" w:rsidR="009D7677" w:rsidRDefault="009D7677" w:rsidP="009D7677">
      <w:pPr>
        <w:pStyle w:val="TextoNormal"/>
      </w:pPr>
    </w:p>
    <w:p w14:paraId="7B9F53B0" w14:textId="77777777" w:rsidR="009D7677" w:rsidRDefault="009D7677" w:rsidP="009D7677">
      <w:pPr>
        <w:pStyle w:val="TextoNormal"/>
      </w:pPr>
      <w:r>
        <w:t>c) Frente a dicho auto interpuso el ejecutado recurso de reposición, que fue desestimado por auto de 11 de junio 2021. Seguidamente interpuso recurso de apelación, que fue inadmitido a trámite por auto de 1 de septiembre de 2021 por considerar que la resolución judicial no es apelable en virtud del art. 454 de la Ley de enjuiciamiento civil (LEC). Contra este último auto interpuso recurso de queja, que fue desestimado por auto de 22 de diciembre de 2021, dictado por la Sección Decimotercera de la Audiencia Provincial de Madrid.</w:t>
      </w:r>
    </w:p>
    <w:p w14:paraId="6CDCEEF6" w14:textId="77777777" w:rsidR="009D7677" w:rsidRDefault="009D7677" w:rsidP="009D7677">
      <w:pPr>
        <w:pStyle w:val="TextoNormal"/>
      </w:pPr>
    </w:p>
    <w:p w14:paraId="665A7E2C" w14:textId="77777777" w:rsidR="009D7677" w:rsidRDefault="009D7677" w:rsidP="009D7677">
      <w:pPr>
        <w:pStyle w:val="TextoNormal"/>
      </w:pPr>
      <w:r>
        <w:t>d) Mediante diligencia de ordenación dictada el 1 de diciembre de 2022, la letrada de la administración de justicia del Juzgado de Primera Instancia e Instrucción núm. 6 de Coslada, a solicitud de la sociedad ejecutante, señaló para el día 7 de febrero de 2023 la entrega a aquella de la posesión del inmueble y el lanzamiento del ejecutado.</w:t>
      </w:r>
    </w:p>
    <w:p w14:paraId="0299A561" w14:textId="77777777" w:rsidR="009D7677" w:rsidRDefault="009D7677" w:rsidP="009D7677">
      <w:pPr>
        <w:pStyle w:val="TextoNormal"/>
      </w:pPr>
    </w:p>
    <w:p w14:paraId="3FB71F6D" w14:textId="77777777" w:rsidR="009D7677" w:rsidRDefault="009D7677" w:rsidP="009D7677">
      <w:pPr>
        <w:pStyle w:val="TextoNormal"/>
      </w:pPr>
      <w:r>
        <w:t>e) Frente a dicha diligencia de ordenación el ejecutado interpuso recurso de reposición, que fue desestimado por decreto de 2 de febrero de 2023. Se razona en este que no existe la infracción del 661 LEC que se alega en el recurso, por falta de comunicación a terceros que viven en la vivienda objeto de la ejecución, porque el recurrente es el propietario de la misma y se le ha notificado correctamente el lanzamiento; tampoco existe la alegada infracción del art. 1 del Real Decreto-ley 11/2022, de 25 de junio, que modifica el Real Decreto-ley 11/2020, de 31 de marzo, referido a la necesidad de comunicar el lanzamiento a los servicios sociales del Ayuntamiento de Coslada, porque no se ha acreditado que concurra una situación de vulnerabilidad que requiera la notificación a los servicios sociales; en fin, tampoco se ha incurrido en inadecuación de procedimiento, con infracción del art. 675 LEC, pues se han seguido los trámites del procedimiento de ejecución hipotecaria, que es el que resulta aplicable.</w:t>
      </w:r>
    </w:p>
    <w:p w14:paraId="245BD8DA" w14:textId="77777777" w:rsidR="009D7677" w:rsidRDefault="009D7677" w:rsidP="009D7677">
      <w:pPr>
        <w:pStyle w:val="TextoNormal"/>
      </w:pPr>
    </w:p>
    <w:p w14:paraId="6048794F" w14:textId="77777777" w:rsidR="009D7677" w:rsidRDefault="009D7677" w:rsidP="009D7677">
      <w:pPr>
        <w:pStyle w:val="TextoNormal"/>
      </w:pPr>
      <w:r>
        <w:t xml:space="preserve">f) Interpuesto recurso de revisión contra dicho decreto con apoyo en lo dispuesto en los arts. 454 y 454 </w:t>
      </w:r>
      <w:r w:rsidRPr="009D7677">
        <w:rPr>
          <w:i/>
        </w:rPr>
        <w:t>bis</w:t>
      </w:r>
      <w:r>
        <w:t xml:space="preserve"> LEC y la doctrina sentada en la STC 15/2020, de 28 de enero, recurso en el que el ejecutado insistía en las infracciones alegadas en el previo recurso de reposición contra la diligencia de ordenación que acordó el lanzamiento, el juzgado dictó provi</w:t>
      </w:r>
      <w:r>
        <w:lastRenderedPageBreak/>
        <w:t xml:space="preserve">dencia de inadmisión el 6 de febrero de 2023, fundada en que “[l]a resolución impugnada no es susceptible de ser recurrida en revisión conforme a lo previsto en el artículo 454 </w:t>
      </w:r>
      <w:r w:rsidRPr="009D7677">
        <w:rPr>
          <w:i/>
        </w:rPr>
        <w:t>bis</w:t>
      </w:r>
      <w:r>
        <w:t xml:space="preserve"> 2 de la Ley 1/2000, de enjuiciamiento civil (LEC)”.</w:t>
      </w:r>
    </w:p>
    <w:p w14:paraId="7FC2E1CD" w14:textId="77777777" w:rsidR="009D7677" w:rsidRDefault="009D7677" w:rsidP="009D7677">
      <w:pPr>
        <w:pStyle w:val="TextoNormal"/>
      </w:pPr>
    </w:p>
    <w:p w14:paraId="7FAC28AB" w14:textId="77777777" w:rsidR="009D7677" w:rsidRDefault="009D7677" w:rsidP="009D7677">
      <w:pPr>
        <w:pStyle w:val="TextoNormal"/>
      </w:pPr>
      <w:r>
        <w:t xml:space="preserve">g) Contra esa providencia presentó el recurrente incidente de nulidad de actuaciones en el que denunciaba la lesión del derecho a la tutela judicial efectiva (art. 24.1 CE), por entender que, conforme a lo dispuesto en los arts. 454 y 454 </w:t>
      </w:r>
      <w:r w:rsidRPr="009D7677">
        <w:rPr>
          <w:i/>
        </w:rPr>
        <w:t>bis</w:t>
      </w:r>
      <w:r>
        <w:t xml:space="preserve"> LEC y la doctrina sentada en la citada STC 15/2020, es procedente el recurso de revisión contra el decreto de la letrada de la administración de justicia que desestima el recurso de reposición interpuesto contra la diligencia de ordenación de 1 de diciembre de 2022.</w:t>
      </w:r>
    </w:p>
    <w:p w14:paraId="6224DA73" w14:textId="77777777" w:rsidR="009D7677" w:rsidRDefault="009D7677" w:rsidP="009D7677">
      <w:pPr>
        <w:pStyle w:val="TextoNormal"/>
      </w:pPr>
    </w:p>
    <w:p w14:paraId="4007A768" w14:textId="5B5B2D28" w:rsidR="009D7677" w:rsidRDefault="009D7677" w:rsidP="009D7677">
      <w:pPr>
        <w:pStyle w:val="TextoNormal"/>
      </w:pPr>
      <w:r>
        <w:t>h) El incidente de nulidad fue inadmitido por providencia de 22 de febrero de 2023, en atención al “estado en que se encuentran los presentes autos”, en referencia a la diligencia de lanzamiento y posesión practicada por el servicio común de notificaciones y embargos el 7 de febrero de 2023.</w:t>
      </w:r>
    </w:p>
    <w:p w14:paraId="5D14A130" w14:textId="77777777" w:rsidR="009D7677" w:rsidRDefault="009D7677" w:rsidP="009D7677">
      <w:pPr>
        <w:pStyle w:val="TextoNormal"/>
      </w:pPr>
    </w:p>
    <w:p w14:paraId="70C15375" w14:textId="77777777" w:rsidR="009D7677" w:rsidRDefault="009D7677" w:rsidP="009D7677">
      <w:pPr>
        <w:pStyle w:val="TextoNormal"/>
      </w:pPr>
      <w:r w:rsidRPr="009D7677">
        <w:rPr>
          <w:rStyle w:val="NumeroAFNegritaCaracter"/>
        </w:rPr>
        <w:t>3</w:t>
      </w:r>
      <w:r>
        <w:t>. El recurso de amparo se dirige contra la providencia de 6 de febrero de 2023 del Juzgado de Primera Instancia e Instrucción núm. 6 de Coslada, por la que se inadmite el recurso de revisión interpuesto contra el decreto de 2 de febrero de 2023, y contra la providencia del mismo juzgado de 22 de febrero de 2023, que inadmite el incidente de nulidad promovido contra la anterior.</w:t>
      </w:r>
    </w:p>
    <w:p w14:paraId="2A4A3E0E" w14:textId="77777777" w:rsidR="009D7677" w:rsidRDefault="009D7677" w:rsidP="009D7677">
      <w:pPr>
        <w:pStyle w:val="TextoNormal"/>
      </w:pPr>
    </w:p>
    <w:p w14:paraId="13813212" w14:textId="77777777" w:rsidR="009D7677" w:rsidRDefault="009D7677" w:rsidP="009D7677">
      <w:pPr>
        <w:pStyle w:val="TextoNormal"/>
      </w:pPr>
      <w:r>
        <w:t xml:space="preserve">Se aduce la vulneración del derecho a la tutela judicial efectiva (art. 24.1 CE), porque las resoluciones impugnadas han privado al recurrente de su derecho a que las decisiones del letrado de la administración de justicia sean revisadas por el juez, contradiciendo así la doctrina constitucional sentada en la STC 15/2020, de 28 de enero, que declara la inconstitucionalidad y nulidad del párrafo primero del art. 454 </w:t>
      </w:r>
      <w:r w:rsidRPr="009D7677">
        <w:rPr>
          <w:i/>
        </w:rPr>
        <w:t>bis</w:t>
      </w:r>
      <w:r>
        <w:t xml:space="preserve">.1 de la Ley de enjuiciamiento civil (LEC), con la precisión de que “en tanto el legislador no se pronuncie al respecto, el recurso judicial procedente frente al decreto del letrado de la administración de justicia resolutivo de la reposición ha de ser el directo de revisión al que se refiere el propio artículo 454 </w:t>
      </w:r>
      <w:r w:rsidRPr="009D7677">
        <w:rPr>
          <w:i/>
        </w:rPr>
        <w:t>bis</w:t>
      </w:r>
      <w:r>
        <w:t xml:space="preserve"> LEC”.</w:t>
      </w:r>
    </w:p>
    <w:p w14:paraId="3AC1A881" w14:textId="77777777" w:rsidR="009D7677" w:rsidRDefault="009D7677" w:rsidP="009D7677">
      <w:pPr>
        <w:pStyle w:val="TextoNormal"/>
      </w:pPr>
    </w:p>
    <w:p w14:paraId="36FE6EE1" w14:textId="77777777" w:rsidR="009D7677" w:rsidRDefault="009D7677" w:rsidP="009D7677">
      <w:pPr>
        <w:pStyle w:val="TextoNormal"/>
      </w:pPr>
      <w:r>
        <w:t xml:space="preserve">Justamente por ello considera el recurrente que la especial trascendencia constitucional de su recurso de amparo reside en que el órgano judicial ha incurrido en negativa manifiesta del deber de acatamiento de la doctrina del Tribunal Constitucional [art. 5 de la Ley Orgánica del Poder Judicial; STC 155/2009, de 25 de junio, FJ 2 g)], sentada en la STC 15/2020, en relación con el motivo de especial trascendencia constitucional que concurre “cuando la vulneración del derecho fundamental que se denuncia provenga de la ley o de otra disposición de carácter general” [STC 155/2009, FJ 2 c)], pues la lesión del derecho garantizado por el art. 24.1 CE que se alega en el recurso de amparo proviene de haber aplicado el órgano judicial el art. 454 </w:t>
      </w:r>
      <w:r w:rsidRPr="009D7677">
        <w:rPr>
          <w:i/>
        </w:rPr>
        <w:t>bis</w:t>
      </w:r>
      <w:r>
        <w:t>.1 LEC, pese a que fue declarado inconstitucional y nulo por el Tribunal Constitucional en la citada STC 15/2020.</w:t>
      </w:r>
    </w:p>
    <w:p w14:paraId="7A37F9D3" w14:textId="77777777" w:rsidR="009D7677" w:rsidRDefault="009D7677" w:rsidP="009D7677">
      <w:pPr>
        <w:pStyle w:val="TextoNormal"/>
      </w:pPr>
    </w:p>
    <w:p w14:paraId="5C586336" w14:textId="5C012D5B" w:rsidR="009D7677" w:rsidRDefault="009D7677" w:rsidP="009D7677">
      <w:pPr>
        <w:pStyle w:val="TextoNormal"/>
      </w:pPr>
      <w:r>
        <w:t>En consecuencia, en el suplico de la demanda de amparo se solicita la declaración de nulidad de las resoluciones impugnadas y que se retrotraigan las actuaciones para que se dicte una nueva resolución respetuosa con el derecho fundamental a la tutela judicial efectiva, admitiendo el recurso de revisión interpuesto contra el decreto del letrado de la admi</w:t>
      </w:r>
      <w:r>
        <w:lastRenderedPageBreak/>
        <w:t>nistración de justicia resolutivo de la reposición interpuesta frente a la diligencia de ordenación que señala fecha para el lanzamiento.</w:t>
      </w:r>
    </w:p>
    <w:p w14:paraId="124FD3BA" w14:textId="77777777" w:rsidR="009D7677" w:rsidRDefault="009D7677" w:rsidP="009D7677">
      <w:pPr>
        <w:pStyle w:val="TextoNormal"/>
      </w:pPr>
    </w:p>
    <w:p w14:paraId="13786696" w14:textId="77777777" w:rsidR="009D7677" w:rsidRDefault="009D7677" w:rsidP="009D7677">
      <w:pPr>
        <w:pStyle w:val="TextoNormal"/>
      </w:pPr>
      <w:r w:rsidRPr="009D7677">
        <w:rPr>
          <w:rStyle w:val="NumeroAFNegritaCaracter"/>
        </w:rPr>
        <w:t>4</w:t>
      </w:r>
      <w:r>
        <w:t>. La Sección Cuarta del Tribunal Constitucional, por providencia de 25 de septiembre de 2023, acordó la admisión a trámite del presente recurso de amparo, apreciando que concurre en el mismo una especial trascendencia constitucional [art. 50.1 de la Ley Orgánica del Tribunal Constitucional (LOTC)] como consecuencia de que el órgano judicial pudiera haber incurrido en una negativa manifiesta del deber de acatamiento de la doctrina este tribunal [STC 155/2009, FJ 2 a)].</w:t>
      </w:r>
    </w:p>
    <w:p w14:paraId="767A8AE4" w14:textId="77777777" w:rsidR="009D7677" w:rsidRDefault="009D7677" w:rsidP="009D7677">
      <w:pPr>
        <w:pStyle w:val="TextoNormal"/>
      </w:pPr>
    </w:p>
    <w:p w14:paraId="3CC69C60" w14:textId="294934CD" w:rsidR="009D7677" w:rsidRDefault="009D7677" w:rsidP="009D7677">
      <w:pPr>
        <w:pStyle w:val="TextoNormal"/>
      </w:pPr>
      <w:r>
        <w:t>Asimismo, en aplicación del art. 51 LOTC, acordó dirigir atenta comunicación al Juzgado de Primera Instancia e Instrucción núm. 6 de Coslada para que remitiera, en un plazo no superior a diez días, certificación o copia adverada de las actuaciones correspondientes al procedimiento de ejecución hipotecaria núm. 602-2011, y procediera asimismo al emplazamiento, en el mismo plazo, de quienes hubieran sido parte en dicho procedimiento, para que pudieran comparecer, si lo desearan, en el recurso de amparo.</w:t>
      </w:r>
    </w:p>
    <w:p w14:paraId="2EBF630D" w14:textId="77777777" w:rsidR="009D7677" w:rsidRDefault="009D7677" w:rsidP="009D7677">
      <w:pPr>
        <w:pStyle w:val="TextoNormal"/>
      </w:pPr>
    </w:p>
    <w:p w14:paraId="7358B793" w14:textId="77777777" w:rsidR="009D7677" w:rsidRDefault="009D7677" w:rsidP="009D7677">
      <w:pPr>
        <w:pStyle w:val="TextoNormal"/>
      </w:pPr>
      <w:r w:rsidRPr="009D7677">
        <w:rPr>
          <w:rStyle w:val="NumeroAFNegritaCaracter"/>
        </w:rPr>
        <w:t>5</w:t>
      </w:r>
      <w:r>
        <w:t>. Por providencia de la misma fecha la Sección Cuarta del Tribunal acordó formar la pieza separada de suspensión, concediendo un plazo común de tres días al recurrente en amparo y al Ministerio Fiscal para alegar cuanto estimaren pertinente, de conformidad con el art. 56.4 LOTC.</w:t>
      </w:r>
    </w:p>
    <w:p w14:paraId="3FA228F9" w14:textId="77777777" w:rsidR="009D7677" w:rsidRDefault="009D7677" w:rsidP="009D7677">
      <w:pPr>
        <w:pStyle w:val="TextoNormal"/>
      </w:pPr>
    </w:p>
    <w:p w14:paraId="7FC735BD" w14:textId="7566B3C5" w:rsidR="009D7677" w:rsidRDefault="009D7677" w:rsidP="009D7677">
      <w:pPr>
        <w:pStyle w:val="TextoNormal"/>
      </w:pPr>
      <w:r>
        <w:t>Evacuado el trámite de alegaciones, la Sala Segunda del Tribunal dictó el ATC 601/2023, de 20 de noviembre, por el que acordó denegar la suspensión cautelar solicitada y ordenar la anotación preventiva de la demanda de amparo en el registro de la propiedad.</w:t>
      </w:r>
    </w:p>
    <w:p w14:paraId="52D9F948" w14:textId="77777777" w:rsidR="009D7677" w:rsidRDefault="009D7677" w:rsidP="009D7677">
      <w:pPr>
        <w:pStyle w:val="TextoNormal"/>
      </w:pPr>
    </w:p>
    <w:p w14:paraId="34F4F975" w14:textId="2C9A56A3" w:rsidR="009D7677" w:rsidRDefault="009D7677" w:rsidP="009D7677">
      <w:pPr>
        <w:pStyle w:val="TextoNormal"/>
      </w:pPr>
      <w:r w:rsidRPr="009D7677">
        <w:rPr>
          <w:rStyle w:val="NumeroAFNegritaCaracter"/>
        </w:rPr>
        <w:t>6</w:t>
      </w:r>
      <w:r>
        <w:t>. La Secretaría de Justicia de la Sala Segunda de este tribunal, por diligencia de ordenación de 28 de noviembre de 2023, acordó dar vista por plazo común de veinte días de las actuaciones recibidas al recurrente en amparo y al Ministerio Fiscal, para que pudiesen presentar las alegaciones que estimaren pertinentes, de conformidad con el art. 52.1 LOTC.</w:t>
      </w:r>
    </w:p>
    <w:p w14:paraId="1E653791" w14:textId="77777777" w:rsidR="009D7677" w:rsidRDefault="009D7677" w:rsidP="009D7677">
      <w:pPr>
        <w:pStyle w:val="TextoNormal"/>
      </w:pPr>
    </w:p>
    <w:p w14:paraId="193E0568" w14:textId="77777777" w:rsidR="009D7677" w:rsidRDefault="009D7677" w:rsidP="009D7677">
      <w:pPr>
        <w:pStyle w:val="TextoNormal"/>
      </w:pPr>
      <w:r w:rsidRPr="009D7677">
        <w:rPr>
          <w:rStyle w:val="NumeroAFNegritaCaracter"/>
        </w:rPr>
        <w:t>7</w:t>
      </w:r>
      <w:r>
        <w:t>. El Ministerio Fiscal presentó escrito de alegaciones el 18 de enero de 2024, en el que interesa la estimación del recurso de amparo por entender que las providencias impugnadas incurrieron en vulneración del derecho del recurrente a la tutela judicial efectiva (art. 24.1 CE), y en consecuencia deben ser declaradas nulas, con retroacción de actuaciones para que el juzgado dicte otra resolución respetuosa con el derecho fundamental vulnerado.</w:t>
      </w:r>
    </w:p>
    <w:p w14:paraId="00B543B3" w14:textId="77777777" w:rsidR="009D7677" w:rsidRDefault="009D7677" w:rsidP="009D7677">
      <w:pPr>
        <w:pStyle w:val="TextoNormal"/>
      </w:pPr>
    </w:p>
    <w:p w14:paraId="7D2BF4FC" w14:textId="77777777" w:rsidR="009D7677" w:rsidRDefault="009D7677" w:rsidP="009D7677">
      <w:pPr>
        <w:pStyle w:val="TextoNormal"/>
      </w:pPr>
      <w:r>
        <w:t xml:space="preserve">Tras exponer los antecedentes del asunto y hacer una síntesis del desarrollo argumental del recurso de amparo, el fiscal señala que la cuestión que se plantea ya ha sido objeto de reiterados pronunciamientos de este tribunal, que ha declarado la inconstitucionalidad de diversos preceptos legales de contenido similar que excluían en los diferentes órdenes jurisdiccionales la posibilidad de recurso judicial contra los decretos de los letrados de la administración de justicia resolutorios del recurso de reposición. En particular, reviste especial relevancia para el presente asunto la STC 15/2020, de 28 de enero, que, estimando la cuestión interna de inconstitucionalidad planteada en relación con el párrafo primero </w:t>
      </w:r>
      <w:r>
        <w:lastRenderedPageBreak/>
        <w:t xml:space="preserve">del art. 454 </w:t>
      </w:r>
      <w:r w:rsidRPr="009D7677">
        <w:rPr>
          <w:i/>
        </w:rPr>
        <w:t>bis</w:t>
      </w:r>
      <w:r>
        <w:t xml:space="preserve">.1 LEC, en la redacción dada por la Ley 37/2011, de 10 de octubre, declaró la inconstitucionalidad y nulidad de ese precepto; con la precisión de que, en tanto el legislador no se pronuncie al respecto, el recurso judicial procedente frente al decreto del letrado de la administración de justicia resolutivo de la reposición ha de ser el directo de revisión al que se refiere el propio art. 454 </w:t>
      </w:r>
      <w:r w:rsidRPr="009D7677">
        <w:rPr>
          <w:i/>
        </w:rPr>
        <w:t>bis</w:t>
      </w:r>
      <w:r>
        <w:t xml:space="preserve"> LEC. Partiendo de este pronunciamiento, el Tribunal ha venido declarando la vulneración del derecho a la tutela judicial efectiva (art. 24.1 CE) porque la resolución judicial del orden jurisdiccional civil impugnada en amparo, al aplicar el precepto legal anulado por la STC 15/2020, deniega la revisión judicial de los decretos de los letrados de la administración de justicia (SSTC 17/2020, de 10 de febrero; 33/2020, de 24 de febrero; 162/2020, de 16 de noviembre; 163/2020, de 16 de noviembre; 23/2021, de 15 de febrero, y 54/2021, de 15 de marzo).</w:t>
      </w:r>
    </w:p>
    <w:p w14:paraId="4B0DCFB0" w14:textId="77777777" w:rsidR="009D7677" w:rsidRDefault="009D7677" w:rsidP="009D7677">
      <w:pPr>
        <w:pStyle w:val="TextoNormal"/>
      </w:pPr>
    </w:p>
    <w:p w14:paraId="33776948" w14:textId="010C108B" w:rsidR="009D7677" w:rsidRDefault="009D7677" w:rsidP="009D7677">
      <w:pPr>
        <w:pStyle w:val="TextoNormal"/>
      </w:pPr>
      <w:r>
        <w:t>Considera el fiscal que la proyección al presente caso de la doctrina constitucional contenida en la STC 15/2020 debe conducir al otorgamiento del amparo al recurrente. Este se ha visto privado de la preceptiva revisión judicial respecto del decreto del letrado de la administración de justicia de 2 de febrero de 2023 que, confirmando la diligencia de ordenación de 1 de diciembre de 2022, desestima el recurso de reposición que interpuso contra esa diligencia, que se pronunciaba sobre un aspecto esencial de la ejecución hipotecaria, lo que exigía un efectivo control judicial. Control que no se produjo como consecuencia de la aplicación de un precepto legal que ya había sido declarado inconstitucional y nulo por este tribunal.</w:t>
      </w:r>
    </w:p>
    <w:p w14:paraId="182EDA1A" w14:textId="77777777" w:rsidR="009D7677" w:rsidRDefault="009D7677" w:rsidP="009D7677">
      <w:pPr>
        <w:pStyle w:val="TextoNormal"/>
      </w:pPr>
    </w:p>
    <w:p w14:paraId="22851A42" w14:textId="674D2699" w:rsidR="009D7677" w:rsidRDefault="009D7677" w:rsidP="009D7677">
      <w:pPr>
        <w:pStyle w:val="TextoNormal"/>
      </w:pPr>
      <w:r w:rsidRPr="009D7677">
        <w:rPr>
          <w:rStyle w:val="NumeroAFNegritaCaracter"/>
        </w:rPr>
        <w:t>8</w:t>
      </w:r>
      <w:r>
        <w:t>. La representación procesal del recurrente en amparo no presentó escrito de alegaciones.</w:t>
      </w:r>
    </w:p>
    <w:p w14:paraId="33D6846C" w14:textId="77777777" w:rsidR="009D7677" w:rsidRDefault="009D7677" w:rsidP="009D7677">
      <w:pPr>
        <w:pStyle w:val="TextoNormal"/>
      </w:pPr>
    </w:p>
    <w:p w14:paraId="4FEDF4F1" w14:textId="76DA8FFF" w:rsidR="009D7677" w:rsidRDefault="009D7677" w:rsidP="009D7677">
      <w:pPr>
        <w:pStyle w:val="TextoNormal"/>
      </w:pPr>
      <w:r w:rsidRPr="009D7677">
        <w:rPr>
          <w:rStyle w:val="NumeroAFNegritaCaracter"/>
        </w:rPr>
        <w:t>9</w:t>
      </w:r>
      <w:r>
        <w:t>. Por providencia de 8 de febrero de 2024 se señaló para votación y fallo del presente recurso el día 12 del mismo mes y año.</w:t>
      </w:r>
    </w:p>
    <w:p w14:paraId="75FE8328" w14:textId="77777777" w:rsidR="009D7677" w:rsidRDefault="009D7677" w:rsidP="009D7677">
      <w:pPr>
        <w:pStyle w:val="TextoNormal"/>
      </w:pPr>
    </w:p>
    <w:p w14:paraId="25DDE00E" w14:textId="77777777" w:rsidR="009D7677" w:rsidRDefault="009D7677" w:rsidP="009D7677">
      <w:pPr>
        <w:pStyle w:val="TextoNormalNegritaCentrado"/>
        <w:keepNext/>
      </w:pPr>
      <w:r>
        <w:t>II. Fundamentos jurídicos</w:t>
      </w:r>
    </w:p>
    <w:p w14:paraId="08DF5B30" w14:textId="7BB9E6F3" w:rsidR="009D7677" w:rsidRDefault="009D7677" w:rsidP="009D7677">
      <w:pPr>
        <w:pStyle w:val="TextoNormalNegritaCentrado"/>
        <w:keepNext/>
      </w:pPr>
    </w:p>
    <w:p w14:paraId="6044CCCF" w14:textId="77777777" w:rsidR="009D7677" w:rsidRDefault="009D7677" w:rsidP="009D7677">
      <w:pPr>
        <w:pStyle w:val="TextoNormal"/>
      </w:pPr>
      <w:r w:rsidRPr="009D7677">
        <w:rPr>
          <w:rStyle w:val="NumeroAFNegritaCaracter"/>
        </w:rPr>
        <w:t>1</w:t>
      </w:r>
      <w:r>
        <w:t xml:space="preserve">. </w:t>
      </w:r>
      <w:r w:rsidRPr="009D7677">
        <w:rPr>
          <w:i/>
        </w:rPr>
        <w:t>Delimitación del objeto del recurso de amparo</w:t>
      </w:r>
    </w:p>
    <w:p w14:paraId="14D1DC9D" w14:textId="77777777" w:rsidR="009D7677" w:rsidRDefault="009D7677" w:rsidP="009D7677">
      <w:pPr>
        <w:pStyle w:val="TextoNormal"/>
      </w:pPr>
    </w:p>
    <w:p w14:paraId="3648D771" w14:textId="77777777" w:rsidR="009D7677" w:rsidRDefault="009D7677" w:rsidP="009D7677">
      <w:pPr>
        <w:pStyle w:val="TextoNormal"/>
      </w:pPr>
      <w:r>
        <w:t>La demanda de amparo se dirige contra las providencias de 6 y 22 de febrero de 2023 dictadas por el Juzgado de Primera Instancia e Instrucción núm. 6 de Coslada en el procedimiento de ejecución hipotecaria núm. 602-2011. La providencia de 6 de febrero de 2023 inadmite el recurso de revisión interpuesto por el demandante contra el decreto del letrado de la administración de justicia que, confirmando la previa diligencia de ordenación por la que se señalaba fecha para el lanzamiento, desestimó el recurso de reposición que aquel interpuso frente a esa diligencia; la providencia de 22 de febrero de 2023 inadmite el incidente de nulidad de actuaciones promovido frente a la anterior providencia.</w:t>
      </w:r>
    </w:p>
    <w:p w14:paraId="2DA84A01" w14:textId="77777777" w:rsidR="009D7677" w:rsidRDefault="009D7677" w:rsidP="009D7677">
      <w:pPr>
        <w:pStyle w:val="TextoNormal"/>
      </w:pPr>
    </w:p>
    <w:p w14:paraId="59A0EEA2" w14:textId="77777777" w:rsidR="009D7677" w:rsidRDefault="009D7677" w:rsidP="009D7677">
      <w:pPr>
        <w:pStyle w:val="TextoNormal"/>
      </w:pPr>
      <w:r>
        <w:t xml:space="preserve">Alega el demandante de amparo la vulneración de su derecho a la tutela judicial efectiva (art. 24.1 CE), porque las resoluciones impugnadas le han privado injustificadamente de su derecho a que las decisiones del letrado de la administración de justicia sean revisadas por el juez, contradiciendo así la doctrina constitucional sentada en la STC 15/2020, de 28 de enero, que declara la inconstitucionalidad y nulidad del párrafo primero del art. 454 </w:t>
      </w:r>
      <w:r w:rsidRPr="009D7677">
        <w:rPr>
          <w:i/>
        </w:rPr>
        <w:t>bis</w:t>
      </w:r>
      <w:r>
        <w:t xml:space="preserve">.1 LEC, con la precisión de que “en tanto el legislador no se pronuncie al respecto, </w:t>
      </w:r>
      <w:r>
        <w:lastRenderedPageBreak/>
        <w:t xml:space="preserve">el recurso judicial procedente frente al decreto del letrado de la administración de justicia resolutivo de la reposición ha de ser el directo de revisión al que se refiere el propio artículo 454 </w:t>
      </w:r>
      <w:r w:rsidRPr="009D7677">
        <w:rPr>
          <w:i/>
        </w:rPr>
        <w:t>bis</w:t>
      </w:r>
      <w:r>
        <w:t xml:space="preserve"> LEC”.</w:t>
      </w:r>
    </w:p>
    <w:p w14:paraId="3F9F45FE" w14:textId="77777777" w:rsidR="009D7677" w:rsidRDefault="009D7677" w:rsidP="009D7677">
      <w:pPr>
        <w:pStyle w:val="TextoNormal"/>
      </w:pPr>
    </w:p>
    <w:p w14:paraId="40DFB607" w14:textId="00556929" w:rsidR="009D7677" w:rsidRDefault="009D7677" w:rsidP="009D7677">
      <w:pPr>
        <w:pStyle w:val="TextoNormal"/>
      </w:pPr>
      <w:r>
        <w:t>El Ministerio Fiscal, partiendo de la doctrina sentada en la STC 15/2020, de 28 de enero, aplicada en otras posteriores que resuelven recursos de amparo, apoya la pretensión del demandante y solicita que se le otorgue el amparo, declarando la vulneración de su derecho a la tutela judicial efectiva y la nulidad de las providencias impugnadas, con retroacción de las actuaciones al momento inmediatamente anterior al dictado del decreto del letrado de la administración de justicia, para que el juzgado dicte otra resolución respetuosa con el derecho fundamental vulnerado.</w:t>
      </w:r>
    </w:p>
    <w:p w14:paraId="674FC365" w14:textId="77777777" w:rsidR="009D7677" w:rsidRDefault="009D7677" w:rsidP="009D7677">
      <w:pPr>
        <w:pStyle w:val="TextoNormal"/>
      </w:pPr>
    </w:p>
    <w:p w14:paraId="2D4A4D71" w14:textId="77777777" w:rsidR="009D7677" w:rsidRDefault="009D7677" w:rsidP="009D7677">
      <w:pPr>
        <w:pStyle w:val="TextoNormal"/>
      </w:pPr>
      <w:r w:rsidRPr="009D7677">
        <w:rPr>
          <w:rStyle w:val="NumeroAFNegritaCaracter"/>
        </w:rPr>
        <w:t>2</w:t>
      </w:r>
      <w:r>
        <w:t xml:space="preserve">. </w:t>
      </w:r>
      <w:r w:rsidRPr="009D7677">
        <w:rPr>
          <w:i/>
        </w:rPr>
        <w:t>Aplicación al presente caso de la STC 15/2020, de 28 de enero</w:t>
      </w:r>
    </w:p>
    <w:p w14:paraId="3D6D1EAC" w14:textId="77777777" w:rsidR="009D7677" w:rsidRDefault="009D7677" w:rsidP="009D7677">
      <w:pPr>
        <w:pStyle w:val="TextoNormal"/>
      </w:pPr>
    </w:p>
    <w:p w14:paraId="424570D3" w14:textId="77777777" w:rsidR="009D7677" w:rsidRDefault="009D7677" w:rsidP="009D7677">
      <w:pPr>
        <w:pStyle w:val="TextoNormal"/>
      </w:pPr>
      <w:r>
        <w:t xml:space="preserve">El art. 454 </w:t>
      </w:r>
      <w:r w:rsidRPr="009D7677">
        <w:rPr>
          <w:i/>
        </w:rPr>
        <w:t>bis</w:t>
      </w:r>
      <w:r>
        <w:t>.1, párrafo primero, de la Ley de enjuiciamiento civil (LEC), en la redacción dada por la Ley 37/2011, de 10 de octubre, de medidas de agilización procesal, establecía, al regular el recurso de revisión contra determinados decretos del letrado de la administración de justicia, que “[c]ontra el decreto resolutivo de la reposición no se dará recurso alguno, sin perjuicio de reproducir la cuestión, necesariamente, en la primera audiencia ante el tribunal tras la toma de la decisión y, si no fuera posible por el estado de los autos, se podrá solicitar mediante escrito antes de que se dicte la resolución definitiva para que se solvente en ella”.</w:t>
      </w:r>
    </w:p>
    <w:p w14:paraId="71A52BEC" w14:textId="77777777" w:rsidR="009D7677" w:rsidRDefault="009D7677" w:rsidP="009D7677">
      <w:pPr>
        <w:pStyle w:val="TextoNormal"/>
      </w:pPr>
    </w:p>
    <w:p w14:paraId="0A3E60BA" w14:textId="77777777" w:rsidR="009D7677" w:rsidRDefault="009D7677" w:rsidP="009D7677">
      <w:pPr>
        <w:pStyle w:val="TextoNormal"/>
      </w:pPr>
      <w:r>
        <w:t>La STC 15/2020, de 28 de enero, del Pleno de este tribunal, estimó la cuestión interna de inconstitucionalidad núm. 2754-2019, declarando la inconstitucionalidad y nulidad de dicho precepto, por vulnerar el derecho fundamental a la tutela judicial efectiva garantizado por el art. 24.1 CE.</w:t>
      </w:r>
    </w:p>
    <w:p w14:paraId="35B6CDB2" w14:textId="77777777" w:rsidR="009D7677" w:rsidRDefault="009D7677" w:rsidP="009D7677">
      <w:pPr>
        <w:pStyle w:val="TextoNormal"/>
      </w:pPr>
    </w:p>
    <w:p w14:paraId="583C6DE2" w14:textId="77777777" w:rsidR="009D7677" w:rsidRDefault="009D7677" w:rsidP="009D7677">
      <w:pPr>
        <w:pStyle w:val="TextoNormal"/>
      </w:pPr>
      <w:r>
        <w:t xml:space="preserve">Se concluye en la STC 15/2020, FJ 3, que el párrafo primero del art. 454 </w:t>
      </w:r>
      <w:r w:rsidRPr="009D7677">
        <w:rPr>
          <w:i/>
        </w:rPr>
        <w:t>bis</w:t>
      </w:r>
      <w:r>
        <w:t xml:space="preserve">.1 LEC “no permite descartar la eventualidad de que existan supuestos en que la decisión del letrado de la administración de justicia […] concierna a cuestiones relevantes en el marco del proceso que atañen a la función jurisdiccional reservada en exclusiva a jueces y magistrados y que, […] sin embargo, quedan excluidos por el legislador del recurso directo de revisión ante los titulares de la potestad jurisdiccional. Por otra parte, tampoco cabe apreciar que este control judicial pueda obtenerse de manera real y efectiva en el marco del propio proceso de una manera indirecta a través de instrumentos o remedios alternativos al régimen de recursos. […] Del mismo modo, la referencia realizada a la posibilidad de reproducir la cuestión mediante escrito para que se solvente en la ‘resolución definitiva’ tampoco satisface con carácter general la garantía de control judicial. […] En definitiva, el precepto cuestionado vulnera el derecho a la tutela judicial efectiva (art. 24.1 CE), ya que ha creado un régimen de impugnación de las decisiones de los letrados de la administración de justicia generador de un espacio inmune al control jurisdiccional. En coherencia con ello, se debe declarar la inconstitucionalidad y nulidad del precepto cuestionado, precisando, al igual que se hizo en las SSTC 58/2016, FJ 7; 72/2018, FJ 4, y 34/2019, FJ 7, que, en tanto el legislador no se pronuncie al respecto, el recurso judicial procedente frente al decreto del letrado de la administración de justicia resolutivo de la reposición ha de ser el directo de revisión al que se refiere el propio artículo 454 </w:t>
      </w:r>
      <w:r w:rsidRPr="009D7677">
        <w:rPr>
          <w:i/>
        </w:rPr>
        <w:t>bis</w:t>
      </w:r>
      <w:r>
        <w:t xml:space="preserve"> LEC”.</w:t>
      </w:r>
    </w:p>
    <w:p w14:paraId="251AD2BD" w14:textId="77777777" w:rsidR="009D7677" w:rsidRDefault="009D7677" w:rsidP="009D7677">
      <w:pPr>
        <w:pStyle w:val="TextoNormal"/>
      </w:pPr>
    </w:p>
    <w:p w14:paraId="2E5FC7EF" w14:textId="77777777" w:rsidR="009D7677" w:rsidRDefault="009D7677" w:rsidP="009D7677">
      <w:pPr>
        <w:pStyle w:val="TextoNormal"/>
      </w:pPr>
      <w:r>
        <w:lastRenderedPageBreak/>
        <w:t>Al igual que en supuestos precedentes que resuelven recursos de amparo similares al presente (SSTC 17/2020, de 10 de febrero; 33/2020, de 24 de febrero; 162/2020, de 16 de noviembre; 163/2020, de 16 de noviembre; 23/2021, de 15 de febrero, y 54/2021, de 15 de marzo), la aplicación de la doctrina contenida en la STC 15/2020 debe llevar en este caso a apreciar que se ha vulnerado el derecho a la tutela judicial efectiva (art. 24.1 CE) del demandante de amparo.</w:t>
      </w:r>
    </w:p>
    <w:p w14:paraId="4D118DB9" w14:textId="77777777" w:rsidR="009D7677" w:rsidRDefault="009D7677" w:rsidP="009D7677">
      <w:pPr>
        <w:pStyle w:val="TextoNormal"/>
      </w:pPr>
    </w:p>
    <w:p w14:paraId="1EA03CA7" w14:textId="6320091E" w:rsidR="009D7677" w:rsidRDefault="009D7677" w:rsidP="009D7677">
      <w:pPr>
        <w:pStyle w:val="TextoNormal"/>
      </w:pPr>
      <w:r>
        <w:t xml:space="preserve">Como señala el Ministerio Fiscal, el demandante de amparo se ha visto privado de la revisión judicial del decreto del letrado de la administración de justicia de 2 de febrero de 2023 que, confirmando la diligencia de ordenación de 1 de diciembre de 2022, desestimó el recurso de reposición que interpuso contra esa diligencia, que se pronunciaba sobre un aspecto relevante en el marco de la ejecución hipotecaria (el señalamiento de fecha para el lanzamiento), lo que exigía un efectivo control judicial. Un control que no se produjo en este caso como consecuencia de la aplicación por el juez de un precepto legal que ya había sido declarado inconstitucional y nulo por este tribunal en la citada STC 15/2020, expresamente invocada por el demandante de amparo en su recurso de revisión contra el decreto del letrado de la administración de justicia. Pues, en efecto, la providencia de 6 de febrero de 2023 inadmite ese recurso en aplicación de lo dispuesto en el párrafo primero del art. 454 </w:t>
      </w:r>
      <w:r w:rsidRPr="009D7677">
        <w:rPr>
          <w:i/>
        </w:rPr>
        <w:t>bis</w:t>
      </w:r>
      <w:r>
        <w:t xml:space="preserve">.1 LEC (en la redacción dada por la Ley 37/2011), aunque en la misma se aluda al art. 454 </w:t>
      </w:r>
      <w:r w:rsidRPr="009D7677">
        <w:rPr>
          <w:i/>
        </w:rPr>
        <w:t>bis</w:t>
      </w:r>
      <w:r>
        <w:t>.2 LEC. Y en la posterior providencia de 22 de febrero de 2023 el juzgado inadmite el incidente de nulidad, en el que el demandante insistía en la procedencia del recurso de revisión conforme a la doctrina de la STC 15/2020, sin dar respuesta alguna a esta alegación.</w:t>
      </w:r>
    </w:p>
    <w:p w14:paraId="399C3BEE" w14:textId="77777777" w:rsidR="009D7677" w:rsidRDefault="009D7677" w:rsidP="009D7677">
      <w:pPr>
        <w:pStyle w:val="TextoNormal"/>
      </w:pPr>
    </w:p>
    <w:p w14:paraId="62149F3C" w14:textId="77777777" w:rsidR="009D7677" w:rsidRDefault="009D7677" w:rsidP="009D7677">
      <w:pPr>
        <w:pStyle w:val="TextoNormal"/>
      </w:pPr>
      <w:r w:rsidRPr="009D7677">
        <w:rPr>
          <w:rStyle w:val="NumeroAFNegritaCaracter"/>
        </w:rPr>
        <w:t>3</w:t>
      </w:r>
      <w:r>
        <w:t xml:space="preserve">. </w:t>
      </w:r>
      <w:r w:rsidRPr="009D7677">
        <w:rPr>
          <w:i/>
        </w:rPr>
        <w:t>Alcance del otorgamiento del amparo</w:t>
      </w:r>
    </w:p>
    <w:p w14:paraId="1160798A" w14:textId="77777777" w:rsidR="009D7677" w:rsidRDefault="009D7677" w:rsidP="009D7677">
      <w:pPr>
        <w:pStyle w:val="TextoNormal"/>
      </w:pPr>
    </w:p>
    <w:p w14:paraId="4744A5C0" w14:textId="69E5ADDD" w:rsidR="009D7677" w:rsidRDefault="009D7677" w:rsidP="009D7677">
      <w:pPr>
        <w:pStyle w:val="TextoNormal"/>
      </w:pPr>
      <w:r>
        <w:t xml:space="preserve">Para restablecer al demandante de amparo en la integridad de su derecho a la tutela judicial efectiva, procede que declaremos la nulidad de las dos resoluciones judiciales impugnadas, así como la retroacción de las actuaciones del procedimiento de ejecución hipotecaria núm. 602-2011 seguido ante el Juzgado de Primera Instancia e Instrucción núm. 6 de Coslada al momento inmediatamente anterior al dictado de la providencia de 6 de febrero de 2023, para que dicho órgano judicial provea en términos respetuosos con el derecho fundamental reconocido. Esto último supone acordar que se tenga por presentado, se admita y se resuelva el recurso de revisión interpuesto por el demandante contra el decreto del letrado de la administración de justicia de 2 de febrero de 2023, de conformidad con lo establecido en la STC 15/2020, FJ 3 </w:t>
      </w:r>
      <w:r w:rsidRPr="009D7677">
        <w:rPr>
          <w:i/>
        </w:rPr>
        <w:t>in fine</w:t>
      </w:r>
      <w:r>
        <w:t>.</w:t>
      </w:r>
    </w:p>
    <w:p w14:paraId="171B44DE" w14:textId="77777777" w:rsidR="009D7677" w:rsidRDefault="009D7677" w:rsidP="009D7677">
      <w:pPr>
        <w:pStyle w:val="TextoNormal"/>
      </w:pPr>
    </w:p>
    <w:p w14:paraId="44A709B3" w14:textId="77777777" w:rsidR="009D7677" w:rsidRDefault="009D7677" w:rsidP="009D7677">
      <w:pPr>
        <w:pStyle w:val="TextoNormalCentrado"/>
        <w:keepNext/>
      </w:pPr>
      <w:r>
        <w:t>FALLO</w:t>
      </w:r>
    </w:p>
    <w:p w14:paraId="51EE79BE" w14:textId="44C13F52" w:rsidR="009D7677" w:rsidRDefault="009D7677" w:rsidP="009D7677">
      <w:pPr>
        <w:pStyle w:val="TextoNormalCentrado"/>
        <w:keepNext/>
      </w:pPr>
    </w:p>
    <w:p w14:paraId="097D444E" w14:textId="77777777" w:rsidR="009D7677" w:rsidRDefault="009D7677" w:rsidP="009D7677">
      <w:pPr>
        <w:pStyle w:val="TextoNormal"/>
      </w:pPr>
      <w:r>
        <w:t>En atención a todo lo expuesto, el Tribunal Constitucional, por la autoridad que le confiere la Constitución de la Nación española, ha decidido estimar el recurso de amparo interpuesto por don Ernesto Gallego Sánchez y, en su virtud:</w:t>
      </w:r>
    </w:p>
    <w:p w14:paraId="3C879564" w14:textId="77777777" w:rsidR="009D7677" w:rsidRDefault="009D7677" w:rsidP="009D7677">
      <w:pPr>
        <w:pStyle w:val="TextoNormal"/>
      </w:pPr>
    </w:p>
    <w:p w14:paraId="0220F1A2" w14:textId="77777777" w:rsidR="009D7677" w:rsidRDefault="009D7677" w:rsidP="009D7677">
      <w:pPr>
        <w:pStyle w:val="TextoNormal"/>
      </w:pPr>
      <w:r>
        <w:t>1º Declarar vulnerado su derecho a la tutela judicial efectiva (art. 24.1 CE).</w:t>
      </w:r>
    </w:p>
    <w:p w14:paraId="4068DEF5" w14:textId="77777777" w:rsidR="009D7677" w:rsidRDefault="009D7677" w:rsidP="009D7677">
      <w:pPr>
        <w:pStyle w:val="TextoNormal"/>
      </w:pPr>
    </w:p>
    <w:p w14:paraId="597C0421" w14:textId="77777777" w:rsidR="009D7677" w:rsidRDefault="009D7677" w:rsidP="009D7677">
      <w:pPr>
        <w:pStyle w:val="TextoNormal"/>
      </w:pPr>
      <w:r>
        <w:t xml:space="preserve">2º Restablecerle en la integridad de su derecho y, a tal fin, declarar la nulidad de las providencias dictadas el 6 y el 22 de febrero de 2023 por el Juzgado de Primera Instancia e </w:t>
      </w:r>
      <w:r>
        <w:lastRenderedPageBreak/>
        <w:t>Instrucción núm. 6 de Coslada, en el procedimiento de ejecución hipotecaria núm. 602-2011.</w:t>
      </w:r>
    </w:p>
    <w:p w14:paraId="650F578B" w14:textId="77777777" w:rsidR="009D7677" w:rsidRDefault="009D7677" w:rsidP="009D7677">
      <w:pPr>
        <w:pStyle w:val="TextoNormal"/>
      </w:pPr>
    </w:p>
    <w:p w14:paraId="2CBDFD45" w14:textId="0F0DD046" w:rsidR="009D7677" w:rsidRDefault="009D7677" w:rsidP="009D7677">
      <w:pPr>
        <w:pStyle w:val="TextoNormal"/>
      </w:pPr>
      <w:r>
        <w:t>3º Retrotraer las actuaciones al momento anterior al dictado de la providencia de 6 de febrero de 2023, para que el Juzgado de Primera Instancia e Instrucción núm. 6 de Coslada proceda a la reparación del derecho fundamental vulnerado, en los términos que se especifican en el fundamento jurídico 3 de la presente sentencia.</w:t>
      </w:r>
    </w:p>
    <w:p w14:paraId="1A6EBB93" w14:textId="77777777" w:rsidR="009D7677" w:rsidRDefault="009D7677" w:rsidP="009D7677">
      <w:pPr>
        <w:pStyle w:val="TextoNormal"/>
      </w:pPr>
    </w:p>
    <w:p w14:paraId="12453CB4" w14:textId="77777777" w:rsidR="009D7677" w:rsidRDefault="009D7677" w:rsidP="009D7677">
      <w:pPr>
        <w:pStyle w:val="TextoNormal"/>
      </w:pPr>
      <w:r>
        <w:t>Publíquese esta sentencia en el “Boletín Oficial del Estado”.</w:t>
      </w:r>
    </w:p>
    <w:p w14:paraId="169C64C1" w14:textId="77777777" w:rsidR="009D7677" w:rsidRDefault="009D7677" w:rsidP="009D7677">
      <w:pPr>
        <w:pStyle w:val="TextoNormal"/>
      </w:pPr>
      <w:r>
        <w:t>Dada en Madrid, a doce de febrero de dos mil veinticuatro.</w:t>
      </w:r>
    </w:p>
    <w:p w14:paraId="79B436F0" w14:textId="11AC8F40" w:rsidR="009D7677" w:rsidRDefault="009D7677">
      <w:pPr>
        <w:spacing w:after="160" w:line="259" w:lineRule="auto"/>
        <w:rPr>
          <w:rFonts w:ascii="Times New Roman" w:eastAsia="Times New Roman" w:hAnsi="Times New Roman" w:cs="Times New Roman"/>
          <w:sz w:val="24"/>
          <w:szCs w:val="24"/>
          <w:lang w:eastAsia="es-ES"/>
        </w:rPr>
      </w:pPr>
      <w:r>
        <w:br w:type="page"/>
      </w:r>
    </w:p>
    <w:p w14:paraId="3482FFD1" w14:textId="77777777" w:rsidR="009D7677" w:rsidRDefault="009D7677" w:rsidP="009D7677">
      <w:pPr>
        <w:pStyle w:val="TtuloResolucin"/>
      </w:pPr>
      <w:bookmarkStart w:id="26" w:name="SENTENCIA_2024_24"/>
      <w:r>
        <w:lastRenderedPageBreak/>
        <w:t>SENTENCIA 24/2024, de 12 de febrero de 2024</w:t>
      </w:r>
    </w:p>
    <w:bookmarkEnd w:id="26"/>
    <w:p w14:paraId="3541A712" w14:textId="77777777" w:rsidR="009D7677" w:rsidRDefault="009D7677" w:rsidP="009D7677">
      <w:pPr>
        <w:pStyle w:val="TtuloResolucin"/>
      </w:pPr>
      <w:r>
        <w:t>Sala Segunda</w:t>
      </w:r>
    </w:p>
    <w:p w14:paraId="32EF63CC" w14:textId="77777777" w:rsidR="009D7677" w:rsidRDefault="009D7677" w:rsidP="009D7677">
      <w:pPr>
        <w:pStyle w:val="TtuloBOE"/>
      </w:pPr>
      <w:r>
        <w:t>(BOE núm. 72, de 22 de marzo de 2024)</w:t>
      </w:r>
    </w:p>
    <w:p w14:paraId="78256447" w14:textId="77777777" w:rsidR="009D7677" w:rsidRDefault="009D7677" w:rsidP="009D7677">
      <w:pPr>
        <w:pStyle w:val="TextoNormalCentrado"/>
      </w:pPr>
      <w:r>
        <w:t>ECLI:ES:TC:2024:24</w:t>
      </w:r>
    </w:p>
    <w:p w14:paraId="7E9227BC" w14:textId="480B64C3" w:rsidR="009D7677" w:rsidRDefault="009D7677" w:rsidP="009D7677">
      <w:pPr>
        <w:pStyle w:val="TextoNormalCentrado"/>
      </w:pPr>
    </w:p>
    <w:p w14:paraId="77AEE53E" w14:textId="77777777" w:rsidR="009D7677" w:rsidRDefault="009D7677" w:rsidP="009D7677">
      <w:pPr>
        <w:pStyle w:val="SntesisDescriptiva"/>
      </w:pPr>
      <w:r>
        <w:t>Recurso de amparo 2387-2023. Promovido por don P.T.A., en relación con los autos dictados por la Audiencia Provincial de Castellón y un juzgado de primera instancia de esa capital que acordaron la administración de la vacuna frente a la covid-19.</w:t>
      </w:r>
    </w:p>
    <w:p w14:paraId="485F0CBA" w14:textId="01781AF5" w:rsidR="009D7677" w:rsidRDefault="009D7677" w:rsidP="009D7677">
      <w:pPr>
        <w:pStyle w:val="SntesisDescriptiva"/>
      </w:pPr>
    </w:p>
    <w:p w14:paraId="42CFB886" w14:textId="77777777" w:rsidR="009D7677" w:rsidRDefault="009D7677" w:rsidP="009D7677">
      <w:pPr>
        <w:pStyle w:val="SntesisAnaltica"/>
      </w:pPr>
      <w:r>
        <w:t>Supuesta vulneración de los derechos a la integridad física y a la tutela judicial sin indefensión: STC 148/2023 [resoluciones judiciales que realizaron una ponderación adecuada de los intereses de una persona menor de edad (STC 38/2023)].</w:t>
      </w:r>
    </w:p>
    <w:p w14:paraId="51D05757" w14:textId="40B38A5C" w:rsidR="009D7677" w:rsidRDefault="009D7677" w:rsidP="009D7677">
      <w:pPr>
        <w:pStyle w:val="SntesisAnaltica"/>
      </w:pPr>
    </w:p>
    <w:p w14:paraId="6F634AD1" w14:textId="02FAD543" w:rsidR="009D7677" w:rsidRDefault="009D7677" w:rsidP="009D7677">
      <w:pPr>
        <w:pStyle w:val="Extracto"/>
      </w:pPr>
      <w:r>
        <w:t>1.</w:t>
      </w:r>
      <w:r>
        <w:tab/>
        <w:t xml:space="preserve">La capacidad general de autodeterminación de las personas menores de edad, en relación con las actuaciones médicas que les afectan, encuentra su límite en la protección de su interés superior, que se impone como obligación a los progenitores, en cuanto titulares de la patria potestad o autoridad familiar, y a todos los poderes públicos, incluida la autoridad judicial (STC 148/2023) </w:t>
      </w:r>
    </w:p>
    <w:p w14:paraId="43952AC4" w14:textId="77777777" w:rsidR="009D7677" w:rsidRDefault="009D7677" w:rsidP="009D7677">
      <w:pPr>
        <w:pStyle w:val="Extracto"/>
      </w:pPr>
    </w:p>
    <w:p w14:paraId="416BC428" w14:textId="6357CC95" w:rsidR="009D7677" w:rsidRDefault="009D7677" w:rsidP="009D7677">
      <w:pPr>
        <w:pStyle w:val="Extracto"/>
      </w:pPr>
      <w:r>
        <w:t>2.</w:t>
      </w:r>
      <w:r>
        <w:tab/>
        <w:t xml:space="preserve">La decisión de los representantes legales relativa al otorgamiento o no del consentimiento informado por representación deberá atender a la protección del derecho a la vida, supervivencia y desarrollo del menor y la satisfacción de sus necesidades básicas, tanto materiales, físicas y educativas como emocionales y afectivas [art. 2.2, letra a) de la Ley Orgánica 1/1996]; y es preciso buscar el mayor beneficio para la vida o salud del paciente menor de edad (STC 148/2023) </w:t>
      </w:r>
    </w:p>
    <w:p w14:paraId="386E5B85" w14:textId="77777777" w:rsidR="009D7677" w:rsidRDefault="009D7677" w:rsidP="009D7677">
      <w:pPr>
        <w:pStyle w:val="Extracto"/>
      </w:pPr>
    </w:p>
    <w:p w14:paraId="00CAA7D8" w14:textId="77777777" w:rsidR="009D7677" w:rsidRDefault="009D7677" w:rsidP="009D7677">
      <w:pPr>
        <w:pStyle w:val="Extracto"/>
      </w:pPr>
    </w:p>
    <w:p w14:paraId="5708CDD5" w14:textId="77777777" w:rsidR="009D7677" w:rsidRDefault="009D7677" w:rsidP="009D7677">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019DD4A9" w14:textId="10B6FCB1" w:rsidR="009D7677" w:rsidRDefault="009D7677" w:rsidP="009D7677">
      <w:pPr>
        <w:pStyle w:val="TextoNormal"/>
      </w:pPr>
    </w:p>
    <w:p w14:paraId="4CA94D99" w14:textId="77777777" w:rsidR="009D7677" w:rsidRDefault="009D7677" w:rsidP="009D7677">
      <w:pPr>
        <w:pStyle w:val="TextoNormalCentrado"/>
        <w:keepNext/>
      </w:pPr>
      <w:r>
        <w:t>EN NOMBRE DEL REY</w:t>
      </w:r>
    </w:p>
    <w:p w14:paraId="0BD81263" w14:textId="7B462293" w:rsidR="009D7677" w:rsidRDefault="009D7677" w:rsidP="009D7677">
      <w:pPr>
        <w:pStyle w:val="TextoNormalCentrado"/>
        <w:keepNext/>
      </w:pPr>
    </w:p>
    <w:p w14:paraId="6A162DC4" w14:textId="77777777" w:rsidR="009D7677" w:rsidRDefault="009D7677" w:rsidP="009D7677">
      <w:pPr>
        <w:pStyle w:val="TextoNormalCentrado"/>
        <w:keepNext/>
      </w:pPr>
    </w:p>
    <w:p w14:paraId="4831ACC6" w14:textId="77777777" w:rsidR="009D7677" w:rsidRDefault="009D7677" w:rsidP="009D7677">
      <w:pPr>
        <w:pStyle w:val="TextoNormal"/>
      </w:pPr>
      <w:r>
        <w:t>la siguiente</w:t>
      </w:r>
    </w:p>
    <w:p w14:paraId="228E1738" w14:textId="401D8986" w:rsidR="009D7677" w:rsidRDefault="009D7677" w:rsidP="009D7677">
      <w:pPr>
        <w:pStyle w:val="TextoNormal"/>
      </w:pPr>
    </w:p>
    <w:p w14:paraId="71E3E61C" w14:textId="77777777" w:rsidR="009D7677" w:rsidRDefault="009D7677" w:rsidP="009D7677">
      <w:pPr>
        <w:pStyle w:val="TextoNormalCentrado"/>
        <w:keepNext/>
      </w:pPr>
      <w:r>
        <w:t>SENTENCIA</w:t>
      </w:r>
    </w:p>
    <w:p w14:paraId="66B6AA38" w14:textId="08AD0D4D" w:rsidR="009D7677" w:rsidRDefault="009D7677" w:rsidP="009D7677">
      <w:pPr>
        <w:pStyle w:val="TextoNormalCentrado"/>
        <w:keepNext/>
      </w:pPr>
    </w:p>
    <w:p w14:paraId="23C6D331" w14:textId="77777777" w:rsidR="009D7677" w:rsidRDefault="009D7677" w:rsidP="009D7677">
      <w:pPr>
        <w:pStyle w:val="TextoNormal"/>
      </w:pPr>
      <w:r>
        <w:t>En el recurso de amparo núm. 2387-2023, interpuesto por el procurador de los tribunales don Jorge Vico Sanz, en nombre y representación de don P.T.A., bajo la dirección técnica de la letrada doña Eva María Ruiz Córdoba, contra el auto de 16 de mayo de 2022 dictado por el Juzgado de Primera Instancia núm. 7 de Castellón en el procedimiento de intervención judicial por desacuerdo en el ejercicio de la patria potestad núm. 60-2022 y contra el auto de 14 de febrero de 2023 dictado por la Sección Cuarta de la Audiencia Provincial de Castellón, en el rollo de apelación núm. 847-2022, confirmatorio del ante</w:t>
      </w:r>
      <w:r>
        <w:lastRenderedPageBreak/>
        <w:t>rior. Ha comparecido y formulado alegaciones doña R.M.M. Ha intervenido el Ministerio Fiscal. Ha sido ponente la magistrada doña María Luisa Balaguer Callejón.</w:t>
      </w:r>
    </w:p>
    <w:p w14:paraId="7E816124" w14:textId="42391AD2" w:rsidR="009D7677" w:rsidRDefault="009D7677" w:rsidP="009D7677">
      <w:pPr>
        <w:pStyle w:val="TextoNormal"/>
      </w:pPr>
    </w:p>
    <w:p w14:paraId="7E06DE83" w14:textId="77777777" w:rsidR="009D7677" w:rsidRDefault="009D7677" w:rsidP="009D7677">
      <w:pPr>
        <w:pStyle w:val="TextoNormalNegritaCentrado"/>
        <w:keepNext/>
      </w:pPr>
      <w:r>
        <w:t>I. Antecedentes</w:t>
      </w:r>
    </w:p>
    <w:p w14:paraId="2F6CCDCF" w14:textId="7C204BBF" w:rsidR="009D7677" w:rsidRDefault="009D7677" w:rsidP="009D7677">
      <w:pPr>
        <w:pStyle w:val="TextoNormalNegritaCentrado"/>
        <w:keepNext/>
      </w:pPr>
    </w:p>
    <w:p w14:paraId="7C1CFC0D" w14:textId="00B1E5F4" w:rsidR="009D7677" w:rsidRDefault="009D7677" w:rsidP="009D7677">
      <w:pPr>
        <w:pStyle w:val="TextoNormal"/>
      </w:pPr>
      <w:r w:rsidRPr="009D7677">
        <w:rPr>
          <w:rStyle w:val="NumeroAFNegritaCaracter"/>
        </w:rPr>
        <w:t>1</w:t>
      </w:r>
      <w:r>
        <w:t>. Don P.T.A., representado por el procurador de los tribunales don Jorge Vico Sanz, ha presentado recurso de amparo contra las resoluciones reseñadas en el encabezamiento de la presente resolución mediante escrito presentado en el registro de este tribunal el día 14 de abril de 2023.</w:t>
      </w:r>
    </w:p>
    <w:p w14:paraId="0A53BFFD" w14:textId="77777777" w:rsidR="009D7677" w:rsidRDefault="009D7677" w:rsidP="009D7677">
      <w:pPr>
        <w:pStyle w:val="TextoNormal"/>
      </w:pPr>
    </w:p>
    <w:p w14:paraId="25C0E414" w14:textId="77777777" w:rsidR="009D7677" w:rsidRDefault="009D7677" w:rsidP="009D7677">
      <w:pPr>
        <w:pStyle w:val="TextoNormal"/>
      </w:pPr>
      <w:r w:rsidRPr="009D7677">
        <w:rPr>
          <w:rStyle w:val="NumeroAFNegritaCaracter"/>
        </w:rPr>
        <w:t>2</w:t>
      </w:r>
      <w:r>
        <w:t>. Los hechos de los que trae causa la demanda de amparo son, en síntesis, los siguientes:</w:t>
      </w:r>
    </w:p>
    <w:p w14:paraId="718AE517" w14:textId="77777777" w:rsidR="009D7677" w:rsidRDefault="009D7677" w:rsidP="009D7677">
      <w:pPr>
        <w:pStyle w:val="TextoNormal"/>
      </w:pPr>
    </w:p>
    <w:p w14:paraId="381A35AE" w14:textId="77777777" w:rsidR="009D7677" w:rsidRDefault="009D7677" w:rsidP="009D7677">
      <w:pPr>
        <w:pStyle w:val="TextoNormal"/>
      </w:pPr>
      <w:r>
        <w:t>a) Doña R.M.M., promovió expediente de jurisdicción voluntaria al amparo del art. 85 de la Ley de la Jurisdicción Voluntaria y el art. 156 del Código civil, solicitando la intervención judicial por desacuerdo de los progenitores en el ejercicio de la patria potestad respecto de la hija menor común, de ocho años de edad, por la negativa del padre, don P.T.A., a que se le administrara la vacuna contra la covid-19. Alegaba en su escrito que el padre pertenecía al colectivo negacionista y se oponía a la vacunación, consumiendo en su lugar clorito de sodio y el activador de ácido clorhídrico por considerarlo bueno para combatir la covid-19. Frente a la postura del padre, ella había consultado con varios pediatras, y todos ellos aconsejaban la vacunación de la hija menor, al igual que la Asociación Española de Pediatría. Ante la imposibilidad de alcanzar un acuerdo entre los progenitores, solicitó la intervención judicial.</w:t>
      </w:r>
    </w:p>
    <w:p w14:paraId="2EDC287E" w14:textId="77777777" w:rsidR="009D7677" w:rsidRDefault="009D7677" w:rsidP="009D7677">
      <w:pPr>
        <w:pStyle w:val="TextoNormal"/>
      </w:pPr>
    </w:p>
    <w:p w14:paraId="561323C0" w14:textId="77777777" w:rsidR="009D7677" w:rsidRDefault="009D7677" w:rsidP="009D7677">
      <w:pPr>
        <w:pStyle w:val="TextoNormal"/>
      </w:pPr>
      <w:r>
        <w:t>b) Por decreto de 9 de febrero de 2022 se admitió la solicitud presentada y se convocó a ambos progenitores a una comparecencia el 12 de mayo de 2022 y al Ministerio Fiscal.</w:t>
      </w:r>
    </w:p>
    <w:p w14:paraId="7D65A63C" w14:textId="77777777" w:rsidR="009D7677" w:rsidRDefault="009D7677" w:rsidP="009D7677">
      <w:pPr>
        <w:pStyle w:val="TextoNormal"/>
      </w:pPr>
    </w:p>
    <w:p w14:paraId="23C449E6" w14:textId="77777777" w:rsidR="009D7677" w:rsidRDefault="009D7677" w:rsidP="009D7677">
      <w:pPr>
        <w:pStyle w:val="TextoNormal"/>
      </w:pPr>
      <w:r>
        <w:t>c) Don P.T.A., presentó escrito alegando la inadecuación del procedimiento por considerar que la madre debió promover un juicio ordinario y, en cuanto al fondo, formuló oposición considerando que los riesgos de la vacunación serían superiores a los beneficios que le reportaría la vacuna a la hija menor de edad, y que se trataba de un fármaco en fase experimental del que se desconocían los efectos adversos a medio y largo plazo, siendo los efectos secundarios muy abundantes y muy graves, conforme a las fichas técnicas aportadas y el informe pericial que acompañaba a su escrito. Indicaba, asimismo, que, tratándose de un fármaco génico experimental, equivalente a medicamentos de terapia avanzada, era necesaria la prescripción médica para la inoculación de la vacuna, y que los riesgos que conllevaba serían contrarios al interés superior de la menor, citando al efecto la Convención sobre los derechos del niño, la Carta europea de derechos del niño, la Ley Orgánica 1/1996, de protección jurídica del menor, el Convenio de Oviedo, el Código de ética de Nuremberg, la Declaración de Helsinki, la Declaración universal sobre bioética y derechos humanos de la UNESCO, la Ley 41/2002, de autonomía del paciente, en relación con el consentimiento informado, la Ley 14/2007, de investigación biomédica, y el Real decreto 1090/2015, por el que se regulan los ensayos clínicos con medicamentos. Alegaba asimismo que la protección de los niños era superior en caso de no estar vacunados por su inmunidad innata, que queda suprimida por estas vacunas, que les exponen a más peligros e incluso a enfermedades autoinmunes. Frente a las alegaciones de doña R.M.M., al califi</w:t>
      </w:r>
      <w:r>
        <w:lastRenderedPageBreak/>
        <w:t>carle como negacionista, afirmaba su libertad para no vacunarse, al no tratarse de una vacuna obligatoria, y para tomar productos alternativos a la vacuna como el clorito de sodio, alternativa posible conforme al informe pericial que acompañaba a su escrito, y negó haber suministrado estas sustancias a sus hijos.</w:t>
      </w:r>
    </w:p>
    <w:p w14:paraId="76CAB891" w14:textId="77777777" w:rsidR="009D7677" w:rsidRDefault="009D7677" w:rsidP="009D7677">
      <w:pPr>
        <w:pStyle w:val="TextoNormal"/>
      </w:pPr>
    </w:p>
    <w:p w14:paraId="6DD86538" w14:textId="77777777" w:rsidR="009D7677" w:rsidRDefault="009D7677" w:rsidP="009D7677">
      <w:pPr>
        <w:pStyle w:val="TextoNormal"/>
      </w:pPr>
      <w:r>
        <w:t>d) El Juzgado de Primera Instancia núm. 7 de Castellón dictó auto el 16 de mayo de 2022 acordando atribuir la facultad de decidir a doña R.M.M. Respecto de la inadecuación del procedimiento alegada por el demandado, consideró que la actora podía promover tanto el juicio ordinario, si lo hubiera considerado oportuno, como el expediente de jurisdicción voluntaria que ha incoado, a la luz de lo dispuesto en el art. 86 de la Ley de jurisdicción voluntaria. Y, desestimada la excepción procesal, advirtió que la menor se encontraba en la franja de edad de entre cinco y once años, para la cual se encontraba en marcha en el ámbito de la Comunidad Valenciana una campaña de vacunación contra la covid-19 que no era obligatoria, por lo que ambos progenitores de común acuerdo podrían negarse a la inoculación, si bien se estaba administrando con carácter general a la población infantil en ese rango de edad. Ante el desacuerdo de los padres, la decisión de atribuir la facultad de decidir a uno de ellos debía hacerse en atención al interés superior de la menor, ponderado con el resto de circunstancias e intereses en juego. Y así, atribuyó la facultad de decidir a la madre porque: (i) frente a los riesgos alegados por el padre en relación con la vacunación, las autoridades sanitarias españolas, que están en mejor disposición que cualquier autoridad judicial para valorar y hacer un balance de riesgos y beneficios, habían considerado preferente la vacunación a este grupo de población que no vacunarlo; (ii) el padre no había acreditado ninguna contraindicación de la menor por razón de enfermedad, alergia o dolencia para que quede fuera de la campaña de vacunación, y su propia pediatra aconsejó a la progenitora la administración de la vacuna, siguiendo la recomendación de la Asociación Española de Pediatría; (iii) razones sociales también aconsejaban la vacunación, al permitir a la menor el pasaporte covid y, con ello, el acceso a determinados medios de transporte; (iv) aunque la demanda se interpuso cuando la campaña de vacunación aún era incipiente, al tiempo de dictarse la sentencia ya estaba plenamente implementada y no habían trascendido casos de gravedad en cuanto a efectos adversos o secundarios. Señala finalmente que, aunque la menor hubiera padecido la covid-19, hecho que no se ha podido contrastar por oposición del padre, tal circunstancia impediría la vacunación en un período de tiempo, pero transcurrido el plazo oportuno, sería recomendable la vacunación por los argumentos expuestos.</w:t>
      </w:r>
    </w:p>
    <w:p w14:paraId="798B20F3" w14:textId="77777777" w:rsidR="009D7677" w:rsidRDefault="009D7677" w:rsidP="009D7677">
      <w:pPr>
        <w:pStyle w:val="TextoNormal"/>
      </w:pPr>
    </w:p>
    <w:p w14:paraId="3E69E9E2" w14:textId="77777777" w:rsidR="009D7677" w:rsidRDefault="009D7677" w:rsidP="009D7677">
      <w:pPr>
        <w:pStyle w:val="TextoNormal"/>
      </w:pPr>
      <w:r>
        <w:t xml:space="preserve">e) Don P.T.A., presentó recurso de apelación contra el auto de 16 de mayo de 2022. En su escrito alegaba la errónea valoración de la prueba porque no se trata de una vacuna tradicional, sino una vacuna que en aquel momento se encontraba en fase experimental, que comportaba riesgos y que había dado lugar a casos de gravedad, de acuerdo con sus fichas técnicas, que contenían una advertencia de triángulo negro, y conforme al informe pericial aportado por el recurrente. En cuanto a las recomendaciones médicas alegadas por la actora, señalaba que no se había presentado prueba documental alguna y que no bastaría en este caso la recomendación, sino la prescripción médica. Negaba asimismo la concurrencia de consentimiento informado y que el pasaporte covid al que aludía el auto de primera instancia, que no era necesario para acceder a medios de transporte, era en sí mismo lesivo de derechos fundamentales porque realizaba una diferencia de trato entre españoles, debiéndose tener en cuenta que el procedimiento establecido para adoptar estas medidas restrictivas de derechos fundamentales había sido declarado inconstitucional; insistía también </w:t>
      </w:r>
      <w:r>
        <w:lastRenderedPageBreak/>
        <w:t>en los graves daños que podría ocasionar vacunar a quien ya había pasado la enfermedad. Por otra parte, denunciaba error en la valoración de la prueba porque la juez de primera instancia había ponderado además del interés superior de la menor, el interés general de la sociedad, sin tener en cuenta el principio de precaución, citando la normativa nacional e internacional que invocó en primera instancia. Consideraba vulnerado, por otra parte, el derecho fundamental a la vida y a la integridad física de la menor, por lo que debió tramitarse un procedimiento ordinario en lugar de un procedimiento de jurisdicción voluntaria, mucho más limitado en alegaciones, prueba y medios de defensa.</w:t>
      </w:r>
    </w:p>
    <w:p w14:paraId="71D12E9E" w14:textId="77777777" w:rsidR="009D7677" w:rsidRDefault="009D7677" w:rsidP="009D7677">
      <w:pPr>
        <w:pStyle w:val="TextoNormal"/>
      </w:pPr>
    </w:p>
    <w:p w14:paraId="392FBC25" w14:textId="77777777" w:rsidR="009D7677" w:rsidRDefault="009D7677" w:rsidP="009D7677">
      <w:pPr>
        <w:pStyle w:val="TextoNormal"/>
      </w:pPr>
      <w:r>
        <w:t>f) El fiscal impugnó el recurso, dando por reproducidos los razonamientos de la resolución de primera instancia.</w:t>
      </w:r>
    </w:p>
    <w:p w14:paraId="12BC07EF" w14:textId="77777777" w:rsidR="009D7677" w:rsidRDefault="009D7677" w:rsidP="009D7677">
      <w:pPr>
        <w:pStyle w:val="TextoNormal"/>
      </w:pPr>
    </w:p>
    <w:p w14:paraId="4E84679B" w14:textId="77777777" w:rsidR="009D7677" w:rsidRDefault="009D7677" w:rsidP="009D7677">
      <w:pPr>
        <w:pStyle w:val="TextoNormal"/>
      </w:pPr>
      <w:r>
        <w:t>g) Doña R.M.M., presentó escrito de oposición al recurso de apelación. Consideraba que no se había producido error en la valoración de la prueba, haciendo una remisión a otras resoluciones que han considerado que la vacunación se ha considerado segura y eficaz por parte de la comunidad científica y que existe una recomendación por parte de las autoridades sanitarias para la administración de la vacuna, a lo que se añadía la recomendación de su pediatra y la ausencia de patologías en la menor que desaconsejasen la vacunación. Reiteraba en su escrito que, frente a los postulados negacionistas del recurrente, debía tenerse en cuenta la recomendación de las autoridades sanitarias nacionales y extranjeras. Consideraba, finalmente, que el procedimiento seguido era el adecuado porque se trataba de dirimir una discrepancia de los progenitores en el ejercicio de la patria potestad.</w:t>
      </w:r>
    </w:p>
    <w:p w14:paraId="129595ED" w14:textId="77777777" w:rsidR="009D7677" w:rsidRDefault="009D7677" w:rsidP="009D7677">
      <w:pPr>
        <w:pStyle w:val="TextoNormal"/>
      </w:pPr>
    </w:p>
    <w:p w14:paraId="397B66BA" w14:textId="77777777" w:rsidR="009D7677" w:rsidRDefault="009D7677" w:rsidP="009D7677">
      <w:pPr>
        <w:pStyle w:val="TextoNormal"/>
      </w:pPr>
      <w:r>
        <w:t>h) La Sección Cuarta de la Audiencia Provincial de Castellón dictó auto el 14 de febrero de 2023 por el que desestimó el recurso de apelación. En primer lugar, el auto consideró que no se había producido una inadecuación del procedimiento, de acuerdo con los propios fundamentos expuestos en el auto recurrido, porque se trata de resolver un desacuerdo de los progenitores en el ejercicio de la patria potestad, conforme al art. 156 del Código civil. En cuanto al fondo, indicó la ausencia de contraindicación médica que desaconsejara la vacunación de la menor, concluyendo que la inoculación de la vacuna resultaba beneficiosa para la niña, compartiendo los argumentos del auto recurrido, basados en el interés superior de la menor. Limitaba, finalmente, la duración de la vigencia de la autorización al plazo de un año.</w:t>
      </w:r>
    </w:p>
    <w:p w14:paraId="5B32B172" w14:textId="77777777" w:rsidR="009D7677" w:rsidRDefault="009D7677" w:rsidP="009D7677">
      <w:pPr>
        <w:pStyle w:val="TextoNormal"/>
      </w:pPr>
    </w:p>
    <w:p w14:paraId="6EB65CF9" w14:textId="7C240435" w:rsidR="009D7677" w:rsidRDefault="009D7677" w:rsidP="009D7677">
      <w:pPr>
        <w:pStyle w:val="TextoNormal"/>
      </w:pPr>
      <w:r>
        <w:t>Solicitada la rectificación del auto por el recurrente, fue denegada por auto de 1 de marzo de 2023.</w:t>
      </w:r>
    </w:p>
    <w:p w14:paraId="154892E2" w14:textId="77777777" w:rsidR="009D7677" w:rsidRDefault="009D7677" w:rsidP="009D7677">
      <w:pPr>
        <w:pStyle w:val="TextoNormal"/>
      </w:pPr>
    </w:p>
    <w:p w14:paraId="47B9920B" w14:textId="77777777" w:rsidR="009D7677" w:rsidRDefault="009D7677" w:rsidP="009D7677">
      <w:pPr>
        <w:pStyle w:val="TextoNormal"/>
      </w:pPr>
      <w:r w:rsidRPr="009D7677">
        <w:rPr>
          <w:rStyle w:val="NumeroAFNegritaCaracter"/>
        </w:rPr>
        <w:t>3</w:t>
      </w:r>
      <w:r>
        <w:t>. El recurrente denuncia que se le han vulnerado los siguientes derechos fundamentales:</w:t>
      </w:r>
    </w:p>
    <w:p w14:paraId="56E53B9C" w14:textId="77777777" w:rsidR="009D7677" w:rsidRDefault="009D7677" w:rsidP="009D7677">
      <w:pPr>
        <w:pStyle w:val="TextoNormal"/>
      </w:pPr>
    </w:p>
    <w:p w14:paraId="4996AD83" w14:textId="77777777" w:rsidR="009D7677" w:rsidRDefault="009D7677" w:rsidP="009D7677">
      <w:pPr>
        <w:pStyle w:val="TextoNormal"/>
      </w:pPr>
      <w:r>
        <w:t xml:space="preserve">(i) El derecho a la integridad física y moral (art. 15 CE), porque se trata de un medicamento en fase experimental cuya inoculación debe ser siempre de carácter voluntario, pudiendo negarse el individuo a que le sea administrado, y para que el derecho pueda ejercitarse, es necesario que se haya informado previamente al paciente de forma adecuada, clara y comprensible, en los términos en que se ha pronunciado la STC 37/2011, de 28 de marzo. En la campaña de vacunación contra la covid-19 las autoridades y profesionales sanitarios han prescindido del consentimiento informado, siendo desconocidos los riesgos de la vacuna para la salud, por lo que aun en el caso de que se acceda a la vacunación de </w:t>
      </w:r>
      <w:r>
        <w:lastRenderedPageBreak/>
        <w:t>forma libre, el consentimiento dudosamente puede calificarse como informado. Por ello, considera que se ha vulnerado el derecho fundamental de la hija del recurrente reconocido en el art. 15 CE.</w:t>
      </w:r>
    </w:p>
    <w:p w14:paraId="5DEB4BE2" w14:textId="77777777" w:rsidR="009D7677" w:rsidRDefault="009D7677" w:rsidP="009D7677">
      <w:pPr>
        <w:pStyle w:val="TextoNormal"/>
      </w:pPr>
    </w:p>
    <w:p w14:paraId="77FDED09" w14:textId="77777777" w:rsidR="009D7677" w:rsidRDefault="009D7677" w:rsidP="009D7677">
      <w:pPr>
        <w:pStyle w:val="TextoNormal"/>
      </w:pPr>
      <w:r>
        <w:t>(ii) El derecho a la igualdad ante la ley (art. 14 CE) porque el auto de apelación se remite al de primera instancia, y en él se permite la vacunación para que la menor pueda obtener el pasaporte covid, con lo que ahonda en la discriminación entre ciudadanos vacunados y no vacunados. Una diferencia de trato es o no discriminatoria dependiendo de la necesidad y proporcionalidad. En este caso, afirma, tanto las personas vacunadas como las no vacunadas se encuentran en una situación epidemiológica aparentemente igual porque pueden contagiarse, transmitir el virus y ser hospitalizados, de manera que se da una situación de discriminación. El hecho de no estar vacunado condiciona el ejercicio de derechos tan importantes como el de libre circulación y puede afectar a otros derechos fundamentales.</w:t>
      </w:r>
    </w:p>
    <w:p w14:paraId="123999D4" w14:textId="77777777" w:rsidR="009D7677" w:rsidRDefault="009D7677" w:rsidP="009D7677">
      <w:pPr>
        <w:pStyle w:val="TextoNormal"/>
      </w:pPr>
    </w:p>
    <w:p w14:paraId="49954D9A" w14:textId="77777777" w:rsidR="009D7677" w:rsidRDefault="009D7677" w:rsidP="009D7677">
      <w:pPr>
        <w:pStyle w:val="TextoNormal"/>
      </w:pPr>
      <w:r>
        <w:t>(iii) El art. 10.2 CE, sobre la interpretación de los derechos fundamentales y libertades que reconoce la Constitución de conformidad con la Declaración universal de derechos humanos y los tratados y acuerdos internacionales sobre las mismas materias ratificados por España, por haberse impuesto la inoculación de la vacuna ocultando información sobre el acto y sus consecuencias. En este caso, no ha habido prescripción médica ni consentimiento informado, que son exigibles conforme al Código de ética de Nuremberg, la Declaración universal de derechos humanos, el Convenio europeo para la protección de los derechos humanos y las libertades fundamentales, el Convenio para la protección de los derechos humanos y la dignidad del ser humano con respecto a las aplicaciones de la biología y la medicina (Convenio de Oviedo), la Declaración de Helsinki, la Declaración universal de bioética y derechos humanos de la UNESCO y el Pacto internacional de derechos civiles y políticos.</w:t>
      </w:r>
    </w:p>
    <w:p w14:paraId="40477561" w14:textId="77777777" w:rsidR="009D7677" w:rsidRDefault="009D7677" w:rsidP="009D7677">
      <w:pPr>
        <w:pStyle w:val="TextoNormal"/>
      </w:pPr>
    </w:p>
    <w:p w14:paraId="0682FE26" w14:textId="77777777" w:rsidR="009D7677" w:rsidRDefault="009D7677" w:rsidP="009D7677">
      <w:pPr>
        <w:pStyle w:val="TextoNormal"/>
      </w:pPr>
      <w:r>
        <w:t>En el recurso de amparo se cita también, aunque no se desarrolla, la vulneración del derecho a la salud reconocido en el art. 43 CE.</w:t>
      </w:r>
    </w:p>
    <w:p w14:paraId="000F9BBD" w14:textId="77777777" w:rsidR="009D7677" w:rsidRDefault="009D7677" w:rsidP="009D7677">
      <w:pPr>
        <w:pStyle w:val="TextoNormal"/>
      </w:pPr>
    </w:p>
    <w:p w14:paraId="1C2770A3" w14:textId="450EA297" w:rsidR="009D7677" w:rsidRDefault="009D7677" w:rsidP="009D7677">
      <w:pPr>
        <w:pStyle w:val="TextoNormal"/>
      </w:pPr>
      <w:r>
        <w:t>Por medio de otrosí, solicitó la suspensión de la ejecución del auto de 16 de mayo de 2022 del Juzgado de Primera Instancia núm. 7 de Castellón, ratificado por el auto de 14 de febrero de 2023 de la Sección Cuarta de la Audiencia Provincial de Castellón.</w:t>
      </w:r>
    </w:p>
    <w:p w14:paraId="1D219AA7" w14:textId="77777777" w:rsidR="009D7677" w:rsidRDefault="009D7677" w:rsidP="009D7677">
      <w:pPr>
        <w:pStyle w:val="TextoNormal"/>
      </w:pPr>
    </w:p>
    <w:p w14:paraId="5B171076" w14:textId="77777777" w:rsidR="009D7677" w:rsidRDefault="009D7677" w:rsidP="009D7677">
      <w:pPr>
        <w:pStyle w:val="TextoNormal"/>
      </w:pPr>
      <w:r w:rsidRPr="009D7677">
        <w:rPr>
          <w:rStyle w:val="NumeroAFNegritaCaracter"/>
        </w:rPr>
        <w:t>4</w:t>
      </w:r>
      <w:r>
        <w:t>. Mediante providencia de 3 de julio de 2023, la Sección Cuarta del Tribunal Constitucional acordó admitir a trámite el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de 25 de junio, FJ 2 a)] y, asimismo, porque el asunto suscitado trasciende del caso concreto porque plantea una cuestión jurídica de relevante y general repercusión social o económica [STC 155/2009, FJ 2 g)].</w:t>
      </w:r>
    </w:p>
    <w:p w14:paraId="7DCD3636" w14:textId="77777777" w:rsidR="009D7677" w:rsidRDefault="009D7677" w:rsidP="009D7677">
      <w:pPr>
        <w:pStyle w:val="TextoNormal"/>
      </w:pPr>
    </w:p>
    <w:p w14:paraId="26850CF5" w14:textId="23C1E96A" w:rsidR="009D7677" w:rsidRDefault="009D7677" w:rsidP="009D7677">
      <w:pPr>
        <w:pStyle w:val="TextoNormal"/>
      </w:pPr>
      <w:r>
        <w:t>En la misma providencia se acordó, en aplicación de lo dispuesto en el art. 51 LOTC, dirigir atenta comunicación a la Sección Cuarta de la Audiencia Provincial de Castellón a fin de que, en plazo que no superior a diez días, remitiera certificación o fotocopia adverada de las actuaciones correspondientes al recurso de apelación núm. 847-2022, e, igual</w:t>
      </w:r>
      <w:r>
        <w:lastRenderedPageBreak/>
        <w:t>mente, al Juzgado de Primera Instancia núm. 7 de Castellón a fin de que, en plazo que no excediera de diez días, remitiera certificación o fotocopia adverada de las actuaciones correspondientes al procedimiento de jurisdicción voluntaria núm. 60-2022, debiendo emplazar previamente, para que en el plazo de diez días pudieran comparecer, si lo desearan, en el recurso de amparo, a quienes hubieran sido parte en el procedimiento, excepto la parte recurrente en amparo.</w:t>
      </w:r>
    </w:p>
    <w:p w14:paraId="4902A42C" w14:textId="77777777" w:rsidR="009D7677" w:rsidRDefault="009D7677" w:rsidP="009D7677">
      <w:pPr>
        <w:pStyle w:val="TextoNormal"/>
      </w:pPr>
    </w:p>
    <w:p w14:paraId="75742978" w14:textId="0467D76F" w:rsidR="009D7677" w:rsidRDefault="009D7677" w:rsidP="009D7677">
      <w:pPr>
        <w:pStyle w:val="TextoNormal"/>
      </w:pPr>
      <w:r w:rsidRPr="009D7677">
        <w:rPr>
          <w:rStyle w:val="NumeroAFNegritaCaracter"/>
        </w:rPr>
        <w:t>5</w:t>
      </w:r>
      <w:r>
        <w:t>. Mediante providencia de 12 de septiembre de 2023 se acordó, a solicitud de la parte actora, la formación de pieza separada de suspensión, iniciándose su tramitación conforme al art. 56 LOTC.</w:t>
      </w:r>
    </w:p>
    <w:p w14:paraId="5832B474" w14:textId="77777777" w:rsidR="009D7677" w:rsidRDefault="009D7677" w:rsidP="009D7677">
      <w:pPr>
        <w:pStyle w:val="TextoNormal"/>
      </w:pPr>
    </w:p>
    <w:p w14:paraId="6E246086" w14:textId="52446EBF" w:rsidR="009D7677" w:rsidRDefault="009D7677" w:rsidP="009D7677">
      <w:pPr>
        <w:pStyle w:val="TextoNormal"/>
      </w:pPr>
      <w:r w:rsidRPr="009D7677">
        <w:rPr>
          <w:rStyle w:val="NumeroAFNegritaCaracter"/>
        </w:rPr>
        <w:t>6</w:t>
      </w:r>
      <w:r>
        <w:t>. Por diligencia de ordenación de 14 de noviembre de 2023 se acordó tener por personada y parte en el procedimiento a la procuradora doña María Allepuz Terrades en nombre y representación de doña R.M.M., y entenderse con ella las sucesivas actuaciones. Asimismo, se acordó dar vista de las actuaciones recibidas a las partes personadas y al Ministerio Fiscal por plazo común de veinte días, dentro de los cuales pudieron presentar las alegaciones, conforme determina el art. 52.1 LOTC.</w:t>
      </w:r>
    </w:p>
    <w:p w14:paraId="5300D3BB" w14:textId="77777777" w:rsidR="009D7677" w:rsidRDefault="009D7677" w:rsidP="009D7677">
      <w:pPr>
        <w:pStyle w:val="TextoNormal"/>
      </w:pPr>
    </w:p>
    <w:p w14:paraId="3D061D10" w14:textId="1CB3D9F1" w:rsidR="009D7677" w:rsidRDefault="009D7677" w:rsidP="009D7677">
      <w:pPr>
        <w:pStyle w:val="TextoNormal"/>
      </w:pPr>
      <w:r w:rsidRPr="009D7677">
        <w:rPr>
          <w:rStyle w:val="NumeroAFNegritaCaracter"/>
        </w:rPr>
        <w:t>7</w:t>
      </w:r>
      <w:r>
        <w:t>. Doña R.M.M., presentó escrito alegando la inexistencia de las vulneraciones denunciadas. En cuanto al derecho a la integridad física y moral (art. 15 CE), consideró que la cuestión ya había sido resuelta en varios procedimientos, entre ellos, los que se publican en las notas informativas núm. 91-2023 y 30-2023, y en la STC 38/2023, de 20 de abril, que fija doctrina. Reproducía además los argumentos contenidos en la sentencia del recurso de amparo 91-2023 (STC 148/2023) para rechazar la vulneración del art. 15 CE en caso de administración de vacuna contra la covid-19 a menores de edad ante el desacuerdo de los progenitores. La decisión judicial que autorizaba la vacuna en este caso ha tenido en cuenta la preservación de la salud física y mental de la menor, conforme a estudios, informes y recomendaciones de los organismos oficiales autorizados en materia de vigilancia de la salud.</w:t>
      </w:r>
    </w:p>
    <w:p w14:paraId="75A12507" w14:textId="77777777" w:rsidR="009D7677" w:rsidRDefault="009D7677" w:rsidP="009D7677">
      <w:pPr>
        <w:pStyle w:val="TextoNormal"/>
      </w:pPr>
    </w:p>
    <w:p w14:paraId="70A9DF2C" w14:textId="39407476" w:rsidR="009D7677" w:rsidRDefault="009D7677" w:rsidP="009D7677">
      <w:pPr>
        <w:pStyle w:val="TextoNormal"/>
      </w:pPr>
      <w:r w:rsidRPr="009D7677">
        <w:rPr>
          <w:rStyle w:val="NumeroAFNegritaCaracter"/>
        </w:rPr>
        <w:t>8</w:t>
      </w:r>
      <w:r>
        <w:t>. Don P.T.A., formuló alegaciones interesando que se concediera el amparo solicitado. Indicaba el recurrente que, a pesar de lo establecido por el Tribunal Constitucional en su sentencia de 7 de noviembre de 2023 (</w:t>
      </w:r>
      <w:r w:rsidRPr="009D7677">
        <w:rPr>
          <w:i/>
        </w:rPr>
        <w:t>sic</w:t>
      </w:r>
      <w:r>
        <w:t>), que avaló la decisión judicial que autorizaba la vacunación del menor de edad, en este caso, la Audiencia Provincial de Castellón afirmó que había basado su decisión en las recomendaciones de la OMS y la Agencia Europea del Medicamento, conforme al principio dispositivo y de rogación que rige el procedimiento, y que nadie había aportado ni solicitado nada. Pero esto, añade el recurrente, es falso porque se han aportado informes que los órganos judiciales no han leído, existiendo además informes posteriores de la Agencia Europea del Medicamento que sostienen que los riesgos de la vacuna son mayores que los beneficios. Finalmente, apuntó que la madre había vacunado a la menor a pesar de existir una medida cautelar en la que se prohibía la vacunación hasta que finalizara el procedimiento.</w:t>
      </w:r>
    </w:p>
    <w:p w14:paraId="13C540E2" w14:textId="77777777" w:rsidR="009D7677" w:rsidRDefault="009D7677" w:rsidP="009D7677">
      <w:pPr>
        <w:pStyle w:val="TextoNormal"/>
      </w:pPr>
    </w:p>
    <w:p w14:paraId="4DFA46AC" w14:textId="1AE3B1FC" w:rsidR="009D7677" w:rsidRDefault="009D7677" w:rsidP="009D7677">
      <w:pPr>
        <w:pStyle w:val="TextoNormal"/>
      </w:pPr>
      <w:r w:rsidRPr="009D7677">
        <w:rPr>
          <w:rStyle w:val="NumeroAFNegritaCaracter"/>
        </w:rPr>
        <w:t>9</w:t>
      </w:r>
      <w:r>
        <w:t xml:space="preserve">. La fiscal ante el Tribunal Constitucional solicitó la desestimación del recurso de amparo. Respecto de la alegada vulneración del art. 14 CE apreciaba una falta de invocación que constituiría un defecto insubsanable, y además una falta de individualización de un término válido de comparación que fundamentase la existencia de discriminación, lo </w:t>
      </w:r>
      <w:r>
        <w:lastRenderedPageBreak/>
        <w:t>que impediría examinar la lesión denunciada. El núcleo central de la demanda de amparo sería la vulneración del art. 15 CE, y respecto de esta vulneración debe aplicarse la doctrina contenida en la STC 148/2023, de 6 de noviembre. Al igual que en el supuesto resuelto por la citada sentencia, en este caso no se habría vulnerado el derecho fundamental a la integridad física y moral porque se cumplía el presupuesto del art. 9.3 c) de la Ley 41/2002, de autonomía del paciente para acudir al consentimiento por representación, porque la menor, de ocho años, carecía de la capacidad emocional e intelectual necesarias para comprender el alcance la intervención y los padres contaban con la información adecuada para prestar el consentimiento desde antes incluso de iniciarse el procedimiento, por lo que no cabía apreciar ausencia de consentimiento informado. Y la motivación de las resoluciones judiciales tuvo como fundamento esencial la protección del interés superior de la menor en relación con la protección de su salud, teniendo en cuenta la recomendación de las autoridades sanitarias, que los órganos judiciales no consideraron desvirtuadas por los informes del recurrente.</w:t>
      </w:r>
    </w:p>
    <w:p w14:paraId="43A49C21" w14:textId="77777777" w:rsidR="009D7677" w:rsidRDefault="009D7677" w:rsidP="009D7677">
      <w:pPr>
        <w:pStyle w:val="TextoNormal"/>
      </w:pPr>
    </w:p>
    <w:p w14:paraId="1E325A8A" w14:textId="0CC830C2" w:rsidR="009D7677" w:rsidRDefault="009D7677" w:rsidP="009D7677">
      <w:pPr>
        <w:pStyle w:val="TextoNormal"/>
      </w:pPr>
      <w:r w:rsidRPr="009D7677">
        <w:rPr>
          <w:rStyle w:val="NumeroAFNegritaCaracter"/>
        </w:rPr>
        <w:t>10</w:t>
      </w:r>
      <w:r>
        <w:t>. Por providencia de 8 de febrero de 2024 se señaló para deliberación y votación de la presente sentencia el día 12 del mismo mes y año.</w:t>
      </w:r>
    </w:p>
    <w:p w14:paraId="53C905D3" w14:textId="77777777" w:rsidR="009D7677" w:rsidRDefault="009D7677" w:rsidP="009D7677">
      <w:pPr>
        <w:pStyle w:val="TextoNormal"/>
      </w:pPr>
    </w:p>
    <w:p w14:paraId="08784EF9" w14:textId="77777777" w:rsidR="009D7677" w:rsidRDefault="009D7677" w:rsidP="009D7677">
      <w:pPr>
        <w:pStyle w:val="TextoNormalNegritaCentrado"/>
        <w:keepNext/>
      </w:pPr>
      <w:r>
        <w:t>II. Fundamentos jurídicos</w:t>
      </w:r>
    </w:p>
    <w:p w14:paraId="037D1758" w14:textId="70F52AD0" w:rsidR="009D7677" w:rsidRDefault="009D7677" w:rsidP="009D7677">
      <w:pPr>
        <w:pStyle w:val="TextoNormalNegritaCentrado"/>
        <w:keepNext/>
      </w:pPr>
    </w:p>
    <w:p w14:paraId="754880E7" w14:textId="77777777" w:rsidR="009D7677" w:rsidRDefault="009D7677" w:rsidP="009D7677">
      <w:pPr>
        <w:pStyle w:val="TextoNormal"/>
      </w:pPr>
      <w:r w:rsidRPr="009D7677">
        <w:rPr>
          <w:rStyle w:val="NumeroAFNegritaCaracter"/>
        </w:rPr>
        <w:t>1</w:t>
      </w:r>
      <w:r>
        <w:t xml:space="preserve">. </w:t>
      </w:r>
      <w:r w:rsidRPr="009D7677">
        <w:rPr>
          <w:i/>
        </w:rPr>
        <w:t>Objeto del recurso</w:t>
      </w:r>
    </w:p>
    <w:p w14:paraId="26643DDC" w14:textId="77777777" w:rsidR="009D7677" w:rsidRDefault="009D7677" w:rsidP="009D7677">
      <w:pPr>
        <w:pStyle w:val="TextoNormal"/>
      </w:pPr>
    </w:p>
    <w:p w14:paraId="692D611D" w14:textId="77777777" w:rsidR="009D7677" w:rsidRDefault="009D7677" w:rsidP="009D7677">
      <w:pPr>
        <w:pStyle w:val="TextoNormal"/>
      </w:pPr>
      <w:r>
        <w:t>El presente recurso de amparo se dirige contra el auto de 16 de mayo de 2022 dictado por el Juzgado de Primera Instancia núm. 7 de Castellón en el procedimiento de intervención judicial por desacuerdo en el ejercicio de la patria potestad núm. 847-2022, que atribuyó la facultad de decidir sobre la administración de la vacuna a los hijos menores de edad a doña R.M.M., y contra el auto de 14 de febrero de 2023 dictado por la Sección Cuarta de la Audiencia Provincial de Castellón, en el rollo de apelación núm. 60-2022, confirmatorio del anterior.</w:t>
      </w:r>
    </w:p>
    <w:p w14:paraId="73F0116E" w14:textId="77777777" w:rsidR="009D7677" w:rsidRDefault="009D7677" w:rsidP="009D7677">
      <w:pPr>
        <w:pStyle w:val="TextoNormal"/>
      </w:pPr>
    </w:p>
    <w:p w14:paraId="5516030E" w14:textId="2E51B82C" w:rsidR="009D7677" w:rsidRDefault="009D7677" w:rsidP="009D7677">
      <w:pPr>
        <w:pStyle w:val="TextoNormal"/>
      </w:pPr>
      <w:r>
        <w:t>Dada la naturaleza de los hechos, debe señalarse que,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 27 de julio de 2015), la presente sentencia y demás actuaciones del proceso no incluyen la identificación completa de la persona menor de edad afectada ni la de sus parientes inmediatos que aparecen mencionados en las actuaciones, con el fin de proteger la intimidad de aquella.</w:t>
      </w:r>
    </w:p>
    <w:p w14:paraId="4DD34308" w14:textId="77777777" w:rsidR="009D7677" w:rsidRDefault="009D7677" w:rsidP="009D7677">
      <w:pPr>
        <w:pStyle w:val="TextoNormal"/>
      </w:pPr>
    </w:p>
    <w:p w14:paraId="2F808D43" w14:textId="77777777" w:rsidR="009D7677" w:rsidRDefault="009D7677" w:rsidP="009D7677">
      <w:pPr>
        <w:pStyle w:val="TextoNormal"/>
      </w:pPr>
      <w:r w:rsidRPr="009D7677">
        <w:rPr>
          <w:rStyle w:val="NumeroAFNegritaCaracter"/>
        </w:rPr>
        <w:t>2</w:t>
      </w:r>
      <w:r>
        <w:t xml:space="preserve">. </w:t>
      </w:r>
      <w:r w:rsidRPr="009D7677">
        <w:rPr>
          <w:i/>
        </w:rPr>
        <w:t>Cuestiones previas y delimitación de los derechos fundamentales concernidos</w:t>
      </w:r>
    </w:p>
    <w:p w14:paraId="3F4FBEDE" w14:textId="77777777" w:rsidR="009D7677" w:rsidRDefault="009D7677" w:rsidP="009D7677">
      <w:pPr>
        <w:pStyle w:val="TextoNormal"/>
      </w:pPr>
    </w:p>
    <w:p w14:paraId="27B2BE0E" w14:textId="77777777" w:rsidR="009D7677" w:rsidRDefault="009D7677" w:rsidP="009D7677">
      <w:pPr>
        <w:pStyle w:val="TextoNormal"/>
      </w:pPr>
      <w:r>
        <w:t>Con carácter previo al examen de las cuestiones de fondo planteadas en la demanda de amparo, deben hacerse las siguientes precisiones:</w:t>
      </w:r>
    </w:p>
    <w:p w14:paraId="05B82C5E" w14:textId="77777777" w:rsidR="009D7677" w:rsidRDefault="009D7677" w:rsidP="009D7677">
      <w:pPr>
        <w:pStyle w:val="TextoNormal"/>
      </w:pPr>
    </w:p>
    <w:p w14:paraId="5442D353" w14:textId="77777777" w:rsidR="009D7677" w:rsidRDefault="009D7677" w:rsidP="009D7677">
      <w:pPr>
        <w:pStyle w:val="TextoNormal"/>
      </w:pPr>
      <w:r>
        <w:t xml:space="preserve">a) En el recurso de amparo se alega la vulneración del derecho fundamental a la integridad física y moral (art. 15 CE) en relación con el consentimiento informado previsto en la Ley 41/2002, el derecho a la salud (art. 43 CE), el derecho a la igualdad y no discriminación ante la ley (art. 14 CE) y el art. 10.2 CE en relación con la interpretación de los </w:t>
      </w:r>
      <w:r>
        <w:lastRenderedPageBreak/>
        <w:t>derechos fundamentales y libertades que reconoce la Constitución de conformidad con la Declaración universal de derechos humanos y los tratados y acuerdos internacionales sobre las mismas materias ratificados por España. La protección a través del recurso de amparo alcanza a los arts. 14 y 15 CE, mientras que las otras vulneraciones alegadas caen fuera del ámbito de tutela establecido en el art. 53.2 CE. Se observa, además, que la referencia al art. 43 CE y al art. 10.2 CE se realizan en estrecha vinculación con el derecho fundamental a la integridad física y moral (art. 15 CE) y deben entenderse como alegaciones instrumentales o complementarias en relación con la posible vulneración de este derecho.</w:t>
      </w:r>
    </w:p>
    <w:p w14:paraId="220F1413" w14:textId="77777777" w:rsidR="009D7677" w:rsidRDefault="009D7677" w:rsidP="009D7677">
      <w:pPr>
        <w:pStyle w:val="TextoNormal"/>
      </w:pPr>
    </w:p>
    <w:p w14:paraId="178A4F3B" w14:textId="7572964D" w:rsidR="009D7677" w:rsidRDefault="009D7677" w:rsidP="009D7677">
      <w:pPr>
        <w:pStyle w:val="TextoNormal"/>
      </w:pPr>
      <w:r>
        <w:t>b) En cuanto a la vulneración del derecho a la igualdad en la aplicación de la ley (art. 14 CE), se vincula por parte del recurrente a la diferencia de trato a que quedan sometidas las personas vacunadas y las no vacunadas en relación con el ejercicio de derechos fundamentales como la libre circulación. La diferencia de trato que se invoca no tiene su causa en las resoluciones dictadas en el procedimiento del que procede el recurso de amparo, y el recurrente no ha individualizado, en los términos exigidos por la jurisprudencia de este tribunal, un término válido de comparación que fundamente la existencia de discriminación, por lo que no cabe el examen de la alegada vulneración.</w:t>
      </w:r>
    </w:p>
    <w:p w14:paraId="4EB154CE" w14:textId="77777777" w:rsidR="009D7677" w:rsidRDefault="009D7677" w:rsidP="009D7677">
      <w:pPr>
        <w:pStyle w:val="TextoNormal"/>
      </w:pPr>
    </w:p>
    <w:p w14:paraId="0E2664CF" w14:textId="77777777" w:rsidR="009D7677" w:rsidRDefault="009D7677" w:rsidP="009D7677">
      <w:pPr>
        <w:pStyle w:val="TextoNormal"/>
      </w:pPr>
      <w:r w:rsidRPr="009D7677">
        <w:rPr>
          <w:rStyle w:val="NumeroAFNegritaCaracter"/>
        </w:rPr>
        <w:t>3</w:t>
      </w:r>
      <w:r>
        <w:t xml:space="preserve">. </w:t>
      </w:r>
      <w:r w:rsidRPr="009D7677">
        <w:rPr>
          <w:i/>
        </w:rPr>
        <w:t>Aplicación de la doctrina constitucional expuesta en la STC 148/2023, de 6 de noviembre</w:t>
      </w:r>
    </w:p>
    <w:p w14:paraId="06348754" w14:textId="77777777" w:rsidR="009D7677" w:rsidRDefault="009D7677" w:rsidP="009D7677">
      <w:pPr>
        <w:pStyle w:val="TextoNormal"/>
      </w:pPr>
    </w:p>
    <w:p w14:paraId="16A25D38" w14:textId="77777777" w:rsidR="009D7677" w:rsidRDefault="009D7677" w:rsidP="009D7677">
      <w:pPr>
        <w:pStyle w:val="TextoNormal"/>
      </w:pPr>
      <w:r>
        <w:t>La cuestión constitucional suscitada en este recurso en relación con el derecho fundamental a la integridad física y moral (art. 15 CE) es la misma que ya ha sido objeto de análisis por el Pleno de este tribunal en la STC 148/2023, de 6 de noviembre, en cuyos fundamentos jurídicos 4 y 5 se expusieron de manera pormenorizada las pautas de ponderación necesarias para determinar si en este tipo de supuestos se ha vulnerado el derecho a la integridad personal, centrando la cuestión en que la administración de la vacuna, a falta de consentimiento libre, válido e informado de la persona afectada, precisa para su constitucionalidad el cumplimiento de los requisitos generales que, de acuerdo con nuestra doctrina, rigen la restricción de los derechos fundamentales sustantivos.</w:t>
      </w:r>
    </w:p>
    <w:p w14:paraId="1EC79766" w14:textId="77777777" w:rsidR="009D7677" w:rsidRDefault="009D7677" w:rsidP="009D7677">
      <w:pPr>
        <w:pStyle w:val="TextoNormal"/>
      </w:pPr>
    </w:p>
    <w:p w14:paraId="5CE3F378" w14:textId="77777777" w:rsidR="009D7677" w:rsidRDefault="009D7677" w:rsidP="009D7677">
      <w:pPr>
        <w:pStyle w:val="TextoNormal"/>
      </w:pPr>
      <w:r>
        <w:t>En atención a lo expuesto, en este caso, como también se concluyó en la STC 148/2023, FJ 5, el Tribunal rechaza que se haya vulnerado el art. 15 CE al constatarse que (i) se cumple el presupuesto básico que el art. 9.3, letra c) de la Ley 41/2002, establece para que pueda acudirse al consentimiento por representación —otorgado por los progenitores de común acuerdo o por la autoridad judicial en caso de desacuerdo— porque la menor, de ocho años de edad al tiempo de iniciarse el procedimiento, carecía de la capacidad emocional e intelectual necesarias para comprender el alcance la intervención y los padres contaban con la información adecuada para la prestación del consentimiento desde un momento anterior incluso a la iniciación del procedimiento de jurisdicción voluntaria, por lo que no cabe apreciar la ausencia de consentimiento informado; y (ii) la motivación de las resoluciones judiciales tuvo como fundamento esencial la protección del interés superior de la menor en relación con la protección de su salud, teniendo en cuenta la recomendación de las autoridades sanitarias, que se mostraban a favor de la vacunación de menores haciendo una ponderación de riesgos y beneficios de la vacuna, que el órgano judicial no estima desvirtuadas por los informes aportados por el recurrente.</w:t>
      </w:r>
    </w:p>
    <w:p w14:paraId="123AFE60" w14:textId="77777777" w:rsidR="009D7677" w:rsidRDefault="009D7677" w:rsidP="009D7677">
      <w:pPr>
        <w:pStyle w:val="TextoNormal"/>
      </w:pPr>
    </w:p>
    <w:p w14:paraId="57B1695B" w14:textId="5962F67C" w:rsidR="009D7677" w:rsidRDefault="009D7677" w:rsidP="009D7677">
      <w:pPr>
        <w:pStyle w:val="TextoNormal"/>
      </w:pPr>
      <w:r>
        <w:lastRenderedPageBreak/>
        <w:t>Por otra parte, la resolución sobre el fondo de este recurso implica que no resulte procedente resolver sobre la medida cautelar de suspensión solicitada por la demandante, lo que determina que deba acordarse el archivo de la pieza separada de suspensión.</w:t>
      </w:r>
    </w:p>
    <w:p w14:paraId="6CA5BF70" w14:textId="77777777" w:rsidR="009D7677" w:rsidRDefault="009D7677" w:rsidP="009D7677">
      <w:pPr>
        <w:pStyle w:val="TextoNormal"/>
      </w:pPr>
    </w:p>
    <w:p w14:paraId="4B95345F" w14:textId="77777777" w:rsidR="009D7677" w:rsidRDefault="009D7677" w:rsidP="009D7677">
      <w:pPr>
        <w:pStyle w:val="TextoNormalCentrado"/>
        <w:keepNext/>
      </w:pPr>
      <w:r>
        <w:t>FALLO</w:t>
      </w:r>
    </w:p>
    <w:p w14:paraId="0D246399" w14:textId="480D918A" w:rsidR="009D7677" w:rsidRDefault="009D7677" w:rsidP="009D7677">
      <w:pPr>
        <w:pStyle w:val="TextoNormalCentrado"/>
        <w:keepNext/>
      </w:pPr>
    </w:p>
    <w:p w14:paraId="1C0E0209" w14:textId="6070C445" w:rsidR="009D7677" w:rsidRDefault="009D7677" w:rsidP="009D7677">
      <w:pPr>
        <w:pStyle w:val="TextoNormal"/>
      </w:pPr>
      <w:r>
        <w:t>En atención a todo lo expuesto, el Tribunal Constitucional, por la autoridad que le confiere la Constitución de la Nación española, ha decidido desestimar el recurso de amparo interpuesto por don P.T.A.</w:t>
      </w:r>
    </w:p>
    <w:p w14:paraId="1D88F573" w14:textId="77777777" w:rsidR="009D7677" w:rsidRDefault="009D7677" w:rsidP="009D7677">
      <w:pPr>
        <w:pStyle w:val="TextoNormal"/>
      </w:pPr>
    </w:p>
    <w:p w14:paraId="4FDFDBCD" w14:textId="77777777" w:rsidR="009D7677" w:rsidRDefault="009D7677" w:rsidP="009D7677">
      <w:pPr>
        <w:pStyle w:val="TextoNormal"/>
      </w:pPr>
      <w:r>
        <w:t>Publíquese esta sentencia en el “Boletín Oficial del Estado”.</w:t>
      </w:r>
    </w:p>
    <w:p w14:paraId="53CE176E" w14:textId="77777777" w:rsidR="009D7677" w:rsidRDefault="009D7677" w:rsidP="009D7677">
      <w:pPr>
        <w:pStyle w:val="TextoNormal"/>
      </w:pPr>
      <w:r>
        <w:t>Dada en Madrid, a doce de febrero de dos mil veinticuatro.</w:t>
      </w:r>
    </w:p>
    <w:p w14:paraId="6CF191FF" w14:textId="0A7AC5F2" w:rsidR="009D7677" w:rsidRDefault="009D7677">
      <w:pPr>
        <w:spacing w:after="160" w:line="259" w:lineRule="auto"/>
        <w:rPr>
          <w:rFonts w:ascii="Times New Roman" w:eastAsia="Times New Roman" w:hAnsi="Times New Roman" w:cs="Times New Roman"/>
          <w:sz w:val="24"/>
          <w:szCs w:val="24"/>
          <w:lang w:eastAsia="es-ES"/>
        </w:rPr>
      </w:pPr>
      <w:r>
        <w:br w:type="page"/>
      </w:r>
    </w:p>
    <w:p w14:paraId="46D7A5E5" w14:textId="77777777" w:rsidR="009D7677" w:rsidRDefault="009D7677" w:rsidP="009D7677">
      <w:pPr>
        <w:pStyle w:val="TtuloResolucin"/>
      </w:pPr>
      <w:bookmarkStart w:id="27" w:name="SENTENCIA_2024_25"/>
      <w:r>
        <w:lastRenderedPageBreak/>
        <w:t>SENTENCIA 25/2024, de 13 de febrero de 2024</w:t>
      </w:r>
    </w:p>
    <w:bookmarkEnd w:id="27"/>
    <w:p w14:paraId="7F65B2DF" w14:textId="77777777" w:rsidR="009D7677" w:rsidRDefault="009D7677" w:rsidP="009D7677">
      <w:pPr>
        <w:pStyle w:val="TtuloResolucin"/>
      </w:pPr>
      <w:r>
        <w:t>Pleno</w:t>
      </w:r>
    </w:p>
    <w:p w14:paraId="35E32B3A" w14:textId="77777777" w:rsidR="009D7677" w:rsidRDefault="009D7677" w:rsidP="009D7677">
      <w:pPr>
        <w:pStyle w:val="TtuloBOE"/>
      </w:pPr>
      <w:r>
        <w:t>(BOE núm. 72, de 22 de marzo de 2024)</w:t>
      </w:r>
    </w:p>
    <w:p w14:paraId="6A5D0683" w14:textId="77777777" w:rsidR="009D7677" w:rsidRDefault="009D7677" w:rsidP="009D7677">
      <w:pPr>
        <w:pStyle w:val="TextoNormalCentrado"/>
      </w:pPr>
      <w:r>
        <w:t>ECLI:ES:TC:2024:25</w:t>
      </w:r>
    </w:p>
    <w:p w14:paraId="3D057F10" w14:textId="16E856F7" w:rsidR="009D7677" w:rsidRDefault="009D7677" w:rsidP="009D7677">
      <w:pPr>
        <w:pStyle w:val="TextoNormalCentrado"/>
      </w:pPr>
    </w:p>
    <w:p w14:paraId="192CFF32" w14:textId="77777777" w:rsidR="009D7677" w:rsidRDefault="009D7677" w:rsidP="009D7677">
      <w:pPr>
        <w:pStyle w:val="SntesisDescriptiva"/>
      </w:pPr>
      <w:r>
        <w:t>Recurso de inconstitucionalidad 1413-2022. Interpuesto por más de cincuenta diputados pertenecientes a los grupos parlamentarios Confederal Unidas Podemos-En Comú Podem-Galicia en Común, Republicano, Plural y Grupo Mixto del Congreso de los Diputados en relación con la Ley del Parlamento de Andalucía 7/2021, de 1 de diciembre, de impulso para la sostenibilidad del territorio de Andalucía.</w:t>
      </w:r>
    </w:p>
    <w:p w14:paraId="11232849" w14:textId="34AAD7FE" w:rsidR="009D7677" w:rsidRDefault="009D7677" w:rsidP="009D7677">
      <w:pPr>
        <w:pStyle w:val="SntesisDescriptiva"/>
      </w:pPr>
    </w:p>
    <w:p w14:paraId="15E20F73" w14:textId="77777777" w:rsidR="009D7677" w:rsidRDefault="009D7677" w:rsidP="009D7677">
      <w:pPr>
        <w:pStyle w:val="SntesisAnaltica"/>
      </w:pPr>
      <w:r>
        <w:t>Principios democrático, de igualdad, legalidad y no discriminación, de seguridad jurídica y autonomía local; interdicción de la arbitrariedad y no regresión ambiental; derecho al ejercicio de las funciones representativas; competencias de protección ambiental: nulidad parcial de los preceptos autonómicos que permiten la edificación residencial en suelo rústico y la desafectación de vías pecuarias sujetas a planeamiento urbanístico y eximen a los usos mineros del requisito de licencia urbanística; interpretación conforme de los preceptos legales relativos a las actuaciones y usos ordinarios del suelo rústico.</w:t>
      </w:r>
    </w:p>
    <w:p w14:paraId="29A76FF7" w14:textId="6620DD98" w:rsidR="009D7677" w:rsidRDefault="009D7677" w:rsidP="009D7677">
      <w:pPr>
        <w:pStyle w:val="SntesisAnaltica"/>
      </w:pPr>
    </w:p>
    <w:p w14:paraId="7FD43B12" w14:textId="544CA0DC" w:rsidR="009D7677" w:rsidRDefault="009D7677" w:rsidP="009D7677">
      <w:pPr>
        <w:pStyle w:val="Extracto"/>
      </w:pPr>
      <w:r>
        <w:t>1.</w:t>
      </w:r>
      <w:r>
        <w:tab/>
        <w:t>La decisión de tramitar un proyecto de ley por el procedimiento de urgencia ni es revisable en esta instancia constitucional, al tratarse de una decisión de mera oportunidad política (ATC 181/2006), ni priva a las Cámaras del ejercicio de su función legislativa (STC 136/2011) [FJ 3].</w:t>
      </w:r>
    </w:p>
    <w:p w14:paraId="6A2CF6DD" w14:textId="77777777" w:rsidR="009D7677" w:rsidRDefault="009D7677" w:rsidP="009D7677">
      <w:pPr>
        <w:pStyle w:val="Extracto"/>
      </w:pPr>
    </w:p>
    <w:p w14:paraId="6917DD6C" w14:textId="631AD50F" w:rsidR="009D7677" w:rsidRDefault="009D7677" w:rsidP="009D7677">
      <w:pPr>
        <w:pStyle w:val="Extracto"/>
      </w:pPr>
      <w:r>
        <w:t>2.</w:t>
      </w:r>
      <w:r>
        <w:tab/>
        <w:t>Para que exista una infracción  que deriva de los preceptos básicos dictados en su aplicación -inconstitucionalidad mediata o indirecta-, se precisa la concurrencia de dos circunstancias: primera, que la norma estatal infringida por la ley autonómica sea, en el doble sentido material y formal, una norma básica y, por tanto, dictada legítimamente al amparo del correspondiente título competencial que la Constitución haya reservado al Estado; y, segunda, que la contradicción entre ambas normas, estatal y autonómica, sea efectiva e insalvable por vía interpretativa (STC 7/2012 y 82/2017) [FJ 4].</w:t>
      </w:r>
    </w:p>
    <w:p w14:paraId="3ADDD50D" w14:textId="77777777" w:rsidR="009D7677" w:rsidRDefault="009D7677" w:rsidP="009D7677">
      <w:pPr>
        <w:pStyle w:val="Extracto"/>
      </w:pPr>
    </w:p>
    <w:p w14:paraId="0A4649DA" w14:textId="22C10E20" w:rsidR="009D7677" w:rsidRDefault="009D7677" w:rsidP="009D7677">
      <w:pPr>
        <w:pStyle w:val="Extracto"/>
      </w:pPr>
      <w:r>
        <w:t>3.</w:t>
      </w:r>
      <w:r>
        <w:tab/>
        <w:t>Para determinar el suelo rústico especialmente protegido por legislación sectorial, no solamente es necesario que el uso ordinario no esté prohibido por la ordenación territorial y urbanística, sino que el uso en cuestión ha de estar permitido por dicha ordenación, pues se trata de una limitación que viene impuesta por la legislación aplicable por razón de la materia [FJ 5].</w:t>
      </w:r>
    </w:p>
    <w:p w14:paraId="4CED8F95" w14:textId="77777777" w:rsidR="009D7677" w:rsidRDefault="009D7677" w:rsidP="009D7677">
      <w:pPr>
        <w:pStyle w:val="Extracto"/>
      </w:pPr>
    </w:p>
    <w:p w14:paraId="292A227E" w14:textId="70D141FA" w:rsidR="009D7677" w:rsidRDefault="009D7677" w:rsidP="009D7677">
      <w:pPr>
        <w:pStyle w:val="Extracto"/>
      </w:pPr>
      <w:r>
        <w:t>4.</w:t>
      </w:r>
      <w:r>
        <w:tab/>
        <w:t>En los terrenos clasificados por el planeamiento como suelo rústico de protección hidrológica, minera, de infraestructuras o suelo rústico común ordinario, nada se opone a que los usos extractivos y de infraestructuras tengan carácter de ‘ordinarios’. Cuestión distinta será que la intensidad o el desarrollo de esos usos respondan a una explotación racional de los recursos naturales que no ponga en peligro el valor ínsito a todo suelo rústico. La implantación de los usos extractivo y de infraestructuras no puede, sin embargo, reputarse de ‘ordinaria’ en las restantes categorías de suelo rústico, por la excepcionalidad que los mismos repre</w:t>
      </w:r>
      <w:r>
        <w:lastRenderedPageBreak/>
        <w:t>sentan desde la perspectiva de preservar el valor inherente a todo suelo de esta naturaleza (STC 86/2019) [FJ 5].</w:t>
      </w:r>
    </w:p>
    <w:p w14:paraId="07DD9862" w14:textId="77777777" w:rsidR="009D7677" w:rsidRDefault="009D7677" w:rsidP="009D7677">
      <w:pPr>
        <w:pStyle w:val="Extracto"/>
      </w:pPr>
    </w:p>
    <w:p w14:paraId="31C6CD00" w14:textId="238F3E83" w:rsidR="009D7677" w:rsidRDefault="009D7677" w:rsidP="009D7677">
      <w:pPr>
        <w:pStyle w:val="Extracto"/>
      </w:pPr>
      <w:r>
        <w:t>5.</w:t>
      </w:r>
      <w:r>
        <w:tab/>
        <w:t>No hay objeción a que en los terrenos clasificados por el planeamiento como “suelo rústico común”, los usos mineros y vinculados a las energías renovables tengan carácter de “ordinarios”, sin perjuicio de la aplicación de los mecanismos para controlar el eventual impacto ambiental de estas actividades o usos. En este tipo de suelo los usos serán permitidos y calificados como “ordinarios” en tanto no se ponga en riesgo el objetivo último de preservar los valores del suelo rústico [FJ 6].</w:t>
      </w:r>
    </w:p>
    <w:p w14:paraId="35DCD0F8" w14:textId="77777777" w:rsidR="009D7677" w:rsidRDefault="009D7677" w:rsidP="009D7677">
      <w:pPr>
        <w:pStyle w:val="Extracto"/>
      </w:pPr>
    </w:p>
    <w:p w14:paraId="6A2FD8D0" w14:textId="7C9E2E4F" w:rsidR="009D7677" w:rsidRDefault="009D7677" w:rsidP="009D7677">
      <w:pPr>
        <w:pStyle w:val="Extracto"/>
      </w:pPr>
      <w:r>
        <w:t>6.</w:t>
      </w:r>
      <w:r>
        <w:tab/>
        <w:t>Respecto a las subcategorías de suelo rústico distintas del “suelo rústico común”, su calificación responde a la necesidad de que cuente con una protección específica, protección que se vería enervada por la calificación como ordinarios de tales usos, calificación incompatible con la excepcionalidad e intensidad que los usos mineros y los vinculados a energías renovables representan desde la perspectiva de preservar los valores inherentes al suelo de esta naturaleza que le han hecho merecedor de una protección específica. De ahí que tales usos deban ser excluidos de su calificación como ordinarios en las restantes subcategorías de suelo rústico (STC 86/2019) [FJ 6].</w:t>
      </w:r>
    </w:p>
    <w:p w14:paraId="117555E2" w14:textId="77777777" w:rsidR="009D7677" w:rsidRDefault="009D7677" w:rsidP="009D7677">
      <w:pPr>
        <w:pStyle w:val="Extracto"/>
      </w:pPr>
    </w:p>
    <w:p w14:paraId="251E01CF" w14:textId="05619475" w:rsidR="009D7677" w:rsidRDefault="009D7677" w:rsidP="009D7677">
      <w:pPr>
        <w:pStyle w:val="Extracto"/>
      </w:pPr>
      <w:r>
        <w:t>7.</w:t>
      </w:r>
      <w:r>
        <w:tab/>
        <w:t>La posibilidad de edificaciones en suelo rural no está impedida por el legislador estatal, si bien, se exigen dos criterios que han de ser respetados por el legislador autonómico: la vinculación al medio rural, de suerte que se trate de un uso del suelo rural conforme a su naturaleza; y que se evite una disminución del nivel de protección medioambiental exigido por el legislador básico estatal, en el sentido de que se vincule a una explotación racional de los recursos naturales (STC 86/2019) [FJ 6].</w:t>
      </w:r>
    </w:p>
    <w:p w14:paraId="23102381" w14:textId="77777777" w:rsidR="009D7677" w:rsidRDefault="009D7677" w:rsidP="009D7677">
      <w:pPr>
        <w:pStyle w:val="Extracto"/>
      </w:pPr>
    </w:p>
    <w:p w14:paraId="45CE1A02" w14:textId="431E46FE" w:rsidR="009D7677" w:rsidRDefault="009D7677" w:rsidP="009D7677">
      <w:pPr>
        <w:pStyle w:val="Extracto"/>
      </w:pPr>
      <w:r>
        <w:t>8.</w:t>
      </w:r>
      <w:r>
        <w:tab/>
        <w:t>El Estado no puede imponer un determinado modelo territorial o urbanístico a las comunidades autónomas, pero sí incidir o encauzarlo mediante directrices y normas básicas que estas han de respetar. Dentro de esos parámetros, corresponde a las comunidades autónomas optar por el modelo concreto de ordenación territorial y urbanística que estimen más pertinente (SSTC 141/2014 o 75/2018) [FJ 7].</w:t>
      </w:r>
    </w:p>
    <w:p w14:paraId="4F779C76" w14:textId="77777777" w:rsidR="009D7677" w:rsidRDefault="009D7677" w:rsidP="009D7677">
      <w:pPr>
        <w:pStyle w:val="Extracto"/>
      </w:pPr>
    </w:p>
    <w:p w14:paraId="1359E2E1" w14:textId="0B2C160D" w:rsidR="009D7677" w:rsidRDefault="009D7677" w:rsidP="009D7677">
      <w:pPr>
        <w:pStyle w:val="Extracto"/>
      </w:pPr>
      <w:r>
        <w:t>9.</w:t>
      </w:r>
      <w:r>
        <w:tab/>
        <w:t>En relación con los usos previstos en el precepto básico para el suelo rústico, la facultad de edificar no es ajena a la propiedad del suelo en situación básica rural —donde pueden caber tanto las construcciones vinculadas a su explotación primaria como otros usos no vinculados a ésta, siempre de acuerdo con lo establecido en el planeamiento y en el marco de la regulación urbanística y de ordenación territorial y la legislación sectorial— (STC 143/2017) [FJ 7].</w:t>
      </w:r>
    </w:p>
    <w:p w14:paraId="58EE7E4D" w14:textId="77777777" w:rsidR="009D7677" w:rsidRDefault="009D7677" w:rsidP="009D7677">
      <w:pPr>
        <w:pStyle w:val="Extracto"/>
      </w:pPr>
    </w:p>
    <w:p w14:paraId="7A9C1B3F" w14:textId="74A96F4E" w:rsidR="009D7677" w:rsidRDefault="009D7677" w:rsidP="009D7677">
      <w:pPr>
        <w:pStyle w:val="Extracto"/>
      </w:pPr>
      <w:r>
        <w:t>10.</w:t>
      </w:r>
      <w:r>
        <w:tab/>
        <w:t>En relación con el “suelo rural”, corresponde al legislador autonómico: (i) concretar su clasificación y categorización; (ii) definir y delimitar los usos a que cabe dedicar el suelo rústico, vinculados a la utilización racional de los recursos naturales; (iii) determinar las condiciones que podrán legitimar con carácter excepcional y por su interés inherente ciertos actos y usos específicos de carácter ex</w:t>
      </w:r>
      <w:r>
        <w:lastRenderedPageBreak/>
        <w:t>traordinario sobre este tipo de suelo que sean de interés público o social, que contribuyan a la ordenación y el desarrollo rurales, o que hayan de emplazarse en el medio rural [FJ 7].</w:t>
      </w:r>
    </w:p>
    <w:p w14:paraId="1B82B5EC" w14:textId="77777777" w:rsidR="009D7677" w:rsidRDefault="009D7677" w:rsidP="009D7677">
      <w:pPr>
        <w:pStyle w:val="Extracto"/>
      </w:pPr>
    </w:p>
    <w:p w14:paraId="420A5686" w14:textId="21A62002" w:rsidR="009D7677" w:rsidRDefault="009D7677" w:rsidP="009D7677">
      <w:pPr>
        <w:pStyle w:val="Extracto"/>
      </w:pPr>
      <w:r>
        <w:t>11.</w:t>
      </w:r>
      <w:r>
        <w:tab/>
        <w:t>Más allá de las condiciones básicas, a cada comunidad autónoma corresponde determinar, tanto el procedimiento de autorización sobre régimen del suelo y valoraciones, como qué actuaciones son de interés público (STC 164/2001) [FJ 7].</w:t>
      </w:r>
    </w:p>
    <w:p w14:paraId="522F6AC5" w14:textId="77777777" w:rsidR="009D7677" w:rsidRDefault="009D7677" w:rsidP="009D7677">
      <w:pPr>
        <w:pStyle w:val="Extracto"/>
      </w:pPr>
    </w:p>
    <w:p w14:paraId="65BA7A8D" w14:textId="143372B8" w:rsidR="009D7677" w:rsidRDefault="009D7677" w:rsidP="009D7677">
      <w:pPr>
        <w:pStyle w:val="Extracto"/>
      </w:pPr>
      <w:r>
        <w:t>12.</w:t>
      </w:r>
      <w:r>
        <w:tab/>
        <w:t>No es conforme a la Constitución una previsión que produzca el efecto de priorizar proyectos de interés insular o autonómico que tengan por objeto la transformación física del suelo para conseguir determinadas finalidades consideradas estratégicas, pero que sean definidas de forma abierta o indeterminada y respecto de las que se autoriza su ejecución con independencia de las previsiones urbanísticas del municipio en cuyo territorio se asienten (STC 86/2019) [FJ 7].</w:t>
      </w:r>
    </w:p>
    <w:p w14:paraId="57541AFB" w14:textId="77777777" w:rsidR="009D7677" w:rsidRDefault="009D7677" w:rsidP="009D7677">
      <w:pPr>
        <w:pStyle w:val="Extracto"/>
      </w:pPr>
    </w:p>
    <w:p w14:paraId="079524E0" w14:textId="7FB44B5C" w:rsidR="009D7677" w:rsidRDefault="009D7677" w:rsidP="009D7677">
      <w:pPr>
        <w:pStyle w:val="Extracto"/>
      </w:pPr>
      <w:r>
        <w:t>13.</w:t>
      </w:r>
      <w:r>
        <w:tab/>
        <w:t>El uso de conceptos jurídicos indeterminados para configurar los presupuestos que permitirán la adopción de proyectos no cuestiona necesariamente el interés supramunicipal de las actuaciones que constituyen su objeto (STC 86/2019) [FJ 7].</w:t>
      </w:r>
    </w:p>
    <w:p w14:paraId="432ACDDE" w14:textId="77777777" w:rsidR="009D7677" w:rsidRDefault="009D7677" w:rsidP="009D7677">
      <w:pPr>
        <w:pStyle w:val="Extracto"/>
      </w:pPr>
    </w:p>
    <w:p w14:paraId="1E05F40A" w14:textId="1BEDACF2" w:rsidR="009D7677" w:rsidRDefault="009D7677" w:rsidP="009D7677">
      <w:pPr>
        <w:pStyle w:val="Extracto"/>
      </w:pPr>
      <w:r>
        <w:t>14.</w:t>
      </w:r>
      <w:r>
        <w:tab/>
        <w:t>Se descarta la vulneración del principio de autonomía municipal cuando existe una clara delimitación de las actuaciones integrales estratégicas, bien  “productivas” (STC 57/2015) bien “turísticas” o vinculadas a un concreto modelo territorial de desarrollo turístico (STC 42/2018); pues se trata de actuaciones de ordenación del territorio que se fundamentan y justifican en la presencia de intereses supralocales, sin que ello suponga descuidar los intereses municipales que deben ser ponderados en la decisión de la autoridad autonómica en el legítimo ejercicio de sus competencias [FJ 8].</w:t>
      </w:r>
    </w:p>
    <w:p w14:paraId="7C60BB64" w14:textId="77777777" w:rsidR="009D7677" w:rsidRDefault="009D7677" w:rsidP="009D7677">
      <w:pPr>
        <w:pStyle w:val="Extracto"/>
      </w:pPr>
    </w:p>
    <w:p w14:paraId="3117A4C7" w14:textId="28AA61F3" w:rsidR="009D7677" w:rsidRDefault="009D7677" w:rsidP="009D7677">
      <w:pPr>
        <w:pStyle w:val="Extracto"/>
      </w:pPr>
      <w:r>
        <w:t>15.</w:t>
      </w:r>
      <w:r>
        <w:tab/>
        <w:t>En el contexto de la modificación de un instrumento de planeamiento no carece de explicación una previsión que trata de evitar la realización de actuaciones que, a la postre, resultarían incompatibles con la planificación territorial, asegurando la efectividad de un planeamiento futuro  (STC 161/2019) [FJ 9].</w:t>
      </w:r>
    </w:p>
    <w:p w14:paraId="61A8F69F" w14:textId="77777777" w:rsidR="009D7677" w:rsidRDefault="009D7677" w:rsidP="009D7677">
      <w:pPr>
        <w:pStyle w:val="Extracto"/>
      </w:pPr>
    </w:p>
    <w:p w14:paraId="615742FE" w14:textId="22DF3A54" w:rsidR="009D7677" w:rsidRDefault="009D7677" w:rsidP="009D7677">
      <w:pPr>
        <w:pStyle w:val="Extracto"/>
      </w:pPr>
      <w:r>
        <w:t>16.</w:t>
      </w:r>
      <w:r>
        <w:tab/>
        <w:t>La exigencia de autorización para unas determinadas actividades y usos del suelo se ampara en las competencias que ostenta el Estado al amparo del artículo 149.1.18 CE; mientras que la regulación del silencio negativo en el caso de los movimientos de tierra y explanaciones se ampara en la competencia básica del Estado en materia de medio ambiente dada la necesidad de preservar los valores propios del medio rural (STC 143/2017) [FJ 10].</w:t>
      </w:r>
    </w:p>
    <w:p w14:paraId="2DB5BE40" w14:textId="77777777" w:rsidR="009D7677" w:rsidRDefault="009D7677" w:rsidP="009D7677">
      <w:pPr>
        <w:pStyle w:val="Extracto"/>
      </w:pPr>
    </w:p>
    <w:p w14:paraId="1943470C" w14:textId="14431A7B" w:rsidR="009D7677" w:rsidRDefault="009D7677" w:rsidP="009D7677">
      <w:pPr>
        <w:pStyle w:val="Extracto"/>
      </w:pPr>
      <w:r>
        <w:t>17.</w:t>
      </w:r>
      <w:r>
        <w:tab/>
        <w:t xml:space="preserve">Respecto al principio de no regresión del Derecho medioambiental, también conocido como cláusula </w:t>
      </w:r>
      <w:r w:rsidRPr="009D7677">
        <w:rPr>
          <w:i/>
        </w:rPr>
        <w:t>standstill,</w:t>
      </w:r>
      <w:r>
        <w:t xml:space="preserve"> pese a su trascendencia y vinculación con el propio fundamento originario del Derecho ambiental, no cabe su identificación mecánica con el deber de conservación recogido en el art. 45 CE, pues el deber constitucional se proyecta sobre el medio físico, en tanto que el principio de no regresión se predica del ordenamiento jurídico (STC 233/2015) [FJ 10].</w:t>
      </w:r>
    </w:p>
    <w:p w14:paraId="6F2CE519" w14:textId="77777777" w:rsidR="009D7677" w:rsidRDefault="009D7677" w:rsidP="009D7677">
      <w:pPr>
        <w:pStyle w:val="Extracto"/>
      </w:pPr>
    </w:p>
    <w:p w14:paraId="31FE2A23" w14:textId="59660752" w:rsidR="009D7677" w:rsidRDefault="009D7677" w:rsidP="009D7677">
      <w:pPr>
        <w:pStyle w:val="Extracto"/>
      </w:pPr>
      <w:r>
        <w:lastRenderedPageBreak/>
        <w:t>18.</w:t>
      </w:r>
      <w:r>
        <w:tab/>
        <w:t>El deber de conservación que incumbe a los poderes públicos tiene una dimensión, la de no propiciar la destrucción o degradación del medio ambiente, que no consentiría la adopción de medidas, carentes de justificación objetiva y de tal calibre que supusieran un patente retroceso en el grado de protección que se ha alcanzado tras décadas de intervención tuitiva (STC 233/2015) [FJ 10].</w:t>
      </w:r>
    </w:p>
    <w:p w14:paraId="6D79D43E" w14:textId="77777777" w:rsidR="009D7677" w:rsidRDefault="009D7677" w:rsidP="009D7677">
      <w:pPr>
        <w:pStyle w:val="Extracto"/>
      </w:pPr>
    </w:p>
    <w:p w14:paraId="5038AC0C" w14:textId="292D15E9" w:rsidR="009D7677" w:rsidRDefault="009D7677" w:rsidP="009D7677">
      <w:pPr>
        <w:pStyle w:val="Extracto"/>
      </w:pPr>
      <w:r>
        <w:t>19.</w:t>
      </w:r>
      <w:r>
        <w:tab/>
        <w:t>Son materialmente básicos la fijación de una norma mínima de protección ambiental, y el establecimiento de condiciones básicas para el ejercicio de potestades públicas en relación con el patrimonio demanial de las vías pecuarias [FJ 12].</w:t>
      </w:r>
    </w:p>
    <w:p w14:paraId="5A7537D9" w14:textId="77777777" w:rsidR="009D7677" w:rsidRDefault="009D7677" w:rsidP="009D7677">
      <w:pPr>
        <w:pStyle w:val="Extracto"/>
      </w:pPr>
    </w:p>
    <w:p w14:paraId="4FC5C6D2" w14:textId="7169358F" w:rsidR="009D7677" w:rsidRDefault="009D7677" w:rsidP="009D7677">
      <w:pPr>
        <w:pStyle w:val="Extracto"/>
      </w:pPr>
      <w:r>
        <w:t>20.</w:t>
      </w:r>
      <w:r>
        <w:tab/>
        <w:t>El art. 149.1.23 CE determina la competencia estatal para establecer la legislación básica sobre vías pecuarias en tanto rutas o itinerarios por donde discurre o ha venido discurriendo tradicionalmente el tránsito ganadero [FJ 12].</w:t>
      </w:r>
    </w:p>
    <w:p w14:paraId="56A6F146" w14:textId="77777777" w:rsidR="009D7677" w:rsidRDefault="009D7677" w:rsidP="009D7677">
      <w:pPr>
        <w:pStyle w:val="Extracto"/>
      </w:pPr>
    </w:p>
    <w:p w14:paraId="04619B60" w14:textId="73417B3A" w:rsidR="009D7677" w:rsidRDefault="009D7677" w:rsidP="009D7677">
      <w:pPr>
        <w:pStyle w:val="Extracto"/>
      </w:pPr>
      <w:r>
        <w:t>21.</w:t>
      </w:r>
      <w:r>
        <w:tab/>
        <w:t xml:space="preserve">Las reglas de protección del demanio autonómico integrado por vías pecuarias que, por razones de interés general, el legislador estatal considera legítimamente que han de ser comunes a todo el territorio nacional se suman al resto de directrices y normas básicas del Estado </w:t>
      </w:r>
      <w:r w:rsidRPr="009D7677">
        <w:rPr>
          <w:i/>
        </w:rPr>
        <w:t>ex</w:t>
      </w:r>
      <w:r>
        <w:t xml:space="preserve"> art. 149.1.1 y 23 que le permiten encauzar o incidir en el modelo territorial o urbanístico autonómico. Dentro de esos parámetros, las comunidades autónomas pueden optar por el modelo concreto de ordenación territorial y urbanística que estimen más pertinente (SSTC 141/2014 y 75/2018) [FJ 12].</w:t>
      </w:r>
    </w:p>
    <w:p w14:paraId="45D60AD5" w14:textId="77777777" w:rsidR="009D7677" w:rsidRDefault="009D7677" w:rsidP="009D7677">
      <w:pPr>
        <w:pStyle w:val="Extracto"/>
      </w:pPr>
    </w:p>
    <w:p w14:paraId="729323A8" w14:textId="5959142D" w:rsidR="009D7677" w:rsidRDefault="009D7677" w:rsidP="009D7677">
      <w:pPr>
        <w:pStyle w:val="Extracto"/>
      </w:pPr>
      <w:r>
        <w:t>22.</w:t>
      </w:r>
      <w:r>
        <w:tab/>
        <w:t>La Ley de vías pecuarias atribuye a las comunidades autónomas la facultad de desafectar del dominio público los terrenos de las vías pecuarias que ya no sean adecuados para el tránsito del ganado ni susceptibles de un uso compatible y complementario de tal vía pecuaria. Ahora bien, ello no significa que esa facultad pueda ejercerse al margen de la condición de bienes de dominio público que el legislador estatal ha atribuido a las vías pecuarias, con la consiguiente imposibilidad de hacer factible una suerte de desafectación tácita derivada de actos de calificación del suelo en los instrumentos de planeamiento y prescindiendo de toda formalidad procedimental [FJ 12].</w:t>
      </w:r>
    </w:p>
    <w:p w14:paraId="3492FFC7" w14:textId="77777777" w:rsidR="009D7677" w:rsidRDefault="009D7677" w:rsidP="009D7677">
      <w:pPr>
        <w:pStyle w:val="Extracto"/>
      </w:pPr>
    </w:p>
    <w:p w14:paraId="5BE4B2C0" w14:textId="7309B532" w:rsidR="009D7677" w:rsidRDefault="009D7677" w:rsidP="009D7677">
      <w:pPr>
        <w:pStyle w:val="Extracto"/>
      </w:pPr>
      <w:r>
        <w:t>23.</w:t>
      </w:r>
      <w:r>
        <w:tab/>
        <w:t>La norma que establece una discriminación o bien, aun no estableciéndola carece de toda explicación racional, supone una arbitrariedad sin que sea pertinente un análisis a fondo de todas las motivaciones posibles de la norma y de todas sus eventuales consecuencias (SSTC 98/2018, 149/2020 y 112/2021) [FJ 13].</w:t>
      </w:r>
    </w:p>
    <w:p w14:paraId="04D14747" w14:textId="77777777" w:rsidR="009D7677" w:rsidRDefault="009D7677" w:rsidP="009D7677">
      <w:pPr>
        <w:pStyle w:val="Extracto"/>
      </w:pPr>
    </w:p>
    <w:p w14:paraId="2D261801" w14:textId="57DBAFA6" w:rsidR="009D7677" w:rsidRDefault="009D7677" w:rsidP="009D7677">
      <w:pPr>
        <w:pStyle w:val="Extracto"/>
      </w:pPr>
      <w:r>
        <w:t>24.</w:t>
      </w:r>
      <w:r>
        <w:tab/>
        <w:t>Son preceptos materialmente básicos los que fijan una norma mínima de protección ambiental y responden a la función que cumple la legislación básica en este ámbito, que persigue el objetivo de que todas las administraciones públicas valoren el medio ambiente cuando ejercen sus competencias sobre cualquiera de las obras, instalaciones u otras actividades de su competencia (STC 109/2017) [FJ 13].</w:t>
      </w:r>
    </w:p>
    <w:p w14:paraId="4D885C52" w14:textId="77777777" w:rsidR="009D7677" w:rsidRDefault="009D7677" w:rsidP="009D7677">
      <w:pPr>
        <w:pStyle w:val="Extracto"/>
      </w:pPr>
    </w:p>
    <w:p w14:paraId="5F499B97" w14:textId="77777777" w:rsidR="009D7677" w:rsidRDefault="009D7677" w:rsidP="009D7677">
      <w:pPr>
        <w:pStyle w:val="Extracto"/>
      </w:pPr>
    </w:p>
    <w:p w14:paraId="05F698A7" w14:textId="77777777" w:rsidR="009D7677" w:rsidRDefault="009D7677" w:rsidP="009D7677">
      <w:pPr>
        <w:pStyle w:val="TextoNormal"/>
      </w:pPr>
      <w:r>
        <w:t>El Pleno del Tribunal Constitucional, compuesto por el magistrado don Cándido Conde-Pumpido Tourón, presidente, y las magistradas y magistrados doña Inmaculada Mon</w:t>
      </w:r>
      <w:r>
        <w:lastRenderedPageBreak/>
        <w:t>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089A17C2" w14:textId="574B7C91" w:rsidR="009D7677" w:rsidRDefault="009D7677" w:rsidP="009D7677">
      <w:pPr>
        <w:pStyle w:val="TextoNormal"/>
      </w:pPr>
    </w:p>
    <w:p w14:paraId="3C6524EB" w14:textId="77777777" w:rsidR="009D7677" w:rsidRDefault="009D7677" w:rsidP="009D7677">
      <w:pPr>
        <w:pStyle w:val="TextoNormalCentrado"/>
        <w:keepNext/>
      </w:pPr>
      <w:r>
        <w:t>EN NOMBRE DEL REY</w:t>
      </w:r>
    </w:p>
    <w:p w14:paraId="33CA20B8" w14:textId="6C560E07" w:rsidR="009D7677" w:rsidRDefault="009D7677" w:rsidP="009D7677">
      <w:pPr>
        <w:pStyle w:val="TextoNormalCentrado"/>
        <w:keepNext/>
      </w:pPr>
    </w:p>
    <w:p w14:paraId="115ED6AC" w14:textId="77777777" w:rsidR="009D7677" w:rsidRDefault="009D7677" w:rsidP="009D7677">
      <w:pPr>
        <w:pStyle w:val="TextoNormalCentrado"/>
        <w:keepNext/>
      </w:pPr>
    </w:p>
    <w:p w14:paraId="252A38BA" w14:textId="77777777" w:rsidR="009D7677" w:rsidRDefault="009D7677" w:rsidP="009D7677">
      <w:pPr>
        <w:pStyle w:val="TextoNormal"/>
      </w:pPr>
      <w:r>
        <w:t>la siguiente</w:t>
      </w:r>
    </w:p>
    <w:p w14:paraId="70836173" w14:textId="7B3E6EB6" w:rsidR="009D7677" w:rsidRDefault="009D7677" w:rsidP="009D7677">
      <w:pPr>
        <w:pStyle w:val="TextoNormal"/>
      </w:pPr>
    </w:p>
    <w:p w14:paraId="0111C7C0" w14:textId="77777777" w:rsidR="009D7677" w:rsidRDefault="009D7677" w:rsidP="009D7677">
      <w:pPr>
        <w:pStyle w:val="TextoNormalCentrado"/>
        <w:keepNext/>
      </w:pPr>
      <w:r>
        <w:t>SENTENCIA</w:t>
      </w:r>
    </w:p>
    <w:p w14:paraId="1E787A23" w14:textId="0EF250C8" w:rsidR="009D7677" w:rsidRDefault="009D7677" w:rsidP="009D7677">
      <w:pPr>
        <w:pStyle w:val="TextoNormalCentrado"/>
        <w:keepNext/>
      </w:pPr>
    </w:p>
    <w:p w14:paraId="02BF9B66" w14:textId="77777777" w:rsidR="009D7677" w:rsidRDefault="009D7677" w:rsidP="009D7677">
      <w:pPr>
        <w:pStyle w:val="TextoNormal"/>
      </w:pPr>
      <w:r>
        <w:t>En el recurso de inconstitucionalidad núm. 1413-2022, promovido por más de cincuenta diputados pertenecientes al Grupo Parlamentario Confederal Unidas Podemos-En Comú Podem-Galicia en Común, al Grupo Parlamentario Republicano, al Grupo Parlamentario Plural y al Grupo Mixto en el Congreso de los Diputados, contra la Ley del Parlamento de Andalucía 7/2021, de 1 de diciembre, de impulso para la sostenibilidad del territorio de Andalucía y, subsidiariamente, contra los arts. 19.1 a); 21.1 y 2 b); 22.1 y 2; 50; 53; 137.2 f); 151.1; 153.2 f); la disposición adicional cuarta y la disposición derogatoria, apartado 2 f), de la citada Ley. Han comparecido y formulado alegaciones la Junta de Andalucía y el Parlamento de Andalucía. Ha sido ponente la magistrada doña Concepción Espejel Jorquera.</w:t>
      </w:r>
    </w:p>
    <w:p w14:paraId="6CDC36CC" w14:textId="5B37B24A" w:rsidR="009D7677" w:rsidRDefault="009D7677" w:rsidP="009D7677">
      <w:pPr>
        <w:pStyle w:val="TextoNormal"/>
      </w:pPr>
    </w:p>
    <w:p w14:paraId="3AD77238" w14:textId="77777777" w:rsidR="009D7677" w:rsidRDefault="009D7677" w:rsidP="009D7677">
      <w:pPr>
        <w:pStyle w:val="TextoNormalNegritaCentrado"/>
        <w:keepNext/>
      </w:pPr>
      <w:r>
        <w:t>I. Antecedentes</w:t>
      </w:r>
    </w:p>
    <w:p w14:paraId="40BBBD57" w14:textId="7D5B83AD" w:rsidR="009D7677" w:rsidRDefault="009D7677" w:rsidP="009D7677">
      <w:pPr>
        <w:pStyle w:val="TextoNormalNegritaCentrado"/>
        <w:keepNext/>
      </w:pPr>
    </w:p>
    <w:p w14:paraId="557D3B88" w14:textId="77777777" w:rsidR="009D7677" w:rsidRDefault="009D7677" w:rsidP="009D7677">
      <w:pPr>
        <w:pStyle w:val="TextoNormal"/>
      </w:pPr>
      <w:r w:rsidRPr="009D7677">
        <w:rPr>
          <w:rStyle w:val="NumeroAFNegritaCaracter"/>
        </w:rPr>
        <w:t>1</w:t>
      </w:r>
      <w:r>
        <w:t>. El día 3 de marzo de 2022 tuvo entrada en el registro general de este tribunal el recurso de inconstitucionalidad interpuesto por más de cincuenta diputados pertenecientes al Grupo Parlamentario Confederal Unidas Podemos-En Comú Podem-Galicia en Común, al Grupo Parlamentario Republicano, al Grupo Parlamentario Plural y al Grupo Mixto en el Congreso de los Diputados, contra la Ley del Parlamento de Andalucía 7/2021, de 1 de diciembre, de impulso para la sostenibilidad del territorio de Andalucía y, subsidiariamente, contra los arts. 19.1 a); 21.1 y 2 b); 22.1 y 2; 50; 53; 137.2 f); 151.1; 153.1 f); la disposición adicional cuarta; y la disposición derogatoria, apartado 2 f), de la citada ley.</w:t>
      </w:r>
    </w:p>
    <w:p w14:paraId="7CDB8F6B" w14:textId="77777777" w:rsidR="009D7677" w:rsidRDefault="009D7677" w:rsidP="009D7677">
      <w:pPr>
        <w:pStyle w:val="TextoNormal"/>
      </w:pPr>
    </w:p>
    <w:p w14:paraId="1E2BDA02" w14:textId="77777777" w:rsidR="009D7677" w:rsidRDefault="009D7677" w:rsidP="009D7677">
      <w:pPr>
        <w:pStyle w:val="TextoNormal"/>
      </w:pPr>
      <w:r>
        <w:t>Los motivos en los que se fundamenta el recurso de inconstitucionalidad son los que, sucintamente, se exponen a continuación:</w:t>
      </w:r>
    </w:p>
    <w:p w14:paraId="16E81BA1" w14:textId="77777777" w:rsidR="009D7677" w:rsidRDefault="009D7677" w:rsidP="009D7677">
      <w:pPr>
        <w:pStyle w:val="TextoNormal"/>
      </w:pPr>
    </w:p>
    <w:p w14:paraId="0C11427A" w14:textId="77777777" w:rsidR="009D7677" w:rsidRDefault="009D7677" w:rsidP="009D7677">
      <w:pPr>
        <w:pStyle w:val="TextoNormal"/>
      </w:pPr>
      <w:r>
        <w:t>A) Los diputados recurrentes alegan un primer motivo de inconstitucionalidad de alcance general. Afirman que la Ley 7/2021, de 1 de diciembre, de impulso para la sostenibilidad del territorio de Andalucía, (en adelante, LISTA) se tramitó y aprobó por el procedimiento de urgencia sin que se diera el presupuesto de hecho habilitante para ello. Por ello, se habría afectado el derecho a la participación política y la Ley impugnada vulneraría, por un lado, los arts. 1.1 y 23.2 CE y, por otro lado, el art. 108 del Estatuto de Autonomía para Andalucía (en adelante, EAAnd), así como los arts. 98 y 99, en relación con el art. 110 y concordantes, del Reglamento del Parlamento de Andalucía (en adelante, RPA).</w:t>
      </w:r>
    </w:p>
    <w:p w14:paraId="06178C37" w14:textId="77777777" w:rsidR="009D7677" w:rsidRDefault="009D7677" w:rsidP="009D7677">
      <w:pPr>
        <w:pStyle w:val="TextoNormal"/>
      </w:pPr>
    </w:p>
    <w:p w14:paraId="63D1FB16" w14:textId="77777777" w:rsidR="009D7677" w:rsidRDefault="009D7677" w:rsidP="009D7677">
      <w:pPr>
        <w:pStyle w:val="TextoNormal"/>
      </w:pPr>
      <w:r>
        <w:lastRenderedPageBreak/>
        <w:t>Si bien se alega en la memoria del anteproyecto de ley su esperada contribución a la recuperación económica de las consecuencias desencadenadas por la incidencia de la pandemia a causa de la covid-19, ni en la tramitación del anteproyecto y posterior proyecto de ley, ni en la ulterior actividad parlamentaria se justifica objetivamente el empleo del trámite de urgencia en detrimento del trámite ordinario. Se afecta con ello al derecho a la participación política en la tramitación parlamentaria de la iniciativa, al reducir los plazos para la formulación de enmiendas y dificultar la realización de aportaciones que hubieran permitido enriquecer el texto resultante, mejorar su calidad y reflejar en su articulado final un mayor pluralismo político.</w:t>
      </w:r>
    </w:p>
    <w:p w14:paraId="035BA289" w14:textId="77777777" w:rsidR="009D7677" w:rsidRDefault="009D7677" w:rsidP="009D7677">
      <w:pPr>
        <w:pStyle w:val="TextoNormal"/>
      </w:pPr>
    </w:p>
    <w:p w14:paraId="0A603B9E" w14:textId="77777777" w:rsidR="009D7677" w:rsidRDefault="009D7677" w:rsidP="009D7677">
      <w:pPr>
        <w:pStyle w:val="TextoNormal"/>
      </w:pPr>
      <w:r>
        <w:t>B) Se exponen, a continuación, los motivos de inconstitucionalidad que concurren, en opinión de los recurrentes, en cada uno de los preceptos impugnados de la LISTA:</w:t>
      </w:r>
    </w:p>
    <w:p w14:paraId="1394981E" w14:textId="77777777" w:rsidR="009D7677" w:rsidRDefault="009D7677" w:rsidP="009D7677">
      <w:pPr>
        <w:pStyle w:val="TextoNormal"/>
      </w:pPr>
    </w:p>
    <w:p w14:paraId="415FB8F4" w14:textId="77777777" w:rsidR="009D7677" w:rsidRDefault="009D7677" w:rsidP="009D7677">
      <w:pPr>
        <w:pStyle w:val="TextoNormal"/>
      </w:pPr>
      <w:r>
        <w:t>a) Los arts. 19.1 a); 21.1 y 2 b); y 22.1 y 2 son contrarios a los arts. 9.3, que garantiza la seguridad jurídica, 137 y 140 CE, que reconocen y aseguran la autonomía local, así como al art. 13.1 del Real Decreto Legislativo 7/2015, de 30 de octubre, por el que se aprueba el texto refundido de la Ley de suelo y rehabilitación urbana (en adelante, TRLSRU), que preserva el suelo en situación rural de la urbanización y la parcelación urbanística, por lo que contradicen también, de forma mediata, el art. 149.1.23 CE.</w:t>
      </w:r>
    </w:p>
    <w:p w14:paraId="166CD5C6" w14:textId="77777777" w:rsidR="009D7677" w:rsidRDefault="009D7677" w:rsidP="009D7677">
      <w:pPr>
        <w:pStyle w:val="TextoNormal"/>
      </w:pPr>
    </w:p>
    <w:p w14:paraId="74D162CB" w14:textId="77777777" w:rsidR="009D7677" w:rsidRDefault="009D7677" w:rsidP="009D7677">
      <w:pPr>
        <w:pStyle w:val="TextoNormal"/>
      </w:pPr>
      <w:r>
        <w:t>En primer lugar, entienden los recurrentes que el art. 19 LISTA, al exigir a las entidades locales la determinación de los usos y actividades prohibidas en suelo rústico, se extralimita, imponiendo al planificador municipal una determinada técnica para la regulación de su ordenación territorial en contravención de su autonomía constitucionalmente garantizada. Con ello se afectaría, además, al principio de seguridad jurídica, en tanto resultaría inevitable la incertidumbre sobre la normativa aplicable y los intereses jurídicamente tutelados ante los diversos avances técnicos que se fueran produciendo. Idénticas razones avalarían, a su juicio, la inconstitucionalidad del art. 22.1 al admitir la implantación en suelo rústico, con carácter extraordinario, de usos y actuaciones de interés público o social siempre que no estén expresamente prohibidas por la ordenación territorial y urbanística, en tanto exige a la entidad local una concreta técnica formal, cual es la prohibición, para impedir su establecimiento.</w:t>
      </w:r>
    </w:p>
    <w:p w14:paraId="58E67E05" w14:textId="77777777" w:rsidR="009D7677" w:rsidRDefault="009D7677" w:rsidP="009D7677">
      <w:pPr>
        <w:pStyle w:val="TextoNormal"/>
      </w:pPr>
    </w:p>
    <w:p w14:paraId="4109137C" w14:textId="77777777" w:rsidR="009D7677" w:rsidRDefault="009D7677" w:rsidP="009D7677">
      <w:pPr>
        <w:pStyle w:val="TextoNormal"/>
      </w:pPr>
      <w:r>
        <w:t>El art. 21.1 y 2 b) vulneraría, a su vez, de forma mediata el art. 149.1.23 CE por contravención del art. 13.1 TRLSRU al considerar como ordinarios un elenco de usos cuya implantación sobre el territorio supondría, en opinión de los recurrentes, la desaparición de los valores que conforme a la legislación básica deben ser preservados. Así, señaladamente, respecto de los usos mineros y de los vinculados a las energías renovables y actividades mineras o de los usos residenciales reputados necesarios para el desarrollo de otros usos ordinarios de suelo rústico.</w:t>
      </w:r>
    </w:p>
    <w:p w14:paraId="11DDC294" w14:textId="77777777" w:rsidR="009D7677" w:rsidRDefault="009D7677" w:rsidP="009D7677">
      <w:pPr>
        <w:pStyle w:val="TextoNormal"/>
      </w:pPr>
    </w:p>
    <w:p w14:paraId="706B33F8" w14:textId="77777777" w:rsidR="009D7677" w:rsidRDefault="009D7677" w:rsidP="009D7677">
      <w:pPr>
        <w:pStyle w:val="TextoNormal"/>
      </w:pPr>
      <w:r>
        <w:t xml:space="preserve">Por su parte, el art. 22.2, al permitir en suelo rústico el incremento de la edificabilidad, con mezcla, entre otros, de usos residenciales, industriales, terciarios o turísticos, y la ejecución de las obras viarias, infraestructuras y servicios técnicos necesarios para su desarrollo, vulneraría no solo la autonomía local y el principio de seguridad jurídica, sino también el mandato estatal de preservar al suelo rural de la urbanización y de ciertos usos, en tanto la excepción admitida por el art. 13.1 TRLSRU a causa de la concurrencia de interés público o social se convertiría en regla general, amparando, incluso, la implantación de </w:t>
      </w:r>
      <w:r>
        <w:lastRenderedPageBreak/>
        <w:t>esos usos tanto en el suelo rústico protegido del art. 14.1 a), como en el preservado regulado por los apartados b) y c) del mismo precepto.</w:t>
      </w:r>
    </w:p>
    <w:p w14:paraId="63B30A1D" w14:textId="77777777" w:rsidR="009D7677" w:rsidRDefault="009D7677" w:rsidP="009D7677">
      <w:pPr>
        <w:pStyle w:val="TextoNormal"/>
      </w:pPr>
    </w:p>
    <w:p w14:paraId="7F1977CE" w14:textId="77777777" w:rsidR="009D7677" w:rsidRDefault="009D7677" w:rsidP="009D7677">
      <w:pPr>
        <w:pStyle w:val="TextoNormal"/>
      </w:pPr>
      <w:r>
        <w:t>b) El art. 50 vulnera los arts. 137 y 140 CE, que reconocen y garantizan la autonomía local, en relación con la Ley 7/1985, de 2 de abril, reguladora de las bases del régimen local (en adelante, LBRL). Según los diputados recurrentes, los arts. 22.2 c) y 25.2 a) LBRL sancionan la inclusión de la aprobación inicial del planeamiento urbanístico en el núcleo de la autonomía local.</w:t>
      </w:r>
    </w:p>
    <w:p w14:paraId="5CA45261" w14:textId="77777777" w:rsidR="009D7677" w:rsidRDefault="009D7677" w:rsidP="009D7677">
      <w:pPr>
        <w:pStyle w:val="TextoNormal"/>
      </w:pPr>
    </w:p>
    <w:p w14:paraId="0507EE7D" w14:textId="77777777" w:rsidR="009D7677" w:rsidRDefault="009D7677" w:rsidP="009D7677">
      <w:pPr>
        <w:pStyle w:val="TextoNormal"/>
      </w:pPr>
      <w:r>
        <w:t>La notable falta de concreción de que adolece, a su juicio, el art. 50 de la ley impugnada, al determinar los proyectos y actuaciones que pudieran ser declarados de interés autonómico “por su especial relevancia derivada de su magnitud, su proyección social y económica o su importancia para la estructuración territorial de Andalucía”, deviene en inconstitucional al quebrar la autonomía municipal.</w:t>
      </w:r>
    </w:p>
    <w:p w14:paraId="7FC3CB4C" w14:textId="77777777" w:rsidR="009D7677" w:rsidRDefault="009D7677" w:rsidP="009D7677">
      <w:pPr>
        <w:pStyle w:val="TextoNormal"/>
      </w:pPr>
    </w:p>
    <w:p w14:paraId="644A1106" w14:textId="77777777" w:rsidR="009D7677" w:rsidRDefault="009D7677" w:rsidP="009D7677">
      <w:pPr>
        <w:pStyle w:val="TextoNormal"/>
      </w:pPr>
      <w:r>
        <w:t>c) El art. 53 contradice los arts. 137 y 140 CE, que reconocen y garantizan la autonomía local. El legislador estatal sanciona la inclusión en el núcleo de la autonomía local de la planificación y ordenación urbanística del territorio municipal, en tanto tarea que corresponde fundamentalmente al municipio. Sin embargo, como subrayan los recurrentes, el art. 53 de la Ley contempla la posible suspensión de la tramitación de innovaciones en el planeamiento urbanístico por su eventual contradicción con planes de ordenación del territorio de ámbito subregional o regional aprobados o, incluso, en tramitación, rebajándose la autonomía municipal en el diseño urbano de forma injustificada al no poner el legislador de manifiesto siquiera el carácter excepcional de esta facultad.</w:t>
      </w:r>
    </w:p>
    <w:p w14:paraId="15352B02" w14:textId="77777777" w:rsidR="009D7677" w:rsidRDefault="009D7677" w:rsidP="009D7677">
      <w:pPr>
        <w:pStyle w:val="TextoNormal"/>
      </w:pPr>
    </w:p>
    <w:p w14:paraId="6A7A754D" w14:textId="77777777" w:rsidR="009D7677" w:rsidRDefault="009D7677" w:rsidP="009D7677">
      <w:pPr>
        <w:pStyle w:val="TextoNormal"/>
      </w:pPr>
      <w:r>
        <w:t>d) El art. 137.2 f) se opone a los arts. 137 y 140 CE, que reconocen y garantizan la autonomía local, y contradice el art. 11.4 a) TRLSRU, vulnerando indirectamente el art. 149.1.23 CE, al eximir de licencia previa la realización de actividad minera en suelo rústico.</w:t>
      </w:r>
    </w:p>
    <w:p w14:paraId="63C73D1D" w14:textId="77777777" w:rsidR="009D7677" w:rsidRDefault="009D7677" w:rsidP="009D7677">
      <w:pPr>
        <w:pStyle w:val="TextoNormal"/>
      </w:pPr>
    </w:p>
    <w:p w14:paraId="0BD2960C" w14:textId="77777777" w:rsidR="009D7677" w:rsidRDefault="009D7677" w:rsidP="009D7677">
      <w:pPr>
        <w:pStyle w:val="TextoNormal"/>
      </w:pPr>
      <w:r>
        <w:t>Se infringe el art. 11.4 a) TRLSRU, que somete a autorización expresa, con silencio administrativo negativo, los movimientos de tierras y explanaciones. De acuerdo con el Tribunal Supremo, el otorgamiento de una concesión minera no exime a su titular de obtener la correspondiente licencia municipal por tratarse de competencias concurrentes en que cada una de las administraciones actuantes ejerce facultades de intervención propias. El art. 137.2 f), al excluir al uso minero de licencia urbanística previa, sustrae al municipio, a juicio de los recurrentes, de una genuina competencia propia, vulnerando la autonomía local en relación con un asunto de indudable repercusión paisajística, ambiental y territorial de su interés.</w:t>
      </w:r>
    </w:p>
    <w:p w14:paraId="42CAFC1E" w14:textId="77777777" w:rsidR="009D7677" w:rsidRDefault="009D7677" w:rsidP="009D7677">
      <w:pPr>
        <w:pStyle w:val="TextoNormal"/>
      </w:pPr>
    </w:p>
    <w:p w14:paraId="51A0A4E7" w14:textId="77777777" w:rsidR="009D7677" w:rsidRDefault="009D7677" w:rsidP="009D7677">
      <w:pPr>
        <w:pStyle w:val="TextoNormal"/>
      </w:pPr>
      <w:r>
        <w:t>e) Los arts. 151.1 y 153.1 f) vulnerarían los arts. 9.3 y 14 CE, por contravenir los principios de legalidad, igualdad y no discriminación, y de forma mediata el art. 149.1.23 CE por quebrantar el principio de irreversibilidad o no regresión en la protección del medio ambiente, consagrado por la jurisprudencia de nuestro Tribunal Supremo.</w:t>
      </w:r>
    </w:p>
    <w:p w14:paraId="15382CC7" w14:textId="77777777" w:rsidR="009D7677" w:rsidRDefault="009D7677" w:rsidP="009D7677">
      <w:pPr>
        <w:pStyle w:val="TextoNormal"/>
      </w:pPr>
    </w:p>
    <w:p w14:paraId="62408E58" w14:textId="77777777" w:rsidR="009D7677" w:rsidRDefault="009D7677" w:rsidP="009D7677">
      <w:pPr>
        <w:pStyle w:val="TextoNormal"/>
      </w:pPr>
      <w:r>
        <w:t xml:space="preserve">En primer lugar, denuncian los recurrentes que el art. 151.1 LISTA menoscaba gravemente los principios de legalidad, seguridad jurídica, igualdad y no discriminación, vulnerando los arts. 9.3 y 14 CE al regular el restablecimiento de la legalidad en relación con las </w:t>
      </w:r>
      <w:r>
        <w:lastRenderedPageBreak/>
        <w:t xml:space="preserve">actuaciones realizadas en contra de la normativa urbanística aplicable en detrimento de quienes han observado, en cambio, las obligaciones legalmente vigentes. La posibilidad de contratar suministros (art. 142.2 y 3) o de realizar obras de consolidación [arts. 173.4, 174.7 y 175.2 b)], así como el establecimiento de diversos cauces para obtener las ventajas asociadas al reconocimiento de la situación de asimilado a fuera de ordenación (art. 174.3), introduce, a su juicio, medidas que fomentan la consolidación de la obra ilegal, incluso en suelo de especial protección. Sostienen, en el mismo sentido, que lesiona el art. 14 CE el régimen claramente privilegiado regulado por los arts. 151.4 </w:t>
      </w:r>
      <w:r w:rsidRPr="009D7677">
        <w:rPr>
          <w:i/>
        </w:rPr>
        <w:t>in fine</w:t>
      </w:r>
      <w:r>
        <w:t xml:space="preserve"> y 153.2 f) para el restablecimiento de la legalidad ante parcelaciones urbanísticas sin título preceptivo o contraviniéndolo, en tanto excluye de la obligada reagrupación a los infractores que hayan edificado, por lo que contravendría, además, la interdicción de la arbitrariedad de los poderes públicos que garantiza el art. 9.3 CE.</w:t>
      </w:r>
    </w:p>
    <w:p w14:paraId="157040D7" w14:textId="77777777" w:rsidR="009D7677" w:rsidRDefault="009D7677" w:rsidP="009D7677">
      <w:pPr>
        <w:pStyle w:val="TextoNormal"/>
      </w:pPr>
    </w:p>
    <w:p w14:paraId="07BDD794" w14:textId="77777777" w:rsidR="009D7677" w:rsidRDefault="009D7677" w:rsidP="009D7677">
      <w:pPr>
        <w:pStyle w:val="TextoNormal"/>
      </w:pPr>
      <w:r>
        <w:t>Entienden, en segundo lugar, que el art. 153.1 lesiona el principio de irreversibilidad o no regresión en la protección del medio ambiente, consagrado por la jurisprudencia del Tribunal Supremo, al suprimir el régimen de no prescripción para el restablecimiento de la legalidad urbanística en el suelo rústico de especial protección, sin perjuicio de los plazos que pudiera establecer, en su caso, la legislación sectorial para la adopción por el órgano sectorial competente de medidas dirigidas a la reposición de la realidad física alterada. Se suprime con ello, a su juicio, el equilibrio entre los principios de legalidad, seguridad jurídica y sostenibilidad que sancionaba el art. 185 de la ahora derogada Ley del Parlamento de Andalucía 7/2002, de 17 de diciembre, de ordenación urbanística de Andalucía.</w:t>
      </w:r>
    </w:p>
    <w:p w14:paraId="4B85CA73" w14:textId="77777777" w:rsidR="009D7677" w:rsidRDefault="009D7677" w:rsidP="009D7677">
      <w:pPr>
        <w:pStyle w:val="TextoNormal"/>
      </w:pPr>
    </w:p>
    <w:p w14:paraId="1253AE30" w14:textId="77777777" w:rsidR="009D7677" w:rsidRDefault="009D7677" w:rsidP="009D7677">
      <w:pPr>
        <w:pStyle w:val="TextoNormal"/>
      </w:pPr>
      <w:r>
        <w:t>f) La tacha de inconstitucionalidad en la que incurre la disposición adicional cuarta es la vulneración mediata del art. 149.1.23 CE, por infracción de los arts. 3, 10, 11, 12 y 13 de la Ley 3/1995, de 23 de marzo, de vías pecuarias (en adelante, LVP), así como la contravención del art. 132 CE.</w:t>
      </w:r>
    </w:p>
    <w:p w14:paraId="6303ADD3" w14:textId="77777777" w:rsidR="009D7677" w:rsidRDefault="009D7677" w:rsidP="009D7677">
      <w:pPr>
        <w:pStyle w:val="TextoNormal"/>
      </w:pPr>
    </w:p>
    <w:p w14:paraId="2F2F9149" w14:textId="77777777" w:rsidR="009D7677" w:rsidRDefault="009D7677" w:rsidP="009D7677">
      <w:pPr>
        <w:pStyle w:val="TextoNormal"/>
      </w:pPr>
      <w:r>
        <w:t>Conforme a la habilitación competencial del art. 149.1.23 CE, la LVP sanciona la naturaleza demanial de las vías pecuarias y atribuye su titularidad a las comunidades autónomas, estableciendo la legislación básica en la materia, entre otros extremos, los fines de la actuación autonómica al respecto (art. 3) o el régimen aplicable a su desafectación y modificación de trazado (arts. 10 a 13). Sostienen los diputados recurrentes que a resultas de su regulación el deber autonómico prioritario es la conservación, debiendo ser excepcionales los supuestos de desafectación, modificación de trazado u ocupación temporal.</w:t>
      </w:r>
    </w:p>
    <w:p w14:paraId="5174B4DF" w14:textId="77777777" w:rsidR="009D7677" w:rsidRDefault="009D7677" w:rsidP="009D7677">
      <w:pPr>
        <w:pStyle w:val="TextoNormal"/>
      </w:pPr>
    </w:p>
    <w:p w14:paraId="18E8D172" w14:textId="77777777" w:rsidR="009D7677" w:rsidRDefault="009D7677" w:rsidP="009D7677">
      <w:pPr>
        <w:pStyle w:val="TextoNormal"/>
      </w:pPr>
      <w:r>
        <w:t>En cuanto a los supuestos de desafectación, el art. 10 LPV la admite para los terrenos de vías pecuarias que no sean adecuados para el tránsito del ganado ni susceptibles de los usos compatibles y complementarios a que se refiere el título II de la ley. A ello se suma, además, el régimen especial dispuesto para la modificación del trazado de una vía pecuaria y, por ende, la desafectación de su trazado inicial cuando concurran razones de interés público y, excepcionalmente y de forma motivada, por interés particular (art. 11), como consecuencia de una nueva ordenación territorial (art. 12) o por la realización de obras públicas sobre terrenos de vías pecuarias (art. 13).</w:t>
      </w:r>
    </w:p>
    <w:p w14:paraId="44059841" w14:textId="77777777" w:rsidR="009D7677" w:rsidRDefault="009D7677" w:rsidP="009D7677">
      <w:pPr>
        <w:pStyle w:val="TextoNormal"/>
      </w:pPr>
    </w:p>
    <w:p w14:paraId="19D30E98" w14:textId="77777777" w:rsidR="009D7677" w:rsidRDefault="009D7677" w:rsidP="009D7677">
      <w:pPr>
        <w:pStyle w:val="TextoNormal"/>
      </w:pPr>
      <w:r>
        <w:t xml:space="preserve">Entienden los recurrentes que la disposición adicional cuarta infringe la Ley de vías pecuarias en tanto admite la desafectación implícita y la consiguiente desclasificación automática del trazado de vías pecuarias que hubieran adquirido las características de suelo </w:t>
      </w:r>
      <w:r>
        <w:lastRenderedPageBreak/>
        <w:t>urbano o transcurriesen por ámbitos identificados como hábitat rural diseminado por instrumento de ordenación urbanística general, sin atender, por tanto, a las exigencias del art. 12 LVP; en concreto, a la necesidad de habilitar un trazado alternativo que asegure con carácter previo el mantenimiento de la integridad superficial, la idoneidad de los itinerarios y la continuidad de los trazados, junto con la del tránsito ganadero, así como los demás usos compatibles y complementarios de aquel. En tal sentido, alegan que la desafectación no puede ser implícita o tácita, sino que debe hacerse previo deslinde, por lo que esta disposición adicional vulnera, a su juicio, los principios de intangibilidad de los bienes de dominio público (art. 132 CE), legalidad (art. 9.3 CE) e, incluso, de igualdad y no discriminación (art. 14 CE), al admitir la desafectación, incluso, por mera ocupación ilegal.</w:t>
      </w:r>
    </w:p>
    <w:p w14:paraId="44CB52FE" w14:textId="77777777" w:rsidR="009D7677" w:rsidRDefault="009D7677" w:rsidP="009D7677">
      <w:pPr>
        <w:pStyle w:val="TextoNormal"/>
      </w:pPr>
    </w:p>
    <w:p w14:paraId="3AE6392A" w14:textId="77777777" w:rsidR="009D7677" w:rsidRDefault="009D7677" w:rsidP="009D7677">
      <w:pPr>
        <w:pStyle w:val="TextoNormal"/>
      </w:pPr>
      <w:r>
        <w:t>g) La disposición derogatoria, apartado 2 f), vulnera el art. 149.1.23 CE en relación con los arts. 6, 9 y 17 a 28 de la Ley 21/2013, de 9 de diciembre, de evaluación ambiental (en adelante, LEA), y también el principio de interdicción de la arbitrariedad del legislador, proscrita por el art. 9.3 CE, así como el principio de no regresión ambiental que deriva del art. 45 CE.</w:t>
      </w:r>
    </w:p>
    <w:p w14:paraId="030DA8C8" w14:textId="77777777" w:rsidR="009D7677" w:rsidRDefault="009D7677" w:rsidP="009D7677">
      <w:pPr>
        <w:pStyle w:val="TextoNormal"/>
      </w:pPr>
    </w:p>
    <w:p w14:paraId="55E8F3B6" w14:textId="77777777" w:rsidR="009D7677" w:rsidRDefault="009D7677" w:rsidP="009D7677">
      <w:pPr>
        <w:pStyle w:val="TextoNormal"/>
      </w:pPr>
      <w:r>
        <w:t>Deroga, en concreto, la norma 45.4 a) del plan de ordenación del territorio de Andalucía, aprobada por el Decreto 206/2006, de 28 de noviembre, por la que era criterio básico para el análisis y la evaluación de la incidencia y coherencia de los planes generales de ordenación urbanística con el modelo de ciudad establecido en el plan, la dimensión del crecimiento propuesto, en función de parámetros objetivos, y su relación con la tendencia seguida al respecto en los últimos diez años, debiendo justificarse adecuadamente su alteración sustancial. En todo caso, sancionaba que no se admitirían con carácter general los crecimientos que supusieran incrementos de suelo urbanizable superiores al 40 por 100 del suelo urbano existente o de población superiores al 30 por 100 en ocho años, correspondiendo a los planes de ordenación del territorio de ámbito subregional determinar criterios específicos para cada ámbito.</w:t>
      </w:r>
    </w:p>
    <w:p w14:paraId="288763DE" w14:textId="77777777" w:rsidR="009D7677" w:rsidRDefault="009D7677" w:rsidP="009D7677">
      <w:pPr>
        <w:pStyle w:val="TextoNormal"/>
      </w:pPr>
    </w:p>
    <w:p w14:paraId="75F6492D" w14:textId="77777777" w:rsidR="009D7677" w:rsidRDefault="009D7677" w:rsidP="009D7677">
      <w:pPr>
        <w:pStyle w:val="TextoNormal"/>
      </w:pPr>
      <w:r>
        <w:t>Señalan los recurrentes, en primer lugar, la ausencia en la ley impugnada y en su expediente de tramitación de cualificada y expresa motivación al respecto, así como la cuestionable y deficiente técnica normativa en que incurre, a su entender, el legislador al modificar una norma de rango reglamentario y sustraer su reforma del eventual recurso ante el Tribunal Superior de Justicia, lo que incurriría en arbitrariedad proscrita por el art. 9.3 CE.</w:t>
      </w:r>
    </w:p>
    <w:p w14:paraId="49C075B9" w14:textId="77777777" w:rsidR="009D7677" w:rsidRDefault="009D7677" w:rsidP="009D7677">
      <w:pPr>
        <w:pStyle w:val="TextoNormal"/>
      </w:pPr>
    </w:p>
    <w:p w14:paraId="41EB6787" w14:textId="77777777" w:rsidR="009D7677" w:rsidRDefault="009D7677" w:rsidP="009D7677">
      <w:pPr>
        <w:pStyle w:val="TextoNormal"/>
      </w:pPr>
      <w:r>
        <w:t>Denuncian también, en segundo lugar, la contradicción mediata con el art. 149.1.23 CE en que incurre, a su juicio, la citada disposición por inaplicación de la LEA. De la legislación estatal básica resulta la sujeción obligatoria de cualquier modificación del plan de ordenación del territorio de Andalucía a evaluación ambiental estratégica, aun cuando fuera operada en virtud de una disposición de rango legal. Al no haberse operado así, pese a estar incluido en el ámbito de aplicación de la mencionada evaluación (art. 6 LEA) sin que concurra ninguno de los supuestos excluidos de evaluación ambiental (art. 8 LEA), se han incumplido las obligaciones generales enunciadas por el art. 9 LEA y, en particular, el procedimiento para la formulación de la declaración ambiental estratégica (arts. 17 a 28 LEA), por lo que la disposición, apartado derogatoria 2 f) vulnera indirectamente el art. 149.1.23 CE.</w:t>
      </w:r>
    </w:p>
    <w:p w14:paraId="44EA3432" w14:textId="77777777" w:rsidR="009D7677" w:rsidRDefault="009D7677" w:rsidP="009D7677">
      <w:pPr>
        <w:pStyle w:val="TextoNormal"/>
      </w:pPr>
    </w:p>
    <w:p w14:paraId="7A4C6EB1" w14:textId="193CA1E2" w:rsidR="009D7677" w:rsidRDefault="009D7677" w:rsidP="009D7677">
      <w:pPr>
        <w:pStyle w:val="TextoNormal"/>
      </w:pPr>
      <w:r>
        <w:lastRenderedPageBreak/>
        <w:t>Y, en tercer lugar, al eliminar del plan de ordenación del territorio de Andalucía la regla general de sostenibilidad que vetaba los crecimientos urbanísticos que supusieran incrementos de suelo urbanizable o de población superiores a determinados porcentajes, la citada disposición derogatoria infringe, en su apartado 2 f), el principio de no regresión ambiental. Sostienen los recurrentes que resulta oportuno matizar la doctrina de este Tribunal Constitucional a la luz de los cambios experimentados al efecto en nuestro ordenamiento jurídico, en particular, de la aprobación de la Ley 7/2021, de 20 de mayo, de cambio climático y transición energética y de la ratificación por España el 23 de diciembre de 2016 del Acuerdo de París hecho en París el 12 de diciembre de 2015. A su juicio, subyace a la sentencia 134/2019, de 13 de noviembre, que la relación entre el principio democrático, que rechaza la inmutabilidad del ordenamiento jurídico, y el de no regresión ambiental, que se opone a reducir el nivel de protección ambiental, no es antagónica sino complementaria, exigiendo una ponderación de intereses entre los diferentes bienes jurídicos protegidos con carácter previo a cualquier alteración de la protección ambiental existente. Así entendido, el principio de no regresión ambiental determinaría la inconstitucionalidad de la disposición derogatoria, apartado 2 f) de la ley impugnada.</w:t>
      </w:r>
    </w:p>
    <w:p w14:paraId="1A2D115C" w14:textId="77777777" w:rsidR="009D7677" w:rsidRDefault="009D7677" w:rsidP="009D7677">
      <w:pPr>
        <w:pStyle w:val="TextoNormal"/>
      </w:pPr>
    </w:p>
    <w:p w14:paraId="643F8D10" w14:textId="3FC060F7" w:rsidR="009D7677" w:rsidRDefault="009D7677" w:rsidP="009D7677">
      <w:pPr>
        <w:pStyle w:val="TextoNormal"/>
      </w:pPr>
      <w:r w:rsidRPr="009D7677">
        <w:rPr>
          <w:rStyle w:val="NumeroAFNegritaCaracter"/>
        </w:rPr>
        <w:t>2</w:t>
      </w:r>
      <w:r>
        <w:t>. Por providencia de 24 de marzo de 2022, el Pleno del Tribunal, a propuesta de la Sección Tercera, acordó admitir a trámite el presente recurso de inconstitucionalidad; dar traslado de la demanda y documentos presentados, conforme establece el art. 34 de la Ley Orgánica del Tribunal Constitucional (en adelante, LOTC), al Congreso de los Diputados y al Senado, por conducto de sus presidentes, y al Gobierno, a través de la ministra de Justicia, así como al Parlamento de Andalucía y al Consejo de Gobierno de Andalucía, por conducto de sus presidentes, al objeto de que, en el plazo de quince días, pudieran personarse en el proceso y formular las alegaciones que estimaran convenientes. Finalmente, se acordó publicar la incoación del recurso en el “Boletín Oficial del Estado” y en el “Boletín Oficial de la Junta de Andalucía”.</w:t>
      </w:r>
    </w:p>
    <w:p w14:paraId="15307BC9" w14:textId="77777777" w:rsidR="009D7677" w:rsidRDefault="009D7677" w:rsidP="009D7677">
      <w:pPr>
        <w:pStyle w:val="TextoNormal"/>
      </w:pPr>
    </w:p>
    <w:p w14:paraId="0B574D2B" w14:textId="1931EA08" w:rsidR="009D7677" w:rsidRDefault="009D7677" w:rsidP="009D7677">
      <w:pPr>
        <w:pStyle w:val="TextoNormal"/>
      </w:pPr>
      <w:r w:rsidRPr="009D7677">
        <w:rPr>
          <w:rStyle w:val="NumeroAFNegritaCaracter"/>
        </w:rPr>
        <w:t>3</w:t>
      </w:r>
      <w:r>
        <w:t>. Por escrito registrado en este tribunal el 4 de abril de 2022, la presidenta del Congreso de los Diputados comunicó que la mesa de la Cámara había acordado personarse en este procedimiento y ofrecer su colaboración a los efectos del art. 88.1 LOTC. A su vez, el presidente del Senado interesó, por escrito registrado el 7 de abril de 2022, que se tuviera por personada a dicha Cámara en este procedimiento y por ofrecida su colaboración a los efectos del art. 88.1 LOTC.</w:t>
      </w:r>
    </w:p>
    <w:p w14:paraId="36D46E0F" w14:textId="77777777" w:rsidR="009D7677" w:rsidRDefault="009D7677" w:rsidP="009D7677">
      <w:pPr>
        <w:pStyle w:val="TextoNormal"/>
      </w:pPr>
    </w:p>
    <w:p w14:paraId="2113BE04" w14:textId="1296941B" w:rsidR="009D7677" w:rsidRDefault="009D7677" w:rsidP="009D7677">
      <w:pPr>
        <w:pStyle w:val="TextoNormal"/>
      </w:pPr>
      <w:r w:rsidRPr="009D7677">
        <w:rPr>
          <w:rStyle w:val="NumeroAFNegritaCaracter"/>
        </w:rPr>
        <w:t>4</w:t>
      </w:r>
      <w:r>
        <w:t>. Mediante escrito registrado en el Tribunal el 7 de abril de 2022, el letrado de la Junta de Andalucía, en la representación que ostenta, solicitó que se tuviera por personada en el presente recurso a la Junta de Andalucía y se acordara ampliar el plazo para formular alegaciones. El Pleno acordó, mediante diligencia de ordenación de 8 de abril de 2022, dar por personado al letrado en nombre del Consejo de Gobierno de Andalucía y prorrogarle en ocho días el plazo concedido por providencia de 24 de marzo de 2022.</w:t>
      </w:r>
    </w:p>
    <w:p w14:paraId="1B1F638A" w14:textId="77777777" w:rsidR="009D7677" w:rsidRDefault="009D7677" w:rsidP="009D7677">
      <w:pPr>
        <w:pStyle w:val="TextoNormal"/>
      </w:pPr>
    </w:p>
    <w:p w14:paraId="42BEC3CE" w14:textId="31F43313" w:rsidR="009D7677" w:rsidRDefault="009D7677" w:rsidP="009D7677">
      <w:pPr>
        <w:pStyle w:val="TextoNormal"/>
      </w:pPr>
      <w:r w:rsidRPr="009D7677">
        <w:rPr>
          <w:rStyle w:val="NumeroAFNegritaCaracter"/>
        </w:rPr>
        <w:t>5</w:t>
      </w:r>
      <w:r>
        <w:t>. El abogado del Estado, en la representación que legalmente ostenta, por escrito registrado en este tribunal el 19 de abril de 2022, manifestó que se personaba en el presente procedimiento sin formular alegaciones, a los efectos exclusivamente de que en su día se le notificasen las resoluciones que en él se dictaran.</w:t>
      </w:r>
    </w:p>
    <w:p w14:paraId="4F846F8C" w14:textId="77777777" w:rsidR="009D7677" w:rsidRDefault="009D7677" w:rsidP="009D7677">
      <w:pPr>
        <w:pStyle w:val="TextoNormal"/>
      </w:pPr>
    </w:p>
    <w:p w14:paraId="0050EFAE" w14:textId="0797A988" w:rsidR="009D7677" w:rsidRDefault="009D7677" w:rsidP="009D7677">
      <w:pPr>
        <w:pStyle w:val="TextoNormal"/>
      </w:pPr>
      <w:r w:rsidRPr="009D7677">
        <w:rPr>
          <w:rStyle w:val="NumeroAFNegritaCaracter"/>
        </w:rPr>
        <w:lastRenderedPageBreak/>
        <w:t>6</w:t>
      </w:r>
      <w:r>
        <w:t>. Mediante escrito registrado en el Tribunal el 20 de abril de 2022, el letrado del Parlamento de Andalucía solicitó que se tuviera por personada a la Cámara y se acordara ampliar el plazo para formular alegaciones. El Pleno acordó, mediante diligencia de ordenación de 21 de abril de 2022, dar por personado al letrado en nombre del Parlamento de Andalucía y prorrogarle en ocho días el plazo concedido por providencia de 24 de marzo de 2022.</w:t>
      </w:r>
    </w:p>
    <w:p w14:paraId="66200C75" w14:textId="77777777" w:rsidR="009D7677" w:rsidRDefault="009D7677" w:rsidP="009D7677">
      <w:pPr>
        <w:pStyle w:val="TextoNormal"/>
      </w:pPr>
    </w:p>
    <w:p w14:paraId="7444AC80" w14:textId="77777777" w:rsidR="009D7677" w:rsidRDefault="009D7677" w:rsidP="009D7677">
      <w:pPr>
        <w:pStyle w:val="TextoNormal"/>
      </w:pPr>
      <w:r w:rsidRPr="009D7677">
        <w:rPr>
          <w:rStyle w:val="NumeroAFNegritaCaracter"/>
        </w:rPr>
        <w:t>7</w:t>
      </w:r>
      <w:r>
        <w:t>. El escrito de alegaciones del letrado de la Junta de Andalucía tuvo su entrada en el registro general del Tribunal el 3 de mayo de 2022. En él se postula la inadmisión del recurso de inconstitucionalidad y, subsidiariamente, su desestimación total, por ser los preceptos impugnados conformes al orden constitucional de distribución de competencias, y caber en todos los casos una interpretación conforme a la Constitución.</w:t>
      </w:r>
    </w:p>
    <w:p w14:paraId="0D34B17C" w14:textId="77777777" w:rsidR="009D7677" w:rsidRDefault="009D7677" w:rsidP="009D7677">
      <w:pPr>
        <w:pStyle w:val="TextoNormal"/>
      </w:pPr>
    </w:p>
    <w:p w14:paraId="1943B49E" w14:textId="77777777" w:rsidR="009D7677" w:rsidRDefault="009D7677" w:rsidP="009D7677">
      <w:pPr>
        <w:pStyle w:val="TextoNormal"/>
      </w:pPr>
      <w:r>
        <w:t>El letrado de la Junta de Andalucía aborda, con carácter previo, el objeto del recurso y realiza algunas consideraciones sobre el incumplimiento por los recurrentes de la llamada carga argumentativa de la supuesta inconstitucionalidad que denuncian (A), para estructurar después sus alegaciones en ocho apartados, relativos, en primer lugar, a la pretendida inconstitucionalidad de la Ley por ser asimismo contrario a la Constitución el acuerdo de la mesa del Parlamento de Andalucía de 23 de junio de 2021 que acordó la tramitación por el procedimiento de urgencia del proyecto de ley (B) y, en segundo lugar, al análisis pormenorizado de cada uno de los motivos de impugnación (C).</w:t>
      </w:r>
    </w:p>
    <w:p w14:paraId="7D582408" w14:textId="77777777" w:rsidR="009D7677" w:rsidRDefault="009D7677" w:rsidP="009D7677">
      <w:pPr>
        <w:pStyle w:val="TextoNormal"/>
      </w:pPr>
    </w:p>
    <w:p w14:paraId="3A3AD4D1" w14:textId="77777777" w:rsidR="009D7677" w:rsidRDefault="009D7677" w:rsidP="009D7677">
      <w:pPr>
        <w:pStyle w:val="TextoNormal"/>
      </w:pPr>
      <w:r>
        <w:t>A) El representante del Gobierno andaluz inicia su escrito poniendo de manifiesto el escaso esfuerzo realizado por los recurrentes para cumplir con su carga argumentativa específica, lo que haría imposible, conforme a la doctrina constitucional, cualquier hipotética consideración acerca de los vicios que se imputan a los preceptos afectados.</w:t>
      </w:r>
    </w:p>
    <w:p w14:paraId="597A98D3" w14:textId="77777777" w:rsidR="009D7677" w:rsidRDefault="009D7677" w:rsidP="009D7677">
      <w:pPr>
        <w:pStyle w:val="TextoNormal"/>
      </w:pPr>
    </w:p>
    <w:p w14:paraId="2EA4595E" w14:textId="77777777" w:rsidR="009D7677" w:rsidRDefault="009D7677" w:rsidP="009D7677">
      <w:pPr>
        <w:pStyle w:val="TextoNormal"/>
      </w:pPr>
      <w:r>
        <w:t>Recuerda el letrado la pretensión principal de los diputados recurrentes de declarar la ley inconstitucional y, en consecuencia, nula en su totalidad por considerar asimismo contrario a la Constitución el acuerdo de la mesa del Parlamento de Andalucía de 23 de junio de 2021 que acordó la tramitación del entonces proyecto de ley por el procedimiento de urgencia conforme a los arts. 98 y 99 RPA así como su pretensión subsidiaria de declarar la inconstitucionalidad y consiguiente nulidad de sus arts. 19.1 a); 21.1 y 2 b); 22.1 y 2; 50; 53; 137.2 f); 151.1; 153.1 f); la disposición adicional cuarta; y la disposición derogatoria, apartado 2 f).</w:t>
      </w:r>
    </w:p>
    <w:p w14:paraId="4AB3C371" w14:textId="77777777" w:rsidR="009D7677" w:rsidRDefault="009D7677" w:rsidP="009D7677">
      <w:pPr>
        <w:pStyle w:val="TextoNormal"/>
      </w:pPr>
    </w:p>
    <w:p w14:paraId="06166AC4" w14:textId="77777777" w:rsidR="009D7677" w:rsidRDefault="009D7677" w:rsidP="009D7677">
      <w:pPr>
        <w:pStyle w:val="TextoNormal"/>
      </w:pPr>
      <w:r>
        <w:t xml:space="preserve">Destaca la representación procesal del Gobierno andaluz, que para intentar fundar esta última causa de inconstitucionalidad los recurrentes aducen la vulneración de principios constitucionales como los de autonomía local, seguridad jurídica, dignidad de la persona, igualdad o interdicción de la arbitrariedad del legislador o el desconocimiento de preceptos de carácter básico, elevando en ocasiones a la categoría de canon de constitucionalidad lo que manifiestamente no tiene tal carácter. Así ocurre, a su juicio, con las propias preferencias técnicas o ideológicas de los diputados recurrentes, el supuesto espíritu inmanente invocado respecto a una ley básica y no expresado, sin embargo, en concretos preceptos o el conocido como principio de no regresión ambiental. Sostiene que otras veces el reproche de inconstitucionalidad se queda en la mera mención del precepto o de la legislación básica vulnerada o en la cita de la jurisprudencia constitucional incumplida. Y termina recordando que, conforme a la doctrina de este Tribunal Constitucional, constituye una </w:t>
      </w:r>
      <w:r>
        <w:lastRenderedPageBreak/>
        <w:t>carga de los recurrentes que impugnan la norma no solo abrir la vía dirigida a su expulsión del ordenamiento jurídico, sino también colaborar con la justicia del Tribunal mediante un pormenorizado análisis de las cuestiones que se suscitan, faltándose a la diligencia procesalmente requerida si no se atiende esta exigencia.</w:t>
      </w:r>
    </w:p>
    <w:p w14:paraId="236F37F1" w14:textId="77777777" w:rsidR="009D7677" w:rsidRDefault="009D7677" w:rsidP="009D7677">
      <w:pPr>
        <w:pStyle w:val="TextoNormal"/>
      </w:pPr>
    </w:p>
    <w:p w14:paraId="32F3AB5D" w14:textId="77777777" w:rsidR="009D7677" w:rsidRDefault="009D7677" w:rsidP="009D7677">
      <w:pPr>
        <w:pStyle w:val="TextoNormal"/>
      </w:pPr>
      <w:r>
        <w:t>B) Se refiere a continuación la representación procesal del Gobierno andaluz a la pretendida inconstitucionalidad de la ley por la contradicción con la Constitución del acuerdo de la mesa del Parlamento de Andalucía de 23 de junio de 2021, que acordó la tramitación por el procedimiento de urgencia del proyecto de ley, por su supuesta vulneración de los arts. 1.1 y 23.2 CE, 108 EAAnd y 98 y 99 RPA al afectar al ejercicio efectivo del derecho a la participación política por la falta de presupuesto de hecho habilitante para optar por tal procedimiento excepcional, para subrayar (a) la inadecuación del recurso de inconstitucionalidad para plantear la alegación de los recurrentes y su falta de legitimación para hacer valer su pretensión, así como, con carácter subsidiario, (b) la inexistencia de la vulneración aducida.</w:t>
      </w:r>
    </w:p>
    <w:p w14:paraId="67CD84BD" w14:textId="77777777" w:rsidR="009D7677" w:rsidRDefault="009D7677" w:rsidP="009D7677">
      <w:pPr>
        <w:pStyle w:val="TextoNormal"/>
      </w:pPr>
    </w:p>
    <w:p w14:paraId="0B619464" w14:textId="77777777" w:rsidR="009D7677" w:rsidRDefault="009D7677" w:rsidP="009D7677">
      <w:pPr>
        <w:pStyle w:val="TextoNormal"/>
      </w:pPr>
      <w:r>
        <w:t>a) En relación con la inadecuación del recurso de inconstitucionalidad, el letrado mantiene que, en realidad, la demanda cuestiona en este punto la constitucionalidad del acuerdo parlamentario, no de la ley impugnada, sin que figure en el suplico de la demanda la pretensión de declaración de inconstitucionalidad del citado acuerdo, por lo que solicita que se acuerde, respecto de este motivo concreto, la inadmisión o, con carácter subsidiario, la desestimación de la pretensión de los recurrentes.</w:t>
      </w:r>
    </w:p>
    <w:p w14:paraId="74DF0579" w14:textId="77777777" w:rsidR="009D7677" w:rsidRDefault="009D7677" w:rsidP="009D7677">
      <w:pPr>
        <w:pStyle w:val="TextoNormal"/>
      </w:pPr>
    </w:p>
    <w:p w14:paraId="50B822FA" w14:textId="77777777" w:rsidR="009D7677" w:rsidRDefault="009D7677" w:rsidP="009D7677">
      <w:pPr>
        <w:pStyle w:val="TextoNormal"/>
      </w:pPr>
      <w:r>
        <w:t>Hace hincapié, asimismo, en la falta de legitimación activa y pasiva de los recurrentes para cuestionar resoluciones del Parlamento autonómico en tanto no son diputados andaluces. Subraya a tal efecto que, en cuanto a los derechos de los parlamentarios y conforme a la doctrina de este tribunal, el cauce para su control de constitucionalidad es el recurso de amparo, siendo así, además, que los diputados recurrentes fundan su pretensión de inconstitucionalidad en la vulneración del derecho fundamental a la participación política de los diputados del Parlamento de Andalucía sin ser titulares de este. Solicita por ello, en primer lugar, la inadmisión del recurso de inconstitucionalidad planteado y, subsidiariamente, su desestimación en este punto por inadecuación del procedimiento y falta de legitimación activa de los diputados del Congreso recurrentes.</w:t>
      </w:r>
    </w:p>
    <w:p w14:paraId="263E8CF2" w14:textId="77777777" w:rsidR="009D7677" w:rsidRDefault="009D7677" w:rsidP="009D7677">
      <w:pPr>
        <w:pStyle w:val="TextoNormal"/>
      </w:pPr>
    </w:p>
    <w:p w14:paraId="0256DA91" w14:textId="77777777" w:rsidR="009D7677" w:rsidRDefault="009D7677" w:rsidP="009D7677">
      <w:pPr>
        <w:pStyle w:val="TextoNormal"/>
      </w:pPr>
      <w:r>
        <w:t>b) Subsidiariamente, defiende la inexistencia de inconstitucionalidad del citado acuerdo de la mesa del Parlamento de Andalucía y, por ende, de la ley impugnada, por inexistencia de la vulneración aducida. Alega, en primer lugar, el incumplimiento manifiesto de la carga alegatoria de los recurrentes en relación con la eventual vulneración denunciada de los arts. 1.1 CE, 108 EAAnd y 110 y concordantes RPA, que tan solo se enuncian en la demanda, extendiéndola, por lo demás, a los arts. 98 y 99 RPA, en tanto se denuncia el incumplimiento de requisitos que no cabe inferir ni de los citados preceptos ni del resto del bloque de la constitucionalidad.</w:t>
      </w:r>
    </w:p>
    <w:p w14:paraId="2E50C6BD" w14:textId="77777777" w:rsidR="009D7677" w:rsidRDefault="009D7677" w:rsidP="009D7677">
      <w:pPr>
        <w:pStyle w:val="TextoNormal"/>
      </w:pPr>
    </w:p>
    <w:p w14:paraId="0D4336E4" w14:textId="77777777" w:rsidR="009D7677" w:rsidRDefault="009D7677" w:rsidP="009D7677">
      <w:pPr>
        <w:pStyle w:val="TextoNormal"/>
      </w:pPr>
      <w:r>
        <w:t xml:space="preserve">De un lado, la demanda parte, para el letrado, de la premisa errónea de que el procedimiento previo de tramitación del anteproyecto de ley forma parte del procedimiento legislativo de tramitación del proyecto de ley, siendo así que este último tiene su propia sustantividad y se inicia con el acuerdo de la mesa del Parlamento de Andalucía de admisión a trámite de la iniciativa, cuyos hipotéticos vicios tienen trascendencia constitucional de </w:t>
      </w:r>
      <w:r>
        <w:lastRenderedPageBreak/>
        <w:t>forma excepcional. De otro, ignora que la decisión de la mesa de tramitar un proyecto de ley por el procedimiento de urgencia es, conforme a la doctrina constitucional, una decisión de mera oportunidad política que no priva al Parlamento ni a sus integrantes del ejercicio de su función legislativa y que no resulta, por tanto, revisable en instancia constitucional, sin que la declaración de inconstitucionalidad pueda realizarse, por lo demás, en función de la técnica legislativa utilizada o de la calidad técnica de la norma impugnada, sino tan solo con arreglo a criterios estrictamente jurídicos.</w:t>
      </w:r>
    </w:p>
    <w:p w14:paraId="42E48BF0" w14:textId="77777777" w:rsidR="009D7677" w:rsidRDefault="009D7677" w:rsidP="009D7677">
      <w:pPr>
        <w:pStyle w:val="TextoNormal"/>
      </w:pPr>
    </w:p>
    <w:p w14:paraId="316C9C5E" w14:textId="77777777" w:rsidR="009D7677" w:rsidRDefault="009D7677" w:rsidP="009D7677">
      <w:pPr>
        <w:pStyle w:val="TextoNormal"/>
      </w:pPr>
      <w:r>
        <w:t>C) El examen de los motivos de impugnación se realiza, por parte del letrado del Gobierno de Andalucía, siguiendo el mismo orden de la demanda.</w:t>
      </w:r>
    </w:p>
    <w:p w14:paraId="55D97FB8" w14:textId="77777777" w:rsidR="009D7677" w:rsidRDefault="009D7677" w:rsidP="009D7677">
      <w:pPr>
        <w:pStyle w:val="TextoNormal"/>
      </w:pPr>
    </w:p>
    <w:p w14:paraId="06E41E3F" w14:textId="77777777" w:rsidR="009D7677" w:rsidRDefault="009D7677" w:rsidP="009D7677">
      <w:pPr>
        <w:pStyle w:val="TextoNormal"/>
      </w:pPr>
      <w:r>
        <w:t>a) Los recurrentes no han cumplido con la carga argumentativa correspondiente respecto a la posible inconstitucionalidad del art. 19.1 a) LISTA por contravenir la legislación básica, en tanto la remiten a la argumentación realizada en relación con la impugnación de otro precepto de la misma ley.</w:t>
      </w:r>
    </w:p>
    <w:p w14:paraId="73BEE0ED" w14:textId="77777777" w:rsidR="009D7677" w:rsidRDefault="009D7677" w:rsidP="009D7677">
      <w:pPr>
        <w:pStyle w:val="TextoNormal"/>
      </w:pPr>
    </w:p>
    <w:p w14:paraId="592D475D" w14:textId="77777777" w:rsidR="009D7677" w:rsidRDefault="009D7677" w:rsidP="009D7677">
      <w:pPr>
        <w:pStyle w:val="TextoNormal"/>
      </w:pPr>
      <w:r>
        <w:t>Respecto a la eventual vulneración de la autonomía local constitucionalmente garantizada, recuerdan la atribución de la competencia en materia de urbanismo a la Comunidad Autónoma de Andalucía con carácter exclusivo, sin perjuicio de la afección derivada del ejercicio de las competencias estatales, así como su calificación como competencia municipal propia al amparo del art. 25.2 LBRL. Corresponde a la legislación autonómica determinar el ámbito competencial municipal en la materia, vinculado al contenido esencial de la autonomía local e idóneo, en todo caso, para la gestión del interés local, optando la comunidad autónoma andaluza en la LISTA por otorgar a los municipios un margen muy amplio de conformación en materia urbanística sobre la base de su doble habilitación competencial; de un lado, exclusiva en materia de urbanismo y, de otro, para el desarrollo de la legislación básica estatal en materia local. Tampoco cabe apreciar infracción del principio constitucional de seguridad jurídica, en tanto el art. 19.1 a) LISTA no genera confusión, duda o incertidumbre insuperable en su comprensión y aplicación.</w:t>
      </w:r>
    </w:p>
    <w:p w14:paraId="57D5F97F" w14:textId="77777777" w:rsidR="009D7677" w:rsidRDefault="009D7677" w:rsidP="009D7677">
      <w:pPr>
        <w:pStyle w:val="TextoNormal"/>
      </w:pPr>
    </w:p>
    <w:p w14:paraId="64E8D2ED" w14:textId="77777777" w:rsidR="009D7677" w:rsidRDefault="009D7677" w:rsidP="009D7677">
      <w:pPr>
        <w:pStyle w:val="TextoNormal"/>
      </w:pPr>
      <w:r>
        <w:t xml:space="preserve">b) El art. 21.1 es susceptible, en opinión del letrado del Gobierno andaluz, de una interpretación que permita su encaje constitucional. El precepto impugnado incluye las actividades mineras y las vinculadas a las energías renovables entre los usos ordinarios del suelo rústico siempre que queden condicionadas a la utilización racional de los recursos naturales y que no supongan transformación de su naturaleza rústica. No habría, por tanto, contravención del art. 13.1 TRLSRU que no establece un </w:t>
      </w:r>
      <w:r w:rsidRPr="009D7677">
        <w:rPr>
          <w:i/>
        </w:rPr>
        <w:t>numerus clausus</w:t>
      </w:r>
      <w:r>
        <w:t xml:space="preserve"> de usos permitidos en el suelo en situación rural, sino que añade a los usos agrícola, ganadero, forestal y cinegético, cualquier otro vinculado a la utilización racional de los recursos naturales, correspondiendo al legislador urbanístico autonómico concretar los usos posibles en este tipo de suelo, así como su consideración como ordinarios o no, con respeto a los parámetros de vinculación o excepcionalidad fijados por el legislador básico estatal. La protección de las subcategorías de suelo rústico sujetas a especial protección o preservación se completa, en todo caso, con el art. 19.3 de la Ley que supedita los derechos reconocidos sobre este tipo de suelos “a la defensa y mantenimiento de los valores, fines y objetivos que motivaron su protección o preservación conforme al régimen que se establezca en la legislación y ordenación sectorial, territorial y urbanística correspondiente”. Por lo que se refiere, en concreto, a los usos vinculados con las energías renovables la Ley se atiene, además, a las exi</w:t>
      </w:r>
      <w:r>
        <w:lastRenderedPageBreak/>
        <w:t>gencias y objetivos establecidos por la normativa europea y nacional en materia de cambio climático.</w:t>
      </w:r>
    </w:p>
    <w:p w14:paraId="76394A6A" w14:textId="77777777" w:rsidR="009D7677" w:rsidRDefault="009D7677" w:rsidP="009D7677">
      <w:pPr>
        <w:pStyle w:val="TextoNormal"/>
      </w:pPr>
    </w:p>
    <w:p w14:paraId="6CF9DA5D" w14:textId="77777777" w:rsidR="009D7677" w:rsidRDefault="009D7677" w:rsidP="009D7677">
      <w:pPr>
        <w:pStyle w:val="TextoNormal"/>
      </w:pPr>
      <w:r>
        <w:t xml:space="preserve">c) En relación con la impugnación del art. 21.2 b), entiende la representación procesal del Gobierno andaluz que no cumplen los recurrentes con la carga argumentativa que les incumbe, por lo que debe desestimarse el recurso de inconstitucionalidad en este punto, en particular, por no aportar término de comparación que permita comprobar la aducida vulneración del principio de igualdad en aplicación de la ley y porque se debe descartar, a la vista de los arts. 6.2 a); 19.1 y 3; y 20 a) y b) LISTA, que la implantación de las viviendas permitidas por el precepto suponga la urbanización </w:t>
      </w:r>
      <w:r w:rsidRPr="009D7677">
        <w:rPr>
          <w:i/>
        </w:rPr>
        <w:t>de facto</w:t>
      </w:r>
      <w:r>
        <w:t xml:space="preserve"> del suelo rústico.</w:t>
      </w:r>
    </w:p>
    <w:p w14:paraId="1AD0EF7E" w14:textId="77777777" w:rsidR="009D7677" w:rsidRDefault="009D7677" w:rsidP="009D7677">
      <w:pPr>
        <w:pStyle w:val="TextoNormal"/>
      </w:pPr>
    </w:p>
    <w:p w14:paraId="77AFEB5E" w14:textId="77777777" w:rsidR="009D7677" w:rsidRDefault="009D7677" w:rsidP="009D7677">
      <w:pPr>
        <w:pStyle w:val="TextoNormal"/>
      </w:pPr>
      <w:r>
        <w:t xml:space="preserve">d) Remitiéndose a los argumentos que permiten afirmar la plena constitucionalidad del art. 19.1 a) de la Ley, el letrado del Gobierno de Andalucía sostiene que el art. 22.1, que habilita a los municipios para prohibir expresamente ciertos usos y actuaciones extraordinarias de interés público o social, asegura el ejercicio de competencias municipales relevantes y reconocibles en materia urbanística, quedando asegurada la autonomía local. Tampoco resulta contrario, por otra parte, al art. 13.1 TRLSRU, en tanto este no establece un </w:t>
      </w:r>
      <w:r w:rsidRPr="009D7677">
        <w:rPr>
          <w:i/>
        </w:rPr>
        <w:t>numerus clausus</w:t>
      </w:r>
      <w:r>
        <w:t xml:space="preserve"> de usos posibles en suelo rústico, sin que se haya argumentado la contradicción alegada con el art. 9.3 CE y sin que pueda afirmarse, en modo alguno, la pretensión de los recurrentes de que el legislador andaluz deba verse vinculado por lo establecido en la ley anterior.</w:t>
      </w:r>
    </w:p>
    <w:p w14:paraId="2510AF42" w14:textId="77777777" w:rsidR="009D7677" w:rsidRDefault="009D7677" w:rsidP="009D7677">
      <w:pPr>
        <w:pStyle w:val="TextoNormal"/>
      </w:pPr>
    </w:p>
    <w:p w14:paraId="45CC3B05" w14:textId="77777777" w:rsidR="009D7677" w:rsidRDefault="009D7677" w:rsidP="009D7677">
      <w:pPr>
        <w:pStyle w:val="TextoNormal"/>
      </w:pPr>
      <w:r>
        <w:t>e) Tampoco se cumple con la carga de argumentación exigible respecto de la inconstitucionalidad que se denuncia del art. 22.2 de la Ley por no respetar la autonomía local y el principio de seguridad jurídica, así como vulnerar el art. 13.1 TRLSRU. En todo caso, si se atiende al art. 22.3 de la Ley todas las actuaciones extraordinarias sobre suelo rústico requieren, para ser legitimadas, de autorización municipal previa a la licencia municipal, quedando garantizada la autonomía local. Las cautelas dispuestas por la ley impugnada para la implantación de actuaciones extraordinarias en suelo rústico protegido o preservado resultan acordes al art. 13.1 TRLSRU, por lo que su art. 22.2 se ajusta plenamente a la Constitución.</w:t>
      </w:r>
    </w:p>
    <w:p w14:paraId="0DB8C694" w14:textId="77777777" w:rsidR="009D7677" w:rsidRDefault="009D7677" w:rsidP="009D7677">
      <w:pPr>
        <w:pStyle w:val="TextoNormal"/>
      </w:pPr>
    </w:p>
    <w:p w14:paraId="05C1681D" w14:textId="77777777" w:rsidR="009D7677" w:rsidRDefault="009D7677" w:rsidP="009D7677">
      <w:pPr>
        <w:pStyle w:val="TextoNormal"/>
      </w:pPr>
      <w:r>
        <w:t xml:space="preserve">f) El art. 50 LISTA establece, a su vez, tres categorías acotadas en cuanto a los proyectos y actuaciones susceptibles de declaración de interés autonómico. En primer lugar, las actuaciones de carácter público contempladas en los planes de ordenación del territorio o en los planes con incidencia territorial. En segundo, las actividades de intervención singular de carácter público con incidencia supralocal, recogidas con carácter de </w:t>
      </w:r>
      <w:r w:rsidRPr="009D7677">
        <w:rPr>
          <w:i/>
        </w:rPr>
        <w:t>numerus clausus</w:t>
      </w:r>
      <w:r>
        <w:t xml:space="preserve"> en el art. 2.1 </w:t>
      </w:r>
      <w:r w:rsidRPr="009D7677">
        <w:rPr>
          <w:i/>
        </w:rPr>
        <w:t>in fine</w:t>
      </w:r>
      <w:r>
        <w:t xml:space="preserve"> de la Ley. Y, por último, las inversiones empresariales declaradas de interés estratégico para Andalucía por acuerdo de la Comisión Delegada de Asuntos Económicos. La concreción de los supuestos en que puede proceder la citada declaración de interés autonómico excluye, en opinión del letrado del Gobierno andaluz, cualquier vicio de inconstitucionalidad al distanciarse el art. 50 LISTA del carácter abierto e indeterminado del inciso del art. 123.4 de la Ley del Parlamento de Canarias 4/2017, de 13 de julio, del suelo y de los espacios naturales protegidos de Canarias, declarado inconstitucional por la STC 86/2019, de 20 de junio.</w:t>
      </w:r>
    </w:p>
    <w:p w14:paraId="5FD71B2E" w14:textId="77777777" w:rsidR="009D7677" w:rsidRDefault="009D7677" w:rsidP="009D7677">
      <w:pPr>
        <w:pStyle w:val="TextoNormal"/>
      </w:pPr>
    </w:p>
    <w:p w14:paraId="6F46FCC1" w14:textId="77777777" w:rsidR="009D7677" w:rsidRDefault="009D7677" w:rsidP="009D7677">
      <w:pPr>
        <w:pStyle w:val="TextoNormal"/>
      </w:pPr>
      <w:r>
        <w:t xml:space="preserve">g) Respecto al art. 53 LISTA se afirma que los recurrentes se limitan a poner de manifiesto su desacuerdo con la redacción definitiva del precepto por no poner de manifiesto el </w:t>
      </w:r>
      <w:r>
        <w:lastRenderedPageBreak/>
        <w:t>carácter excepcional de la facultad autonómica de suspensión cautelar de las modificaciones de los instrumentos de ordenación urbanística. Habida cuenta de la competencia autonómica exclusiva en materia de ordenación del territorio y de su interés supralocal, no cabe colegir vicio de inconstitucionalidad o vulneración alguna de la autonomía local por la posible suspensión, de entre las innovaciones del planeamiento urbanístico, de aquellas que tengan incidencia o interés supralocal habida cuenta, además, de la audiencia municipal previa dispuesta al efecto por la Ley.</w:t>
      </w:r>
    </w:p>
    <w:p w14:paraId="7B3AE328" w14:textId="77777777" w:rsidR="009D7677" w:rsidRDefault="009D7677" w:rsidP="009D7677">
      <w:pPr>
        <w:pStyle w:val="TextoNormal"/>
      </w:pPr>
    </w:p>
    <w:p w14:paraId="18EF927B" w14:textId="77777777" w:rsidR="009D7677" w:rsidRDefault="009D7677" w:rsidP="009D7677">
      <w:pPr>
        <w:pStyle w:val="TextoNormal"/>
      </w:pPr>
      <w:r>
        <w:t>h) Entiende el letrado del Gobierno andaluz que tampoco cumplen los recurrentes con la carga argumentativa que les corresponde en relación con la impugnación del art. 137.2 f) en tanto no concretan, de un lado, la contradicción que aprecian con la legislación estatal básica en materia de medio ambiente que contiene el TRLSRU, sin identificar los preceptos específicos de este último que estiman vulnerados, y parten, en todo caso, de un error interpretativo, de otro lado, respecto al alcance del precepto en relación con la intervención municipal. El tenor literal del art. 137.2 f) excluye de previa licencia urbanística municipal los usos mineros exclusivamente en los supuestos en que no supongan la transformación de la naturaleza rústica del suelo ni impliquen la realización de construcciones, edificaciones e instalaciones. Correlativamente, tanto los movimientos de tierra que provoque la actividad minera, en tanto tienen naturaleza de obras en suelo y subsuelo, como las construcciones, edificaciones e instalaciones que pudiera aparejar se encuentran sujetas a licencia previa municipal, garantizándose, además, la autonomía local en relación con los usos excluidos de la citada licencia por la participación municipal en el procedimiento de autorización ambiental unificada a que queda necesariamente sujeta la actividad minera en virtud de la Ley del Parlamento de Andalucía 7/2007, de 9 de julio, de gestión integrada de la calidad ambiental.</w:t>
      </w:r>
    </w:p>
    <w:p w14:paraId="749FBA95" w14:textId="77777777" w:rsidR="009D7677" w:rsidRDefault="009D7677" w:rsidP="009D7677">
      <w:pPr>
        <w:pStyle w:val="TextoNormal"/>
      </w:pPr>
    </w:p>
    <w:p w14:paraId="36EC2E9E" w14:textId="77777777" w:rsidR="009D7677" w:rsidRDefault="009D7677" w:rsidP="009D7677">
      <w:pPr>
        <w:pStyle w:val="TextoNormal"/>
      </w:pPr>
      <w:r>
        <w:t>i) Atribuye, asimismo, la representación procesal del Gobierno andaluz a una errónea interpretación los reparos a la constitucionalidad del art. 151.1 LISTA esgrimidos por los recurrentes, en tanto una lectura atenta permite concluir que si la actuación que carece de título o contraviene los términos del otorgado al efecto resulta conforme con la ordenación territorial y urbanística se acordará por la administración su legalización, imponiéndose, en cambio, si no fuera así, las medidas previstas por el mismo precepto en su apartado 3 para adecuar la realidad a la ordenación territorial y urbanística. Alega, además, la ausencia de esfuerzo argumental de la demanda para razonar adecuadamente la vulneración de los principios de legalidad, igualdad y no discriminación, sin aclarar por qué habría de tomarse como término de una hipotética comparación a quienes hayan cumplido con sus obligaciones urbanísticas.</w:t>
      </w:r>
    </w:p>
    <w:p w14:paraId="32DC5E0F" w14:textId="77777777" w:rsidR="009D7677" w:rsidRDefault="009D7677" w:rsidP="009D7677">
      <w:pPr>
        <w:pStyle w:val="TextoNormal"/>
      </w:pPr>
    </w:p>
    <w:p w14:paraId="593C65E2" w14:textId="77777777" w:rsidR="009D7677" w:rsidRDefault="009D7677" w:rsidP="009D7677">
      <w:pPr>
        <w:pStyle w:val="TextoNormal"/>
      </w:pPr>
      <w:r>
        <w:t xml:space="preserve">j) Los recurrentes denuncian en su demanda el tratamiento inconstitucional de las actuaciones ilegales prescritas y desarrollan al efecto una crítica de diversos preceptos de la Ley, en concreto, los arts. 142.2 y 3; 173.4; 174.3 y 7; y 175.2 b), a los que suman, finalmente, los arts. 151.4 </w:t>
      </w:r>
      <w:r w:rsidRPr="009D7677">
        <w:rPr>
          <w:i/>
        </w:rPr>
        <w:t>in fine</w:t>
      </w:r>
      <w:r>
        <w:t xml:space="preserve"> y 153.2 f). Aduce la representación procesal del Gobierno de Andalucía la ausencia de una mínima argumentación acerca de los vicios de inconstitucionalidad alegados en relación con la vulneración de principios como los de igualdad, legalidad, seguridad jurídica o interdicción de la arbitrariedad de los poderes públicos, siendo así que el suplico de la demanda ni siquiera cita todos los preceptos legales antecitados, sino tan solo los arts. 151.1 y el inexistente 153.1 f). Dada la naturaleza rogada de la jurisdicción constitucional, sostiene el letrado que este tribunal no puede de oficio analizar </w:t>
      </w:r>
      <w:r>
        <w:lastRenderedPageBreak/>
        <w:t>preceptos frente a los que ni siquiera se ha interpuesto recurso de constitucionalidad. Denuncia, subsidiariamente, el incumplimiento de la carga argumentativa por parte de los recurrentes y afirma la conformidad con la Constitución del régimen jurídico de asimilado a fuera de ordenación cuya conformación entra dentro, en todo caso, del margen de legítima discrecionalidad del legislador autonómico, sin que el principio de no regresión ambiental pueda erigirse al efecto, conforme a la doctrina constitucional, en canon válido de constitucionalidad.</w:t>
      </w:r>
    </w:p>
    <w:p w14:paraId="6FCACF21" w14:textId="77777777" w:rsidR="009D7677" w:rsidRDefault="009D7677" w:rsidP="009D7677">
      <w:pPr>
        <w:pStyle w:val="TextoNormal"/>
      </w:pPr>
    </w:p>
    <w:p w14:paraId="2DD865B5" w14:textId="77777777" w:rsidR="009D7677" w:rsidRDefault="009D7677" w:rsidP="009D7677">
      <w:pPr>
        <w:pStyle w:val="TextoNormal"/>
      </w:pPr>
      <w:r>
        <w:t>k) En relación con la regulación que establece la disposición adicional cuarta para la desafectación de vías pecuarias sujetas a planeamiento urbanístico, destaca el letrado del Gobierno de Andalucía que cuenta con precedente en la disposición adicional segunda de la Ley del Parlamento de Andalucía 17/1999, de 28 de diciembre, por la que se aprueban medidas fiscales y administrativas, para referirse a continuación a los arts. 10 a 13 LVP. Sostiene que el art. 10 de esta última no supedita la desafectación al previo deslinde de la vía pecuaria, sin que el art. 12 requiera, a diferencia de lo dispuesto en los arts. 11 y 13, establecer un nuevo trazado de vía, siendo posible, por tanto, desafectar una vía pecuaria preexistente en virtud de una nueva ordenación territorial o urbanística en los términos del art. 10 sin que haya que establecer un nuevo trazado de esta. Afirma que es posible, en consecuencia, la interpretación conforme de la disposición impugnada con estos preceptos de carácter básico.</w:t>
      </w:r>
    </w:p>
    <w:p w14:paraId="032305E3" w14:textId="77777777" w:rsidR="009D7677" w:rsidRDefault="009D7677" w:rsidP="009D7677">
      <w:pPr>
        <w:pStyle w:val="TextoNormal"/>
      </w:pPr>
    </w:p>
    <w:p w14:paraId="03F94058" w14:textId="77777777" w:rsidR="009D7677" w:rsidRDefault="009D7677" w:rsidP="009D7677">
      <w:pPr>
        <w:pStyle w:val="TextoNormal"/>
      </w:pPr>
      <w:r>
        <w:t>En primer lugar, la disposición adicional cuarta establece de manera justificada y respetuosa con la legislación básica una excepción para el régimen general aplicable a la desafectación en relación con determinados tramos de vías pecuarias sujetos a planeamiento urbanístico al entender que han sido objeto de desafectación implícita si, de un lado, a 20 de enero de 2003, fecha de entrada en vigor de la Ley del Parlamento de Andalucía 7/2002, de 17 de diciembre, de ordenación urbanística de Andalucía, hubieran reunido las características del suelo urbano definidas por su art. 45.1 y, de otro lado, hubieran sido clasificados como urbanos por el planeamiento general vigente. Se trata, por tanto, de una regulación que se incardina en el margen de conformación del legislador y que cabe interpretar conforme con la legislación básica.</w:t>
      </w:r>
    </w:p>
    <w:p w14:paraId="2DDD0194" w14:textId="77777777" w:rsidR="009D7677" w:rsidRDefault="009D7677" w:rsidP="009D7677">
      <w:pPr>
        <w:pStyle w:val="TextoNormal"/>
      </w:pPr>
    </w:p>
    <w:p w14:paraId="7700C280" w14:textId="77777777" w:rsidR="009D7677" w:rsidRDefault="009D7677" w:rsidP="009D7677">
      <w:pPr>
        <w:pStyle w:val="TextoNormal"/>
      </w:pPr>
      <w:r>
        <w:t>En segundo lugar, el apartado 3 de la disposición adicional impugnada permite proceder a la desafectación expresa de los tramos de vías pecuarias que transcurran por los ámbitos identificados por el instrumento de planeamiento urbanístico como hábitat rural diseminado, en los que se sobreentiende que han de concurrir los requisitos del art. 10 de la ley básica. El plan especial que apruebe su ordenación y delimite su ámbito excluirá del mismo los terrenos pertenecientes a las vías pecuarias que sigan manteniendo el carácter pecuario. En este caso, el procedimiento administrativo para la desafectación, previo deslinde, que establece su apartado cuarto resulta, asimismo, respetuoso con la legislación básica en la materia, al determinar que esos tramos en hábitat rural diseminado que hayan perdido su carácter pecuario y resulten desafectados adquieren finalmente la condición de bien patrimonial de la comunidad autónoma. Tratándose de una desafectación expresa que trae causa de un proceso de ordenación urbanística llevado a cabo por el plan especial podría acogerse a la excepción que permite el art. 12 de ley básica en materia de vías pecuarias, considerando las especiales características de la zona, y no establecer un trazado alternativo, por lo que también cabe, en este punto, una interpretación del precepto conforme con la legislación básica estatal.</w:t>
      </w:r>
    </w:p>
    <w:p w14:paraId="794DF568" w14:textId="77777777" w:rsidR="009D7677" w:rsidRDefault="009D7677" w:rsidP="009D7677">
      <w:pPr>
        <w:pStyle w:val="TextoNormal"/>
      </w:pPr>
    </w:p>
    <w:p w14:paraId="6344128B" w14:textId="77777777" w:rsidR="009D7677" w:rsidRDefault="009D7677" w:rsidP="009D7677">
      <w:pPr>
        <w:pStyle w:val="TextoNormal"/>
      </w:pPr>
      <w:r>
        <w:t>Por último, aunque los recurrentes aducen la vulneración de los principios constitucionales de igualdad y de interdicción de la arbitrariedad de los poderes públicos, afirma la representación procesal del Gobierno de Andalucía que no realizan esfuerzo argumental alguno para explicar la contradicción alegada, apreciación que extiende, asimismo, a las referencias a la infracción del art. 132 CE.</w:t>
      </w:r>
    </w:p>
    <w:p w14:paraId="18B4AC96" w14:textId="77777777" w:rsidR="009D7677" w:rsidRDefault="009D7677" w:rsidP="009D7677">
      <w:pPr>
        <w:pStyle w:val="TextoNormal"/>
      </w:pPr>
    </w:p>
    <w:p w14:paraId="6430F3A5" w14:textId="77777777" w:rsidR="009D7677" w:rsidRDefault="009D7677" w:rsidP="009D7677">
      <w:pPr>
        <w:pStyle w:val="TextoNormal"/>
      </w:pPr>
      <w:r>
        <w:t>l) Los reproches de inconstitucionalidad formulados por los diputados recurrentes contra la disposición derogatoria, apartado 2 f) de la Ley, son rebatidos por el letrado del Gobierno andaluz afirmando que el plan de ordenación del territorio de Andalucía fue aprobado de forma definitiva por el Parlamento de Andalucía conforme a lo establecido en el art. 8.4 de la Ley del Parlamento de Andalucía 1/1994, de 11 de enero, de ordenación del territorio de la Comunidad Autónoma de Andalucía, procediendo el Consejo de Gobierno de Andalucía a su adaptación y publicación por Decreto 206/2006, de 28 de noviembre. La supresión de la categoría de suelo urbanizable, cuya existencia integraba el supuesto de hecho y constituía la razón de ser de la norma derogada del citado plan, supone un cambio de paradigma respecto al crecimiento de la ciudad en relación con la anterior Ley de ordenación urbanística de Andalucía, en tanto no se sustituye por otra categoría análoga con diferente denominación, sino que se enmarca en el paso de un sistema tripartito, que distingue entre suelo urbano, urbanizable y no urbanizable, a otro dual que parte, en cambio, de que el suelo será urbano si se encuentra integrado en la malla urbana y cumple las condiciones objetivas que establece el art. 13 LISTA, y rústico en otro caso. El nuevo modelo de crecimiento sostenible de la ciudad deja de estar fundado en la proliferación de suelo urbanizable, por lo que entiende el letrado que de no haber sido derogada expresamente la norma 45.4 a) del plan de ordenación del territorio de Andalucía, hubiera quedado en todo caso obsoleta y abocada a la inaplicación.</w:t>
      </w:r>
    </w:p>
    <w:p w14:paraId="27B80DFA" w14:textId="77777777" w:rsidR="009D7677" w:rsidRDefault="009D7677" w:rsidP="009D7677">
      <w:pPr>
        <w:pStyle w:val="TextoNormal"/>
      </w:pPr>
    </w:p>
    <w:p w14:paraId="327936EC" w14:textId="77777777" w:rsidR="009D7677" w:rsidRDefault="009D7677" w:rsidP="009D7677">
      <w:pPr>
        <w:pStyle w:val="TextoNormal"/>
      </w:pPr>
      <w:r>
        <w:t>En cuanto a la supuesta sujeción alegada por los recurrentes del plan de ordenación del territorio de Andalucía a evaluación ambiental estratégica, sostiene que quedan sujetos a este instrumento, conforme a la Ley 21/2013, de 9 de diciembre, tan solo los planes y programas que se adopten y aprueben por una administración pública, no los aprobados en sede parlamentaria como ocurre en este supuesto. La propia naturaleza y alcance del plan de ordenación del territorio de Andalucía lo excluyen, además, del ámbito de la evaluación ambiental estratégica, en tanto no establece el marco para la futura autorización de proyectos legalmente sometidos a evaluación de impacto ambiental, sin que la ausencia, por tanto, de dicho procedimiento en este caso pueda interpretarse como una contradicción efectiva e insalvable de la disposición derogatoria, apartado 2 f) LISTA con los preceptos de la ley básica estatal en materia de evaluación ambiental.</w:t>
      </w:r>
    </w:p>
    <w:p w14:paraId="0B5BD6C5" w14:textId="77777777" w:rsidR="009D7677" w:rsidRDefault="009D7677" w:rsidP="009D7677">
      <w:pPr>
        <w:pStyle w:val="TextoNormal"/>
      </w:pPr>
    </w:p>
    <w:p w14:paraId="48441322" w14:textId="22B752DB" w:rsidR="009D7677" w:rsidRDefault="009D7677" w:rsidP="009D7677">
      <w:pPr>
        <w:pStyle w:val="TextoNormal"/>
      </w:pPr>
      <w:r>
        <w:t>Concluye el letrado afirmando que tampoco existe vulneración del llamado principio de no regresión en materia ambiental, que no es, conforme a la doctrina constitucional, canon válido de constitucionalidad al no poder inferirse directamente del art. 45 CE.</w:t>
      </w:r>
    </w:p>
    <w:p w14:paraId="070AB8B3" w14:textId="77777777" w:rsidR="009D7677" w:rsidRDefault="009D7677" w:rsidP="009D7677">
      <w:pPr>
        <w:pStyle w:val="TextoNormal"/>
      </w:pPr>
    </w:p>
    <w:p w14:paraId="137BA1CD" w14:textId="77777777" w:rsidR="009D7677" w:rsidRDefault="009D7677" w:rsidP="009D7677">
      <w:pPr>
        <w:pStyle w:val="TextoNormal"/>
      </w:pPr>
      <w:r w:rsidRPr="009D7677">
        <w:rPr>
          <w:rStyle w:val="NumeroAFNegritaCaracter"/>
        </w:rPr>
        <w:t>8</w:t>
      </w:r>
      <w:r>
        <w:t>. Por escrito registrado en este tribunal el 5 de mayo de 2022, el letrado del Parlamento de Andalucía formuló las correspondientes alegaciones al recurso de inconstitucionalidad, interesando su total desestimación.</w:t>
      </w:r>
    </w:p>
    <w:p w14:paraId="1D237FD0" w14:textId="77777777" w:rsidR="009D7677" w:rsidRDefault="009D7677" w:rsidP="009D7677">
      <w:pPr>
        <w:pStyle w:val="TextoNormal"/>
      </w:pPr>
    </w:p>
    <w:p w14:paraId="5A1CEA8A" w14:textId="77777777" w:rsidR="009D7677" w:rsidRDefault="009D7677" w:rsidP="009D7677">
      <w:pPr>
        <w:pStyle w:val="TextoNormal"/>
      </w:pPr>
      <w:r>
        <w:lastRenderedPageBreak/>
        <w:t xml:space="preserve">A) Antes de entrar en el examen exhaustivo de los motivos de impugnación de carácter particular, se analizan los reproches de carácter general formulados por los diputados recurrentes a la LISTA. El letrado del Parlamento andaluz subraya, en primer lugar, a partir de la doctrina constitucional sobre el alcance de su fiscalización respecto de la tramitación de iniciativas legislativas por vía de urgencia, que solo los vicios de procedimiento que alteren de forma sustancial el proceso de formación de la voluntad de la cámara pueden dar lugar a la declaración de inconstitucionalidad de una ley, sin que el acuerdo de tramitar un proyecto o proposición de ley por el trámite de urgencia resulte revisable ante el Tribunal Constitucional, al tratarse de una decisión de carácter político. La tramitación por urgencia se regula en el Reglamento del Parlamento de Andalucía como una regla procedimental que reduce los plazos temporales a la mitad sin mermar por ello los derechos constitucionales inherentes al núcleo esencial de la función representativa parlamentaria propia del </w:t>
      </w:r>
      <w:r w:rsidRPr="009D7677">
        <w:rPr>
          <w:i/>
        </w:rPr>
        <w:t>ius in officium</w:t>
      </w:r>
      <w:r>
        <w:t xml:space="preserve"> de los parlamentarios que integran la Cámara. La representación procesal del Parlamento aporta al efecto los datos relativos a la propuesta de comparecencias de agentes sociales y la presentación de enmiendas habidas en la tramitación de la Ley impugnada, subrayando el ejercicio, en términos cualitativos y cuantitativos, por todos los grupos parlamentarios y los diputados no adscritos, de sus derechos al efecto.</w:t>
      </w:r>
    </w:p>
    <w:p w14:paraId="232181A0" w14:textId="77777777" w:rsidR="009D7677" w:rsidRDefault="009D7677" w:rsidP="009D7677">
      <w:pPr>
        <w:pStyle w:val="TextoNormal"/>
      </w:pPr>
    </w:p>
    <w:p w14:paraId="2BCDA36C" w14:textId="77777777" w:rsidR="009D7677" w:rsidRDefault="009D7677" w:rsidP="009D7677">
      <w:pPr>
        <w:pStyle w:val="TextoNormal"/>
      </w:pPr>
      <w:r>
        <w:t>Aduce, en segundo lugar, que los eventuales vicios de la tramitación urgente del anteproyecto de ley en vía de procedimiento administrativo no afectan a los derechos de los diputados autonómicos cuya intervención tiene lugar, en todo caso, en el procedimiento legislativo parlamentario, que es distinto y posterior. Respecto al propio acuerdo de la mesa del Parlamento acordando la tramitación por vía de urgencia, el art. 98.1 RPA no exige su justificación o motivación al tratarse de una decisión de oportunidad de carácter político, sin que en este caso ninguno de los diputados de la Cámara andaluza interpusiera solicitud de reconsideración contra el acuerdo de 23 de junio de 2021, ni el subsiguiente recurso de amparo ante este tribunal, subsanándose por aquiescencia, en caso de que lo hubiera, el presunto vicio formal alegado.</w:t>
      </w:r>
    </w:p>
    <w:p w14:paraId="17450480" w14:textId="77777777" w:rsidR="009D7677" w:rsidRDefault="009D7677" w:rsidP="009D7677">
      <w:pPr>
        <w:pStyle w:val="TextoNormal"/>
      </w:pPr>
    </w:p>
    <w:p w14:paraId="1D1C8333" w14:textId="77777777" w:rsidR="009D7677" w:rsidRDefault="009D7677" w:rsidP="009D7677">
      <w:pPr>
        <w:pStyle w:val="TextoNormal"/>
      </w:pPr>
      <w:r>
        <w:t>B) En segundo término, aborda la impugnación de forma separada por los recurrentes de varios preceptos de la LISTA, alegando distintas tachas. El letrado del Parlamento andaluz destaca, entre las mismas, sin ánimo exhaustivo, supuestos de inconstitucionalidad indirecta por contradicción con normas básicas estatales, así como vulneraciones de los principios de autonomía local, seguridad jurídica e interdicción de la arbitrariedad de los poderes públicos, para subrayar, a continuación, que los titulares de los intereses principalmente implicados en las presuntas causas de inconstitucionalidad —el Estado y las corporaciones locales— no han ejercitado sus acciones ante este tribunal.</w:t>
      </w:r>
    </w:p>
    <w:p w14:paraId="1E5DEB39" w14:textId="77777777" w:rsidR="009D7677" w:rsidRDefault="009D7677" w:rsidP="009D7677">
      <w:pPr>
        <w:pStyle w:val="TextoNormal"/>
      </w:pPr>
    </w:p>
    <w:p w14:paraId="5020CA49" w14:textId="77777777" w:rsidR="009D7677" w:rsidRDefault="009D7677" w:rsidP="009D7677">
      <w:pPr>
        <w:pStyle w:val="TextoNormal"/>
      </w:pPr>
      <w:r>
        <w:t>En todo caso, el examen de los motivos de impugnación se estructura en los apartados que se exponen sucintamente a continuación:</w:t>
      </w:r>
    </w:p>
    <w:p w14:paraId="5289D557" w14:textId="77777777" w:rsidR="009D7677" w:rsidRDefault="009D7677" w:rsidP="009D7677">
      <w:pPr>
        <w:pStyle w:val="TextoNormal"/>
      </w:pPr>
    </w:p>
    <w:p w14:paraId="246081E2" w14:textId="77777777" w:rsidR="009D7677" w:rsidRDefault="009D7677" w:rsidP="009D7677">
      <w:pPr>
        <w:pStyle w:val="TextoNormal"/>
      </w:pPr>
      <w:r>
        <w:t>a) Afirma el letrado del Parlamento andaluz, respecto de la impugnación del art. 19.1 a) LISTA, que la regulación del régimen jurídico de las distintas clases de suelo, incluido el rústico, constituye una competencia exclusiva autonómica, en cuyo ejercicio cabe el empleo tanto de una regla general de autorización de usos como de otra de carácter prohibitorio en relación con cada una de estas subcategorías. El margen de que dispone el legislador autonómico no lesiona la potestad planificadora de los municipios, que disponen, a la vista del precepto impugnado, de una extensa gama de opciones para regular los usos no permi</w:t>
      </w:r>
      <w:r>
        <w:lastRenderedPageBreak/>
        <w:t>tidos. El precepto tampoco resulta contrario al principio constitucional de seguridad jurídica, en tanto su enunciado cumple con las exigencias de certeza, claridad y no confusión normativa. Por último, alega la ausencia del mínimo esfuerzo argumental exigible a los demandantes en relación con su supuesta inconstitucionalidad indirecta por vulneración del art. 13.1 TRLSRU, sin que este último establezca límite o restricción alguna a la técnica normativa por la que deba optar la comunidad autónoma para determinar los usos ordinarios en suelo rústico.</w:t>
      </w:r>
    </w:p>
    <w:p w14:paraId="781F15AD" w14:textId="77777777" w:rsidR="009D7677" w:rsidRDefault="009D7677" w:rsidP="009D7677">
      <w:pPr>
        <w:pStyle w:val="TextoNormal"/>
      </w:pPr>
    </w:p>
    <w:p w14:paraId="212179A1" w14:textId="77777777" w:rsidR="009D7677" w:rsidRDefault="009D7677" w:rsidP="009D7677">
      <w:pPr>
        <w:pStyle w:val="TextoNormal"/>
      </w:pPr>
      <w:r>
        <w:t>b) Considera el letrado que el impugnado art. 21.1 no vulnera la regulación básica contenida en el art. 13.1 TRLSRU. Por lo que hace a los usos mineros en suelo rústico, sostiene que cabe una interpretación de la norma autonómica que la compatibilice con las bases estatales. Partiendo de las premisas fijadas en la STC 86/2019, de 20 de junio, FJ 8 B) a), y de la interpretación sistemática del art. 21.1 con otros preceptos de la ley impugnada, la regulación del uso minero como ordinario en los suelos rústicos especialmente protegidos o preservados se subordina tanto a la preservación de los valores tutelados como al cumplimiento de las exigencias previstas en la legislación urbanística y sectorial que le resultara aplicable, obligando el art. 21, apartados primero y tercero, de la Ley a que “no supongan la transformación de su naturaleza rústica” y se verifique “en los términos que se establezcan reglamentariamente”, además de requerir que cuente con las “autorizaciones que exija la legislación sectorial”. Encontrándose pendiente de desarrollo reglamentario la aplicación de estos usos como ordinarios, sostiene que no concurre una contradicción hermenéutica insalvable entre las normas examinadas y, consecuentemente, no se disminuye el nivel mínimo de tutela previsto por el legislador básico, por lo que el recurso de inconstitucionalidad presenta carácter preventivo respecto de este precepto y debiera ser desestimado en este punto.</w:t>
      </w:r>
    </w:p>
    <w:p w14:paraId="73782FBF" w14:textId="77777777" w:rsidR="009D7677" w:rsidRDefault="009D7677" w:rsidP="009D7677">
      <w:pPr>
        <w:pStyle w:val="TextoNormal"/>
      </w:pPr>
    </w:p>
    <w:p w14:paraId="7DA87147" w14:textId="77777777" w:rsidR="009D7677" w:rsidRDefault="009D7677" w:rsidP="009D7677">
      <w:pPr>
        <w:pStyle w:val="TextoNormal"/>
      </w:pPr>
      <w:r>
        <w:t xml:space="preserve">En relación con los usos vinculados a las energías renovables añade, además, que responden al principio de desarrollo sostenible y a las exigencias de que las políticas públicas propicien un uso racional de los recursos naturales, de conformidad con el art. 2 d) de la Ley 7/2021, de 20 de mayo, de cambio climático y transición energética, que establece como uno de sus principios rectores la armonización y el desarrollo económico de las zonas donde se ubiquen las centrales de energías renovables respetando los valores ambientales. Por lo demás, este uso se encuentra condicionado, para obtener la autorización sectorial previa al otorgamiento de la licencia urbanística </w:t>
      </w:r>
      <w:r w:rsidRPr="009D7677">
        <w:rPr>
          <w:i/>
        </w:rPr>
        <w:t>ex</w:t>
      </w:r>
      <w:r>
        <w:t xml:space="preserve"> art. 21.3 LISTA en relación con el art. 13.2 del Reglamento de disciplina urbanística de la Comunidad Autónoma de Andalucía, aprobado por Decreto 60/2010, de 16 de marzo, al respeto de las zonas de sensibilidad y exclusión por su importancia para la biodiversidad, conectividad y provisión de servicios ecosistémicos, así como sobre otros valores ambientales, previstas en la herramienta cartográfica elaborada por el Ministerio para la Transición Ecológica y el Reto Demográfico. Considerar de forma genérica, como hace la demanda, que tales usos solo pueden tener lugar en suelos urbanizados o tejados de edificaciones constituye una prohibición que no contempla el legislador estatal, por lo que interesa también la desestimación de este motivo de inconstitucionalidad.</w:t>
      </w:r>
    </w:p>
    <w:p w14:paraId="47EB40EB" w14:textId="77777777" w:rsidR="009D7677" w:rsidRDefault="009D7677" w:rsidP="009D7677">
      <w:pPr>
        <w:pStyle w:val="TextoNormal"/>
      </w:pPr>
    </w:p>
    <w:p w14:paraId="454D8E8E" w14:textId="77777777" w:rsidR="009D7677" w:rsidRDefault="009D7677" w:rsidP="009D7677">
      <w:pPr>
        <w:pStyle w:val="TextoNormal"/>
      </w:pPr>
      <w:r>
        <w:t xml:space="preserve">c) La representación procesal del Parlamento andaluz defiende, asimismo, la compatibilidad del art. 21.2 b) LISTA con el art. 13.1 TRLSRU, en tanto el precepto autonómico impugnado tan solo incorpora como actuación ordinaria las edificaciones con uso residencial vinculadas, a su vez, al desarrollo de usos ordinarios. El letrado rechaza también la </w:t>
      </w:r>
      <w:r>
        <w:lastRenderedPageBreak/>
        <w:t>hipótesis de los recurrentes de que la admisión de este tipo de edificaciones provocaría la futura urbanización del suelo rural, en tanto el art. 21.2 b) de la Ley debe interpretarse a la luz de los arts. 20 a) y b) y 6.2 b) y c) de la misma, de forma que como actuación en suelo rústico no podrá inducir a la formación de nuevos asentamientos, quedando vinculada y debiendo ser proporcional al uso que justifica su implantación. En todo caso, las construcciones, edificaciones o instalaciones ejecutadas en cualquier clase y uso de suelo deben ser adecuadas al uso a que se destinen e integrarse en el entorno, empleando preferentemente instalaciones de energía renovable y autoconsumo compatibles con el régimen de protección que, en su caso, estuviera vigente.</w:t>
      </w:r>
    </w:p>
    <w:p w14:paraId="2349579C" w14:textId="77777777" w:rsidR="009D7677" w:rsidRDefault="009D7677" w:rsidP="009D7677">
      <w:pPr>
        <w:pStyle w:val="TextoNormal"/>
      </w:pPr>
    </w:p>
    <w:p w14:paraId="542F6539" w14:textId="77777777" w:rsidR="009D7677" w:rsidRDefault="009D7677" w:rsidP="009D7677">
      <w:pPr>
        <w:pStyle w:val="TextoNormal"/>
      </w:pPr>
      <w:r>
        <w:t>Tampoco comparte el letrado que la regulación de los alojamientos de temporeros que establece el precepto impugnado afecte en modo alguno, como sostiene la demanda, a su dignidad o al principio de igualdad ante la ley, en tanto el art. 21.2 a) pretende compatibilizar el desarrollo rural, la preservación de la naturaleza rústica del suelo y las necesidades de vivienda de los trabajadores de temporada dando una respuesta legal y razonable al grave problema de chabolismo y asentamientos ilegales que se experimentan al efecto en algunos territorios de la Comunidad Autónoma de Andalucía. Afirma el letrado que con ello la Ley regula la posibilidad de que estos trabajadores puedan disfrutar de alojamientos dignos, seguros y sostenibles, cercanos a su zona de trabajo y asequibles a sus posibilidades económicas. El recurso de inconstitucionalidad reviste, también en este caso, un carácter netamente preventivo, en tanto se prevé que estas edificaciones queden sujetas a requisitos reglamentarios que determinarán su adecuación concreta a las distintas clases de suelo rústico, sin que la mera posibilidad de una eventual aplicación torticera de la norma recurrida pueda erigirse en motivo de inconstitucionalidad conforme a la doctrina de este tribunal, por lo que solicita la desestimación de este motivo.</w:t>
      </w:r>
    </w:p>
    <w:p w14:paraId="127D76E7" w14:textId="77777777" w:rsidR="009D7677" w:rsidRDefault="009D7677" w:rsidP="009D7677">
      <w:pPr>
        <w:pStyle w:val="TextoNormal"/>
      </w:pPr>
    </w:p>
    <w:p w14:paraId="18DBA7D7" w14:textId="77777777" w:rsidR="009D7677" w:rsidRDefault="009D7677" w:rsidP="009D7677">
      <w:pPr>
        <w:pStyle w:val="TextoNormal"/>
      </w:pPr>
      <w:r>
        <w:t>d) El art. 22.1 no afecta, según el representante del Parlamento andaluz, a la autonomía local, en tanto debe interpretarse conjuntamente con el apartado 3 del mismo precepto, estando prevista en el procedimiento una doble intervención municipal para legitimar las actuaciones extraordinarias en suelo rústico, en forma de otorgamiento de autorización previa y de oportuna licencia urbanística, así como una audiencia a todas las administraciones públicas afectadas. Se trata, en todo caso, de una técnica consolidada en nuestro Derecho urbanístico con la que se busca atender a necesidades municipales emergentes que no pudieron pronosticarse al momento de aprobar el plan general de ordenación municipal aplicable.</w:t>
      </w:r>
    </w:p>
    <w:p w14:paraId="703F5F75" w14:textId="77777777" w:rsidR="009D7677" w:rsidRDefault="009D7677" w:rsidP="009D7677">
      <w:pPr>
        <w:pStyle w:val="TextoNormal"/>
      </w:pPr>
    </w:p>
    <w:p w14:paraId="65F5589A" w14:textId="77777777" w:rsidR="009D7677" w:rsidRDefault="009D7677" w:rsidP="009D7677">
      <w:pPr>
        <w:pStyle w:val="TextoNormal"/>
      </w:pPr>
      <w:r>
        <w:t>Tampoco vulnera el apartado impugnado el principio constitucional de seguridad jurídica, sin que hayan satisfecho los recurrentes el esfuerzo argumental mínimo al respecto, en tanto la alegación sobre un eventual uso torticero de la norma queda extramuros del control de constitucionalidad y no resulta suficiente para obviar su cumplimiento con las exigencias de certeza y claridad en cuanto al régimen jurídico de este tipo de actuaciones. Respecto de su presunta inconstitucionalidad mediata por contradicción con el art. 13.1 TRLSRU, se remite el letrado del Parlamento andaluz a las alegaciones realizadas a continuación en relación con la impugnación del art. 22.2 de la Ley.</w:t>
      </w:r>
    </w:p>
    <w:p w14:paraId="280AF323" w14:textId="77777777" w:rsidR="009D7677" w:rsidRDefault="009D7677" w:rsidP="009D7677">
      <w:pPr>
        <w:pStyle w:val="TextoNormal"/>
      </w:pPr>
    </w:p>
    <w:p w14:paraId="5C20627B" w14:textId="77777777" w:rsidR="009D7677" w:rsidRDefault="009D7677" w:rsidP="009D7677">
      <w:pPr>
        <w:pStyle w:val="TextoNormal"/>
      </w:pPr>
      <w:r>
        <w:t>e) En relación con el art. 22.2 LISTA, la demanda sostiene también la vulneración de la autonomía local, el principio de seguridad jurídica y la normativa básica. Respecto de las dos primeras tachas de inconstitucionalidad, se remite el letrado a las alegaciones realiza</w:t>
      </w:r>
      <w:r>
        <w:lastRenderedPageBreak/>
        <w:t>das anteriormente respecto al art. 22.1, analizando a continuación de forma detenida la presunta vulneración por el precepto, apartados 1 y 2, del art. 13.1 TRLSRU.</w:t>
      </w:r>
    </w:p>
    <w:p w14:paraId="75A1A419" w14:textId="77777777" w:rsidR="009D7677" w:rsidRDefault="009D7677" w:rsidP="009D7677">
      <w:pPr>
        <w:pStyle w:val="TextoNormal"/>
      </w:pPr>
    </w:p>
    <w:p w14:paraId="0290E2F8" w14:textId="77777777" w:rsidR="009D7677" w:rsidRDefault="009D7677" w:rsidP="009D7677">
      <w:pPr>
        <w:pStyle w:val="TextoNormal"/>
      </w:pPr>
      <w:r>
        <w:t>Entiende el letrado que el contraste realizado por los recurrentes entre la normativa estatal y autonómica es inexacto, en la medida en que de una interpretación conjunta de los tres apartados del art. 22 se desprende que no cualquier actividad o uso industrial, terciario, turístico o residencial puede autorizarse como actuación extraordinaria, sino tan solo los que obedezcan a un “interés público o social que contribuyan a la ordenación y el desarrollo del medio rural, o que hayan de emplazarse en esta clase de suelo por resultar incompatible su localización en suelo urbano”, debiendo motivarse de forma expresa esas circunstancias a efectos de obtener las pertinentes licencias y autorizaciones previstas en el apartado 3. Afirma que tan solo se admiten actuaciones no prohibidas por la legislación o la ordenación territorial o urbanística, exigiéndose que respeten el régimen de protección que, en su caso, tenga el suelo en que se implanten, sin que el art. 13.1 TRLSRU prohíba que los usos residenciales puedan ser autorizados excepcionalmente por razones de interés público o social en suelo rústico, dejando margen suficiente al respecto al legislador autonómico, y sin que su autorización implique, forzosamente, la antropización del medio rural. Concluye que el precepto impugnado respeta los límites fijados por las bases estatales sin que exista contradicción alguna entre el régimen jurídico previsto al efecto por el art. 22, apartados 1 y 2, de la Ley autonómica y el art. 13 TRLSRU.</w:t>
      </w:r>
    </w:p>
    <w:p w14:paraId="7DAED66E" w14:textId="77777777" w:rsidR="009D7677" w:rsidRDefault="009D7677" w:rsidP="009D7677">
      <w:pPr>
        <w:pStyle w:val="TextoNormal"/>
      </w:pPr>
    </w:p>
    <w:p w14:paraId="6C95F294" w14:textId="77777777" w:rsidR="009D7677" w:rsidRDefault="009D7677" w:rsidP="009D7677">
      <w:pPr>
        <w:pStyle w:val="TextoNormal"/>
      </w:pPr>
      <w:r>
        <w:t>f) El letrado descarta la inconstitucionalidad del art. 50.1 LISTA en tanto difiere netamente del art. 123 de la Ley del suelo y de los espacios protegidos de Canarias declarado inconstitucional por la STC 86/2019, de 20 de junio. De un lado, concreta la categoría de declaración de interés autonómico al anudarla a supuestos tasados. De otro, impone, para el caso de que suponga una innovación del planeamiento urbanístico municipal, la aportación de la documentación necesaria para justificar su viabilidad urbanística, así como la consulta y concertación de contenidos con los ayuntamientos afectados, salvaguardando su autonomía local. Tratándose de actuaciones, inversiones o actividades de incidencia territorial supralocal, concluye que la regulación contenida en el art. 50.1 se incardina dentro de las competencias autonómicas sobre ordenación del territorio, por lo que debe ser desestimado el recurso de inconstitucionalidad en este punto.</w:t>
      </w:r>
    </w:p>
    <w:p w14:paraId="2F43A280" w14:textId="77777777" w:rsidR="009D7677" w:rsidRDefault="009D7677" w:rsidP="009D7677">
      <w:pPr>
        <w:pStyle w:val="TextoNormal"/>
      </w:pPr>
    </w:p>
    <w:p w14:paraId="7127E0DD" w14:textId="77777777" w:rsidR="009D7677" w:rsidRDefault="009D7677" w:rsidP="009D7677">
      <w:pPr>
        <w:pStyle w:val="TextoNormal"/>
      </w:pPr>
      <w:r>
        <w:t>g) En relación con la suspensión cautelar de la innovación del planeamiento urbanístico regulada en el art. 53 de la ley objeto de impugnación, entiende el letrado que en la posición de los recurrentes parece latir la tesis de que se trata de una potestad de carácter general e indiscriminado, vulneradora de la autonomía local de los municipios afectados.</w:t>
      </w:r>
    </w:p>
    <w:p w14:paraId="3A068A20" w14:textId="77777777" w:rsidR="009D7677" w:rsidRDefault="009D7677" w:rsidP="009D7677">
      <w:pPr>
        <w:pStyle w:val="TextoNormal"/>
      </w:pPr>
    </w:p>
    <w:p w14:paraId="2CDA4707" w14:textId="77777777" w:rsidR="009D7677" w:rsidRDefault="009D7677" w:rsidP="009D7677">
      <w:pPr>
        <w:pStyle w:val="TextoNormal"/>
      </w:pPr>
      <w:r>
        <w:t>Frente a la tesis de los recurrentes, el representante procesal del Parlamento andaluz recuerda que se regula como una facultad potestativa del Consejo de Gobierno, sujeta a restricciones sustantivas, formales y temporales, fundada en la necesidad de evitar colisiones de la ordenación urbanística con otros instrumentos supraterritoriales. La competencia autonómica exclusiva en materia de ordenación del territorio y la necesidad de aportar seguridad jurídica al ciudadano sobre las normas que debe cumplir en cada momento justifican la facultad autonómica contemplada en el precepto impugnado, cuya regulación no afecta al principio de autonomía local.</w:t>
      </w:r>
    </w:p>
    <w:p w14:paraId="53081194" w14:textId="77777777" w:rsidR="009D7677" w:rsidRDefault="009D7677" w:rsidP="009D7677">
      <w:pPr>
        <w:pStyle w:val="TextoNormal"/>
      </w:pPr>
    </w:p>
    <w:p w14:paraId="14F7C68A" w14:textId="77777777" w:rsidR="009D7677" w:rsidRDefault="009D7677" w:rsidP="009D7677">
      <w:pPr>
        <w:pStyle w:val="TextoNormal"/>
      </w:pPr>
      <w:r>
        <w:lastRenderedPageBreak/>
        <w:t>h) La supuesta vulneración por el art. 137.2 f) de la legislación básica es negada por el letrado del Parlamento de Andalucía con base en que los usos mineros como actividad constituyen una realidad urbanística diferente a los movimientos de tierra, siendo objeto de licencias o autorizaciones administrativas distintas, por lo que no existe identidad entre los supuestos de hecho regulados por el precepto impugnado y el art. 11.4 a) TRLSRU. En relación con la presunta conculcación de la autonomía local, en opinión del letrado, los recurrentes incurren en el error de confundir la regulación legislativa sobre los supuestos en los que se exige o no contar con licencia urbanística, competencia exclusiva autonómica, y el acto administrativo por el que se otorga, competencia exclusiva municipal al amparo del art. 140.1 de la Ley. Subraya, además, que conforme a la doctrina de este tribunal el reconocimiento constitucional del principio de autonomía local no implica necesariamente que toda actuación urbanística deba contar, sin excepción, con licencia urbanística municipal. En todo caso, tratándose de un uso minero ordinario que no supone la transformación de la naturaleza rústica del terreno, que responde a la explotación racional de sus recursos naturales y que no pone en riesgo sus valores inherentes, la intervención municipal se encuentra garantizada a través del informe preceptivo y vinculante de compatibilidad con el planeamiento urbanístico que emite el ayuntamiento en el procedimiento de autorización ambiental unificada, así como de las licencias exigibles a las obras, instalaciones o edificaciones que, en su caso, fueran precisas para el funcionamiento y desarrollo del uso, por lo que solicita la desestimación del recurso en este extremo.</w:t>
      </w:r>
    </w:p>
    <w:p w14:paraId="0C28B9E5" w14:textId="77777777" w:rsidR="009D7677" w:rsidRDefault="009D7677" w:rsidP="009D7677">
      <w:pPr>
        <w:pStyle w:val="TextoNormal"/>
      </w:pPr>
    </w:p>
    <w:p w14:paraId="79587369" w14:textId="77777777" w:rsidR="009D7677" w:rsidRDefault="009D7677" w:rsidP="009D7677">
      <w:pPr>
        <w:pStyle w:val="TextoNormal"/>
      </w:pPr>
      <w:r>
        <w:t>i) Tras examinar los diferentes motivos de impugnación del art. 151.1 LISTA, la representación procesal del Parlamento andaluz concluye que los recurrentes incurren de nuevo en un error hermenéutico respecto al precepto cuestionado. Su tenor literal distingue, en realidad, entre la legalización de actuaciones por la administración y la adopción de medidas de restablecimiento de la legalidad, dependiendo la opción por una u otra de que las actuaciones carentes de título o contraventoras del mismo “resulten conformes o no con la ordenación territorial o urbanística”. Así lo avalan la interpretación sistemática de la ley, en concreto, su art. 152, o el enunciado del art. 45.1 del Reglamento de disciplina urbanística de la Comunidad Autónoma de Andalucía. Tampoco cabe equiparar las situaciones reguladas por el artículo impugnado con las de asimilación a fuera de ordenación, en las que, por transcurso del tiempo legalmente previsto, ya no cabe el ejercicio de la potestad administrativa de restablecimiento de la legalidad. Por último, no considera arbitraria o irracional la solución prevista por el legislador andaluz respecto a la exención de reagrupación de ciertas parcelaciones con edificaciones finalizadas, al obedecer a un motivo legal y razonable y no regularse de forma general o indiscriminada. Resultan por tanto infundadas, en su opinión, las apelaciones de la demanda a la discriminación entre ciudadanos que respetan o no la normativa vigente, debiendo diferenciarse entre que haya expirado o no el plazo para restablecer la legalidad urbanística y territorial, o su invocación al principio constitucional de legalidad o a la interdicción de arbitrariedad de los poderes públicos, por lo que interesa del Tribunal la desestimación del recurso.</w:t>
      </w:r>
    </w:p>
    <w:p w14:paraId="1A7DCBA1" w14:textId="77777777" w:rsidR="009D7677" w:rsidRDefault="009D7677" w:rsidP="009D7677">
      <w:pPr>
        <w:pStyle w:val="TextoNormal"/>
      </w:pPr>
    </w:p>
    <w:p w14:paraId="07FBEA68" w14:textId="77777777" w:rsidR="009D7677" w:rsidRDefault="009D7677" w:rsidP="009D7677">
      <w:pPr>
        <w:pStyle w:val="TextoNormal"/>
      </w:pPr>
      <w:r>
        <w:t xml:space="preserve">j) En relación con la supuesta legalización por el art. 153.1 f) LISTA de las actuaciones en suelo rústico especialmente protegido, sostiene el letrado del Parlamento andaluz que el precepto tan solo regula el plazo para ejercer la potestad de restablecimiento de la legalidad territorial y urbanística, destacando, además, que el apartado 1 carece de letra f), que es la impugnada tanto en el sexto motivo de inconstitucionalidad de la demanda como en su </w:t>
      </w:r>
      <w:r w:rsidRPr="009D7677">
        <w:rPr>
          <w:i/>
        </w:rPr>
        <w:t>petitum</w:t>
      </w:r>
      <w:r>
        <w:t xml:space="preserve">. La fijación del período para el ejercicio de las distintas potestades que integran </w:t>
      </w:r>
      <w:r>
        <w:lastRenderedPageBreak/>
        <w:t>la disciplina urbanística entra dentro del margen de configuración que corresponde al legislador autonómico de acuerdo con su competencia exclusiva en la materia, optando la LISTA por determinar al efecto un plazo de seis años frente a la anterior Ley del Parlamento de Andalucía 7/2002, de 17 de diciembre, de ordenación urbanística de Andalucía, que no establecía prescripción alguna, sin que puedan caber restricciones indebidas al Parlamento autonómico que fosilicen la normativa vigente.</w:t>
      </w:r>
    </w:p>
    <w:p w14:paraId="005DB685" w14:textId="77777777" w:rsidR="009D7677" w:rsidRDefault="009D7677" w:rsidP="009D7677">
      <w:pPr>
        <w:pStyle w:val="TextoNormal"/>
      </w:pPr>
    </w:p>
    <w:p w14:paraId="383C41D6" w14:textId="77777777" w:rsidR="009D7677" w:rsidRDefault="009D7677" w:rsidP="009D7677">
      <w:pPr>
        <w:pStyle w:val="TextoNormal"/>
      </w:pPr>
      <w:r>
        <w:t>Los suelos rústicos especialmente protegidos pueden serlo por sus valores ambientales u otros distintos, como son los culturales, de patrimonio histórico, protección del dominio público o situaciones de riesgo para la seguridad y vida de las personas, sin que el deber de conservar el medio ambiente del art. 45 CE pueda confundirse con el deber de conservar la norma. El principio de no regresión ambiental, según la doctrina de este tribunal, tiene carácter eminentemente jurídico, sin que el contenido de legislación anterior pueda erigirse en parámetro válido para enjuiciar la constitucionalidad de una ley posterior como pretenden los recurrentes. La petrificación legislativa que resultaría en caso contrario vulneraría el principio democrático del art. 1 CE y la libertad de actuación del legislador democrático. En cuanto a la presunta vulneración por el precepto de los principios de igualdad y legalidad, afirma el letrado que no se ha cumplido con el mínimo esfuerzo argumental exigible al respecto.</w:t>
      </w:r>
    </w:p>
    <w:p w14:paraId="44F38CB6" w14:textId="77777777" w:rsidR="009D7677" w:rsidRDefault="009D7677" w:rsidP="009D7677">
      <w:pPr>
        <w:pStyle w:val="TextoNormal"/>
      </w:pPr>
    </w:p>
    <w:p w14:paraId="465A44BB" w14:textId="77777777" w:rsidR="009D7677" w:rsidRDefault="009D7677" w:rsidP="009D7677">
      <w:pPr>
        <w:pStyle w:val="TextoNormal"/>
      </w:pPr>
      <w:r>
        <w:t>k) Descarta el representante procesal del Parlamento andaluz que la disposición adicional cuarta, reguladora de la desafectación de vías pecuarias, pueda ser inconstitucional por contravenir los arts. 132 y 149.1.23 CE y la normativa básica en la materia. Afirma que no regula una desafectación tácita o implícita, sino una genérica por medio de norma con rango de ley, de acuerdo con lo dispuesto al efecto por la Ley del Parlamento de Andalucía 4/1986, de 5 de mayo, del patrimonio de la Comunidad Autónoma de Andalucía. No existe, por lo demás, contradicción entre la disposición adicional impugnada y el art. 12 LVP, en tanto regulan supuestos diferentes. Limita el legislador andaluz la desafectación a aquel trazado que hubiera adquirido la condición de urbano con anterioridad a la entrada en vigor de la anterior Ley de ordenación urbanística de Andalucía o que se encontrara incluido dentro de un hábitat rural diseminado y que, por lo tanto, hubiera perdido su carácter y resultara incompatible con la finalidad y usos propios de la vía pecuaria, sin que quepa apreciar por ello lesión alguna para el interés público o el ordenamiento jurídico o, en última instancia, vulneración del art. 132 CE. Hace hincapié en la insuficiente argumentación que ofrecen los recurrentes, también en relación con esta disposición adicional, acerca de las tachas de inconstitucionalidad por contradicción con los principios de igualdad e interdicción de la arbitrariedad de los poderes públicos, interesando la desestimación del recurso de inconstitucionalidad en este punto.</w:t>
      </w:r>
    </w:p>
    <w:p w14:paraId="26117189" w14:textId="77777777" w:rsidR="009D7677" w:rsidRDefault="009D7677" w:rsidP="009D7677">
      <w:pPr>
        <w:pStyle w:val="TextoNormal"/>
      </w:pPr>
    </w:p>
    <w:p w14:paraId="2C4A042F" w14:textId="77777777" w:rsidR="009D7677" w:rsidRDefault="009D7677" w:rsidP="009D7677">
      <w:pPr>
        <w:pStyle w:val="TextoNormal"/>
      </w:pPr>
      <w:r>
        <w:t xml:space="preserve">l) La infracción del art. 6 LEA, en conexión con el art. 149.1.23 CE, por suprimir la disposición derogatoria, apartado 2 f) de la Ley impugnada la norma 45.4 a) del plan de ordenación del territorio de Andalucía, aprobado por Decreto 206/2006, de 28 de noviembre, también es descartada por el letrado del Parlamento. Con carácter previo pone de relieve el peculiar régimen de aprobación de este último por el Consejo de Gobierno y el Parlamento de Andalucía. Al exigir la conformidad del Legislativo, es un instrumento que queda fuera del ámbito de aplicación de la LEA, que se ciñe exclusivamente a los planes adoptados por el Poder Ejecutivo. Establece, además, elementos básicos para orientar al resto de los instrumentos pertinentes en la organización y estructura del territorio de la </w:t>
      </w:r>
      <w:r>
        <w:lastRenderedPageBreak/>
        <w:t>comunidad autónoma, sin llegar a constituir el marco para la autorización de futuros proyectos sometidos a evaluación ambiental ni afectar a espacios de la Red Natura 2000, por lo que la normativa básica estatal en la materia no le resulta de aplicación, sin que los tratados constitutivos de la Unión Europea y el Derecho comunitario derivado constituyan cánones o parámetros directos de constitucionalidad. Se rechaza también que la disposición adicional impugnada vulnere el principio de interdicción de la arbitrariedad de los poderes públicos del art. 9.3 CE, en tanto obedece a una justificación lógica, como es la supresión por la LISTA de la categoría de suelo urbanizable, sin implicar, por tanto, una actuación irracional del legislador autonómico.</w:t>
      </w:r>
    </w:p>
    <w:p w14:paraId="4C167D65" w14:textId="77777777" w:rsidR="009D7677" w:rsidRDefault="009D7677" w:rsidP="009D7677">
      <w:pPr>
        <w:pStyle w:val="TextoNormal"/>
      </w:pPr>
    </w:p>
    <w:p w14:paraId="0FF2C8EB" w14:textId="40EF13DB" w:rsidR="009D7677" w:rsidRDefault="009D7677" w:rsidP="009D7677">
      <w:pPr>
        <w:pStyle w:val="TextoNormal"/>
      </w:pPr>
      <w:r>
        <w:t>Respecto a la presunta lesión del principio de no regresión ambiental invocada al respecto por los recurrentes, recuerda el letrado que, conforme a la doctrina constitucional, la mera posibilidad de un uso torticero de las normas no es en sí misma motivo bastante para declarar su inconstitucionalidad. La LISTA arbitra un criterio normativo distinto para garantizar la sostenibilidad del crecimiento urbano, sin que el principio de no regresión pueda extenderse para implicar una fosilización del ordenamiento ante futuras modificaciones jurídicas, debiendo ceñirse tan solo a la realidad física, con el añadido de que la norma derogada no contiene referencia alguna a suelos protegidos o con valores ambientales sino exclusivamente a los urbanizables, por lo que solicita la desestimación del recurso también en este punto.</w:t>
      </w:r>
    </w:p>
    <w:p w14:paraId="68F245D5" w14:textId="77777777" w:rsidR="009D7677" w:rsidRDefault="009D7677" w:rsidP="009D7677">
      <w:pPr>
        <w:pStyle w:val="TextoNormal"/>
      </w:pPr>
    </w:p>
    <w:p w14:paraId="608E93AF" w14:textId="58C47F82" w:rsidR="009D7677" w:rsidRDefault="009D7677" w:rsidP="009D7677">
      <w:pPr>
        <w:pStyle w:val="TextoNormal"/>
      </w:pPr>
      <w:r w:rsidRPr="009D7677">
        <w:rPr>
          <w:rStyle w:val="NumeroAFNegritaCaracter"/>
        </w:rPr>
        <w:t>9</w:t>
      </w:r>
      <w:r>
        <w:t>. Por providencia de 13 de febrero de 2024 se señaló ese mismo día para la deliberación y votación de la presente sentencia.</w:t>
      </w:r>
    </w:p>
    <w:p w14:paraId="48430CAA" w14:textId="77777777" w:rsidR="009D7677" w:rsidRDefault="009D7677" w:rsidP="009D7677">
      <w:pPr>
        <w:pStyle w:val="TextoNormal"/>
      </w:pPr>
    </w:p>
    <w:p w14:paraId="3D0E271A" w14:textId="77777777" w:rsidR="009D7677" w:rsidRDefault="009D7677" w:rsidP="009D7677">
      <w:pPr>
        <w:pStyle w:val="TextoNormalNegritaCentrado"/>
        <w:keepNext/>
      </w:pPr>
      <w:r>
        <w:t>II. Fundamentos jurídicos</w:t>
      </w:r>
    </w:p>
    <w:p w14:paraId="5AF61A54" w14:textId="2E5CE6C7" w:rsidR="009D7677" w:rsidRDefault="009D7677" w:rsidP="009D7677">
      <w:pPr>
        <w:pStyle w:val="TextoNormalNegritaCentrado"/>
        <w:keepNext/>
      </w:pPr>
    </w:p>
    <w:p w14:paraId="5E85AE55" w14:textId="77777777" w:rsidR="009D7677" w:rsidRDefault="009D7677" w:rsidP="009D7677">
      <w:pPr>
        <w:pStyle w:val="TextoNormal"/>
      </w:pPr>
      <w:r w:rsidRPr="009D7677">
        <w:rPr>
          <w:rStyle w:val="NumeroAFNegritaCaracter"/>
        </w:rPr>
        <w:t>1</w:t>
      </w:r>
      <w:r>
        <w:t xml:space="preserve">. </w:t>
      </w:r>
      <w:r w:rsidRPr="009D7677">
        <w:rPr>
          <w:i/>
        </w:rPr>
        <w:t>Objeto del recurso y posiciones de las partes</w:t>
      </w:r>
    </w:p>
    <w:p w14:paraId="7CB00328" w14:textId="77777777" w:rsidR="009D7677" w:rsidRDefault="009D7677" w:rsidP="009D7677">
      <w:pPr>
        <w:pStyle w:val="TextoNormal"/>
      </w:pPr>
    </w:p>
    <w:p w14:paraId="58E6EF1C" w14:textId="77777777" w:rsidR="009D7677" w:rsidRDefault="009D7677" w:rsidP="009D7677">
      <w:pPr>
        <w:pStyle w:val="TextoNormal"/>
      </w:pPr>
      <w:r>
        <w:t>El objeto de la presente resolución es resolver el recurso de inconstitucionalidad interpuesto por más de cincuenta diputados pertenecientes al Grupo Parlamentario Confederal Unidas Podemos-En Comú Podem-Galicia en Común, al Grupo Parlamentario Republicano, al Grupo Parlamentario Plural y al Grupo Mixto en el Congreso de los Diputados, contra la Ley del Parlamento de Andalucía 7/2021, de 1 de diciembre, de impulso para la sostenibilidad del territorio de Andalucía y, subsidiariamente, contra los arts. 19.1 a); 21.1 y 2 b); 22.1 y 2; 50; 53; 137.2 f); 151.1; 153.1 f); la disposición adicional cuarta; y la disposición derogatoria, apartado 2 f), de la citada Ley.</w:t>
      </w:r>
    </w:p>
    <w:p w14:paraId="1655160C" w14:textId="77777777" w:rsidR="009D7677" w:rsidRDefault="009D7677" w:rsidP="009D7677">
      <w:pPr>
        <w:pStyle w:val="TextoNormal"/>
      </w:pPr>
    </w:p>
    <w:p w14:paraId="79EEBC31" w14:textId="77777777" w:rsidR="009D7677" w:rsidRDefault="009D7677" w:rsidP="009D7677">
      <w:pPr>
        <w:pStyle w:val="TextoNormal"/>
      </w:pPr>
      <w:r>
        <w:t xml:space="preserve">Como se ha dejado expuesto en los antecedentes de la presente resolución, los diputados recurrentes imputan a la Ley 7/2021, de 1 de diciembre, de impulso para la sostenibilidad del territorio de Andalucía, diversas vulneraciones constitucionales. Así, se imputa a toda la norma la vulneración de los arts. 1.1 y 23.2 CE, 108 de la Ley Orgánica 2/2007, de 19 de marzo, de reforma del Estatuto de Autonomía para Andalucía, y 98 y 99 en relación con los arts. 110 y concordantes del Reglamento del Parlamento de Andalucía, por la tramitación por el procedimiento de urgencia tanto del anteproyecto como del proyecto de ley. Y en cuanto a los preceptos que han sido impugnados subsidiariamente se alega que los arts. 19.1 a), 21.1 y 2 b) y 22.1 y 2 vulneran la autonomía local (arts. 137 y 140 CE), el principio de seguridad jurídica (art. 9.3 CE) y la legislación básica en materia de medio </w:t>
      </w:r>
      <w:r>
        <w:lastRenderedPageBreak/>
        <w:t>ambiente, en concreto, el art. 13.1 del texto refundido de la Ley de suelo y rehabilitación urbana, aprobado por Real Decreto Legislativo 7/2015, de 30 de octubre; los arts. 50 y 53 vulneran, a juicio de los recurrentes, la autonomía local (art. 137 y 140 CE); el art. 137.2 f) sería también contrario a la autonomía local, así como al art. 11.4 a) TRLSRU, incurriendo en una vulneración mediata o indirecta del art. 149.1.23 CE; los arts. 151.1 y 153.1 f) vulnerarían los principios de legalidad, igualdad y no discriminación (arts. 9.3 y 14 CE) así como el de no regresión ambiental (art. 45 CE); la disposición adicional cuarta vulneraría, según la demanda, el art. 132 CE y la Ley 3/1995, de 23 de marzo, de vías pecuarias, y, a su través, el art. 149.1.23 CE; finalmente, la demanda aduce que la disposición derogatoria, apartado 2 f) vulnera la legislación básica en materia de medio ambiente así como el principio de interdicción de la arbitrariedad del legislador (art. 9.3 CE) y el de no regresión ambiental (art. 45 CE).</w:t>
      </w:r>
    </w:p>
    <w:p w14:paraId="383A26A0" w14:textId="77777777" w:rsidR="009D7677" w:rsidRDefault="009D7677" w:rsidP="009D7677">
      <w:pPr>
        <w:pStyle w:val="TextoNormal"/>
      </w:pPr>
    </w:p>
    <w:p w14:paraId="23FFC2BC" w14:textId="23A967CA" w:rsidR="009D7677" w:rsidRDefault="009D7677" w:rsidP="009D7677">
      <w:pPr>
        <w:pStyle w:val="TextoNormal"/>
      </w:pPr>
      <w:r>
        <w:t>El letrado de la Junta de Andalucía plantea, en primer lugar, el incumplimiento por los recurrentes de la carga alegatoria que les resulta exigible y solicita, también con carácter previo, la inadmisión de la alegación relativa a la inconstitucionalidad de la LISTA por defectos en su tramitación parlamentaria, al entender que, en realidad, los recurrentes plantean la contradicción con la Constitución del acuerdo de la mesa del Parlamento de Andalucía de 23 de junio de 2021. Subsidiariamente solicita la íntegra desestimación del recurso. Por su parte, el letrado del Parlamento de Andalucía también interesa que el recurso sea desestimado.</w:t>
      </w:r>
    </w:p>
    <w:p w14:paraId="46B7A8CC" w14:textId="77777777" w:rsidR="009D7677" w:rsidRDefault="009D7677" w:rsidP="009D7677">
      <w:pPr>
        <w:pStyle w:val="TextoNormal"/>
      </w:pPr>
    </w:p>
    <w:p w14:paraId="40290E76" w14:textId="77777777" w:rsidR="009D7677" w:rsidRDefault="009D7677" w:rsidP="009D7677">
      <w:pPr>
        <w:pStyle w:val="TextoNormal"/>
      </w:pPr>
      <w:r w:rsidRPr="009D7677">
        <w:rPr>
          <w:rStyle w:val="NumeroAFNegritaCaracter"/>
        </w:rPr>
        <w:t>2</w:t>
      </w:r>
      <w:r>
        <w:t xml:space="preserve">. </w:t>
      </w:r>
      <w:r w:rsidRPr="009D7677">
        <w:rPr>
          <w:i/>
        </w:rPr>
        <w:t>Cuestiones preliminares: modificaciones sobrevenidas de la norma impugnada, alcance del control de constitucionalidad, cumplimiento de la carga alegatoria y orden de examen de los motivos de impugnación</w:t>
      </w:r>
    </w:p>
    <w:p w14:paraId="1FFE4C0C" w14:textId="77777777" w:rsidR="009D7677" w:rsidRDefault="009D7677" w:rsidP="009D7677">
      <w:pPr>
        <w:pStyle w:val="TextoNormal"/>
      </w:pPr>
    </w:p>
    <w:p w14:paraId="4C08AAA4" w14:textId="77777777" w:rsidR="009D7677" w:rsidRDefault="009D7677" w:rsidP="009D7677">
      <w:pPr>
        <w:pStyle w:val="TextoNormal"/>
      </w:pPr>
      <w:r>
        <w:t>Antes de examinar los concretos motivos de inconstitucionalidad denunciados en el recurso procede realizar una serie de consideraciones preliminares acerca de (a) las modificaciones sobrevenidas de la norma impugnada, (b) el alcance del control de constitucionalidad que compete realizar a este tribunal, (c) el debido cumplimiento de la carga alegatoria que pesa sobre los recurrentes y (d) el orden de examen de los motivos de impugnación.</w:t>
      </w:r>
    </w:p>
    <w:p w14:paraId="765514F8" w14:textId="77777777" w:rsidR="009D7677" w:rsidRDefault="009D7677" w:rsidP="009D7677">
      <w:pPr>
        <w:pStyle w:val="TextoNormal"/>
      </w:pPr>
    </w:p>
    <w:p w14:paraId="72E6F8F8" w14:textId="77777777" w:rsidR="009D7677" w:rsidRDefault="009D7677" w:rsidP="009D7677">
      <w:pPr>
        <w:pStyle w:val="TextoNormal"/>
      </w:pPr>
      <w:r>
        <w:t>a) Durante la pendencia del proceso, la LISTA ha sido reformada por el Decreto-ley 11/2022, de 29 de noviembre. Esa reforma no se refiere a los preceptos impugnados en este recurso, con la única excepción del art. 50.2 d), en punto a la regulación del contenido del acuerdo de declaración de interés autonómico en relación con las inversiones empresariales declaradas de interés estratégico, a efectos de incorporar la determinación por el Consejo de Gobierno de “la administración actuante a los efectos de la ejecución”. Esta modificación no afecta, sin embargo, a lo debatido en el proceso en el que los recurrentes alegan la vulneración por el art. 50 LISTA de la autonomía local (arts. 137 y 140 CE) a causa de la amplitud e inconcreción con que, a su juicio, define los presupuestos y el objeto de los proyectos y actuaciones que pueden ser declarados de interés autonómico y que prioriza frente al planeamiento municipal, de cuyas determinaciones permite, igualmente, prescindir. Por tanto, a la vista del contenido de la modificación legislativa y de la queja que se ha planteado, es forzoso concluir que el recurso pervive en este punto.</w:t>
      </w:r>
    </w:p>
    <w:p w14:paraId="32B93276" w14:textId="77777777" w:rsidR="009D7677" w:rsidRDefault="009D7677" w:rsidP="009D7677">
      <w:pPr>
        <w:pStyle w:val="TextoNormal"/>
      </w:pPr>
    </w:p>
    <w:p w14:paraId="118180DF" w14:textId="77777777" w:rsidR="009D7677" w:rsidRDefault="009D7677" w:rsidP="009D7677">
      <w:pPr>
        <w:pStyle w:val="TextoNormal"/>
      </w:pPr>
      <w:r>
        <w:lastRenderedPageBreak/>
        <w:t>b) En segundo lugar, atendiendo a algunas de las afirmaciones realizadas en la demanda acerca de las finalidades de la ley impugnada, cabe observar que en su adopción “[p]odrán subyacer determinadas concepciones políticas, pero los únicos motivos que este remedio [el recurso de inconstitucionalidad] puede tratar de hacer valer y que este tribunal puede tomar en consideración son los jurídico-constitucionales. Quedan extramuros los juicios de ‘oportunidad política’ (STC 35/2017, de 1 de marzo, FJ 4) o sobre la ‘calidad’ de las leyes (SSTC 341/1993, de 18 de noviembre; 164/1995, de 13 de noviembre, y 341/2005, de 21 de diciembre). El recurso de inconstitucionalidad sirve exclusivamente a la ‘función nomofiláctica o de depuración del ordenamiento jurídico de leyes inconstitucionales encomendada a este tribunal’ (SSTC 90/1994, de 17 de marzo, FJ 2; 102/1995, de 26 de junio, FJ 2, y 2/2018, de 11 de enero, FJ 2)” (STC 97/2018, de 19 de septiembre, FJ 2).</w:t>
      </w:r>
    </w:p>
    <w:p w14:paraId="2D14B7FF" w14:textId="77777777" w:rsidR="009D7677" w:rsidRDefault="009D7677" w:rsidP="009D7677">
      <w:pPr>
        <w:pStyle w:val="TextoNormal"/>
      </w:pPr>
    </w:p>
    <w:p w14:paraId="7EABCCB7" w14:textId="77777777" w:rsidR="009D7677" w:rsidRDefault="009D7677" w:rsidP="009D7677">
      <w:pPr>
        <w:pStyle w:val="TextoNormal"/>
      </w:pPr>
      <w:r>
        <w:t>También, en este sentido, se invoca por los recurrentes un eventual abuso de la norma por parte de las administraciones competentes en la materia por cuanto, a su entender, permitiría autorizar de forma ilimitada o expansiva actuaciones de la más variada naturaleza en el suelo rústico. Estas apreciaciones han de quedar al margen del enjuiciamiento de este tribunal ya que, como en respuesta a una alegación similar señaló la STC 42/2018, de 26 de abril, FJ 5 b), citando la STC 238/2012, de 13 de diciembre, FJ 7, “‘la mera posibilidad de un uso torticero de las normas no puede ser nunca en sí misma motivo bastante para declarar la inconstitucionalidad de estas, pues aunque el Estado de Derecho tiende a la sustitución del gobierno de los hombres por el gobierno de las leyes, no hay ningún legislador, por sabio que sea, capaz de producir leyes de las que un gobernante no pueda hacer mal uso’ (STC 58/1982, de 27 de julio, FJ 2, en el mismo sentido SSTC 132/1989, de 18 de julio, FJ 14; 204/1994, de 11 de julio, FJ 6; 235/2000, de 5 de octubre, FJ 5, y 134/2006, de 27 de abril, FJ 4)”.</w:t>
      </w:r>
    </w:p>
    <w:p w14:paraId="794EBCDF" w14:textId="77777777" w:rsidR="009D7677" w:rsidRDefault="009D7677" w:rsidP="009D7677">
      <w:pPr>
        <w:pStyle w:val="TextoNormal"/>
      </w:pPr>
    </w:p>
    <w:p w14:paraId="33773D9E" w14:textId="77777777" w:rsidR="009D7677" w:rsidRDefault="009D7677" w:rsidP="009D7677">
      <w:pPr>
        <w:pStyle w:val="TextoNormal"/>
      </w:pPr>
      <w:r>
        <w:t>c) Conforme a una consolidada doctrina de este tribunal, “cuando lo que está en juego es la depuración del ordenamiento jurídico, es carga de los recurrentes no sólo la de abrir la vía para que el Tribunal pueda pronunciarse, sino también la de colaborar con la justicia del Tribunal en un pormenorizado análisis de las graves cuestiones que se suscitan. Es justo, pues, hablar […] de una carga del recurrente y en los casos en que aquella no se observe, de una falta de diligencia procesalmente exigible, que es la diligencia de ofrecer la fundamentación que razonablemente es de esperar (STC 11/1981, de 8 de abril, FJ 3, reiterada en las SSTC 43/1986, de 15 de abril, FJ 3; 36/1994, de 10 de febrero, FJ 1, y 61/1997, de 20 de marzo, FJ 13)” (STC 86/2017, de 4 de julio, FJ 2). Por esta razón, el Tribunal no podrá pronunciarse sobre preceptos que, siendo impugnados, los recurrentes no han hecho, más allá de su mera invocación, ninguna alegación, ni han desarrollado un mínimo razonamiento que cuestione su constitucionalidad. Del mismo modo, se advertirá, al abordar el enjuiciamiento de los concretos preceptos en cuestión, los casos en los que, recurriéndose formalmente el precepto entero, la impugnación, en realidad, no se extiende a la totalidad del precepto legal, sino que se limita a algunos de sus apartados, párrafos o incisos.</w:t>
      </w:r>
    </w:p>
    <w:p w14:paraId="55C254B4" w14:textId="77777777" w:rsidR="009D7677" w:rsidRDefault="009D7677" w:rsidP="009D7677">
      <w:pPr>
        <w:pStyle w:val="TextoNormal"/>
      </w:pPr>
    </w:p>
    <w:p w14:paraId="625BB434" w14:textId="5D6E58F0" w:rsidR="009D7677" w:rsidRDefault="009D7677" w:rsidP="009D7677">
      <w:pPr>
        <w:pStyle w:val="TextoNormal"/>
      </w:pPr>
      <w:r>
        <w:t>d) Cumple señalar, por último, que los motivos de inconstitucionalidad alegados por los diputados recurrentes se examinarán en el orden en el que se plantean en la demanda, comenzando con la queja general que, en relación con su tramitación parlamentaria, se for</w:t>
      </w:r>
      <w:r>
        <w:lastRenderedPageBreak/>
        <w:t>mula a la LISTA y examinando, en su caso, a continuación, los concretos preceptos que han sido impugnados.</w:t>
      </w:r>
    </w:p>
    <w:p w14:paraId="354E2482" w14:textId="77777777" w:rsidR="009D7677" w:rsidRDefault="009D7677" w:rsidP="009D7677">
      <w:pPr>
        <w:pStyle w:val="TextoNormal"/>
      </w:pPr>
    </w:p>
    <w:p w14:paraId="6818976B" w14:textId="77777777" w:rsidR="009D7677" w:rsidRDefault="009D7677" w:rsidP="009D7677">
      <w:pPr>
        <w:pStyle w:val="TextoNormal"/>
      </w:pPr>
      <w:r w:rsidRPr="009D7677">
        <w:rPr>
          <w:rStyle w:val="NumeroAFNegritaCaracter"/>
        </w:rPr>
        <w:t>3</w:t>
      </w:r>
      <w:r>
        <w:t xml:space="preserve">. </w:t>
      </w:r>
      <w:r w:rsidRPr="009D7677">
        <w:rPr>
          <w:i/>
        </w:rPr>
        <w:t>Tramitación de la Ley de impulso para la sostenibilidad del territorio de Andalucía por el procedimiento de urgencia: desestimación</w:t>
      </w:r>
    </w:p>
    <w:p w14:paraId="4DFB12C0" w14:textId="77777777" w:rsidR="009D7677" w:rsidRDefault="009D7677" w:rsidP="009D7677">
      <w:pPr>
        <w:pStyle w:val="TextoNormal"/>
      </w:pPr>
    </w:p>
    <w:p w14:paraId="15F61FB4" w14:textId="77777777" w:rsidR="009D7677" w:rsidRDefault="009D7677" w:rsidP="009D7677">
      <w:pPr>
        <w:pStyle w:val="TextoNormal"/>
      </w:pPr>
      <w:r>
        <w:t>Tal y como se  ha dejado constancia en los antecedentes de esta sentencia, los recurrentes censuran por inconstitucional el conjunto de la ley por un vicio en el que, a su juicio, se incurrió en la tramitación parlamentaria, en concreto, por haberse tramitado por el procedimiento de urgencia sin que se diera el presupuesto de hecho habilitante para ello. Este vicio habría determinado la vulneración de los arts. 1.1 y 23.2 CE; y, por otro lado, del art. 108 EAAnd, así como de los arts. 98 y 99, en relación con el art. 110 y concordantes, RPA. También se alega que no se ha justificado, ni en la tramitación del anteproyecto ni en la del proyecto de ley, dicha tramitación de urgencia. Todo ello, a juicio de los recurrentes, determina la afectación al derecho de participación política en la tramitación parlamentaria de la iniciativa, al reducir los plazos para la formulación de enmiendas y dificultar la realización de aportaciones que hubieran permitido enriquecer el texto resultante, mejorar su calidad y reflejar en su articulado final un mayor pluralismo político.</w:t>
      </w:r>
    </w:p>
    <w:p w14:paraId="73D30031" w14:textId="77777777" w:rsidR="009D7677" w:rsidRDefault="009D7677" w:rsidP="009D7677">
      <w:pPr>
        <w:pStyle w:val="TextoNormal"/>
      </w:pPr>
    </w:p>
    <w:p w14:paraId="700B1281" w14:textId="77777777" w:rsidR="009D7677" w:rsidRDefault="009D7677" w:rsidP="009D7677">
      <w:pPr>
        <w:pStyle w:val="TextoNormal"/>
      </w:pPr>
      <w:r>
        <w:t>El letrado de la Junta de Andalucía, por su parte, considera que los vicios de inconstitucionalidad procedimentales serían imputables no a la ley recurrida sino al acuerdo de la mesa del Parlamento de Andalucía por lo que aduce la inadecuación del recurso de inconstitucionalidad para plantear la alegación de los recurrentes y su falta de legitimación para hacer valer su pretensión, así como, con carácter subsidiario, la inexistencia de la vulneración aducida. El letrado del Parlamento de Andalucía, por su parte, interesa también la desestimación de este motivo de inconstitucionalidad ya que el acuerdo de tramitar un proyecto o proposición de ley es una decisión de carácter político, que no ha afectado a los derechos de los diputados, dados los datos que aporta, y que no exige motivación.</w:t>
      </w:r>
    </w:p>
    <w:p w14:paraId="53145B9E" w14:textId="77777777" w:rsidR="009D7677" w:rsidRDefault="009D7677" w:rsidP="009D7677">
      <w:pPr>
        <w:pStyle w:val="TextoNormal"/>
      </w:pPr>
    </w:p>
    <w:p w14:paraId="713E184D" w14:textId="77777777" w:rsidR="009D7677" w:rsidRDefault="009D7677" w:rsidP="009D7677">
      <w:pPr>
        <w:pStyle w:val="TextoNormal"/>
      </w:pPr>
      <w:r>
        <w:t xml:space="preserve">Atendiendo a una reiterada doctrina constitucional sobre el vicio procedimental que se ha imputado a la ley impugnada, “[l]a declaración de urgencia, adoptada por el órgano competente a propuesta de uno de los sujetos legitimados para ello, es una opción procedimentalmente válida, que </w:t>
      </w:r>
      <w:r w:rsidRPr="009D7677">
        <w:rPr>
          <w:i/>
        </w:rPr>
        <w:t>per se</w:t>
      </w:r>
      <w:r>
        <w:t xml:space="preserve"> no da lugar a un vicio de inconstitucionalidad del procedimiento legislativo, pues la reducción del tiempo de tramitación de la iniciativa legislativa como consecuencia de aquella declaración ‘no tiene por qué traducirse en merma alguna de los principios constitucionales que han de informar el procedimiento legislativo en cuanto procedimiento de formación de la voluntad del órgano’ (STC 234/2000, FJ 13; doctrina que reitera ATC 9/2012, FJ 4)” [STC 215/2016, de 15 de diciembre, FJ 5 d)].</w:t>
      </w:r>
    </w:p>
    <w:p w14:paraId="3D1E5645" w14:textId="77777777" w:rsidR="009D7677" w:rsidRDefault="009D7677" w:rsidP="009D7677">
      <w:pPr>
        <w:pStyle w:val="TextoNormal"/>
      </w:pPr>
    </w:p>
    <w:p w14:paraId="1659546E" w14:textId="77777777" w:rsidR="009D7677" w:rsidRDefault="009D7677" w:rsidP="009D7677">
      <w:pPr>
        <w:pStyle w:val="TextoNormal"/>
      </w:pPr>
      <w:r>
        <w:t>De otra parte, “un vicio de procedimiento solo podrá llegar a tener relevancia constitucional cuando su alcance sea de tal magnitud que haya alterado, no de cualquier manera, sino de forma sustancial, el proceso de formación de la voluntad de una Cámara, habiendo afectado, en consecuencia, al ejercicio de la función representativa inherente al estatuto del parlamentario. Dicho esto, debe señalarse a renglón seguido que la decisión de tramitar un proyecto de ley por el procedimiento de urgencia ni es revisable en esta instancia constitucional, al tratarse ‘de una decisión de mera oportunidad política’ (en términos parecidos, ATC 181/2006, de 5 de junio, FJ 4), ni, como ya hemos tenido oportunidad de seña</w:t>
      </w:r>
      <w:r>
        <w:lastRenderedPageBreak/>
        <w:t>lar, priva a las Cámaras ‘del ejercicio de su función legislativa’” [STC 136/2011, FJ 10 e)].</w:t>
      </w:r>
    </w:p>
    <w:p w14:paraId="73B92E4A" w14:textId="77777777" w:rsidR="009D7677" w:rsidRDefault="009D7677" w:rsidP="009D7677">
      <w:pPr>
        <w:pStyle w:val="TextoNormal"/>
      </w:pPr>
    </w:p>
    <w:p w14:paraId="23544678" w14:textId="77777777" w:rsidR="009D7677" w:rsidRDefault="009D7677" w:rsidP="009D7677">
      <w:pPr>
        <w:pStyle w:val="TextoNormal"/>
      </w:pPr>
      <w:r>
        <w:t xml:space="preserve">Pues bien, en este caso, los recurrentes no han concretado en qué aspectos ni han acreditado que la reducción de los plazos de tramitación haya impedido, obstaculizado o limitado las facultades que a los diputados y a los grupos parlamentarios del Parlamento de Andalucía les corresponden en el procedimiento legislativo, habiendo resultado afectado el núcleo esencial de su </w:t>
      </w:r>
      <w:r w:rsidRPr="009D7677">
        <w:rPr>
          <w:i/>
        </w:rPr>
        <w:t>ius in officium</w:t>
      </w:r>
      <w:r>
        <w:t>, ni que como consecuencia de aquella reducción se haya alterado de forma sustancial el proceso de formación de la voluntad de la Cámara [en este sentido, STC 215/2016, FJ 5 d)]. De contrario, afirma el letrado del Parlamento de Andalucía que el plazo de presentación de enmiendas, que fue acortado de acuerdo con los arts. 99 y 113.1 RPA fue posteriormente ampliado en cuatro días más (“Boletín Oficial del Parlamento de Andalucía”, núm. 673, de 4 de octubre de 2021) con lo que el plazo ascendió a doce días siendo de quince el ordinario. Y en dicho plazo se presentaron 768 enmiendas. Tampoco la reducción de plazos impidió la solicitud de comparecencia de agentes sociales (102) y el plazo de redacción de la ponencia fue de diecisiete días, mayor, pues, que el ordinario de quince días.</w:t>
      </w:r>
    </w:p>
    <w:p w14:paraId="3210ACD3" w14:textId="77777777" w:rsidR="009D7677" w:rsidRDefault="009D7677" w:rsidP="009D7677">
      <w:pPr>
        <w:pStyle w:val="TextoNormal"/>
      </w:pPr>
    </w:p>
    <w:p w14:paraId="29B67EB6" w14:textId="0441AD6F" w:rsidR="009D7677" w:rsidRDefault="009D7677" w:rsidP="009D7677">
      <w:pPr>
        <w:pStyle w:val="TextoNormal"/>
      </w:pPr>
      <w:r>
        <w:t>Debe rechazarse, por tanto, la tacha de inconstitucionalidad planteada contra la totalidad de la norma impugnada.</w:t>
      </w:r>
    </w:p>
    <w:p w14:paraId="382B2F97" w14:textId="77777777" w:rsidR="009D7677" w:rsidRDefault="009D7677" w:rsidP="009D7677">
      <w:pPr>
        <w:pStyle w:val="TextoNormal"/>
      </w:pPr>
    </w:p>
    <w:p w14:paraId="3BF848D1" w14:textId="77777777" w:rsidR="009D7677" w:rsidRDefault="009D7677" w:rsidP="009D7677">
      <w:pPr>
        <w:pStyle w:val="TextoNormal"/>
      </w:pPr>
      <w:r w:rsidRPr="009D7677">
        <w:rPr>
          <w:rStyle w:val="NumeroAFNegritaCaracter"/>
        </w:rPr>
        <w:t>4</w:t>
      </w:r>
      <w:r>
        <w:t xml:space="preserve">. </w:t>
      </w:r>
      <w:r w:rsidRPr="009D7677">
        <w:rPr>
          <w:i/>
        </w:rPr>
        <w:t>Enjuiciamiento de los concretos preceptos de la Ley de impulso para la sostenibilidad del territorio de Andalucía que han sido impugnados: encuadramiento competencial y doctrina constitucional acerca de la inconstitucionalidad mediata o indirecta</w:t>
      </w:r>
    </w:p>
    <w:p w14:paraId="20747D20" w14:textId="77777777" w:rsidR="009D7677" w:rsidRDefault="009D7677" w:rsidP="009D7677">
      <w:pPr>
        <w:pStyle w:val="TextoNormal"/>
      </w:pPr>
    </w:p>
    <w:p w14:paraId="24484372" w14:textId="77777777" w:rsidR="009D7677" w:rsidRDefault="009D7677" w:rsidP="009D7677">
      <w:pPr>
        <w:pStyle w:val="TextoNormal"/>
      </w:pPr>
      <w:r>
        <w:t>Abordando ya el examen de los concretos preceptos legales que han sido objeto de recurso es necesario realizar dos precisiones iniciales.</w:t>
      </w:r>
    </w:p>
    <w:p w14:paraId="35C449E7" w14:textId="77777777" w:rsidR="009D7677" w:rsidRDefault="009D7677" w:rsidP="009D7677">
      <w:pPr>
        <w:pStyle w:val="TextoNormal"/>
      </w:pPr>
    </w:p>
    <w:p w14:paraId="50138CE4" w14:textId="77777777" w:rsidR="009D7677" w:rsidRDefault="009D7677" w:rsidP="009D7677">
      <w:pPr>
        <w:pStyle w:val="TextoNormal"/>
      </w:pPr>
      <w:r>
        <w:t>a) En muchas ocasiones, los preceptos de la Ley se impugnan por razones relacionadas con la delimitación de competencias entre el Estado y la Comunidad Autónoma de Andalucía. Por tanto, al plantearse en el presente recurso, siquiera de modo parcial, una controversia con alcance competencial ha de llevarse a cabo el encuadramiento competencial de las cuestiones controvertidas.</w:t>
      </w:r>
    </w:p>
    <w:p w14:paraId="39763B8D" w14:textId="77777777" w:rsidR="009D7677" w:rsidRDefault="009D7677" w:rsidP="009D7677">
      <w:pPr>
        <w:pStyle w:val="TextoNormal"/>
      </w:pPr>
    </w:p>
    <w:p w14:paraId="32F5F919" w14:textId="77777777" w:rsidR="009D7677" w:rsidRDefault="009D7677" w:rsidP="009D7677">
      <w:pPr>
        <w:pStyle w:val="TextoNormal"/>
      </w:pPr>
      <w:r>
        <w:t>La Ley, conforme a su exposición de motivos, se afirma dictada al amparo de las competencias exclusivas de Andalucía en materia de urbanismo, ordenación del territorio y ordenación del litoral, previstas en los apartados 3, 5 y 6 del art. 56 EAAnd. Atendiendo al contenido de la norma y al tenor de los preceptos impugnados por razones competenciales hemos de apreciar que, efectivamente, la materia competencial en la que se insertan tales preceptos es la relativa bien a urbanismo, bien a ordenación del territorio, materias ambas en las que, como se acaba de señalar, Andalucía ostenta competencias exclusivas. La única excepción a dicho encuadramiento competencial de los preceptos impugnados por esa razón es la de la disposición adicional cuarta LISTA que, dado su contenido, relativo a la “Desafectación de vías pecuarias sujetas a planeamiento urbanístico” ha de entenderse dictada al amparo del art. 57 EAAnd que reconoce a la Comunidad Autónoma “competencia exclusiva, sin perjuicio de lo dispuesto en el artículo 149.1.23 de la Constitución, en materia de: […] b) Vías pecuarias”.</w:t>
      </w:r>
    </w:p>
    <w:p w14:paraId="49A8C950" w14:textId="77777777" w:rsidR="009D7677" w:rsidRDefault="009D7677" w:rsidP="009D7677">
      <w:pPr>
        <w:pStyle w:val="TextoNormal"/>
      </w:pPr>
    </w:p>
    <w:p w14:paraId="6F9734C7" w14:textId="77777777" w:rsidR="009D7677" w:rsidRDefault="009D7677" w:rsidP="009D7677">
      <w:pPr>
        <w:pStyle w:val="TextoNormal"/>
      </w:pPr>
      <w:r>
        <w:lastRenderedPageBreak/>
        <w:t>Ahora bien, es pertinente recordar acerca de las competencias autonómicas en materia de urbanismo y ordenación del territorio que, como matizamos en la STC 61/1997, de 20 de marzo, FJ 5, esta exclusividad competencial “no autoriza a desconocer la que, con el mismo carácter, viene reservada al Estado por virtud del art. 149.1 CE, tal como ha precisado la STC 56/1986 (fundamento jurídico 3), referida al urbanismo, y la STC 149/1991 [fundamento jurídico 1 B)], relativa a ordenación del territorio”, por lo que “la competencia autonómica en materia de urbanismo ha de coexistir con aquellas que el Estado ostenta en virtud del art. 149.1 CE, cuyo ejercicio puede condicionar, lícitamente, la competencia de las comunidades autónomas sobre el mencionado sector material”. Esto es, “ha de integrarse sistemáticamente con aquellas otras estatales que, si bien en modo alguno podrían legitimar una regulación general del entero régimen jurídico del suelo, pueden propiciar, sin embargo, que se afecte puntualmente a la materia urbanística (establecimiento de las condiciones básicas que garanticen la igualdad en el ejercicio del derecho de propiedad urbana, determinados aspectos de la expropiación forzosa o de la responsabilidad administrativa)” [STC 61/1997, FJ 6 b)].</w:t>
      </w:r>
    </w:p>
    <w:p w14:paraId="5E6C29AD" w14:textId="77777777" w:rsidR="009D7677" w:rsidRDefault="009D7677" w:rsidP="009D7677">
      <w:pPr>
        <w:pStyle w:val="TextoNormal"/>
      </w:pPr>
    </w:p>
    <w:p w14:paraId="2C0BC450" w14:textId="77777777" w:rsidR="009D7677" w:rsidRDefault="009D7677" w:rsidP="009D7677">
      <w:pPr>
        <w:pStyle w:val="TextoNormal"/>
      </w:pPr>
      <w:r>
        <w:t>Con la finalidad de evitar reiteraciones innecesarias, damos por reproducidos los fundamentos jurídicos 4 y 5 de la STC 141/2014, de 11 de septiembre, con relación al alcance de los títulos competenciales estatales susceptibles de condicionar las competencias autonómicas en materia de urbanismo y ordenación del territorio.</w:t>
      </w:r>
    </w:p>
    <w:p w14:paraId="1F6F2531" w14:textId="77777777" w:rsidR="009D7677" w:rsidRDefault="009D7677" w:rsidP="009D7677">
      <w:pPr>
        <w:pStyle w:val="TextoNormal"/>
      </w:pPr>
    </w:p>
    <w:p w14:paraId="04977A10" w14:textId="77777777" w:rsidR="009D7677" w:rsidRDefault="009D7677" w:rsidP="009D7677">
      <w:pPr>
        <w:pStyle w:val="TextoNormal"/>
      </w:pPr>
      <w:r>
        <w:t>Por otra parte, también ha sido alegada en algunas ocasiones la vulneración del principio constitucional de autonomía local reconocida en los arts. 137 y 140 CE. En lo que a esto último respecta basta con la remisión al fundamento jurídico 6 de la STC 57/2015, de 18 de marzo, que expone la doctrina constitucional sobre dicho principio de autonomía local.</w:t>
      </w:r>
    </w:p>
    <w:p w14:paraId="22FA4B2E" w14:textId="77777777" w:rsidR="009D7677" w:rsidRDefault="009D7677" w:rsidP="009D7677">
      <w:pPr>
        <w:pStyle w:val="TextoNormal"/>
      </w:pPr>
    </w:p>
    <w:p w14:paraId="2077E6B5" w14:textId="77777777" w:rsidR="009D7677" w:rsidRDefault="009D7677" w:rsidP="009D7677">
      <w:pPr>
        <w:pStyle w:val="TextoNormal"/>
      </w:pPr>
      <w:r>
        <w:t>b) En muchas ocasiones, los recurrentes atribuyen vicios de inconstitucionalidad a diversos preceptos de la Ley planteando un supuesto de lo que nuestra doctrina denomina inconstitucionalidad mediata o indirecta por derivar la posible infracción, no de las prescripciones establecidas en la Constitución, sino de los preceptos básicos dictados en su aplicación (en el mismo sentido, en relación con el medio ambiente, STC 7/2012, de 18 de enero, FJ 3). Según nuestra reiterada doctrina (por todas, STC 82/2017, de 22 de junio, FJ 5), para que dicha infracción constitucional exista será necesaria la concurrencia de dos circunstancias: primera, que la norma estatal infringida por la ley autonómica sea, en el doble sentido, material y formal, una norma básica y, por tanto, dictada legítimamente al amparo del correspondiente título competencial que la Constitución haya reservado al Estado y, segunda, que la contradicción entre ambas normas, estatal y autonómica, sea efectiva e insalvable por vía interpretativa.</w:t>
      </w:r>
    </w:p>
    <w:p w14:paraId="005AB464" w14:textId="77777777" w:rsidR="009D7677" w:rsidRDefault="009D7677" w:rsidP="009D7677">
      <w:pPr>
        <w:pStyle w:val="TextoNormal"/>
      </w:pPr>
    </w:p>
    <w:p w14:paraId="4920678F" w14:textId="1BDF2589" w:rsidR="009D7677" w:rsidRDefault="009D7677" w:rsidP="009D7677">
      <w:pPr>
        <w:pStyle w:val="TextoNormal"/>
      </w:pPr>
      <w:r>
        <w:t>Señalado todo lo anterior, podemos ya iniciar el enjuiciamiento que se nos demanda.</w:t>
      </w:r>
    </w:p>
    <w:p w14:paraId="22EB01FB" w14:textId="77777777" w:rsidR="009D7677" w:rsidRDefault="009D7677" w:rsidP="009D7677">
      <w:pPr>
        <w:pStyle w:val="TextoNormal"/>
      </w:pPr>
    </w:p>
    <w:p w14:paraId="669671A6" w14:textId="77777777" w:rsidR="009D7677" w:rsidRDefault="009D7677" w:rsidP="009D7677">
      <w:pPr>
        <w:pStyle w:val="TextoNormal"/>
      </w:pPr>
      <w:r w:rsidRPr="009D7677">
        <w:rPr>
          <w:rStyle w:val="NumeroAFNegritaCaracter"/>
        </w:rPr>
        <w:t>5</w:t>
      </w:r>
      <w:r>
        <w:t xml:space="preserve">. </w:t>
      </w:r>
      <w:r w:rsidRPr="009D7677">
        <w:rPr>
          <w:i/>
        </w:rPr>
        <w:t>Régimen jurídico del suelo rústico: examen del art. 19.1 a) LISTA</w:t>
      </w:r>
    </w:p>
    <w:p w14:paraId="03890795" w14:textId="77777777" w:rsidR="009D7677" w:rsidRDefault="009D7677" w:rsidP="009D7677">
      <w:pPr>
        <w:pStyle w:val="TextoNormal"/>
      </w:pPr>
    </w:p>
    <w:p w14:paraId="74EC9408" w14:textId="77777777" w:rsidR="009D7677" w:rsidRDefault="009D7677" w:rsidP="009D7677">
      <w:pPr>
        <w:pStyle w:val="TextoNormal"/>
      </w:pPr>
      <w:r>
        <w:t>Del título I LISTA, relativo al régimen jurídico del suelo, se impugnan los arts. 19.1 a); 21.1 y 2 b); y 22.1 y 2. En este fundamento jurídico resolveremos la impugnación del art. 19.1 a) LISTA y en el siguiente la del art. 21.1 y 2 b) LISTA.</w:t>
      </w:r>
    </w:p>
    <w:p w14:paraId="6BA21801" w14:textId="77777777" w:rsidR="009D7677" w:rsidRDefault="009D7677" w:rsidP="009D7677">
      <w:pPr>
        <w:pStyle w:val="TextoNormal"/>
      </w:pPr>
    </w:p>
    <w:p w14:paraId="789891B3" w14:textId="77777777" w:rsidR="009D7677" w:rsidRDefault="009D7677" w:rsidP="009D7677">
      <w:pPr>
        <w:pStyle w:val="TextoNormal"/>
      </w:pPr>
      <w:r>
        <w:lastRenderedPageBreak/>
        <w:t>a) El art. 19.1 a), que regula los derechos y deberes de la propiedad del suelo rústico, dispone:</w:t>
      </w:r>
    </w:p>
    <w:p w14:paraId="608E6D98" w14:textId="77777777" w:rsidR="009D7677" w:rsidRDefault="009D7677" w:rsidP="009D7677">
      <w:pPr>
        <w:pStyle w:val="TextoNormal"/>
      </w:pPr>
    </w:p>
    <w:p w14:paraId="5C7AF595" w14:textId="77777777" w:rsidR="009D7677" w:rsidRDefault="009D7677" w:rsidP="009D7677">
      <w:pPr>
        <w:pStyle w:val="TextoNormal"/>
      </w:pPr>
      <w:r>
        <w:t>“1. El contenido urbanístico de la propiedad en suelo rústico comprende los derechos de disposición, uso, disfrute y explotación de los terrenos, lo que incluye los actos precisos para el desarrollo:</w:t>
      </w:r>
    </w:p>
    <w:p w14:paraId="6046186B" w14:textId="77777777" w:rsidR="009D7677" w:rsidRDefault="009D7677" w:rsidP="009D7677">
      <w:pPr>
        <w:pStyle w:val="TextoNormal"/>
      </w:pPr>
    </w:p>
    <w:p w14:paraId="49FE276C" w14:textId="77777777" w:rsidR="009D7677" w:rsidRDefault="009D7677" w:rsidP="009D7677">
      <w:pPr>
        <w:pStyle w:val="TextoNormal"/>
      </w:pPr>
      <w:r>
        <w:t>a) De los usos ordinarios que, de conformidad con lo dispuesto en esta Ley, no se encuentren prohibidos por la ordenación territorial y urbanística, quedando sujetos a las limitaciones y requisitos impuestos por la legislación y planificación aplicables por razón de la materia”.</w:t>
      </w:r>
    </w:p>
    <w:p w14:paraId="16D99F21" w14:textId="77777777" w:rsidR="009D7677" w:rsidRDefault="009D7677" w:rsidP="009D7677">
      <w:pPr>
        <w:pStyle w:val="TextoNormal"/>
      </w:pPr>
    </w:p>
    <w:p w14:paraId="1E86D9CF" w14:textId="77777777" w:rsidR="009D7677" w:rsidRDefault="009D7677" w:rsidP="009D7677">
      <w:pPr>
        <w:pStyle w:val="TextoNormal"/>
      </w:pPr>
      <w:r>
        <w:t xml:space="preserve">Consideran los diputados recurrentes que el inciso del precepto “no se encuentran prohibidos por la ordenación […] urbanística” vulnera directamente el principio de seguridad jurídica enunciado por el art. 9.3 CE y la garantía constitucional de la autonomía local que establece el art. 140 CE, al imponer a las entidades locales una determinada técnica planificadora consistente en la determinación de las actividades prohibidas en suelo rústico, así como indirectamente el art. 149.1.23 CE, por contravenir el art. 13.1 TRLSRU. Se cuestiona el establecimiento que hace la norma de la técnica formal de la prohibición municipal para determinar los usos susceptibles de desarrollo en el suelo rústico, al atribuirle una </w:t>
      </w:r>
      <w:r w:rsidRPr="009D7677">
        <w:rPr>
          <w:i/>
        </w:rPr>
        <w:t>vis</w:t>
      </w:r>
      <w:r>
        <w:t xml:space="preserve"> expansiva de usos y explotaciones incompatibles con los valores ambientales de este tipo de suelo que afectaría, además, al principio de seguridad jurídica, en tanto resultaría inevitable la incertidumbre sobre la normativa aplicable y los intereses jurídicamente tutelados ante los diversos avances técnicos que se fueran produciendo.</w:t>
      </w:r>
    </w:p>
    <w:p w14:paraId="681CCD19" w14:textId="77777777" w:rsidR="009D7677" w:rsidRDefault="009D7677" w:rsidP="009D7677">
      <w:pPr>
        <w:pStyle w:val="TextoNormal"/>
      </w:pPr>
    </w:p>
    <w:p w14:paraId="77A2A0CD" w14:textId="77777777" w:rsidR="009D7677" w:rsidRDefault="009D7677" w:rsidP="009D7677">
      <w:pPr>
        <w:pStyle w:val="TextoNormal"/>
      </w:pPr>
      <w:r>
        <w:t>Las representaciones procesales del Gobierno y del Parlamento andaluz entienden que la regulación ha sido dictada al amparo de las competencias autonómicas en materia de urbanismo y de régimen local, sin lesionar la autonomía o la potestad planificadora de los municipios. La extensa gama de opciones que establece para la regulación municipal de los usos no permitidos no resulta contraria al principio constitucional de seguridad jurídica, en tanto el enunciado del precepto impugnado cumple con las exigencias de certeza, claridad y no confusión normativa del art. 9.3 CE. También interesan la desestimación del motivo relacionado con la vulneración mediata o indirecta del art. 149.1.23 CE, por incumplimiento de la carga alegatoria.</w:t>
      </w:r>
    </w:p>
    <w:p w14:paraId="523743E9" w14:textId="77777777" w:rsidR="009D7677" w:rsidRDefault="009D7677" w:rsidP="009D7677">
      <w:pPr>
        <w:pStyle w:val="TextoNormal"/>
      </w:pPr>
    </w:p>
    <w:p w14:paraId="62FA846B" w14:textId="77777777" w:rsidR="009D7677" w:rsidRDefault="009D7677" w:rsidP="009D7677">
      <w:pPr>
        <w:pStyle w:val="TextoNormal"/>
      </w:pPr>
      <w:r>
        <w:t>Ha de apreciarse en primer lugar que los recurrentes no han incumplido la carga alegatoria respecto a la posible infracción del art. 13.1 TRLSRU con la consiguiente inconstitucionalidad mediata del precepto por vulnerar el art. 149.1.23 CE, pues tal queja se presenta relacionada con la vulneración del art. 140 CE.</w:t>
      </w:r>
    </w:p>
    <w:p w14:paraId="65494AEC" w14:textId="77777777" w:rsidR="009D7677" w:rsidRDefault="009D7677" w:rsidP="009D7677">
      <w:pPr>
        <w:pStyle w:val="TextoNormal"/>
      </w:pPr>
    </w:p>
    <w:p w14:paraId="069057A5" w14:textId="77777777" w:rsidR="009D7677" w:rsidRDefault="009D7677" w:rsidP="009D7677">
      <w:pPr>
        <w:pStyle w:val="TextoNormal"/>
      </w:pPr>
      <w:r>
        <w:t>b) La Ley impugnada señala que “el suelo se clasifica en suelo urbano y suelo rústico”, disponiendo que “[l]a clasificación, categoría y las restantes determinaciones de ordenación territorial y urbanística del suelo vinculan los terrenos y las construcciones, edificaciones y equipamientos a los correspondientes destinos y usos, y definen su función social, delimitando el contenido del derecho de propiedad” (arts. 12 y 15.1 LISTA).</w:t>
      </w:r>
    </w:p>
    <w:p w14:paraId="240FEE07" w14:textId="77777777" w:rsidR="009D7677" w:rsidRDefault="009D7677" w:rsidP="009D7677">
      <w:pPr>
        <w:pStyle w:val="TextoNormal"/>
      </w:pPr>
    </w:p>
    <w:p w14:paraId="05FB3AC4" w14:textId="77777777" w:rsidR="009D7677" w:rsidRDefault="009D7677" w:rsidP="009D7677">
      <w:pPr>
        <w:pStyle w:val="TextoNormal"/>
      </w:pPr>
      <w:r>
        <w:t xml:space="preserve">Concreta, además, en su art. 14.1, las subcategorías que integran la categoría de suelo rústico, entendidas como las que comprenden los terrenos que se deban incluir en alguna o </w:t>
      </w:r>
      <w:r>
        <w:lastRenderedPageBreak/>
        <w:t>algunas de las siguientes: “a) Suelo rústico especialmente protegido por legislación sectorial. Este suelo incluye los terrenos que tengan establecido en la legislación reguladora de los dominios públicos, de protección del medio ambiente, de la naturaleza o del patrimonio histórico, u otras análogas, y previa aprobación de los actos o disposiciones necesarios para su delimitación o identificación cuando así se contemple en dicha legislación, un régimen jurídico sobre los usos del suelo que demande para su integridad y efectividad su clasificación como suelo rústico. b) Suelo rústico preservado por la existencia acreditada de procesos naturales o actividades antrópicas susceptibles de generar riesgos, lo que hace incompatible su transformación mediante la urbanización mientras subsistan dichos procesos o actividades. c) Suelo rústico preservado por la ordenación territorial o urbanística, que incluye los terrenos cuya transformación mediante la urbanización se considere, por los instrumentos de ordenación territorial o urbanística, incompatible con la consecución de los fines y objetivos establecidos en dichos instrumentos por razones de sostenibilidad, protección de los recursos culturales, racionalidad y viabilidad, o por los valores en ellos concurrentes: ecológicos, agrícolas, ganaderos, forestales, paisajísticos, y aquellos que deban ser reservados para usos de interés general, atendiendo a las características y condiciones del municipio. d) Suelo rústico común, que incluye el resto del suelo rústico del término municipal”.</w:t>
      </w:r>
    </w:p>
    <w:p w14:paraId="2BF14495" w14:textId="77777777" w:rsidR="009D7677" w:rsidRDefault="009D7677" w:rsidP="009D7677">
      <w:pPr>
        <w:pStyle w:val="TextoNormal"/>
      </w:pPr>
    </w:p>
    <w:p w14:paraId="33B3EE9C" w14:textId="77777777" w:rsidR="009D7677" w:rsidRDefault="009D7677" w:rsidP="009D7677">
      <w:pPr>
        <w:pStyle w:val="TextoNormal"/>
      </w:pPr>
      <w:r>
        <w:t>Otros preceptos de la Ley hacen referencia a los usos posibles en el suelo rústico. A tal efecto, el impugnado art. 19.1 a) dispone la sujeción de los usos ordinarios no prohibidos por la ordenación territorial y urbanística que vayan a desarrollarse sobre el suelo rústico “a las limitaciones y requisitos impuestos por la legislación y planificación aplicables por razón de la materia”, sujeción reiterada en el art. 20 a); y el art. 19.3 exige expresamente, respecto de los suelos rústicos especialmente protegidos y de los preservados, la compatibilidad de los usos previstos con el régimen de protección al que dicho suelo está sometido, por cuanto los usos “quedarán sometidos a la defensa y mantenimiento de los valores, fines y objetivos que motivaron su protección o preservación conforme al régimen que se establezca en la legislación y ordenación sectorial, territorial y urbanística correspondiente”. Y, por último, las actuaciones ordinarias en suelo rústico, sin perjuicio del resto de autorizaciones que exija la legislación sectorial y de las excepciones establecidas en la Ley, requerirán de licencia urbanística municipal.</w:t>
      </w:r>
    </w:p>
    <w:p w14:paraId="549FF446" w14:textId="77777777" w:rsidR="009D7677" w:rsidRDefault="009D7677" w:rsidP="009D7677">
      <w:pPr>
        <w:pStyle w:val="TextoNormal"/>
      </w:pPr>
    </w:p>
    <w:p w14:paraId="2A8F45CD" w14:textId="77777777" w:rsidR="009D7677" w:rsidRDefault="009D7677" w:rsidP="009D7677">
      <w:pPr>
        <w:pStyle w:val="TextoNormal"/>
      </w:pPr>
      <w:r>
        <w:t>c) Expuesto el marco legal del suelo rústico diseñado por la ley impugnada, examinaremos, en primer lugar, la queja relativa a la vulneración del principio constitucional de seguridad jurídica.</w:t>
      </w:r>
    </w:p>
    <w:p w14:paraId="18725181" w14:textId="77777777" w:rsidR="009D7677" w:rsidRDefault="009D7677" w:rsidP="009D7677">
      <w:pPr>
        <w:pStyle w:val="TextoNormal"/>
      </w:pPr>
    </w:p>
    <w:p w14:paraId="1C00F2FD" w14:textId="77777777" w:rsidR="009D7677" w:rsidRDefault="009D7677" w:rsidP="009D7677">
      <w:pPr>
        <w:pStyle w:val="TextoNormal"/>
      </w:pPr>
      <w:r>
        <w:t xml:space="preserve">El principio de seguridad jurídica previsto en el art. 9.3 CE ha sido entendido por este tribunal como la certeza sobre el ordenamiento jurídico aplicable y los intereses jurídicamente tutelados, procurando “la claridad y no la confusión normativa” (STC 46/1990, de 15 de marzo, FJ 4); así como “la expectativa razonablemente fundada del ciudadano en cuál ha de ser la actuación del poder en aplicación del Derecho” (STC 36/1991, de 14 de febrero, FJ 5). De manera que “solo si en el ordenamiento jurídico en que se insertan, y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infringe el principio de seguridad jurídica” (SSTC 150/1990, de 4 de octubre, FJ 8; </w:t>
      </w:r>
      <w:r>
        <w:lastRenderedPageBreak/>
        <w:t>142/1993, de 22 de abril, FJ 4; 212/1996, de 19 de diciembre, FJ 15; 96/2002, de 25 de abril, FJ 5; 238/2007, de 21 de noviembre, FJ 5; 84/2008, de 21 de julio, FJ 8; 90/2009, de 20 de abril, FJ 4, y 136/2011, de 13 de septiembre, FJ 9).</w:t>
      </w:r>
    </w:p>
    <w:p w14:paraId="3D3D5240" w14:textId="77777777" w:rsidR="009D7677" w:rsidRDefault="009D7677" w:rsidP="009D7677">
      <w:pPr>
        <w:pStyle w:val="TextoNormal"/>
      </w:pPr>
    </w:p>
    <w:p w14:paraId="748BDEF1" w14:textId="77777777" w:rsidR="009D7677" w:rsidRDefault="009D7677" w:rsidP="009D7677">
      <w:pPr>
        <w:pStyle w:val="TextoNormal"/>
      </w:pPr>
      <w:r>
        <w:t>Proyectando esta doctrina sobre el precepto impugnado, y teniendo en cuenta lo que ya se ha expuesto, cabe concluir que su texto no es contrario al principio de seguridad jurídica, entendido como claridad y certeza del Derecho, puesto que su sentido es claro y cierto en el sentido de que viene a establecer que forman parte del contenido urbanístico del derecho de propiedad en suelo rústico aquellos actos precisos para el desarrollo de los usos ordinarios legalmente previstos en ese tipo de suelo, siempre que no estén prohibidos por la ordenación territorial y urbanística. No cabe achacar, por tanto, a la nueva regulación, como hacen los recurrentes, la generación de una inevitable “situación de incertidumbre normativa” cada vez que se produzca un avance técnico a causa del “establecimiento de un periodo temporal de inconsistencia sobrevenida en la protección ambiental del territorio municipal”, en tanto nada obsta, con la salvedad que se expondrá, a que un municipio pueda proceder, a tenor de su artículo 19.1 a), a prohibir todo uso no expresamente permitido en ejercicio de su potestad planificadora del suelo rústico.</w:t>
      </w:r>
    </w:p>
    <w:p w14:paraId="2B1DEAD9" w14:textId="77777777" w:rsidR="009D7677" w:rsidRDefault="009D7677" w:rsidP="009D7677">
      <w:pPr>
        <w:pStyle w:val="TextoNormal"/>
      </w:pPr>
    </w:p>
    <w:p w14:paraId="640811BC" w14:textId="77777777" w:rsidR="009D7677" w:rsidRDefault="009D7677" w:rsidP="009D7677">
      <w:pPr>
        <w:pStyle w:val="TextoNormal"/>
      </w:pPr>
      <w:r>
        <w:t>d) Procede examinar ahora la denunciada vulneración del principio de autonomía local.</w:t>
      </w:r>
    </w:p>
    <w:p w14:paraId="42AA9EBE" w14:textId="77777777" w:rsidR="009D7677" w:rsidRDefault="009D7677" w:rsidP="009D7677">
      <w:pPr>
        <w:pStyle w:val="TextoNormal"/>
      </w:pPr>
    </w:p>
    <w:p w14:paraId="03693A52" w14:textId="77777777" w:rsidR="009D7677" w:rsidRDefault="009D7677" w:rsidP="009D7677">
      <w:pPr>
        <w:pStyle w:val="TextoNormal"/>
      </w:pPr>
      <w:r>
        <w:t>En lo que ahora interesa, hemos tenido ocasión de indicar que la Constitución no asegura un contenido concreto o un ámbito competencial determinado a los entes locales, permitiendo la autonomía local configuraciones legales diversas (SSTC 32/1981, de 28 de julio, FJ 3, y 170/1989, de 19 de octubre, FJ 9). La STC 41/2016, de 3 de marzo, FJ 11 b), lo recuerda cuando afirma que «al distribuir poder local, el Estado y las comunidades autónomas disponen de “libertad de configuración”, pero deben graduar “el alcance o intensidad de la intervención local ‘en función de la relación existente entre los intereses locales y supralocales dentro de tales asuntos o materias’” [STC 154/2015, FJ 6 a), citando las SSTC 32/1981, FJ 4; 170/1989, FJ 9; 51/2004, FJ 9; 95/2014, FJ 5; 57/2015, FJ 6, y 92/2015, FJ 4]».</w:t>
      </w:r>
    </w:p>
    <w:p w14:paraId="4B29A0E2" w14:textId="77777777" w:rsidR="009D7677" w:rsidRDefault="009D7677" w:rsidP="009D7677">
      <w:pPr>
        <w:pStyle w:val="TextoNormal"/>
      </w:pPr>
    </w:p>
    <w:p w14:paraId="593E6E1E" w14:textId="77777777" w:rsidR="009D7677" w:rsidRDefault="009D7677" w:rsidP="009D7677">
      <w:pPr>
        <w:pStyle w:val="TextoNormal"/>
      </w:pPr>
      <w:r>
        <w:t>Corresponde a la comunidad autónoma, en el ejercicio de sus competencias en materia de urbanismo, y en el marco de lo previsto por las normas básicas, concretar los usos posibles en suelo rústico, así como determinar su consideración como ordinarios o no. Tales usos ordinarios a los que se refiere el precepto se definen en el art. 21.1 LISTA como “los usos agrícolas, ganaderos, forestales, cinegéticos, mineros y cualquier otro vinculado a la utilización racional de los recursos naturales que no supongan la transformación de su naturaleza rústica, en los términos que se establezcan reglamentariamente. También son usos ordinarios del suelo rústico los vinculados al aprovechamiento hidráulico, a las energías renovables, los destinados al fomento de proyectos de compensación y de autocompensación de emisiones, actividades mineras, a las telecomunicaciones y, en general, a la ejecución de infraestructuras, instalaciones y servicios técnicos que necesariamente deban discurrir o localizarse en esta clase de suelo”. El desarrollo de tales usos ordinarios, a través de los que se materializan los derechos de disposición, uso, disfrute y explotación de los terrenos clasificados como suelo rústico, corresponde, entre otros instrumentos, a la planificación urbanística municipal.</w:t>
      </w:r>
    </w:p>
    <w:p w14:paraId="4152BCB7" w14:textId="77777777" w:rsidR="009D7677" w:rsidRDefault="009D7677" w:rsidP="009D7677">
      <w:pPr>
        <w:pStyle w:val="TextoNormal"/>
      </w:pPr>
    </w:p>
    <w:p w14:paraId="0BC64981" w14:textId="77777777" w:rsidR="009D7677" w:rsidRDefault="009D7677" w:rsidP="009D7677">
      <w:pPr>
        <w:pStyle w:val="TextoNormal"/>
      </w:pPr>
      <w:r>
        <w:lastRenderedPageBreak/>
        <w:t>En ese contexto, los diputados recurrentes vienen a cuestionar la utilización en la Ley de la técnica de la prohibición municipal expresa, al considerar más adecuada y eficaz la de la especificación local de los usos autorizables en suelo rústico.</w:t>
      </w:r>
    </w:p>
    <w:p w14:paraId="4E702C13" w14:textId="77777777" w:rsidR="009D7677" w:rsidRDefault="009D7677" w:rsidP="009D7677">
      <w:pPr>
        <w:pStyle w:val="TextoNormal"/>
      </w:pPr>
    </w:p>
    <w:p w14:paraId="65C8E7D4" w14:textId="77777777" w:rsidR="009D7677" w:rsidRDefault="009D7677" w:rsidP="009D7677">
      <w:pPr>
        <w:pStyle w:val="TextoNormal"/>
      </w:pPr>
      <w:r>
        <w:t>Tal queja, con la salvedad que luego se expresará, no puede ser estimada en tanto que la opción que expresan los diputados recurrentes es una de las posibles, pero no la única respetuosa con las exigencias del principio constitucional de autonomía local.</w:t>
      </w:r>
    </w:p>
    <w:p w14:paraId="32D14931" w14:textId="77777777" w:rsidR="009D7677" w:rsidRDefault="009D7677" w:rsidP="009D7677">
      <w:pPr>
        <w:pStyle w:val="TextoNormal"/>
      </w:pPr>
    </w:p>
    <w:p w14:paraId="6AA18E81" w14:textId="77777777" w:rsidR="009D7677" w:rsidRDefault="009D7677" w:rsidP="009D7677">
      <w:pPr>
        <w:pStyle w:val="TextoNormal"/>
      </w:pPr>
      <w:r>
        <w:t>Corresponde al legislador sectorial competente por razón de la materia definir el acervo competencial local en este ámbito y, en este caso, lo hace de tal modo que los ayuntamientos conservan su potestad planificadora y la posibilidad de optar por soluciones diversas al regular los usos ordinarios previamente definidos por el legislador urbanístico, determinando cuáles de ellos son posibles y en qué términos. Dado que el legislador autonómico está legitimado “para regular de diversas maneras la actividad urbanística, y para otorgar en ella a los entes locales, y singularmente a los municipios, una mayor o menor presencia y participación en los distintos ámbitos en los cuales tradicionalmente se divide el urbanismo (planeamiento, gestión de los planes y disciplina)”, no cabe sino concluir que el legislador ha respetado la garantía institucional de los elementos esenciales o del núcleo primario del autogobierno de los entes locales territoriales, que les hace reconocibles en tanto que dotados de autogobierno (por todas, STC 159/2001, de 5 de julio, FJ 4), por cuanto se respeta un suficiente margen de decisión en un ámbito de interés municipal preferente como el urbanismo, en particular en relación con la determinación de los usos ordinarios posibles en suelo rústico.</w:t>
      </w:r>
    </w:p>
    <w:p w14:paraId="2DF07857" w14:textId="77777777" w:rsidR="009D7677" w:rsidRDefault="009D7677" w:rsidP="009D7677">
      <w:pPr>
        <w:pStyle w:val="TextoNormal"/>
      </w:pPr>
    </w:p>
    <w:p w14:paraId="1EFB0DA5" w14:textId="65BDBB66" w:rsidR="009D7677" w:rsidRDefault="009D7677" w:rsidP="009D7677">
      <w:pPr>
        <w:pStyle w:val="TextoNormal"/>
      </w:pPr>
      <w:r>
        <w:t xml:space="preserve">Por otra parte, el hecho de que el planeamiento municipal regule usos prohibidos y no actividades permitidas no va a producir, como parecen sostener los recurrentes, el efecto de permitir usos incompatibles con la protección otorgada por el propio legislador autonómico a determinadas clases de suelo rural, como los suelos rústicos especialmente protegidos y los suelos rústicos preservados, en los que los usos del suelo “quedarán sometidos a la defensa y mantenimiento de los valores, fines y objetivos que motivaron su protección o preservación conforme al régimen que se establezca en la legislación y ordenación sectorial, territorial y urbanística correspondiente” (art. 19.3), lo que no es sino un trasunto de los criterios de nuestra doctrina respecto a la regulación estatal en esta materia (STC 42/2018, de 26 de abril, FFJJ 4 y 5, respecto al art. 13.1 TRLSRU). Este precepto impone que “[l]a utilización de los terrenos con valores ambientales, culturales, históricos, arqueológicos, científicos y paisajísticos que sean objeto de protección por la legislación aplicable, quedará siempre sometida a la preservación de dichos valores, y comprenderá únicamente los actos de alteración del estado natural de los terrenos que aquella legislación expresamente autorice”. El mencionado tipo de suelo se corresponde con la subcategoría autonómica de suelo rústico especialmente protegido por legislación sectorial, lo que determina que la utilización de este tipo de terrenos, objeto de protección por la legislación aplicable, comprenderá únicamente los actos de alteración del estado natural de los terrenos que aquella legislación expresamente autorice, regulación que se fundamenta en los arts. 149.1.23 y 149.1.1 CE (STC 42/2018, FJ 4). Para este tipo de suelo se exige que los usos estén expresamente previstos, para así asegurar su exclusión de los procesos de transformación urbanística debido a los valores a proteger. Por tanto, la proyección de esta doctrina a la clasificación del suelo rústico por la que opta la ley impugnada determina que, para el suelo rústico especialmente protegido por legislación sectorial, previsto en el </w:t>
      </w:r>
      <w:r>
        <w:lastRenderedPageBreak/>
        <w:t>art. 14.1 a) LISTA, no solamente es necesario que el uso ordinario no esté prohibido por la ordenación territorial y urbanística, sino que el uso en cuestión ha de estar permitido por dicha ordenación, pues se trata de una limitación que viene impuesta por la legislación aplicable por razón de la materia, tal como señala el último inciso del precepto impugnado. Esta interpretación de conformidad se llevará al fallo.</w:t>
      </w:r>
    </w:p>
    <w:p w14:paraId="1E65AE3E" w14:textId="77777777" w:rsidR="009D7677" w:rsidRDefault="009D7677" w:rsidP="009D7677">
      <w:pPr>
        <w:pStyle w:val="TextoNormal"/>
      </w:pPr>
    </w:p>
    <w:p w14:paraId="4301A5C2" w14:textId="77777777" w:rsidR="009D7677" w:rsidRDefault="009D7677" w:rsidP="009D7677">
      <w:pPr>
        <w:pStyle w:val="TextoNormal"/>
      </w:pPr>
      <w:r w:rsidRPr="009D7677">
        <w:rPr>
          <w:rStyle w:val="NumeroAFNegritaCaracter"/>
        </w:rPr>
        <w:t>6</w:t>
      </w:r>
      <w:r>
        <w:t xml:space="preserve">. </w:t>
      </w:r>
      <w:r w:rsidRPr="009D7677">
        <w:rPr>
          <w:i/>
        </w:rPr>
        <w:t>Actuaciones ordinarias derivadas de la propiedad en suelo rústico. Examen del art. 21.1 y 2 b) LISTA</w:t>
      </w:r>
    </w:p>
    <w:p w14:paraId="20D05A17" w14:textId="77777777" w:rsidR="009D7677" w:rsidRDefault="009D7677" w:rsidP="009D7677">
      <w:pPr>
        <w:pStyle w:val="TextoNormal"/>
      </w:pPr>
    </w:p>
    <w:p w14:paraId="276EA958" w14:textId="77777777" w:rsidR="009D7677" w:rsidRDefault="009D7677" w:rsidP="009D7677">
      <w:pPr>
        <w:pStyle w:val="TextoNormal"/>
      </w:pPr>
      <w:r>
        <w:t>En relación con las actuaciones ordinarias que incluye el contenido de la propiedad de suelo rústico, se impugna el art. 21.1 y 2 b) LISTA, que dispone:</w:t>
      </w:r>
    </w:p>
    <w:p w14:paraId="0BD923D7" w14:textId="77777777" w:rsidR="009D7677" w:rsidRDefault="009D7677" w:rsidP="009D7677">
      <w:pPr>
        <w:pStyle w:val="TextoNormal"/>
      </w:pPr>
    </w:p>
    <w:p w14:paraId="2BB67B68" w14:textId="77777777" w:rsidR="009D7677" w:rsidRDefault="009D7677" w:rsidP="009D7677">
      <w:pPr>
        <w:pStyle w:val="TextoNormal"/>
      </w:pPr>
      <w:r>
        <w:t>“1. Son usos ordinarios del suelo rústico los usos agrícolas, ganaderos, forestales, cinegéticos, mineros y cualquier otro vinculado a la utilización racional de los recursos naturales que no supongan la transformación de su naturaleza rústica, en los términos que se establezcan reglamentariamente. También son usos ordinarios del suelo rústico los vinculados al aprovechamiento hidráulico, a las energías renovables, los destinados al fomento de proyectos de compensación y de autocompensación de emisiones, actividades mineras, a las telecomunicaciones y, en general, a la ejecución de infraestructuras, instalaciones y servicios técnicos que necesariamente deban discurrir o localizarse en esta clase de suelo.</w:t>
      </w:r>
    </w:p>
    <w:p w14:paraId="79C41110" w14:textId="77777777" w:rsidR="009D7677" w:rsidRDefault="009D7677" w:rsidP="009D7677">
      <w:pPr>
        <w:pStyle w:val="TextoNormal"/>
      </w:pPr>
    </w:p>
    <w:p w14:paraId="44B4E1DA" w14:textId="77777777" w:rsidR="009D7677" w:rsidRDefault="009D7677" w:rsidP="009D7677">
      <w:pPr>
        <w:pStyle w:val="TextoNormal"/>
      </w:pPr>
      <w:r>
        <w:t>2. Se consideran actuaciones ordinarias:</w:t>
      </w:r>
    </w:p>
    <w:p w14:paraId="15CDB816" w14:textId="77777777" w:rsidR="009D7677" w:rsidRDefault="009D7677" w:rsidP="009D7677">
      <w:pPr>
        <w:pStyle w:val="TextoNormal"/>
      </w:pPr>
    </w:p>
    <w:p w14:paraId="28585470" w14:textId="77777777" w:rsidR="009D7677" w:rsidRDefault="009D7677" w:rsidP="009D7677">
      <w:pPr>
        <w:pStyle w:val="TextoNormal"/>
      </w:pPr>
      <w:r>
        <w:t>a) […]</w:t>
      </w:r>
    </w:p>
    <w:p w14:paraId="654FB443" w14:textId="77777777" w:rsidR="009D7677" w:rsidRDefault="009D7677" w:rsidP="009D7677">
      <w:pPr>
        <w:pStyle w:val="TextoNormal"/>
      </w:pPr>
    </w:p>
    <w:p w14:paraId="3629B4B6" w14:textId="77777777" w:rsidR="009D7677" w:rsidRDefault="009D7677" w:rsidP="009D7677">
      <w:pPr>
        <w:pStyle w:val="TextoNormal"/>
      </w:pPr>
      <w:r>
        <w:t>b) Las edificaciones destinadas a uso residencial que sean necesarias para el desarrollo de los usos ordinarios del suelo rústico, entre los que se incluyen los alojamientos para personas que desarrollen trabajos por temporada, conforme a los requisitos que se establezcan reglamentariamente”.</w:t>
      </w:r>
    </w:p>
    <w:p w14:paraId="080176B3" w14:textId="77777777" w:rsidR="009D7677" w:rsidRDefault="009D7677" w:rsidP="009D7677">
      <w:pPr>
        <w:pStyle w:val="TextoNormal"/>
      </w:pPr>
    </w:p>
    <w:p w14:paraId="661ECE6C" w14:textId="77777777" w:rsidR="009D7677" w:rsidRDefault="009D7677" w:rsidP="009D7677">
      <w:pPr>
        <w:pStyle w:val="TextoNormal"/>
      </w:pPr>
      <w:r>
        <w:t xml:space="preserve">Entienden los diputados recurrentes que la inclusión, como uso ordinario en este tipo de suelo, de los usos mineros, los vinculados a las energías renovables y actividades mineras y, entre las actuaciones ordinarias, las “edificaciones destinadas a uso residencial” que sean precisas para el desarrollo de los usos ordinarios del suelo rústico, entre los que se citan expresamente los alojamientos para personas que desarrollen trabajos por temporada, supone una vulneración mediata del art. 149.1.23 CE, al rebajar el nivel de protección que deriva del art. 13.1 TRLSRU, por cuanto permiten la implantación de dichos usos en cualquier tipo de suelo rural de los previstos en la Ley. El letrado del Gobierno andaluz rechaza tal incompatibilidad por cuanto estima que no existe contradicción alguna entre el precepto estatal y los autonómicos, en la medida en que se limitan a concretar posibles usos vinculados a la utilización racional de los recursos naturales, tal como exige la norma básica, y en cualquier caso entiende que cabe una interpretación de los preceptos impugnados que permite su encaje constitucional, en cuanto que tal calificación de uso ordinario sería posible en el suelo rústico común. Para la representación procesal del Parlamento de Andalucía no hay infracción de la norma básica, pues se debe realizar una interpretación sistemática de la regulación de los usos mineros en el art. 21.1 LISTA con otros preceptos de la ley, sin que se produzca una disminución del nivel mínimo de tutela exigido por el </w:t>
      </w:r>
      <w:r>
        <w:lastRenderedPageBreak/>
        <w:t>legislador básico ni, por tanto, una contradicción hermenéutica insalvable entre ambas normas.</w:t>
      </w:r>
    </w:p>
    <w:p w14:paraId="63DB5AB1" w14:textId="77777777" w:rsidR="009D7677" w:rsidRDefault="009D7677" w:rsidP="009D7677">
      <w:pPr>
        <w:pStyle w:val="TextoNormal"/>
      </w:pPr>
    </w:p>
    <w:p w14:paraId="188B55AE" w14:textId="77777777" w:rsidR="009D7677" w:rsidRDefault="009D7677" w:rsidP="009D7677">
      <w:pPr>
        <w:pStyle w:val="TextoNormal"/>
      </w:pPr>
      <w:r>
        <w:t>Debe precisarse que el objeto de impugnación, en este caso, no comprende el entero art. 21.1, sino que se limita a la calificación por el legislador andaluz de ciertos usos como ordinarios del suelo rústico. Estos usos son el minero y los vinculados a las energías renovables y actividades mineras, así como la calificación como actuación ordinaria de la posibilidad de implantar las “edificaciones destinadas a uso residencial” que sean precisas para el desarrollo de los usos ordinarios del suelo rústico.</w:t>
      </w:r>
    </w:p>
    <w:p w14:paraId="48579625" w14:textId="77777777" w:rsidR="009D7677" w:rsidRDefault="009D7677" w:rsidP="009D7677">
      <w:pPr>
        <w:pStyle w:val="TextoNormal"/>
      </w:pPr>
    </w:p>
    <w:p w14:paraId="5A31F028" w14:textId="77777777" w:rsidR="009D7677" w:rsidRDefault="009D7677" w:rsidP="009D7677">
      <w:pPr>
        <w:pStyle w:val="TextoNormal"/>
      </w:pPr>
      <w:r>
        <w:t>a) Examinaremos en primer término la queja relativa a la consideración de uso ordinario en suelo rústico del uso minero y de los vinculados a las energías renovables y actividades mineras, para lo que es necesario (i) aludir, de nuevo, a la regulación de la Ley sobre los tipos de suelos y los usos permitidos; (ii) comprobar el alcance y significado de la norma estatal propuesta como parámetro de la autonómica que ha sido impugnada, el art. 13.1 TRLSRU; y (iii) valorar si, apreciado el carácter básico de la norma estatal, existe una contradicción insalvable por vía interpretativa en relación específicamente con los usos que se han cuestionado.</w:t>
      </w:r>
    </w:p>
    <w:p w14:paraId="7BE79C00" w14:textId="77777777" w:rsidR="009D7677" w:rsidRDefault="009D7677" w:rsidP="009D7677">
      <w:pPr>
        <w:pStyle w:val="TextoNormal"/>
      </w:pPr>
    </w:p>
    <w:p w14:paraId="523E01AE" w14:textId="77777777" w:rsidR="009D7677" w:rsidRDefault="009D7677" w:rsidP="009D7677">
      <w:pPr>
        <w:pStyle w:val="TextoNormal"/>
      </w:pPr>
      <w:r>
        <w:t>(i) Ya se ha mencionado que la Ley distingue tres subcategorías de suelo rústico: (a) “suelo rústico especialmente protegido por legislación sectorial”, que incluye terrenos que tengan establecido, en la legislación correspondiente, “un régimen jurídico sobre los usos del suelo que demande para su integridad y efectividad su clasificación como suelo rústico”, (b) “suelo rústico preservado”, que puede serlo “por la existencia acreditada de procesos naturales o actividades antrópicas susceptibles de generar riesgos”, con el objetivo de evitar su transformación mediante la urbanización mientras subsistan dichos procesos o actividades o “por la ordenación territorial o urbanística” cuya transformación mediante la urbanización se considere incompatible con la consecución de los fines y objetivos establecidos en dichos instrumentos “por razones de sostenibilidad, protección de los recursos culturales, racionalidad y viabilidad, o por los valores en ellos concurrentes: ecológicos, agrícolas, ganaderos, forestales, paisajísticos, y aquellos que deban ser reservados para usos de interés general, atendiendo a las características y condiciones del municipio” [art. 14.1 a), b) y c)]. En estos dos casos, es el propio planificador el que decide qué ámbitos territoriales han de ser preservados de procesos de transformación urbanística por hallarse en las circunstancias antes descritas. Y, finalmente, a modo de subcategoría residual, se contempla el (c) “suelo rústico común” [art. 14.1 d)], pues son los terrenos que no deben ser adscritos al suelo protegido ni al preservado y, además, son los que pueden ser soporte de los usos ordinarios y extraordinarios propios del medio rural, así como transformados urbanísticamente de conformidad con los criterios del instrumento de ordenación general y con los principios de sostenibilidad y racionalidad.</w:t>
      </w:r>
    </w:p>
    <w:p w14:paraId="57738A67" w14:textId="77777777" w:rsidR="009D7677" w:rsidRDefault="009D7677" w:rsidP="009D7677">
      <w:pPr>
        <w:pStyle w:val="TextoNormal"/>
      </w:pPr>
    </w:p>
    <w:p w14:paraId="6144E9DF" w14:textId="77777777" w:rsidR="009D7677" w:rsidRDefault="009D7677" w:rsidP="009D7677">
      <w:pPr>
        <w:pStyle w:val="TextoNormal"/>
      </w:pPr>
      <w:r>
        <w:t>A la determinación de los usos ordinarios posibles en tales subcategorías de suelo se destina el art. 21.1, que, como se ha expuesto, ha sido impugnado por la consideración de usos ordinarios en el suelo rústico del uso minero y del vinculado a las energías renovables y las actividades mineras.</w:t>
      </w:r>
    </w:p>
    <w:p w14:paraId="70DD8EB9" w14:textId="77777777" w:rsidR="009D7677" w:rsidRDefault="009D7677" w:rsidP="009D7677">
      <w:pPr>
        <w:pStyle w:val="TextoNormal"/>
      </w:pPr>
    </w:p>
    <w:p w14:paraId="41F5523B" w14:textId="77777777" w:rsidR="009D7677" w:rsidRDefault="009D7677" w:rsidP="009D7677">
      <w:pPr>
        <w:pStyle w:val="TextoNormal"/>
      </w:pPr>
      <w:r>
        <w:lastRenderedPageBreak/>
        <w:t>(ii) El art. 13.1 TRLSRU, norma de contraste del precepto impugnado, tiene tanto formal —disposición final segunda del texto refundido— como materialmente la consideración de básico (SSTC 42/2018, de 26 de abril, FJ 4, y 86/2019, de 20 de junio, FJ 5).</w:t>
      </w:r>
    </w:p>
    <w:p w14:paraId="40AACF7D" w14:textId="77777777" w:rsidR="009D7677" w:rsidRDefault="009D7677" w:rsidP="009D7677">
      <w:pPr>
        <w:pStyle w:val="TextoNormal"/>
      </w:pPr>
    </w:p>
    <w:p w14:paraId="0FBB4971" w14:textId="77777777" w:rsidR="009D7677" w:rsidRDefault="009D7677" w:rsidP="009D7677">
      <w:pPr>
        <w:pStyle w:val="TextoNormal"/>
      </w:pPr>
      <w:r>
        <w:t>Este precepto estatal dispone, en lo que ahora importa, que la utilización del suelo rural, objeto de protección por la legislación aplicable, quedará siempre sometida a la preservación de dichos valores, y comprenderá únicamente los actos de alteración del estado natural de los terrenos que aquella legislación expresamente autorice. Como recuerda la STC 143/2017, de 14 de diciembre, FJ 21, “[a]unque la facultad de edificar es propia del suelo urbanizado o urbano, donde el legislador estatal la ha configurado también como un deber —el deber de edificar en los términos y plazos establecidos por el planeamiento—, esta facultad no está excluida radicalmente de la propiedad del suelo en la situación básica de rural, donde pueden caber tanto las construcciones vinculadas a su explotación primaria como otros usos no vinculados a esta, siempre de acuerdo con lo establecido en el planeamiento y en el marco de la regulación urbanística y de ordenación territorial y la legislación sectorial. Así, entre las facultades de la propiedad del suelo rural, el legislador se refiere a la de disfrutar de los terrenos según su naturaleza y, excepcionalmente, a la de destinarla a usos específicos que sean de interés público o social siempre que contribuyan a la ordenación y desarrollo rurales o que hayan de emplazarse en esa ubicación”.</w:t>
      </w:r>
    </w:p>
    <w:p w14:paraId="72FE9F66" w14:textId="77777777" w:rsidR="009D7677" w:rsidRDefault="009D7677" w:rsidP="009D7677">
      <w:pPr>
        <w:pStyle w:val="TextoNormal"/>
      </w:pPr>
    </w:p>
    <w:p w14:paraId="616EDE88" w14:textId="77777777" w:rsidR="009D7677" w:rsidRDefault="009D7677" w:rsidP="009D7677">
      <w:pPr>
        <w:pStyle w:val="TextoNormal"/>
      </w:pPr>
      <w:r>
        <w:t>Esta regulación estatal se fundamenta, por un lado, en el artículo 149.1.23 CE, en cuanto entronca con “el reconocimiento de un valor medioambiental a todo suelo rural, y no solo al especialmente protegido; es, por tanto, una regla de protección del medio ambiente que, por razones de interés general, el legislador estatal ha considerado, legítimamente, que ha de ser común a todo el territorio nacional” [STC 141/2014, FJ 8 A) a)]. Desde otra perspectiva, ha de considerarse también dictada al amparo del artículo 149.1.1 CE en cuanto que, al exigir, en esos términos, la preservación de este tipo de suelos, delimita negativamente el contenido del derecho de propiedad del suelo en situación rural, especialmente en relación con aquellos merecedores de protección específica y se mueve en el plano de las directrices y normas básicas a las que nos referimos en la STC 141/2014. A estos efectos, debe considerarse que esta norma, siquiera desde una vertiente negativa, incluye condiciones básicas en el ámbito del derecho de la propiedad del suelo [STC 141/2014, FJ 5 B)]. Se trata de una regulación que se encuentra dentro de los márgenes del artículo 149.1.1 CE, en cuanto establece una regla mínima de alcance general a efectos de garantizar la igualdad en las condiciones de ejercicio del derecho de propiedad del suelo y en el cumplimiento de los deberes inherentes a la función social. Conclusiones ambas que este tribunal había alcanzado respecto del artículo 10.1 a) del Real Decreto Legislativo 2/2008, de 20 de junio, por el que se aprueba el texto refundido de la Ley de suelo de 2008 en la STC 141/2014, FJ 8 A) a).</w:t>
      </w:r>
    </w:p>
    <w:p w14:paraId="65DC2602" w14:textId="77777777" w:rsidR="009D7677" w:rsidRDefault="009D7677" w:rsidP="009D7677">
      <w:pPr>
        <w:pStyle w:val="TextoNormal"/>
      </w:pPr>
    </w:p>
    <w:p w14:paraId="71B65DE5" w14:textId="77777777" w:rsidR="009D7677" w:rsidRDefault="009D7677" w:rsidP="009D7677">
      <w:pPr>
        <w:pStyle w:val="TextoNormal"/>
      </w:pPr>
      <w:r>
        <w:t>Por otra parte, como ya señaló la STC 86/2019, FJ 8, “la regulación de los usos en el suelo rústico, su carácter ordinario o no, y su intensidad, es competencia del legislador autonómico, respetando, en todo caso, los criterios básicos establecidos por el legislador estatal. En este caso, el criterio relevante para considerar los usos cuestionados como ‘ordinarios’ es la apreciación de su vinculación al suelo rústico —uso conforme a su naturaleza— y a una explotación racional de los recursos naturales</w:t>
      </w:r>
      <w:r w:rsidRPr="009D7677">
        <w:rPr>
          <w:i/>
        </w:rPr>
        <w:t xml:space="preserve"> (</w:t>
      </w:r>
      <w:r>
        <w:t>ex art. 13.1 TRLSRU)”.</w:t>
      </w:r>
    </w:p>
    <w:p w14:paraId="4E21F256" w14:textId="77777777" w:rsidR="009D7677" w:rsidRDefault="009D7677" w:rsidP="009D7677">
      <w:pPr>
        <w:pStyle w:val="TextoNormal"/>
      </w:pPr>
    </w:p>
    <w:p w14:paraId="0F7160D4" w14:textId="77777777" w:rsidR="009D7677" w:rsidRDefault="009D7677" w:rsidP="009D7677">
      <w:pPr>
        <w:pStyle w:val="TextoNormal"/>
      </w:pPr>
      <w:r>
        <w:lastRenderedPageBreak/>
        <w:t>A este respecto, también recuerda la STC 42/2018, FJ 4, en relación con el art. 13.1 TRLSRU, que “[l]a norma estatal contiene dos criterios que resultan aquí relevantes. El primero, la necesidad de que la utilización de los terrenos con valores ambientales, culturales, históricos, arqueológicos, científicos y paisajísticos está condicionada siempre a la preservación de dichos valores, y el segundo, que los actos de alteración del estado natural de los terrenos han de estar expresamente autorizados por la legislación autonómica. Así pues, los usos posibles del suelo rural que esté sometido a un régimen especial de protección quedan, en todo caso, condicionados a la preservación de los valores que justifican su protección. Condicionamiento que, lógicamente, se extiende a las decisiones que eventualmente pueda adoptar el legislador autonómico en lo que respecta a la transformación de ese suelo que, en todo caso y con tal limitación, han de ser fijadas expresamente por dicha legislación”.</w:t>
      </w:r>
    </w:p>
    <w:p w14:paraId="0B2646FB" w14:textId="77777777" w:rsidR="009D7677" w:rsidRDefault="009D7677" w:rsidP="009D7677">
      <w:pPr>
        <w:pStyle w:val="TextoNormal"/>
      </w:pPr>
    </w:p>
    <w:p w14:paraId="52601D45" w14:textId="77777777" w:rsidR="009D7677" w:rsidRDefault="009D7677" w:rsidP="009D7677">
      <w:pPr>
        <w:pStyle w:val="TextoNormal"/>
      </w:pPr>
      <w:r>
        <w:t>(iii) Señalado todo lo anterior, es de apreciar que se plantea aquí un problema relacionado con el examinado en la STC 86/2019, FJ 8, respecto a la calificación como ordinarios de determinados usos de suelo previstos en la Ley del Parlamento de Canarias 4/2017, de 13 de julio, del suelo y de los espacios naturales protegidos de Canarias, y la proyección de dicha calificación sobre determinadas categorías de suelo rural de las también previstas por el legislador autonómico.</w:t>
      </w:r>
    </w:p>
    <w:p w14:paraId="2956CE0F" w14:textId="77777777" w:rsidR="009D7677" w:rsidRDefault="009D7677" w:rsidP="009D7677">
      <w:pPr>
        <w:pStyle w:val="TextoNormal"/>
      </w:pPr>
    </w:p>
    <w:p w14:paraId="1681126F" w14:textId="77777777" w:rsidR="009D7677" w:rsidRDefault="009D7677" w:rsidP="009D7677">
      <w:pPr>
        <w:pStyle w:val="TextoNormal"/>
      </w:pPr>
      <w:r>
        <w:t>En lo que ahora importa, allí señalamos que “[n]ada se opone a que en los terrenos clasificados por el planeamiento como suelo rústico de protección hidrológica, minera o de infraestructuras, e incluso como suelo rústico común ordinario, los usos extractivo y de infraestructuras tengan carácter de ‘ordinarios’. Cuestión distinta será que la intensidad o el desarrollo de esos usos respondan a una explotación racional de los recursos naturales que no ponga en peligro el valor ínsito a todo suelo rústico. En todo caso, existen, como es sabido, mecanismos para controlar el eventual impacto ambiental de estas actividades o usos; todo ello sin perjuicio de los criterios específicos previstos para estas categorías en la propia legislación canaria (arts. 67, 70 y 71 de la Ley del suelo y de los espacios naturales protegidos de Canarias). La implantación de los usos extractivo y de infraestructuras no puede, sin embargo, reputarse de ‘ordinaria’ en las restantes categorías de suelo rústico, por la excepcionalidad que los mismos representan desde la perspectiva de preservar el valor inherente a todo suelo de esta naturaleza. Así interpretados, los incisos ‘extractivo’ y ‘de infraestructuras’ del artículo 59.1, así como los apartados 3 y 4 del mismo precepto que los definen, no incurren en contradicción alguna con la legislación básica estatal, por lo que se ha de desestimar la impugnación. Esta interpretación será llevada al fallo”.</w:t>
      </w:r>
    </w:p>
    <w:p w14:paraId="365FA720" w14:textId="77777777" w:rsidR="009D7677" w:rsidRDefault="009D7677" w:rsidP="009D7677">
      <w:pPr>
        <w:pStyle w:val="TextoNormal"/>
      </w:pPr>
    </w:p>
    <w:p w14:paraId="6059D68B" w14:textId="77777777" w:rsidR="009D7677" w:rsidRDefault="009D7677" w:rsidP="009D7677">
      <w:pPr>
        <w:pStyle w:val="TextoNormal"/>
      </w:pPr>
      <w:r>
        <w:t>Siendo esta la doctrina constitucional es forzoso que, con las necesarias adaptaciones derivadas de la distinta clasificación del suelo rústico que ha hecho el legislador andaluz, lleguemos a una conclusión similar.</w:t>
      </w:r>
    </w:p>
    <w:p w14:paraId="1DE4008C" w14:textId="77777777" w:rsidR="009D7677" w:rsidRDefault="009D7677" w:rsidP="009D7677">
      <w:pPr>
        <w:pStyle w:val="TextoNormal"/>
      </w:pPr>
    </w:p>
    <w:p w14:paraId="0F5D047A" w14:textId="77777777" w:rsidR="009D7677" w:rsidRDefault="009D7677" w:rsidP="009D7677">
      <w:pPr>
        <w:pStyle w:val="TextoNormal"/>
      </w:pPr>
      <w:r>
        <w:t xml:space="preserve">De esta suerte, no hay objeción a que en los terrenos clasificados por el planeamiento como “suelo rústico común” del art. 14.1 d) LISTA, los usos mineros y vinculados a las energías renovables tengan carácter de “ordinarios”, sin perjuicio de la aplicación de los mecanismos para controlar el eventual impacto ambiental de estas actividades o usos y de la aplicación de los criterios específicos previstos en la propia legislación andaluza (arts. 19, 20 y 21 LISTA) para evitar que la implantación del uso en cuestión produzca la transformación de la naturaleza rústica de los terrenos (lo que sucede cuando la implantación </w:t>
      </w:r>
      <w:r>
        <w:lastRenderedPageBreak/>
        <w:t>de un concreto uso “provoca la pérdida irreversible de su capacidad vegetativa, de manera que esta no puede restaurarse al finalizar la actividad que se desarrolla” según el art. 27.4 del Reglamento general de la Ley de impulso para la sostenibilidad del territorio de Andalucía, aprobado por Decreto 550/2022, de 29 de noviembre). Y sin perjuicio también de advertir que el hecho de que tales usos deban ubicarse en suelo rural no hace que, necesariamente, se trate de un uso vinculado a la utilización racional de los recursos naturales, lo que habrá de valorarse en cada caso. En otras palabras, en este tipo de suelo los usos serán permitidos y calificados como “ordinarios” en tanto no se ponga en riesgo el objetivo último de preservar los valores del suelo rústico.</w:t>
      </w:r>
    </w:p>
    <w:p w14:paraId="44F5CA70" w14:textId="77777777" w:rsidR="009D7677" w:rsidRDefault="009D7677" w:rsidP="009D7677">
      <w:pPr>
        <w:pStyle w:val="TextoNormal"/>
      </w:pPr>
    </w:p>
    <w:p w14:paraId="3D8C26A4" w14:textId="77777777" w:rsidR="009D7677" w:rsidRDefault="009D7677" w:rsidP="009D7677">
      <w:pPr>
        <w:pStyle w:val="TextoNormal"/>
      </w:pPr>
      <w:r>
        <w:t>Distinta es la conclusión, sin embargo, respecto a las restantes subcategorías de suelo rústico, pues en ese caso su calificación como suelo rústico responde a la necesidad de que cuente con una protección específica, protección que se vería enervada por la calificación como ordinarios de tales usos, calificación incompatible con la excepcionalidad e intensidad que los usos mineros y los vinculados a energías renovables representan desde la perspectiva de preservar los valores inherentes al suelo de esta naturaleza que le han hecho merecedor de una protección específica. De ahí que tales usos deban ser excluidos de su calificación como ordinarios en las restantes subcategorías de suelo rústico [en un sentido similar, STC 86/2019, FJ 8 B) a)], sin perjuicio de que, en el resto de suelos rústicos de las letras a), b) y c) del art. 14.1 LISTA, esos usos y actividades pudieran acogerse al régimen de las actuaciones “extraordinarias” del art. 22 LISTA y al resto de condiciones impuestas por el ordenamiento.</w:t>
      </w:r>
    </w:p>
    <w:p w14:paraId="2C14FCDF" w14:textId="77777777" w:rsidR="009D7677" w:rsidRDefault="009D7677" w:rsidP="009D7677">
      <w:pPr>
        <w:pStyle w:val="TextoNormal"/>
      </w:pPr>
    </w:p>
    <w:p w14:paraId="08025038" w14:textId="77777777" w:rsidR="009D7677" w:rsidRDefault="009D7677" w:rsidP="009D7677">
      <w:pPr>
        <w:pStyle w:val="TextoNormal"/>
      </w:pPr>
      <w:r>
        <w:t>Así interpretados, en el sentido de que se trata de usos ordinarios del suelo rústico que son posibles en los terrenos calificados como “suelo rústico común”, los términos “mineros”, “energías renovables” y “actividades mineras” del art. 21.1 LISTA no incurren en contradicción alguna con la legislación básica. Esta interpretación será llevada al fallo.</w:t>
      </w:r>
    </w:p>
    <w:p w14:paraId="422634B4" w14:textId="77777777" w:rsidR="009D7677" w:rsidRDefault="009D7677" w:rsidP="009D7677">
      <w:pPr>
        <w:pStyle w:val="TextoNormal"/>
      </w:pPr>
    </w:p>
    <w:p w14:paraId="3A23903B" w14:textId="77777777" w:rsidR="009D7677" w:rsidRDefault="009D7677" w:rsidP="009D7677">
      <w:pPr>
        <w:pStyle w:val="TextoNormal"/>
      </w:pPr>
      <w:r>
        <w:t>b) Examinaremos ahora la impugnación del art. 21.2 b) LISTA que considera actuación ordinaria en el suelo rústico “[l]as edificaciones destinadas a uso residencial que sean necesarias para el desarrollo de los usos ordinarios del suelo rústico, entre los que se incluyen los alojamientos para personas que desarrollen trabajos por temporada, conforme a los requisitos que se establezcan reglamentariamente”.</w:t>
      </w:r>
    </w:p>
    <w:p w14:paraId="0318997C" w14:textId="77777777" w:rsidR="009D7677" w:rsidRDefault="009D7677" w:rsidP="009D7677">
      <w:pPr>
        <w:pStyle w:val="TextoNormal"/>
      </w:pPr>
    </w:p>
    <w:p w14:paraId="3E7627F4" w14:textId="77777777" w:rsidR="009D7677" w:rsidRDefault="009D7677" w:rsidP="009D7677">
      <w:pPr>
        <w:pStyle w:val="TextoNormal"/>
      </w:pPr>
      <w:r>
        <w:t xml:space="preserve">La queja de los diputados recurrentes, centrada en la infracción genérica del art. 13.1 TRLSRU, se vincula con el reconocimiento por la norma autonómica de usos residenciales o alojativos que, pudiendo ser necesarios para los usos ordinarios agrícolas, en ningún caso encontrarían justificación para su implantación en tanto “por su propia naturaleza requieren de unos servicios urbanos que no pueden obtenerse en los mismos, salvo que ello supusiera la total urbanización de estos territorios”, lo que, a su entender, tiene tal potencial expansivo que convierte la excepción en regla general y contraviene la doctrina constitucional que rechaza la posibilidad de establecer usos en suelo rústico que funcionalmente deban ser implantados en suelo urbano. El letrado del Parlamento de Andalucía ha negado la vulneración denunciada estimando que tales edificaciones son las necesarias para el desarrollo de los usos ordinarios en suelo rústico y se hallan vinculadas a tales usos, siendo el recurso preventivo en este punto, por cuanto estas actuaciones quedan sometidas también a requisitos reglamentarios que concretaran la opción tomada por el legislador autonómico. La representación procesal de la Junta de Andalucía también interesa </w:t>
      </w:r>
      <w:r>
        <w:lastRenderedPageBreak/>
        <w:t>la desestimación del recurso señalando que la queja no se encuentra mínimamente argumentada.</w:t>
      </w:r>
    </w:p>
    <w:p w14:paraId="2DE8DDAE" w14:textId="77777777" w:rsidR="009D7677" w:rsidRDefault="009D7677" w:rsidP="009D7677">
      <w:pPr>
        <w:pStyle w:val="TextoNormal"/>
      </w:pPr>
    </w:p>
    <w:p w14:paraId="5BA66F5D" w14:textId="77777777" w:rsidR="009D7677" w:rsidRDefault="009D7677" w:rsidP="009D7677">
      <w:pPr>
        <w:pStyle w:val="TextoNormal"/>
      </w:pPr>
      <w:r>
        <w:t>Hay que precisar que, aunque se afirma en la demanda la infracción de los derechos inviolables inherentes a la dignidad de la persona, del libre desarrollo de su personalidad y de la prohibición de discriminación por cualquier condición o circunstancia personal o social (arts. 10 y 14 CE), no se invoca como motivo autónomo ni, como ya se advirtió, se cumple con la exigida carga argumental, constituyendo una queja que ha de quedar fuera de nuestro enjuiciamiento al ser meramente formal e instrumental de la alegada vulneración mediata del art. 149.1.23 CE.</w:t>
      </w:r>
    </w:p>
    <w:p w14:paraId="17277757" w14:textId="77777777" w:rsidR="009D7677" w:rsidRDefault="009D7677" w:rsidP="009D7677">
      <w:pPr>
        <w:pStyle w:val="TextoNormal"/>
      </w:pPr>
    </w:p>
    <w:p w14:paraId="3AD97F88" w14:textId="77777777" w:rsidR="009D7677" w:rsidRDefault="009D7677" w:rsidP="009D7677">
      <w:pPr>
        <w:pStyle w:val="TextoNormal"/>
      </w:pPr>
      <w:r>
        <w:t>Respecto a esto último debemos partir de los criterios que señala la doctrina constitucional que ha indicado que la preservación del suelo rural de la urbanización es una norma común o directriz de la política de ordenación territorial y urbanística [STC 141/2014, FJ 8 A)]. Por otra parte, la STC 86/2019, FJ 8 A), señala respecto a los usos previstos en el art. 13.1 TRLSRU que «i) la facultad de edificar no es ajena a la propiedad del suelo en situación básica rural —donde pueden caber tanto las construcciones vinculadas a su explotación primaria como otros usos no vinculados a esta, siempre de acuerdo con lo establecido en el planeamiento y en el marco de la regulación urbanística y de ordenación territorial y la legislación sectorial—. “Así, entre las facultades de la propiedad del suelo rural, el legislador se refiere a la de disfrutar de los terrenos según su naturaleza y, excepcionalmente, a la de destinarla a usos específicos que sean de interés público o social siempre que contribuyan a la ordenación y desarrollo rurales o que hayan de emplazarse en esa ubicación” (STC 143/2017, FJ 21); y ii) corresponde, en este caso, a la comunidad autónoma la regulación de los usos en el suelo rural, la cual “no habrá de limitarse a la fijación de los ‘límites’ de aquellos usos sino que abarcará la definición misma de los usos o aprovechamientos” (STC 164/2001, FJ 31). En conclusión, el hecho de que un concreto tipo de actividad o uso —y por extensión las construcciones o instalaciones vinculadas— no figure entre los previstos expresamente en el artículo 13.1 TRLSRU no implica, necesariamente, la imposibilidad de que sea calificado de “uso ordinario” o primario del suelo rural, pues su regulación concreta corresponderá, entre otros, al legislador urbanístico autonómico. Estamos, pues, ante un listado de usos ordinarios no exhaustivo, pues junto a los mencionados de forma expresa, cabe “cualquier otro” uso siempre que esté vinculado “a la utilización racional de los recursos naturales”. Igualmente, cabe la autorización de “usos excepcionales”, por el procedimiento y con las condiciones previstas en la legislación de ordenación territorial y urbanística, siempre “que sean de interés público o social, que contribuyan a la ordenación y el desarrollo rurales, o que hayan de emplazarse en el medio rural”».</w:t>
      </w:r>
    </w:p>
    <w:p w14:paraId="6B16C3B7" w14:textId="77777777" w:rsidR="009D7677" w:rsidRDefault="009D7677" w:rsidP="009D7677">
      <w:pPr>
        <w:pStyle w:val="TextoNormal"/>
      </w:pPr>
    </w:p>
    <w:p w14:paraId="2C285718" w14:textId="77777777" w:rsidR="009D7677" w:rsidRDefault="009D7677" w:rsidP="009D7677">
      <w:pPr>
        <w:pStyle w:val="TextoNormal"/>
      </w:pPr>
      <w:r>
        <w:t xml:space="preserve">Atendiendo a lo anteriormente expuesto debemos analizar ahora si el impugnado art. 21.2 b) LISTA entra en una insalvable contradicción con el art. 13.1 TRLSRU que sería determinante de su inconstitucionalidad. Para ello se ha de partir de la consideración de que la posibilidad de edificaciones en suelo rural no está impedida por el legislador estatal, si bien, de esa misma norma estatal, también deriva la exigencia de dos criterios, a los que alude la STC 86/2019, FJ 4 b), que han de ser respetados por el legislador autonómico. Tales criterios son la vinculación al medio rural, de suerte que se trate de un uso del suelo rural conforme a su naturaleza, y que se evite una disminución del nivel de protección </w:t>
      </w:r>
      <w:r>
        <w:lastRenderedPageBreak/>
        <w:t>medioambiental exigido por el legislador básico estatal, en el sentido de que se vincule a una explotación racional de los recursos naturales</w:t>
      </w:r>
    </w:p>
    <w:p w14:paraId="3A03C5C2" w14:textId="77777777" w:rsidR="009D7677" w:rsidRDefault="009D7677" w:rsidP="009D7677">
      <w:pPr>
        <w:pStyle w:val="TextoNormal"/>
      </w:pPr>
    </w:p>
    <w:p w14:paraId="7FC2E0A0" w14:textId="77777777" w:rsidR="009D7677" w:rsidRDefault="009D7677" w:rsidP="009D7677">
      <w:pPr>
        <w:pStyle w:val="TextoNormal"/>
      </w:pPr>
      <w:r>
        <w:t>Siendo tales los criterios de la legislación estatal, puede concluirse que la norma autonómica se mueve en el margen que aquella le otorga.</w:t>
      </w:r>
    </w:p>
    <w:p w14:paraId="42205032" w14:textId="77777777" w:rsidR="009D7677" w:rsidRDefault="009D7677" w:rsidP="009D7677">
      <w:pPr>
        <w:pStyle w:val="TextoNormal"/>
      </w:pPr>
    </w:p>
    <w:p w14:paraId="149ED844" w14:textId="77777777" w:rsidR="009D7677" w:rsidRDefault="009D7677" w:rsidP="009D7677">
      <w:pPr>
        <w:pStyle w:val="TextoNormal"/>
      </w:pPr>
      <w:r>
        <w:t>En primer lugar, en ningún caso autoriza la urbanización del suelo rústico, por cuanto la urbanización supone un proceso de transformación del suelo, de conformidad con las actuaciones previstas en el art. 7 TRLSRU, que aquí no se produce. El suelo rústico continúa con esa conceptuación y en ese estado sirve de soporte a la implantación de edificaciones destinadas a uso residencial que sean necesarias para el desarrollo de los usos ordinarios en este tipo de suelo en los términos de la ley impugnada.</w:t>
      </w:r>
    </w:p>
    <w:p w14:paraId="7996BDE9" w14:textId="77777777" w:rsidR="009D7677" w:rsidRDefault="009D7677" w:rsidP="009D7677">
      <w:pPr>
        <w:pStyle w:val="TextoNormal"/>
      </w:pPr>
    </w:p>
    <w:p w14:paraId="0052311A" w14:textId="77777777" w:rsidR="009D7677" w:rsidRDefault="009D7677" w:rsidP="009D7677">
      <w:pPr>
        <w:pStyle w:val="TextoNormal"/>
      </w:pPr>
      <w:r>
        <w:t>En segundo término, ya hemos indicado que la facultad de edificar no es ajena a la propiedad del suelo rústico, en los términos previstos por la regulación urbanística y de ordenación territorial y la legislación sectorial. De ahí que la cuestión se traslade al examen de las garantías que el legislador autonómico ha previsto para asegurar que se cumpla la finalidad de la norma básica, tanto en cuanto a la vinculación de los usos con el carácter rústico del suelo como para asegurar la preservación de sus valores.</w:t>
      </w:r>
    </w:p>
    <w:p w14:paraId="644642DD" w14:textId="77777777" w:rsidR="009D7677" w:rsidRDefault="009D7677" w:rsidP="009D7677">
      <w:pPr>
        <w:pStyle w:val="TextoNormal"/>
      </w:pPr>
    </w:p>
    <w:p w14:paraId="379140CF" w14:textId="77777777" w:rsidR="009D7677" w:rsidRDefault="009D7677" w:rsidP="009D7677">
      <w:pPr>
        <w:pStyle w:val="TextoNormal"/>
      </w:pPr>
      <w:r>
        <w:t>La Ley incorpora varias determinaciones de ese carácter. Así, el art. 6.2 b), aplicable a cualquier clase y uso del suelo, prescribe que “[l]as construcciones, edificaciones o instalaciones deberán ser adecuadas y proporcionadas al uso al que se destinen y presentar características constructivas, tipológicas y estéticas adecuadas para su integración en el entorno donde se ubican, especialmente cuando se sitúen en espacios naturales protegidos o en el entorno de bienes del patrimonio histórico”. Por otra parte, conforme al art. 20 LISTA, las actuaciones en suelo rústico “[d]eberán ser compatibles con el régimen del suelo rústico, con la ordenación territorial y urbanística, y la legislación y planificación sectorial que resulte de aplicación”; no podrán inducir a la formación de nuevos asentamientos, evitando generar demandas de infraestructuras o servicios colectivos, impropios de la naturaleza de esta clase de suelo y “quedarán vinculadas al uso que justifica su implantación, debiendo ser proporcionadas a dicho uso, adecuadas al entorno rural donde se ubican, además de considerar su integración paisajística y optimizar el patrimonio ya edificado”. Tales actuaciones, entre las que se incluyen las aquí cuestionadas, no pueden suponer la transformación de la naturaleza rústica del suelo y han de valorar “las alternativas para su localización sobre el rústico atendiendo a los criterios de: menor impacto sobre el medio ambiente, el paisaje y el patrimonio histórico; funcionalidad y eficiencia; menor coste de ejecución y mantenimiento”, en los términos del art. 21 LISTA, que también exige la licencia urbanística municipal y el resto de autorizaciones que exija la legislación sectorial.</w:t>
      </w:r>
    </w:p>
    <w:p w14:paraId="176416D6" w14:textId="77777777" w:rsidR="009D7677" w:rsidRDefault="009D7677" w:rsidP="009D7677">
      <w:pPr>
        <w:pStyle w:val="TextoNormal"/>
      </w:pPr>
    </w:p>
    <w:p w14:paraId="62F98B02" w14:textId="77777777" w:rsidR="009D7677" w:rsidRDefault="009D7677" w:rsidP="009D7677">
      <w:pPr>
        <w:pStyle w:val="TextoNormal"/>
      </w:pPr>
      <w:r>
        <w:t xml:space="preserve">Muchas de estas determinaciones han sido desarrolladas reglamentariamente a los efectos de la emisión de dicha licencia. Así, por lo que ahora interesa, el Reglamento general de la Ley, aprobado por Decreto 550/2022, de 29 de noviembre, regula esta cuestión en su art. 29, en el que fija determinadas condiciones de implantación para las edificaciones de uso residencial necesarias para el desarrollo de los usos ordinarios y para las edificaciones residenciales en explotaciones agrícolas destinadas al alojamiento de personas que desarrollan trabajos por temporada. A las primeras les exige una localización necesaria en una finca destinada a la explotación agrícola, ganadera, forestal o de otros recursos naturales. </w:t>
      </w:r>
      <w:r>
        <w:lastRenderedPageBreak/>
        <w:t>Actividad que constituye una unidad técnica, económica y empresarial o forma parte de un conjunto integrado de unidades bajo la forma de grupo de empresas, cooperativas u otras formas de gestión empresarial de similar naturaleza; que la ejecución de la vivienda sea una inversión económicamente viable y amortizable en un determinado plazo en relación con los ingresos que genera la explotación y que el destino de la vivienda sea la residencia habitual de sus ocupantes, justificada en funciones de vigilancia, asistencia, gestión o control necesarias para el desarrollo de las actividades de la explotación. Además de las condiciones anteriores, las edificaciones residenciales en explotaciones agrícolas destinadas al alojamiento de personas que desarrollan trabajos por temporada han de cumplir las siguientes: acreditar la necesidad del alojamiento en base a los ciclos agrícolas, al volumen de producción y a la imposibilidad de atender la demanda prevista en las edificaciones existentes en la explotación; tener carácter de alojamiento transitorio al servicio de la explotación agrícola que justifica su implantación y condicionado a la inexistencia de solares dotacionales en suelo urbano donde sea compatible el uso de alojamiento de naturaleza rotatoria.</w:t>
      </w:r>
    </w:p>
    <w:p w14:paraId="0A0632BF" w14:textId="77777777" w:rsidR="009D7677" w:rsidRDefault="009D7677" w:rsidP="009D7677">
      <w:pPr>
        <w:pStyle w:val="TextoNormal"/>
      </w:pPr>
    </w:p>
    <w:p w14:paraId="21C99013" w14:textId="77777777" w:rsidR="009D7677" w:rsidRDefault="009D7677" w:rsidP="009D7677">
      <w:pPr>
        <w:pStyle w:val="TextoNormal"/>
      </w:pPr>
      <w:r>
        <w:t>Finalmente, en tercer lugar, tampoco ha quedado demostrado que la norma, en sí misma, vaya a producir los efectos en los que los recurrentes denuncian, “la total urbanización de estos territorios”, pues se vincula más a las consecuencias de la aplicación del precepto que al precepto en sí. La vulneración que se denuncia no puede atribuirse directamente a la dicción del precepto, sino a su eventual aplicación en concretos supuestos de hecho, lo que es ajeno a un proceso de control abstracto como el recurso de inconstitucionalidad, con independencia de que la sede ordinaria del necesario control de los excesos a que la aplicación de esta norma pudiera dar lugar sea la jurisdicción contencioso-administrativa (en el mismo sentido, ATC 251/2009, de 13 de octubre, FJ 6).</w:t>
      </w:r>
    </w:p>
    <w:p w14:paraId="0668B7EA" w14:textId="77777777" w:rsidR="009D7677" w:rsidRDefault="009D7677" w:rsidP="009D7677">
      <w:pPr>
        <w:pStyle w:val="TextoNormal"/>
      </w:pPr>
    </w:p>
    <w:p w14:paraId="775FF1CA" w14:textId="7A642D59" w:rsidR="009D7677" w:rsidRDefault="009D7677" w:rsidP="009D7677">
      <w:pPr>
        <w:pStyle w:val="TextoNormal"/>
      </w:pPr>
      <w:r>
        <w:t>Consecuentemente, procede desestimar la impugnación del art. 21.2 b) LISTA.</w:t>
      </w:r>
    </w:p>
    <w:p w14:paraId="7C5CD7B0" w14:textId="77777777" w:rsidR="009D7677" w:rsidRDefault="009D7677" w:rsidP="009D7677">
      <w:pPr>
        <w:pStyle w:val="TextoNormal"/>
      </w:pPr>
    </w:p>
    <w:p w14:paraId="76931037" w14:textId="77777777" w:rsidR="009D7677" w:rsidRDefault="009D7677" w:rsidP="009D7677">
      <w:pPr>
        <w:pStyle w:val="TextoNormal"/>
      </w:pPr>
      <w:r w:rsidRPr="009D7677">
        <w:rPr>
          <w:rStyle w:val="NumeroAFNegritaCaracter"/>
        </w:rPr>
        <w:t>7</w:t>
      </w:r>
      <w:r>
        <w:t xml:space="preserve">. </w:t>
      </w:r>
      <w:r w:rsidRPr="009D7677">
        <w:rPr>
          <w:i/>
        </w:rPr>
        <w:t>Actuaciones extraordinarias en suelo rústico. Impugnación de los arts. 22.1 y 22.2 de la Ley de impulso para la sostenibilidad del territorio de Andalucía</w:t>
      </w:r>
    </w:p>
    <w:p w14:paraId="3686048B" w14:textId="77777777" w:rsidR="009D7677" w:rsidRDefault="009D7677" w:rsidP="009D7677">
      <w:pPr>
        <w:pStyle w:val="TextoNormal"/>
      </w:pPr>
    </w:p>
    <w:p w14:paraId="1DBF46BB" w14:textId="77777777" w:rsidR="009D7677" w:rsidRDefault="009D7677" w:rsidP="009D7677">
      <w:pPr>
        <w:pStyle w:val="TextoNormal"/>
      </w:pPr>
      <w:r>
        <w:t>En relación con la definición de las actuaciones extraordinarias en suelo rústico reguladas en el capítulo III del título I, se impugnan los apartados 1 y 2 del art. 22 LISTA, que disponen:</w:t>
      </w:r>
    </w:p>
    <w:p w14:paraId="5527A00B" w14:textId="77777777" w:rsidR="009D7677" w:rsidRDefault="009D7677" w:rsidP="009D7677">
      <w:pPr>
        <w:pStyle w:val="TextoNormal"/>
      </w:pPr>
    </w:p>
    <w:p w14:paraId="6E842902" w14:textId="77777777" w:rsidR="009D7677" w:rsidRDefault="009D7677" w:rsidP="009D7677">
      <w:pPr>
        <w:pStyle w:val="TextoNormal"/>
      </w:pPr>
      <w:r>
        <w:t>“1. En suelo rústico, en municipios que cuenten con instrumento de ordenación urbanística general o en ausencia de este, podrán implantarse con carácter extraordinario y siempre que no estén expresamente prohibidas por la legislación o por la ordenación territorial y urbanística, y respeten el régimen de protección que, en su caso, les sea de aplicación, usos y actuaciones de interés público o social que contribuyan a la ordenación y el desarrollo del medio rural, o que hayan de emplazarse en esta clase de suelo por resultar incompatible su localización en suelo urbano.</w:t>
      </w:r>
    </w:p>
    <w:p w14:paraId="5487A98A" w14:textId="77777777" w:rsidR="009D7677" w:rsidRDefault="009D7677" w:rsidP="009D7677">
      <w:pPr>
        <w:pStyle w:val="TextoNormal"/>
      </w:pPr>
    </w:p>
    <w:p w14:paraId="30ED56F9" w14:textId="77777777" w:rsidR="009D7677" w:rsidRDefault="009D7677" w:rsidP="009D7677">
      <w:pPr>
        <w:pStyle w:val="TextoNormal"/>
      </w:pPr>
      <w:r>
        <w:t xml:space="preserve">2. Las actuaciones podrán tener por objeto la implantación de equipamientos, incluyendo su ampliación, así como usos industriales, terciarios o turísticos y cualesquiera otros que deban implantarse en esta clase de suelo, incluyendo las obras, construcciones, edificaciones, viarios, infraestructuras y servicios técnicos necesarios para su desarrollo. Asimismo, vinculadas a estas actuaciones, podrán autorizarse conjuntamente edificaciones </w:t>
      </w:r>
      <w:r>
        <w:lastRenderedPageBreak/>
        <w:t>destinadas a uso residencial, debiendo garantizarse la proporcionalidad y vinculación entre ambas.</w:t>
      </w:r>
    </w:p>
    <w:p w14:paraId="378CE983" w14:textId="77777777" w:rsidR="009D7677" w:rsidRDefault="009D7677" w:rsidP="009D7677">
      <w:pPr>
        <w:pStyle w:val="TextoNormal"/>
      </w:pPr>
    </w:p>
    <w:p w14:paraId="42CE508C" w14:textId="77777777" w:rsidR="009D7677" w:rsidRDefault="009D7677" w:rsidP="009D7677">
      <w:pPr>
        <w:pStyle w:val="TextoNormal"/>
      </w:pPr>
      <w:r>
        <w:t>En los términos que se establezcan reglamentariamente podrán autorizarse viviendas unifamiliares aisladas, siempre que no induzcan a la formación de nuevos asentamientos conforme a lo dispuesto en el apartado b) del artículo 20 ni impidan el normal desarrollo de los usos ordinarios del suelo rústico”.</w:t>
      </w:r>
    </w:p>
    <w:p w14:paraId="72DC42D7" w14:textId="77777777" w:rsidR="009D7677" w:rsidRDefault="009D7677" w:rsidP="009D7677">
      <w:pPr>
        <w:pStyle w:val="TextoNormal"/>
      </w:pPr>
    </w:p>
    <w:p w14:paraId="100F57E5" w14:textId="77777777" w:rsidR="009D7677" w:rsidRDefault="009D7677" w:rsidP="009D7677">
      <w:pPr>
        <w:pStyle w:val="TextoNormal"/>
      </w:pPr>
      <w:r>
        <w:t>A) El apartado primero del precepto vulnera, según los diputados recurrentes, los arts. 9.3 y 140 CE por idénticas razones a las expuestas en relación con la impugnación del art. 19.1 a) LISTA. Sostienen que la opción por la técnica formal de la prohibición de actuaciones extraordinarias a implantar en suelos rústicos contraviene el principio de seguridad jurídica y la garantía constitucional de la autonomía local, en tanto “con ello el legislador no tuvo otra finalidad que la de desregular la protección del suelo rústico, generando así inconsistencias normativas que puedan ser aprovechadas por el mercado para ampliar las actuaciones posibles en estos suelos. Incluso en contra de la voluntad manifestada por el planificador urbanístico en los planes de ordenación municipales”. Las representaciones procesales del Gobierno y del Parlamento andaluz entienden que la regulación ha sido dictada al amparo de las competencias autonómicas en materia de urbanismo y de régimen local, sin lesionar la autonomía de los municipios, y sostienen la ausencia de argumentación suficiente en la demanda respecto a una eventual vulneración del principio constitucional de seguridad jurídica.</w:t>
      </w:r>
    </w:p>
    <w:p w14:paraId="50C55603" w14:textId="77777777" w:rsidR="009D7677" w:rsidRDefault="009D7677" w:rsidP="009D7677">
      <w:pPr>
        <w:pStyle w:val="TextoNormal"/>
      </w:pPr>
    </w:p>
    <w:p w14:paraId="327234B5" w14:textId="77777777" w:rsidR="009D7677" w:rsidRDefault="009D7677" w:rsidP="009D7677">
      <w:pPr>
        <w:pStyle w:val="TextoNormal"/>
      </w:pPr>
      <w:r>
        <w:t>Hemos señalado ya anteriormente que quedan extramuros del recurso de inconstitucionalidad los juicios de oportunidad política o sobre la calidad de las leyes, sin que la mera posibilidad de un uso torticero de las normas pueda ser motivo bastante en sí misma para declarar su inconstitucionalidad y sin que el Tribunal pueda pronunciarse sobre preceptos que, siendo impugnados, los recurrentes no han hecho, más allá de su mera invocación, ninguna alegación, ni han desarrollado un mínimo razonamiento que cuestione su constitucionalidad. Este es el caso de la alegada contradicción del art. 22.1 LISTA con el art. 9.3 CE.</w:t>
      </w:r>
    </w:p>
    <w:p w14:paraId="1D831ADA" w14:textId="77777777" w:rsidR="009D7677" w:rsidRDefault="009D7677" w:rsidP="009D7677">
      <w:pPr>
        <w:pStyle w:val="TextoNormal"/>
      </w:pPr>
    </w:p>
    <w:p w14:paraId="30434E48" w14:textId="77777777" w:rsidR="009D7677" w:rsidRDefault="009D7677" w:rsidP="009D7677">
      <w:pPr>
        <w:pStyle w:val="TextoNormal"/>
      </w:pPr>
      <w:r>
        <w:t>El art. 22 regula las actuaciones extraordinarias en suelo rústico estableciendo una serie de condiciones para que puedan llevarse a cabo este tipo de actuaciones en esa clase de suelo. Lo que vienen a cuestionar de nuevo los recurrentes, en la misma línea argumental de su impugnación del art. 19.1 a), es la utilización de la técnica de la prohibición municipal expresa, al considerar más adecuada y eficaz la de la especificación local de los usos autorizables en suelo rústico. Conforme a lo expuesto, ya en relación con la regulación de los usos ordinarios admitidos en suelo rústico, al que debemos asimismo remitirnos, con la opción efectuada por el legislador andaluz en el art. 22.1 LISTA no está en entredicho ni se vulnera el derecho de la comunidad local a participar a través de órganos propios en el gobierno y administración de un ámbito de interés municipal preferente, cual es el urbanismo.</w:t>
      </w:r>
    </w:p>
    <w:p w14:paraId="3939220A" w14:textId="77777777" w:rsidR="009D7677" w:rsidRDefault="009D7677" w:rsidP="009D7677">
      <w:pPr>
        <w:pStyle w:val="TextoNormal"/>
      </w:pPr>
    </w:p>
    <w:p w14:paraId="079B5C00" w14:textId="77777777" w:rsidR="009D7677" w:rsidRDefault="009D7677" w:rsidP="009D7677">
      <w:pPr>
        <w:pStyle w:val="TextoNormal"/>
      </w:pPr>
      <w:r>
        <w:t>En este caso, esta conclusión se ve reforzada por dos consideraciones.</w:t>
      </w:r>
    </w:p>
    <w:p w14:paraId="1F8070A7" w14:textId="77777777" w:rsidR="009D7677" w:rsidRDefault="009D7677" w:rsidP="009D7677">
      <w:pPr>
        <w:pStyle w:val="TextoNormal"/>
      </w:pPr>
    </w:p>
    <w:p w14:paraId="2257D26C" w14:textId="77777777" w:rsidR="009D7677" w:rsidRDefault="009D7677" w:rsidP="009D7677">
      <w:pPr>
        <w:pStyle w:val="TextoNormal"/>
      </w:pPr>
      <w:r>
        <w:t xml:space="preserve">La primera es que, como resalta el letrado de la Junta de Andalucía, y resulta también de la regulación impugnada, estas actuaciones extraordinarias en suelo rústico han de </w:t>
      </w:r>
      <w:r>
        <w:lastRenderedPageBreak/>
        <w:t>cumplir tres condiciones: no estar prohibidas por la legislación o por la ordenación territorial y urbanística; respetar el régimen de protección que sea de aplicación según la tipología de suelo rústico de que se trate y que esos usos y actuaciones de interés público o social, bien contribuyan a la ordenación y el desarrollo del medio rural, bien hayan de emplazarse en esta clase de suelo por resultar incompatible su localización en suelo urbano.</w:t>
      </w:r>
    </w:p>
    <w:p w14:paraId="3C5D9AB1" w14:textId="77777777" w:rsidR="009D7677" w:rsidRDefault="009D7677" w:rsidP="009D7677">
      <w:pPr>
        <w:pStyle w:val="TextoNormal"/>
      </w:pPr>
    </w:p>
    <w:p w14:paraId="15D8E638" w14:textId="77777777" w:rsidR="009D7677" w:rsidRDefault="009D7677" w:rsidP="009D7677">
      <w:pPr>
        <w:pStyle w:val="TextoNormal"/>
      </w:pPr>
      <w:r>
        <w:t>La segunda es que, conforme al art. 22.3 LISTA, las actuaciones extraordinarias requieren de una autorización del ayuntamiento, previa a la también preceptiva licencia municipal, que cualifique los terrenos donde pretendan implantarse, con lo que difícilmente puede apreciarse vulneración de la autonomía local por cuanto la propia tramitación de las actuaciones extraordinarias garantiza la intervención local en el doble sentido que se acaba de exponer.</w:t>
      </w:r>
    </w:p>
    <w:p w14:paraId="76A4F798" w14:textId="77777777" w:rsidR="009D7677" w:rsidRDefault="009D7677" w:rsidP="009D7677">
      <w:pPr>
        <w:pStyle w:val="TextoNormal"/>
      </w:pPr>
    </w:p>
    <w:p w14:paraId="02A6AE0D" w14:textId="77777777" w:rsidR="009D7677" w:rsidRDefault="009D7677" w:rsidP="009D7677">
      <w:pPr>
        <w:pStyle w:val="TextoNormal"/>
      </w:pPr>
      <w:r>
        <w:t>Consecuentemente, debe descartarse que el art. 22.1 LISTA vulnere la autonomía local (art. 140 CE).</w:t>
      </w:r>
    </w:p>
    <w:p w14:paraId="13D4E5E2" w14:textId="77777777" w:rsidR="009D7677" w:rsidRDefault="009D7677" w:rsidP="009D7677">
      <w:pPr>
        <w:pStyle w:val="TextoNormal"/>
      </w:pPr>
    </w:p>
    <w:p w14:paraId="74919DD7" w14:textId="77777777" w:rsidR="009D7677" w:rsidRDefault="009D7677" w:rsidP="009D7677">
      <w:pPr>
        <w:pStyle w:val="TextoNormal"/>
      </w:pPr>
      <w:r>
        <w:t xml:space="preserve">B) De otro lado, la regulación por el art. 22.2 LISTA de las actuaciones extraordinarias de posible implantación en suelo rústico rebaja, a juicio de los diputados recurrentes, el nivel de protección </w:t>
      </w:r>
      <w:r w:rsidRPr="009D7677">
        <w:rPr>
          <w:i/>
        </w:rPr>
        <w:t>ex</w:t>
      </w:r>
      <w:r>
        <w:t xml:space="preserve"> art. 149.1.23 CE, infringiendo el art. 13.1 TRLSRU por la amplitud de las actuaciones allí previstas en cualquier subcategoría de suelo rústico, lo que pone en riesgo el suelo rústico protegido y el preservado, así como por permitir la implantación de edificaciones destinadas a uso residencial, e incluso viviendas unifamiliares aisladas, lo que no puede cohonestarse, según los recurrentes, con “la ordenación y el desarrollo del medio rural” a que alude el propio precepto estatal. El representante procesal del Gobierno andaluz sostiene que el precepto impugnado encaja sin dificultad en las exigencias de la legislación básica, resultando plenamente conforme con el art. 13.1 TRLSRU. El letrado del Parlamento rechaza, igualmente, la impugnación sobre la premisa de que, leído en su integridad, el precepto recurrido respeta las bases en la materia, sin que exista contradicción entre el régimen previsto por la norma autonómica y el art. 13.1 TRLSRU.</w:t>
      </w:r>
    </w:p>
    <w:p w14:paraId="5B8C0003" w14:textId="77777777" w:rsidR="009D7677" w:rsidRDefault="009D7677" w:rsidP="009D7677">
      <w:pPr>
        <w:pStyle w:val="TextoNormal"/>
      </w:pPr>
    </w:p>
    <w:p w14:paraId="7B13DF89" w14:textId="77777777" w:rsidR="009D7677" w:rsidRDefault="009D7677" w:rsidP="009D7677">
      <w:pPr>
        <w:pStyle w:val="TextoNormal"/>
      </w:pPr>
      <w:r>
        <w:t>a) Ya hemos señalado que el art. 13.1 TRLSRU es formalmente básico y fija, desde una perspectiva material, una norma mínima de protección ambiental, además de establecer condiciones básicas en el ejercicio del derecho de la propiedad. En lo que ahora importa el art. 13.1 TRLSRU dispone que las facultades del derecho de propiedad incluyen las de usar, disfrutar y disponer de los terrenos de conformidad con su naturaleza, pudiendo destinarse, dentro de los límites que dispongan las leyes y la ordenación territorial y urbanística, a cualquier otro uso vinculado a la utilización racional de los recursos naturales. Y también dispone la necesidad de que la utilización de los terrenos con valores ambientales, culturales, históricos, arqueológicos, científicos y paisajísticos está condicionada siempre a la preservación de dichos valores, y que los actos de alteración del estado natural de los terrenos han de estar expresamente autorizados por la legislación autonómica. Finalmente, también permite que “[c]on carácter excepcional y por el procedimiento y con las condiciones previstas en la legislación de ordenación territorial y urbanística, podrán legitimarse actos y usos específicos que sean de interés público o social, que contribuyan a la ordenación y el desarrollo rurales, o que hayan de emplazarse en el medio rural”.</w:t>
      </w:r>
    </w:p>
    <w:p w14:paraId="20B5780D" w14:textId="77777777" w:rsidR="009D7677" w:rsidRDefault="009D7677" w:rsidP="009D7677">
      <w:pPr>
        <w:pStyle w:val="TextoNormal"/>
      </w:pPr>
    </w:p>
    <w:p w14:paraId="43AE25E1" w14:textId="77777777" w:rsidR="009D7677" w:rsidRDefault="009D7677" w:rsidP="009D7677">
      <w:pPr>
        <w:pStyle w:val="TextoNormal"/>
      </w:pPr>
      <w:r>
        <w:t xml:space="preserve">Es patente, por tanto, que el art. 13.1 TRLSRU no regula los usos posibles del suelo rústico, cuestión que corresponde determinar al legislador autonómico competente por </w:t>
      </w:r>
      <w:r>
        <w:lastRenderedPageBreak/>
        <w:t>razón de la materia, lo que es conforme con la doctrina constitucional que ya ha declarado que, al amparo de estos títulos competenciales, el Estado no puede imponer un determinado modelo territorial o urbanístico a las comunidades autónomas, pero sí incidir o encauzarlo mediante directrices y normas básicas que estas han de respetar. Dentro de esos parámetros, corresponde a las comunidades autónomas optar por el modelo concreto de ordenación territorial y urbanística que estimen más pertinente [STC 141/2014, FJ 6 B); y en el mismo sentido, STC 75/2018, de 5 de julio, FJ 4].</w:t>
      </w:r>
    </w:p>
    <w:p w14:paraId="33552850" w14:textId="77777777" w:rsidR="009D7677" w:rsidRDefault="009D7677" w:rsidP="009D7677">
      <w:pPr>
        <w:pStyle w:val="TextoNormal"/>
      </w:pPr>
    </w:p>
    <w:p w14:paraId="6A769C44" w14:textId="77777777" w:rsidR="009D7677" w:rsidRDefault="009D7677" w:rsidP="009D7677">
      <w:pPr>
        <w:pStyle w:val="TextoNormal"/>
      </w:pPr>
      <w:r>
        <w:t>En relación con los usos previstos en el precepto básico para el suelo rústico, hemos destacado ya que la facultad de edificar no es ajena a la propiedad del suelo en situación básica rural —donde pueden caber tanto las construcciones vinculadas a su explotación primaria como otros usos no vinculados a esta, siempre de acuerdo con lo establecido en el planeamiento y en el marco de la regulación urbanística y de ordenación territorial y la legislación sectorial— (STC 143/2017, FJ 21) y que la regulación autonómica de los usos en el suelo rural “no habrá de limitarse a la fijación de los ‘límites’ de aquellos usos sino que abarcará la definición misma de los usos o aprovechamientos” (STC 164/2001, de 11 de julio, FJ 31). Debemos recordar que, partiendo de que el legislador estatal reconoce su singularidad y condiciona el ejercicio de las facultades que integran el derecho de propiedad sobre este tipo de suelo, corresponderá al legislador autonómico: (i) concretar su clasificación y categorización; (ii) definir y delimitar los usos a que cabe dedicar el suelo rústico, vinculados “a la utilización racional de los recursos naturales”; (iii) determinar las condiciones que podrán legitimar con carácter excepcional y por su interés inherente ciertos actos y usos específicos de carácter extraordinario sobre este tipo de suelo “que sean de interés público o social, que contribuyan a la ordenación y el desarrollo rurales, o que hayan de emplazarse en el medio rural”, en términos del art. 13.1 TRLSRU.</w:t>
      </w:r>
    </w:p>
    <w:p w14:paraId="6F92A741" w14:textId="77777777" w:rsidR="009D7677" w:rsidRDefault="009D7677" w:rsidP="009D7677">
      <w:pPr>
        <w:pStyle w:val="TextoNormal"/>
      </w:pPr>
    </w:p>
    <w:p w14:paraId="15A43298" w14:textId="77777777" w:rsidR="009D7677" w:rsidRDefault="009D7677" w:rsidP="009D7677">
      <w:pPr>
        <w:pStyle w:val="TextoNormal"/>
      </w:pPr>
      <w:r>
        <w:t>La norma estatal no determina cuál sea el interés público o social, la contribución a la ordenación y el desarrollo rural o la necesidad de emplazamiento en el medio rural, que es lo propio de los usos extraordinarios en suelo rústico, sino que se limita a prever determinadas notas de tales actuaciones tales como su carácter excepcional, siempre vinculado a la utilización racional de los recursos naturales; su legitimación “por el procedimiento y con las condiciones previstas en la legislación de ordenación territorial y urbanística” y la exigencia de que “contribuyan a la ordenación y el desarrollo rurales, o que hayan de emplazarse en el medio rural”. A este respecto ya determinó la STC 164/2001, FJ 32, que “más allá de las condiciones básicas mencionadas, a cada comunidad autónoma corresponde determinar tanto el procedimiento de autorización [a lo que se refiere el art. 20.1, párrafo 2, LRSV (Ley 6/1998, de 13 de abril, sobre régimen del suelo y valoraciones)] como qué actuaciones son de interés público”.</w:t>
      </w:r>
    </w:p>
    <w:p w14:paraId="3FF93277" w14:textId="77777777" w:rsidR="009D7677" w:rsidRDefault="009D7677" w:rsidP="009D7677">
      <w:pPr>
        <w:pStyle w:val="TextoNormal"/>
      </w:pPr>
    </w:p>
    <w:p w14:paraId="1F19FC8D" w14:textId="77777777" w:rsidR="009D7677" w:rsidRDefault="009D7677" w:rsidP="009D7677">
      <w:pPr>
        <w:pStyle w:val="TextoNormal"/>
      </w:pPr>
      <w:r>
        <w:t xml:space="preserve">Conforme a la doctrina constitucional expuesta, debe entenderse que el legislador andaluz, en el ejercicio de sus competencias en materia de urbanismo y recurriendo a la tradicional técnica de clasificación, define los usos y actuaciones de interés público o social que pueden implantarse con carácter extraordinario en suelo rústico. Así, el art. 22.2 de la Ley detalla y delimita el posible objeto de las actuaciones extraordinarias en suelo rústico —“podrán tener por objeto la implantación de equipamientos, incluyendo su ampliación, así como usos industriales, terciarios o turísticos y cualesquiera otros que deban implantarse en esta clase de suelo, incluyendo las obras, construcciones, edificaciones, viarios, infraestructuras y servicios técnicos”—, limitándolos, no obstante, a los “necesarios para </w:t>
      </w:r>
      <w:r>
        <w:lastRenderedPageBreak/>
        <w:t>su desarrollo” y exigiendo en todo caso el respeto al régimen de protección que, en su caso, sea de aplicación en función del tipo de suelo de que se trate.</w:t>
      </w:r>
    </w:p>
    <w:p w14:paraId="1C78EC63" w14:textId="77777777" w:rsidR="009D7677" w:rsidRDefault="009D7677" w:rsidP="009D7677">
      <w:pPr>
        <w:pStyle w:val="TextoNormal"/>
      </w:pPr>
    </w:p>
    <w:p w14:paraId="281C3A90" w14:textId="77777777" w:rsidR="009D7677" w:rsidRDefault="009D7677" w:rsidP="009D7677">
      <w:pPr>
        <w:pStyle w:val="TextoNormal"/>
      </w:pPr>
      <w:r>
        <w:t xml:space="preserve">Aunque la facultad de edificar es propia de otras clases de suelo, en las que el legislador estatal la ha configurado también como un deber —el deber de edificar en los términos y plazos establecidos por el planeamiento—, esta facultad no está excluida </w:t>
      </w:r>
      <w:r w:rsidRPr="009D7677">
        <w:rPr>
          <w:i/>
        </w:rPr>
        <w:t>a radice</w:t>
      </w:r>
      <w:r>
        <w:t xml:space="preserve"> de la propiedad del suelo rural siempre que se respete su régimen de protección específico. En esta situación pueden caber tanto las construcciones vinculadas a su explotación primaria, como otros usos no vinculados a esta. De este modo, la voluntad de permitir actuaciones extraordinarias en el suelo rústico corresponde a la legislación urbanística, de indiscutible competencia autonómica, respetando en todo caso las condiciones básicas establecidas por el Estado, como son la preservación del suelo de la urbanización y la garantía de la utilización racional de los recursos naturales, extremos que no se ven cuestionados por la enumeración de las actuaciones extraordinarias que son posibles en suelo rústico. Son aquellas promovidas por las administraciones públicas en ejercicio de sus competencias, las establecidas en los instrumentos de ordenación territorial y las declaradas de interés autonómico, así como las declaradas de interés público o social mediante acuerdo municipal (art. 30 del Reglamento general de la Ley). Además, ya ha quedado señalado que, conforme al art. 19.3 LISTA, en los suelos rústicos especialmente protegidos y en los suelos rústicos preservados, todo tipo de usos queda sometido a la defensa y mantenimiento de los valores, fines y objetivos que motivaron su protección o preservación conforme al régimen que se establezca en la legislación y ordenación sectorial, territorial y urbanística correspondiente, prevaleciendo las determinaciones de los planes de ordenación de recursos naturales sobre el resto de instrumentos de ordenación conforme a la legislación básica estatal.</w:t>
      </w:r>
    </w:p>
    <w:p w14:paraId="28B70576" w14:textId="77777777" w:rsidR="009D7677" w:rsidRDefault="009D7677" w:rsidP="009D7677">
      <w:pPr>
        <w:pStyle w:val="TextoNormal"/>
      </w:pPr>
    </w:p>
    <w:p w14:paraId="7B37CA6D" w14:textId="77777777" w:rsidR="009D7677" w:rsidRDefault="009D7677" w:rsidP="009D7677">
      <w:pPr>
        <w:pStyle w:val="TextoNormal"/>
      </w:pPr>
      <w:r>
        <w:t>b) Un examen separado merece tanto la posible admisión en suelo rústico de edificaciones destinadas a uso residencial como la autorización de viviendas unifamiliares en suelo rústico, previstas respectivamente en el inciso final del primer párrafo del art. 22.2 LISTA y en el segundo párrafo del mismo precepto.</w:t>
      </w:r>
    </w:p>
    <w:p w14:paraId="75CB34EC" w14:textId="77777777" w:rsidR="009D7677" w:rsidRDefault="009D7677" w:rsidP="009D7677">
      <w:pPr>
        <w:pStyle w:val="TextoNormal"/>
      </w:pPr>
    </w:p>
    <w:p w14:paraId="58656F85" w14:textId="77777777" w:rsidR="009D7677" w:rsidRDefault="009D7677" w:rsidP="009D7677">
      <w:pPr>
        <w:pStyle w:val="TextoNormal"/>
      </w:pPr>
      <w:r>
        <w:t>(i) Respecto a las edificaciones destinadas a suelo residencial, el art. 22.2 LISTA las permite con las condiciones siguientes: que se vinculen a las actuaciones extraordinarias en suelo rústico y que se garantice la proporcionalidad y vinculación entre ambas. Dicha regulación ha de contrastarse con lo dispuesto en el art. 13.1 TRLSRU y dicho contraste conduce a concluir que no se ajusta a los criterios fijados por el legislador básico.</w:t>
      </w:r>
    </w:p>
    <w:p w14:paraId="70313477" w14:textId="77777777" w:rsidR="009D7677" w:rsidRDefault="009D7677" w:rsidP="009D7677">
      <w:pPr>
        <w:pStyle w:val="TextoNormal"/>
      </w:pPr>
    </w:p>
    <w:p w14:paraId="6543EE48" w14:textId="77777777" w:rsidR="009D7677" w:rsidRDefault="009D7677" w:rsidP="009D7677">
      <w:pPr>
        <w:pStyle w:val="TextoNormal"/>
      </w:pPr>
      <w:r>
        <w:t xml:space="preserve">El precepto permite que, al amparo de una excepcionalidad de uso de suelo rural para “la implantación de equipamientos, incluyendo su ampliación, así como usos industriales, terciarios o turísticos y cualesquiera otros que deban implantarse en esta clase de suelo”, se haga posible un uso residencial al margen del proceso de urbanización. Uso residencial que no se vincula directamente con las finalidades predicables de las actuaciones extraordinarias en suelo rústico, sino, más precisamente, con la mera existencia de la actuación. Es evidente que el hecho de que una determinada actuación, sea de interés público o social, contribuya a la ordenación y el desarrollo rurales, o haya de emplazarse en el medio rural, no significa que esas mismas notas caractericen también a un uso residencial que pretende vincularse a aquella sin ser el propio de este clase de suelo y que puede permitir un remedo de transformación urbanística vinculado a las actuaciones extraordinarias en suelo rural, pero sin que se garantice que ese uso residencial comparta la finalidad que ha </w:t>
      </w:r>
      <w:r>
        <w:lastRenderedPageBreak/>
        <w:t>motivado la actuación extraordinaria en suelo rústico. Cabe recordar ahora que el legislador estatal ha dispuesto que las instalaciones o construcciones se vinculen directamente con el medio rural y no que sirvan, por vía indirecta, para su transformación. Así, la protección de los valores ambientales que es propia de la norma estatal y que hace que “los usos serán permitidos en tanto no se ponga en riesgo el objetivo último de preservar los valores del suelo rústico” [STC 86/2019, FJ 8 B)], no se ve asegurada por la autonómica que examinamos, por cuanto no es suficiente la referencia legal a conceptos indeterminados, como la vinculación, tal como acabamos de exponer, o la proporcionalidad, respecto de la que el precepto no proporciona criterio alguno. Y esa indeterminación, que cuestiona el cumplimiento de los criterios medioambientales de la norma estatal y la preservación de los valores de todo suelo rústico, no se salva con la regulación reglamentaria que pretende desarrollar esta previsión. La fijación de condiciones de implantación, prevista en el art. 30 del Reglamento general de la Ley, si bien limita la autorización a una vivienda por actuación “cuando sea necesaria para su desarrollo económico y se justifique en funciones de vigilancia, asistencia, gestión o control”, permite que esa regla general no se siga en todo caso pues habilita también que se autorice “un número mayor” y lo desvincula de las anteriores finalidades de esa única vivienda al disponer que será “para las actuaciones que motiven una necesidad diferente”.</w:t>
      </w:r>
    </w:p>
    <w:p w14:paraId="31C78923" w14:textId="77777777" w:rsidR="009D7677" w:rsidRDefault="009D7677" w:rsidP="009D7677">
      <w:pPr>
        <w:pStyle w:val="TextoNormal"/>
      </w:pPr>
    </w:p>
    <w:p w14:paraId="40C788FB" w14:textId="77777777" w:rsidR="009D7677" w:rsidRDefault="009D7677" w:rsidP="009D7677">
      <w:pPr>
        <w:pStyle w:val="TextoNormal"/>
      </w:pPr>
      <w:r>
        <w:t>Por tanto, la excepcionalidad de la situación regulada desde la perspectiva medioambiental que es la propia de la norma básica, en relación con la imposibilidad de permitir desarrollos urbanos en suelo rústico, ha de llevarnos a concluir la inconstitucionalidad del inciso “Asimismo, vinculadas a estas actuaciones, podrán autorizarse conjuntamente edificaciones destinadas a uso residencial, debiendo garantizarse la proporcionalidad y vinculación entre ambas” del art. 22.2 LISTA, por cuanto la insuficiencia de las garantías previstas por el legislador autonómico para evitar un uso del suelo rústico incompatible con sus valores implica el incumplimiento de la vinculación al medio rural dispuesta por el legislador básico y una disminución del nivel de protección medioambiental exigido por aquel.</w:t>
      </w:r>
    </w:p>
    <w:p w14:paraId="1F2FCE91" w14:textId="77777777" w:rsidR="009D7677" w:rsidRDefault="009D7677" w:rsidP="009D7677">
      <w:pPr>
        <w:pStyle w:val="TextoNormal"/>
      </w:pPr>
    </w:p>
    <w:p w14:paraId="7E7FA9AB" w14:textId="77777777" w:rsidR="009D7677" w:rsidRDefault="009D7677" w:rsidP="009D7677">
      <w:pPr>
        <w:pStyle w:val="TextoNormal"/>
      </w:pPr>
      <w:r>
        <w:t>(ii) El segundo párrafo del art. 22.2 LISTA permite, en los términos que se establezcan reglamentariamente, la autorización de viviendas unifamiliares aisladas sin vinculación concreta a usos ordinarios ni extraordinarios en esta clase de suelo. Posibilidad condicionada a que no induzcan a la formación de nuevos asentamientos conforme a lo dispuesto en el apartado b) del artículo 20, ni impidan el normal desarrollo de los usos ordinarios del suelo rústico y se cumplan también los criterios fijados reglamentariamente.</w:t>
      </w:r>
    </w:p>
    <w:p w14:paraId="5BDF5E89" w14:textId="77777777" w:rsidR="009D7677" w:rsidRDefault="009D7677" w:rsidP="009D7677">
      <w:pPr>
        <w:pStyle w:val="TextoNormal"/>
      </w:pPr>
    </w:p>
    <w:p w14:paraId="046A7593" w14:textId="77777777" w:rsidR="009D7677" w:rsidRDefault="009D7677" w:rsidP="009D7677">
      <w:pPr>
        <w:pStyle w:val="TextoNormal"/>
      </w:pPr>
      <w:r>
        <w:t>A diferencia del caso anterior, aquí no se vulnera la normativa básica pues, por un lado, se incluye la prohibición legal expresa de formación de nuevos asentamientos y, por otro, se determina la imposibilidad de impedir el normal desarrollo de los usos ordinarios del suelo rústico, extremos ambos desarrollados reglamentariamente en los arts. 24 y 31 del Reglamento general de la Ley. De ambos deriva que no exista aquí el riesgo de incumplir las finalidades de la norma básica, por cuanto se excluye cualquier posibilidad de urbanización y tampoco se impide el uso del suelo rural, conforme a sus valores a proteger. A lo que se añade la regulación de las normas de aplicación directa del art. 6.2 LISTA, en punto a los requisitos que ha de cumplir toda construcción o edificación, en especial la exigencia de que “deberán ser adecuadas y proporcionadas al uso al que se destinen y presen</w:t>
      </w:r>
      <w:r>
        <w:lastRenderedPageBreak/>
        <w:t>tar características constructivas, tipológicas y estéticas adecuadas para su integración en el entorno donde se ubican” [letra b)].</w:t>
      </w:r>
    </w:p>
    <w:p w14:paraId="7ABDA8A1" w14:textId="77777777" w:rsidR="009D7677" w:rsidRDefault="009D7677" w:rsidP="009D7677">
      <w:pPr>
        <w:pStyle w:val="TextoNormal"/>
      </w:pPr>
    </w:p>
    <w:p w14:paraId="5BCF0AF5" w14:textId="77777777" w:rsidR="009D7677" w:rsidRDefault="009D7677" w:rsidP="009D7677">
      <w:pPr>
        <w:pStyle w:val="TextoNormal"/>
      </w:pPr>
      <w:r>
        <w:t>Por lo demás, es de apreciar la numerosa normativa autonómica que regula esta cuestión, sin que haya sido controvertida por los motivos que ahora alegan los diputados recurrentes; así, sin ánimo de exhaustividad, art. 211 del texto refundido de la Ley de ordenación del territorio, urbanismo y paisaje de Comunidad Valenciana, aprobado por Decreto Legislativo 1/2021, de 18 de junio; art. 34.2 del texto refundido de la Ley de urbanismo de Aragón, aprobado por Decreto Legislativo 1/2014, de 8 de julio; art. 54.1.2 f) del texto refundido de la Ley de ordenación del territorio y de la actividad urbanística de Castilla-La Mancha, aprobado por Decreto Legislativo 1/2023, de 28 de febrero; art. 52 de la Ley 5/2006, de 2 de mayo, de ordenación del territorio y urbanismo de La Rioja; art. 124 del texto refundido de las disposiciones legales vigentes en materia de ordenación del territorio y urbanismo del Principado de Asturias, aprobado por Decreto Legislativo 1/2004, de 22 de abril; art. 116 del texto refundido de la Ley Foral de ordenación del territorio y urbanismo, aprobado por Decreto Foral Legislativo 1/2017, de 26 de julio; art. 50.2 d) de la Ley 5/2022, de 15 de julio, de ordenación del territorio y urbanismo de Cantabria; art. 67.4 e) de la Ley 11/2018, de 21 de diciembre, de ordenación territorial y urbanística sostenible de Extremadura; y art. 25 de la Ley 6/1997, de 8 de julio, del suelo rústico de las Illes Balears.</w:t>
      </w:r>
    </w:p>
    <w:p w14:paraId="3E28F283" w14:textId="77777777" w:rsidR="009D7677" w:rsidRDefault="009D7677" w:rsidP="009D7677">
      <w:pPr>
        <w:pStyle w:val="TextoNormal"/>
      </w:pPr>
    </w:p>
    <w:p w14:paraId="6B2E4F94" w14:textId="69285BCF" w:rsidR="009D7677" w:rsidRDefault="009D7677" w:rsidP="009D7677">
      <w:pPr>
        <w:pStyle w:val="TextoNormal"/>
      </w:pPr>
      <w:r>
        <w:t>Por todo lo expuesto, ha de declararse la inconstitucionalidad y nulidad del inciso “Asimismo, vinculadas a estas actuaciones, podrán autorizarse conjuntamente edificaciones destinadas a uso residencial, debiendo garantizarse la proporcionalidad y vinculación entre ambas” del art. 22.2 LISTA, desestimando los restantes motivos de impugnación dirigidos contra este precepto.</w:t>
      </w:r>
    </w:p>
    <w:p w14:paraId="436BC874" w14:textId="77777777" w:rsidR="009D7677" w:rsidRDefault="009D7677" w:rsidP="009D7677">
      <w:pPr>
        <w:pStyle w:val="TextoNormal"/>
      </w:pPr>
    </w:p>
    <w:p w14:paraId="2794B0CB" w14:textId="77777777" w:rsidR="009D7677" w:rsidRDefault="009D7677" w:rsidP="009D7677">
      <w:pPr>
        <w:pStyle w:val="TextoNormal"/>
      </w:pPr>
      <w:r w:rsidRPr="009D7677">
        <w:rPr>
          <w:rStyle w:val="NumeroAFNegritaCaracter"/>
        </w:rPr>
        <w:t>8</w:t>
      </w:r>
      <w:r>
        <w:t xml:space="preserve">. </w:t>
      </w:r>
      <w:r w:rsidRPr="009D7677">
        <w:rPr>
          <w:i/>
        </w:rPr>
        <w:t>Impugnación del artículo 50 de la Ley de impulso para la sostenibilidad del territorio de Andalucía relativo a las declaraciones de interés autonómico</w:t>
      </w:r>
    </w:p>
    <w:p w14:paraId="0F4912DC" w14:textId="77777777" w:rsidR="009D7677" w:rsidRDefault="009D7677" w:rsidP="009D7677">
      <w:pPr>
        <w:pStyle w:val="TextoNormal"/>
      </w:pPr>
    </w:p>
    <w:p w14:paraId="17A963ED" w14:textId="77777777" w:rsidR="009D7677" w:rsidRDefault="009D7677" w:rsidP="009D7677">
      <w:pPr>
        <w:pStyle w:val="TextoNormal"/>
      </w:pPr>
      <w:r>
        <w:t>Del título III, cuyo objeto es el régimen jurídico de la ordenación territorial, se impugnan los arts. 50 y 53 LISTA. Examinaremos ambos preceptos separadamente, comenzando por el art. 50 LISTA.</w:t>
      </w:r>
    </w:p>
    <w:p w14:paraId="262F5940" w14:textId="77777777" w:rsidR="009D7677" w:rsidRDefault="009D7677" w:rsidP="009D7677">
      <w:pPr>
        <w:pStyle w:val="TextoNormal"/>
      </w:pPr>
    </w:p>
    <w:p w14:paraId="1D5BC217" w14:textId="77777777" w:rsidR="009D7677" w:rsidRDefault="009D7677" w:rsidP="009D7677">
      <w:pPr>
        <w:pStyle w:val="TextoNormal"/>
      </w:pPr>
      <w:r>
        <w:t>Antes de la modificación del apartado 2 d) del art. 50 por el Decreto-ley de la Junta de Andalucía 11/2022, de 29 de noviembre, el art. 50 LISTA, relativo a la declaración de interés autonómico en Andalucía, establecía en su redacción original, que es la impugnada, lo siguiente:</w:t>
      </w:r>
    </w:p>
    <w:p w14:paraId="60C0399C" w14:textId="77777777" w:rsidR="009D7677" w:rsidRDefault="009D7677" w:rsidP="009D7677">
      <w:pPr>
        <w:pStyle w:val="TextoNormal"/>
      </w:pPr>
    </w:p>
    <w:p w14:paraId="0825402C" w14:textId="77777777" w:rsidR="009D7677" w:rsidRDefault="009D7677" w:rsidP="009D7677">
      <w:pPr>
        <w:pStyle w:val="TextoNormal"/>
      </w:pPr>
      <w:r>
        <w:t>“1. El Consejo de Gobierno podrá declarar de interés autonómico, por su especial relevancia derivada de su magnitud, su proyección social y económica o su importancia para la estructuración territorial de Andalucía:</w:t>
      </w:r>
    </w:p>
    <w:p w14:paraId="73718328" w14:textId="77777777" w:rsidR="009D7677" w:rsidRDefault="009D7677" w:rsidP="009D7677">
      <w:pPr>
        <w:pStyle w:val="TextoNormal"/>
      </w:pPr>
    </w:p>
    <w:p w14:paraId="6418F592" w14:textId="77777777" w:rsidR="009D7677" w:rsidRDefault="009D7677" w:rsidP="009D7677">
      <w:pPr>
        <w:pStyle w:val="TextoNormal"/>
      </w:pPr>
      <w:r>
        <w:t>a) Las actuaciones de carácter público contempladas en planes de ordenación del territorio y en planes con incidencia territorial. Estas actuaciones podrán ejecutarse mediante la colaboración público-privada.</w:t>
      </w:r>
    </w:p>
    <w:p w14:paraId="7128D2A5" w14:textId="77777777" w:rsidR="009D7677" w:rsidRDefault="009D7677" w:rsidP="009D7677">
      <w:pPr>
        <w:pStyle w:val="TextoNormal"/>
      </w:pPr>
    </w:p>
    <w:p w14:paraId="394C2A47" w14:textId="77777777" w:rsidR="009D7677" w:rsidRDefault="009D7677" w:rsidP="009D7677">
      <w:pPr>
        <w:pStyle w:val="TextoNormal"/>
      </w:pPr>
      <w:r>
        <w:lastRenderedPageBreak/>
        <w:t>b) Las actividades de intervención singular, de carácter público, relativas a los ámbitos sectoriales que tengan incidencia supralocal, en los términos establecidos en esta Ley.</w:t>
      </w:r>
    </w:p>
    <w:p w14:paraId="7D18DAE0" w14:textId="77777777" w:rsidR="009D7677" w:rsidRDefault="009D7677" w:rsidP="009D7677">
      <w:pPr>
        <w:pStyle w:val="TextoNormal"/>
      </w:pPr>
    </w:p>
    <w:p w14:paraId="0ED2E48C" w14:textId="77777777" w:rsidR="009D7677" w:rsidRDefault="009D7677" w:rsidP="009D7677">
      <w:pPr>
        <w:pStyle w:val="TextoNormal"/>
      </w:pPr>
      <w:r>
        <w:t>c) Las inversiones empresariales declaradas de interés estratégico para Andalucía, conforme a su normativa específica.</w:t>
      </w:r>
    </w:p>
    <w:p w14:paraId="6691C03E" w14:textId="77777777" w:rsidR="009D7677" w:rsidRDefault="009D7677" w:rsidP="009D7677">
      <w:pPr>
        <w:pStyle w:val="TextoNormal"/>
      </w:pPr>
    </w:p>
    <w:p w14:paraId="20E0FC1D" w14:textId="77777777" w:rsidR="009D7677" w:rsidRDefault="009D7677" w:rsidP="009D7677">
      <w:pPr>
        <w:pStyle w:val="TextoNormal"/>
      </w:pPr>
      <w:r>
        <w:t>2. La declaración de interés autonómico se ajustará al siguiente procedimiento:</w:t>
      </w:r>
    </w:p>
    <w:p w14:paraId="6656CCA9" w14:textId="77777777" w:rsidR="009D7677" w:rsidRDefault="009D7677" w:rsidP="009D7677">
      <w:pPr>
        <w:pStyle w:val="TextoNormal"/>
      </w:pPr>
    </w:p>
    <w:p w14:paraId="6A3B4C34" w14:textId="77777777" w:rsidR="009D7677" w:rsidRDefault="009D7677" w:rsidP="009D7677">
      <w:pPr>
        <w:pStyle w:val="TextoNormal"/>
      </w:pPr>
      <w:r>
        <w:t>a) La propuesta de la declaración corresponderá a la consejería competente en materia de ordenación del territorio y urbanismo, previa iniciativa de la consejería competente en razón a la actuación. En el caso de inversiones empresariales, previa declaración de interés estratégico de la actuación por el órgano competente, conforme a su normativa específica.</w:t>
      </w:r>
    </w:p>
    <w:p w14:paraId="68B8F46D" w14:textId="77777777" w:rsidR="009D7677" w:rsidRDefault="009D7677" w:rsidP="009D7677">
      <w:pPr>
        <w:pStyle w:val="TextoNormal"/>
      </w:pPr>
    </w:p>
    <w:p w14:paraId="7B7D0C83" w14:textId="77777777" w:rsidR="009D7677" w:rsidRDefault="009D7677" w:rsidP="009D7677">
      <w:pPr>
        <w:pStyle w:val="TextoNormal"/>
      </w:pPr>
      <w:r>
        <w:t>b) Para la declaración se aportará estudio previo, anteproyecto u otro documento de análogo alcance, a los que se acompañará memoria justificativa en la que se acredite su especial relevancia para el desarrollo social, territorial y económico de Andalucía.</w:t>
      </w:r>
    </w:p>
    <w:p w14:paraId="06752343" w14:textId="77777777" w:rsidR="009D7677" w:rsidRDefault="009D7677" w:rsidP="009D7677">
      <w:pPr>
        <w:pStyle w:val="TextoNormal"/>
      </w:pPr>
    </w:p>
    <w:p w14:paraId="7BF8EB58" w14:textId="77777777" w:rsidR="009D7677" w:rsidRDefault="009D7677" w:rsidP="009D7677">
      <w:pPr>
        <w:pStyle w:val="TextoNormal"/>
      </w:pPr>
      <w:r>
        <w:t>En caso de que la actuación suponga la innovación del planeamiento urbanístico del municipio o municipios afectados, se aportará la documentación necesaria para justificar su viabilidad urbanística.</w:t>
      </w:r>
    </w:p>
    <w:p w14:paraId="483EB5CD" w14:textId="77777777" w:rsidR="009D7677" w:rsidRDefault="009D7677" w:rsidP="009D7677">
      <w:pPr>
        <w:pStyle w:val="TextoNormal"/>
      </w:pPr>
    </w:p>
    <w:p w14:paraId="269DA2BC" w14:textId="77777777" w:rsidR="009D7677" w:rsidRDefault="009D7677" w:rsidP="009D7677">
      <w:pPr>
        <w:pStyle w:val="TextoNormal"/>
      </w:pPr>
      <w:r>
        <w:t>c) La declaración requerirá de información pública por plazo no inferior a un mes, así como de audiencia a las administraciones públicas gestoras de intereses públicos afectados, a las que se requerirán los informes o pronunciamientos preceptivos. Cuando deban emitirse por órganos pertenecientes a la Comunidad Autónoma, los plazos de emisión quedarán reducidos a la mitad. Simultáneamente se acordará su remisión al ayuntamiento en cuyo término municipal se ubique la actuación para consulta y concertación de sus contenidos por plazo no inferior a dos meses. Transcurrido dicho plazo, la consejería competente en materia de ordenación del territorio y urbanismo podrá proseguir con la propuesta, previos informes justificativos de la falta de acuerdo.</w:t>
      </w:r>
    </w:p>
    <w:p w14:paraId="1C337ED1" w14:textId="77777777" w:rsidR="009D7677" w:rsidRDefault="009D7677" w:rsidP="009D7677">
      <w:pPr>
        <w:pStyle w:val="TextoNormal"/>
      </w:pPr>
    </w:p>
    <w:p w14:paraId="3F835AE1" w14:textId="77777777" w:rsidR="009D7677" w:rsidRDefault="009D7677" w:rsidP="009D7677">
      <w:pPr>
        <w:pStyle w:val="TextoNormal"/>
      </w:pPr>
      <w:r>
        <w:t>d) En el acuerdo de declaración de interés autonómico, el Consejo de Gobierno determinará su alcance y las condiciones para su desarrollo.</w:t>
      </w:r>
    </w:p>
    <w:p w14:paraId="60194E1A" w14:textId="77777777" w:rsidR="009D7677" w:rsidRDefault="009D7677" w:rsidP="009D7677">
      <w:pPr>
        <w:pStyle w:val="TextoNormal"/>
      </w:pPr>
    </w:p>
    <w:p w14:paraId="1C241201" w14:textId="77777777" w:rsidR="009D7677" w:rsidRDefault="009D7677" w:rsidP="009D7677">
      <w:pPr>
        <w:pStyle w:val="TextoNormal"/>
      </w:pPr>
      <w:r>
        <w:t>En el acuerdo se podrán adoptar cuantas medidas se precisen para la construcción y explotación de las obras de titularidad pública por la administración de la Junta de Andalucía o, en su caso, mediante la intervención de sus empresas públicas.</w:t>
      </w:r>
    </w:p>
    <w:p w14:paraId="7E42856E" w14:textId="77777777" w:rsidR="009D7677" w:rsidRDefault="009D7677" w:rsidP="009D7677">
      <w:pPr>
        <w:pStyle w:val="TextoNormal"/>
      </w:pPr>
    </w:p>
    <w:p w14:paraId="07D8E8D1" w14:textId="77777777" w:rsidR="009D7677" w:rsidRDefault="009D7677" w:rsidP="009D7677">
      <w:pPr>
        <w:pStyle w:val="TextoNormal"/>
      </w:pPr>
      <w:r>
        <w:t>Para las inversiones empresariales declaradas de interés estratégico, el Consejo de Gobierno establecerá, además, las obligaciones que deberá asumir la persona promotora de la actuación o inversión objeto de la declaración.</w:t>
      </w:r>
    </w:p>
    <w:p w14:paraId="66AAC2E2" w14:textId="77777777" w:rsidR="009D7677" w:rsidRDefault="009D7677" w:rsidP="009D7677">
      <w:pPr>
        <w:pStyle w:val="TextoNormal"/>
      </w:pPr>
    </w:p>
    <w:p w14:paraId="799B7BB8" w14:textId="77777777" w:rsidR="009D7677" w:rsidRDefault="009D7677" w:rsidP="009D7677">
      <w:pPr>
        <w:pStyle w:val="TextoNormal"/>
      </w:pPr>
      <w:r>
        <w:t>3. Lo previsto en los apartados anteriores no se aplicará en aquellos supuestos en los que la legislación sectorial de aplicación contenga normas específicas sobre la declaración de interés autonómico de determinadas obras de titularidad pública, así como en aquellos casos en los que la declaración esté regulada con tal carácter en los planes de ordenación del territorio o en los planes con incidencia territorial o que deban llevarse a cabo en el marco del apartado 3 b) del artículo 9.</w:t>
      </w:r>
    </w:p>
    <w:p w14:paraId="07B7612A" w14:textId="77777777" w:rsidR="009D7677" w:rsidRDefault="009D7677" w:rsidP="009D7677">
      <w:pPr>
        <w:pStyle w:val="TextoNormal"/>
      </w:pPr>
    </w:p>
    <w:p w14:paraId="11926189" w14:textId="77777777" w:rsidR="009D7677" w:rsidRDefault="009D7677" w:rsidP="009D7677">
      <w:pPr>
        <w:pStyle w:val="TextoNormal"/>
      </w:pPr>
      <w:r>
        <w:t>4. La declaración de interés autonómico legitima directamente el desarrollo y ejecución de la actuación y, en consecuencia:</w:t>
      </w:r>
    </w:p>
    <w:p w14:paraId="21DA7609" w14:textId="77777777" w:rsidR="009D7677" w:rsidRDefault="009D7677" w:rsidP="009D7677">
      <w:pPr>
        <w:pStyle w:val="TextoNormal"/>
      </w:pPr>
    </w:p>
    <w:p w14:paraId="2E69450C" w14:textId="77777777" w:rsidR="009D7677" w:rsidRDefault="009D7677" w:rsidP="009D7677">
      <w:pPr>
        <w:pStyle w:val="TextoNormal"/>
      </w:pPr>
      <w:r>
        <w:t>a) Afectará y comprenderá todas las obras correspondientes a las actuaciones objeto de la declaración.</w:t>
      </w:r>
    </w:p>
    <w:p w14:paraId="3EBCFB8C" w14:textId="77777777" w:rsidR="009D7677" w:rsidRDefault="009D7677" w:rsidP="009D7677">
      <w:pPr>
        <w:pStyle w:val="TextoNormal"/>
      </w:pPr>
    </w:p>
    <w:p w14:paraId="06329761" w14:textId="77777777" w:rsidR="009D7677" w:rsidRDefault="009D7677" w:rsidP="009D7677">
      <w:pPr>
        <w:pStyle w:val="TextoNormal"/>
      </w:pPr>
      <w:r>
        <w:t>b) Implica la modificación directa de los planes de ordenación del territorio de ámbito subregional cuando sus determinaciones supongan una alteración de dichos planes.</w:t>
      </w:r>
    </w:p>
    <w:p w14:paraId="5F061AB4" w14:textId="77777777" w:rsidR="009D7677" w:rsidRDefault="009D7677" w:rsidP="009D7677">
      <w:pPr>
        <w:pStyle w:val="TextoNormal"/>
      </w:pPr>
    </w:p>
    <w:p w14:paraId="078E33AD" w14:textId="77777777" w:rsidR="009D7677" w:rsidRDefault="009D7677" w:rsidP="009D7677">
      <w:pPr>
        <w:pStyle w:val="TextoNormal"/>
      </w:pPr>
      <w:r>
        <w:t>c) Sin perjuicio de sus efectos directos, según lo dispuesto en los apartados siguientes, sus determinaciones vincularán directamente al instrumento de ordenación urbanística municipal o de los municipios afectados, que deberán incorporarlas mediante su innovación.</w:t>
      </w:r>
    </w:p>
    <w:p w14:paraId="2BAA0744" w14:textId="77777777" w:rsidR="009D7677" w:rsidRDefault="009D7677" w:rsidP="009D7677">
      <w:pPr>
        <w:pStyle w:val="TextoNormal"/>
      </w:pPr>
    </w:p>
    <w:p w14:paraId="5B11DE06" w14:textId="77777777" w:rsidR="009D7677" w:rsidRDefault="009D7677" w:rsidP="009D7677">
      <w:pPr>
        <w:pStyle w:val="TextoNormal"/>
      </w:pPr>
      <w:r>
        <w:t>5. La aprobación por la administración de la Junta de Andalucía de los estudios, planes y proyectos necesarios para el desarrollo y ejecución de las actuaciones objeto de la declaración de interés autonómico, incluidos, en su caso, los proyectos de actuación autonómicos, tendrá, de acuerdo con su alcance concreto, los siguientes efectos, además de los que pudiera prever la legislación sectorial de aplicación:</w:t>
      </w:r>
    </w:p>
    <w:p w14:paraId="4E99128E" w14:textId="77777777" w:rsidR="009D7677" w:rsidRDefault="009D7677" w:rsidP="009D7677">
      <w:pPr>
        <w:pStyle w:val="TextoNormal"/>
      </w:pPr>
    </w:p>
    <w:p w14:paraId="51913647" w14:textId="77777777" w:rsidR="009D7677" w:rsidRDefault="009D7677" w:rsidP="009D7677">
      <w:pPr>
        <w:pStyle w:val="TextoNormal"/>
      </w:pPr>
      <w:r>
        <w:t>a) En actuaciones de carácter público, llevará implícita la declaración de la utilidad pública y la necesidad de urgente ocupación a los efectos de la expropiación forzosa de los bienes y adquisición de derechos necesarios para la ejecución de la actuación y para su conexión a las redes generales. Todo ello sin perjuicio de que la ejecución urbanística de las mismas se pueda llevar a cabo mediante otras formas de gestión previstas en esta Ley.</w:t>
      </w:r>
    </w:p>
    <w:p w14:paraId="797EA320" w14:textId="77777777" w:rsidR="009D7677" w:rsidRDefault="009D7677" w:rsidP="009D7677">
      <w:pPr>
        <w:pStyle w:val="TextoNormal"/>
      </w:pPr>
    </w:p>
    <w:p w14:paraId="23C48660" w14:textId="77777777" w:rsidR="009D7677" w:rsidRDefault="009D7677" w:rsidP="009D7677">
      <w:pPr>
        <w:pStyle w:val="TextoNormal"/>
      </w:pPr>
      <w:r>
        <w:t>En las actuaciones de carácter privado, llevará implícita la declaración de la utilidad pública y la necesidad de urgente ocupación a los efectos de la expropiación forzosa de los terrenos necesarios para las conexiones a las redes generales.</w:t>
      </w:r>
    </w:p>
    <w:p w14:paraId="20FD3086" w14:textId="77777777" w:rsidR="009D7677" w:rsidRDefault="009D7677" w:rsidP="009D7677">
      <w:pPr>
        <w:pStyle w:val="TextoNormal"/>
      </w:pPr>
    </w:p>
    <w:p w14:paraId="77D79D56" w14:textId="77777777" w:rsidR="009D7677" w:rsidRDefault="009D7677" w:rsidP="009D7677">
      <w:pPr>
        <w:pStyle w:val="TextoNormal"/>
      </w:pPr>
      <w:r>
        <w:t>b) En actuaciones de carácter público, la construcción y puesta en funcionamiento de las obras no estarán sujetas a licencias ni a actos de control preventivo municipal.</w:t>
      </w:r>
    </w:p>
    <w:p w14:paraId="3536E57D" w14:textId="77777777" w:rsidR="009D7677" w:rsidRDefault="009D7677" w:rsidP="009D7677">
      <w:pPr>
        <w:pStyle w:val="TextoNormal"/>
      </w:pPr>
    </w:p>
    <w:p w14:paraId="64E5B598" w14:textId="77777777" w:rsidR="009D7677" w:rsidRDefault="009D7677" w:rsidP="009D7677">
      <w:pPr>
        <w:pStyle w:val="TextoNormal"/>
      </w:pPr>
      <w:r>
        <w:t>En consecuencia, la declaración legitimará inmediatamente la ejecución de las actuaciones de carácter público, siendo sus determinaciones directamente aplicables, salvo que requiera desarrollo urbanístico mediante proyecto de actuación autonómico, debiendo garantizarse en el procedimiento la participación del municipio.</w:t>
      </w:r>
    </w:p>
    <w:p w14:paraId="1F4C584C" w14:textId="77777777" w:rsidR="009D7677" w:rsidRDefault="009D7677" w:rsidP="009D7677">
      <w:pPr>
        <w:pStyle w:val="TextoNormal"/>
      </w:pPr>
    </w:p>
    <w:p w14:paraId="7C1705F5" w14:textId="77777777" w:rsidR="009D7677" w:rsidRDefault="009D7677" w:rsidP="009D7677">
      <w:pPr>
        <w:pStyle w:val="TextoNormal"/>
      </w:pPr>
      <w:r>
        <w:t>c) En el caso de actuaciones de carácter privado, previo ejercicio del correspondiente acto de intervención o de posterior control municipal, la declaración legitimará inmediatamente su ejecución, siendo sus determinaciones directamente aplicables, salvo que se requiera desarrollo urbanístico mediante proyecto de actuación autonómico.</w:t>
      </w:r>
    </w:p>
    <w:p w14:paraId="0282C87E" w14:textId="77777777" w:rsidR="009D7677" w:rsidRDefault="009D7677" w:rsidP="009D7677">
      <w:pPr>
        <w:pStyle w:val="TextoNormal"/>
      </w:pPr>
    </w:p>
    <w:p w14:paraId="18C96C0B" w14:textId="77777777" w:rsidR="009D7677" w:rsidRDefault="009D7677" w:rsidP="009D7677">
      <w:pPr>
        <w:pStyle w:val="TextoNormal"/>
      </w:pPr>
      <w:r>
        <w:t>Los plazos para el otorgamiento de las licencias y autorizaciones, o en su caso declaraciones responsables, que resulten preceptivas para la ejecución y puesta en funcionamiento de las actuaciones quedarán reducidos a la mitad.</w:t>
      </w:r>
    </w:p>
    <w:p w14:paraId="53DC818B" w14:textId="77777777" w:rsidR="009D7677" w:rsidRDefault="009D7677" w:rsidP="009D7677">
      <w:pPr>
        <w:pStyle w:val="TextoNormal"/>
      </w:pPr>
    </w:p>
    <w:p w14:paraId="4412CC89" w14:textId="77777777" w:rsidR="009D7677" w:rsidRDefault="009D7677" w:rsidP="009D7677">
      <w:pPr>
        <w:pStyle w:val="TextoNormal"/>
      </w:pPr>
      <w:r>
        <w:lastRenderedPageBreak/>
        <w:t>6. El incumplimiento de los requisitos y condiciones establecidos en la declaración de interés autonómico para las actuaciones de carácter privado determinará, previa tramitación del oportuno expediente, su revocación por el Consejo de Gobierno, sin perjuicio de las responsabilidades en que se hubiera podido incurrir de acuerdo con la normativa que sea de aplicación”.</w:t>
      </w:r>
    </w:p>
    <w:p w14:paraId="6F2B9C52" w14:textId="77777777" w:rsidR="009D7677" w:rsidRDefault="009D7677" w:rsidP="009D7677">
      <w:pPr>
        <w:pStyle w:val="TextoNormal"/>
      </w:pPr>
    </w:p>
    <w:p w14:paraId="4C0C5FD5" w14:textId="77777777" w:rsidR="009D7677" w:rsidRDefault="009D7677" w:rsidP="009D7677">
      <w:pPr>
        <w:pStyle w:val="TextoNormal"/>
      </w:pPr>
      <w:r>
        <w:t>Los recurrentes alegan la vulneración por este precepto de la autonomía local (arts. 137 y 140 CE) a causa de la inconcreción con que, a su juicio, se definen los proyectos y actuaciones que pueden ser declarados de interés autonómico y que se priorizan frente al planeamiento municipal. Sostienen que se trata de un caso similar al de la ya citada STC 86/2019 en relación con los proyectos de interés insular o autonómico previstos en la Ley 4/2017, de 13 de julio, del suelo y de los espacios naturales protegidos de Canarias. El letrado del Gobierno andaluz rechaza la indeterminación del art. 50 LISTA, al entender que distingue con nitidez, si bien empleando conceptos jurídicos indeterminados, tres categorías perfectamente identificables y acotadas susceptibles de ser declaradas de interés autonómico al margen de la clasificación y calificación del suelo afectado, por lo que no comparte que se produzca vulneración alguna del principio de autonomía local. La argumentación es seguida, en lo sustancial, por el representante del Parlamento andaluz, añadiendo que el artículo impugnado exige que todas las actuaciones, inversiones o actividades susceptibles de ser declaradas de interés autonómico tengan incidencia territorial supralocal, quedando salvaguardada la intervención de la administración local y la tutela de sus intereses propios.</w:t>
      </w:r>
    </w:p>
    <w:p w14:paraId="5A6A4741" w14:textId="77777777" w:rsidR="009D7677" w:rsidRDefault="009D7677" w:rsidP="009D7677">
      <w:pPr>
        <w:pStyle w:val="TextoNormal"/>
      </w:pPr>
    </w:p>
    <w:p w14:paraId="7406DD5B" w14:textId="77777777" w:rsidR="009D7677" w:rsidRDefault="009D7677" w:rsidP="009D7677">
      <w:pPr>
        <w:pStyle w:val="TextoNormal"/>
      </w:pPr>
      <w:r>
        <w:t>Ya hemos advertido que durante la pendencia del proceso el apartado 2 d) del art. 50 LISTA ha sido modificado por el artículo único, apartado tercero del Decreto-ley 11/2022, de 29 de noviembre, por el que se modifica la Ley 7/2021, de 1 de diciembre, de impulso para la sostenibilidad del territorio de Andalucía, si bien también hemos expuesto que dicha modificación no ha afectado en realidad a la impugnación del art. 50, que pervive en los mismos términos en los que fue formulada.</w:t>
      </w:r>
    </w:p>
    <w:p w14:paraId="7620B10C" w14:textId="77777777" w:rsidR="009D7677" w:rsidRDefault="009D7677" w:rsidP="009D7677">
      <w:pPr>
        <w:pStyle w:val="TextoNormal"/>
      </w:pPr>
    </w:p>
    <w:p w14:paraId="577FF980" w14:textId="77777777" w:rsidR="009D7677" w:rsidRDefault="009D7677" w:rsidP="009D7677">
      <w:pPr>
        <w:pStyle w:val="TextoNormal"/>
      </w:pPr>
      <w:r>
        <w:t>Aunque formalmente se recurre el art. 50 LISTA en su totalidad, la impugnación se limita, en realidad, a lo que se considera una indeterminada enumeración de los supuestos en los que es posible tal declaración y los efectos que la misma produce sobre el planeamiento municipal, en términos similares a los que llevaron a este tribunal a declarar la inconstitucionalidad y nulidad del inciso “con independencia de su clasificación y calificación urbanística” del artículo 123.4 de la Ley 4/2017, de 13 de julio, del suelo y de los espacios naturales protegidos de Canarias, en la STC 86/2019.</w:t>
      </w:r>
    </w:p>
    <w:p w14:paraId="2F4A211A" w14:textId="77777777" w:rsidR="009D7677" w:rsidRDefault="009D7677" w:rsidP="009D7677">
      <w:pPr>
        <w:pStyle w:val="TextoNormal"/>
      </w:pPr>
    </w:p>
    <w:p w14:paraId="11BBF91A" w14:textId="77777777" w:rsidR="009D7677" w:rsidRDefault="009D7677" w:rsidP="009D7677">
      <w:pPr>
        <w:pStyle w:val="TextoNormal"/>
      </w:pPr>
      <w:r>
        <w:t>La STC 86/2019 declaró, en su FJ 10 c), la inconstitucionalidad del inciso que acabamos de mencionar porque producía el efecto de priorizar proyectos de interés insular o autonómico que tenían por objeto la transformación física del suelo para conseguir determinadas finalidades consideradas estratégicas, pero que eran definidas de forma abierta o indeterminada —“de naturaleza análoga”— y respecto de las que se autorizaba su ejecución con independencia de las previsiones urbanísticas del municipio en cuyo territorio se iban a asentar.</w:t>
      </w:r>
    </w:p>
    <w:p w14:paraId="63DF09A0" w14:textId="77777777" w:rsidR="009D7677" w:rsidRDefault="009D7677" w:rsidP="009D7677">
      <w:pPr>
        <w:pStyle w:val="TextoNormal"/>
      </w:pPr>
    </w:p>
    <w:p w14:paraId="7751DA56" w14:textId="77777777" w:rsidR="009D7677" w:rsidRDefault="009D7677" w:rsidP="009D7677">
      <w:pPr>
        <w:pStyle w:val="TextoNormal"/>
      </w:pPr>
      <w:r>
        <w:t>Esas circunstancias no concurren aquí, sin perjuicio de advertir que, como señala la propia STC 86/2019, FJ 10 c), el uso de conceptos jurídicos indeterminados para configu</w:t>
      </w:r>
      <w:r>
        <w:lastRenderedPageBreak/>
        <w:t>rar los presupuestos que permitirán la adopción de los proyectos no cuestiona el interés supramunicipal de las actuaciones que constituyen su objeto.</w:t>
      </w:r>
    </w:p>
    <w:p w14:paraId="0F679CFD" w14:textId="77777777" w:rsidR="009D7677" w:rsidRDefault="009D7677" w:rsidP="009D7677">
      <w:pPr>
        <w:pStyle w:val="TextoNormal"/>
      </w:pPr>
    </w:p>
    <w:p w14:paraId="12F7F325" w14:textId="77777777" w:rsidR="009D7677" w:rsidRDefault="009D7677" w:rsidP="009D7677">
      <w:pPr>
        <w:pStyle w:val="TextoNormal"/>
      </w:pPr>
      <w:r>
        <w:t>En primer lugar, la definición de los proyectos y actuaciones que pueden ser declarados de interés autonómico en la Ley ahora impugnada no adolece del grado de imprecisión apreciado en la referida STC 86/2019, en tanto que no incluye cláusulas de ampliación de los supuestos legalmente previstos y se concreta suficientemente en las letras a), b) y c) del apartado 1 del art. 50 LISTA.</w:t>
      </w:r>
    </w:p>
    <w:p w14:paraId="68276260" w14:textId="77777777" w:rsidR="009D7677" w:rsidRDefault="009D7677" w:rsidP="009D7677">
      <w:pPr>
        <w:pStyle w:val="TextoNormal"/>
      </w:pPr>
    </w:p>
    <w:p w14:paraId="5A342666" w14:textId="77777777" w:rsidR="009D7677" w:rsidRDefault="009D7677" w:rsidP="009D7677">
      <w:pPr>
        <w:pStyle w:val="TextoNormal"/>
      </w:pPr>
      <w:r>
        <w:t>La letra a) hace referencia a lo previsto en el art. 2.1 LISTA, en relación con el alcance de la competencia autonómica en materia de ordenación del territorio, comprensiva de “la ordenación, ejecución y disciplina sobre aquellas actuaciones, usos y asentamientos existentes o futuros cuya incidencia trascienda del ámbito municipal por su objeto, magnitud, impacto regional o subregional o por su carácter estructurante y vertebrador del territorio”, y que se concreta en actuaciones de carácter supralocal contempladas expresamente en los instrumentos de ordenación territorial como hacen, por ejemplo, los arts. 34.1, 39.1, 40.1, 44.1 y 46.1 LISTA. El propio art. 2 también hace referencia a actividades de intervención singular de carácter público, previstas en la letra b) del art. 50.1, cuando alude, entre otros, a la incidencia supralocal de las actuaciones relativas a las infraestructuras supralocales para el ciclo del agua, la energía y las telecomunicaciones; los equipamientos, espacios libres y servicios de interés supralocal y las actividades económicas de interés supralocal. Finalmente, la letra c) del art. 50.1 remite a la normativa específica que regula las inversiones empresariales declaradas de interés estratégico para Andalucía, esto es, al catálogo de iniciativas empresariales, excluidas las residenciales, susceptibles de ser declaradas de interés estratégico para Andalucía conforme al art. 3 del Decreto-ley 4/2019, de 10 de diciembre, para el fomento de iniciativas económicas mediante la agilización y simplificación administrativas en la tramitación de proyectos y su declaración de interés estratégico para Andalucía, para la creación de una unidad aceleradora de proyectos de interés estratégico y por el que se modifica la Ley 1/1994, de 11 de enero, de ordenación del territorio de la Comunidad Autónoma de Andalucía, y la Ley 7/2002, de 17 de diciembre, de ordenación urbanística de Andalucía.</w:t>
      </w:r>
    </w:p>
    <w:p w14:paraId="50563D23" w14:textId="77777777" w:rsidR="009D7677" w:rsidRDefault="009D7677" w:rsidP="009D7677">
      <w:pPr>
        <w:pStyle w:val="TextoNormal"/>
      </w:pPr>
    </w:p>
    <w:p w14:paraId="6A3F30FF" w14:textId="77777777" w:rsidR="009D7677" w:rsidRDefault="009D7677" w:rsidP="009D7677">
      <w:pPr>
        <w:pStyle w:val="TextoNormal"/>
      </w:pPr>
      <w:r>
        <w:t xml:space="preserve">En segundo lugar, la ejecución de las actuaciones declaradas de interés autonómico no se hace al margen del planeamiento municipal. Por un lado, la Ley asegura la participación de los municipios en las diferentes fases de la declaración de interés autonómico: (i) en caso de que la actuación suponga innovación del planeamiento municipal, se aportará la documentación necesaria para justificar su viabilidad urbanística; (ii) la declaración exigirá de audiencia a los municipios afectados y requerirá los informes o pronunciamientos municipales preceptivos; y (iii) se remitirá al ayuntamiento en cuyo término municipal se ubique la actuación para consulta y concertación de sus contenidos por plazo no inferior a dos meses. Por otra parte, la presencia del interés supramunicipal en los proyectos de interés autonómico justifica la previsión del art. 50.4 LISTA, en el sentido de adaptar a sus determinaciones el planeamiento urbanístico municipal. En este sentido, la doctrina constitucional ha descartado la vulneración del principio de autonomía municipal cuando existe una clara delimitación de las actuaciones integrales estratégicas [las “productivas”, en la STC 57/2015, de 18 de marzo, FJ 18 d); las “turísticas” vinculadas a un concreto modelo territorial de desarrollo turístico, en la STC 42/2018, FJ 5 c)], pues se trata de actuaciones de ordenación del territorio que se fundamentan y justifican en la presencia de intereses </w:t>
      </w:r>
      <w:r>
        <w:lastRenderedPageBreak/>
        <w:t>supralocales, sin que ello supusiera, en ningún caso, descuidar los intereses municipales que deberían ser ponderados en la decisión autonómica y bien entendido que esa obligación de adaptación hace referencia a las determinaciones establecidas por la comunidad autónoma en el legítimo ejercicio de sus competencias.</w:t>
      </w:r>
    </w:p>
    <w:p w14:paraId="743DCCCC" w14:textId="77777777" w:rsidR="009D7677" w:rsidRDefault="009D7677" w:rsidP="009D7677">
      <w:pPr>
        <w:pStyle w:val="TextoNormal"/>
      </w:pPr>
    </w:p>
    <w:p w14:paraId="2AF5F457" w14:textId="01E6AF84" w:rsidR="009D7677" w:rsidRDefault="009D7677" w:rsidP="009D7677">
      <w:pPr>
        <w:pStyle w:val="TextoNormal"/>
      </w:pPr>
      <w:r>
        <w:t>Consecuentemente, la impugnación del art. 50 LISTA ha de ser desestimada.</w:t>
      </w:r>
    </w:p>
    <w:p w14:paraId="24BDF7D0" w14:textId="77777777" w:rsidR="009D7677" w:rsidRDefault="009D7677" w:rsidP="009D7677">
      <w:pPr>
        <w:pStyle w:val="TextoNormal"/>
      </w:pPr>
    </w:p>
    <w:p w14:paraId="4420C4EF" w14:textId="77777777" w:rsidR="009D7677" w:rsidRDefault="009D7677" w:rsidP="009D7677">
      <w:pPr>
        <w:pStyle w:val="TextoNormal"/>
      </w:pPr>
      <w:r w:rsidRPr="009D7677">
        <w:rPr>
          <w:rStyle w:val="NumeroAFNegritaCaracter"/>
        </w:rPr>
        <w:t>9</w:t>
      </w:r>
      <w:r>
        <w:t xml:space="preserve">. </w:t>
      </w:r>
      <w:r w:rsidRPr="009D7677">
        <w:rPr>
          <w:i/>
        </w:rPr>
        <w:t>Suspensión cautelar de las modificaciones de los instrumentos de ordenación urbanística que tengan incidencia o interés supralocal, prevista en el art. 53 de la Ley de impulso para la sostenibilidad del territorio de Andalucía</w:t>
      </w:r>
    </w:p>
    <w:p w14:paraId="1F6CB235" w14:textId="77777777" w:rsidR="009D7677" w:rsidRDefault="009D7677" w:rsidP="009D7677">
      <w:pPr>
        <w:pStyle w:val="TextoNormal"/>
      </w:pPr>
    </w:p>
    <w:p w14:paraId="58585EF3" w14:textId="77777777" w:rsidR="009D7677" w:rsidRDefault="009D7677" w:rsidP="009D7677">
      <w:pPr>
        <w:pStyle w:val="TextoNormal"/>
      </w:pPr>
      <w:r>
        <w:t>Se reprocha por los recurrentes que la regulación por el art. 53 LISTA de la suspensión cautelar de las modificaciones de los instrumentos de ordenación urbanística que tengan incidencia o interés supralocal vulnera la autonomía local constitucionalmente garantizada (arts. 137 y 140 CE). Establece el precepto impugnado:</w:t>
      </w:r>
    </w:p>
    <w:p w14:paraId="0835D9D1" w14:textId="77777777" w:rsidR="009D7677" w:rsidRDefault="009D7677" w:rsidP="009D7677">
      <w:pPr>
        <w:pStyle w:val="TextoNormal"/>
      </w:pPr>
    </w:p>
    <w:p w14:paraId="285CE687" w14:textId="77777777" w:rsidR="009D7677" w:rsidRDefault="009D7677" w:rsidP="009D7677">
      <w:pPr>
        <w:pStyle w:val="TextoNormal"/>
      </w:pPr>
      <w:r>
        <w:t>“1. El Consejo de Gobierno, previa audiencia del municipio o municipios afectados, podrá acordar de forma motivada y simultáneamente o con posterioridad a la formulación de los planes de ordenación del territorio la suspensión de la tramitación de la innovación del instrumento de ordenación urbanística que tenga incidencia o interés supralocal.</w:t>
      </w:r>
    </w:p>
    <w:p w14:paraId="3E48BC87" w14:textId="77777777" w:rsidR="009D7677" w:rsidRDefault="009D7677" w:rsidP="009D7677">
      <w:pPr>
        <w:pStyle w:val="TextoNormal"/>
      </w:pPr>
    </w:p>
    <w:p w14:paraId="41F4D2CC" w14:textId="77777777" w:rsidR="009D7677" w:rsidRDefault="009D7677" w:rsidP="009D7677">
      <w:pPr>
        <w:pStyle w:val="TextoNormal"/>
      </w:pPr>
      <w:r>
        <w:t>2. El acuerdo del Consejo de Gobierno deberá especificar los contenidos del instrumento de ordenación urbanística que se verán afectados por esta suspensión. El plazo máximo de vigencia de esta medida será de dos años. El período de tiempo durante el que se suspenda la tramitación de las modificaciones de los instrumentos de ordenación urbanística no se computará a los efectos del plazo máximo de la suspensión de las aprobaciones, autorizaciones y licencias urbanísticas que esta Ley prevé en el procedimiento para la aprobación de los instrumentos de ordenación urbanística.</w:t>
      </w:r>
    </w:p>
    <w:p w14:paraId="22B735F8" w14:textId="77777777" w:rsidR="009D7677" w:rsidRDefault="009D7677" w:rsidP="009D7677">
      <w:pPr>
        <w:pStyle w:val="TextoNormal"/>
      </w:pPr>
    </w:p>
    <w:p w14:paraId="3519F7FE" w14:textId="77777777" w:rsidR="009D7677" w:rsidRDefault="009D7677" w:rsidP="009D7677">
      <w:pPr>
        <w:pStyle w:val="TextoNormal"/>
      </w:pPr>
      <w:r>
        <w:t>3. La resolución por la que se inicia la información pública de un plan de ordenación del territorio de ámbito subregional motivará por sí sola la suspensión de los contenidos de las innovaciones del instrumento de ordenación que contravengan las determinaciones propuestas en aquel plan. Esta medida tendrá una vigencia máxima de un año desde que se dicta dicha resolución”.</w:t>
      </w:r>
    </w:p>
    <w:p w14:paraId="310D1215" w14:textId="77777777" w:rsidR="009D7677" w:rsidRDefault="009D7677" w:rsidP="009D7677">
      <w:pPr>
        <w:pStyle w:val="TextoNormal"/>
      </w:pPr>
    </w:p>
    <w:p w14:paraId="1B25B4A9" w14:textId="77777777" w:rsidR="009D7677" w:rsidRDefault="009D7677" w:rsidP="009D7677">
      <w:pPr>
        <w:pStyle w:val="TextoNormal"/>
      </w:pPr>
      <w:r>
        <w:t>Denuncian los recurrentes que “[l]a desafortunada (y un tanto alambicada)” redacción del precepto invade la autonomía municipal en el diseño urbano al no dejar constancia del “carácter excepcional” de esta facultad de suspensión y de los criterios de motivación, prudencia y oportunidad que, a su juicio, serían necesarios para su ejercicio. El letrado del Gobierno andaluz entiende, en cambio, que el precepto supone un adecuado ejercicio de la competencia autonómica sobre ordenación del territorio y no vulnera la autonomía local. La representación procesal del Parlamento andaluz niega también la infracción de la autonomía local al carecer la potestad de suspensión regulada por el artículo impugnado de carácter general e indiscriminado y fundarse en la necesidad de evitar contradicciones entre los instrumentos de ordenación urbanística y territorial.</w:t>
      </w:r>
    </w:p>
    <w:p w14:paraId="13B92CA3" w14:textId="77777777" w:rsidR="009D7677" w:rsidRDefault="009D7677" w:rsidP="009D7677">
      <w:pPr>
        <w:pStyle w:val="TextoNormal"/>
      </w:pPr>
    </w:p>
    <w:p w14:paraId="7E30B3F4" w14:textId="77777777" w:rsidR="009D7677" w:rsidRDefault="009D7677" w:rsidP="009D7677">
      <w:pPr>
        <w:pStyle w:val="TextoNormal"/>
      </w:pPr>
      <w:r>
        <w:t xml:space="preserve">La Ley ha optado por atribuir a los entes locales un papel protagonista en la elaboración y aprobación definitiva de los instrumentos de planificación y ordenación urbanística de </w:t>
      </w:r>
      <w:r>
        <w:lastRenderedPageBreak/>
        <w:t xml:space="preserve">ámbito municipal, articulando la tutela del interés supramunicipal en caso de posible colisión con la planificación y ordenación del territorio a través de la potestad autonómica de suspensión cautelar de las modificaciones de los instrumentos de ordenación urbanística regulada en el precepto impugnado. El carácter excepcional de esta potestad viene avalado por tres elementos además de su propio presupuesto (incidencia o interés supralocal de la innovación del instrumento de ordenación urbanística): (i) las restricciones formales a que se encuentra sometido (previa audiencia del municipio o municipios afectados y adopción por acuerdo motivado del Consejo de Gobierno); (ii) su provisionalidad marcada por su vigencia temporal (plazo máximo de dos años); y (iii) su limitado contenido, en tanto el acuerdo del Consejo de Gobierno deberá especificar expresamente los contenidos del instrumento de ordenación urbanística afectados por la suspensión (art. 53.1 y 2 LISTA). Son requerimientos que afectan al ejercicio potestativo por la Comunidad Autónoma de su facultad de suspensión cautelar, estableciendo el precepto en su apartado 3 el supuesto reglado de suspensión de todo contenido de innovaciones del instrumento de ordenación que contravengan las determinaciones propuestas en un plan de ordenación del territorio de ámbito subregional desde la adopción de la resolución por la que se inicia su información pública. Esta medida, </w:t>
      </w:r>
      <w:r w:rsidRPr="009D7677">
        <w:rPr>
          <w:i/>
        </w:rPr>
        <w:t>ex lege</w:t>
      </w:r>
      <w:r>
        <w:t xml:space="preserve"> y de contenido asimismo limitado, está marcada también por la provisionalidad, en tanto tendrá una vigencia temporal máxima de un año desde la citada resolución. Las restricciones sustantivas, formales y temporales que establece el legislador andaluz gradúan la intensidad de la intervención autonómica, dirigida a evitar contradicciones entre los instrumentos de ordenación urbanística y territorial y a garantizar la viabilidad del futuro instrumento de ordenación supralocal.</w:t>
      </w:r>
    </w:p>
    <w:p w14:paraId="6C8D6FAA" w14:textId="77777777" w:rsidR="009D7677" w:rsidRDefault="009D7677" w:rsidP="009D7677">
      <w:pPr>
        <w:pStyle w:val="TextoNormal"/>
      </w:pPr>
    </w:p>
    <w:p w14:paraId="12AD9E29" w14:textId="77777777" w:rsidR="009D7677" w:rsidRDefault="009D7677" w:rsidP="009D7677">
      <w:pPr>
        <w:pStyle w:val="TextoNormal"/>
      </w:pPr>
      <w:r>
        <w:t>Por otra parte, ya hemos tenido ocasión de subrayar, en un supuesto similar, que “[e]n ese contexto de modificación de un instrumento de planeamiento, la previsión impugnada no carece de explicación, pues con ella se trata de evitar la realización de actuaciones que, a la postre, resulten incompatibles con la planificación territorial resultante de la modificación, asegurando la efectividad de un planeamiento futuro (en un sentido similar, art. 145.4 de la Ley 13/2015, respecto a la suspensión total o parcial de los instrumentos de planeamiento urbanístico). Tampoco es una suspensión indefinida, ya que tiene límite temporal, ni absoluta, pues se refiere solamente a aquellos aspectos de la modificación que entren en contradicción con lo previsto inicialmente en el instrumento de ordenación territorial, en el modo en que se determine por orden del consejero competente en la materia, el cual debe, en todo caso, pronunciarse respecto al alcance de la suspensión y los efectos que produce en relación con la ordenación a aplicar” [STC 161/2019, de 12 de diciembre, FJ 6 b)].</w:t>
      </w:r>
    </w:p>
    <w:p w14:paraId="77F1C90F" w14:textId="77777777" w:rsidR="009D7677" w:rsidRDefault="009D7677" w:rsidP="009D7677">
      <w:pPr>
        <w:pStyle w:val="TextoNormal"/>
      </w:pPr>
    </w:p>
    <w:p w14:paraId="5BF3ACDC" w14:textId="77777777" w:rsidR="009D7677" w:rsidRDefault="009D7677" w:rsidP="009D7677">
      <w:pPr>
        <w:pStyle w:val="TextoNormal"/>
      </w:pPr>
      <w:r>
        <w:t>Por tanto, desde la perspectiva de la autonomía local constitucionalmente garantizada, el art. 53 LISTA cumple las exigencias de ese principio, al estar prevista la suspensión en norma con rango de ley, acotado su objeto con precisión suficiente e incidir claramente en intereses supralocales como son los vinculados al adecuado ejercicio de la competencia autonómica de ordenación del territorio [en un sentido parecido, STC 6/2016, de 21 de enero, FJ 4 d)].</w:t>
      </w:r>
    </w:p>
    <w:p w14:paraId="36172D03" w14:textId="77777777" w:rsidR="009D7677" w:rsidRDefault="009D7677" w:rsidP="009D7677">
      <w:pPr>
        <w:pStyle w:val="TextoNormal"/>
      </w:pPr>
    </w:p>
    <w:p w14:paraId="6096B070" w14:textId="32268AF5" w:rsidR="009D7677" w:rsidRDefault="009D7677" w:rsidP="009D7677">
      <w:pPr>
        <w:pStyle w:val="TextoNormal"/>
      </w:pPr>
      <w:r>
        <w:t>En consecuencia, procede desestimar esta impugnación.</w:t>
      </w:r>
    </w:p>
    <w:p w14:paraId="1E3AA21B" w14:textId="77777777" w:rsidR="009D7677" w:rsidRDefault="009D7677" w:rsidP="009D7677">
      <w:pPr>
        <w:pStyle w:val="TextoNormal"/>
      </w:pPr>
    </w:p>
    <w:p w14:paraId="3FE264E2" w14:textId="77777777" w:rsidR="009D7677" w:rsidRDefault="009D7677" w:rsidP="009D7677">
      <w:pPr>
        <w:pStyle w:val="TextoNormal"/>
      </w:pPr>
      <w:r w:rsidRPr="009D7677">
        <w:rPr>
          <w:rStyle w:val="NumeroAFNegritaCaracter"/>
        </w:rPr>
        <w:lastRenderedPageBreak/>
        <w:t>10</w:t>
      </w:r>
      <w:r>
        <w:t xml:space="preserve">. </w:t>
      </w:r>
      <w:r w:rsidRPr="009D7677">
        <w:rPr>
          <w:i/>
        </w:rPr>
        <w:t>Impugnación del art. 137.2 f) de la Ley de impulso para la sostenibilidad del territorio de Andalucía: exclusión de la exigencia de licencia urbanística municipal para los usos mineros</w:t>
      </w:r>
    </w:p>
    <w:p w14:paraId="5374C7E3" w14:textId="77777777" w:rsidR="009D7677" w:rsidRDefault="009D7677" w:rsidP="009D7677">
      <w:pPr>
        <w:pStyle w:val="TextoNormal"/>
      </w:pPr>
    </w:p>
    <w:p w14:paraId="3D30A86C" w14:textId="77777777" w:rsidR="009D7677" w:rsidRDefault="009D7677" w:rsidP="009D7677">
      <w:pPr>
        <w:pStyle w:val="TextoNormal"/>
      </w:pPr>
      <w:r>
        <w:t>En relación con los actos sujetos a licencia urbanística municipal, se impugna el art. 137.2 f) LISTA, relativo a la actividad de edificación, que dispone:</w:t>
      </w:r>
    </w:p>
    <w:p w14:paraId="1513A1B9" w14:textId="77777777" w:rsidR="009D7677" w:rsidRDefault="009D7677" w:rsidP="009D7677">
      <w:pPr>
        <w:pStyle w:val="TextoNormal"/>
      </w:pPr>
    </w:p>
    <w:p w14:paraId="21305B3E" w14:textId="77777777" w:rsidR="009D7677" w:rsidRDefault="009D7677" w:rsidP="009D7677">
      <w:pPr>
        <w:pStyle w:val="TextoNormal"/>
      </w:pPr>
      <w:r>
        <w:t>“2. No requieren previa licencia:</w:t>
      </w:r>
    </w:p>
    <w:p w14:paraId="5D93E2C8" w14:textId="77777777" w:rsidR="009D7677" w:rsidRDefault="009D7677" w:rsidP="009D7677">
      <w:pPr>
        <w:pStyle w:val="TextoNormal"/>
      </w:pPr>
    </w:p>
    <w:p w14:paraId="1C5198F9" w14:textId="77777777" w:rsidR="009D7677" w:rsidRDefault="009D7677" w:rsidP="009D7677">
      <w:pPr>
        <w:pStyle w:val="TextoNormal"/>
      </w:pPr>
      <w:r>
        <w:t>[…]</w:t>
      </w:r>
    </w:p>
    <w:p w14:paraId="4A46EF4C" w14:textId="77777777" w:rsidR="009D7677" w:rsidRDefault="009D7677" w:rsidP="009D7677">
      <w:pPr>
        <w:pStyle w:val="TextoNormal"/>
      </w:pPr>
    </w:p>
    <w:p w14:paraId="36AE7F4E" w14:textId="77777777" w:rsidR="009D7677" w:rsidRDefault="009D7677" w:rsidP="009D7677">
      <w:pPr>
        <w:pStyle w:val="TextoNormal"/>
      </w:pPr>
      <w:r>
        <w:t>f) Los usos agrícolas, ganaderos, forestales, cinegéticos, mineros y cualquier otro vinculado a la utilización racional de los recursos naturales que no supongan la transformación de su naturaleza rústica, en los términos que se establezcan reglamentariamente, ni conlleven la realización de construcciones, edificaciones e instalaciones”.</w:t>
      </w:r>
    </w:p>
    <w:p w14:paraId="1BA8C43D" w14:textId="77777777" w:rsidR="009D7677" w:rsidRDefault="009D7677" w:rsidP="009D7677">
      <w:pPr>
        <w:pStyle w:val="TextoNormal"/>
      </w:pPr>
    </w:p>
    <w:p w14:paraId="10414341" w14:textId="77777777" w:rsidR="009D7677" w:rsidRDefault="009D7677" w:rsidP="009D7677">
      <w:pPr>
        <w:pStyle w:val="TextoNormal"/>
      </w:pPr>
      <w:r>
        <w:t>Los diputados recurrentes consideran que la exención de licencia urbanística municipal para los usos mineros es inconstitucional por dos razones. La primera es su inconstitucionalidad mediata o indirecta por infracción de la legislación básica que en materia de medio ambiente establece el art. 11.4 a) TRLSRU al exigir el sometimiento a autorización de los “movimientos de tierras”, expresión que, a su juicio, incluye los usos extractivos y mineros. El segundo motivo de impugnación es la vulneración de la autonomía local (arts. 137 y 140 CE) por la sustracción del control municipal de ese uso minero al que se exime de previa licencia, privando así a la administración local de su derecho a intervenir en un asunto de tanta repercusión paisajística, ambiental y territorial de su interés, vulnerando, en consecuencia, el núcleo de su autonomía local en materia de urbanismo.</w:t>
      </w:r>
    </w:p>
    <w:p w14:paraId="38B7293D" w14:textId="77777777" w:rsidR="009D7677" w:rsidRDefault="009D7677" w:rsidP="009D7677">
      <w:pPr>
        <w:pStyle w:val="TextoNormal"/>
      </w:pPr>
    </w:p>
    <w:p w14:paraId="2E39649C" w14:textId="77777777" w:rsidR="009D7677" w:rsidRDefault="009D7677" w:rsidP="009D7677">
      <w:pPr>
        <w:pStyle w:val="TextoNormal"/>
      </w:pPr>
      <w:r>
        <w:t>El letrado del Gobierno andaluz rechaza que el artículo impugnado excluya todo uso minero de licencia previa y que prive, por tanto, al municipio de una genuina competencia propia, en tanto el precepto debe entenderse en el sentido de que deben considerarse sujetos a la exigencia de licencia los movimientos de tierra que provoque la actividad minera y, en todo caso, existe intervención municipal en los términos previstos por la Ley del Parlamento de Andalucía 7/2007, de 9 de julio, de gestión integrada de la calidad ambiental. Para el letrado del Parlamento andaluz la demanda confunde, de un lado, usos mineros y movimientos de tierras, objeto de licencias o autorizaciones distintas, y, de otro, la regulación legislativa sobre los supuestos en los que se exige o no el otorgamiento de licencias urbanísticas, competencia exclusiva de la Comunidad Autónoma, y el acto administrativo por el que se otorgan, integrado en el núcleo esencial de la autonomía local como sanciona el art. 140.1 LISTA al afirmar que es competencia exclusiva municipal. Recuerda también que las actividades mineras están sujetas a autorización ambiental, autorización en la que hay intervención local.</w:t>
      </w:r>
    </w:p>
    <w:p w14:paraId="1ACC6BAA" w14:textId="77777777" w:rsidR="009D7677" w:rsidRDefault="009D7677" w:rsidP="009D7677">
      <w:pPr>
        <w:pStyle w:val="TextoNormal"/>
      </w:pPr>
    </w:p>
    <w:p w14:paraId="3BC4947F" w14:textId="77777777" w:rsidR="009D7677" w:rsidRDefault="009D7677" w:rsidP="009D7677">
      <w:pPr>
        <w:pStyle w:val="TextoNormal"/>
      </w:pPr>
      <w:r>
        <w:t>Examinaremos en primer lugar la denuncia de inconstitucionalidad mediata por contravención del art. 11.4 a) TRLSRU, precepto que dispone que serán expresos, con silencio administrativo negativo, los actos que autoricen movimientos de tierras y explanaciones.</w:t>
      </w:r>
    </w:p>
    <w:p w14:paraId="28FA99D3" w14:textId="77777777" w:rsidR="009D7677" w:rsidRDefault="009D7677" w:rsidP="009D7677">
      <w:pPr>
        <w:pStyle w:val="TextoNormal"/>
      </w:pPr>
    </w:p>
    <w:p w14:paraId="36F5B70C" w14:textId="77777777" w:rsidR="009D7677" w:rsidRDefault="009D7677" w:rsidP="009D7677">
      <w:pPr>
        <w:pStyle w:val="TextoNormal"/>
      </w:pPr>
      <w:r>
        <w:t xml:space="preserve">Este precepto estatal ha de ser considerado formal y materialmente básico. Desde esta última perspectiva la exigencia de autorización para unas determinadas actividades y usos </w:t>
      </w:r>
      <w:r>
        <w:lastRenderedPageBreak/>
        <w:t>del suelo se ampara en las competencias que ostenta el Estado al amparo del artículo 149.1.18 CE (STC 143/2017, de 14 de diciembre, FJ 22), mientras que la regulación del silencio negativo en el caso de los movimientos de tierra y explanaciones se ampara en la competencia básica del Estado en materia de medio ambiente dada la necesidad de preservar los valores propios del medio rural [STC 143/2017, FJ 23 b)].</w:t>
      </w:r>
    </w:p>
    <w:p w14:paraId="31D0AD32" w14:textId="77777777" w:rsidR="009D7677" w:rsidRDefault="009D7677" w:rsidP="009D7677">
      <w:pPr>
        <w:pStyle w:val="TextoNormal"/>
      </w:pPr>
    </w:p>
    <w:p w14:paraId="33A7C0D7" w14:textId="77777777" w:rsidR="009D7677" w:rsidRDefault="009D7677" w:rsidP="009D7677">
      <w:pPr>
        <w:pStyle w:val="TextoNormal"/>
      </w:pPr>
      <w:r>
        <w:t>Resta por tanto comprobar si entre el precepto estatal y el autonómico existe una contradicción insalvable por vía interpretativa.</w:t>
      </w:r>
    </w:p>
    <w:p w14:paraId="53079D06" w14:textId="77777777" w:rsidR="009D7677" w:rsidRDefault="009D7677" w:rsidP="009D7677">
      <w:pPr>
        <w:pStyle w:val="TextoNormal"/>
      </w:pPr>
    </w:p>
    <w:p w14:paraId="5434DF4C" w14:textId="77777777" w:rsidR="009D7677" w:rsidRDefault="009D7677" w:rsidP="009D7677">
      <w:pPr>
        <w:pStyle w:val="TextoNormal"/>
      </w:pPr>
      <w:r>
        <w:t>En este caso es posible concluir en la existencia de contradicción efectiva y no salvable por vía interpretativa. El precepto autonómico exime de licencia urbanística municipal al uso minero, el cual, por su propia naturaleza, conlleva los movimientos de tierra y explanaciones (al tener la naturaleza de obras en el suelo y el subsuelo) que la norma básica somete a licencia municipal. Conforme al tenor de esta norma básica deben entenderse sujetas a la autorización que exige el art. 11.4 a) TRLSRU los movimientos de tierras y explanaciones que en todo caso van a derivar del uso minero en suelo rústico, licencia que se excluye expresamente por el precepto autonómico y que determina que entre en una contradicción insalvable por vía interpretativa con la norma estatal que constituye su parámetro de enjuiciamiento. Es cierto que eso no implica que no se encuentren sometidos a autorización administrativa supuestos de hecho distintos del uso minero como puedan ser los movimientos de tierras y explanaciones, a los que no se refiere el precepto autonómico y en los que la exigencia de autorización deriva directamente de la norma básica, pero el hecho es que el precepto autonómico viene a excluir de autorización un uso en el que, por sus propias características, ha de producirse dicho movimiento de tierras sometido en todo caso a autorización conforme a la norma básica.</w:t>
      </w:r>
    </w:p>
    <w:p w14:paraId="15119714" w14:textId="77777777" w:rsidR="009D7677" w:rsidRDefault="009D7677" w:rsidP="009D7677">
      <w:pPr>
        <w:pStyle w:val="TextoNormal"/>
      </w:pPr>
    </w:p>
    <w:p w14:paraId="5135AB2A" w14:textId="76E688EC" w:rsidR="009D7677" w:rsidRDefault="009D7677" w:rsidP="009D7677">
      <w:pPr>
        <w:pStyle w:val="TextoNormal"/>
      </w:pPr>
      <w:r>
        <w:t>En suma, por lo expuesto, el inciso “mineros” del art. 137.2 f) LISTA es inconstitucional y nulo. Declaración de inconstitucionalidad y nulidad que hace innecesario examinar la denunciada vulneración del principio constitucional de autonomía local.</w:t>
      </w:r>
    </w:p>
    <w:p w14:paraId="2D8C4A49" w14:textId="77777777" w:rsidR="009D7677" w:rsidRDefault="009D7677" w:rsidP="009D7677">
      <w:pPr>
        <w:pStyle w:val="TextoNormal"/>
      </w:pPr>
    </w:p>
    <w:p w14:paraId="7F8A22F1" w14:textId="77777777" w:rsidR="009D7677" w:rsidRDefault="009D7677" w:rsidP="009D7677">
      <w:pPr>
        <w:pStyle w:val="TextoNormal"/>
      </w:pPr>
      <w:r w:rsidRPr="009D7677">
        <w:rPr>
          <w:rStyle w:val="NumeroAFNegritaCaracter"/>
        </w:rPr>
        <w:t>11</w:t>
      </w:r>
      <w:r>
        <w:t xml:space="preserve">. </w:t>
      </w:r>
      <w:r w:rsidRPr="009D7677">
        <w:rPr>
          <w:i/>
        </w:rPr>
        <w:t>Restablecimiento de la legalidad territorial y urbanística. Impugnación de los arts. 151.1 y 153.2 f) de la Ley de impulso para la sostenibilidad del territorio de Andalucía</w:t>
      </w:r>
    </w:p>
    <w:p w14:paraId="42260123" w14:textId="77777777" w:rsidR="009D7677" w:rsidRDefault="009D7677" w:rsidP="009D7677">
      <w:pPr>
        <w:pStyle w:val="TextoNormal"/>
      </w:pPr>
    </w:p>
    <w:p w14:paraId="303C9CBE" w14:textId="77777777" w:rsidR="009D7677" w:rsidRDefault="009D7677" w:rsidP="009D7677">
      <w:pPr>
        <w:pStyle w:val="TextoNormal"/>
      </w:pPr>
      <w:r>
        <w:t>En el capítulo III del título VII LISTA, relativo al restablecimiento de la legalidad territorial y urbanística, se impugnan, por varios motivos, los arts. 151.1 y 153.2 f), que establecen:</w:t>
      </w:r>
    </w:p>
    <w:p w14:paraId="1DBA9A7C" w14:textId="77777777" w:rsidR="009D7677" w:rsidRDefault="009D7677" w:rsidP="009D7677">
      <w:pPr>
        <w:pStyle w:val="TextoNormal"/>
      </w:pPr>
    </w:p>
    <w:p w14:paraId="1FAFE6D2" w14:textId="77777777" w:rsidR="009D7677" w:rsidRDefault="009D7677" w:rsidP="009D7677">
      <w:pPr>
        <w:pStyle w:val="TextoNormal"/>
      </w:pPr>
      <w:r>
        <w:t>“Artículo 151. Restablecimiento de la legalidad ante actuaciones sin título preceptivo o contraviniéndolo</w:t>
      </w:r>
    </w:p>
    <w:p w14:paraId="655E0DE0" w14:textId="77777777" w:rsidR="009D7677" w:rsidRDefault="009D7677" w:rsidP="009D7677">
      <w:pPr>
        <w:pStyle w:val="TextoNormal"/>
      </w:pPr>
    </w:p>
    <w:p w14:paraId="33076F44" w14:textId="77777777" w:rsidR="009D7677" w:rsidRDefault="009D7677" w:rsidP="009D7677">
      <w:pPr>
        <w:pStyle w:val="TextoNormal"/>
      </w:pPr>
      <w:r>
        <w:t xml:space="preserve">1. Ante actuaciones realizadas sin licencia o título habilitante exigido por esta Ley o contraviniendo sus términos, la administración acordará su legalización o impondrá las medidas necesarias para adecuar la realidad a la ordenación territorial y urbanística, según resulten o no conformes con ella. Reglamentariamente se desarrollarán los supuestos y condiciones en los que, con carácter excepcional y en aplicación del principio de proporcionalidad, quepa la legalización, aun existiendo elementos de disconformidad no sustanciales con la ordenación aplicable, cuando las medidas necesarias para la adecuación de la </w:t>
      </w:r>
      <w:r>
        <w:lastRenderedPageBreak/>
        <w:t>realidad a la ordenación territorial y urbanística resulten imposibles o sean de muy difícil ejecución”.</w:t>
      </w:r>
    </w:p>
    <w:p w14:paraId="3D7D66E4" w14:textId="77777777" w:rsidR="009D7677" w:rsidRDefault="009D7677" w:rsidP="009D7677">
      <w:pPr>
        <w:pStyle w:val="TextoNormal"/>
      </w:pPr>
    </w:p>
    <w:p w14:paraId="6FDD71CB" w14:textId="77777777" w:rsidR="009D7677" w:rsidRDefault="009D7677" w:rsidP="009D7677">
      <w:pPr>
        <w:pStyle w:val="TextoNormal"/>
      </w:pPr>
      <w:r>
        <w:t>“Artículo 153. Plazo para restablecer la legalidad territorial y urbanística</w:t>
      </w:r>
    </w:p>
    <w:p w14:paraId="07EB04A8" w14:textId="77777777" w:rsidR="009D7677" w:rsidRDefault="009D7677" w:rsidP="009D7677">
      <w:pPr>
        <w:pStyle w:val="TextoNormal"/>
      </w:pPr>
    </w:p>
    <w:p w14:paraId="37DDF485" w14:textId="77777777" w:rsidR="009D7677" w:rsidRDefault="009D7677" w:rsidP="009D7677">
      <w:pPr>
        <w:pStyle w:val="TextoNormal"/>
      </w:pPr>
      <w:r>
        <w:t>1. Las medidas, provisionales o definitivas, para el restablecimiento de la legalidad territorial y urbanística previstas en este capítulo solo podrán adoptarse válidamente mientras los actos o usos estén en curso de ejecución, realización o desarrollo y dentro de los seis años siguientes a su completa terminación o, si es posterior, desde la aparición de signos externos que permitan conocerlos. Si de un uso se trata, los seis años se contarán desde la aparición de signos externos que permitan conocer su efectiva implantación.</w:t>
      </w:r>
    </w:p>
    <w:p w14:paraId="15FADB69" w14:textId="77777777" w:rsidR="009D7677" w:rsidRDefault="009D7677" w:rsidP="009D7677">
      <w:pPr>
        <w:pStyle w:val="TextoNormal"/>
      </w:pPr>
    </w:p>
    <w:p w14:paraId="6BF7A1AB" w14:textId="77777777" w:rsidR="009D7677" w:rsidRDefault="009D7677" w:rsidP="009D7677">
      <w:pPr>
        <w:pStyle w:val="TextoNormal"/>
      </w:pPr>
      <w:r>
        <w:t>Los actos y usos realizados en suelo rústico de especial protección por legislación sectorial se someterán al plazo establecido en el apartado anterior, sin perjuicio de los plazos que dicha legislación establezca para la adopción de medidas de restablecimiento de la realidad física alterada por el órgano sectorial competente.</w:t>
      </w:r>
    </w:p>
    <w:p w14:paraId="685A1FD9" w14:textId="77777777" w:rsidR="009D7677" w:rsidRDefault="009D7677" w:rsidP="009D7677">
      <w:pPr>
        <w:pStyle w:val="TextoNormal"/>
      </w:pPr>
    </w:p>
    <w:p w14:paraId="52854F43" w14:textId="77777777" w:rsidR="009D7677" w:rsidRDefault="009D7677" w:rsidP="009D7677">
      <w:pPr>
        <w:pStyle w:val="TextoNormal"/>
      </w:pPr>
      <w:r>
        <w:t>2. Se exceptúan de la anterior regla, de modo que podrán adoptarse dichas medidas en todo momento, las siguientes actuaciones:</w:t>
      </w:r>
    </w:p>
    <w:p w14:paraId="022E8F60" w14:textId="77777777" w:rsidR="009D7677" w:rsidRDefault="009D7677" w:rsidP="009D7677">
      <w:pPr>
        <w:pStyle w:val="TextoNormal"/>
      </w:pPr>
    </w:p>
    <w:p w14:paraId="3ED284D4" w14:textId="77777777" w:rsidR="009D7677" w:rsidRDefault="009D7677" w:rsidP="009D7677">
      <w:pPr>
        <w:pStyle w:val="TextoNormal"/>
      </w:pPr>
      <w:r>
        <w:t>[…]</w:t>
      </w:r>
    </w:p>
    <w:p w14:paraId="5518E748" w14:textId="77777777" w:rsidR="009D7677" w:rsidRDefault="009D7677" w:rsidP="009D7677">
      <w:pPr>
        <w:pStyle w:val="TextoNormal"/>
      </w:pPr>
    </w:p>
    <w:p w14:paraId="5BC2E233" w14:textId="77777777" w:rsidR="009D7677" w:rsidRDefault="009D7677" w:rsidP="009D7677">
      <w:pPr>
        <w:pStyle w:val="TextoNormal"/>
      </w:pPr>
      <w:r>
        <w:t>f) Las parcelaciones urbanísticas en suelo rústico, salvo las que afecten a parcelas sobre las que existan edificaciones para las que haya transcurrido la limitación temporal del apartado 1 de este artículo. La excepción anterior, en relación con limitación temporal únicamente será de aplicación a la parcela concreta sobre la que se encuentre la edificación en la que concurran los citados requisitos, no comprendiendo al resto de la parcela o parcelas objeto de la parcelación. En ningún caso será de aplicación la limitación temporal a las parcelas que se encuentren en alguno de los supuestos contemplados en las letras anteriores del presente apartado”.</w:t>
      </w:r>
    </w:p>
    <w:p w14:paraId="0A377C21" w14:textId="77777777" w:rsidR="009D7677" w:rsidRDefault="009D7677" w:rsidP="009D7677">
      <w:pPr>
        <w:pStyle w:val="TextoNormal"/>
      </w:pPr>
    </w:p>
    <w:p w14:paraId="1872B749" w14:textId="77777777" w:rsidR="009D7677" w:rsidRDefault="009D7677" w:rsidP="009D7677">
      <w:pPr>
        <w:pStyle w:val="TextoNormal"/>
      </w:pPr>
      <w:r>
        <w:t>Aunque formalmente se recurren en su integridad el art. 151.1 y el inexistente art. 153.1 f) de la Ley de impulso para la sostenibilidad del territorio de Andalucía, la impugnación se limita, en realidad, al inciso “resulten […] no conformes con ella” del art. 151.1 y al segundo párrafo del art. 153.1.</w:t>
      </w:r>
    </w:p>
    <w:p w14:paraId="636F740E" w14:textId="77777777" w:rsidR="009D7677" w:rsidRDefault="009D7677" w:rsidP="009D7677">
      <w:pPr>
        <w:pStyle w:val="TextoNormal"/>
      </w:pPr>
    </w:p>
    <w:p w14:paraId="44C4F804" w14:textId="77777777" w:rsidR="009D7677" w:rsidRDefault="009D7677" w:rsidP="009D7677">
      <w:pPr>
        <w:pStyle w:val="TextoNormal"/>
      </w:pPr>
      <w:r>
        <w:t xml:space="preserve">Sostienen los recurrentes que los dos preceptos impugnados vulneran los principios de legalidad, igualdad y no discriminación y de no regresión ambiental (arts. 9.3, 14 y 45 CE), en tanto permiten legalizar una obra o actuación ilegal sin restablecimiento del orden jurídico perturbado, fomentando la consolidación de obras ilegales incluso en suelos de especial protección y en detrimento de los propietarios de edificaciones que hubieran cumplido con sus obligaciones urbanísticas, al dispensar a los eventuales infractores un trato más ventajoso. El representante del Gobierno andaluz entiende que la impugnación de los recurrentes se encuentra escasamente argumentada y que decae ante la lectura integral y la interpretación integradora de los preceptos cuestionados, en tanto la Ley ni prevé la legalización de toda actuación contraria a la ordenación territorial y urbanística ni establece un plazo único de seis años para el ejercicio de las medidas de restablecimiento de la legalidad independientemente del acto o uso infractor desarrollado o del tipo de suelo </w:t>
      </w:r>
      <w:r>
        <w:lastRenderedPageBreak/>
        <w:t>afectado. Recuerda, por último, que conforme a la doctrina constitucional el principio de no regresión ambiental no constituye un canon válido de constitucionalidad, sin que concurra razón alguna, en su opinión, para que este tribunal revise su doctrina al respecto. El letrado del Parlamento andaluz niega también cualquier infracción constitucional del art. 151.1 LISTA, en tanto el precepto no plantea una solución unívoca de legalización sino dos alternativas para todas las actuaciones que vulneren o carezcan de título habilitante en función de que sean o no conformes con la ordenación en vigor, o del art. 153.1 LISTA, que no legaliza actuaciones en suelo rústico especialmente protegido sino que tan solo regula el plazo para el ejercicio de la potestad de restablecimiento de la legalidad territorial y urbanística. En relación con este último artículo, recuerda que la fijación del plazo para el ejercicio de las distintas potestades de disciplina urbanística se encuentra dentro del margen de configuración del legislador autonómico de acuerdo con su competencia exclusiva en materia de ordenación territorial y urbanismo, sin que el principio de regresión ambiental, de carácter eminentemente jurídico, permita identificar la conservación del medio físico con la conservación de la norma.</w:t>
      </w:r>
    </w:p>
    <w:p w14:paraId="61CB36E5" w14:textId="77777777" w:rsidR="009D7677" w:rsidRDefault="009D7677" w:rsidP="009D7677">
      <w:pPr>
        <w:pStyle w:val="TextoNormal"/>
      </w:pPr>
    </w:p>
    <w:p w14:paraId="32E1F39C" w14:textId="77777777" w:rsidR="009D7677" w:rsidRDefault="009D7677" w:rsidP="009D7677">
      <w:pPr>
        <w:pStyle w:val="TextoNormal"/>
      </w:pPr>
      <w:r>
        <w:t>La queja de los diputados recurrentes relativa a la vulneración del art. 14 CE (pues la del art. 9.3 CE ha de entenderse subsumida en aquella por cuanto que se alega un trato legal carente de justificación y, por tanto, arbitrario) por parte del art. 151.1 LISTA parte de una premisa que la condiciona. Tal premisa es que la Ley plantea una solución unívoca de legalización para todas las actuaciones que vulneren o carezcan del necesario título habilitante.</w:t>
      </w:r>
    </w:p>
    <w:p w14:paraId="68E52E10" w14:textId="77777777" w:rsidR="009D7677" w:rsidRDefault="009D7677" w:rsidP="009D7677">
      <w:pPr>
        <w:pStyle w:val="TextoNormal"/>
      </w:pPr>
    </w:p>
    <w:p w14:paraId="55BBABAC" w14:textId="77777777" w:rsidR="009D7677" w:rsidRDefault="009D7677" w:rsidP="009D7677">
      <w:pPr>
        <w:pStyle w:val="TextoNormal"/>
      </w:pPr>
      <w:r>
        <w:t>Pues bien, a la vista del tenor literal del precepto impugnado, no es posible entender que tal premisa concurra, con lo que la impugnación por este motivo carece de sustento. Tal y como han puesto de manifiesto tanto el letrado de la Junta de Andalucía como el letrado del Parlamento de Andalucía, el precepto distingue dos supuestos ante actuaciones carentes de título habilitante o que contravengan los términos de aquel. Supuestos diferenciados en función de que tales actuaciones resulten conformes o no con la ordenación territorial o urbanística. Tales opciones, que desmienten el tratamiento unívoco en el que se ha fundado la queja, son legalizar la actuación, en caso de que sea conforme con la ordenación territorial y urbanística, o, en caso contrario, imponer las medidas necesarias para adecuar la realidad a la ordenación territorial y urbanística. Tales medidas se prevén en el propio art. 151.3 LISTA y “consistirán en la prohibición de iniciar o de continuar la actuación en curso, cese de suministros, desmantelamiento de servicios, infraestructuras o instalaciones análogas, demolición total o parcial, desmonte, reconstrucción, reagrupación de parcelas y cuantas sean necesarias en función del contenido y el alcance de la ilegalidad”. Es patente, por tanto, que el precepto no incurre en la tacha que le imputan los recurrentes, sin perjuicio de advertir que tampoco despliegan un esfuerzo argumental suficiente para aportar un término de comparación válido teniendo en cuenta que el juicio de igualdad es, conforme a la doctrina constitucional, un juicio relacional (por todas, STC 153/2014, de 25 de septiembre, FJ 3).</w:t>
      </w:r>
    </w:p>
    <w:p w14:paraId="25C76CD8" w14:textId="77777777" w:rsidR="009D7677" w:rsidRDefault="009D7677" w:rsidP="009D7677">
      <w:pPr>
        <w:pStyle w:val="TextoNormal"/>
      </w:pPr>
    </w:p>
    <w:p w14:paraId="6C6326E5" w14:textId="77777777" w:rsidR="009D7677" w:rsidRDefault="009D7677" w:rsidP="009D7677">
      <w:pPr>
        <w:pStyle w:val="TextoNormal"/>
      </w:pPr>
      <w:r>
        <w:t xml:space="preserve">Respecto al principio de no regresión del Derecho medioambiental, también conocido como cláusula </w:t>
      </w:r>
      <w:r w:rsidRPr="009D7677">
        <w:rPr>
          <w:i/>
        </w:rPr>
        <w:t>standstill</w:t>
      </w:r>
      <w:r>
        <w:t xml:space="preserve">, hemos indicado en la STC 233/2015, de 5 de noviembre, FJ 2 c), que pese a su trascendencia y vinculación con el propio fundamento originario del Derecho ambiental, no cabe su identificación mecánica con el deber de conservación recogido en el art. 45 CE, “pues es también de notar que el deber constitucional se proyecta sobre el </w:t>
      </w:r>
      <w:r>
        <w:lastRenderedPageBreak/>
        <w:t>medio físico, en tanto que el principio de no regresión se predica del ordenamiento jurídico. En términos constitucionales, esta relevante diferencia significa que la norma no es intangible, y que por tanto la apreciación del potencial impacto negativo de su modificación sobre la conservación del medio ambiente requiere una cuidadosa ponderación, en la que, como uno más entre otros factores, habrá de tomarse en consideración la regulación preexistente”. De ahí que “el control objetivo y externo que corresponde efectuar a este tribunal habrá de ejercerse fraguando un equilibrio entre estos dos polos: (i) como hemos señalado en otro contexto, como principio, ‘la reversibilidad de las decisiones normativas es inherente a la idea de democracia’ (STC 31/2010, de 28 de junio, FJ 6); (ii) esta noción, consustancial al principio democrático, otorga al legislador un margen de configuración plenamente legítimo, amplio pero no ilimitado, pues está supeditado a los deberes que emanan del conjunto de la Constitución”.</w:t>
      </w:r>
    </w:p>
    <w:p w14:paraId="24CC95E3" w14:textId="77777777" w:rsidR="009D7677" w:rsidRDefault="009D7677" w:rsidP="009D7677">
      <w:pPr>
        <w:pStyle w:val="TextoNormal"/>
      </w:pPr>
    </w:p>
    <w:p w14:paraId="5C0AFF3F" w14:textId="77777777" w:rsidR="009D7677" w:rsidRDefault="009D7677" w:rsidP="009D7677">
      <w:pPr>
        <w:pStyle w:val="TextoNormal"/>
      </w:pPr>
      <w:r>
        <w:t>Acabamos de apreciar que de una lectura atenta y detenida del art. 151.1 LISTA se desprende que ante actuaciones realizadas sin licencia o título habilitante exigido por la propia ley o contraviniendo sus términos, la administración acordará su legalización si resultan conformes con la ordenación territorial y urbanística vigente o impondrá las medidas necesarias para adecuar la realidad a dicha ordenación si no fuera así. El art. 153.1 sujeta, por su parte, el ejercicio de la potestad de restablecimiento de la legalidad urbanística al plazo de seis años desde la completa terminación de los actos o usos o, si fuera posterior, desde la aparición de signos externos que permitan conocerlos, si bien en caso de haber sido realizados en suelo rústico de especial protección por legislación sectorial este plazo podrá ser superior si así lo establece la legislación aplicable para la adopción por el órgano sectorial competente de medidas dirigidas a restituir la realidad física alterada. A esta última previsión se suman, además, las excepciones contempladas por el art. 153.2 respecto de las que el legislador andaluz elimina cualquier plazo para el ejercicio de la potestad de restablecimiento de la legalidad: (i) las actuaciones realizadas sobre dominio público y servidumbres de protección; (ii) las realizadas en suelo rústico preservado con riesgos ciertos de desprendimientos, corrimientos, inundaciones o similares o que los generen o incrementen, mientras subsistan dichos riesgos conforme al artículo 14.1 b); (iii) las realizadas en suelo rústico en zona de influencia del litoral; (iv) las que afecten a bienes inmuebles inscritos individualmente en el catálogo general del patrimonio histórico de Andalucía; (v) las que afecten a zonas verdes y espacios libres; y (vi) las parcelaciones urbanísticas en suelo rústico, salvo las que afecten a parcelas sobre las que existan edificaciones para las que haya transcurrido la limitación temporal del apartado 1 de este artículo (no comprendiendo al resto de la parcela o parcelas objeto de la parcelación y salvo que se encuentre en alguno de los supuestos anteriores para los que no existe plazo). Por tanto, de la regulación legal expuesta no puede inferirse una regresión del nivel de protección ambiental susceptible de provocar la inconstitucionalidad de la norma.</w:t>
      </w:r>
    </w:p>
    <w:p w14:paraId="64A44FEE" w14:textId="77777777" w:rsidR="009D7677" w:rsidRDefault="009D7677" w:rsidP="009D7677">
      <w:pPr>
        <w:pStyle w:val="TextoNormal"/>
      </w:pPr>
    </w:p>
    <w:p w14:paraId="737AC4EF" w14:textId="77777777" w:rsidR="009D7677" w:rsidRDefault="009D7677" w:rsidP="009D7677">
      <w:pPr>
        <w:pStyle w:val="TextoNormal"/>
      </w:pPr>
      <w:r>
        <w:t xml:space="preserve">Por otra parte, la STC 233/2015, FJ 2 c), señala que “el deber de conservación que incumbe a los poderes públicos tiene una dimensión, la de no propiciar la destrucción o degradación del medio ambiente, que no consentiría la adopción de medidas, carentes de justificación objetiva, de tal calibre que supusieran un patente retroceso en el grado de protección que se ha alcanzado tras décadas de intervención tuitiva”. Lo cierto es que los recurrentes no han argumentado suficientemente por qué la nueva regulación de los arts. 151.1 y 153.1 LISTA implica, en relación con la precedente, una regresión o rebaja en el estándar de protección constitucionalmente relevante. En ese sentido, hemos declarado ya </w:t>
      </w:r>
      <w:r>
        <w:lastRenderedPageBreak/>
        <w:t xml:space="preserve">que la legislación anterior “puede contribuir a la interpretación de la evolución legislativa y del grado de alteración del </w:t>
      </w:r>
      <w:r w:rsidRPr="009D7677">
        <w:rPr>
          <w:i/>
        </w:rPr>
        <w:t>statu quo</w:t>
      </w:r>
      <w:r>
        <w:t xml:space="preserve"> que supone su reforma, pero en ningún caso puede erigirse en un factor de petrificación, que en tantas ocasiones hemos rechazado por contrariar el legítimo margen de configuración del legislador democrático y el propio carácter dinámico del ordenamiento jurídico (por todas, STC 141/2014, de 11 de septiembre, FJ 9)”.</w:t>
      </w:r>
    </w:p>
    <w:p w14:paraId="45468AF2" w14:textId="77777777" w:rsidR="009D7677" w:rsidRDefault="009D7677" w:rsidP="009D7677">
      <w:pPr>
        <w:pStyle w:val="TextoNormal"/>
      </w:pPr>
    </w:p>
    <w:p w14:paraId="0463CF8A" w14:textId="3720236E" w:rsidR="009D7677" w:rsidRDefault="009D7677" w:rsidP="009D7677">
      <w:pPr>
        <w:pStyle w:val="TextoNormal"/>
      </w:pPr>
      <w:r>
        <w:t>Por lo expuesto, debe descartarse la vulneración del principio de no regresión ambiental (art. 45 CE) por la modificación legislativa sancionada por los arts. 151.1 y 153.1 LISTA.</w:t>
      </w:r>
    </w:p>
    <w:p w14:paraId="6C3C6065" w14:textId="77777777" w:rsidR="009D7677" w:rsidRDefault="009D7677" w:rsidP="009D7677">
      <w:pPr>
        <w:pStyle w:val="TextoNormal"/>
      </w:pPr>
    </w:p>
    <w:p w14:paraId="01E62091" w14:textId="77777777" w:rsidR="009D7677" w:rsidRDefault="009D7677" w:rsidP="009D7677">
      <w:pPr>
        <w:pStyle w:val="TextoNormal"/>
      </w:pPr>
      <w:r w:rsidRPr="009D7677">
        <w:rPr>
          <w:rStyle w:val="NumeroAFNegritaCaracter"/>
        </w:rPr>
        <w:t>12</w:t>
      </w:r>
      <w:r>
        <w:t xml:space="preserve">. </w:t>
      </w:r>
      <w:r w:rsidRPr="009D7677">
        <w:rPr>
          <w:i/>
        </w:rPr>
        <w:t>Desafectación de vías pecuarias prevista en la disposición adicional cuarta de la Ley de impulso para la sostenibilidad del territorio de Andalucía</w:t>
      </w:r>
    </w:p>
    <w:p w14:paraId="57E40C92" w14:textId="77777777" w:rsidR="009D7677" w:rsidRDefault="009D7677" w:rsidP="009D7677">
      <w:pPr>
        <w:pStyle w:val="TextoNormal"/>
      </w:pPr>
    </w:p>
    <w:p w14:paraId="3DBBE3F4" w14:textId="77777777" w:rsidR="009D7677" w:rsidRDefault="009D7677" w:rsidP="009D7677">
      <w:pPr>
        <w:pStyle w:val="TextoNormal"/>
      </w:pPr>
      <w:r>
        <w:t>La desafectación de vías pecuarias sujetas a planeamiento urbanístico regulada en la disposición adicional cuarta LISTA se impugna por vulnerar indirectamente el art. 149.1.23 CE, al contravenir la Ley 3/1995, de 23 de marzo, de vías pecuarias, e infringir el art. 132 CE.</w:t>
      </w:r>
    </w:p>
    <w:p w14:paraId="5BAC1738" w14:textId="77777777" w:rsidR="009D7677" w:rsidRDefault="009D7677" w:rsidP="009D7677">
      <w:pPr>
        <w:pStyle w:val="TextoNormal"/>
      </w:pPr>
    </w:p>
    <w:p w14:paraId="4BD5D231" w14:textId="77777777" w:rsidR="009D7677" w:rsidRDefault="009D7677" w:rsidP="009D7677">
      <w:pPr>
        <w:pStyle w:val="TextoNormal"/>
      </w:pPr>
      <w:r>
        <w:t>La citada disposición adicional dispone:</w:t>
      </w:r>
    </w:p>
    <w:p w14:paraId="046B22BD" w14:textId="77777777" w:rsidR="009D7677" w:rsidRDefault="009D7677" w:rsidP="009D7677">
      <w:pPr>
        <w:pStyle w:val="TextoNormal"/>
      </w:pPr>
    </w:p>
    <w:p w14:paraId="53170243" w14:textId="77777777" w:rsidR="009D7677" w:rsidRDefault="009D7677" w:rsidP="009D7677">
      <w:pPr>
        <w:pStyle w:val="TextoNormal"/>
      </w:pPr>
      <w:r>
        <w:t>“Disposición adicional cuarta. Desafectación de vías pecuarias sujetas a planeamiento urbanístico</w:t>
      </w:r>
    </w:p>
    <w:p w14:paraId="0E9C29D6" w14:textId="77777777" w:rsidR="009D7677" w:rsidRDefault="009D7677" w:rsidP="009D7677">
      <w:pPr>
        <w:pStyle w:val="TextoNormal"/>
      </w:pPr>
    </w:p>
    <w:p w14:paraId="75B6FF65" w14:textId="77777777" w:rsidR="009D7677" w:rsidRDefault="009D7677" w:rsidP="009D7677">
      <w:pPr>
        <w:pStyle w:val="TextoNormal"/>
      </w:pPr>
      <w:r>
        <w:t>1. Se entenderá que han sido objeto de desafectación implícita los tramos de vías pecuarias que hubieran adquirido las características del suelo urbano definidas en la Ley 7/2002, de 17 de diciembre, de ordenación urbanística de Andalucía, a la fecha de entrada en vigor de la misma y que hayan sido clasificados como urbanos por el planeamiento general vigente, quedando exceptuados del régimen previsto en la sección 2 del capítulo IV del título I del Reglamento de vías pecuarias de la Comunidad Autónoma de Andalucía aprobado por Decreto 155/1998, de 21 de julio.</w:t>
      </w:r>
    </w:p>
    <w:p w14:paraId="654B8337" w14:textId="77777777" w:rsidR="009D7677" w:rsidRDefault="009D7677" w:rsidP="009D7677">
      <w:pPr>
        <w:pStyle w:val="TextoNormal"/>
      </w:pPr>
    </w:p>
    <w:p w14:paraId="1E6A9061" w14:textId="77777777" w:rsidR="009D7677" w:rsidRDefault="009D7677" w:rsidP="009D7677">
      <w:pPr>
        <w:pStyle w:val="TextoNormal"/>
      </w:pPr>
      <w:r>
        <w:t>2. La previa clasificación de la vía no impide la desafectación implícita regulada en el apartado anterior, que conllevará la desclasificación automática de los tramos afectados.</w:t>
      </w:r>
    </w:p>
    <w:p w14:paraId="7FCFF90B" w14:textId="77777777" w:rsidR="009D7677" w:rsidRDefault="009D7677" w:rsidP="009D7677">
      <w:pPr>
        <w:pStyle w:val="TextoNormal"/>
      </w:pPr>
    </w:p>
    <w:p w14:paraId="585F9C99" w14:textId="77777777" w:rsidR="009D7677" w:rsidRDefault="009D7677" w:rsidP="009D7677">
      <w:pPr>
        <w:pStyle w:val="TextoNormal"/>
      </w:pPr>
      <w:r>
        <w:t>3. Se procederá a la desafectación de los tramos de vías pecuarias que transcurra por los ámbitos identificados por el instrumento de planeamiento urbanístico como hábitat rural diseminado, aprobados a partir de la entrada en vigor de la Ley 7/2002, de 17 de diciembre, una vez aprobada su ordenación mediante el plan especial previsto en el planeamiento general. Será dicho instrumento el que delimite definitivamente el ámbito a ordenar, excluyendo del mismo los terrenos pertenecientes a las vías pecuarias que sigan manteniendo el carácter pecuario de las mismas, quedando exceptuados del régimen previsto en la sección 2 del capítulo IV del título I del Reglamento de vías pecuarias de la Comunidad Autónoma de Andalucía aprobado por Decreto 155/1998, de 21 de julio.</w:t>
      </w:r>
    </w:p>
    <w:p w14:paraId="25033AFA" w14:textId="77777777" w:rsidR="009D7677" w:rsidRDefault="009D7677" w:rsidP="009D7677">
      <w:pPr>
        <w:pStyle w:val="TextoNormal"/>
      </w:pPr>
    </w:p>
    <w:p w14:paraId="275230FD" w14:textId="77777777" w:rsidR="009D7677" w:rsidRDefault="009D7677" w:rsidP="009D7677">
      <w:pPr>
        <w:pStyle w:val="TextoNormal"/>
      </w:pPr>
      <w:r>
        <w:t>En el informe previsto en la tramitación del plan especial, la consejería competente en materia de vías pecuarias se pronunciará con carácter vinculante sobre la delimitación del ámbito.</w:t>
      </w:r>
    </w:p>
    <w:p w14:paraId="5F5F42A2" w14:textId="77777777" w:rsidR="009D7677" w:rsidRDefault="009D7677" w:rsidP="009D7677">
      <w:pPr>
        <w:pStyle w:val="TextoNormal"/>
      </w:pPr>
    </w:p>
    <w:p w14:paraId="3BF33F21" w14:textId="77777777" w:rsidR="009D7677" w:rsidRDefault="009D7677" w:rsidP="009D7677">
      <w:pPr>
        <w:pStyle w:val="TextoNormal"/>
      </w:pPr>
      <w:r>
        <w:lastRenderedPageBreak/>
        <w:t>4. El procedimiento administrativo para la desafectación, previo deslinde, será el siguiente:</w:t>
      </w:r>
    </w:p>
    <w:p w14:paraId="3D72CA9E" w14:textId="77777777" w:rsidR="009D7677" w:rsidRDefault="009D7677" w:rsidP="009D7677">
      <w:pPr>
        <w:pStyle w:val="TextoNormal"/>
      </w:pPr>
    </w:p>
    <w:p w14:paraId="626D9F9C" w14:textId="77777777" w:rsidR="009D7677" w:rsidRDefault="009D7677" w:rsidP="009D7677">
      <w:pPr>
        <w:pStyle w:val="TextoNormal"/>
      </w:pPr>
      <w:r>
        <w:t>a) La delegación territorial de la consejería competente en la materia emitirá informe sobre la procedencia de desafectación, en el que se acredite el cumplimiento de los requisitos antes expuestos, con determinación física del terreno a desafectar.</w:t>
      </w:r>
    </w:p>
    <w:p w14:paraId="31CFDFF1" w14:textId="77777777" w:rsidR="009D7677" w:rsidRDefault="009D7677" w:rsidP="009D7677">
      <w:pPr>
        <w:pStyle w:val="TextoNormal"/>
      </w:pPr>
    </w:p>
    <w:p w14:paraId="142B3976" w14:textId="77777777" w:rsidR="009D7677" w:rsidRDefault="009D7677" w:rsidP="009D7677">
      <w:pPr>
        <w:pStyle w:val="TextoNormal"/>
      </w:pPr>
      <w:r>
        <w:t>b) Posteriormente, la delegación territorial acordará la apertura de un período de información pública, a fin de que, en el plazo máximo de veinte días, las personas interesadas puedan presentar alegaciones.</w:t>
      </w:r>
    </w:p>
    <w:p w14:paraId="3DC59BDD" w14:textId="77777777" w:rsidR="009D7677" w:rsidRDefault="009D7677" w:rsidP="009D7677">
      <w:pPr>
        <w:pStyle w:val="TextoNormal"/>
      </w:pPr>
    </w:p>
    <w:p w14:paraId="0458D1C2" w14:textId="77777777" w:rsidR="009D7677" w:rsidRDefault="009D7677" w:rsidP="009D7677">
      <w:pPr>
        <w:pStyle w:val="TextoNormal"/>
      </w:pPr>
      <w:r>
        <w:t>c) Una vez informadas las alegaciones, la persona titular de la delegación territorial correspondiente formulará propuesta de resolución que, acompañada del expediente instruido al efecto, será elevada al órgano competente [para] su resolución.</w:t>
      </w:r>
    </w:p>
    <w:p w14:paraId="1A0950C5" w14:textId="77777777" w:rsidR="009D7677" w:rsidRDefault="009D7677" w:rsidP="009D7677">
      <w:pPr>
        <w:pStyle w:val="TextoNormal"/>
      </w:pPr>
    </w:p>
    <w:p w14:paraId="3FD9158E" w14:textId="77777777" w:rsidR="009D7677" w:rsidRDefault="009D7677" w:rsidP="009D7677">
      <w:pPr>
        <w:pStyle w:val="TextoNormal"/>
      </w:pPr>
      <w:r>
        <w:t>d) El plazo para la instrucción del procedimiento de desafectación será de nueve meses desde el inicio del mismo.</w:t>
      </w:r>
    </w:p>
    <w:p w14:paraId="18D45BD7" w14:textId="77777777" w:rsidR="009D7677" w:rsidRDefault="009D7677" w:rsidP="009D7677">
      <w:pPr>
        <w:pStyle w:val="TextoNormal"/>
      </w:pPr>
    </w:p>
    <w:p w14:paraId="58A0F9FC" w14:textId="77777777" w:rsidR="009D7677" w:rsidRDefault="009D7677" w:rsidP="009D7677">
      <w:pPr>
        <w:pStyle w:val="TextoNormal"/>
      </w:pPr>
      <w:r>
        <w:t>e) La consejería competente en materia de vías pecuarias deberá regularizar la descripción física y jurídica del inmueble ante el catastro y el registro de la propiedad. La resolución de desafectación será título suficiente para acreditar ante el catastro inmobiliario el cambio de naturaleza del inmueble y, en su caso, titularidad. Del mismo modo, constituirá título para la inscripción en el registro de la propiedad en los términos establecidos en el artículo 206 de la Ley hipotecaria.</w:t>
      </w:r>
    </w:p>
    <w:p w14:paraId="365E391F" w14:textId="77777777" w:rsidR="009D7677" w:rsidRDefault="009D7677" w:rsidP="009D7677">
      <w:pPr>
        <w:pStyle w:val="TextoNormal"/>
      </w:pPr>
    </w:p>
    <w:p w14:paraId="04F051B7" w14:textId="77777777" w:rsidR="009D7677" w:rsidRDefault="009D7677" w:rsidP="009D7677">
      <w:pPr>
        <w:pStyle w:val="TextoNormal"/>
      </w:pPr>
      <w:r>
        <w:t>f) La resolución de desafectación deberá ser comunicada por la Consejería competente en materia de vías pecuarias a la consejería con competencias en materia de patrimonio para su toma de razón en el inventario general de bienes y derechos de la Comunidad Autónoma, con remisión de los datos registrales y catastrales que permitan la identificación y localización de los terrenos desafectados, los cuales serán adscritos por la consejería con competencia en materia de patrimonio a la consejería que resulte más adecuada en función de la naturaleza, características y situación de los terrenos desafectados”.</w:t>
      </w:r>
    </w:p>
    <w:p w14:paraId="29B8BAB8" w14:textId="77777777" w:rsidR="009D7677" w:rsidRDefault="009D7677" w:rsidP="009D7677">
      <w:pPr>
        <w:pStyle w:val="TextoNormal"/>
      </w:pPr>
    </w:p>
    <w:p w14:paraId="3B148AB3" w14:textId="77777777" w:rsidR="009D7677" w:rsidRDefault="009D7677" w:rsidP="009D7677">
      <w:pPr>
        <w:pStyle w:val="TextoNormal"/>
      </w:pPr>
      <w:r>
        <w:t>Los recurrentes atribuyen vicios de inconstitucionalidad mediata o indirecta a la disposición adicional cuarta LISTA. Sostienen que la regulación de la disposición adicional impugnada permite desafectar de forma implícita y desclasificar automáticamente tramos de vías pecuarias sin habilitar un trazado alternativo que reúna las condiciones de idoneidad y conservación superficial, infringiendo los arts. 10 a 12 LVP. El régimen jurídico que establece el legislador andaluz resulta aplicable a dos supuestos concretos. De un lado, a los tramos de vías pecuarias que, cumpliendo ciertos requisitos, hubieran adquirido las características de suelo urbano y, de otro, a los que transcurran por ámbitos identificados por el instrumento de ordenación urbanística general como hábitat rural diseminado, por lo que entienden que vulnera, además, el art. 132 CE al sancionar la pérdida de su consideración como dominio público por ocupación ilegal. Imputan, por último, a la desafectación implícita o tácita efectuada sin previo deslinde, la infracción de los principios constitucionales de igualdad e interdicción de la arbitrariedad de los poderes públicos (arts. 14 y 9.3 CE).</w:t>
      </w:r>
    </w:p>
    <w:p w14:paraId="60F3975E" w14:textId="77777777" w:rsidR="009D7677" w:rsidRDefault="009D7677" w:rsidP="009D7677">
      <w:pPr>
        <w:pStyle w:val="TextoNormal"/>
      </w:pPr>
    </w:p>
    <w:p w14:paraId="4C68B5A4" w14:textId="77777777" w:rsidR="009D7677" w:rsidRDefault="009D7677" w:rsidP="009D7677">
      <w:pPr>
        <w:pStyle w:val="TextoNormal"/>
      </w:pPr>
      <w:r>
        <w:lastRenderedPageBreak/>
        <w:t>Las representaciones procesales del Gobierno y el Parlamento de Andalucía coinciden en señalar que es posible una interpretación conforme de la disposición adicional autonómica con los preceptos de carácter básico cuya infracción denuncian los recurrentes. Para el letrado de la Junta de Andalucía la disposición adicional impugnada establece una excepción al régimen jurídico general vigente en la materia de manera justificada y respetuosa con la legislación básica aplicable, admitiendo la desafectación implícita de determinados tramos de vías pecuarias cuando concurren los exigentes requisitos que señala. El letrado del Parlamento andaluz subraya, por su parte, que el procedimiento especial de desafectación tiene como finalidad resolver un conflicto ocasionado por la falta de coordinación entre la legislación andaluza preexistente en materia urbanística y la sectorial aplicable a las vías pecuarias, pretendiendo solucionar una situación de hecho que comprende una pluralidad de vías pecuarias, sin que la solución adoptada pueda tildarse de contraria a la normativa básica.</w:t>
      </w:r>
    </w:p>
    <w:p w14:paraId="5BC07BCB" w14:textId="77777777" w:rsidR="009D7677" w:rsidRDefault="009D7677" w:rsidP="009D7677">
      <w:pPr>
        <w:pStyle w:val="TextoNormal"/>
      </w:pPr>
    </w:p>
    <w:p w14:paraId="1BCFAB8E" w14:textId="77777777" w:rsidR="009D7677" w:rsidRDefault="009D7677" w:rsidP="009D7677">
      <w:pPr>
        <w:pStyle w:val="TextoNormal"/>
      </w:pPr>
      <w:r>
        <w:t>Respecto a la contradicción que alegan los recurrentes de la disposición adicional cuarta LISTA con los arts. 14 y 9.3 CE debemos recordar que no corresponde al Tribunal pronunciarse sobre preceptos respecto de los que, siendo impugnados, los recurrentes no han hecho, más allá de su mera invocación, ninguna alegación, ni han desarrollado un mínimo razonamiento que cuestione su constitucionalidad. Por otra parte, la vulneración del art. 132 CE remite, en realidad, a la queja de inconstitucionalidad mediata por la denunciada infracción del régimen de desafectación de vías pecuarias previsto en la Ley de vías pecuarias.</w:t>
      </w:r>
    </w:p>
    <w:p w14:paraId="42A7336D" w14:textId="77777777" w:rsidR="009D7677" w:rsidRDefault="009D7677" w:rsidP="009D7677">
      <w:pPr>
        <w:pStyle w:val="TextoNormal"/>
      </w:pPr>
    </w:p>
    <w:p w14:paraId="5CDF2CF3" w14:textId="77777777" w:rsidR="009D7677" w:rsidRDefault="009D7677" w:rsidP="009D7677">
      <w:pPr>
        <w:pStyle w:val="TextoNormal"/>
      </w:pPr>
      <w:r>
        <w:t>El art. 1 LVP define la vía pecuaria por su vinculación tradicional con el tránsito ganadero (apartado 2), sin perjuicio de admitir su posible destino, asimismo, “a otros usos compatibles y complementarios en términos acordes con su naturaleza y sus fines, dando prioridad al tránsito ganadero y otros usos rurales, e inspirándose en el desarrollo sostenible y el respeto al medio ambiente, al paisaje y al patrimonio natural y cultural” (apartado 3). En tanto bienes de dominio público de las comunidades autónomas, su art. 2 las declara “inalienables, imprescriptibles e inembargables”, estableciendo su art. 3 los fines de la actuación autonómica sobre las vías pecuarias, entre otros, garantizar su uso público “tanto cuando sirvan para facilitar el tránsito ganadero como cuando se adscriban a otros usos compatibles o complementarios” [apartado c)] y “[a]segurar la adecuada conservación de las vías pecuarias, así como de otros elementos ambientales o culturalmente valiosos, directamente vinculados a ellas, mediante la adopción de las medidas de protección y restauración necesarias” [apartado d)], para lo que podrán “[e]jercer las potestades administrativas en defensa de la integridad de las vías pecuarias” [apartado b)]. Aunque la Ley de vías pecuarias se orienta principalmente a la conservación y defensa de las vías pecuarias, otorga a las comunidades autónomas, en virtud de su art. 5 e), la decisión sobre su posible desafectación, admitiendo, en el art. 10, la de los terrenos de vías pecuarias que no sean adecuados para el tránsito del ganado ni susceptibles de los usos compatibles y complementarios a que se refiere el título II de la Ley.</w:t>
      </w:r>
    </w:p>
    <w:p w14:paraId="51B5AEB0" w14:textId="77777777" w:rsidR="009D7677" w:rsidRDefault="009D7677" w:rsidP="009D7677">
      <w:pPr>
        <w:pStyle w:val="TextoNormal"/>
      </w:pPr>
    </w:p>
    <w:p w14:paraId="7C95D243" w14:textId="77777777" w:rsidR="009D7677" w:rsidRDefault="009D7677" w:rsidP="009D7677">
      <w:pPr>
        <w:pStyle w:val="TextoNormal"/>
      </w:pPr>
      <w:r>
        <w:t xml:space="preserve">Respecto a los preceptos legales cuya vulneración se denuncia, los arts. 10 a 12 LVP son formalmente básicos de conformidad con la disposición final primera de la Ley; y también deben ser así considerados desde la perspectiva material, por cuanto fijan una norma mínima de protección ambiental, además de establecer condiciones básicas para el </w:t>
      </w:r>
      <w:r>
        <w:lastRenderedPageBreak/>
        <w:t>ejercicio de potestades públicas en relación con el patrimonio demanial de las vías pecuarias.</w:t>
      </w:r>
    </w:p>
    <w:p w14:paraId="7985ABCB" w14:textId="77777777" w:rsidR="009D7677" w:rsidRDefault="009D7677" w:rsidP="009D7677">
      <w:pPr>
        <w:pStyle w:val="TextoNormal"/>
      </w:pPr>
    </w:p>
    <w:p w14:paraId="49284527" w14:textId="77777777" w:rsidR="009D7677" w:rsidRDefault="009D7677" w:rsidP="009D7677">
      <w:pPr>
        <w:pStyle w:val="TextoNormal"/>
      </w:pPr>
      <w:r>
        <w:t>El art. 10 LVP dispone que las comunidades autónomas podrán desafectar del dominio público los terrenos de vías pecuarias que no sean adecuados para el tránsito del ganado ni susceptibles de los usos compatibles y complementarios a que se refiere el título II de la Ley, debiendo prevalecer en su destino “el interés público o social” en tanto bienes patrimoniales autonómicos. Excepcionalmente y de forma motivada por razones de interés público, o previa desafectación en caso de interés particular, se podrá modificar el trazado de una vía pecuaria, siempre que se asegure, conforme al art. 11 LVP, “el mantenimiento de la integridad superficial, la idoneidad de los itinerarios y de los trazados, junto con la continuidad del tránsito ganadero y de los demás usos compatibles y complementarios con aquel”. A la variación del trazado habrá de preceder, en tales casos, consulta previa de las corporaciones locales, de las cámaras agrarias, de las organizaciones profesionales agrarias afectadas y de aquellas organizaciones o colectivos cuyo fin sea la defensa del medio ambiente, sometiéndose, además, a información pública por espacio de un mes. Por su parte, el art. 12 regula el supuesto de las modificaciones del trazado de una vía pecuaria como consecuencia de una nueva ordenación territorial, exigiendo que “el nuevo trazado que, en su caso, haya de realizarse, deberá asegurar con carácter previo el mantenimiento de la integridad superficial, la idoneidad de los itinerarios y la continuidad de los trazados, junto con la del tránsito ganadero, así como los demás usos compatibles y complementarios de aquel”.</w:t>
      </w:r>
    </w:p>
    <w:p w14:paraId="5E43105A" w14:textId="77777777" w:rsidR="009D7677" w:rsidRDefault="009D7677" w:rsidP="009D7677">
      <w:pPr>
        <w:pStyle w:val="TextoNormal"/>
      </w:pPr>
    </w:p>
    <w:p w14:paraId="13562293" w14:textId="77777777" w:rsidR="009D7677" w:rsidRDefault="009D7677" w:rsidP="009D7677">
      <w:pPr>
        <w:pStyle w:val="TextoNormal"/>
      </w:pPr>
      <w:r>
        <w:t xml:space="preserve">Estos preceptos encuentran amparo en el art. 149.1.23 CE, que determina la competencia estatal para establecer la legislación básica sobre vías pecuarias en tanto rutas o itinerarios por donde discurre o ha venido discurriendo tradicionalmente el tránsito ganadero; son, por tanto, reglas de protección del demanio autonómico integrado por este tipo de vías que, por razones de interés general, el legislador estatal ha considerado, legítimamente, que han de ser comunes a todo el territorio nacional. Se suman, en tal sentido, al resto de directrices y normas básicas del Estado </w:t>
      </w:r>
      <w:r w:rsidRPr="009D7677">
        <w:rPr>
          <w:i/>
        </w:rPr>
        <w:t>ex</w:t>
      </w:r>
      <w:r>
        <w:t xml:space="preserve"> art. 149.1.1 y 23 que le permiten encauzar o incidir en el modelo territorial o urbanístico autonómico. Dentro de esos parámetros, las comunidades autónomas pueden optar por el modelo concreto de ordenación territorial y urbanística que estimen más pertinente como establecen, entre otras, las SSTC 141/2014, FJ 6 B), y 75/2018, FJ 4.</w:t>
      </w:r>
    </w:p>
    <w:p w14:paraId="4305E332" w14:textId="77777777" w:rsidR="009D7677" w:rsidRDefault="009D7677" w:rsidP="009D7677">
      <w:pPr>
        <w:pStyle w:val="TextoNormal"/>
      </w:pPr>
    </w:p>
    <w:p w14:paraId="48DA2C03" w14:textId="77777777" w:rsidR="009D7677" w:rsidRDefault="009D7677" w:rsidP="009D7677">
      <w:pPr>
        <w:pStyle w:val="TextoNormal"/>
      </w:pPr>
      <w:r>
        <w:t>Resta por comprobar si la disposición impugnada incurre en una contradicción efectiva con las normas básicas.</w:t>
      </w:r>
    </w:p>
    <w:p w14:paraId="04462AEB" w14:textId="77777777" w:rsidR="009D7677" w:rsidRDefault="009D7677" w:rsidP="009D7677">
      <w:pPr>
        <w:pStyle w:val="TextoNormal"/>
      </w:pPr>
    </w:p>
    <w:p w14:paraId="4B2E884D" w14:textId="77777777" w:rsidR="009D7677" w:rsidRDefault="009D7677" w:rsidP="009D7677">
      <w:pPr>
        <w:pStyle w:val="TextoNormal"/>
      </w:pPr>
      <w:r>
        <w:t>La finalidad de la disposición adicional cuarta LISTA es la de regularizar la situación jurídica y clasificación de aquellas vías pecuarias sujetas a planeamiento urbanístico bien porque reuniesen los caracteres propios del suelo urbano a la entrada en vigor de la Ley de ordenación urbanística de Andalucía de 2002, bien porque transcurrieran por ámbitos identificados de forma expresa por el planeamiento urbanístico como hábitat rural diseminado.</w:t>
      </w:r>
    </w:p>
    <w:p w14:paraId="6971ACD7" w14:textId="77777777" w:rsidR="009D7677" w:rsidRDefault="009D7677" w:rsidP="009D7677">
      <w:pPr>
        <w:pStyle w:val="TextoNormal"/>
      </w:pPr>
    </w:p>
    <w:p w14:paraId="389A7F8D" w14:textId="77777777" w:rsidR="009D7677" w:rsidRDefault="009D7677" w:rsidP="009D7677">
      <w:pPr>
        <w:pStyle w:val="TextoNormal"/>
      </w:pPr>
      <w:r>
        <w:t xml:space="preserve">En el primer supuesto de los previstos en la norma autonómica el legislador andaluz opta, con la desafectación legal de ciertos tramos de vías pecuarias sujetos a planeamiento urbanístico, por su clasificación como suelo urbano, exceptuándolos del régimen previsto </w:t>
      </w:r>
      <w:r>
        <w:lastRenderedPageBreak/>
        <w:t>en la sección segunda del capítulo IV del título I del Reglamento de vías pecuarias de la Comunidad Autónoma de Andalucía, aprobado por Decreto 155/1998, de 21 de julio. Entiende producida la desafectación sin necesidad de previo deslinde siempre que concurran en el tramo afectado dos requisitos: (i) que hubiera adquirido las características definidas para el suelo urbano en la Ley 7/2002, de 17 de diciembre, de ordenación urbanística de Andalucía, a su entrada en vigor el 20 de enero de 2003, y (ii) que haya sido clasificado como suelo urbano por el planeamiento general vigente (apartado 1). La ley anuda en este caso la desafectación como efecto jurídico a la sujeción expresa al planeamiento urbanístico de aquellos tramos de vías pecuarias que a la entrada en vigor de la ley urbanística de 2002 reunieran ya los rasgos propios del suelo urbano, sancionando, por lo demás, su desclasificación automática (apartado 2).</w:t>
      </w:r>
    </w:p>
    <w:p w14:paraId="42B48941" w14:textId="77777777" w:rsidR="009D7677" w:rsidRDefault="009D7677" w:rsidP="009D7677">
      <w:pPr>
        <w:pStyle w:val="TextoNormal"/>
      </w:pPr>
    </w:p>
    <w:p w14:paraId="2EEEA9C1" w14:textId="77777777" w:rsidR="009D7677" w:rsidRDefault="009D7677" w:rsidP="009D7677">
      <w:pPr>
        <w:pStyle w:val="TextoNormal"/>
      </w:pPr>
      <w:r>
        <w:t>Respecto al segundo supuesto, dispone que se procederá a la desafectación de aquellos tramos de vías pecuarias que transcurran por ámbitos identificados por el instrumento de planeamiento urbanístico como hábitat rural diseminado, aprobados a partir de la entrada en vigor de la Ley 7/2002, una vez acordada su ordenación mediante el plan especial previsto en el planeamiento general. Será este instrumento el que delimite de forma definitiva el ámbito a ordenar, previo informe vinculante de la consejería competente en materia de vías pecuarias, quedando excluidos, en todo caso, los terrenos pertenecientes a estas vías que continúen manteniendo su carácter pecuario (apartado 3). A tal efecto, la disposición adicional impugnada establece el procedimiento administrativo a seguir, una vez efectuado el deslinde, para su desafectación expresa (apartado 4).</w:t>
      </w:r>
    </w:p>
    <w:p w14:paraId="4DA73CA0" w14:textId="77777777" w:rsidR="009D7677" w:rsidRDefault="009D7677" w:rsidP="009D7677">
      <w:pPr>
        <w:pStyle w:val="TextoNormal"/>
      </w:pPr>
    </w:p>
    <w:p w14:paraId="6B846287" w14:textId="77777777" w:rsidR="009D7677" w:rsidRDefault="009D7677" w:rsidP="009D7677">
      <w:pPr>
        <w:pStyle w:val="TextoNormal"/>
      </w:pPr>
      <w:r>
        <w:t>Examinaremos los dos supuestos por separado a los efectos de comprobar si entran en colisión con la norma básica, infringiendo por ello el título competencial del art. 149.1.23 CE.</w:t>
      </w:r>
    </w:p>
    <w:p w14:paraId="27FF5D30" w14:textId="77777777" w:rsidR="009D7677" w:rsidRDefault="009D7677" w:rsidP="009D7677">
      <w:pPr>
        <w:pStyle w:val="TextoNormal"/>
      </w:pPr>
    </w:p>
    <w:p w14:paraId="53DEB2C8" w14:textId="77777777" w:rsidR="009D7677" w:rsidRDefault="009D7677" w:rsidP="009D7677">
      <w:pPr>
        <w:pStyle w:val="TextoNormal"/>
      </w:pPr>
      <w:r>
        <w:t>Si atendemos al tenor literal de la disposición adicional impugnada, el primer supuesto a que se refiere la Ley parte de una previa situación fáctica, la pérdida por parte de los tramos afectados de las características propias de las vías pecuarias con anterioridad a la entrada en vigor de la ya mencionada Ley 7/2002. Los suelos que hubieran adquirido ya las características de suelo urbano definidas por esa Ley a la fecha de su entrada en vigor quedan exceptuados del régimen jurídico previsto en la sección segunda del capítulo IV del título I del Reglamento de vías pecuarias de la Comunidad Autónoma de Andalucía de 1998. Esta circunstancia hace que, por voluntad del legislador andaluz, a su clasificación explícita como suelos urbanos por el planeamiento general vigente, se anude la decisión, esta vez implícita, de su desafectación como bienes de dominio público.</w:t>
      </w:r>
    </w:p>
    <w:p w14:paraId="68514C75" w14:textId="77777777" w:rsidR="009D7677" w:rsidRDefault="009D7677" w:rsidP="009D7677">
      <w:pPr>
        <w:pStyle w:val="TextoNormal"/>
      </w:pPr>
    </w:p>
    <w:p w14:paraId="7E4D13DD" w14:textId="77777777" w:rsidR="009D7677" w:rsidRDefault="009D7677" w:rsidP="009D7677">
      <w:pPr>
        <w:pStyle w:val="TextoNormal"/>
      </w:pPr>
      <w:r>
        <w:t xml:space="preserve">Es indiscutido que la Ley de vías pecuarias atribuye a las comunidades autónomas la facultad de desafectar del dominio público los terrenos de las vías pecuarias que ya no sean adecuados para el tránsito del ganado ni susceptibles de un uso compatible y complementario de tal vía pecuaria. Ahora bien, la atribución de dicha facultad no significa que pueda ejercerse al margen de la condición de bienes de dominio público que el legislador estatal ha atribuido a las vías pecuarias, con la consiguiente imposibilidad de hacer factible una suerte de desafectación tácita derivada de actos de calificación del suelo en los instrumentos de planeamiento y prescindiendo de toda formalidad procedimental, entre ellas, las relativas a la clasificación y el deslinde previstos en los arts. 7 y 8 LVP. Preceptos que también han de ser considerados básicos en cuanto encaminados a la protección y </w:t>
      </w:r>
      <w:r>
        <w:lastRenderedPageBreak/>
        <w:t>definición de este tipo de bienes de dominio público. En similar sentido, la jurisprudencia del Tribunal Supremo tiene establecido que la clasificación del suelo opera únicamente como causa para poder proceder a la desafectación prevista en el art. 10 LVP, pero en ningún caso hace innecesario el deslinde, pues la alteración de la demanialidad del suelo por el que transcurre una vía pecuaria está sujeta a la tramitación del procedimiento legalmente establecido, sin que pueda pretenderse que por la concurrencia de una situación fáctica el legislador andaluz pueda disponer esa desafectación tácita o implícita.</w:t>
      </w:r>
    </w:p>
    <w:p w14:paraId="130490F8" w14:textId="77777777" w:rsidR="009D7677" w:rsidRDefault="009D7677" w:rsidP="009D7677">
      <w:pPr>
        <w:pStyle w:val="TextoNormal"/>
      </w:pPr>
    </w:p>
    <w:p w14:paraId="120AA5C2" w14:textId="77777777" w:rsidR="009D7677" w:rsidRDefault="009D7677" w:rsidP="009D7677">
      <w:pPr>
        <w:pStyle w:val="TextoNormal"/>
      </w:pPr>
      <w:r>
        <w:t xml:space="preserve">De acuerdo con todo lo expuesto, cabe apreciar que los apartados 1 y 2 de la disposición adicional cuarta LISTA, al ordenar </w:t>
      </w:r>
      <w:r w:rsidRPr="009D7677">
        <w:rPr>
          <w:i/>
        </w:rPr>
        <w:t>ope legis</w:t>
      </w:r>
      <w:r>
        <w:t xml:space="preserve"> la desafectación implícita de determinadas vías pecuarias que hubieran adquirido la condición de suelo urbano, entran en colisión con la legislación básica estatal. Infringen, así, el título competencial del art. 149.1.23 CE, al disminuir el nivel de protección establecido con carácter común para todas las vías pecuarias que discurren por el territorio estatal, siendo, por tanto, inconstitucionales y nulos.</w:t>
      </w:r>
    </w:p>
    <w:p w14:paraId="50DC1CE0" w14:textId="77777777" w:rsidR="009D7677" w:rsidRDefault="009D7677" w:rsidP="009D7677">
      <w:pPr>
        <w:pStyle w:val="TextoNormal"/>
      </w:pPr>
    </w:p>
    <w:p w14:paraId="47C0A98C" w14:textId="77777777" w:rsidR="009D7677" w:rsidRDefault="009D7677" w:rsidP="009D7677">
      <w:pPr>
        <w:pStyle w:val="TextoNormal"/>
      </w:pPr>
      <w:r>
        <w:t>En cuanto al segundo de los supuestos regulados por esta disposición adicional, comprende la desafectación, previo deslinde, de aquellos tramos de vías pecuarias que transcurran por un hábitat rural diseminado así identificado por el instrumento de planeamiento urbanístico aprobado a partir de la entrada en vigor de la citada Ley de ordenación urbanística de Andalucía de 2002, tramitándose, en este caso, el procedimiento administrativo para su desafectación tras la aprobación de su ordenación mediante el plan especial previsto al efecto. Se integran en el citado hábitat rural diseminado, conforme al art. 14.2 LISTA, aquellos terrenos que constituyen el ámbito territorial sobre el que se ubica un conjunto de edificaciones sin estructura urbana y ligadas en su origen a la actividad agropecuaria y del medio rural, que poseen características propias que deben preservarse y que pueden demandar algunas infraestructuras, dotaciones o servicios comunes para cuya ejecución no se precise una actuación urbanizadora. Será su instrumento de ordenación el que delimite definitivamente el ámbito a ordenar, excluyendo del mismo a aquellos terrenos pertenecientes a vías pecuarias que sigan manteniendo su carácter, razón por la que “[e]n el informe previsto en la tramitación del plan especial, la consejería competente en materia de vías pecuarias se pronunciará con carácter vinculante sobre la delimitación del ámbito”. En suma, tan solo los terrenos que han perdido tal carácter pecuario se encuentran afectados por la regulación extraordinaria que establece el segundo supuesto de la disposición adicional impugnada, sustituyéndose, por voluntad del legislador andaluz, el régimen jurídico de la sección segunda del capítulo IV del título I del Reglamento de vías pecuarias de Andalucía de 1998 por otro más específico para su desafectación, previo deslinde, dispuesto al efecto por su apartado cuarto.</w:t>
      </w:r>
    </w:p>
    <w:p w14:paraId="275D8968" w14:textId="77777777" w:rsidR="009D7677" w:rsidRDefault="009D7677" w:rsidP="009D7677">
      <w:pPr>
        <w:pStyle w:val="TextoNormal"/>
      </w:pPr>
    </w:p>
    <w:p w14:paraId="6A534266" w14:textId="77777777" w:rsidR="009D7677" w:rsidRDefault="009D7677" w:rsidP="009D7677">
      <w:pPr>
        <w:pStyle w:val="TextoNormal"/>
      </w:pPr>
      <w:r>
        <w:t xml:space="preserve">En este segundo supuesto no se vulnera el art. 10 LVP, pues este precepto permite la desafectación autonómica de “los terrenos de vías pecuarias que no sean adecuados para el tránsito del ganado ni sean susceptibles de los usos compatibles y complementarios a que se refiere el título II de esta Ley”, pues tal desafectación se condiciona a un previo deslinde en la forma prevista en los apartados 3 y 4 de la disposición adicional cuarta LISTA. Tampoco se infringe el art. 12 LVP, relativo a las modificaciones del trazado como consecuencia de una nueva ordenación territorial, en tanto que dicha exigencia de nuevo trazado no es general, sino que se refiere a los supuestos en los que “en su caso, haya de realizarse”. En ese caso el legislador andaluz no pretende variar el recorrido de una vía pecuaria existente a consecuencia de una nueva ordenación de los usos del territorio, sino tan solo </w:t>
      </w:r>
      <w:r>
        <w:lastRenderedPageBreak/>
        <w:t>regularizar una situación preexistente y prolongada en el tiempo en relación con tramos de vías pecuarias que hubieran perdido ya los caracteres propios de su definición y no reunieran, por tanto, en este momento las propiedades necesarias para servir a su función pecuaria inicial.</w:t>
      </w:r>
    </w:p>
    <w:p w14:paraId="557D6CFB" w14:textId="77777777" w:rsidR="009D7677" w:rsidRDefault="009D7677" w:rsidP="009D7677">
      <w:pPr>
        <w:pStyle w:val="TextoNormal"/>
      </w:pPr>
    </w:p>
    <w:p w14:paraId="33B5577A" w14:textId="77777777" w:rsidR="009D7677" w:rsidRDefault="009D7677" w:rsidP="009D7677">
      <w:pPr>
        <w:pStyle w:val="TextoNormal"/>
      </w:pPr>
      <w:r>
        <w:t>Cabe apreciar en este caso un interés público o social en el destino de los suelos desafectados, porque la Ley impugnada admite que los rasgos propios del hábitat rural diseminado han resultado ser incompatibles con la función primordial de la vía pecuaria, que ha perdido su carácter. Si la ordenación del hábitat rural diseminado afecta en cambio a una vía pecuaria que conserve todavía tal carácter, procede excluirla del instrumento de planificación correspondiente o, si no fuera posible, modificar su trazado y desafectar los terrenos incluidos en el tramo originario a variar conforme a lo dispuesto por el Reglamento andaluz de vías pecuarias de 1998. No cabe apreciar, por tanto, contradicción con el art. 12 LVP, en la que insisten los recurrentes, pues, como se ha advertido, dicho precepto básico, lejos de exigir la modificación del trazado de toda vía pecuaria siempre que se apruebe una nueva ordenación territorial, la sujeta tan solo a ciertos requisitos —el mantenimiento de la integridad superficial, la idoneidad de los itinerarios y la continuidad de los trazados, junto con la del tránsito ganadero, así como los demás usos compatibles y complementarios de aquel— en aquellos casos concretos en que haya necesariamente de realizarse.</w:t>
      </w:r>
    </w:p>
    <w:p w14:paraId="75A09B5E" w14:textId="77777777" w:rsidR="009D7677" w:rsidRDefault="009D7677" w:rsidP="009D7677">
      <w:pPr>
        <w:pStyle w:val="TextoNormal"/>
      </w:pPr>
    </w:p>
    <w:p w14:paraId="4E8D0A97" w14:textId="0C3999F6" w:rsidR="009D7677" w:rsidRDefault="009D7677" w:rsidP="009D7677">
      <w:pPr>
        <w:pStyle w:val="TextoNormal"/>
      </w:pPr>
      <w:r>
        <w:t>Consecuentemente, ha de desestimarse la impugnación de los apartados 3 y 4 de la disposición adicional cuarta LISTA.</w:t>
      </w:r>
    </w:p>
    <w:p w14:paraId="1C32D2DC" w14:textId="77777777" w:rsidR="009D7677" w:rsidRDefault="009D7677" w:rsidP="009D7677">
      <w:pPr>
        <w:pStyle w:val="TextoNormal"/>
      </w:pPr>
    </w:p>
    <w:p w14:paraId="6267652D" w14:textId="77777777" w:rsidR="009D7677" w:rsidRDefault="009D7677" w:rsidP="009D7677">
      <w:pPr>
        <w:pStyle w:val="TextoNormal"/>
      </w:pPr>
      <w:r w:rsidRPr="009D7677">
        <w:rPr>
          <w:rStyle w:val="NumeroAFNegritaCaracter"/>
        </w:rPr>
        <w:t>13</w:t>
      </w:r>
      <w:r>
        <w:t xml:space="preserve">. </w:t>
      </w:r>
      <w:r w:rsidRPr="009D7677">
        <w:rPr>
          <w:i/>
        </w:rPr>
        <w:t>Derogación de la norma 45.4 a) del Decreto 206/2006, de 28 de noviembre, por el que se adapta el plan de ordenación del territorio de Andalucía a las resoluciones aprobadas por el Parlamento de Andalucía en sesión celebrada los días 25 y 26 de octubre de 2006 y se acuerda su publicación</w:t>
      </w:r>
    </w:p>
    <w:p w14:paraId="51C5D6F7" w14:textId="77777777" w:rsidR="009D7677" w:rsidRDefault="009D7677" w:rsidP="009D7677">
      <w:pPr>
        <w:pStyle w:val="TextoNormal"/>
      </w:pPr>
    </w:p>
    <w:p w14:paraId="01D746E5" w14:textId="77777777" w:rsidR="009D7677" w:rsidRDefault="009D7677" w:rsidP="009D7677">
      <w:pPr>
        <w:pStyle w:val="TextoNormal"/>
      </w:pPr>
      <w:r>
        <w:t>La derogación de la norma 45.4 a) del Decreto 206/2006, de 28 de noviembre, por el que se adapta el plan de ordenación del territorio de Andalucía a las resoluciones aprobadas por el Parlamento de Andalucía en sesión celebrada los días 25 y 26 de octubre de 2006 y se acuerda su publicación, es recurrida por su contradicción con los arts. 9.3 y 45 CE, así como su vulneración mediata del art. 149.1.23 CE en tanto infringe la legislación básica estatal en materia de evaluación ambiental, en particular, los arts. 6, 9 y 17 a 28 de la Ley 21/2013, de 9 de diciembre, de evaluación ambiental.</w:t>
      </w:r>
    </w:p>
    <w:p w14:paraId="0F05AD21" w14:textId="77777777" w:rsidR="009D7677" w:rsidRDefault="009D7677" w:rsidP="009D7677">
      <w:pPr>
        <w:pStyle w:val="TextoNormal"/>
      </w:pPr>
    </w:p>
    <w:p w14:paraId="1E198E12" w14:textId="77777777" w:rsidR="009D7677" w:rsidRDefault="009D7677" w:rsidP="009D7677">
      <w:pPr>
        <w:pStyle w:val="TextoNormal"/>
      </w:pPr>
      <w:r>
        <w:t>El apartado 2 f) de la disposición derogatoria única que se recurre establece:</w:t>
      </w:r>
    </w:p>
    <w:p w14:paraId="2A6DDA1A" w14:textId="77777777" w:rsidR="009D7677" w:rsidRDefault="009D7677" w:rsidP="009D7677">
      <w:pPr>
        <w:pStyle w:val="TextoNormal"/>
      </w:pPr>
    </w:p>
    <w:p w14:paraId="19EF507B" w14:textId="77777777" w:rsidR="009D7677" w:rsidRDefault="009D7677" w:rsidP="009D7677">
      <w:pPr>
        <w:pStyle w:val="TextoNormal"/>
      </w:pPr>
      <w:r>
        <w:t>“2. Quedan derogadas expresamente las siguientes normas:</w:t>
      </w:r>
    </w:p>
    <w:p w14:paraId="4F58A115" w14:textId="77777777" w:rsidR="009D7677" w:rsidRDefault="009D7677" w:rsidP="009D7677">
      <w:pPr>
        <w:pStyle w:val="TextoNormal"/>
      </w:pPr>
    </w:p>
    <w:p w14:paraId="2CA2FD97" w14:textId="77777777" w:rsidR="009D7677" w:rsidRDefault="009D7677" w:rsidP="009D7677">
      <w:pPr>
        <w:pStyle w:val="TextoNormal"/>
      </w:pPr>
      <w:r>
        <w:t>[…]</w:t>
      </w:r>
    </w:p>
    <w:p w14:paraId="5EE87556" w14:textId="77777777" w:rsidR="009D7677" w:rsidRDefault="009D7677" w:rsidP="009D7677">
      <w:pPr>
        <w:pStyle w:val="TextoNormal"/>
      </w:pPr>
    </w:p>
    <w:p w14:paraId="334B3E14" w14:textId="77777777" w:rsidR="009D7677" w:rsidRDefault="009D7677" w:rsidP="009D7677">
      <w:pPr>
        <w:pStyle w:val="TextoNormal"/>
      </w:pPr>
      <w:r>
        <w:t>f) Norma 45.4 a) del Decreto 206/2006, de 28 de noviembre, por el que se adapta el plan de ordenación del territorio de Andalucía”.</w:t>
      </w:r>
    </w:p>
    <w:p w14:paraId="5CC5F8CB" w14:textId="77777777" w:rsidR="009D7677" w:rsidRDefault="009D7677" w:rsidP="009D7677">
      <w:pPr>
        <w:pStyle w:val="TextoNormal"/>
      </w:pPr>
    </w:p>
    <w:p w14:paraId="6EAF4901" w14:textId="77777777" w:rsidR="009D7677" w:rsidRDefault="009D7677" w:rsidP="009D7677">
      <w:pPr>
        <w:pStyle w:val="TextoNormal"/>
      </w:pPr>
      <w:r>
        <w:t>La citada norma tenía el siguiente contenido:</w:t>
      </w:r>
    </w:p>
    <w:p w14:paraId="2971B2AB" w14:textId="77777777" w:rsidR="009D7677" w:rsidRDefault="009D7677" w:rsidP="009D7677">
      <w:pPr>
        <w:pStyle w:val="TextoNormal"/>
      </w:pPr>
    </w:p>
    <w:p w14:paraId="1334EA9E" w14:textId="77777777" w:rsidR="009D7677" w:rsidRDefault="009D7677" w:rsidP="009D7677">
      <w:pPr>
        <w:pStyle w:val="TextoNormal"/>
      </w:pPr>
      <w:r>
        <w:lastRenderedPageBreak/>
        <w:t>“Como norma y criterio general, serán criterios básicos para el análisis y evaluación de la incidencia y coherencia de los planes generales de ordenación urbanística con el modelo de ciudad establecido en este plan los siguientes:</w:t>
      </w:r>
    </w:p>
    <w:p w14:paraId="1C8AD3AA" w14:textId="77777777" w:rsidR="009D7677" w:rsidRDefault="009D7677" w:rsidP="009D7677">
      <w:pPr>
        <w:pStyle w:val="TextoNormal"/>
      </w:pPr>
    </w:p>
    <w:p w14:paraId="04387029" w14:textId="77777777" w:rsidR="009D7677" w:rsidRDefault="009D7677" w:rsidP="009D7677">
      <w:pPr>
        <w:pStyle w:val="TextoNormal"/>
      </w:pPr>
      <w:r>
        <w:t>a) La dimensión del crecimiento propuesto, en función de parámetros objetivos (demográfico, del parque de viviendas, de los usos productivos y de la ocupación de nuevos suelos por la urbanización), y su relación con la tendencia seguida para dichos parámetros en los últimos diez años, debiendo justificarse adecuadamente una alteración sustancial de los mismos. Con carácter general no se admitirán los crecimientos que supongan incrementos de suelo urbanizable superiores al 40 por 100 del suelo urbano existente ni los crecimientos que supongan incrementos de población superiores al 30 por 100 en ocho años. Los planes de ordenación del territorio de ámbito subregional determinarán criterios específicos para cada ámbito”.</w:t>
      </w:r>
    </w:p>
    <w:p w14:paraId="46E4031E" w14:textId="77777777" w:rsidR="009D7677" w:rsidRDefault="009D7677" w:rsidP="009D7677">
      <w:pPr>
        <w:pStyle w:val="TextoNormal"/>
      </w:pPr>
    </w:p>
    <w:p w14:paraId="1CB97386" w14:textId="77777777" w:rsidR="009D7677" w:rsidRDefault="009D7677" w:rsidP="009D7677">
      <w:pPr>
        <w:pStyle w:val="TextoNormal"/>
      </w:pPr>
      <w:r>
        <w:t>Sostienen los recurrentes que esta norma 45.4 a) consagraba una regla general de sostenibilidad del crecimiento urbanístico rechazando con carácter general “crecimientos que supongan incrementos de suelo urbanizable superiores al 40 por 100 del suelo urbano existente ni los crecimientos que supongan incrementos de población superiores al 30 por 100 en ocho años”. Entienden, en primer lugar, que la modificación por el legislador de una norma de rango reglamentario supone una “anomalía desde el punto de vista jurídico” y “un uso torticero de la potestad legislativa, que incurre en arbitrariedad, proscrita por la Constitución Española (art. 9 CE)” en tanto blinda la reforma efectuada de un eventual recurso ante el Tribunal Superior de Justicia de Andalucía. Afirman, asimismo, que al ser el plan de ordenación del territorio de Andalucía un instrumento de planeamiento de los sometidos obligatoriamente a evaluación ambiental estratégica, la derogación impugnada debió sujetarse también a este procedimiento para no contravenir la legislación básica y las directivas comunitarias en la materia. Por último, denuncian que, al eliminar lo que consideran una regla general de sostenibilidad del crecimiento urbanístico, la disposición derogatoria sanciona, en el apartado impugnado, reducir el estándar y las garantías de protección del medio ambiental, infringiendo con ello el principio de no regresión ambiental.</w:t>
      </w:r>
    </w:p>
    <w:p w14:paraId="1B0DA219" w14:textId="77777777" w:rsidR="009D7677" w:rsidRDefault="009D7677" w:rsidP="009D7677">
      <w:pPr>
        <w:pStyle w:val="TextoNormal"/>
      </w:pPr>
    </w:p>
    <w:p w14:paraId="6FCFE439" w14:textId="77777777" w:rsidR="009D7677" w:rsidRDefault="009D7677" w:rsidP="009D7677">
      <w:pPr>
        <w:pStyle w:val="TextoNormal"/>
      </w:pPr>
      <w:r>
        <w:t>El letrado de la Junta de Andalucía subraya, por su parte, que el plan de ordenación del territorio de Andalucía fue aprobado por el Parlamento andaluz, tal y como exigía el art. 8.4 de la entonces vigente Ley 1/1994, de 11 de enero, de ordenación del territorio de la Comunidad Autónoma de Andalucía, procediendo después el Consejo de Gobierno tan solo a su adaptación a las resoluciones parlamentarias aprobadas en sesión celebrada los días 25 y 26 de octubre de 2006, y a su publicación en el “Boletín Oficial de la Junta de Andalucía” de 29 de diciembre de 2006. Sostiene, además, que la derogación de la referida norma 45.4 a) trae causa de la desaparición de la categoría de suelo urbanizable sancionada por la ley aquí impugnada, que opta ahora por sustanciar las actuaciones de transformación urbanística en suelo rústico común para acoger el crecimiento de la ciudad que no pueda materializarse en suelo urbano preexistente, sujetándolas, en todo caso, a los criterios dispuestos al efecto por su art. 31. Respecto a la eventual sujeción del plan andaluz de ordenación del territorio a evaluación ambiental estratégica, afirma que no procede en tanto no establece un marco para la autorización de proyectos concretos ni vincula su ejecución, alcanzando a sujetar exclusivamente a otros instrumentos de ordenación territorial y urbanística, por lo que queda fuera del ámbito de aplicación de la Ley de evaluación ambiental. Es más, aunque se admitiera la sujeción de su aprobación y eventuales modifi</w:t>
      </w:r>
      <w:r>
        <w:lastRenderedPageBreak/>
        <w:t>caciones al procedimiento de evaluación ambiental estratégica, no cabría apreciar, en su opinión, contradicción entre la legislación básica en la materia y la derogación efectuada por la ley impugnada, que no regula contenidos propios de la ley estatal ni vulnera, en este punto, el procedimiento reglado de elaboración y aprobación de las leyes andaluzas dispuesto por el Estatuto de Autonomía y el Reglamento del Parlamento de Andalucía. Finalmente, respecto al principio de no regresión en materia ambiental, incide en que carece de la naturaleza o el carácter de canon de constitucionalidad, sin que la derogación efectuada responda, en todo caso, desde el punto de vista formal, al ejercicio de competencias en materia ambiental sino de las que corresponden a la Comunidad Autónoma en materia de ordenación del territorio y urbanismo, ni suponga, desde la perspectiva material, una reducción de la protección del medio ambiente sino, más bien, una consecuencia derivada de la obsolescencia derivada de la sustitución por la ley impugnada del modelo urbanístico anterior por uno nuevo fundado en un crecimiento urbano más sostenible y, por tanto, más acorde con las exigencias de protección ambiental.</w:t>
      </w:r>
    </w:p>
    <w:p w14:paraId="05D08530" w14:textId="77777777" w:rsidR="009D7677" w:rsidRDefault="009D7677" w:rsidP="009D7677">
      <w:pPr>
        <w:pStyle w:val="TextoNormal"/>
      </w:pPr>
    </w:p>
    <w:p w14:paraId="142C191E" w14:textId="77777777" w:rsidR="009D7677" w:rsidRDefault="009D7677" w:rsidP="009D7677">
      <w:pPr>
        <w:pStyle w:val="TextoNormal"/>
      </w:pPr>
      <w:r>
        <w:t>El letrado del Parlamento de Andalucía recuerda, asimismo, el especial régimen de elaboración y tramitación del plan de ordenación del territorio de Andalucía, cuya modificación requiere idéntico trámite que su aprobación, es decir, la intervención del Parlamento de Andalucía, sin que quepa apreciar irregularidad alguna, en tal sentido, en la supresión de su norma 45.4 a) por la disposición derogatoria, apartado 2 f) LISTA. Coincide, asimismo, con el representante procesal del Gobierno de Andalucía al defender que este instrumento de ordenación, al exigir la conformidad del Legislativo, queda fuera del ámbito de aplicación del art. 6 LEA, sin que constituya, por lo demás, el marco para la autorización de futuros proyectos sometidos a evaluación ambiental ni afecte a espacios de la Red Natura 2000, por lo que no cabe incluirlo en los supuestos contemplados por los arts. 6 y 7 LEA. La eliminación de la categoría de suelo urbanizable justifica también la derogación efectuada, al dejar de tener sentido la previsión expresamente suprimida. En relación con la presunta lesión del principio de no regresión ambiental, afirma que la mera posibilidad de un uso torticero de las normas no puede resultar motivo para declarar su inconstitucionalidad. Destaca que la Ley arbitra un criterio normativo distinto para garantizar la sostenibilidad del crecimiento urbano, sin que la derogación efectuada contenga referencia alguna a suelos protegidos o con valores ambientales, por lo que el citado principio no resultaría de aplicación en tanto que ha de ceñirse a los cambios en la realidad física, sin extenderse a modificaciones jurídicas que impliquen una fosilización del ordenamiento.</w:t>
      </w:r>
    </w:p>
    <w:p w14:paraId="0D087AF3" w14:textId="77777777" w:rsidR="009D7677" w:rsidRDefault="009D7677" w:rsidP="009D7677">
      <w:pPr>
        <w:pStyle w:val="TextoNormal"/>
      </w:pPr>
    </w:p>
    <w:p w14:paraId="007CCF9C" w14:textId="77777777" w:rsidR="009D7677" w:rsidRDefault="009D7677" w:rsidP="009D7677">
      <w:pPr>
        <w:pStyle w:val="TextoNormal"/>
      </w:pPr>
      <w:r>
        <w:t>Conforme al art. 34.1 LISTA, la ordenación territorial de la Comunidad Autónoma de Andalucía se realizará a través de: (i) el plan de ordenación del territorio de Andalucía; (ii) los planes de ordenación del territorio de ámbito subregional; y (iii) los proyectos de actuación autonómicos, cuando desarrollan actuaciones no previstas en el planeamiento territorial vigente que, de conformidad con lo previsto en la Ley, sean declaradas de interés autonómico.</w:t>
      </w:r>
    </w:p>
    <w:p w14:paraId="4978D42B" w14:textId="77777777" w:rsidR="009D7677" w:rsidRDefault="009D7677" w:rsidP="009D7677">
      <w:pPr>
        <w:pStyle w:val="TextoNormal"/>
      </w:pPr>
    </w:p>
    <w:p w14:paraId="27489639" w14:textId="77777777" w:rsidR="009D7677" w:rsidRDefault="009D7677" w:rsidP="009D7677">
      <w:pPr>
        <w:pStyle w:val="TextoNormal"/>
      </w:pPr>
      <w:r>
        <w:t xml:space="preserve">Un examen de la regulación contenida en los arts. 39 a 42 LISTA en su conjunto revela que el plan de ordenación del territorio de Andalucía es el marco de referencia territorial para los demás planes e instrumentos regulados en esa Ley y para las actuaciones con incidencia en la ordenación del territorio, así como para la acción pública en general, limitándose su objeto a establecer los elementos básicos para la organización y estructura del territorio de la Comunidad Autónoma (art. 39.1). Tiene por finalidad: a) El equilibrio y la </w:t>
      </w:r>
      <w:r>
        <w:lastRenderedPageBreak/>
        <w:t>cohesión social y económica del territorio y la mejora de la competitividad para el desarrollo económico y de la calidad de vida de los ciudadanos, integrando el sistema de transportes y la movilidad en el territorio; b) La utilización racional de los recursos naturales y la consecución de un territorio más resiliente y menos vulnerable ante el cambio climático; c) La integración coordinada de las políticas de desarrollo territorial de la Unión Europea y del Estado y la puesta de manifiesto de las determinaciones que deban ser referentes para dichas políticas; d) Propiciar la coordinación y cooperación con las regiones del entorno geopolítico próximo y con las pertenecientes a los mismos organismos de ámbito europeo; e) Establecer el marco para la cooperación interadministrativa de la administración autonómica con el resto de administraciones públicas en materia territorial y urbanística, y de estas entre sí, así como con las entidades representativas de los intereses sociales, económicos y sectoriales, para diseñar políticas de carácter sectorial dirigidas al interés general de los ciudadanos (art. 39.2). Se coordinará con el plan andaluz de acción por el clima en relación con aquellos aspectos que tengan incidencia en materia de cambio climático (art. 39.3), concretando los arts. 40 y 41 de la Ley su contenido y el procedimiento para su elaboración y aprobación.</w:t>
      </w:r>
    </w:p>
    <w:p w14:paraId="73985346" w14:textId="77777777" w:rsidR="009D7677" w:rsidRDefault="009D7677" w:rsidP="009D7677">
      <w:pPr>
        <w:pStyle w:val="TextoNormal"/>
      </w:pPr>
    </w:p>
    <w:p w14:paraId="0B62F6BD" w14:textId="77777777" w:rsidR="009D7677" w:rsidRDefault="009D7677" w:rsidP="009D7677">
      <w:pPr>
        <w:pStyle w:val="TextoNormal"/>
      </w:pPr>
      <w:r>
        <w:t>Corresponde al Consejo de Gobierno acordar su formulación, participando en su elaboración las administraciones y entidades públicas afectadas por razón de su competencia, así como los distintos actores interesados mediante procesos de gobernanza. Una vez aprobado por el Consejo de Gobierno, se remitirá al Parlamento para su aprobación, de acuerdo con el artículo 106.11 EAAnd, y conforme a la tramitación prevista para los planes en el artículo 149 RPA. Efectuadas por el Consejo de Gobierno las adaptaciones que vengan requeridas por las resoluciones de la Cámara, se publicará el plan en el “Boletín Oficial de la Junta de Andalucía” para su efectividad. Precisa, en todo caso, de la aprobación posterior de instrumentos complementarios para su desarrollo, en concreto, de los planes de ordenación del territorio de ámbito subregional y de las actividades de planificación de la Junta de Andalucía que, en aplicación de la Ley, tienen la consideración de planes con incidencia en la ordenación del territorio (art. 42).</w:t>
      </w:r>
    </w:p>
    <w:p w14:paraId="1CBDC6E7" w14:textId="77777777" w:rsidR="009D7677" w:rsidRDefault="009D7677" w:rsidP="009D7677">
      <w:pPr>
        <w:pStyle w:val="TextoNormal"/>
      </w:pPr>
    </w:p>
    <w:p w14:paraId="60C5119E" w14:textId="77777777" w:rsidR="009D7677" w:rsidRDefault="009D7677" w:rsidP="009D7677">
      <w:pPr>
        <w:pStyle w:val="TextoNormal"/>
      </w:pPr>
      <w:r>
        <w:t>Como se ha expuesto, los diputados recurrentes articulan tres motivos de inconstitucionalidad contra el apartado 2 f) de la disposición derogatoria única LISTA, el cual deja sin contenido la norma 45.4 a) del Decreto 206/2006, de 28 de noviembre, por el que se adapta el plan de ordenación del territorio de Andalucía. Dicha norma fijaba un límite al crecimiento urbano al señalar que “no se admitirán los crecimientos que supongan incrementos de suelo urbanizable superiores al 40 por 100 del suelo urbano existente ni los crecimientos que supongan incrementos de población superiores al 30 por 100 en ocho años”.</w:t>
      </w:r>
    </w:p>
    <w:p w14:paraId="0B7870A7" w14:textId="77777777" w:rsidR="009D7677" w:rsidRDefault="009D7677" w:rsidP="009D7677">
      <w:pPr>
        <w:pStyle w:val="TextoNormal"/>
      </w:pPr>
    </w:p>
    <w:p w14:paraId="70AAD704" w14:textId="77777777" w:rsidR="009D7677" w:rsidRDefault="009D7677" w:rsidP="009D7677">
      <w:pPr>
        <w:pStyle w:val="TextoNormal"/>
      </w:pPr>
      <w:r>
        <w:t>a) El primer motivo de inconstitucionalidad es que la modificación por el legislador de una norma de rango reglamentario supone una “anomalía desde el punto de vista jurídico” y es, por tanto, arbitraria y contraria al art. 9.3 CE.</w:t>
      </w:r>
    </w:p>
    <w:p w14:paraId="7404EEBD" w14:textId="77777777" w:rsidR="009D7677" w:rsidRDefault="009D7677" w:rsidP="009D7677">
      <w:pPr>
        <w:pStyle w:val="TextoNormal"/>
      </w:pPr>
    </w:p>
    <w:p w14:paraId="31EF771E" w14:textId="77777777" w:rsidR="009D7677" w:rsidRDefault="009D7677" w:rsidP="009D7677">
      <w:pPr>
        <w:pStyle w:val="TextoNormal"/>
      </w:pPr>
      <w:r>
        <w:t xml:space="preserve">En relación con las denuncias de arbitrariedad del legislador, “este tribunal ha mantenido una constante jurisprudencia, recordada entre otras en las recientes SSTC 149/2020, de 22 de octubre, FJ 6, y 98/2018, de 19 de septiembre, FJ 5, según la cual ‘la calificación de arbitraria dada a una ley exige una cierta prudencia, toda vez que [la ley] es la expresión de la voluntad popular, por lo que su control de constitucionalidad debe ejercerse sin imponer constricciones indebidas al poder legislativo y respetando sus opciones políticas’, </w:t>
      </w:r>
      <w:r>
        <w:lastRenderedPageBreak/>
        <w:t>debiendo por tanto centrarse el Tribunal ‘en verificar si el precepto cuestionado establece una discriminación, pues la discriminación entraña siempre una arbitrariedad, o bien, si aun no estableciéndola, carece de toda explicación racional, lo que también evidentemente supondría una arbitrariedad, sin que sea pertinente un análisis a fondo de todas las motivaciones posibles de la norma y de todas sus eventuales consecuencias […] De manera que […] no corresponde a este tribunal interferirse en el margen de apreciación que corresponde al legislador democrático ni examinar la oportunidad de la medida legal para decidir si es la más adecuada o la mejor de las posibles, sino únicamente examinar si la decisión adoptada es plenamente irrazonable o carente de toda justificación’” (STC 112/2021, de 13 de mayo, FJ 5).</w:t>
      </w:r>
    </w:p>
    <w:p w14:paraId="4D4B80FC" w14:textId="77777777" w:rsidR="009D7677" w:rsidRDefault="009D7677" w:rsidP="009D7677">
      <w:pPr>
        <w:pStyle w:val="TextoNormal"/>
      </w:pPr>
    </w:p>
    <w:p w14:paraId="6CAA4484" w14:textId="77777777" w:rsidR="009D7677" w:rsidRDefault="009D7677" w:rsidP="009D7677">
      <w:pPr>
        <w:pStyle w:val="TextoNormal"/>
      </w:pPr>
      <w:r>
        <w:t>La aplicación de esta doctrina al presente caso conduce a desestimar la impugnación por cuanto no puede tildarse la decisión de plenamente irrazonable o carente de toda justificación, atendiendo a dos razones.</w:t>
      </w:r>
    </w:p>
    <w:p w14:paraId="13ABF202" w14:textId="77777777" w:rsidR="009D7677" w:rsidRDefault="009D7677" w:rsidP="009D7677">
      <w:pPr>
        <w:pStyle w:val="TextoNormal"/>
      </w:pPr>
    </w:p>
    <w:p w14:paraId="706492C2" w14:textId="77777777" w:rsidR="009D7677" w:rsidRDefault="009D7677" w:rsidP="009D7677">
      <w:pPr>
        <w:pStyle w:val="TextoNormal"/>
      </w:pPr>
      <w:r>
        <w:t>En primer lugar, y frente a sus precedentes, la Ley distingue solamente dos categorías de suelo, el urbano y el rústico. En ese sentido, la desaparición de la categoría de suelo urbanizable no supone su sustitución por otra categoría análoga con diferente denominación, sino que se enmarca en el paso de un sistema tripartito que distinguía suelo urbano, urbanizable y no urbanizable a otro dual que parte de que el suelo será urbano si estando integrado en la malla urbana cumple las condiciones objetivas que establece el art. 13 LISTA y rústico en caso contrario. Para el crecimiento de la ciudad que no se materialice en el suelo urbano ya existente el legislador andaluz ha optado por las denominadas actuaciones de transformación urbanística en suelo rústico, con las condiciones previstas en el art. 31.1 LISTA. Tal precepto prevé que “[p]odrán ser objeto de actuaciones de nueva urbanización en suelo rústico común los terrenos que resulten necesarios para atender y garantizar las necesidades de crecimiento urbano, de la actividad económica o para completar la estructura urbanística”, así como que “[a]tendiendo a los principios de sostenibilidad y racionalidad, la necesidad de su transformación deberá justificarse por su interés público o social, en función del análisis de parámetros objetivos de crecimiento y demanda o por la imposibilidad de atender a esas necesidades con el suelo urbano disponible”, quedando limitados, en todo caso, los terrenos incluidos en los ámbitos de nueva urbanización, con carácter general y a salvo de las excepciones tasadas previstas al efecto, a los “colindantes al suelo urbano de los núcleos de población existentes, quedando integrados tras su transformación en la malla urbana”, art. 31.2 LISTA.</w:t>
      </w:r>
    </w:p>
    <w:p w14:paraId="2443B7E4" w14:textId="77777777" w:rsidR="009D7677" w:rsidRDefault="009D7677" w:rsidP="009D7677">
      <w:pPr>
        <w:pStyle w:val="TextoNormal"/>
      </w:pPr>
    </w:p>
    <w:p w14:paraId="0390C49B" w14:textId="77777777" w:rsidR="009D7677" w:rsidRDefault="009D7677" w:rsidP="009D7677">
      <w:pPr>
        <w:pStyle w:val="TextoNormal"/>
      </w:pPr>
      <w:r>
        <w:t>Por consiguiente, la Ley ha optado por otro modelo de crecimiento sostenible de la ciudad que deja de estar fundado en la categoría de suelo urbanizable a la que se refería la derogada norma 45.4 a) del plan de ordenación del territorio de Andalucía.</w:t>
      </w:r>
    </w:p>
    <w:p w14:paraId="3550F2DE" w14:textId="77777777" w:rsidR="009D7677" w:rsidRDefault="009D7677" w:rsidP="009D7677">
      <w:pPr>
        <w:pStyle w:val="TextoNormal"/>
      </w:pPr>
    </w:p>
    <w:p w14:paraId="7B053EBA" w14:textId="77777777" w:rsidR="009D7677" w:rsidRDefault="009D7677" w:rsidP="009D7677">
      <w:pPr>
        <w:pStyle w:val="TextoNormal"/>
      </w:pPr>
      <w:r>
        <w:t xml:space="preserve">En segundo lugar, debe tenerse en cuenta el peculiar régimen de aprobación del plan de ordenación del territorio de Andalucía, en atención a su consideración como un plan económico en los términos previstos en el art. 106.11 EAAnd. Según el art. 8, en sus apartados 4 y 5, de la derogada Ley 1/1994, de 11 de enero, de ordenación del territorio de la Comunidad Autónoma de Andalucía, el plan debía ser aprobado por el Consejo de Gobierno y también por el Parlamento de Andalucía, sin perjuicio de las adaptaciones que realizase al efecto el Consejo de Gobierno para hacer efectivas las resoluciones adoptadas por la Cámara autonómica sobre el plan. En idénticos términos se pronuncia el art. 41 </w:t>
      </w:r>
      <w:r>
        <w:lastRenderedPageBreak/>
        <w:t>LISTA en sus apartados 5 y 6, tal como ya ha habido ocasión de exponer. Esto es, cualquier modificación de dicho plan requiere la intervención del Parlamento de Andalucía, razón por la cual esta derogación en la que ha intervenido el poder legislativo autonómico tampoco puede tildarse de arbitraria por esa razón.</w:t>
      </w:r>
    </w:p>
    <w:p w14:paraId="43432031" w14:textId="77777777" w:rsidR="009D7677" w:rsidRDefault="009D7677" w:rsidP="009D7677">
      <w:pPr>
        <w:pStyle w:val="TextoNormal"/>
      </w:pPr>
    </w:p>
    <w:p w14:paraId="2FE16912" w14:textId="77777777" w:rsidR="009D7677" w:rsidRDefault="009D7677" w:rsidP="009D7677">
      <w:pPr>
        <w:pStyle w:val="TextoNormal"/>
      </w:pPr>
      <w:r>
        <w:t>b) La segunda queja es la vulneración mediata del art. 149.1.23 CE, por entender los recurrentes que se incumple la regulación de determinados preceptos de la Ley 21/2013, de 9 de diciembre, de evaluación ambiental.</w:t>
      </w:r>
    </w:p>
    <w:p w14:paraId="145DBDB4" w14:textId="77777777" w:rsidR="009D7677" w:rsidRDefault="009D7677" w:rsidP="009D7677">
      <w:pPr>
        <w:pStyle w:val="TextoNormal"/>
      </w:pPr>
    </w:p>
    <w:p w14:paraId="7123C256" w14:textId="77777777" w:rsidR="009D7677" w:rsidRDefault="009D7677" w:rsidP="009D7677">
      <w:pPr>
        <w:pStyle w:val="TextoNormal"/>
      </w:pPr>
      <w:r>
        <w:t>Al margen de que resulta atípico atribuir la vulneración de la normativa de evaluación medioambiental a una disposición que tiene un contenido meramente derogatorio, la queja no puede prosperar por las razones que seguidamente se expondrán.</w:t>
      </w:r>
    </w:p>
    <w:p w14:paraId="41FDED56" w14:textId="77777777" w:rsidR="009D7677" w:rsidRDefault="009D7677" w:rsidP="009D7677">
      <w:pPr>
        <w:pStyle w:val="TextoNormal"/>
      </w:pPr>
    </w:p>
    <w:p w14:paraId="2DFC1A75" w14:textId="77777777" w:rsidR="009D7677" w:rsidRDefault="009D7677" w:rsidP="009D7677">
      <w:pPr>
        <w:pStyle w:val="TextoNormal"/>
      </w:pPr>
      <w:r>
        <w:t>Los preceptos legales cuya vulneración se denuncia, los arts. 6 y 9 LEA, son formalmente básicos de conformidad con la disposición final octava de la Ley. En relación con los arts. 17 a 28 de la misma Ley, reguladores del procedimiento de la evaluación ambiental estratégica ordinaria para la formulación de la declaración ambiental estratégica, establece la citada disposición final que son formalmente básicos, con la excepción concreta del artículo 18, apartado 4, los dos últimos párrafos; artículo 19, apartado primero, segundo párrafo, última oración; artículo 23, párrafo segundo; artículo 27, apartado 2 y el apartado 3, última oración; artículo 28, apartado 4, segundo párrafo, última oración. Estos preceptos formalmente básicos tienen idéntica consideración desde la perspectiva material, por cuanto fijan una norma mínima de protección ambiental y “[r]esponden a la función que cumple la legislación básica en este ámbito, que persigue el objetivo de que todas las administraciones públicas valoren el medio ambiente cuando ejercen sus competencias sobre cualquiera de las obras, instalaciones u otras actividades de su competencia” (STC 109/2017, de 21 de septiembre, FJ 3).</w:t>
      </w:r>
    </w:p>
    <w:p w14:paraId="13DE332B" w14:textId="77777777" w:rsidR="009D7677" w:rsidRDefault="009D7677" w:rsidP="009D7677">
      <w:pPr>
        <w:pStyle w:val="TextoNormal"/>
      </w:pPr>
    </w:p>
    <w:p w14:paraId="40A82B7B" w14:textId="77777777" w:rsidR="009D7677" w:rsidRDefault="009D7677" w:rsidP="009D7677">
      <w:pPr>
        <w:pStyle w:val="TextoNormal"/>
      </w:pPr>
      <w:r>
        <w:t>Sin embargo, no puede apreciarse que la impugnada derogación parcial del plan de ordenación del territorio de Andalucía incurra en contradicción efectiva con la normativa básica, por el hecho de que debiera haber sido objeto de la correspondiente evaluación de impacto ambiental, pues, conforme a su regulación legal que ya ha habido ocasión de exponer, resulta que queda fuera del ámbito de aplicación de la evaluación ambiental estratégica, tal y como lo define el art. 6 LEA.</w:t>
      </w:r>
    </w:p>
    <w:p w14:paraId="1BFF4575" w14:textId="77777777" w:rsidR="009D7677" w:rsidRDefault="009D7677" w:rsidP="009D7677">
      <w:pPr>
        <w:pStyle w:val="TextoNormal"/>
      </w:pPr>
    </w:p>
    <w:p w14:paraId="55254F3B" w14:textId="77777777" w:rsidR="009D7677" w:rsidRDefault="009D7677" w:rsidP="009D7677">
      <w:pPr>
        <w:pStyle w:val="TextoNormal"/>
      </w:pPr>
      <w:r>
        <w:t>Este precepto establece en el primer párrafo de su apartado 1 que “[s]erán objeto de una evaluación ambiental estratégica ordinaria los planes y programas, así como sus modificaciones, que se adopten o aprueben por una administración pública y cuya elaboración y aprobación venga exigida por una disposición legal o reglamentaria o por acuerdo del Consejo de Ministros o del Consejo de Gobierno de una comunidad autónoma”, cuando cumplan con alguno de los requisitos enunciados en párrafos sucesivos. Aun cuando la derogación expresada de la norma 45.4 a) del plan de ordenación del territorio de Andalucía pudiera considerarse, prescindiendo del dato de su aprobación parlamentaria, como una modificación de un plan adoptado o aprobado inicialmente por una administración pública o que su elaboración y aprobación viene exigida por disposición legal, en este caso, por la ley impugnada, no reúne ninguno de los requisitos que exige adicionalmente el apartado primero del art. 6.1 LEA. Ni establece el marco para la futura autorización de proyectos legalmente sometidos a evaluación de impacto ambiental, en tanto será la plani</w:t>
      </w:r>
      <w:r>
        <w:lastRenderedPageBreak/>
        <w:t>ficación territorial y urbanística dictada en su desarrollo la que defina este extremo [apartado a)], ni requiere una evaluación por afectar a espacios de la Red Natura 2000 en los términos previstos en la Ley 42/2007, de 13 de diciembre, del patrimonio natural y de la biodiversidad [apartado b)], ni reúne, en fin, los requisitos necesarios para ser objeto de una evaluación ambiental estratégica simplificada [apartados c) y d)]. Se ha de desestimar, por tanto, el motivo de impugnación por no apreciarse infracción del art. 6 LEA, al no tener la derogación efectuada efectos significativos sobre el medio ambiente que impliquen un menor nivel de protección.</w:t>
      </w:r>
    </w:p>
    <w:p w14:paraId="04D63553" w14:textId="77777777" w:rsidR="009D7677" w:rsidRDefault="009D7677" w:rsidP="009D7677">
      <w:pPr>
        <w:pStyle w:val="TextoNormal"/>
      </w:pPr>
    </w:p>
    <w:p w14:paraId="6B71B6B0" w14:textId="77777777" w:rsidR="009D7677" w:rsidRDefault="009D7677" w:rsidP="009D7677">
      <w:pPr>
        <w:pStyle w:val="TextoNormal"/>
      </w:pPr>
      <w:r>
        <w:t>De la supresión de la citada norma no puede deducirse sin más una diminución de la protección ambiental respecto de la anteriormente vigente; máxime cuando el art. 31 LISTA fija las condiciones para tales actuaciones urbanísticas y de transformación del suelo rústico. Más aun, el art. 34 LISTA afirma que, en el marco de la legislación básica del Estado, serán objeto de evaluación ambiental estratégica simplificada los instrumentos de ordenación del territorio “de acuerdo con lo previsto en la legislación ambiental” (art. 34.3), por lo que no existe excepción alguna a lo previsto en la legislación estatal.</w:t>
      </w:r>
    </w:p>
    <w:p w14:paraId="67382000" w14:textId="77777777" w:rsidR="009D7677" w:rsidRDefault="009D7677" w:rsidP="009D7677">
      <w:pPr>
        <w:pStyle w:val="TextoNormal"/>
      </w:pPr>
    </w:p>
    <w:p w14:paraId="4B9B1C8C" w14:textId="77777777" w:rsidR="009D7677" w:rsidRDefault="009D7677" w:rsidP="009D7677">
      <w:pPr>
        <w:pStyle w:val="TextoNormal"/>
      </w:pPr>
      <w:r>
        <w:t>Atendiendo a todo lo anterior no es posible afirmar que la disposición impugnada menoscabe la legislación estatal en punto a la evaluación ambiental estratégica. Al quedar excluida de su ámbito de aplicación la derogación efectuada de la norma 45.4 a) del plan de ordenación del territorio de Andalucía, en razón precisamente del carácter de dicho plan, no cabe apreciar contradicción de la disposición derogatoria, apartado 2 f) LISTA con la legislación básica del art. 6 LEA, ni vulneración, por consiguiente, de las obligaciones generales que establece al efecto su art. 9 o del procedimiento de la evaluación ambiental estratégica ordinaria que regulan sus arts. 17 a 28.</w:t>
      </w:r>
    </w:p>
    <w:p w14:paraId="3F05B438" w14:textId="77777777" w:rsidR="009D7677" w:rsidRDefault="009D7677" w:rsidP="009D7677">
      <w:pPr>
        <w:pStyle w:val="TextoNormal"/>
      </w:pPr>
    </w:p>
    <w:p w14:paraId="5D81B1F2" w14:textId="77777777" w:rsidR="009D7677" w:rsidRDefault="009D7677" w:rsidP="009D7677">
      <w:pPr>
        <w:pStyle w:val="TextoNormal"/>
      </w:pPr>
      <w:r>
        <w:t>c) Por otra parte, en relación con la alegada infracción del principio de no regresión del Derecho medioambiental, los recurrentes no han argumentado suficientemente por qué la derogación de esta norma 45.4 a) del Decreto 206/2006, de 28 de noviembre, por el que se adapta el plan de ordenación del territorio de Andalucía, implica, en relación con la precedente, una regresión o rebaja en el estándar de protección constitucionalmente relevante, lo que unido a lo anteriormente expuesto en relación con la doctrina constitucional sobre dicho principio (STC 233/2015) ha de llevarnos a desestimar este motivo de impugnación.</w:t>
      </w:r>
    </w:p>
    <w:p w14:paraId="01B32A10" w14:textId="77777777" w:rsidR="009D7677" w:rsidRDefault="009D7677" w:rsidP="009D7677">
      <w:pPr>
        <w:pStyle w:val="TextoNormal"/>
      </w:pPr>
    </w:p>
    <w:p w14:paraId="1D13CD0B" w14:textId="1EA1BB70" w:rsidR="009D7677" w:rsidRDefault="009D7677" w:rsidP="009D7677">
      <w:pPr>
        <w:pStyle w:val="TextoNormal"/>
      </w:pPr>
      <w:r>
        <w:t>Por lo expuesto, debe descartarse que la disposición derogatoria, apartado 2 f) LISTA incurra en las vulneraciones denunciadas.</w:t>
      </w:r>
    </w:p>
    <w:p w14:paraId="52E4E642" w14:textId="77777777" w:rsidR="009D7677" w:rsidRDefault="009D7677" w:rsidP="009D7677">
      <w:pPr>
        <w:pStyle w:val="TextoNormal"/>
      </w:pPr>
    </w:p>
    <w:p w14:paraId="17E47911" w14:textId="77777777" w:rsidR="009D7677" w:rsidRDefault="009D7677" w:rsidP="009D7677">
      <w:pPr>
        <w:pStyle w:val="TextoNormalCentrado"/>
        <w:keepNext/>
      </w:pPr>
      <w:r>
        <w:t>FALLO</w:t>
      </w:r>
    </w:p>
    <w:p w14:paraId="025C2793" w14:textId="2466D41F" w:rsidR="009D7677" w:rsidRDefault="009D7677" w:rsidP="009D7677">
      <w:pPr>
        <w:pStyle w:val="TextoNormalCentrado"/>
        <w:keepNext/>
      </w:pPr>
    </w:p>
    <w:p w14:paraId="2EDBA827" w14:textId="77777777" w:rsidR="009D7677" w:rsidRDefault="009D7677" w:rsidP="009D7677">
      <w:pPr>
        <w:pStyle w:val="TextoNormal"/>
      </w:pPr>
      <w:r>
        <w:t>En atención a todo lo expuesto, el Tribunal Constitucional, por la autoridad que le confiere la Constitución de la Nación española, ha decidido, en el recurso de inconstitucionalidad interpuesto por más de cincuenta diputados pertenecientes al Grupo Parlamentario Confederal Unidas Podemos-En Comú Podem-Galicia en Común, al Grupo Parlamentario Republicano, al Grupo Parlamentario Plural y al Grupo Mixto en el Congreso de los Diputados, contra la Ley 7/2021, de 1 de diciembre, de impulso para la sostenibilidad del territorio de Andalucía y, subsidiariamente, contra los arts. 19.1 a); 21.1 y 2 b); 22.1 y 2; 50; 53; 137.2 f); 151.1; 153.1 f); la disposición adicional cuarta; y la disposición derogatoria, apartado 2 f), de la citada Ley:</w:t>
      </w:r>
    </w:p>
    <w:p w14:paraId="01953500" w14:textId="77777777" w:rsidR="009D7677" w:rsidRDefault="009D7677" w:rsidP="009D7677">
      <w:pPr>
        <w:pStyle w:val="TextoNormal"/>
      </w:pPr>
    </w:p>
    <w:p w14:paraId="745F768B" w14:textId="77777777" w:rsidR="009D7677" w:rsidRDefault="009D7677" w:rsidP="009D7677">
      <w:pPr>
        <w:pStyle w:val="TextoNormal"/>
      </w:pPr>
      <w:r>
        <w:t>1º Declarar que el inciso “Asimismo, vinculadas a estas actuaciones, podrán autorizarse conjuntamente edificaciones destinadas a uso residencial, debiendo garantizarse la proporcionalidad y vinculación entre ambas” del art. 22.2; la palabra “mineros” del art. 137.2 f) y los apartados 1 y 2 de la disposición adicional cuarta de la Ley del Parlamento de Andalucía 7/2021, de 1 de diciembre, de impulso para la sostenibilidad del territorio de Andalucía, son inconstitucionales y nulos.</w:t>
      </w:r>
    </w:p>
    <w:p w14:paraId="5E93D36E" w14:textId="77777777" w:rsidR="009D7677" w:rsidRDefault="009D7677" w:rsidP="009D7677">
      <w:pPr>
        <w:pStyle w:val="TextoNormal"/>
      </w:pPr>
    </w:p>
    <w:p w14:paraId="6BFD4774" w14:textId="77777777" w:rsidR="009D7677" w:rsidRDefault="009D7677" w:rsidP="009D7677">
      <w:pPr>
        <w:pStyle w:val="TextoNormal"/>
      </w:pPr>
      <w:r>
        <w:t>2º Declarar que el art. 19.1 a) y los incisos “mineros”, “a las energías renovables” y “actividades mineras” del art. 21.1 de la Ley del Parlamento de Andalucía 7/2021, de 1 de diciembre, de impulso para la sostenibilidad del territorio de Andalucía, no son inconstitucionales si se interpretan conforme a lo señalado en el fundamento jurídico 5 d) y en el fundamento jurídico 6 a) (iii), respectivamente.</w:t>
      </w:r>
    </w:p>
    <w:p w14:paraId="3753822A" w14:textId="77777777" w:rsidR="009D7677" w:rsidRDefault="009D7677" w:rsidP="009D7677">
      <w:pPr>
        <w:pStyle w:val="TextoNormal"/>
      </w:pPr>
    </w:p>
    <w:p w14:paraId="6F363FBA" w14:textId="19B54B05" w:rsidR="009D7677" w:rsidRDefault="009D7677" w:rsidP="009D7677">
      <w:pPr>
        <w:pStyle w:val="TextoNormal"/>
      </w:pPr>
      <w:r>
        <w:t>3º Desestimar el recurso en todo lo demás.</w:t>
      </w:r>
    </w:p>
    <w:p w14:paraId="6B61D1CD" w14:textId="77777777" w:rsidR="009D7677" w:rsidRDefault="009D7677" w:rsidP="009D7677">
      <w:pPr>
        <w:pStyle w:val="TextoNormal"/>
      </w:pPr>
    </w:p>
    <w:p w14:paraId="06117872" w14:textId="77777777" w:rsidR="009D7677" w:rsidRDefault="009D7677" w:rsidP="009D7677">
      <w:pPr>
        <w:pStyle w:val="TextoNormal"/>
      </w:pPr>
      <w:r>
        <w:t>Publíquese esta sentencia en el “Boletín Oficial del Estado”.</w:t>
      </w:r>
    </w:p>
    <w:p w14:paraId="1355ED1D" w14:textId="77777777" w:rsidR="009D7677" w:rsidRDefault="009D7677" w:rsidP="009D7677">
      <w:pPr>
        <w:pStyle w:val="TextoNormal"/>
      </w:pPr>
      <w:r>
        <w:t>Dada en Madrid, a trece de febrero de dos mil veinticuatro.</w:t>
      </w:r>
    </w:p>
    <w:p w14:paraId="6AA4882E" w14:textId="450941C0" w:rsidR="009D7677" w:rsidRDefault="009D7677">
      <w:pPr>
        <w:spacing w:after="160" w:line="259" w:lineRule="auto"/>
        <w:rPr>
          <w:rFonts w:ascii="Times New Roman" w:eastAsia="Times New Roman" w:hAnsi="Times New Roman" w:cs="Times New Roman"/>
          <w:sz w:val="24"/>
          <w:szCs w:val="24"/>
          <w:lang w:eastAsia="es-ES"/>
        </w:rPr>
      </w:pPr>
      <w:r>
        <w:br w:type="page"/>
      </w:r>
    </w:p>
    <w:p w14:paraId="64E5DDF5" w14:textId="77777777" w:rsidR="009D7677" w:rsidRDefault="009D7677" w:rsidP="009D7677">
      <w:pPr>
        <w:pStyle w:val="TtuloResolucin"/>
      </w:pPr>
      <w:bookmarkStart w:id="28" w:name="SENTENCIA_2024_26"/>
      <w:r>
        <w:lastRenderedPageBreak/>
        <w:t>SENTENCIA 26/2024, de 14 de febrero de 2024</w:t>
      </w:r>
    </w:p>
    <w:bookmarkEnd w:id="28"/>
    <w:p w14:paraId="21500D10" w14:textId="77777777" w:rsidR="009D7677" w:rsidRDefault="009D7677" w:rsidP="009D7677">
      <w:pPr>
        <w:pStyle w:val="TtuloResolucin"/>
      </w:pPr>
      <w:r>
        <w:t>Pleno</w:t>
      </w:r>
    </w:p>
    <w:p w14:paraId="3F781AE6" w14:textId="77777777" w:rsidR="009D7677" w:rsidRDefault="009D7677" w:rsidP="009D7677">
      <w:pPr>
        <w:pStyle w:val="TtuloBOE"/>
      </w:pPr>
      <w:r>
        <w:t>(BOE núm. 72, de 22 de marzo de 2024)</w:t>
      </w:r>
    </w:p>
    <w:p w14:paraId="4F77F8E3" w14:textId="77777777" w:rsidR="009D7677" w:rsidRDefault="009D7677" w:rsidP="009D7677">
      <w:pPr>
        <w:pStyle w:val="TextoNormalCentrado"/>
      </w:pPr>
      <w:r>
        <w:t>ECLI:ES:TC:2024:26</w:t>
      </w:r>
    </w:p>
    <w:p w14:paraId="672CF2BC" w14:textId="4268F47B" w:rsidR="009D7677" w:rsidRDefault="009D7677" w:rsidP="009D7677">
      <w:pPr>
        <w:pStyle w:val="TextoNormalCentrado"/>
      </w:pPr>
    </w:p>
    <w:p w14:paraId="4AFD24A7" w14:textId="77777777" w:rsidR="009D7677" w:rsidRDefault="009D7677" w:rsidP="009D7677">
      <w:pPr>
        <w:pStyle w:val="SntesisDescriptiva"/>
      </w:pPr>
      <w:r>
        <w:t>Recurso de amparo 4958-2021. Promovido por doña N.C.R., en relación con los autos dictados por la Audiencia Provincial de Barcelona y un juzgado de lo civil de esa capital, sobre escolarización de una menor de edad.</w:t>
      </w:r>
    </w:p>
    <w:p w14:paraId="6AD1220E" w14:textId="74145491" w:rsidR="009D7677" w:rsidRDefault="009D7677" w:rsidP="009D7677">
      <w:pPr>
        <w:pStyle w:val="SntesisDescriptiva"/>
      </w:pPr>
    </w:p>
    <w:p w14:paraId="58D0EDB6" w14:textId="77777777" w:rsidR="009D7677" w:rsidRDefault="009D7677" w:rsidP="009D7677">
      <w:pPr>
        <w:pStyle w:val="SntesisAnaltica"/>
      </w:pPr>
      <w:r>
        <w:t>Vulneración del derecho a que los hijos reciban una formación religiosa y moral acorde con las convicciones de los padres: resoluciones judiciales que acuerdan la escolarización de una menor en un centro concertado religioso que no puede entenderse justificada en su interés superior en el seno de una familia con convicciones religiosas divergentes y que no salvaguardan su derecho a desarrollar sus propias convicciones y creencias en un contexto escolar libre de adoctrinamiento. Votos particulares.</w:t>
      </w:r>
    </w:p>
    <w:p w14:paraId="15670872" w14:textId="3A9748CF" w:rsidR="009D7677" w:rsidRDefault="009D7677" w:rsidP="009D7677">
      <w:pPr>
        <w:pStyle w:val="SntesisAnaltica"/>
      </w:pPr>
    </w:p>
    <w:p w14:paraId="52B3B924" w14:textId="288F8738" w:rsidR="009D7677" w:rsidRDefault="009D7677" w:rsidP="009D7677">
      <w:pPr>
        <w:pStyle w:val="Extracto"/>
      </w:pPr>
      <w:r>
        <w:t>1.</w:t>
      </w:r>
      <w:r>
        <w:tab/>
        <w:t>Los menores de edad son titulares del derecho a la libertad religiosa, de acuerdo con el genérico reconocimiento del art. 16.1 CE a los individuos y comunidades,  en consonancia con la Ley Orgánica 1/1996, de protección jurídica del menor y con la Convención de derechos del niño que reconoce los derechos y deberes de los padres, o de sus representantes legales, de guiar al niño en el ejercicio de su derecho a la libertad religiosa conforme a la evolución de sus facultades; y con el único límite prescrito por la ley preciso para proteger la seguridad, el orden, la moral o la salud públicos o los derechos y libertades fundamentales de los demás (STC 154/2002) [FJ 2].</w:t>
      </w:r>
    </w:p>
    <w:p w14:paraId="1F16BBDF" w14:textId="77777777" w:rsidR="009D7677" w:rsidRDefault="009D7677" w:rsidP="009D7677">
      <w:pPr>
        <w:pStyle w:val="Extracto"/>
      </w:pPr>
    </w:p>
    <w:p w14:paraId="0D301890" w14:textId="55E6BEA2" w:rsidR="009D7677" w:rsidRDefault="009D7677" w:rsidP="009D7677">
      <w:pPr>
        <w:pStyle w:val="Extracto"/>
      </w:pPr>
      <w:r>
        <w:t>2.</w:t>
      </w:r>
      <w:r>
        <w:tab/>
        <w:t>Frente a la libertad de creencias de sus progenitores y su derecho a que sus hijos reciban la formación religiosa y moral que esté de acuerdo con sus propias convicciones, se alza como límite la libertad de creencias que asiste a los menores de edad, manifestada en su derecho a no compartir las convicciones de sus padres, o a mantener creencias diversas a las de sus padres. Libertades y derechos de unos y otros que, de surgir el conflicto, deberán ser ponderados teniendo siempre presente el interés superior de los menores de edad ex arts. 15 y 16.1 CE en relación con el art. 39 CE (STC 141/2000) [FJ 4].</w:t>
      </w:r>
    </w:p>
    <w:p w14:paraId="0C251FD3" w14:textId="77777777" w:rsidR="009D7677" w:rsidRDefault="009D7677" w:rsidP="009D7677">
      <w:pPr>
        <w:pStyle w:val="Extracto"/>
      </w:pPr>
    </w:p>
    <w:p w14:paraId="2217B0E0" w14:textId="1A710D1A" w:rsidR="009D7677" w:rsidRDefault="009D7677" w:rsidP="009D7677">
      <w:pPr>
        <w:pStyle w:val="Extracto"/>
      </w:pPr>
      <w:r>
        <w:t>3.</w:t>
      </w:r>
      <w:r>
        <w:tab/>
        <w:t>Corresponde en cada caso a los jueces y tribunales ordinarios ponderar los derechos fundamentales en conflicto y determinar cuál es el interés superior del menor, atendiendo para ello a los criterios generales que establece la Ley Orgánica 1/1996, de 15 de enero, de protección jurídica del menor, e incumbe a este tribunal examinar la correcta aplicación de aquellos y la ponderación de intereses realizada en mayor beneficio del menor a fin de comprobar que no se han lesionado sus derechos fundamentales (SSTC 221/2002 o 131/2023) [FJ 5].</w:t>
      </w:r>
    </w:p>
    <w:p w14:paraId="537F9844" w14:textId="77777777" w:rsidR="009D7677" w:rsidRDefault="009D7677" w:rsidP="009D7677">
      <w:pPr>
        <w:pStyle w:val="Extracto"/>
      </w:pPr>
    </w:p>
    <w:p w14:paraId="0B92FB71" w14:textId="4D707BF9" w:rsidR="009D7677" w:rsidRDefault="009D7677" w:rsidP="009D7677">
      <w:pPr>
        <w:pStyle w:val="Extracto"/>
      </w:pPr>
      <w:r>
        <w:t>4.</w:t>
      </w:r>
      <w:r>
        <w:tab/>
        <w:t xml:space="preserve">En un contexto de divergentes posiciones de los progenitores, frente a la opción de un colegio religioso, cuyo proyecto pedagógico global está explícitamente dirigido a la formación en una concreta fe, el colegio público no confesional resulta más acorde para favorecer el libre desarrollo de las convicciones de la menor desde una posición de neutralidad. De este modo se atiende al interés superior </w:t>
      </w:r>
      <w:r>
        <w:lastRenderedPageBreak/>
        <w:t>del menor a formar sus propias creencias en materia religiosa a través de una información y un conocimiento transmitidos de manera objetiva, crítica y plural, permitiendo que pueda desarrollar una opinión crítica [FJ 5].</w:t>
      </w:r>
    </w:p>
    <w:p w14:paraId="0C3FA3B0" w14:textId="77777777" w:rsidR="009D7677" w:rsidRDefault="009D7677" w:rsidP="009D7677">
      <w:pPr>
        <w:pStyle w:val="Extracto"/>
      </w:pPr>
    </w:p>
    <w:p w14:paraId="7E5FB44B" w14:textId="77777777" w:rsidR="009D7677" w:rsidRDefault="009D7677" w:rsidP="009D7677">
      <w:pPr>
        <w:pStyle w:val="Extracto"/>
      </w:pPr>
    </w:p>
    <w:p w14:paraId="3B72A47F" w14:textId="77777777" w:rsidR="009D7677" w:rsidRDefault="009D7677" w:rsidP="009D7677">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doña Concepción Espejel Jorquera, doña María Luisa Segoviano Astaburuaga, don César Tolosa Tribiño, don Juan Carlos Campo Moreno y doña Laura Díez Bueso, ha pronunciado</w:t>
      </w:r>
    </w:p>
    <w:p w14:paraId="381CA069" w14:textId="41C847AE" w:rsidR="009D7677" w:rsidRDefault="009D7677" w:rsidP="009D7677">
      <w:pPr>
        <w:pStyle w:val="TextoNormal"/>
      </w:pPr>
    </w:p>
    <w:p w14:paraId="2E2AA934" w14:textId="77777777" w:rsidR="009D7677" w:rsidRDefault="009D7677" w:rsidP="009D7677">
      <w:pPr>
        <w:pStyle w:val="TextoNormalCentrado"/>
        <w:keepNext/>
      </w:pPr>
      <w:r>
        <w:t>EN NOMBRE DEL REY</w:t>
      </w:r>
    </w:p>
    <w:p w14:paraId="4F2E3901" w14:textId="3B4DAE76" w:rsidR="009D7677" w:rsidRDefault="009D7677" w:rsidP="009D7677">
      <w:pPr>
        <w:pStyle w:val="TextoNormalCentrado"/>
        <w:keepNext/>
      </w:pPr>
    </w:p>
    <w:p w14:paraId="554A335E" w14:textId="77777777" w:rsidR="009D7677" w:rsidRDefault="009D7677" w:rsidP="009D7677">
      <w:pPr>
        <w:pStyle w:val="TextoNormalCentrado"/>
        <w:keepNext/>
      </w:pPr>
    </w:p>
    <w:p w14:paraId="6F9CCC47" w14:textId="77777777" w:rsidR="009D7677" w:rsidRDefault="009D7677" w:rsidP="009D7677">
      <w:pPr>
        <w:pStyle w:val="TextoNormal"/>
      </w:pPr>
      <w:r>
        <w:t>la siguiente</w:t>
      </w:r>
    </w:p>
    <w:p w14:paraId="3CB84B98" w14:textId="0538D054" w:rsidR="009D7677" w:rsidRDefault="009D7677" w:rsidP="009D7677">
      <w:pPr>
        <w:pStyle w:val="TextoNormal"/>
      </w:pPr>
    </w:p>
    <w:p w14:paraId="3A507D5B" w14:textId="77777777" w:rsidR="009D7677" w:rsidRDefault="009D7677" w:rsidP="009D7677">
      <w:pPr>
        <w:pStyle w:val="TextoNormalCentrado"/>
        <w:keepNext/>
      </w:pPr>
      <w:r>
        <w:t>SENTENCIA</w:t>
      </w:r>
    </w:p>
    <w:p w14:paraId="1B26CE4D" w14:textId="3AC5335E" w:rsidR="009D7677" w:rsidRDefault="009D7677" w:rsidP="009D7677">
      <w:pPr>
        <w:pStyle w:val="TextoNormalCentrado"/>
        <w:keepNext/>
      </w:pPr>
    </w:p>
    <w:p w14:paraId="16D85E5B" w14:textId="77777777" w:rsidR="009D7677" w:rsidRDefault="009D7677" w:rsidP="009D7677">
      <w:pPr>
        <w:pStyle w:val="TextoNormal"/>
      </w:pPr>
      <w:r>
        <w:t>En el recurso de amparo núm. 4958-2021, interpuesto por la procuradora de los tribunales doña María Isabel Afonso Rodríguez, en nombre y representación de doña N.C.R., bajo la dirección letrada de doña Eva Lucena Soldado, contra el auto de 23 de julio de 2019, dictado por el Juzgado de Primera Instancia núm. 15 de Barcelona en procedimiento de intervención judicial por desacuerdo en el ejercicio de la patria potestad núm. 355-2019 y contra el auto de 21 de mayo de 2021 de la Sección Decimosegunda de la Audiencia Provincial de Barcelona en el rollo de apelación núm. 1-2020, confirmatorio del anterior. Han intervenido don D.H.R., y el Ministerio Fiscal. Ha sido ponente la magistrada doña Inmaculada Montalbán Huertas.</w:t>
      </w:r>
    </w:p>
    <w:p w14:paraId="656CC09C" w14:textId="66F66D9F" w:rsidR="009D7677" w:rsidRDefault="009D7677" w:rsidP="009D7677">
      <w:pPr>
        <w:pStyle w:val="TextoNormal"/>
      </w:pPr>
    </w:p>
    <w:p w14:paraId="6F02FE3F" w14:textId="77777777" w:rsidR="009D7677" w:rsidRDefault="009D7677" w:rsidP="009D7677">
      <w:pPr>
        <w:pStyle w:val="TextoNormalNegritaCentrado"/>
        <w:keepNext/>
      </w:pPr>
      <w:r>
        <w:t>I. Antecedentes</w:t>
      </w:r>
    </w:p>
    <w:p w14:paraId="10B89866" w14:textId="14BB42EB" w:rsidR="009D7677" w:rsidRDefault="009D7677" w:rsidP="009D7677">
      <w:pPr>
        <w:pStyle w:val="TextoNormalNegritaCentrado"/>
        <w:keepNext/>
      </w:pPr>
    </w:p>
    <w:p w14:paraId="00A80ED8" w14:textId="30E6DD0A" w:rsidR="009D7677" w:rsidRDefault="009D7677" w:rsidP="009D7677">
      <w:pPr>
        <w:pStyle w:val="TextoNormal"/>
      </w:pPr>
      <w:r w:rsidRPr="009D7677">
        <w:rPr>
          <w:rStyle w:val="NumeroAFNegritaCaracter"/>
        </w:rPr>
        <w:t>1</w:t>
      </w:r>
      <w:r>
        <w:t>. Doña N.C.R., representada por la procuradora de los tribunales doña María Isabel Afonso Rodríguez, ha interpuesto recurso de amparo contra las resoluciones indicadas en el encabezamiento de esta sentencia mediante escrito presentado en el registro de este tribunal con fecha 19 de julio de 2021.</w:t>
      </w:r>
    </w:p>
    <w:p w14:paraId="4981F2EE" w14:textId="77777777" w:rsidR="009D7677" w:rsidRDefault="009D7677" w:rsidP="009D7677">
      <w:pPr>
        <w:pStyle w:val="TextoNormal"/>
      </w:pPr>
    </w:p>
    <w:p w14:paraId="0F5283DD" w14:textId="77777777" w:rsidR="009D7677" w:rsidRDefault="009D7677" w:rsidP="009D7677">
      <w:pPr>
        <w:pStyle w:val="TextoNormal"/>
      </w:pPr>
      <w:r w:rsidRPr="009D7677">
        <w:rPr>
          <w:rStyle w:val="NumeroAFNegritaCaracter"/>
        </w:rPr>
        <w:t>2</w:t>
      </w:r>
      <w:r>
        <w:t>. Los antecedentes relevantes para resolver el recurso de amparo son, en síntesis, los siguientes:</w:t>
      </w:r>
    </w:p>
    <w:p w14:paraId="7860267B" w14:textId="77777777" w:rsidR="009D7677" w:rsidRDefault="009D7677" w:rsidP="009D7677">
      <w:pPr>
        <w:pStyle w:val="TextoNormal"/>
      </w:pPr>
    </w:p>
    <w:p w14:paraId="19942E14" w14:textId="77777777" w:rsidR="009D7677" w:rsidRDefault="009D7677" w:rsidP="009D7677">
      <w:pPr>
        <w:pStyle w:val="TextoNormal"/>
      </w:pPr>
      <w:r>
        <w:t>a) Escrito de don D.H.R., solicitando la intervención judicial por desacuerdo de los progenitores en el ejercicio de la patria potestad —al amparo del art. 86 de la Ley de la jurisdicción voluntaria (LJV) y el art. 156 Código civil— frente a doña N.C.R., de la que se hallaba divorciado, en relación con el centro en el que escolarizar a la hija común, quien entonces tenía cuatro años de edad y se encontraba en régimen de guarda y custodia compartida por semanas alternas y mitad de vacaciones.</w:t>
      </w:r>
    </w:p>
    <w:p w14:paraId="119FB24F" w14:textId="77777777" w:rsidR="009D7677" w:rsidRDefault="009D7677" w:rsidP="009D7677">
      <w:pPr>
        <w:pStyle w:val="TextoNormal"/>
      </w:pPr>
    </w:p>
    <w:p w14:paraId="33926DC3" w14:textId="77777777" w:rsidR="009D7677" w:rsidRDefault="009D7677" w:rsidP="009D7677">
      <w:pPr>
        <w:pStyle w:val="TextoNormal"/>
      </w:pPr>
      <w:r>
        <w:lastRenderedPageBreak/>
        <w:t>(i) El padre proponía un colegio religioso y concertado en el mismo barrio de su residencia, con base a los siguientes argumentos: reconocida tradición escolar, amplias instalaciones, imparte todos los ciclos de enseñanza y variedad de clases extraescolares; situado en uno de los barrios más seguros de la ciudad, en el que había vivido la menor desde su nacimiento, y a escasos metros de su residencia; su coste sería análogo al del colegio público; y el carácter religioso del centro se correspondía con su firme creencia religiosa, de su familia y de la menor y permitiría garantizar el derecho fundamental a la educación religiosa de la menor conforme a el art. 27.3 CE y normativa internacional e interna que cita. Añade que, en contraposición, el colegio público y laico, elegido por la madre se encontraba en un barrio en el que la menor no tenía arraigo, con adoctrinamiento en otras cuestiones de interés solo para la madre y nada beneficiosas para la menor, de reciente creación, que no incluía todas las etapas escolares, con un programa educativo mucho más básico y nada tradicional, menos oferta de extraescolares e instalaciones más sencillas.</w:t>
      </w:r>
    </w:p>
    <w:p w14:paraId="2297AEE1" w14:textId="77777777" w:rsidR="009D7677" w:rsidRDefault="009D7677" w:rsidP="009D7677">
      <w:pPr>
        <w:pStyle w:val="TextoNormal"/>
      </w:pPr>
    </w:p>
    <w:p w14:paraId="6233760B" w14:textId="77777777" w:rsidR="009D7677" w:rsidRDefault="009D7677" w:rsidP="009D7677">
      <w:pPr>
        <w:pStyle w:val="TextoNormal"/>
      </w:pPr>
      <w:r>
        <w:t>(ii) Doña N.C.R., se opuso a lo solicitado por don D.H.R., sosteniendo la conveniencia del colegio de carácter laico frente a una educación religiosa, que ella rechazaba, además del proyecto educativo y pedagógico del centro, las actividades extraescolares, la cercanía a su vivienda, las dificultades para trasladarse hasta el colegio propuesto por el padre y las dificultades de asumir el coste económico del colegio concertado, cuyas tarifas sobrepasan sus posibilidades económicas.</w:t>
      </w:r>
    </w:p>
    <w:p w14:paraId="39018A37" w14:textId="77777777" w:rsidR="009D7677" w:rsidRDefault="009D7677" w:rsidP="009D7677">
      <w:pPr>
        <w:pStyle w:val="TextoNormal"/>
      </w:pPr>
    </w:p>
    <w:p w14:paraId="68324E8A" w14:textId="77777777" w:rsidR="009D7677" w:rsidRDefault="009D7677" w:rsidP="009D7677">
      <w:pPr>
        <w:pStyle w:val="TextoNormal"/>
      </w:pPr>
      <w:r>
        <w:t>b) El Juzgado de Primera Instancia núm. 15 de Barcelona dictó auto el 23 de julio de 2019 estimando la solicitud formulada por don D.H.R. Teniendo en cuenta lo dispuesto en los arts. 236.11 apartado cuarto y 236.13 apartado primero del Código civil catalán, el auto considera que, al existir un régimen de custodia compartida, no puede tomarse una decisión en atención a la distancia respecto de la vivienda, ni puede atenderse al arraigo o círculo de amistades de la menor, pues existen dos círculos de influencia. Aunque reconoce las ventajas del sistema educativo seguido en el colegio propuesto por la madre, aprecia algunas deficiencias en su oferta educativa. Y en relación con la cuestión religiosa, considera que la opción de un progenitor no puede primar sobre el otro, por lo que debe atenderse a otras cuestiones de la enseñanza, donde el colegio propuesto por el padre ofrece mayores ventajas. En concreto, valora positivamente su cercanía respecto de la casa del padre, al permitir que la menor pueda comer en la vivienda, cuenta con el apoyo familiar del padre y, aunque el coste es más elevado, no es desorbitado. Concluye, en atención al beneficio de la menor, que el centro más adecuado es el centro concertado religioso y autoriza la inscripción en este centro; pero, para conjugarlo con educación laica que pretende la madre, se deberá inscribir a la menor en la asignatura alternativa a religión, si así lo manifestara la madre, ya que los valores y ritos religiosos que pretende el padre los podría adquirir perfectamente fuera del horario escolar.</w:t>
      </w:r>
    </w:p>
    <w:p w14:paraId="19E9184E" w14:textId="77777777" w:rsidR="009D7677" w:rsidRDefault="009D7677" w:rsidP="009D7677">
      <w:pPr>
        <w:pStyle w:val="TextoNormal"/>
      </w:pPr>
    </w:p>
    <w:p w14:paraId="7A125708" w14:textId="77777777" w:rsidR="009D7677" w:rsidRDefault="009D7677" w:rsidP="009D7677">
      <w:pPr>
        <w:pStyle w:val="TextoNormal"/>
      </w:pPr>
      <w:r>
        <w:t>c) Recurso de apelación: frente a la anterior resolución doña N.C.R., presentó recurso de apelación por considerar que vulneraba el derecho a la dignidad de la persona (art. 10 CE), el derecho a la libertad ideológica (art. 16 CE) y el derecho a la tutela judicial efectiva (art. 24.1 CE) de la menor y de la madre, con base a los siguientes argumentos:</w:t>
      </w:r>
    </w:p>
    <w:p w14:paraId="53565D68" w14:textId="77777777" w:rsidR="009D7677" w:rsidRDefault="009D7677" w:rsidP="009D7677">
      <w:pPr>
        <w:pStyle w:val="TextoNormal"/>
      </w:pPr>
    </w:p>
    <w:p w14:paraId="59FCD7CB" w14:textId="77777777" w:rsidR="009D7677" w:rsidRDefault="009D7677" w:rsidP="009D7677">
      <w:pPr>
        <w:pStyle w:val="TextoNormal"/>
      </w:pPr>
      <w:r>
        <w:t>(i) Existió un procedimiento anterior en el que, por auto de 11 de diciembre de 2018, el mismo juzgado acordó que la niña permaneciera en el colegio público durante ese curso, recomendando a las partes alcanzar un acuerdo para el curso posterior mediante media</w:t>
      </w:r>
      <w:r>
        <w:lastRenderedPageBreak/>
        <w:t>ción, pero que antes de iniciarse el curso siguiente, el padre instó este procedimiento en el que se le ha atribuido la facultad de decidir a él, debiendo inscribir a la menor en la asignatura alternativa a la religión si así lo manifestara la madre. Sin embargo, ella prefería un centro laico. Afirmaba también que, en el colegio propuesto por el padre, la enseñanza de religión era de carácter curricular y no había una alternativa laica para su hija, que el colegio era de formación religiosa y todo el proyecto educativo se basaba en los principios de la religión católica, y que existían imágenes religiosas en todo el centro y en las actividades que se realizaban.</w:t>
      </w:r>
    </w:p>
    <w:p w14:paraId="242AABB5" w14:textId="77777777" w:rsidR="009D7677" w:rsidRDefault="009D7677" w:rsidP="009D7677">
      <w:pPr>
        <w:pStyle w:val="TextoNormal"/>
      </w:pPr>
    </w:p>
    <w:p w14:paraId="52506204" w14:textId="77777777" w:rsidR="009D7677" w:rsidRDefault="009D7677" w:rsidP="009D7677">
      <w:pPr>
        <w:pStyle w:val="TextoNormal"/>
      </w:pPr>
      <w:r>
        <w:t>(ii) La decisión judicial vulnera los arts. 10 y 16.1 CE porque la asignatura de religión era de carácter curricular en este colegio, tal y como figuraba en el folleto del centro escolar que aportaba con el recurso, en el que además se indicaba que, dentro del horario escolar, se practicaba la oración y se recibía formación religiosa explícita, y la propia publicidad del colegio indicaba que se propiciaba la catequesis, los sacramentos, la oración y las clases de religión de forma activa por parte del colegio. Añadía que, en una reunión con la directora del centro, esta le informó de que no se ofrecía alternativa alguna a las asignaturas de contenido religioso, y que el elemento religioso impregnaba el centro y el proyecto educativo del colegio, todo lo cual se acreditaba a través de las fotografías del folleto, que reflejaban a niños de corta edad en un contexto explícitamente religioso, aparte de las constantes referencias del folleto a la espiritualidad cristiana. Señalaba también que el derecho a la libertad religiosa comprende el derecho a no profesar religión alguna y que la recurrente no profesa ninguna religión ni está de acuerdo con la educación religiosa, apuntando además que la escuela laica respeta las creencias de ambos progenitores, mientras que el auto recurrido vulnera los arts. 16 y 27.3 CE. Cita la STC 101/2004, de 2 de junio y el ATC 359/1985, de 29 de mayo.</w:t>
      </w:r>
    </w:p>
    <w:p w14:paraId="04E88EE8" w14:textId="77777777" w:rsidR="009D7677" w:rsidRDefault="009D7677" w:rsidP="009D7677">
      <w:pPr>
        <w:pStyle w:val="TextoNormal"/>
      </w:pPr>
    </w:p>
    <w:p w14:paraId="3122EBF2" w14:textId="77777777" w:rsidR="009D7677" w:rsidRDefault="009D7677" w:rsidP="009D7677">
      <w:pPr>
        <w:pStyle w:val="TextoNormal"/>
      </w:pPr>
      <w:r>
        <w:t>(iii) La decisión judicial vulnera el art. 24.1 CE porque el auto resultaba de imposible cumplimiento, dado que en el centro escolar no existía asignatura alternativa a la religión, por lo que no cabía que la resolución se ejecutase en sus propios términos, de acuerdo con la STC 211/2013, de 16 de diciembre. Indicaba, por otra parte, que la comparación entre los centros educativos es un falso debate porque ambos cumplen con las exigencias del Departamento de Enseñanza y su proyecto educativo es apto para cualquier menor. Cada uno de los progenitores matriculó inicialmente a la niña en un colegio distinto, y el Consorcio de Educación de Barcelona dictaminó que la opción más idónea era el colegio público porque, en otro caso, se dejaría a la madre y a la menor en situación de extrema vulnerabilidad. Destacaba también el gravamen económico que supone el colegio concertado para la madre y que su coste real es superior al consignado en el acto de la vista porque en él no se incluían todos los conceptos, a lo que añade la distancia desde su vivienda al colegio y las dificultades para compatibilizar horarios, apuntando finalmente las ventajas del colegio propuesto por ella en relación con el proyecto educativo y la implicación de las familias.</w:t>
      </w:r>
    </w:p>
    <w:p w14:paraId="761956B7" w14:textId="77777777" w:rsidR="009D7677" w:rsidRDefault="009D7677" w:rsidP="009D7677">
      <w:pPr>
        <w:pStyle w:val="TextoNormal"/>
      </w:pPr>
    </w:p>
    <w:p w14:paraId="3AA447DA" w14:textId="77777777" w:rsidR="009D7677" w:rsidRDefault="009D7677" w:rsidP="009D7677">
      <w:pPr>
        <w:pStyle w:val="TextoNormal"/>
      </w:pPr>
      <w:r>
        <w:t>De otro lado, don D.H.R., formuló oposición al recurso de apelación alegando, en síntesis, que la menor no está cursando la asignatura de religión, sino otra actividad distinta con otros menores; que el auto recurrido permitía a la madre optar por que la menor no cursara la asignatura de religión; que desde su nacimiento, la menor participó en actos religiosos y había sido bautizada, y el cambio ideológico de la madre no podía conllevar que la hija se fuera adaptando al mismo sin tener en cuenta el derecho del padre a mante</w:t>
      </w:r>
      <w:r>
        <w:lastRenderedPageBreak/>
        <w:t>nerse firme en su ideología religiosa, garantizando además una mayor estabilidad en la educación ideológica de la menor. Cuestionaba la falta de flexibilidad en el trabajo de la madre, el mayor gravamen que podía suponer este desplazamiento para la niña y negó el mayor coste económico del colegio propuesto.</w:t>
      </w:r>
    </w:p>
    <w:p w14:paraId="06D390EE" w14:textId="77777777" w:rsidR="009D7677" w:rsidRDefault="009D7677" w:rsidP="009D7677">
      <w:pPr>
        <w:pStyle w:val="TextoNormal"/>
      </w:pPr>
    </w:p>
    <w:p w14:paraId="664317A6" w14:textId="5F157E23" w:rsidR="009D7677" w:rsidRDefault="009D7677" w:rsidP="009D7677">
      <w:pPr>
        <w:pStyle w:val="TextoNormal"/>
      </w:pPr>
      <w:r>
        <w:t>d) Auto desestimatorio del recurso de apelación, dictado por la Sección Duodécima de la Audiencia Provincial de Barcelona el 21 de mayo de 2021. Declara que la motivación del magistrado de instancia es suficiente y completa, valorando las circunstancias del caso, tales como la edad de la menor, régimen de custodia compartida y domicilio de los progenitores. En particular, la oferta educativa de ambos centros; apreciando determinadas deficiencias en el sistema curricular del colegio propuesto por la madre en comparación con el propuesto por el padre, quien cubre todos los ciclos formativos, la enseñanza de un segundo idioma extranjero tras finalizar primaria, la impartición de varias clases en inglés y actividades como natación; valorando también la cercanía del domicilio paterno y el apoyo familiar que este tiene, a lo que se suma la oferta de instalaciones y de actividades extraescolares y que el coste económico es moderado. Ello justificaba la atribución al padre de la facultad de elección del centro escolar. Respecto de la alegación de la recurrente al no desear que su hija cursase la asignatura de religión y mostrar su preferencia por un centro laico, considera acreditado que el hecho de cursar o no la asignatura de religión depende de la elección de los padres y que, en este caso, la menor está realizando una actividad distinta en compañía de otros menores. Las actividades extraescolares y complementarias de carácter religioso son voluntarias, y no pueden desvirtuar las cualidades que pone de manifiesto el auto recurrido para atribuir al padre la facultad de decidir. En cuanto al mayor coste económico, considera que la diferencia entre ambos colegios, en caso de existir, no justificaría por sí sola la elección del colegio en este caso.</w:t>
      </w:r>
    </w:p>
    <w:p w14:paraId="2A94C374" w14:textId="77777777" w:rsidR="009D7677" w:rsidRDefault="009D7677" w:rsidP="009D7677">
      <w:pPr>
        <w:pStyle w:val="TextoNormal"/>
      </w:pPr>
    </w:p>
    <w:p w14:paraId="73FE7B85" w14:textId="77777777" w:rsidR="009D7677" w:rsidRDefault="009D7677" w:rsidP="009D7677">
      <w:pPr>
        <w:pStyle w:val="TextoNormal"/>
      </w:pPr>
      <w:r w:rsidRPr="009D7677">
        <w:rPr>
          <w:rStyle w:val="NumeroAFNegritaCaracter"/>
        </w:rPr>
        <w:t>3</w:t>
      </w:r>
      <w:r>
        <w:t>. Demanda de amparo. La recurrente considera que se han vulnerado el derecho fundamental a la libertad religiosa (art. 16.1 CE) y el derecho fundamental a que su hija reciba la formación religiosa y moral que esté de acuerdo con sus propias convicciones (art. 27.3 CE), porque el derecho a la libertad religiosa también comprende el derecho a no profesar religión alguna y el colegio propuesto por el padre practica el proselitismo y adoctrinamiento religioso, teniendo en cuenta la propia información proporcionada por el centro en su folleto informativo y en la web, que no son compatibles con la libertad religiosa de la madre.</w:t>
      </w:r>
    </w:p>
    <w:p w14:paraId="0F260A61" w14:textId="77777777" w:rsidR="009D7677" w:rsidRDefault="009D7677" w:rsidP="009D7677">
      <w:pPr>
        <w:pStyle w:val="TextoNormal"/>
      </w:pPr>
    </w:p>
    <w:p w14:paraId="58E6A4C9" w14:textId="77777777" w:rsidR="009D7677" w:rsidRDefault="009D7677" w:rsidP="009D7677">
      <w:pPr>
        <w:pStyle w:val="TextoNormal"/>
      </w:pPr>
      <w:r>
        <w:t xml:space="preserve">Apoya su pretensión en el art. 18 de la Declaración universal de derechos humanos, el art. 18 del Pacto internacional de derechos civiles y políticos y el art. 9.1 del Convenio europeo de derechos humanos (CEDH) reconocen el derecho a la libertad de pensamiento, conciencia y religión, lo que incluye el derecho a no profesar religión ni creencia alguna (STEDH de 18 de febrero de 1999, asunto </w:t>
      </w:r>
      <w:r w:rsidRPr="009D7677">
        <w:rPr>
          <w:i/>
        </w:rPr>
        <w:t>Buscarini y otros c. San Marino</w:t>
      </w:r>
      <w:r>
        <w:t xml:space="preserve">). Además, siguiendo la jurisprudencia del Tribunal Europeo de Derechos Humanos habría que determinar si se ha producido una interferencia del Estado o de los tribunales, y en tal caso, si estaba justificada en atención a los parámetros del art. 9.2 del Convenio: seguridad pública, protección del orden, de la salud o de la moral públicos o la protección de los derechos y libertades de los demás. En este caso, no concurre ninguno de estos parámetros. En la STEDH de 29 de junio de 2007, asunto </w:t>
      </w:r>
      <w:r w:rsidRPr="009D7677">
        <w:rPr>
          <w:i/>
        </w:rPr>
        <w:t>Folgerø y otros c. Noruega</w:t>
      </w:r>
      <w:r>
        <w:t>, se estimó la demanda porque, aunque se trataba de una asignatura de educación religiosa no confesional, el tribunal entendió que era adoctrinadora. El límite que no puede sobrepasarse es el adoctri</w:t>
      </w:r>
      <w:r>
        <w:lastRenderedPageBreak/>
        <w:t>namiento, pero en este caso se ha sobrepasado porque la religiosidad del proyecto educativo impregna el centro escolar y todos y cada uno de los actos y actividades que se realizan. En la STEDH de 7 de diciembre de 1976, asunto Kjeldsen, Busk Madsen y Pedersen c. Dinamarca, se establece que el art. 2 del Protocolo núm. 1 del CEDH prohíbe al Estado perseguir una finalidad de adoctrinamiento que pueda ser considerada como no respetuosa de las convicciones religiosas y filosóficas de los padres. Concluye que el proselitismo y adoctrinamiento religioso del colegio propuesto por el padre vulnera la libertad religiosa de la madre. Como indicaba la STC 5/1981, de 13 de febrero, FJ 8, la elección de centro docente es un modo de elegir una determinada formación religiosa y moral.</w:t>
      </w:r>
    </w:p>
    <w:p w14:paraId="4B79BD72" w14:textId="77777777" w:rsidR="009D7677" w:rsidRDefault="009D7677" w:rsidP="009D7677">
      <w:pPr>
        <w:pStyle w:val="TextoNormal"/>
      </w:pPr>
    </w:p>
    <w:p w14:paraId="1926D377" w14:textId="77777777" w:rsidR="009D7677" w:rsidRDefault="009D7677" w:rsidP="009D7677">
      <w:pPr>
        <w:pStyle w:val="TextoNormal"/>
      </w:pPr>
      <w:r>
        <w:t>Añade que los menores de edad son también titulares plenos de sus derechos fundamentales, en este caso el derecho a la libertad de creencias y a su integridad moral, y su ejercicio no puede quedar por entero al criterio de los titulares de la patria potestad, como reconoce la STC 141/2000, de 29 de mayo. Esta potestad debe modularse en función de la madurez de los menores, pero en este caso, atendida la edad de la niña (seis años al tiempo de interponerse el recurso de amparo), no se apela a la libertad religiosa de esta, si bien destaca que la educación fragmentaria, sesgada y adoctrinadora del colegio elegido por el padre puede afectar negativamente a su desarrollo personal. Concluye que resulta indiferente que la menor curse una asignatura alternativa a la religión si diariamente se reza al inicio de las clases y los símbolos y el contenido religioso forman parte del paisaje escolar.</w:t>
      </w:r>
    </w:p>
    <w:p w14:paraId="5361880C" w14:textId="77777777" w:rsidR="009D7677" w:rsidRDefault="009D7677" w:rsidP="009D7677">
      <w:pPr>
        <w:pStyle w:val="TextoNormal"/>
      </w:pPr>
    </w:p>
    <w:p w14:paraId="3115DFF8" w14:textId="612C0376" w:rsidR="009D7677" w:rsidRDefault="009D7677" w:rsidP="009D7677">
      <w:pPr>
        <w:pStyle w:val="TextoNormal"/>
      </w:pPr>
      <w:r>
        <w:t>En atención a que las resoluciones judiciales han pasado de soslayo por los derechos fundamentales alegados y el interés superior de la menor, o lo han identificado con otras circunstancias, —sin tener en cuenta estos derechos fundamentales— solicita que se declare vulnerado el derecho de la recurrente a su libertad religiosa (art. 16.1 CE) y a que su hija reciba la formación religiosa y moral que esté de acuerdo con sus propias convicciones (art. 27.3 CE), y que se restablezca a la recurrente en la integridad de sus derechos y, en consecuencia, se declare la nulidad de los autos contra los que se solicita el amparo, retrotrayéndose en las actuaciones al momento previo al dictado del auto de 23 de julio de 2019, a fin de que se dicte nueva resolución respetuosa con los derechos fundamentales vulnerados.</w:t>
      </w:r>
    </w:p>
    <w:p w14:paraId="06009FBD" w14:textId="77777777" w:rsidR="009D7677" w:rsidRDefault="009D7677" w:rsidP="009D7677">
      <w:pPr>
        <w:pStyle w:val="TextoNormal"/>
      </w:pPr>
    </w:p>
    <w:p w14:paraId="6AAD785F" w14:textId="77777777" w:rsidR="009D7677" w:rsidRDefault="009D7677" w:rsidP="009D7677">
      <w:pPr>
        <w:pStyle w:val="TextoNormal"/>
      </w:pPr>
      <w:r w:rsidRPr="009D7677">
        <w:rPr>
          <w:rStyle w:val="NumeroAFNegritaCaracter"/>
        </w:rPr>
        <w:t>4</w:t>
      </w:r>
      <w:r>
        <w:t>. Mediante providencia de 12 de septiembre de 2022, la Sección Segunda del Tribunal Constitucional acordó admitir a trámite el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de 25 de junio, FJ 2 a)].</w:t>
      </w:r>
    </w:p>
    <w:p w14:paraId="57030D37" w14:textId="77777777" w:rsidR="009D7677" w:rsidRDefault="009D7677" w:rsidP="009D7677">
      <w:pPr>
        <w:pStyle w:val="TextoNormal"/>
      </w:pPr>
    </w:p>
    <w:p w14:paraId="5B9DA251" w14:textId="38F73E94" w:rsidR="009D7677" w:rsidRDefault="009D7677" w:rsidP="009D7677">
      <w:pPr>
        <w:pStyle w:val="TextoNormal"/>
      </w:pPr>
      <w:r>
        <w:t>Recibido el testimonio de actuaciones de la Sección Duodécima de la Audiencia Provincial de Barcelona y del Juzgado de Primera Instancia núm. 15 de Barcelona, la misma providencia acordó, en aplicación de lo dispuesto en el art. 51 LOTC, dirigir atenta comunicación al Juzgado de Primera Instancia núm. 15 de Barcelona a fin de que procediera al emplazamiento en el procedimiento de intervención judicial por desacuerdo en ejercicio de patria potestad núm. 355-2019, y que pudieran comparecer en el plazo de diez días, si lo deseasen, en el presente recurso de amparo, quienes hubieran sido parte en el procedimiento, excepto la parte recurrente en amparo.</w:t>
      </w:r>
    </w:p>
    <w:p w14:paraId="2E5D2A07" w14:textId="77777777" w:rsidR="009D7677" w:rsidRDefault="009D7677" w:rsidP="009D7677">
      <w:pPr>
        <w:pStyle w:val="TextoNormal"/>
      </w:pPr>
    </w:p>
    <w:p w14:paraId="7FB9EE1A" w14:textId="7170AD49" w:rsidR="009D7677" w:rsidRDefault="009D7677" w:rsidP="009D7677">
      <w:pPr>
        <w:pStyle w:val="TextoNormal"/>
      </w:pPr>
      <w:r w:rsidRPr="009D7677">
        <w:rPr>
          <w:rStyle w:val="NumeroAFNegritaCaracter"/>
        </w:rPr>
        <w:t>5</w:t>
      </w:r>
      <w:r>
        <w:t>. Mediante providencia de 12 de septiembre de 2022 se acordó, a solicitud de la parte actora, la formación de la correspondiente pieza separada de suspensión, que, tras su tramitación, fue resuelta por el ATC 136/2022, de 24 de octubre, que denegó la suspensión cautelar del auto núm. 218/2021, dictado por la Sección Duodécima de la Audiencia Provincial de Barcelona el 21 de mayo de 2021, por el que se desestimaba el recurso de apelación interpuesto por la recurrente en amparo contra el auto núm. 264/2019, dictado por el Juzgado de Primera Instancia núm. 15 de Barcelona el 23 de julio de 2019.</w:t>
      </w:r>
    </w:p>
    <w:p w14:paraId="5574C6E6" w14:textId="77777777" w:rsidR="009D7677" w:rsidRDefault="009D7677" w:rsidP="009D7677">
      <w:pPr>
        <w:pStyle w:val="TextoNormal"/>
      </w:pPr>
    </w:p>
    <w:p w14:paraId="0DED0C4D" w14:textId="32D742EC" w:rsidR="009D7677" w:rsidRDefault="009D7677" w:rsidP="009D7677">
      <w:pPr>
        <w:pStyle w:val="TextoNormal"/>
      </w:pPr>
      <w:r w:rsidRPr="009D7677">
        <w:rPr>
          <w:rStyle w:val="NumeroAFNegritaCaracter"/>
        </w:rPr>
        <w:t>6</w:t>
      </w:r>
      <w:r>
        <w:t>. Por diligencia de ordenación de 14 de octubre de 2022, la Secretaría de Justicia de la Sala Primera del Tribunal Constitucional acordó tener por personada y parte en el procedimiento a la procuradora de los tribunales doña Paloma Rubio Peláez, en nombre y representación de don D.H.R., acordándose entender con ella las sucesivas actuaciones, y dar vista de las actuaciones recibidas a las partes personadas y al Ministerio Fiscal por plazo común de veinte días, dentro de los cuales podrían presentar las alegaciones que estimasen pertinentes, conforme determina el art. 52.1 LOTC.</w:t>
      </w:r>
    </w:p>
    <w:p w14:paraId="375CF3C9" w14:textId="77777777" w:rsidR="009D7677" w:rsidRDefault="009D7677" w:rsidP="009D7677">
      <w:pPr>
        <w:pStyle w:val="TextoNormal"/>
      </w:pPr>
    </w:p>
    <w:p w14:paraId="3B63D5FB" w14:textId="0014BF9A" w:rsidR="009D7677" w:rsidRDefault="009D7677" w:rsidP="009D7677">
      <w:pPr>
        <w:pStyle w:val="TextoNormal"/>
      </w:pPr>
      <w:r w:rsidRPr="009D7677">
        <w:rPr>
          <w:rStyle w:val="NumeroAFNegritaCaracter"/>
        </w:rPr>
        <w:t>7</w:t>
      </w:r>
      <w:r>
        <w:t>. Doña N.C.R., presentó escrito el 15 de noviembre de 2022 reiterando lo alegado en el recurso de amparo respecto de la vulneración de sus derechos fundamentales.</w:t>
      </w:r>
    </w:p>
    <w:p w14:paraId="267DBF3B" w14:textId="77777777" w:rsidR="009D7677" w:rsidRDefault="009D7677" w:rsidP="009D7677">
      <w:pPr>
        <w:pStyle w:val="TextoNormal"/>
      </w:pPr>
    </w:p>
    <w:p w14:paraId="7057C222" w14:textId="77777777" w:rsidR="009D7677" w:rsidRDefault="009D7677" w:rsidP="009D7677">
      <w:pPr>
        <w:pStyle w:val="TextoNormal"/>
      </w:pPr>
      <w:r w:rsidRPr="009D7677">
        <w:rPr>
          <w:rStyle w:val="NumeroAFNegritaCaracter"/>
        </w:rPr>
        <w:t>8</w:t>
      </w:r>
      <w:r>
        <w:t>. Escrito de alegaciones de don D.H.R. Negaba que se hubieran vulnerado los derechos fundamentales invocados, considerando que se estaba haciendo un uso instrumental y oportunista de los mismos para obtener una resolución favorable a sus intereses porque la recurrente, hasta su ruptura matrimonial, profesaba la religión católica y ambos progenitores habían decidido educar a su hija conforme a sus creencias religiosas, habiendo sido bautizada, por lo que sus alegaciones no se corresponderían con sus comportamientos anteriores, y tampoco había solicitado la apostasía, que sería coherente con la laicidad que ahora alega. La elección del colegio público por parte de la madre se basa en su menor coste económico y la proximidad a su domicilio. En este sentido, en el anterior procedimiento ante el Consorcio de Educación de Barcelona no alegó la cuestión religiosa como motivo de su rechazo al colegio propuesto por el padre. Y el derecho de cambiar de creencia religiosa no puede ser ilimitado, no puede pretender alcanzar con ello a la libertad de otros, en este caso al otro progenitor y a la menor. Considera, en cualquier caso, que la madre puede transmitir a su hija los principios de laicidad, pero no puede limitar o perturbar al padre y a la menor por su decisión, porque ello vulneraría el derecho fundamental de estos últimos. Y las resoluciones judiciales, en realidad, priorizan los derechos de doña N.C.R., ya que se excluye la posibilidad, por la sola decisión de esta, de que la menor curse la asignatura de religión y se eduque en la laicidad, y tratan de conjugar y salvaguardar los derechos de ambos progenitores facultando, por otra parte, al padre para que, en respeto a su libertad ideológica, prosiga con la educación religiosa de su hija fuera del colegio.</w:t>
      </w:r>
    </w:p>
    <w:p w14:paraId="5C4C7001" w14:textId="77777777" w:rsidR="009D7677" w:rsidRDefault="009D7677" w:rsidP="009D7677">
      <w:pPr>
        <w:pStyle w:val="TextoNormal"/>
      </w:pPr>
    </w:p>
    <w:p w14:paraId="393BFBC4" w14:textId="595BD5A6" w:rsidR="009D7677" w:rsidRDefault="009D7677" w:rsidP="009D7677">
      <w:pPr>
        <w:pStyle w:val="TextoNormal"/>
      </w:pPr>
      <w:r>
        <w:t xml:space="preserve">Señala, por otra parte, que, en contra de lo alegado por la madre en el recurso de apelación, el auto de primera instancia sí podía cumplirse porque, tal y como se acreditó, la niña no estaba cursando la asignatura de religión y no era una asignatura curricular, sino que era una opción voluntaria. Niega que la religión impregne todos los aspectos del colegio, sino que se ofertan actividades totalmente voluntarias y de carácter extraescolar de forma complementaria al programa curricular obligado, siendo algunas de contenido religioso, </w:t>
      </w:r>
      <w:r>
        <w:lastRenderedPageBreak/>
        <w:t>pero que no sustituyen la programación curricular ni son obligatorias, ni la menor participa en ellas por petición expresa de la madre, considerando en este sentido que la parroquia es solo una instalación más del colegio. La única actividad religiosa en horario escolar es la asignatura de religión, que la menor no está cursando, y niega que el colegio tenga un carácter acentuadamente religioso, con independencia de que existan algunas actividades voluntarias y complementarias de carácter religioso. Considera que es el derecho del padre a la libertad religiosa y a educar a su hija conforme a sus creencias el que ha quedado conculcado porque es la madre la que impone la educación laica de su hija. Alega finalmente el arraigo actual de la menor en el colegio y que, por su condición de concertado, está sujeto a la misma normativa que los colegios públicos y al control e inspección por parte del Estado.</w:t>
      </w:r>
    </w:p>
    <w:p w14:paraId="758F8024" w14:textId="77777777" w:rsidR="009D7677" w:rsidRDefault="009D7677" w:rsidP="009D7677">
      <w:pPr>
        <w:pStyle w:val="TextoNormal"/>
      </w:pPr>
    </w:p>
    <w:p w14:paraId="1340DF8A" w14:textId="77777777" w:rsidR="009D7677" w:rsidRDefault="009D7677" w:rsidP="009D7677">
      <w:pPr>
        <w:pStyle w:val="TextoNormal"/>
      </w:pPr>
      <w:r w:rsidRPr="009D7677">
        <w:rPr>
          <w:rStyle w:val="NumeroAFNegritaCaracter"/>
        </w:rPr>
        <w:t>9</w:t>
      </w:r>
      <w:r>
        <w:t>. Escrito de alegaciones del Ministerio Fiscal. El 1 de diciembre de 2022, la fiscal presentó su escrito de alegaciones, en el que solicitaba la desestimación del recurso de amparo. Partiendo de la jurisprudencia constitucional establecida en las SSTC 34/2011, de 28 de marzo, FJ 3, y 141/2000, de 29 de mayo, FFJJ 4 y 5 en relación con el derecho fundamental a la libertad religiosa; en las SSTC 81/2021, de 19 de abril, FJ 2, y 178/2020,  de 14 de diciembre, FJ 3, respecto del interés superior del menor, y la STC 133/2010, de 2 de diciembre, FFJJ 5 y 8, en relación con el derecho de los padres a educar a sus hijos conforme a sus convicciones morales y religiosas, y teniendo en cuenta la normativa aplicable en este caso (arts. 233-8 y 236-13 del Código civil de Cataluña, art. 86 LJV y arts. 2 y 6 de la Ley Orgánica de protección jurídica del menor), concluye que no se habría vulnerado el derecho fundamental de la recurrente a su libertad religiosa y a educar a su hija conforme a sus convicciones religiosas y morales.</w:t>
      </w:r>
    </w:p>
    <w:p w14:paraId="4FCC145E" w14:textId="77777777" w:rsidR="009D7677" w:rsidRDefault="009D7677" w:rsidP="009D7677">
      <w:pPr>
        <w:pStyle w:val="TextoNormal"/>
      </w:pPr>
    </w:p>
    <w:p w14:paraId="67DC3056" w14:textId="646CDA52" w:rsidR="009D7677" w:rsidRDefault="009D7677" w:rsidP="009D7677">
      <w:pPr>
        <w:pStyle w:val="TextoNormal"/>
      </w:pPr>
      <w:r>
        <w:t>La cuestión, indica la fiscal, no puede limitarse a una ponderación de los derechos de los progenitores, sino que debe centrarse en la repercusión sobre el interés superior de la menor, que es titular del derecho a la libertad religiosa, derecho que debe modularse en atención a su edad, cuatro años al inicio del procedimiento y siete años en la actualidad. En este caso, las resoluciones judiciales fundamentan su decisión en el interés de la menor, ponderado en relación con las circunstancias concurrentes; y teniendo en cuenta las opciones religiosas de ambos progenitores, han moderado la atribución de la elección del centro al padre con el respeto a la preferencia por la enseñanza laica de la madre. Considera la fiscal que las alegaciones realizadas por la madre en relación con el ideario del centro no han sido suficientemente acreditadas porque no consta que la menor haya participado en ningún acto de culto, oración o cualquier otro que tenga la virtualidad de contrariar su opción de que no reciba formación religiosa en el centro de enseñanza. Además, el derecho de la demandante a la formación espiritual y moral de su hija menor no se agota con la elección del centro, sino que queda incólume su libertad de formar a su hija en los valores que estime acordes con sus convicciones fuera del horario escolar, al igual que se ha considerado para el padre en la primera de las resoluciones recurridas. Concluye sus alegaciones indicando que, cuando la menor vaya adquiriendo las condiciones de madurez necesarias, debe poder optar por sí misma en cuanto titular del derecho fundamental a la libertad de creencias.</w:t>
      </w:r>
    </w:p>
    <w:p w14:paraId="0E1ACE0C" w14:textId="77777777" w:rsidR="009D7677" w:rsidRDefault="009D7677" w:rsidP="009D7677">
      <w:pPr>
        <w:pStyle w:val="TextoNormal"/>
      </w:pPr>
    </w:p>
    <w:p w14:paraId="265599F1" w14:textId="3CFF710B" w:rsidR="009D7677" w:rsidRDefault="009D7677" w:rsidP="009D7677">
      <w:pPr>
        <w:pStyle w:val="TextoNormal"/>
      </w:pPr>
      <w:r w:rsidRPr="009D7677">
        <w:rPr>
          <w:rStyle w:val="NumeroAFNegritaCaracter"/>
        </w:rPr>
        <w:t>10</w:t>
      </w:r>
      <w:r>
        <w:t>. Por providencia de 15 de enero de 2024, la Sala Segunda del Tribunal Constitucional acordó proponer la avocación por el Pleno del recurso de amparo de conformidad con el art. 10.1 n) LOTC.</w:t>
      </w:r>
    </w:p>
    <w:p w14:paraId="5D56A14C" w14:textId="77777777" w:rsidR="009D7677" w:rsidRDefault="009D7677" w:rsidP="009D7677">
      <w:pPr>
        <w:pStyle w:val="TextoNormal"/>
      </w:pPr>
    </w:p>
    <w:p w14:paraId="699F16A7" w14:textId="1734F8BC" w:rsidR="009D7677" w:rsidRDefault="009D7677" w:rsidP="009D7677">
      <w:pPr>
        <w:pStyle w:val="TextoNormal"/>
      </w:pPr>
      <w:r w:rsidRPr="009D7677">
        <w:rPr>
          <w:rStyle w:val="NumeroAFNegritaCaracter"/>
        </w:rPr>
        <w:t>11</w:t>
      </w:r>
      <w:r>
        <w:t>. El Pleno, por providencia de 30 de enero de 2024, de conformidad con lo establecido en el art. 10.1 n) LOTC, a propuesta de la Sala Segunda, acordó recabar para sí el conocimiento del presente recurso de amparo.</w:t>
      </w:r>
    </w:p>
    <w:p w14:paraId="67E000AD" w14:textId="77777777" w:rsidR="009D7677" w:rsidRDefault="009D7677" w:rsidP="009D7677">
      <w:pPr>
        <w:pStyle w:val="TextoNormal"/>
      </w:pPr>
    </w:p>
    <w:p w14:paraId="292AB7FB" w14:textId="66E0E49C" w:rsidR="009D7677" w:rsidRDefault="009D7677" w:rsidP="009D7677">
      <w:pPr>
        <w:pStyle w:val="TextoNormal"/>
      </w:pPr>
      <w:r w:rsidRPr="009D7677">
        <w:rPr>
          <w:rStyle w:val="NumeroAFNegritaCaracter"/>
        </w:rPr>
        <w:t>12</w:t>
      </w:r>
      <w:r>
        <w:t>. Por providencia de 13 de febrero de 2024 se señaló para deliberación y votación de la presente sentencia el día 14 del mismo mes y año.</w:t>
      </w:r>
    </w:p>
    <w:p w14:paraId="445EF728" w14:textId="77777777" w:rsidR="009D7677" w:rsidRDefault="009D7677" w:rsidP="009D7677">
      <w:pPr>
        <w:pStyle w:val="TextoNormal"/>
      </w:pPr>
    </w:p>
    <w:p w14:paraId="720B2F2E" w14:textId="77777777" w:rsidR="009D7677" w:rsidRDefault="009D7677" w:rsidP="009D7677">
      <w:pPr>
        <w:pStyle w:val="TextoNormalNegritaCentrado"/>
        <w:keepNext/>
      </w:pPr>
      <w:r>
        <w:t>II. Fundamentos jurídicos</w:t>
      </w:r>
    </w:p>
    <w:p w14:paraId="50A3B88C" w14:textId="33EBA44F" w:rsidR="009D7677" w:rsidRDefault="009D7677" w:rsidP="009D7677">
      <w:pPr>
        <w:pStyle w:val="TextoNormalNegritaCentrado"/>
        <w:keepNext/>
      </w:pPr>
    </w:p>
    <w:p w14:paraId="0AD5C513" w14:textId="77777777" w:rsidR="009D7677" w:rsidRDefault="009D7677" w:rsidP="009D7677">
      <w:pPr>
        <w:pStyle w:val="TextoNormal"/>
      </w:pPr>
      <w:r w:rsidRPr="009D7677">
        <w:rPr>
          <w:rStyle w:val="NumeroAFNegritaCaracter"/>
        </w:rPr>
        <w:t>1</w:t>
      </w:r>
      <w:r>
        <w:t xml:space="preserve">. </w:t>
      </w:r>
      <w:r w:rsidRPr="009D7677">
        <w:rPr>
          <w:i/>
        </w:rPr>
        <w:t>Objeto del recurso de amparo y posiciones de las partes</w:t>
      </w:r>
    </w:p>
    <w:p w14:paraId="0E983AFD" w14:textId="77777777" w:rsidR="009D7677" w:rsidRDefault="009D7677" w:rsidP="009D7677">
      <w:pPr>
        <w:pStyle w:val="TextoNormal"/>
      </w:pPr>
    </w:p>
    <w:p w14:paraId="3670BD87" w14:textId="77777777" w:rsidR="009D7677" w:rsidRDefault="009D7677" w:rsidP="009D7677">
      <w:pPr>
        <w:pStyle w:val="TextoNormal"/>
      </w:pPr>
      <w:r>
        <w:t>El recurso de amparo tiene por objeto el auto de 23 de julio de 2019 del Juzgado de Primera Instancia núm. 15 de Barcelona —dictado en procedimiento de intervención judicial por desacuerdo en el ejercicio de la patria potestad núm. 355-2019— por el que se atribuye a don D.H.R., la facultad de elección del centro escolar de la hija menor común de ambos litigantes (colegio concertado religioso) permitiendo a la madre decidir que la hija se inscriba en la asignatura alternativa a la de religión católica. También es objeto del recurso de amparo el auto de 21 de mayo de 2021 de la Sección Decimosegunda de la Audiencia Provincial de Barcelona en el recurso de apelación núm. 1-2020, confirmatorio del anterior.</w:t>
      </w:r>
    </w:p>
    <w:p w14:paraId="5B18E5B4" w14:textId="77777777" w:rsidR="009D7677" w:rsidRDefault="009D7677" w:rsidP="009D7677">
      <w:pPr>
        <w:pStyle w:val="TextoNormal"/>
      </w:pPr>
    </w:p>
    <w:p w14:paraId="2D8E9497" w14:textId="77777777" w:rsidR="009D7677" w:rsidRDefault="009D7677" w:rsidP="009D7677">
      <w:pPr>
        <w:pStyle w:val="TextoNormal"/>
      </w:pPr>
      <w:r>
        <w:t>La recurrente alega que las resoluciones judiciales han vulnerado su derecho fundamental a la libertad religiosa (art. 16.1 CE) en relación con el derecho, como madre, a que su hija reciba la formación religiosa y moral acorde con sus propias convicciones (art. 27.3 CE). Sostiene que las decisiones judiciales han soslayado sus derechos fundamentales y el interés superior del menor —o lo han identificado con otras circunstancias ajenas a los derechos fundamentales en conflicto— ya que el centro docente propuesto por el padre tiene un proyecto educativo en el que la religión y moral católica impregnan todas sus actividades, resultando por ello indiferente que la menor curse una asignatura alternativa a la de religión católica.</w:t>
      </w:r>
    </w:p>
    <w:p w14:paraId="2B57F2A3" w14:textId="77777777" w:rsidR="009D7677" w:rsidRDefault="009D7677" w:rsidP="009D7677">
      <w:pPr>
        <w:pStyle w:val="TextoNormal"/>
      </w:pPr>
    </w:p>
    <w:p w14:paraId="59CE1BD5" w14:textId="77777777" w:rsidR="009D7677" w:rsidRDefault="009D7677" w:rsidP="009D7677">
      <w:pPr>
        <w:pStyle w:val="TextoNormal"/>
      </w:pPr>
      <w:r>
        <w:t>El padre niega que la religión impregne todos los aspectos del colegio, pues la única actividad religiosa en horario escolar es la asignatura de religión católica, que la menor no está cursando; y considera que la decisión de que la hija no curse la asignatura de religión prioriza el derecho de la madre, vulnerando el derecho a la libertad religiosa del padre y su derecho a educar a su hija conforme a sus creencias religiosas. Estas quejas quedan fuera del ámbito de este enjuiciamiento que se ha de ceñir al objeto del recurso de amparo presentado por la madre.</w:t>
      </w:r>
    </w:p>
    <w:p w14:paraId="749084EC" w14:textId="77777777" w:rsidR="009D7677" w:rsidRDefault="009D7677" w:rsidP="009D7677">
      <w:pPr>
        <w:pStyle w:val="TextoNormal"/>
      </w:pPr>
    </w:p>
    <w:p w14:paraId="5E2C2BC0" w14:textId="77777777" w:rsidR="009D7677" w:rsidRDefault="009D7677" w:rsidP="009D7677">
      <w:pPr>
        <w:pStyle w:val="TextoNormal"/>
      </w:pPr>
      <w:r>
        <w:t>Por su parte, la fiscal ha solicitado la desestimación del recurso de amparo en atención a que la decisión judicial se basa en el interés superior de la menor, titular del derecho a la libertad religiosa, que debe modularse en atención a su edad. Y habida cuenta que el derecho de la madre a la formación espiritual y moral de su hija menor no se agota en la elección del centro, ya que fuera del horario escolar, se mantiene su libertad de formar a su hija en los valores que estime acordes con sus convicciones.</w:t>
      </w:r>
    </w:p>
    <w:p w14:paraId="48011BC3" w14:textId="77777777" w:rsidR="009D7677" w:rsidRDefault="009D7677" w:rsidP="009D7677">
      <w:pPr>
        <w:pStyle w:val="TextoNormal"/>
      </w:pPr>
    </w:p>
    <w:p w14:paraId="25A820D4" w14:textId="77777777" w:rsidR="009D7677" w:rsidRDefault="009D7677" w:rsidP="009D7677">
      <w:pPr>
        <w:pStyle w:val="TextoNormal"/>
      </w:pPr>
      <w:r>
        <w:lastRenderedPageBreak/>
        <w:t>La cuestión constitucional que ha de resolver el tribunal consiste en determinar si el órgano judicial ha realizado correctamente la ponderación de los intereses en conflicto en una materia que afecta a derechos fundamentales sustantivos, teniendo en cuenta el interés superior de la menor.</w:t>
      </w:r>
    </w:p>
    <w:p w14:paraId="26257B06" w14:textId="77777777" w:rsidR="009D7677" w:rsidRDefault="009D7677" w:rsidP="009D7677">
      <w:pPr>
        <w:pStyle w:val="TextoNormal"/>
      </w:pPr>
    </w:p>
    <w:p w14:paraId="17916F17" w14:textId="30CDD76E" w:rsidR="009D7677" w:rsidRDefault="009D7677" w:rsidP="009D7677">
      <w:pPr>
        <w:pStyle w:val="TextoNormal"/>
      </w:pPr>
      <w:r>
        <w:t>Dado que los hechos a los que se refiere este recurso de amparo hacen referencia a una persona menor de edad, y con ánimo de preservar su intimidad, la presente sentencia no incluye la identificación completa de esta ni la de sus parientes inmediatos que aparecen mencionados en las actuaciones, por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 27 de julio de 2015).</w:t>
      </w:r>
    </w:p>
    <w:p w14:paraId="7E7D202A" w14:textId="77777777" w:rsidR="009D7677" w:rsidRDefault="009D7677" w:rsidP="009D7677">
      <w:pPr>
        <w:pStyle w:val="TextoNormal"/>
      </w:pPr>
    </w:p>
    <w:p w14:paraId="5F7C822F" w14:textId="77777777" w:rsidR="009D7677" w:rsidRDefault="009D7677" w:rsidP="009D7677">
      <w:pPr>
        <w:pStyle w:val="TextoNormal"/>
      </w:pPr>
      <w:r w:rsidRPr="009D7677">
        <w:rPr>
          <w:rStyle w:val="NumeroAFNegritaCaracter"/>
        </w:rPr>
        <w:t>2</w:t>
      </w:r>
      <w:r>
        <w:t xml:space="preserve">. </w:t>
      </w:r>
      <w:r w:rsidRPr="009D7677">
        <w:rPr>
          <w:i/>
        </w:rPr>
        <w:t>Doctrina constitucional sobre el derecho fundamental a la libertad religiosa (art. 16.1 CE) y sobre el derecho de los padres a que sus hijos reciban la formación religiosa y moral que esté de acuerdo con sus propias convicciones (art. 27.3 CE)</w:t>
      </w:r>
    </w:p>
    <w:p w14:paraId="4CCEF133" w14:textId="77777777" w:rsidR="009D7677" w:rsidRDefault="009D7677" w:rsidP="009D7677">
      <w:pPr>
        <w:pStyle w:val="TextoNormal"/>
      </w:pPr>
    </w:p>
    <w:p w14:paraId="636F2F5B" w14:textId="77777777" w:rsidR="009D7677" w:rsidRDefault="009D7677" w:rsidP="009D7677">
      <w:pPr>
        <w:pStyle w:val="TextoNormal"/>
      </w:pPr>
      <w:r>
        <w:t>La recurrente alega la vulneración de dos derechos fundamentales estrechamente conectados: el derecho a la libertad religiosa y el derecho de los padres a que sus hijos e hijas reciban la formación religiosa y moral que esté de acuerdo con sus propias convicciones. Este segundo derecho fundamental puede entenderse como una proyección del primero; no obstante, aunque el art. 27.3 CE presenta mayor especificidad respecto de la cuestión constitucional planteada, un adecuado enfoque exige partir del marco general del derecho fundamental a la libertad religiosa reconocido en el art. 16.1 CE.</w:t>
      </w:r>
    </w:p>
    <w:p w14:paraId="20B5BCDC" w14:textId="77777777" w:rsidR="009D7677" w:rsidRDefault="009D7677" w:rsidP="009D7677">
      <w:pPr>
        <w:pStyle w:val="TextoNormal"/>
      </w:pPr>
    </w:p>
    <w:p w14:paraId="62973E72" w14:textId="77777777" w:rsidR="009D7677" w:rsidRDefault="009D7677" w:rsidP="009D7677">
      <w:pPr>
        <w:pStyle w:val="TextoNormal"/>
      </w:pPr>
      <w:r>
        <w:t>a) El derecho a la libertad religiosa (art. 16.1 CE)</w:t>
      </w:r>
    </w:p>
    <w:p w14:paraId="3DBBE4D5" w14:textId="77777777" w:rsidR="009D7677" w:rsidRDefault="009D7677" w:rsidP="009D7677">
      <w:pPr>
        <w:pStyle w:val="TextoNormal"/>
      </w:pPr>
    </w:p>
    <w:p w14:paraId="52510ED2" w14:textId="77777777" w:rsidR="009D7677" w:rsidRDefault="009D7677" w:rsidP="009D7677">
      <w:pPr>
        <w:pStyle w:val="TextoNormal"/>
      </w:pPr>
      <w:r>
        <w:t>Como punto de partida, debemos recordar que el derecho a la libertad religiosa presenta una dimensión objetiva que comporta una doble exigencia: la neutralidad de los poderes públicos, ínsita en la aconfesionalidad del Estado; y el mantenimiento de relaciones de cooperación de los poderes públicos con las diversas iglesias [SSTC 46/2001, de 15 de febrero, FJ 4; 128/2001, de 4 de junio, FJ 2; 154/2002, de 18 de julio, FJ 6; 101/2004, de 2 de junio, FJ 3; 34/2011, de 28 de marzo, FJ 3, y 203/2013 de 5 de diciembre, FJ 5 a)].</w:t>
      </w:r>
    </w:p>
    <w:p w14:paraId="78013ACA" w14:textId="77777777" w:rsidR="009D7677" w:rsidRDefault="009D7677" w:rsidP="009D7677">
      <w:pPr>
        <w:pStyle w:val="TextoNormal"/>
      </w:pPr>
    </w:p>
    <w:p w14:paraId="3E2AD900" w14:textId="77777777" w:rsidR="009D7677" w:rsidRDefault="009D7677" w:rsidP="009D7677">
      <w:pPr>
        <w:pStyle w:val="TextoNormal"/>
      </w:pPr>
      <w:r>
        <w:t xml:space="preserve">Pero el derecho a la libertad religiosa es también un derecho subjetivo de carácter fundamental que tiene, según nuestra doctrina reiterada, una dimensión interna y otra externa. Respecto de la primera, la libertad religiosa “garantiza la existencia de un claustro íntimo de creencias y, por tanto, un espacio de autodeterminación intelectual ante el fenómeno religioso, vinculado a la propia personalidad y dignidad individual”. Junto a esta dimensión interna, la libertad religiosa incluye una dimensión externa de </w:t>
      </w:r>
      <w:r w:rsidRPr="009D7677">
        <w:rPr>
          <w:i/>
        </w:rPr>
        <w:t>agere licere</w:t>
      </w:r>
      <w:r>
        <w:t xml:space="preserve"> que faculta a los ciudadanos para actuar con arreglo a sus propias convicciones y mantenerlas frente a terceros con plena inmunidad de coacción del Estado (SSTC 24/1982, de 13 de mayo, FJ 1; 166/1996, de 28 de octubre, FJ 2; 177/1997, de 11 de noviembre, FJ 9; 154/2002, de 18 de julio, FJ 6, y 34/2011, de 28 de marzo, FJ 3). Esta inmunidad se conecta con el art. 16.3 CE cuando dispone que “ninguna confesión tendrá carácter estatal”, estableciendo un principio de neutralidad de los poderes públicos en materia religiosa que “veda cualquier tipo de confusión entre funciones religiosas y estatales”, de acuerdo con el modelo de aconfesionalidad o laicidad positiva reconocido en el citado precepto constitucional </w:t>
      </w:r>
      <w:r>
        <w:lastRenderedPageBreak/>
        <w:t>(SSTC 24/1982, de 13 de mayo, FJ 1; 166/1996, de 28 de octubre, FJ 2; 177/1997, de 11 de noviembre, FJ 9; 46/2001, de 15 de febrero, FJ 4; 38/2007, de 15 de febrero, FJ 5, y 31/2018, de 10 de abril, FJ 3). Esta neutralidad en materia religiosa se configura como presupuesto para la convivencia pacífica entre las distintas convicciones religiosas existentes en una sociedad plural y democrática (art. 1.1 CE; STC 177/1997, de 11 de noviembre, FJ 9), y se proyecta sobre la posibilidad de ejercicio de aquellas actividades que constituyen manifestaciones o expresiones del fenómeno religioso, tales como las que se relacionan en el art. 2.1 de la Ley Orgánica 7/1980, de libertad religiosa, que incluye, entre otras, la enseñanza religiosa (SSTC 154/2002, de 18 de julio, FJ 6 y 101/2004, de 2 de junio, FJ 3).</w:t>
      </w:r>
    </w:p>
    <w:p w14:paraId="2F9F6303" w14:textId="77777777" w:rsidR="009D7677" w:rsidRDefault="009D7677" w:rsidP="009D7677">
      <w:pPr>
        <w:pStyle w:val="TextoNormal"/>
      </w:pPr>
    </w:p>
    <w:p w14:paraId="0F3A0762" w14:textId="77777777" w:rsidR="009D7677" w:rsidRDefault="009D7677" w:rsidP="009D7677">
      <w:pPr>
        <w:pStyle w:val="TextoNormal"/>
      </w:pPr>
      <w:r>
        <w:t xml:space="preserve">Por otra parte, como dijimos en la STS 141/2000, de 29 de mayo, FJ 4, el derecho que asiste al creyente de creer y conducirse personalmente conforme a sus convicciones no está sometido a más límites que los que le impone el respeto a los derechos fundamentales ajenos y otros bienes jurídicos protegidos constitucionalmente. El derecho a la libertad religiosa y libertad de creencias encuentra “su límite más evidente en esa misma libertad, en su manifestación negativa, esto es, en el derecho del tercero afectado a no creer o a no compartir o a no soportar los actos de proselitismo ajenos (SSTEDH de 25 de mayo de 1993, asunto </w:t>
      </w:r>
      <w:r w:rsidRPr="009D7677">
        <w:rPr>
          <w:i/>
        </w:rPr>
        <w:t>Kokkinakis</w:t>
      </w:r>
      <w:r>
        <w:t xml:space="preserve">, § 42 a 44 y 47; de 24 de febrero de 1998, asunto </w:t>
      </w:r>
      <w:r w:rsidRPr="009D7677">
        <w:rPr>
          <w:i/>
        </w:rPr>
        <w:t>Larissis</w:t>
      </w:r>
      <w:r>
        <w:t>, § 45 y 47)”.</w:t>
      </w:r>
    </w:p>
    <w:p w14:paraId="0B5DB0B2" w14:textId="77777777" w:rsidR="009D7677" w:rsidRDefault="009D7677" w:rsidP="009D7677">
      <w:pPr>
        <w:pStyle w:val="TextoNormal"/>
      </w:pPr>
    </w:p>
    <w:p w14:paraId="5540A2EA" w14:textId="77777777" w:rsidR="009D7677" w:rsidRDefault="009D7677" w:rsidP="009D7677">
      <w:pPr>
        <w:pStyle w:val="TextoNormal"/>
      </w:pPr>
      <w:r>
        <w:t>En la determinación del contenido y alcance del derecho fundamental a la libertad religiosa debemos tener presente, además, a efectos interpretativos y de conformidad con el art. 10.2 CE, lo dispuesto en la Declaración universal de derechos humanos y los tratados y acuerdos internacionales ratificados por España, resultando de utilidad la interpretación del art. 18.1 de la Declaración universal, plasmada por el Comité de derechos humanos de naciones unidas en el comentario general de 20 de julio de 1993; en el que se afirma que dicho precepto “protege las creencias teístas, no teístas y ateas, así como el derecho a no profesar ninguna religión o creencia; los términos creencia o religión deben entenderse en sentido amplio” (STC 46/2001, de 15 de febrero, FJ 4).</w:t>
      </w:r>
    </w:p>
    <w:p w14:paraId="1F459803" w14:textId="77777777" w:rsidR="009D7677" w:rsidRDefault="009D7677" w:rsidP="009D7677">
      <w:pPr>
        <w:pStyle w:val="TextoNormal"/>
      </w:pPr>
    </w:p>
    <w:p w14:paraId="61F0E799" w14:textId="77777777" w:rsidR="009D7677" w:rsidRDefault="009D7677" w:rsidP="009D7677">
      <w:pPr>
        <w:pStyle w:val="TextoNormal"/>
      </w:pPr>
      <w:r>
        <w:t>Hemos advertido, también, como consecuencia de la propia configuración constitucional que reconoce la libertad de creencias y de culto de los individuos y comunidades y al mismo tiempo la aconfesionalidad y neutralidad del Estado, que la aparición de conflictos jurídicos por razón de creencias religiosas ha dejado de ser inusual o extraña. La respuesta a estos conflictos solo puede darse desde un juicio ponderado que atienda a las necesidades de cada caso, estableciendo el alcance del derecho, que no es ilimitado o absoluto, a la vista de la incidencia que pueda tener su ejercicio sobre otros titulares de derechos y bienes constitucionalmente protegidos y sobre los elementos integrantes del orden público protegido por la ley que, conforme al art. 16.1 CE, limita sus manifestaciones (STC 154/2002, de 18 de julio, FJ 7).</w:t>
      </w:r>
    </w:p>
    <w:p w14:paraId="62AF6FE0" w14:textId="77777777" w:rsidR="009D7677" w:rsidRDefault="009D7677" w:rsidP="009D7677">
      <w:pPr>
        <w:pStyle w:val="TextoNormal"/>
      </w:pPr>
    </w:p>
    <w:p w14:paraId="619E3481" w14:textId="77777777" w:rsidR="009D7677" w:rsidRDefault="009D7677" w:rsidP="009D7677">
      <w:pPr>
        <w:pStyle w:val="TextoNormal"/>
      </w:pPr>
      <w:r>
        <w:t>Por último, como dijimos en la STC 154/2002, de 18 de julio, FJ 9 a), los menores de edad son titulares también del derecho a la libertad religiosa, de acuerdo con el genérico reconocimiento del art. 16.1 CE a los individuos y comunidades, y en consonancia con la Convención de derechos del niño, de 20 de noviembre de 1989, que expresamente lo reconoce en el art. 14.1, sin perjuicio de “los derechos y deberes de los padres y, en su caso de los representantes legales, de guiar al niño en el ejercicio de su derecho de modo con</w:t>
      </w:r>
      <w:r>
        <w:lastRenderedPageBreak/>
        <w:t>forme a la evolución de sus facultades” (art. 14.2). Esta libertad religiosa queda sujeta “únicamente a las limitaciones prescritas por la ley que sean necesarias para proteger la seguridad, el orden, la moral o la salud públicos o los derechos y libertades fundamentales de los demás” (art. 14.3). En términos análogos se reconoce el derecho de libertad religiosa de los menores en el art. 6 de la Ley Orgánica 1/1996, de 15 de enero, de protección jurídica del menor.</w:t>
      </w:r>
    </w:p>
    <w:p w14:paraId="7D04B581" w14:textId="77777777" w:rsidR="009D7677" w:rsidRDefault="009D7677" w:rsidP="009D7677">
      <w:pPr>
        <w:pStyle w:val="TextoNormal"/>
      </w:pPr>
    </w:p>
    <w:p w14:paraId="7FDB258E" w14:textId="77777777" w:rsidR="009D7677" w:rsidRDefault="009D7677" w:rsidP="009D7677">
      <w:pPr>
        <w:pStyle w:val="TextoNormal"/>
      </w:pPr>
      <w:r>
        <w:t>b) El derecho de los padres para que sus hijos reciban la formación religiosa y moral que esté de acuerdo con sus propias convicciones (art. 27.3 CE)</w:t>
      </w:r>
    </w:p>
    <w:p w14:paraId="528791CA" w14:textId="77777777" w:rsidR="009D7677" w:rsidRDefault="009D7677" w:rsidP="009D7677">
      <w:pPr>
        <w:pStyle w:val="TextoNormal"/>
      </w:pPr>
    </w:p>
    <w:p w14:paraId="666B4AEC" w14:textId="77777777" w:rsidR="009D7677" w:rsidRDefault="009D7677" w:rsidP="009D7677">
      <w:pPr>
        <w:pStyle w:val="TextoNormal"/>
      </w:pPr>
      <w:r>
        <w:t>Este derecho fundamental tiene una proyección en el ámbito internacional que no se limita al citado art. 2 del Protocolo núm. 1 del CEDH, sino que guarda conexión también con el art. 13.1 del Pacto internacional de derechos económicos, sociales y culturales; el art. 18.4 del Pacto internacional de derechos civiles y políticos; y el art. 14 de la Carta de los derechos fundamentales de la Unión Europea.</w:t>
      </w:r>
    </w:p>
    <w:p w14:paraId="7C844D7B" w14:textId="77777777" w:rsidR="009D7677" w:rsidRDefault="009D7677" w:rsidP="009D7677">
      <w:pPr>
        <w:pStyle w:val="TextoNormal"/>
      </w:pPr>
    </w:p>
    <w:p w14:paraId="5C46BC48" w14:textId="77777777" w:rsidR="009D7677" w:rsidRDefault="009D7677" w:rsidP="009D7677">
      <w:pPr>
        <w:pStyle w:val="TextoNormal"/>
      </w:pPr>
      <w:r>
        <w:t>Sin perder de vista la neutralidad estatal en materia religiosa a la que nos hemos referido en el apartado anterior, el derecho reconocido en el art. 27.3 CE encuentra un cauce de realización a través de la inserción de la enseñanza de la religión en el sistema educativo, que, como hemos dicho de manera reiterada, “solo puede ser, evidentemente, en régimen de seguimiento libre” [SSTC 5/1981, de 13 de febrero, FJ 9; 38/2007, de 15 de febrero, FJ 5, y 128/2007, de 4 de junio, FJ 5 a)].</w:t>
      </w:r>
    </w:p>
    <w:p w14:paraId="65427BF4" w14:textId="77777777" w:rsidR="009D7677" w:rsidRDefault="009D7677" w:rsidP="009D7677">
      <w:pPr>
        <w:pStyle w:val="TextoNormal"/>
      </w:pPr>
    </w:p>
    <w:p w14:paraId="2E6CCDAF" w14:textId="77777777" w:rsidR="009D7677" w:rsidRDefault="009D7677" w:rsidP="009D7677">
      <w:pPr>
        <w:pStyle w:val="TextoNormal"/>
      </w:pPr>
      <w:r>
        <w:t>Sin embargo, más allá de esta idea, también hemos reconocido que la libertad de enseñanza consagrada en el art. 27.1 CE implica el derecho a crear instituciones educativas (art. 27.6 CE) y el derecho de los padres a elegir la formación religiosa y moral que desean para sus hijos (art. 27.3 CE; STC 5/1981, de 13 de febrero, FJ 7). Y el derecho reconocido en el art. 27.3 CE guarda estrecha relación también con el derecho a escoger centro docente, que se deriva de lo dispuesto en el art. 27.1 CE, como capacidad de optar entre los diversos centros existentes, sean públicos o privados —aunque, naturalmente, el acceso efectivo al elegido dependerá de si se satisfacen o no los requisitos establecidos en el procedimiento de admisión de alumnos— porque el ejercicio de la facultad de escoger centro docente constituye “un modo de elegir una determinada formación religiosa y moral” (STC 5/1981, de 13 de febrero, FJ 8, y ATC 382/1996, de 18 de diciembre, FJ 4). De manera que la determinación por parte de los padres del tipo de educación que han de recibir sus hijos se limita a la libertad de elección del centro docente y al derecho a que sus hijos reciban una formación religiosa y moral que esté de acuerdo con sus propias convicciones [SSTC 133/2010, de 2 de diciembre, FJ 5 b), y 74/2018, de 5 de julio, FJ 4 a)], guardando ambos derechos una estrecha relación cuando la elección del centro docente constituya un modo de elegir una determinada formación religiosa y moral.</w:t>
      </w:r>
    </w:p>
    <w:p w14:paraId="7B4EB990" w14:textId="77777777" w:rsidR="009D7677" w:rsidRDefault="009D7677" w:rsidP="009D7677">
      <w:pPr>
        <w:pStyle w:val="TextoNormal"/>
      </w:pPr>
    </w:p>
    <w:p w14:paraId="49901814" w14:textId="77777777" w:rsidR="009D7677" w:rsidRDefault="009D7677" w:rsidP="009D7677">
      <w:pPr>
        <w:pStyle w:val="TextoNormal"/>
      </w:pPr>
      <w:r>
        <w:t xml:space="preserve">Por otra parte, el Tribunal ha reconocido la vinculación del art. 27.2 CE con la libertad de creación de centros docentes, de la que deriva el derecho al ideario o carácter propio de aquellos centros que no son de titularidad pública (STC 31/2018, de 10 de abril, FJ 3). Y el ideario puede considerarse en buena medida como punto de convergencia que posibilita el ejercicio del derecho de creación de centros y el derecho de los padres a elegir el tipo de educación que desean para sus hijos, poniendo en conexión oferta y demanda educativa (STC 31/2018, FJ 4). Este derecho de los titulares de centros privados a establecer un </w:t>
      </w:r>
      <w:r>
        <w:lastRenderedPageBreak/>
        <w:t>ideario propio dentro de los límites establecidos en el art. 27.2 CE forma parte de la libertad de creación de centros en cuanto equivale a la posibilidad de dotarlos de un carácter u orientación propios. Y esta especificidad explica la garantía constitucional de creación de centros docentes pues, en otro caso, no sería más que una concreción del principio de libertad de empresa, también reconocido en la Constitución (SSTC 5/1981, FJ 8, y 31/2018, FJ 4).</w:t>
      </w:r>
    </w:p>
    <w:p w14:paraId="5453FC75" w14:textId="77777777" w:rsidR="009D7677" w:rsidRDefault="009D7677" w:rsidP="009D7677">
      <w:pPr>
        <w:pStyle w:val="TextoNormal"/>
      </w:pPr>
    </w:p>
    <w:p w14:paraId="47057266" w14:textId="77777777" w:rsidR="009D7677" w:rsidRDefault="009D7677" w:rsidP="009D7677">
      <w:pPr>
        <w:pStyle w:val="TextoNormal"/>
      </w:pPr>
      <w:r>
        <w:t>En definitiva, como indicamos en la STC 31/2018, FJ 4, el derecho a establecer un ideario propio de los centros docentes aúna dos perspectivas: por un lado, es una faceta del derecho a crear centros docentes y, por otro lado, conecta con el derecho de los padres a elegir el tipo de formación religiosa y moral que desean para sus hijos, aunque entre ambos no existe una relación de instrumentalidad necesaria, pero sí hay “una indudable interacción” entre ellos. El derecho reconocido en el art. 27.3 CE es distinto del derecho a elegir centro docente reconocido en el art. 13.3 del Pacto internacional de derechos económicos, sociales y culturales, aunque resulta obvio que la elección del centro docente es un modo de elegir una determinada formación religiosa y moral, y aunque no hay identidad entre ambos derechos, la conexión entre ellos es indudable. El ideario educativo propio de cada centro, además, no está limitado a los aspectos religiosos y morales de la actividad educativa, sino que puede extenderse a los distintos aspectos de su actividad (STC 5/1981, FJ 8).</w:t>
      </w:r>
    </w:p>
    <w:p w14:paraId="761AF36C" w14:textId="77777777" w:rsidR="009D7677" w:rsidRDefault="009D7677" w:rsidP="009D7677">
      <w:pPr>
        <w:pStyle w:val="TextoNormal"/>
      </w:pPr>
    </w:p>
    <w:p w14:paraId="5CA87C10" w14:textId="795974BA" w:rsidR="009D7677" w:rsidRDefault="009D7677" w:rsidP="009D7677">
      <w:pPr>
        <w:pStyle w:val="TextoNormal"/>
      </w:pPr>
      <w:r>
        <w:t>Pero también hemos indicado [STC 74/2018, de 5 de julio, FJ 4 a)] que los derechos a crear instituciones educativas y a elegir el centro docente y la formación religiosa o moral de los hijos (art. 27.1, 3 y 6 CE) admite, como todo derecho fundamental, restricciones que respondan a un fin constitucionalmente legítimo y que sean necesarias y adecuadas para alcanzar dicho objetivo; es decir, restricciones que se ajusten al canon de proporcionalidad resultante de las normas constitucionales de protección de derechos fundamentales sustantivos conforme al triple juicio de adecuación, necesidad y proporcionalidad en sentido estricto o ponderación de beneficios y perjuicios.</w:t>
      </w:r>
    </w:p>
    <w:p w14:paraId="64AD9AC0" w14:textId="77777777" w:rsidR="009D7677" w:rsidRDefault="009D7677" w:rsidP="009D7677">
      <w:pPr>
        <w:pStyle w:val="TextoNormal"/>
      </w:pPr>
    </w:p>
    <w:p w14:paraId="4693D1DA" w14:textId="77777777" w:rsidR="009D7677" w:rsidRDefault="009D7677" w:rsidP="009D7677">
      <w:pPr>
        <w:pStyle w:val="TextoNormal"/>
      </w:pPr>
      <w:r w:rsidRPr="009D7677">
        <w:rPr>
          <w:rStyle w:val="NumeroAFNegritaCaracter"/>
        </w:rPr>
        <w:t>3</w:t>
      </w:r>
      <w:r>
        <w:t xml:space="preserve">. </w:t>
      </w:r>
      <w:r w:rsidRPr="009D7677">
        <w:rPr>
          <w:i/>
        </w:rPr>
        <w:t>La jurisprudencia del Tribunal Europeo de Derechos Humanos sobre el derecho de los padres a asegurar la enseñanza de sus hijos conforme a sus convicciones religiosas y filosóficas (art. 2 del Protocolo núm. 1 del CEDH)</w:t>
      </w:r>
    </w:p>
    <w:p w14:paraId="396935A5" w14:textId="77777777" w:rsidR="009D7677" w:rsidRDefault="009D7677" w:rsidP="009D7677">
      <w:pPr>
        <w:pStyle w:val="TextoNormal"/>
      </w:pPr>
    </w:p>
    <w:p w14:paraId="2D3B62B2" w14:textId="77777777" w:rsidR="009D7677" w:rsidRDefault="009D7677" w:rsidP="009D7677">
      <w:pPr>
        <w:pStyle w:val="TextoNormal"/>
      </w:pPr>
      <w:r>
        <w:t>El Tribunal Europeo de Derechos Humanos ha tenido ocasión de pronunciarse en varias ocasiones a propósito del derecho reconocido en el art. 2 del Protocolo núm. 1 del Convenio, conforme al cual, el Estado, en el ejercicio de las funciones que asuma en el campo de la educación y de la enseñanza, respetará el derecho de los padres a asegurar esta educación y esta enseñanza conforme a sus convicciones religiosas y filosóficas.</w:t>
      </w:r>
    </w:p>
    <w:p w14:paraId="4F59C689" w14:textId="77777777" w:rsidR="009D7677" w:rsidRDefault="009D7677" w:rsidP="009D7677">
      <w:pPr>
        <w:pStyle w:val="TextoNormal"/>
      </w:pPr>
    </w:p>
    <w:p w14:paraId="6B8C6C11" w14:textId="77777777" w:rsidR="009D7677" w:rsidRDefault="009D7677" w:rsidP="009D7677">
      <w:pPr>
        <w:pStyle w:val="TextoNormal"/>
      </w:pPr>
      <w:r>
        <w:t xml:space="preserve">En la STEDH de 29 de junio de 2007, asunto </w:t>
      </w:r>
      <w:r w:rsidRPr="009D7677">
        <w:rPr>
          <w:i/>
        </w:rPr>
        <w:t>Folgerø y otros c. Noruega</w:t>
      </w:r>
      <w:r>
        <w:t xml:space="preserve">, se abordó la cuestión relativa a la enseñanza de religión en colegios públicos y señaló que el art. 2 del Protocolo núm. 1 del Convenio no distingue entre educación estatal y privada, y es una norma que pretende salvaguardar el pluralismo en la educación, lo que resulta esencial para preservar la “sociedad democrática” tal y como se concibe en el Convenio. La norma, por otra parte, no permite distinguir entre la enseñanza de religión y otras asignaturas. Corresponde al Estado respetar las convicciones de los padres, sean religiosas o filosóficas, a través de todo el programa educativo estatal. Esta obligación es amplia en su extensión, al </w:t>
      </w:r>
      <w:r>
        <w:lastRenderedPageBreak/>
        <w:t>aplicarse no solo al contenido de la educación y la manera en que se proporciona, sino también al cumplimiento de todas las “funciones” asumidas por el Estado. El deber del Estado de “respetar” el derecho de los padres va más allá de reconocerlo o tenerlo cuenta. Y así, además de una garantía negativa, implica una obligación positiva del Estado. Y las “convicciones” de los padres no se refieren a las meras opiniones o ideas, sino que comporta una visión que alcanza cierto nivel de convencimiento, seriedad, cohesión e importancia. En relación con la educación, el Estado tiene la obligación de que la información o conocimiento suministrado se transmita de forma objetiva, crítica y pluralista, estando prohibido el adoctrinamiento, que puede no respetar las convicciones religiosas y filosóficas de los padres. Tal límite no se puede traspasar [§ 84 b), c) y h)].</w:t>
      </w:r>
    </w:p>
    <w:p w14:paraId="6E7D8EE1" w14:textId="77777777" w:rsidR="009D7677" w:rsidRDefault="009D7677" w:rsidP="009D7677">
      <w:pPr>
        <w:pStyle w:val="TextoNormal"/>
      </w:pPr>
    </w:p>
    <w:p w14:paraId="40273EC4" w14:textId="77777777" w:rsidR="009D7677" w:rsidRDefault="009D7677" w:rsidP="009D7677">
      <w:pPr>
        <w:pStyle w:val="TextoNormal"/>
      </w:pPr>
      <w:r>
        <w:t xml:space="preserve">Posteriormente, en la sentencia de 18 de marzo de 2011, asunto </w:t>
      </w:r>
      <w:r w:rsidRPr="009D7677">
        <w:rPr>
          <w:i/>
        </w:rPr>
        <w:t>Lautsi y otros c. Italia</w:t>
      </w:r>
      <w:r>
        <w:t>, el Tribunal Europeo de Derechos Humanos se pronunció sobre la presencia de un crucifijo en el aula de una escuela pública, que los recurrentes consideraban contrario al principio de secularismo. El tribunal recuerda en esta sentencia el papel de imparcialidad del Estado y, así, aunque no está impedida la enseñanza de la religión, debe hacerse de forma objetiva y sin fines de adoctrinamiento. Concretamente, indica, respecto del art. 2 del Protocolo núm. 1 del Convenio, que debe leerse a la luz del art. 9 CEDH, en el que se garantiza la libertad de pensamiento, conciencia y religión, incluida la libertad de no pertenecer a una religión, y que impone a los Estados parte un “deber de neutralidad e imparcialidad”. Los Estados tienen la responsabilidad de asegurar, de manera neutral e imparcial, el ejercicio de varias religiones, fes y creencias. Su papel consiste en contribuir a mantener el orden público, la armonía religiosa y la tolerancia en una sociedad democrática, particularmente entre grupos contrapuestos. Esto alcanza tanto a las relaciones entre creyentes y no creyentes como a las relaciones entre personas pertenecientes a diversas religiones, fes y creencias (§ 60).</w:t>
      </w:r>
    </w:p>
    <w:p w14:paraId="54F2B761" w14:textId="77777777" w:rsidR="009D7677" w:rsidRDefault="009D7677" w:rsidP="009D7677">
      <w:pPr>
        <w:pStyle w:val="TextoNormal"/>
      </w:pPr>
    </w:p>
    <w:p w14:paraId="44C653AD" w14:textId="77777777" w:rsidR="009D7677" w:rsidRDefault="009D7677" w:rsidP="009D7677">
      <w:pPr>
        <w:pStyle w:val="TextoNormal"/>
      </w:pPr>
      <w:r>
        <w:t xml:space="preserve">Declara, además, que art. 2 del Protocolo núm. 1 del Convenio persigue salvaguardar la posibilidad del pluralismo en la educación, que es esencial para preservar la “sociedad democrática” como se concibe en el Convenio. Y aunque no se prohíbe a los Estados parte impartir mediante la enseñanza o la educación información o conocimiento de carácter directa o indirectamente religioso o filosófico, debe procurarse que esta información o conocimiento se transmita de manera objetiva, crítica y plural, permitiendo a los alumnos desarrollar una opinión crítica particularmente con relación a la religión en una atmósfera en calma, libre de proselitismo. Está prohibido que el Estado persiga un fin de adoctrinamiento que pueda considerarse como no respetuoso con las convicciones religiosas y filosóficas de los padres. Este es el límite que los Estados no pueden traspasar (§ 62). Esta doctrina jurisprudencial se reitera en la STEDH de 20 de octubre de 2020, asunto </w:t>
      </w:r>
      <w:r w:rsidRPr="009D7677">
        <w:rPr>
          <w:i/>
        </w:rPr>
        <w:t>Perovy c. Rusia</w:t>
      </w:r>
      <w:r>
        <w:t>.</w:t>
      </w:r>
    </w:p>
    <w:p w14:paraId="111830B1" w14:textId="77777777" w:rsidR="009D7677" w:rsidRDefault="009D7677" w:rsidP="009D7677">
      <w:pPr>
        <w:pStyle w:val="TextoNormal"/>
      </w:pPr>
    </w:p>
    <w:p w14:paraId="47C47286" w14:textId="0C8DF72D" w:rsidR="009D7677" w:rsidRDefault="009D7677" w:rsidP="009D7677">
      <w:pPr>
        <w:pStyle w:val="TextoNormal"/>
      </w:pPr>
      <w:r>
        <w:t xml:space="preserve">Más recientemente, la sentencia de 19 de mayo de 2022, asunto </w:t>
      </w:r>
      <w:r w:rsidRPr="009D7677">
        <w:rPr>
          <w:i/>
        </w:rPr>
        <w:t>T.C., c. Italia</w:t>
      </w:r>
      <w:r>
        <w:t xml:space="preserve">, el Tribunal Europeo de Derechos Humanos se ha pronunciado sobre un caso en el que había una discrepancia entre los progenitores sobre la formación religiosa de su hija. Indica el tribunal que, en este caso, debe tenerse en cuenta con carácter prioritario el interés superior de la menor, lo que implica conciliar las opciones educativas de cada padre e intentar establecer un equilibrio satisfactorio entre las concepciones individuales de cada progenitor, evitando juicios de valor y, cuando sea necesario, establecer unas mínimas reglas en las prácticas religiosas personales (§ 42). El interés superior del menor descansa en primer lugar </w:t>
      </w:r>
      <w:r>
        <w:lastRenderedPageBreak/>
        <w:t>en la necesidad de mantener y promover su desarrollo en un ambiente abierto y pacífico, conciliando en la medida de lo posible los derechos y convicciones de cada progenitor (§ 44).</w:t>
      </w:r>
    </w:p>
    <w:p w14:paraId="4A528F9D" w14:textId="77777777" w:rsidR="009D7677" w:rsidRDefault="009D7677" w:rsidP="009D7677">
      <w:pPr>
        <w:pStyle w:val="TextoNormal"/>
      </w:pPr>
    </w:p>
    <w:p w14:paraId="54986D93" w14:textId="77777777" w:rsidR="009D7677" w:rsidRDefault="009D7677" w:rsidP="009D7677">
      <w:pPr>
        <w:pStyle w:val="TextoNormal"/>
      </w:pPr>
      <w:r w:rsidRPr="009D7677">
        <w:rPr>
          <w:rStyle w:val="NumeroAFNegritaCaracter"/>
        </w:rPr>
        <w:t>4</w:t>
      </w:r>
      <w:r>
        <w:t xml:space="preserve">. </w:t>
      </w:r>
      <w:r w:rsidRPr="009D7677">
        <w:rPr>
          <w:i/>
        </w:rPr>
        <w:t>El interés superior de las personas menores de edad en la jurisprudencia constitucional</w:t>
      </w:r>
    </w:p>
    <w:p w14:paraId="6B70ECA4" w14:textId="77777777" w:rsidR="009D7677" w:rsidRDefault="009D7677" w:rsidP="009D7677">
      <w:pPr>
        <w:pStyle w:val="TextoNormal"/>
      </w:pPr>
    </w:p>
    <w:p w14:paraId="6A70D965" w14:textId="77777777" w:rsidR="009D7677" w:rsidRDefault="009D7677" w:rsidP="009D7677">
      <w:pPr>
        <w:pStyle w:val="TextoNormal"/>
      </w:pPr>
      <w:r>
        <w:t>Son muy abundantes los pronunciamientos que hemos realizado en relación con la protección del interés superior de las personas menores de edad. De manera sintética expondremos las líneas generales de esta jurisprudencia.</w:t>
      </w:r>
    </w:p>
    <w:p w14:paraId="661E5918" w14:textId="77777777" w:rsidR="009D7677" w:rsidRDefault="009D7677" w:rsidP="009D7677">
      <w:pPr>
        <w:pStyle w:val="TextoNormal"/>
      </w:pPr>
    </w:p>
    <w:p w14:paraId="25FE86DF" w14:textId="77777777" w:rsidR="009D7677" w:rsidRDefault="009D7677" w:rsidP="009D7677">
      <w:pPr>
        <w:pStyle w:val="TextoNormal"/>
      </w:pPr>
      <w:r>
        <w:t>Establece el art. 39.4 CE: “Los niños gozarán de la protección prevista en los acuerdos internacionales que velan por sus derechos”. Entre estos acuerdos resalta la Convención sobre los derechos del niño, adoptada por la Asamblea General de las Naciones Unidas el 20 de noviembre de 1989, y cuyo art. 3.1 declara: “En todas las medidas concernientes a los niños que tomen las instituciones públicas o privadas de bienestar social, los tribunales, las autoridades administrativas o los órganos legislativos, una consideración primordial a que se atenderá será el interés superior del niño”. Y, por aplicación del canon interpretativo del art. 10.2 CE, hemos desarrollado una profusa jurisprudencia en relación con el interés superior del menor.</w:t>
      </w:r>
    </w:p>
    <w:p w14:paraId="0B89C40B" w14:textId="77777777" w:rsidR="009D7677" w:rsidRDefault="009D7677" w:rsidP="009D7677">
      <w:pPr>
        <w:pStyle w:val="TextoNormal"/>
      </w:pPr>
    </w:p>
    <w:p w14:paraId="03B74215" w14:textId="77777777" w:rsidR="009D7677" w:rsidRDefault="009D7677" w:rsidP="009D7677">
      <w:pPr>
        <w:pStyle w:val="TextoNormal"/>
      </w:pPr>
      <w:r>
        <w:t>De este modo, venimos afirmando de manera reiterada la obligación de los poderes públicos de proteger el interés superior de las personas menores de edad en cualesquiera actuaciones que deban entenderse con estas o hayan de afectarles de manera directa o indirecta. Deben procurarlo incluso si ello significa atemperar la rigidez de algunas normas procesales o sacrificar los legítimos intereses y perspectivas de terceros [SSTC 187/1996, de 25 de noviembre, FJ 2; 141/2000, de 29 de mayo, FJ 5; 77/2018, de 5 de julio, FJ 2; 106/2022, de 13 de septiembre, FJ 2 C); 130/2022, de 24 de octubre, FJ 5, y 131/2023, de 23 de octubre, FJ 3, entre otras].</w:t>
      </w:r>
    </w:p>
    <w:p w14:paraId="3F26DEA9" w14:textId="77777777" w:rsidR="009D7677" w:rsidRDefault="009D7677" w:rsidP="009D7677">
      <w:pPr>
        <w:pStyle w:val="TextoNormal"/>
      </w:pPr>
    </w:p>
    <w:p w14:paraId="7DD85CD4" w14:textId="77777777" w:rsidR="009D7677" w:rsidRDefault="009D7677" w:rsidP="009D7677">
      <w:pPr>
        <w:pStyle w:val="TextoNormal"/>
      </w:pPr>
      <w:r>
        <w:t>Corresponde en cada caso a los jueces y tribunales ordinarios determinar cuál es el interés superior de las personas menores de edad, atendiendo para ello a los criterios generales que establece el art. 2 de la Ley Orgánica 1/1996, de 15 de enero, de protección jurídica del menor. E incumbe a este tribunal, por su parte, examinar la correcta aplicación de aquellos y la ponderación de intereses realizada en mayor beneficio del menor a fin de comprobar que no se han lesionado sus derechos fundamentales [SSTC 221/2002, de 25 de noviembre, FJ 4; 113/2021, de 31 de mayo, FJ 2 b); 106/2022, de 13 de septiembre, FJ 2 C), y 131/2023, de 23 de octubre, FJ 3].</w:t>
      </w:r>
    </w:p>
    <w:p w14:paraId="4F93B562" w14:textId="77777777" w:rsidR="009D7677" w:rsidRDefault="009D7677" w:rsidP="009D7677">
      <w:pPr>
        <w:pStyle w:val="TextoNormal"/>
      </w:pPr>
    </w:p>
    <w:p w14:paraId="5DD980BC" w14:textId="3A7F6013" w:rsidR="009D7677" w:rsidRDefault="009D7677" w:rsidP="009D7677">
      <w:pPr>
        <w:pStyle w:val="TextoNormal"/>
      </w:pPr>
      <w:r>
        <w:t xml:space="preserve">También nos hemos referido al interés superior de las personas menores de edad en relación con la libertad de creencias. Indicábamos en la STC 141/2000, de 29 de mayo, FJ 5 que los menores de edad son titulares plenos de sus derechos fundamentales, entre ellos, el derecho a la libertad de creencias, sin que el ejercicio de este derecho puede abandonarse por completo a lo que decidan quienes tengan atribuida su guarda y custodia o su patria potestad, cuya incidencia sobre el disfrute de los derechos fundamentales por parte de la persona menor se modulará en función de su madurez y los distintos estadios en que la legislación gradúa su capacidad jurídica. De manera que pesa sobre los poderes públicos, y de manera especial sobre los órganos judiciales, el deber de velar por que el ejercicio de </w:t>
      </w:r>
      <w:r>
        <w:lastRenderedPageBreak/>
        <w:t>esas potestades por sus padres o tutores se haga en interés de la persona menor y no al servicio de otros intereses que, por muy lícitos y respetables que puedan ser, deben postergarse ante el “superior” del niño. Y así, concluíamos en la citada sentencia que, frente a la libertad de creencias de sus progenitores y su derecho a que sus hijos reciban la formación religiosa y moral que esté de acuerdo con sus propias convicciones, se alza como límite aquella misma libertad de creencias que asiste a los menores de edad, manifestada en su derecho a no compartir las convicciones de sus padres, o más sencillamente, a mantener creencias diversas a las de sus padres. Libertades y derechos de unos y otros que, de surgir el conflicto, deberán ser ponderados teniendo siempre presente el “interés superior” de los menores de edad (arts. 15 y 16.1 CE en relación con el art. 39 CE).</w:t>
      </w:r>
    </w:p>
    <w:p w14:paraId="588AECDA" w14:textId="77777777" w:rsidR="009D7677" w:rsidRDefault="009D7677" w:rsidP="009D7677">
      <w:pPr>
        <w:pStyle w:val="TextoNormal"/>
      </w:pPr>
    </w:p>
    <w:p w14:paraId="615772F8" w14:textId="77777777" w:rsidR="009D7677" w:rsidRDefault="009D7677" w:rsidP="009D7677">
      <w:pPr>
        <w:pStyle w:val="TextoNormal"/>
      </w:pPr>
      <w:r w:rsidRPr="009D7677">
        <w:rPr>
          <w:rStyle w:val="NumeroAFNegritaCaracter"/>
        </w:rPr>
        <w:t>5</w:t>
      </w:r>
      <w:r>
        <w:t xml:space="preserve">. </w:t>
      </w:r>
      <w:r w:rsidRPr="009D7677">
        <w:rPr>
          <w:i/>
        </w:rPr>
        <w:t>Aplicación de la doctrina jurisprudencial al caso concreto</w:t>
      </w:r>
    </w:p>
    <w:p w14:paraId="7546C87B" w14:textId="77777777" w:rsidR="009D7677" w:rsidRDefault="009D7677" w:rsidP="009D7677">
      <w:pPr>
        <w:pStyle w:val="TextoNormal"/>
      </w:pPr>
    </w:p>
    <w:p w14:paraId="2F4E0706" w14:textId="77777777" w:rsidR="009D7677" w:rsidRDefault="009D7677" w:rsidP="009D7677">
      <w:pPr>
        <w:pStyle w:val="TextoNormal"/>
      </w:pPr>
      <w:r>
        <w:t xml:space="preserve">a) Delimitación de los derechos fundamentales afectados en la relación </w:t>
      </w:r>
      <w:r w:rsidRPr="009D7677">
        <w:rPr>
          <w:i/>
        </w:rPr>
        <w:t>inter privatos</w:t>
      </w:r>
    </w:p>
    <w:p w14:paraId="6D74649B" w14:textId="77777777" w:rsidR="009D7677" w:rsidRDefault="009D7677" w:rsidP="009D7677">
      <w:pPr>
        <w:pStyle w:val="TextoNormal"/>
      </w:pPr>
    </w:p>
    <w:p w14:paraId="05707527" w14:textId="77777777" w:rsidR="009D7677" w:rsidRDefault="009D7677" w:rsidP="009D7677">
      <w:pPr>
        <w:pStyle w:val="TextoNormal"/>
      </w:pPr>
      <w:r>
        <w:t>El derecho a que los hijos reciban la formación religiosa y moral que esté de acuerdo con sus propias convicciones se reconoce en el art. 27.3 CE a “los padres”, y despliega toda su virtualidad cuando entre los progenitores existe un consenso o coincidencia en relación con la elección del centro escolar, lo que alcanza, entre otros extremos, al carácter religioso o no del mismo de conformidad con las convicciones religiosas y morales de los padres. Pero en una sociedad cada vez más diversa, puede ocurrir, y de hecho sucede, que las convicciones morales y religiosas de los padres no sean coincidentes, bien porque uno se sitúe en el ámbito de la laicidad y el otro participe de unas concretas creencias religiosas, bien porque cada uno de ellos pertenezca a una religión distinta. El derecho fundamental del art. 27.3 CE comprende el derecho a elegir un centro religioso para los hijos cuando se profesa esa religión, y también el derecho a optar por un centro educativo no confesional en lugar de un centro religioso cuando no se profesa religión alguna. No puede olvidarse que la menor hija de la demandante es titular del derecho fundamental a la libertad ideológica y religiosa que enuncia el art. 16.1 CE. Mientras que carezca de madurez para ejercer dicha libertad, si los padres no se ponen de acuerdo en la elección de un centro educativo, el respeto al derecho fundamental obliga a protegerla para que pueda en su momento autodeterminarse en materia de creencias religiosas. Aunque el recurso no apela expresamente al derecho de libertad de creencia de la menor, la argumentación que desarrolla gira alrededor de la capacidad de la hija de ejercer la libertad religiosa cuando tuviere madurez y de la necesidad de preservar un ambiente favorable a la autodeterminación.</w:t>
      </w:r>
    </w:p>
    <w:p w14:paraId="49253C9F" w14:textId="77777777" w:rsidR="009D7677" w:rsidRDefault="009D7677" w:rsidP="009D7677">
      <w:pPr>
        <w:pStyle w:val="TextoNormal"/>
      </w:pPr>
    </w:p>
    <w:p w14:paraId="6F0A217C" w14:textId="77777777" w:rsidR="009D7677" w:rsidRDefault="009D7677" w:rsidP="009D7677">
      <w:pPr>
        <w:pStyle w:val="TextoNormal"/>
      </w:pPr>
      <w:r>
        <w:t>En este caso, el centro escolar elegido por el padre es un centro concertado religioso con un ideario propio, mientras que el centro escolar elegido por la madre es de carácter público y, por tanto, aconfesional. Existe una incompatibilidad entre ambas opciones educativas que dificulta o imposibilita el reconocimiento simultáneo del derecho reconocido en el art. 27.3 CE a ambos progenitores en toda su dimensión porque sus posturas no son fácilmente conciliables, hasta el punto de llegar a ser incompatibles; y por ello corresponde al órgano judicial, a través del procedimiento de jurisdicción voluntaria instado por unos de los progenitores, ponderar ambos derechos fundamentales con el fin de resolver el conflicto entre ambos.</w:t>
      </w:r>
    </w:p>
    <w:p w14:paraId="6D1E3D15" w14:textId="77777777" w:rsidR="009D7677" w:rsidRDefault="009D7677" w:rsidP="009D7677">
      <w:pPr>
        <w:pStyle w:val="TextoNormal"/>
      </w:pPr>
    </w:p>
    <w:p w14:paraId="7822173B" w14:textId="77777777" w:rsidR="009D7677" w:rsidRDefault="009D7677" w:rsidP="009D7677">
      <w:pPr>
        <w:pStyle w:val="TextoNormal"/>
      </w:pPr>
      <w:r>
        <w:t>A tal efecto, el art. 236-11 apartado cuarto del Código civil de Cataluña dispone: “En caso de desacuerdo sobre el ejercicio de la potestad parental, cualquiera de los progenito</w:t>
      </w:r>
      <w:r>
        <w:lastRenderedPageBreak/>
        <w:t>res puede recurrir a la autoridad judicial, que debe decidir habiendo escuchado al otro progenitor y a los hijos que hayan cumplido doce años o que, teniendo menos de ellos, tengan suficiente juicio”. Y el art. 236-13 apartado primero del mismo cuerpo legal determina: “En caso de desacuerdo ocasional en el ejercicio de la potestad parental, la autoridad judicial, a instancia de cualquiera de los progenitores, atribuirá la facultad de decidir a uno de ellos”. El procedimiento a seguir en estos casos es el previsto en los arts. 85 y ss. LJV, donde se regula la intervención judicial en relación con la patria potestad. Particularmente, el art. 86.1 LJV determina la tramitación de este procedimiento en caso de desacuerdo en el ejercicio de la patria potestad ejercitada conjuntamente por los progenitores.</w:t>
      </w:r>
    </w:p>
    <w:p w14:paraId="557897A6" w14:textId="77777777" w:rsidR="009D7677" w:rsidRDefault="009D7677" w:rsidP="009D7677">
      <w:pPr>
        <w:pStyle w:val="TextoNormal"/>
      </w:pPr>
    </w:p>
    <w:p w14:paraId="10D8CA7C" w14:textId="77777777" w:rsidR="009D7677" w:rsidRDefault="009D7677" w:rsidP="009D7677">
      <w:pPr>
        <w:pStyle w:val="TextoNormal"/>
      </w:pPr>
      <w:r>
        <w:t>Cuando, en este contexto, el órgano judicial atribuye a uno de los progenitores la facultad de decidir sobre la elección del centro docente debe realizar un juicio de ponderación de los bienes y derechos dignos de protección constitucional en conflicto.</w:t>
      </w:r>
    </w:p>
    <w:p w14:paraId="18611E87" w14:textId="77777777" w:rsidR="009D7677" w:rsidRDefault="009D7677" w:rsidP="009D7677">
      <w:pPr>
        <w:pStyle w:val="TextoNormal"/>
      </w:pPr>
    </w:p>
    <w:p w14:paraId="11CF0FA1" w14:textId="77777777" w:rsidR="009D7677" w:rsidRDefault="009D7677" w:rsidP="009D7677">
      <w:pPr>
        <w:pStyle w:val="TextoNormal"/>
      </w:pPr>
      <w:r>
        <w:t>b) El juicio de ponderación</w:t>
      </w:r>
    </w:p>
    <w:p w14:paraId="7D5017F2" w14:textId="77777777" w:rsidR="009D7677" w:rsidRDefault="009D7677" w:rsidP="009D7677">
      <w:pPr>
        <w:pStyle w:val="TextoNormal"/>
      </w:pPr>
    </w:p>
    <w:p w14:paraId="0BE64621" w14:textId="77777777" w:rsidR="009D7677" w:rsidRDefault="009D7677" w:rsidP="009D7677">
      <w:pPr>
        <w:pStyle w:val="TextoNormal"/>
      </w:pPr>
      <w:r>
        <w:t>En el caso concreto, el juez ha atribuido al padre la facultad de elección del colegio y a la madre la facultad de decidir sobre la matriculación o no de la hija menor en la asignatura de religión. El resultado ha sido que la niña se encuentra matriculada en un colegio religioso, pero no participa en la asignatura de religión, desarrollando en este tiempo una actividad alternativa. Se trata ahora de determinar si una solución en estos términos pondera correctamente los derechos fundamentales en conflicto o si, como entiende la recurrente, se ha vulnerado su derecho fundamental reconocido en el art. 27.3 CE.</w:t>
      </w:r>
    </w:p>
    <w:p w14:paraId="25F30634" w14:textId="77777777" w:rsidR="009D7677" w:rsidRDefault="009D7677" w:rsidP="009D7677">
      <w:pPr>
        <w:pStyle w:val="TextoNormal"/>
      </w:pPr>
    </w:p>
    <w:p w14:paraId="1027EC90" w14:textId="77777777" w:rsidR="009D7677" w:rsidRDefault="009D7677" w:rsidP="009D7677">
      <w:pPr>
        <w:pStyle w:val="TextoNormal"/>
      </w:pPr>
      <w:r>
        <w:t>Si atendemos a los razonamientos de las resoluciones impugnadas, observamos que los órganos judiciales han tratado de dar una respuesta a la controversia invocando el interés superior de la menor, que es el fin que, como regla general, debe guiar la decisión judicial que afecte a un menor de edad. En este sentido, de manera reiterada hemos reconocido la obligación de los poderes públicos de proteger el interés superior de las personas menores de edad en cualesquiera actuaciones que deban entenderse con estas o hayan de afectarles de manera directa o indirecta, y deben procurarlo incluso si ello significa atemperar la rigidez de algunas normas procesales o sacrificar los legítimos intereses y perspectivas de terceros [SSTC 187/1996, de 25 de noviembre, FJ 2; 141/2000, de 29 de mayo, FJ 5; 77/2018, de 5 de julio, FJ 2; 106/2022, de 13 de septiembre, FJ 2 C); 130/2022, de 24 de octubre, FJ 5, y 131/2023, de 23 de octubre, FJ 3, entre otras]. En este caso, el interés superior de la menor podría justificar un sacrificio de los derechos fundamentales de uno de los progenitores.</w:t>
      </w:r>
    </w:p>
    <w:p w14:paraId="4C0793AC" w14:textId="77777777" w:rsidR="009D7677" w:rsidRDefault="009D7677" w:rsidP="009D7677">
      <w:pPr>
        <w:pStyle w:val="TextoNormal"/>
      </w:pPr>
    </w:p>
    <w:p w14:paraId="0F401FEE" w14:textId="77777777" w:rsidR="009D7677" w:rsidRDefault="009D7677" w:rsidP="009D7677">
      <w:pPr>
        <w:pStyle w:val="TextoNormal"/>
      </w:pPr>
      <w:r>
        <w:t>Pero, como también hemos señalado, corresponde en cada caso a los jueces y tribunales ordinarios determinar cuál es el interés superior del menor, atendiendo para ello a los criterios generales que establece el art. 2 de la Ley Orgánica 1/1996, de 15 de enero, de protección jurídica del menor, e incumbe a este tribunal examinar la correcta aplicación de aquellos y la ponderación de intereses realizada en mayor beneficio del menor a fin de comprobar que no se han lesionado sus derechos fundamentales [SSTC 221/2002, de 25 de noviembre, FJ 4; 113/2021, de 31 de mayo, FJ 2 b); 106/2022, de 13 de septiembre, FJ 2 C), y 131/2023, de 23 de octubre, FJ 3].</w:t>
      </w:r>
    </w:p>
    <w:p w14:paraId="1BA09F4B" w14:textId="77777777" w:rsidR="009D7677" w:rsidRDefault="009D7677" w:rsidP="009D7677">
      <w:pPr>
        <w:pStyle w:val="TextoNormal"/>
      </w:pPr>
    </w:p>
    <w:p w14:paraId="27EF1EE5" w14:textId="77777777" w:rsidR="009D7677" w:rsidRDefault="009D7677" w:rsidP="009D7677">
      <w:pPr>
        <w:pStyle w:val="TextoNormal"/>
      </w:pPr>
      <w:r>
        <w:lastRenderedPageBreak/>
        <w:t>En este caso, los órganos judiciales han concretado el interés superior de la menor en una serie de ventajas que aprecian en el centro concertado religioso; en concreto, según señalaba la Audiencia Provincial, cubrir todos los ciclos formativos, la enseñanza de un segundo idioma extranjero tras finalizar primaria, la impartición de varias clases en inglés y actividades como natación, y se valoraba también la cercanía del domicilio paterno y el apoyo familiar que este tiene, la oferta de instalaciones y de actividades extraescolares y un coste económico que se consideraba como moderado.</w:t>
      </w:r>
    </w:p>
    <w:p w14:paraId="40FE7703" w14:textId="77777777" w:rsidR="009D7677" w:rsidRDefault="009D7677" w:rsidP="009D7677">
      <w:pPr>
        <w:pStyle w:val="TextoNormal"/>
      </w:pPr>
    </w:p>
    <w:p w14:paraId="043DA50B" w14:textId="77777777" w:rsidR="009D7677" w:rsidRDefault="009D7677" w:rsidP="009D7677">
      <w:pPr>
        <w:pStyle w:val="TextoNormal"/>
      </w:pPr>
      <w:r>
        <w:t>Pero el centro concertado tenía, además, y esta era la diferencia fundamental que originó el conflicto entre los progenitores, un claro carácter religioso. Así se desprende del folleto informativo del centro escolar concertado —aportado por la madre— según el cual, entre sus valores se incluye la espiritualidad, con una referencia explícita a Dios; se autodenomina como escuela cristiana y afirma que los centros educativos de la congregación “son una obra eclesial de educación cristiana”, que su “identidad está basada en el proyecto evangélico de Jesús, como propuesta alternativa y significativa para una sociedad más justa, más humana y liberadora”, con referencia al humanismo cristiano, a la educación en los valores evangélicos. Define su proyecto educativo como cristiano e indica que dentro del horario escolar se educa la interioridad, “propiciando momentos de oración, de reflexión y de silencio, especialmente al inicio del día y por medio del oratorio”, se ofrecen valores sociales y cívicos a través de la figura de Jesús de Nazaret. Respecto de su identidad cristiana, afirma compartir “con las familias, primeras responsables, esta identidad, los fines y valores que desarrollamos y la tarea cotidiana de educar” y añade que “compartimos también esta identidad y nuestro carisma original con todos los agentes educativos del centro, empezando por los profesores, así como con los colaboradores y todas las personas comprometidas. La participación corresponsable y generosa hace que nuestra misión sea verdaderamente compartida, profética y perenne, y que vivamos nuestra identidad como comunidad educativa fuerte”. Desde el punto de vista pedagógico, se afirma potenciar, entre otros aspectos, “el carácter evangélico de nuestras obras”, la pedagogía y metodología proponen valores cristianos, se define la misión del centro como “educar honrados ciudadanos y buenos cristianos”, idea que se desarrolla con constantes referencias a la religión cristiana.</w:t>
      </w:r>
    </w:p>
    <w:p w14:paraId="03470FAF" w14:textId="77777777" w:rsidR="009D7677" w:rsidRDefault="009D7677" w:rsidP="009D7677">
      <w:pPr>
        <w:pStyle w:val="TextoNormal"/>
      </w:pPr>
    </w:p>
    <w:p w14:paraId="3B7F4105" w14:textId="77777777" w:rsidR="009D7677" w:rsidRDefault="009D7677" w:rsidP="009D7677">
      <w:pPr>
        <w:pStyle w:val="TextoNormal"/>
      </w:pPr>
      <w:r>
        <w:t>En definitiva, como consecuencia del ideario propio del centro, el elemento religioso trasciende de la asignatura de religión y se hace presente de manera general en el proyecto educativo, la pedagogía y la metodología del centro, a través de los profesores y esperando una implicación de las familias en este sentido.</w:t>
      </w:r>
    </w:p>
    <w:p w14:paraId="198BE10C" w14:textId="77777777" w:rsidR="009D7677" w:rsidRDefault="009D7677" w:rsidP="009D7677">
      <w:pPr>
        <w:pStyle w:val="TextoNormal"/>
      </w:pPr>
    </w:p>
    <w:p w14:paraId="7EF87DD3" w14:textId="77777777" w:rsidR="009D7677" w:rsidRDefault="009D7677" w:rsidP="009D7677">
      <w:pPr>
        <w:pStyle w:val="TextoNormal"/>
      </w:pPr>
      <w:r>
        <w:t>Sin perjuicio de la valoración positiva que puedan merecer los aspectos del centro propuesto por el padre, antes mencionados, y que se tuvieron en cuenta en las resoluciones impugnadas, observamos que los órganos judiciales han soslayado en su razonamiento el conflicto de derechos fundamentales que habían planteado los padres en sede judicial; es decir, si ante una discrepancia en las convicciones religiosas y morales de los progenitores, la menor debía acudir a un centro religioso o a un colegio no confesional, realizando, para ello, la debida ponderación entre los derechos fundamentales en conflicto.</w:t>
      </w:r>
    </w:p>
    <w:p w14:paraId="7F23B1CB" w14:textId="77777777" w:rsidR="009D7677" w:rsidRDefault="009D7677" w:rsidP="009D7677">
      <w:pPr>
        <w:pStyle w:val="TextoNormal"/>
      </w:pPr>
    </w:p>
    <w:p w14:paraId="661B9274" w14:textId="77777777" w:rsidR="009D7677" w:rsidRDefault="009D7677" w:rsidP="009D7677">
      <w:pPr>
        <w:pStyle w:val="TextoNormal"/>
      </w:pPr>
      <w:r>
        <w:t xml:space="preserve">Partiendo de que ambos centros escolares cumplen con las exigencias establecidas por las autoridades educativas y que la diferencia fundamental residía en el elemento religioso o no confesional de cada colegio, el interés superior de la menor debe determinarse en </w:t>
      </w:r>
      <w:r>
        <w:lastRenderedPageBreak/>
        <w:t>relación con la enseñanza en un centro no confesional o religioso. Para dar respuesta a esta cuestión, en principio debería haberse atendido a las propias creencias de la menor, porque el respeto a las mismas constituye el respeto a su interés superior y podría justificar el sacrificio de los legítimos intereses de terceros, en este caso, sus progenitores. Como ya hemos tenido ocasión de indicar, el interés superior del menor en relación con el derecho fundamental a la libertad de creencias, del que también es titular el menor de edad, determina que el ejercicio de este derecho no puede abandonarse por completo a la decisión de los padres, sino que debe modularse en función de la madurez del menor. Y los poderes públicos, de manera especial los órganos judiciales, tienen el deber de velar por que el ejercicio de estas potestades por sus padres o tutores se haga en interés del menor y no al servicio de otros intereses (STC 141/2000, de 29 de mayo, FJ 5).</w:t>
      </w:r>
    </w:p>
    <w:p w14:paraId="69BAF92F" w14:textId="77777777" w:rsidR="009D7677" w:rsidRDefault="009D7677" w:rsidP="009D7677">
      <w:pPr>
        <w:pStyle w:val="TextoNormal"/>
      </w:pPr>
    </w:p>
    <w:p w14:paraId="339EF8F2" w14:textId="77777777" w:rsidR="009D7677" w:rsidRDefault="009D7677" w:rsidP="009D7677">
      <w:pPr>
        <w:pStyle w:val="TextoNormal"/>
      </w:pPr>
      <w:r>
        <w:t>No obstante, en este caso, la edad de la menor al iniciarse el procedimiento (cuatro años) impedía, atendido su grado de madurez, entender que sus propias creencias religiosas pudieran actuar como límite al derecho fundamental de los padres y que el interés superior de la menor se hubiera concretado en el respeto a su propia libertad de creencias.</w:t>
      </w:r>
    </w:p>
    <w:p w14:paraId="33773BF1" w14:textId="77777777" w:rsidR="009D7677" w:rsidRDefault="009D7677" w:rsidP="009D7677">
      <w:pPr>
        <w:pStyle w:val="TextoNormal"/>
      </w:pPr>
    </w:p>
    <w:p w14:paraId="224C7DA9" w14:textId="77777777" w:rsidR="009D7677" w:rsidRDefault="009D7677" w:rsidP="009D7677">
      <w:pPr>
        <w:pStyle w:val="TextoNormal"/>
      </w:pPr>
      <w:r>
        <w:t xml:space="preserve">En un contexto de divergencia sustancial e irreconciliable entre los progenitores en cuanto a sus creencias religiosas, del que deriva el desacuerdo en cuanto al tipo de formación escolar que debe proporcionarse a la menor, lo más acorde al interés superior de esta es que la decisión que se adopte procure que esa formación escolar se desarrolle en un entorno de neutralidad, con el fin de que pueda formar sus propias convicciones de manera libre. Como indicó el Tribunal Europeo de Derechos Humanos en la sentencia de 19 de mayo de 2022, asunto </w:t>
      </w:r>
      <w:r w:rsidRPr="009D7677">
        <w:rPr>
          <w:i/>
        </w:rPr>
        <w:t>T.C., c. Italia</w:t>
      </w:r>
      <w:r>
        <w:t xml:space="preserve">, el interés superior del menor descansa en primer lugar en la necesidad de mantener y promover su desarrollo en un ambiente abierto y pacífico, conciliando en la medida de lo posible los derechos y convicciones de cada progenitor (§44). La decisión judicial, en estos casos, debe participar del deber de neutralidad del Estado como principio derivado del art. 16.3 CE. Al establecer el citado precepto constitucional que ninguna confesión tendrá carácter estatal, se reconoce la aconfesionalidad por parte del Estado, lo que determina una delimitación o separación entre funciones religiosas y estatales (SSTC 24/1982, de 13 de mayo, FJ 1; 46/2001, de 15 de febrero, FJ 4; 38/2007, de 15 de febrero, FJ 5, y 31/2018, de 10 de abril, FJ 3). Esta neutralidad estatal en materia religiosa es, además, presupuesto para la convivencia pacífica entre las distintas convicciones en materia religiosa existentes en una sociedad plural y democrática (art. 1.1 CE; STC 177/1997, de 11 de noviembre, FJ 9). Y la jurisprudencia del Tribunal Europeo de Derechos Humanos reconoce la obligación del Estado de que en materia de educación, la información o conocimiento se transmita de forma objetiva, crítica y pluralista, estando prohibido el adoctrinamiento, que puede no respetar las convicciones religiosas y filosóficas de los padres (STEDH de 29 de junio de 2007, asunto </w:t>
      </w:r>
      <w:r w:rsidRPr="009D7677">
        <w:rPr>
          <w:i/>
        </w:rPr>
        <w:t>Folgerø y otros c. Noruega</w:t>
      </w:r>
      <w:r>
        <w:t xml:space="preserve">), teniendo en cuenta también la responsabilidad del Estado de asegurar, de manera neutral e imparcial, el ejercicio de varias religiones, fes y creencias, y que, aunque no se prohíbe a los Estados impartir mediante la enseñanza o la educación información o conocimiento indirectamente religioso o filosófico, debe procurarse que se transmita de manera objetiva, crítica y plural, permitiendo a los alumnos desarrollar una opinión crítica particularmente con relación a la religión en una atmósfera en calma, libre de proselitismo (SSTEDH de 18 de marzo de 2011, asunto </w:t>
      </w:r>
      <w:r w:rsidRPr="009D7677">
        <w:rPr>
          <w:i/>
        </w:rPr>
        <w:t>Lautsi y otros c. Italia</w:t>
      </w:r>
      <w:r>
        <w:t>, y de 20 de octubre de 2020, asunt</w:t>
      </w:r>
      <w:r w:rsidRPr="009D7677">
        <w:rPr>
          <w:i/>
        </w:rPr>
        <w:t>o Perovy c. Rus</w:t>
      </w:r>
      <w:r>
        <w:t>ia).</w:t>
      </w:r>
    </w:p>
    <w:p w14:paraId="4793F01A" w14:textId="77777777" w:rsidR="009D7677" w:rsidRDefault="009D7677" w:rsidP="009D7677">
      <w:pPr>
        <w:pStyle w:val="TextoNormal"/>
      </w:pPr>
    </w:p>
    <w:p w14:paraId="6208DAB0" w14:textId="77777777" w:rsidR="009D7677" w:rsidRDefault="009D7677" w:rsidP="009D7677">
      <w:pPr>
        <w:pStyle w:val="TextoNormal"/>
      </w:pPr>
      <w:r>
        <w:lastRenderedPageBreak/>
        <w:t>Frente a la opción de un colegio religioso, cuyo proyecto pedagógico global está explícitamente dirigido a la formación en una concreta fe, el colegio público no confesional resulta más acorde para favorecer el libre desarrollo de las convicciones de la menor desde una posición de neutralidad con respecto a las divergentes posiciones de sus progenitores. De este modo se atiende al interés superior de esta a formar sus propias creencias en materia religiosa a través de una información y un conocimiento transmitidos de manera objetiva, crítica y plural, permitiendo que pueda desarrollar una opinión crítica en el seno de una familia caracterizada por la diversidad en esta materia.</w:t>
      </w:r>
    </w:p>
    <w:p w14:paraId="7432A0EC" w14:textId="77777777" w:rsidR="009D7677" w:rsidRDefault="009D7677" w:rsidP="009D7677">
      <w:pPr>
        <w:pStyle w:val="TextoNormal"/>
      </w:pPr>
    </w:p>
    <w:p w14:paraId="094A5BF6" w14:textId="77777777" w:rsidR="009D7677" w:rsidRDefault="009D7677" w:rsidP="009D7677">
      <w:pPr>
        <w:pStyle w:val="TextoNormal"/>
      </w:pPr>
      <w:r>
        <w:t>Fuera del entorno escolar, cada uno de los progenitores puede hacer partícipe a su hija de sus propias convicciones morales y religiosas dentro del respeto a los derechos y convicciones del otro progenitor hasta que la menor adquiera la suficiente madurez para tener sus propias convicciones y creencias, que podrían ser diversas a las de sus padres.</w:t>
      </w:r>
    </w:p>
    <w:p w14:paraId="6BF9C054" w14:textId="77777777" w:rsidR="009D7677" w:rsidRDefault="009D7677" w:rsidP="009D7677">
      <w:pPr>
        <w:pStyle w:val="TextoNormal"/>
      </w:pPr>
    </w:p>
    <w:p w14:paraId="77483902" w14:textId="77777777" w:rsidR="009D7677" w:rsidRDefault="009D7677" w:rsidP="009D7677">
      <w:pPr>
        <w:pStyle w:val="TextoNormal"/>
      </w:pPr>
      <w:r>
        <w:t>En definitiva, las resoluciones judiciales han soslayado el verdadero conflicto de derechos fundamentales de los padres y, ante el desacuerdo entre ellos, no han identificado correctamente el objeto del debate, que no era otro sino el conflicto entre los derechos fundamentales de ambos progenitores reconocido en el art. 27.3 CE, que ha quedado desplazado por una comparación entre las prestaciones ofrecidas por cada centro educativo, ni tampoco ha acertado al identificar el interés superior de la menor, principio de necesaria observancia siempre. En este caso, vista la todavía inmadurez de la afectada para el pleno ejercicio de la libertad religiosa, su interés superior debió identificarse con la obligación de atender a que sus convicciones religiosas pudieran formarse o adquirirse sin predeterminaciones escolares, esto es, en un entorno docente neutral desde una perspectiva religiosa. En su lugar, los órganos judiciales en atención a criterios ajenos al señalado interés superior de la menor se han decantado por atribuir la facultad de elegir centro escolar al progenitor favorable a la educación en un concreto sistema de creencias religiosas (educación católica). Esta decisión no puede entenderse justificada en el interés superior de la menor a que, en el seno de una familia con convicciones religiosas divergentes, pueda ir desarrollando sus propias convicciones y creencias en un contexto escolar libre de adoctrinamiento.</w:t>
      </w:r>
    </w:p>
    <w:p w14:paraId="666AB7FC" w14:textId="77777777" w:rsidR="009D7677" w:rsidRDefault="009D7677" w:rsidP="009D7677">
      <w:pPr>
        <w:pStyle w:val="TextoNormal"/>
      </w:pPr>
    </w:p>
    <w:p w14:paraId="68DDC2D3" w14:textId="3FED0EE2" w:rsidR="009D7677" w:rsidRDefault="009D7677" w:rsidP="009D7677">
      <w:pPr>
        <w:pStyle w:val="TextoNormal"/>
      </w:pPr>
      <w:r>
        <w:t>Los razonamientos anteriores conducen a la estimación del recurso de amparo, al haber sido vulnerado el derecho de la recurrente a que su hija reciba la formación religiosa y moral que esté de acuerdo con sus propias convicciones (art. 27.3 CE).</w:t>
      </w:r>
    </w:p>
    <w:p w14:paraId="0DDB29FB" w14:textId="77777777" w:rsidR="009D7677" w:rsidRDefault="009D7677" w:rsidP="009D7677">
      <w:pPr>
        <w:pStyle w:val="TextoNormal"/>
      </w:pPr>
    </w:p>
    <w:p w14:paraId="5CC36289" w14:textId="77777777" w:rsidR="009D7677" w:rsidRDefault="009D7677" w:rsidP="009D7677">
      <w:pPr>
        <w:pStyle w:val="TextoNormalCentrado"/>
        <w:keepNext/>
      </w:pPr>
      <w:r>
        <w:t>FALLO</w:t>
      </w:r>
    </w:p>
    <w:p w14:paraId="39CAC463" w14:textId="32DCD425" w:rsidR="009D7677" w:rsidRDefault="009D7677" w:rsidP="009D7677">
      <w:pPr>
        <w:pStyle w:val="TextoNormalCentrado"/>
        <w:keepNext/>
      </w:pPr>
    </w:p>
    <w:p w14:paraId="4D8F4260" w14:textId="77777777" w:rsidR="009D7677" w:rsidRDefault="009D7677" w:rsidP="009D7677">
      <w:pPr>
        <w:pStyle w:val="TextoNormal"/>
      </w:pPr>
      <w:r>
        <w:t>En atención a todo lo expuesto, el Tribunal Constitucional, por la autoridad que le confiere la Constitución de la Nación española, ha decidido estimar el recurso de amparo interpuesto por doña N.C.R., y, en consecuencia:</w:t>
      </w:r>
    </w:p>
    <w:p w14:paraId="6723F0E6" w14:textId="77777777" w:rsidR="009D7677" w:rsidRDefault="009D7677" w:rsidP="009D7677">
      <w:pPr>
        <w:pStyle w:val="TextoNormal"/>
      </w:pPr>
    </w:p>
    <w:p w14:paraId="701FCC33" w14:textId="77777777" w:rsidR="009D7677" w:rsidRDefault="009D7677" w:rsidP="009D7677">
      <w:pPr>
        <w:pStyle w:val="TextoNormal"/>
      </w:pPr>
      <w:r>
        <w:t>1º Declarar que ha sido vulnerado el derecho de doña N.C.R., a que su hija reciba la formación religiosa y moral que esté de acuerdo con sus propias convicciones (art. 27.3 CE).</w:t>
      </w:r>
    </w:p>
    <w:p w14:paraId="380F5DA1" w14:textId="77777777" w:rsidR="009D7677" w:rsidRDefault="009D7677" w:rsidP="009D7677">
      <w:pPr>
        <w:pStyle w:val="TextoNormal"/>
      </w:pPr>
    </w:p>
    <w:p w14:paraId="28FB8199" w14:textId="77777777" w:rsidR="009D7677" w:rsidRDefault="009D7677" w:rsidP="009D7677">
      <w:pPr>
        <w:pStyle w:val="TextoNormal"/>
      </w:pPr>
      <w:r>
        <w:t>2º Anular el auto de 23 de julio de 2019, dictado por el Juzgado de Primera Instancia núm. 15 de Barcelona en procedimiento de intervención judicial por desacuerdo en el ejer</w:t>
      </w:r>
      <w:r>
        <w:lastRenderedPageBreak/>
        <w:t>cicio de la patria potestad núm. 355-2019 y el auto de 21 de mayo de 2021, de la Sección Decimosegunda de la Audiencia Provincial de Barcelona en el rollo de apelación núm. 1-2020.</w:t>
      </w:r>
    </w:p>
    <w:p w14:paraId="5D11864F" w14:textId="77777777" w:rsidR="009D7677" w:rsidRDefault="009D7677" w:rsidP="009D7677">
      <w:pPr>
        <w:pStyle w:val="TextoNormal"/>
      </w:pPr>
    </w:p>
    <w:p w14:paraId="33AD8345" w14:textId="1A0C2441" w:rsidR="009D7677" w:rsidRDefault="009D7677" w:rsidP="009D7677">
      <w:pPr>
        <w:pStyle w:val="TextoNormal"/>
      </w:pPr>
      <w:r>
        <w:t>3º Retrotraer las actuaciones al momento inmediatamente anterior a dictarse el auto del Juzgado de Primera Instancia núm. 15 de Barcelona, para que este órgano judicial dicte nueva resolución respetuosa con los derechos fundamentales lesionados.</w:t>
      </w:r>
    </w:p>
    <w:p w14:paraId="111EA6BB" w14:textId="77777777" w:rsidR="009D7677" w:rsidRDefault="009D7677" w:rsidP="009D7677">
      <w:pPr>
        <w:pStyle w:val="TextoNormal"/>
      </w:pPr>
    </w:p>
    <w:p w14:paraId="7C429FE0" w14:textId="77777777" w:rsidR="009D7677" w:rsidRDefault="009D7677" w:rsidP="009D7677">
      <w:pPr>
        <w:pStyle w:val="TextoNormal"/>
      </w:pPr>
      <w:r>
        <w:t>Publíquese esta sentencia en el “Boletín Oficial del Estado”.</w:t>
      </w:r>
    </w:p>
    <w:p w14:paraId="44626DA7" w14:textId="77777777" w:rsidR="009D7677" w:rsidRDefault="009D7677" w:rsidP="009D7677">
      <w:pPr>
        <w:pStyle w:val="TextoNormal"/>
      </w:pPr>
      <w:r>
        <w:t>Dada en Madrid, a catorce de febrero de dos mil veinticuatro.</w:t>
      </w:r>
    </w:p>
    <w:p w14:paraId="7309F5A3" w14:textId="22FC4EA9" w:rsidR="009D7677" w:rsidRDefault="009D7677" w:rsidP="009D7677">
      <w:pPr>
        <w:pStyle w:val="ParrafoNormal"/>
      </w:pPr>
    </w:p>
    <w:p w14:paraId="6AE66C9E" w14:textId="77777777" w:rsidR="009D7677" w:rsidRDefault="009D7677" w:rsidP="009D7677">
      <w:pPr>
        <w:pStyle w:val="TextoNormalNegritaCentrado"/>
        <w:keepNext/>
      </w:pPr>
      <w:r>
        <w:t>Voto particular que formulan los magistrados don Ricardo Enríquez Sancho, doña Concepción Espejel Jorquera y don César Tolosa Tribiño, a la sentencia dictada en el recurso de amparo avocado núm. 4958-2021</w:t>
      </w:r>
    </w:p>
    <w:p w14:paraId="481C4C69" w14:textId="00AC3E80" w:rsidR="009D7677" w:rsidRDefault="009D7677" w:rsidP="009D7677">
      <w:pPr>
        <w:pStyle w:val="TextoNormalNegritaCentrado"/>
        <w:keepNext/>
      </w:pPr>
    </w:p>
    <w:p w14:paraId="28DBB5DD" w14:textId="77777777" w:rsidR="009D7677" w:rsidRDefault="009D7677" w:rsidP="009D7677">
      <w:pPr>
        <w:pStyle w:val="TextoNormal"/>
      </w:pPr>
      <w:r>
        <w:t>En el ejercicio de la facultad que nos confiere el artículo 90.2 de la Ley Orgánica del Tribunal Constitucional, y con el máximo respeto a la opinión de la mayoría, formulamos el presente voto particular por discrepar de la fundamentación y del fallo de la sentencia recaída en el recurso de amparo avocado por el Pleno núm. 4958-2021, que ha estimado la demanda. Entendemos por el contrario que el recurso debió desestimarse al no haber conculcado las resoluciones judiciales impugnadas los derechos fundamentales alegados por la recurrente, y ello conforme a las razones que a continuación se expondrán. Con carácter previo es de advertir, respecto de la composición del Pleno que ha conocido de este recurso de amparo, que el magistrado don Enrique Arnaldo Alcubilla no pudo intervenir en el acto de votación de la sentencia, aunque sí llegó a exponer su opinión en su deliberación.</w:t>
      </w:r>
    </w:p>
    <w:p w14:paraId="1CC8EB13" w14:textId="77777777" w:rsidR="009D7677" w:rsidRDefault="009D7677" w:rsidP="009D7677">
      <w:pPr>
        <w:pStyle w:val="TextoNormal"/>
      </w:pPr>
    </w:p>
    <w:p w14:paraId="3831FED6" w14:textId="77777777" w:rsidR="009D7677" w:rsidRDefault="009D7677" w:rsidP="009D7677">
      <w:pPr>
        <w:pStyle w:val="TextoNormal"/>
      </w:pPr>
      <w:r>
        <w:t>1. Las resoluciones judiciales efectúan el necesario juicio de ponderación de los derechos fundamentales en conflicto, del que sin embargo prescinde la sentencia de la que se discrepa:</w:t>
      </w:r>
    </w:p>
    <w:p w14:paraId="2BD59891" w14:textId="77777777" w:rsidR="009D7677" w:rsidRDefault="009D7677" w:rsidP="009D7677">
      <w:pPr>
        <w:pStyle w:val="TextoNormal"/>
      </w:pPr>
    </w:p>
    <w:p w14:paraId="261A716F" w14:textId="77777777" w:rsidR="009D7677" w:rsidRDefault="009D7677" w:rsidP="009D7677">
      <w:pPr>
        <w:pStyle w:val="TextoNormal"/>
      </w:pPr>
      <w:r>
        <w:t>a) La demanda de amparo solicita que se declaren vulnerados los derechos fundamentales de la recurrente a la libertad religiosa (art. 16.1 CE), y a que su hija menor de edad (nacida el 10 de abril de 2015) reciba la formación religiosa y moral que esté de acuerdo con sus convicciones como madre (art. 27.3 CE), dada la discrepancia que mantiene con el padre en este punto. La demanda, conviene ya precisarlo, no la interpone la madre en nombre de los derechos fundamentales de la hija, pues si bien se recuerda en el escrito que conforme ha declarado este tribunal los menores de edad son también titulares del derecho a la libertad religiosa, su ejercicio por estos debe modularse en función de su madurez y, en este caso, se añade, falta esa madurez por tener seis años, de modo que “esta parte no ha apelado a la libertad religiosa de la menor”.</w:t>
      </w:r>
    </w:p>
    <w:p w14:paraId="134CEE59" w14:textId="77777777" w:rsidR="009D7677" w:rsidRDefault="009D7677" w:rsidP="009D7677">
      <w:pPr>
        <w:pStyle w:val="TextoNormal"/>
      </w:pPr>
    </w:p>
    <w:p w14:paraId="64C48B4E" w14:textId="77777777" w:rsidR="009D7677" w:rsidRDefault="009D7677" w:rsidP="009D7677">
      <w:pPr>
        <w:pStyle w:val="TextoNormal"/>
      </w:pPr>
      <w:r>
        <w:t>Los autos que se recurren concedieron al padre la autorización para escolarizar a su hija menor en un centro educativo religioso concertado, pero condicionando la posibilidad de que recibiera formación religiosa a la conformidad de la madre, quién se negó a ello, por lo que al ejecutarse la decisión judicial la menor fue matriculada en una asignatura alternativa a la de religión. El padre no objetó los términos de la decisión adoptada, aceptando así que su hija no recibiera formación religiosa, si bien defendió sus derechos como progeni</w:t>
      </w:r>
      <w:r>
        <w:lastRenderedPageBreak/>
        <w:t>tor a que aquella permaneciera en el centro concertado debido a su mejor oferta educativa, atendiendo al interés superior de la menor. De haberse opuesto el padre a que su hija no cursase la asignatura de religión, el debate constitucional ante este tribunal se habría formalizado en otros términos (quizá con una demanda de amparo presentada por él), pero no fue así y a ello debemos de estar.</w:t>
      </w:r>
    </w:p>
    <w:p w14:paraId="0A7FFA70" w14:textId="77777777" w:rsidR="009D7677" w:rsidRDefault="009D7677" w:rsidP="009D7677">
      <w:pPr>
        <w:pStyle w:val="TextoNormal"/>
      </w:pPr>
    </w:p>
    <w:p w14:paraId="1D9A839D" w14:textId="77777777" w:rsidR="009D7677" w:rsidRDefault="009D7677" w:rsidP="009D7677">
      <w:pPr>
        <w:pStyle w:val="TextoNormal"/>
      </w:pPr>
      <w:r>
        <w:t>La demandante de amparo lo que sostiene es que no resulta suficiente con que la menor no reciba enseñanza religiosa, sino que en todo caso no debe ser educada en un centro religioso concertado porque ello en sí mismo “puede afectar negativamente a su desarrollo personal” e ir en contra de su interés superior porque “diariamente se reza al inicio de las clases, y los símbolos y el contenido religioso forman parte del paisaje escolar”; debiendo por ello ser escolarizada en un centro público para que no tenga ningún contacto no solo con la enseñanza religiosa sino con el hecho religioso entendido en sentido amplio. La demandante por tanto invoca el art. 16.1 CE en un sentido negativo; y el padre en sentido positivo.</w:t>
      </w:r>
    </w:p>
    <w:p w14:paraId="65972424" w14:textId="77777777" w:rsidR="009D7677" w:rsidRDefault="009D7677" w:rsidP="009D7677">
      <w:pPr>
        <w:pStyle w:val="TextoNormal"/>
      </w:pPr>
    </w:p>
    <w:p w14:paraId="182E3D30" w14:textId="77777777" w:rsidR="009D7677" w:rsidRDefault="009D7677" w:rsidP="009D7677">
      <w:pPr>
        <w:pStyle w:val="TextoNormal"/>
      </w:pPr>
      <w:r>
        <w:t>b) Es doctrina constitucional reiterada que el derecho fundamental de todos a la educación (art. 27.1 CE) incluye, entre otras manifestaciones, el derecho de los padres a elegir el centro docente de sus hijos, derecho que entra en conexión a su vez con el ya mencionado derecho fundamental del art. 27.3 CE a que los hijos menores reciban la formación religiosa y moral que esté de acuerdo con las propias convicciones de los progenitores; si bien no son derechos absolutos y pueden estar sometidos a limitaciones siempre que no sean desproporcionadas al sacrificio del derecho [SSTC 5/1981, de 13 de febrero, FJ 7; 133/2010, de 2 de diciembre, FJ 5 b); 10/2014, de 27 de enero, FJ 3, y 74/2018, de 5 de julio, FJ 4 a) —esta última, citada por la sentencia ahora aprobada—].</w:t>
      </w:r>
    </w:p>
    <w:p w14:paraId="0B55D09E" w14:textId="77777777" w:rsidR="009D7677" w:rsidRDefault="009D7677" w:rsidP="009D7677">
      <w:pPr>
        <w:pStyle w:val="TextoNormal"/>
      </w:pPr>
    </w:p>
    <w:p w14:paraId="2936E16C" w14:textId="77777777" w:rsidR="009D7677" w:rsidRDefault="009D7677" w:rsidP="009D7677">
      <w:pPr>
        <w:pStyle w:val="TextoNormal"/>
      </w:pPr>
      <w:r>
        <w:t>Cuando ambos progenitores están de acuerdo con el centro educativo en el que escolarizar a sus hijos menores, y a recibir o no formación religiosa de algún tipo en dicho centro, el Estado no interviene en esa decisión salvo casos extremos (como la no escolarización del menor en ciclos donde la misma resulte obligatoria —STC 133/2010—), y por tanto, para entendernos, no interfiere en el la enseñanza religiosa que en su caso los menores estén recibiendo en ese centro. Esa no injerencia es una consecuencia del carácter aconfesional del Estado, proclamado por la Constitución en el art. 16.3 CE “[n]inguna confesión tendrá carácter estatal” y la ley (art. 1.3 de la Ley Orgánica 7/1980, de 5 de julio, de libertad religiosa), así como también por la doctrina de este tribunal a la que después haremos referencia (apartado tercero de este voto particular).</w:t>
      </w:r>
    </w:p>
    <w:p w14:paraId="0350B6A3" w14:textId="77777777" w:rsidR="009D7677" w:rsidRDefault="009D7677" w:rsidP="009D7677">
      <w:pPr>
        <w:pStyle w:val="TextoNormal"/>
      </w:pPr>
    </w:p>
    <w:p w14:paraId="0981EEBA" w14:textId="77777777" w:rsidR="009D7677" w:rsidRDefault="009D7677" w:rsidP="009D7677">
      <w:pPr>
        <w:pStyle w:val="TextoNormal"/>
      </w:pPr>
      <w:r>
        <w:t>Por el contrario, si los progenitores no se ponen de acuerdo sobre el tipo de enseñanza religiosa que deben recibir los hijos menores en el centro educativo o si estos no deben recibir alguna, la decisión corresponde adoptarla a los jueces, determinando cuál de las propuestas discrepantes de los padres ha de prevalecer. Esa doble elección del juez (si el menor ha de recibir o no formación religiosa durante su escolarización; y en qué centro educativo) debe fundarse en una decisión motivada y razonable en su argumentación y fallo, que ha de responder siempre al interés superior del menor, atendidas las circunstancias de cada caso [sobre qué se entiende por dicho interés, ver la STC 2/2024, de 15 de enero, FJ 2 a) y b), que sistematiza la doctrina constitucional dictada; además del fundamento jurídico 4 de la sentencia ahora dictada].</w:t>
      </w:r>
    </w:p>
    <w:p w14:paraId="73946BD3" w14:textId="77777777" w:rsidR="009D7677" w:rsidRDefault="009D7677" w:rsidP="009D7677">
      <w:pPr>
        <w:pStyle w:val="TextoNormal"/>
      </w:pPr>
    </w:p>
    <w:p w14:paraId="243DC95E" w14:textId="77777777" w:rsidR="009D7677" w:rsidRDefault="009D7677" w:rsidP="009D7677">
      <w:pPr>
        <w:pStyle w:val="TextoNormal"/>
      </w:pPr>
      <w:r>
        <w:lastRenderedPageBreak/>
        <w:t>c) La sentencia de la que discrepamos reprocha a los autos de los tribunales civiles el que no hayan llevado a cabo la ponderación necesaria para resolver el conflicto entre los progenitores, en concreto desde la óptica del art. 27.3 CE. Esa afirmación de la sentencia, sin embargo, no se corresponde con lo que puede leerse literalmente de ambas resoluciones judiciales, las cuales sí han llevado a cabo esa ponderación de modo satisfactorio:</w:t>
      </w:r>
    </w:p>
    <w:p w14:paraId="7BA287FC" w14:textId="77777777" w:rsidR="009D7677" w:rsidRDefault="009D7677" w:rsidP="009D7677">
      <w:pPr>
        <w:pStyle w:val="TextoNormal"/>
      </w:pPr>
    </w:p>
    <w:p w14:paraId="52A3E27C" w14:textId="77777777" w:rsidR="009D7677" w:rsidRDefault="009D7677" w:rsidP="009D7677">
      <w:pPr>
        <w:pStyle w:val="TextoNormal"/>
      </w:pPr>
      <w:r>
        <w:t>(i) En cuanto a la primera elección, la de la formación religiosa de la menor, el auto del juzgado de familia señala como principio que siendo la opción positiva de uno solo de los progenitores, “no puede primar el del otro, considerando que debe atenderse a otras cuestiones de enseñanza”. Más adelante, el auto resuelve que la menor no tenga formación religiosa en el colegio: “Ahora bien, para conjugar la posición de educación laica que pretende la madre, se autoriza la inscripción en dicho centro [concertado religioso que propone el padre, que para el juzgado tiene mejor oferta educativa], debiendo inscribir a la menor en la asignatura alternativa a religión, si así lo manifiesta la madre, ya que los valores y ritos religiosos que sí pretende el padre, los puede perfectamente adquirir fuera del horario escolar”. Decisión esta que se lleva al fallo.</w:t>
      </w:r>
    </w:p>
    <w:p w14:paraId="1ED5F9BE" w14:textId="77777777" w:rsidR="009D7677" w:rsidRDefault="009D7677" w:rsidP="009D7677">
      <w:pPr>
        <w:pStyle w:val="TextoNormal"/>
      </w:pPr>
    </w:p>
    <w:p w14:paraId="516445FA" w14:textId="77777777" w:rsidR="009D7677" w:rsidRDefault="009D7677" w:rsidP="009D7677">
      <w:pPr>
        <w:pStyle w:val="TextoNormal"/>
      </w:pPr>
      <w:r>
        <w:t>La ponderación por tanto del art. 27.3 CE está hecha, en el marco correcto de lo previsto en ese precepto constitucional (que habla de “la formación religiosa y moral”) y respetando las creencias de cada progenitor (art. 16.1 CE). No se efectúa la ponderación, desde luego, en el marco desbordado de la Constitución que pretendía la madre y que acoge la sentencia de la que discrepamos, de que la hija esté aislada de todo contacto con el hecho religioso en su amplio sentido.</w:t>
      </w:r>
    </w:p>
    <w:p w14:paraId="5D126C69" w14:textId="77777777" w:rsidR="009D7677" w:rsidRDefault="009D7677" w:rsidP="009D7677">
      <w:pPr>
        <w:pStyle w:val="TextoNormal"/>
      </w:pPr>
    </w:p>
    <w:p w14:paraId="5B1CA075" w14:textId="77777777" w:rsidR="009D7677" w:rsidRDefault="009D7677" w:rsidP="009D7677">
      <w:pPr>
        <w:pStyle w:val="TextoNormal"/>
      </w:pPr>
      <w:r>
        <w:t>(ii) Respecto de la segunda elección, la del centro educativo, donde lo relevante es el interés superior de la menor, tras advertir el juzgado que cualquier opción implica que el centro elegido estará cerca del domicilio de uno de los progenitores y lejos del otro —atendiendo al régimen de guarda compartida que está fijado—, se centra en la oferta educativa de los dos que se proponen, afirmando que respecto del centro público “se constatan varias deficiencias en el sistema curricular […], porque se observa[n] deficiencias en el aprendizaje de un segundo idioma, no garantizándose un aprendizaje efectivo de la lengua de inglés ni tampoco del castellano, ya que no se ha ni siquiera explicado de manera detallada, como se va a adquirir tal aprendizaje, sobre todo cuando la madre ha optado en que se enseñe a la menor en lengua catalana”. Y en cuanto al centro religioso concertado que propone el padre, el auto desgrana a su vez los factores que considera adecuados para la menor, como el hecho de que quedan cubiertos todos los ciclos formativos, que se garantiza el aprendizaje de un segundo idioma extranjero y una mejor oferta de actividades extraescolares, distribuyendo el coste del colegio en el mismo porcentaje de contribución de los gastos que tienen asignados los progenitores (70 por 100 el padre). El auto de la Sección de la Audiencia Provincial de Barcelona que desestimó el recurso de apelación interpuesto por la madre, afirmó que la “motivación de la resolución recurrida no solo es suficiente y respeta los parámetros mínimos constitucionales y procesales, sino que es completa y agota la argumentación y decisión respecto a la totalidad de los hechos controvertidos fijados”, tal y como se encarga de analizar a continuación.</w:t>
      </w:r>
    </w:p>
    <w:p w14:paraId="05BEBF52" w14:textId="77777777" w:rsidR="009D7677" w:rsidRDefault="009D7677" w:rsidP="009D7677">
      <w:pPr>
        <w:pStyle w:val="TextoNormal"/>
      </w:pPr>
    </w:p>
    <w:p w14:paraId="3318E430" w14:textId="77777777" w:rsidR="009D7677" w:rsidRDefault="009D7677" w:rsidP="009D7677">
      <w:pPr>
        <w:pStyle w:val="TextoNormal"/>
      </w:pPr>
      <w:r>
        <w:t xml:space="preserve">Se trata de una valoración sobre dichas prestaciones escolares que este Tribunal Constitucional no puede cuestionar, porque corresponde a la exclusiva potestad de los jueces el </w:t>
      </w:r>
      <w:r>
        <w:lastRenderedPageBreak/>
        <w:t>valorar los hechos en que fundan su resolución (art. 117.3), salvo que la decisión judicial incurriera en arbitrariedad, irracionalidad o error patente, lo que no sucede desde luego.</w:t>
      </w:r>
    </w:p>
    <w:p w14:paraId="02262368" w14:textId="77777777" w:rsidR="009D7677" w:rsidRDefault="009D7677" w:rsidP="009D7677">
      <w:pPr>
        <w:pStyle w:val="TextoNormal"/>
      </w:pPr>
    </w:p>
    <w:p w14:paraId="6B80FDAD" w14:textId="77777777" w:rsidR="009D7677" w:rsidRDefault="009D7677" w:rsidP="009D7677">
      <w:pPr>
        <w:pStyle w:val="TextoNormal"/>
      </w:pPr>
      <w:r>
        <w:t>(iii) La sentencia de la que discrepamos, sin embargo, afirma que “las resoluciones judiciales han soslayado el verdadero conflicto de derechos fundamentales de los padres […] el art. 27.3 CE, que ha quedado desplazado por una comparación entre las prestaciones ofrecidas por cada centro educativo, ni tampoco ha acertado al identificar el interés superior de la menor”. Este aserto no es en absoluto cierto, como acaba de explicarse, pues los órganos judiciales efectuaron la debida ponderación constitucional de los dos aspectos que debían dilucidarse ante la discrepancia de los progenitores. La tesis que exterioriza la sentencia solo puede ser entendida desde una óptica que, ya sin cobertura en el mencionado precepto constitucional, propugna la prohibición no solo de que la menor reciba formación religiosa, sino que tenga cualquier contacto con lo que la sentencia define como “el elemento religioso [que] trasciende de la asignatura de religión y se hace presente de manera general en el proyecto educativo” del centro. Este aserto, que luego desarrolla la sentencia, merece una censura tanto desde el punto de vista de los hechos probados en el procedimiento de instancia, como desde aquel otro del principio de aconfesionalidad del Estado, como de inmediato se dirá.</w:t>
      </w:r>
    </w:p>
    <w:p w14:paraId="23CFB54C" w14:textId="77777777" w:rsidR="009D7677" w:rsidRDefault="009D7677" w:rsidP="009D7677">
      <w:pPr>
        <w:pStyle w:val="TextoNormal"/>
      </w:pPr>
    </w:p>
    <w:p w14:paraId="0D45F83D" w14:textId="77777777" w:rsidR="009D7677" w:rsidRDefault="009D7677" w:rsidP="009D7677">
      <w:pPr>
        <w:pStyle w:val="TextoNormal"/>
      </w:pPr>
      <w:r>
        <w:t>2. La sentencia valora selectivamente las pruebas, alterando los hechos probados y no probados en la vía judicial:</w:t>
      </w:r>
    </w:p>
    <w:p w14:paraId="4BD25437" w14:textId="77777777" w:rsidR="009D7677" w:rsidRDefault="009D7677" w:rsidP="009D7677">
      <w:pPr>
        <w:pStyle w:val="TextoNormal"/>
      </w:pPr>
    </w:p>
    <w:p w14:paraId="02A85C63" w14:textId="77777777" w:rsidR="009D7677" w:rsidRDefault="009D7677" w:rsidP="009D7677">
      <w:pPr>
        <w:pStyle w:val="TextoNormal"/>
      </w:pPr>
      <w:r>
        <w:t>a) Por tratarse el aquí interpuesto de un recurso de amparo contra resoluciones judiciales por supuesta vulneración directa de derechos fundamentales, nuestro análisis constitucional se encuentra delimitado no solo por los términos de la pretensión deducida por la parte actora y que por tanto no podemos reconstruir de oficio, sino también por el contenido de las resoluciones impugnadas y por los hechos declarados probados en la vía judicial previa, respecto de los cuales y como establece el art. 44.1 b) último inciso de nuestra ley orgánica reguladora, “en ningún caso, entrará a conocer el Tribunal Constitucional”. Es decir, que no podemos sustituir a los tribunales ordinarios en la tarea de valorar las pruebas y declarar los hechos probados del caso de manera distinta a como estos últimos lo han hecho, ya que el recurso de amparo no es una tercera instancia.</w:t>
      </w:r>
    </w:p>
    <w:p w14:paraId="1145D995" w14:textId="77777777" w:rsidR="009D7677" w:rsidRDefault="009D7677" w:rsidP="009D7677">
      <w:pPr>
        <w:pStyle w:val="TextoNormal"/>
      </w:pPr>
    </w:p>
    <w:p w14:paraId="651BF91B" w14:textId="77777777" w:rsidR="009D7677" w:rsidRDefault="009D7677" w:rsidP="009D7677">
      <w:pPr>
        <w:pStyle w:val="TextoNormal"/>
      </w:pPr>
      <w:r>
        <w:t>b) Expresamente, el auto de apelación analiza la documental obrante en el expediente y declara como hecho probado que para el curso escolar 2019-2020 del centro religioso concertado, “el hecho de cursar o no la asignatura de religión depende de la elección de los padres o tutores, y en bachillerato incluso de los propios alumnos” (certificado de preinscripción), y que de acuerdo con “un mail de 22 de octubre de 2019 de la directora del centro escolar que precisa a consulta del padre que la hija común E. no cursa la asignatura de religión y realiza otra actividad distinta en compañía de otros menores que asisten al mismo centro”. Ello al margen —sigue diciendo la Audiencia— de que el centro disponga de actividades extraescolares de contenido religioso; sin que el auto de apelación añada que se hubiere acreditado la inscripción de la menor en alguna de dichas actividades. Tampoco dice nada al respecto el auto del juzgado, ni la demanda de amparo, por cierto.</w:t>
      </w:r>
    </w:p>
    <w:p w14:paraId="470BF632" w14:textId="77777777" w:rsidR="009D7677" w:rsidRDefault="009D7677" w:rsidP="009D7677">
      <w:pPr>
        <w:pStyle w:val="TextoNormal"/>
      </w:pPr>
    </w:p>
    <w:p w14:paraId="3F8DF5CD" w14:textId="77777777" w:rsidR="009D7677" w:rsidRDefault="009D7677" w:rsidP="009D7677">
      <w:pPr>
        <w:pStyle w:val="TextoNormal"/>
      </w:pPr>
      <w:r>
        <w:t>Por ser esto así, resulta tajante la afirmación realizada por la fiscal ante este Tribunal Constitucional en su escrito de alegaciones del art. 52 LOTC, en el sentido de que “las alegaciones efectuadas por la madre, en relación al ideario del centro, a la oferta de activi</w:t>
      </w:r>
      <w:r>
        <w:lastRenderedPageBreak/>
        <w:t>dades de contenido religioso y la capacidad de que ello implique un adoctrinamiento de la totalidad de los alumnos, no han sido suficientemente acreditadas, ya que no consta, ni en el recurso de apelación ni en la demanda de amparo, que la menor haya participado en ningún acto de culto, oración, o cualquiera otro que tenga la virtualidad de contrariar su opción de que no reciba formación religiosa en el centro de enseñanza”. No podemos por menos que suscribir esta observación, que es la que resulta de los hechos declarados probados —y de los no probados— por quienes tienen que valorar la prueba, que son los órganos judiciales (art. 117.3 CE).</w:t>
      </w:r>
    </w:p>
    <w:p w14:paraId="721FE806" w14:textId="77777777" w:rsidR="009D7677" w:rsidRDefault="009D7677" w:rsidP="009D7677">
      <w:pPr>
        <w:pStyle w:val="TextoNormal"/>
      </w:pPr>
    </w:p>
    <w:p w14:paraId="0410340B" w14:textId="77777777" w:rsidR="009D7677" w:rsidRDefault="009D7677" w:rsidP="009D7677">
      <w:pPr>
        <w:pStyle w:val="TextoNormal"/>
      </w:pPr>
      <w:r>
        <w:t>c) La sentencia de la que discrepamos, sin embargo, prescinde de ese juicio probatorio y crea el suyo propio sustituyendo a los órganos judiciales, apreciando como único medio de prueba decisivo para dirimir en qué centro debe ser escolarizado la menor, el contenido de un programa escrito elaborado por el centro concertado en el que se expone su ideario y que aportó la madre en el recurso de apelación; documento al que ninguna relevancia probatoria otorga el auto de la Audiencia Provincial.</w:t>
      </w:r>
    </w:p>
    <w:p w14:paraId="05C76431" w14:textId="77777777" w:rsidR="009D7677" w:rsidRDefault="009D7677" w:rsidP="009D7677">
      <w:pPr>
        <w:pStyle w:val="TextoNormal"/>
      </w:pPr>
    </w:p>
    <w:p w14:paraId="7D89D388" w14:textId="77777777" w:rsidR="009D7677" w:rsidRDefault="009D7677" w:rsidP="009D7677">
      <w:pPr>
        <w:pStyle w:val="TextoNormal"/>
      </w:pPr>
      <w:r>
        <w:t>Dejando a un lado que ese programa escrito, al que la sentencia de la que discrepamos llama “folleto”, no es demostrativo de la realidad de la educación efectivamente recibida por la hija de la recurrente una vez inscrita, porque se trata de una información del centro sobre las actividades que oferta para los diversos niveles educativos, la sentencia selecciona de dicho folleto, que tiene una extensión de veinticuatro páginas, un párrafo concreto del que viene a deducir que la hija de la recurrente realiza actividades religiosas: uno donde se menciona la asignatura de religión (la cual se ha acreditado, sin embargo, que no cursa la menor), que el centro no ofrecía ninguna asignatura alternativa a la de religión según la madre (dato igualmente desvirtuado por el correo electrónico enviado por la directora del centro), y que “se propiciaba la catequesis, los sacramentos, la oración y las clases de religión de forma activa”, sin que se haya mínimamente acreditado que la menor estuviera participando en alguna de esas actividades. Añade la sentencia que en el folleto aparecen fotografías con “niños de corta edad en un contexto explícitamente religioso” (sin explicar la sentencia qué significa tal contexto, ni si los niños son realmente alumnos), “aparte de las constantes referencias del folleto a la espiritualidad cristiana”, de nuevo sin especificar qué entiende la sentencia por tal espiritualidad (volveremos sobre esta cuestión en el siguiente apartado de este voto particular).</w:t>
      </w:r>
    </w:p>
    <w:p w14:paraId="273B365B" w14:textId="77777777" w:rsidR="009D7677" w:rsidRDefault="009D7677" w:rsidP="009D7677">
      <w:pPr>
        <w:pStyle w:val="TextoNormal"/>
      </w:pPr>
    </w:p>
    <w:p w14:paraId="4037E101" w14:textId="77777777" w:rsidR="009D7677" w:rsidRDefault="009D7677" w:rsidP="009D7677">
      <w:pPr>
        <w:pStyle w:val="TextoNormal"/>
      </w:pPr>
      <w:r>
        <w:t xml:space="preserve">En definitiva, la sentencia ha sustituido a los tribunales ordinarios en el ejercicio de una competencia que es exclusiva de estos, y en contra de lo previsto en nuestra ley orgánica reguladora [art. 44.1 b) </w:t>
      </w:r>
      <w:r w:rsidRPr="009D7677">
        <w:rPr>
          <w:i/>
        </w:rPr>
        <w:t>in fine</w:t>
      </w:r>
      <w:r>
        <w:t>] para decir, sobre la base de un “folleto”, lo que no está probado realmente. La realidad procesal es que la hija de la recurrente no ha participado en ningún acto religioso que se desarrolle fuera de la clase de religión, ni ha cursado esta, como no lo han hecho tampoco otros menores cuyos padres han optado por no matricularlos en ella (tal como precisa la directora del centro en el correo electrónico al que ya se ha hecho referencia).</w:t>
      </w:r>
    </w:p>
    <w:p w14:paraId="695CDEF7" w14:textId="77777777" w:rsidR="009D7677" w:rsidRDefault="009D7677" w:rsidP="009D7677">
      <w:pPr>
        <w:pStyle w:val="TextoNormal"/>
      </w:pPr>
    </w:p>
    <w:p w14:paraId="2E8899F9" w14:textId="77777777" w:rsidR="009D7677" w:rsidRDefault="009D7677" w:rsidP="009D7677">
      <w:pPr>
        <w:pStyle w:val="TextoNormal"/>
      </w:pPr>
      <w:r>
        <w:t>3. La sentencia rompe con la doctrina constitucional pacífica sobre el carácter aconfesional del Estado, sentando una nueva doctrina de efectos peligrosos y que no satisface el interés superior de la menor en el caso:</w:t>
      </w:r>
    </w:p>
    <w:p w14:paraId="736D0A33" w14:textId="77777777" w:rsidR="009D7677" w:rsidRDefault="009D7677" w:rsidP="009D7677">
      <w:pPr>
        <w:pStyle w:val="TextoNormal"/>
      </w:pPr>
    </w:p>
    <w:p w14:paraId="711C4D8F" w14:textId="77777777" w:rsidR="009D7677" w:rsidRDefault="009D7677" w:rsidP="009D7677">
      <w:pPr>
        <w:pStyle w:val="TextoNormal"/>
      </w:pPr>
      <w:r>
        <w:lastRenderedPageBreak/>
        <w:t>a) En su fundamento jurídico 2 a), la sentencia de la que discrepamos hace una mención a la doctrina sentada por este tribunal acerca del contenido del derecho a la libertad religiosa (art. 16.1 CE), puesto en relación con el carácter aconfesional del Estado (art. 16.3 CE), entendido este último como cláusula de garantía de aquel derecho fundamental de los ciudadanos. En ese recorrido jurisprudencial, sin embargo, la sentencia omite recordar cuál es el significado que concede dicha doctrina a la calificada por esta última como “laicidad positiva”, que es aquella en la que se sustancia el carácter aconfesional del Estado, y que se refiere no solo ya estrictamente al respeto por la impartición de enseñanzas religiosas en centros educativos sino también la no injerencia pública con el “fenómeno religioso” o “componente religioso”, entendida tales expresiones en un sentido amplio. Interesa que nos detengamos aquí, porque esta es la faceta que resulta justamente afectada por la sentencia que ahora ha respaldado la mayoría del Pleno.</w:t>
      </w:r>
    </w:p>
    <w:p w14:paraId="39369DB6" w14:textId="77777777" w:rsidR="009D7677" w:rsidRDefault="009D7677" w:rsidP="009D7677">
      <w:pPr>
        <w:pStyle w:val="TextoNormal"/>
      </w:pPr>
    </w:p>
    <w:p w14:paraId="00BF05FF" w14:textId="77777777" w:rsidR="009D7677" w:rsidRDefault="009D7677" w:rsidP="009D7677">
      <w:pPr>
        <w:pStyle w:val="TextoNormal"/>
      </w:pPr>
      <w:r>
        <w:t xml:space="preserve">A este respecto, la STC 46/2001, de 15 de febrero, en su FJ 4, declaró que la dimensión externa de la libertad religiosa (las cursivas son nuestras): “se traduce en la posibilidad de ejercicio, </w:t>
      </w:r>
      <w:r w:rsidRPr="009D7677">
        <w:rPr>
          <w:i/>
        </w:rPr>
        <w:t>inmune a toda coacción de los poderes públicos, de aquellas actividades que constituyen manifestaciones o expresiones del fenómeno religioso</w:t>
      </w:r>
      <w:r>
        <w:t xml:space="preserve">, asumido en este caso por el sujeto colectivo o comunidades, tales como las que enuncia el art. 2 LOLR y respecto de las que se exige a los poderes públicos una actitud positiva, desde una perspectiva que pudiéramos llamar asistencial o prestacional, conforme a lo que dispone el apartado 3 del mencionado art. 2 LOLR […]; el art. 16.3 de la Constitución, tras formular una declaración de neutralidad (SSTC 340/1993, de 16 de noviembre, y 177/1996, de 11 de noviembre), </w:t>
      </w:r>
      <w:r w:rsidRPr="009D7677">
        <w:rPr>
          <w:i/>
        </w:rPr>
        <w:t>considera el componente religioso perceptible en la sociedad española y ordena a los poderes públicos mantener</w:t>
      </w:r>
      <w:r>
        <w:t xml:space="preserve"> ‘las consiguientes relaciones de cooperación con la Iglesia Católica y las demás confesiones’, introduciendo de este modo una idea de aconfesionalidad o laicidad positiva que ‘veda cualquier tipo de confusión entre fines religiosos y estatales’ (STC 177/1996)”.</w:t>
      </w:r>
    </w:p>
    <w:p w14:paraId="61C4870B" w14:textId="77777777" w:rsidR="009D7677" w:rsidRDefault="009D7677" w:rsidP="009D7677">
      <w:pPr>
        <w:pStyle w:val="TextoNormal"/>
      </w:pPr>
    </w:p>
    <w:p w14:paraId="5C960129" w14:textId="77777777" w:rsidR="009D7677" w:rsidRDefault="009D7677" w:rsidP="009D7677">
      <w:pPr>
        <w:pStyle w:val="TextoNormal"/>
      </w:pPr>
      <w:r>
        <w:t>Esta doctrina se reitera entre otras en las SSTC 128/2001, de 4 de junio, FJ 2; 154/2002, de 18 de julio, FJ 6; 101/2004, de 2 de junio, FJ 3; 38/2007, de 15 de febrero, FJ 5; 34/2011, de 28 de marzo, FJ 3, y 31/2018, de 10 de abril, FJ 10.</w:t>
      </w:r>
    </w:p>
    <w:p w14:paraId="75BF4501" w14:textId="77777777" w:rsidR="009D7677" w:rsidRDefault="009D7677" w:rsidP="009D7677">
      <w:pPr>
        <w:pStyle w:val="TextoNormal"/>
      </w:pPr>
    </w:p>
    <w:p w14:paraId="41681A77" w14:textId="77777777" w:rsidR="009D7677" w:rsidRDefault="009D7677" w:rsidP="009D7677">
      <w:pPr>
        <w:pStyle w:val="TextoNormal"/>
      </w:pPr>
      <w:r>
        <w:t xml:space="preserve">Por tanto, la doctrina pacífica y reiterada del Tribunal habla, cualificándola, de una “laicidad positiva” de los poderes públicos como la única permitida por la Constitución, en cuanto asume como protegible el fenómeno o componente religioso en su amplio sentido, al estar asumido por la sociedad española. Consecuentemente, cabe reconocer a </w:t>
      </w:r>
      <w:r w:rsidRPr="009D7677">
        <w:rPr>
          <w:i/>
        </w:rPr>
        <w:t>sensu contrario</w:t>
      </w:r>
      <w:r>
        <w:t xml:space="preserve"> que nuestra Constitución veda la práctica de una “laicidad negativa” de los mismos poderes públicos, esto es, la promoción de lo agnóstico o ateo como pauta de vida o de adoctrinamiento en este caso de los menores en edad de escolarización.</w:t>
      </w:r>
    </w:p>
    <w:p w14:paraId="20B88EB8" w14:textId="77777777" w:rsidR="009D7677" w:rsidRDefault="009D7677" w:rsidP="009D7677">
      <w:pPr>
        <w:pStyle w:val="TextoNormal"/>
      </w:pPr>
    </w:p>
    <w:p w14:paraId="1861DA2A" w14:textId="77777777" w:rsidR="009D7677" w:rsidRDefault="009D7677" w:rsidP="009D7677">
      <w:pPr>
        <w:pStyle w:val="TextoNormal"/>
      </w:pPr>
      <w:r>
        <w:t>Ese entendimiento pacífico de nuestra doctrina ha venido a quebrarse lamentablemente y sin una explicación concreta con la sentencia de la que ahora discrepamos, al imponer a los tribunales que han dictado las resoluciones aquí impugnadas una medida de laicidad negativa, como ahora se dirá.</w:t>
      </w:r>
    </w:p>
    <w:p w14:paraId="4A923917" w14:textId="77777777" w:rsidR="009D7677" w:rsidRDefault="009D7677" w:rsidP="009D7677">
      <w:pPr>
        <w:pStyle w:val="TextoNormal"/>
      </w:pPr>
    </w:p>
    <w:p w14:paraId="40A6FD52" w14:textId="77777777" w:rsidR="009D7677" w:rsidRDefault="009D7677" w:rsidP="009D7677">
      <w:pPr>
        <w:pStyle w:val="TextoNormal"/>
      </w:pPr>
      <w:r>
        <w:t>b) En efecto, descartado en el caso que nos ocupa que la hija menor de la recurrente esté recibiendo algún tipo de enseñanza religiosa en el centro donde ha sido inscrita en ejecución del auto del juzgado, pues tal hecho no está probado en el expediente (y sí lo con</w:t>
      </w:r>
      <w:r>
        <w:lastRenderedPageBreak/>
        <w:t>trario), resulta que la sentencia de la que discrepamos rechaza que aquella pueda ser escolarizada en un centro que tiene un ideario “cristiano”. Esta premisa, que es la base sobre la que pivota la estimación de la demanda de amparo [FFJJ 2, 5 a) y b)], merece desde luego una consideración crítica:</w:t>
      </w:r>
    </w:p>
    <w:p w14:paraId="7F49D80B" w14:textId="77777777" w:rsidR="009D7677" w:rsidRDefault="009D7677" w:rsidP="009D7677">
      <w:pPr>
        <w:pStyle w:val="TextoNormal"/>
      </w:pPr>
    </w:p>
    <w:p w14:paraId="19816E62" w14:textId="77777777" w:rsidR="009D7677" w:rsidRDefault="009D7677" w:rsidP="009D7677">
      <w:pPr>
        <w:pStyle w:val="TextoNormal"/>
      </w:pPr>
      <w:r>
        <w:t>(i) Como tiene declarado este tribunal en la STC 31/2018, FJ 4 (citado por la sentencia, pero no en el pasaje que ahora se reproduce), está permitido todo ideario religioso en los centros educativos de esta clase, siempre que el mismo resulte constitucionalmente admisible, es decir: “el carácter no sería aceptable si tiene un contenido incompatible por sí mismo con los derechos fundamentales o si, sin vulnerarlos frontalmente, incumple la obligación, derivada del artículo 27.2 de la Constitución, de que la educación prestada en el centro tenga por objeto el pleno desarrollo de la personalidad humana en el respeto a los principios democráticos de convivencia, y a los derechos y libertades fundamentales en su concreta plasmación constitucional, pues estos han de inspirar cualquier modelo educativo, público o privado”.</w:t>
      </w:r>
    </w:p>
    <w:p w14:paraId="2DB20D1C" w14:textId="77777777" w:rsidR="009D7677" w:rsidRDefault="009D7677" w:rsidP="009D7677">
      <w:pPr>
        <w:pStyle w:val="TextoNormal"/>
      </w:pPr>
    </w:p>
    <w:p w14:paraId="17C74AA2" w14:textId="77777777" w:rsidR="009D7677" w:rsidRDefault="009D7677" w:rsidP="009D7677">
      <w:pPr>
        <w:pStyle w:val="TextoNormal"/>
      </w:pPr>
      <w:r>
        <w:t>La sentencia no demuestra mínimamente por qué el ideario cristiano del centro concertado, bien sea el recogido en el “folleto” que toma como base de sus apreciaciones, o bien por evidenciarlo otro elemento de prueba, incumple alguno de los requisitos de nuestra doctrina para ser constitucionalmente válido, que es lo que tendría que argumentar la sentencia y no lo hace, para poder alcanzar de manera razonable la conclusión de que el Estado-Poder Judicial (ya no los padres, pues discrepan en ese punto), deben prohibir en este caso que la menor sea escolarizada en aquel centro.</w:t>
      </w:r>
    </w:p>
    <w:p w14:paraId="7C03A30A" w14:textId="77777777" w:rsidR="009D7677" w:rsidRDefault="009D7677" w:rsidP="009D7677">
      <w:pPr>
        <w:pStyle w:val="TextoNormal"/>
      </w:pPr>
    </w:p>
    <w:p w14:paraId="61E69250" w14:textId="77777777" w:rsidR="009D7677" w:rsidRDefault="009D7677" w:rsidP="009D7677">
      <w:pPr>
        <w:pStyle w:val="TextoNormal"/>
      </w:pPr>
      <w:r>
        <w:t>Sobre el ideario cristiano, de hecho, procede recordar que conforme a lo establecido en el Acuerdo entre el Estado Español y la Santa Sede sobre Enseñanza y Asuntos culturales (Instrumento de ratificación firmado en la Ciudad del Vaticano el 3 de enero de 1979, “Boletín Oficial del Estado” de 15 de diciembre del mismo año), que forma parte por tanto de nuestro ordenamiento jurídico: “En todo caso, la educación que se imparta en los centros docentes públicos será respetuosa con los valores de la ética cristiana” (art. 1); así como también que “las autoridades académicas adoptarán las medidas oportunas para que el hecho de recibir o no recibir la enseñanza religiosa no suponga discriminación alguna en la actividad escolar” (art. 2). Preceptos ambos que responden al principio de laicidad positiva al que hemos hecho ya referencia (art. 16.3 CE), y que nunca han sido objeto de cuestionamiento ante este tribunal.</w:t>
      </w:r>
    </w:p>
    <w:p w14:paraId="2D0A5EB5" w14:textId="77777777" w:rsidR="009D7677" w:rsidRDefault="009D7677" w:rsidP="009D7677">
      <w:pPr>
        <w:pStyle w:val="TextoNormal"/>
      </w:pPr>
    </w:p>
    <w:p w14:paraId="429FDEBE" w14:textId="77777777" w:rsidR="009D7677" w:rsidRDefault="009D7677" w:rsidP="009D7677">
      <w:pPr>
        <w:pStyle w:val="TextoNormal"/>
      </w:pPr>
      <w:r>
        <w:t xml:space="preserve">(ii) Pero además, no puede prescindirse tampoco del hecho de que el centro educativo propuesto por el padre y autorizado por los tribunales es un centro religioso concertado, lo que implica que a cambio de los fondos que recibe de la administración autonómica competente ha de someterse a los controles que esta última ha impuesto al firmar el concierto, y durante toda su vigencia (art. 116 de la Ley Orgánica 2/2006, de 3 de mayo, de educación —reformado por la Ley Orgánica 3/2020, de 29 de diciembre—; Real Decreto 2377/1985, de 18 de diciembre, por el que se aprueba el Reglamento de normas básicas sobre conciertos educativos; y decreto 56/1993, de 23 de febrero, de la Generalitat de Cataluña, sobre conciertos educativos). Control lógicamente no solo sobre la calidad de sus enseñanzas, sino de la conformidad de su ideario con los valores constitucionales. Cualquiera que sea el ideario con el que el colegio se establece en el momento de su creación, cuando firma un concierto con la administración, ese ideario tiene que modularse para </w:t>
      </w:r>
      <w:r>
        <w:lastRenderedPageBreak/>
        <w:t>permitir el acceso de todo tipo de alumnos que reúnan las circunstancias objetivas señaladas en el baremo que, obvio es decirlo, no puede establecer ninguna circunstancia, favorable o negativa para la admisión, relativa a la formación religiosa que desean o rechazan los padres para sus hijos.</w:t>
      </w:r>
    </w:p>
    <w:p w14:paraId="123CC9B4" w14:textId="77777777" w:rsidR="009D7677" w:rsidRDefault="009D7677" w:rsidP="009D7677">
      <w:pPr>
        <w:pStyle w:val="TextoNormal"/>
      </w:pPr>
    </w:p>
    <w:p w14:paraId="51CB0988" w14:textId="77777777" w:rsidR="009D7677" w:rsidRDefault="009D7677" w:rsidP="009D7677">
      <w:pPr>
        <w:pStyle w:val="TextoNormal"/>
      </w:pPr>
      <w:r>
        <w:t>c) La sentencia de la que discrepamos parte de una contraposición entre escuela pública y religiosa concertada, que no puede ser aceptada. La sentencia sostiene la idea de que la simple existencia de un ambiente religioso significa una presencia tóxica del que hay que preservar a toda costa a la hija menor de la recurrente. Ya no se trata de que no reciba enseñanza religiosa alguna (decisión judicial ya adoptada), sino que no vea signos religiosos (cruces cristianas, etc.) dentro de las instalaciones, que desconozca lo que es una monja o un sacerdote y desde luego que no tenga cualquier conversación con ellos aunque se refiera a clases o tutorías de las asignaturas no religiosas. O en fin, que interactúe con otros menores que sí van a la clase de religión, rezan o sencillamente participan de las creencias de sus padres, porque todo lo que sea tener cualquier acercamiento al fenómeno religioso debe ser impedido por el juez, por el Estado.</w:t>
      </w:r>
    </w:p>
    <w:p w14:paraId="394D4A52" w14:textId="77777777" w:rsidR="009D7677" w:rsidRDefault="009D7677" w:rsidP="009D7677">
      <w:pPr>
        <w:pStyle w:val="TextoNormal"/>
      </w:pPr>
    </w:p>
    <w:p w14:paraId="5638E56C" w14:textId="77777777" w:rsidR="009D7677" w:rsidRDefault="009D7677" w:rsidP="009D7677">
      <w:pPr>
        <w:pStyle w:val="TextoNormal"/>
      </w:pPr>
      <w:r>
        <w:t>Lo que hace la sentencia, de este modo, es mutar el objeto del debate constitucional planteado (recordemos: no si debía recibir enseñanza religiosa, aclarado en sentido negativo por los tribunales, si no en qué centro educativo formarse), por otro distinto: el del necesario aislamiento del menor de todo signo religioso. Pero eso no es lo que garantiza el art. 27.3 CE. Lo importante, en interés superior del menor, es conciliar las opciones educativas de cada progenitor e intentar establecer un equilibrio satisfactorio entre las concepciones individuales de cada uno, y esto es lo que consiguieron las resoluciones judiciales objeto de este recurso.</w:t>
      </w:r>
    </w:p>
    <w:p w14:paraId="54218BE4" w14:textId="77777777" w:rsidR="009D7677" w:rsidRDefault="009D7677" w:rsidP="009D7677">
      <w:pPr>
        <w:pStyle w:val="TextoNormal"/>
      </w:pPr>
    </w:p>
    <w:p w14:paraId="0183517D" w14:textId="77777777" w:rsidR="009D7677" w:rsidRDefault="009D7677" w:rsidP="009D7677">
      <w:pPr>
        <w:pStyle w:val="TextoNormal"/>
      </w:pPr>
      <w:r>
        <w:t>d) Para llegar al resultado estimatorio del recurso, el fundamento jurídico 5 a) de la sentencia de la que se discrepa reconstruye incluso de oficio la demanda de la recurrente (como se reconoce al decir que “[a]unque el recurso no apela expresamente al derecho de libertad de creencia de la menor” —en realidad, ya vimos que dicho escrito expresamente desiste de ello—), para hacer girar el juicio de ponderación en torno a lo que la sentencia denomina el derecho de la menor “a autodeterminarse en materia de creencias religiosas” siempre que “carezca de madurez para ejercer” su libertad religiosa (la sentencia se limita a apuntar que tenía cuatro años al iniciarse el procedimiento, como si desde entonces el tiempo no hubiera transcurrido) y “los padres no se ponen de acuerdo en la elección de un centro educativo”. Se proclama entonces [FJ 5 b)] que el interés superior de la menor “es que la decisión que se adopte procure que esa formación escolar se desarrolle en un entorno de neutralidad, con el fin de que pueda formar sus propias convicciones de manera libre”; pero tal neutralidad consiste irreductiblemente en que el juez imponga su escolarización en un “colegio público no confesional”, sin importar la diferencia de calidad de la enseñanza ofrecida entre el centro concertado y en el público; y al margen de que como igualmente reconoce la sentencia, “cada uno de los progenitores puede hacer partícipe a su hija de sus propias convicciones morales y religiosas” durante el tiempo en que se halle fuera del colegio.</w:t>
      </w:r>
    </w:p>
    <w:p w14:paraId="3111EDEF" w14:textId="77777777" w:rsidR="009D7677" w:rsidRDefault="009D7677" w:rsidP="009D7677">
      <w:pPr>
        <w:pStyle w:val="TextoNormal"/>
      </w:pPr>
    </w:p>
    <w:p w14:paraId="2C74A86B" w14:textId="77777777" w:rsidR="009D7677" w:rsidRDefault="009D7677" w:rsidP="009D7677">
      <w:pPr>
        <w:pStyle w:val="TextoNormal"/>
      </w:pPr>
      <w:r>
        <w:t xml:space="preserve">Ciertamente, ya la doctrina de este tribunal había reconocido a los menores de edad la titularidad del derecho fundamental a la libertad religiosa y a que su ejercicio por estos se modulará en función de su madurez, “y los distintos estadios en que la legislación gradúa </w:t>
      </w:r>
      <w:r>
        <w:lastRenderedPageBreak/>
        <w:t>su capacidad de obrar” [SSTC 141/2000, de 29 de mayo, FJ 5; también 154/2002, de 18 de julio, FJ 9 a)]. Pero nunca había anudado a esa titularidad un pretendido derecho del menor a autodeterminarse cuando ya tenga madurez, no ya sobre si quiere recibir enseñanza religiosa, sino sobre el centro educativo en el que ha de ser escolarizado, ni menos todavía conferir al Estado-Poder Judicial el deber de acordar, en caso de discrepancia al respecto de los padres, el aislamiento del menor de todo fenómeno religioso mediante su inscripción en un colegio público, al margen de la concreta oferta educativa de este, y motivado precisamente por las creencias religiosas de uno de los progenitores, con lo que de paso se estigmatiza a este.</w:t>
      </w:r>
    </w:p>
    <w:p w14:paraId="19292F76" w14:textId="77777777" w:rsidR="009D7677" w:rsidRDefault="009D7677" w:rsidP="009D7677">
      <w:pPr>
        <w:pStyle w:val="TextoNormal"/>
      </w:pPr>
    </w:p>
    <w:p w14:paraId="05697154" w14:textId="77777777" w:rsidR="009D7677" w:rsidRDefault="009D7677" w:rsidP="009D7677">
      <w:pPr>
        <w:pStyle w:val="TextoNormal"/>
      </w:pPr>
      <w:r>
        <w:t>Se trata de una afirmación de enorme gravedad. Con esta interpretación peculiar del art. 16.3 CE, el derecho de los padres del art. 27.3 CE queda materialmente abolido, en cuanto se constate que los progenitores divergen en el tipo de educación religiosa o moral a recibir. Con automatismo, se obliga al Estado-Poder Judicial a imponer la escolarización de todo menor en un centro público, alejado de toda manifestación del fenómeno religioso (no simplemente de recibir una formación religiosa).</w:t>
      </w:r>
    </w:p>
    <w:p w14:paraId="1AF94540" w14:textId="77777777" w:rsidR="009D7677" w:rsidRDefault="009D7677" w:rsidP="009D7677">
      <w:pPr>
        <w:pStyle w:val="TextoNormal"/>
      </w:pPr>
    </w:p>
    <w:p w14:paraId="0C8AD42E" w14:textId="77777777" w:rsidR="009D7677" w:rsidRDefault="009D7677" w:rsidP="009D7677">
      <w:pPr>
        <w:pStyle w:val="TextoNormal"/>
      </w:pPr>
      <w:r>
        <w:t>Es evidente que a falta de acuerdo entre los padres, la solución que cabría constitucionalmente esperar de la autoridad judicial, conforme al principio de laicidad positiva reconocida pacíficamente por nuestra doctrina hasta ahora, es que no se permita el adoctrinamiento de los hijos en cualquier sentido, tanto el adoctrinamiento religioso como el agnóstico o ateo, durante su estancia en el centro educativo. Fuera de él, como precisan los autos impugnados, cada progenitor tiene la libertad de transmitir a su hijo menor las creencias de cada uno. La existencia de posiciones encontradas entre los padres se resuelve correctamente, como han hecho las resoluciones judiciales aquí impugnadas, asegurando que la hija de la recurrente no cursara la asignatura de religión ni ninguna otra actividad religiosa en el colegio concertado, más no privarle de la mejor oferta educativa de la que este dispone.</w:t>
      </w:r>
    </w:p>
    <w:p w14:paraId="5D636DD1" w14:textId="77777777" w:rsidR="009D7677" w:rsidRDefault="009D7677" w:rsidP="009D7677">
      <w:pPr>
        <w:pStyle w:val="TextoNormal"/>
      </w:pPr>
    </w:p>
    <w:p w14:paraId="70B06A81" w14:textId="77777777" w:rsidR="009D7677" w:rsidRDefault="009D7677" w:rsidP="009D7677">
      <w:pPr>
        <w:pStyle w:val="TextoNormal"/>
      </w:pPr>
      <w:r>
        <w:t>Así es como de verdad se protege el derecho de la menor a que cuando ella lo considere oportuno, y a la edad que así suceda, pueda elegir con absoluta libertad el profesar o no creencias religiosas. No ordenando a los jueces que fomenten el rechazo y el aislamiento de los menores de edad a toda expresión del hecho religioso, con total automatismo, como ha hecho la sentencia, en ejercicio de una laicidad negativa no reconocida constitucionalmente por el art. 16.3 CE.</w:t>
      </w:r>
    </w:p>
    <w:p w14:paraId="0F4E8EA7" w14:textId="77777777" w:rsidR="009D7677" w:rsidRDefault="009D7677" w:rsidP="009D7677">
      <w:pPr>
        <w:pStyle w:val="TextoNormal"/>
      </w:pPr>
    </w:p>
    <w:p w14:paraId="48307AD4" w14:textId="77777777" w:rsidR="009D7677" w:rsidRDefault="009D7677" w:rsidP="009D7677">
      <w:pPr>
        <w:pStyle w:val="TextoNormal"/>
      </w:pPr>
      <w:r>
        <w:t>Es contrario a la realidad pensar que un niño ajeno al hecho religioso desde que nace pueda cambiar de opinión con cuatro charlas que le dé el padre cuando tenga determinada edad, no se sabe cuándo será ese día. La divergencia entre los padres debe ser percibida por el menor desde el comienzo de su educación. La existencia de posiciones encontradas entre los padres se resuelve, como han hecho las resoluciones judiciales, permitiendo que cada padre manifieste con claridad sus opiniones. Así es como de verdad se protege el derecho de la menor a que cuando ella lo considere oportuno, y a la edad que así lo considere, pueda elegir con absoluta libertad.</w:t>
      </w:r>
    </w:p>
    <w:p w14:paraId="1A8555E0" w14:textId="77777777" w:rsidR="009D7677" w:rsidRDefault="009D7677" w:rsidP="009D7677">
      <w:pPr>
        <w:pStyle w:val="TextoNormal"/>
      </w:pPr>
    </w:p>
    <w:p w14:paraId="2071D9EB" w14:textId="77777777" w:rsidR="009D7677" w:rsidRDefault="009D7677" w:rsidP="009D7677">
      <w:pPr>
        <w:pStyle w:val="TextoNormal"/>
      </w:pPr>
      <w:r>
        <w:t>e) Las sentencias del Tribunal Europeo de Derechos Humanos que cita el fundamento jurídico 3 de la sentencia de la que discrepamos, asientan una doctrina que sin embargo resulta contraria a la solución a la que llega esta última. Lo que se extrae de las resolucio</w:t>
      </w:r>
      <w:r>
        <w:lastRenderedPageBreak/>
        <w:t>nes del Tribunal Europeo, con base en lo establecido en el art. 2 del Protocolo adicional al convenio europeo de derechos humanos “[e]l estado, en el ejercicio de las funciones que asuma en el campo de la educación y de la enseñanza, respetará el derecho de los padres a asegurar esta educación y esta enseñanza conforme a sus convicciones religiosas y filosóficas”, equivalente a nuestro art. 27.3 CE, y del art. 9 del propio Convenio (derecho a la libertad de pensamiento, de conciencia y de religión), es la prohibición dirigida al Estado para que no lleve a cabo ninguna labor de adoctrinamiento que no respete las convicciones religiosas y filosóficas de los progenitores.</w:t>
      </w:r>
    </w:p>
    <w:p w14:paraId="07794788" w14:textId="77777777" w:rsidR="009D7677" w:rsidRDefault="009D7677" w:rsidP="009D7677">
      <w:pPr>
        <w:pStyle w:val="TextoNormal"/>
      </w:pPr>
    </w:p>
    <w:p w14:paraId="0DEBB3B0" w14:textId="77777777" w:rsidR="009D7677" w:rsidRDefault="009D7677" w:rsidP="009D7677">
      <w:pPr>
        <w:pStyle w:val="TextoNormal"/>
      </w:pPr>
      <w:r>
        <w:t xml:space="preserve">Y no cabe hablar de adoctrinamiento por permitir el Estado manifestaciones del fenómeno religioso en un centro educativo, como pueden ser: (i) la presencia de crucifijos en las aulas de un colegio público, cuando es un símbolo que se corresponde con la religión mayoritaria en ese país (STEDH, Gran Sala, de 18 de marzo de 2011, asunto </w:t>
      </w:r>
      <w:r w:rsidRPr="009D7677">
        <w:rPr>
          <w:i/>
        </w:rPr>
        <w:t>Lautsi y otros c. Italia</w:t>
      </w:r>
      <w:r>
        <w:t>, § 71), siendo además el crucifijo colgado en la pared “un símbolo esencialmente pasivo, y este aspecto es relevante a juicio del Tribunal, en atención especialmente al principio de neutralidad” (</w:t>
      </w:r>
      <w:r w:rsidRPr="009D7677">
        <w:rPr>
          <w:i/>
        </w:rPr>
        <w:t>ibid</w:t>
      </w:r>
      <w:r>
        <w:t xml:space="preserve">., § 72; también § 74 y 77); y (ii) tampoco que un menor presencie un rito religioso, sin obligarle a participar en él, y dicho evento no forme parte de las enseñanzas del centro (STEDH de 20 de octubre de 2020, asunto </w:t>
      </w:r>
      <w:r w:rsidRPr="009D7677">
        <w:rPr>
          <w:i/>
        </w:rPr>
        <w:t>Perovy c. Rusia</w:t>
      </w:r>
      <w:r>
        <w:t xml:space="preserve">, parágrafos 57, 76 y 77). Como establece la STEDH de 19 de mayo de 2022, asunto </w:t>
      </w:r>
      <w:r w:rsidRPr="009D7677">
        <w:rPr>
          <w:i/>
        </w:rPr>
        <w:t>T.C. c. Italia</w:t>
      </w:r>
      <w:r>
        <w:t xml:space="preserve">, en un caso de disparidad de creencias religiosas entre los dos progenitores y en el que las autoridades optaron por que prevaleciera la religión —católica— de uno de ellos, por ser aquella en la que estaba educado el menor, tal decisión no vulnera el derecho a la no discriminación entre progenitores </w:t>
      </w:r>
      <w:r w:rsidRPr="009D7677">
        <w:rPr>
          <w:i/>
        </w:rPr>
        <w:t>ex</w:t>
      </w:r>
      <w:r>
        <w:t xml:space="preserve"> art. 14 CEDH, pues el interés superior del menor supone conciliar las opciones educativas de cada uno de los padres, intentando lograr un “equilibrio satisfactorio” entre dichos intereses (§ 42 y 52).</w:t>
      </w:r>
    </w:p>
    <w:p w14:paraId="46902110" w14:textId="77777777" w:rsidR="009D7677" w:rsidRDefault="009D7677" w:rsidP="009D7677">
      <w:pPr>
        <w:pStyle w:val="TextoNormal"/>
      </w:pPr>
    </w:p>
    <w:p w14:paraId="55F04349" w14:textId="77777777" w:rsidR="009D7677" w:rsidRDefault="009D7677" w:rsidP="009D7677">
      <w:pPr>
        <w:pStyle w:val="TextoNormal"/>
      </w:pPr>
      <w:r>
        <w:t>Justo lo que no ha hecho la sentencia de la que discrepamos. La escolarización en un centro público no se debe a su mejor oferta educativa, o a la falta de recursos económicos de los progenitores, sino que se impone al juez que satisfaga la creencia agnóstica o atea de uno de los padres. No hay equilibrio alguno entre ellos.</w:t>
      </w:r>
    </w:p>
    <w:p w14:paraId="53F8EB08" w14:textId="77777777" w:rsidR="009D7677" w:rsidRDefault="009D7677" w:rsidP="009D7677">
      <w:pPr>
        <w:pStyle w:val="TextoNormal"/>
      </w:pPr>
    </w:p>
    <w:p w14:paraId="498DD58E" w14:textId="77777777" w:rsidR="009D7677" w:rsidRDefault="009D7677" w:rsidP="009D7677">
      <w:pPr>
        <w:pStyle w:val="TextoNormal"/>
      </w:pPr>
      <w:r>
        <w:t>f) Finalmente, además de las graves consecuencias que acarrea en cuanto a la fijación de la doctrina que respalda la sentencia de la que se discrepa, hay que añadir que ni siquiera la solución adoptada es coherente con los propios postulados que la sustentan, ni desde luego satisfacen el interés superior de la menor en este caso. Los efectos de la estimación del recurso que concreta el fallo, no es solo la indebida nulidad de los autos impugnados (insistimos: el recurso de amparo debió ser desestimado), sino la retroacción de las actuaciones “al momento inmediatamente anterior a dictarse el auto del Juzgado de Primera Instancia núm. 15 de Barcelona, para que dicho órgano judicial dicte nueva resolución respetuosa con los derechos fundamentales lesionados”, es decir, en el colegio público elegido por la madre. La sentencia no ordena repetir el procedimiento y en concreto la vista oral, sino que directamente el juzgado ha de dictar nuevo auto de fondo sobre el conflicto planteado.</w:t>
      </w:r>
    </w:p>
    <w:p w14:paraId="6BD7E0CE" w14:textId="77777777" w:rsidR="009D7677" w:rsidRDefault="009D7677" w:rsidP="009D7677">
      <w:pPr>
        <w:pStyle w:val="TextoNormal"/>
      </w:pPr>
    </w:p>
    <w:p w14:paraId="0769293D" w14:textId="77777777" w:rsidR="009D7677" w:rsidRDefault="009D7677" w:rsidP="009D7677">
      <w:pPr>
        <w:pStyle w:val="TextoNormal"/>
      </w:pPr>
      <w:r>
        <w:t xml:space="preserve">El automatismo es tal que, yendo contra su propia fundamentación fundada en el derecho de autodeterminación de la menor, el fallo permitiría que esta no fuera oída en el procedimiento pese a que a la fecha de dictarse esta sentencia la hija de la recurrente cuenta ya con casi ocho años y diez meses de edad (habiendo transcurridos más de cuatro años </w:t>
      </w:r>
      <w:r>
        <w:lastRenderedPageBreak/>
        <w:t>desde que se celebró la comparecencia de los padres ante en el juzgado de familia de Barcelona). Edad suficiente para que sea oída por el juez “si tuviere suficiente madurez”, tal y como exige el art. 85.1 de la Ley de jurisdicción voluntaria (y en todo caso si fuere mayor de doce años), precepto aplicado al procedimiento, así como en el art. 9 de la Ley Orgánica 1/1996, de 15 de enero, de protección jurídica del menor. Esto es, por cierto, lo que también tiene dicho este Tribunal Constitucional por ejemplo en su reciente STC 5/2023, de 20 de febrero, en cuyos fundamentos jurídicos 3 y 4, con cita de otras resoluciones anteriores, califica dicho trámite como preceptivo y otorga el amparo por haberse prescindido injustificadamente de él, recordando por ello el fundamento jurídico 4 que el efecto natural inherente a esa estimación supone retrotraer las actuaciones para que el menor sea oído (si bien en ese caso no se acuerda así, porque el asunto objeto de controversia entre los progenitores —si el hijo debía o no ser bautizado— ya se había producido).</w:t>
      </w:r>
    </w:p>
    <w:p w14:paraId="39DD8185" w14:textId="77777777" w:rsidR="009D7677" w:rsidRDefault="009D7677" w:rsidP="009D7677">
      <w:pPr>
        <w:pStyle w:val="TextoNormal"/>
      </w:pPr>
    </w:p>
    <w:p w14:paraId="6867A645" w14:textId="77777777" w:rsidR="009D7677" w:rsidRDefault="009D7677" w:rsidP="009D7677">
      <w:pPr>
        <w:pStyle w:val="TextoNormal"/>
      </w:pPr>
      <w:r>
        <w:t>De esta manera, en el caso que ahora nos ocupa y donde el conflicto entre los progenitores sigue vigente (se trata de la escolarización de la hija común, en sus distintos niveles) se impediría al juzgado pueda valorar algo que resulta capital en las medidas referentes a menores, y es la importancia que tiene el paso del tiempo en el desarrollo de estos.</w:t>
      </w:r>
    </w:p>
    <w:p w14:paraId="4271F8E8" w14:textId="77777777" w:rsidR="009D7677" w:rsidRDefault="009D7677" w:rsidP="009D7677">
      <w:pPr>
        <w:pStyle w:val="TextoNormal"/>
      </w:pPr>
    </w:p>
    <w:p w14:paraId="61CAB2EF" w14:textId="77777777" w:rsidR="009D7677" w:rsidRDefault="009D7677" w:rsidP="009D7677">
      <w:pPr>
        <w:pStyle w:val="TextoNormal"/>
      </w:pPr>
      <w:r>
        <w:t>Y en tal sentido emitimos nuestro voto particular.</w:t>
      </w:r>
    </w:p>
    <w:p w14:paraId="75DB5329" w14:textId="77777777" w:rsidR="009D7677" w:rsidRDefault="009D7677" w:rsidP="009D7677">
      <w:pPr>
        <w:pStyle w:val="TextoNormal"/>
      </w:pPr>
    </w:p>
    <w:p w14:paraId="77D4A3D6" w14:textId="7A124965" w:rsidR="009D7677" w:rsidRDefault="009D7677" w:rsidP="009D7677">
      <w:pPr>
        <w:pStyle w:val="TextoNormal"/>
      </w:pPr>
      <w:r>
        <w:t>Madrid, a catorce de febrero de dos mil veinticuatro.</w:t>
      </w:r>
    </w:p>
    <w:p w14:paraId="7223BD62" w14:textId="77777777" w:rsidR="009D7677" w:rsidRDefault="009D7677" w:rsidP="009D7677">
      <w:pPr>
        <w:pStyle w:val="TextoNormal"/>
      </w:pPr>
    </w:p>
    <w:p w14:paraId="4716AF2F" w14:textId="77777777" w:rsidR="009D7677" w:rsidRDefault="009D7677" w:rsidP="009D7677">
      <w:pPr>
        <w:pStyle w:val="TextoNormalNegritaCentrado"/>
        <w:keepNext/>
      </w:pPr>
      <w:r>
        <w:t>Voto particular concurrente que formula el magistrado don Juan Carlos Campo Moreno a la sentencia dictada en el recurso de amparo avocado al Pleno núm. 4958-2021</w:t>
      </w:r>
    </w:p>
    <w:p w14:paraId="1076EF12" w14:textId="3DBE42D5" w:rsidR="009D7677" w:rsidRDefault="009D7677" w:rsidP="009D7677">
      <w:pPr>
        <w:pStyle w:val="TextoNormalNegritaCentrado"/>
        <w:keepNext/>
      </w:pPr>
    </w:p>
    <w:p w14:paraId="76FC0158" w14:textId="77777777" w:rsidR="009D7677" w:rsidRDefault="009D7677" w:rsidP="009D7677">
      <w:pPr>
        <w:pStyle w:val="TextoNormal"/>
      </w:pPr>
      <w:r>
        <w:t>Con el máximo respeto a mis compañeros, me veo obligado a expresar mediante el presente voto concurrente mi disconformidad con el texto aprobado por la mayoría del Pleno. Mi discrepancia no se refiere al fallo estimatorio, que comparto, sino a la argumentación en que dicho fallo se apoya.</w:t>
      </w:r>
    </w:p>
    <w:p w14:paraId="0C0EDCCE" w14:textId="77777777" w:rsidR="009D7677" w:rsidRDefault="009D7677" w:rsidP="009D7677">
      <w:pPr>
        <w:pStyle w:val="TextoNormal"/>
      </w:pPr>
    </w:p>
    <w:p w14:paraId="1F479995" w14:textId="77777777" w:rsidR="009D7677" w:rsidRDefault="009D7677" w:rsidP="009D7677">
      <w:pPr>
        <w:pStyle w:val="TextoNormal"/>
      </w:pPr>
      <w:r>
        <w:t>He de aclarar, en primer lugar, que estoy de acuerdo con la línea de argumentación de la sentencia aprobada en uno de sus puntos cruciales, relativo al modo en que, en un caso como el ahora enjuiciado, se ha de determinar el interés superior del hijo o hija menor de edad. Entiendo, en efecto, que el juez civil debe proteger la capacidad potencial del niño o niña de autodeterminarse en relación con el hecho religioso una vez que alcance la madurez suficiente. Como la mayoría de mis compañeros, asumo que el modo más idóneo para lograr ese objetivo, hasta tanto llega ese momento y vista la discrepancia existente entre los padres, consiste en la selección de un centro de enseñanza que resulte suficientemente neutral en el ámbito de las creencias religiosas. Comparto, igualmente, que esa condición o atributo de “neutralidad” solo estaba presente, en el caso concretamente enjuiciado, en el centro de enseñanza (no confesional) elegido por doña N.C.R. (madre de la menor y demandante de amparo), no tanto porque en el colegio elegido por el padre contemplase, dentro de la ruta curricular, la enseñanza de la asignatura de religión, sino porque dicho centro estaba caracterizado por un proyecto educativo profundamente imbuido de convicciones religiosas, que impregnaban, en definitiva, todo el desarrollo de la vida escolar.</w:t>
      </w:r>
    </w:p>
    <w:p w14:paraId="3D10AC9A" w14:textId="77777777" w:rsidR="009D7677" w:rsidRDefault="009D7677" w:rsidP="009D7677">
      <w:pPr>
        <w:pStyle w:val="TextoNormal"/>
      </w:pPr>
    </w:p>
    <w:p w14:paraId="77CB8EB6" w14:textId="77777777" w:rsidR="009D7677" w:rsidRDefault="009D7677" w:rsidP="009D7677">
      <w:pPr>
        <w:pStyle w:val="TextoNormal"/>
      </w:pPr>
      <w:r>
        <w:lastRenderedPageBreak/>
        <w:t>Ahora bien, aunque, como he dicho, comparto la esencia del razonamiento relativo a la satisfacción del interés superior del menor, discrepo de la construcción iusfundamental que ha llevado a mis compañeros a considerar que estamos, en el presente caso, ante un conflicto entre derechos fundamentales propios de los padres de la menor afectada.</w:t>
      </w:r>
    </w:p>
    <w:p w14:paraId="382C5120" w14:textId="77777777" w:rsidR="009D7677" w:rsidRDefault="009D7677" w:rsidP="009D7677">
      <w:pPr>
        <w:pStyle w:val="TextoNormal"/>
      </w:pPr>
    </w:p>
    <w:p w14:paraId="19473A21" w14:textId="77777777" w:rsidR="009D7677" w:rsidRDefault="009D7677" w:rsidP="009D7677">
      <w:pPr>
        <w:pStyle w:val="TextoNormal"/>
      </w:pPr>
      <w:r>
        <w:t>Resumidamente, la argumentación de la sentencia se basa, en ese concreto punto, en los razonamientos siguientes: (i) Cuando los progenitores pretenden escolarizar al hijo o hija común en colegios de ideario distinto, siguiendo sus respectivas convicciones ideológicas o religiosas, se produce un conflicto en el ejercicio del derecho fundamental que a ambos progenitores corresponde, conforme al art. 27.3 CE, para elegir una enseñanza acorde con las propias convicciones morales;(ii) el juez civil debe resolver dicho conflicto mediante una ponderación que satisfaga el interés superior del hijo o hija menor de edad (interés que se concreta del modo que ya ha sido expuesto); (iii) si el juez civil yerra al realizar esa ponderación y da primacía, de un modo no acorde al interés superior del hijo o hija menor, al derecho fundamental de uno de los dos progenitores vulnera necesariamente el paralelo derecho fundamental del otro (cuya pretensión se ha visto rechazada).</w:t>
      </w:r>
    </w:p>
    <w:p w14:paraId="43F4FFB4" w14:textId="77777777" w:rsidR="009D7677" w:rsidRDefault="009D7677" w:rsidP="009D7677">
      <w:pPr>
        <w:pStyle w:val="TextoNormal"/>
      </w:pPr>
    </w:p>
    <w:p w14:paraId="5F6D1C5F" w14:textId="77777777" w:rsidR="009D7677" w:rsidRDefault="009D7677" w:rsidP="009D7677">
      <w:pPr>
        <w:pStyle w:val="TextoNormal"/>
      </w:pPr>
      <w:r>
        <w:t>Según expresé en la deliberación del Pleno, esta construcción no me parece convincente por las siguientes razones:</w:t>
      </w:r>
    </w:p>
    <w:p w14:paraId="57F6A395" w14:textId="77777777" w:rsidR="009D7677" w:rsidRDefault="009D7677" w:rsidP="009D7677">
      <w:pPr>
        <w:pStyle w:val="TextoNormal"/>
      </w:pPr>
    </w:p>
    <w:p w14:paraId="684FCD0D" w14:textId="77777777" w:rsidR="009D7677" w:rsidRDefault="009D7677" w:rsidP="009D7677">
      <w:pPr>
        <w:pStyle w:val="TextoNormal"/>
      </w:pPr>
      <w:r>
        <w:t>(i) La idea misma de que nos encontramos ante un conflicto de derechos fundamentales de titularidad de los progenitores me parece muy discutible. Para vislumbrar la debilidad de semejante planteamiento teórico basta, en realidad, con alejarse, haciendo un pequeño ejercicio de abstracción, del caso concretamente enjuiciado y preguntarse lo siguiente ¿a qué derecho fundamental de los padres habría debido dar primacía el juez civil si el interés del menor no hubiese coincidido con ninguna de las pretensiones ejercitadas por estos? Piénsese en el siguiente supuesto: dos progenitores profesan convicciones religiosas diferentes y pretenden la escolarización del hijo o hija común en dos colegios con fuerte, pero divergente, ideario religioso. Probablemente, la protección de la capacidad potencial de autodeterminación religiosa (de la capacidad decisoria futura) del hijo o hija (como elemento determinante de su interés superior) debería llevar al juez civil, en ese caso, a ordenar la escolarización en un centro distinto al elegido por cada uno de los progenitores, que guardase unas mínimas condiciones de neutralidad frente a las divergentes pretensiones proselitistas de los padres. Tal decisión no coincidiría, en el supuesto aludido, con ninguna de las pretensiones ejercitadas por los progenitores litigantes. No podría darse, pues, primacía al supuesto derecho fundamental de uno de ellos en su relación horizontal con el otro. Se habría de adoptar una decisión que, simplemente, protegiese el interés superior del menor.</w:t>
      </w:r>
    </w:p>
    <w:p w14:paraId="664151AE" w14:textId="77777777" w:rsidR="009D7677" w:rsidRDefault="009D7677" w:rsidP="009D7677">
      <w:pPr>
        <w:pStyle w:val="TextoNormal"/>
      </w:pPr>
    </w:p>
    <w:p w14:paraId="01E7B25B" w14:textId="77777777" w:rsidR="009D7677" w:rsidRDefault="009D7677" w:rsidP="009D7677">
      <w:pPr>
        <w:pStyle w:val="TextoNormal"/>
      </w:pPr>
      <w:r>
        <w:t>La tesis sostenida por la mayoría pasa por alto, en definitiva, que hay casos en los que el juez civil puede verse excepcionalmente obligado a resolver este tipo de conflicto de un modo que no resulte acorde a una de las pretensiones ejercitadas por los padres, si ambas resultan perjudiciales para el interés superior del menor. No está de más recordar que, de acuerdo con la doctrina de este tribunal, hay situaciones en que los menores deben ser protegidos incluso frente a pretensiones proselitistas de sus propios padres (STC 141/2000, de 29 de mayo). Esto se corresponde mal con la idea de un conflicto entre derechos propios de los progenitores, en el que el derecho de uno deba ceder ante el derecho del otro.</w:t>
      </w:r>
    </w:p>
    <w:p w14:paraId="383E5445" w14:textId="77777777" w:rsidR="009D7677" w:rsidRDefault="009D7677" w:rsidP="009D7677">
      <w:pPr>
        <w:pStyle w:val="TextoNormal"/>
      </w:pPr>
    </w:p>
    <w:p w14:paraId="346D922F" w14:textId="77777777" w:rsidR="009D7677" w:rsidRDefault="009D7677" w:rsidP="009D7677">
      <w:pPr>
        <w:pStyle w:val="TextoNormal"/>
      </w:pPr>
      <w:r>
        <w:lastRenderedPageBreak/>
        <w:t>(ii) Tampoco me parece convincente que el pretendido conflicto horizontal entre los derechos fundamentales de los padres tenga su concreto anclaje jurídico en el art. 27.3 CE. A mi modo de ver, en la doctrina del Tribunal Constitucional y en la propia formulación contenida en la letra de la Constitución “[l]os poderes públicos garantizan el derecho que asiste a los padres para que sus hijos reciban la formación religiosa y moral que esté de acuerdo con sus propias convicciones” el art. 27.3 CE ha de entenderse como una garantía que protege a los padres frente a la injerencia indebida del poder público. Se protege a los padres frente a un adoctrinamiento ideológico estatal contrario a las propias convicciones. Conforme a esa naturaleza de garantía constitucional frente al proselitismo del Estado, a la que incluso se ha referido a veces el Tribunal como “garantía institucional” [STC 5/2023, de 20 de febrero, FJ 2 c)], entiendo que la pretendida eficacia o efecto horizontal del art. 27.3 CE en el ámbito de las relaciones entabladas entre los propios progenitores carece de sustento jurídico suficiente. Es más, considero que tal planteamiento conduce a una cierta cosificación de los hijos e hijas menores, como si estos no fueran titulares plenos de los derechos fundamentales (incluida la libertad religiosa) y fueran, más bien, el mero objeto sobre el que los padres proyectan sus propias convicciones morales.</w:t>
      </w:r>
    </w:p>
    <w:p w14:paraId="6013AFB3" w14:textId="77777777" w:rsidR="009D7677" w:rsidRDefault="009D7677" w:rsidP="009D7677">
      <w:pPr>
        <w:pStyle w:val="TextoNormal"/>
      </w:pPr>
    </w:p>
    <w:p w14:paraId="342D3609" w14:textId="77777777" w:rsidR="009D7677" w:rsidRDefault="009D7677" w:rsidP="009D7677">
      <w:pPr>
        <w:pStyle w:val="TextoNormal"/>
      </w:pPr>
      <w:r>
        <w:t>(iii) Lo dicho no significa que no puedan existir supuestos de conflicto parental sobre la educación religiosa del hijo o hija común con incidencia en los derechos fundamentales de los propios padres. Ahora bien, parece razonable entender que esa afectación de los derechos fundamentales de los padres solo se produce cuando hay una merma o menoscabo de la posición jurídica que es privativa de estos, es decir, cuando se afecta a sus propias facultades de autodeterminación personal.</w:t>
      </w:r>
    </w:p>
    <w:p w14:paraId="290160B2" w14:textId="77777777" w:rsidR="009D7677" w:rsidRDefault="009D7677" w:rsidP="009D7677">
      <w:pPr>
        <w:pStyle w:val="TextoNormal"/>
      </w:pPr>
    </w:p>
    <w:p w14:paraId="3D370B3B" w14:textId="77777777" w:rsidR="009D7677" w:rsidRDefault="009D7677" w:rsidP="009D7677">
      <w:pPr>
        <w:pStyle w:val="TextoNormal"/>
      </w:pPr>
      <w:r>
        <w:t xml:space="preserve">Así resulta, en mi opinión, de la doctrina del Tribunal Europeo de Derechos Humanos. Conforme a esta, si se prohíbe a uno de los progenitores manifestar, sin justificación suficiente, sus propias convicciones religiosas en presencia del menor, puede existir una indebida restricción del derecho a la libertad religiosa del progenitor afectado. Asimismo, si se restringe la comunicación de uno de los padres con el hijo o hija menor por razón de las creencias religiosas que dicho progenitor profesa (por ejemplo, si se le niega la custodia compartida o se reducen las visitas), también puede existir una restricción indebida del derecho a la vida familiar, tal y como viene configurado en el art. 8 del Convenio europeo de derechos humanos. Ahora bien, si como ocurre en el caso presente, la decisión sobre la educación religiosa concierne exclusivamente a la esfera del menor (a su escolarización en un determinado centro y al influjo que esta decisión puede tener en la formación de sus convicciones personales), no hay afectación de la libertad religiosa del padre o la madre (STEDH de 19 de mayo de 2022, asunto </w:t>
      </w:r>
      <w:r w:rsidRPr="009D7677">
        <w:rPr>
          <w:i/>
        </w:rPr>
        <w:t>T.C., c. Italia</w:t>
      </w:r>
      <w:r>
        <w:t>, § 46).</w:t>
      </w:r>
    </w:p>
    <w:p w14:paraId="10FFF157" w14:textId="77777777" w:rsidR="009D7677" w:rsidRDefault="009D7677" w:rsidP="009D7677">
      <w:pPr>
        <w:pStyle w:val="TextoNormal"/>
      </w:pPr>
    </w:p>
    <w:p w14:paraId="2C31B401" w14:textId="77777777" w:rsidR="009D7677" w:rsidRDefault="009D7677" w:rsidP="009D7677">
      <w:pPr>
        <w:pStyle w:val="TextoNormal"/>
      </w:pPr>
      <w:r>
        <w:t>En definitiva, parece razonable entender que solo se vulneran derechos propios de los progenitores, en su relación horizontal, si es la esfera propia de estos la que se ve restringida: bien porque se le impide manifestar sus convicciones religiosas, bien porque se restringen las comunicaciones que puede tener con su hijo o hija menor de edad, con menoscabo, en este segundo caso, del libre desarrollo de su vida familiar.</w:t>
      </w:r>
    </w:p>
    <w:p w14:paraId="09AFFEFE" w14:textId="77777777" w:rsidR="009D7677" w:rsidRDefault="009D7677" w:rsidP="009D7677">
      <w:pPr>
        <w:pStyle w:val="TextoNormal"/>
      </w:pPr>
    </w:p>
    <w:p w14:paraId="705C2772" w14:textId="77777777" w:rsidR="009D7677" w:rsidRDefault="009D7677" w:rsidP="009D7677">
      <w:pPr>
        <w:pStyle w:val="TextoNormal"/>
      </w:pPr>
      <w:r>
        <w:t xml:space="preserve">Por las razones expuestas, considero, en definitiva, que en el supuesto que ha sido objeto de nuestro enjuiciamiento no estaba en juego ningún derecho fundamental de titularidad de los padres. Antes bien, la única titularidad iusfundamental que se veía realmente concernida, en un contexto de conflicto en el ejercicio de las funciones tuitivas parentales, era </w:t>
      </w:r>
      <w:r>
        <w:lastRenderedPageBreak/>
        <w:t>la propia libertad religiosa de la hija menor. En mi opinión, el Tribunal debió entender, como ha hecho recientemente con motivo de los recursos de amparo relativos a las vacunaciones de menores de edad, que doña N.C.R., no actuaba en el presente supuesto en defensa de un derecho fundamental propio (pues considero que el art. 27.3 CE no opera en las relaciones horizontales entre los padres) sino en defensa de la libertad religiosa de su hija, que la menor no podía ejercer por sí misma por razón de su corta edad. La libertad religiosa de la menor solo podía salvaguardarse, en el concreto contexto de conflicto entre los padres, con la escolarización en un centro educativo que guardase una mínima neutralidad en relación con el hecho religioso, requisito que, como ya se ha explicado, no cumplía el colegio propuesto por el padre.</w:t>
      </w:r>
    </w:p>
    <w:p w14:paraId="44EB8F71" w14:textId="77777777" w:rsidR="009D7677" w:rsidRDefault="009D7677" w:rsidP="009D7677">
      <w:pPr>
        <w:pStyle w:val="TextoNormal"/>
      </w:pPr>
    </w:p>
    <w:p w14:paraId="0961EA75" w14:textId="1BEAB094" w:rsidR="009D7677" w:rsidRDefault="009D7677" w:rsidP="009D7677">
      <w:pPr>
        <w:pStyle w:val="TextoNormal"/>
      </w:pPr>
      <w:r>
        <w:t>Madrid, a veintidós de febrero de dos mil veinticuatro.</w:t>
      </w:r>
    </w:p>
    <w:p w14:paraId="256CF167" w14:textId="5F75B86F" w:rsidR="009D7677" w:rsidRDefault="009D7677">
      <w:pPr>
        <w:spacing w:after="160" w:line="259" w:lineRule="auto"/>
        <w:rPr>
          <w:rFonts w:ascii="Times New Roman" w:eastAsia="Times New Roman" w:hAnsi="Times New Roman" w:cs="Times New Roman"/>
          <w:sz w:val="24"/>
          <w:szCs w:val="24"/>
          <w:lang w:eastAsia="es-ES"/>
        </w:rPr>
      </w:pPr>
      <w:r>
        <w:br w:type="page"/>
      </w:r>
    </w:p>
    <w:p w14:paraId="529F4A30" w14:textId="77777777" w:rsidR="009D7677" w:rsidRDefault="009D7677" w:rsidP="009D7677">
      <w:pPr>
        <w:pStyle w:val="TtuloResolucin"/>
      </w:pPr>
      <w:bookmarkStart w:id="29" w:name="SENTENCIA_2024_27"/>
      <w:r>
        <w:lastRenderedPageBreak/>
        <w:t>SENTENCIA 27/2024, de 26 de febrero de 2024</w:t>
      </w:r>
    </w:p>
    <w:bookmarkEnd w:id="29"/>
    <w:p w14:paraId="12F2E7D5" w14:textId="77777777" w:rsidR="009D7677" w:rsidRDefault="009D7677" w:rsidP="009D7677">
      <w:pPr>
        <w:pStyle w:val="TtuloResolucin"/>
      </w:pPr>
      <w:r>
        <w:t>Sala Segunda</w:t>
      </w:r>
    </w:p>
    <w:p w14:paraId="2890FE77" w14:textId="77777777" w:rsidR="009D7677" w:rsidRDefault="009D7677" w:rsidP="009D7677">
      <w:pPr>
        <w:pStyle w:val="TtuloBOE"/>
      </w:pPr>
      <w:r>
        <w:t>(BOE núm. 82, de 3 de abril de 2024)</w:t>
      </w:r>
    </w:p>
    <w:p w14:paraId="4C2DE788" w14:textId="77777777" w:rsidR="009D7677" w:rsidRDefault="009D7677" w:rsidP="009D7677">
      <w:pPr>
        <w:pStyle w:val="TextoNormalCentrado"/>
      </w:pPr>
      <w:r>
        <w:t>ECLI:ES:TC:2024:27</w:t>
      </w:r>
    </w:p>
    <w:p w14:paraId="6808A22E" w14:textId="2E429A80" w:rsidR="009D7677" w:rsidRDefault="009D7677" w:rsidP="009D7677">
      <w:pPr>
        <w:pStyle w:val="TextoNormalCentrado"/>
      </w:pPr>
    </w:p>
    <w:p w14:paraId="1BDB0DD0" w14:textId="77777777" w:rsidR="009D7677" w:rsidRDefault="009D7677" w:rsidP="009D7677">
      <w:pPr>
        <w:pStyle w:val="SntesisDescriptiva"/>
      </w:pPr>
      <w:r>
        <w:t>Recurso de amparo 4127-2022. Promovido por don José Vicente Sabater Orengo respecto de las resoluciones dictadas por un juzgado de primera instancia de Gandía (Valencia) en procedimiento de ejecución de títulos judiciales.</w:t>
      </w:r>
    </w:p>
    <w:p w14:paraId="7043872E" w14:textId="69A5E1F9" w:rsidR="009D7677" w:rsidRDefault="009D7677" w:rsidP="009D7677">
      <w:pPr>
        <w:pStyle w:val="SntesisDescriptiva"/>
      </w:pPr>
    </w:p>
    <w:p w14:paraId="1A472E10" w14:textId="77777777" w:rsidR="009D7677" w:rsidRDefault="009D7677" w:rsidP="009D7677">
      <w:pPr>
        <w:pStyle w:val="SntesisAnaltica"/>
      </w:pPr>
      <w:r>
        <w:t>Vulneración del derecho a la tutela judicial efectiva (resolución fundada en Derecho): ausencia de control judicial de las cláusulas abusivas que ignora la primacía del Derecho de la Unión Europea, en los términos de la STC 31/2019 (STC 26/2023).</w:t>
      </w:r>
    </w:p>
    <w:p w14:paraId="6F8B2368" w14:textId="47DA3C46" w:rsidR="009D7677" w:rsidRDefault="009D7677" w:rsidP="009D7677">
      <w:pPr>
        <w:pStyle w:val="SntesisAnaltica"/>
      </w:pPr>
    </w:p>
    <w:p w14:paraId="7132022A" w14:textId="13F2A061" w:rsidR="009D7677" w:rsidRDefault="009D7677" w:rsidP="009D7677">
      <w:pPr>
        <w:pStyle w:val="Extracto"/>
      </w:pPr>
      <w:r>
        <w:t>1.</w:t>
      </w:r>
      <w:r>
        <w:tab/>
        <w:t>Aplicación de la doctrina que insta a los órganos judiciales al control del eventual carácter abusivo del clausulado de los contratos de préstamo con garantía hipotecaria (STC 31/2019), en línea con lo dispuesto en la Directiva 93/13/CEE, del Consejo, de 5 de abril, sobre cláusulas abusivas en los contratos celebrados con consumidores, y en la STJUE de 26 de enero de 2017, Asunto Banco Primus, S.A. v. Jesús Gutiérrez García (asunto C-421/14) [FJ 3].</w:t>
      </w:r>
    </w:p>
    <w:p w14:paraId="2955417D" w14:textId="77777777" w:rsidR="009D7677" w:rsidRDefault="009D7677" w:rsidP="009D7677">
      <w:pPr>
        <w:pStyle w:val="Extracto"/>
      </w:pPr>
    </w:p>
    <w:p w14:paraId="086700C3" w14:textId="77777777" w:rsidR="009D7677" w:rsidRDefault="009D7677" w:rsidP="009D7677">
      <w:pPr>
        <w:pStyle w:val="Extracto"/>
      </w:pPr>
    </w:p>
    <w:p w14:paraId="351409DC" w14:textId="77777777" w:rsidR="009D7677" w:rsidRDefault="009D7677" w:rsidP="009D7677">
      <w:pPr>
        <w:pStyle w:val="TextoNormal"/>
      </w:pPr>
      <w:r>
        <w:t>La Sala Segunda del Tribunal Constitucional, compuesta por la magistrada doña Inmaculada Montalbán Huertas, presidenta, y las magistradas y magistrados doña María Luisa Balaguer Callejón, don Ramón Sáez Valcárcel, don César Tolosa Tribiño y doña Laura Díez Bueso, ha pronunciado</w:t>
      </w:r>
    </w:p>
    <w:p w14:paraId="5900B127" w14:textId="2D1C6323" w:rsidR="009D7677" w:rsidRDefault="009D7677" w:rsidP="009D7677">
      <w:pPr>
        <w:pStyle w:val="TextoNormal"/>
      </w:pPr>
    </w:p>
    <w:p w14:paraId="5A08E15F" w14:textId="77777777" w:rsidR="009D7677" w:rsidRDefault="009D7677" w:rsidP="009D7677">
      <w:pPr>
        <w:pStyle w:val="TextoNormalCentrado"/>
        <w:keepNext/>
      </w:pPr>
      <w:r>
        <w:t>EN NOMBRE DEL REY</w:t>
      </w:r>
    </w:p>
    <w:p w14:paraId="18F73396" w14:textId="5E82C693" w:rsidR="009D7677" w:rsidRDefault="009D7677" w:rsidP="009D7677">
      <w:pPr>
        <w:pStyle w:val="TextoNormalCentrado"/>
        <w:keepNext/>
      </w:pPr>
    </w:p>
    <w:p w14:paraId="1B922419" w14:textId="77777777" w:rsidR="009D7677" w:rsidRDefault="009D7677" w:rsidP="009D7677">
      <w:pPr>
        <w:pStyle w:val="TextoNormalCentrado"/>
        <w:keepNext/>
      </w:pPr>
    </w:p>
    <w:p w14:paraId="12D0A57E" w14:textId="77777777" w:rsidR="009D7677" w:rsidRDefault="009D7677" w:rsidP="009D7677">
      <w:pPr>
        <w:pStyle w:val="TextoNormal"/>
      </w:pPr>
      <w:r>
        <w:t>la siguiente</w:t>
      </w:r>
    </w:p>
    <w:p w14:paraId="0BE54AAF" w14:textId="766EC6E1" w:rsidR="009D7677" w:rsidRDefault="009D7677" w:rsidP="009D7677">
      <w:pPr>
        <w:pStyle w:val="TextoNormal"/>
      </w:pPr>
    </w:p>
    <w:p w14:paraId="3125CEC3" w14:textId="77777777" w:rsidR="009D7677" w:rsidRDefault="009D7677" w:rsidP="009D7677">
      <w:pPr>
        <w:pStyle w:val="TextoNormalCentrado"/>
        <w:keepNext/>
      </w:pPr>
      <w:r>
        <w:t>SENTENCIA</w:t>
      </w:r>
    </w:p>
    <w:p w14:paraId="19970371" w14:textId="516BD70C" w:rsidR="009D7677" w:rsidRDefault="009D7677" w:rsidP="009D7677">
      <w:pPr>
        <w:pStyle w:val="TextoNormalCentrado"/>
        <w:keepNext/>
      </w:pPr>
    </w:p>
    <w:p w14:paraId="011C84A2" w14:textId="77777777" w:rsidR="009D7677" w:rsidRDefault="009D7677" w:rsidP="009D7677">
      <w:pPr>
        <w:pStyle w:val="TextoNormal"/>
      </w:pPr>
      <w:r>
        <w:t>En el recurso de amparo núm. 4127-2022, promovido por don José Vicente Sabater Orengo, representado por el procurador de los tribunales don Rafael Nogueroles Peiró y asistido por la abogada doña Ana Rosa Guillem Agustí, frente a la providencia del Juzgado de Primera Instancia núm. 2 de Gandía, de 10 de mayo de 2022, que inadmitió a trámite el incidente de nulidad de actuaciones promovido en el procedimiento de ejecución de títulos judiciales núm. 58-2020; y frente al auto de 24 de mayo de 2022, que confirmó dicha resolución. Ha sido parte Cajamar Caja Rural, Sociedad Cooperativa de Crédito, representada por la procuradora doña Leticia Codias Viñuela y asistida por el letrado don Joaquín Ortega Martínez. Ha sido ponente la magistrada doña María Luisa Balaguer Callejón.</w:t>
      </w:r>
    </w:p>
    <w:p w14:paraId="287AD420" w14:textId="4335C6E8" w:rsidR="009D7677" w:rsidRDefault="009D7677" w:rsidP="009D7677">
      <w:pPr>
        <w:pStyle w:val="TextoNormal"/>
      </w:pPr>
    </w:p>
    <w:p w14:paraId="5E11C6ED" w14:textId="77777777" w:rsidR="009D7677" w:rsidRDefault="009D7677" w:rsidP="009D7677">
      <w:pPr>
        <w:pStyle w:val="TextoNormalNegritaCentrado"/>
        <w:keepNext/>
      </w:pPr>
      <w:r>
        <w:lastRenderedPageBreak/>
        <w:t>I. Antecedentes</w:t>
      </w:r>
    </w:p>
    <w:p w14:paraId="6B46D851" w14:textId="17E59856" w:rsidR="009D7677" w:rsidRDefault="009D7677" w:rsidP="009D7677">
      <w:pPr>
        <w:pStyle w:val="TextoNormalNegritaCentrado"/>
        <w:keepNext/>
      </w:pPr>
    </w:p>
    <w:p w14:paraId="58B57C69" w14:textId="5BFBF85A" w:rsidR="009D7677" w:rsidRDefault="009D7677" w:rsidP="009D7677">
      <w:pPr>
        <w:pStyle w:val="TextoNormal"/>
      </w:pPr>
      <w:r w:rsidRPr="009D7677">
        <w:rPr>
          <w:rStyle w:val="NumeroAFNegritaCaracter"/>
        </w:rPr>
        <w:t>1</w:t>
      </w:r>
      <w:r>
        <w:t>. Mediante escrito presentado en este tribunal el día 9 de junio de 2022, el procurador de los tribunales don Rafael Nogueroles Peiró, en nombre y representación de don José Vicente Sabater Orengo, interpuso recurso de amparo contra las resoluciones mencionadas en el encabezamiento.</w:t>
      </w:r>
    </w:p>
    <w:p w14:paraId="2649EE14" w14:textId="77777777" w:rsidR="009D7677" w:rsidRDefault="009D7677" w:rsidP="009D7677">
      <w:pPr>
        <w:pStyle w:val="TextoNormal"/>
      </w:pPr>
    </w:p>
    <w:p w14:paraId="6A991383" w14:textId="77777777" w:rsidR="009D7677" w:rsidRDefault="009D7677" w:rsidP="009D7677">
      <w:pPr>
        <w:pStyle w:val="TextoNormal"/>
      </w:pPr>
      <w:r w:rsidRPr="009D7677">
        <w:rPr>
          <w:rStyle w:val="NumeroAFNegritaCaracter"/>
        </w:rPr>
        <w:t>2</w:t>
      </w:r>
      <w:r>
        <w:t>. Los hechos en los que tiene su origen el presente recurso, y relevantes para su resolución, son, en síntesis, los siguientes:</w:t>
      </w:r>
    </w:p>
    <w:p w14:paraId="2EAFD61A" w14:textId="77777777" w:rsidR="009D7677" w:rsidRDefault="009D7677" w:rsidP="009D7677">
      <w:pPr>
        <w:pStyle w:val="TextoNormal"/>
      </w:pPr>
    </w:p>
    <w:p w14:paraId="1DE58026" w14:textId="77777777" w:rsidR="009D7677" w:rsidRDefault="009D7677" w:rsidP="009D7677">
      <w:pPr>
        <w:pStyle w:val="TextoNormal"/>
      </w:pPr>
      <w:r>
        <w:t>a) Con fecha 27 de marzo de 2006, el hoy demandante de amparo suscribió un contrato de préstamo en escritura pública con la Caja Rural del Mediterráneo, Ruralcaja, Sociedad Cooperativa de Crédito, por importe de 110 000 € de principal, asegurando su cumplimiento mediante la constitución de hipoteca sobre la finca registral núm. 83 345, urbana, sita en calle Ciscar núm. 8, planta baja, Grao de Gandía, inscrita en el Registro de la Propiedad núm. 1 de Gandía. El préstamo fue posteriormente ampliado y novado mediante escrituras de 23 de octubre de 2007 y 14 de septiembre de 2010, con la misma garantía. El 16 de octubre de 2012, Ruralcaja se fusionó con la entidad Cajamar, dando lugar a Cajamar Caja Rural, Sociedad Cooperativa de Crédito.</w:t>
      </w:r>
    </w:p>
    <w:p w14:paraId="14DD482D" w14:textId="77777777" w:rsidR="009D7677" w:rsidRDefault="009D7677" w:rsidP="009D7677">
      <w:pPr>
        <w:pStyle w:val="TextoNormal"/>
      </w:pPr>
    </w:p>
    <w:p w14:paraId="542EBFC3" w14:textId="77777777" w:rsidR="009D7677" w:rsidRDefault="009D7677" w:rsidP="009D7677">
      <w:pPr>
        <w:pStyle w:val="TextoNormal"/>
      </w:pPr>
      <w:r>
        <w:t>b) Ante el impago de varias cuotas del préstamo, el 25 de octubre de 2019 Cajamar Caja Rural requirió de pago al deudor con arreglo al art. 24.1 de la Ley 5/2019, de 15 de marzo, reguladora de los contratos de crédito inmobiliario.</w:t>
      </w:r>
    </w:p>
    <w:p w14:paraId="568FF1D6" w14:textId="77777777" w:rsidR="009D7677" w:rsidRDefault="009D7677" w:rsidP="009D7677">
      <w:pPr>
        <w:pStyle w:val="TextoNormal"/>
      </w:pPr>
    </w:p>
    <w:p w14:paraId="50DECA05" w14:textId="77777777" w:rsidR="009D7677" w:rsidRDefault="009D7677" w:rsidP="009D7677">
      <w:pPr>
        <w:pStyle w:val="TextoNormal"/>
      </w:pPr>
      <w:r>
        <w:t>c) En aplicación de la cláusula de vencimiento anticipado, el 23 de diciembre de 2019 Cajamar Caja Rural presentó demanda de ejecución hipotecaria frente al prestatario.</w:t>
      </w:r>
    </w:p>
    <w:p w14:paraId="271FA812" w14:textId="77777777" w:rsidR="009D7677" w:rsidRDefault="009D7677" w:rsidP="009D7677">
      <w:pPr>
        <w:pStyle w:val="TextoNormal"/>
      </w:pPr>
    </w:p>
    <w:p w14:paraId="261A5D50" w14:textId="77777777" w:rsidR="009D7677" w:rsidRDefault="009D7677" w:rsidP="009D7677">
      <w:pPr>
        <w:pStyle w:val="TextoNormal"/>
      </w:pPr>
      <w:r>
        <w:t>El Juzgado de Primera Instancia núm. 2 de Gandía incoó el procedimiento de ejecución hipotecaria núm. 58-2020, acordando el despacho de la ejecución por auto de 19 de octubre de 2020. El auto no contenía ninguna referencia al control de oficio de cláusulas abusivas, limitándose a indicar que el título reunía los requisitos necesarios para acudir al proceso de ejecución hipotecaria, que el juzgado era competente, y que se habían acompañado los documentos previstos en el art. 684 de la Ley de enjuiciamiento civil (LEC). El auto concluía señalando que contra el mismo no cabía recurso alguno, sin perjuicio de la oposición que pudiera formular el ejecutado.</w:t>
      </w:r>
    </w:p>
    <w:p w14:paraId="63D73ACF" w14:textId="77777777" w:rsidR="009D7677" w:rsidRDefault="009D7677" w:rsidP="009D7677">
      <w:pPr>
        <w:pStyle w:val="TextoNormal"/>
      </w:pPr>
    </w:p>
    <w:p w14:paraId="6A1659F4" w14:textId="77777777" w:rsidR="009D7677" w:rsidRDefault="009D7677" w:rsidP="009D7677">
      <w:pPr>
        <w:pStyle w:val="TextoNormal"/>
      </w:pPr>
      <w:r>
        <w:t>Se intentó la notificación del auto, el decreto de requerimiento de pago y la copia de la demanda al ejecutado en el domicilio indicado en la demanda, con resultado negativo. Se realizó un nuevo intento de notificación en otro domicilio resultante de una averiguación domiciliaria, también con resultado negativo, por lo que, finalmente, el 9 de marzo de 2021 se acordó la notificación por edictos en el tablón de anuncios del juzgado, sin que el ejecutado se personara en el procedimiento.</w:t>
      </w:r>
    </w:p>
    <w:p w14:paraId="09CC9847" w14:textId="77777777" w:rsidR="009D7677" w:rsidRDefault="009D7677" w:rsidP="009D7677">
      <w:pPr>
        <w:pStyle w:val="TextoNormal"/>
      </w:pPr>
    </w:p>
    <w:p w14:paraId="180232ED" w14:textId="77777777" w:rsidR="009D7677" w:rsidRDefault="009D7677" w:rsidP="009D7677">
      <w:pPr>
        <w:pStyle w:val="TextoNormal"/>
      </w:pPr>
      <w:r>
        <w:t>d) Mediante decreto de 3 de mayo de 2021 se convocó la subasta. El decreto fue notificado al ejecutado en la finca objeto del procedimiento.</w:t>
      </w:r>
    </w:p>
    <w:p w14:paraId="6A6B7676" w14:textId="77777777" w:rsidR="009D7677" w:rsidRDefault="009D7677" w:rsidP="009D7677">
      <w:pPr>
        <w:pStyle w:val="TextoNormal"/>
      </w:pPr>
    </w:p>
    <w:p w14:paraId="7BCB9699" w14:textId="77777777" w:rsidR="009D7677" w:rsidRDefault="009D7677" w:rsidP="009D7677">
      <w:pPr>
        <w:pStyle w:val="TextoNormal"/>
      </w:pPr>
      <w:r>
        <w:lastRenderedPageBreak/>
        <w:t>e) El 28 de mayo de 2021 el ejecutado presentó un escrito personándose en el procedimiento. El juzgado le tuvo por personado mediante diligencia de ordenación de 15 de junio de 2021, y el 30 de noviembre le entregó copia de la demanda y demás documentación.</w:t>
      </w:r>
    </w:p>
    <w:p w14:paraId="386CBF37" w14:textId="77777777" w:rsidR="009D7677" w:rsidRDefault="009D7677" w:rsidP="009D7677">
      <w:pPr>
        <w:pStyle w:val="TextoNormal"/>
      </w:pPr>
    </w:p>
    <w:p w14:paraId="274EE25F" w14:textId="77777777" w:rsidR="009D7677" w:rsidRDefault="009D7677" w:rsidP="009D7677">
      <w:pPr>
        <w:pStyle w:val="TextoNormal"/>
      </w:pPr>
      <w:r>
        <w:t>f) Celebrada la subasta el 7 de diciembre de 2021 sin ningún postor, la ejecutante solicitó la adjudicación de la finca, con reserva de ceder el remate a un tercero.</w:t>
      </w:r>
    </w:p>
    <w:p w14:paraId="3060A57B" w14:textId="77777777" w:rsidR="009D7677" w:rsidRDefault="009D7677" w:rsidP="009D7677">
      <w:pPr>
        <w:pStyle w:val="TextoNormal"/>
      </w:pPr>
    </w:p>
    <w:p w14:paraId="4824988A" w14:textId="77777777" w:rsidR="009D7677" w:rsidRDefault="009D7677" w:rsidP="009D7677">
      <w:pPr>
        <w:pStyle w:val="TextoNormal"/>
      </w:pPr>
      <w:r>
        <w:t xml:space="preserve">g) El 25 de enero de 2022 el ejecutado comunicó al juzgado el cambio de su dirección letrada, y el 27 de enero presentó un escrito interponiendo un incidente extraordinario de oposición a la ejecución por existencia de cláusulas abusivas en el título ejecutivo, todo ello al amparo de lo dispuesto en la disposición transitoria tercera de la Ley 5/2019, de 15 de marzo, reguladora de los contratos de crédito inmobiliario; en la disposición transitoria cuarta de la Ley 1/2013, de 14 de mayo, de medidas para reforzar la protección a los deudores hipotecarios, reestructuración de deuda y alquiler social; en la STJUE de 26 de enero de 2017, asunto C-421/14, </w:t>
      </w:r>
      <w:r w:rsidRPr="009D7677">
        <w:rPr>
          <w:i/>
        </w:rPr>
        <w:t>Banco Primus, S.A</w:t>
      </w:r>
      <w:r>
        <w:t>., y en la STC 31/2019, de 28 de febrero.</w:t>
      </w:r>
    </w:p>
    <w:p w14:paraId="01F8BE26" w14:textId="77777777" w:rsidR="009D7677" w:rsidRDefault="009D7677" w:rsidP="009D7677">
      <w:pPr>
        <w:pStyle w:val="TextoNormal"/>
      </w:pPr>
    </w:p>
    <w:p w14:paraId="2B3F4BCD" w14:textId="77777777" w:rsidR="009D7677" w:rsidRDefault="009D7677" w:rsidP="009D7677">
      <w:pPr>
        <w:pStyle w:val="TextoNormal"/>
      </w:pPr>
      <w:r>
        <w:t>Alegó que ostentaba la condición de consumidor y que la finca hipotecada era su vivienda habitual, e interesó que por el juzgado se procediera a la revisión de diversas cláusulas contractuales que consideraba nulas por abusivas, concretamente las cláusulas suelo, de capitalización de los intereses ordinarios, de intereses de demora y de vencimiento anticipado. Alegó que, con arreglo a la jurisprudencia europea y a la doctrina constitucional, dicho control podía realizarse con independencia del momento procesal en que se encontrara el proceso siempre que existieran una o varias cláusulas cuyo eventual carácter abusivo no se hubiera examinado en un control anterior, estando el juez obligado a realizar dicho control, de oficio o a instancia de las partes, tan pronto como dispusiera de los elementos de hecho y de derecho necesarios para ello. Concluyó solicitando el archivo del procedimiento por nulidad de la cláusula de vencimiento anticipado y, subsidiariamente, la nulidad de las demás cláusulas impugnadas con el consiguiente recálculo de la cantidad por la que se había despachado la ejecución.</w:t>
      </w:r>
    </w:p>
    <w:p w14:paraId="1342976A" w14:textId="77777777" w:rsidR="009D7677" w:rsidRDefault="009D7677" w:rsidP="009D7677">
      <w:pPr>
        <w:pStyle w:val="TextoNormal"/>
      </w:pPr>
    </w:p>
    <w:p w14:paraId="5E2D4DD4" w14:textId="77777777" w:rsidR="009D7677" w:rsidRDefault="009D7677" w:rsidP="009D7677">
      <w:pPr>
        <w:pStyle w:val="TextoNormal"/>
      </w:pPr>
      <w:r>
        <w:t>Mediante providencia de 2 de febrero de 2022 el juzgado inadmitió el incidente con la siguiente motivación: “No siendo de aplicación la disposición transitoria tercera de la Ley 5/2019, porque no se trata de un procedimiento en curso al entrar en vigor la Ley 1/2013, no ha lugar a admitir a trámite el incidente anunciado por la parte ejecutada”.</w:t>
      </w:r>
    </w:p>
    <w:p w14:paraId="733E1BD4" w14:textId="77777777" w:rsidR="009D7677" w:rsidRDefault="009D7677" w:rsidP="009D7677">
      <w:pPr>
        <w:pStyle w:val="TextoNormal"/>
      </w:pPr>
    </w:p>
    <w:p w14:paraId="08B24DC2" w14:textId="77777777" w:rsidR="009D7677" w:rsidRDefault="009D7677" w:rsidP="009D7677">
      <w:pPr>
        <w:pStyle w:val="TextoNormal"/>
      </w:pPr>
      <w:r>
        <w:t>h) Dado que la providencia daba pie de recurso de reposición, el ejecutado interpuso dicho recurso, destacando que no se había realizado en el procedimiento ningún examen de la abusividad de las cláusulas contractuales, cuyo control era cuestión de orden público y debía realizarse de oficio aun cuando el ejecutado no hubiera formulado oposición, estando dicho control vinculado al derecho a la tutela judicial efectiva según la jurisprudencia europea y la doctrina constitucional que invocaba.</w:t>
      </w:r>
    </w:p>
    <w:p w14:paraId="177EBC4A" w14:textId="77777777" w:rsidR="009D7677" w:rsidRDefault="009D7677" w:rsidP="009D7677">
      <w:pPr>
        <w:pStyle w:val="TextoNormal"/>
      </w:pPr>
    </w:p>
    <w:p w14:paraId="6CB52654" w14:textId="77777777" w:rsidR="009D7677" w:rsidRDefault="009D7677" w:rsidP="009D7677">
      <w:pPr>
        <w:pStyle w:val="TextoNormal"/>
      </w:pPr>
      <w:r>
        <w:t xml:space="preserve">El recurso fue desestimado por auto de 29 de marzo de 2022, en el que el juzgado razonó que el incidente extraordinario de oposición de la disposición transitoria tercera de la Ley 5/2019 solo era aplicable a los procesos de ejecución en curso a la entrada en vigor de la Ley 1/2013, lo que no era el caso, puesto que el procedimiento se había iniciado en </w:t>
      </w:r>
      <w:r>
        <w:lastRenderedPageBreak/>
        <w:t>2020. Y concluyó con la siguiente motivación: “Respecto a la alegación de que se debió entrar de oficio por la juzgadora en el análisis de las posibles cláusulas abusivas efectivamente así fue, cosa distinta es que se entendiera que las mismas no existían y no se diera traslado a las partes para pronunciarse respecto a las mismas”. El auto indicaba que contra el mismo no cabía recurso alguno.</w:t>
      </w:r>
    </w:p>
    <w:p w14:paraId="2C520E99" w14:textId="77777777" w:rsidR="009D7677" w:rsidRDefault="009D7677" w:rsidP="009D7677">
      <w:pPr>
        <w:pStyle w:val="TextoNormal"/>
      </w:pPr>
    </w:p>
    <w:p w14:paraId="1484024C" w14:textId="77777777" w:rsidR="009D7677" w:rsidRDefault="009D7677" w:rsidP="009D7677">
      <w:pPr>
        <w:pStyle w:val="TextoNormal"/>
      </w:pPr>
      <w:r>
        <w:t>i) Por decreto de 20 de abril de 2022 se aprobó la cesión del remate en favor de un tercero, Cementos3, S.A.</w:t>
      </w:r>
    </w:p>
    <w:p w14:paraId="1457564E" w14:textId="77777777" w:rsidR="009D7677" w:rsidRDefault="009D7677" w:rsidP="009D7677">
      <w:pPr>
        <w:pStyle w:val="TextoNormal"/>
      </w:pPr>
    </w:p>
    <w:p w14:paraId="6D109946" w14:textId="77777777" w:rsidR="009D7677" w:rsidRDefault="009D7677" w:rsidP="009D7677">
      <w:pPr>
        <w:pStyle w:val="TextoNormal"/>
      </w:pPr>
      <w:r>
        <w:t>j) Por escrito de 26 de abril de 2022 el ejecutado promovió un incidente de nulidad de actuaciones al amparo de los arts. 228 y 562 LEC, alegando la vulneración de su derecho a la tutela judicial efectiva (art. 24.1 CE) en relación con el principio de primacía del Derecho Europeo. Refutó la argumentación del juzgado y destacó que en el auto por el que se había despachado ejecución no constaba el control de oficio previsto en el art. 552 LEC, siendo la primera mención a dicho control la contenida en el auto de 29 de marzo de 2022 que desestimó la reposición. Invocó nuevamente la doctrina constitucional establecida a partir de la STC 31/2019, de 28 de febrero.</w:t>
      </w:r>
    </w:p>
    <w:p w14:paraId="748FB831" w14:textId="77777777" w:rsidR="009D7677" w:rsidRDefault="009D7677" w:rsidP="009D7677">
      <w:pPr>
        <w:pStyle w:val="TextoNormal"/>
      </w:pPr>
    </w:p>
    <w:p w14:paraId="4F505090" w14:textId="77777777" w:rsidR="009D7677" w:rsidRDefault="009D7677" w:rsidP="009D7677">
      <w:pPr>
        <w:pStyle w:val="TextoNormal"/>
      </w:pPr>
      <w:r>
        <w:t>El incidente de nulidad fue inadmitido mediante providencia de 10 de mayo de 2022, con la siguiente motivación: “[N]o ha lugar a admitir a trámite el nuevo incidente de nulidad de actuaciones formulado por la referida parte ejecutada, habida cuenta que el mismo ya fue inadmitido, se recurrió en reposición y dicho recurso fue igualmente desestimado”.</w:t>
      </w:r>
    </w:p>
    <w:p w14:paraId="55E49A5F" w14:textId="77777777" w:rsidR="009D7677" w:rsidRDefault="009D7677" w:rsidP="009D7677">
      <w:pPr>
        <w:pStyle w:val="TextoNormal"/>
      </w:pPr>
    </w:p>
    <w:p w14:paraId="0CC9C595" w14:textId="77777777" w:rsidR="009D7677" w:rsidRDefault="009D7677" w:rsidP="009D7677">
      <w:pPr>
        <w:pStyle w:val="TextoNormal"/>
      </w:pPr>
      <w:r>
        <w:t>k) El ejecutado presentó un escrito alegando la existencia de un error manifiesto en la providencia de inadmisión, pues el incidente que se había promovido con anterioridad no había sido un incidente de nulidad de actuaciones de los previstos en el art. 228 LEC, sino un incidente excepcional de oposición a la ejecución. Destacó que el error le causaba indefensión y vulneraba su derecho a la tutela judicial efectiva tanto en su vertiente de acceso a la jurisdicción como de derecho a una resolución motivada y no incursa en arbitrariedad, irrazonabilidad o error patente.</w:t>
      </w:r>
    </w:p>
    <w:p w14:paraId="276DB0D8" w14:textId="77777777" w:rsidR="009D7677" w:rsidRDefault="009D7677" w:rsidP="009D7677">
      <w:pPr>
        <w:pStyle w:val="TextoNormal"/>
      </w:pPr>
    </w:p>
    <w:p w14:paraId="209CBEBB" w14:textId="77777777" w:rsidR="009D7677" w:rsidRDefault="009D7677" w:rsidP="009D7677">
      <w:pPr>
        <w:pStyle w:val="TextoNormal"/>
      </w:pPr>
      <w:r>
        <w:t>Considerando el juzgado que se trataba de una solicitud de aclaración, por auto de 24 de mayo de 2022 acordó mantener en su integridad la providencia de 11 de mayo de 2022 por no estar incursa en error, razonando que en su día se había formulado un incidente extraordinario de oposición, que había sido inadmitido, habiendo sido la resolución recurrida en reposición, no siendo posible reproducir la cuestión por la vía del art. 228 LEC al vedarlo así este precepto.</w:t>
      </w:r>
    </w:p>
    <w:p w14:paraId="1D1BE9A2" w14:textId="77777777" w:rsidR="009D7677" w:rsidRDefault="009D7677" w:rsidP="009D7677">
      <w:pPr>
        <w:pStyle w:val="TextoNormal"/>
      </w:pPr>
    </w:p>
    <w:p w14:paraId="7C9D4096" w14:textId="4419EE17" w:rsidR="009D7677" w:rsidRDefault="009D7677" w:rsidP="009D7677">
      <w:pPr>
        <w:pStyle w:val="TextoNormal"/>
      </w:pPr>
      <w:r>
        <w:t>l) Por decreto de 7 de junio de 2022 se señaló el lanzamiento para el día 22 de septiembre de 2022.</w:t>
      </w:r>
    </w:p>
    <w:p w14:paraId="094E75DE" w14:textId="77777777" w:rsidR="009D7677" w:rsidRDefault="009D7677" w:rsidP="009D7677">
      <w:pPr>
        <w:pStyle w:val="TextoNormal"/>
      </w:pPr>
    </w:p>
    <w:p w14:paraId="4E3811C6" w14:textId="77777777" w:rsidR="009D7677" w:rsidRDefault="009D7677" w:rsidP="009D7677">
      <w:pPr>
        <w:pStyle w:val="TextoNormal"/>
      </w:pPr>
      <w:r w:rsidRPr="009D7677">
        <w:rPr>
          <w:rStyle w:val="NumeroAFNegritaCaracter"/>
        </w:rPr>
        <w:t>3</w:t>
      </w:r>
      <w:r>
        <w:t xml:space="preserve">. Frente a la providencia de 10 de mayo de 2022 y al auto de 24 de mayo de 2022 ha interpuesto el ejecutado el presente recurso de amparo, alegando la vulneración del derecho fundamental a la tutela judicial efectiva del art. 24.1 CE, en relación con el principio de primacía del Derecho de la Unión Europea, por no haber realizado el juzgado el control de oficio de las cláusulas abusivas del contrato, desconociendo la doctrina constitucional establecida a partir de la STC 31/2019, de 28 de febrero, así como la jurisprudencia europea, en particular, la STJUE de 26 de enero de 2017, asunto </w:t>
      </w:r>
      <w:r w:rsidRPr="009D7677">
        <w:rPr>
          <w:i/>
        </w:rPr>
        <w:t xml:space="preserve">Banco Primus, S.A. y Jesús </w:t>
      </w:r>
      <w:r w:rsidRPr="009D7677">
        <w:rPr>
          <w:i/>
        </w:rPr>
        <w:lastRenderedPageBreak/>
        <w:t>Gutiérrez García</w:t>
      </w:r>
      <w:r>
        <w:t>. Con arreglo a dicha jurisprudencia el juzgado está obligado a realizar de oficio el control de abusividad tan pronto como disponga de los elementos de hecho y de derecho para llevarlo a cabo, tanto sea por decisión propia como a petición de parte; consecuentemente, se permite al ejecutado invocar la abusividad de las cláusulas y solicitar su revisión judicial cuando tenga conocimiento de ello, independientemente del momento procesal en que se encuentre el procedimiento. El desconocimiento y preterición de una norma de Derecho de la Unión Europea, tal y como ha sido interpretada por el Tribunal de Justicia, puede suponer una selección irrazonable y arbitraria de la norma aplicable al proceso, lo cual puede dar lugar a una vulneración del derecho a la tutela judicial efectiva.</w:t>
      </w:r>
    </w:p>
    <w:p w14:paraId="468585E5" w14:textId="77777777" w:rsidR="009D7677" w:rsidRDefault="009D7677" w:rsidP="009D7677">
      <w:pPr>
        <w:pStyle w:val="TextoNormal"/>
      </w:pPr>
    </w:p>
    <w:p w14:paraId="631DF849" w14:textId="77777777" w:rsidR="009D7677" w:rsidRDefault="009D7677" w:rsidP="009D7677">
      <w:pPr>
        <w:pStyle w:val="TextoNormal"/>
      </w:pPr>
      <w:r>
        <w:t>Invoca, en particular, la STJUE de 17 de mayo de 2022, asunto C-600/19, que establece que los arts. 6 y 7 de la Directiva 93/13/CEE se oponen a una legislación nacional que, debido al efecto de cosa juzgada y a la preclusión, no permite al juez examinar de oficio el carácter abusivo de cláusulas contractuales en el marco de un procedimiento de ejecución hipotecaria ni al consumidor, transcurrido el plazo para formular oposición, invocar el carácter abusivo de tales cláusulas en ese procedimiento o en un procedimiento posterior cuando el juez, al inicio del procedimiento de ejecución hipotecaria, ya ha examinado de oficio el eventual carácter abusivo de dichas cláusulas pero la resolución judicial en que se despacha ejecución hipotecaria no contiene ningún motivo, siquiera sucinto, que acredite la existencia de tal examen, ni indica que la apreciación efectuada por dicho juez al término de ese examen no podrá ya cuestionarse si no se formula oposición dentro del referido plazo. Y alega que “[e]n los presentes autos no ha existido estudio previo sobre las mismas [cláusulas abusivas] puesto que el juzgador ‘entendió’ que no existía, sin que conste en ninguna resolución tal argumentación judicial”. “[E]l juzgador vulneró el derecho fundamental a la tutela judicial efectiva (art. 24.1 CE) con la fundamentación de la preclusión, sin admitir a trámite ni estudiar previamente las cláusulas existentes y posteriormente denunciadas en el incidente planteado”. Como consecuencia de tal decisión el recurrente se vio privado de un pronunciamiento de fondo, al que el órgano judicial se encontraba obligado de acuerdo con la STJUE de 26 de enero de 2017.</w:t>
      </w:r>
    </w:p>
    <w:p w14:paraId="77EA179B" w14:textId="77777777" w:rsidR="009D7677" w:rsidRDefault="009D7677" w:rsidP="009D7677">
      <w:pPr>
        <w:pStyle w:val="TextoNormal"/>
      </w:pPr>
    </w:p>
    <w:p w14:paraId="26CCCFD0" w14:textId="77777777" w:rsidR="009D7677" w:rsidRDefault="009D7677" w:rsidP="009D7677">
      <w:pPr>
        <w:pStyle w:val="TextoNormal"/>
      </w:pPr>
      <w:r>
        <w:t>Además, las resoluciones impugnadas incurren en falta de motivación e incongruencia, “por cuanto no se resuelve sobre un elemento que es objeto del proceso”, y le han causado indefensión “al denegarse el conocimiento del recurso planteado en base a una aplicación (más bien, una inaplicación), arbitraria de la ley, la jurisprudencia y el derecho comunitario”.</w:t>
      </w:r>
    </w:p>
    <w:p w14:paraId="1A2156A7" w14:textId="77777777" w:rsidR="009D7677" w:rsidRDefault="009D7677" w:rsidP="009D7677">
      <w:pPr>
        <w:pStyle w:val="TextoNormal"/>
      </w:pPr>
    </w:p>
    <w:p w14:paraId="536FF3B8" w14:textId="5CBFAD18" w:rsidR="009D7677" w:rsidRDefault="009D7677" w:rsidP="009D7677">
      <w:pPr>
        <w:pStyle w:val="TextoNormal"/>
      </w:pPr>
      <w:r>
        <w:t>La demanda concluye solicitando la nulidad de las resoluciones impugnadas y la retroacción de las actuaciones al momento inmediatamente anterior a su dictado, ordenando que se dicte una nueva resolución por la que se admita el incidente planteado y se examine la posible abusividad de las cláusulas contractuales; todo ello con suspensión del lanzamiento señalado.</w:t>
      </w:r>
    </w:p>
    <w:p w14:paraId="4B2268E5" w14:textId="77777777" w:rsidR="009D7677" w:rsidRDefault="009D7677" w:rsidP="009D7677">
      <w:pPr>
        <w:pStyle w:val="TextoNormal"/>
      </w:pPr>
    </w:p>
    <w:p w14:paraId="318CEDA5" w14:textId="77777777" w:rsidR="009D7677" w:rsidRDefault="009D7677" w:rsidP="009D7677">
      <w:pPr>
        <w:pStyle w:val="TextoNormal"/>
      </w:pPr>
      <w:r w:rsidRPr="009D7677">
        <w:rPr>
          <w:rStyle w:val="NumeroAFNegritaCaracter"/>
        </w:rPr>
        <w:t>4</w:t>
      </w:r>
      <w:r>
        <w:t>. Por providencia de 15 de septiembre de 2022 la Sección Primera de este Tribunal acordó admitir a trámite el recurso de amparo, apreciando que concurre una especial trascendencia constitucional (art. 50.1 de la Ley Orgánica del Tribunal Constitucional: LOTC) como consecuencia de que el órgano judicial pudiera haber incurrido en una negativa manifiesta del deber de acatamiento de la doctrina de este Tribunal [STC 155/2009, FJ 2 f)]. Por ello, en aplicación de lo dispuesto en el art. 51 LOTC, se ordenó dirigir atenta comu</w:t>
      </w:r>
      <w:r>
        <w:lastRenderedPageBreak/>
        <w:t>nicación al Juzgado de Primera Instancia núm. 2 de Gandía a fin de que, en el plazo de diez días, remitiera certificación o fotocopia adverada de las actuaciones correspondientes a la ejecución hipotecaria núm. 58-2020; debiendo previamente emplazarse a quienes hubieran sido parte en dicho procedimiento, excepto a la parte recurrente en amparo, a fin de que, en el plazo de diez días pudieran comparecer, si lo desearan, en el presente proceso constitucional.</w:t>
      </w:r>
    </w:p>
    <w:p w14:paraId="4E17AACC" w14:textId="77777777" w:rsidR="009D7677" w:rsidRDefault="009D7677" w:rsidP="009D7677">
      <w:pPr>
        <w:pStyle w:val="TextoNormal"/>
      </w:pPr>
    </w:p>
    <w:p w14:paraId="78080F74" w14:textId="2BCD9813" w:rsidR="009D7677" w:rsidRDefault="009D7677" w:rsidP="009D7677">
      <w:pPr>
        <w:pStyle w:val="TextoNormal"/>
      </w:pPr>
      <w:r>
        <w:t>Apreciándose la urgencia excepcional a que se refiere el art. 56.6 LOTC, toda vez que la ejecución produciría un perjuicio de imposible o muy difícil reparación que haría perder su finalidad al recurso de amparo, en la misma resolución se acordó la suspensión cautelar del lanzamiento señalado para el 22 de septiembre de 2022, así como la anotación preventiva de la demanda de amparo en el registro de la propiedad correspondiente, como forma más efectiva de garantizar el derecho del demandante de amparo y de los terceros.</w:t>
      </w:r>
    </w:p>
    <w:p w14:paraId="56DC9000" w14:textId="77777777" w:rsidR="009D7677" w:rsidRDefault="009D7677" w:rsidP="009D7677">
      <w:pPr>
        <w:pStyle w:val="TextoNormal"/>
      </w:pPr>
    </w:p>
    <w:p w14:paraId="5259B9F4" w14:textId="1EF06AA3" w:rsidR="009D7677" w:rsidRDefault="009D7677" w:rsidP="009D7677">
      <w:pPr>
        <w:pStyle w:val="TextoNormal"/>
      </w:pPr>
      <w:r w:rsidRPr="009D7677">
        <w:rPr>
          <w:rStyle w:val="NumeroAFNegritaCaracter"/>
        </w:rPr>
        <w:t>5</w:t>
      </w:r>
      <w:r>
        <w:t>. Por diligencia de ordenación de 7 de diciembre de 2022 se tuvieron por recibidos los testimonios de las actuaciones remitidos por el Juzgado de Primera Instancia núm. 2 de Gandía; y por personada y parte a la procuradora doña Leticia Codias Viñuela en nombre de la entidad Cajamar Caja Rural, Sociedad Cooperativa de Crédito. A tenor de lo dispuesto en el art. 52.1 LOTC, se resolvió dar vista de las actuaciones recibidas al Ministerio Fiscal y a las partes personadas por plazo común de veinte días para que dentro de dicho término pudieran presentar las alegaciones que a su derecho convinieran.</w:t>
      </w:r>
    </w:p>
    <w:p w14:paraId="5A5AA71C" w14:textId="77777777" w:rsidR="009D7677" w:rsidRDefault="009D7677" w:rsidP="009D7677">
      <w:pPr>
        <w:pStyle w:val="TextoNormal"/>
      </w:pPr>
    </w:p>
    <w:p w14:paraId="2238A861" w14:textId="77777777" w:rsidR="009D7677" w:rsidRDefault="009D7677" w:rsidP="009D7677">
      <w:pPr>
        <w:pStyle w:val="TextoNormal"/>
      </w:pPr>
      <w:r w:rsidRPr="009D7677">
        <w:rPr>
          <w:rStyle w:val="NumeroAFNegritaCaracter"/>
        </w:rPr>
        <w:t>6</w:t>
      </w:r>
      <w:r>
        <w:t>. El 10 de enero de 2023 tuvo entrada en este tribunal escrito de alegaciones presentado por la procuradora doña Leticia Codias Viñuela en representación de Cajamar Caja Rural, Sociedad Cooperativa de Crédito, oponiéndose al recurso de amparo e interesando su inadmisión y, subsidiariamente, su desestimación.</w:t>
      </w:r>
    </w:p>
    <w:p w14:paraId="0A9E24F7" w14:textId="77777777" w:rsidR="009D7677" w:rsidRDefault="009D7677" w:rsidP="009D7677">
      <w:pPr>
        <w:pStyle w:val="TextoNormal"/>
      </w:pPr>
    </w:p>
    <w:p w14:paraId="0332D1CE" w14:textId="77777777" w:rsidR="009D7677" w:rsidRDefault="009D7677" w:rsidP="009D7677">
      <w:pPr>
        <w:pStyle w:val="TextoNormal"/>
      </w:pPr>
      <w:r>
        <w:t>La petición de inadmisión se basa en que, a su juicio, se ha incumplido el requisito previsto en el art. 44.1 c) LOTC, que exige que se haya denunciado formalmente en el proceso, si hubo oportunidad, la vulneración del derecho constitucional tan pronto como, una vez conocida, hubiera lugar para ello. Ese requisito lo pone en conexión con el art. 228 LEC, que establece que el plazo para pedir la nulidad será de veinte días desde la notificación de la resolución o, en todo caso, desde que se tuvo conocimiento del defecto causante de indefensión. Y razona que en este caso el ejecutado se personó en el procedimiento en junio de 2021, cuando se habían producido las supuestas vulneraciones alegadas, pero la primera denuncia de tales vulneraciones no la realizó hasta siete meses después, con la presentación del incidente extraordinario de oposición a la ejecución el 27 de enero de 2022.</w:t>
      </w:r>
    </w:p>
    <w:p w14:paraId="6A417569" w14:textId="77777777" w:rsidR="009D7677" w:rsidRDefault="009D7677" w:rsidP="009D7677">
      <w:pPr>
        <w:pStyle w:val="TextoNormal"/>
      </w:pPr>
    </w:p>
    <w:p w14:paraId="0855A968" w14:textId="77777777" w:rsidR="009D7677" w:rsidRDefault="009D7677" w:rsidP="009D7677">
      <w:pPr>
        <w:pStyle w:val="TextoNormal"/>
      </w:pPr>
      <w:r>
        <w:t>El segundo motivo de inadmisión que alega es la falta de especial trascendencia constitucional del recurso, por entender que no se aprecia ninguna negativa manifiesta del juzgado a acatar la doctrina constitucional.</w:t>
      </w:r>
    </w:p>
    <w:p w14:paraId="095EF2F3" w14:textId="77777777" w:rsidR="009D7677" w:rsidRDefault="009D7677" w:rsidP="009D7677">
      <w:pPr>
        <w:pStyle w:val="TextoNormal"/>
      </w:pPr>
    </w:p>
    <w:p w14:paraId="6F4B0216" w14:textId="042DAB3E" w:rsidR="009D7677" w:rsidRDefault="009D7677" w:rsidP="009D7677">
      <w:pPr>
        <w:pStyle w:val="TextoNormal"/>
      </w:pPr>
      <w:r>
        <w:t xml:space="preserve">Subsidiariamente solicita la desestimación del recurso por considerar que no se ha vulnerado el derecho a la tutela judicial efectiva del ejecutado, hoy recurrente en amparo. Alega que las SSTC 31/2019 y demás que este invoca, no resultan aplicables al referirse a procesos iniciados antes de las principales reformas en materia de cláusulas abusivas, mientras que en este caso la demanda se interpuso después de entrar en vigor la Ley </w:t>
      </w:r>
      <w:r>
        <w:lastRenderedPageBreak/>
        <w:t>5/2019, de 15 de marzo, reguladora de los contratos de crédito inmobiliario, “con el control de oficio inicial por el juzgado antes de admitir y con posibilidad del ejecutado de oponer lo que hubiera querido al respecto, lo cual no hizo, por lo que no cabía dar curso a un incidente extraordinario previsto para otros supuestos y tampoco cabe admitir el incidente de nulidad”.</w:t>
      </w:r>
    </w:p>
    <w:p w14:paraId="4706DB22" w14:textId="77777777" w:rsidR="009D7677" w:rsidRDefault="009D7677" w:rsidP="009D7677">
      <w:pPr>
        <w:pStyle w:val="TextoNormal"/>
      </w:pPr>
    </w:p>
    <w:p w14:paraId="534E29B4" w14:textId="78A2D227" w:rsidR="009D7677" w:rsidRDefault="009D7677" w:rsidP="009D7677">
      <w:pPr>
        <w:pStyle w:val="TextoNormal"/>
      </w:pPr>
      <w:r w:rsidRPr="009D7677">
        <w:rPr>
          <w:rStyle w:val="NumeroAFNegritaCaracter"/>
        </w:rPr>
        <w:t>7</w:t>
      </w:r>
      <w:r>
        <w:t>. El 18 de enero de 2022 el procurador don Rafael Nogueroles Peiró presentó escrito de alegaciones en nombre del recurrente en amparo, reproduciendo, en esencia, las alegaciones de la demanda de amparo.</w:t>
      </w:r>
    </w:p>
    <w:p w14:paraId="55CAE05E" w14:textId="77777777" w:rsidR="009D7677" w:rsidRDefault="009D7677" w:rsidP="009D7677">
      <w:pPr>
        <w:pStyle w:val="TextoNormal"/>
      </w:pPr>
    </w:p>
    <w:p w14:paraId="378F898A" w14:textId="3E19AB73" w:rsidR="009D7677" w:rsidRDefault="009D7677" w:rsidP="009D7677">
      <w:pPr>
        <w:pStyle w:val="TextoNormal"/>
      </w:pPr>
      <w:r w:rsidRPr="009D7677">
        <w:rPr>
          <w:rStyle w:val="NumeroAFNegritaCaracter"/>
        </w:rPr>
        <w:t>8</w:t>
      </w:r>
      <w:r>
        <w:t>. Por diligencia de ordenación del secretario de justicia de la Sala Segunda, de 19 de enero de 2023, en virtud del acuerdo adoptado por el Pleno del Tribunal Constitucional el día 17 de enero de 2023, publicado en el “Boletín Oficial del Estado” de 19 de enero, se hizo constar que el presente recurso de amparo ha sido turnado a la Sala Segunda de este tribunal, lo que se puso en conocimiento de las partes y del Ministerio Fiscal a los efectos oportunos.</w:t>
      </w:r>
    </w:p>
    <w:p w14:paraId="36E3FF94" w14:textId="77777777" w:rsidR="009D7677" w:rsidRDefault="009D7677" w:rsidP="009D7677">
      <w:pPr>
        <w:pStyle w:val="TextoNormal"/>
      </w:pPr>
    </w:p>
    <w:p w14:paraId="480111F4" w14:textId="77777777" w:rsidR="009D7677" w:rsidRDefault="009D7677" w:rsidP="009D7677">
      <w:pPr>
        <w:pStyle w:val="TextoNormal"/>
      </w:pPr>
      <w:r w:rsidRPr="009D7677">
        <w:rPr>
          <w:rStyle w:val="NumeroAFNegritaCaracter"/>
        </w:rPr>
        <w:t>9</w:t>
      </w:r>
      <w:r>
        <w:t>. Mediante escrito presentado el 2 de febrero de 2023, la fiscal formuló alegaciones, interesando la estimación del amparo.</w:t>
      </w:r>
    </w:p>
    <w:p w14:paraId="558DC032" w14:textId="77777777" w:rsidR="009D7677" w:rsidRDefault="009D7677" w:rsidP="009D7677">
      <w:pPr>
        <w:pStyle w:val="TextoNormal"/>
      </w:pPr>
    </w:p>
    <w:p w14:paraId="70396958" w14:textId="77777777" w:rsidR="009D7677" w:rsidRDefault="009D7677" w:rsidP="009D7677">
      <w:pPr>
        <w:pStyle w:val="TextoNormal"/>
      </w:pPr>
      <w:r>
        <w:t xml:space="preserve">Comienza la fiscal justificando el correcto agotamiento de la vía judicial previa .Tras hacer un repaso de la sucesión de escritos presentados por el ejecutado sobre la necesidad de que el juzgado realizara de oficio la revisión de las cláusulas abusivas y de las sucesivas resoluciones dictadas, concluye que la providencia de 2 de febrero de 2022 que inadmitió el incidente extraordinario de oposición, y el auto de 29 de marzo de 2022 que desestimó la reposición, son las resoluciones que </w:t>
      </w:r>
      <w:r w:rsidRPr="009D7677">
        <w:rPr>
          <w:i/>
        </w:rPr>
        <w:t>de facto</w:t>
      </w:r>
      <w:r>
        <w:t xml:space="preserve"> produjeron la lesión del derecho a la tutela judicial efectiva, y que las resoluciones directamente impugnadas en amparo, esto es, la providencia de 10 de mayo de 2022 que inadmitió el incidente de nulidad de actuaciones, y el auto de 24 de mayo de 2022 que rechazó la aclaración, traen causa de las primeras, no repararon la lesión y agotaron la vía judicial ordinaria, quedando expedita la vía para la interposición del recurso de amparo ya que no cabía ningún otro remedio procesal.</w:t>
      </w:r>
    </w:p>
    <w:p w14:paraId="2CE20FA6" w14:textId="77777777" w:rsidR="009D7677" w:rsidRDefault="009D7677" w:rsidP="009D7677">
      <w:pPr>
        <w:pStyle w:val="TextoNormal"/>
      </w:pPr>
    </w:p>
    <w:p w14:paraId="0943E78A" w14:textId="77777777" w:rsidR="009D7677" w:rsidRDefault="009D7677" w:rsidP="009D7677">
      <w:pPr>
        <w:pStyle w:val="TextoNormal"/>
      </w:pPr>
      <w:r>
        <w:t>De todo lo anterior el Ministerio Fiscal deduce que está debidamente cumplido el requisito de la previa invocación del derecho fundamental en el procedimiento de origen tan pronto como se tuvo ocasión para ello. Con invocación de la STC 67/2020, de 29 de junio, FJ 2, indica que en el presente caso se efectuaron alegaciones concretas sobre la vulneración del derecho fundamental en el incidente extraordinario de nulidad de actuaciones, y ya se había invocado la doctrina constitucional y del Tribunal de Justicia de la Unión Europea en el recurso de reposición contra la providencia que inadmitió el incidente extraordinario de oposición a la ejecución.</w:t>
      </w:r>
    </w:p>
    <w:p w14:paraId="29B9E30A" w14:textId="77777777" w:rsidR="009D7677" w:rsidRDefault="009D7677" w:rsidP="009D7677">
      <w:pPr>
        <w:pStyle w:val="TextoNormal"/>
      </w:pPr>
    </w:p>
    <w:p w14:paraId="41532AC4" w14:textId="77777777" w:rsidR="009D7677" w:rsidRDefault="009D7677" w:rsidP="009D7677">
      <w:pPr>
        <w:pStyle w:val="TextoNormal"/>
      </w:pPr>
      <w:r>
        <w:t xml:space="preserve">Seguidamente analiza el fondo de la vulneración alegada, exponiendo la jurisprudencia del Tribunal de Justicia de la Unión Europea, en particular, la sentencia de 17 de mayo de 2022, asunto C-600/19; así como la doctrina constitucional establecida desde la STC 31/2019, de 28 de febrero, destacando la STC 24/2021, de 15 de febrero. Aplicando dicha doctrina al caso concreto, concluye la fiscal que el órgano judicial no ha efectuado un efectivo control de la abusividad de las cláusulas del contrato mediante una resolución </w:t>
      </w:r>
      <w:r>
        <w:lastRenderedPageBreak/>
        <w:t>debidamente motivada con fuerza de cosa juzgada pese a estar todavía en trámite el procedimiento de ejecución, que no concluye hasta la entrega de la posesión del bien al adjudicatario.</w:t>
      </w:r>
    </w:p>
    <w:p w14:paraId="45E0F2E2" w14:textId="77777777" w:rsidR="009D7677" w:rsidRDefault="009D7677" w:rsidP="009D7677">
      <w:pPr>
        <w:pStyle w:val="TextoNormal"/>
      </w:pPr>
    </w:p>
    <w:p w14:paraId="4CAB25C9" w14:textId="77777777" w:rsidR="009D7677" w:rsidRDefault="009D7677" w:rsidP="009D7677">
      <w:pPr>
        <w:pStyle w:val="TextoNormal"/>
      </w:pPr>
      <w:r>
        <w:t>Destaca que el auto de 19 de octubre de 2020, que ordenó despachar ejecución, no contenía ningún razonamiento que permitiera conocer que se había realizado un mínimo control de las cláusulas contractuales, ni cuáles habían sido, en su caso, los criterios jurídicos que habrían fundamentado la decisión. Presentado por el ejecutado escrito de incidente extraordinario de oposición a la ejecución, en el que solicitó la revisión de oficio de la abusividad de las cláusulas contractuales, la providencia de 2 de febrero de 2022 no ofreció respuesta, ni expresa ni táctica, a las alegaciones sobre dicha abusividad. Interpuesto recurso de reposición, en el que se insistió en dicho control de oficio con invocación de doctrina europea y constitucional, el auto de 29 de marzo de 2022 es la resolución que por primera vez se pronuncia sobre dicho control, limitándose a afirmar que se hizo al despachar la ejecución pero que, al no apreciarse la abusividad, no se dio traslado a las partes, considerando la fiscal que dicha motivación no cumple el canon de motivación exigido a las resoluciones que se dicten sobre esta materia, lo que supone una infracción autónoma que da lugar a la interposición de un incidente de nulidad. El incidente se inadmitió por providencia de 10 de mayo de 2022, que no entró en el fondo; y no se subsanó la lesión en el último auto de 24 de mayo de 2022.</w:t>
      </w:r>
    </w:p>
    <w:p w14:paraId="019E765B" w14:textId="77777777" w:rsidR="009D7677" w:rsidRDefault="009D7677" w:rsidP="009D7677">
      <w:pPr>
        <w:pStyle w:val="TextoNormal"/>
      </w:pPr>
    </w:p>
    <w:p w14:paraId="57B20808" w14:textId="61F4A380" w:rsidR="009D7677" w:rsidRDefault="009D7677" w:rsidP="009D7677">
      <w:pPr>
        <w:pStyle w:val="TextoNormal"/>
      </w:pPr>
      <w:r>
        <w:t>En consecuencia, el juzgado ha infringido el principio de primacía del Derecho de la Unión al prescindir por su propia, autónoma y exclusiva decisión, de la interpretación señalada por el órgano competente para hacerlo, incurriendo en una interpretación irrazonable y arbitraria de una norma aplicable al proceso, y con la consiguiente vulneración del derecho a la tutela judicial efectiva del recurrente (art. 24.1 CE). Apreciada esta vulneración, considera la fiscal que no procede ya extenderse sobre la que produce la inadmisión del incidente de nulidad de actuaciones presentado por el ejecutado, y sobre el rechazo a su complemento, objeto, respectivamente, de la providencia de 10 de mayo y auto de 24 de mayo de 2022, que necesariamente han de quedar afectados por la nulidad de las resoluciones de las que traen causa.</w:t>
      </w:r>
    </w:p>
    <w:p w14:paraId="5E0C2817" w14:textId="77777777" w:rsidR="009D7677" w:rsidRDefault="009D7677" w:rsidP="009D7677">
      <w:pPr>
        <w:pStyle w:val="TextoNormal"/>
      </w:pPr>
    </w:p>
    <w:p w14:paraId="043BC0BA" w14:textId="035D518D" w:rsidR="009D7677" w:rsidRDefault="009D7677" w:rsidP="009D7677">
      <w:pPr>
        <w:pStyle w:val="TextoNormal"/>
      </w:pPr>
      <w:r w:rsidRPr="009D7677">
        <w:rPr>
          <w:rStyle w:val="NumeroAFNegritaCaracter"/>
        </w:rPr>
        <w:t>10</w:t>
      </w:r>
      <w:r>
        <w:t>. Por providencia de 22 de febrero de 2024, se señaló para deliberación y votación de la presente sentencia el día 26 del mismo mes y año.</w:t>
      </w:r>
    </w:p>
    <w:p w14:paraId="74DE577B" w14:textId="77777777" w:rsidR="009D7677" w:rsidRDefault="009D7677" w:rsidP="009D7677">
      <w:pPr>
        <w:pStyle w:val="TextoNormal"/>
      </w:pPr>
    </w:p>
    <w:p w14:paraId="6B06E17A" w14:textId="77777777" w:rsidR="009D7677" w:rsidRDefault="009D7677" w:rsidP="009D7677">
      <w:pPr>
        <w:pStyle w:val="TextoNormalNegritaCentrado"/>
        <w:keepNext/>
      </w:pPr>
      <w:r>
        <w:t>II. Fundamentos jurídicos</w:t>
      </w:r>
    </w:p>
    <w:p w14:paraId="6EDE1C1D" w14:textId="59E96CFC" w:rsidR="009D7677" w:rsidRDefault="009D7677" w:rsidP="009D7677">
      <w:pPr>
        <w:pStyle w:val="TextoNormalNegritaCentrado"/>
        <w:keepNext/>
      </w:pPr>
    </w:p>
    <w:p w14:paraId="3D016EC4" w14:textId="77777777" w:rsidR="009D7677" w:rsidRDefault="009D7677" w:rsidP="009D7677">
      <w:pPr>
        <w:pStyle w:val="TextoNormal"/>
      </w:pPr>
      <w:r w:rsidRPr="009D7677">
        <w:rPr>
          <w:rStyle w:val="NumeroAFNegritaCaracter"/>
        </w:rPr>
        <w:t>1</w:t>
      </w:r>
      <w:r>
        <w:t xml:space="preserve">. </w:t>
      </w:r>
      <w:r w:rsidRPr="009D7677">
        <w:rPr>
          <w:i/>
        </w:rPr>
        <w:t>Objeto del recurso de amparo y pretensiones de las partes</w:t>
      </w:r>
    </w:p>
    <w:p w14:paraId="45727C2F" w14:textId="77777777" w:rsidR="009D7677" w:rsidRDefault="009D7677" w:rsidP="009D7677">
      <w:pPr>
        <w:pStyle w:val="TextoNormal"/>
      </w:pPr>
    </w:p>
    <w:p w14:paraId="0DAA7C32" w14:textId="77777777" w:rsidR="009D7677" w:rsidRDefault="009D7677" w:rsidP="009D7677">
      <w:pPr>
        <w:pStyle w:val="TextoNormal"/>
      </w:pPr>
      <w:r>
        <w:t>El presente recurso se interpone frente a la providencia de 10 de mayo de 2022 dictada en el procedimiento de ejecución hipotecaria núm. 58-2020 del Juzgado de Primera Instancia núm. 2 de Gandía, que inadmitió a trámite un incidente de nulidad de actuaciones presentado por el ejecutado, hoy recurrente en amparo; así como frente al auto de 24 de mayo de 2022, que desestimó la petición de este que se apreciara la existencia de un error en dicha providencia. La inadmisión del incidente de nulidad de actuaciones ha sido judicialmente fundada en que ya había sido inadmitido previamente, se había interpuesto recurso de reposición y este había sido desestimado.</w:t>
      </w:r>
    </w:p>
    <w:p w14:paraId="0B260567" w14:textId="77777777" w:rsidR="009D7677" w:rsidRDefault="009D7677" w:rsidP="009D7677">
      <w:pPr>
        <w:pStyle w:val="TextoNormal"/>
      </w:pPr>
    </w:p>
    <w:p w14:paraId="4BDFAD94" w14:textId="77777777" w:rsidR="009D7677" w:rsidRDefault="009D7677" w:rsidP="009D7677">
      <w:pPr>
        <w:pStyle w:val="TextoNormal"/>
      </w:pPr>
      <w:r>
        <w:t>Constituye el objeto del recurso determinar si las resoluciones impugnadas son resoluciones fundadas en Derecho, respetuosas con el derecho a la tutela judicial efectiva del recurrente. La pretensión de control judicial de las cláusulas abusivas viene amparada en la aplicación al caso de la Directiva 93/13/CEE, del Consejo, de 5 de abril, sobre cláusulas abusivas en los contratos celebrados con los consumidores, y en la jurisprudencia que la interpreta.</w:t>
      </w:r>
    </w:p>
    <w:p w14:paraId="74CBEE9F" w14:textId="77777777" w:rsidR="009D7677" w:rsidRDefault="009D7677" w:rsidP="009D7677">
      <w:pPr>
        <w:pStyle w:val="TextoNormal"/>
      </w:pPr>
    </w:p>
    <w:p w14:paraId="10AA6429" w14:textId="75CF0C43" w:rsidR="009D7677" w:rsidRDefault="009D7677" w:rsidP="009D7677">
      <w:pPr>
        <w:pStyle w:val="TextoNormal"/>
      </w:pPr>
      <w:r>
        <w:t xml:space="preserve">El recurrente alega la vulneración de su derecho fundamental a la tutela judicial efectiva del art. 24.1 CE, en relación con el principio de primacía del Derecho de la Unión Europea, por no haber realizado el juzgado el control de oficio de las cláusulas abusivas del contrato. La representación de la parte ejecutante en el procedimiento </w:t>
      </w:r>
      <w:r w:rsidRPr="009D7677">
        <w:rPr>
          <w:i/>
        </w:rPr>
        <w:t>a quo</w:t>
      </w:r>
      <w:r>
        <w:t xml:space="preserve"> ha solicitado la inadmisión del recurso por falta de denuncia tempestiva de la vulneración y por falta de especial trascendencia constitucional, y, subsidiariamente, su desestimación. Por su parte, el Ministerio Fiscal ha interesado la estimación del recurso, con fundamento en las alegaciones que han sido sintetizadas en los antecedentes de esta resolución.</w:t>
      </w:r>
    </w:p>
    <w:p w14:paraId="2932C4AB" w14:textId="77777777" w:rsidR="009D7677" w:rsidRDefault="009D7677" w:rsidP="009D7677">
      <w:pPr>
        <w:pStyle w:val="TextoNormal"/>
      </w:pPr>
    </w:p>
    <w:p w14:paraId="3C14F5C6" w14:textId="77777777" w:rsidR="009D7677" w:rsidRDefault="009D7677" w:rsidP="009D7677">
      <w:pPr>
        <w:pStyle w:val="TextoNormal"/>
      </w:pPr>
      <w:r w:rsidRPr="009D7677">
        <w:rPr>
          <w:rStyle w:val="NumeroAFNegritaCaracter"/>
        </w:rPr>
        <w:t>2</w:t>
      </w:r>
      <w:r>
        <w:t xml:space="preserve">. </w:t>
      </w:r>
      <w:r w:rsidRPr="009D7677">
        <w:rPr>
          <w:i/>
        </w:rPr>
        <w:t>Óbices procesales. Desestimación</w:t>
      </w:r>
    </w:p>
    <w:p w14:paraId="38F52DA5" w14:textId="77777777" w:rsidR="009D7677" w:rsidRDefault="009D7677" w:rsidP="009D7677">
      <w:pPr>
        <w:pStyle w:val="TextoNormal"/>
      </w:pPr>
    </w:p>
    <w:p w14:paraId="7B016876" w14:textId="77777777" w:rsidR="009D7677" w:rsidRDefault="009D7677" w:rsidP="009D7677">
      <w:pPr>
        <w:pStyle w:val="TextoNormal"/>
      </w:pPr>
      <w:r>
        <w:t>La parte recurrida ha solicitado en su escrito de alegaciones la inadmisión del recurso por apreciar la concurrencia del óbice procesal previsto en el apartado c) del art. 44.1 LOTC, esto es, que se haya denunciado formalmente en el proceso, si hubo oportunidad, la vulneración del derecho constitucional tan pronto como, una vez conocida, hubiera lugar para ello. También alega que no se aprecia especial trascendencia constitucional, con el consiguiente incumplimiento de lo establecido en el art. 50.1 b) LOTC.</w:t>
      </w:r>
    </w:p>
    <w:p w14:paraId="39201E91" w14:textId="77777777" w:rsidR="009D7677" w:rsidRDefault="009D7677" w:rsidP="009D7677">
      <w:pPr>
        <w:pStyle w:val="TextoNormal"/>
      </w:pPr>
    </w:p>
    <w:p w14:paraId="1142FF4E" w14:textId="77777777" w:rsidR="009D7677" w:rsidRDefault="009D7677" w:rsidP="009D7677">
      <w:pPr>
        <w:pStyle w:val="TextoNormal"/>
      </w:pPr>
      <w:r>
        <w:t>Debe recordarse en este punto la doctrina de este tribunal que establece que “los defectos insubsanables de que pudiera estar afectado el recurso de amparo no resultan sanados por que la demanda haya sido inicialmente admitida a trámite y así lo declaramos, entre otras, en la STC 69/2011, de 16 de mayo, cuyo fundamento jurídico 2 afirma que ‘la comprobación de los presupuestos procesales para la viabilidad de la acción puede volverse a abordar o reconsiderarse en la sentencia, de oficio o a instancia de parte, dando lugar, en su caso, a un pronunciamiento de inadmisión por falta de tales presupuestos’” (SSTC 200/2012, de 12 de noviembre, FJ 2, y 26/2023, de 17 de abril, FJ 2).</w:t>
      </w:r>
    </w:p>
    <w:p w14:paraId="57C7DD86" w14:textId="77777777" w:rsidR="009D7677" w:rsidRDefault="009D7677" w:rsidP="009D7677">
      <w:pPr>
        <w:pStyle w:val="TextoNormal"/>
      </w:pPr>
    </w:p>
    <w:p w14:paraId="47C4D2B5" w14:textId="77777777" w:rsidR="009D7677" w:rsidRDefault="009D7677" w:rsidP="009D7677">
      <w:pPr>
        <w:pStyle w:val="TextoNormal"/>
      </w:pPr>
      <w:r>
        <w:t xml:space="preserve">a) Por lo que se refiere a la concurrencia o no de la invocación tempestiva de la lesión en la vía judicial previa, coincide este tribunal con el Ministerio Fiscal, que rechaza la apreciación de tal óbice procesal. El ejecutado presentó el 27 de enero de 2022 un incidente extraordinario de oposición a la ejecución por existencia de cláusulas abusivas en el título ejecutivo, solicitando en el fundamento jurídico segundo de su escrito que se realizara el control de oficio de dicha abusividad, alegando que tal control era posible en el estado en que se encontraba el procedimiento con arreglo a la doctrina contenida en la STJUE de 26 de enero de 2017 y a la establecida por este tribunal desde la STC 31/2019, de 28 de febrero. Frente a la providencia de 2 de febrero de 2022, que inadmitió el incidente, recurrió en reposición, reiterando la necesidad de que se efectuara el control de oficio de las cláusulas abusivas, lo que estaba vinculado al derecho a la tutela judicial efectiva según la jurisprudencia europea y la doctrina constitucional. Desestimado el recurso por auto de 29 de marzo de 2022, el ejecutado promovió un incidente de nulidad de actuaciones alegando </w:t>
      </w:r>
      <w:r>
        <w:lastRenderedPageBreak/>
        <w:t>la vulneración de su derecho a la tutela judicial efectiva (art. 24.1 CE) en relación con el principio de primacía del Derecho Europeo. Inadmitido este incidente mediante providencia de 10 de mayo de 2022, solicitó una rectificación del error en que consideraba que esta incurría, lo que fue desestimado finalmente por auto de 24 de mayo de 2022.</w:t>
      </w:r>
    </w:p>
    <w:p w14:paraId="3DC4B4CE" w14:textId="77777777" w:rsidR="009D7677" w:rsidRDefault="009D7677" w:rsidP="009D7677">
      <w:pPr>
        <w:pStyle w:val="TextoNormal"/>
      </w:pPr>
    </w:p>
    <w:p w14:paraId="745F7C16" w14:textId="77777777" w:rsidR="009D7677" w:rsidRDefault="009D7677" w:rsidP="009D7677">
      <w:pPr>
        <w:pStyle w:val="TextoNormal"/>
      </w:pPr>
      <w:r>
        <w:t>De todo lo anterior se desprende que sí se ha cumplido el requisito establecido en el art. 44.1 c) LOTC. En relación con este requisito, la STC 67/2020, de 29 de junio, FJ 2, recuerda que “lo decisivo es que, a través de las alegaciones que se formulen en la vía judicial, de los términos en que se ha planteado el debate en la vía procesal o de la descripción fáctica de los datos o circunstancias de hecho de la violación del derecho fundamental o del agravio del mismo, se permita a los órganos judiciales su conocimiento en orden a que, de un lado, puedan argumentar y pronunciarse sobre la cuestión y, de otro, reparen, en su caso, la vulneración aducida (STC 22/2020, de 13 de febrero, FJ 6; con cita de las SSTC 53/2012, de 29 de marzo, FJ 2, y 117/2014, de 8 de julio, FJ 3)”.</w:t>
      </w:r>
    </w:p>
    <w:p w14:paraId="3DEBBAFB" w14:textId="77777777" w:rsidR="009D7677" w:rsidRDefault="009D7677" w:rsidP="009D7677">
      <w:pPr>
        <w:pStyle w:val="TextoNormal"/>
      </w:pPr>
    </w:p>
    <w:p w14:paraId="0C094D4F" w14:textId="77777777" w:rsidR="009D7677" w:rsidRDefault="009D7677" w:rsidP="009D7677">
      <w:pPr>
        <w:pStyle w:val="TextoNormal"/>
      </w:pPr>
      <w:r>
        <w:t>b) Alega también la parte recurrida que no se aprecia en este caso la causa de especial trascendencia constitucional prevista en el apartado f) del fundamento jurídico 2 de la STC 155/2009, de 25 de junio, esto es, que el órgano judicial haya podido incurrir en una negativa manifiesta a acatar doctrina constitucional al no entrar a conocer de oficio sobre la existencia de cláusulas abusivas.</w:t>
      </w:r>
    </w:p>
    <w:p w14:paraId="5EAB23F8" w14:textId="77777777" w:rsidR="009D7677" w:rsidRDefault="009D7677" w:rsidP="009D7677">
      <w:pPr>
        <w:pStyle w:val="TextoNormal"/>
      </w:pPr>
    </w:p>
    <w:p w14:paraId="30DC4550" w14:textId="77777777" w:rsidR="009D7677" w:rsidRDefault="009D7677" w:rsidP="009D7677">
      <w:pPr>
        <w:pStyle w:val="TextoNormal"/>
      </w:pPr>
      <w:r>
        <w:t>Frente a dicha alegación debe recordarse que es a este tribunal a quien corresponde apreciar si el contenido del recurso justifica una decisión sobre el fondo en razón de su especial trascendencia constitucional, que encuentra su momento procesal idóneo en el trámite de admisión contemplado en el art. 50.1 LOTC [por todas, las SSTC 37/2019, de 26 de marzo, FJ 3; 59/2019, de 6 de mayo, FJ 3 b), y 32/2020, de 24 de febrero].</w:t>
      </w:r>
    </w:p>
    <w:p w14:paraId="1680E143" w14:textId="77777777" w:rsidR="009D7677" w:rsidRDefault="009D7677" w:rsidP="009D7677">
      <w:pPr>
        <w:pStyle w:val="TextoNormal"/>
      </w:pPr>
    </w:p>
    <w:p w14:paraId="705124D5" w14:textId="77777777" w:rsidR="009D7677" w:rsidRDefault="009D7677" w:rsidP="009D7677">
      <w:pPr>
        <w:pStyle w:val="TextoNormal"/>
      </w:pPr>
      <w:r>
        <w:t>En su providencia de 15 de septiembre de 2022, la Sección Primera de este tribunal acordó admitir a trámite el recurso de amparo apreciando que en el mismo concurre “una especial trascendencia constitucional (art. 50.1 LOTC) como consecuencia de que el órgano judicial pudiera haber incurrido en una negativa manifiesta del deber de acatamiento de la doctrina de este tribunal [STC 155/2009, FJ 2 f)]”. De tal manera que, de entre los dos supuestos que la demanda había propuesto para justificar la especial transcendencia constitucional del recurso, este tribunal, valorando lo alegado por el actor y la documentación que adjuntaba, consideró que concurría el supuesto así determinado en su resolución.</w:t>
      </w:r>
    </w:p>
    <w:p w14:paraId="163B8480" w14:textId="77777777" w:rsidR="009D7677" w:rsidRDefault="009D7677" w:rsidP="009D7677">
      <w:pPr>
        <w:pStyle w:val="TextoNormal"/>
      </w:pPr>
    </w:p>
    <w:p w14:paraId="02A809DC" w14:textId="77777777" w:rsidR="009D7677" w:rsidRDefault="009D7677" w:rsidP="009D7677">
      <w:pPr>
        <w:pStyle w:val="TextoNormal"/>
      </w:pPr>
      <w:r>
        <w:t xml:space="preserve">En todo caso, no está de más volver a reiterar que, para que concurra el supuesto de la negativa manifiesta del deber de acatamiento de la doctrina constitucional señalado en la STC 155/2009, FJ 2 f), que ha sido el apreciado en este recurso de amparo, son necesarios los siguientes requisitos característicos: (i) que no puede ser identificada con “la errónea interpretación o aplicación de la jurisprudencia, incluso si fuera objetivable y verificable en el caso concreto” (STC 106/2017, de 18 de septiembre, FJ 2), sino como “la voluntad manifiesta de no proceder a su aplicación; o dicho en otras palabras, a una decisión consciente de soslayarla” (STC 83/2018, de 16 de julio, FJ 3); (ii) el incumplimiento por sí solo de la doctrina dictada por este tribunal no puede ser considerado como un supuesto de especial trascendencia constitucional, pero una vez advertida la cualidad que hace del mismo un supuesto de trascendencia constitucional (es decir, la existencia de una negativa manifiesta), este tribunal debe conocer del recurso y aplicar su doctrina al caso concreto; </w:t>
      </w:r>
      <w:r>
        <w:lastRenderedPageBreak/>
        <w:t>(iii) procede apreciar la concurrencia de dicho elemento intencional en supuestos en los que el órgano judicial, aun conociendo la doctrina constitucional, dado que había sido citada y extractada en lo fundamental en el escrito por el que se hubo promovido el incidente de nulidad de actuaciones, lo resolvió sin hacer consideración alguna sobre ella (STC 5/2018, de 22 de enero, FJ 2, por todas); y (iv) en todo caso, la cita de la doctrina constitucional ha de ser concreta y precisa, “no siendo suficiente cualquier pronunciamiento jurisprudencial que se entienda incumplido” (STC 106/2017, de 18 de septiembre, FJ 2).</w:t>
      </w:r>
    </w:p>
    <w:p w14:paraId="1BF45E64" w14:textId="77777777" w:rsidR="009D7677" w:rsidRDefault="009D7677" w:rsidP="009D7677">
      <w:pPr>
        <w:pStyle w:val="TextoNormal"/>
      </w:pPr>
    </w:p>
    <w:p w14:paraId="21BB231E" w14:textId="77777777" w:rsidR="009D7677" w:rsidRDefault="009D7677" w:rsidP="009D7677">
      <w:pPr>
        <w:pStyle w:val="TextoNormal"/>
      </w:pPr>
      <w:r>
        <w:t>En el caso de autos, como se ha indicado en los antecedentes, tanto en el escrito de 27 de enero de 2022, en el que se interesó por primera vez la revisión de oficio de las cláusulas abusivas, como en el recurso de reposición y en el posterior incidente de nulidad de actuaciones, el ejecutado ha alegado expresamente la doctrina constitucional establecida sobre esta cuestión desde la STC 31/2019, de 28 de febrero.</w:t>
      </w:r>
    </w:p>
    <w:p w14:paraId="42F4424C" w14:textId="77777777" w:rsidR="009D7677" w:rsidRDefault="009D7677" w:rsidP="009D7677">
      <w:pPr>
        <w:pStyle w:val="TextoNormal"/>
      </w:pPr>
    </w:p>
    <w:p w14:paraId="39815847" w14:textId="2FD3E00E" w:rsidR="009D7677" w:rsidRDefault="009D7677" w:rsidP="009D7677">
      <w:pPr>
        <w:pStyle w:val="TextoNormal"/>
      </w:pPr>
      <w:r>
        <w:t>En consecuencia, la demanda de amparo no solo ha justificado la especial transcendencia constitucional del recurso alegando de modo expreso la concurrencia de este supuesto, sino que este tribunal ha constatado también su existencia, después de haber examinado los incidentes y recursos que el hoy recurrente promovió ante el juzgado y las respuestas ofrecidas por este. Así pues, este óbice también debe ser desestimado.</w:t>
      </w:r>
    </w:p>
    <w:p w14:paraId="3D9C09EE" w14:textId="77777777" w:rsidR="009D7677" w:rsidRDefault="009D7677" w:rsidP="009D7677">
      <w:pPr>
        <w:pStyle w:val="TextoNormal"/>
      </w:pPr>
    </w:p>
    <w:p w14:paraId="2E2692FE" w14:textId="77777777" w:rsidR="009D7677" w:rsidRDefault="009D7677" w:rsidP="009D7677">
      <w:pPr>
        <w:pStyle w:val="TextoNormal"/>
      </w:pPr>
      <w:r w:rsidRPr="009D7677">
        <w:rPr>
          <w:rStyle w:val="NumeroAFNegritaCaracter"/>
        </w:rPr>
        <w:t>3</w:t>
      </w:r>
      <w:r>
        <w:t xml:space="preserve">. </w:t>
      </w:r>
      <w:r w:rsidRPr="009D7677">
        <w:rPr>
          <w:i/>
        </w:rPr>
        <w:t>Aplicación de la jurisprudencia constitucional</w:t>
      </w:r>
    </w:p>
    <w:p w14:paraId="2C3432AE" w14:textId="77777777" w:rsidR="009D7677" w:rsidRDefault="009D7677" w:rsidP="009D7677">
      <w:pPr>
        <w:pStyle w:val="TextoNormal"/>
      </w:pPr>
    </w:p>
    <w:p w14:paraId="0A70C386" w14:textId="77777777" w:rsidR="009D7677" w:rsidRDefault="009D7677" w:rsidP="009D7677">
      <w:pPr>
        <w:pStyle w:val="TextoNormal"/>
      </w:pPr>
      <w:r>
        <w:t xml:space="preserve">Desde la STC 31/2019, de 28 de febrero, hasta las muy recientes SSTC 23/2023, de 27 de marzo, y 26/2023, de 17 de abril, este tribunal se ha pronunciado en multitud de ocasiones sobre la proyección que respecto del derecho a la tutela judicial efectiva (art. 24.1 CE) tiene el deber de control de abusividad del clausulado de los títulos no judiciales en los procedimientos judiciales, amparado en el Derecho de la Unión Europea (Directiva 93/13/CEE del Consejo, de 5 de abril de 1993, sobre las cláusulas abusivas en los contratos celebrados con consumidores, SSTJUE de 26 de enero de 2017, asunto C-421/14, </w:t>
      </w:r>
      <w:r w:rsidRPr="009D7677">
        <w:rPr>
          <w:i/>
        </w:rPr>
        <w:t>Banco Primus, S.A., c. Jesús Gutiérrez García</w:t>
      </w:r>
      <w:r>
        <w:t xml:space="preserve">, y la más reciente de 17 de mayo de 2022, asunto C‑600/19, </w:t>
      </w:r>
      <w:r w:rsidRPr="009D7677">
        <w:rPr>
          <w:i/>
        </w:rPr>
        <w:t>MA c. Ibercaja Banco, S.A</w:t>
      </w:r>
      <w:r>
        <w:t>.). La reiterada doctrina establecida por este tribunal puede sintetizarse en los siguientes puntos:</w:t>
      </w:r>
    </w:p>
    <w:p w14:paraId="44DD9FAD" w14:textId="77777777" w:rsidR="009D7677" w:rsidRDefault="009D7677" w:rsidP="009D7677">
      <w:pPr>
        <w:pStyle w:val="TextoNormal"/>
      </w:pPr>
    </w:p>
    <w:p w14:paraId="12196A7A" w14:textId="77777777" w:rsidR="009D7677" w:rsidRDefault="009D7677" w:rsidP="009D7677">
      <w:pPr>
        <w:pStyle w:val="TextoNormal"/>
      </w:pPr>
      <w:r>
        <w:t>a) Corresponde a este tribunal velar por el respeto del principio de primacía del Derecho de la Unión cuando exista una interpretación auténtica efectuada por el propio Tribunal de Justicia de la Unión Europea, de manera que el desconocimiento y preterición de una norma de Derecho de la Unión, tal y como ha sido interpretada por aquel, puede suponer una selección irrazonable y arbitraria de una norma aplicable al proceso, lo cual puede dar lugar a una vulneración del derecho a la tutela judicial efectiva. Asimismo, prescindir por propia, autónoma y exclusiva decisión del órgano judicial, de la interpretación de un precepto de una norma europea impuesta y señalada por el órgano competente para hacerlo con carácter vinculante, es decir, el Tribunal de Justicia de la Unión Europea, vulnera el principio de primacía del Derecho de la Unión Europea.</w:t>
      </w:r>
    </w:p>
    <w:p w14:paraId="2115280E" w14:textId="77777777" w:rsidR="009D7677" w:rsidRDefault="009D7677" w:rsidP="009D7677">
      <w:pPr>
        <w:pStyle w:val="TextoNormal"/>
      </w:pPr>
    </w:p>
    <w:p w14:paraId="30CB7C0A" w14:textId="77777777" w:rsidR="009D7677" w:rsidRDefault="009D7677" w:rsidP="009D7677">
      <w:pPr>
        <w:pStyle w:val="TextoNormal"/>
      </w:pPr>
      <w:r>
        <w:t xml:space="preserve">b) El Tribunal de Justicia de la Unión Europea ha interpretado que la Directiva 93/13/CEE obliga al juez nacional a apreciar el eventual carácter abusivo de una cláusula cuando disponga de los elementos de hecho y de derecho necesarios para ello, siempre que la cláusula denunciada no hubiera sido examinada previamente, examen que deberá llevar </w:t>
      </w:r>
      <w:r>
        <w:lastRenderedPageBreak/>
        <w:t xml:space="preserve">a cabo permitiendo que el consumidor pueda formular un incidente de oposición cumpliendo con lo que disponga la norma, lo que no exime de la obligación de control de oficio por el órgano judicial. A tal efecto, carece de relevancia el momento o el cauce procesal que se utilice para suscitar ante el órgano jurisdiccional esa cuestión, siempre que el procedimiento aún subsista. En la STJUE de 17 de mayo de 2022, asunto </w:t>
      </w:r>
      <w:r w:rsidRPr="009D7677">
        <w:rPr>
          <w:i/>
        </w:rPr>
        <w:t>Ibercaja Banco, S.A</w:t>
      </w:r>
      <w:r>
        <w:t>., el Tribunal de Justicia, respaldando la jurisprudencia constitucional anterior y reforzando la necesidad de motivación, también ha precisado que en un procedimiento de ejecución hipotecaria ya concluido en que los “derechos de propiedad respecto del bien han sido transmitidos a un tercero, el juez, actuando de oficio o a instancias del consumidor, ya no puede proceder a un examen del carácter abusivo de cláusulas contractuales que llevase a la anulación de los actos de transmisión de la propiedad y cuestionar la seguridad jurídica de la transmisión de la propiedad ya realizada frente a un tercero”.</w:t>
      </w:r>
    </w:p>
    <w:p w14:paraId="1E320C43" w14:textId="77777777" w:rsidR="009D7677" w:rsidRDefault="009D7677" w:rsidP="009D7677">
      <w:pPr>
        <w:pStyle w:val="TextoNormal"/>
      </w:pPr>
    </w:p>
    <w:p w14:paraId="51A56215" w14:textId="77777777" w:rsidR="009D7677" w:rsidRDefault="009D7677" w:rsidP="009D7677">
      <w:pPr>
        <w:pStyle w:val="TextoNormal"/>
      </w:pPr>
      <w:r>
        <w:t>c) Desde la perspectiva del deber de motivación, hemos sostenido que la simple mención genérica de que la demanda cumple con los requisitos previstos en el art. 685 LEC y que el título es susceptible de ejecución es insuficiente a los efectos de considerar que, sin género de dudas, se realizó el previo control, máxime cuando de dicha argumentación se hará depender el acceso a un pronunciamiento de fondo al que el órgano judicial, de acuerdo con el Derecho de la Unión, debe proceder de oficio de haber razones para ello, pues mal se puede realizar un control —ni siquiera externo— de lo que carece de un razonamiento expreso.</w:t>
      </w:r>
    </w:p>
    <w:p w14:paraId="2391B008" w14:textId="77777777" w:rsidR="009D7677" w:rsidRDefault="009D7677" w:rsidP="009D7677">
      <w:pPr>
        <w:pStyle w:val="TextoNormal"/>
      </w:pPr>
    </w:p>
    <w:p w14:paraId="436B0A68" w14:textId="77777777" w:rsidR="009D7677" w:rsidRDefault="009D7677" w:rsidP="009D7677">
      <w:pPr>
        <w:pStyle w:val="TextoNormal"/>
      </w:pPr>
      <w:r>
        <w:t>La necesidad de motivación, aparte de venir impuesta en el art. 120.3 CE, es una exigencia derivada del art. 24.1 CE con el fin de que se puedan conocer las razones de la decisión que aquellas contienen, además de que el derecho a obtener una resolución fundada en Derecho, favorable o adversa, es garantía frente a la arbitrariedad e irrazonabilidad de los poderes públicos. Ello implica, en primer lugar, que la resolución ha de estar motivada, es decir, contener los elementos y razones de juicio que permitan conocer cuáles han sido los criterios jurídicos que fundamentan la decisión; y, en segundo lugar, que la motivación esté fundada en Derecho, carga que no queda cumplida con la mera emisión de una declaración de voluntad en un sentido u otro, sino que debe ser consecuencia de una exégesis racional del ordenamiento y no fruto de la arbitrariedad.</w:t>
      </w:r>
    </w:p>
    <w:p w14:paraId="19B0234E" w14:textId="77777777" w:rsidR="009D7677" w:rsidRDefault="009D7677" w:rsidP="009D7677">
      <w:pPr>
        <w:pStyle w:val="TextoNormal"/>
      </w:pPr>
    </w:p>
    <w:p w14:paraId="0B1FC302" w14:textId="77777777" w:rsidR="009D7677" w:rsidRDefault="009D7677" w:rsidP="009D7677">
      <w:pPr>
        <w:pStyle w:val="TextoNormal"/>
      </w:pPr>
      <w:r>
        <w:t xml:space="preserve">En este punto debe destacarse, en particular, que la STJUE de 17 de mayo de 2022, asunto </w:t>
      </w:r>
      <w:r w:rsidRPr="009D7677">
        <w:rPr>
          <w:i/>
        </w:rPr>
        <w:t>Ibercaja Banco, S.A</w:t>
      </w:r>
      <w:r>
        <w:t xml:space="preserve">., fue dictada en relación con un supuesto en el que al inicio del procedimiento el órgano judicial había examinado de oficio si una de las cláusulas del contrato podía calificarse de abusiva y, tras considerar que no lo era, había dictado auto despachando ejecución sin mencionar el control efectuado de oficio. Dicha falta de mención motivó que el consumidor no fuera informado de la existencia del control de oficio ni, al menos sucintamente, de los motivos en los que se había basado el órgano judicial para estimar que las cláusulas controvertidas carecían de carácter abusivo. Por lo tanto, no pudo apreciar con pleno conocimiento de causa si procedía interponer un recurso contra dicha resolución. Destaca el Tribunal de Justicia de la Unión Europea que no podría garantizarse un control eficaz del eventual carácter abusivo de las cláusulas contractuales, tal como se exige en la Directiva 93/13/CE, si la fuerza de cosa juzgada se extendiera también a las resoluciones judiciales que no mencionan tal control. En cambio, sí que se garantizaría la protección al consumidor si, en el auto que despacha la ejecución, el juez indica expresamente que ha examinado de oficio el carácter abusivo de las cláusulas del título que </w:t>
      </w:r>
      <w:r>
        <w:lastRenderedPageBreak/>
        <w:t>da lugar al procedimiento de ejecución hipotecaria, que dicho examen, motivado al menos sucintamente, no ha puesto de manifiesto la existencia de ninguna cláusula abusiva, y que, si no formula oposición dentro del plazo establecido en el Derecho nacional, el consumidor ya no podrá invocar el eventual carácter abusivo de dichas cláusulas. Y, de este modo, concluye: De lo anterior se deriva que “los artículos 6, apartado 1, y 7, apartado 1, de la Directiva 93/13 deben interpretarse en el sentido de que se oponen a una legislación nacional que, debido al efecto de cosa juzgada y a la preclusión, no permite al juez examinar de oficio el carácter abusivo de cláusulas contractuales en el marco de un procedimiento de ejecución hipotecaria ni al consumidor, transcurrido el plazo para formular oposición, invocar el carácter abusivo de tales cláusulas en ese procedimiento o en un procedimiento declarativo posterior cuando el juez, al inicio del procedimiento de ejecución hipotecaria, ya ha examinado de oficio el eventual carácter abusivo de dichas cláusulas pero la resolución judicial en que se despacha ejecución hipotecaria no contiene ningún motivo, siquiera sucinto, que acredite la existencia de tal examen ni indica que la apreciación efectuada por dicho juez al término de ese examen no podrá ya cuestionarse si no se formula oposición dentro del referido plazo”.</w:t>
      </w:r>
    </w:p>
    <w:p w14:paraId="08E8753D" w14:textId="77777777" w:rsidR="009D7677" w:rsidRDefault="009D7677" w:rsidP="009D7677">
      <w:pPr>
        <w:pStyle w:val="TextoNormal"/>
      </w:pPr>
    </w:p>
    <w:p w14:paraId="4983CF1B" w14:textId="77777777" w:rsidR="009D7677" w:rsidRDefault="009D7677" w:rsidP="009D7677">
      <w:pPr>
        <w:pStyle w:val="TextoNormal"/>
      </w:pPr>
      <w:r>
        <w:t>d) Este tribunal se ha manifestado en diversas ocasiones sobre el carácter idóneo del incidente de nulidad de actuaciones para que la parte ejecutada pueda solicitar del órgano judicial que se pronuncie sobre el carácter abusivo de una cláusula, supuesto en el que ha de producirse de manera motivada el obligado control por parte de los órganos jurisdiccionales del carácter abusivo de las cláusulas incorporadas a los contratos cuando fueran requeridos para efectuarlo por esta vía procesal, salvo, claro está, que ese examen se hubiese producido anteriormente de manera expresa y motivada.</w:t>
      </w:r>
    </w:p>
    <w:p w14:paraId="694A247C" w14:textId="77777777" w:rsidR="009D7677" w:rsidRDefault="009D7677" w:rsidP="009D7677">
      <w:pPr>
        <w:pStyle w:val="TextoNormal"/>
      </w:pPr>
    </w:p>
    <w:p w14:paraId="0030F3CB" w14:textId="77777777" w:rsidR="009D7677" w:rsidRDefault="009D7677" w:rsidP="009D7677">
      <w:pPr>
        <w:pStyle w:val="TextoNormal"/>
      </w:pPr>
      <w:r>
        <w:t>En el supuesto que se examina, se constata que el recurrente presentó un escrito el 27 de enero de 2022 interponiendo un incidente extraordinario de oposición a la ejecución por existencia de cláusulas abusivas en el título ejecutivo al amparo de lo dispuesto en la disposición transitoria tercera de la Ley 5/2019, de 15 de marzo, reguladora de los contratos de crédito inmobiliario, y en la disposición transitoria cuarta de la Ley 1/2013, de 14 de mayo, de medidas para reforzar la protección a los deudores hipotecarios, reestructuración de deuda y alquiler social; que el incidente fue inadmitido mediante providencia de 2 de febrero de 2022; que frente dicha providencia interpuso el ejecutado recurso de reposición, desestimado por auto de 29 de marzo de 2022; y que por escrito de 26 de abril de 2022 el ejecutado promovió un incidente de nulidad de actuaciones al amparo de los arts. 228 y 562 LEC, alegando la vulneración de su derecho a la tutela judicial efectiva (art. 24.1 CE) en relación con el principio de primacía del Derecho Europeo, siendo inadmitido el incidente mediante providencia de 10 de mayo de 2022, confirmado por auto de 24 de mayo de 2022.</w:t>
      </w:r>
    </w:p>
    <w:p w14:paraId="73E53045" w14:textId="77777777" w:rsidR="009D7677" w:rsidRDefault="009D7677" w:rsidP="009D7677">
      <w:pPr>
        <w:pStyle w:val="TextoNormal"/>
      </w:pPr>
    </w:p>
    <w:p w14:paraId="323F03F8" w14:textId="77777777" w:rsidR="009D7677" w:rsidRDefault="009D7677" w:rsidP="009D7677">
      <w:pPr>
        <w:pStyle w:val="TextoNormal"/>
      </w:pPr>
      <w:r>
        <w:t xml:space="preserve">En la demanda de interposición del incidente de nulidad de actuaciones se recuerda que no cabía considerar que el plazo para denunciar la abusividad de las cláusulas hubiera precluido solo porque no hubiera formulado oposición al inicio del procedimiento, y destacando que, si no constaba en el auto de despacho de la ejecución que se hubiera producido un examen del clausulado contractual, no podía entenderse este realizado. Pese a ser el incidente de nulidad de actuaciones, conforme a la doctrina constitucional expuesta, un cauce procesal idóneo para efectuar esta alegación, el juzgado dictó una providencia el 10 de mayo de 2022 con un escueto y formalista razonamiento consistente en indicar que no </w:t>
      </w:r>
      <w:r>
        <w:lastRenderedPageBreak/>
        <w:t>había lugar a admitir “el nuevo incidente de nulidad de actuaciones formulado por la referida parte ejecutada, habida cuenta de que el mismo ya fue inadmitido, se recurrió en reposición y dicho recurso fue igualmente desestimado”. Esta providencia no satisface el canon de motivación exigible, lo que tampoco hace el posterior auto de 24 de mayo de 2022, que se limita a negar la existencia de ningún error en la providencia.</w:t>
      </w:r>
    </w:p>
    <w:p w14:paraId="1AA700BA" w14:textId="77777777" w:rsidR="009D7677" w:rsidRDefault="009D7677" w:rsidP="009D7677">
      <w:pPr>
        <w:pStyle w:val="TextoNormal"/>
      </w:pPr>
    </w:p>
    <w:p w14:paraId="7883E020" w14:textId="5DA56263" w:rsidR="009D7677" w:rsidRDefault="009D7677" w:rsidP="009D7677">
      <w:pPr>
        <w:pStyle w:val="TextoNormal"/>
      </w:pPr>
      <w:r>
        <w:t>Las resoluciones impugnadas han de considerarse, atendiendo a la doctrina constitucional antes expuesta, vulneradoras del derecho a la tutela judicial efectiva sin indefensión del ejecutado, ahora demandante de amparo, en la vertiente de derecho a obtener una resolución motivada y fundada en Derecho, pues han prescindido por su propia, autónoma y exclusiva voluntad de la interpretación impuesta y señalada por el órgano competente para hacerlo con carácter vinculante, incurriendo, por ello, en una interpretación irrazonable y arbitraria de la norma aplicable al proceso. Los órganos judiciales deben respetar la primacía del Derecho de la Unión Europea, en los términos que resultan de la jurisprudencia del Tribunal de Justicia de la Unión Europea, lo que implica la obligación de examinar, bien de oficio, bien a instancia de parte, tan pronto como disponga de los elementos de hecho y de derecho para ello. Una vez la cuestión se plantea por la parte ejecutada, el órgano judicial está obligado a darle una respuesta fundada, con independencia del momento y del cauce empleado para ello, salvo que el fundamento para rechazar la pretensión fuera que ya se había realizado previamente el control de oficio de las cláusulas impugnadas mediante una resolución con efecto de cosa juzgada, lo que no concurría en el procedimiento del que trae causa este recurso de amparo. Tampoco se fundamentan las citadas resoluciones en que se haya producido un acto de transmisión de la propiedad que pueda quedar afectado por el examen de la abusividad de las cláusulas controvertidas, y que también impediría dicho control conforme a la doctrina del Tribunal de Justicia de la Unión Europea a la que antes se ha hecho referencia. Adicionalmente también incurren las resoluciones impugnadas en error cuando acuden al argumento de la previa existencia de un incidente de nulidad de actuaciones, porque, sin poder pronunciarnos acerca de la concurrencia de los requisitos específicamente exigidos por los arts. 228 y 562 LEC para la admisibilidad del incidente de nulidad de actuaciones, lo cierto es que ninguna de las dos disposiciones impugnadas ofrece una respuesta razonable y fundada en derecho a la cuestión planteada por la parte respecto de la admisibilidad o no del incidente de nulidad.</w:t>
      </w:r>
    </w:p>
    <w:p w14:paraId="5017621C" w14:textId="77777777" w:rsidR="009D7677" w:rsidRDefault="009D7677" w:rsidP="009D7677">
      <w:pPr>
        <w:pStyle w:val="TextoNormal"/>
      </w:pPr>
    </w:p>
    <w:p w14:paraId="71CEC4AE" w14:textId="77777777" w:rsidR="009D7677" w:rsidRDefault="009D7677" w:rsidP="009D7677">
      <w:pPr>
        <w:pStyle w:val="TextoNormal"/>
      </w:pPr>
      <w:r w:rsidRPr="009D7677">
        <w:rPr>
          <w:rStyle w:val="NumeroAFNegritaCaracter"/>
        </w:rPr>
        <w:t>4</w:t>
      </w:r>
      <w:r>
        <w:t xml:space="preserve">. </w:t>
      </w:r>
      <w:r w:rsidRPr="009D7677">
        <w:rPr>
          <w:i/>
        </w:rPr>
        <w:t>Alcance del amparo</w:t>
      </w:r>
    </w:p>
    <w:p w14:paraId="00581FD9" w14:textId="77777777" w:rsidR="009D7677" w:rsidRDefault="009D7677" w:rsidP="009D7677">
      <w:pPr>
        <w:pStyle w:val="TextoNormal"/>
      </w:pPr>
    </w:p>
    <w:p w14:paraId="3B049B0A" w14:textId="7F9E9FD6" w:rsidR="009D7677" w:rsidRDefault="009D7677" w:rsidP="009D7677">
      <w:pPr>
        <w:pStyle w:val="TextoNormal"/>
      </w:pPr>
      <w:r>
        <w:t>De acuerdo con las consideraciones desarrolladas en el fundamento anterior, procede el otorgamiento del amparo, con reconocimiento de la vulneración del derecho fundamental a obtener una resolución motivada y fundada en Derecho (art. 24.1 CE). El restablecimiento en el derecho vulnerado conlleva la declaración de nulidad de la providencia del Juzgado de Primera Instancia núm. 2 de Gandía, de 10 de mayo de 2022, y del auto de 24 de mayo de 2022, así como la retroacción de las actuaciones del procedimiento de ejecución al momento inmediatamente anterior al dictado de la primera de dichas resoluciones, para que el órgano judicial pronuncie otra nueva con observancia del derecho fundamental del recurrente.</w:t>
      </w:r>
    </w:p>
    <w:p w14:paraId="19B6A8AA" w14:textId="77777777" w:rsidR="009D7677" w:rsidRDefault="009D7677" w:rsidP="009D7677">
      <w:pPr>
        <w:pStyle w:val="TextoNormal"/>
      </w:pPr>
    </w:p>
    <w:p w14:paraId="6EB75743" w14:textId="77777777" w:rsidR="009D7677" w:rsidRDefault="009D7677" w:rsidP="009D7677">
      <w:pPr>
        <w:pStyle w:val="TextoNormalCentrado"/>
        <w:keepNext/>
      </w:pPr>
      <w:r>
        <w:lastRenderedPageBreak/>
        <w:t>FALLO</w:t>
      </w:r>
    </w:p>
    <w:p w14:paraId="08B486B3" w14:textId="10A03FAC" w:rsidR="009D7677" w:rsidRDefault="009D7677" w:rsidP="009D7677">
      <w:pPr>
        <w:pStyle w:val="TextoNormalCentrado"/>
        <w:keepNext/>
      </w:pPr>
    </w:p>
    <w:p w14:paraId="4E2C7F23" w14:textId="77777777" w:rsidR="009D7677" w:rsidRDefault="009D7677" w:rsidP="009D7677">
      <w:pPr>
        <w:pStyle w:val="TextoNormal"/>
      </w:pPr>
      <w:r>
        <w:t>En atención a todo lo expuesto, el Tribunal Constitucional, por la autoridad que le confiere la Constitución de la Nación española, ha decidido estimar el recurso de amparo interpuesto por don José Vicente Sabater Orengo y, en consecuencia:</w:t>
      </w:r>
    </w:p>
    <w:p w14:paraId="1F336304" w14:textId="77777777" w:rsidR="009D7677" w:rsidRDefault="009D7677" w:rsidP="009D7677">
      <w:pPr>
        <w:pStyle w:val="TextoNormal"/>
      </w:pPr>
    </w:p>
    <w:p w14:paraId="7E2359E5" w14:textId="77777777" w:rsidR="009D7677" w:rsidRDefault="009D7677" w:rsidP="009D7677">
      <w:pPr>
        <w:pStyle w:val="TextoNormal"/>
      </w:pPr>
      <w:r>
        <w:t>1º Declarar que ha sido vulnerado su derecho fundamental a la tutela judicial efectiva sin indefensión (art. 24.1 CE), en su vertiente del derecho a obtener una resolución fundada en Derecho.</w:t>
      </w:r>
    </w:p>
    <w:p w14:paraId="0A8065C0" w14:textId="77777777" w:rsidR="009D7677" w:rsidRDefault="009D7677" w:rsidP="009D7677">
      <w:pPr>
        <w:pStyle w:val="TextoNormal"/>
      </w:pPr>
    </w:p>
    <w:p w14:paraId="4DCE6269" w14:textId="77777777" w:rsidR="009D7677" w:rsidRDefault="009D7677" w:rsidP="009D7677">
      <w:pPr>
        <w:pStyle w:val="TextoNormal"/>
      </w:pPr>
      <w:r>
        <w:t>2º Restablecerle en su derecho y, a tal fin, declarar la nulidad de la providencia del Juzgado de Primera Instancia núm. 2 de Gandía, de 10 de mayo de 2022, y del auto de 24 de mayo de 2022, dictados en el procedimiento de ejecución de títulos judiciales núm. 58-2020.</w:t>
      </w:r>
    </w:p>
    <w:p w14:paraId="467683F3" w14:textId="77777777" w:rsidR="009D7677" w:rsidRDefault="009D7677" w:rsidP="009D7677">
      <w:pPr>
        <w:pStyle w:val="TextoNormal"/>
      </w:pPr>
    </w:p>
    <w:p w14:paraId="58FB1145" w14:textId="5D5F6DAD" w:rsidR="009D7677" w:rsidRDefault="009D7677" w:rsidP="009D7677">
      <w:pPr>
        <w:pStyle w:val="TextoNormal"/>
      </w:pPr>
      <w:r>
        <w:t>3º Retrotraer el procedimiento al momento inmediatamente anterior al pronunciamiento de la primera de dichas resoluciones, para que por el órgano judicial se dicte otra respetuosa con el derecho fundamental reconocido.</w:t>
      </w:r>
    </w:p>
    <w:p w14:paraId="524B5A7C" w14:textId="77777777" w:rsidR="009D7677" w:rsidRDefault="009D7677" w:rsidP="009D7677">
      <w:pPr>
        <w:pStyle w:val="TextoNormal"/>
      </w:pPr>
    </w:p>
    <w:p w14:paraId="1E5D960C" w14:textId="77777777" w:rsidR="009D7677" w:rsidRDefault="009D7677" w:rsidP="009D7677">
      <w:pPr>
        <w:pStyle w:val="TextoNormal"/>
      </w:pPr>
      <w:r>
        <w:t>Publíquese esta sentencia en el “Boletín Oficial del Estado”.</w:t>
      </w:r>
    </w:p>
    <w:p w14:paraId="6FC8C94F" w14:textId="77777777" w:rsidR="009D7677" w:rsidRDefault="009D7677" w:rsidP="009D7677">
      <w:pPr>
        <w:pStyle w:val="TextoNormal"/>
      </w:pPr>
      <w:r>
        <w:t>Dada en Madrid, a veintiséis de febrero de dos mil veinticuatro.</w:t>
      </w:r>
    </w:p>
    <w:p w14:paraId="179FE5B9" w14:textId="6C3CB522" w:rsidR="009D7677" w:rsidRDefault="009D7677">
      <w:pPr>
        <w:spacing w:after="160" w:line="259" w:lineRule="auto"/>
        <w:rPr>
          <w:rFonts w:ascii="Times New Roman" w:eastAsia="Times New Roman" w:hAnsi="Times New Roman" w:cs="Times New Roman"/>
          <w:sz w:val="24"/>
          <w:szCs w:val="24"/>
          <w:lang w:eastAsia="es-ES"/>
        </w:rPr>
      </w:pPr>
      <w:r>
        <w:br w:type="page"/>
      </w:r>
    </w:p>
    <w:p w14:paraId="021AF76F" w14:textId="77777777" w:rsidR="009D7677" w:rsidRDefault="009D7677" w:rsidP="009D7677">
      <w:pPr>
        <w:pStyle w:val="TtuloResolucin"/>
      </w:pPr>
      <w:bookmarkStart w:id="30" w:name="SENTENCIA_2024_28"/>
      <w:r>
        <w:lastRenderedPageBreak/>
        <w:t>SENTENCIA 28/2024, de 27 de febrero de 2024</w:t>
      </w:r>
    </w:p>
    <w:bookmarkEnd w:id="30"/>
    <w:p w14:paraId="6A026D77" w14:textId="77777777" w:rsidR="009D7677" w:rsidRDefault="009D7677" w:rsidP="009D7677">
      <w:pPr>
        <w:pStyle w:val="TtuloResolucin"/>
      </w:pPr>
      <w:r>
        <w:t>Pleno</w:t>
      </w:r>
    </w:p>
    <w:p w14:paraId="1C98D24C" w14:textId="77777777" w:rsidR="009D7677" w:rsidRDefault="009D7677" w:rsidP="009D7677">
      <w:pPr>
        <w:pStyle w:val="TtuloBOE"/>
      </w:pPr>
      <w:r>
        <w:t>(BOE núm. 82, de 3 de abril de 2024)</w:t>
      </w:r>
    </w:p>
    <w:p w14:paraId="5412511B" w14:textId="77777777" w:rsidR="009D7677" w:rsidRDefault="009D7677" w:rsidP="009D7677">
      <w:pPr>
        <w:pStyle w:val="TextoNormalCentrado"/>
      </w:pPr>
      <w:r>
        <w:t>ECLI:ES:TC:2024:28</w:t>
      </w:r>
    </w:p>
    <w:p w14:paraId="7B415AA9" w14:textId="15400526" w:rsidR="009D7677" w:rsidRDefault="009D7677" w:rsidP="009D7677">
      <w:pPr>
        <w:pStyle w:val="TextoNormalCentrado"/>
      </w:pPr>
    </w:p>
    <w:p w14:paraId="60246C71" w14:textId="77777777" w:rsidR="009D7677" w:rsidRDefault="009D7677" w:rsidP="009D7677">
      <w:pPr>
        <w:pStyle w:val="SntesisDescriptiva"/>
      </w:pPr>
      <w:r>
        <w:t>Recurso de amparo 5067-2019. Promovido por doña M.T.E.M., respecto de las resoluciones dictadas por la Audiencia Provincial de Madrid en proceso de adopción.</w:t>
      </w:r>
    </w:p>
    <w:p w14:paraId="08F6C595" w14:textId="7E06A63D" w:rsidR="009D7677" w:rsidRDefault="009D7677" w:rsidP="009D7677">
      <w:pPr>
        <w:pStyle w:val="SntesisDescriptiva"/>
      </w:pPr>
    </w:p>
    <w:p w14:paraId="732673B8" w14:textId="77777777" w:rsidR="009D7677" w:rsidRDefault="009D7677" w:rsidP="009D7677">
      <w:pPr>
        <w:pStyle w:val="SntesisAnaltica"/>
      </w:pPr>
      <w:r>
        <w:t>Vulneración del derecho a la tutela judicial efectiva (motivación): sentencia de apelación que, en un supuesto de gestación subrogada, no satisface las exigencias del canon de motivación reforzada que rige para los casos en los que la esfera personal y familiar de un menor se ve afectada al estar en juego la construcción de la identidad del menor y la protección de los lazos familiares creados con la recurrente. Voto particular.</w:t>
      </w:r>
    </w:p>
    <w:p w14:paraId="6E9C6136" w14:textId="3DD0179B" w:rsidR="009D7677" w:rsidRDefault="009D7677" w:rsidP="009D7677">
      <w:pPr>
        <w:pStyle w:val="SntesisAnaltica"/>
      </w:pPr>
    </w:p>
    <w:p w14:paraId="1D03390E" w14:textId="52E871A7" w:rsidR="009D7677" w:rsidRDefault="009D7677" w:rsidP="009D7677">
      <w:pPr>
        <w:pStyle w:val="Extracto"/>
      </w:pPr>
      <w:r>
        <w:t>1.</w:t>
      </w:r>
      <w:r>
        <w:tab/>
        <w:t>Cuando están en juego los valores superiores del ordenamiento constitucional o los derechos fundamentales sustantivos, el estándar de las exigencias derivadas del deber de motivación es muy riguroso, exigiéndose motivaciones concordantes con los supuestos en los que la Constitución permite la afectación del valor o derecho en liza (SSTC 81/2018 o 113/2021) [FJ 4].</w:t>
      </w:r>
    </w:p>
    <w:p w14:paraId="1D7A3E96" w14:textId="77777777" w:rsidR="009D7677" w:rsidRDefault="009D7677" w:rsidP="009D7677">
      <w:pPr>
        <w:pStyle w:val="Extracto"/>
      </w:pPr>
    </w:p>
    <w:p w14:paraId="5850ACC7" w14:textId="050E08E6" w:rsidR="009D7677" w:rsidRDefault="009D7677" w:rsidP="009D7677">
      <w:pPr>
        <w:pStyle w:val="Extracto"/>
      </w:pPr>
      <w:r>
        <w:t>2.</w:t>
      </w:r>
      <w:r>
        <w:tab/>
        <w:t>Establecer la propia identidad no es un acto más de la persona, sino una decisión vital, en el sentido que coloca al sujeto en posición de poder desenvolver su propia personalidad. Cualquiera que se vea obligado a vivir a la luz del Derecho conforme a una identidad distinta de la que le es propia sobrelleva un lastre que le condiciona de un modo muy notable en cuanto a la capacidad para conformar su personalidad característica y respecto a la posibilidad efectiva de entablar relaciones con otras personas (STC 99/2019) [FJ 5].</w:t>
      </w:r>
    </w:p>
    <w:p w14:paraId="4964B5B9" w14:textId="77777777" w:rsidR="009D7677" w:rsidRDefault="009D7677" w:rsidP="009D7677">
      <w:pPr>
        <w:pStyle w:val="Extracto"/>
      </w:pPr>
    </w:p>
    <w:p w14:paraId="025CCD07" w14:textId="4B719E9A" w:rsidR="009D7677" w:rsidRDefault="009D7677" w:rsidP="009D7677">
      <w:pPr>
        <w:pStyle w:val="Extracto"/>
      </w:pPr>
      <w:r>
        <w:t>3.</w:t>
      </w:r>
      <w:r>
        <w:tab/>
        <w:t>La noción constitucional de familia incluye relaciones con o sin descendencia (STC 222/1992) y las relaciones paterno-filiales que el art. 39.1 CE protege no son solo las naturales derivadas de la procreación, sino también las adoptivas, por cuanto es un hecho comúnmente aceptado que los hijos adoptivos se integran y constituyen una familia, aunque sus padres legales no se correspondan con los biológicos (STC 116/1999) [FJ 5].</w:t>
      </w:r>
    </w:p>
    <w:p w14:paraId="4C74D55D" w14:textId="77777777" w:rsidR="009D7677" w:rsidRDefault="009D7677" w:rsidP="009D7677">
      <w:pPr>
        <w:pStyle w:val="Extracto"/>
      </w:pPr>
    </w:p>
    <w:p w14:paraId="22028A2E" w14:textId="207F09A8" w:rsidR="009D7677" w:rsidRDefault="009D7677" w:rsidP="009D7677">
      <w:pPr>
        <w:pStyle w:val="Extracto"/>
      </w:pPr>
      <w:r>
        <w:t>4.</w:t>
      </w:r>
      <w:r>
        <w:tab/>
        <w:t xml:space="preserve">El interés superior del menor es la consideración primordial a la que deben atender todas las medidas concernientes a los menores que tomen las instituciones públicas o privadas de bienestar social, los tribunales, las autoridades administrativas o los órganos legislativos, según lo previsto en el art. 3.1 de la Convención sobre los derechos del niño. Tratado que destaca entre los acuerdos internacionales a los que hace referencia el art. 39.4 CE, además de constituir canon hermenéutico de las normas relativas a derechos fundamentales y libertades que nuestra Constitución reconoce </w:t>
      </w:r>
      <w:r w:rsidRPr="009D7677">
        <w:rPr>
          <w:i/>
        </w:rPr>
        <w:t>ex</w:t>
      </w:r>
      <w:r>
        <w:t xml:space="preserve"> art. 10.2 CE (STC 64/2019 o 148/2023) [FJ 5].</w:t>
      </w:r>
    </w:p>
    <w:p w14:paraId="1EF83633" w14:textId="77777777" w:rsidR="009D7677" w:rsidRDefault="009D7677" w:rsidP="009D7677">
      <w:pPr>
        <w:pStyle w:val="Extracto"/>
      </w:pPr>
    </w:p>
    <w:p w14:paraId="514FB563" w14:textId="4E0262A2" w:rsidR="009D7677" w:rsidRDefault="009D7677" w:rsidP="009D7677">
      <w:pPr>
        <w:pStyle w:val="Extracto"/>
      </w:pPr>
      <w:r>
        <w:t>5.</w:t>
      </w:r>
      <w:r>
        <w:tab/>
        <w:t xml:space="preserve">Los asientos registrales de filiación pueden ser rectificados cuando exista una discordancia entre lo inscrito y la realidad extrarregistral; bien conforme a lo </w:t>
      </w:r>
      <w:r>
        <w:lastRenderedPageBreak/>
        <w:t>previsto en la Ley del registro civil, bien en ejercicio de las acciones de impugnación de la filiación previstas en los arts. 136 y ss del Código civil [FJ 6].</w:t>
      </w:r>
    </w:p>
    <w:p w14:paraId="1B9F9E56" w14:textId="77777777" w:rsidR="009D7677" w:rsidRDefault="009D7677" w:rsidP="009D7677">
      <w:pPr>
        <w:pStyle w:val="Extracto"/>
      </w:pPr>
    </w:p>
    <w:p w14:paraId="2B885B4F" w14:textId="77777777" w:rsidR="009D7677" w:rsidRDefault="009D7677" w:rsidP="009D7677">
      <w:pPr>
        <w:pStyle w:val="Extracto"/>
      </w:pPr>
    </w:p>
    <w:p w14:paraId="68854FB1" w14:textId="77777777" w:rsidR="009D7677" w:rsidRDefault="009D7677" w:rsidP="009D7677">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doña Concepción Espejel Jorquera, doña María Luisa Segoviano Astaburuaga, don César Tolosa Tribiño, don Juan Carlos Campo Moreno y doña Laura Díez Bueso, ha pronunciado</w:t>
      </w:r>
    </w:p>
    <w:p w14:paraId="57DA4C72" w14:textId="4244E801" w:rsidR="009D7677" w:rsidRDefault="009D7677" w:rsidP="009D7677">
      <w:pPr>
        <w:pStyle w:val="TextoNormal"/>
      </w:pPr>
    </w:p>
    <w:p w14:paraId="32A064C5" w14:textId="77777777" w:rsidR="009D7677" w:rsidRDefault="009D7677" w:rsidP="009D7677">
      <w:pPr>
        <w:pStyle w:val="TextoNormalCentrado"/>
        <w:keepNext/>
      </w:pPr>
      <w:r>
        <w:t>EN NOMBRE DEL REY</w:t>
      </w:r>
    </w:p>
    <w:p w14:paraId="2C854E0D" w14:textId="11101FCB" w:rsidR="009D7677" w:rsidRDefault="009D7677" w:rsidP="009D7677">
      <w:pPr>
        <w:pStyle w:val="TextoNormalCentrado"/>
        <w:keepNext/>
      </w:pPr>
    </w:p>
    <w:p w14:paraId="0926D0EA" w14:textId="77777777" w:rsidR="009D7677" w:rsidRDefault="009D7677" w:rsidP="009D7677">
      <w:pPr>
        <w:pStyle w:val="TextoNormalCentrado"/>
        <w:keepNext/>
      </w:pPr>
    </w:p>
    <w:p w14:paraId="60F02765" w14:textId="77777777" w:rsidR="009D7677" w:rsidRDefault="009D7677" w:rsidP="009D7677">
      <w:pPr>
        <w:pStyle w:val="TextoNormal"/>
      </w:pPr>
      <w:r>
        <w:t>la siguiente</w:t>
      </w:r>
    </w:p>
    <w:p w14:paraId="39A97510" w14:textId="34FCCA78" w:rsidR="009D7677" w:rsidRDefault="009D7677" w:rsidP="009D7677">
      <w:pPr>
        <w:pStyle w:val="TextoNormal"/>
      </w:pPr>
    </w:p>
    <w:p w14:paraId="30F1514F" w14:textId="77777777" w:rsidR="009D7677" w:rsidRDefault="009D7677" w:rsidP="009D7677">
      <w:pPr>
        <w:pStyle w:val="TextoNormalCentrado"/>
        <w:keepNext/>
      </w:pPr>
      <w:r>
        <w:t>SENTENCIA</w:t>
      </w:r>
    </w:p>
    <w:p w14:paraId="6DAE1039" w14:textId="49B146AE" w:rsidR="009D7677" w:rsidRDefault="009D7677" w:rsidP="009D7677">
      <w:pPr>
        <w:pStyle w:val="TextoNormalCentrado"/>
        <w:keepNext/>
      </w:pPr>
    </w:p>
    <w:p w14:paraId="44B8AC38" w14:textId="77777777" w:rsidR="009D7677" w:rsidRDefault="009D7677" w:rsidP="009D7677">
      <w:pPr>
        <w:pStyle w:val="TextoNormal"/>
      </w:pPr>
      <w:r>
        <w:t>En el recurso de amparo núm. 5067-2019, promovido por doña M.T.E.M., representada por el procurador de los tribunales don Miguel Ángel Heredero Suero y asistida por el letrado don Juan Ignacio Guerrero Llorente, contra el auto de 30 de mayo de 2019, dictado por la Sección Vigesimocuarta de la Audiencia Provincial de Madrid, en el rollo de apelación 578-2018, y contra la providencia de 28 de junio de 2019 del mismo tribunal por la que se inadmitió a trámite el incidente de nulidad de actuaciones formulado por la demandante contra el mencionado auto. Ha intervenido el Ministerio Fiscal y, como parte coadyuvante, en nombre propio y de sus dos hijos menores, don D.J.R.G., esposo de la demandante. Ha sido ponente la magistrada doña Inmaculada Montalbán Huertas.</w:t>
      </w:r>
    </w:p>
    <w:p w14:paraId="73748157" w14:textId="36004DE2" w:rsidR="009D7677" w:rsidRDefault="009D7677" w:rsidP="009D7677">
      <w:pPr>
        <w:pStyle w:val="TextoNormal"/>
      </w:pPr>
    </w:p>
    <w:p w14:paraId="27527675" w14:textId="77777777" w:rsidR="009D7677" w:rsidRDefault="009D7677" w:rsidP="009D7677">
      <w:pPr>
        <w:pStyle w:val="TextoNormalNegritaCentrado"/>
        <w:keepNext/>
      </w:pPr>
      <w:r>
        <w:t>I. Antecedentes</w:t>
      </w:r>
    </w:p>
    <w:p w14:paraId="175E79F3" w14:textId="1E791CCC" w:rsidR="009D7677" w:rsidRDefault="009D7677" w:rsidP="009D7677">
      <w:pPr>
        <w:pStyle w:val="TextoNormalNegritaCentrado"/>
        <w:keepNext/>
      </w:pPr>
    </w:p>
    <w:p w14:paraId="22ED1325" w14:textId="4A5CD56F" w:rsidR="009D7677" w:rsidRDefault="009D7677" w:rsidP="009D7677">
      <w:pPr>
        <w:pStyle w:val="TextoNormal"/>
      </w:pPr>
      <w:r w:rsidRPr="009D7677">
        <w:rPr>
          <w:rStyle w:val="NumeroAFNegritaCaracter"/>
        </w:rPr>
        <w:t>1</w:t>
      </w:r>
      <w:r>
        <w:t>. Mediante escrito presentado en el registro general de este tribunal el 4 de septiembre de 2019, el procurador de los tribunales don Miguel Ángel Heredero Suero, actuando en nombre y representación de doña M.T.E.M., interpuso demanda de amparo contra las resoluciones que constan en el encabezamiento.</w:t>
      </w:r>
    </w:p>
    <w:p w14:paraId="2EB10AC6" w14:textId="77777777" w:rsidR="009D7677" w:rsidRDefault="009D7677" w:rsidP="009D7677">
      <w:pPr>
        <w:pStyle w:val="TextoNormal"/>
      </w:pPr>
    </w:p>
    <w:p w14:paraId="6A666F3D" w14:textId="77777777" w:rsidR="009D7677" w:rsidRDefault="009D7677" w:rsidP="009D7677">
      <w:pPr>
        <w:pStyle w:val="TextoNormal"/>
      </w:pPr>
      <w:r w:rsidRPr="009D7677">
        <w:rPr>
          <w:rStyle w:val="NumeroAFNegritaCaracter"/>
        </w:rPr>
        <w:t>2</w:t>
      </w:r>
      <w:r>
        <w:t>. Los hechos con relevancia para la resolución del presente recurso de amparo y a los que se refiere la demanda presentada, son los siguientes:</w:t>
      </w:r>
    </w:p>
    <w:p w14:paraId="33A221B4" w14:textId="77777777" w:rsidR="009D7677" w:rsidRDefault="009D7677" w:rsidP="009D7677">
      <w:pPr>
        <w:pStyle w:val="TextoNormal"/>
      </w:pPr>
    </w:p>
    <w:p w14:paraId="6489DD31" w14:textId="77777777" w:rsidR="009D7677" w:rsidRDefault="009D7677" w:rsidP="009D7677">
      <w:pPr>
        <w:pStyle w:val="TextoNormal"/>
      </w:pPr>
      <w:r>
        <w:t>a) La demandante de amparo formuló solicitud para la constitución de la adopción del menor B.R.K., nacido en Kiev (Ucrania) mediante gestación por sustitución e hijo de su esposo, don D.J.R.G., y de doña K.K., la gestante. Su solicitud de adopción dio lugar al expediente de jurisdicción voluntaria núm. 451-2017, seguido por el Juzgado de Primera Instancia núm. 28 de Madrid.</w:t>
      </w:r>
    </w:p>
    <w:p w14:paraId="10504767" w14:textId="77777777" w:rsidR="009D7677" w:rsidRDefault="009D7677" w:rsidP="009D7677">
      <w:pPr>
        <w:pStyle w:val="TextoNormal"/>
      </w:pPr>
    </w:p>
    <w:p w14:paraId="2F4AABD4" w14:textId="77777777" w:rsidR="009D7677" w:rsidRDefault="009D7677" w:rsidP="009D7677">
      <w:pPr>
        <w:pStyle w:val="TextoNormal"/>
      </w:pPr>
      <w:r>
        <w:t>b) En el testimonio íntegro de las actuaciones del citado procedimiento constan los siguientes documentos de relevancia para la resolución del presente recurso de amparo:</w:t>
      </w:r>
    </w:p>
    <w:p w14:paraId="6ED361F4" w14:textId="77777777" w:rsidR="009D7677" w:rsidRDefault="009D7677" w:rsidP="009D7677">
      <w:pPr>
        <w:pStyle w:val="TextoNormal"/>
      </w:pPr>
    </w:p>
    <w:p w14:paraId="499AB8E3" w14:textId="77777777" w:rsidR="009D7677" w:rsidRDefault="009D7677" w:rsidP="009D7677">
      <w:pPr>
        <w:pStyle w:val="TextoNormal"/>
      </w:pPr>
      <w:r>
        <w:t>(i) Partida de nacimiento del menor B.R.G., expedida por el Ministerio de Justicia de Ucrania el 11 de noviembre de 2016, en la que consta que el menor nació el 8 de noviembre de 2016 en la ciudad de Kiev, que su padre es don D.J.R.G., y su madre doña M.T.E.M., ambos ciudadanos del Reino de España (folios 15-17 de los autos del procedimiento de adopción 451-2017). En la partida de nacimiento referida, el menor aparece como B.R.G., constando con los dos apellidos paternos, mientras que en la documentación española aparece inscrito como B.R.K., esto es, con el primer apellido del padre (R.) y el primer apellido de la gestante (K.).</w:t>
      </w:r>
    </w:p>
    <w:p w14:paraId="3BB36807" w14:textId="77777777" w:rsidR="009D7677" w:rsidRDefault="009D7677" w:rsidP="009D7677">
      <w:pPr>
        <w:pStyle w:val="TextoNormal"/>
      </w:pPr>
    </w:p>
    <w:p w14:paraId="4EE28EC2" w14:textId="77777777" w:rsidR="009D7677" w:rsidRDefault="009D7677" w:rsidP="009D7677">
      <w:pPr>
        <w:pStyle w:val="TextoNormal"/>
      </w:pPr>
      <w:r>
        <w:t>(ii) Inscripción de nacimiento del menor B.R.K., en el registro civil consular de la Embajada de España en Kiev, en el que consta que el menor nació el 8 de noviembre de 2016 en la ciudad de Kiev, que su padre es don D.J.R.G., nacido en Madrid, de nacionalidad española y casado, y su madre, doña K.K., nacida en Poliske (Ucrania), de nacionalidad ucraniana y viuda. Consta igualmente que no existe matrimonio entre los progenitores y que el declarante es don D.J.R.G. (folio 18 de los autos del procedimiento de adopción 451-2017).</w:t>
      </w:r>
    </w:p>
    <w:p w14:paraId="56BCF2FA" w14:textId="77777777" w:rsidR="009D7677" w:rsidRDefault="009D7677" w:rsidP="009D7677">
      <w:pPr>
        <w:pStyle w:val="TextoNormal"/>
      </w:pPr>
    </w:p>
    <w:p w14:paraId="1B6F0CC2" w14:textId="77777777" w:rsidR="009D7677" w:rsidRDefault="009D7677" w:rsidP="009D7677">
      <w:pPr>
        <w:pStyle w:val="TextoNormal"/>
      </w:pPr>
      <w:r>
        <w:t>(iii) Libro de familia expedido por el encargado de asuntos consulares de la Embajada de España en Kiev el 15 de diciembre de 2016, a nombre de don D.J.R.G., y doña K.K., constando como único hijo de ambos B.R.K., nacido el 8 de noviembre de 2016 en la ciudad de Kiev (folios 19 y 20 de los autos del procedimiento de adopción 451-2017).</w:t>
      </w:r>
    </w:p>
    <w:p w14:paraId="2AFB0D86" w14:textId="77777777" w:rsidR="009D7677" w:rsidRDefault="009D7677" w:rsidP="009D7677">
      <w:pPr>
        <w:pStyle w:val="TextoNormal"/>
      </w:pPr>
    </w:p>
    <w:p w14:paraId="4716180A" w14:textId="77777777" w:rsidR="009D7677" w:rsidRDefault="009D7677" w:rsidP="009D7677">
      <w:pPr>
        <w:pStyle w:val="TextoNormal"/>
      </w:pPr>
      <w:r>
        <w:t>(iv) Pasaporte a nombre de B.R.K., expedido el 15 de diciembre de 2016 por la Embajada de España en Kiev, en el que consta como fecha de nacimiento el 8 de noviembre de 2016 y como nacionalidad, la española (folio 45 de los autos del procedimiento de adopción 451-2017).</w:t>
      </w:r>
    </w:p>
    <w:p w14:paraId="18CCFE6F" w14:textId="77777777" w:rsidR="009D7677" w:rsidRDefault="009D7677" w:rsidP="009D7677">
      <w:pPr>
        <w:pStyle w:val="TextoNormal"/>
      </w:pPr>
    </w:p>
    <w:p w14:paraId="280A6F6F" w14:textId="77777777" w:rsidR="009D7677" w:rsidRDefault="009D7677" w:rsidP="009D7677">
      <w:pPr>
        <w:pStyle w:val="TextoNormal"/>
      </w:pPr>
      <w:r>
        <w:t>(v) Volante de inscripción en el padrón municipal de habitantes de Madrid de doña M.T.E.M. Figuran con la titular en la misma inscripción don D.J.R.G., y el menor adoptando, constando que el primero fue inscrito el 25 de agosto de 2004, en la misma fecha que la titular del documento, y el segundo el 23 de diciembre de 2016 (folio 21 de los autos del procedimiento de adopción 451-2017).</w:t>
      </w:r>
    </w:p>
    <w:p w14:paraId="4A696F06" w14:textId="77777777" w:rsidR="009D7677" w:rsidRDefault="009D7677" w:rsidP="009D7677">
      <w:pPr>
        <w:pStyle w:val="TextoNormal"/>
      </w:pPr>
    </w:p>
    <w:p w14:paraId="1F15A46E" w14:textId="77777777" w:rsidR="009D7677" w:rsidRDefault="009D7677" w:rsidP="009D7677">
      <w:pPr>
        <w:pStyle w:val="TextoNormal"/>
      </w:pPr>
      <w:r>
        <w:t>(vi) Acta de manifestaciones otorgada por doña K.K., ante el consejero de la Embajada de España en Kiev el 12 de abril de 2017, en la que se hace constar que el padre del menor es don D.J.R.G., mayor de edad, de nacionalidad española, y que la compareciente, doña K.K., asiente libre y voluntariamente a la adopción del mismo por doña M.T.E.M., mayor de edad y de nacionalidad española. En tanto la parte otorgante manifestó que no entendía el idioma en que estaba redactado el documento, consta que asistió al acto intérprete que tradujo la escritura, así como las explicaciones, reservas y advertencias formuladas por el consejero de la Embajada (folios 28 a 30 de los autos del procedimiento de adopción 451-2017).</w:t>
      </w:r>
    </w:p>
    <w:p w14:paraId="0B7DC66D" w14:textId="77777777" w:rsidR="009D7677" w:rsidRDefault="009D7677" w:rsidP="009D7677">
      <w:pPr>
        <w:pStyle w:val="TextoNormal"/>
      </w:pPr>
    </w:p>
    <w:p w14:paraId="68490810" w14:textId="77777777" w:rsidR="009D7677" w:rsidRDefault="009D7677" w:rsidP="009D7677">
      <w:pPr>
        <w:pStyle w:val="TextoNormal"/>
      </w:pPr>
      <w:r>
        <w:t xml:space="preserve">c) En el marco del procedimiento de adopción citado, la trabajadora social adscrita al Juzgado de Primera Instancia núm. 28 de Madrid emitió informe pericial social el 14 de diciembre de 2017. Tras valorar las circunstancias personales, familiares, económicas y sociales de la adoptante, de su esposo y padre del menor y del menor adoptando, concluyó </w:t>
      </w:r>
      <w:r>
        <w:lastRenderedPageBreak/>
        <w:t>que el menor vivía en un ambiente socio-familiar que se consideraba adecuado. Subrayaba así que el menor vivía con su progenitor y la adoptante desde su nacimiento, que el núcleo familiar se consideraba estable por lo que podía garantizar el necesario equilibrio para el desarrollo del menor, que el matrimonio había llevado a cabo el procedimiento de gestación por sustitución de mutuo acuerdo y con la voluntad de asumir las funciones parentales, que la unidad familiar contaba con los medios económicos para garantizar la cobertura de las necesidades del menor y que el progenitor y la adoptante tenían la capacidad suficiente para cubrir sus necesidades afectivas y educacionales.</w:t>
      </w:r>
    </w:p>
    <w:p w14:paraId="78F27032" w14:textId="77777777" w:rsidR="009D7677" w:rsidRDefault="009D7677" w:rsidP="009D7677">
      <w:pPr>
        <w:pStyle w:val="TextoNormal"/>
      </w:pPr>
    </w:p>
    <w:p w14:paraId="3D3F4185" w14:textId="77777777" w:rsidR="009D7677" w:rsidRDefault="009D7677" w:rsidP="009D7677">
      <w:pPr>
        <w:pStyle w:val="TextoNormal"/>
      </w:pPr>
      <w:r>
        <w:t>Adicionalmente, se subrayaba que la adoptante tenía unas circunstancias personales, económicas, familiares y sociales que le permitían ejercer las responsabilidades parentales sobre el menor adoptando, así como una adecuada capacidad, aptitud y motivación para atender sus necesidades, por lo que se consideraba que lo más beneficioso para el niño era que pudiera ejercer la patria potestad.</w:t>
      </w:r>
    </w:p>
    <w:p w14:paraId="1C8BFE9E" w14:textId="77777777" w:rsidR="009D7677" w:rsidRDefault="009D7677" w:rsidP="009D7677">
      <w:pPr>
        <w:pStyle w:val="TextoNormal"/>
      </w:pPr>
    </w:p>
    <w:p w14:paraId="073E5427" w14:textId="77777777" w:rsidR="009D7677" w:rsidRDefault="009D7677" w:rsidP="009D7677">
      <w:pPr>
        <w:pStyle w:val="TextoNormal"/>
      </w:pPr>
      <w:r>
        <w:t>d) El 26 de diciembre de 2017, el Ministerio Fiscal presentó escrito oponiéndose a la estimación de la demanda de constitución de la adopción con los siguientes argumentos, que se exponen sucintamente. Tras recordar que el art. 10 de la Ley 14/2006, de 26 de mayo, sobre técnicas de reproducción humana asistida, prevé la nulidad de pleno Derecho de los contratos de gestación por sustitución, indicando que la filiación del hijo nacido por gestación por sustitución vendrá determinada por el parto dejando a salvo la posible acción de reclamación de paternidad del padre biológico, el Ministerio Fiscal afirmaba que el caso debía tratarse como un supuesto de fraude internacional de ley. En ausencia de regulación legal, el supuesto de fraude internacional de ley había de ser sancionado, por analogía con lo previsto en el art. 6.4 del Código civil, con la aplicación de la norma material que se había tratado de eludir, en este caso el ya citado art. 10 de la Ley 14/2006, de 26 de mayo, sobre técnicas de reproducción humana asistida.</w:t>
      </w:r>
    </w:p>
    <w:p w14:paraId="128072B8" w14:textId="77777777" w:rsidR="009D7677" w:rsidRDefault="009D7677" w:rsidP="009D7677">
      <w:pPr>
        <w:pStyle w:val="TextoNormal"/>
      </w:pPr>
    </w:p>
    <w:p w14:paraId="5D56C5E6" w14:textId="77777777" w:rsidR="009D7677" w:rsidRDefault="009D7677" w:rsidP="009D7677">
      <w:pPr>
        <w:pStyle w:val="TextoNormal"/>
      </w:pPr>
      <w:r>
        <w:t>Añadía el Ministerio Fiscal que no podía olvidarse que el art. 21 del Convenio relativo a los derechos humanos y la biomedicina y el art. 3 de la Carta de derechos fundamentales de la Unión Europea contemplan la prohibición de comerciar con el cuerpo humano; que los arts. 7 y 8 de la Convención sobre los derechos del niño reconocen el derecho del niño a conocer el origen e identidad de sus progenitores; que el art. 15 de la Convención sobre la eliminación de todas las formas de discriminación contra la mujer dispone la nulidad de todo contrato o cualquier otro instrumento privado que limite la capacidad jurídica de la mujer; y que el Informe anual sobre los derechos humanos y la democracia en el mundo adoptado por el Parlamento Europeo el 30 de noviembre de 2015, condena la gestación por sustitución como contraria a la dignidad de la mujer y propone la prohibición de tal práctica. Todos estos obstáculos legales impedían acceder a la adopción pretendida. Finalmente, subrayaba el Ministerio Fiscal que la denegación de la adopción en nada afectaba al interés del menor dado que este continuaría conviviendo con “el padre biológico y su esposa, quienes […] cuentan con indudables habilidades personales y medios materiales para dispensar a dicho menor las atenciones que precisa, quedando expeditas respecto del presunto padre las vías oportunas para la determinación de la relación biológica y el ejercicio de las acciones de filiación que estimen convenientes”.</w:t>
      </w:r>
    </w:p>
    <w:p w14:paraId="58CF4CB1" w14:textId="77777777" w:rsidR="009D7677" w:rsidRDefault="009D7677" w:rsidP="009D7677">
      <w:pPr>
        <w:pStyle w:val="TextoNormal"/>
      </w:pPr>
    </w:p>
    <w:p w14:paraId="5FA9A650" w14:textId="77777777" w:rsidR="009D7677" w:rsidRDefault="009D7677" w:rsidP="009D7677">
      <w:pPr>
        <w:pStyle w:val="TextoNormal"/>
      </w:pPr>
      <w:r>
        <w:t xml:space="preserve">e) El expediente de adopción concluyó mediante el auto núm. 15/2018, de 15 de enero, en el que el Juzgado de Primera Instancia núm. 28 de Madrid estimó la pretensión de la </w:t>
      </w:r>
      <w:r>
        <w:lastRenderedPageBreak/>
        <w:t>demandante de amparo, acordando constituir el vínculo adoptivo entre ella y el menor B.R.K., quien en lo sucesivo mantendría como primer apellido el del padre y, como segundo apellido, el primero de la madre adoptiva.</w:t>
      </w:r>
    </w:p>
    <w:p w14:paraId="58FF807C" w14:textId="77777777" w:rsidR="009D7677" w:rsidRDefault="009D7677" w:rsidP="009D7677">
      <w:pPr>
        <w:pStyle w:val="TextoNormal"/>
      </w:pPr>
    </w:p>
    <w:p w14:paraId="1F36089E" w14:textId="77777777" w:rsidR="009D7677" w:rsidRDefault="009D7677" w:rsidP="009D7677">
      <w:pPr>
        <w:pStyle w:val="TextoNormal"/>
      </w:pPr>
      <w:r>
        <w:t>El auto comenzaba su razonamiento señalando que, según el escrito presentado por la ahora demandante en amparo, el menor adoptando había nacido en Kiev (Ucrania) mediante gestación por sustitución, siendo sus padres el esposo de la solicitante de la adopción “quien ha aportado el material genético y doña [K.K.], como gestante”. Subrayaba, igualmente, que vivía desde su nacimiento en el hogar familiar de la solicitante de la adopción y que el informe psicosocial elaborado por la trabajadora social adscrita al juzgado concluía que lo más beneficioso para el menor era que la solicitante de la adopción pudiera ejercer la patria potestad sobre él.</w:t>
      </w:r>
    </w:p>
    <w:p w14:paraId="3D04B383" w14:textId="77777777" w:rsidR="009D7677" w:rsidRDefault="009D7677" w:rsidP="009D7677">
      <w:pPr>
        <w:pStyle w:val="TextoNormal"/>
      </w:pPr>
    </w:p>
    <w:p w14:paraId="0149D832" w14:textId="77777777" w:rsidR="009D7677" w:rsidRDefault="009D7677" w:rsidP="009D7677">
      <w:pPr>
        <w:pStyle w:val="TextoNormal"/>
      </w:pPr>
      <w:r>
        <w:t>La magistrada recogía que el Ministerio Fiscal se había opuesto a la adopción por una serie de motivos, en especial, porque la normativa vigente en España proscribía la gestación por sustitución. Afirmaba que, aunque el art. 10 de la Ley 14/2006, de 26 de mayo, sobre técnicas de reproducción humana asistida, establece que los contratos de gestación por sustitución son nulos de pleno Derecho, precisándose que la filiación será determinada por el parto, no podía derivarse de ese precepto la denegación de la adopción. Podría haberse acogido el criterio del Ministerio Fiscal si la pretensión se hubiera dirigido contra la inscripción en el registro civil de la filiación del menor, toda vez que “la nulidad del contrato de gestación por sustitución no podría eludirse a través de dicho procedimiento, por más que en la legislación ucraniana estén permitidas dichas situaciones jurídicas, como ha acaecido en el supuesto enjuiciado, en que el menor ha sido inscrito en dicho país como hijo de la aquí actora y de su esposo”.</w:t>
      </w:r>
    </w:p>
    <w:p w14:paraId="218F9A9B" w14:textId="77777777" w:rsidR="009D7677" w:rsidRDefault="009D7677" w:rsidP="009D7677">
      <w:pPr>
        <w:pStyle w:val="TextoNormal"/>
      </w:pPr>
    </w:p>
    <w:p w14:paraId="7D55FDA0" w14:textId="77777777" w:rsidR="009D7677" w:rsidRDefault="009D7677" w:rsidP="009D7677">
      <w:pPr>
        <w:pStyle w:val="TextoNormal"/>
      </w:pPr>
      <w:r>
        <w:t>En ese sentido, recordaba que la sentencia del Tribunal Supremo núm. 835/2013, de 6 de febrero de 2014, consideró que la decisión de la autoridad registral de atribuir la condición de padres a un matrimonio que contrató una gestación por sustitución era contraria al orden público internacional español, en virtud de lo previsto en el art. 10 de la Ley 14/2006, de 26 de mayo, sobre técnicas de reproducción humana asistida. Sin embargo, en esa misma sentencia, el Tribunal Supremo subrayaba que los menores nacidos mediante gestación por sustitución podían integrarse en la familia que suscribió el contrato correspondiente por vías distintas del reconocimiento de la filiación fijada en el registro del Estado en que se produjo su nacimiento, en concreto, a través de la reclamación de paternidad respecto del padre biológico y de figuras tales como la adopción o el acogimiento. Con arreglo a la resolución de instancia, este es el supuesto en el que nos encontramos, en tanto la solicitante interesa la constitución de la adopción del menor a su favor en cuanto esposa del padre biológico.</w:t>
      </w:r>
    </w:p>
    <w:p w14:paraId="1B41873B" w14:textId="77777777" w:rsidR="009D7677" w:rsidRDefault="009D7677" w:rsidP="009D7677">
      <w:pPr>
        <w:pStyle w:val="TextoNormal"/>
      </w:pPr>
    </w:p>
    <w:p w14:paraId="697337D6" w14:textId="77777777" w:rsidR="009D7677" w:rsidRDefault="009D7677" w:rsidP="009D7677">
      <w:pPr>
        <w:pStyle w:val="TextoNormal"/>
      </w:pPr>
      <w:r>
        <w:t xml:space="preserve">Añade la resolución que, siguiendo la jurisprudencia del Tribunal Europeo de Derechos Humanos (SSTEDH de 26 de junio de 2014, asuntos </w:t>
      </w:r>
      <w:r w:rsidRPr="009D7677">
        <w:rPr>
          <w:i/>
        </w:rPr>
        <w:t>Mennesson c. Francia</w:t>
      </w:r>
      <w:r>
        <w:t xml:space="preserve"> y </w:t>
      </w:r>
      <w:r w:rsidRPr="009D7677">
        <w:rPr>
          <w:i/>
        </w:rPr>
        <w:t>Labassee c. Francia</w:t>
      </w:r>
      <w:r>
        <w:t xml:space="preserve">), que ha de utilizarse como criterio hermenéutico de los derechos fundamentales reconocidos en nuestra constitución </w:t>
      </w:r>
      <w:r w:rsidRPr="009D7677">
        <w:rPr>
          <w:i/>
        </w:rPr>
        <w:t>ex</w:t>
      </w:r>
      <w:r>
        <w:t xml:space="preserve"> art. 10.2 CE, no reconocer la relación de filiación entre los niños nacidos en el extranjero mediante gestación por sustitución y quienes han sido reconocidos como sus padres en el país de nacimiento vulneraría el derecho a la vida privada de esos niños [art. 8 del Convenio europeo de derechos humanos (CEDH)], debido </w:t>
      </w:r>
      <w:r>
        <w:lastRenderedPageBreak/>
        <w:t>a la situación de incertidumbre jurídica en la que se les situaría en relación con su filiación.</w:t>
      </w:r>
    </w:p>
    <w:p w14:paraId="0EEDF42D" w14:textId="77777777" w:rsidR="009D7677" w:rsidRDefault="009D7677" w:rsidP="009D7677">
      <w:pPr>
        <w:pStyle w:val="TextoNormal"/>
      </w:pPr>
    </w:p>
    <w:p w14:paraId="17B26EEB" w14:textId="77777777" w:rsidR="009D7677" w:rsidRDefault="009D7677" w:rsidP="009D7677">
      <w:pPr>
        <w:pStyle w:val="TextoNormal"/>
      </w:pPr>
      <w:r>
        <w:t>Dado que se cumplían los requisitos previstos en los arts. 175, en relación con el art. 176.2.2 del Código civil español, para la constitución de la adopción, se habían prestado las correspondientes manifestaciones de voluntad, y el informe pericial social era positivo, el juzgado estimaba la pretensión deducida al entender que era conforme al interés del adoptando.</w:t>
      </w:r>
    </w:p>
    <w:p w14:paraId="01D6288A" w14:textId="77777777" w:rsidR="009D7677" w:rsidRDefault="009D7677" w:rsidP="009D7677">
      <w:pPr>
        <w:pStyle w:val="TextoNormal"/>
      </w:pPr>
    </w:p>
    <w:p w14:paraId="59487D58" w14:textId="77777777" w:rsidR="009D7677" w:rsidRDefault="009D7677" w:rsidP="009D7677">
      <w:pPr>
        <w:pStyle w:val="TextoNormal"/>
      </w:pPr>
      <w:r>
        <w:t>f) El Ministerio Fiscal interpuso recurso de apelación contra la citada resolución, reiterando los argumentos que había utilizado para oponerse a la adopción en la instancia y añadiendo un argumento adicional. Señalaba así el Ministerio Fiscal que la resolución judicial partía de la premisa de que la inscripción registral era suficiente para probar la paternidad biológica del esposo de la ahora recurrente en amparo, aplicando analógicamente lo previsto en el art. 120 del Código civil en relación con la filiación por naturaleza no matrimonial, que prevé que para su acreditación basta la declaración ante el encargado del registro civil español, en este caso, el encargado del registro civil consular de la Embajada de España en Kiev. Sin embargo, el Ministerio Fiscal discrepaba de tal interpretación e indicaba la posibilidad de fraude en la atribución de la paternidad que se derivaba del tipo de contrato suscrito, que debía ser considerado nulo por ser contrario al orden público español. Consideraba el Ministerio Fiscal que el presunto padre debía acudir a las vías oportunas para determinar el vínculo biológico conforme a nuestro ordenamiento y, una vez determinada la filiación con el esposo, podría instarse la adopción por doña M.T.E.M.</w:t>
      </w:r>
    </w:p>
    <w:p w14:paraId="32AE7AEC" w14:textId="77777777" w:rsidR="009D7677" w:rsidRDefault="009D7677" w:rsidP="009D7677">
      <w:pPr>
        <w:pStyle w:val="TextoNormal"/>
      </w:pPr>
    </w:p>
    <w:p w14:paraId="6C798BD9" w14:textId="77777777" w:rsidR="009D7677" w:rsidRDefault="009D7677" w:rsidP="009D7677">
      <w:pPr>
        <w:pStyle w:val="TextoNormal"/>
      </w:pPr>
      <w:r>
        <w:t xml:space="preserve">g) La demandante de amparo se opuso al recurso de apelación alegando, en sustancia, que era un hecho cierto, firme y no controvertido que el menor adoptando era hijo biológico de su esposo, inscrito en el registro civil consular de la Embajada de España en Kiev el 15 de diciembre de 2016; que ni esa inscripción, ni la filiación que acreditaba, había sido impugnada ni por el Ministerio Fiscal, ni por otros posibles interesados; que no podía discutirse la filiación respecto del padre biológico en el marco de un procedimiento de adopción por la esposa de este; que la nulidad de pleno Derecho de los contratos de gestación por sustitución </w:t>
      </w:r>
      <w:r w:rsidRPr="009D7677">
        <w:rPr>
          <w:i/>
        </w:rPr>
        <w:t>ex</w:t>
      </w:r>
      <w:r>
        <w:t xml:space="preserve"> art. 10 de la Ley 14/2006, de 26 de mayo, sobre técnicas de reproducción humana asistida, no podía tener incidencia alguna en un procedimiento de adopción; que la relación de filiación entre el menor y el padre biológico y esposo de la recurrente estaba acreditada por la inscripción en el registro civil consular, en virtud de lo previsto en el art. 113 del Código civil; y que la denegación de la adopción tendría una incidencia negativa en derechos e intereses del menor en numerosos ámbitos, entre otros, el personal, educativo, sanitario, hereditario o patrimonial.</w:t>
      </w:r>
    </w:p>
    <w:p w14:paraId="54AE09B1" w14:textId="77777777" w:rsidR="009D7677" w:rsidRDefault="009D7677" w:rsidP="009D7677">
      <w:pPr>
        <w:pStyle w:val="TextoNormal"/>
      </w:pPr>
    </w:p>
    <w:p w14:paraId="033C59BA" w14:textId="77777777" w:rsidR="009D7677" w:rsidRDefault="009D7677" w:rsidP="009D7677">
      <w:pPr>
        <w:pStyle w:val="TextoNormal"/>
      </w:pPr>
      <w:r>
        <w:t>h) Estando pendiente de resolución el citado recurso de apelación, devino firme el auto núm. 265/2018, de 21 de junio, del Juzgado de Primera Instancia núm. 28 de Madrid, que acordaba la adopción del segundo hijo menor del esposo por parte de la ahora demandante de amparo, que también había nacido en Ucrania mediante gestación por sustitución, el día 9 de agosto de 2017. Tal y como ocurriera con el primer menor, la relación de filiación del segundo menor con el esposo de la demandante de amparo quedó inscrita en el registro civil consular de la Embajada de España en Kiev y la demandante de amparo instó posteriormente su adopción en tanto esposa del padre biológico; adopción que fue acordada por el mismo juzgado que resolvió el procedimiento de adopción sobre el que versa el presen</w:t>
      </w:r>
      <w:r>
        <w:lastRenderedPageBreak/>
        <w:t>te recurso de amparo. Sin embargo, en el caso del segundo menor, el Ministerio Fiscal no recurrió el auto en apelación, aunque se opuso a la constitución de la adopción en la instancia, de modo que la adopción quedó firme y fue inscrita en el registro civil central, pasando el menor adoptado a llamarse I.R.E.</w:t>
      </w:r>
    </w:p>
    <w:p w14:paraId="7FCB8DFA" w14:textId="77777777" w:rsidR="009D7677" w:rsidRDefault="009D7677" w:rsidP="009D7677">
      <w:pPr>
        <w:pStyle w:val="TextoNormal"/>
      </w:pPr>
    </w:p>
    <w:p w14:paraId="0977F4D6" w14:textId="77777777" w:rsidR="009D7677" w:rsidRDefault="009D7677" w:rsidP="009D7677">
      <w:pPr>
        <w:pStyle w:val="TextoNormal"/>
      </w:pPr>
      <w:r>
        <w:t>i) El testimonio de firmeza de la resolución que estimó la adopción del menor I.R.E., fue aportado por la representación procesal de la demandante de amparo ante el tribunal de apelación que estaba conociendo de la adopción de B.R.K., al amparo de lo establecido en el art. 271.2, en relación con el art. 460.2.3, ambos de la Ley de enjuiciamiento civil. En su escrito, la demandante de amparo señalaba que una eventual resolución estimatoria del recurso de apelación interpuesto vulneraría su derecho a la igualdad, así como el de los dos menores y su esposo debido al trato “desigual de ambos hermanos” (art. 14 CE). En el suplico se solicitaba al tribunal que tuviera por presentados los documentos aportados, que se diera traslado de los mismos al Ministerio Fiscal, y que resolviera sobre la admisión y el alcance de los mismos, desestimando el recurso del Ministerio Fiscal y confirmando la resolución recurrida.</w:t>
      </w:r>
    </w:p>
    <w:p w14:paraId="2C4ABF9A" w14:textId="77777777" w:rsidR="009D7677" w:rsidRDefault="009D7677" w:rsidP="009D7677">
      <w:pPr>
        <w:pStyle w:val="TextoNormal"/>
      </w:pPr>
    </w:p>
    <w:p w14:paraId="4659E604" w14:textId="77777777" w:rsidR="009D7677" w:rsidRDefault="009D7677" w:rsidP="009D7677">
      <w:pPr>
        <w:pStyle w:val="TextoNormal"/>
      </w:pPr>
      <w:r>
        <w:t>j) La Sección Vigesimocuarta de la Audiencia Provincial de Madrid estimó el recurso de apelación interpuesto por el Ministerio Fiscal por auto núm. 279/2019, de 30 de mayo, revocando la resolución del Juzgado de Primera Instancia núm. 28 de Madrid y declarando no haber lugar a la adopción solicitada respecto del menor B.R.K.</w:t>
      </w:r>
    </w:p>
    <w:p w14:paraId="20C44AB3" w14:textId="77777777" w:rsidR="009D7677" w:rsidRDefault="009D7677" w:rsidP="009D7677">
      <w:pPr>
        <w:pStyle w:val="TextoNormal"/>
      </w:pPr>
    </w:p>
    <w:p w14:paraId="725AA20E" w14:textId="77777777" w:rsidR="009D7677" w:rsidRDefault="009D7677" w:rsidP="009D7677">
      <w:pPr>
        <w:pStyle w:val="TextoNormal"/>
      </w:pPr>
      <w:r>
        <w:t>Tras aceptar y tener por reproducidos los antecedentes de hecho contenidos en la resolución apelada, el tribunal comenzaba su argumentación subrayando que la filiación solo puede determinarse en nuestro Derecho por los medios admitidos en el art. 113 del Código civil, “no siendo uno de ellos la inscripción en el Registro Civil como pretende justificarse en el presente caso, por cuanto, aunque el menor figure inscrito en el Registro Consular, el art. 23 de la Ley del Registro Civil veda la inscripción […] de hechos que sean contrarios a la legalidad española y la maternidad subrogada es contraria al orden público español” por contrariar el art. 10 de la Ley 14/2006, de 26 de mayo, sobre técnicas de reproducción humana asistida. Según el tribunal, esa previsión legal supone que la filiación de los niños nacidos mediante gestación por sustitución sea la determinada por el parto.</w:t>
      </w:r>
    </w:p>
    <w:p w14:paraId="3D947510" w14:textId="77777777" w:rsidR="009D7677" w:rsidRDefault="009D7677" w:rsidP="009D7677">
      <w:pPr>
        <w:pStyle w:val="TextoNormal"/>
      </w:pPr>
    </w:p>
    <w:p w14:paraId="20BC66B6" w14:textId="77777777" w:rsidR="009D7677" w:rsidRDefault="009D7677" w:rsidP="009D7677">
      <w:pPr>
        <w:pStyle w:val="TextoNormal"/>
      </w:pPr>
      <w:r>
        <w:t>La Audiencia Provincial de Madrid continuaba indicando que los contratos de gestación por sustitución son contrarios al sistema de derechos y libertades reconocidos por nuestra Constitución y por los principales tratados internacionales de derechos humanos ratificados por España. Haciendo mención al Informe anual sobre los derechos humanos y la democracia en el mundo, adoptado por el Parlamento Europeo el 30 de noviembre de 2015, el tribunal recordaba que el Parlamento Europeo había condenado la gestación por sustitución por atentar contra la dignidad de la mujer, al tratar su cuerpo y sus funciones reproductivas como si fueran una materia prima.</w:t>
      </w:r>
    </w:p>
    <w:p w14:paraId="4DBC39AC" w14:textId="77777777" w:rsidR="009D7677" w:rsidRDefault="009D7677" w:rsidP="009D7677">
      <w:pPr>
        <w:pStyle w:val="TextoNormal"/>
      </w:pPr>
    </w:p>
    <w:p w14:paraId="6E7469A8" w14:textId="77777777" w:rsidR="009D7677" w:rsidRDefault="009D7677" w:rsidP="009D7677">
      <w:pPr>
        <w:pStyle w:val="TextoNormal"/>
      </w:pPr>
      <w:r>
        <w:t xml:space="preserve">Tras analizar el contenido de la sentencia del Tribunal Supremo núm. 835/2013, de 6 de febrero de 2014, y del auto del mismo tribunal de 2 de febrero de 2015, por el que se resolvió el incidente de nulidad de actuaciones promovido contra la sentencia núm. 835/2013, así como la sentencia del Tribunal Europeo de Derechos Humanos de 24 de enero de 2017, asunto </w:t>
      </w:r>
      <w:r w:rsidRPr="009D7677">
        <w:rPr>
          <w:i/>
        </w:rPr>
        <w:t>Paradiso y Campanelli c. Italia</w:t>
      </w:r>
      <w:r>
        <w:t>, el tribunal de apelación se centraba en los hechos del caso. Recordaba así que nos encontrábamos ante un caso claro de gesta</w:t>
      </w:r>
      <w:r>
        <w:lastRenderedPageBreak/>
        <w:t>ción por sustitución, que el contrato en el que se conviene la gestación por la que nace el adoptando ha de reputarse nulo de pleno Derecho, y que el único documento en el que el esposo de la demandante de amparo funda su paternidad biológica sobre el menor adoptando es la inscripción del nacimiento en el Registro Civil Consular de la Embajada de España en Kiev.</w:t>
      </w:r>
    </w:p>
    <w:p w14:paraId="24EC7534" w14:textId="77777777" w:rsidR="009D7677" w:rsidRDefault="009D7677" w:rsidP="009D7677">
      <w:pPr>
        <w:pStyle w:val="TextoNormal"/>
      </w:pPr>
    </w:p>
    <w:p w14:paraId="37493F40" w14:textId="77777777" w:rsidR="009D7677" w:rsidRDefault="009D7677" w:rsidP="009D7677">
      <w:pPr>
        <w:pStyle w:val="TextoNormal"/>
      </w:pPr>
      <w:r>
        <w:t>El tribunal de apelación continúa afirmando que “[l]a constatada realidad de la posibilidad de fraude en la atribución de la paternidad derivada del propio contrato suscrito, como es el caso citado, advierten contra la asunción acrítica de su contenido y consecuencias, y permiten rechazar el establecer esa atribución de paternidad, bien sea directamente, bien para derivar del mismo consecuencias jurídicas de cualquier orden, de forma que el criterio a seguir habrá de ser el de negar cualquier valor a dicho contrato respecto de la determinación de la filiación del presunto padre sustentada en el mismo, considerado nulo por ser contrario al orden público español, y, en consecuencia, de oposición a la adopción instada que se pretenda sustentar en cualquier referencia a dicho documento”. Añade que, siguiendo la jurisprudencia del Tribunal Supremo, quedaban abiertas para el presunto padre las vías oportunas para la determinación del vínculo biológico, ejercitando las oportunas acciones de determinación de la paternidad, tras las cuales la demandante de amparo podría solicitar la adopción, siempre que concurrieran los requisitos legales para ello. Finalmente, el tribunal señala que “la denegación de la adopción, en nada afecta al interés del menor dado que continúa conviviendo con el padre biológico y su esposa, quienes, al parecer, según refieren en su escrito de demanda, cuentan con indudables habilidades personales y medios materiales para dispensar al menor las atenciones que precisa”.</w:t>
      </w:r>
    </w:p>
    <w:p w14:paraId="3FE0F79F" w14:textId="77777777" w:rsidR="009D7677" w:rsidRDefault="009D7677" w:rsidP="009D7677">
      <w:pPr>
        <w:pStyle w:val="TextoNormal"/>
      </w:pPr>
    </w:p>
    <w:p w14:paraId="19762801" w14:textId="3B24027B" w:rsidR="009D7677" w:rsidRDefault="009D7677" w:rsidP="009D7677">
      <w:pPr>
        <w:pStyle w:val="TextoNormal"/>
      </w:pPr>
      <w:r>
        <w:t>k) La ahora recurrente en amparo promovió incidente de nulidad de actuaciones contra la citada resolución, por vulneración de los arts. 10, 14, 15, 18.1, 39 y 24.1 CE, 8 del Convenio europeo de derechos humanos (CEDH) y 3.1 de la Convención sobre los derechos del niño. Alegaba que el auto recurrido vulneraba su derecho a la tutela judicial efectiva (art. 24.1 CE), en tanto no cumplía con las exigencias constitucionales de motivación reforzada de las resoluciones judiciales cuando están en juego varios derechos sustantivos. En este sentido, consideraba vulnerado su derecho a la igualdad, así como el derecho a la igualdad y a no ser discriminados del menor adoptando y su hermano, a los que se trataba de forma diferente a pesar de encontrarse en idéntica situación. Adicionalmente, la demandante señalaba que la resolución impugnada también vulneraba el art. 18 CE, en relación con los arts. 10 y 39.2 CE, 3.1 de la Convención sobre los derechos del niño y 8 CEDH, al no reconocer su relación de filiación con el menor adoptando en detrimento del interés superior del menor. El citado incidente fue inadmitido por la Sección Vigesimocuarta de la Audiencia Provincial de Madrid por providencia de 28 de junio de 2019.</w:t>
      </w:r>
    </w:p>
    <w:p w14:paraId="1DF8F454" w14:textId="77777777" w:rsidR="009D7677" w:rsidRDefault="009D7677" w:rsidP="009D7677">
      <w:pPr>
        <w:pStyle w:val="TextoNormal"/>
      </w:pPr>
    </w:p>
    <w:p w14:paraId="2645114E" w14:textId="77777777" w:rsidR="009D7677" w:rsidRDefault="009D7677" w:rsidP="009D7677">
      <w:pPr>
        <w:pStyle w:val="TextoNormal"/>
      </w:pPr>
      <w:r w:rsidRPr="009D7677">
        <w:rPr>
          <w:rStyle w:val="NumeroAFNegritaCaracter"/>
        </w:rPr>
        <w:t>3</w:t>
      </w:r>
      <w:r>
        <w:t>. La demanda de amparo plantea las siguientes quejas:</w:t>
      </w:r>
    </w:p>
    <w:p w14:paraId="4CE8718F" w14:textId="77777777" w:rsidR="009D7677" w:rsidRDefault="009D7677" w:rsidP="009D7677">
      <w:pPr>
        <w:pStyle w:val="TextoNormal"/>
      </w:pPr>
    </w:p>
    <w:p w14:paraId="519FCC03" w14:textId="77777777" w:rsidR="009D7677" w:rsidRDefault="009D7677" w:rsidP="009D7677">
      <w:pPr>
        <w:pStyle w:val="TextoNormal"/>
      </w:pPr>
      <w:r>
        <w:t xml:space="preserve">a) En primer lugar, la parte alega “vulneración del art. 24.1 CE en su vertiente de derecho a obtener una resolución fundada que, en atención a la materia objeto del expediente, requiere una motivación reforzada”. Con cita de la STC 81/2018, de 16 de julio, FJ 3, la demandante señala que, cuando están en juego valores superiores del ordenamiento jurídico constitucional y derechos fundamentales, como son la dignidad de la persona, el derecho a la igualdad, a la integridad moral, intimidad personal y familiar de un menor, la motivación exigible a las resoluciones judiciales ha de ser concordante con los supuestos en </w:t>
      </w:r>
      <w:r>
        <w:lastRenderedPageBreak/>
        <w:t>los que la Constitución permite la afectación de esos valores y derechos. Por el contrario, subraya la parte, el auto impugnado se limita a reproducir los argumentos aportados por el Ministerio Fiscal, reforzando la existencia de un supuesto fraude de ley que afectaría a la filiación paterna del menor B.R.K., y prescinde de todo argumento relacionado con el interés superior del menor.</w:t>
      </w:r>
    </w:p>
    <w:p w14:paraId="2D6E77FA" w14:textId="77777777" w:rsidR="009D7677" w:rsidRDefault="009D7677" w:rsidP="009D7677">
      <w:pPr>
        <w:pStyle w:val="TextoNormal"/>
      </w:pPr>
    </w:p>
    <w:p w14:paraId="44D6898D" w14:textId="77777777" w:rsidR="009D7677" w:rsidRDefault="009D7677" w:rsidP="009D7677">
      <w:pPr>
        <w:pStyle w:val="TextoNormal"/>
      </w:pPr>
      <w:r>
        <w:t>b) En segundo lugar, la parte alega vulneración del art. 24.1 CE en su vertiente de derecho a obtener tutela judicial efectiva sin indefensión. Señala la demandante que el auto impugnado le habría causado indefensión al mostrarse parcial y asumir acríticamente los argumentos del Ministerio Fiscal; no valorar los argumentos presentados por la parte en relación con la firmeza de la adopción del hermano menor de B.R.K.; y denegar la adopción sobre la base de la presunción de fraude en relación con la paternidad del esposo de la recurrente, provocando así que esta haya obtenido resultados distintos y contradictorios en dos expedientes idénticos de jurisdicción voluntaria.</w:t>
      </w:r>
    </w:p>
    <w:p w14:paraId="25999602" w14:textId="77777777" w:rsidR="009D7677" w:rsidRDefault="009D7677" w:rsidP="009D7677">
      <w:pPr>
        <w:pStyle w:val="TextoNormal"/>
      </w:pPr>
    </w:p>
    <w:p w14:paraId="0D72541A" w14:textId="77777777" w:rsidR="009D7677" w:rsidRDefault="009D7677" w:rsidP="009D7677">
      <w:pPr>
        <w:pStyle w:val="TextoNormal"/>
      </w:pPr>
      <w:r>
        <w:t>c) En tercer lugar, la demanda de amparo alega vulneración de una serie de derechos que califica de sustantivos, en concreto, el derecho a la igualdad y a no ser discriminado (art. 14 CE), el derecho a la intimidad personal y familiar (art. 18 CE), en conexión con la dignidad de la persona (art. 10 CE), la protección social, económica y jurídica de la familia (art. 39 CE), así como el art. 8 CEDH, el art. 3.1 de la Convención de Naciones Unidas sobre los derechos del niño y las disposiciones del Convenio europeo sobre el ejercicio de los derechos de los niños, hecho en Estrasburgo el 25 de enero de 1996.</w:t>
      </w:r>
    </w:p>
    <w:p w14:paraId="07E02ECF" w14:textId="77777777" w:rsidR="009D7677" w:rsidRDefault="009D7677" w:rsidP="009D7677">
      <w:pPr>
        <w:pStyle w:val="TextoNormal"/>
      </w:pPr>
    </w:p>
    <w:p w14:paraId="3831AE05" w14:textId="77777777" w:rsidR="009D7677" w:rsidRDefault="009D7677" w:rsidP="009D7677">
      <w:pPr>
        <w:pStyle w:val="TextoNormal"/>
      </w:pPr>
      <w:r>
        <w:t>Siguiendo el orden en el que se invocan en la demanda de amparo, la demandante aduce que la filiación ha sido incluida por la jurisprudencia constitucional en el ámbito propio y reservado de lo íntimo, protegido por el art. 18 CE, en conexión con el art. 10 CE, y que ese espacio se habría vulnerado por las especulaciones o rumores vertidos por al auto impugnado sobre la filiación de los dos menores B.R.K., e I.R.E.</w:t>
      </w:r>
    </w:p>
    <w:p w14:paraId="1374E3FF" w14:textId="77777777" w:rsidR="009D7677" w:rsidRDefault="009D7677" w:rsidP="009D7677">
      <w:pPr>
        <w:pStyle w:val="TextoNormal"/>
      </w:pPr>
    </w:p>
    <w:p w14:paraId="388C47B2" w14:textId="77777777" w:rsidR="009D7677" w:rsidRDefault="009D7677" w:rsidP="009D7677">
      <w:pPr>
        <w:pStyle w:val="TextoNormal"/>
      </w:pPr>
      <w:r>
        <w:t>Aduce también que las resoluciones impugnadas habrían vulnerado el art. 24 CE, en relación con los artículos 18 CE y 39 CE, al no valorar las circunstancias personales de la familia estando en juego el derecho a la intimidad familiar (art. 18 CE), el de protección social, económica y jurídica de la familia (art. 39 CE), así como los arts. 8 CEDH y 3.1 de la Convención de Naciones Unidas sobre los derechos del niño.</w:t>
      </w:r>
    </w:p>
    <w:p w14:paraId="434DF1CC" w14:textId="77777777" w:rsidR="009D7677" w:rsidRDefault="009D7677" w:rsidP="009D7677">
      <w:pPr>
        <w:pStyle w:val="TextoNormal"/>
      </w:pPr>
    </w:p>
    <w:p w14:paraId="2EFC9BFC" w14:textId="77777777" w:rsidR="009D7677" w:rsidRDefault="009D7677" w:rsidP="009D7677">
      <w:pPr>
        <w:pStyle w:val="TextoNormal"/>
      </w:pPr>
      <w:r>
        <w:t>En relación con la eventual vulneración del art. 14 CE, la demanda subraya que se habría producido una lesión del derecho a la igualdad y la prohibición de discriminación de todos los miembros del núcleo familiar, al haberse acordado la adopción del hermano menor de B.R.K., y haberse denegado la suya sin una justificación objetiva y razonable. Esa situación vulnera el derecho a la igualdad en relación con la demandante, que ha sido reconocida madre adoptiva de uno de los hijos biológicos de su marido, pero no del otro, sin justificación objetiva y razonable; de los dos menores implicados, que habrían sido tratados de forma desigual sin justificación alguna y habrían sido discriminados por razón de su nacimiento, en tanto que si hubieran nacido a la par o su adopción se hubiera promovido al mismo tiempo es muy probable que hubieran recibido idéntico tratamiento, acordándose la adopción en relación con ambos; y del esposo de la recurrente, puesto que sin justificación objetiva y razonable uno de sus hijos tiene madre adoptiva, mientras el otro carece de ella.</w:t>
      </w:r>
    </w:p>
    <w:p w14:paraId="0397D16C" w14:textId="77777777" w:rsidR="009D7677" w:rsidRDefault="009D7677" w:rsidP="009D7677">
      <w:pPr>
        <w:pStyle w:val="TextoNormal"/>
      </w:pPr>
    </w:p>
    <w:p w14:paraId="114EBB85" w14:textId="77777777" w:rsidR="009D7677" w:rsidRDefault="009D7677" w:rsidP="009D7677">
      <w:pPr>
        <w:pStyle w:val="TextoNormal"/>
      </w:pPr>
      <w:r>
        <w:t>Por último, señala la demandante que las resoluciones impugnadas descuidan el interés superior del menor, que debe ser el principio rector de cualquier decisión que afecte a un menor, según la Convención de Naciones Unidas sobre los derechos del niño y el Convenio europeo sobre el ejercicio de los derechos de los niños, de 25 de enero de 1996.</w:t>
      </w:r>
    </w:p>
    <w:p w14:paraId="0DB9A028" w14:textId="77777777" w:rsidR="009D7677" w:rsidRDefault="009D7677" w:rsidP="009D7677">
      <w:pPr>
        <w:pStyle w:val="TextoNormal"/>
      </w:pPr>
    </w:p>
    <w:p w14:paraId="3604F5B6" w14:textId="77777777" w:rsidR="009D7677" w:rsidRDefault="009D7677" w:rsidP="009D7677">
      <w:pPr>
        <w:pStyle w:val="TextoNormal"/>
      </w:pPr>
      <w:r>
        <w:t>d) El suplico de la demanda solicita que, teniéndose esta por formulada contra las dos resoluciones judiciales impugnadas, se otorgue el amparo a la demandante, reconociéndole “su derecho fundamental a la tutela judicial efectiva (</w:t>
      </w:r>
      <w:r w:rsidRPr="009D7677">
        <w:rPr>
          <w:i/>
        </w:rPr>
        <w:t>ex</w:t>
      </w:r>
      <w:r>
        <w:t xml:space="preserve"> art. 24.1 CE), para que se restablezcan sus derechos fundamentales vulnerados por las resoluciones recurridas y, en concreto, su derecho a la igualdad (</w:t>
      </w:r>
      <w:r w:rsidRPr="009D7677">
        <w:rPr>
          <w:i/>
        </w:rPr>
        <w:t>ex</w:t>
      </w:r>
      <w:r>
        <w:t xml:space="preserve"> art. 14 CE); su derecho a la integridad moral (</w:t>
      </w:r>
      <w:r w:rsidRPr="009D7677">
        <w:rPr>
          <w:i/>
        </w:rPr>
        <w:t>ex</w:t>
      </w:r>
      <w:r>
        <w:t xml:space="preserve"> art. 15 CE); su derecho al honor e intimidad personal y familiar y a la protección social, económica y jurídica de su familia (</w:t>
      </w:r>
      <w:r w:rsidRPr="009D7677">
        <w:rPr>
          <w:i/>
        </w:rPr>
        <w:t>ex</w:t>
      </w:r>
      <w:r>
        <w:t xml:space="preserve"> art. 18.1 CE en relación con el art. 39 CE); su derecho a la dignidad personal (</w:t>
      </w:r>
      <w:r w:rsidRPr="009D7677">
        <w:rPr>
          <w:i/>
        </w:rPr>
        <w:t>ex</w:t>
      </w:r>
      <w:r>
        <w:t xml:space="preserve"> art. 10 CE); así como el derecho a la igualdad (</w:t>
      </w:r>
      <w:r w:rsidRPr="009D7677">
        <w:rPr>
          <w:i/>
        </w:rPr>
        <w:t>ex</w:t>
      </w:r>
      <w:r>
        <w:t xml:space="preserve"> art. 14 CE) del menor adoptando [B.R.K.] y del marido de la recurrente [don D.J.R.G.]; y, por último, los derechos que a la recurrente, a su esposo e hijos, les otorga el art. 10.2 de la CE, en relación con lo establecido en el art. 8 del CEDH, el art. 3.1 de la Convención de las Naciones Unidas […] de derechos del niño, de 20 de noviembre de 1989 y las disposiciones del Convenio Europeo sobre el ejercicio de los derechos de los niños, de 25 de enero de 1996, y cualesquiera otros que la Sala tenga a bien considerar”. El suplico continúa solicitando la anulación de las dos resoluciones judiciales impugnadas y de todo lo practicado con posterioridad a las mismas, así como la confirmación en todos sus extremos del auto del Juzgado de Primera Instancia núm. 28 de Madrid, que acordó la adopción del menor B.R.K., por la ahora demandante de amparo.</w:t>
      </w:r>
    </w:p>
    <w:p w14:paraId="48E262AC" w14:textId="77777777" w:rsidR="009D7677" w:rsidRDefault="009D7677" w:rsidP="009D7677">
      <w:pPr>
        <w:pStyle w:val="TextoNormal"/>
      </w:pPr>
    </w:p>
    <w:p w14:paraId="14D3FAF3" w14:textId="2B932F80" w:rsidR="009D7677" w:rsidRDefault="009D7677" w:rsidP="009D7677">
      <w:pPr>
        <w:pStyle w:val="TextoNormal"/>
      </w:pPr>
      <w:r>
        <w:t>e) Por otrosí digo, el representante procesal de la demandante de amparo, que también acreditaba ostentar la representación de don D.J.R.G., solicitó se tuviera a este por personado en calidad de coadyuvante, en su propio nombre y en el de sus hijos B.R.K., e I.R.E., de acuerdo con lo previsto en el art. 47 de la Ley Orgánica del Tribunal Constitucional (LOTC).</w:t>
      </w:r>
    </w:p>
    <w:p w14:paraId="280D2BD5" w14:textId="77777777" w:rsidR="009D7677" w:rsidRDefault="009D7677" w:rsidP="009D7677">
      <w:pPr>
        <w:pStyle w:val="TextoNormal"/>
      </w:pPr>
    </w:p>
    <w:p w14:paraId="5B84F9DD" w14:textId="3B8861E4" w:rsidR="009D7677" w:rsidRDefault="009D7677" w:rsidP="009D7677">
      <w:pPr>
        <w:pStyle w:val="TextoNormal"/>
      </w:pPr>
      <w:r w:rsidRPr="009D7677">
        <w:rPr>
          <w:rStyle w:val="NumeroAFNegritaCaracter"/>
        </w:rPr>
        <w:t>4</w:t>
      </w:r>
      <w:r>
        <w:t>. Mediante diligencia de ordenación de 9 de septiembre de 2019, la Secretaría de Justicia de la Sección Primera, Sala Primera de este tribunal acordó requerir al procurador de la parte recurrente para que, en el plazo de diez días, aportara copia del auto de 15 de enero de 2018 del Juzgado de Primera Instancia núm. 28 de Madrid, así como tener por personado en calidad de coadyuvante, en nombre propio y de sus dos hijos menores, a don D.J.R.G., representado por el procurador don Miguel Ángel Heredero Suero. Por escrito de 11 de septiembre de 2019, la parte recurrente cumplió con lo requerido.</w:t>
      </w:r>
    </w:p>
    <w:p w14:paraId="3EE39891" w14:textId="77777777" w:rsidR="009D7677" w:rsidRDefault="009D7677" w:rsidP="009D7677">
      <w:pPr>
        <w:pStyle w:val="TextoNormal"/>
      </w:pPr>
    </w:p>
    <w:p w14:paraId="1EF86A2E" w14:textId="77777777" w:rsidR="009D7677" w:rsidRDefault="009D7677" w:rsidP="009D7677">
      <w:pPr>
        <w:pStyle w:val="TextoNormal"/>
      </w:pPr>
      <w:r w:rsidRPr="009D7677">
        <w:rPr>
          <w:rStyle w:val="NumeroAFNegritaCaracter"/>
        </w:rPr>
        <w:t>5</w:t>
      </w:r>
      <w:r>
        <w:t>. Mediante providencia de 10 de mayo de 2021, la Sección Primera de este tribunal examinó el recurso y acordó admitirlo a trámite, “apreciando que concurre en el mismo una especial trascendencia constitucional (art. 50.1 LOTC) porque el recurso plantea un problema o afecta a una faceta de un derecho fundamental sobre el que no hay doctrina de este tribunal [STC 155/2009, de 25 de junio, FJ 2 a)] y […] puede dar ocasión al Tribunal para aclarar o cambiar su doctrina, como consecuencia del surgimiento de nuevas realidades sociales [STC 155/2009, FJ 2 b)]”.</w:t>
      </w:r>
    </w:p>
    <w:p w14:paraId="29375C48" w14:textId="77777777" w:rsidR="009D7677" w:rsidRDefault="009D7677" w:rsidP="009D7677">
      <w:pPr>
        <w:pStyle w:val="TextoNormal"/>
      </w:pPr>
    </w:p>
    <w:p w14:paraId="66C6CA51" w14:textId="5A0286BB" w:rsidR="009D7677" w:rsidRDefault="009D7677" w:rsidP="009D7677">
      <w:pPr>
        <w:pStyle w:val="TextoNormal"/>
      </w:pPr>
      <w:r>
        <w:lastRenderedPageBreak/>
        <w:t>En la misma resolución se acordó también dirigir atenta comunicación a la Sección Vigesimocuarta de la Audiencia Provincial de Madrid, a fin de que en un plazo no superior a diez días remitiera certificación o fotocopia adverada de las actuaciones correspondientes al recurso de apelación núm. 578-2018, así como al Juzgado de Primera Instancia núm. 28 de Madrid para que hiciera lo propio con las actuaciones correspondientes a los autos de adopción núm. 451-2017.</w:t>
      </w:r>
    </w:p>
    <w:p w14:paraId="0FFAB498" w14:textId="77777777" w:rsidR="009D7677" w:rsidRDefault="009D7677" w:rsidP="009D7677">
      <w:pPr>
        <w:pStyle w:val="TextoNormal"/>
      </w:pPr>
    </w:p>
    <w:p w14:paraId="285E15CC" w14:textId="3B4A59B4" w:rsidR="009D7677" w:rsidRDefault="009D7677" w:rsidP="009D7677">
      <w:pPr>
        <w:pStyle w:val="TextoNormal"/>
      </w:pPr>
      <w:r w:rsidRPr="009D7677">
        <w:rPr>
          <w:rStyle w:val="NumeroAFNegritaCaracter"/>
        </w:rPr>
        <w:t>6</w:t>
      </w:r>
      <w:r>
        <w:t>. El 14 de junio de 2021, la Secretaría de Justicia de la Sala Primera de este tribunal dictó diligencia de ordenación por la que acordó dar vista de las actuaciones a las partes personadas y al Ministerio Fiscal, por plazo común de veinte días, a fin de que pudieran presentar las alegaciones que estimasen pertinentes conforme a lo previsto en el art. 52 LOTC.</w:t>
      </w:r>
    </w:p>
    <w:p w14:paraId="3A198F6D" w14:textId="77777777" w:rsidR="009D7677" w:rsidRDefault="009D7677" w:rsidP="009D7677">
      <w:pPr>
        <w:pStyle w:val="TextoNormal"/>
      </w:pPr>
    </w:p>
    <w:p w14:paraId="74FD2F63" w14:textId="6A37F8F2" w:rsidR="009D7677" w:rsidRDefault="009D7677" w:rsidP="009D7677">
      <w:pPr>
        <w:pStyle w:val="TextoNormal"/>
      </w:pPr>
      <w:r w:rsidRPr="009D7677">
        <w:rPr>
          <w:rStyle w:val="NumeroAFNegritaCaracter"/>
        </w:rPr>
        <w:t>7</w:t>
      </w:r>
      <w:r>
        <w:t>. El 12 de julio de 2021, presentó su escrito de alegaciones el representante procesal de la demandante de amparo y don D.J.R.G., este último actuando en su propio nombre y en el de sus dos hijos menores, donde se reiteraron los argumentos ya expuestos en la demanda de amparo y se interesó se otorgara el amparo solicitado.</w:t>
      </w:r>
    </w:p>
    <w:p w14:paraId="0AE52A69" w14:textId="77777777" w:rsidR="009D7677" w:rsidRDefault="009D7677" w:rsidP="009D7677">
      <w:pPr>
        <w:pStyle w:val="TextoNormal"/>
      </w:pPr>
    </w:p>
    <w:p w14:paraId="67A0F0B9" w14:textId="77777777" w:rsidR="009D7677" w:rsidRDefault="009D7677" w:rsidP="009D7677">
      <w:pPr>
        <w:pStyle w:val="TextoNormal"/>
      </w:pPr>
      <w:r w:rsidRPr="009D7677">
        <w:rPr>
          <w:rStyle w:val="NumeroAFNegritaCaracter"/>
        </w:rPr>
        <w:t>8</w:t>
      </w:r>
      <w:r>
        <w:t>. El Ministerio Fiscal evacuó el trámite de alegaciones mediante escrito registrado el 19 de julio de 2021. Tras exponer los antecedentes procesales del recurso y resumir la demanda presentada, el escrito solicita la desestimación del recurso de amparo interpuesto con la siguiente argumentación:</w:t>
      </w:r>
    </w:p>
    <w:p w14:paraId="41CD9F9F" w14:textId="77777777" w:rsidR="009D7677" w:rsidRDefault="009D7677" w:rsidP="009D7677">
      <w:pPr>
        <w:pStyle w:val="TextoNormal"/>
      </w:pPr>
    </w:p>
    <w:p w14:paraId="7A3CDFB5" w14:textId="77777777" w:rsidR="009D7677" w:rsidRDefault="009D7677" w:rsidP="009D7677">
      <w:pPr>
        <w:pStyle w:val="TextoNormal"/>
      </w:pPr>
      <w:r>
        <w:t>a) En primer lugar y como parte de sus consideraciones previas, el Ministerio Fiscal recuerda la jurisprudencia del Tribunal Constitucional referida al derecho a adoptar y su conjugación con el mandato de protección de la familia (art. 39.1 CE) y de protección de los hijos (art. 39.2 CE). Señala así que la STC 198/2012, de 6 de noviembre, dispone que el ordenamiento jurídico español, que no reconoce un derecho fundamental a adoptar, prevé mecanismos suficientes para garantizar el interés superior del menor en el proceso de adopción, que ha de ser el interés prevalente en este tipo de procedimientos. Tras recordar la jurisprudencia constitucional, el Ministerio Fiscal afirma que la resolución impugnada es conforme con la doctrina expuesta “pues concilia el interés del menor objeto del expediente de adopción con las consecuencias jurídicas derivadas de la nulidad de pleno Derecho de los contratos de gestación por sustitución”.</w:t>
      </w:r>
    </w:p>
    <w:p w14:paraId="36F9C7CE" w14:textId="77777777" w:rsidR="009D7677" w:rsidRDefault="009D7677" w:rsidP="009D7677">
      <w:pPr>
        <w:pStyle w:val="TextoNormal"/>
      </w:pPr>
    </w:p>
    <w:p w14:paraId="2C219AFF" w14:textId="77777777" w:rsidR="009D7677" w:rsidRDefault="009D7677" w:rsidP="009D7677">
      <w:pPr>
        <w:pStyle w:val="TextoNormal"/>
      </w:pPr>
      <w:r>
        <w:t>b) En segundo lugar, el Ministerio Fiscal discute los términos en que se plantea la demanda de amparo, en tanto la demandante la hace extensiva al menor adoptando y al padre de ambos niños, que es su marido, arrogándose una representación que no le corresponde. Recuerda el Ministerio Fiscal que la legitimación activa para interponer el recurso de amparo está regulada en el art. 46.1 b) LOTC, que dispone que están legitimados para interponer el recurso de amparo en los supuestos previstos en los arts. 43 y 44 LOTC quienes hayan sido parte en el proceso judicial previo, de lo que deduce la clara legitimación de la demandante para interponer el recurso de amparo, al haber sido esta la promotora del expediente de adopción y ostentar un interés legítimo. Añade el Ministerio Fiscal que el Tribunal Constitucional también ha reconocido la legitimación para interponer el recurso de amparo a quienes invoquen un interés legítimo (cita, entre otras, las SSTC 84/2000, de 27 de marzo, y 154/2016, de 22 de septiembre); interés legítimo que se habría construido co</w:t>
      </w:r>
      <w:r>
        <w:lastRenderedPageBreak/>
        <w:t>mo una categoría más amplia que la del derecho subjetivo, incluyendo a “toda persona cuyo círculo jurídico pueda resultar perjudicado por la violación de un derecho fundamental, aunque la violación no se produjese directamente en su contra (ATC 1193/1988, de 24 de octubre[…])”. En base a esta jurisprudencia, el Ministerio Fiscal entiende que el marido de la recurrente y su hijo tendrían interés legítimo para comparecer en el proceso, pero no lo han hecho y la demandante no puede suplir por voluntad propia esa decisión de no comparecer.</w:t>
      </w:r>
    </w:p>
    <w:p w14:paraId="6C567188" w14:textId="77777777" w:rsidR="009D7677" w:rsidRDefault="009D7677" w:rsidP="009D7677">
      <w:pPr>
        <w:pStyle w:val="TextoNormal"/>
      </w:pPr>
    </w:p>
    <w:p w14:paraId="3E21B7FE" w14:textId="77777777" w:rsidR="009D7677" w:rsidRDefault="009D7677" w:rsidP="009D7677">
      <w:pPr>
        <w:pStyle w:val="TextoNormal"/>
      </w:pPr>
      <w:r>
        <w:t>c) Entrando en el análisis de las vulneraciones de derechos fundamentales alegadas por la demandante, el Ministerio Fiscal sostiene, en tercer lugar, que no se habría producido ninguna vulneración del derecho a la tutela judicial efectiva, en su vertiente de derecho a una resolución motivada. Puesto que no estamos en presencia de un procedimiento de tutela de derechos fundamentales dirigido a la defensa de un derecho fundamental sustantivo, sino de un procedimiento de jurisdicción voluntaria cuya característica definitoria es la ausencia de controversia, propia de los procesos contenciosos, el Ministerio Fiscal entiende que la doctrina constitucional que exige a los órganos judiciales una motivación reforzada de sus resoluciones en aquellos casos que puedan afectar a derechos sustantivos no resulta aplicable. En opinión del Ministerio Fiscal, la doctrina constitucional aplicable al caso sería aquella que exige la fundamentación en Derecho de las resoluciones judiciales, de modo que contengan los elementos y razones de juicio que permitan conocer cuáles han sido los criterios jurídicos que fundamentan la decisión sin incurrir en arbitrariedad, manifiesta irrazonabilidad o error patente. Trasladando la doctrina indicada al caso concreto, el Ministerio Fiscal sostiene que el auto impugnado permite conocer los criterios jurídicos que fundamentan su decisión, aplicándolos al caso concreto, de modo que su motivación ha de considerarse suficiente. Adicionalmente, señala que la resolución no prescinde del interés superior del menor, en tanto subraya que “de acordarse la denegación de la adopción, en nada afecta al interés del menor dado que continúa conviviendo con el padre biológico y su esposa, quienes, al parecer, según refieren en su escrito de demanda, cuentan con indudables habilidades personales y medios materiales para dispensar al menor las atenciones que precisa”.</w:t>
      </w:r>
    </w:p>
    <w:p w14:paraId="410259A8" w14:textId="77777777" w:rsidR="009D7677" w:rsidRDefault="009D7677" w:rsidP="009D7677">
      <w:pPr>
        <w:pStyle w:val="TextoNormal"/>
      </w:pPr>
    </w:p>
    <w:p w14:paraId="283486DD" w14:textId="77777777" w:rsidR="009D7677" w:rsidRDefault="009D7677" w:rsidP="009D7677">
      <w:pPr>
        <w:pStyle w:val="TextoNormal"/>
      </w:pPr>
      <w:r>
        <w:t>d) En cuarto lugar, el Ministerio Fiscal rechaza las alegaciones de la recurrente referidas a la eventual vulneración del derecho a la tutela judicial efectiva sin indefensión. Tras recordar la jurisprudencia de este tribunal al respecto, el Ministerio Fiscal subraya que la demandante ha presentado cuanta documentación ha considerado pertinente en defensa y acreditación de su pretensión, y no ha denunciado ninguna irregularidad procesal durante la tramitación de la apelación de la que pudiera derivarse su indefensión. Señala adicionalmente que el desacuerdo de la recurrente en relación con la actuación del Ministerio Fiscal, que recurrió en apelación en el expediente de adopción del menor B.R.K., y no en el de su hermano menor, no puede atribuirse al tribunal de apelación. Finalmente, en cuanto a la alegación de parcialidad del tribunal de apelación por acoger el posicionamiento de la Fiscalía, el Ministerio Fiscal subraya que esa supuesta parcialidad podría haber vulnerado el derecho de la parte a un juez imparcial, si bien la parte ni invoca ni desarrolla argumentalmente tal vulneración.</w:t>
      </w:r>
    </w:p>
    <w:p w14:paraId="1DD1818B" w14:textId="77777777" w:rsidR="009D7677" w:rsidRDefault="009D7677" w:rsidP="009D7677">
      <w:pPr>
        <w:pStyle w:val="TextoNormal"/>
      </w:pPr>
    </w:p>
    <w:p w14:paraId="1E7A6060" w14:textId="77777777" w:rsidR="009D7677" w:rsidRDefault="009D7677" w:rsidP="009D7677">
      <w:pPr>
        <w:pStyle w:val="TextoNormal"/>
      </w:pPr>
      <w:r>
        <w:t>e) En quinto lugar, el Ministerio Fiscal defiende que tampoco se ha producido vulneración alguna del derecho a la igualdad ni de la demandante, ni de su esposo, ni de los dos menores, por el desigual desenlace de los dos procedimientos de adopción. Señala la Fis</w:t>
      </w:r>
      <w:r>
        <w:lastRenderedPageBreak/>
        <w:t xml:space="preserve">calía que el derecho fundamental a la igualdad del art. 14 CE tiene dos manifestaciones esenciales, según la jurisprudencia de este tribunal: el derecho a la igualdad en la ley y a la igualdad en la aplicación de la ley. En el presente caso, entiende la Fiscalía, la queja de amparo pone de manifiesto la eventual vulneración del derecho a la igualdad en la aplicación de la ley. Sin embargo, para que pudiera entenderse vulnerado ese derecho sería necesario que concurrieran los siguientes requisitos: (i) la acreditación de un </w:t>
      </w:r>
      <w:r w:rsidRPr="009D7677">
        <w:rPr>
          <w:i/>
        </w:rPr>
        <w:t>tertium comparationis</w:t>
      </w:r>
      <w:r>
        <w:t>; (ii) la identidad de órgano judicial que en casos sustancialmente iguales haya resuelto de forma contradictoria, entendiendo por tal no solo la Sala, sino también la Sección correspondiente; (iii) la existencia de alteridad en los supuestos contrastados y (iv) la ausencia de toda motivación que justifique la diferencia de trato. Pues bien, entiende el Ministerio Fiscal que esos requisitos no se dan en el caso concreto, en tanto la Audiencia Provincial no ha dictado más que una resolución sobre supuestos idénticos al analizado, no habiéndose presentado, por tanto, un término válido de comparación, ni existiendo un cambio de postura inmotivada en relación con supuestos idénticos. El distinto devenir de los dos expedientes de adopción instados por la demandante es fruto de las particulares vicisitudes procesales de cada uno de ellos y deriva no de la actuación del órgano judicial, sino del posicionamiento del Ministerio Fiscal, que no corresponde valorar en esta sede.</w:t>
      </w:r>
    </w:p>
    <w:p w14:paraId="62B16F44" w14:textId="77777777" w:rsidR="009D7677" w:rsidRDefault="009D7677" w:rsidP="009D7677">
      <w:pPr>
        <w:pStyle w:val="TextoNormal"/>
      </w:pPr>
    </w:p>
    <w:p w14:paraId="43A900DE" w14:textId="38D7EE33" w:rsidR="009D7677" w:rsidRDefault="009D7677" w:rsidP="009D7677">
      <w:pPr>
        <w:pStyle w:val="TextoNormal"/>
      </w:pPr>
      <w:r>
        <w:t>f) Finalmente, en relación con la eventual vulneración de los derechos de la demandante a la integridad moral (art. 15 CE) y al honor e intimidad personal y familiar (art. 18.1 CE), en relación con el derecho a la dignidad del art. 10 CE, el Ministerio Fiscal entiende que no tienen en la demanda de amparo un desarrollo específico, en tanto la demandante se limita a afirmar que las resoluciones impugnadas vulneran esos derechos de ella y su familia.</w:t>
      </w:r>
    </w:p>
    <w:p w14:paraId="194A19CA" w14:textId="77777777" w:rsidR="009D7677" w:rsidRDefault="009D7677" w:rsidP="009D7677">
      <w:pPr>
        <w:pStyle w:val="TextoNormal"/>
      </w:pPr>
    </w:p>
    <w:p w14:paraId="14A09B8A" w14:textId="5757FE22" w:rsidR="009D7677" w:rsidRDefault="009D7677" w:rsidP="009D7677">
      <w:pPr>
        <w:pStyle w:val="TextoNormal"/>
      </w:pPr>
      <w:r w:rsidRPr="009D7677">
        <w:rPr>
          <w:rStyle w:val="NumeroAFNegritaCaracter"/>
        </w:rPr>
        <w:t>9</w:t>
      </w:r>
      <w:r>
        <w:t>. Por diligencia de la Secretaría de Justicia de 20 de julio de 2021 se hizo constar la recepción de los escritos de alegaciones del Ministerio Fiscal y del procurador de la demandante y la parte coadyuvante, quedando el presente recurso de amparo pendiente de deliberación cuando por turno le correspondiera.</w:t>
      </w:r>
    </w:p>
    <w:p w14:paraId="26A3072A" w14:textId="77777777" w:rsidR="009D7677" w:rsidRDefault="009D7677" w:rsidP="009D7677">
      <w:pPr>
        <w:pStyle w:val="TextoNormal"/>
      </w:pPr>
    </w:p>
    <w:p w14:paraId="320AD3A3" w14:textId="6ED94E3B" w:rsidR="009D7677" w:rsidRDefault="009D7677" w:rsidP="009D7677">
      <w:pPr>
        <w:pStyle w:val="TextoNormal"/>
      </w:pPr>
      <w:r w:rsidRPr="009D7677">
        <w:rPr>
          <w:rStyle w:val="NumeroAFNegritaCaracter"/>
        </w:rPr>
        <w:t>10</w:t>
      </w:r>
      <w:r>
        <w:t>. En virtud de los arts. 2.1 y 2 y 3.1 del acuerdo del Pleno del Tribunal Constitucional de 17 de enero de 2023, publicado en el “Boletín Oficial del Estado” de 19 de enero de 2023, el recurso lo conoce la Sala Segunda de este tribunal al conservar la magistrada doña Inmaculada Montalbán Huertas la ponencia asignada tras la renovación parcial del Tribunal que dio lugar a una nueva composición de sus Salas y Secciones, lo que fue puesto en conocimiento de las partes mediante diligencia de ordenación de 20 de enero de 2023 del secretario de justicia de la Sección Tercera.</w:t>
      </w:r>
    </w:p>
    <w:p w14:paraId="5985F423" w14:textId="77777777" w:rsidR="009D7677" w:rsidRDefault="009D7677" w:rsidP="009D7677">
      <w:pPr>
        <w:pStyle w:val="TextoNormal"/>
      </w:pPr>
    </w:p>
    <w:p w14:paraId="5ADA8DAA" w14:textId="0D798B7B" w:rsidR="009D7677" w:rsidRDefault="009D7677" w:rsidP="009D7677">
      <w:pPr>
        <w:pStyle w:val="TextoNormal"/>
      </w:pPr>
      <w:r w:rsidRPr="009D7677">
        <w:rPr>
          <w:rStyle w:val="NumeroAFNegritaCaracter"/>
        </w:rPr>
        <w:t>11</w:t>
      </w:r>
      <w:r>
        <w:t>. El 12 de febrero de 2024 la Sala Segunda de este tribunal acordó proponer la avocación al Pleno del presente recurso de amparo, lo que fue notificado a las partes mediante providencia de la misma fecha.</w:t>
      </w:r>
    </w:p>
    <w:p w14:paraId="178A29F1" w14:textId="77777777" w:rsidR="009D7677" w:rsidRDefault="009D7677" w:rsidP="009D7677">
      <w:pPr>
        <w:pStyle w:val="TextoNormal"/>
      </w:pPr>
    </w:p>
    <w:p w14:paraId="50D93652" w14:textId="3805D556" w:rsidR="009D7677" w:rsidRDefault="009D7677" w:rsidP="009D7677">
      <w:pPr>
        <w:pStyle w:val="TextoNormal"/>
      </w:pPr>
      <w:r w:rsidRPr="009D7677">
        <w:rPr>
          <w:rStyle w:val="NumeroAFNegritaCaracter"/>
        </w:rPr>
        <w:t>12</w:t>
      </w:r>
      <w:r>
        <w:t>. Mediante providencia de 27 de febrero de 2024, se señaló ese mismo día para la deliberación y votación de la presente sentencia.</w:t>
      </w:r>
    </w:p>
    <w:p w14:paraId="78C33A86" w14:textId="77777777" w:rsidR="009D7677" w:rsidRDefault="009D7677" w:rsidP="009D7677">
      <w:pPr>
        <w:pStyle w:val="TextoNormal"/>
      </w:pPr>
    </w:p>
    <w:p w14:paraId="16F5735B" w14:textId="77777777" w:rsidR="009D7677" w:rsidRDefault="009D7677" w:rsidP="009D7677">
      <w:pPr>
        <w:pStyle w:val="TextoNormalNegritaCentrado"/>
        <w:keepNext/>
      </w:pPr>
      <w:r>
        <w:lastRenderedPageBreak/>
        <w:t>II. Fundamentos jurídicos</w:t>
      </w:r>
    </w:p>
    <w:p w14:paraId="19CC6C43" w14:textId="52620F65" w:rsidR="009D7677" w:rsidRDefault="009D7677" w:rsidP="009D7677">
      <w:pPr>
        <w:pStyle w:val="TextoNormalNegritaCentrado"/>
        <w:keepNext/>
      </w:pPr>
    </w:p>
    <w:p w14:paraId="2B397426" w14:textId="77777777" w:rsidR="009D7677" w:rsidRDefault="009D7677" w:rsidP="009D7677">
      <w:pPr>
        <w:pStyle w:val="TextoNormal"/>
      </w:pPr>
      <w:r w:rsidRPr="009D7677">
        <w:rPr>
          <w:rStyle w:val="NumeroAFNegritaCaracter"/>
        </w:rPr>
        <w:t>1</w:t>
      </w:r>
      <w:r>
        <w:t xml:space="preserve">. </w:t>
      </w:r>
      <w:r w:rsidRPr="009D7677">
        <w:rPr>
          <w:i/>
        </w:rPr>
        <w:t>Objeto del recurso de amparo y pretensiones de las partes</w:t>
      </w:r>
    </w:p>
    <w:p w14:paraId="13E3110E" w14:textId="77777777" w:rsidR="009D7677" w:rsidRDefault="009D7677" w:rsidP="009D7677">
      <w:pPr>
        <w:pStyle w:val="TextoNormal"/>
      </w:pPr>
    </w:p>
    <w:p w14:paraId="3A4CCF3F" w14:textId="77777777" w:rsidR="009D7677" w:rsidRDefault="009D7677" w:rsidP="009D7677">
      <w:pPr>
        <w:pStyle w:val="TextoNormal"/>
      </w:pPr>
      <w:r>
        <w:t>En el presente recurso de amparo se impugna el auto de 30 de mayo de 2019, dictado por la Sección Vigesimocuarta de la Audiencia Provincial de Madrid, que revocó la resolución del Juzgado de Primera Instancia núm. 28 de Madrid, que había estimado la pretensión de la demandante de amparo de constituir el vínculo adoptivo entre ella y el menor B.R.K.; así como la providencia de 28 de junio de 2019 del mismo tribunal, por la que se inadmitió a trámite el incidente de nulidad de actuaciones formulado por la demandante de amparo contra el mencionado auto.</w:t>
      </w:r>
    </w:p>
    <w:p w14:paraId="2E2E10EF" w14:textId="77777777" w:rsidR="009D7677" w:rsidRDefault="009D7677" w:rsidP="009D7677">
      <w:pPr>
        <w:pStyle w:val="TextoNormal"/>
      </w:pPr>
    </w:p>
    <w:p w14:paraId="55BEC376" w14:textId="77777777" w:rsidR="009D7677" w:rsidRDefault="009D7677" w:rsidP="009D7677">
      <w:pPr>
        <w:pStyle w:val="TextoNormal"/>
      </w:pPr>
      <w:r>
        <w:t>Según se desprende de las actuaciones del citado procedimiento remitidas a este tribunal, el menor B.R.K., nació en Kiev (Ucrania) el 8 de noviembre de 2016 a raíz de un contrato por el que se convino su gestación a cargo de doña K.K., la gestante, que renunciaba a la filiación materna en favor de la demandante de amparo y su esposo, parte coadyuvante en este proceso. Siguiendo la terminología empleada en el art. 10 de la Ley 14/2006, de 26 de mayo, sobre técnicas de reproducción humana asistida, este tribunal se referirá a ese contrato como “el contrato de gestación por sustitución”.</w:t>
      </w:r>
    </w:p>
    <w:p w14:paraId="27328621" w14:textId="77777777" w:rsidR="009D7677" w:rsidRDefault="009D7677" w:rsidP="009D7677">
      <w:pPr>
        <w:pStyle w:val="TextoNormal"/>
      </w:pPr>
    </w:p>
    <w:p w14:paraId="7B8DB4B9" w14:textId="77777777" w:rsidR="009D7677" w:rsidRDefault="009D7677" w:rsidP="009D7677">
      <w:pPr>
        <w:pStyle w:val="TextoNormal"/>
      </w:pPr>
      <w:r>
        <w:t>El menor fue inscrito en el registro civil consular de la Embajada de España en Kiev como hijo del esposo de la demandante de amparo y de doña K.K., la gestante. La demandante de amparo solicitó la constitución del vínculo adoptivo entre ella y B.R.K. Su pretensión fue inicialmente estimada por el Juzgado de Primera Instancia núm. 28 de Madrid, que acordó la constitución del citado vínculo adoptivo, decisión que fue posteriormente revocada en apelación por la Audiencia Provincial de Madrid, tras la interposición del correspondiente recurso por el Ministerio Fiscal. Tal y como se detalla en los antecedentes de hecho, la demandante de amparo solicitó también la constitución del vínculo adoptivo entre ella y el hijo menor de su esposo, I.R.E., nacido por idéntico procedimiento en Ucrania el día 9 de agosto de 2017. El Juzgado de Primera Instancia núm. 28 de Madrid acordó esa segunda adopción por auto núm. 265/2018, de 21 de junio, que devino firme.</w:t>
      </w:r>
    </w:p>
    <w:p w14:paraId="6D707A53" w14:textId="77777777" w:rsidR="009D7677" w:rsidRDefault="009D7677" w:rsidP="009D7677">
      <w:pPr>
        <w:pStyle w:val="TextoNormal"/>
      </w:pPr>
    </w:p>
    <w:p w14:paraId="764B93C6" w14:textId="77777777" w:rsidR="009D7677" w:rsidRDefault="009D7677" w:rsidP="009D7677">
      <w:pPr>
        <w:pStyle w:val="TextoNormal"/>
      </w:pPr>
      <w:r>
        <w:t>La demanda de amparo fue presentada únicamente en nombre de doña M.T.E.M. —aunque su esposo se personó en calidad de coadyuvante, en nombre propio y en el de sus dos hijos menores— y en ella se alega que las resoluciones recurridas habrían vulnerado su derecho a la tutela judicial efectiva, en sus vertientes de derecho a una resolución judicial motivada y fundada en Derecho y a no padecer indefensión (art. 24.1 CE). A decir de la demandante, las resoluciones impugnadas habrían vulnerado esos derechos al ignorar la cuestión central que se debatía en el proceso y resolver sobre una cuestión ajena al mismo, véase, la posible existencia de vínculo biológico entre el esposo de la demandante de amparo y el menor B.R.K., así como al obviar la exigencia de motivación reforzada que este tribunal impone a las resoluciones que afecten a valores o derechos constitucionales, prescindiendo de toda consideración relativa a la dignidad de la persona, la igualdad, la integridad moral, la intimidad personal y familiar de un menor, la protección de la familia y el interés superior del menor (arts. 10, 14, 15, 18 y 39 CE, en conexión con los arts. 8 CEDH y 3 de la Convención de Naciones Unidas sobre los derechos del niño).</w:t>
      </w:r>
    </w:p>
    <w:p w14:paraId="292B8EC6" w14:textId="77777777" w:rsidR="009D7677" w:rsidRDefault="009D7677" w:rsidP="009D7677">
      <w:pPr>
        <w:pStyle w:val="TextoNormal"/>
      </w:pPr>
    </w:p>
    <w:p w14:paraId="2FB6522B" w14:textId="77777777" w:rsidR="009D7677" w:rsidRDefault="009D7677" w:rsidP="009D7677">
      <w:pPr>
        <w:pStyle w:val="TextoNormal"/>
      </w:pPr>
      <w:r>
        <w:lastRenderedPageBreak/>
        <w:t>Adicionalmente, la demandante de amparo sostiene que las resoluciones impugnadas le habrían causado indefensión al mostrar parcialidad en favor de las tesis defendidas por el Ministerio Fiscal, atribuir conductas fraudulentas a su esposo sin aportar indicio alguno de la ausencia de vínculo biológico con el menor B.R.K., no valorar los documentos aportados que acreditaban la firmeza de la resolución judicial por la que se acordaba la adopción de I.R.E., por la demandante y resolver de forma contradictoria en relación con sus solicitudes de adopción de los menores B.R.K., e I.R.E., a pesar de la sustancial identidad de ambos casos. La demanda de amparo sostiene que el tratamiento diferenciado de ambas solicitudes de adopción habría provocado la lesión adicional del derecho a la igualdad y a no ser discriminada de la demandante, así como de su marido y de los menores B.R.K., e I.R.E., que habrían sido discriminados por razón de su nacimiento (art. 14 CE). Finalmente, aduce que las resoluciones impugnadas habrían vulnerado su derecho a la integridad moral (art. 15 CE), dañado por la decisión de no acceder a la adopción de uno de los hijos de su esposo, así como del derecho a la intimidad, en conexión con la dignidad de la persona (art. 18 CE, en relación con el art. 10 CE), al especular sobre la filiación del menor B.R.K.</w:t>
      </w:r>
    </w:p>
    <w:p w14:paraId="0A1BE243" w14:textId="77777777" w:rsidR="009D7677" w:rsidRDefault="009D7677" w:rsidP="009D7677">
      <w:pPr>
        <w:pStyle w:val="TextoNormal"/>
      </w:pPr>
    </w:p>
    <w:p w14:paraId="659EFC8C" w14:textId="516F4A38" w:rsidR="009D7677" w:rsidRDefault="009D7677" w:rsidP="009D7677">
      <w:pPr>
        <w:pStyle w:val="TextoNormal"/>
      </w:pPr>
      <w:r>
        <w:t>El Ministerio Fiscal se opone a la demanda de amparo por los motivos expuestos en los antecedentes, fundamentalmente por considerar que la demandante de amparo no está legitimada para actuar en nombre de su marido y del menor B.R.K. —de modo que el objeto de la demanda ha de circunscribirse a la eventual vulneración de sus derechos fundamentales— y por considerar que no se ha producido lesión alguna de los derechos de la demandante a la tutela judicial efectiva sin indefensión (art. 24.1 CE), a la igualdad (art. 14 CE), a la integridad moral (art. 15 CE), ni a la intimidad personal y familiar, en conexión con la dignidad de la persona (art. 18.1 CE, en relación con el art. 10 CE).</w:t>
      </w:r>
    </w:p>
    <w:p w14:paraId="69D1736F" w14:textId="77777777" w:rsidR="009D7677" w:rsidRDefault="009D7677" w:rsidP="009D7677">
      <w:pPr>
        <w:pStyle w:val="TextoNormal"/>
      </w:pPr>
    </w:p>
    <w:p w14:paraId="6B6415C7" w14:textId="77777777" w:rsidR="009D7677" w:rsidRDefault="009D7677" w:rsidP="009D7677">
      <w:pPr>
        <w:pStyle w:val="TextoNormal"/>
      </w:pPr>
      <w:r w:rsidRPr="009D7677">
        <w:rPr>
          <w:rStyle w:val="NumeroAFNegritaCaracter"/>
        </w:rPr>
        <w:t>2</w:t>
      </w:r>
      <w:r>
        <w:t xml:space="preserve">. </w:t>
      </w:r>
      <w:r w:rsidRPr="009D7677">
        <w:rPr>
          <w:i/>
        </w:rPr>
        <w:t>Cuestiones preliminares</w:t>
      </w:r>
    </w:p>
    <w:p w14:paraId="3334F4CD" w14:textId="77777777" w:rsidR="009D7677" w:rsidRDefault="009D7677" w:rsidP="009D7677">
      <w:pPr>
        <w:pStyle w:val="TextoNormal"/>
      </w:pPr>
    </w:p>
    <w:p w14:paraId="48ACBF9E" w14:textId="77777777" w:rsidR="009D7677" w:rsidRDefault="009D7677" w:rsidP="009D7677">
      <w:pPr>
        <w:pStyle w:val="TextoNormal"/>
      </w:pPr>
      <w:r>
        <w:t>Antes de proceder al enjuiciamiento del presente recurso de amparo han de hacerse las siguientes precisiones:</w:t>
      </w:r>
    </w:p>
    <w:p w14:paraId="7B270D8E" w14:textId="77777777" w:rsidR="009D7677" w:rsidRDefault="009D7677" w:rsidP="009D7677">
      <w:pPr>
        <w:pStyle w:val="TextoNormal"/>
      </w:pPr>
    </w:p>
    <w:p w14:paraId="469ED4CD" w14:textId="77777777" w:rsidR="009D7677" w:rsidRDefault="009D7677" w:rsidP="009D7677">
      <w:pPr>
        <w:pStyle w:val="TextoNormal"/>
      </w:pPr>
      <w:r>
        <w:t>a) Protección de la identidad de los menores de edad afectados</w:t>
      </w:r>
    </w:p>
    <w:p w14:paraId="542D1D16" w14:textId="77777777" w:rsidR="009D7677" w:rsidRDefault="009D7677" w:rsidP="009D7677">
      <w:pPr>
        <w:pStyle w:val="TextoNormal"/>
      </w:pPr>
    </w:p>
    <w:p w14:paraId="19D5EDAB" w14:textId="77777777" w:rsidR="009D7677" w:rsidRDefault="009D7677" w:rsidP="009D7677">
      <w:pPr>
        <w:pStyle w:val="TextoNormal"/>
      </w:pPr>
      <w:r>
        <w:t>Aun cuando no haya sido solicitado por la demandante de amparo, este tribunal viene obligado, en virtud del art. 86.3 LOTC y del art. 1 del acuerdo del Pleno de 23 de julio de 2015, por el que se regula la exclusión de los datos de identidad personal en la publicación de las resoluciones jurisdiccionales (“Boletín Oficial del Estado” núm. 178, de 27 de julio de 2015), a preservar de oficio el anonimato de los menores. En consecuencia, la presente resolución identifica por sus iniciales al menor cuya adopción fue solicitada por la demandante en amparo, así como a su hermano. Este tribunal estima, también de oficio y de conformidad con el art. 2 del citado acuerdo, que dicho tratamiento reservado debe extenderse, con la finalidad de preservar de modo efectivo el anonimato de ambos menores, a los datos personales de la demandante de amparo, así como de su esposo, personado como parte coadyuvante, y de la gestante.</w:t>
      </w:r>
    </w:p>
    <w:p w14:paraId="33FBBF22" w14:textId="77777777" w:rsidR="009D7677" w:rsidRDefault="009D7677" w:rsidP="009D7677">
      <w:pPr>
        <w:pStyle w:val="TextoNormal"/>
      </w:pPr>
    </w:p>
    <w:p w14:paraId="49677C81" w14:textId="77777777" w:rsidR="009D7677" w:rsidRDefault="009D7677" w:rsidP="009D7677">
      <w:pPr>
        <w:pStyle w:val="TextoNormal"/>
      </w:pPr>
      <w:r>
        <w:t>b) Requisitos de admisibilidad: preservación del carácter subsidiario del amparo</w:t>
      </w:r>
    </w:p>
    <w:p w14:paraId="4BB20375" w14:textId="77777777" w:rsidR="009D7677" w:rsidRDefault="009D7677" w:rsidP="009D7677">
      <w:pPr>
        <w:pStyle w:val="TextoNormal"/>
      </w:pPr>
    </w:p>
    <w:p w14:paraId="523BA268" w14:textId="77777777" w:rsidR="009D7677" w:rsidRDefault="009D7677" w:rsidP="009D7677">
      <w:pPr>
        <w:pStyle w:val="TextoNormal"/>
      </w:pPr>
      <w:r>
        <w:lastRenderedPageBreak/>
        <w:t>A pesar de que ninguna de las partes ha alegado óbice alguno de procedibilidad en relación con el presente recurso de amparo, este tribunal ha reiterado que los defectos insubsanables de que pueda estar afectada la demanda de amparo no resultan reparados porque haya sido inicialmente admitida a trámite, “de forma que la comprobación de los presupuestos procesales para la viabilidad de la acción puede volverse a abordar o reconsiderar en la sentencia, de oficio o a instancia de parte, dando lugar a un pronunciamiento de inadmisión por la falta de tales presupuestos” (por todas, STC 66/2022, de 2 de junio, FJ 3, que se remite a la STC 154/2016, de 22 de septiembre, FJ 2).</w:t>
      </w:r>
    </w:p>
    <w:p w14:paraId="22454B9A" w14:textId="77777777" w:rsidR="009D7677" w:rsidRDefault="009D7677" w:rsidP="009D7677">
      <w:pPr>
        <w:pStyle w:val="TextoNormal"/>
      </w:pPr>
    </w:p>
    <w:p w14:paraId="700DA761" w14:textId="77777777" w:rsidR="009D7677" w:rsidRDefault="009D7677" w:rsidP="009D7677">
      <w:pPr>
        <w:pStyle w:val="TextoNormal"/>
      </w:pPr>
      <w:r>
        <w:t>Por tanto, antes de examinar las vulneraciones de derechos fundamentales alegadas por la recurrente, debemos examinar de oficio la posible concurrencia de alguna de las causas de inadmisibilidad del recurso previstas en el art. 50.1 LOTC, entre las que se encuentra la denuncia formal en el proceso de la vulneración del derecho fundamental invocado ante este tribunal tan pronto como, una vez conocida, hubiera lugar para ello [art. 44.1 c) LOTC]. Esta exigencia, lejos de ser un mero formalismo, tiene por finalidad ofrecer a los órganos judiciales la oportunidad de pronunciarse sobre la violación constitucional invocada y preservar el carácter subsidiario del recurso de amparo, tal y como este tribunal ha subrayado en su jurisprudencia (por todas, STC 73/2007, de 16 de abril, FJ 2).</w:t>
      </w:r>
    </w:p>
    <w:p w14:paraId="326C2551" w14:textId="77777777" w:rsidR="009D7677" w:rsidRDefault="009D7677" w:rsidP="009D7677">
      <w:pPr>
        <w:pStyle w:val="TextoNormal"/>
      </w:pPr>
    </w:p>
    <w:p w14:paraId="7BA7293A" w14:textId="77777777" w:rsidR="009D7677" w:rsidRDefault="009D7677" w:rsidP="009D7677">
      <w:pPr>
        <w:pStyle w:val="TextoNormal"/>
      </w:pPr>
      <w:r>
        <w:t xml:space="preserve">Pues bien, ese defecto de falta de invocación debe apreciarse en el caso presente en relación con la queja referida a la vulneración del derecho a la igualdad del esposo de la demandante de amparo (art. 14 CE), en tanto esa alegación no fue incorporada al escrito por el que se promovió el incidente de nulidad de actuaciones contra el auto dictado por la Audiencia Provincial de Madrid el 30 de mayo de 2019. El recurso de amparo ha de ser inadmitido parcialmente en lo referido a esa queja, que se ha alegado </w:t>
      </w:r>
      <w:r w:rsidRPr="009D7677">
        <w:rPr>
          <w:i/>
        </w:rPr>
        <w:t>per saltum</w:t>
      </w:r>
      <w:r>
        <w:t xml:space="preserve"> en sede constitucional, sin haberse suscitado con anterioridad.</w:t>
      </w:r>
    </w:p>
    <w:p w14:paraId="42BCCD58" w14:textId="77777777" w:rsidR="009D7677" w:rsidRDefault="009D7677" w:rsidP="009D7677">
      <w:pPr>
        <w:pStyle w:val="TextoNormal"/>
      </w:pPr>
    </w:p>
    <w:p w14:paraId="70126709" w14:textId="77777777" w:rsidR="009D7677" w:rsidRDefault="009D7677" w:rsidP="009D7677">
      <w:pPr>
        <w:pStyle w:val="TextoNormal"/>
      </w:pPr>
      <w:r>
        <w:t>c) Alcance de la legitimación de la demandante de amparo</w:t>
      </w:r>
    </w:p>
    <w:p w14:paraId="7D9BEC9D" w14:textId="77777777" w:rsidR="009D7677" w:rsidRDefault="009D7677" w:rsidP="009D7677">
      <w:pPr>
        <w:pStyle w:val="TextoNormal"/>
      </w:pPr>
    </w:p>
    <w:p w14:paraId="4575B768" w14:textId="77777777" w:rsidR="009D7677" w:rsidRDefault="009D7677" w:rsidP="009D7677">
      <w:pPr>
        <w:pStyle w:val="TextoNormal"/>
      </w:pPr>
      <w:r>
        <w:t>Con carácter previo al examen del fondo de la cuestión, procede asimismo analizar la alegación del Ministerio Fiscal en virtud de la cual procedería ceñir el objeto del presente proceso a los derechos fundamentales de los que es titular la demandante de amparo, en tanto esta invoca derechos fundamentales de todos los miembros del grupo familiar, pero lo hace arrogándose una representación que no le corresponde. El objeto del proceso de amparo habría así de quedar circunscrito a las alegaciones referidas a la vulneración de los derechos de la demandante de amparo, excluyéndose del enjuiciamiento de este tribunal las alegaciones referidas a la vulneración del derecho a la intimidad del menor B.R.K. (art. 18 CE, en relación con el art. 10 CE), así como del derecho a la igualdad y a no ser discriminado de los menores B.R.K., e I.R.E. (art. 14 CE), en tanto la alegación referida a la eventual vulneración de ese derecho en relación con el marido de la demandante de amparo ya ha sido excluida del enjuiciamiento de este tribunal por falta de invocación en la vía judicial previa.</w:t>
      </w:r>
    </w:p>
    <w:p w14:paraId="2A40A77E" w14:textId="77777777" w:rsidR="009D7677" w:rsidRDefault="009D7677" w:rsidP="009D7677">
      <w:pPr>
        <w:pStyle w:val="TextoNormal"/>
      </w:pPr>
    </w:p>
    <w:p w14:paraId="70937C18" w14:textId="77777777" w:rsidR="009D7677" w:rsidRDefault="009D7677" w:rsidP="009D7677">
      <w:pPr>
        <w:pStyle w:val="TextoNormal"/>
      </w:pPr>
      <w:r>
        <w:t xml:space="preserve">En relación con esta cuestión debemos recordar, en primer lugar, que la demandante de amparo no actúa en el presente proceso constitucional en representación legal de los menores B.R.K., e I.R.E. La demanda de amparo fue presentada únicamente en su nombre, aunque su marido se personó como parte coadyuvante, en nombre propio y en el de sus </w:t>
      </w:r>
      <w:r>
        <w:lastRenderedPageBreak/>
        <w:t>dos hijos. Ambas partes comparten representación procesal y han formulado idénticas alegaciones.</w:t>
      </w:r>
    </w:p>
    <w:p w14:paraId="2CC75575" w14:textId="77777777" w:rsidR="009D7677" w:rsidRDefault="009D7677" w:rsidP="009D7677">
      <w:pPr>
        <w:pStyle w:val="TextoNormal"/>
      </w:pPr>
    </w:p>
    <w:p w14:paraId="57786FBA" w14:textId="77777777" w:rsidR="009D7677" w:rsidRDefault="009D7677" w:rsidP="009D7677">
      <w:pPr>
        <w:pStyle w:val="TextoNormal"/>
      </w:pPr>
      <w:r>
        <w:t>En contra de lo alegado por el Ministerio Fiscal, la cuestión que se suscita no es, por tanto, si la demandante de amparo puede asumir la representación procesal de los menores B.R.K., e I.R.E., algo que en ningún caso la parte pretende, sino si esta está legitimada activamente para recurrir las resoluciones impugnadas invocando derechos que no son propios, sino de quienes se personaron como partes coadyuvantes. Tan solo en caso de llegar a una conclusión negativa respecto de esta cuestión, podríamos excluir de nuestro enjuiciamiento las alegaciones referidas a los derechos fundamentales de los menores B.R.K., e I.R.E., en tanto este tribunal ha admitido la intervención adhesiva a favor del demandante de amparo más allá del caso previsto en el art. 46.2 LOTC, pero ha subrayado que el coadyuvante del demandante no puede alterar el planteamiento ni el objeto del proceso, limitándose a alegar cuanto le convenga, sin restricción dialéctica alguna (por todas, STC 126/2011, de 18 de julio, FJ 7, y AATC 146/1996, de 10 de junio, FJ único, y 302/2003, de 29 de septiembre, FJ 2).</w:t>
      </w:r>
    </w:p>
    <w:p w14:paraId="6D80E292" w14:textId="77777777" w:rsidR="009D7677" w:rsidRDefault="009D7677" w:rsidP="009D7677">
      <w:pPr>
        <w:pStyle w:val="TextoNormal"/>
      </w:pPr>
    </w:p>
    <w:p w14:paraId="2FF7E75A" w14:textId="77777777" w:rsidR="009D7677" w:rsidRDefault="009D7677" w:rsidP="009D7677">
      <w:pPr>
        <w:pStyle w:val="TextoNormal"/>
      </w:pPr>
      <w:r>
        <w:t>Centrada así la cuestión, debemos recordar que, de conformidad con lo previsto en los arts. 162.1 b) CE y 46.1 b) LOTC, la legitimación activa para recurrir en amparo resoluciones judiciales corresponde a toda persona natural o jurídica que, habiendo sido parte en el proceso judicial precedente, invoque un interés legítimo. Siguiendo la jurisprudencia de este tribunal, la existencia de tal interés halla su expresión normal en la titularidad del derecho fundamental invocado, de modo que, a efectos de comprobar si existe tal legitimación, basta con examinar si el demandante de amparo ostenta la titularidad del derecho cuyo amparo se pide (por todas, SSTC 13/2001, de 29 de enero, FJ 4; 233/2005, de 26 de septiembre, FJ 9, y 66/2022, de 2 de junio, FJ 3).</w:t>
      </w:r>
    </w:p>
    <w:p w14:paraId="650D71C9" w14:textId="77777777" w:rsidR="009D7677" w:rsidRDefault="009D7677" w:rsidP="009D7677">
      <w:pPr>
        <w:pStyle w:val="TextoNormal"/>
      </w:pPr>
    </w:p>
    <w:p w14:paraId="19D03483" w14:textId="77777777" w:rsidR="009D7677" w:rsidRDefault="009D7677" w:rsidP="009D7677">
      <w:pPr>
        <w:pStyle w:val="TextoNormal"/>
      </w:pPr>
      <w:r>
        <w:t>No obstante lo anterior, es reiterada doctrina de este tribunal que la noción de interés legítimo ha de interpretarse de forma amplia y flexible, concurriendo “en toda persona cuyo círculo jurídico pueda resultar afectado por la violación de un derecho fundamental, aunque la violación no se haya producido directamente en su contra” (por todas, STC 298/2006, de 23 de octubre, FJ 4). Tal interés no puede confundirse con “un interés genérico en la preservación de derechos, sino con un interés cualificado y específico”, que debe ser valorado en atención al derecho fundamental que en cada caso se trate (por todas, SSTC 13/2001, de 29 de enero, FJ 4, y 66/2022, de 2 de junio, FJ 3). En aplicación de esta jurisprudencia, este tribunal ha reconocido la existencia de interés legítimo en determinadas situaciones de vinculación familiar, por ejemplo, de los guardadores de hecho respecto del menor de edad que se encuentra a su cargo (STC 221/2002, de 25 de noviembre, FJ 2), de los progenitores respecto de los derechos fundamentales de sus hijos menores de edad o con una discapacidad, aun cuando no estuvieren en ejercicio de la patria potestad (por todas, SSTC 174/2002, de 9 de octubre, FJ 4; 186/2013, de 4 de noviembre, FJ 2, y 148/2023, de 6 de noviembre, FJ 2) o del hijo respecto de los derechos fundamentales del progenitor sometido a su tutela (STC 38/2023, de 20 de abril, FJ 2).</w:t>
      </w:r>
    </w:p>
    <w:p w14:paraId="0B14FE29" w14:textId="77777777" w:rsidR="009D7677" w:rsidRDefault="009D7677" w:rsidP="009D7677">
      <w:pPr>
        <w:pStyle w:val="TextoNormal"/>
      </w:pPr>
    </w:p>
    <w:p w14:paraId="5B01231E" w14:textId="233A9864" w:rsidR="009D7677" w:rsidRDefault="009D7677" w:rsidP="009D7677">
      <w:pPr>
        <w:pStyle w:val="TextoNormal"/>
      </w:pPr>
      <w:r>
        <w:t xml:space="preserve">En el caso presente, aunque la demandante de amparo no es titular de parte de los derechos que invoca, cumple con los requisitos exigidos por nuestra jurisprudencia para que se le reconozca legitimación activa para invocar tales derechos. Por un lado, la demandante de amparo fue parte en el proceso judicial en el que se dictaron las resoluciones judiciales </w:t>
      </w:r>
      <w:r>
        <w:lastRenderedPageBreak/>
        <w:t>impugnadas, siendo ella la promotora del procedimiento dirigido a constituir la adopción del menor B.R.K. Por otro lado, invoca los derechos fundamentales de quien es ya su hijo adoptivo, el menor I.R.E., así como del menor B.R.K., respecto del cual ha solicitado la constitución del vínculo adoptivo y con el que convive desde su nacimiento, sin que se aprecie conflicto de interés alguno entre la demandante y el menor B.R.K., como se desprende del hecho de que el padre de este se haya personado como parte coadyuvante en la presente causa, en su nombre y en nombre de los menores B.R.K., e I.R.E., presentando las mismas alegaciones que la demandante. En tales circunstancias, podemos concluir que la demandante de amparo tiene interés legítimo en defender, por la vía de este recurso de amparo, los derechos de los menores B.R.K., e I.R.E.</w:t>
      </w:r>
    </w:p>
    <w:p w14:paraId="64A6ED69" w14:textId="77777777" w:rsidR="009D7677" w:rsidRDefault="009D7677" w:rsidP="009D7677">
      <w:pPr>
        <w:pStyle w:val="TextoNormal"/>
      </w:pPr>
    </w:p>
    <w:p w14:paraId="6EE33363" w14:textId="77777777" w:rsidR="009D7677" w:rsidRDefault="009D7677" w:rsidP="009D7677">
      <w:pPr>
        <w:pStyle w:val="TextoNormal"/>
      </w:pPr>
      <w:r w:rsidRPr="009D7677">
        <w:rPr>
          <w:rStyle w:val="NumeroAFNegritaCaracter"/>
        </w:rPr>
        <w:t>3</w:t>
      </w:r>
      <w:r>
        <w:t xml:space="preserve">. </w:t>
      </w:r>
      <w:r w:rsidRPr="009D7677">
        <w:rPr>
          <w:i/>
        </w:rPr>
        <w:t>Delimitación de los derechos fundamentales concernidos por nuestro pronunciamiento</w:t>
      </w:r>
    </w:p>
    <w:p w14:paraId="6C88B433" w14:textId="77777777" w:rsidR="009D7677" w:rsidRDefault="009D7677" w:rsidP="009D7677">
      <w:pPr>
        <w:pStyle w:val="TextoNormal"/>
      </w:pPr>
    </w:p>
    <w:p w14:paraId="1867F5EF" w14:textId="77777777" w:rsidR="009D7677" w:rsidRDefault="009D7677" w:rsidP="009D7677">
      <w:pPr>
        <w:pStyle w:val="TextoNormal"/>
      </w:pPr>
      <w:r>
        <w:t>El núcleo de la presente demanda de amparo reside en la posible vulneración de diversos derechos fundamentales de la recurrente y los menores B.R.K., e I.R.E., debido a la negativa de los tribunales españoles a autorizar la constitución del vínculo adoptivo entre la demandante y el menor B.R.K., y al distinto tratamiento recibido por idéntica solicitud en relación con el menor I.R.E. La diversa índole de los derechos invocados por la demandante de amparo y el insuficiente desarrollo de alguna de las quejas de amparo planteadas, hacen necesarias una serie de precisiones previas dirigidas a delimitar el objeto de nuestro pronunciamiento.</w:t>
      </w:r>
    </w:p>
    <w:p w14:paraId="63C24D4A" w14:textId="77777777" w:rsidR="009D7677" w:rsidRDefault="009D7677" w:rsidP="009D7677">
      <w:pPr>
        <w:pStyle w:val="TextoNormal"/>
      </w:pPr>
    </w:p>
    <w:p w14:paraId="4F097F1B" w14:textId="77777777" w:rsidR="009D7677" w:rsidRDefault="009D7677" w:rsidP="009D7677">
      <w:pPr>
        <w:pStyle w:val="TextoNormal"/>
      </w:pPr>
      <w:r>
        <w:t>a) En relación con la queja referida a la lesión del derecho a la integridad moral de la demandante de amparo (art. 15 CE), es necesario subrayar que la demanda carece manifiestamente de un mínimo desarrollo argumental que permita a este tribunal pronunciarse sobre la misma. La recurrente se limita a enunciar tal lesión únicamente en el suplico de la demanda, sin aportar ningún argumento en el cuerpo de la misma que permita a este tribunal atisbar los motivos por los que se habría producido una lesión del citado derecho. Resulta así evidente que la demandante de amparo no ha cumplido con la carga que tiene de facilitar a este tribunal “las alegaciones fácticas y jurídicas precisas a fin de dilucidar si ha mediado vulneración de los derechos fundamentales para cuya protección se interesa el otorgamiento del amparo constitucional” (entre otras, SSTC 155/2007, de 2 de julio, FJ 1, y 77/2008, de 7 de julio, FJ 4).</w:t>
      </w:r>
    </w:p>
    <w:p w14:paraId="465324E5" w14:textId="77777777" w:rsidR="009D7677" w:rsidRDefault="009D7677" w:rsidP="009D7677">
      <w:pPr>
        <w:pStyle w:val="TextoNormal"/>
      </w:pPr>
    </w:p>
    <w:p w14:paraId="14B75862" w14:textId="77777777" w:rsidR="009D7677" w:rsidRDefault="009D7677" w:rsidP="009D7677">
      <w:pPr>
        <w:pStyle w:val="TextoNormal"/>
      </w:pPr>
      <w:r>
        <w:t>b) En lo que se refiere a la eventual lesión del derecho a no padecer indefensión (art. 24.1 CE), hay que resaltar que las alegaciones de la demandante se limitan a reiterar los motivos por los que entiende lesionado el derecho a la igualdad y a no ser discriminado (art. 14 CE) y el derecho a una resolución judicial motivada y fundada en Derecho (art. 24.1 CE), siendo esta queja claramente tributaria de esas lesiones; la última de las cuales constituye el núcleo central de la demanda de amparo presentada, tal y como se explicará en los siguientes fundamentos jurídicos.</w:t>
      </w:r>
    </w:p>
    <w:p w14:paraId="4DDFF195" w14:textId="77777777" w:rsidR="009D7677" w:rsidRDefault="009D7677" w:rsidP="009D7677">
      <w:pPr>
        <w:pStyle w:val="TextoNormal"/>
      </w:pPr>
    </w:p>
    <w:p w14:paraId="7EA9A04A" w14:textId="77777777" w:rsidR="009D7677" w:rsidRDefault="009D7677" w:rsidP="009D7677">
      <w:pPr>
        <w:pStyle w:val="TextoNormal"/>
      </w:pPr>
      <w:r>
        <w:t xml:space="preserve">En todo caso, procede recordar que, en línea con la jurisprudencia de este tribunal, la indefensión constitucionalmente relevante es aquella que, siendo imputable a actos u omisiones de los órganos jurisdiccionales, “impide a una parte el ejercicio del derecho de defensa, privando o limitando su capacidad de ejercitar bien su facultad de alegar y justificar sus derechos e intereses para que le sean reconocidos, bien de replicar dialécticamente las </w:t>
      </w:r>
      <w:r>
        <w:lastRenderedPageBreak/>
        <w:t>posiciones contrarias en el ejercicio del indispensable principio de contradicción […], siempre que la indefensión tenga un carácter material, expresión con la que se quiere subrayar su relevancia o trascendencia, es decir, que produzca un efectivo y real menoscabo del derecho de defensa” (SSTC 52/1999, de 12 de abril, FJ 5, y 16/2011, de 28 de febrero, FJ 4, entre muchas otras). La demandante de amparo no identifica limitación alguna en el ejercicio de su derecho de defensa, ni tampoco detalla los motivos por los que se habría producido una indefensión constitucionalmente relevante.</w:t>
      </w:r>
    </w:p>
    <w:p w14:paraId="137804F4" w14:textId="77777777" w:rsidR="009D7677" w:rsidRDefault="009D7677" w:rsidP="009D7677">
      <w:pPr>
        <w:pStyle w:val="TextoNormal"/>
      </w:pPr>
    </w:p>
    <w:p w14:paraId="683A649C" w14:textId="77777777" w:rsidR="009D7677" w:rsidRDefault="009D7677" w:rsidP="009D7677">
      <w:pPr>
        <w:pStyle w:val="TextoNormal"/>
      </w:pPr>
      <w:r>
        <w:t>c) En lo que se refiere a la alegada vulneración del derecho fundamental a la igualdad y a no ser discriminado (art. 14 CE), es preciso recordar que la demandante atribuye tal lesión al diverso tratamiento que recibieron sus solicitudes de constitución del vínculo adoptivo con los menores B.R.K., e I.R.E. Esta primera alegación ha de ser analizada desde la perspectiva de nuestra jurisprudencia relativa a la desigual aplicación del Derecho por los órganos jurisdiccionales, en tanto la recurrente pone de relieve que sus solicitudes de constitución del vínculo adoptivo con los menores B.R.K., e I.R.E., habrían recibido un tratamiento distinto por la jurisdicción ordinaria a pesar de la sustancial identidad de ambos casos.</w:t>
      </w:r>
    </w:p>
    <w:p w14:paraId="684C89D5" w14:textId="77777777" w:rsidR="009D7677" w:rsidRDefault="009D7677" w:rsidP="009D7677">
      <w:pPr>
        <w:pStyle w:val="TextoNormal"/>
      </w:pPr>
    </w:p>
    <w:p w14:paraId="41CE0DC2" w14:textId="77777777" w:rsidR="009D7677" w:rsidRDefault="009D7677" w:rsidP="009D7677">
      <w:pPr>
        <w:pStyle w:val="TextoNormal"/>
      </w:pPr>
      <w:r>
        <w:t>En relación con esta queja, es preciso resaltar que la demandante de amparo no ha ofrecido un término de comparación válido que nos permita determinar si se ha producido una lesión del citado derecho. Según jurisprudencia constante de este tribunal, el derecho a la igualdad en la aplicación de la ley garantiza que los tribunales “resuelvan conforme a sus propios precedentes salvo que de forma reflexiva y como consecuencia de un diferente entendimiento del ordenamiento jurídico decidan cambiar de criterio” (por todas, STC 90/2023, de 11 de septiembre, FJ 6). Para poder apreciar la lesión del citado derecho nuestra jurisprudencia constante requiere, entre otros requisitos, que el tratamiento desigual en la aplicación del Derecho se atribuya al mismo órgano judicial, exigiéndose no solo la identidad de sala, sino también la de sección (SSTC 40/2015, de 2 de marzo, FJ 4; 120/2019, de 28 de octubre, FJ 3, y 90/2023, de 11 de septiembre, FJ 6, entre muchas otras). Este requisito no se cumple en el caso objeto de análisis, en tanto las resoluciones judiciales comparadas provienen de distintos órganos judiciales.</w:t>
      </w:r>
    </w:p>
    <w:p w14:paraId="3071FDF4" w14:textId="77777777" w:rsidR="009D7677" w:rsidRDefault="009D7677" w:rsidP="009D7677">
      <w:pPr>
        <w:pStyle w:val="TextoNormal"/>
      </w:pPr>
    </w:p>
    <w:p w14:paraId="2B25DD13" w14:textId="77777777" w:rsidR="009D7677" w:rsidRDefault="009D7677" w:rsidP="009D7677">
      <w:pPr>
        <w:pStyle w:val="TextoNormal"/>
      </w:pPr>
      <w:r>
        <w:t>Asimismo, la demandante de amparo alega que los menores, B.R.K., e I.R.E., habrían sido objeto de una discriminación por razón de su nacimiento, en tanto si hubieran nacido al mismo tiempo o su adopción se hubiera instado en el mismo procedimiento, la diferencia de trato no se habría producido.</w:t>
      </w:r>
    </w:p>
    <w:p w14:paraId="7B0746E2" w14:textId="77777777" w:rsidR="009D7677" w:rsidRDefault="009D7677" w:rsidP="009D7677">
      <w:pPr>
        <w:pStyle w:val="TextoNormal"/>
      </w:pPr>
    </w:p>
    <w:p w14:paraId="08A1BE41" w14:textId="77777777" w:rsidR="009D7677" w:rsidRDefault="009D7677" w:rsidP="009D7677">
      <w:pPr>
        <w:pStyle w:val="TextoNormal"/>
      </w:pPr>
      <w:r>
        <w:t>Este tribunal se ha pronunciado en reiteradas ocasiones sobre la prohibición de discriminación que el art. 14 CE contiene, señalando que “representa una explícita interdicción de determinadas diferencias históricamente muy arraigadas y que han situado, tanto por la acción de los poderes públicos como por la práctica social, a sectores de la población en posiciones, no solo desventajosas, sino contrarias a la dignidad de la persona que reconoce el art. 10.1 CE” (por todas, SSTC 63/2011, de 16 de mayo, FJ 3, y 172/2021, de 7 de octubre, FJ 3). El nacimiento constituye una de las categorías expresamente prohibidas de discriminación previstas en el art. 14 CE y, al hilo de la misma, este tribunal se ha pronunciado sobre distintas desigualdades de trato por razón del origen o la modalidad de la filiación (por todas, SSTC 171/2012, de 4 de octubre, FJ 4, y 105/2017, de 18 de septiembre, FJ 4).</w:t>
      </w:r>
    </w:p>
    <w:p w14:paraId="36E01A72" w14:textId="77777777" w:rsidR="009D7677" w:rsidRDefault="009D7677" w:rsidP="009D7677">
      <w:pPr>
        <w:pStyle w:val="TextoNormal"/>
      </w:pPr>
    </w:p>
    <w:p w14:paraId="26ED42F8" w14:textId="77777777" w:rsidR="009D7677" w:rsidRDefault="009D7677" w:rsidP="009D7677">
      <w:pPr>
        <w:pStyle w:val="TextoNormal"/>
      </w:pPr>
      <w:r>
        <w:t>Aunque, según nuestra jurisprudencia, la constatación de la vulneración de la prohibición de discriminación no requiere la aportación de término de comparación alguno (por todas, STC 154/2006, de 22 de mayo, FJ 6), en el caso presente, la demandante plantea su queja atribuyendo de manera específica la lesión del derecho a no ser discriminado por razón de nacimiento a una diferencia de trato que habría tenido su origen en las circunstancias temporales que rodearon el nacimiento de los menores B.R.K., e I.R.E., y el momento en que se instó su adopción. De entrada, el argumento de la demandante de amparo es puramente especulativo, al referirse a una hipotética solución diversa del asunto en caso de haber variado las circunstancias temporales relativas al nacimiento de los menores y/o al inicio del procedimiento de adopción. Por otra parte, se trata de una hipótesis vacía de contenido sustancial ya que ese elemento temporal no tuvo incidencia alguna en el razonamiento que llevó a la Audiencia Provincial de Madrid a modificar el criterio de la instancia y denegar la solicitud de adopción formulada por la demandante en relación con el menor B.R.K. Las circunstancias que rodearon el nacimiento de ambos menores fueron por lo demás idénticas, ya que ambos nacieron mediante gestación por sustitución. Siendo idénticas las circunstancias en que se produjo el nacimiento de los menores, no puede afirmarse que las mismas operasen como factor determinante de la diferencia de trato entre ellos, de modo que no cabe hablar de la existencia de una discriminación por razón de nacimiento en los términos exclusivamente comparativos denunciados por la demandante.</w:t>
      </w:r>
    </w:p>
    <w:p w14:paraId="5FD676BF" w14:textId="77777777" w:rsidR="009D7677" w:rsidRDefault="009D7677" w:rsidP="009D7677">
      <w:pPr>
        <w:pStyle w:val="TextoNormal"/>
      </w:pPr>
    </w:p>
    <w:p w14:paraId="25BA419C" w14:textId="77777777" w:rsidR="009D7677" w:rsidRDefault="009D7677" w:rsidP="009D7677">
      <w:pPr>
        <w:pStyle w:val="TextoNormal"/>
      </w:pPr>
      <w:r>
        <w:t>d) Finalmente, en lo que se refiere a la alegada lesión del derecho a la intimidad personal y familiar (art. 18.1 CE), hemos afirmado que la filiación forma parte del ámbito propio y reservado de lo íntimo protegido por ese derecho y que la revelación o divulgación indebida de datos, reales o supuestos, sobre la filiación de una persona afecta no solo al derecho a la intimidad de esta, sino también de sus progenitores (SSTC 197/1991, de 17 de octubre, FJ 3, y 190/2013, de 18 de noviembre, FJ 2). No obstante, la parte no aduce que se haya producido una intromisión ilegítima en ese ámbito de lo íntimo mediante la divulgación indebida de datos referidos a la filiación del menor B.R.K., limitándose a cuestionar los pronunciamientos de las resoluciones impugnadas sobre la filiación paterna del menor. Las resoluciones judiciales impugnadas plantean un claro problema desde el punto de vista de la determinación de la filiación del menor B.R.K., pero no nos encontramos en el ámbito protegido por el derecho a la intimidad personal y familiar.</w:t>
      </w:r>
    </w:p>
    <w:p w14:paraId="75B869EF" w14:textId="77777777" w:rsidR="009D7677" w:rsidRDefault="009D7677" w:rsidP="009D7677">
      <w:pPr>
        <w:pStyle w:val="TextoNormal"/>
      </w:pPr>
    </w:p>
    <w:p w14:paraId="60DD2A0E" w14:textId="77777777" w:rsidR="009D7677" w:rsidRDefault="009D7677" w:rsidP="009D7677">
      <w:pPr>
        <w:pStyle w:val="TextoNormal"/>
      </w:pPr>
      <w:r>
        <w:t xml:space="preserve">No obsta a esta conclusión que la jurisprudencia del Tribunal Europeo de Derechos Humanos, que es criterio de interpretación de las normas constitucionales relativas a las libertades y derechos fundamentales en virtud de lo previsto en el art. 10.2 CE (STC 11/2016, de 1 de febrero, FJ 3, entre muchas otras), haya integrado aspectos de la identidad del individuo en el contenido del derecho a la vida privada protegido por el art. 8.1 CEDH, exigiendo que las personas puedan determinar los elementos que integran su identidad como ser humano, lo que incluye su filiación, y examinando desde esa óptica la negativa de las autoridades de distintos Estados parte del Convenio europeo de derechos humanos a reconocer el vínculo de filiación legalmente constituido en otro Estado entre padres de intención y niños nacidos mediante gestación por sustitución (SSTEDH de 26 de junio de 2014, asuntos </w:t>
      </w:r>
      <w:r w:rsidRPr="009D7677">
        <w:rPr>
          <w:i/>
        </w:rPr>
        <w:t>Mennesson c. Francia</w:t>
      </w:r>
      <w:r>
        <w:t xml:space="preserve"> y </w:t>
      </w:r>
      <w:r w:rsidRPr="009D7677">
        <w:rPr>
          <w:i/>
        </w:rPr>
        <w:t>Labassee c. Francia</w:t>
      </w:r>
      <w:r>
        <w:t xml:space="preserve">; de 16 de julio de 2020, asunto </w:t>
      </w:r>
      <w:r w:rsidRPr="009D7677">
        <w:rPr>
          <w:i/>
        </w:rPr>
        <w:t>D., c. Francia</w:t>
      </w:r>
      <w:r>
        <w:t xml:space="preserve">, y de 6 de diciembre de 2022, asunto </w:t>
      </w:r>
      <w:r w:rsidRPr="009D7677">
        <w:rPr>
          <w:i/>
        </w:rPr>
        <w:t>K.K., y otros c. Dinamarca</w:t>
      </w:r>
      <w:r>
        <w:t xml:space="preserve">, entre otras). Tampoco que ese mismo tribunal haya analizado esos supuestos desde la óptica del derecho a la vida familiar, también reconocido en el art. 8.1 CEDH (SSTEDH </w:t>
      </w:r>
      <w:r>
        <w:lastRenderedPageBreak/>
        <w:t xml:space="preserve">de 26 de junio de 2014, asuntos </w:t>
      </w:r>
      <w:r w:rsidRPr="009D7677">
        <w:rPr>
          <w:i/>
        </w:rPr>
        <w:t>Mennesson c. Francia</w:t>
      </w:r>
      <w:r>
        <w:t xml:space="preserve"> y </w:t>
      </w:r>
      <w:r w:rsidRPr="009D7677">
        <w:rPr>
          <w:i/>
        </w:rPr>
        <w:t>Labassee c. Francia</w:t>
      </w:r>
      <w:r>
        <w:t xml:space="preserve">, y de 18 de mayo de 2021, asunto </w:t>
      </w:r>
      <w:r w:rsidRPr="009D7677">
        <w:rPr>
          <w:i/>
        </w:rPr>
        <w:t>Valdís Fjölnisdóttir y otros c. Islandia</w:t>
      </w:r>
      <w:r>
        <w:t xml:space="preserve">; y Decisión de inadmisión del Tribunal Europeo de Derechos Humanos, de 30 de mayo de 2023, asunto </w:t>
      </w:r>
      <w:r w:rsidRPr="009D7677">
        <w:rPr>
          <w:i/>
        </w:rPr>
        <w:t>Bonzano y otros c. Italia</w:t>
      </w:r>
      <w:r>
        <w:t>, entre otras).</w:t>
      </w:r>
    </w:p>
    <w:p w14:paraId="56FAEE30" w14:textId="77777777" w:rsidR="009D7677" w:rsidRDefault="009D7677" w:rsidP="009D7677">
      <w:pPr>
        <w:pStyle w:val="TextoNormal"/>
      </w:pPr>
    </w:p>
    <w:p w14:paraId="4B56D8BA" w14:textId="0E179B37" w:rsidR="009D7677" w:rsidRDefault="009D7677" w:rsidP="009D7677">
      <w:pPr>
        <w:pStyle w:val="TextoNormal"/>
      </w:pPr>
      <w:r>
        <w:t>En este sentido, debemos recordar que “el derecho a la vida privada y familiar reconocido en el art. 8.1 CEDH y el derecho a la intimidad personal y familiar reconocido en el art. 18.1 CE no son coextensos” y que, por tanto, nuestra doctrina no admite que “el deslinde del ámbito material de protección del derecho a la intimidad personal y familiar reconocido en el art. 18.1 CE, […] ‘deba verificarse mediante la mimética recepción del contenido del derecho a la vida privada y familiar reconocido en el art. 8.1 CEDH’” (por todas, STC 66/2022, de 2 de junio, FJ 4; y ATC del Pleno 40/2017, de 28 de febrero, FJ 3). No obstante, el hecho de que nuestra Constitución no reconozca un derecho fundamental a la vida privada y familiar en los términos reconocidos por el art. 8 CEDH y el art. 7 de la Carta de derechos fundamentales de la Unión Europea, no supone en modo alguno que los elementos constitutivos de la identidad de la persona, vinculados al libre desarrollo de la personalidad y al respeto a la dignidad de que somos titulares los seres humanos, así como las relaciones afectivas, familiares y de convivencia, carezcan de protección dentro de nuestro ordenamiento constitucional, tal y como detallaremos en los siguientes fundamentos jurídicos.</w:t>
      </w:r>
    </w:p>
    <w:p w14:paraId="302FBD69" w14:textId="77777777" w:rsidR="009D7677" w:rsidRDefault="009D7677" w:rsidP="009D7677">
      <w:pPr>
        <w:pStyle w:val="TextoNormal"/>
      </w:pPr>
    </w:p>
    <w:p w14:paraId="26D904A9" w14:textId="77777777" w:rsidR="009D7677" w:rsidRDefault="009D7677" w:rsidP="009D7677">
      <w:pPr>
        <w:pStyle w:val="TextoNormal"/>
      </w:pPr>
      <w:r w:rsidRPr="009D7677">
        <w:rPr>
          <w:rStyle w:val="NumeroAFNegritaCaracter"/>
        </w:rPr>
        <w:t>4</w:t>
      </w:r>
      <w:r>
        <w:t xml:space="preserve">. </w:t>
      </w:r>
      <w:r w:rsidRPr="009D7677">
        <w:rPr>
          <w:i/>
        </w:rPr>
        <w:t xml:space="preserve">El derecho a una resolución judicial motivada y fundada en Derecho: el canon reforzado de motivación (art. 24.1 CE) </w:t>
      </w:r>
    </w:p>
    <w:p w14:paraId="56C3AEED" w14:textId="77777777" w:rsidR="009D7677" w:rsidRDefault="009D7677" w:rsidP="009D7677">
      <w:pPr>
        <w:pStyle w:val="TextoNormal"/>
      </w:pPr>
    </w:p>
    <w:p w14:paraId="59DAA288" w14:textId="77777777" w:rsidR="009D7677" w:rsidRDefault="009D7677" w:rsidP="009D7677">
      <w:pPr>
        <w:pStyle w:val="TextoNormal"/>
      </w:pPr>
      <w:r>
        <w:t>Una vez realizadas las precisiones anteriores, procede abordar el núcleo central de la presente demanda de amparo, que no es otro que la eventual lesión del derecho a una resolución judicial motivada y fundada en Derecho (art. 24 CE), en relación con el reconocimiento de la filiación, concebido como uno de los aspectos esenciales que configuran la identidad de la persona (art. 10.1 CE), y con la protección de la familia y de los niños (art. 39 CE).</w:t>
      </w:r>
    </w:p>
    <w:p w14:paraId="3A1F58B2" w14:textId="77777777" w:rsidR="009D7677" w:rsidRDefault="009D7677" w:rsidP="009D7677">
      <w:pPr>
        <w:pStyle w:val="TextoNormal"/>
      </w:pPr>
    </w:p>
    <w:p w14:paraId="4F8E5365" w14:textId="77777777" w:rsidR="009D7677" w:rsidRDefault="009D7677" w:rsidP="009D7677">
      <w:pPr>
        <w:pStyle w:val="TextoNormal"/>
      </w:pPr>
      <w:r>
        <w:t xml:space="preserve">Es doctrina reiterada de este tribunal que el derecho a la tutela judicial efectiva, en esencia, no se agota en el derecho a acceder al proceso y a solicitar a los órganos judiciales la tutela de los derechos e intereses legítimos, sino que comprende, además, obtener una resolución que, salvo que concurra causa legal, resolverá el fondo del asunto mediante el dictado de una resolución congruente con los pedimentos de las partes, motivada y fundada en Derecho, no incursa en arbitrariedad, irrazonabilidad o error fáctico patente. Procede recordar respecto de esta última vertiente del genérico derecho a la tutela judicial efectiva que el derecho a obtener una resolución fundada en Derecho, favorable o adversa, es garantía frente a la arbitrariedad e irrazonabilidad de los poderes públicos, y que ello implica, en primer lugar, que la resolución ha de estar motivada, es decir, contener los elementos y razones de juicio que permitan conocer cuáles han sido los criterios jurídicos que fundamentan la decisión. A tal efecto, es preciso señalar, “que no pueden considerarse razonadas ni motivadas aquellas resoluciones judiciales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(SSTC 164/2002, de 17 de septiembre, FJ 4; </w:t>
      </w:r>
      <w:r>
        <w:lastRenderedPageBreak/>
        <w:t>214/1999, de 29 de noviembre, FJ 4; 228/2005, de 12 de septiembre, FJ 3; 59/2006, de 27 de febrero, FJ 3; 109/2006, de 3 de abril, FJ 5, y 215/2006, de 3 de julio, FJ 3, entre otras)” (STC 132/2007, de 4 de junio, FJ 4).</w:t>
      </w:r>
    </w:p>
    <w:p w14:paraId="137D6149" w14:textId="77777777" w:rsidR="009D7677" w:rsidRDefault="009D7677" w:rsidP="009D7677">
      <w:pPr>
        <w:pStyle w:val="TextoNormal"/>
      </w:pPr>
    </w:p>
    <w:p w14:paraId="47D710D1" w14:textId="45320B2E" w:rsidR="009D7677" w:rsidRDefault="009D7677" w:rsidP="009D7677">
      <w:pPr>
        <w:pStyle w:val="TextoNormal"/>
      </w:pPr>
      <w:r>
        <w:t>Como hemos manifestado también en numerosas ocasiones, cuando lo que está en juego son los valores superiores del ordenamiento constitucional o los derechos fundamentales sustantivos, el canon de motivación de las resoluciones judiciales que se deriva del art. 24.1 CE no se reduce a la mera expresión de las razones que permitan conocer cuáles han sido los criterios jurídicos esenciales fundamentadores de la decisión sin incurrir en arbitrariedad, irrazonabilidad o error patente. El estándar de las exigencias derivadas del deber de motivación es más riguroso en estos casos, de modo que nuestra jurisprudencia exige motivaciones concordantes con los supuestos en los que la Constitución permite la afectación del valor o derecho en liza (entre muchas otras, SSTC 81/2018, de 16 de julio, FJ 3; 9/2020, de 28 de enero, FJ 6, y 113/2021, de 31 de mayo). Dado que la demandante de amparo identifica varios principios y valores constitucionales como aquellos que podrían haberse visto afectados por la medida, procede deslindarlos antes de enjuiciar el caso concreto.</w:t>
      </w:r>
    </w:p>
    <w:p w14:paraId="5B029ADC" w14:textId="77777777" w:rsidR="009D7677" w:rsidRDefault="009D7677" w:rsidP="009D7677">
      <w:pPr>
        <w:pStyle w:val="TextoNormal"/>
      </w:pPr>
    </w:p>
    <w:p w14:paraId="246E13CB" w14:textId="77777777" w:rsidR="009D7677" w:rsidRDefault="009D7677" w:rsidP="009D7677">
      <w:pPr>
        <w:pStyle w:val="TextoNormal"/>
      </w:pPr>
      <w:r w:rsidRPr="009D7677">
        <w:rPr>
          <w:rStyle w:val="NumeroAFNegritaCaracter"/>
        </w:rPr>
        <w:t>5</w:t>
      </w:r>
      <w:r>
        <w:t xml:space="preserve">. </w:t>
      </w:r>
      <w:r w:rsidRPr="009D7677">
        <w:rPr>
          <w:i/>
        </w:rPr>
        <w:t>Motivación reforzada (art. 24.1 CE) en la determinación de la filiación, en la protección de la familia y del interés superior de las personas menores de edad</w:t>
      </w:r>
    </w:p>
    <w:p w14:paraId="6F206419" w14:textId="77777777" w:rsidR="009D7677" w:rsidRDefault="009D7677" w:rsidP="009D7677">
      <w:pPr>
        <w:pStyle w:val="TextoNormal"/>
      </w:pPr>
    </w:p>
    <w:p w14:paraId="493371BC" w14:textId="77777777" w:rsidR="009D7677" w:rsidRDefault="009D7677" w:rsidP="009D7677">
      <w:pPr>
        <w:pStyle w:val="TextoNormal"/>
      </w:pPr>
      <w:r>
        <w:t>a) La demandante de amparo identifica la dignidad de la persona como uno de los valores superiores del ordenamiento constitucional que se habría visto afectado por las resoluciones impugnadas (art. 10.1 CE). En relación con esta alegación debemos recordar que este tribunal ha reconocido el vínculo existente entre el libre desarrollo de la personalidad y el respeto a la dignidad de que somos titulares los seres humanos (art. 10.1 CE) y la determinación de los elementos constitutivos de la identidad de una persona (por todas, SSTC 99/2019, de 18 de julio, FJ 4, y 130/2022, de 24 de octubre, FJ 4).</w:t>
      </w:r>
    </w:p>
    <w:p w14:paraId="5229BD56" w14:textId="77777777" w:rsidR="009D7677" w:rsidRDefault="009D7677" w:rsidP="009D7677">
      <w:pPr>
        <w:pStyle w:val="TextoNormal"/>
      </w:pPr>
    </w:p>
    <w:p w14:paraId="56185AB6" w14:textId="77777777" w:rsidR="009D7677" w:rsidRDefault="009D7677" w:rsidP="009D7677">
      <w:pPr>
        <w:pStyle w:val="TextoNormal"/>
      </w:pPr>
      <w:r>
        <w:t>Hemos subrayado así que “establecer la propia identidad no es un acto más de la persona, sino una decisión vital, en el sentido que coloca al sujeto en posición de poder desenvolver su propia personalidad. Cualquiera que se vea obligado a vivir a la luz del Derecho conforme a una identidad distinta de la que le es propia sobrelleva un lastre que le condiciona de un modo muy notable en cuanto a la capacidad para conformar su personalidad característica y respecto a la posibilidad efectiva de entablar relaciones con otras personas” (STC 99/2019, de 18 de julio, FJ 4).</w:t>
      </w:r>
    </w:p>
    <w:p w14:paraId="269379D1" w14:textId="77777777" w:rsidR="009D7677" w:rsidRDefault="009D7677" w:rsidP="009D7677">
      <w:pPr>
        <w:pStyle w:val="TextoNormal"/>
      </w:pPr>
    </w:p>
    <w:p w14:paraId="04DFBB45" w14:textId="77777777" w:rsidR="009D7677" w:rsidRDefault="009D7677" w:rsidP="009D7677">
      <w:pPr>
        <w:pStyle w:val="TextoNormal"/>
      </w:pPr>
      <w:r>
        <w:t>Nuestra jurisprudencia ha identificado distintos atributos esenciales que configuran la identidad propia de cada persona, véase, la voz y el nombre (STC 117/1994, de 25 de abril, FJ 3), el nombre y los apellidos (SSTC 167/2013, de 7 de octubre, FJ 5, y 178/2020, de 14 de diciembre, FJ 2), el sexo (STC 99/2019, de 18 de julio, FJ 4), la expresión de género (STC 67/2022, de 2 de junio, FJ 3) y la edad (STC 130/2022, de 24 de octubre, FJ 4). En la STC 138/2005, de 26 de mayo, FJ 4, este tribunal reconoció también el vínculo entre el derecho del hijo a conocer su identidad y la obligación que el art. 39.2 CE impone a los poderes públicos de posibilitar la investigación de la paternidad, entendida como paternidad biológica.</w:t>
      </w:r>
    </w:p>
    <w:p w14:paraId="60CF7C88" w14:textId="77777777" w:rsidR="009D7677" w:rsidRDefault="009D7677" w:rsidP="009D7677">
      <w:pPr>
        <w:pStyle w:val="TextoNormal"/>
      </w:pPr>
    </w:p>
    <w:p w14:paraId="2E00AEF9" w14:textId="77777777" w:rsidR="009D7677" w:rsidRDefault="009D7677" w:rsidP="009D7677">
      <w:pPr>
        <w:pStyle w:val="TextoNormal"/>
      </w:pPr>
      <w:r>
        <w:lastRenderedPageBreak/>
        <w:t>Desde la perspectiva de nuestro ordenamiento constitucional, la determinación de la filiación no solo permite al individuo establecer su propia identidad y desarrollar libremente su personalidad (art. 10.1 CE), sino que sirve también al fin de garantizar la efectividad de la obligación que incumbe a los poderes públicos de asegurar la protección integral de los hijos (art. 39.2 CE), así como de la obligación que incumbe a los padres de prestar asistencia de todo orden a sus hijos durante su minoría de edad y en los demás casos que legalmente proceda (art. 39.3 CE); en tanto se orienta a constituir, entre los sujetos afectados, un vínculo jurídico comprensivo de derechos y obligaciones recíprocos, integrante de la denominada relación paterno-filial.</w:t>
      </w:r>
    </w:p>
    <w:p w14:paraId="5B676500" w14:textId="77777777" w:rsidR="009D7677" w:rsidRDefault="009D7677" w:rsidP="009D7677">
      <w:pPr>
        <w:pStyle w:val="TextoNormal"/>
      </w:pPr>
    </w:p>
    <w:p w14:paraId="390B0E0B" w14:textId="77777777" w:rsidR="009D7677" w:rsidRDefault="009D7677" w:rsidP="009D7677">
      <w:pPr>
        <w:pStyle w:val="TextoNormal"/>
      </w:pPr>
      <w:r>
        <w:t>b) En relación con la alegación de que las resoluciones judiciales impugnadas no habrían tenido en cuenta sus circunstancias familiares, ni respetado el mandato de protección de la familia contenido en el art. 39.1 CE, conviene comenzar precisando que, según nuestra jurisprudencia, ningún precepto constitucional reconoce un derecho fundamental a adoptar. Tal y como ha subrayado este tribunal, siguiendo la jurisprudencia del Tribunal Europeo de Derechos Humanos, “la adopción es ‘dar una familia a un niño, y no un niño a una familia’ y el Estado debe asegurarse de que las personas elegidas como adoptantes sean las que puedan ofrecerle, desde todos los puntos de vista, las condiciones de acogida más favorables” (SSTC 198/2012, de 6 de noviembre, FJ 12, y 93/2013, de 23 de abril, FJ 12).</w:t>
      </w:r>
    </w:p>
    <w:p w14:paraId="7985F8F9" w14:textId="77777777" w:rsidR="009D7677" w:rsidRDefault="009D7677" w:rsidP="009D7677">
      <w:pPr>
        <w:pStyle w:val="TextoNormal"/>
      </w:pPr>
    </w:p>
    <w:p w14:paraId="16A10018" w14:textId="77777777" w:rsidR="009D7677" w:rsidRDefault="009D7677" w:rsidP="009D7677">
      <w:pPr>
        <w:pStyle w:val="TextoNormal"/>
      </w:pPr>
      <w:r>
        <w:t>Según se desprende de las propias resoluciones judiciales impugnadas, la demandante de amparo lleva conviviendo con el menor B.R.K., desde su nacimiento y ha desarrollado vínculos afectivos, educacionales y de cuidado, equivalentes a los que se derivan del vínculo de parentalidad. Nos encontramos así ante relaciones de tipo paternofilial no consolidadas jurídicamente, sobre cuya protección, al amparo del art. 39.1 CE, no nos habíamos pronunciado con anterioridad.</w:t>
      </w:r>
    </w:p>
    <w:p w14:paraId="7EA23576" w14:textId="77777777" w:rsidR="009D7677" w:rsidRDefault="009D7677" w:rsidP="009D7677">
      <w:pPr>
        <w:pStyle w:val="TextoNormal"/>
      </w:pPr>
    </w:p>
    <w:p w14:paraId="3A209441" w14:textId="77777777" w:rsidR="009D7677" w:rsidRDefault="009D7677" w:rsidP="009D7677">
      <w:pPr>
        <w:pStyle w:val="TextoNormal"/>
      </w:pPr>
      <w:r>
        <w:t>Este tribunal ha subrayado que el concepto constitucional de familia que el art. 39.1 CE ordena proteger no solo incluye a las familias que tienen su origen en el matrimonio. Como corresponde a una sociedad plural, ese concepto de familia protege también a aquellas basadas en relaciones de afectividad de hecho y, por tanto, a las parejas de hecho (por todas, SSTC 222/1992, de 11 de diciembre, FFJJ 4 y 5, y 116/1999, de 17 de junio, FJ 14). Asimismo, hemos subrayado que la noción constitucional de familia incluye relaciones con o sin descendencia (por todas, STC 222/1992, de 11 de diciembre, FJ 4) y que las relaciones paterno-filiales que el art. 39.1 CE protege no son solo las naturales derivadas de la procreación, sino también las adoptivas, en tanto hemos entendido que es un hecho comúnmente aceptado que los hijos adoptivos se integran y constituyen una familia, aunque sus padres legales no se correspondan con los biológicos (por todas, STC 116/1999, de 17 de junio, FJ 14).</w:t>
      </w:r>
    </w:p>
    <w:p w14:paraId="6B27B0B4" w14:textId="77777777" w:rsidR="009D7677" w:rsidRDefault="009D7677" w:rsidP="009D7677">
      <w:pPr>
        <w:pStyle w:val="TextoNormal"/>
      </w:pPr>
    </w:p>
    <w:p w14:paraId="5E9E064A" w14:textId="77777777" w:rsidR="009D7677" w:rsidRDefault="009D7677" w:rsidP="009D7677">
      <w:pPr>
        <w:pStyle w:val="TextoNormal"/>
      </w:pPr>
      <w:r>
        <w:t xml:space="preserve">Por lo demás, el Tribunal Europeo de Derechos Humanos ha reconocido la existencia de vínculos familiares protegibles al amparo del derecho a la vida familiar del art. 8.1 CEDH en ciertos supuestos en los que existía una relación paternofilial de hecho entre un menor de edad y quien se comportaba como su progenitor, aun en ausencia de vínculo biológico o jurídico (STEDH de 28 de junio de 2007, asunto </w:t>
      </w:r>
      <w:r w:rsidRPr="009D7677">
        <w:rPr>
          <w:i/>
        </w:rPr>
        <w:t>Wagner y J.M.W.L., c. Luxemburgo</w:t>
      </w:r>
      <w:r>
        <w:t xml:space="preserve">, § 117; de 26 de junio de 2014, asunto </w:t>
      </w:r>
      <w:r w:rsidRPr="009D7677">
        <w:rPr>
          <w:i/>
        </w:rPr>
        <w:t>Mennesson c. Francia</w:t>
      </w:r>
      <w:r>
        <w:t xml:space="preserve">, § 45; de 26 de junio de 2014, asunto </w:t>
      </w:r>
      <w:r w:rsidRPr="009D7677">
        <w:rPr>
          <w:i/>
        </w:rPr>
        <w:t>Labassee c. Francia</w:t>
      </w:r>
      <w:r>
        <w:t>, § 50, entre otras).</w:t>
      </w:r>
    </w:p>
    <w:p w14:paraId="71FDCE38" w14:textId="77777777" w:rsidR="009D7677" w:rsidRDefault="009D7677" w:rsidP="009D7677">
      <w:pPr>
        <w:pStyle w:val="TextoNormal"/>
      </w:pPr>
    </w:p>
    <w:p w14:paraId="0BF82E29" w14:textId="77777777" w:rsidR="009D7677" w:rsidRDefault="009D7677" w:rsidP="009D7677">
      <w:pPr>
        <w:pStyle w:val="TextoNormal"/>
      </w:pPr>
      <w:r>
        <w:t xml:space="preserve">c) La demandante de amparo alega también que las resoluciones impugnadas no habrían tenido en cuenta el interés superior del menor B.R.K. (art. 39 CE). En relación con esta materia, procede recordar que numerosos pronunciamientos de este tribunal subrayan que “el interés superior del menor es la consideración primordial a la que deben atender todas las medidas concernientes a los menores que tomen las instituciones públicas o privadas de bienestar social, los tribunales, las autoridades administrativas o los órganos legislativos”, según lo previsto en el art. 3.1 de la Convención sobre los derechos del niño. Ese tratado internacional, ratificado por España mediante instrumento de 30 de noviembre de 1990, destaca entre los acuerdos internacionales a los que hace referencia el art. 39.4 CE, además de constituir canon hermenéutico de las normas relativas a derechos fundamentales y libertades que nuestra Constitución reconoce </w:t>
      </w:r>
      <w:r w:rsidRPr="009D7677">
        <w:rPr>
          <w:i/>
        </w:rPr>
        <w:t>ex</w:t>
      </w:r>
      <w:r>
        <w:t xml:space="preserve"> art. 10.2 CE (por todas, STC 64/2019, de 9 de mayo, FJ 4; 131/2023, de 23 de octubre, FJ 3, y 148/2023, de 6 de noviembre, FJ 4).</w:t>
      </w:r>
    </w:p>
    <w:p w14:paraId="2D40566C" w14:textId="77777777" w:rsidR="009D7677" w:rsidRDefault="009D7677" w:rsidP="009D7677">
      <w:pPr>
        <w:pStyle w:val="TextoNormal"/>
      </w:pPr>
    </w:p>
    <w:p w14:paraId="0F4F98FB" w14:textId="4A8FAD4C" w:rsidR="009D7677" w:rsidRDefault="009D7677" w:rsidP="009D7677">
      <w:pPr>
        <w:pStyle w:val="TextoNormal"/>
      </w:pPr>
      <w:r>
        <w:t>Según nuestra jurisprudencia, corresponde a los tribunales ordinarios la decisión de cuál sea en cada caso el interés superior del menor, “aunque es de nuestra incumbencia examinar si la motivación ofrecida por los mismos para adoptar cuantas medidas conciernen a los menores, está sustentada en su mayor beneficio y así comprobar que no se han lesionado sus derechos fundamentales” (por todas, SSTC 178/2020, de 14 de diciembre, FJ 3, y 113/2021, de 31 de mayo, FJ 2). Una vez más hemos de subrayar que el canon de razonabilidad constitucional deviene más exigente en supuestos en que se invoca el interés superior del menor (SSTC 141/2000, de 29 de mayo, FJ 5; 217/2009, de 14 de diciembre, FJ 5; 127/2013, de 3 de junio, FJ 6, y 138/2014, de 8 de septiembre, FJ 2, entre otras).</w:t>
      </w:r>
    </w:p>
    <w:p w14:paraId="3A90C1D3" w14:textId="77777777" w:rsidR="009D7677" w:rsidRDefault="009D7677" w:rsidP="009D7677">
      <w:pPr>
        <w:pStyle w:val="TextoNormal"/>
      </w:pPr>
    </w:p>
    <w:p w14:paraId="2F93FACE" w14:textId="77777777" w:rsidR="009D7677" w:rsidRDefault="009D7677" w:rsidP="009D7677">
      <w:pPr>
        <w:pStyle w:val="TextoNormal"/>
      </w:pPr>
      <w:r w:rsidRPr="009D7677">
        <w:rPr>
          <w:rStyle w:val="NumeroAFNegritaCaracter"/>
        </w:rPr>
        <w:t>6</w:t>
      </w:r>
      <w:r>
        <w:t xml:space="preserve">. </w:t>
      </w:r>
      <w:r w:rsidRPr="009D7677">
        <w:rPr>
          <w:i/>
        </w:rPr>
        <w:t>Aplicación al caso de la doctrina constitucional expuesta</w:t>
      </w:r>
    </w:p>
    <w:p w14:paraId="18AC79ED" w14:textId="77777777" w:rsidR="009D7677" w:rsidRDefault="009D7677" w:rsidP="009D7677">
      <w:pPr>
        <w:pStyle w:val="TextoNormal"/>
      </w:pPr>
    </w:p>
    <w:p w14:paraId="43237150" w14:textId="77777777" w:rsidR="009D7677" w:rsidRDefault="009D7677" w:rsidP="009D7677">
      <w:pPr>
        <w:pStyle w:val="TextoNormal"/>
      </w:pPr>
      <w:r>
        <w:t>En el caso presente, se somete a nuestro enjuiciamiento la decisión de la Audiencia Provincial de Madrid de denegar la constitución del vínculo adoptivo entre un menor nacido mediante gestación por sustitución en Ucrania y la esposa del padre del menor. No nos encontramos, por tanto, ante un supuesto de denegación de inscripción en el registro civil español del nacimiento y filiación de un menor basado en certificaciones de un registro extranjero, ni tampoco ante una denegación de inscripción de relaciones de filiación declaradas por un tribunal extranjero. El menor B.R.K., figura inscrito en el registro civil español como hijo de don D.J.R.G., esposo de la demandante en amparo, y doña K.K., la gestante. La demandante de amparo promovió la creación del vínculo adoptivo con el menor B.R.K., utilizando la vía privilegiada que prevé el art. 176.2.2 del Código civil para el cónyuge o la persona unida por análoga relación de afectividad al progenitor del adoptando.</w:t>
      </w:r>
    </w:p>
    <w:p w14:paraId="5325C77F" w14:textId="77777777" w:rsidR="009D7677" w:rsidRDefault="009D7677" w:rsidP="009D7677">
      <w:pPr>
        <w:pStyle w:val="TextoNormal"/>
      </w:pPr>
    </w:p>
    <w:p w14:paraId="7DABA162" w14:textId="77777777" w:rsidR="009D7677" w:rsidRDefault="009D7677" w:rsidP="009D7677">
      <w:pPr>
        <w:pStyle w:val="TextoNormal"/>
      </w:pPr>
      <w:r>
        <w:t xml:space="preserve">Como se explica con detalle en los antecedentes de hecho, el Juzgado de Primera Instancia núm. 28 de Madrid acordó constituir el vínculo adoptivo entre la demandante de amparo y el menor tras valorar el informe pericial social elaborado por la trabajadora social adscrita al juzgado, que destacaba la estabilidad del núcleo familiar formado por la demandante de amparo y su marido, así como su capacidad para cubrir las necesidades afectivas y educacionales del menor, y verificar que se cumplían los requisitos exigidos por el art. 175, en relación con el art. 176.2.2, del Código civil, para la adopción, inclusive </w:t>
      </w:r>
      <w:r>
        <w:lastRenderedPageBreak/>
        <w:t>las preceptivas manifestaciones de voluntad para la constitución del vínculo de adopción por todos los interesados.</w:t>
      </w:r>
    </w:p>
    <w:p w14:paraId="0F4BBE2D" w14:textId="77777777" w:rsidR="009D7677" w:rsidRDefault="009D7677" w:rsidP="009D7677">
      <w:pPr>
        <w:pStyle w:val="TextoNormal"/>
      </w:pPr>
    </w:p>
    <w:p w14:paraId="6EF456D4" w14:textId="77777777" w:rsidR="009D7677" w:rsidRDefault="009D7677" w:rsidP="009D7677">
      <w:pPr>
        <w:pStyle w:val="TextoNormal"/>
      </w:pPr>
      <w:r>
        <w:t>En su razonamiento, el juzgado recordaba que el art. 10.1 de la Ley 14/2006, de 26 de mayo, sobre técnicas de reproducción humana asistida, prevé la nulidad de pleno Derecho de todo contrato de gestación por sustitución. Esa previsión legal impide la inscripción en el registro civil español de una filiación basada en ese tipo de contrato por ser contraria al orden público internacional español. No obstante, continuaba el juzgado, a fin de evitar la situación de desprotección de los menores nacidos mediante gestación por sustitución y reconocer los lazos familiares forjados con los padres de intención, cabe regularizar la situación familiar mediante la reclamación de la paternidad respecto del padre biológico y de figuras tales como la adopción o el acogimiento. Dado que, en el caso analizado, se instaba la adopción del menor B.R.K., y se cumplían todas las exigencias legales para acordarla, el juzgado entendía que procedía acceder a lo pedido a fin de evitar las incertidumbres jurídicas en la vida del menor que se derivarían de la denegación.</w:t>
      </w:r>
    </w:p>
    <w:p w14:paraId="4959DF32" w14:textId="77777777" w:rsidR="009D7677" w:rsidRDefault="009D7677" w:rsidP="009D7677">
      <w:pPr>
        <w:pStyle w:val="TextoNormal"/>
      </w:pPr>
    </w:p>
    <w:p w14:paraId="23245051" w14:textId="77777777" w:rsidR="009D7677" w:rsidRDefault="009D7677" w:rsidP="009D7677">
      <w:pPr>
        <w:pStyle w:val="TextoNormal"/>
      </w:pPr>
      <w:r>
        <w:t>Asumiendo un posicionamiento diametralmente opuesto, la Audiencia Provincial de Madrid llegaba a la solución contraria. Tras aceptar los hechos probados en la instancia, entre los que se hallaba que don D.J.R.G., era el padre biológico del menor B.R.K., el tribunal reproducía el contenido del art. 10.1 de la Ley 14/2006, de 26 de mayo, sobre técnicas de reproducción humana asistida, señalando que el citado precepto priva de toda eficacia jurídica a los contratos de gestación por sustitución, al tiempo que prevé el régimen de filiación del niño nacido de estos contratos: la filiación materna vendrá determinada por el parto, quedando a salvo la posible acción de reclamación de la paternidad respecto del padre biológico.</w:t>
      </w:r>
    </w:p>
    <w:p w14:paraId="3E34E7EC" w14:textId="77777777" w:rsidR="009D7677" w:rsidRDefault="009D7677" w:rsidP="009D7677">
      <w:pPr>
        <w:pStyle w:val="TextoNormal"/>
      </w:pPr>
    </w:p>
    <w:p w14:paraId="4680D308" w14:textId="77777777" w:rsidR="009D7677" w:rsidRDefault="009D7677" w:rsidP="009D7677">
      <w:pPr>
        <w:pStyle w:val="TextoNormal"/>
      </w:pPr>
      <w:r>
        <w:t>El tribunal de apelación continuaba indicando que los contratos de gestación por sustitución son contrarios al sistema de derechos y libertades reconocidos por nuestra Constitución y por los principales tratados internacionales de derechos humanos ratificados por España, en tanto atentan contra la dignidad de la mujer, al tratar su cuerpo y sus funciones reproductivas como si fueran una materia prima.</w:t>
      </w:r>
    </w:p>
    <w:p w14:paraId="6B8ABA71" w14:textId="77777777" w:rsidR="009D7677" w:rsidRDefault="009D7677" w:rsidP="009D7677">
      <w:pPr>
        <w:pStyle w:val="TextoNormal"/>
      </w:pPr>
    </w:p>
    <w:p w14:paraId="74DD1B12" w14:textId="77777777" w:rsidR="009D7677" w:rsidRDefault="009D7677" w:rsidP="009D7677">
      <w:pPr>
        <w:pStyle w:val="TextoNormal"/>
      </w:pPr>
      <w:r>
        <w:t>Tras una extensa cita de la jurisprudencia del Tribunal Supremo y del Tribunal Europeo de Derechos Humanos en la materia, el tribunal descendía al supuesto de hecho concreto, subrayando que el menor adoptando había nacido de un contrato de gestación por sustitución y que el único documento en el que don D.J.R.G., fundaba su paternidad biológica era la inscripción en el registro civil consular de la Embajada de España en Kiev, donde aparece como padre del menor. Constatando la posibilidad de fraude en la atribución de esa paternidad derivada del contrato de gestación por sustitución, la Audiencia Provincial de Madrid negaba todo valor jurídico a la filiación paterna establecida, señalando que quedaban “expeditas respecto del presunto padre las vías oportunas para la determinación de la relación biológica”. Asimismo, entendía que procedía denegar la adopción pretendida hasta que se hubiera acreditado la paternidad biológica conforme al ordenamiento español.</w:t>
      </w:r>
    </w:p>
    <w:p w14:paraId="66343A64" w14:textId="77777777" w:rsidR="009D7677" w:rsidRDefault="009D7677" w:rsidP="009D7677">
      <w:pPr>
        <w:pStyle w:val="TextoNormal"/>
      </w:pPr>
    </w:p>
    <w:p w14:paraId="4328D7F5" w14:textId="77777777" w:rsidR="009D7677" w:rsidRDefault="009D7677" w:rsidP="009D7677">
      <w:pPr>
        <w:pStyle w:val="TextoNormal"/>
      </w:pPr>
      <w:r>
        <w:t xml:space="preserve">Finalmente, el tribunal hacía una única mención al interés superior del menor afectado, afirmando que “la denegación de la adopción, en nada afecta al interés del menor dado que continúa viviendo con el padre biológico y su esposa, quienes, al parecer, según refieren </w:t>
      </w:r>
      <w:r>
        <w:lastRenderedPageBreak/>
        <w:t>en su escrito de demanda, cuentan con indudables habilidades personales y medios materiales para dispensar al menor las atenciones que precisa”.</w:t>
      </w:r>
    </w:p>
    <w:p w14:paraId="22C4AA5C" w14:textId="77777777" w:rsidR="009D7677" w:rsidRDefault="009D7677" w:rsidP="009D7677">
      <w:pPr>
        <w:pStyle w:val="TextoNormal"/>
      </w:pPr>
    </w:p>
    <w:p w14:paraId="325B3C7C" w14:textId="77777777" w:rsidR="009D7677" w:rsidRDefault="009D7677" w:rsidP="009D7677">
      <w:pPr>
        <w:pStyle w:val="TextoNormal"/>
      </w:pPr>
      <w:r>
        <w:t>Nuestra valoración del razonamiento que llevó a la Audiencia Provincial de Madrid a revocar la resolución de la instancia, denegando la creación del vínculo adoptivo entre la demandante de amparo y el menor B.R.K., debe partir de una primera observación. Este tribunal es consciente de que, en contextos como el analizado en el presente caso, en el que el nacimiento del menor ha tenido su origen en una gestación por sustitución desarrollada en el extranjero, la determinación de la filiación del menor en favor de quien suscribió ese contrato para satisfacer su deseo de ser padre o madre puede ir en contra de valores y derechos constitucionalmente reconocidos. No obstante, la resolución judicial impugnada incurrió en quiebras lógicas en su razonamiento que impiden las conclusiones alcanzadas y, por otro lado, no justificó suficientemente la solución alcanzada a la luz de los intereses del menor concernido y de los valores constitucionales en liza.</w:t>
      </w:r>
    </w:p>
    <w:p w14:paraId="459A4DA4" w14:textId="77777777" w:rsidR="009D7677" w:rsidRDefault="009D7677" w:rsidP="009D7677">
      <w:pPr>
        <w:pStyle w:val="TextoNormal"/>
      </w:pPr>
    </w:p>
    <w:p w14:paraId="0D7B2B55" w14:textId="77777777" w:rsidR="009D7677" w:rsidRDefault="009D7677" w:rsidP="009D7677">
      <w:pPr>
        <w:pStyle w:val="TextoNormal"/>
      </w:pPr>
      <w:r>
        <w:t>La Audiencia Provincial de Madrid debía pronunciarse, en el caso presente, sobre la adopción del menor B.R.K., por la demandante en amparo, que era cónyuge de quien consta inscrito en el registro civil español como padre del menor. Lejos de ceñirse al objeto del proceso, verificando si se daban los requisitos legales cuyo cumplimiento exige el art. 175, en relación con el art. 176.2.2 del Código civil, para la adopción en supuestos como el analizado, el tribunal puso en tela de juicio la relación de filiación del menor B.R.K., con don D.J.R.G., sobre la base de “la posibilidad de fraude en la atribución de la paternidad” a la que aludía el Ministerio Fiscal en su recurso, deduciendo a partir de ese presunto fraude que no se daba uno de los requisitos esenciales para acceder a la adopción en el caso analizado, véase, que quien la solicitaba fuera la esposa del padre del menor adoptando.</w:t>
      </w:r>
    </w:p>
    <w:p w14:paraId="51B13BA5" w14:textId="77777777" w:rsidR="009D7677" w:rsidRDefault="009D7677" w:rsidP="009D7677">
      <w:pPr>
        <w:pStyle w:val="TextoNormal"/>
      </w:pPr>
    </w:p>
    <w:p w14:paraId="5F827EB6" w14:textId="77777777" w:rsidR="009D7677" w:rsidRDefault="009D7677" w:rsidP="009D7677">
      <w:pPr>
        <w:pStyle w:val="TextoNormal"/>
      </w:pPr>
      <w:r>
        <w:t>El tribunal de apelación obviaba así que, conforme al art. 113 del Código civil, la filiación se acredita, entre otras vías, por la inscripción en el registro civil y que los datos inscritos gozan de presunción de exactitud e integridad (arts. 16 y 19 de la Ley 20/2011, de 21 de julio, del registro civil). Los asientos registrales de filiación pueden ser rectificados cuando exista una discordancia entre lo inscrito y la realidad extrarregistral, bien conforme a lo previsto en la Ley del registro civil, bien en ejercicio de las acciones de impugnación de la filiación previstas en los arts. 136 y ss. del Código civil. Sin embargo, en el caso objeto de análisis, no se había ejercitado acción alguna dirigida a impugnar la filiación paterna, que constaba y consta inscrita en el registro civil, de modo que al verter dudas sobre la misma y derivar de esas dudas la denegación de la adopción, la Audiencia Provincial de Madrid incurrió en una motivación manifiestamente irrazonable.</w:t>
      </w:r>
    </w:p>
    <w:p w14:paraId="468B9AA3" w14:textId="77777777" w:rsidR="009D7677" w:rsidRDefault="009D7677" w:rsidP="009D7677">
      <w:pPr>
        <w:pStyle w:val="TextoNormal"/>
      </w:pPr>
    </w:p>
    <w:p w14:paraId="05B082CB" w14:textId="77777777" w:rsidR="009D7677" w:rsidRDefault="009D7677" w:rsidP="009D7677">
      <w:pPr>
        <w:pStyle w:val="TextoNormal"/>
      </w:pPr>
      <w:r>
        <w:t xml:space="preserve">Adicionalmente, es preciso reseñar que la parca valoración del tribunal de apelación en relación con la adecuación de la decisión adoptada al interés superior del menor B.R.K., no satisface el canon de motivación especialmente reforzado que impone nuestra jurisprudencia en los casos en que la esfera personal y familiar de un menor se ve afectada. La resolución judicial enjuiciada se limitó a subrayar, en manifiesta contradicción con sus afirmaciones referidas al fraude en la determinación de la filiación paterna, que el interés superior del menor se veía preservado porque continuaría viviendo con la demandante de amparo y don D.J.R.G., su padre biológico. Esa afirmación atendía parcialmente a la realización de uno de los valores y derechos en liza, en tanto permitía al menor B.R.K., seguir </w:t>
      </w:r>
      <w:r>
        <w:lastRenderedPageBreak/>
        <w:t xml:space="preserve">disfrutando </w:t>
      </w:r>
      <w:r w:rsidRPr="009D7677">
        <w:rPr>
          <w:i/>
        </w:rPr>
        <w:t>de facto</w:t>
      </w:r>
      <w:r>
        <w:t xml:space="preserve"> de los vínculos familiares que le unían a la demandante de amparo, a don D.J.R.G., y al hijo menor de ambos. Sin embargo, esa afirmación no tenía en cuenta la inseguridad jurídica que rodeaba esos lazos y el impacto de la misma en la construcción de la identidad del menor B.R.K.</w:t>
      </w:r>
    </w:p>
    <w:p w14:paraId="26BE67D0" w14:textId="77777777" w:rsidR="009D7677" w:rsidRDefault="009D7677" w:rsidP="009D7677">
      <w:pPr>
        <w:pStyle w:val="TextoNormal"/>
      </w:pPr>
    </w:p>
    <w:p w14:paraId="6AC650C4" w14:textId="2E1756B1" w:rsidR="009D7677" w:rsidRDefault="009D7677" w:rsidP="009D7677">
      <w:pPr>
        <w:pStyle w:val="TextoNormal"/>
      </w:pPr>
      <w:r>
        <w:t>Debemos apreciar, en consecuencia, que las resoluciones impugnadas vulneraron el derecho fundamental que consagra el art. 24.1 CE, pues su fundamentación no puede considerarse respetuosa de las exigencias constitucionales de motivación por la insuficiencia de la argumentación que las sustenta, carente del rigor lógico reclamable a una resolución judicial, máxime estando en juego la construcción de la identidad del menor B.R.K. (art. 10.1 CE), así como la protección de los lazos familiares creados con la recurrente (art. 39 CE).</w:t>
      </w:r>
    </w:p>
    <w:p w14:paraId="61296E05" w14:textId="77777777" w:rsidR="009D7677" w:rsidRDefault="009D7677" w:rsidP="009D7677">
      <w:pPr>
        <w:pStyle w:val="TextoNormal"/>
      </w:pPr>
    </w:p>
    <w:p w14:paraId="4BD83921" w14:textId="77777777" w:rsidR="009D7677" w:rsidRDefault="009D7677" w:rsidP="009D7677">
      <w:pPr>
        <w:pStyle w:val="TextoNormal"/>
      </w:pPr>
      <w:r w:rsidRPr="009D7677">
        <w:rPr>
          <w:rStyle w:val="NumeroAFNegritaCaracter"/>
        </w:rPr>
        <w:t>7</w:t>
      </w:r>
      <w:r>
        <w:t xml:space="preserve">. </w:t>
      </w:r>
      <w:r w:rsidRPr="009D7677">
        <w:rPr>
          <w:i/>
        </w:rPr>
        <w:t>Alcance del amparo otorgado</w:t>
      </w:r>
    </w:p>
    <w:p w14:paraId="4A4E9A4F" w14:textId="77777777" w:rsidR="009D7677" w:rsidRDefault="009D7677" w:rsidP="009D7677">
      <w:pPr>
        <w:pStyle w:val="TextoNormal"/>
      </w:pPr>
    </w:p>
    <w:p w14:paraId="6ACE150C" w14:textId="2CCF3972" w:rsidR="009D7677" w:rsidRDefault="009D7677" w:rsidP="009D7677">
      <w:pPr>
        <w:pStyle w:val="TextoNormal"/>
      </w:pPr>
      <w:r>
        <w:t>Debemos indicar, por último, que a fin de evitar la prolongación de la situación de inseguridad jurídica a la que se ha visto sometido el menor B.R.K., debemos limitarnos a anular las resoluciones judiciales impugnadas, quedando firme la dictada por el Juzgado de Primera Instancia núm. 28 de Madrid, que acordó constituir el vínculo adoptivo entre la demandante de amparo y el menor B.R.K., tras realizar una ponderación constitucionalmente adecuada de los intereses en litigio y verificar el cumplimiento de los requisitos legalmente exigidos para la adopción.</w:t>
      </w:r>
    </w:p>
    <w:p w14:paraId="175ED8A0" w14:textId="77777777" w:rsidR="009D7677" w:rsidRDefault="009D7677" w:rsidP="009D7677">
      <w:pPr>
        <w:pStyle w:val="TextoNormal"/>
      </w:pPr>
    </w:p>
    <w:p w14:paraId="4497A1C5" w14:textId="77777777" w:rsidR="009D7677" w:rsidRDefault="009D7677" w:rsidP="009D7677">
      <w:pPr>
        <w:pStyle w:val="TextoNormalCentrado"/>
        <w:keepNext/>
      </w:pPr>
      <w:r>
        <w:t>FALLO</w:t>
      </w:r>
    </w:p>
    <w:p w14:paraId="742D8769" w14:textId="11B0BEE2" w:rsidR="009D7677" w:rsidRDefault="009D7677" w:rsidP="009D7677">
      <w:pPr>
        <w:pStyle w:val="TextoNormalCentrado"/>
        <w:keepNext/>
      </w:pPr>
    </w:p>
    <w:p w14:paraId="1CB32AB5" w14:textId="77777777" w:rsidR="009D7677" w:rsidRDefault="009D7677" w:rsidP="009D7677">
      <w:pPr>
        <w:pStyle w:val="TextoNormal"/>
      </w:pPr>
      <w:r>
        <w:t>En atención a todo lo expuesto, el Tribunal Constitucional, por la autoridad que le confiere la Constitución de la Nación española, ha decidido estimar parcialmente el recurso de amparo promovido por doña M.T.E.M., y, en su virtud:</w:t>
      </w:r>
    </w:p>
    <w:p w14:paraId="09140D03" w14:textId="77777777" w:rsidR="009D7677" w:rsidRDefault="009D7677" w:rsidP="009D7677">
      <w:pPr>
        <w:pStyle w:val="TextoNormal"/>
      </w:pPr>
    </w:p>
    <w:p w14:paraId="62C7AAE3" w14:textId="77777777" w:rsidR="009D7677" w:rsidRDefault="009D7677" w:rsidP="009D7677">
      <w:pPr>
        <w:pStyle w:val="TextoNormal"/>
      </w:pPr>
      <w:r>
        <w:t>1º Inadmitir la queja relativa a la vulneración del derecho a la igualdad de don D.J.R.G., (art. 14 CE), por falta de invocación tempestiva [art. 44.1 c) LOTC].</w:t>
      </w:r>
    </w:p>
    <w:p w14:paraId="41E304C3" w14:textId="77777777" w:rsidR="009D7677" w:rsidRDefault="009D7677" w:rsidP="009D7677">
      <w:pPr>
        <w:pStyle w:val="TextoNormal"/>
      </w:pPr>
    </w:p>
    <w:p w14:paraId="77D19FB3" w14:textId="77777777" w:rsidR="009D7677" w:rsidRDefault="009D7677" w:rsidP="009D7677">
      <w:pPr>
        <w:pStyle w:val="TextoNormal"/>
      </w:pPr>
      <w:r>
        <w:t>2º Declarar que se ha vulnerado el derecho a la tutela judicial efectiva de la demandante de amparo (art. 24.1 CE).</w:t>
      </w:r>
    </w:p>
    <w:p w14:paraId="55C48A9D" w14:textId="77777777" w:rsidR="009D7677" w:rsidRDefault="009D7677" w:rsidP="009D7677">
      <w:pPr>
        <w:pStyle w:val="TextoNormal"/>
      </w:pPr>
    </w:p>
    <w:p w14:paraId="764C787F" w14:textId="77777777" w:rsidR="009D7677" w:rsidRDefault="009D7677" w:rsidP="009D7677">
      <w:pPr>
        <w:pStyle w:val="TextoNormal"/>
      </w:pPr>
      <w:r>
        <w:t>3º Restablecerla en su derecho y, en consecuencia, declarar la nulidad del auto núm. 279/2019 de la Sección Vigesimocuarta de la Audiencia Provincial de Madrid, de 30 de mayo de 2019, recaído en el rollo de apelación núm. 578-2018, así como de la providencia de 28 de junio de 2019 del mismo tribunal que inadmitió a trámite el incidente de nulidad de actuaciones planteado contra el citado auto; y declarar la firmeza del auto núm. 15/2018 del Juzgado de Primera Instancia núm. 28 de Madrid, de 15 de enero de 2018, recaído en el procedimiento de adopción núm. 451-2017.</w:t>
      </w:r>
    </w:p>
    <w:p w14:paraId="167AB0C0" w14:textId="77777777" w:rsidR="009D7677" w:rsidRDefault="009D7677" w:rsidP="009D7677">
      <w:pPr>
        <w:pStyle w:val="TextoNormal"/>
      </w:pPr>
    </w:p>
    <w:p w14:paraId="400604B6" w14:textId="7BDB7729" w:rsidR="009D7677" w:rsidRDefault="009D7677" w:rsidP="009D7677">
      <w:pPr>
        <w:pStyle w:val="TextoNormal"/>
      </w:pPr>
      <w:r>
        <w:t>4º Desestimar el recurso de amparo en todo lo demás.</w:t>
      </w:r>
    </w:p>
    <w:p w14:paraId="5538ED13" w14:textId="77777777" w:rsidR="009D7677" w:rsidRDefault="009D7677" w:rsidP="009D7677">
      <w:pPr>
        <w:pStyle w:val="TextoNormal"/>
      </w:pPr>
    </w:p>
    <w:p w14:paraId="59F50BA3" w14:textId="77777777" w:rsidR="009D7677" w:rsidRDefault="009D7677" w:rsidP="009D7677">
      <w:pPr>
        <w:pStyle w:val="TextoNormal"/>
      </w:pPr>
      <w:r>
        <w:t>Publíquese esta sentencia en el “Boletín Oficial del Estado”.</w:t>
      </w:r>
    </w:p>
    <w:p w14:paraId="4279EF4D" w14:textId="77777777" w:rsidR="009D7677" w:rsidRDefault="009D7677" w:rsidP="009D7677">
      <w:pPr>
        <w:pStyle w:val="TextoNormal"/>
      </w:pPr>
      <w:r>
        <w:t>Dada en Madrid, a veintisiete de febrero de dos mil veinticuatro.</w:t>
      </w:r>
    </w:p>
    <w:p w14:paraId="0AE807B0" w14:textId="28CC58DD" w:rsidR="009D7677" w:rsidRDefault="009D7677" w:rsidP="009D7677">
      <w:pPr>
        <w:pStyle w:val="ParrafoNormal"/>
      </w:pPr>
    </w:p>
    <w:p w14:paraId="339139AC" w14:textId="77777777" w:rsidR="009D7677" w:rsidRDefault="009D7677" w:rsidP="009D7677">
      <w:pPr>
        <w:pStyle w:val="TextoNormalNegritaCentrado"/>
        <w:keepNext/>
      </w:pPr>
      <w:r>
        <w:t>Voto particular que formula la magistrada doña María Luisa Balaguer Callejón a la sentencia dictada en el recurso de amparo núm. 5067-2019</w:t>
      </w:r>
    </w:p>
    <w:p w14:paraId="4094F7C4" w14:textId="2DF1E2A9" w:rsidR="009D7677" w:rsidRDefault="009D7677" w:rsidP="009D7677">
      <w:pPr>
        <w:pStyle w:val="TextoNormalNegritaCentrado"/>
        <w:keepNext/>
      </w:pPr>
    </w:p>
    <w:p w14:paraId="150D9674" w14:textId="77777777" w:rsidR="009D7677" w:rsidRDefault="009D7677" w:rsidP="009D7677">
      <w:pPr>
        <w:pStyle w:val="TextoNormal"/>
      </w:pPr>
      <w:r>
        <w:t>Con el mayor respeto al criterio reflejado en la sentencia me parece necesario, en ejercicio de la facultad prevista en el art. 90.2 LOTC, formular este voto para dejar constancia y hacer públicos los argumentos que expuse en las deliberaciones del Pleno en el que se estimó el recurso de amparo núm. 5067-2019.</w:t>
      </w:r>
    </w:p>
    <w:p w14:paraId="64EC6DD4" w14:textId="77777777" w:rsidR="009D7677" w:rsidRDefault="009D7677" w:rsidP="009D7677">
      <w:pPr>
        <w:pStyle w:val="TextoNormal"/>
      </w:pPr>
    </w:p>
    <w:p w14:paraId="1910EEDF" w14:textId="77777777" w:rsidR="009D7677" w:rsidRDefault="009D7677" w:rsidP="009D7677">
      <w:pPr>
        <w:pStyle w:val="TextoNormal"/>
      </w:pPr>
      <w:r>
        <w:t>El Pleno del Tribunal adopta en su sentencia un enfoque basado en el examen del derecho a la tutela judicial efectiva, en su vertiente del derecho a una resolución judicial motivada y fundada en Derecho (art. 24 CE), en relación con el reconocimiento de la filiación, concebido como uno de los aspectos esenciales que configuran la identidad de la persona (art. 10.1 CE), y con la protección de la familia y de los niños (art. 39 CE). Pero esta aproximación, planteada por la recurrente en amparo, que fue madre comitente en el proceso de gestación subrogada del que resulta el nacimiento del niño cuya adopción pretende, invisibiliza el problema estructural que existe en el ordenamiento español respecto del fenómeno de la gestación por substitución o para otros, realizado en el extranjero por mujeres no protegidas por las garantías básicas de nuestro sistema constitucional. Esta aproximación, que sí estaba presente en el pronunciamiento de la Audiencia Provincial anulado por la sentencia de amparo, no debió quedar fuera del razonamiento del Tribunal Constitucional, porque es esencial para comprender el argumento subyacente a la irrazonable resolución judicial que, por esa razón, es considerada contraria al art. 24.1 CE.</w:t>
      </w:r>
    </w:p>
    <w:p w14:paraId="1391AE5F" w14:textId="77777777" w:rsidR="009D7677" w:rsidRDefault="009D7677" w:rsidP="009D7677">
      <w:pPr>
        <w:pStyle w:val="TextoNormal"/>
      </w:pPr>
    </w:p>
    <w:p w14:paraId="18057E80" w14:textId="77777777" w:rsidR="009D7677" w:rsidRDefault="009D7677" w:rsidP="009D7677">
      <w:pPr>
        <w:pStyle w:val="TextoNormal"/>
      </w:pPr>
      <w:r>
        <w:t>En el asunto que resuelve la sentencia del Pleno están presentes los derechos del menor y de la madre comitente (adoptiva), pero están ausentes los derechos de las que no tienen voz ante los tribunales españoles, mujeres cuyos derechos, al menos en sede constitucional, debieron ser considerados.</w:t>
      </w:r>
    </w:p>
    <w:p w14:paraId="1F93DBB3" w14:textId="77777777" w:rsidR="009D7677" w:rsidRDefault="009D7677" w:rsidP="009D7677">
      <w:pPr>
        <w:pStyle w:val="TextoNormal"/>
      </w:pPr>
    </w:p>
    <w:p w14:paraId="79ACAC3A" w14:textId="77777777" w:rsidR="009D7677" w:rsidRDefault="009D7677" w:rsidP="009D7677">
      <w:pPr>
        <w:pStyle w:val="TextoNormal"/>
      </w:pPr>
      <w:r>
        <w:t>1. En un mundo globalizado el hecho de que, aisladamente, un Estado declare nulos los contratos de gestación por sustitución, como sucede en España con el art. 10 de la Ley 14/2006, de 26 de mayo, sobre técnicas de reproducción humana asistida, no evita que la legislación de otro Estado permita esta modalidad contractual de reproducción humana y, salvo que así se prevea expresamente, cosa que no sucede en el marco de nuestro ordenamiento jurídico, no impide tampoco que las personas se desplacen a esos terceros Estados para contratar allí y traer después a la persona recién nacida a España, con la pretensión de hacer valer en nuestro territorio el vínculo familiar válido en otro contexto normativo.</w:t>
      </w:r>
    </w:p>
    <w:p w14:paraId="007D5763" w14:textId="77777777" w:rsidR="009D7677" w:rsidRDefault="009D7677" w:rsidP="009D7677">
      <w:pPr>
        <w:pStyle w:val="TextoNormal"/>
      </w:pPr>
    </w:p>
    <w:p w14:paraId="275A7DE9" w14:textId="77777777" w:rsidR="009D7677" w:rsidRDefault="009D7677" w:rsidP="009D7677">
      <w:pPr>
        <w:pStyle w:val="TextoNormal"/>
      </w:pPr>
      <w:r>
        <w:t>La solución a este problema de vacío normativo debería expresamente ser regulada por el legislador. Así lo reclama también el propio Tribunal Supremo en la STS 835/2013, de 6 de febrero de 2014, FJ 6, paradigmática en lo que hace al tema de la gestación subrogada. Resulta contrario a la seguridad jurídica del art. 9.3 CE que el mismo legislador que prohíbe una práctica en España no prevea restricción suficiente para las prácticas equivalentes realizadas fuera de nuestro país, porque ello legaliza de facto, por inacción y por la vía de la necesaria protección de los menores, lo que se considera ilegal en nuestro sistema.</w:t>
      </w:r>
    </w:p>
    <w:p w14:paraId="09262863" w14:textId="77777777" w:rsidR="009D7677" w:rsidRDefault="009D7677" w:rsidP="009D7677">
      <w:pPr>
        <w:pStyle w:val="TextoNormal"/>
      </w:pPr>
    </w:p>
    <w:p w14:paraId="55C3EABB" w14:textId="77777777" w:rsidR="009D7677" w:rsidRDefault="009D7677" w:rsidP="009D7677">
      <w:pPr>
        <w:pStyle w:val="TextoNormal"/>
      </w:pPr>
      <w:r>
        <w:lastRenderedPageBreak/>
        <w:t>Pero, no pudiendo entenderse que la laguna normativa haya quedado adecuadamente cubierta por las sucesivas instrucciones de la Dirección General de los Registros y del Notariado (Instrucción de 5 de octubre de 2010 e Instrucción de 18 de febrero de 2019), los jueces y tribunales se ven obligados a dar solución a los supuestos de hecho que llegan a su conocimiento y, en muchas ocasiones, lo hacen sobre una base argumental insuficiente, contradictoria o, como en el caso que ahora nos ocupa, carente de rigor lógico. Dado que no es función de este Tribunal Constitucional sustituir al legislador, al menos la sentencia resolutoria del presente recurso de amparo pudo ofrecer pautas interpretativas en clave de derechos fundamentales y con perspectiva de género, de modo que los órganos de la jurisdicción ordinaria tuvieran a su alcance un argumentario adecuado para resolver los conflictos planteados por el reconocimiento de situaciones, actos o resoluciones judiciales extranjeras en nuestro sistema jurídico.</w:t>
      </w:r>
    </w:p>
    <w:p w14:paraId="1B6A3254" w14:textId="77777777" w:rsidR="009D7677" w:rsidRDefault="009D7677" w:rsidP="009D7677">
      <w:pPr>
        <w:pStyle w:val="TextoNormal"/>
      </w:pPr>
    </w:p>
    <w:p w14:paraId="21839537" w14:textId="77777777" w:rsidR="009D7677" w:rsidRDefault="009D7677" w:rsidP="009D7677">
      <w:pPr>
        <w:pStyle w:val="TextoNormal"/>
      </w:pPr>
      <w:r>
        <w:t>2. Los órganos jurisdiccionales, a la hora de reconocer el vínculo familiar entre progenitores de intención o comitentes y la persona nacida de un proceso de gestación de una mujer subrogante, han de aplicar la regla del art. 12.3 del Código civil, que preceptúa que, en ningún caso, tendrá aplicación la ley extranjera que resulte contraria al orden público. Teniendo en cuenta la naturaleza de concepto jurídico indeterminado de la noción de orden público, el margen de creación es amplio en el contexto descrito de insuficiencia legal. Y, en la construcción de dicha idea de orden público, debería primar no una visión moral o ética de las relaciones familiares, sino una visión de derechos fundamentales en la que estén presentes los derechos del niño o la niña nacidos y los derechos de su madre que, tal y como establece el art. 10.2 de la Ley 14/2006, es la que determina el parto. Los derechos de los comitentes actuarán siempre de forma subordinada a los del menor con el que pretenden definir el vínculo, porque el derecho de este a tener una familia y no ser separado de sus padres (art. 9 de la Convención de derechos del niño), es una obligación del Estado, que debe velar por que el sistema de adopción o de protección se articule sobre la consideración primordial de la preservación del interés superior del menor (art. 21).</w:t>
      </w:r>
    </w:p>
    <w:p w14:paraId="2EAB5A59" w14:textId="77777777" w:rsidR="009D7677" w:rsidRDefault="009D7677" w:rsidP="009D7677">
      <w:pPr>
        <w:pStyle w:val="TextoNormal"/>
      </w:pPr>
    </w:p>
    <w:p w14:paraId="67C5F18F" w14:textId="77777777" w:rsidR="009D7677" w:rsidRDefault="009D7677" w:rsidP="009D7677">
      <w:pPr>
        <w:pStyle w:val="TextoNormal"/>
      </w:pPr>
      <w:r>
        <w:t>En suma, la garantía de orden público debe articularse en torno a dos ideas fundamentales: una adecuada comprensión de lo que es el interés superior del menor, que no suponga el reconocimiento automático de los efectos de un contrato que es nulo de pleno derecho en España; y una correcta evaluación de las condiciones en las que el contrato ha sido firmado en el país de origen, y que debe implicar un control de fondo de las resoluciones extranjeras cuyo reconocimiento se solicita, al que no debe ser ajeno el enfoque de género y la garantía de los derechos de la madre gestante.</w:t>
      </w:r>
    </w:p>
    <w:p w14:paraId="7B77246B" w14:textId="77777777" w:rsidR="009D7677" w:rsidRDefault="009D7677" w:rsidP="009D7677">
      <w:pPr>
        <w:pStyle w:val="TextoNormal"/>
      </w:pPr>
    </w:p>
    <w:p w14:paraId="25A28730" w14:textId="77777777" w:rsidR="009D7677" w:rsidRDefault="009D7677" w:rsidP="009D7677">
      <w:pPr>
        <w:pStyle w:val="TextoNormal"/>
      </w:pPr>
      <w:r>
        <w:t>3. El interés superior del menor, en el contexto que vengo describiendo, no ha de entenderse como el interés único o predominante de una toma de decisión judicial en todo supuesto en que intervenga un menor. Ni siquiera hay que entender el interés superior del menor desde una perspectiva individual y aislada, que es una idea, a mi juicio, errónea que podría deducirse de alguna jurisprudencia constitucional previa y que se podría haber clarificado en la sentencia a la que acompaña este voto.</w:t>
      </w:r>
    </w:p>
    <w:p w14:paraId="2C3D4B01" w14:textId="77777777" w:rsidR="009D7677" w:rsidRDefault="009D7677" w:rsidP="009D7677">
      <w:pPr>
        <w:pStyle w:val="TextoNormal"/>
      </w:pPr>
    </w:p>
    <w:p w14:paraId="2389FA3A" w14:textId="77777777" w:rsidR="009D7677" w:rsidRDefault="009D7677" w:rsidP="009D7677">
      <w:pPr>
        <w:pStyle w:val="TextoNormal"/>
      </w:pPr>
      <w:r>
        <w:t xml:space="preserve">La jurisprudencia de este tribunal ha subrayado de forma reiterada que los poderes públicos tienen la obligación de proteger el interés superior de los niños en cualesquiera actuaciones que hayan de afectarles de manera directa o indirecta y que ese interés superior es “la consideración primordial a la que deben atender todas las medidas concernientes a </w:t>
      </w:r>
      <w:r>
        <w:lastRenderedPageBreak/>
        <w:t>los menores ‘que tomen las instituciones públicas o privadas de bienestar social, los tribunales, las autoridades administrativas o los órganos legislativos’, según el art. 3.1 de la Convención sobre los derechos del niño” (por todas, SSTC 64/2019, de 9 de mayo, FJ 4, y 131/2023, de 23 de octubre, FJ 3). En esa jurisprudencia que se cita, el Tribunal Constitucional llama a evaluar el interés superior del niño teniendo en cuenta los intereses del menor concreto afectado por la medida sometida a juicio; pero este entendimiento ignora que el Comité de los Derechos del Niño define el contenido del “interés superior del niño” de una forma más extensa.</w:t>
      </w:r>
    </w:p>
    <w:p w14:paraId="6D71FED1" w14:textId="77777777" w:rsidR="009D7677" w:rsidRDefault="009D7677" w:rsidP="009D7677">
      <w:pPr>
        <w:pStyle w:val="TextoNormal"/>
      </w:pPr>
    </w:p>
    <w:p w14:paraId="2EC20245" w14:textId="77777777" w:rsidR="009D7677" w:rsidRDefault="009D7677" w:rsidP="009D7677">
      <w:pPr>
        <w:pStyle w:val="TextoNormal"/>
      </w:pPr>
      <w:r>
        <w:t>En su Observación general núm. 14 (OG14), sobre el derecho del niño a que su interés superior sea una consideración primordial, de 29 de mayo de 2013, el Comité subraya que el interés superior abarca tres dimensiones (derecho sustantivo, principio jurídico interpretativo fundamental y norma de procedimiento) y que, como derecho sustantivo, el interés superior a tener en cuenta no es solo el de un niño en concreto, tal y como este tribunal subraya de forma insistente en su jurisprudencia, sino también el interés superior de los niños considerados como grupo o en general; siendo ese interés superior “una” consideración primordial y no “la” consideración primordial a que se atenderá en la adopción de las medidas que afecten a los niños. El Comité admite así que el interés superior de un niño considerado individualmente puede entrar en conflicto con otros intereses o derechos, por ejemplo, los de otros niños, el público en general o sus madres (biológicas o no), y proporciona pautas para la resolución de esos conflictos.</w:t>
      </w:r>
    </w:p>
    <w:p w14:paraId="5175E6E1" w14:textId="77777777" w:rsidR="009D7677" w:rsidRDefault="009D7677" w:rsidP="009D7677">
      <w:pPr>
        <w:pStyle w:val="TextoNormal"/>
      </w:pPr>
    </w:p>
    <w:p w14:paraId="0686EF9D" w14:textId="77777777" w:rsidR="009D7677" w:rsidRDefault="009D7677" w:rsidP="009D7677">
      <w:pPr>
        <w:pStyle w:val="TextoNormal"/>
      </w:pPr>
      <w:r>
        <w:t>Además, en sus observaciones sobre Ucrania, país de origen de la madre gestante en el caso que nos ocupa, el Comité de los Derechos del Niño insiste en la necesidad de evitar que la desregulación de la gestación por sustitución pueda dar carta de naturaleza a la venta de niños o a la práctica de adopciones ilegales, así como en la necesidad de garantizar el derecho de los niños nacidos por reproducción asistida a conocer sus orígenes (Observaciones finales sobre los informes periódicos quinto y sexto combinados de Ucrania, de 27 de octubre de 2022, CRC/C/UKR/CO/5-6, § 21).</w:t>
      </w:r>
    </w:p>
    <w:p w14:paraId="64984B4C" w14:textId="77777777" w:rsidR="009D7677" w:rsidRDefault="009D7677" w:rsidP="009D7677">
      <w:pPr>
        <w:pStyle w:val="TextoNormal"/>
      </w:pPr>
    </w:p>
    <w:p w14:paraId="4DF093FE" w14:textId="77777777" w:rsidR="009D7677" w:rsidRDefault="009D7677" w:rsidP="009D7677">
      <w:pPr>
        <w:pStyle w:val="TextoNormal"/>
      </w:pPr>
      <w:r>
        <w:t>La consideración sobre un eventual conflicto entre el interés del niño y el interés de la infancia, entendida como el conjunto de los niños y las niñas, es fundamental cuando nos referimos a un sistema de gestación por sustitución globalizado y esencialmente mercantilizado, en el que la legalización del modelo, por vía normativa o por vía jurisprudencial, puede poner en riesgo a niños y niñas gestados y nacidos en países del sur global. La OG14 señala, en relación con los posibles conflictos entre el interés superior de un niño y de la infancia, que “tienen que resolverse caso por caso, sopesando cuidadosamente los intereses de todas las partes y encontrando un compromiso adecuado” (§ 39), así como que “lo mismo debe hacerse si entran en conflicto con el interés superior del niño los derechos de otras personas” (§ 39).</w:t>
      </w:r>
    </w:p>
    <w:p w14:paraId="068E5905" w14:textId="77777777" w:rsidR="009D7677" w:rsidRDefault="009D7677" w:rsidP="009D7677">
      <w:pPr>
        <w:pStyle w:val="TextoNormal"/>
      </w:pPr>
    </w:p>
    <w:p w14:paraId="560B01EA" w14:textId="77777777" w:rsidR="009D7677" w:rsidRDefault="009D7677" w:rsidP="009D7677">
      <w:pPr>
        <w:pStyle w:val="TextoNormal"/>
      </w:pPr>
      <w:r>
        <w:t xml:space="preserve">En línea con esta reflexión, la Opinión consultiva del Tribunal Europeo de Derechos Humanos de 10 de abril de 2019 subraya que, en los casos de negativa de las autoridades de los Estados parte a reconocer el vínculo de filiación legalmente constituido en el extranjero entre un menor nacido mediante gestación por sustitución y quienes acudieron a esa práctica para tener un hijo, la valoración del interés superior del menor no puede limitarse a considerar la fragilidad de esos lazos y su relevancia en la construcción de la identidad social del menor, sino que también es preciso considerar la protección de los niños </w:t>
      </w:r>
      <w:r>
        <w:lastRenderedPageBreak/>
        <w:t>contra los riesgos de abuso que implican los acuerdos de gestación por sustitución, así como su derecho a conocer sus orígenes biológicos (§ 41).</w:t>
      </w:r>
    </w:p>
    <w:p w14:paraId="0758AE7F" w14:textId="77777777" w:rsidR="009D7677" w:rsidRDefault="009D7677" w:rsidP="009D7677">
      <w:pPr>
        <w:pStyle w:val="TextoNormal"/>
      </w:pPr>
    </w:p>
    <w:p w14:paraId="2D0197D0" w14:textId="77777777" w:rsidR="009D7677" w:rsidRDefault="009D7677" w:rsidP="009D7677">
      <w:pPr>
        <w:pStyle w:val="TextoNormal"/>
      </w:pPr>
      <w:r>
        <w:t>Más contundentes han sido los pronunciamientos en este sentido de nuestro Tribunal Supremo (en particular en la STS 277/2022, de 31 de marzo) y de la Relatora Especial de las Naciones Unidas sobre la venta y la explotación sexual de niños. En el estudio temático de esta última sobre la gestación por sustitución y la venta de niños, de 15 de enero de 2018, A/HRC/37/60, se concretaban los riesgos de abuso que implican la gestación por sustitución señalando que esta práctica equivale a la venta de niños, prohibida por el artículo 2 a) del Protocolo facultativo de la Convención de los derechos del niño relativo a la venta de niños, la prostitución infantil y la utilización de niños en la pornografía, en aquellos casos en “que la madre de alquiler o un tercero reciban ‘remuneración o cualquier otra retribución’ a cambio de trasladar al niño” (§ 42), y que esas prácticas pueden además desembocar en una adopción ilegal</w:t>
      </w:r>
      <w:r w:rsidRPr="009D7677">
        <w:rPr>
          <w:i/>
        </w:rPr>
        <w:t xml:space="preserve"> (ib</w:t>
      </w:r>
      <w:r>
        <w:t>id., § 8).</w:t>
      </w:r>
    </w:p>
    <w:p w14:paraId="29C45871" w14:textId="77777777" w:rsidR="009D7677" w:rsidRDefault="009D7677" w:rsidP="009D7677">
      <w:pPr>
        <w:pStyle w:val="TextoNormal"/>
      </w:pPr>
    </w:p>
    <w:p w14:paraId="0099D3E8" w14:textId="77777777" w:rsidR="009D7677" w:rsidRDefault="009D7677" w:rsidP="009D7677">
      <w:pPr>
        <w:pStyle w:val="TextoNormal"/>
      </w:pPr>
      <w:r>
        <w:t>Haciéndose eco de estas conclusiones, nuestro Tribunal Supremo ha subrayado en su jurisprudencia que no puede aceptarse que el único modo de satisfacer el interés superior de los niños nacidos mediante gestación por sustitución sea reconocer el vínculo de filiación válidamente constituido en el extranjero en favor de quienes acudieron a esa práctica para convertirse en padres, por entender que estos se encuentran en mejor situación que la gestante para proporcionar al menor los cuidados y protección que necesitan para su bienestar. Entiende nuestro Tribunal Supremo que “la aceptación de tales argumentos debería llevar a admitir la determinación de la filiación a favor de personas de países desarrollados, en buena situación económica, que hubieran conseguido les fuera entregado un niño procedente de familias desestructuradas o de entornos problemáticos de zonas depauperadas, cualquiera que hubiera sido el medio por el que lo hubieran conseguido, puesto que el interés superior del menor justificaría su integración en una familia en buena posición y que estuviera interesada en él” (STS 835/2013, de 6 de febrero de 2014, FJ 5). Para nuestro Tribunal Supremo, otros elementos han de ser tenidos en cuenta a la hora de valorar ese interés superior, en concreto, que los contratos de gestación por sustitución pueden lesionar gravemente la dignidad e integridad moral de los niños, al convertirlos en objeto de un contrato que la gestante se obliga a entregar a los comitentes, pueden lesionar su integridad física si no se controla la idoneidad de los comitentes y pueden limitar su derecho a conocer sus orígenes biológicos (STS 277/2022, de 31 de marzo, FJ 3).</w:t>
      </w:r>
    </w:p>
    <w:p w14:paraId="7B97818E" w14:textId="77777777" w:rsidR="009D7677" w:rsidRDefault="009D7677" w:rsidP="009D7677">
      <w:pPr>
        <w:pStyle w:val="TextoNormal"/>
      </w:pPr>
    </w:p>
    <w:p w14:paraId="63E0636D" w14:textId="77777777" w:rsidR="009D7677" w:rsidRDefault="009D7677" w:rsidP="009D7677">
      <w:pPr>
        <w:pStyle w:val="TextoNormal"/>
      </w:pPr>
      <w:r>
        <w:t xml:space="preserve">La sentencia aprobada por el Pleno del Tribunal considera que la Audiencia Provincial de Madrid no valoró adecuadamente el interés superior del menor B.R.K., ya que no tuvo en cuenta el impacto de la denegación de la adopción respecto de la demandante de amparo en la construcción de la identidad social del menor, ni la fragilidad de los lazos que unían a los dos protagonistas de este caso desde el punto de vista jurídico. Y en este razonamiento se identifica la huella de la jurisprudencia del Tribunal Europeo de Derechos Humanos. Sin embargo, en la determinación de la filiación de los niños nacidos mediante gestación por sustitución, entiendo que otros elementos han de ser tenidos en cuenta a la hora de evaluar el interés superior del menor; véase, la mercantilización del fruto de la gestación y la cosificación de los niños que tales prácticas suponen, la posible lesión de la integridad personal de los menores en que puede derivar la desregulación de estas prácticas, así como la necesidad de salvaguardar el derecho de los niños a conocer su origen biológico. Esos elementos desaparecen de la ecuación que conduce al fallo en este caso, </w:t>
      </w:r>
      <w:r>
        <w:lastRenderedPageBreak/>
        <w:t>presentándose así una visión sesgada e incompleta de lo que constituye el interés superior del niño.</w:t>
      </w:r>
    </w:p>
    <w:p w14:paraId="3CFBD115" w14:textId="77777777" w:rsidR="009D7677" w:rsidRDefault="009D7677" w:rsidP="009D7677">
      <w:pPr>
        <w:pStyle w:val="TextoNormal"/>
      </w:pPr>
    </w:p>
    <w:p w14:paraId="12A47AD4" w14:textId="77777777" w:rsidR="009D7677" w:rsidRDefault="009D7677" w:rsidP="009D7677">
      <w:pPr>
        <w:pStyle w:val="TextoNormal"/>
      </w:pPr>
      <w:r>
        <w:t>4. El Pleno invisibiliza el hecho de que la solicitud de adopción se basa en el reconocimiento de paternidad del esposo de la recurrente, que es considerado como progenitor del menor sin que conste comprobación alguna de la paternidad biológica y sin que exista dato alguno en el expediente que permita evaluar el ajuste del contrato de gestación a nuestro sistema constitucional. El reconocimiento de paternidad fue inscrito en el registro consultar de España en Ucrania y, a partir de ahí, el padre, el varón comitente, tiene reconocidos derechos y obligaciones sobre su hijo derivados de un reconocimiento de paternidad (arts. 113 y 120 del Código civil y arts. 16 y 19 de la Ley 20/2011, de 21 de julio, del Registro Civil) legalmente desarrollado para proteger al menor en supuestos distintos de los que tienen su origen en un contrato de gestación subrogada. Pero, en supuestos como el que aquí nos ocupa, ese reconocimiento de paternidad debería someterse a las exigencias del orden público desde el análisis de los derechos fundamentales y de la perspectiva de género.</w:t>
      </w:r>
    </w:p>
    <w:p w14:paraId="2F2CC8D4" w14:textId="77777777" w:rsidR="009D7677" w:rsidRDefault="009D7677" w:rsidP="009D7677">
      <w:pPr>
        <w:pStyle w:val="TextoNormal"/>
      </w:pPr>
    </w:p>
    <w:p w14:paraId="0671DDAA" w14:textId="77777777" w:rsidR="009D7677" w:rsidRDefault="009D7677" w:rsidP="009D7677">
      <w:pPr>
        <w:pStyle w:val="TextoNormal"/>
      </w:pPr>
      <w:r>
        <w:t>Estoy de acuerdo con la sentencia en que no puede dejarse viva la presunción de paternidad basada en el reconocimiento del varón, y no extraerse de esa presunción que tiene su reflejo en el registro civil sobre la capacidad de la esposa del padre para adoptar a los hijos de este. Una decisión así, que es la que adopta el órgano judicial, no hace sino colocar en situación de subordinación a la madre comitente sobre el padre comitente. Una muestra más de cómo, en el caso de parejas heterosexuales, las relaciones familiares derivadas de la gestación por sustitución son absolutamente asimétricas y refuerzan la discriminación estructural de las mujeres. Pero tampoco se debe ignorar el origen de la situación que da lugar al reconocimiento de paternidad, y que estamos ante un supuesto de gestación por sustitución, resolviendo sobre la base de los mismos argumentos que hubieran servido para conceder el amparo en cualquier supuesto de motivación arbitraria, irrazonable o incursa en error patente. Esa ignorancia refuerza la invisibilización de la violencia y discriminación por razón de sexo que subyace en la maternidad subrogada.</w:t>
      </w:r>
    </w:p>
    <w:p w14:paraId="230F860B" w14:textId="77777777" w:rsidR="009D7677" w:rsidRDefault="009D7677" w:rsidP="009D7677">
      <w:pPr>
        <w:pStyle w:val="TextoNormal"/>
      </w:pPr>
    </w:p>
    <w:p w14:paraId="14826426" w14:textId="77777777" w:rsidR="009D7677" w:rsidRDefault="009D7677" w:rsidP="009D7677">
      <w:pPr>
        <w:pStyle w:val="TextoNormal"/>
      </w:pPr>
      <w:r>
        <w:t xml:space="preserve">La gestación por sustitución no altruista, que es la mayoritariamente presente en todo el mundo, independientemente de que la madre reciba una contraprestación económica o no (porque falta altruismo siempre que hay intermediarios que se benefician económicamente de la transacción), mercantiliza la maternidad y el fruto de esta, cosificando a las gestantes y a los niños, y limitando el principio-derecho de dignidad humana (art. 10.1 CE), el derecho a la libre determinación sobre la propia vida (art. 10.1 CE en relación con el art. 18 CEDH), y la prohibición de discriminación por razón de sexo. El Comité para la Eliminación de la Discriminación contra la Mujer de Naciones Unidas (CEDAW) se refiere a la necesidad de proteger a las mujeres gestantes frente a la explotación, la coerción, la discriminación y el tráfico de personas (Observaciones finales sobre el noveno informe periódico de Ucrania, de 1 de noviembre de 2022, CEDAW/C/UKR/CO/9, § 46). En la misma línea el Convenio para la protección de los derechos humanos y la dignidad del ser humano con respecto a las aplicaciones de la biología y la medicina (hecho en Oviedo el 4 de abril de 1997 y ratificado por España el 23 de julio de 1999), que establece en su art. 21 que “[e]l cuerpo humano y sus partes, como tales, no deberán ser objeto de lucro”, previsión que encuentra traducción en el art. 10 de la Ley 14/2006, de 26 de mayo, de la que se deriva una clara prohibición del contrato. Y esa limitación en la facultad de disposición </w:t>
      </w:r>
      <w:r>
        <w:lastRenderedPageBreak/>
        <w:t>sobre el propio cuerpo o sus partes, que podría leerse como una limitación de la autonomía de las mujeres sobre su propio cuerpo y la decisión de ser o no madres, en realidad aquí tiene la finalidad de garantizar que tal autonomía no se vea mediatizada por condiciones económicas que vicien el consentimiento y la voluntad de la mujer en una situación de particular precariedad social o económica, de un modo contrario a la garantía y plena eficacia de su dignidad personal y el libre desarrollo de su personalidad.</w:t>
      </w:r>
    </w:p>
    <w:p w14:paraId="29BEA560" w14:textId="77777777" w:rsidR="009D7677" w:rsidRDefault="009D7677" w:rsidP="009D7677">
      <w:pPr>
        <w:pStyle w:val="TextoNormal"/>
      </w:pPr>
    </w:p>
    <w:p w14:paraId="377E5676" w14:textId="77777777" w:rsidR="009D7677" w:rsidRDefault="009D7677" w:rsidP="009D7677">
      <w:pPr>
        <w:pStyle w:val="TextoNormal"/>
      </w:pPr>
      <w:r>
        <w:t xml:space="preserve">Es preciso considerar contrario a la dignidad humana, </w:t>
      </w:r>
      <w:r w:rsidRPr="009D7677">
        <w:rPr>
          <w:i/>
        </w:rPr>
        <w:t>ex</w:t>
      </w:r>
      <w:r>
        <w:t xml:space="preserve"> art. 10.1 CE, el contrato que tenga por objeto o prestación un embarazo por sustitución, cuando se trate de un acuerdo que mute la naturaleza de la mujer de sujeto de derechos a objeto de tránsito mercantil, limitando su libertad personal, y esto sucede siempre que el embarazo deba someterse a determinadas condiciones físicas de desempeño, que no sea posible revocar el consentimiento, que haya una contraprestación económica del tipo que sea para la mujer gestante o para quienes intervienen en el procedimiento como intermediarios sirviéndose de la capacidad reproductiva de la mujer, y que el fruto del proceso de gestación, la persona nacida, no tenga la posibilidad, en el futuro, de indagar sobre sus orígenes biológicos. Dicho en otros términos, va contra los derechos de las mujeres al libre desarrollo de su personalidad un teórico libre consentimiento prestado para aceptar una gestación para otros, que desaparece en el mismo instante en que se pronuncia el sí inicial y en adelante. Si la mujer pierde la autonomía y el control sobre el proceso, si el consentimiento no es constante y permanente hasta el momento del alumbramiento, y en casi ningún sistema lo es (excepción hecha del modelo portugués de gestación subrogada), entonces no es posible tener por válido el contrato, ni cabe alterar la regla de nulidad derivada del art. 10 de la Ley 14/2006, de 26 de mayo, ni cabe considerar que el pacto se somete a un orden público asentado sobre el reconocimiento de los derechos fundamentales.</w:t>
      </w:r>
    </w:p>
    <w:p w14:paraId="7EA904B9" w14:textId="77777777" w:rsidR="009D7677" w:rsidRDefault="009D7677" w:rsidP="009D7677">
      <w:pPr>
        <w:pStyle w:val="TextoNormal"/>
      </w:pPr>
    </w:p>
    <w:p w14:paraId="01BDDD58" w14:textId="77777777" w:rsidR="009D7677" w:rsidRDefault="009D7677" w:rsidP="009D7677">
      <w:pPr>
        <w:pStyle w:val="TextoNormal"/>
      </w:pPr>
      <w:r>
        <w:t>El Tribunal Supremo mantiene una línea jurisprudencial clara en este mismo sentido, interviniendo de forma activa en el control del acuerdo mercantil que da pie al proceso de gestación de una madre que, fuera del territorio nacional, gesta para quienes desean que la persona que nace al final de ese proceso sea reconocida como su hijo o hija (STS 277/2022, previamente citada).</w:t>
      </w:r>
    </w:p>
    <w:p w14:paraId="367EB998" w14:textId="77777777" w:rsidR="009D7677" w:rsidRDefault="009D7677" w:rsidP="009D7677">
      <w:pPr>
        <w:pStyle w:val="TextoNormal"/>
      </w:pPr>
    </w:p>
    <w:p w14:paraId="0340D747" w14:textId="77777777" w:rsidR="009D7677" w:rsidRDefault="009D7677" w:rsidP="009D7677">
      <w:pPr>
        <w:pStyle w:val="TextoNormal"/>
      </w:pPr>
      <w:r>
        <w:t>5. En síntesis, el supuesto que resuelve la sentencia del Pleno pone de manifiesto que el sistema de fuentes español en este ámbito es defectuoso y conlleva una inseguridad jurídica notable, lo que debería mover al legislador a actuar de forma eficaz e inmediata teniendo presentes los límites constitucionales a los que me he referido en este voto.</w:t>
      </w:r>
    </w:p>
    <w:p w14:paraId="4180F753" w14:textId="77777777" w:rsidR="009D7677" w:rsidRDefault="009D7677" w:rsidP="009D7677">
      <w:pPr>
        <w:pStyle w:val="TextoNormal"/>
      </w:pPr>
    </w:p>
    <w:p w14:paraId="4197A803" w14:textId="77777777" w:rsidR="009D7677" w:rsidRDefault="009D7677" w:rsidP="009D7677">
      <w:pPr>
        <w:pStyle w:val="TextoNormal"/>
      </w:pPr>
      <w:r>
        <w:t>Mientras eso sucede, la intervención judicial es imprescindible y la interpretación del insuficiente marco normativo debe pivotar en torno a los cuatro elementos esenciales a los que he hecho referencia: 1) el interés superior del menor, individualmente considerado; 2) el interés superior de los menores a verse protegidos de actuaciones atentatorias de su dignidad como colectivo; 3) la garantía del principio de dignidad humana que debe proyectarse tanto sobre el menor como sobre su madre biológica; y 4) la garantía de los derechos de esa madre biológica, de modo que pueda llegarse a la conclusión de que los mismos no fueron conculcados en el curso de la totalidad del proceso de gestación.</w:t>
      </w:r>
    </w:p>
    <w:p w14:paraId="35799661" w14:textId="77777777" w:rsidR="009D7677" w:rsidRDefault="009D7677" w:rsidP="009D7677">
      <w:pPr>
        <w:pStyle w:val="TextoNormal"/>
      </w:pPr>
    </w:p>
    <w:p w14:paraId="26268752" w14:textId="77777777" w:rsidR="009D7677" w:rsidRDefault="009D7677" w:rsidP="009D7677">
      <w:pPr>
        <w:pStyle w:val="TextoNormal"/>
      </w:pPr>
      <w:r>
        <w:t xml:space="preserve">El cumplimiento del orden público en el ordenamiento jurídico exige la conformidad con un mundo de valores y comportamientos que, cristalizados en normas jurídicas, dan </w:t>
      </w:r>
      <w:r>
        <w:lastRenderedPageBreak/>
        <w:t>congruencia al ordenamiento. Y esa congruencia exige analizar los graves problemas derivados de la gestación por sustitución no solo desde el punto de vista del niño o la niña nacida de una madre subrogada, sino también desde la óptica de la plena garantía de los derechos humanos de esta última.</w:t>
      </w:r>
    </w:p>
    <w:p w14:paraId="47E047A9" w14:textId="77777777" w:rsidR="009D7677" w:rsidRDefault="009D7677" w:rsidP="009D7677">
      <w:pPr>
        <w:pStyle w:val="TextoNormal"/>
      </w:pPr>
    </w:p>
    <w:p w14:paraId="250202CE" w14:textId="77777777" w:rsidR="009D7677" w:rsidRDefault="009D7677" w:rsidP="009D7677">
      <w:pPr>
        <w:pStyle w:val="TextoNormal"/>
      </w:pPr>
      <w:r>
        <w:t>No se trata de proyectar aquí creencias morales, ni de confundir el concepto de orden social con el de orden público. Se trata de preservar los derechos humanos, en este caso, de los niños y las niñas y de las mujeres. La exigencia del cumplimiento del orden público, como criterio determinante para la homologación de una resolución judicial extranjera, o para establecer un límite en el ejercicio de los derechos fundamentales, ha de extraerse necesariamente del ordenamiento, so pretexto de incurrir en subjetivismo judicial o arbitrariedad. Y, en este caso, hubiera sido oportuno que el Tribunal Constitucional estableciese los argumentos básicos para extraer del ordenamiento constitucional la definición del orden público en los supuestos de control de la gestación por substitución materializada fuera de nuestras fronteras, intentando un equilibrio de los valores constitucionales en juego.</w:t>
      </w:r>
    </w:p>
    <w:p w14:paraId="7C7ACA24" w14:textId="77777777" w:rsidR="009D7677" w:rsidRDefault="009D7677" w:rsidP="009D7677">
      <w:pPr>
        <w:pStyle w:val="TextoNormal"/>
      </w:pPr>
    </w:p>
    <w:p w14:paraId="44D62C56" w14:textId="77777777" w:rsidR="009D7677" w:rsidRDefault="009D7677" w:rsidP="009D7677">
      <w:pPr>
        <w:pStyle w:val="TextoNormal"/>
      </w:pPr>
      <w:r>
        <w:t>Y, en este sentido, emito mi voto particular.</w:t>
      </w:r>
    </w:p>
    <w:p w14:paraId="4247A162" w14:textId="77777777" w:rsidR="009D7677" w:rsidRDefault="009D7677" w:rsidP="009D7677">
      <w:pPr>
        <w:pStyle w:val="TextoNormal"/>
      </w:pPr>
    </w:p>
    <w:p w14:paraId="236054F9" w14:textId="5106F32F" w:rsidR="009D7677" w:rsidRDefault="009D7677" w:rsidP="009D7677">
      <w:pPr>
        <w:pStyle w:val="TextoNormal"/>
      </w:pPr>
      <w:r>
        <w:t>Madrid, a veintisiete de febrero de dos mil veinticuatro.</w:t>
      </w:r>
    </w:p>
    <w:p w14:paraId="72B8BAB1" w14:textId="33DF1FB3" w:rsidR="009D7677" w:rsidRDefault="009D7677">
      <w:pPr>
        <w:spacing w:after="160" w:line="259" w:lineRule="auto"/>
        <w:rPr>
          <w:rFonts w:ascii="Times New Roman" w:eastAsia="Times New Roman" w:hAnsi="Times New Roman" w:cs="Times New Roman"/>
          <w:sz w:val="24"/>
          <w:szCs w:val="24"/>
          <w:lang w:eastAsia="es-ES"/>
        </w:rPr>
      </w:pPr>
      <w:r>
        <w:br w:type="page"/>
      </w:r>
    </w:p>
    <w:p w14:paraId="0DE4FB7B" w14:textId="77777777" w:rsidR="009D7677" w:rsidRDefault="009D7677" w:rsidP="009D7677">
      <w:pPr>
        <w:pStyle w:val="TtuloResolucin"/>
      </w:pPr>
      <w:bookmarkStart w:id="31" w:name="SENTENCIA_2024_29"/>
      <w:r>
        <w:lastRenderedPageBreak/>
        <w:t>SENTENCIA 29/2024, de 28 de febrero de 2024</w:t>
      </w:r>
    </w:p>
    <w:bookmarkEnd w:id="31"/>
    <w:p w14:paraId="018EE7F8" w14:textId="77777777" w:rsidR="009D7677" w:rsidRDefault="009D7677" w:rsidP="009D7677">
      <w:pPr>
        <w:pStyle w:val="TtuloResolucin"/>
      </w:pPr>
      <w:r>
        <w:t>Pleno</w:t>
      </w:r>
    </w:p>
    <w:p w14:paraId="52C63198" w14:textId="77777777" w:rsidR="009D7677" w:rsidRDefault="009D7677" w:rsidP="009D7677">
      <w:pPr>
        <w:pStyle w:val="TtuloBOE"/>
      </w:pPr>
      <w:r>
        <w:t>(BOE núm. 82, de 3 de abril de 2024)</w:t>
      </w:r>
    </w:p>
    <w:p w14:paraId="53C784E1" w14:textId="77777777" w:rsidR="009D7677" w:rsidRDefault="009D7677" w:rsidP="009D7677">
      <w:pPr>
        <w:pStyle w:val="TextoNormalCentrado"/>
      </w:pPr>
      <w:r>
        <w:t>ECLI:ES:TC:2024:29</w:t>
      </w:r>
    </w:p>
    <w:p w14:paraId="22116BB5" w14:textId="115DBA7A" w:rsidR="009D7677" w:rsidRDefault="009D7677" w:rsidP="009D7677">
      <w:pPr>
        <w:pStyle w:val="TextoNormalCentrado"/>
      </w:pPr>
    </w:p>
    <w:p w14:paraId="7F13B191" w14:textId="77777777" w:rsidR="009D7677" w:rsidRDefault="009D7677" w:rsidP="009D7677">
      <w:pPr>
        <w:pStyle w:val="SntesisDescriptiva"/>
      </w:pPr>
      <w:r>
        <w:t>Recurso de inconstitucionalidad 231-2021. Promovido por más de cincuenta senadores del Grupo Parlamentario Socialista respecto de la Ley 1/2020, de 8 de octubre, por la que se modifica la Ley 9/2001, de 17 de julio, del suelo de la Comunidad de Madrid, para el impulso y reactivación de la actividad urbanística.</w:t>
      </w:r>
    </w:p>
    <w:p w14:paraId="7B080968" w14:textId="7022B8AD" w:rsidR="009D7677" w:rsidRDefault="009D7677" w:rsidP="009D7677">
      <w:pPr>
        <w:pStyle w:val="SntesisDescriptiva"/>
      </w:pPr>
    </w:p>
    <w:p w14:paraId="0B1D9C6B" w14:textId="77777777" w:rsidR="009D7677" w:rsidRDefault="009D7677" w:rsidP="009D7677">
      <w:pPr>
        <w:pStyle w:val="SntesisAnaltica"/>
      </w:pPr>
      <w:r>
        <w:t>Derechos de participación política y de enmienda de las minorías en el procedimiento legislativo: extinción del proceso por pérdida sobrevenida de su objeto.</w:t>
      </w:r>
    </w:p>
    <w:p w14:paraId="6A18679D" w14:textId="454BE1AE" w:rsidR="009D7677" w:rsidRDefault="009D7677" w:rsidP="009D7677">
      <w:pPr>
        <w:pStyle w:val="SntesisAnaltica"/>
      </w:pPr>
    </w:p>
    <w:p w14:paraId="6CBE4127" w14:textId="0FE39768" w:rsidR="009D7677" w:rsidRDefault="009D7677" w:rsidP="009D7677">
      <w:pPr>
        <w:pStyle w:val="Extracto"/>
      </w:pPr>
      <w:r>
        <w:t>1.</w:t>
      </w:r>
      <w:r>
        <w:tab/>
        <w:t>Aplicación de la doctrina constitucional sobre la pérdida sobrevenida de objeto de un recurso de inconstitucionalidad tras la modificación, derogación o pérdida de vigencia de los preceptos legales impugnados, que conlleva la extinción del objeto del proceso constitucional (SSTC 196/1997 o 44/2023) [FJ 2].</w:t>
      </w:r>
    </w:p>
    <w:p w14:paraId="52A74F65" w14:textId="77777777" w:rsidR="009D7677" w:rsidRDefault="009D7677" w:rsidP="009D7677">
      <w:pPr>
        <w:pStyle w:val="Extracto"/>
      </w:pPr>
    </w:p>
    <w:p w14:paraId="786F1A0C" w14:textId="77777777" w:rsidR="009D7677" w:rsidRDefault="009D7677" w:rsidP="009D7677">
      <w:pPr>
        <w:pStyle w:val="Extracto"/>
      </w:pPr>
    </w:p>
    <w:p w14:paraId="4AF6A276" w14:textId="77777777" w:rsidR="009D7677" w:rsidRDefault="009D7677" w:rsidP="009D7677">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doña Concepción Espejel Jorquera, doña María Luisa Segoviano Astaburuaga, don César Tolosa Tribiño, don Juan Carlos Campo Moreno y doña Laura Díez Bueso, ha pronunciado</w:t>
      </w:r>
    </w:p>
    <w:p w14:paraId="1D37EC10" w14:textId="7C685E4D" w:rsidR="009D7677" w:rsidRDefault="009D7677" w:rsidP="009D7677">
      <w:pPr>
        <w:pStyle w:val="TextoNormal"/>
      </w:pPr>
    </w:p>
    <w:p w14:paraId="5B38D085" w14:textId="77777777" w:rsidR="009D7677" w:rsidRDefault="009D7677" w:rsidP="009D7677">
      <w:pPr>
        <w:pStyle w:val="TextoNormalCentrado"/>
        <w:keepNext/>
      </w:pPr>
      <w:r>
        <w:t>EN NOMBRE DEL REY</w:t>
      </w:r>
    </w:p>
    <w:p w14:paraId="2BC809A7" w14:textId="34271AB8" w:rsidR="009D7677" w:rsidRDefault="009D7677" w:rsidP="009D7677">
      <w:pPr>
        <w:pStyle w:val="TextoNormalCentrado"/>
        <w:keepNext/>
      </w:pPr>
    </w:p>
    <w:p w14:paraId="177769F2" w14:textId="77777777" w:rsidR="009D7677" w:rsidRDefault="009D7677" w:rsidP="009D7677">
      <w:pPr>
        <w:pStyle w:val="TextoNormalCentrado"/>
        <w:keepNext/>
      </w:pPr>
    </w:p>
    <w:p w14:paraId="67F3D0B1" w14:textId="77777777" w:rsidR="009D7677" w:rsidRDefault="009D7677" w:rsidP="009D7677">
      <w:pPr>
        <w:pStyle w:val="TextoNormal"/>
      </w:pPr>
      <w:r>
        <w:t>la siguiente</w:t>
      </w:r>
    </w:p>
    <w:p w14:paraId="0FE81A25" w14:textId="563FC84B" w:rsidR="009D7677" w:rsidRDefault="009D7677" w:rsidP="009D7677">
      <w:pPr>
        <w:pStyle w:val="TextoNormal"/>
      </w:pPr>
    </w:p>
    <w:p w14:paraId="285CF5B1" w14:textId="77777777" w:rsidR="009D7677" w:rsidRDefault="009D7677" w:rsidP="009D7677">
      <w:pPr>
        <w:pStyle w:val="TextoNormalCentrado"/>
        <w:keepNext/>
      </w:pPr>
      <w:r>
        <w:t>SENTENCIA</w:t>
      </w:r>
    </w:p>
    <w:p w14:paraId="239ADD60" w14:textId="072B6F64" w:rsidR="009D7677" w:rsidRDefault="009D7677" w:rsidP="009D7677">
      <w:pPr>
        <w:pStyle w:val="TextoNormalCentrado"/>
        <w:keepNext/>
      </w:pPr>
    </w:p>
    <w:p w14:paraId="77BD5126" w14:textId="77777777" w:rsidR="009D7677" w:rsidRDefault="009D7677" w:rsidP="009D7677">
      <w:pPr>
        <w:pStyle w:val="TextoNormal"/>
      </w:pPr>
      <w:r>
        <w:t>En el recurso de inconstitucionalidad núm. 231-2021, promovido por más de cincuenta senadores y senadoras del Grupo Parlamentario Socialista, contra la Ley 1/2020, de 8 de octubre, por la que se modifica la Ley 9/2001, de 17 de julio, del suelo de la Comunidad de Madrid, para el impulso y reactivación de la actividad urbanística. Han comparecido y formulado alegaciones la Comunidad de Madrid y la Asamblea de Madrid. Ha sido ponente la magistrada doña María Luisa Balaguer Callejón.</w:t>
      </w:r>
    </w:p>
    <w:p w14:paraId="09314162" w14:textId="174CC8BA" w:rsidR="009D7677" w:rsidRDefault="009D7677" w:rsidP="009D7677">
      <w:pPr>
        <w:pStyle w:val="TextoNormal"/>
      </w:pPr>
    </w:p>
    <w:p w14:paraId="360DD15A" w14:textId="77777777" w:rsidR="009D7677" w:rsidRDefault="009D7677" w:rsidP="009D7677">
      <w:pPr>
        <w:pStyle w:val="TextoNormalNegritaCentrado"/>
        <w:keepNext/>
      </w:pPr>
      <w:r>
        <w:t>I. Antecedentes</w:t>
      </w:r>
    </w:p>
    <w:p w14:paraId="1DB1EF3E" w14:textId="4E33D8B7" w:rsidR="009D7677" w:rsidRDefault="009D7677" w:rsidP="009D7677">
      <w:pPr>
        <w:pStyle w:val="TextoNormalNegritaCentrado"/>
        <w:keepNext/>
      </w:pPr>
    </w:p>
    <w:p w14:paraId="7FF55D84" w14:textId="51F80AC0" w:rsidR="009D7677" w:rsidRDefault="009D7677" w:rsidP="009D7677">
      <w:pPr>
        <w:pStyle w:val="TextoNormal"/>
      </w:pPr>
      <w:r w:rsidRPr="009D7677">
        <w:rPr>
          <w:rStyle w:val="NumeroAFNegritaCaracter"/>
        </w:rPr>
        <w:t>1</w:t>
      </w:r>
      <w:r>
        <w:t xml:space="preserve">. Mediante escrito registrado en este tribunal el 15 de enero de 2021, la procuradora de los tribunales doña Virginia Aragón Segura, en nombre y representación de cincuenta y ocho senadores y senadoras del Grupo Parlamentario Socialista del Senado, ha interpuesto recurso de inconstitucionalidad contra la Ley de la Asamblea de Madrid 1/2020, de 8 de </w:t>
      </w:r>
      <w:r>
        <w:lastRenderedPageBreak/>
        <w:t>octubre, por la que se modifica la Ley 9/2001, de 17 de julio, del suelo de la Comunidad de Madrid, para el impulso y reactivación de la actividad urbanística. La citada Ley fue publicada en el “Boletín Oficial de la Comunidad de Madrid” núm. 251, de 15 de octubre de 2020.</w:t>
      </w:r>
    </w:p>
    <w:p w14:paraId="17C771FD" w14:textId="77777777" w:rsidR="009D7677" w:rsidRDefault="009D7677" w:rsidP="009D7677">
      <w:pPr>
        <w:pStyle w:val="TextoNormal"/>
      </w:pPr>
    </w:p>
    <w:p w14:paraId="245E5241" w14:textId="77777777" w:rsidR="009D7677" w:rsidRDefault="009D7677" w:rsidP="009D7677">
      <w:pPr>
        <w:pStyle w:val="TextoNormal"/>
      </w:pPr>
      <w:r w:rsidRPr="009D7677">
        <w:rPr>
          <w:rStyle w:val="NumeroAFNegritaCaracter"/>
        </w:rPr>
        <w:t>2</w:t>
      </w:r>
      <w:r>
        <w:t xml:space="preserve">. En el escrito de interposición se exponen los antecedentes relativos al </w:t>
      </w:r>
      <w:r w:rsidRPr="009D7677">
        <w:rPr>
          <w:i/>
        </w:rPr>
        <w:t>iter</w:t>
      </w:r>
      <w:r>
        <w:t xml:space="preserve"> parlamentario seguido en la aprobación de la ley impugnada, y se desarrollan a continuación los argumentos de la impugnación articulándolos en torno a dos ideas principales: a) la inadecuación de la tramitación legislativa por el procedimiento de lectura única, habida cuenta de la complejidad de la materia abordada en la norma; y b) la falta de </w:t>
      </w:r>
      <w:r w:rsidRPr="009D7677">
        <w:rPr>
          <w:i/>
        </w:rPr>
        <w:t>quorum</w:t>
      </w:r>
      <w:r>
        <w:t xml:space="preserve"> en el trámite de aprobación de la norma y las irregularidades en la deliberación previa a la votación final.</w:t>
      </w:r>
    </w:p>
    <w:p w14:paraId="2AD9D660" w14:textId="77777777" w:rsidR="009D7677" w:rsidRDefault="009D7677" w:rsidP="009D7677">
      <w:pPr>
        <w:pStyle w:val="TextoNormal"/>
      </w:pPr>
    </w:p>
    <w:p w14:paraId="1EBA4A26" w14:textId="77777777" w:rsidR="009D7677" w:rsidRDefault="009D7677" w:rsidP="009D7677">
      <w:pPr>
        <w:pStyle w:val="TextoNormal"/>
      </w:pPr>
      <w:r>
        <w:t>A los efectos del presente recurso de inconstitucionalidad interesa resaltar los siguientes elementos del procedimiento parlamentario:</w:t>
      </w:r>
    </w:p>
    <w:p w14:paraId="0E00376D" w14:textId="77777777" w:rsidR="009D7677" w:rsidRDefault="009D7677" w:rsidP="009D7677">
      <w:pPr>
        <w:pStyle w:val="TextoNormal"/>
      </w:pPr>
    </w:p>
    <w:p w14:paraId="3C92571A" w14:textId="77777777" w:rsidR="009D7677" w:rsidRDefault="009D7677" w:rsidP="009D7677">
      <w:pPr>
        <w:pStyle w:val="TextoNormal"/>
      </w:pPr>
      <w:r>
        <w:t>(i) La ley 1/2020 trae causa de un proyecto de ley aprobado por el Consejo de Gobierno de la Comunidad de Madrid el 29 de julio de 2020.</w:t>
      </w:r>
    </w:p>
    <w:p w14:paraId="6E693709" w14:textId="77777777" w:rsidR="009D7677" w:rsidRDefault="009D7677" w:rsidP="009D7677">
      <w:pPr>
        <w:pStyle w:val="TextoNormal"/>
      </w:pPr>
    </w:p>
    <w:p w14:paraId="7725C10C" w14:textId="77777777" w:rsidR="009D7677" w:rsidRDefault="009D7677" w:rsidP="009D7677">
      <w:pPr>
        <w:pStyle w:val="TextoNormal"/>
      </w:pPr>
      <w:r>
        <w:t>(ii) Por acuerdo de la mesa de la Asamblea de Madrid, fechado el 9 de junio de 2020, que confirma la junta de portavoces el 30 de septiembre de 2020, y debido a la crisis sanitaria provocada por el covid-19, se decide fijar en setenta diputados el número máximo de personas que pueden estar presentes en el hemiciclo. Se oponen a este acuerdo tres grupos parlamentarios.</w:t>
      </w:r>
    </w:p>
    <w:p w14:paraId="0931B600" w14:textId="77777777" w:rsidR="009D7677" w:rsidRDefault="009D7677" w:rsidP="009D7677">
      <w:pPr>
        <w:pStyle w:val="TextoNormal"/>
      </w:pPr>
    </w:p>
    <w:p w14:paraId="1BF751F4" w14:textId="77777777" w:rsidR="009D7677" w:rsidRDefault="009D7677" w:rsidP="009D7677">
      <w:pPr>
        <w:pStyle w:val="TextoNormal"/>
      </w:pPr>
      <w:r>
        <w:t>(iii) La mesa de la Asamblea, por acuerdo de 7 de septiembre de 2020 acuerda la tramitación del proyecto de ley del suelo, por el procedimiento de lectura única, con el acuerdo de la junta de portavoces y la oposición de tres grupos parlamentarios, los mismos que habían votado en contra de los acuerdos relativos a la presencialidad en el hemiciclo.</w:t>
      </w:r>
    </w:p>
    <w:p w14:paraId="490486CF" w14:textId="77777777" w:rsidR="009D7677" w:rsidRDefault="009D7677" w:rsidP="009D7677">
      <w:pPr>
        <w:pStyle w:val="TextoNormal"/>
      </w:pPr>
    </w:p>
    <w:p w14:paraId="0547DEEB" w14:textId="77777777" w:rsidR="009D7677" w:rsidRDefault="009D7677" w:rsidP="009D7677">
      <w:pPr>
        <w:pStyle w:val="TextoNormal"/>
      </w:pPr>
      <w:r>
        <w:t>(iv) Veinte parlamentarios del grupo parlamentario Más Madrid solicitaron a la Presidencia de la Asamblea poder acudir a la sesión plenaria que se celebraría el 1 de octubre de 2020, en la que se iba a discutir y votar el proyecto de ley en su conjunto. La solicitud fue desoída.</w:t>
      </w:r>
    </w:p>
    <w:p w14:paraId="6F5F7E18" w14:textId="77777777" w:rsidR="009D7677" w:rsidRDefault="009D7677" w:rsidP="009D7677">
      <w:pPr>
        <w:pStyle w:val="TextoNormal"/>
      </w:pPr>
    </w:p>
    <w:p w14:paraId="1452E7F6" w14:textId="77777777" w:rsidR="009D7677" w:rsidRDefault="009D7677" w:rsidP="009D7677">
      <w:pPr>
        <w:pStyle w:val="TextoNormal"/>
      </w:pPr>
      <w:r>
        <w:t xml:space="preserve">(v) En la sesión de 1 de octubre se procedió a la votación sobre la tramitación directa en lectura única, comprobándose que los diputados presentes eran setenta. Por treinta y seis votos a favor y treinta y cuatro en contra se aprueba la tramitación por el procedimiento de lectura única, habiendo </w:t>
      </w:r>
      <w:r w:rsidRPr="009D7677">
        <w:rPr>
          <w:i/>
        </w:rPr>
        <w:t>quorum</w:t>
      </w:r>
      <w:r>
        <w:t xml:space="preserve"> para ello. A continuación, se somete a votación el proyecto de ley mismo, resultando que votan cincuenta y cinco diputados (treinta y seis a favor y diecinueve en contra). La Presidencia da por aprobado el proyecto, rechazando el argumento esgrimido por diputados de la oposición de que no existía </w:t>
      </w:r>
      <w:r w:rsidRPr="009D7677">
        <w:rPr>
          <w:i/>
        </w:rPr>
        <w:t>quorum</w:t>
      </w:r>
      <w:r>
        <w:t xml:space="preserve"> suficiente. La Presidencia sostiene que el </w:t>
      </w:r>
      <w:r w:rsidRPr="009D7677">
        <w:rPr>
          <w:i/>
        </w:rPr>
        <w:t>quorum</w:t>
      </w:r>
      <w:r>
        <w:t xml:space="preserve"> existía pero los diputados no habían querido votar, incurriendo en fraude del Reglamento de la Asamblea.</w:t>
      </w:r>
    </w:p>
    <w:p w14:paraId="5A591D54" w14:textId="77777777" w:rsidR="009D7677" w:rsidRDefault="009D7677" w:rsidP="009D7677">
      <w:pPr>
        <w:pStyle w:val="TextoNormal"/>
      </w:pPr>
    </w:p>
    <w:p w14:paraId="0BCDE4AB" w14:textId="77777777" w:rsidR="009D7677" w:rsidRDefault="009D7677" w:rsidP="009D7677">
      <w:pPr>
        <w:pStyle w:val="TextoNormal"/>
      </w:pPr>
      <w:r>
        <w:t>(vi) Reanudada la sesión parlamentaria en sesión de tarde, y sometida a votación una iniciativa diversa que pone de manifiesto la existencia de setenta diputados en el hemiciclo, el presidente solicita el cierre de las puertas de la Cámara, y vuelve a someter a vota</w:t>
      </w:r>
      <w:r>
        <w:lastRenderedPageBreak/>
        <w:t xml:space="preserve">ción el proyecto de ley del suelo, aprovechando la suficiencia de </w:t>
      </w:r>
      <w:r w:rsidRPr="009D7677">
        <w:rPr>
          <w:i/>
        </w:rPr>
        <w:t>quorum</w:t>
      </w:r>
      <w:r>
        <w:t>. Tras las protestas de parte de los diputados y la apertura de las puertas de la Cámara, se vuelve a proceder a la votación, resultando treinta y seis votos a favor de la propuesta de treinta y seis diputados presentes. La Presidencia da por aprobada, de nuevo, la iniciativa.</w:t>
      </w:r>
    </w:p>
    <w:p w14:paraId="099A730D" w14:textId="77777777" w:rsidR="009D7677" w:rsidRDefault="009D7677" w:rsidP="009D7677">
      <w:pPr>
        <w:pStyle w:val="TextoNormal"/>
      </w:pPr>
    </w:p>
    <w:p w14:paraId="00C0D04D" w14:textId="77777777" w:rsidR="009D7677" w:rsidRDefault="009D7677" w:rsidP="009D7677">
      <w:pPr>
        <w:pStyle w:val="TextoNormal"/>
      </w:pPr>
      <w:r>
        <w:t>(vii) La Ley es enviada al “Boletín Oficial de la Comunidad de Madrid”, publicándose en el núm. 251, de 15 de octubre de 2020.</w:t>
      </w:r>
    </w:p>
    <w:p w14:paraId="2DFBBA4C" w14:textId="77777777" w:rsidR="009D7677" w:rsidRDefault="009D7677" w:rsidP="009D7677">
      <w:pPr>
        <w:pStyle w:val="TextoNormal"/>
      </w:pPr>
    </w:p>
    <w:p w14:paraId="4049B16A" w14:textId="77777777" w:rsidR="009D7677" w:rsidRDefault="009D7677" w:rsidP="009D7677">
      <w:pPr>
        <w:pStyle w:val="TextoNormal"/>
      </w:pPr>
      <w:r>
        <w:t>Por lo que hace a los argumentos de inconstitucionalidad, la demanda expone lo siguiente:</w:t>
      </w:r>
    </w:p>
    <w:p w14:paraId="25F34FEC" w14:textId="77777777" w:rsidR="009D7677" w:rsidRDefault="009D7677" w:rsidP="009D7677">
      <w:pPr>
        <w:pStyle w:val="TextoNormal"/>
      </w:pPr>
    </w:p>
    <w:p w14:paraId="6EED7EA8" w14:textId="77777777" w:rsidR="009D7677" w:rsidRDefault="009D7677" w:rsidP="009D7677">
      <w:pPr>
        <w:pStyle w:val="TextoNormal"/>
      </w:pPr>
      <w:r>
        <w:t>a) La ley impugnada ha sido aprobada mediante un procedimiento de lectura única que vulnera diferentes preceptos del Estatuto de Autonomía de Madrid (en adelante, EAM) y del Reglamento de la Asamblea de Madrid, aprobado mediante acuerdo del Pleno de la Asamblea de 7 de febrero de 2019 (en adelante, RAM), lesionando, en consecuencia, los arts. 1.1, 9.3 y 23 CE que pone en cuestión la limitación de los derechos de participación política de la minoría parlamentaria derivada del alcance de un procedimiento legislativo que limita la capacidad de enmienda de los parlamentarios.</w:t>
      </w:r>
    </w:p>
    <w:p w14:paraId="109F1350" w14:textId="77777777" w:rsidR="009D7677" w:rsidRDefault="009D7677" w:rsidP="009D7677">
      <w:pPr>
        <w:pStyle w:val="TextoNormal"/>
      </w:pPr>
    </w:p>
    <w:p w14:paraId="42EE7A14" w14:textId="77777777" w:rsidR="009D7677" w:rsidRDefault="009D7677" w:rsidP="009D7677">
      <w:pPr>
        <w:pStyle w:val="TextoNormal"/>
      </w:pPr>
      <w:r>
        <w:t>Así, a partir de las bases jurisprudenciales contenidas en las SSTC 109/2016, de 7 de junio, y 27/2018, de 5 de marzo, se argumenta sobre la inconstitucionalidad de la norma impugnada, derivada de la elección del procedimiento legislativo en lectura única, que implica la exclusión del derecho de enmienda y reduce el tiempo y el margen de acción de los parlamentarios, afectando a su función representativa (art. 23.2 CE). Se recuerda, con cita de las SSTC 103/2008, de 11 de septiembre, y 114/2017, de 17 de octubre, que la jurisprudencia constitucional sostiene que una ley puede ser declarada inconstitucional por vicios procedimentales siempre que tales vicios hayan provocado una alteración sustancial del proceso de formación de voluntad de la Cámara. En este caso, y partiendo de lo dispuesto en el art. 167.2 RAM se argumenta que la elección del procedimiento en lectura única para la tramitación del proyecto de ley del suelo afectó a la conformación de la voluntad de la Cámara y a los derechos de los parlamentarios, al impedir este procedimiento el ejercicio del derecho de enmienda, máxime si se tiene en cuenta el contenido de la norma, que implica a los tres niveles administrativos y es de una complejidad técnica incuestionable. En palabras del propio Tribunal Constitucional (STC 139/2017, de 29 de noviembre), excluir el derecho de enmienda por la naturaleza o simplicidad de la iniciativa supone un menoscabo constitucionalmente inaceptable del principio democrático y del pluralismo político que debe presidir e informar el procedimiento legislativo. Ello conduce a la tacha de inconstitucionalidad del art. 167.2 RAM, que excluye la posibilidad de presentar enmiendas si los proyectos legislativos se tramitan en lectura única.</w:t>
      </w:r>
    </w:p>
    <w:p w14:paraId="6AAC5B42" w14:textId="77777777" w:rsidR="009D7677" w:rsidRDefault="009D7677" w:rsidP="009D7677">
      <w:pPr>
        <w:pStyle w:val="TextoNormal"/>
      </w:pPr>
    </w:p>
    <w:p w14:paraId="04445CE8" w14:textId="77777777" w:rsidR="009D7677" w:rsidRDefault="009D7677" w:rsidP="009D7677">
      <w:pPr>
        <w:pStyle w:val="TextoNormal"/>
      </w:pPr>
      <w:r>
        <w:t>La presunta simplicidad del proyecto, que justificaría la utilización del procedimiento en lectura única, se encuentra manifiestamente ausente en este caso, teniendo en cuenta que se trataba de una modificación de más de quince artículos de la entonces vigente Ley del suelo, que introducía además una disposición transitoria, una disposición derogatoria y tres disposiciones finales. Tampoco era simple el contexto en el que dicha iniciativa se articulaba, dada la situación provocada por la pandemia, que mantuvo a la Cámara sin actividad parlamentaria durante semanas. Como los portavoces de la oposición parlamen</w:t>
      </w:r>
      <w:r>
        <w:lastRenderedPageBreak/>
        <w:t>taria manifestaron en el único turno de palabra del que dispusieron, la materia era lo suficientemente sensible como para actuar con mucha más prudencia legislativa.</w:t>
      </w:r>
    </w:p>
    <w:p w14:paraId="7D59B342" w14:textId="77777777" w:rsidR="009D7677" w:rsidRDefault="009D7677" w:rsidP="009D7677">
      <w:pPr>
        <w:pStyle w:val="TextoNormal"/>
      </w:pPr>
    </w:p>
    <w:p w14:paraId="6A76EC8C" w14:textId="77777777" w:rsidR="009D7677" w:rsidRDefault="009D7677" w:rsidP="009D7677">
      <w:pPr>
        <w:pStyle w:val="TextoNormal"/>
      </w:pPr>
      <w:r>
        <w:t>Por todas estas razones, según los recurrentes, la mesa debió entrar a conocer del fondo del asunto y proceder a calificar el proyecto para ser tramitado mediante un procedimiento que permitiera a las minorías ejercer la función legislativa en las mejores condiciones posibles. La mesa está legitimada para realizar un juicio de oportunidad si el fin perseguido es el de proteger a las minorías parlamentarias, tal como resulta de la jurisprudencia constitucional, apartándose la mesa de la Asamblea de Madrid de este criterio.</w:t>
      </w:r>
    </w:p>
    <w:p w14:paraId="79B1ED91" w14:textId="77777777" w:rsidR="009D7677" w:rsidRDefault="009D7677" w:rsidP="009D7677">
      <w:pPr>
        <w:pStyle w:val="TextoNormal"/>
      </w:pPr>
    </w:p>
    <w:p w14:paraId="26610AA8" w14:textId="77777777" w:rsidR="009D7677" w:rsidRDefault="009D7677" w:rsidP="009D7677">
      <w:pPr>
        <w:pStyle w:val="TextoNormal"/>
      </w:pPr>
      <w:r>
        <w:t xml:space="preserve">b) Por lo que hace a la falta de </w:t>
      </w:r>
      <w:r w:rsidRPr="009D7677">
        <w:rPr>
          <w:i/>
        </w:rPr>
        <w:t>quorum</w:t>
      </w:r>
      <w:r>
        <w:t>, entienden los recurrentes que la misma vicia de nulidad el procedimiento legislativo, ya que no se alcanzó la mayoría exigida por los arts. 14 EAM y 118 RAM, para entender aprobada la Ley.</w:t>
      </w:r>
    </w:p>
    <w:p w14:paraId="5467BEE1" w14:textId="77777777" w:rsidR="009D7677" w:rsidRDefault="009D7677" w:rsidP="009D7677">
      <w:pPr>
        <w:pStyle w:val="TextoNormal"/>
      </w:pPr>
    </w:p>
    <w:p w14:paraId="0296E14E" w14:textId="77777777" w:rsidR="009D7677" w:rsidRDefault="009D7677" w:rsidP="009D7677">
      <w:pPr>
        <w:pStyle w:val="TextoNormal"/>
      </w:pPr>
      <w:r>
        <w:t xml:space="preserve">En la tramitación, se dio por bueno el </w:t>
      </w:r>
      <w:r w:rsidRPr="009D7677">
        <w:rPr>
          <w:i/>
        </w:rPr>
        <w:t>quorum</w:t>
      </w:r>
      <w:r>
        <w:t xml:space="preserve"> de setenta diputados para la toma en consideración del procedimiento de lectura única, cuando la mayoría se sitúa en sesenta y siete diputados del total de 132, y, sin embargo, se consideró igualmente válido el </w:t>
      </w:r>
      <w:r w:rsidRPr="009D7677">
        <w:rPr>
          <w:i/>
        </w:rPr>
        <w:t>quorum</w:t>
      </w:r>
      <w:r>
        <w:t xml:space="preserve"> cuando se situó en cincuenta y cinco diputados en primera votación (por la mañana), y en treinta y seis en segunda (en el turno de tarde). En ambos casos dice literalmente el presidente “no hay </w:t>
      </w:r>
      <w:r w:rsidRPr="009D7677">
        <w:rPr>
          <w:i/>
        </w:rPr>
        <w:t>quorum</w:t>
      </w:r>
      <w:r>
        <w:t xml:space="preserve">”, y acto seguido, en ambos casos, proclama la aprobación de la Ley. De esta circunstancia deducen los recurrentes la vulneración de los arts. 14 EAM y 118 RAM por el presidente de la Cámara, que reconoció dos veces la insuficiencia del </w:t>
      </w:r>
      <w:r w:rsidRPr="009D7677">
        <w:rPr>
          <w:i/>
        </w:rPr>
        <w:t>quorum</w:t>
      </w:r>
      <w:r>
        <w:t xml:space="preserve"> para aprobar una ley que finalmente fue aprobada, transgrediendo así normas integrantes del bloque de constitucionalidad y entorpeciendo con su actitud que los diputados pudieran ejercitar los derechos que les reconoce el art. 23.2 CE.</w:t>
      </w:r>
    </w:p>
    <w:p w14:paraId="5F86C3A1" w14:textId="77777777" w:rsidR="009D7677" w:rsidRDefault="009D7677" w:rsidP="009D7677">
      <w:pPr>
        <w:pStyle w:val="TextoNormal"/>
      </w:pPr>
    </w:p>
    <w:p w14:paraId="6DAD28D0" w14:textId="77777777" w:rsidR="009D7677" w:rsidRDefault="009D7677" w:rsidP="009D7677">
      <w:pPr>
        <w:pStyle w:val="TextoNormal"/>
      </w:pPr>
      <w:r>
        <w:t xml:space="preserve">En la misma línea, el presidente de la Cámara ordenó repetir una votación que ya se había celebrado por la mañana, con alteración sustancial del orden del día, y sin atenerse al procedimiento reglamentario. Esta modificación sobrevenida del orden del día sin ajustarse a lo dispuesto en el art. 106.3 RAM, también supone un vicio de nulidad del procedimiento. A juicio de los recurrentes, esta conducta carece además de toda coherencia pues si se consideró satisfecho el </w:t>
      </w:r>
      <w:r w:rsidRPr="009D7677">
        <w:rPr>
          <w:i/>
        </w:rPr>
        <w:t>quorum</w:t>
      </w:r>
      <w:r>
        <w:t xml:space="preserve"> en primera votación (la matinal), declarando su validez y la aprobación de la Ley, no se justifica la celebración de una segunda votación. La invocación del art. 127.2 RAM no se adecúa a dicha justificación porque tal precepto exige repetir la votación “en el acto”, y no posteriormente, no pudiendo interpretarse ese “en el acto” como “en la misma sesión plenaria”, al resultar esta una interpretación </w:t>
      </w:r>
      <w:r w:rsidRPr="009D7677">
        <w:rPr>
          <w:i/>
        </w:rPr>
        <w:t>contra legem</w:t>
      </w:r>
      <w:r>
        <w:t xml:space="preserve"> del Reglamento. El problema se podría haber solucionado con otros medios alternativos, como el mecanismo contemplado en el art. 16.3 RAM, que permite autorizar la emisión del voto por un procedimiento telemático, con comprobación personal, previsión que regía plenamente el 1 de octubre de 2020, y que podría haberse hecho valer, máxime teniendo en cuenta que el proyecto de ley del suelo era el primero que se tramitaba una vez retomada la actividad parlamentaria en la Comunidad de Madrid tras la interrupción por la situación de estado de alarma. Sin embargo, ninguno de los órganos parlamentarios recordó la existencia de esa posibilidad, que habría redundado en la mejor protección del </w:t>
      </w:r>
      <w:r w:rsidRPr="009D7677">
        <w:rPr>
          <w:i/>
        </w:rPr>
        <w:t>ius in officium</w:t>
      </w:r>
      <w:r>
        <w:t xml:space="preserve"> de los diputados. La irregularidad de esta actuación viene confirmada por la posterior aprobación por la mesa de la Asamblea de la resolución interpretativa sobre el procedimiento de votación en directo y no presencial, de 10 de octubre de 2020, en la que se </w:t>
      </w:r>
      <w:r>
        <w:lastRenderedPageBreak/>
        <w:t>establecen medidas que parecen pensadas para evitar que vuelvan a producirse situaciones como la acaecida en la tramitación de la norma impugnada.</w:t>
      </w:r>
    </w:p>
    <w:p w14:paraId="4F5A0E78" w14:textId="77777777" w:rsidR="009D7677" w:rsidRDefault="009D7677" w:rsidP="009D7677">
      <w:pPr>
        <w:pStyle w:val="TextoNormal"/>
      </w:pPr>
    </w:p>
    <w:p w14:paraId="39BF5B2C" w14:textId="77777777" w:rsidR="009D7677" w:rsidRDefault="009D7677" w:rsidP="009D7677">
      <w:pPr>
        <w:pStyle w:val="TextoNormal"/>
      </w:pPr>
      <w:r>
        <w:t xml:space="preserve">Los recurrentes aducen que la actuación del presidente de la Cámara vulneró los derechos fundamentales de la minoría parlamentaria, al impedir que los diputados ejercieran conforme a derecho la función legislativa de la que son titulares, al dar por buena una primera votación sin </w:t>
      </w:r>
      <w:r w:rsidRPr="009D7677">
        <w:rPr>
          <w:i/>
        </w:rPr>
        <w:t>quorum</w:t>
      </w:r>
      <w:r>
        <w:t xml:space="preserve">, celebrar una segunda aun cuando se había declarado la primera válida, alterando el orden del día, y dar por buena esa segunda votación, a pesar de constatar igualmente falta de </w:t>
      </w:r>
      <w:r w:rsidRPr="009D7677">
        <w:rPr>
          <w:i/>
        </w:rPr>
        <w:t>quorum</w:t>
      </w:r>
      <w:r>
        <w:t>. Desde la perspectiva del art. 23 CE el efecto acumulado de los factores que se han mencionado, junto con la imposibilidad de presentar enmiendas, equivale a una limitación del ejercicio del mandato representativo de los parlamentarios, con merma de sus derechos fundamentales reconocidos en el art. 23.1 y 2 CE, especialmente la función legislativa, a la que se refieren los arts. 9 y 15 EAM.</w:t>
      </w:r>
    </w:p>
    <w:p w14:paraId="5789A3A6" w14:textId="77777777" w:rsidR="009D7677" w:rsidRDefault="009D7677" w:rsidP="009D7677">
      <w:pPr>
        <w:pStyle w:val="TextoNormal"/>
      </w:pPr>
    </w:p>
    <w:p w14:paraId="49B1C94F" w14:textId="77777777" w:rsidR="009D7677" w:rsidRDefault="009D7677" w:rsidP="009D7677">
      <w:pPr>
        <w:pStyle w:val="TextoNormal"/>
      </w:pPr>
      <w:r>
        <w:t>Asimismo, la inconstitucionalidad sería manifiesta conforme a los derechos consagrados en el art. 23.2 CE, interpretados a la luz del art. 67.2 CE, porque, cuando se decide reanudar la actividad parlamentaria con unas reglas de funcionamiento que impiden la presencialidad total (solo pueden asistir setenta diputados) se parte de la presunción de que los sesenta y dos diputados no presentes en la Cámara hubieran votado conforme a las directrices impuestas por sus grupos parlamentarios y no en libertad. Se pregunta la demanda qué hubiera pasado si la Cámara hubiese garantizado que todos pudieran acudir y votar, aunque fuera telemáticamente, y se sostiene que no es posible conocer la respuesta a esta cuestión porque se impidió a los diputados acceder al hemiciclo, ya que los órganos de la Cámara debieron entender que con setenta diputados bastaba para cumplir las mayorías exigidas, y que los sesenta y dos parlamentarios ausentes habrían seguido una disciplina de partido que, así interpretada, atenta gravemente contra el mandato no imperativo proclamado por nuestra Norma fundamental, cuyo titular es el representante individual y nunca la formación política a la que pertenece, tal y como ha afirmado el Tribunal Constitucional (SSTC 5/1983, de 4 de febrero, y 10/1983, de 21 de febrero).</w:t>
      </w:r>
    </w:p>
    <w:p w14:paraId="35545CDA" w14:textId="77777777" w:rsidR="009D7677" w:rsidRDefault="009D7677" w:rsidP="009D7677">
      <w:pPr>
        <w:pStyle w:val="TextoNormal"/>
      </w:pPr>
    </w:p>
    <w:p w14:paraId="29D46851" w14:textId="77777777" w:rsidR="009D7677" w:rsidRDefault="009D7677" w:rsidP="009D7677">
      <w:pPr>
        <w:pStyle w:val="TextoNormal"/>
      </w:pPr>
      <w:r>
        <w:t xml:space="preserve">Por último, señalan los recurrentes que la autonomía parlamentaria está subordinada a la Constitución, al Estatuto de Autonomía y al Convenio europeo de derechos humanos (en adelante, CEDH), de acuerdo con una constante jurisprudencia del Tribunal Constitucional que ha fijado los límites de la autonomía parlamentaria constitucionalmente reconocida. A partir de 1988 el Tribunal Constitucional entiende que cualquier acto interno de las cámaras puede ser objeto de recurso de amparo si vulnera derechos fundamentales, habiendo construido una conocida jurisprudencia sobre el derecho de participación política de los parlamentarios (art. 23.2 CE) que supone no solo acceder de manera igualitaria a las funciones y cargos públicos, sino también mantenerse en ellos y desempeñarlos de conformidad con lo que disponga la ley. Este derecho, que es de configuración legal, en el caso de los parlamentarios se conecta directamente con el derecho de los ciudadanos a participar en los asuntos públicos (art. 23.1 CE). Y, aunque no cualquier acto del órgano parlamentario que infrinja la legalidad resulta lesivo del derecho fundamental, pues solo poseen relevancia constitucional aquellos derechos o facultades que pertenezcan al núcleo esencial de la función representativa parlamentaria, el Tribunal Constitucional ha reconocido un buen número de funciones que pertenecen a ese núcleo cuya vulneración es contraria al derecho fundamental del art. 23.2 CE, entre ellas, la facultad de propuesta y defensa de enmiendas (STC 23/1990, de 15 de febrero). Asimismo, de acuerdo con el art. </w:t>
      </w:r>
      <w:r>
        <w:lastRenderedPageBreak/>
        <w:t xml:space="preserve">10.2 CE y la interpretación de los arts. 96 y siguientes CE, es obligado respetar y aplicar los tratados internacionales suscritos, aplicando el control de convencionalidad al que estamos sujetos, cobrando especial relieve el que exige el CEDH. En aplicación de este, el Tribunal Europeo de Derechos Humanos ha reconocido que el Parlamento constituye un foro privilegiado de debate en una sociedad democrática y que existe una íntima conexión entre ese “régimen político verdaderamente democrático” y un auténtico Parlamento deliberante, y que el Parlamento, en virtud de su autonomía, puede regular sus asuntos internos, siempre respetando los límites constitucionales. Así, el Tribunal Europeo de Derechos Humanos ha señalado que el Parlamento no puede dejar huérfanos de garantías a sus parlamentarios y que el margen de apreciación nacional debe velar siempre por garantizar medidas contra la arbitrariedad (STEDH de 21 de mayo de 2019, asunto </w:t>
      </w:r>
      <w:r w:rsidRPr="009D7677">
        <w:rPr>
          <w:i/>
        </w:rPr>
        <w:t>G.K. c. Bélgica</w:t>
      </w:r>
      <w:r>
        <w:t>), así como que las prerrogativas parlamentarias tienen especial razón de ser no solo para garantizar la autonomía parlamentaria sino para garantizar la mera existencia y los consiguientes trabajos parlamentarios de las minorías parlamentarias constituidas en oposición (STEDH de 3 de diciembre de 2019, asunt</w:t>
      </w:r>
      <w:r w:rsidRPr="009D7677">
        <w:rPr>
          <w:i/>
        </w:rPr>
        <w:t>o Kart c. Turqu</w:t>
      </w:r>
      <w:r>
        <w:t>ía).</w:t>
      </w:r>
    </w:p>
    <w:p w14:paraId="64DCE633" w14:textId="77777777" w:rsidR="009D7677" w:rsidRDefault="009D7677" w:rsidP="009D7677">
      <w:pPr>
        <w:pStyle w:val="TextoNormal"/>
      </w:pPr>
    </w:p>
    <w:p w14:paraId="6B088F2F" w14:textId="77777777" w:rsidR="009D7677" w:rsidRDefault="009D7677" w:rsidP="009D7677">
      <w:pPr>
        <w:pStyle w:val="TextoNormal"/>
      </w:pPr>
      <w:r>
        <w:t>Se sostiene en el recurso que lo sucedido en la Asamblea de Madrid, con la permisividad e incluso el impulso presidencial, vulneró radicalmente tales principios, no por falta de procedimientos parlamentarios y/o jurisdiccionales en el ordenamiento constitucional, sino porque quien suele tener reglamentariamente la última palabra en los debates, como es el caso del presidente de la Cámara, atentó de forma evidente y antijurídica contra el propio Reglamento parlamentario y, a su través, contra la Constitución española y el Estatuto de Autonomía.</w:t>
      </w:r>
    </w:p>
    <w:p w14:paraId="72F16DB7" w14:textId="77777777" w:rsidR="009D7677" w:rsidRDefault="009D7677" w:rsidP="009D7677">
      <w:pPr>
        <w:pStyle w:val="TextoNormal"/>
      </w:pPr>
    </w:p>
    <w:p w14:paraId="38FC87B3" w14:textId="4808865B" w:rsidR="009D7677" w:rsidRDefault="009D7677" w:rsidP="009D7677">
      <w:pPr>
        <w:pStyle w:val="TextoNormal"/>
      </w:pPr>
      <w:r>
        <w:t>Por todo lo anterior, la demanda concluye solicitando que se dicte sentencia estimatoria por la que se declare la inconstitucionalidad de la Ley 1/2020, de 8 de octubre, por la que se modifica la Ley 9/2001, de 17 de julio, del suelo de la Comunidad de Madrid, para el impulso y reactivación de la actividad urbanística.</w:t>
      </w:r>
    </w:p>
    <w:p w14:paraId="33AAC430" w14:textId="77777777" w:rsidR="009D7677" w:rsidRDefault="009D7677" w:rsidP="009D7677">
      <w:pPr>
        <w:pStyle w:val="TextoNormal"/>
      </w:pPr>
    </w:p>
    <w:p w14:paraId="492E4AF5" w14:textId="06424E1E" w:rsidR="009D7677" w:rsidRDefault="009D7677" w:rsidP="009D7677">
      <w:pPr>
        <w:pStyle w:val="TextoNormal"/>
      </w:pPr>
      <w:r w:rsidRPr="009D7677">
        <w:rPr>
          <w:rStyle w:val="NumeroAFNegritaCaracter"/>
        </w:rPr>
        <w:t>3</w:t>
      </w:r>
      <w:r>
        <w:t>. Por providencia de 16 de febrero de 2021 el Pleno, a propuesta de la Sección Segunda, acordó admitir a trámite el recurso de inconstitucionalidad; dar traslado de la demanda y documentos presentados, conforme dispone el art. 34 de la Ley Orgánica del Tribunal Constitucional (en adelante, LOTC), al Congreso de los Diputados y al Senado, por conducto de sus presidentes, y al Gobierno, a través del ministro de Justicia, así como a la Asamblea y al Gobierno de la Comunidad de Madrid, por conducto de sus presidentes, al objeto de que, en el plazo de quince días, puedan personarse en el proceso y formular las alegaciones que estimaren convenientes; y publicar la incoación del recurso en el “Boletín Oficial del Estado” y en el “Boletín Oficial de la Comunidad de Madrid”.</w:t>
      </w:r>
    </w:p>
    <w:p w14:paraId="0E93AF3B" w14:textId="77777777" w:rsidR="009D7677" w:rsidRDefault="009D7677" w:rsidP="009D7677">
      <w:pPr>
        <w:pStyle w:val="TextoNormal"/>
      </w:pPr>
    </w:p>
    <w:p w14:paraId="2F362A5D" w14:textId="4D84A13E" w:rsidR="009D7677" w:rsidRDefault="009D7677" w:rsidP="009D7677">
      <w:pPr>
        <w:pStyle w:val="TextoNormal"/>
      </w:pPr>
      <w:r w:rsidRPr="009D7677">
        <w:rPr>
          <w:rStyle w:val="NumeroAFNegritaCaracter"/>
        </w:rPr>
        <w:t>4</w:t>
      </w:r>
      <w:r>
        <w:t>. Mediante sendos escritos registrados en este tribunal los días 24 y 26 de febrero de 2021, las presidentas del Congreso de los Diputados y del Senado comunicaron los acuerdos adoptados por las mesas de las respectivas Cámaras, por los que ambas se personan en el procedimiento y ofrecen su colaboración a los efectos del art. 88.1 LOTC.</w:t>
      </w:r>
    </w:p>
    <w:p w14:paraId="23B6905D" w14:textId="77777777" w:rsidR="009D7677" w:rsidRDefault="009D7677" w:rsidP="009D7677">
      <w:pPr>
        <w:pStyle w:val="TextoNormal"/>
      </w:pPr>
    </w:p>
    <w:p w14:paraId="2C3B1064" w14:textId="5860711B" w:rsidR="009D7677" w:rsidRDefault="009D7677" w:rsidP="009D7677">
      <w:pPr>
        <w:pStyle w:val="TextoNormal"/>
      </w:pPr>
      <w:r w:rsidRPr="009D7677">
        <w:rPr>
          <w:rStyle w:val="NumeroAFNegritaCaracter"/>
        </w:rPr>
        <w:t>5</w:t>
      </w:r>
      <w:r>
        <w:t xml:space="preserve">. En escrito presentado el 2 de marzo de 2021, el abogado del Estado, en la representación que ostenta, comparece y dice que no va a formular alegaciones, personándose a los </w:t>
      </w:r>
      <w:r>
        <w:lastRenderedPageBreak/>
        <w:t>solos efectos de que se le notifiquen las resoluciones que se dicten en el presente procedimiento.</w:t>
      </w:r>
    </w:p>
    <w:p w14:paraId="5ACE008F" w14:textId="77777777" w:rsidR="009D7677" w:rsidRDefault="009D7677" w:rsidP="009D7677">
      <w:pPr>
        <w:pStyle w:val="TextoNormal"/>
      </w:pPr>
    </w:p>
    <w:p w14:paraId="12489B13" w14:textId="77777777" w:rsidR="009D7677" w:rsidRDefault="009D7677" w:rsidP="009D7677">
      <w:pPr>
        <w:pStyle w:val="TextoNormal"/>
      </w:pPr>
      <w:r w:rsidRPr="009D7677">
        <w:rPr>
          <w:rStyle w:val="NumeroAFNegritaCaracter"/>
        </w:rPr>
        <w:t>6</w:t>
      </w:r>
      <w:r>
        <w:t>. Mediante escrito registrado el 8 de marzo de 2021, el letrado de la Comunidad de Madrid, actuando en representación de esta, se personó en el procedimiento, interesando la desestimación del recurso de inconstitucionalidad conforme a las siguientes alegaciones:</w:t>
      </w:r>
    </w:p>
    <w:p w14:paraId="5B8F0C2A" w14:textId="77777777" w:rsidR="009D7677" w:rsidRDefault="009D7677" w:rsidP="009D7677">
      <w:pPr>
        <w:pStyle w:val="TextoNormal"/>
      </w:pPr>
    </w:p>
    <w:p w14:paraId="2939E83F" w14:textId="77777777" w:rsidR="009D7677" w:rsidRDefault="009D7677" w:rsidP="009D7677">
      <w:pPr>
        <w:pStyle w:val="TextoNormal"/>
      </w:pPr>
      <w:r>
        <w:t>a) El recurso no alega ningún motivo de fondo que lo sustente, dirigiéndose todos los reproches formulados a cuestiones procedimentales relativas a su tramitación parlamentaria. Gran parte de la alegación se centra en denunciar la inconstitucionalidad sobrevenida del artículo 167.2 RAM, en el que se prevé la tramitación en lectura única, pero esta impugnación indirecta es improcedente toda vez que excede del objeto del presente recurso, formulado contra la Ley 1/2020. Concretamente, lo que se imputa a la norma formalmente impugnada (la Ley 1/2020) es haber sido aprobada por el procedimiento de lectura única regulado en la sección quinta del capítulo III del título VII (artículos 167 a 170) RAM. No se reprocha la vulneración de dicho procedimiento, sino que, para los recurrentes, este no se ajusta a la doctrina constitucional sentada en relación con el artículo 23.2 de la Constitución y el derecho de enmienda, como parte del contenido esencial del derecho de participación política.</w:t>
      </w:r>
    </w:p>
    <w:p w14:paraId="73EF09ED" w14:textId="77777777" w:rsidR="009D7677" w:rsidRDefault="009D7677" w:rsidP="009D7677">
      <w:pPr>
        <w:pStyle w:val="TextoNormal"/>
      </w:pPr>
    </w:p>
    <w:p w14:paraId="32E3C36D" w14:textId="77777777" w:rsidR="009D7677" w:rsidRDefault="009D7677" w:rsidP="009D7677">
      <w:pPr>
        <w:pStyle w:val="TextoNormal"/>
      </w:pPr>
      <w:r>
        <w:t xml:space="preserve">De hecho, el recurso de inconstitucionalidad interpuesto no acude al Reglamento de la Asamblea de Madrid como parámetro de enjuiciamiento de la constitucionalidad de la Ley impugnada —como procedería tratándose de un reglamento que integra el bloque de constitucionalidad al amparo del cual ha de ser enjuiciada e interpretada esta—, sino que, a través de la misma, pretende enjuiciar la constitucionalidad del procedimiento de lectura única allí regulado. Ello no solo contradice su propio </w:t>
      </w:r>
      <w:r w:rsidRPr="009D7677">
        <w:rPr>
          <w:i/>
        </w:rPr>
        <w:t>petitum</w:t>
      </w:r>
      <w:r>
        <w:t>, en el que suplica la declaración de inconstitucionalidad y consiguiente anulación de la Ley 1/2020 por vulnerar, entre otros, determinados artículos del Reglamento de la Asamblea de Madrid (entre los cuales se cita el artículo 167, de cuya observancia, sin embargo, considera que deriva la inconstitucionalidad de la Ley aprobada); sino que resultaría, en todo caso, extemporáneo, “toda vez que han transcurrido amplísimamente los plazos de tres y nueve meses previstos en el artículo 33 de la LOTC al efecto”.</w:t>
      </w:r>
    </w:p>
    <w:p w14:paraId="5EE211DF" w14:textId="77777777" w:rsidR="009D7677" w:rsidRDefault="009D7677" w:rsidP="009D7677">
      <w:pPr>
        <w:pStyle w:val="TextoNormal"/>
      </w:pPr>
    </w:p>
    <w:p w14:paraId="3D83437F" w14:textId="77777777" w:rsidR="009D7677" w:rsidRDefault="009D7677" w:rsidP="009D7677">
      <w:pPr>
        <w:pStyle w:val="TextoNormal"/>
      </w:pPr>
      <w:r>
        <w:t>Similares consideraciones se refieren a los acuerdos de la mesa y la junta de portavoces que establecieron unos límites máximos de asistencia al Pleno como consecuencia de la pandemia, fijándolo en setenta diputados. Como apunta el escrito, dicho acuerdo (adoptado por la mesa el 9 de junio de 2020) “es general para todas las sesiones del Pleno y no forma parte del contenido intrínseco de la Ley 1/2020, por lo que [de] considerarse que incurría en cualquier vulneración de derechos fundamentales, como el de participación política que ahora se alega (artículo 23.2 de la Constitución), bien pudo haberse interpuesto recurso de amparo frente al mismo, por la vía del artículo 42 de la LOTC, pero no procede su cuestionamiento en el presente recurso”. Especialmente, como se acredita con el acta 29/20, de la reunión de la junta de portavoces de 30 de septiembre de 2020, cuando en la misma se analizó una propuesta planteada por la Presidencia de la Cámara “en orden a hacer efectiva la solicitud de que todos los diputados puedan participar en la adopción de las decisiones de la Asamblea, ejerciendo su voto”, bien presencial o telemáticamente; propuesta que fue rechazada, entre otros, por los diputados del grupo político al que pertenecen los ahora recurrentes que aducen, precisamente, que no se impulsó tal posibilidad.</w:t>
      </w:r>
    </w:p>
    <w:p w14:paraId="60665B01" w14:textId="77777777" w:rsidR="009D7677" w:rsidRDefault="009D7677" w:rsidP="009D7677">
      <w:pPr>
        <w:pStyle w:val="TextoNormal"/>
      </w:pPr>
    </w:p>
    <w:p w14:paraId="46BA5C0C" w14:textId="77777777" w:rsidR="009D7677" w:rsidRDefault="009D7677" w:rsidP="009D7677">
      <w:pPr>
        <w:pStyle w:val="TextoNormal"/>
      </w:pPr>
      <w:r>
        <w:t>En lo que respecta a la elección del procedimiento de lectura única para la aprobación de la ley, se insiste en que este se ha ajustado estrictamente a las disposiciones que conforman el bloque de constitucionalidad en la materia, siendo plenamente respetuoso con las mismas.</w:t>
      </w:r>
    </w:p>
    <w:p w14:paraId="5CE1B05D" w14:textId="77777777" w:rsidR="009D7677" w:rsidRDefault="009D7677" w:rsidP="009D7677">
      <w:pPr>
        <w:pStyle w:val="TextoNormal"/>
      </w:pPr>
    </w:p>
    <w:p w14:paraId="70F64349" w14:textId="77777777" w:rsidR="009D7677" w:rsidRDefault="009D7677" w:rsidP="009D7677">
      <w:pPr>
        <w:pStyle w:val="TextoNormal"/>
      </w:pPr>
      <w:r>
        <w:t>A partir de la doctrina sintetizada en la STC 185/2016, de 3 de noviembre, FJ 5, el escrito recuerda que la decisión de someter el texto al procedimiento de lectura única fue acordada por el órgano competente, el Pleno de la Asamblea, a propuesta de la mesa y con la conformidad de la junta de portavoces, respetando los requisitos exigidos por la regulación reglamentaria y la doctrina constitucional. En cuanto al contenido de la Ley impugnada, se sostiene que la necesidad de armonizar la regulación urbanística autonómica con los criterios sentados en la legislación básica estatal, derivados, a su vez, de la normativa comunitaria, llevan a concluir que la naturaleza del proyecto de ley aconsejaba su tramitación en lectura única, pues no se trataba de introducir novedades o cambios de oportunidad en aquella, sino de una necesidad de adaptación y transposición de estas.</w:t>
      </w:r>
    </w:p>
    <w:p w14:paraId="7C8EC9EC" w14:textId="77777777" w:rsidR="009D7677" w:rsidRDefault="009D7677" w:rsidP="009D7677">
      <w:pPr>
        <w:pStyle w:val="TextoNormal"/>
      </w:pPr>
    </w:p>
    <w:p w14:paraId="2CDC223D" w14:textId="77777777" w:rsidR="009D7677" w:rsidRDefault="009D7677" w:rsidP="009D7677">
      <w:pPr>
        <w:pStyle w:val="TextoNormal"/>
      </w:pPr>
      <w:r>
        <w:t xml:space="preserve">En este sentido, la Comunidad de Madrid, a diferencia de lo que sucede en el Estado y otras comunidades autónomas, no contempla estatutariamente el instrumento de los decretos-leyes constitucionalmente previstos en el artículo 86 y que, con frecuencia, se utiliza a nivel estatal para la transposición de normas comunitarias, entre otros. Por tanto, si a nivel estatal o de otras comunidades autónomas viene admitiéndose en supuestos análogos el uso de los decretos-leyes, notablemente más restrictivos de la función parlamentaria por cuanto la Cámara se limita a ratificar o derogar el texto </w:t>
      </w:r>
      <w:r w:rsidRPr="009D7677">
        <w:rPr>
          <w:i/>
        </w:rPr>
        <w:t>a posteriori</w:t>
      </w:r>
      <w:r>
        <w:t xml:space="preserve"> (sin posibilidad de un debate previo sobre el mismo, ni mucho menos de introducir enmiendas), carecería de todo sentido que, en el caso de la Comunidad de Madrid, no pueda acudirse a un procedimiento legislativo acelerado, previsto y regulado en el Reglamento de su Asamblea. Añade, por otra parte, que el propósito de la reforma es único y muy concreto, dirigiéndose exclusivamente a la regulación de las declaraciones responsables, reduciendo los supuestos sujetos a licencia urbanística.</w:t>
      </w:r>
    </w:p>
    <w:p w14:paraId="521EE4A1" w14:textId="77777777" w:rsidR="009D7677" w:rsidRDefault="009D7677" w:rsidP="009D7677">
      <w:pPr>
        <w:pStyle w:val="TextoNormal"/>
      </w:pPr>
    </w:p>
    <w:p w14:paraId="1B031E8B" w14:textId="77777777" w:rsidR="009D7677" w:rsidRDefault="009D7677" w:rsidP="009D7677">
      <w:pPr>
        <w:pStyle w:val="TextoNormal"/>
      </w:pPr>
      <w:r>
        <w:t xml:space="preserve">b) En cuanto a la alegada inexistencia de </w:t>
      </w:r>
      <w:r w:rsidRPr="009D7677">
        <w:rPr>
          <w:i/>
        </w:rPr>
        <w:t>quorum</w:t>
      </w:r>
      <w:r>
        <w:t xml:space="preserve"> para la votación y consiguiente aprobación de la Ley, se subraya que el propio recurso de inconstitucionalidad reconoce, en su hecho séptimo, apartado d), que al tiempo de iniciarse la sesión existía </w:t>
      </w:r>
      <w:r w:rsidRPr="009D7677">
        <w:rPr>
          <w:i/>
        </w:rPr>
        <w:t>quorum</w:t>
      </w:r>
      <w:r>
        <w:t xml:space="preserve"> suficiente; aspecto que confirmó la secretaria general de la Cámara “tras realizar la pertinente revisión”, según recoge expresamente el “Diario de Sesiones de la Asamblea de Madrid”. Para la representación procesal de la Comunidad de Madrid, el problema de disonancia entre votos emitidos y </w:t>
      </w:r>
      <w:r w:rsidRPr="009D7677">
        <w:rPr>
          <w:i/>
        </w:rPr>
        <w:t>quorum</w:t>
      </w:r>
      <w:r>
        <w:t xml:space="preserve"> necesario no se debió a la insuficiencia de </w:t>
      </w:r>
      <w:r w:rsidRPr="009D7677">
        <w:rPr>
          <w:i/>
        </w:rPr>
        <w:t>quorum</w:t>
      </w:r>
      <w:r>
        <w:t xml:space="preserve">, sino a la omisión del derecho-deber de ejercicio del voto por parte de los diputados contrarios a la aprobación de la norma, recordándose asimismo que, conforme al artículo 120 RAM, “[d]urante el desarrollo de la votación, […] ningún diputado podrá entrar en el salón de sesiones, ni abandonarlo, salvo caso de fuerza mayor y con la venia de la Presidencia”; por lo que, se remarca, “si al iniciarse la votación se certificó por la Sra. secretaria general la existencia de </w:t>
      </w:r>
      <w:r w:rsidRPr="009D7677">
        <w:rPr>
          <w:i/>
        </w:rPr>
        <w:t>quorum</w:t>
      </w:r>
      <w:r>
        <w:t>, debe inferirse su mantenimiento durante todo su desarrollo”.</w:t>
      </w:r>
    </w:p>
    <w:p w14:paraId="593E6A5F" w14:textId="77777777" w:rsidR="009D7677" w:rsidRDefault="009D7677" w:rsidP="009D7677">
      <w:pPr>
        <w:pStyle w:val="TextoNormal"/>
      </w:pPr>
    </w:p>
    <w:p w14:paraId="13B8D449" w14:textId="77777777" w:rsidR="009D7677" w:rsidRDefault="009D7677" w:rsidP="009D7677">
      <w:pPr>
        <w:pStyle w:val="TextoNormal"/>
      </w:pPr>
      <w:r>
        <w:t xml:space="preserve">Por último, y en cuanto a la alegada supuesta modificación sobrevenida del orden del día, que determinó la realización de una segunda votación en la misma sesión, se reconoce que esta segunda votación —que confirmó el resultado de la primera— no supuso una </w:t>
      </w:r>
      <w:r>
        <w:lastRenderedPageBreak/>
        <w:t xml:space="preserve">modificación del orden del día: partiendo de que la primera fue válida, una segunda votación en la misma sesión sobre un punto incluido en el orden del día es una posibilidad que se encuentra reglamentariamente prevista, a modo de ratificación y a fin de disipar cualquier duda sobre la primera; y así se acordó, precisamente aprovechando que acababa de producirse otra votación en la que se había constatado nuevamente la existencia de </w:t>
      </w:r>
      <w:r w:rsidRPr="009D7677">
        <w:rPr>
          <w:i/>
        </w:rPr>
        <w:t>quorum</w:t>
      </w:r>
      <w:r>
        <w:t xml:space="preserve">. En todo caso, corresponde a los órganos parlamentarios interpretar sus normas internas y, aun en el supuesto de que esta interpretación de la segunda votación pudiera resultar discutible, se trataría de una interpretación favorecedora del </w:t>
      </w:r>
      <w:r w:rsidRPr="009D7677">
        <w:rPr>
          <w:i/>
        </w:rPr>
        <w:t>ius ad officium</w:t>
      </w:r>
      <w:r>
        <w:t xml:space="preserve"> de los parlamentarios, al fomentar y no restringir su derecho al voto, disipando cualquier duda que pudiera existir; y con “expreso sustento en el artículo 55.2 del RAM”, que atribuye a la Presidencia la competencia para “cumplir y hacer cumplir el Reglamento y, en el ejercicio de sus facultades de ordenación y dirección de los debates, interpretarlo en los casos de duda y suplirlo en los casos en los que aprecie alguna omisión”. Precisándose que, por lo demás, ambas votaciones registraron una mayoría de votos favorables a la aprobación de la Ley, de manera que “aun cuando quienes encontrándose presentes y pudiendo votar voluntariamente no lo hicieron, el resultado aprobatorio habría permanecido invariable, en el sentido de quedar aprobada la ley, ya que en ningún caso podría haber habido más votos negativos que positivos”.</w:t>
      </w:r>
    </w:p>
    <w:p w14:paraId="11027A4C" w14:textId="77777777" w:rsidR="009D7677" w:rsidRDefault="009D7677" w:rsidP="009D7677">
      <w:pPr>
        <w:pStyle w:val="TextoNormal"/>
      </w:pPr>
    </w:p>
    <w:p w14:paraId="702313D4" w14:textId="3A07D0A2" w:rsidR="009D7677" w:rsidRDefault="009D7677" w:rsidP="009D7677">
      <w:pPr>
        <w:pStyle w:val="TextoNormal"/>
      </w:pPr>
      <w:r>
        <w:t>Por todo lo cual, se concluye que la ley impugnada quedó aprobada con todos los requisitos legalmente previstos, y se solicita que se dicte sentencia desestimando el recurso de inconstitucionalidad formulado.</w:t>
      </w:r>
    </w:p>
    <w:p w14:paraId="7CBAA321" w14:textId="77777777" w:rsidR="009D7677" w:rsidRDefault="009D7677" w:rsidP="009D7677">
      <w:pPr>
        <w:pStyle w:val="TextoNormal"/>
      </w:pPr>
    </w:p>
    <w:p w14:paraId="3D18890A" w14:textId="77777777" w:rsidR="009D7677" w:rsidRDefault="009D7677" w:rsidP="009D7677">
      <w:pPr>
        <w:pStyle w:val="TextoNormal"/>
      </w:pPr>
      <w:r w:rsidRPr="009D7677">
        <w:rPr>
          <w:rStyle w:val="NumeroAFNegritaCaracter"/>
        </w:rPr>
        <w:t>7</w:t>
      </w:r>
      <w:r>
        <w:t>. El mismo día 8 de marzo de 2021, el presidente de la Asamblea de Madrid comunicó a este tribunal que el Pleno de la Asamblea había acordado personarse y formular alegaciones en este procedimiento. En consecuencia, el día 10 de marzo de 2021, los letrados de la Cámara registraron otro escrito solicitando que se dicte sentencia desestimatoria del recurso.</w:t>
      </w:r>
    </w:p>
    <w:p w14:paraId="5C9D9D82" w14:textId="77777777" w:rsidR="009D7677" w:rsidRDefault="009D7677" w:rsidP="009D7677">
      <w:pPr>
        <w:pStyle w:val="TextoNormal"/>
      </w:pPr>
    </w:p>
    <w:p w14:paraId="00B02A89" w14:textId="77777777" w:rsidR="009D7677" w:rsidRDefault="009D7677" w:rsidP="009D7677">
      <w:pPr>
        <w:pStyle w:val="TextoNormal"/>
      </w:pPr>
      <w:r>
        <w:t>En primer lugar, y respecto de los “antecedentes de hecho”, se recuerda que la mesa de la Cámara adoptó, en el contexto de la pandemia y emergencia sanitaria generada por la crisis de la covid-19, diversas medidas, contando siempre con el parecer favorable de la junta de portavoces. Entre ellas se adopta la decisión de 9 de junio de 2020, que autorizaba “[p]ara la reunión del día 18 de junio y sucesivas, […] la presencia de setenta diputados, más los miembros del Consejo de Gobierno”, distribuidos proporcionalmente entre los grupos en los términos que el propio acuerdo especifica. Dicho acuerdo fue normal y pacíficamente aplicado no solo en la sesión de 18 de junio, sino también en las sucesivas de 25 de junio, 2, 9 y 16 de julio, y 14 y 15 de septiembre. Sobre la sesión del día 1 de octubre de 2020 se subraya que se ajustó a las condiciones incluidas en dicho acuerdo, que en ningún caso había sido cuestionado o puesto en tela de juicio.</w:t>
      </w:r>
    </w:p>
    <w:p w14:paraId="512CEEDD" w14:textId="77777777" w:rsidR="009D7677" w:rsidRDefault="009D7677" w:rsidP="009D7677">
      <w:pPr>
        <w:pStyle w:val="TextoNormal"/>
      </w:pPr>
    </w:p>
    <w:p w14:paraId="2CDCB241" w14:textId="77777777" w:rsidR="009D7677" w:rsidRDefault="009D7677" w:rsidP="009D7677">
      <w:pPr>
        <w:pStyle w:val="TextoNormal"/>
      </w:pPr>
      <w:r>
        <w:t>Por otra parte, se pone de manifiesto que el acuerdo de tramitar el proyecto controvertido en lectura única fue adoptado por los cauces reglamentarios: a propuesta del Consejo de Gobierno, autor del proyecto de ley, y por acuerdo del Pleno, previa admisión a trámite por parte de la mesa, con la conformidad de la junta de portavoces, y tras inadmitirse la solicitud de reconsideración solicitada por el portavoz de un grupo parlamentario.</w:t>
      </w:r>
    </w:p>
    <w:p w14:paraId="3ECBA639" w14:textId="77777777" w:rsidR="009D7677" w:rsidRDefault="009D7677" w:rsidP="009D7677">
      <w:pPr>
        <w:pStyle w:val="TextoNormal"/>
      </w:pPr>
    </w:p>
    <w:p w14:paraId="03F213E1" w14:textId="77777777" w:rsidR="009D7677" w:rsidRDefault="009D7677" w:rsidP="009D7677">
      <w:pPr>
        <w:pStyle w:val="TextoNormal"/>
      </w:pPr>
      <w:r>
        <w:lastRenderedPageBreak/>
        <w:t xml:space="preserve">En el mismo orden de cosas, y en lo relativo a la alegada falta de </w:t>
      </w:r>
      <w:r w:rsidRPr="009D7677">
        <w:rPr>
          <w:i/>
        </w:rPr>
        <w:t>quorum</w:t>
      </w:r>
      <w:r>
        <w:t xml:space="preserve">, resalta el escrito que, durante la sesión plenaria del día 1 de octubre, existía </w:t>
      </w:r>
      <w:r w:rsidRPr="009D7677">
        <w:rPr>
          <w:i/>
        </w:rPr>
        <w:t>quorum</w:t>
      </w:r>
      <w:r>
        <w:t>. Así lo acredita el listado de asistentes certificado por los servicios de la Cámara, como es habitual, en el primer punto del orden del día con votación (que fue la tramitación en lectura única), inmediatamente anterior al punto relativo al debate y aprobación del proyecto de ley 1/20. Al llegar la votación de este último punto “no todos los diputados hicieron uso de su derecho de voto, realizando una abstención pasiva al no pulsar siquiera el botón de presencia, por lo que el panel de votación reflejó el siguiente resultado: presentes, cincuenta y cinco; sí, treinta y seis; no, diecinueve; abstenciones, cero. Por tanto, quedó aprobada la Ley 1/2020. Ante las dudas manifestadas en la votación, en la sesión de la tarde, una vez comprobada la presencia de los setenta diputados se sometió de nuevo a votación el proyecto de ley. […] Durante el acto de votación, un número indeterminado de diputados abandonaron de manera predeterminada y concertada el hemiciclo para impedir la aprobación de la Ley. Se adjuntan el ‘Diario de Sesiones’ […] y los videos de la sesión plenaria”.</w:t>
      </w:r>
    </w:p>
    <w:p w14:paraId="5BAFA7E0" w14:textId="77777777" w:rsidR="009D7677" w:rsidRDefault="009D7677" w:rsidP="009D7677">
      <w:pPr>
        <w:pStyle w:val="TextoNormal"/>
      </w:pPr>
    </w:p>
    <w:p w14:paraId="6EA3D1FD" w14:textId="77777777" w:rsidR="009D7677" w:rsidRDefault="009D7677" w:rsidP="009D7677">
      <w:pPr>
        <w:pStyle w:val="TextoNormal"/>
      </w:pPr>
      <w:r>
        <w:t xml:space="preserve">a) Respecto de los vicios en el </w:t>
      </w:r>
      <w:r w:rsidRPr="009D7677">
        <w:rPr>
          <w:i/>
        </w:rPr>
        <w:t>iter</w:t>
      </w:r>
      <w:r>
        <w:t xml:space="preserve"> legislativo, sin hacer ningún reproche material o sustantivo a la Ley impugnada, esta parte se refiere al carácter restrictivo de los vicios procedimentales como fundamento de la inconstitucionalidad de las leyes, recordando que, según la STC 99/1987, de 11 de junio, FJ l a), “la inobservancia de los preceptos que regulan el procedimiento legislativo podría viciar de inconstitucionalidad la ley cuando […] altere de modo sustancial el proceso de formación de voluntad en el seno de las Cámaras”; doctrina confirmada —entre otras— por la STC 204/2011, de 15 de diciembre, FJ 4, al afirmar que no basta cualquier infracción de los reglamentos parlamentarios para determinar la inconstitucionalidad de una ley “sino que es necesario ‘examinar, ante todo, si se ha producido o no vulneración de la normativa reguladora de la elaboración de las leyes para, solo después, y en su caso, valorar si aquella vulneración pudo tener relevancia para la formación de la voluntad legisladora’ ([STC] 97/2002, de 25 de abril, FJ 2). En consecuencia, a efectos de una eventual declaración de inconstitucionalidad, lo relevante es determinar las consecuencias que la inobservancia del procedimiento haya podido tener sobre el proceso de formación de la voluntad en el seno de las Cámaras” (FJ 4).</w:t>
      </w:r>
    </w:p>
    <w:p w14:paraId="486C59F9" w14:textId="77777777" w:rsidR="009D7677" w:rsidRDefault="009D7677" w:rsidP="009D7677">
      <w:pPr>
        <w:pStyle w:val="TextoNormal"/>
      </w:pPr>
    </w:p>
    <w:p w14:paraId="2FAB4D10" w14:textId="77777777" w:rsidR="009D7677" w:rsidRDefault="009D7677" w:rsidP="009D7677">
      <w:pPr>
        <w:pStyle w:val="TextoNormal"/>
      </w:pPr>
      <w:r>
        <w:t>A partir de esa doctrina, la representación procesal de la Asamblea de Madrid sostiene que no ha existido vulneración alguna del procedimiento reglamentariamente establecido para la aprobación de la ley; y que el procedimiento adoptado no ha afectado al proceso de formación de la voluntad de la Cámara.</w:t>
      </w:r>
    </w:p>
    <w:p w14:paraId="09CFD974" w14:textId="77777777" w:rsidR="009D7677" w:rsidRDefault="009D7677" w:rsidP="009D7677">
      <w:pPr>
        <w:pStyle w:val="TextoNormal"/>
      </w:pPr>
    </w:p>
    <w:p w14:paraId="79FABB23" w14:textId="77777777" w:rsidR="009D7677" w:rsidRDefault="009D7677" w:rsidP="009D7677">
      <w:pPr>
        <w:pStyle w:val="TextoNormal"/>
      </w:pPr>
      <w:r>
        <w:t>En cuanto al primero de esos argumentos, se afirma que para los recurrentes la mera utilización del procedimiento de lectura única vicia de inconstitucionalidad la Ley recurrida; algo que, a su juicio, conduce inexorablemente al absurdo de sostener que todas las leyes aprobadas por esa vía serían inconstitucionales. Frente a tal visión, se recuerda que el procedimiento de lectura única existe en muchos otros reglamentos parlamentarios; y que, en particular, la regulación de dicho procedimiento en el RAM no solo es reciente, al haber sido aprobada por el Pleno de la Asamblea en su sesión de 7 de febrero de 2019; sino que fue adoptada por unanimidad de todos los grupos de la Cámara, y no ha sido recurrida.</w:t>
      </w:r>
    </w:p>
    <w:p w14:paraId="0BE50E39" w14:textId="77777777" w:rsidR="009D7677" w:rsidRDefault="009D7677" w:rsidP="009D7677">
      <w:pPr>
        <w:pStyle w:val="TextoNormal"/>
      </w:pPr>
    </w:p>
    <w:p w14:paraId="7AFAE614" w14:textId="77777777" w:rsidR="009D7677" w:rsidRDefault="009D7677" w:rsidP="009D7677">
      <w:pPr>
        <w:pStyle w:val="TextoNormal"/>
      </w:pPr>
      <w:r>
        <w:t xml:space="preserve">Por otra parte, se hace hincapié en que resulta contradictorio que los recurrentes invoquen el Reglamento parlamentario como parámetro de la constitucionalidad de la norma </w:t>
      </w:r>
      <w:r>
        <w:lastRenderedPageBreak/>
        <w:t>controvertida, para después alegar que no debió aplicarse el procedimiento previsto en sus artículos 167 a 170. A juicio de los letrados de la Asamblea, si “el Reglamento parlamentario integra el bloque de la constitucionalidad y constituye parámetro de la constitucionalidad de las leyes”, como afirman los recurrentes y confirma la doctrina de este tribunal (con cita, entre otras, de la STC 185/2016, de 3 de noviembre, FJ 5), “solo su inobservancia puede ser, en su caso, constitutiva de inconstitucionalidad”. De donde resulta que lo decisivo no es el procedimiento utilizado en la tramitación de la ley impugnada, sino el respeto de las previsiones reglamentarias que regulan dicho procedimiento. Y tal respeto se da en el caso controvertido, de modo que “ningún reproche cabe efectuar a la norma recurrida en cuanto a los órganos legitimados para solicitar, proponer y decidir la tramitación en lectura única”; tampoco es objetable el debate en Pleno acerca de la ley (según consta en el “Diario de Sesiones”), ni el contenido de la misma, que no excede los límites materiales expresamente fijados para acudir a este procedimiento.</w:t>
      </w:r>
    </w:p>
    <w:p w14:paraId="31508BE7" w14:textId="77777777" w:rsidR="009D7677" w:rsidRDefault="009D7677" w:rsidP="009D7677">
      <w:pPr>
        <w:pStyle w:val="TextoNormal"/>
      </w:pPr>
    </w:p>
    <w:p w14:paraId="266B8FD5" w14:textId="77777777" w:rsidR="009D7677" w:rsidRDefault="009D7677" w:rsidP="009D7677">
      <w:pPr>
        <w:pStyle w:val="TextoNormal"/>
      </w:pPr>
      <w:r>
        <w:t>Respecto a las condiciones que permiten utilizar esta posibilidad (que “la naturaleza del proyecto o la proposición de ley lo aconseje o su simplicidad de formulación lo permita”, art. 167.1 RAM), también se recuerda que, según la doctrina de este tribunal, tales supuestos habilitantes son “cláusulas o conceptos abiertos que confieren a los órganos de la Cámara un amplio margen de apreciación o de interpretación en su aplicación. De modo que la valoración sobre la oportunidad de acudir a este tipo de procedimiento” corresponde a esos órganos, sin que pueda “este tribunal, por respeto a la autonomía de las Cámaras sobre los procedimientos que se desarrollan en su seno (STC 49/2008, FJ 15), reemplazar la voluntad y el criterio de oportunidad de la mesa […] al proponer la tramitación de la proposición de ley por el procedimiento en lectura única, ni la del Pleno de adoptar dicha decisión” (STC 185/2016, de 3 de noviembre, FJ 5; también se invoca la STC 139/2017, FJ 7). Para los letrados de la Cámara, esta doctrina basta por sí misma para descartar las alegaciones de los recurrentes sobre la inadecuación de ese procedimiento para adoptar una ley de naturaleza compleja, y enorme repercusión, sobre la que no existe amplio consenso.</w:t>
      </w:r>
    </w:p>
    <w:p w14:paraId="5F8C7CD4" w14:textId="77777777" w:rsidR="009D7677" w:rsidRDefault="009D7677" w:rsidP="009D7677">
      <w:pPr>
        <w:pStyle w:val="TextoNormal"/>
      </w:pPr>
    </w:p>
    <w:p w14:paraId="1623CDCE" w14:textId="77777777" w:rsidR="009D7677" w:rsidRDefault="009D7677" w:rsidP="009D7677">
      <w:pPr>
        <w:pStyle w:val="TextoNormal"/>
      </w:pPr>
      <w:r>
        <w:t>Respecto de la imposibilidad de presentar enmiendas al proyecto de ley, la misma resulta directamente de la aplicación del artículo 167.2 RAM. Una disposición similar, alegan, a la que existe en otros ordenamientos autonómicos, y que el propio Tribunal admitió en su STC 153/2016, de 22 de septiembre, FJ 3 c). Responden también los letrados de la Asamblea a las alegaciones que invocan las SSTC 103/2008, de 11 de septiembre, y 114/2017, de 17 de octubre, remarcando las diferencias entre esos supuestos y el presente.</w:t>
      </w:r>
    </w:p>
    <w:p w14:paraId="3521ECD4" w14:textId="77777777" w:rsidR="009D7677" w:rsidRDefault="009D7677" w:rsidP="009D7677">
      <w:pPr>
        <w:pStyle w:val="TextoNormal"/>
      </w:pPr>
    </w:p>
    <w:p w14:paraId="05AC52B2" w14:textId="77777777" w:rsidR="009D7677" w:rsidRDefault="009D7677" w:rsidP="009D7677">
      <w:pPr>
        <w:pStyle w:val="TextoNormal"/>
      </w:pPr>
      <w:r>
        <w:t xml:space="preserve">b) Los letrados de la Asamblea de Madrid discuten la alegada falta de </w:t>
      </w:r>
      <w:r w:rsidRPr="009D7677">
        <w:rPr>
          <w:i/>
        </w:rPr>
        <w:t>quorum</w:t>
      </w:r>
      <w:r>
        <w:t xml:space="preserve"> arguyendo que en rigor debería hablarse de “la pretendida falta de </w:t>
      </w:r>
      <w:r w:rsidRPr="009D7677">
        <w:rPr>
          <w:i/>
        </w:rPr>
        <w:t>quorum</w:t>
      </w:r>
      <w:r>
        <w:t xml:space="preserve"> </w:t>
      </w:r>
      <w:r w:rsidRPr="009D7677">
        <w:rPr>
          <w:i/>
        </w:rPr>
        <w:t>provocada</w:t>
      </w:r>
      <w:r>
        <w:t>”. En realidad, afirman, tal circunstancia resulta del empleo de tácticas obstruccionistas que intentaron impedir la votación de la Ley, aprovechando las medidas adoptadas a raíz de la pandemia para garantizar la seguridad y salud de los parlamentarios y de los servicios de la Cámara (entre otras, reducción del número de los diputados y de ujieres presentes en el salón de plenos, evitando presencias no imprescindibles y apertura de puertas en el hemiciclo para facilitar su ventilación).</w:t>
      </w:r>
    </w:p>
    <w:p w14:paraId="2940323B" w14:textId="77777777" w:rsidR="009D7677" w:rsidRDefault="009D7677" w:rsidP="009D7677">
      <w:pPr>
        <w:pStyle w:val="TextoNormal"/>
      </w:pPr>
    </w:p>
    <w:p w14:paraId="5FC7CEE4" w14:textId="77777777" w:rsidR="009D7677" w:rsidRDefault="009D7677" w:rsidP="009D7677">
      <w:pPr>
        <w:pStyle w:val="TextoNormal"/>
      </w:pPr>
      <w:r>
        <w:t xml:space="preserve">Según los letrados, una correcta comprensión de lo sucedido en las dos votaciones exige tener en cuenta que el sistema de votación electrónica de la Asamblea solo contabiliza como presentes a aquellos diputados que ejercen el derecho del voto (ya sea en sentido </w:t>
      </w:r>
      <w:r>
        <w:lastRenderedPageBreak/>
        <w:t xml:space="preserve">favorable, desfavorable o abstención), pero no a quienes, pese a estar presentes en la sala no quieren —legítimamente— ejercer su derecho a voto. Por todo ello, “no cabe aceptar la alegación de los recurrentes de que no había </w:t>
      </w:r>
      <w:r w:rsidRPr="009D7677">
        <w:rPr>
          <w:i/>
        </w:rPr>
        <w:t>quorum</w:t>
      </w:r>
      <w:r>
        <w:t xml:space="preserve"> por la mera circunstancia de que el panel electrónico de votación registró cincuenta y cinco diputados presentes, situándose en sesenta y siete la mayoría de los miembros del Pleno y, por tanto, las exigencias estatutarias y reglamentarias de </w:t>
      </w:r>
      <w:r w:rsidRPr="009D7677">
        <w:rPr>
          <w:i/>
        </w:rPr>
        <w:t>quorum</w:t>
      </w:r>
      <w:r>
        <w:t xml:space="preserve">. No habiendo quedado acreditado la falta de </w:t>
      </w:r>
      <w:r w:rsidRPr="009D7677">
        <w:rPr>
          <w:i/>
        </w:rPr>
        <w:t>quorum</w:t>
      </w:r>
      <w:r>
        <w:t>, el cual se presume, salvo que se demuestre lo contrario (artículo 118.2 del Reglamento), la votación fue plenamente válida y la Ley fue aprobada por mayoría (treinta y seis votos a favor y diecinueve en contra), por lo que no cabe considerar la existencia de defectos en el proceso de formación de la voluntad de la Cámara que sean constitutivos de la aducida inconstitucionalidad de la Ley”.</w:t>
      </w:r>
    </w:p>
    <w:p w14:paraId="61C64164" w14:textId="77777777" w:rsidR="009D7677" w:rsidRDefault="009D7677" w:rsidP="009D7677">
      <w:pPr>
        <w:pStyle w:val="TextoNormal"/>
      </w:pPr>
    </w:p>
    <w:p w14:paraId="18AF7E6E" w14:textId="77777777" w:rsidR="009D7677" w:rsidRDefault="009D7677" w:rsidP="009D7677">
      <w:pPr>
        <w:pStyle w:val="TextoNormal"/>
      </w:pPr>
      <w:r>
        <w:t>A juicio de los letrados, esta voluntad obstruccionista se ve confirmada con el abandono masivo del hemiciclo por parte de un gran número de parlamentarios en la sesión de tarde cuando se somete de nuevo a votación la iniciativa, en clara contravención del artículo 120 RAM, según el cual “[d]urante el desarrollo de la votación […] ningún diputado podrá entrar en el salón de sesiones, ni abandonarlo, salvo caso de fuerza mayor y con la venia de la Presidencia”.</w:t>
      </w:r>
    </w:p>
    <w:p w14:paraId="3E7E8FFB" w14:textId="77777777" w:rsidR="009D7677" w:rsidRDefault="009D7677" w:rsidP="009D7677">
      <w:pPr>
        <w:pStyle w:val="TextoNormal"/>
      </w:pPr>
    </w:p>
    <w:p w14:paraId="6AD10DC6" w14:textId="77777777" w:rsidR="009D7677" w:rsidRDefault="009D7677" w:rsidP="009D7677">
      <w:pPr>
        <w:pStyle w:val="TextoNormal"/>
      </w:pPr>
      <w:r>
        <w:t xml:space="preserve">También se reitera el rechazo a la “alteración del orden del día por la Presidencia” denunciada por los recurrentes. Como ya se ha apuntado, la Presidencia de la Cámara trató de despejar las dudas planteadas por los grupos discrepantes, que habían vertido sospechas de ilegitimidad de los acuerdos válidamente adoptados por la mañana, repitiendo la votación en el momento en que se volvió a comprobar que había </w:t>
      </w:r>
      <w:r w:rsidRPr="009D7677">
        <w:rPr>
          <w:i/>
        </w:rPr>
        <w:t>quorum</w:t>
      </w:r>
      <w:r>
        <w:t>, momento en que los grupos discrepantes reiteraron su actitud obstruccionista abandonando masivamente el hemiciclo. Sostiene la representación de la Cámara que la Presidencia, en el ejercicio de sus facultades reglamentarias de ordenación y dirección de los debates, interpretando el Reglamento en caso de duda, sometió la cuestión a nueva votación, aunque la anterior fuese plenamente válida.</w:t>
      </w:r>
    </w:p>
    <w:p w14:paraId="33CE7E04" w14:textId="77777777" w:rsidR="009D7677" w:rsidRDefault="009D7677" w:rsidP="009D7677">
      <w:pPr>
        <w:pStyle w:val="TextoNormal"/>
      </w:pPr>
    </w:p>
    <w:p w14:paraId="6DCB2C8C" w14:textId="71B121EB" w:rsidR="009D7677" w:rsidRDefault="009D7677" w:rsidP="009D7677">
      <w:pPr>
        <w:pStyle w:val="TextoNormal"/>
      </w:pPr>
      <w:r>
        <w:t>Finalmente, la representación de la Asamblea hace algunas consideraciones “[a]cerca de la autonomía parlamentaria”. Autonomía que —contra lo que parecen apuntar los recurrentes— permite asimilar la Asamblea de Madrid a otros Parlamentos que, como exigen el Convenio europeo de derechos humanos y la jurisprudencia del Tribunal Europeo de Derechos Humanos, son “foro de deliberación y debate en el que la aplicación de los principios democráticos exige, también, respetar las decisiones democrática y legítimamente adoptadas”.</w:t>
      </w:r>
    </w:p>
    <w:p w14:paraId="49D0F94A" w14:textId="77777777" w:rsidR="009D7677" w:rsidRDefault="009D7677" w:rsidP="009D7677">
      <w:pPr>
        <w:pStyle w:val="TextoNormal"/>
      </w:pPr>
    </w:p>
    <w:p w14:paraId="0271F242" w14:textId="6867711E" w:rsidR="009D7677" w:rsidRDefault="009D7677" w:rsidP="009D7677">
      <w:pPr>
        <w:pStyle w:val="TextoNormal"/>
      </w:pPr>
      <w:r w:rsidRPr="009D7677">
        <w:rPr>
          <w:rStyle w:val="NumeroAFNegritaCaracter"/>
        </w:rPr>
        <w:t>8</w:t>
      </w:r>
      <w:r>
        <w:t>. Por providencia de 27 de febrero de 2024, se señaló para deliberación y votación de la presente sentencia el día 28 del mismo mes y año.</w:t>
      </w:r>
    </w:p>
    <w:p w14:paraId="2B41BFCB" w14:textId="77777777" w:rsidR="009D7677" w:rsidRDefault="009D7677" w:rsidP="009D7677">
      <w:pPr>
        <w:pStyle w:val="TextoNormal"/>
      </w:pPr>
    </w:p>
    <w:p w14:paraId="4B97912F" w14:textId="77777777" w:rsidR="009D7677" w:rsidRDefault="009D7677" w:rsidP="009D7677">
      <w:pPr>
        <w:pStyle w:val="TextoNormalNegritaCentrado"/>
        <w:keepNext/>
      </w:pPr>
      <w:r>
        <w:t>II. Fundamentos jurídicos</w:t>
      </w:r>
    </w:p>
    <w:p w14:paraId="63E44064" w14:textId="4687320A" w:rsidR="009D7677" w:rsidRDefault="009D7677" w:rsidP="009D7677">
      <w:pPr>
        <w:pStyle w:val="TextoNormalNegritaCentrado"/>
        <w:keepNext/>
      </w:pPr>
    </w:p>
    <w:p w14:paraId="5E238B53" w14:textId="77777777" w:rsidR="009D7677" w:rsidRDefault="009D7677" w:rsidP="009D7677">
      <w:pPr>
        <w:pStyle w:val="TextoNormal"/>
      </w:pPr>
      <w:r w:rsidRPr="009D7677">
        <w:rPr>
          <w:rStyle w:val="NumeroAFNegritaCaracter"/>
        </w:rPr>
        <w:t>1</w:t>
      </w:r>
      <w:r>
        <w:t xml:space="preserve">. </w:t>
      </w:r>
      <w:r w:rsidRPr="009D7677">
        <w:rPr>
          <w:i/>
        </w:rPr>
        <w:t>Objeto del recurso y posiciones de las partes</w:t>
      </w:r>
    </w:p>
    <w:p w14:paraId="15BBD087" w14:textId="77777777" w:rsidR="009D7677" w:rsidRDefault="009D7677" w:rsidP="009D7677">
      <w:pPr>
        <w:pStyle w:val="TextoNormal"/>
      </w:pPr>
    </w:p>
    <w:p w14:paraId="29849A9D" w14:textId="77777777" w:rsidR="009D7677" w:rsidRDefault="009D7677" w:rsidP="009D7677">
      <w:pPr>
        <w:pStyle w:val="TextoNormal"/>
      </w:pPr>
      <w:r>
        <w:t>El presente recurso de inconstitucionalidad, interpuesto de conformidad con el art. 32 LOTC por la representación de cincuenta y ocho senadores y senadoras del Grupo Parla</w:t>
      </w:r>
      <w:r>
        <w:lastRenderedPageBreak/>
        <w:t>mentario Socialista del Senado, tiene por objeto la Ley de la Asamblea de Madrid 1/2020, de 8 de octubre, por la que se modifica la Ley 9/2001, de 17 de julio, del suelo de la Comunidad de Madrid, para el impulso y reactivación de la actividad urbanística, publicada en el “Boletín Oficial de la Comunidad de Madrid” núm. 251, de 15 de octubre de 2020.</w:t>
      </w:r>
    </w:p>
    <w:p w14:paraId="41AAF61A" w14:textId="77777777" w:rsidR="009D7677" w:rsidRDefault="009D7677" w:rsidP="009D7677">
      <w:pPr>
        <w:pStyle w:val="TextoNormal"/>
      </w:pPr>
    </w:p>
    <w:p w14:paraId="0D864803" w14:textId="24E133BF" w:rsidR="009D7677" w:rsidRDefault="009D7677" w:rsidP="009D7677">
      <w:pPr>
        <w:pStyle w:val="TextoNormal"/>
      </w:pPr>
      <w:r>
        <w:t xml:space="preserve">El recurso insta la declaración de inconstitucionalidad de dicha Ley por la concurrencia de vicios de inconstitucionalidad formal asociados a la limitación de la potestad de enmienda que deriva del recurso al procedimiento de lectura única del art. 167.2 RAM y a la insuficiencia del </w:t>
      </w:r>
      <w:r w:rsidRPr="009D7677">
        <w:rPr>
          <w:i/>
        </w:rPr>
        <w:t>quorum</w:t>
      </w:r>
      <w:r>
        <w:t xml:space="preserve"> en la votación destinada a aprobar la Ley. Ambas circunstancias habrían derivado en la lesión de los arts. 1.1, 9.3 y 23.2 CE. Por su parte, las representaciones de la Comunidad de Madrid y de la Asamblea de Madrid interesan la desestimación del recurso, negando la existencia de vicio procedimental alguno y, por tanto, la posibilidad de afectación de la Ley controvertida.</w:t>
      </w:r>
    </w:p>
    <w:p w14:paraId="6130954F" w14:textId="77777777" w:rsidR="009D7677" w:rsidRDefault="009D7677" w:rsidP="009D7677">
      <w:pPr>
        <w:pStyle w:val="TextoNormal"/>
      </w:pPr>
    </w:p>
    <w:p w14:paraId="18BDE290" w14:textId="77777777" w:rsidR="009D7677" w:rsidRDefault="009D7677" w:rsidP="009D7677">
      <w:pPr>
        <w:pStyle w:val="TextoNormal"/>
      </w:pPr>
      <w:r w:rsidRPr="009D7677">
        <w:rPr>
          <w:rStyle w:val="NumeroAFNegritaCaracter"/>
        </w:rPr>
        <w:t>2</w:t>
      </w:r>
      <w:r>
        <w:t xml:space="preserve">. </w:t>
      </w:r>
      <w:r w:rsidRPr="009D7677">
        <w:rPr>
          <w:i/>
        </w:rPr>
        <w:t>Observaciones sobre la pervivencia del objeto del recurso de inconstitucionalidad</w:t>
      </w:r>
    </w:p>
    <w:p w14:paraId="4924A807" w14:textId="77777777" w:rsidR="009D7677" w:rsidRDefault="009D7677" w:rsidP="009D7677">
      <w:pPr>
        <w:pStyle w:val="TextoNormal"/>
      </w:pPr>
    </w:p>
    <w:p w14:paraId="3EA3A7EE" w14:textId="77777777" w:rsidR="009D7677" w:rsidRDefault="009D7677" w:rsidP="009D7677">
      <w:pPr>
        <w:pStyle w:val="TextoNormal"/>
      </w:pPr>
      <w:r>
        <w:t>Después de la interposición del recurso de inconstitucionalidad núm. 231-2021, en el “Boletín Oficial del Estado” del 21 de marzo de 2023 fue publicada la Ley de la Asamblea de Madrid 11/2022, de 21 de diciembre, de medidas urgentes para el impulso de la actividad económica y la modernización de la administración de la Comunidad de Madrid, que contiene una disposición derogatoria única con el siguiente contenido:</w:t>
      </w:r>
    </w:p>
    <w:p w14:paraId="474D8356" w14:textId="77777777" w:rsidR="009D7677" w:rsidRDefault="009D7677" w:rsidP="009D7677">
      <w:pPr>
        <w:pStyle w:val="TextoNormal"/>
      </w:pPr>
    </w:p>
    <w:p w14:paraId="49EA4C86" w14:textId="77777777" w:rsidR="009D7677" w:rsidRDefault="009D7677" w:rsidP="009D7677">
      <w:pPr>
        <w:pStyle w:val="TextoNormal"/>
      </w:pPr>
      <w:r>
        <w:t>“1. Quedan derogadas cuantas disposiciones de igual o inferior rango se opongan a lo establecido en la presente Ley.</w:t>
      </w:r>
    </w:p>
    <w:p w14:paraId="0E0D1E0E" w14:textId="77777777" w:rsidR="009D7677" w:rsidRDefault="009D7677" w:rsidP="009D7677">
      <w:pPr>
        <w:pStyle w:val="TextoNormal"/>
      </w:pPr>
    </w:p>
    <w:p w14:paraId="3CF4DC33" w14:textId="77777777" w:rsidR="009D7677" w:rsidRDefault="009D7677" w:rsidP="009D7677">
      <w:pPr>
        <w:pStyle w:val="TextoNormal"/>
      </w:pPr>
      <w:r>
        <w:t>2. En particular quedan derogadas las siguientes disposiciones:</w:t>
      </w:r>
    </w:p>
    <w:p w14:paraId="405B2770" w14:textId="77777777" w:rsidR="009D7677" w:rsidRDefault="009D7677" w:rsidP="009D7677">
      <w:pPr>
        <w:pStyle w:val="TextoNormal"/>
      </w:pPr>
    </w:p>
    <w:p w14:paraId="44EF0101" w14:textId="77777777" w:rsidR="009D7677" w:rsidRDefault="009D7677" w:rsidP="009D7677">
      <w:pPr>
        <w:pStyle w:val="TextoNormal"/>
      </w:pPr>
      <w:r>
        <w:t>[…]</w:t>
      </w:r>
    </w:p>
    <w:p w14:paraId="2D359C74" w14:textId="77777777" w:rsidR="009D7677" w:rsidRDefault="009D7677" w:rsidP="009D7677">
      <w:pPr>
        <w:pStyle w:val="TextoNormal"/>
      </w:pPr>
    </w:p>
    <w:p w14:paraId="605169E9" w14:textId="77777777" w:rsidR="009D7677" w:rsidRDefault="009D7677" w:rsidP="009D7677">
      <w:pPr>
        <w:pStyle w:val="TextoNormal"/>
      </w:pPr>
      <w:r>
        <w:t>i) La Ley 1/2020, de 8 de octubre, para el impulso y reactivación de la actividad urbanística, por la que se modifica la Ley 9/2001, de 17 de julio, del suelo de la Comunidad de Madrid”.</w:t>
      </w:r>
    </w:p>
    <w:p w14:paraId="291DF0E1" w14:textId="77777777" w:rsidR="009D7677" w:rsidRDefault="009D7677" w:rsidP="009D7677">
      <w:pPr>
        <w:pStyle w:val="TextoNormal"/>
      </w:pPr>
    </w:p>
    <w:p w14:paraId="1D7140DF" w14:textId="77777777" w:rsidR="009D7677" w:rsidRDefault="009D7677" w:rsidP="009D7677">
      <w:pPr>
        <w:pStyle w:val="TextoNormal"/>
      </w:pPr>
      <w:r>
        <w:t>Así, la Ley objeto de este proceso ha quedado enteramente derogada por una ley posterior. Por este motivo, antes de entrar a analizar los concretos vicios de inconstitucionalidad alegados por los recurrentes en su demanda, debemos recordar, citando el fundamento jurídico 1 del ATC 147/2009, de 12 de mayo, que este tribunal viene manteniendo que, en el caso de recursos de inconstitucionalidad como el que ahora nos ocupa, “puede decirse que por regla general la modificación, derogación o pérdida de vigencia de los preceptos legales controvertidos conlleva la extinción del objeto del proceso constitucional (al respecto, STC 196/1997, de 13 de noviembre, FJ 2)”. Ello se aplica en particular cuando nos encontramos ante impugnaciones basadas en motivos sustantivos, como puede ser la vulneración de derechos fundamentales, en cuyo caso, la sola constatación de que la redacción impugnada ha dejado de estar en vigor determina, como regla general, la pérdida sobrevenida de objeto del recurso de inconstitucionalidad [por todas, STC 140/2016, de 21 de julio, FJ 2 b)].</w:t>
      </w:r>
    </w:p>
    <w:p w14:paraId="4DD30F55" w14:textId="77777777" w:rsidR="009D7677" w:rsidRDefault="009D7677" w:rsidP="009D7677">
      <w:pPr>
        <w:pStyle w:val="TextoNormal"/>
      </w:pPr>
    </w:p>
    <w:p w14:paraId="52702373" w14:textId="77777777" w:rsidR="009D7677" w:rsidRDefault="009D7677" w:rsidP="009D7677">
      <w:pPr>
        <w:pStyle w:val="TextoNormal"/>
      </w:pPr>
      <w:r>
        <w:lastRenderedPageBreak/>
        <w:t>Como recordábamos en la STC 10/2023, de 23 de febrero, FJ 2, a esta regla general válida para los recursos de inconstitucionalidad, sin embargo, le acompañan dos excepciones que se identifican claramente en nuestra jurisprudencia previa.</w:t>
      </w:r>
    </w:p>
    <w:p w14:paraId="0D6E96EF" w14:textId="77777777" w:rsidR="009D7677" w:rsidRDefault="009D7677" w:rsidP="009D7677">
      <w:pPr>
        <w:pStyle w:val="TextoNormal"/>
      </w:pPr>
    </w:p>
    <w:p w14:paraId="7C1D15A5" w14:textId="77777777" w:rsidR="009D7677" w:rsidRDefault="009D7677" w:rsidP="009D7677">
      <w:pPr>
        <w:pStyle w:val="TextoNormal"/>
      </w:pPr>
      <w:r>
        <w:t>La primera se refiere a la impugnación, mediante recurso abstracto, de la constitucionalidad de los decretos-leyes por falta de concurrencia del presupuesto habilitante (</w:t>
      </w:r>
      <w:r w:rsidRPr="009D7677">
        <w:rPr>
          <w:i/>
        </w:rPr>
        <w:t>ex</w:t>
      </w:r>
      <w:r>
        <w:t xml:space="preserve"> art. 86.1 CE). En estos casos una reiterada jurisprudencia sostiene que la modificación legislativa posterior del decreto-ley impugnado, no impide a la jurisdicción constitucional controlar si la potestad reconocida al Gobierno por el art. 86.1 CE se ejerció siguiendo los requisitos establecidos en dicho precepto constitucional. La razón de ser del mantenimiento del interés del recurso y, por tanto, de la conservación del objeto del mismo, es asegurar que el Tribunal vele “por el recto ejercicio de la potestad de dictar decretos-leyes, dentro del marco constitucional, decidiendo la validez o invalidez de las normas impugnadas, sin atender a su vigencia o derogación en el momento en que se pronuncia el fallo [SSTC 31/2011, de 17 de marzo, FJ 2, y 182/2013, de 23 de octubre, FJ 2 B)]” (STC 34/2017, de 1 de marzo, FJ 2).</w:t>
      </w:r>
    </w:p>
    <w:p w14:paraId="26383D85" w14:textId="77777777" w:rsidR="009D7677" w:rsidRDefault="009D7677" w:rsidP="009D7677">
      <w:pPr>
        <w:pStyle w:val="TextoNormal"/>
      </w:pPr>
    </w:p>
    <w:p w14:paraId="16761B42" w14:textId="77777777" w:rsidR="009D7677" w:rsidRDefault="009D7677" w:rsidP="009D7677">
      <w:pPr>
        <w:pStyle w:val="TextoNormal"/>
      </w:pPr>
      <w:r>
        <w:t>La segunda excepción se identifica en materia de impugnaciones de base competencial, que se articulan a través del recurso de inconstitucionalidad dirigido contra una norma con rango de ley posteriormente derogada o modificada. Aquí, la posición de la jurisprudencia constitucional se basa en el mismo principio sobre la pervivencia del objeto del recurso que inspira la excepción relativa al recurso contra decretos-leyes. En estos supuestos, el mantenimiento del objeto del recurso dependerá de si la nueva normativa, sustitutoria de la impugnada, viene a plantear o no los mismos problemas competenciales señalados en el recurso de inconstitucionalidad [por todas, STC 134/2011, de 20 de julio, FJ 2 b)]. Si los problemas competenciales subsisten, ello justifica la pervivencia del objeto del recurso y de la competencia para resolverlo del Tribunal porque “la función de preservar los ámbitos respectivos de competencias no puede quedar enervada por la sola derogación o modificación de las disposiciones cuya adopción dio lugar al litigio” (STC 18/2016, de 4 de febrero, FJ 2, y jurisprudencia allí citada). Por ello, si “la normativa en relación con la cual se trabó el conflicto no es simplemente derogada, sino parcialmente sustituida por otra que viene a plantear en esencia los mismos problemas competenciales, la doctrina de este tribunal avala la conclusión de la no desaparición del objeto del conflicto” [STC 134/2011, FJ 2 b)].</w:t>
      </w:r>
    </w:p>
    <w:p w14:paraId="45984B20" w14:textId="77777777" w:rsidR="009D7677" w:rsidRDefault="009D7677" w:rsidP="009D7677">
      <w:pPr>
        <w:pStyle w:val="TextoNormal"/>
      </w:pPr>
    </w:p>
    <w:p w14:paraId="53141F46" w14:textId="77777777" w:rsidR="009D7677" w:rsidRDefault="009D7677" w:rsidP="009D7677">
      <w:pPr>
        <w:pStyle w:val="TextoNormal"/>
      </w:pPr>
      <w:r>
        <w:t xml:space="preserve">Existen algunos otros supuestos en los que, pese a que no concurría, </w:t>
      </w:r>
      <w:r w:rsidRPr="009D7677">
        <w:rPr>
          <w:i/>
        </w:rPr>
        <w:t>a priori</w:t>
      </w:r>
      <w:r>
        <w:t xml:space="preserve">, ninguna de las excepciones previstas respecto de la pérdida sobrevenida de objeto de un recurso de inconstitucionalidad, como en la STC 153/2016, de 22 de septiembre, el Pleno del Tribunal decidió continuar con su tramitación. En este supuesto el Tribunal consideró que debía conocer del asunto en ejercicio de su «“función esencial de […] garantizar ‘la primacía de la Constitución’ (art. 27.1 LOTC) y asegurar en todo momento, sin solución de continuidad, el correcto funcionamiento del sistema de producción normativa preconizado por la Norma fundamental, depurando y expulsando del ordenamiento las normas impugnadas que se aparten de dicho sistema, con independencia de que se encuentren o no en vigor cuando se declara su inconstitucionalidad. Es la pureza misma del ordenamiento jurídico la que se ventila en esta sede jurisdiccional, y ello ha de decidirse en términos de validez o invalidez </w:t>
      </w:r>
      <w:r w:rsidRPr="009D7677">
        <w:rPr>
          <w:i/>
        </w:rPr>
        <w:t>ex origine</w:t>
      </w:r>
      <w:r>
        <w:t xml:space="preserve"> de las normas impugnadas, sin atender a su vigencia o derogación en el momento en que se pronuncia el fallo constitucional” (STC 136/2011, de 13 de sep</w:t>
      </w:r>
      <w:r>
        <w:lastRenderedPageBreak/>
        <w:t>tiembre, FJ 2)». Sin embargo, a diferencia de lo que allí ocurría, el presente recurso de inconstitucionalidad se basa únicamente en elementos procedimentales que pueden haber vulnerado el art. 23.2 CE. Este mismo objeto es el que ha sido planteado en tres recursos de amparo, los núm. 27-2021, 29-2021 y 31-2021, interpuestos, respectivamente, por diputados y diputadas del Grupo Parlamentario Más Madrid, del Grupo Parlamentario Unidas Podemos-Izquierda Unida-Madrid en Pie, y del Grupo Parlamentario Socialista, todos de la Asamblea de Madrid, por lo que la vulneración del derecho fundamental afectado por la actuación de los órganos de la Asamblea de Madrid será, en su caso, restituida en aquellos procesos, especialmente diseñados para la tutela de los derechos y libertades fundamentales, también en la tramitación legislativa a través del art. 42 LOTC.</w:t>
      </w:r>
    </w:p>
    <w:p w14:paraId="22F11ACC" w14:textId="77777777" w:rsidR="009D7677" w:rsidRDefault="009D7677" w:rsidP="009D7677">
      <w:pPr>
        <w:pStyle w:val="TextoNormal"/>
      </w:pPr>
    </w:p>
    <w:p w14:paraId="02CBE9CC" w14:textId="77777777" w:rsidR="009D7677" w:rsidRDefault="009D7677" w:rsidP="009D7677">
      <w:pPr>
        <w:pStyle w:val="TextoNormal"/>
      </w:pPr>
      <w:r>
        <w:t>Tampoco parecía acogerse a la regla general fijada por el Tribunal Constitucional en su doctrina relativa a la pérdida sobrevenida de objeto la más reciente STC 44/2023, de 9 de mayo, en que se resolvía el recurso de inconstitucionalidad interpuesto contra determinados preceptos de la Ley Orgánica 2/2010, de 3 de marzo, de salud sexual y reproductiva y de la interrupción voluntaria del embarazo, y en particular contra su disposición final segunda, de modificación de la Ley 41/2002, de 14 de noviembre, básica reguladora de la autonomía del paciente y de derechos y obligaciones en materia de información y documentación clínica. Con posterioridad a la interposición de aquel recurso de inconstitucionalidad, se produjeron modificaciones sobrevenidas de las leyes impugnadas, hecho que provocó que el Tribunal se preguntara sobre la necesidad de continuar con su estudio o, en cambio, decidir que, al menos parcialmente, se había producido una pérdida sobrevenida del objeto del recurso y por tanto no era necesario pronunciarse sobre los vicios de constitucionalidad alegados. No obstante, el Tribunal señaló que no se trataba de valorar el efecto del principio de sucesión en el tiempo de las normas, sino de enjuiciar la constitucionalidad de un cambio de modelo en la regulación de la salud sexual y reproductiva y de la interrupción voluntaria del embarazo de las mujeres. Así, independientemente de las modificaciones legislativas acaecidas, el Tribunal Constitucional creyó necesario pronunciarse sobre el fondo del asunto. Ninguna razón equivalente, o de interés público, está presente en el recurso de inconstitucionalidad que ahora nos ocupa.</w:t>
      </w:r>
    </w:p>
    <w:p w14:paraId="7B24038F" w14:textId="77777777" w:rsidR="009D7677" w:rsidRDefault="009D7677" w:rsidP="009D7677">
      <w:pPr>
        <w:pStyle w:val="TextoNormal"/>
      </w:pPr>
    </w:p>
    <w:p w14:paraId="7553ED52" w14:textId="2F85BA3B" w:rsidR="009D7677" w:rsidRDefault="009D7677" w:rsidP="009D7677">
      <w:pPr>
        <w:pStyle w:val="TextoNormal"/>
      </w:pPr>
      <w:r>
        <w:t>En conclusión, en aplicación de los criterios seguidos por la doctrina reiterada de este tribunal, hemos de apreciar la desaparición del objeto del recurso en relación con las vulneraciones constitucionales invocadas por los recurrentes respecto de la existencia de vicios procedimentales en la aprobación de la Ley de la Asamblea de Madrid 1/2020, de 8 de octubre, por la que se modifica la Ley 9/2001, de 17 de julio, del suelo de la Comunidad de Madrid, para el impulso y reactivación de la actividad urbanística. Las quejas alegadas han desaparecido sobrevenidamente al haber sido derogada la ley resultante por una regulación posterior, sin que concurra, tampoco, ninguno de los supuestos que contempla la doctrina de este tribunal para justificar el enjuiciamiento de normas legales derogadas.</w:t>
      </w:r>
    </w:p>
    <w:p w14:paraId="7AB5046B" w14:textId="77777777" w:rsidR="009D7677" w:rsidRDefault="009D7677" w:rsidP="009D7677">
      <w:pPr>
        <w:pStyle w:val="TextoNormal"/>
      </w:pPr>
    </w:p>
    <w:p w14:paraId="1921DE61" w14:textId="77777777" w:rsidR="009D7677" w:rsidRDefault="009D7677" w:rsidP="009D7677">
      <w:pPr>
        <w:pStyle w:val="TextoNormalCentrado"/>
        <w:keepNext/>
      </w:pPr>
      <w:r>
        <w:t>FALLO</w:t>
      </w:r>
    </w:p>
    <w:p w14:paraId="39AD4EC1" w14:textId="48B31462" w:rsidR="009D7677" w:rsidRDefault="009D7677" w:rsidP="009D7677">
      <w:pPr>
        <w:pStyle w:val="TextoNormalCentrado"/>
        <w:keepNext/>
      </w:pPr>
    </w:p>
    <w:p w14:paraId="1733A059" w14:textId="6D728F4B" w:rsidR="009D7677" w:rsidRDefault="009D7677" w:rsidP="009D7677">
      <w:pPr>
        <w:pStyle w:val="TextoNormal"/>
      </w:pPr>
      <w:r>
        <w:t xml:space="preserve">En atención a todo lo expuesto, el Tribunal Constitucional, por la autoridad que le confiere la Constitución de la Nación española, ha decidido declarar extinguido, por pérdida sobrevenida del objeto, el presente recurso de inconstitucionalidad núm. 231-2021, promovido por más de cincuenta senadores y senadoras del Grupo Parlamentario Socialista, contra la Ley 1/2020, de 8 de octubre, por la que se modifica la Ley 9/2001, de 17 de julio, </w:t>
      </w:r>
      <w:r>
        <w:lastRenderedPageBreak/>
        <w:t>del suelo de la Comunidad de Madrid, para el impulso y reactivación de la actividad urbanística.</w:t>
      </w:r>
    </w:p>
    <w:p w14:paraId="3F40405F" w14:textId="77777777" w:rsidR="009D7677" w:rsidRDefault="009D7677" w:rsidP="009D7677">
      <w:pPr>
        <w:pStyle w:val="TextoNormal"/>
      </w:pPr>
    </w:p>
    <w:p w14:paraId="144E5AE6" w14:textId="77777777" w:rsidR="009D7677" w:rsidRDefault="009D7677" w:rsidP="009D7677">
      <w:pPr>
        <w:pStyle w:val="TextoNormal"/>
      </w:pPr>
      <w:r>
        <w:t>Publíquese esta sentencia en el “Boletín Oficial del Estado”.</w:t>
      </w:r>
    </w:p>
    <w:p w14:paraId="6ED387AF" w14:textId="77777777" w:rsidR="009D7677" w:rsidRDefault="009D7677" w:rsidP="009D7677">
      <w:pPr>
        <w:pStyle w:val="TextoNormal"/>
      </w:pPr>
      <w:r>
        <w:t>Dada en Madrid, a veintiocho de febrero de dos mil veinticuatro.</w:t>
      </w:r>
    </w:p>
    <w:p w14:paraId="2FD49851" w14:textId="09E43917" w:rsidR="009D7677" w:rsidRDefault="009D7677">
      <w:pPr>
        <w:spacing w:after="160" w:line="259" w:lineRule="auto"/>
        <w:rPr>
          <w:rFonts w:ascii="Times New Roman" w:eastAsia="Times New Roman" w:hAnsi="Times New Roman" w:cs="Times New Roman"/>
          <w:sz w:val="24"/>
          <w:szCs w:val="24"/>
          <w:lang w:eastAsia="es-ES"/>
        </w:rPr>
      </w:pPr>
      <w:r>
        <w:br w:type="page"/>
      </w:r>
    </w:p>
    <w:p w14:paraId="107F6046" w14:textId="77777777" w:rsidR="009D7677" w:rsidRDefault="009D7677" w:rsidP="009D7677">
      <w:pPr>
        <w:pStyle w:val="TtuloResolucin"/>
      </w:pPr>
      <w:bookmarkStart w:id="32" w:name="SENTENCIA_2024_30"/>
      <w:r>
        <w:lastRenderedPageBreak/>
        <w:t>SENTENCIA 30/2024, de 28 de febrero de 2024</w:t>
      </w:r>
    </w:p>
    <w:bookmarkEnd w:id="32"/>
    <w:p w14:paraId="10380691" w14:textId="77777777" w:rsidR="009D7677" w:rsidRDefault="009D7677" w:rsidP="009D7677">
      <w:pPr>
        <w:pStyle w:val="TtuloResolucin"/>
      </w:pPr>
      <w:r>
        <w:t>Pleno</w:t>
      </w:r>
    </w:p>
    <w:p w14:paraId="0215625B" w14:textId="77777777" w:rsidR="009D7677" w:rsidRDefault="009D7677" w:rsidP="009D7677">
      <w:pPr>
        <w:pStyle w:val="TtuloBOE"/>
      </w:pPr>
      <w:r>
        <w:t>(BOE núm. 82, de 3 de abril de 2024)</w:t>
      </w:r>
    </w:p>
    <w:p w14:paraId="32EF2946" w14:textId="77777777" w:rsidR="009D7677" w:rsidRDefault="009D7677" w:rsidP="009D7677">
      <w:pPr>
        <w:pStyle w:val="TextoNormalCentrado"/>
      </w:pPr>
      <w:r>
        <w:t>ECLI:ES:TC:2024:30</w:t>
      </w:r>
    </w:p>
    <w:p w14:paraId="67DC7AF5" w14:textId="1065F831" w:rsidR="009D7677" w:rsidRDefault="009D7677" w:rsidP="009D7677">
      <w:pPr>
        <w:pStyle w:val="TextoNormalCentrado"/>
      </w:pPr>
    </w:p>
    <w:p w14:paraId="35EAABE7" w14:textId="77777777" w:rsidR="009D7677" w:rsidRDefault="009D7677" w:rsidP="009D7677">
      <w:pPr>
        <w:pStyle w:val="SntesisDescriptiva"/>
      </w:pPr>
      <w:r>
        <w:t>Recurso de amparo 1209-2021. Promovido por doña Concepción Gamarra Ruiz-Clavijo y doña Isabel María Borrego Cortés, en relación con los acuerdos de las mesas del Congreso de los Diputados y de la Comisión de Justicia de esta Cámara sobre tramitación de la proposición de ley orgánica para el establecimiento del régimen jurídico aplicable al Consejo General del Poder Judicial en funciones, que implicaron, en particular, el rechazo de la solicitud de comparecencias de expertos y petición de diversos informes.</w:t>
      </w:r>
    </w:p>
    <w:p w14:paraId="3364FA2F" w14:textId="4AD70514" w:rsidR="009D7677" w:rsidRDefault="009D7677" w:rsidP="009D7677">
      <w:pPr>
        <w:pStyle w:val="SntesisDescriptiva"/>
      </w:pPr>
    </w:p>
    <w:p w14:paraId="1CB28D30" w14:textId="77777777" w:rsidR="009D7677" w:rsidRDefault="009D7677" w:rsidP="009D7677">
      <w:pPr>
        <w:pStyle w:val="SntesisAnaltica"/>
      </w:pPr>
      <w:r>
        <w:t>Supuesta vulneración del derecho al ejercicio de las funciones representativas: rechazo fundado de unas peticiones que afectaban a iniciativas de carácter potestativo y discrecional en la tramitación parlamentaria de la ley orgánica enjuiciada en las SSTC 128/2023 y 15/2024. Votos particulares.</w:t>
      </w:r>
    </w:p>
    <w:p w14:paraId="074E3C9A" w14:textId="07ECA640" w:rsidR="009D7677" w:rsidRDefault="009D7677" w:rsidP="009D7677">
      <w:pPr>
        <w:pStyle w:val="SntesisAnaltica"/>
      </w:pPr>
    </w:p>
    <w:p w14:paraId="511445E0" w14:textId="780E4E67" w:rsidR="009D7677" w:rsidRDefault="009D7677" w:rsidP="009D7677">
      <w:pPr>
        <w:pStyle w:val="Extracto"/>
      </w:pPr>
      <w:r>
        <w:t>1.</w:t>
      </w:r>
      <w:r>
        <w:tab/>
        <w:t>Reiteración de doctrina sobre la facultad de la Mesa del Congreso de los Diputados,  relativa a la negativa a solicitar la emisión de un informe al Consejo General del Poder Judicial sobre la proposición de ley orgánica; decisión que no afecta al derecho de representación política de los diputados (SSTC 128/2023 y 15/2024) [FJ 3].</w:t>
      </w:r>
    </w:p>
    <w:p w14:paraId="2F433346" w14:textId="77777777" w:rsidR="009D7677" w:rsidRDefault="009D7677" w:rsidP="009D7677">
      <w:pPr>
        <w:pStyle w:val="Extracto"/>
      </w:pPr>
    </w:p>
    <w:p w14:paraId="2E92727D" w14:textId="2A112255" w:rsidR="009D7677" w:rsidRDefault="009D7677" w:rsidP="009D7677">
      <w:pPr>
        <w:pStyle w:val="Extracto"/>
      </w:pPr>
      <w:r>
        <w:t>2.</w:t>
      </w:r>
      <w:r>
        <w:tab/>
        <w:t>El derecho de representación política (art. 23.2 CE) garantiza que los representantes políticos puedan desempeñar su función de conformidad con lo que la ley disponga; es un derecho de configuración legal, por lo que compete a los reglamentos parlamentarios fijar y ordenar los derechos y atribuciones que a los representantes políticos corresponden, cuya contravención solo resulta lesiva del art. 23.2 CE si afectan a la igualdad entre representantes o contrarían la naturaleza de la representación por afectar al núcleo de sus derechos y facultades [FJ 4].</w:t>
      </w:r>
    </w:p>
    <w:p w14:paraId="46C20881" w14:textId="77777777" w:rsidR="009D7677" w:rsidRDefault="009D7677" w:rsidP="009D7677">
      <w:pPr>
        <w:pStyle w:val="Extracto"/>
      </w:pPr>
    </w:p>
    <w:p w14:paraId="03E9BDB0" w14:textId="7FB04C1E" w:rsidR="009D7677" w:rsidRDefault="009D7677" w:rsidP="009D7677">
      <w:pPr>
        <w:pStyle w:val="Extracto"/>
      </w:pPr>
      <w:r>
        <w:t>3.</w:t>
      </w:r>
      <w:r>
        <w:tab/>
        <w:t>El principio de autonomía parlamentaria (art. 72.1 CE) incluye la autonomía normativa, que comporta el reconocimiento de que sus órganos están dotados de un margen de interpretación suficiente de su reglamentación que cuenta con ciertos límites: entre otros, debe hacerse una exégesis restrictiva de las normas limitativas de los derechos o atribuciones del representante público y motivar las razones de su aplicación y de la necesidad de que los acuerdos restrictivos del</w:t>
      </w:r>
      <w:r w:rsidRPr="009D7677">
        <w:rPr>
          <w:i/>
        </w:rPr>
        <w:t xml:space="preserve"> ius in officium </w:t>
      </w:r>
      <w:r>
        <w:t>no resulten arbitrarios o manifiestamente irrazonables, para lo que deben incorporar una motivación expresa, suficiente y adecuada (SSTC 25/2023 o 93/2023) [FJ 4].</w:t>
      </w:r>
    </w:p>
    <w:p w14:paraId="28F28D91" w14:textId="77777777" w:rsidR="009D7677" w:rsidRDefault="009D7677" w:rsidP="009D7677">
      <w:pPr>
        <w:pStyle w:val="Extracto"/>
      </w:pPr>
    </w:p>
    <w:p w14:paraId="033DBD9F" w14:textId="77777777" w:rsidR="009D7677" w:rsidRDefault="009D7677" w:rsidP="009D7677">
      <w:pPr>
        <w:pStyle w:val="Extracto"/>
      </w:pPr>
    </w:p>
    <w:p w14:paraId="4E4FCADA" w14:textId="77777777" w:rsidR="009D7677" w:rsidRDefault="009D7677" w:rsidP="009D7677">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doña Concepción Espejel Jorquera, doña María Luisa Segoviano Astaburuaga, don César Tolosa Tribiño y doña Laura Díez Bueso, ha pronunciado</w:t>
      </w:r>
    </w:p>
    <w:p w14:paraId="07199DD2" w14:textId="27359988" w:rsidR="009D7677" w:rsidRDefault="009D7677" w:rsidP="009D7677">
      <w:pPr>
        <w:pStyle w:val="TextoNormal"/>
      </w:pPr>
    </w:p>
    <w:p w14:paraId="71B68346" w14:textId="77777777" w:rsidR="009D7677" w:rsidRDefault="009D7677" w:rsidP="009D7677">
      <w:pPr>
        <w:pStyle w:val="TextoNormalCentrado"/>
        <w:keepNext/>
      </w:pPr>
      <w:r>
        <w:t>EN NOMBRE DEL REY</w:t>
      </w:r>
    </w:p>
    <w:p w14:paraId="5E6A1890" w14:textId="273D3211" w:rsidR="009D7677" w:rsidRDefault="009D7677" w:rsidP="009D7677">
      <w:pPr>
        <w:pStyle w:val="TextoNormalCentrado"/>
        <w:keepNext/>
      </w:pPr>
    </w:p>
    <w:p w14:paraId="32B8429A" w14:textId="77777777" w:rsidR="009D7677" w:rsidRDefault="009D7677" w:rsidP="009D7677">
      <w:pPr>
        <w:pStyle w:val="TextoNormalCentrado"/>
        <w:keepNext/>
      </w:pPr>
    </w:p>
    <w:p w14:paraId="4DF46397" w14:textId="77777777" w:rsidR="009D7677" w:rsidRDefault="009D7677" w:rsidP="009D7677">
      <w:pPr>
        <w:pStyle w:val="TextoNormal"/>
      </w:pPr>
      <w:r>
        <w:t>la siguiente</w:t>
      </w:r>
    </w:p>
    <w:p w14:paraId="2067BAD0" w14:textId="4676930E" w:rsidR="009D7677" w:rsidRDefault="009D7677" w:rsidP="009D7677">
      <w:pPr>
        <w:pStyle w:val="TextoNormal"/>
      </w:pPr>
    </w:p>
    <w:p w14:paraId="6B563450" w14:textId="77777777" w:rsidR="009D7677" w:rsidRDefault="009D7677" w:rsidP="009D7677">
      <w:pPr>
        <w:pStyle w:val="TextoNormalCentrado"/>
        <w:keepNext/>
      </w:pPr>
      <w:r>
        <w:t>SENTENCIA</w:t>
      </w:r>
    </w:p>
    <w:p w14:paraId="582C9AC9" w14:textId="423AF859" w:rsidR="009D7677" w:rsidRDefault="009D7677" w:rsidP="009D7677">
      <w:pPr>
        <w:pStyle w:val="TextoNormalCentrado"/>
        <w:keepNext/>
      </w:pPr>
    </w:p>
    <w:p w14:paraId="528DF8CC" w14:textId="77777777" w:rsidR="009D7677" w:rsidRDefault="009D7677" w:rsidP="009D7677">
      <w:pPr>
        <w:pStyle w:val="TextoNormal"/>
      </w:pPr>
      <w:r>
        <w:t>En el recurso de amparo avocado núm. 1209-2021, promovido por doña Concepción Gamarra Ruiz-Clavijo y doña Isabel María Borrego Cortés, en sus condiciones de portavoz y secretaria general adjunta del Grupo Parlamentario Popular en el Congreso de los Diputados, respectivamente, contra el acuerdo de la mesa del Congreso de los Diputados de 9 de febrero de 2021, por el que se desestima la petición de reconsideración planteada contra el acuerdo de 13 de enero de 2021, sobre diversos aspectos relativos a la tramitación de la proposición de ley orgánica por la que se modifica la Ley Orgánica 6/1985, de 1 de julio, del Poder Judicial, para el establecimiento del régimen jurídico aplicable al Consejo General del Poder Judicial en funciones; y el acuerdo de la mesa de la Comisión de Justicia del Congreso de los Diputados de 16 de febrero de 2021, por el que se desestima la solicitud de comparecencias de expertos en la tramitación de la citada proposición de ley orgánica y la petición de diversos informes. Ha comparecido el Congreso de los Diputados. Ha intervenido el Ministerio Fiscal. Ha sido ponente la magistrada doña María Luisa Segoviano Astaburuaga.</w:t>
      </w:r>
    </w:p>
    <w:p w14:paraId="461667BA" w14:textId="0C2A6C6B" w:rsidR="009D7677" w:rsidRDefault="009D7677" w:rsidP="009D7677">
      <w:pPr>
        <w:pStyle w:val="TextoNormal"/>
      </w:pPr>
    </w:p>
    <w:p w14:paraId="6A3219DD" w14:textId="77777777" w:rsidR="009D7677" w:rsidRDefault="009D7677" w:rsidP="009D7677">
      <w:pPr>
        <w:pStyle w:val="TextoNormalNegritaCentrado"/>
        <w:keepNext/>
      </w:pPr>
      <w:r>
        <w:t>I. Antecedentes</w:t>
      </w:r>
    </w:p>
    <w:p w14:paraId="5C8CEA92" w14:textId="250FCCD7" w:rsidR="009D7677" w:rsidRDefault="009D7677" w:rsidP="009D7677">
      <w:pPr>
        <w:pStyle w:val="TextoNormalNegritaCentrado"/>
        <w:keepNext/>
      </w:pPr>
    </w:p>
    <w:p w14:paraId="7AA6B860" w14:textId="32D8589C" w:rsidR="009D7677" w:rsidRDefault="009D7677" w:rsidP="009D7677">
      <w:pPr>
        <w:pStyle w:val="TextoNormal"/>
      </w:pPr>
      <w:r w:rsidRPr="009D7677">
        <w:rPr>
          <w:rStyle w:val="NumeroAFNegritaCaracter"/>
        </w:rPr>
        <w:t>1</w:t>
      </w:r>
      <w:r>
        <w:t>. Doña Concepción Gamarra Ruiz-Clavijo y doña Isabel María Borrego Cortés, en sus condiciones de portavoz y secretaria general adjunta del Grupo Parlamentario Popular en el Congreso de los Diputados, respectivamente, representadas por el procurador de los tribunales don Manuel Sánchez-Puelles y González-Carvajal, bajo la dirección del letrado don Jaime Eduardo de Olano Vela, interpusieron recurso de amparo contra los acuerdos mencionados en el encabezamiento de esta sentencia mediante escrito registrado en este tribunal el 3 de marzo de 2021.</w:t>
      </w:r>
    </w:p>
    <w:p w14:paraId="214B04D6" w14:textId="77777777" w:rsidR="009D7677" w:rsidRDefault="009D7677" w:rsidP="009D7677">
      <w:pPr>
        <w:pStyle w:val="TextoNormal"/>
      </w:pPr>
    </w:p>
    <w:p w14:paraId="0D4CF2EA" w14:textId="77777777" w:rsidR="009D7677" w:rsidRDefault="009D7677" w:rsidP="009D7677">
      <w:pPr>
        <w:pStyle w:val="TextoNormal"/>
      </w:pPr>
      <w:r w:rsidRPr="009D7677">
        <w:rPr>
          <w:rStyle w:val="NumeroAFNegritaCaracter"/>
        </w:rPr>
        <w:t>2</w:t>
      </w:r>
      <w:r>
        <w:t>. El recurso tiene su origen en los siguientes antecedentes:</w:t>
      </w:r>
    </w:p>
    <w:p w14:paraId="620A0CAE" w14:textId="77777777" w:rsidR="009D7677" w:rsidRDefault="009D7677" w:rsidP="009D7677">
      <w:pPr>
        <w:pStyle w:val="TextoNormal"/>
      </w:pPr>
    </w:p>
    <w:p w14:paraId="7BBDF7AF" w14:textId="77777777" w:rsidR="009D7677" w:rsidRDefault="009D7677" w:rsidP="009D7677">
      <w:pPr>
        <w:pStyle w:val="TextoNormal"/>
      </w:pPr>
      <w:r>
        <w:t>a) Los grupos parlamentarios Socialista y Confederal de Unidas Podemos-En Comú Podem-Galicia en Común registraron el 2 de diciembre de 2020 en el Congreso de los Diputados la proposición de ley orgánica por la que se modifica la Ley Orgánica 6/1985, de 1 de julio, del Poder Judicial, para el establecimiento del régimen jurídico aplicable al Consejo General del Poder Judicial en funciones, dando lugar al expediente núm. 122/000109.</w:t>
      </w:r>
    </w:p>
    <w:p w14:paraId="7B98E5A7" w14:textId="77777777" w:rsidR="009D7677" w:rsidRDefault="009D7677" w:rsidP="009D7677">
      <w:pPr>
        <w:pStyle w:val="TextoNormal"/>
      </w:pPr>
    </w:p>
    <w:p w14:paraId="25FF2EFB" w14:textId="77777777" w:rsidR="009D7677" w:rsidRDefault="009D7677" w:rsidP="009D7677">
      <w:pPr>
        <w:pStyle w:val="TextoNormal"/>
      </w:pPr>
      <w:r>
        <w:t>Los grupos parlamentarios proponentes, tras la toma en consideración por el Pleno de esta iniciativa, solicitaron el 16 de diciembre de 2020 a la mesa del Congreso de los Diputados, al amparo del art. 93 del Reglamento del Congreso de los Diputados (RCD), que fuera tramitada por el procedimiento de urgencia. El Grupo Parlamentario Popular, me</w:t>
      </w:r>
      <w:r>
        <w:lastRenderedPageBreak/>
        <w:t>diante escrito de 18 de diciembre de 2020, se opuso a dicha solicitud alegando la necesidad de disponer del tiempo necesario para el debate y análisis de la iniciativa.</w:t>
      </w:r>
    </w:p>
    <w:p w14:paraId="00F1AF52" w14:textId="77777777" w:rsidR="009D7677" w:rsidRDefault="009D7677" w:rsidP="009D7677">
      <w:pPr>
        <w:pStyle w:val="TextoNormal"/>
      </w:pPr>
    </w:p>
    <w:p w14:paraId="7FA30C7F" w14:textId="77777777" w:rsidR="009D7677" w:rsidRDefault="009D7677" w:rsidP="009D7677">
      <w:pPr>
        <w:pStyle w:val="TextoNormal"/>
      </w:pPr>
      <w:r>
        <w:t>El Grupo Parlamentario Popular, mediante escrito de 2 de enero de 2021, pidió a la mesa que se solicitaran informes sobre esta proposición de ley orgánica al Consejo General del Poder Judicial y a la Comisión Europea para la Democracia a través del Derecho del Consejo de Europa (Comisión de Venecia) y, de conformidad con el art. 44.4 RCD, que se diese audiencia a los agentes afectados por la reforma propuesta, “en particular al Consejo General del Poder Judicial, las asociaciones de jueces y fiscales, así como a las demás entidades representativas e instituciones públicas del ámbito de la justicia en España”.</w:t>
      </w:r>
    </w:p>
    <w:p w14:paraId="420F4C74" w14:textId="77777777" w:rsidR="009D7677" w:rsidRDefault="009D7677" w:rsidP="009D7677">
      <w:pPr>
        <w:pStyle w:val="TextoNormal"/>
      </w:pPr>
    </w:p>
    <w:p w14:paraId="7D636F21" w14:textId="77777777" w:rsidR="009D7677" w:rsidRDefault="009D7677" w:rsidP="009D7677">
      <w:pPr>
        <w:pStyle w:val="TextoNormal"/>
      </w:pPr>
      <w:r>
        <w:t>b) La mesa acordó el 13 de enero de 2021 (i) que la proposición de ley se tramitase por el procedimiento de urgencia de conformidad con lo establecido en el art. 93 RCD, rechazando con ello la petición en contra del Grupo Parlamentario Popular, y (ii) desestimar las solicitudes de ese mismo grupo en relación con la emisión de informes y dar audiencia a los agentes afectados, “de acuerdo con el carácter potestativo con que se prevé la solicitud de informe y una vez ponderadas las circunstancias que concurren en el presente caso, todo ello conforme a lo dispuesto en el artículo 561 de la Ley Orgánica 6/1985, de 1 de julio, del Poder Judicial”.</w:t>
      </w:r>
    </w:p>
    <w:p w14:paraId="48E04B3C" w14:textId="77777777" w:rsidR="009D7677" w:rsidRDefault="009D7677" w:rsidP="009D7677">
      <w:pPr>
        <w:pStyle w:val="TextoNormal"/>
      </w:pPr>
    </w:p>
    <w:p w14:paraId="11D3C7FA" w14:textId="77777777" w:rsidR="009D7677" w:rsidRDefault="009D7677" w:rsidP="009D7677">
      <w:pPr>
        <w:pStyle w:val="TextoNormal"/>
      </w:pPr>
      <w:r>
        <w:t>c) El Grupo Parlamentario Popular mediante escrito de 18 de enero de 2021 formuló, con invocación del art, 23 CE, solicitud de reconsideración, pidiendo, subsidiariamente a la negativa de la emisión de informes del Consejo General del Poder Judicial, de la Comisión de Venecia y de la audiencia a los agentes afectados por la reforma propuesta, que se acuerde “abrir un plazo de comparecencias ante la comisión de justicia para que informen sobre la reforma expertos y representantes de los sectores implicados”.</w:t>
      </w:r>
    </w:p>
    <w:p w14:paraId="4049DB95" w14:textId="77777777" w:rsidR="009D7677" w:rsidRDefault="009D7677" w:rsidP="009D7677">
      <w:pPr>
        <w:pStyle w:val="TextoNormal"/>
      </w:pPr>
    </w:p>
    <w:p w14:paraId="3CF23E46" w14:textId="77777777" w:rsidR="009D7677" w:rsidRDefault="009D7677" w:rsidP="009D7677">
      <w:pPr>
        <w:pStyle w:val="TextoNormal"/>
      </w:pPr>
      <w:r>
        <w:t xml:space="preserve">La mesa del Congreso, por acuerdo de 9 de febrero de 2021 desestimó la solicitud de reconsideración. En relación con la decisión de tramitar la proposición de ley orgánica por el procedimiento de urgencia, se argumenta que se adopta conforme a lo previsto en el art. 93 RCD, que “otorga a la mesa de la Cámara la facultad de acordar tal tramitación, sin establecer ningún otro requisito para ello más que el de la petición de los sujetos legitimados al efecto”. También se señala que de la decisión de la mesa, además de ajustarse plenamente a las previsiones reglamentarias, no cabe derivar una afectación ni de los derechos de los diputados ni de las garantías del procedimiento legislativo, ya que “la jurisprudencia constitucional es clara en el sentido de considerar que este tipo de acuerdos no son revisables en la jurisdicción constitucional y que la reducción del tiempo de tramitación no supone </w:t>
      </w:r>
      <w:r w:rsidRPr="009D7677">
        <w:rPr>
          <w:i/>
        </w:rPr>
        <w:t>per se</w:t>
      </w:r>
      <w:r>
        <w:t xml:space="preserve"> merma alguna de los principios constitucionales que han de informar el procedimiento legislativo”; reproduciendo afirmaciones de las SSTC 136/2011, de 13 de septiembre, FJ 10, y 185/2016, de 3 de noviembre, FJ 5. Se incide, además, en que la proposición de ley llevaba ya dos meses de tramitación en la Cámara, “fijándose el plazo de presentación de enmiendas hasta el 25 de enero de 2021, lo que puede entenderse que es tiempo suficiente tanto para el estudio de la proposición de ley como para la preparación de las enmiendas que se consideren oportunas”.</w:t>
      </w:r>
    </w:p>
    <w:p w14:paraId="5F547C24" w14:textId="77777777" w:rsidR="009D7677" w:rsidRDefault="009D7677" w:rsidP="009D7677">
      <w:pPr>
        <w:pStyle w:val="TextoNormal"/>
      </w:pPr>
    </w:p>
    <w:p w14:paraId="6F5076F2" w14:textId="77777777" w:rsidR="009D7677" w:rsidRDefault="009D7677" w:rsidP="009D7677">
      <w:pPr>
        <w:pStyle w:val="TextoNormal"/>
      </w:pPr>
      <w:r>
        <w:t xml:space="preserve">En relación con la petición de informe al Consejo General del Poder Judicial se argumenta que tiene carácter potestativo conforme al art. 561.1 de la Ley Orgánica del Poder Judicial (LOPJ) por lo que su petición es discrecional para la cámara, incidiendo en que </w:t>
      </w:r>
      <w:r>
        <w:lastRenderedPageBreak/>
        <w:t>los precedentes no muestran un uso parlamentario uniforme. Se afirma que no cabe derivar el carácter preceptivo del informe del Consejo General del Poder Judicial del Derecho de la Unión Europea ni resulta obligado pedir informe a la Comisión de Venecia o dar trámite de audiencia a los agentes afectados, ya que, frente al sentido unívoco de la norma estatal, las recomendaciones o comunicaciones de la Unión Europea citadas en el escrito de reconsideración carecen de cualquier efecto vinculante. También se incide en que no es posible derivar el carácter preceptivo de dichas solicitudes del art. 129 de la Ley 39/2015, de 1 de octubre, del procedimiento administrativo común de las administraciones públicas (LPACAP), que no puede interpretarse, en atención a su ámbito subjetivo de aplicación, “en el sentido de generar una supuesta obligación de la mesa de la Cámara de solicitar el mencionado informe”.</w:t>
      </w:r>
    </w:p>
    <w:p w14:paraId="1FE172AF" w14:textId="77777777" w:rsidR="009D7677" w:rsidRDefault="009D7677" w:rsidP="009D7677">
      <w:pPr>
        <w:pStyle w:val="TextoNormal"/>
      </w:pPr>
    </w:p>
    <w:p w14:paraId="55955077" w14:textId="77777777" w:rsidR="009D7677" w:rsidRDefault="009D7677" w:rsidP="009D7677">
      <w:pPr>
        <w:pStyle w:val="TextoNormal"/>
      </w:pPr>
      <w:r>
        <w:t>Por último, el rechazo a la petición subsidiaria de las comparecencias de expertos en la comisión legislativa correspondiente se fundamenta en que, de acuerdo con el art. 44.4 RCD, esa decisión es competencia de la propia comisión y no de la mesa del Congreso.</w:t>
      </w:r>
    </w:p>
    <w:p w14:paraId="23F62AA2" w14:textId="77777777" w:rsidR="009D7677" w:rsidRDefault="009D7677" w:rsidP="009D7677">
      <w:pPr>
        <w:pStyle w:val="TextoNormal"/>
      </w:pPr>
    </w:p>
    <w:p w14:paraId="455A43C3" w14:textId="77777777" w:rsidR="009D7677" w:rsidRDefault="009D7677" w:rsidP="009D7677">
      <w:pPr>
        <w:pStyle w:val="TextoNormal"/>
      </w:pPr>
      <w:r>
        <w:t>d) La ponencia emitió informe de conformidad sobre la proposición de ley orgánica el 4 de febrero de 2021.</w:t>
      </w:r>
    </w:p>
    <w:p w14:paraId="4E6DD2FE" w14:textId="77777777" w:rsidR="009D7677" w:rsidRDefault="009D7677" w:rsidP="009D7677">
      <w:pPr>
        <w:pStyle w:val="TextoNormal"/>
      </w:pPr>
    </w:p>
    <w:p w14:paraId="433FD588" w14:textId="77777777" w:rsidR="009D7677" w:rsidRDefault="009D7677" w:rsidP="009D7677">
      <w:pPr>
        <w:pStyle w:val="TextoNormal"/>
      </w:pPr>
      <w:r>
        <w:t>El Grupo Parlamentario Popular, mediante escrito de 9 de febrero de 2021, solicitó a la mesa de la Comisión de Justicia una serie de comparecencias de expertos —en concreto la de los portavoces de las cuatro asociaciones profesionales de jueces y magistrados—, así como, de nuevo, la emisión del informe del Consejo General del Poder Judicial y de la Comisión de Venecia.</w:t>
      </w:r>
    </w:p>
    <w:p w14:paraId="3C4A1A12" w14:textId="77777777" w:rsidR="009D7677" w:rsidRDefault="009D7677" w:rsidP="009D7677">
      <w:pPr>
        <w:pStyle w:val="TextoNormal"/>
      </w:pPr>
    </w:p>
    <w:p w14:paraId="2661B21D" w14:textId="32B7CF97" w:rsidR="009D7677" w:rsidRDefault="009D7677" w:rsidP="009D7677">
      <w:pPr>
        <w:pStyle w:val="TextoNormal"/>
      </w:pPr>
      <w:r>
        <w:t>La solicitud fue rechazada por acuerdo de la mesa de la Comisión de 16 de febrero de 2021 incidiendo “en el momento de la tramitación en que se encuentra la citada proposición, que en el día de hoy será objeto de dictamen por la comisión y que ya ha sido informada por la ponencia, así como acuerda dar por reproducidos en esta instancia todos los argumentos esgrimidos con anterioridad por la mesa del Congreso de los Diputados para rechazar las mismas solicitudes de informe”.</w:t>
      </w:r>
    </w:p>
    <w:p w14:paraId="32A75333" w14:textId="77777777" w:rsidR="009D7677" w:rsidRDefault="009D7677" w:rsidP="009D7677">
      <w:pPr>
        <w:pStyle w:val="TextoNormal"/>
      </w:pPr>
    </w:p>
    <w:p w14:paraId="0101A393" w14:textId="77777777" w:rsidR="009D7677" w:rsidRDefault="009D7677" w:rsidP="009D7677">
      <w:pPr>
        <w:pStyle w:val="TextoNormal"/>
      </w:pPr>
      <w:r w:rsidRPr="009D7677">
        <w:rPr>
          <w:rStyle w:val="NumeroAFNegritaCaracter"/>
        </w:rPr>
        <w:t>3</w:t>
      </w:r>
      <w:r>
        <w:t>. Las demandantes de amparo solicitan que se estime el recurso por vulneración de su derecho a ejercer sus funciones representativas (art. 23.2 CE), en relación con el derecho de los ciudadanos a participar en los asuntos públicos a través de sus representantes (art. 23.1 CE), con anulación de los acuerdos impugnados y todos los que de ellos deriven o, subsidiariamente, ordenando la retroacción de actuaciones.</w:t>
      </w:r>
    </w:p>
    <w:p w14:paraId="3C07EAE7" w14:textId="77777777" w:rsidR="009D7677" w:rsidRDefault="009D7677" w:rsidP="009D7677">
      <w:pPr>
        <w:pStyle w:val="TextoNormal"/>
      </w:pPr>
    </w:p>
    <w:p w14:paraId="43B9FC6C" w14:textId="77777777" w:rsidR="009D7677" w:rsidRDefault="009D7677" w:rsidP="009D7677">
      <w:pPr>
        <w:pStyle w:val="TextoNormal"/>
      </w:pPr>
      <w:r>
        <w:t>Las demandantes, tras hacer una exposición de la jurisprudencia constitucional sobre el derecho al ejercicio del cargo representativo (art. 23.2 CE), inciden en que garantiza (i) el derecho de los parlamentarios a desempeñar su labor representativa de conformidad con lo que la ley disponga, (ii) la obligación de los órganos parlamentarios de interpretar restrictivamente las normas que puedan suponer una limitación al ejercicio de este derecho y (iii) el deber de motivar suficiente y adecuadamente las decisiones restrictivas de este derecho; y consideran que estas tres vertientes han sido vulneradas en este caso por los acuerdos impugnados.</w:t>
      </w:r>
    </w:p>
    <w:p w14:paraId="43107691" w14:textId="77777777" w:rsidR="009D7677" w:rsidRDefault="009D7677" w:rsidP="009D7677">
      <w:pPr>
        <w:pStyle w:val="TextoNormal"/>
      </w:pPr>
    </w:p>
    <w:p w14:paraId="32C0E0F7" w14:textId="77777777" w:rsidR="009D7677" w:rsidRDefault="009D7677" w:rsidP="009D7677">
      <w:pPr>
        <w:pStyle w:val="TextoNormal"/>
      </w:pPr>
      <w:r>
        <w:lastRenderedPageBreak/>
        <w:t>Argumentan que los acuerdos de la mesa del Congreso desconocieron la existencia de una obligación jurídica de otorgar audiencia al Consejo General del Poder Judicial, a la Comisión de Venecia, y a los sectores afectados por la reforma, por lo que infringen el derecho a ejercer el cargo representativo “de conformidad con lo que la ley disponga”. Manifiestan que, si bien el art. 561.1 LOPJ solo exige el informe preceptivo para los anteproyectos de ley que versen sobre modificaciones de la Ley Orgánica del Poder Judicial y en el presente caso, al haberse tramitado dicha iniciativa como proposición de ley, el informe sería potestativo, la mesa debería haber accedido a su emisión, ya que la iniciativa legislativa se tramitó como proposición de ley por los grupos parlamentarios que sostienen al Gobierno en fraude de ley para eludir dichos trámites. Afirma que el Derecho de la Unión Europea (arts. 19.1 y 2 del Tratado de la Unión Europea) y la jurisprudencia del Tribunal de Justicia de la Unión Europea, que la interpreta, también exigen la audiencia del Consejo General del Poder Judicial, de la Comisión de Venecia y de los sectores afectados, de forma previa a la implantación de cualquier reforma como la propuesta. Además, insisten en que esta obligación, que debió garantizarse por la mesa, también se infiere de los arts. 129.5 y 133 LPACAP, en aplicación de los principios de “buena regulación” referidos a la transparencia y la seguridad jurídica.</w:t>
      </w:r>
    </w:p>
    <w:p w14:paraId="400670EC" w14:textId="77777777" w:rsidR="009D7677" w:rsidRDefault="009D7677" w:rsidP="009D7677">
      <w:pPr>
        <w:pStyle w:val="TextoNormal"/>
      </w:pPr>
    </w:p>
    <w:p w14:paraId="22C95646" w14:textId="77777777" w:rsidR="009D7677" w:rsidRDefault="009D7677" w:rsidP="009D7677">
      <w:pPr>
        <w:pStyle w:val="TextoNormal"/>
      </w:pPr>
      <w:r>
        <w:t>Las demandantes de amparo también alegan que los acuerdos impugnados de la mesa del Congreso han lesionado el art. 23.2 CE por desconocer, tanto la obligación de interpretar restrictivamente aquellas normas que puedan suponer una limitación al ejercicio del derecho de representación política, como por estar incursos en un defecto de motivación suficiente, adecuada y no arbitraria sobre las razones de adoptar dichas medidas (STC 90/2005). Afirman, en relación con la denegación de la solicitud de informe del Consejo General del Poder Judicial, que se realizó una interpretación restrictiva respecto de la procedencia de su emisión y se motivó sin hacer referencia a las circunstancias que se habían ponderado. Del mismo modo, respecto a la tramitación por el procedimiento de urgencia, señalan que no se ponderaron los derechos de los parlamentarios, las razones de la tramitación acelerada de la iniciativa y la alteración que ello implicaba en la formación de la voluntad de la cámara, limitándose la motivación a afirmar la competencia de la mesa para decidir sobre este extremo.</w:t>
      </w:r>
    </w:p>
    <w:p w14:paraId="05006CEB" w14:textId="77777777" w:rsidR="009D7677" w:rsidRDefault="009D7677" w:rsidP="009D7677">
      <w:pPr>
        <w:pStyle w:val="TextoNormal"/>
      </w:pPr>
    </w:p>
    <w:p w14:paraId="1E471AAA" w14:textId="77777777" w:rsidR="009D7677" w:rsidRDefault="009D7677" w:rsidP="009D7677">
      <w:pPr>
        <w:pStyle w:val="TextoNormal"/>
      </w:pPr>
      <w:r>
        <w:t>Las demandantes de amparo, en lo que respecta al acuerdo de la mesa de la comisión de justicia, ponen de manifiesto que se limitó a remitirse a lo acordado por la mesa del Congreso que se refería específicamente a las solicitudes de informe pero que no daba respuesta a las peticiones de comparecencias siendo, por tanto, un rechazo arbitrario.</w:t>
      </w:r>
    </w:p>
    <w:p w14:paraId="50DD81F9" w14:textId="77777777" w:rsidR="009D7677" w:rsidRDefault="009D7677" w:rsidP="009D7677">
      <w:pPr>
        <w:pStyle w:val="TextoNormal"/>
      </w:pPr>
    </w:p>
    <w:p w14:paraId="3452B691" w14:textId="5FBACF06" w:rsidR="009D7677" w:rsidRDefault="009D7677" w:rsidP="009D7677">
      <w:pPr>
        <w:pStyle w:val="TextoNormal"/>
      </w:pPr>
      <w:r>
        <w:t>Las demandantes afirman que el recurso tiene especial trascendencia constitucional porque plantea una cuestión jurídica que pudiera tener unas consecuencias políticas generales [STC 155/2009, FJ 2 g)], ya que se pretende acometer una reforma que aspira a alterar el régimen competencial del Consejo General del Poder Judicial a través de un procedimiento hermético, opaco y súbito, negándose la audiencia a los expertos e interesados. También ponen de manifiesto que el recurso plantea una cuestión novedosa sobre la que no hay jurisprudencia constitucional [STC 155/2009, FJ 2 a)], como es la relativa a la afectación al art. 23.2 CE por la denegación de informes no preceptivos en la tramitación de iniciativas legislativas, y la existencia de una negativa del deber de acatamiento de la doctrina del Tribunal Constitucional por parte de los órganos parlamentarios autores de los acuerdos recurridos.</w:t>
      </w:r>
    </w:p>
    <w:p w14:paraId="03502759" w14:textId="77777777" w:rsidR="009D7677" w:rsidRDefault="009D7677" w:rsidP="009D7677">
      <w:pPr>
        <w:pStyle w:val="TextoNormal"/>
      </w:pPr>
    </w:p>
    <w:p w14:paraId="31A7EFC1" w14:textId="2C3A0ADD" w:rsidR="009D7677" w:rsidRDefault="009D7677" w:rsidP="009D7677">
      <w:pPr>
        <w:pStyle w:val="TextoNormal"/>
      </w:pPr>
      <w:r w:rsidRPr="009D7677">
        <w:rPr>
          <w:rStyle w:val="NumeroAFNegritaCaracter"/>
        </w:rPr>
        <w:t>4</w:t>
      </w:r>
      <w:r>
        <w:t>. La Sección Segunda de este tribunal, por providencia de 21 de junio de 2021, acordó admitir a trámite el recurso de amparo apreciando que concurre una especial trascendencia constitucional (art. 50.1 de la Ley Orgánica del Tribunal Constitucional: LOTC) porque el recurso plantea un problema o afecta a una faceta de un derecho fundamental sobre el que no hay doctrina de este tribunal [STC 155/2009, FJ 2 a)] y el asunto suscitado trasciende del caso concreto porque pudiera tener unas consecuencias políticas generales [STC 155/2009, FJ 2 g)] y dirigir atenta comunicación al Congreso de los Diputados para la remisión de testimonio del expediente y que se tuviera por emplazado en el recurso de amparo.</w:t>
      </w:r>
    </w:p>
    <w:p w14:paraId="53583406" w14:textId="77777777" w:rsidR="009D7677" w:rsidRDefault="009D7677" w:rsidP="009D7677">
      <w:pPr>
        <w:pStyle w:val="TextoNormal"/>
      </w:pPr>
    </w:p>
    <w:p w14:paraId="570B44A3" w14:textId="693AEB33" w:rsidR="009D7677" w:rsidRDefault="009D7677" w:rsidP="009D7677">
      <w:pPr>
        <w:pStyle w:val="TextoNormal"/>
      </w:pPr>
      <w:r w:rsidRPr="009D7677">
        <w:rPr>
          <w:rStyle w:val="NumeroAFNegritaCaracter"/>
        </w:rPr>
        <w:t>5</w:t>
      </w:r>
      <w:r>
        <w:t>. La Secretaría de Justicia de la Sala Primera del Tribunal, por diligencia de ordenación de 1 de julio de 2021, tuvo por recibido el testimonio del expediente, por personado al Congreso de los Diputados, y acordó dar vista de las actuaciones a las partes personadas y al Ministerio Fiscal, por plazo común de veinte días, a fin de que, conforme con lo previsto en el art. 52 LOTC, pudieran presentar alegaciones.</w:t>
      </w:r>
    </w:p>
    <w:p w14:paraId="71D3DBDE" w14:textId="77777777" w:rsidR="009D7677" w:rsidRDefault="009D7677" w:rsidP="009D7677">
      <w:pPr>
        <w:pStyle w:val="TextoNormal"/>
      </w:pPr>
    </w:p>
    <w:p w14:paraId="7AB7FAB1" w14:textId="77777777" w:rsidR="009D7677" w:rsidRDefault="009D7677" w:rsidP="009D7677">
      <w:pPr>
        <w:pStyle w:val="TextoNormal"/>
      </w:pPr>
      <w:r w:rsidRPr="009D7677">
        <w:rPr>
          <w:rStyle w:val="NumeroAFNegritaCaracter"/>
        </w:rPr>
        <w:t>6</w:t>
      </w:r>
      <w:r>
        <w:t>. El Ministerio Fiscal, por escrito registrado el 28 de septiembre de 2021, interesa que se dicte sentencia desestimando el recurso de amparo con fundamento en que, en relación con la decisión de tramitar la iniciativa legislativa por el procedimiento de urgencia, “de la lectura del Reglamento de la Cámara se desprende que la mesa se ha ajustado a la regulación contenida en el mismo. En primer lugar, resulta que el órgano rector de la Cámara no ha de motivar o justificar su decisión, sino adoptarla en función de la solicitud elevada por los sujetos legitimados para ejercerla (artículo 93.1 RCD). Y, en segundo lugar, resulta que no consta que la tramitación urgente de la proposición de ley a la que se viene haciendo referencia haya impedido a los recurrentes el ejercicio de las facultades que les corresponden como diputados en el seno del procedimiento legislativo”.</w:t>
      </w:r>
    </w:p>
    <w:p w14:paraId="0BA15063" w14:textId="77777777" w:rsidR="009D7677" w:rsidRDefault="009D7677" w:rsidP="009D7677">
      <w:pPr>
        <w:pStyle w:val="TextoNormal"/>
      </w:pPr>
    </w:p>
    <w:p w14:paraId="64DCC098" w14:textId="77777777" w:rsidR="009D7677" w:rsidRDefault="009D7677" w:rsidP="009D7677">
      <w:pPr>
        <w:pStyle w:val="TextoNormal"/>
      </w:pPr>
      <w:r>
        <w:t>El Ministerio Fiscal, por lo que respecta a las decisiones de denegar las peticiones de informe y audiencia de los interesados por parte de la mesa de la cámara, argumenta que de la utilización de cada uno de los mecanismos de iniciativa legislativa por sus legitimados respectivos —proyecto de ley por el Gobierno y proposición de ley por los grupos parlamentarios— no puede obtenerse conclusión distinta que el legítimo ejercicio de facultades constitucionalmente reconocidas y que tampoco cabe derivar del Derecho comunitario o de la normativa administrativa sobre los principios de “buena regulación” la existencia de una obligación jurídica de otorgar audiencia al Consejo General del Poder Judicial, a la Comisión de Venecia o a los agentes afectados por la reforma. En relación con ello, tras analizar la motivación de los acuerdos impugnados para denegar estas solicitudes concluye que no puede afirmarse que existiera un déficit motivacional y que era igualmente conforme a la normativa parlamentaria la argumentación de la mesa de la Cámara denegando la solicitud subsidiaria de comparecencia de expertos con fundamento en que esa decisión debe adoptarla la comisión legislativa correspondiente.</w:t>
      </w:r>
    </w:p>
    <w:p w14:paraId="2D523E9A" w14:textId="77777777" w:rsidR="009D7677" w:rsidRDefault="009D7677" w:rsidP="009D7677">
      <w:pPr>
        <w:pStyle w:val="TextoNormal"/>
      </w:pPr>
    </w:p>
    <w:p w14:paraId="03B8BF5D" w14:textId="544F30AA" w:rsidR="009D7677" w:rsidRDefault="009D7677" w:rsidP="009D7677">
      <w:pPr>
        <w:pStyle w:val="TextoNormal"/>
      </w:pPr>
      <w:r>
        <w:t>El Ministerio Fiscal, por lo que se refiere específicamente a los acuerdos adoptados por la mesa de la Comisión de Justicia del Congreso de los Diputados, también niega que resultaran lesivos del derecho invocado. Afirma que, por lo ya expuesto, la negativa a solicitar informe al Consejo General del Poder Judicial y a la Comisión de Venecia por remi</w:t>
      </w:r>
      <w:r>
        <w:lastRenderedPageBreak/>
        <w:t>sión a lo acordado por la mesa de la Cámara cumple con las exigencias de conformidad normativa y de motivación. Por su parte, respecto a la denegación de la solicitud de comparecencias de expertos, también considera conforme a la normativa parlamentaria la argumentación relativa al momento de la tramitación en que se encontraba la iniciativa, que iba a ser ese mismo día objeto de dictamen por la comisión, una vez que había sido informada por la ponencia, habida cuenta de que resulta coherente con el procedimiento de urgencia seguido para su tramitación.</w:t>
      </w:r>
    </w:p>
    <w:p w14:paraId="213DD369" w14:textId="77777777" w:rsidR="009D7677" w:rsidRDefault="009D7677" w:rsidP="009D7677">
      <w:pPr>
        <w:pStyle w:val="TextoNormal"/>
      </w:pPr>
    </w:p>
    <w:p w14:paraId="46059F33" w14:textId="77777777" w:rsidR="009D7677" w:rsidRDefault="009D7677" w:rsidP="009D7677">
      <w:pPr>
        <w:pStyle w:val="TextoNormal"/>
      </w:pPr>
      <w:r w:rsidRPr="009D7677">
        <w:rPr>
          <w:rStyle w:val="NumeroAFNegritaCaracter"/>
        </w:rPr>
        <w:t>7</w:t>
      </w:r>
      <w:r>
        <w:t>. El Congreso de los Diputados, mediante escrito registrado el 1 de septiembre de 2021, solicita la desestimación del recurso de amparo con fundamento en que no existe ninguna cobertura normativa en el Derecho interno o en el Derecho de la Unión para sustentar la existencia de una eventual obligación jurídica de someter la tramitación de la proposición de ley controvertida a informe del Consejo General del Poder Judicial y de la Comisión de Venecia o a la audiencia de los agentes afectados. Incide en que la exigencia preceptiva del informe del Consejo General del Poder Judicial queda limitada por el art. 561.1.1 LOPJ a los anteproyectos de ley; siendo solo potestativa, de conformidad con el art. 561.1.9 LOPJ, para otro tipo de iniciativas, teniendo la mesa de Cámara la decisión discrecional al respecto.</w:t>
      </w:r>
    </w:p>
    <w:p w14:paraId="3DF965BA" w14:textId="77777777" w:rsidR="009D7677" w:rsidRDefault="009D7677" w:rsidP="009D7677">
      <w:pPr>
        <w:pStyle w:val="TextoNormal"/>
      </w:pPr>
    </w:p>
    <w:p w14:paraId="45F6ACAF" w14:textId="77777777" w:rsidR="009D7677" w:rsidRDefault="009D7677" w:rsidP="009D7677">
      <w:pPr>
        <w:pStyle w:val="TextoNormal"/>
      </w:pPr>
      <w:r>
        <w:t>El Congreso de los Diputados también pone de manifiesto, en relación con la decisión de acceder a la tramitación de la iniciativa por el procedimiento de urgencia, que es una decisión discrecional de la mesa, que cuenta como único elemento reglado los sujetos legitimados para instar dicha declaración de urgencia, que no es revisable por la jurisdicción constitucional (STC 136/2011, de 13 de septiembre, FJ 10). Sin perjuicio de ello, se destaca que por la extensión temporal en la que se desarrolló esta iniciativa tampoco cabe apreciar una afectación en los derechos de los parlamentarios.</w:t>
      </w:r>
    </w:p>
    <w:p w14:paraId="23E0D1A8" w14:textId="77777777" w:rsidR="009D7677" w:rsidRDefault="009D7677" w:rsidP="009D7677">
      <w:pPr>
        <w:pStyle w:val="TextoNormal"/>
      </w:pPr>
    </w:p>
    <w:p w14:paraId="5BDC7A0C" w14:textId="0EADD563" w:rsidR="009D7677" w:rsidRDefault="009D7677" w:rsidP="009D7677">
      <w:pPr>
        <w:pStyle w:val="TextoNormal"/>
      </w:pPr>
      <w:r>
        <w:t>El Congreso de los Diputados, respecto del acuerdo de la mesa de la comisión de justicia, afirma que las demandantes recibieron una respuesta debidamente motivada tanto en relación con la reiteración de las peticiones de informe, por remisión a lo ya resuelto por la mesa del Congreso, como sobre la petición de comparecencias, cuya denegación fue justificada en que la ponencia ya había emitido su informe y en ese mismo día iba a dictaminar la comisión. Además, destaca que, al margen de que este acuerdo no exige motivación, la decisión impugnada no vulnera el derecho invocado, “puesto que no existe un derecho absoluto a la celebración de comparecencias, sino que este derecho está configurando reglamentariamente. Y, en este caso la configuración reglamentaria del ejercicio de derecho exige que las comparecencia sean acordadas por la mesa de la comisión en virtud del mencionado artículo 44.2, 3 y 4 del Reglamento”.</w:t>
      </w:r>
    </w:p>
    <w:p w14:paraId="528AF5B7" w14:textId="77777777" w:rsidR="009D7677" w:rsidRDefault="009D7677" w:rsidP="009D7677">
      <w:pPr>
        <w:pStyle w:val="TextoNormal"/>
      </w:pPr>
    </w:p>
    <w:p w14:paraId="2686CA87" w14:textId="1C146EA4" w:rsidR="009D7677" w:rsidRDefault="009D7677" w:rsidP="009D7677">
      <w:pPr>
        <w:pStyle w:val="TextoNormal"/>
      </w:pPr>
      <w:r w:rsidRPr="009D7677">
        <w:rPr>
          <w:rStyle w:val="NumeroAFNegritaCaracter"/>
        </w:rPr>
        <w:t>8</w:t>
      </w:r>
      <w:r>
        <w:t>. Las demandantes de amparo no han presentado alegaciones.</w:t>
      </w:r>
    </w:p>
    <w:p w14:paraId="38073E59" w14:textId="77777777" w:rsidR="009D7677" w:rsidRDefault="009D7677" w:rsidP="009D7677">
      <w:pPr>
        <w:pStyle w:val="TextoNormal"/>
      </w:pPr>
    </w:p>
    <w:p w14:paraId="6D01C09D" w14:textId="77473C85" w:rsidR="009D7677" w:rsidRDefault="009D7677" w:rsidP="009D7677">
      <w:pPr>
        <w:pStyle w:val="TextoNormal"/>
      </w:pPr>
      <w:r w:rsidRPr="009D7677">
        <w:rPr>
          <w:rStyle w:val="NumeroAFNegritaCaracter"/>
        </w:rPr>
        <w:t>9</w:t>
      </w:r>
      <w:r>
        <w:t>. La Sala Primera del Tribunal, por auto 10/2024, de 12 de febrero, aceptó la abstención formulada por el magistrado don Juan Carlos Campo Moreno en este recurso de amparo, apartándole definitivamente de su conocimiento y todas sus incidencias.</w:t>
      </w:r>
    </w:p>
    <w:p w14:paraId="5A915E7A" w14:textId="77777777" w:rsidR="009D7677" w:rsidRDefault="009D7677" w:rsidP="009D7677">
      <w:pPr>
        <w:pStyle w:val="TextoNormal"/>
      </w:pPr>
    </w:p>
    <w:p w14:paraId="27BD35A1" w14:textId="20BF1D5C" w:rsidR="009D7677" w:rsidRDefault="009D7677" w:rsidP="009D7677">
      <w:pPr>
        <w:pStyle w:val="TextoNormal"/>
      </w:pPr>
      <w:r w:rsidRPr="009D7677">
        <w:rPr>
          <w:rStyle w:val="NumeroAFNegritaCaracter"/>
        </w:rPr>
        <w:lastRenderedPageBreak/>
        <w:t>10</w:t>
      </w:r>
      <w:r>
        <w:t>. El Pleno del Tribunal, por providencia de 27 de febrero de 2024, conforme establece el art. 10.1 n) LOTC, a propuesta de la Sala Primera, acordó recabar para sí el conocimiento de este recurso de amparo.</w:t>
      </w:r>
    </w:p>
    <w:p w14:paraId="546DB190" w14:textId="77777777" w:rsidR="009D7677" w:rsidRDefault="009D7677" w:rsidP="009D7677">
      <w:pPr>
        <w:pStyle w:val="TextoNormal"/>
      </w:pPr>
    </w:p>
    <w:p w14:paraId="668206AD" w14:textId="25470732" w:rsidR="009D7677" w:rsidRDefault="009D7677" w:rsidP="009D7677">
      <w:pPr>
        <w:pStyle w:val="TextoNormal"/>
      </w:pPr>
      <w:r w:rsidRPr="009D7677">
        <w:rPr>
          <w:rStyle w:val="NumeroAFNegritaCaracter"/>
        </w:rPr>
        <w:t>11</w:t>
      </w:r>
      <w:r>
        <w:t>. Por providencia de 27 de febrero de 2024 se señaló para deliberación y votación de la presente sentencia el 28 del mismo mes y año.</w:t>
      </w:r>
    </w:p>
    <w:p w14:paraId="6270C60E" w14:textId="77777777" w:rsidR="009D7677" w:rsidRDefault="009D7677" w:rsidP="009D7677">
      <w:pPr>
        <w:pStyle w:val="TextoNormal"/>
      </w:pPr>
    </w:p>
    <w:p w14:paraId="170553A9" w14:textId="77777777" w:rsidR="009D7677" w:rsidRDefault="009D7677" w:rsidP="009D7677">
      <w:pPr>
        <w:pStyle w:val="TextoNormalNegritaCentrado"/>
        <w:keepNext/>
      </w:pPr>
      <w:r>
        <w:t>II. Fundamentos jurídicos</w:t>
      </w:r>
    </w:p>
    <w:p w14:paraId="6EE4AE86" w14:textId="560849D5" w:rsidR="009D7677" w:rsidRDefault="009D7677" w:rsidP="009D7677">
      <w:pPr>
        <w:pStyle w:val="TextoNormalNegritaCentrado"/>
        <w:keepNext/>
      </w:pPr>
    </w:p>
    <w:p w14:paraId="7AF35B2C" w14:textId="77777777" w:rsidR="009D7677" w:rsidRDefault="009D7677" w:rsidP="009D7677">
      <w:pPr>
        <w:pStyle w:val="TextoNormal"/>
      </w:pPr>
      <w:r w:rsidRPr="009D7677">
        <w:rPr>
          <w:rStyle w:val="NumeroAFNegritaCaracter"/>
        </w:rPr>
        <w:t>1</w:t>
      </w:r>
      <w:r>
        <w:t xml:space="preserve">. </w:t>
      </w:r>
      <w:r w:rsidRPr="009D7677">
        <w:rPr>
          <w:i/>
        </w:rPr>
        <w:t>Objeto del recurso de amparo</w:t>
      </w:r>
    </w:p>
    <w:p w14:paraId="722ECC51" w14:textId="77777777" w:rsidR="009D7677" w:rsidRDefault="009D7677" w:rsidP="009D7677">
      <w:pPr>
        <w:pStyle w:val="TextoNormal"/>
      </w:pPr>
    </w:p>
    <w:p w14:paraId="72AC6EE8" w14:textId="1AAD053D" w:rsidR="009D7677" w:rsidRDefault="009D7677" w:rsidP="009D7677">
      <w:pPr>
        <w:pStyle w:val="TextoNormal"/>
      </w:pPr>
      <w:r>
        <w:t>El objeto del presente recurso de amparo es determinar si los acuerdos parlamentarios impugnados, adoptados en relación con la tramitación de la proposición de ley orgánica por la que se modifica la Ley Orgánica 6/1985, de 1 de julio, del Poder Judicial, para el establecimiento del régimen jurídico aplicable al Consejo General del Poder Judicial en funciones (expediente núm. 122/000109), han vulnerado el derecho de representación política (art. 23.2 CE) de las demandantes de amparo, por no ser conformes con la normativa aplicable, resultado de una interpretación restrictiva de preceptos que puedan suponer una limitación al ejercicio de este derecho e incumpliendo el deber de motivación suficiente y adecuada. Estos acuerdos son, por un lado, el de la mesa del Congreso de los Diputados de 13 de enero de 2021, en el que se decide la tramitación de urgencia de esta proposición de ley, la denegación de la emisión de informes del Consejo General del Poder Judicial y de la Comisión de Venecia, así como la apertura de un trámite de audiencia a los agentes afectados por la proposición de ley orgánica —confirmado en reconsideración por el acuerdo de 9 de febrero de 2021—; y, por otro, el acuerdo de la mesa de la Comisión de Justicia del Congreso de los Diputados de 16 de febrero de 2021, por el que también se rechazan la emisión de informes del Consejo General del Poder Judicial y de la Comisión de Venecia, así como la petición de comparecencias de expertos.</w:t>
      </w:r>
    </w:p>
    <w:p w14:paraId="1D11BE27" w14:textId="77777777" w:rsidR="009D7677" w:rsidRDefault="009D7677" w:rsidP="009D7677">
      <w:pPr>
        <w:pStyle w:val="TextoNormal"/>
      </w:pPr>
    </w:p>
    <w:p w14:paraId="4FD06BA3" w14:textId="77777777" w:rsidR="009D7677" w:rsidRDefault="009D7677" w:rsidP="009D7677">
      <w:pPr>
        <w:pStyle w:val="TextoNormal"/>
      </w:pPr>
      <w:r w:rsidRPr="009D7677">
        <w:rPr>
          <w:rStyle w:val="NumeroAFNegritaCaracter"/>
        </w:rPr>
        <w:t>2</w:t>
      </w:r>
      <w:r>
        <w:t xml:space="preserve">. </w:t>
      </w:r>
      <w:r w:rsidRPr="009D7677">
        <w:rPr>
          <w:i/>
        </w:rPr>
        <w:t>La especial transcendencia constitucional del recurso</w:t>
      </w:r>
    </w:p>
    <w:p w14:paraId="617E5976" w14:textId="77777777" w:rsidR="009D7677" w:rsidRDefault="009D7677" w:rsidP="009D7677">
      <w:pPr>
        <w:pStyle w:val="TextoNormal"/>
      </w:pPr>
    </w:p>
    <w:p w14:paraId="72AC996C" w14:textId="77777777" w:rsidR="009D7677" w:rsidRDefault="009D7677" w:rsidP="009D7677">
      <w:pPr>
        <w:pStyle w:val="TextoNormal"/>
      </w:pPr>
      <w:r>
        <w:t>El presente recurso de amparo, en los términos ya expuestos en la providencia de admisión a trámite, tiene especial trascendencia constitucional porque plantea un problema o afecta a una faceta de un derecho fundamental sobre el que no hay doctrina de este tribunal [STC 155/2009, FJ 2 a)] y el asunto suscitado trasciende del caso concreto porque pudiera tener unas consecuencias políticas generales [STC 155/2009, FJ 2 g)].</w:t>
      </w:r>
    </w:p>
    <w:p w14:paraId="6533C4FD" w14:textId="77777777" w:rsidR="009D7677" w:rsidRDefault="009D7677" w:rsidP="009D7677">
      <w:pPr>
        <w:pStyle w:val="TextoNormal"/>
      </w:pPr>
    </w:p>
    <w:p w14:paraId="60986E86" w14:textId="7597DC26" w:rsidR="009D7677" w:rsidRDefault="009D7677" w:rsidP="009D7677">
      <w:pPr>
        <w:pStyle w:val="TextoNormal"/>
      </w:pPr>
      <w:r>
        <w:t xml:space="preserve">El Tribunal aprecia que, al margen de que es reiterada la jurisprudencia constitucional de que los recursos de amparo de origen parlamentario pudieran tener unas consecuencias políticas generales [STC 155/2009, de 25 de junio, FJ 2 g)] y de que por su especial configuración se promueven siempre sin haber contado la parte demandante con una vía judicial previa en la que defender los derechos fundamentales que se dicen infringidos (SSTC 97/2020, de 21 de julio, FJ 2, o 65/2023, de 6 de junio, FJ 2), el presente recurso suscita una cuestión novedosa. En efecto, si bien el Tribunal ya ha tenido la oportunidad de pronunciarse sobre la relevancia que para el </w:t>
      </w:r>
      <w:r w:rsidRPr="009D7677">
        <w:rPr>
          <w:i/>
        </w:rPr>
        <w:t>ius in officium</w:t>
      </w:r>
      <w:r>
        <w:t xml:space="preserve"> de los representantes políticos tiene la omisión de informes obligatorios que deben acompañar las iniciativas legislativas, </w:t>
      </w:r>
      <w:r>
        <w:lastRenderedPageBreak/>
        <w:t>no hay una específica jurisprudencia constitucional sobre aquellos supuestos en los que su emisión es potestativa y, por tanto, sobre cuál es el alcance de las funciones de los órganos parlamentarios en relación con dicha decisión.</w:t>
      </w:r>
    </w:p>
    <w:p w14:paraId="4DF9CF3F" w14:textId="77777777" w:rsidR="009D7677" w:rsidRDefault="009D7677" w:rsidP="009D7677">
      <w:pPr>
        <w:pStyle w:val="TextoNormal"/>
      </w:pPr>
    </w:p>
    <w:p w14:paraId="5AC38C58" w14:textId="77777777" w:rsidR="009D7677" w:rsidRDefault="009D7677" w:rsidP="009D7677">
      <w:pPr>
        <w:pStyle w:val="TextoNormal"/>
      </w:pPr>
      <w:r w:rsidRPr="009D7677">
        <w:rPr>
          <w:rStyle w:val="NumeroAFNegritaCaracter"/>
        </w:rPr>
        <w:t>3</w:t>
      </w:r>
      <w:r>
        <w:t xml:space="preserve">. </w:t>
      </w:r>
      <w:r w:rsidRPr="009D7677">
        <w:rPr>
          <w:i/>
        </w:rPr>
        <w:t>La impugnación de los acuerdos de la mesa del Congreso de los Diputados de 13 de enero y 9 de febrero de 2021. Aplicación de las SSTC 128/2023, de 2 de octubre, y 15/2024, de 30 de enero</w:t>
      </w:r>
    </w:p>
    <w:p w14:paraId="662CBE25" w14:textId="77777777" w:rsidR="009D7677" w:rsidRDefault="009D7677" w:rsidP="009D7677">
      <w:pPr>
        <w:pStyle w:val="TextoNormal"/>
      </w:pPr>
    </w:p>
    <w:p w14:paraId="48295888" w14:textId="77777777" w:rsidR="009D7677" w:rsidRDefault="009D7677" w:rsidP="009D7677">
      <w:pPr>
        <w:pStyle w:val="TextoNormal"/>
      </w:pPr>
      <w:r>
        <w:t>La decisión de la mesa del Congreso de los Diputados relativa a la negativa a solicitar la emisión de un informe al Consejo General del Poder Judicial sobre la proposición de ley orgánica por la que se modifica la Ley Orgánica 6/1985, de 1 de julio, del Poder Judicial, para el establecimiento del régimen jurídico aplicable al Consejo General del Poder Judicial en funciones (expediente núm. 122/000109), y la eventual afectación que pudo tener en el derecho de representación política de los diputados, ha sido objeto de pronunciamiento por el Pleno de este tribunal en las SSTC 128/2023, de 2 de octubre, y 15/2024, de 30 de enero, con ocasión de la resolución de sendos recursos de inconstitucionalidad interpuestos contra la Ley Orgánica 4/2021, de 29 de marzo, resultado de la aprobación de la proposición de ley orgánica controvertida. En ambos recursos, el primero interpuesto por cincuenta diputados del Grupo Parlamentario Vox y el segundo por más de cincuenta diputados del Grupo Parlamentario Popular, se alegó la inconstitucionalidad de la Ley Orgánica 4/2021, de 29 de marzo, por motivos procedimentales vinculados a que la decisión de no requerir la emisión de dicho informe vulneró el derecho de representación política de los parlamentarios (art. 23 CE).</w:t>
      </w:r>
    </w:p>
    <w:p w14:paraId="3AC35049" w14:textId="77777777" w:rsidR="009D7677" w:rsidRDefault="009D7677" w:rsidP="009D7677">
      <w:pPr>
        <w:pStyle w:val="TextoNormal"/>
      </w:pPr>
    </w:p>
    <w:p w14:paraId="651693C1" w14:textId="77777777" w:rsidR="009D7677" w:rsidRDefault="009D7677" w:rsidP="009D7677">
      <w:pPr>
        <w:pStyle w:val="TextoNormal"/>
      </w:pPr>
      <w:r>
        <w:t>En el recurso formulado por el Grupo Parlamentario Popular, además, la invocación del art. 23 CE como motivo procedimental de inconstitucionalidad de la Ley Orgánica 4/2021, de 29 de marzo, se extendió a las decisiones de la mesa del Congreso de los Diputados de tramitar la proposición de ley orgánica por el procedimiento de urgencia y de denegar la solicitud de informe a la Comisión de Venecia y posibilitar la audiencia de los agentes afectados por esta iniciativa legislativa. Los argumentos en que se sustentaba esta invocación son los mismos que han sido utilizados por la portavoz y la secretaria general adjunta de ese grupo parlamentario en el presente recurso de amparo.</w:t>
      </w:r>
    </w:p>
    <w:p w14:paraId="661DF8CE" w14:textId="77777777" w:rsidR="009D7677" w:rsidRDefault="009D7677" w:rsidP="009D7677">
      <w:pPr>
        <w:pStyle w:val="TextoNormal"/>
      </w:pPr>
    </w:p>
    <w:p w14:paraId="57375122" w14:textId="4AA226E9" w:rsidR="009D7677" w:rsidRDefault="009D7677" w:rsidP="009D7677">
      <w:pPr>
        <w:pStyle w:val="TextoNormal"/>
      </w:pPr>
      <w:r>
        <w:t>Por tanto, constatado que el Pleno del Tribunal ya ha rechazado que las decisiones de la mesa del Congreso sobre dichas cuestiones hayan implicado una vulneración del derecho de representación política de los diputados, la invocación de este derecho ante esta jurisdicción de amparo debe también ser rechazada por remisión a lo ya razonado en las citadas resoluciones (SSTC 128/2023, de 2 de octubre, FJ 3, y 15/2024, de 30 de enero, FJ 3).</w:t>
      </w:r>
    </w:p>
    <w:p w14:paraId="3B3A58DE" w14:textId="77777777" w:rsidR="009D7677" w:rsidRDefault="009D7677" w:rsidP="009D7677">
      <w:pPr>
        <w:pStyle w:val="TextoNormal"/>
      </w:pPr>
    </w:p>
    <w:p w14:paraId="1AB32AB3" w14:textId="77777777" w:rsidR="009D7677" w:rsidRDefault="009D7677" w:rsidP="009D7677">
      <w:pPr>
        <w:pStyle w:val="TextoNormal"/>
      </w:pPr>
      <w:r w:rsidRPr="009D7677">
        <w:rPr>
          <w:rStyle w:val="NumeroAFNegritaCaracter"/>
        </w:rPr>
        <w:t>4</w:t>
      </w:r>
      <w:r>
        <w:t xml:space="preserve">. </w:t>
      </w:r>
      <w:r w:rsidRPr="009D7677">
        <w:rPr>
          <w:i/>
        </w:rPr>
        <w:t>La impugnación del acuerdo de la mesa de la Comisión de Justicia del Congreso de los Diputados de 16 de febrero de 2021</w:t>
      </w:r>
    </w:p>
    <w:p w14:paraId="69ABE76C" w14:textId="77777777" w:rsidR="009D7677" w:rsidRDefault="009D7677" w:rsidP="009D7677">
      <w:pPr>
        <w:pStyle w:val="TextoNormal"/>
      </w:pPr>
    </w:p>
    <w:p w14:paraId="0C900D82" w14:textId="77777777" w:rsidR="009D7677" w:rsidRDefault="009D7677" w:rsidP="009D7677">
      <w:pPr>
        <w:pStyle w:val="TextoNormal"/>
      </w:pPr>
      <w:r>
        <w:t>El acuerdo de la mesa de la Comisión de Justicia del Congreso de los Diputados de 16 de febrero de 2021 rechazó la petición del Grupo Parlamentario Popular, formulada al amparo del art. 44 RCD, de celebración de una serie de comparecencias de expertos —la de los portavoces de las cuatro asociaciones profesionales de jueces y magistrados—, así como, de nuevo, la emisión del informe del Consejo General del Poder Judicial y de la Comisión de Venecia. El rechazo se fundamentó “motivándolo en el momento de la trami</w:t>
      </w:r>
      <w:r>
        <w:lastRenderedPageBreak/>
        <w:t>tación en que se encuentra la citada proposición, que en el día de hoy será objeto de dictamen por la comisión y que ya ha sido informada por la ponencia, así como acuerda dar por reproducidos en esta instancia todos los argumentos esgrimidos con anterioridad por la mesa del Congreso de los Diputados para rechazar las mismas solicitudes de informe”.</w:t>
      </w:r>
    </w:p>
    <w:p w14:paraId="296D92E3" w14:textId="77777777" w:rsidR="009D7677" w:rsidRDefault="009D7677" w:rsidP="009D7677">
      <w:pPr>
        <w:pStyle w:val="TextoNormal"/>
      </w:pPr>
    </w:p>
    <w:p w14:paraId="6D4E12D5" w14:textId="77777777" w:rsidR="009D7677" w:rsidRDefault="009D7677" w:rsidP="009D7677">
      <w:pPr>
        <w:pStyle w:val="TextoNormal"/>
      </w:pPr>
      <w:r>
        <w:t>Las demandantes de amparo imputan a este acuerdo, por lo que se refiere a la denegación de los informes del Consejo General del Poder Judicial y de la Comisión de Venecia, la vulneración del art. 23 CE con fundamento en los mismos argumentos utilizados para la impugnación de los acuerdos de la mesa del Congreso. De ese modo, en la medida en que el acuerdo de la mesa de la Comisión de Justicia se remite para la denegación a lo expuesto por la mesa del Congreso y que ya se ha rechazado que esos acuerdos resultaran lesivos del derecho de representación política de las demandantes de amparo, procede también rechazar por las mismas razones que el acuerdo de la comisión de justicia a este respecto resulte lesivo del derecho fundamental invocado.</w:t>
      </w:r>
    </w:p>
    <w:p w14:paraId="0906912E" w14:textId="77777777" w:rsidR="009D7677" w:rsidRDefault="009D7677" w:rsidP="009D7677">
      <w:pPr>
        <w:pStyle w:val="TextoNormal"/>
      </w:pPr>
    </w:p>
    <w:p w14:paraId="74D32514" w14:textId="77777777" w:rsidR="009D7677" w:rsidRDefault="009D7677" w:rsidP="009D7677">
      <w:pPr>
        <w:pStyle w:val="TextoNormal"/>
      </w:pPr>
      <w:r>
        <w:t>Las demandantes de amparo imputan a este acuerdo, por lo que se refiere al rechazo de las peticiones de comparecencia de los portavoces de las cuatro asociaciones de jueces y magistrados, la vulneración del art. 23 CE con fundamento en que se limitó a remitirse a lo acordado por la mesa del Congreso que se refería específicamente a las solicitudes de informe pero que no daba respuesta a las peticiones de comparecencias.</w:t>
      </w:r>
    </w:p>
    <w:p w14:paraId="02B14DA8" w14:textId="77777777" w:rsidR="009D7677" w:rsidRDefault="009D7677" w:rsidP="009D7677">
      <w:pPr>
        <w:pStyle w:val="TextoNormal"/>
      </w:pPr>
    </w:p>
    <w:p w14:paraId="147B3CA7" w14:textId="77777777" w:rsidR="009D7677" w:rsidRDefault="009D7677" w:rsidP="009D7677">
      <w:pPr>
        <w:pStyle w:val="TextoNormal"/>
      </w:pPr>
      <w:r>
        <w:t xml:space="preserve">La jurisprudencia constitucional ha reiterado que el derecho de representación política (art. 23.2 CE) garantiza, entre otros extremos, que los representantes políticos puedan desempeñar su función de conformidad con lo que la ley disponga, lo que determina que se trate de un derecho de configuración legal, en el sentido de que compete a los reglamentos parlamentarios fijar y ordenar los derechos y atribuciones que a los representantes políticos corresponden, cuya contravención solo resulta lesiva del art. 23.2 CE si afectan a la igualdad entre representantes o contrarían la naturaleza de la representación por afectar al núcleo de sus derechos y facultades como son, entre otros, los que tienen relación directa con el ejercicio de las potestades legislativas. Igualmente, se ha incidido en que el principio de autonomía parlamentaria (art. 72.1 CE) incluye como una de sus manifestaciones la autonomía normativa, que comporta el reconocimiento de que sus órganos están dotados de un margen de interpretación suficiente de su reglamentación que cuenta con ciertos límites como son, entre otros, que debe hacerse una exégesis restrictiva de las normas limitativas de los derechos o atribuciones del representante público y motivar las razones de su aplicación y la necesidad de que aquellos acuerdos que sean restrictivos del </w:t>
      </w:r>
      <w:r w:rsidRPr="009D7677">
        <w:rPr>
          <w:i/>
        </w:rPr>
        <w:t>ius in officium</w:t>
      </w:r>
      <w:r>
        <w:t xml:space="preserve"> no resulten decisiones arbitrarias o manifiestamente irrazonables, para lo que deben incorporar una motivación expresa, suficiente y adecuada, que permita determinar si la decisión adoptada entraña en sí misma el desconocimiento de la facultad que se ha querido ejercitar y que no se manifiesta desprovista de razonabilidad en atención al fin institucional propio de la función que quiso ejercerse y los motivos aducidos para impedir su ejercicio (así, por ejemplo, SSTC 25/2023, de 17 de abril, FJ 3; 58/2023, de 23 de mayo, FJ 3; 65/2023, de 6 de junio, FJ 3, o 93/2023, de 12 de septiembre, FJ 3).</w:t>
      </w:r>
    </w:p>
    <w:p w14:paraId="6645C18B" w14:textId="77777777" w:rsidR="009D7677" w:rsidRDefault="009D7677" w:rsidP="009D7677">
      <w:pPr>
        <w:pStyle w:val="TextoNormal"/>
      </w:pPr>
    </w:p>
    <w:p w14:paraId="587AA856" w14:textId="77777777" w:rsidR="009D7677" w:rsidRDefault="009D7677" w:rsidP="009D7677">
      <w:pPr>
        <w:pStyle w:val="TextoNormal"/>
      </w:pPr>
      <w:r>
        <w:t xml:space="preserve">En el presente caso, toda vez que no ha sido controvertido que la decisión impugnada de rechazar la comparecencia de los expertos en la Comisión de Justicia está vinculada con el ejercicio de potestades legislativas propias de los representantes políticos y que su petición es una de las facultades derivada reglamentariamente de lo previsto en el art. 44.4 </w:t>
      </w:r>
      <w:r>
        <w:lastRenderedPageBreak/>
        <w:t>RCD, la eventual lesión del art. 23.2 CE solo cabe radicar en que la decisión no hubiera sido motivada o lo hubiera sido en términos constitucionalmente inadecuados.</w:t>
      </w:r>
    </w:p>
    <w:p w14:paraId="22A295C1" w14:textId="77777777" w:rsidR="009D7677" w:rsidRDefault="009D7677" w:rsidP="009D7677">
      <w:pPr>
        <w:pStyle w:val="TextoNormal"/>
      </w:pPr>
    </w:p>
    <w:p w14:paraId="65D94794" w14:textId="77777777" w:rsidR="009D7677" w:rsidRDefault="009D7677" w:rsidP="009D7677">
      <w:pPr>
        <w:pStyle w:val="TextoNormal"/>
      </w:pPr>
      <w:r>
        <w:t>El Tribunal constata que la alegación de las demandantes de que no se recibió una respuesta expresa a esta petición por parte de la mesa de la comisión de justicia carece del debido sustento fáctico. En los términos antes expuesto, el acuerdo impugnado fundamentó su rechazo incidiendo en el momento en que se encontraba la tramitación de la iniciativa, que ya había sido informada por la ponencia y en ese mismo día iba a ser objeto de dictamen por la comisión. Por tanto, desde esta perspectiva no cabe entender lesionado el derecho invocado puesto que contiene una motivación expresa para su rechazo.</w:t>
      </w:r>
    </w:p>
    <w:p w14:paraId="093818F1" w14:textId="77777777" w:rsidR="009D7677" w:rsidRDefault="009D7677" w:rsidP="009D7677">
      <w:pPr>
        <w:pStyle w:val="TextoNormal"/>
      </w:pPr>
    </w:p>
    <w:p w14:paraId="7DB4B267" w14:textId="77777777" w:rsidR="009D7677" w:rsidRDefault="009D7677" w:rsidP="009D7677">
      <w:pPr>
        <w:pStyle w:val="TextoNormal"/>
      </w:pPr>
      <w:r>
        <w:t>El Tribunal también concluye la conformidad de esa motivación con el derecho de representación política de las demandantes de amparo, por las siguientes razones:</w:t>
      </w:r>
    </w:p>
    <w:p w14:paraId="15F1D270" w14:textId="77777777" w:rsidR="009D7677" w:rsidRDefault="009D7677" w:rsidP="009D7677">
      <w:pPr>
        <w:pStyle w:val="TextoNormal"/>
      </w:pPr>
    </w:p>
    <w:p w14:paraId="056E76EC" w14:textId="77777777" w:rsidR="009D7677" w:rsidRDefault="009D7677" w:rsidP="009D7677">
      <w:pPr>
        <w:pStyle w:val="TextoNormal"/>
      </w:pPr>
      <w:r>
        <w:t>(i) El art. 44 RCD, dentro del ejercicio de las competencias propias de las comisiones del Congreso, establece que estas podrán recabar informes y la comparecencia de miembros del Gobierno, funcionarios y autoridades públicas y otras personas competentes en la materia, pero lo hace en términos potestativos, por lo que la mesa de la comisión correspondiente cuenta con un margen de discrecionalidad al respecto, en función de las consideraciones que estime más adecuadas, sin que la mera petición de comparecencias implique obligación alguna para dicha mesa de aceptarlas.</w:t>
      </w:r>
    </w:p>
    <w:p w14:paraId="795CB71D" w14:textId="77777777" w:rsidR="009D7677" w:rsidRDefault="009D7677" w:rsidP="009D7677">
      <w:pPr>
        <w:pStyle w:val="TextoNormal"/>
      </w:pPr>
    </w:p>
    <w:p w14:paraId="3ADBAE45" w14:textId="77777777" w:rsidR="009D7677" w:rsidRDefault="009D7677" w:rsidP="009D7677">
      <w:pPr>
        <w:pStyle w:val="TextoNormal"/>
      </w:pPr>
      <w:r>
        <w:t>(ii) La iniciativa legislativa era objeto de tramitación por el procedimiento de urgencia y dicha declaración, por lo ya expuesto anteriormente, no resultaba lesiva del art. 23 CE.</w:t>
      </w:r>
    </w:p>
    <w:p w14:paraId="1D1AB388" w14:textId="77777777" w:rsidR="009D7677" w:rsidRDefault="009D7677" w:rsidP="009D7677">
      <w:pPr>
        <w:pStyle w:val="TextoNormal"/>
      </w:pPr>
    </w:p>
    <w:p w14:paraId="2CFDCB0E" w14:textId="77777777" w:rsidR="009D7677" w:rsidRDefault="009D7677" w:rsidP="009D7677">
      <w:pPr>
        <w:pStyle w:val="TextoNormal"/>
      </w:pPr>
      <w:r>
        <w:t>(iii) La motivación del acuerdo hace referencia, precisamente, al momento temporal en el que se debía decidir sobre las comparecencias y lo avanzado del procedimiento en la comisión de justicia respecto de la iniciativa en cuyo contexto se solicitaban dichas comparecencias. A esos efectos es de destacar, como ya se ha expuesto en los antecedentes, que la ponencia había emitido su informe el 4 de febrero de 2021 y, por tanto, cinco días antes de que se solicitaran por las demandantes las comparecencias el 9 de febrero de 2021.</w:t>
      </w:r>
    </w:p>
    <w:p w14:paraId="4D3AD374" w14:textId="77777777" w:rsidR="009D7677" w:rsidRDefault="009D7677" w:rsidP="009D7677">
      <w:pPr>
        <w:pStyle w:val="TextoNormal"/>
      </w:pPr>
    </w:p>
    <w:p w14:paraId="03D1E449" w14:textId="77777777" w:rsidR="009D7677" w:rsidRDefault="009D7677" w:rsidP="009D7677">
      <w:pPr>
        <w:pStyle w:val="TextoNormal"/>
      </w:pPr>
      <w:r>
        <w:t>(iv) En estas circunstancias, tal como también concluye el Ministerio Fiscal en su informe, no cabe afirmar que, en atención al carácter potestativo y discrecional de esta decisión, el acuerdo impugnado haya implicado en sí mismo el desconocimiento de un derecho que se haya querido ejercitar por las demandantes de amparo, ni que su motivación esté manifiestamente desprovista de razonabilidad en atención al fin institucional propio de la función que quiso ejercerse y los motivos aducidos para impedir su ejercicio vinculados a la previa decisión de la mesa de la cámara de la tramitación de la iniciativa por el procedimiento de urgencia y lo avanzado de la tramitación, incluyendo que había finalizado la posibilidad de presentación de enmiendas y había sido informado por la ponencia cinco días antes de que se formulara la petición de comparecencia por las demandantes de amparo.</w:t>
      </w:r>
    </w:p>
    <w:p w14:paraId="0651E0DB" w14:textId="77777777" w:rsidR="009D7677" w:rsidRDefault="009D7677" w:rsidP="009D7677">
      <w:pPr>
        <w:pStyle w:val="TextoNormal"/>
      </w:pPr>
    </w:p>
    <w:p w14:paraId="0DB43B40" w14:textId="4BACDAE4" w:rsidR="009D7677" w:rsidRDefault="009D7677" w:rsidP="009D7677">
      <w:pPr>
        <w:pStyle w:val="TextoNormal"/>
      </w:pPr>
      <w:r>
        <w:t>En definitiva, el Tribunal rechaza por las razones expuestas las alegaciones de las demandantes de amparo para fundamentar que los acuerdos parlamentarios impugnados ha</w:t>
      </w:r>
      <w:r>
        <w:lastRenderedPageBreak/>
        <w:t>yan vulnerado su derecho de representación política (art. 23.2 CE), lo que determina que deba denegarse el amparo solicitado y la integra desestimación del presente recurso.</w:t>
      </w:r>
    </w:p>
    <w:p w14:paraId="25FA3316" w14:textId="77777777" w:rsidR="009D7677" w:rsidRDefault="009D7677" w:rsidP="009D7677">
      <w:pPr>
        <w:pStyle w:val="TextoNormal"/>
      </w:pPr>
    </w:p>
    <w:p w14:paraId="063A2A8C" w14:textId="77777777" w:rsidR="009D7677" w:rsidRDefault="009D7677" w:rsidP="009D7677">
      <w:pPr>
        <w:pStyle w:val="TextoNormalCentrado"/>
        <w:keepNext/>
      </w:pPr>
      <w:r>
        <w:t>FALLO</w:t>
      </w:r>
    </w:p>
    <w:p w14:paraId="66B071F4" w14:textId="1A108139" w:rsidR="009D7677" w:rsidRDefault="009D7677" w:rsidP="009D7677">
      <w:pPr>
        <w:pStyle w:val="TextoNormalCentrado"/>
        <w:keepNext/>
      </w:pPr>
    </w:p>
    <w:p w14:paraId="4AE0EB37" w14:textId="3FD73DC1" w:rsidR="009D7677" w:rsidRDefault="009D7677" w:rsidP="009D7677">
      <w:pPr>
        <w:pStyle w:val="TextoNormal"/>
      </w:pPr>
      <w:r>
        <w:t>En atención a todo lo expuesto, el Tribunal Constitucional, por la autoridad que le confiere la Constitución de la Nación española, ha decidido desestimar el recurso de amparo interpuesto por doña Concepción Gamarra Ruiz-Clavijo y doña Isabel María Borrego Cortés, en sus condiciones de portavoz y secretaria general adjunta del Grupo Parlamentario Popular en el Congreso de los Diputados, respectivamente.</w:t>
      </w:r>
    </w:p>
    <w:p w14:paraId="36D4E1A0" w14:textId="77777777" w:rsidR="009D7677" w:rsidRDefault="009D7677" w:rsidP="009D7677">
      <w:pPr>
        <w:pStyle w:val="TextoNormal"/>
      </w:pPr>
    </w:p>
    <w:p w14:paraId="22118BA2" w14:textId="77777777" w:rsidR="009D7677" w:rsidRDefault="009D7677" w:rsidP="009D7677">
      <w:pPr>
        <w:pStyle w:val="TextoNormal"/>
      </w:pPr>
      <w:r>
        <w:t>Publíquese esta sentencia en el “Boletín Oficial del Estado”.</w:t>
      </w:r>
    </w:p>
    <w:p w14:paraId="60E630B3" w14:textId="77777777" w:rsidR="009D7677" w:rsidRDefault="009D7677" w:rsidP="009D7677">
      <w:pPr>
        <w:pStyle w:val="TextoNormal"/>
      </w:pPr>
      <w:r>
        <w:t>Dada en Madrid, a veintiocho de febrero de dos mil veinticuatro.</w:t>
      </w:r>
    </w:p>
    <w:p w14:paraId="038DF7C5" w14:textId="1626931B" w:rsidR="009D7677" w:rsidRDefault="009D7677" w:rsidP="009D7677">
      <w:pPr>
        <w:pStyle w:val="ParrafoNormal"/>
      </w:pPr>
    </w:p>
    <w:p w14:paraId="05996AD9" w14:textId="77777777" w:rsidR="009D7677" w:rsidRDefault="009D7677" w:rsidP="009D7677">
      <w:pPr>
        <w:pStyle w:val="TextoNormalNegritaCentrado"/>
        <w:keepNext/>
      </w:pPr>
      <w:r>
        <w:t>Voto particular que formulan los magistrados don Ricardo Enríquez Sancho y don César Tolosa Tribiño, a la sentencia dictada en el recurso de amparo avocado núm. 1209-2021</w:t>
      </w:r>
    </w:p>
    <w:p w14:paraId="3495DF96" w14:textId="74AF5694" w:rsidR="009D7677" w:rsidRDefault="009D7677" w:rsidP="009D7677">
      <w:pPr>
        <w:pStyle w:val="TextoNormalNegritaCentrado"/>
        <w:keepNext/>
      </w:pPr>
    </w:p>
    <w:p w14:paraId="7938BF1A" w14:textId="77777777" w:rsidR="009D7677" w:rsidRDefault="009D7677" w:rsidP="009D7677">
      <w:pPr>
        <w:pStyle w:val="TextoNormal"/>
      </w:pPr>
      <w:r>
        <w:t>En el ejercicio de la facultad que nos confiere el artículo 90.2 de la Ley Orgánica del Tribunal Constitucional, y con el máximo respeto a la opinión de la mayoría, formulamos el presente voto particular por discrepar de parte de la fundamentación y del fallo de la sentencia recaída en el recurso de amparo avocado por el Pleno núm. 1209-2021, la cual ha desestimado en su integridad la demanda.</w:t>
      </w:r>
    </w:p>
    <w:p w14:paraId="065094A0" w14:textId="77777777" w:rsidR="009D7677" w:rsidRDefault="009D7677" w:rsidP="009D7677">
      <w:pPr>
        <w:pStyle w:val="TextoNormal"/>
      </w:pPr>
    </w:p>
    <w:p w14:paraId="10B4C9EE" w14:textId="77777777" w:rsidR="009D7677" w:rsidRDefault="009D7677" w:rsidP="009D7677">
      <w:pPr>
        <w:pStyle w:val="TextoNormal"/>
      </w:pPr>
      <w:r>
        <w:t>A fin de aclarar el alcance de nuestra discrepancia, debe indicarse lo siguiente: la demanda de amparo se dirige contra varias resoluciones parlamentarias a las que atribuye, por diversos motivos o quejas, la vulneración del derecho fundamental de las dos diputadas recurrentes al ejercicio de un cargo público representativo en condiciones de igualdad y de acuerdo con la ley (23.2 CE), durante la tramitación de la proposición de ley orgánica que modificaba la Ley Orgánica 6/1985, de 1 de julio, del Poder Judicial, “para el establecimiento del régimen jurídico aplicable al Consejo General del Poder Judicial en funciones”.</w:t>
      </w:r>
    </w:p>
    <w:p w14:paraId="35D64F25" w14:textId="77777777" w:rsidR="009D7677" w:rsidRDefault="009D7677" w:rsidP="009D7677">
      <w:pPr>
        <w:pStyle w:val="TextoNormal"/>
      </w:pPr>
    </w:p>
    <w:p w14:paraId="3215B232" w14:textId="77777777" w:rsidR="009D7677" w:rsidRDefault="009D7677" w:rsidP="009D7677">
      <w:pPr>
        <w:pStyle w:val="TextoNormal"/>
      </w:pPr>
      <w:r>
        <w:t xml:space="preserve">La primera de esas quejas se dirigió contra los acuerdos de la mesa del Congreso de los Diputados que decidieron (i) la tramitación por la vía de urgencia de aquella proposición de ley, y (ii) denegar la solicitud de la portavoz del Grupo Parlamentario Popular en la Cámara y que es una de las demandantes de amparo, para que la mesa del Congreso solicitara un dictamen sobre dicha proposición de ley al Consejo General del Poder Judicial y a la Comisión Europea para la Democracia a través del Derecho, del Consejo de Europa (Comisión de Venecia). Esta primera queja resulta desestimada por la sentencia que acaba de respaldar la mayoría del Pleno, porque este tribunal ya había desestimado el mismo motivo de lesión del art. 23.2 CE de los diputados y por los mismos hechos, en las SSTC 128/2023, de 2 de octubre, FJ 3, y 15/2024, de 30 de enero, FJ 3, que resolvieron sendos recursos de inconstitucionalidad —el segundo, promovido por el Grupo Parlamentario Popular— contra la Ley Orgánica 4/2021, de 29 de marzo, resultante de aquella proposición de ley. La doctrina sentada en esas dos sentencias resulta trasladable al ámbito del presente proceso de amparo, aunque sean procesos constitucionales de distinta naturaleza, </w:t>
      </w:r>
      <w:r>
        <w:lastRenderedPageBreak/>
        <w:t>tal y como viene reconociendo este tribunal (por todas, SSTC 96/2019, de 15 de julio, FJ 2, y 115/2022, de 27 de septiembre, FJ 4 A), si bien se echa en falta que la sentencia ahora dictada no se preocupe mínimamente de advertir de tal posibilidad, dándola por hecho. En todo caso, al haber ya una doctrina que la sentencia de la mayoría se ha limitado a aplicar, es por esta única razón por la que tal pronunciamiento no es materia de discrepancia en este voto particular.</w:t>
      </w:r>
    </w:p>
    <w:p w14:paraId="17E600B9" w14:textId="77777777" w:rsidR="009D7677" w:rsidRDefault="009D7677" w:rsidP="009D7677">
      <w:pPr>
        <w:pStyle w:val="TextoNormal"/>
      </w:pPr>
    </w:p>
    <w:p w14:paraId="5D4FDD31" w14:textId="77777777" w:rsidR="009D7677" w:rsidRDefault="009D7677" w:rsidP="009D7677">
      <w:pPr>
        <w:pStyle w:val="TextoNormal"/>
      </w:pPr>
      <w:r>
        <w:t>En cambio, no quedaba cubierta por las SSTC 128/2023 y 15/2024 (que no trataron tal cuestión) la respuesta que debía darse a la segunda queja de la demanda de amparo, fundada a su vez en la lesión del derecho fundamental del art. 23.2 CE de las recurrentes por la denegación de todas las resoluciones recurridas (mesa del Congreso de los Diputados, y mesa de la comisión de justicia), a la solicitud igualmente formulada para que la Comisión de Justicia de la Cámara acordara la comparecencia de expertos (en concreto, los representantes de las asociaciones de jueces y fiscales), a fin de que emitieran su opinión acerca de aquella proposición de ley. La sentencia recaída ahora en el recurso de amparo avocado 1209-2021 ha desestimado también esta segunda queja, cuando a nuestro criterio debió estimarla por las razones que defendimos en el Pleno y que a continuación se exponen. Es precisamente esto último lo que determina nuestra discrepancia.</w:t>
      </w:r>
    </w:p>
    <w:p w14:paraId="0E0072DB" w14:textId="77777777" w:rsidR="009D7677" w:rsidRDefault="009D7677" w:rsidP="009D7677">
      <w:pPr>
        <w:pStyle w:val="TextoNormal"/>
      </w:pPr>
    </w:p>
    <w:p w14:paraId="62E20522" w14:textId="77777777" w:rsidR="009D7677" w:rsidRDefault="009D7677" w:rsidP="009D7677">
      <w:pPr>
        <w:pStyle w:val="TextoNormal"/>
      </w:pPr>
      <w:r>
        <w:t>1. Los acuerdos de la mesa del Congreso de los Diputados de 13 de enero de 2021 y 9 de febrero de 2021, y la respuesta de la sentencia de la que discrepamos:</w:t>
      </w:r>
    </w:p>
    <w:p w14:paraId="58D6C783" w14:textId="77777777" w:rsidR="009D7677" w:rsidRDefault="009D7677" w:rsidP="009D7677">
      <w:pPr>
        <w:pStyle w:val="TextoNormal"/>
      </w:pPr>
    </w:p>
    <w:p w14:paraId="6B8AC5D7" w14:textId="77777777" w:rsidR="009D7677" w:rsidRDefault="009D7677" w:rsidP="009D7677">
      <w:pPr>
        <w:pStyle w:val="TextoNormal"/>
      </w:pPr>
      <w:r>
        <w:t>a) En el escrito de 2 de enero de 2021, dirigido por la portavoz del Grupo Parlamentario Popular en el Congreso de los Diputados —y aquí demandante de amparo— a la mesa de la Cámara, se formularon diversas peticiones cuya decisión correspondía a este órgano (son aquellas que se relatan en la queja primera de la demanda de amparo), y además una petición que debía tramitar pero no resolver. Como fundamento para esta solicitud específica, el escrito aludió a la potestad “en este caso [de] la comisión de justicia” para “pedir documentación o acordar la comparecencia […] de expertos o de representantes de colectivos afectados […] tal y como establece el artículo 44.4 del RC[D]”. Por ello solicitó: “Que en la tramitación de la proposición de ley orgánica, tal y como establece el artículo 44.4 del vigente Reglamento del Congreso, se dé audiencia a todos los agentes afectados por la reforma propuesta, en particular […] las asociaciones de jueces y fiscales”.</w:t>
      </w:r>
    </w:p>
    <w:p w14:paraId="0B141D4D" w14:textId="77777777" w:rsidR="009D7677" w:rsidRDefault="009D7677" w:rsidP="009D7677">
      <w:pPr>
        <w:pStyle w:val="TextoNormal"/>
      </w:pPr>
    </w:p>
    <w:p w14:paraId="1BDFE626" w14:textId="77777777" w:rsidR="009D7677" w:rsidRDefault="009D7677" w:rsidP="009D7677">
      <w:pPr>
        <w:pStyle w:val="TextoNormal"/>
      </w:pPr>
      <w:r>
        <w:t xml:space="preserve">No se pidió por tanto a la mesa del Congreso de los Diputados que ella misma acordara las comparecencias de expertos, pues la competencia correspondía, como indicó el mismo escrito, a la comisión de justicia. Que la petición se presentara a la mesa del Congreso de los Diputados y no a la mesa de la comisión de justicia, no implica otra cosa sino el cumplimiento de la legalidad parlamentaria, toda vez que el art. 31.1.4 del RCD asigna a aquel primer órgano la competencia para: “Calificar, con arreglo al Reglamento, los escritos y documentos de índole parlamentaria, así como declarar la admisibilidad o inadmisibilidad de los mismos”. Así como también, art. 31.1.5: “Decidir la tramitación de todos los escritos y documentos de índole parlamentaria, de acuerdo con las normas establecidas en este Reglamento”. Consecuentemente, correspondía a la mesa del Congreso de los Diputados calificar el escrito presentado, lo que en efecto hizo (consta dicha calificación el 13 de enero como expediente 122/000109/0006), y en el apartado referido a la solicitud para que la Comisión de Justicia de la Cámara acordara la comparecencia de expertos </w:t>
      </w:r>
      <w:r w:rsidRPr="009D7677">
        <w:rPr>
          <w:i/>
        </w:rPr>
        <w:t>ex</w:t>
      </w:r>
      <w:r>
        <w:t xml:space="preserve"> art. 44 RCD, debió haber dado curso al escrito remitiendo original o una copia sin demora a la </w:t>
      </w:r>
      <w:r>
        <w:lastRenderedPageBreak/>
        <w:t>Comisión de Justicia para que la mesa de esta última proveyera materialmente a lo solicitado.</w:t>
      </w:r>
    </w:p>
    <w:p w14:paraId="777D2A62" w14:textId="77777777" w:rsidR="009D7677" w:rsidRDefault="009D7677" w:rsidP="009D7677">
      <w:pPr>
        <w:pStyle w:val="TextoNormal"/>
      </w:pPr>
    </w:p>
    <w:p w14:paraId="10512EFC" w14:textId="77777777" w:rsidR="009D7677" w:rsidRDefault="009D7677" w:rsidP="009D7677">
      <w:pPr>
        <w:pStyle w:val="TextoNormal"/>
      </w:pPr>
      <w:r>
        <w:t>b) La mesa del Congreso de los Diputados, sin embargo, incurrió en injustificada dejación de funciones en este punto, negando incluso a la postre y sin razón jurídica válida su propia competencia para la tramitación de la solicitud. En efecto:</w:t>
      </w:r>
    </w:p>
    <w:p w14:paraId="0AE84F0B" w14:textId="77777777" w:rsidR="009D7677" w:rsidRDefault="009D7677" w:rsidP="009D7677">
      <w:pPr>
        <w:pStyle w:val="TextoNormal"/>
      </w:pPr>
    </w:p>
    <w:p w14:paraId="6F75B43F" w14:textId="77777777" w:rsidR="009D7677" w:rsidRDefault="009D7677" w:rsidP="009D7677">
      <w:pPr>
        <w:pStyle w:val="TextoNormal"/>
      </w:pPr>
      <w:r>
        <w:t>(i) El acuerdo de 13 de enero de 2021 no hizo ninguna mención a si se había remitido la solicitud a la comisión de justicia, limitándose a decir que “no procede acceder a lo solicitado” por el “carácter potestativo del informe y una vez ponderadas las circunstancias” conforme al art. 561 LOPJ. Se estaba refiriendo únicamente a la solicitud de informes al CGPJ y a la Comisión de Venecia, sobre los que sí es competente para resolverlas, pero para nada a la remisión de la solicitud de comparecencias a la comisión de justicia.</w:t>
      </w:r>
    </w:p>
    <w:p w14:paraId="7B882DE5" w14:textId="77777777" w:rsidR="009D7677" w:rsidRDefault="009D7677" w:rsidP="009D7677">
      <w:pPr>
        <w:pStyle w:val="TextoNormal"/>
      </w:pPr>
    </w:p>
    <w:p w14:paraId="519404CF" w14:textId="77777777" w:rsidR="009D7677" w:rsidRDefault="009D7677" w:rsidP="009D7677">
      <w:pPr>
        <w:pStyle w:val="TextoNormal"/>
      </w:pPr>
      <w:r>
        <w:t>(ii) Interpuesto recurso de reconsideración por la portavoz del grupo parlamentario, la mesa del Congreso de los Diputados respondió finalmente de manera expresa en el acuerdo de 9 de febrero de 2021, pero quitándose toda responsabilidad en la tramitación de la mencionada solicitud, diciendo en el considerando quinto que: “la facultad para acordar comparecencias de expertos en comisión le corresponde en exclusiva a la propia comisión competente, de conformidad con lo dispuesto en el artículo 44.4 del Reglamento, sin que la mesa de la Cámara ostente competencia alguna a este respecto, en consideración, entre otras cosas, a la autonomía de la que gozan las comisiones para la adopción de sus acuerdos”.</w:t>
      </w:r>
    </w:p>
    <w:p w14:paraId="4F40416A" w14:textId="77777777" w:rsidR="009D7677" w:rsidRDefault="009D7677" w:rsidP="009D7677">
      <w:pPr>
        <w:pStyle w:val="TextoNormal"/>
      </w:pPr>
    </w:p>
    <w:p w14:paraId="3BF6F2D2" w14:textId="77777777" w:rsidR="009D7677" w:rsidRDefault="009D7677" w:rsidP="009D7677">
      <w:pPr>
        <w:pStyle w:val="TextoNormal"/>
      </w:pPr>
      <w:r>
        <w:t>Resulta así palmario que la mesa de la Cámara, mediante una motivación irrazonable, omitió el cumplimiento del deber que la legalidad parlamentaria le imponía (art. 31.1.4 y 5 RCD) de declarar la admisibilidad de la solicitud de comparecencia y remitirla a la mesa de la Comisión de Justicia (sin dilación), viniendo a confundir su propia esfera de actuación, con aquella otra decisoria que le corresponde a la comisión de justicia. Además, tal dejación de funciones supuso la pérdida de un tiempo útil de un mes y una semana para los diputados del grupo parlamentario citado, obligándoles a tener que acudir directamente a la comisión de justicia y empezar allí el trámite desde cero, cuando la proposición de ley ya se estaba sustanciando en la comisión. Es este tiempo de retraso el que luego, como veremos, será utilizado indebidamente por el acuerdo de la mesa de la comisión de justicia para reprochar la extemporaneidad en la presentación de la referida solicitud de comparecencias.</w:t>
      </w:r>
    </w:p>
    <w:p w14:paraId="7EC6739C" w14:textId="77777777" w:rsidR="009D7677" w:rsidRDefault="009D7677" w:rsidP="009D7677">
      <w:pPr>
        <w:pStyle w:val="TextoNormal"/>
      </w:pPr>
    </w:p>
    <w:p w14:paraId="47BA5CBB" w14:textId="77777777" w:rsidR="009D7677" w:rsidRDefault="009D7677" w:rsidP="009D7677">
      <w:pPr>
        <w:pStyle w:val="TextoNormal"/>
      </w:pPr>
      <w:r>
        <w:t>c) La sentencia de la que discrepamos prescinde absolutamente de toda consideración sobre las resoluciones de la mesa del Congreso de los Diputados en este apartado, ciñendo su juicio desestimatorio de la segunda queja de la demanda de amparo a la resolución de la mesa de la comisión de justicia, pese a estar todas ellas causalmente conectadas, como se ha explicado. En esa medida, el andamiaje lógico que sustenta la argumentación de la sentencia parte de premisas incorrectas, pues toma como referencia de la solicitud el 9 de febrero de 2021 —como ahora veremos— y no, como debía, la del 2 de enero de ese año.</w:t>
      </w:r>
    </w:p>
    <w:p w14:paraId="1778244B" w14:textId="77777777" w:rsidR="009D7677" w:rsidRDefault="009D7677" w:rsidP="009D7677">
      <w:pPr>
        <w:pStyle w:val="TextoNormal"/>
      </w:pPr>
    </w:p>
    <w:p w14:paraId="53B0FEB7" w14:textId="77777777" w:rsidR="009D7677" w:rsidRDefault="009D7677" w:rsidP="009D7677">
      <w:pPr>
        <w:pStyle w:val="TextoNormal"/>
      </w:pPr>
      <w:r>
        <w:t xml:space="preserve">2. El acuerdo de la mesa de la Comisión de Justicia del Congreso de los Diputados, de 16 de febrero de 2021, y la respuesta de la sentencia de la que discrepamos: la supuesta </w:t>
      </w:r>
      <w:r>
        <w:lastRenderedPageBreak/>
        <w:t>discrecionalidad de dicho órgano para resolver la solicitud de comparecenci</w:t>
      </w:r>
      <w:r w:rsidRPr="009D7677">
        <w:rPr>
          <w:i/>
        </w:rPr>
        <w:t xml:space="preserve">a </w:t>
      </w:r>
      <w:r>
        <w:t>ex art. 44 RCD.</w:t>
      </w:r>
    </w:p>
    <w:p w14:paraId="5A6D4B7D" w14:textId="77777777" w:rsidR="009D7677" w:rsidRDefault="009D7677" w:rsidP="009D7677">
      <w:pPr>
        <w:pStyle w:val="TextoNormal"/>
      </w:pPr>
    </w:p>
    <w:p w14:paraId="5FF490C4" w14:textId="77777777" w:rsidR="009D7677" w:rsidRDefault="009D7677" w:rsidP="009D7677">
      <w:pPr>
        <w:pStyle w:val="TextoNormal"/>
      </w:pPr>
      <w:r>
        <w:t>En cuanto se recibió el acuerdo de la mesa del Congreso que desestimaba al recurso de reconsideración, ese mismo día —9 de febrero de 2021— la portavoz del Grupo Parlamentario Popular y aquí recurrente presentó un escrito dirigido a la mesa de la comisión de justicia, reiterando la solicitud de comparecencias de expertos con base en lo dispuesto en el art. 44 del Reglamento. La mesa, sin dar explicación alguna, esperó hasta el día 16 de febrero para dar una respuesta, que fue denegatoria y zanjó en un solo párrafo, ofreciendo dos motivos para su rechazo. Trataremos ambos motivos si bien alterando el orden en que se exponen en el acuerdo, porque así lo hace la sentencia de la que discrepamos concluyendo que la argumentación de la mesa resulta conforme con el derecho fundamental de las recurrentes.</w:t>
      </w:r>
    </w:p>
    <w:p w14:paraId="17D36742" w14:textId="77777777" w:rsidR="009D7677" w:rsidRDefault="009D7677" w:rsidP="009D7677">
      <w:pPr>
        <w:pStyle w:val="TextoNormal"/>
      </w:pPr>
    </w:p>
    <w:p w14:paraId="46ACD88C" w14:textId="77777777" w:rsidR="009D7677" w:rsidRDefault="009D7677" w:rsidP="009D7677">
      <w:pPr>
        <w:pStyle w:val="TextoNormal"/>
      </w:pPr>
      <w:r>
        <w:t>Así, el primero de los motivos es el de la presunta discrecionalidad de la mesa de la comisión de justicia para acceder o no a las solicitudes de comparecencias, remitiéndose para ello a los acuerdos de la mesa del Congreso. Dice la mesa de la comisión: “acuerda por tres votos a favor y dos en contra, desestimar el escrito […] así como acuerda dar por reproducidos en esta instancia todos los argumentos esgrimidos con anterioridad por la mesa del Congreso de los Diputados para rechazar las mismas solicitudes de informe”.</w:t>
      </w:r>
    </w:p>
    <w:p w14:paraId="3F1CA96C" w14:textId="77777777" w:rsidR="009D7677" w:rsidRDefault="009D7677" w:rsidP="009D7677">
      <w:pPr>
        <w:pStyle w:val="TextoNormal"/>
      </w:pPr>
    </w:p>
    <w:p w14:paraId="2E9FC045" w14:textId="77777777" w:rsidR="009D7677" w:rsidRDefault="009D7677" w:rsidP="009D7677">
      <w:pPr>
        <w:pStyle w:val="TextoNormal"/>
      </w:pPr>
      <w:r>
        <w:t>Es evidente que la mesa de la comisión, al argumentar en estos términos, confunde la competencia de la mesa del Congreso para solicitar informes al CGPJ y a la Comisión de Venecia en las proposiciones de ley, de acuerdo con lo previsto en el art. 561 LOPJ (que es lo resuelto por los acuerdos de 13 de enero y 9 de febrero), con la facultad de acceder a la solicitud de comparecencias que solo corresponde a la mesa de la comisión en cada caso competente, de acuerdo con el art. 44 RCD. La remisión a los acuerdos de la mesa del Congreso es por ello errónea. Sea como fuere, la mesa de la comisión de justicia al remitirse a lo dicho en aquella, invoca su “autonomía para la adopción de sus acuerdos”.</w:t>
      </w:r>
    </w:p>
    <w:p w14:paraId="2B241CEB" w14:textId="77777777" w:rsidR="009D7677" w:rsidRDefault="009D7677" w:rsidP="009D7677">
      <w:pPr>
        <w:pStyle w:val="TextoNormal"/>
      </w:pPr>
    </w:p>
    <w:p w14:paraId="5DCFC848" w14:textId="77777777" w:rsidR="009D7677" w:rsidRDefault="009D7677" w:rsidP="009D7677">
      <w:pPr>
        <w:pStyle w:val="TextoNormal"/>
      </w:pPr>
      <w:r>
        <w:t>Por su lado, la sentencia de la que discrepamos asume acríticamente este argumentario en su fundamento jurídico 4, invocando la discrecionalidad de la mesa de la comisión. Esta aseveración merece nuestra desavenencia, teniendo en cuenta lo siguiente:</w:t>
      </w:r>
    </w:p>
    <w:p w14:paraId="3B430D42" w14:textId="77777777" w:rsidR="009D7677" w:rsidRDefault="009D7677" w:rsidP="009D7677">
      <w:pPr>
        <w:pStyle w:val="TextoNormal"/>
      </w:pPr>
    </w:p>
    <w:p w14:paraId="20E51D0C" w14:textId="77777777" w:rsidR="009D7677" w:rsidRDefault="009D7677" w:rsidP="009D7677">
      <w:pPr>
        <w:pStyle w:val="TextoNormal"/>
      </w:pPr>
      <w:r>
        <w:t xml:space="preserve">a) La doctrina reiterada de este tribunal sobre el contenido del derecho del art. 23.2 CE en su ejercicio por cargos públicos representativos, que trae a colación el mismo fundamento jurídico 4 de la sentencia antes de resolver la queja, conduce sin embargo a un resultado contrario a lo sustentado por la mayoría del Pleno. Dicha doctrina, con respeto al principio de autonomía parlamentaria (art. 72.1 CE) que incluye la autonomía normativa, exige que los órganos de la respectiva cámara lleven a cabo siempre una exégesis restrictiva de las normas limitativas de los derechos o atribuciones del representante público y que los acuerdos que “resulten restrictivos del </w:t>
      </w:r>
      <w:r w:rsidRPr="009D7677">
        <w:rPr>
          <w:i/>
        </w:rPr>
        <w:t>ius in officium</w:t>
      </w:r>
      <w:r>
        <w:t xml:space="preserve"> no resulten decisiones arbitrarias o manifiestamente irrazonables, para lo que deben incorporar una motivación expresa, suficiente y adecuada”.</w:t>
      </w:r>
    </w:p>
    <w:p w14:paraId="33726D19" w14:textId="77777777" w:rsidR="009D7677" w:rsidRDefault="009D7677" w:rsidP="009D7677">
      <w:pPr>
        <w:pStyle w:val="TextoNormal"/>
      </w:pPr>
    </w:p>
    <w:p w14:paraId="0ADBE557" w14:textId="77777777" w:rsidR="009D7677" w:rsidRDefault="009D7677" w:rsidP="009D7677">
      <w:pPr>
        <w:pStyle w:val="TextoNormal"/>
      </w:pPr>
      <w:r>
        <w:t xml:space="preserve">Pues bien, de acuerdo con esa doctrina no puede sostenerse que las decisiones de los órganos parlamentarios estén sometidos a menores exigencias del deber de motivación que el resto de los órganos de otros poderes públicos, dado que el propio concepto de Estado </w:t>
      </w:r>
      <w:r>
        <w:lastRenderedPageBreak/>
        <w:t>de Derecho conlleva el pleno sometimiento de todos los poderes, también del Parlamento, a la ley y al resto del ordenamiento jurídico.</w:t>
      </w:r>
    </w:p>
    <w:p w14:paraId="025728F7" w14:textId="77777777" w:rsidR="009D7677" w:rsidRDefault="009D7677" w:rsidP="009D7677">
      <w:pPr>
        <w:pStyle w:val="TextoNormal"/>
      </w:pPr>
    </w:p>
    <w:p w14:paraId="628CB373" w14:textId="77777777" w:rsidR="009D7677" w:rsidRDefault="009D7677" w:rsidP="009D7677">
      <w:pPr>
        <w:pStyle w:val="TextoNormal"/>
      </w:pPr>
      <w:r>
        <w:t>b) Partiendo de esta exigencia de motivación, basta una lectura de los argumentos esgrimidos por la mesa de la comisión de justicia para comprobar que el rechazo de las peticiones de comparecencia de los portavoces de las cuatro asociaciones de jueces y magistrados no es objeto realmente de examen por la misma, por lo que no resulta posible afirmar el cumplimiento de la obligación de motivación del acuerdo de la mesa de la comisión de justicia, pues se limita a una remisión a otros acuerdos anteriores que no abordaban tal cuestión.</w:t>
      </w:r>
    </w:p>
    <w:p w14:paraId="3F222DC5" w14:textId="77777777" w:rsidR="009D7677" w:rsidRDefault="009D7677" w:rsidP="009D7677">
      <w:pPr>
        <w:pStyle w:val="TextoNormal"/>
      </w:pPr>
    </w:p>
    <w:p w14:paraId="5CFF5CEE" w14:textId="77777777" w:rsidR="009D7677" w:rsidRDefault="009D7677" w:rsidP="009D7677">
      <w:pPr>
        <w:pStyle w:val="TextoNormal"/>
      </w:pPr>
      <w:r>
        <w:t>c) De otra parte, la sentencia entiende cumplida la exigencia de motivación ya que la posibilidad de recabar informes y la comparecencia de miembros del Gobierno, funcionarios y autoridades públicas y otras personas competentes en la materia, se realiza en el art. 44 RCD en términos potestativos, “por lo que la mesa de la comisión correspondiente cuenta con un margen de discrecionalidad al respecto, en función de las consideraciones que estime más adecuadas sin que la mera petición de comparecencias implique obligación alguna para dicha mesa de aceptarlas” (fundamento jurídico 4).</w:t>
      </w:r>
    </w:p>
    <w:p w14:paraId="609E75EB" w14:textId="77777777" w:rsidR="009D7677" w:rsidRDefault="009D7677" w:rsidP="009D7677">
      <w:pPr>
        <w:pStyle w:val="TextoNormal"/>
      </w:pPr>
    </w:p>
    <w:p w14:paraId="0290E093" w14:textId="77777777" w:rsidR="009D7677" w:rsidRDefault="009D7677" w:rsidP="009D7677">
      <w:pPr>
        <w:pStyle w:val="TextoNormal"/>
      </w:pPr>
      <w:r>
        <w:t>Tal razonamiento no puede ser compartido, dado que se parte de un claro error conceptual en tanto que resulta ser diferente que una potestad sea discrecional por contraposición a reglada, y sostener que las facultades potestativas o discrecionales no obliguen a la motivación en el ejercicio de este tipo de decisiones. La motivación suficiente y adecuada, que aquí no se ha cumplido por el acuerdo de 16 de febrero de 2021, es el único sistema o garantía para poder realizar un control efectivo del ajuste del acto adoptado por el órgano con la legalidad parlamentaria, en este caso el Reglamento del Congreso.</w:t>
      </w:r>
    </w:p>
    <w:p w14:paraId="39C121CF" w14:textId="77777777" w:rsidR="009D7677" w:rsidRDefault="009D7677" w:rsidP="009D7677">
      <w:pPr>
        <w:pStyle w:val="TextoNormal"/>
      </w:pPr>
    </w:p>
    <w:p w14:paraId="7B2C75B1" w14:textId="77777777" w:rsidR="009D7677" w:rsidRDefault="009D7677" w:rsidP="009D7677">
      <w:pPr>
        <w:pStyle w:val="TextoNormal"/>
      </w:pPr>
      <w:r>
        <w:t>3. El acuerdo de la mesa de la Comisión de Justicia del Congreso de los Diputados, de 16 de febrero de 2021, y la respuesta de la sentencia de la que discrepamos: la inexistente extemporaneidad de la solicitud.</w:t>
      </w:r>
    </w:p>
    <w:p w14:paraId="2AD3A429" w14:textId="77777777" w:rsidR="009D7677" w:rsidRDefault="009D7677" w:rsidP="009D7677">
      <w:pPr>
        <w:pStyle w:val="TextoNormal"/>
      </w:pPr>
    </w:p>
    <w:p w14:paraId="3F359E0E" w14:textId="77777777" w:rsidR="009D7677" w:rsidRDefault="009D7677" w:rsidP="009D7677">
      <w:pPr>
        <w:pStyle w:val="TextoNormal"/>
      </w:pPr>
      <w:r>
        <w:t>El segundo motivo que esgrime la mesa de la comisión para denegar la solicitud de comparecencia de expertos, radica “en el momento de la tramitación en que se encuentra la citada proposición, que en el día de hoy será objeto de dictamen por la comisión y que ya ha sido informada por la ponencia”. A su vez, la sentencia de la que discrepamos apoya esta justificación de la resolución impugnada teniendo en cuenta “lo avanzado del procedimiento en la comisión” sobre la citada proposición de ley, y que “la ponencia [de la comisión de justicia] había emitido su informe el 4 de febrero de 2021 y, por tanto, cinco días antes de que se solicitaran por las demandantes las comparecencias el 9 de febrero de 2021”. Procede oponer al respecto lo siguiente:</w:t>
      </w:r>
    </w:p>
    <w:p w14:paraId="3D976CCF" w14:textId="77777777" w:rsidR="009D7677" w:rsidRDefault="009D7677" w:rsidP="009D7677">
      <w:pPr>
        <w:pStyle w:val="TextoNormal"/>
      </w:pPr>
    </w:p>
    <w:p w14:paraId="27F77E4E" w14:textId="77777777" w:rsidR="009D7677" w:rsidRDefault="009D7677" w:rsidP="009D7677">
      <w:pPr>
        <w:pStyle w:val="TextoNormal"/>
      </w:pPr>
      <w:r>
        <w:t xml:space="preserve">a) Como ya hemos explicado al hablar de la omisión de funciones cometida por la mesa del Congreso de los Diputados al no haber admitido el escrito fechado y presentado el 2 de enero de 2021 que solicitaba, en lo que aquí importa, la comparecencia de expertos por la comisión de justicia, ni remitido sin dilación dicho escrito a este último órgano, ninguna negligencia se le puede achacar a la portavoz ahora recurrente, por cuanto su confianza legítima no podía ser otra distinta a que la mesa del Congreso de los Diputados cumpliría con el deber impuesto por el art. 31.1.4 y 5 RCD, lo que empero no se produjo. Por tanto, </w:t>
      </w:r>
      <w:r>
        <w:lastRenderedPageBreak/>
        <w:t>que la solicitud se tuviera que presentar por segunda vez, ahora directamente ante la mesa de la comisión de justicia el 9 de febrero posterior, no podía generar ningún reproche a su actuación en defensa de s</w:t>
      </w:r>
      <w:r w:rsidRPr="009D7677">
        <w:rPr>
          <w:i/>
        </w:rPr>
        <w:t>u ius in offici</w:t>
      </w:r>
      <w:r>
        <w:t>um.</w:t>
      </w:r>
    </w:p>
    <w:p w14:paraId="2F7EC64D" w14:textId="77777777" w:rsidR="009D7677" w:rsidRDefault="009D7677" w:rsidP="009D7677">
      <w:pPr>
        <w:pStyle w:val="TextoNormal"/>
      </w:pPr>
    </w:p>
    <w:p w14:paraId="0D70DE5D" w14:textId="77777777" w:rsidR="009D7677" w:rsidRDefault="009D7677" w:rsidP="009D7677">
      <w:pPr>
        <w:pStyle w:val="TextoNormal"/>
      </w:pPr>
      <w:r>
        <w:t>b) Aun así, a 9 de febrero de 2021, si bien la ponencia designada para el estudio de la proposición de ley había emitido su informe cinco días antes (el 4 de febrero, como refiere la sentencia de la que se discrepa), lo cierto es que la votación en la Comisión no se produjo hasta siete días después, el 16 de febrero, cuando aprobó el dictamen, por lo que hubiera dado tiempo para celebrar las comparecencias (todas, o al menos algunas). El acuerdo denegatorio adoptado por la mesa de la comisión ese mismo día 16, no ofrece ninguna explicación de por qué la solicitud siguió guardada en un cajón toda una semana.</w:t>
      </w:r>
    </w:p>
    <w:p w14:paraId="69F37299" w14:textId="77777777" w:rsidR="009D7677" w:rsidRDefault="009D7677" w:rsidP="009D7677">
      <w:pPr>
        <w:pStyle w:val="TextoNormal"/>
      </w:pPr>
    </w:p>
    <w:p w14:paraId="638670C1" w14:textId="77777777" w:rsidR="009D7677" w:rsidRDefault="009D7677" w:rsidP="009D7677">
      <w:pPr>
        <w:pStyle w:val="TextoNormal"/>
      </w:pPr>
      <w:r>
        <w:t>El Reglamento de la Cámara, ni en el citado art. 44 ni en otro, establece como plazo de preclusión para las comparecencias en comisión el de la aprobación del informe por la ponencia, aunque es obvio que lo ideal sería que las mismas se aprobaran y tuvieran lugar antes de emitirlo, para poder tenerlas en cuenta. Cosa que, en este caso, se habría logrado por cierto, de haber cumplido la mesa del Congreso con su deber de remisión; y de todos modos podrían haberse ordenado entre los días 9 a 15 de febrero inclusive, cuando todavía no se había votado el dictamen por la comisión.</w:t>
      </w:r>
    </w:p>
    <w:p w14:paraId="24FEBF1A" w14:textId="77777777" w:rsidR="009D7677" w:rsidRDefault="009D7677" w:rsidP="009D7677">
      <w:pPr>
        <w:pStyle w:val="TextoNormal"/>
      </w:pPr>
    </w:p>
    <w:p w14:paraId="5D77150D" w14:textId="77777777" w:rsidR="009D7677" w:rsidRDefault="009D7677" w:rsidP="009D7677">
      <w:pPr>
        <w:pStyle w:val="TextoNormal"/>
      </w:pPr>
      <w:r>
        <w:t xml:space="preserve">c) Sorprendentemente, en fin, el acuerdo de la mesa de la comisión responde el día 16 de febrero de 2021 que no puede acceder a lo solicitado, porque “en el día de hoy será objeto de dictamen por la comisión”, como si la solicitud se hubiera presentado ese mismo día, u otro inmediato anterior. Es decir: que primero la mesa del Congreso de los Diputados y luego la mesa de la comisión de justicia, no dan trámite alguno a una solicitud legítimamente amparada en el ejercicio del </w:t>
      </w:r>
      <w:r w:rsidRPr="009D7677">
        <w:rPr>
          <w:i/>
        </w:rPr>
        <w:t>ius in officium</w:t>
      </w:r>
      <w:r>
        <w:t xml:space="preserve"> de los diputados del grupo parlamentario citado, entre ellos las aquí recurrentes, y que se presentó con suficiente tiempo de antelación, y se espera sin dar justificación alguna a que ya no exista posibilidad material alguna para acceder a lo pedido, diciendo entonces que no ha lugar a ello porque ese mismo día se vota el dictamen de la comisión. Y todo esto, nada menos que con relación a una proposición de ley tan importante como la de reforma de la Ley Orgánica del Poder Judicial para recortar las facultades del CGPJ en funciones. La contestación llevaría a la risa, si no fuera porque ha vulnerado un derecho fundamental.</w:t>
      </w:r>
    </w:p>
    <w:p w14:paraId="1E264CCF" w14:textId="77777777" w:rsidR="009D7677" w:rsidRDefault="009D7677" w:rsidP="009D7677">
      <w:pPr>
        <w:pStyle w:val="TextoNormal"/>
      </w:pPr>
    </w:p>
    <w:p w14:paraId="67D78B04" w14:textId="77777777" w:rsidR="009D7677" w:rsidRDefault="009D7677" w:rsidP="009D7677">
      <w:pPr>
        <w:pStyle w:val="TextoNormal"/>
      </w:pPr>
      <w:r>
        <w:t>En consecuencia, las resoluciones impugnadas en este recurso, tanto las dictadas por la mesa del Congreso de los Diputados como la emitida por la mesa de la comisión de justicia, adolecieron de la falta de una motivación suficiente y adecuada, tal y como exige nuestra reiterada doctrina, lo que debió conducir a la estimación de la segunda queja de la demanda de amparo por vulneración del derecho fundamental de las recurrentes al ejercicio de su función pública representativa (art. 23.2 CE).</w:t>
      </w:r>
    </w:p>
    <w:p w14:paraId="4DA5B062" w14:textId="77777777" w:rsidR="009D7677" w:rsidRDefault="009D7677" w:rsidP="009D7677">
      <w:pPr>
        <w:pStyle w:val="TextoNormal"/>
      </w:pPr>
    </w:p>
    <w:p w14:paraId="23E63C73" w14:textId="77777777" w:rsidR="009D7677" w:rsidRDefault="009D7677" w:rsidP="009D7677">
      <w:pPr>
        <w:pStyle w:val="TextoNormal"/>
      </w:pPr>
      <w:r>
        <w:t>Y en tal sentido emitimos nuestro voto particular.</w:t>
      </w:r>
    </w:p>
    <w:p w14:paraId="57CE9843" w14:textId="77777777" w:rsidR="009D7677" w:rsidRDefault="009D7677" w:rsidP="009D7677">
      <w:pPr>
        <w:pStyle w:val="TextoNormal"/>
      </w:pPr>
    </w:p>
    <w:p w14:paraId="44999DB5" w14:textId="2BB42BC4" w:rsidR="009D7677" w:rsidRDefault="009D7677" w:rsidP="009D7677">
      <w:pPr>
        <w:pStyle w:val="TextoNormal"/>
      </w:pPr>
      <w:r>
        <w:t>Madrid, a veintiocho de febrero de dos mil veinticuatro.</w:t>
      </w:r>
    </w:p>
    <w:p w14:paraId="2494AC40" w14:textId="77777777" w:rsidR="009D7677" w:rsidRDefault="009D7677" w:rsidP="009D7677">
      <w:pPr>
        <w:pStyle w:val="TextoNormal"/>
      </w:pPr>
    </w:p>
    <w:p w14:paraId="141428BD" w14:textId="77777777" w:rsidR="009D7677" w:rsidRDefault="009D7677" w:rsidP="009D7677">
      <w:pPr>
        <w:pStyle w:val="TextoNormalNegritaCentrado"/>
        <w:keepNext/>
      </w:pPr>
      <w:r>
        <w:lastRenderedPageBreak/>
        <w:t>Voto particular que formula la magistrada doña Concepción Espejel Jorquera a la sentencia dictada en el recurso de amparo avocado núm. 1209-2021</w:t>
      </w:r>
    </w:p>
    <w:p w14:paraId="1524CF02" w14:textId="40263035" w:rsidR="009D7677" w:rsidRDefault="009D7677" w:rsidP="009D7677">
      <w:pPr>
        <w:pStyle w:val="TextoNormalNegritaCentrado"/>
        <w:keepNext/>
      </w:pPr>
    </w:p>
    <w:p w14:paraId="3156ABF1" w14:textId="77777777" w:rsidR="009D7677" w:rsidRDefault="009D7677" w:rsidP="009D7677">
      <w:pPr>
        <w:pStyle w:val="TextoNormal"/>
      </w:pPr>
      <w:r>
        <w:t xml:space="preserve">En el ejercicio de la facultad que me confiere el artículo 90.2 de la Ley Orgánica del Tribunal Constitucional, y con respeto a la opinión de la mayoría, formulo el presente voto particular por discrepar de la fundamentación y del fallo de la sentencia recaída en el en el recurso de amparo avocado al Pleno núm. 1209-2021, que, a mi juicio, debió ser estimado atendido que los referidos acuerdos vulneraron el </w:t>
      </w:r>
      <w:r w:rsidRPr="009D7677">
        <w:rPr>
          <w:i/>
        </w:rPr>
        <w:t>ius in officium</w:t>
      </w:r>
      <w:r>
        <w:t xml:space="preserve"> de los parlamentarios del grupo parlamentario recurrente consagrado en el art. 23.2 CE.</w:t>
      </w:r>
    </w:p>
    <w:p w14:paraId="0DC3F88C" w14:textId="77777777" w:rsidR="009D7677" w:rsidRDefault="009D7677" w:rsidP="009D7677">
      <w:pPr>
        <w:pStyle w:val="TextoNormal"/>
      </w:pPr>
    </w:p>
    <w:p w14:paraId="6DB22DD9" w14:textId="77777777" w:rsidR="009D7677" w:rsidRDefault="009D7677" w:rsidP="009D7677">
      <w:pPr>
        <w:pStyle w:val="TextoNormal"/>
      </w:pPr>
      <w:r>
        <w:t>La sentencia de la que discrepo desestima la demanda de amparo formulada por el Grupo Parlamentario Popular contra los acuerdos de la mesa del Congreso de los Diputados de 13 de enero de 2021 y de 9 de febrero de 2021, y contra el acuerdo de la mesa de la comisión de justicia de 16 de febrero de 2021, adoptados en relación con la tramitación de la proposición de ley orgánica por la que se modifica la Ley Orgánica 6/1985, de 1 de julio, del Poder Judicial, para el establecimiento del régimen jurídico aplicable al Consejo General del Poder Judicial en funciones. En el primero, la mesa de la Cámara acordó la tramitación de urgencia de esta proposición de ley, la denegación de la emisión de informes del CGPJ y de la Comisión Europea para la Democracia a través del Derecho (Comisión de Venecia), así como de la apertura de un trámite de audiencia a los agentes afectados por la proposición de ley orgánica, confirmado en reconsideración por el acuerdo de 9 de febrero de 2021. Por su parte, el acuerdo de la mesa de la comisión de justicia de 16 de febrero de 2021 rechaza la emisión de informes del CGPJ y de la Comisión de Venecia, así como la petición de comparecencias de expertos.</w:t>
      </w:r>
    </w:p>
    <w:p w14:paraId="780FB812" w14:textId="77777777" w:rsidR="009D7677" w:rsidRDefault="009D7677" w:rsidP="009D7677">
      <w:pPr>
        <w:pStyle w:val="TextoNormal"/>
      </w:pPr>
    </w:p>
    <w:p w14:paraId="4D3271D0" w14:textId="77777777" w:rsidR="009D7677" w:rsidRDefault="009D7677" w:rsidP="009D7677">
      <w:pPr>
        <w:pStyle w:val="TextoNormal"/>
      </w:pPr>
      <w:r>
        <w:t xml:space="preserve">1. </w:t>
      </w:r>
      <w:r w:rsidRPr="009D7677">
        <w:rPr>
          <w:i/>
        </w:rPr>
        <w:t>La tramitación de la proposición de ley por el procedimiento de urgencia y la denegación de informe del Consejo General del Poder Judicial y de la Comisión de Venecia</w:t>
      </w:r>
    </w:p>
    <w:p w14:paraId="2A759B63" w14:textId="77777777" w:rsidR="009D7677" w:rsidRDefault="009D7677" w:rsidP="009D7677">
      <w:pPr>
        <w:pStyle w:val="TextoNormal"/>
      </w:pPr>
    </w:p>
    <w:p w14:paraId="1B55C572" w14:textId="77777777" w:rsidR="009D7677" w:rsidRDefault="009D7677" w:rsidP="009D7677">
      <w:pPr>
        <w:pStyle w:val="TextoNormal"/>
      </w:pPr>
      <w:r>
        <w:t>La sentencia, en su fundamento jurídico 3, desestima el recurso de amparo respecto a los acuerdos de la mesa del Congreso de los Diputados, en cuanto a la negativa a solicitar la emisión de un informe al CGPJ sobre la proposición de ley orgánica, por remisión a las SSTC 128/2023, de 2 de octubre, y 15/2024, de enero.</w:t>
      </w:r>
    </w:p>
    <w:p w14:paraId="285EC4A0" w14:textId="77777777" w:rsidR="009D7677" w:rsidRDefault="009D7677" w:rsidP="009D7677">
      <w:pPr>
        <w:pStyle w:val="TextoNormal"/>
      </w:pPr>
    </w:p>
    <w:p w14:paraId="1D7B4D9F" w14:textId="77777777" w:rsidR="009D7677" w:rsidRDefault="009D7677" w:rsidP="009D7677">
      <w:pPr>
        <w:pStyle w:val="TextoNormal"/>
      </w:pPr>
      <w:r>
        <w:t>Asimismo, en dicho fundamento jurídico 3 se desestima el recurso respecto a los acuerdos de la mesa del Congreso de los Diputados, en cuanto a la tramitación de la proposición de ley orgánica por el procedimiento de urgencia y a la denegación tanto de la solicitud de informe a la Comisión de Venecia y posibilitar la audiencia de los agentes afectados por esta iniciativa legislativa, por remisión a la STC 15/2024.</w:t>
      </w:r>
    </w:p>
    <w:p w14:paraId="04C84D6E" w14:textId="77777777" w:rsidR="009D7677" w:rsidRDefault="009D7677" w:rsidP="009D7677">
      <w:pPr>
        <w:pStyle w:val="TextoNormal"/>
      </w:pPr>
    </w:p>
    <w:p w14:paraId="16393A7C" w14:textId="77777777" w:rsidR="009D7677" w:rsidRDefault="009D7677" w:rsidP="009D7677">
      <w:pPr>
        <w:pStyle w:val="TextoNormal"/>
      </w:pPr>
      <w:r>
        <w:t>Considero que la sentencia no debió remitirse, sin mayor explicación, a sentencias de este tribunal que resuelven sendos recursos de inconstitucionalidad para desestimar las quejas que el recurrente ha formulado en su recurso de amparo.</w:t>
      </w:r>
    </w:p>
    <w:p w14:paraId="171BE83F" w14:textId="77777777" w:rsidR="009D7677" w:rsidRDefault="009D7677" w:rsidP="009D7677">
      <w:pPr>
        <w:pStyle w:val="TextoNormal"/>
      </w:pPr>
    </w:p>
    <w:p w14:paraId="44F86441" w14:textId="77777777" w:rsidR="009D7677" w:rsidRDefault="009D7677" w:rsidP="009D7677">
      <w:pPr>
        <w:pStyle w:val="TextoNormal"/>
      </w:pPr>
      <w:r>
        <w:t xml:space="preserve">Si bien es cierto que el tribunal no ha dudado en afirmar, en algunas ocasiones (por ejemplo, en la STC 42/2019, de 27 de marzo, FJ 3), la necesidad de tener en cuenta, para examinar vulneraciones aducidas por los recurrentes en amparo, resoluciones dictadas en procedimientos de naturaleza diferente al recurso de amparo, no es menos cierto que también ha declarado que en un recurso de inconstitucionalidad se realiza un análisis abstracto </w:t>
      </w:r>
      <w:r>
        <w:lastRenderedPageBreak/>
        <w:t>de los vicios de procedimiento como causa de la inconstitucionalidad de la norma y no, de forma específica, las eventuales vulneraciones de derechos o facultades atribuidos a los parlamentarios. Dicho análisis no se realiza en esta sentencia.</w:t>
      </w:r>
    </w:p>
    <w:p w14:paraId="73973BCA" w14:textId="77777777" w:rsidR="009D7677" w:rsidRDefault="009D7677" w:rsidP="009D7677">
      <w:pPr>
        <w:pStyle w:val="TextoNormal"/>
      </w:pPr>
    </w:p>
    <w:p w14:paraId="49A55D9A" w14:textId="77777777" w:rsidR="009D7677" w:rsidRDefault="009D7677" w:rsidP="009D7677">
      <w:pPr>
        <w:pStyle w:val="TextoNormal"/>
      </w:pPr>
      <w:r>
        <w:t xml:space="preserve">Estimo que, en abstracto, sentencias desestimatorias de sendos recursos de inconstitucionalidad en el que se alegaban vicios procedimentales no pueden conllevar sin más la desestimación de un recurso de amparo parlamentario. El Tribunal ha considerado en las SSTC 125/2023 y 15/2024, que los vicios procedimentales aducidos no determinaban la inconstitucionalidad de la norma, conclusión de la que discrepé en su momento. Pero, en este caso, el recurso de amparo debería haber sido estimado por haberse vulnerado el </w:t>
      </w:r>
      <w:r w:rsidRPr="009D7677">
        <w:rPr>
          <w:i/>
        </w:rPr>
        <w:t>ius in officium</w:t>
      </w:r>
      <w:r>
        <w:t xml:space="preserve"> de los diputados del grupo parlamentario recurrentes en amparo, máxime cuando a los vicios entonces considerados se han sumado otros, a los que se hará posterior mención. De modo que, analizados en su conjunto, adquieren un alcance que ha de llevar a la conclusión de que el derecho de representación resultó efectivamente vulnerado.</w:t>
      </w:r>
    </w:p>
    <w:p w14:paraId="19C51919" w14:textId="77777777" w:rsidR="009D7677" w:rsidRDefault="009D7677" w:rsidP="009D7677">
      <w:pPr>
        <w:pStyle w:val="TextoNormal"/>
      </w:pPr>
    </w:p>
    <w:p w14:paraId="15C28BAC" w14:textId="77777777" w:rsidR="009D7677" w:rsidRDefault="009D7677" w:rsidP="009D7677">
      <w:pPr>
        <w:pStyle w:val="TextoNormal"/>
      </w:pPr>
      <w:r>
        <w:t>En la medida en que la sentencia resuelve las quejas con remisión a las SSTC 128/2023 y 15/2024, he de dar por reproducidas las consideraciones efectuadas en el voto particular a esta última sentencia que suscribí junto al magistrado don Enrique Arnaldo Alcubilla respecto a la tramitación legislativa de la proposición de ley. En dicho voto pusimos de relieve que el Tribunal había desaprovechado la ocasión de advertir al legislador de la necesidad de realizar un uso adecuado de los procedimientos parlamentarios a su disposición en atención al calado de la reforma legal que se pretendía abordar, particularmente en lo que atañe al empleo del procedimiento de urgencia, que comporta la radical reducción de los plazos de análisis, estudio y deliberación de una iniciativa legislativa, es decir, un examen compendiado y acelerado de esta.</w:t>
      </w:r>
    </w:p>
    <w:p w14:paraId="1AB63913" w14:textId="77777777" w:rsidR="009D7677" w:rsidRDefault="009D7677" w:rsidP="009D7677">
      <w:pPr>
        <w:pStyle w:val="TextoNormal"/>
      </w:pPr>
    </w:p>
    <w:p w14:paraId="391648F3" w14:textId="77777777" w:rsidR="009D7677" w:rsidRDefault="009D7677" w:rsidP="009D7677">
      <w:pPr>
        <w:pStyle w:val="TextoNormal"/>
      </w:pPr>
      <w:r>
        <w:t>Señalamos, además que, aunque de la doctrina constitucional resulte que no se vulnera el procedimiento legislativo por el hecho de que la norma impugnada tenga su origen en una proposición de ley y no en un proyecto de ley, la opción de acudir a la proposición de ley, a iniciativa de los grupos parlamentarios que sustentaban la coalición gubernamental, para desapoderar al Consejo General del Poder Judicial de sus funciones más relevantes cuando está prorrogado por no haber sido renovado en plazo, tenía el propósito de evitar que se recabara, entre otros, el informe del propio Consejo, lo que no habría podido eludirse si la iniciativa se hubiera articulado a través de la vía del proyecto de ley, de conformidad con el art. 88 CE y el art. 109.</w:t>
      </w:r>
    </w:p>
    <w:p w14:paraId="4B61D94D" w14:textId="77777777" w:rsidR="009D7677" w:rsidRDefault="009D7677" w:rsidP="009D7677">
      <w:pPr>
        <w:pStyle w:val="TextoNormal"/>
      </w:pPr>
    </w:p>
    <w:p w14:paraId="65A87665" w14:textId="77777777" w:rsidR="009D7677" w:rsidRDefault="009D7677" w:rsidP="009D7677">
      <w:pPr>
        <w:pStyle w:val="TextoNormal"/>
      </w:pPr>
      <w:r>
        <w:t xml:space="preserve">2. </w:t>
      </w:r>
      <w:r w:rsidRPr="009D7677">
        <w:rPr>
          <w:i/>
        </w:rPr>
        <w:t>La denegación de celebración de comparecencias de los agentes afectados por la iniciativa legislativa</w:t>
      </w:r>
    </w:p>
    <w:p w14:paraId="5B9405D6" w14:textId="77777777" w:rsidR="009D7677" w:rsidRDefault="009D7677" w:rsidP="009D7677">
      <w:pPr>
        <w:pStyle w:val="TextoNormal"/>
      </w:pPr>
    </w:p>
    <w:p w14:paraId="4AA0D32B" w14:textId="77777777" w:rsidR="009D7677" w:rsidRDefault="009D7677" w:rsidP="009D7677">
      <w:pPr>
        <w:pStyle w:val="TextoNormal"/>
      </w:pPr>
      <w:r>
        <w:t xml:space="preserve">A la afectación del </w:t>
      </w:r>
      <w:r w:rsidRPr="009D7677">
        <w:rPr>
          <w:i/>
        </w:rPr>
        <w:t>ius in officium</w:t>
      </w:r>
      <w:r>
        <w:t xml:space="preserve"> a la que nos referimos en el voto particular precedente, se suma la derivada de la negativa a la celebración de las comparecencias de los agentes afectados por la iniciativa legislativa.</w:t>
      </w:r>
    </w:p>
    <w:p w14:paraId="0F43EB0F" w14:textId="77777777" w:rsidR="009D7677" w:rsidRDefault="009D7677" w:rsidP="009D7677">
      <w:pPr>
        <w:pStyle w:val="TextoNormal"/>
      </w:pPr>
    </w:p>
    <w:p w14:paraId="39855D8F" w14:textId="77777777" w:rsidR="009D7677" w:rsidRDefault="009D7677" w:rsidP="009D7677">
      <w:pPr>
        <w:pStyle w:val="TextoNormal"/>
      </w:pPr>
      <w:r>
        <w:t>Mi discrepancia con la sentencia se fundamenta en la argumentación que sustenta el rechazo a la vulneración denunciada por el grupo parlamentario recurrente.</w:t>
      </w:r>
    </w:p>
    <w:p w14:paraId="0E4E9528" w14:textId="77777777" w:rsidR="009D7677" w:rsidRDefault="009D7677" w:rsidP="009D7677">
      <w:pPr>
        <w:pStyle w:val="TextoNormal"/>
      </w:pPr>
    </w:p>
    <w:p w14:paraId="352B3B15" w14:textId="77777777" w:rsidR="009D7677" w:rsidRDefault="009D7677" w:rsidP="009D7677">
      <w:pPr>
        <w:pStyle w:val="TextoNormal"/>
      </w:pPr>
      <w:r>
        <w:t xml:space="preserve">La sentencia se remite, como he señalado, a la STC 15/2024 para responder a las vulneraciones que se achacan respecto al acuerdo de la mesa del Congreso de los Diputados. </w:t>
      </w:r>
      <w:r>
        <w:lastRenderedPageBreak/>
        <w:t>Dicho acuerdo se refería a la apertura de un trámite de audiencia a los agentes afectados por la proposición de ley orgánica. Sin embargo, dicha sentencia aborda esta cuestión desde la perspectiva del art. 93 CE, no del art. 23 CE [STC 15/2024, FJ 3 c)], aunque en la demanda se aducía la vulneración del art. 23 CE [STC 15/2024, antecedente 1 a)].</w:t>
      </w:r>
    </w:p>
    <w:p w14:paraId="7CE4534C" w14:textId="77777777" w:rsidR="009D7677" w:rsidRDefault="009D7677" w:rsidP="009D7677">
      <w:pPr>
        <w:pStyle w:val="TextoNormal"/>
      </w:pPr>
    </w:p>
    <w:p w14:paraId="1B3E5B98" w14:textId="77777777" w:rsidR="009D7677" w:rsidRDefault="009D7677" w:rsidP="009D7677">
      <w:pPr>
        <w:pStyle w:val="TextoNormal"/>
      </w:pPr>
      <w:r>
        <w:t>De otra parte, en la sentencia de la que discrepo se hace hincapié en el dato relativo a que la solicitud de las comparecencias ante la mesa de la comisión se efectuó el 9 de febrero y en que el informe de la ponencia había sido presentado el día 4 del mismo mes, en base a lo cual se viene a dar por válida la decisión denegatoria contenida en el acuerdo de 16 de febrero en el que se alude al estado en que en aquel momento se encontraba la tramitación.</w:t>
      </w:r>
    </w:p>
    <w:p w14:paraId="0E1A3A07" w14:textId="77777777" w:rsidR="009D7677" w:rsidRDefault="009D7677" w:rsidP="009D7677">
      <w:pPr>
        <w:pStyle w:val="TextoNormal"/>
      </w:pPr>
    </w:p>
    <w:p w14:paraId="547D25C0" w14:textId="77777777" w:rsidR="009D7677" w:rsidRDefault="009D7677" w:rsidP="009D7677">
      <w:pPr>
        <w:pStyle w:val="TextoNormal"/>
      </w:pPr>
      <w:r>
        <w:t>Sin embargo, no se tienen en consideración en la sentencia otros datos muy relevantes que debieron dar lugar la estimación de la vulneración denunciada, en cuanto evidencian un claro incumplimiento de las funciones que la mesa del Congreso tiene atribuidas, que comportan una injustificada dilación en la tramitación y en la final decisión en la relación con la solicitud de comparecencias, la cual se produjo una vez culminada la tramitación; haciendo recaer sobre los miembros del grupo parlamentario que las solicitaron tempestivamente, las consecuencias de una dilación a la que fueron en todo momento ajenos y que resulta imputable a la propia mesa de la Cámara y a la comisión de justicia.</w:t>
      </w:r>
    </w:p>
    <w:p w14:paraId="7B5E2ECF" w14:textId="77777777" w:rsidR="009D7677" w:rsidRDefault="009D7677" w:rsidP="009D7677">
      <w:pPr>
        <w:pStyle w:val="TextoNormal"/>
      </w:pPr>
    </w:p>
    <w:p w14:paraId="3ADCC370" w14:textId="77777777" w:rsidR="009D7677" w:rsidRDefault="009D7677" w:rsidP="009D7677">
      <w:pPr>
        <w:pStyle w:val="TextoNormal"/>
      </w:pPr>
      <w:r>
        <w:t>Los datos relevantes, a los que no se ha atendido en la sentencia son los siguientes:</w:t>
      </w:r>
    </w:p>
    <w:p w14:paraId="099C3479" w14:textId="77777777" w:rsidR="009D7677" w:rsidRDefault="009D7677" w:rsidP="009D7677">
      <w:pPr>
        <w:pStyle w:val="TextoNormal"/>
      </w:pPr>
    </w:p>
    <w:p w14:paraId="3076A5D6" w14:textId="77777777" w:rsidR="009D7677" w:rsidRDefault="009D7677" w:rsidP="009D7677">
      <w:pPr>
        <w:pStyle w:val="TextoNormal"/>
      </w:pPr>
      <w:r>
        <w:t>a) El día 18 de diciembre de 2020, el Grupo Parlamentario popular solicita que la proposición de ley no se tramite por el procedimiento de urgencia.</w:t>
      </w:r>
    </w:p>
    <w:p w14:paraId="64FBB58D" w14:textId="77777777" w:rsidR="009D7677" w:rsidRDefault="009D7677" w:rsidP="009D7677">
      <w:pPr>
        <w:pStyle w:val="TextoNormal"/>
      </w:pPr>
    </w:p>
    <w:p w14:paraId="0AE489BC" w14:textId="77777777" w:rsidR="009D7677" w:rsidRDefault="009D7677" w:rsidP="009D7677">
      <w:pPr>
        <w:pStyle w:val="TextoNormal"/>
      </w:pPr>
      <w:r>
        <w:t>b) El día 2 de enero de 2021, se presenta solicitud a la mesa de la Cámara por el Grupo Parlamentario Popular en el Congreso para que requiera al Consejo General del Poder Judicial a los efectos de la emisión del correspondiente informe, y a la Comisión Europea para la Democracia a través del Derecho (Comisión de Venecia), la proposición de ley orgánica por la que se modifica la Ley Orgánica 6/1985. de 1 de julio, del Poder Judicial, para el establecimiento del régimen jurídico aplicable al Consejo General del Poder Judicial en funciones, así como para “que en la tramitación de la proposición de ley orgánica, tal y como establece el artículo 44.4 del vigente Reglamento del Congreso, se dé audiencia a todos los agentes afectados por la reforma propuesta, en particular al Consejo General del Poder Judicial, las asociaciones de jueces y fiscales, así como a las demás entidades representativas e instituciones públicas del ámbito de la justicia en España”.</w:t>
      </w:r>
    </w:p>
    <w:p w14:paraId="05C3A7D9" w14:textId="77777777" w:rsidR="009D7677" w:rsidRDefault="009D7677" w:rsidP="009D7677">
      <w:pPr>
        <w:pStyle w:val="TextoNormal"/>
      </w:pPr>
    </w:p>
    <w:p w14:paraId="33A194CF" w14:textId="77777777" w:rsidR="009D7677" w:rsidRDefault="009D7677" w:rsidP="009D7677">
      <w:pPr>
        <w:pStyle w:val="TextoNormal"/>
      </w:pPr>
      <w:r>
        <w:t>c) Por acuerdo de la mesa de la Cámara de 13 de enero, en relación con anterior solicitud se comunica al “grupo parlamentario autor del presente escrito que no procede acceder a lo solicitado, de acuerdo con el carácter potestativo con que se prevé la solicitud de informe y una vez ponderadas las circunstancias que concurren en el presente caso, todo ello conforme a lo dispuesto en el artículo 561 de la Ley Orgánica 6/1985, de 1 de julio, del Poder Judicial”.</w:t>
      </w:r>
    </w:p>
    <w:p w14:paraId="3AEF22B0" w14:textId="77777777" w:rsidR="009D7677" w:rsidRDefault="009D7677" w:rsidP="009D7677">
      <w:pPr>
        <w:pStyle w:val="TextoNormal"/>
      </w:pPr>
    </w:p>
    <w:p w14:paraId="651B0359" w14:textId="77777777" w:rsidR="009D7677" w:rsidRDefault="009D7677" w:rsidP="009D7677">
      <w:pPr>
        <w:pStyle w:val="TextoNormal"/>
      </w:pPr>
      <w:r>
        <w:t xml:space="preserve">d) El 18 de enero se presenta solicitud de reconsideración por el Grupo Parlamentario Popular frente a dichas decisiones. Entre otras cuestiones, se pide dar “audiencia, a todos los agentes afectados por la reforma propuesta, en particular las asociaciones de jueces y </w:t>
      </w:r>
      <w:r>
        <w:lastRenderedPageBreak/>
        <w:t>fiscales, así como a las demás entidades representativas e instituciones públicas del ámbito de la justicia. Subsidiariamente, que se acuerde […] abrir un plazo de comparecencias ante la comisión de justicia para que informen sobre 1a reforma expertos y representantes de los sectores implicados”.</w:t>
      </w:r>
    </w:p>
    <w:p w14:paraId="6CCED358" w14:textId="77777777" w:rsidR="009D7677" w:rsidRDefault="009D7677" w:rsidP="009D7677">
      <w:pPr>
        <w:pStyle w:val="TextoNormal"/>
      </w:pPr>
    </w:p>
    <w:p w14:paraId="230D69F3" w14:textId="77777777" w:rsidR="009D7677" w:rsidRDefault="009D7677" w:rsidP="009D7677">
      <w:pPr>
        <w:pStyle w:val="TextoNormal"/>
      </w:pPr>
      <w:r>
        <w:t>e) El día 9 de febrero se desestima la solicitud de reconsideración y se afirma, entre otras cuestiones que, “por lo demás, y al margen de lo anterior, es preciso recordar que la facultad para acordar comparecencias de expertos en comisión le corresponde en exclusiva a la propia comisión competente, de conformidad con lo dispuesto en el artículo 44.4 del Reglamento, sin que la mesa de la Cámara ostente competencia alguna a este respecto, en consideración, entre otras cosas, a la autonomía de la que gozan las comisiones para la adopción de sus acuerdos”.</w:t>
      </w:r>
    </w:p>
    <w:p w14:paraId="0E7A7CD1" w14:textId="77777777" w:rsidR="009D7677" w:rsidRDefault="009D7677" w:rsidP="009D7677">
      <w:pPr>
        <w:pStyle w:val="TextoNormal"/>
      </w:pPr>
    </w:p>
    <w:p w14:paraId="52952DD5" w14:textId="77777777" w:rsidR="009D7677" w:rsidRDefault="009D7677" w:rsidP="009D7677">
      <w:pPr>
        <w:pStyle w:val="TextoNormal"/>
      </w:pPr>
      <w:r>
        <w:t>f) El mismo día 9 de febrero se solicita por el Grupo Parlamentario Popular a la mesa de la comisión de justicia solicitudes de comparecencia en relación con la tramitación de la proposición de ley orgánica.</w:t>
      </w:r>
    </w:p>
    <w:p w14:paraId="2AA2AB05" w14:textId="77777777" w:rsidR="009D7677" w:rsidRDefault="009D7677" w:rsidP="009D7677">
      <w:pPr>
        <w:pStyle w:val="TextoNormal"/>
      </w:pPr>
    </w:p>
    <w:p w14:paraId="027EBDB5" w14:textId="77777777" w:rsidR="009D7677" w:rsidRDefault="009D7677" w:rsidP="009D7677">
      <w:pPr>
        <w:pStyle w:val="TextoNormal"/>
      </w:pPr>
      <w:r>
        <w:t>g) El día 16 de febrero la mesa de la comisión de justicia adopta el acuerdo de desestimar el escrito, motivándolo “en el momento de la tramitación en que se encuentra la citada proposición, que en el día de hoy será objeto de dictamen por la comisión y que ya ha sido informada por la ponencia así como acuerda dar por reproducidos en esta instancia todos los argumentos esgrimidos con anterioridad por la mesa del Congreso de los Diputados para rechazar las mismas solicitudes de informe”.</w:t>
      </w:r>
    </w:p>
    <w:p w14:paraId="692D54A9" w14:textId="77777777" w:rsidR="009D7677" w:rsidRDefault="009D7677" w:rsidP="009D7677">
      <w:pPr>
        <w:pStyle w:val="TextoNormal"/>
      </w:pPr>
    </w:p>
    <w:p w14:paraId="6CC1FE49" w14:textId="77777777" w:rsidR="009D7677" w:rsidRDefault="009D7677" w:rsidP="009D7677">
      <w:pPr>
        <w:pStyle w:val="TextoNormal"/>
      </w:pPr>
      <w:r>
        <w:t xml:space="preserve">De dicho </w:t>
      </w:r>
      <w:r w:rsidRPr="009D7677">
        <w:rPr>
          <w:i/>
        </w:rPr>
        <w:t>iter</w:t>
      </w:r>
      <w:r>
        <w:t xml:space="preserve"> cronológico se infiere que la petición inicial de las comparecencias se dedujo con toda claridad e identificando suficientemente los afectados que debían ser citados el 2 de enero de 2021, es decir, en un momento, en el que existía tiempo más que suficiente para que dichas comparecencias se hubieran realizado, en el supuesto de ser admitidas y, en todo caso, bastante para que los solicitantes hubieran recibido una respuesta fundada, más allá de la mera arbitrariedad, en vez de llegar a un pretendido decaimiento de su petición por el transcurso del tiempo, causado por una dilación que no fue en modo alguno imputable a los solicitantes sino a la propia mesa de la Cámara, primero, y a la de la comisión, después, que demoraron la tramitación y la decisión un mes y catorce días desde que se formuló la solicitud.</w:t>
      </w:r>
    </w:p>
    <w:p w14:paraId="1A748108" w14:textId="77777777" w:rsidR="009D7677" w:rsidRDefault="009D7677" w:rsidP="009D7677">
      <w:pPr>
        <w:pStyle w:val="TextoNormal"/>
      </w:pPr>
    </w:p>
    <w:p w14:paraId="4706C45E" w14:textId="77777777" w:rsidR="009D7677" w:rsidRDefault="009D7677" w:rsidP="009D7677">
      <w:pPr>
        <w:pStyle w:val="TextoNormal"/>
      </w:pPr>
      <w:r>
        <w:t>Así la mesa del Congreso, desde el día 2 de enero de 2021 en que recibió la solicitud, no dio respuesta alguna hasta el día 13 de enero, si bien en dicho acuerdo no se refirió a las comparecencias sino tan solo al informe del Consejo General del Poder Judicial.</w:t>
      </w:r>
    </w:p>
    <w:p w14:paraId="704E4F87" w14:textId="77777777" w:rsidR="009D7677" w:rsidRDefault="009D7677" w:rsidP="009D7677">
      <w:pPr>
        <w:pStyle w:val="TextoNormal"/>
      </w:pPr>
    </w:p>
    <w:p w14:paraId="7AC78827" w14:textId="77777777" w:rsidR="009D7677" w:rsidRDefault="009D7677" w:rsidP="009D7677">
      <w:pPr>
        <w:pStyle w:val="TextoNormal"/>
      </w:pPr>
      <w:r>
        <w:t>No fue hasta pasado más de un mes desde la inicial solicitud de comparecencias cuando respecto a estas la mesa del Congreso adoptó un acuerdo el 9 de febrero del siguiente tenor: “por lo demás, y al margen de lo anterior, es preciso recordar que la facultad para acordar comparecencias de expertos en comisión le corresponde en exclusiva a la propia comisión competente, de conformidad con lo dispuesto en el artículo 44.4 del Reglamento, sin que la mesa de la Cámara ostente competencia alguna a este respecto, en consideración, entre otras cosas, a la autonomía de la que gozan las comisiones para la adopción de sus acuerdos”.</w:t>
      </w:r>
    </w:p>
    <w:p w14:paraId="6CFDF845" w14:textId="77777777" w:rsidR="009D7677" w:rsidRDefault="009D7677" w:rsidP="009D7677">
      <w:pPr>
        <w:pStyle w:val="TextoNormal"/>
      </w:pPr>
    </w:p>
    <w:p w14:paraId="7FD96A2F" w14:textId="77777777" w:rsidR="009D7677" w:rsidRDefault="009D7677" w:rsidP="009D7677">
      <w:pPr>
        <w:pStyle w:val="TextoNormal"/>
      </w:pPr>
      <w:r>
        <w:lastRenderedPageBreak/>
        <w:t>En relación con dicha contestación se ha de tener presente que, conforme al art. 31.1.4 RCD, a la mesa de la Cámara le corresponde “calificar, con arreglo al Reglamento, los escritos y documentos de índole parlamentaria, así como declarar la admisibilidad o inadmisibilidad de los mismos”.</w:t>
      </w:r>
    </w:p>
    <w:p w14:paraId="67565EC3" w14:textId="77777777" w:rsidR="009D7677" w:rsidRDefault="009D7677" w:rsidP="009D7677">
      <w:pPr>
        <w:pStyle w:val="TextoNormal"/>
      </w:pPr>
    </w:p>
    <w:p w14:paraId="3EAD29F5" w14:textId="77777777" w:rsidR="009D7677" w:rsidRDefault="009D7677" w:rsidP="009D7677">
      <w:pPr>
        <w:pStyle w:val="TextoNormal"/>
      </w:pPr>
      <w:r>
        <w:t>A dicho respecto, entiendo que la mesa debería haber admitido a trámite y remitido a la comisión de justicia la solicitud de comparecencia, y debió de hacerlo tempestivamente sin dejar transcurrir más de un mes para indicar que la decisión sobre las comparecencias correspondía a la comisión.</w:t>
      </w:r>
    </w:p>
    <w:p w14:paraId="7CF0C3D1" w14:textId="77777777" w:rsidR="009D7677" w:rsidRDefault="009D7677" w:rsidP="009D7677">
      <w:pPr>
        <w:pStyle w:val="TextoNormal"/>
      </w:pPr>
    </w:p>
    <w:p w14:paraId="12C65A40" w14:textId="77777777" w:rsidR="009D7677" w:rsidRDefault="009D7677" w:rsidP="009D7677">
      <w:pPr>
        <w:pStyle w:val="TextoNormal"/>
      </w:pPr>
      <w:r>
        <w:t xml:space="preserve">A mi juicio, la sentencia no ha tenido en cuenta que la facultad de proponer comparecencias forma parte del núcleo de la función representativa tal y como afirma la STC 177/2002, de 14 de octubre, FJ 5, al señalar que “ninguna duda cabe de que la facultad de proponer las comparecencias a las que hace referencia el art. 44 RCD forma parte del </w:t>
      </w:r>
      <w:r w:rsidRPr="009D7677">
        <w:rPr>
          <w:i/>
        </w:rPr>
        <w:t>ius in officium</w:t>
      </w:r>
      <w:r>
        <w:t xml:space="preserve"> de los diputados. Además, en cuanto su finalidad sea el control del Gobierno, dicha facultad ha de entenderse incluida dentro del núcleo básico de la función parlamentaria garantizado por el art. 23.2 CE”.</w:t>
      </w:r>
    </w:p>
    <w:p w14:paraId="18CA9672" w14:textId="77777777" w:rsidR="009D7677" w:rsidRDefault="009D7677" w:rsidP="009D7677">
      <w:pPr>
        <w:pStyle w:val="TextoNormal"/>
      </w:pPr>
    </w:p>
    <w:p w14:paraId="56DF7810" w14:textId="77777777" w:rsidR="009D7677" w:rsidRDefault="009D7677" w:rsidP="009D7677">
      <w:pPr>
        <w:pStyle w:val="TextoNormal"/>
      </w:pPr>
      <w:r>
        <w:t>Pues bien, en este caso, la mesa se limitó a afirmar que no ostentaba competencia alguna al respecto. Y el grupo parlamentario tuvo que dirigirse a la mesa de la comisión para solicitar las comparecencias.</w:t>
      </w:r>
    </w:p>
    <w:p w14:paraId="6CA0ED21" w14:textId="77777777" w:rsidR="009D7677" w:rsidRDefault="009D7677" w:rsidP="009D7677">
      <w:pPr>
        <w:pStyle w:val="TextoNormal"/>
      </w:pPr>
    </w:p>
    <w:p w14:paraId="2E8313E2" w14:textId="77777777" w:rsidR="009D7677" w:rsidRDefault="009D7677" w:rsidP="009D7677">
      <w:pPr>
        <w:pStyle w:val="TextoNormal"/>
      </w:pPr>
      <w:r>
        <w:t>Dado que la mesa de la Cámara no dio curso a una solicitud que formaba parte del núcleo del derecho de representación y la motivación finalmente ofrecida no se correspondía con las funciones de la mesa del Congreso (función de calificación y admisión a trámite de las iniciativas parlamentarias conforme al art. 31.1.4 RCD), la sentencia debería haber estimado que la dilación en la respuesta y la decisión de la mesa del Congreso de los Diputados de 9 de febrero de 2021 afectaron a</w:t>
      </w:r>
      <w:r w:rsidRPr="009D7677">
        <w:rPr>
          <w:i/>
        </w:rPr>
        <w:t>l ius in offici</w:t>
      </w:r>
      <w:r>
        <w:t>um de los diputados.</w:t>
      </w:r>
    </w:p>
    <w:p w14:paraId="5DFCFAFC" w14:textId="77777777" w:rsidR="009D7677" w:rsidRDefault="009D7677" w:rsidP="009D7677">
      <w:pPr>
        <w:pStyle w:val="TextoNormal"/>
      </w:pPr>
    </w:p>
    <w:p w14:paraId="523FDF6B" w14:textId="77777777" w:rsidR="009D7677" w:rsidRDefault="009D7677" w:rsidP="009D7677">
      <w:pPr>
        <w:pStyle w:val="TextoNormal"/>
      </w:pPr>
      <w:r>
        <w:t>Pero, en todo caso, la sentencia tendría que haber tenido en cuenta, al analizar las vulneraciones que se achacan al acuerdo de la mesa de la Comisión de Justicia del Congreso de los Diputados de 16 de febrero de 2021, la demora en la decisión. De una parte, la solicitud inicial, como ya he señalado, se había realizado el 2 de enero, y la reiteración de dicha solicitud ante la comisión tiene fecha de 9 de febrero, el mismo día en que la mesa de la Cámara que no había dado curso a la inicialmente planteada el 2 de enero, desconociendo sus propias funciones, adoptó el acuerdo en el que señaló que era competencia de la comisión.</w:t>
      </w:r>
    </w:p>
    <w:p w14:paraId="59E47555" w14:textId="77777777" w:rsidR="009D7677" w:rsidRDefault="009D7677" w:rsidP="009D7677">
      <w:pPr>
        <w:pStyle w:val="TextoNormal"/>
      </w:pPr>
    </w:p>
    <w:p w14:paraId="2E1AE162" w14:textId="77777777" w:rsidR="009D7677" w:rsidRDefault="009D7677" w:rsidP="009D7677">
      <w:pPr>
        <w:pStyle w:val="TextoNormal"/>
      </w:pPr>
      <w:r>
        <w:t>Llegados a este punto la mesa de la comisión adoptó desestimar la petición del grupo parlamentario recurrente “motivándolo en el momento de la tramitación en que se encuentra la citada proposición, que en el día de hoy será objeto de dictamen por la comisión y que ya ha sido informada por la ponencia”.</w:t>
      </w:r>
    </w:p>
    <w:p w14:paraId="73395F67" w14:textId="77777777" w:rsidR="009D7677" w:rsidRDefault="009D7677" w:rsidP="009D7677">
      <w:pPr>
        <w:pStyle w:val="TextoNormal"/>
      </w:pPr>
    </w:p>
    <w:p w14:paraId="0B825090" w14:textId="77777777" w:rsidR="009D7677" w:rsidRDefault="009D7677" w:rsidP="009D7677">
      <w:pPr>
        <w:pStyle w:val="TextoNormal"/>
      </w:pPr>
      <w:r>
        <w:t>Dicha decisión se adoptó después de haber dejado transcurrir sin respuesta una solicitud efectuada el 9 de febrero, que no era sino reiteración de la solicitud inicial de 2 de enero. La motivación que da la mesa de la comisión es temporal, cuando el transcurso del tiempo se debió a la inacción de los órganos de la Cámara ante una solicitud efectuada en el curso de un procedimiento legislativo.</w:t>
      </w:r>
    </w:p>
    <w:p w14:paraId="7A4200CB" w14:textId="77777777" w:rsidR="009D7677" w:rsidRDefault="009D7677" w:rsidP="009D7677">
      <w:pPr>
        <w:pStyle w:val="TextoNormal"/>
      </w:pPr>
    </w:p>
    <w:p w14:paraId="7F933191" w14:textId="77777777" w:rsidR="009D7677" w:rsidRDefault="009D7677" w:rsidP="009D7677">
      <w:pPr>
        <w:pStyle w:val="TextoNormal"/>
      </w:pPr>
      <w:r>
        <w:t>A este respecto se ha de tomar en consideración la doctrina del Tribunal Constitucional conforme a la cual, haber adoptado una decisión con fundamento en una argumentación que ha partido de un presupuesto de hecho erróneo, puede conducir a que dicha decisión no cumpla las exigencias de una motivación expresa, suficiente y adecuada (STC 4/2018, de 22 de enero, FJ 7). En este caso, el presupuesto de hecho erróneo lo han ocasionado los órganos de la Cámara: la mesa del Congreso de los Diputados y la mesa de la comisión al dilatar la tramitación de la solicitud de comparecencias, motivando el acuerdo en el momento temporal.</w:t>
      </w:r>
    </w:p>
    <w:p w14:paraId="01018D1E" w14:textId="77777777" w:rsidR="009D7677" w:rsidRDefault="009D7677" w:rsidP="009D7677">
      <w:pPr>
        <w:pStyle w:val="TextoNormal"/>
      </w:pPr>
    </w:p>
    <w:p w14:paraId="1AE23DF0" w14:textId="77777777" w:rsidR="009D7677" w:rsidRDefault="009D7677" w:rsidP="009D7677">
      <w:pPr>
        <w:pStyle w:val="TextoNormal"/>
      </w:pPr>
      <w:r>
        <w:t>Discrepo por tanto de la decisión que da por válida dicha motivación, desconociendo, como he apuntado, datos esenciales: que la primera solicitud de comparecencia, ante la mesa de la Cámara, se produjo el 2 de enero de 2021; que en el acuerdo de 13 de enero la mesa de la Cámara no se pronuncia sobre la solicitud de comparecencias; y que no es hasta el 9 de febrero cuando la mesa responde sobre las comparecencias, en los términos anteriormente señalados que contradicen tanto el Reglamento del Congreso de los Diputados como la jurisprudencia constitucional; y que, finalmente, la comisión de justicia deniega las comparecencias sin otra motivación que la falta de tiempo para celebrarlas cuando dicha dilación era exclusivamente imputable a la mesa de la Cámara y a la propia mesa de la comisión.</w:t>
      </w:r>
    </w:p>
    <w:p w14:paraId="5AE1C0AF" w14:textId="77777777" w:rsidR="009D7677" w:rsidRDefault="009D7677" w:rsidP="009D7677">
      <w:pPr>
        <w:pStyle w:val="TextoNormal"/>
      </w:pPr>
    </w:p>
    <w:p w14:paraId="033DF13E" w14:textId="77777777" w:rsidR="009D7677" w:rsidRDefault="009D7677" w:rsidP="009D7677">
      <w:pPr>
        <w:pStyle w:val="TextoNormal"/>
      </w:pPr>
      <w:r>
        <w:t xml:space="preserve">Como ya apuntamos en el mencionado voto particular a la STC 15/2024, “en el procedimiento de formación de la voluntad de las Cámaras debe quedar plenamente garantizado el derecho de la minoría a la integridad del debate parlamentario, una integridad que se pone en entredicho cuando, en una reforma legal tan relevante como la que dio lugar a la aprobación de la Ley Orgánica 4/2021, por la que se modifica la Ley Orgánica del Poder Judicial para establecer el régimen jurídico aplicable al Consejo General del Poder Judicial ‘en funciones’, no solo se rechaza recabar el informe del propio Consejo y dar audiencia a los sectores afectados por la reforma, sino que se acude al procedimiento de urgencia para acelerar la tramitación parlamentaria en un asunto en el que la importancia de la reforma y lo encontrado de las posiciones parlamentarias, antes bien aconsejaba una tramitación meditada”. Desde la perspectiva del recurso de amparo que ahora se resuelve por el Tribunal, se olvida que este tribunal ha afirmado (por todas, 67/2023, de 22 de noviembre, FJ 10) que la función legislativa “constituye la máxima expresión del ejercicio de la soberanía popular en el Estado democrático y los derechos y facultades de participación de sus miembros en el ejercicio de la misma, son una manifestación constitucionalmente relevante del </w:t>
      </w:r>
      <w:r w:rsidRPr="009D7677">
        <w:rPr>
          <w:i/>
        </w:rPr>
        <w:t>ius in officium</w:t>
      </w:r>
      <w:r>
        <w:t xml:space="preserve"> de los parlamentarios (SSTC 119/2011, FJ 9, y 139/2017, FJ 5). Pues bien, el cúmulo de decisiones de la mesa de la Cámara y de la mesa de la comisión denegando todas las solicitudes del Grupo Parlamentario Popular en relación con el procedimiento legislativo, adoptadas alguna de ellas sin motivación o con una motivación arbitraria determinó la vulneración, a mi juicio, de las facultades que, en relación con el ejercicio de la función legislativa, integran, como he señalado, e</w:t>
      </w:r>
      <w:r w:rsidRPr="009D7677">
        <w:rPr>
          <w:i/>
        </w:rPr>
        <w:t>l ius in offici</w:t>
      </w:r>
      <w:r>
        <w:t>um de los recurrentes en amparo.</w:t>
      </w:r>
    </w:p>
    <w:p w14:paraId="4C082845" w14:textId="77777777" w:rsidR="009D7677" w:rsidRDefault="009D7677" w:rsidP="009D7677">
      <w:pPr>
        <w:pStyle w:val="TextoNormal"/>
      </w:pPr>
    </w:p>
    <w:p w14:paraId="0F16751F" w14:textId="77777777" w:rsidR="009D7677" w:rsidRDefault="009D7677" w:rsidP="009D7677">
      <w:pPr>
        <w:pStyle w:val="TextoNormal"/>
      </w:pPr>
      <w:r>
        <w:t>A este respecto procede recordar que, como ha reiterado en diferentes ocasiones este tribunal, la democracia parlamentaria no se agota, ciertamente, en formas y procedimientos, pero el respeto a unas y otros está, sin duda, entre sus presupuestos inexcusables.</w:t>
      </w:r>
    </w:p>
    <w:p w14:paraId="39F68B70" w14:textId="77777777" w:rsidR="009D7677" w:rsidRDefault="009D7677" w:rsidP="009D7677">
      <w:pPr>
        <w:pStyle w:val="TextoNormal"/>
      </w:pPr>
    </w:p>
    <w:p w14:paraId="175107A6" w14:textId="77777777" w:rsidR="009D7677" w:rsidRDefault="009D7677" w:rsidP="009D7677">
      <w:pPr>
        <w:pStyle w:val="TextoNormal"/>
      </w:pPr>
      <w:r>
        <w:lastRenderedPageBreak/>
        <w:t>Por todo ello discrepo de la fundamentación y el fallo de la sentencia y en tal sentido emito mi voto particular.</w:t>
      </w:r>
    </w:p>
    <w:p w14:paraId="66F95E7B" w14:textId="77777777" w:rsidR="009D7677" w:rsidRDefault="009D7677" w:rsidP="009D7677">
      <w:pPr>
        <w:pStyle w:val="TextoNormal"/>
      </w:pPr>
    </w:p>
    <w:p w14:paraId="7FB117E2" w14:textId="07AA74D2" w:rsidR="009D7677" w:rsidRDefault="009D7677" w:rsidP="009D7677">
      <w:pPr>
        <w:pStyle w:val="TextoNormal"/>
      </w:pPr>
      <w:r>
        <w:t>Madrid, a cuatro de marzo de dos mil veinticuatro.</w:t>
      </w:r>
    </w:p>
    <w:p w14:paraId="715300E6" w14:textId="18566541" w:rsidR="009D7677" w:rsidRDefault="009D7677">
      <w:pPr>
        <w:spacing w:after="160" w:line="259" w:lineRule="auto"/>
        <w:rPr>
          <w:rFonts w:ascii="Times New Roman" w:eastAsia="Times New Roman" w:hAnsi="Times New Roman" w:cs="Times New Roman"/>
          <w:sz w:val="24"/>
          <w:szCs w:val="24"/>
          <w:lang w:eastAsia="es-ES"/>
        </w:rPr>
      </w:pPr>
      <w:r>
        <w:br w:type="page"/>
      </w:r>
    </w:p>
    <w:p w14:paraId="7BB1C04D" w14:textId="77777777" w:rsidR="009D7677" w:rsidRDefault="009D7677" w:rsidP="009D7677">
      <w:pPr>
        <w:pStyle w:val="TtuloResolucin"/>
      </w:pPr>
      <w:bookmarkStart w:id="33" w:name="SENTENCIA_2024_31"/>
      <w:r>
        <w:lastRenderedPageBreak/>
        <w:t>SENTENCIA 31/2024, de 28 de febrero de 2024</w:t>
      </w:r>
    </w:p>
    <w:bookmarkEnd w:id="33"/>
    <w:p w14:paraId="0EDFE630" w14:textId="77777777" w:rsidR="009D7677" w:rsidRDefault="009D7677" w:rsidP="009D7677">
      <w:pPr>
        <w:pStyle w:val="TtuloResolucin"/>
      </w:pPr>
      <w:r>
        <w:t>Pleno</w:t>
      </w:r>
    </w:p>
    <w:p w14:paraId="46E47601" w14:textId="77777777" w:rsidR="009D7677" w:rsidRDefault="009D7677" w:rsidP="009D7677">
      <w:pPr>
        <w:pStyle w:val="TtuloBOE"/>
      </w:pPr>
      <w:r>
        <w:t>(BOE núm. 82, de 3 de abril de 2024)</w:t>
      </w:r>
    </w:p>
    <w:p w14:paraId="6843D582" w14:textId="77777777" w:rsidR="009D7677" w:rsidRDefault="009D7677" w:rsidP="009D7677">
      <w:pPr>
        <w:pStyle w:val="TextoNormalCentrado"/>
      </w:pPr>
      <w:r>
        <w:t>ECLI:ES:TC:2024:31</w:t>
      </w:r>
    </w:p>
    <w:p w14:paraId="3E1DC21A" w14:textId="16AC3A43" w:rsidR="009D7677" w:rsidRDefault="009D7677" w:rsidP="009D7677">
      <w:pPr>
        <w:pStyle w:val="TextoNormalCentrado"/>
      </w:pPr>
    </w:p>
    <w:p w14:paraId="7ECECE72" w14:textId="77777777" w:rsidR="009D7677" w:rsidRDefault="009D7677" w:rsidP="009D7677">
      <w:pPr>
        <w:pStyle w:val="SntesisDescriptiva"/>
      </w:pPr>
      <w:r>
        <w:t>Recurso de amparo 4481-2021. Promovido por don Oriol Junqueras i Vies en relación con el acuerdo de la Junta Electoral Central y las resoluciones de la Sección Cuarta de la Sala de lo Contencioso-Administrativo del Tribunal Supremo, que establecieron la necesidad de su comparecencia personal ante la Junta Electoral Central para el acto de promesa de acatamiento de la Constitución y del resto del ordenamiento jurídico para completar los trámites de acceso a la condición de parlamentario europeo.</w:t>
      </w:r>
    </w:p>
    <w:p w14:paraId="7AADFF5E" w14:textId="010A2F8C" w:rsidR="009D7677" w:rsidRDefault="009D7677" w:rsidP="009D7677">
      <w:pPr>
        <w:pStyle w:val="SntesisDescriptiva"/>
      </w:pPr>
    </w:p>
    <w:p w14:paraId="46BE1337" w14:textId="77777777" w:rsidR="009D7677" w:rsidRDefault="009D7677" w:rsidP="009D7677">
      <w:pPr>
        <w:pStyle w:val="SntesisAnaltica"/>
      </w:pPr>
      <w:r>
        <w:t>Supuesta vulneración del derecho de acceso a los cargos públicos: rechazo de peticiones puramente declarativas, siendo así que el actor ya ha visto reparada la lesión que denuncia (SSTC 144/2022 y 148/2022).</w:t>
      </w:r>
    </w:p>
    <w:p w14:paraId="0BD552DE" w14:textId="11D8D708" w:rsidR="009D7677" w:rsidRDefault="009D7677" w:rsidP="009D7677">
      <w:pPr>
        <w:pStyle w:val="SntesisAnaltica"/>
      </w:pPr>
    </w:p>
    <w:p w14:paraId="0ACA1788" w14:textId="32B84F73" w:rsidR="009D7677" w:rsidRDefault="009D7677" w:rsidP="009D7677">
      <w:pPr>
        <w:pStyle w:val="Extracto"/>
      </w:pPr>
      <w:r>
        <w:t>1.</w:t>
      </w:r>
      <w:r>
        <w:tab/>
        <w:t>La satisfacción extraprocesal de las pretensiones formuladas en amparo y la desaparición sobrevenida del objeto del proceso, aun cuando no contempladas expresamente en el artículo 86.1 LOTC, es una de las formas de terminación de los distintos procesos constitucionales (SSTC 42/1982 o STC 144/2022) [FJ único].</w:t>
      </w:r>
    </w:p>
    <w:p w14:paraId="3F704725" w14:textId="77777777" w:rsidR="009D7677" w:rsidRDefault="009D7677" w:rsidP="009D7677">
      <w:pPr>
        <w:pStyle w:val="Extracto"/>
      </w:pPr>
    </w:p>
    <w:p w14:paraId="5634E466" w14:textId="77777777" w:rsidR="009D7677" w:rsidRDefault="009D7677" w:rsidP="009D7677">
      <w:pPr>
        <w:pStyle w:val="Extracto"/>
      </w:pPr>
    </w:p>
    <w:p w14:paraId="420C81CD" w14:textId="77777777" w:rsidR="009D7677" w:rsidRDefault="009D7677" w:rsidP="009D7677">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doña Concepción Espejel Jorquera, doña María Luisa Segoviano Astaburuaga, don César Tolosa Tribiño, don Juan Carlos Campo Moreno y doña Laura Díez Bueso, ha pronunciado</w:t>
      </w:r>
    </w:p>
    <w:p w14:paraId="7B98E67A" w14:textId="2175DF84" w:rsidR="009D7677" w:rsidRDefault="009D7677" w:rsidP="009D7677">
      <w:pPr>
        <w:pStyle w:val="TextoNormal"/>
      </w:pPr>
    </w:p>
    <w:p w14:paraId="46292858" w14:textId="77777777" w:rsidR="009D7677" w:rsidRDefault="009D7677" w:rsidP="009D7677">
      <w:pPr>
        <w:pStyle w:val="TextoNormalCentrado"/>
        <w:keepNext/>
      </w:pPr>
      <w:r>
        <w:t>EN NOMBRE DEL REY</w:t>
      </w:r>
    </w:p>
    <w:p w14:paraId="127163DA" w14:textId="23105F6A" w:rsidR="009D7677" w:rsidRDefault="009D7677" w:rsidP="009D7677">
      <w:pPr>
        <w:pStyle w:val="TextoNormalCentrado"/>
        <w:keepNext/>
      </w:pPr>
    </w:p>
    <w:p w14:paraId="21F20252" w14:textId="77777777" w:rsidR="009D7677" w:rsidRDefault="009D7677" w:rsidP="009D7677">
      <w:pPr>
        <w:pStyle w:val="TextoNormalCentrado"/>
        <w:keepNext/>
      </w:pPr>
    </w:p>
    <w:p w14:paraId="5F416939" w14:textId="77777777" w:rsidR="009D7677" w:rsidRDefault="009D7677" w:rsidP="009D7677">
      <w:pPr>
        <w:pStyle w:val="TextoNormal"/>
      </w:pPr>
      <w:r>
        <w:t>la siguiente</w:t>
      </w:r>
    </w:p>
    <w:p w14:paraId="44AD1898" w14:textId="3F955743" w:rsidR="009D7677" w:rsidRDefault="009D7677" w:rsidP="009D7677">
      <w:pPr>
        <w:pStyle w:val="TextoNormal"/>
      </w:pPr>
    </w:p>
    <w:p w14:paraId="0CB3E68F" w14:textId="77777777" w:rsidR="009D7677" w:rsidRDefault="009D7677" w:rsidP="009D7677">
      <w:pPr>
        <w:pStyle w:val="TextoNormalCentrado"/>
        <w:keepNext/>
      </w:pPr>
      <w:r>
        <w:t>SENTENCIA</w:t>
      </w:r>
    </w:p>
    <w:p w14:paraId="75A22622" w14:textId="689DE700" w:rsidR="009D7677" w:rsidRDefault="009D7677" w:rsidP="009D7677">
      <w:pPr>
        <w:pStyle w:val="TextoNormalCentrado"/>
        <w:keepNext/>
      </w:pPr>
    </w:p>
    <w:p w14:paraId="1928CEEB" w14:textId="77777777" w:rsidR="009D7677" w:rsidRDefault="009D7677" w:rsidP="009D7677">
      <w:pPr>
        <w:pStyle w:val="TextoNormal"/>
      </w:pPr>
      <w:r>
        <w:t>En el recurso de amparo núm. 4481-2021, promovido por don Oriol Junqueras i Vies, representado por el procurador de los tribunales don Emilio Martínez Benítez, bajo la dirección del letrado don Marc Marsal i Ferret, contra el acuerdo de la Junta Electoral Central de 22 de julio de 2019, adoptado en el expediente núm. 561-76, por el que se denegó al actor la posibilidad de emplear medios distintos a la comparecencia personal ante la Junta Electoral Central para el acto de promesa de acatamiento de la Constitución y del resto del ordenamiento jurídico para completar los trámites de acceso a la condición de parlamentario europeo, así como frente a la sentencia 431/2021, de 24 de marzo, de la Sección Cuarta de la Sala de lo Contencioso-Administrativo del Tribunal Supremo, por la que se desestimó el recurso contencioso-administrativo ordinario núm. 353-2019 inter</w:t>
      </w:r>
      <w:r>
        <w:lastRenderedPageBreak/>
        <w:t>puesto contra el referido acuerdo de la Junta Electoral Central y la providencia de 17 de mayo de 2021 por la que se acordó inadmitir el incidente de nulidad de actuaciones promovido contra dicha sentencia. Han sido parte la Junta Electoral Central, representada y defendida por el letrado de las Cortes Generales don Manuel Delgado-Iribarren García-Campero, y la Administración General del Estado, representada y defendida por el abogado del Estado. Ha intervenido el Ministerio Fiscal. Ha sido ponente la magistrada doña Laura Díez Bueso.</w:t>
      </w:r>
    </w:p>
    <w:p w14:paraId="2867F738" w14:textId="7545FDDC" w:rsidR="009D7677" w:rsidRDefault="009D7677" w:rsidP="009D7677">
      <w:pPr>
        <w:pStyle w:val="TextoNormal"/>
      </w:pPr>
    </w:p>
    <w:p w14:paraId="78A89ED6" w14:textId="77777777" w:rsidR="009D7677" w:rsidRDefault="009D7677" w:rsidP="009D7677">
      <w:pPr>
        <w:pStyle w:val="TextoNormalNegritaCentrado"/>
        <w:keepNext/>
      </w:pPr>
      <w:r>
        <w:t>I. Antecedentes</w:t>
      </w:r>
    </w:p>
    <w:p w14:paraId="069B8B29" w14:textId="18365D5E" w:rsidR="009D7677" w:rsidRDefault="009D7677" w:rsidP="009D7677">
      <w:pPr>
        <w:pStyle w:val="TextoNormalNegritaCentrado"/>
        <w:keepNext/>
      </w:pPr>
    </w:p>
    <w:p w14:paraId="3FA4CE3B" w14:textId="2F7496D6" w:rsidR="009D7677" w:rsidRDefault="009D7677" w:rsidP="009D7677">
      <w:pPr>
        <w:pStyle w:val="TextoNormal"/>
      </w:pPr>
      <w:r w:rsidRPr="009D7677">
        <w:rPr>
          <w:rStyle w:val="NumeroAFNegritaCaracter"/>
        </w:rPr>
        <w:t>1</w:t>
      </w:r>
      <w:r>
        <w:t>. Por escrito registrado en este tribunal el 1 de julio de 2021, el procurador de los tribunales don Emilio Martínez Benítez, en nombre y representación de don Oriol Junqueras i Vies, bajo la dirección del letrado don Marc Marsal i Ferret, interpuso recurso de amparo dirigido contra el acuerdo de la Junta Electoral Central de 22 de julio de 2019, adoptado en el expediente núm. 561-76, por el que se denegó al actor la posibilidad de emplear medios distintos a la comparecencia personal ante la Junta Electoral Central para el acto de promesa de acatamiento de la Constitución y del resto del ordenamiento jurídico para completar los trámites de acceso a la condición de parlamentario europeo, así como frente a la sentencia 431/2021, de 24 de marzo, de la Sección Cuarta de la Sala de lo Contencioso-Administrativo del Tribunal Supremo, por la que se desestimó el recurso contencioso-administrativo ordinario núm. 353-2019 interpuesto contra el referido acuerdo de la Junta Electoral Central y la providencia de 17 de mayo de 2021 por la que se acordó inadmitir el incidente de nulidad de actuaciones promovido contra dicha sentencia.</w:t>
      </w:r>
    </w:p>
    <w:p w14:paraId="623166BC" w14:textId="77777777" w:rsidR="009D7677" w:rsidRDefault="009D7677" w:rsidP="009D7677">
      <w:pPr>
        <w:pStyle w:val="TextoNormal"/>
      </w:pPr>
    </w:p>
    <w:p w14:paraId="2B33AC28" w14:textId="77777777" w:rsidR="009D7677" w:rsidRDefault="009D7677" w:rsidP="009D7677">
      <w:pPr>
        <w:pStyle w:val="TextoNormal"/>
      </w:pPr>
      <w:r w:rsidRPr="009D7677">
        <w:rPr>
          <w:rStyle w:val="NumeroAFNegritaCaracter"/>
        </w:rPr>
        <w:t>2</w:t>
      </w:r>
      <w:r>
        <w:t>. El recurso tiene su origen en los siguientes antecedentes:</w:t>
      </w:r>
    </w:p>
    <w:p w14:paraId="207AF5BE" w14:textId="77777777" w:rsidR="009D7677" w:rsidRDefault="009D7677" w:rsidP="009D7677">
      <w:pPr>
        <w:pStyle w:val="TextoNormal"/>
      </w:pPr>
    </w:p>
    <w:p w14:paraId="6CD43AB1" w14:textId="77777777" w:rsidR="009D7677" w:rsidRDefault="009D7677" w:rsidP="009D7677">
      <w:pPr>
        <w:pStyle w:val="TextoNormal"/>
      </w:pPr>
      <w:r>
        <w:t>a) El recurrente concurrió como candidato en la lista de la coalición Ahora Repúblicas como candidato a las elecciones al Parlamento Europeo celebradas el 26 de mayo de 2019, convocadas por Real Decreto 206/2019, de 1 de abril (“Boletín Oficial del Estado” núm. 79, de 2 de abril de 2019).</w:t>
      </w:r>
    </w:p>
    <w:p w14:paraId="3AB1629E" w14:textId="77777777" w:rsidR="009D7677" w:rsidRDefault="009D7677" w:rsidP="009D7677">
      <w:pPr>
        <w:pStyle w:val="TextoNormal"/>
      </w:pPr>
    </w:p>
    <w:p w14:paraId="7ECEF588" w14:textId="77777777" w:rsidR="009D7677" w:rsidRDefault="009D7677" w:rsidP="009D7677">
      <w:pPr>
        <w:pStyle w:val="TextoNormal"/>
      </w:pPr>
      <w:r>
        <w:t>b) Tras realizar el escrutinio general, el recuento de los votos a nivel nacional y la atribución de escaños a las distintas candidaturas, la Junta Electoral Central dictó el acuerdo de 13 de junio de 2019 de la Junta Electoral Central (publicado en el “Boletín Oficial del Estado” núm. 142, de 14 de junio de 2019) se realizó la atribución de escaños y la proclamación de los diputados electos al Parlamento Europeo en las elecciones celebradas el 26 de mayo de 2019. En dicho acuerdo figura el demandante de amparo, don Oriol Junqueras i Vies, en el número trece del total de cincuenta y cuatro escaños asignados a España.</w:t>
      </w:r>
    </w:p>
    <w:p w14:paraId="0E830998" w14:textId="77777777" w:rsidR="009D7677" w:rsidRDefault="009D7677" w:rsidP="009D7677">
      <w:pPr>
        <w:pStyle w:val="TextoNormal"/>
      </w:pPr>
    </w:p>
    <w:p w14:paraId="30A0B037" w14:textId="77777777" w:rsidR="009D7677" w:rsidRDefault="009D7677" w:rsidP="009D7677">
      <w:pPr>
        <w:pStyle w:val="TextoNormal"/>
      </w:pPr>
      <w:r>
        <w:t>En esa misma resolución la Junta Electoral Central acordó citar a los candidatos electos el 17 de junio de 2019 para que, de conformidad con lo establecido en el artículo 224.2 de la Ley 5/1985, de 19 de junio, de régimen electoral general (en adelante, LOREG), prestaran juramento o promesa de acatamiento a la Constitución.</w:t>
      </w:r>
    </w:p>
    <w:p w14:paraId="3411CCAF" w14:textId="77777777" w:rsidR="009D7677" w:rsidRDefault="009D7677" w:rsidP="009D7677">
      <w:pPr>
        <w:pStyle w:val="TextoNormal"/>
      </w:pPr>
    </w:p>
    <w:p w14:paraId="7F5C7FAD" w14:textId="77777777" w:rsidR="009D7677" w:rsidRDefault="009D7677" w:rsidP="009D7677">
      <w:pPr>
        <w:pStyle w:val="TextoNormal"/>
      </w:pPr>
      <w:r>
        <w:t>Este acuerdo no fue recurrido ni es objeto de este recurso de amparo.</w:t>
      </w:r>
    </w:p>
    <w:p w14:paraId="485F2481" w14:textId="77777777" w:rsidR="009D7677" w:rsidRDefault="009D7677" w:rsidP="009D7677">
      <w:pPr>
        <w:pStyle w:val="TextoNormal"/>
      </w:pPr>
    </w:p>
    <w:p w14:paraId="49E5A2C2" w14:textId="77777777" w:rsidR="009D7677" w:rsidRDefault="009D7677" w:rsidP="009D7677">
      <w:pPr>
        <w:pStyle w:val="TextoNormal"/>
      </w:pPr>
      <w:r>
        <w:lastRenderedPageBreak/>
        <w:t>c) Por auto de 14 de junio de 2019, la Sala de lo Penal del Tribunal Supremo denegó la concesión del permiso extraordinario de salida solicitado por don Oriol Junqueras i Vies, que se encontraba entonces en situación de prisión provisional en la causa especial 20907-2017, para acudir a prestar juramento o promesa de acatamiento de la Constitución ante la Junta Electoral Central.</w:t>
      </w:r>
    </w:p>
    <w:p w14:paraId="1F1C5945" w14:textId="77777777" w:rsidR="009D7677" w:rsidRDefault="009D7677" w:rsidP="009D7677">
      <w:pPr>
        <w:pStyle w:val="TextoNormal"/>
      </w:pPr>
    </w:p>
    <w:p w14:paraId="1691BDE0" w14:textId="77777777" w:rsidR="009D7677" w:rsidRDefault="009D7677" w:rsidP="009D7677">
      <w:pPr>
        <w:pStyle w:val="TextoNormal"/>
      </w:pPr>
      <w:r>
        <w:t>d) Como consecuencia de lo anterior, la Junta Electoral Central, en el expediente 561-73, adoptó el acuerdo de 20 de junio de 2019, del siguiente tenor:</w:t>
      </w:r>
    </w:p>
    <w:p w14:paraId="2BFF41E5" w14:textId="77777777" w:rsidR="009D7677" w:rsidRDefault="009D7677" w:rsidP="009D7677">
      <w:pPr>
        <w:pStyle w:val="TextoNormal"/>
      </w:pPr>
    </w:p>
    <w:p w14:paraId="4E9E603F" w14:textId="77777777" w:rsidR="009D7677" w:rsidRDefault="009D7677" w:rsidP="009D7677">
      <w:pPr>
        <w:pStyle w:val="TextoNormal"/>
      </w:pPr>
      <w:r>
        <w:t xml:space="preserve">“1) El artículo 224.2 de la Ley Orgánica del Régimen Electoral General, en lo que se refiere a las elecciones al Parlamento Europeo, dispone lo siguiente: </w:t>
      </w:r>
    </w:p>
    <w:p w14:paraId="0BEC4B6A" w14:textId="77777777" w:rsidR="009D7677" w:rsidRDefault="009D7677" w:rsidP="009D7677">
      <w:pPr>
        <w:pStyle w:val="TextoNormal"/>
      </w:pPr>
    </w:p>
    <w:p w14:paraId="2ACBB163" w14:textId="77777777" w:rsidR="009D7677" w:rsidRDefault="009D7677" w:rsidP="009D7677">
      <w:pPr>
        <w:pStyle w:val="TextoNormal"/>
      </w:pPr>
      <w:r>
        <w:t>‘En el plazo de cinco días desde la proclamación, los candidatos electos deberán jurar o prometer acatamiento a la Constitución ante la Junta Electoral Central. Transcurrido dicho plazo, la Junta Electoral Central declarará vacantes los escaños correspondientes a los Diputados del Parlamento Europeo que no hubieran acatado la Constitución y suspendidas todas las prerrogativas que les pudieran corresponder por razón de su cargo, todo ello hasta que se produzca dicho acatamiento.’</w:t>
      </w:r>
    </w:p>
    <w:p w14:paraId="1ABB1D6A" w14:textId="77777777" w:rsidR="009D7677" w:rsidRDefault="009D7677" w:rsidP="009D7677">
      <w:pPr>
        <w:pStyle w:val="TextoNormal"/>
      </w:pPr>
    </w:p>
    <w:p w14:paraId="6A93B14B" w14:textId="77777777" w:rsidR="009D7677" w:rsidRDefault="009D7677" w:rsidP="009D7677">
      <w:pPr>
        <w:pStyle w:val="TextoNormal"/>
      </w:pPr>
      <w:r>
        <w:t>2) En cumplimiento de dicho artículo 224.2 de la LOREG, al no haber prestado acatamiento a la Constitución los candidatos don Oriol Junqueras i Vies, don Carles Puigdemont i Casamajó y don Antoni Comín i Oliveres, se declaran vacantes sus escaños, y suspendidas las prerrogativas que les pudieran corresponder por razón de su cargo, todo ello hasta que se produzca dicho acatamiento.</w:t>
      </w:r>
    </w:p>
    <w:p w14:paraId="4F27D748" w14:textId="77777777" w:rsidR="009D7677" w:rsidRDefault="009D7677" w:rsidP="009D7677">
      <w:pPr>
        <w:pStyle w:val="TextoNormal"/>
      </w:pPr>
    </w:p>
    <w:p w14:paraId="794B165C" w14:textId="77777777" w:rsidR="009D7677" w:rsidRDefault="009D7677" w:rsidP="009D7677">
      <w:pPr>
        <w:pStyle w:val="TextoNormal"/>
      </w:pPr>
      <w:r>
        <w:t>3) Por ello, comunicar al Parlamento Europeo que los candidatos don Oriol Junqueras i Vies, don Carles Puigdemont i Casamajó y don Antoni Comín i Oliveres no han adquirido la condición de diputados al Parlamento Europeo, ni por tanto adquirido ninguna de las prerrogativas que les pudieran corresponder, todo ello hasta que presten juramento o promesa de acatamiento a la Constitución Española”.</w:t>
      </w:r>
    </w:p>
    <w:p w14:paraId="7F086390" w14:textId="77777777" w:rsidR="009D7677" w:rsidRDefault="009D7677" w:rsidP="009D7677">
      <w:pPr>
        <w:pStyle w:val="TextoNormal"/>
      </w:pPr>
    </w:p>
    <w:p w14:paraId="06D9CA3F" w14:textId="77777777" w:rsidR="009D7677" w:rsidRDefault="009D7677" w:rsidP="009D7677">
      <w:pPr>
        <w:pStyle w:val="TextoNormal"/>
      </w:pPr>
      <w:r>
        <w:t>e) El 1 de julio de 2019, el representante general de la coalición electoral Ahora Repúblicas, don Josep-Ramon Mut i Bosque solicitó a la Junta Electoral Central que promoviera las acciones necesarias para facilitar a don Oriol Junqueras i Vies el cumplimiento de los requisitos establecidos en el art. 224.2 LOREG y tomar posesión como diputado del Parlamento Europeo.</w:t>
      </w:r>
    </w:p>
    <w:p w14:paraId="1B0A21B2" w14:textId="77777777" w:rsidR="009D7677" w:rsidRDefault="009D7677" w:rsidP="009D7677">
      <w:pPr>
        <w:pStyle w:val="TextoNormal"/>
      </w:pPr>
    </w:p>
    <w:p w14:paraId="73D1367C" w14:textId="77777777" w:rsidR="009D7677" w:rsidRDefault="009D7677" w:rsidP="009D7677">
      <w:pPr>
        <w:pStyle w:val="TextoNormal"/>
      </w:pPr>
      <w:r>
        <w:t>Dicha solicitud fue desestimada por acuerdo de 22 de julio de 2019 la Junta Electoral Central, en el expediente 561-76. El acuerdo razona los motivos de la denegación en los siguientes términos:</w:t>
      </w:r>
    </w:p>
    <w:p w14:paraId="503FB911" w14:textId="77777777" w:rsidR="009D7677" w:rsidRDefault="009D7677" w:rsidP="009D7677">
      <w:pPr>
        <w:pStyle w:val="TextoNormal"/>
      </w:pPr>
    </w:p>
    <w:p w14:paraId="4FB9BF5B" w14:textId="77777777" w:rsidR="009D7677" w:rsidRDefault="009D7677" w:rsidP="009D7677">
      <w:pPr>
        <w:pStyle w:val="TextoNormal"/>
      </w:pPr>
      <w:r>
        <w:t>“Esta junta considera que, dada la situación procesal del interesado, debe estar a lo que resuelva la Sala del Tribunal Supremo que le está enjuiciando.</w:t>
      </w:r>
    </w:p>
    <w:p w14:paraId="1CA33CA7" w14:textId="77777777" w:rsidR="009D7677" w:rsidRDefault="009D7677" w:rsidP="009D7677">
      <w:pPr>
        <w:pStyle w:val="TextoNormal"/>
      </w:pPr>
    </w:p>
    <w:p w14:paraId="4F447217" w14:textId="77777777" w:rsidR="009D7677" w:rsidRDefault="009D7677" w:rsidP="009D7677">
      <w:pPr>
        <w:pStyle w:val="TextoNormal"/>
      </w:pPr>
      <w:r>
        <w:t xml:space="preserve">Ello tiene especial relevancia a la vista del auto de la Sala de lo Penal del Tribunal Supremo de 14 de junio de 2019, en la causa especial 20907-2017, mediante el que se deniega la concesión de un permiso extraordinario de salida al candidato electo para asistir a la Junta Electoral Central y cumplimentar los trámites previstos en el artículo 224.2 de la </w:t>
      </w:r>
      <w:r>
        <w:lastRenderedPageBreak/>
        <w:t>LOREG; y también del auto de la misma Sala y en la misma causa de 1 de julio de 2019, por el que se acuerda plantear diversas cuestiones prejudiciales al Tribunal de Justicia de la Unión Europea.</w:t>
      </w:r>
    </w:p>
    <w:p w14:paraId="2F0FA3C0" w14:textId="77777777" w:rsidR="009D7677" w:rsidRDefault="009D7677" w:rsidP="009D7677">
      <w:pPr>
        <w:pStyle w:val="TextoNormal"/>
      </w:pPr>
    </w:p>
    <w:p w14:paraId="403B4A65" w14:textId="77777777" w:rsidR="009D7677" w:rsidRDefault="009D7677" w:rsidP="009D7677">
      <w:pPr>
        <w:pStyle w:val="TextoNormal"/>
      </w:pPr>
      <w:r>
        <w:t>Por todo ello, la administración electoral no puede adoptar ninguna medida que pueda interferir o menoscabar las referidas resoluciones judiciales.</w:t>
      </w:r>
    </w:p>
    <w:p w14:paraId="02DABC00" w14:textId="77777777" w:rsidR="009D7677" w:rsidRDefault="009D7677" w:rsidP="009D7677">
      <w:pPr>
        <w:pStyle w:val="TextoNormal"/>
      </w:pPr>
    </w:p>
    <w:p w14:paraId="20A69642" w14:textId="77777777" w:rsidR="009D7677" w:rsidRDefault="009D7677" w:rsidP="009D7677">
      <w:pPr>
        <w:pStyle w:val="TextoNormal"/>
      </w:pPr>
      <w:r>
        <w:t>Por otra parte, el precedente que se aduce por el representante general de la coalición electoral Ahora Repúblicas en su escrito nada tiene que ver con lo aquí planteado, puesto que en el caso de los diputados al Congreso, una vez realizada la proclamación de electos, la junta electoral provincial, o la Junta Electoral Central si no estuviera constituida la anterior, debe expedir la credencial, que puede ser recogida tanto por el diputado como por el representante de la candidatura, conforme establece el artículo 108.7 de la LOREG. Por el contrario, en las elecciones al Parlamento Europeo no es posible entregar la credencial hasta que el candidato electo no haya prestado acatamiento a la Constitución, según exige el artículo 224.2 de la LOREG”.</w:t>
      </w:r>
    </w:p>
    <w:p w14:paraId="5ACA60D2" w14:textId="77777777" w:rsidR="009D7677" w:rsidRDefault="009D7677" w:rsidP="009D7677">
      <w:pPr>
        <w:pStyle w:val="TextoNormal"/>
      </w:pPr>
    </w:p>
    <w:p w14:paraId="4A28B0BD" w14:textId="77777777" w:rsidR="009D7677" w:rsidRDefault="009D7677" w:rsidP="009D7677">
      <w:pPr>
        <w:pStyle w:val="TextoNormal"/>
      </w:pPr>
      <w:r>
        <w:t>Contra este acuerdo, se interpuso recurso contencioso-administrativo, tramitado con el núm. 353-2019 ante la Sección Cuarta de la Sala de lo Contencioso-Administrativo del Tribunal Supremo, cuya resolución agota la vía judicial previa al presente recurso de amparo.</w:t>
      </w:r>
    </w:p>
    <w:p w14:paraId="27E41EAB" w14:textId="77777777" w:rsidR="009D7677" w:rsidRDefault="009D7677" w:rsidP="009D7677">
      <w:pPr>
        <w:pStyle w:val="TextoNormal"/>
      </w:pPr>
    </w:p>
    <w:p w14:paraId="4A04D7C1" w14:textId="77777777" w:rsidR="009D7677" w:rsidRDefault="009D7677" w:rsidP="009D7677">
      <w:pPr>
        <w:pStyle w:val="TextoNormal"/>
      </w:pPr>
      <w:r>
        <w:t>f) Interpuesto recurso de súplica contra el auto de 14 de junio de 2019 de la Sala de lo Penal del Tribunal Supremo y, con carácter previo a su resolución, el tribunal enjuiciador por auto de 1 de julio de 2019 planteó al Tribunal de Justicia de la Unión Europea tres cuestiones prejudiciales interpretativas sobre el artículo 9 del Protocolo núm. 7, sobre los privilegios e inmunidades de la Unión.</w:t>
      </w:r>
    </w:p>
    <w:p w14:paraId="46ADBC1B" w14:textId="77777777" w:rsidR="009D7677" w:rsidRDefault="009D7677" w:rsidP="009D7677">
      <w:pPr>
        <w:pStyle w:val="TextoNormal"/>
      </w:pPr>
    </w:p>
    <w:p w14:paraId="1F94F27B" w14:textId="77777777" w:rsidR="009D7677" w:rsidRDefault="009D7677" w:rsidP="009D7677">
      <w:pPr>
        <w:pStyle w:val="TextoNormal"/>
      </w:pPr>
      <w:r>
        <w:t>g) Por sentencia de 14 de octubre de 2019 de la Sala de lo Penal del Tribunal Supremo, recaída en la causa especial 20907-2017, don Oriol Junqueras i Vies fue condenado, como autor de un delito de sedición en concurso medial con un delito de malversación, a las penas de trece años de prisión y trece años de inhabilitación absoluta, con la consiguiente privación definitiva de todos los honores, empleos y cargos públicos, aunque sean electivos, e incapacidad para obtener los mismos o cualesquiera otros honores, cargos o empleos públicos y la de ser elegido para el cargo público durante el tiempo de la condena.</w:t>
      </w:r>
    </w:p>
    <w:p w14:paraId="691DC39E" w14:textId="77777777" w:rsidR="009D7677" w:rsidRDefault="009D7677" w:rsidP="009D7677">
      <w:pPr>
        <w:pStyle w:val="TextoNormal"/>
      </w:pPr>
    </w:p>
    <w:p w14:paraId="744F31FF" w14:textId="77777777" w:rsidR="009D7677" w:rsidRDefault="009D7677" w:rsidP="009D7677">
      <w:pPr>
        <w:pStyle w:val="TextoNormal"/>
      </w:pPr>
      <w:r>
        <w:t xml:space="preserve">h) Por sentencia de 19 de diciembre de 2019, asunto </w:t>
      </w:r>
      <w:r w:rsidRPr="009D7677">
        <w:rPr>
          <w:i/>
        </w:rPr>
        <w:t>Junqueras Vies</w:t>
      </w:r>
      <w:r>
        <w:t>, C-502/19, el Tribunal de Justicia de la Unión Europea resolvió las cuestiones prejudiciales planteadas por auto de 1 de julio de 2019 por la Sala Segunda del Tribunal Supremo y declaró que un diputado al Parlamento Europeo se considera electo desde la proclamación oficial de las candidaturas en el Estado en el que ha sido elegido, momento a partir del cual adquieren vigencia los privilegios e inmunidades propios de su estatuto parlamentario.</w:t>
      </w:r>
    </w:p>
    <w:p w14:paraId="6EA1E6CC" w14:textId="77777777" w:rsidR="009D7677" w:rsidRDefault="009D7677" w:rsidP="009D7677">
      <w:pPr>
        <w:pStyle w:val="TextoNormal"/>
      </w:pPr>
    </w:p>
    <w:p w14:paraId="54468F74" w14:textId="77777777" w:rsidR="009D7677" w:rsidRDefault="009D7677" w:rsidP="009D7677">
      <w:pPr>
        <w:pStyle w:val="TextoNormal"/>
      </w:pPr>
      <w:r>
        <w:t>i) Por acuerdo de 3 de enero de 2020, la Junta Electoral Central, en el expediente 561/79, resolvió:</w:t>
      </w:r>
    </w:p>
    <w:p w14:paraId="676493C8" w14:textId="77777777" w:rsidR="009D7677" w:rsidRDefault="009D7677" w:rsidP="009D7677">
      <w:pPr>
        <w:pStyle w:val="TextoNormal"/>
      </w:pPr>
    </w:p>
    <w:p w14:paraId="664AB352" w14:textId="77777777" w:rsidR="009D7677" w:rsidRDefault="009D7677" w:rsidP="009D7677">
      <w:pPr>
        <w:pStyle w:val="TextoNormal"/>
      </w:pPr>
      <w:r>
        <w:t>“a) Declarar que concurre en don Oriol Junqueras i Vies la causa de inelegibilidad sobrevenida del art. 6.2 a) de la LOREG en razón a haber sido condenado por sentencia nú</w:t>
      </w:r>
      <w:r>
        <w:lastRenderedPageBreak/>
        <w:t>mero 459/2019, de 14 de octubre (causa especial núm. 3/20907/2017), de la Sala Segunda del Tribunal Supremo, a la pena privativa de libertad de trece años de prisión.</w:t>
      </w:r>
    </w:p>
    <w:p w14:paraId="368A8304" w14:textId="77777777" w:rsidR="009D7677" w:rsidRDefault="009D7677" w:rsidP="009D7677">
      <w:pPr>
        <w:pStyle w:val="TextoNormal"/>
      </w:pPr>
    </w:p>
    <w:p w14:paraId="492B935B" w14:textId="77777777" w:rsidR="009D7677" w:rsidRDefault="009D7677" w:rsidP="009D7677">
      <w:pPr>
        <w:pStyle w:val="TextoNormal"/>
      </w:pPr>
      <w:r>
        <w:t>b) Declarar la pérdida de la condición de Diputado del Parlamento Europeo de don Oriol Junqueras i Vies, con anulación de su mandato, todo ello con efectos desde la fecha de este acuerdo.</w:t>
      </w:r>
    </w:p>
    <w:p w14:paraId="310A3CAA" w14:textId="77777777" w:rsidR="009D7677" w:rsidRDefault="009D7677" w:rsidP="009D7677">
      <w:pPr>
        <w:pStyle w:val="TextoNormal"/>
      </w:pPr>
    </w:p>
    <w:p w14:paraId="647C9826" w14:textId="77777777" w:rsidR="009D7677" w:rsidRDefault="009D7677" w:rsidP="009D7677">
      <w:pPr>
        <w:pStyle w:val="TextoNormal"/>
      </w:pPr>
      <w:r>
        <w:t>c) Proceder a cubrir la vacante como diputado del Parlamento Europeo, de don Oriol Junqueras i Vies, proclamando como candidato electo en su sustitución a don Jordi Solé i Ferrando por ser el siguiente candidato de la lista de la coalición electoral Ahora Repúblicas con la que concurrió a las citadas elecciones de 26 de mayo de 2019. Dicho candidato será convocado a efectos de que comparezca ante la Junta Electoral Central para que preste juramento o promesa de acatamiento a la Constitución, conforme a lo dispuesto en el artículo 224.2 de la LOREG.</w:t>
      </w:r>
    </w:p>
    <w:p w14:paraId="7F805537" w14:textId="77777777" w:rsidR="009D7677" w:rsidRDefault="009D7677" w:rsidP="009D7677">
      <w:pPr>
        <w:pStyle w:val="TextoNormal"/>
      </w:pPr>
    </w:p>
    <w:p w14:paraId="6023ECFE" w14:textId="77777777" w:rsidR="009D7677" w:rsidRDefault="009D7677" w:rsidP="009D7677">
      <w:pPr>
        <w:pStyle w:val="TextoNormal"/>
      </w:pPr>
      <w:r>
        <w:t>Este acuerdo se notificará a los interesados y se comunicará al presidente del Parlamento Europeo.</w:t>
      </w:r>
    </w:p>
    <w:p w14:paraId="231DDCCB" w14:textId="77777777" w:rsidR="009D7677" w:rsidRDefault="009D7677" w:rsidP="009D7677">
      <w:pPr>
        <w:pStyle w:val="TextoNormal"/>
      </w:pPr>
    </w:p>
    <w:p w14:paraId="22FAF19A" w14:textId="77777777" w:rsidR="009D7677" w:rsidRDefault="009D7677" w:rsidP="009D7677">
      <w:pPr>
        <w:pStyle w:val="TextoNormal"/>
      </w:pPr>
      <w:r>
        <w:t>Asimismo, se dará traslado a la Sala de lo Penal del Tribunal Supremo”.</w:t>
      </w:r>
    </w:p>
    <w:p w14:paraId="5509F1D2" w14:textId="77777777" w:rsidR="009D7677" w:rsidRDefault="009D7677" w:rsidP="009D7677">
      <w:pPr>
        <w:pStyle w:val="TextoNormal"/>
      </w:pPr>
    </w:p>
    <w:p w14:paraId="7C4601CD" w14:textId="77777777" w:rsidR="009D7677" w:rsidRDefault="009D7677" w:rsidP="009D7677">
      <w:pPr>
        <w:pStyle w:val="TextoNormal"/>
      </w:pPr>
      <w:r>
        <w:t>j) Una vez tuvo constancia de la sentencia del Tribunal de Justicia de la Unión Europea, la Sala Segunda del Tribunal Supremo por auto de 9 de enero de 2020 acordó:</w:t>
      </w:r>
    </w:p>
    <w:p w14:paraId="747488FA" w14:textId="77777777" w:rsidR="009D7677" w:rsidRDefault="009D7677" w:rsidP="009D7677">
      <w:pPr>
        <w:pStyle w:val="TextoNormal"/>
      </w:pPr>
    </w:p>
    <w:p w14:paraId="684375CD" w14:textId="77777777" w:rsidR="009D7677" w:rsidRDefault="009D7677" w:rsidP="009D7677">
      <w:pPr>
        <w:pStyle w:val="TextoNormal"/>
      </w:pPr>
      <w:r>
        <w:t>“a) Que debemos alzar la suspensión acordada para la resolución del presente recurso de súplica interpuesto por la representación del condenado, Oriol Junqueras, contra el auto de fecha 14 de junio de 2019.</w:t>
      </w:r>
    </w:p>
    <w:p w14:paraId="68216806" w14:textId="77777777" w:rsidR="009D7677" w:rsidRDefault="009D7677" w:rsidP="009D7677">
      <w:pPr>
        <w:pStyle w:val="TextoNormal"/>
      </w:pPr>
    </w:p>
    <w:p w14:paraId="1DBD7020" w14:textId="77777777" w:rsidR="009D7677" w:rsidRDefault="009D7677" w:rsidP="009D7677">
      <w:pPr>
        <w:pStyle w:val="TextoNormal"/>
      </w:pPr>
      <w:r>
        <w:t>b) Que debemos resolver, conforme a la interpretación ofrecida por el Tribunal de Justicia de la Unión Europea en su sentencia de 19 de diciembre de 2019, que el Sr. Junqueras adquirió el estatuto derivado de la condición de eurodiputado el día 13 de junio de 2019.</w:t>
      </w:r>
    </w:p>
    <w:p w14:paraId="52C086EE" w14:textId="77777777" w:rsidR="009D7677" w:rsidRDefault="009D7677" w:rsidP="009D7677">
      <w:pPr>
        <w:pStyle w:val="TextoNormal"/>
      </w:pPr>
    </w:p>
    <w:p w14:paraId="7DB19451" w14:textId="77777777" w:rsidR="009D7677" w:rsidRDefault="009D7677" w:rsidP="009D7677">
      <w:pPr>
        <w:pStyle w:val="TextoNormal"/>
      </w:pPr>
      <w:r>
        <w:t>c) Que procedía el mantenimiento de la prisión preventiva del Sr. Junqueras, con los condicionantes derivados del pronunciamiento del Tribunal de Justicia de la Unión Europea, en los términos que son expuestos en la resolución de esta misma fecha que queda incorporada a la causa principal.</w:t>
      </w:r>
    </w:p>
    <w:p w14:paraId="6657AF94" w14:textId="77777777" w:rsidR="009D7677" w:rsidRDefault="009D7677" w:rsidP="009D7677">
      <w:pPr>
        <w:pStyle w:val="TextoNormal"/>
      </w:pPr>
    </w:p>
    <w:p w14:paraId="4FDE85E2" w14:textId="77777777" w:rsidR="009D7677" w:rsidRDefault="009D7677" w:rsidP="009D7677">
      <w:pPr>
        <w:pStyle w:val="TextoNormal"/>
      </w:pPr>
      <w:r>
        <w:t>d) Notifíquese esta resolución, a los efectos legales oportunos, a la Junta Electoral Central y al Parlamento Europeo”.</w:t>
      </w:r>
    </w:p>
    <w:p w14:paraId="249F4730" w14:textId="77777777" w:rsidR="009D7677" w:rsidRDefault="009D7677" w:rsidP="009D7677">
      <w:pPr>
        <w:pStyle w:val="TextoNormal"/>
      </w:pPr>
    </w:p>
    <w:p w14:paraId="3A928973" w14:textId="77777777" w:rsidR="009D7677" w:rsidRDefault="009D7677" w:rsidP="009D7677">
      <w:pPr>
        <w:pStyle w:val="TextoNormal"/>
      </w:pPr>
      <w:r>
        <w:t>Por auto de la misma fecha, la Sala de lo Penal del Tribunal Supremo resolvió:</w:t>
      </w:r>
    </w:p>
    <w:p w14:paraId="50D2A084" w14:textId="77777777" w:rsidR="009D7677" w:rsidRDefault="009D7677" w:rsidP="009D7677">
      <w:pPr>
        <w:pStyle w:val="TextoNormal"/>
      </w:pPr>
    </w:p>
    <w:p w14:paraId="24CA0AA4" w14:textId="77777777" w:rsidR="009D7677" w:rsidRDefault="009D7677" w:rsidP="009D7677">
      <w:pPr>
        <w:pStyle w:val="TextoNormal"/>
      </w:pPr>
      <w:r>
        <w:t>“1. No ha lugar a autorizar el desplazamiento del Sr. Junqueras a la sede del Parlamento Europeo.</w:t>
      </w:r>
    </w:p>
    <w:p w14:paraId="073AD54E" w14:textId="77777777" w:rsidR="009D7677" w:rsidRDefault="009D7677" w:rsidP="009D7677">
      <w:pPr>
        <w:pStyle w:val="TextoNormal"/>
      </w:pPr>
    </w:p>
    <w:p w14:paraId="4D064BD8" w14:textId="77777777" w:rsidR="009D7677" w:rsidRDefault="009D7677" w:rsidP="009D7677">
      <w:pPr>
        <w:pStyle w:val="TextoNormal"/>
      </w:pPr>
      <w:r>
        <w:t>2. No ha lugar a acordar su libertad.</w:t>
      </w:r>
    </w:p>
    <w:p w14:paraId="4692F2F2" w14:textId="77777777" w:rsidR="009D7677" w:rsidRDefault="009D7677" w:rsidP="009D7677">
      <w:pPr>
        <w:pStyle w:val="TextoNormal"/>
      </w:pPr>
    </w:p>
    <w:p w14:paraId="3C5611E5" w14:textId="77777777" w:rsidR="009D7677" w:rsidRDefault="009D7677" w:rsidP="009D7677">
      <w:pPr>
        <w:pStyle w:val="TextoNormal"/>
      </w:pPr>
      <w:r>
        <w:lastRenderedPageBreak/>
        <w:t>3. No ha lugar a declarar la nulidad de la sentencia de 14 de octubre de 2019 dictada por esta Sala.</w:t>
      </w:r>
    </w:p>
    <w:p w14:paraId="148D9E43" w14:textId="77777777" w:rsidR="009D7677" w:rsidRDefault="009D7677" w:rsidP="009D7677">
      <w:pPr>
        <w:pStyle w:val="TextoNormal"/>
      </w:pPr>
    </w:p>
    <w:p w14:paraId="678A211E" w14:textId="77777777" w:rsidR="009D7677" w:rsidRDefault="009D7677" w:rsidP="009D7677">
      <w:pPr>
        <w:pStyle w:val="TextoNormal"/>
      </w:pPr>
      <w:r>
        <w:t>4. No ha lugar a la tramitación del suplicatorio ante el Parlamento Europeo.</w:t>
      </w:r>
    </w:p>
    <w:p w14:paraId="6D16EEA0" w14:textId="77777777" w:rsidR="009D7677" w:rsidRDefault="009D7677" w:rsidP="009D7677">
      <w:pPr>
        <w:pStyle w:val="TextoNormal"/>
      </w:pPr>
    </w:p>
    <w:p w14:paraId="0F323616" w14:textId="77777777" w:rsidR="009D7677" w:rsidRDefault="009D7677" w:rsidP="009D7677">
      <w:pPr>
        <w:pStyle w:val="TextoNormal"/>
      </w:pPr>
      <w:r>
        <w:t>5. Dese cuenta en la pieza de ejecución a fin de proveer allí sobre el alzamiento de la suspensión de la pena de trece años de inhabilitación impuesta al condenado. Practíquese liquidación de condena.</w:t>
      </w:r>
    </w:p>
    <w:p w14:paraId="1C9C790A" w14:textId="77777777" w:rsidR="009D7677" w:rsidRDefault="009D7677" w:rsidP="009D7677">
      <w:pPr>
        <w:pStyle w:val="TextoNormal"/>
      </w:pPr>
    </w:p>
    <w:p w14:paraId="5211DCC5" w14:textId="77777777" w:rsidR="009D7677" w:rsidRDefault="009D7677" w:rsidP="009D7677">
      <w:pPr>
        <w:pStyle w:val="TextoNormal"/>
      </w:pPr>
      <w:r>
        <w:t>Comuníquese esta resolución a la Junta Electoral Central y al Parlamento Europeo a los efectos legales oportunos”.</w:t>
      </w:r>
    </w:p>
    <w:p w14:paraId="0665EDF5" w14:textId="77777777" w:rsidR="009D7677" w:rsidRDefault="009D7677" w:rsidP="009D7677">
      <w:pPr>
        <w:pStyle w:val="TextoNormal"/>
      </w:pPr>
    </w:p>
    <w:p w14:paraId="4DA9FBC9" w14:textId="77777777" w:rsidR="009D7677" w:rsidRDefault="009D7677" w:rsidP="009D7677">
      <w:pPr>
        <w:pStyle w:val="TextoNormal"/>
      </w:pPr>
      <w:r>
        <w:t>k) En la sesión plenaria de 13 de enero de 2020, el Parlamento Europeo, a raíz de la STJUE de 19 de diciembre de 2019, tomó nota de la elección de don Oriol Junqueras i Vies, don Carles Puigdemont i Casamajó y don Antoni Comín i Oliveres como diputados al Parlamento Europeo por España, con efecto desde el 2 de julio de 2019.</w:t>
      </w:r>
    </w:p>
    <w:p w14:paraId="1B6FB14A" w14:textId="77777777" w:rsidR="009D7677" w:rsidRDefault="009D7677" w:rsidP="009D7677">
      <w:pPr>
        <w:pStyle w:val="TextoNormal"/>
      </w:pPr>
    </w:p>
    <w:p w14:paraId="2841090B" w14:textId="77777777" w:rsidR="009D7677" w:rsidRDefault="009D7677" w:rsidP="009D7677">
      <w:pPr>
        <w:pStyle w:val="TextoNormal"/>
      </w:pPr>
      <w:r>
        <w:t>Del mismo modo, habida cuenta de la decisión de la Junta Electoral Central de 3 de enero de 2020 y tras el auto del Tribunal Supremo del 9 de enero de 2020, el Parlamento constató la vacante del escaño de don Oriol Junqueras i Vies con efecto desde el 3 de enero de 2020.</w:t>
      </w:r>
    </w:p>
    <w:p w14:paraId="6C0B96E5" w14:textId="77777777" w:rsidR="009D7677" w:rsidRDefault="009D7677" w:rsidP="009D7677">
      <w:pPr>
        <w:pStyle w:val="TextoNormal"/>
      </w:pPr>
    </w:p>
    <w:p w14:paraId="4BA6CCA3" w14:textId="77777777" w:rsidR="009D7677" w:rsidRDefault="009D7677" w:rsidP="009D7677">
      <w:pPr>
        <w:pStyle w:val="TextoNormal"/>
      </w:pPr>
      <w:r>
        <w:t xml:space="preserve">Interpuesto recurso de anulación contra esta declaración de 13 de enero de 2020 del presidente del Parlamento Europeo, por auto del Tribunal General, de 15 de diciembre de 2020, asunto </w:t>
      </w:r>
      <w:r w:rsidRPr="009D7677">
        <w:rPr>
          <w:i/>
        </w:rPr>
        <w:t>Junqueras i Vies</w:t>
      </w:r>
      <w:r>
        <w:t xml:space="preserve">, T-24/20, el recurso de anulación fue declarado inadmisible; inadmisibilidad que fue ratificada por sentencia del Tribunal de Justicia de la Unión Europea, de 22 de diciembre de 2022, asunto </w:t>
      </w:r>
      <w:r w:rsidRPr="009D7677">
        <w:rPr>
          <w:i/>
        </w:rPr>
        <w:t>Junqueras i Vies</w:t>
      </w:r>
      <w:r>
        <w:t>, C-115/21, al desestimar el recurso de casación promovido frente al ya citado auto de 15 de diciembre de 2020.</w:t>
      </w:r>
    </w:p>
    <w:p w14:paraId="40F1E806" w14:textId="77777777" w:rsidR="009D7677" w:rsidRDefault="009D7677" w:rsidP="009D7677">
      <w:pPr>
        <w:pStyle w:val="TextoNormal"/>
      </w:pPr>
    </w:p>
    <w:p w14:paraId="585C398E" w14:textId="77777777" w:rsidR="009D7677" w:rsidRDefault="009D7677" w:rsidP="009D7677">
      <w:pPr>
        <w:pStyle w:val="TextoNormal"/>
      </w:pPr>
      <w:r>
        <w:t>l) La impugnación judicial del acuerdo de la Junta Electoral Central de 22 de julio de 2019, formulada en el recurso contencioso-administrativo núm. 353-2019, fue desestimada mediante sentencia de la Sección Cuarta de la Sala de lo Contencioso-Administrativo del Tribunal Supremo núm. 431/2021, de 24 de marzo de 2021.</w:t>
      </w:r>
    </w:p>
    <w:p w14:paraId="093C735A" w14:textId="77777777" w:rsidR="009D7677" w:rsidRDefault="009D7677" w:rsidP="009D7677">
      <w:pPr>
        <w:pStyle w:val="TextoNormal"/>
      </w:pPr>
    </w:p>
    <w:p w14:paraId="6DF0184A" w14:textId="77777777" w:rsidR="009D7677" w:rsidRDefault="009D7677" w:rsidP="009D7677">
      <w:pPr>
        <w:pStyle w:val="TextoNormal"/>
      </w:pPr>
      <w:r>
        <w:t>La demanda alegaba que, de acuerdo con la STJUE de 19 de diciembre de 2019, el requisito de acatamiento de la Constitución, establecido en el art. 224.2 LOREG, es contrario al Derecho de la Unión Europea y que, por esta razón, el acuerdo de la Junta Electoral Central recurrido había vulnerado su derecho de sufragio pasivo, invocando los artículos 23.2 CE, 39 de la Carta de derechos fundamentales de la Unión Europea (CDFUE) y 3 del Protocolo adicional al Convenio europeo de derechos humanos (CEDH), así como el principio de igualdad y prohibición de discriminación del artículo 14 CE, del artículo 20 CDFUE, apartados primero y segundo del artículo 21 CDFUE y del artículo 14 CEDH.</w:t>
      </w:r>
    </w:p>
    <w:p w14:paraId="7FCEC3AC" w14:textId="77777777" w:rsidR="009D7677" w:rsidRDefault="009D7677" w:rsidP="009D7677">
      <w:pPr>
        <w:pStyle w:val="TextoNormal"/>
      </w:pPr>
    </w:p>
    <w:p w14:paraId="7C583CE7" w14:textId="77777777" w:rsidR="009D7677" w:rsidRDefault="009D7677" w:rsidP="009D7677">
      <w:pPr>
        <w:pStyle w:val="TextoNormal"/>
      </w:pPr>
      <w:r>
        <w:t>La sentencia de 14 de marzo de 2021 de la Sala Tercera del Tribunal Supremo, una vez descartado que el recurso contencioso-administrativo hubiera perdido su objeto de forma sobrevenida como consecuencia de la pérdida del recurrente de su condición de eurodiputado, rechazó las vulneraciones de derechos fundamentales alegadas, con cita extensa de sus previas sentencias núm. 722/2020 y 723/2020, en las que ya se pronunció sobre el al</w:t>
      </w:r>
      <w:r>
        <w:lastRenderedPageBreak/>
        <w:t>cance de la STJUE de 19 de diciembre de 2019. Cabe destacar, en lo que interesa a este proceso constitucional, los siguientes pasajes:</w:t>
      </w:r>
    </w:p>
    <w:p w14:paraId="168A5741" w14:textId="77777777" w:rsidR="009D7677" w:rsidRDefault="009D7677" w:rsidP="009D7677">
      <w:pPr>
        <w:pStyle w:val="TextoNormal"/>
      </w:pPr>
    </w:p>
    <w:p w14:paraId="0BDC5749" w14:textId="77777777" w:rsidR="009D7677" w:rsidRDefault="009D7677" w:rsidP="009D7677">
      <w:pPr>
        <w:pStyle w:val="TextoNormal"/>
      </w:pPr>
      <w:r>
        <w:t>(i) “Requerir el acatamiento a la Constitución como condición para acceder a un cargo obtenido por elección democrática de los ciudadanos no es algo desconocido en el Derecho Constitucional ni puede reducirse a mera formalidad intrascendente”. En concreto “en el Derecho Constitucional español rige la regla de que el ejercicio de los cargos públicos y, en concreto, de los de carácter representativo, requiere el previo acatamiento de la Constitución. De ahí que el artículo 108.8 de la Ley Orgánica exija que, al tomar posesión y para la plena adquisición de la condición de sus cargos, los candidatos electos juren o acaten la Constitución […] a falta de ese requisito no se adquiere la plena condición del cargo, que queda en suspenso hasta que se produzca el cumplimiento correspondiente”.</w:t>
      </w:r>
    </w:p>
    <w:p w14:paraId="599B554A" w14:textId="77777777" w:rsidR="009D7677" w:rsidRDefault="009D7677" w:rsidP="009D7677">
      <w:pPr>
        <w:pStyle w:val="TextoNormal"/>
      </w:pPr>
    </w:p>
    <w:p w14:paraId="6F6AB6AD" w14:textId="77777777" w:rsidR="009D7677" w:rsidRDefault="009D7677" w:rsidP="009D7677">
      <w:pPr>
        <w:pStyle w:val="TextoNormal"/>
      </w:pPr>
      <w:r>
        <w:t>(ii) En cuanto a la forma y lugar de prestar el acatamiento a la Constitución y la consecuencia de no prestarlo, añade que “son los reglamentos parlamentarios y la legislación los que articulan la manera de prestarlo y, desde luego, en todo caso, conducen a la misma consecuencia: a falta de ese requisito no se adquiere la plena condición del cargo, que queda en suspenso hasta que se produzca el cumplimiento correspondiente”. En el caso del Parlamento Europeo la regulación se contempla en el art. 224.2 LOREG (no en el previsto para el Senado o el Congreso), que exige acatamiento personal ante la Junta Electoral Central, tal y como se ha venido haciendo desde la primera aplicación del precepto hace más de treinta años.</w:t>
      </w:r>
    </w:p>
    <w:p w14:paraId="49E161FD" w14:textId="77777777" w:rsidR="009D7677" w:rsidRDefault="009D7677" w:rsidP="009D7677">
      <w:pPr>
        <w:pStyle w:val="TextoNormal"/>
      </w:pPr>
    </w:p>
    <w:p w14:paraId="3BBC2443" w14:textId="77777777" w:rsidR="009D7677" w:rsidRDefault="009D7677" w:rsidP="009D7677">
      <w:pPr>
        <w:pStyle w:val="TextoNormal"/>
      </w:pPr>
      <w:r>
        <w:t>(iii) Sobre la inexistencia de una regulación específica sobre la materia en el Derecho de la Unión Europea, insiste la sentencia en que no hay ni en el Derecho de la Unión Europea ni en el Convenio europeo de derechos humanos “elementos que ofrezcan una mayor garantía que la que ofrece directamente la Constitución. […] No hay, pues, en el Acta […] ninguna prohibición que impida la exigencia, como requisito previo a la expedición de las credenciales, de la prestación del acatamiento a la Constitución”. Se añade que tampoco la jurisprudencia, aun después de la STJUE de 19 de diciembre de 2019, dice algo muy distinto a lo que establece el art 224.2 LOREG, pues, de acuerdo con él, “un candidato proclamado electo al Parlamento Europeo goza desde su proclamación de las prerrogativas propias del cargo aunque, tras cinco días sin prestar el acatamiento, quedan suspendidas hasta que se produzca”, sin que la sentencia del Tribunal de Justicia de la Unión Europea mantenga “un concepto absoluto o incondicionado de la inmunidad para dirigirse al lugar de reunión del Parlamento Europeo o regresar de él que le lleve a mantenerla en todo caso”.</w:t>
      </w:r>
    </w:p>
    <w:p w14:paraId="00131F33" w14:textId="77777777" w:rsidR="009D7677" w:rsidRDefault="009D7677" w:rsidP="009D7677">
      <w:pPr>
        <w:pStyle w:val="TextoNormal"/>
      </w:pPr>
    </w:p>
    <w:p w14:paraId="2CD1907D" w14:textId="77777777" w:rsidR="009D7677" w:rsidRDefault="009D7677" w:rsidP="009D7677">
      <w:pPr>
        <w:pStyle w:val="TextoNormal"/>
      </w:pPr>
      <w:r>
        <w:t xml:space="preserve">Continúa señalando la sentencia que carece de fundamento el reproche de que la actuación de la Junta Electoral Central fue desproporcionada y discriminatoria. Tras recordar que el Derecho de la Unión Europea se remite a las legislaciones nacionales en todo aquello que el mismo no regula en relación con las elecciones al Parlamento Europeo, señala que el acatamiento no puede llevarse a efecto mediante cualquier procedimiento que pretenda elegir el interesado al margen de las previsiones legales del art. 224.2 LOREG. Explica que los casos referidos por el demandante (relativos a la práctica seguida en el Senado y en algunos parlamentos autonómicos, que permiten realizar el acatamiento de forma no presencial) no guardan relación con el caso de las elecciones al Parlamento Europeo porque, en dichos supuestos, son los reglamentos parlamentarios los que establecen los </w:t>
      </w:r>
      <w:r>
        <w:lastRenderedPageBreak/>
        <w:t>requisitos para efectuar el acatamiento, mientras que en caso del Parlamento Europeo el régimen legal aplicable es el del art. 224.2 LOREG.</w:t>
      </w:r>
    </w:p>
    <w:p w14:paraId="787A141E" w14:textId="77777777" w:rsidR="009D7677" w:rsidRDefault="009D7677" w:rsidP="009D7677">
      <w:pPr>
        <w:pStyle w:val="TextoNormal"/>
      </w:pPr>
    </w:p>
    <w:p w14:paraId="75266015" w14:textId="77777777" w:rsidR="009D7677" w:rsidRDefault="009D7677" w:rsidP="009D7677">
      <w:pPr>
        <w:pStyle w:val="TextoNormal"/>
      </w:pPr>
      <w:r>
        <w:t xml:space="preserve">Razona también la sentencia que la Junta Electoral Central no tenía la posibilidad legal de actuar de manera distinta a como lo hizo, además, dado lo resuelto por la Sala Segunda del Tribunal Supremo en el auto de 14 de junio de 2019, en la causa especial 20907-2017, por el que se denegó el permiso de salida al señor Junqueras, por exigencia del deber de cumplir las sentencias y resoluciones judiciales </w:t>
      </w:r>
      <w:r w:rsidRPr="009D7677">
        <w:rPr>
          <w:i/>
        </w:rPr>
        <w:t>ex</w:t>
      </w:r>
      <w:r>
        <w:t xml:space="preserve"> art. 118 CE. En este sentido, explica que la preeminencia de la jurisdicción penal y la obligación derivada del art. 118 CE, determinantes de la actuación de la Junta Electoral Central, no se niegan por la STJUE de 19 de diciembre de 2019, puesto que la misma deja en manos del tribunal nacional la posibilidad de mantener la situación de prisión preventiva, siempre que se active con celeridad la suspensión de la inmunidad mediante la solicitud del suplicatorio.</w:t>
      </w:r>
    </w:p>
    <w:p w14:paraId="41A6FADF" w14:textId="77777777" w:rsidR="009D7677" w:rsidRDefault="009D7677" w:rsidP="009D7677">
      <w:pPr>
        <w:pStyle w:val="TextoNormal"/>
      </w:pPr>
    </w:p>
    <w:p w14:paraId="3C0E07B7" w14:textId="45CBFF1F" w:rsidR="009D7677" w:rsidRDefault="009D7677" w:rsidP="009D7677">
      <w:pPr>
        <w:pStyle w:val="TextoNormal"/>
      </w:pPr>
      <w:r>
        <w:t>m) Interpuesto por el recurrente incidente de nulidad de actuaciones, fue inadmitido por providencia de la Sección Cuarta de la Sala de lo Contencioso-Administrativo del Tribunal Supremo de 17 de mayo de 2021, sucintamente motivada, en la que se rechazan las alegaciones de incongruencia omisiva, arbitrariedad, falta de motivación y discriminación que el recurrente imputaba a la sentencia desestimatoria de 24 de marzo de 2021.</w:t>
      </w:r>
    </w:p>
    <w:p w14:paraId="34ED3783" w14:textId="77777777" w:rsidR="009D7677" w:rsidRDefault="009D7677" w:rsidP="009D7677">
      <w:pPr>
        <w:pStyle w:val="TextoNormal"/>
      </w:pPr>
    </w:p>
    <w:p w14:paraId="27CBFB3D" w14:textId="77777777" w:rsidR="009D7677" w:rsidRDefault="009D7677" w:rsidP="009D7677">
      <w:pPr>
        <w:pStyle w:val="TextoNormal"/>
      </w:pPr>
      <w:r w:rsidRPr="009D7677">
        <w:rPr>
          <w:rStyle w:val="NumeroAFNegritaCaracter"/>
        </w:rPr>
        <w:t>3</w:t>
      </w:r>
      <w:r>
        <w:t>. El recurrente alega en su demanda la vulneración de sus derechos a la igualdad en la aplicación de la ley y a la no discriminación (art. 14 CE), a acceder y permanecer en condiciones de igualdad en los cargos públicos (art. 23 CE) y a la tutela judicial efectiva (art. 24.1 CE).</w:t>
      </w:r>
    </w:p>
    <w:p w14:paraId="517D32F3" w14:textId="77777777" w:rsidR="009D7677" w:rsidRDefault="009D7677" w:rsidP="009D7677">
      <w:pPr>
        <w:pStyle w:val="TextoNormal"/>
      </w:pPr>
    </w:p>
    <w:p w14:paraId="027C0FA1" w14:textId="77777777" w:rsidR="009D7677" w:rsidRDefault="009D7677" w:rsidP="009D7677">
      <w:pPr>
        <w:pStyle w:val="TextoNormal"/>
      </w:pPr>
      <w:r>
        <w:t>Las vulneraciones constitucionales alegadas pueden sintetizarse como sigue:</w:t>
      </w:r>
    </w:p>
    <w:p w14:paraId="278AE3FF" w14:textId="77777777" w:rsidR="009D7677" w:rsidRDefault="009D7677" w:rsidP="009D7677">
      <w:pPr>
        <w:pStyle w:val="TextoNormal"/>
      </w:pPr>
    </w:p>
    <w:p w14:paraId="7FDBB42B" w14:textId="77777777" w:rsidR="009D7677" w:rsidRDefault="009D7677" w:rsidP="009D7677">
      <w:pPr>
        <w:pStyle w:val="TextoNormal"/>
      </w:pPr>
      <w:r>
        <w:t>a) Considera que la sentencia y la providencia de inadmisión incurren en incongruencia omisiva, son inmotivadas, arbitrarias y vulneran el derecho a la tutela judicial efectiva, así como el derecho a la igualdad en la aplicación de la ley y a la no discriminación (arts. 24 y 14 CE, arts. 6, 14 y 18 CEDH, y arts. 20 y 47 CDFUE) en relación con el derecho al sufragio pasivo (ambos apartados del art. 23 CE y art. 3 del Protocolo adicional al CEDH, y ambos apartados art. 39 CDFUE) al haber aportado y acreditado término de comparación de trato discriminatorio en relación con otro eurodiputado (el Sr. Ruiz Mateos) a quien sí se le permitió prestar promesa o juramento mediante desplazamiento de representantes de la Junta Electoral Central (por tanto, no presencialmente en la sede del órgano) e ignorarlo el Tribunal Supremo en su sentencia.</w:t>
      </w:r>
    </w:p>
    <w:p w14:paraId="37A32E9C" w14:textId="77777777" w:rsidR="009D7677" w:rsidRDefault="009D7677" w:rsidP="009D7677">
      <w:pPr>
        <w:pStyle w:val="TextoNormal"/>
      </w:pPr>
    </w:p>
    <w:p w14:paraId="19755A62" w14:textId="77777777" w:rsidR="009D7677" w:rsidRDefault="009D7677" w:rsidP="009D7677">
      <w:pPr>
        <w:pStyle w:val="TextoNormal"/>
      </w:pPr>
      <w:r>
        <w:t>Denuncia que en la providencia de inadmisión del incidente de nulidad la Sala habría explicado que es un precedente de hace décadas y que no era una alegación central. Entiende también que existe una interpretación ultra formalista y contraria al Derecho de la Unión Europea del art. 224.2 LOREG y concluye que “[p]or ello, resulta evidente que se ha aplicado al Sr. Junqueras una restricción a su derecho al sufragio pasivo (un requisito de promesa de la Constitución de forma presencial y en la sede del órgano) no previsto en la ley”.</w:t>
      </w:r>
    </w:p>
    <w:p w14:paraId="4C7E0419" w14:textId="77777777" w:rsidR="009D7677" w:rsidRDefault="009D7677" w:rsidP="009D7677">
      <w:pPr>
        <w:pStyle w:val="TextoNormal"/>
      </w:pPr>
    </w:p>
    <w:p w14:paraId="58651FA8" w14:textId="77777777" w:rsidR="009D7677" w:rsidRDefault="009D7677" w:rsidP="009D7677">
      <w:pPr>
        <w:pStyle w:val="TextoNormal"/>
      </w:pPr>
      <w:r>
        <w:t xml:space="preserve">b) Afirma que la sentencia y la providencia de inadmisión incurren en incongruencia omisiva, son inmotivadas, arbitrarias y vulneran el derecho a la tutela judicial efectiva y a </w:t>
      </w:r>
      <w:r>
        <w:lastRenderedPageBreak/>
        <w:t>la igualdad ante la ley y a la no discriminación en relación con el derecho de sufragio activo y la primacía del Derecho de la Unión (arts. 14, 23 —ambos apartados— y 24 CE y arts. 6, 14, y 3 del Protocolo adicional, todos ellos del CEDH; así como ambos apartados del art. 39 y art. 20 CDFUE).</w:t>
      </w:r>
    </w:p>
    <w:p w14:paraId="519A2E99" w14:textId="77777777" w:rsidR="009D7677" w:rsidRDefault="009D7677" w:rsidP="009D7677">
      <w:pPr>
        <w:pStyle w:val="TextoNormal"/>
      </w:pPr>
    </w:p>
    <w:p w14:paraId="53075880" w14:textId="77777777" w:rsidR="009D7677" w:rsidRDefault="009D7677" w:rsidP="009D7677">
      <w:pPr>
        <w:pStyle w:val="TextoNormal"/>
      </w:pPr>
      <w:r>
        <w:t>Cuestiona la conclusión a la que llega la Sala de que el requisito de promesa o juramento de la Constitución forme parte del “proceso electoral” y, por tanto, de la competencia de los Estados miembros. Es un requisito que opera “post elección”. La Sala no se habría pronunciado sobre los motivos alegados existiendo una incongruencia, falta de motivación y arbitrariedad.</w:t>
      </w:r>
    </w:p>
    <w:p w14:paraId="7C10569E" w14:textId="77777777" w:rsidR="009D7677" w:rsidRDefault="009D7677" w:rsidP="009D7677">
      <w:pPr>
        <w:pStyle w:val="TextoNormal"/>
      </w:pPr>
    </w:p>
    <w:p w14:paraId="0843BFE2" w14:textId="77777777" w:rsidR="009D7677" w:rsidRDefault="009D7677" w:rsidP="009D7677">
      <w:pPr>
        <w:pStyle w:val="TextoNormal"/>
      </w:pPr>
      <w:r>
        <w:t>Explica también como los Sres. Puigdemont y Comín, la Sra. Ponsatí y el Sr. Jordi Solé adquirieron la condición de eurodiputado sin llevar a cabo el trámite del art. 224.2 LOREG, por lo que, a su juicio, “resulta evidente que las instituciones europeas no consideran de aplicación por contrario al Derecho de la Unión el trámite del art. 224.2 LOREG”.</w:t>
      </w:r>
    </w:p>
    <w:p w14:paraId="67E71681" w14:textId="77777777" w:rsidR="009D7677" w:rsidRDefault="009D7677" w:rsidP="009D7677">
      <w:pPr>
        <w:pStyle w:val="TextoNormal"/>
      </w:pPr>
    </w:p>
    <w:p w14:paraId="3A3BA86D" w14:textId="77777777" w:rsidR="009D7677" w:rsidRDefault="009D7677" w:rsidP="009D7677">
      <w:pPr>
        <w:pStyle w:val="TextoNormal"/>
      </w:pPr>
      <w:r>
        <w:t>Y explica las razones por las cuales el art. 224.2 LOREG vulneraría, en su opinión, el art. 8 del Acta electoral europea (1976) en relación con el art. 39, 20 y 21 CDFUE.</w:t>
      </w:r>
    </w:p>
    <w:p w14:paraId="65263A24" w14:textId="77777777" w:rsidR="009D7677" w:rsidRDefault="009D7677" w:rsidP="009D7677">
      <w:pPr>
        <w:pStyle w:val="TextoNormal"/>
      </w:pPr>
    </w:p>
    <w:p w14:paraId="0DE2DC28" w14:textId="77777777" w:rsidR="009D7677" w:rsidRDefault="009D7677" w:rsidP="009D7677">
      <w:pPr>
        <w:pStyle w:val="TextoNormal"/>
      </w:pPr>
      <w:r>
        <w:t>c) Sigue diciendo que la sentencia incurre en discriminación respecto del resto de eurodiputados a quienes no se exige la promesa o juramento de la Constitución Española (vulneración de los artículos 14 CE, 20 y 21 CDFUE y 14 CEDH en relación con los arts. 23 CE —ambos apartados—, 39 CDFUE —ambos apartados— y 3 del Protocolo adicional CEDH), en particular, respecto al resto de eurodiputados del resto de Estados miembros a los que no se les exige este requisito. Requisito, además, que no formaría parte del procedimiento electoral, explicando de nuevo que la sentencia confunde “elecciones” con “procedimiento electoral”.</w:t>
      </w:r>
    </w:p>
    <w:p w14:paraId="40F94B70" w14:textId="77777777" w:rsidR="009D7677" w:rsidRDefault="009D7677" w:rsidP="009D7677">
      <w:pPr>
        <w:pStyle w:val="TextoNormal"/>
      </w:pPr>
    </w:p>
    <w:p w14:paraId="0476F441" w14:textId="77777777" w:rsidR="009D7677" w:rsidRDefault="009D7677" w:rsidP="009D7677">
      <w:pPr>
        <w:pStyle w:val="TextoNormal"/>
      </w:pPr>
      <w:r>
        <w:t>d) También aduce que incurre la sentencia en discriminación respecto a diputados y senadores a quienes no se exige la promesa o juramento presencial en la sede del órgano (congreso o senado) de la Constitución Española (vulneración de los artículos 14 CE, 20 y 21 CDFUE y 14 CEDH en relación con los Arts. 23 CE —ambos apartados—, 39 CDFUE —ambos apartados— y 3 del Protocolo adicional CEDH). Ello por cuanto la sentencia habría olvidado que el Derecho de la Unión y la STJUE de 19 de diciembre de 2019 establece que debe regir el principio de equivalencia entre eurodiputados y parlamentarios del Estado miembro.</w:t>
      </w:r>
    </w:p>
    <w:p w14:paraId="281F12AA" w14:textId="77777777" w:rsidR="009D7677" w:rsidRDefault="009D7677" w:rsidP="009D7677">
      <w:pPr>
        <w:pStyle w:val="TextoNormal"/>
      </w:pPr>
    </w:p>
    <w:p w14:paraId="23687C04" w14:textId="77777777" w:rsidR="009D7677" w:rsidRDefault="009D7677" w:rsidP="009D7677">
      <w:pPr>
        <w:pStyle w:val="TextoNormal"/>
      </w:pPr>
      <w:r>
        <w:t>e) Sostiene que la sentencia vulnera su derecho a la tutela judicial efectiva y a la ejecución de las resoluciones judiciales en sus propios términos (arts. 24 CE —y 6 CEDH— y 118 CE). Explica que una vez estimado el recurso relativo a la prohibición de permiso de salida de prisión del Sr. Junqueras para realizar promesa o juramento de la Constitución y acceder al cargo y a la vista de lo resuelto en la sentencia del Tribunal de Justica de la Unión Europea procedía anular el acuerdo de la Junta Electoral Central.</w:t>
      </w:r>
    </w:p>
    <w:p w14:paraId="5D8EEC5F" w14:textId="77777777" w:rsidR="009D7677" w:rsidRDefault="009D7677" w:rsidP="009D7677">
      <w:pPr>
        <w:pStyle w:val="TextoNormal"/>
      </w:pPr>
    </w:p>
    <w:p w14:paraId="29EDF8ED" w14:textId="77777777" w:rsidR="009D7677" w:rsidRDefault="009D7677" w:rsidP="009D7677">
      <w:pPr>
        <w:pStyle w:val="TextoNormal"/>
      </w:pPr>
      <w:r>
        <w:t>f) Finalmente solicita el planteamiento de auto cuestión de inconstitucionalidad respecto al art. 224.2 LOREG por vulnerar el derecho de sufragio pasivo en relación con el derecho de igualdad y no discriminación y en relación con el Derecho de la Unión, su efecto directo y el principio de equivalencia.</w:t>
      </w:r>
    </w:p>
    <w:p w14:paraId="4A3BCF7E" w14:textId="77777777" w:rsidR="009D7677" w:rsidRDefault="009D7677" w:rsidP="009D7677">
      <w:pPr>
        <w:pStyle w:val="TextoNormal"/>
      </w:pPr>
    </w:p>
    <w:p w14:paraId="7F693E41" w14:textId="0EA2DE49" w:rsidR="009D7677" w:rsidRDefault="009D7677" w:rsidP="009D7677">
      <w:pPr>
        <w:pStyle w:val="TextoNormal"/>
      </w:pPr>
      <w:r>
        <w:t>Termina suplicando que se declare la nulidad de las resoluciones judiciales impugnadas y del acuerdo de la Junta Electoral Central impugnado y que se proceda al restablecimiento de sus derechos acordando indemnización por los daños causados.</w:t>
      </w:r>
    </w:p>
    <w:p w14:paraId="54C1364A" w14:textId="77777777" w:rsidR="009D7677" w:rsidRDefault="009D7677" w:rsidP="009D7677">
      <w:pPr>
        <w:pStyle w:val="TextoNormal"/>
      </w:pPr>
    </w:p>
    <w:p w14:paraId="7A48A9AB" w14:textId="26298E17" w:rsidR="009D7677" w:rsidRDefault="009D7677" w:rsidP="009D7677">
      <w:pPr>
        <w:pStyle w:val="TextoNormal"/>
      </w:pPr>
      <w:r w:rsidRPr="009D7677">
        <w:rPr>
          <w:rStyle w:val="NumeroAFNegritaCaracter"/>
        </w:rPr>
        <w:t>4</w:t>
      </w:r>
      <w:r>
        <w:t>. Por providencia de 21 de marzo de 2022, la Sala Segunda de este tribunal acordó admitir a trámite el presente recurso de amparo apreciando que en el mismo concurre especial trascendencia constitucional (art. 50.1 de la Ley Orgánica del Tribunal Constitucional: LOTC) porque plantea un problema o afecta a una faceta del derecho fundamental sobre el que no hay doctrina de este tribunal [STC 155/2009, de 25 de junio, FJ 2 a)] y el asunto suscitado trasciende del caso concreto porque pudiera tener unas consecuencias políticas generales [STC 155/2009, FJ 2 g)]. En aplicación de lo dispuesto en el art. 51 LOTC, se acordó dirigir comunicación a la Sección Cuarta de la Sala de lo Contencioso-Administrativo del Tribunal Supremo a fin de que, en el plazo máximo de diez días, remitiera certificación o fotocopia adverada de las actuaciones correspondientes al recurso ordinario núm. 353-2019, debiendo previamente emplazarse a quienes hubieran sido parte en el procedimiento excepto al demandante de amparo, para que pudieran comparecer en el recurso de amparo.</w:t>
      </w:r>
    </w:p>
    <w:p w14:paraId="6CED4150" w14:textId="77777777" w:rsidR="009D7677" w:rsidRDefault="009D7677" w:rsidP="009D7677">
      <w:pPr>
        <w:pStyle w:val="TextoNormal"/>
      </w:pPr>
    </w:p>
    <w:p w14:paraId="57684F97" w14:textId="4F73F66E" w:rsidR="009D7677" w:rsidRDefault="009D7677" w:rsidP="009D7677">
      <w:pPr>
        <w:pStyle w:val="TextoNormal"/>
      </w:pPr>
      <w:r w:rsidRPr="009D7677">
        <w:rPr>
          <w:rStyle w:val="NumeroAFNegritaCaracter"/>
        </w:rPr>
        <w:t>5</w:t>
      </w:r>
      <w:r>
        <w:t>. Mediante escrito registrado el 7 de abril de 2022, la representación procesal del Sr. Junqueras i Vies formuló incidente de recusación respecto de los magistrados don Enrique Arnaldo Alcubilla y don Antonio Narváez Rodríguez. Por ATC 82/2022, de 11 de mayo, el Pleno de este tribunal acordó no admitir a trámite la recusación.</w:t>
      </w:r>
    </w:p>
    <w:p w14:paraId="5977617F" w14:textId="77777777" w:rsidR="009D7677" w:rsidRDefault="009D7677" w:rsidP="009D7677">
      <w:pPr>
        <w:pStyle w:val="TextoNormal"/>
      </w:pPr>
    </w:p>
    <w:p w14:paraId="2C3BCBCA" w14:textId="77777777" w:rsidR="009D7677" w:rsidRDefault="009D7677" w:rsidP="009D7677">
      <w:pPr>
        <w:pStyle w:val="TextoNormal"/>
      </w:pPr>
      <w:r w:rsidRPr="009D7677">
        <w:rPr>
          <w:rStyle w:val="NumeroAFNegritaCaracter"/>
        </w:rPr>
        <w:t>6</w:t>
      </w:r>
      <w:r>
        <w:t>. La Secretaría de Justicia de la Sala Segunda de este tribunal, por diligencia de ordenación de 6 de junio de 2022, acordó tener por recibidas las actuaciones practicadas por el Pleno en relación con la recusación, así como tener por personados y parte en este procedimiento: (i) al letrado de las Cortes Generales, don Manuel Delgado-Iribarren García-Campero, en representación de la Junta Electoral Central, que presentó escrito de personación el 6 de abril de 2022; y (ii) al abogado del Estado en la representación que legalmente ostenta, que presentó escrito de personación el 6 de abril de 2022.</w:t>
      </w:r>
    </w:p>
    <w:p w14:paraId="3433CD80" w14:textId="77777777" w:rsidR="009D7677" w:rsidRDefault="009D7677" w:rsidP="009D7677">
      <w:pPr>
        <w:pStyle w:val="TextoNormal"/>
      </w:pPr>
    </w:p>
    <w:p w14:paraId="7176CF23" w14:textId="663F2946" w:rsidR="009D7677" w:rsidRDefault="009D7677" w:rsidP="009D7677">
      <w:pPr>
        <w:pStyle w:val="TextoNormal"/>
      </w:pPr>
      <w:r>
        <w:t>En la misma diligencia de ordenación se acordó, en aplicación de lo dispuesto en el artículo 52 LOTC, dar traslado para alegaciones a las partes personadas y al Ministerio Fiscal, por un plazo común de veinte días.</w:t>
      </w:r>
    </w:p>
    <w:p w14:paraId="6C6011D1" w14:textId="77777777" w:rsidR="009D7677" w:rsidRDefault="009D7677" w:rsidP="009D7677">
      <w:pPr>
        <w:pStyle w:val="TextoNormal"/>
      </w:pPr>
    </w:p>
    <w:p w14:paraId="50906783" w14:textId="77777777" w:rsidR="009D7677" w:rsidRDefault="009D7677" w:rsidP="009D7677">
      <w:pPr>
        <w:pStyle w:val="TextoNormal"/>
      </w:pPr>
      <w:r w:rsidRPr="009D7677">
        <w:rPr>
          <w:rStyle w:val="NumeroAFNegritaCaracter"/>
        </w:rPr>
        <w:t>7</w:t>
      </w:r>
      <w:r>
        <w:t>. Mediante escrito registrado el 5 de julio de 2022, el abogado del Estado presentó su escrito de alegaciones, interesando la desestimación del recurso de amparo.</w:t>
      </w:r>
    </w:p>
    <w:p w14:paraId="00C2A2AD" w14:textId="77777777" w:rsidR="009D7677" w:rsidRDefault="009D7677" w:rsidP="009D7677">
      <w:pPr>
        <w:pStyle w:val="TextoNormal"/>
      </w:pPr>
    </w:p>
    <w:p w14:paraId="5CCA1011" w14:textId="77777777" w:rsidR="009D7677" w:rsidRDefault="009D7677" w:rsidP="009D7677">
      <w:pPr>
        <w:pStyle w:val="TextoNormal"/>
      </w:pPr>
      <w:r>
        <w:t>Tras acotar el objeto del procedimiento y las cuestiones constitucionales que plantea el recurso de amparo, comienza descartando la existencia de discriminación alguna. Con cita de la STC 27/2004, de 4 de marzo, aduce que los precedentes que cita el recurrente no pueden considerarse como término válido de comparación, al referirse a las Cortes Generales. Tampoco sería término válido de comparación el indicado en el recurso de amparo, ni por el momento de su alegación en fase de conclusiones en el recurso contencioso-administrativo ni por las circunstancias concurrentes en el mismo la antigüedad del supuesto y la evolución de la doctrina de la Junta Electoral Central.</w:t>
      </w:r>
    </w:p>
    <w:p w14:paraId="35B255EA" w14:textId="77777777" w:rsidR="009D7677" w:rsidRDefault="009D7677" w:rsidP="009D7677">
      <w:pPr>
        <w:pStyle w:val="TextoNormal"/>
      </w:pPr>
    </w:p>
    <w:p w14:paraId="78102A15" w14:textId="77777777" w:rsidR="009D7677" w:rsidRDefault="009D7677" w:rsidP="009D7677">
      <w:pPr>
        <w:pStyle w:val="TextoNormal"/>
      </w:pPr>
      <w:r>
        <w:t>Rechaza que las resoluciones judiciales impugnadas incurran en falta de motivación. Con fundamento en la doctrina constitucional recogida en la STC 6/2022, de 24 de enero, sostiene que la motivación no puede considerarse irracional ni arbitraria y que concuerda con la doctrina reiterada del Tribunal Supremo, expuesta en sus sentencias núm. 722 y 723 de 2023.</w:t>
      </w:r>
    </w:p>
    <w:p w14:paraId="5EE7CBF3" w14:textId="77777777" w:rsidR="009D7677" w:rsidRDefault="009D7677" w:rsidP="009D7677">
      <w:pPr>
        <w:pStyle w:val="TextoNormal"/>
      </w:pPr>
    </w:p>
    <w:p w14:paraId="413AE7C5" w14:textId="2D0B0160" w:rsidR="009D7677" w:rsidRDefault="009D7677" w:rsidP="009D7677">
      <w:pPr>
        <w:pStyle w:val="TextoNormal"/>
      </w:pPr>
      <w:r>
        <w:t>También descarta la vulneración del art. 24 CE en su vertiente de ejecución de las resoluciones judiciales. Tras la trascripción de parte de la sentencia del Tribunal Supremo recurrida en amparo concluye que no se puede entender que exista un defecto en cuanto al derecho a la ejecución de resoluciones judiciales sino, en cambio, un respeto a la preminencia que tiene la jurisdicción penal.</w:t>
      </w:r>
    </w:p>
    <w:p w14:paraId="36CF6746" w14:textId="77777777" w:rsidR="009D7677" w:rsidRDefault="009D7677" w:rsidP="009D7677">
      <w:pPr>
        <w:pStyle w:val="TextoNormal"/>
      </w:pPr>
    </w:p>
    <w:p w14:paraId="276F3CDF" w14:textId="77777777" w:rsidR="009D7677" w:rsidRDefault="009D7677" w:rsidP="009D7677">
      <w:pPr>
        <w:pStyle w:val="TextoNormal"/>
      </w:pPr>
      <w:r w:rsidRPr="009D7677">
        <w:rPr>
          <w:rStyle w:val="NumeroAFNegritaCaracter"/>
        </w:rPr>
        <w:t>8</w:t>
      </w:r>
      <w:r>
        <w:t>. Mediante escrito registrado en este tribunal el 6 de julio de 2022, la representación procesal de la Junta Electoral Central presentó sus alegaciones en las que, tras acotar el objeto del recurso de amparo y el contexto en que se dictaron las resoluciones recurridas, termina solicitando la desestimación del recurso de amparo.</w:t>
      </w:r>
    </w:p>
    <w:p w14:paraId="31BF17FE" w14:textId="77777777" w:rsidR="009D7677" w:rsidRDefault="009D7677" w:rsidP="009D7677">
      <w:pPr>
        <w:pStyle w:val="TextoNormal"/>
      </w:pPr>
    </w:p>
    <w:p w14:paraId="17C11AEA" w14:textId="77777777" w:rsidR="009D7677" w:rsidRDefault="009D7677" w:rsidP="009D7677">
      <w:pPr>
        <w:pStyle w:val="TextoNormal"/>
      </w:pPr>
      <w:r>
        <w:t>a) Comienza el escrito rebatiendo la denuncia de vulneración del derecho a la tutela efectiva y al derecho de igualdad por el supuesto trato discriminatorio que el demandante de amparo dice haber sufrido. En este sentido, expone el letrado de las Cortes Generales las razones por las que el caso del Sr. Ruiz Mateos, a que alude la demanda de amparo, es distinto del supuesto en que se hallaba el demandante de amparo. En particular destaca que la Junta Electoral Central resolvió siguiendo el criterio fijado por la Sala Segunda del Tribunal Supremo en el auto de 14 de junio de 2019 y que, en todo caso, dicha decisión no suponía la privación del escaño del recurrente ni de sus prerrogativas, sino solo la suspensión temporal de estas hasta la conclusión del proceso penal. Tras señalar que los precedentes del Tribunal Europeo de Derechos Humanos invocados en la demanda de amparo, razona que la exigencia de presencialidad es una medida que persigue, en este caso, una finalidad legítima cual es asegurar los fines del proceso penal, necesaria en una sociedad democrática para la defensa del orden constitucional y la prevención de un delito de especial gravedad y respetuosa con el principio de proporcionalidad.</w:t>
      </w:r>
    </w:p>
    <w:p w14:paraId="32F31B98" w14:textId="77777777" w:rsidR="009D7677" w:rsidRDefault="009D7677" w:rsidP="009D7677">
      <w:pPr>
        <w:pStyle w:val="TextoNormal"/>
      </w:pPr>
    </w:p>
    <w:p w14:paraId="2C8A3546" w14:textId="77777777" w:rsidR="009D7677" w:rsidRDefault="009D7677" w:rsidP="009D7677">
      <w:pPr>
        <w:pStyle w:val="TextoNormal"/>
      </w:pPr>
      <w:r>
        <w:t>Por otro lado, incide en que el requisito de acatamiento a la Constitución de forma presencial ante la Junta Electoral Central se exigió también a los Sres. Puigdemont, Comín y Solé y la Sra. Ponsatí, del mismo modo que al recurrente en amparo.</w:t>
      </w:r>
    </w:p>
    <w:p w14:paraId="7531CB78" w14:textId="77777777" w:rsidR="009D7677" w:rsidRDefault="009D7677" w:rsidP="009D7677">
      <w:pPr>
        <w:pStyle w:val="TextoNormal"/>
      </w:pPr>
    </w:p>
    <w:p w14:paraId="405E4E25" w14:textId="77777777" w:rsidR="009D7677" w:rsidRDefault="009D7677" w:rsidP="009D7677">
      <w:pPr>
        <w:pStyle w:val="TextoNormal"/>
      </w:pPr>
      <w:r>
        <w:t>Por lo que se refiere a los eurodiputados de los otros Estados miembros a quienes no se exige el acatamiento a sus respectivas normas fundamentales, opone el letrado de las Cortes Generales que el Derecho de la Unión Europea se remite a las legislaciones nacionales en todo aquello no regulado en el mismo en materia electoral, por lo que el argumento carece de recorrido.</w:t>
      </w:r>
    </w:p>
    <w:p w14:paraId="076B4A93" w14:textId="77777777" w:rsidR="009D7677" w:rsidRDefault="009D7677" w:rsidP="009D7677">
      <w:pPr>
        <w:pStyle w:val="TextoNormal"/>
      </w:pPr>
    </w:p>
    <w:p w14:paraId="0E16BC7A" w14:textId="77777777" w:rsidR="009D7677" w:rsidRDefault="009D7677" w:rsidP="009D7677">
      <w:pPr>
        <w:pStyle w:val="TextoNormal"/>
      </w:pPr>
      <w:r>
        <w:t>Y en cuanto a la infracción del principio de equivalencia de trato entre los eurodiputados y los diputados del Congreso y los senadores, recuerda que en ambas Cámaras se exige el acatamiento presencial con carácter general, salvo una excepción de alcance muy limitado prevista en el art. 12 del Reglamento del Senado, y que en todo caso lo que pre</w:t>
      </w:r>
      <w:r>
        <w:lastRenderedPageBreak/>
        <w:t>tende el recurrente es inaplicar el requisito previsto en la LOREG para soslayar o menoscabar la previa decisión judicial.</w:t>
      </w:r>
    </w:p>
    <w:p w14:paraId="2CF21C29" w14:textId="77777777" w:rsidR="009D7677" w:rsidRDefault="009D7677" w:rsidP="009D7677">
      <w:pPr>
        <w:pStyle w:val="TextoNormal"/>
      </w:pPr>
    </w:p>
    <w:p w14:paraId="46F8E18F" w14:textId="77777777" w:rsidR="009D7677" w:rsidRDefault="009D7677" w:rsidP="009D7677">
      <w:pPr>
        <w:pStyle w:val="TextoNormal"/>
      </w:pPr>
      <w:r>
        <w:t>b) Acto seguido se opone a la alegación relativa a la vulneración del derecho a la tutela judicial efectiva y al derecho a la igualdad por infracción del Derecho de la Unión Europea. Incide el escrito en que no hay ningún precepto en el Acta Electoral que prohíba exigir como requisito el acatamiento a la Constitución. Tras transcribir diversos pasajes de la STJUE de 19 de diciembre de 2019, señala que de los apartados 86 y 87 de la misma se desprende que la misma no descarta que el candidato electo deba cumplir ciertos requisitos previstos por el Derecho nacional, y por eso declara que goza de inmunidad desde la proclamación oficial de electo para poder cumplir estas formalidades, tanto ante las autoridades nacionales como ante el Parlamento europeo. Razona que la jurisprudencia de la Sala Tercera fijada en las SSTS 722 y 723 de 2020 es conforme con el Derecho de la Unión Europea.</w:t>
      </w:r>
    </w:p>
    <w:p w14:paraId="646F2263" w14:textId="77777777" w:rsidR="009D7677" w:rsidRDefault="009D7677" w:rsidP="009D7677">
      <w:pPr>
        <w:pStyle w:val="TextoNormal"/>
      </w:pPr>
    </w:p>
    <w:p w14:paraId="3AFE3EBF" w14:textId="77777777" w:rsidR="009D7677" w:rsidRDefault="009D7677" w:rsidP="009D7677">
      <w:pPr>
        <w:pStyle w:val="TextoNormal"/>
      </w:pPr>
      <w:r>
        <w:t>c) En cuanto a la alegada vulneración del derecho a la tutela judicial efectiva en su vertiente de ejecución de resoluciones judiciales, afirma el letrado de las Cortes Generales que la demanda de amparo se basa en una premisa que no es cierta, en lo que se refiere al alcance de la cuestión prejudicial planteada por la Sala Segunda. Recuerda que la estimación del recurso de súplica por auto de 9 de enero de 2020 fue parcial y limitada a lo que en dicha resolución expresamente se indica.</w:t>
      </w:r>
    </w:p>
    <w:p w14:paraId="655F29D2" w14:textId="77777777" w:rsidR="009D7677" w:rsidRDefault="009D7677" w:rsidP="009D7677">
      <w:pPr>
        <w:pStyle w:val="TextoNormal"/>
      </w:pPr>
    </w:p>
    <w:p w14:paraId="6639F275" w14:textId="03D71F2A" w:rsidR="009D7677" w:rsidRDefault="009D7677" w:rsidP="009D7677">
      <w:pPr>
        <w:pStyle w:val="TextoNormal"/>
      </w:pPr>
      <w:r>
        <w:t>d) Por último, opone el letrado de las Cortes Generales que la demanda de amparo no ha aportado ningún argumento que justifique la hipotética inconstitucionalidad del art. 224.4 LOREG, por lo que el planteamiento de cuestión de inconstitucionalidad resultaría improcedente.</w:t>
      </w:r>
    </w:p>
    <w:p w14:paraId="3AF4EACE" w14:textId="77777777" w:rsidR="009D7677" w:rsidRDefault="009D7677" w:rsidP="009D7677">
      <w:pPr>
        <w:pStyle w:val="TextoNormal"/>
      </w:pPr>
    </w:p>
    <w:p w14:paraId="3A4BDE48" w14:textId="77777777" w:rsidR="009D7677" w:rsidRDefault="009D7677" w:rsidP="009D7677">
      <w:pPr>
        <w:pStyle w:val="TextoNormal"/>
      </w:pPr>
      <w:r w:rsidRPr="009D7677">
        <w:rPr>
          <w:rStyle w:val="NumeroAFNegritaCaracter"/>
        </w:rPr>
        <w:t>9</w:t>
      </w:r>
      <w:r>
        <w:t>. Por escrito registrado el 27 de julio de 2022, el fiscal ante el Tribunal Constitucional presentó sus alegaciones. Tras exponer los antecedentes del caso y los motivos en que funda el recurso de amparo, interesa la desestimación del mismo, en síntesis, por las siguientes razones:</w:t>
      </w:r>
    </w:p>
    <w:p w14:paraId="5F2AB08A" w14:textId="77777777" w:rsidR="009D7677" w:rsidRDefault="009D7677" w:rsidP="009D7677">
      <w:pPr>
        <w:pStyle w:val="TextoNormal"/>
      </w:pPr>
    </w:p>
    <w:p w14:paraId="1ECC316C" w14:textId="77777777" w:rsidR="009D7677" w:rsidRDefault="009D7677" w:rsidP="009D7677">
      <w:pPr>
        <w:pStyle w:val="TextoNormal"/>
      </w:pPr>
      <w:r>
        <w:t>a) Considera que el hecho de haber perdido la condición de diputado del Parlamento Europeo como consecuencia de la condena a pena privativa de libertad, lo que supone incurrir en causa de inelegibilidad sobrevenida del artículo 6.2 a) LOREG, no implica que el recurso de amparo haya perdido su objeto. Entiende el fiscal que subsiste el interés legítimo del recurrente en recurrir el acuerdo de la Junta Electoral Central de 22 de julio de 2019, al menos en lo que se refiere al período comprendido entre el momento en el que fue proclamado electo y el momento de la pérdida de su condición de eurodiputado.</w:t>
      </w:r>
    </w:p>
    <w:p w14:paraId="3D344965" w14:textId="77777777" w:rsidR="009D7677" w:rsidRDefault="009D7677" w:rsidP="009D7677">
      <w:pPr>
        <w:pStyle w:val="TextoNormal"/>
      </w:pPr>
    </w:p>
    <w:p w14:paraId="2CA33A78" w14:textId="77777777" w:rsidR="009D7677" w:rsidRDefault="009D7677" w:rsidP="009D7677">
      <w:pPr>
        <w:pStyle w:val="TextoNormal"/>
      </w:pPr>
      <w:r>
        <w:t>b) En relación con las alegaciones de incongruencia, arbitrariedad y falta de motivación, afirma que la sentencia recurrida da una respuesta razonable, motivada y congruente a las quejas del recurrente. La sentencia contesta de manera razonada sobre el deber de acatamiento de la Constitución, sobre la inexistencia de una regulación específica sobre la materia en el Derecho de la Unión Europea, sobre la constitucionalidad y legalidad de la actuación de la Junta Electoral Central y la no vulneración de los derechos de igualdad del art. 14 CE y del derecho de participación política del art. 23.2 CE.</w:t>
      </w:r>
    </w:p>
    <w:p w14:paraId="5B73AFCF" w14:textId="77777777" w:rsidR="009D7677" w:rsidRDefault="009D7677" w:rsidP="009D7677">
      <w:pPr>
        <w:pStyle w:val="TextoNormal"/>
      </w:pPr>
    </w:p>
    <w:p w14:paraId="3739CF51" w14:textId="77777777" w:rsidR="009D7677" w:rsidRDefault="009D7677" w:rsidP="009D7677">
      <w:pPr>
        <w:pStyle w:val="TextoNormal"/>
      </w:pPr>
      <w:r>
        <w:lastRenderedPageBreak/>
        <w:t>c) Afirma que, conforme a nuestro Derecho interno y la doctrina constitucional, el acatamiento aparece como un requisito exigible a los diputados del Parlamento Europeo para gozar de la plenitud de las prerrogativas que les pudieran corresponder por el cargo. Además, afirma que la STJUE de 19 de diciembre de 2019 no excluye que se deba cumplir el requisito del acatamiento a la Constitución establecido en el art. 224.2 LOREG ni que se pueda exigir su realización mediante procedimientos distintos de los establecidos legalmente.</w:t>
      </w:r>
    </w:p>
    <w:p w14:paraId="22460584" w14:textId="77777777" w:rsidR="009D7677" w:rsidRDefault="009D7677" w:rsidP="009D7677">
      <w:pPr>
        <w:pStyle w:val="TextoNormal"/>
      </w:pPr>
    </w:p>
    <w:p w14:paraId="19FEE807" w14:textId="77777777" w:rsidR="009D7677" w:rsidRDefault="009D7677" w:rsidP="009D7677">
      <w:pPr>
        <w:pStyle w:val="TextoNormal"/>
      </w:pPr>
      <w:r>
        <w:t>d) En relación con la pretendida vulneración de derechos fundamentales derivada de la infracción del Derecho de la Unión Europea, comienza señalando el Ministerio Fiscal que si bien no corresponde al Tribunal Constitucional controlar la adecuación de la actividad de los jueces nacionales al Derecho de la Unión Europea (STC 75/2017, FJ 2), sí debe velar por el respeto del principio de primacía en los casos en que el Tribunal de Justicia de la Unión Europea haya efectuado una interpretación auténtica de la norma recurrida.</w:t>
      </w:r>
    </w:p>
    <w:p w14:paraId="3084A51D" w14:textId="77777777" w:rsidR="009D7677" w:rsidRDefault="009D7677" w:rsidP="009D7677">
      <w:pPr>
        <w:pStyle w:val="TextoNormal"/>
      </w:pPr>
    </w:p>
    <w:p w14:paraId="29C1964D" w14:textId="77777777" w:rsidR="009D7677" w:rsidRDefault="009D7677" w:rsidP="009D7677">
      <w:pPr>
        <w:pStyle w:val="TextoNormal"/>
      </w:pPr>
      <w:r>
        <w:t>Tras exponer varios fragmentos de la STJUE de 19 de diciembre de 2019, afirma que la misma no se pronuncia sobre el alcance de la falta de acatamiento exigido por el art. 224.2 LOREG y que las normas del Derecho de la Unión Europea alegadas por el demandante de amparo no contienen referencia alguna que se oponga a la exigencia de tal requisito.</w:t>
      </w:r>
    </w:p>
    <w:p w14:paraId="2C63492E" w14:textId="77777777" w:rsidR="009D7677" w:rsidRDefault="009D7677" w:rsidP="009D7677">
      <w:pPr>
        <w:pStyle w:val="TextoNormal"/>
      </w:pPr>
    </w:p>
    <w:p w14:paraId="64D4E009" w14:textId="77777777" w:rsidR="009D7677" w:rsidRDefault="009D7677" w:rsidP="009D7677">
      <w:pPr>
        <w:pStyle w:val="TextoNormal"/>
      </w:pPr>
      <w:r>
        <w:t>e) En opinión del fiscal, el análisis de la pretendida vulneración del derecho de participación política del art. 23 CE debe hacerse a partir de las razones expuestas por la Junta Electoral Central para denegar lo solicitado. Recuerda que el acuerdo de 22 de julio de 2019 se fundamentó en que la administración electoral no podía adoptar ninguna medida que pudiera interferir ni menoscabar las resoluciones adoptadas por la Sala Segunda del Tribunal Supremo, y todo ello en virtud del deber de colaboración con la jurisdicción penal por la situación de prisión provisional en que se encontraba el Sr. Junqueras.</w:t>
      </w:r>
    </w:p>
    <w:p w14:paraId="02FB608F" w14:textId="77777777" w:rsidR="009D7677" w:rsidRDefault="009D7677" w:rsidP="009D7677">
      <w:pPr>
        <w:pStyle w:val="TextoNormal"/>
      </w:pPr>
    </w:p>
    <w:p w14:paraId="1B34202B" w14:textId="77777777" w:rsidR="009D7677" w:rsidRDefault="009D7677" w:rsidP="009D7677">
      <w:pPr>
        <w:pStyle w:val="TextoNormal"/>
      </w:pPr>
      <w:r>
        <w:t xml:space="preserve">Entiende que el soporte argumental que fundamentó el acuerdo de 22 de julio de 2019 no se ha visto alterado por el auto de 9 de enero de 2020 que mantuvo la prisión preventiva del recurrente. Por ello, entiende que el derecho fundamental </w:t>
      </w:r>
      <w:r w:rsidRPr="009D7677">
        <w:rPr>
          <w:i/>
        </w:rPr>
        <w:t>ex</w:t>
      </w:r>
      <w:r>
        <w:t xml:space="preserve"> art. 23 CE no resultó desconocido por la Junta Electoral Central, sino que lo determinante del acuerdo denegatorio recurrido se halla en el respeto a lo dispuesto en el art. 118 CE y, por ende, a las resoluciones judiciales relativas a la situación personal del recurrente, privado provisionalmente de libertad en la causa penal que se seguía contra el mismo. El acuerdo de la Junta Electoral Central no podía ser distinto del que tomó sin menoscabar la integridad de la jurisdicción penal y contradecir el mandato constitucional del art. 118 CE.</w:t>
      </w:r>
    </w:p>
    <w:p w14:paraId="016BF21C" w14:textId="77777777" w:rsidR="009D7677" w:rsidRDefault="009D7677" w:rsidP="009D7677">
      <w:pPr>
        <w:pStyle w:val="TextoNormal"/>
      </w:pPr>
    </w:p>
    <w:p w14:paraId="4F4A1E42" w14:textId="77777777" w:rsidR="009D7677" w:rsidRDefault="009D7677" w:rsidP="009D7677">
      <w:pPr>
        <w:pStyle w:val="TextoNormal"/>
      </w:pPr>
      <w:r>
        <w:t>A partir de este razonamiento, entiende que la restricción al pleno ejercicio del derecho de participación política aparece justificada, responde a un fin legítimo y resulta proporcionada.</w:t>
      </w:r>
    </w:p>
    <w:p w14:paraId="2DFF78A9" w14:textId="77777777" w:rsidR="009D7677" w:rsidRDefault="009D7677" w:rsidP="009D7677">
      <w:pPr>
        <w:pStyle w:val="TextoNormal"/>
      </w:pPr>
    </w:p>
    <w:p w14:paraId="603A69B9" w14:textId="77777777" w:rsidR="009D7677" w:rsidRDefault="009D7677" w:rsidP="009D7677">
      <w:pPr>
        <w:pStyle w:val="TextoNormal"/>
      </w:pPr>
      <w:r>
        <w:t>f) Se opone también a la pretendida vulneración del principio de igualdad.</w:t>
      </w:r>
    </w:p>
    <w:p w14:paraId="04780518" w14:textId="77777777" w:rsidR="009D7677" w:rsidRDefault="009D7677" w:rsidP="009D7677">
      <w:pPr>
        <w:pStyle w:val="TextoNormal"/>
      </w:pPr>
    </w:p>
    <w:p w14:paraId="264F15A7" w14:textId="77777777" w:rsidR="009D7677" w:rsidRDefault="009D7677" w:rsidP="009D7677">
      <w:pPr>
        <w:pStyle w:val="TextoNormal"/>
      </w:pPr>
      <w:r>
        <w:t xml:space="preserve">(i) En relación con la comparación entre su situación y la del Sr. Ruiz Mateos, rechaza que la sentencia del Tribunal Supremo incurra en incongruencia pues el demandante de amparo planteó esta cuestión en fase de conclusiones y no en la demanda, que es el acto procesal que determina el objeto del recurso y que, en todo caso, el Tribunal Supremo dio </w:t>
      </w:r>
      <w:r>
        <w:lastRenderedPageBreak/>
        <w:t>respuesta a esta cuestión en la providencia de inadmisión del incidente de nulidad de actuaciones. En todo caso, su situación no coincide con la del Sr. Ruiz Mateos, pues este no se hallaba privado de libertad, sino que la imposibilidad de cumplir presencialmente el requisito de acatamiento venía motivada por razones de salud.</w:t>
      </w:r>
    </w:p>
    <w:p w14:paraId="37343B7D" w14:textId="77777777" w:rsidR="009D7677" w:rsidRDefault="009D7677" w:rsidP="009D7677">
      <w:pPr>
        <w:pStyle w:val="TextoNormal"/>
      </w:pPr>
    </w:p>
    <w:p w14:paraId="5404EDA5" w14:textId="77777777" w:rsidR="009D7677" w:rsidRDefault="009D7677" w:rsidP="009D7677">
      <w:pPr>
        <w:pStyle w:val="TextoNormal"/>
      </w:pPr>
      <w:r>
        <w:t>(ii) Tampoco aprecia discriminación respecto de los diputados al Parlamento Europeo de otros Estados miembros, porque la diferencia de trato viene justificada por la remisión que hace el Derecho de la Unión Europea a las disposiciones nacionales de los Estados miembros en todo lo no previsto en el Acta electoral europea.</w:t>
      </w:r>
    </w:p>
    <w:p w14:paraId="7D6B38EE" w14:textId="77777777" w:rsidR="009D7677" w:rsidRDefault="009D7677" w:rsidP="009D7677">
      <w:pPr>
        <w:pStyle w:val="TextoNormal"/>
      </w:pPr>
    </w:p>
    <w:p w14:paraId="6BDD8652" w14:textId="77777777" w:rsidR="009D7677" w:rsidRDefault="009D7677" w:rsidP="009D7677">
      <w:pPr>
        <w:pStyle w:val="TextoNormal"/>
      </w:pPr>
      <w:r>
        <w:t>(iii) En cuanto a los diputados y senadores, niega que haya padecido discriminación pues tanto el Reglamento del Congreso como el del Senado exigen el acatamiento presencial, con una mínima excepción en el caso de este último, que contempla la enfermedad y la imposibilidad física como circunstancias para posponer la obligación de acatamiento. Por lo tanto, no hay una aplicación normativa diferente.</w:t>
      </w:r>
    </w:p>
    <w:p w14:paraId="672F29D2" w14:textId="77777777" w:rsidR="009D7677" w:rsidRDefault="009D7677" w:rsidP="009D7677">
      <w:pPr>
        <w:pStyle w:val="TextoNormal"/>
      </w:pPr>
    </w:p>
    <w:p w14:paraId="1DF80A07" w14:textId="77777777" w:rsidR="009D7677" w:rsidRDefault="009D7677" w:rsidP="009D7677">
      <w:pPr>
        <w:pStyle w:val="TextoNormal"/>
      </w:pPr>
      <w:r>
        <w:t>(iv) En relación con los Sres. Puigdemont, Comín y Solé y la Sra. Ponsatí, recuerda que este requisito ha sido igualmente exigido por la Junta Electoral Central, en los mismos términos que al recurrente. Cuestión distinta son los efectos de facto que se reconocen como consecuencia de la proclamación de diputados por el presidente del Parlamento Europeo.</w:t>
      </w:r>
    </w:p>
    <w:p w14:paraId="16C52A75" w14:textId="77777777" w:rsidR="009D7677" w:rsidRDefault="009D7677" w:rsidP="009D7677">
      <w:pPr>
        <w:pStyle w:val="TextoNormal"/>
      </w:pPr>
    </w:p>
    <w:p w14:paraId="13DCABF9" w14:textId="77777777" w:rsidR="009D7677" w:rsidRDefault="009D7677" w:rsidP="009D7677">
      <w:pPr>
        <w:pStyle w:val="TextoNormal"/>
      </w:pPr>
      <w:r>
        <w:t>g) En cuanto a la vulneración del derecho a la tutela judicial efectiva, en su vertiente de ejecución de resoluciones judiciales, el Ministerio Fiscal entiende que lo que el recurrente pretende es proyectar sobre el acuerdo de la Junta Electoral Central de 22 de julio de 2019 la eficacia de lo declarado en el auto de 9 de enero de 2020 de la Sala Segunda del Tribunal Supremo. Por esta razón, apunta que el contenido del derecho fundamental que se alega exige un pronunciamiento judicial firme que se ejecuta, lo que no existe en el presente caso. El acuerdo electoral que se impugna no es un acto de ejecución de la situación de prisión provisional del recurrente, sino que es consecuencia de la aplicación del art. 224.2 LOREG, conforme a la Constitución.</w:t>
      </w:r>
    </w:p>
    <w:p w14:paraId="0165CFF5" w14:textId="77777777" w:rsidR="009D7677" w:rsidRDefault="009D7677" w:rsidP="009D7677">
      <w:pPr>
        <w:pStyle w:val="TextoNormal"/>
      </w:pPr>
    </w:p>
    <w:p w14:paraId="25E26D7E" w14:textId="7EEEA312" w:rsidR="009D7677" w:rsidRDefault="009D7677" w:rsidP="009D7677">
      <w:pPr>
        <w:pStyle w:val="TextoNormal"/>
      </w:pPr>
      <w:r>
        <w:t>h) Por último, se opone al planteamiento de cuestión de inconstitucionalidad pues el recurrente no ha puesto de manifiesto ningún argumento que evidencie la contradicción del art. 224.2 LOREG con la Constitución. Con cita de la STC 119/1990, de 21 de junio, niega que exista dicha contradicción. En cuanto a la pretendida vulneración del Derecho de la Unión Europea, sostiene el mismo no integra en sí mismo el canon de constitucionalidad de las normas legales.</w:t>
      </w:r>
    </w:p>
    <w:p w14:paraId="3AE3D0EB" w14:textId="77777777" w:rsidR="009D7677" w:rsidRDefault="009D7677" w:rsidP="009D7677">
      <w:pPr>
        <w:pStyle w:val="TextoNormal"/>
      </w:pPr>
    </w:p>
    <w:p w14:paraId="3A3A94E7" w14:textId="746F40A0" w:rsidR="009D7677" w:rsidRDefault="009D7677" w:rsidP="009D7677">
      <w:pPr>
        <w:pStyle w:val="TextoNormal"/>
      </w:pPr>
      <w:r w:rsidRPr="009D7677">
        <w:rPr>
          <w:rStyle w:val="NumeroAFNegritaCaracter"/>
        </w:rPr>
        <w:t>10</w:t>
      </w:r>
      <w:r>
        <w:t>. El demandante de amparo no ha presentado alegaciones.</w:t>
      </w:r>
    </w:p>
    <w:p w14:paraId="3FE7952A" w14:textId="77777777" w:rsidR="009D7677" w:rsidRDefault="009D7677" w:rsidP="009D7677">
      <w:pPr>
        <w:pStyle w:val="TextoNormal"/>
      </w:pPr>
    </w:p>
    <w:p w14:paraId="168F1ED4" w14:textId="59396FCD" w:rsidR="009D7677" w:rsidRDefault="009D7677" w:rsidP="009D7677">
      <w:pPr>
        <w:pStyle w:val="TextoNormal"/>
      </w:pPr>
      <w:r w:rsidRPr="009D7677">
        <w:rPr>
          <w:rStyle w:val="NumeroAFNegritaCaracter"/>
        </w:rPr>
        <w:t>11</w:t>
      </w:r>
      <w:r>
        <w:t>. Por providencia de 24 de octubre de 2022, la Sala Segunda acordó, de conformidad con lo dispuesto en el art. 10.1 n) LOTC, proponer al Pleno la avocación del presente recurso de amparo. La avocación propuesta fue aceptada por el Pleno, que recabó para sí el conocimiento del recurso mediante providencia de 26 de octubre de 2022.</w:t>
      </w:r>
    </w:p>
    <w:p w14:paraId="39EE655A" w14:textId="77777777" w:rsidR="009D7677" w:rsidRDefault="009D7677" w:rsidP="009D7677">
      <w:pPr>
        <w:pStyle w:val="TextoNormal"/>
      </w:pPr>
    </w:p>
    <w:p w14:paraId="34A21F87" w14:textId="4AA05449" w:rsidR="009D7677" w:rsidRDefault="009D7677" w:rsidP="009D7677">
      <w:pPr>
        <w:pStyle w:val="TextoNormal"/>
      </w:pPr>
      <w:r w:rsidRPr="009D7677">
        <w:rPr>
          <w:rStyle w:val="NumeroAFNegritaCaracter"/>
        </w:rPr>
        <w:lastRenderedPageBreak/>
        <w:t>12</w:t>
      </w:r>
      <w:r>
        <w:t>. Por providencia de 27 de febrero de 2024, se señaló para deliberación y votación de la presente sentencia el día 28 del mimo mes y año.</w:t>
      </w:r>
    </w:p>
    <w:p w14:paraId="1D058C92" w14:textId="77777777" w:rsidR="009D7677" w:rsidRDefault="009D7677" w:rsidP="009D7677">
      <w:pPr>
        <w:pStyle w:val="TextoNormal"/>
      </w:pPr>
    </w:p>
    <w:p w14:paraId="696C15D8" w14:textId="77777777" w:rsidR="009D7677" w:rsidRDefault="009D7677" w:rsidP="009D7677">
      <w:pPr>
        <w:pStyle w:val="TextoNormalNegritaCentrado"/>
        <w:keepNext/>
      </w:pPr>
      <w:r>
        <w:t>II. Fundamentos jurídicos</w:t>
      </w:r>
    </w:p>
    <w:p w14:paraId="6FAF9A7E" w14:textId="3EC6BDCC" w:rsidR="009D7677" w:rsidRDefault="009D7677" w:rsidP="009D7677">
      <w:pPr>
        <w:pStyle w:val="TextoNormalNegritaCentrado"/>
        <w:keepNext/>
      </w:pPr>
    </w:p>
    <w:p w14:paraId="05313FED" w14:textId="77777777" w:rsidR="009D7677" w:rsidRDefault="009D7677" w:rsidP="009D7677">
      <w:pPr>
        <w:pStyle w:val="TextoNormal"/>
      </w:pPr>
      <w:r w:rsidRPr="009D7677">
        <w:rPr>
          <w:rStyle w:val="TextoNormalNegritaCaracter"/>
        </w:rPr>
        <w:t xml:space="preserve">Único. </w:t>
      </w:r>
      <w:r w:rsidRPr="009D7677">
        <w:rPr>
          <w:i/>
        </w:rPr>
        <w:t>Objeto del recurso de amparo y aplicación de la doctrina sentada en las SSTC 144/2022, de 15 de noviembre, y 148/2022, de 29 de noviembre</w:t>
      </w:r>
    </w:p>
    <w:p w14:paraId="158DD91A" w14:textId="77777777" w:rsidR="009D7677" w:rsidRDefault="009D7677" w:rsidP="009D7677">
      <w:pPr>
        <w:pStyle w:val="TextoNormal"/>
      </w:pPr>
    </w:p>
    <w:p w14:paraId="35C156DF" w14:textId="77777777" w:rsidR="009D7677" w:rsidRDefault="009D7677" w:rsidP="009D7677">
      <w:pPr>
        <w:pStyle w:val="TextoNormal"/>
      </w:pPr>
      <w:r>
        <w:t>El recurso de amparo se dirige contra el acuerdo de la Junta Electoral Central de 22 de julio de 2019, adoptado en el expediente núm. 561-76, por el que se denegó al actor la posibilidad de emplear medios distintos a la comparecencia personal ante la Junta Electoral Central para el acto de promesa de acatamiento de la Constitución y del resto del ordenamiento jurídico para completar los trámites de acceso a la condición de parlamentario europeo, así como frente a la sentencia 431/2021, de 24 de marzo, de la Sección Cuarta de la Sala de lo Contencioso-Administrativo del Tribunal Supremo, por la que se desestimó el recurso contencioso-administrativo ordinario núm. 353-2019 interpuesto contra el referido acuerdo de la Junta Electoral Central y la providencia de 17 de mayo de 2021 por la que se acordó inadmitir el incidente de nulidad de actuaciones promovido contra dicha sentencia.</w:t>
      </w:r>
    </w:p>
    <w:p w14:paraId="7198B6CF" w14:textId="77777777" w:rsidR="009D7677" w:rsidRDefault="009D7677" w:rsidP="009D7677">
      <w:pPr>
        <w:pStyle w:val="TextoNormal"/>
      </w:pPr>
    </w:p>
    <w:p w14:paraId="408429CA" w14:textId="77777777" w:rsidR="009D7677" w:rsidRDefault="009D7677" w:rsidP="009D7677">
      <w:pPr>
        <w:pStyle w:val="TextoNormal"/>
      </w:pPr>
      <w:r>
        <w:t>Como resulta del relato de antecedentes, el objeto principal del presente recurso de amparo consiste en determinar si la resolución de la Junta Electoral Central, ratificada judicialmente, constituye una limitación ilegítima de su derecho a acceder y ejercer conforme a la ley, en condiciones de igualdad, el cargo público representativo (art. 23.2 CE) y del correlativo derecho de los ciudadanos a participar en las funciones públicas a través de sus representantes (art. 23.1 CE). La finalidad declarada de la impugnación del acuerdo de la Junta Electoral Central era acceder plenamente al ejercicio del cargo electivo de europarlamentario a pesar de no haber dado cumplimiento presencial al requisito de acatamiento de la Constitución, recogido en el art. 224.4 LOREG. A esta pretensión nuclear son funcionales el resto de motivos en los que se fundamenta el recurso de amparo.</w:t>
      </w:r>
    </w:p>
    <w:p w14:paraId="31A7CD47" w14:textId="77777777" w:rsidR="009D7677" w:rsidRDefault="009D7677" w:rsidP="009D7677">
      <w:pPr>
        <w:pStyle w:val="TextoNormal"/>
      </w:pPr>
    </w:p>
    <w:p w14:paraId="6CE80F6B" w14:textId="77777777" w:rsidR="009D7677" w:rsidRDefault="009D7677" w:rsidP="009D7677">
      <w:pPr>
        <w:pStyle w:val="TextoNormal"/>
      </w:pPr>
      <w:r>
        <w:t>El objeto de este recurso de amparo es semejante a otros entablados ante este tribunal frente a otros acuerdos de la Junta Electoral Central, dictados paralelamente en el tiempo respecto de otros diputados electos al Parlamento Europeo, en los que al igual que en el caso presente se rechaza la posibilidad de cumplimiento no presencial del requisito de acatamiento de la Constitución y, en tanto no se ha efectuado por el recurrente, se declara vacante su escaño y suspendidas sus prerrogativas hasta que se produzca tal acatamiento, comunicándolo al Parlamento Europeo, así como contra las resoluciones judiciales recaídas en el recurso contencioso-administrativo núm. 353-2019. La coincidencia sustancial en el objeto del recurso de amparo y los motivos de amparo, bien es cierto que proyectados a resoluciones diversas e incluso dictadas en procedimientos judiciales distintos, pero atinentes en todo caso al acceso pleno al ejercicio del cargo electivo de parlamentario europeo que pretendía la parte actora, conduce a este tribunal a resolver el presente proceso constitucional conforme a los términos fijados en la STC 144/2022 y la STC 148/2022.</w:t>
      </w:r>
    </w:p>
    <w:p w14:paraId="473384E7" w14:textId="77777777" w:rsidR="009D7677" w:rsidRDefault="009D7677" w:rsidP="009D7677">
      <w:pPr>
        <w:pStyle w:val="TextoNormal"/>
      </w:pPr>
    </w:p>
    <w:p w14:paraId="5A4F302D" w14:textId="77777777" w:rsidR="009D7677" w:rsidRDefault="009D7677" w:rsidP="009D7677">
      <w:pPr>
        <w:pStyle w:val="TextoNormal"/>
      </w:pPr>
      <w:r>
        <w:t xml:space="preserve">Del mismo modo que en la STC 144/2022 y la STC 148/2022, debemos tomar en consideración la circunstancia de que, en la sesión plenaria de 13 de enero de 2020, a raíz de </w:t>
      </w:r>
      <w:r>
        <w:lastRenderedPageBreak/>
        <w:t xml:space="preserve">la STJUE de 19 de diciembre de 2019, asunto </w:t>
      </w:r>
      <w:r w:rsidRPr="009D7677">
        <w:rPr>
          <w:i/>
        </w:rPr>
        <w:t>Junqueras Vies</w:t>
      </w:r>
      <w:r>
        <w:t>, C-502/19, se hizo efectivo el reconocimiento del recurrente por el Parlamento Europeo como diputado con efectos retroactivos a partir del 2 de julio de 2019, fecha en la que se celebró su primera sesión tras las elecciones de 26 de mayo de 2019.</w:t>
      </w:r>
    </w:p>
    <w:p w14:paraId="0847EC26" w14:textId="77777777" w:rsidR="009D7677" w:rsidRDefault="009D7677" w:rsidP="009D7677">
      <w:pPr>
        <w:pStyle w:val="TextoNormal"/>
      </w:pPr>
    </w:p>
    <w:p w14:paraId="486CB231" w14:textId="77777777" w:rsidR="009D7677" w:rsidRDefault="009D7677" w:rsidP="009D7677">
      <w:pPr>
        <w:pStyle w:val="TextoNormal"/>
      </w:pPr>
      <w:r>
        <w:t>La relevancia de esta circunstancia entronca con la pretensión del demandante en todas las instancias y procedimientos de acceder sin restricciones ni dilación al ejercicio del cargo de diputado europeo tras la proclamación por la Junta Electoral Central de los diputados electos el 13 de junio de 2019. Esa pretensión ha obtenido satisfacción extraprocesal por la decisión del Parlamento Europeo de 13 de enero de 2020, previa a la interposición del presente recurso de amparo.</w:t>
      </w:r>
    </w:p>
    <w:p w14:paraId="5A5241F5" w14:textId="77777777" w:rsidR="009D7677" w:rsidRDefault="009D7677" w:rsidP="009D7677">
      <w:pPr>
        <w:pStyle w:val="TextoNormal"/>
      </w:pPr>
    </w:p>
    <w:p w14:paraId="6759755B" w14:textId="77777777" w:rsidR="009D7677" w:rsidRDefault="009D7677" w:rsidP="009D7677">
      <w:pPr>
        <w:pStyle w:val="TextoNormal"/>
      </w:pPr>
      <w:r>
        <w:t>Como recordamos en la STC 144/2022, FJ 3, “la satisfacción extraprocesal de las pretensiones formuladas en amparo y la desaparición sobrevenida del objeto del proceso, aun cuando no contempladas expresamente en el artículo 86.1 LOTC (pero sí en el art. 22 de la Ley de enjuiciamiento civil), han sido admitidas por este tribunal como una de las formas de terminación de los distintos procesos constitucionales [entre otras, SSTC 42/1982, de 4 de julio; 151/1990, de 4 de octubre, FJ 4; 139/1992, de 13 de octubre, FJ 2; 57/1993, de 15 de febrero, FJ único; 69/1997, de 8 de abril, FJ 4; 257/2000, de 30 de octubre, FJ 1; 10/2001, de 29 de enero, FJ 2; 73/2018, de 5 de julio, FJ 2; 52/2021, de 15 de marzo, FJ 2 b), y 120/2021, de 31 de mayo, FJ 2]. Así lo hemos apreciado en numerosos procesos como el presente pues, el recurso de amparo es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En tal medida, con carácter general, hemos rechazado las pretensiones puramente declarativas desvinculadas de una lesión actual, real y efectiva del derecho invocado (STC 131/1998, de 16 de junio, FJ 2). Por ello, cuando la pretensión ejercitada dirigida al restablecimiento o la preservación de aquellos derechos se ha visto satisfecha fuera del propio proceso de amparo y la lesión constitucional denunciada no pervive, debe concluirse que este carece desde ese momento de objeto sobre el que deba pronunciarse este tribunal (SSTC 73/2018, FJ 2; 52/2019, de 11 de abril, FJ 3, y 161/2020, de 16 de noviembre, FJ único)”.</w:t>
      </w:r>
    </w:p>
    <w:p w14:paraId="60ED8E88" w14:textId="77777777" w:rsidR="009D7677" w:rsidRDefault="009D7677" w:rsidP="009D7677">
      <w:pPr>
        <w:pStyle w:val="TextoNormal"/>
      </w:pPr>
    </w:p>
    <w:p w14:paraId="5793AD84" w14:textId="77777777" w:rsidR="009D7677" w:rsidRDefault="009D7677" w:rsidP="009D7677">
      <w:pPr>
        <w:pStyle w:val="TextoNormal"/>
      </w:pPr>
      <w:r>
        <w:t xml:space="preserve">El pleno reconocimiento del recurrente como diputado del Parlamento Europeo el 13 de enero de 2020, pero con efectos retroactivos a la fecha de la primera sesión de la legislatura de 2 de julio de 2019, supone una reparación </w:t>
      </w:r>
      <w:r w:rsidRPr="009D7677">
        <w:rPr>
          <w:i/>
        </w:rPr>
        <w:t>de facto</w:t>
      </w:r>
      <w:r>
        <w:t xml:space="preserve"> de los derechos fundamentales que de forma nuclear constituye el contenido de la pretensión de amparo, lo que permite apreciar la extinción del objeto de la pretensión de amparo formulada por no subsistir al tiempo de la formulación de la demanda los efectos de la decisión de la Junta Electoral Central cuestionada.</w:t>
      </w:r>
    </w:p>
    <w:p w14:paraId="2D54EFDD" w14:textId="77777777" w:rsidR="009D7677" w:rsidRDefault="009D7677" w:rsidP="009D7677">
      <w:pPr>
        <w:pStyle w:val="TextoNormal"/>
      </w:pPr>
    </w:p>
    <w:p w14:paraId="5D6C2675" w14:textId="39361BE8" w:rsidR="009D7677" w:rsidRDefault="009D7677" w:rsidP="009D7677">
      <w:pPr>
        <w:pStyle w:val="TextoNormal"/>
      </w:pPr>
      <w:r>
        <w:t xml:space="preserve">La desestimación por esta razón, no por razones de fondo, hace innecesario el análisis del resto de pretensiones de amparo planteadas de forma derivada o subsidiaria que están relacionadas y cuestionan la revisión judicial de la decisión de la Junta Electoral Central, pues todas ellas reiteran o tienen que ver de forma decisiva con la primera pretensión, cuya desestimación hemos acordado. No cabe olvidar que, en este caso, como también constató la STC 144/2022 respecto a las resoluciones judiciales entonces impugnadas, la actuación jurisdiccional reclamada lo era únicamente en su doble condición de revisora de la </w:t>
      </w:r>
      <w:r>
        <w:lastRenderedPageBreak/>
        <w:t>actuación de la Junta Electoral Central y garante de los derechos fundamentales afectados por sus decisiones, por lo que la satisfacción extraprocesal de la pretensión principal se extiende a sus derivadas.</w:t>
      </w:r>
    </w:p>
    <w:p w14:paraId="1092208C" w14:textId="77777777" w:rsidR="009D7677" w:rsidRDefault="009D7677" w:rsidP="009D7677">
      <w:pPr>
        <w:pStyle w:val="TextoNormal"/>
      </w:pPr>
    </w:p>
    <w:p w14:paraId="16B028C7" w14:textId="77777777" w:rsidR="009D7677" w:rsidRDefault="009D7677" w:rsidP="009D7677">
      <w:pPr>
        <w:pStyle w:val="TextoNormalCentrado"/>
        <w:keepNext/>
      </w:pPr>
      <w:r>
        <w:t>FALLO</w:t>
      </w:r>
    </w:p>
    <w:p w14:paraId="3BB5BD35" w14:textId="462864CF" w:rsidR="009D7677" w:rsidRDefault="009D7677" w:rsidP="009D7677">
      <w:pPr>
        <w:pStyle w:val="TextoNormalCentrado"/>
        <w:keepNext/>
      </w:pPr>
    </w:p>
    <w:p w14:paraId="54E3BE62" w14:textId="18DDB8F4" w:rsidR="009D7677" w:rsidRDefault="009D7677" w:rsidP="009D7677">
      <w:pPr>
        <w:pStyle w:val="TextoNormal"/>
      </w:pPr>
      <w:r>
        <w:t>En atención a todo lo expuesto, el Tribunal Constitucional, por la autoridad que le confiere la Constitución de la Nación española, ha decidido desestimar el recurso de amparo interpuesto por don Oriol Junqueras i Vies como consecuencia de la satisfacción extraprocesal de las pretensiones planteadas, lo que supone su pérdida de objeto.</w:t>
      </w:r>
    </w:p>
    <w:p w14:paraId="4F4F2AC7" w14:textId="77777777" w:rsidR="009D7677" w:rsidRDefault="009D7677" w:rsidP="009D7677">
      <w:pPr>
        <w:pStyle w:val="TextoNormal"/>
      </w:pPr>
    </w:p>
    <w:p w14:paraId="2F53A3C2" w14:textId="77777777" w:rsidR="009D7677" w:rsidRDefault="009D7677" w:rsidP="009D7677">
      <w:pPr>
        <w:pStyle w:val="TextoNormal"/>
      </w:pPr>
      <w:r>
        <w:t>Publíquese esta sentencia en el “Boletín Oficial del Estado”.</w:t>
      </w:r>
    </w:p>
    <w:p w14:paraId="3743CD43" w14:textId="77777777" w:rsidR="009D7677" w:rsidRDefault="009D7677" w:rsidP="009D7677">
      <w:pPr>
        <w:pStyle w:val="TextoNormal"/>
      </w:pPr>
      <w:r>
        <w:t>Dada en Madrid, a veintiocho de febrero de dos mil veinticuatro.</w:t>
      </w:r>
    </w:p>
    <w:p w14:paraId="3D8F625C" w14:textId="40BD2882" w:rsidR="009D7677" w:rsidRDefault="009D7677">
      <w:pPr>
        <w:spacing w:after="160" w:line="259" w:lineRule="auto"/>
        <w:rPr>
          <w:rFonts w:ascii="Times New Roman" w:eastAsia="Times New Roman" w:hAnsi="Times New Roman" w:cs="Times New Roman"/>
          <w:sz w:val="24"/>
          <w:szCs w:val="24"/>
          <w:lang w:eastAsia="es-ES"/>
        </w:rPr>
      </w:pPr>
      <w:r>
        <w:br w:type="page"/>
      </w:r>
    </w:p>
    <w:p w14:paraId="0261FDBF" w14:textId="77777777" w:rsidR="009D7677" w:rsidRDefault="009D7677" w:rsidP="009D7677">
      <w:pPr>
        <w:pStyle w:val="TtuloResolucin"/>
      </w:pPr>
      <w:bookmarkStart w:id="34" w:name="SENTENCIA_2024_32"/>
      <w:r>
        <w:lastRenderedPageBreak/>
        <w:t>SENTENCIA 32/2024, de 28 de febrero de 2024</w:t>
      </w:r>
    </w:p>
    <w:bookmarkEnd w:id="34"/>
    <w:p w14:paraId="3759E187" w14:textId="77777777" w:rsidR="009D7677" w:rsidRDefault="009D7677" w:rsidP="009D7677">
      <w:pPr>
        <w:pStyle w:val="TtuloResolucin"/>
      </w:pPr>
      <w:r>
        <w:t>Pleno</w:t>
      </w:r>
    </w:p>
    <w:p w14:paraId="2D73F117" w14:textId="77777777" w:rsidR="009D7677" w:rsidRDefault="009D7677" w:rsidP="009D7677">
      <w:pPr>
        <w:pStyle w:val="TtuloBOE"/>
      </w:pPr>
      <w:r>
        <w:t>(BOE núm. 82, de 3 de abril de 2024)</w:t>
      </w:r>
    </w:p>
    <w:p w14:paraId="144029FC" w14:textId="77777777" w:rsidR="009D7677" w:rsidRDefault="009D7677" w:rsidP="009D7677">
      <w:pPr>
        <w:pStyle w:val="TextoNormalCentrado"/>
      </w:pPr>
      <w:r>
        <w:t>ECLI:ES:TC:2024:32</w:t>
      </w:r>
    </w:p>
    <w:p w14:paraId="6FB68D71" w14:textId="495D1D77" w:rsidR="009D7677" w:rsidRDefault="009D7677" w:rsidP="009D7677">
      <w:pPr>
        <w:pStyle w:val="TextoNormalCentrado"/>
      </w:pPr>
    </w:p>
    <w:p w14:paraId="26A02EB6" w14:textId="77777777" w:rsidR="009D7677" w:rsidRDefault="009D7677" w:rsidP="009D7677">
      <w:pPr>
        <w:pStyle w:val="SntesisDescriptiva"/>
      </w:pPr>
      <w:r>
        <w:t>Recurso de inconstitucionalidad 2061-2022. Interpuesto por más de cincuenta diputados del Grupo Parlamentario Popular en el Congreso respecto de la disposición adicional quinta de la Ley 19/2021, de 20 de diciembre, por la que se establece el ingreso mínimo vital, en la redacción dada por la disposición final trigésima de la Ley 22/2021, de 28 de diciembre, de presupuestos generales del Estado para el año 2022.</w:t>
      </w:r>
    </w:p>
    <w:p w14:paraId="5C7609E4" w14:textId="6D10552A" w:rsidR="009D7677" w:rsidRDefault="009D7677" w:rsidP="009D7677">
      <w:pPr>
        <w:pStyle w:val="SntesisDescriptiva"/>
      </w:pPr>
    </w:p>
    <w:p w14:paraId="5AB740EF" w14:textId="77777777" w:rsidR="009D7677" w:rsidRDefault="009D7677" w:rsidP="009D7677">
      <w:pPr>
        <w:pStyle w:val="SntesisAnaltica"/>
      </w:pPr>
      <w:r>
        <w:t>Competencias sobre legislación básica y régimen económico de la Seguridad Social: STC 19/2024 (constitucionalidad del precepto legal que atribuye funciones a la Comunidad Autónoma del País Vasco y a la Comunidad Foral de Navarra en relación con el ingreso mínimo vital).</w:t>
      </w:r>
    </w:p>
    <w:p w14:paraId="3EE1A24F" w14:textId="6BBA074F" w:rsidR="009D7677" w:rsidRDefault="009D7677" w:rsidP="009D7677">
      <w:pPr>
        <w:pStyle w:val="SntesisAnaltica"/>
      </w:pPr>
    </w:p>
    <w:p w14:paraId="6FA95334" w14:textId="4DE9F444" w:rsidR="009D7677" w:rsidRDefault="009D7677" w:rsidP="009D7677">
      <w:pPr>
        <w:pStyle w:val="Extracto"/>
      </w:pPr>
      <w:r>
        <w:t>1.</w:t>
      </w:r>
      <w:r>
        <w:tab/>
        <w:t>Se aplica la doctrina dictada en la STC 19/2024, referida al pago de la prestación del ingreso mínimo vital por parte de la Comunidad Autónoma del País Vasco y de la Comunidad Foral de Navarra [FJ 2].</w:t>
      </w:r>
    </w:p>
    <w:p w14:paraId="5021588C" w14:textId="77777777" w:rsidR="009D7677" w:rsidRDefault="009D7677" w:rsidP="009D7677">
      <w:pPr>
        <w:pStyle w:val="Extracto"/>
      </w:pPr>
    </w:p>
    <w:p w14:paraId="2BF301FE" w14:textId="3430F112" w:rsidR="009D7677" w:rsidRDefault="009D7677" w:rsidP="009D7677">
      <w:pPr>
        <w:pStyle w:val="Extracto"/>
      </w:pPr>
      <w:r>
        <w:t>2.</w:t>
      </w:r>
      <w:r>
        <w:tab/>
        <w:t>La disposición adicional primera CE no reconoce ninguna especialidad respecto de la gestión del régimen económico de la Seguridad Social, puesto que esta competencia corresponde a todas las comunidades autónomas que, con la misma o análoga expresión, la hayan asumido en sus estatutos. El régimen de financiación foral sí juega un papel diferencial en cuanto a la ejecución material del pago [FJ 2].</w:t>
      </w:r>
    </w:p>
    <w:p w14:paraId="274E4DA8" w14:textId="77777777" w:rsidR="009D7677" w:rsidRDefault="009D7677" w:rsidP="009D7677">
      <w:pPr>
        <w:pStyle w:val="Extracto"/>
      </w:pPr>
    </w:p>
    <w:p w14:paraId="397573DC" w14:textId="667DAA53" w:rsidR="009D7677" w:rsidRDefault="009D7677" w:rsidP="009D7677">
      <w:pPr>
        <w:pStyle w:val="Extracto"/>
      </w:pPr>
      <w:r>
        <w:t>3.</w:t>
      </w:r>
      <w:r>
        <w:tab/>
        <w:t>El régimen de financiación foral permite a las comunidades forales asumir el pago del ingreso mínimo vital y descontar del cupo y de la aportación la cantidad que corresponde conforme a las reglas del concierto y del convenio, tal y como se viene haciendo con las pensiones no contributivas de jubilación de invalidez de la Seguridad Social, desde su creación por la Ley 26/1990 (STC 19/2024) [FJ 2].</w:t>
      </w:r>
    </w:p>
    <w:p w14:paraId="4D83D17B" w14:textId="77777777" w:rsidR="009D7677" w:rsidRDefault="009D7677" w:rsidP="009D7677">
      <w:pPr>
        <w:pStyle w:val="Extracto"/>
      </w:pPr>
    </w:p>
    <w:p w14:paraId="3A3BC1D9" w14:textId="5F84E41A" w:rsidR="009D7677" w:rsidRDefault="009D7677" w:rsidP="009D7677">
      <w:pPr>
        <w:pStyle w:val="Extracto"/>
      </w:pPr>
      <w:r>
        <w:t>4.</w:t>
      </w:r>
      <w:r>
        <w:tab/>
        <w:t>La previsión de que las Comunidades autónomas de régimen foral en sus Estatutos asumirán las funciones y servicios atribuidas al Instituto Nacional de la Seguridad Social no menoscaba la caja única, pues no afecta a las funciones de la Tesorería General de la Seguridad Social. Y tampoco afecta al modelo unitario porque no compromete la unidad del sistema; ni perturba su funcionamiento económico uniforme; ni cuestiona la titularidad estatal de todos los recursos de la Seguridad Social; ni engendra directa o indirectamente desigualdades entre los ciudadanos en lo que atañe a la satisfacción de sus derechos y al cumplimiento de sus obligaciones de Seguridad Social (SSTC 19/2024 y 124/1989) [FJ 2].</w:t>
      </w:r>
    </w:p>
    <w:p w14:paraId="293CCF20" w14:textId="77777777" w:rsidR="009D7677" w:rsidRDefault="009D7677" w:rsidP="009D7677">
      <w:pPr>
        <w:pStyle w:val="Extracto"/>
      </w:pPr>
    </w:p>
    <w:p w14:paraId="442FCF11" w14:textId="77777777" w:rsidR="009D7677" w:rsidRDefault="009D7677" w:rsidP="009D7677">
      <w:pPr>
        <w:pStyle w:val="Extracto"/>
      </w:pPr>
    </w:p>
    <w:p w14:paraId="6CD27DF3" w14:textId="77777777" w:rsidR="009D7677" w:rsidRDefault="009D7677" w:rsidP="009D7677">
      <w:pPr>
        <w:pStyle w:val="TextoNormal"/>
      </w:pPr>
      <w:r>
        <w:t xml:space="preserve">El Pleno del Tribunal Constitucional, compuesto por el magistrado don Cándido Conde-Pumpido Tourón, presidente, y las magistradas y magistrados doña Inmaculada Montalbán Huertas, don Ricardo Enríquez Sancho, doña María Luisa Balaguer Callejón, don </w:t>
      </w:r>
      <w:r>
        <w:lastRenderedPageBreak/>
        <w:t>Ramón Sáez Valcárcel, doña Concepción Espejel Jorquera, doña María Luisa Segoviano Astaburuaga, don César Tolosa Tribiño y doña Laura Díez Bueso, ha pronunciado</w:t>
      </w:r>
    </w:p>
    <w:p w14:paraId="018A4495" w14:textId="304BF3BE" w:rsidR="009D7677" w:rsidRDefault="009D7677" w:rsidP="009D7677">
      <w:pPr>
        <w:pStyle w:val="TextoNormal"/>
      </w:pPr>
    </w:p>
    <w:p w14:paraId="60D770FA" w14:textId="77777777" w:rsidR="009D7677" w:rsidRDefault="009D7677" w:rsidP="009D7677">
      <w:pPr>
        <w:pStyle w:val="TextoNormalCentrado"/>
        <w:keepNext/>
      </w:pPr>
      <w:r>
        <w:t>EN NOMBRE DEL REY</w:t>
      </w:r>
    </w:p>
    <w:p w14:paraId="2865AB1F" w14:textId="5F62800E" w:rsidR="009D7677" w:rsidRDefault="009D7677" w:rsidP="009D7677">
      <w:pPr>
        <w:pStyle w:val="TextoNormalCentrado"/>
        <w:keepNext/>
      </w:pPr>
    </w:p>
    <w:p w14:paraId="1B8300CD" w14:textId="77777777" w:rsidR="009D7677" w:rsidRDefault="009D7677" w:rsidP="009D7677">
      <w:pPr>
        <w:pStyle w:val="TextoNormalCentrado"/>
        <w:keepNext/>
      </w:pPr>
    </w:p>
    <w:p w14:paraId="4C77ACBB" w14:textId="77777777" w:rsidR="009D7677" w:rsidRDefault="009D7677" w:rsidP="009D7677">
      <w:pPr>
        <w:pStyle w:val="TextoNormal"/>
      </w:pPr>
      <w:r>
        <w:t>la siguiente</w:t>
      </w:r>
    </w:p>
    <w:p w14:paraId="3F434D60" w14:textId="13FC2DD9" w:rsidR="009D7677" w:rsidRDefault="009D7677" w:rsidP="009D7677">
      <w:pPr>
        <w:pStyle w:val="TextoNormal"/>
      </w:pPr>
    </w:p>
    <w:p w14:paraId="3349015D" w14:textId="77777777" w:rsidR="009D7677" w:rsidRDefault="009D7677" w:rsidP="009D7677">
      <w:pPr>
        <w:pStyle w:val="TextoNormalCentrado"/>
        <w:keepNext/>
      </w:pPr>
      <w:r>
        <w:t>SENTENCIA</w:t>
      </w:r>
    </w:p>
    <w:p w14:paraId="5CBCA23F" w14:textId="4BA926F9" w:rsidR="009D7677" w:rsidRDefault="009D7677" w:rsidP="009D7677">
      <w:pPr>
        <w:pStyle w:val="TextoNormalCentrado"/>
        <w:keepNext/>
      </w:pPr>
    </w:p>
    <w:p w14:paraId="4AC3A9C2" w14:textId="77777777" w:rsidR="009D7677" w:rsidRDefault="009D7677" w:rsidP="009D7677">
      <w:pPr>
        <w:pStyle w:val="TextoNormal"/>
      </w:pPr>
      <w:r>
        <w:t>En el recurso de inconstitucionalidad núm. 2061-2022 interpuesto por más de cincuenta diputados del Grupo Parlamentario Popular en el Congreso de los Diputados contra la disposición adicional quinta de la Ley 19/2021, de 20 de diciembre, por la que se establece el ingreso mínimo vital, en la redacción dada por la disposición final trigésima de la Ley 22/2021, de 28 de diciembre, de presupuestos generales del Estado para el año 2022. Han comparecido el Congreso de los Diputados, el Senado, el Gobierno de la Nación, la Comunidad Autónoma del País Vasco y la Comunidad Foral de Navarra. Han formulado alegaciones los tres últimos. Ha sido ponente la magistrada doña Laura Díez Bueso.</w:t>
      </w:r>
    </w:p>
    <w:p w14:paraId="4C536465" w14:textId="5FF4BB56" w:rsidR="009D7677" w:rsidRDefault="009D7677" w:rsidP="009D7677">
      <w:pPr>
        <w:pStyle w:val="TextoNormal"/>
      </w:pPr>
    </w:p>
    <w:p w14:paraId="1E6C0B67" w14:textId="77777777" w:rsidR="009D7677" w:rsidRDefault="009D7677" w:rsidP="009D7677">
      <w:pPr>
        <w:pStyle w:val="TextoNormalNegritaCentrado"/>
        <w:keepNext/>
      </w:pPr>
      <w:r>
        <w:t>I. Antecedentes</w:t>
      </w:r>
    </w:p>
    <w:p w14:paraId="1BF62A7B" w14:textId="4DC87637" w:rsidR="009D7677" w:rsidRDefault="009D7677" w:rsidP="009D7677">
      <w:pPr>
        <w:pStyle w:val="TextoNormalNegritaCentrado"/>
        <w:keepNext/>
      </w:pPr>
    </w:p>
    <w:p w14:paraId="14901961" w14:textId="77777777" w:rsidR="009D7677" w:rsidRDefault="009D7677" w:rsidP="009D7677">
      <w:pPr>
        <w:pStyle w:val="TextoNormal"/>
      </w:pPr>
      <w:r w:rsidRPr="009D7677">
        <w:rPr>
          <w:rStyle w:val="NumeroAFNegritaCaracter"/>
        </w:rPr>
        <w:t>1</w:t>
      </w:r>
      <w:r>
        <w:t>. Mediante un escrito registrado en el Tribunal el 24 de marzo de 2022 más de cincuenta diputados del Grupo Parlamentario Popular en el Congreso de los Diputados promovieron un recurso de inconstitucionalidad contra la disposición adicional quinta de la Ley 19/2021, de 20 de diciembre, por la que se establece el ingreso mínimo vital, en la redacción dada por la disposición final trigésima de la Ley 22/2021, de 28 de diciembre, de presupuestos generales del Estado para 2022.</w:t>
      </w:r>
    </w:p>
    <w:p w14:paraId="3036EC81" w14:textId="77777777" w:rsidR="009D7677" w:rsidRDefault="009D7677" w:rsidP="009D7677">
      <w:pPr>
        <w:pStyle w:val="TextoNormal"/>
      </w:pPr>
    </w:p>
    <w:p w14:paraId="3C4F7271" w14:textId="77777777" w:rsidR="009D7677" w:rsidRDefault="009D7677" w:rsidP="009D7677">
      <w:pPr>
        <w:pStyle w:val="TextoNormal"/>
      </w:pPr>
      <w:r>
        <w:t>La disposición impugnada tiene el siguiente tenor:</w:t>
      </w:r>
    </w:p>
    <w:p w14:paraId="72436F17" w14:textId="77777777" w:rsidR="009D7677" w:rsidRDefault="009D7677" w:rsidP="009D7677">
      <w:pPr>
        <w:pStyle w:val="TextoNormal"/>
      </w:pPr>
    </w:p>
    <w:p w14:paraId="2F4F0EE8" w14:textId="77777777" w:rsidR="009D7677" w:rsidRDefault="009D7677" w:rsidP="009D7677">
      <w:pPr>
        <w:pStyle w:val="TextoNormal"/>
      </w:pPr>
      <w:r>
        <w:t>“Disposición adicional quinta. Aplicación en los territorios forales</w:t>
      </w:r>
    </w:p>
    <w:p w14:paraId="7DAAA3ED" w14:textId="77777777" w:rsidR="009D7677" w:rsidRDefault="009D7677" w:rsidP="009D7677">
      <w:pPr>
        <w:pStyle w:val="TextoNormal"/>
      </w:pPr>
    </w:p>
    <w:p w14:paraId="5219A083" w14:textId="77777777" w:rsidR="009D7677" w:rsidRDefault="009D7677" w:rsidP="009D7677">
      <w:pPr>
        <w:pStyle w:val="TextoNormal"/>
      </w:pPr>
      <w:r>
        <w:t>En razón de la especificidad que supone la existencia de haciendas forales, en relación con esta prestación, las comunidades autónomas de régimen foral asumirán, con referencia a su ámbito territorial, las funciones y servicios correspondientes que en esta ley se atribuyen al Instituto Nacional de la Seguridad Social así como, en atención al sistema de financiación de dichas haciendas forales, el pago, en relación con la prestación económica no contributiva de la Seguridad Social del ingreso mínimo vital, en los términos que se acuerde.</w:t>
      </w:r>
    </w:p>
    <w:p w14:paraId="09CF381C" w14:textId="77777777" w:rsidR="009D7677" w:rsidRDefault="009D7677" w:rsidP="009D7677">
      <w:pPr>
        <w:pStyle w:val="TextoNormal"/>
      </w:pPr>
    </w:p>
    <w:p w14:paraId="2E91C76A" w14:textId="4778E77E" w:rsidR="009D7677" w:rsidRDefault="009D7677" w:rsidP="009D7677">
      <w:pPr>
        <w:pStyle w:val="TextoNormal"/>
      </w:pPr>
      <w:r>
        <w:t>En tanto no se produzca la asunción de las funciones y servicios a que hace referencia el párrafo anterior, se acordará mediante convenio a suscribir entre los órganos competentes del Estado y de la comunidad autónoma interesada, una encomienda de gestión para realizar las actuaciones que se prevean en el mismo en relación con la prestación económica del ingreso mínimo vital y que permitan la atención integral de sus beneficiarios en el País Vasco y Navarra”.</w:t>
      </w:r>
    </w:p>
    <w:p w14:paraId="65082527" w14:textId="77777777" w:rsidR="009D7677" w:rsidRDefault="009D7677" w:rsidP="009D7677">
      <w:pPr>
        <w:pStyle w:val="TextoNormal"/>
      </w:pPr>
    </w:p>
    <w:p w14:paraId="4783A33B" w14:textId="77777777" w:rsidR="009D7677" w:rsidRDefault="009D7677" w:rsidP="009D7677">
      <w:pPr>
        <w:pStyle w:val="TextoNormal"/>
      </w:pPr>
      <w:r w:rsidRPr="009D7677">
        <w:rPr>
          <w:rStyle w:val="NumeroAFNegritaCaracter"/>
        </w:rPr>
        <w:t>2</w:t>
      </w:r>
      <w:r>
        <w:t>. El escrito de demanda considera que la disposición impugnada infringe los arts. 149.1.17, 41, 14, 149.1.1 y la disposición adicional primera CE, por las razones siguientes:</w:t>
      </w:r>
    </w:p>
    <w:p w14:paraId="1B9D665D" w14:textId="77777777" w:rsidR="009D7677" w:rsidRDefault="009D7677" w:rsidP="009D7677">
      <w:pPr>
        <w:pStyle w:val="TextoNormal"/>
      </w:pPr>
    </w:p>
    <w:p w14:paraId="625C9A50" w14:textId="77777777" w:rsidR="009D7677" w:rsidRDefault="009D7677" w:rsidP="009D7677">
      <w:pPr>
        <w:pStyle w:val="TextoNormal"/>
      </w:pPr>
      <w:r>
        <w:t>a) El ingreso mínimo vital no es una prestación de asistencia social sino que forma parte de la acción protectora del sistema de la Seguridad Social, como prestación económica en su modalidad no contributiva, configurado como un derecho subjetivo de ámbito nacional para eliminar las desigualdades territoriales en cumplimiento del art 41 CE.</w:t>
      </w:r>
    </w:p>
    <w:p w14:paraId="229C495E" w14:textId="77777777" w:rsidR="009D7677" w:rsidRDefault="009D7677" w:rsidP="009D7677">
      <w:pPr>
        <w:pStyle w:val="TextoNormal"/>
      </w:pPr>
    </w:p>
    <w:p w14:paraId="4C61CEE0" w14:textId="77777777" w:rsidR="009D7677" w:rsidRDefault="009D7677" w:rsidP="009D7677">
      <w:pPr>
        <w:pStyle w:val="TextoNormal"/>
      </w:pPr>
      <w:r>
        <w:t>Esta prestación pretende corregir la diversidad territorial de prestaciones de garantía de ingresos, advertida por numerosos informes de organismos nacionales y europeos, no solo en cuanto a la regulación material sustantiva, sino también en cuanto a las fórmulas de gestión.</w:t>
      </w:r>
    </w:p>
    <w:p w14:paraId="41EAC7AA" w14:textId="77777777" w:rsidR="009D7677" w:rsidRDefault="009D7677" w:rsidP="009D7677">
      <w:pPr>
        <w:pStyle w:val="TextoNormal"/>
      </w:pPr>
    </w:p>
    <w:p w14:paraId="1E414923" w14:textId="77777777" w:rsidR="009D7677" w:rsidRDefault="009D7677" w:rsidP="009D7677">
      <w:pPr>
        <w:pStyle w:val="TextoNormal"/>
      </w:pPr>
      <w:r>
        <w:t>La naturaleza del ingreso mínimo vital como prestación no contributiva de Seguridad Social supone que su encuadramiento competencial no es el de la asistencia social (art. 148.1.20 CE) sino el de Seguridad Social (art. 149.1.17 CE), que atribuye al Estado la competencia exclusiva sobre “legislación básica y régimen económico de la Seguridad Social”, en relación con los respectivos estatutos de autonomía.</w:t>
      </w:r>
    </w:p>
    <w:p w14:paraId="05D1C2CC" w14:textId="77777777" w:rsidR="009D7677" w:rsidRDefault="009D7677" w:rsidP="009D7677">
      <w:pPr>
        <w:pStyle w:val="TextoNormal"/>
      </w:pPr>
    </w:p>
    <w:p w14:paraId="25C03E0A" w14:textId="77777777" w:rsidR="009D7677" w:rsidRDefault="009D7677" w:rsidP="009D7677">
      <w:pPr>
        <w:pStyle w:val="TextoNormal"/>
      </w:pPr>
      <w:r>
        <w:t>La reciente STC 158/2021, de 16 septiembre, recoge y confirma toda la doctrina constitucional sobre el art. 149.1.17 CE, aplicándola de manera concreta a la controversia competencial suscitada respecto a la gestión del ingreso mínimo vital. De acuerdo con dicha doctrina, corresponde al Estado el establecimiento de un “régimen público” de Seguridad Social unitario y estable en todo el territorio nacional que garantice la igualdad de todos los españoles en sus derechos y obligaciones en materia de Seguridad Social, con independencia del territorio donde residan, y la preservación de la solidaridad financiera y caja única de titularidad estatal para impedir la existencia de diversas políticas territoriales de Seguridad Social en cada una de las comunidades autónomas.</w:t>
      </w:r>
    </w:p>
    <w:p w14:paraId="63A6BD9C" w14:textId="77777777" w:rsidR="009D7677" w:rsidRDefault="009D7677" w:rsidP="009D7677">
      <w:pPr>
        <w:pStyle w:val="TextoNormal"/>
      </w:pPr>
    </w:p>
    <w:p w14:paraId="4F2B9713" w14:textId="77777777" w:rsidR="009D7677" w:rsidRDefault="009D7677" w:rsidP="009D7677">
      <w:pPr>
        <w:pStyle w:val="TextoNormal"/>
      </w:pPr>
      <w:r>
        <w:t>b) La norma impugnada infringe el art. 149.1.17 CE en relación con la competencia exclusiva estatal sobre la “legislación básica” de Seguridad Social. Dicha competencia no solo incluye la fijación de los requisitos, alcance y régimen jurídico de las prestaciones, sino también su modelo de gestión, para evitar que las distintas regulaciones o modelos de gestión establecidos por cada una de las comunidades autónomas generen desigualdades.</w:t>
      </w:r>
    </w:p>
    <w:p w14:paraId="48225F7C" w14:textId="77777777" w:rsidR="009D7677" w:rsidRDefault="009D7677" w:rsidP="009D7677">
      <w:pPr>
        <w:pStyle w:val="TextoNormal"/>
      </w:pPr>
    </w:p>
    <w:p w14:paraId="672A6B0C" w14:textId="77777777" w:rsidR="009D7677" w:rsidRDefault="009D7677" w:rsidP="009D7677">
      <w:pPr>
        <w:pStyle w:val="TextoNormal"/>
      </w:pPr>
      <w:r>
        <w:t>El Estado no solo está facultado sino también obligado a ejercer dicha competencia con un sentido y contenido que se correspondan con la finalidad para la que se le atribuye, es decir, una gestión única que garantice la igualdad en todo el territorio nacional. Es decir, respecto al modelo de gestión de una prestación, que obedece a la necesidad de articularla de manera única y uniforme en todo el territorio nacional, el Estado no podría ampararse en su competencia sobre legislación básica, para articular un modelo completamente contrario, que distinguiera entre varios modelos de gestión, diferenciando a dos comunidades autónomas respecto al resto.</w:t>
      </w:r>
    </w:p>
    <w:p w14:paraId="4457702E" w14:textId="77777777" w:rsidR="009D7677" w:rsidRDefault="009D7677" w:rsidP="009D7677">
      <w:pPr>
        <w:pStyle w:val="TextoNormal"/>
      </w:pPr>
    </w:p>
    <w:p w14:paraId="251571B1" w14:textId="77777777" w:rsidR="009D7677" w:rsidRDefault="009D7677" w:rsidP="009D7677">
      <w:pPr>
        <w:pStyle w:val="TextoNormal"/>
      </w:pPr>
      <w:r>
        <w:t>Por lo tanto, el Estado no solo puede sino que debe ejercer las competencias exclusivas atribuidas por el art. 149.1.17 CE, sin admitirse su renuncia, directa o indirecta, en favor de ninguna comunidad autónoma.</w:t>
      </w:r>
    </w:p>
    <w:p w14:paraId="0DD23E92" w14:textId="77777777" w:rsidR="009D7677" w:rsidRDefault="009D7677" w:rsidP="009D7677">
      <w:pPr>
        <w:pStyle w:val="TextoNormal"/>
      </w:pPr>
    </w:p>
    <w:p w14:paraId="10C918B9" w14:textId="77777777" w:rsidR="009D7677" w:rsidRDefault="009D7677" w:rsidP="009D7677">
      <w:pPr>
        <w:pStyle w:val="TextoNormal"/>
      </w:pPr>
      <w:r>
        <w:t>c) Junto a la competencia para regular la “legislación básica”, el art. 149.1.17 CE atribuye al Estado la competencia exclusiva sobre “régimen económico de la Seguridad Social”. La STC 124/1989, de 7 de julio, confirmó la necesidad de que la Tesorería General de la Seguridad Social (TGSS) sea el instrumento idóneo para salvaguardar y hacer efectivos “los principios de solidaridad financiera y de unidad de caja” (FJ 3), que se garantizan mediante la titularidad de la caja única por parte del Estado (art. 21 del texto refundido de la Ley general de la Seguridad Social y art. 1.1 del Real Decreto 1314/1984, de 20 de junio, por el que se regula la estructura y competencias de la Tesorería General de la Seguridad Social).</w:t>
      </w:r>
    </w:p>
    <w:p w14:paraId="04F02575" w14:textId="77777777" w:rsidR="009D7677" w:rsidRDefault="009D7677" w:rsidP="009D7677">
      <w:pPr>
        <w:pStyle w:val="TextoNormal"/>
      </w:pPr>
    </w:p>
    <w:p w14:paraId="6B81E381" w14:textId="77777777" w:rsidR="009D7677" w:rsidRDefault="009D7677" w:rsidP="009D7677">
      <w:pPr>
        <w:pStyle w:val="TextoNormal"/>
      </w:pPr>
      <w:r>
        <w:t>El ingreso mínimo vital se financia mediante aportaciones tributarias que integran el patrimonio y la caja única de la Seguridad Social, titularidad de la TGSS. En cuanto la gestión de esta prestación incluye actuaciones susceptibles de generar obligaciones a cargo de la caja única, su gestión forma parte del “régimen económico” de la Seguridad Social, correspondiendo al Estado las competencias normativas como las de ejecución, en garantía de un sistema materialmente unitario.</w:t>
      </w:r>
    </w:p>
    <w:p w14:paraId="6C12C486" w14:textId="77777777" w:rsidR="009D7677" w:rsidRDefault="009D7677" w:rsidP="009D7677">
      <w:pPr>
        <w:pStyle w:val="TextoNormal"/>
      </w:pPr>
    </w:p>
    <w:p w14:paraId="10975D49" w14:textId="77777777" w:rsidR="009D7677" w:rsidRDefault="009D7677" w:rsidP="009D7677">
      <w:pPr>
        <w:pStyle w:val="TextoNormal"/>
      </w:pPr>
      <w:r>
        <w:t>Por lo tanto, la gestión del ingreso mínimo vital, prestación no contributiva de Seguridad Social, en cuanto supone el ejercicio de una competencia susceptible de generar obligaciones a cargo de la caja única, integra plenamente el régimen económico de la Seguridad Social, por lo que debe atribuirse de manera exclusiva al Estado.</w:t>
      </w:r>
    </w:p>
    <w:p w14:paraId="2150A3B8" w14:textId="77777777" w:rsidR="009D7677" w:rsidRDefault="009D7677" w:rsidP="009D7677">
      <w:pPr>
        <w:pStyle w:val="TextoNormal"/>
      </w:pPr>
    </w:p>
    <w:p w14:paraId="28670413" w14:textId="77777777" w:rsidR="009D7677" w:rsidRDefault="009D7677" w:rsidP="009D7677">
      <w:pPr>
        <w:pStyle w:val="TextoNormal"/>
      </w:pPr>
      <w:r>
        <w:t>Lo anterior no supone desconocer las competencias de las comunidades autónomas, pues como dijo la STC 124/1989, FJ 3, estas podrán asumir aspectos instrumentales “que no puedan comprometer la unidad del sistema o perturbar su funcionamiento económico uniforme, ni cuestionar la titularidad estatal de todos los recursos de la Seguridad Social o engendrar directa o indirectamente desigualdades entre los ciudadanos en lo que atañe a la satisfacción de sus derechos y al cumplimiento de sus obligaciones de Seguridad Social”.</w:t>
      </w:r>
    </w:p>
    <w:p w14:paraId="0281ADDA" w14:textId="77777777" w:rsidR="009D7677" w:rsidRDefault="009D7677" w:rsidP="009D7677">
      <w:pPr>
        <w:pStyle w:val="TextoNormal"/>
      </w:pPr>
    </w:p>
    <w:p w14:paraId="502BF5BC" w14:textId="77777777" w:rsidR="009D7677" w:rsidRDefault="009D7677" w:rsidP="009D7677">
      <w:pPr>
        <w:pStyle w:val="TextoNormal"/>
      </w:pPr>
      <w:r>
        <w:t>Por consiguiente, las competencias autonómicas “quedarían limitadas a aquellos aspectos instrumentales que no guarden relación con el régimen económico de la Seguridad Social” (STC 158/2021, FJ 5) y para las que la ley ya prevé fórmulas y convenios de colaboración. En relación con las comunidades autónomas de régimen foral, la propia ley contempla, además, que las haciendas forales desempeñen, en sus respectivos territorios forales de Navarra y de los territorios históricos del País Vasco, las funciones que en el resto del Estado se atribuyen a la Agencia Estatal de Administración Tributaria. Esta particularidad en la gestión del ingreso mínimo vital se entiende en el marco de la colaboración de las administraciones tributarias, estatal o forales, con el Instituto Nacional de la Seguridad Social (INSS), pero no justifica ninguna transferencia de esas funciones sino, todo lo contrario, evidencia que esa especificidad que supone la existencia de haciendas forales a la que alude la disposición adicional quinta, se atiende suficientemente sin necesidad de aquella transferencia.</w:t>
      </w:r>
    </w:p>
    <w:p w14:paraId="4401DBB4" w14:textId="77777777" w:rsidR="009D7677" w:rsidRDefault="009D7677" w:rsidP="009D7677">
      <w:pPr>
        <w:pStyle w:val="TextoNormal"/>
      </w:pPr>
    </w:p>
    <w:p w14:paraId="4FDB4C7C" w14:textId="77777777" w:rsidR="009D7677" w:rsidRDefault="009D7677" w:rsidP="009D7677">
      <w:pPr>
        <w:pStyle w:val="TextoNormal"/>
      </w:pPr>
      <w:r>
        <w:t>Por consiguiente, si el Tribunal Constitucional ha considerado que la gestión del ingreso mínimo vital implica potestades ejecutivas que afectan al régimen económico del sistema, debiendo atribuirse al Estado (a través del INSS) todos los aspectos relativos al reconocimiento de la prestación, sin que ello suponga la vulneración del Estatuto de Auto</w:t>
      </w:r>
      <w:r>
        <w:lastRenderedPageBreak/>
        <w:t>nomía de Cataluña (STC 158/2021), igual conclusión debe alcanzarse respecto a las comunidades autónomas de régimen foral, cuyos preceptos estatutarios coinciden literalmente con el catalán.</w:t>
      </w:r>
    </w:p>
    <w:p w14:paraId="6F100E6F" w14:textId="77777777" w:rsidR="009D7677" w:rsidRDefault="009D7677" w:rsidP="009D7677">
      <w:pPr>
        <w:pStyle w:val="TextoNormal"/>
      </w:pPr>
    </w:p>
    <w:p w14:paraId="2471D400" w14:textId="77777777" w:rsidR="009D7677" w:rsidRDefault="009D7677" w:rsidP="009D7677">
      <w:pPr>
        <w:pStyle w:val="TextoNormal"/>
      </w:pPr>
      <w:r>
        <w:t>d) La disposición adicional quinta de la Ley 19/2021 también vulnera el art. 149.1.17 CE, en la medida en que justifica la trasferencia de la gestión del ingreso mínimo vital por la especificidad que supone la existencia de haciendas forales en País Vasco y Navarra, especificidad que deriva de los derechos históricos contemplados en la disposición adicional primera CE. Pero esta disposición no constituye un título competencial adecuado para ninguna transferencia en materia de Seguridad Social, por cuanto las especialidades fiscales o tributarias resultan completamente ajenas a la configuración constitucional del sistema de Seguridad Social y a su delimitación competencial, sin que puedan alterar el alcance y contenido de las competencias exclusivas del Estado reconocidas por el art. 149.1.17 CE.</w:t>
      </w:r>
    </w:p>
    <w:p w14:paraId="26B57806" w14:textId="77777777" w:rsidR="009D7677" w:rsidRDefault="009D7677" w:rsidP="009D7677">
      <w:pPr>
        <w:pStyle w:val="TextoNormal"/>
      </w:pPr>
    </w:p>
    <w:p w14:paraId="3BAFF3FE" w14:textId="77777777" w:rsidR="009D7677" w:rsidRDefault="009D7677" w:rsidP="009D7677">
      <w:pPr>
        <w:pStyle w:val="TextoNormal"/>
      </w:pPr>
      <w:r>
        <w:t>El régimen foral se caracteriza porque los territorios históricos del País Vasco y la Comunidad Foral de Navarra tienen potestad para mantener, establecer y regular su régimen tributario, con competencias sobre la exacción, gestión, liquidación, recaudación e inspección de la mayoría de los impuestos, mientras que, por su parte, dichas comunidades autónomas contribuyen a la financiación de las cargas generales del Estado no asumidas, a través de una cantidad denominada “cupo” o “aportación”.</w:t>
      </w:r>
    </w:p>
    <w:p w14:paraId="1C8B2F31" w14:textId="77777777" w:rsidR="009D7677" w:rsidRDefault="009D7677" w:rsidP="009D7677">
      <w:pPr>
        <w:pStyle w:val="TextoNormal"/>
      </w:pPr>
    </w:p>
    <w:p w14:paraId="26580918" w14:textId="77777777" w:rsidR="009D7677" w:rsidRDefault="009D7677" w:rsidP="009D7677">
      <w:pPr>
        <w:pStyle w:val="TextoNormal"/>
      </w:pPr>
      <w:r>
        <w:t>Hasta aquí llegan las especialidades de las haciendas forales, sin que quepa su extensión o proyección a otros ámbitos. En particular, tampoco constituye justificación suficiente y proporcionada, en relación con la situación de necesidad que se trata de atender, para articular una gestión diferenciada del ingreso mínimo vital. Aunque la STC 90/1989, de 11 de mayo, justificó una diferencia territorial en materia de Seguridad Social cuando haya una situación de necesidad que afecte de manera especial a los residentes en un territorio, dicha situación excepcional no concurre en el caso de los residentes en el País Vasco y Navarra. En realidad, la especificidad de las haciendas forales en relación con la gestión del ingreso mínimo vital ya se ha previsto por el propio legislador en la Ley 19/2021, mediante la atribución de las funciones que las haciendas forales ejercen en sus respectivos territorios en sustitución de la Agencia Estatal de Administración Tributaria.</w:t>
      </w:r>
    </w:p>
    <w:p w14:paraId="2F535713" w14:textId="77777777" w:rsidR="009D7677" w:rsidRDefault="009D7677" w:rsidP="009D7677">
      <w:pPr>
        <w:pStyle w:val="TextoNormal"/>
      </w:pPr>
    </w:p>
    <w:p w14:paraId="6A1C9E43" w14:textId="77777777" w:rsidR="009D7677" w:rsidRDefault="009D7677" w:rsidP="009D7677">
      <w:pPr>
        <w:pStyle w:val="TextoNormal"/>
      </w:pPr>
      <w:r>
        <w:t>e) Por último, los diputados recurrentes sostienen que la disposición impugnada es contraria a los arts. 14 y 149.1.1 CE, en relación con el principio de igualdad y el art 41 CE.</w:t>
      </w:r>
    </w:p>
    <w:p w14:paraId="2FF8033B" w14:textId="77777777" w:rsidR="009D7677" w:rsidRDefault="009D7677" w:rsidP="009D7677">
      <w:pPr>
        <w:pStyle w:val="TextoNormal"/>
      </w:pPr>
    </w:p>
    <w:p w14:paraId="75BBD422" w14:textId="77777777" w:rsidR="009D7677" w:rsidRDefault="009D7677" w:rsidP="009D7677">
      <w:pPr>
        <w:pStyle w:val="TextoNormal"/>
      </w:pPr>
      <w:r>
        <w:t>De acuerdo con el art. 14 CE, los españoles son iguales ante la ley, sin que pueda prevalecer discriminación alguna por razón de nacimiento, raza, sexo, religión, opinión o cualquier otra condición o circunstancia personal o social, mientras que, según el art. 149.1.1 CE, el Estado tiene competencia exclusiva sobre la regulación de las condiciones básicas que garanticen la igualdad de todos los españoles en el ejercicio de los derechos y en el cumplimiento de los deberes constitucionales.</w:t>
      </w:r>
    </w:p>
    <w:p w14:paraId="69B51493" w14:textId="77777777" w:rsidR="009D7677" w:rsidRDefault="009D7677" w:rsidP="009D7677">
      <w:pPr>
        <w:pStyle w:val="TextoNormal"/>
      </w:pPr>
    </w:p>
    <w:p w14:paraId="3FD92488" w14:textId="77777777" w:rsidR="009D7677" w:rsidRDefault="009D7677" w:rsidP="009D7677">
      <w:pPr>
        <w:pStyle w:val="TextoNormal"/>
      </w:pPr>
      <w:r>
        <w:t>Por su parte, el art. 41 CE establece la obligación de mantener un régimen público de Seguridad Social para todos los ciudadanos, que garantice la asistencia y prestaciones sociales suficientes ante situaciones de necesidad.</w:t>
      </w:r>
    </w:p>
    <w:p w14:paraId="30C86366" w14:textId="77777777" w:rsidR="009D7677" w:rsidRDefault="009D7677" w:rsidP="009D7677">
      <w:pPr>
        <w:pStyle w:val="TextoNormal"/>
      </w:pPr>
    </w:p>
    <w:p w14:paraId="1B2FA4E0" w14:textId="77777777" w:rsidR="009D7677" w:rsidRDefault="009D7677" w:rsidP="009D7677">
      <w:pPr>
        <w:pStyle w:val="TextoNormal"/>
      </w:pPr>
      <w:r>
        <w:lastRenderedPageBreak/>
        <w:t>La STC 158/2021 recuerda que la gestión del ingreso mínimo vital por el INSS viene a garantizar que el acceso a la prestación y su disfrute por parte de los ciudadanos se produzcan de forma igualitaria y homogénea en todo el territorio nacional. Cualquier fórmula de gestión diferenciada, de acuerdo con la doctrina constitucional, debería justificarse por razones excepcionales debidamente justificadas y vinculadas a la situación de necesidad que se trata de proteger, lo que no concurre en las comunidades autónomas forales, cuyos residentes (potenciales beneficiarios) no sufren una situación de necesidad que haya de atenderse de manera especial.</w:t>
      </w:r>
    </w:p>
    <w:p w14:paraId="3967B6AE" w14:textId="77777777" w:rsidR="009D7677" w:rsidRDefault="009D7677" w:rsidP="009D7677">
      <w:pPr>
        <w:pStyle w:val="TextoNormal"/>
      </w:pPr>
    </w:p>
    <w:p w14:paraId="1BECD360" w14:textId="77777777" w:rsidR="009D7677" w:rsidRDefault="009D7677" w:rsidP="009D7677">
      <w:pPr>
        <w:pStyle w:val="TextoNormal"/>
      </w:pPr>
      <w:r>
        <w:t>Configurado el ingreso mínimo vital como un derecho subjetivo, su titularidad no corresponde a los territorios sino a los ciudadanos y cualquier legislador, autonómico o estatal, debe abstenerse de introducir cualquier diversidad regulatoria, sustantiva o de gestión, susceptible de generar desigualdad. La territorialización de la gestión de la Seguridad Social puede generar diferencias arbitrarias en relación con los beneficiarios dependiendo de la comunidad autónoma en la que residan. Al desprenderse el legislador estatal de las competencias gestoras que tiene atribuidas en exclusiva, se conculca el principio de igualdad recogido en los preceptos indicados.</w:t>
      </w:r>
    </w:p>
    <w:p w14:paraId="2C94845C" w14:textId="77777777" w:rsidR="009D7677" w:rsidRDefault="009D7677" w:rsidP="009D7677">
      <w:pPr>
        <w:pStyle w:val="TextoNormal"/>
      </w:pPr>
    </w:p>
    <w:p w14:paraId="2CFEE71A" w14:textId="05684C2B" w:rsidR="009D7677" w:rsidRDefault="009D7677" w:rsidP="009D7677">
      <w:pPr>
        <w:pStyle w:val="TextoNormal"/>
      </w:pPr>
      <w:r>
        <w:t>La demanda finaliza reiterando que debe declararse la inconstitucionalidad y nulidad de la disposición adicional quinta de la Ley 19/2021, por infringir los arts. 149.1.17, 41, 14, 149.1.1 y la disposición adicional primera CE.</w:t>
      </w:r>
    </w:p>
    <w:p w14:paraId="3C4EC493" w14:textId="77777777" w:rsidR="009D7677" w:rsidRDefault="009D7677" w:rsidP="009D7677">
      <w:pPr>
        <w:pStyle w:val="TextoNormal"/>
      </w:pPr>
    </w:p>
    <w:p w14:paraId="5D07C77C" w14:textId="54967EA7" w:rsidR="009D7677" w:rsidRDefault="009D7677" w:rsidP="009D7677">
      <w:pPr>
        <w:pStyle w:val="TextoNormal"/>
      </w:pPr>
      <w:r w:rsidRPr="009D7677">
        <w:rPr>
          <w:rStyle w:val="NumeroAFNegritaCaracter"/>
        </w:rPr>
        <w:t>3</w:t>
      </w:r>
      <w:r>
        <w:t>. El Pleno del Tribunal, a propuesta de la Sección Cuarta, acordó, por providencia de 7 de abril de 2022, admitir a trámite el recurso de inconstitucionalidad. Asimismo, acordó dar traslado de la demanda y de los documentos presentados, conforme establece el art. 34 de la Ley Orgánica del Tribunal Constitucional (LOTC), al Congreso de los Diputados y al Senado, por conducto de sus presidentes, y al Gobierno, a través de la ministra de Justicia, al objeto de que, en el plazo de quince días pudieran personarse en el proceso y formular las alegaciones que estimaran conveniente. Por último, ordenó publicar la incoación del recurso en el “Boletín Oficial del Estado”.</w:t>
      </w:r>
    </w:p>
    <w:p w14:paraId="1FE408CC" w14:textId="77777777" w:rsidR="009D7677" w:rsidRDefault="009D7677" w:rsidP="009D7677">
      <w:pPr>
        <w:pStyle w:val="TextoNormal"/>
      </w:pPr>
    </w:p>
    <w:p w14:paraId="41C0E887" w14:textId="01A72A43" w:rsidR="009D7677" w:rsidRDefault="009D7677" w:rsidP="009D7677">
      <w:pPr>
        <w:pStyle w:val="TextoNormal"/>
      </w:pPr>
      <w:r w:rsidRPr="009D7677">
        <w:rPr>
          <w:rStyle w:val="NumeroAFNegritaCaracter"/>
        </w:rPr>
        <w:t>4</w:t>
      </w:r>
      <w:r>
        <w:t>. Por escrito registrado en el Tribunal el 28 de abril de 2022, la presidenta del Congreso de los Diputados comunicó que la mesa había acordado dar por personada a esta Cámara y ofrecer su colaboración a los efectos de lo previsto en el art. 88.1 LOTC. Asimismo, en dicha fecha tuvo entrada en el registro del Tribunal un escrito del presidente del Senado con análoga comunicación.</w:t>
      </w:r>
    </w:p>
    <w:p w14:paraId="5EDB854E" w14:textId="77777777" w:rsidR="009D7677" w:rsidRDefault="009D7677" w:rsidP="009D7677">
      <w:pPr>
        <w:pStyle w:val="TextoNormal"/>
      </w:pPr>
    </w:p>
    <w:p w14:paraId="5F40B2E3" w14:textId="4FD235C2" w:rsidR="009D7677" w:rsidRDefault="009D7677" w:rsidP="009D7677">
      <w:pPr>
        <w:pStyle w:val="TextoNormal"/>
      </w:pPr>
      <w:r w:rsidRPr="009D7677">
        <w:rPr>
          <w:rStyle w:val="NumeroAFNegritaCaracter"/>
        </w:rPr>
        <w:t>5</w:t>
      </w:r>
      <w:r>
        <w:t>. El 4 de mayo de 2022 el letrado de los servicios jurídicos centrales del Gobierno Vasco compareció ante el Tribunal y solicitó que se admitiera la personación de la Comunidad Autónoma del País Vasco como coadyuvante, en orden a la defensa de la constitucionalidad de las disposiciones impugnadas, se le diera traslado del escrito de interposición del recurso y se le otorgara plazo para formular alegaciones.</w:t>
      </w:r>
    </w:p>
    <w:p w14:paraId="1DEC670B" w14:textId="77777777" w:rsidR="009D7677" w:rsidRDefault="009D7677" w:rsidP="009D7677">
      <w:pPr>
        <w:pStyle w:val="TextoNormal"/>
      </w:pPr>
    </w:p>
    <w:p w14:paraId="7358036A" w14:textId="04FF52D1" w:rsidR="009D7677" w:rsidRDefault="009D7677" w:rsidP="009D7677">
      <w:pPr>
        <w:pStyle w:val="TextoNormal"/>
      </w:pPr>
      <w:r w:rsidRPr="009D7677">
        <w:rPr>
          <w:rStyle w:val="NumeroAFNegritaCaracter"/>
        </w:rPr>
        <w:t>6</w:t>
      </w:r>
      <w:r>
        <w:t>. El abogado del Estado, por escrito registrado en el Tribunal el 6 de mayo de 2022, se personó en nombre del Gobierno de la Nación y solicitó que, habida cuenta de la cantidad de asuntos pendientes ante esa Abogacía, se le concediera una prórroga del plazo para formular alegaciones por ocho días más.</w:t>
      </w:r>
    </w:p>
    <w:p w14:paraId="1D7D4CB8" w14:textId="77777777" w:rsidR="009D7677" w:rsidRDefault="009D7677" w:rsidP="009D7677">
      <w:pPr>
        <w:pStyle w:val="TextoNormal"/>
      </w:pPr>
    </w:p>
    <w:p w14:paraId="54949C2B" w14:textId="546D60E6" w:rsidR="009D7677" w:rsidRDefault="009D7677" w:rsidP="009D7677">
      <w:pPr>
        <w:pStyle w:val="TextoNormal"/>
      </w:pPr>
      <w:r w:rsidRPr="009D7677">
        <w:rPr>
          <w:rStyle w:val="NumeroAFNegritaCaracter"/>
        </w:rPr>
        <w:t>7</w:t>
      </w:r>
      <w:r>
        <w:t>. Por diligencia de ordenación del secretario de justicia del Pleno de 10 de mayo de 2022 se tuvo por personado al abogado del Estado y se le prorrogó en ocho días el plazo concedido para formular alegaciones. Respecto del escrito presentado por el letrado del Gobierno Vasco solicitando que se le admitiera su personación en calidad de coadyuvante, se acordó dar traslado a la parte recurrente y al abogado del Estado para que, en el plazo de diez días, alegaran lo que estimaran conveniente.</w:t>
      </w:r>
    </w:p>
    <w:p w14:paraId="2A43CAAD" w14:textId="77777777" w:rsidR="009D7677" w:rsidRDefault="009D7677" w:rsidP="009D7677">
      <w:pPr>
        <w:pStyle w:val="TextoNormal"/>
      </w:pPr>
    </w:p>
    <w:p w14:paraId="2964A2FA" w14:textId="0F540E3E" w:rsidR="009D7677" w:rsidRDefault="009D7677" w:rsidP="009D7677">
      <w:pPr>
        <w:pStyle w:val="TextoNormal"/>
      </w:pPr>
      <w:r w:rsidRPr="009D7677">
        <w:rPr>
          <w:rStyle w:val="NumeroAFNegritaCaracter"/>
        </w:rPr>
        <w:t>8</w:t>
      </w:r>
      <w:r>
        <w:t>. El asesor jurídico-letrado de la Comunidad Foral de Navarra, en representación del Gobierno de dicha comunidad solicitó, mediante escrito registrado el 19 de mayo de 2022, intervenir en este proceso constitucional de forma adhesiva, en calidad de coadyuvante, y que se le confiriera trámite para efectuar alegaciones. Por diligencia de ordenación del secretario de justicia del Pleno se dio traslado del referido escrito a la parte recurrente y al abogado del Estado para que en el plazo de diez días formularan alegaciones.</w:t>
      </w:r>
    </w:p>
    <w:p w14:paraId="3D80A7C7" w14:textId="77777777" w:rsidR="009D7677" w:rsidRDefault="009D7677" w:rsidP="009D7677">
      <w:pPr>
        <w:pStyle w:val="TextoNormal"/>
      </w:pPr>
    </w:p>
    <w:p w14:paraId="33E8E21B" w14:textId="77777777" w:rsidR="009D7677" w:rsidRDefault="009D7677" w:rsidP="009D7677">
      <w:pPr>
        <w:pStyle w:val="TextoNormal"/>
      </w:pPr>
      <w:r w:rsidRPr="009D7677">
        <w:rPr>
          <w:rStyle w:val="NumeroAFNegritaCaracter"/>
        </w:rPr>
        <w:t>9</w:t>
      </w:r>
      <w:r>
        <w:t>. Por escrito registrado en el Tribunal el 23 de mayo de 2022 el abogado del Estado formuló alegaciones, solicitando la desestimación del recurso.</w:t>
      </w:r>
    </w:p>
    <w:p w14:paraId="3D3A402C" w14:textId="77777777" w:rsidR="009D7677" w:rsidRDefault="009D7677" w:rsidP="009D7677">
      <w:pPr>
        <w:pStyle w:val="TextoNormal"/>
      </w:pPr>
    </w:p>
    <w:p w14:paraId="4F72FEAD" w14:textId="77777777" w:rsidR="009D7677" w:rsidRDefault="009D7677" w:rsidP="009D7677">
      <w:pPr>
        <w:pStyle w:val="TextoNormal"/>
      </w:pPr>
      <w:r>
        <w:t>a) En primer lugar, pone de manifiesto que en el recurso no se argumenta nada sobre la inconstitucionalidad del segundo párrafo de la disposición adicional quinta de la Ley 19/2021, por lo que, al no haber cumplido los recurrentes la carga de justificar su impugnación no procede que el Tribunal lo examine. En consecuencia, las alegaciones que efectúa se ciñen al párrafo primero de la disposición adicional quinta en la redacción vigente.</w:t>
      </w:r>
    </w:p>
    <w:p w14:paraId="007C641E" w14:textId="77777777" w:rsidR="009D7677" w:rsidRDefault="009D7677" w:rsidP="009D7677">
      <w:pPr>
        <w:pStyle w:val="TextoNormal"/>
      </w:pPr>
    </w:p>
    <w:p w14:paraId="5304EE3F" w14:textId="77777777" w:rsidR="009D7677" w:rsidRDefault="009D7677" w:rsidP="009D7677">
      <w:pPr>
        <w:pStyle w:val="TextoNormal"/>
      </w:pPr>
      <w:r>
        <w:t>b) El abogado del Estado considera que la norma impugnada no conlleva una extensión del ámbito competencial de las comunidades del País Vasco y de Navarra al amparo de la disposición adicional primera CE. Entiende que, como ha afirmado la STC 158/2021, el ingreso mínimo vital es de competencia exclusiva del Estado. No obstante, considera que las especialidades de las haciendas forales justifican la previsión que contiene la disposición adicional recurrida. Según sostiene, el particular régimen tributario que tienen el País Vasco y Navarra, que conlleva que estas comunidades ostenten competencias parciales para la regulación y exacción de los tributos concertados o convenidos, un régimen de autofinanciación de los gastos que se deriven del ejercicio de sus competencias y un sistema de cupo o aportación con el que las referidas comunidades deben contribuir a los gastos del Estado, lleva a que la disposición impugnada habilite para que, en virtud del principio de colaboración, la administración del Estado y las comunidades autónomas forales puedan concluir un acuerdo para la más eficaz aplicación del ingreso mínimo vital.</w:t>
      </w:r>
    </w:p>
    <w:p w14:paraId="26930894" w14:textId="77777777" w:rsidR="009D7677" w:rsidRDefault="009D7677" w:rsidP="009D7677">
      <w:pPr>
        <w:pStyle w:val="TextoNormal"/>
      </w:pPr>
    </w:p>
    <w:p w14:paraId="0D36CC36" w14:textId="77777777" w:rsidR="009D7677" w:rsidRDefault="009D7677" w:rsidP="009D7677">
      <w:pPr>
        <w:pStyle w:val="TextoNormal"/>
      </w:pPr>
      <w:r>
        <w:t>El abogado del Estado cita otros supuestos de colaboración entre administraciones públicas que prevé la Ley 19/2021. Se refiere, en concreto, a los supuestos regulados en los arts. 25.2, 32 y en la disposición adicional cuarta, en los que se prevé la posibilidad de que las comunidades autónomas y entidades locales puedan suscribir convenios con fórmulas para la gestión del ingreso mínimo vital. Por otra parte, recuerda que la STC 158/2021 hizo una llamada expresa a la colaboración entre administraciones públicas en la gestión de esta prestación.</w:t>
      </w:r>
    </w:p>
    <w:p w14:paraId="13845150" w14:textId="77777777" w:rsidR="009D7677" w:rsidRDefault="009D7677" w:rsidP="009D7677">
      <w:pPr>
        <w:pStyle w:val="TextoNormal"/>
      </w:pPr>
    </w:p>
    <w:p w14:paraId="0A9E7120" w14:textId="77777777" w:rsidR="009D7677" w:rsidRDefault="009D7677" w:rsidP="009D7677">
      <w:pPr>
        <w:pStyle w:val="TextoNormal"/>
      </w:pPr>
      <w:r>
        <w:lastRenderedPageBreak/>
        <w:t>Por todo ello, considera que la disposición adicional quinta no habilita una transferencia de competencias del INSS sobre el ingreso mínimo vital, sino un modo de colaboración entre administraciones basado en sus características específicas —un sistema propio de gestión tributaria y de autofinanciación— que no son extrapolables a otras comunidades autónomas. En su opinión, este mecanismo de colaboración es conforme con la doctrina de la STC 158/2021.</w:t>
      </w:r>
    </w:p>
    <w:p w14:paraId="26FCFFEC" w14:textId="77777777" w:rsidR="009D7677" w:rsidRDefault="009D7677" w:rsidP="009D7677">
      <w:pPr>
        <w:pStyle w:val="TextoNormal"/>
      </w:pPr>
    </w:p>
    <w:p w14:paraId="16EC1510" w14:textId="77777777" w:rsidR="009D7677" w:rsidRDefault="009D7677" w:rsidP="009D7677">
      <w:pPr>
        <w:pStyle w:val="TextoNormal"/>
      </w:pPr>
      <w:r>
        <w:t>c) El representante del Gobierno de la Nación aduce que las comunidades forales actúan como mandatarias del pago, con estricto cumplimiento de los criterios fijados por la ley que regula el ingreso mínimo vital, por lo que la atribución de estas facultades no conlleva una ruptura del régimen de caja única de la Seguridad Social, ya que los requisitos para la obtención del ingreso mínimo vital en los territorios forales son los mismos que en el resto. Esta disposición —a su juicio— solo prevé, con los condicionamientos establecidos por el Estado, un régimen de mandato de pago material que ejecutan las comunidades forales, sin perjuicio de que los correspondientes flujos financieros se articulen a través de su específico régimen financiero. Subraya, además, que la atribución de las facultades de tramitación del ingreso mínimo vital al País Vasco y Navarra no les otorga ningún margen de discrecionalidad para valorar si procede o no reconocer la prestación, por lo que el ejercicio de las referidas facultades no afecta al principio de igualdad.</w:t>
      </w:r>
    </w:p>
    <w:p w14:paraId="221386F9" w14:textId="77777777" w:rsidR="009D7677" w:rsidRDefault="009D7677" w:rsidP="009D7677">
      <w:pPr>
        <w:pStyle w:val="TextoNormal"/>
      </w:pPr>
    </w:p>
    <w:p w14:paraId="2D90C337" w14:textId="0FD05B53" w:rsidR="009D7677" w:rsidRDefault="009D7677" w:rsidP="009D7677">
      <w:pPr>
        <w:pStyle w:val="TextoNormal"/>
      </w:pPr>
      <w:r>
        <w:t>Las consideraciones expuestas llevan al abogado del Estado a solicitar que se inadmita el recurso respecto del segundo párrafo de la disposición adicional quinta de la Ley 19/2021 y se desestime el recurso en todo lo demás.</w:t>
      </w:r>
    </w:p>
    <w:p w14:paraId="52924CE6" w14:textId="77777777" w:rsidR="009D7677" w:rsidRDefault="009D7677" w:rsidP="009D7677">
      <w:pPr>
        <w:pStyle w:val="TextoNormal"/>
      </w:pPr>
    </w:p>
    <w:p w14:paraId="0E17F8AD" w14:textId="48ABB0AE" w:rsidR="009D7677" w:rsidRDefault="009D7677" w:rsidP="009D7677">
      <w:pPr>
        <w:pStyle w:val="TextoNormal"/>
      </w:pPr>
      <w:r w:rsidRPr="009D7677">
        <w:rPr>
          <w:rStyle w:val="NumeroAFNegritaCaracter"/>
        </w:rPr>
        <w:t>10</w:t>
      </w:r>
      <w:r>
        <w:t>. Por sendos escritos registrados en el Tribunal el 25 y 31 de mayo de 2022 el abogado del Estado manifestó que no se oponía a la solicitud de personación en este proceso formulada por los gobiernos vasco y navarro.</w:t>
      </w:r>
    </w:p>
    <w:p w14:paraId="609C5C31" w14:textId="77777777" w:rsidR="009D7677" w:rsidRDefault="009D7677" w:rsidP="009D7677">
      <w:pPr>
        <w:pStyle w:val="TextoNormal"/>
      </w:pPr>
    </w:p>
    <w:p w14:paraId="637C3FB1" w14:textId="60C9DA6D" w:rsidR="009D7677" w:rsidRDefault="009D7677" w:rsidP="009D7677">
      <w:pPr>
        <w:pStyle w:val="TextoNormal"/>
      </w:pPr>
      <w:r w:rsidRPr="009D7677">
        <w:rPr>
          <w:rStyle w:val="NumeroAFNegritaCaracter"/>
        </w:rPr>
        <w:t>11</w:t>
      </w:r>
      <w:r>
        <w:t>. Mediante providencia de 30 de junio de 2022 el Pleno acordó a acceder a lo solicitado por los gobiernos vasco y navarro y, en consecuencia, tenerlos por comparecidos en el recurso de inconstitucionalidad en calidad de coadyuvantes del Gobierno de España, dándoles traslado del recurso de inconstitucionalidad y de los documentos presentados a fin de que en el plazo de quince días pudieran formular las alegaciones que considerasen necesarias en defensa de la constitucionalidad de las disposiciones impugnadas.</w:t>
      </w:r>
    </w:p>
    <w:p w14:paraId="75BAE4DD" w14:textId="77777777" w:rsidR="009D7677" w:rsidRDefault="009D7677" w:rsidP="009D7677">
      <w:pPr>
        <w:pStyle w:val="TextoNormal"/>
      </w:pPr>
    </w:p>
    <w:p w14:paraId="3C4CC950" w14:textId="77777777" w:rsidR="009D7677" w:rsidRDefault="009D7677" w:rsidP="009D7677">
      <w:pPr>
        <w:pStyle w:val="TextoNormal"/>
      </w:pPr>
      <w:r w:rsidRPr="009D7677">
        <w:rPr>
          <w:rStyle w:val="NumeroAFNegritaCaracter"/>
        </w:rPr>
        <w:t>12</w:t>
      </w:r>
      <w:r>
        <w:t>. El representante del Gobierno Vasco presentó su escrito de alegaciones el 21 de julio de 2022, interesando la desestimación del recurso.</w:t>
      </w:r>
    </w:p>
    <w:p w14:paraId="239C5399" w14:textId="77777777" w:rsidR="009D7677" w:rsidRDefault="009D7677" w:rsidP="009D7677">
      <w:pPr>
        <w:pStyle w:val="TextoNormal"/>
      </w:pPr>
    </w:p>
    <w:p w14:paraId="26F264E9" w14:textId="77777777" w:rsidR="009D7677" w:rsidRDefault="009D7677" w:rsidP="009D7677">
      <w:pPr>
        <w:pStyle w:val="TextoNormal"/>
      </w:pPr>
      <w:r>
        <w:t>a) Coincide con los diputados recurrentes en que la cuestión planteada en este recurso es estrictamente competencial. Subraya que la demanda no se posiciona claramente sobre si el título competencial en juego es el de “legislación básica” o el de “régimen económico” de Seguridad Social. Entiende que la cuestión que ha de examinar el Tribunal es si la regulación que establece el precepto impugnado de la Ley que establece el ingreso mínimo vital supone una vulneración de la caja única de la Seguridad Social.</w:t>
      </w:r>
    </w:p>
    <w:p w14:paraId="32E1EAD2" w14:textId="77777777" w:rsidR="009D7677" w:rsidRDefault="009D7677" w:rsidP="009D7677">
      <w:pPr>
        <w:pStyle w:val="TextoNormal"/>
      </w:pPr>
    </w:p>
    <w:p w14:paraId="13A837B0" w14:textId="77777777" w:rsidR="009D7677" w:rsidRDefault="009D7677" w:rsidP="009D7677">
      <w:pPr>
        <w:pStyle w:val="TextoNormal"/>
      </w:pPr>
      <w:r>
        <w:t xml:space="preserve">A juicio de esta parte, las determinaciones contenidas en la disposición impugnada no presentan tachas de inconstitucionalidad. Alega que las Cortes Generales, en el marco de </w:t>
      </w:r>
      <w:r>
        <w:lastRenderedPageBreak/>
        <w:t>la Constitución, pueden configurar el modelo de protección social que mejor se adapte a cada momento y establecer las formas de gestión de este modelo que consideren procedente. Asimismo, pone de relieve que el ingreso mínimo vital constituye una nueva prestación económica no contributiva de la Seguridad Social. La disposición impugnada respeta el orden constitucional de competencias al atribuir a la Comunidad Autónoma del País Vasco y a la Comunidad Foral de Navarra las funciones y servicios que la ley asigna organizativamente al INSS, así como las correspondientes al pago de esta prestación, en los términos que se acuerden con el Estado.</w:t>
      </w:r>
    </w:p>
    <w:p w14:paraId="6FF6B159" w14:textId="77777777" w:rsidR="009D7677" w:rsidRDefault="009D7677" w:rsidP="009D7677">
      <w:pPr>
        <w:pStyle w:val="TextoNormal"/>
      </w:pPr>
    </w:p>
    <w:p w14:paraId="0EB79AB6" w14:textId="77777777" w:rsidR="009D7677" w:rsidRDefault="009D7677" w:rsidP="009D7677">
      <w:pPr>
        <w:pStyle w:val="TextoNormal"/>
      </w:pPr>
      <w:r>
        <w:t>El letrado autonómico considera que los títulos competenciales implicados en el conflicto competencial que se suscita en este recurso son los previstos en el art. 149.1.17 y en la disposición adicional primera CE y, para el caso de la Comunidad Autónoma del País Vasco, en el art. 18 y la disposición transitoria quinta Estatuto de Autonomía para el País Vasco (EAPV). Esta es la conclusión a la que llegó la STC 158/2021, FFJJ 3 y 4, al afirmar que la prestación no contributiva del ingreso mínimo vital tiene encaje en el art. 149.1.17 CE en el que se establece la competencia exclusiva del Estado en “[l]egislación básica y régimen económico de la Seguridad Social, sin perjuicio de la ejecución de sus servicios por las comunidades autónomas”. En las citadas normas estatutarias se establece la competencia del País Vasco en materia de gestión del régimen económico de la Seguridad Social.</w:t>
      </w:r>
    </w:p>
    <w:p w14:paraId="66EC49BC" w14:textId="77777777" w:rsidR="009D7677" w:rsidRDefault="009D7677" w:rsidP="009D7677">
      <w:pPr>
        <w:pStyle w:val="TextoNormal"/>
      </w:pPr>
    </w:p>
    <w:p w14:paraId="31E79FA3" w14:textId="77777777" w:rsidR="009D7677" w:rsidRDefault="009D7677" w:rsidP="009D7677">
      <w:pPr>
        <w:pStyle w:val="TextoNormal"/>
      </w:pPr>
      <w:r>
        <w:t>Razona, además, que la disposición impugnada encuentra uno de sus fundamentos constitucionales en la singularidad que supone la existencia de las haciendas forales, así como en su sistema de financiación, lo que, según se afirma, supone una llamada al sistema de concierto económico anclado en la disposición adicional primera CE. Por ello, el Gobierno Vasco entiende que la Ley 19/2021 no ha hecho más que, atendiendo al mandato constitucional, preservar la singularidad del régimen foral en unos términos compatibles con la Constitución.</w:t>
      </w:r>
    </w:p>
    <w:p w14:paraId="4D32317C" w14:textId="77777777" w:rsidR="009D7677" w:rsidRDefault="009D7677" w:rsidP="009D7677">
      <w:pPr>
        <w:pStyle w:val="TextoNormal"/>
      </w:pPr>
    </w:p>
    <w:p w14:paraId="12ED528A" w14:textId="77777777" w:rsidR="009D7677" w:rsidRDefault="009D7677" w:rsidP="009D7677">
      <w:pPr>
        <w:pStyle w:val="TextoNormal"/>
      </w:pPr>
      <w:r>
        <w:t xml:space="preserve">El escrito del Gobierno autonómico sostiene, en contra de lo que afirman los recurrentes, que no es aplicable el título contenido en el art. 149.1.1 CE, dado que al Estado le corresponde la competencia en materia de legislación básica de la Seguridad Social en virtud del art. 149.1.17 CE. Invoca la doctrina establecida en la STC 128/2016, de 7 de julio, FJ 9, en la que el Tribunal afirmó que la igualdad a preservar </w:t>
      </w:r>
      <w:r w:rsidRPr="009D7677">
        <w:rPr>
          <w:i/>
        </w:rPr>
        <w:t>ex</w:t>
      </w:r>
      <w:r>
        <w:t xml:space="preserve"> art. 149.1.1 CE queda subsumida en las competencias básicas que el art. 149.1 CE atribuye al Estado que, en el caso enjuiciado, son las del apartado 17.</w:t>
      </w:r>
    </w:p>
    <w:p w14:paraId="2C5B7C65" w14:textId="77777777" w:rsidR="009D7677" w:rsidRDefault="009D7677" w:rsidP="009D7677">
      <w:pPr>
        <w:pStyle w:val="TextoNormal"/>
      </w:pPr>
    </w:p>
    <w:p w14:paraId="245A8360" w14:textId="77777777" w:rsidR="009D7677" w:rsidRDefault="009D7677" w:rsidP="009D7677">
      <w:pPr>
        <w:pStyle w:val="TextoNormal"/>
      </w:pPr>
      <w:r>
        <w:t>El Gobierno Vasco señala que, como ha sostenido reiteradamente el Tribunal (cita la STC 195/1996, FJ 6), el art. 149.1.17 CE, contiene dos submaterias distintas: la Seguridad Social y su régimen económico. Indica que la STC 158/2021 no define claramente en cuál de estas dos materias tiene su encaje la prestación del ingreso mínimo vital pero, en cualquiera de los dos casos, la Comunidad Autónoma del País Vasco tiene reconocidas competencias ejecutivas bastantes para llevar a cabo las funciones y servicios de gestión y pago del ingreso mínimo vital, en los términos que se concierten con el Estado tal y como dispone la disposición controvertida en este proceso constitucional.</w:t>
      </w:r>
    </w:p>
    <w:p w14:paraId="16478CFD" w14:textId="77777777" w:rsidR="009D7677" w:rsidRDefault="009D7677" w:rsidP="009D7677">
      <w:pPr>
        <w:pStyle w:val="TextoNormal"/>
      </w:pPr>
    </w:p>
    <w:p w14:paraId="1D010F1B" w14:textId="77777777" w:rsidR="009D7677" w:rsidRDefault="009D7677" w:rsidP="009D7677">
      <w:pPr>
        <w:pStyle w:val="TextoNormal"/>
      </w:pPr>
      <w:r>
        <w:t xml:space="preserve">b) El letrado autonómico descarta que atente al reparto constitucional de competencias el que esa comunidad autónoma ejerza las funciones ejecutivas de las prestaciones en los </w:t>
      </w:r>
      <w:r>
        <w:lastRenderedPageBreak/>
        <w:t>términos expuestos en la disposición adicional quinta de la Ley 19/2021, pues el libramiento del pago a los beneficiarios definidos en la normativa estatal es una función ejecutiva que no es necesaria “para configurar un sistema materialmente unitario” (cita las SSTC 133/2019 y 158/2021). Entiende, por otra parte, que la Ley 19/2021 ha establecido el régimen jurídico del ingreso mínimo vital para todo el territorio nacional, sin posibilidad de desarrollo normativo por las comunidades autónomas y también ha fijado el modelo de gestión que, en el caso del País Vasco y Navarra, conlleva que estas comunidades realicen las funciones y servicios de gestión y pago, previo acuerdo con el Estado. El ejercicio de estas competencias por las comunidades autónomas forales no puede comprometer la unidad del sistema de Seguridad Social ni perturbar su funcionamiento uniforme.</w:t>
      </w:r>
    </w:p>
    <w:p w14:paraId="300C570A" w14:textId="77777777" w:rsidR="009D7677" w:rsidRDefault="009D7677" w:rsidP="009D7677">
      <w:pPr>
        <w:pStyle w:val="TextoNormal"/>
      </w:pPr>
    </w:p>
    <w:p w14:paraId="6E5473C9" w14:textId="77777777" w:rsidR="009D7677" w:rsidRDefault="009D7677" w:rsidP="009D7677">
      <w:pPr>
        <w:pStyle w:val="TextoNormal"/>
      </w:pPr>
      <w:r>
        <w:t>Por otra parte, el gobierno autonómico pone de manifiesto que el ingreso mínimo vital es una nueva prestación económica no contributiva en el marco de un sistema dirigido hacia una progresiva acción protectora a la Seguridad Social. Esta evolución conlleva una participación más activa de las comunidades autónomas para la gestión de estas prestaciones no contributivas (“modelo de gobernanza compartida”). En contra de lo que sostienen los recurrentes, este sistema ni quiebra la unidad del régimen económico de la Seguridad Social ni es la primera vez que las comunidades autónomas gestionan y pagan prestaciones no contributivas de la Seguridad Social. El Gobierno vasco aduce que el mero libramiento del pago por la Comunidad Autónoma del País Vasco no supone la quiebra de la unidad del régimen económico ni de la unidad de caja, máxime cuando el Estado dispone de variadas herramientas (normativas y coordinadoras) para reconducir cualquier uso torticero que pudiera hacerse.</w:t>
      </w:r>
    </w:p>
    <w:p w14:paraId="274F81DE" w14:textId="77777777" w:rsidR="009D7677" w:rsidRDefault="009D7677" w:rsidP="009D7677">
      <w:pPr>
        <w:pStyle w:val="TextoNormal"/>
      </w:pPr>
    </w:p>
    <w:p w14:paraId="190C305D" w14:textId="77777777" w:rsidR="009D7677" w:rsidRDefault="009D7677" w:rsidP="009D7677">
      <w:pPr>
        <w:pStyle w:val="TextoNormal"/>
      </w:pPr>
      <w:r>
        <w:t>Alega también que es un hecho incontestable que la Comunidad Autónoma del País Vasco ya gestiona y paga las pensiones no contributivas por jubilación e invalidez que la Ley 26/1990 reconoció como prestaciones de la Seguridad Social y es evidente que ello no ha ocasionado quiebra alguna de la unidad de caja de la Seguridad Social.</w:t>
      </w:r>
    </w:p>
    <w:p w14:paraId="64A9A3F9" w14:textId="77777777" w:rsidR="009D7677" w:rsidRDefault="009D7677" w:rsidP="009D7677">
      <w:pPr>
        <w:pStyle w:val="TextoNormal"/>
      </w:pPr>
    </w:p>
    <w:p w14:paraId="60267EDB" w14:textId="77777777" w:rsidR="009D7677" w:rsidRDefault="009D7677" w:rsidP="009D7677">
      <w:pPr>
        <w:pStyle w:val="TextoNormal"/>
      </w:pPr>
      <w:r>
        <w:t>A continuación, el Gobierno Vasco expone cómo ha ido cambiando el marco de protección social que garantiza el art. 41 CE, destacando la evolución de la Seguridad Social “interna”, a la que se han incorporado las prestaciones no contributivas (STC 158/2021). También alude a los hitos históricos en la materia del art. 149.1.17 CE, exponiendo las sentencias recaídas sobre ella. Asimismo, alude al régimen de financiación y de gestión específico para las prestaciones no contributivas, diferenciándolo del contributivo, y hace un excurso sobre la evolución de otras acciones protectoras del Estado inicialmente integradas en la Seguridad Social y financiadas por la TGSS.</w:t>
      </w:r>
    </w:p>
    <w:p w14:paraId="3161D90B" w14:textId="77777777" w:rsidR="009D7677" w:rsidRDefault="009D7677" w:rsidP="009D7677">
      <w:pPr>
        <w:pStyle w:val="TextoNormal"/>
      </w:pPr>
    </w:p>
    <w:p w14:paraId="16D6F2F8" w14:textId="77777777" w:rsidR="009D7677" w:rsidRDefault="009D7677" w:rsidP="009D7677">
      <w:pPr>
        <w:pStyle w:val="TextoNormal"/>
      </w:pPr>
      <w:r>
        <w:t>El letrado autonómico sostiene, asimismo, que el art. 41 CE no prejuzga ningún modelo de la Seguridad Social. Es el legislador estatal, al regular las “bases del sistema” y su “régimen económico” quien debe configurar en cada momento la dimensión y contenido concreto que se haya querido dar a la llamada acción protectora pública de la Seguridad Social. Señala que el art. 41 CE concibe el sistema de Seguridad Social como una “función del Estado” de protección a los ciudadanos ante situaciones de necesidad. Salvada esta limitación, los derechos que los ciudadanos pueden tener en materia de Seguridad Social son de estricta configuración legal, disponiendo el legislador de un amplio margen de configuración, por ejemplo, para establecer una gestión descentralizada de esta prestación no contributiva.</w:t>
      </w:r>
    </w:p>
    <w:p w14:paraId="11733298" w14:textId="77777777" w:rsidR="009D7677" w:rsidRDefault="009D7677" w:rsidP="009D7677">
      <w:pPr>
        <w:pStyle w:val="TextoNormal"/>
      </w:pPr>
    </w:p>
    <w:p w14:paraId="2CF5A9DC" w14:textId="77777777" w:rsidR="009D7677" w:rsidRDefault="009D7677" w:rsidP="009D7677">
      <w:pPr>
        <w:pStyle w:val="TextoNormal"/>
      </w:pPr>
      <w:r>
        <w:t>c) Por otro lado, el Gobierno Vasco aduce que los recurrentes no han argumentado por qué consideran que la norma impugnada conlleva el quebranto del sistema constitucional de la Seguridad Social. Se indica que en el momento de la aprobación del ingreso mínimo vital el País Vasco ya tenía una experiencia acumulada de trece años distribuyendo los fondos de una ayuda social (renta de garantía de ingresos) configurada de modo muy parecido al ingreso mínimo vital. Asimismo, reitera que el País Vasco lleva gestionando y pagando desde hace décadas las prestaciones no contributivas de jubilación e invalidez y financiándolas conforme al sistema del concierto económico. Aduce que la caja única de la Seguridad Social no se puede identificar como una incompatibilidad con la utilización de formas descentralizadas pues la centralización única no existe, ni siquiera en el seno de la Seguridad Social, ya que buena parte de su gestión se efectúa por entes colaboradores. Afirma que la decisión del legislador de crear una nueva prestación no contributiva y atribuirla a la Comunidad Autónoma del País Vasco, por sus especificidades forales, supone una continuidad del modelo definido en relación con las prestaciones no contributivas.</w:t>
      </w:r>
    </w:p>
    <w:p w14:paraId="073FA240" w14:textId="77777777" w:rsidR="009D7677" w:rsidRDefault="009D7677" w:rsidP="009D7677">
      <w:pPr>
        <w:pStyle w:val="TextoNormal"/>
      </w:pPr>
    </w:p>
    <w:p w14:paraId="3E36728D" w14:textId="77777777" w:rsidR="009D7677" w:rsidRDefault="009D7677" w:rsidP="009D7677">
      <w:pPr>
        <w:pStyle w:val="TextoNormal"/>
      </w:pPr>
      <w:r>
        <w:t xml:space="preserve">Invoca las SSTC 128/2016, FJ 9; 133/2019, FJ 5, y 158/2021, FJ 5, según las cuales las comunidades autónomas pueden gestionar íntegramente las prestaciones no contributivas si no se comprometen los principios constitucionales de la institución de la Seguridad Social y se suscribe un convenio, en el caso vasco previsto en la disposición transitoria quinta EAPV, en el que se coordinen la ejecución de estos servicios y funciones ejecutivas a desarrollar. Por tanto, la asunción de estas funciones y servicios no tienen lugar </w:t>
      </w:r>
      <w:r w:rsidRPr="009D7677">
        <w:rPr>
          <w:i/>
        </w:rPr>
        <w:t>ope legis</w:t>
      </w:r>
      <w:r>
        <w:t>, sino que exige, de acuerdo con la doctrina establecida en la STC 158/2021, FJ 5, un convenio previo en el que se disponga “los términos [en los] que se acuerde” el traspaso.</w:t>
      </w:r>
    </w:p>
    <w:p w14:paraId="1BB81B4C" w14:textId="77777777" w:rsidR="009D7677" w:rsidRDefault="009D7677" w:rsidP="009D7677">
      <w:pPr>
        <w:pStyle w:val="TextoNormal"/>
      </w:pPr>
    </w:p>
    <w:p w14:paraId="07C0F8BE" w14:textId="77777777" w:rsidR="009D7677" w:rsidRDefault="009D7677" w:rsidP="009D7677">
      <w:pPr>
        <w:pStyle w:val="TextoNormal"/>
      </w:pPr>
      <w:r>
        <w:t>d) El letrado del Gobierno Vasco termina recalcando que la norma impugnada no cuestiona la titularidad estatal de todos los recursos de la Seguridad Social y se limita a establecer un sistema organizativo que no engendra desigualdades entre los ciudadanos en lo que atañe a la satisfacción de sus derechos y al cumplimiento de sus obligaciones de Seguridad Social, pues las funciones asumidas por la comunidad autónoma, previo convenio (cita la STC 158/2021, FJ 5), son estrictamente de gestión, correspondiendo al Estado la competencia normativa y de coordinación.</w:t>
      </w:r>
    </w:p>
    <w:p w14:paraId="2AF59726" w14:textId="77777777" w:rsidR="009D7677" w:rsidRDefault="009D7677" w:rsidP="009D7677">
      <w:pPr>
        <w:pStyle w:val="TextoNormal"/>
      </w:pPr>
    </w:p>
    <w:p w14:paraId="57406FC8" w14:textId="60505CA8" w:rsidR="009D7677" w:rsidRDefault="009D7677" w:rsidP="009D7677">
      <w:pPr>
        <w:pStyle w:val="TextoNormal"/>
      </w:pPr>
      <w:r>
        <w:t>Por último, rechaza la alegación de los recurrentes por la que la disposición impugnada, al prever un diferente régimen ejecutivo para las comunidades autónomas vasca y navarra vulnere la igualdad. Con cita de la STC 37/1987, alega que “el principio constitucional de igualdad no impone que todas las comunidades autónomas ostenten las mismas competencias”. Las diferencias que puedan existir entre las comunidades autónomas por la atribución de una tarea concreta de gestión no pueden vulnerar la igualdad de derechos y obligaciones de los beneficiarios del ingreso mínimo vital. Además, la norma impugnada no transfiere una competencia inaccesible para otras comunidades autónomas, sino que solo hay una diferente intensidad en el ejercicio de la competencia de ejecución que se justifica en las singularidades constitucionales que las comunidades de régimen foral tienen en materia hacendística.</w:t>
      </w:r>
    </w:p>
    <w:p w14:paraId="343FC2AD" w14:textId="77777777" w:rsidR="009D7677" w:rsidRDefault="009D7677" w:rsidP="009D7677">
      <w:pPr>
        <w:pStyle w:val="TextoNormal"/>
      </w:pPr>
    </w:p>
    <w:p w14:paraId="69BD5B50" w14:textId="77777777" w:rsidR="009D7677" w:rsidRDefault="009D7677" w:rsidP="009D7677">
      <w:pPr>
        <w:pStyle w:val="TextoNormal"/>
      </w:pPr>
      <w:r w:rsidRPr="009D7677">
        <w:rPr>
          <w:rStyle w:val="NumeroAFNegritaCaracter"/>
        </w:rPr>
        <w:t>13</w:t>
      </w:r>
      <w:r>
        <w:t xml:space="preserve">. Por escrito registrado en el Tribunal el 29 de agosto de 2022 formuló sus alegaciones la Comunidad Foral de Navarra. Tras señalar que el título competencial específico en el que ha de encuadrarse la disposición impugnada es el previsto en el art. 149.1.17 CE, </w:t>
      </w:r>
      <w:r>
        <w:lastRenderedPageBreak/>
        <w:t>que atribuye a las comunidades autónomas competencias ejecutivas en materia de Seguridad Social, alega que la medida no compromete la unidad del sistema ni su funcionamiento económico uniforme, ya que la titularidad de los recursos en esta materia es estatal y no permite a la Comunidad Foral el desarrollo de ninguna política propia en materia de Seguridad Social.</w:t>
      </w:r>
    </w:p>
    <w:p w14:paraId="5D80964C" w14:textId="77777777" w:rsidR="009D7677" w:rsidRDefault="009D7677" w:rsidP="009D7677">
      <w:pPr>
        <w:pStyle w:val="TextoNormal"/>
      </w:pPr>
    </w:p>
    <w:p w14:paraId="78B21414" w14:textId="77777777" w:rsidR="009D7677" w:rsidRDefault="009D7677" w:rsidP="009D7677">
      <w:pPr>
        <w:pStyle w:val="TextoNormal"/>
      </w:pPr>
      <w:r>
        <w:t>a) El Gobierno navarro considera que, de acuerdo con la doctrina constitucional, la delimitación precisa por el legislador del Estado del régimen de una prestación permite la descentralización de las funciones de reconocimiento, concesión y pago, al tratarse de “una actividad ejecutiva reglada en alto grado” (cita las SSTC 40/2019, de 27 de marzo, FJ 4; 100/2017, de 20 de julio, y 153/2019, de 25 de noviembre). Aduce, asimismo, que el hecho de que el abono material se lleve a cabo por la Comunidad Foral no afecta a los aspectos sustanciales que el Tribunal Constitucional ha considerado garantes de la unidad del régimen económico de la Seguridad Social pues, al tratarse de una prestación no contributiva, la mera actuación de abono no compromete la unidad del sistema, no perturba el funcionamiento económico uniforme ni la igualdad, ni tampoco pone en cuestión la titularidad estatal de los recursos de la Seguridad Social.</w:t>
      </w:r>
    </w:p>
    <w:p w14:paraId="761F3E34" w14:textId="77777777" w:rsidR="009D7677" w:rsidRDefault="009D7677" w:rsidP="009D7677">
      <w:pPr>
        <w:pStyle w:val="TextoNormal"/>
      </w:pPr>
    </w:p>
    <w:p w14:paraId="046379D1" w14:textId="77777777" w:rsidR="009D7677" w:rsidRDefault="009D7677" w:rsidP="009D7677">
      <w:pPr>
        <w:pStyle w:val="TextoNormal"/>
      </w:pPr>
      <w:r>
        <w:t>El letrado de la Comunidad Foral pone de manifiesto, por otra parte, que el art. 54 de la Ley Orgánica de reintegración y amejoramiento del régimen foral de Navarra confiere de forma expresa a la Comunidad Foral la gestión del régimen económico de la Seguridad Social y que, por acuerdo de la junta de transferencias de 31 de marzo de 2022, Navarra ha asumido la gestión del ingreso mínimo vital en términos respetuosos con las competencias del Estado.</w:t>
      </w:r>
    </w:p>
    <w:p w14:paraId="2ADCE363" w14:textId="77777777" w:rsidR="009D7677" w:rsidRDefault="009D7677" w:rsidP="009D7677">
      <w:pPr>
        <w:pStyle w:val="TextoNormal"/>
      </w:pPr>
    </w:p>
    <w:p w14:paraId="334004F3" w14:textId="77777777" w:rsidR="009D7677" w:rsidRDefault="009D7677" w:rsidP="009D7677">
      <w:pPr>
        <w:pStyle w:val="TextoNormal"/>
      </w:pPr>
      <w:r>
        <w:t>Junto a ello, alude a que las comunidades autónomas ya gestionan las prestaciones no contributivas de jubilación e invalidez. Señala que la disposición adicional cuarta de la Ley 26/1990 establecía que dichas prestaciones no contributivas serían gestionadas por el Instituto Nacional de Servicios Sociales o, en su caso, por las comunidades autónomas estatutariamente competentes a las que se hubieran transferidos los servicios del referido organismo, autorizando, además, al Gobierno para que pudiera establecer con las comunidades autónomas los oportunos conciertos con el fin de que las pensiones no contributivas de la Seguridad Social pudiesen ser gestionadas por aquellas, que es el modelo que reproduce la disposición recurrida. Se indica que Navarra viene desempeñando, sin cuestionamiento alguno, las labores de reconocimiento y pago de las prestaciones no contributiva de jubilación y de invalidez con un sistema de financiación similar al que se ha establecido respecto del ingreso mínimo vital, a través del convenio económico.</w:t>
      </w:r>
    </w:p>
    <w:p w14:paraId="48C4A2E1" w14:textId="77777777" w:rsidR="009D7677" w:rsidRDefault="009D7677" w:rsidP="009D7677">
      <w:pPr>
        <w:pStyle w:val="TextoNormal"/>
      </w:pPr>
    </w:p>
    <w:p w14:paraId="2C75F0AA" w14:textId="77777777" w:rsidR="009D7677" w:rsidRDefault="009D7677" w:rsidP="009D7677">
      <w:pPr>
        <w:pStyle w:val="TextoNormal"/>
      </w:pPr>
      <w:r>
        <w:t>b) Esta parte procesal justifica la atribución a las comunidades autónomas forales de las tareas ejecutivas previstas en la norma impugnada en las peculiaridades de su sistema de financiación, pues la compensación del coste se hará cuando haya de calcularse la aportación al Estado, con el correspondiente descuento. Así se deduce del acuerdo de la junta de transferencias administración del Estado- Comunidad Foral de Navarra de 31 de marzo de 2022 por el que Navarra asumió la gestión y el pago del ingreso mínimo vital.</w:t>
      </w:r>
    </w:p>
    <w:p w14:paraId="2F54427C" w14:textId="77777777" w:rsidR="009D7677" w:rsidRDefault="009D7677" w:rsidP="009D7677">
      <w:pPr>
        <w:pStyle w:val="TextoNormal"/>
      </w:pPr>
    </w:p>
    <w:p w14:paraId="7220C3A5" w14:textId="77777777" w:rsidR="009D7677" w:rsidRDefault="009D7677" w:rsidP="009D7677">
      <w:pPr>
        <w:pStyle w:val="TextoNormal"/>
      </w:pPr>
      <w:r>
        <w:t xml:space="preserve">La Comunidad Foral de Navarra finaliza sus alegaciones concluyendo que la norma que se impugna respeta la Constitución. Fundamenta esto en que la prestación la regula íntegramente el legislador estatal, siendo las tareas asumidas de mera ejecución, que no </w:t>
      </w:r>
      <w:r>
        <w:lastRenderedPageBreak/>
        <w:t>comprometen la unidad del sistema, ni su funcionamiento económico uniforme, ni la igualdad de los españoles, ni la titularidad de los recursos de la Seguridad Social. Al igual que el País Vasco, Navarra descontará de las aportaciones que realiza al Estado el importe correspondiente al ingreso mínimo vital.</w:t>
      </w:r>
    </w:p>
    <w:p w14:paraId="571C2C54" w14:textId="77777777" w:rsidR="009D7677" w:rsidRDefault="009D7677" w:rsidP="009D7677">
      <w:pPr>
        <w:pStyle w:val="TextoNormal"/>
      </w:pPr>
    </w:p>
    <w:p w14:paraId="0DF3683F" w14:textId="6EDD80BC" w:rsidR="009D7677" w:rsidRDefault="009D7677" w:rsidP="009D7677">
      <w:pPr>
        <w:pStyle w:val="TextoNormal"/>
      </w:pPr>
      <w:r>
        <w:t>Las consideraciones expuestas llevan al letrado autonómico a solicitar la desestimación íntegra del recurso de inconstitucionalidad.</w:t>
      </w:r>
    </w:p>
    <w:p w14:paraId="246351BC" w14:textId="77777777" w:rsidR="009D7677" w:rsidRDefault="009D7677" w:rsidP="009D7677">
      <w:pPr>
        <w:pStyle w:val="TextoNormal"/>
      </w:pPr>
    </w:p>
    <w:p w14:paraId="62040A23" w14:textId="587E66C4" w:rsidR="009D7677" w:rsidRDefault="009D7677" w:rsidP="009D7677">
      <w:pPr>
        <w:pStyle w:val="TextoNormal"/>
      </w:pPr>
      <w:r w:rsidRPr="009D7677">
        <w:rPr>
          <w:rStyle w:val="NumeroAFNegritaCaracter"/>
        </w:rPr>
        <w:t>14</w:t>
      </w:r>
      <w:r>
        <w:t>. Mediante ATC 14/2024, de 13 de febrero, el Pleno aceptó la solicitud de abstención formulada por el magistrado don Juan Carlos Campo Moreno, al amparo de lo previsto en los arts. 217 y 221 de la Ley Orgánica del Poder Judicial, por haber participado, en su anterior condición de ministro de Justicia, en el Consejo de Ministros en el que se aprobó el Real Decreto-ley 20/2020, de 29 de mayo, que después fue tramitado por las Cortes como proyecto de ley que dio lugar a la Ley 19/2021, de 20 de diciembre, por la que se establece el ingreso mínimo vital.</w:t>
      </w:r>
    </w:p>
    <w:p w14:paraId="2763E045" w14:textId="77777777" w:rsidR="009D7677" w:rsidRDefault="009D7677" w:rsidP="009D7677">
      <w:pPr>
        <w:pStyle w:val="TextoNormal"/>
      </w:pPr>
    </w:p>
    <w:p w14:paraId="2A288CC1" w14:textId="70AC83D4" w:rsidR="009D7677" w:rsidRDefault="009D7677" w:rsidP="009D7677">
      <w:pPr>
        <w:pStyle w:val="TextoNormal"/>
      </w:pPr>
      <w:r w:rsidRPr="009D7677">
        <w:rPr>
          <w:rStyle w:val="NumeroAFNegritaCaracter"/>
        </w:rPr>
        <w:t>15</w:t>
      </w:r>
      <w:r>
        <w:t>. Mediante providencia de 27 de febrero de 2024, se señaló para deliberación y votación de la presente sentencia el día 28 del mismo mes y año.</w:t>
      </w:r>
    </w:p>
    <w:p w14:paraId="2F6A9168" w14:textId="77777777" w:rsidR="009D7677" w:rsidRDefault="009D7677" w:rsidP="009D7677">
      <w:pPr>
        <w:pStyle w:val="TextoNormal"/>
      </w:pPr>
    </w:p>
    <w:p w14:paraId="3D735AFB" w14:textId="77777777" w:rsidR="009D7677" w:rsidRDefault="009D7677" w:rsidP="009D7677">
      <w:pPr>
        <w:pStyle w:val="TextoNormalNegritaCentrado"/>
        <w:keepNext/>
      </w:pPr>
      <w:r>
        <w:t>II. Fundamentos jurídicos</w:t>
      </w:r>
    </w:p>
    <w:p w14:paraId="425B8091" w14:textId="4B600381" w:rsidR="009D7677" w:rsidRDefault="009D7677" w:rsidP="009D7677">
      <w:pPr>
        <w:pStyle w:val="TextoNormalNegritaCentrado"/>
        <w:keepNext/>
      </w:pPr>
    </w:p>
    <w:p w14:paraId="064042D8" w14:textId="77777777" w:rsidR="009D7677" w:rsidRDefault="009D7677" w:rsidP="009D7677">
      <w:pPr>
        <w:pStyle w:val="TextoNormal"/>
      </w:pPr>
      <w:r w:rsidRPr="009D7677">
        <w:rPr>
          <w:rStyle w:val="NumeroAFNegritaCaracter"/>
        </w:rPr>
        <w:t>1</w:t>
      </w:r>
      <w:r>
        <w:t xml:space="preserve">. </w:t>
      </w:r>
      <w:r w:rsidRPr="009D7677">
        <w:rPr>
          <w:i/>
        </w:rPr>
        <w:t>Objeto del recurso y posiciones de las partes</w:t>
      </w:r>
    </w:p>
    <w:p w14:paraId="41893CFE" w14:textId="77777777" w:rsidR="009D7677" w:rsidRDefault="009D7677" w:rsidP="009D7677">
      <w:pPr>
        <w:pStyle w:val="TextoNormal"/>
      </w:pPr>
    </w:p>
    <w:p w14:paraId="7DAEBF1F" w14:textId="77777777" w:rsidR="009D7677" w:rsidRDefault="009D7677" w:rsidP="009D7677">
      <w:pPr>
        <w:pStyle w:val="TextoNormal"/>
      </w:pPr>
      <w:r>
        <w:t>Más de cincuenta diputados del Grupo Parlamentario Popular en el Congreso de los Diputados promueven un recurso de inconstitucionalidad contra la disposición adicional quinta de la Ley 19/2021, de 20 de diciembre, por la que se establece el ingreso mínimo vital, en la redacción dada por la disposición final trigésima de la Ley 22/2021, de 28 de diciembre, de presupuestos generales del Estado para el año 2022, precepto que ha quedado reproducido en el antecedente primero de esta resolución.</w:t>
      </w:r>
    </w:p>
    <w:p w14:paraId="414AF9CB" w14:textId="77777777" w:rsidR="009D7677" w:rsidRDefault="009D7677" w:rsidP="009D7677">
      <w:pPr>
        <w:pStyle w:val="TextoNormal"/>
      </w:pPr>
    </w:p>
    <w:p w14:paraId="731BEC66" w14:textId="77777777" w:rsidR="009D7677" w:rsidRDefault="009D7677" w:rsidP="009D7677">
      <w:pPr>
        <w:pStyle w:val="TextoNormal"/>
      </w:pPr>
      <w:r>
        <w:t>a) Los recurrentes consideran que la disposición impugnada, al otorgar a la Comunidad Autónoma del País Vasco y a la Comunidad Foral de Navarra competencias en relación con el ingreso mínimo vital vulnera las competencias exclusivas que corresponden al Estado conforme al art. 149.1.17 CE. Asimismo, alegan que se vulnera la disposición adicional primera CE, pues este precepto no contiene un título competencial adecuado para una transferencia en materia de Seguridad Social. Por último, denuncian la vulneración de los arts. 14, 41 y 149.1.1 CE, en relación con el principio de igualdad.</w:t>
      </w:r>
    </w:p>
    <w:p w14:paraId="3716E0D9" w14:textId="77777777" w:rsidR="009D7677" w:rsidRDefault="009D7677" w:rsidP="009D7677">
      <w:pPr>
        <w:pStyle w:val="TextoNormal"/>
      </w:pPr>
    </w:p>
    <w:p w14:paraId="2D908F24" w14:textId="77777777" w:rsidR="009D7677" w:rsidRDefault="009D7677" w:rsidP="009D7677">
      <w:pPr>
        <w:pStyle w:val="TextoNormal"/>
      </w:pPr>
      <w:r>
        <w:t>El abogado del Estado considera que solo debe analizarse el párrafo primero de la disposición adicional quinta de la Ley 19/2021, pues sobre el segundo los recurrentes no han satisfecho la carga de argumentar la contradicción con la Constitución. En cuanto al fondo, solicita que se desestime la impugnación porque la atribución de facultades de gestión a las comunidades forales no conlleva una ruptura del régimen de caja única de la Seguridad Social ni de su modelo unitario. La disposición impugnada solo prevé, con los condicionamientos establecidos por el Estado, un mandato de pago material que ejecutan las comunidades forales, sin perjuicio de que los correspondientes flujos financieros se articulen a través de su específico sistema de financiación.</w:t>
      </w:r>
    </w:p>
    <w:p w14:paraId="53B3BD19" w14:textId="77777777" w:rsidR="009D7677" w:rsidRDefault="009D7677" w:rsidP="009D7677">
      <w:pPr>
        <w:pStyle w:val="TextoNormal"/>
      </w:pPr>
    </w:p>
    <w:p w14:paraId="176DCBE9" w14:textId="77777777" w:rsidR="009D7677" w:rsidRDefault="009D7677" w:rsidP="009D7677">
      <w:pPr>
        <w:pStyle w:val="TextoNormal"/>
      </w:pPr>
      <w:r>
        <w:t>También solicitan la desestimación los letrados de la Comunidad Autónoma del País Vasco y de la Comunidad Foral de Navarra, que han comparecido como coadyuvantes del Gobierno. Con argumentos sustancialmente coincidentes entre sí, razonan que los respectivos estatutos asumen competencias en materia de “gestión del régimen económico de la Seguridad Social”, lo que es compatible con la unidad del sistema de Seguridad Social y con la titularidad estatal de sus recursos. Para garantizar esto, la disposición adicional quinta de la Ley 19/2021 remite a los términos que se acuerden con el Estado. Insisten en que dicho precepto establece el mismo procedimiento que se viene aplicando para la gestión de las pensiones no contributivas de jubilación e invalidez por las comunidades forales. Estas, en virtud de su específico sistema de financiación, asumen el pago de dichas pensiones, descontando del cupo o aportación el importe calculado conforme al régimen del concierto y convenio, y esto es justamente lo que ahora se establece para el ingreso mínimo vital.</w:t>
      </w:r>
    </w:p>
    <w:p w14:paraId="757804D8" w14:textId="77777777" w:rsidR="009D7677" w:rsidRDefault="009D7677" w:rsidP="009D7677">
      <w:pPr>
        <w:pStyle w:val="TextoNormal"/>
      </w:pPr>
    </w:p>
    <w:p w14:paraId="060EB5DC" w14:textId="77777777" w:rsidR="009D7677" w:rsidRDefault="009D7677" w:rsidP="009D7677">
      <w:pPr>
        <w:pStyle w:val="TextoNormal"/>
      </w:pPr>
      <w:r>
        <w:t>b) La disposición impugnada ha sido ya enjuiciada por este tribunal en la STC 19/2024, de 31 de enero, que ha desestimado íntegramente el recurso de inconstitucionalidad núm. 1937-2022 interpuesto contra ella por más de cincuenta diputados del Grupo Parlamentario Vox en el Congreso de los Diputados.</w:t>
      </w:r>
    </w:p>
    <w:p w14:paraId="69EC1A9B" w14:textId="77777777" w:rsidR="009D7677" w:rsidRDefault="009D7677" w:rsidP="009D7677">
      <w:pPr>
        <w:pStyle w:val="TextoNormal"/>
      </w:pPr>
    </w:p>
    <w:p w14:paraId="776A8F71" w14:textId="32EEA383" w:rsidR="009D7677" w:rsidRDefault="009D7677" w:rsidP="009D7677">
      <w:pPr>
        <w:pStyle w:val="TextoNormal"/>
      </w:pPr>
      <w:r>
        <w:t>Siendo los motivos de inconstitucionalidad esgrimidos en ambos procesos sustancialmente coincidentes, procede resolver el presente recurso aplicando la doctrina de dicha sentencia.</w:t>
      </w:r>
    </w:p>
    <w:p w14:paraId="0D5A603F" w14:textId="77777777" w:rsidR="009D7677" w:rsidRDefault="009D7677" w:rsidP="009D7677">
      <w:pPr>
        <w:pStyle w:val="TextoNormal"/>
      </w:pPr>
    </w:p>
    <w:p w14:paraId="6726DC37" w14:textId="77777777" w:rsidR="009D7677" w:rsidRDefault="009D7677" w:rsidP="009D7677">
      <w:pPr>
        <w:pStyle w:val="TextoNormal"/>
      </w:pPr>
      <w:r w:rsidRPr="009D7677">
        <w:rPr>
          <w:rStyle w:val="NumeroAFNegritaCaracter"/>
        </w:rPr>
        <w:t>2</w:t>
      </w:r>
      <w:r>
        <w:t xml:space="preserve">. </w:t>
      </w:r>
      <w:r w:rsidRPr="009D7677">
        <w:rPr>
          <w:i/>
        </w:rPr>
        <w:t>Desestimación por remisión a la STC 19/2024, de 31 de enero</w:t>
      </w:r>
    </w:p>
    <w:p w14:paraId="6A13A893" w14:textId="77777777" w:rsidR="009D7677" w:rsidRDefault="009D7677" w:rsidP="009D7677">
      <w:pPr>
        <w:pStyle w:val="TextoNormal"/>
      </w:pPr>
    </w:p>
    <w:p w14:paraId="3FC24B19" w14:textId="77777777" w:rsidR="009D7677" w:rsidRDefault="009D7677" w:rsidP="009D7677">
      <w:pPr>
        <w:pStyle w:val="TextoNormal"/>
      </w:pPr>
      <w:r>
        <w:t>a) Debemos comenzar dando por reproducido el fundamento jurídico 3 de la STC 19/2024 sobre el encuadramiento material y la distribución competencial aplicable. En dicho fundamento jurídico hemos considerado, con base en la STC 158/2021, de 16 de septiembre, FJ 3, que los actos de gestión del ingreso mínimo vital se enmarcan en el “régimen económico” de la Seguridad Social. Y hemos concluido, de acuerdo con las SSTC 124/1989, de 7 de junio, FJ 3, y 133/2019, de 13 de noviembre, FJ 5, que las comunidades autónomas que asuman en sus estatutos la competencia de “gestión del régimen económico de la Seguridad Social”, como es el caso del País Vasco y la Comunidad Foral de Navarra, podrán realizar, previo convenio con el Estado, aquellos actos de gestión que no comprometan la caja única ni el modelo unitario de Seguridad Social.</w:t>
      </w:r>
    </w:p>
    <w:p w14:paraId="5B3ABB59" w14:textId="77777777" w:rsidR="009D7677" w:rsidRDefault="009D7677" w:rsidP="009D7677">
      <w:pPr>
        <w:pStyle w:val="TextoNormal"/>
      </w:pPr>
    </w:p>
    <w:p w14:paraId="293D8B1E" w14:textId="77777777" w:rsidR="009D7677" w:rsidRDefault="009D7677" w:rsidP="009D7677">
      <w:pPr>
        <w:pStyle w:val="TextoNormal"/>
      </w:pPr>
      <w:r>
        <w:t>b) A partir de la conclusión anterior, hemos razonado que la previsión de que las comunidades autónomas de régimen foral asumirán “las funciones y servicios correspondientes que en esta ley se atribuyen al Instituto Nacional de la Seguridad Social” (primer inciso del párrafo primero de la disposición adicional quinta de la Ley 19/2021) no menoscaba la caja única, pues no afecta a las funciones de la Tesorería General de la Seguridad Social. Y tampoco afecta al modelo unitario porque no compromete la unidad del sistema; ni perturba su funcionamiento económico uniforme; ni cuestiona la titularidad estatal de todos los recursos de la Seguridad Social; ni engendra directa o indirectamente desigualdades entre los ciudadanos en lo que atañe a la satisfacción de sus derechos y al cumplimiento de sus obligaciones de Seguridad Social (STC 19/2024, FJ 4, con cita de la STC 124/1989, FJ 3).</w:t>
      </w:r>
    </w:p>
    <w:p w14:paraId="0840CD4E" w14:textId="77777777" w:rsidR="009D7677" w:rsidRDefault="009D7677" w:rsidP="009D7677">
      <w:pPr>
        <w:pStyle w:val="TextoNormal"/>
      </w:pPr>
    </w:p>
    <w:p w14:paraId="15A3FEF5" w14:textId="77777777" w:rsidR="009D7677" w:rsidRDefault="009D7677" w:rsidP="009D7677">
      <w:pPr>
        <w:pStyle w:val="TextoNormal"/>
      </w:pPr>
      <w:r>
        <w:t>Asimismo, en la mencionada STC 19/2024 hemos enjuiciado el segundo inciso del párrafo primero de la disposición impugnada, referido al pago de la prestación del ingreso mínimo vital por la Comunidad Autónoma del País Vasco y la Comunidad Foral de Navarra. Tras aclarar que la disposición adicional primera CE no reconoce ninguna especialidad respecto de “la gestión del régimen económico de la Seguridad Social”, puesto que esta competencia corresponde a todas las comunidades autónomas que, con la misma o análoga expresión, la hayan asumido en sus estatutos, hemos indicado que el régimen de financiación foral sí juega un papel diferencial en cuanto a la ejecución material del pago. Dicho régimen permite a las comunidades forales asumir el pago del ingreso mínimo vital y descontar del cupo y de la aportación la cantidad que corresponde conforme a las reglas del concierto y del convenio, tal y como se viene haciendo con las pensiones no contributivas de jubilación de invalidez de la Seguridad Social, desde su creación por la Ley 26/1990, de 20 de diciembre (STC 19/2024, FJ 5).</w:t>
      </w:r>
    </w:p>
    <w:p w14:paraId="68334105" w14:textId="77777777" w:rsidR="009D7677" w:rsidRDefault="009D7677" w:rsidP="009D7677">
      <w:pPr>
        <w:pStyle w:val="TextoNormal"/>
      </w:pPr>
    </w:p>
    <w:p w14:paraId="5FB1C92B" w14:textId="77777777" w:rsidR="009D7677" w:rsidRDefault="009D7677" w:rsidP="009D7677">
      <w:pPr>
        <w:pStyle w:val="TextoNormal"/>
      </w:pPr>
      <w:r>
        <w:t>A la misma conclusión debemos llegar aquí, reiterando que ninguno de los incisos del precepto impugnado vulnera la distribución de competencias establecida en el art. 149.1.17 CE, ni la disposición adicional primera CE, alegada por los diputados recurrentes del Grupo Parlamentario Popular.</w:t>
      </w:r>
    </w:p>
    <w:p w14:paraId="2991ECCA" w14:textId="77777777" w:rsidR="009D7677" w:rsidRDefault="009D7677" w:rsidP="009D7677">
      <w:pPr>
        <w:pStyle w:val="TextoNormal"/>
      </w:pPr>
    </w:p>
    <w:p w14:paraId="4619AE89" w14:textId="77777777" w:rsidR="009D7677" w:rsidRDefault="009D7677" w:rsidP="009D7677">
      <w:pPr>
        <w:pStyle w:val="TextoNormal"/>
      </w:pPr>
      <w:r>
        <w:t xml:space="preserve">Lo anterior también nos lleva a desestimar la invocación del art. 149.1.1 CE que hacen los recurrentes, ya que “la igualdad a preservar </w:t>
      </w:r>
      <w:r w:rsidRPr="009D7677">
        <w:rPr>
          <w:i/>
        </w:rPr>
        <w:t>ex</w:t>
      </w:r>
      <w:r>
        <w:t xml:space="preserve"> artículo 149.1.1 CE queda, en casos como este, subsumida y garantizada mediante unas u otras de las competencias básicas que el propio artículo 149.1 atribuye al Estado, esto es, para el caso actual, a través de las competencias estatales sobre Seguridad Social que el Estado ostenta en virtud del apartado 17 de dicho precepto” (STC 128/2016, de 7 de julio, FJ 9).</w:t>
      </w:r>
    </w:p>
    <w:p w14:paraId="39FCC7DB" w14:textId="77777777" w:rsidR="009D7677" w:rsidRDefault="009D7677" w:rsidP="009D7677">
      <w:pPr>
        <w:pStyle w:val="TextoNormal"/>
      </w:pPr>
    </w:p>
    <w:p w14:paraId="14F84C9C" w14:textId="77777777" w:rsidR="009D7677" w:rsidRDefault="009D7677" w:rsidP="009D7677">
      <w:pPr>
        <w:pStyle w:val="TextoNormal"/>
      </w:pPr>
      <w:r>
        <w:t>Igualmente, debemos descartar la vulneración de los arts. 14 y 41 CE que plantea la demanda. Por una parte, ya se ha indicado que la previsión impugnada “no engendra directa o indirectamente desigualdades entre los ciudadanos en lo que atañe a la satisfacción de sus derechos y al cumplimiento de sus obligaciones de Seguridad Social”, por lo que no hay infracción del art. 14 CE. Por otra, tampoco se menoscaba el “régimen público de Seguridad Social para todos los ciudadanos”, garantizado por el art. 41 CE, toda vez que el modelo unitario de Seguridad Social no queda afectado por la norma recurrida (STC 19/2024, FFJJ 4 y 5).</w:t>
      </w:r>
    </w:p>
    <w:p w14:paraId="4E3547F7" w14:textId="77777777" w:rsidR="009D7677" w:rsidRDefault="009D7677" w:rsidP="009D7677">
      <w:pPr>
        <w:pStyle w:val="TextoNormal"/>
      </w:pPr>
    </w:p>
    <w:p w14:paraId="2C3D47A3" w14:textId="77777777" w:rsidR="009D7677" w:rsidRDefault="009D7677" w:rsidP="009D7677">
      <w:pPr>
        <w:pStyle w:val="TextoNormal"/>
      </w:pPr>
      <w:r>
        <w:t>c) Finalmente, en relación con el párrafo segundo de la disposición adicional quinta de la Ley 19/2021, el abogado del Estado planteó un óbice procesal, al entender que los recurrentes no habían satisfecho la carga de argumentar su contradicción con la Constitución.</w:t>
      </w:r>
    </w:p>
    <w:p w14:paraId="72C55397" w14:textId="77777777" w:rsidR="009D7677" w:rsidRDefault="009D7677" w:rsidP="009D7677">
      <w:pPr>
        <w:pStyle w:val="TextoNormal"/>
      </w:pPr>
    </w:p>
    <w:p w14:paraId="1F62220F" w14:textId="77777777" w:rsidR="009D7677" w:rsidRDefault="009D7677" w:rsidP="009D7677">
      <w:pPr>
        <w:pStyle w:val="TextoNormal"/>
      </w:pPr>
      <w:r>
        <w:t>Este párrafo prevé una encomienda de gestión a las comunidades forales, en tanto no se produzca la asunción de funciones y servicios a que se refiere el párrafo primero. Dada la naturaleza instrumental de dicha previsión respecto del núcleo central de la controversia competencial, la objeción del abogado del Estado no puede estimarse.</w:t>
      </w:r>
    </w:p>
    <w:p w14:paraId="1CBC7141" w14:textId="77777777" w:rsidR="009D7677" w:rsidRDefault="009D7677" w:rsidP="009D7677">
      <w:pPr>
        <w:pStyle w:val="TextoNormal"/>
      </w:pPr>
    </w:p>
    <w:p w14:paraId="467D440A" w14:textId="77777777" w:rsidR="009D7677" w:rsidRDefault="009D7677" w:rsidP="009D7677">
      <w:pPr>
        <w:pStyle w:val="TextoNormal"/>
      </w:pPr>
      <w:r>
        <w:t xml:space="preserve">Dicho esto, habiendo desestimado la impugnación contra el párrafo primero, procede la misma decisión respecto del párrafo segundo, pues la encomienda de gestión solo incluye actuaciones “de carácter material o técnico” (art. 11 de la Ley 40/2015, de 1 de octubre, de </w:t>
      </w:r>
      <w:r>
        <w:lastRenderedPageBreak/>
        <w:t>régimen jurídico del sector público), como fórmula provisional y transitoria mientras se suscribe el acuerdo de asunción de funciones y servicios previsto en el párrafo primero; lo que ya se ha hecho tanto con la Comunidad Autónoma del País Vasco como con la Comunidad Foral de Navarra [STC 19/2024, FJ 5 c)].</w:t>
      </w:r>
    </w:p>
    <w:p w14:paraId="2247538B" w14:textId="77777777" w:rsidR="009D7677" w:rsidRDefault="009D7677" w:rsidP="009D7677">
      <w:pPr>
        <w:pStyle w:val="TextoNormal"/>
      </w:pPr>
    </w:p>
    <w:p w14:paraId="0EB54815" w14:textId="255CB4AB" w:rsidR="009D7677" w:rsidRDefault="009D7677" w:rsidP="009D7677">
      <w:pPr>
        <w:pStyle w:val="TextoNormal"/>
      </w:pPr>
      <w:r>
        <w:t>Con base en lo razonado, el recurso se desestima íntegramente.</w:t>
      </w:r>
    </w:p>
    <w:p w14:paraId="3E763312" w14:textId="77777777" w:rsidR="009D7677" w:rsidRDefault="009D7677" w:rsidP="009D7677">
      <w:pPr>
        <w:pStyle w:val="TextoNormal"/>
      </w:pPr>
    </w:p>
    <w:p w14:paraId="00DCCA82" w14:textId="77777777" w:rsidR="009D7677" w:rsidRDefault="009D7677" w:rsidP="009D7677">
      <w:pPr>
        <w:pStyle w:val="TextoNormalCentrado"/>
        <w:keepNext/>
      </w:pPr>
      <w:r>
        <w:t>FALLO</w:t>
      </w:r>
    </w:p>
    <w:p w14:paraId="16C826E6" w14:textId="1789144F" w:rsidR="009D7677" w:rsidRDefault="009D7677" w:rsidP="009D7677">
      <w:pPr>
        <w:pStyle w:val="TextoNormalCentrado"/>
        <w:keepNext/>
      </w:pPr>
    </w:p>
    <w:p w14:paraId="7C9CBF80" w14:textId="3F808ECD" w:rsidR="009D7677" w:rsidRDefault="009D7677" w:rsidP="009D7677">
      <w:pPr>
        <w:pStyle w:val="TextoNormal"/>
      </w:pPr>
      <w:r>
        <w:t>En atención a todo lo expuesto, el Tribunal Constitucional, por la autoridad que le confiere la Constitución de la Nación española, ha decidido desestimar íntegramente el recurso de inconstitucionalidad interpuesto por más de cincuenta diputados del Grupo Parlamentario Popular en el Congreso de los Diputados, contra la disposición adicional quinta de la Ley 19/2021, de 20 de diciembre, por la que se establece el ingreso mínimo vital, en la redacción dada por la disposición final trigésima de la Ley 22/2021, de 28 de diciembre, de presupuestos generales del Estado para el año 2022.</w:t>
      </w:r>
    </w:p>
    <w:p w14:paraId="2A3001C9" w14:textId="77777777" w:rsidR="009D7677" w:rsidRDefault="009D7677" w:rsidP="009D7677">
      <w:pPr>
        <w:pStyle w:val="TextoNormal"/>
      </w:pPr>
    </w:p>
    <w:p w14:paraId="04295DEA" w14:textId="77777777" w:rsidR="009D7677" w:rsidRDefault="009D7677" w:rsidP="009D7677">
      <w:pPr>
        <w:pStyle w:val="TextoNormal"/>
      </w:pPr>
      <w:r>
        <w:t>Publíquese esta sentencia en el “Boletín Oficial del Estado”.</w:t>
      </w:r>
    </w:p>
    <w:p w14:paraId="443E9983" w14:textId="77777777" w:rsidR="009D7677" w:rsidRDefault="009D7677" w:rsidP="009D7677">
      <w:pPr>
        <w:pStyle w:val="TextoNormal"/>
      </w:pPr>
      <w:r>
        <w:t>Dada en Madrid, a veintiocho de febrero de dos mil veinticuatro.</w:t>
      </w:r>
    </w:p>
    <w:p w14:paraId="3A4FE8C1" w14:textId="26A116A5" w:rsidR="009D7677" w:rsidRDefault="009D7677">
      <w:pPr>
        <w:spacing w:after="160" w:line="259" w:lineRule="auto"/>
        <w:rPr>
          <w:rFonts w:ascii="Times New Roman" w:eastAsia="Times New Roman" w:hAnsi="Times New Roman" w:cs="Times New Roman"/>
          <w:sz w:val="24"/>
          <w:szCs w:val="24"/>
          <w:lang w:eastAsia="es-ES"/>
        </w:rPr>
      </w:pPr>
      <w:r>
        <w:br w:type="page"/>
      </w:r>
    </w:p>
    <w:p w14:paraId="58E978E3" w14:textId="77777777" w:rsidR="009D7677" w:rsidRDefault="009D7677" w:rsidP="009D7677">
      <w:pPr>
        <w:pStyle w:val="TtuloResolucin"/>
      </w:pPr>
      <w:bookmarkStart w:id="35" w:name="SENTENCIA_2024_33"/>
      <w:r>
        <w:lastRenderedPageBreak/>
        <w:t>SENTENCIA 33/2024, de 11 de marzo de 2024</w:t>
      </w:r>
    </w:p>
    <w:bookmarkEnd w:id="35"/>
    <w:p w14:paraId="498EF980" w14:textId="77777777" w:rsidR="009D7677" w:rsidRDefault="009D7677" w:rsidP="009D7677">
      <w:pPr>
        <w:pStyle w:val="TtuloResolucin"/>
      </w:pPr>
      <w:r>
        <w:t>Sala Segunda</w:t>
      </w:r>
    </w:p>
    <w:p w14:paraId="77F98C6B" w14:textId="77777777" w:rsidR="009D7677" w:rsidRDefault="009D7677" w:rsidP="009D7677">
      <w:pPr>
        <w:pStyle w:val="TtuloBOE"/>
      </w:pPr>
      <w:r>
        <w:t>(BOE núm. 99, de 23 de abril de 2024)</w:t>
      </w:r>
    </w:p>
    <w:p w14:paraId="146FB5FB" w14:textId="77777777" w:rsidR="009D7677" w:rsidRDefault="009D7677" w:rsidP="009D7677">
      <w:pPr>
        <w:pStyle w:val="TextoNormalCentrado"/>
      </w:pPr>
      <w:r>
        <w:t>ECLI:ES:TC:2024:33</w:t>
      </w:r>
    </w:p>
    <w:p w14:paraId="23A50509" w14:textId="0CBEF2A7" w:rsidR="009D7677" w:rsidRDefault="009D7677" w:rsidP="009D7677">
      <w:pPr>
        <w:pStyle w:val="TextoNormalCentrado"/>
      </w:pPr>
    </w:p>
    <w:p w14:paraId="42D2D324" w14:textId="77777777" w:rsidR="009D7677" w:rsidRDefault="009D7677" w:rsidP="009D7677">
      <w:pPr>
        <w:pStyle w:val="SntesisDescriptiva"/>
      </w:pPr>
      <w:r>
        <w:t>Recurso de amparo 5582-2021. Promovido por don José Martínez López respecto de los autos de la Audiencia Provincial de Almería y un juzgado de primera instancia e instrucción de Vera que archivaron su querella por los delitos de detención ilegal, torturas y lesiones.</w:t>
      </w:r>
    </w:p>
    <w:p w14:paraId="732C6DB9" w14:textId="109BC49F" w:rsidR="009D7677" w:rsidRDefault="009D7677" w:rsidP="009D7677">
      <w:pPr>
        <w:pStyle w:val="SntesisDescriptiva"/>
      </w:pPr>
    </w:p>
    <w:p w14:paraId="2C15528D" w14:textId="77777777" w:rsidR="009D7677" w:rsidRDefault="009D7677" w:rsidP="009D7677">
      <w:pPr>
        <w:pStyle w:val="SntesisAnaltica"/>
      </w:pPr>
      <w:r>
        <w:t>Vulneración del derecho a la tutela judicial efectiva, en relación con el derecho a la integridad física y moral: investigación insuficiente de una denuncia de agresiones que se dicen padecidas bajo custodia policial (STC 12/2022).</w:t>
      </w:r>
    </w:p>
    <w:p w14:paraId="78411535" w14:textId="73D777A1" w:rsidR="009D7677" w:rsidRDefault="009D7677" w:rsidP="009D7677">
      <w:pPr>
        <w:pStyle w:val="SntesisAnaltica"/>
      </w:pPr>
    </w:p>
    <w:p w14:paraId="76EE0E62" w14:textId="23E07CAC" w:rsidR="009D7677" w:rsidRDefault="009D7677" w:rsidP="009D7677">
      <w:pPr>
        <w:pStyle w:val="Extracto"/>
      </w:pPr>
      <w:r>
        <w:t>1.</w:t>
      </w:r>
      <w:r>
        <w:tab/>
        <w:t>Aplicación de la doctrina constitucional en materia de investigación judicial suficiente y eficaz, precisa en los casos de denuncias por torturas y tratos inhumamos o degradantes, en el ámbito de la custodia de persona detenida por los agentes de las Fuerzas y cuerpos de seguridad del Estado (SSTC 34/2008, 12/2022 o 13/2022) [FJ 4].</w:t>
      </w:r>
    </w:p>
    <w:p w14:paraId="19705A39" w14:textId="77777777" w:rsidR="009D7677" w:rsidRDefault="009D7677" w:rsidP="009D7677">
      <w:pPr>
        <w:pStyle w:val="Extracto"/>
      </w:pPr>
    </w:p>
    <w:p w14:paraId="2B8E0267" w14:textId="77777777" w:rsidR="009D7677" w:rsidRDefault="009D7677" w:rsidP="009D7677">
      <w:pPr>
        <w:pStyle w:val="Extracto"/>
      </w:pPr>
    </w:p>
    <w:p w14:paraId="11C3317E" w14:textId="77777777" w:rsidR="009D7677" w:rsidRDefault="009D7677" w:rsidP="009D7677">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2BB1B4BE" w14:textId="63B0D408" w:rsidR="009D7677" w:rsidRDefault="009D7677" w:rsidP="009D7677">
      <w:pPr>
        <w:pStyle w:val="TextoNormal"/>
      </w:pPr>
    </w:p>
    <w:p w14:paraId="6721DE65" w14:textId="77777777" w:rsidR="009D7677" w:rsidRDefault="009D7677" w:rsidP="009D7677">
      <w:pPr>
        <w:pStyle w:val="TextoNormalCentrado"/>
        <w:keepNext/>
      </w:pPr>
      <w:r>
        <w:t>EN NOMBRE DEL REY</w:t>
      </w:r>
    </w:p>
    <w:p w14:paraId="4C4177E2" w14:textId="06A0EFF3" w:rsidR="009D7677" w:rsidRDefault="009D7677" w:rsidP="009D7677">
      <w:pPr>
        <w:pStyle w:val="TextoNormalCentrado"/>
        <w:keepNext/>
      </w:pPr>
    </w:p>
    <w:p w14:paraId="39D4BA32" w14:textId="77777777" w:rsidR="009D7677" w:rsidRDefault="009D7677" w:rsidP="009D7677">
      <w:pPr>
        <w:pStyle w:val="TextoNormalCentrado"/>
        <w:keepNext/>
      </w:pPr>
    </w:p>
    <w:p w14:paraId="2EB71956" w14:textId="77777777" w:rsidR="009D7677" w:rsidRDefault="009D7677" w:rsidP="009D7677">
      <w:pPr>
        <w:pStyle w:val="TextoNormal"/>
      </w:pPr>
      <w:r>
        <w:t>la siguiente</w:t>
      </w:r>
    </w:p>
    <w:p w14:paraId="67297540" w14:textId="3C83FE14" w:rsidR="009D7677" w:rsidRDefault="009D7677" w:rsidP="009D7677">
      <w:pPr>
        <w:pStyle w:val="TextoNormal"/>
      </w:pPr>
    </w:p>
    <w:p w14:paraId="2CC43611" w14:textId="77777777" w:rsidR="009D7677" w:rsidRDefault="009D7677" w:rsidP="009D7677">
      <w:pPr>
        <w:pStyle w:val="TextoNormalCentrado"/>
        <w:keepNext/>
      </w:pPr>
      <w:r>
        <w:t>SENTENCIA</w:t>
      </w:r>
    </w:p>
    <w:p w14:paraId="6BD7C953" w14:textId="50537534" w:rsidR="009D7677" w:rsidRDefault="009D7677" w:rsidP="009D7677">
      <w:pPr>
        <w:pStyle w:val="TextoNormalCentrado"/>
        <w:keepNext/>
      </w:pPr>
    </w:p>
    <w:p w14:paraId="512685EF" w14:textId="77777777" w:rsidR="009D7677" w:rsidRDefault="009D7677" w:rsidP="009D7677">
      <w:pPr>
        <w:pStyle w:val="TextoNormal"/>
      </w:pPr>
      <w:r>
        <w:t>En el recurso de amparo núm. 5582-2021, interpuesto por don José Martínez López, contra los autos dictados el 3 de mayo y el 9 de junio de 2021 por el Juzgado de Primera Instancia e Instrucción núm. 4 de Vera en diligencias previas núm. 140-2021, así como frente al auto de 16 de julio de 2021 de la Sección Segunda de la Audiencia Provincial de Almería, que desestima el recurso de apelación núm. 621-2021. Han comparecido y formulado alegaciones los agentes de la Guardia Civil con número profesional TIP F98357P y Z12765U. Ha intervenido el Ministerio Fiscal. Ha sido ponente el magistrado don César Tolosa Tribiño.</w:t>
      </w:r>
    </w:p>
    <w:p w14:paraId="597F9FAD" w14:textId="6F600180" w:rsidR="009D7677" w:rsidRDefault="009D7677" w:rsidP="009D7677">
      <w:pPr>
        <w:pStyle w:val="TextoNormal"/>
      </w:pPr>
    </w:p>
    <w:p w14:paraId="7A2BA6BD" w14:textId="77777777" w:rsidR="009D7677" w:rsidRDefault="009D7677" w:rsidP="009D7677">
      <w:pPr>
        <w:pStyle w:val="TextoNormalNegritaCentrado"/>
        <w:keepNext/>
      </w:pPr>
      <w:r>
        <w:t>I. Antecedentes</w:t>
      </w:r>
    </w:p>
    <w:p w14:paraId="1BB9A1A5" w14:textId="3B7B0997" w:rsidR="009D7677" w:rsidRDefault="009D7677" w:rsidP="009D7677">
      <w:pPr>
        <w:pStyle w:val="TextoNormalNegritaCentrado"/>
        <w:keepNext/>
      </w:pPr>
    </w:p>
    <w:p w14:paraId="467D90E7" w14:textId="72D29BC0" w:rsidR="009D7677" w:rsidRDefault="009D7677" w:rsidP="009D7677">
      <w:pPr>
        <w:pStyle w:val="TextoNormal"/>
      </w:pPr>
      <w:r w:rsidRPr="009D7677">
        <w:rPr>
          <w:rStyle w:val="NumeroAFNegritaCaracter"/>
        </w:rPr>
        <w:t>1</w:t>
      </w:r>
      <w:r>
        <w:t>. Con fecha 3 de septiembre de 2021 tuvo entrada en el registro general de este Tribunal Constitucional un escrito de la procuradora doña Cristina Herguedas Pastor, en repre</w:t>
      </w:r>
      <w:r>
        <w:lastRenderedPageBreak/>
        <w:t>sentación de don José Martínez López, asistido por el letrado don Francisco de Asís Parra Garófano, por el que interpuso recurso de amparo contra los autos del Juzgado de Primera Instancia e Instrucción núm. 4 de Vera dictados el 3 de mayo y el 9 de junio de 2021, por los que respectivamente se acordó el sobreseimiento provisional y archivo de las diligencias previas núm. 140-2021 y se desestimó el posterior recurso de reforma, y contra el auto de la Sección Segunda de la Audiencia Provincial de Almería, de 16 de julio de 2021, que desestimó el recurso de apelación interpuesto contra los anteriores.</w:t>
      </w:r>
    </w:p>
    <w:p w14:paraId="74DCAC98" w14:textId="77777777" w:rsidR="009D7677" w:rsidRDefault="009D7677" w:rsidP="009D7677">
      <w:pPr>
        <w:pStyle w:val="TextoNormal"/>
      </w:pPr>
    </w:p>
    <w:p w14:paraId="5BC1AA89" w14:textId="77777777" w:rsidR="009D7677" w:rsidRDefault="009D7677" w:rsidP="009D7677">
      <w:pPr>
        <w:pStyle w:val="TextoNormal"/>
      </w:pPr>
      <w:r w:rsidRPr="009D7677">
        <w:rPr>
          <w:rStyle w:val="NumeroAFNegritaCaracter"/>
        </w:rPr>
        <w:t>2</w:t>
      </w:r>
      <w:r>
        <w:t>. Los hechos relevantes para la resolución del recurso de amparo son los siguientes:</w:t>
      </w:r>
    </w:p>
    <w:p w14:paraId="48153401" w14:textId="77777777" w:rsidR="009D7677" w:rsidRDefault="009D7677" w:rsidP="009D7677">
      <w:pPr>
        <w:pStyle w:val="TextoNormal"/>
      </w:pPr>
    </w:p>
    <w:p w14:paraId="3EEF7BDC" w14:textId="77777777" w:rsidR="009D7677" w:rsidRDefault="009D7677" w:rsidP="009D7677">
      <w:pPr>
        <w:pStyle w:val="TextoNormal"/>
      </w:pPr>
      <w:r>
        <w:t>a) El demandante de amparo fue detenido, por agentes de la Guardia Civil, el día 4 de marzo de 2021 por la comisión de un delito de atentado y lesiones en el municipio de Cuevas de Almanzora (Almería). El recurrente fue puesto a disposición del Juzgado de Primera Instancia e Instrucción núm. 4 de Vera al día siguiente. El juzgado incoó el procedimiento de diligencias urgentes núm. 9-2021, que tras su correspondiente tramitación dio lugar a que se le citara para la celebración del juicio rápido el día 19 de marzo siguiente, ante el Juzgado de lo Penal núm. 4 de Almería.</w:t>
      </w:r>
    </w:p>
    <w:p w14:paraId="456F01B8" w14:textId="77777777" w:rsidR="009D7677" w:rsidRDefault="009D7677" w:rsidP="009D7677">
      <w:pPr>
        <w:pStyle w:val="TextoNormal"/>
      </w:pPr>
    </w:p>
    <w:p w14:paraId="20C417FE" w14:textId="77777777" w:rsidR="009D7677" w:rsidRDefault="009D7677" w:rsidP="009D7677">
      <w:pPr>
        <w:pStyle w:val="TextoNormal"/>
      </w:pPr>
      <w:r>
        <w:t>b) El demandante de amparo formuló, el 16 de marzo de 2021, una querella contra los agentes de la Guardia Civil con números L85943L, L77343N, Z12765U y F98357P, por los hechos que tuvieron lugar mientras estuvo detenido, atribuyéndoles la comisión de los delitos de detención ilegal, torturas y lesiones.</w:t>
      </w:r>
    </w:p>
    <w:p w14:paraId="2E2715CB" w14:textId="77777777" w:rsidR="009D7677" w:rsidRDefault="009D7677" w:rsidP="009D7677">
      <w:pPr>
        <w:pStyle w:val="TextoNormal"/>
      </w:pPr>
    </w:p>
    <w:p w14:paraId="568B521C" w14:textId="77777777" w:rsidR="009D7677" w:rsidRDefault="009D7677" w:rsidP="009D7677">
      <w:pPr>
        <w:pStyle w:val="TextoNormal"/>
      </w:pPr>
      <w:r>
        <w:t>La querella se refiere a unos hechos ocurridos los días 4 y 5 de marzo de 2021 y, en síntesis, describe que el recurrente iba de ocupante en un vehículo al que accedió haciendo autostop, bajo los efectos de drogas y alcohol, cuando fue interceptado en un control realizado por la Guardia Civil. Uno de los agentes indicó al recurrente que se bajara del coche y se bajara los pantalones, a lo cual este se negó. Inmediatamente fue detenido y conducido al cuartel, si bien durante el trayecto, el mismo agente que practicó la detención oprimió fuertemente el cuello al detenido dentro del vehículo.</w:t>
      </w:r>
    </w:p>
    <w:p w14:paraId="73B2113E" w14:textId="77777777" w:rsidR="009D7677" w:rsidRDefault="009D7677" w:rsidP="009D7677">
      <w:pPr>
        <w:pStyle w:val="TextoNormal"/>
      </w:pPr>
    </w:p>
    <w:p w14:paraId="5FC46E26" w14:textId="77777777" w:rsidR="009D7677" w:rsidRDefault="009D7677" w:rsidP="009D7677">
      <w:pPr>
        <w:pStyle w:val="TextoNormal"/>
      </w:pPr>
      <w:r>
        <w:t>Una vez en el cuartel, los golpes no cesaron y el detenido recibió un fuerte puñetazo en el ojo en el momento en el que lo sacaron del coche policial, lo que le provocó la rotura de las gafas que utilizaba para su correcta visión. Ya en el interior de las dependencias policiales, durante la madrugada del 4 al 5 de marzo recibió sucesivas palizas consistentes en tumbarlo para recibir golpes, puñetazos, y patadas en el cuello, pecho, barriga y espalda, todo ello con las esposas puestas. Ante tales hechos, uno de los agentes increpó al otro agente que agredía al detenido con expresiones “te has pasado”, “esto no se hace así”, reprochando la brutal agresión.</w:t>
      </w:r>
    </w:p>
    <w:p w14:paraId="7E1ED8A1" w14:textId="77777777" w:rsidR="009D7677" w:rsidRDefault="009D7677" w:rsidP="009D7677">
      <w:pPr>
        <w:pStyle w:val="TextoNormal"/>
      </w:pPr>
    </w:p>
    <w:p w14:paraId="60FC2B6F" w14:textId="77777777" w:rsidR="009D7677" w:rsidRDefault="009D7677" w:rsidP="009D7677">
      <w:pPr>
        <w:pStyle w:val="TextoNormal"/>
      </w:pPr>
      <w:r>
        <w:t>La querella recoge que el detenido no fue directamente explorado por el médico, debido a la negativa del primero, por lo que el parte facultativo de lesiones que figura junto al atestado no atiende a una exploración física. Se hace constar también que la asistencia letrada al detenido en dependencias policiales se realizó telefónicamente, a instancias de los agentes y alegando conocimiento judicial al respecto, pese a que en esas fechas no se aplicaba el protocolo covid.</w:t>
      </w:r>
    </w:p>
    <w:p w14:paraId="3CEDC06C" w14:textId="77777777" w:rsidR="009D7677" w:rsidRDefault="009D7677" w:rsidP="009D7677">
      <w:pPr>
        <w:pStyle w:val="TextoNormal"/>
      </w:pPr>
    </w:p>
    <w:p w14:paraId="50939D18" w14:textId="77777777" w:rsidR="009D7677" w:rsidRDefault="009D7677" w:rsidP="009D7677">
      <w:pPr>
        <w:pStyle w:val="TextoNormal"/>
      </w:pPr>
      <w:r>
        <w:lastRenderedPageBreak/>
        <w:t>Cuando el detenido quedó en libertad, procesado por un presunto delito de atentado a la autoridad por el Juzgado de Primera Instancia e Instrucción núm. 4 de Vera, acudió ese mismo día, 5 de marzo de 2021, al centro médico. El parte médico indicó como motivo de la consulta “agresión física” e informó que “refiere que lo ha detenido la guardia civil y lo han golpeado en ambos ojos y la cabeza, refiere que le dieron patadas en el cuerpo, desde entonces dolor”. Objetivó que tenía “cabeza con hematomas en ambas orbitas más en el izquierdo, erosiones en hemitórax derecho, dolor moderado en las parrillas costales, no crepitaciones, neurológico sin alteraciones”.</w:t>
      </w:r>
    </w:p>
    <w:p w14:paraId="42E82DD8" w14:textId="77777777" w:rsidR="009D7677" w:rsidRDefault="009D7677" w:rsidP="009D7677">
      <w:pPr>
        <w:pStyle w:val="TextoNormal"/>
      </w:pPr>
    </w:p>
    <w:p w14:paraId="35F2C3A9" w14:textId="77777777" w:rsidR="009D7677" w:rsidRDefault="009D7677" w:rsidP="009D7677">
      <w:pPr>
        <w:pStyle w:val="TextoNormal"/>
      </w:pPr>
      <w:r>
        <w:t>Continúa la querella describiendo que, debido a los continuos dolores, el recurrente acudió el 8 de marzo de 2021 al mismo médico, quien tras la realización de una radiografía informó que el sujeto tenía “fractura en la costilla” otorgándosele al paciente treinta y nueve días de baja, con reposo, debiendo procederse a periódicas revisiones.</w:t>
      </w:r>
    </w:p>
    <w:p w14:paraId="31D8CA23" w14:textId="77777777" w:rsidR="009D7677" w:rsidRDefault="009D7677" w:rsidP="009D7677">
      <w:pPr>
        <w:pStyle w:val="TextoNormal"/>
      </w:pPr>
    </w:p>
    <w:p w14:paraId="11495C5B" w14:textId="77777777" w:rsidR="009D7677" w:rsidRDefault="009D7677" w:rsidP="009D7677">
      <w:pPr>
        <w:pStyle w:val="TextoNormal"/>
      </w:pPr>
      <w:r>
        <w:t>Ambos partes médicos se adjuntan al escrito de querella, junto con el atestado configurado por la Guardia Civil, un documento acreditativo del consumo de drogas, la citación para juicio ante el juzgado de lo penal de Almería y fotografías de las lesiones y la ropa.</w:t>
      </w:r>
    </w:p>
    <w:p w14:paraId="3D54C3EC" w14:textId="77777777" w:rsidR="009D7677" w:rsidRDefault="009D7677" w:rsidP="009D7677">
      <w:pPr>
        <w:pStyle w:val="TextoNormal"/>
      </w:pPr>
    </w:p>
    <w:p w14:paraId="6D42069B" w14:textId="77777777" w:rsidR="009D7677" w:rsidRDefault="009D7677" w:rsidP="009D7677">
      <w:pPr>
        <w:pStyle w:val="TextoNormal"/>
      </w:pPr>
      <w:r>
        <w:t>Por todo ello, el escrito imputa a los agentes de la Guardia Civil delito de detención ilegal, delito de torturas y delito de lesiones y para la comprobación de los hechos solicita que se acuerden diversas diligencias de prueba, entre ellas, la visualización de las cámaras internas del puesto de la Guardia Civil donde estuvo detenido, declaración testifical de la agente de la Guardia Civil que estuvo presente en el momento de la detención y del médico que le asistió, reconocimiento médico de las lesiones sufridas.</w:t>
      </w:r>
    </w:p>
    <w:p w14:paraId="5969787D" w14:textId="77777777" w:rsidR="009D7677" w:rsidRDefault="009D7677" w:rsidP="009D7677">
      <w:pPr>
        <w:pStyle w:val="TextoNormal"/>
      </w:pPr>
    </w:p>
    <w:p w14:paraId="01F928F9" w14:textId="77777777" w:rsidR="009D7677" w:rsidRDefault="009D7677" w:rsidP="009D7677">
      <w:pPr>
        <w:pStyle w:val="TextoNormal"/>
      </w:pPr>
      <w:r>
        <w:t>c) En dos escritos posteriores de fecha 22 de marzo de 2021, interesó la declaración testifical de doña Elisabeth —personal médico— y, como testigo protegido, de una persona que presenció los hechos.</w:t>
      </w:r>
    </w:p>
    <w:p w14:paraId="3E697359" w14:textId="77777777" w:rsidR="009D7677" w:rsidRDefault="009D7677" w:rsidP="009D7677">
      <w:pPr>
        <w:pStyle w:val="TextoNormal"/>
      </w:pPr>
    </w:p>
    <w:p w14:paraId="783B025F" w14:textId="77777777" w:rsidR="009D7677" w:rsidRDefault="009D7677" w:rsidP="009D7677">
      <w:pPr>
        <w:pStyle w:val="TextoNormal"/>
      </w:pPr>
      <w:r>
        <w:t>d) El demandante de amparo solicitó del Juzgado de lo Penal núm. 4 de Almería la suspensión del juicio rápido núm. 151-2021, que se seguía contra él, al haber interpuesto querella contra los referidos agentes de la Guardia Civil. Por auto del indicado juzgado de lo penal, de 19 de marzo de 2021, se acordó la suspensión y la devolución de las actuaciones al juzgado de instrucción a fin de practicar instrucción suplementaria.</w:t>
      </w:r>
    </w:p>
    <w:p w14:paraId="6FF807F0" w14:textId="77777777" w:rsidR="009D7677" w:rsidRDefault="009D7677" w:rsidP="009D7677">
      <w:pPr>
        <w:pStyle w:val="TextoNormal"/>
      </w:pPr>
    </w:p>
    <w:p w14:paraId="14675096" w14:textId="77777777" w:rsidR="009D7677" w:rsidRDefault="009D7677" w:rsidP="009D7677">
      <w:pPr>
        <w:pStyle w:val="TextoNormal"/>
      </w:pPr>
      <w:r>
        <w:t>e) El Juzgado de Primera Instancia e Instrucción núm. 4 de Vera, en el procedimiento de diligencias previas núm. 140-2021, incoado el 24 de marzo de 2021, en virtud de la referida querella, dictó, el 3 de mayo de 2021, auto por el que acordó el sobreseimiento provisional y archivo de la causa. Se indicaba en los razonamientos jurídicos:</w:t>
      </w:r>
    </w:p>
    <w:p w14:paraId="2B5F1E8F" w14:textId="77777777" w:rsidR="009D7677" w:rsidRDefault="009D7677" w:rsidP="009D7677">
      <w:pPr>
        <w:pStyle w:val="TextoNormal"/>
      </w:pPr>
    </w:p>
    <w:p w14:paraId="4B190FE1" w14:textId="77777777" w:rsidR="009D7677" w:rsidRDefault="009D7677" w:rsidP="009D7677">
      <w:pPr>
        <w:pStyle w:val="TextoNormal"/>
      </w:pPr>
      <w:r>
        <w:t>“Primero. - De lo actuado no aparece debidamente justificada la perpetración del delito que ha dado motivo a la formación de la causa, por lo que de acuerdo con lo dispuesto en el artículo 641.1 - 779.1.1 de la Ley de enjuiciamiento criminal, procede decretar el sobreseimiento provisional de las actuaciones.</w:t>
      </w:r>
    </w:p>
    <w:p w14:paraId="0B819CE2" w14:textId="77777777" w:rsidR="009D7677" w:rsidRDefault="009D7677" w:rsidP="009D7677">
      <w:pPr>
        <w:pStyle w:val="TextoNormal"/>
      </w:pPr>
    </w:p>
    <w:p w14:paraId="25C52D97" w14:textId="77777777" w:rsidR="009D7677" w:rsidRDefault="009D7677" w:rsidP="009D7677">
      <w:pPr>
        <w:pStyle w:val="TextoNormal"/>
      </w:pPr>
      <w:r>
        <w:t>Segundo. - Conforme dispone el art. 779.1.1 de la LECrim se deberá notificar dicha resolución a quienes pudiera causar perjuicio la misma, aun cuando no se haya mostrado parte en la causa”.</w:t>
      </w:r>
    </w:p>
    <w:p w14:paraId="074FFAEE" w14:textId="77777777" w:rsidR="009D7677" w:rsidRDefault="009D7677" w:rsidP="009D7677">
      <w:pPr>
        <w:pStyle w:val="TextoNormal"/>
      </w:pPr>
    </w:p>
    <w:p w14:paraId="1787369A" w14:textId="77777777" w:rsidR="009D7677" w:rsidRDefault="009D7677" w:rsidP="009D7677">
      <w:pPr>
        <w:pStyle w:val="TextoNormal"/>
      </w:pPr>
      <w:r>
        <w:t>f) El mismo Juzgado de Primera Instancia e Instrucción núm. 4 de Vera incoó el 22 de abril de 2021 las diligencias previas núm. 206-2021 en virtud de un parte de lesiones del recurrente que tuvo entrada en el juzgado el 5 de abril de 2021, acordando en auto de 10 de mayo de 2021, y sin practicar ninguna diligencia, su acumulación a las diligencias previas núm. 140-2021 por referirse a los mismos hechos. Acordó en dicho auto el sobreseimiento, en este caso, según el hecho único, porque “de lo actuado se desprende que los hechos investigados son constitutivos de infracción penal, si bien no existen motivos suficientes para atribuir su perpetración a persona alguna determinada y por ello es procedente, de conformidad con lo dispuesto en los artículos 779.1.1 de la Ley de enjuiciamiento criminal, decretar el sobreseimiento provisional de estas actuaciones”.</w:t>
      </w:r>
    </w:p>
    <w:p w14:paraId="60932507" w14:textId="77777777" w:rsidR="009D7677" w:rsidRDefault="009D7677" w:rsidP="009D7677">
      <w:pPr>
        <w:pStyle w:val="TextoNormal"/>
      </w:pPr>
    </w:p>
    <w:p w14:paraId="1407DA87" w14:textId="77777777" w:rsidR="009D7677" w:rsidRDefault="009D7677" w:rsidP="009D7677">
      <w:pPr>
        <w:pStyle w:val="TextoNormal"/>
      </w:pPr>
      <w:r>
        <w:t>g) El demandante de amparo interpuso recurso de reforma y subsidiario de apelación contra el auto de sobreseimiento de 3 de mayo de 2021, en el que además de aportar determinados documentos reiteraba la solicitud de las diligencias para la averiguación de los hechos, e invocaba la vulneración del derecho a la tutela judicial efectiva (art. 24.1 CE), tanto desde la perspectiva del derecho al proceso, como desde la del derecho a obtener una resolución jurídicamente fundada.</w:t>
      </w:r>
    </w:p>
    <w:p w14:paraId="06423796" w14:textId="77777777" w:rsidR="009D7677" w:rsidRDefault="009D7677" w:rsidP="009D7677">
      <w:pPr>
        <w:pStyle w:val="TextoNormal"/>
      </w:pPr>
    </w:p>
    <w:p w14:paraId="3B820D44" w14:textId="77777777" w:rsidR="009D7677" w:rsidRDefault="009D7677" w:rsidP="009D7677">
      <w:pPr>
        <w:pStyle w:val="TextoNormal"/>
      </w:pPr>
      <w:r>
        <w:t>h) Admitido a trámite, el Ministerio Fiscal se opuso a su estimación. Por auto del Juzgado de Primera Instancia e Instrucción núm. 4 de Vera, de 9 de junio de 2021, se desestimó el recurso de reforma. En dicha resolución se indicaba:</w:t>
      </w:r>
    </w:p>
    <w:p w14:paraId="4C1F0F46" w14:textId="77777777" w:rsidR="009D7677" w:rsidRDefault="009D7677" w:rsidP="009D7677">
      <w:pPr>
        <w:pStyle w:val="TextoNormal"/>
      </w:pPr>
    </w:p>
    <w:p w14:paraId="57CA4B64" w14:textId="77777777" w:rsidR="009D7677" w:rsidRDefault="009D7677" w:rsidP="009D7677">
      <w:pPr>
        <w:pStyle w:val="TextoNormal"/>
      </w:pPr>
      <w:r>
        <w:t>“[D]e una simple lectura de la querella, así como de la documental aportada con la misma, no se deduce la comisión de ilícito penal alguno por parte de los agentes de la autoridad”, destacando que “de una simple lectura del atestado se desprende que precisamente por las circunstancias concurrentes en el momento de la detención, fue necesaria la intervención de varios agentes, dada la excitación y violencia que presentaba el ahora querellante ya que incluso este habría agredido a los agentes de la Guardia Civil, quienes como así consta en el atestado, emplearon la fuerza mínima indispensable y ejecutaron técnicas operativas tendentes a causar el menor daño en la integridad física. Es más, el atestado, refleja que los agentes dieron aviso a los servicios sanitarios, para confeccionar el parte de lesiones en garantía de la integridad física del detenido, y ahora querellante […]. En el atestado de origen del Juicio Rápido 151-2021 se acompaña parte médico […] en el que se hace constar que no se objetiva ninguna lesión física.</w:t>
      </w:r>
    </w:p>
    <w:p w14:paraId="51366F28" w14:textId="77777777" w:rsidR="009D7677" w:rsidRDefault="009D7677" w:rsidP="009D7677">
      <w:pPr>
        <w:pStyle w:val="TextoNormal"/>
      </w:pPr>
    </w:p>
    <w:p w14:paraId="08C62DAE" w14:textId="77777777" w:rsidR="009D7677" w:rsidRDefault="009D7677" w:rsidP="009D7677">
      <w:pPr>
        <w:pStyle w:val="TextoNormal"/>
      </w:pPr>
      <w:r>
        <w:t>Sentado lo anterior […] del examen de la querella, documental aportada con esta, del atestado y documental […] sin estimarse necesaria la práctica de ninguna diligencia de instrucción, no existe dato alguno que permita acreditar siquiera indiciariamente la comisión de un presunto delito de tortura, detención ilegal o lesiones”.</w:t>
      </w:r>
    </w:p>
    <w:p w14:paraId="7DA1C98F" w14:textId="77777777" w:rsidR="009D7677" w:rsidRDefault="009D7677" w:rsidP="009D7677">
      <w:pPr>
        <w:pStyle w:val="TextoNormal"/>
      </w:pPr>
    </w:p>
    <w:p w14:paraId="6B92A8E6" w14:textId="77777777" w:rsidR="009D7677" w:rsidRDefault="009D7677" w:rsidP="009D7677">
      <w:pPr>
        <w:pStyle w:val="TextoNormal"/>
      </w:pPr>
      <w:r>
        <w:t xml:space="preserve">i) Finalmente, por auto de la Sección Segunda de la Audiencia Provincial de Almería, de 16 de julio de 2021, se desestimó el subsidiario recurso de apelación interpuesto contra la decisión de sobreseimiento y archivo. Se razona en el auto de la Audiencia Provincial que “[e]l ahora querellante fue detenido incoándose diligencias urgentes en el Juzgado de Instrucción núm. 4 de Vera por la presunta comisión por su parte de un delito de atentado y lesiones. En estas diligencias el ahora apelante, se acogió a su derecho a no declarar. No manifestó en ningún momento la brutal agresión de la que fue objeto y que ahora sustenta </w:t>
      </w:r>
      <w:r>
        <w:lastRenderedPageBreak/>
        <w:t>la querella. No pidió ser reconocido por el médico forense y su defensa en el acta de enjuiciamiento rápido, nada dijo, no oponiéndose a la continuación de las actuaciones por los trámites de las diligencias urgentes, lo que ocurrió el día 5 de marzo de 2021. Así las cosas, el 17 de marzo es cuando decide presentar una querella, por cierto, dos días antes del señalado para el juicio oral en las diligencias urgentes y solicitar en el mismo, con base en esa querella la suspensión del plenario. Consideramos que se trata de una actuación procesal injustificada y que denota mala fe procesal. Se ha presentado la querella con la única finalidad de suspender la celebración del juicio. Nada dijo el acusado de la brutal agresión de la que supuestamente fue objeto, lo que nos resulta a todas luces incongruente e ilógico con el modo normal de proceder del común de los ciudadanos. No resulta justificada una instrucción suplementaria sobre la base de lo expuesto”.</w:t>
      </w:r>
    </w:p>
    <w:p w14:paraId="19713C1F" w14:textId="77777777" w:rsidR="009D7677" w:rsidRDefault="009D7677" w:rsidP="009D7677">
      <w:pPr>
        <w:pStyle w:val="TextoNormal"/>
      </w:pPr>
    </w:p>
    <w:p w14:paraId="386141F8" w14:textId="77777777" w:rsidR="009D7677" w:rsidRDefault="009D7677" w:rsidP="009D7677">
      <w:pPr>
        <w:pStyle w:val="TextoNormal"/>
      </w:pPr>
      <w:r>
        <w:t>j) Recibido por el Juzgado de Primera Instancia e Instrucción núm. 4 de Vera el testimonio de la resolución dictada por la Sección Segunda de la Audiencia Provincial de Almería acordó, por providencia de 1 de abril de 2022, dar traslado de las actuaciones al Juzgado de lo Penal núm. 4 de Almería, quien, por otra providencia de 13 de abril del 2022, señaló la celebración del juicio para el día 7 de junio de 2022.</w:t>
      </w:r>
    </w:p>
    <w:p w14:paraId="78CDA681" w14:textId="77777777" w:rsidR="009D7677" w:rsidRDefault="009D7677" w:rsidP="009D7677">
      <w:pPr>
        <w:pStyle w:val="TextoNormal"/>
      </w:pPr>
    </w:p>
    <w:p w14:paraId="4305A4AC" w14:textId="45866222" w:rsidR="009D7677" w:rsidRDefault="009D7677" w:rsidP="009D7677">
      <w:pPr>
        <w:pStyle w:val="TextoNormal"/>
      </w:pPr>
      <w:r>
        <w:t>k) El mismo día señalado para la celebración del juicio se acordó la suspensión de la vista oral “al encontrarse pendiente de resolución en el Tribunal Constitucional un recurso de amparo promovido por el acusado con relación a las presentes actuaciones”.</w:t>
      </w:r>
    </w:p>
    <w:p w14:paraId="04792FF4" w14:textId="77777777" w:rsidR="009D7677" w:rsidRDefault="009D7677" w:rsidP="009D7677">
      <w:pPr>
        <w:pStyle w:val="TextoNormal"/>
      </w:pPr>
    </w:p>
    <w:p w14:paraId="7F83BC97" w14:textId="77777777" w:rsidR="009D7677" w:rsidRDefault="009D7677" w:rsidP="009D7677">
      <w:pPr>
        <w:pStyle w:val="TextoNormal"/>
      </w:pPr>
      <w:r w:rsidRPr="009D7677">
        <w:rPr>
          <w:rStyle w:val="NumeroAFNegritaCaracter"/>
        </w:rPr>
        <w:t>3</w:t>
      </w:r>
      <w:r>
        <w:t>. La demanda de amparo alega que las resoluciones judiciales impugnadas han vulnerado los derechos a la integridad física y moral (art. 15 CE) y a la libertad (art. 17.1 CE), en relación con el derecho a la tutela judicial efectiva (art. 24.1 CE) por la falta de una investigación judicial suficiente de los hechos denunciados en la querella.</w:t>
      </w:r>
    </w:p>
    <w:p w14:paraId="6665FB81" w14:textId="77777777" w:rsidR="009D7677" w:rsidRDefault="009D7677" w:rsidP="009D7677">
      <w:pPr>
        <w:pStyle w:val="TextoNormal"/>
      </w:pPr>
    </w:p>
    <w:p w14:paraId="0FE40844" w14:textId="77777777" w:rsidR="009D7677" w:rsidRDefault="009D7677" w:rsidP="009D7677">
      <w:pPr>
        <w:pStyle w:val="TextoNormal"/>
      </w:pPr>
      <w:r>
        <w:t>Con cita de la STC 130/2016, de 18 de julio, considera que la actuación del Juzgado de Primera Instancia e Instrucción núm. 4 de Vera y de la Sección Segunda de la Audiencia Provincial de Almería ha vulnerado los mencionados derechos pues en la querella se presentan indicios claros de la comisión del delito de torturas y se solicitan diligencias de prueba, produciéndose el archivo de las actuaciones sin la práctica de una sola de las diligencias. Considera que dicho proceder va en contra de la obligación de investigación, pronta e imparcial, que tienen los órganos jurisdiccionales cuando se produce la denuncia por comisión de este tipo de delitos.</w:t>
      </w:r>
    </w:p>
    <w:p w14:paraId="26737843" w14:textId="77777777" w:rsidR="009D7677" w:rsidRDefault="009D7677" w:rsidP="009D7677">
      <w:pPr>
        <w:pStyle w:val="TextoNormal"/>
      </w:pPr>
    </w:p>
    <w:p w14:paraId="22D88EB2" w14:textId="77777777" w:rsidR="009D7677" w:rsidRDefault="009D7677" w:rsidP="009D7677">
      <w:pPr>
        <w:pStyle w:val="TextoNormal"/>
      </w:pPr>
      <w:r>
        <w:t>Entiende que la argumentación dada por la Audiencia Provincial para desestimar el recurso de apelación no puede ser aceptada ya que en el momento de la detención el recurrente se encontraba esposado. Afirma la existencia de un deber de perseverar en la investigación cuando haya datos que generen un panorama sospechoso potencialmente conectado con la existencia de torturas o malos tratos.</w:t>
      </w:r>
    </w:p>
    <w:p w14:paraId="7FC291A4" w14:textId="77777777" w:rsidR="009D7677" w:rsidRDefault="009D7677" w:rsidP="009D7677">
      <w:pPr>
        <w:pStyle w:val="TextoNormal"/>
      </w:pPr>
    </w:p>
    <w:p w14:paraId="0782CED2" w14:textId="77777777" w:rsidR="009D7677" w:rsidRDefault="009D7677" w:rsidP="009D7677">
      <w:pPr>
        <w:pStyle w:val="TextoNormal"/>
      </w:pPr>
      <w:r>
        <w:t>Sostiene que los agentes recomendaron al detenido que la asistencia letrada se realizara telefónicamente, cuando en dicha fecha las asistencias se realizaban presencialmente y con normalidad, sin perjuicio de la necesidad del uso de mascarillas y gel hidroalcohólico.</w:t>
      </w:r>
    </w:p>
    <w:p w14:paraId="3050A5AC" w14:textId="77777777" w:rsidR="009D7677" w:rsidRDefault="009D7677" w:rsidP="009D7677">
      <w:pPr>
        <w:pStyle w:val="TextoNormal"/>
      </w:pPr>
    </w:p>
    <w:p w14:paraId="784270AB" w14:textId="77777777" w:rsidR="009D7677" w:rsidRDefault="009D7677" w:rsidP="009D7677">
      <w:pPr>
        <w:pStyle w:val="TextoNormal"/>
      </w:pPr>
      <w:r>
        <w:t>Refiere que en la querella se aportó un parte de lesiones del día 5 de marzo de 2021, nada más salir de la custodia policial, en el que se objetivan en el centro de salud del mu</w:t>
      </w:r>
      <w:r>
        <w:lastRenderedPageBreak/>
        <w:t>nicipio de Vera (Almería), las lesiones consistentes en “cabeza con hematomas en ambas orbitas más en el izquierdo, erosiones en hemitórax derecho, dolor moderado en las parrillas costales, no crepitaciones, neurológico sin alteraciones”, a lo que se añade que en el parte del día 8 de marzo siguiente, con base al diagnóstico mediante radiografías, se hace constar que el sujeto tiene “fractura en la costilla”.</w:t>
      </w:r>
    </w:p>
    <w:p w14:paraId="3DE084B5" w14:textId="77777777" w:rsidR="009D7677" w:rsidRDefault="009D7677" w:rsidP="009D7677">
      <w:pPr>
        <w:pStyle w:val="TextoNormal"/>
      </w:pPr>
    </w:p>
    <w:p w14:paraId="561EE022" w14:textId="3862674D" w:rsidR="009D7677" w:rsidRDefault="009D7677" w:rsidP="009D7677">
      <w:pPr>
        <w:pStyle w:val="TextoNormal"/>
      </w:pPr>
      <w:r>
        <w:t>Tras referirse a los motivos por los que la demanda de amparo tiene trascendencia constitucional, en el suplico de la misma solicita que se reconozcan vulnerados los derechos invocados, se declare la nulidad de las resoluciones impugnadas y se retrotraigan las actuaciones al momento del dictado del primero de los autos impugnados para que se proceda en términos respetuosos con los derechos fundamentales vulnerados.</w:t>
      </w:r>
    </w:p>
    <w:p w14:paraId="54A92303" w14:textId="77777777" w:rsidR="009D7677" w:rsidRDefault="009D7677" w:rsidP="009D7677">
      <w:pPr>
        <w:pStyle w:val="TextoNormal"/>
      </w:pPr>
    </w:p>
    <w:p w14:paraId="5D7A8CEC" w14:textId="7B3308B8" w:rsidR="009D7677" w:rsidRDefault="009D7677" w:rsidP="009D7677">
      <w:pPr>
        <w:pStyle w:val="TextoNormal"/>
      </w:pPr>
      <w:r w:rsidRPr="009D7677">
        <w:rPr>
          <w:rStyle w:val="NumeroAFNegritaCaracter"/>
        </w:rPr>
        <w:t>4</w:t>
      </w:r>
      <w:r>
        <w:t>. El 22 de abril de 2022, la representación del recurrente de amparo presentó escrito por el que solicitaba la medida cautelar de suspensión del auto de la Sección Segunda de la Audiencia Provincial de Almería de 16 de julio de 2021 y de la diligencia de ordenación del Juzgado de lo Penal núm. 4 de Almería, que ordena la celebración de juicio oral para la fecha 7 de junio de 2022.</w:t>
      </w:r>
    </w:p>
    <w:p w14:paraId="5EA88C54" w14:textId="77777777" w:rsidR="009D7677" w:rsidRDefault="009D7677" w:rsidP="009D7677">
      <w:pPr>
        <w:pStyle w:val="TextoNormal"/>
      </w:pPr>
    </w:p>
    <w:p w14:paraId="72B22DCF" w14:textId="21C7066D" w:rsidR="009D7677" w:rsidRDefault="009D7677" w:rsidP="009D7677">
      <w:pPr>
        <w:pStyle w:val="TextoNormal"/>
      </w:pPr>
      <w:r w:rsidRPr="009D7677">
        <w:rPr>
          <w:rStyle w:val="NumeroAFNegritaCaracter"/>
        </w:rPr>
        <w:t>5</w:t>
      </w:r>
      <w:r>
        <w:t>. En virtud de providencia de la Sección Tercera de fecha 23 de octubre de 2023, se acordó la admisión a trámite de este recurso de amparo, apreciando que concurre en el mismo una especial trascendencia constitucional (art. 50.1 de la Ley Orgánica del Tribunal Constitucional: LOTC) porque el asunto suscitado trasciende del caso concreto al plantear una cuestión jurídica de relevante y general repercusión social o económica [STC 155/2009, de 25 de junio, FJ 2 g)]. Asimismo, constando ya remitidas las actuaciones correspondientes, se ordenó dirigir al Juzgado de lo Penal núm. 4 de Vera atenta comunicación a fin de que, en plazo que no exceda de diez días, procediera a emplazar a quienes hubieran sido parte en el procedimiento, excepto a la recurrente en amparo, a fin de que pudieran comparecer en el presente proceso constitucional. Además, en la misma resolución se decidió la formación de pieza separada de suspensión que una vez tramitada fue denegada por ATC 599/2023, de 20 de noviembre.</w:t>
      </w:r>
    </w:p>
    <w:p w14:paraId="34BD2D64" w14:textId="77777777" w:rsidR="009D7677" w:rsidRDefault="009D7677" w:rsidP="009D7677">
      <w:pPr>
        <w:pStyle w:val="TextoNormal"/>
      </w:pPr>
    </w:p>
    <w:p w14:paraId="3B259CC3" w14:textId="62DE0D5A" w:rsidR="009D7677" w:rsidRDefault="009D7677" w:rsidP="009D7677">
      <w:pPr>
        <w:pStyle w:val="TextoNormal"/>
      </w:pPr>
      <w:r w:rsidRPr="009D7677">
        <w:rPr>
          <w:rStyle w:val="NumeroAFNegritaCaracter"/>
        </w:rPr>
        <w:t>6</w:t>
      </w:r>
      <w:r>
        <w:t>. La Secretaría de Justicia de la Sala Segunda de este tribunal, por diligencia de ordenación de 15 de enero de 2024, acordó tener por personado y parte al procurador don Pedro Antonio González Sánchez en nombre y representación del agente de la Guardia Civil con TIP Z12765U y al procurador don José Noguera Chaparro en nombre y representación del agente de la Guardia Civil con TIP F98357P, y dar vista de las actuaciones recibidas a las partes y al Ministerio Fiscal, por plazo común de veinte días, para presentar las alegaciones que estimasen pertinentes, de conformidad con el art. 52.1 LOTC.</w:t>
      </w:r>
    </w:p>
    <w:p w14:paraId="223F0BB9" w14:textId="77777777" w:rsidR="009D7677" w:rsidRDefault="009D7677" w:rsidP="009D7677">
      <w:pPr>
        <w:pStyle w:val="TextoNormal"/>
      </w:pPr>
    </w:p>
    <w:p w14:paraId="2128B473" w14:textId="5B47FC97" w:rsidR="009D7677" w:rsidRDefault="009D7677" w:rsidP="009D7677">
      <w:pPr>
        <w:pStyle w:val="TextoNormal"/>
      </w:pPr>
      <w:r w:rsidRPr="009D7677">
        <w:rPr>
          <w:rStyle w:val="NumeroAFNegritaCaracter"/>
        </w:rPr>
        <w:t>7</w:t>
      </w:r>
      <w:r>
        <w:t xml:space="preserve">. La representación procesal del agente de la Guardia Civil con TIP Z12765U presentó su escrito de alegaciones el 31 de enero de 2024, en el que se opone a los pedimentos del demandante de amparo. Considera que la detención practicada atendió a causas legales por haberse cometido contra los agentes de la Guardia Civil un presunto delito de atentado a los agentes de la autoridad, en concreto, afirma en sus alegaciones que la detención acaece a raíz de una clara oposición a los agentes de la Guardia civil. Justifica la necesidad del empleo de la fuerza mínima indispensable debido a la agresividad que el recurrente mostró durante la actuación policial, afirma que el demandante de amparo mostró una </w:t>
      </w:r>
      <w:r>
        <w:lastRenderedPageBreak/>
        <w:t>agresividad manifiesta contra los agentes de la autoridad y una situación alarmante que provocó lesiones a los funcionarios de la Guardia civil. Refiere que la querella interpuesta contra los agentes atiende exclusivamente a un ánimo espurio y mala fe procesal y desarrolla al respecto argumentos coincidentes con los que fueron recogidos por la Audiencia Provincial en el auto combatido en el presente recurso por el que se confirmó el sobreseimiento acordado por el juzgado de instrucción.</w:t>
      </w:r>
    </w:p>
    <w:p w14:paraId="0F4A7141" w14:textId="77777777" w:rsidR="009D7677" w:rsidRDefault="009D7677" w:rsidP="009D7677">
      <w:pPr>
        <w:pStyle w:val="TextoNormal"/>
      </w:pPr>
    </w:p>
    <w:p w14:paraId="35E4F15A" w14:textId="77777777" w:rsidR="009D7677" w:rsidRDefault="009D7677" w:rsidP="009D7677">
      <w:pPr>
        <w:pStyle w:val="TextoNormal"/>
      </w:pPr>
      <w:r w:rsidRPr="009D7677">
        <w:rPr>
          <w:rStyle w:val="NumeroAFNegritaCaracter"/>
        </w:rPr>
        <w:t>8</w:t>
      </w:r>
      <w:r>
        <w:t>. La representación procesal del agente de la Guardia Civil con TIP F98357P presentó su escrito de alegaciones el 14 de febrero de 2024, en el que se opone a que se estime la demanda de amparo.</w:t>
      </w:r>
    </w:p>
    <w:p w14:paraId="7E47FCED" w14:textId="77777777" w:rsidR="009D7677" w:rsidRDefault="009D7677" w:rsidP="009D7677">
      <w:pPr>
        <w:pStyle w:val="TextoNormal"/>
      </w:pPr>
    </w:p>
    <w:p w14:paraId="0A72ABB3" w14:textId="77777777" w:rsidR="009D7677" w:rsidRDefault="009D7677" w:rsidP="009D7677">
      <w:pPr>
        <w:pStyle w:val="TextoNormal"/>
      </w:pPr>
      <w:r>
        <w:t>Expone en sus alegaciones las contradicciones sobre las lesiones contenidas en los partes médicos presentados por el recurrente y el de los servicios médicos que lo atendieron en dependencias policiales. Argumenta al respecto que, ni los informes realizados en sede policial, ni en el realizado posteriormente en la consulta de urgencias una vez en libertad, se recogieron las lesiones en las que se apoyarían las supuestas torturas o lesiones que, en contradicción con los anteriores informes, solo aparecen recogidas en el reconocimiento médico practicado dos días antes de la celebración del juicio rápido. Además, respecto de este último informe, único en el que se le diagnosticó una fractura de costilla, señala que tal diagnóstico no estuvo precedido de una prueba radiológica al efecto.</w:t>
      </w:r>
    </w:p>
    <w:p w14:paraId="45B2EE0A" w14:textId="77777777" w:rsidR="009D7677" w:rsidRDefault="009D7677" w:rsidP="009D7677">
      <w:pPr>
        <w:pStyle w:val="TextoNormal"/>
      </w:pPr>
    </w:p>
    <w:p w14:paraId="060F2F88" w14:textId="77777777" w:rsidR="009D7677" w:rsidRDefault="009D7677" w:rsidP="009D7677">
      <w:pPr>
        <w:pStyle w:val="TextoNormal"/>
      </w:pPr>
      <w:r>
        <w:t>A continuación, alega que el recurrente durante su detención gozó de todas las garantías necesarias, las cuales refiere. Por otra parte, argumenta que las diligencias de investigación solicitadas en la querella son un elenco de pruebas irrelevantes e innecesarias si lo que se pretendía era un esclarecimiento de los hechos, ya que no solicita sorprendentemente otras diligencias relevantes como la declaración del querellante o la de los agentes de la Guardia Civil a este efecto.</w:t>
      </w:r>
    </w:p>
    <w:p w14:paraId="65CFF188" w14:textId="77777777" w:rsidR="009D7677" w:rsidRDefault="009D7677" w:rsidP="009D7677">
      <w:pPr>
        <w:pStyle w:val="TextoNormal"/>
      </w:pPr>
    </w:p>
    <w:p w14:paraId="0D448560" w14:textId="78FBBB42" w:rsidR="009D7677" w:rsidRDefault="009D7677" w:rsidP="009D7677">
      <w:pPr>
        <w:pStyle w:val="TextoNormal"/>
      </w:pPr>
      <w:r>
        <w:t>El escrito finalmente comparte los argumentos vertidos en el auto de la Audiencia Provincial sobre el exclusivo ánimo espurio y mala fe procesal en la querella interpuesta contra los agentes y concluye que la detención en todo momento fue legal, provocada por la agresión a los agentes de la autoridad y practicada con todas las garantías.</w:t>
      </w:r>
    </w:p>
    <w:p w14:paraId="34EB7248" w14:textId="77777777" w:rsidR="009D7677" w:rsidRDefault="009D7677" w:rsidP="009D7677">
      <w:pPr>
        <w:pStyle w:val="TextoNormal"/>
      </w:pPr>
    </w:p>
    <w:p w14:paraId="3136FA65" w14:textId="77777777" w:rsidR="009D7677" w:rsidRDefault="009D7677" w:rsidP="009D7677">
      <w:pPr>
        <w:pStyle w:val="TextoNormal"/>
      </w:pPr>
      <w:r w:rsidRPr="009D7677">
        <w:rPr>
          <w:rStyle w:val="NumeroAFNegritaCaracter"/>
        </w:rPr>
        <w:t>9</w:t>
      </w:r>
      <w:r>
        <w:t>. El Ministerio Fiscal presentó su escrito de alegaciones el 16 de febrero de 2024 en las que solicita que se estime la demanda de amparo.</w:t>
      </w:r>
    </w:p>
    <w:p w14:paraId="583739B4" w14:textId="77777777" w:rsidR="009D7677" w:rsidRDefault="009D7677" w:rsidP="009D7677">
      <w:pPr>
        <w:pStyle w:val="TextoNormal"/>
      </w:pPr>
    </w:p>
    <w:p w14:paraId="3574C42A" w14:textId="77777777" w:rsidR="009D7677" w:rsidRDefault="009D7677" w:rsidP="009D7677">
      <w:pPr>
        <w:pStyle w:val="TextoNormal"/>
      </w:pPr>
      <w:r>
        <w:t>Tras referirse a los antecedentes del asunto y a la fundamentación del recurso de amparo, señala la aplicación al presente caso de la conocida doctrina constitucional y del Tribunal Europeo de Derechos Humanos. Cita extensamente la STC 166/2021, de 4 de octubre, relativa a la exigencia de desarrollar una investigación judicial suficiente y eficaz para esclarecer los hechos en el caso de denuncias de torturas o malos tratos que se dicen sufridos bajo detención policial o en el contexto de actuaciones de agentes estatales.</w:t>
      </w:r>
    </w:p>
    <w:p w14:paraId="31ED855E" w14:textId="77777777" w:rsidR="009D7677" w:rsidRDefault="009D7677" w:rsidP="009D7677">
      <w:pPr>
        <w:pStyle w:val="TextoNormal"/>
      </w:pPr>
    </w:p>
    <w:p w14:paraId="6645851A" w14:textId="77777777" w:rsidR="009D7677" w:rsidRDefault="009D7677" w:rsidP="009D7677">
      <w:pPr>
        <w:pStyle w:val="TextoNormal"/>
      </w:pPr>
      <w:r>
        <w:t xml:space="preserve">Sostiene que pese a haberse aportado unos principios de prueba suficientes y solicitado otras diligencias, nada se practicó antes del dictado del auto de sobreseimiento. Afirma que cabe constatar una posible contradicción entre el auto inicialmente recurrido, auto de fecha 3 de mayo de 2021, que acordó el sobreseimiento provisional y archivo de la causa por considerar que no aparecía debidamente justificada la perpetración del delito que dio </w:t>
      </w:r>
      <w:r>
        <w:lastRenderedPageBreak/>
        <w:t>lugar a la formación de la causa y el de 10 de mayo de 2021 de acumulación de las diligencias previas 206-2021 a las número 140-2021, que declaró que “los hechos investigados son constitutivos de infracción penal, si bien no existen motivos suficientes para atribuir su perpetración a persona alguna determinada”. Alega que se trata de dos resoluciones aparentemente contradictorias, ya que acuerdan el sobreseimiento provisional por causas totalmente diferentes, sin que se puedan extraer más conclusiones, ya que el demandante nada alega acerca de esta contradicción.</w:t>
      </w:r>
    </w:p>
    <w:p w14:paraId="4AC2EA5C" w14:textId="77777777" w:rsidR="009D7677" w:rsidRDefault="009D7677" w:rsidP="009D7677">
      <w:pPr>
        <w:pStyle w:val="TextoNormal"/>
      </w:pPr>
    </w:p>
    <w:p w14:paraId="18A9D687" w14:textId="77777777" w:rsidR="009D7677" w:rsidRDefault="009D7677" w:rsidP="009D7677">
      <w:pPr>
        <w:pStyle w:val="TextoNormal"/>
      </w:pPr>
      <w:r>
        <w:t>Considera infundada jurídicamente la resolución de la Audiencia Provincial, porque, sin resolver la queja realmente articulada —la falta de investigación de los hechos objeto de la querella—, centra su fundamentación en una falta de reacción en sede judicial del detenido y en un supuesto retraso en la interposición de la querella. Entiende el Fiscal que los argumentos utilizados por la Audiencia Provincial tampoco resultan razonables, y, en consecuencia, no justifican la falta de investigación judicial. Argumenta que el retraso de doce días en la interposición de la querella no permite afirmar que se haya presentado esta para paralizar el proceso por el delito de atentado, y lo cierto es que el demandante de amparo, aunque nada alegó cuando estaba detenido, acudió inmediatamente a un centro sanitario, donde se evidenciaron unas lesiones que, al menos indiciariamente, no son consecuencia necesaria del uso proporcionado de la fuerza para lograr practicar la detención, sino que parecen ser desproporcionadas, lo que lleva a la necesidad de practicar una investigación exhaustiva.</w:t>
      </w:r>
    </w:p>
    <w:p w14:paraId="47D5AD0B" w14:textId="77777777" w:rsidR="009D7677" w:rsidRDefault="009D7677" w:rsidP="009D7677">
      <w:pPr>
        <w:pStyle w:val="TextoNormal"/>
      </w:pPr>
    </w:p>
    <w:p w14:paraId="630D40CA" w14:textId="4AE2170B" w:rsidR="009D7677" w:rsidRDefault="009D7677" w:rsidP="009D7677">
      <w:pPr>
        <w:pStyle w:val="TextoNormal"/>
      </w:pPr>
      <w:r>
        <w:t>En fin, considera el fiscal que teniendo en cuenta lo anterior, los órganos judiciales venían obligados a realizar una investigación suficiente y eficaz conforme al meritado canon constitucional, siendo así que, en el presente caso, se incumplió tal obligación. Interesa en consecuencia que se estime el recurso de amparo, que se declaren vulnerados los derechos invocados por el recurrente, se anulen los autos impugnados, y se retrotraigan las actuaciones a momento anterior al dictado del primero de los autos anulados para que el Juzgado de Primera Instancia e Instrucción núm. 4 de Vera proceda en términos respetuosos con el derecho invocado.</w:t>
      </w:r>
    </w:p>
    <w:p w14:paraId="74AAA258" w14:textId="77777777" w:rsidR="009D7677" w:rsidRDefault="009D7677" w:rsidP="009D7677">
      <w:pPr>
        <w:pStyle w:val="TextoNormal"/>
      </w:pPr>
    </w:p>
    <w:p w14:paraId="46BD5D94" w14:textId="69BBD061" w:rsidR="009D7677" w:rsidRDefault="009D7677" w:rsidP="009D7677">
      <w:pPr>
        <w:pStyle w:val="TextoNormal"/>
      </w:pPr>
      <w:r w:rsidRPr="009D7677">
        <w:rPr>
          <w:rStyle w:val="NumeroAFNegritaCaracter"/>
        </w:rPr>
        <w:t>10</w:t>
      </w:r>
      <w:r>
        <w:t>. Por providencia de 7 de marzo de 2024 se señaló para la deliberación y votación de la presente sentencia el día 11 del mimo mes y año.</w:t>
      </w:r>
    </w:p>
    <w:p w14:paraId="631F87E6" w14:textId="77777777" w:rsidR="009D7677" w:rsidRDefault="009D7677" w:rsidP="009D7677">
      <w:pPr>
        <w:pStyle w:val="TextoNormal"/>
      </w:pPr>
    </w:p>
    <w:p w14:paraId="0BF116EC" w14:textId="77777777" w:rsidR="009D7677" w:rsidRDefault="009D7677" w:rsidP="009D7677">
      <w:pPr>
        <w:pStyle w:val="TextoNormalNegritaCentrado"/>
        <w:keepNext/>
      </w:pPr>
      <w:r>
        <w:t>II. Fundamentos jurídicos</w:t>
      </w:r>
    </w:p>
    <w:p w14:paraId="58957422" w14:textId="78951FC7" w:rsidR="009D7677" w:rsidRDefault="009D7677" w:rsidP="009D7677">
      <w:pPr>
        <w:pStyle w:val="TextoNormalNegritaCentrado"/>
        <w:keepNext/>
      </w:pPr>
    </w:p>
    <w:p w14:paraId="4A271A65" w14:textId="77777777" w:rsidR="009D7677" w:rsidRDefault="009D7677" w:rsidP="009D7677">
      <w:pPr>
        <w:pStyle w:val="TextoNormal"/>
      </w:pPr>
      <w:r w:rsidRPr="009D7677">
        <w:rPr>
          <w:rStyle w:val="NumeroAFNegritaCaracter"/>
        </w:rPr>
        <w:t>1</w:t>
      </w:r>
      <w:r>
        <w:t xml:space="preserve">. </w:t>
      </w:r>
      <w:r w:rsidRPr="009D7677">
        <w:rPr>
          <w:i/>
        </w:rPr>
        <w:t>Delimitación del objeto del recurso de amparo</w:t>
      </w:r>
    </w:p>
    <w:p w14:paraId="19F7D94E" w14:textId="77777777" w:rsidR="009D7677" w:rsidRDefault="009D7677" w:rsidP="009D7677">
      <w:pPr>
        <w:pStyle w:val="TextoNormal"/>
      </w:pPr>
    </w:p>
    <w:p w14:paraId="35D60B7F" w14:textId="77777777" w:rsidR="009D7677" w:rsidRDefault="009D7677" w:rsidP="009D7677">
      <w:pPr>
        <w:pStyle w:val="TextoNormal"/>
      </w:pPr>
      <w:r>
        <w:t>Se interpone el presente recurso de amparo contra los autos del Juzgado de Primera Instancia e Instrucción núm. 4 de Vera dictados el 3 de mayo y el 9 de junio de 2021, por los que respectivamente se acordó el sobreseimiento provisional y archivo de las diligencias previas núm. 140-2021 y se desestimó el posterior recurso de reforma, y contra el auto de la Sección Segunda de la Audiencia Provincial de Almería, de 16 de julio de 2021, que desestimó el recurso de apelación interpuesto contra los anteriores.</w:t>
      </w:r>
    </w:p>
    <w:p w14:paraId="32299F2F" w14:textId="77777777" w:rsidR="009D7677" w:rsidRDefault="009D7677" w:rsidP="009D7677">
      <w:pPr>
        <w:pStyle w:val="TextoNormal"/>
      </w:pPr>
    </w:p>
    <w:p w14:paraId="3AF25D1F" w14:textId="77777777" w:rsidR="009D7677" w:rsidRDefault="009D7677" w:rsidP="009D7677">
      <w:pPr>
        <w:pStyle w:val="TextoNormal"/>
      </w:pPr>
      <w:r>
        <w:t>El recurrente alega que las resoluciones impugnadas han vulnerado sus derechos a la integridad física y moral (art. 15 CE) y a la libertad (art. 17.1 CE), en relación con el dere</w:t>
      </w:r>
      <w:r>
        <w:lastRenderedPageBreak/>
        <w:t>cho a la tutela judicial efectiva (art. 24.1 CE) por la falta de una investigación judicial suficiente de los hechos denunciados en la querella. Esa vulneración se habría producido porque las referidas resoluciones judiciales acuerdan y confirman el sobreseimiento provisional y archivo de la causa incoada, a pesar de que existen indicios claros de la comisión del delito de torturas, sin que se haya llevado a cabo una investigación judicial suficiente y eficaz para intentar esclarecer lo sucedido.</w:t>
      </w:r>
    </w:p>
    <w:p w14:paraId="24D4F817" w14:textId="77777777" w:rsidR="009D7677" w:rsidRDefault="009D7677" w:rsidP="009D7677">
      <w:pPr>
        <w:pStyle w:val="TextoNormal"/>
      </w:pPr>
    </w:p>
    <w:p w14:paraId="71ADB27E" w14:textId="77777777" w:rsidR="009D7677" w:rsidRDefault="009D7677" w:rsidP="009D7677">
      <w:pPr>
        <w:pStyle w:val="TextoNormal"/>
      </w:pPr>
      <w:r>
        <w:t>Las partes comparecidas, agentes de la Guardia Civil con TIP Z12765U y F98357P, solicitaron que se desestimara el recurso de amparo conforme ha quedado expuesto en el relato de antecedentes.</w:t>
      </w:r>
    </w:p>
    <w:p w14:paraId="7BDB344B" w14:textId="77777777" w:rsidR="009D7677" w:rsidRDefault="009D7677" w:rsidP="009D7677">
      <w:pPr>
        <w:pStyle w:val="TextoNormal"/>
      </w:pPr>
    </w:p>
    <w:p w14:paraId="3BB590CC" w14:textId="7DDFA202" w:rsidR="009D7677" w:rsidRDefault="009D7677" w:rsidP="009D7677">
      <w:pPr>
        <w:pStyle w:val="TextoNormal"/>
      </w:pPr>
      <w:r>
        <w:t>El Ministerio Fiscal solicitó que se otorgue al recurrente el amparo por entender que los órganos judiciales vulneraron los derechos fundamentales a la integridad física y moral (art. 15 CE) y a la libertad (art. 17 CE) en relación con el derecho a la tutela judicial efectiva (art. 24.1 CE) por la falta de una investigación judicial suficiente de los hechos denunciados en la querella.</w:t>
      </w:r>
    </w:p>
    <w:p w14:paraId="332D24DA" w14:textId="77777777" w:rsidR="009D7677" w:rsidRDefault="009D7677" w:rsidP="009D7677">
      <w:pPr>
        <w:pStyle w:val="TextoNormal"/>
      </w:pPr>
    </w:p>
    <w:p w14:paraId="51BCC7FB" w14:textId="77777777" w:rsidR="009D7677" w:rsidRDefault="009D7677" w:rsidP="009D7677">
      <w:pPr>
        <w:pStyle w:val="TextoNormal"/>
      </w:pPr>
      <w:r w:rsidRPr="009D7677">
        <w:rPr>
          <w:rStyle w:val="NumeroAFNegritaCaracter"/>
        </w:rPr>
        <w:t>2</w:t>
      </w:r>
      <w:r>
        <w:t xml:space="preserve">. </w:t>
      </w:r>
      <w:r w:rsidRPr="009D7677">
        <w:rPr>
          <w:i/>
        </w:rPr>
        <w:t>Consideraciones previas: la jurisprudencia constitucional en materia de investigación judicial de denuncias por torturas y tratos inhumanos o degradantes</w:t>
      </w:r>
    </w:p>
    <w:p w14:paraId="029181EE" w14:textId="77777777" w:rsidR="009D7677" w:rsidRDefault="009D7677" w:rsidP="009D7677">
      <w:pPr>
        <w:pStyle w:val="TextoNormal"/>
      </w:pPr>
    </w:p>
    <w:p w14:paraId="2088B105" w14:textId="77777777" w:rsidR="009D7677" w:rsidRDefault="009D7677" w:rsidP="009D7677">
      <w:pPr>
        <w:pStyle w:val="TextoNormal"/>
      </w:pPr>
      <w:r>
        <w:t xml:space="preserve">El Tribunal ha establecido una consolidada jurisprudencia sobre las exigencias constitucionales derivadas de los derechos a la tutela judicial efectiva (art. 24.1 CE) y a no ser sometido a tortura ni a tratos inhumanos o degradantes (art. 15 CE), en relación con las decisiones judiciales de sobreseimiento y archivo de instrucciones penales incoadas por denuncia de haber sufrido este tipo de tratos bajo custodia o en el contexto de actuaciones de agentes estatales (entre los más recientes, SSTC 130/2016, de 18 de julio; 144/2016, de 19 de septiembre; 39/2017, de 24 de abril; 166/2021; 12/2022 y 13/2022, de 7 de febrero; 34/2022, de 7 de marzo; 122/2022, de 10 de octubre, y 124/2022, de 10 de octubre), en línea con muy diversos pronunciamientos del Tribunal Europeo de Derechos Humanos en la materia (SSTEDH de 28 de julio de 1999, asunto </w:t>
      </w:r>
      <w:r w:rsidRPr="009D7677">
        <w:rPr>
          <w:i/>
        </w:rPr>
        <w:t>Selmouni c. Francia</w:t>
      </w:r>
      <w:r>
        <w:t xml:space="preserve">; de 11 de abril de 2000, asunto </w:t>
      </w:r>
      <w:r w:rsidRPr="009D7677">
        <w:rPr>
          <w:i/>
        </w:rPr>
        <w:t>Sevtap Veznedaro</w:t>
      </w:r>
      <w:r>
        <w:t>ğ</w:t>
      </w:r>
      <w:r w:rsidRPr="009D7677">
        <w:rPr>
          <w:i/>
        </w:rPr>
        <w:t>lu c. Turquía</w:t>
      </w:r>
      <w:r>
        <w:t xml:space="preserve">; de 16 de diciembre de 2003, asunto </w:t>
      </w:r>
      <w:r w:rsidRPr="009D7677">
        <w:rPr>
          <w:i/>
        </w:rPr>
        <w:t>Kmetty c. Hungría</w:t>
      </w:r>
      <w:r>
        <w:t xml:space="preserve">, o de 7 de julio de 2022, asunto </w:t>
      </w:r>
      <w:r w:rsidRPr="009D7677">
        <w:rPr>
          <w:i/>
        </w:rPr>
        <w:t>Torosian c. Grecia</w:t>
      </w:r>
      <w:r>
        <w:t xml:space="preserve">; y entre los que afectan a España, SSTEDH de 5 de mayo de 2015, asunto </w:t>
      </w:r>
      <w:r w:rsidRPr="009D7677">
        <w:rPr>
          <w:i/>
        </w:rPr>
        <w:t>Arratibel Garciandia c. España</w:t>
      </w:r>
      <w:r>
        <w:t xml:space="preserve">; de 31 de mayo de 2016, asunto </w:t>
      </w:r>
      <w:r w:rsidRPr="009D7677">
        <w:rPr>
          <w:i/>
        </w:rPr>
        <w:t>Beortegui Martínez c España</w:t>
      </w:r>
      <w:r>
        <w:t xml:space="preserve">; de 19 de enero de 2021, asunto </w:t>
      </w:r>
      <w:r w:rsidRPr="009D7677">
        <w:rPr>
          <w:i/>
        </w:rPr>
        <w:t>González Etayo c. España</w:t>
      </w:r>
      <w:r>
        <w:t xml:space="preserve">, o de 9 de marzo de 2021, asunto </w:t>
      </w:r>
      <w:r w:rsidRPr="009D7677">
        <w:rPr>
          <w:i/>
        </w:rPr>
        <w:t>López Martínez c. España</w:t>
      </w:r>
      <w:r>
        <w:t>).</w:t>
      </w:r>
    </w:p>
    <w:p w14:paraId="7756DD83" w14:textId="77777777" w:rsidR="009D7677" w:rsidRDefault="009D7677" w:rsidP="009D7677">
      <w:pPr>
        <w:pStyle w:val="TextoNormal"/>
      </w:pPr>
    </w:p>
    <w:p w14:paraId="5A7C4E97" w14:textId="77777777" w:rsidR="009D7677" w:rsidRDefault="009D7677" w:rsidP="009D7677">
      <w:pPr>
        <w:pStyle w:val="TextoNormal"/>
      </w:pPr>
      <w:r>
        <w:t>Esta jurisprudencia, tanto del Tribunal Constitucional como del Tribunal Europeo de Derechos Humanos, ha sido expuesta de forma extensa en las SSTC 130/2016, FJ 2; 166/2021, FFJJ 2 y 3, y 13/2022, FFJJ 2 y 3, a las que nos remitimos, dejando ahora solo constancia resumida de sus aspectos esenciales en lo que puede afectar a la resolución del presente recurso:</w:t>
      </w:r>
    </w:p>
    <w:p w14:paraId="3D72F88E" w14:textId="77777777" w:rsidR="009D7677" w:rsidRDefault="009D7677" w:rsidP="009D7677">
      <w:pPr>
        <w:pStyle w:val="TextoNormal"/>
      </w:pPr>
    </w:p>
    <w:p w14:paraId="29924C21" w14:textId="77777777" w:rsidR="009D7677" w:rsidRDefault="009D7677" w:rsidP="009D7677">
      <w:pPr>
        <w:pStyle w:val="TextoNormal"/>
      </w:pPr>
      <w:r>
        <w:t xml:space="preserve">(i) Las quejas referidas a este tipo de decisiones judiciales tienen su encuadre constitucional más preciso en el derecho a la tutela judicial efectiva (art. 24.1 CE), pero su relación con el derecho a no ser sometido a tortura o tratos inhumanos o degradantes (art. 15 CE) impone que la valoración constitucional sobre la suficiencia de la indagación judicial dependa no solo de que las decisiones de sobreseimiento y archivo de las diligencias penales estén motivadas y jurídicamente fundadas, sino además, según el parámetro de control </w:t>
      </w:r>
      <w:r>
        <w:lastRenderedPageBreak/>
        <w:t>constitucional reforzado, de que sean acordes con la prohibición absoluta de las conductas denunciadas.</w:t>
      </w:r>
    </w:p>
    <w:p w14:paraId="6EDBC064" w14:textId="77777777" w:rsidR="009D7677" w:rsidRDefault="009D7677" w:rsidP="009D7677">
      <w:pPr>
        <w:pStyle w:val="TextoNormal"/>
      </w:pPr>
    </w:p>
    <w:p w14:paraId="6A26A7BC" w14:textId="77777777" w:rsidR="009D7677" w:rsidRDefault="009D7677" w:rsidP="009D7677">
      <w:pPr>
        <w:pStyle w:val="TextoNormal"/>
      </w:pPr>
      <w:r>
        <w:t xml:space="preserve">Los supuestos a los que resulta de aplicación esta jurisprudencia se refieren a denuncias por actuaciones constitutivas de tortura o cualquier tipo de malos tratos prohibidos por el art. 15 CE y no solo en el contexto de detenciones incomunicadas (SSTC 130/2016 y 144/2016) o situaciones asimilables como la de interno en módulos de régimen cerrado o de aislamiento (STC 12/2022), sino también cuando suceden en comisaría por detenciones comunicadas (STC 13/2022), en actuaciones en el momento de la detención (STC 166/2021) o incluso cuando la conducta policial se ha desarrollado en meras labores de orden público sin dar lugar a una detención (SSTEDH de 24 de julio de 2012, asunto </w:t>
      </w:r>
      <w:r w:rsidRPr="009D7677">
        <w:rPr>
          <w:i/>
        </w:rPr>
        <w:t>B.S. c. España</w:t>
      </w:r>
      <w:r>
        <w:t xml:space="preserve">, o de 9 de marzo de 2021, asunto </w:t>
      </w:r>
      <w:r w:rsidRPr="009D7677">
        <w:rPr>
          <w:i/>
        </w:rPr>
        <w:t>López Martínez c. España</w:t>
      </w:r>
      <w:r>
        <w:t>).</w:t>
      </w:r>
    </w:p>
    <w:p w14:paraId="0DAED8CA" w14:textId="77777777" w:rsidR="009D7677" w:rsidRDefault="009D7677" w:rsidP="009D7677">
      <w:pPr>
        <w:pStyle w:val="TextoNormal"/>
      </w:pPr>
    </w:p>
    <w:p w14:paraId="523DAB84" w14:textId="77777777" w:rsidR="009D7677" w:rsidRDefault="009D7677" w:rsidP="009D7677">
      <w:pPr>
        <w:pStyle w:val="TextoNormal"/>
      </w:pPr>
      <w:r>
        <w:t>(ii) La suficiencia y efectividad de esta investigación judicial, así como la necesidad de perseverar en la práctica de nuevas diligencias de investigación, deben evaluarse atendiendo a las circunstancias concretas de la denuncia y de lo denunciado, y desde la gravedad de lo denunciado y su previa opacidad, rasgos ambos que afectan al grado de esfuerzo judicial exigido por el art. 24.1 CE. En ese sentido, es preciso atender, entre otras circunstancias, a la probable escasez de pruebas existente en este tipo de delitos y la dificultad de la víctima de aportar medios de prueba sobre su comisión; y a que la cualificación oficial de los denunciados debe compensarse con la firmeza judicial frente a la posible resistencia o demora en la aportación de medios de prueba, con la especial atención a diligencias de prueba cuyo origen se sitúe al margen de las instituciones afectadas por la denuncia.</w:t>
      </w:r>
    </w:p>
    <w:p w14:paraId="7BE9852D" w14:textId="77777777" w:rsidR="009D7677" w:rsidRDefault="009D7677" w:rsidP="009D7677">
      <w:pPr>
        <w:pStyle w:val="TextoNormal"/>
      </w:pPr>
    </w:p>
    <w:p w14:paraId="19321302" w14:textId="77777777" w:rsidR="009D7677" w:rsidRDefault="009D7677" w:rsidP="009D7677">
      <w:pPr>
        <w:pStyle w:val="TextoNormal"/>
      </w:pPr>
      <w:r>
        <w:t>(iii) Existe una especial exigencia de desarrollar una exhaustiva investigación en relación con las denuncias de este tipo de conductas contrarias al art. 15 CE, agotando cuantas posibilidades de indagación resulten útiles para aclarar los hechos, ya que es necesario acentuar las garantías por concurrir una situación especial en la que el ciudadano se encuentra provisionalmente bajo la custodia física del Estado. Este mandato, si bien no comporta la realización de todas las diligencias de investigación posibles, sí impone que no se clausure la instrucción judicial penal cuando existan sospechas razonables de que se ha podido cometer el delito de torturas o de tratos inhumanos o degradantes denunciado y cuando tales sospechas se revelen como susceptibles de ser despejadas a través de la actividad investigadora.</w:t>
      </w:r>
    </w:p>
    <w:p w14:paraId="4BEBB321" w14:textId="77777777" w:rsidR="009D7677" w:rsidRDefault="009D7677" w:rsidP="009D7677">
      <w:pPr>
        <w:pStyle w:val="TextoNormal"/>
      </w:pPr>
    </w:p>
    <w:p w14:paraId="0A43EA9A" w14:textId="77777777" w:rsidR="009D7677" w:rsidRDefault="009D7677" w:rsidP="009D7677">
      <w:pPr>
        <w:pStyle w:val="TextoNormal"/>
      </w:pPr>
      <w:r>
        <w:t>El Tribunal ha estimado la pretensión de amparo en supuestos en los que, existiendo sospechas razonables de delito, se había concluido la instrucción sin haber tomado declaración a la persona denunciante [por ejemplo, SSTC 34/2008, de 25 de febrero, FJ 8; 52/2008, de 14 de abril, FJ 5; 107/2008, de 22 de septiembre, FJ 4; 63/2010, de 18 de octubre, FJ 3 b); 131/2012, de 18 de junio, FJ 5; 153/2013, de 9 de septiembre, FJ 6, y 39/2017, FJ 4], sin haber oído al letrado de oficio que asistió a la persona detenida en dependencias policiales (SSTC 52/2008, FJ 5; 130/2016, FJ 5, y 144/2016, FJ 4), sin haber recibido declaración a los profesionales sanitarios que le asistieron (STC 52/2008, FJ 5), sin haber identificado, y tomado declaración, a los agentes de los cuerpos y fuerzas de seguridad del Estado bajo cuya custodia se encontraba quien formuló la denuncia (SSTC 107/2008, FJ 4; 40/2010, de 19 de julio, FJ 4; 144/2016, FJ 4, y 39/2017, FJ 4) o sin haber oído a aquellas personas que aparecían identificadas como posibles testigos en las diferentes actuaciones indagatorias que ya se hubieran desarrollado (STC 12/2022, FJ 4).</w:t>
      </w:r>
    </w:p>
    <w:p w14:paraId="0E53B613" w14:textId="77777777" w:rsidR="009D7677" w:rsidRDefault="009D7677" w:rsidP="009D7677">
      <w:pPr>
        <w:pStyle w:val="TextoNormal"/>
      </w:pPr>
    </w:p>
    <w:p w14:paraId="1652CE5F" w14:textId="1805615E" w:rsidR="009D7677" w:rsidRDefault="009D7677" w:rsidP="009D7677">
      <w:pPr>
        <w:pStyle w:val="TextoNormal"/>
      </w:pPr>
      <w:r>
        <w:t>Por último, esta doctrina ha sido reiterada recientemente por la STC 1/2024, de 15 de enero, que incluso la ha ampliado a supuestos de suicidios de personas que se encontraban bajo custodia de las autoridades estatales.</w:t>
      </w:r>
    </w:p>
    <w:p w14:paraId="222A12B0" w14:textId="77777777" w:rsidR="009D7677" w:rsidRDefault="009D7677" w:rsidP="009D7677">
      <w:pPr>
        <w:pStyle w:val="TextoNormal"/>
      </w:pPr>
    </w:p>
    <w:p w14:paraId="7648F6FB" w14:textId="77777777" w:rsidR="009D7677" w:rsidRDefault="009D7677" w:rsidP="009D7677">
      <w:pPr>
        <w:pStyle w:val="TextoNormal"/>
      </w:pPr>
      <w:r w:rsidRPr="009D7677">
        <w:rPr>
          <w:rStyle w:val="NumeroAFNegritaCaracter"/>
        </w:rPr>
        <w:t>3</w:t>
      </w:r>
      <w:r>
        <w:t xml:space="preserve">. </w:t>
      </w:r>
      <w:r w:rsidRPr="009D7677">
        <w:rPr>
          <w:i/>
        </w:rPr>
        <w:t>Los hechos que han dado lugar al presente recurso de amparo</w:t>
      </w:r>
    </w:p>
    <w:p w14:paraId="45F33F4D" w14:textId="77777777" w:rsidR="009D7677" w:rsidRDefault="009D7677" w:rsidP="009D7677">
      <w:pPr>
        <w:pStyle w:val="TextoNormal"/>
      </w:pPr>
    </w:p>
    <w:p w14:paraId="154A7EF4" w14:textId="77777777" w:rsidR="009D7677" w:rsidRDefault="009D7677" w:rsidP="009D7677">
      <w:pPr>
        <w:pStyle w:val="TextoNormal"/>
      </w:pPr>
      <w:r>
        <w:t>El Tribunal constata, a la vista de las actuaciones judiciales remitidas en este procedimiento de amparo, los siguientes hechos relevantes para la resolución de la presente demanda:</w:t>
      </w:r>
    </w:p>
    <w:p w14:paraId="0352E0EE" w14:textId="77777777" w:rsidR="009D7677" w:rsidRDefault="009D7677" w:rsidP="009D7677">
      <w:pPr>
        <w:pStyle w:val="TextoNormal"/>
      </w:pPr>
    </w:p>
    <w:p w14:paraId="43011077" w14:textId="77777777" w:rsidR="009D7677" w:rsidRDefault="009D7677" w:rsidP="009D7677">
      <w:pPr>
        <w:pStyle w:val="TextoNormal"/>
      </w:pPr>
      <w:r>
        <w:t>(i) El demandante de amparo formuló una querella contra varios agentes de la Guardia Civil por los hechos que tuvieron lugar mientras estuvo detenido atribuyéndoles la comisión de los delitos de detención ilegal, torturas y lesiones. Solicitó la práctica de diversas diligencias de investigación, entre ellas, la visualización de las cámaras internas del puesto de la Guardia Civil donde estuvo detenido, la declaración testifical de la agente de la Guardia Civil que estuvo presente en el momento de la detención y del médico que le asistió, reconocimiento médico de las lesiones sufridas. Posteriormente, amplió la solicitud de diligencias a la práctica de otras dos declaraciones testificales.</w:t>
      </w:r>
    </w:p>
    <w:p w14:paraId="56B81403" w14:textId="77777777" w:rsidR="009D7677" w:rsidRDefault="009D7677" w:rsidP="009D7677">
      <w:pPr>
        <w:pStyle w:val="TextoNormal"/>
      </w:pPr>
    </w:p>
    <w:p w14:paraId="34B12B9B" w14:textId="77777777" w:rsidR="009D7677" w:rsidRDefault="009D7677" w:rsidP="009D7677">
      <w:pPr>
        <w:pStyle w:val="TextoNormal"/>
      </w:pPr>
      <w:r>
        <w:t>(ii) Los hechos ocurrieron, según consta en el escrito, cuando el demandante de amparo iba de ocupante en un vehículo que fue interceptado en un control realizado por la Guardia Civil. Expone que fue requerido por los agentes para que saliera del coche y se bajara los pantalones, orden a la que se negó, lo cual provocó su detención, encontrándose en todo momento bajo los efectos del alcohol y las drogas. Describe sucesivas agresiones en diversos momentos, concretamente, que fue tumbado en el suelo y recibió golpes, puñetazos, y patadas en el cuello, pecho, barriga y espalda, todo ello con las esposas puestas. Ante tales hechos, relata que uno de los agentes increpó al otro agente que agredía al detenido con expresiones “te has pasado”, “esto no se hace así”, reprochando la brutal agresión.</w:t>
      </w:r>
    </w:p>
    <w:p w14:paraId="0F08D822" w14:textId="77777777" w:rsidR="009D7677" w:rsidRDefault="009D7677" w:rsidP="009D7677">
      <w:pPr>
        <w:pStyle w:val="TextoNormal"/>
      </w:pPr>
    </w:p>
    <w:p w14:paraId="672BEA73" w14:textId="77777777" w:rsidR="009D7677" w:rsidRDefault="009D7677" w:rsidP="009D7677">
      <w:pPr>
        <w:pStyle w:val="TextoNormal"/>
      </w:pPr>
      <w:r>
        <w:t>Recoge que rechazó ser explorado por el médico, por lo que el parte facultativo de lesiones que figura junto al atestado no atiende a una exploración física. Se hace constar también que la asistencia letrada al detenido en dependencias policiales se realizó telefónicamente. El mismo día que quedó en libertad acudió al médico que emitió parte en el que objetivó las lesiones sufridas. Debido a los continuos dolores, acudió días más tarde de nuevo al mismo médico, que acordó la realización de una radiografía y recogió en el parte la fractura de una costilla acordando treinta y nueve días de baja con reposo y revisiones periódicas. Los partes médicos junto con el atestado configurado por la Guardia Civil, un documento acreditativo del consumo de drogas, la citación para juicio ante el juzgado de lo penal de Almería y fotografías de las lesiones y la ropa se adjuntan al escrito de querella. Solicitó la práctica de una pluralidad de diligencias de investigación: visualizado de las cámaras, datos de identificación de los agentes, testificales y examen médico.</w:t>
      </w:r>
    </w:p>
    <w:p w14:paraId="715B43D3" w14:textId="77777777" w:rsidR="009D7677" w:rsidRDefault="009D7677" w:rsidP="009D7677">
      <w:pPr>
        <w:pStyle w:val="TextoNormal"/>
      </w:pPr>
    </w:p>
    <w:p w14:paraId="45DF3814" w14:textId="77777777" w:rsidR="009D7677" w:rsidRDefault="009D7677" w:rsidP="009D7677">
      <w:pPr>
        <w:pStyle w:val="TextoNormal"/>
      </w:pPr>
      <w:r>
        <w:t xml:space="preserve">(iii) Una vez recibida la querella, el órgano instructor acordó la incoación de diligencias previas. No obstante, sin la práctica de ninguna diligencia de investigación, acordó el sobreseimiento de la causa por no quedar justificada la perpetración de delito que dio lugar a la formación de la causa, a través de una motivación estereotipada. El juzgado confirmó </w:t>
      </w:r>
      <w:r>
        <w:lastRenderedPageBreak/>
        <w:t>esta decisión al desestimar el recurso de reforma a pesar de que el demandante de amparo había insistido en su recurso en la necesidad de la práctica de diversas diligencias que ya habían sido solicitadas en la querella, justificando el órgano judicial la ausencia de indicios de delito de la simple lectura de la querella, así como de la documental aportada con la misma.</w:t>
      </w:r>
    </w:p>
    <w:p w14:paraId="384DC562" w14:textId="77777777" w:rsidR="009D7677" w:rsidRDefault="009D7677" w:rsidP="009D7677">
      <w:pPr>
        <w:pStyle w:val="TextoNormal"/>
      </w:pPr>
    </w:p>
    <w:p w14:paraId="15E897E1" w14:textId="6F07E275" w:rsidR="009D7677" w:rsidRDefault="009D7677" w:rsidP="009D7677">
      <w:pPr>
        <w:pStyle w:val="TextoNormal"/>
      </w:pPr>
      <w:r>
        <w:t>(iv) La decisión de sobreseimiento fue también confirmada al desestimar la Sección Segunda de la Audiencia Provincial de Almería el recurso de apelación con fundamento en la circunstancia especial que concurría en este supuesto, ya que el querellante fue detenido por un presunto delito de atentado y lesiones y se incoaron contra él diligencias urgentes de juicio rápido. La ausencia de denuncia o manifestación alguna al respecto de los hechos descritos en la querella denotan para el órgano judicial una actuación procesal injustificada y mala fe procesal, pues tienen como única finalidad la suspensión de la celebración del juicio. Concluye, por tanto, que las diligencias previas estaban correctamente archivadas y debía celebrarse el juicio por atentado y lesiones.</w:t>
      </w:r>
    </w:p>
    <w:p w14:paraId="1AA209B1" w14:textId="77777777" w:rsidR="009D7677" w:rsidRDefault="009D7677" w:rsidP="009D7677">
      <w:pPr>
        <w:pStyle w:val="TextoNormal"/>
      </w:pPr>
    </w:p>
    <w:p w14:paraId="6AA902A1" w14:textId="77777777" w:rsidR="009D7677" w:rsidRDefault="009D7677" w:rsidP="009D7677">
      <w:pPr>
        <w:pStyle w:val="TextoNormal"/>
      </w:pPr>
      <w:r w:rsidRPr="009D7677">
        <w:rPr>
          <w:rStyle w:val="NumeroAFNegritaCaracter"/>
        </w:rPr>
        <w:t>4</w:t>
      </w:r>
      <w:r>
        <w:t xml:space="preserve">. </w:t>
      </w:r>
      <w:r w:rsidRPr="009D7677">
        <w:rPr>
          <w:i/>
        </w:rPr>
        <w:t>Aplicación de la doctrina constitucional en materia de investigación judicial eficaz y suficiente al presente caso</w:t>
      </w:r>
    </w:p>
    <w:p w14:paraId="79B69654" w14:textId="77777777" w:rsidR="009D7677" w:rsidRDefault="009D7677" w:rsidP="009D7677">
      <w:pPr>
        <w:pStyle w:val="TextoNormal"/>
      </w:pPr>
    </w:p>
    <w:p w14:paraId="22BE5BED" w14:textId="77777777" w:rsidR="009D7677" w:rsidRDefault="009D7677" w:rsidP="009D7677">
      <w:pPr>
        <w:pStyle w:val="TextoNormal"/>
      </w:pPr>
      <w:r>
        <w:t>Los hechos anteriormente relatados, puestos en relación con la jurisprudencia constitucional en la materia, determinan que el Tribunal concluya, de conformidad con lo solicitado por el Ministerio Fiscal, que la decisión judicial de archivar las diligencias penales abiertas como consecuencia de la querella del demandante de amparo no fue conforme con las exigencias del art. 24.1, en relación con el art. 15 CE, por las razones siguientes:</w:t>
      </w:r>
    </w:p>
    <w:p w14:paraId="5ADF76C7" w14:textId="77777777" w:rsidR="009D7677" w:rsidRDefault="009D7677" w:rsidP="009D7677">
      <w:pPr>
        <w:pStyle w:val="TextoNormal"/>
      </w:pPr>
    </w:p>
    <w:p w14:paraId="02952D4F" w14:textId="77777777" w:rsidR="009D7677" w:rsidRDefault="009D7677" w:rsidP="009D7677">
      <w:pPr>
        <w:pStyle w:val="TextoNormal"/>
      </w:pPr>
      <w:r>
        <w:t>(i) El Tribunal entiende procedente despejar cualquier duda que pudiera quedar respecto de la aplicabilidad de la jurisprudencia constitucional y del Tribunal Europeo de Derechos Humanos en este supuesto en concreto, que pudiera derivarse de la argumentación de la Sección Segunda de la Audiencia Provincial de Almería de que en el presente supuesto concurre una circunstancia especial porque el querellante fue detenido por un presunto delito de atentado y lesiones, incoándose contra él diligencias urgentes.</w:t>
      </w:r>
    </w:p>
    <w:p w14:paraId="55C170C7" w14:textId="77777777" w:rsidR="009D7677" w:rsidRDefault="009D7677" w:rsidP="009D7677">
      <w:pPr>
        <w:pStyle w:val="TextoNormal"/>
      </w:pPr>
    </w:p>
    <w:p w14:paraId="585D2E17" w14:textId="77777777" w:rsidR="009D7677" w:rsidRDefault="009D7677" w:rsidP="009D7677">
      <w:pPr>
        <w:pStyle w:val="TextoNormal"/>
      </w:pPr>
      <w:r>
        <w:t>La jurisprudencia constitucional en esta materia, en atención a la función que desarrolla el Tribunal en la jurisdicción de amparo, está vinculada con la prohibición de que cualquier persona pueda ser sometida a tortura ni a penas o tratos inhumanos o degradantes prevista en el art. 15 CE y al carácter absoluto de esta prohibición. De modo que el derecho a un investigación efectiva y suficiente en este ámbito no puede quedar excluido o limitado por la hipotética actuación de los agentes policiales que, aun pudiendo estar legitimados para proceder a la detención de una persona por un presunto delito de atentado y lesiones, aparezca cuestionada por quien afirme que han cometido malos tratos abusando de su cargo. En efecto, la prohibición se configura con carácter absoluto, en el doble sentido de que por una parte queda proscrita para todo tipo de supuestos y con independencia de la conducta pasada o incluso en la que hayan incurrido las personas investigadas, detenidas o penadas, y, por otra, de que no admite ponderación alguna con otros derechos o bienes constitucionales.</w:t>
      </w:r>
    </w:p>
    <w:p w14:paraId="5D329E1F" w14:textId="77777777" w:rsidR="009D7677" w:rsidRDefault="009D7677" w:rsidP="009D7677">
      <w:pPr>
        <w:pStyle w:val="TextoNormal"/>
      </w:pPr>
    </w:p>
    <w:p w14:paraId="56F29263" w14:textId="77777777" w:rsidR="009D7677" w:rsidRDefault="009D7677" w:rsidP="009D7677">
      <w:pPr>
        <w:pStyle w:val="TextoNormal"/>
      </w:pPr>
      <w:r>
        <w:t>Por tanto, no existe objeción a que el Tribunal analice el objeto del presente recurso de amparo desde la perspectiva del parámetro de control constitucional que tanto la jurispru</w:t>
      </w:r>
      <w:r>
        <w:lastRenderedPageBreak/>
        <w:t>dencia del Tribunal como la del Tribunal Europeo de Derechos Humanos han elaborado para los supuestos de investigación de denuncias respecto de torturas o malos tratos prohibidos por el art. 15 CE.</w:t>
      </w:r>
    </w:p>
    <w:p w14:paraId="5B1946FC" w14:textId="77777777" w:rsidR="009D7677" w:rsidRDefault="009D7677" w:rsidP="009D7677">
      <w:pPr>
        <w:pStyle w:val="TextoNormal"/>
      </w:pPr>
    </w:p>
    <w:p w14:paraId="427C91AF" w14:textId="77777777" w:rsidR="009D7677" w:rsidRDefault="009D7677" w:rsidP="009D7677">
      <w:pPr>
        <w:pStyle w:val="TextoNormal"/>
      </w:pPr>
      <w:r>
        <w:t>(ii) El Tribunal constata que las sospechas sobre la veracidad de los hechos denunciados en la querella pudieran no ser lo suficientemente contundentes para los órganos judiciales por las razones expresadas en los autos impugnados. Sin embargo, desde la perspectiva y enjuiciamiento de los derechos concernidos, el Tribunal considera que, en atención a las concretas circunstancias del caso, el grado de esfuerzo judicial desarrollado no alcanza la suficiencia y efectividad exigida por la jurisprudencia constitucional en la materia.</w:t>
      </w:r>
    </w:p>
    <w:p w14:paraId="21799779" w14:textId="77777777" w:rsidR="009D7677" w:rsidRDefault="009D7677" w:rsidP="009D7677">
      <w:pPr>
        <w:pStyle w:val="TextoNormal"/>
      </w:pPr>
    </w:p>
    <w:p w14:paraId="417194E3" w14:textId="77777777" w:rsidR="009D7677" w:rsidRDefault="009D7677" w:rsidP="009D7677">
      <w:pPr>
        <w:pStyle w:val="TextoNormal"/>
      </w:pPr>
      <w:r>
        <w:t xml:space="preserve">Por otra parte, como ya se ha dicho, la decisión judicial de apelación de que en el presente supuesto concurre una circunstancia especial porque el querellante fue detenido por un presunto delito de atentado y lesiones no excluye el especial mandato de agotar cuantas posibilidades razonables de indagación resulten útiles para aclarar los hechos. Las exigencias del derecho a la tutela judicial efectiva no permiten aceptar como razón suficiente para negar toda credibilidad al denunciante la de su ánimo de defensa frente a la imputación que pesaba o que temía que iba a pesar contra él so pena de cercenar </w:t>
      </w:r>
      <w:r w:rsidRPr="009D7677">
        <w:rPr>
          <w:i/>
        </w:rPr>
        <w:t>a radice</w:t>
      </w:r>
      <w:r>
        <w:t xml:space="preserve"> toda denuncia de maltrato policial a un detenido que, en cuanto tal, es o va a ser objeto de alguna imputación de la que tratará de defenderse.</w:t>
      </w:r>
    </w:p>
    <w:p w14:paraId="18537E36" w14:textId="77777777" w:rsidR="009D7677" w:rsidRDefault="009D7677" w:rsidP="009D7677">
      <w:pPr>
        <w:pStyle w:val="TextoNormal"/>
      </w:pPr>
    </w:p>
    <w:p w14:paraId="1B920DCF" w14:textId="77777777" w:rsidR="009D7677" w:rsidRDefault="009D7677" w:rsidP="009D7677">
      <w:pPr>
        <w:pStyle w:val="TextoNormal"/>
      </w:pPr>
      <w:r>
        <w:t>En este sentido, tampoco pueden considerarse como un déficit de veracidad de la denuncia los fundamentos referidos a que en las diligencias urgentes “se acogió a su derecho a no declarar”, “no manifestó en ningún momento la brutal agresión de la fue objeto y ahora sustenta querella” o “no pidió ser reconocido por el médico forense y su defensa en el acto de enjuiciamiento rápido, nada dijo, no oponiéndose a la continuación de las actuaciones”, especialmente tomando en consideración los reiterados pronunciamientos del Tribunal en que se ha destacado que la demora en la denuncia de este tipo de delitos no puede ser utilizada como un indicio en detrimento de su veracidad (SSTC 107/2008, FJ 3; 63/2010, FJ 3, o 144/2016, FJ 3).</w:t>
      </w:r>
    </w:p>
    <w:p w14:paraId="25A6141D" w14:textId="77777777" w:rsidR="009D7677" w:rsidRDefault="009D7677" w:rsidP="009D7677">
      <w:pPr>
        <w:pStyle w:val="TextoNormal"/>
      </w:pPr>
    </w:p>
    <w:p w14:paraId="602E6C19" w14:textId="77777777" w:rsidR="009D7677" w:rsidRDefault="009D7677" w:rsidP="009D7677">
      <w:pPr>
        <w:pStyle w:val="TextoNormal"/>
      </w:pPr>
      <w:r>
        <w:t>(iii) El Tribunal, por tanto, existiendo un panorama indiciario, debe concluir que no se ha dado cumplimiento a la exigencia constitucional de perseverancia en la actividad indagatoria, de hecho, se clausuró la investigación con la lectura de la querella y el examen de la documental aportada, sin practicar diligencia de investigación alguna.</w:t>
      </w:r>
    </w:p>
    <w:p w14:paraId="4A3776E2" w14:textId="77777777" w:rsidR="009D7677" w:rsidRDefault="009D7677" w:rsidP="009D7677">
      <w:pPr>
        <w:pStyle w:val="TextoNormal"/>
      </w:pPr>
    </w:p>
    <w:p w14:paraId="5D56668A" w14:textId="77777777" w:rsidR="009D7677" w:rsidRDefault="009D7677" w:rsidP="009D7677">
      <w:pPr>
        <w:pStyle w:val="TextoNormal"/>
      </w:pPr>
      <w:r>
        <w:t xml:space="preserve">Puede resultar razonable que no se prosiga con una investigación que no aclara la inexistencia de los hechos denunciados, pero que ha agotado ya los medios razonables y eficaces de investigación, sin embargo, en este supuesto, existían numerosas diligencias de investigación que todavía podían servir para despejar las dudas razonables sobre los hechos denunciados. El escrito de querella solicitaba la práctica de una serie de medios de investigación que no fueron atendidos sin aportar una motivación razonable sobre su rechazo. Existían diligencias que hubieran podido contribuir a su esclarecimiento, especial referencia entre ellas merece hacer a la toma de declaración de los agentes actuantes y la propia declaración del querellante, diligencia esta que constituye, según reiterada doctrina constitucional, un medio de indagación especialmente idóneo en la averiguación de las denuncias por malos tratos, pues la evaluación de la credibilidad del relato expuesto en la denuncia exigía valorar directamente —con inmediación— el testimonio del recurrente </w:t>
      </w:r>
      <w:r>
        <w:lastRenderedPageBreak/>
        <w:t>sobre los hechos denunciados en presencia judicial, sin que se adivine obstáculo alguno a la práctica de tal diligencia en el presente caso (por todas, SSTC 107/2008, FJ 4; 131/2012, FJ 5; 153/2013, FJ 6, y 144/2016, de 19 de septiembre, FJ 4).</w:t>
      </w:r>
    </w:p>
    <w:p w14:paraId="1C4F05FA" w14:textId="77777777" w:rsidR="009D7677" w:rsidRDefault="009D7677" w:rsidP="009D7677">
      <w:pPr>
        <w:pStyle w:val="TextoNormal"/>
      </w:pPr>
    </w:p>
    <w:p w14:paraId="0F929DDE" w14:textId="361B6BDE" w:rsidR="009D7677" w:rsidRDefault="009D7677" w:rsidP="009D7677">
      <w:pPr>
        <w:pStyle w:val="TextoNormal"/>
      </w:pPr>
      <w:r>
        <w:t>En conclusión, la tutela dispensada por los órganos judiciales no fue suficiente, en primer lugar, porque se denunciaron unas agresiones que, de ser ciertas, alcanzarían la gravedad suficiente para constituir los tratos inhumanos o degradantes que prohíbe el art. 15 CE. En segundo lugar, pervivían en el momento del cierre de la instrucción sospechas razonables acerca de la producción posible de las agresiones denunciadas. Y, en tercer y último lugar, existían aún, en tal momento, vías disponibles para tratar de despejar, en el sentido que fuere, tales sospechas.</w:t>
      </w:r>
    </w:p>
    <w:p w14:paraId="5EB87A2A" w14:textId="77777777" w:rsidR="009D7677" w:rsidRDefault="009D7677" w:rsidP="009D7677">
      <w:pPr>
        <w:pStyle w:val="TextoNormal"/>
      </w:pPr>
    </w:p>
    <w:p w14:paraId="1A9282D5" w14:textId="77777777" w:rsidR="009D7677" w:rsidRDefault="009D7677" w:rsidP="009D7677">
      <w:pPr>
        <w:pStyle w:val="TextoNormal"/>
      </w:pPr>
      <w:r w:rsidRPr="009D7677">
        <w:rPr>
          <w:rStyle w:val="NumeroAFNegritaCaracter"/>
        </w:rPr>
        <w:t>5</w:t>
      </w:r>
      <w:r>
        <w:t xml:space="preserve">. </w:t>
      </w:r>
      <w:r w:rsidRPr="009D7677">
        <w:rPr>
          <w:i/>
        </w:rPr>
        <w:t>Otorgamiento del amparo solicitado</w:t>
      </w:r>
    </w:p>
    <w:p w14:paraId="2212161E" w14:textId="77777777" w:rsidR="009D7677" w:rsidRDefault="009D7677" w:rsidP="009D7677">
      <w:pPr>
        <w:pStyle w:val="TextoNormal"/>
      </w:pPr>
    </w:p>
    <w:p w14:paraId="03209114" w14:textId="77777777" w:rsidR="009D7677" w:rsidRDefault="009D7677" w:rsidP="009D7677">
      <w:pPr>
        <w:pStyle w:val="TextoNormal"/>
      </w:pPr>
      <w:r>
        <w:t>Por lo expuesto, procede otorgar el amparo por vulneración del derecho a la tutela judicial efectiva (art. 24.1 CE) en relación con el derecho a la integridad física y moral (art. 15 CE).</w:t>
      </w:r>
    </w:p>
    <w:p w14:paraId="73328A55" w14:textId="77777777" w:rsidR="009D7677" w:rsidRDefault="009D7677" w:rsidP="009D7677">
      <w:pPr>
        <w:pStyle w:val="TextoNormal"/>
      </w:pPr>
    </w:p>
    <w:p w14:paraId="5F306E78" w14:textId="71C0CD72" w:rsidR="009D7677" w:rsidRDefault="009D7677" w:rsidP="009D7677">
      <w:pPr>
        <w:pStyle w:val="TextoNormal"/>
      </w:pPr>
      <w:r>
        <w:t>El restablecimiento del recurrente en la integridad de su derecho exige, tal como se viene razonando en la jurisprudencia constitucional sobre la materia, la anulación de los autos dictados el 3 de mayo y el 9 de junio de 2021 por el Juzgado de Primera Instancia e Instrucción núm. 4 de Vera en diligencias previas núm. 140-2021, así como del auto de 16 de julio de 2021 de la Sección Segunda de la Audiencia Provincial de Almería, que desestima el recurso de apelación núm. 621-2021 y la retroacción de actuaciones para que se le dispense la tutela judicial demandada. (por todas, SSTC 131/2012, FJ 6; 153/2013, FJ 7; 130/2016, FJ 6; 144/2016, de 19 de septiembre, FJ 5, y 53/2022, de 4 de abril, FJ 5).</w:t>
      </w:r>
    </w:p>
    <w:p w14:paraId="0343DF41" w14:textId="77777777" w:rsidR="009D7677" w:rsidRDefault="009D7677" w:rsidP="009D7677">
      <w:pPr>
        <w:pStyle w:val="TextoNormal"/>
      </w:pPr>
    </w:p>
    <w:p w14:paraId="49BF3BB8" w14:textId="77777777" w:rsidR="009D7677" w:rsidRDefault="009D7677" w:rsidP="009D7677">
      <w:pPr>
        <w:pStyle w:val="TextoNormalCentrado"/>
        <w:keepNext/>
      </w:pPr>
      <w:r>
        <w:t>FALLO</w:t>
      </w:r>
    </w:p>
    <w:p w14:paraId="556E7692" w14:textId="09C79C2E" w:rsidR="009D7677" w:rsidRDefault="009D7677" w:rsidP="009D7677">
      <w:pPr>
        <w:pStyle w:val="TextoNormalCentrado"/>
        <w:keepNext/>
      </w:pPr>
    </w:p>
    <w:p w14:paraId="1FAEDF8E" w14:textId="77777777" w:rsidR="009D7677" w:rsidRDefault="009D7677" w:rsidP="009D7677">
      <w:pPr>
        <w:pStyle w:val="TextoNormal"/>
      </w:pPr>
      <w:r>
        <w:t>En atención a todo lo expuesto, el Tribunal Constitucional, por la autoridad que le confiere la Constitución de la Nación española, ha decidido estimar el recurso de amparo interpuesto por don José Martínez López y, en su virtud:</w:t>
      </w:r>
    </w:p>
    <w:p w14:paraId="62D22159" w14:textId="77777777" w:rsidR="009D7677" w:rsidRDefault="009D7677" w:rsidP="009D7677">
      <w:pPr>
        <w:pStyle w:val="TextoNormal"/>
      </w:pPr>
    </w:p>
    <w:p w14:paraId="39E55C58" w14:textId="77777777" w:rsidR="009D7677" w:rsidRDefault="009D7677" w:rsidP="009D7677">
      <w:pPr>
        <w:pStyle w:val="TextoNormal"/>
      </w:pPr>
      <w:r>
        <w:t>1º Declarar vulnerado su derecho a la tutela judicial efectiva (art. 24.1 CE) en relación con el derecho a la integridad física y moral (art. 15 CE).</w:t>
      </w:r>
    </w:p>
    <w:p w14:paraId="3E4BDFA2" w14:textId="77777777" w:rsidR="009D7677" w:rsidRDefault="009D7677" w:rsidP="009D7677">
      <w:pPr>
        <w:pStyle w:val="TextoNormal"/>
      </w:pPr>
    </w:p>
    <w:p w14:paraId="238B5B42" w14:textId="77777777" w:rsidR="009D7677" w:rsidRDefault="009D7677" w:rsidP="009D7677">
      <w:pPr>
        <w:pStyle w:val="TextoNormal"/>
      </w:pPr>
      <w:r>
        <w:t>2º Restablecerle en la integridad de su derecho y, a tal fin, declarar la nulidad de los autos dictados el 3 de mayo y el 9 de junio de 2021 por el Juzgado de Primera Instancia e Instrucción núm. 4 de Vera, en diligencias previas núm. 140-2021, así como del auto de 16 de julio de 2021 de la Sección Segunda de la Audiencia Provincial de Almería, que desestima el recurso de apelación núm. 621-2021.</w:t>
      </w:r>
    </w:p>
    <w:p w14:paraId="7DCC30FF" w14:textId="77777777" w:rsidR="009D7677" w:rsidRDefault="009D7677" w:rsidP="009D7677">
      <w:pPr>
        <w:pStyle w:val="TextoNormal"/>
      </w:pPr>
    </w:p>
    <w:p w14:paraId="7AEB392F" w14:textId="6BAFD64C" w:rsidR="009D7677" w:rsidRDefault="009D7677" w:rsidP="009D7677">
      <w:pPr>
        <w:pStyle w:val="TextoNormal"/>
      </w:pPr>
      <w:r>
        <w:t>3º Retrotraer las actuaciones al momento anterior al dictado del primero de los autos anulados para que el Juzgado de Primera Instancia e Instrucción núm. 4 de Vera proceda en términos respetuosos con los derechos fundamentales vulnerados.</w:t>
      </w:r>
    </w:p>
    <w:p w14:paraId="1917A247" w14:textId="77777777" w:rsidR="009D7677" w:rsidRDefault="009D7677" w:rsidP="009D7677">
      <w:pPr>
        <w:pStyle w:val="TextoNormal"/>
      </w:pPr>
    </w:p>
    <w:p w14:paraId="608CC003" w14:textId="77777777" w:rsidR="009D7677" w:rsidRDefault="009D7677" w:rsidP="009D7677">
      <w:pPr>
        <w:pStyle w:val="TextoNormal"/>
      </w:pPr>
      <w:r>
        <w:t>Publíquese esta sentencia en el “Boletín Oficial del Estado”.</w:t>
      </w:r>
    </w:p>
    <w:p w14:paraId="61506F77" w14:textId="77777777" w:rsidR="009D7677" w:rsidRDefault="009D7677" w:rsidP="009D7677">
      <w:pPr>
        <w:pStyle w:val="TextoNormal"/>
      </w:pPr>
      <w:r>
        <w:lastRenderedPageBreak/>
        <w:t>Dada en Madrid, a once de marzo de dos mil veinticuatro.</w:t>
      </w:r>
    </w:p>
    <w:p w14:paraId="22D569D6" w14:textId="7049FCB9" w:rsidR="009D7677" w:rsidRDefault="009D7677">
      <w:pPr>
        <w:spacing w:after="160" w:line="259" w:lineRule="auto"/>
        <w:rPr>
          <w:rFonts w:ascii="Times New Roman" w:eastAsia="Times New Roman" w:hAnsi="Times New Roman" w:cs="Times New Roman"/>
          <w:sz w:val="24"/>
          <w:szCs w:val="24"/>
          <w:lang w:eastAsia="es-ES"/>
        </w:rPr>
      </w:pPr>
      <w:r>
        <w:br w:type="page"/>
      </w:r>
    </w:p>
    <w:p w14:paraId="2166D0A6" w14:textId="77777777" w:rsidR="009D7677" w:rsidRDefault="009D7677" w:rsidP="009D7677">
      <w:pPr>
        <w:pStyle w:val="TtuloResolucin"/>
      </w:pPr>
      <w:bookmarkStart w:id="36" w:name="SENTENCIA_2024_34"/>
      <w:r>
        <w:lastRenderedPageBreak/>
        <w:t>SENTENCIA 34/2024, de 11 de marzo de 2024</w:t>
      </w:r>
    </w:p>
    <w:bookmarkEnd w:id="36"/>
    <w:p w14:paraId="27CDD54D" w14:textId="77777777" w:rsidR="009D7677" w:rsidRDefault="009D7677" w:rsidP="009D7677">
      <w:pPr>
        <w:pStyle w:val="TtuloResolucin"/>
      </w:pPr>
      <w:r>
        <w:t>Sala Segunda</w:t>
      </w:r>
    </w:p>
    <w:p w14:paraId="791CDE21" w14:textId="77777777" w:rsidR="009D7677" w:rsidRDefault="009D7677" w:rsidP="009D7677">
      <w:pPr>
        <w:pStyle w:val="TtuloBOE"/>
      </w:pPr>
      <w:r>
        <w:t>(BOE núm. 99, de 23 de abril de 2024)</w:t>
      </w:r>
    </w:p>
    <w:p w14:paraId="190498AA" w14:textId="77777777" w:rsidR="009D7677" w:rsidRDefault="009D7677" w:rsidP="009D7677">
      <w:pPr>
        <w:pStyle w:val="TextoNormalCentrado"/>
      </w:pPr>
      <w:r>
        <w:t>ECLI:ES:TC:2024:34</w:t>
      </w:r>
    </w:p>
    <w:p w14:paraId="2351EA58" w14:textId="1897F7A8" w:rsidR="009D7677" w:rsidRDefault="009D7677" w:rsidP="009D7677">
      <w:pPr>
        <w:pStyle w:val="TextoNormalCentrado"/>
      </w:pPr>
    </w:p>
    <w:p w14:paraId="79155211" w14:textId="77777777" w:rsidR="009D7677" w:rsidRDefault="009D7677" w:rsidP="009D7677">
      <w:pPr>
        <w:pStyle w:val="SntesisDescriptiva"/>
      </w:pPr>
      <w:r>
        <w:t>Recurso de amparo 6168-2021. Promovido por don Noureddine El Moumni respecto de los autos dictados por la Sección Primera y el Pleno de la Sala de lo Penal de la Audiencia Nacional que autorizaron su extradición a Marruecos.</w:t>
      </w:r>
    </w:p>
    <w:p w14:paraId="4D0899CF" w14:textId="5E0175E9" w:rsidR="009D7677" w:rsidRDefault="009D7677" w:rsidP="009D7677">
      <w:pPr>
        <w:pStyle w:val="SntesisDescriptiva"/>
      </w:pPr>
    </w:p>
    <w:p w14:paraId="46362579" w14:textId="77777777" w:rsidR="009D7677" w:rsidRDefault="009D7677" w:rsidP="009D7677">
      <w:pPr>
        <w:pStyle w:val="SntesisAnaltica"/>
      </w:pPr>
      <w:r>
        <w:t>Supuesta vulneración de los derechos a la tutela judicial efectiva y a un proceso con todas las garantías en conexión con los derechos a la libertad personal, a la integridad física y moral y a la legalidad penal: STC 17/2024 (resoluciones judiciales que acuerdan la extradición a partir de una documentación que no permite poner en duda la necesidad y proporcionalidad de la decisión adoptada por la fiscalía de Marruecos de solicitar la entrega para asegurar el enjuiciamiento del afectado).</w:t>
      </w:r>
    </w:p>
    <w:p w14:paraId="4D4116B4" w14:textId="03A75A0C" w:rsidR="009D7677" w:rsidRDefault="009D7677" w:rsidP="009D7677">
      <w:pPr>
        <w:pStyle w:val="SntesisAnaltica"/>
      </w:pPr>
    </w:p>
    <w:p w14:paraId="30B54887" w14:textId="25A8D9A7" w:rsidR="009D7677" w:rsidRDefault="009D7677" w:rsidP="009D7677">
      <w:pPr>
        <w:pStyle w:val="Extracto"/>
      </w:pPr>
      <w:r>
        <w:t>1.</w:t>
      </w:r>
      <w:r>
        <w:tab/>
        <w:t>La intermediación judicial puede dispensarse excepcionalmente cuando concurran las siguientes exigencias: (i) En procedimiento de extradición regido por un convenio bilateral o multilateral que admita la posibilidad de que la petición de entrega pueda emanar de una autoridad distinta a la autoridad judicial; (ii) Que el país requirente suministre información suficientemente expresiva de que se trata de una autoridad facultada para emitir una solicitud de extradición en condiciones equivalentes a las de una autoridad judicial. (iii) Que el contenido de la solicitud y de la documentación anexa proporcione a los órganos judiciales españoles la información necesaria para verificar que la misma resulta necesaria y proporcionada (STC 17/2024) [FJ 4].</w:t>
      </w:r>
    </w:p>
    <w:p w14:paraId="3232EFBA" w14:textId="77777777" w:rsidR="009D7677" w:rsidRDefault="009D7677" w:rsidP="009D7677">
      <w:pPr>
        <w:pStyle w:val="Extracto"/>
      </w:pPr>
    </w:p>
    <w:p w14:paraId="57E2DFEE" w14:textId="77777777" w:rsidR="009D7677" w:rsidRDefault="009D7677" w:rsidP="009D7677">
      <w:pPr>
        <w:pStyle w:val="Extracto"/>
      </w:pPr>
    </w:p>
    <w:p w14:paraId="0811B417" w14:textId="77777777" w:rsidR="009D7677" w:rsidRDefault="009D7677" w:rsidP="009D7677">
      <w:pPr>
        <w:pStyle w:val="TextoNormal"/>
      </w:pPr>
      <w:r>
        <w:t>La Sala Segunda del Tribunal Constitucional, compuesta por la magistrada doña Inmaculada Montalbán Huertas, presidenta, y las magistradas y magistrados doña María Luisa Balaguer Callejón, don Enrique Arnaldo Alcubilla, don César Tolosa Tribiño y doña Laura Díez Bueso, ha pronunciado</w:t>
      </w:r>
    </w:p>
    <w:p w14:paraId="12226EFB" w14:textId="30715D36" w:rsidR="009D7677" w:rsidRDefault="009D7677" w:rsidP="009D7677">
      <w:pPr>
        <w:pStyle w:val="TextoNormal"/>
      </w:pPr>
    </w:p>
    <w:p w14:paraId="19F2808C" w14:textId="77777777" w:rsidR="009D7677" w:rsidRDefault="009D7677" w:rsidP="009D7677">
      <w:pPr>
        <w:pStyle w:val="TextoNormalCentrado"/>
        <w:keepNext/>
      </w:pPr>
      <w:r>
        <w:t>EN NOMBRE DEL REY</w:t>
      </w:r>
    </w:p>
    <w:p w14:paraId="268B18DB" w14:textId="41454846" w:rsidR="009D7677" w:rsidRDefault="009D7677" w:rsidP="009D7677">
      <w:pPr>
        <w:pStyle w:val="TextoNormalCentrado"/>
        <w:keepNext/>
      </w:pPr>
    </w:p>
    <w:p w14:paraId="5D587330" w14:textId="77777777" w:rsidR="009D7677" w:rsidRDefault="009D7677" w:rsidP="009D7677">
      <w:pPr>
        <w:pStyle w:val="TextoNormalCentrado"/>
        <w:keepNext/>
      </w:pPr>
    </w:p>
    <w:p w14:paraId="13174963" w14:textId="77777777" w:rsidR="009D7677" w:rsidRDefault="009D7677" w:rsidP="009D7677">
      <w:pPr>
        <w:pStyle w:val="TextoNormal"/>
      </w:pPr>
      <w:r>
        <w:t>la siguiente</w:t>
      </w:r>
    </w:p>
    <w:p w14:paraId="0323489D" w14:textId="7BA564C1" w:rsidR="009D7677" w:rsidRDefault="009D7677" w:rsidP="009D7677">
      <w:pPr>
        <w:pStyle w:val="TextoNormal"/>
      </w:pPr>
    </w:p>
    <w:p w14:paraId="31DF1283" w14:textId="77777777" w:rsidR="009D7677" w:rsidRDefault="009D7677" w:rsidP="009D7677">
      <w:pPr>
        <w:pStyle w:val="TextoNormalCentrado"/>
        <w:keepNext/>
      </w:pPr>
      <w:r>
        <w:t>SENTENCIA</w:t>
      </w:r>
    </w:p>
    <w:p w14:paraId="75AC71AA" w14:textId="73918D1A" w:rsidR="009D7677" w:rsidRDefault="009D7677" w:rsidP="009D7677">
      <w:pPr>
        <w:pStyle w:val="TextoNormalCentrado"/>
        <w:keepNext/>
      </w:pPr>
    </w:p>
    <w:p w14:paraId="334EB5EF" w14:textId="77777777" w:rsidR="009D7677" w:rsidRDefault="009D7677" w:rsidP="009D7677">
      <w:pPr>
        <w:pStyle w:val="TextoNormal"/>
      </w:pPr>
      <w:r>
        <w:t>En el recurso de amparo núm. 6168-2021, promovido por don Noureddine El Moumni, representado por el procurador de los tribunales don Argimiro Vázquez Guillén, asistido de la letrada doña Greta Komini, contra el auto núm. 14/2021, de 22 de junio, de la Sección Primera de la Sala de lo Penal de la Audiencia Nacional y contra el auto núm. 50/2021, de 20 de julio, del Pleno de la Sala de lo Penal de la Audiencia Nacional. Ha sido ponente la magistrada doña Inmaculada Montalbán Huertas.</w:t>
      </w:r>
    </w:p>
    <w:p w14:paraId="261524A6" w14:textId="6D06A757" w:rsidR="009D7677" w:rsidRDefault="009D7677" w:rsidP="009D7677">
      <w:pPr>
        <w:pStyle w:val="TextoNormal"/>
      </w:pPr>
    </w:p>
    <w:p w14:paraId="529248FF" w14:textId="77777777" w:rsidR="009D7677" w:rsidRDefault="009D7677" w:rsidP="009D7677">
      <w:pPr>
        <w:pStyle w:val="TextoNormalNegritaCentrado"/>
        <w:keepNext/>
      </w:pPr>
      <w:r>
        <w:lastRenderedPageBreak/>
        <w:t>I. Antecedentes</w:t>
      </w:r>
    </w:p>
    <w:p w14:paraId="01C03361" w14:textId="457FCAC2" w:rsidR="009D7677" w:rsidRDefault="009D7677" w:rsidP="009D7677">
      <w:pPr>
        <w:pStyle w:val="TextoNormalNegritaCentrado"/>
        <w:keepNext/>
      </w:pPr>
    </w:p>
    <w:p w14:paraId="0FD148E1" w14:textId="1E6B7CF9" w:rsidR="009D7677" w:rsidRDefault="009D7677" w:rsidP="009D7677">
      <w:pPr>
        <w:pStyle w:val="TextoNormal"/>
      </w:pPr>
      <w:r w:rsidRPr="009D7677">
        <w:rPr>
          <w:rStyle w:val="NumeroAFNegritaCaracter"/>
        </w:rPr>
        <w:t>1</w:t>
      </w:r>
      <w:r>
        <w:t>. Mediante escrito registrado en este tribunal el día 29 de septiembre de 2021, la representación procesal de don Noureddine El Moumni interpuso recurso de amparo contra el auto núm. 14/2021, de 22 de junio, de la Sección Primera de la Sala de lo Penal de la Audiencia Nacional, dictado en el rollo de sala 50-2020, dimanante del procedimiento de extradición pasiva núm. 35-2020 del Juzgado Central de Instrucción núm. 2, y contra el auto núm. 50/2021, de 20 de julio, del Pleno de la Sala de lo Penal de la Audiencia Nacional, dictado en el recurso de súplica núm. 49-2021, que confirmó el anterior.</w:t>
      </w:r>
    </w:p>
    <w:p w14:paraId="29E9338F" w14:textId="77777777" w:rsidR="009D7677" w:rsidRDefault="009D7677" w:rsidP="009D7677">
      <w:pPr>
        <w:pStyle w:val="TextoNormal"/>
      </w:pPr>
    </w:p>
    <w:p w14:paraId="183F04BD" w14:textId="77777777" w:rsidR="009D7677" w:rsidRDefault="009D7677" w:rsidP="009D7677">
      <w:pPr>
        <w:pStyle w:val="TextoNormal"/>
      </w:pPr>
      <w:r w:rsidRPr="009D7677">
        <w:rPr>
          <w:rStyle w:val="NumeroAFNegritaCaracter"/>
        </w:rPr>
        <w:t>2</w:t>
      </w:r>
      <w:r>
        <w:t>. El recurso de amparo se fundamenta en los siguientes hechos:</w:t>
      </w:r>
    </w:p>
    <w:p w14:paraId="1A31AF10" w14:textId="77777777" w:rsidR="009D7677" w:rsidRDefault="009D7677" w:rsidP="009D7677">
      <w:pPr>
        <w:pStyle w:val="TextoNormal"/>
      </w:pPr>
    </w:p>
    <w:p w14:paraId="53DEA842" w14:textId="77777777" w:rsidR="009D7677" w:rsidRDefault="009D7677" w:rsidP="009D7677">
      <w:pPr>
        <w:pStyle w:val="TextoNormal"/>
      </w:pPr>
      <w:r>
        <w:t>a) El fiscal del rey ante el Juzgado de Primera Instancia de Casablanca (Marruecos) dictó el 20 de abril de 2017 orden internacional de búsqueda y captura contra el ahora demandante de amparo, al que atribuía su implicación en un delito de tráfico de drogas, así como su exportación a escala internacional, con los siguientes fundamentos:</w:t>
      </w:r>
    </w:p>
    <w:p w14:paraId="6A02B5C5" w14:textId="77777777" w:rsidR="009D7677" w:rsidRDefault="009D7677" w:rsidP="009D7677">
      <w:pPr>
        <w:pStyle w:val="TextoNormal"/>
      </w:pPr>
    </w:p>
    <w:p w14:paraId="4EA965FD" w14:textId="77777777" w:rsidR="009D7677" w:rsidRDefault="009D7677" w:rsidP="009D7677">
      <w:pPr>
        <w:pStyle w:val="TextoNormal"/>
      </w:pPr>
      <w:r>
        <w:t>“En virtud de las actas de la policía judicial (acta bajo el núm. 03/FJW de fecha 02/01/2013; acta 2 bajo el núm. 18/FJW de fecha 05/01/2013) elaboradas por la unidad de lucha contra el crimen de la Prefectura Policial de Casablanca, según las cuales resulta que en fecha del 29/12/2012 se procedió a la detención de los sospechosos Abdelkader Belaichi, Hicham Elhayad y Mohamed Chanouk en el Aeropuerto Internacional Mohamed V cuando iban a coger un vuelo con destino a París. De hecho, se pudo averiguar, tras la verificación oportuna, que los interesados estaban inscritos en la lista de viajeros de dicho vuelo junto con Rachid Kalani, Abdelilah Malwiya con excepción de Noureddine El Moumni, considerado como el eslabón de enlace entre los citados interesados y Youssef Kassed, primo paterno de Noureddine El Moumni, quien iba a recibirles en París. Tras haber sometido a dichos sospechosos a un examen con ecografía, se pudo comprobar que llevaban en sus entrañas cuerpos extraños, por lo que se procedió a su ingreso en la unidad hospitalaria bajo supervisión del médico de guardia hasta que pudieran evacuar y expulsar las cápsulas llenas de cannabis cuyo total alcanzó 429 cápsulas (Abdelkader Belaichi expulsó de su cuerpo 144 cápsulas con un peso de 1460 gramos; Hicham Elhayad, 148 cápsulas/1500 gramos; y Mohamed Anouk, 137 cápsulas/1390 gramos);</w:t>
      </w:r>
    </w:p>
    <w:p w14:paraId="3659962D" w14:textId="77777777" w:rsidR="009D7677" w:rsidRDefault="009D7677" w:rsidP="009D7677">
      <w:pPr>
        <w:pStyle w:val="TextoNormal"/>
      </w:pPr>
    </w:p>
    <w:p w14:paraId="779FBF7D" w14:textId="77777777" w:rsidR="009D7677" w:rsidRDefault="009D7677" w:rsidP="009D7677">
      <w:pPr>
        <w:pStyle w:val="TextoNormal"/>
      </w:pPr>
      <w:r>
        <w:t>Durante el interrogatorio todos los detenidos confesaron que se dedicaban al tráfico internacional de estupefacientes de una forma organizada desde Marruecos a Europa y lograron realizar varias operaciones exitosas de narcotráfico, indicando que siempre les recibía la misma persona que receptaba la droga en París (Francia), es decir, el denominado Youssef acompañado por su pariente Noureddine El Moumni quien se encargaba de su comercialización allí una vez que la droga haya sido expulsada de sus vientres. Igualmente, revelaron que el interesado era quien les compraba los billetes de viaje de ida y vuelta (de Marruecos a Francia), mientras que el denominado Benaissa Bouasriya y su socio llamado Abdelhadi, eran quienes se encargaban de la entrega de las cápsulas repletas de cannabis que las mulas tragaban en Kenitra bien en un apartamento del barrio ‘Hay Sayad, Route al-Mehdiya’, bien en un chalé amueblado alquilado y sito en la playa de al-Mahdiya. En efecto, se realizaron varias pesquisas que permitieron la detención de los sospechosos Benaissa Bouasriya y Abdelilah Malwiya. Durante la operación de inspec</w:t>
      </w:r>
      <w:r>
        <w:lastRenderedPageBreak/>
        <w:t>ción practicada en el apartamento que alquilaba Benaissa Bouasriya se incautó material incriminatorio y probatorio entre el cual había una cápsula de cannabis bien envuelta y lista para la venta, amén de un justificante de remesa enviado por el denominado Youssef Kassed desde Francia al sospechoso Benaissa Bouasriya;</w:t>
      </w:r>
    </w:p>
    <w:p w14:paraId="06F494C5" w14:textId="77777777" w:rsidR="009D7677" w:rsidRDefault="009D7677" w:rsidP="009D7677">
      <w:pPr>
        <w:pStyle w:val="TextoNormal"/>
      </w:pPr>
    </w:p>
    <w:p w14:paraId="45DDA81E" w14:textId="77777777" w:rsidR="009D7677" w:rsidRDefault="009D7677" w:rsidP="009D7677">
      <w:pPr>
        <w:pStyle w:val="TextoNormal"/>
      </w:pPr>
      <w:r>
        <w:t>-Durante el interrogatorio al que fue sometido Benaissa Bouasriya, este declaró que durante los últimos nueve meses previos a su detención, conoció al denominado Noureddine El Moumni, a su vez residente en Francia y la relación entre ambos sujetos se fue estrechando hasta el momento en que Noureddine El Moumni le pidió que le dejara su apartamento para acondicionar la droga en forma de cápsulas destinadas a algunos marroquíes residentes en España para que las tragaran y las transportaran como mulas humanas a Europa. El detenido Bouasriya manifestó que efectivamente cerraron el trato y junto con el denominando Noureddine El Moumni realizaron tres o cuatro operaciones de narcotráfico internacional;</w:t>
      </w:r>
    </w:p>
    <w:p w14:paraId="5D013409" w14:textId="77777777" w:rsidR="009D7677" w:rsidRDefault="009D7677" w:rsidP="009D7677">
      <w:pPr>
        <w:pStyle w:val="TextoNormal"/>
      </w:pPr>
    </w:p>
    <w:p w14:paraId="4C863E30" w14:textId="77777777" w:rsidR="009D7677" w:rsidRDefault="009D7677" w:rsidP="009D7677">
      <w:pPr>
        <w:pStyle w:val="TextoNormal"/>
      </w:pPr>
      <w:r>
        <w:t>-Durante el interrogatorio al que fue sometido el sospechoso Youssef Kassed, detenido en Italia en virtud de una orden internacional de busca y captura, el interesado declaró que su pariente Noureddine El Moumni era quien supervisaba todas las operaciones de narcotráfico con destino a Francia y que se hacía pasar por ‘Youssef Kassed’ usurpando su identidad para engañar a las personas que venían transportando la droga de cannabis;</w:t>
      </w:r>
    </w:p>
    <w:p w14:paraId="601C8C38" w14:textId="77777777" w:rsidR="009D7677" w:rsidRDefault="009D7677" w:rsidP="009D7677">
      <w:pPr>
        <w:pStyle w:val="TextoNormal"/>
      </w:pPr>
    </w:p>
    <w:p w14:paraId="067B2E22" w14:textId="77777777" w:rsidR="009D7677" w:rsidRDefault="009D7677" w:rsidP="009D7677">
      <w:pPr>
        <w:pStyle w:val="TextoNormal"/>
      </w:pPr>
      <w:r>
        <w:t>-Consultados los pertinentes archivos y registros de entrada y salida al territorio nacional, se pudo comprobar que Noureddine El Moumni viajaba constante y sospechosamente yendo y regresando a Marruecos con destino a Francia con la misma frecuencia que las personas detenidas; y desde el desmantelamiento de esta red criminal, el sospechoso nunca más regresó a Marruecos desde su última salida ocurrida el 22/01/2013”.</w:t>
      </w:r>
    </w:p>
    <w:p w14:paraId="6FEB02BE" w14:textId="77777777" w:rsidR="009D7677" w:rsidRDefault="009D7677" w:rsidP="009D7677">
      <w:pPr>
        <w:pStyle w:val="TextoNormal"/>
      </w:pPr>
    </w:p>
    <w:p w14:paraId="0659132B" w14:textId="77777777" w:rsidR="009D7677" w:rsidRDefault="009D7677" w:rsidP="009D7677">
      <w:pPr>
        <w:pStyle w:val="TextoNormal"/>
      </w:pPr>
      <w:r>
        <w:t>b) El demandante fue detenido el 19 de octubre de 2020 en Sant Esteve Sesrovires (Barcelona) y puesto a disposición del Juzgado Central de Instrucción núm. 2, que incoó el procedimiento de extradición pasiva núm. 35-2020, y acordó por auto de 20 de octubre de 2020, tras celebrar comparecencia del art. 505 de la Ley de enjuiciamiento criminal (LECrim), su prisión provisional.</w:t>
      </w:r>
    </w:p>
    <w:p w14:paraId="34269081" w14:textId="77777777" w:rsidR="009D7677" w:rsidRDefault="009D7677" w:rsidP="009D7677">
      <w:pPr>
        <w:pStyle w:val="TextoNormal"/>
      </w:pPr>
    </w:p>
    <w:p w14:paraId="36DEEFDD" w14:textId="77777777" w:rsidR="009D7677" w:rsidRDefault="009D7677" w:rsidP="009D7677">
      <w:pPr>
        <w:pStyle w:val="TextoNormal"/>
      </w:pPr>
      <w:r>
        <w:t>c) El 20 de noviembre de 2020 se recibió por vía diplomática la nota verbal de la Embajada de Marruecos núm. 1757, de 19 de noviembre de 2020, en la que se solicitaba del Ministerio de Justicia de España la extradición del ahora recurrente en amparo, para el enjuiciamiento por delitos de tenencia de estupefacientes, tráfico de drogas, su traslado y exportación a escala internacional, lo que se acompañaba de la orden internacional de detención emitida por el fiscal del rey, de un resumen de los hechos que reproducía los de la orden internacional de detención y una relación de los preceptos legales aplicables.</w:t>
      </w:r>
    </w:p>
    <w:p w14:paraId="48BB4BB0" w14:textId="77777777" w:rsidR="009D7677" w:rsidRDefault="009D7677" w:rsidP="009D7677">
      <w:pPr>
        <w:pStyle w:val="TextoNormal"/>
      </w:pPr>
    </w:p>
    <w:p w14:paraId="44D3E6EA" w14:textId="77777777" w:rsidR="009D7677" w:rsidRDefault="009D7677" w:rsidP="009D7677">
      <w:pPr>
        <w:pStyle w:val="TextoNormal"/>
      </w:pPr>
      <w:r>
        <w:t>d) El Consejo de Ministros en sesión de 15 de diciembre de 2020 acordó, de conformidad con el art. 9.3 de la Ley 4/1985, de 21 de marzo, de extradición pasiva (LEP), la continuación del procedimiento en vía judicial.</w:t>
      </w:r>
    </w:p>
    <w:p w14:paraId="2AEF8BFE" w14:textId="77777777" w:rsidR="009D7677" w:rsidRDefault="009D7677" w:rsidP="009D7677">
      <w:pPr>
        <w:pStyle w:val="TextoNormal"/>
      </w:pPr>
    </w:p>
    <w:p w14:paraId="7B6476B9" w14:textId="77777777" w:rsidR="009D7677" w:rsidRDefault="009D7677" w:rsidP="009D7677">
      <w:pPr>
        <w:pStyle w:val="TextoNormal"/>
      </w:pPr>
      <w:r>
        <w:t>e) El reclamado fue oído en comparecencia del art. 12 LEP, celebrada el día 20 de octubre de 2020 en el Juzgado Central de Instrucción núm. 2, oponiéndose a su extradición.</w:t>
      </w:r>
    </w:p>
    <w:p w14:paraId="1BEF0260" w14:textId="77777777" w:rsidR="009D7677" w:rsidRDefault="009D7677" w:rsidP="009D7677">
      <w:pPr>
        <w:pStyle w:val="TextoNormal"/>
      </w:pPr>
    </w:p>
    <w:p w14:paraId="7819B2A4" w14:textId="77777777" w:rsidR="009D7677" w:rsidRDefault="009D7677" w:rsidP="009D7677">
      <w:pPr>
        <w:pStyle w:val="TextoNormal"/>
      </w:pPr>
      <w:r>
        <w:lastRenderedPageBreak/>
        <w:t>f) Elevados los autos a la Sección Primera de la Sala de lo Penal de la Audiencia Nacional, esta inició el rollo de extradición núm. 50-2020 y dio vista de los mismos, en los términos del art. 13 LEP, al fiscal y a la defensa del reclamado, para que formularan alegaciones. El fiscal interesó que se accediera a la solicitud de extradición. La defensa se opuso a la misma.</w:t>
      </w:r>
    </w:p>
    <w:p w14:paraId="1E95EF44" w14:textId="77777777" w:rsidR="009D7677" w:rsidRDefault="009D7677" w:rsidP="009D7677">
      <w:pPr>
        <w:pStyle w:val="TextoNormal"/>
      </w:pPr>
    </w:p>
    <w:p w14:paraId="114FA4C9" w14:textId="77777777" w:rsidR="009D7677" w:rsidRDefault="009D7677" w:rsidP="009D7677">
      <w:pPr>
        <w:pStyle w:val="TextoNormal"/>
      </w:pPr>
      <w:r>
        <w:t>g) En la vista extradicional, celebrada el 19 de abril de 2021, el Ministerio Fiscal reiteró su opinión en sentido favorable a la petición de extradición, a la que se opuso la defensa del demandante de amparo. La Sección Tercera de la Sala de lo Penal de la Audiencia Nacional dictó el auto núm. 14/2021, de 22 de junio, por el que acordó acceder a la solicitud de extradición del actor por concurrir los requisitos exigidos en el Convenio de extradición entre el Reino de España y el Reino de Marruecos, suscrito en Rabat el 24 de junio de 2009, y en la LEP, en particular los requisitos de doble incriminación y mínimo punitivo exigidos en el art. 2.1 del Convenio bilateral, porque los hechos por los que se solicitaba la extradición eran constitutivos de un delito de tráfico de drogas, equivalente en nuestro ordenamiento penal a uno contra la salud pública, de sustancias que no causan grave daño a la salud del subtipo agravado de notoria importancia de los arts. 368 y 369.5 del Código penal (CP).</w:t>
      </w:r>
    </w:p>
    <w:p w14:paraId="17D16125" w14:textId="77777777" w:rsidR="009D7677" w:rsidRDefault="009D7677" w:rsidP="009D7677">
      <w:pPr>
        <w:pStyle w:val="TextoNormal"/>
      </w:pPr>
    </w:p>
    <w:p w14:paraId="26ADBED5" w14:textId="77777777" w:rsidR="009D7677" w:rsidRDefault="009D7677" w:rsidP="009D7677">
      <w:pPr>
        <w:pStyle w:val="TextoNormal"/>
      </w:pPr>
      <w:r>
        <w:t>h) Contra esta decisión el actor interpuso recurso de súplica, en el que alegó que la extradición se basaba en una orden internacional de detención expedida por el fiscal del rey sin intervención alguna de autoridad judicial, por lo que no resultaba equiparable a una orden judicial de detención ni a una sentencia condenatoria. Invocaba en su apoyo la doctrina sentada en la STC 147/2020, de 19 de octubre, por estimarla aplicable al caso, y la vulneración del derecho a la tutela judicial efectiva y a un proceso con todas las garantías del art. 24 CE en conexión con el derecho a la libertad personal. También adujo, en lo que aquí interesa, (i) prescripción del delito por considerar que la orden de detención emitida por el fiscal del rey carecía de efecto interruptivo; (ii) riesgo de sufrir tratos inhumanos o degradantes, y (iii) vulneraciones sistemáticas de los derechos fundamentales en el país reclamante.</w:t>
      </w:r>
    </w:p>
    <w:p w14:paraId="04C87AB6" w14:textId="77777777" w:rsidR="009D7677" w:rsidRDefault="009D7677" w:rsidP="009D7677">
      <w:pPr>
        <w:pStyle w:val="TextoNormal"/>
      </w:pPr>
    </w:p>
    <w:p w14:paraId="2F7AEA84" w14:textId="77777777" w:rsidR="009D7677" w:rsidRDefault="009D7677" w:rsidP="009D7677">
      <w:pPr>
        <w:pStyle w:val="TextoNormal"/>
      </w:pPr>
      <w:r>
        <w:t>El Pleno de la Sala de lo Penal de la Audiencia Nacional dictó el auto núm. 50/2021, de 20 de julio, por el que desestimó el recurso de súplica.</w:t>
      </w:r>
    </w:p>
    <w:p w14:paraId="6710585E" w14:textId="77777777" w:rsidR="009D7677" w:rsidRDefault="009D7677" w:rsidP="009D7677">
      <w:pPr>
        <w:pStyle w:val="TextoNormal"/>
      </w:pPr>
    </w:p>
    <w:p w14:paraId="2F3E1FEA" w14:textId="77777777" w:rsidR="009D7677" w:rsidRDefault="009D7677" w:rsidP="009D7677">
      <w:pPr>
        <w:pStyle w:val="TextoNormal"/>
      </w:pPr>
      <w:r>
        <w:t>La Sala expone las razones por las que considera que no es aplicable a este caso la STC 147/2020, de 19 de octubre, invocada en el recurso de súplica. Afirma que la orden de detención emitida por el fiscal del rey satisface los requisitos formales del art. 12.1 a) del tratado bilateral de extradición, y según la información complementaria a la que se refiere el auto de 4 de junio de 2021, en el ordenamiento jurídico de aquel país el fiscal del rey es uno de los componentes del poder judicial, tiene competencia para expedir órdenes internacionales de arresto, y estas órdenes una vez emitidas no necesitan de ninguna legalización judicial, pues se consideran órdenes judiciales.</w:t>
      </w:r>
    </w:p>
    <w:p w14:paraId="2AFB3209" w14:textId="77777777" w:rsidR="009D7677" w:rsidRDefault="009D7677" w:rsidP="009D7677">
      <w:pPr>
        <w:pStyle w:val="TextoNormal"/>
      </w:pPr>
    </w:p>
    <w:p w14:paraId="68265CE3" w14:textId="77777777" w:rsidR="009D7677" w:rsidRDefault="009D7677" w:rsidP="009D7677">
      <w:pPr>
        <w:pStyle w:val="TextoNormal"/>
      </w:pPr>
      <w:r>
        <w:t xml:space="preserve">Añade que existe disparidad de hecho y de derecho entre los supuestos de Colombia (STC 147/2020) y el caso de Marruecos. En el caso de Colombia se había producido la anulación de la orden judicial de detención que había emitido un juzgado, y el Tribunal Constitucional no consideró que un escrito de calificación del fiscal, leído ante un órgano jurisdiccional, surtiera un efecto semejante a aquella inicial orden de detención. La Sala </w:t>
      </w:r>
      <w:r>
        <w:lastRenderedPageBreak/>
        <w:t>concluye que, conforme a la legislación interna de Marruecos, la fiscalía marroquí forma parte del poder judicial, puede solicitar la extradición y no está previsto que pueda ser revisada por un juez. La orden emitida por el fiscal del rey de Marruecos cumple las exigencias del art. 12 del tratado bilateral.</w:t>
      </w:r>
    </w:p>
    <w:p w14:paraId="2E973775" w14:textId="77777777" w:rsidR="009D7677" w:rsidRDefault="009D7677" w:rsidP="009D7677">
      <w:pPr>
        <w:pStyle w:val="TextoNormal"/>
      </w:pPr>
    </w:p>
    <w:p w14:paraId="00BFB34B" w14:textId="77777777" w:rsidR="009D7677" w:rsidRDefault="009D7677" w:rsidP="009D7677">
      <w:pPr>
        <w:pStyle w:val="TextoNormal"/>
      </w:pPr>
      <w:r>
        <w:t>Como conclusión, el Pleno entiende que la Fiscalía del Reino de Marruecos es autoridad competente en el Derecho interno para emitir la orden internacional de detención y para solicitar formalmente la extradición, dándose a la misma eficacia de cara a constituir título válido, conforme al tratado, para otorgar la extradición, y ello sin necesidad de que la misma venga a ser ratificada por el juez nacional.</w:t>
      </w:r>
    </w:p>
    <w:p w14:paraId="2BCEDE40" w14:textId="77777777" w:rsidR="009D7677" w:rsidRDefault="009D7677" w:rsidP="009D7677">
      <w:pPr>
        <w:pStyle w:val="TextoNormal"/>
      </w:pPr>
    </w:p>
    <w:p w14:paraId="3E6DE7C7" w14:textId="77777777" w:rsidR="009D7677" w:rsidRDefault="009D7677" w:rsidP="009D7677">
      <w:pPr>
        <w:pStyle w:val="TextoNormal"/>
      </w:pPr>
      <w:r>
        <w:t>En cuanto a la prescripción de los hechos según el Derecho español, la Sala considera que el plazo de prescripción de cinco años, según nuestro Derecho, ha sido interrumpido por la orden de detención internacional firmada por el fiscal del rey de Marruecos.</w:t>
      </w:r>
    </w:p>
    <w:p w14:paraId="4CBC89E1" w14:textId="77777777" w:rsidR="009D7677" w:rsidRDefault="009D7677" w:rsidP="009D7677">
      <w:pPr>
        <w:pStyle w:val="TextoNormal"/>
      </w:pPr>
    </w:p>
    <w:p w14:paraId="75FCE86F" w14:textId="77777777" w:rsidR="009D7677" w:rsidRDefault="009D7677" w:rsidP="009D7677">
      <w:pPr>
        <w:pStyle w:val="TextoNormal"/>
      </w:pPr>
      <w:r>
        <w:t>La Sala, finalmente, también rechaza la queja referida al riesgo de sufrir tratos inhumanos o degradantes y sobre la existencia de vulneraciones sistemáticas de los derechos fundamentales en el país reclamante. Considera que se trata de una alegación genérica, cuando es precisa una argumentación que haga referencia a la específica situación de peligro para los derechos fundamentales del recurrente. Este alude al estado de las prisiones en general, lo que no se justifica con datos objetivos y concretos que permitan deducir riesgos graves para su integridad o vida, y tampoco acredita que la entrega pudiera conllevar el padecimiento de tratos inhumanos o degradantes.</w:t>
      </w:r>
    </w:p>
    <w:p w14:paraId="4BF683CB" w14:textId="77777777" w:rsidR="009D7677" w:rsidRDefault="009D7677" w:rsidP="009D7677">
      <w:pPr>
        <w:pStyle w:val="TextoNormal"/>
      </w:pPr>
    </w:p>
    <w:p w14:paraId="2953F650" w14:textId="398D7481" w:rsidR="009D7677" w:rsidRDefault="009D7677" w:rsidP="009D7677">
      <w:pPr>
        <w:pStyle w:val="TextoNormal"/>
      </w:pPr>
      <w:r>
        <w:t>El auto va acompañado de un voto particular de cuatro magistrados que consideran que la mayoría no ha aplicado correctamente la doctrina sentada en la STC 147/2020, en la que es esencial que se cumpla la garantía jurisdiccional de la libertad en el propio país solicitante de la extradición, mediante la homologación por un órgano judicial de la orden de detención, y que la orden de detención del fiscal marroquí no interrumpe la prescripción en un sistema procesal fuertemente influenciado por el francés, lo que lo convierte en netamente judicial. Y en cuanto a los supuestos trabajos forzados a que sería sometido, la legislación marroquí se refiere al trabajo obligatorio relacionado con el régimen interno administrativo de la prisión, que se puede desarrollar tanto en el interior como en el exterior del centro penitenciario, lo que nada tiene que ver con el trabajo forzado.</w:t>
      </w:r>
    </w:p>
    <w:p w14:paraId="6478168E" w14:textId="77777777" w:rsidR="009D7677" w:rsidRDefault="009D7677" w:rsidP="009D7677">
      <w:pPr>
        <w:pStyle w:val="TextoNormal"/>
      </w:pPr>
    </w:p>
    <w:p w14:paraId="1393118F" w14:textId="77777777" w:rsidR="009D7677" w:rsidRDefault="009D7677" w:rsidP="009D7677">
      <w:pPr>
        <w:pStyle w:val="TextoNormal"/>
      </w:pPr>
      <w:r w:rsidRPr="009D7677">
        <w:rPr>
          <w:rStyle w:val="NumeroAFNegritaCaracter"/>
        </w:rPr>
        <w:t>3</w:t>
      </w:r>
      <w:r>
        <w:t>. El recurrente en amparo denuncia que se ha vulnerado su derecho a la tutela judicial efectiva sin indefensión (art. 24.1 CE) su derecho a un proceso con todas las garantías (art. 24.2 CE) y su derecho a la libertad personal (art. 17.3 CE) porque la orden de búsqueda y captura de 20 de abril de 2017 emitida por el fiscal del rey de Marruecos careció de control judicial en origen. No se ha producido la necesaria concurrencia de una autoridad judicial, exigida en las SSTC 147/2020 y 147/2021, para garantizar la proporcionalidad de la solicitud de extradición.</w:t>
      </w:r>
    </w:p>
    <w:p w14:paraId="295472ED" w14:textId="77777777" w:rsidR="009D7677" w:rsidRDefault="009D7677" w:rsidP="009D7677">
      <w:pPr>
        <w:pStyle w:val="TextoNormal"/>
      </w:pPr>
    </w:p>
    <w:p w14:paraId="3AC02D1E" w14:textId="77777777" w:rsidR="009D7677" w:rsidRDefault="009D7677" w:rsidP="009D7677">
      <w:pPr>
        <w:pStyle w:val="TextoNormal"/>
      </w:pPr>
      <w:r>
        <w:t xml:space="preserve">En segundo lugar, el recurrente considera vulnerado el derecho a la tutela judicial efectiva (art. 24.1 CE) por razonamiento arbitrario e irracional en conexión con los derechos a la libertad personal (art. 17.3 CE) y a la legalidad penal (art. 25.1 CE), porque se ha rechazado la aplicación de prescripción en base a interpretaciones analógicas del tipo penal, pues los hechos por los que se reclama al recurrente ocurrieron el 29 de diciembre de </w:t>
      </w:r>
      <w:r>
        <w:lastRenderedPageBreak/>
        <w:t>2012, y desde dicha fecha las únicas actuaciones practicadas en Marruecos han sido la orden internacional de detención y la presente solicitud de extradición, cursada el 20 de noviembre de 2021, más de nueve años después de los hechos. En el momento de solicitar la extradición el delito habría prescrito en España, puesto que la emisión de una orden de detención por el fiscal no es una resolución judicial y no tendría efectos interruptivos de la prescripción.</w:t>
      </w:r>
    </w:p>
    <w:p w14:paraId="18D62F02" w14:textId="77777777" w:rsidR="009D7677" w:rsidRDefault="009D7677" w:rsidP="009D7677">
      <w:pPr>
        <w:pStyle w:val="TextoNormal"/>
      </w:pPr>
    </w:p>
    <w:p w14:paraId="00996B9B" w14:textId="6D6CAF2A" w:rsidR="009D7677" w:rsidRDefault="009D7677" w:rsidP="009D7677">
      <w:pPr>
        <w:pStyle w:val="TextoNormal"/>
      </w:pPr>
      <w:r>
        <w:t>Finalmente, el recurrente entiende que se han vulnerado los derechos a un proceso con todas las garantías (art. 24.2 CE), a la integridad física y moral, y a no ser sometido a torturas ni tratos inhumanos o degradantes (art. 15 CE). El recurrente aportó material probatorio suficiente sobre la situación deficitaria de los derechos humanos en Marruecos (informes de Amnistía Internacional, de la Comisión Española de Ayuda al Refugiado, notas de medios de comunicación); alegó que conforme al Código penal de Marruecos todo condenado a pena privativa de libertad debe realizar trabajos forzados; alegó que existían dificultades de acceso a un abogado y que no se investigan las denuncias de torturas o malos tratos, por lo que las resoluciones judiciales impugnadas generan el riesgo de que sobre el recurrente se materialicen tales vulneraciones de derechos humanos. Este riesgo también se produce por las deficitarias condiciones de las prisiones del país reclamante y la obligación de realizar trabajos forzados, lo que atenta contra la prohibición de la esclavitud y del trabajo forzado que se contiene en el art. 4.2 del Convenio europeo de derechos humanos (CEDH). También se constata en informes internacionales el riesgo de sufrir internamiento en aislamiento durante periodos largos de tiempo y restricción de visitas familiares.</w:t>
      </w:r>
    </w:p>
    <w:p w14:paraId="06890984" w14:textId="77777777" w:rsidR="009D7677" w:rsidRDefault="009D7677" w:rsidP="009D7677">
      <w:pPr>
        <w:pStyle w:val="TextoNormal"/>
      </w:pPr>
    </w:p>
    <w:p w14:paraId="36023596" w14:textId="77777777" w:rsidR="009D7677" w:rsidRDefault="009D7677" w:rsidP="009D7677">
      <w:pPr>
        <w:pStyle w:val="TextoNormal"/>
      </w:pPr>
      <w:r w:rsidRPr="009D7677">
        <w:rPr>
          <w:rStyle w:val="NumeroAFNegritaCaracter"/>
        </w:rPr>
        <w:t>4</w:t>
      </w:r>
      <w:r>
        <w:t>. La Sección Primera de la Sala Primera del Tribunal Constitucional, por providencia de 25 de octubre de 2021, acordó admitir a trámite el recurso de amparo apreciando que concurre en el mismo una especial trascendencia constitucional [art. 50.1 de la Ley Orgánica del Tribunal Constitucional (LOTC)] como consecuencia de que el órgano judicial pudiera haber incurrido en una negativa manifiesta del deber de acatamiento de la doctrina de este tribunal [STC 155/2009, de 25 de junio, FJ 2 f)].</w:t>
      </w:r>
    </w:p>
    <w:p w14:paraId="48945770" w14:textId="77777777" w:rsidR="009D7677" w:rsidRDefault="009D7677" w:rsidP="009D7677">
      <w:pPr>
        <w:pStyle w:val="TextoNormal"/>
      </w:pPr>
    </w:p>
    <w:p w14:paraId="2407C446" w14:textId="77777777" w:rsidR="009D7677" w:rsidRDefault="009D7677" w:rsidP="009D7677">
      <w:pPr>
        <w:pStyle w:val="TextoNormal"/>
      </w:pPr>
      <w:r>
        <w:t>En la providencia se acordó, en aplicación de lo dispuesto en el art. 51 LOTC, dirigir atenta comunicación al Pleno de la Sala de lo Penal de la Audiencia Nacional a fin de que, en plazo que no exceda de diez días, remitiera certificación o fotocopia adverada de las actuaciones correspondientes al recurso de súplica núm. 49-2021. E igualmente a la Sala de lo Penal, Sección Primera, de la Audiencia Nacional para que, en el mismo plazo, remitiera certificación o fotocopia adverada de las actuaciones correspondientes al rollo de extradición núm. 50-2020, dimanante del procedimiento de extradición pasiva núm. 35-2020 del Juzgado Central de Instrucción núm. 2, debiendo previamente emplazarse, para que en el plazo de diez días pudieran comparecer, si lo deseasen, en el recurso de amparo, a quienes hubieran sido parte en el procedimiento, excepto la parte recurrente en amparo.</w:t>
      </w:r>
    </w:p>
    <w:p w14:paraId="29154116" w14:textId="77777777" w:rsidR="009D7677" w:rsidRDefault="009D7677" w:rsidP="009D7677">
      <w:pPr>
        <w:pStyle w:val="TextoNormal"/>
      </w:pPr>
    </w:p>
    <w:p w14:paraId="4F0F6F1C" w14:textId="599AE0B5" w:rsidR="009D7677" w:rsidRDefault="009D7677" w:rsidP="009D7677">
      <w:pPr>
        <w:pStyle w:val="TextoNormal"/>
      </w:pPr>
      <w:r>
        <w:t xml:space="preserve">Habiéndose solicitado por el procurador recurrente la suspensión de las resoluciones impugnadas, en la citada providencia se acordó, por apreciarse la urgencia excepcional a que se refiere el art. 56.6 LOTC, toda vez que dicha ejecución produciría un perjuicio de imposible o muy difícil reparación que haría perder su finalidad al recurso de amparo, la suspensión cautelar de los autos núm. 14/2021, de 22 de junio, y 50/2021, de 20 de julio, </w:t>
      </w:r>
      <w:r>
        <w:lastRenderedPageBreak/>
        <w:t>dictados por la Sección Primera de la Sala de lo Penal y por el Pleno de la Sala de lo Penal, respectivamente, de la Audiencia Nacional.</w:t>
      </w:r>
    </w:p>
    <w:p w14:paraId="391793B6" w14:textId="77777777" w:rsidR="009D7677" w:rsidRDefault="009D7677" w:rsidP="009D7677">
      <w:pPr>
        <w:pStyle w:val="TextoNormal"/>
      </w:pPr>
    </w:p>
    <w:p w14:paraId="5462A272" w14:textId="561FC3EF" w:rsidR="009D7677" w:rsidRDefault="009D7677" w:rsidP="009D7677">
      <w:pPr>
        <w:pStyle w:val="TextoNormal"/>
      </w:pPr>
      <w:r w:rsidRPr="009D7677">
        <w:rPr>
          <w:rStyle w:val="NumeroAFNegritaCaracter"/>
        </w:rPr>
        <w:t>5</w:t>
      </w:r>
      <w:r>
        <w:t>. Recibidas las actuaciones de la Sección Primera de la Sala de lo Penal, así como del Pleno de la Sala de lo Penal de la Audiencia Nacional, el 24 de noviembre de 2021 la Secretaría de Justicia de la Sala Primera de este tribunal dictó diligencia de ordenación en la que acordaba dar vista de las mismas por un plazo común de veinte días a la parte recurrente y al Ministerio Fiscal, para que presentasen las alegaciones que estimasen pertinentes, conforme determina el art. 52.1 LOTC.</w:t>
      </w:r>
    </w:p>
    <w:p w14:paraId="43E30956" w14:textId="77777777" w:rsidR="009D7677" w:rsidRDefault="009D7677" w:rsidP="009D7677">
      <w:pPr>
        <w:pStyle w:val="TextoNormal"/>
      </w:pPr>
    </w:p>
    <w:p w14:paraId="65E06280" w14:textId="6C2FACFA" w:rsidR="009D7677" w:rsidRDefault="009D7677" w:rsidP="009D7677">
      <w:pPr>
        <w:pStyle w:val="TextoNormal"/>
      </w:pPr>
      <w:r w:rsidRPr="009D7677">
        <w:rPr>
          <w:rStyle w:val="NumeroAFNegritaCaracter"/>
        </w:rPr>
        <w:t>6</w:t>
      </w:r>
      <w:r>
        <w:t>. Por escrito presentado el 30 de diciembre de 2021, la representación procesal del actor formuló alegaciones en las que se ratificó íntegramente en la demanda.</w:t>
      </w:r>
    </w:p>
    <w:p w14:paraId="6F0CFAA7" w14:textId="77777777" w:rsidR="009D7677" w:rsidRDefault="009D7677" w:rsidP="009D7677">
      <w:pPr>
        <w:pStyle w:val="TextoNormal"/>
      </w:pPr>
    </w:p>
    <w:p w14:paraId="74C6D6B4" w14:textId="77777777" w:rsidR="009D7677" w:rsidRDefault="009D7677" w:rsidP="009D7677">
      <w:pPr>
        <w:pStyle w:val="TextoNormal"/>
      </w:pPr>
      <w:r w:rsidRPr="009D7677">
        <w:rPr>
          <w:rStyle w:val="NumeroAFNegritaCaracter"/>
        </w:rPr>
        <w:t>7</w:t>
      </w:r>
      <w:r>
        <w:t>. Por escrito presentado el 18 de enero de 2022, el fiscal ante el Tribunal Constitucional presentó alegaciones en las que solicitó la estimación del recurso de amparo, que se declarase que las resoluciones judiciales impugnadas en el mismo vulneraron el derecho fundamental del recurrente a la tutela judicial efectiva del art. 24.1 CE, en conexión con el derecho a la libertad del art. 17 CE con infracción de la doctrina del Tribunal Constitucional que prevé la inexcusable concurrencia de una autoridad judicial que controle la necesidad y proporcionalidad de la solicitud de extradición, y que en consecuencia se declarase su nulidad. En cuanto al resto de los motivos del recurso de amparo, considera el fiscal que deben ser desestimados.</w:t>
      </w:r>
    </w:p>
    <w:p w14:paraId="0C8D41A0" w14:textId="77777777" w:rsidR="009D7677" w:rsidRDefault="009D7677" w:rsidP="009D7677">
      <w:pPr>
        <w:pStyle w:val="TextoNormal"/>
      </w:pPr>
    </w:p>
    <w:p w14:paraId="48CA9418" w14:textId="77777777" w:rsidR="009D7677" w:rsidRDefault="009D7677" w:rsidP="009D7677">
      <w:pPr>
        <w:pStyle w:val="TextoNormal"/>
      </w:pPr>
      <w:r>
        <w:t xml:space="preserve">Tras exponer las vicisitudes del procedimiento antecedente, el fiscal encuadra la primera cuestión suscitada en el recurso de amparo en la falta de habilitación legal de la solicitud de extradición formulada por el Reino de Marruecos, en tanto se funda en una orden internacional de detención dictada por el fiscal del rey ante el Juzgado de Primera Instancia de Casablanca, sin que exista una resolución judicial que la corrobore, apartándose las resoluciones judiciales impugnadas de la doctrina establecida por el Tribunal Constitucional en las SSTC 147/2020, de 19 de octubre, y 147/2021, de 12 de julio, doctrina que sintetiza y de la que destaca, mediante extensa cita literal de los fundamentos jurídicos 7 y 8 de la primera de ellas, el valor hermenéutico e integrador que el Tribunal Constitucional atribuye </w:t>
      </w:r>
      <w:r w:rsidRPr="009D7677">
        <w:rPr>
          <w:i/>
        </w:rPr>
        <w:t>ex</w:t>
      </w:r>
      <w:r>
        <w:t xml:space="preserve"> art. 10.2 CE a los pronunciamientos del Tribunal de Justicia de la Unión Europea relativos a la orden europea de detención y entrega (Decisión Marco 2002/584/JAI) para incorporar a la tutela judicial efectiva del derecho a la libertad y a la libertad de circulación, en los procedimientos de extradición pasiva, la exigencia de que en el país reclamante exista un control judicial de la ponderación de la necesidad y proporcionalidad de la medida.</w:t>
      </w:r>
    </w:p>
    <w:p w14:paraId="011AF77E" w14:textId="77777777" w:rsidR="009D7677" w:rsidRDefault="009D7677" w:rsidP="009D7677">
      <w:pPr>
        <w:pStyle w:val="TextoNormal"/>
      </w:pPr>
    </w:p>
    <w:p w14:paraId="15A7735B" w14:textId="77777777" w:rsidR="009D7677" w:rsidRDefault="009D7677" w:rsidP="009D7677">
      <w:pPr>
        <w:pStyle w:val="TextoNormal"/>
      </w:pPr>
      <w:r>
        <w:t>El fiscal ante el Tribunal Constitucional considera que las condiciones en las que se expide la solicitud de extradición por el fiscal del rey de Marruecos no reúnen las características establecidas por la doctrina constitucional citada, en cuanto se establece la posibilidad de que la autoridad emisora —el fiscal del rey— esté sujeto a instrucciones de la autoridad jerárquica superior, no se prevé la inexcusable concurrencia de una autoridad judicial que controle la necesidad y proporcionalidad de la medida y no se contempla la posibilidad de un recurso judicial antes de la entrega de la persona buscada por el Estado que debe efectuar la ejecución.</w:t>
      </w:r>
    </w:p>
    <w:p w14:paraId="494FC885" w14:textId="77777777" w:rsidR="009D7677" w:rsidRDefault="009D7677" w:rsidP="009D7677">
      <w:pPr>
        <w:pStyle w:val="TextoNormal"/>
      </w:pPr>
    </w:p>
    <w:p w14:paraId="334C0A5E" w14:textId="77777777" w:rsidR="009D7677" w:rsidRDefault="009D7677" w:rsidP="009D7677">
      <w:pPr>
        <w:pStyle w:val="TextoNormal"/>
      </w:pPr>
      <w:r>
        <w:t>Seguidamente, el fiscal analiza la segunda cuestión suscitada por el recurso de amparo, referida a la eventual prescripción del delito derivada de la ausencia de efecto interruptivo de la orden de búsqueda internacional expedida por el fiscal del rey de Marruecos. Considera que procede desestimar la queja por cuanto la cuestión debe centrarse en la existencia o no de un acto de dirección del procedimiento. Así, la resolución del fiscal marroquí supone un relato del avance de la investigación y de los elementos de identificación del reclamado y una determinación de su participación en los hechos. La orden de detención internacional estaba preordenada a una eventual extradición, lo que excede de una simple requisitoria. En definitiva, concurre un acto de dirección del procedimiento con virtualidad interruptiva.</w:t>
      </w:r>
    </w:p>
    <w:p w14:paraId="54ADBB85" w14:textId="77777777" w:rsidR="009D7677" w:rsidRDefault="009D7677" w:rsidP="009D7677">
      <w:pPr>
        <w:pStyle w:val="TextoNormal"/>
      </w:pPr>
    </w:p>
    <w:p w14:paraId="69232F11" w14:textId="25654DC8" w:rsidR="009D7677" w:rsidRDefault="009D7677" w:rsidP="009D7677">
      <w:pPr>
        <w:pStyle w:val="TextoNormal"/>
      </w:pPr>
      <w:r>
        <w:t>Finalmente, el fiscal se refiere a la tercera queja formulada, la que tiene que ver con el sometimiento a trabajos forzados o a tratos inhumanos y degradantes. Argumenta que procede desestimar la queja, en primer lugar, por la insuficiente acreditación de una concreta vinculación del posible trato degradante con el recurrente y, en segundo lugar, porque la petición de extradición se solicita para la investigación y enjuiciamiento, por lo que se trata de una cuestión futura sobre la hipotética aplicación de una medida de ejecución penitenciaria que se asocia a una pena privativa de libertad aún no impuesta.</w:t>
      </w:r>
    </w:p>
    <w:p w14:paraId="69267364" w14:textId="77777777" w:rsidR="009D7677" w:rsidRDefault="009D7677" w:rsidP="009D7677">
      <w:pPr>
        <w:pStyle w:val="TextoNormal"/>
      </w:pPr>
    </w:p>
    <w:p w14:paraId="58C8813A" w14:textId="1F12703B" w:rsidR="009D7677" w:rsidRDefault="009D7677" w:rsidP="009D7677">
      <w:pPr>
        <w:pStyle w:val="TextoNormal"/>
      </w:pPr>
      <w:r w:rsidRPr="009D7677">
        <w:rPr>
          <w:rStyle w:val="NumeroAFNegritaCaracter"/>
        </w:rPr>
        <w:t>8</w:t>
      </w:r>
      <w:r>
        <w:t>. Por diligencia de ordenación de la Secretaría de Justicia de la Sala Primera de este tribunal de 19 de enero de 2022 se hace constar que queda el presente recurso de amparo pendiente para deliberación cuando por turno corresponda.</w:t>
      </w:r>
    </w:p>
    <w:p w14:paraId="39D089FA" w14:textId="77777777" w:rsidR="009D7677" w:rsidRDefault="009D7677" w:rsidP="009D7677">
      <w:pPr>
        <w:pStyle w:val="TextoNormal"/>
      </w:pPr>
    </w:p>
    <w:p w14:paraId="040B7322" w14:textId="01BB0B6D" w:rsidR="009D7677" w:rsidRDefault="009D7677" w:rsidP="009D7677">
      <w:pPr>
        <w:pStyle w:val="TextoNormal"/>
      </w:pPr>
      <w:r w:rsidRPr="009D7677">
        <w:rPr>
          <w:rStyle w:val="NumeroAFNegritaCaracter"/>
        </w:rPr>
        <w:t>9</w:t>
      </w:r>
      <w:r>
        <w:t>. En virtud de los arts. 2.1 y 2 y 3.1 del acuerdo del Pleno del Tribunal Constitucional de 17 de enero de 2023, publicado en el “Boletín Oficial del Estado” de 19 de enero de 2023, el recurso es reasignado a la Sala Segunda de este tribunal al conservar la magistrada la ponencia que inicialmente le había sido repartida, lo que fue puesto en conocimiento de las partes mediante diligencia de ordenación de 20 enero de 2023 del secretario de justicia de la Sección Tercera.</w:t>
      </w:r>
    </w:p>
    <w:p w14:paraId="6B5FB8E9" w14:textId="77777777" w:rsidR="009D7677" w:rsidRDefault="009D7677" w:rsidP="009D7677">
      <w:pPr>
        <w:pStyle w:val="TextoNormal"/>
      </w:pPr>
    </w:p>
    <w:p w14:paraId="58765A68" w14:textId="07DA1105" w:rsidR="009D7677" w:rsidRDefault="009D7677" w:rsidP="009D7677">
      <w:pPr>
        <w:pStyle w:val="TextoNormal"/>
      </w:pPr>
      <w:r w:rsidRPr="009D7677">
        <w:rPr>
          <w:rStyle w:val="NumeroAFNegritaCaracter"/>
        </w:rPr>
        <w:t>10</w:t>
      </w:r>
      <w:r>
        <w:t>. Por escrito presentado el 31 de enero de 2024, el magistrado don Ramón Sáez Valcárcel manifestó su voluntad de abstenerse del conocimiento del presente recurso de amparo al concurrir en su persona la causa establecida en el art. 219.11 de la Ley Orgánica del Poder Judicial, por haber tenido conocimiento procesal de los hechos y de las actuaciones seguidas en tanto que integrante de la Sala que resolvió el recurso de súplica formulado por el recurrente. La Sala Segunda de este tribunal, mediante el ATC 12/2024, de 12 de febrero, estimó justificada su abstención.</w:t>
      </w:r>
    </w:p>
    <w:p w14:paraId="47ED969B" w14:textId="77777777" w:rsidR="009D7677" w:rsidRDefault="009D7677" w:rsidP="009D7677">
      <w:pPr>
        <w:pStyle w:val="TextoNormal"/>
      </w:pPr>
    </w:p>
    <w:p w14:paraId="1C3DDB30" w14:textId="0C0E824E" w:rsidR="009D7677" w:rsidRDefault="009D7677" w:rsidP="009D7677">
      <w:pPr>
        <w:pStyle w:val="TextoNormal"/>
      </w:pPr>
      <w:r w:rsidRPr="009D7677">
        <w:rPr>
          <w:rStyle w:val="NumeroAFNegritaCaracter"/>
        </w:rPr>
        <w:t>11</w:t>
      </w:r>
      <w:r>
        <w:t>. Mediante providencia de 7 de marzo de 2024, se señaló para deliberación y votación de la presente sentencia el siguiente día 11 del mismo mes y año.</w:t>
      </w:r>
    </w:p>
    <w:p w14:paraId="3CDFF8C2" w14:textId="77777777" w:rsidR="009D7677" w:rsidRDefault="009D7677" w:rsidP="009D7677">
      <w:pPr>
        <w:pStyle w:val="TextoNormal"/>
      </w:pPr>
    </w:p>
    <w:p w14:paraId="49C040B0" w14:textId="77777777" w:rsidR="009D7677" w:rsidRDefault="009D7677" w:rsidP="009D7677">
      <w:pPr>
        <w:pStyle w:val="TextoNormalNegritaCentrado"/>
        <w:keepNext/>
      </w:pPr>
      <w:r>
        <w:t>II. Fundamentos jurídicos</w:t>
      </w:r>
    </w:p>
    <w:p w14:paraId="5DE7B4AB" w14:textId="1D0AFE08" w:rsidR="009D7677" w:rsidRDefault="009D7677" w:rsidP="009D7677">
      <w:pPr>
        <w:pStyle w:val="TextoNormalNegritaCentrado"/>
        <w:keepNext/>
      </w:pPr>
    </w:p>
    <w:p w14:paraId="758867AC" w14:textId="77777777" w:rsidR="009D7677" w:rsidRDefault="009D7677" w:rsidP="009D7677">
      <w:pPr>
        <w:pStyle w:val="TextoNormal"/>
      </w:pPr>
      <w:r w:rsidRPr="009D7677">
        <w:rPr>
          <w:rStyle w:val="NumeroAFNegritaCaracter"/>
        </w:rPr>
        <w:t>1</w:t>
      </w:r>
      <w:r>
        <w:t xml:space="preserve">. </w:t>
      </w:r>
      <w:r w:rsidRPr="009D7677">
        <w:rPr>
          <w:i/>
        </w:rPr>
        <w:t>Objeto del proceso y posición de las partes</w:t>
      </w:r>
    </w:p>
    <w:p w14:paraId="0BC2A159" w14:textId="77777777" w:rsidR="009D7677" w:rsidRDefault="009D7677" w:rsidP="009D7677">
      <w:pPr>
        <w:pStyle w:val="TextoNormal"/>
      </w:pPr>
    </w:p>
    <w:p w14:paraId="42600163" w14:textId="77777777" w:rsidR="009D7677" w:rsidRDefault="009D7677" w:rsidP="009D7677">
      <w:pPr>
        <w:pStyle w:val="TextoNormal"/>
      </w:pPr>
      <w:r>
        <w:lastRenderedPageBreak/>
        <w:t>La demanda de amparo interesa la nulidad del auto núm. 14/2021, de 22 de junio, dictado por la Sección Primera de la Sala de lo Penal de la Audiencia Nacional, que acordó haber lugar en fase judicial a la extradición del demandante a Marruecos al objeto de ser enjuiciado por hechos constitutivos de delito de tráfico de drogas, y del auto núm. 50/2021, de 20 de julio, dictado por el Pleno de la Sala de lo Penal de la Audiencia Nacional, que confirmó en súplica el anterior.</w:t>
      </w:r>
    </w:p>
    <w:p w14:paraId="4ACB499B" w14:textId="77777777" w:rsidR="009D7677" w:rsidRDefault="009D7677" w:rsidP="009D7677">
      <w:pPr>
        <w:pStyle w:val="TextoNormal"/>
      </w:pPr>
    </w:p>
    <w:p w14:paraId="6B4E1396" w14:textId="77777777" w:rsidR="009D7677" w:rsidRDefault="009D7677" w:rsidP="009D7677">
      <w:pPr>
        <w:pStyle w:val="TextoNormal"/>
      </w:pPr>
      <w:r>
        <w:t>El recurrente aduce que las resoluciones judiciales impugnadas han vulnerado sus derechos a la tutela judicial efectiva (art. 24.1 CE), a un proceso con todas las garantías (art. 24.2 CE) y a la libertad personal (art. 17.3 CE), porque la orden de búsqueda y captura de 20 de abril de 2017 emitida por el fiscal del rey de Marruecos careció del control judicial en origen exigido en las SSTC 147/2020 y 147/2021 para garantizar su necesidad y proporcionalidad; también aduce la vulneración de su derecho a la tutela judicial efectiva (art. 24.1 CE) en relación con los derechos a la libertad personal (art. 17.3 CE) y a la legalidad penal (art. 25.1 CE), porque se ha rechazado la aplicación de prescripción en base a interpretaciones analógicas del tipo penal; así como la vulneración de los derechos a un proceso con todas las garantías (art. 24.2 CE), a la integridad física y moral y a no ser sometido a torturas ni tratos inhumanos o degradantes (art. 15 CE) por el riesgo de ser sometido a estas prácticas y a trabajos forzados si es entregado al país reclamante.</w:t>
      </w:r>
    </w:p>
    <w:p w14:paraId="48DA451C" w14:textId="77777777" w:rsidR="009D7677" w:rsidRDefault="009D7677" w:rsidP="009D7677">
      <w:pPr>
        <w:pStyle w:val="TextoNormal"/>
      </w:pPr>
    </w:p>
    <w:p w14:paraId="1997F5B5" w14:textId="789A10F2" w:rsidR="009D7677" w:rsidRDefault="009D7677" w:rsidP="009D7677">
      <w:pPr>
        <w:pStyle w:val="TextoNormal"/>
      </w:pPr>
      <w:r>
        <w:t>El fiscal ante el Tribunal Constitucional apoya el motivo primero de la demanda de amparo e interesa la nulidad de las resoluciones judiciales impugnadas.</w:t>
      </w:r>
    </w:p>
    <w:p w14:paraId="2834F2E9" w14:textId="77777777" w:rsidR="009D7677" w:rsidRDefault="009D7677" w:rsidP="009D7677">
      <w:pPr>
        <w:pStyle w:val="TextoNormal"/>
      </w:pPr>
    </w:p>
    <w:p w14:paraId="3F954C0A" w14:textId="77777777" w:rsidR="009D7677" w:rsidRDefault="009D7677" w:rsidP="009D7677">
      <w:pPr>
        <w:pStyle w:val="TextoNormal"/>
      </w:pPr>
      <w:r w:rsidRPr="009D7677">
        <w:rPr>
          <w:rStyle w:val="NumeroAFNegritaCaracter"/>
        </w:rPr>
        <w:t>2</w:t>
      </w:r>
      <w:r>
        <w:t xml:space="preserve">. </w:t>
      </w:r>
      <w:r w:rsidRPr="009D7677">
        <w:rPr>
          <w:i/>
        </w:rPr>
        <w:t>Especial trascendencia constitucional</w:t>
      </w:r>
    </w:p>
    <w:p w14:paraId="6B24C603" w14:textId="77777777" w:rsidR="009D7677" w:rsidRDefault="009D7677" w:rsidP="009D7677">
      <w:pPr>
        <w:pStyle w:val="TextoNormal"/>
      </w:pPr>
    </w:p>
    <w:p w14:paraId="73870CAE" w14:textId="77777777" w:rsidR="009D7677" w:rsidRDefault="009D7677" w:rsidP="009D7677">
      <w:pPr>
        <w:pStyle w:val="TextoNormal"/>
      </w:pPr>
      <w:r>
        <w:t>La Sección Primera del Tribunal Constitucional, por providencia de 25 de octubre de 2021, admitió a trámite el presente recurso de amparo apreciando la concurrencia de especial trascendencia constitucional (art. 50.1 LOTC) como consecuencia de que el órgano judicial pudiera haber incurrido en una negativa manifiesta del deber de acatamiento de la doctrina de este tribunal [STC 155/2009, de 25 de junio, FJ 2 f)]. No se puede obviar, sin embargo, que este tribunal ha admitido otros recursos de amparo en los que, frente al mismo problema, ha reconocido como motivo de especial trascendencia constitucional el enunciado en la letra b) de la STC 155/2009, FJ 2, porque el recurso puede dar ocasión al Tribunal para aclarar o cambiar su doctrina como consecuencia de un proceso de reflexión interna, lo que ha sucedido, entre otros, en el recurso de amparo 7490-2021, al que alude el fiscal ante el Tribunal Constitucional en su escrito de alegaciones.</w:t>
      </w:r>
    </w:p>
    <w:p w14:paraId="20615A23" w14:textId="77777777" w:rsidR="009D7677" w:rsidRDefault="009D7677" w:rsidP="009D7677">
      <w:pPr>
        <w:pStyle w:val="TextoNormal"/>
      </w:pPr>
    </w:p>
    <w:p w14:paraId="5DD4B5F4" w14:textId="77777777" w:rsidR="009D7677" w:rsidRDefault="009D7677" w:rsidP="009D7677">
      <w:pPr>
        <w:pStyle w:val="TextoNormal"/>
      </w:pPr>
      <w:r>
        <w:t xml:space="preserve">Desde la STC 9/2015, de 2 de febrero, FJ 3, hemos establecido que “constituye una exigencia de certeza que este tribunal explicite el cumplimiento de este requisito, haciendo así recognoscibles los criterios de aplicación empleados al respecto por este tribunal [sentencia del Tribunal Europeo de Derechos Humanos (STEDH) de 20 de enero de 2015, asunto </w:t>
      </w:r>
      <w:r w:rsidRPr="009D7677">
        <w:rPr>
          <w:i/>
        </w:rPr>
        <w:t>Arribas Antón c. España</w:t>
      </w:r>
      <w:r>
        <w:t>]”, lo que también aconseja evitar la dispersión de criterios en asuntos que presentan una acusada identidad de objeto. A raíz de las SSTC 147/2020 y 147/2021, ha habido una reiteración de asuntos de extradición pasiva, procedentes del mismo país, que inciden en la misma cuestión, la referida a las solicitudes de extradición remitidas por un fiscal sin refrendo judicial.</w:t>
      </w:r>
    </w:p>
    <w:p w14:paraId="11FEE488" w14:textId="77777777" w:rsidR="009D7677" w:rsidRDefault="009D7677" w:rsidP="009D7677">
      <w:pPr>
        <w:pStyle w:val="TextoNormal"/>
      </w:pPr>
    </w:p>
    <w:p w14:paraId="44D12AA1" w14:textId="4C43A4E4" w:rsidR="009D7677" w:rsidRDefault="009D7677" w:rsidP="009D7677">
      <w:pPr>
        <w:pStyle w:val="TextoNormal"/>
      </w:pPr>
      <w:r>
        <w:lastRenderedPageBreak/>
        <w:t>Este problema ha sido abordado en la reciente STC 17/2024, de 31 de enero, en la que se afirmó que también concurría la causa de especial trascendencia constitucional encuadrada en el supuesto de la letra b) de la STC 155/2009, de 25 de junio.</w:t>
      </w:r>
    </w:p>
    <w:p w14:paraId="24C3159F" w14:textId="77777777" w:rsidR="009D7677" w:rsidRDefault="009D7677" w:rsidP="009D7677">
      <w:pPr>
        <w:pStyle w:val="TextoNormal"/>
      </w:pPr>
    </w:p>
    <w:p w14:paraId="60B6A4CB" w14:textId="77777777" w:rsidR="009D7677" w:rsidRDefault="009D7677" w:rsidP="009D7677">
      <w:pPr>
        <w:pStyle w:val="TextoNormal"/>
      </w:pPr>
      <w:r w:rsidRPr="009D7677">
        <w:rPr>
          <w:rStyle w:val="NumeroAFNegritaCaracter"/>
        </w:rPr>
        <w:t>3</w:t>
      </w:r>
      <w:r>
        <w:t xml:space="preserve">. </w:t>
      </w:r>
      <w:r w:rsidRPr="009D7677">
        <w:rPr>
          <w:i/>
        </w:rPr>
        <w:t>Consideraciones previas. Orden de examen de las quejas</w:t>
      </w:r>
    </w:p>
    <w:p w14:paraId="087D2234" w14:textId="77777777" w:rsidR="009D7677" w:rsidRDefault="009D7677" w:rsidP="009D7677">
      <w:pPr>
        <w:pStyle w:val="TextoNormal"/>
      </w:pPr>
    </w:p>
    <w:p w14:paraId="755D759E" w14:textId="77777777" w:rsidR="009D7677" w:rsidRDefault="009D7677" w:rsidP="009D7677">
      <w:pPr>
        <w:pStyle w:val="TextoNormal"/>
      </w:pPr>
      <w:r>
        <w:t>En las SSTC 115/2002, de 20 de mayo, FJ 3; 65/2003, de 7 de abril, FJ 2, y 198/2003, de 10 de noviembre, FJ 3, o, más recientemente, en las SSTC 37/2018, de 23 de abril, FJ 2, y 78/2019, de 3 de junio, FJ 2, declaramos que corresponde a este tribunal, en función de las circunstancias concurrentes en cada supuesto concreto sometido a su consideración, determinar no solo el orden del examen de las quejas, sino también si resulta necesario o conveniente pronunciarse en la sentencia sobre todas las lesiones de derechos constitucionales denunciadas, en el caso de que ya se haya apreciado la concurrencia de alguna de ellas.</w:t>
      </w:r>
    </w:p>
    <w:p w14:paraId="58B5E966" w14:textId="77777777" w:rsidR="009D7677" w:rsidRDefault="009D7677" w:rsidP="009D7677">
      <w:pPr>
        <w:pStyle w:val="TextoNormal"/>
      </w:pPr>
    </w:p>
    <w:p w14:paraId="7364AE92" w14:textId="0F837384" w:rsidR="009D7677" w:rsidRDefault="009D7677" w:rsidP="009D7677">
      <w:pPr>
        <w:pStyle w:val="TextoNormal"/>
      </w:pPr>
      <w:r>
        <w:t>En el caso sometido a examen, la queja nuclear de la demanda de amparo es la relativa a la falta de control judicial de la solicitud extradicional en el país requirente. Esta queja es la que dota al presente recurso de especial trascendencia constitucional, al proporcionar a este tribunal la oportunidad de aclarar, matizar o cambiar la doctrina establecida en las SSTC 147/2020 y 147/2021. Por consiguiente, la lógica impone comenzar nuestro estudio por esta queja, dada su mayor incidencia sobre la cuestión planteada.</w:t>
      </w:r>
    </w:p>
    <w:p w14:paraId="5211278F" w14:textId="77777777" w:rsidR="009D7677" w:rsidRDefault="009D7677" w:rsidP="009D7677">
      <w:pPr>
        <w:pStyle w:val="TextoNormal"/>
      </w:pPr>
    </w:p>
    <w:p w14:paraId="5B2E0DA3" w14:textId="77777777" w:rsidR="009D7677" w:rsidRDefault="009D7677" w:rsidP="009D7677">
      <w:pPr>
        <w:pStyle w:val="TextoNormal"/>
      </w:pPr>
      <w:r w:rsidRPr="009D7677">
        <w:rPr>
          <w:rStyle w:val="NumeroAFNegritaCaracter"/>
        </w:rPr>
        <w:t>4</w:t>
      </w:r>
      <w:r>
        <w:t xml:space="preserve">. </w:t>
      </w:r>
      <w:r w:rsidRPr="009D7677">
        <w:rPr>
          <w:i/>
        </w:rPr>
        <w:t>La tutela judicial de la libertad en los procedimientos de extradición pasiva. Doctrina fijada por la STC 17/2024, de 31 de enero</w:t>
      </w:r>
    </w:p>
    <w:p w14:paraId="4B94175C" w14:textId="77777777" w:rsidR="009D7677" w:rsidRDefault="009D7677" w:rsidP="009D7677">
      <w:pPr>
        <w:pStyle w:val="TextoNormal"/>
      </w:pPr>
    </w:p>
    <w:p w14:paraId="0D09D306" w14:textId="77777777" w:rsidR="009D7677" w:rsidRDefault="009D7677" w:rsidP="009D7677">
      <w:pPr>
        <w:pStyle w:val="TextoNormal"/>
      </w:pPr>
      <w:r>
        <w:t>En la STC 17/2024, de 31 de enero, se ha aclarado la doctrina fijada por este tribunal en las SSTC 147/2020 y 147/2021 sobre tutela judicial del derecho a la libertad en los procedimientos de extradición pasiva, en el sentido de distinguir dos garantías diversas. En primer término, una garantía básica consistente en que el órgano judicial verifique, al examinar la petición de extradición, la imparcialidad de la autoridad que la ha emitido, garantía inherente al deber de motivación reforzada de una decisión que ha de afectar necesariamente a la esfera de la libertad personal del reclamado. En segundo término, una garantía específica consistente en que la solicitud venga refrendada por una autoridad judicial desde el mismo país de origen, fundada en el art. 7.1 a) LEP, que es de directa aplicación en caso de ausencia de convenio extradicional con el Estado reclamante (STC 147/2021, FJ 4).</w:t>
      </w:r>
    </w:p>
    <w:p w14:paraId="5EA63A90" w14:textId="77777777" w:rsidR="009D7677" w:rsidRDefault="009D7677" w:rsidP="009D7677">
      <w:pPr>
        <w:pStyle w:val="TextoNormal"/>
      </w:pPr>
    </w:p>
    <w:p w14:paraId="6B288D8A" w14:textId="77777777" w:rsidR="009D7677" w:rsidRDefault="009D7677" w:rsidP="009D7677">
      <w:pPr>
        <w:pStyle w:val="TextoNormal"/>
      </w:pPr>
      <w:r>
        <w:t xml:space="preserve">Esta garantía específica puede verse modulada en función de lo previsto en el convenio de extradición vigente entre las partes, en tanto que fuente normativa de aplicación preferente en los términos del art. 1.1 LEP. De este modo, aun cuando sea una exigencia inherente a la tutela judicial efectiva del derecho a la libertad personal del </w:t>
      </w:r>
      <w:r w:rsidRPr="009D7677">
        <w:rPr>
          <w:i/>
        </w:rPr>
        <w:t>extraditurus</w:t>
      </w:r>
      <w:r>
        <w:t xml:space="preserve"> que nuestros tribunales verifiquen que la necesidad y proporcionalidad de la medida ha sido debidamente ponderada por un órgano judicial del país emisor, dicha intermediación judicial puede dispensarse excepcionalmente cuando concurran las siguientes exigencias:</w:t>
      </w:r>
    </w:p>
    <w:p w14:paraId="3AA9B08B" w14:textId="77777777" w:rsidR="009D7677" w:rsidRDefault="009D7677" w:rsidP="009D7677">
      <w:pPr>
        <w:pStyle w:val="TextoNormal"/>
      </w:pPr>
    </w:p>
    <w:p w14:paraId="5EAF66E1" w14:textId="77777777" w:rsidR="009D7677" w:rsidRDefault="009D7677" w:rsidP="009D7677">
      <w:pPr>
        <w:pStyle w:val="TextoNormal"/>
      </w:pPr>
      <w:r>
        <w:t>(i) Que se trate de un procedimiento de extradición regido por un convenio bilateral o multilateral que admita la posibilidad de que la petición de entrega pueda emanar de una autoridad distinta a la autoridad judicial en sentido estricto.</w:t>
      </w:r>
    </w:p>
    <w:p w14:paraId="564DAEC7" w14:textId="77777777" w:rsidR="009D7677" w:rsidRDefault="009D7677" w:rsidP="009D7677">
      <w:pPr>
        <w:pStyle w:val="TextoNormal"/>
      </w:pPr>
    </w:p>
    <w:p w14:paraId="2535029E" w14:textId="77777777" w:rsidR="009D7677" w:rsidRDefault="009D7677" w:rsidP="009D7677">
      <w:pPr>
        <w:pStyle w:val="TextoNormal"/>
      </w:pPr>
      <w:r>
        <w:t>(ii) Que el país requirente suministre información suficientemente expresiva de que se trata de una autoridad que, conforme a su legislación interna, está facultada para emitir una solicitud de extradición en condiciones equivalentes a las de una autoridad judicial.</w:t>
      </w:r>
    </w:p>
    <w:p w14:paraId="34BAF52D" w14:textId="77777777" w:rsidR="009D7677" w:rsidRDefault="009D7677" w:rsidP="009D7677">
      <w:pPr>
        <w:pStyle w:val="TextoNormal"/>
      </w:pPr>
    </w:p>
    <w:p w14:paraId="416B2A09" w14:textId="12FD51A5" w:rsidR="009D7677" w:rsidRDefault="009D7677" w:rsidP="009D7677">
      <w:pPr>
        <w:pStyle w:val="TextoNormal"/>
      </w:pPr>
      <w:r>
        <w:t>(iii) Que el contenido de la solicitud y de la documentación anexa proporcione a los órganos judiciales españoles la información necesaria para verificar que la misma resulta necesaria y proporcionada.</w:t>
      </w:r>
    </w:p>
    <w:p w14:paraId="662163AD" w14:textId="77777777" w:rsidR="009D7677" w:rsidRDefault="009D7677" w:rsidP="009D7677">
      <w:pPr>
        <w:pStyle w:val="TextoNormal"/>
      </w:pPr>
    </w:p>
    <w:p w14:paraId="24DE5493" w14:textId="77777777" w:rsidR="009D7677" w:rsidRDefault="009D7677" w:rsidP="009D7677">
      <w:pPr>
        <w:pStyle w:val="TextoNormal"/>
      </w:pPr>
      <w:r w:rsidRPr="009D7677">
        <w:rPr>
          <w:rStyle w:val="NumeroAFNegritaCaracter"/>
        </w:rPr>
        <w:t>5</w:t>
      </w:r>
      <w:r>
        <w:t xml:space="preserve">. </w:t>
      </w:r>
      <w:r w:rsidRPr="009D7677">
        <w:rPr>
          <w:i/>
        </w:rPr>
        <w:t>Análisis de la vulneración denunciada</w:t>
      </w:r>
    </w:p>
    <w:p w14:paraId="658DFAC6" w14:textId="77777777" w:rsidR="009D7677" w:rsidRDefault="009D7677" w:rsidP="009D7677">
      <w:pPr>
        <w:pStyle w:val="TextoNormal"/>
      </w:pPr>
    </w:p>
    <w:p w14:paraId="30E179BE" w14:textId="77777777" w:rsidR="009D7677" w:rsidRDefault="009D7677" w:rsidP="009D7677">
      <w:pPr>
        <w:pStyle w:val="TextoNormal"/>
      </w:pPr>
      <w:r>
        <w:t>El recurrente en amparo fue detenido en Sant Esteve Sesrovires (Barcelona) el 19 de octubre de 2020 y puesto a disposición del Juzgado Central de Instrucción núm. 2, que incoó el procedimiento de extradición pasiva núm. 35-2020, en virtud de una orden internacional de detención que dictó el fiscal del rey ante el Juzgado de Primera Instancia de Casablanca, que le atribuía la comisión de un delito de tráfico de drogas con exportación internacional.</w:t>
      </w:r>
    </w:p>
    <w:p w14:paraId="3655A204" w14:textId="77777777" w:rsidR="009D7677" w:rsidRDefault="009D7677" w:rsidP="009D7677">
      <w:pPr>
        <w:pStyle w:val="TextoNormal"/>
      </w:pPr>
    </w:p>
    <w:p w14:paraId="735BEE2E" w14:textId="77777777" w:rsidR="009D7677" w:rsidRDefault="009D7677" w:rsidP="009D7677">
      <w:pPr>
        <w:pStyle w:val="TextoNormal"/>
      </w:pPr>
      <w:r>
        <w:t>Acordada por el Consejo de Ministros la continuación del procedimiento en vía judicial, y cumplimentados los trámites del procedimiento judicial, la Sección Primera de la Sala de lo Penal de la Audiencia Nacional dictó el auto núm. 14/2021, de 22 de junio, por el que autorizó la entrega del demandante, por considerar que concurrían los requisitos establecidos en el Convenio de extradición entre el Reino de España y el Reino de Marruecos, suscrito en Rabat el 24 de junio de 2009, y los de la Ley 4/1985, de 21 de marzo, de extradición pasiva, en particular los requisitos de doble incriminación y mínimo punitivo exigidos en el art. 2.1 del Convenio bilateral.</w:t>
      </w:r>
    </w:p>
    <w:p w14:paraId="6620579E" w14:textId="77777777" w:rsidR="009D7677" w:rsidRDefault="009D7677" w:rsidP="009D7677">
      <w:pPr>
        <w:pStyle w:val="TextoNormal"/>
      </w:pPr>
    </w:p>
    <w:p w14:paraId="6165FFE2" w14:textId="77777777" w:rsidR="009D7677" w:rsidRDefault="009D7677" w:rsidP="009D7677">
      <w:pPr>
        <w:pStyle w:val="TextoNormal"/>
      </w:pPr>
      <w:r>
        <w:t>Interpuesto recurso de súplica fue desestimado en el auto núm. 50/2021, de 20 de julio, del Pleno de la Sala de lo Penal de la Audiencia Nacional.</w:t>
      </w:r>
    </w:p>
    <w:p w14:paraId="74C21DA8" w14:textId="77777777" w:rsidR="009D7677" w:rsidRDefault="009D7677" w:rsidP="009D7677">
      <w:pPr>
        <w:pStyle w:val="TextoNormal"/>
      </w:pPr>
    </w:p>
    <w:p w14:paraId="307F0164" w14:textId="77777777" w:rsidR="009D7677" w:rsidRDefault="009D7677" w:rsidP="009D7677">
      <w:pPr>
        <w:pStyle w:val="TextoNormal"/>
      </w:pPr>
      <w:r>
        <w:t>El demandante de amparo, don Noureddine El Moumni, combate estas resoluciones judiciales con el argumento de que, careciendo la orden de arresto emitida por el fiscal del rey de Marruecos de control judicial en dicho país, en el que, por otra parte, la orden de detención podría haber sido emitida también por un juez de instrucción, las resoluciones judiciales impugnadas que autorizaron la extradición en estas condiciones incumplieron la doctrina sentada en las SSTC 147/2020 y 147/2021, que interpreta en el sentido de que la falta de refrendo judicial equivale a una falta de necesidad y proporcionalidad de la medida.</w:t>
      </w:r>
    </w:p>
    <w:p w14:paraId="2A2CC408" w14:textId="77777777" w:rsidR="009D7677" w:rsidRDefault="009D7677" w:rsidP="009D7677">
      <w:pPr>
        <w:pStyle w:val="TextoNormal"/>
      </w:pPr>
    </w:p>
    <w:p w14:paraId="4B58393C" w14:textId="77777777" w:rsidR="009D7677" w:rsidRDefault="009D7677" w:rsidP="009D7677">
      <w:pPr>
        <w:pStyle w:val="TextoNormal"/>
      </w:pPr>
      <w:r>
        <w:t xml:space="preserve">De conformidad con lo que hemos expuesto en el anterior fundamento jurídico de esta sentencia, el planteamiento impugnatorio del demandante no puede ser asumido, pues el art. 12 a) del Convenio bilateral de extradición no exige el dictado de una resolución judicial como punto de partida de la solicitud de entrega, por lo que la documentación remitida en apoyo de la solicitud de extradición no queda fuera de la cobertura legal conformada por las fuentes aplicables. Por otra parte, la información complementaria remitida por el Estado requirente es suficientemente expresiva de la integración de la fiscalía en el órgano judicial, de sus condiciones de imparcialidad y del valor equivalente que la legislación del país otorga a las órdenes internacionales de arresto emitidas por el fiscal respecto de las </w:t>
      </w:r>
      <w:r>
        <w:lastRenderedPageBreak/>
        <w:t>emitidas por un juez de instrucción en el ámbito de su competencia, lo que excluye la necesidad de su validación judicial.</w:t>
      </w:r>
    </w:p>
    <w:p w14:paraId="0329C5F1" w14:textId="77777777" w:rsidR="009D7677" w:rsidRDefault="009D7677" w:rsidP="009D7677">
      <w:pPr>
        <w:pStyle w:val="TextoNormal"/>
      </w:pPr>
    </w:p>
    <w:p w14:paraId="69D38AEA" w14:textId="77777777" w:rsidR="009D7677" w:rsidRDefault="009D7677" w:rsidP="009D7677">
      <w:pPr>
        <w:pStyle w:val="TextoNormal"/>
      </w:pPr>
      <w:r>
        <w:t>La misión de los tribunales españoles se ha de limitar a depurar aquellas solicitudes de extradición que presenten indicios de falta de proporcionalidad o de fundamento, mediante el examen en concreto de las alegaciones y documentos aportados por la persona reclamada, y de las razones y documentos aportados por las autoridades requirentes junto con la petición de extradición o de aquellos otros que el tribunal español pueda solicitar como complemento de los anteriores.</w:t>
      </w:r>
    </w:p>
    <w:p w14:paraId="5815EFC5" w14:textId="77777777" w:rsidR="009D7677" w:rsidRDefault="009D7677" w:rsidP="009D7677">
      <w:pPr>
        <w:pStyle w:val="TextoNormal"/>
      </w:pPr>
    </w:p>
    <w:p w14:paraId="4A1677BF" w14:textId="77777777" w:rsidR="009D7677" w:rsidRDefault="009D7677" w:rsidP="009D7677">
      <w:pPr>
        <w:pStyle w:val="TextoNormal"/>
      </w:pPr>
      <w:r>
        <w:t>En este caso, la documentación remitida por las autoridades marroquíes por vía diplomática, que incluye la orden internacional de detención y la solicitud de extradición expedidas por el fiscal del rey, contiene una exposición circunstanciada tanto de los hechos imputados al demandante de amparo como de su calificación jurídica y de las diligencias de investigación practicadas bajo la dirección de la fiscalía marroquí, en cuyo resultado se funda dicha imputación, en términos que no permiten poner en duda la necesidad y proporcionalidad de su decisión de solicitar su entrega para asegurar su enjuiciamiento. Procede por ello declarar que las resoluciones judiciales impugnadas, al dar curso en vía jurisdiccional a dicha solicitud, no han vulnerado los derechos fundamentales sustantivos y procesales invocados en la demanda de amparo.</w:t>
      </w:r>
    </w:p>
    <w:p w14:paraId="2AB4F117" w14:textId="77777777" w:rsidR="009D7677" w:rsidRDefault="009D7677" w:rsidP="009D7677">
      <w:pPr>
        <w:pStyle w:val="TextoNormal"/>
      </w:pPr>
    </w:p>
    <w:p w14:paraId="6D2E17C3" w14:textId="7A91C928" w:rsidR="009D7677" w:rsidRDefault="009D7677" w:rsidP="009D7677">
      <w:pPr>
        <w:pStyle w:val="TextoNormal"/>
      </w:pPr>
      <w:r>
        <w:t>La queja se desestima.</w:t>
      </w:r>
    </w:p>
    <w:p w14:paraId="17237A88" w14:textId="77777777" w:rsidR="009D7677" w:rsidRDefault="009D7677" w:rsidP="009D7677">
      <w:pPr>
        <w:pStyle w:val="TextoNormal"/>
      </w:pPr>
    </w:p>
    <w:p w14:paraId="702B3D12" w14:textId="77777777" w:rsidR="009D7677" w:rsidRDefault="009D7677" w:rsidP="009D7677">
      <w:pPr>
        <w:pStyle w:val="TextoNormal"/>
      </w:pPr>
      <w:r w:rsidRPr="009D7677">
        <w:rPr>
          <w:rStyle w:val="NumeroAFNegritaCaracter"/>
        </w:rPr>
        <w:t>6</w:t>
      </w:r>
      <w:r>
        <w:t xml:space="preserve">. </w:t>
      </w:r>
      <w:r w:rsidRPr="009D7677">
        <w:rPr>
          <w:i/>
        </w:rPr>
        <w:t>Queja relativa a la vulneración del derecho a la tutela judicial efectiva en relación con el principio de legalidad por concurrir la prescripción del delito según el Derecho español</w:t>
      </w:r>
    </w:p>
    <w:p w14:paraId="45C07449" w14:textId="77777777" w:rsidR="009D7677" w:rsidRDefault="009D7677" w:rsidP="009D7677">
      <w:pPr>
        <w:pStyle w:val="TextoNormal"/>
      </w:pPr>
    </w:p>
    <w:p w14:paraId="2266228E" w14:textId="77777777" w:rsidR="009D7677" w:rsidRDefault="009D7677" w:rsidP="009D7677">
      <w:pPr>
        <w:pStyle w:val="TextoNormal"/>
      </w:pPr>
      <w:r>
        <w:t>Aduce el recurrente que los hechos por los que se le reclama ocurrieron el 29 de diciembre de 2012, y desde dicha fecha las únicas actuaciones practicadas en Marruecos han sido la orden internacional de detención y la solicitud de extradición, cursada el 20 de noviembre de 2021, más de nueve años después de los hechos. En el momento de solicitar la extradición el delito habría prescrito en España, puesto que la orden de detención emitida por el fiscal el 20 de abril de 2017 no es una resolución judicial y no tendría efectos interruptivos de la prescripción. Únicamente las resoluciones judiciales tienen en nuestro ordenamiento virtualidad para interrumpir la prescripción.</w:t>
      </w:r>
    </w:p>
    <w:p w14:paraId="4A5B6851" w14:textId="77777777" w:rsidR="009D7677" w:rsidRDefault="009D7677" w:rsidP="009D7677">
      <w:pPr>
        <w:pStyle w:val="TextoNormal"/>
      </w:pPr>
    </w:p>
    <w:p w14:paraId="0D722A1E" w14:textId="77777777" w:rsidR="009D7677" w:rsidRDefault="009D7677" w:rsidP="009D7677">
      <w:pPr>
        <w:pStyle w:val="TextoNormal"/>
      </w:pPr>
      <w:r>
        <w:t>Los órganos judiciales consideran que los hechos son constitutivos, según el Derecho español, de un delito de tráfico de drogas que no causa grave daño a la salud en el que concurre el subtipo agravado de notoria importancia, con un plazo de prescripción de cinco años, por lo que los hechos no están prescritos desde el punto de vista de nuestro Derecho porque la prescripción se interrumpió con la orden de detención internacional de 20 de abril de 2017, que cumplía todos los elementos para ser considerada un acto de prosecución del procedimiento, por contener un relato del avance de la investigación y de los elementos de identificación del reclamado y de determinación de su participación en los hechos.</w:t>
      </w:r>
    </w:p>
    <w:p w14:paraId="2E3A03B8" w14:textId="77777777" w:rsidR="009D7677" w:rsidRDefault="009D7677" w:rsidP="009D7677">
      <w:pPr>
        <w:pStyle w:val="TextoNormal"/>
      </w:pPr>
    </w:p>
    <w:p w14:paraId="50058DCD" w14:textId="77777777" w:rsidR="009D7677" w:rsidRDefault="009D7677" w:rsidP="009D7677">
      <w:pPr>
        <w:pStyle w:val="TextoNormal"/>
      </w:pPr>
      <w:r>
        <w:t>De otra parte, es doctrina reiterada de este tribunal que “la apreciación en cada caso concreto de la concurrencia o no de la prescripción como causa extintiva de la responsabi</w:t>
      </w:r>
      <w:r>
        <w:lastRenderedPageBreak/>
        <w:t>lidad criminal es una cuestión de legalidad que corresponde decidir a los tribunales ordinarios y que carece, por su propio contenido, de relevancia constitucional”, lo que no significa que cualquiera que sea la decisión que se adopte en materia de prescripción resulte irrevisable a través del recurso de amparo. Por lo que se refiere a la determinación del canon aplicable para proceder en cada caso a la revisión de una decisión judicial apreciando o denegando la existencia de prescripción, hemos declarado que “es el propio del art. 24 CE, en cuanto exige para entender otorgada la tutela judicial efectiva que la pretensión sea resuelta mediante una resolución que sea razonada, es decir, basada en una argumentación no arbitraria, ni manifiestamente irrazonable, ni incursa en error patente” (SSTC 214/1999, de 29 de noviembre, FJ 4, y 63/2005, de 14 de marzo, FJ 3).</w:t>
      </w:r>
    </w:p>
    <w:p w14:paraId="149170C5" w14:textId="77777777" w:rsidR="009D7677" w:rsidRDefault="009D7677" w:rsidP="009D7677">
      <w:pPr>
        <w:pStyle w:val="TextoNormal"/>
      </w:pPr>
    </w:p>
    <w:p w14:paraId="6A9FB302" w14:textId="77777777" w:rsidR="009D7677" w:rsidRDefault="009D7677" w:rsidP="009D7677">
      <w:pPr>
        <w:pStyle w:val="TextoNormal"/>
      </w:pPr>
      <w:r>
        <w:t>La argumentación de los órganos judiciales no es irrazonable, y se encuadra en un problema de legalidad ordinaria. A efectos de la extradición, lo relevante es la existencia de un acto material interruptivo de la prescripción en el país requirente. Este acto se ha producido conforme a las previsiones del Derecho marroquí. El hecho de que formalmente en nuestro modelo procesal ese acto deba realizarlo un juez no es suficiente para rechazar otros modelos en los que se prevea que ese acto sea realizado por autoridades diversas, con la consecuencia, en caso contrario, de considerar prescritos los hechos en España después de haberse realizado un trasvase en bloque de nuestro sistema procesal a otro no absolutamente coincidente.</w:t>
      </w:r>
    </w:p>
    <w:p w14:paraId="10AD079B" w14:textId="77777777" w:rsidR="009D7677" w:rsidRDefault="009D7677" w:rsidP="009D7677">
      <w:pPr>
        <w:pStyle w:val="TextoNormal"/>
      </w:pPr>
    </w:p>
    <w:p w14:paraId="4495B58E" w14:textId="59098393" w:rsidR="009D7677" w:rsidRDefault="009D7677" w:rsidP="009D7677">
      <w:pPr>
        <w:pStyle w:val="TextoNormal"/>
      </w:pPr>
      <w:r>
        <w:t>La queja se desestima.</w:t>
      </w:r>
    </w:p>
    <w:p w14:paraId="4F0357F2" w14:textId="77777777" w:rsidR="009D7677" w:rsidRDefault="009D7677" w:rsidP="009D7677">
      <w:pPr>
        <w:pStyle w:val="TextoNormal"/>
      </w:pPr>
    </w:p>
    <w:p w14:paraId="37FC3A1E" w14:textId="77777777" w:rsidR="009D7677" w:rsidRDefault="009D7677" w:rsidP="009D7677">
      <w:pPr>
        <w:pStyle w:val="TextoNormal"/>
      </w:pPr>
      <w:r w:rsidRPr="009D7677">
        <w:rPr>
          <w:rStyle w:val="NumeroAFNegritaCaracter"/>
        </w:rPr>
        <w:t>7</w:t>
      </w:r>
      <w:r>
        <w:t xml:space="preserve">. </w:t>
      </w:r>
      <w:r w:rsidRPr="009D7677">
        <w:rPr>
          <w:i/>
        </w:rPr>
        <w:t>Queja referida al riesgo de sufrir tratos inhumanos o degradantes</w:t>
      </w:r>
    </w:p>
    <w:p w14:paraId="740B95B8" w14:textId="77777777" w:rsidR="009D7677" w:rsidRDefault="009D7677" w:rsidP="009D7677">
      <w:pPr>
        <w:pStyle w:val="TextoNormal"/>
      </w:pPr>
    </w:p>
    <w:p w14:paraId="2E5EE887" w14:textId="77777777" w:rsidR="009D7677" w:rsidRDefault="009D7677" w:rsidP="009D7677">
      <w:pPr>
        <w:pStyle w:val="TextoNormal"/>
      </w:pPr>
      <w:r>
        <w:t>En su tercera queja, el recurrente entiende que se han vulnerado los derechos a un proceso con todas las garantías (art. 24.2 CE), a la integridad física y moral y a no ser sometido a torturas ni tratos inhumanos o degradantes (art. 15 CE). En el desarrollo de esta queja señala que aportó material probatorio suficiente sobre la situación deficitaria de los derechos humanos en Marruecos (informes de Amnistía Internacional y de la Comisión Española de Ayuda al Refugiado, notas de medios de comunicación). Añade que alegó que conforme al Código penal de Marruecos todo condenado a pena privativa de libertad debe realizar trabajos forzados; y que expuso que existían dificultades de acceso a un abogado y que no se investigan las denuncias de torturas o malos tratos, por lo que las resoluciones judiciales impugnadas generan el riesgo de que sobre el recurrente se materialicen tales vulneraciones de derechos humanos. Este riesgo también se produce por las deficitarias condiciones de las prisiones del país reclamante y la obligación de realizar trabajos forzados, lo que atenta contra la prohibición de la esclavitud y del trabajo forzado que se contiene en el art. 4.2 CEDH. También se constata en informes internacionales el riesgo de sufrir internamiento en aislamiento durante periodos largos de tiempo y restricción de visitas familiares.</w:t>
      </w:r>
    </w:p>
    <w:p w14:paraId="71AF137E" w14:textId="77777777" w:rsidR="009D7677" w:rsidRDefault="009D7677" w:rsidP="009D7677">
      <w:pPr>
        <w:pStyle w:val="TextoNormal"/>
      </w:pPr>
    </w:p>
    <w:p w14:paraId="1C149C65" w14:textId="77777777" w:rsidR="009D7677" w:rsidRDefault="009D7677" w:rsidP="009D7677">
      <w:pPr>
        <w:pStyle w:val="TextoNormal"/>
      </w:pPr>
      <w:r>
        <w:t xml:space="preserve">Ahora bien, como se recuerda en la STC 199/2009, de 28 de septiembre, FJ 2, para que el órgano judicial español competente pueda denegar la entrega del reclamado en virtud del procedimiento extradicional o de una orden europea de detención y entrega con fundamento en la existencia de un riesgo relevante de vulneración de los derechos del reclamado a la vida o la integridad física y moral (art. 15 CE) en caso de accederse a la entrega, es preciso que el reclamado haya aportado determinados y concretos elementos que sirvan </w:t>
      </w:r>
      <w:r>
        <w:lastRenderedPageBreak/>
        <w:t>de apoyo razonable a su argumentación. Esto implica que el temor o riesgo aducidos han de ser fundados, en el sentido de mínimamente acreditados por el propio reclamado, a través de concretas alegaciones en relación a su persona y derechos, y sin que sea suficiente la formulación de alusiones o alegaciones genéricas sobre la situación del país (entre otras, STC 91/2000, de 30 de marzo, FJ 8; 32/2003, de 13 de febrero, FJ 7; 148/2004, de 13 de septiembre, FJ 8, y 140/2007, de 4 de junio, FJ 2).</w:t>
      </w:r>
    </w:p>
    <w:p w14:paraId="400EBD9C" w14:textId="77777777" w:rsidR="009D7677" w:rsidRDefault="009D7677" w:rsidP="009D7677">
      <w:pPr>
        <w:pStyle w:val="TextoNormal"/>
      </w:pPr>
    </w:p>
    <w:p w14:paraId="41669E18" w14:textId="77777777" w:rsidR="009D7677" w:rsidRDefault="009D7677" w:rsidP="009D7677">
      <w:pPr>
        <w:pStyle w:val="TextoNormal"/>
      </w:pPr>
      <w:r>
        <w:t xml:space="preserve">En el presente caso, como han puesto de manifiesto los órganos jurisdiccionales, el recurrente hace alusiones genéricas a la situación de las prisiones del país reclamante, a su sistema judicial y policial, a denuncias de vulneraciones constantes de derechos fundamentales en su sistema penal, pero no efectúa alegaciones concretas en relación con su persona y derechos que entrañen una específica situación de peligro para sus derechos. Por otra parte, que la legislación del Estado que promueve la extradición prevea el trabajo penitenciario obligatorio, sea en el interior o en el exterior de los centros penitenciarios, no equivale a trabajos forzados. Que el trabajo sea obligatorio no implica que “vaya más allá de lo que es ‘ordinario’ en este contexto, en cuanto que está pensado para ayudarle a reintegrarse en la sociedad y tiene como base legal previsiones que hallan un equivalente en otros Estados miembros del Consejo de Europa” (STEDH 24 de junio de 1982, asunto </w:t>
      </w:r>
      <w:r w:rsidRPr="009D7677">
        <w:rPr>
          <w:i/>
        </w:rPr>
        <w:t>Van Droogenbroeck c. Bélgica</w:t>
      </w:r>
      <w:r>
        <w:t>, § 59).</w:t>
      </w:r>
    </w:p>
    <w:p w14:paraId="5EDDFC04" w14:textId="77777777" w:rsidR="009D7677" w:rsidRDefault="009D7677" w:rsidP="009D7677">
      <w:pPr>
        <w:pStyle w:val="TextoNormal"/>
      </w:pPr>
    </w:p>
    <w:p w14:paraId="30C1EEEF" w14:textId="051A17DF" w:rsidR="009D7677" w:rsidRDefault="009D7677" w:rsidP="009D7677">
      <w:pPr>
        <w:pStyle w:val="TextoNormal"/>
      </w:pPr>
      <w:r>
        <w:t>El motivo se desestima.</w:t>
      </w:r>
    </w:p>
    <w:p w14:paraId="42E509E6" w14:textId="77777777" w:rsidR="009D7677" w:rsidRDefault="009D7677" w:rsidP="009D7677">
      <w:pPr>
        <w:pStyle w:val="TextoNormal"/>
      </w:pPr>
    </w:p>
    <w:p w14:paraId="6357193B" w14:textId="77777777" w:rsidR="009D7677" w:rsidRDefault="009D7677" w:rsidP="009D7677">
      <w:pPr>
        <w:pStyle w:val="TextoNormalCentrado"/>
        <w:keepNext/>
      </w:pPr>
      <w:r>
        <w:t>FALLO</w:t>
      </w:r>
    </w:p>
    <w:p w14:paraId="5538D8F5" w14:textId="00E81AC1" w:rsidR="009D7677" w:rsidRDefault="009D7677" w:rsidP="009D7677">
      <w:pPr>
        <w:pStyle w:val="TextoNormalCentrado"/>
        <w:keepNext/>
      </w:pPr>
    </w:p>
    <w:p w14:paraId="750884E2" w14:textId="62DEB947" w:rsidR="009D7677" w:rsidRDefault="009D7677" w:rsidP="009D7677">
      <w:pPr>
        <w:pStyle w:val="TextoNormal"/>
      </w:pPr>
      <w:r>
        <w:t>En atención a todo lo expuesto, el Tribunal Constitucional, por la autoridad que le confiere la Constitución de la Nación española, ha decidido desestimar el presente recurso de amparo.</w:t>
      </w:r>
    </w:p>
    <w:p w14:paraId="0661FA82" w14:textId="77777777" w:rsidR="009D7677" w:rsidRDefault="009D7677" w:rsidP="009D7677">
      <w:pPr>
        <w:pStyle w:val="TextoNormal"/>
      </w:pPr>
    </w:p>
    <w:p w14:paraId="7C5440EB" w14:textId="77777777" w:rsidR="009D7677" w:rsidRDefault="009D7677" w:rsidP="009D7677">
      <w:pPr>
        <w:pStyle w:val="TextoNormal"/>
      </w:pPr>
      <w:r>
        <w:t>Publíquese esta sentencia en el “Boletín Oficial del Estado”.</w:t>
      </w:r>
    </w:p>
    <w:p w14:paraId="35315469" w14:textId="77777777" w:rsidR="009D7677" w:rsidRDefault="009D7677" w:rsidP="009D7677">
      <w:pPr>
        <w:pStyle w:val="TextoNormal"/>
      </w:pPr>
      <w:r>
        <w:t>Dada en Madrid, a once de marzo de dos mil veinticuatro.</w:t>
      </w:r>
    </w:p>
    <w:p w14:paraId="09E832F6" w14:textId="2BF7B42D" w:rsidR="009D7677" w:rsidRDefault="009D7677">
      <w:pPr>
        <w:spacing w:after="160" w:line="259" w:lineRule="auto"/>
        <w:rPr>
          <w:rFonts w:ascii="Times New Roman" w:eastAsia="Times New Roman" w:hAnsi="Times New Roman" w:cs="Times New Roman"/>
          <w:sz w:val="24"/>
          <w:szCs w:val="24"/>
          <w:lang w:eastAsia="es-ES"/>
        </w:rPr>
      </w:pPr>
      <w:r>
        <w:br w:type="page"/>
      </w:r>
    </w:p>
    <w:p w14:paraId="367CBFC6" w14:textId="77777777" w:rsidR="009D7677" w:rsidRDefault="009D7677" w:rsidP="009D7677">
      <w:pPr>
        <w:pStyle w:val="TtuloResolucin"/>
      </w:pPr>
      <w:bookmarkStart w:id="37" w:name="SENTENCIA_2024_35"/>
      <w:r>
        <w:lastRenderedPageBreak/>
        <w:t>SENTENCIA 35/2024, de 11 de marzo de 2024</w:t>
      </w:r>
    </w:p>
    <w:bookmarkEnd w:id="37"/>
    <w:p w14:paraId="537AEAD7" w14:textId="77777777" w:rsidR="009D7677" w:rsidRDefault="009D7677" w:rsidP="009D7677">
      <w:pPr>
        <w:pStyle w:val="TtuloResolucin"/>
      </w:pPr>
      <w:r>
        <w:t>Sala Segunda</w:t>
      </w:r>
    </w:p>
    <w:p w14:paraId="3B081A3D" w14:textId="77777777" w:rsidR="009D7677" w:rsidRDefault="009D7677" w:rsidP="009D7677">
      <w:pPr>
        <w:pStyle w:val="TtuloBOE"/>
      </w:pPr>
      <w:r>
        <w:t>(BOE núm. 99, de 23 de abril de 2024)</w:t>
      </w:r>
    </w:p>
    <w:p w14:paraId="498B3E54" w14:textId="77777777" w:rsidR="009D7677" w:rsidRDefault="009D7677" w:rsidP="009D7677">
      <w:pPr>
        <w:pStyle w:val="TextoNormalCentrado"/>
      </w:pPr>
      <w:r>
        <w:t>ECLI:ES:TC:2024:35</w:t>
      </w:r>
    </w:p>
    <w:p w14:paraId="7154F5C5" w14:textId="63658AD0" w:rsidR="009D7677" w:rsidRDefault="009D7677" w:rsidP="009D7677">
      <w:pPr>
        <w:pStyle w:val="TextoNormalCentrado"/>
      </w:pPr>
    </w:p>
    <w:p w14:paraId="190A90C6" w14:textId="77777777" w:rsidR="009D7677" w:rsidRDefault="009D7677" w:rsidP="009D7677">
      <w:pPr>
        <w:pStyle w:val="SntesisDescriptiva"/>
      </w:pPr>
      <w:r>
        <w:t>Recurso de amparo 7311-2021. Promovido por don Carlos Alberto García Cruz en relación con los autos dictados por la Audiencia Provincial de Las Palmas y un juzgado de instrucción de su capital que archivaron su denuncia de tratos degradantes.</w:t>
      </w:r>
    </w:p>
    <w:p w14:paraId="5C6E3992" w14:textId="0BA376A0" w:rsidR="009D7677" w:rsidRDefault="009D7677" w:rsidP="009D7677">
      <w:pPr>
        <w:pStyle w:val="SntesisDescriptiva"/>
      </w:pPr>
    </w:p>
    <w:p w14:paraId="5B1BC2BB" w14:textId="77777777" w:rsidR="009D7677" w:rsidRDefault="009D7677" w:rsidP="009D7677">
      <w:pPr>
        <w:pStyle w:val="SntesisAnaltica"/>
      </w:pPr>
      <w:r>
        <w:t>Vulneración del derecho a la tutela judicial efectiva, en relación con el derecho a la integridad física y moral: investigación insuficiente de una denuncia de tratos degradantes que se dicen padecidos durante su estancia en prisión (STC 12/2022). Voto particular.</w:t>
      </w:r>
    </w:p>
    <w:p w14:paraId="49B549E3" w14:textId="1AE194F2" w:rsidR="009D7677" w:rsidRDefault="009D7677" w:rsidP="009D7677">
      <w:pPr>
        <w:pStyle w:val="SntesisAnaltica"/>
      </w:pPr>
    </w:p>
    <w:p w14:paraId="326FF980" w14:textId="42AF2426" w:rsidR="009D7677" w:rsidRDefault="009D7677" w:rsidP="009D7677">
      <w:pPr>
        <w:pStyle w:val="Extracto"/>
      </w:pPr>
      <w:r>
        <w:t>1.</w:t>
      </w:r>
      <w:r>
        <w:tab/>
        <w:t>Aplicación de la doctrina constitucional en materia de investigación judicial suficiente y eficaz, precisa en los casos de denuncias por torturas y tratos inhumamos o degradantes, en el ámbito de la custodia de persona detenida por los agentes de las Fuerzas y cuerpos de seguridad del Estado (SSTC 34/2008, 12/2022 o 13/2022) [FJ 2].</w:t>
      </w:r>
    </w:p>
    <w:p w14:paraId="35EBF681" w14:textId="77777777" w:rsidR="009D7677" w:rsidRDefault="009D7677" w:rsidP="009D7677">
      <w:pPr>
        <w:pStyle w:val="Extracto"/>
      </w:pPr>
    </w:p>
    <w:p w14:paraId="4EEB2574" w14:textId="77777777" w:rsidR="009D7677" w:rsidRDefault="009D7677" w:rsidP="009D7677">
      <w:pPr>
        <w:pStyle w:val="Extracto"/>
      </w:pPr>
    </w:p>
    <w:p w14:paraId="6CA6A186" w14:textId="77777777" w:rsidR="009D7677" w:rsidRDefault="009D7677" w:rsidP="009D7677">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1F36FB78" w14:textId="62D6FCA1" w:rsidR="009D7677" w:rsidRDefault="009D7677" w:rsidP="009D7677">
      <w:pPr>
        <w:pStyle w:val="TextoNormal"/>
      </w:pPr>
    </w:p>
    <w:p w14:paraId="5BEBB609" w14:textId="77777777" w:rsidR="009D7677" w:rsidRDefault="009D7677" w:rsidP="009D7677">
      <w:pPr>
        <w:pStyle w:val="TextoNormalCentrado"/>
        <w:keepNext/>
      </w:pPr>
      <w:r>
        <w:t>EN NOMBRE DEL REY</w:t>
      </w:r>
    </w:p>
    <w:p w14:paraId="7D2B921C" w14:textId="0B913004" w:rsidR="009D7677" w:rsidRDefault="009D7677" w:rsidP="009D7677">
      <w:pPr>
        <w:pStyle w:val="TextoNormalCentrado"/>
        <w:keepNext/>
      </w:pPr>
    </w:p>
    <w:p w14:paraId="06AB8BCE" w14:textId="77777777" w:rsidR="009D7677" w:rsidRDefault="009D7677" w:rsidP="009D7677">
      <w:pPr>
        <w:pStyle w:val="TextoNormalCentrado"/>
        <w:keepNext/>
      </w:pPr>
    </w:p>
    <w:p w14:paraId="2C77139D" w14:textId="77777777" w:rsidR="009D7677" w:rsidRDefault="009D7677" w:rsidP="009D7677">
      <w:pPr>
        <w:pStyle w:val="TextoNormal"/>
      </w:pPr>
      <w:r>
        <w:t>la siguiente</w:t>
      </w:r>
    </w:p>
    <w:p w14:paraId="46D71D7B" w14:textId="4592D15F" w:rsidR="009D7677" w:rsidRDefault="009D7677" w:rsidP="009D7677">
      <w:pPr>
        <w:pStyle w:val="TextoNormal"/>
      </w:pPr>
    </w:p>
    <w:p w14:paraId="0722BDC7" w14:textId="77777777" w:rsidR="009D7677" w:rsidRDefault="009D7677" w:rsidP="009D7677">
      <w:pPr>
        <w:pStyle w:val="TextoNormalCentrado"/>
        <w:keepNext/>
      </w:pPr>
      <w:r>
        <w:t>SENTENCIA</w:t>
      </w:r>
    </w:p>
    <w:p w14:paraId="76738FFC" w14:textId="4A67B1F4" w:rsidR="009D7677" w:rsidRDefault="009D7677" w:rsidP="009D7677">
      <w:pPr>
        <w:pStyle w:val="TextoNormalCentrado"/>
        <w:keepNext/>
      </w:pPr>
    </w:p>
    <w:p w14:paraId="62EE57CC" w14:textId="77777777" w:rsidR="009D7677" w:rsidRDefault="009D7677" w:rsidP="009D7677">
      <w:pPr>
        <w:pStyle w:val="TextoNormal"/>
      </w:pPr>
      <w:r>
        <w:t>En el recurso de amparo núm. 7311-2021, promovido por don Carlos Alberto García Cruz contra los autos de 15 de abril y de 28 de mayo de 2021, dictados por el Juzgado de Instrucción núm. 4 de Las Palmas de Gran Canaria en las diligencias previas núm. 5807-2018, y contra el auto núm. 769/2021, de 27 de septiembre, de la Sección Segunda de la Audiencia Provincial de Las Palmas, dictado en el recurso de apelación núm. 738-2021. Ha intervenido el Ministerio Fiscal. Ha sido ponente la magistrada doña Laura Díez Bueso.</w:t>
      </w:r>
    </w:p>
    <w:p w14:paraId="4D25421C" w14:textId="380CED0A" w:rsidR="009D7677" w:rsidRDefault="009D7677" w:rsidP="009D7677">
      <w:pPr>
        <w:pStyle w:val="TextoNormal"/>
      </w:pPr>
    </w:p>
    <w:p w14:paraId="3FB5E90A" w14:textId="77777777" w:rsidR="009D7677" w:rsidRDefault="009D7677" w:rsidP="009D7677">
      <w:pPr>
        <w:pStyle w:val="TextoNormalNegritaCentrado"/>
        <w:keepNext/>
      </w:pPr>
      <w:r>
        <w:t>I. Antecedentes</w:t>
      </w:r>
    </w:p>
    <w:p w14:paraId="0105D312" w14:textId="577F0A2B" w:rsidR="009D7677" w:rsidRDefault="009D7677" w:rsidP="009D7677">
      <w:pPr>
        <w:pStyle w:val="TextoNormalNegritaCentrado"/>
        <w:keepNext/>
      </w:pPr>
    </w:p>
    <w:p w14:paraId="41AFF249" w14:textId="032ACC58" w:rsidR="009D7677" w:rsidRDefault="009D7677" w:rsidP="009D7677">
      <w:pPr>
        <w:pStyle w:val="TextoNormal"/>
      </w:pPr>
      <w:r w:rsidRPr="009D7677">
        <w:rPr>
          <w:rStyle w:val="NumeroAFNegritaCaracter"/>
        </w:rPr>
        <w:t>1</w:t>
      </w:r>
      <w:r>
        <w:t xml:space="preserve">. Don Carlos Alberto García Cruz, representado por la procuradora de los tribunales doña María Eugenia Pato Sanz y asistido de la abogada doña Francisca Ruiz López, interpuso recurso de amparo contra las resoluciones que se mencionan en el encabezamiento, </w:t>
      </w:r>
      <w:r>
        <w:lastRenderedPageBreak/>
        <w:t>mediante escrito presentado en el registro electrónico de este tribunal el 17 de noviembre de 2021.</w:t>
      </w:r>
    </w:p>
    <w:p w14:paraId="16CC0ECE" w14:textId="77777777" w:rsidR="009D7677" w:rsidRDefault="009D7677" w:rsidP="009D7677">
      <w:pPr>
        <w:pStyle w:val="TextoNormal"/>
      </w:pPr>
    </w:p>
    <w:p w14:paraId="32927D21" w14:textId="77777777" w:rsidR="009D7677" w:rsidRDefault="009D7677" w:rsidP="009D7677">
      <w:pPr>
        <w:pStyle w:val="TextoNormal"/>
      </w:pPr>
      <w:r w:rsidRPr="009D7677">
        <w:rPr>
          <w:rStyle w:val="NumeroAFNegritaCaracter"/>
        </w:rPr>
        <w:t>2</w:t>
      </w:r>
      <w:r>
        <w:t>. Los antecedentes relevantes para resolver el recurso son los siguientes:</w:t>
      </w:r>
    </w:p>
    <w:p w14:paraId="301E7CB4" w14:textId="77777777" w:rsidR="009D7677" w:rsidRDefault="009D7677" w:rsidP="009D7677">
      <w:pPr>
        <w:pStyle w:val="TextoNormal"/>
      </w:pPr>
    </w:p>
    <w:p w14:paraId="626CD0E0" w14:textId="77777777" w:rsidR="009D7677" w:rsidRDefault="009D7677" w:rsidP="009D7677">
      <w:pPr>
        <w:pStyle w:val="TextoNormal"/>
      </w:pPr>
      <w:r>
        <w:t>a) El recurrente en amparo remitió, desde el Centro Penitenciario Madrid VII (Estremera), en el que permaneció hasta su excarcelación el 24 de mayo de 2019, al Juzgado de Vigilancia Penitenciaria núm. 1 de Las Palmas de Gran Canaria, una queja manuscrita, firmada el 5 de diciembre de 2018, en la que relataba que cuando estuvo interno como preso preventivo, desde el 6 de mayo al 16 de octubre de 2018, en el Centro Penitenciario Las Palmas I (Salto del Negro), fue objeto de tratos degradantes por parte de funcionarios de prisiones a quienes identificaba solo por su nombre o por su cargo.</w:t>
      </w:r>
    </w:p>
    <w:p w14:paraId="2DCA4806" w14:textId="77777777" w:rsidR="009D7677" w:rsidRDefault="009D7677" w:rsidP="009D7677">
      <w:pPr>
        <w:pStyle w:val="TextoNormal"/>
      </w:pPr>
    </w:p>
    <w:p w14:paraId="5C5D5B63" w14:textId="77777777" w:rsidR="009D7677" w:rsidRDefault="009D7677" w:rsidP="009D7677">
      <w:pPr>
        <w:pStyle w:val="TextoNormal"/>
      </w:pPr>
      <w:r>
        <w:t>En su escrito explicaba que, debido a su condición de policía nacional, se le aplicó el régimen FIES 4 (siglas de fichero de internos de especial seguimiento; el 4 alude al colectivo de fuerzas de seguridad y funcionarios de instituciones penitenciarias), y que desarrolló su régimen de vida en el módulo de ingresos al no contar el centro con un módulo específico para este colectivo. Los funcionarios denunciados —proseguía el escrito— se quejaban de las molestias y del incremento de trabajo que tal carencia les causaba. A raíz de un incidente por el uso del teléfono en el que se vieron involucrados, otro interno FIES 4 y un interno auxiliar, comenzó a sufrir tratos degradantes.</w:t>
      </w:r>
    </w:p>
    <w:p w14:paraId="688CE10A" w14:textId="77777777" w:rsidR="009D7677" w:rsidRDefault="009D7677" w:rsidP="009D7677">
      <w:pPr>
        <w:pStyle w:val="TextoNormal"/>
      </w:pPr>
    </w:p>
    <w:p w14:paraId="00334ED0" w14:textId="77777777" w:rsidR="009D7677" w:rsidRDefault="009D7677" w:rsidP="009D7677">
      <w:pPr>
        <w:pStyle w:val="TextoNormal"/>
      </w:pPr>
      <w:r>
        <w:t>El recurrente reflejaba en su queja, como hechos que consideraba constitutivos de una situación de maltrato, lo siguiente: (i) ser objeto de expresiones que consideraba amenazantes, vejatorias o represalias (“como no puedo putear solo […], los tengo que putear a los tres”, “me corro de gusto puteándolos”, “[e]sto es un pulso a ver quién la tiene más larga”, “que es por haber escrito, que no escribamos”); (ii) verse obligado a simultanear, el 10 de agosto de 2018, el uso del patio con el colectivo de presos comunes, hecho que le generó un estrés que no desapareció, aunque no se produjese ningún episodio violento, y por el que el jefe de servicio le recibió declaración el día 7 de septiembre de 2018; (iii) ser sometido a horarios restrictivos y gravosos por estar, a su juicio, como un preso clasificado en primer grado, impidiéndole descansar en la celda después de comer o ir al gimnasio; (iv) ser privado sin justificación de comunicaciones íntimas con su pareja —lo que dio lugar a que por auto de 6 de noviembre de 2018 del citado Juzgado de Vigilancia Penitenciaria núm. 1 se estimase una queja por este motivo— o de su derecho a comunicarse con el mundo exterior; y (v) no poder llevarse su petate el día de su traslado a Madrid, el 16 de octubre de 2018, dejando constancia en el escrito de que aún no había recuperado sus pertenencias. Sobre este último hecho, el Juzgado de Vigilancia Penitenciaria núm. 1 de las Palmas de Gran Canaria, mediante auto de 12 de abril de 2019, estimó una queja del interno con un pronunciamiento declarativo sobre “inconcebible tardanza padecida en relación [con] la entrega de sus pertenencias”, que dejaba expedita la vía de la responsabilidad patrimonial por el extravío.</w:t>
      </w:r>
    </w:p>
    <w:p w14:paraId="35A0AD35" w14:textId="77777777" w:rsidR="009D7677" w:rsidRDefault="009D7677" w:rsidP="009D7677">
      <w:pPr>
        <w:pStyle w:val="TextoNormal"/>
      </w:pPr>
    </w:p>
    <w:p w14:paraId="401931A7" w14:textId="77777777" w:rsidR="009D7677" w:rsidRDefault="009D7677" w:rsidP="009D7677">
      <w:pPr>
        <w:pStyle w:val="TextoNormal"/>
      </w:pPr>
      <w:r>
        <w:t xml:space="preserve">Se quejaba asimismo de que se dirigió por escrito denunciando los hechos al director, al subdirector de seguridad y al psicólogo del centro y de que estos no le hicieron caso. Solicitaba la práctica de las diligencias siguientes para acreditar sus alegaciones: la declaración de los testigos que estaban en el patio el día 10 de agosto de 2018 y de auxiliares, los informes médicos sobre el aumento de su medicación, las instancias y cartas remitidas </w:t>
      </w:r>
      <w:r>
        <w:lastRenderedPageBreak/>
        <w:t>quejándose de su situación, las órdenes de dirección 320/2018 y 328/2018, y la declaración del jefe de servicio, director y funcionarios que alegaron total desconocimiento de las vejaciones y amenazas, pese a las cartas e instancias que les remitió.</w:t>
      </w:r>
    </w:p>
    <w:p w14:paraId="156D0B00" w14:textId="77777777" w:rsidR="009D7677" w:rsidRDefault="009D7677" w:rsidP="009D7677">
      <w:pPr>
        <w:pStyle w:val="TextoNormal"/>
      </w:pPr>
    </w:p>
    <w:p w14:paraId="6D046AE5" w14:textId="77777777" w:rsidR="009D7677" w:rsidRDefault="009D7677" w:rsidP="009D7677">
      <w:pPr>
        <w:pStyle w:val="TextoNormal"/>
      </w:pPr>
      <w:r>
        <w:t>b) Recibida la queja, por decreto de 14 de diciembre de 2018 del letrado de la Administración de Justicia del Juzgado de Vigilancia Penitenciaria núm. 1 de las Palmas de Gran Canaria se incoó expediente de queja núm. 3419-2019; y, mediante auto del juzgado de ese mismo día, se acordó la inhibición del conocimiento del expediente a favor del juzgado de guardia, a “la vista de las manifestaciones formuladas por el/la interno, pudiendo ser los hechos constitutivos de la realización un presunto hecho delictivo”.</w:t>
      </w:r>
    </w:p>
    <w:p w14:paraId="6E400726" w14:textId="77777777" w:rsidR="009D7677" w:rsidRDefault="009D7677" w:rsidP="009D7677">
      <w:pPr>
        <w:pStyle w:val="TextoNormal"/>
      </w:pPr>
    </w:p>
    <w:p w14:paraId="7CC1567F" w14:textId="77777777" w:rsidR="009D7677" w:rsidRDefault="009D7677" w:rsidP="009D7677">
      <w:pPr>
        <w:pStyle w:val="TextoNormal"/>
      </w:pPr>
      <w:r>
        <w:t>c) El Juzgado de Instrucción núm. 4 de Las Palmas de Gran Canaria, al que se turnó la queja inhibida, dictó auto de 18 de diciembre de 2018 de incoación de las diligencias previas núm. 5807-2018 y acordó en el mismo auto el sobreseimiento provisional de la causa al no aparecer debidamente justificada la perpetración del delito que dio lugar a su incoación, conforme a lo dispuesto en el art. 641.1 de la Ley de enjuiciamiento criminal (LECrim).</w:t>
      </w:r>
    </w:p>
    <w:p w14:paraId="12091FD7" w14:textId="77777777" w:rsidR="009D7677" w:rsidRDefault="009D7677" w:rsidP="009D7677">
      <w:pPr>
        <w:pStyle w:val="TextoNormal"/>
      </w:pPr>
    </w:p>
    <w:p w14:paraId="03B0DA51" w14:textId="77777777" w:rsidR="009D7677" w:rsidRDefault="009D7677" w:rsidP="009D7677">
      <w:pPr>
        <w:pStyle w:val="TextoNormal"/>
      </w:pPr>
      <w:r>
        <w:t>El señor García Cruz, tras su excarcelación, compareció en el citado juzgado de instrucción el 12 de junio de 2019 para obtener copia de su denuncia. El 4 de octubre siguiente presentó escrito con los documentos que consideraba acreditativos de su pretensión, solicitó que se le tuviese por personado en el procedimiento y la reapertura de la causa para recibirle declaración como perjudicado y también a otros cinco testigos, que se librase oficio al centro penitenciario Las Palmas I para que remitiera su expediente, la orden de dirección 230/2018, de 10 de agosto, y los datos completos de los tres funcionarios de prisiones que identificaba solo por su nombre para recibirles declaración como investigados.</w:t>
      </w:r>
    </w:p>
    <w:p w14:paraId="41F11EA1" w14:textId="77777777" w:rsidR="009D7677" w:rsidRDefault="009D7677" w:rsidP="009D7677">
      <w:pPr>
        <w:pStyle w:val="TextoNormal"/>
      </w:pPr>
    </w:p>
    <w:p w14:paraId="4DAC47CD" w14:textId="77777777" w:rsidR="009D7677" w:rsidRDefault="009D7677" w:rsidP="009D7677">
      <w:pPr>
        <w:pStyle w:val="TextoNormal"/>
      </w:pPr>
      <w:r>
        <w:t>El Juzgado de Instrucción núm. 4 tuvo por personado al denunciante como acusación particular mediante providencia de 21 de octubre de 2019 y acordó, en providencia de 27 de diciembre de 2019, oficiar al director del centro penitenciario de las Palmas I para que informase sobre los distintos regímenes penitenciarios del señor García Cruz y remitiese copia de todos los expedientes tramitados del preso para, con su resultado, resolver sobre la reapertura de la causa.</w:t>
      </w:r>
    </w:p>
    <w:p w14:paraId="1AC58F84" w14:textId="77777777" w:rsidR="009D7677" w:rsidRDefault="009D7677" w:rsidP="009D7677">
      <w:pPr>
        <w:pStyle w:val="TextoNormal"/>
      </w:pPr>
    </w:p>
    <w:p w14:paraId="04CC50C6" w14:textId="77777777" w:rsidR="009D7677" w:rsidRDefault="009D7677" w:rsidP="009D7677">
      <w:pPr>
        <w:pStyle w:val="TextoNormal"/>
      </w:pPr>
      <w:r>
        <w:t>d) El Juzgado de Instrucción núm. 4 decretó la reapertura de las diligencias previas núm. 5807-2018, mediante auto de 6 de julio de 2020, y resolvió recibir declaración en calidad de perjudicado al señor García Cruz y librar nuevo oficio al centro penitenciario a fin de que informase “sobre el contenido exacto y detallado del régimen penitenciario aplicado al denunciante”.</w:t>
      </w:r>
    </w:p>
    <w:p w14:paraId="0CC59519" w14:textId="77777777" w:rsidR="009D7677" w:rsidRDefault="009D7677" w:rsidP="009D7677">
      <w:pPr>
        <w:pStyle w:val="TextoNormal"/>
      </w:pPr>
    </w:p>
    <w:p w14:paraId="2167F6BE" w14:textId="77777777" w:rsidR="009D7677" w:rsidRDefault="009D7677" w:rsidP="009D7677">
      <w:pPr>
        <w:pStyle w:val="TextoNormal"/>
      </w:pPr>
      <w:r>
        <w:t>El director del centro emitió informe fechado el 13 de julio de 2020. En el informe el director reflejaba que al interno se le incluyó en el colectivo FIES 4-FS, que se le ubicó en el departamento de ingresos/salidas al carecer el centro de un módulo específico, siendo idónea tal ubicación debido a su baja ocupación (entre quince y veinte internos) y buen perfil de los internos al desempeñar la mayoría destinos como auxiliares en el departamento. Informaba que el interno estuvo en el centro desde el 6 de mayo al 16 de octubre de 2018, y que “[d]esde su llegada […] mantiene una constante queja en cuanto a su situa</w:t>
      </w:r>
      <w:r>
        <w:lastRenderedPageBreak/>
        <w:t>ción, tanto procesal como penitenciaria. Por su pertenencia a las fuerzas y cuerpos de seguridad, cree estar como interno, en una posición superior al resto de reclusos, y demanda en atención a ello un trato preferente por parte del personal del centro”. Asimismo, refería que el interno solicitó en varias ocasiones adaptaciones de distintos horarios, la realización de llamadas telefónicas, acceso al gimnasio, actividades en zonas comunes y con otros internos, lo que dio lugar a que la dirección, a través de la orden de dirección 320/2018, determinase la aplicación a los internos FIES 4 de los horarios y vida regimental ordinaria del departamento de ingresos/salidas, salvo que de oficio o a instancia del interno se debieran tomar mayores cautelas. El director del centro también informaba de que el interno solicitó “volver al régimen de vida anterior, por entender que la aplicación del nuevo régimen comprometía su seguridad. Apreciación esta meramente subjetiva, pues durante su estancia en el centro no se produjo incidente alguno referido a su persona”. A consecuencia de esa solicitud se emitió la orden de dirección 328/2018 restableciendo los “horarios y ocupación de espacios comunes de forma diferenciada al resto de la población reclusa del departamento de ingresos”. Al interno se le permitió siempre optar entre permanecer en la celda tras el almuerzo o bajar al patio, pero, “evidentemente, quedarse en [la] celda era incompatible con bajar al patio y hacerlo a este suponía no permanecer en [la] celda”. Finalmente, el director concluía que se respondió a todas y cada una de las instancias cursadas por el interno respecto del régimen de vida que le era aplicado y a sus diversas solicitudes, “pero es posible que no siempre recibiera la respuesta que deseaba, aunque sí la que procedía. Tanto por escrito, como verbalmente se le explicó que la organización de un centro penitenciario impedía horarios adaptados o a la carta y que, por tanto, en su situación (FIES 4) tenía que optar por la aplicación del horario general del departamento en el que estaba ubicado o por el definido por su situación de FIES 4”.</w:t>
      </w:r>
    </w:p>
    <w:p w14:paraId="1F0E31CE" w14:textId="77777777" w:rsidR="009D7677" w:rsidRDefault="009D7677" w:rsidP="009D7677">
      <w:pPr>
        <w:pStyle w:val="TextoNormal"/>
      </w:pPr>
    </w:p>
    <w:p w14:paraId="133434DF" w14:textId="77777777" w:rsidR="009D7677" w:rsidRDefault="009D7677" w:rsidP="009D7677">
      <w:pPr>
        <w:pStyle w:val="TextoNormal"/>
      </w:pPr>
      <w:r>
        <w:t>El 22 de julio de 2020 tuvo lugar la declaración judicial del denunciante, asistido de la abogada que firma la demanda de amparo. En ella reiteró el contenido de su escrito de queja y aclaró que “al final solo estuvieron una hora en el patio con los presos comunes y los devolvieron al módulo de ingreso”. Insistió en que les cambiaron los horarios iniciales del módulo de ingreso por culpa de sus quejas y del incidente de la llamada telefónica en que le perdieron su petate cuando lo trasladaron a Madrid para que no dispusiera de documentación para denunciar. Cuando pidió su expediente, “comprobó que había un documento relacionado con la entrega de su petate a la empresa de transporte”, que su hermana fue a la empresa a reclamar el petate y que cuando él mismo habló con la empresa y les enseñó el documento, esta le contestó que aquello no era un albarán suyo y que no tenían registrado ningún servicio o encargo. Que, tras salir de prisión, se encontró con uno de los funcionarios de prisiones denunciados quien, delante de su pareja y de su hermana, “le puso las manos a la altura de la cara y le llamó delincuente, para luego denunciarlo por lesiones, si bien el declarante fue absuelto”. Sostuvo que “realmente denuncia a todas las personas responsables de lo que le ocurrió en prisión, ya que después de todos estos hechos y hasta la actualidad recibe tratamiento psicológico y psiquiátrico”. La declaración finalizó con el ofrecimiento de acciones del art. 109 LECrim, al que respondió con que quedaba enterado y que reclamaba.</w:t>
      </w:r>
    </w:p>
    <w:p w14:paraId="3D9E481E" w14:textId="77777777" w:rsidR="009D7677" w:rsidRDefault="009D7677" w:rsidP="009D7677">
      <w:pPr>
        <w:pStyle w:val="TextoNormal"/>
      </w:pPr>
    </w:p>
    <w:p w14:paraId="15BBB517" w14:textId="77777777" w:rsidR="009D7677" w:rsidRDefault="009D7677" w:rsidP="009D7677">
      <w:pPr>
        <w:pStyle w:val="TextoNormal"/>
      </w:pPr>
      <w:r>
        <w:t xml:space="preserve">Practicadas estas diligencias, el Juzgado de Instrucción núm. 4, mediante providencia de 28 de julio de 2020, se dirigió de nuevo al Centro Penitenciario Las Palmas I interesando la remisión de todas las instancias presentadas por el denunciante, así como las resoluciones dictadas en respuesta a dichas solicitudes. Dado que el expediente del interno se </w:t>
      </w:r>
      <w:r>
        <w:lastRenderedPageBreak/>
        <w:t>hallaba en el Centro Penitenciario Madrid VII por haber sido excarcelado allí, se ofició a este centro el 13 de octubre de 2020, que respondió mediante oficio de 13 de noviembre de 2020. Entre la documentación remitida se hallaban los expedientes de las quejas relativas a las comunicaciones íntimas con su pareja y a la pérdida del petate, que fueron estimadas, como se dijo, por el Juzgado de Vigilancia Penitenciaria núm. 1 de las Palmas de Gran Canaria.</w:t>
      </w:r>
    </w:p>
    <w:p w14:paraId="07FCEEDD" w14:textId="77777777" w:rsidR="009D7677" w:rsidRDefault="009D7677" w:rsidP="009D7677">
      <w:pPr>
        <w:pStyle w:val="TextoNormal"/>
      </w:pPr>
    </w:p>
    <w:p w14:paraId="5B66584E" w14:textId="77777777" w:rsidR="009D7677" w:rsidRDefault="009D7677" w:rsidP="009D7677">
      <w:pPr>
        <w:pStyle w:val="TextoNormal"/>
      </w:pPr>
      <w:r>
        <w:t>Mediante diligencia de ordenación de 14 de diciembre de 2020 se acordó la unión de la documentación remitida y su traslado a la acusación particular. Esta presentó escrito el 31 de enero de 2021 en el que ponía de manifiesto que no se había dado cumplimiento a lo acordado al haberse omitido la remisión de catorce documentos que se referían a las solicitudes de comunicación familiar e íntima y a las resoluciones y quejas sobre las vejaciones, amenazas y trato degradante. Se solicitaba que se completase la documentación requiriéndola de nuevo al centro penitenciario, que debería explicar además los motivos de la omisión anterior, y se pedía igualmente que se oficiase a la empresa de transportes para que confirmase la existencia del envío contratado de sus enseres, debiéndose aportar toda la documentación existente del servicio operado. En un nuevo escrito presentado el 1 de marzo de 2021 la acusación particular revisaba su escrito anterior y solicitaba la remisión de dos documentos: una instancia enviada el 10 de agosto de 2018 al subdirector de seguridad “solicitando volver al régimen anterior tras ser modificado”, y una instancia y carta enviada el 3 de septiembre de 2018 al director de la prisión “informando nuevamente sobre las vejaciones y amenazas”.</w:t>
      </w:r>
    </w:p>
    <w:p w14:paraId="16A0D26A" w14:textId="77777777" w:rsidR="009D7677" w:rsidRDefault="009D7677" w:rsidP="009D7677">
      <w:pPr>
        <w:pStyle w:val="TextoNormal"/>
      </w:pPr>
    </w:p>
    <w:p w14:paraId="2C40BE7C" w14:textId="77777777" w:rsidR="009D7677" w:rsidRDefault="009D7677" w:rsidP="009D7677">
      <w:pPr>
        <w:pStyle w:val="TextoNormal"/>
      </w:pPr>
      <w:r>
        <w:t>El Juzgado de Instrucción núm. 4, mediante providencia de 1 marzo de 2021, acordó librar exhorto al Juzgado de Vigilancia Penitenciaria núm. 1 de las Palmas de Gran Canaria a fin de que remitiese testimonio del auto de 6 de noviembre de 2018, que estimó la queja relativa a las comunicaciones íntimas y de los autos de 11 de enero y 12 de abril de 2019, relativos a la queja sobre la demora en el traslado de las pertenencias. Asimismo, mediante providencia de 15 de marzo de 2021, acordó librar exhorto al citado juzgado para que remitiese “copia de todos los expedientes tramitados en dicho juzgado en relación a Carlos Alberto García Cruz”.</w:t>
      </w:r>
    </w:p>
    <w:p w14:paraId="6D7ED4D5" w14:textId="77777777" w:rsidR="009D7677" w:rsidRDefault="009D7677" w:rsidP="009D7677">
      <w:pPr>
        <w:pStyle w:val="TextoNormal"/>
      </w:pPr>
    </w:p>
    <w:p w14:paraId="37BB4EE5" w14:textId="77777777" w:rsidR="009D7677" w:rsidRDefault="009D7677" w:rsidP="009D7677">
      <w:pPr>
        <w:pStyle w:val="TextoNormal"/>
      </w:pPr>
      <w:r>
        <w:t>Por diligencia de ordenación de 12 de abril de 2021 se tuvo por devuelto el exhorto, se unió a las actuaciones toda la documentación remitida por el Juzgado de Vigilancia Penitenciaria núm. 1 y quedaron los autos pendientes de resolver.</w:t>
      </w:r>
    </w:p>
    <w:p w14:paraId="34C94927" w14:textId="77777777" w:rsidR="009D7677" w:rsidRDefault="009D7677" w:rsidP="009D7677">
      <w:pPr>
        <w:pStyle w:val="TextoNormal"/>
      </w:pPr>
    </w:p>
    <w:p w14:paraId="6885FC51" w14:textId="77777777" w:rsidR="009D7677" w:rsidRDefault="009D7677" w:rsidP="009D7677">
      <w:pPr>
        <w:pStyle w:val="TextoNormal"/>
      </w:pPr>
      <w:r>
        <w:t xml:space="preserve">e) El Juzgado de Instrucción núm. 4, mediante auto de 15 de abril de 2021, resolvió sobreseer provisionalmente la causa, al amparo de los arts. 641.1 y 779.1.1 LECrim, por no haberse “encontrado indicios suficientes para entender acreditada la comisión de las infracciones penales denunciadas”. La decisión se basó en las manifestaciones del denunciante y en los documentos aportados y recabados y se justificó de la siguiente forma: (i) cuestionando la entidad penal de los hechos que se valoraban más bien como quejas respecto de la aplicación del régimen penitenciario a la que no era ajeno el propio recurrente que interesó varios cambios sucesivos por no estar conforme con el que había solicitado previamente; (ii) criticando las imputaciones genéricas del denunciante “a todas las personas responsables de lo que le ocurrió en prisión, lo que incluso implicaría imputar a la señora jueza de vigilancia penitenciaria”; (iii) declarando que la fijación del régimen penitenciario no era de la competencia de los tres funcionarios denunciados; (iv) afirmando </w:t>
      </w:r>
      <w:r>
        <w:lastRenderedPageBreak/>
        <w:t>que no existía ninguna prueba de que los funcionarios hubiesen perdido intencionadamente los enseres del denunciante cuando se le trasladó de centro penitenciario; y (v) sosteniendo que las quejas relativas a la pérdida de enseres y a las comunicaciones íntimas ya habían sido objeto de tutela por el juzgado de vigilancia penitenciaria.</w:t>
      </w:r>
    </w:p>
    <w:p w14:paraId="2E334B1C" w14:textId="77777777" w:rsidR="009D7677" w:rsidRDefault="009D7677" w:rsidP="009D7677">
      <w:pPr>
        <w:pStyle w:val="TextoNormal"/>
      </w:pPr>
    </w:p>
    <w:p w14:paraId="0CA5F1EC" w14:textId="77777777" w:rsidR="009D7677" w:rsidRDefault="009D7677" w:rsidP="009D7677">
      <w:pPr>
        <w:pStyle w:val="TextoNormal"/>
      </w:pPr>
      <w:r>
        <w:t>f) Frente al auto de sobreseimiento provisional, el señor García Cruz presentó escrito el 18 de mayo de 2021 interponiendo recurso de reforma. Alegó que los hechos no eran constitutivos de un simple “malestar” con el régimen penitenciario que se le aplicó, que era incierto que realizase imputaciones genéricas, que las comunicaciones de los funcionarios denunciados a sus superiores influían en las decisiones de los responsables del centro, que no se podía exonerar al centro ni a los funcionarios por la pérdida de sus pertenencias y que la causa se había sobreseído de forma prematura sin practicar diligencias esenciales y sin pronunciarse sobre su admisión o rechazo. En concreto: declaración como investigados de los tres funcionarios denunciados, previa su identificación completa, declaración testifical de dos internos y de la hermana y de la pareja del denunciante —a estas sobre el incidente que este tuvo con un funcionario tras su excarcelación— y oficio a la empresa de transportes para justificar las circunstancias del servicio operado respecto del traslado de sus enseres. Finalmente, solicitó la revocación de la resolución impugnada y la continuación de la instrucción.</w:t>
      </w:r>
    </w:p>
    <w:p w14:paraId="5F67C25B" w14:textId="77777777" w:rsidR="009D7677" w:rsidRDefault="009D7677" w:rsidP="009D7677">
      <w:pPr>
        <w:pStyle w:val="TextoNormal"/>
      </w:pPr>
    </w:p>
    <w:p w14:paraId="4B2A37A4" w14:textId="77777777" w:rsidR="009D7677" w:rsidRDefault="009D7677" w:rsidP="009D7677">
      <w:pPr>
        <w:pStyle w:val="TextoNormal"/>
      </w:pPr>
      <w:r>
        <w:t>Mediante providencia de 21 de mayo de 2021 se admitió el recurso y se le dio traslado al Ministerio Fiscal que informó en escrito de 26 de mayo de 2021 interesando su desestimación. Según la fiscal, la resolución recurrida estaba suficientemente fundada: aludía a cada uno de los hechos denunciados, “algunos de los cuales ni siquiera revisten (como en el caso de la pérdida del equipaje) caracteres de infracción criminal”, y “no es necesario practicar más diligencias en todo caso, más si como en el que nos ocupa no hay indicios suficientes de la comisión de un delito”.</w:t>
      </w:r>
    </w:p>
    <w:p w14:paraId="3E0B1DE3" w14:textId="77777777" w:rsidR="009D7677" w:rsidRDefault="009D7677" w:rsidP="009D7677">
      <w:pPr>
        <w:pStyle w:val="TextoNormal"/>
      </w:pPr>
    </w:p>
    <w:p w14:paraId="2ADFE457" w14:textId="77777777" w:rsidR="009D7677" w:rsidRDefault="009D7677" w:rsidP="009D7677">
      <w:pPr>
        <w:pStyle w:val="TextoNormal"/>
      </w:pPr>
      <w:r>
        <w:t>El Juzgado de Instrucción núm. 4 desestimó el recurso mediante auto de 28 de mayo de 2021, dando por reproducidos los fundamentos jurídicos del auto impugnado y las razones esgrimidas por la fiscal.</w:t>
      </w:r>
    </w:p>
    <w:p w14:paraId="58561020" w14:textId="77777777" w:rsidR="009D7677" w:rsidRDefault="009D7677" w:rsidP="009D7677">
      <w:pPr>
        <w:pStyle w:val="TextoNormal"/>
      </w:pPr>
    </w:p>
    <w:p w14:paraId="5FBF76D9" w14:textId="77777777" w:rsidR="009D7677" w:rsidRDefault="009D7677" w:rsidP="009D7677">
      <w:pPr>
        <w:pStyle w:val="TextoNormal"/>
      </w:pPr>
      <w:r>
        <w:t>g) El demandante interpuso recurso de apelación, mediante escrito presentado el 8 de junio de 2021, en el que dio por reproducidas las alegaciones de su recurso de reforma y solicitó la revocación del auto impugnado y la continuación del procedimiento. Mediante providencia de 17 de junio de 2021, el recurso fue admitido a trámite y se dio traslado al Ministerio Fiscal que interesó su desestimación en informe de 22 de junio de 2021 por los motivos expuestos en su informe al recurso de reforma.</w:t>
      </w:r>
    </w:p>
    <w:p w14:paraId="4CA1EF22" w14:textId="77777777" w:rsidR="009D7677" w:rsidRDefault="009D7677" w:rsidP="009D7677">
      <w:pPr>
        <w:pStyle w:val="TextoNormal"/>
      </w:pPr>
    </w:p>
    <w:p w14:paraId="6FB2DBE8" w14:textId="59D3B5DF" w:rsidR="009D7677" w:rsidRDefault="009D7677" w:rsidP="009D7677">
      <w:pPr>
        <w:pStyle w:val="TextoNormal"/>
      </w:pPr>
      <w:r>
        <w:t xml:space="preserve">La Sección Segunda de la Audiencia Provincial de Las Palmas, mediante auto núm. 769/2021, de 27 de septiembre, desestimó el recurso, tras recordar la doctrina constitucional sobre el derecho a la tutela judicial efectiva, el derecho de acceso a la jurisdicción y su compatibilidad con el sobreseimiento provisional, y declarar que los hechos relatados por el denunciante no revestían carácter delictivo. La resolución señalaba que las amenazas y vejaciones que se decían recibidas eran muy inespecíficas, que los funcionarios denunciados no eran competentes para fijar el régimen de vida dentro de la prisión y que los horarios de actividades, la permanencia en las celdas, las salidas al patio o el uso del gimnasio eran cuestiones de régimen cuya disconformidad debía encauzarse a través de las quejas y </w:t>
      </w:r>
      <w:r>
        <w:lastRenderedPageBreak/>
        <w:t>recursos previstos en la legislación penitenciaria, correspondiendo al juzgado de vigilancia penitenciaria la tutela de tales cuestiones, tal y como había sucedido en “el caso de la pérdida de las pertenencias en un traslado, mediante la reclamación patrimonial a la administración correspondiente. Para considerar que el acto de la dirección de la prisión pueda dar lugar a un ilícito penal, faltaría un ‘plus’ de antijuricidad que es lo que justifica la intervención del derecho penal”. Y concluía, “sin perjuicio de proceder a la reapertura de las diligencias tan pronto como se ofrezcan nuevos datos o nuevas perspectivas de éxito en la investigación en orden a la certeza de los hechos, no habiendo resultado debidamente justificada la perpetración del delito, ni existiendo base indiciaria para continuar la investigación procede ratificar el sobreseimiento provisional acordado”.</w:t>
      </w:r>
    </w:p>
    <w:p w14:paraId="38FC81B6" w14:textId="77777777" w:rsidR="009D7677" w:rsidRDefault="009D7677" w:rsidP="009D7677">
      <w:pPr>
        <w:pStyle w:val="TextoNormal"/>
      </w:pPr>
    </w:p>
    <w:p w14:paraId="6EF9C385" w14:textId="77777777" w:rsidR="009D7677" w:rsidRDefault="009D7677" w:rsidP="009D7677">
      <w:pPr>
        <w:pStyle w:val="TextoNormal"/>
      </w:pPr>
      <w:r w:rsidRPr="009D7677">
        <w:rPr>
          <w:rStyle w:val="NumeroAFNegritaCaracter"/>
        </w:rPr>
        <w:t>3</w:t>
      </w:r>
      <w:r>
        <w:t>. La demanda de amparo se dirige contra la decisión judicial de sobreseimiento provisional y archivo de la denuncia de tratos degradantes, acordada por el Juzgado de Instrucción núm. 4 de Las Palmas de Gran Canaria, y confirmada en apelación por la Sección Segunda de la Audiencia Provincial de las Palmas. El demandante alega que tal decisión vulneró su derecho a la tutela judicial efectiva (art. 24.1 CE). La demanda reproduce en su fundamentación jurídica las alegaciones del recurso de reforma interpuesto contra el auto de sobreseimiento provisional: los hechos no son constitutivos de un simple “malestar” con el régimen penitenciario aplicado, no se realizaron imputaciones genéricas, los funcionarios denunciados influyen en las decisiones de los responsables del centro con sus comunicaciones, no se puede exonerar de responsabilidad al centro ni a los funcionarios por la pérdida de sus pertenencias, no se han practicado las diligencias solicitadas y tampoco se ha dado respuesta a la propia solicitud.</w:t>
      </w:r>
    </w:p>
    <w:p w14:paraId="5AFB4DD4" w14:textId="77777777" w:rsidR="009D7677" w:rsidRDefault="009D7677" w:rsidP="009D7677">
      <w:pPr>
        <w:pStyle w:val="TextoNormal"/>
      </w:pPr>
    </w:p>
    <w:p w14:paraId="74F519DC" w14:textId="77777777" w:rsidR="009D7677" w:rsidRDefault="009D7677" w:rsidP="009D7677">
      <w:pPr>
        <w:pStyle w:val="TextoNormal"/>
      </w:pPr>
      <w:r>
        <w:t>Estas alegaciones se completan con la reseña de dos tratados internacionales suscritos por España que “obligan a los Estados a respetar y asegurar la protección contra la práctica de la tortura”: la Convención de Naciones Unidas contra la tortura y otros tratos o penas crueles, inhumanos o degradantes de 10 de diciembre de 1984 y el Convenio europeo para la protección de los derechos humanos y de las libertades fundamentales (CEDH), de 4 de noviembre de 1950. Se invoca asimismo la jurisprudencia del Tribunal Europeo de Derechos Humanos sobre la vertiente procesal del art. 3 CEDH, que obliga a los Estados a desarrollar una investigación oficial efectiva cuando una persona afirme haber sufrido malos tratos contrarios al art. 3 CEDH de manos de la policía o de otros servicios equiparables. Y se citan varias sentencias del Tribunal Constitucional sobre el derecho a la tutela judicial efectiva en relación con el derecho a no ser sometido a tortura ni a tratos inhumanos o degradantes (art. 15 CE) que exige, en garantía de tales derechos, llevar a cabo una investigación suficiente y eficaz de las denuncias de tales hechos antes de proceder al sobreseimiento y archivo de las actuaciones. En concreto, se aduce que “el Tribunal Constitucional ha estimado el amparo en supuestos en que se había concluido la instrucción sin haber identificado y tomado declaración a los agentes de los cuerpos y fuerzas de seguridad del Estado bajo cuya custodia se encontraba el denunciante, caso asimilado al que nos ocupa, donde no se ha identificado o tomado declaración a los presuntos responsables”.</w:t>
      </w:r>
    </w:p>
    <w:p w14:paraId="3B41048B" w14:textId="77777777" w:rsidR="009D7677" w:rsidRDefault="009D7677" w:rsidP="009D7677">
      <w:pPr>
        <w:pStyle w:val="TextoNormal"/>
      </w:pPr>
    </w:p>
    <w:p w14:paraId="553C1BEB" w14:textId="78860AC6" w:rsidR="009D7677" w:rsidRDefault="009D7677" w:rsidP="009D7677">
      <w:pPr>
        <w:pStyle w:val="TextoNormal"/>
      </w:pPr>
      <w:r>
        <w:t>El demandante solicita que se le otorgue el amparo, se reconozca que se le ha vulnerado su derecho a la tutela judicial efectiva (art. 24.1 CE), su restablecimiento y, a tal fin, que se anulen las resoluciones impugnadas, “acordando la continuación de la instrucción de la causa”.</w:t>
      </w:r>
    </w:p>
    <w:p w14:paraId="59251DD8" w14:textId="77777777" w:rsidR="009D7677" w:rsidRDefault="009D7677" w:rsidP="009D7677">
      <w:pPr>
        <w:pStyle w:val="TextoNormal"/>
      </w:pPr>
    </w:p>
    <w:p w14:paraId="37ADAD85" w14:textId="66A052D6" w:rsidR="009D7677" w:rsidRDefault="009D7677" w:rsidP="009D7677">
      <w:pPr>
        <w:pStyle w:val="TextoNormal"/>
      </w:pPr>
      <w:r w:rsidRPr="009D7677">
        <w:rPr>
          <w:rStyle w:val="NumeroAFNegritaCaracter"/>
        </w:rPr>
        <w:lastRenderedPageBreak/>
        <w:t>4</w:t>
      </w:r>
      <w:r>
        <w:t>. Con carácter previo a decidir sobre la admisión del recurso, mediante diligencia de ordenación de 18 de noviembre de 2021, dictada por la secretaria de Justicia de la Sección Cuarta de la Sala Segunda de este tribunal, se acordó dirigirse al Juzgado de Instrucción núm. 4 de Las Palmas de Gran Canaria y a la Sección Segunda de la Audiencia Provincial de las Palmas para que remitiesen, respectivamente, testimonio íntegro de las diligencias previas núm. 5807-2018, que tuvo entrada en el registro de este tribunal el 24 de noviembre de 2022, y del recurso de apelación núm. 738-2021, con entrada el 7 de diciembre de 2022.</w:t>
      </w:r>
    </w:p>
    <w:p w14:paraId="468CA699" w14:textId="77777777" w:rsidR="009D7677" w:rsidRDefault="009D7677" w:rsidP="009D7677">
      <w:pPr>
        <w:pStyle w:val="TextoNormal"/>
      </w:pPr>
    </w:p>
    <w:p w14:paraId="5D0431FF" w14:textId="44F88FA6" w:rsidR="009D7677" w:rsidRDefault="009D7677" w:rsidP="009D7677">
      <w:pPr>
        <w:pStyle w:val="TextoNormal"/>
      </w:pPr>
      <w:r w:rsidRPr="009D7677">
        <w:rPr>
          <w:rStyle w:val="NumeroAFNegritaCaracter"/>
        </w:rPr>
        <w:t>5</w:t>
      </w:r>
      <w:r>
        <w:t>. En virtud de los arts. 2.2 y 3.2 del acuerdo del Pleno del Tribunal Constitucional de 17 de enero de 2023, publicado en el “Boletín Oficial del Estado” de 19 de enero de 2023, al haber dejado el anterior ponente de formar parte del Tribunal, se reasignó la ponencia y correspondió a la magistrada ponente integrada en la Sección Tercera.</w:t>
      </w:r>
    </w:p>
    <w:p w14:paraId="6D153F7B" w14:textId="77777777" w:rsidR="009D7677" w:rsidRDefault="009D7677" w:rsidP="009D7677">
      <w:pPr>
        <w:pStyle w:val="TextoNormal"/>
      </w:pPr>
    </w:p>
    <w:p w14:paraId="717658CE" w14:textId="3437D5C4" w:rsidR="009D7677" w:rsidRDefault="009D7677" w:rsidP="009D7677">
      <w:pPr>
        <w:pStyle w:val="TextoNormal"/>
      </w:pPr>
      <w:r w:rsidRPr="009D7677">
        <w:rPr>
          <w:rStyle w:val="NumeroAFNegritaCaracter"/>
        </w:rPr>
        <w:t>6</w:t>
      </w:r>
      <w:r>
        <w:t>. La Sección Tercera de la Sala Segunda del Tribunal Constitucional, mediante providencia de 17 de abril de 2023, admitió a trámite la demanda al apreciar que concurre en el recurso una especial trascendencia constitucional [art. 50.1 de la Ley Orgánica del Tribunal Constitucional (LOTC)], porque el asunto suscitado trasciende del caso concreto ya que plantea una cuestión jurídica de relevante y general repercusión social o económica [STC 155/2009, de 25 de junio, FJ 2 g)]. Acordó también dirigirse al Juzgado de Instrucción núm. 4 de Las Palmas de Gran Canaria para informarle de la admisión del recurso y para que emplazase a quienes hubiesen sido parte en el procedimiento, excepto al recurrente en amparo, a fin de que pudieran comparecer en el recurso en el plazo de diez días.</w:t>
      </w:r>
    </w:p>
    <w:p w14:paraId="60994DAD" w14:textId="77777777" w:rsidR="009D7677" w:rsidRDefault="009D7677" w:rsidP="009D7677">
      <w:pPr>
        <w:pStyle w:val="TextoNormal"/>
      </w:pPr>
    </w:p>
    <w:p w14:paraId="34AC1F88" w14:textId="70F56AF5" w:rsidR="009D7677" w:rsidRDefault="009D7677" w:rsidP="009D7677">
      <w:pPr>
        <w:pStyle w:val="TextoNormal"/>
      </w:pPr>
      <w:r w:rsidRPr="009D7677">
        <w:rPr>
          <w:rStyle w:val="NumeroAFNegritaCaracter"/>
        </w:rPr>
        <w:t>7</w:t>
      </w:r>
      <w:r>
        <w:t>. El secretario de justicia de la Sección Tercera de la Sala Segunda de este tribunal, conforme a lo dispuesto en el art. 52.1 LOTC, acordó dar vista de las actuaciones por un plazo común de veinte días al Ministerio Fiscal y a las partes personadas para presentar alegaciones.</w:t>
      </w:r>
    </w:p>
    <w:p w14:paraId="50BC94F8" w14:textId="77777777" w:rsidR="009D7677" w:rsidRDefault="009D7677" w:rsidP="009D7677">
      <w:pPr>
        <w:pStyle w:val="TextoNormal"/>
      </w:pPr>
    </w:p>
    <w:p w14:paraId="7377FE1A" w14:textId="5D5C3397" w:rsidR="009D7677" w:rsidRDefault="009D7677" w:rsidP="009D7677">
      <w:pPr>
        <w:pStyle w:val="TextoNormal"/>
      </w:pPr>
      <w:r w:rsidRPr="009D7677">
        <w:rPr>
          <w:rStyle w:val="NumeroAFNegritaCaracter"/>
        </w:rPr>
        <w:t>8</w:t>
      </w:r>
      <w:r>
        <w:t>. El recurrente, mediante escrito presentado el 4 de julio de 2023, se ratificó en el contenido de su demanda de amparo, invocando extensamente la STC 12/2022, de 7 de febrero, que considera aplicable por la semejanza del caso.</w:t>
      </w:r>
    </w:p>
    <w:p w14:paraId="2771187E" w14:textId="77777777" w:rsidR="009D7677" w:rsidRDefault="009D7677" w:rsidP="009D7677">
      <w:pPr>
        <w:pStyle w:val="TextoNormal"/>
      </w:pPr>
    </w:p>
    <w:p w14:paraId="18942ACB" w14:textId="77777777" w:rsidR="009D7677" w:rsidRDefault="009D7677" w:rsidP="009D7677">
      <w:pPr>
        <w:pStyle w:val="TextoNormal"/>
      </w:pPr>
      <w:r w:rsidRPr="009D7677">
        <w:rPr>
          <w:rStyle w:val="NumeroAFNegritaCaracter"/>
        </w:rPr>
        <w:t>9</w:t>
      </w:r>
      <w:r>
        <w:t xml:space="preserve">. El fiscal ante el Tribunal Constitucional presentó su escrito de alegaciones el 6 de julio de 2023, que comienza con la exposición de los antecedentes procesales seguida de la determinación del objeto del recurso que, a su juicio, consiste en resolver si las resoluciones impugnadas que decidieron y confirmaron el sobreseimiento provisional y archivo de las actuaciones, incoadas a raíz de la denuncia del señor García Cruz contra los funcionarios de prisiones por vejaciones y trato humillante cuando estuvo en prisión preventiva, vulneraron el derecho a la tutela judicial efectiva sin indefensión (art. 24.1 CE) del demandante de amparo. Acto seguido considera que no existe ningún óbice para la admisión de la demanda y que la doctrina constitucional aplicable al caso aparece también resumida en la STC 12/2022, FJ 2, que transcribe y que se refiere “a las exigencias constitucionales derivadas de los derechos a la tutela judicial efectiva (art. 24.1 CE) y a no ser sometido a torturas ni a tratos inhumanos o degradantes (art. 15 CE), en relación con las decisiones judiciales de sobreseimiento y archivo de instrucciones penales incoadas por denuncia de </w:t>
      </w:r>
      <w:r>
        <w:lastRenderedPageBreak/>
        <w:t>haber sufrido este tipo de tratos bajo custodia o en el contexto de actuaciones de agentes estatales”.</w:t>
      </w:r>
    </w:p>
    <w:p w14:paraId="676B5C77" w14:textId="77777777" w:rsidR="009D7677" w:rsidRDefault="009D7677" w:rsidP="009D7677">
      <w:pPr>
        <w:pStyle w:val="TextoNormal"/>
      </w:pPr>
    </w:p>
    <w:p w14:paraId="07C9388B" w14:textId="1B4F5D46" w:rsidR="009D7677" w:rsidRDefault="009D7677" w:rsidP="009D7677">
      <w:pPr>
        <w:pStyle w:val="TextoNormal"/>
      </w:pPr>
      <w:r>
        <w:t>En atención a la citada doctrina, el fiscal sostiene que la investigación judicial “no ha sido suficiente ni adecuada en términos de la doctrina constitucional expuesta para entender satisfecho el derecho fundamental del denunciante a la tutela judicial efectiva sin indefensión del art. 24.1 CE”. Las diligencias solicitadas por el demandante al juzgado (entre otras, declaración de investigados y testificales) son “idóneas y pertinentes para el esclarecimiento de los hechos denunciados” y no se han practicado “sin una motivación expresa por parte del órgano judicial”. La Sección Segunda de la Audiencia Provincial de las Palmas, al desestimar el recurso de apelación, tampoco se pronunció sobre las diligencias propuestas y no contextualizó “la exigencia de exhaustividad en la investigación judicial en atención a la singular naturaleza de los hechos denunciados conforme a la doctrina constitucional”. De ahí que el fiscal termine su escrito con la solicitud de que se estime el recurso de amparo, se declare que se ha vulnerado el derecho fundamental del recurrente a la tutela judicial efectiva del art. 24.1 CE y que se anulen las resoluciones impugnadas con retroacción de las actuaciones al momento inmediatamente anterior al dictado del auto de sobreseimiento provisional de 15 de abril de 2021 para que el Juzgado de Instrucción núm. 4 de Las Palmas de Gran Canaria proceda en términos respetuosos con el derecho fundamental vulnerado.</w:t>
      </w:r>
    </w:p>
    <w:p w14:paraId="52CE6742" w14:textId="77777777" w:rsidR="009D7677" w:rsidRDefault="009D7677" w:rsidP="009D7677">
      <w:pPr>
        <w:pStyle w:val="TextoNormal"/>
      </w:pPr>
    </w:p>
    <w:p w14:paraId="138AD519" w14:textId="501DDEF2" w:rsidR="009D7677" w:rsidRDefault="009D7677" w:rsidP="009D7677">
      <w:pPr>
        <w:pStyle w:val="TextoNormal"/>
      </w:pPr>
      <w:r w:rsidRPr="009D7677">
        <w:rPr>
          <w:rStyle w:val="NumeroAFNegritaCaracter"/>
        </w:rPr>
        <w:t>10</w:t>
      </w:r>
      <w:r>
        <w:t>. Por providencia de 7 de marzo de 2024 se señaló para la deliberación y votación de la presente sentencia el día 11 del mismo mes y año.</w:t>
      </w:r>
    </w:p>
    <w:p w14:paraId="5EF01A88" w14:textId="77777777" w:rsidR="009D7677" w:rsidRDefault="009D7677" w:rsidP="009D7677">
      <w:pPr>
        <w:pStyle w:val="TextoNormal"/>
      </w:pPr>
    </w:p>
    <w:p w14:paraId="2C3DF8B0" w14:textId="77777777" w:rsidR="009D7677" w:rsidRDefault="009D7677" w:rsidP="009D7677">
      <w:pPr>
        <w:pStyle w:val="TextoNormalNegritaCentrado"/>
        <w:keepNext/>
      </w:pPr>
      <w:r>
        <w:t>II. Fundamentos jurídicos</w:t>
      </w:r>
    </w:p>
    <w:p w14:paraId="19AC6F89" w14:textId="073F8E2D" w:rsidR="009D7677" w:rsidRDefault="009D7677" w:rsidP="009D7677">
      <w:pPr>
        <w:pStyle w:val="TextoNormalNegritaCentrado"/>
        <w:keepNext/>
      </w:pPr>
    </w:p>
    <w:p w14:paraId="7A7C9CA6" w14:textId="77777777" w:rsidR="009D7677" w:rsidRDefault="009D7677" w:rsidP="009D7677">
      <w:pPr>
        <w:pStyle w:val="TextoNormal"/>
      </w:pPr>
      <w:r w:rsidRPr="009D7677">
        <w:rPr>
          <w:rStyle w:val="NumeroAFNegritaCaracter"/>
        </w:rPr>
        <w:t>1</w:t>
      </w:r>
      <w:r>
        <w:t xml:space="preserve">. </w:t>
      </w:r>
      <w:r w:rsidRPr="009D7677">
        <w:rPr>
          <w:i/>
        </w:rPr>
        <w:t>Objeto del recurso de amparo y pretensiones de las partes</w:t>
      </w:r>
    </w:p>
    <w:p w14:paraId="23B5651D" w14:textId="77777777" w:rsidR="009D7677" w:rsidRDefault="009D7677" w:rsidP="009D7677">
      <w:pPr>
        <w:pStyle w:val="TextoNormal"/>
      </w:pPr>
    </w:p>
    <w:p w14:paraId="5A2684DC" w14:textId="77777777" w:rsidR="009D7677" w:rsidRDefault="009D7677" w:rsidP="009D7677">
      <w:pPr>
        <w:pStyle w:val="TextoNormal"/>
      </w:pPr>
      <w:r>
        <w:t>El presente recurso de amparo tiene por objeto determinar si las resoluciones judiciales impugnadas vulneraron el derecho del recurrente a la tutela judicial efectiva (art. 24.1 CE), en relación con el derecho a no ser sometido a tratos degradantes (art. 15 CE), a consecuencia del sobreseimiento provisional del procedimiento penal incoado a raíz de su denuncia en la que refería haber sufrido tratos degradantes consistentes en recibir amenazas, vejaciones, pérdida de objetos personales y menoscabo de su régimen penitenciario de vida por parte de funcionarios y responsables del Centro Penitenciario Las Palmas I en el que estuvo interno como preso preventivo.</w:t>
      </w:r>
    </w:p>
    <w:p w14:paraId="7D470755" w14:textId="77777777" w:rsidR="009D7677" w:rsidRDefault="009D7677" w:rsidP="009D7677">
      <w:pPr>
        <w:pStyle w:val="TextoNormal"/>
      </w:pPr>
    </w:p>
    <w:p w14:paraId="37E03096" w14:textId="77777777" w:rsidR="009D7677" w:rsidRDefault="009D7677" w:rsidP="009D7677">
      <w:pPr>
        <w:pStyle w:val="TextoNormal"/>
      </w:pPr>
      <w:r>
        <w:t>El recurrente sostiene que la decisión de sobreseimiento provisional vulneró su derecho a la tutela judicial efectiva (art. 24.1 CE), al no haberse llevado a cabo una investigación suficiente y eficaz de unos hechos que, a su juicio, revisten entidad penal. Alega que no se han practicado las diligencias de investigación solicitadas para su averiguación, en particular: recibir declaración como investigados a los tres funcionarios denunciados, previa su identificación completa, y a distintos testigos; y oficiar a la empresa de transporte de sus enseres para que informe sobre el servicio prestado. Asimismo aduce que se ha omitido pronunciarse sobre la propia solicitud de práctica de diligencias.</w:t>
      </w:r>
    </w:p>
    <w:p w14:paraId="68D9B72B" w14:textId="77777777" w:rsidR="009D7677" w:rsidRDefault="009D7677" w:rsidP="009D7677">
      <w:pPr>
        <w:pStyle w:val="TextoNormal"/>
      </w:pPr>
    </w:p>
    <w:p w14:paraId="2514A66D" w14:textId="44D13A77" w:rsidR="009D7677" w:rsidRDefault="009D7677" w:rsidP="009D7677">
      <w:pPr>
        <w:pStyle w:val="TextoNormal"/>
      </w:pPr>
      <w:r>
        <w:lastRenderedPageBreak/>
        <w:t>En sentido similar, el fiscal ante el Tribunal Constitucional sostiene que se ha vulnerado el derecho a la tutela judicial efectiva del demandante (art. 24.1 CE), al haberse decidido y confirmado el sobreseimiento provisional de la causa sin efectuar la investigación judicial que es exigible cuando quienes están bajo custodia, o en el contexto de actuaciones de agentes estatales, denuncian este tipo de tratos. Considera que las diligencias solicitadas por el demandante son “idóneas y pertinentes para el esclarecimiento de los hechos denunciados” y que no se han practicado “sin una motivación expresa por parte del órgano judicial”.</w:t>
      </w:r>
    </w:p>
    <w:p w14:paraId="4AB1D0EA" w14:textId="77777777" w:rsidR="009D7677" w:rsidRDefault="009D7677" w:rsidP="009D7677">
      <w:pPr>
        <w:pStyle w:val="TextoNormal"/>
      </w:pPr>
    </w:p>
    <w:p w14:paraId="0D74D8E2" w14:textId="77777777" w:rsidR="009D7677" w:rsidRDefault="009D7677" w:rsidP="009D7677">
      <w:pPr>
        <w:pStyle w:val="TextoNormal"/>
      </w:pPr>
      <w:r w:rsidRPr="009D7677">
        <w:rPr>
          <w:rStyle w:val="NumeroAFNegritaCaracter"/>
        </w:rPr>
        <w:t>2</w:t>
      </w:r>
      <w:r>
        <w:t xml:space="preserve">. </w:t>
      </w:r>
      <w:r w:rsidRPr="009D7677">
        <w:rPr>
          <w:i/>
        </w:rPr>
        <w:t>Doctrina constitucional y del Tribunal Europeo de Derechos Humanos en materia de investigación judicial de denuncias por tortura o tratos inhumanos o degradantes que se dicen sufridos bajo custodia o en el contexto de actuaciones de agentes estatales</w:t>
      </w:r>
    </w:p>
    <w:p w14:paraId="62B7AE31" w14:textId="77777777" w:rsidR="009D7677" w:rsidRDefault="009D7677" w:rsidP="009D7677">
      <w:pPr>
        <w:pStyle w:val="TextoNormal"/>
      </w:pPr>
    </w:p>
    <w:p w14:paraId="5D9776ED" w14:textId="77777777" w:rsidR="009D7677" w:rsidRDefault="009D7677" w:rsidP="009D7677">
      <w:pPr>
        <w:pStyle w:val="TextoNormal"/>
      </w:pPr>
      <w:r>
        <w:t>El Tribunal Constitucional ha establecido una consolidada jurisprudencia sobre las exigencias constitucionales del derecho a la tutela judicial efectiva (art. 24.1 CE) en relación con el derecho a no ser sometido a torturas ni a tratos inhumanos o degradantes (art. 15 CE), con el fin de enjuiciar si una decisión judicial de sobreseimiento y archivo de una instrucción penal incoada en virtud de denuncia de haber sufrido este tipo de tratos bajo custodia o en el contexto de actuaciones de agentes estatales ha observado o vulnerado la tutela judicial debida.</w:t>
      </w:r>
    </w:p>
    <w:p w14:paraId="04F89111" w14:textId="77777777" w:rsidR="009D7677" w:rsidRDefault="009D7677" w:rsidP="009D7677">
      <w:pPr>
        <w:pStyle w:val="TextoNormal"/>
      </w:pPr>
    </w:p>
    <w:p w14:paraId="30C01A20" w14:textId="77777777" w:rsidR="009D7677" w:rsidRDefault="009D7677" w:rsidP="009D7677">
      <w:pPr>
        <w:pStyle w:val="TextoNormal"/>
      </w:pPr>
      <w:r>
        <w:t>Estas exigencias de tutela siguen la línea de la jurisprudencia del Tribunal Europeo de Derechos Humanos sobre las obligaciones procesales derivadas del art. 3 CEDH que, con redacción casi idéntica a la del art. 15 CE, establece: “Nadie podrá ser sometido a tortura ni a penas o tratos inhumanos o degradantes”. Y se concretan en la obligación de desarrollar una investigación suficiente y eficaz que permita despejar cualquier sospecha sobre la comisión de esta clase de conductas que atentan de forma grave contra la dignidad de la persona, que es el fundamento del orden político y de la paz social (art. 10.1 CE).</w:t>
      </w:r>
    </w:p>
    <w:p w14:paraId="0E14CD07" w14:textId="77777777" w:rsidR="009D7677" w:rsidRDefault="009D7677" w:rsidP="009D7677">
      <w:pPr>
        <w:pStyle w:val="TextoNormal"/>
      </w:pPr>
    </w:p>
    <w:p w14:paraId="609F7595" w14:textId="77777777" w:rsidR="009D7677" w:rsidRDefault="009D7677" w:rsidP="009D7677">
      <w:pPr>
        <w:pStyle w:val="TextoNormal"/>
      </w:pPr>
      <w:r>
        <w:t xml:space="preserve">El Tribunal Europeo de Derechos Humanos recuerda que el art. 3 CEDH reconoce uno de los valores fundamentales de las sociedades democráticas, estrechamente relacionado con el respeto de la dignidad humana, al reflejar una prohibición que no admite ninguna excepción, ni siquiera en caso de peligro público que amenace la vida de la Nación. Incluso en las circunstancias más difíciles como en la lucha contra el terrorismo y el crimen organizado, el Convenio prohíbe en términos absolutos la tortura, las penas y los tratos inhumanos o degradantes cualquiera que sea la naturaleza del delito imputado o la conducta investigada (SSTEDH de la Gran Sala de 6 de abril de 2000, asunto </w:t>
      </w:r>
      <w:r w:rsidRPr="009D7677">
        <w:rPr>
          <w:i/>
        </w:rPr>
        <w:t>Labita c. Italia</w:t>
      </w:r>
      <w:r>
        <w:t xml:space="preserve">, § 119; de 1 de junio de 2010, asunto </w:t>
      </w:r>
      <w:r w:rsidRPr="009D7677">
        <w:rPr>
          <w:i/>
        </w:rPr>
        <w:t>Gäfgen c. Alemania</w:t>
      </w:r>
      <w:r>
        <w:t xml:space="preserve">, § 87, y de 28 de septiembre de 2015, asunto </w:t>
      </w:r>
      <w:r w:rsidRPr="009D7677">
        <w:rPr>
          <w:i/>
        </w:rPr>
        <w:t>Bouyid c. Bélgica</w:t>
      </w:r>
      <w:r>
        <w:t>, § 81).</w:t>
      </w:r>
    </w:p>
    <w:p w14:paraId="1326BBA7" w14:textId="77777777" w:rsidR="009D7677" w:rsidRDefault="009D7677" w:rsidP="009D7677">
      <w:pPr>
        <w:pStyle w:val="TextoNormal"/>
      </w:pPr>
    </w:p>
    <w:p w14:paraId="427E7179" w14:textId="77777777" w:rsidR="009D7677" w:rsidRDefault="009D7677" w:rsidP="009D7677">
      <w:pPr>
        <w:pStyle w:val="TextoNormal"/>
      </w:pPr>
      <w:r>
        <w:t xml:space="preserve">El trato degradante se define por la jurisprudencia del Tribunal Europeo de Derechos Humanos como “aquel que es de una naturaleza tal, que provoca sentimientos de miedo, angustia e inferioridad orientados a humillar, degradar y quebrantar eventualmente la resistencia física o moral de la persona a quien se le aplican, o a obligarla a actuar en contra de su voluntad o su consciencia” (cit. </w:t>
      </w:r>
      <w:r w:rsidRPr="009D7677">
        <w:rPr>
          <w:i/>
        </w:rPr>
        <w:t>Gäfgen c. Alemania</w:t>
      </w:r>
      <w:r>
        <w:t xml:space="preserve">, § 89). Suele implicar lesiones corporales o un sufrimiento físico o mental intenso. Sin embargo, incluso si tales efectos no se producen, cuando el trato humilla o degrada, con faltas de respeto o menoscabo de la dignidad humana, o suscita sentimientos de miedo, angustia o inferioridad capaces de </w:t>
      </w:r>
      <w:r>
        <w:lastRenderedPageBreak/>
        <w:t xml:space="preserve">quebrar la resistencia moral y física de una persona, puede caracterizarse como degradante y entrar en el ámbito de la prohibición del art. 3 CEDH. Incluso puede ser suficiente que la víctima sea humillada ante sus propios ojos, aunque no ante los demás (cit. </w:t>
      </w:r>
      <w:r w:rsidRPr="009D7677">
        <w:rPr>
          <w:i/>
        </w:rPr>
        <w:t>Bouyid c. Bélgica</w:t>
      </w:r>
      <w:r>
        <w:t>, § 87).</w:t>
      </w:r>
    </w:p>
    <w:p w14:paraId="69D2E944" w14:textId="77777777" w:rsidR="009D7677" w:rsidRDefault="009D7677" w:rsidP="009D7677">
      <w:pPr>
        <w:pStyle w:val="TextoNormal"/>
      </w:pPr>
    </w:p>
    <w:p w14:paraId="5BE1A3E4" w14:textId="77777777" w:rsidR="009D7677" w:rsidRDefault="009D7677" w:rsidP="009D7677">
      <w:pPr>
        <w:pStyle w:val="TextoNormal"/>
      </w:pPr>
      <w:r>
        <w:t xml:space="preserve">En el aspecto procesal que interesa al objeto del presente recurso, el Tribunal de Estrasburgo ha reiterado que, cuando una persona denuncia fundadamente haber sufrido un trato prohibido por el art. 3 CEDH de manos de la policía o de otros agentes estatales, el deber general que el art. 1 CEDH impone al Estado de reconocer a toda persona bajo su jurisdicción los derechos y libertades definidos en el Convenio implica que deba existir una investigación oficial efectiva que permita identificar y castigar a las personas responsables. El propósito esencial de esta exigencia es garantizar la aplicación efectiva de las leyes internas que prohíben la tortura y las penas y tratos inhumanos o degradantes en casos en que están involucrados agentes o cuerpos estatales y asegurar su rendición de cuentas por el maltrato ocurrido bajo su responsabilidad (asunto </w:t>
      </w:r>
      <w:r w:rsidRPr="009D7677">
        <w:rPr>
          <w:i/>
        </w:rPr>
        <w:t>Bouyid c. Bélgica</w:t>
      </w:r>
      <w:r>
        <w:t xml:space="preserve">, § 117). Si no fuera así, la prohibición de la tortura o de los tratos inhumanos o degradantes sería inútil y los agentes estatales podrían abusar impunemente de los derechos de las personas sujetas a su control (STEDH de 28 de octubre de 1998, asunto </w:t>
      </w:r>
      <w:r w:rsidRPr="009D7677">
        <w:rPr>
          <w:i/>
        </w:rPr>
        <w:t>Assenov y otros c. Bulgaria</w:t>
      </w:r>
      <w:r>
        <w:t xml:space="preserve">, § 102; y SSTEDH de 6 de abril de 2000, Gran Sala, asunto </w:t>
      </w:r>
      <w:r w:rsidRPr="009D7677">
        <w:rPr>
          <w:i/>
        </w:rPr>
        <w:t>Labita c. Italia</w:t>
      </w:r>
      <w:r>
        <w:t xml:space="preserve">, § 131, y de 13 de diciembre de 2012, asunto </w:t>
      </w:r>
      <w:r w:rsidRPr="009D7677">
        <w:rPr>
          <w:i/>
        </w:rPr>
        <w:t>El-Masri c. ex-República Yugoslava de Macedonia</w:t>
      </w:r>
      <w:r>
        <w:t>, § 182).</w:t>
      </w:r>
    </w:p>
    <w:p w14:paraId="4DBD107F" w14:textId="77777777" w:rsidR="009D7677" w:rsidRDefault="009D7677" w:rsidP="009D7677">
      <w:pPr>
        <w:pStyle w:val="TextoNormal"/>
      </w:pPr>
    </w:p>
    <w:p w14:paraId="4558B486" w14:textId="77777777" w:rsidR="009D7677" w:rsidRDefault="009D7677" w:rsidP="009D7677">
      <w:pPr>
        <w:pStyle w:val="TextoNormal"/>
      </w:pPr>
      <w:r>
        <w:t xml:space="preserve">Por esta razón, en numerosas ocasiones, aunque el Tribunal Europeo de Derechos Humanos no haya apreciado una violación sustantiva del art. 3 CEDH por no considerar probado que el demandante fue sometido a un trato prohibido, esta apreciación no le ha impedido declarar vulnerado el aspecto procesal de dicho artículo ante la ausencia de una investigación profunda y efectiva de la denuncia (SSTEDH de 28 de septiembre de 2010, asunto </w:t>
      </w:r>
      <w:r w:rsidRPr="009D7677">
        <w:rPr>
          <w:i/>
        </w:rPr>
        <w:t>San Argimiro Isasa c. España</w:t>
      </w:r>
      <w:r>
        <w:t xml:space="preserve">, § 45 y 65, y de 8 de marzo de 2011, asunto </w:t>
      </w:r>
      <w:r w:rsidRPr="009D7677">
        <w:rPr>
          <w:i/>
        </w:rPr>
        <w:t>Beristain Ukar c. España</w:t>
      </w:r>
      <w:r>
        <w:t>, § 34 y 42).</w:t>
      </w:r>
    </w:p>
    <w:p w14:paraId="16E30222" w14:textId="77777777" w:rsidR="009D7677" w:rsidRDefault="009D7677" w:rsidP="009D7677">
      <w:pPr>
        <w:pStyle w:val="TextoNormal"/>
      </w:pPr>
    </w:p>
    <w:p w14:paraId="0D41214C" w14:textId="77777777" w:rsidR="009D7677" w:rsidRDefault="009D7677" w:rsidP="009D7677">
      <w:pPr>
        <w:pStyle w:val="TextoNormal"/>
      </w:pPr>
      <w:r>
        <w:t>Para evaluar si la investigación oficial ha sido efectiva, el Tribunal de Estrasburgo asume que su labor de análisis de las quejas comprendidas en el art. 3 CEDH puede llevarle a adoptar el papel de tribunal de primera instancia. El tribunal confirma que, a tal efecto, puede realizar un examen exhaustivo de las conclusiones de los tribunales nacionales, teniendo en cuenta la calidad de los procedimientos internos y cualquier posible defecto en el proceso de toma de decisiones (</w:t>
      </w:r>
      <w:r w:rsidRPr="009D7677">
        <w:rPr>
          <w:i/>
        </w:rPr>
        <w:t>Bouyid c. Bélgica</w:t>
      </w:r>
      <w:r>
        <w:t>, § 85).</w:t>
      </w:r>
    </w:p>
    <w:p w14:paraId="244CCF8F" w14:textId="77777777" w:rsidR="009D7677" w:rsidRDefault="009D7677" w:rsidP="009D7677">
      <w:pPr>
        <w:pStyle w:val="TextoNormal"/>
      </w:pPr>
    </w:p>
    <w:p w14:paraId="693CF404" w14:textId="77777777" w:rsidR="009D7677" w:rsidRDefault="009D7677" w:rsidP="009D7677">
      <w:pPr>
        <w:pStyle w:val="TextoNormal"/>
      </w:pPr>
      <w:r>
        <w:t>En nuestra doctrina, las exigencias de llevar a cabo una investigación suficiente y eficaz de esta clase de denuncias “tienen su encuadre constitucional más preciso en el derecho a la tutela judicial efectiva (art. 24.1 CE), pero su relación con el derecho a no ser sometido a tortura o tratos inhumanos o degradantes (art. 15 CE) impone que la valoración constitucional sobre la suficiencia de la indagación judicial dependa no solo de que las decisiones de sobreseimiento y archivo de las diligencias penales estén motivadas y jurídicamente fundadas, sino, además, de que sean acordes con la prohibición absoluta de las conductas denunciadas, según un parámetro de control constitucional reforzado. La función del Tribunal Constitucional tiene por objeto la protección de los derechos fundamentales afectados, sin perjuicio de la calificación jurídico-penal que corresponde realizar a la jurisdicción ordinaria” [STC 12/2022, de 7 de febrero, FJ 2 (i)].</w:t>
      </w:r>
    </w:p>
    <w:p w14:paraId="1E84A1F5" w14:textId="77777777" w:rsidR="009D7677" w:rsidRDefault="009D7677" w:rsidP="009D7677">
      <w:pPr>
        <w:pStyle w:val="TextoNormal"/>
      </w:pPr>
    </w:p>
    <w:p w14:paraId="30C57892" w14:textId="77777777" w:rsidR="009D7677" w:rsidRDefault="009D7677" w:rsidP="009D7677">
      <w:pPr>
        <w:pStyle w:val="TextoNormal"/>
      </w:pPr>
      <w:r>
        <w:t>El contenido de esta investigación exhaustiva ha sido abordado, entre otras muchas, en la STC 12/2022, FJ 2, alegada por el demandante y el fiscal, que la consideran de aplicación en la medida en que guarda relación con el presente caso al enjuiciarse la exhaustividad de una investigación judicial de una denuncia por maltrato a un interno en un departamento de aislamiento de un centro penitenciario. Tanto en esta sentencia como en pronunciamientos anteriores de carácter similar (STC 224/2007, de 22 de octubre, FJ 3; y en particular, STC 34/2008 de 25 de febrero, FJ 4), y en sentencias posteriores y recientes (SSTC 13/2022, de 7 febrero, FFJJ 2 y 3; 34/2022, de 7 de marzo, FJ 3; 122/2022, de 10 de octubre, FJ 3; 124/2022, de 10 de octubre, FJ 3, y 1/2024, de 15 de enero, FJ 2), el Tribunal ha reiterado que existe “un especial mandato de desarrollar una exhaustiva investigación en relación con las denuncias de este tipo de delitos, agotando cuantas posibilidades de indagación resulten útiles para aclarar los hechos, ya que es necesario acentuar las garantías por concurrir una situación especial en la que el ciudadano se encuentra provisionalmente bajo la custodia física del Estado. Este mandato, si bien no comporta la realización de todas las diligencias de investigación posibles, sí impone que no se clausure la instrucción judicial penal cuando existan sospechas razonables de que se ha podido cometer el delito [de torturas o de tratos inhumanos o degradantes] denunciado y cuando tales sospechas se revelen como susceptibles de ser despejadas a través de la actividad investigadora” [SSTC 12/2022, FJ 2 (ii), y 34/2022, FJ 3 (iii)].</w:t>
      </w:r>
    </w:p>
    <w:p w14:paraId="3BF9E8AD" w14:textId="77777777" w:rsidR="009D7677" w:rsidRDefault="009D7677" w:rsidP="009D7677">
      <w:pPr>
        <w:pStyle w:val="TextoNormal"/>
      </w:pPr>
    </w:p>
    <w:p w14:paraId="1FC6C9AF" w14:textId="77777777" w:rsidR="009D7677" w:rsidRDefault="009D7677" w:rsidP="009D7677">
      <w:pPr>
        <w:pStyle w:val="TextoNormal"/>
      </w:pPr>
      <w:r>
        <w:t>El examen de la suficiencia y efectividad de la investigación judicial y la necesidad de practicar nuevas diligencias solo puede efectuarse “atendiendo a las circunstancias concretas de la denuncia y de lo denunciado y a la gravedad de lo denunciado y su previa opacidad. Estas circunstancias afectan al grado de esfuerzo judicial exigido por el art. 24.1 CE. En este sentido, es preciso atender, entre otras circunstancias, a la probable escasez de pruebas existente en este tipo de delitos y la dificultad de la víctima de aportar medios de prueba sobre su comisión; a que la cualificación oficial de los denunciados debe compensarse con la firmeza judicial frente a la posible resistencia o demora en la aportación de medios de prueba, con especial atención a diligencias de prueba cuyo origen se sitúe al margen de las instituciones afectadas por la denuncia; y a que constituye una exigencia de racionalidad que la valoración del testimonio judicial del denunciante, que es un medio de indagación particularmente idóneo de las denuncias por tortura o por tratos inhumanos o degradantes” [SSTC 12/2022, FJ 2 (iii), y 34/2022, FJ 3 (ii)].</w:t>
      </w:r>
    </w:p>
    <w:p w14:paraId="7103F2E7" w14:textId="77777777" w:rsidR="009D7677" w:rsidRDefault="009D7677" w:rsidP="009D7677">
      <w:pPr>
        <w:pStyle w:val="TextoNormal"/>
      </w:pPr>
    </w:p>
    <w:p w14:paraId="37188A80" w14:textId="16E6D2C5" w:rsidR="009D7677" w:rsidRDefault="009D7677" w:rsidP="009D7677">
      <w:pPr>
        <w:pStyle w:val="TextoNormal"/>
      </w:pPr>
      <w:r>
        <w:t>Finalmente, la casuística de este tribunal, resumida en las SSTC 13/2022, FJ 2; 34/2022, FJ 3, y 124/2022, FJ 3, evidencia que se ha estimado la pretensión de amparo en supuestos en que, existiendo sospechas razonables de delito y siendo útil continuar la instrucción practicando diligencias para despejar las sospechas de tratos prohibidos por el art. 15 CE, se decreta el sobreseimiento provisional sin tomar declaración a la persona denunciante; sin oír al letrado de oficio que asistió a la persona detenida en dependencias policiales; sin recibir declaración a los profesionales que le prestaron asistencia sanitaria; sin identificar ni tomar declaración a los funcionarios y agentes de las fuerzas y cuerpos de seguridad del Estado encargados de la custodia; sin oír a las personas identificadas como posibles testigos; o cuando únicamente obra como diligencia de investigación el informe del cuerpo policial al que se le imputan los hechos al cuestionar la independencia de la investigación.</w:t>
      </w:r>
    </w:p>
    <w:p w14:paraId="53C92482" w14:textId="77777777" w:rsidR="009D7677" w:rsidRDefault="009D7677" w:rsidP="009D7677">
      <w:pPr>
        <w:pStyle w:val="TextoNormal"/>
      </w:pPr>
    </w:p>
    <w:p w14:paraId="29348DB1" w14:textId="77777777" w:rsidR="009D7677" w:rsidRDefault="009D7677" w:rsidP="009D7677">
      <w:pPr>
        <w:pStyle w:val="TextoNormal"/>
      </w:pPr>
      <w:r w:rsidRPr="009D7677">
        <w:rPr>
          <w:rStyle w:val="NumeroAFNegritaCaracter"/>
        </w:rPr>
        <w:lastRenderedPageBreak/>
        <w:t>3</w:t>
      </w:r>
      <w:r>
        <w:t xml:space="preserve">. </w:t>
      </w:r>
      <w:r w:rsidRPr="009D7677">
        <w:rPr>
          <w:i/>
        </w:rPr>
        <w:t>Aplicación de la doctrina al análisis de la queja de incumplimiento de las exigencias de una investigación judicial suficiente y eficaz</w:t>
      </w:r>
    </w:p>
    <w:p w14:paraId="24D1873E" w14:textId="77777777" w:rsidR="009D7677" w:rsidRDefault="009D7677" w:rsidP="009D7677">
      <w:pPr>
        <w:pStyle w:val="TextoNormal"/>
      </w:pPr>
    </w:p>
    <w:p w14:paraId="49D3F25F" w14:textId="77777777" w:rsidR="009D7677" w:rsidRDefault="009D7677" w:rsidP="009D7677">
      <w:pPr>
        <w:pStyle w:val="TextoNormal"/>
      </w:pPr>
      <w:r>
        <w:t>a) El recurrente se queja de que las resoluciones impugnadas determinaron la clausura prematura de la causa penal sin dar cumplimiento a las exigencias constitucionales de efectuar una investigación suficiente y eficaz de su denuncia por el trato degradante que dice haber padecido durante el tiempo en que estuvo preso preventivo en el centro penitenciario Las Palmas I.</w:t>
      </w:r>
    </w:p>
    <w:p w14:paraId="76B020BA" w14:textId="77777777" w:rsidR="009D7677" w:rsidRDefault="009D7677" w:rsidP="009D7677">
      <w:pPr>
        <w:pStyle w:val="TextoNormal"/>
      </w:pPr>
    </w:p>
    <w:p w14:paraId="4EE5AD80" w14:textId="77777777" w:rsidR="009D7677" w:rsidRDefault="009D7677" w:rsidP="009D7677">
      <w:pPr>
        <w:pStyle w:val="TextoNormal"/>
      </w:pPr>
      <w:r>
        <w:t>Como ha quedado expuesto en los antecedentes de hecho, el recurrente remitió una queja al Juzgado de Vigilancia Penitenciaria núm. 1 de Las Palmas de Gran Canaria en la que denunciaba que, debido al mayor trabajo que su presencia suponía para los funcionarios de un centro penitenciario que carecía de un módulo para presos que como él estaban clasificados como FIES 4-FS por su condición de policía, los funcionarios encargados de su custodia lo sometieron a lo que a su juicio era una situación de maltrato con relevancia penal: amenazas, insultos, represalias con horarios arbitrarios, convivencia con presos comunes, privaciones de comunicaciones íntimas, pérdida de enseres y provocaciones tras la excarcelación.</w:t>
      </w:r>
    </w:p>
    <w:p w14:paraId="4E78E714" w14:textId="77777777" w:rsidR="009D7677" w:rsidRDefault="009D7677" w:rsidP="009D7677">
      <w:pPr>
        <w:pStyle w:val="TextoNormal"/>
      </w:pPr>
    </w:p>
    <w:p w14:paraId="4CEF99BF" w14:textId="77777777" w:rsidR="009D7677" w:rsidRDefault="009D7677" w:rsidP="009D7677">
      <w:pPr>
        <w:pStyle w:val="TextoNormal"/>
      </w:pPr>
      <w:r>
        <w:t>El juzgado de vigilancia se inhibió a los juzgados de instrucción al poder “ser los hechos constitutivos de la realización un presunto hecho delictivo” y la queja dio origen a un procedimiento penal (diligencias previas núm. 5807-2018) en el que, sin practicar ninguna diligencia, el Juzgado de Instrucción núm. 4 de Las Palmas de Gran Canaria decretó, mediante auto de 18 de diciembre de 2018, la incoación y el sobreseimiento provisional de la causa al no aparecer debidamente justificada la perpetración del delito que dio lugar a su incoación, conforme a lo dispuesto en el art. 641.1 LECrim, que establece que procederá el sobreseimiento provisional “[c]uando no resulte debidamente justificada la perpetración del delito que haya dado motivo a la formación de la causa”.</w:t>
      </w:r>
    </w:p>
    <w:p w14:paraId="17AE9086" w14:textId="77777777" w:rsidR="009D7677" w:rsidRDefault="009D7677" w:rsidP="009D7677">
      <w:pPr>
        <w:pStyle w:val="TextoNormal"/>
      </w:pPr>
    </w:p>
    <w:p w14:paraId="3495311F" w14:textId="77777777" w:rsidR="009D7677" w:rsidRDefault="009D7677" w:rsidP="009D7677">
      <w:pPr>
        <w:pStyle w:val="TextoNormal"/>
      </w:pPr>
      <w:r>
        <w:t>El recurrente se personó en el procedimiento para ejercer la acusación particular y solicitó la reapertura de la causa y la práctica de diversas diligencias. El Juzgado de Instrucción núm. 4, mediante auto de 6 de julio de 2020, decretó la reapertura y practicó alguna de las diligencias propuestas (declaración del perjudicado e incorporación del expediente penitenciario) y otras de oficio (informe del director del centro e incorporación de las resoluciones del juzgado de vigilancia penitenciaria). No obstante, no se pronunció sobre la propuesta de recibir declaración como investigados a los tres funcionarios denunciados, previa su identificación completa, a los testigos (dos internos, la hermana y la pareja del denunciante), ni sobre la remisión de un oficio a la empresa de transporte para que informara sobre el servicio prestado relacionado con el traslado de sus enseres.</w:t>
      </w:r>
    </w:p>
    <w:p w14:paraId="04296F0E" w14:textId="77777777" w:rsidR="009D7677" w:rsidRDefault="009D7677" w:rsidP="009D7677">
      <w:pPr>
        <w:pStyle w:val="TextoNormal"/>
      </w:pPr>
    </w:p>
    <w:p w14:paraId="568A8A39" w14:textId="77777777" w:rsidR="009D7677" w:rsidRDefault="009D7677" w:rsidP="009D7677">
      <w:pPr>
        <w:pStyle w:val="TextoNormal"/>
      </w:pPr>
      <w:r>
        <w:t>Sobre la base de la declaración del perjudicado, del informe del director del centro y del resto de documentos y testimonios aportados y recabados, el Juzgado de Instrucción núm. 4, mediante auto de 15 de abril de 2021, sobreseyó nuevamente la causa por el mismo motivo (art. 641.1 LECrim), al no encontrar “indicios suficientes para entender acreditada la comisión de las infracciones penales denunciadas”. La nueva resolución cuestionaba la entidad penal de los hechos, que reputaba meras discrepancias con la aplicación del régimen de vida. También valoraba que el propio interno había participado en los cambios de régimen con sus distintas demandas, criticaba la generalidad de las imputaciones reali</w:t>
      </w:r>
      <w:r>
        <w:lastRenderedPageBreak/>
        <w:t>zadas, afirmaba que no existía prueba de la pérdida intencionada de sus enseres en el traslado a Madrid, sostenía que la fijación del régimen no era competencia de los funcionarios denunciados y, finalmente, afirmaba que las quejas sobre tal pérdida y las comunicaciones íntimas ya fueron tuteladas por el juzgado de vigilancia penitenciaria.</w:t>
      </w:r>
    </w:p>
    <w:p w14:paraId="5044D093" w14:textId="77777777" w:rsidR="009D7677" w:rsidRDefault="009D7677" w:rsidP="009D7677">
      <w:pPr>
        <w:pStyle w:val="TextoNormal"/>
      </w:pPr>
    </w:p>
    <w:p w14:paraId="4CCF21B3" w14:textId="77777777" w:rsidR="009D7677" w:rsidRDefault="009D7677" w:rsidP="009D7677">
      <w:pPr>
        <w:pStyle w:val="TextoNormal"/>
      </w:pPr>
      <w:r>
        <w:t>El ahora demandante de amparo interpuso recurso de reforma contra tal decisión. Alegó que los hechos denunciados iban más allá de un simple “malestar” con su régimen de vida, y, sobre todo, criticó que no se hubiesen practicado todas las diligencias interesadas (la identificación completa y citación de los tres funcionarios denunciados para declarar como investigados, las testificales y la remisión del oficio a la empresa de transportes) y que tampoco se hubiese razonado sobre “la imposibilidad de conseguir indicio alguno”. El Juzgado de Instrucción núm. 4, mediante auto de 28 de mayo de 2021, desestimó la reforma, dando por reproducidos los argumentos del auto recurrido, y el recurrente reiteró sus alegaciones en el recurso de apelación.</w:t>
      </w:r>
    </w:p>
    <w:p w14:paraId="38287846" w14:textId="77777777" w:rsidR="009D7677" w:rsidRDefault="009D7677" w:rsidP="009D7677">
      <w:pPr>
        <w:pStyle w:val="TextoNormal"/>
      </w:pPr>
    </w:p>
    <w:p w14:paraId="1539132D" w14:textId="77777777" w:rsidR="009D7677" w:rsidRDefault="009D7677" w:rsidP="009D7677">
      <w:pPr>
        <w:pStyle w:val="TextoNormal"/>
      </w:pPr>
      <w:r>
        <w:t>La Sección Segunda de la Audiencia Provincial de las Palmas, mediante auto núm. 769/2021, de 27 de septiembre, desestimó el recurso. En sus razonamientos, la sala daba a entender que los hechos no revestían carácter delictivo al faltar el “plus de antijuridicidad” para que el derecho penal interviniese. No obstante, ratificó el sobreseimiento provisional de la causa al no resultar debidamente justificada la perpetración del delito ni existir “base indiciaria para continuar la investigación”, sin perjuicio de su reapertura “tan pronto como se ofrezcan nuevos datos o nuevas perspectivas de éxito en la investigación en orden a la certeza de los hechos”.</w:t>
      </w:r>
    </w:p>
    <w:p w14:paraId="503DACC7" w14:textId="77777777" w:rsidR="009D7677" w:rsidRDefault="009D7677" w:rsidP="009D7677">
      <w:pPr>
        <w:pStyle w:val="TextoNormal"/>
      </w:pPr>
    </w:p>
    <w:p w14:paraId="777DE98D" w14:textId="77777777" w:rsidR="009D7677" w:rsidRDefault="009D7677" w:rsidP="009D7677">
      <w:pPr>
        <w:pStyle w:val="TextoNormal"/>
      </w:pPr>
      <w:r>
        <w:t>b) A la vista de los antecedentes anteriores, debemos enjuiciar si el sobreseimiento provisional y archivo de la denuncia del recurrente de haber padecido tratos degradantes cuando se hallaba interno en el centro penitenciario Las Palmas I se ajustó a las exigencias constitucionales de llevar a cabo una investigación suficiente y eficaz que hubiera permitido disipar cualquier sospecha de la existencia de tales tratos.</w:t>
      </w:r>
    </w:p>
    <w:p w14:paraId="26A305D4" w14:textId="77777777" w:rsidR="009D7677" w:rsidRDefault="009D7677" w:rsidP="009D7677">
      <w:pPr>
        <w:pStyle w:val="TextoNormal"/>
      </w:pPr>
    </w:p>
    <w:p w14:paraId="577C2275" w14:textId="77777777" w:rsidR="009D7677" w:rsidRDefault="009D7677" w:rsidP="009D7677">
      <w:pPr>
        <w:pStyle w:val="TextoNormal"/>
      </w:pPr>
      <w:r>
        <w:t>Estas exigencias específicas de investigación exhaustiva, derivadas de la finalidad de erradicar los tratos prohibidos por el art. 15 CE, se suman a las exigencias generales de tutela judicial. De ahí que, como se ha dicho en el fundamento anterior, para enjuiciar constitucionalmente si una decisión de sobreseimiento de una denuncia de este tipo respeta el derecho a la tutela judicial efectiva no basta solo con analizar si el órgano judicial ha ofrecido una respuesta motivada y jurídicamente fundada, sino que es preciso comprobar que, existiendo sospechas razonables de delito, resultaba útil practicar aquellas diligencias que se revelasen idóneas para despejar tales sospechas. “Si hay sospechas razonables de maltrato y modo aún de despejarlas no puede considerarse investigación oficial eficaz la que proceda al archivo de las actuaciones” (STC 34/2008, FJ 8).</w:t>
      </w:r>
    </w:p>
    <w:p w14:paraId="2FA9FAD1" w14:textId="77777777" w:rsidR="009D7677" w:rsidRDefault="009D7677" w:rsidP="009D7677">
      <w:pPr>
        <w:pStyle w:val="TextoNormal"/>
      </w:pPr>
    </w:p>
    <w:p w14:paraId="2E41A8B5" w14:textId="77777777" w:rsidR="009D7677" w:rsidRDefault="009D7677" w:rsidP="009D7677">
      <w:pPr>
        <w:pStyle w:val="TextoNormal"/>
      </w:pPr>
      <w:r>
        <w:t>En el caso examinado debe reconocerse que el juzgado de instrucción, tras una primera decisión de sobreseimiento provisional que se dejó sin efecto con la reapertura de la causa a instancias de la acusación particular, comenzó a investigar los hechos recibiendo declaración al denunciante asistido de su letrada, practicando así una de las diligencias que la jurisprudencia constitucional considera particularmente idónea para el esclarecimiento de esta clase de delitos. Asimismo, el juzgado recabó informe del director de la prisión y di</w:t>
      </w:r>
      <w:r>
        <w:lastRenderedPageBreak/>
        <w:t>versos documentos relacionados con las quejas del interno ante el juzgado de vigilancia penitenciaria.</w:t>
      </w:r>
    </w:p>
    <w:p w14:paraId="06993F68" w14:textId="77777777" w:rsidR="009D7677" w:rsidRDefault="009D7677" w:rsidP="009D7677">
      <w:pPr>
        <w:pStyle w:val="TextoNormal"/>
      </w:pPr>
    </w:p>
    <w:p w14:paraId="2E904010" w14:textId="77777777" w:rsidR="009D7677" w:rsidRDefault="009D7677" w:rsidP="009D7677">
      <w:pPr>
        <w:pStyle w:val="TextoNormal"/>
      </w:pPr>
      <w:r>
        <w:t>Practicadas estas diligencias, el órgano judicial sobreseyó de nuevo la causa de forma provisional, al considerar que no existían indicios suficientes para entender acreditada la comisión de las infracciones penales denunciadas. El sobreseimiento se justificó en consideraciones relativas a la irrelevancia penal —al menos en parte— de los hechos investigados, en el carácter genérico de las imputaciones realizadas, en la ausencia de elementos probatorios y en el hecho de que alguna de las quejas ya había sido tutelada por el juzgado de vigilancia. En su decisión, el juzgado no ofreció ninguna respuesta a la solicitud de practicar aquellas diligencias que el demandante venía proponiendo desde su queja manuscrita inicial y que había sido reiterada por su representación procesal durante el procedimiento y en los recursos de reforma y de apelación: la identificación completa y citación de los tres funcionarios denunciados para declarar como investigados, la declaración de varios testigos y la remisión de un oficio a la empresa de transportes. Los respectivos autos que desestimaron los recursos de reforma y de apelación confirmaron los motivos del sobreseimiento y tampoco dieron respuesta a la solicitud de diligencias.</w:t>
      </w:r>
    </w:p>
    <w:p w14:paraId="00ABC56E" w14:textId="77777777" w:rsidR="009D7677" w:rsidRDefault="009D7677" w:rsidP="009D7677">
      <w:pPr>
        <w:pStyle w:val="TextoNormal"/>
      </w:pPr>
    </w:p>
    <w:p w14:paraId="1722ECC8" w14:textId="77777777" w:rsidR="009D7677" w:rsidRDefault="009D7677" w:rsidP="009D7677">
      <w:pPr>
        <w:pStyle w:val="TextoNormal"/>
      </w:pPr>
      <w:r>
        <w:t>Si examinamos la investigación judicial a través de las diligencias practicadas para comprobar si la causa se cerró de forma prematura o si se agotaron las posibilidades de investigación, nos encontramos con que, junto a la documental y la declaración del denunciante, solo existe un informe del director de la prisión, responsable del centro donde el recurrente estuvo preso. Además, observamos que no se han practicado una serie de diligencias propuestas por el recurrente (testificales, identificación de los funcionarios para declarar como investigados), cuya idoneidad en la investigación de esta clase de denuncias ha sido apreciada en nuestros precedentes a la hora de estimar recursos de amparo contra decisiones de sobreseimiento provisional dictadas en procedimientos penales que tenían por objeto investigar hechos similares.</w:t>
      </w:r>
    </w:p>
    <w:p w14:paraId="56A7A7AD" w14:textId="77777777" w:rsidR="009D7677" w:rsidRDefault="009D7677" w:rsidP="009D7677">
      <w:pPr>
        <w:pStyle w:val="TextoNormal"/>
      </w:pPr>
    </w:p>
    <w:p w14:paraId="478B400B" w14:textId="77777777" w:rsidR="009D7677" w:rsidRDefault="009D7677" w:rsidP="009D7677">
      <w:pPr>
        <w:pStyle w:val="TextoNormal"/>
      </w:pPr>
      <w:r>
        <w:t>Dado que en el enjuiciamiento constitucional de estas quejas hay que estar a las circunstancias concretas, atendiendo a los hechos denunciados, a la disponibilidad o dificultad probatoria y a la respuesta ofrecida por la jurisdicción ordinaria, a la que corresponde la calificación jurídico-penal de los hechos, procede el análisis a la luz del caso planteado por el recurrente sin caer en automatismos. En el presente supuesto tanto el juzgado como la audiencia provincial consideraron que no había indicios suficientes para entender acreditada la comisión de las infracciones penales denunciadas. Por tal motivo el juzgado acordó y el tribunal de apelación confirmó el sobreseimiento provisional de la causa, sin perjuicio —dada su provisionalidad— de su reapertura “tan pronto como se ofrezcan nuevos datos o nuevas perspectivas de éxito en la investigación en orden a la certeza […] de los hechos”, como se recogía en el auto desestimatorio del recurso de apelación.</w:t>
      </w:r>
    </w:p>
    <w:p w14:paraId="5125434F" w14:textId="77777777" w:rsidR="009D7677" w:rsidRDefault="009D7677" w:rsidP="009D7677">
      <w:pPr>
        <w:pStyle w:val="TextoNormal"/>
      </w:pPr>
    </w:p>
    <w:p w14:paraId="6B67A7D9" w14:textId="77777777" w:rsidR="009D7677" w:rsidRDefault="009D7677" w:rsidP="009D7677">
      <w:pPr>
        <w:pStyle w:val="TextoNormal"/>
      </w:pPr>
      <w:r>
        <w:t xml:space="preserve">Por tanto, los órganos judiciales razonaron sobre la irrelevancia penal de algunos hechos (los que habrían sido objeto de tutela judicial por el juzgado de vigilancia), pero no de todos, como los insultos, amenazas o represalias sobre los que se decía que no había indicios. Así, el cierre de la investigación se efectuó de forma interina y sin descartar la presencia de hechos delictivos. Y, pese al carácter genérico que el juzgado atribuyó a las imputaciones realizadas por el denunciante, ninguno de los dos órganos judiciales intervinientes descartó definitivamente las sospechas delictivas. Estas subsistían, solo que se </w:t>
      </w:r>
      <w:r>
        <w:lastRenderedPageBreak/>
        <w:t>consideraba que no era posible continuar las pesquisas mientras no apareciesen “nuevos datos o nuevas perspectivas”.</w:t>
      </w:r>
    </w:p>
    <w:p w14:paraId="2F22651B" w14:textId="77777777" w:rsidR="009D7677" w:rsidRDefault="009D7677" w:rsidP="009D7677">
      <w:pPr>
        <w:pStyle w:val="TextoNormal"/>
      </w:pPr>
    </w:p>
    <w:p w14:paraId="57097A70" w14:textId="77777777" w:rsidR="009D7677" w:rsidRDefault="009D7677" w:rsidP="009D7677">
      <w:pPr>
        <w:pStyle w:val="TextoNormal"/>
      </w:pPr>
      <w:r>
        <w:t>La posibilidad de obtener esos datos la ofreció el recurrente a los órganos judiciales insistiendo en su propuesta de practicar las ya citadas diligencias. A pesar de ello, ninguno de ellos la tomó en consideración para aceptarla o rechazarla motivando la razón por la que tales diligencias resultarían o no idóneas para despejar las sospechas de los tratos degradantes denunciados. Además, cabe recordar aquí que las diligencias solicitadas por el recurrente estaban en sintonía con las que la práctica constitucional suele considerar útiles para el desarrollo de una investigación suficiente y eficaz en estos casos.</w:t>
      </w:r>
    </w:p>
    <w:p w14:paraId="35823B94" w14:textId="77777777" w:rsidR="009D7677" w:rsidRDefault="009D7677" w:rsidP="009D7677">
      <w:pPr>
        <w:pStyle w:val="TextoNormal"/>
      </w:pPr>
    </w:p>
    <w:p w14:paraId="17868C75" w14:textId="77777777" w:rsidR="009D7677" w:rsidRDefault="009D7677" w:rsidP="009D7677">
      <w:pPr>
        <w:pStyle w:val="TextoNormal"/>
      </w:pPr>
      <w:r>
        <w:t>c) Es cierto que la investigación judicial se emprendió y tuvo un cierto contenido, no obstante también lo es que el sobreseimiento provisional de la causa fue prematuro y vulneró el derecho a la tutela judicial efectiva sin indefensión del demandante (art. 24.1 CE), en relación con el derecho a no ser sometido a tratos degradantes (art. 15 CE). Y ello porque los órganos judiciales no descartaron las sospechas delictivas y el sobreseimiento se adoptó y se confirmó cuando aún existían diligencias propuestas sobre las que los órganos judiciales tenían que haberse pronunciado decidiendo o no su práctica para desvanecer las sospechas de maltrato.</w:t>
      </w:r>
    </w:p>
    <w:p w14:paraId="36540E4F" w14:textId="77777777" w:rsidR="009D7677" w:rsidRDefault="009D7677" w:rsidP="009D7677">
      <w:pPr>
        <w:pStyle w:val="TextoNormal"/>
      </w:pPr>
    </w:p>
    <w:p w14:paraId="66BF84EA" w14:textId="35381136" w:rsidR="009D7677" w:rsidRDefault="009D7677" w:rsidP="009D7677">
      <w:pPr>
        <w:pStyle w:val="TextoNormal"/>
      </w:pPr>
      <w:r>
        <w:t>En consecuencia, el recurso de amparo debe estimarse [arts. 53 a) y 54 LOTC] y, conforme a lo dispuesto en el art. 55.1 LOTC, debe reconocerse el derecho a la tutela judicial efectiva sin indefensión del demandante, en relación con el derecho a no ser sometido a tratos degradantes; deben anularse las resoluciones impugnadas; y retrotraer las actuaciones al momento inmediatamente anterior al dictado del auto anulado de 15 de abril de 2021, para que el Juzgado de Instrucción núm. 4 de Las Palmas de Gran Canaria proceda en términos respetuosos con el derecho fundamental reconocido.</w:t>
      </w:r>
    </w:p>
    <w:p w14:paraId="6B6B30A8" w14:textId="77777777" w:rsidR="009D7677" w:rsidRDefault="009D7677" w:rsidP="009D7677">
      <w:pPr>
        <w:pStyle w:val="TextoNormal"/>
      </w:pPr>
    </w:p>
    <w:p w14:paraId="1716D9FD" w14:textId="77777777" w:rsidR="009D7677" w:rsidRDefault="009D7677" w:rsidP="009D7677">
      <w:pPr>
        <w:pStyle w:val="TextoNormalCentrado"/>
        <w:keepNext/>
      </w:pPr>
      <w:r>
        <w:t>FALLO</w:t>
      </w:r>
    </w:p>
    <w:p w14:paraId="670AD44A" w14:textId="257F135F" w:rsidR="009D7677" w:rsidRDefault="009D7677" w:rsidP="009D7677">
      <w:pPr>
        <w:pStyle w:val="TextoNormalCentrado"/>
        <w:keepNext/>
      </w:pPr>
    </w:p>
    <w:p w14:paraId="046A9D23" w14:textId="77777777" w:rsidR="009D7677" w:rsidRDefault="009D7677" w:rsidP="009D7677">
      <w:pPr>
        <w:pStyle w:val="TextoNormal"/>
      </w:pPr>
      <w:r>
        <w:t>En atención a todo lo expuesto, el Tribunal Constitucional, por la autoridad que le confiere la Constitución de la Nación española, ha decidido estimar el recurso de amparo interpuesto por don Carlos Alberto García Cruz y, en su virtud:</w:t>
      </w:r>
    </w:p>
    <w:p w14:paraId="68465973" w14:textId="77777777" w:rsidR="009D7677" w:rsidRDefault="009D7677" w:rsidP="009D7677">
      <w:pPr>
        <w:pStyle w:val="TextoNormal"/>
      </w:pPr>
    </w:p>
    <w:p w14:paraId="66D591AE" w14:textId="77777777" w:rsidR="009D7677" w:rsidRDefault="009D7677" w:rsidP="009D7677">
      <w:pPr>
        <w:pStyle w:val="TextoNormal"/>
      </w:pPr>
      <w:r>
        <w:t>1º Declarar que ha sido vulnerado el derecho del recurrente a la tutela judicial efectiva sin indefensión (art. 24.1 CE), en relación con el derecho a no ser sometido a tratos degradantes (art. 15 CE).</w:t>
      </w:r>
    </w:p>
    <w:p w14:paraId="5C9D6289" w14:textId="77777777" w:rsidR="009D7677" w:rsidRDefault="009D7677" w:rsidP="009D7677">
      <w:pPr>
        <w:pStyle w:val="TextoNormal"/>
      </w:pPr>
    </w:p>
    <w:p w14:paraId="502AEC86" w14:textId="77777777" w:rsidR="009D7677" w:rsidRDefault="009D7677" w:rsidP="009D7677">
      <w:pPr>
        <w:pStyle w:val="TextoNormal"/>
      </w:pPr>
      <w:r>
        <w:t>2º Restablecerlo en su derecho y, a tal fin, anular los autos de 15 de abril y de 28 de mayo de 2021, dictados por el Juzgado de Instrucción núm. 4 de Las Palmas de Gran Canaria, en las diligencias previas núm. 5807-2018, y el auto núm. 769/2021, de 27 de septiembre, de la Sección Segunda de la Audiencia Provincial de Las Palmas, dictado en el recurso de apelación núm. 738-2021.</w:t>
      </w:r>
    </w:p>
    <w:p w14:paraId="0DFEB1A4" w14:textId="77777777" w:rsidR="009D7677" w:rsidRDefault="009D7677" w:rsidP="009D7677">
      <w:pPr>
        <w:pStyle w:val="TextoNormal"/>
      </w:pPr>
    </w:p>
    <w:p w14:paraId="49BB4502" w14:textId="14B58FAB" w:rsidR="009D7677" w:rsidRDefault="009D7677" w:rsidP="009D7677">
      <w:pPr>
        <w:pStyle w:val="TextoNormal"/>
      </w:pPr>
      <w:r>
        <w:t>3º Retrotraer las actuaciones al momento anterior al dictado del primero de los autos anulados para que el Juzgado de Instrucción núm. 4 de Las Palmas de Gran Canaria proceda en términos respetuosos con el derecho fundamental reconocido.</w:t>
      </w:r>
    </w:p>
    <w:p w14:paraId="2506BE54" w14:textId="77777777" w:rsidR="009D7677" w:rsidRDefault="009D7677" w:rsidP="009D7677">
      <w:pPr>
        <w:pStyle w:val="TextoNormal"/>
      </w:pPr>
    </w:p>
    <w:p w14:paraId="506A2D00" w14:textId="77777777" w:rsidR="009D7677" w:rsidRDefault="009D7677" w:rsidP="009D7677">
      <w:pPr>
        <w:pStyle w:val="TextoNormal"/>
      </w:pPr>
      <w:r>
        <w:lastRenderedPageBreak/>
        <w:t>Publíquese esta sentencia en el “Boletín Oficial del Estado”.</w:t>
      </w:r>
    </w:p>
    <w:p w14:paraId="6F23051B" w14:textId="77777777" w:rsidR="009D7677" w:rsidRDefault="009D7677" w:rsidP="009D7677">
      <w:pPr>
        <w:pStyle w:val="TextoNormal"/>
      </w:pPr>
      <w:r>
        <w:t>Dada en Madrid, a once de marzo de dos mil veinticuatro.</w:t>
      </w:r>
    </w:p>
    <w:p w14:paraId="03C0C9D4" w14:textId="144D28CD" w:rsidR="009D7677" w:rsidRDefault="009D7677" w:rsidP="009D7677">
      <w:pPr>
        <w:pStyle w:val="ParrafoNormal"/>
      </w:pPr>
    </w:p>
    <w:p w14:paraId="6DE205B7" w14:textId="77777777" w:rsidR="009D7677" w:rsidRDefault="009D7677" w:rsidP="009D7677">
      <w:pPr>
        <w:pStyle w:val="TextoNormalNegritaCentrado"/>
        <w:keepNext/>
      </w:pPr>
      <w:r>
        <w:t>Voto particular que formulan conjuntamente los magistrados don César Tolosa Tribiño y don Enrique Arnaldo Alcubilla a la sentencia dictada en el recurso de amparo núm. 7311-2021, interpuesto por don Carlos Alberto García Cruz</w:t>
      </w:r>
    </w:p>
    <w:p w14:paraId="080B4E7B" w14:textId="34CE6AC0" w:rsidR="009D7677" w:rsidRDefault="009D7677" w:rsidP="009D7677">
      <w:pPr>
        <w:pStyle w:val="TextoNormalNegritaCentrado"/>
        <w:keepNext/>
      </w:pPr>
    </w:p>
    <w:p w14:paraId="1CC07546" w14:textId="77777777" w:rsidR="009D7677" w:rsidRDefault="009D7677" w:rsidP="009D7677">
      <w:pPr>
        <w:pStyle w:val="TextoNormal"/>
      </w:pPr>
      <w:r>
        <w:t>En el ejercicio de la facultad que nos confiere el art. 90.2 de la Ley Orgánica del Tribunal Constitucional, y con respeto a la opinión del resto de los integrantes de la Sala, formulamos el presente voto particular.</w:t>
      </w:r>
    </w:p>
    <w:p w14:paraId="5B43DFE8" w14:textId="77777777" w:rsidR="009D7677" w:rsidRDefault="009D7677" w:rsidP="009D7677">
      <w:pPr>
        <w:pStyle w:val="TextoNormal"/>
      </w:pPr>
    </w:p>
    <w:p w14:paraId="3A8ADC6F" w14:textId="77777777" w:rsidR="009D7677" w:rsidRDefault="009D7677" w:rsidP="009D7677">
      <w:pPr>
        <w:pStyle w:val="TextoNormal"/>
      </w:pPr>
      <w:r>
        <w:t>La sentencia de la que discrepamos ha omitido valorar si en el caso planteado las conductas denunciadas alcanzan un mínimo de gravedad para adentrarse en el ámbito de tutela de los arts. 3 CEDH y 15 CE. De dicho omitido análisis dependía la proyección o no de la tutela reforzada sobre la que descansa la sentencia y consiguientemente el otorgamiento del amparo.</w:t>
      </w:r>
    </w:p>
    <w:p w14:paraId="71486B98" w14:textId="77777777" w:rsidR="009D7677" w:rsidRDefault="009D7677" w:rsidP="009D7677">
      <w:pPr>
        <w:pStyle w:val="TextoNormal"/>
      </w:pPr>
    </w:p>
    <w:p w14:paraId="65D4E7F2" w14:textId="77777777" w:rsidR="009D7677" w:rsidRDefault="009D7677" w:rsidP="009D7677">
      <w:pPr>
        <w:pStyle w:val="TextoNormal"/>
      </w:pPr>
      <w:r>
        <w:t>Un examen detenido de tales conductas hubiera imposibilitado la proyección al supuesto enjuiciado de la doctrina constitucional aplicada y consiguientemente conducido a la desestimación de la demanda. Existe un riesgo evidente en el caso de que no se aquilate correctamente la proyección de la tutela reforzada exigida por los arts. 3 CEDH, 24.1 y 15 CE: si cualquier conducta es calificada de tortura se desnaturalizará dicho concepto y se terminará por banalizar el contenido y la protección del art. 15 CE.</w:t>
      </w:r>
    </w:p>
    <w:p w14:paraId="47015C43" w14:textId="77777777" w:rsidR="009D7677" w:rsidRDefault="009D7677" w:rsidP="009D7677">
      <w:pPr>
        <w:pStyle w:val="TextoNormal"/>
      </w:pPr>
    </w:p>
    <w:p w14:paraId="5AA0D48E" w14:textId="77777777" w:rsidR="009D7677" w:rsidRDefault="009D7677" w:rsidP="009D7677">
      <w:pPr>
        <w:pStyle w:val="TextoNormal"/>
      </w:pPr>
      <w:r>
        <w:t>En efecto, sin razonar acerca de la concurrencia de dicha premisa, sin aseverar la existencia de indicios de torturas, tratos inhumanos o degradantes, no es posible calificar la decisión de archivo de la causa penal como merecedora de una tutela judicial “reforzada” (por todas, SSTC 63/2001, de 17 de marzo, FJ 7; 164/2003, de 29 de septiembre, FJ 5; 63/2005, de 14 de marzo, FJ 3, y 224/2007, de 22 de octubre, FJ 3), al no poderse aseverar que esté implicado (STC 11/2004, de 9 de febrero, FJ 2), vinculado (STC 180/2005, de 4 de julio, FJ 7), conectado (SSTC 25/2000, de 31 de enero, FJ 2; 11/2004, de 9 de febrero, FJ 2, y 71/2004, de 19 de abril, FJ 4), en juego (SSTC 63/2001, de 17 de marzo, FJ 7, y 115/2003, de 16 de junio, FJ 3), o afectado (SSTC 186/2003, de 27 de octubre, FJ 5, y 192/2003, de 27 de octubre, FJ 3) un derecho fundamental sustantivo, como el garantizado por el art. 15 CE, distinto del derecho a la tutela judicial efectiva (art. 24.1 CE).</w:t>
      </w:r>
    </w:p>
    <w:p w14:paraId="18A3B33A" w14:textId="77777777" w:rsidR="009D7677" w:rsidRDefault="009D7677" w:rsidP="009D7677">
      <w:pPr>
        <w:pStyle w:val="TextoNormal"/>
      </w:pPr>
    </w:p>
    <w:p w14:paraId="231FD845" w14:textId="77777777" w:rsidR="009D7677" w:rsidRDefault="009D7677" w:rsidP="009D7677">
      <w:pPr>
        <w:pStyle w:val="TextoNormal"/>
      </w:pPr>
      <w:r>
        <w:t>Es decir, la exigencia constitucional de una investigación efectiva, profunda y exhaustiva, debe tener como soporte la defensa del derecho fundamental sustantivo, lo que en el presente caso supone la necesidad de atestiguar y evidenciar que la denuncia, como bien afirma la sentencia al exponer la doctrina general aplicable —que luego no proyecta— contiene actuaciones que provoquen sentimientos de miedo, angustia e inferioridad, que estén orientadas a humillar, degradar y quebrantar eventualmente la resistencia física o moral de la persona a quien se le aplican, o que impliquen lesiones corporales o un sufrimiento físico o mental intenso.</w:t>
      </w:r>
    </w:p>
    <w:p w14:paraId="1CF63A5A" w14:textId="77777777" w:rsidR="009D7677" w:rsidRDefault="009D7677" w:rsidP="009D7677">
      <w:pPr>
        <w:pStyle w:val="TextoNormal"/>
      </w:pPr>
    </w:p>
    <w:p w14:paraId="1FC57EC6" w14:textId="77777777" w:rsidR="009D7677" w:rsidRDefault="009D7677" w:rsidP="009D7677">
      <w:pPr>
        <w:pStyle w:val="TextoNormal"/>
      </w:pPr>
      <w:r>
        <w:lastRenderedPageBreak/>
        <w:t xml:space="preserve">Esto es, en los términos utilizados por la STEDH de 17 de abril de 2012, asunto </w:t>
      </w:r>
      <w:r w:rsidRPr="009D7677">
        <w:rPr>
          <w:i/>
        </w:rPr>
        <w:t>Rizvanov c. Azerbaijan</w:t>
      </w:r>
      <w:r>
        <w:t xml:space="preserve">: “Los malos tratos deben alcanzar un nivel mínimo de gravedad para entrar dentro del ámbito del artículo 3. La valoración de este mínimo depende de todas las circunstancias del caso, tales como la duración del tratamiento, sus efectos físicos o mentales y, en algunos casos, el sexo, la edad y el estado de salud de la víctima (véase </w:t>
      </w:r>
      <w:r w:rsidRPr="009D7677">
        <w:rPr>
          <w:i/>
        </w:rPr>
        <w:t>Irlanda c. el Reino Unido</w:t>
      </w:r>
      <w:r>
        <w:t xml:space="preserve"> [Tribunal Europeo de Derechos Humanos 1978, 2], 18 de enero de 1978, § 162, serie A núm. 25; </w:t>
      </w:r>
      <w:r w:rsidRPr="009D7677">
        <w:rPr>
          <w:i/>
        </w:rPr>
        <w:t>Kudła c. Polonia</w:t>
      </w:r>
      <w:r>
        <w:t xml:space="preserve"> [Tribunal Europeo de Derechos Humanos 2000, 163] GC, núm. 30210/96, § 91, Tribunal Europeo de Derechos Humanos 2000-XI; y </w:t>
      </w:r>
      <w:r w:rsidRPr="009D7677">
        <w:rPr>
          <w:i/>
        </w:rPr>
        <w:t>Peers c. Grecia</w:t>
      </w:r>
      <w:r>
        <w:t xml:space="preserve"> [Tribunal Europeo de Derechos Humanos 2001, 297], núm. 28524/95, § 67, Tribunal Europeo de Derechos Humanos 2001-III)”.</w:t>
      </w:r>
    </w:p>
    <w:p w14:paraId="06E18AC0" w14:textId="77777777" w:rsidR="009D7677" w:rsidRDefault="009D7677" w:rsidP="009D7677">
      <w:pPr>
        <w:pStyle w:val="TextoNormal"/>
      </w:pPr>
    </w:p>
    <w:p w14:paraId="515A819A" w14:textId="77777777" w:rsidR="009D7677" w:rsidRDefault="009D7677" w:rsidP="009D7677">
      <w:pPr>
        <w:pStyle w:val="TextoNormal"/>
      </w:pPr>
      <w:r>
        <w:t xml:space="preserve">Desde la perspectiva interna, los tres comportamientos absolutamente prohibidos por el art. 15 CE se caracterizan por la irrogación de “padecimientos físicos o psíquicos ilícitos e infligidos de modo vejatorio para quien los sufre y con esa propia intención de vejar y doblegar la voluntad del sujeto paciente” (SSTC 120/1990, de 27 de junio, FJ 9; 57/1994, de 28 de febrero, FJ 4, y 196/2006, de 3 de julio, FJ 4). Cada tipo de conducta prohibida se distingue por “la diferente intensidad del sufrimiento causado” en “una escala gradual cuyo último nivel estaría constituido por la pena o trato degradante” (ATC 333/1997, de 13 de octubre, FJ 5; también, SSTC 137/1990, de 19 de julio, FJ 7, y 215/1994, de 14 de julio, FJ 5), para cuya apreciación ha de concurrir “un umbral mínimo de severidad” (ATC 333/1997, FJ 5; conforme a las SSTEDH de 25 de febrero de 1982, asunto </w:t>
      </w:r>
      <w:r w:rsidRPr="009D7677">
        <w:rPr>
          <w:i/>
        </w:rPr>
        <w:t>Campbell y Cosans c. Reino Unido</w:t>
      </w:r>
      <w:r>
        <w:t xml:space="preserve">, § 28, y de 25 de marzo de 1993, asunto </w:t>
      </w:r>
      <w:r w:rsidRPr="009D7677">
        <w:rPr>
          <w:i/>
        </w:rPr>
        <w:t>Costello-Roberts c. Reino Unido</w:t>
      </w:r>
      <w:r>
        <w:t>, § 30). Tales conductas constituyen un atentado “frontal y radical” a la dignidad humana, “bien porque cosifican al individuo, rebajándolo a un nivel material o animal, bien porque lo mediatizan o instrumentalizan, olvidándose de que toda persona es un fin en sí mismo” (STC 181/2004, de 2 de noviembre, FJ 13).</w:t>
      </w:r>
    </w:p>
    <w:p w14:paraId="3F0837CB" w14:textId="77777777" w:rsidR="009D7677" w:rsidRDefault="009D7677" w:rsidP="009D7677">
      <w:pPr>
        <w:pStyle w:val="TextoNormal"/>
      </w:pPr>
    </w:p>
    <w:p w14:paraId="0B29B88D" w14:textId="77777777" w:rsidR="009D7677" w:rsidRDefault="009D7677" w:rsidP="009D7677">
      <w:pPr>
        <w:pStyle w:val="TextoNormal"/>
      </w:pPr>
      <w:r>
        <w:t>Llegados a este punto, conviene examinar las conductas denunciadas a fin de verificar si superan el umbral de intensidad para tener acogida en los arts. 3 CEDH o 15 CE.</w:t>
      </w:r>
    </w:p>
    <w:p w14:paraId="541025DF" w14:textId="77777777" w:rsidR="009D7677" w:rsidRDefault="009D7677" w:rsidP="009D7677">
      <w:pPr>
        <w:pStyle w:val="TextoNormal"/>
      </w:pPr>
    </w:p>
    <w:p w14:paraId="070209D7" w14:textId="77777777" w:rsidR="009D7677" w:rsidRDefault="009D7677" w:rsidP="009D7677">
      <w:pPr>
        <w:pStyle w:val="TextoNormal"/>
      </w:pPr>
      <w:r>
        <w:t>En la letra a) del antecedente 2 de la sentencia indica que el recurrente, debido a su condición de policía nacional, desarrollaba su vida en el módulo de ingresos, al no contar el centro penitenciario con un módulo específico para el colectivo al que aquel pertenece. Esto determinó que los funcionarios denunciados se quejaran de las molestias y del incremento de trabajo que la carencia de ese módulo específico les ocasionaba. Posteriormente, se expone como contenido de la queja del recurrente: (i) que los funcionarios le dirigieron una serie de expresiones soeces, que quedan reflejadas en la sentencia; (ii) que se vio obligado a simultanear, el 10 de agosto de 2018, el uso del patio con el colectivo de presos comunes, hecho que le generó un estrés que no desapareció, aunque no se produjese ningún episodio violento y por el que el jefe de servicio le recibió declaración el 7 de septiembre de 2018; (iii) que fue sometido a horarios restrictivos y gravosos para estar, a su juicio, como un preso clasificado en primer grado, impidiéndole descansar en la celda después de comer o ir al gimnasio; (iv) que fue privado sin justificación de comunicaciones íntimas con su pareja —lo que dio lugar a que por auto de 6 de noviembre de 2018 del citado Juzgado de Vigilancia Penitenciaria núm. 1 se estimase una queja por este motivo— o de su derecho a comunicar con el mundo exterior; y (v) que no pudo llevarse su petate el día de su traslado a Madrid, dejando constancia en el escrito de que aún no había recuperado sus pertenencias. Sobre este último hecho el Juzgado de Vigilancia Penitencia</w:t>
      </w:r>
      <w:r>
        <w:lastRenderedPageBreak/>
        <w:t>ria núm. 1, mediante auto de 12 de abril de 2019, estimó una queja del interno con un pronunciamiento declarativo sobre la “inconcebible […] tardanza padecida en relación a la entrega de sus pertenencias” que dejaba expedita la vía de la responsabilidad patrimonial por el extravío.</w:t>
      </w:r>
    </w:p>
    <w:p w14:paraId="5CA320AA" w14:textId="77777777" w:rsidR="009D7677" w:rsidRDefault="009D7677" w:rsidP="009D7677">
      <w:pPr>
        <w:pStyle w:val="TextoNormal"/>
      </w:pPr>
    </w:p>
    <w:p w14:paraId="3FCCC6F4" w14:textId="77777777" w:rsidR="009D7677" w:rsidRDefault="009D7677" w:rsidP="009D7677">
      <w:pPr>
        <w:pStyle w:val="TextoNormal"/>
      </w:pPr>
      <w:r>
        <w:t>De haberse examinado el contenido de dicha queja, salvo que se desnaturalice el contenido del art. 15 CE haciéndolo irreconocible, no se hubiera podido sostener que las expresiones mencionadas en el punto (i) o el hecho puntual de simultanear —un día concreto durante el tiempo de duración de dicha actividad— el patio con los presos comunes sin que existiera episodio alguno de violencia o que tuviera los mismos horarios que un preso clasificado de primer grado, merezca el calificativo de “tortura, trato inhumano o degradante”.</w:t>
      </w:r>
    </w:p>
    <w:p w14:paraId="4FF28D4E" w14:textId="77777777" w:rsidR="009D7677" w:rsidRDefault="009D7677" w:rsidP="009D7677">
      <w:pPr>
        <w:pStyle w:val="TextoNormal"/>
      </w:pPr>
    </w:p>
    <w:p w14:paraId="1E96BE57" w14:textId="77777777" w:rsidR="009D7677" w:rsidRDefault="009D7677" w:rsidP="009D7677">
      <w:pPr>
        <w:pStyle w:val="TextoNormal"/>
      </w:pPr>
      <w:r>
        <w:t>Debe tomarse en consideración que la limitación de las comunicaciones íntimas —corregida por el juez de vigilancia penitenciaria— y de las comunicaciones exteriores, o la tardanza en el envío de un petate, queja que también tuvo acogida por el juez de vigilancia, tampoco merecen dicho calificativo.</w:t>
      </w:r>
    </w:p>
    <w:p w14:paraId="59D6033C" w14:textId="77777777" w:rsidR="009D7677" w:rsidRDefault="009D7677" w:rsidP="009D7677">
      <w:pPr>
        <w:pStyle w:val="TextoNormal"/>
      </w:pPr>
    </w:p>
    <w:p w14:paraId="0E6F1A5F" w14:textId="77777777" w:rsidR="009D7677" w:rsidRDefault="009D7677" w:rsidP="009D7677">
      <w:pPr>
        <w:pStyle w:val="TextoNormal"/>
      </w:pPr>
      <w:r>
        <w:t>El origen de las quejas precisamente tiene que ver con la especial protección que se dispensa en los centros penitenciarios a los policías encarcelados, precisamente para salvaguardar su integridad física y en la inexistencia de un módulo especial para ellos en el centro penitenciario en el que se encontraba. Esa fue previsiblemente la causa de las alteraciones de horarios y de las necesarias adaptaciones que tuvo que llevar a cabo el centro penitenciario para que el recurrente pudiera tener una vida regimental lo más ajustada a la normalidad, compatibilizándola con la vida de los demás reclusos, y, desde luego, con la finalidad de preservar su seguridad e integridad.</w:t>
      </w:r>
    </w:p>
    <w:p w14:paraId="371EFED9" w14:textId="77777777" w:rsidR="009D7677" w:rsidRDefault="009D7677" w:rsidP="009D7677">
      <w:pPr>
        <w:pStyle w:val="TextoNormal"/>
      </w:pPr>
    </w:p>
    <w:p w14:paraId="1BB3B5DC" w14:textId="77777777" w:rsidR="009D7677" w:rsidRDefault="009D7677" w:rsidP="009D7677">
      <w:pPr>
        <w:pStyle w:val="TextoNormal"/>
      </w:pPr>
      <w:r>
        <w:t>Es decir, no se advierte de los hechos denunciados ninguna conducta dirigida a humillar, degradar y quebrantar eventualmente la resistencia física o moral del recurrente o que le hubieran implicado lesiones corporales o un sufrimiento físico o mental intenso. La situación del recurrente no era de vulnerabilidad por su sexo, edad o salud. La necesaria protección que debía tener por ser miembro de los cuerpos y fuerzas de seguridad se le dispensó al mantenerle en el módulo de ingresos. Por lo que no se puede aseverar que se le irrogaran “padecimientos físicos o psíquicos ilícitos e infligidos de modo vejatorio para quien los sufre y con esa propia intención de vejar y doblegar la voluntad del sujeto paciente” (SSTC 120/1990, de 27 de junio, FJ 9; 57/1994, de 28 de febrero, FJ 4, y 196/2006, de 3 de julio, FJ 4).</w:t>
      </w:r>
    </w:p>
    <w:p w14:paraId="3C7E57D1" w14:textId="77777777" w:rsidR="009D7677" w:rsidRDefault="009D7677" w:rsidP="009D7677">
      <w:pPr>
        <w:pStyle w:val="TextoNormal"/>
      </w:pPr>
    </w:p>
    <w:p w14:paraId="4DEBAE13" w14:textId="77777777" w:rsidR="009D7677" w:rsidRDefault="009D7677" w:rsidP="009D7677">
      <w:pPr>
        <w:pStyle w:val="TextoNormal"/>
      </w:pPr>
      <w:r>
        <w:t>Como atinadamente indican las resoluciones judiciales indebidamente revocadas, las amenazas y vejaciones que se decían recibidas eran muy inespecíficas y la permanencia en las celdas, las salidas al patio o el uso del gimnasio eran cuestiones de régimen interno cuya disconformidad debía encauzarse a través de las quejas y recursos previstos en la legislación penitenciaria. Así había sucedido en el caso de la pérdida de las pertenencias en un traslado, mediante la reclamación patrimonial a la administración correspondiente. Para considerar que el acto de la dirección de la prisión pueda dar lugar a un ilícito penal, faltaría un plus de antijuricidad, que es lo que justifica la intervención del derecho penal.</w:t>
      </w:r>
    </w:p>
    <w:p w14:paraId="42F2FC65" w14:textId="77777777" w:rsidR="009D7677" w:rsidRDefault="009D7677" w:rsidP="009D7677">
      <w:pPr>
        <w:pStyle w:val="TextoNormal"/>
      </w:pPr>
    </w:p>
    <w:p w14:paraId="76BD3ACA" w14:textId="77777777" w:rsidR="009D7677" w:rsidRDefault="009D7677" w:rsidP="009D7677">
      <w:pPr>
        <w:pStyle w:val="TextoNormal"/>
      </w:pPr>
      <w:r>
        <w:lastRenderedPageBreak/>
        <w:t>El análisis del concepto de torturas, tratos inhumanos o degradantes desvinculado de la perspectiva que conforma la compleja realidad de la vida en prisión produce irremediablemente la deformación de las propias conclusiones obtenidas con los riesgos que ello comporta.</w:t>
      </w:r>
    </w:p>
    <w:p w14:paraId="171F8E0A" w14:textId="77777777" w:rsidR="009D7677" w:rsidRDefault="009D7677" w:rsidP="009D7677">
      <w:pPr>
        <w:pStyle w:val="TextoNormal"/>
      </w:pPr>
    </w:p>
    <w:p w14:paraId="72AF8E96" w14:textId="77777777" w:rsidR="009D7677" w:rsidRDefault="009D7677" w:rsidP="009D7677">
      <w:pPr>
        <w:pStyle w:val="TextoNormal"/>
      </w:pPr>
      <w:r>
        <w:t>Por todo lo expuesto entendemos que debió desestimarse el recurso de amparo interpuesto.</w:t>
      </w:r>
    </w:p>
    <w:p w14:paraId="55DEA24F" w14:textId="77777777" w:rsidR="009D7677" w:rsidRDefault="009D7677" w:rsidP="009D7677">
      <w:pPr>
        <w:pStyle w:val="TextoNormal"/>
      </w:pPr>
    </w:p>
    <w:p w14:paraId="449DC1EF" w14:textId="77777777" w:rsidR="009D7677" w:rsidRDefault="009D7677" w:rsidP="009D7677">
      <w:pPr>
        <w:pStyle w:val="TextoNormal"/>
      </w:pPr>
      <w:r>
        <w:t>Y en tal sentido emitimos nuestro voto particular.</w:t>
      </w:r>
    </w:p>
    <w:p w14:paraId="0BF67019" w14:textId="77777777" w:rsidR="009D7677" w:rsidRDefault="009D7677" w:rsidP="009D7677">
      <w:pPr>
        <w:pStyle w:val="TextoNormal"/>
      </w:pPr>
    </w:p>
    <w:p w14:paraId="32A95A7E" w14:textId="08371812" w:rsidR="009D7677" w:rsidRDefault="009D7677" w:rsidP="009D7677">
      <w:pPr>
        <w:pStyle w:val="TextoNormal"/>
      </w:pPr>
      <w:r>
        <w:t>Madrid, a once de marzo de dos mil veinticuatro.</w:t>
      </w:r>
    </w:p>
    <w:p w14:paraId="42D15975" w14:textId="7461C401" w:rsidR="009D7677" w:rsidRDefault="009D7677">
      <w:pPr>
        <w:spacing w:after="160" w:line="259" w:lineRule="auto"/>
        <w:rPr>
          <w:rFonts w:ascii="Times New Roman" w:eastAsia="Times New Roman" w:hAnsi="Times New Roman" w:cs="Times New Roman"/>
          <w:sz w:val="24"/>
          <w:szCs w:val="24"/>
          <w:lang w:eastAsia="es-ES"/>
        </w:rPr>
      </w:pPr>
      <w:r>
        <w:br w:type="page"/>
      </w:r>
    </w:p>
    <w:p w14:paraId="5E3E6275" w14:textId="77777777" w:rsidR="009D7677" w:rsidRDefault="009D7677" w:rsidP="009D7677">
      <w:pPr>
        <w:pStyle w:val="TtuloResolucin"/>
      </w:pPr>
      <w:bookmarkStart w:id="38" w:name="SENTENCIA_2024_36"/>
      <w:r>
        <w:lastRenderedPageBreak/>
        <w:t>SENTENCIA 36/2024, de 11 de marzo de 2024</w:t>
      </w:r>
    </w:p>
    <w:bookmarkEnd w:id="38"/>
    <w:p w14:paraId="2747CA8A" w14:textId="77777777" w:rsidR="009D7677" w:rsidRDefault="009D7677" w:rsidP="009D7677">
      <w:pPr>
        <w:pStyle w:val="TtuloResolucin"/>
      </w:pPr>
      <w:r>
        <w:t>Sala Segunda</w:t>
      </w:r>
    </w:p>
    <w:p w14:paraId="7411163C" w14:textId="77777777" w:rsidR="009D7677" w:rsidRDefault="009D7677" w:rsidP="009D7677">
      <w:pPr>
        <w:pStyle w:val="TtuloBOE"/>
      </w:pPr>
      <w:r>
        <w:t>(BOE núm. 99, de 23 de abril de 2024)</w:t>
      </w:r>
    </w:p>
    <w:p w14:paraId="5F22671F" w14:textId="77777777" w:rsidR="009D7677" w:rsidRDefault="009D7677" w:rsidP="009D7677">
      <w:pPr>
        <w:pStyle w:val="TextoNormalCentrado"/>
      </w:pPr>
      <w:r>
        <w:t>ECLI:ES:TC:2024:36</w:t>
      </w:r>
    </w:p>
    <w:p w14:paraId="5E2A0089" w14:textId="0C6378EA" w:rsidR="009D7677" w:rsidRDefault="009D7677" w:rsidP="009D7677">
      <w:pPr>
        <w:pStyle w:val="TextoNormalCentrado"/>
      </w:pPr>
    </w:p>
    <w:p w14:paraId="5FCE3A11" w14:textId="77777777" w:rsidR="009D7677" w:rsidRDefault="009D7677" w:rsidP="009D7677">
      <w:pPr>
        <w:pStyle w:val="SntesisDescriptiva"/>
      </w:pPr>
      <w:r>
        <w:t>Recurso de amparo 7757-2021. Promovido por don Samir Hafhaf respecto de los autos dictados por la Sección Tercera y el Pleno de la Sala de lo Penal de la Audiencia Nacional que autorizaron su extradición a Marruecos.</w:t>
      </w:r>
    </w:p>
    <w:p w14:paraId="394F2A7B" w14:textId="2D1D8042" w:rsidR="009D7677" w:rsidRDefault="009D7677" w:rsidP="009D7677">
      <w:pPr>
        <w:pStyle w:val="SntesisDescriptiva"/>
      </w:pPr>
    </w:p>
    <w:p w14:paraId="083E02D8" w14:textId="77777777" w:rsidR="009D7677" w:rsidRDefault="009D7677" w:rsidP="009D7677">
      <w:pPr>
        <w:pStyle w:val="SntesisAnaltica"/>
      </w:pPr>
      <w:r>
        <w:t>Supuesta vulneración de los derechos a la tutela judicial efectiva, a un proceso con todas las garantías y a la libertad personal: STC 17/2024 (resoluciones judiciales que acuerdan la extradición a partir de una documentación que no permite poner en duda la necesidad y proporcionalidad de la decisión adoptada por la fiscalía de Marruecos de solicitar la entrega para asegurar el enjuiciamiento del afectado).</w:t>
      </w:r>
    </w:p>
    <w:p w14:paraId="41C9CD07" w14:textId="15480D96" w:rsidR="009D7677" w:rsidRDefault="009D7677" w:rsidP="009D7677">
      <w:pPr>
        <w:pStyle w:val="SntesisAnaltica"/>
      </w:pPr>
    </w:p>
    <w:p w14:paraId="7F849C6E" w14:textId="6817AEE2" w:rsidR="009D7677" w:rsidRDefault="009D7677" w:rsidP="009D7677">
      <w:pPr>
        <w:pStyle w:val="Extracto"/>
      </w:pPr>
      <w:r>
        <w:t>1.</w:t>
      </w:r>
      <w:r>
        <w:tab/>
        <w:t>La intermediación judicial puede dispensarse excepcionalmente cuando concurran las siguientes exigencias: (i) En procedimiento de extradición regido por un convenio bilateral o multilateral que admita la posibilidad de que la petición de entrega pueda emanar de una autoridad distinta a la autoridad judicial; (ii) Que el país requirente suministre información suficientemente expresiva de que se trata de una autoridad facultada para emitir una solicitud de extradición en condiciones equivalentes a las de una autoridad judicial. (iii) Que el contenido de la solicitud y de la documentación anexa proporcione a los órganos judiciales españoles la información necesaria para verificar que la misma resulta necesaria y proporcionada (STC 17/2024) [FJ 4].</w:t>
      </w:r>
    </w:p>
    <w:p w14:paraId="76211D06" w14:textId="77777777" w:rsidR="009D7677" w:rsidRDefault="009D7677" w:rsidP="009D7677">
      <w:pPr>
        <w:pStyle w:val="Extracto"/>
      </w:pPr>
    </w:p>
    <w:p w14:paraId="5555CD1B" w14:textId="77777777" w:rsidR="009D7677" w:rsidRDefault="009D7677" w:rsidP="009D7677">
      <w:pPr>
        <w:pStyle w:val="Extracto"/>
      </w:pPr>
    </w:p>
    <w:p w14:paraId="0883ABBF" w14:textId="77777777" w:rsidR="009D7677" w:rsidRDefault="009D7677" w:rsidP="009D7677">
      <w:pPr>
        <w:pStyle w:val="TextoNormal"/>
      </w:pPr>
      <w:r>
        <w:t>La Sala Segunda del Tribunal Constitucional, compuesta por la magistrada doña Inmaculada Montalbán Huertas, presidenta, y las magistradas y magistrados doña María Luisa Balaguer Callejón, don Enrique Arnaldo Alcubilla, don César Tolosa Tribiño y doña Laura Díez Bueso, ha pronunciado</w:t>
      </w:r>
    </w:p>
    <w:p w14:paraId="3EE3CDA1" w14:textId="791DD50F" w:rsidR="009D7677" w:rsidRDefault="009D7677" w:rsidP="009D7677">
      <w:pPr>
        <w:pStyle w:val="TextoNormal"/>
      </w:pPr>
    </w:p>
    <w:p w14:paraId="6E5DC265" w14:textId="77777777" w:rsidR="009D7677" w:rsidRDefault="009D7677" w:rsidP="009D7677">
      <w:pPr>
        <w:pStyle w:val="TextoNormalCentrado"/>
        <w:keepNext/>
      </w:pPr>
      <w:r>
        <w:t>EN NOMBRE DEL REY</w:t>
      </w:r>
    </w:p>
    <w:p w14:paraId="72167AD9" w14:textId="6373D921" w:rsidR="009D7677" w:rsidRDefault="009D7677" w:rsidP="009D7677">
      <w:pPr>
        <w:pStyle w:val="TextoNormalCentrado"/>
        <w:keepNext/>
      </w:pPr>
    </w:p>
    <w:p w14:paraId="3A79A67F" w14:textId="77777777" w:rsidR="009D7677" w:rsidRDefault="009D7677" w:rsidP="009D7677">
      <w:pPr>
        <w:pStyle w:val="TextoNormalCentrado"/>
        <w:keepNext/>
      </w:pPr>
    </w:p>
    <w:p w14:paraId="050F6FA4" w14:textId="77777777" w:rsidR="009D7677" w:rsidRDefault="009D7677" w:rsidP="009D7677">
      <w:pPr>
        <w:pStyle w:val="TextoNormal"/>
      </w:pPr>
      <w:r>
        <w:t>la siguiente</w:t>
      </w:r>
    </w:p>
    <w:p w14:paraId="7559F0E1" w14:textId="167AEE2A" w:rsidR="009D7677" w:rsidRDefault="009D7677" w:rsidP="009D7677">
      <w:pPr>
        <w:pStyle w:val="TextoNormal"/>
      </w:pPr>
    </w:p>
    <w:p w14:paraId="7D572419" w14:textId="77777777" w:rsidR="009D7677" w:rsidRDefault="009D7677" w:rsidP="009D7677">
      <w:pPr>
        <w:pStyle w:val="TextoNormalCentrado"/>
        <w:keepNext/>
      </w:pPr>
      <w:r>
        <w:t>SENTENCIA</w:t>
      </w:r>
    </w:p>
    <w:p w14:paraId="4CB10B17" w14:textId="3F03516A" w:rsidR="009D7677" w:rsidRDefault="009D7677" w:rsidP="009D7677">
      <w:pPr>
        <w:pStyle w:val="TextoNormalCentrado"/>
        <w:keepNext/>
      </w:pPr>
    </w:p>
    <w:p w14:paraId="6F0FC016" w14:textId="77777777" w:rsidR="009D7677" w:rsidRDefault="009D7677" w:rsidP="009D7677">
      <w:pPr>
        <w:pStyle w:val="TextoNormal"/>
      </w:pPr>
      <w:r>
        <w:t>En el recurso de amparo núm. 7757-2021, promovido por don Samir Hafhaf, representado por el procurador de los tribunales don Javier Nogales Díaz, asistido del letrado don Daniel Lucas Romero, contra el auto núm. 30/2021, de 1 de julio de la Sección Tercera de la Sala de lo Penal de la Audiencia Nacional y contra el auto núm. 71/2021, de 14 de octubre del Pleno de la Sala de lo Penal de la Audiencia Nacional. Ha sido ponente la magistrada doña Laura Díez Bueso.</w:t>
      </w:r>
    </w:p>
    <w:p w14:paraId="65C4FB87" w14:textId="7A7ED71F" w:rsidR="009D7677" w:rsidRDefault="009D7677" w:rsidP="009D7677">
      <w:pPr>
        <w:pStyle w:val="TextoNormal"/>
      </w:pPr>
    </w:p>
    <w:p w14:paraId="2F22F40F" w14:textId="77777777" w:rsidR="009D7677" w:rsidRDefault="009D7677" w:rsidP="009D7677">
      <w:pPr>
        <w:pStyle w:val="TextoNormalNegritaCentrado"/>
        <w:keepNext/>
      </w:pPr>
      <w:r>
        <w:lastRenderedPageBreak/>
        <w:t>I. Antecedentes</w:t>
      </w:r>
    </w:p>
    <w:p w14:paraId="68BB2673" w14:textId="6EBEF752" w:rsidR="009D7677" w:rsidRDefault="009D7677" w:rsidP="009D7677">
      <w:pPr>
        <w:pStyle w:val="TextoNormalNegritaCentrado"/>
        <w:keepNext/>
      </w:pPr>
    </w:p>
    <w:p w14:paraId="4AFBC2E0" w14:textId="6A980FC6" w:rsidR="009D7677" w:rsidRDefault="009D7677" w:rsidP="009D7677">
      <w:pPr>
        <w:pStyle w:val="TextoNormal"/>
      </w:pPr>
      <w:r w:rsidRPr="009D7677">
        <w:rPr>
          <w:rStyle w:val="NumeroAFNegritaCaracter"/>
        </w:rPr>
        <w:t>1</w:t>
      </w:r>
      <w:r>
        <w:t>. Mediante escrito registrado en este tribunal el día 7 de diciembre de 2021, la representación procesal de don Samir Hafhaf interpuso recurso de amparo contra el auto núm. 30/2021, de 1 de julio de la Sección Tercera de la Sala de lo Penal de la Audiencia Nacional, dictado en el rollo de sala 22-2020, dimanante del procedimiento de extradición pasiva núm. 24-2020 del Juzgado Central de Instrucción núm. 5, y contra el auto núm. 71/2021, de 14 de octubre del Pleno de la Sala de lo Penal de la Audiencia Nacional, dictado en el recurso de súplica núm. 63-2021, que confirmó el anterior.</w:t>
      </w:r>
    </w:p>
    <w:p w14:paraId="70EAF70D" w14:textId="77777777" w:rsidR="009D7677" w:rsidRDefault="009D7677" w:rsidP="009D7677">
      <w:pPr>
        <w:pStyle w:val="TextoNormal"/>
      </w:pPr>
    </w:p>
    <w:p w14:paraId="5198DA64" w14:textId="77777777" w:rsidR="009D7677" w:rsidRDefault="009D7677" w:rsidP="009D7677">
      <w:pPr>
        <w:pStyle w:val="TextoNormal"/>
      </w:pPr>
      <w:r w:rsidRPr="009D7677">
        <w:rPr>
          <w:rStyle w:val="NumeroAFNegritaCaracter"/>
        </w:rPr>
        <w:t>2</w:t>
      </w:r>
      <w:r>
        <w:t>. El recurso de amparo se fundamenta en los siguientes hechos:</w:t>
      </w:r>
    </w:p>
    <w:p w14:paraId="242B9F57" w14:textId="77777777" w:rsidR="009D7677" w:rsidRDefault="009D7677" w:rsidP="009D7677">
      <w:pPr>
        <w:pStyle w:val="TextoNormal"/>
      </w:pPr>
    </w:p>
    <w:p w14:paraId="39974A80" w14:textId="77777777" w:rsidR="009D7677" w:rsidRDefault="009D7677" w:rsidP="009D7677">
      <w:pPr>
        <w:pStyle w:val="TextoNormal"/>
      </w:pPr>
      <w:r>
        <w:t>a) El fiscal general del rey de Marruecos dictó el 17 de enero de 2020 orden internacional de detención contra el ahora demandante de amparo, al que atribuía su implicación en un delito de falsificación de documentos oficiales con los siguientes fundamentos:</w:t>
      </w:r>
    </w:p>
    <w:p w14:paraId="55C543DF" w14:textId="77777777" w:rsidR="009D7677" w:rsidRDefault="009D7677" w:rsidP="009D7677">
      <w:pPr>
        <w:pStyle w:val="TextoNormal"/>
      </w:pPr>
    </w:p>
    <w:p w14:paraId="7D800F5E" w14:textId="77777777" w:rsidR="009D7677" w:rsidRDefault="009D7677" w:rsidP="009D7677">
      <w:pPr>
        <w:pStyle w:val="TextoNormal"/>
      </w:pPr>
      <w:r>
        <w:t>“Visto que resulta del acta núm. 3784/PJ, levantada por la sección de la Policía Judicial de Nador, el 29/12/2019, que con fecha de 26/12/2019, se presentó ante este Ministerio Fiscal don Nabil El Amraoui, traductor jurado con ejercicio dentro de este perímetro judicial, y declaró que el llamado Yassine Hafhaf se presentó a su gabinete de traducción y le pidió traducirle un documento de compraventa adular al inglés; que tras examinar el documento le resultó que es falso, ya que la firma apuesta sobre dicho documento no corresponde al jefe del servicio de la justicia de la familia del Tribunal de Primera Instancia de Nador, las fechas de hégira y gregoriana no son correspondientes, las firmas de los adules que lo redactaron fueron falsificadas, el documento no fue registrado en la administración de impuestos, el sello del tribunal de primera instancia fue falsificado y no correspondencia de las etapas de registro del documento en el referido tribunal;</w:t>
      </w:r>
    </w:p>
    <w:p w14:paraId="3E4A19A6" w14:textId="77777777" w:rsidR="009D7677" w:rsidRDefault="009D7677" w:rsidP="009D7677">
      <w:pPr>
        <w:pStyle w:val="TextoNormal"/>
      </w:pPr>
    </w:p>
    <w:p w14:paraId="56E59A84" w14:textId="77777777" w:rsidR="009D7677" w:rsidRDefault="009D7677" w:rsidP="009D7677">
      <w:pPr>
        <w:pStyle w:val="TextoNormal"/>
      </w:pPr>
      <w:r>
        <w:t>Al detener al llamado Yassine Hafhaf, fueron interceptados en su posesión varios documentos administrativos, que tras verificarlo resultó que fueron todos falsos;</w:t>
      </w:r>
    </w:p>
    <w:p w14:paraId="712B812F" w14:textId="77777777" w:rsidR="009D7677" w:rsidRDefault="009D7677" w:rsidP="009D7677">
      <w:pPr>
        <w:pStyle w:val="TextoNormal"/>
      </w:pPr>
    </w:p>
    <w:p w14:paraId="6C2ECCAB" w14:textId="77777777" w:rsidR="009D7677" w:rsidRDefault="009D7677" w:rsidP="009D7677">
      <w:pPr>
        <w:pStyle w:val="TextoNormal"/>
      </w:pPr>
      <w:r>
        <w:t xml:space="preserve">Al oír al interesado por la Policía Judicial en la etapa preliminar, manifestó que su hermano Samir Hafhaf le propuso hace ya un año participar con él en operaciones de ayuda a personas que quieren emigrar a España y Francia sin disponer de documentos necesarios para la obtención de visados, ello en contrapartida de importes de dinero que oscilan entre 3000,00 y 5000,00 dírhams por cada operación; que por circunstancia de paro aceptó la oferta de su hermano Samir y empezó a cooperar con él en su actividad. Samir se encargaba de buscar las personas que quieren visados y el declarante se encargaba de preparar documentos administrativos y bancarios, tales como atestados de trabajo, atestados de matrícula en la caja social, extractos bancarios en su propio nombre, en nombre de su hermano Samir y de su amigo Kamal EL Yahyaoui; que los modelos de dichos documentos fueron copiados y conservados en ordenador; que los documentos interceptados en su posesión y aquellos conservados en su teléfono móvil los preparó para personas que depositaron expedientes de solicitud de visados de Francia o España y hay entre ellos quienes pudieron obtener visados; que todos los documentos interceptados son falsos; que el ordenador y los sellos usados para dichos documentos son en posesión de su hermano Samir Hafhaf; que había traducido varios documentos falsos sin descubrir su falsedad; que su </w:t>
      </w:r>
      <w:r>
        <w:lastRenderedPageBreak/>
        <w:t>hermano Samir Hafhaf le confió documentos redactados en castellano de personas residentes en Melilla y le pidió falsificarlos, además de actas de matrimonio y de divorcio de mutuo acuerdo para falsificarlo por cuenta de personas residentes en España;</w:t>
      </w:r>
    </w:p>
    <w:p w14:paraId="621C71DA" w14:textId="77777777" w:rsidR="009D7677" w:rsidRDefault="009D7677" w:rsidP="009D7677">
      <w:pPr>
        <w:pStyle w:val="TextoNormal"/>
      </w:pPr>
    </w:p>
    <w:p w14:paraId="632E5118" w14:textId="77777777" w:rsidR="009D7677" w:rsidRDefault="009D7677" w:rsidP="009D7677">
      <w:pPr>
        <w:pStyle w:val="TextoNormal"/>
      </w:pPr>
      <w:r>
        <w:t>Presentado el llamado Yassine Hafhaf ante este Ministerio Fiscal el 29/12/2019, manifestó ante nosotros haber imprimido documentos falsos, los copió por escáner y cambió los datos personales en ellos contenidos por otros de los demandantes de sus servicios, tal como poner nombre falso de comprador en lugar del nombre real sobre un acta de compraventa por ejemplo y aplicar la técnica de photoshop que tiene instalada en su ordenador y que contiene especímenes de firmas del juez de asuntos notariales del Tribunal de Primera Instancia de Nador y lo misma para extractos de cuentas bancarias y haber fabricado sello en nombre del presidente de la comuna de Beni Chiker”.</w:t>
      </w:r>
    </w:p>
    <w:p w14:paraId="60FE84F2" w14:textId="77777777" w:rsidR="009D7677" w:rsidRDefault="009D7677" w:rsidP="009D7677">
      <w:pPr>
        <w:pStyle w:val="TextoNormal"/>
      </w:pPr>
    </w:p>
    <w:p w14:paraId="47B9AF19" w14:textId="77777777" w:rsidR="009D7677" w:rsidRDefault="009D7677" w:rsidP="009D7677">
      <w:pPr>
        <w:pStyle w:val="TextoNormal"/>
      </w:pPr>
      <w:r>
        <w:t>b) El demandante fue detenido en Vitoria el día 27 de mayo de 2020 y puesto a disposición del Juzgado Central de Instrucción núm. 5, que incoó el procedimiento de extradición pasiva núm. 24-2020, y acordó por auto de 27 de mayo de 2020, su libertad provisional.</w:t>
      </w:r>
    </w:p>
    <w:p w14:paraId="60A7B8AE" w14:textId="77777777" w:rsidR="009D7677" w:rsidRDefault="009D7677" w:rsidP="009D7677">
      <w:pPr>
        <w:pStyle w:val="TextoNormal"/>
      </w:pPr>
    </w:p>
    <w:p w14:paraId="45DCD6C5" w14:textId="77777777" w:rsidR="009D7677" w:rsidRDefault="009D7677" w:rsidP="009D7677">
      <w:pPr>
        <w:pStyle w:val="TextoNormal"/>
      </w:pPr>
      <w:r>
        <w:t>c) El 15 de julio de 2020 se recibió en el Juzgado Central de Instrucción núm. 5 la documentación original y traducida al castellano de la extradición enviada por el Ministerio de Justicia, comunicando la recepción de la nota verbal 1032, de fecha 3 de mayo de 2020, de la Embajada del Reino de Marruecos en Madrid.</w:t>
      </w:r>
    </w:p>
    <w:p w14:paraId="543616D8" w14:textId="77777777" w:rsidR="009D7677" w:rsidRDefault="009D7677" w:rsidP="009D7677">
      <w:pPr>
        <w:pStyle w:val="TextoNormal"/>
      </w:pPr>
    </w:p>
    <w:p w14:paraId="2BAD16C8" w14:textId="77777777" w:rsidR="009D7677" w:rsidRDefault="009D7677" w:rsidP="009D7677">
      <w:pPr>
        <w:pStyle w:val="TextoNormal"/>
      </w:pPr>
      <w:r>
        <w:t>d) El 22 de septiembre de 2020 se dictó auto de archivo provisional de las actuaciones, al constatarse que no se había recibido en el plazo legalmente establecido la autorización gubernativa de la extradición.</w:t>
      </w:r>
    </w:p>
    <w:p w14:paraId="4FDF4DC3" w14:textId="77777777" w:rsidR="009D7677" w:rsidRDefault="009D7677" w:rsidP="009D7677">
      <w:pPr>
        <w:pStyle w:val="TextoNormal"/>
      </w:pPr>
    </w:p>
    <w:p w14:paraId="4D16BECD" w14:textId="77777777" w:rsidR="009D7677" w:rsidRDefault="009D7677" w:rsidP="009D7677">
      <w:pPr>
        <w:pStyle w:val="TextoNormal"/>
      </w:pPr>
      <w:r>
        <w:t>e) El Consejo de Ministros en sesión de 17 de noviembre de 2020 acordó, de conformidad con el art. 9.3 de la Ley 4/1985, de 21 de marzo, de extradición pasiva (en adelante, LEP), la continuación del procedimiento en vía judicial.</w:t>
      </w:r>
    </w:p>
    <w:p w14:paraId="0477E9B6" w14:textId="77777777" w:rsidR="009D7677" w:rsidRDefault="009D7677" w:rsidP="009D7677">
      <w:pPr>
        <w:pStyle w:val="TextoNormal"/>
      </w:pPr>
    </w:p>
    <w:p w14:paraId="542DE86A" w14:textId="77777777" w:rsidR="009D7677" w:rsidRDefault="009D7677" w:rsidP="009D7677">
      <w:pPr>
        <w:pStyle w:val="TextoNormal"/>
      </w:pPr>
      <w:r>
        <w:t>f) El reclamado fue oído en comparecencia del art. 12 LEP, celebrada el día 12 de diciembre de 2020 en el Juzgado Central de Instrucción núm. 5, oponiéndose a su extradición y manifestando que no renunciaba al principio de especialidad.</w:t>
      </w:r>
    </w:p>
    <w:p w14:paraId="4CC87BE0" w14:textId="77777777" w:rsidR="009D7677" w:rsidRDefault="009D7677" w:rsidP="009D7677">
      <w:pPr>
        <w:pStyle w:val="TextoNormal"/>
      </w:pPr>
    </w:p>
    <w:p w14:paraId="38F70550" w14:textId="77777777" w:rsidR="009D7677" w:rsidRDefault="009D7677" w:rsidP="009D7677">
      <w:pPr>
        <w:pStyle w:val="TextoNormal"/>
      </w:pPr>
      <w:r>
        <w:t>g) Elevados los autos a la Sección Tercera de la Sala de lo Penal de la Audiencia Nacional, esta inició el rollo de extradición núm. 22-2020 y dio vista de los mismos en los términos del art. 13 LEP, al fiscal y a la defensa del reclamado, para que formularan alegaciones. El fiscal interesó que se accediera a la solicitud de extradición. La defensa no presentó escrito de alegaciones.</w:t>
      </w:r>
    </w:p>
    <w:p w14:paraId="773B3379" w14:textId="77777777" w:rsidR="009D7677" w:rsidRDefault="009D7677" w:rsidP="009D7677">
      <w:pPr>
        <w:pStyle w:val="TextoNormal"/>
      </w:pPr>
    </w:p>
    <w:p w14:paraId="1BA5E259" w14:textId="77777777" w:rsidR="009D7677" w:rsidRDefault="009D7677" w:rsidP="009D7677">
      <w:pPr>
        <w:pStyle w:val="TextoNormal"/>
      </w:pPr>
      <w:r>
        <w:t>h) El 3 de marzo de 2021 la Sección Tercera de la Sala de lo Penal de la Audiencia Nacional dictó providencia por la que solicitaba a las autoridades marroquíes información complementaria acerca de si existió una resolución de juez o tribunal marroquí sobre la procedencia de la reclamación extradicional y detención del reclamado, realizada con carácter previo, simultáneo o posterior a la del fiscal.</w:t>
      </w:r>
    </w:p>
    <w:p w14:paraId="1C0F8DE0" w14:textId="77777777" w:rsidR="009D7677" w:rsidRDefault="009D7677" w:rsidP="009D7677">
      <w:pPr>
        <w:pStyle w:val="TextoNormal"/>
      </w:pPr>
    </w:p>
    <w:p w14:paraId="4A72D3B2" w14:textId="77777777" w:rsidR="009D7677" w:rsidRDefault="009D7677" w:rsidP="009D7677">
      <w:pPr>
        <w:pStyle w:val="TextoNormal"/>
      </w:pPr>
      <w:r>
        <w:lastRenderedPageBreak/>
        <w:t>i) El 23 de abril de 2021 tuvo entrada en la Sección Tercera de la Sala de lo Penal de la Audiencia Nacional la nota verbal núm. 1916, de 4 de marzo, de la Embajada del Reino de Marruecos en Madrid, del tenor siguiente:</w:t>
      </w:r>
    </w:p>
    <w:p w14:paraId="7B3AB775" w14:textId="77777777" w:rsidR="009D7677" w:rsidRDefault="009D7677" w:rsidP="009D7677">
      <w:pPr>
        <w:pStyle w:val="TextoNormal"/>
      </w:pPr>
    </w:p>
    <w:p w14:paraId="122877BE" w14:textId="77777777" w:rsidR="009D7677" w:rsidRDefault="009D7677" w:rsidP="009D7677">
      <w:pPr>
        <w:pStyle w:val="TextoNormal"/>
      </w:pPr>
      <w:r>
        <w:t>“En base a todo ello, este Ministerio fiscal desea aclarar y exponer a las autoridades españolas que conforme al artículo 2 del Real decreto l.16.40 del 14 de Yumada ll 1437, correspondiente al 24 de marzo de 2016, promulgando la ley orgánica núm. 100.13 relativa al Consejo Superior del Poder Judicial, resulta que el poder judicial se practica por los magistrados que practican efectivamente sus funciones judiciales en las jurisdicciones incluidas en la organización judicial del reino:</w:t>
      </w:r>
    </w:p>
    <w:p w14:paraId="011AC138" w14:textId="77777777" w:rsidR="009D7677" w:rsidRDefault="009D7677" w:rsidP="009D7677">
      <w:pPr>
        <w:pStyle w:val="TextoNormal"/>
      </w:pPr>
    </w:p>
    <w:p w14:paraId="296B0CB1" w14:textId="77777777" w:rsidR="009D7677" w:rsidRDefault="009D7677" w:rsidP="009D7677">
      <w:pPr>
        <w:pStyle w:val="TextoNormal"/>
      </w:pPr>
      <w:r>
        <w:t>Además, y conforme al Real Decreto núm. l.16.41. del 14 Yumada ll 1437 correspondiente al 24 de marzo de 2016 promulgando la ley orgánica núm. 106.13 relativa a los estatutos de los magistrados, y en particular el artículo 3 del mismo, resulta que el cuerpo judicial del Reino de Marruecos está constituido de un cuerpo incluyendo la judicatura y los magistrados del Ministerio fiscal y que el Ministerio Fiscal lo representa el fiscal del rey en persona o sus sustitutos dentro del marco de la jurisdicción del juzgado de primera instancia donde está nombrado, conforme a las disposiciones del artículo 39 del Código de enjuiciamiento criminal:</w:t>
      </w:r>
    </w:p>
    <w:p w14:paraId="51B9608D" w14:textId="77777777" w:rsidR="009D7677" w:rsidRDefault="009D7677" w:rsidP="009D7677">
      <w:pPr>
        <w:pStyle w:val="TextoNormal"/>
      </w:pPr>
    </w:p>
    <w:p w14:paraId="29045BC1" w14:textId="77777777" w:rsidR="009D7677" w:rsidRDefault="009D7677" w:rsidP="009D7677">
      <w:pPr>
        <w:pStyle w:val="TextoNormal"/>
      </w:pPr>
      <w:r>
        <w:t>Resulta de todo ello que los magistrados del Ministerio fiscal forman parte inseparable del poder judicial marroquí”.</w:t>
      </w:r>
    </w:p>
    <w:p w14:paraId="77E103BD" w14:textId="77777777" w:rsidR="009D7677" w:rsidRDefault="009D7677" w:rsidP="009D7677">
      <w:pPr>
        <w:pStyle w:val="TextoNormal"/>
      </w:pPr>
    </w:p>
    <w:p w14:paraId="31071F9D" w14:textId="77777777" w:rsidR="009D7677" w:rsidRDefault="009D7677" w:rsidP="009D7677">
      <w:pPr>
        <w:pStyle w:val="TextoNormal"/>
      </w:pPr>
      <w:r>
        <w:t>j) Celebrada la vista extradicional el 28 de junio de 2021, en la que el fiscal reiteró su opinión en sentido favorable a la petición de extradición y la defensa la suya en contra, alegando la falta de control judicial de la orden de arresto internacional por no intervenir autoridad judicial alguna, así como que el reclamado estaba siendo objeto de persecución política a raíz de un delito común. La Sección Tercera de la Sala de lo Penal de la Audiencia Nacional dictó el auto núm. 30/2021, de 1 de julio, por el que acordó acceder en fase jurisdiccional a la solicitud de extradición del actor por concurrir los presupuestos exigidos en el Convenio de extradición entre el Reino de España y el Reino de Marruecos, suscrito en Rabat el 24 de junio de 2009 (en adelante, Convenio bilateral), y en la Ley de extradición pasiva, en particular los requisitos de doble incriminación y mínimo punitivo exigidos en el art. 2.1 del Convenio bilateral, porque los hechos por los que se solicitaba la extradición eran constitutivos de un delito de falsificación de documentos oficiales, equivalente en nuestro ordenamiento penal a un delito de falsedad en documento oficial de los arts. 390 y 392 del Código penal (en adelante, CP), sancionado con penas de prisión de seis meses a tres años y multa de seis a doce meses.</w:t>
      </w:r>
    </w:p>
    <w:p w14:paraId="3DB84A37" w14:textId="77777777" w:rsidR="009D7677" w:rsidRDefault="009D7677" w:rsidP="009D7677">
      <w:pPr>
        <w:pStyle w:val="TextoNormal"/>
      </w:pPr>
    </w:p>
    <w:p w14:paraId="5B1C0D2E" w14:textId="77777777" w:rsidR="009D7677" w:rsidRDefault="009D7677" w:rsidP="009D7677">
      <w:pPr>
        <w:pStyle w:val="TextoNormal"/>
      </w:pPr>
      <w:r>
        <w:t>k) Contra esta decisión el actor interpuso recurso de súplica, en el que alegó incumplimiento del requisito de aportación documental del art. 12 del Convenio bilateral, porque la extradición se basaba en una orden internacional de detención expedida por el fiscal sin intervención alguna de autoridad judicial, por lo que no resultaba equiparable a una orden judicial de detención ni a una sentencia condenatoria; invocaba en su apoyo la doctrina sentada en la STC 147/2020, de 19 de octubre, por estimarla aplicable al caso, así como la persecución política de la que era objeto por parte del Estado requirente.</w:t>
      </w:r>
    </w:p>
    <w:p w14:paraId="55235FB9" w14:textId="77777777" w:rsidR="009D7677" w:rsidRDefault="009D7677" w:rsidP="009D7677">
      <w:pPr>
        <w:pStyle w:val="TextoNormal"/>
      </w:pPr>
    </w:p>
    <w:p w14:paraId="593291BE" w14:textId="77777777" w:rsidR="009D7677" w:rsidRDefault="009D7677" w:rsidP="009D7677">
      <w:pPr>
        <w:pStyle w:val="TextoNormal"/>
      </w:pPr>
      <w:r>
        <w:lastRenderedPageBreak/>
        <w:t>El Pleno de la Sala de lo Penal de la Audiencia Nacional dictó el auto núm. 71/2021, de 14 de octubre, por el que desestimó el recurso de súplica.</w:t>
      </w:r>
    </w:p>
    <w:p w14:paraId="27517C24" w14:textId="77777777" w:rsidR="009D7677" w:rsidRDefault="009D7677" w:rsidP="009D7677">
      <w:pPr>
        <w:pStyle w:val="TextoNormal"/>
      </w:pPr>
    </w:p>
    <w:p w14:paraId="067EB833" w14:textId="77777777" w:rsidR="009D7677" w:rsidRDefault="009D7677" w:rsidP="009D7677">
      <w:pPr>
        <w:pStyle w:val="TextoNormal"/>
      </w:pPr>
      <w:r>
        <w:t>La Sala parte de que existe disparidad de hecho y de derecho entre los supuestos de extradición enjuiciados por este tribunal en el caso Angola (STC 147/2021) y el caso ahora examinado de Marruecos. En el de Angola, al no existir tratado de extradición, era aplicable el art. 7 LEP, aun existiendo un documento que, conforme a la normativa del país requirente, era bastante para solicitar la extradición, “el Tribunal Constitucional, restringe nuevamente la autoridad emisora y elimina a cualquier otra que no sea el juez, bajo la sospecha de su falta de independencia”. La Sala concluye que, en el caso de Marruecos, conforme a su legislación interna, la fiscalía marroquí forma parte del poder judicial, puede solicitar la extradición, no estando previsto que la solicitud pueda ser revisada por un juez. En consecuencia, la orden emitida por el fiscal cumple las exigencias del art. 12 del Convenio bilateral.</w:t>
      </w:r>
    </w:p>
    <w:p w14:paraId="688F08BC" w14:textId="77777777" w:rsidR="009D7677" w:rsidRDefault="009D7677" w:rsidP="009D7677">
      <w:pPr>
        <w:pStyle w:val="TextoNormal"/>
      </w:pPr>
    </w:p>
    <w:p w14:paraId="2650DC1A" w14:textId="77777777" w:rsidR="009D7677" w:rsidRDefault="009D7677" w:rsidP="009D7677">
      <w:pPr>
        <w:pStyle w:val="TextoNormal"/>
      </w:pPr>
      <w:r>
        <w:t>Seguidamente expone las razones por las que la Sala considera que no es apropiado aplicar al procedimiento común de extradición la doctrina elaborada por el Tribunal de Justicia de la Unión Europea, al responder cuestiones prejudiciales relativas a la interpretación del art. 6.1 de la Decisión marco 2002/584/JAI, de 13 de junio, del Consejo, y su posterior modificación por la Decisión Marco 2009/299/JAI, de 26 de febrero, del Consejo (en relación con el concepto de autoridad emisora de una orden europea de detención). Así, sostiene que el procedimiento de extradición tiene por objeto comprobar el cumplimiento de los requisitos del correspondiente convenio de extradición, lo que supone verificar, entre otras cosas, si la resolución de detención internacional ha sido dictada conforme a dicho convenio y la legislación interna del país reclamante, y si pudiera existir algún motivo espurio que ponga en duda la imparcialidad de la autoridad reclamante. Para la Sala, las sentencias del Tribunal Constitucional citadas han añadido nuevos requisitos dirigidos, de una parte, a restringir la autoridad emisora para velar por su imparcialidad y, de otra, para salvaguardar los derechos del reclamado. Apunta que la exigencia por parte del país donde se encuentra el reclamado de presupuestos distintos o contrarios a los convenios de extradición podría dar lugar a una vulneración de los tratados suscritos y a la correspondiente responsabilidad del Estado. Los requisitos exigidos por el Tribunal de Justicia de la Unión Europea en un espacio común de reglas y principios de administración de justicia no pueden ser extrapolables a mundos jurídicos diversos, con procedimientos y reglas diferentes en cada país, donde las partes firmantes de un tratado no pueden, bajo cobertura de la protección de los derechos del reclamado o de una protección legal que solo existe de acuerdo con las reglas de su país, establecer exigencias distintas a las expresamente pactadas. Concluye la Sala que los criterios de la STC 147/2020 sobre la base de doctrina del Tribunal de Justicia de la Unión Europea, no pueden ser exigidos fuera del ámbito de la Unión Europea, sin perjuicio de que en el análisis jurídico de la extradición, el tribunal encargado de llevarla a cabo deba ponderar los datos que las autoridades del país reclamante le facilita sobre la claridad y precisión de los hechos punibles, las evidencias que aporten sobre la participación del reclamado en ellos, o el examen de la legislación del país reclamante en el caso de que deba entenderse que no es respetuosa de los derechos humanos del reclamado.</w:t>
      </w:r>
    </w:p>
    <w:p w14:paraId="56CF13F1" w14:textId="77777777" w:rsidR="009D7677" w:rsidRDefault="009D7677" w:rsidP="009D7677">
      <w:pPr>
        <w:pStyle w:val="TextoNormal"/>
      </w:pPr>
    </w:p>
    <w:p w14:paraId="7CE887CA" w14:textId="77777777" w:rsidR="009D7677" w:rsidRDefault="009D7677" w:rsidP="009D7677">
      <w:pPr>
        <w:pStyle w:val="TextoNormal"/>
      </w:pPr>
      <w:r>
        <w:t xml:space="preserve">Por lo que concierne a la alegada la persecución política del que estaría siendo objeto el recurrente por el país requirente, el órgano judicial afirma que se trata de alegaciones y </w:t>
      </w:r>
      <w:r>
        <w:lastRenderedPageBreak/>
        <w:t>manifestaciones de carácter genérico, sin relación con la persona del reclamado o sus circunstancias personales.</w:t>
      </w:r>
    </w:p>
    <w:p w14:paraId="5A98FBCB" w14:textId="77777777" w:rsidR="009D7677" w:rsidRDefault="009D7677" w:rsidP="009D7677">
      <w:pPr>
        <w:pStyle w:val="TextoNormal"/>
      </w:pPr>
    </w:p>
    <w:p w14:paraId="10CE955E" w14:textId="0E15E738" w:rsidR="009D7677" w:rsidRDefault="009D7677" w:rsidP="009D7677">
      <w:pPr>
        <w:pStyle w:val="TextoNormal"/>
      </w:pPr>
      <w:r>
        <w:t>El auto va acompañado de un voto particular, firmado por cinco magistrados, que consideran que no se ha aplicado correctamente la doctrina de la STC 147/2020, para la que es esencial que se cumpla la garantía jurisdiccional de la libertad en el propio país solicitante de la extradición, mediante la homologación por un órgano judicial de la orden de detención.</w:t>
      </w:r>
    </w:p>
    <w:p w14:paraId="2A80BB7C" w14:textId="77777777" w:rsidR="009D7677" w:rsidRDefault="009D7677" w:rsidP="009D7677">
      <w:pPr>
        <w:pStyle w:val="TextoNormal"/>
      </w:pPr>
    </w:p>
    <w:p w14:paraId="0A6C490B" w14:textId="5443E678" w:rsidR="009D7677" w:rsidRDefault="009D7677" w:rsidP="009D7677">
      <w:pPr>
        <w:pStyle w:val="TextoNormal"/>
      </w:pPr>
      <w:r w:rsidRPr="009D7677">
        <w:rPr>
          <w:rStyle w:val="NumeroAFNegritaCaracter"/>
        </w:rPr>
        <w:t>3</w:t>
      </w:r>
      <w:r>
        <w:t>. El recurrente en amparo denuncia que se ha vulnerado su derecho a la tutela judicial efectiva sin indefensión (art. 24.1 CE), su derecho a un proceso con todas las garantías (art. 24.2 CE), y su derecho a la libertad personal (art. 17.3 CE), porque la orden de arresto de 17 de enero de 2020 emitida por el fiscal general del rey de Marruecos, carece de control judicial en origen. En este sentido sostiene que no se ha producido la necesaria concurrencia de una autoridad judicial, exigida en las SSTC 147/2020 y 147/2021, para garantizar la proporcionalidad, legalidad e imparcialidad de la solicitud de extradición. En segundo lugar, el recurrente considera vulnerado su derecho a la tutela judicial efectiva sin indefensión (art. 24.1 CE), porque las resoluciones judiciales carecen de motivación suficiente en relación con la alegación de ánimo de persecución política.</w:t>
      </w:r>
    </w:p>
    <w:p w14:paraId="6F2312F0" w14:textId="77777777" w:rsidR="009D7677" w:rsidRDefault="009D7677" w:rsidP="009D7677">
      <w:pPr>
        <w:pStyle w:val="TextoNormal"/>
      </w:pPr>
    </w:p>
    <w:p w14:paraId="556E2A8E" w14:textId="03D6DB19" w:rsidR="009D7677" w:rsidRDefault="009D7677" w:rsidP="009D7677">
      <w:pPr>
        <w:pStyle w:val="TextoNormal"/>
      </w:pPr>
      <w:r w:rsidRPr="009D7677">
        <w:rPr>
          <w:rStyle w:val="NumeroAFNegritaCaracter"/>
        </w:rPr>
        <w:t>4</w:t>
      </w:r>
      <w:r>
        <w:t>. Por escrito presentado el 13 de diciembre de 2021, el magistrado don Ramón Sáez Valcárcel manifestó su voluntad de abstenerse del conocimiento del presente recurso de amparo al concurrir en su persona la causa establecida en el art. 219.13 y 16 de la Ley orgánica del poder judicial, por haber tenido conocimiento procesal de los hechos y de las actuaciones seguidas como integrante de la Sala que dictó una de las resoluciones objeto de amparo. La Sección Cuarta de este tribunal, en el ATC 105/2021, de 13 de diciembre, estimó justificada su abstención.</w:t>
      </w:r>
    </w:p>
    <w:p w14:paraId="66FE986D" w14:textId="77777777" w:rsidR="009D7677" w:rsidRDefault="009D7677" w:rsidP="009D7677">
      <w:pPr>
        <w:pStyle w:val="TextoNormal"/>
      </w:pPr>
    </w:p>
    <w:p w14:paraId="6594FE13" w14:textId="77777777" w:rsidR="009D7677" w:rsidRDefault="009D7677" w:rsidP="009D7677">
      <w:pPr>
        <w:pStyle w:val="TextoNormal"/>
      </w:pPr>
      <w:r w:rsidRPr="009D7677">
        <w:rPr>
          <w:rStyle w:val="NumeroAFNegritaCaracter"/>
        </w:rPr>
        <w:t>5</w:t>
      </w:r>
      <w:r>
        <w:t>. La Sección Cuarta del Tribunal Constitucional, por providencia de 7 de febrero de 2022, acordó admitir a trámite el recurso de amparo apreciando que concurre en el mismo una especial trascendencia constitucional [art. 50.1 de la Ley Orgánica del Tribunal Constitucional (en adelante, LOTC)]porque el recurso puede dar ocasión al Tribunal para aclarar o cambiar su doctrina, como consecuencia de un proceso de reflexión interna [STC 155/2009, de 25 de junio, FJ 2 b)].</w:t>
      </w:r>
    </w:p>
    <w:p w14:paraId="0BF4D2B8" w14:textId="77777777" w:rsidR="009D7677" w:rsidRDefault="009D7677" w:rsidP="009D7677">
      <w:pPr>
        <w:pStyle w:val="TextoNormal"/>
      </w:pPr>
    </w:p>
    <w:p w14:paraId="064A9FCD" w14:textId="04F92C1C" w:rsidR="009D7677" w:rsidRDefault="009D7677" w:rsidP="009D7677">
      <w:pPr>
        <w:pStyle w:val="TextoNormal"/>
      </w:pPr>
      <w:r>
        <w:t>En la providencia se acordó, en aplicación de lo dispuesto en el art. 51 LOTC, dirigir atenta comunicación al Pleno de la Sala de lo Penal de la Audiencia Nacional para que, en plazo que no excediera de diez días, remitiera certificación o fotocopia adverada de las actuaciones correspondientes al recurso de súplica núm. 63-2021. También se acordó dirigir atenta comunicación a la Sección Tercera de la Sala de lo Penal de la Audiencia Nacional para que, en plazo que no excediera de diez días, remitiera certificación o fotocopia adverada de las actuaciones correspondientes al rollo núm. 22-2020, dimanante del procedimiento de extradición pasiva núm. 24-2020 del Juzgado Central de Instrucción núm. 5 debiendo previamente emplazarse, para que en el plazo de diez días pudieran comparecer, si lo deseasen, en el recurso de amparo a quienes hubieran sido parte en el procedimiento, excepto la parte recurrente en amparo.</w:t>
      </w:r>
    </w:p>
    <w:p w14:paraId="20F98AEA" w14:textId="77777777" w:rsidR="009D7677" w:rsidRDefault="009D7677" w:rsidP="009D7677">
      <w:pPr>
        <w:pStyle w:val="TextoNormal"/>
      </w:pPr>
    </w:p>
    <w:p w14:paraId="287AA80C" w14:textId="048D9986" w:rsidR="009D7677" w:rsidRDefault="009D7677" w:rsidP="009D7677">
      <w:pPr>
        <w:pStyle w:val="TextoNormal"/>
      </w:pPr>
      <w:r w:rsidRPr="009D7677">
        <w:rPr>
          <w:rStyle w:val="NumeroAFNegritaCaracter"/>
        </w:rPr>
        <w:lastRenderedPageBreak/>
        <w:t>6</w:t>
      </w:r>
      <w:r>
        <w:t>. El abogado del Estado se personó mediante escrito de fecha 23 de febrero de 2022.</w:t>
      </w:r>
    </w:p>
    <w:p w14:paraId="15D0D019" w14:textId="77777777" w:rsidR="009D7677" w:rsidRDefault="009D7677" w:rsidP="009D7677">
      <w:pPr>
        <w:pStyle w:val="TextoNormal"/>
      </w:pPr>
    </w:p>
    <w:p w14:paraId="5B8DD97E" w14:textId="49EAC5E3" w:rsidR="009D7677" w:rsidRDefault="009D7677" w:rsidP="009D7677">
      <w:pPr>
        <w:pStyle w:val="TextoNormal"/>
      </w:pPr>
      <w:r w:rsidRPr="009D7677">
        <w:rPr>
          <w:rStyle w:val="NumeroAFNegritaCaracter"/>
        </w:rPr>
        <w:t>7</w:t>
      </w:r>
      <w:r>
        <w:t>. Recibidas las actuaciones de la Sala de lo Penal de la Audiencia Nacional y de la Sección Tercera de la Sala de lo Penal de la Audiencia Nacional, el 2 de marzo de 2022 la Secretaría de Justicia de la Sala Segunda de este tribunal dictó diligencia de ordenación en la que tuvo por personado en el procedimiento al abogado del Estado y acordaba dar vista de las mismas por un plazo común de veinte días a las partes personadas y al Ministerio Fiscal, para que presentasen las alegaciones que estimasen pertinentes, conforme determina el art. 52.1 LOTC.</w:t>
      </w:r>
    </w:p>
    <w:p w14:paraId="4979A241" w14:textId="77777777" w:rsidR="009D7677" w:rsidRDefault="009D7677" w:rsidP="009D7677">
      <w:pPr>
        <w:pStyle w:val="TextoNormal"/>
      </w:pPr>
    </w:p>
    <w:p w14:paraId="2A35C587" w14:textId="6BE78BE1" w:rsidR="009D7677" w:rsidRDefault="009D7677" w:rsidP="009D7677">
      <w:pPr>
        <w:pStyle w:val="TextoNormal"/>
      </w:pPr>
      <w:r w:rsidRPr="009D7677">
        <w:rPr>
          <w:rStyle w:val="NumeroAFNegritaCaracter"/>
        </w:rPr>
        <w:t>8</w:t>
      </w:r>
      <w:r>
        <w:t>. Por escrito presentado el 17 de marzo de 2022 la representación procesal del actor formuló alegaciones en las que se ratificó íntegramente en la demanda.</w:t>
      </w:r>
    </w:p>
    <w:p w14:paraId="485A1D55" w14:textId="77777777" w:rsidR="009D7677" w:rsidRDefault="009D7677" w:rsidP="009D7677">
      <w:pPr>
        <w:pStyle w:val="TextoNormal"/>
      </w:pPr>
    </w:p>
    <w:p w14:paraId="64243D16" w14:textId="77777777" w:rsidR="009D7677" w:rsidRDefault="009D7677" w:rsidP="009D7677">
      <w:pPr>
        <w:pStyle w:val="TextoNormal"/>
      </w:pPr>
      <w:r w:rsidRPr="009D7677">
        <w:rPr>
          <w:rStyle w:val="NumeroAFNegritaCaracter"/>
        </w:rPr>
        <w:t>9</w:t>
      </w:r>
      <w:r>
        <w:t>. Por escrito presentado el 31 de marzo de 2022 el abogado del Estado presentó alegaciones en las que solicitó la inadmisión en sentencia del recurso de amparo y, subsidiariamente, su desestimación.</w:t>
      </w:r>
    </w:p>
    <w:p w14:paraId="3D6C0BDE" w14:textId="77777777" w:rsidR="009D7677" w:rsidRDefault="009D7677" w:rsidP="009D7677">
      <w:pPr>
        <w:pStyle w:val="TextoNormal"/>
      </w:pPr>
    </w:p>
    <w:p w14:paraId="3BB3270E" w14:textId="2E036CB9" w:rsidR="009D7677" w:rsidRDefault="009D7677" w:rsidP="009D7677">
      <w:pPr>
        <w:pStyle w:val="TextoNormal"/>
      </w:pPr>
      <w:r>
        <w:t>El abogado del Estado entiende que el presente caso difiere de los analizados en las SSTC 147/2020, de 19 de octubre, y 147/2021, de 12 julio, porque, en el ordenamiento jurídico marroquí, tanto los jueces de instrucción como el fiscal del rey ante el tribunal de apelación pueden emitir órdenes de detención, sin que en este último caso sea preciso que sean legalizadas por un juez. Además, según el art. 12 del Convenio, para solicitar la extradición basta con la presentación de una orden de detención expedida en la forma prescrita por la ley del Estado requirente. Por lo dicho, el abogado del Estado considera que estamos ante un problema de legalidad ordinaria en el que no se ven afectados derechos fundamentales.</w:t>
      </w:r>
    </w:p>
    <w:p w14:paraId="3701B3F3" w14:textId="77777777" w:rsidR="009D7677" w:rsidRDefault="009D7677" w:rsidP="009D7677">
      <w:pPr>
        <w:pStyle w:val="TextoNormal"/>
      </w:pPr>
    </w:p>
    <w:p w14:paraId="40637C27" w14:textId="77777777" w:rsidR="009D7677" w:rsidRDefault="009D7677" w:rsidP="009D7677">
      <w:pPr>
        <w:pStyle w:val="TextoNormal"/>
      </w:pPr>
      <w:r w:rsidRPr="009D7677">
        <w:rPr>
          <w:rStyle w:val="NumeroAFNegritaCaracter"/>
        </w:rPr>
        <w:t>10</w:t>
      </w:r>
      <w:r>
        <w:t>. Por escrito presentado el 8 de abril de 2022, el fiscal ante el Tribunal Constitucional presentó alegaciones en las que solicitó la estimación del recurso de amparo, que se declarase que las resoluciones judiciales impugnadas en el mismo vulneraron el derecho fundamental del recurrente a la tutela judicial efectiva (art. 24.1 CE), en conexión con el derecho a la libertad (art. 17 CE) con infracción de la doctrina del Tribunal Constitucional y que, en consecuencia, se declarase su nulidad. Subsidiariamente, solicitaba una aclaración o precisión de la doctrina constitucional.</w:t>
      </w:r>
    </w:p>
    <w:p w14:paraId="3BDAE52D" w14:textId="77777777" w:rsidR="009D7677" w:rsidRDefault="009D7677" w:rsidP="009D7677">
      <w:pPr>
        <w:pStyle w:val="TextoNormal"/>
      </w:pPr>
    </w:p>
    <w:p w14:paraId="733A541A" w14:textId="77777777" w:rsidR="009D7677" w:rsidRDefault="009D7677" w:rsidP="009D7677">
      <w:pPr>
        <w:pStyle w:val="TextoNormal"/>
      </w:pPr>
      <w:r>
        <w:t xml:space="preserve">Tras exponer las vicisitudes del procedimiento, el fiscal encuadra la cuestión planteada en la falta de habilitación legal de la solicitud de extradición formulada por el Reino de Marruecos, en tanto se funda en una orden internacional de detención dictada por el fiscal del rey ante el Tribunal de Primera Instancia de Tánger, sin que exista una resolución judicial que la corrobore, apartándose las resoluciones judiciales impugnadas de la doctrina constitucional establecida por en las SSTC 147/2020, de 19 de octubre, y 147/2021, de 12 de julio, doctrina que sintetiza y de la que destaca, mediante extensa cita literal de los fundamentos jurídicos 7 y 8 de la primera de ellas, el valor hermenéutico e integrador que el Tribunal Constitucional atribuye (art. 10.2 CE) a los pronunciamientos del Tribunal de Justicia de la Unión Europea relativos a la orden europea de detención y entrega (Decisión Marco 2002/584/JAI) para incorporar a la tutela judicial efectiva del derecho a la libertad </w:t>
      </w:r>
      <w:r>
        <w:lastRenderedPageBreak/>
        <w:t>y a la libertad de circulación, en los procedimientos de extradición pasiva, la exigencia de que en el país reclamante exista una ponderación judicial sobre la necesidad de la medida.</w:t>
      </w:r>
    </w:p>
    <w:p w14:paraId="2827EAD8" w14:textId="77777777" w:rsidR="009D7677" w:rsidRDefault="009D7677" w:rsidP="009D7677">
      <w:pPr>
        <w:pStyle w:val="TextoNormal"/>
      </w:pPr>
    </w:p>
    <w:p w14:paraId="53830DF1" w14:textId="77777777" w:rsidR="009D7677" w:rsidRDefault="009D7677" w:rsidP="009D7677">
      <w:pPr>
        <w:pStyle w:val="TextoNormal"/>
      </w:pPr>
      <w:r>
        <w:t>El fiscal considera que, en este caso, la solicitud de extradición por el fiscal del rey de Marruecos no reúne los requisitos establecidos por la doctrina constitucional citada, en cuanto la autoridad emisora —el fiscal del rey— está sometida a las posibles instrucciones de la autoridad jerárquica superior y no se prevé la inexcusable concurrencia de una autoridad judicial que controle la necesidad y proporcionalidad de la medida, al margen de que no se contempla la posibilidad de un recurso judicial antes de la entrega de la persona buscada por el Estado que debe efectuar la ejecución.</w:t>
      </w:r>
    </w:p>
    <w:p w14:paraId="4818E676" w14:textId="77777777" w:rsidR="009D7677" w:rsidRDefault="009D7677" w:rsidP="009D7677">
      <w:pPr>
        <w:pStyle w:val="TextoNormal"/>
      </w:pPr>
    </w:p>
    <w:p w14:paraId="4A801016" w14:textId="3B592142" w:rsidR="009D7677" w:rsidRDefault="009D7677" w:rsidP="009D7677">
      <w:pPr>
        <w:pStyle w:val="TextoNormal"/>
      </w:pPr>
      <w:r>
        <w:t>El fiscal no concluye aquí sus alegaciones, sino que con carácter subsidiario plantea la posibilidad de que el presente recurso de amparo sirva de oportunidad para que este tribunal aclare o cambie su doctrina, a cuyo efecto apunta que el recurso de amparo núm. 7490-2021, que plantea la misma cuestión, ha sido admitido a trámite en providencia de 1 de diciembre de 2021 de la Sala Primera de este tribunal, en virtud del supuesto de especial trascendencia constitucional enunciado en la letra b) del fundamento jurídico 2 de la STC 155/2009. Es decir, se trataría de aclarar o matizar, en su caso, la doctrina constitucional sobre extensión de las garantías del procedimiento de extradición pasiva, en particular la garantía jurisdiccional o de tutela judicial efectiva en el procedimiento de extradición en el momento de su emisión, con aplicación de la doctrina del Tribunal de Justicia de la Unión Europea dictada a propósito de la orden europea de detención y entrega, lo que equipara los procesos de extradición, tanto si son de los países de la Unión Europea como si provienen de países terceros, estableciendo un estándar de garantías más elevado a todos los supuestos de extradición, cualquiera que sea el convenio multilateral o bilateral suscrito entre España y terceros países reguladores de la extradición, perfilando la interpretación de la compatibilidad que se puede suscitar en la aplicación de los convenios suscritos con España y la aplicación del diferente estándar de garantías del Tribunal de Justicia de la Unión Europea.</w:t>
      </w:r>
    </w:p>
    <w:p w14:paraId="57AF5747" w14:textId="77777777" w:rsidR="009D7677" w:rsidRDefault="009D7677" w:rsidP="009D7677">
      <w:pPr>
        <w:pStyle w:val="TextoNormal"/>
      </w:pPr>
    </w:p>
    <w:p w14:paraId="2658170C" w14:textId="6832DE94" w:rsidR="009D7677" w:rsidRDefault="009D7677" w:rsidP="009D7677">
      <w:pPr>
        <w:pStyle w:val="TextoNormal"/>
      </w:pPr>
      <w:r w:rsidRPr="009D7677">
        <w:rPr>
          <w:rStyle w:val="NumeroAFNegritaCaracter"/>
        </w:rPr>
        <w:t>11</w:t>
      </w:r>
      <w:r>
        <w:t>. Por diligencia de ordenación de la Secretaría de Justicia de la Sala Segunda de este tribunal de 18 de abril de 2022 se hace constar que, habiéndose recibido los precedentes escritos de alegaciones del fiscal y de la procuradora doña Olga Rodríguez Herranz, queda el presente recurso de amparo pendiente para deliberación cuando por turno corresponda.</w:t>
      </w:r>
    </w:p>
    <w:p w14:paraId="2C4787C1" w14:textId="77777777" w:rsidR="009D7677" w:rsidRDefault="009D7677" w:rsidP="009D7677">
      <w:pPr>
        <w:pStyle w:val="TextoNormal"/>
      </w:pPr>
    </w:p>
    <w:p w14:paraId="76C69C74" w14:textId="3C6D00EE" w:rsidR="009D7677" w:rsidRDefault="009D7677" w:rsidP="009D7677">
      <w:pPr>
        <w:pStyle w:val="TextoNormal"/>
      </w:pPr>
      <w:r w:rsidRPr="009D7677">
        <w:rPr>
          <w:rStyle w:val="NumeroAFNegritaCaracter"/>
        </w:rPr>
        <w:t>12</w:t>
      </w:r>
      <w:r>
        <w:t>. Mediante providencia de 7 de marzo de 2024, se señaló para deliberación y votación de la presente sentencia el siguiente día 11 del mismo mes y año.</w:t>
      </w:r>
    </w:p>
    <w:p w14:paraId="1B77BD8B" w14:textId="77777777" w:rsidR="009D7677" w:rsidRDefault="009D7677" w:rsidP="009D7677">
      <w:pPr>
        <w:pStyle w:val="TextoNormal"/>
      </w:pPr>
    </w:p>
    <w:p w14:paraId="32569331" w14:textId="77777777" w:rsidR="009D7677" w:rsidRDefault="009D7677" w:rsidP="009D7677">
      <w:pPr>
        <w:pStyle w:val="TextoNormalNegritaCentrado"/>
        <w:keepNext/>
      </w:pPr>
      <w:r>
        <w:t>II. Fundamentos jurídicos</w:t>
      </w:r>
    </w:p>
    <w:p w14:paraId="6AABD57D" w14:textId="5D2A1438" w:rsidR="009D7677" w:rsidRDefault="009D7677" w:rsidP="009D7677">
      <w:pPr>
        <w:pStyle w:val="TextoNormalNegritaCentrado"/>
        <w:keepNext/>
      </w:pPr>
    </w:p>
    <w:p w14:paraId="19DD51E6" w14:textId="77777777" w:rsidR="009D7677" w:rsidRDefault="009D7677" w:rsidP="009D7677">
      <w:pPr>
        <w:pStyle w:val="TextoNormal"/>
      </w:pPr>
      <w:r w:rsidRPr="009D7677">
        <w:rPr>
          <w:rStyle w:val="NumeroAFNegritaCaracter"/>
        </w:rPr>
        <w:t>1</w:t>
      </w:r>
      <w:r>
        <w:t xml:space="preserve">. </w:t>
      </w:r>
      <w:r w:rsidRPr="009D7677">
        <w:rPr>
          <w:i/>
        </w:rPr>
        <w:t>Objeto del proceso y posición de las partes</w:t>
      </w:r>
    </w:p>
    <w:p w14:paraId="22011018" w14:textId="77777777" w:rsidR="009D7677" w:rsidRDefault="009D7677" w:rsidP="009D7677">
      <w:pPr>
        <w:pStyle w:val="TextoNormal"/>
      </w:pPr>
    </w:p>
    <w:p w14:paraId="29E77C3A" w14:textId="77777777" w:rsidR="009D7677" w:rsidRDefault="009D7677" w:rsidP="009D7677">
      <w:pPr>
        <w:pStyle w:val="TextoNormal"/>
      </w:pPr>
      <w:r>
        <w:t xml:space="preserve">La demanda de amparo interesa la nulidad del auto núm. 30/2021, de 1 de julio, de la Sección Tercera de la Sala de lo Penal de la Audiencia Nacional, que acordó haber lugar en fase judicial a la extradición del demandante a Marruecos al objeto de ser enjuiciado por hechos constitutivos de falsificación de documentos oficiales, y del auto núm. </w:t>
      </w:r>
      <w:r>
        <w:lastRenderedPageBreak/>
        <w:t>71/2021, de 14 de octubre, dictado por el Pleno de la Sala de lo Penal de la Audiencia Nacional, que confirmó en súplica el anterior.</w:t>
      </w:r>
    </w:p>
    <w:p w14:paraId="75AE7B9B" w14:textId="77777777" w:rsidR="009D7677" w:rsidRDefault="009D7677" w:rsidP="009D7677">
      <w:pPr>
        <w:pStyle w:val="TextoNormal"/>
      </w:pPr>
    </w:p>
    <w:p w14:paraId="3C95E3A8" w14:textId="77777777" w:rsidR="009D7677" w:rsidRDefault="009D7677" w:rsidP="009D7677">
      <w:pPr>
        <w:pStyle w:val="TextoNormal"/>
      </w:pPr>
      <w:r>
        <w:t>El recurrente aduce que las resoluciones judiciales impugnadas han vulnerado sus derechos a la tutela judicial efectiva (art. 24.1 CE), a un proceso con todas las garantías (art. 24.2 CE), y a la libertad personal (art. 17.3 CE), porque, en primer lugar, la orden de arresto de 14 de enero de 2020 emitida por el fiscal sustituto del rey de Marruecos, careció del necesario control judicial en origen exigido en las SSTC 147/2020, de 19 de octubre, y 147/2021, de 12 de julio, para garantizar su necesidad y proporcionalidad; y, en segundo lugar, por vulneración del derecho a la tutela judicial efectiva (art. 24.1 CE) por falta de motivación de las resoluciones judiciales en relación con la alegación de que la extradición tiene como finalidad una persecución política.</w:t>
      </w:r>
    </w:p>
    <w:p w14:paraId="36398DE3" w14:textId="77777777" w:rsidR="009D7677" w:rsidRDefault="009D7677" w:rsidP="009D7677">
      <w:pPr>
        <w:pStyle w:val="TextoNormal"/>
      </w:pPr>
    </w:p>
    <w:p w14:paraId="019596A8" w14:textId="77777777" w:rsidR="009D7677" w:rsidRDefault="009D7677" w:rsidP="009D7677">
      <w:pPr>
        <w:pStyle w:val="TextoNormal"/>
      </w:pPr>
      <w:r>
        <w:t>El fiscal ante el Tribunal Constitucional solicita la estimación del recurso e interesa la nulidad de las resoluciones judiciales impugnadas, si bien subsidiariamente propone que se module la doctrina constitucional sentada en la STC 147/2020 a la luz de las circunstancias del caso.</w:t>
      </w:r>
    </w:p>
    <w:p w14:paraId="2E3C9F72" w14:textId="77777777" w:rsidR="009D7677" w:rsidRDefault="009D7677" w:rsidP="009D7677">
      <w:pPr>
        <w:pStyle w:val="TextoNormal"/>
      </w:pPr>
    </w:p>
    <w:p w14:paraId="2D5478D5" w14:textId="66BDA703" w:rsidR="009D7677" w:rsidRDefault="009D7677" w:rsidP="009D7677">
      <w:pPr>
        <w:pStyle w:val="TextoNormal"/>
      </w:pPr>
      <w:r>
        <w:t>Por su parte, el abogado del Estado interesa la inadmisión en sentencia de las quejas y, subsidiariamente, su desestimación.</w:t>
      </w:r>
    </w:p>
    <w:p w14:paraId="339C7350" w14:textId="77777777" w:rsidR="009D7677" w:rsidRDefault="009D7677" w:rsidP="009D7677">
      <w:pPr>
        <w:pStyle w:val="TextoNormal"/>
      </w:pPr>
    </w:p>
    <w:p w14:paraId="1ECAA96D" w14:textId="77777777" w:rsidR="009D7677" w:rsidRDefault="009D7677" w:rsidP="009D7677">
      <w:pPr>
        <w:pStyle w:val="TextoNormal"/>
      </w:pPr>
      <w:r w:rsidRPr="009D7677">
        <w:rPr>
          <w:rStyle w:val="NumeroAFNegritaCaracter"/>
        </w:rPr>
        <w:t>2</w:t>
      </w:r>
      <w:r>
        <w:t xml:space="preserve">. </w:t>
      </w:r>
      <w:r w:rsidRPr="009D7677">
        <w:rPr>
          <w:i/>
        </w:rPr>
        <w:t>Especial trascendencia constitucional</w:t>
      </w:r>
    </w:p>
    <w:p w14:paraId="2AE911A1" w14:textId="77777777" w:rsidR="009D7677" w:rsidRDefault="009D7677" w:rsidP="009D7677">
      <w:pPr>
        <w:pStyle w:val="TextoNormal"/>
      </w:pPr>
    </w:p>
    <w:p w14:paraId="7F5B3427" w14:textId="77777777" w:rsidR="009D7677" w:rsidRDefault="009D7677" w:rsidP="009D7677">
      <w:pPr>
        <w:pStyle w:val="TextoNormal"/>
      </w:pPr>
      <w:r>
        <w:t>La Sección Cuarta del Tribunal Constitucional, por providencia de 7 de febrero de 2022, admitió a trámite el presente recurso de amparo apreciando la concurrencia de especial trascendencia constitucional (art. 50.1 LOTC) porque el recurso puede dar ocasión al Tribunal para aclarar o cambiar su doctrina, como consecuencia de un proceso de reflexión interna [STC 155/2009, FJ 2 b)].</w:t>
      </w:r>
    </w:p>
    <w:p w14:paraId="5B1AB03E" w14:textId="77777777" w:rsidR="009D7677" w:rsidRDefault="009D7677" w:rsidP="009D7677">
      <w:pPr>
        <w:pStyle w:val="TextoNormal"/>
      </w:pPr>
    </w:p>
    <w:p w14:paraId="79B56C3B" w14:textId="77777777" w:rsidR="009D7677" w:rsidRDefault="009D7677" w:rsidP="009D7677">
      <w:pPr>
        <w:pStyle w:val="TextoNormal"/>
      </w:pPr>
      <w:r>
        <w:t xml:space="preserve">Como hemos expresado en la reciente STC 17/2024, de 31 de enero, “[d]esde la STC 9/2015, de 2 de febrero, FJ 3, hemos establecido que ‘constituye una exigencia de certeza que este tribunal explicite el cumplimiento de este requisito, haciendo así recognoscibles los criterios de aplicación empleados al respecto por este Tribunal [sentencia del Tribunal Europeo de Derechos Humanos (STEDH) de 20 de enero de 2015, asunto </w:t>
      </w:r>
      <w:r w:rsidRPr="009D7677">
        <w:rPr>
          <w:i/>
        </w:rPr>
        <w:t>Arribas Antón c. España</w:t>
      </w:r>
      <w:r>
        <w:t>]’, lo que también aconseja evitar la dispersión de criterios en asuntos que presentan una acusada identidad de objeto. Declaramos por ello que, en la medida en que el presente recurso de amparo sitúa el fundamento impugnatorio en que las resoluciones de la Audiencia Nacional han vulnerado sus derechos fundamentales a la tutela judicial efectiva, a un proceso con todas las garantías, y a la libertad personal y de circulación (art. 24.1 y 2 CE, en conexión con los arts. 17 y 19 CE) por haber autorizado una solicitud de extradición remitida por el fiscal del rey ante el Tribunal de Apelación de Tánger carente de refrendo judicial, resulta especialmente idóneo para iniciar, si procede, un proceso de reflexión interna dirigido aclarar o cambiar la doctrina sentada en las SSTC 147/2020 y 147/2021, necesidad reforzada por la reiteración de asuntos de extradición pasiva, procedentes del mismo país y de otros, que inciden en la misma cuestión, por lo que declaramos que la especial trascendencia constitucional del presente recurso de amparo debe quedar igualmente encuadrada en el supuesto de la letra b) del fundamento jurídico 2 de la STC 155/2009, de 25 de junio”.</w:t>
      </w:r>
    </w:p>
    <w:p w14:paraId="41B3C26A" w14:textId="77777777" w:rsidR="009D7677" w:rsidRDefault="009D7677" w:rsidP="009D7677">
      <w:pPr>
        <w:pStyle w:val="TextoNormal"/>
      </w:pPr>
    </w:p>
    <w:p w14:paraId="724CCB6A" w14:textId="41AD7311" w:rsidR="009D7677" w:rsidRDefault="009D7677" w:rsidP="009D7677">
      <w:pPr>
        <w:pStyle w:val="TextoNormal"/>
      </w:pPr>
      <w:r>
        <w:t>Pues bien, dado que el supuesto planteado en este recurso es similar, si no casi idéntico, al que valoramos en la STC 17/2024, ha de concluirse que goza de la misma especial trascendencia constitucional que observamos entonces, debiendo ser objeto del mismo proceso de reflexión interna.</w:t>
      </w:r>
    </w:p>
    <w:p w14:paraId="23F12EDC" w14:textId="77777777" w:rsidR="009D7677" w:rsidRDefault="009D7677" w:rsidP="009D7677">
      <w:pPr>
        <w:pStyle w:val="TextoNormal"/>
      </w:pPr>
    </w:p>
    <w:p w14:paraId="317BC058" w14:textId="77777777" w:rsidR="009D7677" w:rsidRDefault="009D7677" w:rsidP="009D7677">
      <w:pPr>
        <w:pStyle w:val="TextoNormal"/>
      </w:pPr>
      <w:r w:rsidRPr="009D7677">
        <w:rPr>
          <w:rStyle w:val="NumeroAFNegritaCaracter"/>
        </w:rPr>
        <w:t>3</w:t>
      </w:r>
      <w:r>
        <w:t xml:space="preserve">. </w:t>
      </w:r>
      <w:r w:rsidRPr="009D7677">
        <w:rPr>
          <w:i/>
        </w:rPr>
        <w:t>Consideraciones previas. Orden de examen de las quejas</w:t>
      </w:r>
    </w:p>
    <w:p w14:paraId="48035A52" w14:textId="77777777" w:rsidR="009D7677" w:rsidRDefault="009D7677" w:rsidP="009D7677">
      <w:pPr>
        <w:pStyle w:val="TextoNormal"/>
      </w:pPr>
    </w:p>
    <w:p w14:paraId="59D690EC" w14:textId="77777777" w:rsidR="009D7677" w:rsidRDefault="009D7677" w:rsidP="009D7677">
      <w:pPr>
        <w:pStyle w:val="TextoNormal"/>
      </w:pPr>
      <w:r>
        <w:t>Para determinar el orden de examen de las quejas articuladas por el actor debemos atenernos a los criterios expuestos en nuestra doctrina, según la cual, en el análisis de las diferentes lesiones alegadas ha de seguirse el criterio de “mayor retroacción” (SSTC 180/2015, de 7 de septiembre, FJ 3, y 102/2020, de 21 de septiembre, FJ 2), lo que implica conceder prioridad al examen de aquellas causas que, de prosperar, determinarían la retroacción a un momento procesal más antiguo y haría innecesario un pronunciamiento sobre las restantes (SSTC 152/2015, de 6 de julio, FJ 3; 56/2019, de 6 de mayo, FJ 2; 41/2020, de 9 de marzo, FJ 2, y 148/2023, de 6 de noviembre, FJ 2).</w:t>
      </w:r>
    </w:p>
    <w:p w14:paraId="08F63D48" w14:textId="77777777" w:rsidR="009D7677" w:rsidRDefault="009D7677" w:rsidP="009D7677">
      <w:pPr>
        <w:pStyle w:val="TextoNormal"/>
      </w:pPr>
    </w:p>
    <w:p w14:paraId="5569E3F0" w14:textId="77777777" w:rsidR="009D7677" w:rsidRDefault="009D7677" w:rsidP="009D7677">
      <w:pPr>
        <w:pStyle w:val="TextoNormal"/>
      </w:pPr>
      <w:r>
        <w:t>En las SSTC 115/2002, de 20 de mayo, FJ 3; 65/2003, de 7 de abril, FJ 2; 198/2003, de 10 de noviembre, FJ 3, o, más recientemente, en las SSTC 37/2018, de 23 de abril, FJ 2, y 78/2019, de 3 de junio, FJ 2, declaramos que corresponde a este tribunal, en función de las circunstancias concurrentes en cada supuesto concreto sometido a su consideración, determinar no solo el orden del examen de las quejas, sino también si resulta necesario o conveniente pronunciarse en la sentencia sobre todas las lesiones de derechos constitucionales denunciadas, en el caso de que ya se haya apreciado la concurrencia de alguna de ellas.</w:t>
      </w:r>
    </w:p>
    <w:p w14:paraId="557E5B39" w14:textId="77777777" w:rsidR="009D7677" w:rsidRDefault="009D7677" w:rsidP="009D7677">
      <w:pPr>
        <w:pStyle w:val="TextoNormal"/>
      </w:pPr>
    </w:p>
    <w:p w14:paraId="609B3BD9" w14:textId="158EDE7B" w:rsidR="009D7677" w:rsidRDefault="009D7677" w:rsidP="009D7677">
      <w:pPr>
        <w:pStyle w:val="TextoNormal"/>
      </w:pPr>
      <w:r>
        <w:t>Siguiendo este criterio analizaremos, en primer lugar, la eventual vulneración de los derechos fundamentales a la tutela judicial efectiva sin indefensión (art. 24.1 CE) y a un procedimiento con todas las garantías (art. 24.2 CE) que se imputa a los órganos judiciales por haber accedido a una extradición que no contaba con un previo control judicial del país requirente. En caso de que no proceda la estimación de esta queja, procederemos al análisis de la vulneración del derecho fundamental a la tutela judicial efectiva, en su vertiente de derecho a la motivación de las resoluciones judiciales, en cuanto entiende el demandante que no se le dio debida respuesta a su denuncia de estar siendo sometido mediante el proceso de extradición a una persecución política por parte del Gobierno de Marruecos.</w:t>
      </w:r>
    </w:p>
    <w:p w14:paraId="1FD9638A" w14:textId="77777777" w:rsidR="009D7677" w:rsidRDefault="009D7677" w:rsidP="009D7677">
      <w:pPr>
        <w:pStyle w:val="TextoNormal"/>
      </w:pPr>
    </w:p>
    <w:p w14:paraId="17F5DE48" w14:textId="77777777" w:rsidR="009D7677" w:rsidRDefault="009D7677" w:rsidP="009D7677">
      <w:pPr>
        <w:pStyle w:val="TextoNormal"/>
      </w:pPr>
      <w:r w:rsidRPr="009D7677">
        <w:rPr>
          <w:rStyle w:val="NumeroAFNegritaCaracter"/>
        </w:rPr>
        <w:t>4</w:t>
      </w:r>
      <w:r>
        <w:t xml:space="preserve">. </w:t>
      </w:r>
      <w:r w:rsidRPr="009D7677">
        <w:rPr>
          <w:i/>
        </w:rPr>
        <w:t>La doctrina establecida en la STC 17/2024, de 31 de enero, sobre la tutela judicial de la libertad en los procedimientos de extradición pasiva</w:t>
      </w:r>
    </w:p>
    <w:p w14:paraId="67CABCE6" w14:textId="77777777" w:rsidR="009D7677" w:rsidRDefault="009D7677" w:rsidP="009D7677">
      <w:pPr>
        <w:pStyle w:val="TextoNormal"/>
      </w:pPr>
    </w:p>
    <w:p w14:paraId="447AC69B" w14:textId="77777777" w:rsidR="009D7677" w:rsidRDefault="009D7677" w:rsidP="009D7677">
      <w:pPr>
        <w:pStyle w:val="TextoNormal"/>
      </w:pPr>
      <w:r>
        <w:t xml:space="preserve">En la reciente STC 17/2024, de 31 de enero, este tribunal ha aclarado que la doctrina fijada en las SSTC 147/2020 y 147/2021 sobre tutela judicial del derecho a la libertad en los procedimientos de extradición pasiva fijada distingue dos tipos de garantía. En primer lugar, una garantía básica, consistente en que el órgano judicial al examinar la petición de extradición verifique la imparcialidad de la autoridad que la ha emitido, tratándose de una garantía inherente al deber de motivación reforzada de una decisión que ha de afectar necesariamente a la esfera de la libertad personal del reclamado. Y, en segundo término, una garantía específica, consistente en que la solicitud venga refrendada por una autoridad </w:t>
      </w:r>
      <w:r>
        <w:lastRenderedPageBreak/>
        <w:t xml:space="preserve">judicial desde el mismo país de origen, fundada en el art. 7.1 a) LEP, que es de directa aplicación en aquellos supuestos de ausencia de convenio extradicional con el Estado reclamante (STC 147/2021, FJ 4), pero que puede verse modulada en función de lo previsto en el convenio de extradición vigente entre las partes, al tratarse de una fuente normativa de aplicación preferente </w:t>
      </w:r>
      <w:r w:rsidRPr="009D7677">
        <w:rPr>
          <w:i/>
        </w:rPr>
        <w:t>ex</w:t>
      </w:r>
      <w:r>
        <w:t xml:space="preserve"> art. 1.1 LEP. Así debe afirmarse que, aun cuando sea una exigencia inherente a la tutela judicial efectiva del derecho a la libertad personal del </w:t>
      </w:r>
      <w:r w:rsidRPr="009D7677">
        <w:rPr>
          <w:i/>
        </w:rPr>
        <w:t>extraditurus</w:t>
      </w:r>
      <w:r>
        <w:t xml:space="preserve"> que nuestros tribunales verifiquen que la necesidad y proporcionalidad de la medida ha sido debidamente ponderada por un órgano judicial del país emisor, dicha intermediación judicial puede dispensarse excepcionalmente cuando concurran las siguientes exigencias:</w:t>
      </w:r>
    </w:p>
    <w:p w14:paraId="74B65D9A" w14:textId="77777777" w:rsidR="009D7677" w:rsidRDefault="009D7677" w:rsidP="009D7677">
      <w:pPr>
        <w:pStyle w:val="TextoNormal"/>
      </w:pPr>
    </w:p>
    <w:p w14:paraId="1114825B" w14:textId="77777777" w:rsidR="009D7677" w:rsidRDefault="009D7677" w:rsidP="009D7677">
      <w:pPr>
        <w:pStyle w:val="TextoNormal"/>
      </w:pPr>
      <w:r>
        <w:t>(i) Que se trate de un procedimiento de extradición regido por un convenio bilateral o multilateral que admita la posibilidad de que la petición de entrega pueda emanar de una autoridad no jurisdiccional.</w:t>
      </w:r>
    </w:p>
    <w:p w14:paraId="68931D8B" w14:textId="77777777" w:rsidR="009D7677" w:rsidRDefault="009D7677" w:rsidP="009D7677">
      <w:pPr>
        <w:pStyle w:val="TextoNormal"/>
      </w:pPr>
    </w:p>
    <w:p w14:paraId="6487D37E" w14:textId="77777777" w:rsidR="009D7677" w:rsidRDefault="009D7677" w:rsidP="009D7677">
      <w:pPr>
        <w:pStyle w:val="TextoNormal"/>
      </w:pPr>
      <w:r>
        <w:t>(ii) Que el país requirente suministre información suficientemente expresiva de que se trata de una autoridad que, conforme a su legislación interna, está facultada para emitir una solicitud de extradición en condiciones equivalentes a las de una autoridad judicial.</w:t>
      </w:r>
    </w:p>
    <w:p w14:paraId="4F2383D5" w14:textId="77777777" w:rsidR="009D7677" w:rsidRDefault="009D7677" w:rsidP="009D7677">
      <w:pPr>
        <w:pStyle w:val="TextoNormal"/>
      </w:pPr>
    </w:p>
    <w:p w14:paraId="4A86A6C7" w14:textId="3AD5D7FC" w:rsidR="009D7677" w:rsidRDefault="009D7677" w:rsidP="009D7677">
      <w:pPr>
        <w:pStyle w:val="TextoNormal"/>
      </w:pPr>
      <w:r>
        <w:t>(iii) Que el contenido de la solicitud y de la documentación anexa proporcione a los órganos judiciales españoles la información necesaria para verificar que la misma resulta necesaria y proporcionada.</w:t>
      </w:r>
    </w:p>
    <w:p w14:paraId="7ADD9A97" w14:textId="77777777" w:rsidR="009D7677" w:rsidRDefault="009D7677" w:rsidP="009D7677">
      <w:pPr>
        <w:pStyle w:val="TextoNormal"/>
      </w:pPr>
    </w:p>
    <w:p w14:paraId="0B3C8E03" w14:textId="77777777" w:rsidR="009D7677" w:rsidRDefault="009D7677" w:rsidP="009D7677">
      <w:pPr>
        <w:pStyle w:val="TextoNormal"/>
      </w:pPr>
      <w:r w:rsidRPr="009D7677">
        <w:rPr>
          <w:rStyle w:val="NumeroAFNegritaCaracter"/>
        </w:rPr>
        <w:t>5</w:t>
      </w:r>
      <w:r>
        <w:t xml:space="preserve">. </w:t>
      </w:r>
      <w:r w:rsidRPr="009D7677">
        <w:rPr>
          <w:i/>
        </w:rPr>
        <w:t>Aplicación al caso de la doctrina constitucional expuesta</w:t>
      </w:r>
    </w:p>
    <w:p w14:paraId="5C731266" w14:textId="77777777" w:rsidR="009D7677" w:rsidRDefault="009D7677" w:rsidP="009D7677">
      <w:pPr>
        <w:pStyle w:val="TextoNormal"/>
      </w:pPr>
    </w:p>
    <w:p w14:paraId="2D1308F1" w14:textId="77777777" w:rsidR="009D7677" w:rsidRDefault="009D7677" w:rsidP="009D7677">
      <w:pPr>
        <w:pStyle w:val="TextoNormal"/>
      </w:pPr>
      <w:r>
        <w:t>La cuestión constitucional suscitada en este recurso en relación con el derecho fundamental a la libertad personal (art. 17 CE) y a la tutela judicial efectiva (art. 24 CE) es análoga a la que ya ha sido objeto de análisis por el Pleno de este tribunal en la STC 17/2024, en cuyos fundamentos jurídicos 3 y 4 se expusieron de manera pormenorizada las pautas de ponderación necesarias para determinar si en este tipo de supuestos se han vulnerado los citados derechos fundamentales y que han quedado reflejadas en el fundamento jurídico anterior.</w:t>
      </w:r>
    </w:p>
    <w:p w14:paraId="262176C4" w14:textId="77777777" w:rsidR="009D7677" w:rsidRDefault="009D7677" w:rsidP="009D7677">
      <w:pPr>
        <w:pStyle w:val="TextoNormal"/>
      </w:pPr>
    </w:p>
    <w:p w14:paraId="01ECEBEA" w14:textId="77777777" w:rsidR="009D7677" w:rsidRDefault="009D7677" w:rsidP="009D7677">
      <w:pPr>
        <w:pStyle w:val="TextoNormal"/>
      </w:pPr>
      <w:r>
        <w:t>En atención a ello, en este caso, al igual que en la STC 17/2024, el Tribunal rechaza el planteamiento impugnatorio del demandante, pues el art. 12 a) del Convenio bilateral de extradición no exige el dictado de una resolución judicial como punto de partida de la solicitud de entrega, por lo que la documentación remitida en apoyo de la solicitud de extradición no queda fuera de la cobertura legal conformada por las fuentes aplicables. Por otra parte, se observa que la información complementaria remitida por el Estado requirente es suficientemente expresiva de la integración de la fiscalía en el órgano judicial, de sus condiciones de imparcialidad y del valor equivalente que la legislación del país otorga a las órdenes internacionales de arresto emitidas por el fiscal respecto de las emitidas por un juez de instrucción en el ámbito de su competencia, lo que excluye la necesidad de su validación judicial.</w:t>
      </w:r>
    </w:p>
    <w:p w14:paraId="536E6539" w14:textId="77777777" w:rsidR="009D7677" w:rsidRDefault="009D7677" w:rsidP="009D7677">
      <w:pPr>
        <w:pStyle w:val="TextoNormal"/>
      </w:pPr>
    </w:p>
    <w:p w14:paraId="7BE034C0" w14:textId="77777777" w:rsidR="009D7677" w:rsidRDefault="009D7677" w:rsidP="009D7677">
      <w:pPr>
        <w:pStyle w:val="TextoNormal"/>
      </w:pPr>
      <w:r>
        <w:t>En este sentido debemos recordar que la misión de los tribunales españoles se ha de limitar a depurar aquellas solicitudes de extradición que presenten indicios de falta de proporcionalidad o de fundamento, mediante el examen en concreto de las alegaciones y do</w:t>
      </w:r>
      <w:r>
        <w:lastRenderedPageBreak/>
        <w:t>cumentos aportados por la persona reclamada, y de las razones y documentos aportados por las autoridades requirentes junto con la petición de extradición o de aquellos otros que el tribunal español pueda solicitar como complemento de los anteriores.</w:t>
      </w:r>
    </w:p>
    <w:p w14:paraId="4387161D" w14:textId="77777777" w:rsidR="009D7677" w:rsidRDefault="009D7677" w:rsidP="009D7677">
      <w:pPr>
        <w:pStyle w:val="TextoNormal"/>
      </w:pPr>
    </w:p>
    <w:p w14:paraId="386E6571" w14:textId="56B9B59E" w:rsidR="009D7677" w:rsidRDefault="009D7677" w:rsidP="009D7677">
      <w:pPr>
        <w:pStyle w:val="TextoNormal"/>
      </w:pPr>
      <w:r>
        <w:t>Pues bien, en este caso, la documentación remitida por las autoridades marroquíes por vía diplomática, que incluye la orden internacional de detención y la solicitud de extradición expedidas por el fiscal del rey, contiene una exposición circunstanciada tanto de los hechos imputados al demandante de amparo como de su calificación jurídica y de las diligencias de investigación practicadas bajo la dirección de la fiscalía marroquí, en cuyo resultado se funda dicha imputación, en términos que no permiten poner en duda la necesidad y proporcionalidad de su decisión de solicitar su entrega para asegurar su enjuiciamiento. Procede por ello declarar que las resoluciones judiciales impugnadas, al dar curso en vía jurisdiccional a dicha solicitud, no han vulnerado los derechos fundamentales sustantivos y procesales invocados en la demanda de amparo.</w:t>
      </w:r>
    </w:p>
    <w:p w14:paraId="1FC6E9FE" w14:textId="77777777" w:rsidR="009D7677" w:rsidRDefault="009D7677" w:rsidP="009D7677">
      <w:pPr>
        <w:pStyle w:val="TextoNormal"/>
      </w:pPr>
    </w:p>
    <w:p w14:paraId="089A1047" w14:textId="77777777" w:rsidR="009D7677" w:rsidRDefault="009D7677" w:rsidP="009D7677">
      <w:pPr>
        <w:pStyle w:val="TextoNormal"/>
      </w:pPr>
      <w:r w:rsidRPr="009D7677">
        <w:rPr>
          <w:rStyle w:val="NumeroAFNegritaCaracter"/>
        </w:rPr>
        <w:t>6</w:t>
      </w:r>
      <w:r>
        <w:t xml:space="preserve">. </w:t>
      </w:r>
      <w:r w:rsidRPr="009D7677">
        <w:rPr>
          <w:i/>
        </w:rPr>
        <w:t>La queja referida a la falta de motivación de las resoluciones judiciales en relación con la persecución política en la extradición</w:t>
      </w:r>
    </w:p>
    <w:p w14:paraId="55EC6EA3" w14:textId="77777777" w:rsidR="009D7677" w:rsidRDefault="009D7677" w:rsidP="009D7677">
      <w:pPr>
        <w:pStyle w:val="TextoNormal"/>
      </w:pPr>
    </w:p>
    <w:p w14:paraId="3D512447" w14:textId="77777777" w:rsidR="009D7677" w:rsidRDefault="009D7677" w:rsidP="009D7677">
      <w:pPr>
        <w:pStyle w:val="TextoNormal"/>
      </w:pPr>
      <w:r>
        <w:t>La segunda vulneración que el recurrente imputa a las resoluciones impugnadas es la del derecho a la tutela judicial efectiva sin indefensión (art. 24.1 CE), por cuanto sostiene que aquellas carecen de la motivación suficiente en relación con el ánimo de persecución política que se denunciaba.</w:t>
      </w:r>
    </w:p>
    <w:p w14:paraId="5992CDDB" w14:textId="77777777" w:rsidR="009D7677" w:rsidRDefault="009D7677" w:rsidP="009D7677">
      <w:pPr>
        <w:pStyle w:val="TextoNormal"/>
      </w:pPr>
    </w:p>
    <w:p w14:paraId="7EEB676B" w14:textId="77777777" w:rsidR="009D7677" w:rsidRDefault="009D7677" w:rsidP="009D7677">
      <w:pPr>
        <w:pStyle w:val="TextoNormal"/>
      </w:pPr>
      <w:r>
        <w:t>Respecto a tal queja se observa que el demandante de amparo se limita a afirmar que presentó ante la Audiencia Nacional la documentación que acreditaba su participación en actividades contra el Gobierno de Marruecos, pero sin concretar la lesión qué dice haber padecido, cuáles eran tales documentos o cuál era su contenido, lo que, a tenor de la STC 132/2011, de 18 de julio, FJ 2, el razonamiento “adolece de tal vaguedad que impide a este tribunal entrar en el análisis de la alegada vulneración, pues es sabido que no es tarea de este tribunal reconstruir la demanda de oficio cuando el recurrente ha descuidado la carga de argumentación que pesa sobre él (entre otras muchas, SSTC 99/2004, de 27 de mayo, FJ 3; 23/2005, de 14 de febrero, FJ 2; 320/2006, de 15 de noviembre, FJ 2; 79/2007, de 16 de abril, FJ 2, y 47/2009, de 23 de febrero, FJ 2)”.</w:t>
      </w:r>
    </w:p>
    <w:p w14:paraId="0BE85013" w14:textId="77777777" w:rsidR="009D7677" w:rsidRDefault="009D7677" w:rsidP="009D7677">
      <w:pPr>
        <w:pStyle w:val="TextoNormal"/>
      </w:pPr>
    </w:p>
    <w:p w14:paraId="1267D2A5" w14:textId="77777777" w:rsidR="009D7677" w:rsidRDefault="009D7677" w:rsidP="009D7677">
      <w:pPr>
        <w:pStyle w:val="TextoNormal"/>
      </w:pPr>
      <w:r>
        <w:t>Por lo demás, es de observar que los órganos judiciales dieron cumplimiento suficiente al deber de motivación, en tanto que tras exponer en sus resoluciones la doctrina constitucional sobre la materia, señalaron que las alegaciones del recurrente eran excesivamente genéricas e individualizadas, pues no se concretaban en la persona del demandante de amparo y en sus propias circunstancias personales.</w:t>
      </w:r>
    </w:p>
    <w:p w14:paraId="4C016619" w14:textId="77777777" w:rsidR="009D7677" w:rsidRDefault="009D7677" w:rsidP="009D7677">
      <w:pPr>
        <w:pStyle w:val="TextoNormal"/>
      </w:pPr>
    </w:p>
    <w:p w14:paraId="2A3CD9BC" w14:textId="6CB69CE1" w:rsidR="009D7677" w:rsidRDefault="009D7677" w:rsidP="009D7677">
      <w:pPr>
        <w:pStyle w:val="TextoNormal"/>
      </w:pPr>
      <w:r>
        <w:t>Por las razones expuestas, debemos desestimar esta alegación.</w:t>
      </w:r>
    </w:p>
    <w:p w14:paraId="77B26AD2" w14:textId="77777777" w:rsidR="009D7677" w:rsidRDefault="009D7677" w:rsidP="009D7677">
      <w:pPr>
        <w:pStyle w:val="TextoNormal"/>
      </w:pPr>
    </w:p>
    <w:p w14:paraId="69955460" w14:textId="77777777" w:rsidR="009D7677" w:rsidRDefault="009D7677" w:rsidP="009D7677">
      <w:pPr>
        <w:pStyle w:val="TextoNormalCentrado"/>
        <w:keepNext/>
      </w:pPr>
      <w:r>
        <w:t>FALLO</w:t>
      </w:r>
    </w:p>
    <w:p w14:paraId="59EACE13" w14:textId="1FF087C5" w:rsidR="009D7677" w:rsidRDefault="009D7677" w:rsidP="009D7677">
      <w:pPr>
        <w:pStyle w:val="TextoNormalCentrado"/>
        <w:keepNext/>
      </w:pPr>
    </w:p>
    <w:p w14:paraId="1568AF1F" w14:textId="6C1300DD" w:rsidR="009D7677" w:rsidRDefault="009D7677" w:rsidP="009D7677">
      <w:pPr>
        <w:pStyle w:val="TextoNormal"/>
      </w:pPr>
      <w:r>
        <w:t>En atención a todo lo expuesto, el Tribunal Constitucional, por la autoridad que le confiere la Constitución de la Nación española, ha decidido desestimar el presente recurso de amparo.</w:t>
      </w:r>
    </w:p>
    <w:p w14:paraId="354DD270" w14:textId="77777777" w:rsidR="009D7677" w:rsidRDefault="009D7677" w:rsidP="009D7677">
      <w:pPr>
        <w:pStyle w:val="TextoNormal"/>
      </w:pPr>
    </w:p>
    <w:p w14:paraId="43424942" w14:textId="77777777" w:rsidR="009D7677" w:rsidRDefault="009D7677" w:rsidP="009D7677">
      <w:pPr>
        <w:pStyle w:val="TextoNormal"/>
      </w:pPr>
      <w:r>
        <w:t>Publíquese esta sentencia en el “Boletín Oficial del Estado”.</w:t>
      </w:r>
    </w:p>
    <w:p w14:paraId="0AE2A147" w14:textId="77777777" w:rsidR="009D7677" w:rsidRDefault="009D7677" w:rsidP="009D7677">
      <w:pPr>
        <w:pStyle w:val="TextoNormal"/>
      </w:pPr>
      <w:r>
        <w:t>Dada en Madrid, a once de marzo de dos mil veinticuatro.</w:t>
      </w:r>
    </w:p>
    <w:p w14:paraId="67F26E16" w14:textId="5A763023" w:rsidR="009D7677" w:rsidRDefault="009D7677">
      <w:pPr>
        <w:spacing w:after="160" w:line="259" w:lineRule="auto"/>
        <w:rPr>
          <w:rFonts w:ascii="Times New Roman" w:eastAsia="Times New Roman" w:hAnsi="Times New Roman" w:cs="Times New Roman"/>
          <w:sz w:val="24"/>
          <w:szCs w:val="24"/>
          <w:lang w:eastAsia="es-ES"/>
        </w:rPr>
      </w:pPr>
      <w:r>
        <w:br w:type="page"/>
      </w:r>
    </w:p>
    <w:p w14:paraId="4A9215B6" w14:textId="77777777" w:rsidR="009D7677" w:rsidRDefault="009D7677" w:rsidP="009D7677">
      <w:pPr>
        <w:pStyle w:val="TtuloResolucin"/>
      </w:pPr>
      <w:bookmarkStart w:id="39" w:name="SENTENCIA_2024_37"/>
      <w:r>
        <w:lastRenderedPageBreak/>
        <w:t>SENTENCIA 37/2024, de 11 de marzo de 2024</w:t>
      </w:r>
    </w:p>
    <w:bookmarkEnd w:id="39"/>
    <w:p w14:paraId="29D36D4B" w14:textId="77777777" w:rsidR="009D7677" w:rsidRDefault="009D7677" w:rsidP="009D7677">
      <w:pPr>
        <w:pStyle w:val="TtuloResolucin"/>
      </w:pPr>
      <w:r>
        <w:t>Sala Segunda</w:t>
      </w:r>
    </w:p>
    <w:p w14:paraId="3995A3AC" w14:textId="77777777" w:rsidR="009D7677" w:rsidRDefault="009D7677" w:rsidP="009D7677">
      <w:pPr>
        <w:pStyle w:val="TtuloBOE"/>
      </w:pPr>
      <w:r>
        <w:t>(BOE núm. 99, de 23 de abril de 2024)</w:t>
      </w:r>
    </w:p>
    <w:p w14:paraId="2B8280F6" w14:textId="77777777" w:rsidR="009D7677" w:rsidRDefault="009D7677" w:rsidP="009D7677">
      <w:pPr>
        <w:pStyle w:val="TextoNormalCentrado"/>
      </w:pPr>
      <w:r>
        <w:t>ECLI:ES:TC:2024:37</w:t>
      </w:r>
    </w:p>
    <w:p w14:paraId="7E87B5E9" w14:textId="375AA541" w:rsidR="009D7677" w:rsidRDefault="009D7677" w:rsidP="009D7677">
      <w:pPr>
        <w:pStyle w:val="TextoNormalCentrado"/>
      </w:pPr>
    </w:p>
    <w:p w14:paraId="3A998C21" w14:textId="77777777" w:rsidR="009D7677" w:rsidRDefault="009D7677" w:rsidP="009D7677">
      <w:pPr>
        <w:pStyle w:val="SntesisDescriptiva"/>
      </w:pPr>
      <w:r>
        <w:t>Recurso de amparo 378-2022. Promovido por don Otmane Grami respecto de los autos dictados por la Sección Tercera y el Pleno de la Sala de lo Penal de la Audiencia Nacional que autorizaron su extradición a Marruecos.</w:t>
      </w:r>
    </w:p>
    <w:p w14:paraId="3C784080" w14:textId="6C4F55C0" w:rsidR="009D7677" w:rsidRDefault="009D7677" w:rsidP="009D7677">
      <w:pPr>
        <w:pStyle w:val="SntesisDescriptiva"/>
      </w:pPr>
    </w:p>
    <w:p w14:paraId="2439191B" w14:textId="77777777" w:rsidR="009D7677" w:rsidRDefault="009D7677" w:rsidP="009D7677">
      <w:pPr>
        <w:pStyle w:val="SntesisAnaltica"/>
      </w:pPr>
      <w:r>
        <w:t>Supuesta vulneración de los derechos a la tutela judicial efectiva, a un proceso con todas las garantías y a la libertad personal: STC 17/2024 (resoluciones judiciales que acuerdan la extradición a partir de una documentación que no permite poner en duda la necesidad y proporcionalidad de la decisión adoptada por la fiscalía de Marruecos de solicitar la entrega para asegurar el enjuiciamiento del afectado). Voto particular.</w:t>
      </w:r>
    </w:p>
    <w:p w14:paraId="40D0EA01" w14:textId="12A021B0" w:rsidR="009D7677" w:rsidRDefault="009D7677" w:rsidP="009D7677">
      <w:pPr>
        <w:pStyle w:val="SntesisAnaltica"/>
      </w:pPr>
    </w:p>
    <w:p w14:paraId="5BA6F20A" w14:textId="20C9972F" w:rsidR="009D7677" w:rsidRDefault="009D7677" w:rsidP="009D7677">
      <w:pPr>
        <w:pStyle w:val="Extracto"/>
      </w:pPr>
      <w:r>
        <w:t>1.</w:t>
      </w:r>
      <w:r>
        <w:tab/>
        <w:t>La intermediación judicial puede dispensarse excepcionalmente cuando concurran las siguientes exigencias: (i) En procedimiento de extradición regido por un convenio bilateral o multilateral que admita la posibilidad de que la petición de entrega pueda emanar de una autoridad distinta a la autoridad judicial; (ii) Que el país requirente suministre información suficientemente expresiva de que se trata de una autoridad facultada para emitir una solicitud de extradición en condiciones equivalentes a las de una autoridad judicial. (iii) Que el contenido de la solicitud y de la documentación anexa proporcione a los órganos judiciales españoles la información necesaria para verificar que la misma resulta necesaria y proporcionada (STC 17/2024) [FJ 3].</w:t>
      </w:r>
    </w:p>
    <w:p w14:paraId="1D60EF95" w14:textId="77777777" w:rsidR="009D7677" w:rsidRDefault="009D7677" w:rsidP="009D7677">
      <w:pPr>
        <w:pStyle w:val="Extracto"/>
      </w:pPr>
    </w:p>
    <w:p w14:paraId="210B0938" w14:textId="77777777" w:rsidR="009D7677" w:rsidRDefault="009D7677" w:rsidP="009D7677">
      <w:pPr>
        <w:pStyle w:val="Extracto"/>
      </w:pPr>
    </w:p>
    <w:p w14:paraId="3BBA9067" w14:textId="77777777" w:rsidR="009D7677" w:rsidRDefault="009D7677" w:rsidP="009D7677">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627A6B5B" w14:textId="6B5BCC54" w:rsidR="009D7677" w:rsidRDefault="009D7677" w:rsidP="009D7677">
      <w:pPr>
        <w:pStyle w:val="TextoNormal"/>
      </w:pPr>
    </w:p>
    <w:p w14:paraId="41227861" w14:textId="77777777" w:rsidR="009D7677" w:rsidRDefault="009D7677" w:rsidP="009D7677">
      <w:pPr>
        <w:pStyle w:val="TextoNormalCentrado"/>
        <w:keepNext/>
      </w:pPr>
      <w:r>
        <w:t>EN NOMBRE DEL REY</w:t>
      </w:r>
    </w:p>
    <w:p w14:paraId="1C33401F" w14:textId="752FAD91" w:rsidR="009D7677" w:rsidRDefault="009D7677" w:rsidP="009D7677">
      <w:pPr>
        <w:pStyle w:val="TextoNormalCentrado"/>
        <w:keepNext/>
      </w:pPr>
    </w:p>
    <w:p w14:paraId="2414F7AA" w14:textId="77777777" w:rsidR="009D7677" w:rsidRDefault="009D7677" w:rsidP="009D7677">
      <w:pPr>
        <w:pStyle w:val="TextoNormalCentrado"/>
        <w:keepNext/>
      </w:pPr>
    </w:p>
    <w:p w14:paraId="4C9B2D20" w14:textId="77777777" w:rsidR="009D7677" w:rsidRDefault="009D7677" w:rsidP="009D7677">
      <w:pPr>
        <w:pStyle w:val="TextoNormal"/>
      </w:pPr>
      <w:r>
        <w:t>la siguiente</w:t>
      </w:r>
    </w:p>
    <w:p w14:paraId="4D7FD088" w14:textId="3B6FD716" w:rsidR="009D7677" w:rsidRDefault="009D7677" w:rsidP="009D7677">
      <w:pPr>
        <w:pStyle w:val="TextoNormal"/>
      </w:pPr>
    </w:p>
    <w:p w14:paraId="4A99A4D4" w14:textId="77777777" w:rsidR="009D7677" w:rsidRDefault="009D7677" w:rsidP="009D7677">
      <w:pPr>
        <w:pStyle w:val="TextoNormalCentrado"/>
        <w:keepNext/>
      </w:pPr>
      <w:r>
        <w:t>SENTENCIA</w:t>
      </w:r>
    </w:p>
    <w:p w14:paraId="50126D4A" w14:textId="6DF77D95" w:rsidR="009D7677" w:rsidRDefault="009D7677" w:rsidP="009D7677">
      <w:pPr>
        <w:pStyle w:val="TextoNormalCentrado"/>
        <w:keepNext/>
      </w:pPr>
    </w:p>
    <w:p w14:paraId="44F83CC6" w14:textId="77777777" w:rsidR="009D7677" w:rsidRDefault="009D7677" w:rsidP="009D7677">
      <w:pPr>
        <w:pStyle w:val="TextoNormal"/>
      </w:pPr>
      <w:r>
        <w:t>En el recurso de amparo núm. 378-2022, promovido por don Otmane Grami, representado por la procuradora de los tribunales doña Pilar Rodríguez de la Fuente, asistido del letrado don Ángel Luis Fernández Bermejo, contra el auto núm. 37/2021, de 30 de septiembre, de la Sección Tercera de la Sala de lo Penal de la Audiencia Nacional y contra el auto núm. 87/2021, de 30 de noviembre, del Pleno de la Sala de lo Penal de la Audiencia Nacional. Ha sido ponente la magistrada doña Laura Díez Bueso.</w:t>
      </w:r>
    </w:p>
    <w:p w14:paraId="38B2116F" w14:textId="7EC41F78" w:rsidR="009D7677" w:rsidRDefault="009D7677" w:rsidP="009D7677">
      <w:pPr>
        <w:pStyle w:val="TextoNormal"/>
      </w:pPr>
    </w:p>
    <w:p w14:paraId="0E53A295" w14:textId="77777777" w:rsidR="009D7677" w:rsidRDefault="009D7677" w:rsidP="009D7677">
      <w:pPr>
        <w:pStyle w:val="TextoNormalNegritaCentrado"/>
        <w:keepNext/>
      </w:pPr>
      <w:r>
        <w:lastRenderedPageBreak/>
        <w:t>I. Antecedentes</w:t>
      </w:r>
    </w:p>
    <w:p w14:paraId="7CCD0748" w14:textId="609D51AF" w:rsidR="009D7677" w:rsidRDefault="009D7677" w:rsidP="009D7677">
      <w:pPr>
        <w:pStyle w:val="TextoNormalNegritaCentrado"/>
        <w:keepNext/>
      </w:pPr>
    </w:p>
    <w:p w14:paraId="6BEA6B7F" w14:textId="2E5C30C7" w:rsidR="009D7677" w:rsidRDefault="009D7677" w:rsidP="009D7677">
      <w:pPr>
        <w:pStyle w:val="TextoNormal"/>
      </w:pPr>
      <w:r w:rsidRPr="009D7677">
        <w:rPr>
          <w:rStyle w:val="NumeroAFNegritaCaracter"/>
        </w:rPr>
        <w:t>1</w:t>
      </w:r>
      <w:r>
        <w:t>. Mediante escrito registrado en este tribunal el día 20 de enero de 2022, la representación procesal de don Otmane Grami interpuso recurso de amparo contra el auto núm. 37/2021, de 30 de septiembre, de la Sección Tercera de la Sala de lo Penal de la Audiencia Nacional, dictado en el rollo núm. 15-2021, dimanante del procedimiento de extradición pasiva núm. 12-2021 del Juzgado Central de Instrucción núm. 5, y contra el auto núm. 87/2021, de 30 de noviembre, del Pleno de la Sala de lo Penal de la Audiencia Nacional, dictado en el recurso de súplica núm. 79-2021, que confirmó el anterior.</w:t>
      </w:r>
    </w:p>
    <w:p w14:paraId="154DD1A1" w14:textId="77777777" w:rsidR="009D7677" w:rsidRDefault="009D7677" w:rsidP="009D7677">
      <w:pPr>
        <w:pStyle w:val="TextoNormal"/>
      </w:pPr>
    </w:p>
    <w:p w14:paraId="76F7DB4C" w14:textId="77777777" w:rsidR="009D7677" w:rsidRDefault="009D7677" w:rsidP="009D7677">
      <w:pPr>
        <w:pStyle w:val="TextoNormal"/>
      </w:pPr>
      <w:r w:rsidRPr="009D7677">
        <w:rPr>
          <w:rStyle w:val="NumeroAFNegritaCaracter"/>
        </w:rPr>
        <w:t>2</w:t>
      </w:r>
      <w:r>
        <w:t>. El recurso de amparo se fundamenta en los siguientes hechos:</w:t>
      </w:r>
    </w:p>
    <w:p w14:paraId="5B1DF1A7" w14:textId="77777777" w:rsidR="009D7677" w:rsidRDefault="009D7677" w:rsidP="009D7677">
      <w:pPr>
        <w:pStyle w:val="TextoNormal"/>
      </w:pPr>
    </w:p>
    <w:p w14:paraId="64B93D31" w14:textId="77777777" w:rsidR="009D7677" w:rsidRDefault="009D7677" w:rsidP="009D7677">
      <w:pPr>
        <w:pStyle w:val="TextoNormal"/>
      </w:pPr>
      <w:r>
        <w:t>a) El fiscal del rey ante el Juzgado de Primera Instancia de Safi (Marruecos) dictó el 26 de enero de 2021 orden internacional de búsqueda y captura contra el ahora demandante de amparo, al que atribuía su implicación en un delito de tráfico de sustancias estupefacientes, con los siguientes fundamentos:</w:t>
      </w:r>
    </w:p>
    <w:p w14:paraId="4E31F51B" w14:textId="77777777" w:rsidR="009D7677" w:rsidRDefault="009D7677" w:rsidP="009D7677">
      <w:pPr>
        <w:pStyle w:val="TextoNormal"/>
      </w:pPr>
    </w:p>
    <w:p w14:paraId="57164E22" w14:textId="77777777" w:rsidR="009D7677" w:rsidRDefault="009D7677" w:rsidP="009D7677">
      <w:pPr>
        <w:pStyle w:val="TextoNormal"/>
      </w:pPr>
      <w:r>
        <w:t>“En virtud de la diligencia referencial núm. 218 con fecha 08/02/2017 realizada por la policía judicial de Safi, por la que el llamado Aziz Abdelfattah fue detenido, este manifestó que se dedicaba a narcotráfico, que le pertenecía la cantidad de droga decomisada el día 06/02/2017, siendo el llamado Othmane Ould Chafii quien le había entregado dicha cantidad en cambio del importe de seis mil dirhams.</w:t>
      </w:r>
    </w:p>
    <w:p w14:paraId="250B8C8F" w14:textId="77777777" w:rsidR="009D7677" w:rsidRDefault="009D7677" w:rsidP="009D7677">
      <w:pPr>
        <w:pStyle w:val="TextoNormal"/>
      </w:pPr>
    </w:p>
    <w:p w14:paraId="0EDEB4D1" w14:textId="77777777" w:rsidR="009D7677" w:rsidRDefault="009D7677" w:rsidP="009D7677">
      <w:pPr>
        <w:pStyle w:val="TextoNormal"/>
      </w:pPr>
      <w:r>
        <w:t>En virtud de la diligencia referencial núm. 273 con fecha 15/02/2018 realizada por la policía judicial de Safi por la que fue arrestado el llamado Marouane Ali hijo de Mohamed, y fueron intervenidos veinte kilos de drogas (cáñamo índico) y diez kilos de tabaco en su domicilio. El arrestado manifiesta que se dedica al narcotráfico, sobre todo la sustancia de ‘cáñamo índico’, que pone su domicilio a disposición del narcotraficante el Othmane Ould Chafii, para almacenar buenas cantidades de drogas y luego distribuirlas entre los pequeños vendedores en las provincias de Safi, Essaouira y El Jadida.</w:t>
      </w:r>
    </w:p>
    <w:p w14:paraId="66D0E380" w14:textId="77777777" w:rsidR="009D7677" w:rsidRDefault="009D7677" w:rsidP="009D7677">
      <w:pPr>
        <w:pStyle w:val="TextoNormal"/>
      </w:pPr>
    </w:p>
    <w:p w14:paraId="3ABEA02B" w14:textId="77777777" w:rsidR="009D7677" w:rsidRDefault="009D7677" w:rsidP="009D7677">
      <w:pPr>
        <w:pStyle w:val="TextoNormal"/>
      </w:pPr>
      <w:r>
        <w:t>En virtud de la diligencia referencial núm. 875 con fecha 17/08/2020 realizada por la policía judicial de Safi por la que fue detenido el llamado Zakaria El Azhari, con seis paquetes de droga chira, cuyo peso es de diez gramos; manifestó que el apodado como ‘Ould Chafii’ fue quien le suministraba droga. Que es un narcotraficante activo en la localidad de Bounifel.</w:t>
      </w:r>
    </w:p>
    <w:p w14:paraId="09760666" w14:textId="77777777" w:rsidR="009D7677" w:rsidRDefault="009D7677" w:rsidP="009D7677">
      <w:pPr>
        <w:pStyle w:val="TextoNormal"/>
      </w:pPr>
    </w:p>
    <w:p w14:paraId="640A9EA8" w14:textId="77777777" w:rsidR="009D7677" w:rsidRDefault="009D7677" w:rsidP="009D7677">
      <w:pPr>
        <w:pStyle w:val="TextoNormal"/>
      </w:pPr>
      <w:r>
        <w:t>En virtud de la diligencia referencial núm. 992 con fecha 23/09/2020 realizada por la policía judicial de Safi por la que fue detenido el llamado Nasrallah El Bakri hijo de Abdelhamid, y fueron intervenidos cuarenta y cinco gramos de droga ‘chira’. El arrestado manifiesta que frecuentaba la zona Bounifel, y que dada su situación de desempleo empezó a dedicarse al tráfico de drogas en la referida zona, a favor de su tío materno apodado como ‘Ould Chafii’, cuyo nombre es Othmane Ikrami, agregando que este tiene un grupo de personas que trafican drogas en beneficio de él.</w:t>
      </w:r>
    </w:p>
    <w:p w14:paraId="63FDC03D" w14:textId="77777777" w:rsidR="009D7677" w:rsidRDefault="009D7677" w:rsidP="009D7677">
      <w:pPr>
        <w:pStyle w:val="TextoNormal"/>
      </w:pPr>
    </w:p>
    <w:p w14:paraId="7D1EEA7E" w14:textId="77777777" w:rsidR="009D7677" w:rsidRDefault="009D7677" w:rsidP="009D7677">
      <w:pPr>
        <w:pStyle w:val="TextoNormal"/>
      </w:pPr>
      <w:r>
        <w:t xml:space="preserve">En virtud de la diligencia referencial núm. 4107 con fecha 17/02/2020 realizada por el cuerpo de policía judicial en la ciudad de Youssoufia, por la que fue detenido el llamado </w:t>
      </w:r>
      <w:r>
        <w:lastRenderedPageBreak/>
        <w:t>Abdelali Touires, quien manifestó que se encontraba con el llamado Othmane Ikrami, apodado como ‘Ould Chafii’ de quien compraba grandes cantidades de droga ‘chira’, cuyo peso total asciende a cincuenta kilos, así como bolsas de las espigas de cáñamo y tabaco contrabandeado que él traficaba”.</w:t>
      </w:r>
    </w:p>
    <w:p w14:paraId="57ECB74A" w14:textId="77777777" w:rsidR="009D7677" w:rsidRDefault="009D7677" w:rsidP="009D7677">
      <w:pPr>
        <w:pStyle w:val="TextoNormal"/>
      </w:pPr>
    </w:p>
    <w:p w14:paraId="7E162CD4" w14:textId="77777777" w:rsidR="009D7677" w:rsidRDefault="009D7677" w:rsidP="009D7677">
      <w:pPr>
        <w:pStyle w:val="TextoNormal"/>
      </w:pPr>
      <w:r>
        <w:t>b) El demandante fue detenido en Arrecife (Lanzarote) el día 17 de marzo de 2021 y puesto a disposición del Juzgado Central de Instrucción núm. 5, que incoó el procedimiento de extradición pasiva núm. 12-2021, y acordó por auto de 19 de marzo de 2021, tras celebrar comparecencia del art. 505 LECrim, su libertad provisional.</w:t>
      </w:r>
    </w:p>
    <w:p w14:paraId="502B024C" w14:textId="77777777" w:rsidR="009D7677" w:rsidRDefault="009D7677" w:rsidP="009D7677">
      <w:pPr>
        <w:pStyle w:val="TextoNormal"/>
      </w:pPr>
    </w:p>
    <w:p w14:paraId="51231088" w14:textId="77777777" w:rsidR="009D7677" w:rsidRDefault="009D7677" w:rsidP="009D7677">
      <w:pPr>
        <w:pStyle w:val="TextoNormal"/>
      </w:pPr>
      <w:r>
        <w:t>c) El 29 de marzo de 2021 se recibió por vía diplomática la nota verbal de la Embajada de Marruecos núm. 270, de 26 de febrero de 2021, en la que se solicitaba del Ministerio de Justicia de España la extradición del ahora recurrente en amparo, para el enjuiciamiento por delito de tráfico de drogas, lo que se acompañaba de la orden internacional de detención emitida por el fiscal, de un resumen de los hechos que reproducía los de la orden internacional de detención y una relación de los preceptos legales aplicables.</w:t>
      </w:r>
    </w:p>
    <w:p w14:paraId="6E89C74E" w14:textId="77777777" w:rsidR="009D7677" w:rsidRDefault="009D7677" w:rsidP="009D7677">
      <w:pPr>
        <w:pStyle w:val="TextoNormal"/>
      </w:pPr>
    </w:p>
    <w:p w14:paraId="136C9E0A" w14:textId="77777777" w:rsidR="009D7677" w:rsidRDefault="009D7677" w:rsidP="009D7677">
      <w:pPr>
        <w:pStyle w:val="TextoNormal"/>
      </w:pPr>
      <w:r>
        <w:t>d) El Consejo de Ministros en sesión de 20 de abril de 2021 acordó, de conformidad con el art. 9.3 de la Ley 4/1985, de 21 de marzo, de extradición pasiva (en adelante, LEP), la continuación del procedimiento en vía judicial.</w:t>
      </w:r>
    </w:p>
    <w:p w14:paraId="6134B0C0" w14:textId="77777777" w:rsidR="009D7677" w:rsidRDefault="009D7677" w:rsidP="009D7677">
      <w:pPr>
        <w:pStyle w:val="TextoNormal"/>
      </w:pPr>
    </w:p>
    <w:p w14:paraId="29575EF3" w14:textId="77777777" w:rsidR="009D7677" w:rsidRDefault="009D7677" w:rsidP="009D7677">
      <w:pPr>
        <w:pStyle w:val="TextoNormal"/>
      </w:pPr>
      <w:r>
        <w:t>e) El reclamado fue oído en comparecencia del art. 12 LEP, celebrada el día 29 de abril de 2021 en el Juzgado Central de Instrucción núm. 5, oponiéndose a su extradición y manifestando que no renunciaba al principio de especialidad.</w:t>
      </w:r>
    </w:p>
    <w:p w14:paraId="5F146BDC" w14:textId="77777777" w:rsidR="009D7677" w:rsidRDefault="009D7677" w:rsidP="009D7677">
      <w:pPr>
        <w:pStyle w:val="TextoNormal"/>
      </w:pPr>
    </w:p>
    <w:p w14:paraId="3554733A" w14:textId="77777777" w:rsidR="009D7677" w:rsidRDefault="009D7677" w:rsidP="009D7677">
      <w:pPr>
        <w:pStyle w:val="TextoNormal"/>
      </w:pPr>
      <w:r>
        <w:t>f) Elevados los autos a la Sección Tercera de la Sala de lo Penal de la Audiencia Nacional, esta inició el rollo de extradición núm. 15-2021 y dio vista del mismo, en los términos del art. 13 LEP, al fiscal y a la defensa del reclamado, para que formularan alegaciones. El fiscal interesó que se accediera a la solicitud de extradición. La defensa se opuso a la misma, alegando que la documentación aportada por Marruecos era insuficiente para cumplir con el art. 12 a) del Convenio de extradición entre el Reino de España y el Reino de Marruecos, suscrito en Rabat el 24 de junio de 2009 (en adelante, convenio bilateral).</w:t>
      </w:r>
    </w:p>
    <w:p w14:paraId="2721E6EF" w14:textId="77777777" w:rsidR="009D7677" w:rsidRDefault="009D7677" w:rsidP="009D7677">
      <w:pPr>
        <w:pStyle w:val="TextoNormal"/>
      </w:pPr>
    </w:p>
    <w:p w14:paraId="1F311D21" w14:textId="77777777" w:rsidR="009D7677" w:rsidRDefault="009D7677" w:rsidP="009D7677">
      <w:pPr>
        <w:pStyle w:val="TextoNormal"/>
      </w:pPr>
      <w:r>
        <w:t>g) Celebrada la vista extradicional el 30 de septiembre de 2021, en la que el fiscal reiteró su opinión en sentido favorable a la petición de extradición y la defensa la suya en contra, la Sección Tercera de la Sala de lo Penal de la Audiencia Nacional dictó el auto núm. 37/2021, de 30 de septiembre, por el que acordó acceder en fase jurisdiccional a la solicitud de extradición del actor por concurrir los presupuestos exigidos en el convenio bilateral y en la LEP, en particular los requisitos de doble incriminación y mínimo punitivo exigidos en el art. 2.1 del convenio bilateral, porque los hechos por los que se solicitaba la extradición eran constitutivos de delitos de tenencia y tráfico de estupefacientes, equivalentes en nuestro ordenamiento penal a los delitos contra la salud pública de sustancia que no perjudica gravemente a la salud de los arts. 368 y 369.1.5 del Código penal (en adelante, CP).</w:t>
      </w:r>
    </w:p>
    <w:p w14:paraId="7711A272" w14:textId="77777777" w:rsidR="009D7677" w:rsidRDefault="009D7677" w:rsidP="009D7677">
      <w:pPr>
        <w:pStyle w:val="TextoNormal"/>
      </w:pPr>
    </w:p>
    <w:p w14:paraId="41724195" w14:textId="77777777" w:rsidR="009D7677" w:rsidRDefault="009D7677" w:rsidP="009D7677">
      <w:pPr>
        <w:pStyle w:val="TextoNormal"/>
      </w:pPr>
      <w:r>
        <w:t>El auto cuenta con un voto particular discrepante, fundado en que la jurisprudencia constitucional exige la ponderación por una autoridad judicial de la necesidad y propor</w:t>
      </w:r>
      <w:r>
        <w:lastRenderedPageBreak/>
        <w:t>cionalidad de la privación de libertad inherente a la extradición, lo que no se ha producido en el presente caso.</w:t>
      </w:r>
    </w:p>
    <w:p w14:paraId="6B0041C6" w14:textId="77777777" w:rsidR="009D7677" w:rsidRDefault="009D7677" w:rsidP="009D7677">
      <w:pPr>
        <w:pStyle w:val="TextoNormal"/>
      </w:pPr>
    </w:p>
    <w:p w14:paraId="28FD75D3" w14:textId="77777777" w:rsidR="009D7677" w:rsidRDefault="009D7677" w:rsidP="009D7677">
      <w:pPr>
        <w:pStyle w:val="TextoNormal"/>
      </w:pPr>
      <w:r>
        <w:t>h) Contra esta decisión el actor interpuso recurso de súplica, en el que alegó incumplimiento del requisito de aportación documental del art. 12 del convenio bilateral, porque la extradición se basaba en una orden internacional de detención expedida por el fiscal sin intervención alguna de autoridad judicial, por lo que no resultaba equiparable a una orden judicial de detención, ni a una sentencia condenatoria; invocaba en su apoyo la doctrina sentada en la STC 147/2020, de 19 de octubre, por estimarla aplicable al caso, así como la vulneración del derecho a la tutela judicial efectiva y a un proceso con todas las garantías del art. 24 CE en conexión con el derecho a la libertad personal (art. 17 CE).</w:t>
      </w:r>
    </w:p>
    <w:p w14:paraId="2BB2FCE1" w14:textId="77777777" w:rsidR="009D7677" w:rsidRDefault="009D7677" w:rsidP="009D7677">
      <w:pPr>
        <w:pStyle w:val="TextoNormal"/>
      </w:pPr>
    </w:p>
    <w:p w14:paraId="5BEE0B06" w14:textId="77777777" w:rsidR="009D7677" w:rsidRDefault="009D7677" w:rsidP="009D7677">
      <w:pPr>
        <w:pStyle w:val="TextoNormal"/>
      </w:pPr>
      <w:r>
        <w:t>El Pleno de la Sala de lo Penal de la Audiencia Nacional dictó el auto núm. 87/2021, de 30 de noviembre, por el que desestimó el recurso de súplica.</w:t>
      </w:r>
    </w:p>
    <w:p w14:paraId="1B5B2B70" w14:textId="77777777" w:rsidR="009D7677" w:rsidRDefault="009D7677" w:rsidP="009D7677">
      <w:pPr>
        <w:pStyle w:val="TextoNormal"/>
      </w:pPr>
    </w:p>
    <w:p w14:paraId="62604A8B" w14:textId="77777777" w:rsidR="009D7677" w:rsidRDefault="009D7677" w:rsidP="009D7677">
      <w:pPr>
        <w:pStyle w:val="TextoNormal"/>
      </w:pPr>
      <w:r>
        <w:t>La Sala expone las razones por las que considera que no es aplicable a este caso la STC 147/2020, de 19 de octubre, invocada en el recurso de súplica, ni la STC 147/2021, de 12 de julio. Afirma que la orden de detención emitida por el fiscal satisface los requisitos formales del art. 12.1 a) del Convenio bilateral de extradición, y según la información complementaria a la que se refiere el auto de 4 de junio de 2021, en el ordenamiento jurídico de aquel país el fiscal es uno de los componentes del poder judicial, tiene competencia para expedir órdenes internacionales de arresto y estas órdenes, una vez emitidas, no necesitan de ninguna legalización judicial, pues se consideran órdenes judiciales.</w:t>
      </w:r>
    </w:p>
    <w:p w14:paraId="049BF46C" w14:textId="77777777" w:rsidR="009D7677" w:rsidRDefault="009D7677" w:rsidP="009D7677">
      <w:pPr>
        <w:pStyle w:val="TextoNormal"/>
      </w:pPr>
    </w:p>
    <w:p w14:paraId="08E19012" w14:textId="77777777" w:rsidR="009D7677" w:rsidRDefault="009D7677" w:rsidP="009D7677">
      <w:pPr>
        <w:pStyle w:val="TextoNormal"/>
      </w:pPr>
      <w:r>
        <w:t>Añade que existe disparidad de hecho y de derecho entre los supuestos de extradición enjuiciados por este tribunal en el caso de Colombia (STC 147/2020, de 19 de octubre) y Angola (STC 147/2021, de 12 de julio) y el caso ahora examinado de Marruecos. En el caso de Colombia se había producido la anulación de la orden judicial de detención que había emitido un juzgado, y el Tribunal Constitucional no consideró que un escrito de calificación del fiscal, leído ante un órgano jurisdiccional, surtiera un efecto semejante a aquella inicial orden de detención. En el de Angola, al no existir tratado de extradición, era aplicable el art. 7 LEP, y aun existiendo un documento que, conforme a la normativa del país requirente, era bastante para solicitar la extradición, “el Tribunal Constitucional, restringe nuevamente la autoridad emisora y elimina a cualquier otra que no sea el juez, bajo la sospecha de su falta de independencia”. La Sala concluye que, en el caso de Marruecos, conforme a su legislación interna, la fiscalía marroquí forma parte del poder judicial, puede solicitar la extradición, no estando previsto que la solicitud pueda ser revisada por un juez. En consecuencia, la orden emitida por el fiscal cumple las exigencias del art. 12 del convenio bilateral.</w:t>
      </w:r>
    </w:p>
    <w:p w14:paraId="27144192" w14:textId="77777777" w:rsidR="009D7677" w:rsidRDefault="009D7677" w:rsidP="009D7677">
      <w:pPr>
        <w:pStyle w:val="TextoNormal"/>
      </w:pPr>
    </w:p>
    <w:p w14:paraId="7AEA3171" w14:textId="77777777" w:rsidR="009D7677" w:rsidRDefault="009D7677" w:rsidP="009D7677">
      <w:pPr>
        <w:pStyle w:val="TextoNormal"/>
      </w:pPr>
      <w:r>
        <w:t xml:space="preserve">La Sala entiende también que los criterios expuestos por el Tribunal Constitucional con fundamento en la doctrina del Tribunal de Justicia de la Unión Europea,relativa a las autoridades emisoras y las condiciones necesarias que debe reunir la orden en el caso de que el emisor de la misma no sea un juez, no pueden ser exigidos fuera del ámbito de la Unión Europea; sin perjuicio, obviamente, del análisis que en la fase técnico-jurídica de la extradición, el tribunal encargado de llevarla a cabo deba ponderar los datos que las autoridades del país reclamante facilita en su documentación relativos a la claridad y precisión de los hechos punibles, a las evidencias que se aporten sobre su participación o al examen de la </w:t>
      </w:r>
      <w:r>
        <w:lastRenderedPageBreak/>
        <w:t>legislación del país reclamante en el caso de que deba entenderse que no es respetuosa con los derechos humanos del reclamado.</w:t>
      </w:r>
    </w:p>
    <w:p w14:paraId="5B3EF539" w14:textId="77777777" w:rsidR="009D7677" w:rsidRDefault="009D7677" w:rsidP="009D7677">
      <w:pPr>
        <w:pStyle w:val="TextoNormal"/>
      </w:pPr>
    </w:p>
    <w:p w14:paraId="475F8B43" w14:textId="77777777" w:rsidR="009D7677" w:rsidRDefault="009D7677" w:rsidP="009D7677">
      <w:pPr>
        <w:pStyle w:val="TextoNormal"/>
      </w:pPr>
      <w:r>
        <w:t>Como conclusión, el Pleno entiende que el fiscal del reino de Marruecos es autoridad competente en el Derecho interno para emitir la orden internacional de detención y para solicitar formalmente la extradición, dándose a la misma eficacia de cara a constituir título válido, conforme al tratado, para otorgar la extradición, y ello sin necesidad de que la misma venga a ser ratificada por el juez nacional.</w:t>
      </w:r>
    </w:p>
    <w:p w14:paraId="20305546" w14:textId="77777777" w:rsidR="009D7677" w:rsidRDefault="009D7677" w:rsidP="009D7677">
      <w:pPr>
        <w:pStyle w:val="TextoNormal"/>
      </w:pPr>
    </w:p>
    <w:p w14:paraId="0D38FF29" w14:textId="468BFF21" w:rsidR="009D7677" w:rsidRDefault="009D7677" w:rsidP="009D7677">
      <w:pPr>
        <w:pStyle w:val="TextoNormal"/>
      </w:pPr>
      <w:r>
        <w:t>El auto va acompañado de un voto particular, firmado por tres magistrados, que consideran que la mayoría no ha aplicado correctamente la doctrina sentada en la STC 147/2020, en la que es esencial que se cumpla la garantía jurisdiccional de la libertad en el propio país solicitante de la extradición, mediante la homologación por un órgano judicial de la orden de detención.</w:t>
      </w:r>
    </w:p>
    <w:p w14:paraId="164C7D2C" w14:textId="77777777" w:rsidR="009D7677" w:rsidRDefault="009D7677" w:rsidP="009D7677">
      <w:pPr>
        <w:pStyle w:val="TextoNormal"/>
      </w:pPr>
    </w:p>
    <w:p w14:paraId="0C299E14" w14:textId="4A372D7C" w:rsidR="009D7677" w:rsidRDefault="009D7677" w:rsidP="009D7677">
      <w:pPr>
        <w:pStyle w:val="TextoNormal"/>
      </w:pPr>
      <w:r w:rsidRPr="009D7677">
        <w:rPr>
          <w:rStyle w:val="NumeroAFNegritaCaracter"/>
        </w:rPr>
        <w:t>3</w:t>
      </w:r>
      <w:r>
        <w:t>. El recurrente en amparo denuncia que se ha vulnerado su derecho a la tutela judicial efectiva sin indefensión (art. 24.1 CE) su derecho a un proceso con todas las garantías (art. 24.2 CE) y su derecho a la libertad personal (art. 17.3 CE), porque la orden de arresto de 26 de enero de 2021 emitida por el fiscal sustituto del rey de Marruecos carece de control judicial en origen. A su juicio, no se ha producido la necesaria concurrencia de una autoridad judicial, exigida en las SSTC 147/2020 y 147/2021, para garantizar la proporcionalidad de la solicitud de extradición.</w:t>
      </w:r>
    </w:p>
    <w:p w14:paraId="333A0F7E" w14:textId="77777777" w:rsidR="009D7677" w:rsidRDefault="009D7677" w:rsidP="009D7677">
      <w:pPr>
        <w:pStyle w:val="TextoNormal"/>
      </w:pPr>
    </w:p>
    <w:p w14:paraId="1B56AC59" w14:textId="77777777" w:rsidR="009D7677" w:rsidRDefault="009D7677" w:rsidP="009D7677">
      <w:pPr>
        <w:pStyle w:val="TextoNormal"/>
      </w:pPr>
      <w:r w:rsidRPr="009D7677">
        <w:rPr>
          <w:rStyle w:val="NumeroAFNegritaCaracter"/>
        </w:rPr>
        <w:t>4</w:t>
      </w:r>
      <w:r>
        <w:t>. La Sección Cuarta del Tribunal Constitucional, por providencia de 25 de enero de 2022, acordó admitir a trámite el recurso de amparo apreciando que concurre en el mismo una especial trascendencia constitucional [art. 50.1 de la Ley orgánica del Tribunal Constitucional (en adelante, LOTC)], porque el recurso puede dar ocasión al Tribunal para aclarar o cambiar su doctrina, como consecuencia de un proceso de reflexión interna [STC 155/2009, de 25 de junio, FJ 2 b)].</w:t>
      </w:r>
    </w:p>
    <w:p w14:paraId="18F1C885" w14:textId="77777777" w:rsidR="009D7677" w:rsidRDefault="009D7677" w:rsidP="009D7677">
      <w:pPr>
        <w:pStyle w:val="TextoNormal"/>
      </w:pPr>
    </w:p>
    <w:p w14:paraId="7194B486" w14:textId="1BA988B1" w:rsidR="009D7677" w:rsidRDefault="009D7677" w:rsidP="009D7677">
      <w:pPr>
        <w:pStyle w:val="TextoNormal"/>
      </w:pPr>
      <w:r>
        <w:t>En la providencia se acordó, en aplicación de lo dispuesto en el art. 51 LOTC, dirigir atenta comunicación al Pleno de la Sala de lo Penal de la Audiencia Nacional, a fin de que, en plazo que no excediera de diez días, remitiera certificación o fotocopia adverada de las actuaciones correspondientes al recurso de súplica núm. 79-2021. E igualmente a la Sala de lo Penal, Sección Tercera, de la Audiencia Nacional para que, en el mismo plazo, remitiera certificación o fotocopia adverada de las actuaciones correspondientes al rollo de extradición núm. 15-2021, dimanante del procedimiento de extradición pasiva núm. 12-2021 del Juzgado Central de Instrucción núm. 5, debiendo previamente emplazarse, para que en el plazo de diez días pudieran comparecer, si lo deseasen, en el recurso de amparo, a quienes hubieran sido parte en el procedimiento, excepto la parte recurrente en amparo.</w:t>
      </w:r>
    </w:p>
    <w:p w14:paraId="2771FDCA" w14:textId="77777777" w:rsidR="009D7677" w:rsidRDefault="009D7677" w:rsidP="009D7677">
      <w:pPr>
        <w:pStyle w:val="TextoNormal"/>
      </w:pPr>
    </w:p>
    <w:p w14:paraId="424F13A4" w14:textId="2211F4CA" w:rsidR="009D7677" w:rsidRDefault="009D7677" w:rsidP="009D7677">
      <w:pPr>
        <w:pStyle w:val="TextoNormal"/>
      </w:pPr>
      <w:r w:rsidRPr="009D7677">
        <w:rPr>
          <w:rStyle w:val="NumeroAFNegritaCaracter"/>
        </w:rPr>
        <w:t>5</w:t>
      </w:r>
      <w:r>
        <w:t>. Recibidas las actuaciones de la Sala de lo Penal de la Audiencia Nacional, el 15 de febrero de 2022 la Secretaría de Justicia de la Sala Segunda de este tribunal dictó diligencia de ordenación en la que tuvo por personado y parte en el procedimiento al abogado del Estado y acordaba dar vista de las mismas por un plazo común de veinte días a las partes personadas y al Ministerio Fiscal, para que presentasen las alegaciones que estimasen pertinentes, conforme determina el art. 52.1 LOTC.</w:t>
      </w:r>
    </w:p>
    <w:p w14:paraId="6A88568E" w14:textId="77777777" w:rsidR="009D7677" w:rsidRDefault="009D7677" w:rsidP="009D7677">
      <w:pPr>
        <w:pStyle w:val="TextoNormal"/>
      </w:pPr>
    </w:p>
    <w:p w14:paraId="10C01EAC" w14:textId="77777777" w:rsidR="009D7677" w:rsidRDefault="009D7677" w:rsidP="009D7677">
      <w:pPr>
        <w:pStyle w:val="TextoNormal"/>
      </w:pPr>
      <w:r w:rsidRPr="009D7677">
        <w:rPr>
          <w:rStyle w:val="NumeroAFNegritaCaracter"/>
        </w:rPr>
        <w:t>6</w:t>
      </w:r>
      <w:r>
        <w:t>. Por escrito presentado el 16 de marzo de 2022 el abogado del Estado formuló alegaciones en las que interesó la inadmisión del recurso de amparo en sentencia y, alternativamente, su desestimación. Subsidiariamente, para el caso de que este tribunal entienda que hay que entrar en el fondo del asunto, solicita la desestimación del recurso de amparo.</w:t>
      </w:r>
    </w:p>
    <w:p w14:paraId="108ECA78" w14:textId="77777777" w:rsidR="009D7677" w:rsidRDefault="009D7677" w:rsidP="009D7677">
      <w:pPr>
        <w:pStyle w:val="TextoNormal"/>
      </w:pPr>
    </w:p>
    <w:p w14:paraId="7F235C8F" w14:textId="781E6D1D" w:rsidR="009D7677" w:rsidRDefault="009D7677" w:rsidP="009D7677">
      <w:pPr>
        <w:pStyle w:val="TextoNormal"/>
      </w:pPr>
      <w:r>
        <w:t>El abogado del Estado entiende que el presente caso difiere de los analizados en las SSTC 147/2020, de 19 de octubre, y 147/2021, de 12 de julio, porque, en el ordenamiento jurídico marroquí, tanto los jueces de instrucción como el fiscal del rey ante el tribunal de apelación pueden emitir órdenes de detención, sin que en este último caso sea preciso que sean legalizadas por un juez. Además, según el art. 12 del Convenio bilateral, para solicitar la extradición basta con la presentación de una orden de detención expedida en la forma prescrita por la ley del Estado requirente. Por lo dicho, el abogado del Estado considera que estamos ante un problema de legalidad ordinaria en el que no se ven afectados derechos fundamentales.</w:t>
      </w:r>
    </w:p>
    <w:p w14:paraId="1D9AA922" w14:textId="77777777" w:rsidR="009D7677" w:rsidRDefault="009D7677" w:rsidP="009D7677">
      <w:pPr>
        <w:pStyle w:val="TextoNormal"/>
      </w:pPr>
    </w:p>
    <w:p w14:paraId="6B595024" w14:textId="77777777" w:rsidR="009D7677" w:rsidRDefault="009D7677" w:rsidP="009D7677">
      <w:pPr>
        <w:pStyle w:val="TextoNormal"/>
      </w:pPr>
      <w:r w:rsidRPr="009D7677">
        <w:rPr>
          <w:rStyle w:val="NumeroAFNegritaCaracter"/>
        </w:rPr>
        <w:t>7</w:t>
      </w:r>
      <w:r>
        <w:t>. Por escrito presentado el 1 de abril de 2022, el fiscal ante el Tribunal Constitucional presentó alegaciones en las que solicitó la estimación del recurso de amparo, que se declarase que las resoluciones judiciales impugnadas en el mismo vulneraron el derecho fundamental del recurrente a la tutela judicial efectiva (art. 24.1 CE), en conexión con el derecho a la libertad (art. 17 CE) con infracción de la doctrina del Tribunal Constitucional y que, en consecuencia, se declarase su nulidad. Subsidiariamente, solicita una aclaración o precisión de la doctrina constitucional.</w:t>
      </w:r>
    </w:p>
    <w:p w14:paraId="12679A30" w14:textId="77777777" w:rsidR="009D7677" w:rsidRDefault="009D7677" w:rsidP="009D7677">
      <w:pPr>
        <w:pStyle w:val="TextoNormal"/>
      </w:pPr>
    </w:p>
    <w:p w14:paraId="0B78AEEC" w14:textId="77777777" w:rsidR="009D7677" w:rsidRDefault="009D7677" w:rsidP="009D7677">
      <w:pPr>
        <w:pStyle w:val="TextoNormal"/>
      </w:pPr>
      <w:r>
        <w:t>Tras exponer las vicisitudes del procedimiento, el fiscal encuadra la cuestión planteada en la falta de habilitación legal de la solicitud de extradición formulada por el Reino de Marruecos, en tanto se funda en una orden internacional de detención dictada por el fiscal del rey ante el Juzgado de Primera Instancia de Safi, sin que exista una resolución judicial que la corrobore, apartándose las resoluciones judiciales impugnadas de la doctrina constitucional establecida en las SSTC 147/2020, de 19 de octubre, y 147/2021, de 12 de julio, doctrina que sintetiza y de la que destaca, mediante extensa cita literal de los FFJJ 7 y 8 de la primera de ellas, el valor hermenéutico e integrador que el Tribunal Constitucional atribuye (art. 10.2 CE) a los pronunciamientos del Tribunal de Justicia de la Unión Europea relativos a la orden europea de detención y entrega (Decisión Marco 2002/584/JAI) para incorporar a la tutela judicial efectiva del derecho a la libertad y a la libertad de circulación, en los procedimientos de extradición pasiva, la exigencia de que en el país reclamante exista una ponderación judicial sobre la necesidad de la medida.</w:t>
      </w:r>
    </w:p>
    <w:p w14:paraId="098FBC92" w14:textId="77777777" w:rsidR="009D7677" w:rsidRDefault="009D7677" w:rsidP="009D7677">
      <w:pPr>
        <w:pStyle w:val="TextoNormal"/>
      </w:pPr>
    </w:p>
    <w:p w14:paraId="43F9B281" w14:textId="77777777" w:rsidR="009D7677" w:rsidRDefault="009D7677" w:rsidP="009D7677">
      <w:pPr>
        <w:pStyle w:val="TextoNormal"/>
      </w:pPr>
      <w:r>
        <w:t>El fiscal considera que, en este caso, la solicitud de extradición por el fiscal del rey de Marruecos no reúne los requisitos establecidos por la doctrina constitucional citada, en cuanto la autoridad emisora —el fiscal del rey— está sometida a las posibles instrucciones de la autoridad jerárquica superior y no se prevé la inexcusable concurrencia de una autoridad judicial que controle la necesidad y proporcionalidad de la medida, al margen de que no se contempla la posibilidad de un recurso judicial antes de la entrega de la persona buscada por el Estado que debe efectuar la ejecución.</w:t>
      </w:r>
    </w:p>
    <w:p w14:paraId="42E0FA87" w14:textId="77777777" w:rsidR="009D7677" w:rsidRDefault="009D7677" w:rsidP="009D7677">
      <w:pPr>
        <w:pStyle w:val="TextoNormal"/>
      </w:pPr>
    </w:p>
    <w:p w14:paraId="1AAB1329" w14:textId="111F7C7D" w:rsidR="009D7677" w:rsidRDefault="009D7677" w:rsidP="009D7677">
      <w:pPr>
        <w:pStyle w:val="TextoNormal"/>
      </w:pPr>
      <w:r>
        <w:t>El fiscal no concluye aquí sus alegaciones, sino que con carácter subsidiario plantea la posibilidad de que el presente recurso de amparo sirva de oportunidad para que este tribu</w:t>
      </w:r>
      <w:r>
        <w:lastRenderedPageBreak/>
        <w:t>nal aclare o cambie su doctrina, a cuyo efecto apunta que el recurso de amparo núm. 7490-2021, que plantea la misma cuestión, ha sido admitido a trámite mediante providencia de 1 de diciembre de 2021 de la Sección Primera de la Sala Primera de este tribunal, en virtud del supuesto de especial trascendencia constitucional enunciado en la letra b) del fundamento jurídico 2 de la STC 155/2009. Es decir, se trataría de aclarar o matizar, en su caso, la doctrina constitucional sobre extensión de las garantías del procedimiento de extradición pasiva, en particular la garantía jurisdiccional o de tutela judicial efectiva en el procedimiento de extradición en el momento de su emisión, con aplicación de la doctrina del Tribunal de Justicia de la Unión Europea dictada a propósito de la orden europea de detención y entrega, lo que equipara los procesos de extradición, tanto si son de los países de la Unión Europea como si provienen de países terceros, estableciendo un estándar de garantías más elevado a todos los supuestos de extradición, cualquiera que sea el convenio multilateral o bilateral suscrito entre España y terceros países reguladores de la extradición, perfilando la interpretación de la compatibilidad que se puede suscitar en la aplicación de los convenios suscritos con España y la aplicación del diferente estándar de garantías del Tribunal de Justicia de la Unión Europea.</w:t>
      </w:r>
    </w:p>
    <w:p w14:paraId="57DB3DFA" w14:textId="77777777" w:rsidR="009D7677" w:rsidRDefault="009D7677" w:rsidP="009D7677">
      <w:pPr>
        <w:pStyle w:val="TextoNormal"/>
      </w:pPr>
    </w:p>
    <w:p w14:paraId="4E4B1C23" w14:textId="32833951" w:rsidR="009D7677" w:rsidRDefault="009D7677" w:rsidP="009D7677">
      <w:pPr>
        <w:pStyle w:val="TextoNormal"/>
      </w:pPr>
      <w:r w:rsidRPr="009D7677">
        <w:rPr>
          <w:rStyle w:val="NumeroAFNegritaCaracter"/>
        </w:rPr>
        <w:t>8</w:t>
      </w:r>
      <w:r>
        <w:t>. La parte recurrente no formuló alegaciones.</w:t>
      </w:r>
    </w:p>
    <w:p w14:paraId="37322AC4" w14:textId="77777777" w:rsidR="009D7677" w:rsidRDefault="009D7677" w:rsidP="009D7677">
      <w:pPr>
        <w:pStyle w:val="TextoNormal"/>
      </w:pPr>
    </w:p>
    <w:p w14:paraId="74991725" w14:textId="6D41D338" w:rsidR="009D7677" w:rsidRDefault="009D7677" w:rsidP="009D7677">
      <w:pPr>
        <w:pStyle w:val="TextoNormal"/>
      </w:pPr>
      <w:r w:rsidRPr="009D7677">
        <w:rPr>
          <w:rStyle w:val="NumeroAFNegritaCaracter"/>
        </w:rPr>
        <w:t>9</w:t>
      </w:r>
      <w:r>
        <w:t>. Por diligencia de ordenación de la Secretaría de Justicia de la Sala Segunda de este tribunal de 4 de abril de 2022 se hace constar que, habiéndose recibido los precedentes escritos de alegaciones del fiscal y del abogado del Estado, sin que la parte recurrente haya formulado alegaciones, queda el presente recurso de amparo pendiente para deliberación cuando por turno corresponda.</w:t>
      </w:r>
    </w:p>
    <w:p w14:paraId="6C0CB8D9" w14:textId="77777777" w:rsidR="009D7677" w:rsidRDefault="009D7677" w:rsidP="009D7677">
      <w:pPr>
        <w:pStyle w:val="TextoNormal"/>
      </w:pPr>
    </w:p>
    <w:p w14:paraId="3E77909A" w14:textId="0BF328BC" w:rsidR="009D7677" w:rsidRDefault="009D7677" w:rsidP="009D7677">
      <w:pPr>
        <w:pStyle w:val="TextoNormal"/>
      </w:pPr>
      <w:r w:rsidRPr="009D7677">
        <w:rPr>
          <w:rStyle w:val="NumeroAFNegritaCaracter"/>
        </w:rPr>
        <w:t>10</w:t>
      </w:r>
      <w:r>
        <w:t>. Mediante providencia de 7 de marzo de 2024, se señaló para deliberación y votación de la presente sentencia el siguiente día 11 del mismo mes y año.</w:t>
      </w:r>
    </w:p>
    <w:p w14:paraId="471A396A" w14:textId="77777777" w:rsidR="009D7677" w:rsidRDefault="009D7677" w:rsidP="009D7677">
      <w:pPr>
        <w:pStyle w:val="TextoNormal"/>
      </w:pPr>
    </w:p>
    <w:p w14:paraId="246D758D" w14:textId="77777777" w:rsidR="009D7677" w:rsidRDefault="009D7677" w:rsidP="009D7677">
      <w:pPr>
        <w:pStyle w:val="TextoNormalNegritaCentrado"/>
        <w:keepNext/>
      </w:pPr>
      <w:r>
        <w:t>II. Fundamentos jurídicos</w:t>
      </w:r>
    </w:p>
    <w:p w14:paraId="6ED9381B" w14:textId="1E4A5361" w:rsidR="009D7677" w:rsidRDefault="009D7677" w:rsidP="009D7677">
      <w:pPr>
        <w:pStyle w:val="TextoNormalNegritaCentrado"/>
        <w:keepNext/>
      </w:pPr>
    </w:p>
    <w:p w14:paraId="2AE419E1" w14:textId="77777777" w:rsidR="009D7677" w:rsidRDefault="009D7677" w:rsidP="009D7677">
      <w:pPr>
        <w:pStyle w:val="TextoNormal"/>
      </w:pPr>
      <w:r w:rsidRPr="009D7677">
        <w:rPr>
          <w:rStyle w:val="NumeroAFNegritaCaracter"/>
        </w:rPr>
        <w:t>1</w:t>
      </w:r>
      <w:r>
        <w:t xml:space="preserve">. </w:t>
      </w:r>
      <w:r w:rsidRPr="009D7677">
        <w:rPr>
          <w:i/>
        </w:rPr>
        <w:t>Objeto del proceso y posición de las partes</w:t>
      </w:r>
    </w:p>
    <w:p w14:paraId="1CF86645" w14:textId="77777777" w:rsidR="009D7677" w:rsidRDefault="009D7677" w:rsidP="009D7677">
      <w:pPr>
        <w:pStyle w:val="TextoNormal"/>
      </w:pPr>
    </w:p>
    <w:p w14:paraId="75DDB97B" w14:textId="77777777" w:rsidR="009D7677" w:rsidRDefault="009D7677" w:rsidP="009D7677">
      <w:pPr>
        <w:pStyle w:val="TextoNormal"/>
      </w:pPr>
      <w:r>
        <w:t>La demanda de amparo interesa la nulidad del auto núm. 37/2021, de 30 de septiembre, dictado por la Sección Tercera de la Sala de lo Penal de la Audiencia Nacional, que acordó haber lugar en fase judicial a la extradición del demandante a Marruecos al objeto de ser enjuiciado por hechos constitutivos de un delito de tráfico de sustancias estupefacientes, y del auto núm. 87/2021, de 30 de noviembre, dictado por el Pleno de la Sala de lo Penal de la Audiencia Nacional, que confirmó en súplica el anterior.</w:t>
      </w:r>
    </w:p>
    <w:p w14:paraId="64B150A3" w14:textId="77777777" w:rsidR="009D7677" w:rsidRDefault="009D7677" w:rsidP="009D7677">
      <w:pPr>
        <w:pStyle w:val="TextoNormal"/>
      </w:pPr>
    </w:p>
    <w:p w14:paraId="73092C16" w14:textId="77777777" w:rsidR="009D7677" w:rsidRDefault="009D7677" w:rsidP="009D7677">
      <w:pPr>
        <w:pStyle w:val="TextoNormal"/>
      </w:pPr>
      <w:r>
        <w:t>El recurrente aduce que las resoluciones judiciales impugnadas han vulnerado sus derechos a la tutela judicial efectiva (art. 24.1 CE), a un proceso con todas las garantías (art. 24.2 CE) y a la libertad personal (art. 17.3 CE), porque la orden de arresto de 26 de enero de 2021 emitida por el fiscal sustituto del rey de Marruecos careció del necesario control judicial en origen exigido en las SSTC 147/2020, de 19 de octubre, y 147/2021, de 12 de julio, para garantizar su necesidad y proporcionalidad.</w:t>
      </w:r>
    </w:p>
    <w:p w14:paraId="4719F65C" w14:textId="77777777" w:rsidR="009D7677" w:rsidRDefault="009D7677" w:rsidP="009D7677">
      <w:pPr>
        <w:pStyle w:val="TextoNormal"/>
      </w:pPr>
    </w:p>
    <w:p w14:paraId="0D2EC627" w14:textId="77777777" w:rsidR="009D7677" w:rsidRDefault="009D7677" w:rsidP="009D7677">
      <w:pPr>
        <w:pStyle w:val="TextoNormal"/>
      </w:pPr>
      <w:r>
        <w:lastRenderedPageBreak/>
        <w:t>El fiscal ante el Tribunal Constitucional solicita la estimación del recurso e interesa la nulidad de las resoluciones judiciales impugnadas, si bien subsidiariamente propone que se module la doctrina constitucional sentada en la STC 147/2020 a la luz de las circunstancias del caso.</w:t>
      </w:r>
    </w:p>
    <w:p w14:paraId="4E00F9E3" w14:textId="77777777" w:rsidR="009D7677" w:rsidRDefault="009D7677" w:rsidP="009D7677">
      <w:pPr>
        <w:pStyle w:val="TextoNormal"/>
      </w:pPr>
    </w:p>
    <w:p w14:paraId="04A991ED" w14:textId="167F62BE" w:rsidR="009D7677" w:rsidRDefault="009D7677" w:rsidP="009D7677">
      <w:pPr>
        <w:pStyle w:val="TextoNormal"/>
      </w:pPr>
      <w:r>
        <w:t>Por su parte, el abogado del Estado interesa la inadmisión en sentencia de las quejas y, subsidiariamente, su desestimación.</w:t>
      </w:r>
    </w:p>
    <w:p w14:paraId="6A28C097" w14:textId="77777777" w:rsidR="009D7677" w:rsidRDefault="009D7677" w:rsidP="009D7677">
      <w:pPr>
        <w:pStyle w:val="TextoNormal"/>
      </w:pPr>
    </w:p>
    <w:p w14:paraId="4C2A2AAE" w14:textId="77777777" w:rsidR="009D7677" w:rsidRDefault="009D7677" w:rsidP="009D7677">
      <w:pPr>
        <w:pStyle w:val="TextoNormal"/>
      </w:pPr>
      <w:r w:rsidRPr="009D7677">
        <w:rPr>
          <w:rStyle w:val="NumeroAFNegritaCaracter"/>
        </w:rPr>
        <w:t>2</w:t>
      </w:r>
      <w:r>
        <w:t xml:space="preserve">. </w:t>
      </w:r>
      <w:r w:rsidRPr="009D7677">
        <w:rPr>
          <w:i/>
        </w:rPr>
        <w:t>Especial trascendencia constitucional</w:t>
      </w:r>
    </w:p>
    <w:p w14:paraId="0546E2D6" w14:textId="77777777" w:rsidR="009D7677" w:rsidRDefault="009D7677" w:rsidP="009D7677">
      <w:pPr>
        <w:pStyle w:val="TextoNormal"/>
      </w:pPr>
    </w:p>
    <w:p w14:paraId="7862B6FA" w14:textId="77777777" w:rsidR="009D7677" w:rsidRDefault="009D7677" w:rsidP="009D7677">
      <w:pPr>
        <w:pStyle w:val="TextoNormal"/>
      </w:pPr>
      <w:r>
        <w:t>La Sección Cuarta del Tribunal Constitucional, por providencia de 25 de enero de 2022, admitió a trámite el presente recurso de amparo apreciando la concurrencia de especial trascendencia constitucional (art. 50.1 LOTC) porque el recurso puede dar ocasión al Tribunal para aclarar o cambiar su doctrina, como consecuencia de un proceso de reflexión interna [STC 155/2009, FJ 2 b)].</w:t>
      </w:r>
    </w:p>
    <w:p w14:paraId="2B4A8926" w14:textId="77777777" w:rsidR="009D7677" w:rsidRDefault="009D7677" w:rsidP="009D7677">
      <w:pPr>
        <w:pStyle w:val="TextoNormal"/>
      </w:pPr>
    </w:p>
    <w:p w14:paraId="483B84B2" w14:textId="77777777" w:rsidR="009D7677" w:rsidRDefault="009D7677" w:rsidP="009D7677">
      <w:pPr>
        <w:pStyle w:val="TextoNormal"/>
      </w:pPr>
      <w:r>
        <w:t xml:space="preserve">Como hemos expresado en la reciente STC 17/2024, de 31 de enero, “[d]esde la STC 9/2015, de 2 de febrero, FJ 3, hemos establecido que ‘constituye una exigencia de certeza que este tribunal explicite el cumplimiento de este requisito, haciendo así recognoscibles los criterios de aplicación empleados al respecto por este tribunal [sentencia del Tribunal Europeo de Derechos Humanos (STEDH) de 20 de enero de 2015, asunto </w:t>
      </w:r>
      <w:r w:rsidRPr="009D7677">
        <w:rPr>
          <w:i/>
        </w:rPr>
        <w:t>Arribas Antón c. España</w:t>
      </w:r>
      <w:r>
        <w:t>]’, lo que también aconseja evitar la dispersión de criterios en asuntos que presentan una acusada identidad de objeto. Declaramos por ello que, en la medida en que el presente recurso de amparo sitúa el fundamento impugnatorio en que las resoluciones de la Audiencia Nacional han vulnerado sus derechos fundamentales a la tutela judicial efectiva, a un proceso con todas las garantías, y a la libertad personal y de circulación (art. 24.1 y 2 CE, en conexión con los arts. 17 y 19 CE) por haber autorizado una solicitud de extradición remitida por el fiscal del rey ante el Tribunal de Apelación de Tánger carente de refrendo judicial, resulta especialmente idóneo para iniciar, si procede, un proceso de reflexión interna dirigido aclarar o cambiar la doctrina sentada en las SSTC 147/2020 y 147/2021, necesidad reforzada por la reiteración de asuntos de extradición pasiva, procedentes del mismo país y de otros, que inciden en la misma cuestión, por lo que declaramos que la especial trascendencia constitucional del presente recurso de amparo debe quedar igualmente encuadrada en el supuesto de la letra b) de la STC 155/2009, de 25 de junio”.</w:t>
      </w:r>
    </w:p>
    <w:p w14:paraId="79D0958F" w14:textId="77777777" w:rsidR="009D7677" w:rsidRDefault="009D7677" w:rsidP="009D7677">
      <w:pPr>
        <w:pStyle w:val="TextoNormal"/>
      </w:pPr>
    </w:p>
    <w:p w14:paraId="6EF90163" w14:textId="3FD39280" w:rsidR="009D7677" w:rsidRDefault="009D7677" w:rsidP="009D7677">
      <w:pPr>
        <w:pStyle w:val="TextoNormal"/>
      </w:pPr>
      <w:r>
        <w:t>Pues bien, dado que el supuesto planteado en este recurso es similar, si no casi idéntico, al que valoramos en la STC 17/2024, ha de concluirse que goza de la misma especial trascendencia constitucional que observamos entonces, debiendo ser objeto del mismo proceso de reflexión interna.</w:t>
      </w:r>
    </w:p>
    <w:p w14:paraId="76781265" w14:textId="77777777" w:rsidR="009D7677" w:rsidRDefault="009D7677" w:rsidP="009D7677">
      <w:pPr>
        <w:pStyle w:val="TextoNormal"/>
      </w:pPr>
    </w:p>
    <w:p w14:paraId="772A45A5" w14:textId="77777777" w:rsidR="009D7677" w:rsidRDefault="009D7677" w:rsidP="009D7677">
      <w:pPr>
        <w:pStyle w:val="TextoNormal"/>
      </w:pPr>
      <w:r w:rsidRPr="009D7677">
        <w:rPr>
          <w:rStyle w:val="NumeroAFNegritaCaracter"/>
        </w:rPr>
        <w:t>3</w:t>
      </w:r>
      <w:r>
        <w:t xml:space="preserve">. </w:t>
      </w:r>
      <w:r w:rsidRPr="009D7677">
        <w:rPr>
          <w:i/>
        </w:rPr>
        <w:t>La doctrina establecida en la STC 17/2024, de 31 de enero, sobre la tutela judicial de la libertad en los procedimientos de extradición pasiva</w:t>
      </w:r>
    </w:p>
    <w:p w14:paraId="52C05980" w14:textId="77777777" w:rsidR="009D7677" w:rsidRDefault="009D7677" w:rsidP="009D7677">
      <w:pPr>
        <w:pStyle w:val="TextoNormal"/>
      </w:pPr>
    </w:p>
    <w:p w14:paraId="4EED7CB3" w14:textId="77777777" w:rsidR="009D7677" w:rsidRDefault="009D7677" w:rsidP="009D7677">
      <w:pPr>
        <w:pStyle w:val="TextoNormal"/>
      </w:pPr>
      <w:r>
        <w:t xml:space="preserve">En la reciente STC 17/2024, de 31 de enero, este tribunal ha aclarado que la doctrina fijada en las SSTC 147/2020 y 147/2021 sobre tutela judicial del derecho a la libertad en los procedimientos de extradición pasiva distingue dos tipos de garantía. En primer lugar, una garantía básica, consistente en que el órgano judicial al examinar la petición de extradición verifique la imparcialidad de la autoridad que la ha emitido, tratándose de una garantía </w:t>
      </w:r>
      <w:r>
        <w:lastRenderedPageBreak/>
        <w:t xml:space="preserve">inherente al deber de motivación reforzada de una decisión que ha de afectar necesariamente a la esfera de la libertad personal del reclamado. Y, en segundo término, una garantía específica, consistente en que la solicitud venga refrendada por una autoridad judicial desde el mismo país de origen, fundada en el art. 7.1 a) LEP, que es de directa aplicación en aquellos supuestos de ausencia de convenio extradicional con el Estado reclamante (STC 147/2021, FJ 4), pero que puede verse modulada en función de lo previsto en el convenio de extradición vigente entre las partes, al tratarse de una fuente normativa de aplicación preferente </w:t>
      </w:r>
      <w:r w:rsidRPr="009D7677">
        <w:rPr>
          <w:i/>
        </w:rPr>
        <w:t>ex</w:t>
      </w:r>
      <w:r>
        <w:t xml:space="preserve"> art. 1.1 LEP. Así debe afirmarse que, aun cuando sea una exigencia inherente a la tutela judicial efectiva del derecho a la libertad personal del </w:t>
      </w:r>
      <w:r w:rsidRPr="009D7677">
        <w:rPr>
          <w:i/>
        </w:rPr>
        <w:t>extraditurus</w:t>
      </w:r>
      <w:r>
        <w:t xml:space="preserve"> que nuestros tribunales verifiquen que la necesidad y proporcionalidad de la medida ha sido debidamente ponderada por un órgano judicial del país emisor, dicha intermediación judicial puede dispensarse excepcionalmente cuando concurran las siguientes exigencias:</w:t>
      </w:r>
    </w:p>
    <w:p w14:paraId="2F77D36C" w14:textId="77777777" w:rsidR="009D7677" w:rsidRDefault="009D7677" w:rsidP="009D7677">
      <w:pPr>
        <w:pStyle w:val="TextoNormal"/>
      </w:pPr>
    </w:p>
    <w:p w14:paraId="40A08AB1" w14:textId="77777777" w:rsidR="009D7677" w:rsidRDefault="009D7677" w:rsidP="009D7677">
      <w:pPr>
        <w:pStyle w:val="TextoNormal"/>
      </w:pPr>
      <w:r>
        <w:t>(i) Que se trate de un procedimiento de extradición regido por un convenio bilateral o multilateral que admita la posibilidad de que la petición de entrega pueda emanar de una autoridad no jurisdiccional.</w:t>
      </w:r>
    </w:p>
    <w:p w14:paraId="0A18960E" w14:textId="77777777" w:rsidR="009D7677" w:rsidRDefault="009D7677" w:rsidP="009D7677">
      <w:pPr>
        <w:pStyle w:val="TextoNormal"/>
      </w:pPr>
    </w:p>
    <w:p w14:paraId="0FDD8C0A" w14:textId="77777777" w:rsidR="009D7677" w:rsidRDefault="009D7677" w:rsidP="009D7677">
      <w:pPr>
        <w:pStyle w:val="TextoNormal"/>
      </w:pPr>
      <w:r>
        <w:t>(ii) Que el país requirente suministre información suficientemente expresiva de que se trata de una autoridad que, conforme a su legislación interna, está facultada para emitir una solicitud de extradición en condiciones equivalentes a las de una autoridad judicial.</w:t>
      </w:r>
    </w:p>
    <w:p w14:paraId="0331A153" w14:textId="77777777" w:rsidR="009D7677" w:rsidRDefault="009D7677" w:rsidP="009D7677">
      <w:pPr>
        <w:pStyle w:val="TextoNormal"/>
      </w:pPr>
    </w:p>
    <w:p w14:paraId="35044CFB" w14:textId="718406B9" w:rsidR="009D7677" w:rsidRDefault="009D7677" w:rsidP="009D7677">
      <w:pPr>
        <w:pStyle w:val="TextoNormal"/>
      </w:pPr>
      <w:r>
        <w:t>(iii) Que el contenido de la solicitud y de la documentación anexa proporcione a los órganos judiciales españoles la información necesaria para verificar que la misma resulta necesaria y proporcionada.</w:t>
      </w:r>
    </w:p>
    <w:p w14:paraId="158BCEE1" w14:textId="77777777" w:rsidR="009D7677" w:rsidRDefault="009D7677" w:rsidP="009D7677">
      <w:pPr>
        <w:pStyle w:val="TextoNormal"/>
      </w:pPr>
    </w:p>
    <w:p w14:paraId="076006B1" w14:textId="77777777" w:rsidR="009D7677" w:rsidRDefault="009D7677" w:rsidP="009D7677">
      <w:pPr>
        <w:pStyle w:val="TextoNormal"/>
      </w:pPr>
      <w:r w:rsidRPr="009D7677">
        <w:rPr>
          <w:rStyle w:val="NumeroAFNegritaCaracter"/>
        </w:rPr>
        <w:t>4</w:t>
      </w:r>
      <w:r>
        <w:t xml:space="preserve">. </w:t>
      </w:r>
      <w:r w:rsidRPr="009D7677">
        <w:rPr>
          <w:i/>
        </w:rPr>
        <w:t>Aplicación al caso de la doctrina constitucional expuesta</w:t>
      </w:r>
    </w:p>
    <w:p w14:paraId="7528BE26" w14:textId="77777777" w:rsidR="009D7677" w:rsidRDefault="009D7677" w:rsidP="009D7677">
      <w:pPr>
        <w:pStyle w:val="TextoNormal"/>
      </w:pPr>
    </w:p>
    <w:p w14:paraId="28D18FF7" w14:textId="77777777" w:rsidR="009D7677" w:rsidRDefault="009D7677" w:rsidP="009D7677">
      <w:pPr>
        <w:pStyle w:val="TextoNormal"/>
      </w:pPr>
      <w:r>
        <w:t>La cuestión constitucional suscitada en este recurso en relación con el derecho fundamental a la libertad personal (art. 17 CE) y a la tutela judicial efectiva (art. 24 CE) es análoga a la que ya ha sido objeto de análisis por el Pleno de este tribunal en la STC 17/2024, en cuyos fundamentos jurídicos 3 y 4 se expusieron de manera pormenorizada las pautas de ponderación necesarias para determinar si en este tipo de supuestos se han vulnerado los citados derechos fundamentales y que han quedado reflejadas en el fundamento jurídico anterior.</w:t>
      </w:r>
    </w:p>
    <w:p w14:paraId="5486C11A" w14:textId="77777777" w:rsidR="009D7677" w:rsidRDefault="009D7677" w:rsidP="009D7677">
      <w:pPr>
        <w:pStyle w:val="TextoNormal"/>
      </w:pPr>
    </w:p>
    <w:p w14:paraId="54D7A234" w14:textId="77777777" w:rsidR="009D7677" w:rsidRDefault="009D7677" w:rsidP="009D7677">
      <w:pPr>
        <w:pStyle w:val="TextoNormal"/>
      </w:pPr>
      <w:r>
        <w:t>En atención a ello, en este caso, al igual que en la STC 17/2024, el Tribunal rechaza el planteamiento impugnatorio del demandante, pues el art. 12 a) del Convenio bilateral de extradición no exige el dictado de una resolución judicial como punto de partida de la solicitud de entrega, por lo que la documentación remitida en apoyo de la solicitud de extradición no queda fuera de la cobertura legal conformada por las fuentes aplicables. Por otra parte, se observa que la información complementaria remitida por el Estado requirente es suficientemente expresiva de la integración de la fiscalía en el órgano judicial, de sus condiciones de imparcialidad y del valor equivalente que la legislación del país otorga a las órdenes internacionales de arresto emitidas por el fiscal respecto de las emitidas por un juez de instrucción en el ámbito de su competencia, lo que excluye la necesidad de su validación judicial.</w:t>
      </w:r>
    </w:p>
    <w:p w14:paraId="34102DC2" w14:textId="77777777" w:rsidR="009D7677" w:rsidRDefault="009D7677" w:rsidP="009D7677">
      <w:pPr>
        <w:pStyle w:val="TextoNormal"/>
      </w:pPr>
    </w:p>
    <w:p w14:paraId="550D0F40" w14:textId="77777777" w:rsidR="009D7677" w:rsidRDefault="009D7677" w:rsidP="009D7677">
      <w:pPr>
        <w:pStyle w:val="TextoNormal"/>
      </w:pPr>
      <w:r>
        <w:lastRenderedPageBreak/>
        <w:t>En este sentido debemos recordar que la misión de los tribunales españoles se ha de limitar a depurar aquellas solicitudes de extradición que presenten indicios de falta de proporcionalidad o de fundamento, mediante el examen en concreto de las alegaciones y documentos aportados por la persona reclamada, y de las razones y documentos aportados por las autoridades requirentes junto con la petición de extradición o de aquellos otros que el tribunal español pueda solicitar como complemento de los anteriores.</w:t>
      </w:r>
    </w:p>
    <w:p w14:paraId="6384D5B3" w14:textId="77777777" w:rsidR="009D7677" w:rsidRDefault="009D7677" w:rsidP="009D7677">
      <w:pPr>
        <w:pStyle w:val="TextoNormal"/>
      </w:pPr>
    </w:p>
    <w:p w14:paraId="352CCFF1" w14:textId="279234ED" w:rsidR="009D7677" w:rsidRDefault="009D7677" w:rsidP="009D7677">
      <w:pPr>
        <w:pStyle w:val="TextoNormal"/>
      </w:pPr>
      <w:r>
        <w:t>Pues bien, en este caso, la documentación remitida por las autoridades marroquíes por vía diplomática, que incluye la orden internacional de detención y la solicitud de extradición expedidas por el fiscal del rey, contiene una exposición circunstanciada tanto de los hechos imputados al demandante de amparo como de su calificación jurídica y de las diligencias de investigación practicadas bajo la dirección de la fiscalía marroquí, en cuyo resultado se funda dicha imputación, en términos que no permiten poner en duda la necesidad y proporcionalidad de su decisión de solicitar su entrega para asegurar su enjuiciamiento. Procede por ello declarar que las resoluciones judiciales impugnadas, al dar curso en vía jurisdiccional a dicha solicitud, no han vulnerado los derechos fundamentales sustantivos y procesales invocados en la demanda de amparo.</w:t>
      </w:r>
    </w:p>
    <w:p w14:paraId="74F685EE" w14:textId="77777777" w:rsidR="009D7677" w:rsidRDefault="009D7677" w:rsidP="009D7677">
      <w:pPr>
        <w:pStyle w:val="TextoNormal"/>
      </w:pPr>
    </w:p>
    <w:p w14:paraId="4DFBD949" w14:textId="77777777" w:rsidR="009D7677" w:rsidRDefault="009D7677" w:rsidP="009D7677">
      <w:pPr>
        <w:pStyle w:val="TextoNormalCentrado"/>
        <w:keepNext/>
      </w:pPr>
      <w:r>
        <w:t>FALLO</w:t>
      </w:r>
    </w:p>
    <w:p w14:paraId="43AD5314" w14:textId="6B58EFFE" w:rsidR="009D7677" w:rsidRDefault="009D7677" w:rsidP="009D7677">
      <w:pPr>
        <w:pStyle w:val="TextoNormalCentrado"/>
        <w:keepNext/>
      </w:pPr>
    </w:p>
    <w:p w14:paraId="3D990152" w14:textId="31D4710B" w:rsidR="009D7677" w:rsidRDefault="009D7677" w:rsidP="009D7677">
      <w:pPr>
        <w:pStyle w:val="TextoNormal"/>
      </w:pPr>
      <w:r>
        <w:t>En atención a todo lo expuesto, el Tribunal Constitucional, por la autoridad que le confiere la Constitución de la Nación española, ha decidido desestimar el presente recurso de amparo.</w:t>
      </w:r>
    </w:p>
    <w:p w14:paraId="5C8D5F06" w14:textId="77777777" w:rsidR="009D7677" w:rsidRDefault="009D7677" w:rsidP="009D7677">
      <w:pPr>
        <w:pStyle w:val="TextoNormal"/>
      </w:pPr>
    </w:p>
    <w:p w14:paraId="50DF47D7" w14:textId="77777777" w:rsidR="009D7677" w:rsidRDefault="009D7677" w:rsidP="009D7677">
      <w:pPr>
        <w:pStyle w:val="TextoNormal"/>
      </w:pPr>
      <w:r>
        <w:t>Publíquese esta sentencia en el “Boletín Oficial del Estado”.</w:t>
      </w:r>
    </w:p>
    <w:p w14:paraId="7CB5CBBA" w14:textId="77777777" w:rsidR="009D7677" w:rsidRDefault="009D7677" w:rsidP="009D7677">
      <w:pPr>
        <w:pStyle w:val="TextoNormal"/>
      </w:pPr>
      <w:r>
        <w:t>Dada en Madrid, a once de marzo de dos mil veinticuatro.</w:t>
      </w:r>
    </w:p>
    <w:p w14:paraId="68831C63" w14:textId="20D3E99C" w:rsidR="009D7677" w:rsidRDefault="009D7677" w:rsidP="009D7677">
      <w:pPr>
        <w:pStyle w:val="ParrafoNormal"/>
      </w:pPr>
    </w:p>
    <w:p w14:paraId="421AD200" w14:textId="77777777" w:rsidR="009D7677" w:rsidRDefault="009D7677" w:rsidP="009D7677">
      <w:pPr>
        <w:pStyle w:val="TextoNormalNegritaCentrado"/>
        <w:keepNext/>
      </w:pPr>
      <w:r>
        <w:t>Voto particular discrepante que formula el magistrado don Ramón Sáez Valcárcel a la sentencia que resuelve el recurso de amparo núm. 378-2022</w:t>
      </w:r>
    </w:p>
    <w:p w14:paraId="1E4C3804" w14:textId="6D0DB662" w:rsidR="009D7677" w:rsidRDefault="009D7677" w:rsidP="009D7677">
      <w:pPr>
        <w:pStyle w:val="TextoNormalNegritaCentrado"/>
        <w:keepNext/>
      </w:pPr>
    </w:p>
    <w:p w14:paraId="58E0015D" w14:textId="77777777" w:rsidR="009D7677" w:rsidRDefault="009D7677" w:rsidP="009D7677">
      <w:pPr>
        <w:pStyle w:val="TextoNormal"/>
      </w:pPr>
      <w:r>
        <w:t>1. Expreso mi desacuerdo con la doctrina elaborada en la STC 17/2024, de 31 de enero, que aquí se aplica, al no haber podido intervenir en su elaboración por abstención (había participado en la resolución del recurso de súplica extradicional del que traía causa el recurso de amparo).</w:t>
      </w:r>
    </w:p>
    <w:p w14:paraId="58CEB1B4" w14:textId="77777777" w:rsidR="009D7677" w:rsidRDefault="009D7677" w:rsidP="009D7677">
      <w:pPr>
        <w:pStyle w:val="TextoNormal"/>
      </w:pPr>
    </w:p>
    <w:p w14:paraId="4B327DC0" w14:textId="77777777" w:rsidR="009D7677" w:rsidRDefault="009D7677" w:rsidP="009D7677">
      <w:pPr>
        <w:pStyle w:val="TextoNormal"/>
      </w:pPr>
      <w:r>
        <w:t>2. La STC 17/2024 ha venido a desactivar en el procedimiento de extradición pasiva de carácter procesal o cautelar —con finalidad de persecución penal— la garantía jurisdiccional de la privación de libertad del reclamado en relación con las decisiones que soportaban la petición de entrega en el Estado requirente, que habían establecido las SSTC 147/2020 y 147/2021. Para este fin el análisis del caso, en aquel recurso y en el que nos ocupa, abandona la perspectiva constitucional de la tutela judicial efectiva y el derecho al proceso con todas las garantías en conexión con el derecho a la libertad personal (arts. 24.1 y 2 y 17 CE), para adentrarse en un análisis de legalidad ordinaria acerca de los requerimientos documentales del Convenio bilateral de extradición entre España y Marruecos.</w:t>
      </w:r>
    </w:p>
    <w:p w14:paraId="3E195460" w14:textId="77777777" w:rsidR="009D7677" w:rsidRDefault="009D7677" w:rsidP="009D7677">
      <w:pPr>
        <w:pStyle w:val="TextoNormal"/>
      </w:pPr>
    </w:p>
    <w:p w14:paraId="6FED1751" w14:textId="77777777" w:rsidR="009D7677" w:rsidRDefault="009D7677" w:rsidP="009D7677">
      <w:pPr>
        <w:pStyle w:val="TextoNormal"/>
      </w:pPr>
      <w:r>
        <w:lastRenderedPageBreak/>
        <w:t>3. La doctrina que se ha dejado sin efecto afirmaba dos cosas: “que no hay garantía efectiva del derecho a la libertad sin una mediación judicial que controle la necesidad y proporcionalidad de la medida que le afecte” en la decisión que activó la extradición; y que cuando interviniera una autoridad pública no judicial, a la que la legislación del Estado requirente atribuyera participación en la administración de la justicia penal, como son las fiscalías, “demandará en todo caso la inexcusable concurrencia de una autoridad judicial incluso en aquellos casos en que sea incuestionable su independencia estructural del poder ejecutivo” (fundamento jurídico 3 de la STC 147/2021). Es decir, en la emisión de la extradición con fines procesales debería existir control judicial, único modo aceptable de entender que se ha respetado en el proceso penal de origen el canon del juicio de proporcionalidad para la restricción de la libertad personal del reclamado. Pues, la extradición es un procedimiento auxiliar del proceso penal que se sigue en el Estado requirente, sede en la que se acuerda la privación de libertad de la persona objeto de la reclamación. Y ello, al margen del marco regulador de la extradición, ya fuera un convenio bilateral o, en su ausencia, la Ley de extradición pasiva (4/1985, de 21 de marzo), criterio que en aquellas dos sentencias no jugaba papel alguno. Es una interpretación de la STC 147/2021 —también las sentencias son objeto de interpretación— la afirmación de que resultó relevante en la decisión la aplicabilidad de la Ley de extradición al no existir tratado con Angola, ley que exige la remisión del auto de procesamiento y prisión o de una resolución análoga. La argumentación de las dos sentencias que elaboraron la doctrina que ahora se abandona era de carácter constitucional y desde la perspectiva del encuadre que del objeto del recurso se había hecho en los derechos a la tutela judicial efectiva y al proceso con todas las garantías en relación con la libertad personal, de los art. 24.1 y 2 y 17 CE.</w:t>
      </w:r>
    </w:p>
    <w:p w14:paraId="4144A78D" w14:textId="77777777" w:rsidR="009D7677" w:rsidRDefault="009D7677" w:rsidP="009D7677">
      <w:pPr>
        <w:pStyle w:val="TextoNormal"/>
      </w:pPr>
    </w:p>
    <w:p w14:paraId="4B3BD44C" w14:textId="77777777" w:rsidR="009D7677" w:rsidRDefault="009D7677" w:rsidP="009D7677">
      <w:pPr>
        <w:pStyle w:val="TextoNormal"/>
      </w:pPr>
      <w:r>
        <w:t>4. La STC 17/2024, que ahora se aplica para desestimar el recurso, considera que la “garantía específica, consistente en que la solicitud venga refrendada por una autoridad judicial desde el mismo país de origen”, que ya no considera fundada en el derecho a la tutela judicial efectiva y a un proceso con todas las garantías en relación con la libertad personal (arts. 24.1 y 2 y 17 CE) sino en la Ley de extradición pasiva, “puede verse modulada en función de lo previsto en el convenio de extradición vigente entre las partes”, de tal modo que la “intermediación judicial puede dispensarse excepcionalmente cuando concurran” tres requisitos, a saber, que el convenio admita la emisión de la solicitud de entrega por parte de una autoridad no judicial, que se acredite su competencia en el asunto y que la documentación proporcione al juez español la información suficiente para verificar que la misma resulta necesaria y proporcionada. Nada se dice acerca de cómo en el sistema continental de extradición —donde el juez de ejecución no puede enjuiciar la racionalidad y suficiencia indiciaria de la persecución penal que se sigue en el otro Estado— se puede acometer esa tarea de “verificación judicial” ni la documentación que debiera soportarla.</w:t>
      </w:r>
    </w:p>
    <w:p w14:paraId="75216E53" w14:textId="77777777" w:rsidR="009D7677" w:rsidRDefault="009D7677" w:rsidP="009D7677">
      <w:pPr>
        <w:pStyle w:val="TextoNormal"/>
      </w:pPr>
    </w:p>
    <w:p w14:paraId="16F4A563" w14:textId="77777777" w:rsidR="009D7677" w:rsidRDefault="009D7677" w:rsidP="009D7677">
      <w:pPr>
        <w:pStyle w:val="TextoNormal"/>
      </w:pPr>
      <w:r>
        <w:t>Se trata, a mi juicio, de una degradación de los requerimientos constitucionales del procedimiento de extradición pasiva. Lo pone de manifiesto que la doctrina de la que discrepo mencione la intervención del juez, la garantía jurisdiccional, como mero “refrendo judicial” o “mediación judicial”, reduciendo la capacidad incisiva y de control que conlleva a lo que parece un acto de mera adhesión o convalidación.</w:t>
      </w:r>
    </w:p>
    <w:p w14:paraId="4D1567C9" w14:textId="77777777" w:rsidR="009D7677" w:rsidRDefault="009D7677" w:rsidP="009D7677">
      <w:pPr>
        <w:pStyle w:val="TextoNormal"/>
      </w:pPr>
    </w:p>
    <w:p w14:paraId="7AA96E21" w14:textId="77777777" w:rsidR="009D7677" w:rsidRDefault="009D7677" w:rsidP="009D7677">
      <w:pPr>
        <w:pStyle w:val="TextoNormal"/>
      </w:pPr>
      <w:r>
        <w:t xml:space="preserve">5. La constitucionalización de la extradición en el art. 13 CE es un dato de especial trascendencia. Porque supone la transformación de la institución desde el paradigma del </w:t>
      </w:r>
      <w:r>
        <w:lastRenderedPageBreak/>
        <w:t xml:space="preserve">respeto a la soberanía en las relaciones entre Estados, la lucha contra la impunidad y la facilitación del ejercicio de la potestad punitiva, a la inserción de la extradición pasiva en el Estado de Derecho, con la consecuencia de someterla a los límites y vínculos que representan los derechos fundamentales, y con el reconocimiento de un estatuto jurídico de la persona reclamada, que goza plenamente de los derechos fundamentales y, entre ellos, de la garantía jurisdiccional de su libertad personal. De manera que la función del procedimiento de extradición pasiva ya no puede ser la de facilitar la entrega de una persona a otro Estado que le reclama para juzgarle o que cumpla condena, sino la protección y el amparo de los derechos fundamentales de la persona, derechos humanos que forman parte del orden público internacional y del principio de legalidad extradicional. Es más, el Estado requerido no puede eludir su responsabilidad por las vulneraciones previsibles de los derechos humanos del extraditado que tengan lugar en el Estado requirente con posterioridad a la entrega (STEDH de 7 de julio de 1989, asunto </w:t>
      </w:r>
      <w:r w:rsidRPr="009D7677">
        <w:rPr>
          <w:i/>
        </w:rPr>
        <w:t>Soering c. Reino Unido</w:t>
      </w:r>
      <w:r>
        <w:t>, pár. 91, que ha propiciado la doctrina de la vulneración indirecta de los derechos fundamentales por la autoridad española que accediera a la entrega sin evaluar con el debido rigor los riesgos).</w:t>
      </w:r>
    </w:p>
    <w:p w14:paraId="13605EED" w14:textId="77777777" w:rsidR="009D7677" w:rsidRDefault="009D7677" w:rsidP="009D7677">
      <w:pPr>
        <w:pStyle w:val="TextoNormal"/>
      </w:pPr>
    </w:p>
    <w:p w14:paraId="10014813" w14:textId="77777777" w:rsidR="009D7677" w:rsidRDefault="009D7677" w:rsidP="009D7677">
      <w:pPr>
        <w:pStyle w:val="TextoNormal"/>
      </w:pPr>
      <w:r>
        <w:t>6. En este contexto de respeto y protección de los derechos fundamentales del reclamado, la exigencia de jurisdiccionalidad de la decisión del Estado de emisión de actuar la potestad de solicitar la entrega de un persona que se halla en España para perseguirle penalmente es una garantía mínima de protección de la libertad personal, porque condiciona de manera radical la capacidad del juez de la extradición pasiva para ejercer su función de guardián de los derechos fundamentales del extraditando y examinar la necesidad y proporcionalidad de la privación de libertad que provoca su admisión.</w:t>
      </w:r>
    </w:p>
    <w:p w14:paraId="78B2EA6B" w14:textId="77777777" w:rsidR="009D7677" w:rsidRDefault="009D7677" w:rsidP="009D7677">
      <w:pPr>
        <w:pStyle w:val="TextoNormal"/>
      </w:pPr>
    </w:p>
    <w:p w14:paraId="0D513016" w14:textId="77777777" w:rsidR="009D7677" w:rsidRDefault="009D7677" w:rsidP="009D7677">
      <w:pPr>
        <w:pStyle w:val="TextoNormal"/>
      </w:pPr>
      <w:r>
        <w:t xml:space="preserve">Es importante distinguir la extradición procesal que nos ocupa, con fines de persecución penal o de enjuiciamiento, de la extradición ejecutiva que tiene por objeto el cumplimiento de una pena, pues en este supuesto no se plantea problema de control judicial. Porque la tramitación de la extradición pasiva conlleva la privación de libertad del reclamado —en uno u otro momento, a veces desde que se recibe preventivamente la orden policial de detención y durante meses—, sin que el Estado requerido pueda entrar a valorar en el sistema continental, al que responde nuestro modelo, si la persecución penal está suficientemente fundada, si está indiciariamente justificada, si persigue un fin legítimo, si es adecuada al mencionado fin, necesaria y estrictamente proporcionada y, por lo tanto, se puede descartar que sea una decisión arbitraria. El juicio cautelar o </w:t>
      </w:r>
      <w:r w:rsidRPr="009D7677">
        <w:rPr>
          <w:i/>
        </w:rPr>
        <w:t>prima facie</w:t>
      </w:r>
      <w:r>
        <w:t xml:space="preserve"> del juez de ejecución de la extradición pasiva tiene un ámbito muy limitado. De ahí que resulte imprescindible a efectos de otorgar legitimidad al proceso que se implante la garantía jurisdiccional en algún momento del planteamiento de la petición extradicional, ya sea al emitir la orden de detención internacional o en la formulación de la demanda de entrega, por la escasa capacidad de la intervención judicial en sede de ejecución que no puede remediar la ausencia de la garantía en la petición de cooperación. Aquí, de manera evidente, la jurisdiccionalidad de la decisión funciona como garantía de libertad y como prevención frente a persecuciones arbitrarias.</w:t>
      </w:r>
    </w:p>
    <w:p w14:paraId="08135C72" w14:textId="77777777" w:rsidR="009D7677" w:rsidRDefault="009D7677" w:rsidP="009D7677">
      <w:pPr>
        <w:pStyle w:val="TextoNormal"/>
      </w:pPr>
    </w:p>
    <w:p w14:paraId="4F8605E0" w14:textId="77777777" w:rsidR="009D7677" w:rsidRDefault="009D7677" w:rsidP="009D7677">
      <w:pPr>
        <w:pStyle w:val="TextoNormal"/>
      </w:pPr>
      <w:r>
        <w:t xml:space="preserve">7. Buena demostración de la imposibilidad de llevar a cabo la tercera exigencia que establece la nueva doctrina (que la solicitud y la documentación proporcionen información suficiente para verificar que la misma resulta necesaria y proporcionada) a la vista de los requerimientos documentales de la extradición que —de manera homogénea establecen, </w:t>
      </w:r>
      <w:r>
        <w:lastRenderedPageBreak/>
        <w:t xml:space="preserve">en este punto, la ley y los convenios bilaterales— es que nuestras sentencias, en aquel recurso de amparo y en estos a los que se aplica, se limiten a afirmar apodícticamente que la orden de detención y la solicitud de extradición del fiscal del Estado de emisión contienen una exposición circunstanciada de los hechos imputados, de la calificación jurídica y de las diligencias de investigación “en términos que no permiten poner en duda la necesidad y proporcionalidad de su decisión”. Necesidad y proporcionalidad que no se suponen, sino que deben ser la conclusión del juicio que demandan. Además, sobre una decisión que implica la privación de libertad de la persona reclamada. No creo que un acta forense que ofrece sencillamente un relato de hechos y la tipificación de las conductas permita al juez de la extradición pasiva efectuar el control que requiere la garantía jurisdiccional, en esta sede, de la limitación del derecho a la libertad personal. La garantía jurisdiccional ha quedado desactivada, el juez no puede realizar un verdadero control de proporcionalidad de la privación de libertad del reclamado que proteja a la persona de decisiones arbitrarias (STEDH de 24 de marzo de 2015, asunto </w:t>
      </w:r>
      <w:r w:rsidRPr="009D7677">
        <w:rPr>
          <w:i/>
        </w:rPr>
        <w:t>Gallardo Sánchez c. Italia</w:t>
      </w:r>
      <w:r>
        <w:t>, pár. 39).</w:t>
      </w:r>
    </w:p>
    <w:p w14:paraId="7BB07C4C" w14:textId="77777777" w:rsidR="009D7677" w:rsidRDefault="009D7677" w:rsidP="009D7677">
      <w:pPr>
        <w:pStyle w:val="TextoNormal"/>
      </w:pPr>
    </w:p>
    <w:p w14:paraId="79489851" w14:textId="77777777" w:rsidR="009D7677" w:rsidRDefault="009D7677" w:rsidP="009D7677">
      <w:pPr>
        <w:pStyle w:val="TextoNormal"/>
      </w:pPr>
      <w:r>
        <w:t>8. Por último, solo dejar constancia en el plano de análisis de legalidad ordinaria en que se desenvuelve la sentencia de la que discrepo, que si cierto es que el art. 12 a) del Convenio bilateral de extradición no exige resolución judicial para la reclamación cautelar, puede entenderse que va de suyo porque la norma prevé en su art. 1 el compromiso de las partes de entregarse recíprocamente a las personas que se encuentren en su territorio y “sean procesadas por un delito”, requerimiento que reproduce en el art. 2.1 al establecer los principios del mínimo punitivo y de doble incriminación (“[s]erán objeto de extradición […] [l]as personas que sean procesadas por hechos que, según las legislaciones de los dos Estados, estén castigados con una pena privativa de libertad de dos años de duración como mínimo”). El tenor literal del texto identifica una institución, la del procesamiento, que en nuestro ordenamiento jurídico remite al intérprete a una resolución judicial que formaliza la imputación, no a la decisión de una autoridad no jurisdiccional. Por lo tanto, no se puede descartar que el convenio no obligue a la intervención del juez en algún momento de la emisión del pedido extradicional.</w:t>
      </w:r>
    </w:p>
    <w:p w14:paraId="69F4D28B" w14:textId="77777777" w:rsidR="009D7677" w:rsidRDefault="009D7677" w:rsidP="009D7677">
      <w:pPr>
        <w:pStyle w:val="TextoNormal"/>
      </w:pPr>
    </w:p>
    <w:p w14:paraId="19521488" w14:textId="77777777" w:rsidR="009D7677" w:rsidRDefault="009D7677" w:rsidP="009D7677">
      <w:pPr>
        <w:pStyle w:val="TextoNormal"/>
      </w:pPr>
      <w:r>
        <w:t>Y en este sentido emito mi voto particular.</w:t>
      </w:r>
    </w:p>
    <w:p w14:paraId="46469D6D" w14:textId="77777777" w:rsidR="009D7677" w:rsidRDefault="009D7677" w:rsidP="009D7677">
      <w:pPr>
        <w:pStyle w:val="TextoNormal"/>
      </w:pPr>
    </w:p>
    <w:p w14:paraId="483FA2BE" w14:textId="1E1247B9" w:rsidR="009D7677" w:rsidRDefault="009D7677" w:rsidP="009D7677">
      <w:pPr>
        <w:pStyle w:val="TextoNormal"/>
      </w:pPr>
      <w:r>
        <w:t>Madrid, a once de marzo de dos mil veinticuatro.</w:t>
      </w:r>
    </w:p>
    <w:p w14:paraId="1179EE83" w14:textId="0DBFBF28" w:rsidR="009D7677" w:rsidRDefault="009D7677">
      <w:pPr>
        <w:spacing w:after="160" w:line="259" w:lineRule="auto"/>
        <w:rPr>
          <w:rFonts w:ascii="Times New Roman" w:eastAsia="Times New Roman" w:hAnsi="Times New Roman" w:cs="Times New Roman"/>
          <w:sz w:val="24"/>
          <w:szCs w:val="24"/>
          <w:lang w:eastAsia="es-ES"/>
        </w:rPr>
      </w:pPr>
      <w:r>
        <w:br w:type="page"/>
      </w:r>
    </w:p>
    <w:p w14:paraId="102EAAB2" w14:textId="77777777" w:rsidR="009D7677" w:rsidRDefault="009D7677" w:rsidP="009D7677">
      <w:pPr>
        <w:pStyle w:val="TtuloResolucin"/>
      </w:pPr>
      <w:bookmarkStart w:id="40" w:name="SENTENCIA_2024_38"/>
      <w:r>
        <w:lastRenderedPageBreak/>
        <w:t>SENTENCIA 38/2024, de 11 de marzo de 2024</w:t>
      </w:r>
    </w:p>
    <w:bookmarkEnd w:id="40"/>
    <w:p w14:paraId="4D19AE07" w14:textId="77777777" w:rsidR="009D7677" w:rsidRDefault="009D7677" w:rsidP="009D7677">
      <w:pPr>
        <w:pStyle w:val="TtuloResolucin"/>
      </w:pPr>
      <w:r>
        <w:t>Sala Segunda</w:t>
      </w:r>
    </w:p>
    <w:p w14:paraId="09156E92" w14:textId="77777777" w:rsidR="009D7677" w:rsidRDefault="009D7677" w:rsidP="009D7677">
      <w:pPr>
        <w:pStyle w:val="TtuloBOE"/>
      </w:pPr>
      <w:r>
        <w:t>(BOE núm. 99, de 23 de abril de 2024)</w:t>
      </w:r>
    </w:p>
    <w:p w14:paraId="0FD4459A" w14:textId="77777777" w:rsidR="009D7677" w:rsidRDefault="009D7677" w:rsidP="009D7677">
      <w:pPr>
        <w:pStyle w:val="TextoNormalCentrado"/>
      </w:pPr>
      <w:r>
        <w:t>ECLI:ES:TC:2024:38</w:t>
      </w:r>
    </w:p>
    <w:p w14:paraId="1C5616C9" w14:textId="2DB4E57A" w:rsidR="009D7677" w:rsidRDefault="009D7677" w:rsidP="009D7677">
      <w:pPr>
        <w:pStyle w:val="TextoNormalCentrado"/>
      </w:pPr>
    </w:p>
    <w:p w14:paraId="3F6F63B0" w14:textId="77777777" w:rsidR="009D7677" w:rsidRDefault="009D7677" w:rsidP="009D7677">
      <w:pPr>
        <w:pStyle w:val="SntesisDescriptiva"/>
      </w:pPr>
      <w:r>
        <w:t>Recurso de amparo 1430-2022. Promovido por doña María Teresa Fernández Shaw Navarro y doña Lucía Carlota Siloniz Fernández Shaw en relación con las resoluciones dictadas por un juzgado de primera instancia e instrucción de El Puerto de Santa María (Cádiz) en procedimiento hipotecario.</w:t>
      </w:r>
    </w:p>
    <w:p w14:paraId="1C096C63" w14:textId="15C19B4C" w:rsidR="009D7677" w:rsidRDefault="009D7677" w:rsidP="009D7677">
      <w:pPr>
        <w:pStyle w:val="SntesisDescriptiva"/>
      </w:pPr>
    </w:p>
    <w:p w14:paraId="0F7BDB74" w14:textId="77777777" w:rsidR="009D7677" w:rsidRDefault="009D7677" w:rsidP="009D7677">
      <w:pPr>
        <w:pStyle w:val="SntesisAnaltica"/>
      </w:pPr>
      <w:r>
        <w:t>Vulneración del derecho a la tutela judicial efectiva (motivación): ausencia de control judicial de las cláusulas abusivas que ignora la primacía del Derecho de la Unión Europea, en los términos de la STC 31/2019 (STC 26/2023).</w:t>
      </w:r>
    </w:p>
    <w:p w14:paraId="45FE94DA" w14:textId="52A1425D" w:rsidR="009D7677" w:rsidRDefault="009D7677" w:rsidP="009D7677">
      <w:pPr>
        <w:pStyle w:val="SntesisAnaltica"/>
      </w:pPr>
    </w:p>
    <w:p w14:paraId="0FDFEBD1" w14:textId="204EA7C6" w:rsidR="009D7677" w:rsidRDefault="009D7677" w:rsidP="009D7677">
      <w:pPr>
        <w:pStyle w:val="Extracto"/>
      </w:pPr>
      <w:r>
        <w:t>1.</w:t>
      </w:r>
      <w:r>
        <w:tab/>
        <w:t>Aplicación de la doctrina que insta a los órganos judiciales al control del eventual carácter abusivo del clausulado de los contratos de préstamo con garantía hipotecaria (STC 31/2019), en línea con lo dispuesto en la Directiva 93/13/CEE, del Consejo, de 5 de abril, sobre cláusulas abusivas en los contratos celebrados con consumidores, y en la STJUE de 26 de enero de 2017, Asunto Banco Primus, S.A. v. Jesús Gutiérrez García (asunto C-421/14) [FJ 3].</w:t>
      </w:r>
    </w:p>
    <w:p w14:paraId="4B36EE7F" w14:textId="77777777" w:rsidR="009D7677" w:rsidRDefault="009D7677" w:rsidP="009D7677">
      <w:pPr>
        <w:pStyle w:val="Extracto"/>
      </w:pPr>
    </w:p>
    <w:p w14:paraId="600977B9" w14:textId="77777777" w:rsidR="009D7677" w:rsidRDefault="009D7677" w:rsidP="009D7677">
      <w:pPr>
        <w:pStyle w:val="Extracto"/>
      </w:pPr>
    </w:p>
    <w:p w14:paraId="37C10DB7" w14:textId="77777777" w:rsidR="009D7677" w:rsidRDefault="009D7677" w:rsidP="009D7677">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2D20C5F0" w14:textId="51D6C7EF" w:rsidR="009D7677" w:rsidRDefault="009D7677" w:rsidP="009D7677">
      <w:pPr>
        <w:pStyle w:val="TextoNormal"/>
      </w:pPr>
    </w:p>
    <w:p w14:paraId="41E28152" w14:textId="77777777" w:rsidR="009D7677" w:rsidRDefault="009D7677" w:rsidP="009D7677">
      <w:pPr>
        <w:pStyle w:val="TextoNormalCentrado"/>
        <w:keepNext/>
      </w:pPr>
      <w:r>
        <w:t>EN NOMBRE DEL REY</w:t>
      </w:r>
    </w:p>
    <w:p w14:paraId="11A25203" w14:textId="1B31003A" w:rsidR="009D7677" w:rsidRDefault="009D7677" w:rsidP="009D7677">
      <w:pPr>
        <w:pStyle w:val="TextoNormalCentrado"/>
        <w:keepNext/>
      </w:pPr>
    </w:p>
    <w:p w14:paraId="5EE3B0CF" w14:textId="77777777" w:rsidR="009D7677" w:rsidRDefault="009D7677" w:rsidP="009D7677">
      <w:pPr>
        <w:pStyle w:val="TextoNormalCentrado"/>
        <w:keepNext/>
      </w:pPr>
    </w:p>
    <w:p w14:paraId="5646D2D6" w14:textId="77777777" w:rsidR="009D7677" w:rsidRDefault="009D7677" w:rsidP="009D7677">
      <w:pPr>
        <w:pStyle w:val="TextoNormal"/>
      </w:pPr>
      <w:r>
        <w:t>la siguiente</w:t>
      </w:r>
    </w:p>
    <w:p w14:paraId="787CD53A" w14:textId="680D035C" w:rsidR="009D7677" w:rsidRDefault="009D7677" w:rsidP="009D7677">
      <w:pPr>
        <w:pStyle w:val="TextoNormal"/>
      </w:pPr>
    </w:p>
    <w:p w14:paraId="6EC32BA7" w14:textId="77777777" w:rsidR="009D7677" w:rsidRDefault="009D7677" w:rsidP="009D7677">
      <w:pPr>
        <w:pStyle w:val="TextoNormalCentrado"/>
        <w:keepNext/>
      </w:pPr>
      <w:r>
        <w:t>SENTENCIA</w:t>
      </w:r>
    </w:p>
    <w:p w14:paraId="34FA254D" w14:textId="7B75BC3B" w:rsidR="009D7677" w:rsidRDefault="009D7677" w:rsidP="009D7677">
      <w:pPr>
        <w:pStyle w:val="TextoNormalCentrado"/>
        <w:keepNext/>
      </w:pPr>
    </w:p>
    <w:p w14:paraId="1D88DC75" w14:textId="77777777" w:rsidR="009D7677" w:rsidRDefault="009D7677" w:rsidP="009D7677">
      <w:pPr>
        <w:pStyle w:val="TextoNormal"/>
      </w:pPr>
      <w:r>
        <w:t>En el recurso de amparo núm. 1430-2022, promovido por doña María Teresa Fernández Shaw Navarro y doña Lucía Carlota Siloniz Fernández Shaw, contra la providencia de 2 de febrero de 2022, dictada por el Juzgado de Primera Instancia e Instrucción núm. 5 de El Puerto de Santa María, que inadmitió el incidente de nulidad promovido por las demandantes de amparo. Ha comparecido y formulado alegaciones el Banco Santander, S.A. Ha intervenido el Ministerio Fiscal. Ha sido ponente el magistrado don César Tolosa Tribiño.</w:t>
      </w:r>
    </w:p>
    <w:p w14:paraId="58F40A8D" w14:textId="328E70C4" w:rsidR="009D7677" w:rsidRDefault="009D7677" w:rsidP="009D7677">
      <w:pPr>
        <w:pStyle w:val="TextoNormal"/>
      </w:pPr>
    </w:p>
    <w:p w14:paraId="5CA3A05F" w14:textId="77777777" w:rsidR="009D7677" w:rsidRDefault="009D7677" w:rsidP="009D7677">
      <w:pPr>
        <w:pStyle w:val="TextoNormalNegritaCentrado"/>
        <w:keepNext/>
      </w:pPr>
      <w:r>
        <w:t>I. Antecedentes</w:t>
      </w:r>
    </w:p>
    <w:p w14:paraId="2830A7B0" w14:textId="6D9DDFE7" w:rsidR="009D7677" w:rsidRDefault="009D7677" w:rsidP="009D7677">
      <w:pPr>
        <w:pStyle w:val="TextoNormalNegritaCentrado"/>
        <w:keepNext/>
      </w:pPr>
    </w:p>
    <w:p w14:paraId="74223884" w14:textId="050FD4BF" w:rsidR="009D7677" w:rsidRDefault="009D7677" w:rsidP="009D7677">
      <w:pPr>
        <w:pStyle w:val="TextoNormal"/>
      </w:pPr>
      <w:r w:rsidRPr="009D7677">
        <w:rPr>
          <w:rStyle w:val="NumeroAFNegritaCaracter"/>
        </w:rPr>
        <w:t>1</w:t>
      </w:r>
      <w:r>
        <w:t xml:space="preserve">. Mediante escrito registrado en este tribunal el día 3 de marzo de 2022, el procurador de los tribunales don Carlos Blanco Sánchez de Cueto, en nombre y representación de </w:t>
      </w:r>
      <w:r>
        <w:lastRenderedPageBreak/>
        <w:t>doña María Teresa Fernández Shaw Navarro y doña Lucía Carlota Siloniz Fernández Shaw, defendidas por el letrado don Juan José Ortiz Quevedo, interpusieron recurso de amparo contra la resolución judicial que se cita en el encabezamiento, por vulneración del derecho a la tutela judicial efectiva sin indefensión (art. 24.1 CE), en su vertiente del derecho a una resolución motivada y fundada en Derecho, así como en relación con el principio de primacía del Derecho de la Unión (arts. 10.2 y 96.1 CE) y el de seguridad jurídica (art. 9.3 CE), y el derecho a una vivienda digna (art. 47 CE).</w:t>
      </w:r>
    </w:p>
    <w:p w14:paraId="7156A20E" w14:textId="77777777" w:rsidR="009D7677" w:rsidRDefault="009D7677" w:rsidP="009D7677">
      <w:pPr>
        <w:pStyle w:val="TextoNormal"/>
      </w:pPr>
    </w:p>
    <w:p w14:paraId="3C8020E3" w14:textId="77777777" w:rsidR="009D7677" w:rsidRDefault="009D7677" w:rsidP="009D7677">
      <w:pPr>
        <w:pStyle w:val="TextoNormal"/>
      </w:pPr>
      <w:r w:rsidRPr="009D7677">
        <w:rPr>
          <w:rStyle w:val="NumeroAFNegritaCaracter"/>
        </w:rPr>
        <w:t>2</w:t>
      </w:r>
      <w:r>
        <w:t>. Los hechos relevantes para resolver el recurso de amparo interpuesto, son los siguientes:</w:t>
      </w:r>
    </w:p>
    <w:p w14:paraId="667D7CD4" w14:textId="77777777" w:rsidR="009D7677" w:rsidRDefault="009D7677" w:rsidP="009D7677">
      <w:pPr>
        <w:pStyle w:val="TextoNormal"/>
      </w:pPr>
    </w:p>
    <w:p w14:paraId="7EFB3544" w14:textId="77777777" w:rsidR="009D7677" w:rsidRDefault="009D7677" w:rsidP="009D7677">
      <w:pPr>
        <w:pStyle w:val="TextoNormal"/>
      </w:pPr>
      <w:r>
        <w:t>a) Con fecha 14 de julio de 2015, la entidad bancaria Banco Santander, S.A., presentó demanda de ejecución hipotecaria contra doña María Teresa Fernández Shaw Navarro, en su condición de prestataria deudora hipotecante, y doña Lucía Carlota Siloniz Fernández Shaw, en su condición de prestataria deudora no hipotecante, en relación con el préstamo hipotecario solicitado por ambas por cantidad de 310 000 €. Se constituyó garantía hipotecaria sobre la vivienda inscrita en el registro de la propiedad a nombre de doña María Teresa Fernández Shaw Navarro, dueña en pleno dominio, con carácter privativo y por título de compraventa. El préstamo hipotecario se elevó a escritura pública el 10 de noviembre de 2005 y fue objeto de dos novaciones modificativas posteriores: (i) por medio de escritura pública de novación modificativa de préstamo hipotecario, otorgada el 27 de marzo de 2009, se modificó el tipo de interés, se incluyó un periodo de carencia y se amplió el importe del préstamo; (ii) y por medio de escritura pública de novación modificativa de préstamo hipotecario, otorgada el 9 de diciembre de 2011, se amplió el importe inicial del préstamo y se modificó el periodo de carencia, siendo esta última escritura posteriormente aclarada por otra de fecha de 19 de abril de 2012.</w:t>
      </w:r>
    </w:p>
    <w:p w14:paraId="162B3946" w14:textId="77777777" w:rsidR="009D7677" w:rsidRDefault="009D7677" w:rsidP="009D7677">
      <w:pPr>
        <w:pStyle w:val="TextoNormal"/>
      </w:pPr>
    </w:p>
    <w:p w14:paraId="3F783C26" w14:textId="77777777" w:rsidR="009D7677" w:rsidRDefault="009D7677" w:rsidP="009D7677">
      <w:pPr>
        <w:pStyle w:val="TextoNormal"/>
      </w:pPr>
      <w:r>
        <w:t>Dicha demanda correspondió al Juzgado de Primera Instancia e Instrucción núm. 5 de El Puerto de Santa María, que la tramitó con el núm. 629-2015.</w:t>
      </w:r>
    </w:p>
    <w:p w14:paraId="0BF2AC40" w14:textId="77777777" w:rsidR="009D7677" w:rsidRDefault="009D7677" w:rsidP="009D7677">
      <w:pPr>
        <w:pStyle w:val="TextoNormal"/>
      </w:pPr>
    </w:p>
    <w:p w14:paraId="212FC5D0" w14:textId="77777777" w:rsidR="009D7677" w:rsidRDefault="009D7677" w:rsidP="009D7677">
      <w:pPr>
        <w:pStyle w:val="TextoNormal"/>
      </w:pPr>
      <w:r>
        <w:t>b) Por auto de 27 de julio de 2015, el juzgado despachó ejecución y se requirió de pago a las ejecutadas.</w:t>
      </w:r>
    </w:p>
    <w:p w14:paraId="4F2711F9" w14:textId="77777777" w:rsidR="009D7677" w:rsidRDefault="009D7677" w:rsidP="009D7677">
      <w:pPr>
        <w:pStyle w:val="TextoNormal"/>
      </w:pPr>
    </w:p>
    <w:p w14:paraId="79FBB5E9" w14:textId="77777777" w:rsidR="009D7677" w:rsidRDefault="009D7677" w:rsidP="009D7677">
      <w:pPr>
        <w:pStyle w:val="TextoNormal"/>
      </w:pPr>
      <w:r>
        <w:t>c) Mediante escrito presentado el 26 de octubre de 2015, la entidad Banco Santander, S.A., solicitó la convocatoria de la subasta pública, que se acordó por decreto de 15 de febrero de 2016.</w:t>
      </w:r>
    </w:p>
    <w:p w14:paraId="3EE6D1C1" w14:textId="77777777" w:rsidR="009D7677" w:rsidRDefault="009D7677" w:rsidP="009D7677">
      <w:pPr>
        <w:pStyle w:val="TextoNormal"/>
      </w:pPr>
    </w:p>
    <w:p w14:paraId="46BB4F8F" w14:textId="77777777" w:rsidR="009D7677" w:rsidRDefault="009D7677" w:rsidP="009D7677">
      <w:pPr>
        <w:pStyle w:val="TextoNormal"/>
      </w:pPr>
      <w:r>
        <w:t>d) En fecha de 12 de febrero de 2016 se personan en el procedimiento doña María Teresa Fernández Shaw Navarro y doña Lucía Carlota Siloniz Fernández Shaw, acordándose notificarles el decreto de convocatoria de subasta por diligencia de ordenación del secretario de justicia de 2 de mayo de 2016.</w:t>
      </w:r>
    </w:p>
    <w:p w14:paraId="50E8E4EA" w14:textId="77777777" w:rsidR="009D7677" w:rsidRDefault="009D7677" w:rsidP="009D7677">
      <w:pPr>
        <w:pStyle w:val="TextoNormal"/>
      </w:pPr>
    </w:p>
    <w:p w14:paraId="6FFA3F6B" w14:textId="77777777" w:rsidR="009D7677" w:rsidRDefault="009D7677" w:rsidP="009D7677">
      <w:pPr>
        <w:pStyle w:val="TextoNormal"/>
      </w:pPr>
      <w:r>
        <w:t>e) El 25 de octubre de 2016, seguidos los trámites pertinentes, se acordó anunciar la venta en pública subasta de la vivienda, concluyendo la misma en fecha de 11 de diciembre de 2017.</w:t>
      </w:r>
    </w:p>
    <w:p w14:paraId="6DC8AB10" w14:textId="77777777" w:rsidR="009D7677" w:rsidRDefault="009D7677" w:rsidP="009D7677">
      <w:pPr>
        <w:pStyle w:val="TextoNormal"/>
      </w:pPr>
    </w:p>
    <w:p w14:paraId="56D532B0" w14:textId="77777777" w:rsidR="009D7677" w:rsidRDefault="009D7677" w:rsidP="009D7677">
      <w:pPr>
        <w:pStyle w:val="TextoNormal"/>
      </w:pPr>
      <w:r>
        <w:t xml:space="preserve">f) Por decreto de 25 de marzo de 2019 se adjudicó al Banco Santander, S.A., el inmueble, haciéndole entrega del testimonio de la resolución que servirá de título bastante para </w:t>
      </w:r>
      <w:r>
        <w:lastRenderedPageBreak/>
        <w:t>su inscripción en el registro de la propiedad correspondiente, acordando asimismo poner al ejecutante en posesión de los bienes si ello fuera posible.</w:t>
      </w:r>
    </w:p>
    <w:p w14:paraId="2DD24816" w14:textId="77777777" w:rsidR="009D7677" w:rsidRDefault="009D7677" w:rsidP="009D7677">
      <w:pPr>
        <w:pStyle w:val="TextoNormal"/>
      </w:pPr>
    </w:p>
    <w:p w14:paraId="0FCBA930" w14:textId="77777777" w:rsidR="009D7677" w:rsidRDefault="009D7677" w:rsidP="009D7677">
      <w:pPr>
        <w:pStyle w:val="TextoNormal"/>
      </w:pPr>
      <w:r>
        <w:t>g) Por diligencia de ordenación de 2 de septiembre de 2019 se libró oficio al servicio común de notificaciones y embargos a fin de que por el mismo se proceda a señalar día y hora para la toma de posesión.</w:t>
      </w:r>
    </w:p>
    <w:p w14:paraId="4249E103" w14:textId="77777777" w:rsidR="009D7677" w:rsidRDefault="009D7677" w:rsidP="009D7677">
      <w:pPr>
        <w:pStyle w:val="TextoNormal"/>
      </w:pPr>
    </w:p>
    <w:p w14:paraId="0A6F5812" w14:textId="77777777" w:rsidR="009D7677" w:rsidRDefault="009D7677" w:rsidP="009D7677">
      <w:pPr>
        <w:pStyle w:val="TextoNormal"/>
      </w:pPr>
      <w:r>
        <w:t>h) Por escrito de 14 de enero de 2020 doña María Teresa Fernández Shaw Navarro y doña Lucía Carlota Siloniz Fernández Shaw promovieron incidente de nulidad de actuaciones sobre la base de la sentencia del Tribunal Constitucional de 28 de febrero de 2019 denunciando la abusividad de las cláusulas de intereses de demora y de vencimiento anticipado.</w:t>
      </w:r>
    </w:p>
    <w:p w14:paraId="466CCE48" w14:textId="77777777" w:rsidR="009D7677" w:rsidRDefault="009D7677" w:rsidP="009D7677">
      <w:pPr>
        <w:pStyle w:val="TextoNormal"/>
      </w:pPr>
    </w:p>
    <w:p w14:paraId="7E8468A4" w14:textId="0169AEA7" w:rsidR="009D7677" w:rsidRDefault="009D7677" w:rsidP="009D7677">
      <w:pPr>
        <w:pStyle w:val="TextoNormal"/>
      </w:pPr>
      <w:r>
        <w:t>i) Por providencia de 2 de febrero de 2022 se inadmite a trámite el incidente de nulidad de actuaciones sobre la base de los arts. 227 y 228 de la Ley de enjuiciamiento civil (LEC), fundamentando que “la parte ejecutada, esencialmente, alude a las deficiencias en el auto en el que se despacha la ejecución que fue dictado el día veintisiete de julio de dos mil quince. La parte pudo denunciar con anterioridad al planteamiento del presente incidente la supuesta vulneración de derechos fundamentales mediante el sistema de recursos frente las distintas resoluciones. Por todo ello no se admite el incidente de nulidad de actuaciones”.</w:t>
      </w:r>
    </w:p>
    <w:p w14:paraId="064DFC0C" w14:textId="77777777" w:rsidR="009D7677" w:rsidRDefault="009D7677" w:rsidP="009D7677">
      <w:pPr>
        <w:pStyle w:val="TextoNormal"/>
      </w:pPr>
    </w:p>
    <w:p w14:paraId="40BFC22E" w14:textId="77777777" w:rsidR="009D7677" w:rsidRDefault="009D7677" w:rsidP="009D7677">
      <w:pPr>
        <w:pStyle w:val="TextoNormal"/>
      </w:pPr>
      <w:r w:rsidRPr="009D7677">
        <w:rPr>
          <w:rStyle w:val="NumeroAFNegritaCaracter"/>
        </w:rPr>
        <w:t>3</w:t>
      </w:r>
      <w:r>
        <w:t>. En la demanda de amparo las recurrentes denuncian que la providencia de 2 de febrero de 2022 dictada por el Juzgado de Primera Instancia e Instrucción núm. 5 de El Puerto de Santa María infringe su derecho a la tutela judicial efectiva sin indefensión (art. 24.1 CE), y solicita su declaración de nulidad así como la retroacción de todas las actuaciones al momento procesal previo a su dictado para que el juzgado dicte otra resolución admitiendo el incidente de nulidad y se pronuncie sobre el posible carácter abusivo de la cláusulas cuestionadas.</w:t>
      </w:r>
    </w:p>
    <w:p w14:paraId="050399A4" w14:textId="77777777" w:rsidR="009D7677" w:rsidRDefault="009D7677" w:rsidP="009D7677">
      <w:pPr>
        <w:pStyle w:val="TextoNormal"/>
      </w:pPr>
    </w:p>
    <w:p w14:paraId="40BC6030" w14:textId="77777777" w:rsidR="009D7677" w:rsidRDefault="009D7677" w:rsidP="009D7677">
      <w:pPr>
        <w:pStyle w:val="TextoNormal"/>
      </w:pPr>
      <w:r>
        <w:t>a) La demanda comienza explicando los antecedentes fácticos del recurso, subrayando que el auto de 27 de julio de 2015 por el que se despacha ejecución hipotecaria no hace referencia alguna, ni siquiera tácita, a la existencia de cláusulas abusivas, no constando la realización de dicho control, ni tampoco se abrió el trámite de audiencia previsto en el art. 552 LEC. Igualmente se recoge el contenido del escrito presentado en fecha de 14 de enero de 2020, por el que se insta la nulidad de actuaciones, así como a la fundamentación que incorpora la providencia de 2 de febrero de 2022 para inadmitir a trámite su solicitud por su extemporaneidad, advirtiendo que esta providencia es dictada por quien no era el titular del juzgado emisor cuando se dictó el auto que despachaba la ejecución.</w:t>
      </w:r>
    </w:p>
    <w:p w14:paraId="72F986C1" w14:textId="77777777" w:rsidR="009D7677" w:rsidRDefault="009D7677" w:rsidP="009D7677">
      <w:pPr>
        <w:pStyle w:val="TextoNormal"/>
      </w:pPr>
    </w:p>
    <w:p w14:paraId="6726D472" w14:textId="77777777" w:rsidR="009D7677" w:rsidRDefault="009D7677" w:rsidP="009D7677">
      <w:pPr>
        <w:pStyle w:val="TextoNormal"/>
      </w:pPr>
      <w:r>
        <w:t xml:space="preserve">b) A continuación, dedica un apartado a la fundamentación jurídica, en el que desarrolla las razones por las cuales la inadmisión del incidente de nulidad de actuaciones vulnera el derecho a la tutela judicial efectiva sin indefensión (art. 24.1 CE) en su vertiente de derecho a una resolución motivada y fundada en Derecho, así como en relación con el principio de primacía del Derecho de la Unión (arts. 10.2 y 96.1 CE) y el de seguridad jurídica (art. 9.3 CE) y el derecho a una vivienda digna (art. 47 CE), al apartarse de la doctrina jurisprudencial emanada del Tribunal de Justicia de la Unión Europea, y de la doctrina sentada por la STC 31/2019, de 28 de febrero, con arreglo a las cuales la obligación de </w:t>
      </w:r>
      <w:r>
        <w:lastRenderedPageBreak/>
        <w:t>control de oficio por el órgano judicial del eventual abuso de las cláusulas, que únicamente se exceptúa en el caso de que el carácter abusivo hubiera sido examinado en un anterior control judicial, que no es el caso, “permitiéndose la oposición en cualquier momento antes del lanzamiento”.</w:t>
      </w:r>
    </w:p>
    <w:p w14:paraId="401F54D9" w14:textId="77777777" w:rsidR="009D7677" w:rsidRDefault="009D7677" w:rsidP="009D7677">
      <w:pPr>
        <w:pStyle w:val="TextoNormal"/>
      </w:pPr>
    </w:p>
    <w:p w14:paraId="212FFB4E" w14:textId="2433BE7A" w:rsidR="009D7677" w:rsidRDefault="009D7677" w:rsidP="009D7677">
      <w:pPr>
        <w:pStyle w:val="TextoNormal"/>
      </w:pPr>
      <w:r>
        <w:t>En este sentido advierte también que la inadmisión no se funda en el hecho de que en un estado anterior ya se hubiera examinado de oficio o a instancia de parte el posible carácter abusivo de las cláusulas contractuales cuestionadas, sino que se inadmite simplemente por extemporaneidad. En cualquier caso, no consta en ningún apartado del auto por el que se despacha la ejecución que se haya producido un examen del clausulado contractual, por lo que no se cumple el deber de motivación, con cita también de la STC 24/2021, de 15 de febrero.</w:t>
      </w:r>
    </w:p>
    <w:p w14:paraId="758867BF" w14:textId="77777777" w:rsidR="009D7677" w:rsidRDefault="009D7677" w:rsidP="009D7677">
      <w:pPr>
        <w:pStyle w:val="TextoNormal"/>
      </w:pPr>
    </w:p>
    <w:p w14:paraId="5FFDE098" w14:textId="77777777" w:rsidR="009D7677" w:rsidRDefault="009D7677" w:rsidP="009D7677">
      <w:pPr>
        <w:pStyle w:val="TextoNormal"/>
      </w:pPr>
      <w:r w:rsidRPr="009D7677">
        <w:rPr>
          <w:rStyle w:val="NumeroAFNegritaCaracter"/>
        </w:rPr>
        <w:t>4</w:t>
      </w:r>
      <w:r>
        <w:t>. La Sección Tercera de este Tribunal Constitucional, por providencia de 22 de mayo de 2023, acordó admitir a trámite el recurso de amparo, como consecuencia de que el órgano judicial pudiera haber incurrido en una negativa manifiesta del deber de acatamiento de la doctrina de este tribunal [STC 155/2009, de 25 de junio, FJ 2 f)].</w:t>
      </w:r>
    </w:p>
    <w:p w14:paraId="31168608" w14:textId="77777777" w:rsidR="009D7677" w:rsidRDefault="009D7677" w:rsidP="009D7677">
      <w:pPr>
        <w:pStyle w:val="TextoNormal"/>
      </w:pPr>
    </w:p>
    <w:p w14:paraId="79CCADF2" w14:textId="2070F8E4" w:rsidR="009D7677" w:rsidRDefault="009D7677" w:rsidP="009D7677">
      <w:pPr>
        <w:pStyle w:val="TextoNormal"/>
      </w:pPr>
      <w:r>
        <w:t>De conformidad con lo dispuesto en el art. 51 de la Ley Orgánica del Tribunal Constitucional (LOTC), acordó dirigir atenta comunicación al Juzgado de Primera Instancia e Instrucción núm. 5 de El Puerto de Santa María, a fin de que, en plazo que no exceda de diez días, remita certificación o fotocopia adverada de las actuaciones correspondientes a la ejecución hipotecaria núm. 629-2015; debiendo previamente emplazarse, para que en el plazo de diez días puedan comparecer, si lo desean, en el recurso de amparo a quienes hubieran sido parte en el procedimiento, excepto la parte recurrente en amparo. Finalmente, se acordó formar pieza separada para la tramitación de suspensión de la ejecución.</w:t>
      </w:r>
    </w:p>
    <w:p w14:paraId="59B54ACC" w14:textId="77777777" w:rsidR="009D7677" w:rsidRDefault="009D7677" w:rsidP="009D7677">
      <w:pPr>
        <w:pStyle w:val="TextoNormal"/>
      </w:pPr>
    </w:p>
    <w:p w14:paraId="6AF45C60" w14:textId="6DA66F10" w:rsidR="009D7677" w:rsidRDefault="009D7677" w:rsidP="009D7677">
      <w:pPr>
        <w:pStyle w:val="TextoNormal"/>
      </w:pPr>
      <w:r w:rsidRPr="009D7677">
        <w:rPr>
          <w:rStyle w:val="NumeroAFNegritaCaracter"/>
        </w:rPr>
        <w:t>5</w:t>
      </w:r>
      <w:r>
        <w:t>. Mediante providencia de la misma fecha se acordó formar pieza separada de suspensión y, de conformidad con lo previsto en el art. 56 LOTC, conceder un plazo común de tres días al Ministerio Fiscal y a la solicitante de amparo para que alegaran lo que estimasen pertinente en relación con la suspensión interesada. Una vez presentadas las alegaciones, la Sala Segunda de este tribunal, por ATC 600/2023, de 20 de noviembre, acordó la suspensión cautelar solicitada del procedimiento de ejecución hipotecaria núm. 629-2015, seguido en el Juzgado de Primera Instancia e Instrucción núm. 5 de El Puerto de Santa María.</w:t>
      </w:r>
    </w:p>
    <w:p w14:paraId="7E6D0299" w14:textId="77777777" w:rsidR="009D7677" w:rsidRDefault="009D7677" w:rsidP="009D7677">
      <w:pPr>
        <w:pStyle w:val="TextoNormal"/>
      </w:pPr>
    </w:p>
    <w:p w14:paraId="06FE0CA3" w14:textId="5B377F03" w:rsidR="009D7677" w:rsidRDefault="009D7677" w:rsidP="009D7677">
      <w:pPr>
        <w:pStyle w:val="TextoNormal"/>
      </w:pPr>
      <w:r w:rsidRPr="009D7677">
        <w:rPr>
          <w:rStyle w:val="NumeroAFNegritaCaracter"/>
        </w:rPr>
        <w:t>6</w:t>
      </w:r>
      <w:r>
        <w:t>. El 3 de octubre de 2023 se personó en el procedimiento el Banco Santander, S.A., solicitando que se la tenga por personada.</w:t>
      </w:r>
    </w:p>
    <w:p w14:paraId="4309F375" w14:textId="77777777" w:rsidR="009D7677" w:rsidRDefault="009D7677" w:rsidP="009D7677">
      <w:pPr>
        <w:pStyle w:val="TextoNormal"/>
      </w:pPr>
    </w:p>
    <w:p w14:paraId="3FE666A4" w14:textId="19EACB53" w:rsidR="009D7677" w:rsidRDefault="009D7677" w:rsidP="009D7677">
      <w:pPr>
        <w:pStyle w:val="TextoNormal"/>
      </w:pPr>
      <w:r w:rsidRPr="009D7677">
        <w:rPr>
          <w:rStyle w:val="NumeroAFNegritaCaracter"/>
        </w:rPr>
        <w:t>7</w:t>
      </w:r>
      <w:r>
        <w:t>. El secretario de justicia de la Sección Tercera de este tribunal dictó diligencia de ordenación de 11 de octubre de 2023 por la que se tuvo por personado y parte en el procedimiento al Banco Santander, S.A. Asimismo, en la misma diligencia acordó, a tenor de lo dispuesto en el art. 52.1 LOTC, que se diese vista de las actuaciones recibidas a las partes personadas y al Ministerio Fiscal por plazo común de veinte días para que, dentro de dicho término, pudieran presentar las alegaciones que estimasen pertinentes.</w:t>
      </w:r>
    </w:p>
    <w:p w14:paraId="5879C093" w14:textId="77777777" w:rsidR="009D7677" w:rsidRDefault="009D7677" w:rsidP="009D7677">
      <w:pPr>
        <w:pStyle w:val="TextoNormal"/>
      </w:pPr>
    </w:p>
    <w:p w14:paraId="43060514" w14:textId="2817EE06" w:rsidR="009D7677" w:rsidRDefault="009D7677" w:rsidP="009D7677">
      <w:pPr>
        <w:pStyle w:val="TextoNormal"/>
      </w:pPr>
      <w:r w:rsidRPr="009D7677">
        <w:rPr>
          <w:rStyle w:val="NumeroAFNegritaCaracter"/>
        </w:rPr>
        <w:lastRenderedPageBreak/>
        <w:t>8</w:t>
      </w:r>
      <w:r>
        <w:t>. La representación procesal de doña María Teresa Fernández Shaw Navarro y doña Lucía Carlota Siloniz Fernández Shaw presentó el 9 de noviembre de 2023 escrito por el que vuelve a denunciar la vulneración del derecho a la tutela judicial efectiva sin indefensión, haciendo mención a la STC 25/2021, de 15 de febrero, FJ 2, en el que también se rechazó que la mera declaración de extemporaneidad de la solicitud de control de abusividad de las cláusulas formulada en un incidente de nulidad, acompañado de la cita sin más de varios preceptos, cumpliera con la exigencia de motivación, así como la doctrina de la más reciente STC 23/2023, de 27 de marzo.</w:t>
      </w:r>
    </w:p>
    <w:p w14:paraId="2C5AA58C" w14:textId="77777777" w:rsidR="009D7677" w:rsidRDefault="009D7677" w:rsidP="009D7677">
      <w:pPr>
        <w:pStyle w:val="TextoNormal"/>
      </w:pPr>
    </w:p>
    <w:p w14:paraId="153D64BF" w14:textId="77777777" w:rsidR="009D7677" w:rsidRDefault="009D7677" w:rsidP="009D7677">
      <w:pPr>
        <w:pStyle w:val="TextoNormal"/>
      </w:pPr>
      <w:r w:rsidRPr="009D7677">
        <w:rPr>
          <w:rStyle w:val="NumeroAFNegritaCaracter"/>
        </w:rPr>
        <w:t>9</w:t>
      </w:r>
      <w:r>
        <w:t>. El 14 de noviembre de 2023 Banco Santander, S.A., presentó su escrito de alegaciones solicitando la desestimación del recurso de amparo con expresa imposición de costas a la parte recurrente.</w:t>
      </w:r>
    </w:p>
    <w:p w14:paraId="3616CCF6" w14:textId="77777777" w:rsidR="009D7677" w:rsidRDefault="009D7677" w:rsidP="009D7677">
      <w:pPr>
        <w:pStyle w:val="TextoNormal"/>
      </w:pPr>
    </w:p>
    <w:p w14:paraId="22145246" w14:textId="77777777" w:rsidR="009D7677" w:rsidRDefault="009D7677" w:rsidP="009D7677">
      <w:pPr>
        <w:pStyle w:val="TextoNormal"/>
      </w:pPr>
      <w:r>
        <w:t>A tal efecto comienza relatando los antecedentes del presente recurso de amparo, poniendo especialmente de manifiesto que si la ejecución se despachó mediante auto de 27 de julio de 2015, y las recurrentes se personaron en abril de 2016, no es hasta cuatro años después de la personación en autos, habiendo participado activamente en el procedimiento y habiendo sido notificados de todas las resoluciones y actos procesales, que denuncian la existencia de cláusulas abusivas, y en un momento en el que se ha celebrado la subasta, publicándose en el “Boletín Oficial del Estado” el 18 de noviembre de 2017, y en marzo de 2019 habiéndose tasado las costas y liquidado los intereses, se dicta decreto de adjudicación por importe igual al 70 por 100 del tipo de subasta estipulado en escritura para la finca adjudicada. En concreto, la oposición se formula tras la emisión el 2 de septiembre de 2019 de diligencia de ordenación en la que se acuerda librar oficio para señalar día y hora para la toma de posesión.</w:t>
      </w:r>
    </w:p>
    <w:p w14:paraId="55CFB5B8" w14:textId="77777777" w:rsidR="009D7677" w:rsidRDefault="009D7677" w:rsidP="009D7677">
      <w:pPr>
        <w:pStyle w:val="TextoNormal"/>
      </w:pPr>
    </w:p>
    <w:p w14:paraId="5872C0DD" w14:textId="77777777" w:rsidR="009D7677" w:rsidRDefault="009D7677" w:rsidP="009D7677">
      <w:pPr>
        <w:pStyle w:val="TextoNormal"/>
      </w:pPr>
      <w:r>
        <w:t>Tras estas precisiones explica que la inadmisión a trámite de la solicitud de nulidad de actuaciones por extemporánea es correcta, porque “a los efectos de toma de posesión, esta debe equipararse al momento en el que se dictó el auto o decreto de adjudicación, motivo por el cual, en este caso el presente procedimiento de ejecución hipotecaria estaría finalizado y no procedería su sobreseimiento ni archivo”.</w:t>
      </w:r>
    </w:p>
    <w:p w14:paraId="3AA9500D" w14:textId="77777777" w:rsidR="009D7677" w:rsidRDefault="009D7677" w:rsidP="009D7677">
      <w:pPr>
        <w:pStyle w:val="TextoNormal"/>
      </w:pPr>
    </w:p>
    <w:p w14:paraId="4985EA1B" w14:textId="77777777" w:rsidR="009D7677" w:rsidRDefault="009D7677" w:rsidP="009D7677">
      <w:pPr>
        <w:pStyle w:val="TextoNormal"/>
      </w:pPr>
      <w:r>
        <w:t>Para sustentar esta afirmación explica que la ejecución hipotecaria culmina con el dictado del decreto de adjudicación frente a la garantía real, y que si bien el art. 609 del Código civil (CC) determina que la propiedad se adquiere y transmite por ley, por donación, por sucesión testada e intestada, y por consecuencia de ciertos contratos mediante la tradición, sin embargo, el art. 1462, segundo párrafo CC, determina que “cuando la venta se haya hecho mediante escritura pública, su otorgamiento equivaldrá a la entrega física de la cosa objeto del contrato, si de la misma escritura no resultare o se dedujere claramente lo contrario”. Y al sustituirse en la ejecución judicial la escritura pública por el decreto de adjudicación, el Tribunal Supremo ha declarado (STS 414/2015, de 14 de julio) que la transmisión del bien se produce por el testimonio del secretario judicial del decreto de adjudicación, que comprende la resolución por la que se aprueba el remate y se expresa que se ha consignado el precio. Es decir, una vez dictado el decreto de adjudicación se entiende que se ha producido la entrega de la posesión al adquirente. Este planteamiento habría sido también acogido en la sentencia del pleno del Tribunal Supremo de 21 de enero de 2014.</w:t>
      </w:r>
    </w:p>
    <w:p w14:paraId="1FE00078" w14:textId="77777777" w:rsidR="009D7677" w:rsidRDefault="009D7677" w:rsidP="009D7677">
      <w:pPr>
        <w:pStyle w:val="TextoNormal"/>
      </w:pPr>
    </w:p>
    <w:p w14:paraId="55453CF1" w14:textId="7CE82327" w:rsidR="009D7677" w:rsidRDefault="009D7677" w:rsidP="009D7677">
      <w:pPr>
        <w:pStyle w:val="TextoNormal"/>
      </w:pPr>
      <w:r>
        <w:lastRenderedPageBreak/>
        <w:t>Transcribe finalmente la sentencia 16/2019, de 27 de febrero, de la Audiencia Provincial de Sevilla en la que se niega la posibilidad de llevar a cabo un control de abusividad de la cláusulas contractuales una vez finalizado el procedimiento de ejecución hipotecaria, esto es, una vez dictado el decreto de adjudicación pues con el mismo se transmite la propiedad del bien enajenado al adjudicatario, poniendo de manifiesto que no puede obviarse que la puesta en posesión de la finca a favor del adquirente y el lanzamiento de los ocupantes no es tan siquiera una diligencia necesaria del procedimiento de ejecución, conforme al art. 675 LEC, siendo una posibilidad que puede instar el adjudicatario pero que es absolutamente contingente.</w:t>
      </w:r>
    </w:p>
    <w:p w14:paraId="4DC4E531" w14:textId="77777777" w:rsidR="009D7677" w:rsidRDefault="009D7677" w:rsidP="009D7677">
      <w:pPr>
        <w:pStyle w:val="TextoNormal"/>
      </w:pPr>
    </w:p>
    <w:p w14:paraId="3EC7CB1B" w14:textId="77777777" w:rsidR="009D7677" w:rsidRDefault="009D7677" w:rsidP="009D7677">
      <w:pPr>
        <w:pStyle w:val="TextoNormal"/>
      </w:pPr>
      <w:r w:rsidRPr="009D7677">
        <w:rPr>
          <w:rStyle w:val="NumeroAFNegritaCaracter"/>
        </w:rPr>
        <w:t>10</w:t>
      </w:r>
      <w:r>
        <w:t>. El Ministerio Fiscal, dentro del plazo conferido al efecto, el 24 de noviembre de 2023, presentó sus alegaciones interesando la estimación del amparo solicitado. Tras exponer en el primer epígrafe los antecedentes de hecho, aborda en un segundo epígrafe las consideraciones jurídicas relativas al recurso de amparo.</w:t>
      </w:r>
    </w:p>
    <w:p w14:paraId="30720398" w14:textId="77777777" w:rsidR="009D7677" w:rsidRDefault="009D7677" w:rsidP="009D7677">
      <w:pPr>
        <w:pStyle w:val="TextoNormal"/>
      </w:pPr>
    </w:p>
    <w:p w14:paraId="3B73711C" w14:textId="77777777" w:rsidR="009D7677" w:rsidRDefault="009D7677" w:rsidP="009D7677">
      <w:pPr>
        <w:pStyle w:val="TextoNormal"/>
      </w:pPr>
      <w:r>
        <w:t>a) Comienza analizando el cumplimiento de los requisitos procesales que deben concurrir para admitir el recurso de amparo, en particular, el relativo al agotamiento de la vía judicial, dado que la providencia de inadmisión del incidente de nulidad de actuaciones no es susceptible de recurso, y el de denuncia de la vulneración del derecho fundamental en el procedimiento judicial, en la medida en que con arreglo a la doctrina sentada por este Tribunal Constitucional, y recogida en la STC 26/2023, de 17 de abril, cabe instar el control del carácter abusivo de una cláusula en cualquier momento.</w:t>
      </w:r>
    </w:p>
    <w:p w14:paraId="2F1A4519" w14:textId="77777777" w:rsidR="009D7677" w:rsidRDefault="009D7677" w:rsidP="009D7677">
      <w:pPr>
        <w:pStyle w:val="TextoNormal"/>
      </w:pPr>
    </w:p>
    <w:p w14:paraId="7D0CB589" w14:textId="77777777" w:rsidR="009D7677" w:rsidRDefault="009D7677" w:rsidP="009D7677">
      <w:pPr>
        <w:pStyle w:val="TextoNormal"/>
      </w:pPr>
      <w:r>
        <w:t>b) A continuación recuerda la vulneración que denuncian las recurrentes, y hace mención a la doctrina aplicable, tanto del Tribunal de Justicia de la Unión Europea como del Tribunal Constitucional.</w:t>
      </w:r>
    </w:p>
    <w:p w14:paraId="0C58A662" w14:textId="77777777" w:rsidR="009D7677" w:rsidRDefault="009D7677" w:rsidP="009D7677">
      <w:pPr>
        <w:pStyle w:val="TextoNormal"/>
      </w:pPr>
    </w:p>
    <w:p w14:paraId="46D12B6A" w14:textId="77777777" w:rsidR="009D7677" w:rsidRDefault="009D7677" w:rsidP="009D7677">
      <w:pPr>
        <w:pStyle w:val="TextoNormal"/>
      </w:pPr>
      <w:r>
        <w:t xml:space="preserve">En relación a la doctrina sentada por el Tribunal de Justicia de la Unión Europea, recuerda los postulados que se derivan tanto de la STJUE de 26 de enero de 2017, asunto </w:t>
      </w:r>
      <w:r w:rsidRPr="009D7677">
        <w:rPr>
          <w:i/>
        </w:rPr>
        <w:t>Banco Primus, S.A., c. Jesús Gutiérrez García</w:t>
      </w:r>
      <w:r>
        <w:t xml:space="preserve">, C-421/14, como la más reciente dictada el 17 de mayo de 2022, en el asunto </w:t>
      </w:r>
      <w:r w:rsidRPr="009D7677">
        <w:rPr>
          <w:i/>
        </w:rPr>
        <w:t>MA c</w:t>
      </w:r>
      <w:r>
        <w:t xml:space="preserve">. </w:t>
      </w:r>
      <w:r w:rsidRPr="009D7677">
        <w:rPr>
          <w:i/>
        </w:rPr>
        <w:t>Ibercaja Banco, S.A</w:t>
      </w:r>
      <w:r>
        <w:t>., C-600/19. Con arreglo a la primera el único límite para la revisión de las cláusulas abusivas sería la aplicación del principio de cosa juzgada, que impediría al juez nacional efectuar un nuevo examen del carácter abusivo de las cláusulas, habiendo el Tribunal de Justicia considerado en el segundo pronunciamiento que no podría garantizarse un control eficaz del eventual carácter abusivo de las cláusulas contractuales, si la fuerza de cosa juzgada se extendiera también a las resoluciones judiciales que no mencionan tal control.</w:t>
      </w:r>
    </w:p>
    <w:p w14:paraId="532485BF" w14:textId="77777777" w:rsidR="009D7677" w:rsidRDefault="009D7677" w:rsidP="009D7677">
      <w:pPr>
        <w:pStyle w:val="TextoNormal"/>
      </w:pPr>
    </w:p>
    <w:p w14:paraId="0144FA99" w14:textId="77777777" w:rsidR="009D7677" w:rsidRDefault="009D7677" w:rsidP="009D7677">
      <w:pPr>
        <w:pStyle w:val="TextoNormal"/>
      </w:pPr>
      <w:r>
        <w:t xml:space="preserve">También examina las sentencias de este tribunal en las que hemos declarado que nos corresponde velar por el respeto del principio de primacía del Derecho de la Unión cuando existe una interpretación auténtica efectuada por el Tribunal de Justicia citando las SSTC 101/2021, de 10 de mayo; 232/2015, de 5 de septiembre y 31/2019, de 28 de febrero. Respecto a esta última señala que se dejó sentado que «basta subrayar que la propia STJUE de 26 de enero de 2017 afirmó, en relación con las dudas de admisibilidad presentadas a las cuestiones prejudiciales, que “a la luz de la legislación nacional presentada por el órgano jurisdiccional remitente, el procedimiento de ejecución hipotecaria en cuestión no ha concluido y continúa hasta que el inmueble se ponga en posesión del adquirente, tal como confirmó el Gobierno español en sus observaciones escritas” (apartado 32), añadiendo que </w:t>
      </w:r>
      <w:r>
        <w:lastRenderedPageBreak/>
        <w:t>“la disposición transitoria cuarta de la Ley 1/2013 establece que dicha disposición es aplicable ‘a todo procedimiento ejecutivo que no haya culminado con la puesta en posesión del inmueble al adquirente’” (apartado 32)». Doctrina que es reiterada en posteriores sentencias de este tribunal, con cita de las SSTC 6/2022, de 24 de enero; 9/2022, de 7 de febrero; 44/2022, de 21 de marzo, y 141/2022, de 14 de noviembre.</w:t>
      </w:r>
    </w:p>
    <w:p w14:paraId="337B4E4B" w14:textId="77777777" w:rsidR="009D7677" w:rsidRDefault="009D7677" w:rsidP="009D7677">
      <w:pPr>
        <w:pStyle w:val="TextoNormal"/>
      </w:pPr>
    </w:p>
    <w:p w14:paraId="70CE4C4B" w14:textId="77777777" w:rsidR="009D7677" w:rsidRDefault="009D7677" w:rsidP="009D7677">
      <w:pPr>
        <w:pStyle w:val="TextoNormal"/>
      </w:pPr>
      <w:r>
        <w:t>Finalmente menciona la reciente STC 26/2023, de 27 de abril, FJ 3, en la que se compendia la doctrina establecida por el Tribunal Constitucional sobre la proyección que respecto del derecho a la tutela judicial efectiva del art. 24.1 CE tiene el deber de control de abusividad del clausulado de los títulos no judiciales en los procedimientos judiciales amparados por la Directiva 93/13/CEE sobre las cláusulas abusivas en los contratos celebrados con consumidores. Dicha sentencia se refiere, explica el fiscal, a la obligación que se impone al órgano judicial a realizar de oficio el necesario control, medie o no una petición del ejecutado, careciendo de relevancia el momento o el cauce procesal empleado para ello, lo cual puede realizarse hasta el momento en que concluya el procedimiento mediante la transmisión de los derechos de propiedad a un tercero. Y recoge que la única excepción con arreglo a la doctrina del Tribunal de Justicia para rechazar esta pretensión es que la cláusula ya hubiera sido examinada con anterioridad por el juez con la adopción de una resolución con fuerza de cosa juzgada, o se haya producido un acto de transmisión de la propiedad que pueda quedar afectado por el examen de la abusividad de la cláusula contractual, que también impediría dicho control conforme a la doctrina del Tribunal de Justicia.</w:t>
      </w:r>
    </w:p>
    <w:p w14:paraId="208E5CD6" w14:textId="77777777" w:rsidR="009D7677" w:rsidRDefault="009D7677" w:rsidP="009D7677">
      <w:pPr>
        <w:pStyle w:val="TextoNormal"/>
      </w:pPr>
    </w:p>
    <w:p w14:paraId="4D310FB9" w14:textId="77777777" w:rsidR="009D7677" w:rsidRDefault="009D7677" w:rsidP="009D7677">
      <w:pPr>
        <w:pStyle w:val="TextoNormal"/>
      </w:pPr>
      <w:r>
        <w:t xml:space="preserve">c) Tras el examen de la doctrina expuesta aborda su aplicación al caso concreto, y explica que en el presente supuesto no consta ninguna resolución en la que el órgano judicial haya procedido al examen de las cláusulas reguladoras del contrato de préstamo hipotecario, no pudiendo atribuir la fuerza de cosa juzgada a una resolución cuando haya una ausencia de motivación expresa sobre dicho control, con apoyo en la STJUE asunto </w:t>
      </w:r>
      <w:r w:rsidRPr="009D7677">
        <w:rPr>
          <w:i/>
        </w:rPr>
        <w:t>Ibercaja Banco</w:t>
      </w:r>
      <w:r>
        <w:t>. Tampoco ha concluido el procedimiento, y el incidente de nulidad es apto para efectuar la denuncia del carácter abusivo conforme a la STC 31/2019.</w:t>
      </w:r>
    </w:p>
    <w:p w14:paraId="020AD97C" w14:textId="77777777" w:rsidR="009D7677" w:rsidRDefault="009D7677" w:rsidP="009D7677">
      <w:pPr>
        <w:pStyle w:val="TextoNormal"/>
      </w:pPr>
    </w:p>
    <w:p w14:paraId="3A416A0B" w14:textId="1ED8E47E" w:rsidR="009D7677" w:rsidRDefault="009D7677" w:rsidP="009D7677">
      <w:pPr>
        <w:pStyle w:val="TextoNormal"/>
      </w:pPr>
      <w:r>
        <w:t>Por lo que concluye que se ha vulnerado el derecho fundamental a la tutela judicial efectiva sin indefensión (art. 24.1 CE) desde la perspectiva del acceso a la jurisdicción con la obtención de una resolución motivada y fundada en derecho.</w:t>
      </w:r>
    </w:p>
    <w:p w14:paraId="1D8E286B" w14:textId="77777777" w:rsidR="009D7677" w:rsidRDefault="009D7677" w:rsidP="009D7677">
      <w:pPr>
        <w:pStyle w:val="TextoNormal"/>
      </w:pPr>
    </w:p>
    <w:p w14:paraId="3D663BA8" w14:textId="160B6D55" w:rsidR="009D7677" w:rsidRDefault="009D7677" w:rsidP="009D7677">
      <w:pPr>
        <w:pStyle w:val="TextoNormal"/>
      </w:pPr>
      <w:r w:rsidRPr="009D7677">
        <w:rPr>
          <w:rStyle w:val="NumeroAFNegritaCaracter"/>
        </w:rPr>
        <w:t>11</w:t>
      </w:r>
      <w:r>
        <w:t>. Por providencia de 7 de marzo de 2024 se señaló para deliberación y votación de la presente sentencia el día 11 del mismo mes y año.</w:t>
      </w:r>
    </w:p>
    <w:p w14:paraId="4BDF946D" w14:textId="77777777" w:rsidR="009D7677" w:rsidRDefault="009D7677" w:rsidP="009D7677">
      <w:pPr>
        <w:pStyle w:val="TextoNormal"/>
      </w:pPr>
    </w:p>
    <w:p w14:paraId="4454296A" w14:textId="77777777" w:rsidR="009D7677" w:rsidRDefault="009D7677" w:rsidP="009D7677">
      <w:pPr>
        <w:pStyle w:val="TextoNormalNegritaCentrado"/>
        <w:keepNext/>
      </w:pPr>
      <w:r>
        <w:t>II. Fundamentos jurídicos</w:t>
      </w:r>
    </w:p>
    <w:p w14:paraId="5BDC5AB1" w14:textId="2F900D1F" w:rsidR="009D7677" w:rsidRDefault="009D7677" w:rsidP="009D7677">
      <w:pPr>
        <w:pStyle w:val="TextoNormalNegritaCentrado"/>
        <w:keepNext/>
      </w:pPr>
    </w:p>
    <w:p w14:paraId="6A8CD4B6" w14:textId="77777777" w:rsidR="009D7677" w:rsidRDefault="009D7677" w:rsidP="009D7677">
      <w:pPr>
        <w:pStyle w:val="TextoNormal"/>
      </w:pPr>
      <w:r w:rsidRPr="009D7677">
        <w:rPr>
          <w:rStyle w:val="NumeroAFNegritaCaracter"/>
        </w:rPr>
        <w:t>1</w:t>
      </w:r>
      <w:r>
        <w:t xml:space="preserve">. </w:t>
      </w:r>
      <w:r w:rsidRPr="009D7677">
        <w:rPr>
          <w:i/>
        </w:rPr>
        <w:t>Objeto del recurso de amparo y pretensiones de las partes</w:t>
      </w:r>
    </w:p>
    <w:p w14:paraId="3EA84F4F" w14:textId="77777777" w:rsidR="009D7677" w:rsidRDefault="009D7677" w:rsidP="009D7677">
      <w:pPr>
        <w:pStyle w:val="TextoNormal"/>
      </w:pPr>
    </w:p>
    <w:p w14:paraId="46486067" w14:textId="77777777" w:rsidR="009D7677" w:rsidRDefault="009D7677" w:rsidP="009D7677">
      <w:pPr>
        <w:pStyle w:val="TextoNormal"/>
      </w:pPr>
      <w:r>
        <w:t xml:space="preserve">a) La demanda de amparo denuncia que la providencia de 2 de febrero de 2022, dictada por el Juzgado de Primera Instancia e Instrucción núm. 5 de El Puerto de Santa María ha vulnerado su derecho a la tutela judicial efectiva (art. 24.1 CE) en su vertiente de derecho a una resolución motivada y fundada en Derecho, en la medida en que rehusó revisar las cláusulas de vencimiento anticipado y la de intereses de demora sin que tal decisión se </w:t>
      </w:r>
      <w:r>
        <w:lastRenderedPageBreak/>
        <w:t>fundara en el hecho de que, en un estado procesal anterior, hubiera ya examinado, de oficio o a instancia de parte, su posible carácter abusivo . Todo ello en relación con el principio de primacía del Derecho de la Unión (arts. 10.2 y 96.1 CE) y el de seguridad jurídica (art. 9.3 CE) y el derecho a una vivienda digna (art. 47 CE), al apartarse de la doctrina jurisprudencial emanada del Tribunal de Justicia de la Unión Europea, y de la doctrina sentada por la STC 31/2019, de 28 de febrero.</w:t>
      </w:r>
    </w:p>
    <w:p w14:paraId="64DB1B2A" w14:textId="77777777" w:rsidR="009D7677" w:rsidRDefault="009D7677" w:rsidP="009D7677">
      <w:pPr>
        <w:pStyle w:val="TextoNormal"/>
      </w:pPr>
    </w:p>
    <w:p w14:paraId="7A232E1A" w14:textId="77777777" w:rsidR="009D7677" w:rsidRDefault="009D7677" w:rsidP="009D7677">
      <w:pPr>
        <w:pStyle w:val="TextoNormal"/>
      </w:pPr>
      <w:r>
        <w:t>En el suplico las recurrentes instan de este tribunal que se reconozca la vulneración del derecho a la tutela judicial efectiva, y se declare la nulidad de la providencia de 2 de febrero de 2022, con retroacciones de actuaciones al momento inmediatamente anterior.</w:t>
      </w:r>
    </w:p>
    <w:p w14:paraId="21A2AF3A" w14:textId="77777777" w:rsidR="009D7677" w:rsidRDefault="009D7677" w:rsidP="009D7677">
      <w:pPr>
        <w:pStyle w:val="TextoNormal"/>
      </w:pPr>
    </w:p>
    <w:p w14:paraId="38C68D79" w14:textId="19A03A54" w:rsidR="009D7677" w:rsidRDefault="009D7677" w:rsidP="009D7677">
      <w:pPr>
        <w:pStyle w:val="TextoNormal"/>
      </w:pPr>
      <w:r>
        <w:t>b) La entidad Banco Santander, S.A., se ha opuesto al recurso de amparo fundamentando que no cabe la oposición de cláusulas abusivas una vez finalizado el procedimiento de ejecución hipotecaria, finalización que considera que concurría en este momento al haberse producido ya la transmisión de la propiedad del bien con el decreto de adjudicación, siendo ella la adjudicataria. El fiscal por su parte interesa la estimación del recurso de amparo motivando que con arreglo a la doctrina constitucional, con cita de la STC 26/2023, de 27 de abril, no concurren las excepciones que con arreglo a la doctrina del Tribunal de Justicia de la Unión Europea impiden dicho control de abusividad, esto es, que la cláusula ya hubiera sido examinada con anterioridad por el juez con la adopción de una resolución con fuerza de cosa juzgada, o que se haya producido un acto de transmisión de la propiedad que pueda quedar afectado por el examen de la abusividad de la cláusula contractual.</w:t>
      </w:r>
    </w:p>
    <w:p w14:paraId="63D51113" w14:textId="77777777" w:rsidR="009D7677" w:rsidRDefault="009D7677" w:rsidP="009D7677">
      <w:pPr>
        <w:pStyle w:val="TextoNormal"/>
      </w:pPr>
    </w:p>
    <w:p w14:paraId="5822441E" w14:textId="77777777" w:rsidR="009D7677" w:rsidRDefault="009D7677" w:rsidP="009D7677">
      <w:pPr>
        <w:pStyle w:val="TextoNormal"/>
      </w:pPr>
      <w:r w:rsidRPr="009D7677">
        <w:rPr>
          <w:rStyle w:val="NumeroAFNegritaCaracter"/>
        </w:rPr>
        <w:t>2</w:t>
      </w:r>
      <w:r>
        <w:t xml:space="preserve">. </w:t>
      </w:r>
      <w:r w:rsidRPr="009D7677">
        <w:rPr>
          <w:i/>
        </w:rPr>
        <w:t>El deber de controlar el carácter abusivo de las cláusulas contractuales en los procesos de ejecución</w:t>
      </w:r>
    </w:p>
    <w:p w14:paraId="3EC9BE86" w14:textId="77777777" w:rsidR="009D7677" w:rsidRDefault="009D7677" w:rsidP="009D7677">
      <w:pPr>
        <w:pStyle w:val="TextoNormal"/>
      </w:pPr>
    </w:p>
    <w:p w14:paraId="27BD58DE" w14:textId="77777777" w:rsidR="009D7677" w:rsidRDefault="009D7677" w:rsidP="009D7677">
      <w:pPr>
        <w:pStyle w:val="TextoNormal"/>
      </w:pPr>
      <w:r>
        <w:t>Desde la STC 31/2019, de 28 de febrero, este tribunal se ha pronunciado en multitud de ocasiones sobre la proyección que respecto del derecho a la tutela judicial efectiva (art. 24.1 CE) tiene el deber de control de abusividad del clausulado de los títulos no judiciales en los procedimientos de ejecución, conforme a las exigencias que derivan del Derecho de la Unión Europea (Directiva 93/13/CEE del Consejo, de 5 de abril de 1993, sobre las cláusulas abusivas en los contratos celebrados con consumidores y la jurisprudencia del Tribunal de Justicia de la Unión Europea), doctrina recientemente sintetizada en la STC 26/2023, de 17 de abril, en los siguientes puntos (recientemente reiterada en las SSTC 172/2023, de 11 de diciembre, y 27/2024, de 26 de febrero):</w:t>
      </w:r>
    </w:p>
    <w:p w14:paraId="75B7D074" w14:textId="77777777" w:rsidR="009D7677" w:rsidRDefault="009D7677" w:rsidP="009D7677">
      <w:pPr>
        <w:pStyle w:val="TextoNormal"/>
      </w:pPr>
    </w:p>
    <w:p w14:paraId="7D4DDDD0" w14:textId="77777777" w:rsidR="009D7677" w:rsidRDefault="009D7677" w:rsidP="009D7677">
      <w:pPr>
        <w:pStyle w:val="TextoNormal"/>
      </w:pPr>
      <w:r>
        <w:t>“a) Corresponde a este tribunal velar por el respeto del principio de primacía del Derecho de la Unión cuando exista una interpretación auténtica efectuada por el propio Tribunal de Justicia de la Unión Europea, de manera que el desconocimiento y preterición de una norma de Derecho de la Unión, tal y como ha sido interpretada por aquel, puede suponer una selección irrazonable y arbitraria de una norma aplicable al proceso, lo cual puede dar lugar a una vulneración del derecho a la tutela judicial efectiva. Asimismo, prescindir por propia, autónoma y exclusiva decisión del órgano judicial, de la interpretación de un precepto de una norma europea impuesta y señalada por el órgano competente para hacerlo con carácter vinculante, es decir, el Tribunal de Justicia de la Unión Europea, vulnera el principio de primacía del Derecho de la Unión Europea.</w:t>
      </w:r>
    </w:p>
    <w:p w14:paraId="470EF58A" w14:textId="77777777" w:rsidR="009D7677" w:rsidRDefault="009D7677" w:rsidP="009D7677">
      <w:pPr>
        <w:pStyle w:val="TextoNormal"/>
      </w:pPr>
    </w:p>
    <w:p w14:paraId="56CE565F" w14:textId="77777777" w:rsidR="009D7677" w:rsidRDefault="009D7677" w:rsidP="009D7677">
      <w:pPr>
        <w:pStyle w:val="TextoNormal"/>
      </w:pPr>
      <w:r>
        <w:lastRenderedPageBreak/>
        <w:t xml:space="preserve">b) El Tribunal de Justicia de la Unión Europea ha interpretado que la Directiva 93/13/CEE obliga al juez nacional a apreciar el eventual carácter abusivo de una cláusula cuando disponga de los elementos de hecho y de Derecho necesarios para ello, siempre que la cláusula denunciada no hubiera sido examinada previamente, examen que deberá llevar a cabo permitiendo que el consumidor pueda formular un incidente de oposición cumpliendo con lo que disponga la norma, lo que no exime de la obligación de control de oficio por el órgano judicial. A tal efecto, carece de relevancia el momento o el cauce procesal que se utilice para suscitar ante el órgano jurisdiccional esa cuestión, siempre que el procedimiento aún subsista. En la STJUE de 17 de mayo de 2022, asunto </w:t>
      </w:r>
      <w:r w:rsidRPr="009D7677">
        <w:rPr>
          <w:i/>
        </w:rPr>
        <w:t>Ibercaja Banco, S.A</w:t>
      </w:r>
      <w:r>
        <w:t>., el Tribunal de Justicia, respaldando la jurisprudencia constitucional anterior y reforzando la necesidad de motivación, también ha precisado que en un procedimiento de ejecución hipotecaria ya concluido en que los “derechos de propiedad respecto del bien han sido transmitidos a un tercero, el juez, actuando de oficio o a instancias del consumidor, ya no puede proceder a un examen del carácter abusivo de cláusulas contractuales que llevase a la anulación de los actos de transmisión de la propiedad y cuestionar la seguridad jurídica de la transmisión de la propiedad ya realizada frente a un tercero”.</w:t>
      </w:r>
    </w:p>
    <w:p w14:paraId="23F94CBC" w14:textId="77777777" w:rsidR="009D7677" w:rsidRDefault="009D7677" w:rsidP="009D7677">
      <w:pPr>
        <w:pStyle w:val="TextoNormal"/>
      </w:pPr>
    </w:p>
    <w:p w14:paraId="7F4A3218" w14:textId="77777777" w:rsidR="009D7677" w:rsidRDefault="009D7677" w:rsidP="009D7677">
      <w:pPr>
        <w:pStyle w:val="TextoNormal"/>
      </w:pPr>
      <w:r>
        <w:t>a) Desde la perspectiva del deber de motivación, hemos sostenido que la simple mención genérica de que la demanda cumple con los requisitos previstos en el art. 685 LEC y que el título es susceptible de ejecución es insuficiente a los efectos de considerar que, sin género de dudas, se realizó el previo control, máxime cuando de dicha argumentación se hará depender el acceso a un pronunciamiento de fondo al que el órgano judicial, de acuerdo con el Derecho de la Unión, debe proceder de oficio de haber razones para ello, pues mal se puede realizar un control —ni siquiera externo— de lo que carece de un razonamiento expreso.</w:t>
      </w:r>
    </w:p>
    <w:p w14:paraId="6F374F5B" w14:textId="77777777" w:rsidR="009D7677" w:rsidRDefault="009D7677" w:rsidP="009D7677">
      <w:pPr>
        <w:pStyle w:val="TextoNormal"/>
      </w:pPr>
    </w:p>
    <w:p w14:paraId="0C9D7325" w14:textId="77777777" w:rsidR="009D7677" w:rsidRDefault="009D7677" w:rsidP="009D7677">
      <w:pPr>
        <w:pStyle w:val="TextoNormal"/>
      </w:pPr>
      <w:r>
        <w:t>b) Este tribunal se ha manifestado en diversas ocasiones sobre el carácter idóneo del incidente de nulidad de actuaciones para que la parte ejecutada pueda solicitar del órgano judicial que se pronuncie sobre el carácter abusivo de una cláusula, supuesto en el que ha de producirse de manera motivada el obligado control por parte de los órganos jurisdiccionales del carácter abusivo de las cláusulas incorporadas a los contratos cuando fueran requeridos para efectuarlo por esta vía procesal, salvo, claro está, que ese examen se hubiese producido anteriormente de manera expresa y motivada.</w:t>
      </w:r>
    </w:p>
    <w:p w14:paraId="186E1B57" w14:textId="77777777" w:rsidR="009D7677" w:rsidRDefault="009D7677" w:rsidP="009D7677">
      <w:pPr>
        <w:pStyle w:val="TextoNormal"/>
      </w:pPr>
    </w:p>
    <w:p w14:paraId="23AD275C" w14:textId="68690AA6" w:rsidR="009D7677" w:rsidRDefault="009D7677" w:rsidP="009D7677">
      <w:pPr>
        <w:pStyle w:val="TextoNormal"/>
      </w:pPr>
      <w:r>
        <w:t>c) La necesidad de motivación de esos pronunciamientos, aparte de venir impuesta en el art. 120.3 CE es una exigencia derivada del art. 24.1 CE con el fin de que se puedan conocer las razones de la decisión que aquellas contienen, además de que el derecho a obtener una resolución fundada en Derecho, favorable o adversa, es garantía frente a la arbitrariedad e irrazonabilidad de los poderes públicos. Ello implica, en primer lugar, que la resolución ha de estar motivada, es decir, contener los elementos y razones de juicio que permitan conocer cuáles han sido los criterios jurídicos que fundamentan la decisión; y, en segundo lugar, que la motivación esté fundada en Derecho, carga que no queda cumplida con la mera emisión de una declaración de voluntad en un sentido u otro, sino que debe ser consecuencia de una exégesis racional del ordenamiento y no fruto de la arbitrariedad. En ese mismo sentido, el Tribunal de Justicia en la ya citada sentencia Ibercaja Banco, ha explicado que “no podría garantizarse un control eficaz del eventual carácter abusivo de las cláusulas contractuales […] si la fuerza de cosa juzgada se extendiera también a las resoluciones judiciales que no mencionan tal control”.</w:t>
      </w:r>
    </w:p>
    <w:p w14:paraId="10D5CB3E" w14:textId="77777777" w:rsidR="009D7677" w:rsidRDefault="009D7677" w:rsidP="009D7677">
      <w:pPr>
        <w:pStyle w:val="TextoNormal"/>
      </w:pPr>
    </w:p>
    <w:p w14:paraId="2ECDAE85" w14:textId="77777777" w:rsidR="009D7677" w:rsidRDefault="009D7677" w:rsidP="009D7677">
      <w:pPr>
        <w:pStyle w:val="TextoNormal"/>
      </w:pPr>
      <w:r w:rsidRPr="009D7677">
        <w:rPr>
          <w:rStyle w:val="NumeroAFNegritaCaracter"/>
        </w:rPr>
        <w:t>3</w:t>
      </w:r>
      <w:r>
        <w:t xml:space="preserve">. </w:t>
      </w:r>
      <w:r w:rsidRPr="009D7677">
        <w:rPr>
          <w:i/>
        </w:rPr>
        <w:t>Aplicación de la jurisprudencia constitucional</w:t>
      </w:r>
    </w:p>
    <w:p w14:paraId="3AEA80E2" w14:textId="77777777" w:rsidR="009D7677" w:rsidRDefault="009D7677" w:rsidP="009D7677">
      <w:pPr>
        <w:pStyle w:val="TextoNormal"/>
      </w:pPr>
    </w:p>
    <w:p w14:paraId="687C4595" w14:textId="77777777" w:rsidR="009D7677" w:rsidRDefault="009D7677" w:rsidP="009D7677">
      <w:pPr>
        <w:pStyle w:val="TextoNormal"/>
      </w:pPr>
      <w:r>
        <w:t>En el supuesto que nos ocupa la resolución impugnada motiva que aludiendo las recurrentes en el incidente de nulidad a las deficiencias del auto en el que se despacha ejecución, por referencia a la falta de examen del carácter abusivo de las cláusulas contractuales, la parte pudo denunciar con anterioridad dicha vulneración “mediante el sistema de recursos frente las distintas resoluciones”.</w:t>
      </w:r>
    </w:p>
    <w:p w14:paraId="7840A72E" w14:textId="77777777" w:rsidR="009D7677" w:rsidRDefault="009D7677" w:rsidP="009D7677">
      <w:pPr>
        <w:pStyle w:val="TextoNormal"/>
      </w:pPr>
    </w:p>
    <w:p w14:paraId="3A794F2A" w14:textId="4E9E56B4" w:rsidR="009D7677" w:rsidRDefault="009D7677" w:rsidP="009D7677">
      <w:pPr>
        <w:pStyle w:val="TextoNormal"/>
      </w:pPr>
      <w:r>
        <w:t>Atendiendo a la doctrina constitucional expuesta en el fundamento jurídico anterior, la resolución impugnada ha de considerarse vulneradora del derecho a la tutela judicial efectiva sin indefensión de las ejecutadas, ahora demandantes de amparo, en la vertiente de derecho a obtener una resolución motivada y fundada en Derecho, pues ha prescindido por su propia, autónoma y exclusiva voluntad de la interpretación impuesta y señalada por el órgano competente para hacerlo con carácter vinculante, incurriendo, por ello, en una interpretación irrazonable y arbitraria de la norma aplicable al proceso. Los órganos judiciales deben respetar la primacía del Derecho de la Unión Europea, en los términos que resultan de la jurisprudencia del Tribunal de Justicia de la Unión Europea, lo que implica la obligación de examinar, bien de oficio, bien a instancia de parte, tan pronto como disponga de los elementos de hecho y de derecho para ello. Una vez la cuestión se plantea por la parte ejecutada, el órgano judicial está obligado a darle una respuesta fundada, con independencia del momento y del cauce empleado para ello, salvo que el fundamento para rechazar la pretensión fuera que ya se había realizado previamente el control de oficio de las cláusulas impugnadas mediante una resolución con efecto de cosa juzgada, lo que no concurría en el procedimiento del que trae causa este recurso de amparo. Tampoco fundamenta la providencia recurrida en amparo que se haya producido un acto de transmisión de la propiedad que pueda quedar afectado por el examen de la abusividad de la cláusula controvertida y que también impediría dicho control conforme a la doctrina del Tribunal de Justicia a la que antes se ha hecho referencia.</w:t>
      </w:r>
    </w:p>
    <w:p w14:paraId="2BE85385" w14:textId="77777777" w:rsidR="009D7677" w:rsidRDefault="009D7677" w:rsidP="009D7677">
      <w:pPr>
        <w:pStyle w:val="TextoNormal"/>
      </w:pPr>
    </w:p>
    <w:p w14:paraId="76C776C0" w14:textId="77777777" w:rsidR="009D7677" w:rsidRDefault="009D7677" w:rsidP="009D7677">
      <w:pPr>
        <w:pStyle w:val="TextoNormal"/>
      </w:pPr>
      <w:r w:rsidRPr="009D7677">
        <w:rPr>
          <w:rStyle w:val="NumeroAFNegritaCaracter"/>
        </w:rPr>
        <w:t>4</w:t>
      </w:r>
      <w:r>
        <w:t xml:space="preserve">. </w:t>
      </w:r>
      <w:r w:rsidRPr="009D7677">
        <w:rPr>
          <w:i/>
        </w:rPr>
        <w:t>Efectos de la estimación del recurso</w:t>
      </w:r>
    </w:p>
    <w:p w14:paraId="3C414EC9" w14:textId="77777777" w:rsidR="009D7677" w:rsidRDefault="009D7677" w:rsidP="009D7677">
      <w:pPr>
        <w:pStyle w:val="TextoNormal"/>
      </w:pPr>
    </w:p>
    <w:p w14:paraId="7CB5A15C" w14:textId="77777777" w:rsidR="009D7677" w:rsidRDefault="009D7677" w:rsidP="009D7677">
      <w:pPr>
        <w:pStyle w:val="TextoNormal"/>
      </w:pPr>
      <w:r>
        <w:t>Como efectos derivados de la estimación de la queja de la demanda y con ella la del recurso interpuesto, procede, en primer lugar, declarar vulnerado el derecho a la tutela judicial efectiva de las recurrentes. En segundo término, acordar la nulidad de la providencia de 2 de febrero de 2022.</w:t>
      </w:r>
    </w:p>
    <w:p w14:paraId="0C541AB9" w14:textId="77777777" w:rsidR="009D7677" w:rsidRDefault="009D7677" w:rsidP="009D7677">
      <w:pPr>
        <w:pStyle w:val="TextoNormal"/>
      </w:pPr>
    </w:p>
    <w:p w14:paraId="3E6FEDCF" w14:textId="26B6731D" w:rsidR="009D7677" w:rsidRDefault="009D7677" w:rsidP="009D7677">
      <w:pPr>
        <w:pStyle w:val="TextoNormal"/>
      </w:pPr>
      <w:r>
        <w:t>Por último y a fin de reparar su derecho fundamental, se ordena la retroacción de actuaciones al momento inmediatamente anterior al del dictado de dicha resolución, para que el Juzgado de Primera Instancia núm. 5 de El Puerto de Santa María resuelva en los términos que se explicitan en el anterior fundamento jurídico.</w:t>
      </w:r>
    </w:p>
    <w:p w14:paraId="62B14C43" w14:textId="77777777" w:rsidR="009D7677" w:rsidRDefault="009D7677" w:rsidP="009D7677">
      <w:pPr>
        <w:pStyle w:val="TextoNormal"/>
      </w:pPr>
    </w:p>
    <w:p w14:paraId="7E63D5FE" w14:textId="77777777" w:rsidR="009D7677" w:rsidRDefault="009D7677" w:rsidP="009D7677">
      <w:pPr>
        <w:pStyle w:val="TextoNormalCentrado"/>
        <w:keepNext/>
      </w:pPr>
      <w:r>
        <w:t>FALLO</w:t>
      </w:r>
    </w:p>
    <w:p w14:paraId="6FF48637" w14:textId="12CDDB54" w:rsidR="009D7677" w:rsidRDefault="009D7677" w:rsidP="009D7677">
      <w:pPr>
        <w:pStyle w:val="TextoNormalCentrado"/>
        <w:keepNext/>
      </w:pPr>
    </w:p>
    <w:p w14:paraId="0B70DD22" w14:textId="77777777" w:rsidR="009D7677" w:rsidRDefault="009D7677" w:rsidP="009D7677">
      <w:pPr>
        <w:pStyle w:val="TextoNormal"/>
      </w:pPr>
      <w:r>
        <w:t>En atención a todo lo expuesto, el Tribunal Constitucional, por la autoridad que le confiere la Constitución de la Nación española, ha decidido estimar el recurso de amparo in</w:t>
      </w:r>
      <w:r>
        <w:lastRenderedPageBreak/>
        <w:t>terpuesto por doña María Teresa Fernández Shaw Navarro y doña Lucía Carlota Siloniz Fernández Shaw y, en consecuencia:</w:t>
      </w:r>
    </w:p>
    <w:p w14:paraId="48E77F87" w14:textId="77777777" w:rsidR="009D7677" w:rsidRDefault="009D7677" w:rsidP="009D7677">
      <w:pPr>
        <w:pStyle w:val="TextoNormal"/>
      </w:pPr>
    </w:p>
    <w:p w14:paraId="49290E52" w14:textId="77777777" w:rsidR="009D7677" w:rsidRDefault="009D7677" w:rsidP="009D7677">
      <w:pPr>
        <w:pStyle w:val="TextoNormal"/>
      </w:pPr>
      <w:r>
        <w:t>1º Declarar que ha sido vulnerado el derecho fundamental de las demandantes de amparo a la tutela judicial efectiva sin indefensión (art. 24.1 CE).</w:t>
      </w:r>
    </w:p>
    <w:p w14:paraId="631B8F5D" w14:textId="77777777" w:rsidR="009D7677" w:rsidRDefault="009D7677" w:rsidP="009D7677">
      <w:pPr>
        <w:pStyle w:val="TextoNormal"/>
      </w:pPr>
    </w:p>
    <w:p w14:paraId="62B4EE08" w14:textId="77777777" w:rsidR="009D7677" w:rsidRDefault="009D7677" w:rsidP="009D7677">
      <w:pPr>
        <w:pStyle w:val="TextoNormal"/>
      </w:pPr>
      <w:r>
        <w:t>2º Restablecerles en su derecho y, a tal fin, declarar la nulidad de la providencia de 2 de febrero de 2022 dictada por el Juzgado de Primera Instancia e Instrucción núm.5 de El Puerto de Santa María.</w:t>
      </w:r>
    </w:p>
    <w:p w14:paraId="2F799564" w14:textId="77777777" w:rsidR="009D7677" w:rsidRDefault="009D7677" w:rsidP="009D7677">
      <w:pPr>
        <w:pStyle w:val="TextoNormal"/>
      </w:pPr>
    </w:p>
    <w:p w14:paraId="3E51D516" w14:textId="4704057B" w:rsidR="009D7677" w:rsidRDefault="009D7677" w:rsidP="009D7677">
      <w:pPr>
        <w:pStyle w:val="TextoNormal"/>
      </w:pPr>
      <w:r>
        <w:t>3º Retrotraer las actuaciones al momento inmediatamente anterior al dictado de la primera de esas resoluciones para que el órgano judicial dicte una nueva resolución que sea respetuosa con el derecho fundamental vulnerado.</w:t>
      </w:r>
    </w:p>
    <w:p w14:paraId="0C5DBA01" w14:textId="77777777" w:rsidR="009D7677" w:rsidRDefault="009D7677" w:rsidP="009D7677">
      <w:pPr>
        <w:pStyle w:val="TextoNormal"/>
      </w:pPr>
    </w:p>
    <w:p w14:paraId="3077C200" w14:textId="77777777" w:rsidR="009D7677" w:rsidRDefault="009D7677" w:rsidP="009D7677">
      <w:pPr>
        <w:pStyle w:val="TextoNormal"/>
      </w:pPr>
      <w:r>
        <w:t>Publíquese esta sentencia en el “Boletín Oficial del Estado”.</w:t>
      </w:r>
    </w:p>
    <w:p w14:paraId="0994DBB8" w14:textId="77777777" w:rsidR="009D7677" w:rsidRDefault="009D7677" w:rsidP="009D7677">
      <w:pPr>
        <w:pStyle w:val="TextoNormal"/>
      </w:pPr>
      <w:r>
        <w:t>Dada en Madrid, a once de marzo de dos mil veinticuatro.</w:t>
      </w:r>
    </w:p>
    <w:p w14:paraId="41B39339" w14:textId="2123C781" w:rsidR="009D7677" w:rsidRDefault="009D7677">
      <w:pPr>
        <w:spacing w:after="160" w:line="259" w:lineRule="auto"/>
        <w:rPr>
          <w:rFonts w:ascii="Times New Roman" w:eastAsia="Times New Roman" w:hAnsi="Times New Roman" w:cs="Times New Roman"/>
          <w:sz w:val="24"/>
          <w:szCs w:val="24"/>
          <w:lang w:eastAsia="es-ES"/>
        </w:rPr>
      </w:pPr>
      <w:r>
        <w:br w:type="page"/>
      </w:r>
    </w:p>
    <w:p w14:paraId="1530AA77" w14:textId="77777777" w:rsidR="009D7677" w:rsidRDefault="009D7677" w:rsidP="009D7677">
      <w:pPr>
        <w:pStyle w:val="TtuloResolucin"/>
      </w:pPr>
      <w:bookmarkStart w:id="41" w:name="SENTENCIA_2024_39"/>
      <w:r>
        <w:lastRenderedPageBreak/>
        <w:t>SENTENCIA 39/2024, de 11 de marzo de 2024</w:t>
      </w:r>
    </w:p>
    <w:bookmarkEnd w:id="41"/>
    <w:p w14:paraId="0102716A" w14:textId="77777777" w:rsidR="009D7677" w:rsidRDefault="009D7677" w:rsidP="009D7677">
      <w:pPr>
        <w:pStyle w:val="TtuloResolucin"/>
      </w:pPr>
      <w:r>
        <w:t>Sala Segunda</w:t>
      </w:r>
    </w:p>
    <w:p w14:paraId="07B9ED78" w14:textId="77777777" w:rsidR="009D7677" w:rsidRDefault="009D7677" w:rsidP="009D7677">
      <w:pPr>
        <w:pStyle w:val="TtuloBOE"/>
      </w:pPr>
      <w:r>
        <w:t>(BOE núm. 99, de 23 de abril de 2024)</w:t>
      </w:r>
    </w:p>
    <w:p w14:paraId="00426815" w14:textId="77777777" w:rsidR="009D7677" w:rsidRDefault="009D7677" w:rsidP="009D7677">
      <w:pPr>
        <w:pStyle w:val="TextoNormalCentrado"/>
      </w:pPr>
      <w:r>
        <w:t>ECLI:ES:TC:2024:39</w:t>
      </w:r>
    </w:p>
    <w:p w14:paraId="2934C275" w14:textId="6814C7D0" w:rsidR="009D7677" w:rsidRDefault="009D7677" w:rsidP="009D7677">
      <w:pPr>
        <w:pStyle w:val="TextoNormalCentrado"/>
      </w:pPr>
    </w:p>
    <w:p w14:paraId="4EBB7077" w14:textId="77777777" w:rsidR="009D7677" w:rsidRDefault="009D7677" w:rsidP="009D7677">
      <w:pPr>
        <w:pStyle w:val="SntesisDescriptiva"/>
      </w:pPr>
      <w:r>
        <w:t>Recurso de amparo 3554-2022. Promovido por don Antonio Pérez Vázquez respecto de los autos dictados por la Audiencia Provincial de Cantabria y un juzgado de lo penal de Santander en ejecutoria penal.</w:t>
      </w:r>
    </w:p>
    <w:p w14:paraId="1DE26B9D" w14:textId="1247274D" w:rsidR="009D7677" w:rsidRDefault="009D7677" w:rsidP="009D7677">
      <w:pPr>
        <w:pStyle w:val="SntesisDescriptiva"/>
      </w:pPr>
    </w:p>
    <w:p w14:paraId="2898829D" w14:textId="77777777" w:rsidR="009D7677" w:rsidRDefault="009D7677" w:rsidP="009D7677">
      <w:pPr>
        <w:pStyle w:val="SntesisAnaltica"/>
      </w:pPr>
      <w:r>
        <w:t>Vulneración del derecho a la tutela judicial efectiva en relación con el derecho a la libertad personal: revocación de la suspensión de la pena de prisión al no haberse satisfecho la responsabilidad civil que no cumple las exigencias constitucionales de motivación (STC 32/2022).</w:t>
      </w:r>
    </w:p>
    <w:p w14:paraId="2374DE12" w14:textId="7A68FC00" w:rsidR="009D7677" w:rsidRDefault="009D7677" w:rsidP="009D7677">
      <w:pPr>
        <w:pStyle w:val="SntesisAnaltica"/>
      </w:pPr>
    </w:p>
    <w:p w14:paraId="58AE11DD" w14:textId="2045C8DE" w:rsidR="009D7677" w:rsidRDefault="009D7677" w:rsidP="009D7677">
      <w:pPr>
        <w:pStyle w:val="Extracto"/>
      </w:pPr>
      <w:r>
        <w:t>1.</w:t>
      </w:r>
      <w:r>
        <w:tab/>
        <w:t>Las resoluciones judiciales de revocación de la suspensión de la pena vulneran el derecho a la tutela judicial efectiva en relación con el derecho a la libertad personal si no cumplen con las exigencias de motivación específica o reforzada y de análisis de la capacidad económica del penado en el momento de acordar la revocación (STC 32/2022) [FJ 4].</w:t>
      </w:r>
    </w:p>
    <w:p w14:paraId="63C41DBD" w14:textId="77777777" w:rsidR="009D7677" w:rsidRDefault="009D7677" w:rsidP="009D7677">
      <w:pPr>
        <w:pStyle w:val="Extracto"/>
      </w:pPr>
    </w:p>
    <w:p w14:paraId="5B78CDB3" w14:textId="77777777" w:rsidR="009D7677" w:rsidRDefault="009D7677" w:rsidP="009D7677">
      <w:pPr>
        <w:pStyle w:val="Extracto"/>
      </w:pPr>
    </w:p>
    <w:p w14:paraId="73CC7F37" w14:textId="77777777" w:rsidR="009D7677" w:rsidRDefault="009D7677" w:rsidP="009D7677">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51AA77CD" w14:textId="33DB0145" w:rsidR="009D7677" w:rsidRDefault="009D7677" w:rsidP="009D7677">
      <w:pPr>
        <w:pStyle w:val="TextoNormal"/>
      </w:pPr>
    </w:p>
    <w:p w14:paraId="18FFF45E" w14:textId="77777777" w:rsidR="009D7677" w:rsidRDefault="009D7677" w:rsidP="009D7677">
      <w:pPr>
        <w:pStyle w:val="TextoNormalCentrado"/>
        <w:keepNext/>
      </w:pPr>
      <w:r>
        <w:t>EN NOMBRE DEL REY</w:t>
      </w:r>
    </w:p>
    <w:p w14:paraId="31D47090" w14:textId="3DEF1B88" w:rsidR="009D7677" w:rsidRDefault="009D7677" w:rsidP="009D7677">
      <w:pPr>
        <w:pStyle w:val="TextoNormalCentrado"/>
        <w:keepNext/>
      </w:pPr>
    </w:p>
    <w:p w14:paraId="161D5345" w14:textId="77777777" w:rsidR="009D7677" w:rsidRDefault="009D7677" w:rsidP="009D7677">
      <w:pPr>
        <w:pStyle w:val="TextoNormalCentrado"/>
        <w:keepNext/>
      </w:pPr>
    </w:p>
    <w:p w14:paraId="19F95107" w14:textId="77777777" w:rsidR="009D7677" w:rsidRDefault="009D7677" w:rsidP="009D7677">
      <w:pPr>
        <w:pStyle w:val="TextoNormal"/>
      </w:pPr>
      <w:r>
        <w:t>la siguiente</w:t>
      </w:r>
    </w:p>
    <w:p w14:paraId="4839EB2B" w14:textId="70FFA211" w:rsidR="009D7677" w:rsidRDefault="009D7677" w:rsidP="009D7677">
      <w:pPr>
        <w:pStyle w:val="TextoNormal"/>
      </w:pPr>
    </w:p>
    <w:p w14:paraId="5F747182" w14:textId="77777777" w:rsidR="009D7677" w:rsidRDefault="009D7677" w:rsidP="009D7677">
      <w:pPr>
        <w:pStyle w:val="TextoNormalCentrado"/>
        <w:keepNext/>
      </w:pPr>
      <w:r>
        <w:t>SENTENCIA</w:t>
      </w:r>
    </w:p>
    <w:p w14:paraId="674AC721" w14:textId="3AC62B35" w:rsidR="009D7677" w:rsidRDefault="009D7677" w:rsidP="009D7677">
      <w:pPr>
        <w:pStyle w:val="TextoNormalCentrado"/>
        <w:keepNext/>
      </w:pPr>
    </w:p>
    <w:p w14:paraId="6FFD82D0" w14:textId="77777777" w:rsidR="009D7677" w:rsidRDefault="009D7677" w:rsidP="009D7677">
      <w:pPr>
        <w:pStyle w:val="TextoNormal"/>
      </w:pPr>
      <w:r>
        <w:t>En el recurso de amparo núm. 3554-2022, promovido por don Antonio Pérez Vázquez contra los autos de 3 de febrero y de 8 de marzo de 2022, dictados por el Juzgado de lo Penal núm. 4 de Santander en la ejecutoria penal núm. 39-2019, y contra el auto núm. 176/2022, de 5 de abril, de la Sección Primera de la Audiencia Provincial de Cantabria, dictado en el recurso de apelación núm. 237-2022. Ha sido parte el Servicio Público de Empleo Estatal, representado por abogado del Estado, y la Tesorería General de la Seguridad Social, representada por letrado de la administración de la Seguridad Social. Ha intervenido el Ministerio Fiscal. Ha sido ponente la magistrada doña Inmaculada Montalbán Huertas.</w:t>
      </w:r>
    </w:p>
    <w:p w14:paraId="0441DDE7" w14:textId="77DCE301" w:rsidR="009D7677" w:rsidRDefault="009D7677" w:rsidP="009D7677">
      <w:pPr>
        <w:pStyle w:val="TextoNormal"/>
      </w:pPr>
    </w:p>
    <w:p w14:paraId="0ABBF1A7" w14:textId="77777777" w:rsidR="009D7677" w:rsidRDefault="009D7677" w:rsidP="009D7677">
      <w:pPr>
        <w:pStyle w:val="TextoNormalNegritaCentrado"/>
        <w:keepNext/>
      </w:pPr>
      <w:r>
        <w:lastRenderedPageBreak/>
        <w:t>I. Antecedentes</w:t>
      </w:r>
    </w:p>
    <w:p w14:paraId="61FCDC83" w14:textId="3CA46B7A" w:rsidR="009D7677" w:rsidRDefault="009D7677" w:rsidP="009D7677">
      <w:pPr>
        <w:pStyle w:val="TextoNormalNegritaCentrado"/>
        <w:keepNext/>
      </w:pPr>
    </w:p>
    <w:p w14:paraId="3DDA9ACA" w14:textId="39A61547" w:rsidR="009D7677" w:rsidRDefault="009D7677" w:rsidP="009D7677">
      <w:pPr>
        <w:pStyle w:val="TextoNormal"/>
      </w:pPr>
      <w:r w:rsidRPr="009D7677">
        <w:rPr>
          <w:rStyle w:val="NumeroAFNegritaCaracter"/>
        </w:rPr>
        <w:t>1</w:t>
      </w:r>
      <w:r>
        <w:t>. Don Antonio Pérez Vázquez, representado por la procuradora de los tribunales doña María Abellán Albertos y asistido del abogado don Roberto Rodríguez Blanco, interpuso recurso de amparo contra las resoluciones que se mencionan en el encabezamiento, mediante escrito presentado en el registro electrónico de este tribunal el 19 de mayo de 2022.</w:t>
      </w:r>
    </w:p>
    <w:p w14:paraId="7A65470E" w14:textId="77777777" w:rsidR="009D7677" w:rsidRDefault="009D7677" w:rsidP="009D7677">
      <w:pPr>
        <w:pStyle w:val="TextoNormal"/>
      </w:pPr>
    </w:p>
    <w:p w14:paraId="77AB730B" w14:textId="77777777" w:rsidR="009D7677" w:rsidRDefault="009D7677" w:rsidP="009D7677">
      <w:pPr>
        <w:pStyle w:val="TextoNormal"/>
      </w:pPr>
      <w:r w:rsidRPr="009D7677">
        <w:rPr>
          <w:rStyle w:val="NumeroAFNegritaCaracter"/>
        </w:rPr>
        <w:t>2</w:t>
      </w:r>
      <w:r>
        <w:t>. Los antecedentes relevantes para resolver el recurso son los siguientes:</w:t>
      </w:r>
    </w:p>
    <w:p w14:paraId="7263F123" w14:textId="77777777" w:rsidR="009D7677" w:rsidRDefault="009D7677" w:rsidP="009D7677">
      <w:pPr>
        <w:pStyle w:val="TextoNormal"/>
      </w:pPr>
    </w:p>
    <w:p w14:paraId="6D6BBCC2" w14:textId="77777777" w:rsidR="009D7677" w:rsidRDefault="009D7677" w:rsidP="009D7677">
      <w:pPr>
        <w:pStyle w:val="TextoNormal"/>
      </w:pPr>
      <w:r>
        <w:t>a) El recurrente y otros siete acusados más, tras prestar su conformidad con la acusación más grave, fueron condenados en la sentencia núm. 14/2019, de 23 de enero (procedimiento abreviado núm. 219-2018), dictada oralmente por el Juzgado de lo Penal núm. 4 de Santander, que declaró su firmeza ese mismo día. La sentencia condenó al recurrente como autor de un delito continuado de falsedad en documento oficial en concurso medial con un delito continuado de estafa, con la agravante de reincidencia y la atenuante muy cualificada de dilaciones indebidas, a las penas de prisión de veintiún meses, inhabilitación especial para el derecho de sufragio pasivo durante el tiempo de la condena, multa de nueve meses con una cuota diaria de tres euros (810 €), con responsabilidad personal subsidiaria de un día de privación de libertad por cada dos cuotas no satisfechas (cuatro meses y quince días: ciento treinta y cinco días), y al pago solidario de 4792,97 € euros al Servicio Cántabro de Empleo y de 9649,58 € al Servicio Público de Empleo Estatal (total: 14 442,55 €), en concepto de responsabilidad civil, con imposición de las costas procesales, incluidas las de las acusaciones particulares.</w:t>
      </w:r>
    </w:p>
    <w:p w14:paraId="6AD5208D" w14:textId="77777777" w:rsidR="009D7677" w:rsidRDefault="009D7677" w:rsidP="009D7677">
      <w:pPr>
        <w:pStyle w:val="TextoNormal"/>
      </w:pPr>
    </w:p>
    <w:p w14:paraId="1751C78C" w14:textId="77777777" w:rsidR="009D7677" w:rsidRDefault="009D7677" w:rsidP="009D7677">
      <w:pPr>
        <w:pStyle w:val="TextoNormal"/>
      </w:pPr>
      <w:r>
        <w:t>La ejecución de la pena de prisión de veintiún meses le fue suspendida al recurrente en la propia sentencia a condición de que no delinquiese en el plazo de tres años y de que abonase la responsabilidad civil “en los plazos expresamente asumidos de veinticuatro mensualidades”, advirtiéndole de que “de incumplir cualesquiera de dichos dos requisitos se revocará la suspensión y deberá cumplir la pena de prisión impuesta”. La sentencia también le concedió “veinticuatro mensualidades para el pago de la multa”. Un día antes del juicio y del dictado de la sentencia, mediante diligencia de 22 de enero de 2019, el demandante fue requerido de cumplimiento de las citadas condiciones, plazos y consecuencias y manifestó quedar enterado.</w:t>
      </w:r>
    </w:p>
    <w:p w14:paraId="1F301F92" w14:textId="77777777" w:rsidR="009D7677" w:rsidRDefault="009D7677" w:rsidP="009D7677">
      <w:pPr>
        <w:pStyle w:val="TextoNormal"/>
      </w:pPr>
    </w:p>
    <w:p w14:paraId="47A6DA23" w14:textId="77777777" w:rsidR="009D7677" w:rsidRDefault="009D7677" w:rsidP="009D7677">
      <w:pPr>
        <w:pStyle w:val="TextoNormal"/>
      </w:pPr>
      <w:r>
        <w:t>La sentencia fue aclarada por auto de 10 de julio de 2019 en el sentido de especificar que cada acusado debería abonar un octavo de las costas procesales, y añadir en el encabezamiento como intervinientes al letrado de la administración de la Seguridad Social por la Tesorería General de la Seguridad Social (TGSS), al abogado del Estado por el Servicio Público de Empleo Estatal y a la letrada del Gobierno de Cantabria.</w:t>
      </w:r>
    </w:p>
    <w:p w14:paraId="37BC354F" w14:textId="77777777" w:rsidR="009D7677" w:rsidRDefault="009D7677" w:rsidP="009D7677">
      <w:pPr>
        <w:pStyle w:val="TextoNormal"/>
      </w:pPr>
    </w:p>
    <w:p w14:paraId="4A744829" w14:textId="77777777" w:rsidR="009D7677" w:rsidRDefault="009D7677" w:rsidP="009D7677">
      <w:pPr>
        <w:pStyle w:val="TextoNormal"/>
      </w:pPr>
      <w:r>
        <w:t>b) Por auto de 16 de septiembre de 2019, el juzgado incoó la ejecutoria penal núm. 39-2019 y, dado que la pena de prisión estaba suspendida, acordó en dicha resolución estar al requerimiento personal efectuado el día 22 de enero de 2019 y al transcurso del plazo de suspensión para, en ese momento, decidir sobre su remisión definitiva una vez comprobado el cumplimiento de las condiciones impuestas.</w:t>
      </w:r>
    </w:p>
    <w:p w14:paraId="4BB02F84" w14:textId="77777777" w:rsidR="009D7677" w:rsidRDefault="009D7677" w:rsidP="009D7677">
      <w:pPr>
        <w:pStyle w:val="TextoNormal"/>
      </w:pPr>
    </w:p>
    <w:p w14:paraId="2993A75D" w14:textId="77777777" w:rsidR="009D7677" w:rsidRDefault="009D7677" w:rsidP="009D7677">
      <w:pPr>
        <w:pStyle w:val="TextoNormal"/>
      </w:pPr>
      <w:r>
        <w:lastRenderedPageBreak/>
        <w:t>La sentencia y los autos de aclaración y de incoación de la ejecutoria fueron notificados personalmente al recurrente el 25 de septiembre de 2019. En el folio de la diligencia de notificación consta manuscrito: Dice “que pagará, que está pendiente de la venta de un piso para pagarlo de golpe”.</w:t>
      </w:r>
    </w:p>
    <w:p w14:paraId="2AE9B296" w14:textId="77777777" w:rsidR="009D7677" w:rsidRDefault="009D7677" w:rsidP="009D7677">
      <w:pPr>
        <w:pStyle w:val="TextoNormal"/>
      </w:pPr>
    </w:p>
    <w:p w14:paraId="5845BC6F" w14:textId="77777777" w:rsidR="009D7677" w:rsidRDefault="009D7677" w:rsidP="009D7677">
      <w:pPr>
        <w:pStyle w:val="TextoNormal"/>
      </w:pPr>
      <w:r>
        <w:t>c) La letrada de la administración de Justicia del juzgado, mediante diligencia de ordenación de 16 de octubre de 2019, ante la falta de ingreso de las cantidades debidas por el señor Pérez Vázquez, acordó “previo a resolver sobre la revocación del beneficio de suspensión de la pena de prisión concedido en su día”, acceder “a su averiguación patrimonial a fin de hacer efectivas las cantidades debidas por vía de apremio”. Según la consulta integral efectuada en el punto neutro judicial del Consejo General del Poder Judicial, los datos obtenidos de la Agencia Tributaria, del Catastro, de la Dirección General de Tráfico, del Servicio Público de Empleo Estatal y del Instituto Nacional de la Seguridad Social, evidenciaron que el recurrente percibió 4523,26 € como pensionista en 2018, que era titular de dos cuentas bancarias con cero y uno con setenta y cuatro euros de saldo, propietario único de un piso en la ciudad de Santander con un valor catastral en 2019 de 45 576,22 €, que era titular de tres turismos matriculados en 1965, 1974 y 1977, los dos últimos dados de baja en 2002, que percibió el subsidio de desempleo entre el 18 de febrero de 1991 y el 17 de febrero de 1993 (fecha de agotamiento del derecho), y que percibía una prestación no contributiva por importe de 333,20 € en catorce pagas.</w:t>
      </w:r>
    </w:p>
    <w:p w14:paraId="67CB763E" w14:textId="77777777" w:rsidR="009D7677" w:rsidRDefault="009D7677" w:rsidP="009D7677">
      <w:pPr>
        <w:pStyle w:val="TextoNormal"/>
      </w:pPr>
    </w:p>
    <w:p w14:paraId="3A0A5332" w14:textId="77777777" w:rsidR="009D7677" w:rsidRDefault="009D7677" w:rsidP="009D7677">
      <w:pPr>
        <w:pStyle w:val="TextoNormal"/>
      </w:pPr>
      <w:r>
        <w:t>Con este resultado, por diligencia de ordenación de 6 de noviembre de 2019 se dio traslado al Ministerio Fiscal, “previo a acordar sobre la declaración de insolvencia de Antonio Pérez y revocación de la suspensión de la pena impuesta”. El fiscal, en escrito fechado el 8 de noviembre de 2019, informó que “nada tiene que oponer a la declaración de insolvencia propuesta”.</w:t>
      </w:r>
    </w:p>
    <w:p w14:paraId="1367AC1C" w14:textId="77777777" w:rsidR="009D7677" w:rsidRDefault="009D7677" w:rsidP="009D7677">
      <w:pPr>
        <w:pStyle w:val="TextoNormal"/>
      </w:pPr>
    </w:p>
    <w:p w14:paraId="58982AF4" w14:textId="77777777" w:rsidR="009D7677" w:rsidRDefault="009D7677" w:rsidP="009D7677">
      <w:pPr>
        <w:pStyle w:val="TextoNormal"/>
      </w:pPr>
      <w:r>
        <w:t>La letrada de administración de justicia, mediante diligencia de ordenación de 25 de marzo de 2021, para determinar la procedencia de requerir al demandante del abono de las costas procesales, acordó realizar una nueva averiguación de bienes a través del punto neutro judicial. El resultado de la averiguación fue similar: percepción en 2019 de 4669,55 € como pensionista, dos cuentas bancarias con cero y cuarenta y seis euros de saldo, el piso de Santander con el mismo valor catastral en 2021, los tres vehículos y una pensión de jubilación de 342,38 € en catorce pagas. Se comprobó también que era beneficiario de asistencia jurídica gratuita.</w:t>
      </w:r>
    </w:p>
    <w:p w14:paraId="10DBFEBE" w14:textId="77777777" w:rsidR="009D7677" w:rsidRDefault="009D7677" w:rsidP="009D7677">
      <w:pPr>
        <w:pStyle w:val="TextoNormal"/>
      </w:pPr>
    </w:p>
    <w:p w14:paraId="4D5DD073" w14:textId="77777777" w:rsidR="009D7677" w:rsidRDefault="009D7677" w:rsidP="009D7677">
      <w:pPr>
        <w:pStyle w:val="TextoNormal"/>
      </w:pPr>
      <w:r>
        <w:t>d) La representación procesal del señor Pérez Vázquez solicitó en la ejecutoria, mediante escrito presentado el 9 de abril de 2021, que se acordase la suspensión condicional de la pena privativa de libertad que se le pudiera imponer como consecuencia del impago de la pena de multa y, con carácter subsidiario, que la responsabilidad personal derivada del impago se cumpliera mediante trabajos en beneficio de la comunidad. La solicitud se unió a las actuaciones, por diligencia de 14 de abril de 2021, en “espera de recibir informe de alegaciones por parte del Ministerio Fiscal”.</w:t>
      </w:r>
    </w:p>
    <w:p w14:paraId="1F81F7E3" w14:textId="77777777" w:rsidR="009D7677" w:rsidRDefault="009D7677" w:rsidP="009D7677">
      <w:pPr>
        <w:pStyle w:val="TextoNormal"/>
      </w:pPr>
    </w:p>
    <w:p w14:paraId="1A73F1A3" w14:textId="77777777" w:rsidR="009D7677" w:rsidRDefault="009D7677" w:rsidP="009D7677">
      <w:pPr>
        <w:pStyle w:val="TextoNormal"/>
      </w:pPr>
      <w:r>
        <w:t xml:space="preserve">Tras constatar que el demandante de amparo tenía “pendiente de abonar la multa de nueve meses a razón de tres euros” y que en “la averiguación patrimonial practicada no [constaban] bienes susceptibles de embargo”, por diligencia de ordenación de 3 de agosto de 2021, se acordó obtener sus antecedentes penales y dar traslado al Ministerio Fiscal y a </w:t>
      </w:r>
      <w:r>
        <w:lastRenderedPageBreak/>
        <w:t>las partes personadas para que informasen sobre la declaración de insolvencia del penado y la posibilidad de suspender la pena privativa de libertad resultante de la aplicación de la responsabilidad personal subsidiaria por el impago de la pena de multa o de que se cumpliese mediante trabajos en beneficio de la comunidad.</w:t>
      </w:r>
    </w:p>
    <w:p w14:paraId="289282E1" w14:textId="77777777" w:rsidR="009D7677" w:rsidRDefault="009D7677" w:rsidP="009D7677">
      <w:pPr>
        <w:pStyle w:val="TextoNormal"/>
      </w:pPr>
    </w:p>
    <w:p w14:paraId="717F704F" w14:textId="77777777" w:rsidR="009D7677" w:rsidRDefault="009D7677" w:rsidP="009D7677">
      <w:pPr>
        <w:pStyle w:val="TextoNormal"/>
      </w:pPr>
      <w:r>
        <w:t>En virtud de dicho traslado, la representación procesal del recurrente, mediante escrito presentado en la ejecutoria el 7 de septiembre de 2021, reiteró su petición de suspensión de los 135 días de privación de libertad que procedería imponer como responsabilidad personal subsidiaria por no abonar la pena de multa y, subsidiariamente, su cumplimiento mediante trabajos en beneficio de la comunidad.</w:t>
      </w:r>
    </w:p>
    <w:p w14:paraId="665076BC" w14:textId="77777777" w:rsidR="009D7677" w:rsidRDefault="009D7677" w:rsidP="009D7677">
      <w:pPr>
        <w:pStyle w:val="TextoNormal"/>
      </w:pPr>
    </w:p>
    <w:p w14:paraId="582EACFD" w14:textId="77777777" w:rsidR="009D7677" w:rsidRDefault="009D7677" w:rsidP="009D7677">
      <w:pPr>
        <w:pStyle w:val="TextoNormal"/>
      </w:pPr>
      <w:r>
        <w:t>El juzgado, por auto de 23 de noviembre de 2021, acordó declarar la insolvencia de don Antonio Pérez Vázquez e imponerle la pena de privación de libertad de cuatro meses y quince días (135 días) como responsabilidad personal subsidiaria por el impago total de la pena de multa de nueve meses con una cuota diaria de tres euros. Y, mediante auto de 24 de noviembre de 2021, le suspendió dicha pena privativa de libertad a condición de que no delinquiese en el plazo de dos años, advirtiéndole de que se le revocaría el beneficio en caso contrario, “quedando subsistentes los demás pronunciamientos de la sentencia condenatoria”. Estos dos autos fueron notificados al penado el 18 de enero de 2022 personalmente.</w:t>
      </w:r>
    </w:p>
    <w:p w14:paraId="0E4116FD" w14:textId="77777777" w:rsidR="009D7677" w:rsidRDefault="009D7677" w:rsidP="009D7677">
      <w:pPr>
        <w:pStyle w:val="TextoNormal"/>
      </w:pPr>
    </w:p>
    <w:p w14:paraId="016455DD" w14:textId="77777777" w:rsidR="009D7677" w:rsidRDefault="009D7677" w:rsidP="009D7677">
      <w:pPr>
        <w:pStyle w:val="TextoNormal"/>
      </w:pPr>
      <w:r>
        <w:t>e) Al haber transcurrido el plazo de tres años de suspensión de la ejecución de la pena de prisión de veintiún meses, por diligencia de ordenación de 25 de enero de 2022, se acordó recabar la hoja histórico penal del recurrente y dar traslado al Ministerio Fiscal y a las demás partes personadas por un plazo común de cinco días para efectuar alegaciones.</w:t>
      </w:r>
    </w:p>
    <w:p w14:paraId="5F5C747D" w14:textId="77777777" w:rsidR="009D7677" w:rsidRDefault="009D7677" w:rsidP="009D7677">
      <w:pPr>
        <w:pStyle w:val="TextoNormal"/>
      </w:pPr>
    </w:p>
    <w:p w14:paraId="70227E42" w14:textId="77777777" w:rsidR="009D7677" w:rsidRDefault="009D7677" w:rsidP="009D7677">
      <w:pPr>
        <w:pStyle w:val="TextoNormal"/>
      </w:pPr>
      <w:r>
        <w:t>En virtud de dicho traslado, la representación procesal del penado, en escrito fechado el 31 de enero de 2022, interesó, a la vista de la hoja histórico penal, la remisión definitiva de la pena de prisión “al haber transcurrido el plazo de suspensión sin haber vuelto a delinquir”.</w:t>
      </w:r>
    </w:p>
    <w:p w14:paraId="581BC94A" w14:textId="77777777" w:rsidR="009D7677" w:rsidRDefault="009D7677" w:rsidP="009D7677">
      <w:pPr>
        <w:pStyle w:val="TextoNormal"/>
      </w:pPr>
    </w:p>
    <w:p w14:paraId="5B0BA070" w14:textId="77777777" w:rsidR="009D7677" w:rsidRDefault="009D7677" w:rsidP="009D7677">
      <w:pPr>
        <w:pStyle w:val="TextoNormal"/>
      </w:pPr>
      <w:r>
        <w:t>La fiscal, en escrito fechado el 1 de febrero de 2022, informó que procedía la remisión de la pena suspendida, entre otros, al recurrente “al haber transcurrido el plazo de suspensión sin haber cometido un delito que ponga de manifiesto que la expectativa en que se fundaba la decisión de suspensión adoptada en su momento ya no puede ser mantenida, habiéndose cumplido además de forma suficiente las reglas de conducta fijadas por el juzgado”.</w:t>
      </w:r>
    </w:p>
    <w:p w14:paraId="4BEF69B0" w14:textId="77777777" w:rsidR="009D7677" w:rsidRDefault="009D7677" w:rsidP="009D7677">
      <w:pPr>
        <w:pStyle w:val="TextoNormal"/>
      </w:pPr>
    </w:p>
    <w:p w14:paraId="695F73E0" w14:textId="77777777" w:rsidR="009D7677" w:rsidRDefault="009D7677" w:rsidP="009D7677">
      <w:pPr>
        <w:pStyle w:val="TextoNormal"/>
      </w:pPr>
      <w:r>
        <w:t>f) El Juzgado de lo Penal núm. 4 de Santander, mediante auto de 3 de febrero de 2022, tras indicar que se había oído a las partes, revocó la suspensión de la ejecución de la pena de prisión de veintiún meses y ordenó su cumplimiento. Según el fundamento de derecho segundo del auto, el penado incumplió la condición de pagar la responsabilidad civil en veinticuatro mensualidades que se le impuso, condición de la que era consciente y de la que solo había pagado 1200 € desde la fecha en que se le requirió de pago.</w:t>
      </w:r>
    </w:p>
    <w:p w14:paraId="62191DB7" w14:textId="77777777" w:rsidR="009D7677" w:rsidRDefault="009D7677" w:rsidP="009D7677">
      <w:pPr>
        <w:pStyle w:val="TextoNormal"/>
      </w:pPr>
    </w:p>
    <w:p w14:paraId="7F16A557" w14:textId="77777777" w:rsidR="009D7677" w:rsidRDefault="009D7677" w:rsidP="009D7677">
      <w:pPr>
        <w:pStyle w:val="TextoNormal"/>
      </w:pPr>
      <w:r>
        <w:t xml:space="preserve">g) El demandante de amparo interpuso recurso de reforma y subsidiario de apelación contra la revocación en escrito fechado el 16 de febrero de 2022. El recurso ponía de manifiesto, en primer lugar, que el juzgado había declarado la “insolvencia” del demandante </w:t>
      </w:r>
      <w:r>
        <w:lastRenderedPageBreak/>
        <w:t>y la suspensión de la ejecución de la responsabilidad personal subsidiaria por el impago de la pena de multa. Acto seguido se quejaba de la “clara contradicción” sin “lógica ninguna” entre tales decisiones de insolvencia y suspensión y “que se acuerde posteriormente la revocación de la suspensión de la pena de prisión inicialmente impuesta por no haber satisfecho la responsabilidad civil”. Se afirmaba que al haberse acreditado que carecía de bienes para pagar sus responsabilidades pecuniarias, no se trataba de un “incumplimiento voluntario”, sino de la imposibilidad material de hacerles frente. La revocación resultaba así contraria a lo dispuesto en el art. 86.1 d) al Código penal (CP), dado que “dicho precepto es claro a la hora de señalar que en aquellos supuestos en los que el condenado careciere de capacidad económica para hacer frente al pago de las responsabilidades civiles, no procederá la revocación de la suspensión”. El escrito terminaba con la solicitud de que se remitiese definitivamente la pena de prisión.</w:t>
      </w:r>
    </w:p>
    <w:p w14:paraId="6E9511AA" w14:textId="77777777" w:rsidR="009D7677" w:rsidRDefault="009D7677" w:rsidP="009D7677">
      <w:pPr>
        <w:pStyle w:val="TextoNormal"/>
      </w:pPr>
    </w:p>
    <w:p w14:paraId="5F74D90E" w14:textId="77777777" w:rsidR="009D7677" w:rsidRDefault="009D7677" w:rsidP="009D7677">
      <w:pPr>
        <w:pStyle w:val="TextoNormal"/>
      </w:pPr>
      <w:r>
        <w:t>El recurso fue admitido mediante diligencia de ordenación de 18 de febrero de 2022 y, tras su traslado al Ministerio Fiscal y a las demás partes, el fiscal, en escrito fechado el 25 de febrero de 2022, interesó “su desestimación y la confirmación de la resolución que se combate por considerarla ajustada a derecho en todos sus extremos”.</w:t>
      </w:r>
    </w:p>
    <w:p w14:paraId="493DB593" w14:textId="77777777" w:rsidR="009D7677" w:rsidRDefault="009D7677" w:rsidP="009D7677">
      <w:pPr>
        <w:pStyle w:val="TextoNormal"/>
      </w:pPr>
    </w:p>
    <w:p w14:paraId="23D3622B" w14:textId="77777777" w:rsidR="009D7677" w:rsidRDefault="009D7677" w:rsidP="009D7677">
      <w:pPr>
        <w:pStyle w:val="TextoNormal"/>
      </w:pPr>
      <w:r>
        <w:t>El recurso de reforma fue desestimado por auto de 8 de marzo de 2022 con el argumento de que las alegaciones realizadas no desvirtuaban la legalidad de la resolución impugnada. Se ordenó seguir el trámite del recurso de apelación subsidiario y, en virtud del nuevo traslado, el fiscal, en escrito fechado el 12 de marzo de 2022, interesó su desestimación con remisión a su informe anterior. La representación procesal del penado, en escrito presentado el 21 de marzo de 2022, se remitió a las alegaciones de su recurso de reforma y subsidiario de apelación.</w:t>
      </w:r>
    </w:p>
    <w:p w14:paraId="19A9532B" w14:textId="77777777" w:rsidR="009D7677" w:rsidRDefault="009D7677" w:rsidP="009D7677">
      <w:pPr>
        <w:pStyle w:val="TextoNormal"/>
      </w:pPr>
    </w:p>
    <w:p w14:paraId="05ACB776" w14:textId="3115D796" w:rsidR="009D7677" w:rsidRDefault="009D7677" w:rsidP="009D7677">
      <w:pPr>
        <w:pStyle w:val="TextoNormal"/>
      </w:pPr>
      <w:r>
        <w:t>h) La Sección Primera de la Audiencia Provincial de Cantabria, mediante auto núm. 176/2022, de 5 de abril, desestimó el recurso de apelación núm. 237-2022. Según el auto, frente a la cuestión planteada por el recurrente acerca de su imposibilidad material de pagar “caben dos posibilidades”: que al asumir el compromiso de pago que determinó la suspensión de la condena en la propia sentencia, el penado supiera que no iba a poder pagar por carecer de bienes e ingresos suficientes, en cuyo caso la estimación del recurso supondría convalidar un fraude de ley; o bien que su situación económica hubiese empeorado durante el plazo de suspensión, pero dicha circunstancia “ni se alega ni se ha pretendido probar en momento alguno”. El hecho de haber sido declarado insolvente mediante auto de 23 de noviembre de 2021 no desvirtuaba para la Sección Primera de la Audiencia Provincial los argumentos anteriores; tal declaración se había producido con posterioridad a la fecha de la suspensión sin que en esa fecha se le hubiese considerado insolvente, a diferencia de lo sucedido con otros condenados a los que sí que se les declaró insolventes en la misma sentencia. El auto concluía: “se trata de la condena por un delito que le produjo un beneficio económico: la reparación civil no supone sino la restitución del valor económico previamente obtenido y del que disfrutó el ahora recurrente. Se trata, pues, de compensar el enriquecimiento indebido que el mismo logró con la consumación del delito. Acceder a la solicitud del recurso supondría consagrar la impunidad de esa situación”.</w:t>
      </w:r>
    </w:p>
    <w:p w14:paraId="493F166E" w14:textId="77777777" w:rsidR="009D7677" w:rsidRDefault="009D7677" w:rsidP="009D7677">
      <w:pPr>
        <w:pStyle w:val="TextoNormal"/>
      </w:pPr>
    </w:p>
    <w:p w14:paraId="067EB380" w14:textId="77777777" w:rsidR="009D7677" w:rsidRDefault="009D7677" w:rsidP="009D7677">
      <w:pPr>
        <w:pStyle w:val="TextoNormal"/>
      </w:pPr>
      <w:r w:rsidRPr="009D7677">
        <w:rPr>
          <w:rStyle w:val="NumeroAFNegritaCaracter"/>
        </w:rPr>
        <w:t>3</w:t>
      </w:r>
      <w:r>
        <w:t xml:space="preserve">. El recurrente denuncia en su demanda de amparo que las resoluciones impugnadas vulneraron su derecho a la tutela judicial efectiva (art. 24.1 CE) en relación con su derecho a la libertad (art. 17.1 CE), al carecer de la motivación exigible desde el punto de vista </w:t>
      </w:r>
      <w:r>
        <w:lastRenderedPageBreak/>
        <w:t>constitucional para revocar el beneficio de la suspensión de la ejecución de las penas privativas de libertad. Y ello porque omitieron cualquier análisis sobre la capacidad económica del condenado y el carácter justificado o no del impago, contraviniendo la doctrina constitucional que establece que ni la suspensión ni la revocación de la condena se pueden condicionar al pago de la responsabilidad civil cuando ese pago es imposible (STC 14/1998, de 4 de febrero, y AATC 3/2018, de 21 de febrero, y 259/2000, de 13 de noviembre), “máxime cuando se había declarado su insolvencia con posterioridad a asumir el compromiso de pago y haber realizado diferentes pagos cubriendo la cantidad de 1200 € hasta que no pudo continuar haciéndolo”.</w:t>
      </w:r>
    </w:p>
    <w:p w14:paraId="5F928A3A" w14:textId="77777777" w:rsidR="009D7677" w:rsidRDefault="009D7677" w:rsidP="009D7677">
      <w:pPr>
        <w:pStyle w:val="TextoNormal"/>
      </w:pPr>
    </w:p>
    <w:p w14:paraId="4DC7C1B3" w14:textId="41113A12" w:rsidR="009D7677" w:rsidRDefault="009D7677" w:rsidP="009D7677">
      <w:pPr>
        <w:pStyle w:val="TextoNormal"/>
      </w:pPr>
      <w:r>
        <w:t>El demandante solicita que se anulen los autos impugnados con retroacción de las actuaciones al momento anterior al auto de 3 de febrero de 2022 del Juzgado de lo Penal núm. 4 de Santander para que dicte una resolución respetuosa con el derecho a la tutela judicial efectiva en relación con el derecho a la libertad. En el otrosí de la demanda, conforme a lo previsto en el art. 56 de la Ley Orgánica del Tribunal Constitucional (LOTC), se interesa la suspensión del citado auto de 3 de febrero de 2022, “toda vez que su ejecución supondría un perjuicio de imposible o muy difícil reparación que haría perder su finalidad al recurso de amparo, en caso de que este fuese estimado”.</w:t>
      </w:r>
    </w:p>
    <w:p w14:paraId="4FD10437" w14:textId="77777777" w:rsidR="009D7677" w:rsidRDefault="009D7677" w:rsidP="009D7677">
      <w:pPr>
        <w:pStyle w:val="TextoNormal"/>
      </w:pPr>
    </w:p>
    <w:p w14:paraId="46B43440" w14:textId="77777777" w:rsidR="009D7677" w:rsidRDefault="009D7677" w:rsidP="009D7677">
      <w:pPr>
        <w:pStyle w:val="TextoNormal"/>
      </w:pPr>
      <w:r w:rsidRPr="009D7677">
        <w:rPr>
          <w:rStyle w:val="NumeroAFNegritaCaracter"/>
        </w:rPr>
        <w:t>4</w:t>
      </w:r>
      <w:r>
        <w:t>. La Sección Segunda de la Sala Primera del Tribunal Constitucional, mediante providencia de 24 de octubre de 2022, admitió a trámite la demanda al apreciar que concurre en el recurso una especial trascendencia constitucional (art. 50.1 LOTC) porque el recurso puede dar ocasión al Tribunal para aclarar o cambiar su doctrina, como consecuencia de un proceso de reflexión interna [STC 155/2009, de 25 de junio, FJ 2 b)]. Acordó dirigirse a la Sección Primera de la Audiencia Provincial de Cantabria para que remitiese, en plazo que no excediese de diez días, certificación o copia adverada de las actuaciones del recurso de apelación núm. 237-2022, y también al Juzgado de lo Penal núm. 4 de Santander para que remitiese en la misma forma y plazo las actuaciones de la ejecutoria núm. 39-2019 y para que emplazase a quienes hubiesen sido parte en el procedimiento, excepto al recurrente en amparo, a fin de que pudieran comparecer en el recurso en el plazo de diez días, lo que efectuaron el Servicio Público de Empleo Estatal y la TGSS, respectivamente, a través de abogado del Estado y de letrado de la Seguridad Social.</w:t>
      </w:r>
    </w:p>
    <w:p w14:paraId="23D7E2C2" w14:textId="77777777" w:rsidR="009D7677" w:rsidRDefault="009D7677" w:rsidP="009D7677">
      <w:pPr>
        <w:pStyle w:val="TextoNormal"/>
      </w:pPr>
    </w:p>
    <w:p w14:paraId="0C1E9425" w14:textId="1B09F843" w:rsidR="009D7677" w:rsidRDefault="009D7677" w:rsidP="009D7677">
      <w:pPr>
        <w:pStyle w:val="TextoNormal"/>
      </w:pPr>
      <w:r>
        <w:t>Asimismo, mediante nueva providencia de 24 de octubre de 2022, se acordó formar pieza separada para resolver sobre la suspensión cautelar de la ejecución y, tras las alegaciones de las partes personadas y del fiscal, por ATC 24/2023, de 6 de febrero, la Sala Segunda de este tribunal resolvió “[s]uspender la ejecución del auto dictado por el Juzgado de lo Penal núm. 4 de Santander el 3 de febrero de 2022, por el que se acordó la revocación de la suspensión de la pena de veintiún meses de prisión impuesta a don Antonio Pérez Vázquez por sentencia de conformidad del mismo juzgado de 23 de enero de 2019”.</w:t>
      </w:r>
    </w:p>
    <w:p w14:paraId="7328F06C" w14:textId="77777777" w:rsidR="009D7677" w:rsidRDefault="009D7677" w:rsidP="009D7677">
      <w:pPr>
        <w:pStyle w:val="TextoNormal"/>
      </w:pPr>
    </w:p>
    <w:p w14:paraId="79999063" w14:textId="5BED92C9" w:rsidR="009D7677" w:rsidRDefault="009D7677" w:rsidP="009D7677">
      <w:pPr>
        <w:pStyle w:val="TextoNormal"/>
      </w:pPr>
      <w:r w:rsidRPr="009D7677">
        <w:rPr>
          <w:rStyle w:val="NumeroAFNegritaCaracter"/>
        </w:rPr>
        <w:t>5</w:t>
      </w:r>
      <w:r>
        <w:t>. La Secretaria de Justicia de la Sala Primera de este tribunal, recibidas las actuaciones de la Sección Primera de la Audiencia Provincial de Cantabria el 11 de noviembre de 2022 y del Juzgado de lo Penal núm. 4 de Santander el 30 de noviembre de 2022, mediante diligencia de ordenación de 12 de diciembre de 2022, conforme a lo dispuesto en el art. 52.1 LOTC, acordó dar vista de las actuaciones por un plazo común de veinte días a las partes personadas y al Ministerio Fiscal.</w:t>
      </w:r>
    </w:p>
    <w:p w14:paraId="5F946DEC" w14:textId="77777777" w:rsidR="009D7677" w:rsidRDefault="009D7677" w:rsidP="009D7677">
      <w:pPr>
        <w:pStyle w:val="TextoNormal"/>
      </w:pPr>
    </w:p>
    <w:p w14:paraId="192C2E0C" w14:textId="3544A08B" w:rsidR="009D7677" w:rsidRDefault="009D7677" w:rsidP="009D7677">
      <w:pPr>
        <w:pStyle w:val="TextoNormal"/>
      </w:pPr>
      <w:r w:rsidRPr="009D7677">
        <w:rPr>
          <w:rStyle w:val="NumeroAFNegritaCaracter"/>
        </w:rPr>
        <w:lastRenderedPageBreak/>
        <w:t>6</w:t>
      </w:r>
      <w:r>
        <w:t>. El letrado de la administración de la Seguridad Social solicitó la denegación del amparo mediante escrito presentado el 2 de enero de 2023. Alega que no resulta aplicable la doctrina de la STC 32/2022, de 7 de marzo, de la que extracta distintos fragmentos, dado que, a diferencia del supuesto de hecho de la STC 32/2022, el recurrente sí que fue oído en la ejecutoria con igualdad de armas. A su juicio, los órganos judiciales, tras esta audiencia, motivaron la revocación de forma razonable y sin arbitrariedad, pese a que el recurrente discrepe, basándose en el impago de la responsabilidad civil y en su inactividad probatoria sobre su situación económica. Esta falta de prueba por su parte “no debe conducir a presumir, como pretende torticeramente el recurrente, su falta de capacidad económica”.</w:t>
      </w:r>
    </w:p>
    <w:p w14:paraId="4FA7D364" w14:textId="77777777" w:rsidR="009D7677" w:rsidRDefault="009D7677" w:rsidP="009D7677">
      <w:pPr>
        <w:pStyle w:val="TextoNormal"/>
      </w:pPr>
    </w:p>
    <w:p w14:paraId="780363D0" w14:textId="35190A7D" w:rsidR="009D7677" w:rsidRDefault="009D7677" w:rsidP="009D7677">
      <w:pPr>
        <w:pStyle w:val="TextoNormal"/>
      </w:pPr>
      <w:r w:rsidRPr="009D7677">
        <w:rPr>
          <w:rStyle w:val="NumeroAFNegritaCaracter"/>
        </w:rPr>
        <w:t>7</w:t>
      </w:r>
      <w:r>
        <w:t>. El recurrente se remitió a las alegaciones efectuadas en su demanda de amparo en el escrito presentado el 15 de enero de 2023.</w:t>
      </w:r>
    </w:p>
    <w:p w14:paraId="485C680F" w14:textId="77777777" w:rsidR="009D7677" w:rsidRDefault="009D7677" w:rsidP="009D7677">
      <w:pPr>
        <w:pStyle w:val="TextoNormal"/>
      </w:pPr>
    </w:p>
    <w:p w14:paraId="4731BFB6" w14:textId="77777777" w:rsidR="009D7677" w:rsidRDefault="009D7677" w:rsidP="009D7677">
      <w:pPr>
        <w:pStyle w:val="TextoNormal"/>
      </w:pPr>
      <w:r w:rsidRPr="009D7677">
        <w:rPr>
          <w:rStyle w:val="NumeroAFNegritaCaracter"/>
        </w:rPr>
        <w:t>8</w:t>
      </w:r>
      <w:r>
        <w:t>. El abogado del Estado solicitó la desestimación del recurso de amparo en su escrito presentado el 16 de enero de 2023. Considera que la revocación no vulneró el derecho a la tutela judicial, dado que el recurrente no cumplió la condición a la que se había comprometido de pagar la responsabilidad civil derivada del delito al que fue condenado en sentencia firme y tampoco acreditó su falta de capacidad económica tal y como le correspondía en función de las reglas de distribución de la carga de la prueba. Según el abogado del Estado, la acreditación de la salvedad prevista en el art. 86.1 d) CP, relativa a la carencia de capacidad económica del condenado para evitar la revocación de la suspensión de una pena privativa de libertad cuando no se da cumplimiento al compromiso de pago de las responsabilidades civiles, es carga del penado y no del órgano judicial, sin perjuicio de lo que, conforme a lo dispuesto en el art. 86.4 CP, el órgano judicial decida tras lo alegado y acreditado por las partes, “en particular por lo que el condenado a pena privativa de libertad ponga de manifiesto y demuestre”.</w:t>
      </w:r>
    </w:p>
    <w:p w14:paraId="11002531" w14:textId="77777777" w:rsidR="009D7677" w:rsidRDefault="009D7677" w:rsidP="009D7677">
      <w:pPr>
        <w:pStyle w:val="TextoNormal"/>
      </w:pPr>
    </w:p>
    <w:p w14:paraId="0CA39BDA" w14:textId="77777777" w:rsidR="009D7677" w:rsidRDefault="009D7677" w:rsidP="009D7677">
      <w:pPr>
        <w:pStyle w:val="TextoNormal"/>
      </w:pPr>
      <w:r>
        <w:t>La previsión legal no regula “un incidente de ejecución patrimonial a impulso solo del órgano jurisdiccional a fin de investigar bienes o derechos y en caso de no hallarlos, revocar la suspensión de la ejecución de la pena de prisión”. “[S]i no se abona la responsabilidad pecuniaria ha de volverse al cumplimiento estricto de la condena que, insistimos, no ha sido remitida ni convertida en una sanción civil”.</w:t>
      </w:r>
    </w:p>
    <w:p w14:paraId="1281E543" w14:textId="77777777" w:rsidR="009D7677" w:rsidRDefault="009D7677" w:rsidP="009D7677">
      <w:pPr>
        <w:pStyle w:val="TextoNormal"/>
      </w:pPr>
    </w:p>
    <w:p w14:paraId="5112495C" w14:textId="190DB90A" w:rsidR="009D7677" w:rsidRDefault="009D7677" w:rsidP="009D7677">
      <w:pPr>
        <w:pStyle w:val="TextoNormal"/>
      </w:pPr>
      <w:r>
        <w:t>A su juicio, la queja del recurrente es genérica en cuanto a la identificación de la vulneración del derecho la tutela judicial efectiva, se limita a expresar una valoración jurídica diferente a lo resuelto por los órganos judiciales y se asienta en una mera alegación no acreditada acerca de la falta de capacidad económica. El abogado del Estado se remite en particular a la fundamentación del auto de apelación y concluye que las resoluciones judiciales impugnadas satisficieron las exigencias del art. 24 CE en la aplicación del art. 86.1 d) CP al apreciar, tras la audiencia del art. 86.4 CP, el impago de la responsabilidad civil y la ausencia de acreditación por el recurrente de su falta de capacidad económica.</w:t>
      </w:r>
    </w:p>
    <w:p w14:paraId="61FB2B40" w14:textId="77777777" w:rsidR="009D7677" w:rsidRDefault="009D7677" w:rsidP="009D7677">
      <w:pPr>
        <w:pStyle w:val="TextoNormal"/>
      </w:pPr>
    </w:p>
    <w:p w14:paraId="29ED19E8" w14:textId="77777777" w:rsidR="009D7677" w:rsidRDefault="009D7677" w:rsidP="009D7677">
      <w:pPr>
        <w:pStyle w:val="TextoNormal"/>
      </w:pPr>
      <w:r w:rsidRPr="009D7677">
        <w:rPr>
          <w:rStyle w:val="NumeroAFNegritaCaracter"/>
        </w:rPr>
        <w:t>9</w:t>
      </w:r>
      <w:r>
        <w:t>. El fiscal ante el Tribunal Constitucional, en su escrito presentado el 26 de enero de 2023, solicitó, en primer término, la inadmisión del recurso por no cumplir con el requisito de haber denunciado ni expresa ni implícitamente la vulneración del derecho fundamental en el proceso judicial tan pronto hubo oportunidad para ello una vez conocida la violación de la que ahora se queja en la demanda de amparo [art. 44.1 c) LOTC].</w:t>
      </w:r>
    </w:p>
    <w:p w14:paraId="25D21317" w14:textId="77777777" w:rsidR="009D7677" w:rsidRDefault="009D7677" w:rsidP="009D7677">
      <w:pPr>
        <w:pStyle w:val="TextoNormal"/>
      </w:pPr>
    </w:p>
    <w:p w14:paraId="6730B06C" w14:textId="77777777" w:rsidR="009D7677" w:rsidRDefault="009D7677" w:rsidP="009D7677">
      <w:pPr>
        <w:pStyle w:val="TextoNormal"/>
      </w:pPr>
      <w:r>
        <w:t>Subsidiariamente, el fiscal interesó el otorgamiento del amparo por vulneración del derecho a la tutela judicial efectiva del recurrente (art. 24.1 CE) en relación con el derecho a la libertad individual (art. 17 CE) y, en su virtud, el restablecimiento del derecho mediante la anulación de las resoluciones impugnadas y la retroacción del procedimiento al momento anterior al de dictarse el auto de 3 de febrero de 2022 del Juzgado de lo Penal núm. 4 de Santander para que pronuncie otra resolución respetuosa con el derecho fundamental reconocido. Fundamenta su petición, en particular, en la doctrina de la STC 32/2022, de 7 de marzo, FJ 4, “relativa a un supuesto de revocación de suspensión condicional muy similar al que se enjuicia en este recurso de amparo”, con la diferencia de que mientras que allí no se había atendido al compromiso de pago en absoluto, aquí sí que existía un pago parcial de 1200 €.</w:t>
      </w:r>
    </w:p>
    <w:p w14:paraId="0E3B3BA0" w14:textId="77777777" w:rsidR="009D7677" w:rsidRDefault="009D7677" w:rsidP="009D7677">
      <w:pPr>
        <w:pStyle w:val="TextoNormal"/>
      </w:pPr>
    </w:p>
    <w:p w14:paraId="018C2CCB" w14:textId="77777777" w:rsidR="009D7677" w:rsidRDefault="009D7677" w:rsidP="009D7677">
      <w:pPr>
        <w:pStyle w:val="TextoNormal"/>
      </w:pPr>
      <w:r>
        <w:t>El fiscal considera que, en aplicación de la citada doctrina, las resoluciones judiciales impugnadas incumplieron con el deber de motivación reforzada de toda decisión de revocación del beneficio de la suspensión de la ejecución de una pena privativa de libertad al no analizar la capacidad económica del penado para comprobar su presupuesto: el incumplimiento injustificado de la condición de pago impuesta para acordar la suspensión.</w:t>
      </w:r>
    </w:p>
    <w:p w14:paraId="69BE760A" w14:textId="77777777" w:rsidR="009D7677" w:rsidRDefault="009D7677" w:rsidP="009D7677">
      <w:pPr>
        <w:pStyle w:val="TextoNormal"/>
      </w:pPr>
    </w:p>
    <w:p w14:paraId="61E8F6F7" w14:textId="77777777" w:rsidR="009D7677" w:rsidRDefault="009D7677" w:rsidP="009D7677">
      <w:pPr>
        <w:pStyle w:val="TextoNormal"/>
      </w:pPr>
      <w:r>
        <w:t>Según el fiscal, los autos del Juzgado de lo Penal núm. 4 de Santander fueron deficitarios en el cumplimiento del deber general motivación, por consignar preceptos erróneos y resolver el recurso de reforma sin atender a las alegaciones del recurrente y, además, infringieron el citado deber de motivación reforzada al limitarse a constatar el pago parcial y a dejar constancia de que el penado conocía la condición de pago y las consecuencias de su incumplimiento. A pesar de que en la ejecutoria se realizaron distintas averiguaciones patrimoniales —se llegó a averiguar que el recurrente era titular de un piso en propiedad—, su resultado no fue analizado ni se llevó a cabo ninguna actuación ejecutiva para comprobar el carácter reticente o involuntario del impago.</w:t>
      </w:r>
    </w:p>
    <w:p w14:paraId="4D9A5EEC" w14:textId="77777777" w:rsidR="009D7677" w:rsidRDefault="009D7677" w:rsidP="009D7677">
      <w:pPr>
        <w:pStyle w:val="TextoNormal"/>
      </w:pPr>
    </w:p>
    <w:p w14:paraId="3E38173F" w14:textId="73C5FD26" w:rsidR="009D7677" w:rsidRDefault="009D7677" w:rsidP="009D7677">
      <w:pPr>
        <w:pStyle w:val="TextoNormal"/>
      </w:pPr>
      <w:r>
        <w:t>Para el fiscal el auto de la Sección Primera de la Audiencia Provincial de Cantabria “no merece un juicio sustancialmente distinto desde el punto de vista de la doctrina constitucional”. Aunque en esta resolución se aborde la alegación del recurrente de que “no ha podido pagar”, los argumentos empleados por la sala son los que fueron rechazados en la STC 32/2022, FJ 4. Y es que la capacidad de pago debe analizarse en el momento de la revocación y no puede inferirse de la asunción inicial del compromiso de pago, como hace el auto que desestima la apelación.</w:t>
      </w:r>
    </w:p>
    <w:p w14:paraId="0D666321" w14:textId="77777777" w:rsidR="009D7677" w:rsidRDefault="009D7677" w:rsidP="009D7677">
      <w:pPr>
        <w:pStyle w:val="TextoNormal"/>
      </w:pPr>
    </w:p>
    <w:p w14:paraId="0BD04CC1" w14:textId="6B3BADBD" w:rsidR="009D7677" w:rsidRDefault="009D7677" w:rsidP="009D7677">
      <w:pPr>
        <w:pStyle w:val="TextoNormal"/>
      </w:pPr>
      <w:r w:rsidRPr="009D7677">
        <w:rPr>
          <w:rStyle w:val="NumeroAFNegritaCaracter"/>
        </w:rPr>
        <w:t>10</w:t>
      </w:r>
      <w:r>
        <w:t>. En virtud de los arts. 2.1 y 2 y 3.1 del acuerdo del Pleno del Tribunal Constitucional de 17 de enero de 2023, publicado en el “Boletín Oficial del Estado” de 19 de enero de 2023, el recurso lo conoce la Sala Segunda de este tribunal al conservar la magistrada la ponencia asignada, lo que fue puesto en conocimiento de las partes mediante diligencia de ordenación de 20 enero de 2023 del secretario de justicia de la Sección Tercera.</w:t>
      </w:r>
    </w:p>
    <w:p w14:paraId="6C5E4CB8" w14:textId="77777777" w:rsidR="009D7677" w:rsidRDefault="009D7677" w:rsidP="009D7677">
      <w:pPr>
        <w:pStyle w:val="TextoNormal"/>
      </w:pPr>
    </w:p>
    <w:p w14:paraId="667EB435" w14:textId="25D44BDE" w:rsidR="009D7677" w:rsidRDefault="009D7677" w:rsidP="009D7677">
      <w:pPr>
        <w:pStyle w:val="TextoNormal"/>
      </w:pPr>
      <w:r w:rsidRPr="009D7677">
        <w:rPr>
          <w:rStyle w:val="NumeroAFNegritaCaracter"/>
        </w:rPr>
        <w:t>11</w:t>
      </w:r>
      <w:r>
        <w:t>. Por providencia de 7 de marzo de 2024 se señaló para la deliberación y votación de la presente sentencia el día 11 del mismo mes y año.</w:t>
      </w:r>
    </w:p>
    <w:p w14:paraId="34B914BC" w14:textId="77777777" w:rsidR="009D7677" w:rsidRDefault="009D7677" w:rsidP="009D7677">
      <w:pPr>
        <w:pStyle w:val="TextoNormal"/>
      </w:pPr>
    </w:p>
    <w:p w14:paraId="7A675CE6" w14:textId="77777777" w:rsidR="009D7677" w:rsidRDefault="009D7677" w:rsidP="009D7677">
      <w:pPr>
        <w:pStyle w:val="TextoNormalNegritaCentrado"/>
        <w:keepNext/>
      </w:pPr>
      <w:r>
        <w:lastRenderedPageBreak/>
        <w:t>II. Fundamentos jurídicos</w:t>
      </w:r>
    </w:p>
    <w:p w14:paraId="01C476FD" w14:textId="69158A4B" w:rsidR="009D7677" w:rsidRDefault="009D7677" w:rsidP="009D7677">
      <w:pPr>
        <w:pStyle w:val="TextoNormalNegritaCentrado"/>
        <w:keepNext/>
      </w:pPr>
    </w:p>
    <w:p w14:paraId="58B958DF" w14:textId="77777777" w:rsidR="009D7677" w:rsidRDefault="009D7677" w:rsidP="009D7677">
      <w:pPr>
        <w:pStyle w:val="TextoNormal"/>
      </w:pPr>
      <w:r w:rsidRPr="009D7677">
        <w:rPr>
          <w:rStyle w:val="NumeroAFNegritaCaracter"/>
        </w:rPr>
        <w:t>1</w:t>
      </w:r>
      <w:r>
        <w:t xml:space="preserve">. </w:t>
      </w:r>
      <w:r w:rsidRPr="009D7677">
        <w:rPr>
          <w:i/>
        </w:rPr>
        <w:t>Objeto del recurso de amparo y pretensiones de las partes</w:t>
      </w:r>
    </w:p>
    <w:p w14:paraId="001C6E2C" w14:textId="77777777" w:rsidR="009D7677" w:rsidRDefault="009D7677" w:rsidP="009D7677">
      <w:pPr>
        <w:pStyle w:val="TextoNormal"/>
      </w:pPr>
    </w:p>
    <w:p w14:paraId="678242EE" w14:textId="77777777" w:rsidR="009D7677" w:rsidRDefault="009D7677" w:rsidP="009D7677">
      <w:pPr>
        <w:pStyle w:val="TextoNormal"/>
      </w:pPr>
      <w:r>
        <w:t>El presente recurso tiene por objeto determinar si las resoluciones impugnadas, en las que se acordó y confirmó la revocación, por el impago de la responsabilidad civil, de la suspensión de la ejecución de la condena del recurrente a una pena de prisión de veintiún meses, vulneraron su derecho a la tutela judicial efectiva (art. 24.1 CE) en relación con el derecho a la libertad personal (art. 17.1 CE).</w:t>
      </w:r>
    </w:p>
    <w:p w14:paraId="60697DF3" w14:textId="77777777" w:rsidR="009D7677" w:rsidRDefault="009D7677" w:rsidP="009D7677">
      <w:pPr>
        <w:pStyle w:val="TextoNormal"/>
      </w:pPr>
    </w:p>
    <w:p w14:paraId="6D5D9077" w14:textId="77777777" w:rsidR="009D7677" w:rsidRDefault="009D7677" w:rsidP="009D7677">
      <w:pPr>
        <w:pStyle w:val="TextoNormal"/>
      </w:pPr>
      <w:r>
        <w:t>El recurrente fundamenta la vulneración de su derecho en que tales decisiones se adoptaron sin cumplir con la motivación exigida por la doctrina constitucional, al no haber analizado su capacidad económica para evitar que ni la suspensión ni la revocación de la condena puedan condicionarse al pago de la responsabilidad civil cuando ese pago es imposible.</w:t>
      </w:r>
    </w:p>
    <w:p w14:paraId="68C0BB92" w14:textId="77777777" w:rsidR="009D7677" w:rsidRDefault="009D7677" w:rsidP="009D7677">
      <w:pPr>
        <w:pStyle w:val="TextoNormal"/>
      </w:pPr>
    </w:p>
    <w:p w14:paraId="32597E6A" w14:textId="77777777" w:rsidR="009D7677" w:rsidRDefault="009D7677" w:rsidP="009D7677">
      <w:pPr>
        <w:pStyle w:val="TextoNormal"/>
      </w:pPr>
      <w:r>
        <w:t>El letrado de la administración de la Seguridad Social se opone a la estimación del recurso al no resultar aplicable la doctrina de la STC 32/2022, de 7 de marzo. Alega que el recurrente fue oído en la ejecutoria con igualdad de armas y que, tras esa audiencia, la revocación se justificó por los órganos judiciales de forma razonable en el impago de la responsabilidad civil y en la falta de actividad probatoria del demandante sobre su ausencia de capacidad económica.</w:t>
      </w:r>
    </w:p>
    <w:p w14:paraId="5599B80B" w14:textId="77777777" w:rsidR="009D7677" w:rsidRDefault="009D7677" w:rsidP="009D7677">
      <w:pPr>
        <w:pStyle w:val="TextoNormal"/>
      </w:pPr>
    </w:p>
    <w:p w14:paraId="59F44FC5" w14:textId="77777777" w:rsidR="009D7677" w:rsidRDefault="009D7677" w:rsidP="009D7677">
      <w:pPr>
        <w:pStyle w:val="TextoNormal"/>
      </w:pPr>
      <w:r>
        <w:t>El abogado del Estado solicita la desestimación del recurso. Sostiene que la revocación se ajustó a las exigencias del derecho a la tutela judicial efectiva: las resoluciones apreciaron el impago de la indemnización y el recurrente no acreditó su falta de capacidad económica como le correspondía.</w:t>
      </w:r>
    </w:p>
    <w:p w14:paraId="355DDED5" w14:textId="77777777" w:rsidR="009D7677" w:rsidRDefault="009D7677" w:rsidP="009D7677">
      <w:pPr>
        <w:pStyle w:val="TextoNormal"/>
      </w:pPr>
    </w:p>
    <w:p w14:paraId="176E7E2E" w14:textId="58F952BD" w:rsidR="009D7677" w:rsidRDefault="009D7677" w:rsidP="009D7677">
      <w:pPr>
        <w:pStyle w:val="TextoNormal"/>
      </w:pPr>
      <w:r>
        <w:t>El fiscal defiende, en primer término, que el recurso debe inadmitirse por concurrir el óbice procesal insubsanable del art. 44.1 c) LOTC de no haberse invocado formalmente en el proceso la vulneración denunciada en la demanda de amparo. Subsidiariamente, considera que, en aplicación de la doctrina de la STC 32/2022, FJ 4, que exige analizar la capacidad económica del penado y el carácter reticente o involuntario del impago, el recurso debe estimarse porque las resoluciones judiciales impugnadas no realizaron dicho análisis vulnerando así el derecho del recurrente a la tutela judicial efectiva en relación con el derecho a la libertad individual.</w:t>
      </w:r>
    </w:p>
    <w:p w14:paraId="329D4A84" w14:textId="77777777" w:rsidR="009D7677" w:rsidRDefault="009D7677" w:rsidP="009D7677">
      <w:pPr>
        <w:pStyle w:val="TextoNormal"/>
      </w:pPr>
    </w:p>
    <w:p w14:paraId="5E7183B0" w14:textId="77777777" w:rsidR="009D7677" w:rsidRDefault="009D7677" w:rsidP="009D7677">
      <w:pPr>
        <w:pStyle w:val="TextoNormal"/>
      </w:pPr>
      <w:r w:rsidRPr="009D7677">
        <w:rPr>
          <w:rStyle w:val="NumeroAFNegritaCaracter"/>
        </w:rPr>
        <w:t>2</w:t>
      </w:r>
      <w:r>
        <w:t xml:space="preserve">. </w:t>
      </w:r>
      <w:r w:rsidRPr="009D7677">
        <w:rPr>
          <w:i/>
        </w:rPr>
        <w:t>Desestimación del óbice procesal de falta de invocación formal del derecho fundamental vulnerado en el proceso judicial</w:t>
      </w:r>
    </w:p>
    <w:p w14:paraId="7F241807" w14:textId="77777777" w:rsidR="009D7677" w:rsidRDefault="009D7677" w:rsidP="009D7677">
      <w:pPr>
        <w:pStyle w:val="TextoNormal"/>
      </w:pPr>
    </w:p>
    <w:p w14:paraId="22713EEB" w14:textId="77777777" w:rsidR="009D7677" w:rsidRDefault="009D7677" w:rsidP="009D7677">
      <w:pPr>
        <w:pStyle w:val="TextoNormal"/>
      </w:pPr>
      <w:r>
        <w:t>El fiscal sostiene que el recurso incumple el requisito procesal de admisión del art. 44.1 c) LOTC, que establece que las violaciones de los derechos y libertades susceptibles de amparo constitucional atribuibles a un órgano judicial podrán dar lugar a este recurso siempre que “se haya denunciado formalmente en el proceso, si hubo oportunidad, la vulneración del derecho constitucional tan pronto como, una vez conocida, hubiera lugar para ello”.</w:t>
      </w:r>
    </w:p>
    <w:p w14:paraId="0442757E" w14:textId="77777777" w:rsidR="009D7677" w:rsidRDefault="009D7677" w:rsidP="009D7677">
      <w:pPr>
        <w:pStyle w:val="TextoNormal"/>
      </w:pPr>
    </w:p>
    <w:p w14:paraId="37FAAAF8" w14:textId="77777777" w:rsidR="009D7677" w:rsidRDefault="009D7677" w:rsidP="009D7677">
      <w:pPr>
        <w:pStyle w:val="TextoNormal"/>
      </w:pPr>
      <w:r>
        <w:lastRenderedPageBreak/>
        <w:t xml:space="preserve">Para el fiscal, el recurso de reforma y subsidiario de apelación interpuesto contra la decisión revocatoria que, según la demanda, habría agotado la vía judicial previa, omite cualquier mención expresa o implícita de los derechos fundamentales que se invocan en amparo. Se afirma que en aquel recurso se alegaba que la revocación no cumplía con lo dispuesto en el art. 86.1 d) CP, lo que solo implica una denuncia de una infracción de legalidad ordinaria de la que los órganos judiciales no podían inferir qué vulneración de derechos fundamentales comportaba. Se sostiene además que “aun cuando hubiera podido plantear dudas desde el punto de vista de la existencia de una </w:t>
      </w:r>
      <w:r w:rsidRPr="009D7677">
        <w:rPr>
          <w:i/>
        </w:rPr>
        <w:t>vulneración autónoma</w:t>
      </w:r>
      <w:r>
        <w:t xml:space="preserve"> [en cursiva en el original] de los derechos invocados, el actor ni siquiera hizo uso de la posibilidad de preservar la subsidiariedad del amparo promoviendo un incidente de nulidad de actuaciones contra el auto de la Audiencia Provincial, que en su caso habría permitido a dicho órgano pronunciarse sobre las vulneraciones de derechos fundamentales”.</w:t>
      </w:r>
    </w:p>
    <w:p w14:paraId="42CBABBD" w14:textId="77777777" w:rsidR="009D7677" w:rsidRDefault="009D7677" w:rsidP="009D7677">
      <w:pPr>
        <w:pStyle w:val="TextoNormal"/>
      </w:pPr>
    </w:p>
    <w:p w14:paraId="40B7A645" w14:textId="77777777" w:rsidR="009D7677" w:rsidRDefault="009D7677" w:rsidP="009D7677">
      <w:pPr>
        <w:pStyle w:val="TextoNormal"/>
      </w:pPr>
      <w:r>
        <w:t xml:space="preserve">La alegación de este óbice procesal exige recordar que este tribunal ha reiterado, desde sus primeras sentencias, que el requisito del art. 44.1 c) LOTC no es un mero formalismo inocuo y que su interpretación debe efectuarse atendiendo a su finalidad, que es, por un lado, permitir que los juzgados y tribunales puedan cumplir con su función primigenia de tutelar los derechos y libertades susceptibles de amparo constitucional (arts. 53.2 CE y 7 de la Ley Orgánica del Poder Judicial), reparando las vulneraciones que sus resoluciones hubieran podido causar y, por otro, preservar el principio de subsidiariedad de la jurisdicción constitucional de amparo frente a violaciones atribuibles a los órganos judiciales, principio que resultaría desvirtuado si se planteasen en esta sede cuestiones sobre las que previamente los órganos de la jurisdicción ordinaria no hubiesen tenido ocasión de pronunciarse. Con este criterio finalista, el cumplimiento de este requisito se flexibiliza, de modo que no resulta “precisa la cita específica de un concreto precepto del texto constitucional, es decir, no se requiere una especie de </w:t>
      </w:r>
      <w:r w:rsidRPr="009D7677">
        <w:rPr>
          <w:i/>
        </w:rPr>
        <w:t>editio actionis</w:t>
      </w:r>
      <w:r>
        <w:t>, sino que basta para entenderlo cumplido con que se ofrezca base argumental suficiente a fin de que el órgano judicial pueda conocer la vulneración aducida y pronunciarse sobre ella” (STC 69/1997, de 8 de abril, FJ 3; también, entre otras muchas, SSTC 116/2002, de 20 de mayo, FJ 2; 41/2012, de 29 de marzo, FJ 4, y 111/2022, de 26 de septiembre, FJ 2).</w:t>
      </w:r>
    </w:p>
    <w:p w14:paraId="222B0B16" w14:textId="77777777" w:rsidR="009D7677" w:rsidRDefault="009D7677" w:rsidP="009D7677">
      <w:pPr>
        <w:pStyle w:val="TextoNormal"/>
      </w:pPr>
    </w:p>
    <w:p w14:paraId="2C2A1AE8" w14:textId="77777777" w:rsidR="009D7677" w:rsidRDefault="009D7677" w:rsidP="009D7677">
      <w:pPr>
        <w:pStyle w:val="TextoNormal"/>
      </w:pPr>
      <w:r>
        <w:t>En el presente caso debe admitirse que —como sostiene el fiscal— en el recurso de reforma y subsidiario de apelación interpuesto contra la decisión de revocación no se hizo referencia expresa a los arts. 24.1 y 17.1 CE, ni a la vulneración del derecho a la tutela judicial efectiva en relación con el derecho a la libertad. Sin embargo, frente a la objeción procesal planteada, debe afirmarse que, en ese recurso ordinario —que fue la oportunidad que el recurrente tuvo para denunciar en el proceso de forma tempestiva la vulneración que ahora se alega en la demanda de amparo— sí que se ofreció una base argumental suficiente para que el Juzgado de lo Penal núm. 4 de Santander y la Sección Primera de la Audiencia Provincial de Cantabria pudieran pronunciarse sobre la vulneración que se aducía de forma implícita.</w:t>
      </w:r>
    </w:p>
    <w:p w14:paraId="3399B7E0" w14:textId="77777777" w:rsidR="009D7677" w:rsidRDefault="009D7677" w:rsidP="009D7677">
      <w:pPr>
        <w:pStyle w:val="TextoNormal"/>
      </w:pPr>
    </w:p>
    <w:p w14:paraId="7FE97709" w14:textId="77777777" w:rsidR="009D7677" w:rsidRDefault="009D7677" w:rsidP="009D7677">
      <w:pPr>
        <w:pStyle w:val="TextoNormal"/>
      </w:pPr>
      <w:r>
        <w:t xml:space="preserve">En el citado recurso ante la jurisdicción ordinaria se denunciaba la “clara contradicción”, sin “lógica ninguna”, entre ser declarado insolvente con suspensión de la ejecución de la responsabilidad personal subsidiaria por el impago de la pena de multa, mediante los sucesivos autos del juzgado de 23 y 24 de noviembre de 2021, y revocar con posterioridad, mediante auto de 3 de febrero de 2022, la suspensión condicional de la condena de veintiún meses de prisión por el impago de la responsabilidad civil. Se decía también que </w:t>
      </w:r>
      <w:r>
        <w:lastRenderedPageBreak/>
        <w:t>no se trataba de un “incumplimiento voluntario”, sino de la imposibilidad material de pagar, con lo que la decisión de revocación infringía lo dispuesto en el art. 86.1 d) CP, al estar excluida cuando el penado carecía de capacidad económica para afrontar el pago.</w:t>
      </w:r>
    </w:p>
    <w:p w14:paraId="24A3787B" w14:textId="77777777" w:rsidR="009D7677" w:rsidRDefault="009D7677" w:rsidP="009D7677">
      <w:pPr>
        <w:pStyle w:val="TextoNormal"/>
      </w:pPr>
    </w:p>
    <w:p w14:paraId="5F1E6AA9" w14:textId="50929A0A" w:rsidR="009D7677" w:rsidRDefault="009D7677" w:rsidP="009D7677">
      <w:pPr>
        <w:pStyle w:val="TextoNormal"/>
      </w:pPr>
      <w:r>
        <w:t>Estas alegaciones reflejan una tacha de incumplimiento del deber de motivación de una decisión judicial de revocación que incidirá en la libertad del penado, para quien tal decisión no resulta razonable, porque es contradictoria con haber sido declarado insolvente y arbitraria por carecer de cobertura legal; lo que equivale a quejarse, aunque no se explicite, de la vulneración del derecho a la tutela judicial efectiva (art. 24.1 CE), que es el derecho concernido, en relación con el derecho a la libertad individual (art. 17.1 CE), cuya protección se solicita en la demanda de amparo en términos semejantes a los del recurso interpuesto en la vía judicial. Los órganos judiciales, al resolver el recurso de reforma y de apelación subsidiaria, pudieron conocer esta queja, haberse pronunciado sobre ella y, en su caso, haber reparado la vulneración suscitada en el debate previo planteado, por lo que, en aplicación del criterio finalista que preside la interpretación del requisito del art. 44.1 c) LOTC, debe desestimarse el óbice procesal alegado por el fiscal.</w:t>
      </w:r>
    </w:p>
    <w:p w14:paraId="792986A8" w14:textId="77777777" w:rsidR="009D7677" w:rsidRDefault="009D7677" w:rsidP="009D7677">
      <w:pPr>
        <w:pStyle w:val="TextoNormal"/>
      </w:pPr>
    </w:p>
    <w:p w14:paraId="101FF61C" w14:textId="77777777" w:rsidR="009D7677" w:rsidRDefault="009D7677" w:rsidP="009D7677">
      <w:pPr>
        <w:pStyle w:val="TextoNormal"/>
      </w:pPr>
      <w:r w:rsidRPr="009D7677">
        <w:rPr>
          <w:rStyle w:val="NumeroAFNegritaCaracter"/>
        </w:rPr>
        <w:t>3</w:t>
      </w:r>
      <w:r>
        <w:t xml:space="preserve">. </w:t>
      </w:r>
      <w:r w:rsidRPr="009D7677">
        <w:rPr>
          <w:i/>
        </w:rPr>
        <w:t>Doctrina constitucional aplicable a las exigencias de motivación de las decisiones de revocación de la suspensión condicional de la ejecución de una pena privativa de libertad por impago de la responsabilidad civil: STC 32/2022, de 7 de marzo</w:t>
      </w:r>
    </w:p>
    <w:p w14:paraId="3CD2166D" w14:textId="77777777" w:rsidR="009D7677" w:rsidRDefault="009D7677" w:rsidP="009D7677">
      <w:pPr>
        <w:pStyle w:val="TextoNormal"/>
      </w:pPr>
    </w:p>
    <w:p w14:paraId="51697364" w14:textId="77777777" w:rsidR="009D7677" w:rsidRDefault="009D7677" w:rsidP="009D7677">
      <w:pPr>
        <w:pStyle w:val="TextoNormal"/>
      </w:pPr>
      <w:r>
        <w:t>El recurrente se queja de que la revocación de la suspensión condicional de la ejecución de su condena a una pena de prisión de veintiún meses, por el impago de la responsabilidad civil, vulneró su derecho a la tutela judicial efectiva en relación con el derecho a la libertad; pues al no analizar la capacidad económica del penado, las resoluciones impugnadas contravinieron las exigencias constitucionales de motivación que pretenden evitar que la suspensión o la revocación de una condena a una pena privativa de libertad pueda condicionarse al pago de la responsabilidad civil, cuando ese pago es imposible.</w:t>
      </w:r>
    </w:p>
    <w:p w14:paraId="2C131050" w14:textId="77777777" w:rsidR="009D7677" w:rsidRDefault="009D7677" w:rsidP="009D7677">
      <w:pPr>
        <w:pStyle w:val="TextoNormal"/>
      </w:pPr>
    </w:p>
    <w:p w14:paraId="7B5B3779" w14:textId="77777777" w:rsidR="009D7677" w:rsidRDefault="009D7677" w:rsidP="009D7677">
      <w:pPr>
        <w:pStyle w:val="TextoNormal"/>
      </w:pPr>
      <w:r>
        <w:t>La queja del recurrente coincide con una de las vulneraciones, la relativa al incumplimiento de las exigencias de motivación de una decisión de revocación de la suspensión condicional, que fue denunciada y estimada en la STC 32/2022, de 7 de marzo. Por esta razón, primero se recordarán las exigencias de motivación establecidas en esta sentencia y, en el fundamento siguiente, se comprobará su cumplimiento mediante el examen de la motivación ofrecida por cada una de las resoluciones impugnadas. Se adelanta que, tras este análisis, se concluye que la vulneración se ha producido.</w:t>
      </w:r>
    </w:p>
    <w:p w14:paraId="4DD5D497" w14:textId="77777777" w:rsidR="009D7677" w:rsidRDefault="009D7677" w:rsidP="009D7677">
      <w:pPr>
        <w:pStyle w:val="TextoNormal"/>
      </w:pPr>
    </w:p>
    <w:p w14:paraId="6BF1E0B0" w14:textId="77777777" w:rsidR="009D7677" w:rsidRDefault="009D7677" w:rsidP="009D7677">
      <w:pPr>
        <w:pStyle w:val="TextoNormal"/>
      </w:pPr>
      <w:r>
        <w:t>La STC 32/2022, FJ 4, fija la doctrina constitucional (reiterada en la STC 184/2023, de 11 de diciembre, FJ 3), relativa a la tutela judicial efectiva (art. 24.1 CE) en relación con el derecho a la libertad personal (art. 17.1 CE), sobre las exigencias de motivación que deben observar las decisiones judiciales —en materia de revocación de la suspensión de la ejecución de penas privativas de libertad— cuando se incumple la obligación de satisfacer la responsabilidad civil derivada del delito impuesta como condición para suspender la ejecución de la condena.</w:t>
      </w:r>
    </w:p>
    <w:p w14:paraId="41DDCE5D" w14:textId="77777777" w:rsidR="009D7677" w:rsidRDefault="009D7677" w:rsidP="009D7677">
      <w:pPr>
        <w:pStyle w:val="TextoNormal"/>
      </w:pPr>
    </w:p>
    <w:p w14:paraId="6316C1FA" w14:textId="0A302CB7" w:rsidR="009D7677" w:rsidRDefault="009D7677" w:rsidP="009D7677">
      <w:pPr>
        <w:pStyle w:val="TextoNormal"/>
      </w:pPr>
      <w:r>
        <w:t xml:space="preserve">Esta doctrina exige que la motivación de la revocación, en este supuesto, analice de modo específico la capacidad económica del penado referida al momento de adoptar la decisión revocatoria, que habrá de razonar sobre el carácter injustificado del impago o </w:t>
      </w:r>
      <w:r>
        <w:lastRenderedPageBreak/>
        <w:t>sobre si existe una situación de imposibilidad material que lo impida, en cuyo caso no procederá la revocación. Los derechos y fines involucrados en esta clase de decisiones: la incidencia en la libertad de las personas, la finalidad reeducativa y de reinserción social inherente a las alternativas al cumplimento de penas privativas de libertad —entre ellas, la suspensión y su eventual revocación—, y el derecho a no sufrir discriminación en el acceso a estas alternativas en función de la capacidad económica, así lo imponen. Y también se desprende de la salvedad prevista en el art. 86.1 d) CP que, tras disponer como motivo de revocación que el penado “no dé cumplimiento al compromiso de pago de las responsabilidades civiles a que hubiera sido condenado”, excepciona: “salvo que careciera de capacidad económica para ello”.</w:t>
      </w:r>
    </w:p>
    <w:p w14:paraId="524E506F" w14:textId="77777777" w:rsidR="009D7677" w:rsidRDefault="009D7677" w:rsidP="009D7677">
      <w:pPr>
        <w:pStyle w:val="TextoNormal"/>
      </w:pPr>
    </w:p>
    <w:p w14:paraId="41EB0610" w14:textId="77777777" w:rsidR="009D7677" w:rsidRDefault="009D7677" w:rsidP="009D7677">
      <w:pPr>
        <w:pStyle w:val="TextoNormal"/>
      </w:pPr>
      <w:r w:rsidRPr="009D7677">
        <w:rPr>
          <w:rStyle w:val="NumeroAFNegritaCaracter"/>
        </w:rPr>
        <w:t>4</w:t>
      </w:r>
      <w:r>
        <w:t xml:space="preserve">. </w:t>
      </w:r>
      <w:r w:rsidRPr="009D7677">
        <w:rPr>
          <w:i/>
        </w:rPr>
        <w:t>Incumplimiento de las exigencias de motivación</w:t>
      </w:r>
    </w:p>
    <w:p w14:paraId="7183D6E6" w14:textId="77777777" w:rsidR="009D7677" w:rsidRDefault="009D7677" w:rsidP="009D7677">
      <w:pPr>
        <w:pStyle w:val="TextoNormal"/>
      </w:pPr>
    </w:p>
    <w:p w14:paraId="6498C3AF" w14:textId="77777777" w:rsidR="009D7677" w:rsidRDefault="009D7677" w:rsidP="009D7677">
      <w:pPr>
        <w:pStyle w:val="TextoNormal"/>
      </w:pPr>
      <w:r>
        <w:t>a) Comenzando con el estudio del auto de revocación de 3 de febrero de 2022 del Juzgado de lo Penal núm. 4 de Santander, debe afirmarse que esta resolución se limitó a constatar: Por un lado, el abono parcial de 1200 € del total de la responsabilidad civil (14 442,55 €) que el penado se había comprometido a pagar en la sentencia de conformidad en veinticuatro mensualidades desde que se le requirió de pago el 22 de enero de 2019, un día antes del dictado de la sentencia. Y por otro, que el penado tenía conocimiento de su obligación y de las consecuencias de no efectuar ese pago que se le impuso como condición en sentencia para suspender la ejecución de la pena de prisión de veintiún meses. Este automatismo en la motivación basado en el binomio impago-revocación, —sin dejar espacio al análisis de la capacidad económica del penado para valorar si la falta de pago carecía de justificación o si fue imposible— significó infringir el deber de motivación específica que la satisfacción del derecho a la tutela judicial efectiva (art. 24.1 CE) exige cuando se resuelve en esta materia que incide en la libertad de las personas (art. 17.1 CE).</w:t>
      </w:r>
    </w:p>
    <w:p w14:paraId="0B191BDB" w14:textId="77777777" w:rsidR="009D7677" w:rsidRDefault="009D7677" w:rsidP="009D7677">
      <w:pPr>
        <w:pStyle w:val="TextoNormal"/>
      </w:pPr>
    </w:p>
    <w:p w14:paraId="025AC26D" w14:textId="77777777" w:rsidR="009D7677" w:rsidRDefault="009D7677" w:rsidP="009D7677">
      <w:pPr>
        <w:pStyle w:val="TextoNormal"/>
      </w:pPr>
      <w:r>
        <w:t>Durante la tramitación de la ejecutoria, como se ha reflejado en los antecedentes, el órgano judicial acordó realizar de oficio —mediante diligencias de ordenación de 16 de octubre de 2019 y de 25 de marzo de 2021— averiguaciones sobre el patrimonio del señor Pérez Vázquez, cuyo resultado fue positivo y hasta puso de manifiesto que era titular de un piso en la ciudad de Santander. Sin embargo, el juzgado no valoró esta información como indiciaria de su capacidad económica; al contrario, declaró insolvente al penado mediante auto de 23 de noviembre de 2021 y, mediante auto del día 24 siguiente, acordó la suspensión de la pena de cuatro meses y quince días de privación de libertad que le hubiese correspondido cumplir por no haber satisfecho voluntariamente ni en vía de apremio la pena de multa impuesta de nueve meses con una cuota diaria de tres euros. Transcurridos poco más de dos meses desde esta declaración de insolvencia y del citado acuerdo de suspensión, el juzgado dictó el auto de revocación de 3 de febrero de 2022 que da origen al presente proceso de amparo.</w:t>
      </w:r>
    </w:p>
    <w:p w14:paraId="5AC1F4D8" w14:textId="77777777" w:rsidR="009D7677" w:rsidRDefault="009D7677" w:rsidP="009D7677">
      <w:pPr>
        <w:pStyle w:val="TextoNormal"/>
      </w:pPr>
    </w:p>
    <w:p w14:paraId="4705B45E" w14:textId="77777777" w:rsidR="009D7677" w:rsidRDefault="009D7677" w:rsidP="009D7677">
      <w:pPr>
        <w:pStyle w:val="TextoNormal"/>
      </w:pPr>
      <w:r>
        <w:t xml:space="preserve">b) Contra este auto el penado interpuso recurso de reforma y subsidiario de apelación en el que se alegaba la contradicción entre haber sido declarado insolvente con un acuerdo de suspensión de una pena privativa de libertad y la revocación de la suspensión de la ejecución de la pena de prisión de veintiún meses por el impago de la responsabilidad civil. Asimismo, se aducía que no se trataba de un “incumplimiento voluntario”, sino de la imposibilidad material de pagar, con lo que la decisión de revocación infringía lo dispuesto </w:t>
      </w:r>
      <w:r>
        <w:lastRenderedPageBreak/>
        <w:t>en el art. 86.1 d) CP, que excluía la revocación cuando el penado carecía de capacidad económica para afrontar el pago.</w:t>
      </w:r>
    </w:p>
    <w:p w14:paraId="3AE1EAEA" w14:textId="77777777" w:rsidR="009D7677" w:rsidRDefault="009D7677" w:rsidP="009D7677">
      <w:pPr>
        <w:pStyle w:val="TextoNormal"/>
      </w:pPr>
    </w:p>
    <w:p w14:paraId="10BC2839" w14:textId="77777777" w:rsidR="009D7677" w:rsidRDefault="009D7677" w:rsidP="009D7677">
      <w:pPr>
        <w:pStyle w:val="TextoNormal"/>
      </w:pPr>
      <w:r>
        <w:t>El Juzgado de lo Penal núm. 4 de Santander desestimó el recurso de reforma por auto de 8 de marzo de 2022, mediante la fórmula remisoria de que las alegaciones del recurrente no desvirtuaban la legalidad de la resolución impugnada. Al asumir los argumentos del auto recurrido, esta nueva respuesta judicial reincidió en la infracción del deber de motivación específica. Y, además, la resolución infringió el deber de ofrecer una respuesta jurídicamente motivada y congruente con lo alegado al no responder a ninguna de las alegaciones que el recurrente planteó en su recurso —la contradicción insolvencia-revocación y la infracción del citado art. 86.1 d) CP— y que el auto de revocación no había contemplado.</w:t>
      </w:r>
    </w:p>
    <w:p w14:paraId="7D7F5389" w14:textId="77777777" w:rsidR="009D7677" w:rsidRDefault="009D7677" w:rsidP="009D7677">
      <w:pPr>
        <w:pStyle w:val="TextoNormal"/>
      </w:pPr>
    </w:p>
    <w:p w14:paraId="1D8E48A4" w14:textId="77777777" w:rsidR="009D7677" w:rsidRDefault="009D7677" w:rsidP="009D7677">
      <w:pPr>
        <w:pStyle w:val="TextoNormal"/>
      </w:pPr>
      <w:r>
        <w:t>c) Tramitado el recurso de apelación subsidiariamente interpuesto, la Sección Primera de la Audiencia Provincial de Cantabria, mediante auto núm. 176/2022, de 5 de abril, lo desestimó y confirmó la decisión de revocación. La sección, a diferencia del juzgado, sí que tuvo en cuenta las alegaciones del recurrente relativas a la imposibilidad material de pagar y a la contradicción que existía entre la declaración judicial de insolvencia y la revocación del beneficio de la suspensión de la ejecución de la pena de prisión. Sin embargo, rechazó estas alegaciones realizando, en primer lugar, un juicio de intenciones sobre la posible falta de seriedad del penado en la asunción del compromiso de pago de la responsabilidad civil, cuya tolerancia conduciría al fraude y a la impunidad porque no se repararía el perjuicio derivado del enriquecimiento ilícito obtenido con el delito. Y, en segundo lugar, reduciendo el asunto a una cuestión de distribución de la carga probatoria en la que correspondería al recurrente acreditar el empeoramiento de su situación económica durante el plazo de suspensión. En esta segunda línea argumentativa se alinean el letrado de la Seguridad Social y el abogado del Estado, que insiste en que es carga exclusiva del penado aportar al órgano judicial elementos para decidir sobre la revocación de la suspensión, aunque admite el impulso de oficio cuando se trata de la ejecución de la responsabilidad civil.</w:t>
      </w:r>
    </w:p>
    <w:p w14:paraId="785E399E" w14:textId="77777777" w:rsidR="009D7677" w:rsidRDefault="009D7677" w:rsidP="009D7677">
      <w:pPr>
        <w:pStyle w:val="TextoNormal"/>
      </w:pPr>
    </w:p>
    <w:p w14:paraId="12914669" w14:textId="77777777" w:rsidR="009D7677" w:rsidRDefault="009D7677" w:rsidP="009D7677">
      <w:pPr>
        <w:pStyle w:val="TextoNormal"/>
      </w:pPr>
      <w:r>
        <w:t>La argumentación que encierra el auto de la Sección Primera de la Audiencia Provincial de Cantabria descansa en una conjetura sobre la realidad del propósito de pago que el penado tenía cuando se le concedió el beneficio de la suspensión condicional y en la consideración de que el ejecutado no actuó con diligencia a la hora de acreditar su incapacidad económica. Pero conjeturar sobre intenciones y atribuir negligencias no satisface el canon de motivación específica o reforzada que debe presidir la adopción y también la revisión por el órgano judicial de apelación de una decisión de revocación de la suspensión de la ejecución de una pena privativa de libertad. Porque con esas conjeturas y atribuciones se deja de analizar la capacidad económica del penado en el momento de adoptar la decisión de revocación y no se valora si el impago fue injustificado o imposible por faltar dicha capacidad, tal y como exige el derecho a la tutela judicial efectiva en relación con el derecho a la libertad personal en esta clase de decisiones en atención, como dijimos, a los intereses en juego y se desprende, además, de la propia ley penal que impide efectuar un pronunciamiento revocatorio por impago de la responsabilidad civil cuando el penado “careciera de capacidad económica para ello” [art. 86.1 d) CP].</w:t>
      </w:r>
    </w:p>
    <w:p w14:paraId="3DBC16E6" w14:textId="77777777" w:rsidR="009D7677" w:rsidRDefault="009D7677" w:rsidP="009D7677">
      <w:pPr>
        <w:pStyle w:val="TextoNormal"/>
      </w:pPr>
    </w:p>
    <w:p w14:paraId="458335EB" w14:textId="77777777" w:rsidR="009D7677" w:rsidRDefault="009D7677" w:rsidP="009D7677">
      <w:pPr>
        <w:pStyle w:val="TextoNormal"/>
      </w:pPr>
      <w:r>
        <w:lastRenderedPageBreak/>
        <w:t>La audiencia a las partes y al Ministerio Fiscal, que el art. 86.4 CP regula como incidente contradictorio previo a resolver sobre la revocación del beneficio de la suspensión de la ejecución, tiene como objetivo garantizar el derecho a la defensa ofreciendo la oportunidad de alegar, aportar o solicitar lo que se estime conveniente para fundamentar jurídicamente cada pretensión (STC 32/2022, FJ 2). Pero de esta oportunidad procesal de alegación y aportación no cabe inferir que la ausencia de actividad de la parte exima a los órganos judiciales intervinientes de analizar en su decisión respectiva la capacidad económica del penado en el momento de la revocación para comprobar si el impago se justifica o no.</w:t>
      </w:r>
    </w:p>
    <w:p w14:paraId="1A61FCDD" w14:textId="77777777" w:rsidR="009D7677" w:rsidRDefault="009D7677" w:rsidP="009D7677">
      <w:pPr>
        <w:pStyle w:val="TextoNormal"/>
      </w:pPr>
    </w:p>
    <w:p w14:paraId="51E59986" w14:textId="77777777" w:rsidR="009D7677" w:rsidRDefault="009D7677" w:rsidP="009D7677">
      <w:pPr>
        <w:pStyle w:val="TextoNormal"/>
      </w:pPr>
      <w:r>
        <w:t>A tal efecto, los órganos judiciales deberán valorar, claro está, las alegaciones y pruebas aportadas por las partes sobre su capacidad económica con el fin satisfacer el contenido más elemental del derecho a la motivación de las resoluciones judiciales. Pero, para cumplir con las exigencias de motivación específica de las decisiones de revocación, los órganos judiciales no se podrán limitar a valorar lo que las partes hubieran podido alegar y aportar, sino que atenderán asimismo a lo actuado en la ejecutoria, donde encontrarán normalmente elementos o resoluciones que servirán para efectuar aquel examen de la situación patrimonial. De no existir o ser insuficientes, los órganos judiciales realizarán de oficio las averiguaciones que resulten precisas para efectuar el análisis debido, actuación de oficio que se estima proporcionada porque de ella puede depender que se mantenga o revoque la situación de libertad en la que el penado se halla.</w:t>
      </w:r>
    </w:p>
    <w:p w14:paraId="533D2D9A" w14:textId="77777777" w:rsidR="009D7677" w:rsidRDefault="009D7677" w:rsidP="009D7677">
      <w:pPr>
        <w:pStyle w:val="TextoNormal"/>
      </w:pPr>
    </w:p>
    <w:p w14:paraId="50BAA42E" w14:textId="77777777" w:rsidR="009D7677" w:rsidRDefault="009D7677" w:rsidP="009D7677">
      <w:pPr>
        <w:pStyle w:val="TextoNormal"/>
      </w:pPr>
      <w:r>
        <w:t>En síntesis: “más allá de lo que manifieste el penado, el órgano judicial debe emprender una averiguación del patrimonio real de este último”, tal y como dijimos en la STC 132/2022, de 24 de octubre, FJ 4 c), relativa a un supuesto de denegación de la suspensión de la ejecución de una pena de prisión por considerarse que el penado no había asumido un compromiso serio y real de satisfacer la responsabilidad civil. El mismo criterio de actuación de oficio debe seguirse cuando se trata de la revocación, puesto que suspensión y revocación están sujetas a idéntico criterio de evaluar la situación económica solo que referida, respectivamente, a un momento inicial y a otro posterior en la aplicación de esta institución alternativa al cumplimiento de penas privativas de libertad.</w:t>
      </w:r>
    </w:p>
    <w:p w14:paraId="68BC216B" w14:textId="77777777" w:rsidR="009D7677" w:rsidRDefault="009D7677" w:rsidP="009D7677">
      <w:pPr>
        <w:pStyle w:val="TextoNormal"/>
      </w:pPr>
    </w:p>
    <w:p w14:paraId="4C258572" w14:textId="77777777" w:rsidR="009D7677" w:rsidRDefault="009D7677" w:rsidP="009D7677">
      <w:pPr>
        <w:pStyle w:val="TextoNormal"/>
      </w:pPr>
      <w:r>
        <w:t>Si la responsabilidad civil derivada del delito se impulsa de oficio, como sostiene el abogado del Estado, con mayor motivo cabe realizar de oficio, por ejemplo, una simple averiguación de bienes para valorar la capacidad económica y decidir sobre el mantenimiento o la revocación de la suspensión de la ejecución. No se trata de que deba agotarse la vía de apremio sobre los bienes existentes antes de decidir sobre la revocación, sino de obtener de oficio la información que resulte necesaria para poder valorar la capacidad económica del penado a la hora de tomar esta decisión y comprobar el carácter reticente del impago o su involuntariedad. Por tanto, no cabe que los órganos judiciales se escuden en la falta de actividad probatoria del penado sobre el empeoramiento de su situación económica —como hizo la Sección Primera de la Audiencia Provincial— para confirmar la decisión de revocación, y menos para adoptarla. Los órganos judiciales tendrán que examinar lo actuado o, en su defecto, obtener de oficio la información que estimen precisa para analizar la capacidad económica del penado y decidir sobre el mantenimiento o la revocación de la suspensión de la ejecución.</w:t>
      </w:r>
    </w:p>
    <w:p w14:paraId="215589EA" w14:textId="77777777" w:rsidR="009D7677" w:rsidRDefault="009D7677" w:rsidP="009D7677">
      <w:pPr>
        <w:pStyle w:val="TextoNormal"/>
      </w:pPr>
    </w:p>
    <w:p w14:paraId="759B7A7B" w14:textId="02750B3C" w:rsidR="009D7677" w:rsidRDefault="009D7677" w:rsidP="009D7677">
      <w:pPr>
        <w:pStyle w:val="TextoNormal"/>
      </w:pPr>
      <w:r>
        <w:t xml:space="preserve">Los órganos judiciales en el presente caso tenían a su disposición elementos y resoluciones (dos averiguaciones patrimoniales, un auto de insolvencia y un auto suspendiendo </w:t>
      </w:r>
      <w:r>
        <w:lastRenderedPageBreak/>
        <w:t>otra pena privativa de libertad) que proporcionaban información para valorar la capacidad económica del penado en el momento de tomar la decisión revocatoria. Sin embargo, ni el Juzgado de lo Penal núm. 4 de Santander ni la Sección Primera de la Audiencia Provincial de Cantabria los tuvieron en cuenta. En estas circunstancias, alegar y razonar que correspondía al penado en exclusiva cargar con la prueba del empeoramiento de su situación económica revela la inercia de una ejecutoria en la que, en un escaso intervalo de tiempo, se declara la insolvencia del condenado con suspensión de una pena privativa de libertad y, presumiendo tanto su solvencia —al no acreditar lo contrario— como el carácter falsario del compromiso de pago asumido tres años antes, se acuerda sin solución de continuidad la revocación de la suspensión de la ejecución de la pena de prisión impuesta con la simple constatación del impago de la responsabilidad civil.</w:t>
      </w:r>
    </w:p>
    <w:p w14:paraId="377F70E1" w14:textId="77777777" w:rsidR="009D7677" w:rsidRDefault="009D7677" w:rsidP="009D7677">
      <w:pPr>
        <w:pStyle w:val="TextoNormal"/>
      </w:pPr>
    </w:p>
    <w:p w14:paraId="40077BC4" w14:textId="77777777" w:rsidR="009D7677" w:rsidRDefault="009D7677" w:rsidP="009D7677">
      <w:pPr>
        <w:pStyle w:val="TextoNormal"/>
      </w:pPr>
      <w:r w:rsidRPr="009D7677">
        <w:rPr>
          <w:rStyle w:val="NumeroAFNegritaCaracter"/>
        </w:rPr>
        <w:t>5</w:t>
      </w:r>
      <w:r>
        <w:t xml:space="preserve">. </w:t>
      </w:r>
      <w:r w:rsidRPr="009D7677">
        <w:rPr>
          <w:i/>
        </w:rPr>
        <w:t>Resolución del recurso: estimación y efectos</w:t>
      </w:r>
    </w:p>
    <w:p w14:paraId="50AEC6F7" w14:textId="77777777" w:rsidR="009D7677" w:rsidRDefault="009D7677" w:rsidP="009D7677">
      <w:pPr>
        <w:pStyle w:val="TextoNormal"/>
      </w:pPr>
    </w:p>
    <w:p w14:paraId="59141685" w14:textId="77777777" w:rsidR="009D7677" w:rsidRDefault="009D7677" w:rsidP="009D7677">
      <w:pPr>
        <w:pStyle w:val="TextoNormal"/>
      </w:pPr>
      <w:r>
        <w:t>En virtud de las razones expuestas en el fundamento anterior, debe declararse que las resoluciones judiciales impugnadas vulneraron el derecho a la tutela judicial efectiva del recurrente (art. 24.1 CE) en relación con el derecho a la libertad personal (art. 17.1 CE), al no haber cumplido con las exigencias de motivación específica o reforzada de analizar la capacidad económica del penado en el momento de acordar la revocación para así valorar el carácter injustificado del impago o su imposibilidad.</w:t>
      </w:r>
    </w:p>
    <w:p w14:paraId="06CDAEBF" w14:textId="77777777" w:rsidR="009D7677" w:rsidRDefault="009D7677" w:rsidP="009D7677">
      <w:pPr>
        <w:pStyle w:val="TextoNormal"/>
      </w:pPr>
    </w:p>
    <w:p w14:paraId="1C024B92" w14:textId="4C3F3235" w:rsidR="009D7677" w:rsidRDefault="009D7677" w:rsidP="009D7677">
      <w:pPr>
        <w:pStyle w:val="TextoNormal"/>
      </w:pPr>
      <w:r>
        <w:t>En consecuencia, el recuso debe estimarse [art. 53 a) LOTC] y, conforme a lo dispuesto en el art. 55.1 LOTC, debe reconocerse la vulneración del derecho a la tutela judicial efectiva del recurrente en relación con el derecho a la libertad personal. El restablecimiento del derecho, en este caso, al igual que se hizo en la STC 184/2023, FJ 5, no debe pasar por la retroacción del procedimiento para que el juzgado de lo penal dicte una nueva resolución. El hecho de que la decisión de revocación se acordase el 3 de febrero de 2022 transcurrido el plazo de suspensión de tres años, después de declarar insolvente al recurrente y suspenderle otra pena privativa de libertad sucesivamente los días 23 y 24 de noviembre de 2021, determina que este tribunal juzgue más adecuada la anulación de las resoluciones impugnadas y de las actuaciones posteriores dirigidas a la ejecución de la pena de prisión de veintiún meses para restablecer el derecho cuya vulneración ha sido reconocida.</w:t>
      </w:r>
    </w:p>
    <w:p w14:paraId="5A935F00" w14:textId="77777777" w:rsidR="009D7677" w:rsidRDefault="009D7677" w:rsidP="009D7677">
      <w:pPr>
        <w:pStyle w:val="TextoNormal"/>
      </w:pPr>
    </w:p>
    <w:p w14:paraId="40D3BC93" w14:textId="77777777" w:rsidR="009D7677" w:rsidRDefault="009D7677" w:rsidP="009D7677">
      <w:pPr>
        <w:pStyle w:val="TextoNormalCentrado"/>
        <w:keepNext/>
      </w:pPr>
      <w:r>
        <w:t>FALLO</w:t>
      </w:r>
    </w:p>
    <w:p w14:paraId="260B5191" w14:textId="1B44FE12" w:rsidR="009D7677" w:rsidRDefault="009D7677" w:rsidP="009D7677">
      <w:pPr>
        <w:pStyle w:val="TextoNormalCentrado"/>
        <w:keepNext/>
      </w:pPr>
    </w:p>
    <w:p w14:paraId="4B3FF6C5" w14:textId="77777777" w:rsidR="009D7677" w:rsidRDefault="009D7677" w:rsidP="009D7677">
      <w:pPr>
        <w:pStyle w:val="TextoNormal"/>
      </w:pPr>
      <w:r>
        <w:t>En atención a todo lo expuesto, el Tribunal Constitucional, por la autoridad que le confiere la Constitución de la Nación española, ha decidido decidido estimar el recurso de amparo interpuesto por don Antonio Pérez Vázquez y, en su virtud:</w:t>
      </w:r>
    </w:p>
    <w:p w14:paraId="1DE3B443" w14:textId="77777777" w:rsidR="009D7677" w:rsidRDefault="009D7677" w:rsidP="009D7677">
      <w:pPr>
        <w:pStyle w:val="TextoNormal"/>
      </w:pPr>
    </w:p>
    <w:p w14:paraId="37252F0C" w14:textId="77777777" w:rsidR="009D7677" w:rsidRDefault="009D7677" w:rsidP="009D7677">
      <w:pPr>
        <w:pStyle w:val="TextoNormal"/>
      </w:pPr>
      <w:r>
        <w:t>1º Declarar y reconocer que ha sido vulnerado su derecho a la tutela judicial efectiva (art. 24.1 CE) en relación con el derecho a la libertad personal (art. 17.1 CE).</w:t>
      </w:r>
    </w:p>
    <w:p w14:paraId="6A57A912" w14:textId="77777777" w:rsidR="009D7677" w:rsidRDefault="009D7677" w:rsidP="009D7677">
      <w:pPr>
        <w:pStyle w:val="TextoNormal"/>
      </w:pPr>
    </w:p>
    <w:p w14:paraId="52B34683" w14:textId="16D6B019" w:rsidR="009D7677" w:rsidRDefault="009D7677" w:rsidP="009D7677">
      <w:pPr>
        <w:pStyle w:val="TextoNormal"/>
      </w:pPr>
      <w:r>
        <w:t xml:space="preserve">2º Restablecerlo en su derecho y, a tal fin, declarar la nulidad de los autos de 3 de febrero y de 8 de marzo de 2022, dictados por el Juzgado de lo Penal núm. 4 de Santander en la ejecutoria penal núm. 39-2019, del auto núm. 176/2022, de 5 de abril, de la Sección Primera de la Audiencia Provincial de Cantabria, dictado en el recurso de apelación núm. </w:t>
      </w:r>
      <w:r>
        <w:lastRenderedPageBreak/>
        <w:t>237-2022, y de todas las actuaciones posteriores dirigidas a la ejecución de la pena de prisión impuesta al recurrente.</w:t>
      </w:r>
    </w:p>
    <w:p w14:paraId="239E2A8C" w14:textId="77777777" w:rsidR="009D7677" w:rsidRDefault="009D7677" w:rsidP="009D7677">
      <w:pPr>
        <w:pStyle w:val="TextoNormal"/>
      </w:pPr>
    </w:p>
    <w:p w14:paraId="37475956" w14:textId="77777777" w:rsidR="009D7677" w:rsidRDefault="009D7677" w:rsidP="009D7677">
      <w:pPr>
        <w:pStyle w:val="TextoNormal"/>
      </w:pPr>
      <w:r>
        <w:t>Publíquese esta sentencia en el “Boletín Oficial del Estado”.</w:t>
      </w:r>
    </w:p>
    <w:p w14:paraId="3FF24425" w14:textId="77777777" w:rsidR="009D7677" w:rsidRDefault="009D7677" w:rsidP="009D7677">
      <w:pPr>
        <w:pStyle w:val="TextoNormal"/>
      </w:pPr>
      <w:r>
        <w:t>Dada en Madrid, a once de marzo de dos mil veinticuatro.</w:t>
      </w:r>
    </w:p>
    <w:p w14:paraId="7B35198C" w14:textId="3F2202BA" w:rsidR="009D7677" w:rsidRDefault="009D7677">
      <w:pPr>
        <w:spacing w:after="160" w:line="259" w:lineRule="auto"/>
        <w:rPr>
          <w:rFonts w:ascii="Times New Roman" w:eastAsia="Times New Roman" w:hAnsi="Times New Roman" w:cs="Times New Roman"/>
          <w:sz w:val="24"/>
          <w:szCs w:val="24"/>
          <w:lang w:eastAsia="es-ES"/>
        </w:rPr>
      </w:pPr>
      <w:r>
        <w:br w:type="page"/>
      </w:r>
    </w:p>
    <w:p w14:paraId="4ECAB1B6" w14:textId="77777777" w:rsidR="009D7677" w:rsidRDefault="009D7677" w:rsidP="009D7677">
      <w:pPr>
        <w:pStyle w:val="TtuloResolucin"/>
      </w:pPr>
      <w:bookmarkStart w:id="42" w:name="SENTENCIA_2024_40"/>
      <w:r>
        <w:lastRenderedPageBreak/>
        <w:t>SENTENCIA 40/2024, de 11 de marzo de 2024</w:t>
      </w:r>
    </w:p>
    <w:bookmarkEnd w:id="42"/>
    <w:p w14:paraId="6CDEF28F" w14:textId="77777777" w:rsidR="009D7677" w:rsidRDefault="009D7677" w:rsidP="009D7677">
      <w:pPr>
        <w:pStyle w:val="TtuloResolucin"/>
      </w:pPr>
      <w:r>
        <w:t>Sala Segunda</w:t>
      </w:r>
    </w:p>
    <w:p w14:paraId="026877FB" w14:textId="77777777" w:rsidR="009D7677" w:rsidRDefault="009D7677" w:rsidP="009D7677">
      <w:pPr>
        <w:pStyle w:val="TtuloBOE"/>
      </w:pPr>
      <w:r>
        <w:t>(BOE núm. 99, de 23 de abril de 2024)</w:t>
      </w:r>
    </w:p>
    <w:p w14:paraId="019C7E97" w14:textId="77777777" w:rsidR="009D7677" w:rsidRDefault="009D7677" w:rsidP="009D7677">
      <w:pPr>
        <w:pStyle w:val="TextoNormalCentrado"/>
      </w:pPr>
      <w:r>
        <w:t>ECLI:ES:TC:2024:40</w:t>
      </w:r>
    </w:p>
    <w:p w14:paraId="41A65EA3" w14:textId="2689700E" w:rsidR="009D7677" w:rsidRDefault="009D7677" w:rsidP="009D7677">
      <w:pPr>
        <w:pStyle w:val="TextoNormalCentrado"/>
      </w:pPr>
    </w:p>
    <w:p w14:paraId="44165D38" w14:textId="77777777" w:rsidR="009D7677" w:rsidRDefault="009D7677" w:rsidP="009D7677">
      <w:pPr>
        <w:pStyle w:val="SntesisDescriptiva"/>
      </w:pPr>
      <w:r>
        <w:t>Recurso de amparo 8405-2022. Promovido por doña B.G.F.C., en relación con las resoluciones dictadas por la Sala de lo Penal del Tribunal Supremo, la Audiencia Provincial de Madrid y un juzgado de su capital que la condenaron por un delito contra la seguridad vial.</w:t>
      </w:r>
    </w:p>
    <w:p w14:paraId="75E5534E" w14:textId="6AAB2E26" w:rsidR="009D7677" w:rsidRDefault="009D7677" w:rsidP="009D7677">
      <w:pPr>
        <w:pStyle w:val="SntesisDescriptiva"/>
      </w:pPr>
    </w:p>
    <w:p w14:paraId="740E0EA4" w14:textId="77777777" w:rsidR="009D7677" w:rsidRDefault="009D7677" w:rsidP="009D7677">
      <w:pPr>
        <w:pStyle w:val="SntesisAnaltica"/>
      </w:pPr>
      <w:r>
        <w:t>Vulneración de los derechos de defensa, en relación con el derecho a la libertad personal, y a la presunción de inocencia: prueba de alcoholemia realizada sin mediar detención policial y en ausencia de cobertura legal expresa para el traslado a dependencias policiales de quien no consintió libremente a ese desplazamiento. Voto particular.</w:t>
      </w:r>
    </w:p>
    <w:p w14:paraId="313EE132" w14:textId="6BE2BA32" w:rsidR="009D7677" w:rsidRDefault="009D7677" w:rsidP="009D7677">
      <w:pPr>
        <w:pStyle w:val="SntesisAnaltica"/>
      </w:pPr>
    </w:p>
    <w:p w14:paraId="68F88DFE" w14:textId="2BA56906" w:rsidR="009D7677" w:rsidRDefault="009D7677" w:rsidP="009D7677">
      <w:pPr>
        <w:pStyle w:val="Extracto"/>
      </w:pPr>
      <w:r>
        <w:t>1.</w:t>
      </w:r>
      <w:r>
        <w:tab/>
        <w:t>La ley debe definir las modalidades y extensión del ejercicio del poder otorgado -a la autoridad competente en cada caso-, con la suficiente claridad para aportar al individuo una protección adecuada contra la arbitrariedad (SSTC STC 217/2015, 169/2001, o 145/2014) [FJ 2].</w:t>
      </w:r>
    </w:p>
    <w:p w14:paraId="335E2916" w14:textId="77777777" w:rsidR="009D7677" w:rsidRDefault="009D7677" w:rsidP="009D7677">
      <w:pPr>
        <w:pStyle w:val="Extracto"/>
      </w:pPr>
    </w:p>
    <w:p w14:paraId="42AAA25B" w14:textId="13985268" w:rsidR="009D7677" w:rsidRDefault="009D7677" w:rsidP="009D7677">
      <w:pPr>
        <w:pStyle w:val="Extracto"/>
      </w:pPr>
      <w:r>
        <w:t>2.</w:t>
      </w:r>
      <w:r>
        <w:tab/>
        <w:t>La actitud del requerido que acata la orden policial que expresa una voluntad -la de no resistirse o no negarse a acompañar a los agentes-, no implica necesariamente una voluntad libre en el sentido del art. 17.1 de la Constitución (STC 341/1993). Y no cabe asumir que el desplazamiento es una expresión de la libérrima decisión si se ve constreñida la capacidad de opción del desplazado, a la vista de la alternativa que se le presenta [FJ 3].</w:t>
      </w:r>
    </w:p>
    <w:p w14:paraId="30520EBD" w14:textId="77777777" w:rsidR="009D7677" w:rsidRDefault="009D7677" w:rsidP="009D7677">
      <w:pPr>
        <w:pStyle w:val="Extracto"/>
      </w:pPr>
    </w:p>
    <w:p w14:paraId="0B8863E0" w14:textId="758308E4" w:rsidR="009D7677" w:rsidRDefault="009D7677" w:rsidP="009D7677">
      <w:pPr>
        <w:pStyle w:val="Extracto"/>
      </w:pPr>
      <w:r>
        <w:t>3.</w:t>
      </w:r>
      <w:r>
        <w:tab/>
        <w:t>La inexistencia de apoyo legal al proceder de los agentes, unida a la necesidad de interpretar restrictivamente cualquier excepción a la regla general de libertad (STC 112/1988) conducen a la lesión del derecho a la libertad ex art. 17.1 CE, en relación con el art. 17.3 CE [FJ 4].</w:t>
      </w:r>
    </w:p>
    <w:p w14:paraId="7195EB85" w14:textId="77777777" w:rsidR="009D7677" w:rsidRDefault="009D7677" w:rsidP="009D7677">
      <w:pPr>
        <w:pStyle w:val="Extracto"/>
      </w:pPr>
    </w:p>
    <w:p w14:paraId="08DF78D4" w14:textId="0D3EB94E" w:rsidR="009D7677" w:rsidRDefault="009D7677" w:rsidP="009D7677">
      <w:pPr>
        <w:pStyle w:val="Extracto"/>
      </w:pPr>
      <w:r>
        <w:t>4.</w:t>
      </w:r>
      <w:r>
        <w:tab/>
        <w:t>Se produce incongruencia omisiva cuando el órgano judicial deja sin contestar alguna pretensión sometida a su consideración por las partes, siempre que no quepa interpretar razonablemente este silencio como una desestimación tácita cuya motivación pueda inducirse del conjunto de los razonamientos contenidos en la resolución  (STC 39/2023) [FJ 4].</w:t>
      </w:r>
    </w:p>
    <w:p w14:paraId="4E601A2B" w14:textId="77777777" w:rsidR="009D7677" w:rsidRDefault="009D7677" w:rsidP="009D7677">
      <w:pPr>
        <w:pStyle w:val="Extracto"/>
      </w:pPr>
    </w:p>
    <w:p w14:paraId="347E2049" w14:textId="2DC70F97" w:rsidR="009D7677" w:rsidRDefault="009D7677" w:rsidP="009D7677">
      <w:pPr>
        <w:pStyle w:val="Extracto"/>
      </w:pPr>
      <w:r>
        <w:t>5.</w:t>
      </w:r>
      <w:r>
        <w:tab/>
        <w:t>No resulta precisa, para la satisfacción del derecho a la tutela judicial efectiva, una contestación explícita y pormenorizada a cada una de las alegaciones aducidas por las partes, pudiendo bastar con una respuesta global o genérica, aunque se omita respecto de alegaciones concretas que no resulten sustanciales (STC 39/2023) [FJ 4].</w:t>
      </w:r>
    </w:p>
    <w:p w14:paraId="4FC76267" w14:textId="77777777" w:rsidR="009D7677" w:rsidRDefault="009D7677" w:rsidP="009D7677">
      <w:pPr>
        <w:pStyle w:val="Extracto"/>
      </w:pPr>
    </w:p>
    <w:p w14:paraId="1AB79C8F" w14:textId="74E6B2F2" w:rsidR="009D7677" w:rsidRDefault="009D7677" w:rsidP="009D7677">
      <w:pPr>
        <w:pStyle w:val="Extracto"/>
      </w:pPr>
      <w:r>
        <w:t>6.</w:t>
      </w:r>
      <w:r>
        <w:tab/>
        <w:t>En relación con el delito contra la seguridad vial, una vez anulada la prueba de alcoholemia -a partir de la cual se deriva la superación de las tasas de alcohol legalmente permitidas-, y siendo que la prueba anulada es determinante para la condena, ésta vulnera el derecho a la presunción de inocencia [FJ 5].</w:t>
      </w:r>
    </w:p>
    <w:p w14:paraId="342AAB9D" w14:textId="77777777" w:rsidR="009D7677" w:rsidRDefault="009D7677" w:rsidP="009D7677">
      <w:pPr>
        <w:pStyle w:val="Extracto"/>
      </w:pPr>
    </w:p>
    <w:p w14:paraId="696A1A47" w14:textId="77777777" w:rsidR="009D7677" w:rsidRDefault="009D7677" w:rsidP="009D7677">
      <w:pPr>
        <w:pStyle w:val="Extracto"/>
      </w:pPr>
    </w:p>
    <w:p w14:paraId="682192EA" w14:textId="77777777" w:rsidR="009D7677" w:rsidRDefault="009D7677" w:rsidP="009D7677">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6FF53D6D" w14:textId="43E2A004" w:rsidR="009D7677" w:rsidRDefault="009D7677" w:rsidP="009D7677">
      <w:pPr>
        <w:pStyle w:val="TextoNormal"/>
      </w:pPr>
    </w:p>
    <w:p w14:paraId="015C598B" w14:textId="77777777" w:rsidR="009D7677" w:rsidRDefault="009D7677" w:rsidP="009D7677">
      <w:pPr>
        <w:pStyle w:val="TextoNormalCentrado"/>
        <w:keepNext/>
      </w:pPr>
      <w:r>
        <w:t>EN NOMBRE DEL REY</w:t>
      </w:r>
    </w:p>
    <w:p w14:paraId="1BBC8716" w14:textId="2A97170F" w:rsidR="009D7677" w:rsidRDefault="009D7677" w:rsidP="009D7677">
      <w:pPr>
        <w:pStyle w:val="TextoNormalCentrado"/>
        <w:keepNext/>
      </w:pPr>
    </w:p>
    <w:p w14:paraId="164AD203" w14:textId="77777777" w:rsidR="009D7677" w:rsidRDefault="009D7677" w:rsidP="009D7677">
      <w:pPr>
        <w:pStyle w:val="TextoNormalCentrado"/>
        <w:keepNext/>
      </w:pPr>
    </w:p>
    <w:p w14:paraId="7A99DDD2" w14:textId="77777777" w:rsidR="009D7677" w:rsidRDefault="009D7677" w:rsidP="009D7677">
      <w:pPr>
        <w:pStyle w:val="TextoNormal"/>
      </w:pPr>
      <w:r>
        <w:t>la siguiente</w:t>
      </w:r>
    </w:p>
    <w:p w14:paraId="23747B5B" w14:textId="46AD1F62" w:rsidR="009D7677" w:rsidRDefault="009D7677" w:rsidP="009D7677">
      <w:pPr>
        <w:pStyle w:val="TextoNormal"/>
      </w:pPr>
    </w:p>
    <w:p w14:paraId="7904F20D" w14:textId="77777777" w:rsidR="009D7677" w:rsidRDefault="009D7677" w:rsidP="009D7677">
      <w:pPr>
        <w:pStyle w:val="TextoNormalCentrado"/>
        <w:keepNext/>
      </w:pPr>
      <w:r>
        <w:t>SENTENCIA</w:t>
      </w:r>
    </w:p>
    <w:p w14:paraId="56188F36" w14:textId="073AE236" w:rsidR="009D7677" w:rsidRDefault="009D7677" w:rsidP="009D7677">
      <w:pPr>
        <w:pStyle w:val="TextoNormalCentrado"/>
        <w:keepNext/>
      </w:pPr>
    </w:p>
    <w:p w14:paraId="36294C91" w14:textId="77777777" w:rsidR="009D7677" w:rsidRDefault="009D7677" w:rsidP="009D7677">
      <w:pPr>
        <w:pStyle w:val="TextoNormal"/>
      </w:pPr>
      <w:r>
        <w:t>En el recurso de amparo núm. 8405-2022, promovido por doña B.G.F.C., representada por el procurador de los tribunales don Francisco Miguel Redondo Ortiz y asistida por el abogado don Esteban Verdes Torres, contra la providencia de la Sala de lo Penal del Tribunal Supremo de 6 de octubre de 2022 que inadmitió el recurso de casación contra la sentencia núm. 504/2021, de 10 de noviembre, dictada por la Sección Decimoquinta de la Audiencia Provincial de Madrid, que desestimó el recurso de apelación interpuesto por la aquí demandante de amparo contra la sentencia núm. 272/2021, de 18 de agosto, dictada por el Juzgado de lo Penal núm. 3 de Madrid en autos de juicio rápido núm. 284-2021. Ha intervenido el Ministerio Fiscal. Ha sido ponente la magistrada doña María Luisa Balaguer Callejón.</w:t>
      </w:r>
    </w:p>
    <w:p w14:paraId="3D77F405" w14:textId="2A9F23B3" w:rsidR="009D7677" w:rsidRDefault="009D7677" w:rsidP="009D7677">
      <w:pPr>
        <w:pStyle w:val="TextoNormal"/>
      </w:pPr>
    </w:p>
    <w:p w14:paraId="5B22B8E3" w14:textId="77777777" w:rsidR="009D7677" w:rsidRDefault="009D7677" w:rsidP="009D7677">
      <w:pPr>
        <w:pStyle w:val="TextoNormalNegritaCentrado"/>
        <w:keepNext/>
      </w:pPr>
      <w:r>
        <w:t>I. Antecedentes</w:t>
      </w:r>
    </w:p>
    <w:p w14:paraId="2CA7852F" w14:textId="31AD29A0" w:rsidR="009D7677" w:rsidRDefault="009D7677" w:rsidP="009D7677">
      <w:pPr>
        <w:pStyle w:val="TextoNormalNegritaCentrado"/>
        <w:keepNext/>
      </w:pPr>
    </w:p>
    <w:p w14:paraId="3BD7DA0F" w14:textId="2804721B" w:rsidR="009D7677" w:rsidRDefault="009D7677" w:rsidP="009D7677">
      <w:pPr>
        <w:pStyle w:val="TextoNormal"/>
      </w:pPr>
      <w:r w:rsidRPr="009D7677">
        <w:rPr>
          <w:rStyle w:val="NumeroAFNegritaCaracter"/>
        </w:rPr>
        <w:t>1</w:t>
      </w:r>
      <w:r>
        <w:t>. Por medio de escrito presentado el 20 de diciembre 2022 en el registro general del Tribunal Constitucional, se interpuso por el procurador don Francisco Miguel Redondo Ortiz, en nombre y representación de doña B.G.F.C., asistida por el letrado don Esteban Verdes Torres, recurso de amparo contra las resoluciones judiciales que se mencionan en el encabezamiento de esta sentencia.</w:t>
      </w:r>
    </w:p>
    <w:p w14:paraId="30147156" w14:textId="77777777" w:rsidR="009D7677" w:rsidRDefault="009D7677" w:rsidP="009D7677">
      <w:pPr>
        <w:pStyle w:val="TextoNormal"/>
      </w:pPr>
    </w:p>
    <w:p w14:paraId="4F85F4C6" w14:textId="77777777" w:rsidR="009D7677" w:rsidRDefault="009D7677" w:rsidP="009D7677">
      <w:pPr>
        <w:pStyle w:val="TextoNormal"/>
      </w:pPr>
      <w:r w:rsidRPr="009D7677">
        <w:rPr>
          <w:rStyle w:val="NumeroAFNegritaCaracter"/>
        </w:rPr>
        <w:t>2</w:t>
      </w:r>
      <w:r>
        <w:t>. El recurso tiene su origen en los siguientes antecedentes:</w:t>
      </w:r>
    </w:p>
    <w:p w14:paraId="2D2C3F66" w14:textId="77777777" w:rsidR="009D7677" w:rsidRDefault="009D7677" w:rsidP="009D7677">
      <w:pPr>
        <w:pStyle w:val="TextoNormal"/>
      </w:pPr>
    </w:p>
    <w:p w14:paraId="194C46D2" w14:textId="77777777" w:rsidR="009D7677" w:rsidRDefault="009D7677" w:rsidP="009D7677">
      <w:pPr>
        <w:pStyle w:val="TextoNormal"/>
      </w:pPr>
      <w:r>
        <w:t>a) En los autos de procedimiento de juicio rápido seguidos ante el Juzgado de lo Penal núm. 3 de Madrid, procedentes del Juzgado de Instrucción núm. 37 de Madrid (juicio rápido núm. 284-2021, antes diligencias urgentes núm. 1509-2021), el Ministerio Fiscal ejerció la acusación contra doña B.G.F.C., como autora de un delito de conducción bajo el influjo de bebidas alcohólicas del artículo 379.2, inciso segundo, del Código penal.</w:t>
      </w:r>
    </w:p>
    <w:p w14:paraId="6E5F8EED" w14:textId="77777777" w:rsidR="009D7677" w:rsidRDefault="009D7677" w:rsidP="009D7677">
      <w:pPr>
        <w:pStyle w:val="TextoNormal"/>
      </w:pPr>
    </w:p>
    <w:p w14:paraId="028CAFC2" w14:textId="77777777" w:rsidR="009D7677" w:rsidRDefault="009D7677" w:rsidP="009D7677">
      <w:pPr>
        <w:pStyle w:val="TextoNormal"/>
      </w:pPr>
      <w:r>
        <w:t>b) El 18 de agosto de 2021, el Juzgado de lo Penal núm. 3 de Madrid dictó la sentencia 272/2021, en la que condenó a la demandante de amparo como autora responsable del delito por el que venía siendo acusada.</w:t>
      </w:r>
    </w:p>
    <w:p w14:paraId="1C0211C8" w14:textId="77777777" w:rsidR="009D7677" w:rsidRDefault="009D7677" w:rsidP="009D7677">
      <w:pPr>
        <w:pStyle w:val="TextoNormal"/>
      </w:pPr>
    </w:p>
    <w:p w14:paraId="480DECF8" w14:textId="77777777" w:rsidR="009D7677" w:rsidRDefault="009D7677" w:rsidP="009D7677">
      <w:pPr>
        <w:pStyle w:val="TextoNormal"/>
      </w:pPr>
      <w:r>
        <w:lastRenderedPageBreak/>
        <w:t>Conforme a ello, el fallo de la sentencia impuso a la condenada la pena de siete meses de multa, con cuota diaria de seis euros, con la responsabilidad personal subsidiaria, en caso de impago, de un día de privación de libertad por cada dos cuotas diarias insatisfechas. Asimismo, se le condenó a la pena de privación del derecho a conducir vehículos a motor y ciclomotores por un periodo de un año y un mes, así como al pago de las costas del procedimiento.</w:t>
      </w:r>
    </w:p>
    <w:p w14:paraId="5842969F" w14:textId="77777777" w:rsidR="009D7677" w:rsidRDefault="009D7677" w:rsidP="009D7677">
      <w:pPr>
        <w:pStyle w:val="TextoNormal"/>
      </w:pPr>
    </w:p>
    <w:p w14:paraId="7DDEAEEA" w14:textId="77777777" w:rsidR="009D7677" w:rsidRDefault="009D7677" w:rsidP="009D7677">
      <w:pPr>
        <w:pStyle w:val="TextoNormal"/>
      </w:pPr>
      <w:r>
        <w:t>La sentencia estimó probado, en síntesis, que la demandante, sobre las 02:30 horas del día 24 de julio de 2021, conducía un vehículo por la calle Costa Rica de la localidad de Madrid, tras haber ingerido bebidas alcohólicas que mermaban sus facultades psíquicas y físicas para hacerlo con la prudencia, atención y destreza necesarias, lo que le impedía circular en condiciones de seguridad para ella misma y para los demás usuarios de la vía pública. Fue requerida para detener su vehículo por agentes del Cuerpo Nacional de Policía en un control de seguridad, los cuales apreciaron síntomas evidentes de intoxicación etílica, tales como fuerte olor a alcohol, ojos enrojecidos, habla pastosa, rostro congestionado, somnolencia y deambulación anormal. A la vista de ello, procedieron a solicitar la presencia de la Policía Municipal de tráfico de Madrid con un etilómetro de precisión. Al no ser posible esto último, los agentes actuantes requirieron a la aquí recurrente a fin de que los acompañara a las dependencias de la citada Policía Municipal. Una vez allí, la demandante fue instada por el equipo competente a someterse a la prueba de detección de alcoholemia, la cual le fue practicada con etilómetro de precisión, por el método del aire espirado. El resultado fue de 0,98 miligramos por litro de aire espirado, en la primera prueba llevada a cabo a las 03:10 horas, y de 0,95 miligramos por litro de aire espirado, en la segunda efectuada a las 03:38 horas.</w:t>
      </w:r>
    </w:p>
    <w:p w14:paraId="2A40F5A9" w14:textId="77777777" w:rsidR="009D7677" w:rsidRDefault="009D7677" w:rsidP="009D7677">
      <w:pPr>
        <w:pStyle w:val="TextoNormal"/>
      </w:pPr>
    </w:p>
    <w:p w14:paraId="0EF4C44E" w14:textId="77777777" w:rsidR="009D7677" w:rsidRDefault="009D7677" w:rsidP="009D7677">
      <w:pPr>
        <w:pStyle w:val="TextoNormal"/>
      </w:pPr>
      <w:r>
        <w:t>La sentencia del juzgado (fundamento de Derecho primero) repasa la prueba practicada, esencialmente la declaración de los agentes de la Policía Nacional y de la Policía Municipal actuantes en el caso, para concluir que, de los síntomas externos y el resultado de la prueba del etilómetro se desprende que la acusada se encontraba bajo el influjo del alcohol en el momento de los hechos. En todo caso, al ser la tasa de alcoholemia que presentaba la acusada superior a 0,60 miligramos por litro, habría elementos suficientes para la condena.</w:t>
      </w:r>
    </w:p>
    <w:p w14:paraId="4184ADC2" w14:textId="77777777" w:rsidR="009D7677" w:rsidRDefault="009D7677" w:rsidP="009D7677">
      <w:pPr>
        <w:pStyle w:val="TextoNormal"/>
      </w:pPr>
    </w:p>
    <w:p w14:paraId="54DB2F2D" w14:textId="77777777" w:rsidR="009D7677" w:rsidRDefault="009D7677" w:rsidP="009D7677">
      <w:pPr>
        <w:pStyle w:val="TextoNormal"/>
      </w:pPr>
      <w:r>
        <w:t xml:space="preserve">La sentencia, también en síntesis, analiza la petición de nulidad del procedimiento interesada por la defensa, sustentada en la vulneración de derechos fundamentales [se cita el artículo 17.3 CE, en relación con el artículo 16 de la Ley Orgánica 4/2015, de 30 de marzo, de protección de la seguridad ciudadana; los artículos 520, 118 y 492.4 de la Ley de enjuiciamiento criminal (LECrim), y el artículo 11.1 de la Ley Orgánica del Poder Judicial (LOPJ)]. Dicha petición se basó en el entendimiento de que la acusada fue efectivamente detenida por los agentes de la Policía Nacional para ser trasladada a las dependencias de la policía local, lo que, en opinión de la defensa, viciaría la totalidad de la prueba practicada y debería conducir a la absolución. La juzgadora rechaza tal pretensión. Para ello cita el artículo 14.2 del Real Decreto Legislativo 6/2015, de 30 de octubre, por el que se aprueba el texto refundido de la Ley sobre tráfico, circulación de vehículos a motor y seguridad vial, y los artículos 21 y 22 del Reglamento general de circulación (aprobado por el Real Decreto 1428/2003, de 21 de noviembre) y concluye la obligatoriedad de someterse a las pruebas de detección de una posible intoxicación etílica. Asimismo, pone de relieve la posibilidad de que, en ocasiones, como aquí acaeció, no sea posible el traslado del equipo </w:t>
      </w:r>
      <w:r>
        <w:lastRenderedPageBreak/>
        <w:t>correspondiente al lugar en el que se encuentra el conductor con síntomas de alcoholemia. En tales situaciones surgiría la disyuntiva de si la persona concernida tiene el deber de trasladarse a dependencias policiales o puede negarse a ello. La resolución sostiene que lo que hicieron los agentes de la Policía Nacional es “convencer” a la actora, “mediante una constante labor de persuasión […] para que les acompañara voluntariamente a comisaría a efectos de realización de la prueba, a la que estaba obligada a someterse, en el convencimiento de que permitir la conducción de la acusada con los importantes síntomas externos que presentaba podría suponer un riesgo no solo para su propia vida e integridad sino para el resto de conductores”. Aun cuando la demandante de amparo en el acto del juicio oral se acogió a su derecho a no declarar, la sentencia concluye que el traslado se efectuó con su voluntad “en las condiciones menos aflictivas para la […] acusada, puesto que la otra alternativa, habría sido proceder en el acto a su detención por negativa a la práctica de las pruebas, previa información de derechos y proceder seguidamente a su traslado a dependencias policiales”. Asimismo, sostiene la magistrada que tampoco se produjo indefensión alguna por haberse procedido a la información de derechos a persona investigada con posterioridad a la práctica de las pruebas de alcoholemia, puesto que fue en ese momento cuando se constató que la acusada superaba con creces los límites de la infracción administrativa y aparecieron indicios de la comisión de un delito contra la seguridad vial por conducción bajo los efectos del alcohol.</w:t>
      </w:r>
    </w:p>
    <w:p w14:paraId="5FC61CFE" w14:textId="77777777" w:rsidR="009D7677" w:rsidRDefault="009D7677" w:rsidP="009D7677">
      <w:pPr>
        <w:pStyle w:val="TextoNormal"/>
      </w:pPr>
    </w:p>
    <w:p w14:paraId="6B6C02CB" w14:textId="77777777" w:rsidR="009D7677" w:rsidRDefault="009D7677" w:rsidP="009D7677">
      <w:pPr>
        <w:pStyle w:val="TextoNormal"/>
      </w:pPr>
      <w:r>
        <w:t>c) Contra la anterior sentencia, la condenada interpuso recurso de apelación. La recurrente invocó el derecho del art. 17.3 CE “en relación con el art. 24 de la Constitución”, al entender que fácticamente se había producido “una detención ilegal sin lectura previa de derechos” por parte de la Policía Nacional que viciaría la prueba practicada de nulidad. Asimismo, invocó el derecho a la presunción de inocencia, al estimar inválida e insuficiente la prueba practicada en el seno del juicio oral. Por fin, estimaba vulnerado el derecho a la tutela judicial efectiva, por la falta de motivación de la pena concretamente impuesta, superior al mínimo establecido en la Ley.</w:t>
      </w:r>
    </w:p>
    <w:p w14:paraId="79FC2841" w14:textId="77777777" w:rsidR="009D7677" w:rsidRDefault="009D7677" w:rsidP="009D7677">
      <w:pPr>
        <w:pStyle w:val="TextoNormal"/>
      </w:pPr>
    </w:p>
    <w:p w14:paraId="42D8AF30" w14:textId="77777777" w:rsidR="009D7677" w:rsidRDefault="009D7677" w:rsidP="009D7677">
      <w:pPr>
        <w:pStyle w:val="TextoNormal"/>
      </w:pPr>
      <w:r>
        <w:t xml:space="preserve">d) La Audiencia Provincial de Madrid, Sección Decimoquinta, por medio de sentencia de 10 de noviembre de 2021, desestima el recurso al asumir los razonamientos expuestos por el órgano </w:t>
      </w:r>
      <w:r w:rsidRPr="009D7677">
        <w:rPr>
          <w:i/>
        </w:rPr>
        <w:t>a quo</w:t>
      </w:r>
      <w:r>
        <w:t>; su análisis sostiene que la prueba practicada fue suficiente y válida, concluyendo que la pena impuesta fue legal, proporcionada y justificada en atención a las circunstancias del caso concreto.</w:t>
      </w:r>
    </w:p>
    <w:p w14:paraId="72F6A8B6" w14:textId="77777777" w:rsidR="009D7677" w:rsidRDefault="009D7677" w:rsidP="009D7677">
      <w:pPr>
        <w:pStyle w:val="TextoNormal"/>
      </w:pPr>
    </w:p>
    <w:p w14:paraId="374939D2" w14:textId="77777777" w:rsidR="009D7677" w:rsidRDefault="009D7677" w:rsidP="009D7677">
      <w:pPr>
        <w:pStyle w:val="TextoNormal"/>
      </w:pPr>
      <w:r>
        <w:t>Por lo que hace a la invocación del art. 17.3 CE en la apelación, la Audiencia descarta su vulneración negando el argumento de que la apelante fue sometida a detención, al aceptar la declaración de los agentes policiales, contenida en las actuaciones y no contradicha por la recurrente, de que la convencieron de acompañarlos pues podría incurrir en un delito de desobediencia. Además, la sentencia de apelación expresa que en la causa consta como fue presentada ante los policías municipales como “investigada no detenida” (folio 4), y se sometió voluntariamente a la prueba de alcoholemia.</w:t>
      </w:r>
    </w:p>
    <w:p w14:paraId="0DED0306" w14:textId="77777777" w:rsidR="009D7677" w:rsidRDefault="009D7677" w:rsidP="009D7677">
      <w:pPr>
        <w:pStyle w:val="TextoNormal"/>
      </w:pPr>
    </w:p>
    <w:p w14:paraId="6AFD044B" w14:textId="18601EDA" w:rsidR="009D7677" w:rsidRDefault="009D7677" w:rsidP="009D7677">
      <w:pPr>
        <w:pStyle w:val="TextoNormal"/>
      </w:pPr>
      <w:r>
        <w:t>e) Interpuesto recurso de casación, fue inadmitido por providencia de la Sala de lo Penal del Tribunal Supremo de 6 de octubre de 2022, esencialmente porque no se alegaba la vulneración de precepto penal sustantivo u otras normas del mismo carácter que debían ser observadas en la aplicación de la ley penal y porque los motivos eran de naturaleza probatoria y, como tales, ajenos al cauce casacional legalmente establecido.</w:t>
      </w:r>
    </w:p>
    <w:p w14:paraId="33EB185F" w14:textId="77777777" w:rsidR="009D7677" w:rsidRDefault="009D7677" w:rsidP="009D7677">
      <w:pPr>
        <w:pStyle w:val="TextoNormal"/>
      </w:pPr>
    </w:p>
    <w:p w14:paraId="2D2AEB53" w14:textId="77777777" w:rsidR="009D7677" w:rsidRDefault="009D7677" w:rsidP="009D7677">
      <w:pPr>
        <w:pStyle w:val="TextoNormal"/>
      </w:pPr>
      <w:r w:rsidRPr="009D7677">
        <w:rPr>
          <w:rStyle w:val="NumeroAFNegritaCaracter"/>
        </w:rPr>
        <w:t>3</w:t>
      </w:r>
      <w:r>
        <w:t>. La demanda de amparo se fundamenta en la vulneración del derecho a la tutela judicial efectiva (art. 24.1 CE) y a la presunción de inocencia (art. 24.2 CE). Pone de manifiesto que la actora fue retenida por agentes de la Policía Nacional y trasladada a comisaría de la Policía Municipal y su vehículo fue incautado, sosteniendo la recurrente que dicha retención no estaría amparada por el ordenamiento jurídico. Así, por un lado, el artículo 16 de la Ley de seguridad ciudadana, en su redacción actual, solo permitiría el traslado a dependencias policiales de persona retenida y no detenida a los efectos de su identificación. Por otro, tampoco serían aplicables los artículos 12 y ss. de la Ley sobre tráfico, circulación de vehículos a motor y seguridad vial, ni el artículo 21 del Reglamento general de circulación, toda vez que la fuerza actuante no estaba integrada por agentes encargados de la vigilancia del tráfico, sino por policías nacionales con funciones de control de seguridad. Dicho traslado no se habría efectuado en su condición de detenida, por lo que no se procedió a leer sus derechos a la recurrente. A la vista de ello, entiende que es “de plena aplicación el artículo 11.1 LOPJ, dado que la obtención de pruebas con vulneración de los derechos fundamentales, artículos 17.3 y 24 de la Constitución produce el efecto del fruto del árbol envenenado que determina la nulidad del atestado, del parte de alcoholemia y de cualquier medio de prueba derivado de las mismas”.</w:t>
      </w:r>
    </w:p>
    <w:p w14:paraId="2DBABD58" w14:textId="77777777" w:rsidR="009D7677" w:rsidRDefault="009D7677" w:rsidP="009D7677">
      <w:pPr>
        <w:pStyle w:val="TextoNormal"/>
      </w:pPr>
    </w:p>
    <w:p w14:paraId="41FB7BEE" w14:textId="77777777" w:rsidR="009D7677" w:rsidRDefault="009D7677" w:rsidP="009D7677">
      <w:pPr>
        <w:pStyle w:val="TextoNormal"/>
      </w:pPr>
      <w:r>
        <w:t>La demanda plantea, al cobijo del mismo motivo, la existencia de una incongruencia omisiva, toda vez que, planteado el problema de si las personas tienen el deber de trasladarse a dependencias policiales para someterse a pruebas de detección de alcohol o drogas o pueden negarse, y siendo en este punto la jurisprudencia de las audiencias provinciales contradictoria, no se contestó a tal cuestión, como tampoco a si tal traslado debió hacerse en condición de detenida.</w:t>
      </w:r>
    </w:p>
    <w:p w14:paraId="6A87BA2E" w14:textId="77777777" w:rsidR="009D7677" w:rsidRDefault="009D7677" w:rsidP="009D7677">
      <w:pPr>
        <w:pStyle w:val="TextoNormal"/>
      </w:pPr>
    </w:p>
    <w:p w14:paraId="57962E0F" w14:textId="77777777" w:rsidR="009D7677" w:rsidRDefault="009D7677" w:rsidP="009D7677">
      <w:pPr>
        <w:pStyle w:val="TextoNormal"/>
      </w:pPr>
      <w:r>
        <w:t>De igual forma, y también con la cobertura del mismo motivo, se vuelve a insistir en la existencia de una incongruencia omisiva al no haberse dado respuesta a la alegación relativa a la necesaria información previa de derechos de la recurrente, la cual debió haber acaecido con anterioridad a la práctica de la prueba de detección de alcohol. Sin embargo, se sostiene, la información se habría practicado con posterioridad, ya que en el atestado figura que se hizo a las 03:10 horas, cuando de los tickets se desprendería que la prueba se realizó a las 03:09 horas.</w:t>
      </w:r>
    </w:p>
    <w:p w14:paraId="265AA257" w14:textId="77777777" w:rsidR="009D7677" w:rsidRDefault="009D7677" w:rsidP="009D7677">
      <w:pPr>
        <w:pStyle w:val="TextoNormal"/>
      </w:pPr>
    </w:p>
    <w:p w14:paraId="347B0CAF" w14:textId="77777777" w:rsidR="009D7677" w:rsidRDefault="009D7677" w:rsidP="009D7677">
      <w:pPr>
        <w:pStyle w:val="TextoNormal"/>
      </w:pPr>
      <w:r>
        <w:t>En segundo lugar, se invoca “infracción del ordenamiento jurídico de los artículos 492.4, 520 y 118.1 LECrim y 11.1 LOPJ, y cuya infracción supone la vulneración de los artículos 9, 14, 17.3 y 24 de la Constitución”. La demanda sostiene que la recurrente fue obligada por los agentes a introducirse en el vehículo policial y trasladada a la comisaría de la policía local, sin una lectura de sus derechos. La denunciada falta de voluntariedad se desprendería de las propias declaraciones de los agentes en el acto del juicio oral. Conforme a estas, la actora se negó a acompañar a los agentes de la Policía Nacional, aspecto en el que la demanda discrepa de la sentencia de condena, para la que el traslado se efectuó con la aquiescencia de la recurrente. La lectura de derechos solo habría tenido lugar a las 03:50 horas de la madrugada, junto con la entrega de la citación para juicio rápido.</w:t>
      </w:r>
    </w:p>
    <w:p w14:paraId="46457F6C" w14:textId="77777777" w:rsidR="009D7677" w:rsidRDefault="009D7677" w:rsidP="009D7677">
      <w:pPr>
        <w:pStyle w:val="TextoNormal"/>
      </w:pPr>
    </w:p>
    <w:p w14:paraId="32F0E1FC" w14:textId="233100BF" w:rsidR="009D7677" w:rsidRDefault="009D7677" w:rsidP="009D7677">
      <w:pPr>
        <w:pStyle w:val="TextoNormal"/>
      </w:pPr>
      <w:r>
        <w:t xml:space="preserve">En tercer lugar, se invoca “infracción del artículo 17 de la Constitución con relación al artículo 16 de la Ley Orgánica 4/2015, de 30 de marzo de 2015, de protección de la seguridad ciudadana”, al disponer el citado precepto el único supuesto en que un ciudadano </w:t>
      </w:r>
      <w:r>
        <w:lastRenderedPageBreak/>
        <w:t>puede ser conducido a dependencias policiales, sin necesidad de proceder a su previa detención (a los solos efectos de identificación, si esta no pudiera ser realizada en el lugar de los hechos). Sin embargo, en el caso que nos ocupa, no se produjo dicha situación ya que la actora estaba perfectamente identificada. Insiste la demandante que ello determinaría la nulidad de toda la prueba sobre la que se articula la condena sobre la base del art. 11.1 LOPJ.</w:t>
      </w:r>
    </w:p>
    <w:p w14:paraId="6EFD1E98" w14:textId="77777777" w:rsidR="009D7677" w:rsidRDefault="009D7677" w:rsidP="009D7677">
      <w:pPr>
        <w:pStyle w:val="TextoNormal"/>
      </w:pPr>
    </w:p>
    <w:p w14:paraId="2AB44EFD" w14:textId="59D3CD87" w:rsidR="009D7677" w:rsidRDefault="009D7677" w:rsidP="009D7677">
      <w:pPr>
        <w:pStyle w:val="TextoNormal"/>
      </w:pPr>
      <w:r w:rsidRPr="009D7677">
        <w:rPr>
          <w:rStyle w:val="NumeroAFNegritaCaracter"/>
        </w:rPr>
        <w:t>4</w:t>
      </w:r>
      <w:r>
        <w:t>. Por diligencia de ordenación del secretario de justicia de la Sala Segunda de este tribunal, se hizo constar que, en virtud del acuerdo adoptado por el Pleno el 17 de enero de 2023 (publicado en el “Boletín Oficial del Estado” de 19 de enero siguiente), el presente recurso de amparo ha sido turnado a la Sección Cuarta de la Sala Segunda.</w:t>
      </w:r>
    </w:p>
    <w:p w14:paraId="3A9E8871" w14:textId="77777777" w:rsidR="009D7677" w:rsidRDefault="009D7677" w:rsidP="009D7677">
      <w:pPr>
        <w:pStyle w:val="TextoNormal"/>
      </w:pPr>
    </w:p>
    <w:p w14:paraId="6A54E3B4" w14:textId="382C0E34" w:rsidR="009D7677" w:rsidRDefault="009D7677" w:rsidP="009D7677">
      <w:pPr>
        <w:pStyle w:val="TextoNormal"/>
      </w:pPr>
      <w:r w:rsidRPr="009D7677">
        <w:rPr>
          <w:rStyle w:val="NumeroAFNegritaCaracter"/>
        </w:rPr>
        <w:t>5</w:t>
      </w:r>
      <w:r>
        <w:t>. Por providencia de 17 de abril de 2023 de la Sala Segunda, Sección Cuarta, de este tribunal se acordó la admisión a trámite del recurso de amparo, apreciando una especial trascendencia constitucional “porque el recurso plantea un problema o afecta a una faceta de un derecho fundamental sobre el que no hay doctrina de este tribunal [STC 155/2009, de 25 de junio, FJ 2 a)]”. Asimismo, se ordenó dirigir comunicación al Juzgado de lo Penal núm. 3 de Madrid a fin de que, en plazo no superior a diez días, se procediese a remitir testimonio de las actuaciones correspondientes al juicio rápido núm. 284-2021; debiendo previamente emplazarse, para que en el plazo de diez días pudiesen comparecer en el recurso de amparo a quienes hubieran sido parte en el procedimiento, excepto la parte recurrente en amparo. Asimismo, se acordó formar la correspondiente pieza separada de suspensión que, una vez tramitada, fue resuelta por ATC 286/2023, de 5 de junio, en el que se acordó denegar la suspensión cautelar solicitada.</w:t>
      </w:r>
    </w:p>
    <w:p w14:paraId="12134A75" w14:textId="77777777" w:rsidR="009D7677" w:rsidRDefault="009D7677" w:rsidP="009D7677">
      <w:pPr>
        <w:pStyle w:val="TextoNormal"/>
      </w:pPr>
    </w:p>
    <w:p w14:paraId="184965C1" w14:textId="42C2C5E4" w:rsidR="009D7677" w:rsidRDefault="009D7677" w:rsidP="009D7677">
      <w:pPr>
        <w:pStyle w:val="TextoNormal"/>
      </w:pPr>
      <w:r w:rsidRPr="009D7677">
        <w:rPr>
          <w:rStyle w:val="NumeroAFNegritaCaracter"/>
        </w:rPr>
        <w:t>6</w:t>
      </w:r>
      <w:r>
        <w:t>. Una vez cumplimentados los emplazamientos requeridos, la Sala Segunda, mediante diligencia de ordenación de su Secretaría de Justicia de 13 de junio de 2023, acordó dar vista de las actuaciones a la parte recurrente y al Ministerio Fiscal por un plazo común de veinte días para que formularan las alegaciones que estimaran pertinentes, conforme determina el artículo 52.1 de la Ley Orgánica del Tribunal Constitucional (LOTC).</w:t>
      </w:r>
    </w:p>
    <w:p w14:paraId="25EEA148" w14:textId="77777777" w:rsidR="009D7677" w:rsidRDefault="009D7677" w:rsidP="009D7677">
      <w:pPr>
        <w:pStyle w:val="TextoNormal"/>
      </w:pPr>
    </w:p>
    <w:p w14:paraId="0391A93C" w14:textId="17E2D2CB" w:rsidR="009D7677" w:rsidRDefault="009D7677" w:rsidP="009D7677">
      <w:pPr>
        <w:pStyle w:val="TextoNormal"/>
      </w:pPr>
      <w:r w:rsidRPr="009D7677">
        <w:rPr>
          <w:rStyle w:val="NumeroAFNegritaCaracter"/>
        </w:rPr>
        <w:t>7</w:t>
      </w:r>
      <w:r>
        <w:t>. La representación procesal de la demandante de amparo evacuó el trámite de alegaciones mediante escrito registrado en este tribunal el día 12 de julio de 2023, en el cual se remitió a las alegaciones efectuadas en el escrito de interposición de la demanda de amparo.</w:t>
      </w:r>
    </w:p>
    <w:p w14:paraId="4896920C" w14:textId="77777777" w:rsidR="009D7677" w:rsidRDefault="009D7677" w:rsidP="009D7677">
      <w:pPr>
        <w:pStyle w:val="TextoNormal"/>
      </w:pPr>
    </w:p>
    <w:p w14:paraId="4C410C3C" w14:textId="77777777" w:rsidR="009D7677" w:rsidRDefault="009D7677" w:rsidP="009D7677">
      <w:pPr>
        <w:pStyle w:val="TextoNormal"/>
      </w:pPr>
      <w:r w:rsidRPr="009D7677">
        <w:rPr>
          <w:rStyle w:val="NumeroAFNegritaCaracter"/>
        </w:rPr>
        <w:t>8</w:t>
      </w:r>
      <w:r>
        <w:t xml:space="preserve">. El Ministerio Fiscal presentó sus alegaciones mediante escrito registrado el día 20 de julio de 2023, interesando otorgar el amparo por la vulneración del derecho a la libertad de la demandante de amparo, al tiempo que solicita que se declare no lesionado el derecho a la presunción de inocencia. Descarta la existencia de lesión del derecho a la tutela judicial efectiva por incongruencia omisiva, tanto en la sentencia de instancia como en la de apelación, al apreciar más bien una desestimación de pretensiones y que, en todo caso, la hipotética lesión quedaría absorbida por la del derecho sustantivo. Sostiene que carece de relevancia constitucional la intervención inicial de los agentes de la Policía Nacional, puesto que una cosa es que la realización de las pruebas de impregnación alcohólica se encomiende a los agentes de la autoridad encargados de la vigilancia del tráfico y otra muy diferente que los miembros de las fuerzas y cuerpos de seguridad del Estado que observen </w:t>
      </w:r>
      <w:r>
        <w:lastRenderedPageBreak/>
        <w:t xml:space="preserve">indicios de la comisión de un delito contra la seguridad del tráfico no puedan adoptar las medidas necesarias para impedir que se siga cometiendo. Por fin, no cree que haya lesión alguna de derechos en la inmovilización del vehículo, lo cual sería una simple medida aseguratoria limitada en el tiempo hasta que haya otra persona en condiciones de conducir el vehículo o hayan desparecido las circunstancias que impedían a la denunciada continuar conduciendo. En relación con la cuestión nuclear de si se produjo una verdadera detención sin que se respetaran las garantías del artículo 17.3 de la Constitución, observa que ninguna de las normas que regulan la práctica de la prueba de alcoholemia prevé el traslado del conductor a dependencias policiales. Por su parte, el artículo 16 de la Ley Orgánica 4/2015, de 30 de marzo, de protección de la seguridad ciudadana, se centra en la identificación de una persona que no ha podido serlo </w:t>
      </w:r>
      <w:r w:rsidRPr="009D7677">
        <w:rPr>
          <w:i/>
        </w:rPr>
        <w:t>in situ</w:t>
      </w:r>
      <w:r>
        <w:t>, sin inclusión de referencia alguna a la práctica de pruebas de alcoholemia. Por consiguiente, al no existir norma que amparase un traslado sin detención a efectos de practicar la prueba correspondiente, debe afirmarse la lesión del derecho a la libertad personal.</w:t>
      </w:r>
    </w:p>
    <w:p w14:paraId="07BC1399" w14:textId="77777777" w:rsidR="009D7677" w:rsidRDefault="009D7677" w:rsidP="009D7677">
      <w:pPr>
        <w:pStyle w:val="TextoNormal"/>
      </w:pPr>
    </w:p>
    <w:p w14:paraId="302A7BED" w14:textId="5CC0604A" w:rsidR="009D7677" w:rsidRDefault="009D7677" w:rsidP="009D7677">
      <w:pPr>
        <w:pStyle w:val="TextoNormal"/>
      </w:pPr>
      <w:r>
        <w:t>En cuanto a la alegada vulneración del derecho a la presunción de inocencia, estima la Fiscalía que no está presente. Se apoya en que la prueba de cargo que se tuvo en cuenta fue la declaración de los dos testigos miembros de Cuerpo Nacional de Policía, cuya actuación fue anterior al traslado y que sería suficiente para sustentar la condena.</w:t>
      </w:r>
    </w:p>
    <w:p w14:paraId="7C7CC2D2" w14:textId="77777777" w:rsidR="009D7677" w:rsidRDefault="009D7677" w:rsidP="009D7677">
      <w:pPr>
        <w:pStyle w:val="TextoNormal"/>
      </w:pPr>
    </w:p>
    <w:p w14:paraId="2B511D01" w14:textId="61D27F3C" w:rsidR="009D7677" w:rsidRDefault="009D7677" w:rsidP="009D7677">
      <w:pPr>
        <w:pStyle w:val="TextoNormal"/>
      </w:pPr>
      <w:r w:rsidRPr="009D7677">
        <w:rPr>
          <w:rStyle w:val="NumeroAFNegritaCaracter"/>
        </w:rPr>
        <w:t>9</w:t>
      </w:r>
      <w:r>
        <w:t>. Por providencia de 7 de marzo de 2024, se señaló para deliberación y votación de la presente sentencia el día 11 del mismo mes y año.</w:t>
      </w:r>
    </w:p>
    <w:p w14:paraId="2AA4A73F" w14:textId="77777777" w:rsidR="009D7677" w:rsidRDefault="009D7677" w:rsidP="009D7677">
      <w:pPr>
        <w:pStyle w:val="TextoNormal"/>
      </w:pPr>
    </w:p>
    <w:p w14:paraId="0F18D9C9" w14:textId="77777777" w:rsidR="009D7677" w:rsidRDefault="009D7677" w:rsidP="009D7677">
      <w:pPr>
        <w:pStyle w:val="TextoNormalNegritaCentrado"/>
        <w:keepNext/>
      </w:pPr>
      <w:r>
        <w:t>II. Fundamentos jurídicos</w:t>
      </w:r>
    </w:p>
    <w:p w14:paraId="615A5A13" w14:textId="623E6796" w:rsidR="009D7677" w:rsidRDefault="009D7677" w:rsidP="009D7677">
      <w:pPr>
        <w:pStyle w:val="TextoNormalNegritaCentrado"/>
        <w:keepNext/>
      </w:pPr>
    </w:p>
    <w:p w14:paraId="09BF27F7" w14:textId="77777777" w:rsidR="009D7677" w:rsidRDefault="009D7677" w:rsidP="009D7677">
      <w:pPr>
        <w:pStyle w:val="TextoNormal"/>
      </w:pPr>
      <w:r w:rsidRPr="009D7677">
        <w:rPr>
          <w:rStyle w:val="NumeroAFNegritaCaracter"/>
        </w:rPr>
        <w:t>1</w:t>
      </w:r>
      <w:r>
        <w:t xml:space="preserve">. </w:t>
      </w:r>
      <w:r w:rsidRPr="009D7677">
        <w:rPr>
          <w:i/>
        </w:rPr>
        <w:t>Objeto del recurso de amparo, posiciones de las partes y especial trascendencia constitucional</w:t>
      </w:r>
    </w:p>
    <w:p w14:paraId="3C5466C1" w14:textId="77777777" w:rsidR="009D7677" w:rsidRDefault="009D7677" w:rsidP="009D7677">
      <w:pPr>
        <w:pStyle w:val="TextoNormal"/>
      </w:pPr>
    </w:p>
    <w:p w14:paraId="22CC2A7E" w14:textId="77777777" w:rsidR="009D7677" w:rsidRDefault="009D7677" w:rsidP="009D7677">
      <w:pPr>
        <w:pStyle w:val="TextoNormal"/>
      </w:pPr>
      <w:r>
        <w:t>a) El presente recurso se interpone contra la sentencia dictada por el Juzgado de lo Penal núm. 3 de Madrid de 18 de agosto de 2021 que condenó a la recurrente como autora responsable de un delito contra la seguridad vial a la pena de siete meses de multa, con cuota diaria de seis euros, con responsabilidad personal subsidiaria en caso de impago de un día de privación de libertad por cada dos cuotas diarias insatisfechas; a la pena de privación del derecho a conducir vehículos a motor y ciclomotores por un periodo de un año y un mes, así como al pago de las costas del procedimiento. Asimismo, son objeto del proceso de amparo la sentencia dictada por la Audiencia Provincial de Madrid, Sección Decimoquinta, de 10 de noviembre de 2021, desestimatoria del recurso de apelación frente a la sentencia de 18 de agosto de 2021, y la providencia de la Sala de lo Penal del Tribunal Supremo de 6 de octubre de 2022, que inadmite el recurso de casación frente a la sentencia desestimatoria de la apelación.</w:t>
      </w:r>
    </w:p>
    <w:p w14:paraId="08FF63CC" w14:textId="77777777" w:rsidR="009D7677" w:rsidRDefault="009D7677" w:rsidP="009D7677">
      <w:pPr>
        <w:pStyle w:val="TextoNormal"/>
      </w:pPr>
    </w:p>
    <w:p w14:paraId="6FAB8B9A" w14:textId="77777777" w:rsidR="009D7677" w:rsidRDefault="009D7677" w:rsidP="009D7677">
      <w:pPr>
        <w:pStyle w:val="TextoNormal"/>
      </w:pPr>
      <w:r>
        <w:t xml:space="preserve">Como se ha expuesto en el apartado de antecedentes, y recoge el Ministerio Fiscal en su escrito de alegaciones, en la demanda de amparo se plantean dos cuestiones nucleares. De un lado, se plantea la vulneración del art. 17 de la Constitución al ponerse en duda si, en el caso concreto, se produjo una verdadera detención sin respetar las garantías de dicho precepto constitucional, lo que supondría una lesión del derecho a la libertad personal. Dicha falta de observancia derivaría tanto del hecho de que el desplazamiento desde el </w:t>
      </w:r>
      <w:r>
        <w:lastRenderedPageBreak/>
        <w:t>lugar en el que se produjo la interceptación de la recurrente a las instalaciones de la Policía Municipal no fue voluntario, como de la inexistencia de una norma legal que otorgase cobertura al proceder de los agentes de la Policía Nacional que así operaron. De otro lado, se discute si hubo una violación del derecho a la presunción de inocencia al estar conectadas con tal privación de libertad las pruebas obtenidas en el proceso. En relación con la primera cuestión, además, la recurrente estima que se habría vulnerado también el derecho a la tutela judicial efectiva (art. 24.1 CE) en la vertiente de interdicción de la incongruencia omisiva, al no haberse dado una respuesta por parte de los órganos judiciales a la invocación realizada. El Ministerio Fiscal interesa la estimación del recurso de amparo por vulneración del derecho a la libertad personal de la recurrente en amparo (art. 17.3 CE), pero descarta la lesión de los derechos a la presunción de inocencia (art. 24.2 CE) y a la tutela judicial efectiva por incongruencia omisiva (art. 24.1 CE).</w:t>
      </w:r>
    </w:p>
    <w:p w14:paraId="584183E6" w14:textId="77777777" w:rsidR="009D7677" w:rsidRDefault="009D7677" w:rsidP="009D7677">
      <w:pPr>
        <w:pStyle w:val="TextoNormal"/>
      </w:pPr>
    </w:p>
    <w:p w14:paraId="6C68B4E3" w14:textId="77777777" w:rsidR="009D7677" w:rsidRDefault="009D7677" w:rsidP="009D7677">
      <w:pPr>
        <w:pStyle w:val="TextoNormal"/>
      </w:pPr>
      <w:r>
        <w:t>b) Dada la naturaleza de los hechos, y ante la petición de la recurrente, se señala que,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 27 de julio de 2015), la presente sentencia y demás actuaciones del proceso no incluyen la identificación completa de la persona recurrente en amparo.</w:t>
      </w:r>
    </w:p>
    <w:p w14:paraId="2D5C54E7" w14:textId="77777777" w:rsidR="009D7677" w:rsidRDefault="009D7677" w:rsidP="009D7677">
      <w:pPr>
        <w:pStyle w:val="TextoNormal"/>
      </w:pPr>
    </w:p>
    <w:p w14:paraId="4F0260BE" w14:textId="77777777" w:rsidR="009D7677" w:rsidRDefault="009D7677" w:rsidP="009D7677">
      <w:pPr>
        <w:pStyle w:val="TextoNormal"/>
      </w:pPr>
      <w:r>
        <w:t>c) Antes de pasar al examen de las cuestiones sometidas a enjuiciamiento, cabe señalar que la denunciada violación del art. 24.1 CE, vinculada a la identificación de una incongruencia al no haberse dado respuesta a las alegaciones relativas a la vulneración del art. 17.1 CE, carece de entidad propia, en cuanto se subsume en la eventual lesión del art. 17.1 CE. Y es que su conculcación, en caso de existir, se limitaría a ser un corolario lógico de la estimación del recurso de amparo por vulneración del derecho a la libertad personal. En este caso la cuestión relevante es la vulneración del art. 17.1 CE relacionada con la conducción a dependencias policiales para la realización de la prueba de alcoholemia sin contar, aparentemente, con el consentimiento de la recurrente en amparo y ante la duda de si existe cobertura legar para una conducción no voluntaria. Por esta razón formularemos el examen de la invocada vulneración del art. 24.1 CE, en su vertiente de la interdicción de incongruencia omisiva, al hilo del pronunciamiento relativo a la lesión del art. 17.1 CE.</w:t>
      </w:r>
    </w:p>
    <w:p w14:paraId="0675EA50" w14:textId="77777777" w:rsidR="009D7677" w:rsidRDefault="009D7677" w:rsidP="009D7677">
      <w:pPr>
        <w:pStyle w:val="TextoNormal"/>
      </w:pPr>
    </w:p>
    <w:p w14:paraId="196CAF6D" w14:textId="1A79AE52" w:rsidR="009D7677" w:rsidRDefault="009D7677" w:rsidP="009D7677">
      <w:pPr>
        <w:pStyle w:val="TextoNormal"/>
      </w:pPr>
      <w:r>
        <w:t xml:space="preserve">d) Por último, aunque también como cuestión introductoria, se recuerda que las exigencias de certeza y buena administración de justicia (STEDH de 20 de enero de 2015, asunto </w:t>
      </w:r>
      <w:r w:rsidRPr="009D7677">
        <w:rPr>
          <w:i/>
        </w:rPr>
        <w:t>Arribas Antón c. España</w:t>
      </w:r>
      <w:r>
        <w:t xml:space="preserve">, § 46) obligan a explicitar el cumplimiento del requisito sustantivo de la especial trascendencia constitucional (art. 50.1 LOTC) en el presente recurso de amparo, a fin de hacer reconocibles los criterios empleados al efecto por este tribunal para su admisión a trámite. Debe recordarse en este sentido que se decidió admitir este recurso (providencia de 17 de abril de 2023) al apreciar que concurre en el mismo una especial trascendencia constitucional, porque plantea un problema o afecta a una faceta de un derecho fundamental sobre el que no hay doctrina de este tribunal [STC 155/2009, de 25 de junio, FJ 2 a)]. En este sentido, el Tribunal considera que debe pronunciarse acerca de si existe o no cobertura legal para que agentes policiales procedan a privar de libertad, siquiera temporalmente, a quien incurre aparentemente en una conducta delictiva, en concreto en un delito contra la seguridad vial por conducción bajo el influjo del alcohol, a fin de practicar las pruebas pertinentes en un lugar diverso de aquel en el que se detectó el ilícito y, en caso de que se concluyera que existe dicha cobertura legal, valore este tribunal </w:t>
      </w:r>
      <w:r>
        <w:lastRenderedPageBreak/>
        <w:t>si se han observado en este caso las garantías formales de la detención derivadas del parámetro ofrecido por el art. 17.3 CE.</w:t>
      </w:r>
    </w:p>
    <w:p w14:paraId="1D47C062" w14:textId="77777777" w:rsidR="009D7677" w:rsidRDefault="009D7677" w:rsidP="009D7677">
      <w:pPr>
        <w:pStyle w:val="TextoNormal"/>
      </w:pPr>
    </w:p>
    <w:p w14:paraId="3597344D" w14:textId="77777777" w:rsidR="009D7677" w:rsidRDefault="009D7677" w:rsidP="009D7677">
      <w:pPr>
        <w:pStyle w:val="TextoNormal"/>
      </w:pPr>
      <w:r w:rsidRPr="009D7677">
        <w:rPr>
          <w:rStyle w:val="NumeroAFNegritaCaracter"/>
        </w:rPr>
        <w:t>2</w:t>
      </w:r>
      <w:r>
        <w:t xml:space="preserve">. </w:t>
      </w:r>
      <w:r w:rsidRPr="009D7677">
        <w:rPr>
          <w:i/>
        </w:rPr>
        <w:t>Doctrina constitucional relativa a privaciones de libertad temporales por parte de agentes públicos, consistentes en desplazamientos a instalaciones policiales</w:t>
      </w:r>
    </w:p>
    <w:p w14:paraId="10E47E9C" w14:textId="77777777" w:rsidR="009D7677" w:rsidRDefault="009D7677" w:rsidP="009D7677">
      <w:pPr>
        <w:pStyle w:val="TextoNormal"/>
      </w:pPr>
    </w:p>
    <w:p w14:paraId="1ECB30EA" w14:textId="77777777" w:rsidR="009D7677" w:rsidRDefault="009D7677" w:rsidP="009D7677">
      <w:pPr>
        <w:pStyle w:val="TextoNormal"/>
      </w:pPr>
      <w:r>
        <w:t>Como punto de partida, debemos asumir que no concurre injerencia ilegítima lesiva de la libertad personal (art. 17.1 CE en relación con el art. 17.3 CE), cuando un individuo se encuentra voluntariamente en un lugar o se desplaza libremente de un lugar a otro. En palabras de la STC 341/1993, de 18 de noviembre, FJ 4, en relación con la anterior Ley Orgánica de protección de la seguridad ciudadana “una comparecencia espontánea o a voluntad propia en dependencias policiales excluiría, de principio, todo asomo de privación de libertad, aunque esta podría llegar a constatarse, claro está, desde el momento en que el sujeto quedara imposibilitado de abandonar aquellas dependencias”.</w:t>
      </w:r>
    </w:p>
    <w:p w14:paraId="151C8D1B" w14:textId="77777777" w:rsidR="009D7677" w:rsidRDefault="009D7677" w:rsidP="009D7677">
      <w:pPr>
        <w:pStyle w:val="TextoNormal"/>
      </w:pPr>
    </w:p>
    <w:p w14:paraId="4BA77EC5" w14:textId="77777777" w:rsidR="009D7677" w:rsidRDefault="009D7677" w:rsidP="009D7677">
      <w:pPr>
        <w:pStyle w:val="TextoNormal"/>
      </w:pPr>
      <w:r>
        <w:t xml:space="preserve">Esa libertad, sin embargo, no está presente cuando quien toma una determinada decisión —en nuestro caso, acompañar a los agentes de policía a comisaría— lo hace significativamente presionado por parte de un funcionario público, de forma que no pueda hablarse de plena autodeterminación o de la prestación de un consentimiento libre e incondicionado. En este sentido ya se pronunciaba la STC 341/1993 al resolver sobre si era voluntario o no un desplazamiento a dependencias policiales, a los efectos de identificación, en los casos en que se advertía al interesado de que la desatención de una orden conminatoria, impuesta o no por la coacción, podría dar lugar a responsabilidades penales o administrativas. Dice el pronunciamiento citado que “la actitud del requerido que acata la orden policial, expresa, claro es, una voluntad (la de no resistirse o no negarse a acompañar a los agentes), pero no necesariamente una voluntad libre en el sentido del art. 17.1 de la Constitución: </w:t>
      </w:r>
      <w:r w:rsidRPr="009D7677">
        <w:rPr>
          <w:i/>
        </w:rPr>
        <w:t>volui, sed coactus volui</w:t>
      </w:r>
      <w:r>
        <w:t xml:space="preserve">. La libertad a la que se refiere esta norma constitucional es, en efecto, la de quien orienta, en el marco de normas generales, la propia acción, no la de quien elige entre la obediencia y la resistencia al Derecho o a las órdenes dictadas en su virtud. No cabe, pues, hablar de libre voluntad para excluir la aplicación del art. 17.1 de la Constitución cuando una de las opciones que se le ofrecen al individuo sea jurídicamente necesaria y la otra entrañe, por lo mismo, una contravención, y bien claro está que si este del acatamiento fuera el criterio para reconocer o no una situación de privación de libertad perderían toda objetividad las garantías del art. 17 y se concluiría en hacer de peor condición a la persona que acata la orden que a aquella otra que la desatiende o resiste. Una privación de libertad no deja de serlo por el mero hecho de que el afectado la acepte (sentencia del Tribunal Europeo de Derechos Humanos de 18 de junio de 1971, caso </w:t>
      </w:r>
      <w:r w:rsidRPr="009D7677">
        <w:rPr>
          <w:i/>
        </w:rPr>
        <w:t>de Wilde, Ooms y Versyp</w:t>
      </w:r>
      <w:r>
        <w:t>, II, 65)” (STC 341/1993, de 18 de noviembre, FJ 4).</w:t>
      </w:r>
    </w:p>
    <w:p w14:paraId="56E8D882" w14:textId="77777777" w:rsidR="009D7677" w:rsidRDefault="009D7677" w:rsidP="009D7677">
      <w:pPr>
        <w:pStyle w:val="TextoNormal"/>
      </w:pPr>
    </w:p>
    <w:p w14:paraId="5DC86CEC" w14:textId="77777777" w:rsidR="009D7677" w:rsidRDefault="009D7677" w:rsidP="009D7677">
      <w:pPr>
        <w:pStyle w:val="TextoNormal"/>
      </w:pPr>
      <w:r>
        <w:t xml:space="preserve">Por otra parte, la jurisprudencia constitucional previa viene sosteniendo que no son admisibles las restricciones a la libertad personal sin cobertura legal. Al respecto, la propia dicción del artículo 17.1 CE es suficientemente expresiva: “[t]oda persona tiene derecho a la libertad y a la seguridad. Nadie puede ser privado de su libertad, sino con la observancia de lo establecido en este artículo y en los casos y en la forma previstos en la ley” y, al interpretar esta disposición nuestra jurisprudencia sostiene que la previsión legal de una medida limitativa de derechos fundamentales es condición de su legitimidad constitucional, lo que se proyecta específicamente sobre el derecho a la libertad personal en las SSTC </w:t>
      </w:r>
      <w:r>
        <w:lastRenderedPageBreak/>
        <w:t>32/1987, de 12 de marzo, FJ 3; 86/1996, de 21 de mayo, FJ 2; 169/2001, de 16 de julio, FJ 6; 217/2015, de 22 de octubre, FJ 2, y 84/2018, de 16 de julio, FJ 3.</w:t>
      </w:r>
    </w:p>
    <w:p w14:paraId="51A7830C" w14:textId="77777777" w:rsidR="009D7677" w:rsidRDefault="009D7677" w:rsidP="009D7677">
      <w:pPr>
        <w:pStyle w:val="TextoNormal"/>
      </w:pPr>
    </w:p>
    <w:p w14:paraId="0F1596AE" w14:textId="77777777" w:rsidR="009D7677" w:rsidRDefault="009D7677" w:rsidP="009D7677">
      <w:pPr>
        <w:pStyle w:val="TextoNormal"/>
      </w:pPr>
      <w:r>
        <w:t>Finalmente, debe considerarse que la cobertura legal debe serlo para una finalidad constitucionalmente legítima, siempre expresada de manera que no genere espacios de inseguridad. Nuevamente procede la cita de la STC 341/1993, de 18 de noviembre, que, en su fundamento jurídico 5 dispone lo siguiente: “La Ley no podría, desde luego, configurar supuestos de privación de libertad que no correspondan a la finalidad de protección de derechos, bienes o valores constitucionalmente reconocidos o que por su grado de indeterminación crearan inseguridad o incertidumbre insuperable sobre su modo de aplicación efectiva”. O, como afirma la también citada STC 217/2015, de 22 de octubre, FJ 2: “hemos sostenido, en cuanto a las características exigidas por la seguridad jurídica respecto de la calidad de la ley habilitadora de las injerencias, que ‘la ley debe definir las modalidades y extensión del ejercicio del poder otorgado con la suficiente claridad para aportar al individuo una protección adecuada contra la arbitrariedad’ (SSTC 169/2001, de 16 de julio, FJ 6, y 145/2014, de 22 de septiembre, FJ 7)”.</w:t>
      </w:r>
    </w:p>
    <w:p w14:paraId="6E7101A7" w14:textId="77777777" w:rsidR="009D7677" w:rsidRDefault="009D7677" w:rsidP="009D7677">
      <w:pPr>
        <w:pStyle w:val="TextoNormal"/>
      </w:pPr>
    </w:p>
    <w:p w14:paraId="3A6BAC35" w14:textId="01112B7C" w:rsidR="009D7677" w:rsidRDefault="009D7677" w:rsidP="009D7677">
      <w:pPr>
        <w:pStyle w:val="TextoNormal"/>
      </w:pPr>
      <w:r>
        <w:t>En definitiva, en los casos de privación de libertad temporal a ciudadanos por parte de agentes del Estado se requiere que exista una norma legal de cobertura, orientada a fines legítimos en términos constitucionales, que se exprese de forma nítida, no pudiéndose reputar como tal privación de libertad los casos en los que el ciudadano actúe de forma plenamente voluntaria.</w:t>
      </w:r>
    </w:p>
    <w:p w14:paraId="3419EC33" w14:textId="77777777" w:rsidR="009D7677" w:rsidRDefault="009D7677" w:rsidP="009D7677">
      <w:pPr>
        <w:pStyle w:val="TextoNormal"/>
      </w:pPr>
    </w:p>
    <w:p w14:paraId="1607DB83" w14:textId="77777777" w:rsidR="009D7677" w:rsidRDefault="009D7677" w:rsidP="009D7677">
      <w:pPr>
        <w:pStyle w:val="TextoNormal"/>
      </w:pPr>
      <w:r w:rsidRPr="009D7677">
        <w:rPr>
          <w:rStyle w:val="NumeroAFNegritaCaracter"/>
        </w:rPr>
        <w:t>3</w:t>
      </w:r>
      <w:r>
        <w:t xml:space="preserve">. </w:t>
      </w:r>
      <w:r w:rsidRPr="009D7677">
        <w:rPr>
          <w:i/>
        </w:rPr>
        <w:t>Aplicación de la doctrina expuesta al caso concreto. El consentimiento libremente emitido</w:t>
      </w:r>
    </w:p>
    <w:p w14:paraId="427C785F" w14:textId="77777777" w:rsidR="009D7677" w:rsidRDefault="009D7677" w:rsidP="009D7677">
      <w:pPr>
        <w:pStyle w:val="TextoNormal"/>
      </w:pPr>
    </w:p>
    <w:p w14:paraId="28731345" w14:textId="77777777" w:rsidR="009D7677" w:rsidRDefault="009D7677" w:rsidP="009D7677">
      <w:pPr>
        <w:pStyle w:val="TextoNormal"/>
      </w:pPr>
      <w:r>
        <w:t>Las sentencias impugnadas en amparo aceptan que la recurrente en amparo se desplazó voluntariamente a las instalaciones de la Policía Municipal para someterse a la prueba de detección de alcoholemia.</w:t>
      </w:r>
    </w:p>
    <w:p w14:paraId="471FFC55" w14:textId="77777777" w:rsidR="009D7677" w:rsidRDefault="009D7677" w:rsidP="009D7677">
      <w:pPr>
        <w:pStyle w:val="TextoNormal"/>
      </w:pPr>
    </w:p>
    <w:p w14:paraId="6ABED744" w14:textId="77777777" w:rsidR="009D7677" w:rsidRDefault="009D7677" w:rsidP="009D7677">
      <w:pPr>
        <w:pStyle w:val="TextoNormal"/>
      </w:pPr>
      <w:r>
        <w:t>La sentencia de condena del Juzgado de lo Penal núm. 3 de Madrid, de 18 de agosto de 2021, pese a reproducir las declaraciones de los agentes de la Policía Nacional intervinientes en la interceptación de la recurrente reconociendo que esta se negó varias veces a ser trasladada a la comisaría, finalmente concluye, ante la ausencia de declaración de la acusada que se acogió a su derecho a no declarar, que de la declaración de los agentes de la Policía Nacional se desprende “que lo que hicieron es ‘convencer’ mediante una constante labor de persuasión a la acusada para que les acompañara voluntariamente a Comisaría a efectos de realización de la prueba, a la que estaba obligada a someterse, en el convencimiento de que permitir la conducción de la acusada con los importantes síntomas externos que presentaba podría suponer un riesgo no solo para su propia vida e integridad sino para el resto de conductores”. Y continúa: “La acusada se ha acogido a su derecho a no declarar, por lo que no ha explicado en qué condiciones se produjo ese traslado a Comisaría, pero entendemos que lo que se desprende de la declaración de los agentes de policía nacional es que se produjo con el consentimiento de la acusada y que tuvo lugar precisamente en las condiciones menos aflictivas para la hoy acusada, puesto que la otra alternativa, habría sido proceder en el acto a su detención por negativa a la práctica de las pruebas, previa información de derechos y proceder seguidamente a su traslado a dependencias policiales”.</w:t>
      </w:r>
    </w:p>
    <w:p w14:paraId="7EC4322D" w14:textId="77777777" w:rsidR="009D7677" w:rsidRDefault="009D7677" w:rsidP="009D7677">
      <w:pPr>
        <w:pStyle w:val="TextoNormal"/>
      </w:pPr>
    </w:p>
    <w:p w14:paraId="0FFE2962" w14:textId="77777777" w:rsidR="009D7677" w:rsidRDefault="009D7677" w:rsidP="009D7677">
      <w:pPr>
        <w:pStyle w:val="TextoNormal"/>
      </w:pPr>
      <w:r>
        <w:t>Tal valoración fue ratificada por la sentencia de 10 de noviembre de 2021 de la Sección Decimoquinta de la Audiencia Provincial de Madrid.</w:t>
      </w:r>
    </w:p>
    <w:p w14:paraId="51C0F3D2" w14:textId="77777777" w:rsidR="009D7677" w:rsidRDefault="009D7677" w:rsidP="009D7677">
      <w:pPr>
        <w:pStyle w:val="TextoNormal"/>
      </w:pPr>
    </w:p>
    <w:p w14:paraId="18140526" w14:textId="4F640CB9" w:rsidR="009D7677" w:rsidRDefault="009D7677" w:rsidP="009D7677">
      <w:pPr>
        <w:pStyle w:val="TextoNormal"/>
      </w:pPr>
      <w:r>
        <w:t>Sin embargo, no es posible aceptar esta valoración efectuada en la instancia si tenemos en cuenta que la jurisprudencia constitucional previamente expuesta considera que no puede hablarse de libre voluntad de una persona, para excluir la aplicación del art. 17.1 CE, cuando la decisión adoptada se base en el ofrecimiento alternativo de una opción jurídicamente necesaria y otra que entrañe una contravención, es decir, cuando la alternativa que se le ofrece, si no adopta la decisión de desplazarse o permanecer en un lugar, es la de incurrir en un determinado ilícito. Así, como dice la STC 341/1993, “la actitud del requerido que acata la orden policial, expresa, claro es, una voluntad (la de no resistirse o no negarse a acompañar a los agentes), pero no necesariamente una voluntad libre en el sentido del art. 17.1 de la Constitución” (FJ 4). Ante un supuesto así nos encontramos en el caso que ahora nos ocupa, porque la emisión del consentimiento, esto es, la aceptación del desplazamiento de la recurrente en amparo desde el lugar en que se la paró por la Policía Nacional hasta la comisaría de la Policía Municipal donde se realizó la prueba de alcoholemia, no fue una opción indubitadamente libre, en la medida en que, como recoge la sentencia que resuelve el recurso de apelación, “los agentes policiales […] convencieron a la recurrente a acompañarles pues podría incurrir en un delito de desobediencia”, debiendo emplear para ello, de acuerdo con la sentencia dictada por el juzgado de lo penal, “una constante labor de persuasión”. Por consiguiente, no cabe asumir que el desplazamiento fue una expresión de la libérrima decisión por parte de la actora, la cual vio constreñida su capacidad de opción a la vista de la alternativa que se le presentaba.</w:t>
      </w:r>
    </w:p>
    <w:p w14:paraId="23CB3F42" w14:textId="77777777" w:rsidR="009D7677" w:rsidRDefault="009D7677" w:rsidP="009D7677">
      <w:pPr>
        <w:pStyle w:val="TextoNormal"/>
      </w:pPr>
    </w:p>
    <w:p w14:paraId="76A5537A" w14:textId="77777777" w:rsidR="009D7677" w:rsidRDefault="009D7677" w:rsidP="009D7677">
      <w:pPr>
        <w:pStyle w:val="TextoNormal"/>
      </w:pPr>
      <w:r w:rsidRPr="009D7677">
        <w:rPr>
          <w:rStyle w:val="NumeroAFNegritaCaracter"/>
        </w:rPr>
        <w:t>4</w:t>
      </w:r>
      <w:r>
        <w:t xml:space="preserve">. </w:t>
      </w:r>
      <w:r w:rsidRPr="009D7677">
        <w:rPr>
          <w:i/>
        </w:rPr>
        <w:t>Aplicación de la doctrina expuesta al caso concreto. La cobertura legal del traslado no consentido</w:t>
      </w:r>
    </w:p>
    <w:p w14:paraId="3D3D79B0" w14:textId="77777777" w:rsidR="009D7677" w:rsidRDefault="009D7677" w:rsidP="009D7677">
      <w:pPr>
        <w:pStyle w:val="TextoNormal"/>
      </w:pPr>
    </w:p>
    <w:p w14:paraId="5ED8E6A2" w14:textId="77777777" w:rsidR="009D7677" w:rsidRDefault="009D7677" w:rsidP="009D7677">
      <w:pPr>
        <w:pStyle w:val="TextoNormal"/>
      </w:pPr>
      <w:r>
        <w:t>Una vez descartado que el desplazamiento de la recurrente en amparo a la comisaría de la Policía Municipal, para realizar allí la prueba de alcoholemia, fuera un traslado voluntario, es preciso analizar si existe cobertura legal para una retención no voluntaria tendente a la conducción a dependencias policiales en supuestos como el que ahora nos ocupa.</w:t>
      </w:r>
    </w:p>
    <w:p w14:paraId="331BF8D2" w14:textId="77777777" w:rsidR="009D7677" w:rsidRDefault="009D7677" w:rsidP="009D7677">
      <w:pPr>
        <w:pStyle w:val="TextoNormal"/>
      </w:pPr>
    </w:p>
    <w:p w14:paraId="5F4E7354" w14:textId="77777777" w:rsidR="009D7677" w:rsidRDefault="009D7677" w:rsidP="009D7677">
      <w:pPr>
        <w:pStyle w:val="TextoNormal"/>
      </w:pPr>
      <w:r>
        <w:t xml:space="preserve">En ese sentido, el artículo 14.2 del texto refundido de la Ley sobre tráfico, circulación de vehículos a motor y seguridad vial, aprobado por el Real Decreto Legislativo 6/2015, de 30 de octubre, dispone que “[e]l conductor de un vehículo está obligado a someterse a las pruebas para la detección de alcohol o de la presencia de drogas en el organismo, que se practicarán por los agentes de la autoridad encargados de la vigilancia del tráfico en el ejercicio de las funciones que tienen encomendadas. Igualmente quedan obligados los demás usuarios de la vía cuando se hallen implicados en un accidente de tráfico o hayan cometido una infracción conforme a lo tipificado en esta ley”, y completa la previsión el apartado 4 del precepto estableciendo que “[e]l procedimiento, las condiciones y los términos en que se realizarán las pruebas para la detección de alcohol o de drogas se determinarán reglamentariamente”. Este Reglamento, con sus actualizaciones correspondientes, fue aprobado por el Real Decreto 1428/2003, de 21 de noviembre, cuyo art. 21 se refiere a la investigación de la alcoholemia y a las personas obligadas a someterse a la prueba, citando entre ellas a “quienes conduzcan cualquier vehículo con síntomas evidentes, manifestaciones que denoten o hechos que permitan razonablemente presumir que lo hacen </w:t>
      </w:r>
      <w:r>
        <w:lastRenderedPageBreak/>
        <w:t>bajo la influencia de bebidas alcohólicas”, supuesto este en el que, según el relato de hechos probados, se encontraba la recurrente en amparo. No se aplicaría a este supuesto, en cambio, el apartado d) del mismo precepto, que identifica como obligados a “los que con ocasión de conducir un vehículo, sean requeridos al efecto por la autoridad o sus agentes dentro de los programas de controles preventivos de alcoholemia ordenados por dicha autoridad”. Hemos de recordar, a este respecto, que tal y como ha sido expuesto en los antecedentes, la recurrente en amparo fue requerida para detener su vehículo por agentes del Cuerpo Nacional de Policía en un control de seguridad, y no en un control preventivo de alcoholemia.</w:t>
      </w:r>
    </w:p>
    <w:p w14:paraId="493D6FC9" w14:textId="77777777" w:rsidR="009D7677" w:rsidRDefault="009D7677" w:rsidP="009D7677">
      <w:pPr>
        <w:pStyle w:val="TextoNormal"/>
      </w:pPr>
    </w:p>
    <w:p w14:paraId="27D1C649" w14:textId="77777777" w:rsidR="009D7677" w:rsidRDefault="009D7677" w:rsidP="009D7677">
      <w:pPr>
        <w:pStyle w:val="TextoNormal"/>
      </w:pPr>
      <w:r>
        <w:t>En la misma línea de razonamiento, el art. 21 del Reglamento establece que son los agentes de la autoridad encargados de la vigilancia del tráfico quienes pueden someter a la persona a dichas pruebas. Por esa razón los agentes de la Policía Nacional, que no eran competentes, en el lugar en que se intercepta a la recurrente en amparo para someterla a las pruebas de alcoholemia, procedieron a solicitar la presencia de la Policía Municipal de tráfico de Madrid con un etilómetro de precisión. Porque era esta la autoridad competente. Es la imposibilidad de la Policía Municipal de acudir al lugar de la interceptación, desconociéndose las causas de tal impedimento, la que provoca el traslado, no consentido libremente, de la recurrente en amparo a la comisaría.</w:t>
      </w:r>
    </w:p>
    <w:p w14:paraId="54B214B8" w14:textId="77777777" w:rsidR="009D7677" w:rsidRDefault="009D7677" w:rsidP="009D7677">
      <w:pPr>
        <w:pStyle w:val="TextoNormal"/>
      </w:pPr>
    </w:p>
    <w:p w14:paraId="4B61D2B8" w14:textId="77777777" w:rsidR="009D7677" w:rsidRDefault="009D7677" w:rsidP="009D7677">
      <w:pPr>
        <w:pStyle w:val="TextoNormal"/>
      </w:pPr>
      <w:r>
        <w:t xml:space="preserve">El art. 24 del Reglamento, al referirse a las diligencias del agente de la autoridad, esto es, en el caso de la ciudad de Madrid, a las diligencias de la Policía Municipal, prevé que es posible “[c]onducir al sometido a examen, o al que se negase a someterse a las pruebas de detección alcohólica, en los supuestos en que los hechos revistan caracteres delictivos, de conformidad con lo dispuesto en la Ley de enjuiciamiento criminal, al juzgado correspondiente a los efectos que procedan”. Es decir, se prevé una conducción obligatoria al juzgado en los supuestos de negativa a la realización de la prueba o en los casos en que se presenten síntomas evidentes de conducción de un vehículo bajo la influencia de bebidas alcohólicas. Pero este precepto no prevé esa conducción por autoridad diferente de la autoridad competente, ni prevé la conducción obligatoria a comisaría para la realización de la prueba de alcoholemia, porque se presupone la realización de la prueba </w:t>
      </w:r>
      <w:r w:rsidRPr="009D7677">
        <w:rPr>
          <w:i/>
        </w:rPr>
        <w:t>in situ</w:t>
      </w:r>
      <w:r>
        <w:t>, en el lugar de la interceptación o retención. No obstante, vemos que esa realización no siempre es posible.</w:t>
      </w:r>
    </w:p>
    <w:p w14:paraId="0EE4272E" w14:textId="77777777" w:rsidR="009D7677" w:rsidRDefault="009D7677" w:rsidP="009D7677">
      <w:pPr>
        <w:pStyle w:val="TextoNormal"/>
      </w:pPr>
    </w:p>
    <w:p w14:paraId="358DC3F4" w14:textId="77777777" w:rsidR="009D7677" w:rsidRDefault="009D7677" w:rsidP="009D7677">
      <w:pPr>
        <w:pStyle w:val="TextoNormal"/>
      </w:pPr>
      <w:r>
        <w:t>El art. 3 de la Ley Orgánica 2/1986, de 13 de marzo, de fuerzas y cuerpos de seguridad, dispone: “Los miembros de las fuerzas y cuerpos de seguridad ajustarán su actuación al principio de cooperación recíproca y su coordinación se efectuará a través de los órganos que a tal efecto establece esta Ley”. Asimismo, el artículo 12.2 del mismo cuerpo normativo establece: “Las fuerzas y cuerpos de seguridad del Estado están obligadas a la cooperación recíproca en el desempeño de sus competencias respectivas”.</w:t>
      </w:r>
    </w:p>
    <w:p w14:paraId="03DD3FD1" w14:textId="77777777" w:rsidR="009D7677" w:rsidRDefault="009D7677" w:rsidP="009D7677">
      <w:pPr>
        <w:pStyle w:val="TextoNormal"/>
      </w:pPr>
    </w:p>
    <w:p w14:paraId="67EBF219" w14:textId="77777777" w:rsidR="009D7677" w:rsidRDefault="009D7677" w:rsidP="009D7677">
      <w:pPr>
        <w:pStyle w:val="TextoNormal"/>
      </w:pPr>
      <w:r>
        <w:t xml:space="preserve">Teniendo en cuenta lo descrito en los párrafos anteriores, así como la doctrina expuesta en el fundamento jurídico anterior, de la que se deriva que no es posible una restricción de la libertad personal </w:t>
      </w:r>
      <w:r w:rsidRPr="009D7677">
        <w:rPr>
          <w:i/>
        </w:rPr>
        <w:t>ex</w:t>
      </w:r>
      <w:r>
        <w:t xml:space="preserve"> art. 17.1 CE sin cobertura legal, aunque sea para cumplir una obligación jurídicamente exigible, es preciso ahora dar respuesta a la cuestión de si existe un anclaje en la ley a lo que acaeció en el caso que nos ocupa. Y la respuesta a esta cuestión debe ser negativa. De los preceptos transcritos no puede deducirse que exista una previsión legal clara, que responda a los requisitos de seguridad y certeza, que justifique el tras</w:t>
      </w:r>
      <w:r>
        <w:lastRenderedPageBreak/>
        <w:t>lado de una persona de un punto en que se la intercepta en un control de seguridad hacia una comisaría de policía para realizar la prueba de alcoholemia en aquellos supuestos en que la persona no acepte voluntariamente, de forma indubitada y clara, ese desplazamiento para realizar la prueba. La mera referencia a la necesidad de cooperación entre cuerpos policiales, en este caso, de la Policía Nacional con la Policía Municipal, con competencias específicas en la materia, no es suficiente como norma de cobertura cuando estamos ante la restricción de un derecho fundamental, como es la libertad deambulatoria. En cualquier caso, esa necesidad de cooperación se articuló adecuadamente con la petición de la Policía Nacional de que un dispositivo móvil de la Policía Municipal de desplazase al lugar de los hechos. Una vez constatada la imposibilidad de ese traslado de la autoridad, solo cabía trasladar a la persona interceptada si, y solo si, ese desplazamiento era aceptado voluntariamente, porque no existe previsión legal para un traslado forzoso más que si se produce una detención, dentro de las previsiones contenidas en los arts. 490 y 492 LECrim y con las garantías asociadas a esa detención. Detención que, en ningún caso, se produce en el supuesto de hecho del que trae causa el proceso que culmina en el presente recurso de amparo, como se deduce claramente de la lectura del atestado, de las actuaciones y de los hechos probados de las resoluciones impugnadas.</w:t>
      </w:r>
    </w:p>
    <w:p w14:paraId="420822FF" w14:textId="77777777" w:rsidR="009D7677" w:rsidRDefault="009D7677" w:rsidP="009D7677">
      <w:pPr>
        <w:pStyle w:val="TextoNormal"/>
      </w:pPr>
    </w:p>
    <w:p w14:paraId="0BBD18B5" w14:textId="77777777" w:rsidR="009D7677" w:rsidRDefault="009D7677" w:rsidP="009D7677">
      <w:pPr>
        <w:pStyle w:val="TextoNormal"/>
      </w:pPr>
      <w:r>
        <w:t>En definitiva, prescindiendo de la conveniencia político-legislativa de regular expresamente la situación descrita, desde la perspectiva de este recurso de amparo, la inexistencia de apoyo legal al proceder de los agentes, unida a la necesidad de “interpretar restrictivamente cualquier excepción a la regla general de libertad” (STC 112/1988, de 8 de junio, FJ 3), ha de traducirse en la conclusión de que se lesionó el derecho de la recurrente que, en este caso, habría que entender sería el derecho a la libertad, art. 17.1 CE, en relación con el art. 17.3 CE, por ella invocados.</w:t>
      </w:r>
    </w:p>
    <w:p w14:paraId="1A405CEE" w14:textId="77777777" w:rsidR="009D7677" w:rsidRDefault="009D7677" w:rsidP="009D7677">
      <w:pPr>
        <w:pStyle w:val="TextoNormal"/>
      </w:pPr>
    </w:p>
    <w:p w14:paraId="03FBCC6F" w14:textId="77777777" w:rsidR="009D7677" w:rsidRDefault="009D7677" w:rsidP="009D7677">
      <w:pPr>
        <w:pStyle w:val="TextoNormal"/>
      </w:pPr>
      <w:r>
        <w:t xml:space="preserve">Por lo que hace a la denunciada vulneración del derecho a la tutela judicial efectiva, en su vertiente de interdicción de la incongruencia omisiva, que hemos tenido por estrechamente vinculada con la invocación del art. 17.1 CE, entiende este tribunal que no existe una lesión autónoma del art. 24.1 CE. Sobre el derecho a una resolución judicial congruente (art. 24.1 CE), y cuándo se está ante su vulneración por haberse incurrido en incongruencia en sus distintas modalidades, existe un cuerpo de doctrina consolidado que sistematizamos en la STC 104/2022, de 12 de septiembre, en cuyo FJ 3 reflejamos que el vicio de incongruencia se define como “aquel desajuste entre el fallo judicial y los términos en los que las partes han formulado su pretensión o pretensiones que constituyen el objeto del proceso en los escritos esenciales del mismo” de modo que “[a]l conceder más, menos o cosa distinta a lo pedido, el órgano judicial incurre en las formas de incongruencia conocidas como </w:t>
      </w:r>
      <w:r w:rsidRPr="009D7677">
        <w:rPr>
          <w:i/>
        </w:rPr>
        <w:t>ultra petita</w:t>
      </w:r>
      <w:r>
        <w:t xml:space="preserve">, </w:t>
      </w:r>
      <w:r w:rsidRPr="009D7677">
        <w:rPr>
          <w:i/>
        </w:rPr>
        <w:t>citra petita</w:t>
      </w:r>
      <w:r>
        <w:t xml:space="preserve"> o </w:t>
      </w:r>
      <w:r w:rsidRPr="009D7677">
        <w:rPr>
          <w:i/>
        </w:rPr>
        <w:t>extra petita partium</w:t>
      </w:r>
      <w:r>
        <w:t xml:space="preserve">”. En este marco la incongruencia omisiva o </w:t>
      </w:r>
      <w:r w:rsidRPr="009D7677">
        <w:rPr>
          <w:i/>
        </w:rPr>
        <w:t>ex silentio</w:t>
      </w:r>
      <w:r>
        <w:t>, se produce “cuando el órgano judicial deja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y sin que sea necesaria, para la satisfacción del derecho a la tutela judicial efectiva, una contestación explícita y pormenorizada a todas y cada una de las alegaciones que se aducen por las partes como fundamento de su pretensión, pudiendo bastar, en atención a las circunstancias particulares concurrentes, con una respuesta global o genérica, aunque se omita respecto de alegaciones concretas no sustanciales” (STC 39/2023, de 8 de mayo, FJ 3, y jurisprudencia allí citada).</w:t>
      </w:r>
    </w:p>
    <w:p w14:paraId="06CC9929" w14:textId="77777777" w:rsidR="009D7677" w:rsidRDefault="009D7677" w:rsidP="009D7677">
      <w:pPr>
        <w:pStyle w:val="TextoNormal"/>
      </w:pPr>
    </w:p>
    <w:p w14:paraId="49E1DA0E" w14:textId="77777777" w:rsidR="009D7677" w:rsidRDefault="009D7677" w:rsidP="009D7677">
      <w:pPr>
        <w:pStyle w:val="TextoNormal"/>
      </w:pPr>
      <w:r>
        <w:t>La demanda plantea la existencia de una incongruencia omisiva, toda vez que no se habría contestado a la cuestión de si las personas tienen el deber de trasladarse a dependencias policiales para someterse a pruebas de detección de alcohol o drogas o pueden negarse, como tampoco se dio respuesta a si tal traslado debió hacerse en condición de detenida, o a la cuestión de si se le informó de sus derechos antes de realizar o no la prueba.</w:t>
      </w:r>
    </w:p>
    <w:p w14:paraId="0F5FF7CC" w14:textId="77777777" w:rsidR="009D7677" w:rsidRDefault="009D7677" w:rsidP="009D7677">
      <w:pPr>
        <w:pStyle w:val="TextoNormal"/>
      </w:pPr>
    </w:p>
    <w:p w14:paraId="237C603B" w14:textId="77777777" w:rsidR="009D7677" w:rsidRDefault="009D7677" w:rsidP="009D7677">
      <w:pPr>
        <w:pStyle w:val="TextoNormal"/>
      </w:pPr>
      <w:r>
        <w:t>Ahora bien, la aplicación de la doctrina a la que se acaba de hacer referencia conduce a la desestimación de la queja de la demanda de amparo, dado que la motivación contenida en las sentencias impugnadas cumple en ambos casos las exigencias que se derivan del art. 24.1 CE al haber desestimado las pretensiones deducidas por la actora con una motivación suficiente y que permite entender el razonamiento que ha llevado al juzgador a condenar a la recurrente en amparo. Cuestión distinta es que la actora no esté de acuerdo con la argumentación utilizada por los órganos judiciales o con la respuesta ofrecida en la argumentación, pero no puede afirmarse que la misma no concurra.</w:t>
      </w:r>
    </w:p>
    <w:p w14:paraId="770E5B65" w14:textId="77777777" w:rsidR="009D7677" w:rsidRDefault="009D7677" w:rsidP="009D7677">
      <w:pPr>
        <w:pStyle w:val="TextoNormal"/>
      </w:pPr>
    </w:p>
    <w:p w14:paraId="5015E46E" w14:textId="77777777" w:rsidR="009D7677" w:rsidRDefault="009D7677" w:rsidP="009D7677">
      <w:pPr>
        <w:pStyle w:val="TextoNormal"/>
      </w:pPr>
      <w:r>
        <w:t xml:space="preserve">En el fundamento de Derecho primero de la sentencia condenatoria del Juzgado de lo Penal núm. 3 de Madrid, el órgano judicial da respuesta al argumento de la defensa de que debería haberse acordado la nulidad del procedimiento por las razones formales aducidas como cuestión previa al inicio de las sesiones del juicio, es decir, por el hecho de haber realizado la prueba de alcoholemia tras conducir a la recurrente sin su consentimiento a comisaría. El juzgado rechaza la causa de nulidad aludiendo a la obligación de los conductores de someterse a la prueba de alcoholemia y a las consecuencias derivadas de la negativa al sometimiento a la prueba y reconoce que, si bien la práctica habitual es la de realizar las pruebas para detectar la posible intoxicación por alcohol </w:t>
      </w:r>
      <w:r w:rsidRPr="009D7677">
        <w:rPr>
          <w:i/>
        </w:rPr>
        <w:t>in situ</w:t>
      </w:r>
      <w:r>
        <w:t>, en ocasiones puede resultar imposible y es entonces donde surge la disyuntiva planteada por la defensa, que lleva a interrogarse sobre si la persona obligada a la realización de las pruebas tiene obligación de trasladarse a dependencias policiales para someterse a las mismas o puede negarse, aludiendo entonces la sentencia a la jurisprudencia contradictoria de las audiencias provinciales al respecto. Tras comentar esa jurisprudencia, el juzgado concluye que, en este caso, no se ha producido indefensión de la acusada porque el traslado ha sido voluntario.</w:t>
      </w:r>
    </w:p>
    <w:p w14:paraId="76544AE0" w14:textId="77777777" w:rsidR="009D7677" w:rsidRDefault="009D7677" w:rsidP="009D7677">
      <w:pPr>
        <w:pStyle w:val="TextoNormal"/>
      </w:pPr>
    </w:p>
    <w:p w14:paraId="7A74D087" w14:textId="37018DCC" w:rsidR="009D7677" w:rsidRDefault="009D7677" w:rsidP="009D7677">
      <w:pPr>
        <w:pStyle w:val="TextoNormal"/>
      </w:pPr>
      <w:r>
        <w:t>Por tanto, que la forma de apreciar la vulneración del art. 17.1 CE difiera entre el planteamiento de la recurrente, que viene a coincidir con el que sostiene este pronunciamiento constitucional, y la aproximación realizada por los órganos jurisdiccionales de la instancia no implica que aquellos no hayan dado respuesta a las alegaciones de parte, incurriendo en incongruencia omisiva, puesto que la argumentación en respuesta a los argumentos esenciales de la demanda ha existido, pese a que ahora derivemos de los mismos la lesión del art. 17.1 CE. En suma, la alegación relativa a la vulneración del art. 24.1 CE, en su vertiente de la interdicción de incongruencia omisiva, debe ser desestimada.</w:t>
      </w:r>
    </w:p>
    <w:p w14:paraId="728342F5" w14:textId="77777777" w:rsidR="009D7677" w:rsidRDefault="009D7677" w:rsidP="009D7677">
      <w:pPr>
        <w:pStyle w:val="TextoNormal"/>
      </w:pPr>
    </w:p>
    <w:p w14:paraId="268A86A8" w14:textId="77777777" w:rsidR="009D7677" w:rsidRDefault="009D7677" w:rsidP="009D7677">
      <w:pPr>
        <w:pStyle w:val="TextoNormal"/>
      </w:pPr>
      <w:r w:rsidRPr="009D7677">
        <w:rPr>
          <w:rStyle w:val="NumeroAFNegritaCaracter"/>
        </w:rPr>
        <w:t>5</w:t>
      </w:r>
      <w:r>
        <w:t xml:space="preserve">. </w:t>
      </w:r>
      <w:r w:rsidRPr="009D7677">
        <w:rPr>
          <w:i/>
        </w:rPr>
        <w:t>Examen de las quejas relativas al derecho fundamental a la presunción de inocencia</w:t>
      </w:r>
    </w:p>
    <w:p w14:paraId="1B0FE92A" w14:textId="77777777" w:rsidR="009D7677" w:rsidRDefault="009D7677" w:rsidP="009D7677">
      <w:pPr>
        <w:pStyle w:val="TextoNormal"/>
      </w:pPr>
    </w:p>
    <w:p w14:paraId="1BC9EC7E" w14:textId="77777777" w:rsidR="009D7677" w:rsidRDefault="009D7677" w:rsidP="009D7677">
      <w:pPr>
        <w:pStyle w:val="TextoNormal"/>
      </w:pPr>
      <w:r>
        <w:t>Llegados a este punto es preciso examinar la queja referida a la pretendida vulneración del derecho a la presunción de inocencia (art. 24.2 CE).</w:t>
      </w:r>
    </w:p>
    <w:p w14:paraId="208D5DBD" w14:textId="77777777" w:rsidR="009D7677" w:rsidRDefault="009D7677" w:rsidP="009D7677">
      <w:pPr>
        <w:pStyle w:val="TextoNormal"/>
      </w:pPr>
    </w:p>
    <w:p w14:paraId="6C26E846" w14:textId="77777777" w:rsidR="009D7677" w:rsidRDefault="009D7677" w:rsidP="009D7677">
      <w:pPr>
        <w:pStyle w:val="TextoNormal"/>
      </w:pPr>
      <w:r>
        <w:lastRenderedPageBreak/>
        <w:t>Sostiene la demanda que, si se acepta la falta de cobertura constitucional para proceder al traslado de la demandante a dependencias policiales, la prueba sobre la que se articuló la condena, singularmente la del etilómetro, sería nula al estar conectada antijurídicamente con aquel. En cambio, sostiene el Ministerio Fiscal que no hubo lesión alguna del derecho a la presunción de inocencia, en la medida en que de las sentencias se desprendería que la prueba de cargo materialmente relevante fue la declaración de los dos policías nacionales, cuya actuación fue previa al traslado de la conductora aquí cuestionado. La prueba de alcoholemia solo habría cumplido una función de ratificación de aquella, por lo que no sería imprescindible para considerar probada la comisión del delito contra la seguridad del tráfico.</w:t>
      </w:r>
    </w:p>
    <w:p w14:paraId="294C5DFB" w14:textId="77777777" w:rsidR="009D7677" w:rsidRDefault="009D7677" w:rsidP="009D7677">
      <w:pPr>
        <w:pStyle w:val="TextoNormal"/>
      </w:pPr>
    </w:p>
    <w:p w14:paraId="287E0C85" w14:textId="77777777" w:rsidR="009D7677" w:rsidRDefault="009D7677" w:rsidP="009D7677">
      <w:pPr>
        <w:pStyle w:val="TextoNormal"/>
      </w:pPr>
      <w:r>
        <w:t>La cuestión se traslada, pues, al estudio de si la prueba de alcoholemia puede considerarse lícita, conforme a los criterios expresados por este tribunal, entre otras, en la STC 66/2009, de 9 de marzo, cuyo fundamento jurídico 4, retomando pronunciamientos previos, sostiene que “aunque la prohibición de valorar en juicio pruebas obtenidas con vulneración de derechos fundamentales sustantivos no se halla proclamada en un precepto constitucional, tal valoración implica una ignorancia de las garantías propias del proceso (art. 24.2 CE) y una inaceptable confirmación institucional de la desigualdad entre las partes en el juicio, y en virtud de su contradicción con ese derecho fundamental y, en definitiva, con la idea de ‘proceso justo’, debe considerarse prohibida por la Constitución (STC 114/1984, de 29 de noviembre, FJ 5, y, entre las más recientes, SSTC 81/1998, de 2 de abril, FJ 2; 69/2001, de 17 de marzo, FJ 26)”.</w:t>
      </w:r>
    </w:p>
    <w:p w14:paraId="21AA0244" w14:textId="77777777" w:rsidR="009D7677" w:rsidRDefault="009D7677" w:rsidP="009D7677">
      <w:pPr>
        <w:pStyle w:val="TextoNormal"/>
      </w:pPr>
    </w:p>
    <w:p w14:paraId="10B59E89" w14:textId="77777777" w:rsidR="009D7677" w:rsidRDefault="009D7677" w:rsidP="009D7677">
      <w:pPr>
        <w:pStyle w:val="TextoNormal"/>
      </w:pPr>
      <w:r>
        <w:t>Es decir, “al valorar pruebas obtenidas con vulneración de derechos fundamentales u otras que sean consecuencia de dicha vulneración, puede resultar lesionado, no solo el derecho a un proceso con todas las garantías, sino también la presunción de inocencia”, lo que “sucederá si la condena se ha fundado exclusivamente en tales pruebas; pero, si existen otras de cargo válidas e independientes, podrá suceder que, habiéndose vulnerado el derecho a un proceso con todas las garantías, la presunción de inocencia no resulte, finalmente, infringida” (STC 81/1998, de 2 de abril, FJ 3; en el mismo sentido, SSTC 49/1999, de 5 de abril, FJ 14; 94/1999, de 31 de mayo, FJ 9; 171/1999, de 27 de septiembre, FJ 15; 136/2000, de 29 de mayo, FJ 8; 12/2002, de 28 de enero, FJ 5; 7/2004, de 9 de febrero, FJ 9; 259/2005, de 24 de octubre, FJ 8, y 253/2006, de 11 de septiembre, FJ 7).</w:t>
      </w:r>
    </w:p>
    <w:p w14:paraId="7EA7B756" w14:textId="77777777" w:rsidR="009D7677" w:rsidRDefault="009D7677" w:rsidP="009D7677">
      <w:pPr>
        <w:pStyle w:val="TextoNormal"/>
      </w:pPr>
    </w:p>
    <w:p w14:paraId="2776E818" w14:textId="77777777" w:rsidR="009D7677" w:rsidRDefault="009D7677" w:rsidP="009D7677">
      <w:pPr>
        <w:pStyle w:val="TextoNormal"/>
      </w:pPr>
      <w:r>
        <w:t>Resulta claro que la prueba de alcoholemia se realizó sin mediar detención policial sobre la base del art. 492 LECrim en relación con el art. 490 LECrim, sin existir cobertura legal expresa para el desplazamiento a dependencias policiales de la recurrente en amparo y sin que esta consintiera libremente tal desplazamiento. Por tanto, dicha prueba se obtuvo en unas condiciones de limitación del derecho a la libertad personal que hemos considerado contrarias al art. 17.1 CE. El nexo causal entre la lesión del derecho fundamental y la obtención de la prueba de alcoholemia resulta evidente, porque el traslado a las dependencias de la Policía Municipal para poder realizar la prueba de alcoholemia, fue el medio, contrario a derechos fundamentales, que hizo posible la práctica de una prueba que no podría haberse realizado de otro modo ya que, tal y como consta en las sentencias recurridas, no resultó viable trasladar al lugar de la interceptación del vehículo que conducía la recurrente el correspondiente equipo de medición.</w:t>
      </w:r>
    </w:p>
    <w:p w14:paraId="3CDA2693" w14:textId="77777777" w:rsidR="009D7677" w:rsidRDefault="009D7677" w:rsidP="009D7677">
      <w:pPr>
        <w:pStyle w:val="TextoNormal"/>
      </w:pPr>
    </w:p>
    <w:p w14:paraId="21C02E99" w14:textId="77777777" w:rsidR="009D7677" w:rsidRDefault="009D7677" w:rsidP="009D7677">
      <w:pPr>
        <w:pStyle w:val="TextoNormal"/>
      </w:pPr>
      <w:r>
        <w:lastRenderedPageBreak/>
        <w:t>La cuestión subsiguiente debe llevarnos a analizar, como hemos hecho en otras ocasiones en las que este tribunal ha constatado la nulidad de la prueba de medición de alcohol en sangre (SSTC 25/2005, de 14 de febrero, y 206/2007, de 24 de septiembre), si existen en las actuaciones y así se constata en las sentencias impugnadas otras pruebas de cargo válidamente practicadas, distintas e independientes de la declarada nula. Pues bien, a esos efectos, el Tribunal constata que la acusación formulada por el Ministerio Fiscal lo fue por un delito contra la seguridad vial del art. 379.2, inciso segundo, CP, que establece que “En todo caso será condenado con dichas penas el que condujere con una tasa de alcohol en aire espirado superior a 0,60 miligramos por litro o con una tasa de alcohol en sangre superior a 1,2 gramos por litro”. Una vez anulada la prueba de alcoholemia a partir de la cual se deriva que se superaban dichas tasas el tribunal debe concluir que, en relación con este delito, la prueba anulada es determinante para la condena y, por tanto, que se ha vulnerado el derecho a la presunción de inocencia respecto de esta.</w:t>
      </w:r>
    </w:p>
    <w:p w14:paraId="7475EF7B" w14:textId="77777777" w:rsidR="009D7677" w:rsidRDefault="009D7677" w:rsidP="009D7677">
      <w:pPr>
        <w:pStyle w:val="TextoNormal"/>
      </w:pPr>
    </w:p>
    <w:p w14:paraId="6AD23EB0" w14:textId="59DC1029" w:rsidR="009D7677" w:rsidRDefault="009D7677" w:rsidP="009D7677">
      <w:pPr>
        <w:pStyle w:val="TextoNormal"/>
      </w:pPr>
      <w:r>
        <w:t>Habiendo imputado el fiscal por el art. 379.2 CP sin que cambiase la calificación al elevar las conclusiones provisionales a definitivas, a pesar del planteamiento ya en fase de instrucción de las dudas respecto de la validez de la prueba de alcoholemia, no resulta posible devolver el procedimiento a la instancia para posibilitar una eventual condena por el apartado primero del art. 379 CP, por el que se decidió no imputar aunque podría haberse formulado una calificación subsidiaria habida cuenta del resto de acervo probatorio, al que se ha hecho referencia en el texto del presente pronunciamiento. Por tanto, los efectos de esta sentencia suponen la anulación de la condena de instancia y la no devolución de las actuaciones para formular una nueva calificación y valoración de pruebas.</w:t>
      </w:r>
    </w:p>
    <w:p w14:paraId="3858F419" w14:textId="77777777" w:rsidR="009D7677" w:rsidRDefault="009D7677" w:rsidP="009D7677">
      <w:pPr>
        <w:pStyle w:val="TextoNormal"/>
      </w:pPr>
    </w:p>
    <w:p w14:paraId="5BE32625" w14:textId="77777777" w:rsidR="009D7677" w:rsidRDefault="009D7677" w:rsidP="009D7677">
      <w:pPr>
        <w:pStyle w:val="TextoNormalCentrado"/>
        <w:keepNext/>
      </w:pPr>
      <w:r>
        <w:t>FALLO</w:t>
      </w:r>
    </w:p>
    <w:p w14:paraId="5D4FD511" w14:textId="5AADE2D0" w:rsidR="009D7677" w:rsidRDefault="009D7677" w:rsidP="009D7677">
      <w:pPr>
        <w:pStyle w:val="TextoNormalCentrado"/>
        <w:keepNext/>
      </w:pPr>
    </w:p>
    <w:p w14:paraId="58563713" w14:textId="77777777" w:rsidR="009D7677" w:rsidRDefault="009D7677" w:rsidP="009D7677">
      <w:pPr>
        <w:pStyle w:val="TextoNormal"/>
      </w:pPr>
      <w:r>
        <w:t>En atención a todo lo expuesto, el Tribunal Constitucional, por la autoridad que le confiere la Constitución de la Nación española, ha decidido estimar parcialmente el recurso de amparo interpuesto por doña B.G.F.C., y, en consecuencia:</w:t>
      </w:r>
    </w:p>
    <w:p w14:paraId="52248635" w14:textId="77777777" w:rsidR="009D7677" w:rsidRDefault="009D7677" w:rsidP="009D7677">
      <w:pPr>
        <w:pStyle w:val="TextoNormal"/>
      </w:pPr>
    </w:p>
    <w:p w14:paraId="4DD13CBA" w14:textId="77777777" w:rsidR="009D7677" w:rsidRDefault="009D7677" w:rsidP="009D7677">
      <w:pPr>
        <w:pStyle w:val="TextoNormal"/>
      </w:pPr>
      <w:r>
        <w:t>1º Declarar que ha sido vulnerado el derecho de defensa de la recurrente, en relación con el derecho a la libertad personal (art. 17.1 y 3 CE) así como el derecho a la presunción de inocencia de la recurrente (art. 24.2 CE).</w:t>
      </w:r>
    </w:p>
    <w:p w14:paraId="5C1711A0" w14:textId="77777777" w:rsidR="009D7677" w:rsidRDefault="009D7677" w:rsidP="009D7677">
      <w:pPr>
        <w:pStyle w:val="TextoNormal"/>
      </w:pPr>
    </w:p>
    <w:p w14:paraId="234F1A00" w14:textId="73BBD355" w:rsidR="009D7677" w:rsidRDefault="009D7677" w:rsidP="009D7677">
      <w:pPr>
        <w:pStyle w:val="TextoNormal"/>
      </w:pPr>
      <w:r>
        <w:t>2º Declarar la nulidad de todas las resoluciones impugnadas desde la sentencia núm. 272/2021, de 18 de agosto, dictada por el Juzgado de lo Penal núm. 3 de Madrid en autos de juicio rápido núm. 284-2021, en adelante.</w:t>
      </w:r>
    </w:p>
    <w:p w14:paraId="3789FB7C" w14:textId="77777777" w:rsidR="009D7677" w:rsidRDefault="009D7677" w:rsidP="009D7677">
      <w:pPr>
        <w:pStyle w:val="TextoNormal"/>
      </w:pPr>
    </w:p>
    <w:p w14:paraId="0E20A69F" w14:textId="77777777" w:rsidR="009D7677" w:rsidRDefault="009D7677" w:rsidP="009D7677">
      <w:pPr>
        <w:pStyle w:val="TextoNormal"/>
      </w:pPr>
      <w:r>
        <w:t>Publíquese esta sentencia en el “Boletín Oficial del Estado”.</w:t>
      </w:r>
    </w:p>
    <w:p w14:paraId="725B56E3" w14:textId="77777777" w:rsidR="009D7677" w:rsidRDefault="009D7677" w:rsidP="009D7677">
      <w:pPr>
        <w:pStyle w:val="TextoNormal"/>
      </w:pPr>
      <w:r>
        <w:t>Dada en Madrid, a once de marzo de dos mil veinticuatro.</w:t>
      </w:r>
    </w:p>
    <w:p w14:paraId="5F537678" w14:textId="15A4E7BF" w:rsidR="009D7677" w:rsidRDefault="009D7677" w:rsidP="009D7677">
      <w:pPr>
        <w:pStyle w:val="ParrafoNormal"/>
      </w:pPr>
    </w:p>
    <w:p w14:paraId="4DE361E1" w14:textId="77777777" w:rsidR="009D7677" w:rsidRDefault="009D7677" w:rsidP="009D7677">
      <w:pPr>
        <w:pStyle w:val="TextoNormalNegritaCentrado"/>
        <w:keepNext/>
      </w:pPr>
      <w:r>
        <w:lastRenderedPageBreak/>
        <w:t>Voto particular que formulan conjuntamente los magistrados don César Tolosa Tribiño y don Enrique Arnaldo Alcubilla a la sentencia dictada en el recurso de amparo núm. 8405-2022, interpuesto por doña B.G.F.C.</w:t>
      </w:r>
    </w:p>
    <w:p w14:paraId="3AAEB85E" w14:textId="5BE3D15A" w:rsidR="009D7677" w:rsidRDefault="009D7677" w:rsidP="009D7677">
      <w:pPr>
        <w:pStyle w:val="TextoNormalNegritaCentrado"/>
        <w:keepNext/>
      </w:pPr>
    </w:p>
    <w:p w14:paraId="67E4EF2D" w14:textId="77777777" w:rsidR="009D7677" w:rsidRDefault="009D7677" w:rsidP="009D7677">
      <w:pPr>
        <w:pStyle w:val="TextoNormal"/>
      </w:pPr>
      <w:r>
        <w:t>En el ejercicio de la facultad que nos confiere el art. 90.2 de la Ley Orgánica del Tribunal Constitucional, y con respeto a la opinión del resto de los integrantes de la Sala, formulamos el presente voto particular.</w:t>
      </w:r>
    </w:p>
    <w:p w14:paraId="478C61B4" w14:textId="77777777" w:rsidR="009D7677" w:rsidRDefault="009D7677" w:rsidP="009D7677">
      <w:pPr>
        <w:pStyle w:val="TextoNormal"/>
      </w:pPr>
    </w:p>
    <w:p w14:paraId="1C625798" w14:textId="77777777" w:rsidR="009D7677" w:rsidRDefault="009D7677" w:rsidP="009D7677">
      <w:pPr>
        <w:pStyle w:val="TextoNormal"/>
      </w:pPr>
      <w:r>
        <w:t>La sentencia de la que discrepamos debió examinar en primer lugar la existencia de conexión o enlace jurídico entre la detención y la prueba del etilómetro practicada, no bastando con el examen de la mera conexión natural para determinar la exclusión probatoria. Y, en segundo lugar, en su caso acordar la devolución del procedimiento al Juzgado de lo Penal núm. 3 de Madrid para que dictara otra sentencia respetuosa con los derechos reconocidos. Exponemos separadamente ambas cuestiones:</w:t>
      </w:r>
    </w:p>
    <w:p w14:paraId="093BCC75" w14:textId="77777777" w:rsidR="009D7677" w:rsidRDefault="009D7677" w:rsidP="009D7677">
      <w:pPr>
        <w:pStyle w:val="TextoNormal"/>
      </w:pPr>
    </w:p>
    <w:p w14:paraId="42E781C8" w14:textId="77777777" w:rsidR="009D7677" w:rsidRDefault="009D7677" w:rsidP="009D7677">
      <w:pPr>
        <w:pStyle w:val="TextoNormal"/>
      </w:pPr>
      <w:r>
        <w:t>a) En primer lugar, la aplicación de la regla de la exclusión probatoria tiene una mayor complejidad que la reflejada en la sentencia. No basta, para nuestra acrisolada doctrina, de la que es destacado exponente la STC 97/2019, de 16 de julio, dictada por el Pleno (caso Falciani), la evidencia de “nexo causal entre la lesión del derecho fundamental y la obtención de la prueba de alcoholemia”. Es necesario examinar, además de la concurrencia de la conexión causal —presupuesto necesario, pero en modo alguno suficiente para la exclusión probatoria—, la existencia de una “conexión o enlace jurídico” que es la que verdaderamente evidencia la necesidad de exclusión de la prueba. Para ello es preciso argumentar si se evidenciaba una necesidad de protección procesal del derecho fundamental y de su correspondiente tutela dentro del proceso (STC 121/1998, de 15 de junio, FJ 2; 49/1999, de 5 de abril, FJ 14; 161/1999, de 27 de septiembre, FJ 4, y 8/2000, de 17 de enero, FJ 2).</w:t>
      </w:r>
    </w:p>
    <w:p w14:paraId="04B63A01" w14:textId="77777777" w:rsidR="009D7677" w:rsidRDefault="009D7677" w:rsidP="009D7677">
      <w:pPr>
        <w:pStyle w:val="TextoNormal"/>
      </w:pPr>
    </w:p>
    <w:p w14:paraId="7D53DEBE" w14:textId="77777777" w:rsidR="009D7677" w:rsidRDefault="009D7677" w:rsidP="009D7677">
      <w:pPr>
        <w:pStyle w:val="TextoNormal"/>
      </w:pPr>
      <w:r>
        <w:t xml:space="preserve">Debió tomarse en consideración —y no se ha hecho— que el medio probatorio utilizado —el resultado de la prueba de alcoholemia— no suponía una vulneración directa del derecho fundamental (STC 22/2003, de 10 de febrero, FJ 10, </w:t>
      </w:r>
      <w:r w:rsidRPr="009D7677">
        <w:rPr>
          <w:i/>
        </w:rPr>
        <w:t>a sensu contrario</w:t>
      </w:r>
      <w:r>
        <w:t>).</w:t>
      </w:r>
    </w:p>
    <w:p w14:paraId="118BCBE5" w14:textId="77777777" w:rsidR="009D7677" w:rsidRDefault="009D7677" w:rsidP="009D7677">
      <w:pPr>
        <w:pStyle w:val="TextoNormal"/>
      </w:pPr>
    </w:p>
    <w:p w14:paraId="0BBE5EDA" w14:textId="77777777" w:rsidR="009D7677" w:rsidRDefault="009D7677" w:rsidP="009D7677">
      <w:pPr>
        <w:pStyle w:val="TextoNormal"/>
      </w:pPr>
      <w:r>
        <w:t>Para aplicar a modo de sanción la exclusión de la prueba y para justificar la necesidad de tutela en el proceso del derecho a la libertad, era necesario tomar en consideración: (i) la evidente sintomatología etílica que presentaba la recurrente; (ii) la existencia de una obligación legal de someterse a las pruebas; (iii) la inexistencia de pronunciamientos resolviendo un supuesto similar, o en palabras de la STC 22/2003, FJ 10, que la vulneración obedeció “en este caso, pura y exclusivamente, a un déficit en el estado de la interpretación del ordenamiento” (no debe olvidarse que el presente recurso fue admitido porque plantea “un problema o afecta a una faceta de un derecho fundamental sobre el que no hay doctrina de este tribunal”); y (iv) la inexistencia de dolo o culpa de los agentes, que actuaron en la creencia de estar obrando lícitamente, como lo acredita que los propios órganos judiciales validaron su intervención.</w:t>
      </w:r>
    </w:p>
    <w:p w14:paraId="1D2E63C1" w14:textId="77777777" w:rsidR="009D7677" w:rsidRDefault="009D7677" w:rsidP="009D7677">
      <w:pPr>
        <w:pStyle w:val="TextoNormal"/>
      </w:pPr>
    </w:p>
    <w:p w14:paraId="1C11821B" w14:textId="77777777" w:rsidR="009D7677" w:rsidRDefault="009D7677" w:rsidP="009D7677">
      <w:pPr>
        <w:pStyle w:val="TextoNormal"/>
      </w:pPr>
      <w:r>
        <w:t>La sentencia de la que discrepamos no ha valorado ninguno de tales aspectos. Ha prescindido del obligado examen sobre la existencia de una “conexión o enlace jurídico” entre la vulneración del derecho fundamental y la prueba obtenida, que es la que verdaderamente evidencia la necesidad o no de exclusión de la prueba (SSTC 22/2003 y 97/2019).</w:t>
      </w:r>
    </w:p>
    <w:p w14:paraId="656D8715" w14:textId="77777777" w:rsidR="009D7677" w:rsidRDefault="009D7677" w:rsidP="009D7677">
      <w:pPr>
        <w:pStyle w:val="TextoNormal"/>
      </w:pPr>
    </w:p>
    <w:p w14:paraId="7AE392C8" w14:textId="77777777" w:rsidR="009D7677" w:rsidRDefault="009D7677" w:rsidP="009D7677">
      <w:pPr>
        <w:pStyle w:val="TextoNormal"/>
      </w:pPr>
      <w:r>
        <w:lastRenderedPageBreak/>
        <w:t>b) En segundo lugar, aunque se hubiera llegado a la convicción de la necesidad de excluir el resultado de la prueba del etilómetro, era necesario —conforme a nuestra doctrina— acordar la devolución del procedimiento al Juzgado de lo Penal núm. 3 de Madrid, para que dictara otra sentencia respetuosa con los derechos reconocidos, y ello por las razones que se exponen a continuación.</w:t>
      </w:r>
    </w:p>
    <w:p w14:paraId="44516EDD" w14:textId="77777777" w:rsidR="009D7677" w:rsidRDefault="009D7677" w:rsidP="009D7677">
      <w:pPr>
        <w:pStyle w:val="TextoNormal"/>
      </w:pPr>
    </w:p>
    <w:p w14:paraId="3F637B45" w14:textId="77777777" w:rsidR="009D7677" w:rsidRDefault="009D7677" w:rsidP="009D7677">
      <w:pPr>
        <w:pStyle w:val="TextoNormal"/>
      </w:pPr>
      <w:r>
        <w:t>Los hechos probados de la sentencia del juzgado de lo penal indican que la recurrente fue “requerida para detener su vehículo por agentes del Cuerpo Nacional de Policía […] en un control de seguridad, apreciando en la misma síntomas evidentes de intoxicación etílica, tales como fuerte olor a alcohol, ojos enrojecidos, habla pastosa, rostro congestionado, somnolencia y deambulación anormal”.</w:t>
      </w:r>
    </w:p>
    <w:p w14:paraId="5D031758" w14:textId="77777777" w:rsidR="009D7677" w:rsidRDefault="009D7677" w:rsidP="009D7677">
      <w:pPr>
        <w:pStyle w:val="TextoNormal"/>
      </w:pPr>
    </w:p>
    <w:p w14:paraId="5B6D019A" w14:textId="77777777" w:rsidR="009D7677" w:rsidRDefault="009D7677" w:rsidP="009D7677">
      <w:pPr>
        <w:pStyle w:val="TextoNormal"/>
      </w:pPr>
      <w:r>
        <w:t>Tal relato fáctico resulta de la valoración de la prueba personal, fundamentalmente de la testifical prestada con las debidas garantías por dos agentes de la Policía Nacional. En sus respectivas declaraciones recogidas en la sentencia constatan que “comprobando que la conductora tenía los ojos rojos y se tambaleaba en el volante, por lo que le indicaron que se girara a la derecha, si bien parecía que ella no les entendía” y “[a]l bajar la ventanilla ya vieron claros síntomas de embriaguez en la acusada, como ojos rojos, habla pastosa y percatándose de que se estaba quedando un poco dormida”.</w:t>
      </w:r>
    </w:p>
    <w:p w14:paraId="51E062D7" w14:textId="77777777" w:rsidR="009D7677" w:rsidRDefault="009D7677" w:rsidP="009D7677">
      <w:pPr>
        <w:pStyle w:val="TextoNormal"/>
      </w:pPr>
    </w:p>
    <w:p w14:paraId="2F1E8079" w14:textId="77777777" w:rsidR="009D7677" w:rsidRDefault="009D7677" w:rsidP="009D7677">
      <w:pPr>
        <w:pStyle w:val="TextoNormal"/>
      </w:pPr>
      <w:r>
        <w:t>En casos similares, (SSTC 206/2007, de 24 de septiembre, y 25/2005, de 14 de febrero), tras constatar la nulidad de la prueba de medición de alcohol en sangre, si existen en las actuaciones otras pruebas de cargo válidamente practicadas, distintas e independientes de la declarada nula, como sucede en el presente caso, y así se refleja en las sentencias impugnadas, no es posible considerar lesionado el derecho a la presunción de inocencia. Por ello, lo procedente hubiera sido la devolución del procedimiento al Juzgado de lo Penal núm. 3 de Madrid, para que dictara sentencia que fuera respetuosa con los derechos fundamentales de la recurrente.</w:t>
      </w:r>
    </w:p>
    <w:p w14:paraId="0DD14472" w14:textId="77777777" w:rsidR="009D7677" w:rsidRDefault="009D7677" w:rsidP="009D7677">
      <w:pPr>
        <w:pStyle w:val="TextoNormal"/>
      </w:pPr>
    </w:p>
    <w:p w14:paraId="4F68668D" w14:textId="77777777" w:rsidR="009D7677" w:rsidRDefault="009D7677" w:rsidP="009D7677">
      <w:pPr>
        <w:pStyle w:val="TextoNormal"/>
      </w:pPr>
      <w:r>
        <w:t>A ello no se le puede oponer el argumento de la sentencia de que la acusación pública calificó los hechos como constitutivos del delito previsto en el art. 379.2, segundo inciso, CP y que no hubiera formulado una calificación “subsidiaria”. El correcto entendimiento del principio acusatorio contraviene esa argumentación.</w:t>
      </w:r>
    </w:p>
    <w:p w14:paraId="074E83BB" w14:textId="77777777" w:rsidR="009D7677" w:rsidRDefault="009D7677" w:rsidP="009D7677">
      <w:pPr>
        <w:pStyle w:val="TextoNormal"/>
      </w:pPr>
    </w:p>
    <w:p w14:paraId="793670C4" w14:textId="77777777" w:rsidR="009D7677" w:rsidRDefault="009D7677" w:rsidP="009D7677">
      <w:pPr>
        <w:pStyle w:val="TextoNormal"/>
      </w:pPr>
      <w:r>
        <w:t>En efecto, los hechos declarados probados podían ser constitutivos de un delito del art. 379.2, primer inciso, CP. La prueba personal referida así lo evidenciaba. El órgano judicial estaba facultado —conforme a nuestra consolidada doctrina— para decidir si, atendidos los concretos términos en los que se desarrolló el debate, era posible apreciar la concurrencia de dicho delito aun apartándose de la calificación del Ministerio Fiscal (SSTC 104/1986, de 17 de julio, FJ 4; 10/1988, de 1 de febrero, FJ 2; 225/1997, de 15 de diciembre, FJ 3, y 4/2002, de 14 de enero, FJ 3).</w:t>
      </w:r>
    </w:p>
    <w:p w14:paraId="2C7C8366" w14:textId="77777777" w:rsidR="009D7677" w:rsidRDefault="009D7677" w:rsidP="009D7677">
      <w:pPr>
        <w:pStyle w:val="TextoNormal"/>
      </w:pPr>
    </w:p>
    <w:p w14:paraId="33D73273" w14:textId="77777777" w:rsidR="009D7677" w:rsidRDefault="009D7677" w:rsidP="009D7677">
      <w:pPr>
        <w:pStyle w:val="TextoNormal"/>
      </w:pPr>
      <w:r>
        <w:t>Por tanto, la decisión de estimación sin retroacción carece de justificación y no es compatible con nuestra doctrina sobre el contenido y alcance del principio acusatorio en el que indebidamente se ampara.</w:t>
      </w:r>
    </w:p>
    <w:p w14:paraId="4C0DD938" w14:textId="77777777" w:rsidR="009D7677" w:rsidRDefault="009D7677" w:rsidP="009D7677">
      <w:pPr>
        <w:pStyle w:val="TextoNormal"/>
      </w:pPr>
    </w:p>
    <w:p w14:paraId="11D139A5" w14:textId="77777777" w:rsidR="009D7677" w:rsidRDefault="009D7677" w:rsidP="009D7677">
      <w:pPr>
        <w:pStyle w:val="TextoNormal"/>
      </w:pPr>
      <w:r>
        <w:t>Y en tal sentido emitimos nuestro voto particular.</w:t>
      </w:r>
    </w:p>
    <w:p w14:paraId="7FFC4306" w14:textId="77777777" w:rsidR="009D7677" w:rsidRDefault="009D7677" w:rsidP="009D7677">
      <w:pPr>
        <w:pStyle w:val="TextoNormal"/>
      </w:pPr>
    </w:p>
    <w:p w14:paraId="311F48FD" w14:textId="0BA43E23" w:rsidR="009D7677" w:rsidRDefault="009D7677" w:rsidP="009D7677">
      <w:pPr>
        <w:pStyle w:val="TextoNormal"/>
      </w:pPr>
      <w:r>
        <w:lastRenderedPageBreak/>
        <w:t>Madrid, a once de marzo de dos mil veinticuatro.</w:t>
      </w:r>
    </w:p>
    <w:p w14:paraId="3FFB1B99" w14:textId="1F5E8A6F" w:rsidR="009D7677" w:rsidRDefault="009D7677">
      <w:pPr>
        <w:spacing w:after="160" w:line="259" w:lineRule="auto"/>
        <w:rPr>
          <w:rFonts w:ascii="Times New Roman" w:eastAsia="Times New Roman" w:hAnsi="Times New Roman" w:cs="Times New Roman"/>
          <w:sz w:val="24"/>
          <w:szCs w:val="24"/>
          <w:lang w:eastAsia="es-ES"/>
        </w:rPr>
      </w:pPr>
      <w:r>
        <w:br w:type="page"/>
      </w:r>
    </w:p>
    <w:p w14:paraId="53DC6B44" w14:textId="77777777" w:rsidR="009D7677" w:rsidRDefault="009D7677" w:rsidP="009D7677">
      <w:pPr>
        <w:pStyle w:val="TtuloResolucin"/>
      </w:pPr>
      <w:bookmarkStart w:id="43" w:name="SENTENCIA_2024_41"/>
      <w:r>
        <w:lastRenderedPageBreak/>
        <w:t>SENTENCIA 41/2024, de 11 de marzo de 2024</w:t>
      </w:r>
    </w:p>
    <w:bookmarkEnd w:id="43"/>
    <w:p w14:paraId="3551C492" w14:textId="77777777" w:rsidR="009D7677" w:rsidRDefault="009D7677" w:rsidP="009D7677">
      <w:pPr>
        <w:pStyle w:val="TtuloResolucin"/>
      </w:pPr>
      <w:r>
        <w:t>Sala Segunda</w:t>
      </w:r>
    </w:p>
    <w:p w14:paraId="38870233" w14:textId="77777777" w:rsidR="009D7677" w:rsidRDefault="009D7677" w:rsidP="009D7677">
      <w:pPr>
        <w:pStyle w:val="TtuloBOE"/>
      </w:pPr>
      <w:r>
        <w:t>(BOE núm. 99, de 23 de abril de 2024)</w:t>
      </w:r>
    </w:p>
    <w:p w14:paraId="19874D7A" w14:textId="77777777" w:rsidR="009D7677" w:rsidRDefault="009D7677" w:rsidP="009D7677">
      <w:pPr>
        <w:pStyle w:val="TextoNormalCentrado"/>
      </w:pPr>
      <w:r>
        <w:t>ECLI:ES:TC:2024:41</w:t>
      </w:r>
    </w:p>
    <w:p w14:paraId="05A1E385" w14:textId="2EA20ADB" w:rsidR="009D7677" w:rsidRDefault="009D7677" w:rsidP="009D7677">
      <w:pPr>
        <w:pStyle w:val="TextoNormalCentrado"/>
      </w:pPr>
    </w:p>
    <w:p w14:paraId="1789ACA4" w14:textId="77777777" w:rsidR="009D7677" w:rsidRDefault="009D7677" w:rsidP="009D7677">
      <w:pPr>
        <w:pStyle w:val="SntesisDescriptiva"/>
      </w:pPr>
      <w:r>
        <w:t>Recurso de amparo 2223-2023. Promovido por don C.M.V., en relación con los autos dictados por la Audiencia Provincial de Sevilla y un juzgado de primera instancia e instrucción de Dos Hermanas que acordaron la administración de la vacuna frente a la covid-19.</w:t>
      </w:r>
    </w:p>
    <w:p w14:paraId="5E552028" w14:textId="06DE41A9" w:rsidR="009D7677" w:rsidRDefault="009D7677" w:rsidP="009D7677">
      <w:pPr>
        <w:pStyle w:val="SntesisDescriptiva"/>
      </w:pPr>
    </w:p>
    <w:p w14:paraId="149338C5" w14:textId="77777777" w:rsidR="009D7677" w:rsidRDefault="009D7677" w:rsidP="009D7677">
      <w:pPr>
        <w:pStyle w:val="SntesisAnaltica"/>
      </w:pPr>
      <w:r>
        <w:t>Supuesta vulneración del derecho a la integridad física: STC 148/2023 [resoluciones que realizaron una ponderación adecuada de los intereses de dos menores de edad (STC 38/2023)].</w:t>
      </w:r>
    </w:p>
    <w:p w14:paraId="4567B080" w14:textId="35EB07B3" w:rsidR="009D7677" w:rsidRDefault="009D7677" w:rsidP="009D7677">
      <w:pPr>
        <w:pStyle w:val="SntesisAnaltica"/>
      </w:pPr>
    </w:p>
    <w:p w14:paraId="324C353D" w14:textId="02332EFC" w:rsidR="009D7677" w:rsidRDefault="009D7677" w:rsidP="009D7677">
      <w:pPr>
        <w:pStyle w:val="Extracto"/>
      </w:pPr>
      <w:r>
        <w:t>1.</w:t>
      </w:r>
      <w:r>
        <w:tab/>
        <w:t xml:space="preserve">La capacidad general de autodeterminación de las personas menores de edad, en relación con las actuaciones médicas que les afectan, encuentra su límite en la protección de su interés superior, que se impone como obligación a los progenitores, en cuanto titulares de la patria potestad o autoridad familiar, y a todos los poderes públicos, incluida la autoridad judicial (STC 148/2023) </w:t>
      </w:r>
    </w:p>
    <w:p w14:paraId="50B33F86" w14:textId="77777777" w:rsidR="009D7677" w:rsidRDefault="009D7677" w:rsidP="009D7677">
      <w:pPr>
        <w:pStyle w:val="Extracto"/>
      </w:pPr>
    </w:p>
    <w:p w14:paraId="0DC706B8" w14:textId="2E03FD22" w:rsidR="009D7677" w:rsidRDefault="009D7677" w:rsidP="009D7677">
      <w:pPr>
        <w:pStyle w:val="Extracto"/>
      </w:pPr>
      <w:r>
        <w:t>2.</w:t>
      </w:r>
      <w:r>
        <w:tab/>
        <w:t xml:space="preserve">La decisión de los representantes legales relativa al otorgamiento o no del consentimiento informado por representación deberá atender a la protección del derecho a la vida, supervivencia y desarrollo del menor y la satisfacción de sus necesidades básicas, tanto materiales, físicas y educativas como emocionales y afectivas [art. 2.2, letra a) de la Ley Orgánica 1/1996]; y es preciso buscar el mayor beneficio para la vida o salud del paciente menor de edad (STC 148/2023) </w:t>
      </w:r>
    </w:p>
    <w:p w14:paraId="70C034D9" w14:textId="77777777" w:rsidR="009D7677" w:rsidRDefault="009D7677" w:rsidP="009D7677">
      <w:pPr>
        <w:pStyle w:val="Extracto"/>
      </w:pPr>
    </w:p>
    <w:p w14:paraId="7585914E" w14:textId="77777777" w:rsidR="009D7677" w:rsidRDefault="009D7677" w:rsidP="009D7677">
      <w:pPr>
        <w:pStyle w:val="Extracto"/>
      </w:pPr>
    </w:p>
    <w:p w14:paraId="22705B7D" w14:textId="77777777" w:rsidR="009D7677" w:rsidRDefault="009D7677" w:rsidP="009D7677">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2F8C98A4" w14:textId="0CF808A5" w:rsidR="009D7677" w:rsidRDefault="009D7677" w:rsidP="009D7677">
      <w:pPr>
        <w:pStyle w:val="TextoNormal"/>
      </w:pPr>
    </w:p>
    <w:p w14:paraId="645A1C47" w14:textId="77777777" w:rsidR="009D7677" w:rsidRDefault="009D7677" w:rsidP="009D7677">
      <w:pPr>
        <w:pStyle w:val="TextoNormalCentrado"/>
        <w:keepNext/>
      </w:pPr>
      <w:r>
        <w:t>EN NOMBRE DEL REY</w:t>
      </w:r>
    </w:p>
    <w:p w14:paraId="742C3CF0" w14:textId="602AC87C" w:rsidR="009D7677" w:rsidRDefault="009D7677" w:rsidP="009D7677">
      <w:pPr>
        <w:pStyle w:val="TextoNormalCentrado"/>
        <w:keepNext/>
      </w:pPr>
    </w:p>
    <w:p w14:paraId="29A0E43C" w14:textId="77777777" w:rsidR="009D7677" w:rsidRDefault="009D7677" w:rsidP="009D7677">
      <w:pPr>
        <w:pStyle w:val="TextoNormalCentrado"/>
        <w:keepNext/>
      </w:pPr>
    </w:p>
    <w:p w14:paraId="2274958A" w14:textId="77777777" w:rsidR="009D7677" w:rsidRDefault="009D7677" w:rsidP="009D7677">
      <w:pPr>
        <w:pStyle w:val="TextoNormal"/>
      </w:pPr>
      <w:r>
        <w:t>la siguiente</w:t>
      </w:r>
    </w:p>
    <w:p w14:paraId="14490FBD" w14:textId="51ED94DC" w:rsidR="009D7677" w:rsidRDefault="009D7677" w:rsidP="009D7677">
      <w:pPr>
        <w:pStyle w:val="TextoNormal"/>
      </w:pPr>
    </w:p>
    <w:p w14:paraId="0A8D784F" w14:textId="77777777" w:rsidR="009D7677" w:rsidRDefault="009D7677" w:rsidP="009D7677">
      <w:pPr>
        <w:pStyle w:val="TextoNormalCentrado"/>
        <w:keepNext/>
      </w:pPr>
      <w:r>
        <w:t>SENTENCIA</w:t>
      </w:r>
    </w:p>
    <w:p w14:paraId="77C74187" w14:textId="3229D998" w:rsidR="009D7677" w:rsidRDefault="009D7677" w:rsidP="009D7677">
      <w:pPr>
        <w:pStyle w:val="TextoNormalCentrado"/>
        <w:keepNext/>
      </w:pPr>
    </w:p>
    <w:p w14:paraId="60D41B16" w14:textId="77777777" w:rsidR="009D7677" w:rsidRDefault="009D7677" w:rsidP="009D7677">
      <w:pPr>
        <w:pStyle w:val="TextoNormal"/>
      </w:pPr>
      <w:r>
        <w:t xml:space="preserve">En el recurso de amparo núm. 2223-2023, promovido por don C.M.V., representado por el procurador de los tribunales don Antonio Martínez de la Casa Rodríguez y asistido por el abogado don Alexis José Aneas Fernández, contra el auto dictado el 28 de julio de 2022 por el Juzgado de Primera Instancia e Instrucción núm. 3 de Dos Hermanas, en procedimiento de jurisdicción voluntaria de intervención judicial sobre desacuerdo en el ejercicio de la patria potestad núm. 6-2022, y contra el auto dictado el 22 de marzo de 2023 por la Sección Segunda de la Audiencia Provincial de Sevilla en rollo de apelación núm. 1578-2023, que confirmó el anterior. Ha comparecido doña M.A.R.L., representada por el </w:t>
      </w:r>
      <w:r>
        <w:lastRenderedPageBreak/>
        <w:t>procurador don Juan de Dios Quiroga Ruiz y asistida por el abogado don Pedro María Mancera Rodríguez. Ha intervenido el Ministerio Fiscal. Ha sido ponente el magistrado don Enrique Arnaldo Alcubilla.</w:t>
      </w:r>
    </w:p>
    <w:p w14:paraId="208DD6E3" w14:textId="72BD3CD8" w:rsidR="009D7677" w:rsidRDefault="009D7677" w:rsidP="009D7677">
      <w:pPr>
        <w:pStyle w:val="TextoNormal"/>
      </w:pPr>
    </w:p>
    <w:p w14:paraId="061D15E7" w14:textId="77777777" w:rsidR="009D7677" w:rsidRDefault="009D7677" w:rsidP="009D7677">
      <w:pPr>
        <w:pStyle w:val="TextoNormalNegritaCentrado"/>
        <w:keepNext/>
      </w:pPr>
      <w:r>
        <w:t>I. Antecedentes</w:t>
      </w:r>
    </w:p>
    <w:p w14:paraId="76D3AC91" w14:textId="31904112" w:rsidR="009D7677" w:rsidRDefault="009D7677" w:rsidP="009D7677">
      <w:pPr>
        <w:pStyle w:val="TextoNormalNegritaCentrado"/>
        <w:keepNext/>
      </w:pPr>
    </w:p>
    <w:p w14:paraId="130E61F4" w14:textId="409CBA8F" w:rsidR="009D7677" w:rsidRDefault="009D7677" w:rsidP="009D7677">
      <w:pPr>
        <w:pStyle w:val="TextoNormal"/>
      </w:pPr>
      <w:r w:rsidRPr="009D7677">
        <w:rPr>
          <w:rStyle w:val="NumeroAFNegritaCaracter"/>
        </w:rPr>
        <w:t>1</w:t>
      </w:r>
      <w:r>
        <w:t>. Mediante escrito que tuvo entrada en el registro general de este tribunal el día 3 de abril de 2023, el procurador de los tribunales don Antonio Martínez de la Casa Rodríguez, en nombre y representación de don C.M.V., interpuso recurso de amparo contra las resoluciones judiciales que se citan en el encabezamiento.</w:t>
      </w:r>
    </w:p>
    <w:p w14:paraId="44AB3EFE" w14:textId="77777777" w:rsidR="009D7677" w:rsidRDefault="009D7677" w:rsidP="009D7677">
      <w:pPr>
        <w:pStyle w:val="TextoNormal"/>
      </w:pPr>
    </w:p>
    <w:p w14:paraId="16E63270" w14:textId="77777777" w:rsidR="009D7677" w:rsidRDefault="009D7677" w:rsidP="009D7677">
      <w:pPr>
        <w:pStyle w:val="TextoNormal"/>
      </w:pPr>
      <w:r w:rsidRPr="009D7677">
        <w:rPr>
          <w:rStyle w:val="NumeroAFNegritaCaracter"/>
        </w:rPr>
        <w:t>2</w:t>
      </w:r>
      <w:r>
        <w:t>. Los hechos de los que trae causa la demanda, relevantes para la resolución del recurso, son, en síntesis, los siguientes:</w:t>
      </w:r>
    </w:p>
    <w:p w14:paraId="10E3EA6A" w14:textId="77777777" w:rsidR="009D7677" w:rsidRDefault="009D7677" w:rsidP="009D7677">
      <w:pPr>
        <w:pStyle w:val="TextoNormal"/>
      </w:pPr>
    </w:p>
    <w:p w14:paraId="0E16AD84" w14:textId="77777777" w:rsidR="009D7677" w:rsidRDefault="009D7677" w:rsidP="009D7677">
      <w:pPr>
        <w:pStyle w:val="TextoNormal"/>
      </w:pPr>
      <w:r>
        <w:t>a) Doña M.A.R.L., solicitó la intervención judicial por desacuerdo de los progenitores en el ejercicio de la patria potestad al amparo del art. 86.1 de la Ley 15/2015, de 2 de julio, de la jurisdicción voluntaria, y del art. 156 párrafo tercero del Código civil, ante la negativa del padre, don C.M.V., a la inoculación de la vacuna contra la covid-19 y a la realización de pruebas PCR (siglas en inglés de “reacción en cadena de la polimerasa”) a los dos hijos comunes, menores de edad.</w:t>
      </w:r>
    </w:p>
    <w:p w14:paraId="2AE0840C" w14:textId="77777777" w:rsidR="009D7677" w:rsidRDefault="009D7677" w:rsidP="009D7677">
      <w:pPr>
        <w:pStyle w:val="TextoNormal"/>
      </w:pPr>
    </w:p>
    <w:p w14:paraId="5471CB37" w14:textId="77777777" w:rsidR="009D7677" w:rsidRDefault="009D7677" w:rsidP="009D7677">
      <w:pPr>
        <w:pStyle w:val="TextoNormal"/>
      </w:pPr>
      <w:r>
        <w:t>b) Mediante decreto de 17 de enero de 2022, el Juzgado de Primera Instancia e Instrucción núm. 3 de Dos Hermanas admitió la solicitud y acordó citar a las partes para la celebración de la comparecencia el 23 de febrero de 2022. El juzgado no consideró precisa la exploración de los menores. El Ministerio Fiscal presentó escrito en el sentido de no oponerse a la autorización judicial interesada.</w:t>
      </w:r>
    </w:p>
    <w:p w14:paraId="582AA1E1" w14:textId="77777777" w:rsidR="009D7677" w:rsidRDefault="009D7677" w:rsidP="009D7677">
      <w:pPr>
        <w:pStyle w:val="TextoNormal"/>
      </w:pPr>
    </w:p>
    <w:p w14:paraId="6B1627F7" w14:textId="77777777" w:rsidR="009D7677" w:rsidRDefault="009D7677" w:rsidP="009D7677">
      <w:pPr>
        <w:pStyle w:val="TextoNormal"/>
      </w:pPr>
      <w:r>
        <w:t>Por su parte, don C.M.V., formuló oposición a la solicitud, invocando la inadecuación del procedimiento de jurisdicción voluntaria para dilucidar la controversia, y alegando en cuanto al fondo, en esencia, la ausencia de evidencia médico-científica que justificara la inoculación de los medicamentos de terapia génica para la covid-19 en menores de edad, atendiendo a la ausencia de gravedad de esta enfermedad en estos, en los que la tasa de mortalidad y de hospitalización es muy baja, y a los efectos adversos que puede llevar aparejada la vacuna, que pueden ser muy superiores a la ausencia de vacunación; no obstante lo cual manifestó también que, si la prescribía un médico, no se opondría a la inoculación de la vacuna.</w:t>
      </w:r>
    </w:p>
    <w:p w14:paraId="6E65565E" w14:textId="77777777" w:rsidR="009D7677" w:rsidRDefault="009D7677" w:rsidP="009D7677">
      <w:pPr>
        <w:pStyle w:val="TextoNormal"/>
      </w:pPr>
    </w:p>
    <w:p w14:paraId="335425DD" w14:textId="77777777" w:rsidR="009D7677" w:rsidRDefault="009D7677" w:rsidP="009D7677">
      <w:pPr>
        <w:pStyle w:val="TextoNormal"/>
      </w:pPr>
      <w:r>
        <w:t xml:space="preserve">c) Tras celebrarse la comparecencia el 23 de febrero de 2022, el juzgado dictó auto el 28 de julio del mismo año en el que desestimó la oposición y atribuyó a doña M.A.R.L., la facultad de decidir sobre la inoculación de la vacuna respecto de los hijos menores de la pareja. El juzgado realizó en el auto, un juicio de ponderación de los riesgos y beneficios de la vacuna, atendiendo a la baja incidencia del covid-19 en los menores de edad que refleja la prueba documental aportada y los posibles y desconocidos efectos adversos que puede comportar la vacuna a largo plazo, concluyendo que no se advierte contraindicación para no administrar la vacuna, sin olvidar que esta ha sido aprobada por las agencias europea y española del medicamento, lo que permite suponer que se ha elaborado con las máximas garantías de calidad, seguridad y eficacia. Tiene en cuenta asimismo el juzgado que </w:t>
      </w:r>
      <w:r>
        <w:lastRenderedPageBreak/>
        <w:t>los menores no sufren ninguna patología previa que pueda verse agravada por la inoculación de la vacuna o de determina que resulte contraindicada, y añade que con la vacunación se han ido controlando los síntomas graves de la enfermedad y que la inoculación de la vacuna disminuye la sintomatología y ayuda a la protección del individuo y de la sociedad, razón por la cual las autoridades sanitarias recomiendan la vacunación, así como las dosis de refuerzo.</w:t>
      </w:r>
    </w:p>
    <w:p w14:paraId="5632F412" w14:textId="77777777" w:rsidR="009D7677" w:rsidRDefault="009D7677" w:rsidP="009D7677">
      <w:pPr>
        <w:pStyle w:val="TextoNormal"/>
      </w:pPr>
    </w:p>
    <w:p w14:paraId="5FBF9AFA" w14:textId="77777777" w:rsidR="009D7677" w:rsidRDefault="009D7677" w:rsidP="009D7677">
      <w:pPr>
        <w:pStyle w:val="TextoNormal"/>
      </w:pPr>
      <w:r>
        <w:t>d) Don C.M.V., interpuso recurso de apelación contra el auto y reiteró su posición en relación con los riesgos y beneficios de la vacuna, añadiendo que existía peligro para los menores, dada la trascendencia de la decisión para su salud y su vida por los efectos a medio y largo plazo del medicamento. Alegó en el recurso la vulneración del derecho a la tutela judicial efectiva por la falta de motivación del auto recurrido, dada la existencia de un déficit de valoración de los datos científicos aportados, y por falta de jurisdicción, puesto que “va en contra de la normativa vigente acudir a la jurisdicción voluntaria para imponer un tratamiento médico no vital ni urgente en contra del paciente o de uno de los progenitores en caso de menores”. Asimismo adujo la lesión del derecho a la integridad física y moral (art. 15 CE) por la falta de consentimiento informado por escrito en los términos de la Ley 41/2002, de 14 de noviembre, básica reguladora de la autonomía del paciente y de derechos y obligaciones en materia de información y documentación clínica, y en el Convenio de Oviedo el 4 de abril de 1997, relativo a los derechos humanos y la biomedicina.</w:t>
      </w:r>
    </w:p>
    <w:p w14:paraId="7E242269" w14:textId="77777777" w:rsidR="009D7677" w:rsidRDefault="009D7677" w:rsidP="009D7677">
      <w:pPr>
        <w:pStyle w:val="TextoNormal"/>
      </w:pPr>
    </w:p>
    <w:p w14:paraId="3DF9C802" w14:textId="77777777" w:rsidR="009D7677" w:rsidRDefault="009D7677" w:rsidP="009D7677">
      <w:pPr>
        <w:pStyle w:val="TextoNormal"/>
      </w:pPr>
      <w:r>
        <w:t>e) Doña M.A.R.L., presentó escrito por el que se opuso al recurso de apelación e interesó la desestimación. En idéntico sentido se pronunció el Ministerio Fiscal.</w:t>
      </w:r>
    </w:p>
    <w:p w14:paraId="2B452E81" w14:textId="77777777" w:rsidR="009D7677" w:rsidRDefault="009D7677" w:rsidP="009D7677">
      <w:pPr>
        <w:pStyle w:val="TextoNormal"/>
      </w:pPr>
    </w:p>
    <w:p w14:paraId="2551F107" w14:textId="3C501CEB" w:rsidR="009D7677" w:rsidRDefault="009D7677" w:rsidP="009D7677">
      <w:pPr>
        <w:pStyle w:val="TextoNormal"/>
      </w:pPr>
      <w:r>
        <w:t>f) La Audiencia Provincial de Sevilla (Sección Segunda) dictó auto el 22 de marzo de 2023 por el que desestimó el recurso de apelación, confirmando íntegramente el auto apelado. Respecto de la alegada falta de jurisdicción, señala la Audiencia Provincial que el recurrente no invoca la infracción de ninguna norma y que tampoco alegó esta cuestión procesal en la primera oportunidad que tuvo en el procedimiento, por lo que, resulta extemporánea, a lo que se añade que, en todo caso, la resolución apelada no impone la vacunación si no que se limita a preferir la decisión de un progenitor sobre la de otro, por lo que no concurre falta de jurisdicción. En cuanto al fondo, concluye que los informes periciales obrantes en las actuaciones ponen de manifiesto la inexistencia de riesgo para la integridad física de los menores y que estos carecen de elementos de juicio y madurez suficiente para decidir sobre la cuestión. Se añade que la vacuna contra la covid-19 no es una vacuna en experimentación, sino que ha sido aprobada bajo los estándares que exigen las agencias sanitarias internacionales y cuya eficacia ha quedado acreditada tras más de un año de vacunación mundial. No existe contraindicación para la vacunación en el caso, al tratarse de una medida médico sanitaria necesaria, que tiende a proteger adecuadamente la salud de los menores y es la única alternativa eficaz para la adecuada protección de su vida frente al riesgo real de desarrollar una enfermedad grave por covid-19.</w:t>
      </w:r>
    </w:p>
    <w:p w14:paraId="7FD726FA" w14:textId="77777777" w:rsidR="009D7677" w:rsidRDefault="009D7677" w:rsidP="009D7677">
      <w:pPr>
        <w:pStyle w:val="TextoNormal"/>
      </w:pPr>
    </w:p>
    <w:p w14:paraId="7325C0BA" w14:textId="77777777" w:rsidR="009D7677" w:rsidRDefault="009D7677" w:rsidP="009D7677">
      <w:pPr>
        <w:pStyle w:val="TextoNormal"/>
      </w:pPr>
      <w:r w:rsidRPr="009D7677">
        <w:rPr>
          <w:rStyle w:val="NumeroAFNegritaCaracter"/>
        </w:rPr>
        <w:t>3</w:t>
      </w:r>
      <w:r>
        <w:t>. El recurrente denuncia que se le han vulnerado los siguientes derechos fundamentales:</w:t>
      </w:r>
    </w:p>
    <w:p w14:paraId="0D53F0CA" w14:textId="77777777" w:rsidR="009D7677" w:rsidRDefault="009D7677" w:rsidP="009D7677">
      <w:pPr>
        <w:pStyle w:val="TextoNormal"/>
      </w:pPr>
    </w:p>
    <w:p w14:paraId="5F01C448" w14:textId="77777777" w:rsidR="009D7677" w:rsidRDefault="009D7677" w:rsidP="009D7677">
      <w:pPr>
        <w:pStyle w:val="TextoNormal"/>
      </w:pPr>
      <w:r>
        <w:t xml:space="preserve">(i) El derecho a la igualdad de trato (art. 14 CE), al otorgar a la madre la capacidad de decidir sobre la vacunación a los hijos comunes. Afirma que el derecho a la igualdad exige </w:t>
      </w:r>
      <w:r>
        <w:lastRenderedPageBreak/>
        <w:t>de los poderes públicos un deber de abstención para no generar diferencias arbitrarias como la que se ha producido en este caso, donde la diferencia de trato ni está justificada ni es razonable.</w:t>
      </w:r>
    </w:p>
    <w:p w14:paraId="19178C08" w14:textId="77777777" w:rsidR="009D7677" w:rsidRDefault="009D7677" w:rsidP="009D7677">
      <w:pPr>
        <w:pStyle w:val="TextoNormal"/>
      </w:pPr>
    </w:p>
    <w:p w14:paraId="4C803746" w14:textId="77777777" w:rsidR="009D7677" w:rsidRDefault="009D7677" w:rsidP="009D7677">
      <w:pPr>
        <w:pStyle w:val="TextoNormal"/>
      </w:pPr>
      <w:r>
        <w:t>(ii) El derecho a la integridad física y moral (art. 15 CE), porque no se recabó el consentimiento informado del recurrente, que es un derecho reconocido en la Ley 41/2022, de 14 de noviembre, reguladora de la autonomía del paciente, en el art. 3.2 a) la Carta de los derechos fundamentales de la Unión Europea y en el Convenio relativo a los derechos humanos y la biomedicina hecho en Oviedo el 4 de abril de 1997, y que queda asimismo amparado en el art. 8 del Convenio europeo para la protección de los derechos humanos y de las libertades fundamentales como aspecto del derecho a la vida privada y familiar reconocido en dicho precepto, conforme a la jurisprudencia del Tribunal Europeo de Derechos Humanos. Añade que no hay evidencias científicas que acrediten la bondad de la vacuna ni el beneficio individual para los niños, lo que supone que se ha vulnerado el interés superior de los menores, puesto que los estudios científicos demuestran que el riesgo para la salud de los niños derivado de la ausencia de vacuna es menor que el riesgo de contraer la enfermedad.</w:t>
      </w:r>
    </w:p>
    <w:p w14:paraId="2E5CD4BC" w14:textId="77777777" w:rsidR="009D7677" w:rsidRDefault="009D7677" w:rsidP="009D7677">
      <w:pPr>
        <w:pStyle w:val="TextoNormal"/>
      </w:pPr>
    </w:p>
    <w:p w14:paraId="476F0D95" w14:textId="77777777" w:rsidR="009D7677" w:rsidRDefault="009D7677" w:rsidP="009D7677">
      <w:pPr>
        <w:pStyle w:val="TextoNormal"/>
      </w:pPr>
      <w:r>
        <w:t>(iii) El derecho a la tutela judicial efectiva (art. 24.1 CE), en relación con el principio de seguridad jurídica (art. 9.3 CE), porque los tribunales ordinarios han valorado las pruebas de manera errónea, en particular los informes científicos de que disponían. Las resoluciones judiciales combatidas incurren en defecto de motivación suficiente e “incluyen razonamientos y afirmaciones sin sustento científico, erróneos o equivocados, condicionando un fallo que a todas luces se percibe predeterminado y ajeno a la abundante prueba aportada”.</w:t>
      </w:r>
    </w:p>
    <w:p w14:paraId="77547409" w14:textId="77777777" w:rsidR="009D7677" w:rsidRDefault="009D7677" w:rsidP="009D7677">
      <w:pPr>
        <w:pStyle w:val="TextoNormal"/>
      </w:pPr>
    </w:p>
    <w:p w14:paraId="0C0A7D4A" w14:textId="27282096" w:rsidR="009D7677" w:rsidRDefault="009D7677" w:rsidP="009D7677">
      <w:pPr>
        <w:pStyle w:val="TextoNormal"/>
      </w:pPr>
      <w:r>
        <w:t>Solicita por todo ello que sean anulados los autos recurridos y que se declare que no había lugar al procedimiento de jurisdicción voluntaria para la inoculación de la vacuna contra la covid-19 a los menores. Mediante otrosí se solicitó también la suspensión cautelar de los autos impugnados.</w:t>
      </w:r>
    </w:p>
    <w:p w14:paraId="700D1AA4" w14:textId="77777777" w:rsidR="009D7677" w:rsidRDefault="009D7677" w:rsidP="009D7677">
      <w:pPr>
        <w:pStyle w:val="TextoNormal"/>
      </w:pPr>
    </w:p>
    <w:p w14:paraId="7F3DE495" w14:textId="77777777" w:rsidR="009D7677" w:rsidRDefault="009D7677" w:rsidP="009D7677">
      <w:pPr>
        <w:pStyle w:val="TextoNormal"/>
      </w:pPr>
      <w:r w:rsidRPr="009D7677">
        <w:rPr>
          <w:rStyle w:val="NumeroAFNegritaCaracter"/>
        </w:rPr>
        <w:t>4</w:t>
      </w:r>
      <w:r>
        <w:t>. La Sección Cuarta del Tribunal Constitucional, por providencia de 19 de junio de 2023, acordó admitir a trámite el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de 25 de junio, FJ 2 a)] y, asimismo, porque el asunto suscitado trasciende del caso concreto porque plantea una cuestión jurídica de relevante y general repercusión social o económica [STC 155/2009, FJ 2 g)].</w:t>
      </w:r>
    </w:p>
    <w:p w14:paraId="69983F1B" w14:textId="77777777" w:rsidR="009D7677" w:rsidRDefault="009D7677" w:rsidP="009D7677">
      <w:pPr>
        <w:pStyle w:val="TextoNormal"/>
      </w:pPr>
    </w:p>
    <w:p w14:paraId="14084A7B" w14:textId="2B5B6984" w:rsidR="009D7677" w:rsidRDefault="009D7677" w:rsidP="009D7677">
      <w:pPr>
        <w:pStyle w:val="TextoNormal"/>
      </w:pPr>
      <w:r>
        <w:t>En la misma providencia se acordó, en aplicación de lo dispuesto en el art. 51 LOTC, dirigir atenta comunicación a la Audiencia Provincial de Sevilla (Sección Segunda) a fin de que, en plazo que no superior a diez días, remitiera certificación o fotocopia adverada de las actuaciones correspondientes al recurso de apelación 1578-2023, e, igualmente, al Juzgado de Primera Instancia e Instrucción núm. 3 de Dos Hermanas a fin de que, en ese mismo plazo, remitiera certificación o fotocopia adverada de las actuaciones correspondientes al procedimiento de jurisdicción voluntaria núm. 6-2022, debiendo emplazar previamente, para que en el plazo de diez días pudieran comparecer, si lo desearan, en el re</w:t>
      </w:r>
      <w:r>
        <w:lastRenderedPageBreak/>
        <w:t>curso de amparo, a quienes hubieran sido parte en el procedimiento, excepto la parte recurrente en amparo.</w:t>
      </w:r>
    </w:p>
    <w:p w14:paraId="2BD74FB0" w14:textId="77777777" w:rsidR="009D7677" w:rsidRDefault="009D7677" w:rsidP="009D7677">
      <w:pPr>
        <w:pStyle w:val="TextoNormal"/>
      </w:pPr>
    </w:p>
    <w:p w14:paraId="30B7C33B" w14:textId="77777777" w:rsidR="009D7677" w:rsidRDefault="009D7677" w:rsidP="009D7677">
      <w:pPr>
        <w:pStyle w:val="TextoNormal"/>
      </w:pPr>
      <w:r w:rsidRPr="009D7677">
        <w:rPr>
          <w:rStyle w:val="NumeroAFNegritaCaracter"/>
        </w:rPr>
        <w:t>5</w:t>
      </w:r>
      <w:r>
        <w:t>. Mediante providencia de 19 de junio de 2023, se acordó asimismo la formación de la pieza separada de suspensión, con inicio de su tramitación de conformidad con lo prevenido en el art. 56 LOTC.</w:t>
      </w:r>
    </w:p>
    <w:p w14:paraId="0F811981" w14:textId="77777777" w:rsidR="009D7677" w:rsidRDefault="009D7677" w:rsidP="009D7677">
      <w:pPr>
        <w:pStyle w:val="TextoNormal"/>
      </w:pPr>
    </w:p>
    <w:p w14:paraId="1A943EBF" w14:textId="5CFA3F08" w:rsidR="009D7677" w:rsidRDefault="009D7677" w:rsidP="009D7677">
      <w:pPr>
        <w:pStyle w:val="TextoNormal"/>
      </w:pPr>
      <w:r>
        <w:t>En la misma resolución se acordó librar oficio a la Dirección General de Salud Pública de la Junta de Andalucía, a fin de que informase sobre si consta la administración de la vacuna contra la covid-19 a los hijos del recurrente y, en su caso, la fecha en la que les administró.</w:t>
      </w:r>
    </w:p>
    <w:p w14:paraId="475500B2" w14:textId="77777777" w:rsidR="009D7677" w:rsidRDefault="009D7677" w:rsidP="009D7677">
      <w:pPr>
        <w:pStyle w:val="TextoNormal"/>
      </w:pPr>
    </w:p>
    <w:p w14:paraId="1A3C479B" w14:textId="608EF865" w:rsidR="009D7677" w:rsidRDefault="009D7677" w:rsidP="009D7677">
      <w:pPr>
        <w:pStyle w:val="TextoNormal"/>
      </w:pPr>
      <w:r w:rsidRPr="009D7677">
        <w:rPr>
          <w:rStyle w:val="NumeroAFNegritaCaracter"/>
        </w:rPr>
        <w:t>6</w:t>
      </w:r>
      <w:r>
        <w:t>. Mediante escrito registrado en este tribunal el 1 de agosto de 2023, el procurador don Juan de Dios Quiroga Ruiz se personó en el presente recurso de amparo en nombre y representación de doña M.A.R.L., con la asistencia del abogado don Pedro María Mancera Rodríguez.</w:t>
      </w:r>
    </w:p>
    <w:p w14:paraId="03A75914" w14:textId="77777777" w:rsidR="009D7677" w:rsidRDefault="009D7677" w:rsidP="009D7677">
      <w:pPr>
        <w:pStyle w:val="TextoNormal"/>
      </w:pPr>
    </w:p>
    <w:p w14:paraId="3C4B7935" w14:textId="77777777" w:rsidR="009D7677" w:rsidRDefault="009D7677" w:rsidP="009D7677">
      <w:pPr>
        <w:pStyle w:val="TextoNormal"/>
      </w:pPr>
      <w:r w:rsidRPr="009D7677">
        <w:rPr>
          <w:rStyle w:val="NumeroAFNegritaCaracter"/>
        </w:rPr>
        <w:t>7</w:t>
      </w:r>
      <w:r>
        <w:t>. Mediante oficio fechado el 7 de septiembre de 2023, la Junta de Andalucía contestó al requerimiento efectuado en la providencia de 19 de junio de 2023 que los dos menores no constaban como vacunados.</w:t>
      </w:r>
    </w:p>
    <w:p w14:paraId="5B888AB8" w14:textId="77777777" w:rsidR="009D7677" w:rsidRDefault="009D7677" w:rsidP="009D7677">
      <w:pPr>
        <w:pStyle w:val="TextoNormal"/>
      </w:pPr>
    </w:p>
    <w:p w14:paraId="16C4914D" w14:textId="4CAD780B" w:rsidR="009D7677" w:rsidRDefault="009D7677" w:rsidP="009D7677">
      <w:pPr>
        <w:pStyle w:val="TextoNormal"/>
      </w:pPr>
      <w:r>
        <w:t>Por diligencia de ordenación de la Secretaría de la Sala Segunda del Tribunal de 13 de septiembre de 2023 se acordó dar traslado del anterior escrito al Ministerio Fiscal y a las partes personadas por término de tres días, a fin de que manifestaren lo que a su derecho conviniese, trámite que fue cumplimentado por el recurrente y por el Ministerio Fiscal.</w:t>
      </w:r>
    </w:p>
    <w:p w14:paraId="639AA3F9" w14:textId="77777777" w:rsidR="009D7677" w:rsidRDefault="009D7677" w:rsidP="009D7677">
      <w:pPr>
        <w:pStyle w:val="TextoNormal"/>
      </w:pPr>
    </w:p>
    <w:p w14:paraId="6DCC6A0F" w14:textId="300FF581" w:rsidR="009D7677" w:rsidRDefault="009D7677" w:rsidP="009D7677">
      <w:pPr>
        <w:pStyle w:val="TextoNormal"/>
      </w:pPr>
      <w:r w:rsidRPr="009D7677">
        <w:rPr>
          <w:rStyle w:val="NumeroAFNegritaCaracter"/>
        </w:rPr>
        <w:t>8</w:t>
      </w:r>
      <w:r>
        <w:t>. Por diligencia de ordenación de la Secretaría de Justicia de la Sala Segunda de este tribunal de 11 de octubre de 2023 se tuvieron por recibidos los testimonios de las actuaciones remitidos por la Sección Segunda de la Audiencia Provincial de Sevilla y por el Juzgado de Primera Instancia e Instrucción núm. 3 de Dos Hermanas y, a tenor de lo dispuesto en el art. 52.1 LOTC, se acordó dar vista de las mismas, por plazo común de veinte días, al Ministerio Fiscal y a las partes personadas, para que dentro de dicho término pudieran presentar las alegaciones que a su derecho conviniesen.</w:t>
      </w:r>
    </w:p>
    <w:p w14:paraId="09C4B8B5" w14:textId="77777777" w:rsidR="009D7677" w:rsidRDefault="009D7677" w:rsidP="009D7677">
      <w:pPr>
        <w:pStyle w:val="TextoNormal"/>
      </w:pPr>
    </w:p>
    <w:p w14:paraId="11D84059" w14:textId="30295EA4" w:rsidR="009D7677" w:rsidRDefault="009D7677" w:rsidP="009D7677">
      <w:pPr>
        <w:pStyle w:val="TextoNormal"/>
      </w:pPr>
      <w:r w:rsidRPr="009D7677">
        <w:rPr>
          <w:rStyle w:val="NumeroAFNegritaCaracter"/>
        </w:rPr>
        <w:t>9</w:t>
      </w:r>
      <w:r>
        <w:t>. El 15 de noviembre de 2023 se registró escrito en el Tribunal Constitucional de la representación procesal del recurrente de amparo en el que se reitera en lo alegado y solicitado en la demanda de amparo.</w:t>
      </w:r>
    </w:p>
    <w:p w14:paraId="7EA55101" w14:textId="77777777" w:rsidR="009D7677" w:rsidRDefault="009D7677" w:rsidP="009D7677">
      <w:pPr>
        <w:pStyle w:val="TextoNormal"/>
      </w:pPr>
    </w:p>
    <w:p w14:paraId="3D73EC2E" w14:textId="77777777" w:rsidR="009D7677" w:rsidRDefault="009D7677" w:rsidP="009D7677">
      <w:pPr>
        <w:pStyle w:val="TextoNormal"/>
      </w:pPr>
      <w:r w:rsidRPr="009D7677">
        <w:rPr>
          <w:rStyle w:val="NumeroAFNegritaCaracter"/>
        </w:rPr>
        <w:t>10</w:t>
      </w:r>
      <w:r>
        <w:t>. Por escrito registrado el 29 de noviembre de 2023, el Ministerio Fiscal solicitó la desestimación del recurso de amparo.</w:t>
      </w:r>
    </w:p>
    <w:p w14:paraId="4A631224" w14:textId="77777777" w:rsidR="009D7677" w:rsidRDefault="009D7677" w:rsidP="009D7677">
      <w:pPr>
        <w:pStyle w:val="TextoNormal"/>
      </w:pPr>
    </w:p>
    <w:p w14:paraId="0D66DAFA" w14:textId="77777777" w:rsidR="009D7677" w:rsidRDefault="009D7677" w:rsidP="009D7677">
      <w:pPr>
        <w:pStyle w:val="TextoNormal"/>
      </w:pPr>
      <w:r>
        <w:t xml:space="preserve">Como cuestión preliminar, sostiene que concurre el óbice de la falta de denuncia previa en la vía judicial respecto de la concreta vulneración del derecho a la igualdad (art. 14 CE). En consecuencia, esta queja debe ser inadmitida por falta de invocación de la vulneración del derecho en el proceso judicial [art. 44.1 c) LOTC]; subsidiariamente, procedería </w:t>
      </w:r>
      <w:r>
        <w:lastRenderedPageBreak/>
        <w:t>su desestimación, al carecer la alegación de argumentación fáctica y jurídica y no aportarse un término de comparación válido.</w:t>
      </w:r>
    </w:p>
    <w:p w14:paraId="0AC4AFD3" w14:textId="77777777" w:rsidR="009D7677" w:rsidRDefault="009D7677" w:rsidP="009D7677">
      <w:pPr>
        <w:pStyle w:val="TextoNormal"/>
      </w:pPr>
    </w:p>
    <w:p w14:paraId="2DEECF8F" w14:textId="77777777" w:rsidR="009D7677" w:rsidRDefault="009D7677" w:rsidP="009D7677">
      <w:pPr>
        <w:pStyle w:val="TextoNormal"/>
      </w:pPr>
      <w:r>
        <w:t>En cuanto a la pretendida vulneración del derecho a la tutela judicial efectiva (art. 24.1 CE), considera el Ministerio Fiscal que las alegaciones contenidas en la demanda evidencian que esta queja debe entenderse subsumida en la también alegada lesión del derecho a la integridad física y moral (art. 15 CE).</w:t>
      </w:r>
    </w:p>
    <w:p w14:paraId="5E3A2085" w14:textId="77777777" w:rsidR="009D7677" w:rsidRDefault="009D7677" w:rsidP="009D7677">
      <w:pPr>
        <w:pStyle w:val="TextoNormal"/>
      </w:pPr>
    </w:p>
    <w:p w14:paraId="4AC5BA6D" w14:textId="6EB1927E" w:rsidR="009D7677" w:rsidRDefault="009D7677" w:rsidP="009D7677">
      <w:pPr>
        <w:pStyle w:val="TextoNormal"/>
      </w:pPr>
      <w:r>
        <w:t>Respecto de esta vulneración del art. 15 CE, por falta de consentimiento informado, el Ministerio Fiscal pone de relieve cómo en este procedimiento la autoridad judicial no autoriza la inoculación de la vacuna de los menores, sino que resuelve atribuir a uno de los progenitores la facultad de decidir sobre la administración de la vacuna, ponderando, en atención a las circunstancias del caso, lo que considere más beneficioso para el menor. Partiendo de la doctrina sentada en la STC 148/2023, de 6 de noviembre, señala que en este supuesto no se planteó en ningún momento en el procedimiento de jurisdicción voluntaria que los menores tuvieran la capacidad emocional e intelectual necesarias para prestar el consentimiento a la vacunación y que los órganos judiciales entendieron razonablemente que los menores carecían de la capacidad intelectiva y de los elementos de juicio necesarios para emitir un consentimiento informado por sí mismos. Valora el Ministerio Público que los órganos judiciales respetaron el interés superior de los menores en atención a las recomendaciones de las agencias europea y española del medicamento, tal y como se razona en los autos impugnados. En definitiva, los razonamientos empleados en las resoluciones impugnadas están avalados por los informes, dictámenes y recomendaciones de las autoridades sanitarias, en oposición a los argumentos esgrimidos por el demandante de amparo, que carecían de un respaldo científico objetivo suficientemente sólido como para poner en cuestión las conclusiones de los organismos oficiales y, consiguientemente, las bases de la argumentación desarrollada por los órganos judiciales. Puede concluirse, por tanto, que los autos impugnados justificaron la decisión de autorizar la vacunación de los menores en la realización efectiva de su interés superior, concretado en este caso en la preservación de su salud, que, conforme a los estudios, informes y recomendaciones de los organismos oficiales autorizados en materia de vigilancia de la salud, resultaba tutelado de un modo más efectivo y eficaz mediante la inoculación de la vacuna frente a la covid-19.</w:t>
      </w:r>
    </w:p>
    <w:p w14:paraId="20ECCCF2" w14:textId="77777777" w:rsidR="009D7677" w:rsidRDefault="009D7677" w:rsidP="009D7677">
      <w:pPr>
        <w:pStyle w:val="TextoNormal"/>
      </w:pPr>
    </w:p>
    <w:p w14:paraId="257022F4" w14:textId="59F9AE13" w:rsidR="009D7677" w:rsidRDefault="009D7677" w:rsidP="009D7677">
      <w:pPr>
        <w:pStyle w:val="TextoNormal"/>
      </w:pPr>
      <w:r w:rsidRPr="009D7677">
        <w:rPr>
          <w:rStyle w:val="NumeroAFNegritaCaracter"/>
        </w:rPr>
        <w:t>11</w:t>
      </w:r>
      <w:r>
        <w:t>. La representación procesal de doña M.A.R.L., no formuló alegaciones.</w:t>
      </w:r>
    </w:p>
    <w:p w14:paraId="1385F325" w14:textId="77777777" w:rsidR="009D7677" w:rsidRDefault="009D7677" w:rsidP="009D7677">
      <w:pPr>
        <w:pStyle w:val="TextoNormal"/>
      </w:pPr>
    </w:p>
    <w:p w14:paraId="2A4FA8CA" w14:textId="4D0B09D9" w:rsidR="009D7677" w:rsidRDefault="009D7677" w:rsidP="009D7677">
      <w:pPr>
        <w:pStyle w:val="TextoNormal"/>
      </w:pPr>
      <w:r w:rsidRPr="009D7677">
        <w:rPr>
          <w:rStyle w:val="NumeroAFNegritaCaracter"/>
        </w:rPr>
        <w:t>12</w:t>
      </w:r>
      <w:r>
        <w:t>. Por providencia de 7 de marzo de 2024 se señaló para deliberación y votación de la presente sentencia el día 11 del mismo mes y año.</w:t>
      </w:r>
    </w:p>
    <w:p w14:paraId="1440487E" w14:textId="77777777" w:rsidR="009D7677" w:rsidRDefault="009D7677" w:rsidP="009D7677">
      <w:pPr>
        <w:pStyle w:val="TextoNormal"/>
      </w:pPr>
    </w:p>
    <w:p w14:paraId="169EFBBB" w14:textId="77777777" w:rsidR="009D7677" w:rsidRDefault="009D7677" w:rsidP="009D7677">
      <w:pPr>
        <w:pStyle w:val="TextoNormalNegritaCentrado"/>
        <w:keepNext/>
      </w:pPr>
      <w:r>
        <w:t>II. Fundamentos jurídicos</w:t>
      </w:r>
    </w:p>
    <w:p w14:paraId="388D7A96" w14:textId="26A4AD74" w:rsidR="009D7677" w:rsidRDefault="009D7677" w:rsidP="009D7677">
      <w:pPr>
        <w:pStyle w:val="TextoNormalNegritaCentrado"/>
        <w:keepNext/>
      </w:pPr>
    </w:p>
    <w:p w14:paraId="74C47A98" w14:textId="77777777" w:rsidR="009D7677" w:rsidRDefault="009D7677" w:rsidP="009D7677">
      <w:pPr>
        <w:pStyle w:val="TextoNormal"/>
      </w:pPr>
      <w:r w:rsidRPr="009D7677">
        <w:rPr>
          <w:rStyle w:val="NumeroAFNegritaCaracter"/>
        </w:rPr>
        <w:t>1</w:t>
      </w:r>
      <w:r>
        <w:t xml:space="preserve">. </w:t>
      </w:r>
      <w:r w:rsidRPr="009D7677">
        <w:rPr>
          <w:i/>
        </w:rPr>
        <w:t>Objeto del recurso</w:t>
      </w:r>
    </w:p>
    <w:p w14:paraId="066413C9" w14:textId="77777777" w:rsidR="009D7677" w:rsidRDefault="009D7677" w:rsidP="009D7677">
      <w:pPr>
        <w:pStyle w:val="TextoNormal"/>
      </w:pPr>
    </w:p>
    <w:p w14:paraId="53606E9A" w14:textId="77777777" w:rsidR="009D7677" w:rsidRDefault="009D7677" w:rsidP="009D7677">
      <w:pPr>
        <w:pStyle w:val="TextoNormal"/>
      </w:pPr>
      <w:r>
        <w:t>El presente recurso de amparo se dirige contra el auto de 28 de julio de 2022 del Juzgado de Primera Instancia e Instrucción núm. 3 de Dos Hermanas, dictado en el procedimiento de jurisdicción voluntaria núm. 6-2022, que atribuyó a doña M.A.R.L., la facultad de decidir sobre la administración de la vacuna frente a la covid-19 a sus hijos menores de edad, y contra el auto de 22 de marzo de 2023 de la Sección Segunda de la Audiencia Pro</w:t>
      </w:r>
      <w:r>
        <w:lastRenderedPageBreak/>
        <w:t>vincial de Sevilla, dictado en el rollo de apelación núm. 1578-2023, confirmatorio del anterior.</w:t>
      </w:r>
    </w:p>
    <w:p w14:paraId="05C58E08" w14:textId="77777777" w:rsidR="009D7677" w:rsidRDefault="009D7677" w:rsidP="009D7677">
      <w:pPr>
        <w:pStyle w:val="TextoNormal"/>
      </w:pPr>
    </w:p>
    <w:p w14:paraId="04C9E958" w14:textId="3339EBB7" w:rsidR="009D7677" w:rsidRDefault="009D7677" w:rsidP="009D7677">
      <w:pPr>
        <w:pStyle w:val="TextoNormal"/>
      </w:pPr>
      <w:r>
        <w:t>Dada la naturaleza de los hechos, debe señalarse que,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 27 de julio de 2015), la presente sentencia y demás actuaciones del proceso no incluyen la identificación completa de las personas menores de edad afectadas ni la de sus parientes inmediatos que aparecen mencionados en las actuaciones, con el fin de proteger la intimidad de aquellas.</w:t>
      </w:r>
    </w:p>
    <w:p w14:paraId="42D7CF4E" w14:textId="77777777" w:rsidR="009D7677" w:rsidRDefault="009D7677" w:rsidP="009D7677">
      <w:pPr>
        <w:pStyle w:val="TextoNormal"/>
      </w:pPr>
    </w:p>
    <w:p w14:paraId="20D939B8" w14:textId="77777777" w:rsidR="009D7677" w:rsidRDefault="009D7677" w:rsidP="009D7677">
      <w:pPr>
        <w:pStyle w:val="TextoNormal"/>
      </w:pPr>
      <w:r w:rsidRPr="009D7677">
        <w:rPr>
          <w:rStyle w:val="NumeroAFNegritaCaracter"/>
        </w:rPr>
        <w:t>2</w:t>
      </w:r>
      <w:r>
        <w:t xml:space="preserve">. </w:t>
      </w:r>
      <w:r w:rsidRPr="009D7677">
        <w:rPr>
          <w:i/>
        </w:rPr>
        <w:t>Cuestiones previas y delimitación de los derechos fundamentales concernidos</w:t>
      </w:r>
    </w:p>
    <w:p w14:paraId="28E5CF3B" w14:textId="77777777" w:rsidR="009D7677" w:rsidRDefault="009D7677" w:rsidP="009D7677">
      <w:pPr>
        <w:pStyle w:val="TextoNormal"/>
      </w:pPr>
    </w:p>
    <w:p w14:paraId="604AB111" w14:textId="77777777" w:rsidR="009D7677" w:rsidRDefault="009D7677" w:rsidP="009D7677">
      <w:pPr>
        <w:pStyle w:val="TextoNormal"/>
      </w:pPr>
      <w:r>
        <w:t>Con carácter previo al examen de las cuestiones de fondo planteadas en la demanda de amparo, deben hacerse las siguientes precisiones:</w:t>
      </w:r>
    </w:p>
    <w:p w14:paraId="0A7F8B12" w14:textId="77777777" w:rsidR="009D7677" w:rsidRDefault="009D7677" w:rsidP="009D7677">
      <w:pPr>
        <w:pStyle w:val="TextoNormal"/>
      </w:pPr>
    </w:p>
    <w:p w14:paraId="08FE8D75" w14:textId="77777777" w:rsidR="009D7677" w:rsidRDefault="009D7677" w:rsidP="009D7677">
      <w:pPr>
        <w:pStyle w:val="TextoNormal"/>
      </w:pPr>
      <w:r>
        <w:t>a) En el recurso de amparo se alega la vulneración del derecho a la tutela judicial efectiva (art. 24.1 CE) porque, en opinión del recurrente, los autos impugnados, que atribuyen la facultad de decidir al progenitor favorable a la vacunación, incurren en defecto de motivación suficiente e incluyen razonamientos y afirmaciones sin sustento científico, porque han valorado las pruebas practicadas de manera errónea, en particular los informes científicos de que disponían.</w:t>
      </w:r>
    </w:p>
    <w:p w14:paraId="227E1783" w14:textId="77777777" w:rsidR="009D7677" w:rsidRDefault="009D7677" w:rsidP="009D7677">
      <w:pPr>
        <w:pStyle w:val="TextoNormal"/>
      </w:pPr>
    </w:p>
    <w:p w14:paraId="1D9B8356" w14:textId="77777777" w:rsidR="009D7677" w:rsidRDefault="009D7677" w:rsidP="009D7677">
      <w:pPr>
        <w:pStyle w:val="TextoNormal"/>
      </w:pPr>
      <w:r>
        <w:t>Como señala el Ministerio Fiscal, esta queja debe ser subsumida en la alegada vulneración del derecho a la integridad física y moral (art. 15 CE).</w:t>
      </w:r>
    </w:p>
    <w:p w14:paraId="0B635F33" w14:textId="77777777" w:rsidR="009D7677" w:rsidRDefault="009D7677" w:rsidP="009D7677">
      <w:pPr>
        <w:pStyle w:val="TextoNormal"/>
      </w:pPr>
    </w:p>
    <w:p w14:paraId="3E242403" w14:textId="77777777" w:rsidR="009D7677" w:rsidRDefault="009D7677" w:rsidP="009D7677">
      <w:pPr>
        <w:pStyle w:val="TextoNormal"/>
      </w:pPr>
      <w:r>
        <w:t>b) Se alega asimismo en el recurso de amparo la vulneración del derecho a la igualdad de trato (art. 14 CE), afirma que este derecho fundamental exige de los poderes públicos un deber de abstención para no generar diferencias arbitrarias como la que se ha producido en este caso, donde la diferencia de trato (al otorgar a la madre la capacidad de decidir sobre la vacunación a los hijos comunes) ni está justificada ni es razonable.</w:t>
      </w:r>
    </w:p>
    <w:p w14:paraId="3B221493" w14:textId="77777777" w:rsidR="009D7677" w:rsidRDefault="009D7677" w:rsidP="009D7677">
      <w:pPr>
        <w:pStyle w:val="TextoNormal"/>
      </w:pPr>
    </w:p>
    <w:p w14:paraId="1A0A3244" w14:textId="77777777" w:rsidR="009D7677" w:rsidRDefault="009D7677" w:rsidP="009D7677">
      <w:pPr>
        <w:pStyle w:val="TextoNormal"/>
      </w:pPr>
      <w:r>
        <w:t xml:space="preserve">Conforme a lo interesado por el Ministerio Fiscal, esta queja debe ser inadmitida por incurrir en el óbice de falta de invocación tempestiva en la vía judicial [art. 44.1 c) LOTC], ya que, en efecto, la queja se plantea </w:t>
      </w:r>
      <w:r w:rsidRPr="009D7677">
        <w:rPr>
          <w:i/>
        </w:rPr>
        <w:t>per saltum</w:t>
      </w:r>
      <w:r>
        <w:t xml:space="preserve"> en el recurso de amparo.</w:t>
      </w:r>
    </w:p>
    <w:p w14:paraId="2008024C" w14:textId="77777777" w:rsidR="009D7677" w:rsidRDefault="009D7677" w:rsidP="009D7677">
      <w:pPr>
        <w:pStyle w:val="TextoNormal"/>
      </w:pPr>
    </w:p>
    <w:p w14:paraId="59C3A1BD" w14:textId="79BD032E" w:rsidR="009D7677" w:rsidRDefault="009D7677" w:rsidP="009D7677">
      <w:pPr>
        <w:pStyle w:val="TextoNormal"/>
      </w:pPr>
      <w:r>
        <w:t>c) El objeto del recurso de amparo queda, en consecuencia, constreñido a examinar si se ha producido la alegada vulneración del derecho a la integridad física y moral (art. 15 CE), por falta de consentimiento informado del recurrente para la inoculación a los hijos menores de la vacuna contra la covid-19. Esta es la lesión constitucional que se imputa al auto del juzgado, confirmado en apelación, que atribuye la facultad de decidir al progenitor favorable a la vacunación (en este caso, la madre de los menores).</w:t>
      </w:r>
    </w:p>
    <w:p w14:paraId="437E2AB7" w14:textId="77777777" w:rsidR="009D7677" w:rsidRDefault="009D7677" w:rsidP="009D7677">
      <w:pPr>
        <w:pStyle w:val="TextoNormal"/>
      </w:pPr>
    </w:p>
    <w:p w14:paraId="2C0E133B" w14:textId="77777777" w:rsidR="009D7677" w:rsidRDefault="009D7677" w:rsidP="009D7677">
      <w:pPr>
        <w:pStyle w:val="TextoNormal"/>
      </w:pPr>
      <w:r w:rsidRPr="009D7677">
        <w:rPr>
          <w:rStyle w:val="NumeroAFNegritaCaracter"/>
        </w:rPr>
        <w:t>3</w:t>
      </w:r>
      <w:r>
        <w:t xml:space="preserve">. </w:t>
      </w:r>
      <w:r w:rsidRPr="009D7677">
        <w:rPr>
          <w:i/>
        </w:rPr>
        <w:t>Aplicación de la doctrina constitucional sentada en la STC 148/2023, de 6 de noviembre</w:t>
      </w:r>
    </w:p>
    <w:p w14:paraId="5124B4AE" w14:textId="77777777" w:rsidR="009D7677" w:rsidRDefault="009D7677" w:rsidP="009D7677">
      <w:pPr>
        <w:pStyle w:val="TextoNormal"/>
      </w:pPr>
    </w:p>
    <w:p w14:paraId="4BD9F6DD" w14:textId="77777777" w:rsidR="009D7677" w:rsidRDefault="009D7677" w:rsidP="009D7677">
      <w:pPr>
        <w:pStyle w:val="TextoNormal"/>
      </w:pPr>
      <w:r>
        <w:lastRenderedPageBreak/>
        <w:t>La cuestión constitucional suscitada en este recurso en relación con el derecho fundamental a la integridad física y moral (art. 15 CE) es la misma que ya ha sido objeto de análisis por el Pleno de este tribunal en la STC 148/2023, de 6 de noviembre, en cuyos fundamentos jurídicos 4 y 5 se expusieron de manera pormenorizada las pautas de ponderación necesarias para determinar si en este tipo de supuestos se ha vulnerado el derecho a la integridad personal, centrando la cuestión en que la administración de la vacuna, a falta de consentimiento libre, válido e informado de la persona afectada, precisa para su constitucionalidad el cumplimiento de los requisitos generales que, de acuerdo con nuestra doctrina, rigen la restricción de los derechos fundamentales sustantivos.</w:t>
      </w:r>
    </w:p>
    <w:p w14:paraId="50A557AD" w14:textId="77777777" w:rsidR="009D7677" w:rsidRDefault="009D7677" w:rsidP="009D7677">
      <w:pPr>
        <w:pStyle w:val="TextoNormal"/>
      </w:pPr>
    </w:p>
    <w:p w14:paraId="221510E4" w14:textId="77777777" w:rsidR="009D7677" w:rsidRDefault="009D7677" w:rsidP="009D7677">
      <w:pPr>
        <w:pStyle w:val="TextoNormal"/>
      </w:pPr>
      <w:r>
        <w:t>En atención a lo expuesto, en este caso, como también se concluyó en la STC 148/2023, FJ 5, el Tribunal rechaza que se haya vulnerado el derecho garantizado por el art. 15 CE al constatarse que: (i) se cumple el presupuesto básico que el art. 9.3, letra c), de la Ley 41/2002 establece para que pueda acudirse al consentimiento por representación —otorgado por los progenitores de común acuerdo o por la autoridad judicial en caso de desacuerdo— porque los menores carecían de la capacidad emocional e intelectual necesarias para comprender el alcance la intervención y los padres contaban con la información adecuada para la prestación del consentimiento desde un momento anterior incluso a la iniciación del procedimiento de jurisdicción voluntaria, por lo que no cabe apreciar la ausencia de consentimiento informado; y (ii) la motivación de las resoluciones judiciales tuvo como fundamento esencial la protección del interés superior de los menores en relación con la protección de su salud, teniendo en cuenta la recomendación de las autoridades sanitarias, que se mostraban a favor de la vacunación de menores, haciendo una ponderación de riesgos y beneficios de la vacuna, que los órganos judiciales no estimaron desvirtuada por los informes aportados por el recurrente.</w:t>
      </w:r>
    </w:p>
    <w:p w14:paraId="3204BA22" w14:textId="77777777" w:rsidR="009D7677" w:rsidRDefault="009D7677" w:rsidP="009D7677">
      <w:pPr>
        <w:pStyle w:val="TextoNormal"/>
      </w:pPr>
    </w:p>
    <w:p w14:paraId="6EBC061A" w14:textId="248CF1F7" w:rsidR="009D7677" w:rsidRDefault="009D7677" w:rsidP="009D7677">
      <w:pPr>
        <w:pStyle w:val="TextoNormal"/>
      </w:pPr>
      <w:r>
        <w:t>Por otra parte, la resolución sobre el fondo de este recurso implica que no resulte procedente resolver sobre la medida cautelar de suspensión solicitada por el recurrente, lo que determina que deba acordarse el archivo de la pieza separada de suspensión.</w:t>
      </w:r>
    </w:p>
    <w:p w14:paraId="6F5CDA79" w14:textId="77777777" w:rsidR="009D7677" w:rsidRDefault="009D7677" w:rsidP="009D7677">
      <w:pPr>
        <w:pStyle w:val="TextoNormal"/>
      </w:pPr>
    </w:p>
    <w:p w14:paraId="78AEEF60" w14:textId="77777777" w:rsidR="009D7677" w:rsidRDefault="009D7677" w:rsidP="009D7677">
      <w:pPr>
        <w:pStyle w:val="TextoNormalCentrado"/>
        <w:keepNext/>
      </w:pPr>
      <w:r>
        <w:t>FALLO</w:t>
      </w:r>
    </w:p>
    <w:p w14:paraId="3392E552" w14:textId="25744605" w:rsidR="009D7677" w:rsidRDefault="009D7677" w:rsidP="009D7677">
      <w:pPr>
        <w:pStyle w:val="TextoNormalCentrado"/>
        <w:keepNext/>
      </w:pPr>
    </w:p>
    <w:p w14:paraId="154A6715" w14:textId="62615E54" w:rsidR="009D7677" w:rsidRDefault="009D7677" w:rsidP="009D7677">
      <w:pPr>
        <w:pStyle w:val="TextoNormal"/>
      </w:pPr>
      <w:r>
        <w:t>En atención a todo lo expuesto, el Tribunal Constitucional, por la autoridad que le confiere la Constitución de la Nación española, ha decidido desestimar el recurso de amparo interpuesto por don C.M.V., y archivar la pieza separada de suspensión.</w:t>
      </w:r>
    </w:p>
    <w:p w14:paraId="7EE4BACD" w14:textId="77777777" w:rsidR="009D7677" w:rsidRDefault="009D7677" w:rsidP="009D7677">
      <w:pPr>
        <w:pStyle w:val="TextoNormal"/>
      </w:pPr>
    </w:p>
    <w:p w14:paraId="579B28B9" w14:textId="77777777" w:rsidR="009D7677" w:rsidRDefault="009D7677" w:rsidP="009D7677">
      <w:pPr>
        <w:pStyle w:val="TextoNormal"/>
      </w:pPr>
      <w:r>
        <w:t>Publíquese esta sentencia en el “Boletín Oficial del Estado”.</w:t>
      </w:r>
    </w:p>
    <w:p w14:paraId="2D5448D9" w14:textId="77777777" w:rsidR="009D7677" w:rsidRDefault="009D7677" w:rsidP="009D7677">
      <w:pPr>
        <w:pStyle w:val="TextoNormal"/>
      </w:pPr>
      <w:r>
        <w:t>Dada en Madrid, a once de marzo de dos mil veinticuatro.</w:t>
      </w:r>
    </w:p>
    <w:p w14:paraId="3DA854A4" w14:textId="7DC3F22A" w:rsidR="009D7677" w:rsidRDefault="009D7677">
      <w:pPr>
        <w:spacing w:after="160" w:line="259" w:lineRule="auto"/>
        <w:rPr>
          <w:rFonts w:ascii="Times New Roman" w:eastAsia="Times New Roman" w:hAnsi="Times New Roman" w:cs="Times New Roman"/>
          <w:sz w:val="24"/>
          <w:szCs w:val="24"/>
          <w:lang w:eastAsia="es-ES"/>
        </w:rPr>
      </w:pPr>
      <w:r>
        <w:br w:type="page"/>
      </w:r>
    </w:p>
    <w:p w14:paraId="7FC8ACB7" w14:textId="77777777" w:rsidR="009D7677" w:rsidRDefault="009D7677" w:rsidP="009D7677">
      <w:pPr>
        <w:pStyle w:val="TtuloResolucin"/>
      </w:pPr>
      <w:bookmarkStart w:id="44" w:name="SENTENCIA_2024_42"/>
      <w:r>
        <w:lastRenderedPageBreak/>
        <w:t>SENTENCIA 42/2024, de 11 de marzo de 2024</w:t>
      </w:r>
    </w:p>
    <w:bookmarkEnd w:id="44"/>
    <w:p w14:paraId="57E62B4E" w14:textId="77777777" w:rsidR="009D7677" w:rsidRDefault="009D7677" w:rsidP="009D7677">
      <w:pPr>
        <w:pStyle w:val="TtuloResolucin"/>
      </w:pPr>
      <w:r>
        <w:t>Sala Segunda</w:t>
      </w:r>
    </w:p>
    <w:p w14:paraId="12C36625" w14:textId="77777777" w:rsidR="009D7677" w:rsidRDefault="009D7677" w:rsidP="009D7677">
      <w:pPr>
        <w:pStyle w:val="TtuloBOE"/>
      </w:pPr>
      <w:r>
        <w:t>(BOE núm. 99, de 23 de abril de 2024)</w:t>
      </w:r>
    </w:p>
    <w:p w14:paraId="1E8BDA34" w14:textId="77777777" w:rsidR="009D7677" w:rsidRDefault="009D7677" w:rsidP="009D7677">
      <w:pPr>
        <w:pStyle w:val="TextoNormalCentrado"/>
      </w:pPr>
      <w:r>
        <w:t>ECLI:ES:TC:2024:42</w:t>
      </w:r>
    </w:p>
    <w:p w14:paraId="40BD2283" w14:textId="32E1E145" w:rsidR="009D7677" w:rsidRDefault="009D7677" w:rsidP="009D7677">
      <w:pPr>
        <w:pStyle w:val="TextoNormalCentrado"/>
      </w:pPr>
    </w:p>
    <w:p w14:paraId="6698FBC2" w14:textId="77777777" w:rsidR="009D7677" w:rsidRDefault="009D7677" w:rsidP="009D7677">
      <w:pPr>
        <w:pStyle w:val="SntesisDescriptiva"/>
      </w:pPr>
      <w:r>
        <w:t>Recurso de amparo 4735-2023. Promovido por don Yahya Azzaoui respecto de los autos dictados por la Sección Tercera y el Pleno de la Sala de lo Penal de la Audiencia Nacional que autorizaron su extradición a Marruecos.</w:t>
      </w:r>
    </w:p>
    <w:p w14:paraId="7F125ECC" w14:textId="7ECBAC2B" w:rsidR="009D7677" w:rsidRDefault="009D7677" w:rsidP="009D7677">
      <w:pPr>
        <w:pStyle w:val="SntesisDescriptiva"/>
      </w:pPr>
    </w:p>
    <w:p w14:paraId="322480C5" w14:textId="77777777" w:rsidR="009D7677" w:rsidRDefault="009D7677" w:rsidP="009D7677">
      <w:pPr>
        <w:pStyle w:val="SntesisAnaltica"/>
      </w:pPr>
      <w:r>
        <w:t>Supuesta vulneración de los derechos a la tutela judicial efectiva, de defensa, a un proceso con todas las garantías y a la libertad personal: STC 17/2024 (resoluciones judiciales que acuerdan la extradición a partir de una documentación que no permite poner en duda la necesidad y proporcionalidad de la decisión adoptada por la fiscalía de Marruecos de solicitar la entrega para asegurar el enjuiciamiento del afectado); inaplicabilidad del principio acusatorio al proceso de extradición. Voto particular.</w:t>
      </w:r>
    </w:p>
    <w:p w14:paraId="2AE727DF" w14:textId="485CFB61" w:rsidR="009D7677" w:rsidRDefault="009D7677" w:rsidP="009D7677">
      <w:pPr>
        <w:pStyle w:val="SntesisAnaltica"/>
      </w:pPr>
    </w:p>
    <w:p w14:paraId="70EF35CF" w14:textId="52462371" w:rsidR="009D7677" w:rsidRDefault="009D7677" w:rsidP="009D7677">
      <w:pPr>
        <w:pStyle w:val="Extracto"/>
      </w:pPr>
      <w:r>
        <w:t>1.</w:t>
      </w:r>
      <w:r>
        <w:tab/>
        <w:t>La intermediación judicial puede dispensarse excepcionalmente cuando concurran las siguientes exigencias: (i) En procedimiento de extradición regido por un convenio bilateral o multilateral que admita la posibilidad de que la petición de entrega pueda emanar de una autoridad distinta a la autoridad judicial; (ii) Que el país requirente suministre información suficientemente expresiva de que se trata de una autoridad facultada para emitir una solicitud de extradición en condiciones equivalentes a las de una autoridad judicial. (iii) Que el contenido de la solicitud y de la documentación anexa proporcione a los órganos judiciales españoles la información necesaria para verificar que la misma resulta necesaria y proporcionada (STC 17/2024) [FJ 3].</w:t>
      </w:r>
    </w:p>
    <w:p w14:paraId="5EC15DB0" w14:textId="77777777" w:rsidR="009D7677" w:rsidRDefault="009D7677" w:rsidP="009D7677">
      <w:pPr>
        <w:pStyle w:val="Extracto"/>
      </w:pPr>
    </w:p>
    <w:p w14:paraId="58243DE4" w14:textId="77777777" w:rsidR="009D7677" w:rsidRDefault="009D7677" w:rsidP="009D7677">
      <w:pPr>
        <w:pStyle w:val="Extracto"/>
      </w:pPr>
    </w:p>
    <w:p w14:paraId="7963AFF0" w14:textId="77777777" w:rsidR="009D7677" w:rsidRDefault="009D7677" w:rsidP="009D7677">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Díaz Bueso, ha pronunciado</w:t>
      </w:r>
    </w:p>
    <w:p w14:paraId="704F73C5" w14:textId="6BDF87A5" w:rsidR="009D7677" w:rsidRDefault="009D7677" w:rsidP="009D7677">
      <w:pPr>
        <w:pStyle w:val="TextoNormal"/>
      </w:pPr>
    </w:p>
    <w:p w14:paraId="2A782F87" w14:textId="77777777" w:rsidR="009D7677" w:rsidRDefault="009D7677" w:rsidP="009D7677">
      <w:pPr>
        <w:pStyle w:val="TextoNormalCentrado"/>
        <w:keepNext/>
      </w:pPr>
      <w:r>
        <w:t>EN NOMBRE DEL REY</w:t>
      </w:r>
    </w:p>
    <w:p w14:paraId="28B287C2" w14:textId="640EE51B" w:rsidR="009D7677" w:rsidRDefault="009D7677" w:rsidP="009D7677">
      <w:pPr>
        <w:pStyle w:val="TextoNormalCentrado"/>
        <w:keepNext/>
      </w:pPr>
    </w:p>
    <w:p w14:paraId="7E0236E8" w14:textId="77777777" w:rsidR="009D7677" w:rsidRDefault="009D7677" w:rsidP="009D7677">
      <w:pPr>
        <w:pStyle w:val="TextoNormalCentrado"/>
        <w:keepNext/>
      </w:pPr>
    </w:p>
    <w:p w14:paraId="6569EB7B" w14:textId="77777777" w:rsidR="009D7677" w:rsidRDefault="009D7677" w:rsidP="009D7677">
      <w:pPr>
        <w:pStyle w:val="TextoNormal"/>
      </w:pPr>
      <w:r>
        <w:t>la siguiente</w:t>
      </w:r>
    </w:p>
    <w:p w14:paraId="0F1B51E4" w14:textId="2621453D" w:rsidR="009D7677" w:rsidRDefault="009D7677" w:rsidP="009D7677">
      <w:pPr>
        <w:pStyle w:val="TextoNormal"/>
      </w:pPr>
    </w:p>
    <w:p w14:paraId="25F595E8" w14:textId="77777777" w:rsidR="009D7677" w:rsidRDefault="009D7677" w:rsidP="009D7677">
      <w:pPr>
        <w:pStyle w:val="TextoNormalCentrado"/>
        <w:keepNext/>
      </w:pPr>
      <w:r>
        <w:t>SENTENCIA</w:t>
      </w:r>
    </w:p>
    <w:p w14:paraId="3224C8CC" w14:textId="4837F66D" w:rsidR="009D7677" w:rsidRDefault="009D7677" w:rsidP="009D7677">
      <w:pPr>
        <w:pStyle w:val="TextoNormalCentrado"/>
        <w:keepNext/>
      </w:pPr>
    </w:p>
    <w:p w14:paraId="07A5ABE8" w14:textId="77777777" w:rsidR="009D7677" w:rsidRDefault="009D7677" w:rsidP="009D7677">
      <w:pPr>
        <w:pStyle w:val="TextoNormal"/>
      </w:pPr>
      <w:r>
        <w:t>En el recurso de amparo núm. 4735-2023, promovido por don Yahya Azzaoui, representado por el procurador de los tribunales don Luis Cortés Cascón, asistido del letrado don Manuel Campillos Capuz, contra el auto núm. 212/2023, de 11 de mayo, de la Sección Tercera de la Sala de lo Penal de la Audiencia Nacional y contra el auto núm. 39/2023, de 6 de junio, del Pleno de la Sala de lo Penal de la Audiencia Nacional. Ha sido ponente la magistrada doña Inmaculada Montalbán Huertas.</w:t>
      </w:r>
    </w:p>
    <w:p w14:paraId="3CB3E7D5" w14:textId="7311A9A2" w:rsidR="009D7677" w:rsidRDefault="009D7677" w:rsidP="009D7677">
      <w:pPr>
        <w:pStyle w:val="TextoNormal"/>
      </w:pPr>
    </w:p>
    <w:p w14:paraId="5295621A" w14:textId="77777777" w:rsidR="009D7677" w:rsidRDefault="009D7677" w:rsidP="009D7677">
      <w:pPr>
        <w:pStyle w:val="TextoNormalNegritaCentrado"/>
        <w:keepNext/>
      </w:pPr>
      <w:r>
        <w:lastRenderedPageBreak/>
        <w:t>I. Antecedentes</w:t>
      </w:r>
    </w:p>
    <w:p w14:paraId="559A09AB" w14:textId="1171B765" w:rsidR="009D7677" w:rsidRDefault="009D7677" w:rsidP="009D7677">
      <w:pPr>
        <w:pStyle w:val="TextoNormalNegritaCentrado"/>
        <w:keepNext/>
      </w:pPr>
    </w:p>
    <w:p w14:paraId="3CC20132" w14:textId="5ED92D72" w:rsidR="009D7677" w:rsidRDefault="009D7677" w:rsidP="009D7677">
      <w:pPr>
        <w:pStyle w:val="TextoNormal"/>
      </w:pPr>
      <w:r w:rsidRPr="009D7677">
        <w:rPr>
          <w:rStyle w:val="NumeroAFNegritaCaracter"/>
        </w:rPr>
        <w:t>1</w:t>
      </w:r>
      <w:r>
        <w:t>. Mediante escrito registrado en este tribunal el día 6 de julio de 2023, la representación procesal de don Yahya Azzaoui interpuso recurso de amparo contra el auto núm. 212/2023, de 11 de mayo, de la Sección Tercera de la Sala de lo Penal de la Audiencia Nacional, dictado en el rollo de sala 2-2023, dimanante del procedimiento de extradición pasiva núm. 3-2023 del Juzgado Central de Instrucción núm. 2, y contra el auto núm. 39/2023, de 6 de junio, del Pleno de la Sala de lo Penal de la Audiencia Nacional, dictado en el recurso de súplica núm. 35-2023, que confirmó el anterior.</w:t>
      </w:r>
    </w:p>
    <w:p w14:paraId="47FCD97C" w14:textId="77777777" w:rsidR="009D7677" w:rsidRDefault="009D7677" w:rsidP="009D7677">
      <w:pPr>
        <w:pStyle w:val="TextoNormal"/>
      </w:pPr>
    </w:p>
    <w:p w14:paraId="5CEF23C5" w14:textId="77777777" w:rsidR="009D7677" w:rsidRDefault="009D7677" w:rsidP="009D7677">
      <w:pPr>
        <w:pStyle w:val="TextoNormal"/>
      </w:pPr>
      <w:r w:rsidRPr="009D7677">
        <w:rPr>
          <w:rStyle w:val="NumeroAFNegritaCaracter"/>
        </w:rPr>
        <w:t>2</w:t>
      </w:r>
      <w:r>
        <w:t>. El recurso de amparo se fundamenta en los siguientes hechos:</w:t>
      </w:r>
    </w:p>
    <w:p w14:paraId="673CAE0B" w14:textId="77777777" w:rsidR="009D7677" w:rsidRDefault="009D7677" w:rsidP="009D7677">
      <w:pPr>
        <w:pStyle w:val="TextoNormal"/>
      </w:pPr>
    </w:p>
    <w:p w14:paraId="5C1EB764" w14:textId="77777777" w:rsidR="009D7677" w:rsidRDefault="009D7677" w:rsidP="009D7677">
      <w:pPr>
        <w:pStyle w:val="TextoNormal"/>
      </w:pPr>
      <w:r>
        <w:t>a) El fiscal del rey ante el Juzgado de Primera Instancia de Berkana (Marruecos) dictó el 15 de septiembre de 2022 orden internacional de búsqueda y captura contra el ahora demandante de amparo, al que atribuía su implicación en un delito de dirección de organización dedicada a facilitar la salida de marroquíes clandestinamente del territorio nacional, con los siguientes fundamentos:</w:t>
      </w:r>
    </w:p>
    <w:p w14:paraId="2299945C" w14:textId="77777777" w:rsidR="009D7677" w:rsidRDefault="009D7677" w:rsidP="009D7677">
      <w:pPr>
        <w:pStyle w:val="TextoNormal"/>
      </w:pPr>
    </w:p>
    <w:p w14:paraId="043D0844" w14:textId="77777777" w:rsidR="009D7677" w:rsidRDefault="009D7677" w:rsidP="009D7677">
      <w:pPr>
        <w:pStyle w:val="TextoNormal"/>
      </w:pPr>
      <w:r>
        <w:t>“Se resumen los hechos del caso en que con fecha del 12/11/2021, y en base a una información cierta de que una operación de inmigración clandestina iba a salir en el mismo día a partir de la costa de Saidia, se movilizaron diversos servicios de seguridad, que se movieron hacia esta estación costera, especialmente hacia el punto redondo conducente a M (ilegible) como a él de Duar El Hamri. La intervención tuvo como resultado el arresto de Abdelkader Charrabi, Hassan Dida, Rafik Mchiouar, Mohammed Mchiouar, Bilal Ben Kaddour y Rachid El Mamouni. Se logró también incautar un barco de recreo que estaba a bordo de un vehículo de remolque dependiente de la compañía Assistance Zerguit, así como dos vehículos utilitarios de marcas Mercedes y Renault Clio. Se incautó también a bordo del remolque una cantidad de haschisch de 360 gramos, un cuchillo de gran tamaño y otro tirado al suelo a proximidades del remolque. Se halló también en posesión del llamado Abdelkader Chraibi un importe de dinero de 13 400,00 dirhams y en posesión del llamado Hassan Dida otro de 6 600 dirhams.</w:t>
      </w:r>
    </w:p>
    <w:p w14:paraId="33DEC913" w14:textId="77777777" w:rsidR="009D7677" w:rsidRDefault="009D7677" w:rsidP="009D7677">
      <w:pPr>
        <w:pStyle w:val="TextoNormal"/>
      </w:pPr>
    </w:p>
    <w:p w14:paraId="4A50D66C" w14:textId="77777777" w:rsidR="009D7677" w:rsidRDefault="009D7677" w:rsidP="009D7677">
      <w:pPr>
        <w:pStyle w:val="TextoNormal"/>
      </w:pPr>
      <w:r>
        <w:t>En base al primer interrogatorio de los interesados, el individuo primeramente citado, don Abdelkader Chraibi, separadamente dijo que era candidato a la inmigración clandestina dentro de la misma operación y que era el llamado Oualid Lamrini que le atrajo a la misma. Hassan Hida y Rafiq Mchiouar, citados en segundo y tercer lugar que dijeron a su parte que eran candidatos a la inmigración clandestina dentro del marco de la misma operación, organizada por el llamado Yahya Azzaoui y el llamado Rachid, que viven ambos en Oujda. El individuo citado en cuarto lugar, don Mohammed Mchiouar dijo que estaba en la zona donde estuvo arrestado para conducir a bordo del coche de su padre Mercedes 190 indicado más arriba, a su hermano, candidato a la inmigración clandestina, llamado Rafiq. El individuo citado en quinto lugar, llamado Bilal Ben Kaddour, dijo que estaba allí para ayudar a los candidatos a mover el barco susodicho desde el remolque. Añadió que había remolcado anteriormente el barco desde la marina hasta Duar Chaanin a bordo de una grúa porta coches dependiente de una compañía en Berkana a instancia de su dueño llamado Yahya Azzaoui, y su compañero llamado Abouhafs El Idrissi Ayoub, por un importe de 1300 dirhams, y que los interesados le habían dicho que estaban a punto de orga</w:t>
      </w:r>
      <w:r>
        <w:lastRenderedPageBreak/>
        <w:t>nizar una operación de inmigración clandestina a bordo del mismo barco, y que ellos habían aceptado que él mismo les acompañara en contra parte de que él se hiciera cargo de remolcar el barco hasta las aguas de Oued Melouyia, y que al momento de la operación y que como ya no trabajaba de conductor de la grúa porta-coches llamó a su amigo Abdelmajid Azaime para ello, a quien acompañó hasta la ubicación del barco a sabiendas de que se iba a utilizar aquel barco en una operación de inmigración clandestina. El dicente añadió que había entregado el importe de 5000,00 dirhams al organizador de la operación de inmigración clandestina, denominado Yahya Azzaoui.</w:t>
      </w:r>
    </w:p>
    <w:p w14:paraId="74A19E7F" w14:textId="77777777" w:rsidR="009D7677" w:rsidRDefault="009D7677" w:rsidP="009D7677">
      <w:pPr>
        <w:pStyle w:val="TextoNormal"/>
      </w:pPr>
    </w:p>
    <w:p w14:paraId="2B5E7D5E" w14:textId="77777777" w:rsidR="009D7677" w:rsidRDefault="009D7677" w:rsidP="009D7677">
      <w:pPr>
        <w:pStyle w:val="TextoNormal"/>
      </w:pPr>
      <w:r>
        <w:t>El mismo día, o sea, el 12 de noviembre de 2021, los agentes del cuerpo urbano de policía introdujeron a los llamados Sanae Douzi, Samira Mohammadi, la menor de edad Karima Bouziani, Omar Ghadibi y Mourad Mchiouar, al ser arrestados al nivel de la Avda. Youssef Ibn Tachfine de Saidia, por ser candidatos a la inmigración clandestina dentro del marco de dicha operación. En base al interrogatorio al que fueron sometidos, declararon por unanimidad pero separadamente que eran candidatos a la inmigración clandestina dentro del marco de dicha operación y que habían entregado importes de dinero de 30 000,00 dirhams al organizador, llamado Yahya Azzaoui. De su parte, el llamado Mourad Mchiouar dijo que había entregado el importe de 10 000,00 dirhams al llamado Rachid, que trabaja de chapista en Berkana y que era este último, junto con Yahya Azzaoui que se hicieron cargo de la adquisición del barco de recreo.</w:t>
      </w:r>
    </w:p>
    <w:p w14:paraId="00D2CE6E" w14:textId="77777777" w:rsidR="009D7677" w:rsidRDefault="009D7677" w:rsidP="009D7677">
      <w:pPr>
        <w:pStyle w:val="TextoNormal"/>
      </w:pPr>
    </w:p>
    <w:p w14:paraId="066802DC" w14:textId="77777777" w:rsidR="009D7677" w:rsidRDefault="009D7677" w:rsidP="009D7677">
      <w:pPr>
        <w:pStyle w:val="TextoNormal"/>
      </w:pPr>
      <w:r>
        <w:t>[…] En base a todos estos datos, el departamento de identificación policial procedió a la identificación del llamado Yahya Azzaoui, el cual los individuos arrestados pudieron reconocer a partir de su fotografía, afirmando que constituye al individuo designado por sus declaraciones.</w:t>
      </w:r>
    </w:p>
    <w:p w14:paraId="138BD0F6" w14:textId="77777777" w:rsidR="009D7677" w:rsidRDefault="009D7677" w:rsidP="009D7677">
      <w:pPr>
        <w:pStyle w:val="TextoNormal"/>
      </w:pPr>
    </w:p>
    <w:p w14:paraId="6823466D" w14:textId="77777777" w:rsidR="009D7677" w:rsidRDefault="009D7677" w:rsidP="009D7677">
      <w:pPr>
        <w:pStyle w:val="TextoNormal"/>
      </w:pPr>
      <w:r>
        <w:t>Al interrogar a las llamadas Sanae Douzi, Samira Mohammadi y la menor de edad Karima Bouziani, manifestaron separadamente ser candidatas a la inmigración clandestina, y que habían entregado cada una de ellas al llamado Yahya Azzaoui el importe de 30 000,00 dirhams.</w:t>
      </w:r>
    </w:p>
    <w:p w14:paraId="55BD9912" w14:textId="77777777" w:rsidR="009D7677" w:rsidRDefault="009D7677" w:rsidP="009D7677">
      <w:pPr>
        <w:pStyle w:val="TextoNormal"/>
      </w:pPr>
    </w:p>
    <w:p w14:paraId="353DA074" w14:textId="77777777" w:rsidR="009D7677" w:rsidRDefault="009D7677" w:rsidP="009D7677">
      <w:pPr>
        <w:pStyle w:val="TextoNormal"/>
      </w:pPr>
      <w:r>
        <w:t>Con fecha 13/11/2021, a los alrededores de las 22:30 horas se personó ante los servicios policiales espontáneamente el llamado Oualid Lamrini. Interrogado, declaró negar haber sido candidato a esta operación de inmigración clandestina y que desde algunos quince días le llamó el llamado Yahya Azzaoui informándole que tenía un barco de recreo y que tal barco necesitaba reparaciones y que se acordaron a repararlo por 5000 dirhams que Yahya Azzaoui le había entregado, que tras averiguar que el barco estaba en situación legalmente regular lo guardó para repararlo en las proximidades de la casa de su abuelo en Duar El Hamri, añadiendo que el día de la operación, vino a su casa el conductor de la grúa porta coches con dos individuos más intentando remolcar el barco, sin lograrlo, y que tras ello vino el llamado Yahya Azzaoui junto con múltiples individuos para echar una mano, pero que la policía vino y que él se escapó.</w:t>
      </w:r>
    </w:p>
    <w:p w14:paraId="1B75E042" w14:textId="77777777" w:rsidR="009D7677" w:rsidRDefault="009D7677" w:rsidP="009D7677">
      <w:pPr>
        <w:pStyle w:val="TextoNormal"/>
      </w:pPr>
    </w:p>
    <w:p w14:paraId="56C2EB43" w14:textId="77777777" w:rsidR="009D7677" w:rsidRDefault="009D7677" w:rsidP="009D7677">
      <w:pPr>
        <w:pStyle w:val="TextoNormal"/>
      </w:pPr>
      <w:r>
        <w:t>Al interrogar al llamado Omar Ghadibi en el marco de un atestado oficial, reconoció los hechos, y diciendo que era candidato a la inmigración clandestina y que junto con sus dos compañeros que vinieron con él desde Casablanca, entregaron cada uno de ellos el importe de 30 000,00 dirhams al llamado Yahya Azzaoui, y que era este propio individuo que había alquilado una casa a su favor y a favor de dos compañeros más que acudieron de Ca</w:t>
      </w:r>
      <w:r>
        <w:lastRenderedPageBreak/>
        <w:t>sablanca. Dijo también que Yahya Azzaoui solía visitarles junto con el llamado Ayoub Abou Hafs El Idrissi, que era el coordinador de esta operación por las relaciones que tiene.</w:t>
      </w:r>
    </w:p>
    <w:p w14:paraId="34E58074" w14:textId="77777777" w:rsidR="009D7677" w:rsidRDefault="009D7677" w:rsidP="009D7677">
      <w:pPr>
        <w:pStyle w:val="TextoNormal"/>
      </w:pPr>
    </w:p>
    <w:p w14:paraId="76F8072E" w14:textId="77777777" w:rsidR="009D7677" w:rsidRDefault="009D7677" w:rsidP="009D7677">
      <w:pPr>
        <w:pStyle w:val="TextoNormal"/>
      </w:pPr>
      <w:r>
        <w:t>Al interrogar al llamado Mourad Mchiouar en el marco de un atestado oficial, declaró que era candidato a la inmigración clandestina, y que había entregado un importe de dinero al organizador de la misma, llamado Rachid, que trabaja de chapista en Oujda y que se había encargado de la compra del barco junto con el llamado Yahya Azzaoui. Dijo también que efectivamente, antes del comienzo de la operación, vino a Saidia con el llamado Yahya Azzaoui y echó un vistazo al barco que estaba amarrado en la marina, añadiendo que estaban acompañados por Abouhafs El Idrissi Ayoub, y que pudo saber que era este último que iba a hacerse cargo de acceder a las costas, ya que tenía relaciones y contactos. El llamado Mourad Mchiouar declaró de otra parte que era él mismo que atrajo a su pariente llamado Rafiq Mchiouar a esta operación.</w:t>
      </w:r>
    </w:p>
    <w:p w14:paraId="23F39824" w14:textId="77777777" w:rsidR="009D7677" w:rsidRDefault="009D7677" w:rsidP="009D7677">
      <w:pPr>
        <w:pStyle w:val="TextoNormal"/>
      </w:pPr>
    </w:p>
    <w:p w14:paraId="0A4BD32B" w14:textId="77777777" w:rsidR="009D7677" w:rsidRDefault="009D7677" w:rsidP="009D7677">
      <w:pPr>
        <w:pStyle w:val="TextoNormal"/>
      </w:pPr>
      <w:r>
        <w:t>Al interrogar al llamado Rafiq Mchiouar en el marco de un atestado oficial, declaró que era candidato a la inmigración clandestina y que era su pariente Mourad Mchiouar que le había informado de la operación, añadiendo que había entregado el importe de 25 000,00 dirhams al llamado Rachid al nivel del Punto Redondo El Hamri al visionar el barco destinado a la inmigración clandestina. Declaró también que su hermano, arrestado también, no era candidato a la inmigración clandestina, sino que le había transportado, junto con su primo, a bordo del coche de su padre al lugar de salida de la operación.</w:t>
      </w:r>
    </w:p>
    <w:p w14:paraId="4371482C" w14:textId="77777777" w:rsidR="009D7677" w:rsidRDefault="009D7677" w:rsidP="009D7677">
      <w:pPr>
        <w:pStyle w:val="TextoNormal"/>
      </w:pPr>
    </w:p>
    <w:p w14:paraId="5479DBFC" w14:textId="77777777" w:rsidR="009D7677" w:rsidRDefault="009D7677" w:rsidP="009D7677">
      <w:pPr>
        <w:pStyle w:val="TextoNormal"/>
      </w:pPr>
      <w:r>
        <w:t>Al interrogar al llamado Hassan Dida en el marco de un atestado oficial, reconoció que era candidato a la misma operación de inmigración clandestina organizada por los llamados Rachid y Yahya Azzaoui en contraparte de atraer a múltiples candidatos a la inmigración clandestina, la mayoría de los cuales siendo vecinos de Casablanca, uno de ellos siendo su sobrino y sus amigos, además de otros amigos de Oujda. El dicente añadió que solían entregar importes de dinero a los organizadores precitados y que al momento de su arresto estaba a punto de echar la mano para embarcar el barco a bordo de la grúa porta-coches.</w:t>
      </w:r>
    </w:p>
    <w:p w14:paraId="2E316EC3" w14:textId="77777777" w:rsidR="009D7677" w:rsidRDefault="009D7677" w:rsidP="009D7677">
      <w:pPr>
        <w:pStyle w:val="TextoNormal"/>
      </w:pPr>
    </w:p>
    <w:p w14:paraId="1D4F4724" w14:textId="77777777" w:rsidR="009D7677" w:rsidRDefault="009D7677" w:rsidP="009D7677">
      <w:pPr>
        <w:pStyle w:val="TextoNormal"/>
      </w:pPr>
      <w:r>
        <w:t>Al interrogar al llamado Oualid Lamrini, declaró que el llamado Yahya Azzaoui le llamó y le informó que tenía un barco de recreo que necesitaba reparación y que tal barco se hallaba al nivel del Duar Chaanin, y que al verificar que el barco estaba en situación regular, lo guardó en la casa de su abuelo en Duar El Hamri, y empezó a repararlo, haciéndolo a fines de semanas. Negó haber sido candidato a esta operación de inmigración clandestina, o haber atraído a cualquier candidato a la misma. Añadió que recibió de la parte de Yahya Azzaoui por el servicio de reparación el importe de 5 000,00 dirhams. Dijo también que al finalizar su tarea llamó al dueño del barco y le demandó venir para recoger su barco. Dijo que, efectivamente, Yahya Azzaoui le mandó la grúa porta coches y asistía al conductor de la grúa porta coches y su compañero Bilal Ben Kaddour para remolcar el barco, pero que le resultó imposible hacerlo, por lo que acudió el dueño del barco, junto con su compañero y una multitud de individuos, pero que después de un rato vino la policía, por lo que se escaparon todos.</w:t>
      </w:r>
    </w:p>
    <w:p w14:paraId="28CE1822" w14:textId="77777777" w:rsidR="009D7677" w:rsidRDefault="009D7677" w:rsidP="009D7677">
      <w:pPr>
        <w:pStyle w:val="TextoNormal"/>
      </w:pPr>
    </w:p>
    <w:p w14:paraId="14950279" w14:textId="77777777" w:rsidR="009D7677" w:rsidRDefault="009D7677" w:rsidP="009D7677">
      <w:pPr>
        <w:pStyle w:val="TextoNormal"/>
      </w:pPr>
      <w:r>
        <w:t xml:space="preserve">Al interrogar al llamado Abdelkader Charrabi en el marco de un atestado oficial, declaró que los organizadores de dicha operación de inmigración clandestina eran los llamados Yahya Azzaoui y Rachid, que son vecinos de Oujda. Dijo que le propusieron ayudarles en </w:t>
      </w:r>
      <w:r>
        <w:lastRenderedPageBreak/>
        <w:t>conducir el barco en contraparte de dinero e inmigrar con ellos gratuitamente. Dijo que le propusieron lo mismo en una granja agrícola en Duar Chaanin, pero que él había rechazado tal propuesta, quedando en contacto con ellos por teléfono. Añadió que le propusieron ayudarles en la presente operación de inmigración clandestina en contraparte de dinero, facilitándoles un lugar para esconder el barco, y proporcionándoles un mecánico para reparar los motores de los barcos e indicarles los caminos para llegar al punto de salida de la operación en la desembocadura de Oued Melouyia. Dijo que aceptó la propuesta y que quedó en contacto con ellos por teléfono y que era intermediario con ellos y Oualid Lamrini para esconder el barco en su casa sita en Duar El Hamri y reparar los motores del mismo. […] Dijo que empezó a reparar los motores y que recibió de la parte de los interesados un importe de 6.000 dirhams. Añadió que indicaba a los interesados los caminos más practicables para la salida de la operación de inmigración clandestina en las mejores condiciones y sin riesgos a partir de la desembocadura del Moulouyia en Duar Karbacha, dependiente de la comuna de Madagh. Añadió que el importe incautado en su posesión, estimado en 13 400,00 dirhams, lo recibió de la parte de los interesados en su camino hacia la ubicación del barco, antes de que la operación fuera frustrada”.</w:t>
      </w:r>
    </w:p>
    <w:p w14:paraId="35E83EA6" w14:textId="77777777" w:rsidR="009D7677" w:rsidRDefault="009D7677" w:rsidP="009D7677">
      <w:pPr>
        <w:pStyle w:val="TextoNormal"/>
      </w:pPr>
    </w:p>
    <w:p w14:paraId="65318C72" w14:textId="77777777" w:rsidR="009D7677" w:rsidRDefault="009D7677" w:rsidP="009D7677">
      <w:pPr>
        <w:pStyle w:val="TextoNormal"/>
      </w:pPr>
      <w:r>
        <w:t>b) El demandante fue detenido el 1 de enero de 2023 en Guadalajara y puesto a disposición del Juzgado Central de Instrucción núm. 2, que incoó el procedimiento de extradición pasiva núm. 3-2023, y acordó por auto de 2 de enero de 2023, tras celebrar comparecencia del art. 505 de la Ley de enjuiciamiento criminal, su libertad provisional.</w:t>
      </w:r>
    </w:p>
    <w:p w14:paraId="630C6A46" w14:textId="77777777" w:rsidR="009D7677" w:rsidRDefault="009D7677" w:rsidP="009D7677">
      <w:pPr>
        <w:pStyle w:val="TextoNormal"/>
      </w:pPr>
    </w:p>
    <w:p w14:paraId="29FA4038" w14:textId="77777777" w:rsidR="009D7677" w:rsidRDefault="009D7677" w:rsidP="009D7677">
      <w:pPr>
        <w:pStyle w:val="TextoNormal"/>
      </w:pPr>
      <w:r>
        <w:t>c) El 6 de febrero se recibió por vía diplomática la nota verbal de la Embajada de Marruecos núm. 299, de 6 de febrero de 2023, en la que se solicitaba del Ministerio de Justicia de España la extradición del ahora recurrente en amparo, para el enjuiciamiento por delito de dirección de organización dedicada a facilitar la salida de marroquíes clandestinamente del territorio nacional, lo que se acompañaba de la orden internacional de detención emitida por el fiscal, de un resumen de los hechos que reproducía los de la orden internacional de detención y una relación de los preceptos legales aplicables.</w:t>
      </w:r>
    </w:p>
    <w:p w14:paraId="0E1AD580" w14:textId="77777777" w:rsidR="009D7677" w:rsidRDefault="009D7677" w:rsidP="009D7677">
      <w:pPr>
        <w:pStyle w:val="TextoNormal"/>
      </w:pPr>
    </w:p>
    <w:p w14:paraId="01BE089F" w14:textId="77777777" w:rsidR="009D7677" w:rsidRDefault="009D7677" w:rsidP="009D7677">
      <w:pPr>
        <w:pStyle w:val="TextoNormal"/>
      </w:pPr>
      <w:r>
        <w:t>d) El Consejo de Ministros en sesión de 14 de marzo de 2023 acordó, de conformidad con el art. 9.3 de la Ley 4/1985, de 21 de marzo, de extradición pasiva (LEP), la continuación del procedimiento en vía judicial.</w:t>
      </w:r>
    </w:p>
    <w:p w14:paraId="0761533E" w14:textId="77777777" w:rsidR="009D7677" w:rsidRDefault="009D7677" w:rsidP="009D7677">
      <w:pPr>
        <w:pStyle w:val="TextoNormal"/>
      </w:pPr>
    </w:p>
    <w:p w14:paraId="65DB258D" w14:textId="77777777" w:rsidR="009D7677" w:rsidRDefault="009D7677" w:rsidP="009D7677">
      <w:pPr>
        <w:pStyle w:val="TextoNormal"/>
      </w:pPr>
      <w:r>
        <w:t>e) El reclamado fue oído en comparecencia del art. 12 LEP, celebrada el día 22 de marzo de 2023 en el Juzgado Central de Instrucción núm. 2, oponiéndose a su extradición.</w:t>
      </w:r>
    </w:p>
    <w:p w14:paraId="65711547" w14:textId="77777777" w:rsidR="009D7677" w:rsidRDefault="009D7677" w:rsidP="009D7677">
      <w:pPr>
        <w:pStyle w:val="TextoNormal"/>
      </w:pPr>
    </w:p>
    <w:p w14:paraId="66AB75D0" w14:textId="77777777" w:rsidR="009D7677" w:rsidRDefault="009D7677" w:rsidP="009D7677">
      <w:pPr>
        <w:pStyle w:val="TextoNormal"/>
      </w:pPr>
      <w:r>
        <w:t>f) Elevados los autos a la Sección Tercera de la Sala de lo Penal de la Audiencia Nacional, esta inició el rollo de extradición núm. 2-2023 y dio vista de los mismos, en los términos del art. 13 LEP, al fiscal y a la defensa del reclamado, para que formularan alegaciones. El fiscal interesó que se denegara la solicitud de extradición. La defensa se opuso también a la misma.</w:t>
      </w:r>
    </w:p>
    <w:p w14:paraId="03B1E2BC" w14:textId="77777777" w:rsidR="009D7677" w:rsidRDefault="009D7677" w:rsidP="009D7677">
      <w:pPr>
        <w:pStyle w:val="TextoNormal"/>
      </w:pPr>
    </w:p>
    <w:p w14:paraId="58478D59" w14:textId="77777777" w:rsidR="009D7677" w:rsidRDefault="009D7677" w:rsidP="009D7677">
      <w:pPr>
        <w:pStyle w:val="TextoNormal"/>
      </w:pPr>
      <w:r>
        <w:t xml:space="preserve">g) Celebrada la vista extradicional el 11 de mayo de 2023, en la que el fiscal reiteró su opinión en sentido desfavorable a la petición de extradición, a la que se adhirió la defensa del demandante de amparo, la Sección Tercera de la Sala de lo Penal de la Audiencia Nacional dictó el auto núm. 212/2023, de 11 de mayo, por el que acordó acceder en fase jurisdiccional a la solicitud de extradición del actor por concurrir los requisitos exigidos en </w:t>
      </w:r>
      <w:r>
        <w:lastRenderedPageBreak/>
        <w:t>el Convenio de extradición entre el Reino de España y el Reino de Marruecos, suscrito en Rabat el 24 de junio de 2009, y en la LEP, en particular los requisitos de doble incriminación y mínimo punitivo exigidos en el art. 2.1 del Convenio bilateral, porque los hechos por los que se solicitaba la extradición eran constitutivos de un delito de dirección de organización dedicada a facilitar la salida de marroquíes clandestinamente del territorio nacional, equivalente en nuestro ordenamiento penal a un delito contra los derechos de los ciudadanos extranjeros previsto en el art. 31</w:t>
      </w:r>
      <w:r w:rsidRPr="009D7677">
        <w:rPr>
          <w:i/>
        </w:rPr>
        <w:t>8 b</w:t>
      </w:r>
      <w:r>
        <w:t>is.1 y 3 a) del Código penal (CP).</w:t>
      </w:r>
    </w:p>
    <w:p w14:paraId="30AC643D" w14:textId="77777777" w:rsidR="009D7677" w:rsidRDefault="009D7677" w:rsidP="009D7677">
      <w:pPr>
        <w:pStyle w:val="TextoNormal"/>
      </w:pPr>
    </w:p>
    <w:p w14:paraId="5F00F0CB" w14:textId="77777777" w:rsidR="009D7677" w:rsidRDefault="009D7677" w:rsidP="009D7677">
      <w:pPr>
        <w:pStyle w:val="TextoNormal"/>
      </w:pPr>
      <w:r>
        <w:t xml:space="preserve">h) Contra esta decisión el actor interpuso recurso de súplica, en el que alegó que la extradición se basaba en una orden internacional de detención expedida por el fiscal sin intervención alguna de autoridad judicial, por lo que no resultaba equiparable a una orden judicial de detención ni a una sentencia condenatoria; invocaba en su apoyo la doctrina sentada en la STC 147/2020, de 19 de octubre, por estimarla aplicable al caso, y la vulneración del derecho a la tutela judicial efectiva y a un proceso con todas las garantías del art. 24 CE en conexión con el derecho a la libertad personal. También adujo infracción del principio acusatorio, por haber solicitado el fiscal la denegación de la extradición, basada en que no se cumplía con el requisito de mínimo punitivo exigido en el art. 2.1 del Convenio bilateral, por considerar que los hechos solo constituían un delito del art. 318 </w:t>
      </w:r>
      <w:r w:rsidRPr="009D7677">
        <w:rPr>
          <w:i/>
        </w:rPr>
        <w:t>bis</w:t>
      </w:r>
      <w:r>
        <w:t>.1 CP cuya pena máxima no supera el año de prisión, e infracción del principio de tipicidad pues el relato fáctico no acoge la existencia de una organización criminal.</w:t>
      </w:r>
    </w:p>
    <w:p w14:paraId="3F33CB18" w14:textId="77777777" w:rsidR="009D7677" w:rsidRDefault="009D7677" w:rsidP="009D7677">
      <w:pPr>
        <w:pStyle w:val="TextoNormal"/>
      </w:pPr>
    </w:p>
    <w:p w14:paraId="341DBAC6" w14:textId="77777777" w:rsidR="009D7677" w:rsidRDefault="009D7677" w:rsidP="009D7677">
      <w:pPr>
        <w:pStyle w:val="TextoNormal"/>
      </w:pPr>
      <w:r>
        <w:t>El Pleno de la Sala de lo Penal de la Audiencia Nacional dictó el auto núm. 39/2023, de 6 de junio, por el que desestimó el recurso de súplica.</w:t>
      </w:r>
    </w:p>
    <w:p w14:paraId="6DF5275F" w14:textId="77777777" w:rsidR="009D7677" w:rsidRDefault="009D7677" w:rsidP="009D7677">
      <w:pPr>
        <w:pStyle w:val="TextoNormal"/>
      </w:pPr>
    </w:p>
    <w:p w14:paraId="2F7FC029" w14:textId="77777777" w:rsidR="009D7677" w:rsidRDefault="009D7677" w:rsidP="009D7677">
      <w:pPr>
        <w:pStyle w:val="TextoNormal"/>
      </w:pPr>
      <w:r>
        <w:t>La Sala expone las razones por las que considera que no es aplicable a este caso la STC 147/2020, de 19 de octubre, invocada en el recurso de súplica, ni la STC 147/2021, de 12 de julio. Afirma que la orden de detención emitida por el fiscal satisface los requisitos formales del art. 12.1 a) del tratado bilateral de extradición, y según la información complementaria a la que se refiere el auto de 4 de junio de 2021, en el ordenamiento jurídico de aquel país el fiscal es uno de los componentes del poder judicial, tiene competencia para expedir órdenes internacionales de arresto, y estas órdenes una vez emitidas no necesitan de ninguna legalización judicial, pues se consideran órdenes judiciales.</w:t>
      </w:r>
    </w:p>
    <w:p w14:paraId="1F104120" w14:textId="77777777" w:rsidR="009D7677" w:rsidRDefault="009D7677" w:rsidP="009D7677">
      <w:pPr>
        <w:pStyle w:val="TextoNormal"/>
      </w:pPr>
    </w:p>
    <w:p w14:paraId="35F0686A" w14:textId="77777777" w:rsidR="009D7677" w:rsidRDefault="009D7677" w:rsidP="009D7677">
      <w:pPr>
        <w:pStyle w:val="TextoNormal"/>
      </w:pPr>
      <w:r>
        <w:t>Añade que existe disparidad de hecho y de derecho entre los supuestos de Colombia (STC 147/2020) y Angola (STC 147/2021) y el caso de Marruecos. En el caso de Colombia se había producido la anulación de la orden judicial de detención que había emitido un juzgado, y el Tribunal Constitucional no consideró que un escrito de calificación del fiscal, leído ante un órgano jurisdiccional, surtiera un efecto semejante a aquella inicial orden de detención. En el caso de Angola, al no existir tratado de extradición, era aplicable el art. 7 de la Ley de extradición pasiva, existía un documento que conforme a la normativa del país requirente era bastante para solicitar la extradición, si bien el Tribunal Constitucional, restringe nuevamente la autoridad emisora y elimina a cualquier otra que no sea el juez, bajo la sospecha de su falta de independencia, dado que el procurador general de la República de Angola recibe instrucciones directas del presidente de la República en el ejercicio de la acción penal. La Sala concluye que en el caso de Marruecos, conforme a su legislación interna, la fiscalía marroquí forma parte del poder judicial, puede solicitar la extradición y no está previsto que pueda ser revisada por un juez. La orden emitida por el fiscal cumple las exigencias del art. 12 del tratado bilateral.</w:t>
      </w:r>
    </w:p>
    <w:p w14:paraId="2660E2FD" w14:textId="77777777" w:rsidR="009D7677" w:rsidRDefault="009D7677" w:rsidP="009D7677">
      <w:pPr>
        <w:pStyle w:val="TextoNormal"/>
      </w:pPr>
    </w:p>
    <w:p w14:paraId="0A337A32" w14:textId="77777777" w:rsidR="009D7677" w:rsidRDefault="009D7677" w:rsidP="009D7677">
      <w:pPr>
        <w:pStyle w:val="TextoNormal"/>
      </w:pPr>
      <w:r>
        <w:t>Como conclusión, el Pleno entiende que el fiscal del Reino de Marruecos es autoridad competente en el Derecho interno para emitir la orden internacional de detención y para solicitar formalmente la extradición, dándose a la misma eficacia de cara a constituir título válido, conforme al tratado, para otorgar la extradición, y ello sin necesidad de que la misma venga a ser ratificada por el juez nacional.</w:t>
      </w:r>
    </w:p>
    <w:p w14:paraId="7C26A643" w14:textId="77777777" w:rsidR="009D7677" w:rsidRDefault="009D7677" w:rsidP="009D7677">
      <w:pPr>
        <w:pStyle w:val="TextoNormal"/>
      </w:pPr>
    </w:p>
    <w:p w14:paraId="545BA843" w14:textId="77777777" w:rsidR="009D7677" w:rsidRDefault="009D7677" w:rsidP="009D7677">
      <w:pPr>
        <w:pStyle w:val="TextoNormal"/>
      </w:pPr>
      <w:r>
        <w:t>En cuanto a la queja referida al principio acusatorio, la Sala considera que dicho principio no rige en el proceso de extradición, ya que la solicitud de extradición la efectúa el país reclamante y no propiamente el Ministerio Fiscal.</w:t>
      </w:r>
    </w:p>
    <w:p w14:paraId="198E779D" w14:textId="77777777" w:rsidR="009D7677" w:rsidRDefault="009D7677" w:rsidP="009D7677">
      <w:pPr>
        <w:pStyle w:val="TextoNormal"/>
      </w:pPr>
    </w:p>
    <w:p w14:paraId="0E867D3A" w14:textId="77777777" w:rsidR="009D7677" w:rsidRDefault="009D7677" w:rsidP="009D7677">
      <w:pPr>
        <w:pStyle w:val="TextoNormal"/>
      </w:pPr>
      <w:r>
        <w:t>La Sala, finalmente, también argumenta que, partiendo de los hechos extradicionales y de la jurisprudencia del Tribunal Supremo, se puede aplicar el tipo agravado de organización criminal, puesto que existía un entramado dirigido por al menos dos personas, en cuyo seno había otras que se encargaban de realizar una serie de funciones y actividades relevantes para que la operación de inmigración ilegal llegara a término con éxito.</w:t>
      </w:r>
    </w:p>
    <w:p w14:paraId="154C9244" w14:textId="77777777" w:rsidR="009D7677" w:rsidRDefault="009D7677" w:rsidP="009D7677">
      <w:pPr>
        <w:pStyle w:val="TextoNormal"/>
      </w:pPr>
    </w:p>
    <w:p w14:paraId="3798196C" w14:textId="070B4D8D" w:rsidR="009D7677" w:rsidRDefault="009D7677" w:rsidP="009D7677">
      <w:pPr>
        <w:pStyle w:val="TextoNormal"/>
      </w:pPr>
      <w:r>
        <w:t>El auto va acompañado de un voto particular que considera que la mayoría no ha aplicado correctamente la doctrina sentada en la STC 147/2020, en la que es esencial que se cumpla la garantía jurisdiccional de la libertad en el propio país solicitante de la extradición, mediante la homologación por un órgano judicial de la orden de detención. Y cuenta con otro voto particular que considera que los hechos extradicionales no son punibles en España.</w:t>
      </w:r>
    </w:p>
    <w:p w14:paraId="4E6000AC" w14:textId="77777777" w:rsidR="009D7677" w:rsidRDefault="009D7677" w:rsidP="009D7677">
      <w:pPr>
        <w:pStyle w:val="TextoNormal"/>
      </w:pPr>
    </w:p>
    <w:p w14:paraId="1FE4E36F" w14:textId="2DE784BA" w:rsidR="009D7677" w:rsidRDefault="009D7677" w:rsidP="009D7677">
      <w:pPr>
        <w:pStyle w:val="TextoNormal"/>
      </w:pPr>
      <w:r w:rsidRPr="009D7677">
        <w:rPr>
          <w:rStyle w:val="NumeroAFNegritaCaracter"/>
        </w:rPr>
        <w:t>3</w:t>
      </w:r>
      <w:r>
        <w:t>. El recurrente en amparo denuncia que se ha vulnerado su derecho a la tutela judicial efectiva sin indefensión (art. 24.1 CE) su derecho a un proceso con todas las garantías (art. 24.2 CE) y su derecho a la libertad personal (art. 17.3 CE) porque la orden de búsqueda y captura de 15 de septiembre de 2022 emitida por el fiscal sustituto del rey de Marruecos careció de control judicial en origen. No se ha producido la necesaria concurrencia de una autoridad judicial, exigida en las SSTC 147/2020 y 147/2021, para garantizar la proporcionalidad de la solicitud de extradición. En segundo lugar, el recurrente considera vulnerado el derecho a la tutela judicial efectiva sin indefensión (art. 24.1 CE) en relación con el principio acusatorio, el principio de legalidad extradicional y el derecho de defensa, por no cumplirse el mínimo punitivo exigido en el Convenio bilateral, como también mantuvo el Ministerio Fiscal, y por haberse apreciado por la Sala, en contra de la posición del Ministerio Fiscal y de la defensa del recurrente, la existencia de una organización criminal. Todo ello, según el recurrente, le impidió formular defensa sobre el relato fáctico de los hechos y solicitar prueba.</w:t>
      </w:r>
    </w:p>
    <w:p w14:paraId="72E3FD00" w14:textId="77777777" w:rsidR="009D7677" w:rsidRDefault="009D7677" w:rsidP="009D7677">
      <w:pPr>
        <w:pStyle w:val="TextoNormal"/>
      </w:pPr>
    </w:p>
    <w:p w14:paraId="325B6730" w14:textId="77777777" w:rsidR="009D7677" w:rsidRDefault="009D7677" w:rsidP="009D7677">
      <w:pPr>
        <w:pStyle w:val="TextoNormal"/>
      </w:pPr>
      <w:r w:rsidRPr="009D7677">
        <w:rPr>
          <w:rStyle w:val="NumeroAFNegritaCaracter"/>
        </w:rPr>
        <w:t>4</w:t>
      </w:r>
      <w:r>
        <w:t>. La Sección Tercera del Tribunal Constitucional, por providencia de 13 de julio de 2023, acordó admitir a trámite el recurso de amparo apreciando que concurre en el mismo una especial trascendencia constitucional [art. 50.1 de la Ley Orgánica del Tribunal Constitucional (LOTC)] porque el recurso puede dar ocasión al Tribunal para aclarar o cambiar su doctrina, como consecuencia de un proceso de reflexión interna [STC 155/2009, de 25 de junio, FJ 2 b)].</w:t>
      </w:r>
    </w:p>
    <w:p w14:paraId="48C4D3FB" w14:textId="77777777" w:rsidR="009D7677" w:rsidRDefault="009D7677" w:rsidP="009D7677">
      <w:pPr>
        <w:pStyle w:val="TextoNormal"/>
      </w:pPr>
    </w:p>
    <w:p w14:paraId="4281B35B" w14:textId="77777777" w:rsidR="009D7677" w:rsidRDefault="009D7677" w:rsidP="009D7677">
      <w:pPr>
        <w:pStyle w:val="TextoNormal"/>
      </w:pPr>
      <w:r>
        <w:t xml:space="preserve">En la providencia se acordó, en aplicación de lo dispuesto en el art. 51 LOTC, dirigir atenta comunicación al Pleno de la Sala de lo Penal de la Audiencia Nacional, a fin de </w:t>
      </w:r>
      <w:r>
        <w:lastRenderedPageBreak/>
        <w:t>que, en plazo que no exceda de diez días, remitiera certificación o fotocopia adverada de las actuaciones correspondientes al recurso de súplica núm. 35-2023. E igualmente a la Sala de lo Penal, Sección Tercera, de la Audiencia Nacional para que, en el mismo plazo, remitiera certificación o fotocopia adverada de las actuaciones correspondientes al rollo de extradición núm. 2-2023, dimanante del procedimiento de extradición pasiva núm. 3-2023 del Juzgado Central de Instrucción núm. 2, debiendo previamente emplazarse, para que en el plazo de diez días pudieran comparecer, si lo deseasen, en el recurso de amparo a quienes hubieran sido parte en el procedimiento, excepto la parte recurrente en amparo.</w:t>
      </w:r>
    </w:p>
    <w:p w14:paraId="654A6D2F" w14:textId="77777777" w:rsidR="009D7677" w:rsidRDefault="009D7677" w:rsidP="009D7677">
      <w:pPr>
        <w:pStyle w:val="TextoNormal"/>
      </w:pPr>
    </w:p>
    <w:p w14:paraId="269561D8" w14:textId="485D9213" w:rsidR="009D7677" w:rsidRDefault="009D7677" w:rsidP="009D7677">
      <w:pPr>
        <w:pStyle w:val="TextoNormal"/>
      </w:pPr>
      <w:r>
        <w:t>Habiéndose solicitado por el procurador recurrente la suspensión de las resoluciones impugnadas, en la citada providencia se acordó, por apreciarse la urgencia excepcional a que se refiere el art. 56.6 LOTC, toda vez que dicha ejecución produciría un perjuicio de imposible o muy difícil reparación que haría perder su finalidad al recurso de amparo, la suspensión cautelar de los autos núm. 212/2023, de 11 de mayo, y 39/2023, de 6 de junio, dictados por la Sección Tercera de la Sala de lo Penal y por el Pleno de la Sala de lo Penal, respectivamente, de la Audiencia Nacional.</w:t>
      </w:r>
    </w:p>
    <w:p w14:paraId="18EF322C" w14:textId="77777777" w:rsidR="009D7677" w:rsidRDefault="009D7677" w:rsidP="009D7677">
      <w:pPr>
        <w:pStyle w:val="TextoNormal"/>
      </w:pPr>
    </w:p>
    <w:p w14:paraId="494B5268" w14:textId="050A5EA2" w:rsidR="009D7677" w:rsidRDefault="009D7677" w:rsidP="009D7677">
      <w:pPr>
        <w:pStyle w:val="TextoNormal"/>
      </w:pPr>
      <w:r w:rsidRPr="009D7677">
        <w:rPr>
          <w:rStyle w:val="NumeroAFNegritaCaracter"/>
        </w:rPr>
        <w:t>5</w:t>
      </w:r>
      <w:r>
        <w:t>. Recibidas las actuaciones de la Sección Tercera de la Sala de lo Penal, así como del Pleno de la Sala de lo Penal de la Audiencia Nacional, el 26 de julio de 2023 la Secretaría de Justicia de la Sala Segunda de este tribunal dictó diligencia de ordenación en la que acordaba dar vista de las mismas por un plazo común de veinte días a la parte recurrente y al Ministerio Fiscal, para que presentasen las alegaciones que estimasen pertinentes, conforme determina el art. 52.1 LOTC.</w:t>
      </w:r>
    </w:p>
    <w:p w14:paraId="328FEF4D" w14:textId="77777777" w:rsidR="009D7677" w:rsidRDefault="009D7677" w:rsidP="009D7677">
      <w:pPr>
        <w:pStyle w:val="TextoNormal"/>
      </w:pPr>
    </w:p>
    <w:p w14:paraId="5C15DC6E" w14:textId="77777777" w:rsidR="009D7677" w:rsidRDefault="009D7677" w:rsidP="009D7677">
      <w:pPr>
        <w:pStyle w:val="TextoNormal"/>
      </w:pPr>
      <w:r w:rsidRPr="009D7677">
        <w:rPr>
          <w:rStyle w:val="NumeroAFNegritaCaracter"/>
        </w:rPr>
        <w:t>6</w:t>
      </w:r>
      <w:r>
        <w:t>. Por escrito presentado el 20 de octubre de 2023, el fiscal ante el Tribunal Constitucional presentó alegaciones en las que solicitó la estimación del recurso de amparo, que se declarase que las resoluciones judiciales impugnadas en el mismo vulneraron el derecho fundamental del recurrente a la tutela judicial efectiva del art. 24.1 CE, en conexión con el derecho a la libertad del art. 17 CE con infracción de la doctrina del Tribunal Constitucional, y que en consecuencia se declarase su nulidad. Subsidiariamente, solicitaba una aclaración o precisión de la doctrina constitucional.</w:t>
      </w:r>
    </w:p>
    <w:p w14:paraId="67BBBC77" w14:textId="77777777" w:rsidR="009D7677" w:rsidRDefault="009D7677" w:rsidP="009D7677">
      <w:pPr>
        <w:pStyle w:val="TextoNormal"/>
      </w:pPr>
    </w:p>
    <w:p w14:paraId="303457A3" w14:textId="77777777" w:rsidR="009D7677" w:rsidRDefault="009D7677" w:rsidP="009D7677">
      <w:pPr>
        <w:pStyle w:val="TextoNormal"/>
      </w:pPr>
      <w:r>
        <w:t>Tras exponer las vicisitudes del procedimiento antecedente, el fiscal encuadra la primera cuestión suscitada en el recurso de amparo en la falta de habilitación legal de la solicitud de extradición formulada por el Reino de Marruecos, en tanto se funda en una orden internacional de detención dictada por el fiscal del rey ante el Juzgado de Primera Instancia de Tánger, sin que exista una resolución judicial que la corrobore, apartándose las resoluciones judiciales impugnadas de la doctrina establecida por el Tribunal Constitucional en las SSTC 147/2020, de 19 de octubre, y 147/2021, de 12 de julio, doctrina que sintetiza y de la que destaca, mediante extensa cita literal de los fundamentos jurídicos 7 y 8 de la primera de ellas, el valor hermenéutico e integrador que el Tribunal Constitucional atribuye (art. 10.2 CE) a los pronunciamientos del Tribunal de Justicia de la Unión Europea relativos a la orden europea de detención y entrega (Decisión Marco 2002/584/JAI) para incorporar a la tutela judicial efectiva del derecho a la libertad y a la libertad de circulación, en los procedimientos de extradición pasiva, la exigencia de que en el país reclamante exista un control judicial de la ponderación de la necesidad de la medida.</w:t>
      </w:r>
    </w:p>
    <w:p w14:paraId="61C57AD0" w14:textId="77777777" w:rsidR="009D7677" w:rsidRDefault="009D7677" w:rsidP="009D7677">
      <w:pPr>
        <w:pStyle w:val="TextoNormal"/>
      </w:pPr>
    </w:p>
    <w:p w14:paraId="706A04D0" w14:textId="77777777" w:rsidR="009D7677" w:rsidRDefault="009D7677" w:rsidP="009D7677">
      <w:pPr>
        <w:pStyle w:val="TextoNormal"/>
      </w:pPr>
      <w:r>
        <w:lastRenderedPageBreak/>
        <w:t>El fiscal considera que las condiciones en las que se expide la solicitud de extradición por el fiscal del rey de Marruecos no reúnen las características establecidas por la doctrina constitucional citada, en cuanto se establece la posibilidad de que la autoridad emisora —el fiscal del rey— esté sujeto a instrucciones de la autoridad jerárquica superior, no se prevé la inexcusable concurrencia de una autoridad judicial que controle la necesidad y proporcionalidad de la medida y no se contempla la posibilidad de un recurso judicial antes de la entrega de la persona buscada por el Estado que debe efectuar la ejecución.</w:t>
      </w:r>
    </w:p>
    <w:p w14:paraId="0A3F512E" w14:textId="77777777" w:rsidR="009D7677" w:rsidRDefault="009D7677" w:rsidP="009D7677">
      <w:pPr>
        <w:pStyle w:val="TextoNormal"/>
      </w:pPr>
    </w:p>
    <w:p w14:paraId="469093F9" w14:textId="77777777" w:rsidR="009D7677" w:rsidRDefault="009D7677" w:rsidP="009D7677">
      <w:pPr>
        <w:pStyle w:val="TextoNormal"/>
      </w:pPr>
      <w:r>
        <w:t>El fiscal no concluye aquí sus alegaciones, sino que con carácter subsidiario plantea la posibilidad de que el presente recurso de amparo sirva de oportunidad para que este tribunal aclare o cambie su doctrina, a cuyo efecto apunta que el recurso de amparo núm. 7490-2021, que plantea la misma cuestión, ha sido admitido a trámite mediante providencia de 1 de diciembre de 2021 de la Sección Primera de la Sala Primera de este tribunal, en virtud del supuesto de especial trascendencia constitucional enunciado en la letra b) del fundamento jurídico 2 de la STC 155/2009.</w:t>
      </w:r>
    </w:p>
    <w:p w14:paraId="3D5BDC04" w14:textId="77777777" w:rsidR="009D7677" w:rsidRDefault="009D7677" w:rsidP="009D7677">
      <w:pPr>
        <w:pStyle w:val="TextoNormal"/>
      </w:pPr>
    </w:p>
    <w:p w14:paraId="00E020F2" w14:textId="77777777" w:rsidR="009D7677" w:rsidRDefault="009D7677" w:rsidP="009D7677">
      <w:pPr>
        <w:pStyle w:val="TextoNormal"/>
      </w:pPr>
      <w:r>
        <w:t>En definitiva, se trataría de aclarar o matizar, en su caso, la doctrina constitucional sobre extensión de las garantías del procedimiento de extradición pasiva, en particular la garantía jurisdiccional o de tutela judicial efectiva en el procedimiento de extradición en el momento de su emisión, con aplicación de la doctrina del Tribunal de Justicia de la Unión Europea dictada a propósito de la orden europea de detención y entrega, lo que equipara los procesos de extradición, tanto si son de los países de la Unión Europea como si provienen de países terceros, estableciendo un estándar de garantías más elevado a todos los supuestos de extradición, cualquiera que sea el convenio multilateral o bilateral suscrito entre España y terceros países reguladores de la extradición, perfilando la interpretación de la compatibilidad que se puede suscitar en la aplicación de los convenios suscritos con España y la aplicación del diferente estándar de garantías del Tribunal de Justicia de la Unión Europea.</w:t>
      </w:r>
    </w:p>
    <w:p w14:paraId="49F7742E" w14:textId="77777777" w:rsidR="009D7677" w:rsidRDefault="009D7677" w:rsidP="009D7677">
      <w:pPr>
        <w:pStyle w:val="TextoNormal"/>
      </w:pPr>
    </w:p>
    <w:p w14:paraId="64A882B2" w14:textId="77777777" w:rsidR="009D7677" w:rsidRDefault="009D7677" w:rsidP="009D7677">
      <w:pPr>
        <w:pStyle w:val="TextoNormal"/>
      </w:pPr>
      <w:r>
        <w:t>Finalmente, el fiscal analiza la segunda cuestión suscitada por el recurso de amparo, la vulneración del principio acusatorio y del derecho de defensa, dada la discrepancia entre el Ministerio Fiscal y la Sala en cuanto a la calificación de los hechos para superar el mínimo punitivo (art. 2.1 del Convenio de extradición con Marruecos), circunstancia que le impidió formular defensa sobre el relato fáctico de los hechos y solicitar prueba.</w:t>
      </w:r>
    </w:p>
    <w:p w14:paraId="4A22A76C" w14:textId="77777777" w:rsidR="009D7677" w:rsidRDefault="009D7677" w:rsidP="009D7677">
      <w:pPr>
        <w:pStyle w:val="TextoNormal"/>
      </w:pPr>
    </w:p>
    <w:p w14:paraId="589A21F5" w14:textId="7F6C72C5" w:rsidR="009D7677" w:rsidRDefault="009D7677" w:rsidP="009D7677">
      <w:pPr>
        <w:pStyle w:val="TextoNormal"/>
      </w:pPr>
      <w:r>
        <w:t>En este caso, el fiscal considera que procede desestimar la queja por cuanto el principio acusatorio —propio del proceso penal— no es aplicable al procedimiento de extradición, no solo porque tiene naturaleza de procedimiento mixto administrativo-judicial (STC 156/2002, de 23 de julio) y de acto de auxilio judicial internacional (ATC 412/2004, de 2 de noviembre), sino también porque tampoco se aprecia que se haya producido indefensión, puesto que el recurrente ha tenido en todo momento a su disposición los elementos necesarios y la oportunidad suficiente —conclusiones iniciales, vista, recurso de súplica— para formular las alegaciones que ha tenido por conveniente.</w:t>
      </w:r>
    </w:p>
    <w:p w14:paraId="73BB6989" w14:textId="77777777" w:rsidR="009D7677" w:rsidRDefault="009D7677" w:rsidP="009D7677">
      <w:pPr>
        <w:pStyle w:val="TextoNormal"/>
      </w:pPr>
    </w:p>
    <w:p w14:paraId="7F5CFD7F" w14:textId="2D75F7C9" w:rsidR="009D7677" w:rsidRDefault="009D7677" w:rsidP="009D7677">
      <w:pPr>
        <w:pStyle w:val="TextoNormal"/>
      </w:pPr>
      <w:r w:rsidRPr="009D7677">
        <w:rPr>
          <w:rStyle w:val="NumeroAFNegritaCaracter"/>
        </w:rPr>
        <w:t>7</w:t>
      </w:r>
      <w:r>
        <w:t>. La parte recurrente no formuló alegaciones.</w:t>
      </w:r>
    </w:p>
    <w:p w14:paraId="692FB7A6" w14:textId="77777777" w:rsidR="009D7677" w:rsidRDefault="009D7677" w:rsidP="009D7677">
      <w:pPr>
        <w:pStyle w:val="TextoNormal"/>
      </w:pPr>
    </w:p>
    <w:p w14:paraId="6D6D01A9" w14:textId="09E597E0" w:rsidR="009D7677" w:rsidRDefault="009D7677" w:rsidP="009D7677">
      <w:pPr>
        <w:pStyle w:val="TextoNormal"/>
      </w:pPr>
      <w:r w:rsidRPr="009D7677">
        <w:rPr>
          <w:rStyle w:val="NumeroAFNegritaCaracter"/>
        </w:rPr>
        <w:lastRenderedPageBreak/>
        <w:t>8</w:t>
      </w:r>
      <w:r>
        <w:t>. Por diligencia de ordenación de la Secretaría de Justicia de la Sala Segunda de este tribunal de 6 de noviembre de 2023 se hace constar que queda el presente recurso de amparo pendiente para deliberación cuando por turno corresponda.</w:t>
      </w:r>
    </w:p>
    <w:p w14:paraId="46F289F4" w14:textId="77777777" w:rsidR="009D7677" w:rsidRDefault="009D7677" w:rsidP="009D7677">
      <w:pPr>
        <w:pStyle w:val="TextoNormal"/>
      </w:pPr>
    </w:p>
    <w:p w14:paraId="4E7DBB0B" w14:textId="487D66E4" w:rsidR="009D7677" w:rsidRDefault="009D7677" w:rsidP="009D7677">
      <w:pPr>
        <w:pStyle w:val="TextoNormal"/>
      </w:pPr>
      <w:r w:rsidRPr="009D7677">
        <w:rPr>
          <w:rStyle w:val="NumeroAFNegritaCaracter"/>
        </w:rPr>
        <w:t>9</w:t>
      </w:r>
      <w:r>
        <w:t>. Mediante providencia de 7 de marzo de 2024 se señaló para deliberación y votación de la presente sentencia el siguiente día 11 del mismo mes y año.</w:t>
      </w:r>
    </w:p>
    <w:p w14:paraId="11A6B87D" w14:textId="77777777" w:rsidR="009D7677" w:rsidRDefault="009D7677" w:rsidP="009D7677">
      <w:pPr>
        <w:pStyle w:val="TextoNormal"/>
      </w:pPr>
    </w:p>
    <w:p w14:paraId="50B72AC5" w14:textId="77777777" w:rsidR="009D7677" w:rsidRDefault="009D7677" w:rsidP="009D7677">
      <w:pPr>
        <w:pStyle w:val="TextoNormalNegritaCentrado"/>
        <w:keepNext/>
      </w:pPr>
      <w:r>
        <w:t>II. Fundamentos jurídicos</w:t>
      </w:r>
    </w:p>
    <w:p w14:paraId="5D7AB84B" w14:textId="47FD050A" w:rsidR="009D7677" w:rsidRDefault="009D7677" w:rsidP="009D7677">
      <w:pPr>
        <w:pStyle w:val="TextoNormalNegritaCentrado"/>
        <w:keepNext/>
      </w:pPr>
    </w:p>
    <w:p w14:paraId="49687EAE" w14:textId="77777777" w:rsidR="009D7677" w:rsidRDefault="009D7677" w:rsidP="009D7677">
      <w:pPr>
        <w:pStyle w:val="TextoNormal"/>
      </w:pPr>
      <w:r w:rsidRPr="009D7677">
        <w:rPr>
          <w:rStyle w:val="NumeroAFNegritaCaracter"/>
        </w:rPr>
        <w:t>1</w:t>
      </w:r>
      <w:r>
        <w:t xml:space="preserve">. </w:t>
      </w:r>
      <w:r w:rsidRPr="009D7677">
        <w:rPr>
          <w:i/>
        </w:rPr>
        <w:t>Objeto del proceso y posición de las partes</w:t>
      </w:r>
    </w:p>
    <w:p w14:paraId="099729B8" w14:textId="77777777" w:rsidR="009D7677" w:rsidRDefault="009D7677" w:rsidP="009D7677">
      <w:pPr>
        <w:pStyle w:val="TextoNormal"/>
      </w:pPr>
    </w:p>
    <w:p w14:paraId="3716A9D3" w14:textId="77777777" w:rsidR="009D7677" w:rsidRDefault="009D7677" w:rsidP="009D7677">
      <w:pPr>
        <w:pStyle w:val="TextoNormal"/>
      </w:pPr>
      <w:r>
        <w:t>La demanda de amparo interesa la nulidad del auto núm. 212/2023, de 11 de mayo, dictado por la Sección Tercera de la Sala de lo Penal de la Audiencia Nacional, que acordó haber lugar a la extradición del demandante a Marruecos al objeto de ser enjuiciado por hechos constitutivos de un delito de dirección de una organización dedicada a facilitar la salida de marroquíes clandestinamente del territorio nacional. También se interesa la nulidad del auto núm. 39/2023, de 6 de junio, dictado por el Pleno de la Sala de lo Penal de la Audiencia Nacional, que confirmó en súplica el anterior.</w:t>
      </w:r>
    </w:p>
    <w:p w14:paraId="259BB3F0" w14:textId="77777777" w:rsidR="009D7677" w:rsidRDefault="009D7677" w:rsidP="009D7677">
      <w:pPr>
        <w:pStyle w:val="TextoNormal"/>
      </w:pPr>
    </w:p>
    <w:p w14:paraId="1B1EC657" w14:textId="77777777" w:rsidR="009D7677" w:rsidRDefault="009D7677" w:rsidP="009D7677">
      <w:pPr>
        <w:pStyle w:val="TextoNormal"/>
      </w:pPr>
      <w:r>
        <w:t>El recurrente aduce que las resoluciones judiciales impugnadas han vulnerado sus derechos a la tutela judicial efectiva (art. 24.1 CE), a un proceso con todas las garantías (art. 24.2 CE) y a la libertad personal (art. 17.3 CE), porque la orden de arresto de 15 de septiembre de 2022 emitida por el fiscal sustituto del rey de Marruecos careció del control judicial en origen exigido en las SSTC 147/2020 y 147/2021 para garantizar su necesidad y proporcionalidad. Invoca también la vulneración de su derecho a la tutela judicial efectiva (art. 24.1 CE) en relación con el principio acusatorio, el principio de legalidad extradicional y el derecho de defensa (art. 24.2 CE), por no cumplirse el mínimo punitivo exigido en el Convenio bilateral de extradición, y por haberse apreciado por la Sala de lo Penal, en contra de la posición del Ministerio Fiscal y de la defensa del recurrente, la existencia de una organización criminal, lo que le impidió formular defensa sobre el relato fáctico de los hechos y solicitar prueba.</w:t>
      </w:r>
    </w:p>
    <w:p w14:paraId="05CBB3E7" w14:textId="77777777" w:rsidR="009D7677" w:rsidRDefault="009D7677" w:rsidP="009D7677">
      <w:pPr>
        <w:pStyle w:val="TextoNormal"/>
      </w:pPr>
    </w:p>
    <w:p w14:paraId="361807F6" w14:textId="00CA50F3" w:rsidR="009D7677" w:rsidRDefault="009D7677" w:rsidP="009D7677">
      <w:pPr>
        <w:pStyle w:val="TextoNormal"/>
      </w:pPr>
      <w:r>
        <w:t>El fiscal ante el Tribunal Constitucional apoya el motivo e interesa la nulidad de las resoluciones judiciales impugnadas, aunque de manera subsidiaria propone que se module la doctrina constitucional sentada en la STC 147/2020 a la luz de las circunstancias del caso.</w:t>
      </w:r>
    </w:p>
    <w:p w14:paraId="737A084D" w14:textId="77777777" w:rsidR="009D7677" w:rsidRDefault="009D7677" w:rsidP="009D7677">
      <w:pPr>
        <w:pStyle w:val="TextoNormal"/>
      </w:pPr>
    </w:p>
    <w:p w14:paraId="7189FB51" w14:textId="77777777" w:rsidR="009D7677" w:rsidRDefault="009D7677" w:rsidP="009D7677">
      <w:pPr>
        <w:pStyle w:val="TextoNormal"/>
      </w:pPr>
      <w:r w:rsidRPr="009D7677">
        <w:rPr>
          <w:rStyle w:val="NumeroAFNegritaCaracter"/>
        </w:rPr>
        <w:t>2</w:t>
      </w:r>
      <w:r>
        <w:t xml:space="preserve">. </w:t>
      </w:r>
      <w:r w:rsidRPr="009D7677">
        <w:rPr>
          <w:i/>
        </w:rPr>
        <w:t>Consideraciones previas. Orden de examen de las quejas</w:t>
      </w:r>
    </w:p>
    <w:p w14:paraId="74633B95" w14:textId="77777777" w:rsidR="009D7677" w:rsidRDefault="009D7677" w:rsidP="009D7677">
      <w:pPr>
        <w:pStyle w:val="TextoNormal"/>
      </w:pPr>
    </w:p>
    <w:p w14:paraId="3F1F0192" w14:textId="77777777" w:rsidR="009D7677" w:rsidRDefault="009D7677" w:rsidP="009D7677">
      <w:pPr>
        <w:pStyle w:val="TextoNormal"/>
      </w:pPr>
      <w:r>
        <w:t>En las SSTC 115/2002, de 20 de mayo, FJ 3; 65/2003, de 7 de abril, FJ 2, y 198/2003, de 10 de noviembre, FJ 3, o, más recientemente, en las SSTC 37/2018, de 23 de abril, FJ 2, y 78/2019, de 3 de junio, FJ 2, declaramos que corresponde a este tribunal, en función de las circunstancias concurrentes en cada supuesto concreto sometido a su consideración, determinar no solo el orden del examen de las quejas, sino también si resulta necesario o conveniente pronunciarse en la sentencia sobre todas las lesiones de derechos constitucionales denunciadas, en el caso de que ya se haya apreciado la concurrencia de alguna de ellas.</w:t>
      </w:r>
    </w:p>
    <w:p w14:paraId="52710DE8" w14:textId="77777777" w:rsidR="009D7677" w:rsidRDefault="009D7677" w:rsidP="009D7677">
      <w:pPr>
        <w:pStyle w:val="TextoNormal"/>
      </w:pPr>
    </w:p>
    <w:p w14:paraId="4DEDAB3D" w14:textId="0941B699" w:rsidR="009D7677" w:rsidRDefault="009D7677" w:rsidP="009D7677">
      <w:pPr>
        <w:pStyle w:val="TextoNormal"/>
      </w:pPr>
      <w:r>
        <w:t>En el caso sometido a examen, la queja nuclear de la demanda de amparo es la relativa a la falta de control judicial de la solicitud extradicional en el país requirente. Esta queja es la que dota al presente recurso de especial trascendencia constitucional, al proporcionar a este tribunal la oportunidad de aclarar, matizar o cambiar la doctrina establecida en las SSTC 147/2020 y 147/2021. Por consiguiente, la lógica impone comenzar nuestro estudio por esta queja, dada su mayor incidencia sobre la cuestión planteada.</w:t>
      </w:r>
    </w:p>
    <w:p w14:paraId="53EAA7F7" w14:textId="77777777" w:rsidR="009D7677" w:rsidRDefault="009D7677" w:rsidP="009D7677">
      <w:pPr>
        <w:pStyle w:val="TextoNormal"/>
      </w:pPr>
    </w:p>
    <w:p w14:paraId="5DAE2AD6" w14:textId="77777777" w:rsidR="009D7677" w:rsidRDefault="009D7677" w:rsidP="009D7677">
      <w:pPr>
        <w:pStyle w:val="TextoNormal"/>
      </w:pPr>
      <w:r w:rsidRPr="009D7677">
        <w:rPr>
          <w:rStyle w:val="NumeroAFNegritaCaracter"/>
        </w:rPr>
        <w:t>3</w:t>
      </w:r>
      <w:r>
        <w:t xml:space="preserve">. </w:t>
      </w:r>
      <w:r w:rsidRPr="009D7677">
        <w:rPr>
          <w:i/>
        </w:rPr>
        <w:t>La tutela judicial de la libertad en los procedimientos de extradición pasiva. Aplicación de la doctrina fijada por la STC 17/2024, de 31 de enero</w:t>
      </w:r>
    </w:p>
    <w:p w14:paraId="214D99D1" w14:textId="77777777" w:rsidR="009D7677" w:rsidRDefault="009D7677" w:rsidP="009D7677">
      <w:pPr>
        <w:pStyle w:val="TextoNormal"/>
      </w:pPr>
    </w:p>
    <w:p w14:paraId="6C4E15A2" w14:textId="77777777" w:rsidR="009D7677" w:rsidRDefault="009D7677" w:rsidP="009D7677">
      <w:pPr>
        <w:pStyle w:val="TextoNormal"/>
      </w:pPr>
      <w:r>
        <w:t>En la STC 17/2024, de 31 de enero, se ha aclarado la doctrina fijada en las SSTC 147/2020 y 147/2021 sobre tutela judicial del derecho a la libertad en los procedimientos de extradición pasiva, en el sentido de distinguir dos garantías diversas. En primer término, una garantía básica consistente en que el órgano judicial verifique, al examinar la petición de extradición, la imparcialidad de la autoridad que la ha emitido, garantía inherente al deber de motivación reforzada de una decisión que ha de afectar necesariamente a la esfera de la libertad personal del reclamado. En segundo término, una garantía específica consistente en que la solicitud venga refrendada por una autoridad judicial desde el mismo país de origen, fundada en el art. 7.1 a) LEP, que es de directa aplicación en caso de ausencia de convenio extradicional con el Estado reclamante (STC 147/2021, FJ 4).</w:t>
      </w:r>
    </w:p>
    <w:p w14:paraId="58F07E79" w14:textId="77777777" w:rsidR="009D7677" w:rsidRDefault="009D7677" w:rsidP="009D7677">
      <w:pPr>
        <w:pStyle w:val="TextoNormal"/>
      </w:pPr>
    </w:p>
    <w:p w14:paraId="38EE63E8" w14:textId="77777777" w:rsidR="009D7677" w:rsidRDefault="009D7677" w:rsidP="009D7677">
      <w:pPr>
        <w:pStyle w:val="TextoNormal"/>
      </w:pPr>
      <w:r>
        <w:t xml:space="preserve">Esta garantía específica puede verse modulada en función de lo previsto en el convenio de extradición vigente entre las partes, en tanto que fuente normativa de aplicación preferente en los términos del art. 1.1 LEP. De este modo, aun cuando sea una exigencia inherente a la tutela judicial efectiva del derecho a la libertad personal del </w:t>
      </w:r>
      <w:r w:rsidRPr="009D7677">
        <w:rPr>
          <w:i/>
        </w:rPr>
        <w:t>extraditurus</w:t>
      </w:r>
      <w:r>
        <w:t xml:space="preserve"> que nuestros tribunales verifiquen que la necesidad y proporcionalidad de la medida ha sido debidamente ponderada por un órgano judicial del país emisor, dicha intermediación judicial puede dispensarse excepcionalmente cuando concurran las siguientes exigencias:</w:t>
      </w:r>
    </w:p>
    <w:p w14:paraId="19DE516A" w14:textId="77777777" w:rsidR="009D7677" w:rsidRDefault="009D7677" w:rsidP="009D7677">
      <w:pPr>
        <w:pStyle w:val="TextoNormal"/>
      </w:pPr>
    </w:p>
    <w:p w14:paraId="2BD2CA51" w14:textId="77777777" w:rsidR="009D7677" w:rsidRDefault="009D7677" w:rsidP="009D7677">
      <w:pPr>
        <w:pStyle w:val="TextoNormal"/>
      </w:pPr>
      <w:r>
        <w:t>(i) Que se trate de un procedimiento de extradición regido por un convenio bilateral o multilateral que admita la posibilidad de que la petición de entrega pueda emanar de una autoridad diferente a la autoridad judicial en sentido estricto.</w:t>
      </w:r>
    </w:p>
    <w:p w14:paraId="64EA25FE" w14:textId="77777777" w:rsidR="009D7677" w:rsidRDefault="009D7677" w:rsidP="009D7677">
      <w:pPr>
        <w:pStyle w:val="TextoNormal"/>
      </w:pPr>
    </w:p>
    <w:p w14:paraId="17BF215B" w14:textId="77777777" w:rsidR="009D7677" w:rsidRDefault="009D7677" w:rsidP="009D7677">
      <w:pPr>
        <w:pStyle w:val="TextoNormal"/>
      </w:pPr>
      <w:r>
        <w:t>(ii) Que el país requirente suministre información suficientemente expresiva de que se trata de una autoridad que, conforme a su legislación interna, está facultada para emitir una solicitud de extradición en condiciones equivalentes a las de una autoridad judicial.</w:t>
      </w:r>
    </w:p>
    <w:p w14:paraId="3CC4B65B" w14:textId="77777777" w:rsidR="009D7677" w:rsidRDefault="009D7677" w:rsidP="009D7677">
      <w:pPr>
        <w:pStyle w:val="TextoNormal"/>
      </w:pPr>
    </w:p>
    <w:p w14:paraId="1BF521F5" w14:textId="1AC85518" w:rsidR="009D7677" w:rsidRDefault="009D7677" w:rsidP="009D7677">
      <w:pPr>
        <w:pStyle w:val="TextoNormal"/>
      </w:pPr>
      <w:r>
        <w:t>(iii) Que el contenido de la solicitud y de la documentación anexa proporcione a los órganos judiciales españoles la información necesaria para verificar que la misma resulta necesaria y proporcionada.</w:t>
      </w:r>
    </w:p>
    <w:p w14:paraId="370B498A" w14:textId="77777777" w:rsidR="009D7677" w:rsidRDefault="009D7677" w:rsidP="009D7677">
      <w:pPr>
        <w:pStyle w:val="TextoNormal"/>
      </w:pPr>
    </w:p>
    <w:p w14:paraId="5BAEC3BA" w14:textId="77777777" w:rsidR="009D7677" w:rsidRDefault="009D7677" w:rsidP="009D7677">
      <w:pPr>
        <w:pStyle w:val="TextoNormal"/>
      </w:pPr>
      <w:r w:rsidRPr="009D7677">
        <w:rPr>
          <w:rStyle w:val="NumeroAFNegritaCaracter"/>
        </w:rPr>
        <w:t>4</w:t>
      </w:r>
      <w:r>
        <w:t xml:space="preserve">. </w:t>
      </w:r>
      <w:r w:rsidRPr="009D7677">
        <w:rPr>
          <w:i/>
        </w:rPr>
        <w:t>Análisis de la vulneración denunciada</w:t>
      </w:r>
    </w:p>
    <w:p w14:paraId="049731CB" w14:textId="77777777" w:rsidR="009D7677" w:rsidRDefault="009D7677" w:rsidP="009D7677">
      <w:pPr>
        <w:pStyle w:val="TextoNormal"/>
      </w:pPr>
    </w:p>
    <w:p w14:paraId="130C40DE" w14:textId="77777777" w:rsidR="009D7677" w:rsidRDefault="009D7677" w:rsidP="009D7677">
      <w:pPr>
        <w:pStyle w:val="TextoNormal"/>
      </w:pPr>
      <w:r>
        <w:t xml:space="preserve">El recurrente en amparo fue detenido en Guadalajara el 1 de enero de 2023 y puesto a disposición del Juzgado Central de Instrucción núm. 2, que incoó el procedimiento de extradición pasiva núm. 3-2023, en virtud de una orden internacional de detención que dictó el fiscal del rey ante el Juzgado de Primera Instancia de Berkana que le atribuía un delito </w:t>
      </w:r>
      <w:r>
        <w:lastRenderedPageBreak/>
        <w:t>de dirección de organización dedicada a facilitar la salida de marroquíes clandestinamente del territorio nacional, por haber organizado, presuntamente, el 12 de noviembre de 2021, el traslado clandestino de varias personas, una de ellas menor de edad, desde la costa de Saidia (Marruecos) hacia España, por medio de una embarcación de recreo y a cambio de dinero (30 000 dirhams por persona).</w:t>
      </w:r>
    </w:p>
    <w:p w14:paraId="0E75A9A9" w14:textId="77777777" w:rsidR="009D7677" w:rsidRDefault="009D7677" w:rsidP="009D7677">
      <w:pPr>
        <w:pStyle w:val="TextoNormal"/>
      </w:pPr>
    </w:p>
    <w:p w14:paraId="1307F04A" w14:textId="77777777" w:rsidR="009D7677" w:rsidRDefault="009D7677" w:rsidP="009D7677">
      <w:pPr>
        <w:pStyle w:val="TextoNormal"/>
      </w:pPr>
      <w:r>
        <w:t>Acordada por el Consejo de Ministros la continuación del procedimiento en vía judicial, y cumplimentados los trámites del procedimiento judicial, la Sección Tercera de la Sala de lo Penal de la Audiencia Nacional dictó el auto núm. 212/2023, de 11 de mayo, por el que autorizó la entrega del demandante, por considerar que concurrían los requisitos establecidos en el Convenio de extradición entre el Reino de España y el Reino de Marruecos, suscrito en Rabat el 24 de junio de 2009, y los de la Ley 4/1985, de 21 de marzo, de extradición pasiva, en particular los requisitos de doble incriminación y mínimo punitivo exigidos en el art. 2.1 del Convenio bilateral.</w:t>
      </w:r>
    </w:p>
    <w:p w14:paraId="56C4DD00" w14:textId="77777777" w:rsidR="009D7677" w:rsidRDefault="009D7677" w:rsidP="009D7677">
      <w:pPr>
        <w:pStyle w:val="TextoNormal"/>
      </w:pPr>
    </w:p>
    <w:p w14:paraId="072A26B0" w14:textId="77777777" w:rsidR="009D7677" w:rsidRDefault="009D7677" w:rsidP="009D7677">
      <w:pPr>
        <w:pStyle w:val="TextoNormal"/>
      </w:pPr>
      <w:r>
        <w:t>Interpuesto recurso de súplica, fue desestimado en el auto núm. 39/2023, de 6 de junio, del Pleno de la Sala de lo Penal de la Audiencia Nacional. En el recurso de súplica el demandante hizo valer, entre otros motivos, la vulneración de los arts. 17 y 24 CE por basarse la solicitud en una orden de detención expedida por el fiscal, no equiparable a una resolución ejecutoria de condena ni a una resolución judicial, por lo que afirmaba que dicha orden era insuficiente y carente de legitimidad constitucional con arreglo a la STC 147/2020, de 19 de octubre.</w:t>
      </w:r>
    </w:p>
    <w:p w14:paraId="5E4C0569" w14:textId="77777777" w:rsidR="009D7677" w:rsidRDefault="009D7677" w:rsidP="009D7677">
      <w:pPr>
        <w:pStyle w:val="TextoNormal"/>
      </w:pPr>
    </w:p>
    <w:p w14:paraId="7FAC5105" w14:textId="77777777" w:rsidR="009D7677" w:rsidRDefault="009D7677" w:rsidP="009D7677">
      <w:pPr>
        <w:pStyle w:val="TextoNormal"/>
      </w:pPr>
      <w:r>
        <w:t>El demandante de amparo, don Yahya Azzaoui, combate estas resoluciones judiciales con el argumento de que, careciendo la orden de arresto emitida por el fiscal sustituto del rey de Marruecos de control judicial en dicho país, en el que, por otra parte, la orden de detención podría haber sido emitida también por un juez de instrucción, las resoluciones judiciales impugnadas que autorizaron la extradición incumplieron la doctrina sentada en las SSTC 147/2020 y 147/2021, que interpreta en el sentido de que la falta de refrendo judicial equivale a una falta de necesidad y proporcionalidad de la medida.</w:t>
      </w:r>
    </w:p>
    <w:p w14:paraId="5C1867D8" w14:textId="77777777" w:rsidR="009D7677" w:rsidRDefault="009D7677" w:rsidP="009D7677">
      <w:pPr>
        <w:pStyle w:val="TextoNormal"/>
      </w:pPr>
    </w:p>
    <w:p w14:paraId="3D831AAC" w14:textId="77777777" w:rsidR="009D7677" w:rsidRDefault="009D7677" w:rsidP="009D7677">
      <w:pPr>
        <w:pStyle w:val="TextoNormal"/>
      </w:pPr>
      <w:r>
        <w:t>De conformidad con lo que hemos expuesto en el anterior fundamento jurídico de esta sentencia, el planteamiento impugnatorio del demandante no puede ser asumido, pues el art. 12 a) del Convenio bilateral de extradición no exige el dictado de una resolución judicial como punto de partida de la solicitud de entrega, por lo que la documentación remitida en apoyo de la solicitud de extradición no queda fuera de la cobertura legal conformada por las fuentes aplicables. Por otra parte, la información complementaria remitida por el Estado requirente es suficientemente expresiva de la integración de la fiscalía en el órgano judicial, de sus condiciones de imparcialidad y del valor equivalente que la legislación del país otorga a las órdenes internacionales de arresto emitidas por el fiscal respecto de las emitidas por un juez de instrucción en el ámbito de su competencia, lo que excluye la necesidad de su validación judicial.</w:t>
      </w:r>
    </w:p>
    <w:p w14:paraId="304D8877" w14:textId="77777777" w:rsidR="009D7677" w:rsidRDefault="009D7677" w:rsidP="009D7677">
      <w:pPr>
        <w:pStyle w:val="TextoNormal"/>
      </w:pPr>
    </w:p>
    <w:p w14:paraId="4C95AB69" w14:textId="77777777" w:rsidR="009D7677" w:rsidRDefault="009D7677" w:rsidP="009D7677">
      <w:pPr>
        <w:pStyle w:val="TextoNormal"/>
      </w:pPr>
      <w:r>
        <w:t xml:space="preserve">La misión de los tribunales españoles se ha de limitar a depurar aquellas solicitudes de extradición que presenten indicios de falta de proporcionalidad o de fundamento, mediante el examen en concreto de las alegaciones y documentos aportados por la persona reclamada, y de las razones y documentos aportados por las autoridades requirentes junto con la </w:t>
      </w:r>
      <w:r>
        <w:lastRenderedPageBreak/>
        <w:t>petición de extradición o de aquellos otros que el tribunal español pueda solicitar como complemento de los anteriores.</w:t>
      </w:r>
    </w:p>
    <w:p w14:paraId="6B0FDB36" w14:textId="77777777" w:rsidR="009D7677" w:rsidRDefault="009D7677" w:rsidP="009D7677">
      <w:pPr>
        <w:pStyle w:val="TextoNormal"/>
      </w:pPr>
    </w:p>
    <w:p w14:paraId="741FFEA5" w14:textId="4D8CE8E4" w:rsidR="009D7677" w:rsidRDefault="009D7677" w:rsidP="009D7677">
      <w:pPr>
        <w:pStyle w:val="TextoNormal"/>
      </w:pPr>
      <w:r>
        <w:t>En este caso, la documentación remitida por las autoridades marroquíes por vía diplomática, que incluye la orden internacional de detención y la solicitud de extradición expedidas por el fiscal del rey, contiene una exposición circunstanciada tanto de los hechos imputados al demandante de amparo, como de su calificación jurídica y de las diligencias de investigación practicadas bajo la dirección de la fiscalía marroquí, en cuyo resultado se funda dicha imputación, en términos que no permiten poner en duda la necesidad y proporcionalidad de su decisión de solicitar su entrega para asegurar su enjuiciamiento. Procede por ello declarar que las resoluciones judiciales impugnadas, al dar curso en vía jurisdiccional a dicha solicitud, no han vulnerado los derechos fundamentales sustantivos y procesales invocados en la demanda de amparo.</w:t>
      </w:r>
    </w:p>
    <w:p w14:paraId="7A60BAE8" w14:textId="77777777" w:rsidR="009D7677" w:rsidRDefault="009D7677" w:rsidP="009D7677">
      <w:pPr>
        <w:pStyle w:val="TextoNormal"/>
      </w:pPr>
    </w:p>
    <w:p w14:paraId="7668F569" w14:textId="77777777" w:rsidR="009D7677" w:rsidRDefault="009D7677" w:rsidP="009D7677">
      <w:pPr>
        <w:pStyle w:val="TextoNormal"/>
      </w:pPr>
      <w:r w:rsidRPr="009D7677">
        <w:rPr>
          <w:rStyle w:val="NumeroAFNegritaCaracter"/>
        </w:rPr>
        <w:t>5</w:t>
      </w:r>
      <w:r>
        <w:t xml:space="preserve">. </w:t>
      </w:r>
      <w:r w:rsidRPr="009D7677">
        <w:rPr>
          <w:i/>
        </w:rPr>
        <w:t>Queja relativa a la vulneración del derecho a la tutela judicial efectiva en relación con el principio acusatorio, el principio de legalidad extradicional y el derecho de defensa</w:t>
      </w:r>
    </w:p>
    <w:p w14:paraId="79FDC297" w14:textId="77777777" w:rsidR="009D7677" w:rsidRDefault="009D7677" w:rsidP="009D7677">
      <w:pPr>
        <w:pStyle w:val="TextoNormal"/>
      </w:pPr>
    </w:p>
    <w:p w14:paraId="5F008D12" w14:textId="77777777" w:rsidR="009D7677" w:rsidRDefault="009D7677" w:rsidP="009D7677">
      <w:pPr>
        <w:pStyle w:val="TextoNormal"/>
      </w:pPr>
      <w:r>
        <w:t>Aduce el recurrente que se han vulnerado estos derechos por no cumplirse el mínimo punitivo exigido en el Convenio bilateral, como también mantuvo el Ministerio Fiscal, y por haberse apreciado por la Sala, en contra de la posición del Ministerio Fiscal y de la defensa del recurrente, la existencia de una organización criminal, lo que le impidió formular defensa sobre el relato fáctico de los hechos y solicitar prueba.</w:t>
      </w:r>
    </w:p>
    <w:p w14:paraId="71D742FC" w14:textId="77777777" w:rsidR="009D7677" w:rsidRDefault="009D7677" w:rsidP="009D7677">
      <w:pPr>
        <w:pStyle w:val="TextoNormal"/>
      </w:pPr>
    </w:p>
    <w:p w14:paraId="3B80C822" w14:textId="77777777" w:rsidR="009D7677" w:rsidRDefault="009D7677" w:rsidP="009D7677">
      <w:pPr>
        <w:pStyle w:val="TextoNormal"/>
      </w:pPr>
      <w:r>
        <w:t>Como dice el fiscal ante el Tribunal Constitucional, el principio acusatorio —propio del proceso penal— no es aplicable al procedimiento de extradición, no solo porque tiene naturaleza de procedimiento mixto administrativo-judicial (STC 156/2002, de 23 de julio) y de acto de auxilio judicial internacional (ATC 412/2004, de 2 de noviembre), sino también porque tampoco se aprecia que se haya producido indefensión, puesto que el recurrente ha tenido en todo momento a su disposición los elementos necesarios y la oportunidad suficiente —conclusiones iniciales, vista, recurso de súplica— para formular las alegaciones que ha tenido por conveniente.</w:t>
      </w:r>
    </w:p>
    <w:p w14:paraId="1BD497CC" w14:textId="77777777" w:rsidR="009D7677" w:rsidRDefault="009D7677" w:rsidP="009D7677">
      <w:pPr>
        <w:pStyle w:val="TextoNormal"/>
      </w:pPr>
    </w:p>
    <w:p w14:paraId="19588535" w14:textId="77777777" w:rsidR="009D7677" w:rsidRDefault="009D7677" w:rsidP="009D7677">
      <w:pPr>
        <w:pStyle w:val="TextoNormal"/>
      </w:pPr>
      <w:r>
        <w:t>A ello ha de añadirse que no corresponde a este órgano constitucional entrar a valorar la calificación efectuada por el órgano jurisdiccional, ya que “[l]a extradición, en sí misma, es una medida que entra dentro del ámbito competencial de la jurisdicción ordinaria, cuya regularidad desde esta sola perspectiva no corresponde valorar en esta sede constitucional (STC 13/1994), salvo que en el procedimiento ante la Audiencia Nacional se hubiera lesionado algún derecho fundamental susceptible de producir la nulidad pretendida en el recurso de amparo” (ATC 23/1997, de 27 de enero, FJ 2).</w:t>
      </w:r>
    </w:p>
    <w:p w14:paraId="7FDF7F83" w14:textId="77777777" w:rsidR="009D7677" w:rsidRDefault="009D7677" w:rsidP="009D7677">
      <w:pPr>
        <w:pStyle w:val="TextoNormal"/>
      </w:pPr>
    </w:p>
    <w:p w14:paraId="5996109E" w14:textId="3C2BCA7D" w:rsidR="009D7677" w:rsidRDefault="009D7677" w:rsidP="009D7677">
      <w:pPr>
        <w:pStyle w:val="TextoNormal"/>
      </w:pPr>
      <w:r>
        <w:t>La queja se desestima.</w:t>
      </w:r>
    </w:p>
    <w:p w14:paraId="6BDB3ED2" w14:textId="77777777" w:rsidR="009D7677" w:rsidRDefault="009D7677" w:rsidP="009D7677">
      <w:pPr>
        <w:pStyle w:val="TextoNormal"/>
      </w:pPr>
    </w:p>
    <w:p w14:paraId="64E38902" w14:textId="77777777" w:rsidR="009D7677" w:rsidRDefault="009D7677" w:rsidP="009D7677">
      <w:pPr>
        <w:pStyle w:val="TextoNormalCentrado"/>
        <w:keepNext/>
      </w:pPr>
      <w:r>
        <w:lastRenderedPageBreak/>
        <w:t>FALLO</w:t>
      </w:r>
    </w:p>
    <w:p w14:paraId="5E2FA57D" w14:textId="64ECA0D9" w:rsidR="009D7677" w:rsidRDefault="009D7677" w:rsidP="009D7677">
      <w:pPr>
        <w:pStyle w:val="TextoNormalCentrado"/>
        <w:keepNext/>
      </w:pPr>
    </w:p>
    <w:p w14:paraId="643A060A" w14:textId="21069B54" w:rsidR="009D7677" w:rsidRDefault="009D7677" w:rsidP="009D7677">
      <w:pPr>
        <w:pStyle w:val="TextoNormal"/>
      </w:pPr>
      <w:r>
        <w:t>En atención a todo lo expuesto, el Tribunal Constitucional, por la autoridad que le confiere la Constitución de la Nación española, ha decidido decidido desestimar el presente recurso de amparo.</w:t>
      </w:r>
    </w:p>
    <w:p w14:paraId="2D23DCE8" w14:textId="77777777" w:rsidR="009D7677" w:rsidRDefault="009D7677" w:rsidP="009D7677">
      <w:pPr>
        <w:pStyle w:val="TextoNormal"/>
      </w:pPr>
    </w:p>
    <w:p w14:paraId="69E07BFE" w14:textId="77777777" w:rsidR="009D7677" w:rsidRDefault="009D7677" w:rsidP="009D7677">
      <w:pPr>
        <w:pStyle w:val="TextoNormal"/>
      </w:pPr>
      <w:r>
        <w:t>Publíquese esta sentencia en el “Boletín Oficial del Estado”.</w:t>
      </w:r>
    </w:p>
    <w:p w14:paraId="2DB4AFB0" w14:textId="77777777" w:rsidR="009D7677" w:rsidRDefault="009D7677" w:rsidP="009D7677">
      <w:pPr>
        <w:pStyle w:val="TextoNormal"/>
      </w:pPr>
      <w:r>
        <w:t>Dada en Madrid, a once de marzo de dos mil veinticuatro.</w:t>
      </w:r>
    </w:p>
    <w:p w14:paraId="17498845" w14:textId="6401A21A" w:rsidR="009D7677" w:rsidRDefault="009D7677" w:rsidP="009D7677">
      <w:pPr>
        <w:pStyle w:val="ParrafoNormal"/>
      </w:pPr>
    </w:p>
    <w:p w14:paraId="6F307E5F" w14:textId="77777777" w:rsidR="009D7677" w:rsidRDefault="009D7677" w:rsidP="009D7677">
      <w:pPr>
        <w:pStyle w:val="TextoNormalNegritaCentrado"/>
        <w:keepNext/>
      </w:pPr>
      <w:r>
        <w:t>Voto particular discrepante que formula el magistrado don Ramón Sáez Valcárcel a la sentencia que resuelve el recurso de amparo núm. 4735-2023</w:t>
      </w:r>
    </w:p>
    <w:p w14:paraId="7DED5D9F" w14:textId="162D9EC4" w:rsidR="009D7677" w:rsidRDefault="009D7677" w:rsidP="009D7677">
      <w:pPr>
        <w:pStyle w:val="TextoNormalNegritaCentrado"/>
        <w:keepNext/>
      </w:pPr>
    </w:p>
    <w:p w14:paraId="6AE4EB68" w14:textId="77777777" w:rsidR="009D7677" w:rsidRDefault="009D7677" w:rsidP="009D7677">
      <w:pPr>
        <w:pStyle w:val="TextoNormal"/>
      </w:pPr>
      <w:r>
        <w:t>1. Expreso mi desacuerdo con la doctrina elaborada en la STC 17/2024, de 31 de enero, que aquí se aplica, al no haber podido intervenir en su elaboración por abstención (había participado en la resolución del recurso de súplica extradicional del que traía causa el recurso de amparo).</w:t>
      </w:r>
    </w:p>
    <w:p w14:paraId="75B7C742" w14:textId="77777777" w:rsidR="009D7677" w:rsidRDefault="009D7677" w:rsidP="009D7677">
      <w:pPr>
        <w:pStyle w:val="TextoNormal"/>
      </w:pPr>
    </w:p>
    <w:p w14:paraId="164ACE65" w14:textId="77777777" w:rsidR="009D7677" w:rsidRDefault="009D7677" w:rsidP="009D7677">
      <w:pPr>
        <w:pStyle w:val="TextoNormal"/>
      </w:pPr>
      <w:r>
        <w:t>2. La STC 17/2024 ha venido a desactivar en el procedimiento de extradición pasiva de carácter procesal o cautelar —con finalidad de persecución penal— la garantía jurisdiccional de la privación de libertad del reclamado en relación con las decisiones que soportaban la petición de entrega en el Estado requirente, que habían establecido las SSTC 147/2020 y 147/2021. Para este fin el análisis del caso, en aquel recurso y en el que nos ocupa, abandona la perspectiva constitucional de la tutela judicial efectiva y el derecho al proceso con todas las garantías en conexión con el derecho a la libertad personal (arts. 24.1 y 2 y 17 CE), para adentrarse en un análisis de legalidad ordinaria acerca de los requerimientos documentales del Convenio bilateral de extradición entre España y Marruecos.</w:t>
      </w:r>
    </w:p>
    <w:p w14:paraId="066ED523" w14:textId="77777777" w:rsidR="009D7677" w:rsidRDefault="009D7677" w:rsidP="009D7677">
      <w:pPr>
        <w:pStyle w:val="TextoNormal"/>
      </w:pPr>
    </w:p>
    <w:p w14:paraId="03B7ADE4" w14:textId="77777777" w:rsidR="009D7677" w:rsidRDefault="009D7677" w:rsidP="009D7677">
      <w:pPr>
        <w:pStyle w:val="TextoNormal"/>
      </w:pPr>
      <w:r>
        <w:t xml:space="preserve">3. La doctrina que se ha dejado sin efecto afirmaba dos cosas: “que no hay garantía efectiva del derecho a la libertad sin una mediación judicial que controle la necesidad y proporcionalidad de la medida que le afecte” en la decisión que activó la extradición; y que cuando interviniera una autoridad pública no judicial, a la que la legislación del Estado requirente atribuyera participación en la administración de la justicia penal, como son las fiscalías, “demandará en todo caso la inexcusable concurrencia de una autoridad judicial incluso en aquellos casos en que sea incuestionable su independencia estructural del poder ejecutivo” (fundamento jurídico 3 de la STC 147/2021). Es decir, en la emisión de la extradición con fines procesales debería existir control judicial, único modo aceptable de entender que se ha respetado en el proceso penal de origen el canon del juicio de proporcionalidad para la restricción de la libertad personal del reclamado. Pues, la extradición es un procedimiento auxiliar del proceso penal que se sigue en el Estado requirente, sede en la que se acuerda la privación de libertad de la persona objeto de la reclamación. Y ello, al margen del marco regulador de la extradición, ya fuera un convenio bilateral o, en su ausencia, la Ley de extradición pasiva (4/1985, de 21 de marzo), criterio que en aquellas dos sentencias no jugaba papel alguno. Es una interpretación de la STC 147/2021 —también las sentencias son objeto de interpretación— la afirmación de que resultó relevante en la decisión la aplicabilidad de la Ley de extradición al no existir tratado con Angola, ley que exige la remisión del auto de procesamiento y prisión o de una resolución análoga. La argumentación de las dos sentencias que elaboraron la doctrina que ahora se abandona </w:t>
      </w:r>
      <w:r>
        <w:lastRenderedPageBreak/>
        <w:t>era de carácter constitucional y desde la perspectiva del encuadre que del objeto del recurso se había hecho en los derechos a la tutela judicial efectiva y al proceso con todas las garantías en relación con la libertad personal, de los art. 24.1 y 2 y 17 CE.</w:t>
      </w:r>
    </w:p>
    <w:p w14:paraId="07792EBB" w14:textId="77777777" w:rsidR="009D7677" w:rsidRDefault="009D7677" w:rsidP="009D7677">
      <w:pPr>
        <w:pStyle w:val="TextoNormal"/>
      </w:pPr>
    </w:p>
    <w:p w14:paraId="51E4E22D" w14:textId="77777777" w:rsidR="009D7677" w:rsidRDefault="009D7677" w:rsidP="009D7677">
      <w:pPr>
        <w:pStyle w:val="TextoNormal"/>
      </w:pPr>
      <w:r>
        <w:t>4. La STC 17/2024, que ahora se aplica para desestimar el recurso, considera que la “garantía específica, consistente en que la solicitud venga refrendada por una autoridad judicial desde el mismo país de origen”, que ya no considera fundada en el derecho a la tutela judicial efectiva y a un proceso con todas las garantías en relación con la libertad personal (arts. 24.1 y 2 y 17 CE) sino en la Ley de extradición pasiva, “puede verse modulada en función de lo previsto en el convenio de extradición vigente entre las partes”, de tal modo que la “intermediación judicial puede dispensarse excepcionalmente cuando concurran” tres requisitos, a saber, que el convenio admita la emisión de la solicitud de entrega por parte de una autoridad no judicial, que se acredite su competencia en el asunto y que la documentación proporcione al juez español la información suficiente para verificar que la misma resulta necesaria y proporcionada. Nada se dice acerca de cómo en el sistema continental de extradición —donde el juez de ejecución no puede enjuiciar la racionalidad y suficiencia indiciaria de la persecución penal que se sigue en el otro Estado— se puede acometer esa tarea de “verificación judicial” ni la documentación que debiera soportarla.</w:t>
      </w:r>
    </w:p>
    <w:p w14:paraId="404EA1BB" w14:textId="77777777" w:rsidR="009D7677" w:rsidRDefault="009D7677" w:rsidP="009D7677">
      <w:pPr>
        <w:pStyle w:val="TextoNormal"/>
      </w:pPr>
    </w:p>
    <w:p w14:paraId="05B6205C" w14:textId="77777777" w:rsidR="009D7677" w:rsidRDefault="009D7677" w:rsidP="009D7677">
      <w:pPr>
        <w:pStyle w:val="TextoNormal"/>
      </w:pPr>
      <w:r>
        <w:t>Se trata, a mi juicio, de una degradación de los requerimientos constitucionales del procedimiento de extradición pasiva. Lo pone de manifiesto que la doctrina de la que discrepo mencione la intervención del juez, la garantía jurisdiccional, como mero “refrendo judicial” o “mediación judicial”, reduciendo la capacidad incisiva y de control que conlleva a lo que parece un acto de mera adhesión o convalidación.</w:t>
      </w:r>
    </w:p>
    <w:p w14:paraId="35FA7C87" w14:textId="77777777" w:rsidR="009D7677" w:rsidRDefault="009D7677" w:rsidP="009D7677">
      <w:pPr>
        <w:pStyle w:val="TextoNormal"/>
      </w:pPr>
    </w:p>
    <w:p w14:paraId="5DA8A6DC" w14:textId="77777777" w:rsidR="009D7677" w:rsidRDefault="009D7677" w:rsidP="009D7677">
      <w:pPr>
        <w:pStyle w:val="TextoNormal"/>
      </w:pPr>
      <w:r>
        <w:t xml:space="preserve">5. La constitucionalización de la extradición en el art. 13 CE es un dato de especial trascendencia. Porque supone la transformación de la institución desde el paradigma del respeto a la soberanía en las relaciones entre Estados, la lucha contra la impunidad y la facilitación del ejercicio de la potestad punitiva, a la inserción de la extradición pasiva en el Estado de Derecho, con la consecuencia de someterla a los límites y vínculos que representan los derechos fundamentales, y con el reconocimiento de un estatuto jurídico de la persona reclamada, que goza plenamente de los derechos fundamentales y, entre ellos, de la garantía jurisdiccional de su libertad personal. De manera que la función del procedimiento de extradición pasiva ya no puede ser la de facilitar la entrega de una persona a otro Estado que le reclama para juzgarle o que cumpla condena, sino la protección y el amparo de los derechos fundamentales de la persona, derechos humanos que forman parte del orden público internacional y del principio de legalidad extradicional. Es más, el Estado requerido no puede eludir su responsabilidad por las vulneraciones previsibles de los derechos humanos del extraditado que tengan lugar en el Estado requirente con posterioridad a la entrega (STEDH de 7 de julio de 1989, asunto </w:t>
      </w:r>
      <w:r w:rsidRPr="009D7677">
        <w:rPr>
          <w:i/>
        </w:rPr>
        <w:t>Soering c. Reino Unido</w:t>
      </w:r>
      <w:r>
        <w:t>, pár. 91, que ha propiciado la doctrina de la vulneración indirecta de los derechos fundamentales por la autoridad española que accediera a la entrega sin evaluar con el debido rigor los riesgos).</w:t>
      </w:r>
    </w:p>
    <w:p w14:paraId="315C8484" w14:textId="77777777" w:rsidR="009D7677" w:rsidRDefault="009D7677" w:rsidP="009D7677">
      <w:pPr>
        <w:pStyle w:val="TextoNormal"/>
      </w:pPr>
    </w:p>
    <w:p w14:paraId="0ECB8341" w14:textId="77777777" w:rsidR="009D7677" w:rsidRDefault="009D7677" w:rsidP="009D7677">
      <w:pPr>
        <w:pStyle w:val="TextoNormal"/>
      </w:pPr>
      <w:r>
        <w:t>6. En este contexto de respeto y protección de los derechos fundamentales del reclamado, la exigencia de jurisdiccionalidad de la decisión del Estado de emisión de actuar la potestad de solicitar la entrega de un persona que se halla en España para perseguirle pe</w:t>
      </w:r>
      <w:r>
        <w:lastRenderedPageBreak/>
        <w:t>nalmente es una garantía mínima de protección de la libertad personal, porque condiciona de manera radical la capacidad del juez de la extradición pasiva para ejercer su función de guardián de los derechos fundamentales del extraditando y examinar la necesidad y proporcionalidad de la privación de libertad que provoca su admisión.</w:t>
      </w:r>
    </w:p>
    <w:p w14:paraId="6394D3F9" w14:textId="77777777" w:rsidR="009D7677" w:rsidRDefault="009D7677" w:rsidP="009D7677">
      <w:pPr>
        <w:pStyle w:val="TextoNormal"/>
      </w:pPr>
    </w:p>
    <w:p w14:paraId="229B57B4" w14:textId="77777777" w:rsidR="009D7677" w:rsidRDefault="009D7677" w:rsidP="009D7677">
      <w:pPr>
        <w:pStyle w:val="TextoNormal"/>
      </w:pPr>
      <w:r>
        <w:t xml:space="preserve">Es importante distinguir la extradición procesal que nos ocupa, con fines de persecución penal o de enjuiciamiento, de la extradición ejecutiva que tiene por objeto el cumplimiento de una pena, pues en este supuesto no se plantea problema de control judicial. Porque la tramitación de la extradición pasiva conlleva la privación de libertad del reclamado —en uno u otro momento, a veces desde que se recibe preventivamente la orden policial de detención y durante meses—, sin que el Estado requerido pueda entrar a valorar en el sistema continental, al que responde nuestro modelo, si la persecución penal está suficientemente fundada, si está indiciariamente justificada, si persigue un fin legítimo, si es adecuada al mencionado fin, necesaria y estrictamente proporcionada y, por lo tanto, se puede descartar que sea una decisión arbitraria. El juicio cautelar o </w:t>
      </w:r>
      <w:r w:rsidRPr="009D7677">
        <w:rPr>
          <w:i/>
        </w:rPr>
        <w:t>prima facie</w:t>
      </w:r>
      <w:r>
        <w:t xml:space="preserve"> del juez de ejecución de la extradición pasiva tiene un ámbito muy limitado. De ahí que resulte imprescindible a efectos de otorgar legitimidad al proceso que se implante la garantía jurisdiccional en algún momento del planteamiento de la petición extradicional, ya sea al emitir la orden de detención internacional o en la formulación de la demanda de entrega, por la escasa capacidad de la intervención judicial en sede de ejecución que no puede remediar la ausencia de la garantía en la petición de cooperación. Aquí, de manera evidente, la jurisdiccionalidad de la decisión funciona como garantía de libertad y como prevención frente a persecuciones arbitrarias.</w:t>
      </w:r>
    </w:p>
    <w:p w14:paraId="23D598D8" w14:textId="77777777" w:rsidR="009D7677" w:rsidRDefault="009D7677" w:rsidP="009D7677">
      <w:pPr>
        <w:pStyle w:val="TextoNormal"/>
      </w:pPr>
    </w:p>
    <w:p w14:paraId="29808D15" w14:textId="77777777" w:rsidR="009D7677" w:rsidRDefault="009D7677" w:rsidP="009D7677">
      <w:pPr>
        <w:pStyle w:val="TextoNormal"/>
      </w:pPr>
      <w:r>
        <w:t xml:space="preserve">7. Buena demostración de la imposibilidad de llevar a cabo la tercera exigencia que establece la nueva doctrina (que la solicitud y la documentación proporcionen información suficiente para verificar que la misma resulta necesaria y proporcionada) a la vista de los requerimientos documentales de la extradición que —de manera homogénea establecen, en este punto, la ley y los convenios bilaterales— es que nuestras sentencias, en aquel recurso de amparo y en estos a los que se aplica, se limiten a afirmar apodícticamente que la orden de detención y la solicitud de extradición del fiscal del Estado de emisión contienen una exposición circunstanciada de los hechos imputados, de la calificación jurídica y de las diligencias de investigación “en términos que no permiten poner en duda la necesidad y proporcionalidad de su decisión”. Necesidad y proporcionalidad que no se suponen, sino que deben ser la conclusión del juicio que demandan. Además, sobre una decisión que implica la privación de libertad de la persona reclamada. No creo que un acta forense que ofrece sencillamente un relato de hechos y la tipificación de las conductas permita al juez de la extradición pasiva efectuar el control que requiere la garantía jurisdiccional, en esta sede, de la limitación del derecho a la libertad personal. La garantía jurisdiccional ha quedado desactivada, el juez no puede realizar un verdadero control de proporcionalidad de la privación de libertad del reclamado que proteja a la persona de decisiones arbitrarias (STEDH de 24 de marzo de 2015, asunto </w:t>
      </w:r>
      <w:r w:rsidRPr="009D7677">
        <w:rPr>
          <w:i/>
        </w:rPr>
        <w:t>Gallardo Sánchez c. Italia</w:t>
      </w:r>
      <w:r>
        <w:t>, pár. 39).</w:t>
      </w:r>
    </w:p>
    <w:p w14:paraId="7E85BFA5" w14:textId="77777777" w:rsidR="009D7677" w:rsidRDefault="009D7677" w:rsidP="009D7677">
      <w:pPr>
        <w:pStyle w:val="TextoNormal"/>
      </w:pPr>
    </w:p>
    <w:p w14:paraId="16DC836A" w14:textId="77777777" w:rsidR="009D7677" w:rsidRDefault="009D7677" w:rsidP="009D7677">
      <w:pPr>
        <w:pStyle w:val="TextoNormal"/>
      </w:pPr>
      <w:r>
        <w:t xml:space="preserve">8. Por último, solo dejar constancia en el plano de análisis de legalidad ordinaria en que se desenvuelve la sentencia de la que discrepo, que si cierto es que el art. 12 a) del Convenio bilateral de extradición no exige resolución judicial para la reclamación cautelar, puede entenderse que va de suyo porque la norma prevé en su art. 1 el compromiso de las partes de entregarse recíprocamente a las personas que se encuentren en su territorio y </w:t>
      </w:r>
      <w:r>
        <w:lastRenderedPageBreak/>
        <w:t>“sean procesadas por un delito”, requerimiento que reproduce en el art. 2.1 al establecer los principios del mínimo punitivo y de doble incriminación (“[s]erán objeto de extradición […] [l]as personas que sean procesadas por hechos que, según las legislaciones de los dos Estados, estén castigados con una pena privativa de libertad de dos años de duración como mínimo”). El tenor literal del texto identifica una institución, la del procesamiento, que en nuestro ordenamiento jurídico remite al intérprete a una resolución judicial que formaliza la imputación, no a la decisión de una autoridad no jurisdiccional. Por lo tanto, no se puede descartar que el convenio no obligue a la intervención del juez en algún momento de la emisión del pedido extradicional.</w:t>
      </w:r>
    </w:p>
    <w:p w14:paraId="3166DBE2" w14:textId="77777777" w:rsidR="009D7677" w:rsidRDefault="009D7677" w:rsidP="009D7677">
      <w:pPr>
        <w:pStyle w:val="TextoNormal"/>
      </w:pPr>
    </w:p>
    <w:p w14:paraId="0488ADFC" w14:textId="77777777" w:rsidR="009D7677" w:rsidRDefault="009D7677" w:rsidP="009D7677">
      <w:pPr>
        <w:pStyle w:val="TextoNormal"/>
      </w:pPr>
      <w:r>
        <w:t>Y en este sentido emito mi voto particular.</w:t>
      </w:r>
    </w:p>
    <w:p w14:paraId="0121C9DE" w14:textId="77777777" w:rsidR="009D7677" w:rsidRDefault="009D7677" w:rsidP="009D7677">
      <w:pPr>
        <w:pStyle w:val="TextoNormal"/>
      </w:pPr>
    </w:p>
    <w:p w14:paraId="78819A93" w14:textId="084A0658" w:rsidR="009D7677" w:rsidRDefault="009D7677" w:rsidP="009D7677">
      <w:pPr>
        <w:pStyle w:val="TextoNormal"/>
      </w:pPr>
      <w:r>
        <w:t>Madrid, a once de marzo de dos mil veinticuatro.</w:t>
      </w:r>
    </w:p>
    <w:p w14:paraId="6E81D70D" w14:textId="0623F251" w:rsidR="009D7677" w:rsidRDefault="009D7677">
      <w:pPr>
        <w:spacing w:after="160" w:line="259" w:lineRule="auto"/>
        <w:rPr>
          <w:rFonts w:ascii="Times New Roman" w:eastAsia="Times New Roman" w:hAnsi="Times New Roman" w:cs="Times New Roman"/>
          <w:sz w:val="24"/>
          <w:szCs w:val="24"/>
          <w:lang w:eastAsia="es-ES"/>
        </w:rPr>
      </w:pPr>
      <w:r>
        <w:br w:type="page"/>
      </w:r>
    </w:p>
    <w:p w14:paraId="5C29D558" w14:textId="77777777" w:rsidR="009D7677" w:rsidRDefault="009D7677" w:rsidP="009D7677">
      <w:pPr>
        <w:pStyle w:val="TtuloResolucin"/>
      </w:pPr>
      <w:bookmarkStart w:id="45" w:name="SENTENCIA_2024_43"/>
      <w:r>
        <w:lastRenderedPageBreak/>
        <w:t>SENTENCIA 43/2024, de 11 de marzo de 2024</w:t>
      </w:r>
    </w:p>
    <w:bookmarkEnd w:id="45"/>
    <w:p w14:paraId="53402AEA" w14:textId="77777777" w:rsidR="009D7677" w:rsidRDefault="009D7677" w:rsidP="009D7677">
      <w:pPr>
        <w:pStyle w:val="TtuloResolucin"/>
      </w:pPr>
      <w:r>
        <w:t>Sala Segunda</w:t>
      </w:r>
    </w:p>
    <w:p w14:paraId="3981F5B3" w14:textId="77777777" w:rsidR="009D7677" w:rsidRDefault="009D7677" w:rsidP="009D7677">
      <w:pPr>
        <w:pStyle w:val="TtuloBOE"/>
      </w:pPr>
      <w:r>
        <w:t>(BOE núm. 99, de 23 de abril de 2024)</w:t>
      </w:r>
    </w:p>
    <w:p w14:paraId="1BDBA05E" w14:textId="77777777" w:rsidR="009D7677" w:rsidRDefault="009D7677" w:rsidP="009D7677">
      <w:pPr>
        <w:pStyle w:val="TextoNormalCentrado"/>
      </w:pPr>
      <w:r>
        <w:t>ECLI:ES:TC:2024:43</w:t>
      </w:r>
    </w:p>
    <w:p w14:paraId="41C77B46" w14:textId="1CD1133C" w:rsidR="009D7677" w:rsidRDefault="009D7677" w:rsidP="009D7677">
      <w:pPr>
        <w:pStyle w:val="TextoNormalCentrado"/>
      </w:pPr>
    </w:p>
    <w:p w14:paraId="211CD7C4" w14:textId="77777777" w:rsidR="009D7677" w:rsidRDefault="009D7677" w:rsidP="009D7677">
      <w:pPr>
        <w:pStyle w:val="SntesisDescriptiva"/>
      </w:pPr>
      <w:r>
        <w:t>Recurso de amparo 6218-2023. Promovido por don Fikri Boutajer respecto de los autos dictados por la Sección Segunda y el Pleno de la Sala de lo Penal de la Audiencia Nacional que autorizaron su extradición a Marruecos.</w:t>
      </w:r>
    </w:p>
    <w:p w14:paraId="407AA5B3" w14:textId="3C338FB5" w:rsidR="009D7677" w:rsidRDefault="009D7677" w:rsidP="009D7677">
      <w:pPr>
        <w:pStyle w:val="SntesisDescriptiva"/>
      </w:pPr>
    </w:p>
    <w:p w14:paraId="6A13F2F5" w14:textId="77777777" w:rsidR="009D7677" w:rsidRDefault="009D7677" w:rsidP="009D7677">
      <w:pPr>
        <w:pStyle w:val="SntesisAnaltica"/>
      </w:pPr>
      <w:r>
        <w:t>Supuesta vulneración de los derechos a la tutela judicial efectiva, de defensa, a un proceso con todas las garantías y a la libertad personal: STC 17/2024 (resoluciones judiciales que acuerdan la extradición a partir de una documentación que no permite poner en duda la necesidad y proporcionalidad de la decisión adoptada por la fiscalía de Marruecos de solicitar la entrega para asegurar el enjuiciamiento del afectado); inexistencia de lesión de los principios de doble incriminación y de non bis in idem. Voto particular.</w:t>
      </w:r>
    </w:p>
    <w:p w14:paraId="3878BE5D" w14:textId="25E555A9" w:rsidR="009D7677" w:rsidRDefault="009D7677" w:rsidP="009D7677">
      <w:pPr>
        <w:pStyle w:val="SntesisAnaltica"/>
      </w:pPr>
    </w:p>
    <w:p w14:paraId="653BD75E" w14:textId="2BF66636" w:rsidR="009D7677" w:rsidRDefault="009D7677" w:rsidP="009D7677">
      <w:pPr>
        <w:pStyle w:val="Extracto"/>
      </w:pPr>
      <w:r>
        <w:t>1.</w:t>
      </w:r>
      <w:r>
        <w:tab/>
        <w:t>La intermediación judicial puede dispensarse excepcionalmente cuando concurran las siguientes exigencias: (i) En procedimiento de extradición regido por un convenio bilateral o multilateral que admita la posibilidad de que la petición de entrega pueda emanar de una autoridad distinta a la autoridad judicial; (ii) Que el país requirente suministre información suficientemente expresiva de que se trata de una autoridad facultada para emitir una solicitud de extradición en condiciones equivalentes a las de una autoridad judicial. (iii) Que el contenido de la solicitud y de la documentación anexa proporcione a los órganos judiciales españoles la información necesaria para verificar que la misma resulta necesaria y proporcionada (STC 17/2024) [FJ 3].</w:t>
      </w:r>
    </w:p>
    <w:p w14:paraId="120B024C" w14:textId="77777777" w:rsidR="009D7677" w:rsidRDefault="009D7677" w:rsidP="009D7677">
      <w:pPr>
        <w:pStyle w:val="Extracto"/>
      </w:pPr>
    </w:p>
    <w:p w14:paraId="4E4DB6B1" w14:textId="77777777" w:rsidR="009D7677" w:rsidRDefault="009D7677" w:rsidP="009D7677">
      <w:pPr>
        <w:pStyle w:val="Extracto"/>
      </w:pPr>
    </w:p>
    <w:p w14:paraId="145E44C6" w14:textId="77777777" w:rsidR="009D7677" w:rsidRDefault="009D7677" w:rsidP="009D7677">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74E25E2B" w14:textId="5C1E6039" w:rsidR="009D7677" w:rsidRDefault="009D7677" w:rsidP="009D7677">
      <w:pPr>
        <w:pStyle w:val="TextoNormal"/>
      </w:pPr>
    </w:p>
    <w:p w14:paraId="5EB97A1F" w14:textId="77777777" w:rsidR="009D7677" w:rsidRDefault="009D7677" w:rsidP="009D7677">
      <w:pPr>
        <w:pStyle w:val="TextoNormalCentrado"/>
        <w:keepNext/>
      </w:pPr>
      <w:r>
        <w:t>EN NOMBRE DEL REY</w:t>
      </w:r>
    </w:p>
    <w:p w14:paraId="3A411F1A" w14:textId="6F53037B" w:rsidR="009D7677" w:rsidRDefault="009D7677" w:rsidP="009D7677">
      <w:pPr>
        <w:pStyle w:val="TextoNormalCentrado"/>
        <w:keepNext/>
      </w:pPr>
    </w:p>
    <w:p w14:paraId="5F8B1203" w14:textId="77777777" w:rsidR="009D7677" w:rsidRDefault="009D7677" w:rsidP="009D7677">
      <w:pPr>
        <w:pStyle w:val="TextoNormalCentrado"/>
        <w:keepNext/>
      </w:pPr>
    </w:p>
    <w:p w14:paraId="37C0EBC6" w14:textId="77777777" w:rsidR="009D7677" w:rsidRDefault="009D7677" w:rsidP="009D7677">
      <w:pPr>
        <w:pStyle w:val="TextoNormal"/>
      </w:pPr>
      <w:r>
        <w:t>la siguiente</w:t>
      </w:r>
    </w:p>
    <w:p w14:paraId="30BB38FA" w14:textId="1985A969" w:rsidR="009D7677" w:rsidRDefault="009D7677" w:rsidP="009D7677">
      <w:pPr>
        <w:pStyle w:val="TextoNormal"/>
      </w:pPr>
    </w:p>
    <w:p w14:paraId="0BA88BE9" w14:textId="77777777" w:rsidR="009D7677" w:rsidRDefault="009D7677" w:rsidP="009D7677">
      <w:pPr>
        <w:pStyle w:val="TextoNormalCentrado"/>
        <w:keepNext/>
      </w:pPr>
      <w:r>
        <w:t>SENTENCIA</w:t>
      </w:r>
    </w:p>
    <w:p w14:paraId="05D79245" w14:textId="3A132613" w:rsidR="009D7677" w:rsidRDefault="009D7677" w:rsidP="009D7677">
      <w:pPr>
        <w:pStyle w:val="TextoNormalCentrado"/>
        <w:keepNext/>
      </w:pPr>
    </w:p>
    <w:p w14:paraId="4B9D0489" w14:textId="77777777" w:rsidR="009D7677" w:rsidRDefault="009D7677" w:rsidP="009D7677">
      <w:pPr>
        <w:pStyle w:val="TextoNormal"/>
      </w:pPr>
      <w:r>
        <w:t>En el recurso de amparo núm. 6218-2023, promovido por don Fikri Boutajer, representado por la procuradora de los tribunales doña María del Prado Prieto Navarro, asistido del letrado don Youssef Bouzrouti El Haddouchi, contra el auto núm. 325/2023, de 27 de junio de la Sección Segunda de la Sala de lo Penal de la Audiencia Nacional y contra el auto núm. 62/2023, de 21 de julio del Pleno de la Sala de lo Penal de la Audiencia Nacional. Ha sido ponente la magistrada doña Laura Díez Bueso.</w:t>
      </w:r>
    </w:p>
    <w:p w14:paraId="130F35CC" w14:textId="25ABD1D1" w:rsidR="009D7677" w:rsidRDefault="009D7677" w:rsidP="009D7677">
      <w:pPr>
        <w:pStyle w:val="TextoNormal"/>
      </w:pPr>
    </w:p>
    <w:p w14:paraId="703B09AE" w14:textId="77777777" w:rsidR="009D7677" w:rsidRDefault="009D7677" w:rsidP="009D7677">
      <w:pPr>
        <w:pStyle w:val="TextoNormalNegritaCentrado"/>
        <w:keepNext/>
      </w:pPr>
      <w:r>
        <w:lastRenderedPageBreak/>
        <w:t>I. Antecedentes</w:t>
      </w:r>
    </w:p>
    <w:p w14:paraId="6D693D15" w14:textId="795941B7" w:rsidR="009D7677" w:rsidRDefault="009D7677" w:rsidP="009D7677">
      <w:pPr>
        <w:pStyle w:val="TextoNormalNegritaCentrado"/>
        <w:keepNext/>
      </w:pPr>
    </w:p>
    <w:p w14:paraId="685F59A9" w14:textId="68BFFCD2" w:rsidR="009D7677" w:rsidRDefault="009D7677" w:rsidP="009D7677">
      <w:pPr>
        <w:pStyle w:val="TextoNormal"/>
      </w:pPr>
      <w:r w:rsidRPr="009D7677">
        <w:rPr>
          <w:rStyle w:val="NumeroAFNegritaCaracter"/>
        </w:rPr>
        <w:t>1</w:t>
      </w:r>
      <w:r>
        <w:t>. Mediante escrito registrado en este tribunal el día 27 de septiembre de 2023, la representación procesal de don Fikri Boutajer interpuso recurso de amparo contra el auto núm. 325/2023, de 27 de junio, de la Sección Segunda de la Sala de lo Penal de la Audiencia Nacional, dictado en el rollo núm. 19-2023, dimanante del procedimiento de extradición pasiva núm. 30-2023 del Juzgado Central de Instrucción núm. 2, y contra el auto núm. 62/2023, de 21 de julio, del Pleno de la Sala de lo Penal de la Audiencia Nacional, dictado en el recurso de súplica núm. 60-2023, que confirmó el anterior.</w:t>
      </w:r>
    </w:p>
    <w:p w14:paraId="10E389D9" w14:textId="77777777" w:rsidR="009D7677" w:rsidRDefault="009D7677" w:rsidP="009D7677">
      <w:pPr>
        <w:pStyle w:val="TextoNormal"/>
      </w:pPr>
    </w:p>
    <w:p w14:paraId="7AE62089" w14:textId="77777777" w:rsidR="009D7677" w:rsidRDefault="009D7677" w:rsidP="009D7677">
      <w:pPr>
        <w:pStyle w:val="TextoNormal"/>
      </w:pPr>
      <w:r w:rsidRPr="009D7677">
        <w:rPr>
          <w:rStyle w:val="NumeroAFNegritaCaracter"/>
        </w:rPr>
        <w:t>2</w:t>
      </w:r>
      <w:r>
        <w:t>. El recurso de amparo se fundamenta en los siguientes hechos:</w:t>
      </w:r>
    </w:p>
    <w:p w14:paraId="35D8C046" w14:textId="77777777" w:rsidR="009D7677" w:rsidRDefault="009D7677" w:rsidP="009D7677">
      <w:pPr>
        <w:pStyle w:val="TextoNormal"/>
      </w:pPr>
    </w:p>
    <w:p w14:paraId="38B59116" w14:textId="77777777" w:rsidR="009D7677" w:rsidRDefault="009D7677" w:rsidP="009D7677">
      <w:pPr>
        <w:pStyle w:val="TextoNormal"/>
      </w:pPr>
      <w:r>
        <w:t>a) El fiscal del rey ante el Tribunal de Primera Instancia de Driuch (Marruecos) dictó el 12 de septiembre de 2022 orden internacional de búsqueda y captura contra el ahora demandante de amparo, al que atribuía su implicación en un delito de tráfico de drogas, con los siguientes fundamentos:</w:t>
      </w:r>
    </w:p>
    <w:p w14:paraId="163291EB" w14:textId="77777777" w:rsidR="009D7677" w:rsidRDefault="009D7677" w:rsidP="009D7677">
      <w:pPr>
        <w:pStyle w:val="TextoNormal"/>
      </w:pPr>
    </w:p>
    <w:p w14:paraId="575AA6BE" w14:textId="77777777" w:rsidR="009D7677" w:rsidRDefault="009D7677" w:rsidP="009D7677">
      <w:pPr>
        <w:pStyle w:val="TextoNormal"/>
      </w:pPr>
      <w:r>
        <w:t>“Se desprende globalmente de los atestados cumplidos por la policía judicial, el primero con fecha del 04/09/2020 bajo núm. 3423, el segundo con fecha del 20/09/2020 bajo núm. 809, el tercero el 21/09/2020 bajo núm. 812 por la Gendarmería de Boudinar, el cuarto con fecha del 03/10/2020 bajo núm. 840 por el Centro Judicial de la Gendarmería de Midar, y el quinto con fecha del 28/10/2020 bajo núm. 255 por la Brigada Nacional de Investigaciones Judiciales en Rabat, que con fecha del 04/09/2020 se incautaron una cantidad totalizando 4280 kilogramos de la droga de hachís y diecinueve bidones de treinta litros de gasolina en las costas dependientes de la zona 03 del centro de vigilancia 21, al nivel de Oued Amakran, comuna de Beni Marghnine, provincia de Driuch. Con fecha del 20/09/2020, se incautaron otra cantidad totalizando 1210 kilogramos de hachís cuarenta bidones de treinta litros de gasolina en las proximidades del centro de vigilancia núm. 16 en la zona dependiente del Pueblo de Ajdir, comuna de Old Amghar. En base a investigaciones minuciosas realizadas por los elementos encargados de investigaciones, los agentes y representantes de la autoridad local territorialmente competentes, así como por algunos habitantes de la zona e informadores con buena fe que no desearon divulgar sus identidades, les informaron que el individuo que se hizo cargo de traer las drogas incautadas sería el llamado Fikri Boutajer.</w:t>
      </w:r>
    </w:p>
    <w:p w14:paraId="7C8F27F2" w14:textId="77777777" w:rsidR="009D7677" w:rsidRDefault="009D7677" w:rsidP="009D7677">
      <w:pPr>
        <w:pStyle w:val="TextoNormal"/>
      </w:pPr>
    </w:p>
    <w:p w14:paraId="520B0810" w14:textId="77777777" w:rsidR="009D7677" w:rsidRDefault="009D7677" w:rsidP="009D7677">
      <w:pPr>
        <w:pStyle w:val="TextoNormal"/>
      </w:pPr>
      <w:r>
        <w:t>Llevando a cabo las instrucciones del Ministerio Fiscal se hizo traslado a la casa del denominado Fikri, que fue arrestado y metido bajo las formalidades de detención preventiva, con embargo de un coche 4x4 que conducía, de marca y modelo Rexton Ssangyong, matriculado bajo núm. 3855 A 76. Sometido dicho vehículo a una peritación cumplida por la brigada de identificación judicial, se averiguó que el coche estaba en situación irregular ya que su bastidor estaba completamente raspado. Interrogado sobre las drogas incautadas, negó cualquier enlace con las mismas, diciendo que no le pertenecía, reconociendo que dio un importe de cuarenta mil Dirham a los agentes de gendarmería para eludir que sea interrogado en cuanto a este asunto y así prevenir su implicación en este caso de drogas.</w:t>
      </w:r>
    </w:p>
    <w:p w14:paraId="39AC6E13" w14:textId="77777777" w:rsidR="009D7677" w:rsidRDefault="009D7677" w:rsidP="009D7677">
      <w:pPr>
        <w:pStyle w:val="TextoNormal"/>
      </w:pPr>
    </w:p>
    <w:p w14:paraId="14704ABD" w14:textId="77777777" w:rsidR="009D7677" w:rsidRDefault="009D7677" w:rsidP="009D7677">
      <w:pPr>
        <w:pStyle w:val="TextoNormal"/>
      </w:pPr>
      <w:r>
        <w:t xml:space="preserve">La Brigada Nacional de Investigaciones udiciales fue encomendada por este Ministerio Fiscal para abrir y profundizar las investigaciones sobre este caso de tenencia de drogas y </w:t>
      </w:r>
      <w:r>
        <w:lastRenderedPageBreak/>
        <w:t>tráfico internacional con las mismas, para al final, llegar a las identidades de los individuos involucrados, y luego ponerse en contacto con este Ministerio Fiscal, reconduciendo las investigaciones con el llamado Fikri Boutajer, que estaba detenido en la prisión local de Nador (02) en cuanto a los hechos de posesión y tenencia de drogas y tráfico internacional de drogas, por existencia de presunciones fuertes indicando su implicación en este caso, con realización de las formalidades forenses necesarias, y toma de contacto con este Ministerio Fiscal a la luz de los resultados de las indagaciones.</w:t>
      </w:r>
    </w:p>
    <w:p w14:paraId="386FDAF9" w14:textId="77777777" w:rsidR="009D7677" w:rsidRDefault="009D7677" w:rsidP="009D7677">
      <w:pPr>
        <w:pStyle w:val="TextoNormal"/>
      </w:pPr>
    </w:p>
    <w:p w14:paraId="4F0B57C8" w14:textId="77777777" w:rsidR="009D7677" w:rsidRDefault="009D7677" w:rsidP="009D7677">
      <w:pPr>
        <w:pStyle w:val="TextoNormal"/>
      </w:pPr>
      <w:r>
        <w:t xml:space="preserve">Al interrogar al primer acusado, Ahmed Ayaakoub preliminarmente, dijo que conoce al traficante de estupefacientes, llamado Fikri Boutaer, con él que se había encontrado en múltiples ocasiones antes del 03/09/2020, día de incautación de los 4280 kilogramos de hachís preparados para ser contrabandeados. Dijo que Fikri Boutajer le había solicitado ayuda para ello, haciendo la vista gorda hasta que llegue a la zona núm. 03 dependiente del Centro de Vigilancia núm. 21 Prime de las costas de Beni Marghnine, comuna de Beni Marghnine, Caidato de Boudinar —Beni Marghnine, Círculo del Rif, provincia de Driouch, ya que era agente de autoridad en cargo de vigilancia de dicha zona, pero que él siempre lo rechazaba tajantemente, que una semana antes del día 03/09/2020, Fikri Boutajer siguió insistiendo para solicitar su ayuda para que pueda pasar la droga, por lo que el dicente le prometió que iba a pensar en ello. El dicente dijo que se encontró con Fikri Boutajer de nuevo y que este último se lo solicitó de nuevo prometiéndole que iba a ganar mucho dinero de ello. El dicente dijo que se atrevió en ello por miedo de descubrimiento del caso por los demás vigilantes de los miembros de fuerzas auxiliares o de los agentes subalternos, pero que Fikri le aseguró que él lo había preparado todo con los intervinientes, sin darle nombres, diciéndole que iba a traer las drogas con fecha del 03/09/2020 en la mañana, ya que sabía que su turno de vigilancia y el turno de vigilancia por el vehículo de las fuerzas auxiliares del lugar se acaba a las siete de la mañana. Le dijo también que iba a acceder a la zona a través del camino que vigilaba y que iba a meter las drogas entre los árboles para volver de noche y traerlas a las costas en las proximidades de la zona núm. 03. El dicente añadió que ante tal proposición y tal promesa en virtud de la cual Fikri Boutajer iba a darle un gran importe de dinero que no le había fijado, el dicente la aceptó, y que con fecha del 03/09/2020 en medio día recibió una llamada de la parte de los agentes subalternos Omar Derraz y Mustapha Koubaa informándole que estaban al tanto de este asunto de tráfico de drogas a favor del llamado Fikri Boutajer, y que ellos también eran participantes en ello. Les aconsejo que lo guardaran de secreto. Supo de ellos que algunos agricultores vieron en los alrededores de las 09:00 horas de la mañana un coche penetrando en el bosque a través del camino que él mismo vigilaba, que el coche era de modelo Sprinter, que dicho coche transportaba a muchos trabajadores y que descargaron los bultos de drogas en el bosque. El declarante dijo también que con fecha del 03/09/2020, en los alrededores de las 18:00 horas, dio una vuelta en el bosque donde se termina el camino de coches y que vio bultos de drogas. Dijo que regresó, fingiendo que no sabía nada. Dijo que a los alrededores de medianoche logró oír sonidos de pasos y de muchos individuos acudiendo al lugar donde estaban los bultos de drogas, por lo que supo que la operación estaba a punto de ser ejecutada, y que siguió su trabajo como si nada hubiera ocurrido. Dijo también que comunicó con los agentes subalternos Omar Derraz y Mustapha Koubaa, y que en los alrededores de las 02:30 horas de la mañana hubo mucho ruido y muchos gritos, habiéndose alzado las voces desde la zona núm. 03, por lo que supo que algo mal ocurrió. Dijo que recibió una llamada de la parte del Caid del Caidato informándole que algo ocurrió en el lugar y que tenía que aportar datos de ello, pero que él no </w:t>
      </w:r>
      <w:r>
        <w:lastRenderedPageBreak/>
        <w:t>se dirigió a la zona núm. 03, sino que se dirigió a la zona núm. 04 para alejar cualquier sospecha en su persona. Añadió que cuando llegó a la zona núm. 04, el agente de las fuerzas auxiliares que estaba allí le informó que se frustró una operación de tráfico de drogas, y que se comportó como si no supiera nada. El dicente afirmó que era la primera operación ejecutada por el llamado Fikri Boutajer a través del centro de vigilancia núm. 21 Prime del que se hacía cargo, que también era la primera operación en la cual él mismo tuvo parte, y que no recibió ninguna retribución por ello de la parte de Fikri Boutajer ya que la operación fue frustrada y este último arrestado. Dijo últimamente que no puede determinar si este último cumplió otras operaciones de tráfico de drogas pasando por otros centros de vigilancia.</w:t>
      </w:r>
    </w:p>
    <w:p w14:paraId="2E02070B" w14:textId="77777777" w:rsidR="009D7677" w:rsidRDefault="009D7677" w:rsidP="009D7677">
      <w:pPr>
        <w:pStyle w:val="TextoNormal"/>
      </w:pPr>
    </w:p>
    <w:p w14:paraId="598CECEC" w14:textId="77777777" w:rsidR="009D7677" w:rsidRDefault="009D7677" w:rsidP="009D7677">
      <w:pPr>
        <w:pStyle w:val="TextoNormal"/>
      </w:pPr>
      <w:r>
        <w:t>Al interrogar al segundo acusado Mohamed Aqassou preliminarmente, dijo que estaba encarcelado en la prisión local de Nador en el marco de una instrucción en un caso de emigración clandestina, cuando recibió la visita de un abogado del que supo que el denominado Fayssal (Fikri Boutajer) le encomendó defenderle en el mismo caso. Mohamed Aqassou dijo que preguntó a dicho abogado quién era el denominado Fayssal, y que le respondió que todo lo que sabía era que un individuo llamado Fayssal le abonó sus honorarios y le encomendó defenderle en el caso. Mohamed Aqassou dijo que no se opuso a ello, especialmente que nadie de su familia mostró interés de él cuando estaba en cárcel. Dijo que cuando estaba en cárcel, recibió de la parte del denominado Fayssal un giro de mil Dirham y que al momento de abandonar el establecimiento penitenciario con fecha del 16/09/2020 un individuo a bordo de un coche 4x4 estaba esperándole, diciendo que se llama Fayssal y que le transportó hacia la ciudad de Nador, donde cenaron. Mohamed Aqassou añadió que este individuo le llevó a un hotel en el centro de la ciudad donde alquiló a su favor una habitación y le dio un importe de dinero que no recuerda con su número de teléfono, insistiendo en llamarle en caso de necesitar algo. Mohamed Aqassou dijo que se lo agradeció ya que le ofreció ayuda sin contrapartida. Mohamed Aqassou dijo que no obstante ello, este individuo le preguntó si seguía trabajando dentro del Grupo 38 de fuerzas auxiliares, y que respondió afirmativamente, aunque sabía que fue reasignado a otro lugar, y que el día siguiente le llamó para transportarle a la sede del Grupo 38 de fuerzas auxiliares, y que se despidió pretendiendo estar atareado. Dijo que estaba en comunicación por un tiempo con el denominado Fayssal, a quien solicitaba demandar al abogado datos sobre el destino de su caso relativo a la emigración clandestina, y que sus comunicaciones con él se interrumpieron. Mohamed Aqassou añadió que el denominado Fayssal ‘Fikri Boutajer’ le había dicho que algunos amigos suyos eran quien le encomendaron asistirle en su crisis sin que él le diera ninguna contrapartida. Mohamed Aqassou dijo últimamente que no tiene nada que ver con el tráfico de drogas.</w:t>
      </w:r>
    </w:p>
    <w:p w14:paraId="13EB4678" w14:textId="77777777" w:rsidR="009D7677" w:rsidRDefault="009D7677" w:rsidP="009D7677">
      <w:pPr>
        <w:pStyle w:val="TextoNormal"/>
      </w:pPr>
    </w:p>
    <w:p w14:paraId="1D6B443E" w14:textId="77777777" w:rsidR="009D7677" w:rsidRDefault="009D7677" w:rsidP="009D7677">
      <w:pPr>
        <w:pStyle w:val="TextoNormal"/>
      </w:pPr>
      <w:r>
        <w:t xml:space="preserve">Considerando que una certificación del procedimiento fue transferida a la Brigada Nacional de Investigaciones Judiciales, dependiente de la gendarmería por este Ministerio Fiscal para profundizar las indagaciones en los hechos del atestado núm. 255 del 28/10/2020, cumplido por dicha brigada, por vía de escucha de los llamados Mohamed Chakout y Ali Chakout y los dos agentes de fuerzas auxiliares Soufiane Benhalla y Adil Zouhri en cuanto a los acontecimientos del asunto, profundizando, de otra parte, las indagaciones con los agentes de fuerzas auxiliares Omar Derraz, Mustapha Koubaa y Kontiss Brahim a la luz de las declaraciones del agente subalterno Ahmed Ayaakoub, cumpliendo las investigaciones sociales y las peritaciones técnicas indispensables sobre los teléfonos móviles de dichos individuos, con publicación de una orden de búsqueda al nivel nacional </w:t>
      </w:r>
      <w:r>
        <w:lastRenderedPageBreak/>
        <w:t>contra Fikri Boutajer, volviendo a contactar al Ministerio Fiscal a la luz de los resultados de las investigaciones.</w:t>
      </w:r>
    </w:p>
    <w:p w14:paraId="3D0AB196" w14:textId="77777777" w:rsidR="009D7677" w:rsidRDefault="009D7677" w:rsidP="009D7677">
      <w:pPr>
        <w:pStyle w:val="TextoNormal"/>
      </w:pPr>
    </w:p>
    <w:p w14:paraId="60BC7768" w14:textId="77777777" w:rsidR="009D7677" w:rsidRDefault="009D7677" w:rsidP="009D7677">
      <w:pPr>
        <w:pStyle w:val="TextoNormal"/>
      </w:pPr>
      <w:r>
        <w:t>Ejecutando estas instrucciones, se procedió a la escucha preliminar del llamando Soufiane Benhalla, que fue afrontado a los resultados de las peritaciones realizadas en el marco de este caso, reconociendo que se había encontrado con el denominado Fayssal, del que no conocía el verdadero nombre ‘Fikri Boutajer’, y que este último le solicitó una mediación con los demás agentes de fuerzas auxiliares para facilitar el contrabando internacional de drogas a su favor. Soufiane Benhalla añadió que después de tres días de este encuentro, informó al llamado Fayssal que ya había entregó su número de teléfono al agente de fuerzas auxiliares llamado Mohamed Aqassou, que era vice-jefe de del centro de vigilancia núm. 21, diciéndole que él iba a llamarle, por lo que el llamado Fayssal le dio un importe de cien Dirham.</w:t>
      </w:r>
    </w:p>
    <w:p w14:paraId="102E8BC3" w14:textId="77777777" w:rsidR="009D7677" w:rsidRDefault="009D7677" w:rsidP="009D7677">
      <w:pPr>
        <w:pStyle w:val="TextoNormal"/>
      </w:pPr>
    </w:p>
    <w:p w14:paraId="197062B3" w14:textId="77777777" w:rsidR="009D7677" w:rsidRDefault="009D7677" w:rsidP="009D7677">
      <w:pPr>
        <w:pStyle w:val="TextoNormal"/>
      </w:pPr>
      <w:r>
        <w:t>Al interrogar al llamado Ali Chakout y afrontarle con los resultados de las peritaciones realizadas en el marco del caso, declaró que conoce al llamado Fikri Boutajer, que ya entró en comunicación telefónica con él en múltiples ocasiones por el parentesco que tiene con él. Interrogado en cuanto a las llamadas telefónicas que tuvo con el agente de fuerzas auxiliares Redwane, que era jefe del Centro de Vigilancia 21, adyacente al centro de vigilancia 21 Prime donde se incautaron los 4250 kilogramos de drogas en la noche del 03/09/2020 al 04/09/2020, que tuvieron lugar en la misma fecha de incautación de dicha cantidad, dijo que no recordaba el contenido de dichas llamadas. Afrontado a los resultados de la peritación técnica realizada sobre las estaciones de conexión telefónica, que afirman la contradicción de sus declaraciones en cuanto al lugar donde estaba el día de incautación de la cantidad de 1210 kilogramos de drogas en la noche del 19/09/2020 al 20/09/2020, dijo que no tenía respuestas.</w:t>
      </w:r>
    </w:p>
    <w:p w14:paraId="6904AEDC" w14:textId="77777777" w:rsidR="009D7677" w:rsidRDefault="009D7677" w:rsidP="009D7677">
      <w:pPr>
        <w:pStyle w:val="TextoNormal"/>
      </w:pPr>
    </w:p>
    <w:p w14:paraId="0742F6D0" w14:textId="77777777" w:rsidR="009D7677" w:rsidRDefault="009D7677" w:rsidP="009D7677">
      <w:pPr>
        <w:pStyle w:val="TextoNormal"/>
      </w:pPr>
      <w:r>
        <w:t>Tomando en consideración que se desprende del informe informativo de la Brigada Nacional de Investigaciones Judiciales, dependiente de la Gendarmería Real núm. 25582/2MMPJ del 10/03/2022, que el llamado Fikri Boutajer abandonó el territorio nacional de manera ilícita hacia España según los datos facilitados por la comandancia regional de Gendarmería de Nador, y ello después de que fue citado para ser interrogado por dicha brigada.</w:t>
      </w:r>
    </w:p>
    <w:p w14:paraId="2C0FA5DF" w14:textId="77777777" w:rsidR="009D7677" w:rsidRDefault="009D7677" w:rsidP="009D7677">
      <w:pPr>
        <w:pStyle w:val="TextoNormal"/>
      </w:pPr>
    </w:p>
    <w:p w14:paraId="7D0D164F" w14:textId="77777777" w:rsidR="009D7677" w:rsidRDefault="009D7677" w:rsidP="009D7677">
      <w:pPr>
        <w:pStyle w:val="TextoNormal"/>
      </w:pPr>
      <w:r>
        <w:t>Considerando que la necesidad de investigación en los hechos imputados aI presunto precitado exige la emisión de una orden internacional de captura contra él mismo”.</w:t>
      </w:r>
    </w:p>
    <w:p w14:paraId="66498A8E" w14:textId="77777777" w:rsidR="009D7677" w:rsidRDefault="009D7677" w:rsidP="009D7677">
      <w:pPr>
        <w:pStyle w:val="TextoNormal"/>
      </w:pPr>
    </w:p>
    <w:p w14:paraId="5732D5C8" w14:textId="77777777" w:rsidR="009D7677" w:rsidRDefault="009D7677" w:rsidP="009D7677">
      <w:pPr>
        <w:pStyle w:val="TextoNormal"/>
      </w:pPr>
      <w:r>
        <w:t>b) El demandante fue detenido el 19 de febrero de 2023 en San Antoni de Portamany (Ibiza) y puesto a disposición del Juzgado Central de Instrucción núm. 2, que incoó el procedimiento de extradición pasiva núm. 30-2023, y acordó por auto de 20 de febrero de 2023, tras celebrar comparecencia del art. 505 de la Ley de enjuiciamiento criminal, su prisión provisional.</w:t>
      </w:r>
    </w:p>
    <w:p w14:paraId="3FEA2AF4" w14:textId="77777777" w:rsidR="009D7677" w:rsidRDefault="009D7677" w:rsidP="009D7677">
      <w:pPr>
        <w:pStyle w:val="TextoNormal"/>
      </w:pPr>
    </w:p>
    <w:p w14:paraId="36F1BFD4" w14:textId="77777777" w:rsidR="009D7677" w:rsidRDefault="009D7677" w:rsidP="009D7677">
      <w:pPr>
        <w:pStyle w:val="TextoNormal"/>
      </w:pPr>
      <w:r>
        <w:t>c) El 27 de marzo se recibió por vía diplomática la nota verbal de la Embajada de Marruecos núm. 611, de 16 de marzo de 2023, en la que se solicitaba del Ministerio de Justicia de España la extradición del ahora recurrente en amparo, para el enjuiciamiento por delito de tenencia, transporte y tráfico de drogas, facilitación de uso de estas drogas a favor de otras personas a título oneroso, tentativa de exportación de droga al extranjero, ha</w:t>
      </w:r>
      <w:r>
        <w:lastRenderedPageBreak/>
        <w:t>ber tenido un convenio colectivo para cometer tales hechos, violación de las reglas relativas al movimiento y tenencia de drogas dentro de la circunscripción aduanera y complicidad en todo ello, lo que se acompañaba de la orden internacional de detención emitida por el fiscal, de un resumen de los hechos que reproducía los de la orden internacional de detención y de una relación de los preceptos legales aplicables.</w:t>
      </w:r>
    </w:p>
    <w:p w14:paraId="38D9DE08" w14:textId="77777777" w:rsidR="009D7677" w:rsidRDefault="009D7677" w:rsidP="009D7677">
      <w:pPr>
        <w:pStyle w:val="TextoNormal"/>
      </w:pPr>
    </w:p>
    <w:p w14:paraId="2B92A6A8" w14:textId="77777777" w:rsidR="009D7677" w:rsidRDefault="009D7677" w:rsidP="009D7677">
      <w:pPr>
        <w:pStyle w:val="TextoNormal"/>
      </w:pPr>
      <w:r>
        <w:t>d) El Consejo de ministros en sesión de 25 de abril de 2023 acordó, de conformidad con el art. 9.3 de la Ley 4/1985, de 21 de marzo, de extradición pasiva (en adelante, LEP), la continuación del procedimiento en vía judicial.</w:t>
      </w:r>
    </w:p>
    <w:p w14:paraId="6ECEC0A0" w14:textId="77777777" w:rsidR="009D7677" w:rsidRDefault="009D7677" w:rsidP="009D7677">
      <w:pPr>
        <w:pStyle w:val="TextoNormal"/>
      </w:pPr>
    </w:p>
    <w:p w14:paraId="55F8BA05" w14:textId="77777777" w:rsidR="009D7677" w:rsidRDefault="009D7677" w:rsidP="009D7677">
      <w:pPr>
        <w:pStyle w:val="TextoNormal"/>
      </w:pPr>
      <w:r>
        <w:t>e) El reclamado fue oído en comparecencia del art. 12 LEP en el Juzgado Central de Instrucción núm. 2, oponiéndose a su extradición.</w:t>
      </w:r>
    </w:p>
    <w:p w14:paraId="5F429158" w14:textId="77777777" w:rsidR="009D7677" w:rsidRDefault="009D7677" w:rsidP="009D7677">
      <w:pPr>
        <w:pStyle w:val="TextoNormal"/>
      </w:pPr>
    </w:p>
    <w:p w14:paraId="1D686499" w14:textId="77777777" w:rsidR="009D7677" w:rsidRDefault="009D7677" w:rsidP="009D7677">
      <w:pPr>
        <w:pStyle w:val="TextoNormal"/>
      </w:pPr>
      <w:r>
        <w:t>f) Elevados los autos a la Sección Segunda de la Sala de lo Penal de la Audiencia Nacional, esta inició el rollo de extradición núm. 19-2023 y dio vista del mismo, en los términos del art. 13 LEP, al fiscal y a la defensa del reclamado, para que formularan alegaciones. El fiscal interesó que se accediera a la solicitud de extradición, oponiéndose la defensa.</w:t>
      </w:r>
    </w:p>
    <w:p w14:paraId="07631E99" w14:textId="77777777" w:rsidR="009D7677" w:rsidRDefault="009D7677" w:rsidP="009D7677">
      <w:pPr>
        <w:pStyle w:val="TextoNormal"/>
      </w:pPr>
    </w:p>
    <w:p w14:paraId="405ECC4A" w14:textId="77777777" w:rsidR="009D7677" w:rsidRDefault="009D7677" w:rsidP="009D7677">
      <w:pPr>
        <w:pStyle w:val="TextoNormal"/>
      </w:pPr>
      <w:r>
        <w:t>g) Celebrada la vista extradicional el 22 de junio de 2023, en la que el fiscal reiteró su opinión en sentido favorable a la petición de extradición y la defensa del demandante de amparo su oposición, la Sección Segunda de la Sala de lo Penal de la Audiencia Nacional dictó el auto núm. 325/2023, de 27 de junio, por el que acordó acceder en fase jurisdiccional a la solicitud de extradición del actor por concurrir los presupuestos exigidos en el Convenio de Extradición entre el Reino de España y el Reino de Marruecos, suscrito en Rabat el 24 de junio de 2009 (en adelante, convenio bilateral) y en la Ley de extradición pasiva , en particular los requisitos de doble incriminación y mínimo punitivo exigidos en el art. 2.1 del convenio bilateral, porque los hechos por los que se solicitaba la extradición eran constitutivos de un delito de tenencia, transporte y tráfico de drogas, facilitación de uso de estas drogas a favor de otras personas a título oneroso, tentativa de exportación de droga al extranjero, haber tenido un convenio colectivo para cometer tales hechos, violación de las reglas relativas al movimiento y tenencia de drogas dentro de la circunscripción aduanera y complicidad en todo ello, equivalente en nuestro ordenamiento penal a un delito contra la salud pública del art. 368 del Código penal.</w:t>
      </w:r>
    </w:p>
    <w:p w14:paraId="3DD7EC1C" w14:textId="77777777" w:rsidR="009D7677" w:rsidRDefault="009D7677" w:rsidP="009D7677">
      <w:pPr>
        <w:pStyle w:val="TextoNormal"/>
      </w:pPr>
    </w:p>
    <w:p w14:paraId="4F5F0D49" w14:textId="77777777" w:rsidR="009D7677" w:rsidRDefault="009D7677" w:rsidP="009D7677">
      <w:pPr>
        <w:pStyle w:val="TextoNormal"/>
      </w:pPr>
      <w:r>
        <w:t>h) Contra esta decisión el actor interpuso recurso de súplica, en el que alegó que la extradición se basaba en una orden internacional de detención expedida por el fiscal sin intervención alguna de autoridad judicial, por lo que no resultaba equiparable a una orden judicial de detención, ni a una sentencia condenatoria; invocaba en su apoyo la doctrina sentada en la STC 147/2020, de 19 de octubre, así como en la STC 147/2021, de 12 de julio, por estimarlas aplicables al caso, así como la vulneración del derecho a la tutela judicial efectiva y a un proceso con todas las garantías del art. 24 CE en conexión con el derecho a la libertad personal (art. 17 CE). También adujo vulneración del derecho a la tutela judicial efectiva (art. 24.1 CE), en relación con el requisito de doble incriminación, por cuanto los hechos relatados en la demanda extradicional no pueden subsumirse en un delito de tráfico de drogas, sino en un delito de cohecho activo.</w:t>
      </w:r>
    </w:p>
    <w:p w14:paraId="2F81893A" w14:textId="77777777" w:rsidR="009D7677" w:rsidRDefault="009D7677" w:rsidP="009D7677">
      <w:pPr>
        <w:pStyle w:val="TextoNormal"/>
      </w:pPr>
    </w:p>
    <w:p w14:paraId="37C06969" w14:textId="77777777" w:rsidR="009D7677" w:rsidRDefault="009D7677" w:rsidP="009D7677">
      <w:pPr>
        <w:pStyle w:val="TextoNormal"/>
      </w:pPr>
      <w:r>
        <w:lastRenderedPageBreak/>
        <w:t>El Pleno de la Sala de lo Penal de la Audiencia Nacional dictó el auto núm. 62/2023, de 21 de julio, por el que desestimó el recurso de súplica.</w:t>
      </w:r>
    </w:p>
    <w:p w14:paraId="5CC8CD09" w14:textId="77777777" w:rsidR="009D7677" w:rsidRDefault="009D7677" w:rsidP="009D7677">
      <w:pPr>
        <w:pStyle w:val="TextoNormal"/>
      </w:pPr>
    </w:p>
    <w:p w14:paraId="1E911B47" w14:textId="77777777" w:rsidR="009D7677" w:rsidRDefault="009D7677" w:rsidP="009D7677">
      <w:pPr>
        <w:pStyle w:val="TextoNormal"/>
      </w:pPr>
      <w:r>
        <w:t>La Sala expone las razones por las que considera que no es aplicable a este caso la STC 147/2020, de 19 de octubre, invocada en el recurso de súplica, ni la STC 147/2021, de 12 de julio. Afirma que la orden de detención emitida por el fiscal satisface los requisitos formales del art. 12.1 a) del Convenio bilateral de extradición, y según la información complementaria a la que se refiere el auto de 4 de junio de 2021, en el ordenamiento jurídico de aquel país el fiscal es uno de los componentes del poder judicial, tiene competencia para expedir órdenes internacionales de arresto, y estas órdenes una vez emitidas no necesitan de ninguna legalización judicial, pues se consideran órdenes judiciales.</w:t>
      </w:r>
    </w:p>
    <w:p w14:paraId="2F3C3808" w14:textId="77777777" w:rsidR="009D7677" w:rsidRDefault="009D7677" w:rsidP="009D7677">
      <w:pPr>
        <w:pStyle w:val="TextoNormal"/>
      </w:pPr>
    </w:p>
    <w:p w14:paraId="15485371" w14:textId="77777777" w:rsidR="009D7677" w:rsidRDefault="009D7677" w:rsidP="009D7677">
      <w:pPr>
        <w:pStyle w:val="TextoNormal"/>
      </w:pPr>
      <w:r>
        <w:t>Añade que existe disparidad de hecho y de derecho entre los supuestos de extradición enjuiciados por este tribunal en el caso de Colombia (STC 147/2020, de 19 de octubre) y el ahora examinado de Marruecos. La Sala concluye que, en el caso de Marruecos, conforme a su legislación interna, la fiscalía marroquí forma parte del poder judicial, puede solicitar la extradición, no estando previsto que la solicitud pueda ser revisada por un juez. En consecuencia, la orden emitida por el fiscal cumple las exigencias del art. 12 del convenio bilateral. Por ello, concluye que el fiscal del Reino de Marruecos es autoridad competente en el derecho interno para emitir la orden internacional de detención y para solicitar formalmente la extradición, dándose a la misma eficacia de cara a constituir título válido, conforme al tratado, para otorgar la extradición, y ello sin necesidad de que la misma deba ser ratificada por el juez nacional.</w:t>
      </w:r>
    </w:p>
    <w:p w14:paraId="65991F57" w14:textId="77777777" w:rsidR="009D7677" w:rsidRDefault="009D7677" w:rsidP="009D7677">
      <w:pPr>
        <w:pStyle w:val="TextoNormal"/>
      </w:pPr>
    </w:p>
    <w:p w14:paraId="06FCF892" w14:textId="77777777" w:rsidR="009D7677" w:rsidRDefault="009D7677" w:rsidP="009D7677">
      <w:pPr>
        <w:pStyle w:val="TextoNormal"/>
      </w:pPr>
      <w:r>
        <w:t>En cuanto a la queja referida al quebrantamiento del principio de doble incriminación, la Sala rechaza que los hechos sean subsumibles en un cohecho activo ya enjuiciado y considera que el recurrente está siendo reclamado por un delito de tráfico de drogas que no ha sido todavía enjuiciado.</w:t>
      </w:r>
    </w:p>
    <w:p w14:paraId="635033BD" w14:textId="77777777" w:rsidR="009D7677" w:rsidRDefault="009D7677" w:rsidP="009D7677">
      <w:pPr>
        <w:pStyle w:val="TextoNormal"/>
      </w:pPr>
    </w:p>
    <w:p w14:paraId="29DD6C20" w14:textId="5715CF4D" w:rsidR="009D7677" w:rsidRDefault="009D7677" w:rsidP="009D7677">
      <w:pPr>
        <w:pStyle w:val="TextoNormal"/>
      </w:pPr>
      <w:r>
        <w:t>El auto va acompañado de un voto particular firmado por cuatro magistrados que consideran que no se ha aplicado correctamente la doctrina sentada en la STC 147/2020, en la que es esencial que se cumpla la garantía jurisdiccional de la libertad en el propio país solicitante de la extradición, mediante la homologación por un órgano judicial de la orden de detención.</w:t>
      </w:r>
    </w:p>
    <w:p w14:paraId="000514B3" w14:textId="77777777" w:rsidR="009D7677" w:rsidRDefault="009D7677" w:rsidP="009D7677">
      <w:pPr>
        <w:pStyle w:val="TextoNormal"/>
      </w:pPr>
    </w:p>
    <w:p w14:paraId="05FE0A18" w14:textId="40B827CE" w:rsidR="009D7677" w:rsidRDefault="009D7677" w:rsidP="009D7677">
      <w:pPr>
        <w:pStyle w:val="TextoNormal"/>
      </w:pPr>
      <w:r w:rsidRPr="009D7677">
        <w:rPr>
          <w:rStyle w:val="NumeroAFNegritaCaracter"/>
        </w:rPr>
        <w:t>3</w:t>
      </w:r>
      <w:r>
        <w:t xml:space="preserve">. El recurrente en amparo denuncia que se ha vulnerado su derecho a la tutela judicial efectiva sin indefensión (art. 24.1 CE) su derecho a un proceso con todas las garantías (art. 24.2 CE) y su derecho a la libertad personal (art. 17.3 CE), porque la orden de arresto de 12 de septiembre de 2022 emitida por el fiscal sustituto del rey de Marruecos carece de control judicial en origen. A su juicio, no se ha producido la necesaria concurrencia de una autoridad judicial, exigida en las SSTC 147/2020 y 147/2021, para garantizar la proporcionalidad de la solicitud de extradición. En segundo lugar, considera vulnerado el derecho a la tutela judicial efectiva sin indefensión (art. 24.1 CE) en relación con el principio de doble incriminación. El demandante sostiene que no concurre el requisito de doble incriminación ya que, partiendo de una lectura global de la solicitud de extradición, la actuación que se le imputa es la de haber obtenido la colaboración de un agente de aduanas a cambio de dinero para efectuar el transporte de las sustancias estupefacientes y, por consiguiente, estos hechos deberían ser calificados como un delito de cohecho y no como un </w:t>
      </w:r>
      <w:r>
        <w:lastRenderedPageBreak/>
        <w:t>delito de tráfico de drogas, al margen de que al no existir la correspondiente figura delictiva en Marruecos, procedería denegar la extradición a este país.</w:t>
      </w:r>
    </w:p>
    <w:p w14:paraId="561071A4" w14:textId="77777777" w:rsidR="009D7677" w:rsidRDefault="009D7677" w:rsidP="009D7677">
      <w:pPr>
        <w:pStyle w:val="TextoNormal"/>
      </w:pPr>
    </w:p>
    <w:p w14:paraId="369858C6" w14:textId="77777777" w:rsidR="009D7677" w:rsidRDefault="009D7677" w:rsidP="009D7677">
      <w:pPr>
        <w:pStyle w:val="TextoNormal"/>
      </w:pPr>
      <w:r w:rsidRPr="009D7677">
        <w:rPr>
          <w:rStyle w:val="NumeroAFNegritaCaracter"/>
        </w:rPr>
        <w:t>4</w:t>
      </w:r>
      <w:r>
        <w:t>. La Sección Tercera del Tribunal Constitucional, por providencia de 23 de octubre de 2023, acordó admitir a trámite el recurso de amparo apreciando que concurre en el mismo una especial trascendencia constitucional [art. 50.1 de la Ley orgánica del Tribunal Constitucional (en adelante, LOTC)], porque el recurso puede dar ocasión al Tribunal para aclarar o cambiar su doctrina, como consecuencia de un proceso de reflexión interna [STC 155/2009, de 25 de junio, FJ 2 b)].</w:t>
      </w:r>
    </w:p>
    <w:p w14:paraId="4876DA29" w14:textId="77777777" w:rsidR="009D7677" w:rsidRDefault="009D7677" w:rsidP="009D7677">
      <w:pPr>
        <w:pStyle w:val="TextoNormal"/>
      </w:pPr>
    </w:p>
    <w:p w14:paraId="09E03C11" w14:textId="7179A7D1" w:rsidR="009D7677" w:rsidRDefault="009D7677" w:rsidP="009D7677">
      <w:pPr>
        <w:pStyle w:val="TextoNormal"/>
      </w:pPr>
      <w:r>
        <w:t>En la providencia se acordó, en aplicación de lo dispuesto en el art. 51 LOTC, dirigir atenta comunicación al Pleno de la Sala de lo Penal de la Audiencia Nacional, a fin de que, en plazo que no excediera de diez días, remitiera certificación o fotocopia adverada de las actuaciones correspondientes al recurso de súplica núm. 60-2023. E igualmente a la Sala de lo Penal, Sección Segunda, de la Audiencia Nacional para que, en el mismo plazo, remitiera certificación o fotocopia adverada de las actuaciones correspondientes al rollo de extradición núm. 19-2023, dimanante del procedimiento de extradición pasiva núm. 30-2023 del Juzgado Central de Instrucción núm. 2, debiendo previamente emplazarse, para que en el plazo de diez días pudieran comparecer, si lo deseasen, en el recurso de amparo a quienes hubieran sido parte en el procedimiento, excepto la parte recurrente en amparo. Se acordó, asimismo, conforme a lo solicitado por la parte recurrente, la apertura de la pieza separada de suspensión.</w:t>
      </w:r>
    </w:p>
    <w:p w14:paraId="0D1BAFB6" w14:textId="77777777" w:rsidR="009D7677" w:rsidRDefault="009D7677" w:rsidP="009D7677">
      <w:pPr>
        <w:pStyle w:val="TextoNormal"/>
      </w:pPr>
    </w:p>
    <w:p w14:paraId="34210E4C" w14:textId="507594C8" w:rsidR="009D7677" w:rsidRDefault="009D7677" w:rsidP="009D7677">
      <w:pPr>
        <w:pStyle w:val="TextoNormal"/>
      </w:pPr>
      <w:r w:rsidRPr="009D7677">
        <w:rPr>
          <w:rStyle w:val="NumeroAFNegritaCaracter"/>
        </w:rPr>
        <w:t>5</w:t>
      </w:r>
      <w:r>
        <w:t>. Recibidas las actuaciones de la Sección de la Sala de lo Penal así como del Pleno de la Sala de lo Penal de la Audiencia Nacional, el 26 de julio de 2023 la Secretaría de Justicia de la Sala Segunda de este tribunal dictó diligencia de ordenación en la que acordaba dar vista de las mismas por un plazo común de veinte días a la parte recurrente y al Ministerio Fiscal, para que presentasen las alegaciones que estimasen pertinentes, conforme determina el art. 52.1 LOTC.</w:t>
      </w:r>
    </w:p>
    <w:p w14:paraId="3A896228" w14:textId="77777777" w:rsidR="009D7677" w:rsidRDefault="009D7677" w:rsidP="009D7677">
      <w:pPr>
        <w:pStyle w:val="TextoNormal"/>
      </w:pPr>
    </w:p>
    <w:p w14:paraId="6FAEA410" w14:textId="77777777" w:rsidR="009D7677" w:rsidRDefault="009D7677" w:rsidP="009D7677">
      <w:pPr>
        <w:pStyle w:val="TextoNormal"/>
      </w:pPr>
      <w:r w:rsidRPr="009D7677">
        <w:rPr>
          <w:rStyle w:val="NumeroAFNegritaCaracter"/>
        </w:rPr>
        <w:t>6</w:t>
      </w:r>
      <w:r>
        <w:t>. Por diligencia de ordenación de 23 de octubre de 2023 se concedió un plazo común de tres días a la parte recurrente y al Ministerio Fiscal para que alegasen lo que estimasen pertinente en la pieza separada de suspensión cautelar.</w:t>
      </w:r>
    </w:p>
    <w:p w14:paraId="2FD4AD0D" w14:textId="77777777" w:rsidR="009D7677" w:rsidRDefault="009D7677" w:rsidP="009D7677">
      <w:pPr>
        <w:pStyle w:val="TextoNormal"/>
      </w:pPr>
    </w:p>
    <w:p w14:paraId="78627EB1" w14:textId="77777777" w:rsidR="009D7677" w:rsidRDefault="009D7677" w:rsidP="009D7677">
      <w:pPr>
        <w:pStyle w:val="TextoNormal"/>
      </w:pPr>
      <w:r>
        <w:t>Por escrito presentado el 27 de octubre de 2023, la representación procesal del actor se ratificó en el contenido del otrosí de su demanda, alegando que en caso de no suspenderse la ejecución de la extradición se le ocasionaría el lógico perjuicio, con la consiguiente pérdida de la finalidad del recurso de amparo en caso de otorgarse.</w:t>
      </w:r>
    </w:p>
    <w:p w14:paraId="1250BE58" w14:textId="77777777" w:rsidR="009D7677" w:rsidRDefault="009D7677" w:rsidP="009D7677">
      <w:pPr>
        <w:pStyle w:val="TextoNormal"/>
      </w:pPr>
    </w:p>
    <w:p w14:paraId="27D0A3C0" w14:textId="77777777" w:rsidR="009D7677" w:rsidRDefault="009D7677" w:rsidP="009D7677">
      <w:pPr>
        <w:pStyle w:val="TextoNormal"/>
      </w:pPr>
      <w:r>
        <w:t>Por escrito presentado el 7 de noviembre de 2023, el fiscal ante el Tribunal Constitucional presentó alegaciones en las que interesó que se accediera a la medida cautelar solicitada por apreciar la concurrencia de un perjuicio irreparable para el demandante en el supuesto de que se ejecutase la decisión judicial de autorizar su entrega extradicional al Reino de Marruecos, suspensión que no habría de extenderse a las medidas que pudieran adoptarse para garantizar que el demandante quedare a disposición de la justicia.</w:t>
      </w:r>
    </w:p>
    <w:p w14:paraId="0CAD4B6E" w14:textId="77777777" w:rsidR="009D7677" w:rsidRDefault="009D7677" w:rsidP="009D7677">
      <w:pPr>
        <w:pStyle w:val="TextoNormal"/>
      </w:pPr>
    </w:p>
    <w:p w14:paraId="3BD453DC" w14:textId="078F8D05" w:rsidR="009D7677" w:rsidRDefault="009D7677" w:rsidP="009D7677">
      <w:pPr>
        <w:pStyle w:val="TextoNormal"/>
      </w:pPr>
      <w:r>
        <w:lastRenderedPageBreak/>
        <w:t>Por auto de 11 de diciembre de 2023, la Sala Segunda de este tribunal acordó la suspensión de la ejecución de las resoluciones judiciales impugnadas, circunscrita a la declaración judicial de procedencia de la extradición y sin perjuicio de las resoluciones judiciales que el tribunal competente pudiera adoptar para asegurar que el recurrente en amparo permanezca a disposición de la justicia. Se fundamenta la decisión en que la ejecución de los autos impugnados implicaría acceder en fase jurisdiccional, sin perjuicio de la última decisión sobre la entrega, que corresponde al Consejo de ministros, a la extradición del recurrente al Reino de Marruecos para ser enjuiciado por los delitos que se le imputan, por lo que, obviamente, de tal ejecución se le derivarían perjuicios personales de difícil reparación, siendo práctica constitucional reiterada la de acordar la suspensión de la ejecución de las resoluciones judiciales que acuerdan la extradición pues, en estos casos, si la persona requerida fuera entregada a las autoridades del Estado requirente perdería su finalidad el recurso de amparo que, en definitiva, tiene por objeto impedir su extradición.</w:t>
      </w:r>
    </w:p>
    <w:p w14:paraId="0A183F3A" w14:textId="77777777" w:rsidR="009D7677" w:rsidRDefault="009D7677" w:rsidP="009D7677">
      <w:pPr>
        <w:pStyle w:val="TextoNormal"/>
      </w:pPr>
    </w:p>
    <w:p w14:paraId="7274013A" w14:textId="67600FFE" w:rsidR="009D7677" w:rsidRDefault="009D7677" w:rsidP="009D7677">
      <w:pPr>
        <w:pStyle w:val="TextoNormal"/>
      </w:pPr>
      <w:r w:rsidRPr="009D7677">
        <w:rPr>
          <w:rStyle w:val="NumeroAFNegritaCaracter"/>
        </w:rPr>
        <w:t>7</w:t>
      </w:r>
      <w:r>
        <w:t>. Por escrito presentado el 14 de febrero de 2024, la representación procesal del actor formuló alegaciones, ratificándose íntegramente en lo expuesto en su escrito de demanda.</w:t>
      </w:r>
    </w:p>
    <w:p w14:paraId="575CB30F" w14:textId="77777777" w:rsidR="009D7677" w:rsidRDefault="009D7677" w:rsidP="009D7677">
      <w:pPr>
        <w:pStyle w:val="TextoNormal"/>
      </w:pPr>
    </w:p>
    <w:p w14:paraId="286DB6DB" w14:textId="77777777" w:rsidR="009D7677" w:rsidRDefault="009D7677" w:rsidP="009D7677">
      <w:pPr>
        <w:pStyle w:val="TextoNormal"/>
      </w:pPr>
      <w:r w:rsidRPr="009D7677">
        <w:rPr>
          <w:rStyle w:val="NumeroAFNegritaCaracter"/>
        </w:rPr>
        <w:t>8</w:t>
      </w:r>
      <w:r>
        <w:t>. Por escrito presentado el 20 de febrero de 2024, el fiscal ante el Tribunal Constitucional presentó sus alegaciones, solicitando la desestimación del recurso de amparo.</w:t>
      </w:r>
    </w:p>
    <w:p w14:paraId="451961D8" w14:textId="77777777" w:rsidR="009D7677" w:rsidRDefault="009D7677" w:rsidP="009D7677">
      <w:pPr>
        <w:pStyle w:val="TextoNormal"/>
      </w:pPr>
    </w:p>
    <w:p w14:paraId="73464CB4" w14:textId="77777777" w:rsidR="009D7677" w:rsidRDefault="009D7677" w:rsidP="009D7677">
      <w:pPr>
        <w:pStyle w:val="TextoNormal"/>
      </w:pPr>
      <w:r>
        <w:t>Tras exponer las vicisitudes del procedimiento, el fiscal encuadra la primera cuestión suscitada en el recurso de amparo en la falta de habilitación legal de la solicitud de extradición formulada por el Reino de Marruecos, por cuanto se funda en una orden internacional de detención dictada por el fiscal del rey ante el Tribunal de Primera Instancia de Driuch, sin que exista una resolución judicial que la corrobore, considerando aplicable la doctrina de la reciente STC 17/2024, de 31 de enero.</w:t>
      </w:r>
    </w:p>
    <w:p w14:paraId="01351944" w14:textId="77777777" w:rsidR="009D7677" w:rsidRDefault="009D7677" w:rsidP="009D7677">
      <w:pPr>
        <w:pStyle w:val="TextoNormal"/>
      </w:pPr>
    </w:p>
    <w:p w14:paraId="0B7B4C27" w14:textId="77777777" w:rsidR="009D7677" w:rsidRDefault="009D7677" w:rsidP="009D7677">
      <w:pPr>
        <w:pStyle w:val="TextoNormal"/>
      </w:pPr>
      <w:r>
        <w:t>El fiscal sostiene que, en este caso, la documentación remitida por las autoridades marroquíes contiene los elementos que integran tanto los hechos que se atribuyen al recurrente como la calificación jurídica de los mismos, constando igualmente las diligencias practicadas bajo la dirección del fiscal del rey. Tales elementos, además, fueron analizados por las resoluciones impugnadas, llegando a la conclusión de la necesidad y proporcionalidad de la solicitud de entrega del reclamado para su enjuiciamiento, mediante la orden de una autoridad —el fiscal del rey— que tiene competencia equivalente a la de la autoridad judicial, sin necesidad, por tanto, de una adicional homologación judicial.</w:t>
      </w:r>
    </w:p>
    <w:p w14:paraId="7026D9D8" w14:textId="77777777" w:rsidR="009D7677" w:rsidRDefault="009D7677" w:rsidP="009D7677">
      <w:pPr>
        <w:pStyle w:val="TextoNormal"/>
      </w:pPr>
    </w:p>
    <w:p w14:paraId="464FD97B" w14:textId="1F08072F" w:rsidR="009D7677" w:rsidRDefault="009D7677" w:rsidP="009D7677">
      <w:pPr>
        <w:pStyle w:val="TextoNormal"/>
      </w:pPr>
      <w:r>
        <w:t>Finalmente, el fiscal analiza la segunda cuestión suscitada por el demandante de amparo, respecto al quebrantamiento de la doble incriminación. Así, partiendo de que en el procedimiento de extradición no cabe una revisión del proceso de subsunción de los hechos en los tipos penales de ambas legislaciones (ATC 412/2004, FJ 4), salvo que tal subsunción resulte ajena al significado posible de los términos de la norma, considera que los órganos jurisdiccionales españoles, al apreciar que los hechos son subsumibles en un delito contra la salud pública, han realizado una interpretación de las normas penales españolas que no desborda su posible contenido.</w:t>
      </w:r>
    </w:p>
    <w:p w14:paraId="635C337F" w14:textId="77777777" w:rsidR="009D7677" w:rsidRDefault="009D7677" w:rsidP="009D7677">
      <w:pPr>
        <w:pStyle w:val="TextoNormal"/>
      </w:pPr>
    </w:p>
    <w:p w14:paraId="55267A3F" w14:textId="402CB05B" w:rsidR="009D7677" w:rsidRDefault="009D7677" w:rsidP="009D7677">
      <w:pPr>
        <w:pStyle w:val="TextoNormal"/>
      </w:pPr>
      <w:r w:rsidRPr="009D7677">
        <w:rPr>
          <w:rStyle w:val="NumeroAFNegritaCaracter"/>
        </w:rPr>
        <w:lastRenderedPageBreak/>
        <w:t>9</w:t>
      </w:r>
      <w:r>
        <w:t>. Por diligencia de ordenación de la Secretaría de Justicia de la Sala Segunda de este tribunal de 21 de febrero de 2024 se hace constar que el presente recurso de amparo queda pendiente para deliberación cuando por turno corresponda.</w:t>
      </w:r>
    </w:p>
    <w:p w14:paraId="15674C45" w14:textId="77777777" w:rsidR="009D7677" w:rsidRDefault="009D7677" w:rsidP="009D7677">
      <w:pPr>
        <w:pStyle w:val="TextoNormal"/>
      </w:pPr>
    </w:p>
    <w:p w14:paraId="24AB833A" w14:textId="62D61EB0" w:rsidR="009D7677" w:rsidRDefault="009D7677" w:rsidP="009D7677">
      <w:pPr>
        <w:pStyle w:val="TextoNormal"/>
      </w:pPr>
      <w:r w:rsidRPr="009D7677">
        <w:rPr>
          <w:rStyle w:val="NumeroAFNegritaCaracter"/>
        </w:rPr>
        <w:t>10</w:t>
      </w:r>
      <w:r>
        <w:t>. Mediante providencia de 7 de marzo de 2024, se señaló para deliberación y votación de la presente sentencia el día 11 del mismo mes y año.</w:t>
      </w:r>
    </w:p>
    <w:p w14:paraId="5B016884" w14:textId="77777777" w:rsidR="009D7677" w:rsidRDefault="009D7677" w:rsidP="009D7677">
      <w:pPr>
        <w:pStyle w:val="TextoNormal"/>
      </w:pPr>
    </w:p>
    <w:p w14:paraId="6BDA615B" w14:textId="77777777" w:rsidR="009D7677" w:rsidRDefault="009D7677" w:rsidP="009D7677">
      <w:pPr>
        <w:pStyle w:val="TextoNormalNegritaCentrado"/>
        <w:keepNext/>
      </w:pPr>
      <w:r>
        <w:t>II. Fundamentos jurídicos</w:t>
      </w:r>
    </w:p>
    <w:p w14:paraId="6566900D" w14:textId="2AB138BD" w:rsidR="009D7677" w:rsidRDefault="009D7677" w:rsidP="009D7677">
      <w:pPr>
        <w:pStyle w:val="TextoNormalNegritaCentrado"/>
        <w:keepNext/>
      </w:pPr>
    </w:p>
    <w:p w14:paraId="1FEEC7AD" w14:textId="77777777" w:rsidR="009D7677" w:rsidRDefault="009D7677" w:rsidP="009D7677">
      <w:pPr>
        <w:pStyle w:val="TextoNormal"/>
      </w:pPr>
      <w:r w:rsidRPr="009D7677">
        <w:rPr>
          <w:rStyle w:val="NumeroAFNegritaCaracter"/>
        </w:rPr>
        <w:t>1</w:t>
      </w:r>
      <w:r>
        <w:t xml:space="preserve">. </w:t>
      </w:r>
      <w:r w:rsidRPr="009D7677">
        <w:rPr>
          <w:i/>
        </w:rPr>
        <w:t>Objeto del proceso y posición de las partes</w:t>
      </w:r>
    </w:p>
    <w:p w14:paraId="0BA7D9E7" w14:textId="77777777" w:rsidR="009D7677" w:rsidRDefault="009D7677" w:rsidP="009D7677">
      <w:pPr>
        <w:pStyle w:val="TextoNormal"/>
      </w:pPr>
    </w:p>
    <w:p w14:paraId="0C836FB0" w14:textId="77777777" w:rsidR="009D7677" w:rsidRDefault="009D7677" w:rsidP="009D7677">
      <w:pPr>
        <w:pStyle w:val="TextoNormal"/>
      </w:pPr>
      <w:r>
        <w:t>La demanda de amparo interesa la nulidad del auto núm. 325/2023, de 27 de junio, dictado por la Sección Segunda de la Sala de lo Penal de la Audiencia Nacional, que acordó haber lugar en fase judicial a la extradición del demandante a Marruecos al objeto de ser enjuiciado por hechos constitutivos de tráfico de drogas, y del auto núm. 62/2023, de 21 de julio, dictado por el Pleno de la Sala de lo Penal de la Audiencia Nacional, que confirmó en súplica el anterior.</w:t>
      </w:r>
    </w:p>
    <w:p w14:paraId="71966A11" w14:textId="77777777" w:rsidR="009D7677" w:rsidRDefault="009D7677" w:rsidP="009D7677">
      <w:pPr>
        <w:pStyle w:val="TextoNormal"/>
      </w:pPr>
    </w:p>
    <w:p w14:paraId="62935F2C" w14:textId="77777777" w:rsidR="009D7677" w:rsidRDefault="009D7677" w:rsidP="009D7677">
      <w:pPr>
        <w:pStyle w:val="TextoNormal"/>
      </w:pPr>
      <w:r>
        <w:t>El recurrente aduce que las resoluciones judiciales impugnadas han vulnerado sus derechos a la tutela judicial efectiva (art. 24.1 CE), a un proceso con todas las garantías (art. 24.2 CE), y a la libertad personal (art. 17.3 CE), porque la orden de arresto de 12 de septiembre de 2022 emitida por el fiscal sustituto del rey de Marruecos, careció del necesario control judicial en origen exigido en las SSTC 147/2020, de 19 de octubre, y 147/2021, de 12 de julio para garantizar su necesidad y proporcionalidad. Asimismo, alega la vulneración de su derecho a la tutela judicial efectiva (art. 24.1 CE) en relación con el principio de doble incriminación, pues, a su entender, los hechos no constituirían un delito de tráfico de drogas, sino uno de cohecho, sin equivalente en el ordenamiento jurídico-penal marroquí.</w:t>
      </w:r>
    </w:p>
    <w:p w14:paraId="6CCBDB6B" w14:textId="77777777" w:rsidR="009D7677" w:rsidRDefault="009D7677" w:rsidP="009D7677">
      <w:pPr>
        <w:pStyle w:val="TextoNormal"/>
      </w:pPr>
    </w:p>
    <w:p w14:paraId="32A5D508" w14:textId="63AD8D6F" w:rsidR="009D7677" w:rsidRDefault="009D7677" w:rsidP="009D7677">
      <w:pPr>
        <w:pStyle w:val="TextoNormal"/>
      </w:pPr>
      <w:r>
        <w:t>El fiscal ante el Tribunal Constitucional interesa la desestimación de la demanda.</w:t>
      </w:r>
    </w:p>
    <w:p w14:paraId="6C881E30" w14:textId="77777777" w:rsidR="009D7677" w:rsidRDefault="009D7677" w:rsidP="009D7677">
      <w:pPr>
        <w:pStyle w:val="TextoNormal"/>
      </w:pPr>
    </w:p>
    <w:p w14:paraId="0A5F68F9" w14:textId="77777777" w:rsidR="009D7677" w:rsidRDefault="009D7677" w:rsidP="009D7677">
      <w:pPr>
        <w:pStyle w:val="TextoNormal"/>
      </w:pPr>
      <w:r w:rsidRPr="009D7677">
        <w:rPr>
          <w:rStyle w:val="NumeroAFNegritaCaracter"/>
        </w:rPr>
        <w:t>2</w:t>
      </w:r>
      <w:r>
        <w:t xml:space="preserve">. </w:t>
      </w:r>
      <w:r w:rsidRPr="009D7677">
        <w:rPr>
          <w:i/>
        </w:rPr>
        <w:t>Especial trascendencia constitucional</w:t>
      </w:r>
    </w:p>
    <w:p w14:paraId="13BDF5AD" w14:textId="77777777" w:rsidR="009D7677" w:rsidRDefault="009D7677" w:rsidP="009D7677">
      <w:pPr>
        <w:pStyle w:val="TextoNormal"/>
      </w:pPr>
    </w:p>
    <w:p w14:paraId="21CEB842" w14:textId="77777777" w:rsidR="009D7677" w:rsidRDefault="009D7677" w:rsidP="009D7677">
      <w:pPr>
        <w:pStyle w:val="TextoNormal"/>
      </w:pPr>
      <w:r>
        <w:t>La Sección Tercera del Tribunal Constitucional, por providencia de 23 de octubre de 2023, admitió a trámite el presente recurso de amparo apreciando la concurrencia de especial trascendencia constitucional (art. 50.1 LOTC) porque el recurso puede dar ocasión al Tribunal para aclarar o cambiar su doctrina, como consecuencia de un proceso de reflexión interna [STC 155/2009, FJ 2 b)].</w:t>
      </w:r>
    </w:p>
    <w:p w14:paraId="40590A7E" w14:textId="77777777" w:rsidR="009D7677" w:rsidRDefault="009D7677" w:rsidP="009D7677">
      <w:pPr>
        <w:pStyle w:val="TextoNormal"/>
      </w:pPr>
    </w:p>
    <w:p w14:paraId="42888C6E" w14:textId="77777777" w:rsidR="009D7677" w:rsidRDefault="009D7677" w:rsidP="009D7677">
      <w:pPr>
        <w:pStyle w:val="TextoNormal"/>
      </w:pPr>
      <w:r>
        <w:t xml:space="preserve">Como hemos expresado en la reciente STC 17/2024, de 31 de enero, “[d]esde la STC 9/2015, de 2 de febrero, FJ 3, hemos establecido que ‘constituye una exigencia de certeza que este tribunal explicite el cumplimiento de este requisito, haciendo así recognoscibles los criterios de aplicación empleados al respecto por este tribunal [sentencia del Tribunal Europeo de Derechos Humanos (STEDH) de 20 de enero de 2015, asunto </w:t>
      </w:r>
      <w:r w:rsidRPr="009D7677">
        <w:rPr>
          <w:i/>
        </w:rPr>
        <w:t>Arribas Antón c. España</w:t>
      </w:r>
      <w:r>
        <w:t xml:space="preserve">]’, lo que también aconseja evitar la dispersión de criterios en asuntos que presentan una acusada identidad de objeto. Declaramos por ello que, en la medida en que el </w:t>
      </w:r>
      <w:r>
        <w:lastRenderedPageBreak/>
        <w:t>presente recurso de amparo sitúa el fundamento impugnatorio en que las resoluciones de la Audiencia Nacional han vulnerado sus derechos fundamentales a la tutela judicial efectiva, a un proceso con todas las garantías, y a la libertad personal y de circulación (art. 24.1 y 2 CE, en conexión con los arts. 17 y 19 CE) por haber autorizado una solicitud de extradición remitida por el fiscal del rey ante el Tribunal de Apelación de Tánger carente de refrendo judicial, resulta especialmente idóneo para iniciar, si procede, un proceso de reflexión interna dirigido aclarar o cambiar la doctrina sentada en las SSTC 147/2020 y 147/2021, necesidad reforzada por la reiteración de asuntos de extradición pasiva, procedentes del mismo país y de otros, que inciden en la misma cuestión, por lo que declaramos que la especial trascendencia constitucional del presente recurso de amparo debe quedar igualmente encuadrada en el supuesto de la letra b) de la STC 155/2009, de 25 de junio”.</w:t>
      </w:r>
    </w:p>
    <w:p w14:paraId="52679B99" w14:textId="77777777" w:rsidR="009D7677" w:rsidRDefault="009D7677" w:rsidP="009D7677">
      <w:pPr>
        <w:pStyle w:val="TextoNormal"/>
      </w:pPr>
    </w:p>
    <w:p w14:paraId="0331F518" w14:textId="73F9A3BB" w:rsidR="009D7677" w:rsidRDefault="009D7677" w:rsidP="009D7677">
      <w:pPr>
        <w:pStyle w:val="TextoNormal"/>
      </w:pPr>
      <w:r>
        <w:t>Pues bien, dado que el supuesto planteado en este recurso es similar, si no casi idéntico, al que valoramos en la STC 17/2024, ha de concluirse que goza de la misma especial trascendencia constitucional que observamos entonces, debiendo ser objeto del mismo proceso de reflexión interna.</w:t>
      </w:r>
    </w:p>
    <w:p w14:paraId="05D9C00F" w14:textId="77777777" w:rsidR="009D7677" w:rsidRDefault="009D7677" w:rsidP="009D7677">
      <w:pPr>
        <w:pStyle w:val="TextoNormal"/>
      </w:pPr>
    </w:p>
    <w:p w14:paraId="79031D61" w14:textId="77777777" w:rsidR="009D7677" w:rsidRDefault="009D7677" w:rsidP="009D7677">
      <w:pPr>
        <w:pStyle w:val="TextoNormal"/>
      </w:pPr>
      <w:r w:rsidRPr="009D7677">
        <w:rPr>
          <w:rStyle w:val="NumeroAFNegritaCaracter"/>
        </w:rPr>
        <w:t>3</w:t>
      </w:r>
      <w:r>
        <w:t xml:space="preserve">. </w:t>
      </w:r>
      <w:r w:rsidRPr="009D7677">
        <w:rPr>
          <w:i/>
        </w:rPr>
        <w:t>Consideraciones previas. Orden de examen de las quejas</w:t>
      </w:r>
    </w:p>
    <w:p w14:paraId="7AEB066A" w14:textId="77777777" w:rsidR="009D7677" w:rsidRDefault="009D7677" w:rsidP="009D7677">
      <w:pPr>
        <w:pStyle w:val="TextoNormal"/>
      </w:pPr>
    </w:p>
    <w:p w14:paraId="612DDB10" w14:textId="77777777" w:rsidR="009D7677" w:rsidRDefault="009D7677" w:rsidP="009D7677">
      <w:pPr>
        <w:pStyle w:val="TextoNormal"/>
      </w:pPr>
      <w:r>
        <w:t>Para determinar el orden de examen de las quejas articuladas por el actor debemos atenernos a los criterios expuestos en nuestra doctrina, según la cual, en el análisis de las diferentes lesiones alegadas ha de seguirse el criterio de “mayor retroacción” (SSTC 180/2015, de 7 de septiembre, FJ 3, y 102/2020, de 21 de septiembre, FJ 2), lo que implica conceder prioridad al examen de aquellas causas que, de prosperar, determinarían la retroacción a un momento procesal más antiguo y haría innecesario un pronunciamiento sobre las restantes (SSTC 152/2015, de 6 de julio, FJ 3; 56/2019, de 6 de mayo, FJ 2, 41/2020, de 9 de marzo, FJ 2, y 148/2023, de 6 de noviembre, FJ 2).</w:t>
      </w:r>
    </w:p>
    <w:p w14:paraId="43E9DE1A" w14:textId="77777777" w:rsidR="009D7677" w:rsidRDefault="009D7677" w:rsidP="009D7677">
      <w:pPr>
        <w:pStyle w:val="TextoNormal"/>
      </w:pPr>
    </w:p>
    <w:p w14:paraId="3CA54A0F" w14:textId="77777777" w:rsidR="009D7677" w:rsidRDefault="009D7677" w:rsidP="009D7677">
      <w:pPr>
        <w:pStyle w:val="TextoNormal"/>
      </w:pPr>
      <w:r>
        <w:t>En las SSTC 115/2002, de 20 de mayo, FJ 3; 65/2003, de 7 de abril, FJ 2; 198/2003, de 10 de noviembre, FJ 3, o, más recientemente, en las SSTC 37/2018, de 23 de abril, FJ 2, y 78/2019, de 3 de junio, FJ 2, declaramos que corresponde a este tribunal, en función de las circunstancias concurrentes en cada supuesto concreto sometido a su consideración, determinar no solo el orden del examen de las quejas, sino también si resulta necesario o conveniente pronunciarse en la sentencia sobre todas las lesiones de derechos constitucionales denunciadas, en el caso de que ya se haya apreciado la concurrencia de alguna de ellas.</w:t>
      </w:r>
    </w:p>
    <w:p w14:paraId="06CD4D6A" w14:textId="77777777" w:rsidR="009D7677" w:rsidRDefault="009D7677" w:rsidP="009D7677">
      <w:pPr>
        <w:pStyle w:val="TextoNormal"/>
      </w:pPr>
    </w:p>
    <w:p w14:paraId="42E018A8" w14:textId="59F6C553" w:rsidR="009D7677" w:rsidRDefault="009D7677" w:rsidP="009D7677">
      <w:pPr>
        <w:pStyle w:val="TextoNormal"/>
      </w:pPr>
      <w:r>
        <w:t>Siguiendo este criterio analizaremos, en primer lugar, la eventual vulneración de los derechos fundamentales a la tutela judicial efectiva sin indefensión (art. 24.1 CE) y a un procedimiento con todas las garantías (art. 24.2 CE) que se imputa a los órganos judiciales por haber accedido a una extradición que no contaba con un previo control judicial del país requirente. En caso de que no proceda la estimación de esta queja, procederemos al análisis de la vulneración del derecho fundamental a la tutela judicial efectiva (art. 24.1 CE), en relación con el principio de doble incriminación, en cuanto el demandante entiende que los hechos que se le imputan no constituirían un delito de tráfico de drogas, sino uno de cohecho, sin equivalente en el ordenamiento jurídico-penal marroquí.</w:t>
      </w:r>
    </w:p>
    <w:p w14:paraId="01085859" w14:textId="77777777" w:rsidR="009D7677" w:rsidRDefault="009D7677" w:rsidP="009D7677">
      <w:pPr>
        <w:pStyle w:val="TextoNormal"/>
      </w:pPr>
    </w:p>
    <w:p w14:paraId="550C23B2" w14:textId="77777777" w:rsidR="009D7677" w:rsidRDefault="009D7677" w:rsidP="009D7677">
      <w:pPr>
        <w:pStyle w:val="TextoNormal"/>
      </w:pPr>
      <w:r w:rsidRPr="009D7677">
        <w:rPr>
          <w:rStyle w:val="NumeroAFNegritaCaracter"/>
        </w:rPr>
        <w:lastRenderedPageBreak/>
        <w:t>4</w:t>
      </w:r>
      <w:r>
        <w:t xml:space="preserve">. </w:t>
      </w:r>
      <w:r w:rsidRPr="009D7677">
        <w:rPr>
          <w:i/>
        </w:rPr>
        <w:t>La doctrina establecida en la STC 17/2024, de 31 de enero, sobre la tutela judicial de la libertad en los procedimientos de extradición pasiva</w:t>
      </w:r>
    </w:p>
    <w:p w14:paraId="325668AA" w14:textId="77777777" w:rsidR="009D7677" w:rsidRDefault="009D7677" w:rsidP="009D7677">
      <w:pPr>
        <w:pStyle w:val="TextoNormal"/>
      </w:pPr>
    </w:p>
    <w:p w14:paraId="0B830A6C" w14:textId="77777777" w:rsidR="009D7677" w:rsidRDefault="009D7677" w:rsidP="009D7677">
      <w:pPr>
        <w:pStyle w:val="TextoNormal"/>
      </w:pPr>
      <w:r>
        <w:t xml:space="preserve">En la reciente STC 17/2024, de 31 de enero, este tribunal ha aclarado que la doctrina fijada en las SSTC 147/2020 y 147/2021 sobre tutela judicial del derecho a la libertad en los procedimientos de extradición pasiva fijada distingue dos tipos de garantía. En primer lugar, una garantía básica, consistente en que el órgano judicial al examinar la petición de extradición verifique la imparcialidad de la autoridad que la ha emitido, tratándose de una garantía inherente al deber de motivación reforzada de una decisión que ha de afectar necesariamente a la esfera de la libertad personal del reclamado. Y, en segundo término, una garantía específica, consistente en que la solicitud venga refrendada por una autoridad judicial desde el mismo país de origen, fundada en el art. 7.1 a) LEP, que es de directa aplicación en aquellos supuestos de ausencia de convenio extradicional con el Estado reclamante (STC 147/2021, FJ 4), pero que puede verse modulada en función de lo previsto en el convenio de extradición vigente entre las partes, al tratarse de una fuente normativa de aplicación preferente </w:t>
      </w:r>
      <w:r w:rsidRPr="009D7677">
        <w:rPr>
          <w:i/>
        </w:rPr>
        <w:t>ex</w:t>
      </w:r>
      <w:r>
        <w:t xml:space="preserve"> art. 1.1 LEP. Así debe afirmarse que, aun cuando sea una exigencia inherente a la tutela judicial efectiva del derecho a la libertad personal del </w:t>
      </w:r>
      <w:r w:rsidRPr="009D7677">
        <w:rPr>
          <w:i/>
        </w:rPr>
        <w:t>extraditurus</w:t>
      </w:r>
      <w:r>
        <w:t xml:space="preserve"> que nuestros tribunales verifiquen que la necesidad y proporcionalidad de la medida ha sido debidamente ponderada por un órgano judicial del país emisor, dicha intermediación judicial puede dispensarse excepcionalmente cuando concurran las siguientes exigencias:</w:t>
      </w:r>
    </w:p>
    <w:p w14:paraId="7B7A172B" w14:textId="77777777" w:rsidR="009D7677" w:rsidRDefault="009D7677" w:rsidP="009D7677">
      <w:pPr>
        <w:pStyle w:val="TextoNormal"/>
      </w:pPr>
    </w:p>
    <w:p w14:paraId="0C41B8B0" w14:textId="77777777" w:rsidR="009D7677" w:rsidRDefault="009D7677" w:rsidP="009D7677">
      <w:pPr>
        <w:pStyle w:val="TextoNormal"/>
      </w:pPr>
      <w:r>
        <w:t>(i) Que se trate de un procedimiento de extradición regido por un convenio bilateral o multilateral que admita la posibilidad de que la petición de entrega pueda emanar de una autoridad no jurisdiccional.</w:t>
      </w:r>
    </w:p>
    <w:p w14:paraId="306720A1" w14:textId="77777777" w:rsidR="009D7677" w:rsidRDefault="009D7677" w:rsidP="009D7677">
      <w:pPr>
        <w:pStyle w:val="TextoNormal"/>
      </w:pPr>
    </w:p>
    <w:p w14:paraId="10EAA7DD" w14:textId="77777777" w:rsidR="009D7677" w:rsidRDefault="009D7677" w:rsidP="009D7677">
      <w:pPr>
        <w:pStyle w:val="TextoNormal"/>
      </w:pPr>
      <w:r>
        <w:t>(ii) Que el país requirente suministre información suficientemente expresiva de que se trata de una autoridad que, conforme a su legislación interna, está facultada para emitir una solicitud de extradición en condiciones equivalentes a las de una autoridad judicial.</w:t>
      </w:r>
    </w:p>
    <w:p w14:paraId="693CF567" w14:textId="77777777" w:rsidR="009D7677" w:rsidRDefault="009D7677" w:rsidP="009D7677">
      <w:pPr>
        <w:pStyle w:val="TextoNormal"/>
      </w:pPr>
    </w:p>
    <w:p w14:paraId="6F6B4BAA" w14:textId="16BF3752" w:rsidR="009D7677" w:rsidRDefault="009D7677" w:rsidP="009D7677">
      <w:pPr>
        <w:pStyle w:val="TextoNormal"/>
      </w:pPr>
      <w:r>
        <w:t>(iii) Que el contenido de la solicitud y de la documentación anexa proporcione a los órganos judiciales españoles la información necesaria para verificar que la misma resulta necesaria y proporcionada.</w:t>
      </w:r>
    </w:p>
    <w:p w14:paraId="3A399195" w14:textId="77777777" w:rsidR="009D7677" w:rsidRDefault="009D7677" w:rsidP="009D7677">
      <w:pPr>
        <w:pStyle w:val="TextoNormal"/>
      </w:pPr>
    </w:p>
    <w:p w14:paraId="193A8199" w14:textId="77777777" w:rsidR="009D7677" w:rsidRDefault="009D7677" w:rsidP="009D7677">
      <w:pPr>
        <w:pStyle w:val="TextoNormal"/>
      </w:pPr>
      <w:r w:rsidRPr="009D7677">
        <w:rPr>
          <w:rStyle w:val="NumeroAFNegritaCaracter"/>
        </w:rPr>
        <w:t>5</w:t>
      </w:r>
      <w:r>
        <w:t xml:space="preserve">. </w:t>
      </w:r>
      <w:r w:rsidRPr="009D7677">
        <w:rPr>
          <w:i/>
        </w:rPr>
        <w:t>Aplicación al caso de la doctrina constitucional expuesta</w:t>
      </w:r>
    </w:p>
    <w:p w14:paraId="02F875C2" w14:textId="77777777" w:rsidR="009D7677" w:rsidRDefault="009D7677" w:rsidP="009D7677">
      <w:pPr>
        <w:pStyle w:val="TextoNormal"/>
      </w:pPr>
    </w:p>
    <w:p w14:paraId="6DD9930C" w14:textId="77777777" w:rsidR="009D7677" w:rsidRDefault="009D7677" w:rsidP="009D7677">
      <w:pPr>
        <w:pStyle w:val="TextoNormal"/>
      </w:pPr>
      <w:r>
        <w:t>La cuestión constitucional suscitada en este recurso en relación con el derecho fundamental a la libertad personal (art. 17 CE) y a la tutela judicial efectiva (art. 24 CE) es análoga a la que ya ha sido objeto de análisis por el Pleno de este tribunal en la STC 17/2024, en cuyos fundamentos jurídicos 3 y 4 se expusieron de manera pormenorizada las pautas de ponderación necesarias para determinar si en este tipo de supuestos se han vulnerado los citados derechos fundamentales y que han quedado reflejadas en el fundamento jurídico anterior.</w:t>
      </w:r>
    </w:p>
    <w:p w14:paraId="2F039A33" w14:textId="77777777" w:rsidR="009D7677" w:rsidRDefault="009D7677" w:rsidP="009D7677">
      <w:pPr>
        <w:pStyle w:val="TextoNormal"/>
      </w:pPr>
    </w:p>
    <w:p w14:paraId="061CC786" w14:textId="77777777" w:rsidR="009D7677" w:rsidRDefault="009D7677" w:rsidP="009D7677">
      <w:pPr>
        <w:pStyle w:val="TextoNormal"/>
      </w:pPr>
      <w:r>
        <w:t>En atención a ello, en este caso, al igual que en la STC 17/2024, el tribunal rechaza el planteamiento impugnatorio del demandante, pues el art. 12 a) del convenio bilateral de extradición no exige el dictado de una resolución judicial como punto de partida de la solicitud de entrega, por lo que la documentación remitida en apoyo de la solicitud de extra</w:t>
      </w:r>
      <w:r>
        <w:lastRenderedPageBreak/>
        <w:t>dición no queda fuera de la cobertura legal conformada por las fuentes aplicables. Por otra parte, se observa que la información complementaria remitida por el Estado requirente es suficientemente expresiva de la integración de la fiscalía en el órgano judicial, de sus condiciones de imparcialidad y del valor equivalente que la legislación del país otorga a las órdenes internacionales de arresto emitidas por el fiscal respecto de las emitidas por un juez de instrucción en el ámbito de su competencia, lo que excluye la necesidad de su validación judicial.</w:t>
      </w:r>
    </w:p>
    <w:p w14:paraId="5A006240" w14:textId="77777777" w:rsidR="009D7677" w:rsidRDefault="009D7677" w:rsidP="009D7677">
      <w:pPr>
        <w:pStyle w:val="TextoNormal"/>
      </w:pPr>
    </w:p>
    <w:p w14:paraId="6F1867E0" w14:textId="77777777" w:rsidR="009D7677" w:rsidRDefault="009D7677" w:rsidP="009D7677">
      <w:pPr>
        <w:pStyle w:val="TextoNormal"/>
      </w:pPr>
      <w:r>
        <w:t>En este sentido debemos recordar que la misión de los tribunales españoles se ha de limitar a depurar aquellas solicitudes de extradición que presenten indicios de falta de proporcionalidad o de fundamento, mediante el examen en concreto de las alegaciones y documentos aportados por la persona reclamada, y de las razones y documentos aportados por las autoridades requirentes junto con la petición de extradición o de aquellos otros que el tribunal español pueda solicitar como complemento de los anteriores.</w:t>
      </w:r>
    </w:p>
    <w:p w14:paraId="7C51854D" w14:textId="77777777" w:rsidR="009D7677" w:rsidRDefault="009D7677" w:rsidP="009D7677">
      <w:pPr>
        <w:pStyle w:val="TextoNormal"/>
      </w:pPr>
    </w:p>
    <w:p w14:paraId="51394C9E" w14:textId="77777777" w:rsidR="009D7677" w:rsidRDefault="009D7677" w:rsidP="009D7677">
      <w:pPr>
        <w:pStyle w:val="TextoNormal"/>
      </w:pPr>
      <w:r>
        <w:t>Pues bien, en este caso, la documentación remitida por las autoridades marroquíes por vía diplomática, que incluye la orden internacional de detención y la solicitud de extradición expedidas por el fiscal del rey, contiene una exposición circunstanciada tanto de los hechos imputados al demandante de amparo como de su calificación jurídica y de las diligencias de investigación practicadas bajo la dirección de la fiscalía marroquí, en cuyo resultado se funda dicha imputación, en términos que no permiten poner en duda la necesidad y proporcionalidad de su decisión de solicitar su entrega para asegurar su enjuiciamiento. Procede por ello declarar que las resoluciones judiciales impugnadas, al dar curso en vía jurisdiccional a dicha solicitud, no han vulnerado los derechos fundamentales sustantivos y procesales invocados en la demanda de amparo.</w:t>
      </w:r>
    </w:p>
    <w:p w14:paraId="2C779612" w14:textId="77777777" w:rsidR="009D7677" w:rsidRDefault="009D7677" w:rsidP="009D7677">
      <w:pPr>
        <w:pStyle w:val="TextoNormal"/>
      </w:pPr>
    </w:p>
    <w:p w14:paraId="141582B8" w14:textId="02C50D87" w:rsidR="009D7677" w:rsidRDefault="009D7677" w:rsidP="009D7677">
      <w:pPr>
        <w:pStyle w:val="TextoNormal"/>
      </w:pPr>
      <w:r>
        <w:t>Por lo dicho, el motivo ha de ser desestimado.</w:t>
      </w:r>
    </w:p>
    <w:p w14:paraId="361FAF72" w14:textId="77777777" w:rsidR="009D7677" w:rsidRDefault="009D7677" w:rsidP="009D7677">
      <w:pPr>
        <w:pStyle w:val="TextoNormal"/>
      </w:pPr>
    </w:p>
    <w:p w14:paraId="5FD09074" w14:textId="77777777" w:rsidR="009D7677" w:rsidRDefault="009D7677" w:rsidP="009D7677">
      <w:pPr>
        <w:pStyle w:val="TextoNormal"/>
      </w:pPr>
      <w:r w:rsidRPr="009D7677">
        <w:rPr>
          <w:rStyle w:val="NumeroAFNegritaCaracter"/>
        </w:rPr>
        <w:t>6</w:t>
      </w:r>
      <w:r>
        <w:t xml:space="preserve">. </w:t>
      </w:r>
      <w:r w:rsidRPr="009D7677">
        <w:rPr>
          <w:i/>
        </w:rPr>
        <w:t>La queja relativa a la vulneración del derecho a la tutela judicial efectiva en relación con el principio de doble incriminación</w:t>
      </w:r>
    </w:p>
    <w:p w14:paraId="1956D2F5" w14:textId="77777777" w:rsidR="009D7677" w:rsidRDefault="009D7677" w:rsidP="009D7677">
      <w:pPr>
        <w:pStyle w:val="TextoNormal"/>
      </w:pPr>
    </w:p>
    <w:p w14:paraId="4951DAE3" w14:textId="77777777" w:rsidR="009D7677" w:rsidRDefault="009D7677" w:rsidP="009D7677">
      <w:pPr>
        <w:pStyle w:val="TextoNormal"/>
      </w:pPr>
      <w:r>
        <w:t>La segunda vulneración que el recurrente imputa a las resoluciones impugnadas es la del derecho a la tutela judicial efectiva sin indefensión (art. 24.1 CE), por cuanto sostiene que, partiendo de una lectura global de la solicitud de extradición, la actuación que se le imputa es la de haber obtenido la colaboración de un agente de aduanas a cambio de dinero para efectuar el transporte de las sustancias estupefacientes. Para el demandante, estos hechos deberían ser calificados como un delito de cohecho y no como un delito de tráfico de drogas y, dado que no existe la correspondiente figura delictiva en Marruecos, procedería denegar su extradición, siendo que las garantías prestadas por Marruecos únicamente se han prestado para el delito de tráfico de drogas.</w:t>
      </w:r>
    </w:p>
    <w:p w14:paraId="162F47AA" w14:textId="77777777" w:rsidR="009D7677" w:rsidRDefault="009D7677" w:rsidP="009D7677">
      <w:pPr>
        <w:pStyle w:val="TextoNormal"/>
      </w:pPr>
    </w:p>
    <w:p w14:paraId="4B07EC17" w14:textId="77777777" w:rsidR="009D7677" w:rsidRDefault="009D7677" w:rsidP="009D7677">
      <w:pPr>
        <w:pStyle w:val="TextoNormal"/>
      </w:pPr>
      <w:r>
        <w:t xml:space="preserve">Ciertamente, el principio de la doble incriminación está incluido en el derecho fundamental a la legalidad penal (SSTC 11/1983, de 21 de febrero, y 102/1997, de 20 de mayo; AATC 95/1999 , de 14 de abril, y 121/2000 de 16 de mayo) y su significado consiste en que el hecho sea delictivo y esté sancionado con una determinada penalidad en las legislaciones punitivas del Estado requirente y del Estado requerido (STC 102/1997 y ATC 23/1997 de 27 de enero), si bien no implica la identidad de penas en ambas legislaciones, sino que basta que se cumplan los mínimos penales previstos en las normas aplicables, en </w:t>
      </w:r>
      <w:r>
        <w:lastRenderedPageBreak/>
        <w:t>este caso los establecidos en el Convenio de Extradición entre el Reino de España y el Reino de Marruecos, suscrito en Rabat el 24 de junio de 2009.</w:t>
      </w:r>
    </w:p>
    <w:p w14:paraId="31EFF582" w14:textId="77777777" w:rsidR="009D7677" w:rsidRDefault="009D7677" w:rsidP="009D7677">
      <w:pPr>
        <w:pStyle w:val="TextoNormal"/>
      </w:pPr>
    </w:p>
    <w:p w14:paraId="69D291C4" w14:textId="77777777" w:rsidR="009D7677" w:rsidRDefault="009D7677" w:rsidP="009D7677">
      <w:pPr>
        <w:pStyle w:val="TextoNormal"/>
      </w:pPr>
      <w:r>
        <w:t>De conformidad con esta doctrina, no podemos apreciar en la respuesta judicial dada por las resoluciones judiciales impugnadas la lesión que invoca el recurrente, pues la Audiencia Nacional justifica el cumplimiento del principio de doble incriminación en el presente caso de forma razonable y suficientemente motivada, afirmando que el relato fáctico acogido en la demanda extradicional refleja perfectamente un delito de tráfico de drogas imputado al señor Boutajer, siendo que los hechos conexos que presuntamente serían constitutivos de cohecho ya habrían sido juzgados. Así aparece especificado por el Pleno de la Sala de lo Penal de la Audiencia Nacional al señalar que “[l]a mera lectura de las actuaciones, y en concreto de la nota verbal emitida por las autoridades marroquíes, descartan absolutamente esta interpretación, como así hace de forma detallada el auto recurrido. La nota verbal emitida por las autoridades marroquíes describe con detalle los hechos por los que se le reclama, y así, se le imputa ser el responsable de los hechos acaecidos en la noche del 3 y 4 de septiembre de 2020, hechos constitutivos de un delito de tráfico de drogas (se le imputa ser la persona responsable de la cantidad incautada el 4 de septiembre de 2020, esto es, 4280 kilogramos de hachís, diecinueve bidones de treinta litros de gasolina en las costas dependientes de la zona 03 del centro de vigilancia 21, al nivel de Oued Amakran, comuna de Beni Marghnine, provincia de Driuch). La referencia al delito de cohecho no es correcta. No se le reclama por tal delito, como tampoco ha sido enjuiciado por los hechos por los que ahora se le reclama, tal y como como expone la resolución recurrida en el fundamento jurídico noveno. El delito de tráfico de drogas por el que se le reclama no ha sido enjuiciado, tal y como ya se puso de relieve por el Juzgado Central de Instrucción número 3 den el auto de 4 de mayo de 2023 al elevar la extradición a la Sala. Las sentencias aportadas por la defensa (sentencia 290 del 14/12/2020 dictada por el Juzgado de Primera Instancia de Driouch, confirmada por la sentencia 609 de 20/05/2021 dictada por el Juzgado de Apelación de Nador) se condena por un delito de cohecho y por un delito de falsedad, hechos ocurridos el 20 de septiembre. Por los hechos por los que ahora se le reclama son anteriores, y como señala la resolución ‘no están prescritos’, al haber tenido lugar la noche del 3 al 4 de septiembre de 2020.</w:t>
      </w:r>
    </w:p>
    <w:p w14:paraId="79E292A7" w14:textId="77777777" w:rsidR="009D7677" w:rsidRDefault="009D7677" w:rsidP="009D7677">
      <w:pPr>
        <w:pStyle w:val="TextoNormal"/>
      </w:pPr>
    </w:p>
    <w:p w14:paraId="706835EB" w14:textId="77777777" w:rsidR="009D7677" w:rsidRDefault="009D7677" w:rsidP="009D7677">
      <w:pPr>
        <w:pStyle w:val="TextoNormal"/>
      </w:pPr>
      <w:r>
        <w:t xml:space="preserve">Por los mismos motivos expuestos, a la misma conclusión se llega con relación a la supuesta infracción del principio </w:t>
      </w:r>
      <w:r w:rsidRPr="009D7677">
        <w:rPr>
          <w:i/>
        </w:rPr>
        <w:t>non bis in idem</w:t>
      </w:r>
      <w:r>
        <w:t xml:space="preserve">. Al no haber sido enjuiciados los hechos por los que se le reclama, no se puede hablar de infracción del principio </w:t>
      </w:r>
      <w:r w:rsidRPr="009D7677">
        <w:rPr>
          <w:i/>
        </w:rPr>
        <w:t>non bis in idem</w:t>
      </w:r>
      <w:r>
        <w:t xml:space="preserve"> ni de cosa juzgada”.</w:t>
      </w:r>
    </w:p>
    <w:p w14:paraId="5DF1C619" w14:textId="77777777" w:rsidR="009D7677" w:rsidRDefault="009D7677" w:rsidP="009D7677">
      <w:pPr>
        <w:pStyle w:val="TextoNormal"/>
      </w:pPr>
    </w:p>
    <w:p w14:paraId="50F5C113" w14:textId="77777777" w:rsidR="009D7677" w:rsidRDefault="009D7677" w:rsidP="009D7677">
      <w:pPr>
        <w:pStyle w:val="TextoNormal"/>
      </w:pPr>
      <w:r>
        <w:t>Como bien razona el fiscal, en el procedimiento de extradición no cabe una revisión del proceso de subsunción de los hechos en los tipos penales de ambas legislaciones, salvo que tal subsunción resulte ajena al significado posible de los términos de la norma (ATC 412/2004, de 2 de noviembre, FJ 4) y, en el presente caso, los órganos jurisdiccionales españoles, cuando han considerado los hechos subsumibles en un delito contra la salud pública, han realizado una interpretación de las normas penales españolas que no desborda su contenido. En los hechos que sustentan la demanda extradicional, además del logro de la connivencia de un funcionario para facilitar el transporte de la mercancía, se narra cómo se produce un traslado de 4250 kilos de hachís hasta un lugar intermedio, previo al previsto desplazamiento definitivo de la droga hasta la costa. Se hace así mención a una disponibilidad sobre la sustancia que está abarcada por el tenor literal posible del tipo penal.</w:t>
      </w:r>
    </w:p>
    <w:p w14:paraId="468BFD3C" w14:textId="77777777" w:rsidR="009D7677" w:rsidRDefault="009D7677" w:rsidP="009D7677">
      <w:pPr>
        <w:pStyle w:val="TextoNormal"/>
      </w:pPr>
    </w:p>
    <w:p w14:paraId="58D49CAF" w14:textId="037EC1B0" w:rsidR="009D7677" w:rsidRDefault="009D7677" w:rsidP="009D7677">
      <w:pPr>
        <w:pStyle w:val="TextoNormal"/>
      </w:pPr>
      <w:r>
        <w:t>En consecuencia, la queja debe ser desestimada.</w:t>
      </w:r>
    </w:p>
    <w:p w14:paraId="1908EE54" w14:textId="77777777" w:rsidR="009D7677" w:rsidRDefault="009D7677" w:rsidP="009D7677">
      <w:pPr>
        <w:pStyle w:val="TextoNormal"/>
      </w:pPr>
    </w:p>
    <w:p w14:paraId="3389CA54" w14:textId="77777777" w:rsidR="009D7677" w:rsidRDefault="009D7677" w:rsidP="009D7677">
      <w:pPr>
        <w:pStyle w:val="TextoNormalCentrado"/>
        <w:keepNext/>
      </w:pPr>
      <w:r>
        <w:t>FALLO</w:t>
      </w:r>
    </w:p>
    <w:p w14:paraId="04FCEFF1" w14:textId="768DA898" w:rsidR="009D7677" w:rsidRDefault="009D7677" w:rsidP="009D7677">
      <w:pPr>
        <w:pStyle w:val="TextoNormalCentrado"/>
        <w:keepNext/>
      </w:pPr>
    </w:p>
    <w:p w14:paraId="2A5E34FB" w14:textId="7B235DB7" w:rsidR="009D7677" w:rsidRDefault="009D7677" w:rsidP="009D7677">
      <w:pPr>
        <w:pStyle w:val="TextoNormal"/>
      </w:pPr>
      <w:r>
        <w:t>En atención a todo lo expuesto, el Tribunal Constitucional, por la autoridad que le confiere la Constitución de la Nación española, ha decidido desestimar el presente recurso de amparo.</w:t>
      </w:r>
    </w:p>
    <w:p w14:paraId="282B56CD" w14:textId="77777777" w:rsidR="009D7677" w:rsidRDefault="009D7677" w:rsidP="009D7677">
      <w:pPr>
        <w:pStyle w:val="TextoNormal"/>
      </w:pPr>
    </w:p>
    <w:p w14:paraId="5A868021" w14:textId="77777777" w:rsidR="009D7677" w:rsidRDefault="009D7677" w:rsidP="009D7677">
      <w:pPr>
        <w:pStyle w:val="TextoNormal"/>
      </w:pPr>
      <w:r>
        <w:t>Publíquese esta sentencia en el “Boletín Oficial del Estado”.</w:t>
      </w:r>
    </w:p>
    <w:p w14:paraId="7666C419" w14:textId="77777777" w:rsidR="009D7677" w:rsidRDefault="009D7677" w:rsidP="009D7677">
      <w:pPr>
        <w:pStyle w:val="TextoNormal"/>
      </w:pPr>
      <w:r>
        <w:t>Dada en Madrid, a once de marzo de dos mil veinticuatro.</w:t>
      </w:r>
    </w:p>
    <w:p w14:paraId="20BC25AA" w14:textId="74EE5604" w:rsidR="009D7677" w:rsidRDefault="009D7677" w:rsidP="009D7677">
      <w:pPr>
        <w:pStyle w:val="ParrafoNormal"/>
      </w:pPr>
    </w:p>
    <w:p w14:paraId="2D30E04E" w14:textId="77777777" w:rsidR="009D7677" w:rsidRDefault="009D7677" w:rsidP="009D7677">
      <w:pPr>
        <w:pStyle w:val="TextoNormalNegritaCentrado"/>
        <w:keepNext/>
      </w:pPr>
      <w:r>
        <w:t>Voto particular discrepante que formula el magistrado don Ramón Sáez Valcárcel a la sentencia que resuelve el recurso de amparo núm. 6218-2023</w:t>
      </w:r>
    </w:p>
    <w:p w14:paraId="66F26DFD" w14:textId="7D7283A2" w:rsidR="009D7677" w:rsidRDefault="009D7677" w:rsidP="009D7677">
      <w:pPr>
        <w:pStyle w:val="TextoNormalNegritaCentrado"/>
        <w:keepNext/>
      </w:pPr>
    </w:p>
    <w:p w14:paraId="2F63BA67" w14:textId="77777777" w:rsidR="009D7677" w:rsidRDefault="009D7677" w:rsidP="009D7677">
      <w:pPr>
        <w:pStyle w:val="TextoNormal"/>
      </w:pPr>
      <w:r>
        <w:t>1. Expreso mi desacuerdo con la doctrina elaborada en la STC 17/2024, de 31 de enero, que aquí se aplica, al no haber podido intervenir en su elaboración por abstención (había participado en la resolución del recurso de súplica extradicional del que traía causa el recurso de amparo).</w:t>
      </w:r>
    </w:p>
    <w:p w14:paraId="420BED92" w14:textId="77777777" w:rsidR="009D7677" w:rsidRDefault="009D7677" w:rsidP="009D7677">
      <w:pPr>
        <w:pStyle w:val="TextoNormal"/>
      </w:pPr>
    </w:p>
    <w:p w14:paraId="71624708" w14:textId="77777777" w:rsidR="009D7677" w:rsidRDefault="009D7677" w:rsidP="009D7677">
      <w:pPr>
        <w:pStyle w:val="TextoNormal"/>
      </w:pPr>
      <w:r>
        <w:t>2. La STC 17/2024 ha venido a desactivar en el procedimiento de extradición pasiva de carácter procesal o cautelar —con finalidad de persecución penal— la garantía jurisdiccional de la privación de libertad del reclamado en relación con las decisiones que soportaban la petición de entrega en el Estado requirente, que habían establecido las SSTC 147/2020 y 147/2021. Para este fin el análisis del caso, en aquel recurso y en el que nos ocupa, abandona la perspectiva constitucional de la tutela judicial efectiva y el derecho al proceso con todas las garantías en conexión con el derecho a la libertad personal (arts. 24.1 y 2 y 17 CE), para adentrarse en un análisis de legalidad ordinaria acerca de los requerimientos documentales del Convenio bilateral de extradición entre España y Marruecos.</w:t>
      </w:r>
    </w:p>
    <w:p w14:paraId="15AE68F6" w14:textId="77777777" w:rsidR="009D7677" w:rsidRDefault="009D7677" w:rsidP="009D7677">
      <w:pPr>
        <w:pStyle w:val="TextoNormal"/>
      </w:pPr>
    </w:p>
    <w:p w14:paraId="0763FE44" w14:textId="77777777" w:rsidR="009D7677" w:rsidRDefault="009D7677" w:rsidP="009D7677">
      <w:pPr>
        <w:pStyle w:val="TextoNormal"/>
      </w:pPr>
      <w:r>
        <w:t>3. La doctrina que se ha dejado sin efecto afirmaba dos cosas: “que no hay garantía efectiva del derecho a la libertad sin una mediación judicial que controle la necesidad y proporcionalidad de la medida que le afecte” en la decisión que activó la extradición; y que cuando interviniera una autoridad pública no judicial, a la que la legislación del Estado requirente atribuyera participación en la administración de la justicia penal, como son las fiscalías, “demandará en todo caso la inexcusable concurrencia de una autoridad judicial incluso en aquellos casos en que sea incuestionable su independencia estructural del poder ejecutivo” (fundamento jurídico 3 de la STC 147/2021). Es decir, en la emisión de la extradición con fines procesales debería existir control judicial, único modo aceptable de entender que se ha respetado en el proceso penal de origen el canon del juicio de proporcionalidad para la restricción de la libertad personal del reclamado. Pues, la extradición es un procedimiento auxiliar del proceso penal que se sigue en el Estado requirente, sede en la que se acuerda la privación de libertad de la persona objeto de la reclamación. Y ello, al margen del marco regulador de la extradición, ya fuera un convenio bilateral o, en su ausencia, la Ley de extradición pasiva (4/1985, de 21 de marzo), criterio que en aquellas dos sentencias no jugaba papel alguno. Es una interpretación de la STC 147/2021 —</w:t>
      </w:r>
      <w:r>
        <w:lastRenderedPageBreak/>
        <w:t>también las sentencias son objeto de interpretación— la afirmación de que resultó relevante en la decisión la aplicabilidad de la Ley de extradición al no existir tratado con Angola, ley que exige la remisión del auto de procesamiento y prisión o de una resolución análoga. La argumentación de las dos sentencias que elaboraron la doctrina que ahora se abandona era de carácter constitucional y desde la perspectiva del encuadre que del objeto del recurso se había hecho en los derechos a la tutela judicial efectiva y al proceso con todas las garantías en relación con la libertad personal, de los art. 24.1 y 2 y 17 CE.</w:t>
      </w:r>
    </w:p>
    <w:p w14:paraId="7A2279EE" w14:textId="77777777" w:rsidR="009D7677" w:rsidRDefault="009D7677" w:rsidP="009D7677">
      <w:pPr>
        <w:pStyle w:val="TextoNormal"/>
      </w:pPr>
    </w:p>
    <w:p w14:paraId="24ECE273" w14:textId="77777777" w:rsidR="009D7677" w:rsidRDefault="009D7677" w:rsidP="009D7677">
      <w:pPr>
        <w:pStyle w:val="TextoNormal"/>
      </w:pPr>
      <w:r>
        <w:t>4. La STC 17/2024, que ahora se aplica para desestimar el recurso, considera que la “garantía específica, consistente en que la solicitud venga refrendada por una autoridad judicial desde el mismo país de origen”, que ya no considera fundada en el derecho a la tutela judicial efectiva y a un proceso con todas las garantías en relación con la libertad personal (arts. 24.1 y 2 y 17 CE) sino en la Ley de extradición pasiva, “puede verse modulada en función de lo previsto en el convenio de extradición vigente entre las partes”, de tal modo que la “intermediación judicial puede dispensarse excepcionalmente cuando concurran” tres requisitos, a saber, que el convenio admita la emisión de la solicitud de entrega por parte de una autoridad no judicial, que se acredite su competencia en el asunto y que la documentación proporcione al juez español la información suficiente para verificar que la misma resulta necesaria y proporcionada. Nada se dice acerca de cómo en el sistema continental de extradición —donde el juez de ejecución no puede enjuiciar la racionalidad y suficiencia indiciaria de la persecución penal que se sigue en el otro Estado— se puede acometer esa tarea de “verificación judicial” ni la documentación que debiera soportarla.</w:t>
      </w:r>
    </w:p>
    <w:p w14:paraId="68F6A9DD" w14:textId="77777777" w:rsidR="009D7677" w:rsidRDefault="009D7677" w:rsidP="009D7677">
      <w:pPr>
        <w:pStyle w:val="TextoNormal"/>
      </w:pPr>
    </w:p>
    <w:p w14:paraId="2F00F4CC" w14:textId="77777777" w:rsidR="009D7677" w:rsidRDefault="009D7677" w:rsidP="009D7677">
      <w:pPr>
        <w:pStyle w:val="TextoNormal"/>
      </w:pPr>
      <w:r>
        <w:t>Se trata, a mi juicio, de una degradación de los requerimientos constitucionales del procedimiento de extradición pasiva. Lo pone de manifiesto que la doctrina de la que discrepo mencione la intervención del juez, la garantía jurisdiccional, como mero “refrendo judicial” o “mediación judicial”, reduciendo la capacidad incisiva y de control que conlleva a lo que parece un acto de mera adhesión o convalidación.</w:t>
      </w:r>
    </w:p>
    <w:p w14:paraId="10AED221" w14:textId="77777777" w:rsidR="009D7677" w:rsidRDefault="009D7677" w:rsidP="009D7677">
      <w:pPr>
        <w:pStyle w:val="TextoNormal"/>
      </w:pPr>
    </w:p>
    <w:p w14:paraId="64922504" w14:textId="77777777" w:rsidR="009D7677" w:rsidRDefault="009D7677" w:rsidP="009D7677">
      <w:pPr>
        <w:pStyle w:val="TextoNormal"/>
      </w:pPr>
      <w:r>
        <w:t xml:space="preserve">5. La constitucionalización de la extradición en el art. 13 CE es un dato de especial trascendencia. Porque supone la transformación de la institución desde el paradigma del respeto a la soberanía en las relaciones entre Estados, la lucha contra la impunidad y la facilitación del ejercicio de la potestad punitiva, a la inserción de la extradición pasiva en el Estado de Derecho, con la consecuencia de someterla a los límites y vínculos que representan los derechos fundamentales, y con el reconocimiento de un estatuto jurídico de la persona reclamada, que goza plenamente de los derechos fundamentales y, entre ellos, de la garantía jurisdiccional de su libertad personal. De manera que la función del procedimiento de extradición pasiva ya no puede ser la de facilitar la entrega de una persona a otro Estado que le reclama para juzgarle o que cumpla condena, sino la protección y el amparo de los derechos fundamentales de la persona, derechos humanos que forman parte del orden público internacional y del principio de legalidad extradicional. Es más, el Estado requerido no puede eludir su responsabilidad por las vulneraciones previsibles de los derechos humanos del extraditado que tengan lugar en el Estado requirente con posterioridad a la entrega (STEDH de 7 de julio de 1989, asunto </w:t>
      </w:r>
      <w:r w:rsidRPr="009D7677">
        <w:rPr>
          <w:i/>
        </w:rPr>
        <w:t>Soering c. Reino Unido</w:t>
      </w:r>
      <w:r>
        <w:t>, pár. 91, que ha propiciado la doctrina de la vulneración indirecta de los derechos fundamentales por la autoridad española que accediera a la entrega sin evaluar con el debido rigor los riesgos).</w:t>
      </w:r>
    </w:p>
    <w:p w14:paraId="6664942C" w14:textId="77777777" w:rsidR="009D7677" w:rsidRDefault="009D7677" w:rsidP="009D7677">
      <w:pPr>
        <w:pStyle w:val="TextoNormal"/>
      </w:pPr>
    </w:p>
    <w:p w14:paraId="106CD52E" w14:textId="77777777" w:rsidR="009D7677" w:rsidRDefault="009D7677" w:rsidP="009D7677">
      <w:pPr>
        <w:pStyle w:val="TextoNormal"/>
      </w:pPr>
      <w:r>
        <w:t>6. En este contexto de respeto y protección de los derechos fundamentales del reclamado, la exigencia de jurisdiccionalidad de la decisión del Estado de emisión de actuar la potestad de solicitar la entrega de un persona que se halla en España para perseguirle penalmente es una garantía mínima de protección de la libertad personal, porque condiciona de manera radical la capacidad del juez de la extradición pasiva para ejercer su función de guardián de los derechos fundamentales del extraditando y examinar la necesidad y proporcionalidad de la privación de libertad que provoca su admisión.</w:t>
      </w:r>
    </w:p>
    <w:p w14:paraId="068CF48C" w14:textId="77777777" w:rsidR="009D7677" w:rsidRDefault="009D7677" w:rsidP="009D7677">
      <w:pPr>
        <w:pStyle w:val="TextoNormal"/>
      </w:pPr>
    </w:p>
    <w:p w14:paraId="6F0B27D9" w14:textId="77777777" w:rsidR="009D7677" w:rsidRDefault="009D7677" w:rsidP="009D7677">
      <w:pPr>
        <w:pStyle w:val="TextoNormal"/>
      </w:pPr>
      <w:r>
        <w:t xml:space="preserve">Es importante distinguir la extradición procesal que nos ocupa, con fines de persecución penal o de enjuiciamiento, de la extradición ejecutiva que tiene por objeto el cumplimiento de una pena, pues en este supuesto no se plantea problema de control judicial. Porque la tramitación de la extradición pasiva conlleva la privación de libertad del reclamado —en uno u otro momento, a veces desde que se recibe preventivamente la orden policial de detención y durante meses—, sin que el Estado requerido pueda entrar a valorar en el sistema continental, al que responde nuestro modelo, si la persecución penal está suficientemente fundada, si está indiciariamente justificada, si persigue un fin legítimo, si es adecuada al mencionado fin, necesaria y estrictamente proporcionada y, por lo tanto, se puede descartar que sea una decisión arbitraria. El juicio cautelar o </w:t>
      </w:r>
      <w:r w:rsidRPr="009D7677">
        <w:rPr>
          <w:i/>
        </w:rPr>
        <w:t>prima facie</w:t>
      </w:r>
      <w:r>
        <w:t xml:space="preserve"> del juez de ejecución de la extradición pasiva tiene un ámbito muy limitado. De ahí que resulte imprescindible a efectos de otorgar legitimidad al proceso que se implante la garantía jurisdiccional en algún momento del planteamiento de la petición extradicional, ya sea al emitir la orden de detención internacional o en la formulación de la demanda de entrega, por la escasa capacidad de la intervención judicial en sede de ejecución que no puede remediar la ausencia de la garantía en la petición de cooperación. Aquí, de manera evidente, la jurisdiccionalidad de la decisión funciona como garantía de libertad y como prevención frente a persecuciones arbitrarias.</w:t>
      </w:r>
    </w:p>
    <w:p w14:paraId="4052617C" w14:textId="77777777" w:rsidR="009D7677" w:rsidRDefault="009D7677" w:rsidP="009D7677">
      <w:pPr>
        <w:pStyle w:val="TextoNormal"/>
      </w:pPr>
    </w:p>
    <w:p w14:paraId="5A7F9719" w14:textId="77777777" w:rsidR="009D7677" w:rsidRDefault="009D7677" w:rsidP="009D7677">
      <w:pPr>
        <w:pStyle w:val="TextoNormal"/>
      </w:pPr>
      <w:r>
        <w:t xml:space="preserve">7. Buena demostración de la imposibilidad de llevar a cabo la tercera exigencia que establece la nueva doctrina (que la solicitud y la documentación proporcionen información suficiente para verificar que la misma resulta necesaria y proporcionada) a la vista de los requerimientos documentales de la extradición que —de manera homogénea establecen, en este punto, la ley y los convenios bilaterales— es que nuestras sentencias, en aquel recurso de amparo y en estos a los que se aplica, se limiten a afirmar apodícticamente que la orden de detención y la solicitud de extradición del fiscal del Estado de emisión contienen una exposición circunstanciada de los hechos imputados, de la calificación jurídica y de las diligencias de investigación “en términos que no permiten poner en duda la necesidad y proporcionalidad de su decisión”. Necesidad y proporcionalidad que no se suponen, sino que deben ser la conclusión del juicio que demandan. Además, sobre una decisión que implica la privación de libertad de la persona reclamada. No creo que un acta forense que ofrece sencillamente un relato de hechos y la tipificación de las conductas permita al juez de la extradición pasiva efectuar el control que requiere la garantía jurisdiccional, en esta sede, de la limitación del derecho a la libertad personal. La garantía jurisdiccional ha quedado desactivada, el juez no puede realizar un verdadero control de proporcionalidad de la privación de libertad del reclamado que proteja a la persona de decisiones arbitrarias (STEDH de 24 de marzo de 2015, asunto </w:t>
      </w:r>
      <w:r w:rsidRPr="009D7677">
        <w:rPr>
          <w:i/>
        </w:rPr>
        <w:t>Gallardo Sánchez c. Italia</w:t>
      </w:r>
      <w:r>
        <w:t>, pár. 39).</w:t>
      </w:r>
    </w:p>
    <w:p w14:paraId="506756CB" w14:textId="77777777" w:rsidR="009D7677" w:rsidRDefault="009D7677" w:rsidP="009D7677">
      <w:pPr>
        <w:pStyle w:val="TextoNormal"/>
      </w:pPr>
    </w:p>
    <w:p w14:paraId="16CD2AD0" w14:textId="77777777" w:rsidR="009D7677" w:rsidRDefault="009D7677" w:rsidP="009D7677">
      <w:pPr>
        <w:pStyle w:val="TextoNormal"/>
      </w:pPr>
      <w:r>
        <w:lastRenderedPageBreak/>
        <w:t>8. Por último, solo dejar constancia en el plano de análisis de legalidad ordinaria en que se desenvuelve la sentencia de la que discrepo, que si cierto es que el art. 12 a) del Convenio bilateral de extradición no exige resolución judicial para la reclamación cautelar, puede entenderse que va de suyo porque la norma prevé en su art. 1 el compromiso de las partes de entregarse recíprocamente a las personas que se encuentren en su territorio y “sean procesadas por un delito”, requerimiento que reproduce en el art. 2.1 al establecer los principios del mínimo punitivo y de doble incriminación (“[s]erán objeto de extradición […] [l]as personas que sean procesadas por hechos que, según las legislaciones de los dos Estados, estén castigados con una pena privativa de libertad de dos años de duración como mínimo”). El tenor literal del texto identifica una institución, la del procesamiento, que en nuestro ordenamiento jurídico remite al intérprete a una resolución judicial que formaliza la imputación, no a la decisión de una autoridad no jurisdiccional. Por lo tanto, no se puede descartar que el convenio no obligue a la intervención del juez en algún momento de la emisión del pedido extradicional.</w:t>
      </w:r>
    </w:p>
    <w:p w14:paraId="3418F852" w14:textId="77777777" w:rsidR="009D7677" w:rsidRDefault="009D7677" w:rsidP="009D7677">
      <w:pPr>
        <w:pStyle w:val="TextoNormal"/>
      </w:pPr>
    </w:p>
    <w:p w14:paraId="0B98F345" w14:textId="77777777" w:rsidR="009D7677" w:rsidRDefault="009D7677" w:rsidP="009D7677">
      <w:pPr>
        <w:pStyle w:val="TextoNormal"/>
      </w:pPr>
      <w:r>
        <w:t>Y en este sentido emito mi voto particular.</w:t>
      </w:r>
    </w:p>
    <w:p w14:paraId="31A2515C" w14:textId="77777777" w:rsidR="009D7677" w:rsidRDefault="009D7677" w:rsidP="009D7677">
      <w:pPr>
        <w:pStyle w:val="TextoNormal"/>
      </w:pPr>
    </w:p>
    <w:p w14:paraId="1176C767" w14:textId="3B17FC7B" w:rsidR="009D7677" w:rsidRDefault="009D7677" w:rsidP="009D7677">
      <w:pPr>
        <w:pStyle w:val="TextoNormal"/>
      </w:pPr>
      <w:r>
        <w:t>Madrid, a once de marzo de dos mil veinticuatro.</w:t>
      </w:r>
    </w:p>
    <w:p w14:paraId="381A9558" w14:textId="6EE02F60" w:rsidR="009D7677" w:rsidRDefault="009D7677">
      <w:pPr>
        <w:spacing w:after="160" w:line="259" w:lineRule="auto"/>
        <w:rPr>
          <w:rFonts w:ascii="Times New Roman" w:eastAsia="Times New Roman" w:hAnsi="Times New Roman" w:cs="Times New Roman"/>
          <w:sz w:val="24"/>
          <w:szCs w:val="24"/>
          <w:lang w:eastAsia="es-ES"/>
        </w:rPr>
      </w:pPr>
      <w:r>
        <w:br w:type="page"/>
      </w:r>
    </w:p>
    <w:p w14:paraId="67CEC5E1" w14:textId="77777777" w:rsidR="009D7677" w:rsidRDefault="009D7677" w:rsidP="009D7677">
      <w:pPr>
        <w:pStyle w:val="TtuloResolucin"/>
      </w:pPr>
      <w:bookmarkStart w:id="46" w:name="SENTENCIA_2024_44"/>
      <w:r>
        <w:lastRenderedPageBreak/>
        <w:t>SENTENCIA 44/2024, de 12 de marzo de 2024</w:t>
      </w:r>
    </w:p>
    <w:bookmarkEnd w:id="46"/>
    <w:p w14:paraId="592C1F9B" w14:textId="77777777" w:rsidR="009D7677" w:rsidRDefault="009D7677" w:rsidP="009D7677">
      <w:pPr>
        <w:pStyle w:val="TtuloResolucin"/>
      </w:pPr>
      <w:r>
        <w:t>Pleno</w:t>
      </w:r>
    </w:p>
    <w:p w14:paraId="1BD92362" w14:textId="77777777" w:rsidR="009D7677" w:rsidRDefault="009D7677" w:rsidP="009D7677">
      <w:pPr>
        <w:pStyle w:val="TtuloBOE"/>
      </w:pPr>
      <w:r>
        <w:t>(BOE núm. 99, de 23 de abril de 2024)</w:t>
      </w:r>
    </w:p>
    <w:p w14:paraId="286B12EF" w14:textId="77777777" w:rsidR="009D7677" w:rsidRDefault="009D7677" w:rsidP="009D7677">
      <w:pPr>
        <w:pStyle w:val="TextoNormalCentrado"/>
      </w:pPr>
      <w:r>
        <w:t>ECLI:ES:TC:2024:44</w:t>
      </w:r>
    </w:p>
    <w:p w14:paraId="4E501FB4" w14:textId="72DD21EA" w:rsidR="009D7677" w:rsidRDefault="009D7677" w:rsidP="009D7677">
      <w:pPr>
        <w:pStyle w:val="TextoNormalCentrado"/>
      </w:pPr>
    </w:p>
    <w:p w14:paraId="6420104C" w14:textId="77777777" w:rsidR="009D7677" w:rsidRDefault="009D7677" w:rsidP="009D7677">
      <w:pPr>
        <w:pStyle w:val="SntesisDescriptiva"/>
      </w:pPr>
      <w:r>
        <w:t>Recurso de inconstitucionalidad 1719-2021. Interpuesto por más de cincuenta diputados del Grupo Parlamentario Popular en el Congreso respecto de diversos preceptos de la Ley del Parlamento de Cataluña 17/2020, de 22 de diciembre, de modificación de la Ley 5/2008, del derecho de las mujeres a erradicar la violencia machista.</w:t>
      </w:r>
    </w:p>
    <w:p w14:paraId="4C604370" w14:textId="5EC91B10" w:rsidR="009D7677" w:rsidRDefault="009D7677" w:rsidP="009D7677">
      <w:pPr>
        <w:pStyle w:val="SntesisDescriptiva"/>
      </w:pPr>
    </w:p>
    <w:p w14:paraId="7AEFC669" w14:textId="77777777" w:rsidR="009D7677" w:rsidRDefault="009D7677" w:rsidP="009D7677">
      <w:pPr>
        <w:pStyle w:val="SntesisAnaltica"/>
      </w:pPr>
      <w:r>
        <w:t>Competencias sobre condiciones básicas de igualdad, legislación penal, ordenación de registros públicos y reserva de ley en relación con la extensión de la normativa de protección de la violencia de género a las mujeres transgénero: nulidad del precepto legal autonómico que impone obligaciones orgánicas y funcionales respecto de la prevención, detección y actuación ante la violencia machista a los partidos políticos que operen en Cataluña. Votos particulares.</w:t>
      </w:r>
    </w:p>
    <w:p w14:paraId="2697F828" w14:textId="4367A9F4" w:rsidR="009D7677" w:rsidRDefault="009D7677" w:rsidP="009D7677">
      <w:pPr>
        <w:pStyle w:val="SntesisAnaltica"/>
      </w:pPr>
    </w:p>
    <w:p w14:paraId="7BB7CD5B" w14:textId="2E8B4017" w:rsidR="009D7677" w:rsidRDefault="009D7677" w:rsidP="009D7677">
      <w:pPr>
        <w:pStyle w:val="Extracto"/>
      </w:pPr>
      <w:r>
        <w:t>1.</w:t>
      </w:r>
      <w:r>
        <w:tab/>
        <w:t>No cabe objeción, en términos constitucionales, al reconocimiento como víctimas de la violencia machista a las mujeres transgénero que no han rectificado registralmente la mención al sexo; y ello a los exclusivos efectos de hacerlas destinatarias de un conjunto de medidas de carácter asistencial que buscan una reparación integral del daño sufrido, pero sin interferir en modo alguno en las potestades reservadas a los jueces y tribunales del orden penal (SSTC 85/2018 y 83/2020) [FJ 3].</w:t>
      </w:r>
    </w:p>
    <w:p w14:paraId="7067FF2D" w14:textId="77777777" w:rsidR="009D7677" w:rsidRDefault="009D7677" w:rsidP="009D7677">
      <w:pPr>
        <w:pStyle w:val="Extracto"/>
      </w:pPr>
    </w:p>
    <w:p w14:paraId="2752A815" w14:textId="2906E407" w:rsidR="009D7677" w:rsidRDefault="009D7677" w:rsidP="009D7677">
      <w:pPr>
        <w:pStyle w:val="Extracto"/>
      </w:pPr>
      <w:r>
        <w:t>2.</w:t>
      </w:r>
      <w:r>
        <w:tab/>
        <w:t>Los preceptos del Código penal que tipifican los delitos de agresión sexual no son una norma penal en blanco, de modo que la norma autonómica no sirve de complemento a la ley penal (SSTC 101/2012 y 50/2018) [FJ 3].</w:t>
      </w:r>
    </w:p>
    <w:p w14:paraId="674B5BCF" w14:textId="77777777" w:rsidR="009D7677" w:rsidRDefault="009D7677" w:rsidP="009D7677">
      <w:pPr>
        <w:pStyle w:val="Extracto"/>
      </w:pPr>
    </w:p>
    <w:p w14:paraId="1EE4C222" w14:textId="26DB51A0" w:rsidR="009D7677" w:rsidRDefault="009D7677" w:rsidP="009D7677">
      <w:pPr>
        <w:pStyle w:val="Extracto"/>
      </w:pPr>
      <w:r>
        <w:t>3.</w:t>
      </w:r>
      <w:r>
        <w:tab/>
        <w:t>Al margen de la mayor o menor identidad de las definiciones ofrecidas por el legislador orgánico penal y el legislador sectorial autonómico, lo relevante es la finalidad a la que responden cada una de ellas. Desde este enfoque, la definición ofrecida por el legislador autonómico agota su eficacia en los objetivos que son propios de una norma de carácter asistencial insertada en las políticas de género, con independencia de la relevancia o utilidad que dicha definición tenga para la consecución de aquellos [FJ 3].</w:t>
      </w:r>
    </w:p>
    <w:p w14:paraId="460A4D45" w14:textId="77777777" w:rsidR="009D7677" w:rsidRDefault="009D7677" w:rsidP="009D7677">
      <w:pPr>
        <w:pStyle w:val="Extracto"/>
      </w:pPr>
    </w:p>
    <w:p w14:paraId="71F020D4" w14:textId="38A9962A" w:rsidR="009D7677" w:rsidRDefault="009D7677" w:rsidP="009D7677">
      <w:pPr>
        <w:pStyle w:val="Extracto"/>
      </w:pPr>
      <w:r>
        <w:t>4.</w:t>
      </w:r>
      <w:r>
        <w:tab/>
        <w:t>Los registros públicos a que se refiere el artículo 149.1.8 CE, cuya ordenación es competencia exclusiva del Estado, son los referentes fundamentalmente a materias de Derecho privado y no a otros registros que, aunque tengan repercusiones en ese campo del Derecho, tienen por objeto materias ajenas a él (SSTC 71/1983, 4/2014 y 7/2019) [FJ 4].</w:t>
      </w:r>
    </w:p>
    <w:p w14:paraId="64F755C7" w14:textId="77777777" w:rsidR="009D7677" w:rsidRDefault="009D7677" w:rsidP="009D7677">
      <w:pPr>
        <w:pStyle w:val="Extracto"/>
      </w:pPr>
    </w:p>
    <w:p w14:paraId="1A607F47" w14:textId="1D4A8304" w:rsidR="009D7677" w:rsidRDefault="009D7677" w:rsidP="009D7677">
      <w:pPr>
        <w:pStyle w:val="Extracto"/>
      </w:pPr>
      <w:r>
        <w:t>5.</w:t>
      </w:r>
      <w:r>
        <w:tab/>
        <w:t xml:space="preserve">El alcance de la competencia del Estado en materia de ordenación de los registros públicos se extiende: a) a la regulación y organización de registros de carácter civil, así como la de la publicidad y protección que estos otorgan; y b) y a la determinación, no solamente de los efectos de la inscripción registral, sino también de los actos y negocios jurídicos de naturaleza o con trascendencia civil que </w:t>
      </w:r>
      <w:r>
        <w:lastRenderedPageBreak/>
        <w:t>son o deben ser inscribibles y, por tanto, acceden al registro (STC 157/2021) [FJ 4].</w:t>
      </w:r>
    </w:p>
    <w:p w14:paraId="2C7B90FA" w14:textId="77777777" w:rsidR="009D7677" w:rsidRDefault="009D7677" w:rsidP="009D7677">
      <w:pPr>
        <w:pStyle w:val="Extracto"/>
      </w:pPr>
    </w:p>
    <w:p w14:paraId="0671154F" w14:textId="4E178B45" w:rsidR="009D7677" w:rsidRDefault="009D7677" w:rsidP="009D7677">
      <w:pPr>
        <w:pStyle w:val="Extracto"/>
      </w:pPr>
      <w:r>
        <w:t>6.</w:t>
      </w:r>
      <w:r>
        <w:tab/>
        <w:t>Desde la perspectiva del art. 149.1.6 CE, el reconocimiento de las mujeres transgénero que no han llevado a cabo la rectificación registral de sexo como víctimas de la violencia machista, a los solos efectos de hacerlas destinatarias de un conjunto de medidas de carácter asistencial que buscan una reparación integral del daño sufrido, en nada interfiere en la competencia exclusiva del Estado en materia de ordenación de registros públicos [FJ 4].</w:t>
      </w:r>
    </w:p>
    <w:p w14:paraId="4A1C515C" w14:textId="77777777" w:rsidR="009D7677" w:rsidRDefault="009D7677" w:rsidP="009D7677">
      <w:pPr>
        <w:pStyle w:val="Extracto"/>
      </w:pPr>
    </w:p>
    <w:p w14:paraId="6ED66DD2" w14:textId="638DA31A" w:rsidR="009D7677" w:rsidRDefault="009D7677" w:rsidP="009D7677">
      <w:pPr>
        <w:pStyle w:val="Extracto"/>
      </w:pPr>
      <w:r>
        <w:t>7.</w:t>
      </w:r>
      <w:r>
        <w:tab/>
        <w:t xml:space="preserve">Debe considerarse reservado a la ley orgánica </w:t>
      </w:r>
      <w:r w:rsidRPr="009D7677">
        <w:rPr>
          <w:i/>
        </w:rPr>
        <w:t>ex</w:t>
      </w:r>
      <w:r>
        <w:t xml:space="preserve"> art. 81.1 CE la regulación de ‘los elementos esenciales de la definición’ del derecho de asociación o, en otras palabras, la delimitación de ‘los aspectos esenciales del contenido del derecho’ en lo tocante a la titularidad, a las facultades elementales que lo integran en sus varias vertientes (STC 101/1991), al alcance del mismo en las relaciones </w:t>
      </w:r>
      <w:r w:rsidRPr="009D7677">
        <w:rPr>
          <w:i/>
        </w:rPr>
        <w:t>inter privatos</w:t>
      </w:r>
      <w:r>
        <w:t>, y a las garantías fundamentales necesarias para preservarlo frente a las injerencias de los poderes públicos (SSTC 173/1998 o 144/2017) [FJ 5].</w:t>
      </w:r>
    </w:p>
    <w:p w14:paraId="455DDCD4" w14:textId="77777777" w:rsidR="009D7677" w:rsidRDefault="009D7677" w:rsidP="009D7677">
      <w:pPr>
        <w:pStyle w:val="Extracto"/>
      </w:pPr>
    </w:p>
    <w:p w14:paraId="0114384D" w14:textId="58D4F4EE" w:rsidR="009D7677" w:rsidRDefault="009D7677" w:rsidP="009D7677">
      <w:pPr>
        <w:pStyle w:val="Extracto"/>
      </w:pPr>
      <w:r>
        <w:t>8.</w:t>
      </w:r>
      <w:r>
        <w:tab/>
        <w:t>Dada su naturaleza de derecho de libertad, corresponde en exclusiva al legislador orgánico la precisión de los límites que, en atención a otros derechos y libertades constitucionalmente reconocidos y respetando siempre el contenido esencial, puedan establecerse para determinar las asociaciones constitucionalmente proscritas —es decir, las ilegales, secretas y de carácter paramilitar—, así como los límites en relación al derecho de asociarse de determinados grupos de personas —militares, jueces, etc.—, o en relación a la libertad de no asociarse (SSTC 173/1998 o 144/2017) [FJ 5].</w:t>
      </w:r>
    </w:p>
    <w:p w14:paraId="32154A3E" w14:textId="77777777" w:rsidR="009D7677" w:rsidRDefault="009D7677" w:rsidP="009D7677">
      <w:pPr>
        <w:pStyle w:val="Extracto"/>
      </w:pPr>
    </w:p>
    <w:p w14:paraId="78C912A1" w14:textId="31C38C15" w:rsidR="009D7677" w:rsidRDefault="009D7677" w:rsidP="009D7677">
      <w:pPr>
        <w:pStyle w:val="Extracto"/>
      </w:pPr>
      <w:r>
        <w:t>9.</w:t>
      </w:r>
      <w:r>
        <w:tab/>
        <w:t>Sólo pueden ser acordado por el legislador orgánico en los términos señalados por nuestra doctrina, el establecimiento de condiciones o la imposición de obligaciones que inciden en el derecho de autoorganización y funcionamiento de los partidos políticos; un derecho que tiene como fin primordial preservar un ámbito libre de interferencias de los poderes públicos (SSTC 56/1995, 173/1998 o 144/2017) [FJ 5].</w:t>
      </w:r>
    </w:p>
    <w:p w14:paraId="323218D9" w14:textId="77777777" w:rsidR="009D7677" w:rsidRDefault="009D7677" w:rsidP="009D7677">
      <w:pPr>
        <w:pStyle w:val="Extracto"/>
      </w:pPr>
    </w:p>
    <w:p w14:paraId="02130823" w14:textId="77777777" w:rsidR="009D7677" w:rsidRDefault="009D7677" w:rsidP="009D7677">
      <w:pPr>
        <w:pStyle w:val="Extracto"/>
      </w:pPr>
    </w:p>
    <w:p w14:paraId="6D39A601" w14:textId="77777777" w:rsidR="009D7677" w:rsidRDefault="009D7677" w:rsidP="009D7677">
      <w:pPr>
        <w:pStyle w:val="TextoNormal"/>
      </w:pPr>
      <w:r>
        <w:t>El Pleno del Tribunal Constitucional, compuesto por el magistrado don Cándido Conde-Pumpido Tourón, presidente, y las magistradas y magistrados doña Inmaculada Montalbán Huertas,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3FE880C7" w14:textId="231B668B" w:rsidR="009D7677" w:rsidRDefault="009D7677" w:rsidP="009D7677">
      <w:pPr>
        <w:pStyle w:val="TextoNormal"/>
      </w:pPr>
    </w:p>
    <w:p w14:paraId="5A057E7C" w14:textId="77777777" w:rsidR="009D7677" w:rsidRDefault="009D7677" w:rsidP="009D7677">
      <w:pPr>
        <w:pStyle w:val="TextoNormalCentrado"/>
        <w:keepNext/>
      </w:pPr>
      <w:r>
        <w:t>EN NOMBRE DEL REY</w:t>
      </w:r>
    </w:p>
    <w:p w14:paraId="15C2F6F3" w14:textId="73889693" w:rsidR="009D7677" w:rsidRDefault="009D7677" w:rsidP="009D7677">
      <w:pPr>
        <w:pStyle w:val="TextoNormalCentrado"/>
        <w:keepNext/>
      </w:pPr>
    </w:p>
    <w:p w14:paraId="615196F5" w14:textId="77777777" w:rsidR="009D7677" w:rsidRDefault="009D7677" w:rsidP="009D7677">
      <w:pPr>
        <w:pStyle w:val="TextoNormalCentrado"/>
        <w:keepNext/>
      </w:pPr>
    </w:p>
    <w:p w14:paraId="4FEEB600" w14:textId="77777777" w:rsidR="009D7677" w:rsidRDefault="009D7677" w:rsidP="009D7677">
      <w:pPr>
        <w:pStyle w:val="TextoNormal"/>
      </w:pPr>
      <w:r>
        <w:t>la siguiente</w:t>
      </w:r>
    </w:p>
    <w:p w14:paraId="33BEB5C9" w14:textId="3650AC4C" w:rsidR="009D7677" w:rsidRDefault="009D7677" w:rsidP="009D7677">
      <w:pPr>
        <w:pStyle w:val="TextoNormal"/>
      </w:pPr>
    </w:p>
    <w:p w14:paraId="4FD50D5F" w14:textId="77777777" w:rsidR="009D7677" w:rsidRDefault="009D7677" w:rsidP="009D7677">
      <w:pPr>
        <w:pStyle w:val="TextoNormalCentrado"/>
        <w:keepNext/>
      </w:pPr>
      <w:r>
        <w:lastRenderedPageBreak/>
        <w:t>SENTENCIA</w:t>
      </w:r>
    </w:p>
    <w:p w14:paraId="6DD0479C" w14:textId="6A5812C5" w:rsidR="009D7677" w:rsidRDefault="009D7677" w:rsidP="009D7677">
      <w:pPr>
        <w:pStyle w:val="TextoNormalCentrado"/>
        <w:keepNext/>
      </w:pPr>
    </w:p>
    <w:p w14:paraId="333B0DA9" w14:textId="77777777" w:rsidR="009D7677" w:rsidRDefault="009D7677" w:rsidP="009D7677">
      <w:pPr>
        <w:pStyle w:val="TextoNormal"/>
      </w:pPr>
      <w:r>
        <w:t>En el recurso de inconstitucionalidad núm. 1719-2021, interpuesto por más de cincuenta diputados y diputadas del Grupo Parlamentario Popular en el Congreso de los Diputados contra los arts. 1, 2, 3 y 16 de la Ley del Parlamento de Cataluña 17/2020, de 22 de diciembre, de modificación de la Ley 5/2008, del derecho de las mujeres a erradicar la violencia machista. Han comparecido y formulado alegaciones la abogada de la Generalitat de Cataluña y la letrada del Parlamento de Cataluña. Ha sido ponente el presidente, don Cándido Conde-Pumpido Tourón.</w:t>
      </w:r>
    </w:p>
    <w:p w14:paraId="05A385BA" w14:textId="33D2A61A" w:rsidR="009D7677" w:rsidRDefault="009D7677" w:rsidP="009D7677">
      <w:pPr>
        <w:pStyle w:val="TextoNormal"/>
      </w:pPr>
    </w:p>
    <w:p w14:paraId="285005A1" w14:textId="77777777" w:rsidR="009D7677" w:rsidRDefault="009D7677" w:rsidP="009D7677">
      <w:pPr>
        <w:pStyle w:val="TextoNormalNegritaCentrado"/>
        <w:keepNext/>
      </w:pPr>
      <w:r>
        <w:t>I. Antecedentes</w:t>
      </w:r>
    </w:p>
    <w:p w14:paraId="7CAC7AE1" w14:textId="7FF2FFE6" w:rsidR="009D7677" w:rsidRDefault="009D7677" w:rsidP="009D7677">
      <w:pPr>
        <w:pStyle w:val="TextoNormalNegritaCentrado"/>
        <w:keepNext/>
      </w:pPr>
    </w:p>
    <w:p w14:paraId="1F2BD25F" w14:textId="77777777" w:rsidR="009D7677" w:rsidRDefault="009D7677" w:rsidP="009D7677">
      <w:pPr>
        <w:pStyle w:val="TextoNormal"/>
      </w:pPr>
      <w:r w:rsidRPr="009D7677">
        <w:rPr>
          <w:rStyle w:val="NumeroAFNegritaCaracter"/>
        </w:rPr>
        <w:t>1</w:t>
      </w:r>
      <w:r>
        <w:t>. Por escrito registrado en este tribunal el 24 de marzo de 2021, el procurador de los tribunales don Manuel Sánchez-Puelles y González-Carvajal, actuando en nombre de doña María de la Concepción Gamarra Ruiz-Clavijo y de otros ochenta y tres diputados y diputadas del Grupo Parlamentario Popular en el Congreso de los Diputados, interpuso, con la firma como comisionado de don Jaime Eduardo de Olano Vela, recurso de inconstitucionalidad contra los arts. 1, 2, 3 y 16 de la Ley del Parlamento de Cataluña 17/2020, de 22 de diciembre (en adelante, Ley 17/2020), de modificación de la Ley del Parlamento de Cataluña 5/2008, de 24 de abril, del derecho de las mujeres a erradicar la violencia machista (en adelante, Ley 5/2008).</w:t>
      </w:r>
    </w:p>
    <w:p w14:paraId="75602B26" w14:textId="77777777" w:rsidR="009D7677" w:rsidRDefault="009D7677" w:rsidP="009D7677">
      <w:pPr>
        <w:pStyle w:val="TextoNormal"/>
      </w:pPr>
    </w:p>
    <w:p w14:paraId="2A30A69E" w14:textId="77777777" w:rsidR="009D7677" w:rsidRDefault="009D7677" w:rsidP="009D7677">
      <w:pPr>
        <w:pStyle w:val="TextoNormal"/>
      </w:pPr>
      <w:r>
        <w:t>La fundamentación jurídica de la demanda es, en síntesis, la siguiente:</w:t>
      </w:r>
    </w:p>
    <w:p w14:paraId="4802D862" w14:textId="77777777" w:rsidR="009D7677" w:rsidRDefault="009D7677" w:rsidP="009D7677">
      <w:pPr>
        <w:pStyle w:val="TextoNormal"/>
      </w:pPr>
    </w:p>
    <w:p w14:paraId="0717D813" w14:textId="77777777" w:rsidR="009D7677" w:rsidRDefault="009D7677" w:rsidP="009D7677">
      <w:pPr>
        <w:pStyle w:val="TextoNormal"/>
      </w:pPr>
      <w:r>
        <w:t xml:space="preserve">a) Se denuncia, en primer lugar, la vulneración de la reserva de ley orgánica del art. 81.1 CE y de la competencia exclusiva del Estado en relación con la ordenación de los registros </w:t>
      </w:r>
      <w:r w:rsidRPr="009D7677">
        <w:rPr>
          <w:i/>
        </w:rPr>
        <w:t>ex</w:t>
      </w:r>
      <w:r>
        <w:t xml:space="preserve"> art. 149.1.8 CE por el art. 1 de la Ley 17/2020.</w:t>
      </w:r>
    </w:p>
    <w:p w14:paraId="1335695A" w14:textId="77777777" w:rsidR="009D7677" w:rsidRDefault="009D7677" w:rsidP="009D7677">
      <w:pPr>
        <w:pStyle w:val="TextoNormal"/>
      </w:pPr>
    </w:p>
    <w:p w14:paraId="4ED815C2" w14:textId="77777777" w:rsidR="009D7677" w:rsidRDefault="009D7677" w:rsidP="009D7677">
      <w:pPr>
        <w:pStyle w:val="TextoNormal"/>
      </w:pPr>
      <w:r>
        <w:t>Según los recurrentes, el art. 1 de la Ley 17/2020 modifica el art. 2.2 de la Ley 5/2008 de modo que, a los efectos de la presente Ley, se entiende que las referencias a las mujeres incluyen “también a las mujeres, niñas y adolescentes transgénero”, pretendiendo con ello integrarlas en la condición de sujetos pasivos de la violencia de género.</w:t>
      </w:r>
    </w:p>
    <w:p w14:paraId="4D5704A8" w14:textId="77777777" w:rsidR="009D7677" w:rsidRDefault="009D7677" w:rsidP="009D7677">
      <w:pPr>
        <w:pStyle w:val="TextoNormal"/>
      </w:pPr>
    </w:p>
    <w:p w14:paraId="7421706E" w14:textId="77777777" w:rsidR="009D7677" w:rsidRDefault="009D7677" w:rsidP="009D7677">
      <w:pPr>
        <w:pStyle w:val="TextoNormal"/>
      </w:pPr>
      <w:r>
        <w:t>La demanda sostiene que en nuestro ordenamiento jurídico el “sexo” existe como una realidad con proyección jurídica en la que se residencian dos categorías: el sexo masculino (el hombre) y el sexo femenino (la mujer) (arts. 4.4 y 44.2 Ley 20/2011, de 21 de julio, del registro civil), con prohibición expresa de toda discriminación (art. 14 CE); e igualmente, permite a las personas cuya “identidad de género” no se corresponda con “el sexo con el que inicialmente fueron inscritas” rectificar tal circunstancia desde el punto de vista registral (Ley 3/2007, de 15 de marzo, reguladora de la rectificación registral de la mención relativa al sexo de las personas); rectificación de sexo que constituye un dato registral con publicidad restringida [arts. 4.4 y 83.1 d) de la Ley del registro civil], y cuyo resultado final es que la persona figure en una de las dos categorías jurídicas existentes.</w:t>
      </w:r>
    </w:p>
    <w:p w14:paraId="3F6D83AF" w14:textId="77777777" w:rsidR="009D7677" w:rsidRDefault="009D7677" w:rsidP="009D7677">
      <w:pPr>
        <w:pStyle w:val="TextoNormal"/>
      </w:pPr>
    </w:p>
    <w:p w14:paraId="385D0849" w14:textId="77777777" w:rsidR="009D7677" w:rsidRDefault="009D7677" w:rsidP="009D7677">
      <w:pPr>
        <w:pStyle w:val="TextoNormal"/>
      </w:pPr>
      <w:r>
        <w:t xml:space="preserve">A juicio de los recurrentes, la norma cuestionada equipara, desde el espectro de la protección, las mujeres a efectos jurídicos —categoría integrada por las mujeres biológicas y por aquellas otras que han rectificado la mención de sexo— con las personas transgénero </w:t>
      </w:r>
      <w:r>
        <w:lastRenderedPageBreak/>
        <w:t>que no han acometido la rectificación registral y por tanto siguen siendo registralmente hombres a todos los efectos jurídicos. Equiparación que trae como consecuencia que esas personas también puedan ser objeto de violencia de género, en los términos configurados por la Ley Orgánica 1/2004, de 28 de diciembre, de medidas de protección integral contra la violencia de género (LOVG), y, por ello, sujetos pasivos de los tipos penales que castigan las diversas formas de violencia de género.</w:t>
      </w:r>
    </w:p>
    <w:p w14:paraId="5F166E7A" w14:textId="77777777" w:rsidR="009D7677" w:rsidRDefault="009D7677" w:rsidP="009D7677">
      <w:pPr>
        <w:pStyle w:val="TextoNormal"/>
      </w:pPr>
    </w:p>
    <w:p w14:paraId="2EC850FB" w14:textId="77777777" w:rsidR="009D7677" w:rsidRDefault="009D7677" w:rsidP="009D7677">
      <w:pPr>
        <w:pStyle w:val="TextoNormal"/>
      </w:pPr>
      <w:r>
        <w:t>Advierten los recurrentes que el legislador estatal se vale del criterio del “sexo” (entendido como condición biológica en función de los órganos reproductivos), como categoría definida y tangible para articular la respuesta del Estado (y dentro de la misma, muy especialmente, por sus necesidades de taxatividad y seguridad jurídica, la respuesta jurídico-penal) a la violencia de “género” (configurada como categoría sociocultural que forma parte de nuestra entidad). Conclusión a la que llegan tras el análisis de la exposición de motivos y el art. 1 LOVG, el examen de los tipos penales, la doctrina del Tribunal Constitucional (STC 59/2008, de 14 de mayo, FJ 9) y la jurisprudencia del Tribunal Supremo. La eventual sustitución del “sexo” por la “identidad de género” en la definición de los sujetos activo y pasivo de la violencia de género conllevaría, además, una innegable inseguridad jurídica, al poner en riesgo la eficacia de la legislación en materia de violencia de género, pudiendo incluso fomentar situaciones de abuso y desprotección.</w:t>
      </w:r>
    </w:p>
    <w:p w14:paraId="4575849B" w14:textId="77777777" w:rsidR="009D7677" w:rsidRDefault="009D7677" w:rsidP="009D7677">
      <w:pPr>
        <w:pStyle w:val="TextoNormal"/>
      </w:pPr>
    </w:p>
    <w:p w14:paraId="1A03C9CC" w14:textId="77777777" w:rsidR="009D7677" w:rsidRDefault="009D7677" w:rsidP="009D7677">
      <w:pPr>
        <w:pStyle w:val="TextoNormal"/>
      </w:pPr>
      <w:r>
        <w:t>Concluye la demanda afirmando que el art. 1 de la Ley 17/2020, por el que se modifica el art. 2.2 de la Ley 5/2008, incurre en una doble tacha de inconstitucionalidad:</w:t>
      </w:r>
    </w:p>
    <w:p w14:paraId="18DE26FB" w14:textId="77777777" w:rsidR="009D7677" w:rsidRDefault="009D7677" w:rsidP="009D7677">
      <w:pPr>
        <w:pStyle w:val="TextoNormal"/>
      </w:pPr>
    </w:p>
    <w:p w14:paraId="256A9FB2" w14:textId="77777777" w:rsidR="009D7677" w:rsidRDefault="009D7677" w:rsidP="009D7677">
      <w:pPr>
        <w:pStyle w:val="TextoNormal"/>
      </w:pPr>
      <w:r>
        <w:t>(i) Vulneración del art. 81.1 CE por modificar, innovar o contravenir lo establecido en la LOVG y en el Código penal. Reiteran los recurrentes que el “sexo” jurídico del autor y la víctima resulta determinante, en nuestro ordenamiento jurídico, para apreciar la existencia o no de violencia de género. La norma colisiona con el art. 1 LOVG al definir la violencia de género como la que ejercen “los hombres sobre las mujeres” y con los preceptos del Código penal que configuran de forma autónoma o agravada los delitos de violencia de género (arts. 148.4, 153.1, 171.4, 5 y 6, y 172.2 CP). Por tanto, la norma recurrida contraviene la Constitución al innovar y/o modificar los citados preceptos de carácter orgánico.</w:t>
      </w:r>
    </w:p>
    <w:p w14:paraId="0E433981" w14:textId="77777777" w:rsidR="009D7677" w:rsidRDefault="009D7677" w:rsidP="009D7677">
      <w:pPr>
        <w:pStyle w:val="TextoNormal"/>
      </w:pPr>
    </w:p>
    <w:p w14:paraId="290BF52A" w14:textId="77777777" w:rsidR="009D7677" w:rsidRDefault="009D7677" w:rsidP="009D7677">
      <w:pPr>
        <w:pStyle w:val="TextoNormal"/>
      </w:pPr>
      <w:r>
        <w:t xml:space="preserve">(ii) Vulneración de la competencia exclusiva del Estado en relación con el régimen jurídico de los registros en los que se inscriben actos de naturaleza o con transcendencia jurídica civil, </w:t>
      </w:r>
      <w:r w:rsidRPr="009D7677">
        <w:rPr>
          <w:i/>
        </w:rPr>
        <w:t>ex</w:t>
      </w:r>
      <w:r>
        <w:t xml:space="preserve"> art. 149.1.8 CE. La norma cuestionada proyecta, según los recurrentes, efectos jurídicos sobre un cambio de sexo operado al margen del procedimiento de rectificación registral previsto en el ordenamiento jurídico estatal. Rectificación que tiene sus efectos, entre otras, en la esfera penal. Se trata, pues, de una norma autonómica que desplaza la regulación establecida por dos normas estatales (la Ley del registro civil y la Ley 3/2007), dictadas al amparo de las competencias exclusivas del Estado en materia de registros públicos (art. 149.1.8 CE).</w:t>
      </w:r>
    </w:p>
    <w:p w14:paraId="1E82E464" w14:textId="77777777" w:rsidR="009D7677" w:rsidRDefault="009D7677" w:rsidP="009D7677">
      <w:pPr>
        <w:pStyle w:val="TextoNormal"/>
      </w:pPr>
    </w:p>
    <w:p w14:paraId="3BABA7BB" w14:textId="77777777" w:rsidR="009D7677" w:rsidRDefault="009D7677" w:rsidP="009D7677">
      <w:pPr>
        <w:pStyle w:val="TextoNormal"/>
      </w:pPr>
      <w:r>
        <w:t xml:space="preserve">b) En segundo lugar, se aduce la vulneración por el art. 2 de la Ley 17/2020 de la reserva de ley orgánica del art. 81.1 CE y de la competencia exclusiva del Estado en materia de legislación penal </w:t>
      </w:r>
      <w:r w:rsidRPr="009D7677">
        <w:rPr>
          <w:i/>
        </w:rPr>
        <w:t>ex</w:t>
      </w:r>
      <w:r>
        <w:t xml:space="preserve"> art. 149.1.6 CE.</w:t>
      </w:r>
    </w:p>
    <w:p w14:paraId="36D2A3BE" w14:textId="77777777" w:rsidR="009D7677" w:rsidRDefault="009D7677" w:rsidP="009D7677">
      <w:pPr>
        <w:pStyle w:val="TextoNormal"/>
      </w:pPr>
    </w:p>
    <w:p w14:paraId="34C0616B" w14:textId="77777777" w:rsidR="009D7677" w:rsidRDefault="009D7677" w:rsidP="009D7677">
      <w:pPr>
        <w:pStyle w:val="TextoNormal"/>
      </w:pPr>
      <w:r>
        <w:lastRenderedPageBreak/>
        <w:t xml:space="preserve">La demanda cuestiona, en concreto, la definición del consentimiento sexual recogida en la letra j) del art. 3 de la Ley 5/2008, tras la modificación introducida por el art. 2 de la Ley 17/2020. El ordenamiento jurídico penal tipifica los delitos de las agresiones sexuales, en todas sus modalidades [arts. 178, 179 y 180 del Código penal (CP)], y de los abusos sexuales (art. 181 CP) con la intención de salvaguardar la libertad o indemnidad sexual de las personas, penalizando todas aquellas acciones dirigidas a coartar, limitar o anular la libre y autónoma decisión de la persona en relación con su actividad sexual. En todos ellos, la conducta típica exige como </w:t>
      </w:r>
      <w:r w:rsidRPr="009D7677">
        <w:rPr>
          <w:i/>
        </w:rPr>
        <w:t>conditio sine qua non</w:t>
      </w:r>
      <w:r>
        <w:t xml:space="preserve"> la ausencia de consentimiento de la víctima, si bien no viene estipulada de forma explícita en la propia rúbrica de los artículos. La configuración del consentimiento sexual como un elemento jurídico indeterminado no definido de forma expresa en los correspondientes tipos delictivos no obedece a la intención del legislador orgánico de que el mismo permanezca como categoría jurídica indefinida o intangible, sino al deseo de que sea labor de la jurisprudencia su concreción atendiendo al conjunto de circunstancias que concurran en cada caso para descubrir la existencia —o no— de una voluntad opuesta a la actuación sexual.</w:t>
      </w:r>
    </w:p>
    <w:p w14:paraId="0EB907DB" w14:textId="77777777" w:rsidR="009D7677" w:rsidRDefault="009D7677" w:rsidP="009D7677">
      <w:pPr>
        <w:pStyle w:val="TextoNormal"/>
      </w:pPr>
    </w:p>
    <w:p w14:paraId="1C37084F" w14:textId="77777777" w:rsidR="009D7677" w:rsidRDefault="009D7677" w:rsidP="009D7677">
      <w:pPr>
        <w:pStyle w:val="TextoNormal"/>
      </w:pPr>
      <w:r>
        <w:t xml:space="preserve">Sostienen los recurrentes que el precepto impugnado pretende sustituir la construcción jurisprudencial de consentimiento sexual por una definición legal, y lo hace incurriendo en dos vulneraciones constitucionales: la infracción de la reserva de ley orgánica del art. 81.1 CE y la invasión de la competencia exclusiva del Estado en materia de legislación penal </w:t>
      </w:r>
      <w:r w:rsidRPr="009D7677">
        <w:rPr>
          <w:i/>
        </w:rPr>
        <w:t>ex</w:t>
      </w:r>
      <w:r>
        <w:t xml:space="preserve"> art. 149.1.6 CE. La demanda cita expresamente el informe del Pleno del Consejo General del Poder Judicial, de 25 de febrero de 2021, relativo al anteproyecto de Ley Orgánica de garantía integral de la libertad sexual, texto que sigue una línea similar pues introduce una definición de lo que se debe entender por consentimiento sexual. El citado informe concluye que “la cuestión problemática que plantea el consentimiento no es conceptual (qué deba ser consentimiento), sino probatoria (cuándo existe o no consentimiento)”; por lo que su definición “configuraría un elemento típico adicional, constituyéndose como un elemento negativo que debería ser probado por la defensa para excluir la tipicidad, alterándose las normas sobre la carga de la prueba”.</w:t>
      </w:r>
    </w:p>
    <w:p w14:paraId="57D0776F" w14:textId="77777777" w:rsidR="009D7677" w:rsidRDefault="009D7677" w:rsidP="009D7677">
      <w:pPr>
        <w:pStyle w:val="TextoNormal"/>
      </w:pPr>
    </w:p>
    <w:p w14:paraId="17FFEEDF" w14:textId="77777777" w:rsidR="009D7677" w:rsidRDefault="009D7677" w:rsidP="009D7677">
      <w:pPr>
        <w:pStyle w:val="TextoNormal"/>
      </w:pPr>
      <w:r>
        <w:t>c) En tercer lugar, la demanda alega idéntico reproche constitucional —infracción de los arts. 81.1 y 149.1.6 CE— en relación con el art. 3 de la Ley 17/2020, por el que se modifica el art. 4 de la Ley 5/2008, y que contiene una tipificación de los distintos tipos de violencia machista: física, psicológica, sexual, obstétrica, económica, digital, de segundo orden y vicaria.</w:t>
      </w:r>
    </w:p>
    <w:p w14:paraId="31F35A73" w14:textId="77777777" w:rsidR="009D7677" w:rsidRDefault="009D7677" w:rsidP="009D7677">
      <w:pPr>
        <w:pStyle w:val="TextoNormal"/>
      </w:pPr>
    </w:p>
    <w:p w14:paraId="06A9F7FD" w14:textId="77777777" w:rsidR="009D7677" w:rsidRDefault="009D7677" w:rsidP="009D7677">
      <w:pPr>
        <w:pStyle w:val="TextoNormal"/>
      </w:pPr>
      <w:r>
        <w:t xml:space="preserve">El art. 23 LOVG otorga a las comunidades autónomas una cierta participación en el diseño de “los procedimientos básicos que permitan poner en marcha los sistemas de acreditación de las situaciones de violencia de género”, pero esta no es la finalidad del precepto recurrido a juicio de los recurrentes. Se afirma en la demanda que el legislador catalán configura un elenco de ilícitos penales en lo que parece una auténtica labor de tipificación jurídico-criminal. Al definir las formas de violencia machista, el legislador autonómico materializa un determinado catálogo de formas de violencia de género con pretensión aparentemente punitiva, lo que corresponde exclusivamente al ejercicio de </w:t>
      </w:r>
      <w:r w:rsidRPr="009D7677">
        <w:rPr>
          <w:i/>
        </w:rPr>
        <w:t>ius puniendi</w:t>
      </w:r>
      <w:r>
        <w:t xml:space="preserve"> del Estado. Es por ello por lo que la norma impugnada vulnera la reserva de ley orgánica del art. 81.1 CE [art. 28.2 de la Ley Orgánica del Tribunal Constitucional (LOTC)] y la competencia exclusiva del Estado en materia de legislación pena</w:t>
      </w:r>
      <w:r w:rsidRPr="009D7677">
        <w:rPr>
          <w:i/>
        </w:rPr>
        <w:t xml:space="preserve">l </w:t>
      </w:r>
      <w:r>
        <w:t>ex art. 149.1.6 CE.</w:t>
      </w:r>
    </w:p>
    <w:p w14:paraId="7F4183A4" w14:textId="77777777" w:rsidR="009D7677" w:rsidRDefault="009D7677" w:rsidP="009D7677">
      <w:pPr>
        <w:pStyle w:val="TextoNormal"/>
      </w:pPr>
    </w:p>
    <w:p w14:paraId="6922F7D3" w14:textId="77777777" w:rsidR="009D7677" w:rsidRDefault="009D7677" w:rsidP="009D7677">
      <w:pPr>
        <w:pStyle w:val="TextoNormal"/>
      </w:pPr>
      <w:r>
        <w:lastRenderedPageBreak/>
        <w:t>d) En cuarto y último lugar, la demanda reprocha al art. 16 de la Ley 17/2020 la infracción de la competencia exclusiva del Estado en materia de partidos políticos al amparo de los arts. 81.1 y 149.1.1 CE, en conexión con los arts. 20, 22 y 23 CE.</w:t>
      </w:r>
    </w:p>
    <w:p w14:paraId="3A537588" w14:textId="77777777" w:rsidR="009D7677" w:rsidRDefault="009D7677" w:rsidP="009D7677">
      <w:pPr>
        <w:pStyle w:val="TextoNormal"/>
      </w:pPr>
    </w:p>
    <w:p w14:paraId="50F01719" w14:textId="77777777" w:rsidR="009D7677" w:rsidRDefault="009D7677" w:rsidP="009D7677">
      <w:pPr>
        <w:pStyle w:val="TextoNormal"/>
      </w:pPr>
      <w:r>
        <w:t xml:space="preserve">El art. 16 de la Ley 17/2020 introduce un nuevo capítulo octavo en el título II de la Ley 5/2008, integrado por el art. 29 </w:t>
      </w:r>
      <w:r w:rsidRPr="009D7677">
        <w:rPr>
          <w:i/>
        </w:rPr>
        <w:t>bis</w:t>
      </w:r>
      <w:r>
        <w:t>, relativo a los partidos políticos. Por esta vía, el legislador catalán introduce una serie de exigencias y obligaciones respecto de los partidos políticos que afectan, según los recurrentes, a la configuración de su régimen jurídico interno. Se prevén medidas que abarcan desde la creación de un plan de igualdad interno y de un protocolo para la prevención de la violencia machista hasta la reforma de los estatutos internos, pasando por la asignación de determinadas responsabilidades.</w:t>
      </w:r>
    </w:p>
    <w:p w14:paraId="5D7DF3D1" w14:textId="77777777" w:rsidR="009D7677" w:rsidRDefault="009D7677" w:rsidP="009D7677">
      <w:pPr>
        <w:pStyle w:val="TextoNormal"/>
      </w:pPr>
    </w:p>
    <w:p w14:paraId="0D8E509F" w14:textId="77777777" w:rsidR="009D7677" w:rsidRDefault="009D7677" w:rsidP="009D7677">
      <w:pPr>
        <w:pStyle w:val="TextoNormal"/>
      </w:pPr>
      <w:r>
        <w:t>Aduce la demanda que la Ley Orgánica 6/2002, de 27 de junio, de partidos políticos, constituye el régimen jurídico aplicable a los mismos, regulando “cuanto afecta al régimen jurídico de estas singulares asociaciones”, salvo los aspectos derivados a otras leyes orgánicas (financiación, régimen contable, régimen electoral), y desarrollando en detalle “las cuestiones del régimen general de los partidos políticos referidas a su creación, organización, estructura y funcionamiento”.</w:t>
      </w:r>
    </w:p>
    <w:p w14:paraId="4A2345F8" w14:textId="77777777" w:rsidR="009D7677" w:rsidRDefault="009D7677" w:rsidP="009D7677">
      <w:pPr>
        <w:pStyle w:val="TextoNormal"/>
      </w:pPr>
    </w:p>
    <w:p w14:paraId="55F6FD7E" w14:textId="77777777" w:rsidR="009D7677" w:rsidRDefault="009D7677" w:rsidP="009D7677">
      <w:pPr>
        <w:pStyle w:val="TextoNormal"/>
      </w:pPr>
      <w:r>
        <w:t>A título ilustrativo, la demanda recuerda la modificación del régimen de los partidos políticos en su vertiente electoral para lograr la paridad de las listas; esto es, la modificación de la Ley Orgánica 5/1985, de 19 de junio, del régimen electoral general (LOREG), por la Ley Orgánica 3/2007, de 22 de marzo, para la igualdad efectiva de mujeres y hombres.</w:t>
      </w:r>
    </w:p>
    <w:p w14:paraId="49226A2D" w14:textId="77777777" w:rsidR="009D7677" w:rsidRDefault="009D7677" w:rsidP="009D7677">
      <w:pPr>
        <w:pStyle w:val="TextoNormal"/>
      </w:pPr>
    </w:p>
    <w:p w14:paraId="63DD473A" w14:textId="4953E749" w:rsidR="009D7677" w:rsidRDefault="009D7677" w:rsidP="009D7677">
      <w:pPr>
        <w:pStyle w:val="TextoNormal"/>
      </w:pPr>
      <w:r>
        <w:t>En la medida en que el precepto impugnado pretende modificar el régimen jurídico de los partidos políticos, estableciendo una serie de obligaciones que constituyen una innovación de lo regulado por las leyes orgánicas que disciplinan este ámbito, incurre, a juicio de los recurrentes, en una absoluta inconstitucionalidad por vulnerar la competencia exclusiva del Estado en materia de partidos políticos al amparo de los arts. 81.1 y 149.1.1 CE, en conexión con los arts. 20, 22 y 23 CE.</w:t>
      </w:r>
    </w:p>
    <w:p w14:paraId="5987EC2F" w14:textId="77777777" w:rsidR="009D7677" w:rsidRDefault="009D7677" w:rsidP="009D7677">
      <w:pPr>
        <w:pStyle w:val="TextoNormal"/>
      </w:pPr>
    </w:p>
    <w:p w14:paraId="22AB2F57" w14:textId="1C8A877F" w:rsidR="009D7677" w:rsidRDefault="009D7677" w:rsidP="009D7677">
      <w:pPr>
        <w:pStyle w:val="TextoNormal"/>
      </w:pPr>
      <w:r w:rsidRPr="009D7677">
        <w:rPr>
          <w:rStyle w:val="NumeroAFNegritaCaracter"/>
        </w:rPr>
        <w:t>2</w:t>
      </w:r>
      <w:r>
        <w:t>. Por providencia de 18 de mayo de 2021 el Pleno acordó, a propuesta de la Sección Primera, (i) admitir a trámite el recurso de inconstitucionalidad; (ii) dar traslado de la demanda y los documentos presentados (art. 34 LOTC) al Congreso de los Diputados y al Senado, por conducto de sus presidentas, y al Gobierno, a través del ministro de Justicia, así como al Parlamento de Cataluña y al Gobierno de la Generalitat de Cataluña, por conducto de sus presidentes, al objeto de que, en el plazo de quince días, pudieran personarse en el procedimiento y formular las alegaciones que estimaren convenientes; y (iii) publicar la incoación del recurso en el “Boletín Oficial del Estado”, lo que se verificó en el núm. 126, de 27 de mayo de 2021, y en el “Diari Oficial de la Generalitat de Catalunya”.</w:t>
      </w:r>
    </w:p>
    <w:p w14:paraId="1620C113" w14:textId="77777777" w:rsidR="009D7677" w:rsidRDefault="009D7677" w:rsidP="009D7677">
      <w:pPr>
        <w:pStyle w:val="TextoNormal"/>
      </w:pPr>
    </w:p>
    <w:p w14:paraId="4FEDEFAC" w14:textId="6FAF3997" w:rsidR="009D7677" w:rsidRDefault="009D7677" w:rsidP="009D7677">
      <w:pPr>
        <w:pStyle w:val="TextoNormal"/>
      </w:pPr>
      <w:r w:rsidRPr="009D7677">
        <w:rPr>
          <w:rStyle w:val="NumeroAFNegritaCaracter"/>
        </w:rPr>
        <w:t>3</w:t>
      </w:r>
      <w:r>
        <w:t>. Mediante escrito de 25 de mayo de 2021, que tuvo entrada en el Tribunal el inmediato día 26 de mayo de 2021, la presidenta del Congreso de los Diputados comunicó el acuerdo de la mesa en orden a que se diera por personada a la Cámara y por ofrecida su colaboración a los efectos del art. 88.1 LOTC. En idénticos términos se expresó, mediante escrito de 1 de junio de 2021, registrado el inmediato día 2 de junio de 2021, la presidenta del Senado.</w:t>
      </w:r>
    </w:p>
    <w:p w14:paraId="50E384FF" w14:textId="77777777" w:rsidR="009D7677" w:rsidRDefault="009D7677" w:rsidP="009D7677">
      <w:pPr>
        <w:pStyle w:val="TextoNormal"/>
      </w:pPr>
    </w:p>
    <w:p w14:paraId="0750B770" w14:textId="68F69DC7" w:rsidR="009D7677" w:rsidRDefault="009D7677" w:rsidP="009D7677">
      <w:pPr>
        <w:pStyle w:val="TextoNormal"/>
      </w:pPr>
      <w:r w:rsidRPr="009D7677">
        <w:rPr>
          <w:rStyle w:val="NumeroAFNegritaCaracter"/>
        </w:rPr>
        <w:t>4</w:t>
      </w:r>
      <w:r>
        <w:t>. El 9 de junio de 2021 tuvo entrada en el registro general de este tribunal escrito de la misma fecha del secretario general del Parlamento de Cataluña por el que se comunican los acuerdos de 8 de junio de 2021, adoptado por la mesa del Parlamento de personarse en el presente proceso constitucional, y de 12 de mayo de 2021, de asignación de la representación del Parlamento ante el Tribunal Constitucional, así como de la dirección jurídica de la cuestión de inconstitucionalidad a los servicios jurídicos de la Cámara. En el mismo trámite, la letrada del Parlamento de Cataluña solicita, ante la complejidad del asunto y el volumen de trabajo acumulado, una prórroga del plazo para formular alegaciones. Por diligencia de ordenación de 10 de junio de 2021 del secretario de justicia del Pleno, se le prorroga en ocho días más el plazo concedido en la providencia de 18 de mayo de 2021, a contar desde el siguiente al de expiración del ordinario.</w:t>
      </w:r>
    </w:p>
    <w:p w14:paraId="7133E206" w14:textId="77777777" w:rsidR="009D7677" w:rsidRDefault="009D7677" w:rsidP="009D7677">
      <w:pPr>
        <w:pStyle w:val="TextoNormal"/>
      </w:pPr>
    </w:p>
    <w:p w14:paraId="4C83A5B1" w14:textId="2F382A7A" w:rsidR="009D7677" w:rsidRDefault="009D7677" w:rsidP="009D7677">
      <w:pPr>
        <w:pStyle w:val="TextoNormal"/>
      </w:pPr>
      <w:r w:rsidRPr="009D7677">
        <w:rPr>
          <w:rStyle w:val="NumeroAFNegritaCaracter"/>
        </w:rPr>
        <w:t>5</w:t>
      </w:r>
      <w:r>
        <w:t>. Por escrito de 22 de junio de 2021, registrado en la misma fecha en el Tribunal, el abogado del Estado manifestó que no va a formular alegaciones en el presente procedimiento y que se persona a los efectos de que en su día se le notifiquen las resoluciones que en él se dicten.</w:t>
      </w:r>
    </w:p>
    <w:p w14:paraId="721C667F" w14:textId="77777777" w:rsidR="009D7677" w:rsidRDefault="009D7677" w:rsidP="009D7677">
      <w:pPr>
        <w:pStyle w:val="TextoNormal"/>
      </w:pPr>
    </w:p>
    <w:p w14:paraId="35B1FBC0" w14:textId="77777777" w:rsidR="009D7677" w:rsidRDefault="009D7677" w:rsidP="009D7677">
      <w:pPr>
        <w:pStyle w:val="TextoNormal"/>
      </w:pPr>
      <w:r w:rsidRPr="009D7677">
        <w:rPr>
          <w:rStyle w:val="NumeroAFNegritaCaracter"/>
        </w:rPr>
        <w:t>6</w:t>
      </w:r>
      <w:r>
        <w:t>. El 25 de junio de 2021, tuvo entrada en el registro general de este tribunal escrito de la misma fecha del secretario del Gobierno de la Generalitat de Cataluña por el que se comunica el acuerdo, adoptado por dicho Gobierno, de personación y formulación de alegaciones en el presente proceso constitucional y de asignación de su representación y defensa ante el Tribunal Constitucional a los abogados del gabinete jurídico de la Generalitat de Cataluña. En el mismo trámite, se registra el escrito de la abogada del Gobierno de la Generalitat de Cataluña, en el que se formulan las siguientes alegaciones:</w:t>
      </w:r>
    </w:p>
    <w:p w14:paraId="77A4CE28" w14:textId="77777777" w:rsidR="009D7677" w:rsidRDefault="009D7677" w:rsidP="009D7677">
      <w:pPr>
        <w:pStyle w:val="TextoNormal"/>
      </w:pPr>
    </w:p>
    <w:p w14:paraId="12AC11B3" w14:textId="77777777" w:rsidR="009D7677" w:rsidRDefault="009D7677" w:rsidP="009D7677">
      <w:pPr>
        <w:pStyle w:val="TextoNormal"/>
      </w:pPr>
      <w:r>
        <w:t>A) Objeto de la Ley 17/2020: incremento de las garantías en la protección de las mujeres víctimas de la violencia machista</w:t>
      </w:r>
    </w:p>
    <w:p w14:paraId="3559E0CE" w14:textId="77777777" w:rsidR="009D7677" w:rsidRDefault="009D7677" w:rsidP="009D7677">
      <w:pPr>
        <w:pStyle w:val="TextoNormal"/>
      </w:pPr>
    </w:p>
    <w:p w14:paraId="21C7D1ED" w14:textId="77777777" w:rsidR="009D7677" w:rsidRDefault="009D7677" w:rsidP="009D7677">
      <w:pPr>
        <w:pStyle w:val="TextoNormal"/>
      </w:pPr>
      <w:r>
        <w:t>Las alegaciones primera y segunda de la representación procesal del Gobierno catalán se dirigen a delimitar el objeto del presente recurso y exponer la razón de ser de la norma cuestionada.</w:t>
      </w:r>
    </w:p>
    <w:p w14:paraId="21E66033" w14:textId="77777777" w:rsidR="009D7677" w:rsidRDefault="009D7677" w:rsidP="009D7677">
      <w:pPr>
        <w:pStyle w:val="TextoNormal"/>
      </w:pPr>
    </w:p>
    <w:p w14:paraId="48128033" w14:textId="77777777" w:rsidR="009D7677" w:rsidRDefault="009D7677" w:rsidP="009D7677">
      <w:pPr>
        <w:pStyle w:val="TextoNormal"/>
      </w:pPr>
      <w:r>
        <w:t>a) La Ley 17/2020 tiene por objeto introducir mayores garantías en la protección de las mujeres víctimas de la violencia machista ante la aparición de nuevas variedades de este tipo de violencia, su mayor visibilidad social y los desafíos a los que deben atender los poderes públicos en su prevención y erradicación. Además, incorpora los nuevos estándares de protección con arreglo a los tratados internaciones; en concreto, las nuevas obligaciones de protección contra la violencia machista que se derivan del Convenio del Consejo de Europa sobre prevención y lucha contra la violencia contra la mujer y la violencia doméstica (Convenio de Estambul), de 11 de mayo de 2011.</w:t>
      </w:r>
    </w:p>
    <w:p w14:paraId="38F148B9" w14:textId="77777777" w:rsidR="009D7677" w:rsidRDefault="009D7677" w:rsidP="009D7677">
      <w:pPr>
        <w:pStyle w:val="TextoNormal"/>
      </w:pPr>
    </w:p>
    <w:p w14:paraId="15838D30" w14:textId="77777777" w:rsidR="009D7677" w:rsidRDefault="009D7677" w:rsidP="009D7677">
      <w:pPr>
        <w:pStyle w:val="TextoNormal"/>
      </w:pPr>
      <w:r>
        <w:t>Las administraciones públicas de Cataluña deben impulsar y desarrollar las actuaciones y estrategias de prevención dirigidas a la eliminación de la violencia machista en los distintos ámbitos inicialmente previstos en la Ley 5/2008 (educación, salud, medios de comunicación, vivienda, ocupación, prestaciones económicas, etc.) con los mecanismos de prevención y atención de que dispone la Generalitat; entre ellos, la red de atención y recu</w:t>
      </w:r>
      <w:r>
        <w:lastRenderedPageBreak/>
        <w:t>peración integral para las mujeres en situaciones de violencia machista que integra servicios como: (i) los de atención telefónica especializada, información y atención a las mujeres, atención y acogimiento de urgencias, acogida y recuperación, acogida sustitutoria del hogar; y (ii) los de intervención especializada, servicios técnicos de punto de encuentro, atención a la víctima del delito, atención policial y otros que se puedan considerar; servicios que integran la red de ámbito local o de la Generalitat según proceda en cada caso. Lo que pretende la Ley 17/2020 es proyectar esta acción de las administraciones públicas a los nuevos casos añadidos de violencia contra las mujeres.</w:t>
      </w:r>
    </w:p>
    <w:p w14:paraId="1F789F95" w14:textId="77777777" w:rsidR="009D7677" w:rsidRDefault="009D7677" w:rsidP="009D7677">
      <w:pPr>
        <w:pStyle w:val="TextoNormal"/>
      </w:pPr>
    </w:p>
    <w:p w14:paraId="7BCA11B0" w14:textId="77777777" w:rsidR="009D7677" w:rsidRDefault="009D7677" w:rsidP="009D7677">
      <w:pPr>
        <w:pStyle w:val="TextoNormal"/>
      </w:pPr>
      <w:r>
        <w:t>b) A continuación, el escrito de alegaciones realiza un repaso exhaustivo de las regulaciones internacionales que proceden de: (i) instancias de carácter general, como la Recomendación general núm. 35 (2017) del Comité para la eliminación de la discriminación contra la mujer (CEDAW), que sostiene el tratamiento de las violencias contra las mujeres como un problema social que exige respuestas integrales y un enfoque transversal; (ii) instrumentos específicos de ámbito europeo correspondientes al Consejo de Europa, como es el Convenio de Estambul, que define y aborda las distintas formas de violencia contra la mujer, la delimitación conceptual y normativa de “género” como categoría jurídica diferenciada del concepto de “sexo” o de la “diligencia debida” como criterio para el despliegue de las medidas públicas de protección; o (iii) normativa específica de la Unión Europea. Repaso que concluye con una breve referencia a la normativa estatal y autonómica.</w:t>
      </w:r>
    </w:p>
    <w:p w14:paraId="5FBD70DC" w14:textId="77777777" w:rsidR="009D7677" w:rsidRDefault="009D7677" w:rsidP="009D7677">
      <w:pPr>
        <w:pStyle w:val="TextoNormal"/>
      </w:pPr>
    </w:p>
    <w:p w14:paraId="5F6D0592" w14:textId="77777777" w:rsidR="009D7677" w:rsidRDefault="009D7677" w:rsidP="009D7677">
      <w:pPr>
        <w:pStyle w:val="TextoNormal"/>
      </w:pPr>
      <w:r>
        <w:t>B) Distribución competencial en materia de violencia machista: previsiones constitucionales y estatutarias</w:t>
      </w:r>
    </w:p>
    <w:p w14:paraId="44DCDAEA" w14:textId="77777777" w:rsidR="009D7677" w:rsidRDefault="009D7677" w:rsidP="009D7677">
      <w:pPr>
        <w:pStyle w:val="TextoNormal"/>
      </w:pPr>
    </w:p>
    <w:p w14:paraId="75325BB6" w14:textId="77777777" w:rsidR="009D7677" w:rsidRDefault="009D7677" w:rsidP="009D7677">
      <w:pPr>
        <w:pStyle w:val="TextoNormal"/>
      </w:pPr>
      <w:r>
        <w:t>La abogada del Gobierno de la Generalitat aborda, seguidamente, la cuestión relativa a la distribución competencial. Afirma que la Ley 17/2020 no tiene por objeto regular aspectos que vulneren las competencias estatales sobre legislación penal (tipificación de formas delictuales) —por lo que no hay intromisión en la reserva de ley orgánica— o civil (reconocimiento registral del cambio de sexo), sino que su finalidad es la actualización de una regulación amparada en las competencias autonómicas sobre igualdad de género y derechos de las mujeres.</w:t>
      </w:r>
    </w:p>
    <w:p w14:paraId="08642D4C" w14:textId="77777777" w:rsidR="009D7677" w:rsidRDefault="009D7677" w:rsidP="009D7677">
      <w:pPr>
        <w:pStyle w:val="TextoNormal"/>
      </w:pPr>
    </w:p>
    <w:p w14:paraId="1F0CAF25" w14:textId="77777777" w:rsidR="009D7677" w:rsidRDefault="009D7677" w:rsidP="009D7677">
      <w:pPr>
        <w:pStyle w:val="TextoNormal"/>
      </w:pPr>
      <w:r>
        <w:t>a) La intervención de la Generalitat en la materia se adecua tanto a las previsiones constitucionales que fundamentan las medidas que promueven la igualdad de la mujer (arts. 14 y 9.2 CE), como a las previsiones recogidas en el Estatuto de Autonomía de Cataluña (EAC): (i) art. 19 EAC sobre los derechos de las mujeres; (ii) art. 41.3 EAC que fija como principio rector de las políticas públicas garantizar, desde una perspectiva de género, hacer frente de modo integral a todas las formas de violencia contra las mujeres y a los actos de carácter sexista y discriminatorio; y (iii) art. 153 EAC que incluye la planificación, el diseño, la ejecución, la evaluación y el control de normas, planes y directrices generales en materia de políticas para la mujer, así como el establecimiento de acciones positivas para erradicar la discriminación por razón de sexo, que se tengan que ejecutar con carácter unitario en toda Cataluña.</w:t>
      </w:r>
    </w:p>
    <w:p w14:paraId="76242AEB" w14:textId="77777777" w:rsidR="009D7677" w:rsidRDefault="009D7677" w:rsidP="009D7677">
      <w:pPr>
        <w:pStyle w:val="TextoNormal"/>
      </w:pPr>
    </w:p>
    <w:p w14:paraId="786DAD38" w14:textId="77777777" w:rsidR="009D7677" w:rsidRDefault="009D7677" w:rsidP="009D7677">
      <w:pPr>
        <w:pStyle w:val="TextoNormal"/>
      </w:pPr>
      <w:r>
        <w:t xml:space="preserve">b) La Ley 17/2020 pretende incorporar, en el marco de las competencias autonómicas, los contenidos que se deducen de los compromisos internacionales en el ámbito de la violencia contra la mujer para facilitar el desarrollo de las políticas propias. La regulación de las diversas modalidades de la violencia machista únicamente tiene por finalidad, según </w:t>
      </w:r>
      <w:r>
        <w:lastRenderedPageBreak/>
        <w:t>subraya la abogada de la Generalitat, determinar los supuestos que precisarán de la debida actuación de los poderes públicos catalanes a los efectos de prevenirla, controlarla y atender a las víctimas. En este sentido, además del tratamiento penal, la erradicación de la violencia machista, su prevención y la atención a sus efectos, puede abordarse desde otro tipo de regulaciones que se enmarcan en los distintos ámbitos de competencia de la Generalitat: sanitario, educacional, asistencial, etc.</w:t>
      </w:r>
    </w:p>
    <w:p w14:paraId="35397C33" w14:textId="77777777" w:rsidR="009D7677" w:rsidRDefault="009D7677" w:rsidP="009D7677">
      <w:pPr>
        <w:pStyle w:val="TextoNormal"/>
      </w:pPr>
    </w:p>
    <w:p w14:paraId="22A7C616" w14:textId="77777777" w:rsidR="009D7677" w:rsidRDefault="009D7677" w:rsidP="009D7677">
      <w:pPr>
        <w:pStyle w:val="TextoNormal"/>
      </w:pPr>
      <w:r>
        <w:t>c) Se recuerda que el Tribunal Constitucional reconoció que la delimitación entre la materia de políticas de género y otras materias puede resultar compleja dado su carácter transversal e intersectorial (con cita de la STC 159/2016, de 22 de septiembre, FJ 2). Es, por ello, que el Tribunal entendió que, en el derecho a la igualdad y a la no discriminación por razón de sexo, se incluyen diferentes medidas que, en su conjunto, tienen como finalidad integrar en las políticas, actuaciones y actividades de los poderes públicos este principio de igualdad. En conclusión, las referencias contenidas en la Ley 17/2020 se enmarcan en los ámbitos competenciales atribuidos a la Generalitat estatutaria y constitucionalmente, sin que ello comporte una intromisión en la competencia estatal. Sin incidir en el ámbito penal —prevención de las agresiones que se ejercen sobre las mujeres— reservado vía ley orgánica exclusivamente al Estado, nada impide que, en el ejercicio de sus competencias, la Generalitat pueda desarrollar un ámbito de protección que atienda a un espectro de supuestos más amplio de formas de violencia contra la mujer.</w:t>
      </w:r>
    </w:p>
    <w:p w14:paraId="2128F2CC" w14:textId="77777777" w:rsidR="009D7677" w:rsidRDefault="009D7677" w:rsidP="009D7677">
      <w:pPr>
        <w:pStyle w:val="TextoNormal"/>
      </w:pPr>
    </w:p>
    <w:p w14:paraId="39424FA5" w14:textId="77777777" w:rsidR="009D7677" w:rsidRDefault="009D7677" w:rsidP="009D7677">
      <w:pPr>
        <w:pStyle w:val="TextoNormal"/>
      </w:pPr>
      <w:r>
        <w:t>C) Análisis de los preceptos objeto de reproche constitucional</w:t>
      </w:r>
    </w:p>
    <w:p w14:paraId="6695F1DC" w14:textId="77777777" w:rsidR="009D7677" w:rsidRDefault="009D7677" w:rsidP="009D7677">
      <w:pPr>
        <w:pStyle w:val="TextoNormal"/>
      </w:pPr>
    </w:p>
    <w:p w14:paraId="3748A06E" w14:textId="77777777" w:rsidR="009D7677" w:rsidRDefault="009D7677" w:rsidP="009D7677">
      <w:pPr>
        <w:pStyle w:val="TextoNormal"/>
      </w:pPr>
      <w:r>
        <w:t>Se procede, seguidamente, a analizar cada uno de los preceptos impugnados a los efectos de rechazar que constituyan vulneración de competencias estatales o de la reserva de ley orgánica.</w:t>
      </w:r>
    </w:p>
    <w:p w14:paraId="3457F980" w14:textId="77777777" w:rsidR="009D7677" w:rsidRDefault="009D7677" w:rsidP="009D7677">
      <w:pPr>
        <w:pStyle w:val="TextoNormal"/>
      </w:pPr>
    </w:p>
    <w:p w14:paraId="3B31FDFE" w14:textId="77777777" w:rsidR="009D7677" w:rsidRDefault="009D7677" w:rsidP="009D7677">
      <w:pPr>
        <w:pStyle w:val="TextoNormal"/>
      </w:pPr>
      <w:r>
        <w:t>a) Art. 1 de la Ley 17/2020: la incorporación de las niñas, adolescentes y mujeres transgénero al ámbito de protección contra la violencia machista</w:t>
      </w:r>
    </w:p>
    <w:p w14:paraId="31DE9F7E" w14:textId="77777777" w:rsidR="009D7677" w:rsidRDefault="009D7677" w:rsidP="009D7677">
      <w:pPr>
        <w:pStyle w:val="TextoNormal"/>
      </w:pPr>
    </w:p>
    <w:p w14:paraId="0727FC41" w14:textId="77777777" w:rsidR="009D7677" w:rsidRDefault="009D7677" w:rsidP="009D7677">
      <w:pPr>
        <w:pStyle w:val="TextoNormal"/>
      </w:pPr>
      <w:r>
        <w:t>(i) Se sostiene, en primer lugar, que la incorporación de las niñas, adolescentes y mujeres transgénero como sujetos pasivos de protección frente a la violencia de género no es una novedad introducida por la Ley 17/2020, sino que se trata de un ajuste que pretende determinar con mayor precisión el ámbito subjetivo de aplicación de la normativa sobre protección frente a la violencia machista. Indica la representación procesal de la Generalitat que la equiparación de las mujeres transgénero a las mujeres ya estaba prevista en el art. 70 de la Ley 5/2008, si bien se condicionaba, en ese momento, al cumplimiento de una serie de requisitos sobre la acreditación médica de la disforia de sexo (informe médico o psicológico elaborado por una persona profesional colegiada o sometimiento a tratamiento médico durante, al menos, dos años). Requisitos que fueron eliminados por el art. 23 de la Ley del Parlamento Catalán 11/2014, de 10 de octubre, para garantizar los derechos de lesbianas, gays, bisexuales, transgéneros e intersexuales y para erradicar la homofobia, la bifobia y la transfobia.</w:t>
      </w:r>
    </w:p>
    <w:p w14:paraId="6FFC4B1D" w14:textId="77777777" w:rsidR="009D7677" w:rsidRDefault="009D7677" w:rsidP="009D7677">
      <w:pPr>
        <w:pStyle w:val="TextoNormal"/>
      </w:pPr>
    </w:p>
    <w:p w14:paraId="76A12403" w14:textId="77777777" w:rsidR="009D7677" w:rsidRDefault="009D7677" w:rsidP="009D7677">
      <w:pPr>
        <w:pStyle w:val="TextoNormal"/>
      </w:pPr>
      <w:r>
        <w:t>(ii) En segundo lugar, la abogada de la Generalitat expone, a los efectos de facilitar la mejor comprensión de la regulación de la Ley 17/2020, el contexto normativo tanto en el ámbito internacional como en el ámbito interno.</w:t>
      </w:r>
    </w:p>
    <w:p w14:paraId="67458D0F" w14:textId="77777777" w:rsidR="009D7677" w:rsidRDefault="009D7677" w:rsidP="009D7677">
      <w:pPr>
        <w:pStyle w:val="TextoNormal"/>
      </w:pPr>
    </w:p>
    <w:p w14:paraId="70E36AAA" w14:textId="77777777" w:rsidR="009D7677" w:rsidRDefault="009D7677" w:rsidP="009D7677">
      <w:pPr>
        <w:pStyle w:val="TextoNormal"/>
      </w:pPr>
      <w:r>
        <w:lastRenderedPageBreak/>
        <w:t>En el ámbito internacional, resalta la consagración del principio de no discriminación de las personas transgénero, subsumido, como cualquier otro supuesto de interdicción de la discriminación, en la Declaración universal de los derechos humanos, en los Pactos internacionales de 1966 y en el Convenio para la protección de los derechos humanos y de las libertades fundamentales. Mención especial se hace de los Principios de Yogyakarta de 2006 sobre la aplicación de la legislación internacional de derechos humanos en relación con la orientación sexual y la identidad de género (apdo. 31: derecho a cambiar la información de género en los documentos que la incluyan), presentados en las Naciones Unidas en 2007 por la Comisión Internacional de Juristas y el Servicio Internacional para los Derechos Humanos que fueron revisados en 2017 y actualmente constituyen el referente estándar en este ámbito. Igualmente, se señala que la Organización Mundial de la Salud ya procedió a la despatologización de la transexualidad, excluyéndola del listado oficial de enfermedades mentales (clasificación internacional de enfermedades de la Organización Mundial de la Salud, undécima revisión CIE-11 de 2018).</w:t>
      </w:r>
    </w:p>
    <w:p w14:paraId="4AD54AD8" w14:textId="77777777" w:rsidR="009D7677" w:rsidRDefault="009D7677" w:rsidP="009D7677">
      <w:pPr>
        <w:pStyle w:val="TextoNormal"/>
      </w:pPr>
    </w:p>
    <w:p w14:paraId="7B8BDFE0" w14:textId="77777777" w:rsidR="009D7677" w:rsidRDefault="009D7677" w:rsidP="009D7677">
      <w:pPr>
        <w:pStyle w:val="TextoNormal"/>
      </w:pPr>
      <w:r>
        <w:t xml:space="preserve">En el marco europeo, se hace referencia a varias recomendaciones y resoluciones del Consejo de Europa: la Recomendación relativa a la condición de los transexuales adoptada por la Asamblea Parlamentaria en 1989; la Recomendación CM/Rec (2010)5 del Comité de Ministros del Consejo de Europa a los Estados miembros sobre las medidas para combatir la discriminación por motivos de orientación sexual o identidad de género; y, por último, la Resolución 2048 (2015) de la Asamblea Parlamentaria sobre discriminación contra las personas transgénero en Europa. Además, se alude al reconocimiento de la libre autodeterminación de género por el Tribunal Europeo de Derechos Humanos (STEDH de 6 de abril de 2017, asunto </w:t>
      </w:r>
      <w:r w:rsidRPr="009D7677">
        <w:rPr>
          <w:i/>
        </w:rPr>
        <w:t>A.P., Garçon y Nicot c. Francia</w:t>
      </w:r>
      <w:r>
        <w:t>).</w:t>
      </w:r>
    </w:p>
    <w:p w14:paraId="0B6D337B" w14:textId="77777777" w:rsidR="009D7677" w:rsidRDefault="009D7677" w:rsidP="009D7677">
      <w:pPr>
        <w:pStyle w:val="TextoNormal"/>
      </w:pPr>
    </w:p>
    <w:p w14:paraId="2D00E8BA" w14:textId="77777777" w:rsidR="009D7677" w:rsidRDefault="009D7677" w:rsidP="009D7677">
      <w:pPr>
        <w:pStyle w:val="TextoNormal"/>
      </w:pPr>
      <w:r>
        <w:t>En el ámbito interno, se menciona la Ley 3/2007, de 15 de marzo, reguladora de la rectificación registral de la mención relativa al sexo de las personas, y los problemas derivados de su aplicación (con cita de la sentencia de la Sala de lo Civil del Tribunal Supremo núm. 685/2019, de 17 de diciembre, y la STC 99/2019, de 18 de julio). Se pone énfasis en la abundante normativa autonómica que no solamente garantiza el reconocimiento de la identidad de género —autodeterminación de género— en sus respectivos territorios, sino que añade una cartera de servicios y políticas públicas al servicio de la inclusión de las personas transgénero en la sociedad. En definitiva, están dando contenido en sus respectivos ámbitos competenciales a las previsiones del art. 14 CE respecto a la prohibición de discriminación por razón de sexo y a los mandatos de promover las condiciones para la igualdad efectiva y real contenidos en el art. 9.2 CE. Por último, se citan los ámbitos penitenciario y educativo como ejemplos de actuación de la Generalitat, a través de instrucciones y protocolos encaminados a salvaguardar los derechos y la no discriminación de las personas transgénero.</w:t>
      </w:r>
    </w:p>
    <w:p w14:paraId="1B7060EF" w14:textId="77777777" w:rsidR="009D7677" w:rsidRDefault="009D7677" w:rsidP="009D7677">
      <w:pPr>
        <w:pStyle w:val="TextoNormal"/>
      </w:pPr>
    </w:p>
    <w:p w14:paraId="2ACE212A" w14:textId="77777777" w:rsidR="009D7677" w:rsidRDefault="009D7677" w:rsidP="009D7677">
      <w:pPr>
        <w:pStyle w:val="TextoNormal"/>
      </w:pPr>
      <w:r>
        <w:t>(iii) En conclusión, sostiene la abogada de la Generalitat que el art. 1 de la Ley 17/2020 en modo alguno vulnera la reserva de ley orgánica prevista en el art. 81.1 CE, o invade competencias estatales sobre legislación del Registro Civil. El cuestionado precepto se limita a incorporar legítimamente el estándar internacional sobre la no obligación de acreditar con certificaciones médicas la opción de elegir un cambio de sexo y de nombre, referido al ámbito de las competencias que ejerce la Generalitat de Cataluña en la prestación de sus servicios y en el desarrollo de las políticas públicas propias, sin pretender substituir ni desplazar los ámbitos que corresponden a la regulación estatal.</w:t>
      </w:r>
    </w:p>
    <w:p w14:paraId="2F0329EC" w14:textId="77777777" w:rsidR="009D7677" w:rsidRDefault="009D7677" w:rsidP="009D7677">
      <w:pPr>
        <w:pStyle w:val="TextoNormal"/>
      </w:pPr>
    </w:p>
    <w:p w14:paraId="78DBED38" w14:textId="77777777" w:rsidR="009D7677" w:rsidRDefault="009D7677" w:rsidP="009D7677">
      <w:pPr>
        <w:pStyle w:val="TextoNormal"/>
      </w:pPr>
      <w:r>
        <w:t>b) Art. 2 de la Ley 17/2020: la definición del consentimiento sexual referida a los ámbitos de actuación de competencia de la Generalitat de Cataluña</w:t>
      </w:r>
    </w:p>
    <w:p w14:paraId="32FDE5D9" w14:textId="77777777" w:rsidR="009D7677" w:rsidRDefault="009D7677" w:rsidP="009D7677">
      <w:pPr>
        <w:pStyle w:val="TextoNormal"/>
      </w:pPr>
    </w:p>
    <w:p w14:paraId="2582BED0" w14:textId="77777777" w:rsidR="009D7677" w:rsidRDefault="009D7677" w:rsidP="009D7677">
      <w:pPr>
        <w:pStyle w:val="TextoNormal"/>
      </w:pPr>
      <w:r>
        <w:t>El art. 2 de la Ley 17/2020 define el consentimiento sexual en los mismos términos del Convenio de Estambul (art. 36) y se ajusta a las consideraciones de la Recomendación general núm. 35 (2017) del CEDAW [letra e)]; y lo hace de acuerdo, única y exclusivamente, con el ámbito de las competencias atribuidas a la Generalitat (arts. 10.2 y 96 CE, y art. 196.4 EAC). En otras palabras, la finalidad del precepto cuestionado es adaptarse a los requerimientos y estándares de la regulación internacional con el alcance que la propia ley dispone sobre los ámbitos sobre los cuales es competente la Generalitat. Es, por ello, que la definición formulada se aplica a todas las formas de violencia contra las mujeres y comprende todos los actos de violencia basados en el género que impliquen o puedan implicar daños o sufrimientos de naturaleza física, sexual, psicológica o económica, incluidas las amenazas de hacer estos actos, la coacción y la privación arbitraria de libertad, en la vida pública y privada.</w:t>
      </w:r>
    </w:p>
    <w:p w14:paraId="3CD9B634" w14:textId="77777777" w:rsidR="009D7677" w:rsidRDefault="009D7677" w:rsidP="009D7677">
      <w:pPr>
        <w:pStyle w:val="TextoNormal"/>
      </w:pPr>
    </w:p>
    <w:p w14:paraId="69EC765B" w14:textId="77777777" w:rsidR="009D7677" w:rsidRDefault="009D7677" w:rsidP="009D7677">
      <w:pPr>
        <w:pStyle w:val="TextoNormal"/>
      </w:pPr>
      <w:r>
        <w:t>Se sostiene, en definitiva, por la representación procesal de la Generalitat catalana que las medidas que se precisan para la lucha contra la violencia machista no se refieren exclusivamente a las de carácter penal, sino que también van referidas a los distintos poderes públicos, como en el caso de la comunidad autónoma, en la prevención, investigación, y reparación del daño ante estos tipos de violencia según las definiciones contenidas en el Convenio de Estambul, pero en el ámbito de las competencias que tiene atribuidas.</w:t>
      </w:r>
    </w:p>
    <w:p w14:paraId="2EC87B02" w14:textId="77777777" w:rsidR="009D7677" w:rsidRDefault="009D7677" w:rsidP="009D7677">
      <w:pPr>
        <w:pStyle w:val="TextoNormal"/>
      </w:pPr>
    </w:p>
    <w:p w14:paraId="76517747" w14:textId="77777777" w:rsidR="009D7677" w:rsidRDefault="009D7677" w:rsidP="009D7677">
      <w:pPr>
        <w:pStyle w:val="TextoNormal"/>
      </w:pPr>
      <w:r>
        <w:t>c) Art. 3 de la Ley 17/2020: reconocimiento de las diversas modalidades de violencia contra la mujer previstas en los instrumentos internacionales</w:t>
      </w:r>
    </w:p>
    <w:p w14:paraId="497086F0" w14:textId="77777777" w:rsidR="009D7677" w:rsidRDefault="009D7677" w:rsidP="009D7677">
      <w:pPr>
        <w:pStyle w:val="TextoNormal"/>
      </w:pPr>
    </w:p>
    <w:p w14:paraId="61B06408" w14:textId="77777777" w:rsidR="009D7677" w:rsidRDefault="009D7677" w:rsidP="009D7677">
      <w:pPr>
        <w:pStyle w:val="TextoNormal"/>
      </w:pPr>
      <w:r>
        <w:t>La abogada de la Generalitat reitera, una vez más, que la modificación operada responde al objetivo de adecuar la Ley al Convenio de Estambul y a la necesidad de incorporar las nuevas formas de violencia machista (obstétrica y vulneración de los derechos sexuales y reproductivos, digital, de segundo orden y vicaria) que plantean particularidades que precisan de respuestas adecuadas y los nuevos ámbitos (digital, institucional, vida política y esfera pública y educativo) en los que dicha violencia contra las mujeres se produce. Se persigue, además, identificar con mayor precisión los supuestos en que se requerirá de la debida intervención de los poderes públicos para erradicar esa violencia, atendiendo a la diversidad de los daños causados y teniendo en cuenta las especificidades que en cada caso conlleva la incorporación de medidas que se deben implementar en la prevención (art. 8 de la Ley 5/2008), la sensibilización (art. 9 de la Ley 5/2008), la detección por la administración pública (art. 10 de la Ley 5/2008) y la erradicación de esta violencia machista.</w:t>
      </w:r>
    </w:p>
    <w:p w14:paraId="12944091" w14:textId="77777777" w:rsidR="009D7677" w:rsidRDefault="009D7677" w:rsidP="009D7677">
      <w:pPr>
        <w:pStyle w:val="TextoNormal"/>
      </w:pPr>
    </w:p>
    <w:p w14:paraId="40D1CBBF" w14:textId="77777777" w:rsidR="009D7677" w:rsidRDefault="009D7677" w:rsidP="009D7677">
      <w:pPr>
        <w:pStyle w:val="TextoNormal"/>
      </w:pPr>
      <w:r>
        <w:t>Tras justificar brevemente la razón de ser de la inclusión de los nuevos tipos y ámbitos de violencia machista, la representación procesal de la Generalitat subraya que, en ningún caso, cabe atribuir a las cuestionadas previsiones un alcance penal, si bien van referidas a las definiciones de comportamientos que describen conductas de violencia machista, puesto que todas ellas operan en el ámbito funcional propio de la administración de la Generalitat que le corresponde competencialmente en el reconocimiento de los derechos de las mujeres en situaciones de violencia machista.</w:t>
      </w:r>
    </w:p>
    <w:p w14:paraId="5ACB5C3C" w14:textId="77777777" w:rsidR="009D7677" w:rsidRDefault="009D7677" w:rsidP="009D7677">
      <w:pPr>
        <w:pStyle w:val="TextoNormal"/>
      </w:pPr>
    </w:p>
    <w:p w14:paraId="182AE9EF" w14:textId="77777777" w:rsidR="009D7677" w:rsidRDefault="009D7677" w:rsidP="009D7677">
      <w:pPr>
        <w:pStyle w:val="TextoNormal"/>
      </w:pPr>
      <w:r>
        <w:t>En esta línea, con ocasión de los reconocimientos de los diversos tipos de violencia contra la mujer, se despliegan un conjunto de derechos consistentes en la asistencia, protección, recuperación y reparación integral (art. 30 de la Ley 5/2008); y a los efectos de identificar una situación de violencia machista, la Ley remite a los medios de prueba calificados que proceden de otros ámbitos de la actuación de los poderes públicos (sentencias de cualquier orden jurisdiccional, orden de protección vigente, informes de la inspección de trabajo, etc.), sin que la denuncia penal sea condición indispensable para el reconocimiento de sus derechos.</w:t>
      </w:r>
    </w:p>
    <w:p w14:paraId="311CBD15" w14:textId="77777777" w:rsidR="009D7677" w:rsidRDefault="009D7677" w:rsidP="009D7677">
      <w:pPr>
        <w:pStyle w:val="TextoNormal"/>
      </w:pPr>
    </w:p>
    <w:p w14:paraId="47C60B3E" w14:textId="77777777" w:rsidR="009D7677" w:rsidRDefault="009D7677" w:rsidP="009D7677">
      <w:pPr>
        <w:pStyle w:val="TextoNormal"/>
      </w:pPr>
      <w:r>
        <w:t>En definitiva, el reproche que los recurrentes atribuyen al art. 3 de la Ley 17/2020, de realizar una inconstitucional labor de tipificación jurídico-criminal, debe considerarse como absolutamente descontextualizado, pues ignora que el verdadero alcance de la inclusión de las definiciones únicamente tiene como finalidad el asumir, en relación con la erradicación de la violencia machista, las responsabilidades correspondientes por parte de los distintos ámbitos de las administraciones catalanas concernidas. Supone desconocer que el ámbito penal no agota el alcance de intervención de los poderes públicos en la atención de la prevención y los daños que produce la violencia contra las mujeres.</w:t>
      </w:r>
    </w:p>
    <w:p w14:paraId="7F0A9040" w14:textId="77777777" w:rsidR="009D7677" w:rsidRDefault="009D7677" w:rsidP="009D7677">
      <w:pPr>
        <w:pStyle w:val="TextoNormal"/>
      </w:pPr>
    </w:p>
    <w:p w14:paraId="46EDEF2F" w14:textId="77777777" w:rsidR="009D7677" w:rsidRDefault="009D7677" w:rsidP="009D7677">
      <w:pPr>
        <w:pStyle w:val="TextoNormal"/>
      </w:pPr>
      <w:r>
        <w:t>d) Art. 16 de la Ley 17/2020: obligaciones de los partidos políticos de disponer de medidas que prevengan y controlen la violencia machista</w:t>
      </w:r>
    </w:p>
    <w:p w14:paraId="0ED35136" w14:textId="77777777" w:rsidR="009D7677" w:rsidRDefault="009D7677" w:rsidP="009D7677">
      <w:pPr>
        <w:pStyle w:val="TextoNormal"/>
      </w:pPr>
    </w:p>
    <w:p w14:paraId="420999C4" w14:textId="77777777" w:rsidR="009D7677" w:rsidRDefault="009D7677" w:rsidP="009D7677">
      <w:pPr>
        <w:pStyle w:val="TextoNormal"/>
      </w:pPr>
      <w:r>
        <w:t>La regulación que se examina tiene que ver, como señala la abogada de la Generalitat, con el establecimiento de medidas que supongan una prevención, detección y actuación ante la violencia machista, como consecuencia de la recepción de estándares internacionales en el ámbito de los partidos políticos.</w:t>
      </w:r>
    </w:p>
    <w:p w14:paraId="53427A36" w14:textId="77777777" w:rsidR="009D7677" w:rsidRDefault="009D7677" w:rsidP="009D7677">
      <w:pPr>
        <w:pStyle w:val="TextoNormal"/>
      </w:pPr>
    </w:p>
    <w:p w14:paraId="46264856" w14:textId="77777777" w:rsidR="009D7677" w:rsidRDefault="009D7677" w:rsidP="009D7677">
      <w:pPr>
        <w:pStyle w:val="TextoNormal"/>
      </w:pPr>
      <w:r>
        <w:t>Los partidos políticos son instituciones eminentemente públicas que tienen autonomía pero que deben respetar los derechos fundamentales: en este caso, en relación con la prohibición de la discriminación de la mujer, concretamente en su versión de protección ante la violencia machista. De la misma forma que los planes de igualdad, así como las medidas de prevención de la violencia contra las mujeres, los protocolos de actuación frente al acoso sexual y al acoso por razón de sexo se establecen para empresas y en todos los ámbitos de las administraciones públicas, los partidos políticos son también responsables de la debida diligencia establecida en el Convenio de Estambul y deben disponer de estos instrumentos de protección a la mujer frente a la violencia machista.</w:t>
      </w:r>
    </w:p>
    <w:p w14:paraId="56E18EF4" w14:textId="77777777" w:rsidR="009D7677" w:rsidRDefault="009D7677" w:rsidP="009D7677">
      <w:pPr>
        <w:pStyle w:val="TextoNormal"/>
      </w:pPr>
    </w:p>
    <w:p w14:paraId="61A08CAD" w14:textId="7ED9AF1B" w:rsidR="009D7677" w:rsidRDefault="009D7677" w:rsidP="009D7677">
      <w:pPr>
        <w:pStyle w:val="TextoNormal"/>
      </w:pPr>
      <w:r>
        <w:t>Señala la representante procesal de la Generalitat que deberían poder ser extensibles a estas instituciones las previsiones establecidas en el art. 16 de la Ley 17/2020 en relación con la prevención, investigación y control por parte de la propia institución en los casos de violencia contra las mujeres, en términos equivalentes a los que se establecen para el resto de las organizaciones. Y respecto de la exigencia de ley orgánica para establecer estas medidas se afirma que el Tribunal Constitucional ha reiterado en sus sentencias la necesidad de aplicar de forma restrictiva la reserva de ley orgánica (STC 184/2012, de 17 de octubre, FJ 9). En este sentido, se recuerda que existen ámbitos normativos de carácter no orgánico aplicables a los partidos políticos, como sucede con la contratación pública.</w:t>
      </w:r>
    </w:p>
    <w:p w14:paraId="58E1BF4D" w14:textId="77777777" w:rsidR="009D7677" w:rsidRDefault="009D7677" w:rsidP="009D7677">
      <w:pPr>
        <w:pStyle w:val="TextoNormal"/>
      </w:pPr>
    </w:p>
    <w:p w14:paraId="703FE0FB" w14:textId="77777777" w:rsidR="009D7677" w:rsidRDefault="009D7677" w:rsidP="009D7677">
      <w:pPr>
        <w:pStyle w:val="TextoNormal"/>
      </w:pPr>
      <w:r w:rsidRPr="009D7677">
        <w:rPr>
          <w:rStyle w:val="NumeroAFNegritaCaracter"/>
        </w:rPr>
        <w:lastRenderedPageBreak/>
        <w:t>7</w:t>
      </w:r>
      <w:r>
        <w:t>. Mediante escrito de 1 de julio de 2021, registrado en la misma fecha en el Tribunal, la letrada del Parlamento de Cataluña procede a realizar las siguientes alegaciones:</w:t>
      </w:r>
    </w:p>
    <w:p w14:paraId="68DB0194" w14:textId="77777777" w:rsidR="009D7677" w:rsidRDefault="009D7677" w:rsidP="009D7677">
      <w:pPr>
        <w:pStyle w:val="TextoNormal"/>
      </w:pPr>
    </w:p>
    <w:p w14:paraId="6CF17BF8" w14:textId="77777777" w:rsidR="009D7677" w:rsidRDefault="009D7677" w:rsidP="009D7677">
      <w:pPr>
        <w:pStyle w:val="TextoNormal"/>
      </w:pPr>
      <w:r>
        <w:t>A) Análisis competencial</w:t>
      </w:r>
    </w:p>
    <w:p w14:paraId="02FF00EB" w14:textId="77777777" w:rsidR="009D7677" w:rsidRDefault="009D7677" w:rsidP="009D7677">
      <w:pPr>
        <w:pStyle w:val="TextoNormal"/>
      </w:pPr>
    </w:p>
    <w:p w14:paraId="52BE60EE" w14:textId="77777777" w:rsidR="009D7677" w:rsidRDefault="009D7677" w:rsidP="009D7677">
      <w:pPr>
        <w:pStyle w:val="TextoNormal"/>
      </w:pPr>
      <w:r>
        <w:t>La letrada del Parlamento catalán inicia su escrito de alegaciones, tras la delimitación del objeto del recurso, abordando la cuestión de la distribución competencial. Con carácter previo, realiza un breve repaso de la configuración del principio de igualdad de género y su carácter transversal en (i) el Derecho interno (arts. 14 y 9.2 CE; Ley Orgánica 3/2007, de 22 de marzo, para la igualdad efectiva de mujeres y hombres; y Ley Orgánica 1/2004, de 28 de diciembre, de medidas de protección integral contra la violencia de género); (ii) el Derecho de la Unión Europea, en relación con sus políticas en el ámbito laboral y del acceso a bienes y servicios y su suministro [arts. 2 y 3.3 del Tratado de la Unión Europea (TUE); arts. 8, 10, 19, 153 y 157 del Tratado de funcionamiento de la Unión Europea (TFUE); arts. 21 y 23 de la Carta de los derechos fundamentales de la Unión Europea (CDFUE); Directiva del Consejo 2004/113/CE, de 13 de diciembre de 2004, sobre acceso a bienes y servicios y su suministro; Directiva 2006/54/CE del Parlamento Europeo y del Consejo, de 5 de julio de 2006, sobre empleo y ocupación; y Directiva 2010/41/UE del Parlamento Europeo y del Consejo, de 7 de julio de 2010, sobre actividad autónoma]; y (iii) el Consejo de Europa, con referencia al fundamental Convenio de Estambul.</w:t>
      </w:r>
    </w:p>
    <w:p w14:paraId="5797C261" w14:textId="77777777" w:rsidR="009D7677" w:rsidRDefault="009D7677" w:rsidP="009D7677">
      <w:pPr>
        <w:pStyle w:val="TextoNormal"/>
      </w:pPr>
    </w:p>
    <w:p w14:paraId="11B9809D" w14:textId="77777777" w:rsidR="009D7677" w:rsidRDefault="009D7677" w:rsidP="009D7677">
      <w:pPr>
        <w:pStyle w:val="TextoNormal"/>
      </w:pPr>
      <w:r>
        <w:t>A continuación, hace referencia al Estatuto de Autonomía de Cataluña y, en concreto, a los preceptos en los que se abordan de forma específica los derechos de las mujeres ante la violencia machista: (i) art. 19 EAC, que consagra el derecho de las mujeres al libre desarrollo de la personalidad y la capacidad personal y a vivir con dignidad, seguridad y autonomía, libres de explotación, malos tratos y todo tipo de discriminación; (ii) art. 41.3 EAC, que establece como uno de los principios rectores de las políticas públicas el deber, entre otros, de garantizar que se aborden de forma integral todas las formas de violencia contra las mujeres y los actos de carácter sexista y discriminatorio; (iii) art. 43 EAC, que prevé que los poderes públicos deben promover la participación social en la elaboración, la prestación y la evaluación de las políticas públicas; y (iv) art. 153 EAC, que atribuye a la Generalitat la competencia exclusiva de la regulación de las medidas y los instrumentos para la sensibilización sobre la violencia de género y para detectarla y prevenirla y también la regulación de servicios y recursos propios destinados a conseguir una protección integral de las mujeres que sufren este tipo de violencia.</w:t>
      </w:r>
    </w:p>
    <w:p w14:paraId="398BDCEA" w14:textId="77777777" w:rsidR="009D7677" w:rsidRDefault="009D7677" w:rsidP="009D7677">
      <w:pPr>
        <w:pStyle w:val="TextoNormal"/>
      </w:pPr>
    </w:p>
    <w:p w14:paraId="3FF7DF61" w14:textId="77777777" w:rsidR="009D7677" w:rsidRDefault="009D7677" w:rsidP="009D7677">
      <w:pPr>
        <w:pStyle w:val="TextoNormal"/>
      </w:pPr>
      <w:r>
        <w:t xml:space="preserve">Recuerda que la competencia exclusiva de la Generalitat en relación con el Derecho civil de Cataluña ha provocado, en relación con la materia que nos ocupa, la introducción como causa de indignidad para suceder los supuestos de violencia de género. Igualmente, corresponde en Derecho civil a la Generalitat la competencia exclusiva, </w:t>
      </w:r>
      <w:r w:rsidRPr="009D7677">
        <w:rPr>
          <w:i/>
        </w:rPr>
        <w:t>ex</w:t>
      </w:r>
      <w:r>
        <w:t xml:space="preserve"> art. 118 EAC, sobre el régimen jurídico de las asociaciones que cumplen sus funciones mayoritariamente en Cataluña; entre otros ámbitos, la regulación del contenido de los estatutos, de los órganos de gobierno y de los derechos y deberes de los asociados.</w:t>
      </w:r>
    </w:p>
    <w:p w14:paraId="1F157D84" w14:textId="77777777" w:rsidR="009D7677" w:rsidRDefault="009D7677" w:rsidP="009D7677">
      <w:pPr>
        <w:pStyle w:val="TextoNormal"/>
      </w:pPr>
    </w:p>
    <w:p w14:paraId="026E81E7" w14:textId="77777777" w:rsidR="009D7677" w:rsidRDefault="009D7677" w:rsidP="009D7677">
      <w:pPr>
        <w:pStyle w:val="TextoNormal"/>
      </w:pPr>
      <w:r>
        <w:t xml:space="preserve">De acuerdo con la doctrina constitucional sobre el reparto competencial en materia de política de género (STC 159/2016, de 22 de septiembre, FJ 2 </w:t>
      </w:r>
      <w:r w:rsidRPr="009D7677">
        <w:rPr>
          <w:i/>
        </w:rPr>
        <w:t>in fine</w:t>
      </w:r>
      <w:r>
        <w:t xml:space="preserve">), el art. 153 EAC es, a juicio de la letrada del Parlamento catalán, el título competencial que ampara, con carácter general, la Ley 17/2020 y su precedente, la Ley 5/2008. Esta última nace en el contexto de </w:t>
      </w:r>
      <w:r>
        <w:lastRenderedPageBreak/>
        <w:t>una transformación de las políticas públicas que tiene el objetivo de enmarcar la transversalidad de la perspectiva de género en todos los ámbitos enfocando el fenómeno de la violencia machista como un problema vinculado al reconocimiento social y jurídico de las mujeres. Es una ley que tiene por objeto la erradicación de la violencia machista y establece con este objetivo distintas medidas. Así, por un lado, medidas generales de prevención, detección, sensibilización y formación de profesionales y, por otro lado, medidas de atención, asistencia, protección, recuperación y de reparación integral de las víctimas.</w:t>
      </w:r>
    </w:p>
    <w:p w14:paraId="3D3EB6C8" w14:textId="77777777" w:rsidR="009D7677" w:rsidRDefault="009D7677" w:rsidP="009D7677">
      <w:pPr>
        <w:pStyle w:val="TextoNormal"/>
      </w:pPr>
    </w:p>
    <w:p w14:paraId="5A41C67F" w14:textId="77777777" w:rsidR="009D7677" w:rsidRDefault="009D7677" w:rsidP="009D7677">
      <w:pPr>
        <w:pStyle w:val="TextoNormal"/>
      </w:pPr>
      <w:r>
        <w:t>Por último, con base en la doctrina constitucional (SSTC 142/1988, de 12 de julio, FJ 7, y 85/2018, de 19 de julio, FJ 4), la letrada del Parlamento de Cataluña descarta la invasión competencial en materia penal (art. 149.1.6 CE), por cuanto en las modificaciones introducidas por la Ley 17/2020 no se tipifica penalmente ningún delito, tampoco se establece responsabilidad penal alguna por los supuestos fácticos que prevé, ni se contempla ningún tipo de investigación criminal o de atribución a órganos de competencias judiciales o cuasi judiciales de tipo penal. Lo que se regula, en definitiva, es un sistema asistencial y de reparación de daños a las víctimas, sin investigación penal y sin responsabilidad penal. Del mismo modo, descarta la invasión competencial en materia civil, puesto que la regulación cuestionada no altera el bloque de constitucionalidad ni el orden de distribución competencial atribuido a la Generalitat de Cataluña y al Estado.</w:t>
      </w:r>
    </w:p>
    <w:p w14:paraId="5C0BBCD5" w14:textId="77777777" w:rsidR="009D7677" w:rsidRDefault="009D7677" w:rsidP="009D7677">
      <w:pPr>
        <w:pStyle w:val="TextoNormal"/>
      </w:pPr>
    </w:p>
    <w:p w14:paraId="49ACD038" w14:textId="77777777" w:rsidR="009D7677" w:rsidRDefault="009D7677" w:rsidP="009D7677">
      <w:pPr>
        <w:pStyle w:val="TextoNormal"/>
      </w:pPr>
      <w:r>
        <w:t>B) Conformidad constitucional del art. 1 de la Ley 17/2020 por cuanto no se altera ni sustituye el criterio del sexo como fundamento de la legislación sobre violencia machista</w:t>
      </w:r>
    </w:p>
    <w:p w14:paraId="3A71EDE4" w14:textId="77777777" w:rsidR="009D7677" w:rsidRDefault="009D7677" w:rsidP="009D7677">
      <w:pPr>
        <w:pStyle w:val="TextoNormal"/>
      </w:pPr>
    </w:p>
    <w:p w14:paraId="4503FB38" w14:textId="77777777" w:rsidR="009D7677" w:rsidRDefault="009D7677" w:rsidP="009D7677">
      <w:pPr>
        <w:pStyle w:val="TextoNormal"/>
      </w:pPr>
      <w:r>
        <w:t>La letrada del Parlamento catalán inicia su argumentación afirmando que el ámbito subjetivo de la Ley 5/2008 no se ha visto modificado, frente a lo que alegan los recurrentes, tras la reforma operada por la Ley 17/2020. Conforme a una interpretación sistemática del texto legal, sigue siendo el sexo femenino el que determina la inclusión en el ámbito subjetivo de la Ley. La inclusión en dicho ámbito de las niñas, adolescentes y mujeres transgénero, ha de interpretarse en el sentido de que las mismas habrán cumplido, para obtener dicha condición, con los requisitos establecidos en la Ley 3/2007, de 15 de marzo, reguladora de la rectificación registral de la mención relativa al sexo de las personas. En el supuesto de que no se haya producido dicho cambio de sexo, estas personas no entrarán en el ámbito subjetivo de la Ley pues no les será posible probar su condición de mujeres al no tener acreditado el sexo femenino.</w:t>
      </w:r>
    </w:p>
    <w:p w14:paraId="7CB6A988" w14:textId="77777777" w:rsidR="009D7677" w:rsidRDefault="009D7677" w:rsidP="009D7677">
      <w:pPr>
        <w:pStyle w:val="TextoNormal"/>
      </w:pPr>
    </w:p>
    <w:p w14:paraId="02F3A39E" w14:textId="77777777" w:rsidR="009D7677" w:rsidRDefault="009D7677" w:rsidP="009D7677">
      <w:pPr>
        <w:pStyle w:val="TextoNormal"/>
      </w:pPr>
      <w:r>
        <w:t>Una interpretación gramatical avala también, según la letrada del Parlamento catalán, la tesis de la no modificación del ámbito subjetivo. El término “mujer” es el sustantivo y el término “transgénero” es únicamente su adjetivo; en consecuencia, en dicha relación no debe primarse el adjetivo sobre el sustantivo puesto que la existencia del adjetivo depende del sustantivo al cual complementa ejerciendo una función secundaria.</w:t>
      </w:r>
    </w:p>
    <w:p w14:paraId="2A390A35" w14:textId="77777777" w:rsidR="009D7677" w:rsidRDefault="009D7677" w:rsidP="009D7677">
      <w:pPr>
        <w:pStyle w:val="TextoNormal"/>
      </w:pPr>
    </w:p>
    <w:p w14:paraId="640394E2" w14:textId="77777777" w:rsidR="009D7677" w:rsidRDefault="009D7677" w:rsidP="009D7677">
      <w:pPr>
        <w:pStyle w:val="TextoNormal"/>
      </w:pPr>
      <w:r>
        <w:t>Se indica que estamos ante una modificación de una ley autonómica por otra ley autonómica con base en las competencias autonómicas en políticas de género y que persigue, entre otros fines, la sensibilización, prevención, investigación, atención, protección, recuperación y reparación de las víctimas de violencia de género. Es, por ello, que no existe ninguna contravención de la reserva de ley orgánica, ni invasión de las competencias estatales en materia de legislación penal. Y tampoco se produce una invasión de las competencias estatales en materia civil, pues la reforma operada en nada afecta a las leyes regu</w:t>
      </w:r>
      <w:r>
        <w:lastRenderedPageBreak/>
        <w:t>ladoras del registro civil y de sus rectificaciones en cuanto a la mención del sexo de las personas.</w:t>
      </w:r>
    </w:p>
    <w:p w14:paraId="020D56BA" w14:textId="77777777" w:rsidR="009D7677" w:rsidRDefault="009D7677" w:rsidP="009D7677">
      <w:pPr>
        <w:pStyle w:val="TextoNormal"/>
      </w:pPr>
    </w:p>
    <w:p w14:paraId="7C8B57DA" w14:textId="77777777" w:rsidR="009D7677" w:rsidRDefault="009D7677" w:rsidP="009D7677">
      <w:pPr>
        <w:pStyle w:val="TextoNormal"/>
      </w:pPr>
      <w:r>
        <w:t>C) La definición de consentimiento sexual en el art. 2 j) de la Ley 17/2020 no tipifica ningún delito ni atribuye responsabilidad penal</w:t>
      </w:r>
    </w:p>
    <w:p w14:paraId="5527783F" w14:textId="77777777" w:rsidR="009D7677" w:rsidRDefault="009D7677" w:rsidP="009D7677">
      <w:pPr>
        <w:pStyle w:val="TextoNormal"/>
      </w:pPr>
    </w:p>
    <w:p w14:paraId="4C971EF5" w14:textId="77777777" w:rsidR="009D7677" w:rsidRDefault="009D7677" w:rsidP="009D7677">
      <w:pPr>
        <w:pStyle w:val="TextoNormal"/>
      </w:pPr>
      <w:r>
        <w:t>La representante del Parlamento catalán señala que es doctrina constitucional consolidada admitir la posibilidad de utilizar aquellos términos que no están definidos en la legislación penal para su interpretación por otra normativa que no necesariamente debe ser estatal ni tampoco del ámbito penal (STC 90/2018, de 6 de septiembre, FJ 4, relativa a la definición de “agentes de la autoridad” para empleados de las empresas de transporte). Es decir, el intérprete de la ley puede complementar con un término que aparece en otra ley y que regula materia distinta de la que es objeto de interpretación sin que ello pueda significar que se produce invasión de competencias ni al elaborar dicha ley ni tampoco al utilizarla para la interpretación de una ley distinta.</w:t>
      </w:r>
    </w:p>
    <w:p w14:paraId="6F521782" w14:textId="77777777" w:rsidR="009D7677" w:rsidRDefault="009D7677" w:rsidP="009D7677">
      <w:pPr>
        <w:pStyle w:val="TextoNormal"/>
      </w:pPr>
    </w:p>
    <w:p w14:paraId="076E3E1D" w14:textId="77777777" w:rsidR="009D7677" w:rsidRDefault="009D7677" w:rsidP="009D7677">
      <w:pPr>
        <w:pStyle w:val="TextoNormal"/>
      </w:pPr>
      <w:r>
        <w:t>Por otra parte, la letrada del Parlamento catalán recuerda que para que exista una invasión competencial en el ámbito penal (art. 149.1.6 CE), por hacer una definición del consentimiento sexual, se exige que la norma regule un tipo penal de manera efectiva y concreta (STC 142/1988, de 12 de julio, FJ 7) y que exista una orden en tal sentido, un verdadero mandato y no una advertencia (STC 162/1996, de 17 de octubre, FJ 6). En el presente caso, el art. 2 j) de la Ley 17/2020 ni tipifica ni tampoco reproduce ningún tipo penal, por lo que no se inscribe en el marco de la legislación penal sino, por el contrario, en el de desarrollo de las políticas sociales y de género. En este marco dicha normativa debe ser considerada de tipo administrativo, preventivo y asistencial y no supone ninguna invasión competencial en el ámbito penal.</w:t>
      </w:r>
    </w:p>
    <w:p w14:paraId="7538794A" w14:textId="77777777" w:rsidR="009D7677" w:rsidRDefault="009D7677" w:rsidP="009D7677">
      <w:pPr>
        <w:pStyle w:val="TextoNormal"/>
      </w:pPr>
    </w:p>
    <w:p w14:paraId="40BA2224" w14:textId="77777777" w:rsidR="009D7677" w:rsidRDefault="009D7677" w:rsidP="009D7677">
      <w:pPr>
        <w:pStyle w:val="TextoNormal"/>
      </w:pPr>
      <w:r>
        <w:t>Por último, la letrada del Parlamento catalán indica que la definición cuestionada se inspira directamente en el art. 36.2 del Convenio del Consejo de Europa sobre prevención y lucha contra la violencia contra la mujer y la violencia doméstica, hecho en Estambul el 11 de mayo de 2011, y ratificado por España el 18 de marzo de 2014; precepto que exige la concurrencia de dos elementos fundamentales: la manifestación del libre arbitrio de la persona y la atención a las condiciones circundantes.</w:t>
      </w:r>
    </w:p>
    <w:p w14:paraId="42FB0D42" w14:textId="77777777" w:rsidR="009D7677" w:rsidRDefault="009D7677" w:rsidP="009D7677">
      <w:pPr>
        <w:pStyle w:val="TextoNormal"/>
      </w:pPr>
    </w:p>
    <w:p w14:paraId="72A0BF36" w14:textId="77777777" w:rsidR="009D7677" w:rsidRDefault="009D7677" w:rsidP="009D7677">
      <w:pPr>
        <w:pStyle w:val="TextoNormal"/>
      </w:pPr>
      <w:r>
        <w:t>D) La definición de los tipos de violencia machista por el art. 3 de la Ley 17/2020 no invade las competencias estatales en materia penal</w:t>
      </w:r>
    </w:p>
    <w:p w14:paraId="3F1A1740" w14:textId="77777777" w:rsidR="009D7677" w:rsidRDefault="009D7677" w:rsidP="009D7677">
      <w:pPr>
        <w:pStyle w:val="TextoNormal"/>
      </w:pPr>
    </w:p>
    <w:p w14:paraId="3C5D462A" w14:textId="77777777" w:rsidR="009D7677" w:rsidRDefault="009D7677" w:rsidP="009D7677">
      <w:pPr>
        <w:pStyle w:val="TextoNormal"/>
      </w:pPr>
      <w:r>
        <w:t>a) La letrada del Parlamento de Cataluña formula, en primer lugar, un óbice procesal respecto de algunos de los apartados que integran el contenido del precepto objeto de impugnación. Sostiene la letrada que los recurrentes cuestionan la totalidad del precepto sin tener en cuenta que este ha sido modificado solamente de forma parcial. Es, por ello, que conforme a la doctrina constitucional (STC 83/2020, de 15 de julio, FJ 2), el recurso resulta extemporáneo respecto de los preceptos no modificados: en concreto, las letras a), c) y e) del art. 4.2. Además, afirma que tampoco puede invocarse la inconstitucionalidad por conexión o consecuencia al tratarse de una prerrogativa que corresponde en exclusiva al Tribunal Constitucional (STC 83/2020, de 15 de julio).</w:t>
      </w:r>
    </w:p>
    <w:p w14:paraId="42BDCB27" w14:textId="77777777" w:rsidR="009D7677" w:rsidRDefault="009D7677" w:rsidP="009D7677">
      <w:pPr>
        <w:pStyle w:val="TextoNormal"/>
      </w:pPr>
    </w:p>
    <w:p w14:paraId="1FBFB97A" w14:textId="77777777" w:rsidR="009D7677" w:rsidRDefault="009D7677" w:rsidP="009D7677">
      <w:pPr>
        <w:pStyle w:val="TextoNormal"/>
      </w:pPr>
      <w:r>
        <w:lastRenderedPageBreak/>
        <w:t xml:space="preserve">b) La representación procesal del Parlamento catalán descarta, una vez más y con similares argumentos a los ya expuestos, la invasión de las competencias estatales en materia penal </w:t>
      </w:r>
      <w:r w:rsidRPr="009D7677">
        <w:rPr>
          <w:i/>
        </w:rPr>
        <w:t>ex</w:t>
      </w:r>
      <w:r>
        <w:t xml:space="preserve"> art. 149.1.6 CE, puesto que las diferentes formas de violencia machista definidas en la Ley 17/2020 no son un catálogo de ilícitos penales. Con apoyo en la doctrina establecida en la STC 85/2018, FJ 4, se afirma que nada impide que la condición de víctima se reconozca y los beneficios se dispensen en ausencia de pronunciamiento judicial (pues, de existir, hay que atenerse a este), siempre que la actuación administrativa que lleve a dicho reconocimiento no interfiera en las potestades reservadas a los jueces y tribunales del orden penal. En otros términos, siempre que el deslinde entre la tarea administrativa de reconocimiento y compensación respecto a la investigación y persecución de hechos delictivos sea respetado, por cuanto sus conclusiones no son vinculantes para los tribunales ni pueden afectar a resoluciones judiciales [en un sentido similar STC 133/2018, de 13 de diciembre, FJ 8 a)], no cabe hacer reproche constitucional alguno a una norma que persiga el reconocimiento y reparación de determinadas personas en razón de los daños que acrediten haber sufrido.</w:t>
      </w:r>
    </w:p>
    <w:p w14:paraId="0EC3342C" w14:textId="77777777" w:rsidR="009D7677" w:rsidRDefault="009D7677" w:rsidP="009D7677">
      <w:pPr>
        <w:pStyle w:val="TextoNormal"/>
      </w:pPr>
    </w:p>
    <w:p w14:paraId="15E6B337" w14:textId="77777777" w:rsidR="009D7677" w:rsidRDefault="009D7677" w:rsidP="009D7677">
      <w:pPr>
        <w:pStyle w:val="TextoNormal"/>
      </w:pPr>
      <w:r>
        <w:t>E) El art. 16 de la Ley 17/2020 se limita a establecer medidas de paridad encaminadas a garantizar el funcionamiento democrático de los partidos políticos</w:t>
      </w:r>
    </w:p>
    <w:p w14:paraId="2144B599" w14:textId="77777777" w:rsidR="009D7677" w:rsidRDefault="009D7677" w:rsidP="009D7677">
      <w:pPr>
        <w:pStyle w:val="TextoNormal"/>
      </w:pPr>
    </w:p>
    <w:p w14:paraId="40EA3DCE" w14:textId="77777777" w:rsidR="009D7677" w:rsidRDefault="009D7677" w:rsidP="009D7677">
      <w:pPr>
        <w:pStyle w:val="TextoNormal"/>
      </w:pPr>
      <w:r>
        <w:t xml:space="preserve">En primer lugar, la representación del Parlamento catalán afirma que el art. 16 de la Ley 17/2020 no infringe la reserva de ley orgánica </w:t>
      </w:r>
      <w:r w:rsidRPr="009D7677">
        <w:rPr>
          <w:i/>
        </w:rPr>
        <w:t>ex</w:t>
      </w:r>
      <w:r>
        <w:t xml:space="preserve"> art. 81.1 CE, por cuanto la misma no representa un título habilitante a favor del Estado en dicha materia y queda únicamente circunscrita a la regulación de los elementos esenciales. Es, por ello, que la Ley Orgánica 3/2007, de 22 de marzo, para la igualdad efectiva de mujeres y hombres, la Ley Orgánica 6/2002, de 27 de junio, de partidos políticos, y la Ley Orgánica 1/2002, de 22 de marzo, reguladora del derecho de asociación, regulan los elementos esenciales y el examen de constitucionalidad debe circunscribirse a la compatibilidad con los mismos del precepto cuestionado.</w:t>
      </w:r>
    </w:p>
    <w:p w14:paraId="63BE1F53" w14:textId="77777777" w:rsidR="009D7677" w:rsidRDefault="009D7677" w:rsidP="009D7677">
      <w:pPr>
        <w:pStyle w:val="TextoNormal"/>
      </w:pPr>
    </w:p>
    <w:p w14:paraId="12BB43D1" w14:textId="77777777" w:rsidR="009D7677" w:rsidRDefault="009D7677" w:rsidP="009D7677">
      <w:pPr>
        <w:pStyle w:val="TextoNormal"/>
      </w:pPr>
      <w:r>
        <w:t>En segundo lugar, se aduce que la regulación autonómica descansa en las competencias exclusivas de la Generalitat en materia de políticas de género (art. 153 EAC) y en relación con el derecho de asociación (art. 118 EAC). Al Estado le corresponde la regulación de los elementos o aspectos esenciales del derecho de asociación (derecho fundamental del art. 22 CE sujeto a reserva de ley orgánica, STC 133/2006, de 27 de abril, FJ 2), pero no tiene una competencia exclusiva sobre el derecho de asociación, ni tampoco sobre los partidos políticos; no obstante, es también atribución estatal la regulación de las condiciones básicas que garanticen la igualdad de todos los españoles en el ejercicio de los derechos y en el cumplimiento de los deberes constitucionales sobre el derecho de asociación (art. 149.1.1 CE).</w:t>
      </w:r>
    </w:p>
    <w:p w14:paraId="74345A26" w14:textId="77777777" w:rsidR="009D7677" w:rsidRDefault="009D7677" w:rsidP="009D7677">
      <w:pPr>
        <w:pStyle w:val="TextoNormal"/>
      </w:pPr>
    </w:p>
    <w:p w14:paraId="0671D452" w14:textId="3DDFEEB4" w:rsidR="009D7677" w:rsidRDefault="009D7677" w:rsidP="009D7677">
      <w:pPr>
        <w:pStyle w:val="TextoNormal"/>
      </w:pPr>
      <w:r>
        <w:t xml:space="preserve">Atendiendo al marco competencial examinado, la letrada del Parlamento catalán concluye que el art. 16 de la Ley 17/2020, al exigir la adopción de un plan de igualdad interno y de un protocolo para la prevención, detección y actuación ante la violencia machista, no regula los elementos esenciales del régimen jurídico de los partidos políticos, ni incide en las condiciones básicas </w:t>
      </w:r>
      <w:r w:rsidRPr="009D7677">
        <w:rPr>
          <w:i/>
        </w:rPr>
        <w:t>ex</w:t>
      </w:r>
      <w:r>
        <w:t xml:space="preserve"> art. 149.1.1 CE. El precepto impugnado solo pretende extender al ámbito de los partidos políticos un conjunto de medidas para el fomento de la igualdad, con base en sus propias competencias autonómicas sobre políticas de género y asociaciones. Una esfera, la de los partidos políticos, en la que únicamente se ha establecido la pa</w:t>
      </w:r>
      <w:r>
        <w:lastRenderedPageBreak/>
        <w:t>ridad en la fijación de las candidaturas electorales, mediante la Ley Orgánica 3/2007 que modifica el art. 44 LOREG, pero no se han previsto medidas para el fomento de la igualdad en su organización y funcionamiento democrático.</w:t>
      </w:r>
    </w:p>
    <w:p w14:paraId="5CA91F9F" w14:textId="77777777" w:rsidR="009D7677" w:rsidRDefault="009D7677" w:rsidP="009D7677">
      <w:pPr>
        <w:pStyle w:val="TextoNormal"/>
      </w:pPr>
    </w:p>
    <w:p w14:paraId="2691D877" w14:textId="442A0E32" w:rsidR="009D7677" w:rsidRDefault="009D7677" w:rsidP="009D7677">
      <w:pPr>
        <w:pStyle w:val="TextoNormal"/>
      </w:pPr>
      <w:r w:rsidRPr="009D7677">
        <w:rPr>
          <w:rStyle w:val="NumeroAFNegritaCaracter"/>
        </w:rPr>
        <w:t>8</w:t>
      </w:r>
      <w:r>
        <w:t>. Por providencia de 12 de marzo de 2024, se señaló ese mismo día para la deliberación y votación de la presente sentencia.</w:t>
      </w:r>
    </w:p>
    <w:p w14:paraId="76E2304E" w14:textId="77777777" w:rsidR="009D7677" w:rsidRDefault="009D7677" w:rsidP="009D7677">
      <w:pPr>
        <w:pStyle w:val="TextoNormal"/>
      </w:pPr>
    </w:p>
    <w:p w14:paraId="192045BA" w14:textId="77777777" w:rsidR="009D7677" w:rsidRDefault="009D7677" w:rsidP="009D7677">
      <w:pPr>
        <w:pStyle w:val="TextoNormalNegritaCentrado"/>
        <w:keepNext/>
      </w:pPr>
      <w:r>
        <w:t>II. Fundamentos jurídicos</w:t>
      </w:r>
    </w:p>
    <w:p w14:paraId="3F1F23E3" w14:textId="28B093BB" w:rsidR="009D7677" w:rsidRDefault="009D7677" w:rsidP="009D7677">
      <w:pPr>
        <w:pStyle w:val="TextoNormalNegritaCentrado"/>
        <w:keepNext/>
      </w:pPr>
    </w:p>
    <w:p w14:paraId="2B392F4B" w14:textId="77777777" w:rsidR="009D7677" w:rsidRDefault="009D7677" w:rsidP="009D7677">
      <w:pPr>
        <w:pStyle w:val="TextoNormal"/>
      </w:pPr>
      <w:r w:rsidRPr="009D7677">
        <w:rPr>
          <w:rStyle w:val="NumeroAFNegritaCaracter"/>
        </w:rPr>
        <w:t>1</w:t>
      </w:r>
      <w:r>
        <w:t xml:space="preserve">. </w:t>
      </w:r>
      <w:r w:rsidRPr="009D7677">
        <w:rPr>
          <w:i/>
        </w:rPr>
        <w:t>Objeto del recurso y posiciones de las partes</w:t>
      </w:r>
    </w:p>
    <w:p w14:paraId="3A1C15FB" w14:textId="77777777" w:rsidR="009D7677" w:rsidRDefault="009D7677" w:rsidP="009D7677">
      <w:pPr>
        <w:pStyle w:val="TextoNormal"/>
      </w:pPr>
    </w:p>
    <w:p w14:paraId="029C2DAF" w14:textId="77777777" w:rsidR="009D7677" w:rsidRDefault="009D7677" w:rsidP="009D7677">
      <w:pPr>
        <w:pStyle w:val="TextoNormal"/>
      </w:pPr>
      <w:r>
        <w:t>a) El presente recurso de inconstitucionalidad núm. 1719-2021, interpuesto a instancia de ochenta y cuatro diputados y diputadas del Grupo Parlamentario Popular en el Congreso de los Diputados, tiene por objeto los arts. 1, 2, 3 y 16 de la Ley del Parlamento de Cataluña 17/2020, de 22 de diciembre, de modificación de la Ley 5/2008, del derecho de las mujeres a erradicar la violencia machista.</w:t>
      </w:r>
    </w:p>
    <w:p w14:paraId="2D83CF06" w14:textId="77777777" w:rsidR="009D7677" w:rsidRDefault="009D7677" w:rsidP="009D7677">
      <w:pPr>
        <w:pStyle w:val="TextoNormal"/>
      </w:pPr>
    </w:p>
    <w:p w14:paraId="13C1341A" w14:textId="77777777" w:rsidR="009D7677" w:rsidRDefault="009D7677" w:rsidP="009D7677">
      <w:pPr>
        <w:pStyle w:val="TextoNormal"/>
      </w:pPr>
      <w:r>
        <w:t>b) Los recurrentes alegan en su demanda, como con mayor detalle se ha expuesto en los antecedentes de esta sentencia, que la norma cuestionada realiza, al amparo de una finalidad tuitiva, una equiparación entre las mujeres que, en todo caso, tienen legalmente esta condición —las mujeres cisgénero (“biológicas” en términos de los recurrentes) y aquellas que han realizado la rectificación registral— y las mujeres transgénero que no han acometido la rectificación registral, así como una sustitución del “sexo” por la “identidad de género”, que proyecta efectos jurídicos en la esfera civil y penal. Por una parte, otorgar efectos jurídicos al cambio de sexo al margen del cauce procedimental de rectificación registral previsto en el ordenamiento jurídico vulnera las competencias exclusivas estatales en materia de ordenación de registros (art. 149.1.8 CE). Por otra parte, la inclusión de las mujeres transgénero que no han acometido la rectificación registral de la mención del sexo incide o modifica los tipos penales sobre violencia de género, vulnerando los arts. 81.1 y 149.1.6 CE; vulneración en la que también incurre la norma autonómica al definir el consentimiento sexual y las diferentes formas de violencia machista. Por último, en la medida en que la norma autonómica pretende modificar el régimen jurídico de los partidos políticos, al establecer obligaciones en relación con la prevención de la violencia machista, incurre en una infracción de la competencia estatal en este ámbito (arts. 81.1 y 149.1.1 CE, en conexión con los arts. 20, 22 y 23 CE).</w:t>
      </w:r>
    </w:p>
    <w:p w14:paraId="5C94B099" w14:textId="77777777" w:rsidR="009D7677" w:rsidRDefault="009D7677" w:rsidP="009D7677">
      <w:pPr>
        <w:pStyle w:val="TextoNormal"/>
      </w:pPr>
    </w:p>
    <w:p w14:paraId="45F65415" w14:textId="77777777" w:rsidR="009D7677" w:rsidRDefault="009D7677" w:rsidP="009D7677">
      <w:pPr>
        <w:pStyle w:val="TextoNormal"/>
      </w:pPr>
      <w:r>
        <w:t xml:space="preserve">c) La abogada del Gobierno de la Generalitat de Cataluña interesa la desestimación íntegra del recurso, pues la norma cuestionada se encuadra dentro de las competencias autonómicas en materia de política de género y de prevención de la violencia machista. Niega, en primer lugar, que la incorporación de las mujeres transgénero al ámbito subjetivo de protección frente a la violencia machista sea una novedad, pues ya estaba presente en la Ley 5/2008 —si bien con unos condicionantes ya superados—, respondiendo, en todo caso, a la necesidad de incorporar estándares de protección derivados de normas internacionales. En segundo lugar, respecto de la definición de consentimiento sexual y de los tipos de violencia machista, argumenta que su verdadero alcance no es el penal, sino que implica asumir, respecto de la erradicación de la violencia machista, las responsabilidades que corresponden a las administraciones catalanas concernidas en el reconocimiento de los </w:t>
      </w:r>
      <w:r>
        <w:lastRenderedPageBreak/>
        <w:t>derechos de asistencia, protección, recuperación y reparación integral de las víctimas. Idéntica finalidad es la que anima a las medidas previstas en la Ley respecto de los partidos políticos.</w:t>
      </w:r>
    </w:p>
    <w:p w14:paraId="46038677" w14:textId="77777777" w:rsidR="009D7677" w:rsidRDefault="009D7677" w:rsidP="009D7677">
      <w:pPr>
        <w:pStyle w:val="TextoNormal"/>
      </w:pPr>
    </w:p>
    <w:p w14:paraId="0F1BF92F" w14:textId="04D68290" w:rsidR="009D7677" w:rsidRDefault="009D7677" w:rsidP="009D7677">
      <w:pPr>
        <w:pStyle w:val="TextoNormal"/>
      </w:pPr>
      <w:r>
        <w:t>d) En términos similares se expresa la letrada del Parlamento de Cataluña, cuando interesa también la desestimación del recurso al sostener que lo que se regula es un sistema asistencial y de reparación integral de daños a las víctimas de la violencia machista encuadrado en las competencias autonómicas en materia de política de género que no altera el orden de distribución competencial entre el Estado y la Generalitat de Cataluña. Es, por ello, que descarta, en primer lugar, la vulneración de las competencias estatales en materia de ordenación de registros, pues la rectificación registral del sexo sigue siendo el dato determinante de la inclusión en el ámbito subjetivo de la ley cuestionada. En segundo lugar, con argumentos sustancialmente idénticos, la letrada del Parlamento catalán niega que las definiciones de consentimiento sexual o de las distintas formas de violencia machista puedan ser entendidas como una tipificación efectiva y concreta de ilícitos penales o que atribuyan responsabilidad penal alguna, pues se enmarcan en el desarrollo de las políticas sociales y de género de competencia autonómica. Idéntico marco competencial, unido al de las competencias autonómicas en materia de asociaciones, otorgan cobertura, a juicio de la letrada del Parlamento catalán, a las medidas de fomento de la igualdad y de prevención de la violencia machista en el ámbito de los partidos políticos.</w:t>
      </w:r>
    </w:p>
    <w:p w14:paraId="32F13230" w14:textId="77777777" w:rsidR="009D7677" w:rsidRDefault="009D7677" w:rsidP="009D7677">
      <w:pPr>
        <w:pStyle w:val="TextoNormal"/>
      </w:pPr>
    </w:p>
    <w:p w14:paraId="259C8FD0" w14:textId="77777777" w:rsidR="009D7677" w:rsidRDefault="009D7677" w:rsidP="009D7677">
      <w:pPr>
        <w:pStyle w:val="TextoNormal"/>
      </w:pPr>
      <w:r w:rsidRPr="009D7677">
        <w:rPr>
          <w:rStyle w:val="NumeroAFNegritaCaracter"/>
        </w:rPr>
        <w:t>2</w:t>
      </w:r>
      <w:r>
        <w:t xml:space="preserve">. </w:t>
      </w:r>
      <w:r w:rsidRPr="009D7677">
        <w:rPr>
          <w:i/>
        </w:rPr>
        <w:t>Consideraciones preliminares: delimitación del objeto y sistemática</w:t>
      </w:r>
    </w:p>
    <w:p w14:paraId="503AC5E4" w14:textId="77777777" w:rsidR="009D7677" w:rsidRDefault="009D7677" w:rsidP="009D7677">
      <w:pPr>
        <w:pStyle w:val="TextoNormal"/>
      </w:pPr>
    </w:p>
    <w:p w14:paraId="1675AD0F" w14:textId="77777777" w:rsidR="009D7677" w:rsidRDefault="009D7677" w:rsidP="009D7677">
      <w:pPr>
        <w:pStyle w:val="TextoNormal"/>
      </w:pPr>
      <w:r>
        <w:t>Antes de abordar el examen de los concretos motivos de inconstitucionalidad denunciados en el recurso, procede realizar unas consideraciones preliminares acerca del (i) objeto y contenido de la Ley 17/2020 para efectuar su encuadramiento competencial, (ii) las modificaciones normativas que se han producido durante la pendencia del proceso con incidencia en el mismo, (iii) el óbice procesal planteado por la letrada del Parlamento de Cataluña y (iv) el orden de examen de los motivos de impugnación.</w:t>
      </w:r>
    </w:p>
    <w:p w14:paraId="3FAD7D7E" w14:textId="77777777" w:rsidR="009D7677" w:rsidRDefault="009D7677" w:rsidP="009D7677">
      <w:pPr>
        <w:pStyle w:val="TextoNormal"/>
      </w:pPr>
    </w:p>
    <w:p w14:paraId="00EDC3BB" w14:textId="77777777" w:rsidR="009D7677" w:rsidRDefault="009D7677" w:rsidP="009D7677">
      <w:pPr>
        <w:pStyle w:val="TextoNormal"/>
      </w:pPr>
      <w:r>
        <w:t>A) Objeto y contenido de la Ley 17/2020: encuadramiento competencial</w:t>
      </w:r>
    </w:p>
    <w:p w14:paraId="45A3D693" w14:textId="77777777" w:rsidR="009D7677" w:rsidRDefault="009D7677" w:rsidP="009D7677">
      <w:pPr>
        <w:pStyle w:val="TextoNormal"/>
      </w:pPr>
    </w:p>
    <w:p w14:paraId="7C3953FE" w14:textId="77777777" w:rsidR="009D7677" w:rsidRDefault="009D7677" w:rsidP="009D7677">
      <w:pPr>
        <w:pStyle w:val="TextoNormal"/>
      </w:pPr>
      <w:r>
        <w:t>a) Como se desprende de las posiciones de las partes descritas en el fundamento jurídico precedente, y con mayor detalle en los antecedentes de esta sentencia, existe coincidencia en que nos hallamos ante una controversia predominantemente competencial, si bien las partes parecen discrepar en cuanto los títulos competenciales que, a su juicio, otorgan cobertura a los preceptos impugnados.</w:t>
      </w:r>
    </w:p>
    <w:p w14:paraId="589A3D8C" w14:textId="77777777" w:rsidR="009D7677" w:rsidRDefault="009D7677" w:rsidP="009D7677">
      <w:pPr>
        <w:pStyle w:val="TextoNormal"/>
      </w:pPr>
    </w:p>
    <w:p w14:paraId="78ADA0B8" w14:textId="77777777" w:rsidR="009D7677" w:rsidRDefault="009D7677" w:rsidP="009D7677">
      <w:pPr>
        <w:pStyle w:val="TextoNormal"/>
      </w:pPr>
      <w:r>
        <w:t>Los recurrentes consideran que la Ley 17/2020 invade competencias exclusivas del Estado en materia de (i) ordenación de los registros públicos (art. 149.1.8 CE), (ii) legislación penal (art. 149.1.6 CE) y (iii) partidos políticos (art. 149.1.1 en conexión con los arts. 20, 22 y 23 CE), a lo que se añade, en los dos últimos casos, la vulneración de la reserva de ley orgánica (art. 81.1 CE).</w:t>
      </w:r>
    </w:p>
    <w:p w14:paraId="4A6D4F02" w14:textId="77777777" w:rsidR="009D7677" w:rsidRDefault="009D7677" w:rsidP="009D7677">
      <w:pPr>
        <w:pStyle w:val="TextoNormal"/>
      </w:pPr>
    </w:p>
    <w:p w14:paraId="3C405548" w14:textId="77777777" w:rsidR="009D7677" w:rsidRDefault="009D7677" w:rsidP="009D7677">
      <w:pPr>
        <w:pStyle w:val="TextoNormal"/>
      </w:pPr>
      <w:r>
        <w:t>Tanto la abogada de la Generalitat de Cataluña, como la letrada del Parlamento de Cataluña sostienen que la competencia autonómica que ampara la norma cuestionada es la de políticas de género, encaminada a hacer efectivo el principio de igualdad y la no discriminación por razón de sexo, otorgando a las mujeres una protección integral contra la vio</w:t>
      </w:r>
      <w:r>
        <w:lastRenderedPageBreak/>
        <w:t xml:space="preserve">lencia machista (arts. 19, 41.3, 43 y 153 EAC). Además, la letrada del Parlamento alega que también corresponde en Derecho civil a la Generalitat la competencia exclusiva, </w:t>
      </w:r>
      <w:r w:rsidRPr="009D7677">
        <w:rPr>
          <w:i/>
        </w:rPr>
        <w:t>ex</w:t>
      </w:r>
      <w:r>
        <w:t xml:space="preserve"> art. 118 EAC, sobre el régimen jurídico de las asociaciones que cumplen sus funciones mayoritariamente en Cataluña, pudiendo incidir en la regulación del contenido de los estatutos, órganos de gobierno, derechos y deberes de los asociados, entre otros aspectos.</w:t>
      </w:r>
    </w:p>
    <w:p w14:paraId="2B115566" w14:textId="77777777" w:rsidR="009D7677" w:rsidRDefault="009D7677" w:rsidP="009D7677">
      <w:pPr>
        <w:pStyle w:val="TextoNormal"/>
      </w:pPr>
    </w:p>
    <w:p w14:paraId="5F5D2B54" w14:textId="77777777" w:rsidR="009D7677" w:rsidRDefault="009D7677" w:rsidP="009D7677">
      <w:pPr>
        <w:pStyle w:val="TextoNormal"/>
      </w:pPr>
      <w:r>
        <w:t xml:space="preserve">De acuerdo con nuestra doctrina, el encuadramiento competencial ha de efectuarse teniendo en cuenta que “los títulos competenciales operan </w:t>
      </w:r>
      <w:r w:rsidRPr="009D7677">
        <w:rPr>
          <w:i/>
        </w:rPr>
        <w:t>ope constitutionis</w:t>
      </w:r>
      <w:r>
        <w:t>, por lo que ‘el orden de competencias y la definición de las que, en cada caso, se ejerzan, no pueden quedar a merced de las alegaciones de las partes, sino que deben ser determinadas en atención a los criterios objetivos que sobre cada materia establecen la Constitución, los estatutos de autonomía y las leyes a las que estos y aquella remitan’ (entre otras, SSTC 69/1988, de 19 de abril, FJ 2, y 175/2011, de 8 de noviembre, FJ 3)” (STC 100/2020, de 22 de julio, FJ 3). Y, por otra parte, en los supuestos en los que, como ocurre en el presente caso, los preceptos controvertidos pueden incardinarse en diversos títulos competenciales, para efectuar una correcta calificación competencial ha de tomarse en consideración tanto el “contenido del precepto controvertido”, como el “carácter, sentido y finalidad de las disposiciones traídas al conflicto” [SSTC 45/2015, de 5 de marzo, FJ 3; 26/2016, de 18 de febrero, FJ 6; 21/2017, de 2 de febrero, FJ 2; 100/2017, de 20 de julio, FJ 5 b), y 102/2018, de 4 de octubre, FJ 3], sin que el Tribunal esté vinculado por “las incardinaciones competenciales contenidas en las normas sometidas a su enjuiciamiento”, ni tampoco “por el encuadramiento competencial que realicen las partes en el proceso” (SSTC 18/2016, de 4 de febrero, FJ 10; 132/2019, de 13 de noviembre, FJ 4, y 133/2022, de 25 de octubre, FJ 3). Es, por ello, que ante la disparidad de títulos competenciales invocados por las partes, se hace oportuno analizar, con carácter previo, el objeto y contenido de la Ley 17/2020 con la única finalidad de proceder al correcto encuadre de la controversia competencial.</w:t>
      </w:r>
    </w:p>
    <w:p w14:paraId="7825C47F" w14:textId="77777777" w:rsidR="009D7677" w:rsidRDefault="009D7677" w:rsidP="009D7677">
      <w:pPr>
        <w:pStyle w:val="TextoNormal"/>
      </w:pPr>
    </w:p>
    <w:p w14:paraId="7E68DC65" w14:textId="77777777" w:rsidR="009D7677" w:rsidRDefault="009D7677" w:rsidP="009D7677">
      <w:pPr>
        <w:pStyle w:val="TextoNormal"/>
      </w:pPr>
      <w:r>
        <w:t>b) La Ley 17/2020, de 22 de diciembre, tiene, como señala en su preámbulo, la vocación de ampliar, reforzar y actualizar la Ley 5/2008, de 24 de abril, del derecho de las mujeres a erradicar la violencia machista, así como de proteger los derechos de las mujeres transgénero y cisgénero y de las personas binarias, con el fin de respetar la diversidad de género. El objetivo de la Ley 17/2020 de actualizar la Ley 5/2008, superando sus carencias e incrementando los niveles de protección, hace que resulte totalmente adecuado examinar brevemente la finalidad y contenido esencial de esta última, en la medida en que su reforma parcial constituye el único objeto de la norma impugnada en este proceso constitucional.</w:t>
      </w:r>
    </w:p>
    <w:p w14:paraId="715F2B7C" w14:textId="77777777" w:rsidR="009D7677" w:rsidRDefault="009D7677" w:rsidP="009D7677">
      <w:pPr>
        <w:pStyle w:val="TextoNormal"/>
      </w:pPr>
    </w:p>
    <w:p w14:paraId="4316F560" w14:textId="77777777" w:rsidR="009D7677" w:rsidRDefault="009D7677" w:rsidP="009D7677">
      <w:pPr>
        <w:pStyle w:val="TextoNormal"/>
      </w:pPr>
      <w:r>
        <w:t>(i) Partiendo del reconocimiento de las experiencias de las mujeres que han pasado por situaciones de violencia de género y de las contribuciones de los movimientos feministas, la Ley 5/2008 tiene la voluntad “de convertirse en un instrumento activo y efectivo para garantizar los derechos de las mujeres y para poner las herramientas jurídicas para excluir de nuestra sociedad la violencia machista” (preámbulo, apartado I); y ello en sintonía con “[l]a normativa internacional, europea, estatal, nacional y local [que] ha desarrollado un amplio conjunto de derechos y medidas para erradicar las violencias contra las mujeres” (preámbulo, apartado II).</w:t>
      </w:r>
    </w:p>
    <w:p w14:paraId="6C113DB3" w14:textId="77777777" w:rsidR="009D7677" w:rsidRDefault="009D7677" w:rsidP="009D7677">
      <w:pPr>
        <w:pStyle w:val="TextoNormal"/>
      </w:pPr>
    </w:p>
    <w:p w14:paraId="04CCF3CF" w14:textId="77777777" w:rsidR="009D7677" w:rsidRDefault="009D7677" w:rsidP="009D7677">
      <w:pPr>
        <w:pStyle w:val="TextoNormal"/>
      </w:pPr>
      <w:r>
        <w:t xml:space="preserve">La necesidad de aprobar esta ley encuentra su razón de ser en el hecho de que el Estatuto de Autonomía de Cataluña “da un trato muy sensible a las mujeres y aborda de forma </w:t>
      </w:r>
      <w:r>
        <w:lastRenderedPageBreak/>
        <w:t>específica los derechos de las mujeres ante la violencia machista” (preámbulo, apartado II). Junto a los arts. 19 EAC —relativo al derecho de la mujer “al libre desarrollo de su personalidad y capacidad personal, y a vivir con dignidad, seguridad y autonomía, libres de explotación, malos tratos y todo tipo de discriminación”— y 41.3 EAC —que establece como principio rector de las políticas públicas el deber de garantizar “que se haga frente de modo integral a todas las formas de violencia contra las mujeres y a los actos de carácter sexista y discriminatorio”—, se señala que el art. 153 EAC “aborda las políticas de género disponiendo que corresponde a la Generalitat la competencia exclusiva de la regulación de las medidas y los instrumentos para la sensibilización sobre la violencia de género y para su detección y prevención, así como la regulación de servicios y recursos propios destinados a conseguir una protección integral de las mujeres que han sufrido o sufren este tipo de violencia” (preámbulo, apartado II); y a todo ello se ha de sumar la competencia exclusiva de la Generalitat sobre el Derecho civil catalán.</w:t>
      </w:r>
    </w:p>
    <w:p w14:paraId="57CFEB59" w14:textId="77777777" w:rsidR="009D7677" w:rsidRDefault="009D7677" w:rsidP="009D7677">
      <w:pPr>
        <w:pStyle w:val="TextoNormal"/>
      </w:pPr>
    </w:p>
    <w:p w14:paraId="5CADE65C" w14:textId="77777777" w:rsidR="009D7677" w:rsidRDefault="009D7677" w:rsidP="009D7677">
      <w:pPr>
        <w:pStyle w:val="TextoNormal"/>
      </w:pPr>
      <w:r>
        <w:t>La Ley 5/2008 tiene un triple objeto, como se desprende de su art. 1, a saber: erradicar la violencia machista y remover las estructuras sociales y los estereotipos culturales que la perpetúan; establecer medidas integrales de prevención, detección y sensibilización con el fin de erradicarla de la sociedad; y reconocer los derechos de las mujeres que la sufren a la atención, la asistencia, la protección, la recuperación y la reparación integral. A tales efectos, el título I, relativo a las disposiciones generales y en el que se definen cuestiones básicas sobre la violencia machista, “asienta los principios que deben orientar las intervenciones de los poderes públicos para erradicar esta violencia y que han regido la elaboración del articulado, que son, entre otros, la integralidad, la transversalidad y el compromiso de todos los poderes públicos implicados con el fin de dar una respuesta firme y contundente y garantizar un trato adecuado y efectivo del derecho de las mujeres a no ser discriminadas y a vivir con autonomía y libertad, rompiendo con la visión puramente asistencialista” (preámbulo, apartado III). El título II regula la prevención, la detección y la erradicación de la violencia machista, haciendo de la investigación, liderada e impulsada transversalmente por el Instituto Catalán de las Mujeres, la “herramienta básica de actuación” (preámbulo, apartado III), y articulando un conjunto de actuaciones dirigidas a la sensibilización social e información y a la detección de situaciones de riesgo o de existencia de violencia machista, así como otras acciones en ámbitos específicos como son el educativo y de formación y capacitación de profesionales, medios de comunicación, o el laboral y social. El título III regula todos los derechos de las mujeres a la prevención, la atención, la asistencia, la protección, la recuperación y la reparación integral, que pasan a ser el núcleo central de los derechos de las mujeres en situaciones de violencia machista (asistencia sanitaria, acceso a una vivienda, empleo y formación ocupacional, asistencia jurídica, prestaciones económicas, etc.). Por último, el título IV aborda la regulación de las competencias de las administraciones públicas catalanas concernidas, así como los programas y protocolos de intervención integral contra la violencia machista.</w:t>
      </w:r>
    </w:p>
    <w:p w14:paraId="2DD414E5" w14:textId="77777777" w:rsidR="009D7677" w:rsidRDefault="009D7677" w:rsidP="009D7677">
      <w:pPr>
        <w:pStyle w:val="TextoNormal"/>
      </w:pPr>
    </w:p>
    <w:p w14:paraId="4E4B177A" w14:textId="77777777" w:rsidR="009D7677" w:rsidRDefault="009D7677" w:rsidP="009D7677">
      <w:pPr>
        <w:pStyle w:val="TextoNormal"/>
      </w:pPr>
      <w:r>
        <w:t>(ii) La Ley 17/2020 realiza, como ya hemos indicado, una reforma parcial de la Ley 5/2008, en parte tras el informe de evaluación de sus casi diez años de vigencia, en parte por el impacto de las normas aprobadas en el ámbito internacional, con especial mención al Convenio del Consejo de Europa sobre prevención y lucha contra la violencia contra la mujer y la violencia doméstica, hecho en Estambul el 11 de mayo de 2011, y ratificado por España el 18 de marzo de 2014.</w:t>
      </w:r>
    </w:p>
    <w:p w14:paraId="27A8F0B2" w14:textId="77777777" w:rsidR="009D7677" w:rsidRDefault="009D7677" w:rsidP="009D7677">
      <w:pPr>
        <w:pStyle w:val="TextoNormal"/>
      </w:pPr>
    </w:p>
    <w:p w14:paraId="1817FE35" w14:textId="77777777" w:rsidR="009D7677" w:rsidRDefault="009D7677" w:rsidP="009D7677">
      <w:pPr>
        <w:pStyle w:val="TextoNormal"/>
      </w:pPr>
      <w:r>
        <w:lastRenderedPageBreak/>
        <w:t>Las novedades más destacables, como señala el legislador catalán en el preámbulo, son el tratamiento de cuestiones como la violencia contra las mujeres en la vida política, para evitar los efectos desalentadores; la regulación de la violencia institucional y de las violencias digitales; la definición de consentimiento sexual; y la ampliación de los tipos de violencia en el ámbito social y comunitario, las formas de violencia machista y la necesidad de la formación de profesionales.</w:t>
      </w:r>
    </w:p>
    <w:p w14:paraId="2434C6EE" w14:textId="77777777" w:rsidR="009D7677" w:rsidRDefault="009D7677" w:rsidP="009D7677">
      <w:pPr>
        <w:pStyle w:val="TextoNormal"/>
      </w:pPr>
    </w:p>
    <w:p w14:paraId="65427702" w14:textId="77777777" w:rsidR="009D7677" w:rsidRDefault="009D7677" w:rsidP="009D7677">
      <w:pPr>
        <w:pStyle w:val="TextoNormal"/>
      </w:pPr>
      <w:r>
        <w:t xml:space="preserve">c) Expuestos la finalidad y el contenido esencial tanto de la Ley 5/2008, como de la Ley 17/2020 que la reforma, este tribunal considera que la materia en la que se encuadra esta regulación es la de políticas de género; materia sobre la que la Generalitat de Cataluña tiene competencia exclusiva </w:t>
      </w:r>
      <w:r w:rsidRPr="009D7677">
        <w:rPr>
          <w:i/>
        </w:rPr>
        <w:t>ex</w:t>
      </w:r>
      <w:r>
        <w:t xml:space="preserve"> art. 153 EAC. En todo caso, esta materia se define por su carácter transversal e intersectorial, como ya declaramos en la STC 159/2016, de 22 de septiembre, FJ 2, en la que se resolvió el recurso de inconstitucionalidad contra la Ley del Parlamento de Cataluña 17/2015, de 21 de julio, de igualdad efectiva de mujeres y hombres. La Ley 5/2008 tiene el objetivo, no alterado por la impugnada Ley 17/2020, de dotar a la mujer de una protección integral frente a la violencia de género. A tales efectos, la Ley establece una serie de medidas generales que han de orientar la actuación de las administraciones públicas catalanas; medidas de prevención, detección y sensibilización, así como de asistencia, protección y recuperación integral de la víctima. Medidas que no van acompañadas de efectos punitivos, ya sea en el orden sancionador administrativo, ya sea en el orden penal, y que operan en ámbitos tales como los de educación, salud, medios de comunicación, vivienda, ocupación o prestaciones económicas.</w:t>
      </w:r>
    </w:p>
    <w:p w14:paraId="3EA628B4" w14:textId="77777777" w:rsidR="009D7677" w:rsidRDefault="009D7677" w:rsidP="009D7677">
      <w:pPr>
        <w:pStyle w:val="TextoNormal"/>
      </w:pPr>
    </w:p>
    <w:p w14:paraId="399612C7" w14:textId="77777777" w:rsidR="009D7677" w:rsidRDefault="009D7677" w:rsidP="009D7677">
      <w:pPr>
        <w:pStyle w:val="TextoNormal"/>
      </w:pPr>
      <w:r>
        <w:t>Siendo esto cierto, este tribunal ya señaló que, ante la transversalidad de la materia políticas de género, si existe un título específico que atribuye al Estado o a una comunidad autónoma competencia sobre una determinada materia, “la competencia sobre política de género pasa a un segundo plano pues, de lo contrario, quedaría desbordado el ámbito y sentido de este título competencial que no puede operar como un título capaz de introducirse en cualquier materia o sector del ordenamiento. El legislador autonómico puede dictar medidas relativas al título competencial de políticas de género en caso de que afecten a sectores sobre los que tenga competencia” (STC 159/2016, FJ 2).</w:t>
      </w:r>
    </w:p>
    <w:p w14:paraId="3BEE4DEB" w14:textId="77777777" w:rsidR="009D7677" w:rsidRDefault="009D7677" w:rsidP="009D7677">
      <w:pPr>
        <w:pStyle w:val="TextoNormal"/>
      </w:pPr>
    </w:p>
    <w:p w14:paraId="069F76E6" w14:textId="77777777" w:rsidR="009D7677" w:rsidRDefault="009D7677" w:rsidP="009D7677">
      <w:pPr>
        <w:pStyle w:val="TextoNormal"/>
      </w:pPr>
      <w:r>
        <w:t>De acuerdo con la doctrina constitucional expuesta, el inicial encuadramiento de la norma autonómica controvertida en la materia de políticas de género exige, sin embargo, examinar los concretos preceptos cuestionados de la Ley 17/2020 a los efectos de verificar si, como alegan los recurrentes, existen títulos competenciales estatales específicos que, dado su carácter preferente, desplazan a un segundo plano la competencia autonómica.</w:t>
      </w:r>
    </w:p>
    <w:p w14:paraId="722F31B9" w14:textId="77777777" w:rsidR="009D7677" w:rsidRDefault="009D7677" w:rsidP="009D7677">
      <w:pPr>
        <w:pStyle w:val="TextoNormal"/>
      </w:pPr>
    </w:p>
    <w:p w14:paraId="1030EC23" w14:textId="77777777" w:rsidR="009D7677" w:rsidRDefault="009D7677" w:rsidP="009D7677">
      <w:pPr>
        <w:pStyle w:val="TextoNormal"/>
      </w:pPr>
      <w:r>
        <w:t>B) Modificaciones normativas con incidencia en el objeto del presente recurso</w:t>
      </w:r>
    </w:p>
    <w:p w14:paraId="01E58E17" w14:textId="77777777" w:rsidR="009D7677" w:rsidRDefault="009D7677" w:rsidP="009D7677">
      <w:pPr>
        <w:pStyle w:val="TextoNormal"/>
      </w:pPr>
    </w:p>
    <w:p w14:paraId="1BF00603" w14:textId="77777777" w:rsidR="009D7677" w:rsidRDefault="009D7677" w:rsidP="009D7677">
      <w:pPr>
        <w:pStyle w:val="TextoNormal"/>
      </w:pPr>
      <w:r>
        <w:t>Es procedente hacer referencia a las modificaciones normativas acaecidas durante la pendencia del proceso siguiendo el reiterado criterio del Tribunal [por todas, SSTC 204/2011, de 15 de diciembre, FJ 2 a), y 235/2012, de 13 de diciembre, FJ 2]. En este caso se trata de modificaciones que, si bien no afectan directamente a ninguno de los preceptos impugnados, sí van a tener una clara incidencia en cuanto parámetro de control a utilizar en la resolución de la cuestión competencial suscitada en el presente recurso de inconstitucionalidad.</w:t>
      </w:r>
    </w:p>
    <w:p w14:paraId="049A805F" w14:textId="77777777" w:rsidR="009D7677" w:rsidRDefault="009D7677" w:rsidP="009D7677">
      <w:pPr>
        <w:pStyle w:val="TextoNormal"/>
      </w:pPr>
    </w:p>
    <w:p w14:paraId="506393B5" w14:textId="77777777" w:rsidR="009D7677" w:rsidRDefault="009D7677" w:rsidP="009D7677">
      <w:pPr>
        <w:pStyle w:val="TextoNormal"/>
      </w:pPr>
      <w:r>
        <w:lastRenderedPageBreak/>
        <w:t>a) En primer lugar, hay que hacer referencia a la Ley Orgánica 10/2022, de 6 de septiembre, de garantía integral de la libertad sexual, que pretende abordar la problemática individual y social que generan las violencias sexuales, entendidas como “cualquier acto de naturaleza sexual no consentido o que condicione el libre desarrollo de la vida sexual en cualquier ámbito público o privado, incluyendo el ámbito digital” (art. 3.1), y que afectan de manera desproporcionada y específica a las mujeres y a las niñas, pero también a los niños. La disposición final cuarta de la Ley modifica diversos preceptos de la Ley Orgánica 10/1995, de 23 de noviembre, del Código penal, siendo relevante, a los efectos de este recurso, la definición que, en el ámbito de los delitos de agresiones sexuales, realiza el art. 178.1 del Código penal del consentimiento sexual.</w:t>
      </w:r>
    </w:p>
    <w:p w14:paraId="39A7529C" w14:textId="77777777" w:rsidR="009D7677" w:rsidRDefault="009D7677" w:rsidP="009D7677">
      <w:pPr>
        <w:pStyle w:val="TextoNormal"/>
      </w:pPr>
    </w:p>
    <w:p w14:paraId="70605E07" w14:textId="77777777" w:rsidR="009D7677" w:rsidRDefault="009D7677" w:rsidP="009D7677">
      <w:pPr>
        <w:pStyle w:val="TextoNormal"/>
      </w:pPr>
      <w:r>
        <w:t>b) En segundo lugar, hay que mencionar la Ley 4/2023, de 28 de febrero, para la igualdad real y efectiva de las personas trans y para la garantía de los derechos de las personas LGTBI. La Ley articula un conjunto de medidas específicas destinadas a la prevención, corrección y eliminación, en los ámbitos público y privado, de toda forma de discriminación; así como al fomento de la participación de las personas LGTBI en todos los ámbitos de la vida social (art. 1.2). En relación con el presente recurso de inconstitucionalidad, se han de destacar las siguientes modificaciones:</w:t>
      </w:r>
    </w:p>
    <w:p w14:paraId="0604F331" w14:textId="77777777" w:rsidR="009D7677" w:rsidRDefault="009D7677" w:rsidP="009D7677">
      <w:pPr>
        <w:pStyle w:val="TextoNormal"/>
      </w:pPr>
    </w:p>
    <w:p w14:paraId="21FC6B34" w14:textId="77777777" w:rsidR="009D7677" w:rsidRDefault="009D7677" w:rsidP="009D7677">
      <w:pPr>
        <w:pStyle w:val="TextoNormal"/>
      </w:pPr>
      <w:r>
        <w:t>(i) La disposición derogatoria única afecta a la Ley 3/2007, de 15 de marzo, reguladora de la rectificación registral de la mención relativa al sexo de las personas; materia que ahora pasa a ser regulada por los arts. 43 a 51 de la Ley 4/2023.</w:t>
      </w:r>
    </w:p>
    <w:p w14:paraId="5E04D313" w14:textId="77777777" w:rsidR="009D7677" w:rsidRDefault="009D7677" w:rsidP="009D7677">
      <w:pPr>
        <w:pStyle w:val="TextoNormal"/>
      </w:pPr>
    </w:p>
    <w:p w14:paraId="49824940" w14:textId="77777777" w:rsidR="009D7677" w:rsidRDefault="009D7677" w:rsidP="009D7677">
      <w:pPr>
        <w:pStyle w:val="TextoNormal"/>
      </w:pPr>
      <w:r>
        <w:t>(ii) La disposición final undécima modifica algunos preceptos de la Ley 20/2011, de 21 de julio, del registro civil, que son relevantes para la resolución de este recurso, tales como el art. 44.2, relativo a los datos de los que da fe la inscripción registral de nacimiento y filiación —entre los que se encuentra el “sexo”—, o el art. 49.5, que aborda el contenido de la inscripción de nacimiento en los casos en los que se indique la condición intersexual del nacido.</w:t>
      </w:r>
    </w:p>
    <w:p w14:paraId="2652D4D7" w14:textId="77777777" w:rsidR="009D7677" w:rsidRDefault="009D7677" w:rsidP="009D7677">
      <w:pPr>
        <w:pStyle w:val="TextoNormal"/>
      </w:pPr>
    </w:p>
    <w:p w14:paraId="0F10F6BC" w14:textId="77777777" w:rsidR="009D7677" w:rsidRDefault="009D7677" w:rsidP="009D7677">
      <w:pPr>
        <w:pStyle w:val="TextoNormal"/>
      </w:pPr>
      <w:r>
        <w:t>C) Óbice procesal en relación con la eventual lesión de los arts. 81.1 y 149.1.6 CE: desestimación</w:t>
      </w:r>
    </w:p>
    <w:p w14:paraId="6F9954C1" w14:textId="77777777" w:rsidR="009D7677" w:rsidRDefault="009D7677" w:rsidP="009D7677">
      <w:pPr>
        <w:pStyle w:val="TextoNormal"/>
      </w:pPr>
    </w:p>
    <w:p w14:paraId="690B0849" w14:textId="77777777" w:rsidR="009D7677" w:rsidRDefault="009D7677" w:rsidP="009D7677">
      <w:pPr>
        <w:pStyle w:val="TextoNormal"/>
      </w:pPr>
      <w:r>
        <w:t>Se afirma en el recurso de inconstitucionalidad que el art. 3 de la Ley 17/2020, por el que se modifica el art. 4 de la Ley 5/2008, vulnera los arts. 81.1 y 149.1.6 CE. El reproche se concreta en el apartado 2 del precepto ya que al definir las distintas formas de violencia machista incurre, a juicio de los recurrentes, en una auténtica labor de tipificación jurídico-penal.</w:t>
      </w:r>
    </w:p>
    <w:p w14:paraId="16A76768" w14:textId="77777777" w:rsidR="009D7677" w:rsidRDefault="009D7677" w:rsidP="009D7677">
      <w:pPr>
        <w:pStyle w:val="TextoNormal"/>
      </w:pPr>
    </w:p>
    <w:p w14:paraId="18A44E8D" w14:textId="77777777" w:rsidR="009D7677" w:rsidRDefault="009D7677" w:rsidP="009D7677">
      <w:pPr>
        <w:pStyle w:val="TextoNormal"/>
      </w:pPr>
      <w:r>
        <w:t>La letrada del Parlamento de Cataluña sostiene que los recurrentes impugnan la totalidad del art. 3 de la Ley 17/2020, sin tener en cuenta que este solo reforma parcialmente el art. 4.2 de la Ley 5/2008; reforma que no afecta a las letras a), c) y d) del citado precepto. Es, por ello, que el recurso sería inadmisible, por extemporáneo, respecto de aquellos apartados del art. 4 de la Ley 5/2008 que no han sido objeto de modificación.</w:t>
      </w:r>
    </w:p>
    <w:p w14:paraId="573B6746" w14:textId="77777777" w:rsidR="009D7677" w:rsidRDefault="009D7677" w:rsidP="009D7677">
      <w:pPr>
        <w:pStyle w:val="TextoNormal"/>
      </w:pPr>
    </w:p>
    <w:p w14:paraId="50465250" w14:textId="77777777" w:rsidR="009D7677" w:rsidRDefault="009D7677" w:rsidP="009D7677">
      <w:pPr>
        <w:pStyle w:val="TextoNormal"/>
      </w:pPr>
      <w:r>
        <w:t xml:space="preserve">Dicho alegato no puede ser acogido pues, además de que ya tenemos establecido que el hecho de que una norma reproduzca otra anterior, no impugnada, no impide que la primera pueda ser recurrida [así, STC 146/1994, de 12 de mayo, FJ 4, reiterado en STC 214/1994, </w:t>
      </w:r>
      <w:r>
        <w:lastRenderedPageBreak/>
        <w:t>de 14 de julio, FJ 4 A)], es doctrina reiterada de este Tribunal Constitucional que el recurso de inconstitucionalidad es un recurso abstracto dirigido a la depuración del ordenamiento de forma que con el mismo no se defiende un interés propio de los recurrentes sino el interés general y la supremacía de la Constitución. Por ello, teniendo en cuenta la referida función de depuración objetiva del ordenamiento propia del recurso de inconstitucionalidad, la inicial pasividad de los recurrentes no les impide ahora plantear el recurso, máxime cuando el mismo no se plantea contra este único precepto sino contra otro precepto, al que, con argumentos similares, se le imputa la vulneración de los mismos preceptos constitucionales (en este sentido, STC 17/2013, de 31 de enero, FJ 8).</w:t>
      </w:r>
    </w:p>
    <w:p w14:paraId="427156D0" w14:textId="77777777" w:rsidR="009D7677" w:rsidRDefault="009D7677" w:rsidP="009D7677">
      <w:pPr>
        <w:pStyle w:val="TextoNormal"/>
      </w:pPr>
    </w:p>
    <w:p w14:paraId="02221150" w14:textId="77777777" w:rsidR="009D7677" w:rsidRDefault="009D7677" w:rsidP="009D7677">
      <w:pPr>
        <w:pStyle w:val="TextoNormal"/>
      </w:pPr>
      <w:r>
        <w:t>D) Orden de examen</w:t>
      </w:r>
    </w:p>
    <w:p w14:paraId="1F26ED14" w14:textId="77777777" w:rsidR="009D7677" w:rsidRDefault="009D7677" w:rsidP="009D7677">
      <w:pPr>
        <w:pStyle w:val="TextoNormal"/>
      </w:pPr>
    </w:p>
    <w:p w14:paraId="647EEB9E" w14:textId="77777777" w:rsidR="009D7677" w:rsidRDefault="009D7677" w:rsidP="009D7677">
      <w:pPr>
        <w:pStyle w:val="TextoNormal"/>
      </w:pPr>
      <w:r>
        <w:t>Una vez acotado el objeto del recurso procede entrar en su resolución conforme al orden de examen de las quejas planteadas que a continuación se indica, teniendo en cuenta que, en todo caso, corresponde a este tribunal, en función de las circunstancias concurrentes en cada supuesto concreto sometido a su consideración, determinar dicho orden [STC 183/2021, de 27 de octubre, FJ 2 C)].</w:t>
      </w:r>
    </w:p>
    <w:p w14:paraId="559E4BE8" w14:textId="77777777" w:rsidR="009D7677" w:rsidRDefault="009D7677" w:rsidP="009D7677">
      <w:pPr>
        <w:pStyle w:val="TextoNormal"/>
      </w:pPr>
    </w:p>
    <w:p w14:paraId="4A65954D" w14:textId="4084C825" w:rsidR="009D7677" w:rsidRDefault="009D7677" w:rsidP="009D7677">
      <w:pPr>
        <w:pStyle w:val="TextoNormal"/>
      </w:pPr>
      <w:r>
        <w:t xml:space="preserve">Se examinará, en primer lugar, la censura de inconstitucionalidad atinente a la supuesta vulneración de la competencia exclusiva del Estado en materia de legislación penal </w:t>
      </w:r>
      <w:r w:rsidRPr="009D7677">
        <w:rPr>
          <w:i/>
        </w:rPr>
        <w:t>ex</w:t>
      </w:r>
      <w:r>
        <w:t xml:space="preserve"> art. 149.1.6 CE y, por extensión, de la reserva de ley orgánica del art. 81.1 CE, en cuanto que aglutina la mayor parte de alegaciones del recurso de inconstitucionalidad y constituye el núcleo de la demanda. En segundo lugar, se valorará la tacha de inconstitucionalidad relativa a la vulneración de la competencia exclusiva del Estado en relación con la ordenación de los registros públicos </w:t>
      </w:r>
      <w:r w:rsidRPr="009D7677">
        <w:rPr>
          <w:i/>
        </w:rPr>
        <w:t>ex</w:t>
      </w:r>
      <w:r>
        <w:t xml:space="preserve"> art. 149.1.8 CE. En tercer y último lugar, se enjuiciará la eventual infracción de la competencia exclusiva del Estado en materia de partidos políticos al amparo de los arts. 81.1 y 149.1.1 CE, en conexión con los arts. 20, 22 y 23 CE.</w:t>
      </w:r>
    </w:p>
    <w:p w14:paraId="160BD98B" w14:textId="77777777" w:rsidR="009D7677" w:rsidRDefault="009D7677" w:rsidP="009D7677">
      <w:pPr>
        <w:pStyle w:val="TextoNormal"/>
      </w:pPr>
    </w:p>
    <w:p w14:paraId="527545EB" w14:textId="77777777" w:rsidR="009D7677" w:rsidRDefault="009D7677" w:rsidP="009D7677">
      <w:pPr>
        <w:pStyle w:val="TextoNormal"/>
      </w:pPr>
      <w:r w:rsidRPr="009D7677">
        <w:rPr>
          <w:rStyle w:val="NumeroAFNegritaCaracter"/>
        </w:rPr>
        <w:t>3</w:t>
      </w:r>
      <w:r>
        <w:t xml:space="preserve">. </w:t>
      </w:r>
      <w:r w:rsidRPr="009D7677">
        <w:rPr>
          <w:i/>
        </w:rPr>
        <w:t>Impugnaciones relativas a la competencia exclusiva del Estado en materia de legislación penal (art. 149.1.6 CE) y a la reserva de ley orgánica (art. 81.1 CE)</w:t>
      </w:r>
    </w:p>
    <w:p w14:paraId="6DE10316" w14:textId="77777777" w:rsidR="009D7677" w:rsidRDefault="009D7677" w:rsidP="009D7677">
      <w:pPr>
        <w:pStyle w:val="TextoNormal"/>
      </w:pPr>
    </w:p>
    <w:p w14:paraId="78CEF916" w14:textId="77777777" w:rsidR="009D7677" w:rsidRDefault="009D7677" w:rsidP="009D7677">
      <w:pPr>
        <w:pStyle w:val="TextoNormal"/>
      </w:pPr>
      <w:r>
        <w:t>A) Preceptos impugnados y delimitación de las tachas de inconstitucionalidad</w:t>
      </w:r>
    </w:p>
    <w:p w14:paraId="49C3F6BD" w14:textId="77777777" w:rsidR="009D7677" w:rsidRDefault="009D7677" w:rsidP="009D7677">
      <w:pPr>
        <w:pStyle w:val="TextoNormal"/>
      </w:pPr>
    </w:p>
    <w:p w14:paraId="3B3162A5" w14:textId="77777777" w:rsidR="009D7677" w:rsidRDefault="009D7677" w:rsidP="009D7677">
      <w:pPr>
        <w:pStyle w:val="TextoNormal"/>
      </w:pPr>
      <w:r>
        <w:t>El argumento principal de los recurrentes en relación con los arts. 1, 2 y 3 de la Ley 17/2020 radica en que en ellos se establece una regulación que vulnera la competencia exclusiva del Estado en materia de legislación penal (art. 149.1.6 CE) incurriendo, por ello, en una infracción de la reserva de ley orgánica (art. 81.1 CE). Lo determinante en este caso es, por tanto, la alegada invasión por los preceptos cuestionados de la exclusiva competencia estatal en materia penal.</w:t>
      </w:r>
    </w:p>
    <w:p w14:paraId="17C62EB6" w14:textId="77777777" w:rsidR="009D7677" w:rsidRDefault="009D7677" w:rsidP="009D7677">
      <w:pPr>
        <w:pStyle w:val="TextoNormal"/>
      </w:pPr>
    </w:p>
    <w:p w14:paraId="4680D7CD" w14:textId="77777777" w:rsidR="009D7677" w:rsidRDefault="009D7677" w:rsidP="009D7677">
      <w:pPr>
        <w:pStyle w:val="TextoNormal"/>
      </w:pPr>
      <w:r>
        <w:t>Previamente, se han de hacer dos precisiones respecto de los preceptos impugnados: (i) la duda de constitucionalidad sobre el art. 2 se limita a la definición de consentimiento sexual; y (ii) el reproche al art. 3 se concreta en la definición de las distintas formas de violencia machista. Hechas estas precisiones, los preceptos cuestionados disponen lo siguiente:</w:t>
      </w:r>
    </w:p>
    <w:p w14:paraId="52C7BB64" w14:textId="77777777" w:rsidR="009D7677" w:rsidRDefault="009D7677" w:rsidP="009D7677">
      <w:pPr>
        <w:pStyle w:val="TextoNormal"/>
      </w:pPr>
    </w:p>
    <w:p w14:paraId="10A67F58" w14:textId="77777777" w:rsidR="009D7677" w:rsidRDefault="009D7677" w:rsidP="009D7677">
      <w:pPr>
        <w:pStyle w:val="TextoNormal"/>
      </w:pPr>
      <w:r>
        <w:t>a) El art. 1 modifica el apartado 2 del art. 2 de la Ley 5/2008, en los siguientes términos:</w:t>
      </w:r>
    </w:p>
    <w:p w14:paraId="0E126E4B" w14:textId="77777777" w:rsidR="009D7677" w:rsidRDefault="009D7677" w:rsidP="009D7677">
      <w:pPr>
        <w:pStyle w:val="TextoNormal"/>
      </w:pPr>
    </w:p>
    <w:p w14:paraId="481DD277" w14:textId="77777777" w:rsidR="009D7677" w:rsidRDefault="009D7677" w:rsidP="009D7677">
      <w:pPr>
        <w:pStyle w:val="TextoNormal"/>
      </w:pPr>
      <w:r>
        <w:t>“2. Las referencias a las mujeres incluidas en la presente ley se entiende que incluyen a las niñas y las adolescentes, y, por lo tanto, también a las mujeres, niñas y adolescentes transgénero”.</w:t>
      </w:r>
    </w:p>
    <w:p w14:paraId="578B77B7" w14:textId="77777777" w:rsidR="009D7677" w:rsidRDefault="009D7677" w:rsidP="009D7677">
      <w:pPr>
        <w:pStyle w:val="TextoNormal"/>
      </w:pPr>
    </w:p>
    <w:p w14:paraId="706E4D77" w14:textId="77777777" w:rsidR="009D7677" w:rsidRDefault="009D7677" w:rsidP="009D7677">
      <w:pPr>
        <w:pStyle w:val="TextoNormal"/>
      </w:pPr>
      <w:r>
        <w:t>b) El art. 2 modifica el art. 3 j) de la Ley 5/2008, que queda redactado del siguiente modo:</w:t>
      </w:r>
    </w:p>
    <w:p w14:paraId="30907397" w14:textId="77777777" w:rsidR="009D7677" w:rsidRDefault="009D7677" w:rsidP="009D7677">
      <w:pPr>
        <w:pStyle w:val="TextoNormal"/>
      </w:pPr>
    </w:p>
    <w:p w14:paraId="49D4F0BF" w14:textId="77777777" w:rsidR="009D7677" w:rsidRDefault="009D7677" w:rsidP="009D7677">
      <w:pPr>
        <w:pStyle w:val="TextoNormal"/>
      </w:pPr>
      <w:r>
        <w:t>“A los efectos de la presente ley, se entiende por:</w:t>
      </w:r>
    </w:p>
    <w:p w14:paraId="60853055" w14:textId="77777777" w:rsidR="009D7677" w:rsidRDefault="009D7677" w:rsidP="009D7677">
      <w:pPr>
        <w:pStyle w:val="TextoNormal"/>
      </w:pPr>
    </w:p>
    <w:p w14:paraId="70FAF4C1" w14:textId="77777777" w:rsidR="009D7677" w:rsidRDefault="009D7677" w:rsidP="009D7677">
      <w:pPr>
        <w:pStyle w:val="TextoNormal"/>
      </w:pPr>
      <w:r>
        <w:t>j) Consentimiento sexual: la voluntad expresa, enmarcada en la libertad sexual y en la dignidad personal, que da paso al ejercicio de prácticas sexuales y lo avala. La prestación del consentimiento sexual debe hacerse desde la libertad, debe permanecer vigente durante toda la práctica sexual y está acotada a una o varias personas, a unas determinadas prácticas sexuales y a unas determinadas medidas de precaución, tanto ante un embarazo no deseado como ante infecciones de transmisión sexual. No existe consentimiento si el agresor crea unas condiciones o se aprovecha de un contexto que, directa o indirectamente, impongan una práctica sexual sin contar con el consentimiento de la mujer”.</w:t>
      </w:r>
    </w:p>
    <w:p w14:paraId="385B72D4" w14:textId="77777777" w:rsidR="009D7677" w:rsidRDefault="009D7677" w:rsidP="009D7677">
      <w:pPr>
        <w:pStyle w:val="TextoNormal"/>
      </w:pPr>
    </w:p>
    <w:p w14:paraId="0067027E" w14:textId="77777777" w:rsidR="009D7677" w:rsidRDefault="009D7677" w:rsidP="009D7677">
      <w:pPr>
        <w:pStyle w:val="TextoNormal"/>
      </w:pPr>
      <w:r>
        <w:t>c) El art. 3 modifica el art. 4.2 de la Ley 5/2008, que queda redactado en los siguientes términos:</w:t>
      </w:r>
    </w:p>
    <w:p w14:paraId="002DA5C2" w14:textId="77777777" w:rsidR="009D7677" w:rsidRDefault="009D7677" w:rsidP="009D7677">
      <w:pPr>
        <w:pStyle w:val="TextoNormal"/>
      </w:pPr>
    </w:p>
    <w:p w14:paraId="1B8B83A1" w14:textId="77777777" w:rsidR="009D7677" w:rsidRDefault="009D7677" w:rsidP="009D7677">
      <w:pPr>
        <w:pStyle w:val="TextoNormal"/>
      </w:pPr>
      <w:r>
        <w:t>“2. La violencia machista puede ejercerse de manera puntual o reiterada de alguna de las siguientes formas:</w:t>
      </w:r>
    </w:p>
    <w:p w14:paraId="4F05364B" w14:textId="77777777" w:rsidR="009D7677" w:rsidRDefault="009D7677" w:rsidP="009D7677">
      <w:pPr>
        <w:pStyle w:val="TextoNormal"/>
      </w:pPr>
    </w:p>
    <w:p w14:paraId="5C4161D0" w14:textId="77777777" w:rsidR="009D7677" w:rsidRDefault="009D7677" w:rsidP="009D7677">
      <w:pPr>
        <w:pStyle w:val="TextoNormal"/>
      </w:pPr>
      <w:r>
        <w:t>a) Violencia física: comprende cualquier acto de fuerza contra el cuerpo de una mujer, con el resultado o el riesgo de producirle una lesión física o un daño.</w:t>
      </w:r>
    </w:p>
    <w:p w14:paraId="169651E9" w14:textId="77777777" w:rsidR="009D7677" w:rsidRDefault="009D7677" w:rsidP="009D7677">
      <w:pPr>
        <w:pStyle w:val="TextoNormal"/>
      </w:pPr>
    </w:p>
    <w:p w14:paraId="5B137F45" w14:textId="77777777" w:rsidR="009D7677" w:rsidRDefault="009D7677" w:rsidP="009D7677">
      <w:pPr>
        <w:pStyle w:val="TextoNormal"/>
      </w:pPr>
      <w:r>
        <w:t>b) Violencia psicológica: comprende toda conducta u omisión que produce en una mujer una desvaloración o un sufrimiento, mediante amenazas, humillación, vejaciones, menosprecio, desprecio, exigencia de obediencia o sumisión, coerción verbal, insultos, aislamiento o cualquier otra limitación de su ámbito de libertad. La violencia machista también puede llevarse a cabo con la amenaza o la causación de violencia física o psicológica contra el entorno afectivo de la mujer, especialmente los hijos e hijas u otros familiares que convivan o tengan una relación directa con ella, cuando se dirija a afligir a la mujer. También incluye la violencia ambiental, que se lleva a cabo a través del ejercicio de la violencia sobre bienes y propiedades de la mujer, con valor económico o sentimental, o sobre los animales con los que tiene un vínculo de afecto, con el fin de afligirla o de crear un entorno intimidatorio.</w:t>
      </w:r>
    </w:p>
    <w:p w14:paraId="0D602ADA" w14:textId="77777777" w:rsidR="009D7677" w:rsidRDefault="009D7677" w:rsidP="009D7677">
      <w:pPr>
        <w:pStyle w:val="TextoNormal"/>
      </w:pPr>
    </w:p>
    <w:p w14:paraId="3D7ECFAD" w14:textId="77777777" w:rsidR="009D7677" w:rsidRDefault="009D7677" w:rsidP="009D7677">
      <w:pPr>
        <w:pStyle w:val="TextoNormal"/>
      </w:pPr>
      <w:r>
        <w:t>c) Violencia sexual: comprende cualquier acto que atente contra la libertad sexual y la dignidad personal de la mujer creando unas condiciones o aprovechándose de un contexto que, directa o indirectamente, impongan una práctica sexual sin contar con el consentimiento ni la voluntad de la mujer, con independencia del vínculo que exista entre la mujer y el agresor o agresores. Incluye el acceso corporal, la mutilación genital o el riesgo de sufrirla, los matrimonios forzados, la trata de mujeres con finalidad de explotación sexual, el acoso sexual y por razón de sexo, la amenaza sexual, la exhibición, la observación y la imposición de cualquier práctica sexual, entre otras conductas.</w:t>
      </w:r>
    </w:p>
    <w:p w14:paraId="11D6A8AF" w14:textId="77777777" w:rsidR="009D7677" w:rsidRDefault="009D7677" w:rsidP="009D7677">
      <w:pPr>
        <w:pStyle w:val="TextoNormal"/>
      </w:pPr>
    </w:p>
    <w:p w14:paraId="04DC2A14" w14:textId="77777777" w:rsidR="009D7677" w:rsidRDefault="009D7677" w:rsidP="009D7677">
      <w:pPr>
        <w:pStyle w:val="TextoNormal"/>
      </w:pPr>
      <w:r>
        <w:t>d) Violencia obstétrica y vulneración de derechos sexuales y reproductivos: consiste en impedir o dificultar el acceso a una información veraz, necesaria para la toma de decisiones autónomas e informadas. Puede afectar a los diferentes ámbitos de la salud física y mental, incluyendo la salud sexual y reproductiva, y puede impedir o dificultar a las mujeres tomar decisiones sobre sus prácticas y preferencias sexuales, y sobre su reproducción y las condiciones en que se lleva a cabo, de acuerdo con los supuestos incluidos en la legislación sectorial aplicable. Incluye la esterilización forzada, el embarazo forzado, el impedimento de aborto en los supuestos legalmente establecidos y la dificultad para acceder a los métodos anticonceptivos, a los métodos de prevención de infecciones de transmisión sexual y del VIH, y a los métodos de reproducción asistida, así como las prácticas ginecológicas y obstétricas que no respeten las decisiones, el cuerpo, la salud y los procesos emocionales de la mujer.</w:t>
      </w:r>
    </w:p>
    <w:p w14:paraId="7558F801" w14:textId="77777777" w:rsidR="009D7677" w:rsidRDefault="009D7677" w:rsidP="009D7677">
      <w:pPr>
        <w:pStyle w:val="TextoNormal"/>
      </w:pPr>
    </w:p>
    <w:p w14:paraId="6C728966" w14:textId="77777777" w:rsidR="009D7677" w:rsidRDefault="009D7677" w:rsidP="009D7677">
      <w:pPr>
        <w:pStyle w:val="TextoNormal"/>
      </w:pPr>
      <w:r>
        <w:t>e) Violencia económica: consiste en la privación intencionada y no justificada de recursos para el bienestar físico o psicológico de una mujer y, si procede, de sus hijos o hijas, en el impago reiterado e injustificado de pensiones alimenticias estipuladas en caso de separación o divorcio, en el hecho de obstaculizar la disposición de los recursos propios o compartidos en el ámbito familiar o de pareja y en la apropiación ilegítima de bienes de la mujer.</w:t>
      </w:r>
    </w:p>
    <w:p w14:paraId="10CD682E" w14:textId="77777777" w:rsidR="009D7677" w:rsidRDefault="009D7677" w:rsidP="009D7677">
      <w:pPr>
        <w:pStyle w:val="TextoNormal"/>
      </w:pPr>
    </w:p>
    <w:p w14:paraId="0AAB763E" w14:textId="77777777" w:rsidR="009D7677" w:rsidRDefault="009D7677" w:rsidP="009D7677">
      <w:pPr>
        <w:pStyle w:val="TextoNormal"/>
      </w:pPr>
      <w:r>
        <w:t>f) Violencia digital: consiste en aquellos actos de violencia machista y misoginia en línea cometidos, instigados, amplificados o agravados, en parte o totalmente, mediante el uso de tecnologías de la información y de la comunicación, plataformas de redes sociales, webs o foros, correo electrónico y sistemas de mensajería instantánea y otros medios similares que afecten a la dignidad y los derechos de las mujeres. Estos actos causan daños psicológicos e incluso físicos; refuerzan estereotipos; dañan la dignidad y la reputación; atentan contra la privacidad y libertad de obrar de la mujer; le causan pérdidas económicas, y plantean obstáculos a su participación política y a su libertad de expresión.</w:t>
      </w:r>
    </w:p>
    <w:p w14:paraId="3567CA17" w14:textId="77777777" w:rsidR="009D7677" w:rsidRDefault="009D7677" w:rsidP="009D7677">
      <w:pPr>
        <w:pStyle w:val="TextoNormal"/>
      </w:pPr>
    </w:p>
    <w:p w14:paraId="441E2A64" w14:textId="77777777" w:rsidR="009D7677" w:rsidRDefault="009D7677" w:rsidP="009D7677">
      <w:pPr>
        <w:pStyle w:val="TextoNormal"/>
      </w:pPr>
      <w:r>
        <w:t>g) Violencia de segundo orden: consiste en la violencia física o psicológica, las represalias, las humillaciones y la persecución ejercidas contra las personas que apoyan a las víctimas de violencia machista. Incluye los actos que impiden la prevención, la detección, la atención y la recuperación de las mujeres en situación de violencia machista.</w:t>
      </w:r>
    </w:p>
    <w:p w14:paraId="2E70E69A" w14:textId="77777777" w:rsidR="009D7677" w:rsidRDefault="009D7677" w:rsidP="009D7677">
      <w:pPr>
        <w:pStyle w:val="TextoNormal"/>
      </w:pPr>
    </w:p>
    <w:p w14:paraId="35B36CE2" w14:textId="77777777" w:rsidR="009D7677" w:rsidRDefault="009D7677" w:rsidP="009D7677">
      <w:pPr>
        <w:pStyle w:val="TextoNormal"/>
      </w:pPr>
      <w:r>
        <w:t>h) Violencia vicaria: consiste en cualquier tipo de violencia ejercida contra los hijos e hijas con el fin de provocar daño psicológico a la madre”.</w:t>
      </w:r>
    </w:p>
    <w:p w14:paraId="1E9EB9D9" w14:textId="77777777" w:rsidR="009D7677" w:rsidRDefault="009D7677" w:rsidP="009D7677">
      <w:pPr>
        <w:pStyle w:val="TextoNormal"/>
      </w:pPr>
    </w:p>
    <w:p w14:paraId="54EDDF1E" w14:textId="77777777" w:rsidR="009D7677" w:rsidRDefault="009D7677" w:rsidP="009D7677">
      <w:pPr>
        <w:pStyle w:val="TextoNormal"/>
      </w:pPr>
      <w:r>
        <w:t>B) Doctrina constitucional en materia de legislación penal aplicable al caso</w:t>
      </w:r>
    </w:p>
    <w:p w14:paraId="34D58654" w14:textId="77777777" w:rsidR="009D7677" w:rsidRDefault="009D7677" w:rsidP="009D7677">
      <w:pPr>
        <w:pStyle w:val="TextoNormal"/>
      </w:pPr>
    </w:p>
    <w:p w14:paraId="6C2D4D67" w14:textId="77777777" w:rsidR="009D7677" w:rsidRDefault="009D7677" w:rsidP="009D7677">
      <w:pPr>
        <w:pStyle w:val="TextoNormal"/>
      </w:pPr>
      <w:r>
        <w:t xml:space="preserve">a) La legislación penal es competencia exclusiva del Estado </w:t>
      </w:r>
      <w:r w:rsidRPr="009D7677">
        <w:rPr>
          <w:i/>
        </w:rPr>
        <w:t>ex</w:t>
      </w:r>
      <w:r>
        <w:t xml:space="preserve"> art. 149.1.6 CE, por lo que “las normas emanadas de las comunidades autónomas no pueden prever concretos delitos ni sus correspondientes penas”, rigiendo, además, respecto de ciertos ámbitos una reserva de ley orgánica [STC 120/1998, de 15 de junio, FJ 4 b)]. Es, por ello, que se invadiría la competencia exclusiva estatal cuando el precepto de la legislación autonómica tipifique “de manera efectiva y concreta algún supuesto de responsabilidad penal” (STC 142/1988, de 12 de julio, FJ 7); o reproduzca y amplíe un tipo penal, por cuanto “merece ser calificado por sus contenidos como ‘legislación penal’ puesto que se trata de la confi</w:t>
      </w:r>
      <w:r>
        <w:lastRenderedPageBreak/>
        <w:t>guración de un tipo (correspondiente al delito de desobediencia); ámbito material este que el art. 149.1.6 de la Constitución reserva a la competencia exclusiva del Estado y que, por tanto, está vedado al legislador autonómico” (STC 162/1996, de 17 de octubre, FJ 4). Tampoco pueden las comunidades autónomas pretender, al amparo de un título competencial propio —en este caso, en materia de asociaciones— “la legitimación de fines o medios que sean delictivos” o menoscabar, mediante su reducción, el ámbito material de los tipos delictivos (STC 144/2017, de 14 de diciembre, FJ 5). No existe, por el contrario, la invasión de la competencia estatal cuando el precepto autonómico “no contiene un verdadero mandato, sino una advertencia y la posibilidad de hacerla efectiva” (STC 142/1988, FJ 7).</w:t>
      </w:r>
    </w:p>
    <w:p w14:paraId="7DC596E4" w14:textId="77777777" w:rsidR="009D7677" w:rsidRDefault="009D7677" w:rsidP="009D7677">
      <w:pPr>
        <w:pStyle w:val="TextoNormal"/>
      </w:pPr>
    </w:p>
    <w:p w14:paraId="7566A86F" w14:textId="77777777" w:rsidR="009D7677" w:rsidRDefault="009D7677" w:rsidP="009D7677">
      <w:pPr>
        <w:pStyle w:val="TextoNormal"/>
      </w:pPr>
      <w:r>
        <w:t xml:space="preserve">b) La invasión de la exclusiva competencia estatal </w:t>
      </w:r>
      <w:r w:rsidRPr="009D7677">
        <w:rPr>
          <w:i/>
        </w:rPr>
        <w:t>ex</w:t>
      </w:r>
      <w:r>
        <w:t xml:space="preserve"> art. 149.1.6 CE no solamente se produce en aquellos casos en los que la norma autonómica prevea directamente un tipo penal, sino también cuando de ella se derive una ampliación del sujeto pasivo del delito. En este sentido, la STC 50/2018, de 10 de mayo, declaró la inconstitucionalidad de un precepto autonómico —en concreto, de la Ley del Parlamento de Cataluña 4/2006, de 31 de marzo, ferroviaria— que atribuía la condición de autoridad a los interventores ferroviarios a los efectos de exigir responsabilidades por conductas tipificadas penalmente (delitos de resistencia, atentado o desacato). La legislación autonómica sectorial se excede de su propio ámbito material de competencias, puesto que lo que hace “es poner en relación la atribución de la condición de agente de la autoridad con el carácter de tales agentes así definidos como sujeto pasivo de determinadas conductas que el legislador estatal, único competente para ello, ha tipificado como delictivas (arts. 550 y 556 del Código penal). En este caso, el elemento del tipo que el legislador administrativo establece no es la conducta propiamente dicha sino el sujeto pasivo de la misma. […] Con ello, el ámbito de aplicación del precepto penal queda directamente ampliado, sin que medie interpretación judicial alguna tendente a determinar cuál ha sido la voluntad del legislador penal al utilizar el concepto de ‘agente de la autoridad’” (FJ 5).</w:t>
      </w:r>
    </w:p>
    <w:p w14:paraId="26571F9F" w14:textId="77777777" w:rsidR="009D7677" w:rsidRDefault="009D7677" w:rsidP="009D7677">
      <w:pPr>
        <w:pStyle w:val="TextoNormal"/>
      </w:pPr>
    </w:p>
    <w:p w14:paraId="16929A90" w14:textId="77777777" w:rsidR="009D7677" w:rsidRDefault="009D7677" w:rsidP="009D7677">
      <w:pPr>
        <w:pStyle w:val="TextoNormal"/>
      </w:pPr>
      <w:r w:rsidRPr="009D7677">
        <w:rPr>
          <w:i/>
        </w:rPr>
        <w:t>A sensu contrario</w:t>
      </w:r>
      <w:r>
        <w:t>, nada se ha de objetar a la norma autonómica que atribuye la condición de agente de la autoridad al personal concernido como título de intervención sobre los usuarios del servicio público de transporte regular de viajeros por carretera, a los efectos de amparar las facultades de policía administrativa sobre ellos (Ley del Parlamento de Cataluña 12/1987, de 28 de mayo, de regulación del transporte de viajeros por carretera mediante vehículos de motor). En este caso, el Tribunal afirmó que el precepto cuestionado “[n]o amplia o modifica, por tanto, el tipo penal del artículo 550 del Código penal (ni tampoco el tipo del artículo 556 del Código penal), ni define el sujeto pasivo de la acción penal, ni impone al juez penal una concreta subsunción del tipo, sino que restringe su ámbito de aplicación al puramente administrativo, permitiendo que el personal de las empresas de transportes al que se reconoce la condición de agente de la autoridad pueda ejercer funciones de policía administrativa sobre los usuarios del servicio de transporte por carretera. En consecuencia, la disposición cuestionada no invade la competencia exclusiva estatal en materia de regulación penal (art. 149.1.6 CE)” (STC 90/2018, de 6 de septiembre, FJ 4).</w:t>
      </w:r>
    </w:p>
    <w:p w14:paraId="6C53F9BF" w14:textId="77777777" w:rsidR="009D7677" w:rsidRDefault="009D7677" w:rsidP="009D7677">
      <w:pPr>
        <w:pStyle w:val="TextoNormal"/>
      </w:pPr>
    </w:p>
    <w:p w14:paraId="0DFEF965" w14:textId="77777777" w:rsidR="009D7677" w:rsidRDefault="009D7677" w:rsidP="009D7677">
      <w:pPr>
        <w:pStyle w:val="TextoNormal"/>
      </w:pPr>
      <w:r>
        <w:t xml:space="preserve">c) El reconocimiento de la condición de víctima a los efectos de obtener unos beneficios de carácter asistencial no plantea problemas en términos constitucionales, siempre que ello no interfiera en las potestades reservadas a los jueces y tribunales del orden penal. </w:t>
      </w:r>
      <w:r>
        <w:lastRenderedPageBreak/>
        <w:t>Como afirma la STC 85/2018, de 19 de julio, FJ 4, “no hay inconveniente alguno, en términos constitucionales, en la configuración de una actividad administrativa tendente a la acreditación de hechos a los que se vincula la producción de un resultado dañoso para, a partir de ahí, articular los correspondientes mecanismos de reparación o compensación en favor de los perjudicados. El nexo causal entre hecho y daño se configura como presupuesto de un sistema asistencial fijado en favor de determinadas personas, netamente diferenciado de la depuración de eventuales responsabilidades penales por dichos hechos. Así, las actuaciones públicas que procuran la protección de las víctimas y su asistencia no han de orientarse prioritariamente a la investigación de posibles ilícitos penales, ni a la identificación y eventual castigo de sus autores, sino, más precisamente, a la fijación del nexo causal entre determinados hechos, la producción del resultado dañoso y la situación de necesidad o atención de la que se hace merecedora determinada persona, en tanto que ha sufrido las consecuencias de los mismos”. Ahora bien, “la libertad de configuración del legislador para ordenar tal régimen de asistencia y reparación, en el que prevalece una perspectiva compensadora en favor de quien ha sufrido el daño, tiene, no obstante, un límite constitucional indudable. No pueden confundirse esos cometidos públicos de carácter asistencial con los que son propios y reservados al Poder Judicial”.</w:t>
      </w:r>
    </w:p>
    <w:p w14:paraId="16CF8FBF" w14:textId="77777777" w:rsidR="009D7677" w:rsidRDefault="009D7677" w:rsidP="009D7677">
      <w:pPr>
        <w:pStyle w:val="TextoNormal"/>
      </w:pPr>
    </w:p>
    <w:p w14:paraId="4C3B1F40" w14:textId="77777777" w:rsidR="009D7677" w:rsidRDefault="009D7677" w:rsidP="009D7677">
      <w:pPr>
        <w:pStyle w:val="TextoNormal"/>
      </w:pPr>
      <w:r>
        <w:t>En definitiva, como reitera la STC 83/2020, de 15 de julio, FJ 10, “siempre que el deslinde entre la tarea administrativa de reconocimiento y compensación respecto a la investigación y persecución de hechos delictivos sea respetado, por cuanto sus conclusiones no son vinculantes para los tribunales ni pueden afectar a resoluciones judiciales [en un sentido similar STC 133/2018, de 13 de diciembre, FJ 8 a)], no cabe hacer reproche jurídico-constitucional alguno a una norma que persiga el reconocimiento y reparación de determinadas personas en razón de los daños que acrediten haber sufrido”.</w:t>
      </w:r>
    </w:p>
    <w:p w14:paraId="6B1A47B2" w14:textId="77777777" w:rsidR="009D7677" w:rsidRDefault="009D7677" w:rsidP="009D7677">
      <w:pPr>
        <w:pStyle w:val="TextoNormal"/>
      </w:pPr>
    </w:p>
    <w:p w14:paraId="4E300AD1" w14:textId="77777777" w:rsidR="009D7677" w:rsidRDefault="009D7677" w:rsidP="009D7677">
      <w:pPr>
        <w:pStyle w:val="TextoNormal"/>
      </w:pPr>
      <w:r>
        <w:t>C) Desestimación de las quejas</w:t>
      </w:r>
    </w:p>
    <w:p w14:paraId="58EB52CC" w14:textId="77777777" w:rsidR="009D7677" w:rsidRDefault="009D7677" w:rsidP="009D7677">
      <w:pPr>
        <w:pStyle w:val="TextoNormal"/>
      </w:pPr>
    </w:p>
    <w:p w14:paraId="7BF71B40" w14:textId="77777777" w:rsidR="009D7677" w:rsidRDefault="009D7677" w:rsidP="009D7677">
      <w:pPr>
        <w:pStyle w:val="TextoNormal"/>
      </w:pPr>
      <w:r>
        <w:t>La resolución de las dudas de constitucionalidad planteadas en el proceso exige, por razones sistemáticas, abordar de forma separada las relativas al art.1, por una parte, y las que atañen a los arts. 2 y 3, por otra parte.</w:t>
      </w:r>
    </w:p>
    <w:p w14:paraId="33F595CE" w14:textId="77777777" w:rsidR="009D7677" w:rsidRDefault="009D7677" w:rsidP="009D7677">
      <w:pPr>
        <w:pStyle w:val="TextoNormal"/>
      </w:pPr>
    </w:p>
    <w:p w14:paraId="08B02ADE" w14:textId="77777777" w:rsidR="009D7677" w:rsidRDefault="009D7677" w:rsidP="009D7677">
      <w:pPr>
        <w:pStyle w:val="TextoNormal"/>
      </w:pPr>
      <w:r>
        <w:t>a) Alega la parte recurrente que la norma autonómica, al disponer que las referencias a las mujeres en la Ley 5/2008 incluyen “también a las mujeres, niñas y adolescentes transgénero” (art. 2.2 de la Ley 5/2008 tras la redacción dada por el impugnado art. 1 de la Ley 17/2020), incurre en una invasión de la competencia exclusiva del Estado en materia penal al incidir sobre el sujeto pasivo de la violencia de género —en los términos configurados por el art. 1.1 de la Ley Orgánica 1/2004, de 28 de diciembre, de medidas de protección integral contra la violencia de género (LOVG)— y, por ende, sobre los tipos delictivos previstos en el Código penal. Esta queja se erige en la cuestión nuclear del recurso de inconstitucionalidad y su resolución exige, en primer lugar, hacer referencia a la tutela que se dispensa en nuestro ordenamiento a la mujer en cuanto sujeto pasivo de la violencia de género, para, en segundo lugar, determinar el alcance del precepto controvertido a la luz del objeto y fines que persigue la norma autonómica.</w:t>
      </w:r>
    </w:p>
    <w:p w14:paraId="032D0338" w14:textId="77777777" w:rsidR="009D7677" w:rsidRDefault="009D7677" w:rsidP="009D7677">
      <w:pPr>
        <w:pStyle w:val="TextoNormal"/>
      </w:pPr>
    </w:p>
    <w:p w14:paraId="69043355" w14:textId="77777777" w:rsidR="009D7677" w:rsidRDefault="009D7677" w:rsidP="009D7677">
      <w:pPr>
        <w:pStyle w:val="TextoNormal"/>
      </w:pPr>
      <w:r>
        <w:t>(i) De acuerdo con lo dispuesto en la LOVG, la violencia de género se define atendiendo al sujeto pasivo que la sufre: la mujer (y por extensión, la violencia que, con el objetivo de causar perjuicio o daño a las mujeres, se ejerza sobre sus familiares o allegados meno</w:t>
      </w:r>
      <w:r>
        <w:lastRenderedPageBreak/>
        <w:t xml:space="preserve">res de edad —violencia vicaria—, según el art. 1.4). No obstante, no toda violencia que se ejerce sobre las mujeres puede conceptuarse como violencia de género, siendo necesario que concurran los siguientes requisitos (art. 1.1): primero, el agresor ha de ser un hombre que sea o haya sido su cónyuge o que esté o haya estado ligado a la mujer por relaciones similares de afectividad, aun sin convivencia; y segundo, la violencia ejercida ha de ser “manifestación de la discriminación, la situación de desigualdad y las relaciones de poder de los hombres sobre las mujeres”. Junto a la LOVG que recoge medidas de protección integral contra la violencia de género, en el Código penal se prevén tanto tipos delictivos (art. 148.4 y 5 —lesiones—; art. 171.4, 5 y 6 —amenazas—; art. 172 —coacciones—; art. 172 </w:t>
      </w:r>
      <w:r w:rsidRPr="009D7677">
        <w:rPr>
          <w:i/>
        </w:rPr>
        <w:t>ter</w:t>
      </w:r>
      <w:r>
        <w:t xml:space="preserve"> —acoso—; art. 173 —malos tratos habituales— y art. 153 —no habituales—; y art. 173.4 —injurias y vejaciones leves—), como agravantes específicas (arts. 180.1 y 181.5 —agresiones sexuales—, y art. 468 —quebrantamiento de condena—), cuyo sujeto pasivo es una mujer.</w:t>
      </w:r>
    </w:p>
    <w:p w14:paraId="5E0F0675" w14:textId="77777777" w:rsidR="009D7677" w:rsidRDefault="009D7677" w:rsidP="009D7677">
      <w:pPr>
        <w:pStyle w:val="TextoNormal"/>
      </w:pPr>
    </w:p>
    <w:p w14:paraId="48F1AB5B" w14:textId="77777777" w:rsidR="009D7677" w:rsidRDefault="009D7677" w:rsidP="009D7677">
      <w:pPr>
        <w:pStyle w:val="TextoNormal"/>
      </w:pPr>
      <w:r>
        <w:t>La condición de mujer legalmente reconocida es la que, en todo caso, permite atribuirle la condición de víctima desde el punto de vista de la LOVG e incluirla bajo la protección de la tutela penal, a la vez que ser destinataria de los derechos y medidas asistenciales previstas en el mismo texto legal.</w:t>
      </w:r>
    </w:p>
    <w:p w14:paraId="26A7EA13" w14:textId="77777777" w:rsidR="009D7677" w:rsidRDefault="009D7677" w:rsidP="009D7677">
      <w:pPr>
        <w:pStyle w:val="TextoNormal"/>
      </w:pPr>
    </w:p>
    <w:p w14:paraId="4D78B9F6" w14:textId="77777777" w:rsidR="009D7677" w:rsidRDefault="009D7677" w:rsidP="009D7677">
      <w:pPr>
        <w:pStyle w:val="TextoNormal"/>
      </w:pPr>
      <w:r>
        <w:t>(ii) La Ley 5/2008 tiene como objetivo, no alterado por la impugnada Ley 17/2020, dispensar a las mujeres una protección integral frente a la violencia de género, con el fin último de erradicar esta lacra de la sociedad. La norma prevé una serie de medidas generales de prevención, detección y sensibilización que han de orientar la actuación de las administraciones públicas catalanas en ámbitos como el de la educación y la formación profesional (arts. 12 a 19), los medios de comunicación social (arts. 20 a 26), o el laboral y social (arts. 27 a 29). Además, consagra una serie de derechos de las mujeres en situaciones de violencia machista dirigidos a hacer efectiva su protección, atención, recuperación y reparación integral; derechos en el ámbito de la salud (art. 32), acceso a la vivienda (arts. 34 a 37), empleo y formación ocupacional (arts. 38 a 40), asistencia jurídica (arts. 41 a 44) o prestaciones económicas (arts. 46 a 52).</w:t>
      </w:r>
    </w:p>
    <w:p w14:paraId="56D23443" w14:textId="77777777" w:rsidR="009D7677" w:rsidRDefault="009D7677" w:rsidP="009D7677">
      <w:pPr>
        <w:pStyle w:val="TextoNormal"/>
      </w:pPr>
    </w:p>
    <w:p w14:paraId="26B5A916" w14:textId="77777777" w:rsidR="009D7677" w:rsidRDefault="009D7677" w:rsidP="009D7677">
      <w:pPr>
        <w:pStyle w:val="TextoNormal"/>
      </w:pPr>
      <w:r>
        <w:t>Las medidas y derechos previstos en la Ley 5/2008 de erradicación de la violencia machista ni prevén, ni van acompañadas de efectos punitivos, ya sea en el orden administrativo, ya sea en el orden penal; son únicamente la expresión de la competencia autonómica en materia de políticas de género conforme al art. 153 EAC.</w:t>
      </w:r>
    </w:p>
    <w:p w14:paraId="6AB04FEF" w14:textId="77777777" w:rsidR="009D7677" w:rsidRDefault="009D7677" w:rsidP="009D7677">
      <w:pPr>
        <w:pStyle w:val="TextoNormal"/>
      </w:pPr>
    </w:p>
    <w:p w14:paraId="520B7CCD" w14:textId="77777777" w:rsidR="009D7677" w:rsidRDefault="009D7677" w:rsidP="009D7677">
      <w:pPr>
        <w:pStyle w:val="TextoNormal"/>
      </w:pPr>
      <w:r>
        <w:t xml:space="preserve">(iii) El Tribunal no puede compartir la tesis de los recurrentes según la cual el art. 1 de la Ley 17/2020 produce una ampliación del sujeto pasivo de la violencia de género desde la perspectiva de la protección integral de la LOVG y los tipos penales previstos en el Código penal. A diferencia de lo que apreciamos en la STC 50/2018, FJ 5, la normativa catalana sobre erradicación de la violencia machista no solo no contiene un tipo penal, sino que tampoco produce, con la extensión de sus efectos a las mujeres transgénero que no hayan acometido el cambio registral, una ampliación del sujeto pasivo de los tipos penales. En línea con lo afirmado en la STC 90/2018, FJ 4, el precepto impugnado no amplia o modifica los tipos penales previstos en el Código penal para castigar la violencia de género, no define el sujeto pasivo de la acción penal, ni impone al juez penal una concreta subsunción del tipo. Antes al contrario, su única finalidad es aplicar las medidas y derechos previstos en la Ley 5/2008 y, por extensión, en la impugnada Ley 17/2020, para lograr la </w:t>
      </w:r>
      <w:r>
        <w:lastRenderedPageBreak/>
        <w:t>protección y reparación integral de la mujer en situación de violencia machista, y ello al amparo de las competencias autonómicas en materia de políticas de géner</w:t>
      </w:r>
      <w:r w:rsidRPr="009D7677">
        <w:rPr>
          <w:i/>
        </w:rPr>
        <w:t xml:space="preserve">o </w:t>
      </w:r>
      <w:r>
        <w:t>ex art. 153 EAC.</w:t>
      </w:r>
    </w:p>
    <w:p w14:paraId="5D0EFEE0" w14:textId="77777777" w:rsidR="009D7677" w:rsidRDefault="009D7677" w:rsidP="009D7677">
      <w:pPr>
        <w:pStyle w:val="TextoNormal"/>
      </w:pPr>
    </w:p>
    <w:p w14:paraId="55E67041" w14:textId="77777777" w:rsidR="009D7677" w:rsidRDefault="009D7677" w:rsidP="009D7677">
      <w:pPr>
        <w:pStyle w:val="TextoNormal"/>
      </w:pPr>
      <w:r>
        <w:t>Del mismo modo, de acuerdo con la doctrina constitucional expuesta (SSTC 85/2018, FJ 4, y 83/2020, FJ 10), ninguna objeción cabe formular, en términos constitucionales, al reconocimiento de las mujeres transgénero que no han rectificado registralmente la mención al sexo como víctimas de la violencia machista, y ello a los solos y exclusivos efectos de hacerlas destinatarias de un conjunto de medidas de carácter asistencial que buscan una reparación integral del daño sufrido, pero sin interferir en modo alguno en las potestades reservadas a los jueces y tribunales del orden penal.</w:t>
      </w:r>
    </w:p>
    <w:p w14:paraId="71DC01F8" w14:textId="77777777" w:rsidR="009D7677" w:rsidRDefault="009D7677" w:rsidP="009D7677">
      <w:pPr>
        <w:pStyle w:val="TextoNormal"/>
      </w:pPr>
    </w:p>
    <w:p w14:paraId="4CEC9388" w14:textId="77777777" w:rsidR="009D7677" w:rsidRDefault="009D7677" w:rsidP="009D7677">
      <w:pPr>
        <w:pStyle w:val="TextoNormal"/>
      </w:pPr>
      <w:r>
        <w:t>Por todo lo expuesto, se ha de entender desestimada la tacha de inconstitucionalidad por vulneración del art. 149.1.6 CE alegada en relación con el art. 1 de la Ley 17/2020. Desestimada dicha queja, a la misma conclusión ha de llegarse en relación con la pretendida vulneración del art. 81.1 CE. En la medida en que el precepto impugnado no amplia o modifica los tipos penales previstos en el Código penal, la reserva de ley orgánica no puede considerarse infringida.</w:t>
      </w:r>
    </w:p>
    <w:p w14:paraId="22C2D501" w14:textId="77777777" w:rsidR="009D7677" w:rsidRDefault="009D7677" w:rsidP="009D7677">
      <w:pPr>
        <w:pStyle w:val="TextoNormal"/>
      </w:pPr>
    </w:p>
    <w:p w14:paraId="58CB7895" w14:textId="77777777" w:rsidR="009D7677" w:rsidRDefault="009D7677" w:rsidP="009D7677">
      <w:pPr>
        <w:pStyle w:val="TextoNormal"/>
      </w:pPr>
      <w:r>
        <w:t>b) Idéntica solución ha de alcanzarse respecto de las dudas de constitucionalidad planteadas por los recurrentes en relación con el art. 2, cuando define el consentimiento sexual —art. 3 j) de la Ley 5/2008— y el art. 3 de la Ley 17/2020, cuando recoge las distintas formas de violencia machista —art. 4.2 de la Ley 5/2008—, por incurrir en la tipificación de nuevos ilícitos penales.</w:t>
      </w:r>
    </w:p>
    <w:p w14:paraId="280EC09C" w14:textId="77777777" w:rsidR="009D7677" w:rsidRDefault="009D7677" w:rsidP="009D7677">
      <w:pPr>
        <w:pStyle w:val="TextoNormal"/>
      </w:pPr>
    </w:p>
    <w:p w14:paraId="7CF12AD3" w14:textId="77777777" w:rsidR="009D7677" w:rsidRDefault="009D7677" w:rsidP="009D7677">
      <w:pPr>
        <w:pStyle w:val="TextoNormal"/>
      </w:pPr>
      <w:r>
        <w:t>(i) En el momento en que se aprueba la Ley 17/2020 e introduce en el art. 3 j) de la Ley 5/2008 la definición de consentimiento sexual, los preceptos del Código penal que tipifican los delitos de agresión sexual no contienen una definición legal equivalente, como acertadamente ponen de manifiesto los recurrentes. No obstante, los preceptos del Código penal que tipifican los delitos de agresión sexual no son una norma penal en blanco, de modo que “la norma autonómica no sirve de complemento a la ley penal (STC 101/2012, de 8 de mayo, FJ 3)” (STC 50/2018, FJ 4). Ninguno de los preceptos del Código penal relativos a los delitos de agresión sexual contenía, en el momento en que se aprobó la Ley 17/2020, una remisión expresa a normas externas para determinar lo que habría de entenderse por consentimiento sexual o su ausencia. Es, por ello, que “[a]l no existir un reenvío normativo expreso a la normativa administrativa, estamos ante un concepto penal autónomo, siendo el juez penal quien debe determinar, con los métodos exegéticos correspondientes, la utilidad que puede tener la normativa extrapenal, en concreto la administrativa, para dotarlo de contenido preciso” (STC 90/2018, FJ 4). La definición de consentimiento sexual prevista en el art. 3 j) de la Ley 5/2008 (en la redacción dada por el art. 2 de la Ley 17/2020) no puede tener, en ningún caso, los efectos que los recurrentes le atribuyen, descartándose, por tanto, la infracción del art. 149.1.6 CE y, por extensión, del art. 81.1 CE.</w:t>
      </w:r>
    </w:p>
    <w:p w14:paraId="13BD541F" w14:textId="77777777" w:rsidR="009D7677" w:rsidRDefault="009D7677" w:rsidP="009D7677">
      <w:pPr>
        <w:pStyle w:val="TextoNormal"/>
      </w:pPr>
    </w:p>
    <w:p w14:paraId="3CE5F84E" w14:textId="77777777" w:rsidR="009D7677" w:rsidRDefault="009D7677" w:rsidP="009D7677">
      <w:pPr>
        <w:pStyle w:val="TextoNormal"/>
      </w:pPr>
      <w:r>
        <w:t xml:space="preserve">Esta conclusión no se ve desvirtuada por el hecho de que en la actualidad, tras la reforma operada por la disposición final cuarta, apartado 7, de la Ley Orgánica 10/2022, de 6 de septiembre, de garantía integral de la libertad sexual, el art. 178.1 del Código penal establezca que solamente hay consentimiento “cuando se haya manifestado libremente mediante actos que, en atención a las circunstancias del caso, expresen de manera clara la </w:t>
      </w:r>
      <w:r>
        <w:lastRenderedPageBreak/>
        <w:t>voluntad de la persona”. Al margen de la mayor o menor identidad de las definiciones ofrecidas por el legislador orgánico penal y el legislador sectorial autonómico —ambas se dicen inspiradas en el art. 36.2 del Convenio del Consejo de Europa sobre prevención y lucha contra la violencia contra la mujer y la violencia doméstica, hecho en Estambul el 11 de mayo de 2011, y ratificado por España en el año 2014—, lo relevante, en este caso, es la finalidad a la que responden cada una de ellas. Desde este enfoque, la definición ofrecida por el legislador autonómico agota su eficacia en los objetivos que son propios de una norma de carácter asistencial insertada en las políticas de género, con independencia de la relevancia o utilidad que dicha definición tenga para la consecución de aquellos.</w:t>
      </w:r>
    </w:p>
    <w:p w14:paraId="35ABE658" w14:textId="77777777" w:rsidR="009D7677" w:rsidRDefault="009D7677" w:rsidP="009D7677">
      <w:pPr>
        <w:pStyle w:val="TextoNormal"/>
      </w:pPr>
    </w:p>
    <w:p w14:paraId="049CE829" w14:textId="77777777" w:rsidR="009D7677" w:rsidRDefault="009D7677" w:rsidP="009D7677">
      <w:pPr>
        <w:pStyle w:val="TextoNormal"/>
      </w:pPr>
      <w:r>
        <w:t>En todo caso, es evidente que al definir el consentimiento sexual en el art. 2 de la Ley 17/2020, el legislador sectorial catalán ni tipifica de manera efectiva y concreta algún supuesto de responsabilidad penal, ni tampoco reproduce o amplia tipo penal alguno (SSTC 142/1988, FJ 7, y 162/1996, FJ 4), limitándose a introducir una previsión en ejercicio de sus competencias en materia de políticas de géner</w:t>
      </w:r>
      <w:r w:rsidRPr="009D7677">
        <w:rPr>
          <w:i/>
        </w:rPr>
        <w:t xml:space="preserve">o </w:t>
      </w:r>
      <w:r>
        <w:t>ex art. 153 EAC.</w:t>
      </w:r>
    </w:p>
    <w:p w14:paraId="488F6FF0" w14:textId="77777777" w:rsidR="009D7677" w:rsidRDefault="009D7677" w:rsidP="009D7677">
      <w:pPr>
        <w:pStyle w:val="TextoNormal"/>
      </w:pPr>
    </w:p>
    <w:p w14:paraId="0E217937" w14:textId="77777777" w:rsidR="009D7677" w:rsidRDefault="009D7677" w:rsidP="009D7677">
      <w:pPr>
        <w:pStyle w:val="TextoNormal"/>
      </w:pPr>
      <w:r>
        <w:t>(ii) Los argumentos dados en relación con el art. 2 de la Ley 17/2020 sobre la ausencia de tipificación penal son igualmente predicables del art. 3 de la Ley 17/2020 cuando define —art. 4.2 de la Ley 5/2008— las distintas formas de violencia machista: física, psicológica, sexual, obstétrica, económica, digital, de segundo orden y vicaria. Las formas de violencia machista identificadas por el legislador catalán solo tienen como finalidad permitir el reconocimiento de la condición de víctima a las mujeres que las padecen, a los efectos de hacerlas destinatarias de un conjunto de medidas de carácter asistencial —adoptadas al amparo del art. 153 EAC— que buscan una reparación integral del daño sufrido, pero sin interferir en modo alguno en las potestades reservadas a los jueces y tribunales del orden penal (SSTC 85/2018, FJ 4, y 83/2020, FJ 10).</w:t>
      </w:r>
    </w:p>
    <w:p w14:paraId="2122FEF0" w14:textId="77777777" w:rsidR="009D7677" w:rsidRDefault="009D7677" w:rsidP="009D7677">
      <w:pPr>
        <w:pStyle w:val="TextoNormal"/>
      </w:pPr>
    </w:p>
    <w:p w14:paraId="67C6D8CA" w14:textId="16340034" w:rsidR="009D7677" w:rsidRDefault="009D7677" w:rsidP="009D7677">
      <w:pPr>
        <w:pStyle w:val="TextoNormal"/>
      </w:pPr>
      <w:r>
        <w:t>En atención a lo expuesto, se han de desestimar las tachas de inconstitucionalidad alegadas respecto de los arts. 2 y 3 de la Ley 17/2020.</w:t>
      </w:r>
    </w:p>
    <w:p w14:paraId="4DDE3BC9" w14:textId="77777777" w:rsidR="009D7677" w:rsidRDefault="009D7677" w:rsidP="009D7677">
      <w:pPr>
        <w:pStyle w:val="TextoNormal"/>
      </w:pPr>
    </w:p>
    <w:p w14:paraId="1DF5C023" w14:textId="77777777" w:rsidR="009D7677" w:rsidRDefault="009D7677" w:rsidP="009D7677">
      <w:pPr>
        <w:pStyle w:val="TextoNormal"/>
      </w:pPr>
      <w:r w:rsidRPr="009D7677">
        <w:rPr>
          <w:rStyle w:val="NumeroAFNegritaCaracter"/>
        </w:rPr>
        <w:t>4</w:t>
      </w:r>
      <w:r>
        <w:t xml:space="preserve">. </w:t>
      </w:r>
      <w:r w:rsidRPr="009D7677">
        <w:rPr>
          <w:i/>
        </w:rPr>
        <w:t>Impugnación relativa a la vulneración de la competencia exclusiva del Estado en relación con la ordenación de los registros públicos (art. 149.1.8 CE)</w:t>
      </w:r>
    </w:p>
    <w:p w14:paraId="4EB4996C" w14:textId="77777777" w:rsidR="009D7677" w:rsidRDefault="009D7677" w:rsidP="009D7677">
      <w:pPr>
        <w:pStyle w:val="TextoNormal"/>
      </w:pPr>
    </w:p>
    <w:p w14:paraId="0B4B953C" w14:textId="77777777" w:rsidR="009D7677" w:rsidRDefault="009D7677" w:rsidP="009D7677">
      <w:pPr>
        <w:pStyle w:val="TextoNormal"/>
      </w:pPr>
      <w:r>
        <w:t>A) Precepto impugnado y delimitación de la duda de constitucionalidad</w:t>
      </w:r>
    </w:p>
    <w:p w14:paraId="7FC2EE2B" w14:textId="77777777" w:rsidR="009D7677" w:rsidRDefault="009D7677" w:rsidP="009D7677">
      <w:pPr>
        <w:pStyle w:val="TextoNormal"/>
      </w:pPr>
    </w:p>
    <w:p w14:paraId="5CBB2991" w14:textId="77777777" w:rsidR="009D7677" w:rsidRDefault="009D7677" w:rsidP="009D7677">
      <w:pPr>
        <w:pStyle w:val="TextoNormal"/>
      </w:pPr>
      <w:r>
        <w:t>Aducen los recurrentes que el art. 1 de la Ley 17/2020, que modifica el apartado 2 del art. 2 de la Ley 5/2008, al prever que las referencias legales a las mujeres incluyen “también a las mujeres, niñas y adolescentes transgénero”, incurre también en una vulneración de la competencia exclusiva del Estado en materia de ordenación de los registros públicos (art. 149.1.8 CE) por abrir un cauce alternativo al legalmente previsto para la rectificación de la mención del sexo. La resolución de esta queja exige de nuevo recordar sucintamente nuestra doctrina constitucional en materia de registros públicos.</w:t>
      </w:r>
    </w:p>
    <w:p w14:paraId="2E954F75" w14:textId="77777777" w:rsidR="009D7677" w:rsidRDefault="009D7677" w:rsidP="009D7677">
      <w:pPr>
        <w:pStyle w:val="TextoNormal"/>
      </w:pPr>
    </w:p>
    <w:p w14:paraId="37D03C0C" w14:textId="77777777" w:rsidR="009D7677" w:rsidRDefault="009D7677" w:rsidP="009D7677">
      <w:pPr>
        <w:pStyle w:val="TextoNormal"/>
      </w:pPr>
      <w:r>
        <w:t>B) Doctrina en materia de ordenación de registros públicos aplicable al caso</w:t>
      </w:r>
    </w:p>
    <w:p w14:paraId="6C0460A8" w14:textId="77777777" w:rsidR="009D7677" w:rsidRDefault="009D7677" w:rsidP="009D7677">
      <w:pPr>
        <w:pStyle w:val="TextoNormal"/>
      </w:pPr>
    </w:p>
    <w:p w14:paraId="51E942C1" w14:textId="77777777" w:rsidR="009D7677" w:rsidRDefault="009D7677" w:rsidP="009D7677">
      <w:pPr>
        <w:pStyle w:val="TextoNormal"/>
      </w:pPr>
      <w:r>
        <w:t xml:space="preserve">a) En primer lugar, es necesario delimitar el ámbito de los registros públicos a los que se refiere el art. 149.1.8 CE. Según la STC 7/2019, de 17 de enero, FJ 3, “los registros públicos a que se refiere el artículo 149.1.8 CE, cuya ordenación es competencia exclusiva </w:t>
      </w:r>
      <w:r>
        <w:lastRenderedPageBreak/>
        <w:t>del Estado, ‘son los referentes fundamentalmente a materias de Derecho privado, como se infiere de su contexto y no a otros registros que […] aunque tengan repercusiones en ese campo del Derecho, tienen por objeto materias ajenas a él’ (SSTC 71/1983, de 29 de julio, FJ 2, y 4/2014, de 16 de enero, FJ 3); dicho de otro modo, no cabe entender sino que ‘los registros a que dicha ordenación se refiere son exclusivamente los de carácter civil’ (SSTC 103/1999, de 3 de junio, FJ 3; 134/2006, de 27 de abril, FJ 8; 81/2013, de 11 de abril, FJ 5, y 11/2015, de 5 de febrero, FJ 3)”.</w:t>
      </w:r>
    </w:p>
    <w:p w14:paraId="6FDCAC6C" w14:textId="77777777" w:rsidR="009D7677" w:rsidRDefault="009D7677" w:rsidP="009D7677">
      <w:pPr>
        <w:pStyle w:val="TextoNormal"/>
      </w:pPr>
    </w:p>
    <w:p w14:paraId="45C0500A" w14:textId="77777777" w:rsidR="009D7677" w:rsidRDefault="009D7677" w:rsidP="009D7677">
      <w:pPr>
        <w:pStyle w:val="TextoNormal"/>
      </w:pPr>
      <w:r>
        <w:t>b) En segundo lugar, en cuanto al alcance de la competencia estatal en materia de ordenación de los registros públicos puede, como declaramos en la STC 157/2021, de 16 de septiembre, FJ 6, definirse atendiendo a dos criterios: “En primer lugar, corresponde al Estado la regulación y organización de registros de carácter civil, así como la de la publicidad y protección que estos otorgan. En segundo lugar, corresponde también al Estado la determinación, no solamente de los efectos de la inscripción registral, sino también de los actos y negocios jurídicos de naturaleza o con trascendencia civil que son o deben ser inscribibles y, por tanto, acceden al registro”.</w:t>
      </w:r>
    </w:p>
    <w:p w14:paraId="0265D86E" w14:textId="77777777" w:rsidR="009D7677" w:rsidRDefault="009D7677" w:rsidP="009D7677">
      <w:pPr>
        <w:pStyle w:val="TextoNormal"/>
      </w:pPr>
    </w:p>
    <w:p w14:paraId="0584B554" w14:textId="77777777" w:rsidR="009D7677" w:rsidRDefault="009D7677" w:rsidP="009D7677">
      <w:pPr>
        <w:pStyle w:val="TextoNormal"/>
      </w:pPr>
      <w:r>
        <w:t>C) Desestimación de la queja</w:t>
      </w:r>
    </w:p>
    <w:p w14:paraId="0F95523B" w14:textId="77777777" w:rsidR="009D7677" w:rsidRDefault="009D7677" w:rsidP="009D7677">
      <w:pPr>
        <w:pStyle w:val="TextoNormal"/>
      </w:pPr>
    </w:p>
    <w:p w14:paraId="6A7EBA19" w14:textId="77777777" w:rsidR="009D7677" w:rsidRDefault="009D7677" w:rsidP="009D7677">
      <w:pPr>
        <w:pStyle w:val="TextoNormal"/>
      </w:pPr>
      <w:r>
        <w:t xml:space="preserve">La queja formulada es deudora de la examinada y desestimada en el fundamento jurídico 3 C) a) de esta sentencia, no acertando este tribunal a vislumbrar en qué medida el precepto controvertido incide en la competencia exclusiva del Estado en materia de ordenación de registros públicos </w:t>
      </w:r>
      <w:r w:rsidRPr="009D7677">
        <w:rPr>
          <w:i/>
        </w:rPr>
        <w:t>ex</w:t>
      </w:r>
      <w:r>
        <w:t xml:space="preserve"> art. 149.1.8 CE. Un examen de la normativa vigente, tras las modificaciones llevadas a cabo por la Ley 4/2023, de 28 de febrero, para la igualdad real y efectiva de las personas trans y para la garantía de los derechos de las personas LGTBI, nos permitirá concluir que la función del sexo como categoría de relevancia jurídica a efectos registrales en nada se ve afectada por la norma autonómica dictada al amparo de sus competencias en materia de políticas de género (art. 153 EAC).</w:t>
      </w:r>
    </w:p>
    <w:p w14:paraId="5F4DAFB5" w14:textId="77777777" w:rsidR="009D7677" w:rsidRDefault="009D7677" w:rsidP="009D7677">
      <w:pPr>
        <w:pStyle w:val="TextoNormal"/>
      </w:pPr>
    </w:p>
    <w:p w14:paraId="644647C1" w14:textId="77777777" w:rsidR="009D7677" w:rsidRDefault="009D7677" w:rsidP="009D7677">
      <w:pPr>
        <w:pStyle w:val="TextoNormal"/>
      </w:pPr>
      <w:r>
        <w:t>Si nos atenemos a la regulación del Registro Civil, se puede afirmar que el sexo sigue siendo uno de los elementos que, en cuanto definen la identidad de las personas, sigue teniendo acceso a dicho registro: “[e]l sexo y el cambio [rectificación] de sexo” (art. 4.4 de la Ley del registro civil); y figura también como uno de los elementos a reflejar en la inscripción de nacimiento y filiación (art. 44.2 de la citada ley). Incluso en aquellos casos en los que el parte facultativo indicase la condición intersexual del nacido, trascurrido un año desde el nacimiento, “la mención al sexo será obligatoria y su inscripción habrá de ser solicitada por los progenitores” (art. 49.5 de la Ley del registro civil).</w:t>
      </w:r>
    </w:p>
    <w:p w14:paraId="4736E425" w14:textId="77777777" w:rsidR="009D7677" w:rsidRDefault="009D7677" w:rsidP="009D7677">
      <w:pPr>
        <w:pStyle w:val="TextoNormal"/>
      </w:pPr>
    </w:p>
    <w:p w14:paraId="1FBF3E96" w14:textId="77777777" w:rsidR="009D7677" w:rsidRDefault="009D7677" w:rsidP="009D7677">
      <w:pPr>
        <w:pStyle w:val="TextoNormal"/>
      </w:pPr>
      <w:r>
        <w:t>Asimismo, solo existe un cauce procedimental para la rectificación registral de la mención relativa al sexo y es el regulado actualmente en los arts. 43 a 51 de la Ley 4/2023. La resolución que acuerde la rectificación de la mención registral del sexo tendrá efectos constitutivos a partir de su inscripción en el Registro Civil y dicha rectificación registral permitirá a la persona ejercer todos los derechos inherentes a su nueva condición (art. 46.1 y 2 de la Ley 4/2023). El sexo registral será el que también deberá figurar en los documentos oficiales de identificación (art. 49.1 de la Ley 4/2023). Señalar, por último, que la rectificación del sexo es uno de los datos que se consideran especialmente protegidos [art. 83.1 d) de la Ley del registro civil].</w:t>
      </w:r>
    </w:p>
    <w:p w14:paraId="1246E3BB" w14:textId="77777777" w:rsidR="009D7677" w:rsidRDefault="009D7677" w:rsidP="009D7677">
      <w:pPr>
        <w:pStyle w:val="TextoNormal"/>
      </w:pPr>
    </w:p>
    <w:p w14:paraId="18094D8A" w14:textId="1B2B6B26" w:rsidR="009D7677" w:rsidRDefault="009D7677" w:rsidP="009D7677">
      <w:pPr>
        <w:pStyle w:val="TextoNormal"/>
      </w:pPr>
      <w:r>
        <w:lastRenderedPageBreak/>
        <w:t xml:space="preserve">Podemos concluir, al igual que hicimos al examinar la constitucionalidad del art. 1 de la Ley 17/2020 desde la perspectiva del art. 149.1.6 CE, que su finalidad no es otra que el reconocimiento de las mujeres transgénero que no han llevado a cabo la rectificación registral de sexo como víctimas de la violencia machista, a los solos efectos de hacerlas destinatarias de un conjunto de medidas de carácter asistencial que buscan una reparación integral del daño sufrido, adoptadas al amparo de las competencias autonómicas </w:t>
      </w:r>
      <w:r w:rsidRPr="009D7677">
        <w:rPr>
          <w:i/>
        </w:rPr>
        <w:t>ex</w:t>
      </w:r>
      <w:r>
        <w:t xml:space="preserve"> art. 153 EAC. En nada interfiere en la competencia exclusiva del Estado en materia de ordenación de registros públicos, por lo que la queja ha de entenderse también desestimada.</w:t>
      </w:r>
    </w:p>
    <w:p w14:paraId="634A964B" w14:textId="77777777" w:rsidR="009D7677" w:rsidRDefault="009D7677" w:rsidP="009D7677">
      <w:pPr>
        <w:pStyle w:val="TextoNormal"/>
      </w:pPr>
    </w:p>
    <w:p w14:paraId="6FE8FA69" w14:textId="77777777" w:rsidR="009D7677" w:rsidRDefault="009D7677" w:rsidP="009D7677">
      <w:pPr>
        <w:pStyle w:val="TextoNormal"/>
      </w:pPr>
      <w:r w:rsidRPr="009D7677">
        <w:rPr>
          <w:rStyle w:val="NumeroAFNegritaCaracter"/>
        </w:rPr>
        <w:t>5</w:t>
      </w:r>
      <w:r>
        <w:t xml:space="preserve">. </w:t>
      </w:r>
      <w:r w:rsidRPr="009D7677">
        <w:rPr>
          <w:i/>
        </w:rPr>
        <w:t>Impugnación relativa a la vulneración de la competencia exclusiva del Estado en materia de partidos políticos al amparo de los arts. 81.1 y 149.1.1 CE, en conexión con los arts. 20, 22 y 23 CE</w:t>
      </w:r>
    </w:p>
    <w:p w14:paraId="1C80A30D" w14:textId="77777777" w:rsidR="009D7677" w:rsidRDefault="009D7677" w:rsidP="009D7677">
      <w:pPr>
        <w:pStyle w:val="TextoNormal"/>
      </w:pPr>
    </w:p>
    <w:p w14:paraId="7DF884F7" w14:textId="77777777" w:rsidR="009D7677" w:rsidRDefault="009D7677" w:rsidP="009D7677">
      <w:pPr>
        <w:pStyle w:val="TextoNormal"/>
      </w:pPr>
      <w:r>
        <w:t>A) Precepto impugnado y delimitación de las tachas de inconstitucionalidad</w:t>
      </w:r>
    </w:p>
    <w:p w14:paraId="43FFF8FD" w14:textId="77777777" w:rsidR="009D7677" w:rsidRDefault="009D7677" w:rsidP="009D7677">
      <w:pPr>
        <w:pStyle w:val="TextoNormal"/>
      </w:pPr>
    </w:p>
    <w:p w14:paraId="2F3AD7CC" w14:textId="77777777" w:rsidR="009D7677" w:rsidRDefault="009D7677" w:rsidP="009D7677">
      <w:pPr>
        <w:pStyle w:val="TextoNormal"/>
      </w:pPr>
      <w:r>
        <w:t xml:space="preserve">Los recurrentes aducen la inconstitucionalidad del art. 16 de la Ley 17/2020 por vulnerar, en la medida en que pretende modificar el régimen jurídico de los partidos políticos, la reserva de ley orgánica establecida en el art. 81.1 CE e invadir las competencias del Estado </w:t>
      </w:r>
      <w:r w:rsidRPr="009D7677">
        <w:rPr>
          <w:i/>
        </w:rPr>
        <w:t>ex</w:t>
      </w:r>
      <w:r>
        <w:t xml:space="preserve"> art. 149.1.1 CE, en conexión con los arts. 20, 22 y 23 CE.</w:t>
      </w:r>
    </w:p>
    <w:p w14:paraId="576890BF" w14:textId="77777777" w:rsidR="009D7677" w:rsidRDefault="009D7677" w:rsidP="009D7677">
      <w:pPr>
        <w:pStyle w:val="TextoNormal"/>
      </w:pPr>
    </w:p>
    <w:p w14:paraId="65C77941" w14:textId="77777777" w:rsidR="009D7677" w:rsidRDefault="009D7677" w:rsidP="009D7677">
      <w:pPr>
        <w:pStyle w:val="TextoNormal"/>
      </w:pPr>
      <w:r>
        <w:t>El controvertido precepto introduce un capítulo, el octavo, en el título II de la Ley 5/2008, relativo a los partidos políticos, con el siguiente texto:</w:t>
      </w:r>
    </w:p>
    <w:p w14:paraId="47309071" w14:textId="77777777" w:rsidR="009D7677" w:rsidRDefault="009D7677" w:rsidP="009D7677">
      <w:pPr>
        <w:pStyle w:val="TextoNormal"/>
      </w:pPr>
    </w:p>
    <w:p w14:paraId="0198E037" w14:textId="77777777" w:rsidR="009D7677" w:rsidRDefault="009D7677" w:rsidP="009D7677">
      <w:pPr>
        <w:pStyle w:val="TextoNormal"/>
      </w:pPr>
      <w:r>
        <w:t xml:space="preserve">“Artículo 29 </w:t>
      </w:r>
      <w:r w:rsidRPr="009D7677">
        <w:rPr>
          <w:i/>
        </w:rPr>
        <w:t>bis</w:t>
      </w:r>
      <w:r>
        <w:t>. Partidos políticos.</w:t>
      </w:r>
    </w:p>
    <w:p w14:paraId="48C5CB42" w14:textId="77777777" w:rsidR="009D7677" w:rsidRDefault="009D7677" w:rsidP="009D7677">
      <w:pPr>
        <w:pStyle w:val="TextoNormal"/>
      </w:pPr>
    </w:p>
    <w:p w14:paraId="3885738A" w14:textId="77777777" w:rsidR="009D7677" w:rsidRDefault="009D7677" w:rsidP="009D7677">
      <w:pPr>
        <w:pStyle w:val="TextoNormal"/>
      </w:pPr>
      <w:r>
        <w:t>1. Los partidos políticos deben tener un plan de igualdad interno y un protocolo para la prevención, detección y actuación ante la violencia machista que ejerzan, dentro o fuera de la organización, afiliados o simpatizantes, o bien personas que sin estar afiliadas tengan un cargo de representación o hayan sido designadas para una función específica, con independencia del nivel jerárquico o del cargo público que ocupen.</w:t>
      </w:r>
    </w:p>
    <w:p w14:paraId="240738E8" w14:textId="77777777" w:rsidR="009D7677" w:rsidRDefault="009D7677" w:rsidP="009D7677">
      <w:pPr>
        <w:pStyle w:val="TextoNormal"/>
      </w:pPr>
    </w:p>
    <w:p w14:paraId="3E925C29" w14:textId="77777777" w:rsidR="009D7677" w:rsidRDefault="009D7677" w:rsidP="009D7677">
      <w:pPr>
        <w:pStyle w:val="TextoNormal"/>
      </w:pPr>
      <w:r>
        <w:t>2. Los partidos políticos deben asegurar la independencia y la calidad de persona experta en violencia machista de las personas que conduzcan la investigación, garantizar la diligencia debida, adoptar las medidas cautelares necesarias, proporcionar servicios de asesoramiento y de acompañamiento a las víctimas y prever las medidas de reparación adecuadas.</w:t>
      </w:r>
    </w:p>
    <w:p w14:paraId="1606BB0F" w14:textId="77777777" w:rsidR="009D7677" w:rsidRDefault="009D7677" w:rsidP="009D7677">
      <w:pPr>
        <w:pStyle w:val="TextoNormal"/>
      </w:pPr>
    </w:p>
    <w:p w14:paraId="21C30E35" w14:textId="77777777" w:rsidR="009D7677" w:rsidRDefault="009D7677" w:rsidP="009D7677">
      <w:pPr>
        <w:pStyle w:val="TextoNormal"/>
      </w:pPr>
      <w:r>
        <w:t>3. Los partidos políticos deben incorporar la prohibición de incurrir en actos de violencia machista en sus normas internas y en los programas de acogida de nuevas personas afiliadas, y deben adoptar las correspondientes medidas de suspensión o expulsión de la militancia por la comisión de estos actos.</w:t>
      </w:r>
    </w:p>
    <w:p w14:paraId="78CF9A58" w14:textId="77777777" w:rsidR="009D7677" w:rsidRDefault="009D7677" w:rsidP="009D7677">
      <w:pPr>
        <w:pStyle w:val="TextoNormal"/>
      </w:pPr>
    </w:p>
    <w:p w14:paraId="195823C8" w14:textId="77777777" w:rsidR="009D7677" w:rsidRDefault="009D7677" w:rsidP="009D7677">
      <w:pPr>
        <w:pStyle w:val="TextoNormal"/>
      </w:pPr>
      <w:r>
        <w:t>4. Los partidos políticos deben difundir su protocolo para la prevención, detección y actuación ante la violencia machista, realizar acciones de sensibilización de sus miembros, y evaluar y revisar periódicamente el funcionamiento y la aplicación de los procedimientos establecidos en el protocolo”.</w:t>
      </w:r>
    </w:p>
    <w:p w14:paraId="650516EF" w14:textId="77777777" w:rsidR="009D7677" w:rsidRDefault="009D7677" w:rsidP="009D7677">
      <w:pPr>
        <w:pStyle w:val="TextoNormal"/>
      </w:pPr>
    </w:p>
    <w:p w14:paraId="1A4B7D33" w14:textId="77777777" w:rsidR="009D7677" w:rsidRDefault="009D7677" w:rsidP="009D7677">
      <w:pPr>
        <w:pStyle w:val="TextoNormal"/>
      </w:pPr>
      <w:r>
        <w:lastRenderedPageBreak/>
        <w:t>La resolución de esta queja exige dilucidar en primer término, con independencia ahora de que dicha norma pueda contravenir otros preceptos constitucionales, si la regulación controvertida puede acometerse mediante ley ordinaria —ya sea estatal, ya sea autonómica— sin infringir la reserva de ley orgánica establecida en el art. 81.1 CE. A tales efectos debemos recordar nuestra doctrina sobre el contenido y alcance de la reserva de ley orgánica y, más en concreto, desde la perspectiva de los partidos políticos a los que el art. 6 CE hace expresión del pluralismo político e instrumento fundamental para la participación política mediante su concurso a la formación y manifestación de la voluntad popular; esto es, la norma constitucional les confiere una serie de funciones de evidente relevancia constitucional, sin hacer de ellos órganos del Estado o titulares del poder público (STC 48/2003, de 12 de marzo, FJ 5).</w:t>
      </w:r>
    </w:p>
    <w:p w14:paraId="1C76395D" w14:textId="77777777" w:rsidR="009D7677" w:rsidRDefault="009D7677" w:rsidP="009D7677">
      <w:pPr>
        <w:pStyle w:val="TextoNormal"/>
      </w:pPr>
    </w:p>
    <w:p w14:paraId="0FDDD404" w14:textId="77777777" w:rsidR="009D7677" w:rsidRDefault="009D7677" w:rsidP="009D7677">
      <w:pPr>
        <w:pStyle w:val="TextoNormal"/>
      </w:pPr>
      <w:r>
        <w:t>B) Doctrina constitucional sobre el contenido y alcance de la reserva de ley orgánic</w:t>
      </w:r>
      <w:r w:rsidRPr="009D7677">
        <w:rPr>
          <w:i/>
        </w:rPr>
        <w:t xml:space="preserve">a </w:t>
      </w:r>
      <w:r>
        <w:t>ex art. 81.1 CE</w:t>
      </w:r>
    </w:p>
    <w:p w14:paraId="4EF10CA6" w14:textId="77777777" w:rsidR="009D7677" w:rsidRDefault="009D7677" w:rsidP="009D7677">
      <w:pPr>
        <w:pStyle w:val="TextoNormal"/>
      </w:pPr>
    </w:p>
    <w:p w14:paraId="5D2EF920" w14:textId="77777777" w:rsidR="009D7677" w:rsidRDefault="009D7677" w:rsidP="009D7677">
      <w:pPr>
        <w:pStyle w:val="TextoNormal"/>
      </w:pPr>
      <w:r>
        <w:t>a) Tal y como señalamos en la STC 173/1998, de 23 de julio, FJ 7, “la técnica de la reserva de ley tiene hoy, como tuvo en su origen y en su evolución histórica, una naturaleza distinta de la que poseen las reglas de atribución de competencia. El contenido y la finalidad de ambas figuras ha sido y es sustancialmente diverso. Por ello, como hemos reiterado desde la STC 5/1981, la reserva de ley orgánica del art. 81.1 CE no contiene, en puridad, ningún título competencial habilitante a favor del Estado. […] Sin embargo, siendo cierto que la reserva de ley orgánica no supone atribución de ningún título competencial, no lo es menos que, en virtud del art. 81.1 CE, solo el Estado puede dictar esta forma de leyes en desarrollo de los derechos fundamentales y libertades públicas y que las comunidades autónomas al ejercer sus competencias deben respetar el contenido de las mismas so pena de incurrir en un vicio de inconstitucionalidad por vulneración del art. 81.1 CE”.</w:t>
      </w:r>
    </w:p>
    <w:p w14:paraId="316DCE5B" w14:textId="77777777" w:rsidR="009D7677" w:rsidRDefault="009D7677" w:rsidP="009D7677">
      <w:pPr>
        <w:pStyle w:val="TextoNormal"/>
      </w:pPr>
    </w:p>
    <w:p w14:paraId="3FB625AB" w14:textId="77777777" w:rsidR="009D7677" w:rsidRDefault="009D7677" w:rsidP="009D7677">
      <w:pPr>
        <w:pStyle w:val="TextoNormal"/>
      </w:pPr>
      <w:r>
        <w:t>b) La determinación del alcance de la reserva de ley orgánica, tanto en lo referente al término “desarrollar”, como a la “materia” objeto de la misma, se ha de realizar aplicando un criterio estricto; en este sentido, nos remitimos a la doctrina sintetizada al respecto en las SSTC 184/2012, de 17 de octubre, FJ 9, y 212/2012, de 14 de noviembre, FJ 10 (con cita y reproducción de la doctrina sentada en la STC 124/2003, de 19 de junio, FJ 11).</w:t>
      </w:r>
    </w:p>
    <w:p w14:paraId="4A66FAAA" w14:textId="77777777" w:rsidR="009D7677" w:rsidRDefault="009D7677" w:rsidP="009D7677">
      <w:pPr>
        <w:pStyle w:val="TextoNormal"/>
      </w:pPr>
    </w:p>
    <w:p w14:paraId="6F0DA671" w14:textId="77777777" w:rsidR="009D7677" w:rsidRDefault="009D7677" w:rsidP="009D7677">
      <w:pPr>
        <w:pStyle w:val="TextoNormal"/>
      </w:pPr>
      <w:r>
        <w:t>c) Atendiendo ahora a la naturaleza y funciones de los partidos políticos, resulta patente que la reserva de ley orgánica del art. 81.1 CE es totalmente predicable respecto del régimen jurídico aplicable a los mismos.</w:t>
      </w:r>
    </w:p>
    <w:p w14:paraId="05231EE2" w14:textId="77777777" w:rsidR="009D7677" w:rsidRDefault="009D7677" w:rsidP="009D7677">
      <w:pPr>
        <w:pStyle w:val="TextoNormal"/>
      </w:pPr>
    </w:p>
    <w:p w14:paraId="57166227" w14:textId="77777777" w:rsidR="009D7677" w:rsidRDefault="009D7677" w:rsidP="009D7677">
      <w:pPr>
        <w:pStyle w:val="TextoNormal"/>
      </w:pPr>
      <w:r>
        <w:t>(i) Los partidos políticos son asociaciones que poseen una naturaleza y características propias y específicas. Sin embargo, esta especificidad no es incompatible con la constatación reiterada por este tribunal desde la STC 3/1981, de 2 de febrero, FJ 1, en el sentido de que “un partido político es una forma particular de asociación y el citado art. 22 no excluye las asociaciones que tengan una finalidad política, ni hay base alguna en él para deducir tal exclusión”. En suma, “las previsiones contenidas en los apartados 2 y siguientes del art. 22, en tanto que ‘garantía común’ del derecho de asociación (STC 67/1985), son aplicables a todo tipo de asociaciones, incluidos los partidos políticos” [STC 56/1995, de 6 de marzo, FJ 3 c)].</w:t>
      </w:r>
    </w:p>
    <w:p w14:paraId="3FA61291" w14:textId="77777777" w:rsidR="009D7677" w:rsidRDefault="009D7677" w:rsidP="009D7677">
      <w:pPr>
        <w:pStyle w:val="TextoNormal"/>
      </w:pPr>
    </w:p>
    <w:p w14:paraId="330713E3" w14:textId="77777777" w:rsidR="009D7677" w:rsidRDefault="009D7677" w:rsidP="009D7677">
      <w:pPr>
        <w:pStyle w:val="TextoNormal"/>
      </w:pPr>
      <w:r>
        <w:lastRenderedPageBreak/>
        <w:t>(ii) Los partidos políticos son “asociaciones cualificadas por la relevancia constitucional de sus funciones” o, dicho de otro modo, “instituciones jurídico-políticas, elemento de comunicación entre lo social y lo jurídico que hace posible la integración entre gobernantes y gobernados, ideal del sistema democrático” (STC 48/2003, FJ 5). Si bien la cualificación funcional de los partidos políticos no desvirtúa la naturaleza asociativa que está en su base, superpone sobre ella “una realidad institucional diversa y autónoma que, en tanto que instrumento para la participación política en los procesos de conformación de la voluntad del Estado, justifica la existencia de un régimen normativo también propio, habida cuenta de la especificidad de esas funciones” (STC 48/2003, FJ 6). Régimen normativo propio que encuentra su plasmación en la vigente Ley Orgánica 6/2002, de 27 de junio, que desarrolla previsiones esenciales contenidas en los arts. 1, 6, 22 y 23 del texto constitucional.</w:t>
      </w:r>
    </w:p>
    <w:p w14:paraId="652CA414" w14:textId="77777777" w:rsidR="009D7677" w:rsidRDefault="009D7677" w:rsidP="009D7677">
      <w:pPr>
        <w:pStyle w:val="TextoNormal"/>
      </w:pPr>
    </w:p>
    <w:p w14:paraId="764A9879" w14:textId="77777777" w:rsidR="009D7677" w:rsidRDefault="009D7677" w:rsidP="009D7677">
      <w:pPr>
        <w:pStyle w:val="TextoNormal"/>
      </w:pPr>
      <w:r>
        <w:t>(iii) En relación con el derecho de asociación, referido ahora a los partidos políticos, la doctrina constitucional ha identificado las siguientes dimensiones de tal derecho fundamental: libertad de creación de partidos políticos y de adscripción a los ya creados; libertad de no afiliarse a ninguno de ellos y dejar de pertenecer a los mismos; libertad de autoorganización y funcionamiento interno sin injerencias públicas, y los derechos de participación democrática interna de los afiliados [SSTC 56/1995, FJ 3 b) y c); 173/1998, FJ 8, y 48/2003, FJ 5].</w:t>
      </w:r>
    </w:p>
    <w:p w14:paraId="6C0A2D2A" w14:textId="77777777" w:rsidR="009D7677" w:rsidRDefault="009D7677" w:rsidP="009D7677">
      <w:pPr>
        <w:pStyle w:val="TextoNormal"/>
      </w:pPr>
    </w:p>
    <w:p w14:paraId="389A5AF2" w14:textId="77777777" w:rsidR="009D7677" w:rsidRDefault="009D7677" w:rsidP="009D7677">
      <w:pPr>
        <w:pStyle w:val="TextoNormal"/>
      </w:pPr>
      <w:r>
        <w:t>(iv) Por lo que se refiere a la tercera de las vertientes citadas, el derecho a la autoorganización “tiende, precisamente, a preservar la existencia de un ámbito libre de interferencias de los poderes públicos en la organización y funcionamiento interno de los partidos. Al igual que la práctica totalidad de las asociaciones, los partidos políticos son agrupaciones voluntarias de personas, por lo que, como ha dicho este tribunal, ‘el acto de integración en una asociación no es un contrato en sentido estricto al que puede aplicarse el art. 1256 CC, sino que consiste [...] en un acto por el cual el asociado acepta los estatutos y se integra en la unidad no solo jurídica sino también moral que constituye la asociación’ (STC 218/1989). El derecho de asociación en partidos políticos es, esencialmente, un derecho frente a los poderes públicos en el que sobresale el derecho a la autoorganización sin injerencias públicas” [STC 56/1995, FJ 3 b)].</w:t>
      </w:r>
    </w:p>
    <w:p w14:paraId="4F798D3C" w14:textId="77777777" w:rsidR="009D7677" w:rsidRDefault="009D7677" w:rsidP="009D7677">
      <w:pPr>
        <w:pStyle w:val="TextoNormal"/>
      </w:pPr>
    </w:p>
    <w:p w14:paraId="08A5CECA" w14:textId="77777777" w:rsidR="009D7677" w:rsidRDefault="009D7677" w:rsidP="009D7677">
      <w:pPr>
        <w:pStyle w:val="TextoNormal"/>
      </w:pPr>
      <w:r>
        <w:t xml:space="preserve">(v) Finalmente, el componente asociativo de los partidos políticos, cualificado por la relevancia de sus funciones constitucionales (art. 6 CE), redunda en la garantía de su protección típica como objeto de un derecho fundamental </w:t>
      </w:r>
      <w:r w:rsidRPr="009D7677">
        <w:rPr>
          <w:i/>
        </w:rPr>
        <w:t>ex</w:t>
      </w:r>
      <w:r>
        <w:t xml:space="preserve"> art. 22 CE que está sujeto a la reserva de ley orgánica del art. 81.1 CE (STC 133/2006, de 27 de abril, FJ 2). En este sentido, el Tribunal entiende que “debe considerarse reservado a la ley orgánica </w:t>
      </w:r>
      <w:r w:rsidRPr="009D7677">
        <w:rPr>
          <w:i/>
        </w:rPr>
        <w:t>ex</w:t>
      </w:r>
      <w:r>
        <w:t xml:space="preserve"> art. 81.1 CE la regulación de ‘los elementos esenciales de la definición’ del derecho de asociación o, en otras palabras, la delimitación de ‘los aspectos esenciales del contenido del derecho’ en lo tocante a la titularidad, a las facultades elementales que lo integran en sus varias vertientes (STC 101/1991, fundamento jurídico 2), al alcance del mismo en las relaciones </w:t>
      </w:r>
      <w:r w:rsidRPr="009D7677">
        <w:rPr>
          <w:i/>
        </w:rPr>
        <w:t>inter privatos</w:t>
      </w:r>
      <w:r>
        <w:t xml:space="preserve">, a las garantías fundamentales necesarias para preservarlo frente a las injerencias de los poderes públicos y, muy especialmente, dada su naturaleza de derecho de libertad, corresponde en exclusiva al legislador orgánico la precisión de los límites que, en atención a otros derechos y libertades constitucionalmente reconocidos y respetando siempre el contenido esencial, puedan establecerse para determinar las asociaciones constitucionalmente proscritas —es decir, las ilegales, secretas y de carácter paramilitar—, así </w:t>
      </w:r>
      <w:r>
        <w:lastRenderedPageBreak/>
        <w:t>como los límites en relación al derecho de asociarse de determinados grupos de personas —militares, jueces, etc.—, o en relación a la libertad de no asociarse” (STC 173/1998, FJ 8; véanse también las SSTC 177/2012, de 15 de octubre, FJ 4, y 144/2017, de 14 de diciembre, FJ 3).</w:t>
      </w:r>
    </w:p>
    <w:p w14:paraId="40547A4B" w14:textId="77777777" w:rsidR="009D7677" w:rsidRDefault="009D7677" w:rsidP="009D7677">
      <w:pPr>
        <w:pStyle w:val="TextoNormal"/>
      </w:pPr>
    </w:p>
    <w:p w14:paraId="6A3BFE35" w14:textId="77777777" w:rsidR="009D7677" w:rsidRDefault="009D7677" w:rsidP="009D7677">
      <w:pPr>
        <w:pStyle w:val="TextoNormal"/>
      </w:pPr>
      <w:r>
        <w:t>C) Estimación de la queja</w:t>
      </w:r>
    </w:p>
    <w:p w14:paraId="425FBDD7" w14:textId="77777777" w:rsidR="009D7677" w:rsidRDefault="009D7677" w:rsidP="009D7677">
      <w:pPr>
        <w:pStyle w:val="TextoNormal"/>
      </w:pPr>
    </w:p>
    <w:p w14:paraId="74FF8215" w14:textId="77777777" w:rsidR="009D7677" w:rsidRDefault="009D7677" w:rsidP="009D7677">
      <w:pPr>
        <w:pStyle w:val="TextoNormal"/>
      </w:pPr>
      <w:r>
        <w:t>El régimen legal de los partidos políticos se encuentra hoy en una ley específica, la Ley Orgánica 6/2002, de 27 de junio, caracterizada por el Tribunal como una ley “en la que se disciplina y regula con perfecta abstracción y generalidad cuanto afecta al régimen jurídico de estas singulares asociaciones, con la salvedad de las cuestiones relativas a su financiación y control contable, que la propia Ley Orgánica remite, en su art. 13, a lo previsto en la Ley Orgánica 3/1987, de 2 de julio, sobre financiación de los partidos políticos, […] la Ley Orgánica 2/1982, de 12 de mayo, del Tribunal de Cuentas, y a la Ley 7/1988, de 5 de abril, de funcionamiento de dicho tribunal” (STC 48/2003, FJ 14).</w:t>
      </w:r>
    </w:p>
    <w:p w14:paraId="50566033" w14:textId="77777777" w:rsidR="009D7677" w:rsidRDefault="009D7677" w:rsidP="009D7677">
      <w:pPr>
        <w:pStyle w:val="TextoNormal"/>
      </w:pPr>
    </w:p>
    <w:p w14:paraId="512C90A6" w14:textId="77777777" w:rsidR="009D7677" w:rsidRDefault="009D7677" w:rsidP="009D7677">
      <w:pPr>
        <w:pStyle w:val="TextoNormal"/>
      </w:pPr>
      <w:r>
        <w:t>El cuestionado art. 16 de la Ley 17/2020 (i) prevé la obligación para los partidos políticos que operen en Cataluña de disponer de un plan de igualdad interno y un protocolo para la prevención, detección y actuación de la violencia machista, protocolo que han de difundir y revisar de forma periódica; (ii) impone también las características y responsabilidades que debe aglutinar la persona encargada de conducir la investigación y proporcionar, en su caso, asesoramiento a las víctimas de violencia machista; y (iii) condiciona el contenido mismo de las normas internas —estatutos— al exigir, indirectamente su reforma, tanto para incorporar la prohibición de incurrir en actos de violencia machista, como para concretar las medidas a adoptar en relación con sus afiliados por la comisión de actos de violencia machista (suspensión o expulsión).</w:t>
      </w:r>
    </w:p>
    <w:p w14:paraId="222ED072" w14:textId="77777777" w:rsidR="009D7677" w:rsidRDefault="009D7677" w:rsidP="009D7677">
      <w:pPr>
        <w:pStyle w:val="TextoNormal"/>
      </w:pPr>
    </w:p>
    <w:p w14:paraId="192AF40B" w14:textId="77777777" w:rsidR="009D7677" w:rsidRDefault="009D7677" w:rsidP="009D7677">
      <w:pPr>
        <w:pStyle w:val="TextoNormal"/>
      </w:pPr>
      <w:r>
        <w:t>La norma impugnada establece condiciones que inciden en la organización y funcionamiento de los partidos políticos, llegando incluso a imponer obligaciones respecto de personas que no son siquiera afiliados del partido político sino meramente simpatizantes. Es obvio que, a juicio de este tribunal, el precepto controvertido incide en el derecho de autoorganización del partido, un derecho que, como hemos declarado, tiene como fin primordial preservar un ámbito libre de interferencias de los poderes públicos en la organización y funcionamiento interno de los partidos [STC 56/1995, FJ 3 b)]. Sin enjuiciar, en este momento, el carácter constitucional del contenido sustantivo de las obligaciones impuestas, ni por supuesto la bondad o idoneidad de las medidas desde la perspectiva de la prevención de la violencia contra las mujeres, lo que resulta patente es que, en todo caso, tales obligaciones solo podrían ser acordadas por el legislador orgánico en los términos señalados por nuestra doctrina (SSTC 173/1998, FJ 8; 177/2012, FJ 4, y 144/2017, FJ 3).</w:t>
      </w:r>
    </w:p>
    <w:p w14:paraId="18BE9639" w14:textId="77777777" w:rsidR="009D7677" w:rsidRDefault="009D7677" w:rsidP="009D7677">
      <w:pPr>
        <w:pStyle w:val="TextoNormal"/>
      </w:pPr>
    </w:p>
    <w:p w14:paraId="789926DD" w14:textId="25DCC330" w:rsidR="009D7677" w:rsidRDefault="009D7677" w:rsidP="009D7677">
      <w:pPr>
        <w:pStyle w:val="TextoNormal"/>
      </w:pPr>
      <w:r>
        <w:t>En consecuencia, el art. 16 de la Ley 17/2020 debe ser declarado inconstitucional y nulo por vulnerar la reserva de ley orgánica del art. 81.1 CE. Estimado este motivo de inconstitucionalidad, es innecesario que nos pronunciemos sobre las restantes dudas de constitucionalidad alegadas por los recurrentes.</w:t>
      </w:r>
    </w:p>
    <w:p w14:paraId="1AAD193D" w14:textId="77777777" w:rsidR="009D7677" w:rsidRDefault="009D7677" w:rsidP="009D7677">
      <w:pPr>
        <w:pStyle w:val="TextoNormal"/>
      </w:pPr>
    </w:p>
    <w:p w14:paraId="5F7009D3" w14:textId="77777777" w:rsidR="009D7677" w:rsidRDefault="009D7677" w:rsidP="009D7677">
      <w:pPr>
        <w:pStyle w:val="TextoNormal"/>
      </w:pPr>
      <w:r w:rsidRPr="009D7677">
        <w:rPr>
          <w:rStyle w:val="NumeroAFNegritaCaracter"/>
        </w:rPr>
        <w:t>6</w:t>
      </w:r>
      <w:r>
        <w:t xml:space="preserve">. </w:t>
      </w:r>
      <w:r w:rsidRPr="009D7677">
        <w:rPr>
          <w:i/>
        </w:rPr>
        <w:t>Conclusión</w:t>
      </w:r>
    </w:p>
    <w:p w14:paraId="7273C845" w14:textId="77777777" w:rsidR="009D7677" w:rsidRDefault="009D7677" w:rsidP="009D7677">
      <w:pPr>
        <w:pStyle w:val="TextoNormal"/>
      </w:pPr>
    </w:p>
    <w:p w14:paraId="617051D9" w14:textId="77777777" w:rsidR="009D7677" w:rsidRDefault="009D7677" w:rsidP="009D7677">
      <w:pPr>
        <w:pStyle w:val="TextoNormal"/>
      </w:pPr>
      <w:r>
        <w:lastRenderedPageBreak/>
        <w:t xml:space="preserve">Este tribunal considera, por las razones anteriormente expuestas, que la norma objeto del presente recurso de inconstitucionalidad ni vulnera la competencia exclusiva del Estado en materia de legislación penal (art. 149.1.6 CE), razón por la que tampoco infringe la reserva de ley orgánica </w:t>
      </w:r>
      <w:r w:rsidRPr="009D7677">
        <w:rPr>
          <w:i/>
        </w:rPr>
        <w:t>ex</w:t>
      </w:r>
      <w:r>
        <w:t xml:space="preserve"> art. 81.1 CE, ni vulnera la competencia exclusiva estatal en materia de ordenación de registros públicos (art. 149.1.8 CE). Con base en la competencia autonómica en materia de políticas de género (art. 153 EAC), la norma se limita a dotar a las mujeres de una protección integral frente a la violencia de género, estableciendo una serie de medidas de prevención, detección y sensibilización, así como de asistencia, protección y recuperación integral de las víctimas de esta lacra social, sin que nada haya de objetarse a la inclusión en su finalidad tuitiva de las mujeres transgénero que no hayan rectificado registralmente la mención del sexo.</w:t>
      </w:r>
    </w:p>
    <w:p w14:paraId="13898C0A" w14:textId="77777777" w:rsidR="009D7677" w:rsidRDefault="009D7677" w:rsidP="009D7677">
      <w:pPr>
        <w:pStyle w:val="TextoNormal"/>
      </w:pPr>
    </w:p>
    <w:p w14:paraId="184CED7F" w14:textId="60B68765" w:rsidR="009D7677" w:rsidRDefault="009D7677" w:rsidP="009D7677">
      <w:pPr>
        <w:pStyle w:val="TextoNormal"/>
      </w:pPr>
      <w:r>
        <w:t>Por el contrario, este tribunal entiende que la norma impugnada, en la medida en que establece condiciones que inciden en la organización y funcionamiento de los partidos políticos, incurre en una infracción de la reserva de ley orgánica del art. 81.1 CE, razón por la que el recurso ha de ser estimado en este punto.</w:t>
      </w:r>
    </w:p>
    <w:p w14:paraId="09ED4D32" w14:textId="77777777" w:rsidR="009D7677" w:rsidRDefault="009D7677" w:rsidP="009D7677">
      <w:pPr>
        <w:pStyle w:val="TextoNormal"/>
      </w:pPr>
    </w:p>
    <w:p w14:paraId="79B05849" w14:textId="77777777" w:rsidR="009D7677" w:rsidRDefault="009D7677" w:rsidP="009D7677">
      <w:pPr>
        <w:pStyle w:val="TextoNormalCentrado"/>
        <w:keepNext/>
      </w:pPr>
      <w:r>
        <w:t>FALLO</w:t>
      </w:r>
    </w:p>
    <w:p w14:paraId="631F0DE6" w14:textId="39652E5C" w:rsidR="009D7677" w:rsidRDefault="009D7677" w:rsidP="009D7677">
      <w:pPr>
        <w:pStyle w:val="TextoNormalCentrado"/>
        <w:keepNext/>
      </w:pPr>
    </w:p>
    <w:p w14:paraId="1CAE7F54" w14:textId="77777777" w:rsidR="009D7677" w:rsidRDefault="009D7677" w:rsidP="009D7677">
      <w:pPr>
        <w:pStyle w:val="TextoNormal"/>
      </w:pPr>
      <w:r>
        <w:t>En atención a todo lo expuesto, el Tribunal Constitucional, por la autoridad que le confiere la Constitución de la Nación española, ha decidido en el recurso de inconstitucionalidad interpuesto por más de cincuenta diputados y diputadas del Grupo Parlamentario Popular en el Congreso de los Diputados contra los arts. 1, 2, 3 y 16 de la Ley del Parlamento de Cataluña 17/2020, de 22 de diciembre, de modificación de la Ley 5/2008, del derecho de las mujeres a erradicar la violencia machista:</w:t>
      </w:r>
    </w:p>
    <w:p w14:paraId="51E29112" w14:textId="77777777" w:rsidR="009D7677" w:rsidRDefault="009D7677" w:rsidP="009D7677">
      <w:pPr>
        <w:pStyle w:val="TextoNormal"/>
      </w:pPr>
    </w:p>
    <w:p w14:paraId="6A98D2FF" w14:textId="77777777" w:rsidR="009D7677" w:rsidRDefault="009D7677" w:rsidP="009D7677">
      <w:pPr>
        <w:pStyle w:val="TextoNormal"/>
      </w:pPr>
      <w:r>
        <w:t>1º Declarar inconstitucional y nulo el art. 16 de la Ley del Parlamento de Cataluña 17/2020, de 22 de diciembre, de modificación de la Ley 5/2008, del derecho de las mujeres a erradicar la violencia machista.</w:t>
      </w:r>
    </w:p>
    <w:p w14:paraId="45A539E3" w14:textId="77777777" w:rsidR="009D7677" w:rsidRDefault="009D7677" w:rsidP="009D7677">
      <w:pPr>
        <w:pStyle w:val="TextoNormal"/>
      </w:pPr>
    </w:p>
    <w:p w14:paraId="17357D5D" w14:textId="6EAA915A" w:rsidR="009D7677" w:rsidRDefault="009D7677" w:rsidP="009D7677">
      <w:pPr>
        <w:pStyle w:val="TextoNormal"/>
      </w:pPr>
      <w:r>
        <w:t>2º Desestimar el recurso en todo lo demás.</w:t>
      </w:r>
    </w:p>
    <w:p w14:paraId="628E09F5" w14:textId="77777777" w:rsidR="009D7677" w:rsidRDefault="009D7677" w:rsidP="009D7677">
      <w:pPr>
        <w:pStyle w:val="TextoNormal"/>
      </w:pPr>
    </w:p>
    <w:p w14:paraId="419826B8" w14:textId="77777777" w:rsidR="009D7677" w:rsidRDefault="009D7677" w:rsidP="009D7677">
      <w:pPr>
        <w:pStyle w:val="TextoNormal"/>
      </w:pPr>
      <w:r>
        <w:t>Publíquese esta sentencia en el “Boletín Oficial del Estado”.</w:t>
      </w:r>
    </w:p>
    <w:p w14:paraId="259631F1" w14:textId="77777777" w:rsidR="009D7677" w:rsidRDefault="009D7677" w:rsidP="009D7677">
      <w:pPr>
        <w:pStyle w:val="TextoNormal"/>
      </w:pPr>
      <w:r>
        <w:t>Dada en Madrid, a doce de marzo de dos mil veinticuatro.</w:t>
      </w:r>
    </w:p>
    <w:p w14:paraId="4F4513C8" w14:textId="05122EB3" w:rsidR="009D7677" w:rsidRDefault="009D7677" w:rsidP="009D7677">
      <w:pPr>
        <w:pStyle w:val="ParrafoNormal"/>
      </w:pPr>
    </w:p>
    <w:p w14:paraId="593EEB10" w14:textId="77777777" w:rsidR="009D7677" w:rsidRDefault="009D7677" w:rsidP="009D7677">
      <w:pPr>
        <w:pStyle w:val="TextoNormalNegritaCentrado"/>
        <w:keepNext/>
      </w:pPr>
      <w:r>
        <w:t>Voto particular que formula la magistrada doña María Luisa Balaguer Callejón a la sentencia dictada en el recurso de inconstitucionalidad núm. 1719-2021</w:t>
      </w:r>
    </w:p>
    <w:p w14:paraId="045CFBFD" w14:textId="7E3BDA9E" w:rsidR="009D7677" w:rsidRDefault="009D7677" w:rsidP="009D7677">
      <w:pPr>
        <w:pStyle w:val="TextoNormalNegritaCentrado"/>
        <w:keepNext/>
      </w:pPr>
    </w:p>
    <w:p w14:paraId="667A4425" w14:textId="77777777" w:rsidR="009D7677" w:rsidRDefault="009D7677" w:rsidP="009D7677">
      <w:pPr>
        <w:pStyle w:val="TextoNormal"/>
      </w:pPr>
      <w:r>
        <w:t>Con el mayor respeto al criterio reflejado en la sentencia a que se refiere el encabezamiento, formulo este voto, en ejercicio de la facultad prevista en el art. 90.2 LOTC, para plasmar mi discrepancia con los razonamientos que sustentan el pronunciamiento parcialmente estimatorio del recurso de inconstitucionalidad núm. 1719-2021.</w:t>
      </w:r>
    </w:p>
    <w:p w14:paraId="24D1CFFB" w14:textId="77777777" w:rsidR="009D7677" w:rsidRDefault="009D7677" w:rsidP="009D7677">
      <w:pPr>
        <w:pStyle w:val="TextoNormal"/>
      </w:pPr>
    </w:p>
    <w:p w14:paraId="115B9EE6" w14:textId="77777777" w:rsidR="009D7677" w:rsidRDefault="009D7677" w:rsidP="009D7677">
      <w:pPr>
        <w:pStyle w:val="TextoNormal"/>
      </w:pPr>
      <w:r>
        <w:t>Los motivos de mi posición contraria a la mayoría radican en que el Pleno ha optado por un enfoque estrictamente formal en sus razonamientos ante una materia tan sensible como es la de determinar cuál es el ámbito subjetivo de las violencias machistas. Esta ac</w:t>
      </w:r>
      <w:r>
        <w:lastRenderedPageBreak/>
        <w:t>tividad pasa, necesariamente, por identificar al sujeto político al que se dirige la norma impugnada y que, en general, dada su centralidad, debería estar definido en una ley estatal para evitar la desigualdad en diferentes regulaciones de leyes autonómicas.</w:t>
      </w:r>
    </w:p>
    <w:p w14:paraId="25860AC8" w14:textId="77777777" w:rsidR="009D7677" w:rsidRDefault="009D7677" w:rsidP="009D7677">
      <w:pPr>
        <w:pStyle w:val="TextoNormal"/>
      </w:pPr>
    </w:p>
    <w:p w14:paraId="655B43E6" w14:textId="77777777" w:rsidR="009D7677" w:rsidRDefault="009D7677" w:rsidP="009D7677">
      <w:pPr>
        <w:pStyle w:val="TextoNormal"/>
      </w:pPr>
      <w:r>
        <w:t>El recurso de inconstitucionalidad planteado por cincuenta diputados y diputadas del Grupo Parlamentario Popular en el Congreso de los Diputados contra la Ley catalana 17/2020, de 22 de diciembre, de modificación de la Ley 5/2008, del derecho de las mujeres a erradicar la violencia machista, se ha resuelto a través de un examen estrictamente competencial, a partir de las peticiones de la parte recurrente. Sin embargo, hacer un análisis de distribución competencial entre la Generalitat y el Estado en las políticas afectadas no impedía hacer un examen material sobre, como se ha dicho, la determinación de cuál es el sujeto político al que se dirigen las políticas contenidas en la ley impugnada que son, según queda establecido en la sentencia aprobada por la mayoría del Pleno, las “políticas de género, encaminada a hacer efectivo el principio de igualdad y la no discriminación por razón de sexo, otorgando a las mujeres una protección integral contra la violencia machista (arts. 19, 41.3, 43 y 153 EAC)”. En esta línea, en la sentencia se asume que, efectivamente, la finalidad y objetivo de la Ley 17/2020 —igual que la del 2008— es la prevención y la asistencia a las mujeres que han sufrido violencia de género. A mi entender, el Tribunal debería haber comenzado el estudio de este asunto, también de la mano de las pretensiones de los recurrentes, declarando si la Ley catalana suponía, o no, un cambio en el concepto de víctima de las violencias machistas y, consecuentemente, determinando si este tipo de violencias han cambiado o no su definición y alcance.</w:t>
      </w:r>
    </w:p>
    <w:p w14:paraId="77846D6A" w14:textId="77777777" w:rsidR="009D7677" w:rsidRDefault="009D7677" w:rsidP="009D7677">
      <w:pPr>
        <w:pStyle w:val="TextoNormal"/>
      </w:pPr>
    </w:p>
    <w:p w14:paraId="159029D4" w14:textId="77777777" w:rsidR="009D7677" w:rsidRDefault="009D7677" w:rsidP="009D7677">
      <w:pPr>
        <w:pStyle w:val="TextoNormal"/>
      </w:pPr>
      <w:r>
        <w:t xml:space="preserve">La sentencia nada dice sobre el hecho normativo de que la Ley cambie el ámbito subjetivo de la prevención, asistencia, protección y demás políticas de género en Cataluña, modificando el ámbito subjetivo de este tipo de protección, puesto que literalmente se afirma que “[a] tales efectos, la ley establece una serie de medidas generales que han de orientar la actuación de las administraciones públicas catalanas; medidas de prevención, detección y sensibilización, así como de asistencia, protección y recuperación integral de la </w:t>
      </w:r>
      <w:r w:rsidRPr="009D7677">
        <w:rPr>
          <w:i/>
        </w:rPr>
        <w:t>víctima</w:t>
      </w:r>
      <w:r>
        <w:t>” (cursiva añadida). Se admite así, no sé si conscientemente, un cambio en el alcance del concepto de víctimas de las violencias machistas que son, en la Ley catalana, las mujeres, las mujeres transexuales y las mujeres transgénero.</w:t>
      </w:r>
    </w:p>
    <w:p w14:paraId="066A2983" w14:textId="77777777" w:rsidR="009D7677" w:rsidRDefault="009D7677" w:rsidP="009D7677">
      <w:pPr>
        <w:pStyle w:val="TextoNormal"/>
      </w:pPr>
    </w:p>
    <w:p w14:paraId="10D78183" w14:textId="77777777" w:rsidR="009D7677" w:rsidRDefault="009D7677" w:rsidP="009D7677">
      <w:pPr>
        <w:pStyle w:val="TextoNormal"/>
      </w:pPr>
      <w:r>
        <w:t xml:space="preserve">Este es el objeto que, a mi modo de ver, la mayoría de los magistrados y magistradas del Pleno han pasado por alto: una ley autonómica redefine el sujeto al que van dirigidas las políticas de prevención de la violencia machista y de la protección y tutela frente a la misma, aumentándolo y asumiendo una conceptualización de mujer como sujeto político y de personas trans (tanto sexual como género) muy controvertida, respecto de la que este tribunal todavía no se ha pronunciado. La Ley catalana opta por una conceptualización, que viene precedida de mucha confusión terminológica e, incluso, de algunos conceptos no propiamente jurídicos, como mujeres u hombres </w:t>
      </w:r>
      <w:r w:rsidRPr="009D7677">
        <w:rPr>
          <w:i/>
        </w:rPr>
        <w:t>cis</w:t>
      </w:r>
      <w:r>
        <w:t>, que han sido contestados desde amplios sectores doctrinales. La crítica que cabe hacer a la sentencia en este sentido se basa, esencialmente, en la idea de que para generar nuevos derechos para colectivos discriminados no es necesario asumir la redefinición o re-etiquetaje del sujeto político mujer.</w:t>
      </w:r>
    </w:p>
    <w:p w14:paraId="559E1F2F" w14:textId="77777777" w:rsidR="009D7677" w:rsidRDefault="009D7677" w:rsidP="009D7677">
      <w:pPr>
        <w:pStyle w:val="TextoNormal"/>
      </w:pPr>
    </w:p>
    <w:p w14:paraId="10F04DA1" w14:textId="77777777" w:rsidR="009D7677" w:rsidRDefault="009D7677" w:rsidP="009D7677">
      <w:pPr>
        <w:pStyle w:val="TextoNormal"/>
      </w:pPr>
      <w:r>
        <w:t xml:space="preserve">En todo caso, no se trata ahora de prejuzgar la constitucionalidad de la equiparación de mujeres, mujeres transexuales y mujeres transgénero como víctimas de las violencias machistas, porque ese deberá ser el objeto de la sentencia que resuelva sendos recursos de </w:t>
      </w:r>
      <w:r>
        <w:lastRenderedPageBreak/>
        <w:t>inconstitucionalidad interpuestos por Vox y el Partido Popular contra la Ley 4/2023, de 28 de febrero, para la igualdad real y efectiva de las personas trans y para la garantía de los derechos de las personas LGTBI, sino de la necesidad de analizar si en una ley autonómica cabe darles cobertura.</w:t>
      </w:r>
    </w:p>
    <w:p w14:paraId="165E9D6F" w14:textId="77777777" w:rsidR="009D7677" w:rsidRDefault="009D7677" w:rsidP="009D7677">
      <w:pPr>
        <w:pStyle w:val="TextoNormal"/>
      </w:pPr>
    </w:p>
    <w:p w14:paraId="2CABA7CD" w14:textId="77777777" w:rsidR="009D7677" w:rsidRDefault="009D7677" w:rsidP="009D7677">
      <w:pPr>
        <w:pStyle w:val="TextoNormal"/>
      </w:pPr>
      <w:r>
        <w:t>Este tribunal de garantías de los derechos y libertades fundamentales no debería haber pasado por alto que la ley impugnada incorpora una ampliación del concepto de víctima que supone alterar, como se ha dicho, el concepto mismo de mujer como sujeto político. No cabe afirmar, sin más, que la Ley catalana se limita a actividades de carácter promocional o asistencial en materia de políticas de género y que, por tanto, no afecta a la función jurisdiccional ni a la tipicidad penal regulada en el Código penal, de aplicación en toda España. Así, para evitar entrar a valorar quién es la víctima de las violencias machistas se afirma que las medidas de la Ley 17/2020 “no van acompañadas de efectos punitivos, ya sea en el orden sancionador administrativo, ya sea en el orden penal, y […] operan en ámbitos tales como los de educación, salud, medios de comunicación, vivienda, ocupación o prestaciones económicas”.</w:t>
      </w:r>
    </w:p>
    <w:p w14:paraId="56F4DFE1" w14:textId="77777777" w:rsidR="009D7677" w:rsidRDefault="009D7677" w:rsidP="009D7677">
      <w:pPr>
        <w:pStyle w:val="TextoNormal"/>
      </w:pPr>
    </w:p>
    <w:p w14:paraId="3D8972CA" w14:textId="77777777" w:rsidR="009D7677" w:rsidRDefault="009D7677" w:rsidP="009D7677">
      <w:pPr>
        <w:pStyle w:val="TextoNormal"/>
      </w:pPr>
      <w:r>
        <w:t>El extracto de la sentencia que se acaba de trascribir, además, pone de manifiesto cierto desconocimiento del alcance que tienen, de un lado, las violencias machistas y, de otro, la violencia de género. Según se afirma en la sentencia de la que discrepo, la violencia de género queda definida por la Ley Orgánica 1/2004, de 28 de diciembre, de medidas de protección integral contra la violencia de género (LOVG) y los tipos penales correspondientes del Código penal. En este sentido, se afirma que lo que deba entenderse por violencia de género, su alcance y sujetos implicados, queda blindado por su tutela penal que, como se ha dicho, es única para todo el Estado, soslayándose que en la ley también quedan comprendidos conceptos y categorías jurídicas de sujetos con nuevos derechos. Asimismo, se dice que no se produce una ampliación del sujeto pasivo de la violencia de género desde la perspectiva de la LOVG. No obstante, obvia el Pleno que el concepto de violencias machistas no se corresponde taxativamente con el de violencia de género. Por lo que, aunque cabe considerar que no se produce un cambio sobre dicho concepto, sí que se produce en Catalunya, respecto de las políticas de género que ejerza la Generalitat, una alteración del resto de violencias machistas que, por propia definición, son todas aquellas ejercidas por hombres motivadas por su supuesta posición de dominación respecto de las mujeres. El resultado es que, en un mismo Estado, conviven diferentes conceptos de víctimas de las violencias machistas cuando la protección frente a este tipo de violencias debe tener un mismo sujeto de tutela, igual que tiene un mismo sujeto activo y una misma motivación.</w:t>
      </w:r>
    </w:p>
    <w:p w14:paraId="37C768E1" w14:textId="77777777" w:rsidR="009D7677" w:rsidRDefault="009D7677" w:rsidP="009D7677">
      <w:pPr>
        <w:pStyle w:val="TextoNormal"/>
      </w:pPr>
    </w:p>
    <w:p w14:paraId="75004528" w14:textId="77777777" w:rsidR="009D7677" w:rsidRDefault="009D7677" w:rsidP="009D7677">
      <w:pPr>
        <w:pStyle w:val="TextoNormal"/>
      </w:pPr>
      <w:r>
        <w:t>Dado que este tribunal deberá pronunciarse sobre el fondo de las materias señaladas en los recursos de inconstitucionalidad pendientes contra la Ley 4/2023, para la igualdad real y efectiva de las personas trans y para la garantía de los derechos de las personas LGTBI, que reconfigura el sujeto político mujer, y, también, contra la Ley Orgánica 10/2022, de 6 de septiembre, de garantía integral de la libertad sexual, impugnada por Vox, que redefine el concepto de consentimiento, hubiera sido más adecuado abordar en la presente sentencia las cuestiones sustantivas sobre las que se construyen las políticas de género, para después determinar su distribución entre Generalitat y Estado, y no al revés. También hubiera sido mejor esperar a resolver aquellos recursos de inconstitucionalidad para, posteriormente, entrar a considerar el recurso de inconstitucionalidad contra la Ley 17/2020, del dere</w:t>
      </w:r>
      <w:r>
        <w:lastRenderedPageBreak/>
        <w:t>cho de las mujeres a erradicar la violencia machista, una vez que el marco terminológico y conceptual hubiera sido determinado.</w:t>
      </w:r>
    </w:p>
    <w:p w14:paraId="4E1E2EB7" w14:textId="77777777" w:rsidR="009D7677" w:rsidRDefault="009D7677" w:rsidP="009D7677">
      <w:pPr>
        <w:pStyle w:val="TextoNormal"/>
      </w:pPr>
    </w:p>
    <w:p w14:paraId="5CB7019B" w14:textId="77777777" w:rsidR="009D7677" w:rsidRDefault="009D7677" w:rsidP="009D7677">
      <w:pPr>
        <w:pStyle w:val="TextoNormal"/>
      </w:pPr>
      <w:r>
        <w:t>En definitiva, a diferencia de la mayoría del Pleno, considero que hubiera sido más respetuoso con los derechos y libertades de todas las personas afectadas por la Ley 17/2020 y también con un reparto competencial en políticas de género más riguroso, que se hubiera llevado a cabo un estudio previo de una cuestión central como es la determinación de cuál es el sujeto político de este tipo de políticas públicas y el sentido y alcance de la violencia machista.</w:t>
      </w:r>
    </w:p>
    <w:p w14:paraId="7AF9B4CC" w14:textId="77777777" w:rsidR="009D7677" w:rsidRDefault="009D7677" w:rsidP="009D7677">
      <w:pPr>
        <w:pStyle w:val="TextoNormal"/>
      </w:pPr>
    </w:p>
    <w:p w14:paraId="258B2CD0" w14:textId="77777777" w:rsidR="009D7677" w:rsidRDefault="009D7677" w:rsidP="009D7677">
      <w:pPr>
        <w:pStyle w:val="TextoNormal"/>
      </w:pPr>
      <w:r>
        <w:t>En este sentido, emito mi voto particular.</w:t>
      </w:r>
    </w:p>
    <w:p w14:paraId="0BD3F50F" w14:textId="77777777" w:rsidR="009D7677" w:rsidRDefault="009D7677" w:rsidP="009D7677">
      <w:pPr>
        <w:pStyle w:val="TextoNormal"/>
      </w:pPr>
    </w:p>
    <w:p w14:paraId="6F0088E1" w14:textId="5D6CE636" w:rsidR="009D7677" w:rsidRDefault="009D7677" w:rsidP="009D7677">
      <w:pPr>
        <w:pStyle w:val="TextoNormal"/>
      </w:pPr>
      <w:r>
        <w:t>Madrid, a doce de marzo de dos mil veinticuatro.</w:t>
      </w:r>
    </w:p>
    <w:p w14:paraId="6AF358F6" w14:textId="77777777" w:rsidR="009D7677" w:rsidRDefault="009D7677" w:rsidP="009D7677">
      <w:pPr>
        <w:pStyle w:val="TextoNormal"/>
      </w:pPr>
    </w:p>
    <w:p w14:paraId="5A397804" w14:textId="77777777" w:rsidR="009D7677" w:rsidRDefault="009D7677" w:rsidP="009D7677">
      <w:pPr>
        <w:pStyle w:val="TextoNormalNegritaCentrado"/>
        <w:keepNext/>
      </w:pPr>
      <w:r>
        <w:t>Voto particular que formula el magistrado don Enrique Arnaldo Alcubilla a la sentencia que resuelve el recurso de inconstitucionalidad núm. 1719-2021</w:t>
      </w:r>
    </w:p>
    <w:p w14:paraId="2B91D9BD" w14:textId="155ADF69" w:rsidR="009D7677" w:rsidRDefault="009D7677" w:rsidP="009D7677">
      <w:pPr>
        <w:pStyle w:val="TextoNormalNegritaCentrado"/>
        <w:keepNext/>
      </w:pPr>
    </w:p>
    <w:p w14:paraId="5DEE47E9" w14:textId="77777777" w:rsidR="009D7677" w:rsidRDefault="009D7677" w:rsidP="009D7677">
      <w:pPr>
        <w:pStyle w:val="TextoNormal"/>
      </w:pPr>
      <w:r>
        <w:t>En el ejercicio de la facultad que me confiere el art. 90.2 de la Ley Orgánica del Tribunal Constitucional (LOTC) y con respeto a la opinión de mis compañeros, formulo este voto particular por las razones ya defendidas en su momento durante la deliberación y en los términos que expongo a continuación.</w:t>
      </w:r>
    </w:p>
    <w:p w14:paraId="3920368B" w14:textId="77777777" w:rsidR="009D7677" w:rsidRDefault="009D7677" w:rsidP="009D7677">
      <w:pPr>
        <w:pStyle w:val="TextoNormal"/>
      </w:pPr>
    </w:p>
    <w:p w14:paraId="60FF202C" w14:textId="77777777" w:rsidR="009D7677" w:rsidRDefault="009D7677" w:rsidP="009D7677">
      <w:pPr>
        <w:pStyle w:val="TextoNormal"/>
      </w:pPr>
      <w:r>
        <w:t xml:space="preserve">1. </w:t>
      </w:r>
      <w:r w:rsidRPr="009D7677">
        <w:rPr>
          <w:i/>
        </w:rPr>
        <w:t>Delimitación del alcance del disenso</w:t>
      </w:r>
    </w:p>
    <w:p w14:paraId="3AC3F15B" w14:textId="77777777" w:rsidR="009D7677" w:rsidRDefault="009D7677" w:rsidP="009D7677">
      <w:pPr>
        <w:pStyle w:val="TextoNormal"/>
      </w:pPr>
    </w:p>
    <w:p w14:paraId="49B3D476" w14:textId="77777777" w:rsidR="009D7677" w:rsidRDefault="009D7677" w:rsidP="009D7677">
      <w:pPr>
        <w:pStyle w:val="TextoNormal"/>
      </w:pPr>
      <w:r>
        <w:t xml:space="preserve">Comparto desde luego la fundamentación de la sentencia que la lleva a declarar la inconstitucionalidad y nulidad del art. 16 de la Ley del Parlamento de Cataluña 17/2020, de 22 de diciembre, de modificación de la Ley 5/2008, del derecho de las mujeres a erradicar la violencia machista, pues, al incidir ese precepto en el derecho de autoorganización de los partidos políticos, infringe la reserva de ley orgánica (art. 81.1 CE). Disiento, sin embargo, de la decisión de desestimar directamente el recurso en cuanto a la impugnación de los arts. 1, 2 y 3 de dicha Ley, pues considero que la sentencia debió declarar que estos preceptos solo pueden entenderse conformes con la Constitución si se interpretan como exclusivamente vinculantes para la Comunidad Autónoma de Cataluña en cuanto ejerce una competencia que le es propia, sin que en modo alguno puedan alcanzar incidencia alguna en el ámbito de la legislación penal, que es competencia exclusiva del Estado </w:t>
      </w:r>
      <w:r w:rsidRPr="009D7677">
        <w:rPr>
          <w:i/>
        </w:rPr>
        <w:t>ex</w:t>
      </w:r>
      <w:r>
        <w:t xml:space="preserve"> art. 149.1.6 CE.</w:t>
      </w:r>
    </w:p>
    <w:p w14:paraId="4A13B9B6" w14:textId="77777777" w:rsidR="009D7677" w:rsidRDefault="009D7677" w:rsidP="009D7677">
      <w:pPr>
        <w:pStyle w:val="TextoNormal"/>
      </w:pPr>
    </w:p>
    <w:p w14:paraId="2E8C9FE0" w14:textId="77777777" w:rsidR="009D7677" w:rsidRDefault="009D7677" w:rsidP="009D7677">
      <w:pPr>
        <w:pStyle w:val="TextoNormal"/>
      </w:pPr>
      <w:r>
        <w:t xml:space="preserve">2. </w:t>
      </w:r>
      <w:r w:rsidRPr="009D7677">
        <w:rPr>
          <w:i/>
        </w:rPr>
        <w:t>Una obligada precisión conceptual sobre el encuadramiento competencial</w:t>
      </w:r>
    </w:p>
    <w:p w14:paraId="59EB3054" w14:textId="77777777" w:rsidR="009D7677" w:rsidRDefault="009D7677" w:rsidP="009D7677">
      <w:pPr>
        <w:pStyle w:val="TextoNormal"/>
      </w:pPr>
    </w:p>
    <w:p w14:paraId="0C5A8AD6" w14:textId="77777777" w:rsidR="009D7677" w:rsidRDefault="009D7677" w:rsidP="009D7677">
      <w:pPr>
        <w:pStyle w:val="TextoNormal"/>
      </w:pPr>
      <w:r>
        <w:t>Antes de desarrollar las razones de mi discrepancia con la sentencia, en el sentido apuntado, creo conveniente realizar una observación previa en cuanto al encuadramiento competencial de la controversia.</w:t>
      </w:r>
    </w:p>
    <w:p w14:paraId="1FE588A6" w14:textId="77777777" w:rsidR="009D7677" w:rsidRDefault="009D7677" w:rsidP="009D7677">
      <w:pPr>
        <w:pStyle w:val="TextoNormal"/>
      </w:pPr>
    </w:p>
    <w:p w14:paraId="7219B85E" w14:textId="77777777" w:rsidR="009D7677" w:rsidRDefault="009D7677" w:rsidP="009D7677">
      <w:pPr>
        <w:pStyle w:val="TextoNormal"/>
      </w:pPr>
      <w:r>
        <w:t xml:space="preserve">La sentencia considera en su fundamento jurídico 2, tras examinar el contenido de la ley autonómica impugnada y los alegatos de las partes en el recurso, que “la materia en la que se encuadra esta regulación es la de políticas de género; materia sobre la que la Generalitat de Cataluña tiene competencia exclusiva </w:t>
      </w:r>
      <w:r w:rsidRPr="009D7677">
        <w:rPr>
          <w:i/>
        </w:rPr>
        <w:t>ex</w:t>
      </w:r>
      <w:r>
        <w:t xml:space="preserve"> art. 153 EAC”, siendo además una materia que “se define por su carácter transversal e intersectorial”. De esta guisa se incurre, a </w:t>
      </w:r>
      <w:r>
        <w:lastRenderedPageBreak/>
        <w:t>mi entender, en una confusión entre materia y competencia, que enturbia el correcto examen de la controversia competencial suscitada.</w:t>
      </w:r>
    </w:p>
    <w:p w14:paraId="503C92B0" w14:textId="77777777" w:rsidR="009D7677" w:rsidRDefault="009D7677" w:rsidP="009D7677">
      <w:pPr>
        <w:pStyle w:val="TextoNormal"/>
      </w:pPr>
    </w:p>
    <w:p w14:paraId="3CCBBB6C" w14:textId="77777777" w:rsidR="009D7677" w:rsidRDefault="009D7677" w:rsidP="009D7677">
      <w:pPr>
        <w:pStyle w:val="TextoNormal"/>
      </w:pPr>
      <w:r>
        <w:t>Como es sabido, la doctrina constitucional, a efectos de la solución de las controversias competenciales entre el Estado y las comunidades autónomas, ha partido del presupuesto de la diferenciación entre “materia” (aquel ámbito o campo de la realidad sobre el que se produce la intervención de los poderes públicos en el ejercicio de sus competencias) y competencia, así como de la premisa de que las materias son las enumeradas en la Constitución (arts. 148 y 149) y en los estatutos de autonomía, en el bien entendido de que, mientras que las competencias estatales sobre esas materias son las establecidas en la Constitución, las comunidades autónomas tendrán las competencias que les atribuyan sus estatutos de autonomía, siempre en el marco de la Constitución, lo que supone que los estatutos no puedan atribuir otras competencias a las comunidades autónomas que no sean las que la Constitución permite que sean objeto de atribución estatutaria, como se recuerda en la STC 31/2010, de 28 de junio, FJ 57.</w:t>
      </w:r>
    </w:p>
    <w:p w14:paraId="6BB21CB2" w14:textId="77777777" w:rsidR="009D7677" w:rsidRDefault="009D7677" w:rsidP="009D7677">
      <w:pPr>
        <w:pStyle w:val="TextoNormal"/>
      </w:pPr>
    </w:p>
    <w:p w14:paraId="6E2BC01E" w14:textId="77777777" w:rsidR="009D7677" w:rsidRDefault="009D7677" w:rsidP="009D7677">
      <w:pPr>
        <w:pStyle w:val="TextoNormal"/>
      </w:pPr>
      <w:r>
        <w:t>Es obvio que la Constitución no recoge expresamente las llamadas “políticas de género” en el listado de materias que son competencia exclusiva del Estado (art. 149.1 CE), ni tampoco entre las materias sobre las que las comunidades autónomas pueden asumir competencias (art. 148.1 CE). El art. 153 del Estatuto de Autonomía de Cataluña (EAC) atribuye ciertamente a la Generalidad de Cataluña “la competencia exclusiva en materia de políticas de género”, mas, como nuestra doctrina también ha precisado, el Tribunal Constitucional no se encuentra vinculado por los encuadramientos competenciales que realizan las propias normas sometidas a su enjuiciamiento (entre otras muchas, SSTC 144/1985, de 25 de octubre, FJ 1; 152/2003, de 17 de julio, FJ 7, y 14/2004, de 13 de febrero, FJ 6). Pues, en efecto, “[u]n límite cualitativo de primer orden al contenido posible de un Estatuto de Autonomía es el que excluye como cometido de ese tipo de norma la definición de categorías constitucionales”, siendo el Tribunal Constitucional, en su condición de supremo intérprete de la Constitución, “el único competente para la definición auténtica —e indiscutible— de las categorías y principios constitucionales” (STC 31/2010, FJ 57).</w:t>
      </w:r>
    </w:p>
    <w:p w14:paraId="129F8564" w14:textId="77777777" w:rsidR="009D7677" w:rsidRDefault="009D7677" w:rsidP="009D7677">
      <w:pPr>
        <w:pStyle w:val="TextoNormal"/>
      </w:pPr>
    </w:p>
    <w:p w14:paraId="148C403A" w14:textId="77777777" w:rsidR="009D7677" w:rsidRDefault="009D7677" w:rsidP="009D7677">
      <w:pPr>
        <w:pStyle w:val="TextoNormal"/>
      </w:pPr>
      <w:r>
        <w:t>En definitiva, la protección de la mujer frente a la violencia de género, así como las “políticas de género” en sentido amplio, conforman unas políticas públicas de carácter transversal e intersectorial, que pueden venir amparadas por diversos títulos competenciales, tanto del Estado como de las comunidades autónomas, asumidos en el marco de las materias que relacionan los arts. 148.1 y 149.1 de la Constitución. De suerte que, en relación con las llamadas “políticas de género” nos encontramos ante un ámbito de entrecruzamiento o concurrencia competencial de títulos habilitantes diferentes, estatales y autonómicos, asignados en el marco de materias que relacionan los referidos preceptos constitucionales, debiendo recordarse que la atribución estatutaria de una determinada competencia con carácter exclusivo a la comunidad autónoma no puede afectar a las competencias reservadas por la Constitución al Estado (art. 149.1 CE). Estas se proyectarán cuando materialmente corresponda, sin necesidad de que el estatuto de autonomía incorpore cláusulas de salvaguardia de las competencias estatales, como este tribunal ha recordado también en la citada STC 31/2010, y reiterado en doctrina posterior (STC 81/2020, de 15 de julio, FJ 4, por todas).</w:t>
      </w:r>
    </w:p>
    <w:p w14:paraId="0E5686EE" w14:textId="77777777" w:rsidR="009D7677" w:rsidRDefault="009D7677" w:rsidP="009D7677">
      <w:pPr>
        <w:pStyle w:val="TextoNormal"/>
      </w:pPr>
    </w:p>
    <w:p w14:paraId="44CFDA7B" w14:textId="77777777" w:rsidR="009D7677" w:rsidRDefault="009D7677" w:rsidP="009D7677">
      <w:pPr>
        <w:pStyle w:val="TextoNormal"/>
      </w:pPr>
      <w:r>
        <w:lastRenderedPageBreak/>
        <w:t xml:space="preserve">3. </w:t>
      </w:r>
      <w:r w:rsidRPr="009D7677">
        <w:rPr>
          <w:i/>
        </w:rPr>
        <w:t>La necesidad de una interpretación de conformidad de los arts. 1, 2 y 3 de la Ley del Parlamento de Cataluña17/2020</w:t>
      </w:r>
    </w:p>
    <w:p w14:paraId="3DF2DA17" w14:textId="77777777" w:rsidR="009D7677" w:rsidRDefault="009D7677" w:rsidP="009D7677">
      <w:pPr>
        <w:pStyle w:val="TextoNormal"/>
      </w:pPr>
    </w:p>
    <w:p w14:paraId="1A7156AB" w14:textId="77777777" w:rsidR="009D7677" w:rsidRDefault="009D7677" w:rsidP="009D7677">
      <w:pPr>
        <w:pStyle w:val="TextoNormal"/>
      </w:pPr>
      <w:r>
        <w:t xml:space="preserve">Como correctamente señala la sentencia, el Estado tiene competencia exclusiva en materia de legislación penal (art. 149.1.6 CE), que queda sujeta a reserva de ley orgánica (art. 81.1 CE). La sentencia descarta la inconstitucionalidad de los arts. 1, 2 y 3 de la Ley del Parlamento de Cataluña 17/2020 en cuanto a la equiparación de las “mujeres transgénero” con las mujeres (art. 1), la definición de consentimiento sexual (art. 2) y la definición de las distintas formas de violencia machista (art. 3), interpretando (fundamento jurídico 3): (i) que el art. 1 de la Ley 17/2020 no produce, con la extensión de sus efectos a las mujeres transgénero que no hayan acometido el cambio registral, una ampliación del sujeto pasivo de los tipos penales de la violencia de género, pues esa equiparación lo es a los solos efectos de hacer destinatarias a las “mujeres transgénero” del “conjunto de medidas de carácter asistencial que buscan una reparación integral del daño sufrido, pero sin interferir en modo alguno en las potestades reservadas a los jueces y tribunales del orden penal”; y (ii) que las definiciones contenidas en los arts. 2 y 3 de la Ley 17/2020 no suponen que se tipifique de manera efectiva y concreta algún supuesto de responsabilidad penal, o que se reproduzca o amplíe tipo penal alguno, sino que se limitan a introducir una previsión del legislador sectorial catalán “en ejercicio de sus competencias en materia de políticas de género </w:t>
      </w:r>
      <w:r w:rsidRPr="009D7677">
        <w:rPr>
          <w:i/>
        </w:rPr>
        <w:t>ex</w:t>
      </w:r>
      <w:r>
        <w:t xml:space="preserve"> art. 153 EAC”, sin interferir de ningún modo en las potestades reservadas a la jurisdicción penal.</w:t>
      </w:r>
    </w:p>
    <w:p w14:paraId="44EA4914" w14:textId="77777777" w:rsidR="009D7677" w:rsidRDefault="009D7677" w:rsidP="009D7677">
      <w:pPr>
        <w:pStyle w:val="TextoNormal"/>
      </w:pPr>
    </w:p>
    <w:p w14:paraId="61E38220" w14:textId="77777777" w:rsidR="009D7677" w:rsidRDefault="009D7677" w:rsidP="009D7677">
      <w:pPr>
        <w:pStyle w:val="TextoNormal"/>
      </w:pPr>
      <w:r>
        <w:t>Al margen de la confusión ya advertida entre materia y competencia, estimo, como ya se ha adelantado, que la tacha de inconstitucionalidad que los recurrentes dirigían contra los arts. 1, 2 y 3 de la Ley del Parlamento de Cataluña 17/2020, debería haber sido salvada mediante una interpretación de conformidad con la Constitución, que habría de ser llevada al fallo. Como es sabido, la interpretación de conformidad es una creación de la justicia constitucional que tiene por finalidad, de una parte, reservar la declaración de inconstitucionalidad y nulidad de una norma legal a las vulneraciones frontales y directas de Constitución y, de otra, excluir, para aquellos preceptos legales que puedan dar lugar a equívocos o contrapuestas aplicaciones, aquella interpretación que contravendría la Constitución, dando cuenta de forma expresa, en el fallo de la sentencia, que el precepto en cuestión solo puede entenderse conforme a la Constitución interpretado en el sentido señalado por el Tribunal Constitucional en el fundamento jurídico correspondiente de la propia sentencia, a efectos de evitar incertidumbres. Es, por tanto, inequívoco que la interpretación conforme es una traslación al control de constitucionalidad de las leyes del principio de seguridad jurídica (art. 9.3 CE), eje vertebrador primario del Estado de Derecho (art. 1.1 CE), sin el cual el resto de los principios constitucionales quedaría vacío de contenido.</w:t>
      </w:r>
    </w:p>
    <w:p w14:paraId="6421560A" w14:textId="77777777" w:rsidR="009D7677" w:rsidRDefault="009D7677" w:rsidP="009D7677">
      <w:pPr>
        <w:pStyle w:val="TextoNormal"/>
      </w:pPr>
    </w:p>
    <w:p w14:paraId="4963424F" w14:textId="77777777" w:rsidR="009D7677" w:rsidRDefault="009D7677" w:rsidP="009D7677">
      <w:pPr>
        <w:pStyle w:val="TextoNormal"/>
      </w:pPr>
      <w:r>
        <w:t xml:space="preserve">Este es el propósito del presente voto particular, preservar la seguridad jurídica en nuestro control de la constitucionalidad, pues, aunque la sentencia deja claro que las previsiones contenidas en los impugnados arts. 1, 2 y 3 de la Ley del Parlamento de Cataluña 17/2020 no invaden la competencia exclusiva del Estado en materia de legislación penal (art. 149.1.6 CE), pues deben entenderse a los efectos de la aplicación del conjunto de medidas de carácter asistencial reguladas por el legislador autonómico en ejercicio de sus competencias, pero sin interferir en modo alguno en las potestades reservadas a los jueces y tribunales del orden penal, lo cierto es que tales aseveraciones debieron articularse en forma de interpretación de conformidad, para despejar cualquier equívoco, declarando, en </w:t>
      </w:r>
      <w:r>
        <w:lastRenderedPageBreak/>
        <w:t>consecuencia, en el fundamento jurídico correspondiente, que esos preceptos legales impugnados se entienden conformes con la Constitución siempre que se interprete que las definiciones contenidas en los mismos lo son a los efectos de la aplicación de las medidas de carácter asistencial establecidas por el legislador autonómico en el ámbito de las políticas de género y en el ejercicio de sus competencias, sin interferir en modo alguno en las potestades reservadas a la jurisdicción penal ni afectar, por tanto, a la competencia estatal exclusiva en materia de legislación penal. Interpretación de conformidad que, como ya se dijo, habría debido llevarse al fallo de la sentencia.</w:t>
      </w:r>
    </w:p>
    <w:p w14:paraId="3FCB99DC" w14:textId="77777777" w:rsidR="009D7677" w:rsidRDefault="009D7677" w:rsidP="009D7677">
      <w:pPr>
        <w:pStyle w:val="TextoNormal"/>
      </w:pPr>
    </w:p>
    <w:p w14:paraId="4EF56E13" w14:textId="00DA6591" w:rsidR="009D7677" w:rsidRDefault="009D7677" w:rsidP="009D7677">
      <w:pPr>
        <w:pStyle w:val="TextoNormal"/>
      </w:pPr>
      <w:r>
        <w:t>Madrid, a trece de marzo de dos mil veinticuatro.</w:t>
      </w:r>
    </w:p>
    <w:p w14:paraId="554394BB" w14:textId="1CAD9DA2" w:rsidR="009D7677" w:rsidRDefault="009D7677">
      <w:pPr>
        <w:spacing w:after="160" w:line="259" w:lineRule="auto"/>
        <w:rPr>
          <w:rFonts w:ascii="Times New Roman" w:eastAsia="Times New Roman" w:hAnsi="Times New Roman" w:cs="Times New Roman"/>
          <w:sz w:val="24"/>
          <w:szCs w:val="24"/>
          <w:lang w:eastAsia="es-ES"/>
        </w:rPr>
      </w:pPr>
      <w:r>
        <w:br w:type="page"/>
      </w:r>
    </w:p>
    <w:p w14:paraId="43446DD7" w14:textId="77777777" w:rsidR="009D7677" w:rsidRDefault="009D7677" w:rsidP="009D7677">
      <w:pPr>
        <w:pStyle w:val="TtuloResolucin"/>
      </w:pPr>
      <w:bookmarkStart w:id="47" w:name="SENTENCIA_2024_45"/>
      <w:r>
        <w:lastRenderedPageBreak/>
        <w:t>SENTENCIA 45/2024, de 12 de marzo de 2024</w:t>
      </w:r>
    </w:p>
    <w:bookmarkEnd w:id="47"/>
    <w:p w14:paraId="57B352F4" w14:textId="77777777" w:rsidR="009D7677" w:rsidRDefault="009D7677" w:rsidP="009D7677">
      <w:pPr>
        <w:pStyle w:val="TtuloResolucin"/>
      </w:pPr>
      <w:r>
        <w:t>Pleno</w:t>
      </w:r>
    </w:p>
    <w:p w14:paraId="38CAE55C" w14:textId="77777777" w:rsidR="009D7677" w:rsidRDefault="009D7677" w:rsidP="009D7677">
      <w:pPr>
        <w:pStyle w:val="TtuloBOE"/>
      </w:pPr>
      <w:r>
        <w:t>(BOE núm. 99, de 23 de abril de 2024)</w:t>
      </w:r>
    </w:p>
    <w:p w14:paraId="27BE4431" w14:textId="77777777" w:rsidR="009D7677" w:rsidRDefault="009D7677" w:rsidP="009D7677">
      <w:pPr>
        <w:pStyle w:val="TextoNormalCentrado"/>
      </w:pPr>
      <w:r>
        <w:t>ECLI:ES:TC:2024:45</w:t>
      </w:r>
    </w:p>
    <w:p w14:paraId="226981A3" w14:textId="449F20E8" w:rsidR="009D7677" w:rsidRDefault="009D7677" w:rsidP="009D7677">
      <w:pPr>
        <w:pStyle w:val="TextoNormalCentrado"/>
      </w:pPr>
    </w:p>
    <w:p w14:paraId="182F6D98" w14:textId="77777777" w:rsidR="009D7677" w:rsidRDefault="009D7677" w:rsidP="009D7677">
      <w:pPr>
        <w:pStyle w:val="SntesisDescriptiva"/>
      </w:pPr>
      <w:r>
        <w:t>Recurso de amparo 4247-2021. Promovido por don Oriol Junqueras i Vies en relación con el acuerdo de la Junta Electoral Central y las resoluciones de la Sección Cuarta de la Sala de lo Contencioso-Administrativo del Tribunal Supremo, denegando sendas peticiones de expedición de las credenciales como eurodiputado electo.</w:t>
      </w:r>
    </w:p>
    <w:p w14:paraId="71E7A3E4" w14:textId="0B8C15DD" w:rsidR="009D7677" w:rsidRDefault="009D7677" w:rsidP="009D7677">
      <w:pPr>
        <w:pStyle w:val="SntesisDescriptiva"/>
      </w:pPr>
    </w:p>
    <w:p w14:paraId="6C6AE2A1" w14:textId="77777777" w:rsidR="009D7677" w:rsidRDefault="009D7677" w:rsidP="009D7677">
      <w:pPr>
        <w:pStyle w:val="SntesisAnaltica"/>
      </w:pPr>
      <w:r>
        <w:t>Supuesta vulneración del derecho de acceso a los cargos públicos: STC 31/2024 [rechazo de peticiones puramente declarativas, siendo así que el actor ya ha visto reparada la lesión que denuncia (SSTC 144/2022 y 148/2022)].</w:t>
      </w:r>
    </w:p>
    <w:p w14:paraId="2EC36870" w14:textId="198A5EFE" w:rsidR="009D7677" w:rsidRDefault="009D7677" w:rsidP="009D7677">
      <w:pPr>
        <w:pStyle w:val="SntesisAnaltica"/>
      </w:pPr>
    </w:p>
    <w:p w14:paraId="383FE249" w14:textId="6AE0448F" w:rsidR="009D7677" w:rsidRDefault="009D7677" w:rsidP="009D7677">
      <w:pPr>
        <w:pStyle w:val="Extracto"/>
      </w:pPr>
      <w:r>
        <w:t>1.</w:t>
      </w:r>
      <w:r>
        <w:tab/>
        <w:t>Cuando la pretensión ejercitada ante este Tribunal, dirigida al restablecimiento o la preservación de derechos, se ha visto ya satisfecha fuera del propio proceso de amparo y la lesión constitucional denunciada no pervive, el recurso de amparo carece de objeto (SSTC 73/2018 o 31/2024) [FJ 2].</w:t>
      </w:r>
    </w:p>
    <w:p w14:paraId="4A298FD0" w14:textId="77777777" w:rsidR="009D7677" w:rsidRDefault="009D7677" w:rsidP="009D7677">
      <w:pPr>
        <w:pStyle w:val="Extracto"/>
      </w:pPr>
    </w:p>
    <w:p w14:paraId="1D59F59A" w14:textId="77777777" w:rsidR="009D7677" w:rsidRDefault="009D7677" w:rsidP="009D7677">
      <w:pPr>
        <w:pStyle w:val="Extracto"/>
      </w:pPr>
    </w:p>
    <w:p w14:paraId="5DC03E79" w14:textId="77777777" w:rsidR="009D7677" w:rsidRDefault="009D7677" w:rsidP="009D7677">
      <w:pPr>
        <w:pStyle w:val="TextoNormal"/>
      </w:pPr>
      <w:r>
        <w:t>El Pleno del Tribunal Constitucional, compuesto por el magistrado don Cándido Conde-Pumpido Tourón, presidente, y las magistradas y magistrados doña Inmaculada Montalbán Huertas,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07AA0317" w14:textId="1C1E9ED6" w:rsidR="009D7677" w:rsidRDefault="009D7677" w:rsidP="009D7677">
      <w:pPr>
        <w:pStyle w:val="TextoNormal"/>
      </w:pPr>
    </w:p>
    <w:p w14:paraId="1AA1A86A" w14:textId="77777777" w:rsidR="009D7677" w:rsidRDefault="009D7677" w:rsidP="009D7677">
      <w:pPr>
        <w:pStyle w:val="TextoNormalCentrado"/>
        <w:keepNext/>
      </w:pPr>
      <w:r>
        <w:t>EN NOMBRE DEL REY</w:t>
      </w:r>
    </w:p>
    <w:p w14:paraId="6613553F" w14:textId="0EBA42CF" w:rsidR="009D7677" w:rsidRDefault="009D7677" w:rsidP="009D7677">
      <w:pPr>
        <w:pStyle w:val="TextoNormalCentrado"/>
        <w:keepNext/>
      </w:pPr>
    </w:p>
    <w:p w14:paraId="4C17E4AF" w14:textId="77777777" w:rsidR="009D7677" w:rsidRDefault="009D7677" w:rsidP="009D7677">
      <w:pPr>
        <w:pStyle w:val="TextoNormalCentrado"/>
        <w:keepNext/>
      </w:pPr>
    </w:p>
    <w:p w14:paraId="23EC2100" w14:textId="77777777" w:rsidR="009D7677" w:rsidRDefault="009D7677" w:rsidP="009D7677">
      <w:pPr>
        <w:pStyle w:val="TextoNormal"/>
      </w:pPr>
      <w:r>
        <w:t>la siguiente</w:t>
      </w:r>
    </w:p>
    <w:p w14:paraId="789035FA" w14:textId="4F73AE22" w:rsidR="009D7677" w:rsidRDefault="009D7677" w:rsidP="009D7677">
      <w:pPr>
        <w:pStyle w:val="TextoNormal"/>
      </w:pPr>
    </w:p>
    <w:p w14:paraId="5437B634" w14:textId="77777777" w:rsidR="009D7677" w:rsidRDefault="009D7677" w:rsidP="009D7677">
      <w:pPr>
        <w:pStyle w:val="TextoNormalCentrado"/>
        <w:keepNext/>
      </w:pPr>
      <w:r>
        <w:t>SENTENCIA</w:t>
      </w:r>
    </w:p>
    <w:p w14:paraId="329C1247" w14:textId="28760F5A" w:rsidR="009D7677" w:rsidRDefault="009D7677" w:rsidP="009D7677">
      <w:pPr>
        <w:pStyle w:val="TextoNormalCentrado"/>
        <w:keepNext/>
      </w:pPr>
    </w:p>
    <w:p w14:paraId="18851246" w14:textId="77777777" w:rsidR="009D7677" w:rsidRDefault="009D7677" w:rsidP="009D7677">
      <w:pPr>
        <w:pStyle w:val="TextoNormal"/>
      </w:pPr>
      <w:r>
        <w:t>En el recurso de amparo núm. 4247-2021, promovido por don Oriol Junqueras i Vies, representado por el procurador de los tribunales don Emilio Martínez Benítez, bajo la dirección del letrado don Marc Marsal i Ferret, contra la sentencia 375/2021, de 17 de marzo, de la Sección Cuarta de la Sala de lo Contencioso-Administrativo del Tribunal Supremo, por la que se desestimó el recurso contencioso administrativo ordinario núm. 436/2019 interpuesto contra el acuerdo de la Junta Electoral Central de 17 de octubre de 2019, adoptado en los expedientes núm. 561-77 y 561-78, por el que se deniegan sendas peticiones de expedición de las credenciales como eurodiputado electo del recurrente, y la providencia de 10 de mayo de 2021 por la que se acordó inadmitir el incidente de nulidad de actuaciones promovido contra dicha sentencia. Ha sido parte la Junta Electoral Central. Ha intervenido el Ministerio Fiscal. Ha sido ponente la magistrada doña Concepción Espejel Jorquera.</w:t>
      </w:r>
    </w:p>
    <w:p w14:paraId="737FC936" w14:textId="47DA308B" w:rsidR="009D7677" w:rsidRDefault="009D7677" w:rsidP="009D7677">
      <w:pPr>
        <w:pStyle w:val="TextoNormal"/>
      </w:pPr>
    </w:p>
    <w:p w14:paraId="1C1A05C7" w14:textId="77777777" w:rsidR="009D7677" w:rsidRDefault="009D7677" w:rsidP="009D7677">
      <w:pPr>
        <w:pStyle w:val="TextoNormalNegritaCentrado"/>
        <w:keepNext/>
      </w:pPr>
      <w:r>
        <w:lastRenderedPageBreak/>
        <w:t>I. Antecedentes</w:t>
      </w:r>
    </w:p>
    <w:p w14:paraId="0ECF3A81" w14:textId="3F041EAF" w:rsidR="009D7677" w:rsidRDefault="009D7677" w:rsidP="009D7677">
      <w:pPr>
        <w:pStyle w:val="TextoNormalNegritaCentrado"/>
        <w:keepNext/>
      </w:pPr>
    </w:p>
    <w:p w14:paraId="1CCD6420" w14:textId="65745D15" w:rsidR="009D7677" w:rsidRDefault="009D7677" w:rsidP="009D7677">
      <w:pPr>
        <w:pStyle w:val="TextoNormal"/>
      </w:pPr>
      <w:r w:rsidRPr="009D7677">
        <w:rPr>
          <w:rStyle w:val="NumeroAFNegritaCaracter"/>
        </w:rPr>
        <w:t>1</w:t>
      </w:r>
      <w:r>
        <w:t>. Por escrito registrado en este tribunal el 22 de junio de 2021, el procurador de los tribunales don Emilio Martínez Benítez, en nombre y representación de don Oriol Junqueras i Vies, bajo la dirección del letrado don Marc Marsal i Ferret, interpuso recurso de amparo dirigido contra las resoluciones relacionadas en el encabezamiento de esta sentencia.</w:t>
      </w:r>
    </w:p>
    <w:p w14:paraId="448C2CBB" w14:textId="77777777" w:rsidR="009D7677" w:rsidRDefault="009D7677" w:rsidP="009D7677">
      <w:pPr>
        <w:pStyle w:val="TextoNormal"/>
      </w:pPr>
    </w:p>
    <w:p w14:paraId="35A1EBED" w14:textId="77777777" w:rsidR="009D7677" w:rsidRDefault="009D7677" w:rsidP="009D7677">
      <w:pPr>
        <w:pStyle w:val="TextoNormal"/>
      </w:pPr>
      <w:r w:rsidRPr="009D7677">
        <w:rPr>
          <w:rStyle w:val="NumeroAFNegritaCaracter"/>
        </w:rPr>
        <w:t>2</w:t>
      </w:r>
      <w:r>
        <w:t>. El recurso tiene su origen en los siguientes antecedentes:</w:t>
      </w:r>
    </w:p>
    <w:p w14:paraId="21C73C2D" w14:textId="77777777" w:rsidR="009D7677" w:rsidRDefault="009D7677" w:rsidP="009D7677">
      <w:pPr>
        <w:pStyle w:val="TextoNormal"/>
      </w:pPr>
    </w:p>
    <w:p w14:paraId="69175E75" w14:textId="77777777" w:rsidR="009D7677" w:rsidRDefault="009D7677" w:rsidP="009D7677">
      <w:pPr>
        <w:pStyle w:val="TextoNormal"/>
      </w:pPr>
      <w:r>
        <w:t>a) El recurrente concurrió en la lista de la coalición “Ahora Repúblicas” como candidato en las elecciones al Parlamento Europeo celebradas el 26 de mayo de 2019, convocadas por Real Decreto 206/2019, de 1 de abril (“Boletín Oficial del Estado” núm. 79, de 2 de abril de 2019).</w:t>
      </w:r>
    </w:p>
    <w:p w14:paraId="62B84CBA" w14:textId="77777777" w:rsidR="009D7677" w:rsidRDefault="009D7677" w:rsidP="009D7677">
      <w:pPr>
        <w:pStyle w:val="TextoNormal"/>
      </w:pPr>
    </w:p>
    <w:p w14:paraId="4252E768" w14:textId="77777777" w:rsidR="009D7677" w:rsidRDefault="009D7677" w:rsidP="009D7677">
      <w:pPr>
        <w:pStyle w:val="TextoNormal"/>
      </w:pPr>
      <w:r>
        <w:t>b) Tras realizar el escrutinio general, el recuento de votos a nivel nacional y la atribución de escaños a las distintas candidaturas, la Junta Electoral Central dictó el acuerdo de 13 de junio de 2019 (“BOE” núm. 142, de 14 de junio de 2019) por el que se realizó la atribución de escaños y la proclamación de los diputados electos al Parlamento Europeo en las elecciones celebradas el 26 de mayo de 2019. En dicho acuerdo figura el demandante de amparo, don Oriol Junqueras i Vies, en el número trece del total de cincuenta y cuatro escaños asignados a España.</w:t>
      </w:r>
    </w:p>
    <w:p w14:paraId="4EA0AB68" w14:textId="77777777" w:rsidR="009D7677" w:rsidRDefault="009D7677" w:rsidP="009D7677">
      <w:pPr>
        <w:pStyle w:val="TextoNormal"/>
      </w:pPr>
    </w:p>
    <w:p w14:paraId="135E4D0A" w14:textId="77777777" w:rsidR="009D7677" w:rsidRDefault="009D7677" w:rsidP="009D7677">
      <w:pPr>
        <w:pStyle w:val="TextoNormal"/>
      </w:pPr>
      <w:r>
        <w:t>En esa misma resolución, la Junta Electoral Central acordó citar a los candidatos electos el 17 de junio de 2019 para que, de conformidad con lo establecido en el art. 224.2 de la Ley Orgánica 5/1985, de 19 de junio, del régimen electoral general (LOREG), prestaran juramento o promesa de acatamiento de la Constitución.</w:t>
      </w:r>
    </w:p>
    <w:p w14:paraId="5321CF29" w14:textId="77777777" w:rsidR="009D7677" w:rsidRDefault="009D7677" w:rsidP="009D7677">
      <w:pPr>
        <w:pStyle w:val="TextoNormal"/>
      </w:pPr>
    </w:p>
    <w:p w14:paraId="5AE21C28" w14:textId="77777777" w:rsidR="009D7677" w:rsidRDefault="009D7677" w:rsidP="009D7677">
      <w:pPr>
        <w:pStyle w:val="TextoNormal"/>
      </w:pPr>
      <w:r>
        <w:t>Este acuerdo no fue recurrido ni es objeto de este recurso de amparo.</w:t>
      </w:r>
    </w:p>
    <w:p w14:paraId="6D3CEAE7" w14:textId="77777777" w:rsidR="009D7677" w:rsidRDefault="009D7677" w:rsidP="009D7677">
      <w:pPr>
        <w:pStyle w:val="TextoNormal"/>
      </w:pPr>
    </w:p>
    <w:p w14:paraId="5423678C" w14:textId="77777777" w:rsidR="009D7677" w:rsidRDefault="009D7677" w:rsidP="009D7677">
      <w:pPr>
        <w:pStyle w:val="TextoNormal"/>
      </w:pPr>
      <w:r>
        <w:t>c) Por auto de 14 de junio de 2019, la Sala de lo Penal del Tribunal Supremo denegó la concesión del permiso extraordinario de salida solicitado por don Oriol Junqueras i Vies, que se encontraba entonces en situación de prisión provisional en la causa especial núm. 20907-2017, para acudir a prestar juramento o promesa de acatamiento de la Constitución ante la Junta Electoral Central.</w:t>
      </w:r>
    </w:p>
    <w:p w14:paraId="06E61188" w14:textId="77777777" w:rsidR="009D7677" w:rsidRDefault="009D7677" w:rsidP="009D7677">
      <w:pPr>
        <w:pStyle w:val="TextoNormal"/>
      </w:pPr>
    </w:p>
    <w:p w14:paraId="669E3892" w14:textId="77777777" w:rsidR="009D7677" w:rsidRDefault="009D7677" w:rsidP="009D7677">
      <w:pPr>
        <w:pStyle w:val="TextoNormal"/>
      </w:pPr>
      <w:r>
        <w:t>d) Como consecuencia de lo anterior, la Junta Electoral Central, en el expediente núm. 561-73, adoptó el acuerdo de 20 de junio de 2019, del siguiente tenor:</w:t>
      </w:r>
    </w:p>
    <w:p w14:paraId="4ABA53BA" w14:textId="77777777" w:rsidR="009D7677" w:rsidRDefault="009D7677" w:rsidP="009D7677">
      <w:pPr>
        <w:pStyle w:val="TextoNormal"/>
      </w:pPr>
    </w:p>
    <w:p w14:paraId="2B0A23AD" w14:textId="77777777" w:rsidR="009D7677" w:rsidRDefault="009D7677" w:rsidP="009D7677">
      <w:pPr>
        <w:pStyle w:val="TextoNormal"/>
      </w:pPr>
      <w:r>
        <w:t>“1) El artículo 224.2 de la Ley Orgánica del Régimen Electoral General, en lo que se refiere a las elecciones al Parlamento Europeo, dispone lo siguiente:</w:t>
      </w:r>
    </w:p>
    <w:p w14:paraId="187FB363" w14:textId="77777777" w:rsidR="009D7677" w:rsidRDefault="009D7677" w:rsidP="009D7677">
      <w:pPr>
        <w:pStyle w:val="TextoNormal"/>
      </w:pPr>
    </w:p>
    <w:p w14:paraId="2DDEB4E3" w14:textId="77777777" w:rsidR="009D7677" w:rsidRDefault="009D7677" w:rsidP="009D7677">
      <w:pPr>
        <w:pStyle w:val="TextoNormal"/>
      </w:pPr>
      <w:r>
        <w:t>‘En el plazo de cinco días desde la proclamación, los candidatos electos deberán jurar o prometer acatamiento a la Constitución ante la Junta Electoral Central. Transcurrido dicho plazo, la Junta Electoral Central declarará vacantes los escaños correspondientes a los diputados del Parlamento Europeo que no hubieran acatado la Constitución y suspendidas todas las prerrogativas que les pudieran corresponder por razón de su cargo, todo ello hasta que se produzca dicho acatamiento’.</w:t>
      </w:r>
    </w:p>
    <w:p w14:paraId="28C193CE" w14:textId="77777777" w:rsidR="009D7677" w:rsidRDefault="009D7677" w:rsidP="009D7677">
      <w:pPr>
        <w:pStyle w:val="TextoNormal"/>
      </w:pPr>
    </w:p>
    <w:p w14:paraId="4184886E" w14:textId="77777777" w:rsidR="009D7677" w:rsidRDefault="009D7677" w:rsidP="009D7677">
      <w:pPr>
        <w:pStyle w:val="TextoNormal"/>
      </w:pPr>
      <w:r>
        <w:t>2) En cumplimiento de dicho artículo 224.2 LOREG, al no haber prestado acatamiento a la Constitución los candidatos don Oriol Junqueras i Vies, don Carles Puigdemont i Casamajó y don Antoni Comín i Oliveres, se declaran vacantes sus escaños, y suspendidas las prerrogativas que les pudieran corresponder por razón de su cargo, todo ello hasta que se produzca dicho acatamiento.</w:t>
      </w:r>
    </w:p>
    <w:p w14:paraId="120D65F5" w14:textId="77777777" w:rsidR="009D7677" w:rsidRDefault="009D7677" w:rsidP="009D7677">
      <w:pPr>
        <w:pStyle w:val="TextoNormal"/>
      </w:pPr>
    </w:p>
    <w:p w14:paraId="78948DB2" w14:textId="77777777" w:rsidR="009D7677" w:rsidRDefault="009D7677" w:rsidP="009D7677">
      <w:pPr>
        <w:pStyle w:val="TextoNormal"/>
      </w:pPr>
      <w:r>
        <w:t>3) Por ello, comunicar al Parlamento Europeo que los candidatos don Oriol Junqueras i Vies, don Carles Puigdemont i Casamajó y don Antoni Comín i Oliveres no han adquirido la condición de diputados al Parlamento Europeo, ni por tanto adquirido ninguna de las prerrogativas que les pudieran corresponder, todo ello hasta que presten juramento o promesa de acatamiento a la Constitución Española”.</w:t>
      </w:r>
    </w:p>
    <w:p w14:paraId="6703B105" w14:textId="77777777" w:rsidR="009D7677" w:rsidRDefault="009D7677" w:rsidP="009D7677">
      <w:pPr>
        <w:pStyle w:val="TextoNormal"/>
      </w:pPr>
    </w:p>
    <w:p w14:paraId="79BC66B5" w14:textId="77777777" w:rsidR="009D7677" w:rsidRDefault="009D7677" w:rsidP="009D7677">
      <w:pPr>
        <w:pStyle w:val="TextoNormal"/>
      </w:pPr>
      <w:r>
        <w:t>e) El 1 de julio de 2019, el representante general de la coalición electoral Ahora Repúblicas, don Josep Ramón Mut i Bosque solicitó a la Junta Electoral Central que promoviera las acciones necesarias para facilitar a don Oriol Junqueras i Vies el cumplimiento de los requisitos establecidos en el art. 224.2 LOREG y tomar posesión como diputado del Parlamento Europeo. Dicha solicitud fue desestimada por acuerdo de 22 de julio de 2019 de la Junta Electoral Central, en el expediente núm. 561-76. El acuerdo razona los motivos de la denegación en los siguientes términos:</w:t>
      </w:r>
    </w:p>
    <w:p w14:paraId="32261283" w14:textId="77777777" w:rsidR="009D7677" w:rsidRDefault="009D7677" w:rsidP="009D7677">
      <w:pPr>
        <w:pStyle w:val="TextoNormal"/>
      </w:pPr>
    </w:p>
    <w:p w14:paraId="2CCDF303" w14:textId="77777777" w:rsidR="009D7677" w:rsidRDefault="009D7677" w:rsidP="009D7677">
      <w:pPr>
        <w:pStyle w:val="TextoNormal"/>
      </w:pPr>
      <w:r>
        <w:t>“Esta Junta considera que, dada la situación procesal del interesado, debe estar a lo que resuelva la Sala del Tribunal Supremo que le está enjuiciando.</w:t>
      </w:r>
    </w:p>
    <w:p w14:paraId="6C82447F" w14:textId="77777777" w:rsidR="009D7677" w:rsidRDefault="009D7677" w:rsidP="009D7677">
      <w:pPr>
        <w:pStyle w:val="TextoNormal"/>
      </w:pPr>
    </w:p>
    <w:p w14:paraId="50B2AC5E" w14:textId="77777777" w:rsidR="009D7677" w:rsidRDefault="009D7677" w:rsidP="009D7677">
      <w:pPr>
        <w:pStyle w:val="TextoNormal"/>
      </w:pPr>
      <w:r>
        <w:t>Ello tiene especial relevancia a la vista del auto de la Sala de lo Penal del Tribunal Supremo de 14 de junio de 2019, en la causa especial 20907-2017, mediante el que se deniega la concesión de un permiso extraordinario de salida al candidato electo para asistir a la Junta Electoral Central y cumplimentar los trámites previstos en el artículo 224.2 LOREG; y también del auto de la misma Sala y en la misma causa de 1 de julio de 2019, por el que se acuerda plantear diversas cuestiones prejudiciales al Tribunal de Justicia de la Unión Europea.</w:t>
      </w:r>
    </w:p>
    <w:p w14:paraId="10275324" w14:textId="77777777" w:rsidR="009D7677" w:rsidRDefault="009D7677" w:rsidP="009D7677">
      <w:pPr>
        <w:pStyle w:val="TextoNormal"/>
      </w:pPr>
    </w:p>
    <w:p w14:paraId="75A144AE" w14:textId="77777777" w:rsidR="009D7677" w:rsidRDefault="009D7677" w:rsidP="009D7677">
      <w:pPr>
        <w:pStyle w:val="TextoNormal"/>
      </w:pPr>
      <w:r>
        <w:t>Por todo ello, la administración electoral no puede adoptar ninguna medida que pueda interferir o menoscabar las referidas resoluciones judiciales.</w:t>
      </w:r>
    </w:p>
    <w:p w14:paraId="6AF8EA6E" w14:textId="77777777" w:rsidR="009D7677" w:rsidRDefault="009D7677" w:rsidP="009D7677">
      <w:pPr>
        <w:pStyle w:val="TextoNormal"/>
      </w:pPr>
    </w:p>
    <w:p w14:paraId="3D3DF491" w14:textId="77777777" w:rsidR="009D7677" w:rsidRDefault="009D7677" w:rsidP="009D7677">
      <w:pPr>
        <w:pStyle w:val="TextoNormal"/>
      </w:pPr>
      <w:r>
        <w:t>Por otra parte, el precedente que se aduce por el representante general de la coalición electoral Ahora Repúblicas en su escrito nada tiene que ver con lo aquí planteado, puesto que en el caso de los diputados al Congreso, una vez realizada la proclamación de electos, la Junta Electoral Provincial, o la Junta Electoral Central si no estuviera constituida la anterior, debe expedir la credencial, que puede ser recogida tanto por el diputado como por el representante de la candidatura, conforme establece el artículo 108.7 LOREG. Por el contrario, en las elecciones al Parlamento Europeo no es posible entregar la credencial hasta que el candidato electo no haya prestado acatamiento a la Constitución, según exige el artículo 224.2 LOREG”.</w:t>
      </w:r>
    </w:p>
    <w:p w14:paraId="75320B7D" w14:textId="77777777" w:rsidR="009D7677" w:rsidRDefault="009D7677" w:rsidP="009D7677">
      <w:pPr>
        <w:pStyle w:val="TextoNormal"/>
      </w:pPr>
    </w:p>
    <w:p w14:paraId="4AD75BCF" w14:textId="77777777" w:rsidR="009D7677" w:rsidRDefault="009D7677" w:rsidP="009D7677">
      <w:pPr>
        <w:pStyle w:val="TextoNormal"/>
      </w:pPr>
      <w:r>
        <w:t xml:space="preserve">Contra este acuerdo se interpuso recurso contencioso administrativo, que fue desestimado por sentencia 431/2021, de 24 de marzo, de la Sección Cuarta de la Sala de lo Contencioso-Administrativo del Tribunal Supremo. Por providencia de 17 de mayo de 2021 se </w:t>
      </w:r>
      <w:r>
        <w:lastRenderedPageBreak/>
        <w:t>acordó inadmitir el incidente de nulidad de actuaciones promovido contra dicha sentencia. A su vez, frente al referido acuerdo y las citadas resoluciones judiciales se interpuso recurso de amparo 4481-2021 que fue desestimado por STC 31/2024, de 28 de febrero, como consecuencia de la satisfacción extraprocesal de las pretensiones planteadas, lo que supone su pérdida de objeto.</w:t>
      </w:r>
    </w:p>
    <w:p w14:paraId="25D34AFC" w14:textId="77777777" w:rsidR="009D7677" w:rsidRDefault="009D7677" w:rsidP="009D7677">
      <w:pPr>
        <w:pStyle w:val="TextoNormal"/>
      </w:pPr>
    </w:p>
    <w:p w14:paraId="5F03E8C5" w14:textId="77777777" w:rsidR="009D7677" w:rsidRDefault="009D7677" w:rsidP="009D7677">
      <w:pPr>
        <w:pStyle w:val="TextoNormal"/>
      </w:pPr>
      <w:r>
        <w:t>f) Interpuesto recurso de súplica contra el auto de 14 de junio de 2019 de la Sala de lo Penal del Tribunal Supremo y, con carácter previo a su resolución, el tribunal enjuiciador por auto de 1 de julio de 2019 planteó al Tribunal de Justicia de la Unión Europea tres cuestiones prejudiciales interpretativas sobre el artículo 9 del Protocolo núm. 7, sobre los privilegios e inmunidades de la Unión.</w:t>
      </w:r>
    </w:p>
    <w:p w14:paraId="5CFEB862" w14:textId="77777777" w:rsidR="009D7677" w:rsidRDefault="009D7677" w:rsidP="009D7677">
      <w:pPr>
        <w:pStyle w:val="TextoNormal"/>
      </w:pPr>
    </w:p>
    <w:p w14:paraId="10D1E6C2" w14:textId="77777777" w:rsidR="009D7677" w:rsidRDefault="009D7677" w:rsidP="009D7677">
      <w:pPr>
        <w:pStyle w:val="TextoNormal"/>
      </w:pPr>
      <w:r>
        <w:t>g) Mediante escrito de 18 de septiembre de 2019, el representante de la coalición “Ahora Repúblicas”, aportó documento notarial por el que se formulaba por parte del ahora recurrente en amparo la jura de la Constitución de acuerdo con los requisitos del art. 224.2 LOREG, pidiendo que se expidiera la credencial del señor Junqueras y se comunicara oportunamente al Parlamento Europeo. En sesión de 2 de octubre de 2019, la Junta Electoral Central decidió efectuar un estudio más detallado de la petición. El 7 de octubre de 2019 el representante de la coalición “Ahora Repúblicas” volvió a presentar fundamentación con petición de inaplicación por ser contrario al Derecho de la Unión Europea el requisito o juramento o promesa de acatamiento de la Constitución del art. 224.2 LOREG, procediendo a la expedición de la credencial de eurodiputado del recurrente en amparo.</w:t>
      </w:r>
    </w:p>
    <w:p w14:paraId="70EFD80E" w14:textId="77777777" w:rsidR="009D7677" w:rsidRDefault="009D7677" w:rsidP="009D7677">
      <w:pPr>
        <w:pStyle w:val="TextoNormal"/>
      </w:pPr>
    </w:p>
    <w:p w14:paraId="66C239AB" w14:textId="77777777" w:rsidR="009D7677" w:rsidRDefault="009D7677" w:rsidP="009D7677">
      <w:pPr>
        <w:pStyle w:val="TextoNormal"/>
      </w:pPr>
      <w:r>
        <w:t>h) Por sentencia de 14 de octubre de 2019 de la Sala de lo Penal del Tribunal Supremo, recaída en la causa especial 20907-2017, don Oriol Junqueras i Vies fue condenado, como autor de un delito de sedición en concurso medial con un delito de malversación, a las penas de trece años de prisión y trece años de inhabilitación absoluta, con la consiguiente privación definitiva de todos los honores, empleos y cargos públicos, aunque sean electivos, e incapacidad para obtener los mismos o cualesquiera otros honores, cargos o empleos públicos y la de ser elegido para el cargo público durante el tiempo de la condena.</w:t>
      </w:r>
    </w:p>
    <w:p w14:paraId="483F5ED5" w14:textId="77777777" w:rsidR="009D7677" w:rsidRDefault="009D7677" w:rsidP="009D7677">
      <w:pPr>
        <w:pStyle w:val="TextoNormal"/>
      </w:pPr>
    </w:p>
    <w:p w14:paraId="2433A242" w14:textId="77777777" w:rsidR="009D7677" w:rsidRDefault="009D7677" w:rsidP="009D7677">
      <w:pPr>
        <w:pStyle w:val="TextoNormal"/>
      </w:pPr>
      <w:r>
        <w:t>i) Por acuerdo de la Junta Electoral Central de 17 de octubre de 2019, adoptado en los expedientes núm. 561-77 y 561-78, en relación con la solicitud del representante general de “Ahora Repúblicas” para que se expidiera a favor del candidato electo la credencial acreditativa de la condición de diputado electo al Parlamento Europeo, adjuntando un acta pública notarial, extendida en el Centro Penitenciario de Lledoners, y de la solicitud de que se proceda con carácter inmediato en la primera sesión de la Junta Electoral Central, a comunicar al Parlamento Europeo la expedición de credencial de candidato electo, dada la no aplicación del art. 224.2 LOREG, se resolvió lo que se transcribe a continuación:</w:t>
      </w:r>
    </w:p>
    <w:p w14:paraId="38E95DE5" w14:textId="77777777" w:rsidR="009D7677" w:rsidRDefault="009D7677" w:rsidP="009D7677">
      <w:pPr>
        <w:pStyle w:val="TextoNormal"/>
      </w:pPr>
    </w:p>
    <w:p w14:paraId="575EA99D" w14:textId="77777777" w:rsidR="009D7677" w:rsidRDefault="009D7677" w:rsidP="009D7677">
      <w:pPr>
        <w:pStyle w:val="TextoNormal"/>
      </w:pPr>
      <w:r>
        <w:t>“La Junta Electoral Central, en su reunión de 20 de junio de 2019, con motivo del expediente 561-72, fijó un criterio que resulta aplicable al presente caso:</w:t>
      </w:r>
    </w:p>
    <w:p w14:paraId="6FE27DDF" w14:textId="77777777" w:rsidR="009D7677" w:rsidRDefault="009D7677" w:rsidP="009D7677">
      <w:pPr>
        <w:pStyle w:val="TextoNormal"/>
      </w:pPr>
    </w:p>
    <w:p w14:paraId="1BE73262" w14:textId="77777777" w:rsidR="009D7677" w:rsidRDefault="009D7677" w:rsidP="009D7677">
      <w:pPr>
        <w:pStyle w:val="TextoNormal"/>
      </w:pPr>
      <w:r>
        <w:t>1) El artículo 224.2 LOREG establece lo siguiente: ‘En el plazo de cinco días desde la proclamación, los candidatos electos deberán jurar o prometer acatamiento a la Constitución ante la Junta Electoral Central. Transcurrido dicho plazo, la Junta Electoral Central declarará vacantes los escaños correspondientes a los diputados del Parlamento Europeo que no hubieran acatado la Constitución y suspendidas todas las prerrogativas que les pu</w:t>
      </w:r>
      <w:r>
        <w:lastRenderedPageBreak/>
        <w:t>dieran corresponder por razón de su cargo, todo ello hasta que se produzca dicho acatamiento’.</w:t>
      </w:r>
    </w:p>
    <w:p w14:paraId="6DEB09FE" w14:textId="77777777" w:rsidR="009D7677" w:rsidRDefault="009D7677" w:rsidP="009D7677">
      <w:pPr>
        <w:pStyle w:val="TextoNormal"/>
      </w:pPr>
    </w:p>
    <w:p w14:paraId="4D14DF3D" w14:textId="77777777" w:rsidR="009D7677" w:rsidRDefault="009D7677" w:rsidP="009D7677">
      <w:pPr>
        <w:pStyle w:val="TextoNormal"/>
      </w:pPr>
      <w:r>
        <w:t>2) De su redacción se desprende que el acto de acatamiento a la Constitución es de naturaleza constitutiva, de tal manera que no se adquiere la condición de miembro del Parlamento Europeo hasta que el mismo no se produce. Dicho acatamiento debe efectuarse ‘ante la Junta Electoral Central’, lo que supone que el candidato electo debe comparecer personalmente ante dicho organismo para la realización de un acto que es de naturaleza personalísima, resulta por tanto indelegable, y no puede llevarse a efecto mediante cualquier mecanismo que pretenda elegir el propio interesado al margen de las previsiones legales al efecto. Así se ha llevado a cabo desde la adhesión de España a las Comunidades Europeas en 1986.</w:t>
      </w:r>
    </w:p>
    <w:p w14:paraId="07A6ED70" w14:textId="77777777" w:rsidR="009D7677" w:rsidRDefault="009D7677" w:rsidP="009D7677">
      <w:pPr>
        <w:pStyle w:val="TextoNormal"/>
      </w:pPr>
    </w:p>
    <w:p w14:paraId="78B508F0" w14:textId="77777777" w:rsidR="009D7677" w:rsidRDefault="009D7677" w:rsidP="009D7677">
      <w:pPr>
        <w:pStyle w:val="TextoNormal"/>
      </w:pPr>
      <w:r>
        <w:t>3) La doctrina del Tribunal Constitucional relativa a la flexibilidad con la que deben interpretarse las fórmulas que pudieren ser utilizadas para cumplimentar el requisito de acatamiento de la Constitución, sería aplicable en el caso de que los interesados hubieren acudido ante la Junta Electoral Central para emitir en esa sede la declaración de voluntad que tal acatamiento supone y en aras a decidir sobre la validez jurídica de la fórmula que eventualmente pudieren haber utilizado. Pero esa doctrina no es de aplicación cuando no han comparecido ante la Junta Electoral Central y no hay, por lo tanto, ningún acto de acatamiento de la Constitución sobre cuya eficacia jurídica pudiere proyectarse.</w:t>
      </w:r>
    </w:p>
    <w:p w14:paraId="250B178B" w14:textId="77777777" w:rsidR="009D7677" w:rsidRDefault="009D7677" w:rsidP="009D7677">
      <w:pPr>
        <w:pStyle w:val="TextoNormal"/>
      </w:pPr>
    </w:p>
    <w:p w14:paraId="5EB22B17" w14:textId="77777777" w:rsidR="009D7677" w:rsidRDefault="009D7677" w:rsidP="009D7677">
      <w:pPr>
        <w:pStyle w:val="TextoNormal"/>
      </w:pPr>
      <w:r>
        <w:t>El presente acuerdo es firme en vía administrativa. Contra el mismo cabe la interposición de recurso contencioso administrativo ante la Sala Tercera del Tribunal Supremo en el plazo de dos meses desde su notificación, conforme a lo dispuesto en el artículo 12.3 a) de la Ley de jurisdicción contencioso-administrativa”.</w:t>
      </w:r>
    </w:p>
    <w:p w14:paraId="563AD432" w14:textId="77777777" w:rsidR="009D7677" w:rsidRDefault="009D7677" w:rsidP="009D7677">
      <w:pPr>
        <w:pStyle w:val="TextoNormal"/>
      </w:pPr>
    </w:p>
    <w:p w14:paraId="287DBE88" w14:textId="77777777" w:rsidR="009D7677" w:rsidRDefault="009D7677" w:rsidP="009D7677">
      <w:pPr>
        <w:pStyle w:val="TextoNormal"/>
      </w:pPr>
      <w:r>
        <w:t>La representación procesal de don Oriol Junqueras i Vies interpuso recurso contencioso administrativo contra el citado acuerdo de la Junta Electoral Central de 17 de octubre de 2019, adoptado en los expedientes núm. 561-77 y 561-78, que se tramitó con el número 436-2019.</w:t>
      </w:r>
    </w:p>
    <w:p w14:paraId="46E23FF2" w14:textId="77777777" w:rsidR="009D7677" w:rsidRDefault="009D7677" w:rsidP="009D7677">
      <w:pPr>
        <w:pStyle w:val="TextoNormal"/>
      </w:pPr>
    </w:p>
    <w:p w14:paraId="253AE7A1" w14:textId="77777777" w:rsidR="009D7677" w:rsidRDefault="009D7677" w:rsidP="009D7677">
      <w:pPr>
        <w:pStyle w:val="TextoNormal"/>
      </w:pPr>
      <w:r>
        <w:t xml:space="preserve">j) Por sentencia de 19 de diciembre de 2019 (asunto </w:t>
      </w:r>
      <w:r w:rsidRPr="009D7677">
        <w:rPr>
          <w:i/>
        </w:rPr>
        <w:t>Junqueras Vies</w:t>
      </w:r>
      <w:r>
        <w:t>, C-502/19) el Tribunal de Justicia de la Unión Europea resolvió las cuestiones prejudiciales planteadas por auto de 1 de julio de 2019 de la Sala de lo Penal del Tribunal Supremo y declaró que un diputado al Parlamento Europeo se considera electo desde la proclamación oficial de las candidaturas en el Estado en el que ha sido elegido, momento a partir del cual adquieren vigencia los privilegios e inmunidades propios de su estatuto parlamentario.</w:t>
      </w:r>
    </w:p>
    <w:p w14:paraId="04ED3F03" w14:textId="77777777" w:rsidR="009D7677" w:rsidRDefault="009D7677" w:rsidP="009D7677">
      <w:pPr>
        <w:pStyle w:val="TextoNormal"/>
      </w:pPr>
    </w:p>
    <w:p w14:paraId="0FA278AD" w14:textId="77777777" w:rsidR="009D7677" w:rsidRDefault="009D7677" w:rsidP="009D7677">
      <w:pPr>
        <w:pStyle w:val="TextoNormal"/>
      </w:pPr>
      <w:r>
        <w:t>k) Por acuerdo de 3 de enero de 2020, la Junta Electoral Central, en el expediente núm. 561-79, resolvió:</w:t>
      </w:r>
    </w:p>
    <w:p w14:paraId="73EFE67F" w14:textId="77777777" w:rsidR="009D7677" w:rsidRDefault="009D7677" w:rsidP="009D7677">
      <w:pPr>
        <w:pStyle w:val="TextoNormal"/>
      </w:pPr>
    </w:p>
    <w:p w14:paraId="21381D2C" w14:textId="77777777" w:rsidR="009D7677" w:rsidRDefault="009D7677" w:rsidP="009D7677">
      <w:pPr>
        <w:pStyle w:val="TextoNormal"/>
      </w:pPr>
      <w:r>
        <w:t>“a) Declarar que concurre en don Oriol Junqueras i Vies la causa de inelegibilidad sobrevenida del art. 6.2 a) LOREG en razón a haber sido condenado por sentencia número 459/2019, de 14 de octubre (causa especial núm. 3-20907-2017), de la Sala Segunda del Tribunal Supremo, a la pena privativa de libertad de trece años de prisión.</w:t>
      </w:r>
    </w:p>
    <w:p w14:paraId="74B77928" w14:textId="77777777" w:rsidR="009D7677" w:rsidRDefault="009D7677" w:rsidP="009D7677">
      <w:pPr>
        <w:pStyle w:val="TextoNormal"/>
      </w:pPr>
    </w:p>
    <w:p w14:paraId="2D77D176" w14:textId="77777777" w:rsidR="009D7677" w:rsidRDefault="009D7677" w:rsidP="009D7677">
      <w:pPr>
        <w:pStyle w:val="TextoNormal"/>
      </w:pPr>
      <w:r>
        <w:lastRenderedPageBreak/>
        <w:t>b) Declarar la pérdida de la condición de diputado del Parlamento Europeo de don Oriol Junqueras i Vies, con anulación de su mandato, todo ello con efectos desde la fecha de este acuerdo.</w:t>
      </w:r>
    </w:p>
    <w:p w14:paraId="133744CB" w14:textId="77777777" w:rsidR="009D7677" w:rsidRDefault="009D7677" w:rsidP="009D7677">
      <w:pPr>
        <w:pStyle w:val="TextoNormal"/>
      </w:pPr>
    </w:p>
    <w:p w14:paraId="7BD5BCDB" w14:textId="77777777" w:rsidR="009D7677" w:rsidRDefault="009D7677" w:rsidP="009D7677">
      <w:pPr>
        <w:pStyle w:val="TextoNormal"/>
      </w:pPr>
      <w:r>
        <w:t>c) Proceder a cubrir la vacante como diputado del Parlamento Europeo, de don Oriol Junqueras i Vies, proclamando como candidato electo en su sustitución a don Jordi Solé i Ferrando por ser el siguiente candidato de la lista de la coalición electoral Ahora Repúblicas con la que concurrió a las citadas elecciones de 26 de mayo de 2019. Dicho candidato será convocado a efectos de que comparezca ante la Junta Electoral Central para que preste juramento o promesa de acatamiento a la Constitución, conforme a lo dispuesto en el artículo 224.2 LOREG.</w:t>
      </w:r>
    </w:p>
    <w:p w14:paraId="0FDC7156" w14:textId="77777777" w:rsidR="009D7677" w:rsidRDefault="009D7677" w:rsidP="009D7677">
      <w:pPr>
        <w:pStyle w:val="TextoNormal"/>
      </w:pPr>
    </w:p>
    <w:p w14:paraId="418483AA" w14:textId="77777777" w:rsidR="009D7677" w:rsidRDefault="009D7677" w:rsidP="009D7677">
      <w:pPr>
        <w:pStyle w:val="TextoNormal"/>
      </w:pPr>
      <w:r>
        <w:t>Este acuerdo se notificará a los interesados y se comunicará al presidente del Parlamento Europeo.</w:t>
      </w:r>
    </w:p>
    <w:p w14:paraId="29BC716C" w14:textId="77777777" w:rsidR="009D7677" w:rsidRDefault="009D7677" w:rsidP="009D7677">
      <w:pPr>
        <w:pStyle w:val="TextoNormal"/>
      </w:pPr>
    </w:p>
    <w:p w14:paraId="73F82F3D" w14:textId="77777777" w:rsidR="009D7677" w:rsidRDefault="009D7677" w:rsidP="009D7677">
      <w:pPr>
        <w:pStyle w:val="TextoNormal"/>
      </w:pPr>
      <w:r>
        <w:t>Asimismo, se dará traslado a la Sala de lo Penal del Tribunal Supremo”.</w:t>
      </w:r>
    </w:p>
    <w:p w14:paraId="15ABD57F" w14:textId="77777777" w:rsidR="009D7677" w:rsidRDefault="009D7677" w:rsidP="009D7677">
      <w:pPr>
        <w:pStyle w:val="TextoNormal"/>
      </w:pPr>
    </w:p>
    <w:p w14:paraId="1C97D267" w14:textId="77777777" w:rsidR="009D7677" w:rsidRDefault="009D7677" w:rsidP="009D7677">
      <w:pPr>
        <w:pStyle w:val="TextoNormal"/>
      </w:pPr>
      <w:r>
        <w:t>l) Una vez tuvo constancia de la sentencia del Tribunal de Justicia de la Unión Europea, la Sala de lo Penal del Tribunal Supremo por auto de 9 de enero de 2020 acordó:</w:t>
      </w:r>
    </w:p>
    <w:p w14:paraId="59411865" w14:textId="77777777" w:rsidR="009D7677" w:rsidRDefault="009D7677" w:rsidP="009D7677">
      <w:pPr>
        <w:pStyle w:val="TextoNormal"/>
      </w:pPr>
    </w:p>
    <w:p w14:paraId="59A6691A" w14:textId="77777777" w:rsidR="009D7677" w:rsidRDefault="009D7677" w:rsidP="009D7677">
      <w:pPr>
        <w:pStyle w:val="TextoNormal"/>
      </w:pPr>
      <w:r>
        <w:t>“a) Que debemos alzar la suspensión acordada para la resolución del presente recurso de súplica interpuesto por la representación del condenado, don Oriol Junqueras, contra el auto de 14 de junio de 2019.</w:t>
      </w:r>
    </w:p>
    <w:p w14:paraId="07354256" w14:textId="77777777" w:rsidR="009D7677" w:rsidRDefault="009D7677" w:rsidP="009D7677">
      <w:pPr>
        <w:pStyle w:val="TextoNormal"/>
      </w:pPr>
    </w:p>
    <w:p w14:paraId="4FB36843" w14:textId="77777777" w:rsidR="009D7677" w:rsidRDefault="009D7677" w:rsidP="009D7677">
      <w:pPr>
        <w:pStyle w:val="TextoNormal"/>
      </w:pPr>
      <w:r>
        <w:t>b) Que debemos resolver, conforme a la interpretación ofrecida por el Tribunal de Justicia de la Unión Europea en su sentencia de 19 de diciembre de 2019, que el señor Junqueras adquirió el estatuto derivado de la condición de eurodiputado el día 13 de junio de 2019.</w:t>
      </w:r>
    </w:p>
    <w:p w14:paraId="795CA14F" w14:textId="77777777" w:rsidR="009D7677" w:rsidRDefault="009D7677" w:rsidP="009D7677">
      <w:pPr>
        <w:pStyle w:val="TextoNormal"/>
      </w:pPr>
    </w:p>
    <w:p w14:paraId="04FC4EE9" w14:textId="77777777" w:rsidR="009D7677" w:rsidRDefault="009D7677" w:rsidP="009D7677">
      <w:pPr>
        <w:pStyle w:val="TextoNormal"/>
      </w:pPr>
      <w:r>
        <w:t>c) Que procedía el mantenimiento de la prisión preventiva del señor Junqueras, con los condicionantes derivados del pronunciamiento del Tribunal de Justicia de la Unión Europea, en los términos que son expuestos en la resolución de esta misma fecha que queda incorporada a la causa principal.</w:t>
      </w:r>
    </w:p>
    <w:p w14:paraId="6D72E716" w14:textId="77777777" w:rsidR="009D7677" w:rsidRDefault="009D7677" w:rsidP="009D7677">
      <w:pPr>
        <w:pStyle w:val="TextoNormal"/>
      </w:pPr>
    </w:p>
    <w:p w14:paraId="3202E045" w14:textId="77777777" w:rsidR="009D7677" w:rsidRDefault="009D7677" w:rsidP="009D7677">
      <w:pPr>
        <w:pStyle w:val="TextoNormal"/>
      </w:pPr>
      <w:r>
        <w:t>d) Notifíquese esta resolución, a los efectos legales oportunos, a la Junta Electoral Central y al Parlamento Europeo”.</w:t>
      </w:r>
    </w:p>
    <w:p w14:paraId="62C91AB7" w14:textId="77777777" w:rsidR="009D7677" w:rsidRDefault="009D7677" w:rsidP="009D7677">
      <w:pPr>
        <w:pStyle w:val="TextoNormal"/>
      </w:pPr>
    </w:p>
    <w:p w14:paraId="65E77D67" w14:textId="77777777" w:rsidR="009D7677" w:rsidRDefault="009D7677" w:rsidP="009D7677">
      <w:pPr>
        <w:pStyle w:val="TextoNormal"/>
      </w:pPr>
      <w:r>
        <w:t>Por auto de la misma fecha, la Sala de lo Penal del Tribunal Supremo resolvió:</w:t>
      </w:r>
    </w:p>
    <w:p w14:paraId="54BBD9F5" w14:textId="77777777" w:rsidR="009D7677" w:rsidRDefault="009D7677" w:rsidP="009D7677">
      <w:pPr>
        <w:pStyle w:val="TextoNormal"/>
      </w:pPr>
    </w:p>
    <w:p w14:paraId="76C7CF8D" w14:textId="77777777" w:rsidR="009D7677" w:rsidRDefault="009D7677" w:rsidP="009D7677">
      <w:pPr>
        <w:pStyle w:val="TextoNormal"/>
      </w:pPr>
      <w:r>
        <w:t>“1. No ha lugar a autorizar el desplazamiento del señor Junqueras a la sede del Parlamento Europeo.</w:t>
      </w:r>
    </w:p>
    <w:p w14:paraId="3B8B9478" w14:textId="77777777" w:rsidR="009D7677" w:rsidRDefault="009D7677" w:rsidP="009D7677">
      <w:pPr>
        <w:pStyle w:val="TextoNormal"/>
      </w:pPr>
    </w:p>
    <w:p w14:paraId="43AFD324" w14:textId="77777777" w:rsidR="009D7677" w:rsidRDefault="009D7677" w:rsidP="009D7677">
      <w:pPr>
        <w:pStyle w:val="TextoNormal"/>
      </w:pPr>
      <w:r>
        <w:t>2. No ha lugar a acordar su libertad.</w:t>
      </w:r>
    </w:p>
    <w:p w14:paraId="05E6C4E9" w14:textId="77777777" w:rsidR="009D7677" w:rsidRDefault="009D7677" w:rsidP="009D7677">
      <w:pPr>
        <w:pStyle w:val="TextoNormal"/>
      </w:pPr>
    </w:p>
    <w:p w14:paraId="725DE58E" w14:textId="77777777" w:rsidR="009D7677" w:rsidRDefault="009D7677" w:rsidP="009D7677">
      <w:pPr>
        <w:pStyle w:val="TextoNormal"/>
      </w:pPr>
      <w:r>
        <w:t>3. No ha lugar a declarar la nulidad de la sentencia de 14 de octubre de 2019 dictada por esta Sala.</w:t>
      </w:r>
    </w:p>
    <w:p w14:paraId="06432B83" w14:textId="77777777" w:rsidR="009D7677" w:rsidRDefault="009D7677" w:rsidP="009D7677">
      <w:pPr>
        <w:pStyle w:val="TextoNormal"/>
      </w:pPr>
    </w:p>
    <w:p w14:paraId="59D6971D" w14:textId="77777777" w:rsidR="009D7677" w:rsidRDefault="009D7677" w:rsidP="009D7677">
      <w:pPr>
        <w:pStyle w:val="TextoNormal"/>
      </w:pPr>
      <w:r>
        <w:t>4. No ha lugar a la tramitación del suplicatorio ante el Parlamento Europeo.</w:t>
      </w:r>
    </w:p>
    <w:p w14:paraId="1E2848C4" w14:textId="77777777" w:rsidR="009D7677" w:rsidRDefault="009D7677" w:rsidP="009D7677">
      <w:pPr>
        <w:pStyle w:val="TextoNormal"/>
      </w:pPr>
    </w:p>
    <w:p w14:paraId="7A6FFAB9" w14:textId="77777777" w:rsidR="009D7677" w:rsidRDefault="009D7677" w:rsidP="009D7677">
      <w:pPr>
        <w:pStyle w:val="TextoNormal"/>
      </w:pPr>
      <w:r>
        <w:t>5. Dese cuenta en la pieza de ejecución a fin de proveer allí sobre el alzamiento de la suspensión de la pena de trece años de inhabilitación impuesta al condenado. Practíquese liquidación de condena.</w:t>
      </w:r>
    </w:p>
    <w:p w14:paraId="56821C69" w14:textId="77777777" w:rsidR="009D7677" w:rsidRDefault="009D7677" w:rsidP="009D7677">
      <w:pPr>
        <w:pStyle w:val="TextoNormal"/>
      </w:pPr>
    </w:p>
    <w:p w14:paraId="11DFCE36" w14:textId="77777777" w:rsidR="009D7677" w:rsidRDefault="009D7677" w:rsidP="009D7677">
      <w:pPr>
        <w:pStyle w:val="TextoNormal"/>
      </w:pPr>
      <w:r>
        <w:t>Comuníquese esta resolución a la Junta Electoral Central y al Parlamento Europeo a los efectos legales oportunos”.</w:t>
      </w:r>
    </w:p>
    <w:p w14:paraId="01579BD0" w14:textId="77777777" w:rsidR="009D7677" w:rsidRDefault="009D7677" w:rsidP="009D7677">
      <w:pPr>
        <w:pStyle w:val="TextoNormal"/>
      </w:pPr>
    </w:p>
    <w:p w14:paraId="43A407CE" w14:textId="77777777" w:rsidR="009D7677" w:rsidRDefault="009D7677" w:rsidP="009D7677">
      <w:pPr>
        <w:pStyle w:val="TextoNormal"/>
      </w:pPr>
      <w:r>
        <w:t>m) En la sesión plenaria de 13 de enero de 2020, el Parlamento Europeo, a raíz de la STJUE de 19 de diciembre de 2019, tomó nota de la elección de Oriol Junqueras i Vies, don Carles Puigdemont i Casamajó y don Antoni Comín i Oliveres como diputados al Parlamento Europeo por España, con efecto desde el 2 de julio de 2019.</w:t>
      </w:r>
    </w:p>
    <w:p w14:paraId="65A91161" w14:textId="77777777" w:rsidR="009D7677" w:rsidRDefault="009D7677" w:rsidP="009D7677">
      <w:pPr>
        <w:pStyle w:val="TextoNormal"/>
      </w:pPr>
    </w:p>
    <w:p w14:paraId="348D15BF" w14:textId="77777777" w:rsidR="009D7677" w:rsidRDefault="009D7677" w:rsidP="009D7677">
      <w:pPr>
        <w:pStyle w:val="TextoNormal"/>
      </w:pPr>
      <w:r>
        <w:t>Del mismo modo, habida cuenta de la decisión de la Junta Electoral Central de 3 de enero de 2020 y tras el auto del Tribunal Supremo de 9 de enero de 2020, el Parlamento constató la vacante del escaño de don Oriol Junqueras i Vies con efecto desde el 3 de enero de 2020.</w:t>
      </w:r>
    </w:p>
    <w:p w14:paraId="343B3915" w14:textId="77777777" w:rsidR="009D7677" w:rsidRDefault="009D7677" w:rsidP="009D7677">
      <w:pPr>
        <w:pStyle w:val="TextoNormal"/>
      </w:pPr>
    </w:p>
    <w:p w14:paraId="4ACB63FD" w14:textId="77777777" w:rsidR="009D7677" w:rsidRDefault="009D7677" w:rsidP="009D7677">
      <w:pPr>
        <w:pStyle w:val="TextoNormal"/>
      </w:pPr>
      <w:r>
        <w:t xml:space="preserve">Interpuesto recurso de anulación contra esta declaración de 13 de enero de 2020 del presidente del Parlamento Europeo, por auto de 15 de diciembre de 2020 del Tribunal General (asunto </w:t>
      </w:r>
      <w:r w:rsidRPr="009D7677">
        <w:rPr>
          <w:i/>
        </w:rPr>
        <w:t>Junqueras i Vies</w:t>
      </w:r>
      <w:r>
        <w:t xml:space="preserve">, T-24/20) el recurso de anulación fue declarado inadmisible; inadmisibilidad que fue ratificada por sentencia del Tribunal de Justicia de la Unión Europea, de 22 de diciembre de 2022 (asunto </w:t>
      </w:r>
      <w:r w:rsidRPr="009D7677">
        <w:rPr>
          <w:i/>
        </w:rPr>
        <w:t>Junqueras i Vies</w:t>
      </w:r>
      <w:r>
        <w:t>, C-115/21) al desestimar el recurso promovido frente al ya citado auto de 15 de diciembre de 2020.</w:t>
      </w:r>
    </w:p>
    <w:p w14:paraId="47004AA4" w14:textId="77777777" w:rsidR="009D7677" w:rsidRDefault="009D7677" w:rsidP="009D7677">
      <w:pPr>
        <w:pStyle w:val="TextoNormal"/>
      </w:pPr>
    </w:p>
    <w:p w14:paraId="6C00CC3A" w14:textId="77777777" w:rsidR="009D7677" w:rsidRDefault="009D7677" w:rsidP="009D7677">
      <w:pPr>
        <w:pStyle w:val="TextoNormal"/>
      </w:pPr>
      <w:r>
        <w:t>n) La sentencia núm. 375/2021, de 17 de marzo, de la Sección Cuarta de la Sala de lo Contencioso-Administrativo del Tribunal Supremo, desestimó el recurso contencioso administrativo núm. 436-2019 interpuesto contra el acuerdo de la Junta Electoral Central de 17 de octubre de 2019, adoptado en los expedientes 561-77 y 561-78, por el que se deniegan sendas peticiones de expedición de las credenciales como eurodiputado electo de don Oriol Junqueras i Vies.</w:t>
      </w:r>
    </w:p>
    <w:p w14:paraId="3F1F2356" w14:textId="77777777" w:rsidR="009D7677" w:rsidRDefault="009D7677" w:rsidP="009D7677">
      <w:pPr>
        <w:pStyle w:val="TextoNormal"/>
      </w:pPr>
    </w:p>
    <w:p w14:paraId="7612AC1A" w14:textId="77777777" w:rsidR="009D7677" w:rsidRDefault="009D7677" w:rsidP="009D7677">
      <w:pPr>
        <w:pStyle w:val="TextoNormal"/>
      </w:pPr>
      <w:r>
        <w:t>La demanda alegaba que, de acuerdo con la STJUE de 19 de diciembre de 2019, el requisito de acatamiento de la Constitución, establecido en el art. 224.2 LOREG, es contrario al Derecho de la Unión Europea y que, por esta razón, el acuerdo de la Junta Electoral Central recurrido había vulnerado su derecho de sufragio pasivo, invocando los arts. 23.2 CE, 39 de la Carta de derechos fundamentales de la Unión Europea (CDFUE) y 3 del Protocolo adicional al Convenio Europeo de Derechos Humanos (CEDH), así como el principio de igualdad y prohibición de discriminación del art. 14 CE, del art. 20 CDFUE, apartados primero y segundo, del art. 21 CDFUE y del art. 14 CEDH.</w:t>
      </w:r>
    </w:p>
    <w:p w14:paraId="40F23166" w14:textId="77777777" w:rsidR="009D7677" w:rsidRDefault="009D7677" w:rsidP="009D7677">
      <w:pPr>
        <w:pStyle w:val="TextoNormal"/>
      </w:pPr>
    </w:p>
    <w:p w14:paraId="34F880D8" w14:textId="77777777" w:rsidR="009D7677" w:rsidRDefault="009D7677" w:rsidP="009D7677">
      <w:pPr>
        <w:pStyle w:val="TextoNormal"/>
      </w:pPr>
      <w:r>
        <w:t>La sentencia rechazó las vulneraciones de derechos fundamentales alegadas, con cita extensa de sus previas sentencias núm. 722/2020 y 723/2020, en las que ya se pronunció sobre el alcance de la STJUE de 19 de diciembre de 2019. Cabe destacar, en lo que interesa a este proceso constitucional, los siguientes pasajes:</w:t>
      </w:r>
    </w:p>
    <w:p w14:paraId="3D3C0E57" w14:textId="77777777" w:rsidR="009D7677" w:rsidRDefault="009D7677" w:rsidP="009D7677">
      <w:pPr>
        <w:pStyle w:val="TextoNormal"/>
      </w:pPr>
    </w:p>
    <w:p w14:paraId="2931B931" w14:textId="77777777" w:rsidR="009D7677" w:rsidRDefault="009D7677" w:rsidP="009D7677">
      <w:pPr>
        <w:pStyle w:val="TextoNormal"/>
      </w:pPr>
      <w:r>
        <w:t>(i) “Requerir el acatamiento a la Constitución como condición para acceder a un cargo obtenido por elección democrática de los ciudadanos no es algo desconocido en el Dere</w:t>
      </w:r>
      <w:r>
        <w:lastRenderedPageBreak/>
        <w:t>cho Constitucional ni puede reducirse a mera formalidad intrascendente”. En concreto “en el Derecho Constitucional español rige la regla de que el ejercicio de los cargos públicos y, en concreto, de los de carácter representativo, requiere el previo acatamiento de la Constitución. De ahí que el artículo 108.8 de la Ley Orgánica [del régimen electoral general] exija que, al tomar posesión y para la plena adquisición de la condición de sus cargos, los candidatos electos juren o acaten la Constitución. […] [A] falta de ese requisito no se adquiere la plena condición del cargo, que queda en suspenso hasta que se produzca el cumplimiento correspondiente”.</w:t>
      </w:r>
    </w:p>
    <w:p w14:paraId="04F8F7E9" w14:textId="77777777" w:rsidR="009D7677" w:rsidRDefault="009D7677" w:rsidP="009D7677">
      <w:pPr>
        <w:pStyle w:val="TextoNormal"/>
      </w:pPr>
    </w:p>
    <w:p w14:paraId="2AD6F771" w14:textId="77777777" w:rsidR="009D7677" w:rsidRDefault="009D7677" w:rsidP="009D7677">
      <w:pPr>
        <w:pStyle w:val="TextoNormal"/>
      </w:pPr>
      <w:r>
        <w:t>(ii) En cuanto a la forma y lugar de prestar el acatamiento de la Constitución y la consecuencia de no prestarlo, añade que “son los reglamentos parlamentarios y la legislación los que articulan la manera de prestarlo y, desde luego, en todo caso, conducen a la misma consecuencia: a falta de ese requisito no se adquiere la plena condición del cargo, que queda en suspenso hasta que se produzca el cumplimiento correspondiente”. En el caso del Parlamento Europeo la regulación se contempla en el art. 224.2 LOREG (no en el previsto para el Senado o el Congreso), que exige acatamiento personal ante la Junta Electoral Central. Este régimen, se ha aplicado en todas las elecciones al Parlamento Europeo celebradas en España.</w:t>
      </w:r>
    </w:p>
    <w:p w14:paraId="7CDCE126" w14:textId="77777777" w:rsidR="009D7677" w:rsidRDefault="009D7677" w:rsidP="009D7677">
      <w:pPr>
        <w:pStyle w:val="TextoNormal"/>
      </w:pPr>
    </w:p>
    <w:p w14:paraId="6A5EC91F" w14:textId="77777777" w:rsidR="009D7677" w:rsidRDefault="009D7677" w:rsidP="009D7677">
      <w:pPr>
        <w:pStyle w:val="TextoNormal"/>
      </w:pPr>
      <w:r>
        <w:t>(iii) Sobre la inexistencia de una regulación específica sobre la materia en el Derecho de la Unión Europea, insiste la sentencia en que no hay ni en el Derecho de la Unión Europea ni en el Convenio Europeo de Derechos Humanos “elementos que ofrezcan una mayor garantía que la que ofrece directamente la Constitución. […] [N]inguna disposición sobre quién debe expedir las credenciales de los diputados al Parlamento Europeo, ni cuándo debe hacerlo y tampoco incluye ninguna prohibición que impida la exigencia, como requisito previo a esa expedición, de la prestación del acatamiento a la Constitución”. Se añade que tampoco la jurisprudencia, aun después de la STJUE de 19 de diciembre de 2019, dice algo muy distinto a lo que establece el art 224.2 LOREG, pues, de acuerdo con él, “un candidato proclamado electo al Parlamento Europeo goza desde su proclamación de las prerrogativas propias del cargo aunque, tras cinco días sin prestar el acatamiento, quedan suspendidas hasta que se produzca”, sin que la STJUE de 19 de diciembre de 2019 mantenga “un concepto absoluto o incondicionado de la inmunidad para dirigirse al lugar de reunión del Parlamento Europeo o regresar de él que le lleve a mantenerla en todo caso”.</w:t>
      </w:r>
    </w:p>
    <w:p w14:paraId="03947764" w14:textId="77777777" w:rsidR="009D7677" w:rsidRDefault="009D7677" w:rsidP="009D7677">
      <w:pPr>
        <w:pStyle w:val="TextoNormal"/>
      </w:pPr>
    </w:p>
    <w:p w14:paraId="12894C92" w14:textId="77777777" w:rsidR="009D7677" w:rsidRDefault="009D7677" w:rsidP="009D7677">
      <w:pPr>
        <w:pStyle w:val="TextoNormal"/>
      </w:pPr>
      <w:r>
        <w:t>Continúa señalando la sentencia que carece de fundamento el reproche de que la actuación de la Junta Electoral Central fue desproporcionada y discriminatoria. Tras recordar que el Derecho de la Unión Europea se remite a las legislaciones nacionales en todo aquello que el mismo no regula en relación con las elecciones al Parlamento Europeo, señala que el acatamiento no puede llevarse a efecto mediante cualquier procedimiento que pretenda elegir el interesado al margen de las previsiones legales del art. 224.2 LOREG. Tampoco se ha vulnerado el principio de igualdad ante la ley dado que el recurrente tampoco ha demostrado que el art. 224.2 LOREG le haya sido aplicado de manera distinta a como se ha aplicado en otros casos por la administración electoral.</w:t>
      </w:r>
    </w:p>
    <w:p w14:paraId="391AD7E8" w14:textId="77777777" w:rsidR="009D7677" w:rsidRDefault="009D7677" w:rsidP="009D7677">
      <w:pPr>
        <w:pStyle w:val="TextoNormal"/>
      </w:pPr>
    </w:p>
    <w:p w14:paraId="2C129354" w14:textId="1E2F39F6" w:rsidR="009D7677" w:rsidRDefault="009D7677" w:rsidP="009D7677">
      <w:pPr>
        <w:pStyle w:val="TextoNormal"/>
      </w:pPr>
      <w:r>
        <w:t>ñ) Por providencia de la Sección Cuarta de la Sala de lo Contencioso-Administrativo del Tribunal Supremo de 10 de mayo de 2021 se inadmitió el incidente de nulidad de actuaciones promovido contra la sentencia anterior.</w:t>
      </w:r>
    </w:p>
    <w:p w14:paraId="6F0A9D63" w14:textId="77777777" w:rsidR="009D7677" w:rsidRDefault="009D7677" w:rsidP="009D7677">
      <w:pPr>
        <w:pStyle w:val="TextoNormal"/>
      </w:pPr>
    </w:p>
    <w:p w14:paraId="7DFABF38" w14:textId="77777777" w:rsidR="009D7677" w:rsidRDefault="009D7677" w:rsidP="009D7677">
      <w:pPr>
        <w:pStyle w:val="TextoNormal"/>
      </w:pPr>
      <w:r w:rsidRPr="009D7677">
        <w:rPr>
          <w:rStyle w:val="NumeroAFNegritaCaracter"/>
        </w:rPr>
        <w:t>3</w:t>
      </w:r>
      <w:r>
        <w:t>. El recurrente alega en su demanda la vulneración de sus derechos a la igualdad en la aplicación de la ley y a la no discriminación (art. 14 CE), a acceder y permanecer en condiciones de igualdad en los cargos públicos (art. 23 CE) y a la tutela judicial efectiva (art. 24 CE).</w:t>
      </w:r>
    </w:p>
    <w:p w14:paraId="2ABE7F4B" w14:textId="77777777" w:rsidR="009D7677" w:rsidRDefault="009D7677" w:rsidP="009D7677">
      <w:pPr>
        <w:pStyle w:val="TextoNormal"/>
      </w:pPr>
    </w:p>
    <w:p w14:paraId="7A69D158" w14:textId="77777777" w:rsidR="009D7677" w:rsidRDefault="009D7677" w:rsidP="009D7677">
      <w:pPr>
        <w:pStyle w:val="TextoNormal"/>
      </w:pPr>
      <w:r>
        <w:t>Las vulneraciones constitucionales alegadas pueden sintetizarse como sigue:</w:t>
      </w:r>
    </w:p>
    <w:p w14:paraId="7E8F7B64" w14:textId="77777777" w:rsidR="009D7677" w:rsidRDefault="009D7677" w:rsidP="009D7677">
      <w:pPr>
        <w:pStyle w:val="TextoNormal"/>
      </w:pPr>
    </w:p>
    <w:p w14:paraId="75269220" w14:textId="77777777" w:rsidR="009D7677" w:rsidRDefault="009D7677" w:rsidP="009D7677">
      <w:pPr>
        <w:pStyle w:val="TextoNormal"/>
      </w:pPr>
      <w:r>
        <w:t>a) La sentencia y la providencia de inadmisión incurren en arbitrariedad y vulneran el derecho a la tutela judicial efectiva (art. 24 CE) al considerar que el acto impugnado responde motivadamente a la petición de inaplicación del art. 224.2 LOREG.</w:t>
      </w:r>
    </w:p>
    <w:p w14:paraId="759ED15E" w14:textId="77777777" w:rsidR="009D7677" w:rsidRDefault="009D7677" w:rsidP="009D7677">
      <w:pPr>
        <w:pStyle w:val="TextoNormal"/>
      </w:pPr>
    </w:p>
    <w:p w14:paraId="34E78E04" w14:textId="77777777" w:rsidR="009D7677" w:rsidRDefault="009D7677" w:rsidP="009D7677">
      <w:pPr>
        <w:pStyle w:val="TextoNormal"/>
      </w:pPr>
      <w:r>
        <w:t>b) Se aduce que la sentencia y la providencia de inadmisión incurren en incongruencia omisiva, son inmotivadas, arbitrarias y vulneran el derecho a la tutela judicial efectiva, así como el derecho a la igualdad en la aplicación de la ley y a la no discriminación (arts. 24 y 14 CE, arts. 6, 14 y 18 CEDH, y arts. 20 y 47 CDFUE) en relación con el derecho al sufragio pasivo (ambos apartados del art. 23 CE y art. 3 del Protocolo adicional al CEDH, y ambos apartados art. 39 CDFUE) al haber aportado y acreditado término de comparación de trato discriminatorio en relación con otro eurodiputado (el señor Ruiz Mateos) a quien sí se le permitió prestar promesa o juramento mediante desplazamiento de representantes de la Junta Electoral Central (por tanto, no presencialmente en la sede del órgano) e ignorarlo el Tribunal Supremo en su sentencia.</w:t>
      </w:r>
    </w:p>
    <w:p w14:paraId="5B3EB01C" w14:textId="77777777" w:rsidR="009D7677" w:rsidRDefault="009D7677" w:rsidP="009D7677">
      <w:pPr>
        <w:pStyle w:val="TextoNormal"/>
      </w:pPr>
    </w:p>
    <w:p w14:paraId="7935D452" w14:textId="77777777" w:rsidR="009D7677" w:rsidRDefault="009D7677" w:rsidP="009D7677">
      <w:pPr>
        <w:pStyle w:val="TextoNormal"/>
      </w:pPr>
      <w:r>
        <w:t>Al entender de la demanda resulta acreditado que la Junta Electoral Central no requiere presencialidad absoluta en la sede del órgano al interpretar el art. 224.2 LOREG, por lo que resulta una interpretación rigurosamente formalista y en contra de la protección material de los derechos fundamentales y de su plena efectividad, que dicho juramento solo puede ser presencial, esto es, en la sede del órgano, y ello infringe, a la vista del precedente, el derecho a la igualdad ante la ley y al trato no discriminatorio (arts. 14 CE, 14 CEDH y 20 CDFUE) en relación con el derecho al sufragio pasivo de los eurodiputados electos (art. 23 CE —ambos apartados—, art. 39 CDFUE —ambos apartados— y art. 3 del Protocolo adicional al CEDH). Se alega que la interpretación realizada tiene como finalidad y resultado privar total y absolutamente al señor Junqueras del efectivo acceso al cargo y de su efectivo ejercicio, que son contenidos esenciales del derecho fundamental al sufragio pasivo.</w:t>
      </w:r>
    </w:p>
    <w:p w14:paraId="453446BB" w14:textId="77777777" w:rsidR="009D7677" w:rsidRDefault="009D7677" w:rsidP="009D7677">
      <w:pPr>
        <w:pStyle w:val="TextoNormal"/>
      </w:pPr>
    </w:p>
    <w:p w14:paraId="74DE3DA5" w14:textId="77777777" w:rsidR="009D7677" w:rsidRDefault="009D7677" w:rsidP="009D7677">
      <w:pPr>
        <w:pStyle w:val="TextoNormal"/>
      </w:pPr>
      <w:r>
        <w:t>También se alega que se ha privado total y absolutamente de efectividad al derecho de acceso al cargo del señor Junqueras por una interpretación ultraformalista, desproporcionada, privada de necesidad en un estado democrático (al no responder a ningún fin de interés general que el juramento “ante” la Junta Electoral deba ser en su sede física) y contraria al Derecho de la Unión Europea del requisito establecido en el art. 224.2 LOREG.</w:t>
      </w:r>
    </w:p>
    <w:p w14:paraId="672DE3A4" w14:textId="77777777" w:rsidR="009D7677" w:rsidRDefault="009D7677" w:rsidP="009D7677">
      <w:pPr>
        <w:pStyle w:val="TextoNormal"/>
      </w:pPr>
    </w:p>
    <w:p w14:paraId="70723239" w14:textId="77777777" w:rsidR="009D7677" w:rsidRDefault="009D7677" w:rsidP="009D7677">
      <w:pPr>
        <w:pStyle w:val="TextoNormal"/>
      </w:pPr>
      <w:r>
        <w:t>c) Se afirma que la sentencia y la providencia de inadmisión incurren en incongruencia omisiva, son inmotivadas, arbitrarias y vulneran el derecho a la tutela judicial efectiva y a la igualdad ante la ley y a la no discriminación en relación con el derecho de sufragio activo y la primacía del Derecho de la Unión Europea (arts. 14, 23 —ambos apartados— y 24 CE y arts. 6, 14, y 3 del Protocolo adicional, todos ellos del CEDH; así como ambos apartados del art. 39 y art. 20 CDFUE).</w:t>
      </w:r>
    </w:p>
    <w:p w14:paraId="08579FBF" w14:textId="77777777" w:rsidR="009D7677" w:rsidRDefault="009D7677" w:rsidP="009D7677">
      <w:pPr>
        <w:pStyle w:val="TextoNormal"/>
      </w:pPr>
    </w:p>
    <w:p w14:paraId="39325141" w14:textId="77777777" w:rsidR="009D7677" w:rsidRDefault="009D7677" w:rsidP="009D7677">
      <w:pPr>
        <w:pStyle w:val="TextoNormal"/>
      </w:pPr>
      <w:r>
        <w:t>Cuestiona la conclusión a la que llega la Sala de que el requisito de promesa o juramento de la Constitución forme parte del “proceso electoral” y, por tanto, de la competencia de los Estados miembros. Es un requisito que opera “post elección”. La Sala no se habría pronunciado sobre los motivos alegados existiendo una incongruencia, falta de motivación y arbitrariedad.</w:t>
      </w:r>
    </w:p>
    <w:p w14:paraId="4AF19D77" w14:textId="77777777" w:rsidR="009D7677" w:rsidRDefault="009D7677" w:rsidP="009D7677">
      <w:pPr>
        <w:pStyle w:val="TextoNormal"/>
      </w:pPr>
    </w:p>
    <w:p w14:paraId="1A062CEA" w14:textId="77777777" w:rsidR="009D7677" w:rsidRDefault="009D7677" w:rsidP="009D7677">
      <w:pPr>
        <w:pStyle w:val="TextoNormal"/>
      </w:pPr>
      <w:r>
        <w:t>Explica también cómo los señores Puigdemont y Comín, la señora Ponsatí y el señor Jordi Solé adquirieron la condición de eurodiputado sin llevar a cabo el trámite del art. 224.2 LOREG, por lo que, a su juicio, “resulta evidente que las instituciones europeas no consideran de aplicación por contrario al Derecho de la Unión el trámite del art. 224.2 LOREG”. Y explica las razones por las cuales el art. 224.2 LOREG vulneraría, en su opinión, el art. 8 del Acta electoral europea (1976) en relación con el art. 39, 20 y 21 CDFUE.</w:t>
      </w:r>
    </w:p>
    <w:p w14:paraId="646A60C5" w14:textId="77777777" w:rsidR="009D7677" w:rsidRDefault="009D7677" w:rsidP="009D7677">
      <w:pPr>
        <w:pStyle w:val="TextoNormal"/>
      </w:pPr>
    </w:p>
    <w:p w14:paraId="11E23D80" w14:textId="77777777" w:rsidR="009D7677" w:rsidRDefault="009D7677" w:rsidP="009D7677">
      <w:pPr>
        <w:pStyle w:val="TextoNormal"/>
      </w:pPr>
      <w:r>
        <w:t>d) Sigue diciendo la demanda que la sentencia incurre en discriminación respecto del resto de eurodiputados a quienes no se exige la promesa o juramento de la Constitución Española (vulneración de los arts. 14 CE, 20 y 21 CDFUE y 14 CEDH en relación con los arts. 23 CE —ambos apartados—, 39 CDFUE —ambos apartados— y 3 del Protocolo adicional al CEDH).</w:t>
      </w:r>
    </w:p>
    <w:p w14:paraId="48504E0A" w14:textId="77777777" w:rsidR="009D7677" w:rsidRDefault="009D7677" w:rsidP="009D7677">
      <w:pPr>
        <w:pStyle w:val="TextoNormal"/>
      </w:pPr>
    </w:p>
    <w:p w14:paraId="6F4935DD" w14:textId="77777777" w:rsidR="009D7677" w:rsidRDefault="009D7677" w:rsidP="009D7677">
      <w:pPr>
        <w:pStyle w:val="TextoNormal"/>
      </w:pPr>
      <w:r>
        <w:t>e) También aduce que incurre la sentencia en discriminación respecto a diputados y senadores a quienes no se exige la promesa o juramento presencial, en la sede del órgano (Congreso o Senado), de la Constitución Española (vulneración de los arts. 14 CE, 20 y 21 CDFUE y 14 CEDH en relación con los arts. 23 CE —ambos apartados—, 39 CDFUE —ambos apartados— y 3 del Protocolo adicional al CEDH). Ello por cuanto la sentencia habría olvidado que el Derecho de la Unión Europea y la STJUE de 19 de diciembre de 2019 establece que debe regir el principio de equivalencia entre eurodiputados y parlamentarios del Estado miembro.</w:t>
      </w:r>
    </w:p>
    <w:p w14:paraId="4A82D512" w14:textId="77777777" w:rsidR="009D7677" w:rsidRDefault="009D7677" w:rsidP="009D7677">
      <w:pPr>
        <w:pStyle w:val="TextoNormal"/>
      </w:pPr>
    </w:p>
    <w:p w14:paraId="051110A8" w14:textId="77777777" w:rsidR="009D7677" w:rsidRDefault="009D7677" w:rsidP="009D7677">
      <w:pPr>
        <w:pStyle w:val="TextoNormal"/>
      </w:pPr>
      <w:r>
        <w:t>f) Sostiene que la sentencia vulnera su derecho a la tutela judicial efectiva y a la ejecución de las resoluciones judiciales en sus propios términos (arts. 24 CE —y 6 CEDH— y 118 CE). Explica que una vez estimado el recurso relativo a la prohibición de permiso de salida de prisión del señor Junqueras para realizar promesa o juramento de la Constitución y acceder al cargo y a la vista de lo resuelto en la STJUE de 19 de diciembre de 2019 procedía anular el acuerdo de la Junta Electoral Central.</w:t>
      </w:r>
    </w:p>
    <w:p w14:paraId="19278A9C" w14:textId="77777777" w:rsidR="009D7677" w:rsidRDefault="009D7677" w:rsidP="009D7677">
      <w:pPr>
        <w:pStyle w:val="TextoNormal"/>
      </w:pPr>
    </w:p>
    <w:p w14:paraId="3D776ED9" w14:textId="3B3B08A6" w:rsidR="009D7677" w:rsidRDefault="009D7677" w:rsidP="009D7677">
      <w:pPr>
        <w:pStyle w:val="TextoNormal"/>
      </w:pPr>
      <w:r>
        <w:t>Termina suplicando que se declare la nulidad de las resoluciones judiciales impugnadas y el restablecimiento del recurrente en la integridad de sus derechos acordando una indemnización por los daños derivados de la vulneración de sus derechos fundamentales por importe equivalente a las retribuciones de una legislatura de eurodiputado.</w:t>
      </w:r>
    </w:p>
    <w:p w14:paraId="1BFB2147" w14:textId="77777777" w:rsidR="009D7677" w:rsidRDefault="009D7677" w:rsidP="009D7677">
      <w:pPr>
        <w:pStyle w:val="TextoNormal"/>
      </w:pPr>
    </w:p>
    <w:p w14:paraId="68112C38" w14:textId="51F7539A" w:rsidR="009D7677" w:rsidRDefault="009D7677" w:rsidP="009D7677">
      <w:pPr>
        <w:pStyle w:val="TextoNormal"/>
      </w:pPr>
      <w:r w:rsidRPr="009D7677">
        <w:rPr>
          <w:rStyle w:val="NumeroAFNegritaCaracter"/>
        </w:rPr>
        <w:t>4</w:t>
      </w:r>
      <w:r>
        <w:t xml:space="preserve">. Por providencia de 15 de febrero de 2022, la Sección Tercera de este tribunal acordó admitir a trámite el presente recurso de amparo apreciando que en el mismo concurre especial trascendencia constitucional [art. 50.1 de la Ley Orgánica del Tribunal Constitucional (LOTC)] porque plantea un problema o afecta a una faceta del derecho fundamental sobre el que no hay doctrina de este tribunal [STC 155/2009, de 25 de junio, FJ 2 a)] y el asunto suscitado trasciende del caso concreto porque pudiera tener unas consecuencias políticas generales [STC 155/2009, FJ 2 g)]. En aplicación de lo dispuesto en el art. 51 </w:t>
      </w:r>
      <w:r>
        <w:lastRenderedPageBreak/>
        <w:t>LOTC, se acordó dirigir comunicación a la Sección Cuarta de la Sala de lo Contencioso-Administrativo del Tribunal Supremo a fin de que, en el plazo máximo de diez días, remitiera certificación o fotocopia adverada de las actuaciones correspondientes al recurso ordinario núm. 436-2019, debiendo previamente emplazarse a quienes hubieran sido parte en el procedimiento, excepto al demandante de amparo, para que pudieran comparecer en el recurso de amparo.</w:t>
      </w:r>
    </w:p>
    <w:p w14:paraId="30750B4F" w14:textId="77777777" w:rsidR="009D7677" w:rsidRDefault="009D7677" w:rsidP="009D7677">
      <w:pPr>
        <w:pStyle w:val="TextoNormal"/>
      </w:pPr>
    </w:p>
    <w:p w14:paraId="4504EC69" w14:textId="1B477126" w:rsidR="009D7677" w:rsidRDefault="009D7677" w:rsidP="009D7677">
      <w:pPr>
        <w:pStyle w:val="TextoNormal"/>
      </w:pPr>
      <w:r w:rsidRPr="009D7677">
        <w:rPr>
          <w:rStyle w:val="NumeroAFNegritaCaracter"/>
        </w:rPr>
        <w:t>5</w:t>
      </w:r>
      <w:r>
        <w:t>. Mediante escrito registrado el 1 de marzo de 2022, la representación procesal del recurrente en amparo formuló incidente de recusación respecto de la magistrada doña Concepción Espejel Jorquera y del magistrado don Enrique Arnaldo Alcubilla. Por ATC 72/2022, de 27 de abril, el Pleno de este tribunal acordó inadmitir las recusaciones formuladas en el recurso de amparo núm. 4247-2021.</w:t>
      </w:r>
    </w:p>
    <w:p w14:paraId="28EF104A" w14:textId="77777777" w:rsidR="009D7677" w:rsidRDefault="009D7677" w:rsidP="009D7677">
      <w:pPr>
        <w:pStyle w:val="TextoNormal"/>
      </w:pPr>
    </w:p>
    <w:p w14:paraId="10356AF4" w14:textId="72284527" w:rsidR="009D7677" w:rsidRDefault="009D7677" w:rsidP="009D7677">
      <w:pPr>
        <w:pStyle w:val="TextoNormal"/>
      </w:pPr>
      <w:r w:rsidRPr="009D7677">
        <w:rPr>
          <w:rStyle w:val="NumeroAFNegritaCaracter"/>
        </w:rPr>
        <w:t>6</w:t>
      </w:r>
      <w:r>
        <w:t>. Mediante escritos presentados los días 24 y 31 de marzo de 2022 en el registro del Tribunal Constitucional se comunicó la resolución de la Presidencia de la Junta Electoral Central de 23 de marzo de 2022, por la que se acuerda personarse en el presente recurso de amparo bajo la representación del letrado de las Cortes Generales y de la Junta Electoral Central, y el letrado de las Cortes Generales y de la Junta Electoral Central, don Manuel Delgado-Iribarren García-Campero, compareció en representación de la Junta Electoral Central solicitando que se le tuviera por personado en el presente recurso de amparo.</w:t>
      </w:r>
    </w:p>
    <w:p w14:paraId="101D86AE" w14:textId="77777777" w:rsidR="009D7677" w:rsidRDefault="009D7677" w:rsidP="009D7677">
      <w:pPr>
        <w:pStyle w:val="TextoNormal"/>
      </w:pPr>
    </w:p>
    <w:p w14:paraId="26BA75BE" w14:textId="3A098B04" w:rsidR="009D7677" w:rsidRDefault="009D7677" w:rsidP="009D7677">
      <w:pPr>
        <w:pStyle w:val="TextoNormal"/>
      </w:pPr>
      <w:r w:rsidRPr="009D7677">
        <w:rPr>
          <w:rStyle w:val="NumeroAFNegritaCaracter"/>
        </w:rPr>
        <w:t>7</w:t>
      </w:r>
      <w:r>
        <w:t>. La Secretaría de Justicia de la Sala Segunda de este tribunal, por diligencia de ordenación de 17 de mayo de 2022, acordó tener por personado y parte en el procedimiento al letrado de las Cortes Generales y de la Junta Electoral Central en nombre y representación de la Junta Electoral Central, y dar vista de las actuaciones recibidas a las partes personadas y al Ministerio Fiscal por plazo común de veinte días, dentro de los cuales podrán presentar las alegaciones que estimen pertinentes, conforme determina el art. 52.1 LOTC.</w:t>
      </w:r>
    </w:p>
    <w:p w14:paraId="41326D05" w14:textId="77777777" w:rsidR="009D7677" w:rsidRDefault="009D7677" w:rsidP="009D7677">
      <w:pPr>
        <w:pStyle w:val="TextoNormal"/>
      </w:pPr>
    </w:p>
    <w:p w14:paraId="57E9AFC7" w14:textId="77777777" w:rsidR="009D7677" w:rsidRDefault="009D7677" w:rsidP="009D7677">
      <w:pPr>
        <w:pStyle w:val="TextoNormal"/>
      </w:pPr>
      <w:r w:rsidRPr="009D7677">
        <w:rPr>
          <w:rStyle w:val="NumeroAFNegritaCaracter"/>
        </w:rPr>
        <w:t>8</w:t>
      </w:r>
      <w:r>
        <w:t>. Mediante escrito registrado en este tribunal el 16 de junio de 2022, la representación procesal de la Junta Electoral Central presentó sus alegaciones en las que, tras acotar el objeto del recurso de amparo y el contexto en que se dictaron las resoluciones recurridas, termina solicitando la desestimación del recurso de amparo.</w:t>
      </w:r>
    </w:p>
    <w:p w14:paraId="706E02FD" w14:textId="77777777" w:rsidR="009D7677" w:rsidRDefault="009D7677" w:rsidP="009D7677">
      <w:pPr>
        <w:pStyle w:val="TextoNormal"/>
      </w:pPr>
    </w:p>
    <w:p w14:paraId="67560FF0" w14:textId="77777777" w:rsidR="009D7677" w:rsidRDefault="009D7677" w:rsidP="009D7677">
      <w:pPr>
        <w:pStyle w:val="TextoNormal"/>
      </w:pPr>
      <w:r>
        <w:t>a) En cuanto al objeto del recurso de amparo aduce que el mismo está dirigido contra la sentencia 375/2021, de 17 de marzo, de la Sección Cuarta de la Sala de lo Contencioso-Administrativo del Tribunal Supremo, por la que se desestimó el recurso contencioso administrativo ordinario núm. 436-2019 interpuesto contra el acuerdo de la Junta Electoral Central de 17 de octubre de 2019, por el que se desestimaron dos solicitudes del recurrente: que se facilitase la credencial acreditativa de diputado electo del Parlamento Europeo, aceptando la escritura pública notarial en la que decía manifestar su acatamiento constitucional; y una segunda solicitando dicha credencial por no resultar aplicable el art. 224.2 LOREG; y contra la providencia de 10 de mayo de 2021 por la que se acordó inadmitir el incidente de nulidad de actuaciones promovido contra dicha sentencia. Sin embargo, considera que las vulneraciones que se alegan se refieren al acuerdo de la Junta Electoral Central que dio origen al procedimiento judicial.</w:t>
      </w:r>
    </w:p>
    <w:p w14:paraId="1D486F19" w14:textId="77777777" w:rsidR="009D7677" w:rsidRDefault="009D7677" w:rsidP="009D7677">
      <w:pPr>
        <w:pStyle w:val="TextoNormal"/>
      </w:pPr>
    </w:p>
    <w:p w14:paraId="31B3B3D0" w14:textId="77777777" w:rsidR="009D7677" w:rsidRDefault="009D7677" w:rsidP="009D7677">
      <w:pPr>
        <w:pStyle w:val="TextoNormal"/>
      </w:pPr>
      <w:r>
        <w:lastRenderedPageBreak/>
        <w:t>Pone de relieve, asimismo, la relación de este recurso de amparo con el recurso de amparo núm. 4481-2021, dado que el acuerdo de la Junta Electoral Central de 17 de octubre de 2019 puede entenderse como la respuesta a una solicitud de reconsideración del acuerdo de la Junta Electoral Central de 22 de julio de 2019, que dio origen a dicho recurso de amparo.</w:t>
      </w:r>
    </w:p>
    <w:p w14:paraId="4072C476" w14:textId="77777777" w:rsidR="009D7677" w:rsidRDefault="009D7677" w:rsidP="009D7677">
      <w:pPr>
        <w:pStyle w:val="TextoNormal"/>
      </w:pPr>
    </w:p>
    <w:p w14:paraId="7E6F4EB9" w14:textId="77777777" w:rsidR="009D7677" w:rsidRDefault="009D7677" w:rsidP="009D7677">
      <w:pPr>
        <w:pStyle w:val="TextoNormal"/>
      </w:pPr>
      <w:r>
        <w:t>b) Rebate la denuncia de vulneración del derecho a la tutela judicial efectiva y al derecho de igualdad por el supuesto trato discriminatorio que el demandante de amparo dice haber sufrido. En este sentido, expone el letrado de las Cortes Generales las razones por las que el caso del señor Ruiz Mateos, al que alude la demanda de amparo, es distinto del supuesto en que se hallaba el demandante de amparo. En particular destaca que la Junta Electoral Central resolvió siguiendo el criterio fijado por la Sala de lo Penal del Tribunal Supremo en el auto de 14 de junio de 2019 y que, en todo caso, dicha decisión no suponía la privación del escaño del recurrente ni de sus prerrogativas, sino solo la suspensión temporal de estas hasta la conclusión del proceso penal. Razona que la exigencia de presencialidad es una medida que persigue, en este caso, una finalidad legítima cual es asegurar los fines del proceso penal, necesaria en una sociedad democrática para la defensa del orden constitucional y la prevención de un delito de especial gravedad y respetuosa con el principio de proporcionalidad.</w:t>
      </w:r>
    </w:p>
    <w:p w14:paraId="269D54CF" w14:textId="77777777" w:rsidR="009D7677" w:rsidRDefault="009D7677" w:rsidP="009D7677">
      <w:pPr>
        <w:pStyle w:val="TextoNormal"/>
      </w:pPr>
    </w:p>
    <w:p w14:paraId="3DAAE3E0" w14:textId="77777777" w:rsidR="009D7677" w:rsidRDefault="009D7677" w:rsidP="009D7677">
      <w:pPr>
        <w:pStyle w:val="TextoNormal"/>
      </w:pPr>
      <w:r>
        <w:t>Por otro lado, incide en que el requisito de acatamiento de la Constitución de forma presencial ante la Junta Electoral Central se exigió también a los señores Puigdemont, Comín y Solé y a la señora Ponsatí, del mismo modo que al recurrente en amparo.</w:t>
      </w:r>
    </w:p>
    <w:p w14:paraId="4D63EE82" w14:textId="77777777" w:rsidR="009D7677" w:rsidRDefault="009D7677" w:rsidP="009D7677">
      <w:pPr>
        <w:pStyle w:val="TextoNormal"/>
      </w:pPr>
    </w:p>
    <w:p w14:paraId="27955A70" w14:textId="77777777" w:rsidR="009D7677" w:rsidRDefault="009D7677" w:rsidP="009D7677">
      <w:pPr>
        <w:pStyle w:val="TextoNormal"/>
      </w:pPr>
      <w:r>
        <w:t>Por lo que se refiere a los eurodiputados de los otros Estados miembros a quienes no se exige el acatamiento de sus respectivas normas fundamentales, opone el letrado de las Cortes Generales que el Derecho de la Unión Europea se remite a las legislaciones nacionales en todo aquello no regulado en el mismo en materia electoral.</w:t>
      </w:r>
    </w:p>
    <w:p w14:paraId="5702E398" w14:textId="77777777" w:rsidR="009D7677" w:rsidRDefault="009D7677" w:rsidP="009D7677">
      <w:pPr>
        <w:pStyle w:val="TextoNormal"/>
      </w:pPr>
    </w:p>
    <w:p w14:paraId="284C31A6" w14:textId="77777777" w:rsidR="009D7677" w:rsidRDefault="009D7677" w:rsidP="009D7677">
      <w:pPr>
        <w:pStyle w:val="TextoNormal"/>
      </w:pPr>
      <w:r>
        <w:t>Y en cuanto a la infracción del principio de equivalencia de trato entre los eurodiputados y los diputados del Congreso y los senadores, recuerda que en ambas Cámaras se exige el acatamiento presencial con carácter general, salvo una excepción de alcance muy limitado prevista en el art. 12 del Reglamento del Senado, y que en todo caso lo que pretende el recurrente es inaplicar el requisito previsto en la Ley Orgánica del régimen electoral general para soslayar o menoscabar la previa decisión judicial.</w:t>
      </w:r>
    </w:p>
    <w:p w14:paraId="7EF326B4" w14:textId="77777777" w:rsidR="009D7677" w:rsidRDefault="009D7677" w:rsidP="009D7677">
      <w:pPr>
        <w:pStyle w:val="TextoNormal"/>
      </w:pPr>
    </w:p>
    <w:p w14:paraId="4C69504E" w14:textId="77777777" w:rsidR="009D7677" w:rsidRDefault="009D7677" w:rsidP="009D7677">
      <w:pPr>
        <w:pStyle w:val="TextoNormal"/>
      </w:pPr>
      <w:r>
        <w:t>c) Se opone a la alegación relativa a la vulneración del derecho a la tutela judicial efectiva y al derecho a la igualdad por infracción del Derecho de la Unión Europea. Incide el escrito en que no hay ningún precepto en el acta electoral que prohíba exigir como requisito el acatamiento de la Constitución. Tras transcribir diversos pasajes de la STJUE de 19 de diciembre de 2019, señala que de los apartados 86 y 87 de la misma se desprende que la misma no descarta que el candidato electo deba cumplir ciertos requisitos previstos por el Derecho nacional, y por eso declara que goza de inmunidad desde la proclamación oficial de electo para poder cumplir estas formalidades, tanto ante las autoridades nacionales como ante el Parlamento Europeo. Razona que la jurisprudencia de la Sala de lo Contencioso-Administrativo fijada en las SSTS 722/2020 y 723/2020 es conforme con el Derecho de la Unión Europea.</w:t>
      </w:r>
    </w:p>
    <w:p w14:paraId="05C68732" w14:textId="77777777" w:rsidR="009D7677" w:rsidRDefault="009D7677" w:rsidP="009D7677">
      <w:pPr>
        <w:pStyle w:val="TextoNormal"/>
      </w:pPr>
    </w:p>
    <w:p w14:paraId="327861B8" w14:textId="7ABF7574" w:rsidR="009D7677" w:rsidRDefault="009D7677" w:rsidP="009D7677">
      <w:pPr>
        <w:pStyle w:val="TextoNormal"/>
      </w:pPr>
      <w:r>
        <w:lastRenderedPageBreak/>
        <w:t>d) En cuanto a la alegada vulneración del derecho a la tutela judicial efectiva en su vertiente de ejecución de resoluciones judiciales, afirma el letrado de las Cortes Generales que la demanda de amparo se basa en una premisa que no es cierta, en lo que se refiere al alcance de la cuestión prejudicial planteada por la Sala de lo Penal. Recuerda que la estimación del recurso de súplica por auto de 9 de enero de 2020 fue parcial y limitada a lo que en dicha resolución expresamente se indica.</w:t>
      </w:r>
    </w:p>
    <w:p w14:paraId="7D354F32" w14:textId="77777777" w:rsidR="009D7677" w:rsidRDefault="009D7677" w:rsidP="009D7677">
      <w:pPr>
        <w:pStyle w:val="TextoNormal"/>
      </w:pPr>
    </w:p>
    <w:p w14:paraId="017663B6" w14:textId="77777777" w:rsidR="009D7677" w:rsidRDefault="009D7677" w:rsidP="009D7677">
      <w:pPr>
        <w:pStyle w:val="TextoNormal"/>
      </w:pPr>
      <w:r w:rsidRPr="009D7677">
        <w:rPr>
          <w:rStyle w:val="NumeroAFNegritaCaracter"/>
        </w:rPr>
        <w:t>9</w:t>
      </w:r>
      <w:r>
        <w:t>. Por escrito registrado el 11 de julio de 2022, el fiscal ante el Tribunal Constitucional presentó sus alegaciones. Tras exponer los antecedentes del caso y los motivos en que funda el recurso de amparo, interesa su desestimación, en síntesis, por las siguientes razones:</w:t>
      </w:r>
    </w:p>
    <w:p w14:paraId="505C57E5" w14:textId="77777777" w:rsidR="009D7677" w:rsidRDefault="009D7677" w:rsidP="009D7677">
      <w:pPr>
        <w:pStyle w:val="TextoNormal"/>
      </w:pPr>
    </w:p>
    <w:p w14:paraId="482033EE" w14:textId="77777777" w:rsidR="009D7677" w:rsidRDefault="009D7677" w:rsidP="009D7677">
      <w:pPr>
        <w:pStyle w:val="TextoNormal"/>
      </w:pPr>
      <w:r>
        <w:t>a) Respecto a las vulneraciones que afectan sustancialmente a los arts. 23 y 24 CE, además del art. 14 CE, en relación con la aplicación del derecho europeo, reitera el informe del Ministerio Fiscal correspondiente al recurso de amparo 1194-2021. De dicho informe destaca, entre otras consideraciones, que el principal esfuerzo argumental del escrito de demanda se dedica a cuestionar la actuación de la Junta Electoral Central, confirmada por el Tribunal Supremo por entender que el art. 224.2 LOREG debió inaplicarse en cuanto resultaba contrario al Derecho de la Unión Europea. Así, el recurrente parece trasladar al Tribunal Constitucional la pretensión de que la lesión de sus derechos procede del hecho de que ni la Junta Electoral Central ni el Tribunal Supremo optaron por la inaplicación del citado art. 224.2 LOREG. En dicho informe se descarta la vulneración del derecho a la representación política (art. 23 CE) y de los derechos conexos que se invocan, ya que se trata de un derecho de configuración legal y ni la normativa nacional ni la normativa europea relativa al procedimiento de acceso al cargo de parlamentario europeo que integran su contenido esencial se oponen a la exigencia del requisito de acatamiento presencial de la Constitución. En tal sentido no existe, según su criterio, un pronunciamiento del Tribunal de Justicia de la Unión Europea al respecto, pues la STJUE de 19 de diciembre de 2019 no se ocupa del acceso al ejercicio pleno de la condición de diputado, sino de la inmunidad de los diputados electos. Tampoco, sostiene el fiscal, otra norma o regla del Derecho de la Unión Europea acredita la incompatibilidad con tal Derecho del art. 224.2 LOREG.</w:t>
      </w:r>
    </w:p>
    <w:p w14:paraId="21A16D45" w14:textId="77777777" w:rsidR="009D7677" w:rsidRDefault="009D7677" w:rsidP="009D7677">
      <w:pPr>
        <w:pStyle w:val="TextoNormal"/>
      </w:pPr>
    </w:p>
    <w:p w14:paraId="6034F388" w14:textId="77777777" w:rsidR="009D7677" w:rsidRDefault="009D7677" w:rsidP="009D7677">
      <w:pPr>
        <w:pStyle w:val="TextoNormal"/>
      </w:pPr>
      <w:r>
        <w:t xml:space="preserve">b) Se opone también a la pretendida vulneración del principio de igualdad (art. 14 CE y de los arts. 24 y 23 CE). En relación con la comparación entre su situación y la del señor Ruiz Mateos, entiende que su situación no coincide con la del señor Ruiz Mateos, pues este no se hallaba privado de libertad, sino que la imposibilidad de cumplir presencialmente el requisito de acatamiento venía motivada por razones de salud. De otra parte, respecto a los señores Puigdemont, Comín y Solé y la señora Ponsatí, recuerda que este requisito ha sido igualmente exigido por la Junta Electoral Central, en los mismos términos que al recurrente. Cuestión distinta son los efectos de facto que se reconocen como consecuencia de la proclamación de diputados por el presidente del Parlamento Europeo. Tampoco aprecia discriminación respecto de los diputados al Parlamento Europeo de otros Estados miembros, porque la diferencia de trato viene justificada por la remisión que hace el Derecho de la Unión Europea a las disposiciones nacionales de los Estados miembros en todo lo no previsto en el acta electoral europea. En cuanto a los diputados y senadores, niega que hayan padecido discriminación pues tanto el Reglamento del Congreso como el del Senado exigen el acatamiento presencial, con una mínima excepción en el caso de este </w:t>
      </w:r>
      <w:r>
        <w:lastRenderedPageBreak/>
        <w:t>último, que contempla la enfermedad y la imposibilidad física como circunstancias para posponer la obligación de acatamiento. Considera, en fin, que la inexistencia de un término de comparación válido en los supuestos alegados por el recurrente y la falta de evidencia de un tratamiento desigual en relación con el mismo, determinan también que las resoluciones impugnadas no puedan considerarse inmotivadas o arbitrarias.</w:t>
      </w:r>
    </w:p>
    <w:p w14:paraId="572BAB49" w14:textId="77777777" w:rsidR="009D7677" w:rsidRDefault="009D7677" w:rsidP="009D7677">
      <w:pPr>
        <w:pStyle w:val="TextoNormal"/>
      </w:pPr>
    </w:p>
    <w:p w14:paraId="0F8584B9" w14:textId="77777777" w:rsidR="009D7677" w:rsidRDefault="009D7677" w:rsidP="009D7677">
      <w:pPr>
        <w:pStyle w:val="TextoNormal"/>
      </w:pPr>
      <w:r>
        <w:t>c) De otra parte, rechaza la vulneración del derecho a la tutela judicial efectiva por insuficiente motivación al validar la sentencia del Tribunal Supremo 375/2021 el acuerdo de la Junta Electoral Central de 17 de octubre de 2019.</w:t>
      </w:r>
    </w:p>
    <w:p w14:paraId="3726EB3F" w14:textId="77777777" w:rsidR="009D7677" w:rsidRDefault="009D7677" w:rsidP="009D7677">
      <w:pPr>
        <w:pStyle w:val="TextoNormal"/>
      </w:pPr>
    </w:p>
    <w:p w14:paraId="18464B46" w14:textId="08FAA693" w:rsidR="009D7677" w:rsidRDefault="009D7677" w:rsidP="009D7677">
      <w:pPr>
        <w:pStyle w:val="TextoNormal"/>
      </w:pPr>
      <w:r>
        <w:t>En resumen, el Ministerio Fiscal considera que no cabe apreciar las vulneraciones de derechos fundamentales alegadas, en cuanto que se ha realizado una interpretación del derecho nacional y del derecho europeo que determina la aplicación del art. 224.2 LOREG, precepto que no ha sido excluido de nuestro ordenamiento jurídico ni existe pronunciamiento judicial que declare su incompatibilidad con el derecho europeo, sin que haya quedado acreditado un término de comparación válido que justifique un tratamiento discriminatorio del recurrente.</w:t>
      </w:r>
    </w:p>
    <w:p w14:paraId="0FAEA957" w14:textId="77777777" w:rsidR="009D7677" w:rsidRDefault="009D7677" w:rsidP="009D7677">
      <w:pPr>
        <w:pStyle w:val="TextoNormal"/>
      </w:pPr>
    </w:p>
    <w:p w14:paraId="1E933A7C" w14:textId="11377221" w:rsidR="009D7677" w:rsidRDefault="009D7677" w:rsidP="009D7677">
      <w:pPr>
        <w:pStyle w:val="TextoNormal"/>
      </w:pPr>
      <w:r w:rsidRPr="009D7677">
        <w:rPr>
          <w:rStyle w:val="NumeroAFNegritaCaracter"/>
        </w:rPr>
        <w:t>10</w:t>
      </w:r>
      <w:r>
        <w:t>. Por providencia de 26 de octubre de 2022, el Pleno, a propuesta de la Sala Segunda, acuerda recabar para sí el conocimiento de recurso de amparo que se tramita en dicha Sala con el número 4247-2021, interpuesto por don Oriol Junqueras i Vies.</w:t>
      </w:r>
    </w:p>
    <w:p w14:paraId="10BDD9A6" w14:textId="77777777" w:rsidR="009D7677" w:rsidRDefault="009D7677" w:rsidP="009D7677">
      <w:pPr>
        <w:pStyle w:val="TextoNormal"/>
      </w:pPr>
    </w:p>
    <w:p w14:paraId="3F9A2155" w14:textId="16FD7E97" w:rsidR="009D7677" w:rsidRDefault="009D7677" w:rsidP="009D7677">
      <w:pPr>
        <w:pStyle w:val="TextoNormal"/>
      </w:pPr>
      <w:r w:rsidRPr="009D7677">
        <w:rPr>
          <w:rStyle w:val="NumeroAFNegritaCaracter"/>
        </w:rPr>
        <w:t>11</w:t>
      </w:r>
      <w:r>
        <w:t>. Por providencia de 12 de marzo de 2024, se señaló ese mismo día para deliberación y votación de la presente sentencia.</w:t>
      </w:r>
    </w:p>
    <w:p w14:paraId="6DB3BB2C" w14:textId="77777777" w:rsidR="009D7677" w:rsidRDefault="009D7677" w:rsidP="009D7677">
      <w:pPr>
        <w:pStyle w:val="TextoNormal"/>
      </w:pPr>
    </w:p>
    <w:p w14:paraId="18E51D71" w14:textId="77777777" w:rsidR="009D7677" w:rsidRDefault="009D7677" w:rsidP="009D7677">
      <w:pPr>
        <w:pStyle w:val="TextoNormalNegritaCentrado"/>
        <w:keepNext/>
      </w:pPr>
      <w:r>
        <w:t>II. Fundamentos jurídicos</w:t>
      </w:r>
    </w:p>
    <w:p w14:paraId="319BB203" w14:textId="3D08E279" w:rsidR="009D7677" w:rsidRDefault="009D7677" w:rsidP="009D7677">
      <w:pPr>
        <w:pStyle w:val="TextoNormalNegritaCentrado"/>
        <w:keepNext/>
      </w:pPr>
    </w:p>
    <w:p w14:paraId="292878ED" w14:textId="77777777" w:rsidR="009D7677" w:rsidRDefault="009D7677" w:rsidP="009D7677">
      <w:pPr>
        <w:pStyle w:val="TextoNormal"/>
      </w:pPr>
      <w:r w:rsidRPr="009D7677">
        <w:rPr>
          <w:rStyle w:val="NumeroAFNegritaCaracter"/>
        </w:rPr>
        <w:t>1</w:t>
      </w:r>
      <w:r>
        <w:t xml:space="preserve">. </w:t>
      </w:r>
      <w:r w:rsidRPr="009D7677">
        <w:rPr>
          <w:i/>
        </w:rPr>
        <w:t>Determinación del objeto de la pretensión de amparo</w:t>
      </w:r>
    </w:p>
    <w:p w14:paraId="60E3A165" w14:textId="77777777" w:rsidR="009D7677" w:rsidRDefault="009D7677" w:rsidP="009D7677">
      <w:pPr>
        <w:pStyle w:val="TextoNormal"/>
      </w:pPr>
    </w:p>
    <w:p w14:paraId="1CFF5339" w14:textId="77777777" w:rsidR="009D7677" w:rsidRDefault="009D7677" w:rsidP="009D7677">
      <w:pPr>
        <w:pStyle w:val="TextoNormal"/>
      </w:pPr>
      <w:r>
        <w:t>El recurso de amparo se dirige contra la sentencia 375/2021, de 17 de marzo, de la Sección Cuarta de la Sala de lo Contencioso-Administrativo del Tribunal Supremo, por la que se desestimó el recurso contencioso administrativo ordinario núm. 436-2019 interpuesto contra el acuerdo de la Junta Electoral Central de 17 de octubre de 2019, adoptado en los expedientes núm. 561-77 y 561-78, y la providencia de 10 de mayo de 2021 por la que se acordó inadmitir el incidente de nulidad de actuaciones promovido contra dicha sentencia.</w:t>
      </w:r>
    </w:p>
    <w:p w14:paraId="4C737A17" w14:textId="77777777" w:rsidR="009D7677" w:rsidRDefault="009D7677" w:rsidP="009D7677">
      <w:pPr>
        <w:pStyle w:val="TextoNormal"/>
      </w:pPr>
    </w:p>
    <w:p w14:paraId="40E4B328" w14:textId="77777777" w:rsidR="009D7677" w:rsidRDefault="009D7677" w:rsidP="009D7677">
      <w:pPr>
        <w:pStyle w:val="TextoNormal"/>
      </w:pPr>
      <w:r>
        <w:t>El citado acuerdo de la Junta Electoral Central de 17 de octubre de 2019 desestimó dos solicitudes del recurrente. De una parte, que se facilitase la credencial acreditativa de diputado electo del Parlamento Europeo, aceptando la escritura pública notarial en la que decía manifestar su acatamiento constitucional. De otra parte, se solicitaba dicha credencial por no resultar aplicable al art. 224.2 LOREG.</w:t>
      </w:r>
    </w:p>
    <w:p w14:paraId="15B83151" w14:textId="77777777" w:rsidR="009D7677" w:rsidRDefault="009D7677" w:rsidP="009D7677">
      <w:pPr>
        <w:pStyle w:val="TextoNormal"/>
      </w:pPr>
    </w:p>
    <w:p w14:paraId="02B5FDE3" w14:textId="008E2448" w:rsidR="009D7677" w:rsidRDefault="009D7677" w:rsidP="009D7677">
      <w:pPr>
        <w:pStyle w:val="TextoNormal"/>
      </w:pPr>
      <w:r>
        <w:t xml:space="preserve">Pues bien, como resulta de los antecedentes de esta sentencia y pone de relieve el letrado de las Cortes Generales, la mayor parte de las vulneraciones que se aducen resultan imputables al acuerdo de la Junta Electoral Central, y a las resoluciones judiciales solo en cuanto no repararon la vulneración que, al entender de la demanda, habría producido la decisión de la Junta Electoral Central. Esto es, lo que se plantea es si dicha resolución, </w:t>
      </w:r>
      <w:r>
        <w:lastRenderedPageBreak/>
        <w:t>ratificada judicialmente, constituye una limitación ilegítima de su derecho a acceder y ejercer conforme a la ley, en condiciones de igualdad, el cargo público representativo (art. 23.2 CE). La finalidad declarada de la impugnación del acuerdo de la Junta Electoral Central era acceder plenamente al ejercicio del cargo electivo de diputado del Parlamento Europeo a pesar de no haber dado cumplimiento presencial al requisito de acatamiento de la Constitución, recogido en el art. 224.2 LOREG. A esta pretensión nuclear son instrumentales el resto de los motivos en los que se fundamenta el recurso de amparo.</w:t>
      </w:r>
    </w:p>
    <w:p w14:paraId="28FA0197" w14:textId="77777777" w:rsidR="009D7677" w:rsidRDefault="009D7677" w:rsidP="009D7677">
      <w:pPr>
        <w:pStyle w:val="TextoNormal"/>
      </w:pPr>
    </w:p>
    <w:p w14:paraId="1188F84F" w14:textId="77777777" w:rsidR="009D7677" w:rsidRDefault="009D7677" w:rsidP="009D7677">
      <w:pPr>
        <w:pStyle w:val="TextoNormal"/>
      </w:pPr>
      <w:r w:rsidRPr="009D7677">
        <w:rPr>
          <w:rStyle w:val="NumeroAFNegritaCaracter"/>
        </w:rPr>
        <w:t>2</w:t>
      </w:r>
      <w:r>
        <w:t xml:space="preserve">. </w:t>
      </w:r>
      <w:r w:rsidRPr="009D7677">
        <w:rPr>
          <w:i/>
        </w:rPr>
        <w:t>Aplicación de la doctrina sentada en la STC 31/2024, de 28 de febrero, y en las SSTC 144/2022, de 15 de noviembre, y 148/2022, de 29 de noviembre</w:t>
      </w:r>
    </w:p>
    <w:p w14:paraId="063B8612" w14:textId="77777777" w:rsidR="009D7677" w:rsidRDefault="009D7677" w:rsidP="009D7677">
      <w:pPr>
        <w:pStyle w:val="TextoNormal"/>
      </w:pPr>
    </w:p>
    <w:p w14:paraId="470FCCA8" w14:textId="77777777" w:rsidR="009D7677" w:rsidRDefault="009D7677" w:rsidP="009D7677">
      <w:pPr>
        <w:pStyle w:val="TextoNormal"/>
      </w:pPr>
      <w:r>
        <w:t>El objeto de este recurso de amparo es semejante a otros entablados ante este tribunal frente a otros acuerdos de la Junta Electoral Central, dictados paralelamente en el tiempo respecto tanto del ahora recurrente en amparo como de otros diputados electos al Parlamento Europeo, en los que al igual que en el caso presente se rechaza la posibilidad de cumplimiento no presencial del requisito de acatamiento de la Constitución o de incumplimiento de dicho requisito.</w:t>
      </w:r>
    </w:p>
    <w:p w14:paraId="448126B8" w14:textId="77777777" w:rsidR="009D7677" w:rsidRDefault="009D7677" w:rsidP="009D7677">
      <w:pPr>
        <w:pStyle w:val="TextoNormal"/>
      </w:pPr>
    </w:p>
    <w:p w14:paraId="7A6B821F" w14:textId="77777777" w:rsidR="009D7677" w:rsidRDefault="009D7677" w:rsidP="009D7677">
      <w:pPr>
        <w:pStyle w:val="TextoNormal"/>
      </w:pPr>
      <w:r>
        <w:t>Especialmente relevante para la resolución del presente recurso de amparo es la STC 31/2024, de 28 de febrero, dado que, como también ha puesto de relieve el letrado de las Cortes Generales y de la Junta Electoral Central, el acuerdo de la Junta Electoral Central de 17 de octubre de 2019 puede entenderse como la respuesta a una solicitud de reconsideración del acuerdo de la Junta Electoral Central de 22 de julio de 2019, que dio origen al recurso de amparo que resolvió la citada sentencia. En dicho acuerdo de la Junta Electoral Central de 22 de julio de 2019, adoptado en el expediente núm. 561-76, se denegó al ahora recurrente en amparo la posibilidad de emplear medios distintos a la comparecencia personal ante la Junta Electoral Central para el acto de promesa de acatamiento de la Constitución y del resto del ordenamiento jurídico para completar los trámites de acceso a la condición de parlamentario europeo, y con las resoluciones judiciales posteriores a la interposición del recurso contencioso administrativo contra el anterior acuerdo.</w:t>
      </w:r>
    </w:p>
    <w:p w14:paraId="09E18FFC" w14:textId="77777777" w:rsidR="009D7677" w:rsidRDefault="009D7677" w:rsidP="009D7677">
      <w:pPr>
        <w:pStyle w:val="TextoNormal"/>
      </w:pPr>
    </w:p>
    <w:p w14:paraId="1D70F193" w14:textId="77777777" w:rsidR="009D7677" w:rsidRDefault="009D7677" w:rsidP="009D7677">
      <w:pPr>
        <w:pStyle w:val="TextoNormal"/>
      </w:pPr>
      <w:r>
        <w:t>La coincidencia sustancial en el objeto del recurso de amparo y los motivos de amparo, bien es cierto que proyectados a resoluciones diversas e incluso dictadas en procedimientos judiciales distintos, pero atinentes en todo caso al acceso pleno al ejercicio del cargo electivo de parlamentario europeo que pretendía la parte actora, conduce a este tribunal a resolver el presente proceso constitucional conforme a los términos fijados en la citada STC 31/2024 que, a su vez, aplicó las SSTC 144/2022 y 148/2022.</w:t>
      </w:r>
    </w:p>
    <w:p w14:paraId="6C5E7BC8" w14:textId="77777777" w:rsidR="009D7677" w:rsidRDefault="009D7677" w:rsidP="009D7677">
      <w:pPr>
        <w:pStyle w:val="TextoNormal"/>
      </w:pPr>
    </w:p>
    <w:p w14:paraId="5DC3B695" w14:textId="77777777" w:rsidR="009D7677" w:rsidRDefault="009D7677" w:rsidP="009D7677">
      <w:pPr>
        <w:pStyle w:val="TextoNormal"/>
      </w:pPr>
      <w:r>
        <w:t xml:space="preserve">Como pusimos de relieve en la citada STC 31/2024, FJ único, “del mismo modo que en la STC 144/2022 y la STC 148/2022, debemos tomar en consideración la circunstancia de que, en la sesión plenaria de 13 de enero de 2020, a raíz de la STJUE de 19 de diciembre de 2019 (asunto </w:t>
      </w:r>
      <w:r w:rsidRPr="009D7677">
        <w:rPr>
          <w:i/>
        </w:rPr>
        <w:t>Junqueras Vies</w:t>
      </w:r>
      <w:r>
        <w:t>, C-502/19), se hizo efectivo el reconocimiento del recurrente por el Parlamento Europeo como diputado con efectos retroactivos a partir del 2 de julio de 2019, fecha en la que se celebró su primera sesión tras las elecciones de 26 de mayo de 2019”.</w:t>
      </w:r>
    </w:p>
    <w:p w14:paraId="1869BB58" w14:textId="77777777" w:rsidR="009D7677" w:rsidRDefault="009D7677" w:rsidP="009D7677">
      <w:pPr>
        <w:pStyle w:val="TextoNormal"/>
      </w:pPr>
    </w:p>
    <w:p w14:paraId="7C4DEBDC" w14:textId="77777777" w:rsidR="009D7677" w:rsidRDefault="009D7677" w:rsidP="009D7677">
      <w:pPr>
        <w:pStyle w:val="TextoNormal"/>
      </w:pPr>
      <w:r>
        <w:t xml:space="preserve">También como afirmamos en dicha sentencia debemos entender ahora que la relevancia de esta circunstancia entronca con la pretensión del demandante en todas las instancias y </w:t>
      </w:r>
      <w:r>
        <w:lastRenderedPageBreak/>
        <w:t>procedimientos de acceder sin restricciones ni dilación al ejercicio del cargo de diputado europeo tras la proclamación por la Junta Electoral Central de los diputados electos el 13 de junio de 2019. Esa pretensión ha obtenido satisfacción extraprocesal por la decisión del Parlamento Europeo de 13 de enero de 2020, previa a la interposición del presente recurso de amparo.</w:t>
      </w:r>
    </w:p>
    <w:p w14:paraId="428BF502" w14:textId="77777777" w:rsidR="009D7677" w:rsidRDefault="009D7677" w:rsidP="009D7677">
      <w:pPr>
        <w:pStyle w:val="TextoNormal"/>
      </w:pPr>
    </w:p>
    <w:p w14:paraId="3E1B3D99" w14:textId="77777777" w:rsidR="009D7677" w:rsidRDefault="009D7677" w:rsidP="009D7677">
      <w:pPr>
        <w:pStyle w:val="TextoNormal"/>
      </w:pPr>
      <w:r>
        <w:t>Como recordamos en la STC 144/2022, FJ 3, “la satisfacción extraprocesal de las pretensiones formuladas en amparo y la desaparición sobrevenida del objeto del proceso, aun cuando no contempladas expresamente en el artículo 86.1 LOTC (pero sí en el art. 22 de la Ley de enjuiciamiento civil), han sido admitidas por este tribunal como una de las formas de terminación de los distintos procesos constitucionales [entre otras, SSTC 42/1982, de 4 de julio; 151/1990, de 4 de octubre, FJ 4; 139/1992, de 13 de octubre, FJ 2; 57/1993, de 15 de febrero, FJ único; 69/1997, de 8 de abril, FJ 4; 257/2000, de 30 de octubre, FJ 1; 10/2001, de 29 de enero, FJ 2; 73/2018, de 5 de julio, FJ 2; 52/2021, de 15 de marzo, FJ 2 b), y 120/2021, de 31 de mayo, FJ 2]. Así lo hemos apreciado en numerosos procesos como el presente pues, el recurso de amparo es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En tal medida, con carácter general, hemos rechazado las pretensiones puramente declarativas desvinculadas de una lesión actual, real y efectiva del derecho invocado (STC 131/1998, de 16 de junio, FJ 2). Por ello, cuando la pretensión ejercitada dirigida al restablecimiento o la preservación de aquellos derechos se ha visto satisfecha fuera del propio proceso de amparo y la lesión constitucional denunciada no pervive, debe concluirse que este carece desde ese momento de objeto sobre el que deba pronunciarse este tribunal (SSTC 73/2018, de 5 de julio, FJ 2; 52/2019, de 11 de abril, FJ 3, y 161/2020, de 16 de noviembre, FJ único)”.</w:t>
      </w:r>
    </w:p>
    <w:p w14:paraId="278B427F" w14:textId="77777777" w:rsidR="009D7677" w:rsidRDefault="009D7677" w:rsidP="009D7677">
      <w:pPr>
        <w:pStyle w:val="TextoNormal"/>
      </w:pPr>
    </w:p>
    <w:p w14:paraId="283C4DB7" w14:textId="77777777" w:rsidR="009D7677" w:rsidRDefault="009D7677" w:rsidP="009D7677">
      <w:pPr>
        <w:pStyle w:val="TextoNormal"/>
      </w:pPr>
      <w:r>
        <w:t xml:space="preserve">El pleno reconocimiento del recurrente como diputado del Parlamento Europeo el 13 de enero de 2020, pero con efectos retroactivos a la fecha de la primera sesión de la legislatura de 2 de julio de 2019, supone una reparación </w:t>
      </w:r>
      <w:r w:rsidRPr="009D7677">
        <w:rPr>
          <w:i/>
        </w:rPr>
        <w:t>de facto</w:t>
      </w:r>
      <w:r>
        <w:t xml:space="preserve"> de los derechos fundamentales que de forma nuclear constituye el contenido de la pretensión de amparo, lo que permite apreciar la extinción del objeto de la pretensión de amparo formulada por no subsistir al tiempo de la formulación de la demanda los efectos de la decisión de la Junta Electoral Central cuestionada.</w:t>
      </w:r>
    </w:p>
    <w:p w14:paraId="7FAF5CB8" w14:textId="77777777" w:rsidR="009D7677" w:rsidRDefault="009D7677" w:rsidP="009D7677">
      <w:pPr>
        <w:pStyle w:val="TextoNormal"/>
      </w:pPr>
    </w:p>
    <w:p w14:paraId="36DE73FA" w14:textId="57888363" w:rsidR="009D7677" w:rsidRDefault="009D7677" w:rsidP="009D7677">
      <w:pPr>
        <w:pStyle w:val="TextoNormal"/>
      </w:pPr>
      <w:r>
        <w:t>Finalmente, como también entendimos en la citada STC 31/2024, FJ único, la desestimación por esta razón, no por razones de fondo, hace innecesario el análisis del resto de pretensiones de amparo planteadas de forma derivada o subsidiaria que están relacionadas y cuestionan la revisión judicial de la decisión de la Junta Electoral Central, pues todas ellas reiteran o tienen que ver de forma decisiva con la primera pretensión, cuya desestimación hemos acordado. No cabe olvidar que, en este caso, como también constató la STC 144/2022 respecto a las resoluciones judiciales entonces impugnadas, la actuación jurisdiccional reclamada lo era únicamente en su doble condición de revisora de la actuación de la Junta Electoral Central y garante de los derechos fundamentales afectados por sus decisiones, por lo que la satisfacción extraprocesal de la pretensión principal se extiende a sus derivadas.</w:t>
      </w:r>
    </w:p>
    <w:p w14:paraId="52226719" w14:textId="77777777" w:rsidR="009D7677" w:rsidRDefault="009D7677" w:rsidP="009D7677">
      <w:pPr>
        <w:pStyle w:val="TextoNormal"/>
      </w:pPr>
    </w:p>
    <w:p w14:paraId="4D2F17C8" w14:textId="77777777" w:rsidR="009D7677" w:rsidRDefault="009D7677" w:rsidP="009D7677">
      <w:pPr>
        <w:pStyle w:val="TextoNormalCentrado"/>
        <w:keepNext/>
      </w:pPr>
      <w:r>
        <w:lastRenderedPageBreak/>
        <w:t>FALLO</w:t>
      </w:r>
    </w:p>
    <w:p w14:paraId="25F74254" w14:textId="19B844AB" w:rsidR="009D7677" w:rsidRDefault="009D7677" w:rsidP="009D7677">
      <w:pPr>
        <w:pStyle w:val="TextoNormalCentrado"/>
        <w:keepNext/>
      </w:pPr>
    </w:p>
    <w:p w14:paraId="3F1DC950" w14:textId="2396378D" w:rsidR="009D7677" w:rsidRDefault="009D7677" w:rsidP="009D7677">
      <w:pPr>
        <w:pStyle w:val="TextoNormal"/>
      </w:pPr>
      <w:r>
        <w:t>En atención a todo lo expuesto, el Tribunal Constitucional, por la autoridad que le confiere la Constitución de la Nación española, ha decidido desestimar el recurso de amparo interpuesto por don Oriol Junqueras i Vies como consecuencia de la satisfacción extraprocesal de las pretensiones planteadas, lo que supone su pérdida de objeto.</w:t>
      </w:r>
    </w:p>
    <w:p w14:paraId="609D67D9" w14:textId="77777777" w:rsidR="009D7677" w:rsidRDefault="009D7677" w:rsidP="009D7677">
      <w:pPr>
        <w:pStyle w:val="TextoNormal"/>
      </w:pPr>
    </w:p>
    <w:p w14:paraId="15B3651B" w14:textId="77777777" w:rsidR="009D7677" w:rsidRDefault="009D7677" w:rsidP="009D7677">
      <w:pPr>
        <w:pStyle w:val="TextoNormal"/>
      </w:pPr>
      <w:r>
        <w:t>Publíquese esta sentencia en el “Boletín Oficial del Estado”.</w:t>
      </w:r>
    </w:p>
    <w:p w14:paraId="446261A3" w14:textId="77777777" w:rsidR="009D7677" w:rsidRDefault="009D7677" w:rsidP="009D7677">
      <w:pPr>
        <w:pStyle w:val="TextoNormal"/>
      </w:pPr>
      <w:r>
        <w:t>Dada en Madrid, a doce de marzo de dos mil veinticuatro.</w:t>
      </w:r>
    </w:p>
    <w:p w14:paraId="335D8EFB" w14:textId="27430887" w:rsidR="009D7677" w:rsidRDefault="009D7677">
      <w:pPr>
        <w:spacing w:after="160" w:line="259" w:lineRule="auto"/>
        <w:rPr>
          <w:rFonts w:ascii="Times New Roman" w:eastAsia="Times New Roman" w:hAnsi="Times New Roman" w:cs="Times New Roman"/>
          <w:sz w:val="24"/>
          <w:szCs w:val="24"/>
          <w:lang w:eastAsia="es-ES"/>
        </w:rPr>
      </w:pPr>
      <w:r>
        <w:br w:type="page"/>
      </w:r>
    </w:p>
    <w:p w14:paraId="3AB8608D" w14:textId="77777777" w:rsidR="009D7677" w:rsidRDefault="009D7677" w:rsidP="009D7677">
      <w:pPr>
        <w:pStyle w:val="TtuloResolucin"/>
      </w:pPr>
      <w:bookmarkStart w:id="48" w:name="SENTENCIA_2024_46"/>
      <w:r>
        <w:lastRenderedPageBreak/>
        <w:t>SENTENCIA 46/2024, de 12 de marzo de 2024</w:t>
      </w:r>
    </w:p>
    <w:bookmarkEnd w:id="48"/>
    <w:p w14:paraId="24C89184" w14:textId="77777777" w:rsidR="009D7677" w:rsidRDefault="009D7677" w:rsidP="009D7677">
      <w:pPr>
        <w:pStyle w:val="TtuloResolucin"/>
      </w:pPr>
      <w:r>
        <w:t>Pleno</w:t>
      </w:r>
    </w:p>
    <w:p w14:paraId="2390B842" w14:textId="77777777" w:rsidR="009D7677" w:rsidRDefault="009D7677" w:rsidP="009D7677">
      <w:pPr>
        <w:pStyle w:val="TtuloBOE"/>
      </w:pPr>
      <w:r>
        <w:t>(BOE núm. 99, de 23 de abril de 2024)</w:t>
      </w:r>
    </w:p>
    <w:p w14:paraId="42D5CA15" w14:textId="77777777" w:rsidR="009D7677" w:rsidRDefault="009D7677" w:rsidP="009D7677">
      <w:pPr>
        <w:pStyle w:val="TextoNormalCentrado"/>
      </w:pPr>
      <w:r>
        <w:t>ECLI:ES:TC:2024:46</w:t>
      </w:r>
    </w:p>
    <w:p w14:paraId="5D51977A" w14:textId="1E2D16F0" w:rsidR="009D7677" w:rsidRDefault="009D7677" w:rsidP="009D7677">
      <w:pPr>
        <w:pStyle w:val="TextoNormalCentrado"/>
      </w:pPr>
    </w:p>
    <w:p w14:paraId="18D2BD0F" w14:textId="77777777" w:rsidR="009D7677" w:rsidRDefault="009D7677" w:rsidP="009D7677">
      <w:pPr>
        <w:pStyle w:val="SntesisDescriptiva"/>
      </w:pPr>
      <w:r>
        <w:t>Cuestión prejudicial de validez sobre normas forales fiscales 5349-2023. Planteada por el Juzgado de lo Contencioso-Administrativo núm. 3 de Donostia-San Sebastián, en relación con diversos preceptos de la Norma Foral del territorio histórico de Gipuzkoa 16/1989, de 5 de julio, del impuesto sobre el incremento del valor de los terrenos de naturaleza urbana.</w:t>
      </w:r>
    </w:p>
    <w:p w14:paraId="0E169E10" w14:textId="523365BC" w:rsidR="009D7677" w:rsidRDefault="009D7677" w:rsidP="009D7677">
      <w:pPr>
        <w:pStyle w:val="SntesisDescriptiva"/>
      </w:pPr>
    </w:p>
    <w:p w14:paraId="40163D13" w14:textId="77777777" w:rsidR="009D7677" w:rsidRDefault="009D7677" w:rsidP="009D7677">
      <w:pPr>
        <w:pStyle w:val="SntesisAnaltica"/>
      </w:pPr>
      <w:r>
        <w:t>Principio de capacidad contributiva y prohibición de confiscatoriedad: nulidad de los preceptos reguladores del impuesto sobre el valor de los terrenos de naturaleza urbana que establecen un sistema objetivo y de imperativa aplicación para la determinación de la base imponible (STC 182/2021). Voto particular.</w:t>
      </w:r>
    </w:p>
    <w:p w14:paraId="758D5D6B" w14:textId="51C9A6F1" w:rsidR="009D7677" w:rsidRDefault="009D7677" w:rsidP="009D7677">
      <w:pPr>
        <w:pStyle w:val="SntesisAnaltica"/>
      </w:pPr>
    </w:p>
    <w:p w14:paraId="4730CF62" w14:textId="671069F3" w:rsidR="009D7677" w:rsidRDefault="009D7677" w:rsidP="009D7677">
      <w:pPr>
        <w:pStyle w:val="Extracto"/>
      </w:pPr>
      <w:r>
        <w:t>1.</w:t>
      </w:r>
      <w:r>
        <w:tab/>
        <w:t xml:space="preserve">La renuncia a gravar según la capacidad económica (real) manifestada en el hecho imponible estableciendo bases objetivas o estimativas no puede ser arbitraria, sino que exige justificación objetiva y razonable; justificación que debe ser más sólida cuanto más se aleje de la realidad el método objetivo elegido normativamente. La falta de conexión entre el hecho imponible y la base imponible no sería inconstitucional </w:t>
      </w:r>
      <w:r w:rsidRPr="009D7677">
        <w:rPr>
          <w:i/>
        </w:rPr>
        <w:t>per se,</w:t>
      </w:r>
      <w:r>
        <w:t xml:space="preserve"> salvo que carezca de justificación objetiva y razonable (STC 182/2021) [FJ 3].</w:t>
      </w:r>
    </w:p>
    <w:p w14:paraId="2DFD63FC" w14:textId="77777777" w:rsidR="009D7677" w:rsidRDefault="009D7677" w:rsidP="009D7677">
      <w:pPr>
        <w:pStyle w:val="Extracto"/>
      </w:pPr>
    </w:p>
    <w:p w14:paraId="074A1482" w14:textId="48A312A1" w:rsidR="009D7677" w:rsidRDefault="009D7677" w:rsidP="009D7677">
      <w:pPr>
        <w:pStyle w:val="Extracto"/>
      </w:pPr>
      <w:r>
        <w:t>2.</w:t>
      </w:r>
      <w:r>
        <w:tab/>
        <w:t>El hecho de que el legislador opte por un método de estimación objetiva de imperativa aplicación para la determinación de la base imponible del IIVTNU, renunciando a la valoración real de ese incremento tiene como fin proporcionar un instrumento simplificado de cálculo que facilite la aplicación del impuesto a las dos partes de la obligación tributaria; y para que ello sea constitucionalmente legítimo debe: (i) bien no erigirse en método único de determinación de la base imponible permitiéndose legalmente las estimaciones directas del incremento de valor, (ii) bien gravar incrementos medios o presuntos (potenciales); esto es, aquellos que previsiblemente o presumiblemente se producen con el paso del tiempo en todo terreno de naturaleza urbana (SSTC 26/2017 o 182/2021) [FJ 3].</w:t>
      </w:r>
    </w:p>
    <w:p w14:paraId="4C7EF8A4" w14:textId="77777777" w:rsidR="009D7677" w:rsidRDefault="009D7677" w:rsidP="009D7677">
      <w:pPr>
        <w:pStyle w:val="Extracto"/>
      </w:pPr>
    </w:p>
    <w:p w14:paraId="587E84A2" w14:textId="5830A75A" w:rsidR="009D7677" w:rsidRDefault="009D7677" w:rsidP="009D7677">
      <w:pPr>
        <w:pStyle w:val="Extracto"/>
      </w:pPr>
      <w:r>
        <w:t>3.</w:t>
      </w:r>
      <w:r>
        <w:tab/>
        <w:t xml:space="preserve">El mantenimiento del sistema objetivo de determinación de la base imponible, si es ajeno a la realidad del mercado inmobiliario y de la crisis económica y, por tanto, estar al margen de la capacidad económica gravada por el impuesto y demostrada por el contribuyente, vulnera el principio de capacidad económica como criterio de imposición </w:t>
      </w:r>
      <w:r w:rsidRPr="009D7677">
        <w:rPr>
          <w:i/>
        </w:rPr>
        <w:t>ex</w:t>
      </w:r>
      <w:r>
        <w:t xml:space="preserve"> art. 31.1 CE (STC 182/2021) [FJ 3].</w:t>
      </w:r>
    </w:p>
    <w:p w14:paraId="217E5937" w14:textId="77777777" w:rsidR="009D7677" w:rsidRDefault="009D7677" w:rsidP="009D7677">
      <w:pPr>
        <w:pStyle w:val="Extracto"/>
      </w:pPr>
    </w:p>
    <w:p w14:paraId="0C7F191B" w14:textId="77777777" w:rsidR="009D7677" w:rsidRDefault="009D7677" w:rsidP="009D7677">
      <w:pPr>
        <w:pStyle w:val="Extracto"/>
      </w:pPr>
    </w:p>
    <w:p w14:paraId="449EAA31" w14:textId="77777777" w:rsidR="009D7677" w:rsidRDefault="009D7677" w:rsidP="009D7677">
      <w:pPr>
        <w:pStyle w:val="TextoNormal"/>
      </w:pPr>
      <w:r>
        <w:t>El Pleno del Tribunal Constitucional, compuesto por el magistrado don Cándido Conde-Pumpido Tourón, presidente, y las magistradas y magistrados doña Inmaculada Montalbán Huertas,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38200DB1" w14:textId="3FA55445" w:rsidR="009D7677" w:rsidRDefault="009D7677" w:rsidP="009D7677">
      <w:pPr>
        <w:pStyle w:val="TextoNormal"/>
      </w:pPr>
    </w:p>
    <w:p w14:paraId="6E3FDCD0" w14:textId="77777777" w:rsidR="009D7677" w:rsidRDefault="009D7677" w:rsidP="009D7677">
      <w:pPr>
        <w:pStyle w:val="TextoNormalCentrado"/>
        <w:keepNext/>
      </w:pPr>
      <w:r>
        <w:lastRenderedPageBreak/>
        <w:t>EN NOMBRE DEL REY</w:t>
      </w:r>
    </w:p>
    <w:p w14:paraId="1DD70A57" w14:textId="5DB4702A" w:rsidR="009D7677" w:rsidRDefault="009D7677" w:rsidP="009D7677">
      <w:pPr>
        <w:pStyle w:val="TextoNormalCentrado"/>
        <w:keepNext/>
      </w:pPr>
    </w:p>
    <w:p w14:paraId="5F41ED50" w14:textId="77777777" w:rsidR="009D7677" w:rsidRDefault="009D7677" w:rsidP="009D7677">
      <w:pPr>
        <w:pStyle w:val="TextoNormalCentrado"/>
        <w:keepNext/>
      </w:pPr>
    </w:p>
    <w:p w14:paraId="76B5D0B8" w14:textId="77777777" w:rsidR="009D7677" w:rsidRDefault="009D7677" w:rsidP="009D7677">
      <w:pPr>
        <w:pStyle w:val="TextoNormal"/>
      </w:pPr>
      <w:r>
        <w:t>la siguiente</w:t>
      </w:r>
    </w:p>
    <w:p w14:paraId="7B2D2EE8" w14:textId="0F6D7F35" w:rsidR="009D7677" w:rsidRDefault="009D7677" w:rsidP="009D7677">
      <w:pPr>
        <w:pStyle w:val="TextoNormal"/>
      </w:pPr>
    </w:p>
    <w:p w14:paraId="7CFE3AC7" w14:textId="77777777" w:rsidR="009D7677" w:rsidRDefault="009D7677" w:rsidP="009D7677">
      <w:pPr>
        <w:pStyle w:val="TextoNormalCentrado"/>
        <w:keepNext/>
      </w:pPr>
      <w:r>
        <w:t>SENTENCIA</w:t>
      </w:r>
    </w:p>
    <w:p w14:paraId="02EA636E" w14:textId="74F52E4D" w:rsidR="009D7677" w:rsidRDefault="009D7677" w:rsidP="009D7677">
      <w:pPr>
        <w:pStyle w:val="TextoNormalCentrado"/>
        <w:keepNext/>
      </w:pPr>
    </w:p>
    <w:p w14:paraId="6FF98B2A" w14:textId="77777777" w:rsidR="009D7677" w:rsidRDefault="009D7677" w:rsidP="009D7677">
      <w:pPr>
        <w:pStyle w:val="TextoNormal"/>
      </w:pPr>
      <w:r>
        <w:t>En la cuestión prejudicial de validez sobre normas forales fiscales núm. 5349-2023, promovida por el Juzgado de lo Contencioso-Administrativo núm. 3 de Donostia-San Sebastián, en relación con los arts. 4.1, segundo párrafo, 4.2 a) y 4.3 de la Norma Foral 16/1989, de 5 de julio, del territorio histórico de Gipuzkoa, del impuesto sobre el incremento del valor de los terrenos de naturaleza urbana. Han comparecido y formulado alegaciones el abogado del Estado, en representación del Gobierno de la Nación; la procuradora de los tribunales doña Rocío Martín Echagüe, en representación de las Juntas Generales de Gipuzkoa; el procurador de los tribunales don Jesús López Gracia, en representación de la Diputación Foral de Gipuzkoa; el procurador de los tribunales don Enrique de Antonio Viscor, en representación del Ayuntamiento de Oñati, y el fiscal general del Estado. Ha sido ponente la magistrada doña Laura Díez Bueso.</w:t>
      </w:r>
    </w:p>
    <w:p w14:paraId="5166D402" w14:textId="777F76B2" w:rsidR="009D7677" w:rsidRDefault="009D7677" w:rsidP="009D7677">
      <w:pPr>
        <w:pStyle w:val="TextoNormal"/>
      </w:pPr>
    </w:p>
    <w:p w14:paraId="24B612D2" w14:textId="77777777" w:rsidR="009D7677" w:rsidRDefault="009D7677" w:rsidP="009D7677">
      <w:pPr>
        <w:pStyle w:val="TextoNormalNegritaCentrado"/>
        <w:keepNext/>
      </w:pPr>
      <w:r>
        <w:t>I. Antecedentes</w:t>
      </w:r>
    </w:p>
    <w:p w14:paraId="18C41783" w14:textId="35C6BFBA" w:rsidR="009D7677" w:rsidRDefault="009D7677" w:rsidP="009D7677">
      <w:pPr>
        <w:pStyle w:val="TextoNormalNegritaCentrado"/>
        <w:keepNext/>
      </w:pPr>
    </w:p>
    <w:p w14:paraId="27A6F010" w14:textId="5DFF973E" w:rsidR="009D7677" w:rsidRDefault="009D7677" w:rsidP="009D7677">
      <w:pPr>
        <w:pStyle w:val="TextoNormal"/>
      </w:pPr>
      <w:r w:rsidRPr="009D7677">
        <w:rPr>
          <w:rStyle w:val="NumeroAFNegritaCaracter"/>
        </w:rPr>
        <w:t>1</w:t>
      </w:r>
      <w:r>
        <w:t>. El 28 de julio de 2023 tuvo entrada en el registro general de este Tribunal Constitucional un escrito del Juzgado de lo Contencioso-Administrativo núm. 3 de Donostia-San Sebastián, al que se acompaña, junto al testimonio del correspondiente procedimiento, el auto del referido juzgado de 11 de julio de 2023, por el que se acuerda elevar a este tribunal, una cuestión prejudicial de validez en relación con los arts. 4.1, segundo párrafo, 4.2 a) y 4.3 de la Norma Foral 16/1989, de 5 de julio, del territorio histórico de Gipuzkoa, del impuesto sobre el incremento del valor de los terrenos de naturaleza urbana, en la redacción vigente antes de la modificación operada por el Decreto Foral-Norma 7/2021, de 16 de noviembre, de adaptación de la Norma Foral 16/1989, de 5 de julio, reguladora del impuesto sobre el incremento de valor de los terrenos de naturaleza urbana, por posible infracción del principio de capacidad económica (art. 31 CE).</w:t>
      </w:r>
    </w:p>
    <w:p w14:paraId="6707C90A" w14:textId="77777777" w:rsidR="009D7677" w:rsidRDefault="009D7677" w:rsidP="009D7677">
      <w:pPr>
        <w:pStyle w:val="TextoNormal"/>
      </w:pPr>
    </w:p>
    <w:p w14:paraId="481B1244" w14:textId="77777777" w:rsidR="009D7677" w:rsidRDefault="009D7677" w:rsidP="009D7677">
      <w:pPr>
        <w:pStyle w:val="TextoNormal"/>
      </w:pPr>
      <w:r w:rsidRPr="009D7677">
        <w:rPr>
          <w:rStyle w:val="NumeroAFNegritaCaracter"/>
        </w:rPr>
        <w:t>2</w:t>
      </w:r>
      <w:r>
        <w:t>. Los antecedentes de hecho del planteamiento de la presente cuestión son los siguientes:</w:t>
      </w:r>
    </w:p>
    <w:p w14:paraId="68A0C679" w14:textId="77777777" w:rsidR="009D7677" w:rsidRDefault="009D7677" w:rsidP="009D7677">
      <w:pPr>
        <w:pStyle w:val="TextoNormal"/>
      </w:pPr>
    </w:p>
    <w:p w14:paraId="25F1B306" w14:textId="77777777" w:rsidR="009D7677" w:rsidRDefault="009D7677" w:rsidP="009D7677">
      <w:pPr>
        <w:pStyle w:val="TextoNormal"/>
      </w:pPr>
      <w:r>
        <w:t>a) La entidad Elkargi, S.G.R., adquirió, con fecha de 19 de abril de 2013, en procedimiento de concurso abreviado 472-2009, una finca que se le adjudicó por la cantidad de 1 375 000 €. Posteriormente, el 5 de marzo de 2018 procedió a la venta de dicha finca por la cantidad de 130 000 €.</w:t>
      </w:r>
    </w:p>
    <w:p w14:paraId="3F00A473" w14:textId="77777777" w:rsidR="009D7677" w:rsidRDefault="009D7677" w:rsidP="009D7677">
      <w:pPr>
        <w:pStyle w:val="TextoNormal"/>
      </w:pPr>
    </w:p>
    <w:p w14:paraId="5DCC9801" w14:textId="77777777" w:rsidR="009D7677" w:rsidRDefault="009D7677" w:rsidP="009D7677">
      <w:pPr>
        <w:pStyle w:val="TextoNormal"/>
      </w:pPr>
      <w:r>
        <w:t xml:space="preserve">b) El Ayuntamiento de Oñati, practicó por la venta que la entidad había llevado a cabo la liquidación del impuesto sobre el incremento del valor de los terrenos de naturaleza urbana (en adelante, IIVTNU) por una cantidad de 7 876,63 €. En la notificación de la liquidación se le indicaba que los preceptos de la Normal Foral 16/1989 solo se habían declarado inconstitucionales en la medida en que someten a tributación situaciones de </w:t>
      </w:r>
      <w:r>
        <w:lastRenderedPageBreak/>
        <w:t>inexistencia de incremento de valor y que el Decreto Foral-Norma 2/2017 establece que la existencia del incremento de valor de los terrenos se determinaría por la comparación entre el valor de adquisición de la propiedad y el valor de la transmisión, considerando los valores tenidos en cuenta a efectos de los respectos impuestos que gravan la transmisión de la propiedad de los terrenos.</w:t>
      </w:r>
    </w:p>
    <w:p w14:paraId="7A9CC709" w14:textId="77777777" w:rsidR="009D7677" w:rsidRDefault="009D7677" w:rsidP="009D7677">
      <w:pPr>
        <w:pStyle w:val="TextoNormal"/>
      </w:pPr>
    </w:p>
    <w:p w14:paraId="234375FA" w14:textId="77777777" w:rsidR="009D7677" w:rsidRDefault="009D7677" w:rsidP="009D7677">
      <w:pPr>
        <w:pStyle w:val="TextoNormal"/>
      </w:pPr>
      <w:r>
        <w:t>La entidad Elkargi, S.G.R., interpuso recurso de reposición contra dicha liquidación ante el Ayuntamiento de Oñati alegando que en la transferencia no hubo incremento en base al artículo único del Decreto Foral-Norma 2/2017, de 28 de marzo, por el que se modifica el impuesto sobre incremento del valor de los terrenos de naturaleza urbana.</w:t>
      </w:r>
    </w:p>
    <w:p w14:paraId="3877C22D" w14:textId="77777777" w:rsidR="009D7677" w:rsidRDefault="009D7677" w:rsidP="009D7677">
      <w:pPr>
        <w:pStyle w:val="TextoNormal"/>
      </w:pPr>
    </w:p>
    <w:p w14:paraId="15B091AD" w14:textId="77777777" w:rsidR="009D7677" w:rsidRDefault="009D7677" w:rsidP="009D7677">
      <w:pPr>
        <w:pStyle w:val="TextoNormal"/>
      </w:pPr>
      <w:r>
        <w:t>Al efecto de resolver el recurso de reposición, el Ayuntamiento de Oñati solicitó al Departamento de Hacienda y Finanzas de la Diputación Foral de Gipuzkoa los valores de transmisión declarados en relación con el impuesto sobre transmisiones patrimoniales y actos jurídicos documentados para determinar si hubo o no incremento de valor conforme al art. 1.2 del Decreto Foral-Norma 2/2017. Según certificación del director de gestión de impuestos de la Diputación Foral la base imponible declarada en relación con la adquisición de la finca de referencia, con fecha 19 de abril de 2013, fue de 1 375 000 € y la base imponible correspondiente a la venta de la misma fue de 1 543 609,65 €.</w:t>
      </w:r>
    </w:p>
    <w:p w14:paraId="449EC5B0" w14:textId="77777777" w:rsidR="009D7677" w:rsidRDefault="009D7677" w:rsidP="009D7677">
      <w:pPr>
        <w:pStyle w:val="TextoNormal"/>
      </w:pPr>
    </w:p>
    <w:p w14:paraId="10C58AB5" w14:textId="77777777" w:rsidR="009D7677" w:rsidRDefault="009D7677" w:rsidP="009D7677">
      <w:pPr>
        <w:pStyle w:val="TextoNormal"/>
      </w:pPr>
      <w:r>
        <w:t>Ante dicha información el Ayuntamiento de Oñati desestima el recurso de reposición por decreto de Alcaldía núm. 1058/2020, de 26 de noviembre de 2020, fundamentando que “la base imponible declarada en las transmisiones indicadas en el certificado del Departamento de Hacienda y Finanzas de la Diputación Foral indica el incremento de patrimonio”.</w:t>
      </w:r>
    </w:p>
    <w:p w14:paraId="5A59246A" w14:textId="77777777" w:rsidR="009D7677" w:rsidRDefault="009D7677" w:rsidP="009D7677">
      <w:pPr>
        <w:pStyle w:val="TextoNormal"/>
      </w:pPr>
    </w:p>
    <w:p w14:paraId="66924519" w14:textId="77777777" w:rsidR="009D7677" w:rsidRDefault="009D7677" w:rsidP="009D7677">
      <w:pPr>
        <w:pStyle w:val="TextoNormal"/>
      </w:pPr>
      <w:r>
        <w:t>c) Tras la desestimación del recurso de reposición interpuso reclamación económica administrativa ante el Tribunal Económico-Administrativo Foral de Gipuzkoa (reclamación R2020-0776), que la desestimó mediante resolución 36511 de 17 de diciembre de 2021.</w:t>
      </w:r>
    </w:p>
    <w:p w14:paraId="6D58F1CD" w14:textId="77777777" w:rsidR="009D7677" w:rsidRDefault="009D7677" w:rsidP="009D7677">
      <w:pPr>
        <w:pStyle w:val="TextoNormal"/>
      </w:pPr>
    </w:p>
    <w:p w14:paraId="53802D4E" w14:textId="77777777" w:rsidR="009D7677" w:rsidRDefault="009D7677" w:rsidP="009D7677">
      <w:pPr>
        <w:pStyle w:val="TextoNormal"/>
      </w:pPr>
      <w:r>
        <w:t>El Tribunal Económico-Administrativo recuerda que, con ocasión de la STC 26/2017, fue aprobado el Decreto Foral-Norma 2/2017, de 28 de marzo, por el que se modifica el IIVTNU, con el objeto de no someter a gravamen los no incrementos ni las disminuciones de valor de los terrenos. Y dado que, con arreglo a dicha norma, el valor de transmisión es el tenido en cuenta o el que debería tenerse en cuenta en relación al impuesto sobre transmisiones patrimoniales, esto es, el valor real (no el que consta en la escritura pública de venta) y que en este supuesto se corresponde con el valor de 1 543 609,65 €, concluye que ha habido incremento de valor de los terrenos.</w:t>
      </w:r>
    </w:p>
    <w:p w14:paraId="5D3BD129" w14:textId="77777777" w:rsidR="009D7677" w:rsidRDefault="009D7677" w:rsidP="009D7677">
      <w:pPr>
        <w:pStyle w:val="TextoNormal"/>
      </w:pPr>
    </w:p>
    <w:p w14:paraId="4C05CD0E" w14:textId="77777777" w:rsidR="009D7677" w:rsidRDefault="009D7677" w:rsidP="009D7677">
      <w:pPr>
        <w:pStyle w:val="TextoNormal"/>
      </w:pPr>
      <w:r>
        <w:t>También aprecia que la STC 182/2021, de 26 de octubre, no afecta directamente a los artículos que con un contenido similar se contienen en la Norma Foral 16/1989, de 5 de julio, tal y como se señala en la exposición de motivos del Decreto Foral-Norma 7/2021, de 16 de noviembre, aprobado por seguridad jurídica para adecuar la norma foral a la jurisprudencia del Tribunal Constitucional, manifestada, entre otras, en la referida sentencia.</w:t>
      </w:r>
    </w:p>
    <w:p w14:paraId="156B1E03" w14:textId="77777777" w:rsidR="009D7677" w:rsidRDefault="009D7677" w:rsidP="009D7677">
      <w:pPr>
        <w:pStyle w:val="TextoNormal"/>
      </w:pPr>
    </w:p>
    <w:p w14:paraId="4FE4D721" w14:textId="77777777" w:rsidR="009D7677" w:rsidRDefault="009D7677" w:rsidP="009D7677">
      <w:pPr>
        <w:pStyle w:val="TextoNormal"/>
      </w:pPr>
      <w:r>
        <w:lastRenderedPageBreak/>
        <w:t>d) Elkargi, S.G.R., interpuso recurso contencioso-administrativo ante el Juzgado de lo Contencioso-Administrativo núm. 3 de Donostia-San Sebastián que dio lugar al procedimiento abreviado 45-2022.</w:t>
      </w:r>
    </w:p>
    <w:p w14:paraId="2BCB3D93" w14:textId="77777777" w:rsidR="009D7677" w:rsidRDefault="009D7677" w:rsidP="009D7677">
      <w:pPr>
        <w:pStyle w:val="TextoNormal"/>
      </w:pPr>
    </w:p>
    <w:p w14:paraId="599EB720" w14:textId="77777777" w:rsidR="009D7677" w:rsidRDefault="009D7677" w:rsidP="009D7677">
      <w:pPr>
        <w:pStyle w:val="TextoNormal"/>
      </w:pPr>
      <w:r>
        <w:t>En su demanda, el recurrente alegó como único motivo del recurso la inconstitucionalidad del impuesto liquidado, regulado en la Norma Foral 16/1989, de 5 de julio, del Territorio Histórico de Gipuzkoa, por tener este un régimen “idéntico” al de los arts. 107.1, segundo párrafo, 107.2 a) y 107.4 del texto refundido de la Ley reguladora de las haciendas locales (en adelante, TRLHL), aprobado por el Real Decreto Legislativo 2/2004, de 5 de marzo, declarados inconstitucionales por la STC 182/2021, de 26 de octubre, por vulneración del art. 31.1 CE.</w:t>
      </w:r>
    </w:p>
    <w:p w14:paraId="21FDAF92" w14:textId="77777777" w:rsidR="009D7677" w:rsidRDefault="009D7677" w:rsidP="009D7677">
      <w:pPr>
        <w:pStyle w:val="TextoNormal"/>
      </w:pPr>
    </w:p>
    <w:p w14:paraId="10114E53" w14:textId="77777777" w:rsidR="009D7677" w:rsidRDefault="009D7677" w:rsidP="009D7677">
      <w:pPr>
        <w:pStyle w:val="TextoNormal"/>
      </w:pPr>
      <w:r>
        <w:t>e) Consta en el expediente remitido al Tribunal Constitucional una minuta de las alegaciones de la Diputación Foral de Gipuzkoa en el acto de la vista oral del procedimiento abreviado. Sostiene que no es cierto que se haya producido una minusvalía que resulta de la comparación de los valores de adquisición y transmisión del inmueble, dado que el valor real de la finca a los efectos del impuesto sobre transmisiones patrimoniales se corresponde con el valor de 1 543 609,65 €. Se añade que para que la STC 182/2021 fuera de aplicación se debería haber demostrado que el método de cálculo aplicado para determinar el impuesto a pagar en el caso de la demandante no ha tenido en cuenta datos reales y efectivos sobre la variación del valor que el terreno ha experimentado. Así afirma que para calcular la cuota y la deuda tributaria se ha partido de un valor del suelo de 1 058 686,95 €, que es un valor que no se aleja del valor real y que incluso es inferior a él, de forma que no se ha perjudicado a la entidad demandante.</w:t>
      </w:r>
    </w:p>
    <w:p w14:paraId="439F52EE" w14:textId="77777777" w:rsidR="009D7677" w:rsidRDefault="009D7677" w:rsidP="009D7677">
      <w:pPr>
        <w:pStyle w:val="TextoNormal"/>
      </w:pPr>
    </w:p>
    <w:p w14:paraId="2B61FF01" w14:textId="77777777" w:rsidR="009D7677" w:rsidRDefault="009D7677" w:rsidP="009D7677">
      <w:pPr>
        <w:pStyle w:val="TextoNormal"/>
      </w:pPr>
      <w:r>
        <w:t>f) Tras la celebración de la vista correspondiente, el juzgado dictó providencia de 8 de junio de 2022 dando audiencia a las partes personadas y al Ministerio Fiscal sobre la pertinencia de plantear cuestión de inconstitucionalidad del art. 4 de la Norma Foral 16/1989, de 5 de julio, reguladora del IIVTNU “por incurrir en motivos análogos por los que se declaró la inconstitucionalidad de los arts. 107.1 segundo párrafo; 107.2 a) y 107.4 del Real Decreto Legislativo 2/2004 de 5 de marzo por el que se aprueba la Ley reguladora del texto refundido de las haciendas locales, en virtud de la STC 182/2021, de fecha 26 de octubre de 2021”.</w:t>
      </w:r>
    </w:p>
    <w:p w14:paraId="058664A3" w14:textId="77777777" w:rsidR="009D7677" w:rsidRDefault="009D7677" w:rsidP="009D7677">
      <w:pPr>
        <w:pStyle w:val="TextoNormal"/>
      </w:pPr>
    </w:p>
    <w:p w14:paraId="4DEABC7F" w14:textId="77777777" w:rsidR="009D7677" w:rsidRDefault="009D7677" w:rsidP="009D7677">
      <w:pPr>
        <w:pStyle w:val="TextoNormal"/>
      </w:pPr>
      <w:r>
        <w:t>g) Verificado el correspondiente trámite de audiencia, por auto de 21 de diciembre de 2022 el Juzgado de lo Contencioso-Administrativo núm. 3 de Donostia-San Sebastián acordó plantear cuestión prejudicial de validez en relación con los arts. 4.1, segundo párrafo, 4.2 a) y 4.3 de la Norma Foral 16/1989, de 5 de julio.</w:t>
      </w:r>
    </w:p>
    <w:p w14:paraId="6DCB3290" w14:textId="77777777" w:rsidR="009D7677" w:rsidRDefault="009D7677" w:rsidP="009D7677">
      <w:pPr>
        <w:pStyle w:val="TextoNormal"/>
      </w:pPr>
    </w:p>
    <w:p w14:paraId="0FF807B2" w14:textId="77777777" w:rsidR="009D7677" w:rsidRDefault="009D7677" w:rsidP="009D7677">
      <w:pPr>
        <w:pStyle w:val="TextoNormal"/>
      </w:pPr>
      <w:r>
        <w:t>h) Registrada la cuestión prejudicial de validez con el núm. 17-2023 y previa la tramitación pertinente, por el ATC 188/2023, de 18 de abril, el Pleno del Tribunal Constitucional acordó su inadmisión, porque el auto de planteamiento no cumplía con el requisito que exige al órgano judicial que especifique o justifique en qué medida la decisión del proceso depende de la validez de la norma en cuestión (art. 35.2 de la Ley Orgánica del Tribunal Constitucional: LOTC).</w:t>
      </w:r>
    </w:p>
    <w:p w14:paraId="2F15C66F" w14:textId="77777777" w:rsidR="009D7677" w:rsidRDefault="009D7677" w:rsidP="009D7677">
      <w:pPr>
        <w:pStyle w:val="TextoNormal"/>
      </w:pPr>
    </w:p>
    <w:p w14:paraId="3D11E54C" w14:textId="77777777" w:rsidR="009D7677" w:rsidRDefault="009D7677" w:rsidP="009D7677">
      <w:pPr>
        <w:pStyle w:val="TextoNormal"/>
      </w:pPr>
      <w:r>
        <w:t>i) Mediante providencia de 25 de mayo de 2023, se concedió traslado simultáneo a las partes personadas y al Ministerio Fiscal por diez días para hacer alegaciones sobre la per</w:t>
      </w:r>
      <w:r>
        <w:lastRenderedPageBreak/>
        <w:t>tinencia de plantear cuestión de inconstitucionalidad del art. 4 de la Norma Foral 16/1989, de 5 de julio, reguladora del IIVTNU, en su redacción anterior al 17 de noviembre de 2021, por concurrir motivos análogos por los que se declaró la inconstitucionalidad de los arts. 107.1 segundo párrafo; 107.2 a) y 107.4 del Real Decreto Legislativo 2/2004, de 5 de marzo, por el que se aprueba el texto refundido de la ley reguladora de las haciendas locales, en virtud de la STC 182/2021, de fecha 26 de octubre de 2021; “habida cuenta de que se habría producido un incremento de valor del terreno en aplicación de lo dispuesto en el artículo único, apartado segundo del Decreto Foral-Norma 2/2017 de 28 de marzo; al ser el valor de adquisición del inmueble de 1 375 000 € y el valor de transmisión de 1 543 609,65 €, atendiendo a los valores de transmisión declarados en relación al impuesto sobre transmisiones patrimoniales y actos jurídicos documentados; siendo así que la norma cuya constitucionalidad se cuestiona sería directamente aplicable al caso y de cuya validez dependería el fallo en aplicación de lo dispuesto en el art. 35.1 LOTC”.</w:t>
      </w:r>
    </w:p>
    <w:p w14:paraId="0DD0892B" w14:textId="77777777" w:rsidR="009D7677" w:rsidRDefault="009D7677" w:rsidP="009D7677">
      <w:pPr>
        <w:pStyle w:val="TextoNormal"/>
      </w:pPr>
    </w:p>
    <w:p w14:paraId="3DF052EB" w14:textId="77777777" w:rsidR="009D7677" w:rsidRDefault="009D7677" w:rsidP="009D7677">
      <w:pPr>
        <w:pStyle w:val="TextoNormal"/>
      </w:pPr>
      <w:r>
        <w:t>j) La representación procesal de la recurrente, presentó sus alegaciones mediante escrito de 1 de junio de 2023, solicitando el planteamiento de la cuestión, en la medida en que el art. 4 de la Norma Foral 16/1989 determina la base imponible mediante un método objetivo de medición del incremento de valor por referencia al valor catastral en el momento de la transmisión que no permite examinar si ha habido previamente un incremento real del valor del suelo, al margen de la capacidad económica gravada por el impuesto.</w:t>
      </w:r>
    </w:p>
    <w:p w14:paraId="5AD57214" w14:textId="77777777" w:rsidR="009D7677" w:rsidRDefault="009D7677" w:rsidP="009D7677">
      <w:pPr>
        <w:pStyle w:val="TextoNormal"/>
      </w:pPr>
    </w:p>
    <w:p w14:paraId="3A781982" w14:textId="77777777" w:rsidR="009D7677" w:rsidRDefault="009D7677" w:rsidP="009D7677">
      <w:pPr>
        <w:pStyle w:val="TextoNormal"/>
      </w:pPr>
      <w:r>
        <w:t>La representación procesal de la Diputación Foral de Gipuzkoa presentó sus alegaciones el 13 de junio de 2023, oponiéndose al planteamiento de la cuestión, alegando que la STC 182/2021 no afecta a la normativa vigente en el Territorio Histórico de Gipuzkoa, de forma que la misma debe ser aplicada como establece la sentencia 1/2021, de 28 de abril de 2021, dictada por la Sección de Casación de la Sala de lo Contencioso-Administrativo del Tribunal Superior de Justicia del País Vasco.</w:t>
      </w:r>
    </w:p>
    <w:p w14:paraId="79753F24" w14:textId="77777777" w:rsidR="009D7677" w:rsidRDefault="009D7677" w:rsidP="009D7677">
      <w:pPr>
        <w:pStyle w:val="TextoNormal"/>
      </w:pPr>
    </w:p>
    <w:p w14:paraId="193EC4F1" w14:textId="77777777" w:rsidR="009D7677" w:rsidRDefault="009D7677" w:rsidP="009D7677">
      <w:pPr>
        <w:pStyle w:val="TextoNormal"/>
      </w:pPr>
      <w:r>
        <w:t>El Ayuntamiento de Oñati no formuló alegaciones.</w:t>
      </w:r>
    </w:p>
    <w:p w14:paraId="1FF6CD47" w14:textId="77777777" w:rsidR="009D7677" w:rsidRDefault="009D7677" w:rsidP="009D7677">
      <w:pPr>
        <w:pStyle w:val="TextoNormal"/>
      </w:pPr>
    </w:p>
    <w:p w14:paraId="2CC67FC8" w14:textId="77777777" w:rsidR="009D7677" w:rsidRDefault="009D7677" w:rsidP="009D7677">
      <w:pPr>
        <w:pStyle w:val="TextoNormal"/>
      </w:pPr>
      <w:r>
        <w:t>El Ministerio Fiscal evacuó el trámite de alegaciones mediante escrito de 14 de junio de 2023, en el que no se opuso al planteamiento de la cuestión.</w:t>
      </w:r>
    </w:p>
    <w:p w14:paraId="452FAC15" w14:textId="77777777" w:rsidR="009D7677" w:rsidRDefault="009D7677" w:rsidP="009D7677">
      <w:pPr>
        <w:pStyle w:val="TextoNormal"/>
      </w:pPr>
    </w:p>
    <w:p w14:paraId="2D494B68" w14:textId="2E024CCC" w:rsidR="009D7677" w:rsidRDefault="009D7677" w:rsidP="009D7677">
      <w:pPr>
        <w:pStyle w:val="TextoNormal"/>
      </w:pPr>
      <w:r>
        <w:t>k) Por auto de 11 de julio de 2023, el juzgado acordó plantear de nuevo cuestión prejudicial de validez en relación con los arts. 4.1, segundo párrafo, 4.2 a) y 4.3 de la Norma Foral 16/1989, de 5 de julio, del Territorio Histórico de Guipúzcoa, reguladora del IIVTNU, en la redacción vigente que se aplicó a la liquidación impugnada en el procedimiento en la instancia, por contravenir el principio de capacidad económica como criterio de imposición, art. 31.1 CE.</w:t>
      </w:r>
    </w:p>
    <w:p w14:paraId="6D9B36CC" w14:textId="77777777" w:rsidR="009D7677" w:rsidRDefault="009D7677" w:rsidP="009D7677">
      <w:pPr>
        <w:pStyle w:val="TextoNormal"/>
      </w:pPr>
    </w:p>
    <w:p w14:paraId="1C755B5A" w14:textId="77777777" w:rsidR="009D7677" w:rsidRDefault="009D7677" w:rsidP="009D7677">
      <w:pPr>
        <w:pStyle w:val="TextoNormal"/>
      </w:pPr>
      <w:r w:rsidRPr="009D7677">
        <w:rPr>
          <w:rStyle w:val="NumeroAFNegritaCaracter"/>
        </w:rPr>
        <w:t>3</w:t>
      </w:r>
      <w:r>
        <w:t>. En el auto de planteamiento de la cuestión prejudicial de validez de 11 de julio de 2023 se razona, en esencia, en los siguientes términos:</w:t>
      </w:r>
    </w:p>
    <w:p w14:paraId="38270B5D" w14:textId="77777777" w:rsidR="009D7677" w:rsidRDefault="009D7677" w:rsidP="009D7677">
      <w:pPr>
        <w:pStyle w:val="TextoNormal"/>
      </w:pPr>
    </w:p>
    <w:p w14:paraId="2958FF50" w14:textId="77777777" w:rsidR="009D7677" w:rsidRDefault="009D7677" w:rsidP="009D7677">
      <w:pPr>
        <w:pStyle w:val="TextoNormal"/>
      </w:pPr>
      <w:r>
        <w:t>a) El auto de planteamiento, en su antecedente de hecho único, cita los artículos cuestionados [arts. 4.1, segundo párrafo, 4.2 a) y 4.3 de la Norma Foral 16/1989 en su regulación anterior a la modificación operada por el Decreto Foral-Norma 7/2021] y enuncia su posible contradicción con el principio de capacidad económica previsto en el art. 31.1 CE.</w:t>
      </w:r>
    </w:p>
    <w:p w14:paraId="0AE67517" w14:textId="77777777" w:rsidR="009D7677" w:rsidRDefault="009D7677" w:rsidP="009D7677">
      <w:pPr>
        <w:pStyle w:val="TextoNormal"/>
      </w:pPr>
    </w:p>
    <w:p w14:paraId="2F4371F2" w14:textId="77777777" w:rsidR="009D7677" w:rsidRDefault="009D7677" w:rsidP="009D7677">
      <w:pPr>
        <w:pStyle w:val="TextoNormal"/>
      </w:pPr>
      <w:r>
        <w:lastRenderedPageBreak/>
        <w:t xml:space="preserve">b) Realiza los juicios de aplicabilidad y relevancia, tal como se exigía en el ATC 188/2023, de 18 de abril. Comenzando con el primero, explica las razones por las que considera que, a pesar de haber sido derogados por el Decreto Foral-Norma 7/2021, los preceptos cuestionados, teniendo en cuenta las reglas contenidas en el Decreto Foral-Norma 2/2017, son aplicables </w:t>
      </w:r>
      <w:r w:rsidRPr="009D7677">
        <w:rPr>
          <w:i/>
        </w:rPr>
        <w:t>ratione temporis</w:t>
      </w:r>
      <w:r>
        <w:t xml:space="preserve"> a la liquidación del IIVTNU impugnada en el caso de autos.</w:t>
      </w:r>
    </w:p>
    <w:p w14:paraId="7AF8080F" w14:textId="77777777" w:rsidR="009D7677" w:rsidRDefault="009D7677" w:rsidP="009D7677">
      <w:pPr>
        <w:pStyle w:val="TextoNormal"/>
      </w:pPr>
    </w:p>
    <w:p w14:paraId="6B944B69" w14:textId="77777777" w:rsidR="009D7677" w:rsidRDefault="009D7677" w:rsidP="009D7677">
      <w:pPr>
        <w:pStyle w:val="TextoNormal"/>
      </w:pPr>
      <w:r>
        <w:t>Verificado que tales normas son aplicables al caso, procede a exteriorizar el juicio de relevancia. Para ello, rechaza la valoración del inmueble ofrecida por el demandante y analiza la prueba practicada para concluir que la valoración efectuada por la administración, conforme al sistema objetivo de determinación de la base imponible que resulta de los preceptos cuestionados de la norma foral fiscal, es correcta y que de la misma resulta un incremento patrimonial susceptible de gravamen. Por este motivo, señala el auto que de la validez de las normas cuestionadas depende el fallo de la sentencia que haya de dictarse.</w:t>
      </w:r>
    </w:p>
    <w:p w14:paraId="1B554FBA" w14:textId="77777777" w:rsidR="009D7677" w:rsidRDefault="009D7677" w:rsidP="009D7677">
      <w:pPr>
        <w:pStyle w:val="TextoNormal"/>
      </w:pPr>
    </w:p>
    <w:p w14:paraId="5FCD5065" w14:textId="4BDB60BF" w:rsidR="009D7677" w:rsidRDefault="009D7677" w:rsidP="009D7677">
      <w:pPr>
        <w:pStyle w:val="TextoNormal"/>
      </w:pPr>
      <w:r>
        <w:t>c) Por último, el auto expone las dudas sobre la constitucionalidad de los apartados cuestionados. Tras transcribir los arts. 107.1, párrafo segundo, 107.2 a) y 107.4 del texto refundido de la Ley reguladora de las haciendas locales, aprobado por Real Decreto Legislativo 2/2004, de 5 de marzo, declarados inconstitucionales por la STC 182/2021, transcribe los arts. 4.1, segundo párrafo, 4.2 a) y 4.3 de la Norma Foral 16/1989, en la redacción previa al Decreto Foral-Norma 7/2021, para evidenciar que se trata de preceptos casi idénticos a los estatales declarados inconstitucionales. Afirma que el sistema de determinación de la base imponible que resulta de los preceptos cuestionados presenta una regulación prácticamente idéntica a la contenida en los mencionados preceptos estatales declarados inconstitucionales por lo que, su juicio, les son trasladables los argumentos de la STC 182/2021, FJ 5.</w:t>
      </w:r>
    </w:p>
    <w:p w14:paraId="47B9268B" w14:textId="77777777" w:rsidR="009D7677" w:rsidRDefault="009D7677" w:rsidP="009D7677">
      <w:pPr>
        <w:pStyle w:val="TextoNormal"/>
      </w:pPr>
    </w:p>
    <w:p w14:paraId="4FDEF4B3" w14:textId="3FF43503" w:rsidR="009D7677" w:rsidRDefault="009D7677" w:rsidP="009D7677">
      <w:pPr>
        <w:pStyle w:val="TextoNormal"/>
      </w:pPr>
      <w:r w:rsidRPr="009D7677">
        <w:rPr>
          <w:rStyle w:val="NumeroAFNegritaCaracter"/>
        </w:rPr>
        <w:t>4</w:t>
      </w:r>
      <w:r>
        <w:t>. Mediante providencia de 26 de septiembre de 2023, el Pleno del Tribunal Constitucional acordó admitir a trámite esta cuestión prejudicial de validez y, de conformidad con lo dispuesto en el art. 10.1 c) LOTC, reservar para sí el conocimiento de la cuestión, dando traslado de las actuaciones recibidas, conforme establece el art. 37.3 y la disposición adicional quinta, apartado 2, LOTC, al Congreso de los Diputados y al Senado, por conducto de sus presidentes, al Gobierno, por conducto de la ministra de Justicia, y al fiscal general del Estado, así como al Parlamento Vasco y al Gobierno Vasco, por conducto de sus presidentes, a las Juntas Generales de Gipuzkoa y a la Diputación General de Gipuzkoa, por conducto de su presidente y de su diputada general, respectivamente, al objeto de que, en el plazo improrrogable de quince días, pudieran personarse en el proceso y formular las alegaciones que estimaren convenientes. En la misma providencia se acordó publicar la incoación de la cuestión en el “Boletín Oficial del Estado”, en el “Boletín Oficial del País Vasco” y en el “Boletín Oficial de Gipuzkoa”.</w:t>
      </w:r>
    </w:p>
    <w:p w14:paraId="75AA2F71" w14:textId="77777777" w:rsidR="009D7677" w:rsidRDefault="009D7677" w:rsidP="009D7677">
      <w:pPr>
        <w:pStyle w:val="TextoNormal"/>
      </w:pPr>
    </w:p>
    <w:p w14:paraId="7A83BA3E" w14:textId="77B20C1D" w:rsidR="009D7677" w:rsidRDefault="009D7677" w:rsidP="009D7677">
      <w:pPr>
        <w:pStyle w:val="TextoNormal"/>
      </w:pPr>
      <w:r w:rsidRPr="009D7677">
        <w:rPr>
          <w:rStyle w:val="NumeroAFNegritaCaracter"/>
        </w:rPr>
        <w:t>5</w:t>
      </w:r>
      <w:r>
        <w:t>. Por escrito registrado en este tribunal el día 5 de octubre de 2023, se recibió una comunicación de la presidenta del Congreso de los Diputados en la que se trasladaba el acuerdo de la mesa de que se tuviera a dicha Cámara por personada en el procedimiento y ofrecida su colaboración a los efectos del art. 88.1 LOTC.</w:t>
      </w:r>
    </w:p>
    <w:p w14:paraId="6164D410" w14:textId="77777777" w:rsidR="009D7677" w:rsidRDefault="009D7677" w:rsidP="009D7677">
      <w:pPr>
        <w:pStyle w:val="TextoNormal"/>
      </w:pPr>
    </w:p>
    <w:p w14:paraId="4AE5AABE" w14:textId="67D40520" w:rsidR="009D7677" w:rsidRDefault="009D7677" w:rsidP="009D7677">
      <w:pPr>
        <w:pStyle w:val="TextoNormal"/>
      </w:pPr>
      <w:r w:rsidRPr="009D7677">
        <w:rPr>
          <w:rStyle w:val="NumeroAFNegritaCaracter"/>
        </w:rPr>
        <w:lastRenderedPageBreak/>
        <w:t>6</w:t>
      </w:r>
      <w:r>
        <w:t>. Mediante escrito registrado en la misma fecha, el presidente del Senado puso en conocimiento de este tribunal el acuerdo de la mesa de dicha Cámara de personarse en el procedimiento y ofrecer su colaboración a los efectos del art. 88.1 LOTC.</w:t>
      </w:r>
    </w:p>
    <w:p w14:paraId="5AE03A5A" w14:textId="77777777" w:rsidR="009D7677" w:rsidRDefault="009D7677" w:rsidP="009D7677">
      <w:pPr>
        <w:pStyle w:val="TextoNormal"/>
      </w:pPr>
    </w:p>
    <w:p w14:paraId="0B0D96A3" w14:textId="1C480165" w:rsidR="009D7677" w:rsidRDefault="009D7677" w:rsidP="009D7677">
      <w:pPr>
        <w:pStyle w:val="TextoNormal"/>
      </w:pPr>
      <w:r w:rsidRPr="009D7677">
        <w:rPr>
          <w:rStyle w:val="NumeroAFNegritaCaracter"/>
        </w:rPr>
        <w:t>7</w:t>
      </w:r>
      <w:r>
        <w:t>. Por escrito registrado en este tribunal el día 16 de octubre de 2023, el abogado del Estado formuló alegaciones solicitando el dictado de una sentencia conforme a Derecho, toda vez que los preceptos forales cuestionados tienen un contenido prácticamente idéntico a los declarados inconstitucionales en la STC 182/2021.</w:t>
      </w:r>
    </w:p>
    <w:p w14:paraId="33A6D9DF" w14:textId="77777777" w:rsidR="009D7677" w:rsidRDefault="009D7677" w:rsidP="009D7677">
      <w:pPr>
        <w:pStyle w:val="TextoNormal"/>
      </w:pPr>
    </w:p>
    <w:p w14:paraId="116D0ACE" w14:textId="77777777" w:rsidR="009D7677" w:rsidRDefault="009D7677" w:rsidP="009D7677">
      <w:pPr>
        <w:pStyle w:val="TextoNormal"/>
      </w:pPr>
      <w:r w:rsidRPr="009D7677">
        <w:rPr>
          <w:rStyle w:val="NumeroAFNegritaCaracter"/>
        </w:rPr>
        <w:t>8</w:t>
      </w:r>
      <w:r>
        <w:t>. Con fecha 24 de octubre de 2023, la procuradora de los tribunales, doña Rocío Marín Echagüe, en nombre y representación de las Juntas Generales de Gipuzkoa, presentó escrito de alegaciones solicitando que se declaren ajustados a la Constitución los arts. 4.1, segundo párrafo, 4.2 a) y 4.3 de la Norma Foral 16/1989, de 5 de julio, del territorio histórico de Gipuzkoa, del IIVTNU.</w:t>
      </w:r>
    </w:p>
    <w:p w14:paraId="18A2DB33" w14:textId="77777777" w:rsidR="009D7677" w:rsidRDefault="009D7677" w:rsidP="009D7677">
      <w:pPr>
        <w:pStyle w:val="TextoNormal"/>
      </w:pPr>
    </w:p>
    <w:p w14:paraId="0068512C" w14:textId="77777777" w:rsidR="009D7677" w:rsidRDefault="009D7677" w:rsidP="009D7677">
      <w:pPr>
        <w:pStyle w:val="TextoNormal"/>
      </w:pPr>
      <w:r>
        <w:t>Tras citar los preceptos cuestionados, hace referencia al art. 31.1 CE y afirma que la concreción del principio de capacidad económica respecto de cada tributo corresponde al legislador.</w:t>
      </w:r>
    </w:p>
    <w:p w14:paraId="1250A00B" w14:textId="77777777" w:rsidR="009D7677" w:rsidRDefault="009D7677" w:rsidP="009D7677">
      <w:pPr>
        <w:pStyle w:val="TextoNormal"/>
      </w:pPr>
    </w:p>
    <w:p w14:paraId="4CE8609B" w14:textId="77777777" w:rsidR="009D7677" w:rsidRDefault="009D7677" w:rsidP="009D7677">
      <w:pPr>
        <w:pStyle w:val="TextoNormal"/>
      </w:pPr>
      <w:r>
        <w:t>Recuerda que la STC 26/2017, de 26 de febrero, declaró inconstitucionales los arts. 4.1, 4.2 a) y 7.4 de la Norma Foral 16/1989, de 5 de julio, “únicamente en la medida que someten a tributación situaciones de inexistencia de incrementos de valor”. Afirma que el legislador foral adecuó su normativa relativa al IIVTNU a la doctrina constitucional dictando la Decreto Foral-Norma 2/2017, que debería tenerse en cuenta a la hora de efectuar el enjuiciamiento constitucional.</w:t>
      </w:r>
    </w:p>
    <w:p w14:paraId="61E6B995" w14:textId="77777777" w:rsidR="009D7677" w:rsidRDefault="009D7677" w:rsidP="009D7677">
      <w:pPr>
        <w:pStyle w:val="TextoNormal"/>
      </w:pPr>
    </w:p>
    <w:p w14:paraId="6D274D5B" w14:textId="77777777" w:rsidR="009D7677" w:rsidRDefault="009D7677" w:rsidP="009D7677">
      <w:pPr>
        <w:pStyle w:val="TextoNormal"/>
      </w:pPr>
      <w:r>
        <w:t>Hace referencia a la doctrina fijada en la STC 182/2021 y, en especial, a los votos particulares de dicha sentencia, sosteniendo que la STC 182/2021 operó un cambio en la doctrina constitucional basado en un razonamiento que califica como “muy endeble”, de manera que no se entiende por qué se considera inconstitucional la decisión del legislador estatal de que la base imponible venga determinada por una estimación objetiva vinculada al valor catastral. Continúa señalando que, en el año 2018, cuando se practicó la liquidación impugnada no puede afirmarse que en Gipuzkoa existiera ni crisis económica ni crisis del mercado inmobiliario, por lo que la doctrina de la STC 182/2021 no es trasladable a este supuesto.</w:t>
      </w:r>
    </w:p>
    <w:p w14:paraId="0FF8A721" w14:textId="77777777" w:rsidR="009D7677" w:rsidRDefault="009D7677" w:rsidP="009D7677">
      <w:pPr>
        <w:pStyle w:val="TextoNormal"/>
      </w:pPr>
    </w:p>
    <w:p w14:paraId="78869D30" w14:textId="4543DA23" w:rsidR="009D7677" w:rsidRDefault="009D7677" w:rsidP="009D7677">
      <w:pPr>
        <w:pStyle w:val="TextoNormal"/>
      </w:pPr>
      <w:r>
        <w:t>Concluye afirmando que ligar el IIVTNU al valor catastral es una opción constitucional del legislador y que no entenderlo así conduce a poner en cuestión otros tributos; en particular, el impuesto sobre bienes inmuebles.</w:t>
      </w:r>
    </w:p>
    <w:p w14:paraId="3E9CF0DB" w14:textId="77777777" w:rsidR="009D7677" w:rsidRDefault="009D7677" w:rsidP="009D7677">
      <w:pPr>
        <w:pStyle w:val="TextoNormal"/>
      </w:pPr>
    </w:p>
    <w:p w14:paraId="429E5665" w14:textId="77777777" w:rsidR="009D7677" w:rsidRDefault="009D7677" w:rsidP="009D7677">
      <w:pPr>
        <w:pStyle w:val="TextoNormal"/>
      </w:pPr>
      <w:r w:rsidRPr="009D7677">
        <w:rPr>
          <w:rStyle w:val="NumeroAFNegritaCaracter"/>
        </w:rPr>
        <w:t>9</w:t>
      </w:r>
      <w:r>
        <w:t>. El fiscal general del Estado presentó sus alegaciones el día 2 de noviembre de 2023, interesando que se dicte sentencia por la que se declare la inconstitucionalidad de los arts. 4.1, segundo párrafo, 4.2 a) y 4.3 de la Norma Foral del territorio histórico de Gipuzkoa 16/1989, de 5 de julio, del IIVTNU, por vulnerar el principio de capacidad económica del art. 31 CE.</w:t>
      </w:r>
    </w:p>
    <w:p w14:paraId="77BFF961" w14:textId="77777777" w:rsidR="009D7677" w:rsidRDefault="009D7677" w:rsidP="009D7677">
      <w:pPr>
        <w:pStyle w:val="TextoNormal"/>
      </w:pPr>
    </w:p>
    <w:p w14:paraId="1DB3C582" w14:textId="77777777" w:rsidR="009D7677" w:rsidRDefault="009D7677" w:rsidP="009D7677">
      <w:pPr>
        <w:pStyle w:val="TextoNormal"/>
      </w:pPr>
      <w:r>
        <w:lastRenderedPageBreak/>
        <w:t xml:space="preserve">Tras apreciar que concurren las condiciones procesales de admisión de la presente cuestión prejudicial de validez </w:t>
      </w:r>
      <w:r w:rsidRPr="009D7677">
        <w:rPr>
          <w:i/>
        </w:rPr>
        <w:t>ex</w:t>
      </w:r>
      <w:r>
        <w:t xml:space="preserve"> art. 35.2 LOTC, entra a analizar el fondo de esta. Comienza repasando la doctrina constitucional reciente relativa al impuesto sobre el incremento del valor de los terrenos de naturaleza urbana (SSTC 26/2017, de 16 de febrero; 59/2017, de 11 de mayo; 126/2019, de 31 de octubre, y 182/2021, de 26 de octubre). En particular, se detiene en los cambios normativos introducidos en la normativa foral como consecuencia de la STC 26/2017, y que se materializaron en la aprobación del Decreto Foral-Norma 2/2017, de 28 de marzo, que no alteró la redacción de los preceptos cuestionados, pero sí modificó el impuesto, en el sentido de no someter a gravamen los no incrementos ni las disminuciones de valor de los terrenos. Sin embargo, la determinación de la base imponible del impuesto se lleva a cabo conforme a los preceptos forales cuestionados, recogidos en la Norma Foral 16/1989.</w:t>
      </w:r>
    </w:p>
    <w:p w14:paraId="44A492A5" w14:textId="77777777" w:rsidR="009D7677" w:rsidRDefault="009D7677" w:rsidP="009D7677">
      <w:pPr>
        <w:pStyle w:val="TextoNormal"/>
      </w:pPr>
    </w:p>
    <w:p w14:paraId="531906CF" w14:textId="77777777" w:rsidR="009D7677" w:rsidRDefault="009D7677" w:rsidP="009D7677">
      <w:pPr>
        <w:pStyle w:val="TextoNormal"/>
      </w:pPr>
      <w:r>
        <w:t>A continuación, pone de relieve que los arts. 4.1, segundo párrafo, 4.2 a) y 4.3 de la Norma Foral 16/1989 son prácticamente coincidentes con la redacción de los arts. 107.1, párrafo segundo, 107.2 a) y 107.4 TRLHL, declarados inconstitucionales y nulos por la STC 182/2021, de 26 de octubre, y que las diferencias existentes carecen de relevancia y no alteran el sistema impositivo foral de las reglas de determinación de la base imponible. Por ello, aprecia que los vicios de inconstitucionalidad presentes en la normativa estatal declarada inconstitucional están igualmente presentes en los preceptos forales cuestionados.</w:t>
      </w:r>
    </w:p>
    <w:p w14:paraId="323FA6DF" w14:textId="77777777" w:rsidR="009D7677" w:rsidRDefault="009D7677" w:rsidP="009D7677">
      <w:pPr>
        <w:pStyle w:val="TextoNormal"/>
      </w:pPr>
    </w:p>
    <w:p w14:paraId="58134E83" w14:textId="2BC6F810" w:rsidR="009D7677" w:rsidRDefault="009D7677" w:rsidP="009D7677">
      <w:pPr>
        <w:pStyle w:val="TextoNormal"/>
      </w:pPr>
      <w:r>
        <w:t>Concluye señalando que la declaración de inconstitucionalidad “no debería permitir […] que se consideren situaciones susceptibles de ser revisadas, con fundamento de la declaración de inconstitucionalidad, ni las situaciones decididas mediante sentencia con fuerza de cosa juzgada (art. 40.1 LOTC), ni tampoco, por exigencia del principio de seguridad jurídica (art. 9.3 CE), las consolidadas en vía administrativa por no haber sido impugnadas en tiempo y forma [SSTC 73/2017, de 8 de junio, FJ 6; 151/2017, de 21 de diciembre, FJ 8; 61/2018, de 7 de junio, FJ 11; 76/2018, de 5 de julio, FJ 9, y 126/2019, de 31 de octubre, FJ 5 b)]”.</w:t>
      </w:r>
    </w:p>
    <w:p w14:paraId="7CD3B06F" w14:textId="77777777" w:rsidR="009D7677" w:rsidRDefault="009D7677" w:rsidP="009D7677">
      <w:pPr>
        <w:pStyle w:val="TextoNormal"/>
      </w:pPr>
    </w:p>
    <w:p w14:paraId="76FEEC3D" w14:textId="6DC7F0CF" w:rsidR="009D7677" w:rsidRDefault="009D7677" w:rsidP="009D7677">
      <w:pPr>
        <w:pStyle w:val="TextoNormal"/>
      </w:pPr>
      <w:r w:rsidRPr="009D7677">
        <w:rPr>
          <w:rStyle w:val="NumeroAFNegritaCaracter"/>
        </w:rPr>
        <w:t>10</w:t>
      </w:r>
      <w:r>
        <w:t>. Por diligencia de ordenación de 7 de noviembre de 2023 se tuvo por personado y parte en el procedimiento al procurador de los tribunales don Jesús López Gracia, en nombre y representación de la Diputación Foral de Gipuzkoa, y al procurador de los tribunales don Enrique de Antonio Viscor, en nombre y representación del Ayuntamiento de Oñati y, conforme establece el art. 37.2 LOTC, se les concedió un plazo de quince días para que formularan las alegaciones que estimaren convenientes.</w:t>
      </w:r>
    </w:p>
    <w:p w14:paraId="5E7CBF56" w14:textId="77777777" w:rsidR="009D7677" w:rsidRDefault="009D7677" w:rsidP="009D7677">
      <w:pPr>
        <w:pStyle w:val="TextoNormal"/>
      </w:pPr>
    </w:p>
    <w:p w14:paraId="0052FC42" w14:textId="77777777" w:rsidR="009D7677" w:rsidRDefault="009D7677" w:rsidP="009D7677">
      <w:pPr>
        <w:pStyle w:val="TextoNormal"/>
      </w:pPr>
      <w:r w:rsidRPr="009D7677">
        <w:rPr>
          <w:rStyle w:val="NumeroAFNegritaCaracter"/>
        </w:rPr>
        <w:t>11</w:t>
      </w:r>
      <w:r>
        <w:t>. Con fecha 29 de noviembre de 2023, el Ayuntamiento de Oñati, presentó escrito de alegaciones solicitando que se declare la constitucionalidad de los arts. 4.1, segundo párrafo, 4.2 a) y 4.3 de la Norma Foral del territorio histórico de Gipuzkoa 16/1989, de 5 de julio, del IIVTNU.</w:t>
      </w:r>
    </w:p>
    <w:p w14:paraId="57555AC7" w14:textId="77777777" w:rsidR="009D7677" w:rsidRDefault="009D7677" w:rsidP="009D7677">
      <w:pPr>
        <w:pStyle w:val="TextoNormal"/>
      </w:pPr>
    </w:p>
    <w:p w14:paraId="4006C7FA" w14:textId="77777777" w:rsidR="009D7677" w:rsidRDefault="009D7677" w:rsidP="009D7677">
      <w:pPr>
        <w:pStyle w:val="TextoNormal"/>
      </w:pPr>
      <w:r>
        <w:t>Afirma que, como explica el auto de planteamiento, los preceptos cuestionados son prácticamente idénticos a los estatales declarados inconstitucionales en la STC 182/2021. Sin embargo, considera que la doctrina constitucional correcta no es la recogida en dicha sentencia, sino en las anteriores SSTC 26/2017, 59/2017 y 126/2019, para lo que se apoya en los votos particulares emitidos a la STC 182/2021.</w:t>
      </w:r>
    </w:p>
    <w:p w14:paraId="3443DBB0" w14:textId="77777777" w:rsidR="009D7677" w:rsidRDefault="009D7677" w:rsidP="009D7677">
      <w:pPr>
        <w:pStyle w:val="TextoNormal"/>
      </w:pPr>
    </w:p>
    <w:p w14:paraId="126C14C6" w14:textId="40C67DDF" w:rsidR="009D7677" w:rsidRDefault="009D7677" w:rsidP="009D7677">
      <w:pPr>
        <w:pStyle w:val="TextoNormal"/>
      </w:pPr>
      <w:r>
        <w:t>Así, concluye que el sistema objetivo y obligatorio de determinación de la base imponible del IIVTNU no vulnera el principio de capacidad económica; que no se puede negar que en algunos casos dicho sistema hubiera podido generar situaciones contrarias a Derecho, pero que, la constitucionalidad de la norma queda salvada, una vez subsanada aquella anomalía por el máximo intérprete de la Constitución, al declarar la inconstitucionalidad del método de valoración de la base imponible en aquellos supuestos en los que la liquidación del IIVTNU pudiera tener carácter confiscatorio.</w:t>
      </w:r>
    </w:p>
    <w:p w14:paraId="7F91D441" w14:textId="77777777" w:rsidR="009D7677" w:rsidRDefault="009D7677" w:rsidP="009D7677">
      <w:pPr>
        <w:pStyle w:val="TextoNormal"/>
      </w:pPr>
    </w:p>
    <w:p w14:paraId="188D6898" w14:textId="77777777" w:rsidR="009D7677" w:rsidRDefault="009D7677" w:rsidP="009D7677">
      <w:pPr>
        <w:pStyle w:val="TextoNormal"/>
      </w:pPr>
      <w:r w:rsidRPr="009D7677">
        <w:rPr>
          <w:rStyle w:val="NumeroAFNegritaCaracter"/>
        </w:rPr>
        <w:t>12</w:t>
      </w:r>
      <w:r>
        <w:t>. Mediante escrito registrado el 30 de noviembre de 2023, la Diputación Foral de Gipuzkoa formuló alegaciones interesando que se dictara sentencia desestimando la cuestión planteada.</w:t>
      </w:r>
    </w:p>
    <w:p w14:paraId="0425BF1B" w14:textId="77777777" w:rsidR="009D7677" w:rsidRDefault="009D7677" w:rsidP="009D7677">
      <w:pPr>
        <w:pStyle w:val="TextoNormal"/>
      </w:pPr>
    </w:p>
    <w:p w14:paraId="647C2E2D" w14:textId="77777777" w:rsidR="009D7677" w:rsidRDefault="009D7677" w:rsidP="009D7677">
      <w:pPr>
        <w:pStyle w:val="TextoNormal"/>
      </w:pPr>
      <w:r>
        <w:t>a) Aunque no solicita formalmente la inadmisión de la cuestión prejudicial de validez, duda que, en este caso, se haya realizado correctamente el juicio de aplicabilidad. A su juicio, la parte actora fundaba su recurso en la inexistencia de incremento patrimonial con ocasión de la transmisión, por lo que la Norma Foral 16/1989 no sería de aplicación, como puso de manifiesto el ATC 188/2023, de 18 de abril.</w:t>
      </w:r>
    </w:p>
    <w:p w14:paraId="421DF7BE" w14:textId="77777777" w:rsidR="009D7677" w:rsidRDefault="009D7677" w:rsidP="009D7677">
      <w:pPr>
        <w:pStyle w:val="TextoNormal"/>
      </w:pPr>
    </w:p>
    <w:p w14:paraId="66668116" w14:textId="77777777" w:rsidR="009D7677" w:rsidRDefault="009D7677" w:rsidP="009D7677">
      <w:pPr>
        <w:pStyle w:val="TextoNormal"/>
      </w:pPr>
      <w:r>
        <w:t>Por ello, entiende que el órgano judicial, una vez constatada la existencia de un incremento de valor, debería haber desestimado directamente la demanda, y al no hacerlo así, habría vulnerado los límites que establece el art. 33 de la Ley 29/1998, de 13 de julio, reguladora de la jurisdicción contencioso-administrativa (en adelante, LJCA).</w:t>
      </w:r>
    </w:p>
    <w:p w14:paraId="28A232A8" w14:textId="77777777" w:rsidR="009D7677" w:rsidRDefault="009D7677" w:rsidP="009D7677">
      <w:pPr>
        <w:pStyle w:val="TextoNormal"/>
      </w:pPr>
    </w:p>
    <w:p w14:paraId="77D9EC49" w14:textId="77777777" w:rsidR="009D7677" w:rsidRDefault="009D7677" w:rsidP="009D7677">
      <w:pPr>
        <w:pStyle w:val="TextoNormal"/>
      </w:pPr>
      <w:r>
        <w:t>En consecuencia, entiende que procedía desestimar directamente la demanda, sin que resultaran de aplicación los preceptos cuestionados pues, de lo contrario, se estaría actuando en el presente caso como si de un recurso de inconstitucionalidad se tratase.</w:t>
      </w:r>
    </w:p>
    <w:p w14:paraId="1052B83B" w14:textId="77777777" w:rsidR="009D7677" w:rsidRDefault="009D7677" w:rsidP="009D7677">
      <w:pPr>
        <w:pStyle w:val="TextoNormal"/>
      </w:pPr>
    </w:p>
    <w:p w14:paraId="7180F4A8" w14:textId="77777777" w:rsidR="009D7677" w:rsidRDefault="009D7677" w:rsidP="009D7677">
      <w:pPr>
        <w:pStyle w:val="TextoNormal"/>
      </w:pPr>
      <w:r>
        <w:t>b) Subsidiariamente, postula la desestimación de la cuestión prejudicial de validez. Trae a colación la STC 26/2017 que declaró los arts. 4.1, 4.2 a) y 7.4 de la Norma Foral 16/1989 inconstitucionales “pero únicamente en la medida que someten a tributación situaciones de inexistencia de incrementos de valor”, y señala que el legislador foral guipuzcoano dictó el Decreto Foral-Normal 2/2017 para adecuarse a dicha doctrina constitucional. De manera que el método de cálculo de la base imponible aplicable al caso se ajusta a las exigencias constitucionales.</w:t>
      </w:r>
    </w:p>
    <w:p w14:paraId="7E485C18" w14:textId="77777777" w:rsidR="009D7677" w:rsidRDefault="009D7677" w:rsidP="009D7677">
      <w:pPr>
        <w:pStyle w:val="TextoNormal"/>
      </w:pPr>
    </w:p>
    <w:p w14:paraId="44E67BE5" w14:textId="77777777" w:rsidR="009D7677" w:rsidRDefault="009D7677" w:rsidP="009D7677">
      <w:pPr>
        <w:pStyle w:val="TextoNormal"/>
      </w:pPr>
      <w:r>
        <w:t>Advierte que, frente a ello, no se puede oponer la doctrina que se extrae de la STC 182/2021, porque el método de cálculo aplicado al girar la liquidación impugnada ha tenido en cuenta datos reales y efectivos sobre la variación del valor del terreno. La STC 182/2021 entiende que el hecho de que no hubiese una vía alternativa para determinar la base imponible —si el incremento real había sido inferior al establecido por el cálculo de estimación objetiva— contraviene el principio de capacidad económica y que, en este caso, no se demuestra que la regulación del IIVTNU vulnere el principio constitucional de capacidad económica.</w:t>
      </w:r>
    </w:p>
    <w:p w14:paraId="03EAA47A" w14:textId="77777777" w:rsidR="009D7677" w:rsidRDefault="009D7677" w:rsidP="009D7677">
      <w:pPr>
        <w:pStyle w:val="TextoNormal"/>
      </w:pPr>
    </w:p>
    <w:p w14:paraId="52D6515B" w14:textId="38B29A25" w:rsidR="009D7677" w:rsidRDefault="009D7677" w:rsidP="009D7677">
      <w:pPr>
        <w:pStyle w:val="TextoNormal"/>
      </w:pPr>
      <w:r>
        <w:t xml:space="preserve">Por lo demás entiende que no existen elementos de juicio para concluir que en 2018 existiera en Gipuzkoa crisis económica ni del mercado inmobiliario y que, en todo caso, el </w:t>
      </w:r>
      <w:r>
        <w:lastRenderedPageBreak/>
        <w:t>argumento de la crisis económica no puede acabar siendo un parámetro de constitucionalidad de los tributos.</w:t>
      </w:r>
    </w:p>
    <w:p w14:paraId="706F454F" w14:textId="77777777" w:rsidR="009D7677" w:rsidRDefault="009D7677" w:rsidP="009D7677">
      <w:pPr>
        <w:pStyle w:val="TextoNormal"/>
      </w:pPr>
    </w:p>
    <w:p w14:paraId="0B641960" w14:textId="1A2E2F1A" w:rsidR="009D7677" w:rsidRDefault="009D7677" w:rsidP="009D7677">
      <w:pPr>
        <w:pStyle w:val="TextoNormal"/>
      </w:pPr>
      <w:r w:rsidRPr="009D7677">
        <w:rPr>
          <w:rStyle w:val="NumeroAFNegritaCaracter"/>
        </w:rPr>
        <w:t>13</w:t>
      </w:r>
      <w:r>
        <w:t>. Mediante providencia de 12 de marzo de 2024, se señaló ese mismo día para deliberación y votación de la presente sentencia.</w:t>
      </w:r>
    </w:p>
    <w:p w14:paraId="1DFCB713" w14:textId="77777777" w:rsidR="009D7677" w:rsidRDefault="009D7677" w:rsidP="009D7677">
      <w:pPr>
        <w:pStyle w:val="TextoNormal"/>
      </w:pPr>
    </w:p>
    <w:p w14:paraId="08AA52F8" w14:textId="77777777" w:rsidR="009D7677" w:rsidRDefault="009D7677" w:rsidP="009D7677">
      <w:pPr>
        <w:pStyle w:val="TextoNormalNegritaCentrado"/>
        <w:keepNext/>
      </w:pPr>
      <w:r>
        <w:t>II. Fundamentos jurídicos</w:t>
      </w:r>
    </w:p>
    <w:p w14:paraId="6723D97E" w14:textId="655BAA8A" w:rsidR="009D7677" w:rsidRDefault="009D7677" w:rsidP="009D7677">
      <w:pPr>
        <w:pStyle w:val="TextoNormalNegritaCentrado"/>
        <w:keepNext/>
      </w:pPr>
    </w:p>
    <w:p w14:paraId="6CA5A418" w14:textId="77777777" w:rsidR="009D7677" w:rsidRDefault="009D7677" w:rsidP="009D7677">
      <w:pPr>
        <w:pStyle w:val="TextoNormal"/>
      </w:pPr>
      <w:r w:rsidRPr="009D7677">
        <w:rPr>
          <w:rStyle w:val="NumeroAFNegritaCaracter"/>
        </w:rPr>
        <w:t>1</w:t>
      </w:r>
      <w:r>
        <w:t xml:space="preserve">. </w:t>
      </w:r>
      <w:r w:rsidRPr="009D7677">
        <w:rPr>
          <w:i/>
        </w:rPr>
        <w:t>Objeto de la cuestión prejudicial y posiciones de las partes</w:t>
      </w:r>
    </w:p>
    <w:p w14:paraId="59AA19C3" w14:textId="77777777" w:rsidR="009D7677" w:rsidRDefault="009D7677" w:rsidP="009D7677">
      <w:pPr>
        <w:pStyle w:val="TextoNormal"/>
      </w:pPr>
    </w:p>
    <w:p w14:paraId="7987B8BE" w14:textId="77777777" w:rsidR="009D7677" w:rsidRDefault="009D7677" w:rsidP="009D7677">
      <w:pPr>
        <w:pStyle w:val="TextoNormal"/>
      </w:pPr>
      <w:r>
        <w:t>a) El Juzgado de lo Contencioso-Administrativo núm. 3 de Donostia-San Sebastián ha planteado una cuestión prejudicial de validez sobre normas forales fiscales en relación con los arts. 4.1, segundo párrafo, 4.2 a) y 4.3 de la Norma Foral 16/1989, de 5 de julio, del territorio histórico de Gipuzkoa, del impuesto sobre el incremento del valor de los terrenos de naturaleza urbana, en su redacción anterior a la modificación operada por el Decreto Foral-Norma 7/2021, de 16 de noviembre, por posible infracción del principio de capacidad económica (art. 31.1 CE).</w:t>
      </w:r>
    </w:p>
    <w:p w14:paraId="058A0695" w14:textId="77777777" w:rsidR="009D7677" w:rsidRDefault="009D7677" w:rsidP="009D7677">
      <w:pPr>
        <w:pStyle w:val="TextoNormal"/>
      </w:pPr>
    </w:p>
    <w:p w14:paraId="642467EF" w14:textId="77777777" w:rsidR="009D7677" w:rsidRDefault="009D7677" w:rsidP="009D7677">
      <w:pPr>
        <w:pStyle w:val="TextoNormal"/>
      </w:pPr>
      <w:r>
        <w:t>Tales preceptos disponen lo siguiente:</w:t>
      </w:r>
    </w:p>
    <w:p w14:paraId="1347978A" w14:textId="77777777" w:rsidR="009D7677" w:rsidRDefault="009D7677" w:rsidP="009D7677">
      <w:pPr>
        <w:pStyle w:val="TextoNormal"/>
      </w:pPr>
    </w:p>
    <w:p w14:paraId="11A89ADB" w14:textId="77777777" w:rsidR="009D7677" w:rsidRDefault="009D7677" w:rsidP="009D7677">
      <w:pPr>
        <w:pStyle w:val="TextoNormal"/>
      </w:pPr>
      <w:r>
        <w:t>Art. 4.1, segundo párrafo:</w:t>
      </w:r>
    </w:p>
    <w:p w14:paraId="79E9C01E" w14:textId="77777777" w:rsidR="009D7677" w:rsidRDefault="009D7677" w:rsidP="009D7677">
      <w:pPr>
        <w:pStyle w:val="TextoNormal"/>
      </w:pPr>
    </w:p>
    <w:p w14:paraId="1F1EB765" w14:textId="77777777" w:rsidR="009D7677" w:rsidRDefault="009D7677" w:rsidP="009D7677">
      <w:pPr>
        <w:pStyle w:val="TextoNormal"/>
      </w:pPr>
      <w:r>
        <w:t>“A efectos de la determinación de la base imponible, habrá de tenerse en cuenta el valor del terreno en el momento del devengo, de acuerdo con lo previsto en el apartado 2 de este artículo, y el porcentaje que corresponda en función de lo previsto en su apartado 3”.</w:t>
      </w:r>
    </w:p>
    <w:p w14:paraId="3CA25F7B" w14:textId="77777777" w:rsidR="009D7677" w:rsidRDefault="009D7677" w:rsidP="009D7677">
      <w:pPr>
        <w:pStyle w:val="TextoNormal"/>
      </w:pPr>
    </w:p>
    <w:p w14:paraId="76F023CC" w14:textId="77777777" w:rsidR="009D7677" w:rsidRDefault="009D7677" w:rsidP="009D7677">
      <w:pPr>
        <w:pStyle w:val="TextoNormal"/>
      </w:pPr>
      <w:r>
        <w:t>Art. 4.2 a):</w:t>
      </w:r>
    </w:p>
    <w:p w14:paraId="3940A7BA" w14:textId="77777777" w:rsidR="009D7677" w:rsidRDefault="009D7677" w:rsidP="009D7677">
      <w:pPr>
        <w:pStyle w:val="TextoNormal"/>
      </w:pPr>
    </w:p>
    <w:p w14:paraId="7D9A8447" w14:textId="77777777" w:rsidR="009D7677" w:rsidRDefault="009D7677" w:rsidP="009D7677">
      <w:pPr>
        <w:pStyle w:val="TextoNormal"/>
      </w:pPr>
      <w:r>
        <w:t>“2. El valor del terreno en el momento del devengo resultará de lo establecido en las siguientes reglas:</w:t>
      </w:r>
    </w:p>
    <w:p w14:paraId="20487FD6" w14:textId="77777777" w:rsidR="009D7677" w:rsidRDefault="009D7677" w:rsidP="009D7677">
      <w:pPr>
        <w:pStyle w:val="TextoNormal"/>
      </w:pPr>
    </w:p>
    <w:p w14:paraId="43E2E8DD" w14:textId="77777777" w:rsidR="009D7677" w:rsidRDefault="009D7677" w:rsidP="009D7677">
      <w:pPr>
        <w:pStyle w:val="TextoNormal"/>
      </w:pPr>
      <w:r>
        <w:t>a) En las transmisiones de terrenos, el valor de los mismos en el momento del devengo será el que tengan determinado en dicho momento a efectos del impuesto sobre bienes inmuebles.</w:t>
      </w:r>
    </w:p>
    <w:p w14:paraId="37164808" w14:textId="77777777" w:rsidR="009D7677" w:rsidRDefault="009D7677" w:rsidP="009D7677">
      <w:pPr>
        <w:pStyle w:val="TextoNormal"/>
      </w:pPr>
    </w:p>
    <w:p w14:paraId="1EB5316B" w14:textId="77777777" w:rsidR="009D7677" w:rsidRDefault="009D7677" w:rsidP="009D7677">
      <w:pPr>
        <w:pStyle w:val="TextoNormal"/>
      </w:pPr>
      <w:r>
        <w:t>No obstante, cuando dicho valor sea consecuencia de una ponencia de valores que no refleje modificaciones de planeamiento aprobadas con posterioridad a la aprobación de la citada ponencia, se podrá liquidar provisionalmente este impuesto con arreglo al mismo. En estos casos, en la liquidación definitiva se aplicará el valor de los terrenos una vez se haya obtenido conforme a los procedimientos de valoración que se instruyan, referido a la fecha de devengo.</w:t>
      </w:r>
    </w:p>
    <w:p w14:paraId="28EB8C9E" w14:textId="77777777" w:rsidR="009D7677" w:rsidRDefault="009D7677" w:rsidP="009D7677">
      <w:pPr>
        <w:pStyle w:val="TextoNormal"/>
      </w:pPr>
    </w:p>
    <w:p w14:paraId="41CEC58A" w14:textId="77777777" w:rsidR="009D7677" w:rsidRDefault="009D7677" w:rsidP="009D7677">
      <w:pPr>
        <w:pStyle w:val="TextoNormal"/>
      </w:pPr>
      <w:r>
        <w:t>Cuando el terreno, aun siendo de naturaleza urbana, en el momento del devengo del impuesto no tenga determinado valor catastral en dicho momento, el ayuntamiento podrá practicar la liquidación cuando el referido valor catastral sea determinado, refiriendo dicho valor al momento del devengo”.</w:t>
      </w:r>
    </w:p>
    <w:p w14:paraId="3F676C4B" w14:textId="77777777" w:rsidR="009D7677" w:rsidRDefault="009D7677" w:rsidP="009D7677">
      <w:pPr>
        <w:pStyle w:val="TextoNormal"/>
      </w:pPr>
    </w:p>
    <w:p w14:paraId="3A41C629" w14:textId="77777777" w:rsidR="009D7677" w:rsidRDefault="009D7677" w:rsidP="009D7677">
      <w:pPr>
        <w:pStyle w:val="TextoNormal"/>
      </w:pPr>
      <w:r>
        <w:lastRenderedPageBreak/>
        <w:t>Art. 4.3:</w:t>
      </w:r>
    </w:p>
    <w:p w14:paraId="4881C662" w14:textId="77777777" w:rsidR="009D7677" w:rsidRDefault="009D7677" w:rsidP="009D7677">
      <w:pPr>
        <w:pStyle w:val="TextoNormal"/>
      </w:pPr>
    </w:p>
    <w:p w14:paraId="08CF74C3" w14:textId="77777777" w:rsidR="009D7677" w:rsidRDefault="009D7677" w:rsidP="009D7677">
      <w:pPr>
        <w:pStyle w:val="TextoNormal"/>
      </w:pPr>
      <w:r>
        <w:t>“3. Sobre el valor del terreno en el momento del devengo, derivado de lo dispuesto en el apartado 2 anterior, se aplicará el porcentaje anual que determine cada ayuntamiento, sin que el mismo pueda exceder de los límites siguientes:</w:t>
      </w:r>
    </w:p>
    <w:p w14:paraId="5309EEC5" w14:textId="77777777" w:rsidR="009D7677" w:rsidRDefault="009D7677" w:rsidP="009D7677">
      <w:pPr>
        <w:pStyle w:val="TextoNormal"/>
      </w:pPr>
    </w:p>
    <w:p w14:paraId="2C19E05C" w14:textId="77777777" w:rsidR="009D7677" w:rsidRDefault="009D7677" w:rsidP="009D7677">
      <w:pPr>
        <w:pStyle w:val="TextoNormal"/>
      </w:pPr>
      <w:r>
        <w:t>a) Período de uno hasta cinco años: 3,6.</w:t>
      </w:r>
    </w:p>
    <w:p w14:paraId="40EF26CC" w14:textId="77777777" w:rsidR="009D7677" w:rsidRDefault="009D7677" w:rsidP="009D7677">
      <w:pPr>
        <w:pStyle w:val="TextoNormal"/>
      </w:pPr>
    </w:p>
    <w:p w14:paraId="531E94C1" w14:textId="77777777" w:rsidR="009D7677" w:rsidRDefault="009D7677" w:rsidP="009D7677">
      <w:pPr>
        <w:pStyle w:val="TextoNormal"/>
      </w:pPr>
      <w:r>
        <w:t>b) Período de hasta diez años: 3,4.</w:t>
      </w:r>
    </w:p>
    <w:p w14:paraId="7229818C" w14:textId="77777777" w:rsidR="009D7677" w:rsidRDefault="009D7677" w:rsidP="009D7677">
      <w:pPr>
        <w:pStyle w:val="TextoNormal"/>
      </w:pPr>
    </w:p>
    <w:p w14:paraId="054F08A7" w14:textId="77777777" w:rsidR="009D7677" w:rsidRDefault="009D7677" w:rsidP="009D7677">
      <w:pPr>
        <w:pStyle w:val="TextoNormal"/>
      </w:pPr>
      <w:r>
        <w:t>c) Período de hasta quince años: 3,1.</w:t>
      </w:r>
    </w:p>
    <w:p w14:paraId="0D669678" w14:textId="77777777" w:rsidR="009D7677" w:rsidRDefault="009D7677" w:rsidP="009D7677">
      <w:pPr>
        <w:pStyle w:val="TextoNormal"/>
      </w:pPr>
    </w:p>
    <w:p w14:paraId="3210DF56" w14:textId="77777777" w:rsidR="009D7677" w:rsidRDefault="009D7677" w:rsidP="009D7677">
      <w:pPr>
        <w:pStyle w:val="TextoNormal"/>
      </w:pPr>
      <w:r>
        <w:t>d) Período de hasta veinte años: 2,9.</w:t>
      </w:r>
    </w:p>
    <w:p w14:paraId="6B598BCA" w14:textId="77777777" w:rsidR="009D7677" w:rsidRDefault="009D7677" w:rsidP="009D7677">
      <w:pPr>
        <w:pStyle w:val="TextoNormal"/>
      </w:pPr>
    </w:p>
    <w:p w14:paraId="7CBC4634" w14:textId="77777777" w:rsidR="009D7677" w:rsidRDefault="009D7677" w:rsidP="009D7677">
      <w:pPr>
        <w:pStyle w:val="TextoNormal"/>
      </w:pPr>
      <w:r>
        <w:t>Para determinar el porcentaje, se aplicarán las reglas siguientes:</w:t>
      </w:r>
    </w:p>
    <w:p w14:paraId="30414B0D" w14:textId="77777777" w:rsidR="009D7677" w:rsidRDefault="009D7677" w:rsidP="009D7677">
      <w:pPr>
        <w:pStyle w:val="TextoNormal"/>
      </w:pPr>
    </w:p>
    <w:p w14:paraId="536753DB" w14:textId="77777777" w:rsidR="009D7677" w:rsidRDefault="009D7677" w:rsidP="009D7677">
      <w:pPr>
        <w:pStyle w:val="TextoNormal"/>
      </w:pPr>
      <w:r>
        <w:t>Primera. El incremento de valor de cada operación gravada por el impuesto se determinará con arreglo al porcentaje anual fijado por el ayuntamiento para el período que comprenda el número de años a lo largo de los cuales se haya puesto de manifiesto dicho incremento.</w:t>
      </w:r>
    </w:p>
    <w:p w14:paraId="74F7D3A7" w14:textId="77777777" w:rsidR="009D7677" w:rsidRDefault="009D7677" w:rsidP="009D7677">
      <w:pPr>
        <w:pStyle w:val="TextoNormal"/>
      </w:pPr>
    </w:p>
    <w:p w14:paraId="4CE10A8D" w14:textId="77777777" w:rsidR="009D7677" w:rsidRDefault="009D7677" w:rsidP="009D7677">
      <w:pPr>
        <w:pStyle w:val="TextoNormal"/>
      </w:pPr>
      <w:r>
        <w:t>Segunda. El porcentaje a aplicar sobre el valor del terreno en el momento del devengo será el resultante de multiplicar el porcentaje anual aplicable a cada caso concreto por el número de años a lo largo de los cuales se haya puesto de manifiesto el incremento del valor.</w:t>
      </w:r>
    </w:p>
    <w:p w14:paraId="769FD8CB" w14:textId="77777777" w:rsidR="009D7677" w:rsidRDefault="009D7677" w:rsidP="009D7677">
      <w:pPr>
        <w:pStyle w:val="TextoNormal"/>
      </w:pPr>
    </w:p>
    <w:p w14:paraId="7AF3E492" w14:textId="77777777" w:rsidR="009D7677" w:rsidRDefault="009D7677" w:rsidP="009D7677">
      <w:pPr>
        <w:pStyle w:val="TextoNormal"/>
      </w:pPr>
      <w:r>
        <w:t>Tercera. Para determinar el porcentaje anual aplicable a cada operación concreta conforme a la regla primera y para determinar el número de años por los que se ha de multiplicar dicho porcentaje anual conforme a la regla segunda, solo se considerarán los años completos que integren el período de puesta de manifiesto del incremento de valor, sin que a tales efectos puedan considerarse las fracciones de años de dicho periodo”.</w:t>
      </w:r>
    </w:p>
    <w:p w14:paraId="5761AFA2" w14:textId="77777777" w:rsidR="009D7677" w:rsidRDefault="009D7677" w:rsidP="009D7677">
      <w:pPr>
        <w:pStyle w:val="TextoNormal"/>
      </w:pPr>
    </w:p>
    <w:p w14:paraId="12C37C04" w14:textId="77777777" w:rsidR="009D7677" w:rsidRDefault="009D7677" w:rsidP="009D7677">
      <w:pPr>
        <w:pStyle w:val="TextoNormal"/>
      </w:pPr>
      <w:r>
        <w:t>b) Como ha quedado sintetizado en los antecedentes, el abogado del Estado se ha personado en el procedimiento solicitando una sentencia conforme a Derecho.</w:t>
      </w:r>
    </w:p>
    <w:p w14:paraId="79559FA4" w14:textId="77777777" w:rsidR="009D7677" w:rsidRDefault="009D7677" w:rsidP="009D7677">
      <w:pPr>
        <w:pStyle w:val="TextoNormal"/>
      </w:pPr>
    </w:p>
    <w:p w14:paraId="4B4C14EC" w14:textId="77777777" w:rsidR="009D7677" w:rsidRDefault="009D7677" w:rsidP="009D7677">
      <w:pPr>
        <w:pStyle w:val="TextoNormal"/>
      </w:pPr>
      <w:r>
        <w:t>Por su parte, las Juntas Generales de Gipuzkoa, el Ayuntamiento de Oñati y la Diputación Foral de Gipuzkoa han interesado la desestimación de la cuestión prejudicial y la declaración de constitucionalidad de las normas cuestionadas, si bien la Diputación Foral de Gipuzkoa ha puesto también de manifiesto la posible inadmisión de la cuestión por la indebida formulación del juicio de aplicabilidad.</w:t>
      </w:r>
    </w:p>
    <w:p w14:paraId="5B4A7150" w14:textId="77777777" w:rsidR="009D7677" w:rsidRDefault="009D7677" w:rsidP="009D7677">
      <w:pPr>
        <w:pStyle w:val="TextoNormal"/>
      </w:pPr>
    </w:p>
    <w:p w14:paraId="6622D643" w14:textId="1551A129" w:rsidR="009D7677" w:rsidRDefault="009D7677" w:rsidP="009D7677">
      <w:pPr>
        <w:pStyle w:val="TextoNormal"/>
      </w:pPr>
      <w:r>
        <w:t>Por último, el fiscal general del Estado ha solicitado la estimación de la cuestión y la declaración de inconstitucionalidad y nulidad de los preceptos cuestionados, dada la identidad entre los preceptos forales cuestionados y los estatales declarados inconstitucionales en la STC 182/2021.</w:t>
      </w:r>
    </w:p>
    <w:p w14:paraId="5FB54FA0" w14:textId="77777777" w:rsidR="009D7677" w:rsidRDefault="009D7677" w:rsidP="009D7677">
      <w:pPr>
        <w:pStyle w:val="TextoNormal"/>
      </w:pPr>
    </w:p>
    <w:p w14:paraId="091F2789" w14:textId="77777777" w:rsidR="009D7677" w:rsidRDefault="009D7677" w:rsidP="009D7677">
      <w:pPr>
        <w:pStyle w:val="TextoNormal"/>
      </w:pPr>
      <w:r w:rsidRPr="009D7677">
        <w:rPr>
          <w:rStyle w:val="NumeroAFNegritaCaracter"/>
        </w:rPr>
        <w:t>2</w:t>
      </w:r>
      <w:r>
        <w:t xml:space="preserve">. </w:t>
      </w:r>
      <w:r w:rsidRPr="009D7677">
        <w:rPr>
          <w:i/>
        </w:rPr>
        <w:t>Sobre la exteriorización del juicio de aplicabilidad por el órgano judicial promotor de la cuestión prejudicial</w:t>
      </w:r>
    </w:p>
    <w:p w14:paraId="26ACD640" w14:textId="77777777" w:rsidR="009D7677" w:rsidRDefault="009D7677" w:rsidP="009D7677">
      <w:pPr>
        <w:pStyle w:val="TextoNormal"/>
      </w:pPr>
    </w:p>
    <w:p w14:paraId="02F62D9B" w14:textId="77777777" w:rsidR="009D7677" w:rsidRDefault="009D7677" w:rsidP="009D7677">
      <w:pPr>
        <w:pStyle w:val="TextoNormal"/>
      </w:pPr>
      <w:r>
        <w:t xml:space="preserve">a) Antes de abordar el examen de constitucionalidad planteado, es preciso dar respuesta al motivo de inadmisión esgrimido por la Diputación Foral de Gipuzkoa. Como ha quedado expuesto, aunque no solicita formalmente la inadmisión de la presente cuestión, ha alegado que, como puso de manifiesto el ATC 188/2023, de 18 de abril, los preceptos cuestionados por el órgano judicial no serían aplicables al caso, toda vez que la actora en el proceso judicial </w:t>
      </w:r>
      <w:r w:rsidRPr="009D7677">
        <w:rPr>
          <w:i/>
        </w:rPr>
        <w:t>a quo</w:t>
      </w:r>
      <w:r>
        <w:t xml:space="preserve"> basaba su recurso en la inexistencia de incremento patrimonial con ocasión de la transmisión. A su juicio, una vez constatada la inexistencia de incremento patrimonial, procedería directamente la desestimación de la demanda, sin que resultaran de aplicación los arts. 4.1, segundo párrafo, 4.2 a) y 4.3 de la Norma Foral 16/1989.</w:t>
      </w:r>
    </w:p>
    <w:p w14:paraId="723BBAF1" w14:textId="77777777" w:rsidR="009D7677" w:rsidRDefault="009D7677" w:rsidP="009D7677">
      <w:pPr>
        <w:pStyle w:val="TextoNormal"/>
      </w:pPr>
    </w:p>
    <w:p w14:paraId="4DDA2562" w14:textId="77777777" w:rsidR="009D7677" w:rsidRDefault="009D7677" w:rsidP="009D7677">
      <w:pPr>
        <w:pStyle w:val="TextoNormal"/>
      </w:pPr>
      <w:r>
        <w:t>En definitiva, sostiene que el auto de planteamiento no formuló debidamente el juicio de aplicabilidad. Debe tenerse en cuenta, a estos efectos, que la eventual falta de aquellos requisitos procesales exigidos en el art. 35.2 LOTC no solo puede ser examinada en el trámite de admisión previsto en el art. 37 LOTC, sino también en la sentencia que ponga fin al proceso constitucional (por todas, SSTC 254/2015, de 30 de noviembre, FJ 2; 175/2016, de 17 de octubre, FJ 2; 26/2017, de 16 de marzo, FJ 1, y 57/2018, de 24 de mayo, FJ 2).</w:t>
      </w:r>
    </w:p>
    <w:p w14:paraId="54E3FD83" w14:textId="77777777" w:rsidR="009D7677" w:rsidRDefault="009D7677" w:rsidP="009D7677">
      <w:pPr>
        <w:pStyle w:val="TextoNormal"/>
      </w:pPr>
    </w:p>
    <w:p w14:paraId="7FE63477" w14:textId="77777777" w:rsidR="009D7677" w:rsidRDefault="009D7677" w:rsidP="009D7677">
      <w:pPr>
        <w:pStyle w:val="TextoNormal"/>
      </w:pPr>
      <w:r>
        <w:t>b) El óbice opuesto por la Diputación Foral de Gipuzkoa no puede prosperar porque parte de una comprensión incorrecta del ATC 188/2023.</w:t>
      </w:r>
    </w:p>
    <w:p w14:paraId="327F66C3" w14:textId="77777777" w:rsidR="009D7677" w:rsidRDefault="009D7677" w:rsidP="009D7677">
      <w:pPr>
        <w:pStyle w:val="TextoNormal"/>
      </w:pPr>
    </w:p>
    <w:p w14:paraId="269F756E" w14:textId="77777777" w:rsidR="009D7677" w:rsidRDefault="009D7677" w:rsidP="009D7677">
      <w:pPr>
        <w:pStyle w:val="TextoNormal"/>
      </w:pPr>
      <w:r>
        <w:t>En dicha resolución, este tribunal inadmitió la cuestión de validez promovida por el mismo órgano judicial en este procedimiento dado que el auto de planteamiento no se pronunciaba sobre la aplicabilidad al caso del Decreto Foral-Norma 2/2017, de 28 de marzo. Así, señalamos que “era necesario […] que el auto de planteamiento valorase la aplicación del Decreto Foral-Norma 2/2017, y razonase también si sigue siendo aplicable al caso a pesar de haber sido derogado por el Decreto Foral-Norma 7/2021. En particular, el órgano judicial tenía que haberse pronunciado sobre si hubo o no un incremento del valor de los terrenos, porque si no hubo un incremento patrimonial, entonces la Norma Foral 16/1989, que es la norma cuestionada en la presente cuestión prejudicial de validez, no sería aplicable, atendiendo a las exigencias que estableció el Decreto Foral-Norma 2/2017, y que era de aplicación en el momento de la liquidación, lo que convertiría la cuestión en un juicio abstracto de constitucionalidad”.</w:t>
      </w:r>
    </w:p>
    <w:p w14:paraId="26CEAA9B" w14:textId="77777777" w:rsidR="009D7677" w:rsidRDefault="009D7677" w:rsidP="009D7677">
      <w:pPr>
        <w:pStyle w:val="TextoNormal"/>
      </w:pPr>
    </w:p>
    <w:p w14:paraId="2E56A1C1" w14:textId="77777777" w:rsidR="009D7677" w:rsidRDefault="009D7677" w:rsidP="009D7677">
      <w:pPr>
        <w:pStyle w:val="TextoNormal"/>
      </w:pPr>
      <w:r>
        <w:t>Ahora, sin embargo, el auto de planteamiento de 11 de julio de 2023 cumple con lo exigido por este tribunal.</w:t>
      </w:r>
    </w:p>
    <w:p w14:paraId="1EE86592" w14:textId="77777777" w:rsidR="009D7677" w:rsidRDefault="009D7677" w:rsidP="009D7677">
      <w:pPr>
        <w:pStyle w:val="TextoNormal"/>
      </w:pPr>
    </w:p>
    <w:p w14:paraId="0717C1BF" w14:textId="77777777" w:rsidR="009D7677" w:rsidRDefault="009D7677" w:rsidP="009D7677">
      <w:pPr>
        <w:pStyle w:val="TextoNormal"/>
      </w:pPr>
      <w:r>
        <w:t xml:space="preserve">Así, de un lado, el órgano judicial ha expuesto detalladamente las razones por las que los arts. 4.1, segundo párrafo, 4.2 a) y 4.3 de la Norma Foral 16/1989, tras la modificación operada en la normativa reguladora del IIVTNU por el Decreto Foral-Norma 2/2017, de 28 de marzo, son aplicables </w:t>
      </w:r>
      <w:r w:rsidRPr="009D7677">
        <w:rPr>
          <w:i/>
        </w:rPr>
        <w:t>ratione temporis</w:t>
      </w:r>
      <w:r>
        <w:t xml:space="preserve"> al caso, a pesar de haber sido derogados por el Decreto Foral-Norma 7/2021. Ello es así puesto que la liquidación tributaria objeto de impugnación en el proceso </w:t>
      </w:r>
      <w:r w:rsidRPr="009D7677">
        <w:rPr>
          <w:i/>
        </w:rPr>
        <w:t>a quo</w:t>
      </w:r>
      <w:r>
        <w:t xml:space="preserve"> se dictó bajo su vigencia y la derogación operada en 2021 no tiene efectos retroactivos.</w:t>
      </w:r>
    </w:p>
    <w:p w14:paraId="333E7CF4" w14:textId="77777777" w:rsidR="009D7677" w:rsidRDefault="009D7677" w:rsidP="009D7677">
      <w:pPr>
        <w:pStyle w:val="TextoNormal"/>
      </w:pPr>
    </w:p>
    <w:p w14:paraId="5135D433" w14:textId="77777777" w:rsidR="009D7677" w:rsidRDefault="009D7677" w:rsidP="009D7677">
      <w:pPr>
        <w:pStyle w:val="TextoNormal"/>
      </w:pPr>
      <w:r>
        <w:t xml:space="preserve">Nada cabe objetar a tal juicio, pues “la circunstancia de que la norma sobre la que se plantea la cuestión de inconstitucionalidad haya sido derogada no implica sin embargo que </w:t>
      </w:r>
      <w:r>
        <w:lastRenderedPageBreak/>
        <w:t>la cuestión haya perdido su objeto”, sino que “los efectos extintivos sobre el objeto del proceso, como consecuencia de la modificación o derogación de la norma cuestionada, vienen determinados por el hecho de que, tras esa modificación o derogación, resulte o no aplicable en el proceso a quo, y de que de su validez dependa la decisión a adoptar en este (entre otras, SSTC 255/2004, de 23 de diciembre, FJ 2; 22/2010, de 27 de abril, FJ 2; 73/2014, de 8 de mayo, FJ 2; 83/2015, de 30 de abril, FJ 3, y 25/2016, de 15 de febrero, FJ 1)” (STC 22/2019, de 14 de febrero, FJ 2). Y, en este caso, la eventual inconstitucionalidad de los preceptos cuestionados se proyecta sobre una liquidación tributaria dictada en su aplicación, por lo que, con independencia de su posterior modificación, se aprecia con claridad el nexo causal entre la validez de la norma foral cuestionada y la decisión a adoptar en el proces</w:t>
      </w:r>
      <w:r w:rsidRPr="009D7677">
        <w:rPr>
          <w:i/>
        </w:rPr>
        <w:t>o a q</w:t>
      </w:r>
      <w:r>
        <w:t>uo.</w:t>
      </w:r>
    </w:p>
    <w:p w14:paraId="292D8024" w14:textId="77777777" w:rsidR="009D7677" w:rsidRDefault="009D7677" w:rsidP="009D7677">
      <w:pPr>
        <w:pStyle w:val="TextoNormal"/>
      </w:pPr>
    </w:p>
    <w:p w14:paraId="0C39E570" w14:textId="77777777" w:rsidR="009D7677" w:rsidRDefault="009D7677" w:rsidP="009D7677">
      <w:pPr>
        <w:pStyle w:val="TextoNormal"/>
      </w:pPr>
      <w:r>
        <w:t xml:space="preserve">De otro lado, el auto de planteamiento ha procedido a la valoración de la prueba practicada con arreglo a las reglas de la sana crítica, dando prevalencia a la valoración efectuada por la administración tributaria, conforme al sistema objetivo de determinación de la base imponible que resulta de los preceptos forales cuestionados, frente a la prueba aportada por la parte recurrente. Como consecuencia de esta valoración probatoria, el órgano judicial concluyó que, efectivamente, se produjo un incremento patrimonial susceptible de gravamen conforme a los preceptos cuestionados en la redacción vigente al dictarse la liquidación del IIVTNU impugnada en el procedimiento de instancia. Con este esquema argumental, el juzgado </w:t>
      </w:r>
      <w:r w:rsidRPr="009D7677">
        <w:rPr>
          <w:i/>
        </w:rPr>
        <w:t>a quo</w:t>
      </w:r>
      <w:r>
        <w:t xml:space="preserve"> ha exteriorizado debidamente que el uso que se hace de la cuestión de validez es adecuado a su naturaleza como instrumento de control concreto de constitucionalidad.</w:t>
      </w:r>
    </w:p>
    <w:p w14:paraId="071BBCEB" w14:textId="77777777" w:rsidR="009D7677" w:rsidRDefault="009D7677" w:rsidP="009D7677">
      <w:pPr>
        <w:pStyle w:val="TextoNormal"/>
      </w:pPr>
    </w:p>
    <w:p w14:paraId="40732610" w14:textId="77777777" w:rsidR="009D7677" w:rsidRDefault="009D7677" w:rsidP="009D7677">
      <w:pPr>
        <w:pStyle w:val="TextoNormal"/>
      </w:pPr>
      <w:r>
        <w:t>c) Por último, el motivo de inadmisión tampoco puede recibir favorable acogida porque se basa en una pretendida incongruencia del órgano judicial que no es tal, por dos razones:</w:t>
      </w:r>
    </w:p>
    <w:p w14:paraId="28728902" w14:textId="77777777" w:rsidR="009D7677" w:rsidRDefault="009D7677" w:rsidP="009D7677">
      <w:pPr>
        <w:pStyle w:val="TextoNormal"/>
      </w:pPr>
    </w:p>
    <w:p w14:paraId="3021B14A" w14:textId="77777777" w:rsidR="009D7677" w:rsidRDefault="009D7677" w:rsidP="009D7677">
      <w:pPr>
        <w:pStyle w:val="TextoNormal"/>
      </w:pPr>
      <w:r>
        <w:t>(i) En primer lugar, porque el único motivo de impugnación esgrimido por la parte recurrente fue que la resolución de 20 de diciembre de 2021 del Tribunal Económico-Administrativo Foral de Gipuzkoa era contraria a Derecho con base en la doctrina fijada en la STC 182/2021, y en las actuaciones consta que la Diputación Foral de Gipuzkoa en el acto de la vista del procedimiento abreviado hizo referencia expresamente a la STC 182/2021. Por lo tanto, en contra de lo que se afirma en su escrito de alegaciones por la Diputación Foral de Gipuzkoa, el órgano judicial no ha introducido en el debate procesal un motivo de impugnación de oficio no invocado por las partes, excediéndose de los límites establecidos el art. 33 LJCA o sin hacer uso de la posibilidad establecida en dicho precepto legal.</w:t>
      </w:r>
    </w:p>
    <w:p w14:paraId="38C6FD73" w14:textId="77777777" w:rsidR="009D7677" w:rsidRDefault="009D7677" w:rsidP="009D7677">
      <w:pPr>
        <w:pStyle w:val="TextoNormal"/>
      </w:pPr>
    </w:p>
    <w:p w14:paraId="65104FAC" w14:textId="38969E33" w:rsidR="009D7677" w:rsidRDefault="009D7677" w:rsidP="009D7677">
      <w:pPr>
        <w:pStyle w:val="TextoNormal"/>
      </w:pPr>
      <w:r>
        <w:t>(ii) En segundo lugar, hay que subrayar que una vez constatada por el órgano judicial la existencia de incremento patrimonial, las normas cuestionadas sí resultaban aplicables al caso y de su validez dependía el fallo. En tales circunstancias, si el órgano judicial albergaba dudas acerca de la constitucionalidad del sistema objetivo de determinación de la base imponible del IIVTNU establecido en aquellas, podía proceder al planteamiento de la cuestión incluso de oficio (art. 35.1 LOTC en relación con la disposición adicional quinta LOTC), puesto que como tiene reiterado este tribunal “el planteamiento de la cuestión de inconstitucionalidad es una prerrogativa exclusiva e irrevisable de los órganos judiciales” [STC 133/2022, de 25 de octubre, FJ 2 b)].</w:t>
      </w:r>
    </w:p>
    <w:p w14:paraId="7CB05845" w14:textId="77777777" w:rsidR="009D7677" w:rsidRDefault="009D7677" w:rsidP="009D7677">
      <w:pPr>
        <w:pStyle w:val="TextoNormal"/>
      </w:pPr>
    </w:p>
    <w:p w14:paraId="71805280" w14:textId="77777777" w:rsidR="009D7677" w:rsidRDefault="009D7677" w:rsidP="009D7677">
      <w:pPr>
        <w:pStyle w:val="TextoNormal"/>
      </w:pPr>
      <w:r w:rsidRPr="009D7677">
        <w:rPr>
          <w:rStyle w:val="NumeroAFNegritaCaracter"/>
        </w:rPr>
        <w:lastRenderedPageBreak/>
        <w:t>3</w:t>
      </w:r>
      <w:r>
        <w:t xml:space="preserve">. </w:t>
      </w:r>
      <w:r w:rsidRPr="009D7677">
        <w:rPr>
          <w:i/>
        </w:rPr>
        <w:t>Aplicación del principio de capacidad económica como criterio o parámetro de imposición a la regla de cuantificación de la base imponible el IIVTNU</w:t>
      </w:r>
    </w:p>
    <w:p w14:paraId="41D20759" w14:textId="77777777" w:rsidR="009D7677" w:rsidRDefault="009D7677" w:rsidP="009D7677">
      <w:pPr>
        <w:pStyle w:val="TextoNormal"/>
      </w:pPr>
    </w:p>
    <w:p w14:paraId="3DF6A97C" w14:textId="77777777" w:rsidR="009D7677" w:rsidRDefault="009D7677" w:rsidP="009D7677">
      <w:pPr>
        <w:pStyle w:val="TextoNormal"/>
      </w:pPr>
      <w:r>
        <w:t>Como señalan el fiscal general del Estado y el abogado del Estado, este tribunal se ha pronunciado sobre una duda de constitucionalidad sustancialmente idéntica en la STC 182/2021, respecto de los arts. 107.1, segundo párrafo, 107.2 a) y 107.4 TRLHL, cuya redacción vigente entonces era prácticamente coincidente con la de los preceptos forales objeto de esta cuestión. En dicha sentencia llegamos a la conclusión de que el mantenimiento de un sistema objetivo y obligatorio de determinación de base imponible, ajeno a la realidad del mercado inmobiliario y de la crisis económica y, por tanto, al margen de la capacidad económica gravada por el impuesto y demostrada por el contribuyente, vulnera el principio de capacidad económica como criterio de imposición (art. 31.1 CE).</w:t>
      </w:r>
    </w:p>
    <w:p w14:paraId="75106328" w14:textId="77777777" w:rsidR="009D7677" w:rsidRDefault="009D7677" w:rsidP="009D7677">
      <w:pPr>
        <w:pStyle w:val="TextoNormal"/>
      </w:pPr>
    </w:p>
    <w:p w14:paraId="433D2968" w14:textId="77777777" w:rsidR="009D7677" w:rsidRDefault="009D7677" w:rsidP="009D7677">
      <w:pPr>
        <w:pStyle w:val="TextoNormal"/>
      </w:pPr>
      <w:r>
        <w:t>En efecto, en la STC 182/2021 tomamos en consideración que los preceptos estatales entonces cuestionados establecían un único método de determinación de toda la base imponible del IIVTNU de carácter objetivo y de imperativa aplicación [FJ 5 A)].</w:t>
      </w:r>
    </w:p>
    <w:p w14:paraId="38C6CC35" w14:textId="77777777" w:rsidR="009D7677" w:rsidRDefault="009D7677" w:rsidP="009D7677">
      <w:pPr>
        <w:pStyle w:val="TextoNormal"/>
      </w:pPr>
    </w:p>
    <w:p w14:paraId="0F4A2110" w14:textId="77777777" w:rsidR="009D7677" w:rsidRDefault="009D7677" w:rsidP="009D7677">
      <w:pPr>
        <w:pStyle w:val="TextoNormal"/>
      </w:pPr>
      <w:r>
        <w:t>Así, en cuanto a su carácter objetivo u objetivado, señalamos, en el fundamento jurídico 5, que se fijaban dos elementos objetivos para calcular el importe del incremento gravado: (i) el valor del terreno en el momento de devengo por referencia a su valor catastral, lo que en el supuesto que ahora nos ocupa acontece en el art. 4.2 a) de la Norma Foral 16/1989; y (ii) el porcentaje anual de incremento según el número de años transcurridos desde su adquisición, en el art. 4.3 de la Norma Foral 16/1989.</w:t>
      </w:r>
    </w:p>
    <w:p w14:paraId="091CD813" w14:textId="77777777" w:rsidR="009D7677" w:rsidRDefault="009D7677" w:rsidP="009D7677">
      <w:pPr>
        <w:pStyle w:val="TextoNormal"/>
      </w:pPr>
    </w:p>
    <w:p w14:paraId="05FF350A" w14:textId="77777777" w:rsidR="009D7677" w:rsidRDefault="009D7677" w:rsidP="009D7677">
      <w:pPr>
        <w:pStyle w:val="TextoNormal"/>
      </w:pPr>
      <w:r>
        <w:t>En relación con la obligatoriedad de la norma de cuantificación cuestionada, al no contemplarse en el art. 107 TRLHL (en este caso, el art. 4 de la Norma Foral 16/1989) la posibilidad de estimación directa de la base imponible sino solo una única estimación objetiva, señaló este tribunal que estábamos ante “una verdadera regla imperativa de valoración del incremento de valor gravado” [FJ 5 A) b)].</w:t>
      </w:r>
    </w:p>
    <w:p w14:paraId="33533E9B" w14:textId="77777777" w:rsidR="009D7677" w:rsidRDefault="009D7677" w:rsidP="009D7677">
      <w:pPr>
        <w:pStyle w:val="TextoNormal"/>
      </w:pPr>
    </w:p>
    <w:p w14:paraId="2211B315" w14:textId="77777777" w:rsidR="009D7677" w:rsidRDefault="009D7677" w:rsidP="009D7677">
      <w:pPr>
        <w:pStyle w:val="TextoNormal"/>
      </w:pPr>
      <w:r>
        <w:t xml:space="preserve">Por otro lado, aplicando la doctrina constitucional relativa al principio de capacidad económica como criterio de imposición al IIVTNU, afirmamos que “[s]i bien es cierto que la forma más adecuada de cuantificar esta plusvalía es acudir a la efectivamente operada, el legislador, a la hora de configurar el tributo, tiene libertad para administrar la intensidad con que el principio de capacidad económica debe manifestarse en ellos, para hacerlos compatibles con otros intereses jurídicos dignos de protección, como puedan ser, como ya se ha manifestado, el cumplimiento de fines de política social y económica, la lucha contra el fraude fiscal o razones de técnica tributaria” [STC 182/2021, FJ 5 B)]. Ahora bien, en dicha sentencia continuamos diciendo que aunque “es plenamente válida la opción de política legislativa dirigida a someter a tributación los incrementos de valor mediante el recurso a un sistema de cuantificación objetiva de capacidades económicas potenciales, en lugar de hacerlo en función de la efectiva capacidad económica puesta de manifiesto”, dicha afirmación debía matizarse “porque la renuncia a gravar según la capacidad económica (real) manifestada en el hecho imponible estableciendo bases objetivas o estimativas no puede ser arbitraria, sino que exige justificación objetiva y razonable; justificación que debe ser más sólida cuanto más se aleje de la realidad el método objetivo elegido normativamente. En suma, la falta de conexión entre el hecho imponible y la base imponible no </w:t>
      </w:r>
      <w:r>
        <w:lastRenderedPageBreak/>
        <w:t xml:space="preserve">sería inconstitucional </w:t>
      </w:r>
      <w:r w:rsidRPr="009D7677">
        <w:rPr>
          <w:i/>
        </w:rPr>
        <w:t>per se</w:t>
      </w:r>
      <w:r>
        <w:t>, salvo que carezca de justificación objetiva y razonable” [STC 182/2021, FJ 5 B)].</w:t>
      </w:r>
    </w:p>
    <w:p w14:paraId="2C428D5F" w14:textId="77777777" w:rsidR="009D7677" w:rsidRDefault="009D7677" w:rsidP="009D7677">
      <w:pPr>
        <w:pStyle w:val="TextoNormal"/>
      </w:pPr>
    </w:p>
    <w:p w14:paraId="448538B2" w14:textId="77777777" w:rsidR="009D7677" w:rsidRDefault="009D7677" w:rsidP="009D7677">
      <w:pPr>
        <w:pStyle w:val="TextoNormal"/>
      </w:pPr>
      <w:r>
        <w:t>Asimismo, la STC 182/2021, afirmó que el hecho de que el legislador hubiera optado por un método de estimación objetiva de imperativa aplicación para la determinación de la base imponible del IIVTNU, renunciando a la valoración real de ese incremento “tiene como fin proporcionar un instrumento simplificado de cálculo que facilite la aplicación del impuesto a las dos partes de la obligación tributaria” [FJ 5 C)] y que para que ello fuera constitucionalmente legítimo debía: “(i) bien no erigirse en método único de determinación de la base imponible permitiéndose legalmente las estimaciones directas del incremento de valor, (ii) bien gravar incrementos medios o presuntos (potenciales); esto es, aquellos que previsiblemente o ‘presumiblemente se produce[n] con el paso del tiempo en todo terreno de naturaleza urbana’ (SSTC 26/2017, FJ 3; 37/2017, FJ 3; 59/2017, FJ 3; 72/2017, FJ 3; 126/2019, FJ 3)” [FJ 5 D)]. Así, en relación con esta última posibilidad, continuó este tribunal diciendo que una vez que “la realidad económica ha destruido la […] presunción de revalorización anual de los terrenos urbanos que operó en la mente del legislador para crear la norma objetiva de valoración ahora cuestionada, desaparece con ella la razonable aproximación o conexión que debe existir entre el incremento de valor efectivo y el objetivo o estimativo para que razones de técnica tributaria justifiquen el sacrificio del principio de capacidad económica como medida o parámetro del reparto de la carga tributaria en este impuesto. Con lo que la base imponible objetiva o estimativa deja de cuantificar incrementos de valor presuntos, medios o potenciales” [FJ 5 D)].</w:t>
      </w:r>
    </w:p>
    <w:p w14:paraId="47B3A104" w14:textId="77777777" w:rsidR="009D7677" w:rsidRDefault="009D7677" w:rsidP="009D7677">
      <w:pPr>
        <w:pStyle w:val="TextoNormal"/>
      </w:pPr>
    </w:p>
    <w:p w14:paraId="6EA87AD2" w14:textId="77777777" w:rsidR="009D7677" w:rsidRDefault="009D7677" w:rsidP="009D7677">
      <w:pPr>
        <w:pStyle w:val="TextoNormal"/>
      </w:pPr>
      <w:r>
        <w:t>En consecuencia, concluía la STC 182/2021, “el mantenimiento del actual sistema objetivo de determinación de la base imponible, por ser ajeno a la realidad del mercado inmobiliario y de la crisis económica y, por tanto, estar al margen de la capacidad económica gravada por el impuesto y demostrada por el contribuyente, vulnera el principio de capacidad económica como criterio de imposición (art. 31.1 CE)” [FJ 5 D)].</w:t>
      </w:r>
    </w:p>
    <w:p w14:paraId="5EBBD228" w14:textId="77777777" w:rsidR="009D7677" w:rsidRDefault="009D7677" w:rsidP="009D7677">
      <w:pPr>
        <w:pStyle w:val="TextoNormal"/>
      </w:pPr>
    </w:p>
    <w:p w14:paraId="26BB34E7" w14:textId="063F96BE" w:rsidR="009D7677" w:rsidRDefault="009D7677" w:rsidP="009D7677">
      <w:pPr>
        <w:pStyle w:val="TextoNormal"/>
      </w:pPr>
      <w:r>
        <w:t>Dada la sustancial identidad entre los preceptos aquí cuestionados y los estatales declarados inconstitucionales por la STC 182/2021, y por las mismas razones expuestas entonces, debemos ahora estimar la presente cuestión prejudicial promovida por el Juzgado de lo Contencioso-Administrativo núm. 3 de Donostia-San Sebastián y declarar inconstitucionales y nulos los arts. 4.1, segundo párrafo, 4.2 a) y 4.3 de la Norma Foral 16/1989, en la redacción anterior a la modificación operada por el Decreto Foral-Norma 7/2021, por contravenir injustificadamente el principio de capacidad económica como criterio de imposición.</w:t>
      </w:r>
    </w:p>
    <w:p w14:paraId="5AE2CFAD" w14:textId="77777777" w:rsidR="009D7677" w:rsidRDefault="009D7677" w:rsidP="009D7677">
      <w:pPr>
        <w:pStyle w:val="TextoNormal"/>
      </w:pPr>
    </w:p>
    <w:p w14:paraId="235D2D47" w14:textId="77777777" w:rsidR="009D7677" w:rsidRDefault="009D7677" w:rsidP="009D7677">
      <w:pPr>
        <w:pStyle w:val="TextoNormal"/>
      </w:pPr>
      <w:r w:rsidRPr="009D7677">
        <w:rPr>
          <w:rStyle w:val="NumeroAFNegritaCaracter"/>
        </w:rPr>
        <w:t>4</w:t>
      </w:r>
      <w:r>
        <w:t xml:space="preserve">. </w:t>
      </w:r>
      <w:r w:rsidRPr="009D7677">
        <w:rPr>
          <w:i/>
        </w:rPr>
        <w:t>Alcance y efectos de la declaración de inconstitucionalidad y nulidad</w:t>
      </w:r>
    </w:p>
    <w:p w14:paraId="0DE815B2" w14:textId="77777777" w:rsidR="009D7677" w:rsidRDefault="009D7677" w:rsidP="009D7677">
      <w:pPr>
        <w:pStyle w:val="TextoNormal"/>
      </w:pPr>
    </w:p>
    <w:p w14:paraId="7D235D18" w14:textId="0D5AB8D8" w:rsidR="009D7677" w:rsidRDefault="009D7677" w:rsidP="009D7677">
      <w:pPr>
        <w:pStyle w:val="TextoNormal"/>
      </w:pPr>
      <w:r>
        <w:t>Antes del fallo, es necesario realizar una última precisión, referida a los efectos de esta sentencia, al igual que hicimos en la STC 182/2021, FJ 6. Por exigencias del principio de seguridad jurídica (art. 9.3 CE), no pueden considerarse situaciones susceptibles de ser revisadas con fundamento en la presente sentencia aquellas obligaciones tributarias devengadas por este impuesto que, a la fecha de dictarse la misma, hayan sido decididas definitivamente mediante sentencia con fuerza de cosa juzgada o mediante resolución administrativa firme. A estos exclusivos efectos, tendrán también la consideración de situaciones consolidadas (i) las liquidaciones provisionales o definitivas que no hayan sido im</w:t>
      </w:r>
      <w:r>
        <w:lastRenderedPageBreak/>
        <w:t xml:space="preserve">pugnadas a la fecha de dictarse esta sentencia y (ii) las autoliquidaciones cuya rectificación no haya sido solicitada a dicha fecha </w:t>
      </w:r>
      <w:r w:rsidRPr="009D7677">
        <w:rPr>
          <w:i/>
        </w:rPr>
        <w:t>ex</w:t>
      </w:r>
      <w:r>
        <w:t xml:space="preserve"> art. 116.4 de la Norma Foral 2/2005, de 8 de marzo, general tributaria del Territorio Histórico de Gipuzkoa.</w:t>
      </w:r>
    </w:p>
    <w:p w14:paraId="6BE61B07" w14:textId="77777777" w:rsidR="009D7677" w:rsidRDefault="009D7677" w:rsidP="009D7677">
      <w:pPr>
        <w:pStyle w:val="TextoNormal"/>
      </w:pPr>
    </w:p>
    <w:p w14:paraId="5574F162" w14:textId="77777777" w:rsidR="009D7677" w:rsidRDefault="009D7677" w:rsidP="009D7677">
      <w:pPr>
        <w:pStyle w:val="TextoNormalCentrado"/>
        <w:keepNext/>
      </w:pPr>
      <w:r>
        <w:t>FALLO</w:t>
      </w:r>
    </w:p>
    <w:p w14:paraId="42640E9E" w14:textId="1391A508" w:rsidR="009D7677" w:rsidRDefault="009D7677" w:rsidP="009D7677">
      <w:pPr>
        <w:pStyle w:val="TextoNormalCentrado"/>
        <w:keepNext/>
      </w:pPr>
    </w:p>
    <w:p w14:paraId="30A497C0" w14:textId="00C0A904" w:rsidR="009D7677" w:rsidRDefault="009D7677" w:rsidP="009D7677">
      <w:pPr>
        <w:pStyle w:val="TextoNormal"/>
      </w:pPr>
      <w:r>
        <w:t>En atención a todo lo expuesto, el Tribunal Constitucional, por la autoridad que le confiere la Constitución de la Nación española, ha decidido estimar la cuestión prejudicial de validez sobre normas forales fiscales núm. 5349-2023, promovida por el Juzgado de lo Contencioso-Administrativo núm. 3 de Donostia-San Sebastián y, en consecuencia, declarar la inconstitucionalidad y nulidad de los artículos 4.1, segundo párrafo, 4.2 a) y 4.3 de la Norma Foral 16/1989, de 5 de julio, del territorio histórico de Gipuzkoa, del impuesto sobre el incremento del valor de los terrenos de naturaleza urbana, en redacción anterior a la modificación operada por el Decreto Foral-Norma 7/2021, de 16 de noviembre, en los términos previstos en el fundamento jurídico 4.</w:t>
      </w:r>
    </w:p>
    <w:p w14:paraId="525414C6" w14:textId="77777777" w:rsidR="009D7677" w:rsidRDefault="009D7677" w:rsidP="009D7677">
      <w:pPr>
        <w:pStyle w:val="TextoNormal"/>
      </w:pPr>
    </w:p>
    <w:p w14:paraId="56043010" w14:textId="77777777" w:rsidR="009D7677" w:rsidRDefault="009D7677" w:rsidP="009D7677">
      <w:pPr>
        <w:pStyle w:val="TextoNormal"/>
      </w:pPr>
      <w:r>
        <w:t>Publíquese esta sentencia en el “Boletín Oficial del Estado”.</w:t>
      </w:r>
    </w:p>
    <w:p w14:paraId="22CF2D56" w14:textId="77777777" w:rsidR="009D7677" w:rsidRDefault="009D7677" w:rsidP="009D7677">
      <w:pPr>
        <w:pStyle w:val="TextoNormal"/>
      </w:pPr>
      <w:r>
        <w:t>Dada en Madrid, a doce de marzo de dos mil veinticuatro.</w:t>
      </w:r>
    </w:p>
    <w:p w14:paraId="6BE31F15" w14:textId="79B4A948" w:rsidR="009D7677" w:rsidRDefault="009D7677" w:rsidP="009D7677">
      <w:pPr>
        <w:pStyle w:val="ParrafoNormal"/>
      </w:pPr>
    </w:p>
    <w:p w14:paraId="775C327D" w14:textId="77777777" w:rsidR="009D7677" w:rsidRDefault="009D7677" w:rsidP="009D7677">
      <w:pPr>
        <w:pStyle w:val="TextoNormalNegritaCentrado"/>
        <w:keepNext/>
      </w:pPr>
      <w:r>
        <w:t>Voto particular que formula el magistrado don Enrique Arnaldo Alcubilla a la sentencia que estima la cuestión prejudicial de validez sobre normas forales fiscales núm. 5349-2023</w:t>
      </w:r>
    </w:p>
    <w:p w14:paraId="6E115158" w14:textId="296A8AD1" w:rsidR="009D7677" w:rsidRDefault="009D7677" w:rsidP="009D7677">
      <w:pPr>
        <w:pStyle w:val="TextoNormalNegritaCentrado"/>
        <w:keepNext/>
      </w:pPr>
    </w:p>
    <w:p w14:paraId="3D04B04A" w14:textId="77777777" w:rsidR="009D7677" w:rsidRDefault="009D7677" w:rsidP="009D7677">
      <w:pPr>
        <w:pStyle w:val="TextoNormal"/>
      </w:pPr>
      <w:r>
        <w:t>En el ejercicio de la facultad que me confiere el art. 90.2 de la Ley Orgánica del Tribunal Constitucional (LOTC) y con respeto a la opinión de mis compañeros, formulo este voto particular por las razones ya defendidas en su momento durante la deliberación y en los términos que expongo a continuación.</w:t>
      </w:r>
    </w:p>
    <w:p w14:paraId="2C6709EB" w14:textId="77777777" w:rsidR="009D7677" w:rsidRDefault="009D7677" w:rsidP="009D7677">
      <w:pPr>
        <w:pStyle w:val="TextoNormal"/>
      </w:pPr>
    </w:p>
    <w:p w14:paraId="5E5CD3FB" w14:textId="77777777" w:rsidR="009D7677" w:rsidRDefault="009D7677" w:rsidP="009D7677">
      <w:pPr>
        <w:pStyle w:val="TextoNormal"/>
      </w:pPr>
      <w:r>
        <w:t>Comparto la fundamentación de la sentencia y las razones que la llevan a declarar la inconstitucionalidad de los arts. 4.1, segundo párrafo, 4.2 a) y 4.3 de la Norma Foral 16/1989, de 5 de julio, del territorio histórico de Guipúzcoa, del impuesto sobre el incremento del valor de los terrenos de naturaleza urbana, en redacción anterior a la modificación operada por el Decreto Foral-Norma 7/2021, de 16 de noviembre. Disiento únicamente de la decisión que se adopta en el último fundamento jurídico, el cuarto (al que el fallo se remite), en el que se modulan los efectos de la nulidad del precepto legal cuestionado que, como regla, sigue a un pronunciamiento de declaración de inconstitucionalidad de ese precepto como el que se contiene en la sentencia.</w:t>
      </w:r>
    </w:p>
    <w:p w14:paraId="0565217A" w14:textId="77777777" w:rsidR="009D7677" w:rsidRDefault="009D7677" w:rsidP="009D7677">
      <w:pPr>
        <w:pStyle w:val="TextoNormal"/>
      </w:pPr>
    </w:p>
    <w:p w14:paraId="5CE1D72D" w14:textId="77777777" w:rsidR="009D7677" w:rsidRDefault="009D7677" w:rsidP="009D7677">
      <w:pPr>
        <w:pStyle w:val="TextoNormal"/>
      </w:pPr>
      <w:r>
        <w:t>De acuerdo con el pronunciamiento contenido en ese fundamento, “por exigencias del principio de seguridad jurídica (art. 9.3 CE)”, se limitan los efectos de la nulidad de los preceptos declarados inconstitucionales, de manera que no solo no podrán revisarse las obligaciones tributarias que, a la fecha de dictarse nuestra sentencia, hayan sido decididas mediante sentencia con fuerza de cosa juzgada [a lo que nada cabe objetar, conforme a los arts. 161.1 a) CE y 40 LOTC], sino tampoco las liquidaciones provisionales y definitivas que no hayan sido impugnadas a esa misma fecha y las autoliquidaciones cuya rectificación no haya sido solicitada en dicha fecha.</w:t>
      </w:r>
    </w:p>
    <w:p w14:paraId="7080940C" w14:textId="77777777" w:rsidR="009D7677" w:rsidRDefault="009D7677" w:rsidP="009D7677">
      <w:pPr>
        <w:pStyle w:val="TextoNormal"/>
      </w:pPr>
    </w:p>
    <w:p w14:paraId="35797003" w14:textId="77777777" w:rsidR="009D7677" w:rsidRDefault="009D7677" w:rsidP="009D7677">
      <w:pPr>
        <w:pStyle w:val="TextoNormal"/>
      </w:pPr>
      <w:r>
        <w:lastRenderedPageBreak/>
        <w:t>Pues bien, reiterando cuanto expuse en los votos particulares que formulé a la STC 133/2022, de 25 de octubre, (sobre el devengo y liquidación del impuesto sobre construcciones, instalaciones y obras en relación con determinadas obras en la Comunidad Autónoma de Canarias) y a la STC 11/2024, de 18 de enero, (sobre una reforma del impuesto de sociedades) a los que me remito para excusar reiteraciones innecesarias, me veo obligado de nuevo a advertir que, aunque no tiene por qué ser absoluta la vinculación entre inconstitucionalidad y nulidad, tampoco se justifica que esa regla general (art. 39.1 LOTC) pueda ceder en el caso de las normas tributarias declaradas inconstitucionales mediante la genérica y solitaria invocación del principio de seguridad jurídica, que es exactamente lo que hace la sentencia en el fundamento jurídico cuarto para decretar la inamovilidad de las situaciones administrativas “consolidadas”, siguiendo la pauta de interpretación extensiva que de sus facultades viene realizando el Tribunal Constitucional desde la STC 45/1989, de 20 de febrero (aunque no sin excepciones), y que se ha convertido en una suerte de cláusula de estilo en las sentencias que declaran la inconstitucionalidad de disposiciones tributarias, como la que ahora nos ocupa.</w:t>
      </w:r>
    </w:p>
    <w:p w14:paraId="1AB25B04" w14:textId="77777777" w:rsidR="009D7677" w:rsidRDefault="009D7677" w:rsidP="009D7677">
      <w:pPr>
        <w:pStyle w:val="TextoNormal"/>
      </w:pPr>
    </w:p>
    <w:p w14:paraId="2054412F" w14:textId="475A75B4" w:rsidR="009D7677" w:rsidRDefault="009D7677" w:rsidP="009D7677">
      <w:pPr>
        <w:pStyle w:val="TextoNormal"/>
      </w:pPr>
      <w:r>
        <w:t>Madrid, a trece de marzo de dos mil veinticuatro.</w:t>
      </w:r>
    </w:p>
    <w:p w14:paraId="7CD5BB20" w14:textId="2E78BD14" w:rsidR="009D7677" w:rsidRDefault="009D7677">
      <w:pPr>
        <w:spacing w:after="160" w:line="259" w:lineRule="auto"/>
        <w:rPr>
          <w:rFonts w:ascii="Times New Roman" w:eastAsia="Times New Roman" w:hAnsi="Times New Roman" w:cs="Times New Roman"/>
          <w:sz w:val="24"/>
          <w:szCs w:val="24"/>
          <w:lang w:eastAsia="es-ES"/>
        </w:rPr>
      </w:pPr>
      <w:r>
        <w:br w:type="page"/>
      </w:r>
    </w:p>
    <w:p w14:paraId="4E7251B7" w14:textId="77777777" w:rsidR="009D7677" w:rsidRDefault="009D7677" w:rsidP="009D7677">
      <w:pPr>
        <w:pStyle w:val="TtuloResolucin"/>
      </w:pPr>
      <w:bookmarkStart w:id="49" w:name="SENTENCIA_2024_47"/>
      <w:r>
        <w:lastRenderedPageBreak/>
        <w:t>SENTENCIA 47/2024, de 8 de abril de 2024</w:t>
      </w:r>
    </w:p>
    <w:bookmarkEnd w:id="49"/>
    <w:p w14:paraId="1069F0A6" w14:textId="77777777" w:rsidR="009D7677" w:rsidRDefault="009D7677" w:rsidP="009D7677">
      <w:pPr>
        <w:pStyle w:val="TtuloResolucin"/>
      </w:pPr>
      <w:r>
        <w:t>Sala Segunda</w:t>
      </w:r>
    </w:p>
    <w:p w14:paraId="4821ACF3" w14:textId="77777777" w:rsidR="009D7677" w:rsidRDefault="009D7677" w:rsidP="009D7677">
      <w:pPr>
        <w:pStyle w:val="TtuloBOE"/>
      </w:pPr>
      <w:r>
        <w:t>(BOE núm. 118, de 15 de mayo de 2024)</w:t>
      </w:r>
    </w:p>
    <w:p w14:paraId="1C68C88A" w14:textId="77777777" w:rsidR="009D7677" w:rsidRDefault="009D7677" w:rsidP="009D7677">
      <w:pPr>
        <w:pStyle w:val="TextoNormalCentrado"/>
      </w:pPr>
      <w:r>
        <w:t>ECLI:ES:TC:2024:47</w:t>
      </w:r>
    </w:p>
    <w:p w14:paraId="1E4752E7" w14:textId="31441866" w:rsidR="009D7677" w:rsidRDefault="009D7677" w:rsidP="009D7677">
      <w:pPr>
        <w:pStyle w:val="TextoNormalCentrado"/>
      </w:pPr>
    </w:p>
    <w:p w14:paraId="0E0792D8" w14:textId="77777777" w:rsidR="009D7677" w:rsidRDefault="009D7677" w:rsidP="009D7677">
      <w:pPr>
        <w:pStyle w:val="SntesisDescriptiva"/>
      </w:pPr>
      <w:r>
        <w:t>Recurso de amparo 2794-2020. Promovido por don Ramón Hernández González respecto de las resoluciones dictadas por un juzgado de primera instancia de Santa Cruz de Tenerife en procedimiento de ejecución hipotecaria.</w:t>
      </w:r>
    </w:p>
    <w:p w14:paraId="71330940" w14:textId="4DF6BEEE" w:rsidR="009D7677" w:rsidRDefault="009D7677" w:rsidP="009D7677">
      <w:pPr>
        <w:pStyle w:val="SntesisDescriptiva"/>
      </w:pPr>
    </w:p>
    <w:p w14:paraId="3CB749F5" w14:textId="77777777" w:rsidR="009D7677" w:rsidRDefault="009D7677" w:rsidP="009D7677">
      <w:pPr>
        <w:pStyle w:val="SntesisAnaltica"/>
      </w:pPr>
      <w:r>
        <w:t>Vulneración del derecho a la tutela judicial efectiva (acceso al recurso y resolución fundada en Derecho): resoluciones que, al aplicar el precepto legal anulado por la STC 15/2020, de 28 de enero, deniegan la revisión judicial del decreto de la letrada de la administración de justicia (STC 54/2021).</w:t>
      </w:r>
    </w:p>
    <w:p w14:paraId="38E11AA1" w14:textId="302CAB60" w:rsidR="009D7677" w:rsidRDefault="009D7677" w:rsidP="009D7677">
      <w:pPr>
        <w:pStyle w:val="SntesisAnaltica"/>
      </w:pPr>
    </w:p>
    <w:p w14:paraId="4F656DA6" w14:textId="012C509A" w:rsidR="009D7677" w:rsidRDefault="009D7677" w:rsidP="009D7677">
      <w:pPr>
        <w:pStyle w:val="Extracto"/>
      </w:pPr>
      <w:r>
        <w:t>1.</w:t>
      </w:r>
      <w:r>
        <w:tab/>
        <w:t>Se aplica la doctrina constitucional sobre la revisión judicial de las resoluciones de los letrados de la Administración de justicia, en el ámbito de la Ley de enjuiciamiento civil (SSTC 15/2020) [FJ 4].</w:t>
      </w:r>
    </w:p>
    <w:p w14:paraId="174515A5" w14:textId="77777777" w:rsidR="009D7677" w:rsidRDefault="009D7677" w:rsidP="009D7677">
      <w:pPr>
        <w:pStyle w:val="Extracto"/>
      </w:pPr>
    </w:p>
    <w:p w14:paraId="7A74B481" w14:textId="77777777" w:rsidR="009D7677" w:rsidRDefault="009D7677" w:rsidP="009D7677">
      <w:pPr>
        <w:pStyle w:val="Extracto"/>
      </w:pPr>
    </w:p>
    <w:p w14:paraId="51210160" w14:textId="77777777" w:rsidR="009D7677" w:rsidRDefault="009D7677" w:rsidP="009D7677">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5C7038D1" w14:textId="3F1CDB97" w:rsidR="009D7677" w:rsidRDefault="009D7677" w:rsidP="009D7677">
      <w:pPr>
        <w:pStyle w:val="TextoNormal"/>
      </w:pPr>
    </w:p>
    <w:p w14:paraId="7A00E9E3" w14:textId="77777777" w:rsidR="009D7677" w:rsidRDefault="009D7677" w:rsidP="009D7677">
      <w:pPr>
        <w:pStyle w:val="TextoNormalCentrado"/>
        <w:keepNext/>
      </w:pPr>
      <w:r>
        <w:t>EN NOMBRE DEL REY</w:t>
      </w:r>
    </w:p>
    <w:p w14:paraId="06BC34CE" w14:textId="7D4277F5" w:rsidR="009D7677" w:rsidRDefault="009D7677" w:rsidP="009D7677">
      <w:pPr>
        <w:pStyle w:val="TextoNormalCentrado"/>
        <w:keepNext/>
      </w:pPr>
    </w:p>
    <w:p w14:paraId="4166EFB3" w14:textId="77777777" w:rsidR="009D7677" w:rsidRDefault="009D7677" w:rsidP="009D7677">
      <w:pPr>
        <w:pStyle w:val="TextoNormalCentrado"/>
        <w:keepNext/>
      </w:pPr>
    </w:p>
    <w:p w14:paraId="7F39EC59" w14:textId="77777777" w:rsidR="009D7677" w:rsidRDefault="009D7677" w:rsidP="009D7677">
      <w:pPr>
        <w:pStyle w:val="TextoNormal"/>
      </w:pPr>
      <w:r>
        <w:t>la siguiente</w:t>
      </w:r>
    </w:p>
    <w:p w14:paraId="14E045A6" w14:textId="7ADCAF31" w:rsidR="009D7677" w:rsidRDefault="009D7677" w:rsidP="009D7677">
      <w:pPr>
        <w:pStyle w:val="TextoNormal"/>
      </w:pPr>
    </w:p>
    <w:p w14:paraId="04B9B89B" w14:textId="77777777" w:rsidR="009D7677" w:rsidRDefault="009D7677" w:rsidP="009D7677">
      <w:pPr>
        <w:pStyle w:val="TextoNormalCentrado"/>
        <w:keepNext/>
      </w:pPr>
      <w:r>
        <w:t>SENTENCIA</w:t>
      </w:r>
    </w:p>
    <w:p w14:paraId="2DAF501F" w14:textId="39A186B6" w:rsidR="009D7677" w:rsidRDefault="009D7677" w:rsidP="009D7677">
      <w:pPr>
        <w:pStyle w:val="TextoNormalCentrado"/>
        <w:keepNext/>
      </w:pPr>
    </w:p>
    <w:p w14:paraId="526D2F20" w14:textId="77777777" w:rsidR="009D7677" w:rsidRDefault="009D7677" w:rsidP="009D7677">
      <w:pPr>
        <w:pStyle w:val="TextoNormal"/>
      </w:pPr>
      <w:r>
        <w:t>En el recurso de amparo núm. 2794-2020, promovido por don Ramón Hernández González, representado por el procurador de los tribunales don Jorge Francisco Lecuona Torres y defendido por el letrado don Raúl José Alonso Fernández, contra el auto de 17 de abril de 2020, del Juzgado de Primera Instancia núm. 3 de Santa Cruz de Tenerife —dictado en ejecución hipotecaria núm. 293-2014— que desestimó el incidente de nulidad de actuaciones promovido contra el decreto de 22 de enero de 2020, que a su vez desestimaba el recurso de reposición contra la diligencia de ordenación de 8 de noviembre de 2019, por la que se ordenó la entrega de posesión de la finca ejecutada a la entidad cesionaria del remate. Ha sido ponente la magistrada doña Inmaculada Montalbán Huertas.</w:t>
      </w:r>
    </w:p>
    <w:p w14:paraId="0DF3428F" w14:textId="3AC92A6B" w:rsidR="009D7677" w:rsidRDefault="009D7677" w:rsidP="009D7677">
      <w:pPr>
        <w:pStyle w:val="TextoNormal"/>
      </w:pPr>
    </w:p>
    <w:p w14:paraId="43683D87" w14:textId="77777777" w:rsidR="009D7677" w:rsidRDefault="009D7677" w:rsidP="009D7677">
      <w:pPr>
        <w:pStyle w:val="TextoNormalNegritaCentrado"/>
        <w:keepNext/>
      </w:pPr>
      <w:r>
        <w:t>I. Antecedentes</w:t>
      </w:r>
    </w:p>
    <w:p w14:paraId="704971A5" w14:textId="4C99CD5D" w:rsidR="009D7677" w:rsidRDefault="009D7677" w:rsidP="009D7677">
      <w:pPr>
        <w:pStyle w:val="TextoNormalNegritaCentrado"/>
        <w:keepNext/>
      </w:pPr>
    </w:p>
    <w:p w14:paraId="7C87DE3A" w14:textId="62C07F84" w:rsidR="009D7677" w:rsidRDefault="009D7677" w:rsidP="009D7677">
      <w:pPr>
        <w:pStyle w:val="TextoNormal"/>
      </w:pPr>
      <w:r w:rsidRPr="009D7677">
        <w:rPr>
          <w:rStyle w:val="NumeroAFNegritaCaracter"/>
        </w:rPr>
        <w:t>1</w:t>
      </w:r>
      <w:r>
        <w:t xml:space="preserve">. Mediante escrito registrado en este tribunal el 2 de julio de 2020, don Jorge Francisco Lecuona Torres, procurador de los tribunales, actuando en nombre y representación de don Ramón Hernández González y bajo la dirección del letrado don Raúl José Alonso </w:t>
      </w:r>
      <w:r>
        <w:lastRenderedPageBreak/>
        <w:t>Fernández, interpuso recurso de amparo contra las resoluciones a las que se ha hecho referencia en el encabezamiento de esta sentencia.</w:t>
      </w:r>
    </w:p>
    <w:p w14:paraId="38537494" w14:textId="77777777" w:rsidR="009D7677" w:rsidRDefault="009D7677" w:rsidP="009D7677">
      <w:pPr>
        <w:pStyle w:val="TextoNormal"/>
      </w:pPr>
    </w:p>
    <w:p w14:paraId="0C7060F3" w14:textId="77777777" w:rsidR="009D7677" w:rsidRDefault="009D7677" w:rsidP="009D7677">
      <w:pPr>
        <w:pStyle w:val="TextoNormal"/>
      </w:pPr>
      <w:r w:rsidRPr="009D7677">
        <w:rPr>
          <w:rStyle w:val="NumeroAFNegritaCaracter"/>
        </w:rPr>
        <w:t>2</w:t>
      </w:r>
      <w:r>
        <w:t>. Los hechos que sirven de sustento a la demanda de amparo, según se desprende de la misma y de la documentación que la acompaña, son los que a continuación se exponen:</w:t>
      </w:r>
    </w:p>
    <w:p w14:paraId="213CA8DB" w14:textId="77777777" w:rsidR="009D7677" w:rsidRDefault="009D7677" w:rsidP="009D7677">
      <w:pPr>
        <w:pStyle w:val="TextoNormal"/>
      </w:pPr>
    </w:p>
    <w:p w14:paraId="2781AA5D" w14:textId="77777777" w:rsidR="009D7677" w:rsidRDefault="009D7677" w:rsidP="009D7677">
      <w:pPr>
        <w:pStyle w:val="TextoNormal"/>
      </w:pPr>
      <w:r>
        <w:t>a) El recurrente de amparo fue parte interviniente en el procedimiento de ejecución hipotecaria núm. 293-2014, seguido ante el Juzgado de Primera Instancia núm. 3 de Santa Cruz de Tenerife, como representante legal de la entidad ejecutada, Islasur Araya, S.L.</w:t>
      </w:r>
    </w:p>
    <w:p w14:paraId="7E9F7D7D" w14:textId="77777777" w:rsidR="009D7677" w:rsidRDefault="009D7677" w:rsidP="009D7677">
      <w:pPr>
        <w:pStyle w:val="TextoNormal"/>
      </w:pPr>
    </w:p>
    <w:p w14:paraId="2201BE87" w14:textId="77777777" w:rsidR="009D7677" w:rsidRDefault="009D7677" w:rsidP="009D7677">
      <w:pPr>
        <w:pStyle w:val="TextoNormal"/>
      </w:pPr>
      <w:r>
        <w:t>b) Por auto dictado el 25 de septiembre de 2014 fue despachada ejecución frente a la entidad Islasur Araya, S.L., siendo parte ejecutante la entidad Caixabank, S.A. Mediante decreto de 25 de febrero de 2016 fue convocada subasta pública para la venta de la finca hipotecada, subasta que terminó con la mejor puja a favor de la parte ejecutante, que se reservó el derecho de ceder el remate a un tercero. El 21 de marzo de 2017 se celebró ante el juzgado comparecencia de cesión del remate de la ejecutante, la entidad Caixabank, S.A., a favor de la entidad Buildingcenter, S.A.U.; cesión que, previos los trámites correspondientes —tasación de costas, liquidación de intereses y transcurso del plazo legal concedido al deudor ejecutado para presentar mejor postor— resultó aprobada por decreto de 12 de diciembre de 2017.</w:t>
      </w:r>
    </w:p>
    <w:p w14:paraId="1C08F636" w14:textId="77777777" w:rsidR="009D7677" w:rsidRDefault="009D7677" w:rsidP="009D7677">
      <w:pPr>
        <w:pStyle w:val="TextoNormal"/>
      </w:pPr>
    </w:p>
    <w:p w14:paraId="0167AFEA" w14:textId="77777777" w:rsidR="009D7677" w:rsidRDefault="009D7677" w:rsidP="009D7677">
      <w:pPr>
        <w:pStyle w:val="TextoNormal"/>
      </w:pPr>
      <w:r>
        <w:t>c) Por diligencia de ordenación de 8 de noviembre de 2019, la letrada de la administración de justicia del juzgado acordó que se llevasen a cabo los trámites precisos para la entrega de posesión de la finca objeto del procedimiento a la entidad cesionaria del remate, Buildingcenter, S.A.U.; y autorizó expresamente a la comisión judicial, para el caso de que fuera necesario, por encontrarse cerrado el inmueble o no consentirse la entrada, a que se adoptasen las medidas que fueran necesarias, incluso el auxilio de la fuerza pública. A pie de recurso se hacía constar, como modo de impugnación, el recurso de reposición en el plazo de cinco días, ante la misma letrada.</w:t>
      </w:r>
    </w:p>
    <w:p w14:paraId="4C5D8880" w14:textId="77777777" w:rsidR="009D7677" w:rsidRDefault="009D7677" w:rsidP="009D7677">
      <w:pPr>
        <w:pStyle w:val="TextoNormal"/>
      </w:pPr>
    </w:p>
    <w:p w14:paraId="480A9A20" w14:textId="77777777" w:rsidR="009D7677" w:rsidRDefault="009D7677" w:rsidP="009D7677">
      <w:pPr>
        <w:pStyle w:val="TextoNormal"/>
      </w:pPr>
      <w:r>
        <w:t>d) Interpuesto recurso de reposición, el recurrente alegó vulneración del art. 675.2 de la ley de enjuiciamiento civil (LEC) en relación con el 661.2 LEC. De acuerdo con el escrito de recurso, la finca objeto de ejecución estaba ocupada por él y se habían incumplido dos previsiones legales: (i) artículo 661.2 LEC, dado que antes de anunciarse la subasta resultaba necesario que el juzgado declarara que el ocupante u ocupantes no tenían derecho a permanecer en el inmueble; y (ii) artículo 675.2 LEC dado que, no habiéndose cumplido con lo previsto en el art. 661.2 LEC, el adquirente de la finca solo podía pedir el lanzamiento de los ocupantes sin título o con título insuficiente en el plazo de un año desde la adquisición del inmueble —plazo que ya se había superado desde la aprobación del título de adquisición del inmueble por parte de la entidad Buildingcenter, S.A.U. (decreto aprobando la cesión del remate)— y, a partir de ahí, la pretensión de desalojo solo podría hacerse valer en el juicio que correspondiera.</w:t>
      </w:r>
    </w:p>
    <w:p w14:paraId="580D8D48" w14:textId="77777777" w:rsidR="009D7677" w:rsidRDefault="009D7677" w:rsidP="009D7677">
      <w:pPr>
        <w:pStyle w:val="TextoNormal"/>
      </w:pPr>
    </w:p>
    <w:p w14:paraId="4C29E1EF" w14:textId="77777777" w:rsidR="009D7677" w:rsidRDefault="009D7677" w:rsidP="009D7677">
      <w:pPr>
        <w:pStyle w:val="TextoNormal"/>
      </w:pPr>
      <w:r>
        <w:t>e) Por decreto de 22 de enero de 2020, la letrada de la administración de justicia desestimó el recurso de reposición. Argumentaba que el art. 661.2 LEC regula el procedimiento de ejecución cuando existen personas distintas del ejecutado que ocupen el inmueble embargado, pero que dicha situación no era la que acontecía en este procedimiento, porque el recurrente no era persona distinta al ejecutado, sino que lo representaba como administra</w:t>
      </w:r>
      <w:r>
        <w:lastRenderedPageBreak/>
        <w:t>dor. Así quedaba patente en la recepción de las notificaciones y en la presentación del escrito de impugnación de costas, trámites que se realizaron con el recurrente y que están exclusivamente dispuestos para las partes intervinientes. A pie de recurso se declaraba que la resolución era firme y contra ella no cabía recurso alguno, sin perjuicio de reproducir la cuestión en la primera audiencia ante el Tribunal y, si no fuera posible por el estado de los autos, mediante escrito antes de que se dictase la resolución definitiva.</w:t>
      </w:r>
    </w:p>
    <w:p w14:paraId="4D50A7F2" w14:textId="77777777" w:rsidR="009D7677" w:rsidRDefault="009D7677" w:rsidP="009D7677">
      <w:pPr>
        <w:pStyle w:val="TextoNormal"/>
      </w:pPr>
    </w:p>
    <w:p w14:paraId="7F87AB50" w14:textId="77777777" w:rsidR="009D7677" w:rsidRDefault="009D7677" w:rsidP="009D7677">
      <w:pPr>
        <w:pStyle w:val="TextoNormal"/>
      </w:pPr>
      <w:r>
        <w:t xml:space="preserve">f) El recurrente interpuso incidente de nulidad de actuaciones. Argumentaba que el fundamento del pie de recurso, el art. 454 </w:t>
      </w:r>
      <w:r w:rsidRPr="009D7677">
        <w:rPr>
          <w:i/>
        </w:rPr>
        <w:t>bis</w:t>
      </w:r>
      <w:r>
        <w:t>.1 LEC, había sido declarado inconstitucional por el Pleno del Tribunal Constitucional —STC 15/2020, de 28 de enero—, por vulnerar el derecho a la tutela judicial efectiva, al hacer de las decisiones de los letrados de la administración de justicia un espacio inmune al control jurisdiccional.</w:t>
      </w:r>
    </w:p>
    <w:p w14:paraId="056F51A1" w14:textId="77777777" w:rsidR="009D7677" w:rsidRDefault="009D7677" w:rsidP="009D7677">
      <w:pPr>
        <w:pStyle w:val="TextoNormal"/>
      </w:pPr>
    </w:p>
    <w:p w14:paraId="55DDD0C6" w14:textId="77777777" w:rsidR="009D7677" w:rsidRDefault="009D7677" w:rsidP="009D7677">
      <w:pPr>
        <w:pStyle w:val="TextoNormal"/>
      </w:pPr>
      <w:r>
        <w:t>g) Por auto de 17 de abril de 2020, el Juzgado de Primera Instancia núm. 3 de Santa Cruz de Tenerife declaró que no había lugar a la nulidad de actuaciones; pues, si bien era cierto que el decreto de 22 de enero de 2020 no le había dado recurso, también lo era que esta indicación resultaba conforme con la regulación contenida en la propia Ley de enjuiciamiento civil, en concreto con lo dispuesto en el art. 454, que vetaba la posibilidad de interponer recurso contra el decreto resolutorio de un recurso de reposición. El órgano judicial añadía, que el decreto impugnado estaba suficientemente motivado y la decisión estaba adaptada a las circunstancias y vicisitudes observadas en el procedimiento.</w:t>
      </w:r>
    </w:p>
    <w:p w14:paraId="292C800E" w14:textId="77777777" w:rsidR="009D7677" w:rsidRDefault="009D7677" w:rsidP="009D7677">
      <w:pPr>
        <w:pStyle w:val="TextoNormal"/>
      </w:pPr>
    </w:p>
    <w:p w14:paraId="0C4288C9" w14:textId="1794A989" w:rsidR="009D7677" w:rsidRDefault="009D7677" w:rsidP="009D7677">
      <w:pPr>
        <w:pStyle w:val="TextoNormal"/>
      </w:pPr>
      <w:r>
        <w:t>h) Por diligencia de ordenación de 18 de junio de 2021, la letrada de la administración de justicia ordenó llevar a efecto los trámites precisos para entregar la posesión de la vivienda ejecutada a la entidad cesionaria del remate; y el 8 de julio de 2021 se llevó finalmente a efecto dicha entrega de la posesión a favor de la entidad Buildingcenter, S.A.U.</w:t>
      </w:r>
    </w:p>
    <w:p w14:paraId="418D955E" w14:textId="77777777" w:rsidR="009D7677" w:rsidRDefault="009D7677" w:rsidP="009D7677">
      <w:pPr>
        <w:pStyle w:val="TextoNormal"/>
      </w:pPr>
    </w:p>
    <w:p w14:paraId="1DCE8984" w14:textId="253EF9D2" w:rsidR="009D7677" w:rsidRDefault="009D7677" w:rsidP="009D7677">
      <w:pPr>
        <w:pStyle w:val="TextoNormal"/>
      </w:pPr>
      <w:r w:rsidRPr="009D7677">
        <w:rPr>
          <w:rStyle w:val="NumeroAFNegritaCaracter"/>
        </w:rPr>
        <w:t>3</w:t>
      </w:r>
      <w:r>
        <w:t xml:space="preserve">. La demanda de amparo se dirige contra el auto de 17 de abril de 2020, del Juzgado de Primera Instancia núm. 3 de Santa Cruz de Tenerife, que desestima el incidente de nulidad de actuaciones. El recurrente le atribuye la vulneración de su derecho a la tutela judicial efectiva (art. 24.1 CE), habida cuenta de que la denegación de la nulidad de actuaciones se fundó en la aplicación de un precepto —art. 454 </w:t>
      </w:r>
      <w:r w:rsidRPr="009D7677">
        <w:rPr>
          <w:i/>
        </w:rPr>
        <w:t>bis</w:t>
      </w:r>
      <w:r>
        <w:t>.1, párrafo primero de la Ley de enjuiciamiento civil, en la redacción dada por la Ley 37/2011, de 10 de octubre, de medidas de agilización procesal— que había sido ya declarado inconstitucional por el Tribunal Constitucional en la STC 15/2020. Señala que él mismo adujo tal circunstancia en el escrito en que se promovía el incidente de nulidad. Se solicita el otorgamiento del amparo, la declaración de que la resolución impugnada vulneró el derecho de acceso a los recursos legalmente establecidos del recurrente y la anulación de dicha resolución; y con objeto de restablecerle en la integridad de su derecho, retrotraer el procedimiento al momento inmediato posterior al dictado del decreto de 22 de enero de 2020, concediéndole el plazo para presentar recurso contra el mismo. Por otrosí, el recurrente solicita la inmediata suspensión del lanzamiento hasta la resolución definitiva del recurso de amparo.</w:t>
      </w:r>
    </w:p>
    <w:p w14:paraId="0D06638F" w14:textId="77777777" w:rsidR="009D7677" w:rsidRDefault="009D7677" w:rsidP="009D7677">
      <w:pPr>
        <w:pStyle w:val="TextoNormal"/>
      </w:pPr>
    </w:p>
    <w:p w14:paraId="5516A42F" w14:textId="0BF07506" w:rsidR="009D7677" w:rsidRDefault="009D7677" w:rsidP="009D7677">
      <w:pPr>
        <w:pStyle w:val="TextoNormal"/>
      </w:pPr>
      <w:r w:rsidRPr="009D7677">
        <w:rPr>
          <w:rStyle w:val="NumeroAFNegritaCaracter"/>
        </w:rPr>
        <w:t>4</w:t>
      </w:r>
      <w:r>
        <w:t xml:space="preserve">. La Sección Segunda de este tribunal, por providencia de 13 de diciembre de 2021, acordó la admisión a trámite del recurso de amparo y la formación de pieza separada para la sustanciación del incidente de suspensión. Apreció como motivo de especial trascendencia constitucional [art. 50.1 de la Ley Orgánica del Tribunal Constitucional (LOTC)] que la posible vulneración del derecho fundamental que se denuncia pudiera provenir de la </w:t>
      </w:r>
      <w:r>
        <w:lastRenderedPageBreak/>
        <w:t>ley o de otra disposición de carácter general [STC 155/2009, de 25 de junio, FJ 2 c)] y que el órgano judicial pudiera haber incurrido en una negativa manifiesta del deber de acatamiento de la doctrina de este tribunal [STC 155/2009, FJ 2 f)]. De conformidad con el art. 51 LOTC se acordó dirigir atenta comunicación al Juzgado de Primera Instancia núm. 3 de Santa Cruz de Tenerife a fin de que, en el plazo que no exceda de diez días, remita certificación o fotocopia adverada de las actuaciones correspondientes a la ejecución hipotecaria núm. 293-2014, debiendo previamente emplazarse, para que en el plazo de diez días puedan comparecer, si lo desean, en el recurso de amparo a quienes han sido parte en el procedimiento —excepto la parte recurrente en amparo—.</w:t>
      </w:r>
    </w:p>
    <w:p w14:paraId="26B6FCA9" w14:textId="77777777" w:rsidR="009D7677" w:rsidRDefault="009D7677" w:rsidP="009D7677">
      <w:pPr>
        <w:pStyle w:val="TextoNormal"/>
      </w:pPr>
    </w:p>
    <w:p w14:paraId="208B9050" w14:textId="04E7E846" w:rsidR="009D7677" w:rsidRDefault="009D7677" w:rsidP="009D7677">
      <w:pPr>
        <w:pStyle w:val="TextoNormal"/>
      </w:pPr>
      <w:r w:rsidRPr="009D7677">
        <w:rPr>
          <w:rStyle w:val="NumeroAFNegritaCaracter"/>
        </w:rPr>
        <w:t>5</w:t>
      </w:r>
      <w:r>
        <w:t>. La misma Sección Segunda de este tribunal, en una segunda providencia también de 13 de diciembre de 2021, formó la oportuna pieza para la tramitación del incidente de suspensión y concedió al recurrente y al Ministerio Fiscal el plazo común de tres días para que alegasen lo que estimasen pertinente sobre la suspensión. El Ministerio Fiscal, por escrito registrado el 4 de enero de 2022, interesó la suspensión, pues tratándose del lanzamiento de un inmueble que constituye el domicilio del demandante, el perjuicio que se le produciría sería irreparable. El recurrente, por escrito registrado el 16 de diciembre de 2021, pone de manifiesto que el incidente de suspensión ya carece de objeto, toda vez que el lanzamiento se ejecutó el 8 de julio de 2021. En el ATC 9/2022, de 24 de enero, la Sala Primera de este tribunal acordó el archivo, por pérdida de objeto, del incidente de suspensión en el recurso de amparo 2794/2020.</w:t>
      </w:r>
    </w:p>
    <w:p w14:paraId="09F9E666" w14:textId="77777777" w:rsidR="009D7677" w:rsidRDefault="009D7677" w:rsidP="009D7677">
      <w:pPr>
        <w:pStyle w:val="TextoNormal"/>
      </w:pPr>
    </w:p>
    <w:p w14:paraId="0B63A1D0" w14:textId="1B14DE79" w:rsidR="009D7677" w:rsidRDefault="009D7677" w:rsidP="009D7677">
      <w:pPr>
        <w:pStyle w:val="TextoNormal"/>
      </w:pPr>
      <w:r w:rsidRPr="009D7677">
        <w:rPr>
          <w:rStyle w:val="NumeroAFNegritaCaracter"/>
        </w:rPr>
        <w:t>6</w:t>
      </w:r>
      <w:r>
        <w:t>. Por diligencia de ordenación de 17 de febrero de 2022, se tuvieron por recibidas las actuaciones del Juzgado de Primera Instancia núm. 3 de Santa Cruz de Tenerife y, a tenor de lo dispuesto en el art. 52 LOTC, se dio vista de todas las actuaciones al Ministerio Fiscal, al recurrente de amparo y a la parte personada, para que dentro de dicho término presentaran las alegaciones que a su derecho conviniera.</w:t>
      </w:r>
    </w:p>
    <w:p w14:paraId="55F505F8" w14:textId="77777777" w:rsidR="009D7677" w:rsidRDefault="009D7677" w:rsidP="009D7677">
      <w:pPr>
        <w:pStyle w:val="TextoNormal"/>
      </w:pPr>
    </w:p>
    <w:p w14:paraId="52CA4939" w14:textId="77777777" w:rsidR="009D7677" w:rsidRDefault="009D7677" w:rsidP="009D7677">
      <w:pPr>
        <w:pStyle w:val="TextoNormal"/>
      </w:pPr>
      <w:r w:rsidRPr="009D7677">
        <w:rPr>
          <w:rStyle w:val="NumeroAFNegritaCaracter"/>
        </w:rPr>
        <w:t>7</w:t>
      </w:r>
      <w:r>
        <w:t>. El Ministerio Fiscal, dentro del plazo conferido al efecto, presentó sus alegaciones interesando la estimación del recurso. Declara que, partiendo de la doctrina sentada en las SSTC 58/2016, de 17 de marzo; 72/2018, de 21 de junio; 34/2019, de 14 de marzo, y 15/2020, de 28 de enero —particularmente esta última—, y teniendo en cuenta que la resolución por la que el juzgado de primera instancia resuelve el incidente de nulidad de actuaciones es posterior a esta última sentencia, se puede afirmar que el órgano judicial ha obviado los efectos que produce la declaración de nulidad de una norma por el Tribunal Constitucional y se ha producido la vulneración del derecho a la tutela judicial, al confirmar el decreto de 22 enero 2020 y no conceder el recurso procedente contra el mismo. El Ministerio Fiscal añade que, en el auto de desestimación del incidente, no se hace ninguna referencia a las alegaciones efectuadas por el recurrente en relación con la STC 15/2020 ya dictada, lo que le lleva a considerar que dicha resolución incurre en una motivación defectuosa que impide a las partes conocer las razones de la denegación efectuada y hace una selección inadecuada de la norma aplicable. Concluye declarando la vulneración del derecho a la tutela judicial efectiva en su vertiente de acceso a los recursos, causando indefensión prohibida por el art. 24.1 CE.</w:t>
      </w:r>
    </w:p>
    <w:p w14:paraId="6E66324E" w14:textId="77777777" w:rsidR="009D7677" w:rsidRDefault="009D7677" w:rsidP="009D7677">
      <w:pPr>
        <w:pStyle w:val="TextoNormal"/>
      </w:pPr>
    </w:p>
    <w:p w14:paraId="0883281C" w14:textId="78DF21A6" w:rsidR="009D7677" w:rsidRDefault="009D7677" w:rsidP="009D7677">
      <w:pPr>
        <w:pStyle w:val="TextoNormal"/>
      </w:pPr>
      <w:r>
        <w:t>Finalmente, el Ministerio Fiscal señala que, en el presente caso, se deben plantear los efectos que cabe anudar al otorgamiento del amparo, en la medida en que consta en actua</w:t>
      </w:r>
      <w:r>
        <w:lastRenderedPageBreak/>
        <w:t>ciones que ya se ha llevado a cabo el lanzamiento y la finca ha sido puesta en posesión del adjudicatario, siendo que no tendría ningún efecto práctico la concesión del plazo para recurrir, por lo que propone no retrotraer actuaciones, dado que podría afectar al derecho del tercer adquirente de buena fe.</w:t>
      </w:r>
    </w:p>
    <w:p w14:paraId="57466644" w14:textId="77777777" w:rsidR="009D7677" w:rsidRDefault="009D7677" w:rsidP="009D7677">
      <w:pPr>
        <w:pStyle w:val="TextoNormal"/>
      </w:pPr>
    </w:p>
    <w:p w14:paraId="7B9E0F7A" w14:textId="4E2BB934" w:rsidR="009D7677" w:rsidRDefault="009D7677" w:rsidP="009D7677">
      <w:pPr>
        <w:pStyle w:val="TextoNormal"/>
      </w:pPr>
      <w:r w:rsidRPr="009D7677">
        <w:rPr>
          <w:rStyle w:val="NumeroAFNegritaCaracter"/>
        </w:rPr>
        <w:t>8</w:t>
      </w:r>
      <w:r>
        <w:t>. En virtud de los arts. 2.1 y 2, y 3.1 del acuerdo de 17 de enero de 2023, del Pleno del Tribunal Constitucional, por el que se dispone la composición de las Salas y Secciones del Tribunal Constitucional, publicado en el “Boletín Oficial del Estado” de 19 de enero de 2023, el recurso es reasignado a la Sala Segunda de este tribunal al conservar la magistrada la ponencia que inicialmente le había sido repartida, lo que fue puesto en conocimiento de las partes mediante diligencia de ordenación de 20 enero de 2023 del secretario de justicia de la Sección Tercera.</w:t>
      </w:r>
    </w:p>
    <w:p w14:paraId="2F3D5FE0" w14:textId="77777777" w:rsidR="009D7677" w:rsidRDefault="009D7677" w:rsidP="009D7677">
      <w:pPr>
        <w:pStyle w:val="TextoNormal"/>
      </w:pPr>
    </w:p>
    <w:p w14:paraId="2620C5EA" w14:textId="52555D46" w:rsidR="009D7677" w:rsidRDefault="009D7677" w:rsidP="009D7677">
      <w:pPr>
        <w:pStyle w:val="TextoNormal"/>
      </w:pPr>
      <w:r w:rsidRPr="009D7677">
        <w:rPr>
          <w:rStyle w:val="NumeroAFNegritaCaracter"/>
        </w:rPr>
        <w:t>9</w:t>
      </w:r>
      <w:r>
        <w:t>. Mediante providencia de 4 de abril de 2024, se señaló para deliberación y votación de la presente sentencia el día 8 del mismo mes y año.</w:t>
      </w:r>
    </w:p>
    <w:p w14:paraId="7B103BDC" w14:textId="77777777" w:rsidR="009D7677" w:rsidRDefault="009D7677" w:rsidP="009D7677">
      <w:pPr>
        <w:pStyle w:val="TextoNormal"/>
      </w:pPr>
    </w:p>
    <w:p w14:paraId="45773191" w14:textId="77777777" w:rsidR="009D7677" w:rsidRDefault="009D7677" w:rsidP="009D7677">
      <w:pPr>
        <w:pStyle w:val="TextoNormalNegritaCentrado"/>
        <w:keepNext/>
      </w:pPr>
      <w:r>
        <w:t>II. Fundamentos jurídicos</w:t>
      </w:r>
    </w:p>
    <w:p w14:paraId="6C3B7B4E" w14:textId="40F65712" w:rsidR="009D7677" w:rsidRDefault="009D7677" w:rsidP="009D7677">
      <w:pPr>
        <w:pStyle w:val="TextoNormalNegritaCentrado"/>
        <w:keepNext/>
      </w:pPr>
    </w:p>
    <w:p w14:paraId="68DFC5B9" w14:textId="77777777" w:rsidR="009D7677" w:rsidRDefault="009D7677" w:rsidP="009D7677">
      <w:pPr>
        <w:pStyle w:val="TextoNormal"/>
      </w:pPr>
      <w:r w:rsidRPr="009D7677">
        <w:rPr>
          <w:rStyle w:val="NumeroAFNegritaCaracter"/>
        </w:rPr>
        <w:t>1</w:t>
      </w:r>
      <w:r>
        <w:t xml:space="preserve">. </w:t>
      </w:r>
      <w:r w:rsidRPr="009D7677">
        <w:rPr>
          <w:i/>
        </w:rPr>
        <w:t>Objeto del recurso y pretensiones de las partes</w:t>
      </w:r>
    </w:p>
    <w:p w14:paraId="0A00B10C" w14:textId="77777777" w:rsidR="009D7677" w:rsidRDefault="009D7677" w:rsidP="009D7677">
      <w:pPr>
        <w:pStyle w:val="TextoNormal"/>
      </w:pPr>
    </w:p>
    <w:p w14:paraId="417544EC" w14:textId="77777777" w:rsidR="009D7677" w:rsidRDefault="009D7677" w:rsidP="009D7677">
      <w:pPr>
        <w:pStyle w:val="TextoNormal"/>
      </w:pPr>
      <w:r>
        <w:t xml:space="preserve">El presente recurso de amparo se dirige contra el auto de 17 de abril de 2020, que desestima el incidente de nulidad de actuaciones interpuesto contra el decreto de 22 de enero de 2020, dictado por la letrada de la administración de justicia del Juzgado de Primera Instancia núm. 3 de Santa Cruz de Tenerife. El decreto declara su firmeza y, a pie de recurso, negaba que contra él cupiera recurso alguno; por su parte, el auto desestimaba el incidente de nulidad de actuaciones y afirmaba que el decreto impugnado resultaba conforme con lo establecido en el art. 454 </w:t>
      </w:r>
      <w:r w:rsidRPr="009D7677">
        <w:rPr>
          <w:i/>
        </w:rPr>
        <w:t>bis</w:t>
      </w:r>
      <w:r>
        <w:t>.1 LEC, que veta la posibilidad de interponer recurso contra la resolución de la reposición.</w:t>
      </w:r>
    </w:p>
    <w:p w14:paraId="59872785" w14:textId="77777777" w:rsidR="009D7677" w:rsidRDefault="009D7677" w:rsidP="009D7677">
      <w:pPr>
        <w:pStyle w:val="TextoNormal"/>
      </w:pPr>
    </w:p>
    <w:p w14:paraId="1D0998EA" w14:textId="77777777" w:rsidR="009D7677" w:rsidRDefault="009D7677" w:rsidP="009D7677">
      <w:pPr>
        <w:pStyle w:val="TextoNormal"/>
      </w:pPr>
      <w:r>
        <w:t>En los antecedentes han quedado expuestos con detalle los argumentos por los que la demanda aduce la lesión del derecho a la tutela judicial efectiva (art. 24.1 CE) en su dimensión de derecho de acceso a los recursos legalmente establecidos, y solicita la declaración de nulidad del auto de 17 de abril de 2020, que desestima el incidente de nulidad de actuaciones, y la retroacción de actuaciones al momento inmediato posterior al dictado del decreto de 22 de enero de 2020 por la letrada de la administración de justicia, a fin de que se conceda al demandante en amparo el plazo correspondiente para presentar contra el mismo recurso de revisión ante la autoridad judicial.</w:t>
      </w:r>
    </w:p>
    <w:p w14:paraId="5CCD8D28" w14:textId="77777777" w:rsidR="009D7677" w:rsidRDefault="009D7677" w:rsidP="009D7677">
      <w:pPr>
        <w:pStyle w:val="TextoNormal"/>
      </w:pPr>
    </w:p>
    <w:p w14:paraId="0185E614" w14:textId="67C500C7" w:rsidR="009D7677" w:rsidRDefault="009D7677" w:rsidP="009D7677">
      <w:pPr>
        <w:pStyle w:val="TextoNormal"/>
      </w:pPr>
      <w:r>
        <w:t>El Ministerio Fiscal interesa la estimación del presente recurso de amparo, por entender que existe vulneración del derecho a la tutela judicial efectiva (art. 24.2 CE) en su doble vertiente de acceso a los recursos legalmente establecidos y defectuosa motivación. A su parecer, el auto de 17 de abril de 2020 que desestima el incidente de nulidad de actuaciones ha impedido al recurrente el acceso al recurso de revisión ante la autoridad judicial, y ha incurrido en una motivación defectuosa al fundar esta decisión en una norma que había sido previamente declarada inconstitucional por este tribunal, pese a las alegaciones del recurrente relativas a dicha inconstitucionalidad.</w:t>
      </w:r>
    </w:p>
    <w:p w14:paraId="3B683346" w14:textId="77777777" w:rsidR="009D7677" w:rsidRDefault="009D7677" w:rsidP="009D7677">
      <w:pPr>
        <w:pStyle w:val="TextoNormal"/>
      </w:pPr>
    </w:p>
    <w:p w14:paraId="2F8B2DEB" w14:textId="77777777" w:rsidR="009D7677" w:rsidRDefault="009D7677" w:rsidP="009D7677">
      <w:pPr>
        <w:pStyle w:val="TextoNormal"/>
      </w:pPr>
      <w:r w:rsidRPr="009D7677">
        <w:rPr>
          <w:rStyle w:val="NumeroAFNegritaCaracter"/>
        </w:rPr>
        <w:lastRenderedPageBreak/>
        <w:t>2</w:t>
      </w:r>
      <w:r>
        <w:t xml:space="preserve">. </w:t>
      </w:r>
      <w:r w:rsidRPr="009D7677">
        <w:rPr>
          <w:i/>
        </w:rPr>
        <w:t>Doctrina constitucional sobre el art</w:t>
      </w:r>
      <w:r>
        <w:t xml:space="preserve">. 454 bis.1, </w:t>
      </w:r>
      <w:r w:rsidRPr="009D7677">
        <w:rPr>
          <w:i/>
        </w:rPr>
        <w:t>párrafo primero, LEC y su relación con el derecho a la tutela judicial efectiva: STC 15/2020, de 28 de enero</w:t>
      </w:r>
    </w:p>
    <w:p w14:paraId="4154BC0C" w14:textId="77777777" w:rsidR="009D7677" w:rsidRDefault="009D7677" w:rsidP="009D7677">
      <w:pPr>
        <w:pStyle w:val="TextoNormal"/>
      </w:pPr>
    </w:p>
    <w:p w14:paraId="740D738F" w14:textId="77777777" w:rsidR="009D7677" w:rsidRDefault="009D7677" w:rsidP="009D7677">
      <w:pPr>
        <w:pStyle w:val="TextoNormal"/>
      </w:pPr>
      <w:r>
        <w:t xml:space="preserve">El art. 454 </w:t>
      </w:r>
      <w:r w:rsidRPr="009D7677">
        <w:rPr>
          <w:i/>
        </w:rPr>
        <w:t>bis</w:t>
      </w:r>
      <w:r>
        <w:t>.1, párrafo primero, LEC disponía que “[c]ontra el decreto resolutivo de la reposición no se dará recurso alguno, sin perjuicio de reproducir la cuestión, necesariamente, en la primera audiencia ante el tribunal tras la toma de la decisión y, si no fuera posible por el estado de los autos, se podrá solicitar mediante escrito antes de que se dicte la resolución definitiva para que se solvente en ella”. La STC 15/2020, del Pleno de este tribunal, que estimó la cuestión interna de inconstitucionalidad núm. 2754-2019, declaró, precisamente, la inconstitucionalidad y nulidad de dicho precepto por vulnerar el derecho a la tutela judicial efectiva proclamado en el art. 24.1 CE, en la medida en que: (i) no permitía un control judicial directo, a través del recurso de revisión, de la generalidad de los decretos dictados en el proceso civil, en concreto de los decretos resolutorios de un recurso de reposición; y (ii) tampoco permitía un control judicial indirecto de estos decretos en todos los supuestos, pues podían darse situaciones en las que no existiera la posibilidad de reproducir la cuestión en un momento ulterior del proceso. En definitiva, el régimen de recursos articulado por el precepto no permitía descartar la eventualidad de que existieran supuestos en que la decisión del letrado de la administración de justicia quedara excluida por el legislador del control judicial —directo o indirecto—, especialmente en el proceso de ejecución civil, pese a que tales decisiones pudieran afectar a cuestiones relevantes, que atañen a la función jurisdiccional reservada en exclusiva a jueces y magistrados y que, por tanto, deben quedar sometidas a su posibilidad de control de acuerdo con el derecho a la tutela judicial efectiva sin indefensión que a todos garantiza el art. 24.1 CE.</w:t>
      </w:r>
    </w:p>
    <w:p w14:paraId="69037182" w14:textId="77777777" w:rsidR="009D7677" w:rsidRDefault="009D7677" w:rsidP="009D7677">
      <w:pPr>
        <w:pStyle w:val="TextoNormal"/>
      </w:pPr>
    </w:p>
    <w:p w14:paraId="059195AB" w14:textId="5F2DD935" w:rsidR="009D7677" w:rsidRDefault="009D7677" w:rsidP="009D7677">
      <w:pPr>
        <w:pStyle w:val="TextoNormal"/>
      </w:pPr>
      <w:r>
        <w:t xml:space="preserve">La misma sentencia terminaba precisando que, al igual que se hizo en las SSTC 58/2016, FJ 7; 72/2018, FJ 4, y 34/2019, FJ 7, en tanto el legislador no se pronuncie, el recurso judicial procedente frente al decreto del letrado de la administración de justicia resolutivo de la reposición ha de ser el directo de revisión al que se refiere el propio art. 454 </w:t>
      </w:r>
      <w:r w:rsidRPr="009D7677">
        <w:rPr>
          <w:i/>
        </w:rPr>
        <w:t>bis</w:t>
      </w:r>
      <w:r>
        <w:t xml:space="preserve"> LEC.</w:t>
      </w:r>
    </w:p>
    <w:p w14:paraId="044D7AE0" w14:textId="77777777" w:rsidR="009D7677" w:rsidRDefault="009D7677" w:rsidP="009D7677">
      <w:pPr>
        <w:pStyle w:val="TextoNormal"/>
      </w:pPr>
    </w:p>
    <w:p w14:paraId="1663C87B" w14:textId="77777777" w:rsidR="009D7677" w:rsidRDefault="009D7677" w:rsidP="009D7677">
      <w:pPr>
        <w:pStyle w:val="TextoNormal"/>
      </w:pPr>
      <w:r w:rsidRPr="009D7677">
        <w:rPr>
          <w:rStyle w:val="NumeroAFNegritaCaracter"/>
        </w:rPr>
        <w:t>3</w:t>
      </w:r>
      <w:r>
        <w:t xml:space="preserve">. </w:t>
      </w:r>
      <w:r w:rsidRPr="009D7677">
        <w:rPr>
          <w:i/>
        </w:rPr>
        <w:t>La aplicación de la doctrina al caso: vulneración del derecho de acceso a los recursos</w:t>
      </w:r>
    </w:p>
    <w:p w14:paraId="0BAAB5DB" w14:textId="77777777" w:rsidR="009D7677" w:rsidRDefault="009D7677" w:rsidP="009D7677">
      <w:pPr>
        <w:pStyle w:val="TextoNormal"/>
      </w:pPr>
    </w:p>
    <w:p w14:paraId="73907424" w14:textId="4286D991" w:rsidR="009D7677" w:rsidRDefault="009D7677" w:rsidP="009D7677">
      <w:pPr>
        <w:pStyle w:val="TextoNormal"/>
      </w:pPr>
      <w:r>
        <w:t xml:space="preserve">Los mismos razonamientos que determinaron la nulidad del párrafo primero del art. 454 </w:t>
      </w:r>
      <w:r w:rsidRPr="009D7677">
        <w:rPr>
          <w:i/>
        </w:rPr>
        <w:t>bis</w:t>
      </w:r>
      <w:r>
        <w:t xml:space="preserve">.1 LEC, efectuada por la STC 15/2020, son los que deben conducir a la estimación del presente recurso de amparo por vulneración del derecho a la tutela judicial efectiva (art. 24.1 CE), en su doble vertiente de: (i) derecho de acceso a los recursos legalmente establecidos, al haberse privado al demandante de amparo de hacer un uso efectivo del recurso directo de revisión frente al decreto de 22 de enero de 2020, y someter la cuestión al criterio de la autoridad judicial; y (ii) derecho a obtener un resolución motivada y fundada en Derecho; dado que, cuando se dicta el auto de 17 de abril de 2020, que desestima el incidente de nulidad de actuaciones, el órgano judicial insiste en la aplicación del art. 454 </w:t>
      </w:r>
      <w:r w:rsidRPr="009D7677">
        <w:rPr>
          <w:i/>
        </w:rPr>
        <w:t>bis</w:t>
      </w:r>
      <w:r>
        <w:t>.1, párrafo primero LEC, a pesar de que el Tribunal Constitucional había dictado ya la STC 15/2020, declarando inconstitucional y nulo el precepto, y el propio recurrente había puesto de manifiesto esta circunstancia en su escrito de interposición del incidente de nulidad.</w:t>
      </w:r>
    </w:p>
    <w:p w14:paraId="4C10C3DB" w14:textId="77777777" w:rsidR="009D7677" w:rsidRDefault="009D7677" w:rsidP="009D7677">
      <w:pPr>
        <w:pStyle w:val="TextoNormal"/>
      </w:pPr>
    </w:p>
    <w:p w14:paraId="2E53ADD8" w14:textId="77777777" w:rsidR="009D7677" w:rsidRDefault="009D7677" w:rsidP="009D7677">
      <w:pPr>
        <w:pStyle w:val="TextoNormal"/>
      </w:pPr>
      <w:r w:rsidRPr="009D7677">
        <w:rPr>
          <w:rStyle w:val="NumeroAFNegritaCaracter"/>
        </w:rPr>
        <w:lastRenderedPageBreak/>
        <w:t>4</w:t>
      </w:r>
      <w:r>
        <w:t xml:space="preserve">. </w:t>
      </w:r>
      <w:r w:rsidRPr="009D7677">
        <w:rPr>
          <w:i/>
        </w:rPr>
        <w:t>Efectos del otorgamiento del amparo en el caso concreto</w:t>
      </w:r>
    </w:p>
    <w:p w14:paraId="662E6450" w14:textId="77777777" w:rsidR="009D7677" w:rsidRDefault="009D7677" w:rsidP="009D7677">
      <w:pPr>
        <w:pStyle w:val="TextoNormal"/>
      </w:pPr>
    </w:p>
    <w:p w14:paraId="3EDF908A" w14:textId="77777777" w:rsidR="009D7677" w:rsidRDefault="009D7677" w:rsidP="009D7677">
      <w:pPr>
        <w:pStyle w:val="TextoNormal"/>
      </w:pPr>
      <w:r>
        <w:t>Las particulares circunstancias concurrentes en el presente caso aconsejan que llevemos a cabo una matización de los efectos que se derivan de la estimación del recurso de amparo.</w:t>
      </w:r>
    </w:p>
    <w:p w14:paraId="4B00201A" w14:textId="77777777" w:rsidR="009D7677" w:rsidRDefault="009D7677" w:rsidP="009D7677">
      <w:pPr>
        <w:pStyle w:val="TextoNormal"/>
      </w:pPr>
    </w:p>
    <w:p w14:paraId="5724BFAD" w14:textId="77777777" w:rsidR="009D7677" w:rsidRDefault="009D7677" w:rsidP="009D7677">
      <w:pPr>
        <w:pStyle w:val="TextoNormal"/>
      </w:pPr>
      <w:r>
        <w:t>El recurrente expresamente solicita que se declare la nulidad del auto de 17 de abril de 2020 y se retrotraigan las actuaciones al momento inmediatamente posterior al decreto de 22 de enero de 2020, a los efectos de que le sea concedido el plazo correspondiente para presentar recurso directo de revisión frente al mismo.</w:t>
      </w:r>
    </w:p>
    <w:p w14:paraId="47D7329A" w14:textId="77777777" w:rsidR="009D7677" w:rsidRDefault="009D7677" w:rsidP="009D7677">
      <w:pPr>
        <w:pStyle w:val="TextoNormal"/>
      </w:pPr>
    </w:p>
    <w:p w14:paraId="6098D975" w14:textId="77777777" w:rsidR="009D7677" w:rsidRDefault="009D7677" w:rsidP="009D7677">
      <w:pPr>
        <w:pStyle w:val="TextoNormal"/>
      </w:pPr>
      <w:r>
        <w:t>Ahora bien, la retroacción de actuaciones interesada por el recurrente en amparo plantea un problema evidente de seguridad jurídica dado que la finca objeto del proceso de ejecución ha sido adquirida legalmente por un tercero, la entidad Buildingcenter, S.A.U., al que se ha hecho ya entrega efectiva de su posesión. Esta circunstancia impide que el recurrente pueda obtener efecto jurídico alguno mediante la pretendida retroacción de actuaciones. En efecto, la cuestión que quedó resuelta mediante el decreto de 22 de enero de 2020 —que el recurrente en amparo pretende recurrir en revisión— se refería a la posibilidad de que se llevara a cabo su lanzamiento de la finca ejecutada y la correlativa entrega de posesión de dicha finca a su nueva adquirente. Consta en las actuaciones que tanto el lanzamiento como la entrega de posesión de la finca a su adquirente fueron efectivamente llevadas a cabo el 8 de julio de 2021. La situación jurídica creada mediante la entrega de posesión de la finca a quien la adquirió por título judicial (decreto aprobando la cesión del remate) no puede ser revertida por razones evidentes de seguridad jurídica.</w:t>
      </w:r>
    </w:p>
    <w:p w14:paraId="1292F25B" w14:textId="77777777" w:rsidR="009D7677" w:rsidRDefault="009D7677" w:rsidP="009D7677">
      <w:pPr>
        <w:pStyle w:val="TextoNormal"/>
      </w:pPr>
    </w:p>
    <w:p w14:paraId="56C84526" w14:textId="4F624807" w:rsidR="009D7677" w:rsidRDefault="009D7677" w:rsidP="009D7677">
      <w:pPr>
        <w:pStyle w:val="TextoNormal"/>
      </w:pPr>
      <w:r>
        <w:t>Partiendo de ello, los efectos derivados de la estimación de la demanda habrán de limitarse: (i) a declarar que se ha producido la vulneración del derecho a la tutela judicial efectiva (art. 24.1 CE) del demandante en amparo, en su doble dimensión de derecho de acceso a los recursos legalmente establecidos y a obtener una resolución fundada en Derecho; y (ii) como medio para restablecer el derecho vulnerado, decretar la nulidad del auto de 17 de abril de 2020 que desestima el incidente de nulidad, así como del pie de recurso del decreto de 22 de enero 2020, en los términos que hicimos en la STC 54/2021 de 15 de marzo, FJ 3.</w:t>
      </w:r>
    </w:p>
    <w:p w14:paraId="1D929543" w14:textId="77777777" w:rsidR="009D7677" w:rsidRDefault="009D7677" w:rsidP="009D7677">
      <w:pPr>
        <w:pStyle w:val="TextoNormal"/>
      </w:pPr>
    </w:p>
    <w:p w14:paraId="7B2DFA46" w14:textId="77777777" w:rsidR="009D7677" w:rsidRDefault="009D7677" w:rsidP="009D7677">
      <w:pPr>
        <w:pStyle w:val="TextoNormalCentrado"/>
        <w:keepNext/>
      </w:pPr>
      <w:r>
        <w:t>FALLO</w:t>
      </w:r>
    </w:p>
    <w:p w14:paraId="71D078D7" w14:textId="65B8BCC0" w:rsidR="009D7677" w:rsidRDefault="009D7677" w:rsidP="009D7677">
      <w:pPr>
        <w:pStyle w:val="TextoNormalCentrado"/>
        <w:keepNext/>
      </w:pPr>
    </w:p>
    <w:p w14:paraId="05518702" w14:textId="77777777" w:rsidR="009D7677" w:rsidRDefault="009D7677" w:rsidP="009D7677">
      <w:pPr>
        <w:pStyle w:val="TextoNormal"/>
      </w:pPr>
      <w:r>
        <w:t>En atención a todo lo expuesto, el Tribunal Constitucional, por la autoridad que le confiere la Constitución de la Nación española, ha decidido otorgar el amparo a don Ramón Hernández González y, en consecuencia:</w:t>
      </w:r>
    </w:p>
    <w:p w14:paraId="74350338" w14:textId="77777777" w:rsidR="009D7677" w:rsidRDefault="009D7677" w:rsidP="009D7677">
      <w:pPr>
        <w:pStyle w:val="TextoNormal"/>
      </w:pPr>
    </w:p>
    <w:p w14:paraId="2AAC1363" w14:textId="77777777" w:rsidR="009D7677" w:rsidRDefault="009D7677" w:rsidP="009D7677">
      <w:pPr>
        <w:pStyle w:val="TextoNormal"/>
      </w:pPr>
      <w:r>
        <w:t>1º Declarar que ha sido vulnerado el derecho fundamental del actor a la tutela judicial efectiva sin indefensión (art. 24.1 CE), en su doble dimensión de derecho de acceso a los recursos legalmente establecidos y a obtener una resolución fundada en Derecho.</w:t>
      </w:r>
    </w:p>
    <w:p w14:paraId="47FFF263" w14:textId="77777777" w:rsidR="009D7677" w:rsidRDefault="009D7677" w:rsidP="009D7677">
      <w:pPr>
        <w:pStyle w:val="TextoNormal"/>
      </w:pPr>
    </w:p>
    <w:p w14:paraId="00AD1E15" w14:textId="18D311CF" w:rsidR="009D7677" w:rsidRDefault="009D7677" w:rsidP="009D7677">
      <w:pPr>
        <w:pStyle w:val="TextoNormal"/>
      </w:pPr>
      <w:r>
        <w:t>2º Restablecer al demandante en su derecho y, a tal fin, declarar la nulidad del pie de recurso del decreto de 22 de enero de 2020, dictado por la letrada de la administración de justicia del Juzgado de Primera Instancia núm. 3 de Santa Cruz de Tenerife, en el proce</w:t>
      </w:r>
      <w:r>
        <w:lastRenderedPageBreak/>
        <w:t>dimiento de ejecución hipotecaria núm. 293-2014, y la nulidad del auto de 17 de abril de 2020, dictado por el mismo Juzgado de Primera Instancia núm. 3 de Santa Cruz de Tenerife, que declaró no haber lugar a la nulidad de actuaciones.</w:t>
      </w:r>
    </w:p>
    <w:p w14:paraId="7BF09DBA" w14:textId="77777777" w:rsidR="009D7677" w:rsidRDefault="009D7677" w:rsidP="009D7677">
      <w:pPr>
        <w:pStyle w:val="TextoNormal"/>
      </w:pPr>
    </w:p>
    <w:p w14:paraId="25D4FB3D" w14:textId="77777777" w:rsidR="009D7677" w:rsidRDefault="009D7677" w:rsidP="009D7677">
      <w:pPr>
        <w:pStyle w:val="TextoNormal"/>
      </w:pPr>
      <w:r>
        <w:t>Publíquese esta sentencia en el “Boletín Oficial del Estado”.</w:t>
      </w:r>
    </w:p>
    <w:p w14:paraId="6BB67123" w14:textId="77777777" w:rsidR="009D7677" w:rsidRDefault="009D7677" w:rsidP="009D7677">
      <w:pPr>
        <w:pStyle w:val="TextoNormal"/>
      </w:pPr>
      <w:r>
        <w:t>Dada en Madrid, a ocho de abril de dos mil veinticuatro.</w:t>
      </w:r>
    </w:p>
    <w:p w14:paraId="3501728A" w14:textId="1393DB1F" w:rsidR="009D7677" w:rsidRDefault="009D7677">
      <w:pPr>
        <w:spacing w:after="160" w:line="259" w:lineRule="auto"/>
        <w:rPr>
          <w:rFonts w:ascii="Times New Roman" w:eastAsia="Times New Roman" w:hAnsi="Times New Roman" w:cs="Times New Roman"/>
          <w:sz w:val="24"/>
          <w:szCs w:val="24"/>
          <w:lang w:eastAsia="es-ES"/>
        </w:rPr>
      </w:pPr>
      <w:r>
        <w:br w:type="page"/>
      </w:r>
    </w:p>
    <w:p w14:paraId="7B6AEF9E" w14:textId="77777777" w:rsidR="009D7677" w:rsidRDefault="009D7677" w:rsidP="009D7677">
      <w:pPr>
        <w:pStyle w:val="TtuloResolucin"/>
      </w:pPr>
      <w:bookmarkStart w:id="50" w:name="SENTENCIA_2024_48"/>
      <w:r>
        <w:lastRenderedPageBreak/>
        <w:t>SENTENCIA 48/2024, de 8 de abril de 2024</w:t>
      </w:r>
    </w:p>
    <w:bookmarkEnd w:id="50"/>
    <w:p w14:paraId="7E249260" w14:textId="77777777" w:rsidR="009D7677" w:rsidRDefault="009D7677" w:rsidP="009D7677">
      <w:pPr>
        <w:pStyle w:val="TtuloResolucin"/>
      </w:pPr>
      <w:r>
        <w:t>Sala Segunda</w:t>
      </w:r>
    </w:p>
    <w:p w14:paraId="26FF02CD" w14:textId="77777777" w:rsidR="009D7677" w:rsidRDefault="009D7677" w:rsidP="009D7677">
      <w:pPr>
        <w:pStyle w:val="TtuloBOE"/>
      </w:pPr>
      <w:r>
        <w:t>(BOE núm. 118, de 15 de mayo de 2024)</w:t>
      </w:r>
    </w:p>
    <w:p w14:paraId="501487B5" w14:textId="77777777" w:rsidR="009D7677" w:rsidRDefault="009D7677" w:rsidP="009D7677">
      <w:pPr>
        <w:pStyle w:val="TextoNormalCentrado"/>
      </w:pPr>
      <w:r>
        <w:t>ECLI:ES:TC:2024:48</w:t>
      </w:r>
    </w:p>
    <w:p w14:paraId="50712013" w14:textId="1EE847BB" w:rsidR="009D7677" w:rsidRDefault="009D7677" w:rsidP="009D7677">
      <w:pPr>
        <w:pStyle w:val="TextoNormalCentrado"/>
      </w:pPr>
    </w:p>
    <w:p w14:paraId="47874D72" w14:textId="77777777" w:rsidR="009D7677" w:rsidRDefault="009D7677" w:rsidP="009D7677">
      <w:pPr>
        <w:pStyle w:val="SntesisDescriptiva"/>
      </w:pPr>
      <w:r>
        <w:t>Recurso de amparo 2975-2020. Promovido por doña L.G.A., en relación con las sentencias dictadas por la Audiencia Provincial de Sevilla y un juzgado de lo penal de su capital en causa por delito de lesiones psicológicas.</w:t>
      </w:r>
    </w:p>
    <w:p w14:paraId="7F9FABA7" w14:textId="2B892619" w:rsidR="009D7677" w:rsidRDefault="009D7677" w:rsidP="009D7677">
      <w:pPr>
        <w:pStyle w:val="SntesisDescriptiva"/>
      </w:pPr>
    </w:p>
    <w:p w14:paraId="11FCC8EA" w14:textId="77777777" w:rsidR="009D7677" w:rsidRDefault="009D7677" w:rsidP="009D7677">
      <w:pPr>
        <w:pStyle w:val="SntesisAnaltica"/>
      </w:pPr>
      <w:r>
        <w:t>Vulneración del derecho a la tutela judicial efectiva en relación con el derecho a no padecer discriminación por razón de sexo: aplicación como cualificada de la circunstancia atenuante de dilaciones indebidas atendiendo al tiempo transcurrido entre la comisión de los hechos delictivos y la presentación de la denuncia. Votos particulares.</w:t>
      </w:r>
    </w:p>
    <w:p w14:paraId="262A3FEA" w14:textId="3CB8A0C7" w:rsidR="009D7677" w:rsidRDefault="009D7677" w:rsidP="009D7677">
      <w:pPr>
        <w:pStyle w:val="SntesisAnaltica"/>
      </w:pPr>
    </w:p>
    <w:p w14:paraId="2E147797" w14:textId="4C8C50EC" w:rsidR="009D7677" w:rsidRDefault="009D7677" w:rsidP="009D7677">
      <w:pPr>
        <w:pStyle w:val="Extracto"/>
      </w:pPr>
      <w:r>
        <w:t>1.</w:t>
      </w:r>
      <w:r>
        <w:tab/>
        <w:t xml:space="preserve">El derecho de acción penal se configura esencialmente como un </w:t>
      </w:r>
      <w:r w:rsidRPr="009D7677">
        <w:rPr>
          <w:i/>
        </w:rPr>
        <w:t>ius ut procedatur</w:t>
      </w:r>
      <w:r>
        <w:t>, que integra el derecho a iniciar un proceso penal, a que el mismo se sustancie de conformidad con las reglas del proceso justo y a obtener en él una respuesta razonable y fundada en derecho (SSTC 120/2000 o 12/1996) [FJ 4].</w:t>
      </w:r>
    </w:p>
    <w:p w14:paraId="087B3C81" w14:textId="77777777" w:rsidR="009D7677" w:rsidRDefault="009D7677" w:rsidP="009D7677">
      <w:pPr>
        <w:pStyle w:val="Extracto"/>
      </w:pPr>
    </w:p>
    <w:p w14:paraId="1FA75785" w14:textId="139BF8CD" w:rsidR="009D7677" w:rsidRDefault="009D7677" w:rsidP="009D7677">
      <w:pPr>
        <w:pStyle w:val="Extracto"/>
      </w:pPr>
      <w:r>
        <w:t>2.</w:t>
      </w:r>
      <w:r>
        <w:tab/>
        <w:t>Para determinar si se ha incurrido en dilaciones indebidas hay que tomar en cuenta únicamente la duración del proceso judicial; su reconocimiento como circunstancia atenuante tiene por objeto que se establezca un adecuado equilibrio entre la realización de toda la actividad judicial indispensable para la resolución del caso del que se conoce y para la garantía de los derechos de las partes, de un lado, y, de otro, la limitación del tiempo en el que dicha actividad judicial se desarrolle, que habrá de ser el más breve posible (SSTC 124/1999 y 153/2005) [FJ 5].</w:t>
      </w:r>
    </w:p>
    <w:p w14:paraId="7E390086" w14:textId="77777777" w:rsidR="009D7677" w:rsidRDefault="009D7677" w:rsidP="009D7677">
      <w:pPr>
        <w:pStyle w:val="Extracto"/>
      </w:pPr>
    </w:p>
    <w:p w14:paraId="1075C20F" w14:textId="43CBFFAA" w:rsidR="009D7677" w:rsidRDefault="009D7677" w:rsidP="009D7677">
      <w:pPr>
        <w:pStyle w:val="Extracto"/>
      </w:pPr>
      <w:r>
        <w:t>3.</w:t>
      </w:r>
      <w:r>
        <w:tab/>
        <w:t>Nuestro ordenamiento jurídico prevé que quien resulte perjudicado por un delito tiene el derecho a denunciarlo en cualquier momento, con el límite de la prescripción regulada en el art. 131 CP, que trae consigo la extinción de la responsabilidad criminal (art. 130.1.6 CP). Resulta irrazonable responsabilizar a víctimas de unas “dilaciones indebidas”, que deben referirse exclusivamente a la tramitación del proceso judicial y a la diligencia de los órganos judiciales [FJ 5].</w:t>
      </w:r>
    </w:p>
    <w:p w14:paraId="3F85609E" w14:textId="77777777" w:rsidR="009D7677" w:rsidRDefault="009D7677" w:rsidP="009D7677">
      <w:pPr>
        <w:pStyle w:val="Extracto"/>
      </w:pPr>
    </w:p>
    <w:p w14:paraId="59BB6F51" w14:textId="30D8BCF4" w:rsidR="009D7677" w:rsidRDefault="009D7677" w:rsidP="009D7677">
      <w:pPr>
        <w:pStyle w:val="Extracto"/>
      </w:pPr>
      <w:r>
        <w:t>4.</w:t>
      </w:r>
      <w:r>
        <w:tab/>
        <w:t>No debe soslayarse la perspectiva de género que el art. 49.2 del Convenio de Estambul obliga a tener en cuenta para garantizar un procedimiento efectivo por los delitos en él previstos. Por un lado, deben conocerse y razonarse las repercusiones específicas que los delitos relacionados con la violencia sexual tienen sobre sus víctimas, y cómo afectan a su conducta en relación con la denuncia y persecución del delito, o la situación de desventaja y desprotección de las víctimas; y más si cabe en este caso en el que estas puedan temer, de forma racional que, si denuncian, puedan perder incluso su empleo [FJ 5].</w:t>
      </w:r>
    </w:p>
    <w:p w14:paraId="71B54AA4" w14:textId="77777777" w:rsidR="009D7677" w:rsidRDefault="009D7677" w:rsidP="009D7677">
      <w:pPr>
        <w:pStyle w:val="Extracto"/>
      </w:pPr>
    </w:p>
    <w:p w14:paraId="5BF920E3" w14:textId="776C388B" w:rsidR="009D7677" w:rsidRDefault="009D7677" w:rsidP="009D7677">
      <w:pPr>
        <w:pStyle w:val="Extracto"/>
      </w:pPr>
      <w:r>
        <w:t>5.</w:t>
      </w:r>
      <w:r>
        <w:tab/>
        <w:t>Debe ser tenida en cuenta la situación de las víctimas en una clara situación de vulnerabilidad, con contratos de trabajo no permanentes y cuya renovación y promoción en su carrera académica depende de la voluntad del agresor. Así,  responsabilizar a las perjudicadas por el delito de la demora en denunciar, no so</w:t>
      </w:r>
      <w:r>
        <w:lastRenderedPageBreak/>
        <w:t>lo es irrazonable desde la perspectiva del art. 24.1 CE, sino que desconoce también el mandato de prohibición de discriminación por razón de sexo contenido en el art. 14 CE [FJ 5].</w:t>
      </w:r>
    </w:p>
    <w:p w14:paraId="6ABB7D7B" w14:textId="77777777" w:rsidR="009D7677" w:rsidRDefault="009D7677" w:rsidP="009D7677">
      <w:pPr>
        <w:pStyle w:val="Extracto"/>
      </w:pPr>
    </w:p>
    <w:p w14:paraId="1B85CFFA" w14:textId="458F9CDC" w:rsidR="009D7677" w:rsidRDefault="009D7677" w:rsidP="009D7677">
      <w:pPr>
        <w:pStyle w:val="Extracto"/>
      </w:pPr>
      <w:r>
        <w:t>6.</w:t>
      </w:r>
      <w:r>
        <w:tab/>
        <w:t>Los abusos sexuales forman parte de los delitos relacionados con la violencia de género, que constituye la forma más grave de discriminación contra la mujer; y, como consecuencia de ello, soslaya las exigencias derivadas de la prohibición de discriminación por razón de sexo proclamada por el art. 14 CE [FJ 5].</w:t>
      </w:r>
    </w:p>
    <w:p w14:paraId="4EA8C02F" w14:textId="77777777" w:rsidR="009D7677" w:rsidRDefault="009D7677" w:rsidP="009D7677">
      <w:pPr>
        <w:pStyle w:val="Extracto"/>
      </w:pPr>
    </w:p>
    <w:p w14:paraId="0077548B" w14:textId="54043CB1" w:rsidR="009D7677" w:rsidRDefault="009D7677" w:rsidP="009D7677">
      <w:pPr>
        <w:pStyle w:val="Extracto"/>
      </w:pPr>
      <w:r>
        <w:t>7.</w:t>
      </w:r>
      <w:r>
        <w:tab/>
        <w:t xml:space="preserve">En relación con la investigación, enjuiciamiento y castigo de delitos de violencia sexual, los tribunales nacionales no deben permitir que queden impunes graves atentados contra la integridad física y mental, ni a permitir que delitos graves sean castigados con sanciones excesivamente indulgentes. Los criterios y razones ofrecidas por el tribunal nacional a la hora de determinar las consecuencias penales de esta clase de delitos deben resultar adecuados para asegurar que el castigo se mantiene proporcionado a la naturaleza y gravedad del maltrato ínsito en los actos criminales cometidos (STEDH de 12 de diciembre de 2023, asunto </w:t>
      </w:r>
      <w:r w:rsidRPr="009D7677">
        <w:rPr>
          <w:i/>
        </w:rPr>
        <w:t>Vučković c. Croacia</w:t>
      </w:r>
      <w:r>
        <w:t>) [FJ 5].</w:t>
      </w:r>
    </w:p>
    <w:p w14:paraId="2B2E1F0A" w14:textId="77777777" w:rsidR="009D7677" w:rsidRDefault="009D7677" w:rsidP="009D7677">
      <w:pPr>
        <w:pStyle w:val="Extracto"/>
      </w:pPr>
    </w:p>
    <w:p w14:paraId="2101750B" w14:textId="77777777" w:rsidR="009D7677" w:rsidRDefault="009D7677" w:rsidP="009D7677">
      <w:pPr>
        <w:pStyle w:val="Extracto"/>
      </w:pPr>
    </w:p>
    <w:p w14:paraId="16A8A059" w14:textId="77777777" w:rsidR="009D7677" w:rsidRDefault="009D7677" w:rsidP="009D7677">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Laura Díez Bueso, ha pronunciado</w:t>
      </w:r>
    </w:p>
    <w:p w14:paraId="5B196E38" w14:textId="7B4EBCA9" w:rsidR="009D7677" w:rsidRDefault="009D7677" w:rsidP="009D7677">
      <w:pPr>
        <w:pStyle w:val="TextoNormal"/>
      </w:pPr>
    </w:p>
    <w:p w14:paraId="3FF01C87" w14:textId="77777777" w:rsidR="009D7677" w:rsidRDefault="009D7677" w:rsidP="009D7677">
      <w:pPr>
        <w:pStyle w:val="TextoNormalCentrado"/>
        <w:keepNext/>
      </w:pPr>
      <w:r>
        <w:t>EN NOMBRE DEL REY</w:t>
      </w:r>
    </w:p>
    <w:p w14:paraId="5569E393" w14:textId="5A4C65F4" w:rsidR="009D7677" w:rsidRDefault="009D7677" w:rsidP="009D7677">
      <w:pPr>
        <w:pStyle w:val="TextoNormalCentrado"/>
        <w:keepNext/>
      </w:pPr>
    </w:p>
    <w:p w14:paraId="3D42B9EB" w14:textId="77777777" w:rsidR="009D7677" w:rsidRDefault="009D7677" w:rsidP="009D7677">
      <w:pPr>
        <w:pStyle w:val="TextoNormalCentrado"/>
        <w:keepNext/>
      </w:pPr>
    </w:p>
    <w:p w14:paraId="4D84D151" w14:textId="77777777" w:rsidR="009D7677" w:rsidRDefault="009D7677" w:rsidP="009D7677">
      <w:pPr>
        <w:pStyle w:val="TextoNormal"/>
      </w:pPr>
      <w:r>
        <w:t>la siguiente</w:t>
      </w:r>
    </w:p>
    <w:p w14:paraId="09EF79A1" w14:textId="4319BD6D" w:rsidR="009D7677" w:rsidRDefault="009D7677" w:rsidP="009D7677">
      <w:pPr>
        <w:pStyle w:val="TextoNormal"/>
      </w:pPr>
    </w:p>
    <w:p w14:paraId="39BC7CEA" w14:textId="77777777" w:rsidR="009D7677" w:rsidRDefault="009D7677" w:rsidP="009D7677">
      <w:pPr>
        <w:pStyle w:val="TextoNormalCentrado"/>
        <w:keepNext/>
      </w:pPr>
      <w:r>
        <w:t>SENTENCIA</w:t>
      </w:r>
    </w:p>
    <w:p w14:paraId="2D33E5D3" w14:textId="3B04945D" w:rsidR="009D7677" w:rsidRDefault="009D7677" w:rsidP="009D7677">
      <w:pPr>
        <w:pStyle w:val="TextoNormalCentrado"/>
        <w:keepNext/>
      </w:pPr>
    </w:p>
    <w:p w14:paraId="04AF5DCA" w14:textId="77777777" w:rsidR="009D7677" w:rsidRDefault="009D7677" w:rsidP="009D7677">
      <w:pPr>
        <w:pStyle w:val="TextoNormal"/>
      </w:pPr>
      <w:r>
        <w:t>En el recurso de amparo núm. 2975-2020, promovido por doña L.G.A., representada por el procurador don Enrique Cruces Navarro y asistida por la letrada doña Amparo Díaz Ramos, contra la sentencia dictada por la Sección Primera de la Audiencia Provincial de Sevilla el día 20 de diciembre de 2019, por la que se resolvieron los recursos de apelación interpuestos contra la sentencia dictada por el Juzgado de lo Penal núm. 2 de Sevilla en los autos de procedimiento abreviado 276-2015; y contra el auto dictado por la misma sección de la Audiencia Provincial de Sevilla el 5 de mayo de 2020 por el que se inadmitió el incidente de nulidad de actuaciones promovido frente a la sentencia de 20 de diciembre. Ha comparecido en el procedimiento don Santiago Romero Granados, representado por el procurador don Manuel Martín Navarro y asistido por el letrado don Jorge Piñero Gálvez. Ha intervenido el Ministerio Fiscal. Ha sido ponente la magistrada doña Inmaculada Montalbán Huertas.</w:t>
      </w:r>
    </w:p>
    <w:p w14:paraId="5E23B309" w14:textId="38D2A922" w:rsidR="009D7677" w:rsidRDefault="009D7677" w:rsidP="009D7677">
      <w:pPr>
        <w:pStyle w:val="TextoNormal"/>
      </w:pPr>
    </w:p>
    <w:p w14:paraId="3F6169A0" w14:textId="77777777" w:rsidR="009D7677" w:rsidRDefault="009D7677" w:rsidP="009D7677">
      <w:pPr>
        <w:pStyle w:val="TextoNormalNegritaCentrado"/>
        <w:keepNext/>
      </w:pPr>
      <w:r>
        <w:lastRenderedPageBreak/>
        <w:t>I. Antecedentes</w:t>
      </w:r>
    </w:p>
    <w:p w14:paraId="5D793D2C" w14:textId="0F2CA923" w:rsidR="009D7677" w:rsidRDefault="009D7677" w:rsidP="009D7677">
      <w:pPr>
        <w:pStyle w:val="TextoNormalNegritaCentrado"/>
        <w:keepNext/>
      </w:pPr>
    </w:p>
    <w:p w14:paraId="7E10299F" w14:textId="4D19B42B" w:rsidR="009D7677" w:rsidRDefault="009D7677" w:rsidP="009D7677">
      <w:pPr>
        <w:pStyle w:val="TextoNormal"/>
      </w:pPr>
      <w:r w:rsidRPr="009D7677">
        <w:rPr>
          <w:rStyle w:val="NumeroAFNegritaCaracter"/>
        </w:rPr>
        <w:t>1</w:t>
      </w:r>
      <w:r>
        <w:t>. Mediante escrito presentado en el registro de este tribunal el 12 de julio de 2020, la representación procesal de doña L.G.A. interpuso demanda de amparo contra las resoluciones que se citan en el encabezamiento.</w:t>
      </w:r>
    </w:p>
    <w:p w14:paraId="1E4688AE" w14:textId="77777777" w:rsidR="009D7677" w:rsidRDefault="009D7677" w:rsidP="009D7677">
      <w:pPr>
        <w:pStyle w:val="TextoNormal"/>
      </w:pPr>
    </w:p>
    <w:p w14:paraId="0FC0A1CC" w14:textId="77777777" w:rsidR="009D7677" w:rsidRDefault="009D7677" w:rsidP="009D7677">
      <w:pPr>
        <w:pStyle w:val="TextoNormal"/>
      </w:pPr>
      <w:r w:rsidRPr="009D7677">
        <w:rPr>
          <w:rStyle w:val="NumeroAFNegritaCaracter"/>
        </w:rPr>
        <w:t>2</w:t>
      </w:r>
      <w:r>
        <w:t>. Los hechos relevantes para resolver el recurso de amparo interpuesto, son los siguientes:</w:t>
      </w:r>
    </w:p>
    <w:p w14:paraId="1ACA3F71" w14:textId="77777777" w:rsidR="009D7677" w:rsidRDefault="009D7677" w:rsidP="009D7677">
      <w:pPr>
        <w:pStyle w:val="TextoNormal"/>
      </w:pPr>
    </w:p>
    <w:p w14:paraId="06CCE2B6" w14:textId="77777777" w:rsidR="009D7677" w:rsidRDefault="009D7677" w:rsidP="009D7677">
      <w:pPr>
        <w:pStyle w:val="TextoNormal"/>
      </w:pPr>
      <w:r>
        <w:t>a) Presentación de la denuncia. El 25 de enero de 2011 don Francisco Manuel Barrero Castro, en su condición de funcionario de la Universidad de Sevilla, compareció ante el Juzgado de Instrucción en funciones de guardia de Sevilla y presentó denuncia escrita formulada por doña L.G.A., doña R.C.R. y doña E.S.S. contra don Santiago Romero Granados por unos hechos que habían tenido lugar en el periodo comprendido entre octubre de 2006 y octubre de 2010 y podrían reunir caracteres de delito. A la denuncia acompañaba testimonio íntegro de la información reservada tramitada por la Universidad de Sevilla a raíz de una comunicación escrita dirigida por doña L.G.A., doña R.C.R. y doña E.S.S. a la vicerrectora de profesorado el día 3 de noviembre de 2010. La información reservada culminó con una resolución rectoral de 18 de enero de 2011, por la que se acordó incoar expediente disciplinario a don Santiago Romero Granados y dar traslado de todo lo actuado al Ministerio Fiscal al poder ser los hechos que la motivaron constitutivos de delito o falta. En la misma resolución se ordenó la suspensión de la tramitación del expediente disciplinario hasta que recayese la resolución judicial correspondiente. No se adoptaron medidas cautelares.</w:t>
      </w:r>
    </w:p>
    <w:p w14:paraId="1DF20FEE" w14:textId="77777777" w:rsidR="009D7677" w:rsidRDefault="009D7677" w:rsidP="009D7677">
      <w:pPr>
        <w:pStyle w:val="TextoNormal"/>
      </w:pPr>
    </w:p>
    <w:p w14:paraId="513F0DAD" w14:textId="77777777" w:rsidR="009D7677" w:rsidRDefault="009D7677" w:rsidP="009D7677">
      <w:pPr>
        <w:pStyle w:val="TextoNormal"/>
      </w:pPr>
      <w:r>
        <w:t>b) Diligencias previas. La denuncia dio lugar a la incoación, el día 1 de febrero de 2011, de las diligencias previas 293-2011 por el Juzgado de Instrucción núm. 4 de Sevilla, en el transcurso de las cuales se practicaron las siguientes diligencias de investigación: (i) declaraciones de doña L.G.A., doña R.C.R. y doña E.S.S. en calidad de denunciantes y perjudicadas, con ofrecimiento de acciones; (ii) declaración de don Santiago Romero Granados en calidad de investigado —31 de octubre de 2011—; (iii) pericial psicológica de doña L.G.A., doña R.C.R. y doña E.S.S., que en el caso de la señora G.A. hubo de reiterarse y ampliarse; (iv) evaluación psicológica del investigado; (v) diez declaraciones testificales; y (vi) abundante documental, tanto en soporte escrito como de audio, lo que requirió la práctica de diligencia de audición y cotejo por parte del juzgado.</w:t>
      </w:r>
    </w:p>
    <w:p w14:paraId="42038865" w14:textId="77777777" w:rsidR="009D7677" w:rsidRDefault="009D7677" w:rsidP="009D7677">
      <w:pPr>
        <w:pStyle w:val="TextoNormal"/>
      </w:pPr>
    </w:p>
    <w:p w14:paraId="5EB1BE75" w14:textId="77777777" w:rsidR="009D7677" w:rsidRDefault="009D7677" w:rsidP="009D7677">
      <w:pPr>
        <w:pStyle w:val="TextoNormal"/>
      </w:pPr>
      <w:r>
        <w:t>c) El 17 de febrero de 2015 se dictó, por el Juzgado de Instrucción núm. 4 de Sevilla, auto de apertura de juicio oral contra el señor Romero Granados por tres delitos continuados de abusos sexuales, un delito de lesiones, un delito de acoso laboral, o, subsidiariamente, por un delito de amenazas continuadas, y por un delito de acoso sexual, o, subsidiariamente, por un delito de coacciones continuadas. El 10 de junio de 2015 se acordó la remisión de todo lo actuado al juzgado de lo penal.</w:t>
      </w:r>
    </w:p>
    <w:p w14:paraId="5015E084" w14:textId="77777777" w:rsidR="009D7677" w:rsidRDefault="009D7677" w:rsidP="009D7677">
      <w:pPr>
        <w:pStyle w:val="TextoNormal"/>
      </w:pPr>
    </w:p>
    <w:p w14:paraId="474E0A8A" w14:textId="77777777" w:rsidR="009D7677" w:rsidRDefault="009D7677" w:rsidP="009D7677">
      <w:pPr>
        <w:pStyle w:val="TextoNormal"/>
      </w:pPr>
      <w:r>
        <w:t xml:space="preserve">d) Por auto de 29 de octubre de 2015 el Juzgado de lo Penal núm. 2 de Sevilla resolvió acerca de la admisión de las pruebas propuestas por las partes para su práctica en el acto del juicio oral, y se señaló dicho acto para los días 16, 17 y 18 de marzo de 2016. El juicio </w:t>
      </w:r>
      <w:r>
        <w:lastRenderedPageBreak/>
        <w:t>fue celebrado en las fechas señaladas, y tuvo que extenderse dos sesiones más, celebradas los días 28 de marzo y 4 de abril de 2016.</w:t>
      </w:r>
    </w:p>
    <w:p w14:paraId="7E37BC77" w14:textId="77777777" w:rsidR="009D7677" w:rsidRDefault="009D7677" w:rsidP="009D7677">
      <w:pPr>
        <w:pStyle w:val="TextoNormal"/>
      </w:pPr>
    </w:p>
    <w:p w14:paraId="1392E165" w14:textId="77777777" w:rsidR="009D7677" w:rsidRDefault="009D7677" w:rsidP="009D7677">
      <w:pPr>
        <w:pStyle w:val="TextoNormal"/>
      </w:pPr>
      <w:r>
        <w:t>e) Sentencia dictada por el Juzgado de lo Penal. El día 29 de diciembre de 2016 el juzgado de lo penal dictó sentencia condenando a don Santiago Romero Granados: (i) como autor responsable de tres delitos continuados de abusos sexuales previstos y penados por el art. 181.1 en relación con el art. 74, ambos del Código penal (CP), cometidos sobre doña L.G.A., doña R.C.R. y doña E.S.S., con la concurrencia de la circunstancia atenuante de dilaciones indebidas del art. 21.6 CP, a las penas de dos años y tres meses de prisión por cada uno de ellos; y (ii) como autor responsable de un delito de lesiones del art. 147.1 CP cometido sobre doña L.G.A., concurriendo la circunstancia atenuante de dilaciones indebidas, a la pena de un año de prisión. Se condenó igualmente a don Santiago Romero a abonar las sumas de 50 000 € a doña L.G.A., 30 000 € a doña R.C.R. y 30 000 € a doña E.S.S. por los perjuicios físicos y psíquicos sufridos, así como por los daños morales causados.</w:t>
      </w:r>
    </w:p>
    <w:p w14:paraId="42CE3105" w14:textId="77777777" w:rsidR="009D7677" w:rsidRDefault="009D7677" w:rsidP="009D7677">
      <w:pPr>
        <w:pStyle w:val="TextoNormal"/>
      </w:pPr>
    </w:p>
    <w:p w14:paraId="540530AD" w14:textId="77777777" w:rsidR="009D7677" w:rsidRDefault="009D7677" w:rsidP="009D7677">
      <w:pPr>
        <w:pStyle w:val="TextoNormal"/>
      </w:pPr>
      <w:r>
        <w:t>f) El 31 de marzo de 2017 se dictó, por el mismo Juzgado de lo Penal núm. 2 de Sevilla, auto de complemento de la sentencia en el sentido de añadir al fallo condenatorio la imposición a don Santiago Romero Granados de la pena accesoria de prohibición de aproximarse a las tres perjudicadas, sus domicilios, lugares de trabajo o cualesquiera otros frecuentados por ellas a distancia inferior a 300 metros, o de comunicar con ellas por cualquier medio, directo o indirecto, durante un plazo de cinco años.</w:t>
      </w:r>
    </w:p>
    <w:p w14:paraId="59D864EE" w14:textId="77777777" w:rsidR="009D7677" w:rsidRDefault="009D7677" w:rsidP="009D7677">
      <w:pPr>
        <w:pStyle w:val="TextoNormal"/>
      </w:pPr>
    </w:p>
    <w:p w14:paraId="74781267" w14:textId="77777777" w:rsidR="009D7677" w:rsidRDefault="009D7677" w:rsidP="009D7677">
      <w:pPr>
        <w:pStyle w:val="TextoNormal"/>
      </w:pPr>
      <w:r>
        <w:t>g) El día 20 de diciembre de 2019 la Sección Primera de la Audiencia Provincial de Sevilla dictó sentencia desestimando íntegramente los recursos de apelación formulados por las representaciones procesales de doña L.G.A. y doña E.S.S., estimando parcialmente el recurso formulado por la representación procesal de don Santiago Romero Granados y revocando la resolución recurrida en el sentido de: (i) apreciar en los tres delitos continuados de abusos sexuales la circunstancia atenuante de dilaciones indebidas como muy cualificada, rebajando en dos grados la pena impuesta por estos delitos, que quedaron en un año de prisión por el cometido sobre la persona de doña L.G.A., y diez meses de prisión por cada uno de los cometidos sobre las personas de doña R.C.R. y doña E.S.S.; y (ii) absolver al acusado por el delito de lesiones sobre doña L.G.A. por el que había sido condenado en la sentencia de instancia.</w:t>
      </w:r>
    </w:p>
    <w:p w14:paraId="2F0AE28C" w14:textId="77777777" w:rsidR="009D7677" w:rsidRDefault="009D7677" w:rsidP="009D7677">
      <w:pPr>
        <w:pStyle w:val="TextoNormal"/>
      </w:pPr>
    </w:p>
    <w:p w14:paraId="25B0E3BD" w14:textId="77777777" w:rsidR="009D7677" w:rsidRDefault="009D7677" w:rsidP="009D7677">
      <w:pPr>
        <w:pStyle w:val="TextoNormal"/>
      </w:pPr>
      <w:r>
        <w:t>La absolución por el delito de lesiones psíquicas sobre doña L.G.A. se justificó apelando a la doctrina establecida por el Tribunal Supremo con arreglo a la cual las alteraciones psíquicas ocasionadas a la víctima de una agresión sexual ya han sido tenidas en cuenta por el legislador al tipificar la conducta y asignarle una pena, de suerte que ordinariamente quedan consumidas en el tipo delictivo, salvo supuestos excepcionales en que los resultados psíquicos de la agresión, abuso o acoso sexual adquieran una magnitud desproporcionada a la que puede haber sido tomada en cuenta al penalizar el acto contra la libertad sexual. La audiencia consideró que, siendo la sintomatología que mostraban las tres víctimas compatibles con la situación que relataban haber vivido, no concurrían los requisitos exigidos para penar por separado las lesiones psicológicas sufridas por doña L.G.A. por no constar acreditado que estas alcanzasen una naturaleza autónoma a los episodios de abuso sufridos, sin perjuicio de la indemnización que pudiera corresponderle por las secuelas sufridas como consecuencia del delito continuado de abusos sexuales.</w:t>
      </w:r>
    </w:p>
    <w:p w14:paraId="20F6C41B" w14:textId="77777777" w:rsidR="009D7677" w:rsidRDefault="009D7677" w:rsidP="009D7677">
      <w:pPr>
        <w:pStyle w:val="TextoNormal"/>
      </w:pPr>
    </w:p>
    <w:p w14:paraId="504F4AA2" w14:textId="77777777" w:rsidR="009D7677" w:rsidRDefault="009D7677" w:rsidP="009D7677">
      <w:pPr>
        <w:pStyle w:val="TextoNormal"/>
      </w:pPr>
      <w:r>
        <w:t>La apreciación de la circunstancia atenuante de dilaciones indebidas en grado de muy cualificada se justificó apelando una vez más a la jurisprudencia del Tribunal Supremo relativa a la apreciación de la atenuante del art. 21.6 CP. Con cita de numerosas sentencias del Tribunal Supremo, la sentencia de apelación afirmaba que esta atenuante debía apreciarse en grado de muy cualificada cuando superase objetivamente el concepto de extraordinaria y resultara manifiestamente desmesurada por paralización del proceso durante varios años, o cuando la dilación materialmente extraordinaria viniera acompañada de un plus de perjuicio para el acusado, superior al propio que irroga la intranquilidad o incertidumbre de la espera, como podía ser la generación en el interesado de una conmoción anímica relevante debidamente contrastada, o que durante el periodo de paralización el acusado hubiera estado en situación de prisión provisional u otras similares. Con cita de la STS 360/2014, de 21 de abril, se afirmaba que “para la estimación de esta atenuante como muy cualificada, en las sentencias de casación se suele aplicar […] en las causas que se celebran en un periodo que supera como cifra aproximada los ocho años de demora entre la imputación del acusado y la vista del juicio oral” y se añadía que “el periodo de siete años para un proceso conlleva ínsita, conforme al criterio anterior, la calificación de duración irrazonable, si bien no es tal entidad como para la apreciación de la atenuante como muy cualificada”.</w:t>
      </w:r>
    </w:p>
    <w:p w14:paraId="4B213120" w14:textId="77777777" w:rsidR="009D7677" w:rsidRDefault="009D7677" w:rsidP="009D7677">
      <w:pPr>
        <w:pStyle w:val="TextoNormal"/>
      </w:pPr>
    </w:p>
    <w:p w14:paraId="566D9778" w14:textId="77777777" w:rsidR="009D7677" w:rsidRDefault="009D7677" w:rsidP="009D7677">
      <w:pPr>
        <w:pStyle w:val="TextoNormal"/>
      </w:pPr>
      <w:r>
        <w:t>Partiendo de esta jurisprudencia, la Audiencia resolvió que “aunque es cierto que la complejidad de la causa resulta evidente tan solo a la vista de la extensión de los recursos de apelación formulados […] también lo es que desde la comisión del primer hecho declarado probado a finales de 2006 hasta que se dictó la sentencia impugnada, el 16 de diciembre de 2016, ha transcurrido un plazo superior a ocho años lo que justifica la apreciación de la atenuante de dilaciones extraordinarias como muy cualificada”. Más adelante, al examinar los efectos de dicha estimación en relación con la pena, se argumentó que “la concreta extensión de la pena impuesta […] resulta desproporcionada al concurrir la circunstancia atenuante de dilaciones indebidas que, en este caso, consideramos debe apreciarse como muy cualificada […] no solo en atención al tiempo transcurrido desde la comisión del primer episodio en el año 2006, sino porque la denuncia fue interpuesta dos años después aproximadamente de la comisión del último hecho imputado al recurrente y constan paralizaciones relevantes en la tramitación de esta causa no provocadas por la actuación del acusado”.</w:t>
      </w:r>
    </w:p>
    <w:p w14:paraId="762207BE" w14:textId="77777777" w:rsidR="009D7677" w:rsidRDefault="009D7677" w:rsidP="009D7677">
      <w:pPr>
        <w:pStyle w:val="TextoNormal"/>
      </w:pPr>
    </w:p>
    <w:p w14:paraId="666250BD" w14:textId="77777777" w:rsidR="009D7677" w:rsidRDefault="009D7677" w:rsidP="009D7677">
      <w:pPr>
        <w:pStyle w:val="TextoNormal"/>
      </w:pPr>
      <w:r>
        <w:t>h) Inadmisión del incidente de nulidad de actuaciones. El 28 de enero de 2020 se promovió por la representación procesal de doña L.G.A. incidente de nulidad de actuaciones contra la sentencia dictada por la audiencia provincial por vulneración de derechos fundamentales. Por auto de 5 de mayo de 2020 la Sección Primera de la Audiencia Provincial de Sevilla acordó no admitir a trámite el incidente de nulidad de actuaciones. Se afirmaba que los argumentos invocados en el escrito promoviendo el incidente eran sustancialmente iguales a los ya recogidos en el recurso de apelación, con la única salvedad de la “insuficiente aplicación del enfoque de género”, y que el carácter excepcional del incidente de nulidad de actuaciones expulsaba de su ámbito las discrepancias con la fundamentación jurídica de la resolución impugnada, discrepancias que en este caso se hicieron valer en el recurso de apelación y no fueron acogidas por las razones expuestas en la fundamentación jurídica de la propia sentencia, a la que se remitía expresamente.</w:t>
      </w:r>
    </w:p>
    <w:p w14:paraId="424D3917" w14:textId="77777777" w:rsidR="009D7677" w:rsidRDefault="009D7677" w:rsidP="009D7677">
      <w:pPr>
        <w:pStyle w:val="TextoNormal"/>
      </w:pPr>
    </w:p>
    <w:p w14:paraId="5E1D4850" w14:textId="77777777" w:rsidR="009D7677" w:rsidRDefault="009D7677" w:rsidP="009D7677">
      <w:pPr>
        <w:pStyle w:val="TextoNormal"/>
      </w:pPr>
      <w:r>
        <w:lastRenderedPageBreak/>
        <w:t>i) Devueltas las actuaciones al Juzgado de lo Penal núm. 2 de Sevilla, este acordó, por auto de 22 de junio de 2020, conceder a don Santiago Romero Granados la suspensión excepcional de las penas impuestas pese a que su suma excediera de los dos años de prisión, al amparo del art. 80.3 CP y teniendo en cuenta que carecía de antecedentes penales, su situación médica (aquejado de una grave enfermedad), su esfuerzo para reparar el daño y la “razonable previsión” de que la ejecución de la pena en sus propios términos no habría de ser necesaria para evitar la comisión futura de nuevos delitos. La suspensión se concedió por plazo de tres años y se condicionó a que el beneficiario no delinquiera durante dicho plazo, pagase una multa de dieciséis meses con cuota diaria de cinco euros (2400 €) y participase en programas formativos de educación sexual y otros similares que se fijasen por el servicio de gestión de penas y medidas alternativas.</w:t>
      </w:r>
    </w:p>
    <w:p w14:paraId="5ECE0DB3" w14:textId="77777777" w:rsidR="009D7677" w:rsidRDefault="009D7677" w:rsidP="009D7677">
      <w:pPr>
        <w:pStyle w:val="TextoNormal"/>
      </w:pPr>
    </w:p>
    <w:p w14:paraId="093BE9AF" w14:textId="5CC1ABCC" w:rsidR="009D7677" w:rsidRDefault="009D7677" w:rsidP="009D7677">
      <w:pPr>
        <w:pStyle w:val="TextoNormal"/>
      </w:pPr>
      <w:r>
        <w:t>j) El 10 de enero de 2023 la letrada de la administración de justicia del Juzgado de lo Penal núm. 2 de Sevilla emitió certificación dando fe de que en la ejecutoria 74-2020, derivada de la sentencia dictada en el procedimiento abreviado 276-2015, la multa a cuyo pago se condicionó la suspensión de las penas de prisión había sido abonada en su totalidad, así como las indemnizaciones y las costas, los cursos formativos de educación sexual habían sido finalizados el 5 de septiembre de 2022 y la pena de prisión suspendida quedaría remitida definitivamente el 21 de julio de 2023, salvo acuerdo de revocación de la misma, que no consta se haya adoptado.</w:t>
      </w:r>
    </w:p>
    <w:p w14:paraId="4F6F663A" w14:textId="77777777" w:rsidR="009D7677" w:rsidRDefault="009D7677" w:rsidP="009D7677">
      <w:pPr>
        <w:pStyle w:val="TextoNormal"/>
      </w:pPr>
    </w:p>
    <w:p w14:paraId="65C8BC2F" w14:textId="77777777" w:rsidR="009D7677" w:rsidRDefault="009D7677" w:rsidP="009D7677">
      <w:pPr>
        <w:pStyle w:val="TextoNormal"/>
      </w:pPr>
      <w:r w:rsidRPr="009D7677">
        <w:rPr>
          <w:rStyle w:val="NumeroAFNegritaCaracter"/>
        </w:rPr>
        <w:t>3</w:t>
      </w:r>
      <w:r>
        <w:t>. Demanda de amparo. La recurrente invoca la vulneración de los derechos fundamentales a la tutela judicial efectiva (art. 24 CE) y a la igualdad y no discriminación (art. 14 CE), en relación ambos con el art. 9.2 CE y con los derechos a la integridad física y moral (art. 15 CE); así como la vulneración de los arts. 3 (prohibición de trato degradante), 6 (derechos a un proceso equitativo), 13 (derecho al recurso), 14 y 1 del Protocolo 12 (prohibición de discriminación), todos ellos del Convenio europeo de derechos humanos (CEDH), de los arts. 5 y 6 del Convenio del Consejo de Europa sobre la prevención y lucha contra la violencia contra la mujer y la violencia doméstica, hecho en Estambul el 11 de mayo de 2011 (en adelante Convenio de Estambul) y de los arts. 1 y 2 de la Convención de Naciones Unidas sobre la eliminación de todas las formas de discriminación contra la mujer (en adelante CEDAW).</w:t>
      </w:r>
    </w:p>
    <w:p w14:paraId="4C5AB11C" w14:textId="77777777" w:rsidR="009D7677" w:rsidRDefault="009D7677" w:rsidP="009D7677">
      <w:pPr>
        <w:pStyle w:val="TextoNormal"/>
      </w:pPr>
    </w:p>
    <w:p w14:paraId="4C5CEBD1" w14:textId="77777777" w:rsidR="009D7677" w:rsidRDefault="009D7677" w:rsidP="009D7677">
      <w:pPr>
        <w:pStyle w:val="TextoNormal"/>
      </w:pPr>
      <w:r>
        <w:t>Distingue la demanda entre la sentencia dictada por la audiencia provincial en apelación y el auto que inadmitió el incidente excepcional de nulidad de actuaciones.</w:t>
      </w:r>
    </w:p>
    <w:p w14:paraId="6DEE3D25" w14:textId="77777777" w:rsidR="009D7677" w:rsidRDefault="009D7677" w:rsidP="009D7677">
      <w:pPr>
        <w:pStyle w:val="TextoNormal"/>
      </w:pPr>
    </w:p>
    <w:p w14:paraId="6744B391" w14:textId="77777777" w:rsidR="009D7677" w:rsidRDefault="009D7677" w:rsidP="009D7677">
      <w:pPr>
        <w:pStyle w:val="TextoNormal"/>
      </w:pPr>
      <w:r>
        <w:t>Comenzando por la sentencia dictada en apelación el 20 de diciembre de 2019, la demandante de amparo centra las vulneraciones de derechos fundamentales atribuidas a esta en dos aspectos concretos:</w:t>
      </w:r>
    </w:p>
    <w:p w14:paraId="7501AEA1" w14:textId="77777777" w:rsidR="009D7677" w:rsidRDefault="009D7677" w:rsidP="009D7677">
      <w:pPr>
        <w:pStyle w:val="TextoNormal"/>
      </w:pPr>
    </w:p>
    <w:p w14:paraId="69A29C0E" w14:textId="77777777" w:rsidR="009D7677" w:rsidRDefault="009D7677" w:rsidP="009D7677">
      <w:pPr>
        <w:pStyle w:val="TextoNormal"/>
      </w:pPr>
      <w:r>
        <w:t xml:space="preserve">(i) La demanda considera que la absolución del señor Romero Granados por el delito de lesiones del art. 147 CP, por el que se le había impuesto una condena de un año de prisión en la instancia, vulnera el derecho a la integridad física y moral de la demandante (art. 15 CE), así como el derecho a la tutela judicial efectiva (art. 24 CE), y genera una discriminación indirecta prohibida por los arts. 9 y 14 CE. La motivación de la sentencia de apelación para justificar el pronunciamiento absolutorio, centrada en el argumento de que las lesiones sufridas por doña L.G.A. no alcanzan la categoría necesaria para ser penadas de manera autónoma, resulta irrazonable y no llena las exigencias de motivación derivadas </w:t>
      </w:r>
      <w:r>
        <w:lastRenderedPageBreak/>
        <w:t>del art. 24.1 CE en conexión con el derecho a la integridad física y moral (art.15 CE) de la demandante. Se aduce además que es imposible que el legislador haya incorporado al tipo de abuso sexual el enorme daño causado en la salud de doña L.G.A. La conducta del acusado tuvo una larga duración en el tiempo y trajo consigo un deterioro progresivo de la salud física y emocional de la demandante, hasta llegar a desembocar en consecuencias muy graves como ideaciones suicidas, desórdenes alimentarios o severas somatizaciones. Considerar que tan graves consecuencias se encuentran dentro del desvalor castigado con el delito de abusos sexuales constituye un error, resulta irrazonable dadas las circunstancias del caso concreto y es contrario a la jurisprudencia de la Sala Segunda del Tribunal Supremo, que sí establece que lesiones de tal entidad deben penarse de forma autónoma (STS 13/2019, de 17 de enero).</w:t>
      </w:r>
    </w:p>
    <w:p w14:paraId="0E03067E" w14:textId="77777777" w:rsidR="009D7677" w:rsidRDefault="009D7677" w:rsidP="009D7677">
      <w:pPr>
        <w:pStyle w:val="TextoNormal"/>
      </w:pPr>
    </w:p>
    <w:p w14:paraId="46BFA62A" w14:textId="77777777" w:rsidR="009D7677" w:rsidRDefault="009D7677" w:rsidP="009D7677">
      <w:pPr>
        <w:pStyle w:val="TextoNormal"/>
      </w:pPr>
      <w:r>
        <w:t>(ii) En cuanto a la aplicación de la atenuante de dilaciones indebidas en grado de muy cualificada, se denuncia, en primer término, que la sentencia de apelación es incoherente y contraria a la jurisprudencia del Tribunal Supremo en cuanto a la fijación de la fecha en que debe comenzar a computarse el tiempo para la apreciación de la atenuante. La sentencia toma la fecha del primero de los hechos cometidos por el condenado como fecha de inicio del cómputo del tiempo de tramitación de la causa a efectos de determinar la aplicabilidad de la atenuante, lo que, además de incoherente y contrario a la jurisprudencia del Tribunal Supremo, ignora el principio de igualdad entre hombres y mujeres y el enfoque de género, vulnerando los arts. 14 y 9 CE, y resulta discriminatorio para las mujeres, a las que exige una conducta heroica (denunciar desde la primera conducta de abuso sufrida), dejando de lado todo lo que se conoce actualmente sobre la dificultad de denunciar conductas de acoso y abuso sexual, y, en particular, las dificultades que sufrieron las víctimas en este caso para poder denunciar al hombre que ostentaba mayor poder en la facultad.</w:t>
      </w:r>
    </w:p>
    <w:p w14:paraId="2F19BA45" w14:textId="77777777" w:rsidR="009D7677" w:rsidRDefault="009D7677" w:rsidP="009D7677">
      <w:pPr>
        <w:pStyle w:val="TextoNormal"/>
      </w:pPr>
    </w:p>
    <w:p w14:paraId="2140B90E" w14:textId="77777777" w:rsidR="009D7677" w:rsidRDefault="009D7677" w:rsidP="009D7677">
      <w:pPr>
        <w:pStyle w:val="TextoNormal"/>
      </w:pPr>
      <w:r>
        <w:t>Se alega que la sentencia también se aparta, en perjuicio de las víctimas y sin dar razonamiento alguno, de la jurisprudencia del Tribunal Supremo que ella misma cita en cuanto a la duración exigida para que el retraso pueda dar lugar la aplicación de la atenuante en grado de muy cualificada —ocho años—. Así, el plazo total de duración del procedimiento, desde su incoación hasta el dictado de sentencia en primera instancia, fue de tan solo cinco años y once meses, no de más de ocho años como erróneamente se afirma en la sentencia de apelación.</w:t>
      </w:r>
    </w:p>
    <w:p w14:paraId="1080BCD6" w14:textId="77777777" w:rsidR="009D7677" w:rsidRDefault="009D7677" w:rsidP="009D7677">
      <w:pPr>
        <w:pStyle w:val="TextoNormal"/>
      </w:pPr>
    </w:p>
    <w:p w14:paraId="51240288" w14:textId="77777777" w:rsidR="009D7677" w:rsidRDefault="009D7677" w:rsidP="009D7677">
      <w:pPr>
        <w:pStyle w:val="TextoNormal"/>
      </w:pPr>
      <w:r>
        <w:t>Se argumenta, finalmente, que en el caso de autos no se daba la situación que el legislador pretende reparar con la atenuante de dilaciones indebidas, a saber, compensar al condenado que ha padecido perjuicios extraordinarios con ocasión del retraso en el procedimiento y que, durante su tramitación, se ha rehabilitado. Se afirma que la sentencia no tiene en cuenta que durante la tramitación de la causa el señor Romero Granados no estuvo sujeto a medida cautelar de ninguna clase, disfrutó de su puesto en la universidad con remuneración completa y pleno apoyo de su grupo de afines, mantuvo su posición de poder, y alcanzó una edad próxima a la jubilación, que, además, le favorecía a efectos de solicitar la suspensión de la condena o beneficios penitenciarios. Además, la sentencia pasa por alto la conducta procesal del condenado que, en todo momento, dentro y fuera del proceso, ha venido manteniendo —incluso de forma pública a través de un blog— que la culpa era de las víctimas, que habían organizado un complot contra él, no mostrando signo alguno de arrepentimiento por lo ocurrido.</w:t>
      </w:r>
    </w:p>
    <w:p w14:paraId="316D383C" w14:textId="77777777" w:rsidR="009D7677" w:rsidRDefault="009D7677" w:rsidP="009D7677">
      <w:pPr>
        <w:pStyle w:val="TextoNormal"/>
      </w:pPr>
    </w:p>
    <w:p w14:paraId="294A7683" w14:textId="77777777" w:rsidR="009D7677" w:rsidRDefault="009D7677" w:rsidP="009D7677">
      <w:pPr>
        <w:pStyle w:val="TextoNormal"/>
      </w:pPr>
      <w:r>
        <w:lastRenderedPageBreak/>
        <w:t>La demanda solicita, como petición principal que se dejen sin efecto tanto la sentencia de la Sección Primera de la Audiencia Provincial de Sevilla, de 20 de diciembre de 2019, en lo referente a la reducción de la pena llevada a cabo mediante la aplicación de la atenuante de dilaciones indebidas en grado de muy cualificada, y en lo referente a la no aplicación del delito de lesiones, como el auto de inadmisión del incidente de nulidad de actuaciones, de 5 de mayo de 2020, restableciéndose a la condena inicial fijada por la sentencia del juzgado de lo penal, o acordando, en su defecto, una reducción de la pena inferior a la practicada por la audiencia provincial.</w:t>
      </w:r>
    </w:p>
    <w:p w14:paraId="343F9F79" w14:textId="77777777" w:rsidR="009D7677" w:rsidRDefault="009D7677" w:rsidP="009D7677">
      <w:pPr>
        <w:pStyle w:val="TextoNormal"/>
      </w:pPr>
    </w:p>
    <w:p w14:paraId="5A7ABD5E" w14:textId="2DB20D88" w:rsidR="009D7677" w:rsidRDefault="009D7677" w:rsidP="009D7677">
      <w:pPr>
        <w:pStyle w:val="TextoNormal"/>
      </w:pPr>
      <w:r>
        <w:t>Con carácter subsidiario solicitó que se declarase que el auto de 5 de mayo de 2020 —por el que acordó no admitir a trámite el incidente excepcional de nulidad de actuaciones— vulneró el derecho de la demandante al recurso (arts. 24.1 CE y 13 CEDH); y, como medio indispensable para restablecerlo, acuerde la nulidad de dicho auto con retroacción de actuaciones para que se dicte nueva resolución judicial respetuosa con los derechos fundamentales de la demandante de amparo.</w:t>
      </w:r>
    </w:p>
    <w:p w14:paraId="6CE83FB4" w14:textId="77777777" w:rsidR="009D7677" w:rsidRDefault="009D7677" w:rsidP="009D7677">
      <w:pPr>
        <w:pStyle w:val="TextoNormal"/>
      </w:pPr>
    </w:p>
    <w:p w14:paraId="01727AFE" w14:textId="77777777" w:rsidR="009D7677" w:rsidRDefault="009D7677" w:rsidP="009D7677">
      <w:pPr>
        <w:pStyle w:val="TextoNormal"/>
      </w:pPr>
      <w:r w:rsidRPr="009D7677">
        <w:rPr>
          <w:rStyle w:val="NumeroAFNegritaCaracter"/>
        </w:rPr>
        <w:t>4</w:t>
      </w:r>
      <w:r>
        <w:t>. El 24 de enero de 2022 la Sala Primera del Tribunal Constitucional dictó providencia en la que acordó admitir a trámite el recurso de amparo, apreciando que revestía especial trascendencia constitucional; y ello porque podía dar ocasión al Tribunal para aclarar o cambiar su doctrina, como consecuencia de un proceso de reflexión interna o de cambios normativos relevantes para la configuración del contenido del derecho fundamental [STC 155/2009, de 25 de junio, FJ 2 b)].</w:t>
      </w:r>
    </w:p>
    <w:p w14:paraId="3485A125" w14:textId="77777777" w:rsidR="009D7677" w:rsidRDefault="009D7677" w:rsidP="009D7677">
      <w:pPr>
        <w:pStyle w:val="TextoNormal"/>
      </w:pPr>
    </w:p>
    <w:p w14:paraId="5D6DD3BA" w14:textId="3BA666E7" w:rsidR="009D7677" w:rsidRDefault="009D7677" w:rsidP="009D7677">
      <w:pPr>
        <w:pStyle w:val="TextoNormal"/>
      </w:pPr>
      <w:r>
        <w:t>En la misma providencia se acordó requerir a la Sección Primera de la Audiencia Provincial de Sevilla para que, en plazo máximo de diez días, remitiera el testimonio de las actuaciones correspondientes al recurso de apelación 6949-2017; y al Juzgado de lo Penal núm. 2 de Sevilla para que, en el mismo plazo, remitiera testimonio íntegro del procedimiento abreviado 276-2015 y emplazase a quienes hubieran sido parte en dicho procedimiento, con excepción de la demandante de amparo, para que pudiesen comparecer en el plazo de diez días en este proceso de amparo. Al requerimiento inicial efectuado al juzgado de lo penal siguieron recordatorios sucesivos emitidos por este tribunal en abril, mayo, junio, julio y septiembre de 2022, no siendo recibidas dichas actuaciones hasta el día 4 de octubre del mismo año.</w:t>
      </w:r>
    </w:p>
    <w:p w14:paraId="4E57088C" w14:textId="77777777" w:rsidR="009D7677" w:rsidRDefault="009D7677" w:rsidP="009D7677">
      <w:pPr>
        <w:pStyle w:val="TextoNormal"/>
      </w:pPr>
    </w:p>
    <w:p w14:paraId="37BC69FA" w14:textId="18E95243" w:rsidR="009D7677" w:rsidRDefault="009D7677" w:rsidP="009D7677">
      <w:pPr>
        <w:pStyle w:val="TextoNormal"/>
      </w:pPr>
      <w:r w:rsidRPr="009D7677">
        <w:rPr>
          <w:rStyle w:val="NumeroAFNegritaCaracter"/>
        </w:rPr>
        <w:t>5</w:t>
      </w:r>
      <w:r>
        <w:t>. Mediante escrito presentado ante este tribunal el 21 de junio de 2022, don Santiago Romero Granados compareció en el proceso de amparo, representado por el procurador don Manuel Martín Navarro y defendido por el letrado don Jorge Piñero Gálvez, y solicitó: (i) que se le tuviera por personado y parte en dicho proceso; (ii) que se acordase la admisión a trámite de la demanda de amparo por él formulada contra la misma sentencia dictada en apelación por la Sección Primera de la Audiencia Provincial de Sevilla, registrada como recurso de amparo núm. 941-2020, y que fue inadmitida a trámite mediante providencia de la Sección Tercera de este Tribunal Constitucional de 13 de octubre de 2020; y (iii) que se procediera a la acumulación de dicha demanda al recurso de amparo incoado en virtud de la demanda formulada doña L.G.A.</w:t>
      </w:r>
    </w:p>
    <w:p w14:paraId="54518AE7" w14:textId="77777777" w:rsidR="009D7677" w:rsidRDefault="009D7677" w:rsidP="009D7677">
      <w:pPr>
        <w:pStyle w:val="TextoNormal"/>
      </w:pPr>
    </w:p>
    <w:p w14:paraId="65EDA2A5" w14:textId="32AB4649" w:rsidR="009D7677" w:rsidRDefault="009D7677" w:rsidP="009D7677">
      <w:pPr>
        <w:pStyle w:val="TextoNormal"/>
      </w:pPr>
      <w:r w:rsidRPr="009D7677">
        <w:rPr>
          <w:rStyle w:val="NumeroAFNegritaCaracter"/>
        </w:rPr>
        <w:t>6</w:t>
      </w:r>
      <w:r>
        <w:t>. Por diligencia de ordenación de 4 de octubre de 2022 la Sala Primera del Tribunal tuvo por personado y parte al procurador don Manuel Martín Navarro, en nombre y repre</w:t>
      </w:r>
      <w:r>
        <w:lastRenderedPageBreak/>
        <w:t>sentación del señor Romero Granados, y acordó, al amparo de lo dispuesto en el art. 52 de la Ley Orgánica del Tribunal Constitucional, conceder a la recurrente en amparo, a la parte personada y al Ministerio Fiscal el plazo común de veinte días para formular alegaciones al recurso de amparo formulado por la representación procesal de doña L.G.A.</w:t>
      </w:r>
    </w:p>
    <w:p w14:paraId="70EE4710" w14:textId="77777777" w:rsidR="009D7677" w:rsidRDefault="009D7677" w:rsidP="009D7677">
      <w:pPr>
        <w:pStyle w:val="TextoNormal"/>
      </w:pPr>
    </w:p>
    <w:p w14:paraId="474A3833" w14:textId="09D8C8F5" w:rsidR="009D7677" w:rsidRDefault="009D7677" w:rsidP="009D7677">
      <w:pPr>
        <w:pStyle w:val="TextoNormal"/>
      </w:pPr>
      <w:r w:rsidRPr="009D7677">
        <w:rPr>
          <w:rStyle w:val="NumeroAFNegritaCaracter"/>
        </w:rPr>
        <w:t>7</w:t>
      </w:r>
      <w:r>
        <w:t>. Mediante diligencia de ordenación de 17 de noviembre de 2022 se concedió a las partes el plazo común de diez días para formular alegaciones en relación con la petición, formulada por el procurador señor Martín Navarro, de admisión a trámite del recurso de amparo núm. 941-2020 y su acumulación a la demanda formulada por la representación procesal de doña L.G.A. Presentadas alegaciones por todas las partes, la petición fue rechazada mediante providencia de 12 de diciembre de 2023.</w:t>
      </w:r>
    </w:p>
    <w:p w14:paraId="53A58815" w14:textId="77777777" w:rsidR="009D7677" w:rsidRDefault="009D7677" w:rsidP="009D7677">
      <w:pPr>
        <w:pStyle w:val="TextoNormal"/>
      </w:pPr>
    </w:p>
    <w:p w14:paraId="616EA715" w14:textId="77777777" w:rsidR="009D7677" w:rsidRDefault="009D7677" w:rsidP="009D7677">
      <w:pPr>
        <w:pStyle w:val="TextoNormal"/>
      </w:pPr>
      <w:r w:rsidRPr="009D7677">
        <w:rPr>
          <w:rStyle w:val="NumeroAFNegritaCaracter"/>
        </w:rPr>
        <w:t>8</w:t>
      </w:r>
      <w:r>
        <w:t>. Alegaciones de don Santiago Romero Granados. El 7 de noviembre de 2022 la representación procesal del señor Romero Granados presentó su escrito de alegaciones en el que se oponía a la estimación del recurso de amparo por las siguientes razones:</w:t>
      </w:r>
    </w:p>
    <w:p w14:paraId="1AA9A71F" w14:textId="77777777" w:rsidR="009D7677" w:rsidRDefault="009D7677" w:rsidP="009D7677">
      <w:pPr>
        <w:pStyle w:val="TextoNormal"/>
      </w:pPr>
    </w:p>
    <w:p w14:paraId="1DA54F11" w14:textId="77777777" w:rsidR="009D7677" w:rsidRDefault="009D7677" w:rsidP="009D7677">
      <w:pPr>
        <w:pStyle w:val="TextoNormal"/>
      </w:pPr>
      <w:r>
        <w:t>(i) El derecho a la tutela judicial efectiva que consagra el art. 24.1 CE no puede amparar un supuesto derecho constitucional del perjudicado a obtener la condena por un delito del que el acusado en el proceso penal había sido absuelto, o la imposición de una pena más grave a la aplicada; salvo en los supuestos absolutamente excepcionales de que los pronunciamientos impugnados hayan incurrido en verdadera arbitrariedad, es decir, en una total y absoluta irracionalidad e incompatibilidad con los más elementales principios de la lógica y el criterio humano, lo que no sucede en este caso.</w:t>
      </w:r>
    </w:p>
    <w:p w14:paraId="7880874F" w14:textId="77777777" w:rsidR="009D7677" w:rsidRDefault="009D7677" w:rsidP="009D7677">
      <w:pPr>
        <w:pStyle w:val="TextoNormal"/>
      </w:pPr>
    </w:p>
    <w:p w14:paraId="001B90B6" w14:textId="77777777" w:rsidR="009D7677" w:rsidRDefault="009D7677" w:rsidP="009D7677">
      <w:pPr>
        <w:pStyle w:val="TextoNormal"/>
      </w:pPr>
      <w:r>
        <w:t>(ii) La absolución por el delito de lesiones es el resultado de la valoración probatoria realizada por el tribunal de apelación, y no puede ser corregida en el ámbito del recurso de amparo, aun en el caso de que se estime que se ha producido algún error de interpretación fáctico —en la valoración de la prueba—, o jurídico —en la interpretación del tipo penal—, a menos que resulte contrario a toda lógica e incurra en verdadera arbitrariedad, nada de lo cual acontece en este caso.</w:t>
      </w:r>
    </w:p>
    <w:p w14:paraId="484DC9FA" w14:textId="77777777" w:rsidR="009D7677" w:rsidRDefault="009D7677" w:rsidP="009D7677">
      <w:pPr>
        <w:pStyle w:val="TextoNormal"/>
      </w:pPr>
    </w:p>
    <w:p w14:paraId="5870DCFD" w14:textId="77777777" w:rsidR="009D7677" w:rsidRDefault="009D7677" w:rsidP="009D7677">
      <w:pPr>
        <w:pStyle w:val="TextoNormal"/>
      </w:pPr>
      <w:r>
        <w:t>(iii) La aplicación de la atenuante de dilaciones indebidas en grado de muy cualificada es, asimismo, una cuestión de estricta legalidad ordinaria referida a la valoración de la prueba y a la interpretación de la norma penal; de modo que, aunque se hubiera podido producir algún error en tales operaciones no podría justificarse una intervención del Tribunal Constitucional para corregirlos. De cualquier modo, ningún error o irregularidad existe en este caso en la aplicación de la atenuante.</w:t>
      </w:r>
    </w:p>
    <w:p w14:paraId="6BCBF379" w14:textId="77777777" w:rsidR="009D7677" w:rsidRDefault="009D7677" w:rsidP="009D7677">
      <w:pPr>
        <w:pStyle w:val="TextoNormal"/>
      </w:pPr>
    </w:p>
    <w:p w14:paraId="63B1C831" w14:textId="77777777" w:rsidR="009D7677" w:rsidRDefault="009D7677" w:rsidP="009D7677">
      <w:pPr>
        <w:pStyle w:val="TextoNormal"/>
      </w:pPr>
      <w:r>
        <w:t>(iv) Pese a que la demanda de amparo justifica en gran medida las vulneraciones constitucionales que invoca en la ausencia de perspectiva de género de la resolución impugnada, no existe ni una norma, ni jurisprudencia del Tribunal Supremo o del Tribunal Constitucional que indiquen en qué consiste la aplicación de la referida perspectiva de género, lo que conduce a una incertidumbre que dificulta notablemente su incorporación por los órganos judiciales. Ante tal incertidumbre, no tiene sentido esgrimir la ausencia de perspectiva de género como fundamento de todo el recurso de amparo por cuanto no cabe reprochar al tribunal sentenciador el haber prescindido de ella.</w:t>
      </w:r>
    </w:p>
    <w:p w14:paraId="347466E9" w14:textId="77777777" w:rsidR="009D7677" w:rsidRDefault="009D7677" w:rsidP="009D7677">
      <w:pPr>
        <w:pStyle w:val="TextoNormal"/>
      </w:pPr>
    </w:p>
    <w:p w14:paraId="542DF727" w14:textId="77777777" w:rsidR="009D7677" w:rsidRDefault="009D7677" w:rsidP="009D7677">
      <w:pPr>
        <w:pStyle w:val="TextoNormal"/>
      </w:pPr>
      <w:r>
        <w:lastRenderedPageBreak/>
        <w:t>(v) La sentencia impugnada ha sido ya completamente ejecutada en todos sus aspectos, lo que constituye un obstáculo insalvable a la estimación de las peticiones deducidas en la demanda de amparo.</w:t>
      </w:r>
    </w:p>
    <w:p w14:paraId="0B16F07A" w14:textId="77777777" w:rsidR="009D7677" w:rsidRDefault="009D7677" w:rsidP="009D7677">
      <w:pPr>
        <w:pStyle w:val="TextoNormal"/>
      </w:pPr>
    </w:p>
    <w:p w14:paraId="2D27B5BD" w14:textId="40E450AA" w:rsidR="009D7677" w:rsidRDefault="009D7677" w:rsidP="009D7677">
      <w:pPr>
        <w:pStyle w:val="TextoNormal"/>
      </w:pPr>
      <w:r>
        <w:t>(vi) La impugnación subsidiaria del auto de inadmisión del incidente excepcional de nulidad de actuaciones, dictado el 5 de mayo de 2020, es irrelevante y carece de sentido desde el momento en que el recurso de amparo contra la sentencia ha sido admitido a trámite, de suerte que su desestimación habrá de impedir que se reactive dicho incidente.</w:t>
      </w:r>
    </w:p>
    <w:p w14:paraId="5CD231E6" w14:textId="77777777" w:rsidR="009D7677" w:rsidRDefault="009D7677" w:rsidP="009D7677">
      <w:pPr>
        <w:pStyle w:val="TextoNormal"/>
      </w:pPr>
    </w:p>
    <w:p w14:paraId="23FD0706" w14:textId="3D0331C5" w:rsidR="009D7677" w:rsidRDefault="009D7677" w:rsidP="009D7677">
      <w:pPr>
        <w:pStyle w:val="TextoNormal"/>
      </w:pPr>
      <w:r w:rsidRPr="009D7677">
        <w:rPr>
          <w:rStyle w:val="NumeroAFNegritaCaracter"/>
        </w:rPr>
        <w:t>9</w:t>
      </w:r>
      <w:r>
        <w:t>. Alegaciones de doña L.G.A. El 19 de diciembre de 2022 la representación procesal de doña L.G.A. presentó su escrito de alegaciones al recurso en que se ratificaron y reiteraron, en esencia, todas las contenidas en su escrito inicial de demanda.</w:t>
      </w:r>
    </w:p>
    <w:p w14:paraId="12D6BFA6" w14:textId="77777777" w:rsidR="009D7677" w:rsidRDefault="009D7677" w:rsidP="009D7677">
      <w:pPr>
        <w:pStyle w:val="TextoNormal"/>
      </w:pPr>
    </w:p>
    <w:p w14:paraId="52E3C1E7" w14:textId="77777777" w:rsidR="009D7677" w:rsidRDefault="009D7677" w:rsidP="009D7677">
      <w:pPr>
        <w:pStyle w:val="TextoNormal"/>
      </w:pPr>
      <w:r w:rsidRPr="009D7677">
        <w:rPr>
          <w:rStyle w:val="NumeroAFNegritaCaracter"/>
        </w:rPr>
        <w:t>10</w:t>
      </w:r>
      <w:r>
        <w:t>. Alegaciones del Ministerio Fiscal. El 16 de noviembre de 2022 el fiscal ante el Tribunal Constitucional presentó su escrito de alegaciones al recurso. Comienza realizando una detallada síntesis de los hechos relevantes para la resolución del recurso y de las pretensiones contenidas en la demanda. Seguidamente recoge un estudio detallado sobre el concepto de perspectiva de género, su evolución histórica, su incorporación a los textos legales, tanto internacionales como internos, su encaje constitucional a partir de los artículos 1.1, 9.2 y 14 CE, y su aplicación por los órganos judiciales y por este mismo Tribunal Constitucional. Efectúa asimismo un resumen de la doctrina de este tribunal en relación con las exigencias de motivación de las resoluciones judiciales como parte del contenido del derecho fundamental a la tutela judicial efectiva (art. 24.1 CE).</w:t>
      </w:r>
    </w:p>
    <w:p w14:paraId="42A36E27" w14:textId="77777777" w:rsidR="009D7677" w:rsidRDefault="009D7677" w:rsidP="009D7677">
      <w:pPr>
        <w:pStyle w:val="TextoNormal"/>
      </w:pPr>
    </w:p>
    <w:p w14:paraId="4612AC25" w14:textId="77777777" w:rsidR="009D7677" w:rsidRDefault="009D7677" w:rsidP="009D7677">
      <w:pPr>
        <w:pStyle w:val="TextoNormal"/>
      </w:pPr>
      <w:r>
        <w:t>Partiendo de ello aborda el análisis de las quejas contenidas en la demanda de amparo para concluir que:</w:t>
      </w:r>
    </w:p>
    <w:p w14:paraId="4E74ACCD" w14:textId="77777777" w:rsidR="009D7677" w:rsidRDefault="009D7677" w:rsidP="009D7677">
      <w:pPr>
        <w:pStyle w:val="TextoNormal"/>
      </w:pPr>
    </w:p>
    <w:p w14:paraId="56027AA9" w14:textId="77777777" w:rsidR="009D7677" w:rsidRDefault="009D7677" w:rsidP="009D7677">
      <w:pPr>
        <w:pStyle w:val="TextoNormal"/>
      </w:pPr>
      <w:r>
        <w:t>(i) La absolución del señor Romero Granados del delito de lesiones por el que fue condenado en la instancia resulta irrazonable si se considera la duración de los padecimientos psíquicos sufridos por la hoy recurrente (determinada por el relato de hechos probados de la sentencia de instancia asumidos íntegramente por la sala de apelación). No parece factible en modo alguno entender que unas lesiones psíquicas tan prolongadas en el tiempo (desde finales de 2006 hasta el dictado de la sentencia de instancia a finales de 2016) pudieran ser subsumidas en el delito continuado de abusos sexuales en lugar de ser integradas, autónomamente, en el delito de lesiones del art. 147.1 CP. La operación jurídica desarrollada por la sala de apelación careció de toda lógica y prescindió de la obligación establecida por el art. 4 de la Ley Orgánica para la igualdad efectiva de mujeres y hombres (LOIMH) de integrar la igualdad de trato y oportunidades entre mujeres y hombres en la interpretación y aplicación de las normas jurídicas.</w:t>
      </w:r>
    </w:p>
    <w:p w14:paraId="0504CE34" w14:textId="77777777" w:rsidR="009D7677" w:rsidRDefault="009D7677" w:rsidP="009D7677">
      <w:pPr>
        <w:pStyle w:val="TextoNormal"/>
      </w:pPr>
    </w:p>
    <w:p w14:paraId="5700FA33" w14:textId="77777777" w:rsidR="009D7677" w:rsidRDefault="009D7677" w:rsidP="009D7677">
      <w:pPr>
        <w:pStyle w:val="TextoNormal"/>
      </w:pPr>
      <w:r>
        <w:t>(ii) En cuanto a la aplicación de la circunstancia atenuante de dilaciones indebidas como muy cualificada, la Fiscalía afirma que la sentencia de apelación situó el momento inicial del cómputo del plazo de las dilaciones indebidas en la fecha de comisión del primer hecho probado —esto es, en un momento muy anterior a la iniciación del procedimiento judicial— lo que carece de toda lógica y resulta tan absolutamente desacertado que solo permite pensar en la presencia de una inequívoca voluntad de beneficiar al acusado-varón y minimizar la consecuencia penológica que habría de sufrir por el delito continuado de abusos sexuales.</w:t>
      </w:r>
    </w:p>
    <w:p w14:paraId="0EB3087E" w14:textId="77777777" w:rsidR="009D7677" w:rsidRDefault="009D7677" w:rsidP="009D7677">
      <w:pPr>
        <w:pStyle w:val="TextoNormal"/>
      </w:pPr>
    </w:p>
    <w:p w14:paraId="6E3AF9F4" w14:textId="77777777" w:rsidR="009D7677" w:rsidRDefault="009D7677" w:rsidP="009D7677">
      <w:pPr>
        <w:pStyle w:val="TextoNormal"/>
      </w:pPr>
      <w:r>
        <w:t>En definitiva, los dos pronunciamientos combatidos de la sentencia de apelación responden a una motivación carente de toda lógica, irrazonable, contraria a la obligación de los órganos judiciales de integrar el principio de igualdad entre mujeres y hombres en la interpretación y aplicación de las normas jurídicas (art. 4 LOIMH) y, en consecuencia, vulneradora del derecho de doña L.G.A. a la tutela judicial efectiva (art. 24.1 CE), en su modalidad de derecho a obtener una resolución debidamente fundada en Derecho, esto es, no incursa en arbitrariedad, irrazonabilidad o error fáctico patente, en relación con el derecho a la igualdad y a la no discriminación (art. 14 CE).</w:t>
      </w:r>
    </w:p>
    <w:p w14:paraId="33F9097E" w14:textId="77777777" w:rsidR="009D7677" w:rsidRDefault="009D7677" w:rsidP="009D7677">
      <w:pPr>
        <w:pStyle w:val="TextoNormal"/>
      </w:pPr>
    </w:p>
    <w:p w14:paraId="64980D6D" w14:textId="009D74B5" w:rsidR="009D7677" w:rsidRDefault="009D7677" w:rsidP="009D7677">
      <w:pPr>
        <w:pStyle w:val="TextoNormal"/>
      </w:pPr>
      <w:r>
        <w:t>Termina el informe interesando el otorgamiento del amparo, la declaración de nulidad tanto de la sentencia dictada en apelación por la Sección Primera de la Audiencia Provincial de Sevilla el 20 de diciembre de 2019, como del auto de 5 de mayo de 2020 por el que se inadmitió el incidente excepcional de nulidad de actuaciones, y la retroacción de las actuaciones al momento de pronunciarse la primera de las resoluciones impugnadas, para que se dicte otra respetuosa con los derechos fundamentales de la demandante.</w:t>
      </w:r>
    </w:p>
    <w:p w14:paraId="28BBBD41" w14:textId="77777777" w:rsidR="009D7677" w:rsidRDefault="009D7677" w:rsidP="009D7677">
      <w:pPr>
        <w:pStyle w:val="TextoNormal"/>
      </w:pPr>
    </w:p>
    <w:p w14:paraId="6358FEA5" w14:textId="46838BBA" w:rsidR="009D7677" w:rsidRDefault="009D7677" w:rsidP="009D7677">
      <w:pPr>
        <w:pStyle w:val="TextoNormal"/>
      </w:pPr>
      <w:r w:rsidRPr="009D7677">
        <w:rPr>
          <w:rStyle w:val="NumeroAFNegritaCaracter"/>
        </w:rPr>
        <w:t>11</w:t>
      </w:r>
      <w:r>
        <w:t>. El 20 de enero de 2023 se dictó en el procedimiento diligencia de ordenación comunicando a las partes que, en virtud del acuerdo adoptado por el Pleno del Tribunal el día 17 de enero, relativo a la nueva composición de sus salas y secciones tras la renovación parcial del órgano, el presente recurso de amparo había sido turnado a la Sección Tercera de su Sala Segunda.</w:t>
      </w:r>
    </w:p>
    <w:p w14:paraId="34FFBD69" w14:textId="77777777" w:rsidR="009D7677" w:rsidRDefault="009D7677" w:rsidP="009D7677">
      <w:pPr>
        <w:pStyle w:val="TextoNormal"/>
      </w:pPr>
    </w:p>
    <w:p w14:paraId="210FBAD5" w14:textId="09F3A49E" w:rsidR="009D7677" w:rsidRDefault="009D7677" w:rsidP="009D7677">
      <w:pPr>
        <w:pStyle w:val="TextoNormal"/>
      </w:pPr>
      <w:r w:rsidRPr="009D7677">
        <w:rPr>
          <w:rStyle w:val="NumeroAFNegritaCaracter"/>
        </w:rPr>
        <w:t>12</w:t>
      </w:r>
      <w:r>
        <w:t>. En la misma fecha la representación procesal de don Santiago Romero Granados aportó a la causa certificado —expedido por la letrada de la administración de justicia del Juzgado de lo Penal de Sevilla— dando cuenta de que en la ejecutoria 74-2020, incoada en virtud de la sentencia impugnada, la multa a cuyo pago se condicionó la suspensión de las penas de prisión había sido abonada en su totalidad, así como las indemnizaciones y las costas, los cursos formativos de educación sexual habían sido finalizados el 5 de septiembre de 2022 y la pena de prisión suspendida quedaría remitida definitivamente el 21 de julio de 2023, salvo acuerdo de revocación de la misma. No consta que se haya adoptado acuerdo de revocación de la suspensión de la pena de prisión.</w:t>
      </w:r>
    </w:p>
    <w:p w14:paraId="6B3B7914" w14:textId="77777777" w:rsidR="009D7677" w:rsidRDefault="009D7677" w:rsidP="009D7677">
      <w:pPr>
        <w:pStyle w:val="TextoNormal"/>
      </w:pPr>
    </w:p>
    <w:p w14:paraId="2D48D9F3" w14:textId="5EDE154B" w:rsidR="009D7677" w:rsidRDefault="009D7677" w:rsidP="009D7677">
      <w:pPr>
        <w:pStyle w:val="TextoNormal"/>
      </w:pPr>
      <w:r w:rsidRPr="009D7677">
        <w:rPr>
          <w:rStyle w:val="NumeroAFNegritaCaracter"/>
        </w:rPr>
        <w:t>13</w:t>
      </w:r>
      <w:r>
        <w:t>. Por providencia de 4 de abril de de 2024 se señaló para deliberación y votación de la presente sentencia el día 8 del mismo mes y año.</w:t>
      </w:r>
    </w:p>
    <w:p w14:paraId="261C5302" w14:textId="77777777" w:rsidR="009D7677" w:rsidRDefault="009D7677" w:rsidP="009D7677">
      <w:pPr>
        <w:pStyle w:val="TextoNormal"/>
      </w:pPr>
    </w:p>
    <w:p w14:paraId="535F944C" w14:textId="77777777" w:rsidR="009D7677" w:rsidRDefault="009D7677" w:rsidP="009D7677">
      <w:pPr>
        <w:pStyle w:val="TextoNormalNegritaCentrado"/>
        <w:keepNext/>
      </w:pPr>
      <w:r>
        <w:t>II. Fundamentos jurídicos</w:t>
      </w:r>
    </w:p>
    <w:p w14:paraId="2076FA60" w14:textId="0F6FE98E" w:rsidR="009D7677" w:rsidRDefault="009D7677" w:rsidP="009D7677">
      <w:pPr>
        <w:pStyle w:val="TextoNormalNegritaCentrado"/>
        <w:keepNext/>
      </w:pPr>
    </w:p>
    <w:p w14:paraId="5D133B73" w14:textId="77777777" w:rsidR="009D7677" w:rsidRDefault="009D7677" w:rsidP="009D7677">
      <w:pPr>
        <w:pStyle w:val="TextoNormal"/>
      </w:pPr>
      <w:r w:rsidRPr="009D7677">
        <w:rPr>
          <w:rStyle w:val="NumeroAFNegritaCaracter"/>
        </w:rPr>
        <w:t>1</w:t>
      </w:r>
      <w:r>
        <w:t xml:space="preserve">. </w:t>
      </w:r>
      <w:r w:rsidRPr="009D7677">
        <w:rPr>
          <w:i/>
        </w:rPr>
        <w:t>Objeto del recurso de amparo y pretensiones de las partes</w:t>
      </w:r>
    </w:p>
    <w:p w14:paraId="3773D799" w14:textId="77777777" w:rsidR="009D7677" w:rsidRDefault="009D7677" w:rsidP="009D7677">
      <w:pPr>
        <w:pStyle w:val="TextoNormal"/>
      </w:pPr>
    </w:p>
    <w:p w14:paraId="3DE24B97" w14:textId="77777777" w:rsidR="009D7677" w:rsidRDefault="009D7677" w:rsidP="009D7677">
      <w:pPr>
        <w:pStyle w:val="TextoNormal"/>
      </w:pPr>
      <w:r>
        <w:t>a) La demandante, quien fue acusación particular en el proceso penal, dirige el recurso de amparo contra las siguientes resoluciones judiciales:</w:t>
      </w:r>
    </w:p>
    <w:p w14:paraId="57527D6C" w14:textId="77777777" w:rsidR="009D7677" w:rsidRDefault="009D7677" w:rsidP="009D7677">
      <w:pPr>
        <w:pStyle w:val="TextoNormal"/>
      </w:pPr>
    </w:p>
    <w:p w14:paraId="3D1B3AE1" w14:textId="77777777" w:rsidR="009D7677" w:rsidRDefault="009D7677" w:rsidP="009D7677">
      <w:pPr>
        <w:pStyle w:val="TextoNormal"/>
      </w:pPr>
      <w:r>
        <w:t xml:space="preserve">(i) La sentencia dictada por la Sección Primera de la Audiencia Provincial de Sevilla el día 20 de diciembre de 2019, que estimó parcialmente el recurso de apelación interpuesto por el acusado, le absolvió del delito de lesiones psicológicas —por el que fue condenado </w:t>
      </w:r>
      <w:r>
        <w:lastRenderedPageBreak/>
        <w:t>por el Juzgado de lo Penal núm. 2 de Sevilla— y aplicó una atenuante de dilaciones indebidas en grado de muy cualificada en relación con los tres delitos continuados de abusos sexuales, de los que fueron víctimas la recurrente y otras dos mujeres, con la consiguiente reducción en dos grados de las penas de prisión que habían sido impuestas en la instancia por estos delitos. La recurrente en amparo pretende la nulidad de estos dos pronunciamientos de la sentencia de apelación y solicita, o bien el restablecimiento de las condenas iniciales declaradas por el juzgado de lo penal, o una reducción de las penas inferior a la fijada por la Audiencia Provincial. En apoyo de sus pretensiones, alega vulneración de los derechos fundamentales a la tutela judicial efectiva (art. 24.1 CE) en relación con el derecho a la no discriminación por razón de sexo (art. 14 CE) y a la integridad moral (art. 15 CE), en relación ambos con el art. 9.2 CE. Añade quejas por vulneración de normativa internacional a las que nos referimos en el siguiente fundamento jurídico.</w:t>
      </w:r>
    </w:p>
    <w:p w14:paraId="3BBB397C" w14:textId="77777777" w:rsidR="009D7677" w:rsidRDefault="009D7677" w:rsidP="009D7677">
      <w:pPr>
        <w:pStyle w:val="TextoNormal"/>
      </w:pPr>
    </w:p>
    <w:p w14:paraId="55814160" w14:textId="77777777" w:rsidR="009D7677" w:rsidRDefault="009D7677" w:rsidP="009D7677">
      <w:pPr>
        <w:pStyle w:val="TextoNormal"/>
      </w:pPr>
      <w:r>
        <w:t>(ii) El auto de 5 de mayo de 2020, dictado por la misma sección de la Audiencia Provincial de Sevilla, por el que se acuerda la inadmisión del incidente de nulidad promovido frente a la sentencia. La recurrente considera que esta resolución judicial vulnera el derecho a la tutela judicial efectiva en su vertiente de acceso al recurso (art. 24.1 CE y art. 13 CEDH), debido a que el órgano judicial incumplió su obligación de garantizar los derechos fundamentales que le atribuye el art. 241 de la Ley Orgánica 6/1985, de 1 de julio, del Poder Judicial (LOPJ).</w:t>
      </w:r>
    </w:p>
    <w:p w14:paraId="0D263664" w14:textId="77777777" w:rsidR="009D7677" w:rsidRDefault="009D7677" w:rsidP="009D7677">
      <w:pPr>
        <w:pStyle w:val="TextoNormal"/>
      </w:pPr>
    </w:p>
    <w:p w14:paraId="242856E8" w14:textId="6E0EA5DF" w:rsidR="009D7677" w:rsidRDefault="009D7677" w:rsidP="009D7677">
      <w:pPr>
        <w:pStyle w:val="TextoNormal"/>
      </w:pPr>
      <w:r>
        <w:t>b) La representación procesal de don Santiago Romero Granados, condenado en el proceso penal del que trae causa este procedimiento, interesa la desestimación del amparo; y, de otro lado, el Ministerio Fiscal solicita la estimación por considerar que la sentencia de 20 de diciembre de 2019 ha vulnerado el derecho de doña L.G.A. a la tutela judicial efectiva (art. 24.1 CE), en su vertiente a obtener una resolución motivada y fundada en Derecho, en relación con el derecho a la igualdad y a la no discriminación (art. 14 CE).</w:t>
      </w:r>
    </w:p>
    <w:p w14:paraId="33863755" w14:textId="77777777" w:rsidR="009D7677" w:rsidRDefault="009D7677" w:rsidP="009D7677">
      <w:pPr>
        <w:pStyle w:val="TextoNormal"/>
      </w:pPr>
    </w:p>
    <w:p w14:paraId="7727721C" w14:textId="77777777" w:rsidR="009D7677" w:rsidRDefault="009D7677" w:rsidP="009D7677">
      <w:pPr>
        <w:pStyle w:val="TextoNormal"/>
      </w:pPr>
      <w:r w:rsidRPr="009D7677">
        <w:rPr>
          <w:rStyle w:val="NumeroAFNegritaCaracter"/>
        </w:rPr>
        <w:t>2</w:t>
      </w:r>
      <w:r>
        <w:t xml:space="preserve">. </w:t>
      </w:r>
      <w:r w:rsidRPr="009D7677">
        <w:rPr>
          <w:i/>
        </w:rPr>
        <w:t>Consideraciones preliminares</w:t>
      </w:r>
    </w:p>
    <w:p w14:paraId="34EC6E75" w14:textId="77777777" w:rsidR="009D7677" w:rsidRDefault="009D7677" w:rsidP="009D7677">
      <w:pPr>
        <w:pStyle w:val="TextoNormal"/>
      </w:pPr>
    </w:p>
    <w:p w14:paraId="253D117F" w14:textId="77777777" w:rsidR="009D7677" w:rsidRDefault="009D7677" w:rsidP="009D7677">
      <w:pPr>
        <w:pStyle w:val="TextoNormal"/>
      </w:pPr>
      <w:r>
        <w:t>Antes de entrar en el análisis de las cuestiones constitucionales planteadas en la demanda de amparo es necesario realizar las siguientes precisiones preliminares:</w:t>
      </w:r>
    </w:p>
    <w:p w14:paraId="2E3451F7" w14:textId="77777777" w:rsidR="009D7677" w:rsidRDefault="009D7677" w:rsidP="009D7677">
      <w:pPr>
        <w:pStyle w:val="TextoNormal"/>
      </w:pPr>
    </w:p>
    <w:p w14:paraId="377325C8" w14:textId="77777777" w:rsidR="009D7677" w:rsidRDefault="009D7677" w:rsidP="009D7677">
      <w:pPr>
        <w:pStyle w:val="TextoNormal"/>
      </w:pPr>
      <w:r>
        <w:t>a) Protección de datos personales</w:t>
      </w:r>
    </w:p>
    <w:p w14:paraId="7C8A65AF" w14:textId="77777777" w:rsidR="009D7677" w:rsidRDefault="009D7677" w:rsidP="009D7677">
      <w:pPr>
        <w:pStyle w:val="TextoNormal"/>
      </w:pPr>
    </w:p>
    <w:p w14:paraId="036FD695" w14:textId="77777777" w:rsidR="009D7677" w:rsidRDefault="009D7677" w:rsidP="009D7677">
      <w:pPr>
        <w:pStyle w:val="TextoNormal"/>
      </w:pPr>
      <w:r>
        <w:t>El Acuerdo del Pleno del Tribunal Constitucional de 23 de julio de 2015, por el que se regula la exclusión de los datos de identidad personal en la publicación de resoluciones judiciales dispone, en su art. 1, que el Tribunal deberá preservar de oficio el anonimato de las víctimas de delitos de cuya difusión se deriven especiales perjuicios. Entre tales delitos se encuentran, de forma notoria, los relacionados con la violencia sexual (SSTC 185/2002, de 14 de octubre; 195/2002, de 28 de octubre; y 246/2007, de 10 de diciembre), en particular y por lo que se refiere al presente caso los abusos sexuales. En aplicación de dicha norma, este tribunal ha resuelto preservar de oficio los datos de identidad de todas las víctimas de los delitos de abuso sexual continuado que fueron objeto de condena en el caso sometido a examen, incluida la demandante en amparo, a las que se denominará a través de sus respectivas iniciales.</w:t>
      </w:r>
    </w:p>
    <w:p w14:paraId="19FC22BB" w14:textId="77777777" w:rsidR="009D7677" w:rsidRDefault="009D7677" w:rsidP="009D7677">
      <w:pPr>
        <w:pStyle w:val="TextoNormal"/>
      </w:pPr>
    </w:p>
    <w:p w14:paraId="6F7CA8A8" w14:textId="77777777" w:rsidR="009D7677" w:rsidRDefault="009D7677" w:rsidP="009D7677">
      <w:pPr>
        <w:pStyle w:val="TextoNormal"/>
      </w:pPr>
      <w:r>
        <w:t>b) Antecedentes relevantes para resolver el caso</w:t>
      </w:r>
    </w:p>
    <w:p w14:paraId="0AE917CA" w14:textId="77777777" w:rsidR="009D7677" w:rsidRDefault="009D7677" w:rsidP="009D7677">
      <w:pPr>
        <w:pStyle w:val="TextoNormal"/>
      </w:pPr>
    </w:p>
    <w:p w14:paraId="58D3FBCA" w14:textId="77777777" w:rsidR="009D7677" w:rsidRDefault="009D7677" w:rsidP="009D7677">
      <w:pPr>
        <w:pStyle w:val="TextoNormal"/>
      </w:pPr>
      <w:r>
        <w:t>De acuerdo con los hechos declarados probados por la sentencia de instancia del Juzgado de lo Penal núm. 2 de Sevilla -asumidos íntegramente por la sentencia de apelación- desde octubre del año 2006 y hasta finales del año 2009, don Santiago Romero Granados, que entonces era el decano de la Facultad de Ciencias de la Educación de la Universidad de Sevilla, llevó a cabo diversos actos inconsentidos de naturaleza sexual sobre doña L.G.A., doña R.C.R. y doña E.S.S., todas ellas profesoras de reciente ingreso en el departamento de educación física de la facultad, de la que el señor Romero Granados era, además, catedrático. Los actos llevados a cabo sobre doña L.G.A. sin su consentimiento incluyeron varios besos en la boca, un lametón en el cuello y numerosos tocamientos en diversas partes del cuerpo, señaladamente en los pechos y la parte interna de los muslos hasta llegar a la zona genital. También, según el relato de hechos probados, don Santiago Romero Granados</w:t>
      </w:r>
    </w:p>
    <w:p w14:paraId="63131E25" w14:textId="77777777" w:rsidR="009D7677" w:rsidRDefault="009D7677" w:rsidP="009D7677">
      <w:pPr>
        <w:pStyle w:val="TextoNormal"/>
      </w:pPr>
    </w:p>
    <w:p w14:paraId="5FB5712C" w14:textId="77777777" w:rsidR="009D7677" w:rsidRDefault="009D7677" w:rsidP="009D7677">
      <w:pPr>
        <w:pStyle w:val="TextoNormal"/>
      </w:pPr>
      <w:r>
        <w:t>“[a]l menos desde el año 2006, y en relación siquiera a las aquí denunciantes, […] vino realizando ostentación de su poder académico desde un primer momento, dejando claro a las mismas que él era quien mandaba en el Departamento de Educación Física de la Facultad de Ciencias de la Educación, que fuese o no el director del departamento y formase o no parte de las comisiones era él quien tomaba las decisiones relevantes en cuanto a docencia, investigación, contratación, etc., de modo que habían de seguirse sus indicaciones tales como nombrarle director de las tesis doctorales, hacer constar su participación en las publicaciones que cada profesora realizara o participar en las votaciones internas del consejo de departamento o de las diferentes comisiones conforme a sus deseos, criterios u opiniones viniendo a transmitir que aquellos que no accedían a sus pretensiones podían tener problemas para mantener sus plazas”.</w:t>
      </w:r>
    </w:p>
    <w:p w14:paraId="3E01C985" w14:textId="77777777" w:rsidR="009D7677" w:rsidRDefault="009D7677" w:rsidP="009D7677">
      <w:pPr>
        <w:pStyle w:val="TextoNormal"/>
      </w:pPr>
    </w:p>
    <w:p w14:paraId="4D7F91CB" w14:textId="77777777" w:rsidR="009D7677" w:rsidRDefault="009D7677" w:rsidP="009D7677">
      <w:pPr>
        <w:pStyle w:val="TextoNormal"/>
      </w:pPr>
      <w:r>
        <w:t>c) Orden de enjuiciamiento de las quejas</w:t>
      </w:r>
    </w:p>
    <w:p w14:paraId="1F713216" w14:textId="77777777" w:rsidR="009D7677" w:rsidRDefault="009D7677" w:rsidP="009D7677">
      <w:pPr>
        <w:pStyle w:val="TextoNormal"/>
      </w:pPr>
    </w:p>
    <w:p w14:paraId="21319CC5" w14:textId="77777777" w:rsidR="009D7677" w:rsidRDefault="009D7677" w:rsidP="009D7677">
      <w:pPr>
        <w:pStyle w:val="TextoNormal"/>
      </w:pPr>
      <w:r>
        <w:t>El orden en el que se van a analizar las distintas quejas atiende a los principios de mayor retroacción y amplitud del alcance que podría tener su eventual estimación tal y como ha venido considerando el Tribunal, entre otras en las SSTC 102/2020, de 21 de septiembre, FJ 2, y 8/2024, de 16 de enero, FJ 1. Por ello analizaremos en primer término las lesiones que se imputan a la sentencia de la Audiencia Provincial.</w:t>
      </w:r>
    </w:p>
    <w:p w14:paraId="56A0B320" w14:textId="77777777" w:rsidR="009D7677" w:rsidRDefault="009D7677" w:rsidP="009D7677">
      <w:pPr>
        <w:pStyle w:val="TextoNormal"/>
      </w:pPr>
    </w:p>
    <w:p w14:paraId="475000C3" w14:textId="77777777" w:rsidR="009D7677" w:rsidRDefault="009D7677" w:rsidP="009D7677">
      <w:pPr>
        <w:pStyle w:val="TextoNormal"/>
      </w:pPr>
      <w:r>
        <w:t>d) Quejas relativas a la vulneración de tratados internacionales válidamente suscritos por el Estado español</w:t>
      </w:r>
    </w:p>
    <w:p w14:paraId="43CF0732" w14:textId="77777777" w:rsidR="009D7677" w:rsidRDefault="009D7677" w:rsidP="009D7677">
      <w:pPr>
        <w:pStyle w:val="TextoNormal"/>
      </w:pPr>
    </w:p>
    <w:p w14:paraId="1EE36762" w14:textId="77777777" w:rsidR="009D7677" w:rsidRDefault="009D7677" w:rsidP="009D7677">
      <w:pPr>
        <w:pStyle w:val="TextoNormal"/>
      </w:pPr>
      <w:r>
        <w:t>En la demanda de amparo se denuncia la vulneración de los arts. 3 (prohibición de trato degradante), 6 (derechos a un proceso equitativo), 13 (derecho al recurso), 14 y 1 del Protocolo 12 (prohibición de discriminación), del Convenio Europeo de Derechos Humanos; los arts. 5 y 6 del Convenio de Estambul; y de los arts. 1 y 2 CEDAW.</w:t>
      </w:r>
    </w:p>
    <w:p w14:paraId="04D51E34" w14:textId="77777777" w:rsidR="009D7677" w:rsidRDefault="009D7677" w:rsidP="009D7677">
      <w:pPr>
        <w:pStyle w:val="TextoNormal"/>
      </w:pPr>
    </w:p>
    <w:p w14:paraId="40FC243D" w14:textId="77777777" w:rsidR="009D7677" w:rsidRDefault="009D7677" w:rsidP="009D7677">
      <w:pPr>
        <w:pStyle w:val="TextoNormal"/>
      </w:pPr>
      <w:r>
        <w:t xml:space="preserve">En este punto hemos de precisar que el art. 96.1 CE señala que los tratados internacionales, válidamente celebrados y publicados oficialmente, forman parte del ordenamiento interno. Y el art. 10.2 CE dispone “[l]as normas relativas a los derechos fundamentales y a las libertades que la Constitución reconoce se interpretarán de conformidad con la Declaración Universal de Derechos Humanos y los tratados y acuerdos internacionales sobre las mismas materias ratificados por España”. Aunque los tratados y acuerdos internacionales </w:t>
      </w:r>
      <w:r>
        <w:lastRenderedPageBreak/>
        <w:t>no constituyen canon autónomo de validez de las normas y actos de los poderes públicos —porque el parámetro de control de constitucionalidad se conforma con los preceptos constitucionales—, los textos y acuerdos internacionales, especialmente los que declaran derechos fundamentales, son una fuente interpretativa que contribuye a la mejor identificación del contenido de los derechos cuya tutela se pide a este Tribunal Constitucional [STC 64/1991, de 22 de marzo, FJ 4 a)].</w:t>
      </w:r>
    </w:p>
    <w:p w14:paraId="40AEA020" w14:textId="77777777" w:rsidR="009D7677" w:rsidRDefault="009D7677" w:rsidP="009D7677">
      <w:pPr>
        <w:pStyle w:val="TextoNormal"/>
      </w:pPr>
    </w:p>
    <w:p w14:paraId="262B324C" w14:textId="77777777" w:rsidR="009D7677" w:rsidRDefault="009D7677" w:rsidP="009D7677">
      <w:pPr>
        <w:pStyle w:val="TextoNormal"/>
      </w:pPr>
      <w:r>
        <w:t>e) Quejas relativas a la vulneración de derechos fundamentales proclamados por nuestra Constitución</w:t>
      </w:r>
    </w:p>
    <w:p w14:paraId="3167AB25" w14:textId="77777777" w:rsidR="009D7677" w:rsidRDefault="009D7677" w:rsidP="009D7677">
      <w:pPr>
        <w:pStyle w:val="TextoNormal"/>
      </w:pPr>
    </w:p>
    <w:p w14:paraId="14233FF1" w14:textId="77777777" w:rsidR="009D7677" w:rsidRDefault="009D7677" w:rsidP="009D7677">
      <w:pPr>
        <w:pStyle w:val="TextoNormal"/>
      </w:pPr>
      <w:r>
        <w:t>Como ya se ha indicado, la demanda atribuye a la sentencia impugnada la vulneración de diversos derechos fundamentales proclamados por nuestra Constitución; en concreto los siguientes: tutela judicial efectiva (art. 24.1 CE), en su dimensión de derecho a obtener una resolución motivada y fundada en Derecho; derecho a la no discriminación por razón de sexo (art. 14 CE); y derecho a la integridad moral (art. 15 CE), en relación todos ellos con el art. 9.2 CE.</w:t>
      </w:r>
    </w:p>
    <w:p w14:paraId="121055EF" w14:textId="77777777" w:rsidR="009D7677" w:rsidRDefault="009D7677" w:rsidP="009D7677">
      <w:pPr>
        <w:pStyle w:val="TextoNormal"/>
      </w:pPr>
    </w:p>
    <w:p w14:paraId="70649798" w14:textId="77777777" w:rsidR="009D7677" w:rsidRDefault="009D7677" w:rsidP="009D7677">
      <w:pPr>
        <w:pStyle w:val="TextoNormal"/>
      </w:pPr>
      <w:r>
        <w:t>Tal como pone de manifiesto el Ministerio Fiscal, la alegada vulneración del derecho a la integridad física y moral (art. 15 CE) carece de un mínimo desarrollo argumental, vinculado a su contenido constitucional específico, que permita afirmar que se encuentra concernido por las resoluciones judiciales impugnadas. Esta ausencia de desarrollo argumental impide que enjuiciemos tal queja por la sencilla razón de que no es posible conocer las razones de la recurrente para invocarla.</w:t>
      </w:r>
    </w:p>
    <w:p w14:paraId="711646AC" w14:textId="77777777" w:rsidR="009D7677" w:rsidRDefault="009D7677" w:rsidP="009D7677">
      <w:pPr>
        <w:pStyle w:val="TextoNormal"/>
      </w:pPr>
    </w:p>
    <w:p w14:paraId="50EE1175" w14:textId="030F8E29" w:rsidR="009D7677" w:rsidRDefault="009D7677" w:rsidP="009D7677">
      <w:pPr>
        <w:pStyle w:val="TextoNormal"/>
      </w:pPr>
      <w:r>
        <w:t>Por otra parte, la eventual vulneración del derecho a la igualdad y a la no discriminación por razón de género (art. 14 CE) se invoca en la demanda no de manera autónoma, sino en conexión con las atribuidas a la motivación de la sentencia de apelación; esto es, con la vulneración relativa al derecho a la tutela judicial efectiva (art. 24.1 CE) en su modalidad de derecho a obtener de los tribunales una resolución fundada en Derecho, no incursa en arbitrariedad, irrazonabilidad o error fáctico patente. Por tal motivo, examinaremos ambas quejas de forma conjunta.</w:t>
      </w:r>
    </w:p>
    <w:p w14:paraId="10105B36" w14:textId="77777777" w:rsidR="009D7677" w:rsidRDefault="009D7677" w:rsidP="009D7677">
      <w:pPr>
        <w:pStyle w:val="TextoNormal"/>
      </w:pPr>
    </w:p>
    <w:p w14:paraId="04F26323" w14:textId="77777777" w:rsidR="009D7677" w:rsidRDefault="009D7677" w:rsidP="009D7677">
      <w:pPr>
        <w:pStyle w:val="TextoNormal"/>
      </w:pPr>
      <w:r w:rsidRPr="009D7677">
        <w:rPr>
          <w:rStyle w:val="NumeroAFNegritaCaracter"/>
        </w:rPr>
        <w:t>3</w:t>
      </w:r>
      <w:r>
        <w:t xml:space="preserve">. </w:t>
      </w:r>
      <w:r w:rsidRPr="009D7677">
        <w:rPr>
          <w:i/>
        </w:rPr>
        <w:t>Doctrina constitucional aplicable</w:t>
      </w:r>
    </w:p>
    <w:p w14:paraId="4C36B69F" w14:textId="77777777" w:rsidR="009D7677" w:rsidRDefault="009D7677" w:rsidP="009D7677">
      <w:pPr>
        <w:pStyle w:val="TextoNormal"/>
      </w:pPr>
    </w:p>
    <w:p w14:paraId="128A8B8D" w14:textId="77777777" w:rsidR="009D7677" w:rsidRDefault="009D7677" w:rsidP="009D7677">
      <w:pPr>
        <w:pStyle w:val="TextoNormal"/>
      </w:pPr>
      <w:r>
        <w:t xml:space="preserve">Es doctrina reiterada de este tribunal que el derecho a la tutela judicial efectiva, en esencia, no se agota en el derecho a acceder al proceso y a solicitar a los órganos judiciales la tutela de los derechos e intereses legítimos, sino que comprende, además, el derecho a obtener una resolución que, salvo que concurra causa legal que prevea la inadmisión, resolverá el fondo del asunto mediante el dictado de una resolución congruente con los pedimentos de las partes, motivada y fundada en Derecho, no incursa en arbitrariedad, irrazonabilidad o error patente. Procede recordar respecto de esta última vertiente que el derecho a obtener una resolución fundada en Derecho, con independencia de que sea favorable o adversa, es garantía frente a la arbitrariedad e irrazonabilidad de los poderes públicos, y que ello implica, en primer lugar, que la resolución ha de estar motivada, es decir, contener los elementos y razones de juicio que permitan conocer cuáles han sido los criterios jurídicos que fundamentan la decisión. Es preciso señalar que, como entre otras, ha sostenido la STC 132/2007, de 4 de junio, FJ 4, “no pueden considerarse razonadas ni motivadas aquellas resoluciones judiciales que, a primera vista y sin necesidad de mayor esfuerzo </w:t>
      </w:r>
      <w:r>
        <w:lastRenderedPageBreak/>
        <w:t>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(SSTC 214/1999, de 29 de noviembre, FJ 4; 164/2002, de 17 de septiembre, FJ 4; 228/2005, de 12 de septiembre, FJ 3; 59/2006, de 27 de febrero, FJ 3; 109/2006, de 3 de abril, FJ 5; y 215/2006, de 3 de julio, FJ 3, entre otras)”.</w:t>
      </w:r>
    </w:p>
    <w:p w14:paraId="08DF853D" w14:textId="77777777" w:rsidR="009D7677" w:rsidRDefault="009D7677" w:rsidP="009D7677">
      <w:pPr>
        <w:pStyle w:val="TextoNormal"/>
      </w:pPr>
    </w:p>
    <w:p w14:paraId="1B19F3B0" w14:textId="13FC0E0C" w:rsidR="009D7677" w:rsidRDefault="009D7677" w:rsidP="009D7677">
      <w:pPr>
        <w:pStyle w:val="TextoNormal"/>
      </w:pPr>
      <w:r>
        <w:t>Es preciso recordar también que “el juicio sobre la arbitrariedad y falta de fundamento jurídico de una resolución judicial debe distinguirse cuidadosamente de las discrepancias que pueden tenerse con la forma en que el juzgador ordinario (…) interpreta y aplica las leyes. El Tribunal Constitucional no puede pronunciarse sobre esa última cuestión, pues de acuerdo con el art. 117.3 CE ya citado y el 123.1 CE, esa interpretación y aplicación corresponde exclusivamente a los órganos judiciales ordinarios, salvo que al hacerlo violasen alguna garantía constitucional, lo que en este caso se habría producido si realmente, como afirma la recurrente, la aplicación de la legalidad fuese solo una apariencia por carecer manifiestamente de todo fundamento razonable” (STC 23/1987, de 23 de febrero, FJ 3).</w:t>
      </w:r>
    </w:p>
    <w:p w14:paraId="51C40AAD" w14:textId="77777777" w:rsidR="009D7677" w:rsidRDefault="009D7677" w:rsidP="009D7677">
      <w:pPr>
        <w:pStyle w:val="TextoNormal"/>
      </w:pPr>
    </w:p>
    <w:p w14:paraId="1598D682" w14:textId="77777777" w:rsidR="009D7677" w:rsidRDefault="009D7677" w:rsidP="009D7677">
      <w:pPr>
        <w:pStyle w:val="TextoNormal"/>
      </w:pPr>
      <w:r w:rsidRPr="009D7677">
        <w:rPr>
          <w:rStyle w:val="NumeroAFNegritaCaracter"/>
        </w:rPr>
        <w:t>4</w:t>
      </w:r>
      <w:r>
        <w:t xml:space="preserve">. </w:t>
      </w:r>
      <w:r w:rsidRPr="009D7677">
        <w:rPr>
          <w:i/>
        </w:rPr>
        <w:t>Análisis de la queja relativa a la revocación de la condena del delito de lesiones psicológicas</w:t>
      </w:r>
    </w:p>
    <w:p w14:paraId="3117EDA9" w14:textId="77777777" w:rsidR="009D7677" w:rsidRDefault="009D7677" w:rsidP="009D7677">
      <w:pPr>
        <w:pStyle w:val="TextoNormal"/>
      </w:pPr>
    </w:p>
    <w:p w14:paraId="5613914E" w14:textId="77777777" w:rsidR="009D7677" w:rsidRDefault="009D7677" w:rsidP="009D7677">
      <w:pPr>
        <w:pStyle w:val="TextoNormal"/>
      </w:pPr>
      <w:r>
        <w:t>En el presente caso, lo que cuestionan la recurrente y el Ministerio Fiscal es la razonabilidad de la decisión de la sentencia de apelación de integrar dentro de los delitos de abusos sexuales el desvalor del daño psicológico causado por el condenado a la recurrente (diagnosticada de trastorno adaptativo ansioso depresivo grave, que precisa de terapia de larga duración). Sostienen ambos que el menoscabo psicológico causado a la recurrente es de tal entidad que debe subsumirse en el delito autónomo de lesiones, con su correspondiente pena —tal y como también entendió el juzgado de instancia— así como que la interpretación de la norma penal elegida por la sentencia de apelación, resulta contraria a la obligación de los órganos judiciales de integrar el principio de igualdad entre mujeres y hombres en la interpretación y aplicación de las normas jurídicas (art. 4 LOIMH). Concluyen que tal decisión vulnera el derecho de la recurrente a la tutela judicial efectiva (art. 24.1 CE), en su modalidad de derecho a obtener una resolución debidamente fundada en Derecho, en relación con el derecho a la igualdad y a la no discriminación (art. 14 CE), y reclaman la nulidad del pronunciamiento absolutorio y el restablecimiento de la condena dictada por delito de lesiones en la sentencia de instancia.</w:t>
      </w:r>
    </w:p>
    <w:p w14:paraId="517E4181" w14:textId="77777777" w:rsidR="009D7677" w:rsidRDefault="009D7677" w:rsidP="009D7677">
      <w:pPr>
        <w:pStyle w:val="TextoNormal"/>
      </w:pPr>
    </w:p>
    <w:p w14:paraId="3B18DA94" w14:textId="77777777" w:rsidR="009D7677" w:rsidRDefault="009D7677" w:rsidP="009D7677">
      <w:pPr>
        <w:pStyle w:val="TextoNormal"/>
      </w:pPr>
      <w:r>
        <w:t xml:space="preserve">Hemos de recordar en este punto que este tribunal ha configurado el derecho de acción penal esencialmente como un </w:t>
      </w:r>
      <w:r w:rsidRPr="009D7677">
        <w:rPr>
          <w:i/>
        </w:rPr>
        <w:t>ius ut procedatur</w:t>
      </w:r>
      <w:r>
        <w:t>, que integra el derecho a iniciar un proceso penal, a que el mismo se sustancie de conformidad con las reglas del proceso justo y a obtener en él una respuesta razonable y fundada en derecho (SSTC 120/2000, de 10 de mayo, FJ 4, o 12/2006, de 16 de enero, FJ 2); pero no incluye el derecho material a obtener una condena y a la imposición de una pena (SSTC 157/1990, de 18 de octubre; 232/1998, de 1 de diciembre, FJ 2; 34/2008, de 25 de febrero, FJ 3, y 26/2018, de 5 de marzo, FJ 3, entre otras).</w:t>
      </w:r>
    </w:p>
    <w:p w14:paraId="0EF82583" w14:textId="77777777" w:rsidR="009D7677" w:rsidRDefault="009D7677" w:rsidP="009D7677">
      <w:pPr>
        <w:pStyle w:val="TextoNormal"/>
      </w:pPr>
    </w:p>
    <w:p w14:paraId="22BB6898" w14:textId="77777777" w:rsidR="009D7677" w:rsidRDefault="009D7677" w:rsidP="009D7677">
      <w:pPr>
        <w:pStyle w:val="TextoNormal"/>
      </w:pPr>
      <w:r>
        <w:t xml:space="preserve">Como se explica en los antecedentes, la sentencia de apelación justifica su pronunciamiento absolutorio en el seguimiento de la doctrina del Tribunal Supremo que cita, según </w:t>
      </w:r>
      <w:r>
        <w:lastRenderedPageBreak/>
        <w:t xml:space="preserve">la cual las lesiones psicológicas solo merecerían un reproche penal autónomo si adquirieran una magnitud desproporcionada con respecto a la que puede haber sido tomada en cuenta por el legislador penal al sancionar el acto contra la libertad sexual. Y siempre que, además, concurran los demás elementos típicos del delito, tales como asistencia facultativa y tratamiento médico que expresen, claramente, el diagnóstico de la enfermedad y el tratamiento preciso para su sanación. Proyectando tal doctrina al caso, la sentencia de apelación considera que del relato de hechos probados no se infiere la concurrencia de todos y cada uno de los elementos que integran el delito de lesiones; y, en concreto, “no consta acreditado el conocimiento y la voluntad del acusado de causar las lesiones como las descritas en los informes ratificados en el plenario, ni la fecha en que se produjeron dichas lesiones, ni los días de impedimento para sus ocupaciones habituales, ni el tratamiento psiquiátrico prescrito para curar de las mismas”, lo que determina la absolución del acusado por aplicación del principio </w:t>
      </w:r>
      <w:r w:rsidRPr="009D7677">
        <w:rPr>
          <w:i/>
        </w:rPr>
        <w:t>in dubio pro reo</w:t>
      </w:r>
      <w:r>
        <w:t>, sin perjuicio de la indemnización que pudiera corresponder a la perjudicada por las secuelas sufridas como consecuencia del delito continuado de abusos sexuales.</w:t>
      </w:r>
    </w:p>
    <w:p w14:paraId="755569D9" w14:textId="77777777" w:rsidR="009D7677" w:rsidRDefault="009D7677" w:rsidP="009D7677">
      <w:pPr>
        <w:pStyle w:val="TextoNormal"/>
      </w:pPr>
    </w:p>
    <w:p w14:paraId="5ECF12EA" w14:textId="77777777" w:rsidR="009D7677" w:rsidRDefault="009D7677" w:rsidP="009D7677">
      <w:pPr>
        <w:pStyle w:val="TextoNormal"/>
      </w:pPr>
      <w:r>
        <w:t>En atención a lo anteriormente expuesto, la queja por inaplicación del delito de lesiones no puede ser estimada. Exigiría de este tribunal una nueva valoración de los hechos probados de la sentencia de instancia a fin de determinar si de ellos se desprenden todos y cada uno de los elementos objetivos y subjetivos propios del tipo de lesiones previsto y penado en el art. 147 CP. Esta tarea excede del ámbito del proceso de amparo —como ya hemos declarado—, debido a que son los tribunales penales los únicos competentes para enjuiciar los hechos presentados por la acusación y la defensa, y para interpretar y aplicar la ley penal (SSTC 89/1983, de 2 de noviembre, FJ 3; 83/1989, de 10 de mayo, FJ 2; 128/1995, de 26 de julio, FJ 4; 31/1996, de 27 de febrero, FJ 10, y 199/1996, de 3 de diciembre, FJ 5). El control constitucional debe limitarse a constatar que el órgano judicial no ha incurrido en arbitrariedad, error patente o irrazonabilidad manifiesta.</w:t>
      </w:r>
    </w:p>
    <w:p w14:paraId="56D19EC5" w14:textId="77777777" w:rsidR="009D7677" w:rsidRDefault="009D7677" w:rsidP="009D7677">
      <w:pPr>
        <w:pStyle w:val="TextoNormal"/>
      </w:pPr>
    </w:p>
    <w:p w14:paraId="2172B122" w14:textId="7757DDFC" w:rsidR="009D7677" w:rsidRDefault="009D7677" w:rsidP="009D7677">
      <w:pPr>
        <w:pStyle w:val="TextoNormal"/>
      </w:pPr>
      <w:r>
        <w:t>En este extremo no cabe apreciar la existencia de arbitrariedad dado que la sentencia está fundada en razones jurídicas, sin que a este tribunal le corresponda verificar su corrección. Tampoco cabe apreciar que incurra en irrazonabilidad toda vez que la argumentación seguida por el órgano judicial no incurre en quiebras lógicas ni contiene argumentos extravagantes. La resolución impugnada tampoco incurre en error patente; ya que para que este tenga relevancia constitucional ha de tener carácter fáctico y ha de verificarse de forma indubitada por el mero examen de las actuaciones y el error que, en este supuesto, se imputa a la resolución impugnada es un error en la calificación jurídica, cuyo examen excede de la jurisdicción de este tribunal.</w:t>
      </w:r>
    </w:p>
    <w:p w14:paraId="783F4FB0" w14:textId="77777777" w:rsidR="009D7677" w:rsidRDefault="009D7677" w:rsidP="009D7677">
      <w:pPr>
        <w:pStyle w:val="TextoNormal"/>
      </w:pPr>
    </w:p>
    <w:p w14:paraId="31A853AF" w14:textId="77777777" w:rsidR="009D7677" w:rsidRDefault="009D7677" w:rsidP="009D7677">
      <w:pPr>
        <w:pStyle w:val="TextoNormal"/>
      </w:pPr>
      <w:r w:rsidRPr="009D7677">
        <w:rPr>
          <w:rStyle w:val="NumeroAFNegritaCaracter"/>
        </w:rPr>
        <w:t>5</w:t>
      </w:r>
      <w:r>
        <w:t xml:space="preserve">. </w:t>
      </w:r>
      <w:r w:rsidRPr="009D7677">
        <w:rPr>
          <w:i/>
        </w:rPr>
        <w:t>Análisis de la queja relativa a la aplicación de la atenuante de dilaciones indebidas en grado muy cualificado</w:t>
      </w:r>
    </w:p>
    <w:p w14:paraId="71B986E5" w14:textId="77777777" w:rsidR="009D7677" w:rsidRDefault="009D7677" w:rsidP="009D7677">
      <w:pPr>
        <w:pStyle w:val="TextoNormal"/>
      </w:pPr>
    </w:p>
    <w:p w14:paraId="04268D8E" w14:textId="77777777" w:rsidR="009D7677" w:rsidRDefault="009D7677" w:rsidP="009D7677">
      <w:pPr>
        <w:pStyle w:val="TextoNormal"/>
      </w:pPr>
      <w:r>
        <w:t>Como ya se ha explicado con detalle en los antecedentes, la sentencia dictada por el juzgado de lo penal apreciaba ya la concurrencia de una circunstancia atenuante de dilaciones indebidas, pero lo hacía en grado simple. Sin embargo, la sentencia dictada en apelación modificó este criterio estimando en este extremo el recurso de apelación interpuesto por don Santiago Romero Granados; y tras apreciar la atenuante en grado muy cualificado, rebajó en dos grados las penas impuestas por los delitos continuados de abusos sexuales. Esta decisión se fundamentó en dos argumentos: a) la duración general del proceso judi</w:t>
      </w:r>
      <w:r>
        <w:lastRenderedPageBreak/>
        <w:t>cial, en relación con la cual se afirmaba que “aunque es cierto que la complejidad de la causa resulta evidente tan solo a la vista de la extensión de los recursos de apelación formulados […] también lo es que desde la comisión del primer hecho declarado probado a finales de 2006 hasta que se dictó la sentencia impugnada, el 16 de diciembre de 2016, ha transcurrido un plazo superior a ocho años lo que justifica la apreciación de la atenuante de dilaciones extraordinarias como muy cualificada”; b) en el hecho de que “la denuncia fue interpuesta dos años después aproximadamente de la comisión del último hecho imputado al recurrente y constan paralizaciones relevantes en la tramitación de esta causa no provocadas por la actuación del acusado”.</w:t>
      </w:r>
    </w:p>
    <w:p w14:paraId="6F3D6201" w14:textId="77777777" w:rsidR="009D7677" w:rsidRDefault="009D7677" w:rsidP="009D7677">
      <w:pPr>
        <w:pStyle w:val="TextoNormal"/>
      </w:pPr>
    </w:p>
    <w:p w14:paraId="741DBB31" w14:textId="77777777" w:rsidR="009D7677" w:rsidRDefault="009D7677" w:rsidP="009D7677">
      <w:pPr>
        <w:pStyle w:val="TextoNormal"/>
      </w:pPr>
      <w:r>
        <w:t xml:space="preserve">Resulta patente que ninguno de los dos argumentos aducidos por el Tribunal </w:t>
      </w:r>
      <w:r w:rsidRPr="009D7677">
        <w:rPr>
          <w:i/>
        </w:rPr>
        <w:t>ad quem</w:t>
      </w:r>
      <w:r>
        <w:t xml:space="preserve"> para llegar a tal conclusión pueden tenerse por fundados en Derecho, ya que no son conformes con las exigencias que se derivan del art. 24.1 CE.</w:t>
      </w:r>
    </w:p>
    <w:p w14:paraId="17AE9CB8" w14:textId="77777777" w:rsidR="009D7677" w:rsidRDefault="009D7677" w:rsidP="009D7677">
      <w:pPr>
        <w:pStyle w:val="TextoNormal"/>
      </w:pPr>
    </w:p>
    <w:p w14:paraId="1EE084D4" w14:textId="77777777" w:rsidR="009D7677" w:rsidRDefault="009D7677" w:rsidP="009D7677">
      <w:pPr>
        <w:pStyle w:val="TextoNormal"/>
      </w:pPr>
      <w:r>
        <w:t xml:space="preserve">a) Por lo que respecta al primero de ellos, el hecho de tomar como </w:t>
      </w:r>
      <w:r w:rsidRPr="009D7677">
        <w:rPr>
          <w:i/>
        </w:rPr>
        <w:t>dies a quo</w:t>
      </w:r>
      <w:r>
        <w:t xml:space="preserve"> la fecha de la comisión del primer hecho delictivo —que tuvo lugar en el año 2006— para determinar si procedía estimar la concurrencia de la atenuante muy cualificada de dilaciones indebidas supone, por una parte, desconocer el objeto y la razón de ser de las dilaciones indebidas y, por otra, incurrir en la incoherencia de condenar por un delito continuado y, a su vez, apreciar su actuación delictiva continuada —que cesó en 2009— como una circunstancia atenuante de la pena.</w:t>
      </w:r>
    </w:p>
    <w:p w14:paraId="0FB350DF" w14:textId="77777777" w:rsidR="009D7677" w:rsidRDefault="009D7677" w:rsidP="009D7677">
      <w:pPr>
        <w:pStyle w:val="TextoNormal"/>
      </w:pPr>
    </w:p>
    <w:p w14:paraId="6C1028BD" w14:textId="77777777" w:rsidR="009D7677" w:rsidRDefault="009D7677" w:rsidP="009D7677">
      <w:pPr>
        <w:pStyle w:val="TextoNormal"/>
      </w:pPr>
      <w:r>
        <w:t>Resulta incontrovertible, a partir de lo dispuesto en el art. 21.6 CP, que para determinar si se ha incurrido en dilaciones indebidas hay que tomar en cuenta únicamente la duración del proceso judicial; dado que su reconocimiento como circunstancia atenuante tiene por objeto que se establezca “un adecuado equilibrio entre la realización de toda la actividad judicial indispensable para la resolución del caso del que se conoce y para la garantía de los derechos de las partes, de un lado, y, de otro, la limitación del tiempo en el que dicha actividad judicial se desarrolle, que habrá de ser el más breve posible” (SSTC 124/1999, de 28 de junio, FJ 2, y 153/2005, de 6 de junio, FJ 2).</w:t>
      </w:r>
    </w:p>
    <w:p w14:paraId="39212735" w14:textId="77777777" w:rsidR="009D7677" w:rsidRDefault="009D7677" w:rsidP="009D7677">
      <w:pPr>
        <w:pStyle w:val="TextoNormal"/>
      </w:pPr>
    </w:p>
    <w:p w14:paraId="75D4348E" w14:textId="77777777" w:rsidR="009D7677" w:rsidRDefault="009D7677" w:rsidP="009D7677">
      <w:pPr>
        <w:pStyle w:val="TextoNormal"/>
      </w:pPr>
      <w:r>
        <w:t xml:space="preserve">En este supuesto, el hecho de que la resolución impugnada haya tomado en consideración para apreciar la atenuante muy cualificada de dilaciones indebidas un plazo de tiempo en el que no estaba siquiera incoado el proceso judicial resulta del todo irrazonable; ya que, al no haberse siquiera incoado el proceso judicial, no concurría el único y exclusivo presupuesto de hecho para su apreciación. Además de lo anterior, tomar como </w:t>
      </w:r>
      <w:r w:rsidRPr="009D7677">
        <w:rPr>
          <w:i/>
        </w:rPr>
        <w:t>dies a quo</w:t>
      </w:r>
      <w:r>
        <w:t xml:space="preserve"> el momento en el que el condenado cometió el primer delito para apreciar la atenuante de dilaciones indebidas supone utilizar esta circunstancia para beneficiar al que ha estado delinquiendo de forma continuada, lo cual resulta también irrazonable.</w:t>
      </w:r>
    </w:p>
    <w:p w14:paraId="066BFEAB" w14:textId="77777777" w:rsidR="009D7677" w:rsidRDefault="009D7677" w:rsidP="009D7677">
      <w:pPr>
        <w:pStyle w:val="TextoNormal"/>
      </w:pPr>
    </w:p>
    <w:p w14:paraId="30EC17AC" w14:textId="77777777" w:rsidR="009D7677" w:rsidRDefault="009D7677" w:rsidP="009D7677">
      <w:pPr>
        <w:pStyle w:val="TextoNormal"/>
      </w:pPr>
      <w:r>
        <w:t>Estos argumentos bastarían por sí solos para estimar esta queja. Aun así, procede examinar las sucesivas quiebras lógicas en las que incurrió el órgano judicial para alcanzar tal conclusión. El marco teórico-legal del que partió la sentencia impugnada para fundar el carácter muy cualificado de las dilaciones indebidas fue, además de la propia ley, una síntesis de la doctrina reiterada del Tribunal Supremo sobre esta atenuante. Con cita de numerosas sentencias de dicho tribunal, la sentencia impugnada afirma que solo cabe apreciarla en grado de muy cualificada cuando supere objetivamente el concepto de extraordinaria y resulte manifiestamente desmesurada por la paralización del proceso durante va</w:t>
      </w:r>
      <w:r>
        <w:lastRenderedPageBreak/>
        <w:t xml:space="preserve">rios años —en concreto sitúa el umbral en los ocho años de demora entre la imputación del acusado y la vista del juicio oral—. Sin embargo, tras asumir la citada doctrina jurisprudencial, en el momento de dar una respuesta al caso concreto, la sentencia resuelve que “aunque es cierto que la complejidad de la causa resulta evidente tan solo a la vista de la extensión de los recursos de apelación formulados […] también lo es que desde la comisión del primer hecho declarado probado a finales de 2006 hasta que se dictó la sentencia impugnada, el 16 de diciembre de 2016, ha transcurrido un plazo superior a ocho años lo que justifica la apreciación de la atenuante de dilaciones extraordinarias como muy cualificada”. Resulta patente que tal forma de argumentar incurre en varias contradicciones internas y quiebras lógicas al tomar como </w:t>
      </w:r>
      <w:r w:rsidRPr="009D7677">
        <w:rPr>
          <w:i/>
        </w:rPr>
        <w:t>dies a quo</w:t>
      </w:r>
      <w:r>
        <w:t xml:space="preserve"> del cómputo del plazo un momento anterior en que tuvo lugar el primer hecho delictivo. Si la sentencia hubiera aplicado la doctrina en la que se fundamenta debería haber tomado como fecha de inicio para computar las dilaciones no el momento en el que se cometió el primer hecho delictivo, sino la fecha en la que se imputó al investigado. Esta circunstancia tiene una indudable trascendencia pues, de haberse aplicado el criterio jurisprudencial que dice seguir, hubiera arrojado un resultado muy inferior a los ocho años.</w:t>
      </w:r>
    </w:p>
    <w:p w14:paraId="127419C0" w14:textId="77777777" w:rsidR="009D7677" w:rsidRDefault="009D7677" w:rsidP="009D7677">
      <w:pPr>
        <w:pStyle w:val="TextoNormal"/>
      </w:pPr>
    </w:p>
    <w:p w14:paraId="1DC2BBAD" w14:textId="77777777" w:rsidR="009D7677" w:rsidRDefault="009D7677" w:rsidP="009D7677">
      <w:pPr>
        <w:pStyle w:val="TextoNormal"/>
      </w:pPr>
      <w:r>
        <w:t>b) El segundo de los argumentos aducidos por la sentencia impugnada para justificar la atenuación en dos grados de la pena impuesta por los tres delitos de abusos sexuales es que “la denuncia fue interpuesta dos años después aproximadamente de la comisión del último hecho imputado al recurrente”. Una vez más, estamos ante una afirmación manifiestamente irrazonable toda vez que nuestro Derecho no prevé que se asigne semejante consecuencia a una eventual demora en la denuncia penal de hechos que son posteriormente objeto de condena. Bien al contrario, lo previsto dentro de nuestro ordenamiento jurídico es que quien resulte perjudicado por un delito tiene el derecho a denunciarlo en cualquier momento, con el límite de la prescripción regulada en el art. 131 CP, que trae consigo la extinción de la responsabilidad criminal (art. 130.1.6 CP), prescripción que la propia sentencia impugnada descarta en el presente caso (fundamento jurídico noveno). Responsabilizar a víctimas de unas “dilaciones indebidas”, que deben referirse exclusivamente a la tramitación del proceso judicial y a la diligencia de los órganos judiciales a la hora de llevar a cabo esta tarea, es también irrazonable.</w:t>
      </w:r>
    </w:p>
    <w:p w14:paraId="5ADAF490" w14:textId="77777777" w:rsidR="009D7677" w:rsidRDefault="009D7677" w:rsidP="009D7677">
      <w:pPr>
        <w:pStyle w:val="TextoNormal"/>
      </w:pPr>
    </w:p>
    <w:p w14:paraId="22D2F7A9" w14:textId="77777777" w:rsidR="009D7677" w:rsidRDefault="009D7677" w:rsidP="009D7677">
      <w:pPr>
        <w:pStyle w:val="TextoNormal"/>
      </w:pPr>
      <w:r>
        <w:t>Más aún cuando del examen del expediente judicial y de lo expuesto en el fundamento jurídico sexto de la sentencia (dictada por el juzgado de lo penal y no controvertido posteriormente) se desprende que la recurrente en amparo había comunicado los hechos a su director de departamento en la Universidad de Sevilla desde un momento muy anterior a la presentación de la denuncia penal; y que, ante la ausencia de una actuación eficaz por parte de este, presentó, junto con las otras dos víctimas, denuncia formal ante el vicerrectorado el día 3 de noviembre de 2010; siendo finalmente la propia universidad la que formuló la denuncia penal tres meses después, a la vista del resultado de la información reservada tramitada a raíz de aquella comunicación formal.</w:t>
      </w:r>
    </w:p>
    <w:p w14:paraId="034DBB39" w14:textId="77777777" w:rsidR="009D7677" w:rsidRDefault="009D7677" w:rsidP="009D7677">
      <w:pPr>
        <w:pStyle w:val="TextoNormal"/>
      </w:pPr>
    </w:p>
    <w:p w14:paraId="679C29E3" w14:textId="77777777" w:rsidR="009D7677" w:rsidRDefault="009D7677" w:rsidP="009D7677">
      <w:pPr>
        <w:pStyle w:val="TextoNormal"/>
      </w:pPr>
      <w:r>
        <w:t xml:space="preserve">Además, hay que añadir que la sentencia impugnada no tiene en cuenta el contexto en el que se produce la actuación delictiva y, como se afirma en la demanda, soslaya la perspectiva de género que el art. 49.2 del Convenio de Estambul obliga a tener en cuenta en este tipo de violencia para garantizar un procedimiento efectivo por los delitos en él previstos. Por un lado, tal forma de razonar desconoce las repercusiones específicas que los delitos relacionados con la violencia sexual tienen sobre sus víctimas, y cómo afectan a su </w:t>
      </w:r>
      <w:r>
        <w:lastRenderedPageBreak/>
        <w:t>conducta en relación con la denuncia y persecución del delito, desconociendo la situación de desventaja y desprotección de las víctimas. Más si cabe en este caso en el que estas, tal y como se desprende del relato de hechos probados de la sentencia de instancia, podían temer, de forma racional que, si denunciaban, podrían perder incluso su empleo. El abuso sexual llevado a cabo de forma continuada durante más de tres años se produce en el marco de una relación laboral de carácter vertical en la que el agresor, decano entonces de la facultad y catedrático del departamento al que las víctimas pertenecían, les advirtió a estas, mujeres jóvenes que acaban de emprender su carrera docente e investigadora, que debían seguir siempre sus deseos e instrucciones. Resulta patente que las víctimas se encontraban en una clara situación de vulnerabilidad, con contratos de trabajo no permanentes y cuya renovación y promoción en su carrera académica dependía de la voluntad del agresor tal y como este les hizo saber a las víctimas. No tener en cuenta este contexto y responsabilizar a las perjudicadas por el delito de la demora en denunciar, no solo es irrazonable desde la perspectiva del art. 24.1 CE, sino que desconoce también el mandato de prohibición de discriminación por razón de sexo contenido en el art. 14 CE.</w:t>
      </w:r>
    </w:p>
    <w:p w14:paraId="2E24B448" w14:textId="77777777" w:rsidR="009D7677" w:rsidRDefault="009D7677" w:rsidP="009D7677">
      <w:pPr>
        <w:pStyle w:val="TextoNormal"/>
      </w:pPr>
    </w:p>
    <w:p w14:paraId="1D07B73F" w14:textId="77777777" w:rsidR="009D7677" w:rsidRDefault="009D7677" w:rsidP="009D7677">
      <w:pPr>
        <w:pStyle w:val="TextoNormal"/>
      </w:pPr>
      <w:r>
        <w:t xml:space="preserve">Por otra parte, la sentencia de apelación ignora por completo que los abusos sexuales —por los que la sentencia impugnada mantuvo la condena del señor Romero Granados— forman parte de los delitos relacionados con la violencia de género, que constituye la forma más grave de discriminación contra la mujer; y, como consecuencia de ello, soslaya las exigencias derivadas de la prohibición de discriminación por razón de sexo proclamada por el art. 14 CE. En este sentido, el Tribunal Europeo de Derechos Humanos, en la reciente sentencia de su Sala Segunda de 12 de diciembre de 2023, asunto </w:t>
      </w:r>
      <w:r w:rsidRPr="009D7677">
        <w:rPr>
          <w:i/>
        </w:rPr>
        <w:t>Vučković c. Croacia</w:t>
      </w:r>
      <w:r>
        <w:t>, ha declarado en relación con la investigación, enjuiciamiento y castigo de delitos de violencia sexual, que “los tribunales nacionales no deben estar dispuestos en ningún caso a permitir que queden impunes graves atentados contra la integridad física y mental, ni a permitir que delitos graves sean castigados con sanciones excesivamente indulgentes” (§ 52), y ha admitido que la labor de control asignada al propio Tribunal se extienda en estos casos al examen de si los criterios y razones ofrecidas por el tribunal nacional a la hora de determinar las consecuencias penales de esta clase de delitos resultan “adecuados para asegurar que el castigo se mantiene proporcionado a la naturaleza y gravedad del maltrato ínsito en los actos criminales cometidos contra la demandante como víctima” (§ 55).</w:t>
      </w:r>
    </w:p>
    <w:p w14:paraId="413A495F" w14:textId="77777777" w:rsidR="009D7677" w:rsidRDefault="009D7677" w:rsidP="009D7677">
      <w:pPr>
        <w:pStyle w:val="TextoNormal"/>
      </w:pPr>
    </w:p>
    <w:p w14:paraId="760E9B65" w14:textId="77777777" w:rsidR="009D7677" w:rsidRDefault="009D7677" w:rsidP="009D7677">
      <w:pPr>
        <w:pStyle w:val="TextoNormal"/>
      </w:pPr>
      <w:r>
        <w:t>Por todo lo anterior, consideramos que la sentencia impugnada, al apreciar la circunstancia atenuante de responsabilidad criminal de dilaciones indebidas en grado muy cualificado y rebajar en dos grados la pena impuesta al señor Romero Granados, vulneró el derecho a la tutela judicial efectiva (art. 24.1 CE) en relación con el derecho a no ser discriminada por razón de sexo (art. 14 CE).</w:t>
      </w:r>
    </w:p>
    <w:p w14:paraId="4100E870" w14:textId="77777777" w:rsidR="009D7677" w:rsidRDefault="009D7677" w:rsidP="009D7677">
      <w:pPr>
        <w:pStyle w:val="TextoNormal"/>
      </w:pPr>
    </w:p>
    <w:p w14:paraId="6649A493" w14:textId="2795F2BA" w:rsidR="009D7677" w:rsidRDefault="009D7677" w:rsidP="009D7677">
      <w:pPr>
        <w:pStyle w:val="TextoNormal"/>
      </w:pPr>
      <w:r>
        <w:t>Lo afirmado conduce a la estimación de esta queja, sin que sea necesario entrar a examinar las vulneraciones de derechos fundamentales que se atribuyen al auto dictado por la Audiencia Provincial de Sevilla el 5 de mayo de 2020, por el que se inadmitió el incidente de nulidad de actuaciones promovido contra la sentencia de 20 de diciembre de 2019.</w:t>
      </w:r>
    </w:p>
    <w:p w14:paraId="56D791F3" w14:textId="77777777" w:rsidR="009D7677" w:rsidRDefault="009D7677" w:rsidP="009D7677">
      <w:pPr>
        <w:pStyle w:val="TextoNormal"/>
      </w:pPr>
    </w:p>
    <w:p w14:paraId="517222DD" w14:textId="77777777" w:rsidR="009D7677" w:rsidRDefault="009D7677" w:rsidP="009D7677">
      <w:pPr>
        <w:pStyle w:val="TextoNormal"/>
      </w:pPr>
      <w:r w:rsidRPr="009D7677">
        <w:rPr>
          <w:rStyle w:val="NumeroAFNegritaCaracter"/>
        </w:rPr>
        <w:t>6</w:t>
      </w:r>
      <w:r>
        <w:t xml:space="preserve">. </w:t>
      </w:r>
      <w:r w:rsidRPr="009D7677">
        <w:rPr>
          <w:i/>
        </w:rPr>
        <w:t>Alcance del fallo estimatorio</w:t>
      </w:r>
    </w:p>
    <w:p w14:paraId="621D3DDB" w14:textId="77777777" w:rsidR="009D7677" w:rsidRDefault="009D7677" w:rsidP="009D7677">
      <w:pPr>
        <w:pStyle w:val="TextoNormal"/>
      </w:pPr>
    </w:p>
    <w:p w14:paraId="1B2FA4C3" w14:textId="77777777" w:rsidR="009D7677" w:rsidRDefault="009D7677" w:rsidP="009D7677">
      <w:pPr>
        <w:pStyle w:val="TextoNormal"/>
      </w:pPr>
      <w:r>
        <w:lastRenderedPageBreak/>
        <w:t>Las particulares circunstancias concurrentes en el presente caso aconsejan que llevemos a cabo una explicación de los efectos que se derivan por la estimación de queja referida a la reducción de la pena por apreciar la atenuante muy cualificada de dilaciones indebidas.</w:t>
      </w:r>
    </w:p>
    <w:p w14:paraId="154FD8A6" w14:textId="77777777" w:rsidR="009D7677" w:rsidRDefault="009D7677" w:rsidP="009D7677">
      <w:pPr>
        <w:pStyle w:val="TextoNormal"/>
      </w:pPr>
    </w:p>
    <w:p w14:paraId="458DBB69" w14:textId="77777777" w:rsidR="009D7677" w:rsidRDefault="009D7677" w:rsidP="009D7677">
      <w:pPr>
        <w:pStyle w:val="TextoNormal"/>
      </w:pPr>
      <w:r>
        <w:t>La demanda de amparo, en relación con esta queja, interesa en el suplico que se declare que la sentencia de la sección primera de la Audiencia Provincial de Sevilla de 20 de diciembre de 2019 vulneró los derechos fundamentales de la recurrente, y que, como medio indispensable para repararlos, se acuerde la nulidad y se deje sin efecto la sentencia recurrida en lo referente a la reducción de la pena llevada a cabo mediante la aplicación de la atenuante de dilaciones indebidas en grado de muy cualificada, volviendo a la condena inicial establecida por el juzgado de lo penal.</w:t>
      </w:r>
    </w:p>
    <w:p w14:paraId="769C4E21" w14:textId="77777777" w:rsidR="009D7677" w:rsidRDefault="009D7677" w:rsidP="009D7677">
      <w:pPr>
        <w:pStyle w:val="TextoNormal"/>
      </w:pPr>
    </w:p>
    <w:p w14:paraId="38302C48" w14:textId="77777777" w:rsidR="009D7677" w:rsidRDefault="009D7677" w:rsidP="009D7677">
      <w:pPr>
        <w:pStyle w:val="TextoNormal"/>
      </w:pPr>
      <w:r>
        <w:t>El primero de los pedimentos, de naturaleza estrictamente declarativa, no suscita problema alguno. No ocurre lo mismo con el resto de los contenidos del suplico de la demanda.</w:t>
      </w:r>
    </w:p>
    <w:p w14:paraId="76F38F2F" w14:textId="77777777" w:rsidR="009D7677" w:rsidRDefault="009D7677" w:rsidP="009D7677">
      <w:pPr>
        <w:pStyle w:val="TextoNormal"/>
      </w:pPr>
    </w:p>
    <w:p w14:paraId="6C880D9B" w14:textId="77777777" w:rsidR="009D7677" w:rsidRDefault="009D7677" w:rsidP="009D7677">
      <w:pPr>
        <w:pStyle w:val="TextoNormal"/>
      </w:pPr>
      <w:r>
        <w:t>Así, hemos de tener en cuenta que la doctrina de este tribunal —con determinadas excepciones puntuales— se ha mostrado contraria a la anulación de fallos penales absolutorios firmes o de modificación de fallos penales condenatorios que impliquen un aumento de la condena (por todas SSTC 41/1997, de 10 de marzo, FJ 6; 218/1997, de 4 de diciembre, FJ 2, y 21/2000, de 31 de enero, FJ 2) por razones vinculadas a la salvaguarda del principio de seguridad jurídica. Estas razones de seguridad jurídica se encuentran particularmente presentes en el caso examinado, en que la pena impuesta por la sentencia cuya anulación se pretende ha quedado ya cumplida por el condenado, conforme a la modalidad de ejecución determinada por el órgano judicial competente.</w:t>
      </w:r>
    </w:p>
    <w:p w14:paraId="30BB9815" w14:textId="77777777" w:rsidR="009D7677" w:rsidRDefault="009D7677" w:rsidP="009D7677">
      <w:pPr>
        <w:pStyle w:val="TextoNormal"/>
      </w:pPr>
    </w:p>
    <w:p w14:paraId="778EABA5" w14:textId="77777777" w:rsidR="009D7677" w:rsidRDefault="009D7677" w:rsidP="009D7677">
      <w:pPr>
        <w:pStyle w:val="TextoNormal"/>
      </w:pPr>
      <w:r>
        <w:t>En efecto, las penas de prisión que le habían resultado impuestas resultaron condicionalmente suspendidas por auto del Juzgado de lo Penal núm. 2 de Sevilla de 22 de junio de 2020. La suspensión se concedió por plazo de tres años y se condicionó a que el beneficiario no delinquiera durante dicho plazo, pagase una multa de dieciséis meses con cuota diaria de cinco euros (2400 €) y participase en programas formativos de educación sexual y otros similares que se fijasen por el servicio de gestión de penas y medidas alternativas. El 10 de enero de 2023 la letrada de la administración de justicia del Juzgado de lo Penal núm. 2 de Sevilla emitió certificación dando fe de que en la ejecutoria 74-2020, derivada de la sentencia dictada en el procedimiento abreviado 276-2015, la multa a cuyo pago se condicionó la suspensión de las penas de prisión había sido abonada en su totalidad, así como las indemnizaciones y las costas, los cursos formativos de educación sexual habían sido finalizados el 5 de septiembre de 2022 y la pena de prisión suspendida quedaría remitida definitivamente el 21 de julio de 2023.</w:t>
      </w:r>
    </w:p>
    <w:p w14:paraId="55BC6F4B" w14:textId="77777777" w:rsidR="009D7677" w:rsidRDefault="009D7677" w:rsidP="009D7677">
      <w:pPr>
        <w:pStyle w:val="TextoNormal"/>
      </w:pPr>
    </w:p>
    <w:p w14:paraId="531D1DE2" w14:textId="4A22D17F" w:rsidR="009D7677" w:rsidRDefault="009D7677" w:rsidP="009D7677">
      <w:pPr>
        <w:pStyle w:val="TextoNormal"/>
      </w:pPr>
      <w:r>
        <w:t>Por tal motivo, debemos limitar el alcance de la estimación del recurso de amparo a la declaración de lesión del derecho fundamental a la tutela judicial efectiva (art. 24.1 CE) en relación con el derecho a no ser discriminada por razón de sexo (art. 14 CE).</w:t>
      </w:r>
    </w:p>
    <w:p w14:paraId="07BC566C" w14:textId="77777777" w:rsidR="009D7677" w:rsidRDefault="009D7677" w:rsidP="009D7677">
      <w:pPr>
        <w:pStyle w:val="TextoNormal"/>
      </w:pPr>
    </w:p>
    <w:p w14:paraId="400FD0C2" w14:textId="77777777" w:rsidR="009D7677" w:rsidRDefault="009D7677" w:rsidP="009D7677">
      <w:pPr>
        <w:pStyle w:val="TextoNormalCentrado"/>
        <w:keepNext/>
      </w:pPr>
      <w:r>
        <w:t>FALLO</w:t>
      </w:r>
    </w:p>
    <w:p w14:paraId="05C3A0FA" w14:textId="3D033B89" w:rsidR="009D7677" w:rsidRDefault="009D7677" w:rsidP="009D7677">
      <w:pPr>
        <w:pStyle w:val="TextoNormalCentrado"/>
        <w:keepNext/>
      </w:pPr>
    </w:p>
    <w:p w14:paraId="58EE10CB" w14:textId="6E12A7C9" w:rsidR="009D7677" w:rsidRDefault="009D7677" w:rsidP="009D7677">
      <w:pPr>
        <w:pStyle w:val="TextoNormal"/>
      </w:pPr>
      <w:r>
        <w:t xml:space="preserve">En atención a todo lo expuesto, el Tribunal Constitucional, por la autoridad que le confiere la Constitución de la Nación española, ha decidido estimar parcialmente el recurso de </w:t>
      </w:r>
      <w:r>
        <w:lastRenderedPageBreak/>
        <w:t>amparo interpuesto por doña L.G.A., y, en su virtud, declarar que se ha vulnerado su derecho a la tutela judicial efectiva (art. 24.1 CE) en relación con el derecho a no ser discriminada por razón de sexo (art. 14 CE).</w:t>
      </w:r>
    </w:p>
    <w:p w14:paraId="2AF66248" w14:textId="77777777" w:rsidR="009D7677" w:rsidRDefault="009D7677" w:rsidP="009D7677">
      <w:pPr>
        <w:pStyle w:val="TextoNormal"/>
      </w:pPr>
    </w:p>
    <w:p w14:paraId="65222239" w14:textId="77777777" w:rsidR="009D7677" w:rsidRDefault="009D7677" w:rsidP="009D7677">
      <w:pPr>
        <w:pStyle w:val="TextoNormal"/>
      </w:pPr>
      <w:r>
        <w:t>Publíquese esta sentencia en el “Boletín Oficial del Estado”.</w:t>
      </w:r>
    </w:p>
    <w:p w14:paraId="1BA244A0" w14:textId="77777777" w:rsidR="009D7677" w:rsidRDefault="009D7677" w:rsidP="009D7677">
      <w:pPr>
        <w:pStyle w:val="TextoNormal"/>
      </w:pPr>
      <w:r>
        <w:t>Dada en Madrid, a ocho de abril de dos mil veinticuatro.</w:t>
      </w:r>
    </w:p>
    <w:p w14:paraId="31B7749E" w14:textId="6987D925" w:rsidR="009D7677" w:rsidRDefault="009D7677" w:rsidP="009D7677">
      <w:pPr>
        <w:pStyle w:val="ParrafoNormal"/>
      </w:pPr>
    </w:p>
    <w:p w14:paraId="2E9CCE98" w14:textId="77777777" w:rsidR="009D7677" w:rsidRDefault="009D7677" w:rsidP="009D7677">
      <w:pPr>
        <w:pStyle w:val="TextoNormalNegritaCentrado"/>
        <w:keepNext/>
      </w:pPr>
      <w:r>
        <w:t>Voto particular concurrente que formula la magistrada doña María Luisa Balaguer Callejón a la sentencia dictada en el recurso de amparo núm. 2975-2020</w:t>
      </w:r>
    </w:p>
    <w:p w14:paraId="34ECF467" w14:textId="0168DAC1" w:rsidR="009D7677" w:rsidRDefault="009D7677" w:rsidP="009D7677">
      <w:pPr>
        <w:pStyle w:val="TextoNormalNegritaCentrado"/>
        <w:keepNext/>
      </w:pPr>
    </w:p>
    <w:p w14:paraId="0268EC9A" w14:textId="77777777" w:rsidR="009D7677" w:rsidRDefault="009D7677" w:rsidP="009D7677">
      <w:pPr>
        <w:pStyle w:val="TextoNormal"/>
      </w:pPr>
      <w:r>
        <w:t>Con el mayor respeto al criterio reflejado en la sentencia y, en ejercicio de la facultad prevista en el art. 90.2 de la Ley Orgánica del Tribunal Constitucional, formulo este voto para dejar constancia y hacer públicos los argumentos que expuse en las deliberaciones de la Sala Segunda que concluyeron con la estimación parcial del recurso de amparo núm. 2975-2020, contra la sentencia dictada por la Sección Primera de la Audiencia Provincial de Sevilla el día 20 de diciembre de 2019, por la que se resolvieron los recursos de apelación interpuestos contra la sentencia dictada por el Juzgado de lo Penal núm. 2 de Sevilla en los autos de procedimiento abreviado núm. 276-2015; y contra el auto dictado por la misma sección de la Audiencia Provincial de Sevilla el 5 de mayo de 2020 por el que se inadmitió el incidente de nulidad de actuaciones promovido frente a la sentencia de 20 de diciembre.</w:t>
      </w:r>
    </w:p>
    <w:p w14:paraId="345502A5" w14:textId="77777777" w:rsidR="009D7677" w:rsidRDefault="009D7677" w:rsidP="009D7677">
      <w:pPr>
        <w:pStyle w:val="TextoNormal"/>
      </w:pPr>
    </w:p>
    <w:p w14:paraId="6001A42D" w14:textId="77777777" w:rsidR="009D7677" w:rsidRDefault="009D7677" w:rsidP="009D7677">
      <w:pPr>
        <w:pStyle w:val="TextoNormal"/>
      </w:pPr>
      <w:r>
        <w:t xml:space="preserve">1. </w:t>
      </w:r>
      <w:r w:rsidRPr="009D7677">
        <w:rPr>
          <w:i/>
        </w:rPr>
        <w:t>La perspectiva de género en el proceso penal</w:t>
      </w:r>
    </w:p>
    <w:p w14:paraId="4EB26D01" w14:textId="77777777" w:rsidR="009D7677" w:rsidRDefault="009D7677" w:rsidP="009D7677">
      <w:pPr>
        <w:pStyle w:val="TextoNormal"/>
      </w:pPr>
    </w:p>
    <w:p w14:paraId="6979798B" w14:textId="77777777" w:rsidR="009D7677" w:rsidRDefault="009D7677" w:rsidP="009D7677">
      <w:pPr>
        <w:pStyle w:val="TextoNormal"/>
      </w:pPr>
      <w:r>
        <w:t>Mi principal diferencia con la argumentación seguida en la sentencia aprobada por la mayoría de la Sala Segunda está en la aplicación de la perspectiva de género, tan necesaria y oportuna en un amparo como el que resolvíamos en esta ocasión, que entiendo que debería haber sido más extensa.</w:t>
      </w:r>
    </w:p>
    <w:p w14:paraId="3E6B6E8F" w14:textId="77777777" w:rsidR="009D7677" w:rsidRDefault="009D7677" w:rsidP="009D7677">
      <w:pPr>
        <w:pStyle w:val="TextoNormal"/>
      </w:pPr>
    </w:p>
    <w:p w14:paraId="17C8F5F3" w14:textId="77777777" w:rsidR="009D7677" w:rsidRDefault="009D7677" w:rsidP="009D7677">
      <w:pPr>
        <w:pStyle w:val="TextoNormal"/>
      </w:pPr>
      <w:r>
        <w:t>En los antecedentes de hecho de la sentencia apenas se le dedica un párrafo a esta exigencia: “Seguidamente recoge un estudio detallado sobre el concepto de perspectiva de género, su evolución histórica, su incorporación a los textos legales, tanto internacionales como internos, su encaje constitucional a partir de los artículos 1.1, 9.2 y 14 CE, y su aplicación por los órganos judiciales y por este mismo Tribunal Constitucional”. No se trae a la sentencia el esfuerzo de conceptualización que había formulado muy acertadamente el Ministerio Fiscal sobre la perspectiva de género en un asunto que, como sí se reconoce, viene directamente relacionado con formas de violencia contras las mujeres.</w:t>
      </w:r>
    </w:p>
    <w:p w14:paraId="1B20E1FA" w14:textId="77777777" w:rsidR="009D7677" w:rsidRDefault="009D7677" w:rsidP="009D7677">
      <w:pPr>
        <w:pStyle w:val="TextoNormal"/>
      </w:pPr>
    </w:p>
    <w:p w14:paraId="529BB729" w14:textId="77777777" w:rsidR="009D7677" w:rsidRDefault="009D7677" w:rsidP="009D7677">
      <w:pPr>
        <w:pStyle w:val="TextoNormal"/>
      </w:pPr>
      <w:r>
        <w:t xml:space="preserve">La perspectiva de género es un método de interpretación de un conflicto jurídico a través de un análisis que tenga como referencia a las mujeres en un juicio en el que el hecho de ser mujer es determinante y, por tanto, no cabe acudir a la supuesta neutralidad del Derecho. Esta perspectiva en la interpretación y aplicación del derecho deriva de la propia Constitución, que en los arts. 14 y 9.2 CE, reconoce el derecho a la igualdad, y ese derecho es desarrollado legislativamente en la Ley Orgánica 3/2007, de 22 de marzo, para la igualdad efectiva de mujeres y hombres. El art. 4 de esta ley impone la integración del principio de igualdad en la interpretación y aplicación de las normas: “La igualdad de trato </w:t>
      </w:r>
      <w:r>
        <w:lastRenderedPageBreak/>
        <w:t>y de oportunidades entre mujeres y hombres es un principio informador del ordenamiento jurídico y, como tal, se integrará y observará en la interpretación y aplicación de las normas jurídicas”.</w:t>
      </w:r>
    </w:p>
    <w:p w14:paraId="1FD01F92" w14:textId="77777777" w:rsidR="009D7677" w:rsidRDefault="009D7677" w:rsidP="009D7677">
      <w:pPr>
        <w:pStyle w:val="TextoNormal"/>
      </w:pPr>
    </w:p>
    <w:p w14:paraId="641534C8" w14:textId="77777777" w:rsidR="009D7677" w:rsidRDefault="009D7677" w:rsidP="009D7677">
      <w:pPr>
        <w:pStyle w:val="TextoNormal"/>
      </w:pPr>
      <w:r>
        <w:t>Igualmente en relevantes textos internacionales de los que España es parte y que obligan a todos los poderes públicos, en virtud del art. 10.2 CE. Entre los poderes públicos quedan incluidos los órganos del poder judicial, como ha recordado el Tribunal Supremo, por ejemplo, en su STS 576/2022, de 23 de junio de 2022, del Pleno de Sala de lo Social, en el fundamento jurídico 4, bajo el título “Doctrina general sobre la interpretación con perspectiva de género”. En esta sentencia, el Tribunal Supremo recuerda que al ser una doctrina general “ninguna duda cabe sobre la obligación de jueces y tribunales de incorporar la perspectiva de género en lo que constituye su actuación como Poder del Estado, esto es, en la interpretación y aplicación de las normas. Así lo hemos sostenido, por ejemplo, en las SSTS de 26 septiembre 2018 (recurso de casación para la unificación de doctrina núm. 1352-2017) y 13 noviembre 2019 (recurso de casación para la unificación de doctrina núm. 75-2018). La interpretación que aquí se sostiene viene avalada por la aplicación del principio general contenido en el artículo 4 LOI según el que la igualdad de trato y de oportunidades entre mujeres y hombres es un principio informador del ordenamiento jurídico y, como tal, se integrará y observará en la interpretación y aplicación de las normas jurídicas. Ello significa, por un lado, que la igualdad entre mujeres y hombres constituye valor supremo del ordenamiento jurídico; y, por otro, que consecuentemente, la aplicación de tal principio debe considerarse criterio hermenéutico imprescindible para la interpretación de las normas jurídicas”.</w:t>
      </w:r>
    </w:p>
    <w:p w14:paraId="614AC51C" w14:textId="77777777" w:rsidR="009D7677" w:rsidRDefault="009D7677" w:rsidP="009D7677">
      <w:pPr>
        <w:pStyle w:val="TextoNormal"/>
      </w:pPr>
    </w:p>
    <w:p w14:paraId="50B6FC55" w14:textId="77777777" w:rsidR="009D7677" w:rsidRDefault="009D7677" w:rsidP="009D7677">
      <w:pPr>
        <w:pStyle w:val="TextoNormal"/>
      </w:pPr>
      <w:r>
        <w:t>El anclaje constitucional de la perspectiva de género, viene así reforzado por los tratados en la materia a los que España ha decidido obligarse y que, en virtud de art. 10.2 CE, son un mandato interpretativo para todos los poderes públicos. El Convenio del Consejo de Europa sobre prevención y lucha contra la violencia contra las mujeres y la violencia doméstica, conocido como Convenio de Estambul, en su preámbulo reconoce la naturaleza estructural de la violencia contra las mujeres, que define como una violación de los derechos humanos y una forma de discriminación contra la mujer, que implica todo acto de violencia basado en la pertenencia al sexo femenino que tenga o pueda tener como resultado un daño o sufrimiento físico, sexual, psicológico o económico para la mujer, así como las amenazas de tales actos, la coacción o la privación arbitraria de la libertad, tanto si se producen en la vida pública como en la vida privada. Para luchar contra esta forma de discriminación de las mujeres, los Estados se obligan a operar conforme al principio de diligencia debida que supone abstenerse de todo acto de violencia contra las mujeres y, además, velar por que todas las autoridades y poderes públicos cumplan dicha obligación. Asimismo, los Estados y todos sus agentes adoptarán las medidas legislativas y de otro tipo necesarias para actuar con la diligencia debida a fin de prevenir, investigar, sancionar y reparar los actos de violencia machista que sean perpetrados por personas privadas. También, en su artículo 6, el Convenio expresamente prevé que los Estados se comprometerán a incluir convencionales y a promover y aplicar efectivamente políticas de igualdad entre mujeres y hombres y de emancipación de las mujeres.</w:t>
      </w:r>
    </w:p>
    <w:p w14:paraId="3E2FFED5" w14:textId="77777777" w:rsidR="009D7677" w:rsidRDefault="009D7677" w:rsidP="009D7677">
      <w:pPr>
        <w:pStyle w:val="TextoNormal"/>
      </w:pPr>
    </w:p>
    <w:p w14:paraId="6C3F6EBB" w14:textId="77777777" w:rsidR="009D7677" w:rsidRDefault="009D7677" w:rsidP="009D7677">
      <w:pPr>
        <w:pStyle w:val="TextoNormal"/>
      </w:pPr>
      <w:r>
        <w:t xml:space="preserve">El otro gran texto internacional en la materia es la Convención sobre la eliminación de todas las formas de discriminación contra la mujer, el tratado internacional específicamente aprobado en el seno de las Naciones Unidas para combatir toda discriminación contras </w:t>
      </w:r>
      <w:r>
        <w:lastRenderedPageBreak/>
        <w:t>mujeres, por suponer la contravención de los principios de la igualdad de derechos y del respeto de la dignidad humana, y cuenta con un comité para la eliminación de la discriminación contra la mujer que, entre otras actuaciones de tutela, elabora recomendaciones para la adopción de medidas de erradicación de aquella discriminación en distintos ámbitos. En el ámbito de la justicia, el Comité aprobó la recomendación general núm. 33 sobre el acceso de las mujeres a la justicia. Entre las recomendaciones para la esfera del Derecho penal, dicha recomendación explícitamente declara que los ordenamientos jurídicos y los poderes públicos que concurran en el proceso penal deberán evitar penalizar o actuar con la debida diligencia para prevenir y proporcionar recursos por delitos que afectan desproporcionada o únicamente a las mujeres. Y para conseguir dichos objetivos, se recomienda, en lo que ahora aquí interesa, que las autoridades públicas ejerzan la debida diligencia para prevenir, investigar, castigar y ofrecer reparación por todos los delitos cometidos contra mujeres, ya sea perpetrados por agentes estatales o no estatales; tomen medidas apropiadas para crear un entorno de apoyo que aliente a las mujeres a reclamar sus derechos, denunciar delitos cometidos contra ellas y participar activamente en los procesos de la justicia penal; utilicen un criterio confidencial y con una perspectiva de género para evitar la estigmatización durante todas las actuaciones judiciales, incluida la victimización secundaria en casos de violencia, durante el interrogatorio, la reunión de pruebas y otros procedimientos relacionados con la investigación; revisen las normas sobre pruebas y su aplicación específicamente en casos de violencia contra la mujer. Debiendo adoptar medidas que tengan en cuenta los derechos a un juicio justo de las víctimas y los defensores en los procedimientos penales, para asegurar que no se restrinjan excesivamente los requisitos probatorios, y que no sean excesivamente inflexibles o estén influenciados por estereotipos de género; revisen y supervisen todos los procedimientos judiciales para garantizar que no discriminen directa o indirectamente contra la mujer; y actúen con la debida diligencia para prevenir y proporcionar recursos por delitos que afectan desproporcionada o exclusivamente a las mujeres, ya sea que esos actos fueron perpetrados por agentes estatales o no estatales.</w:t>
      </w:r>
    </w:p>
    <w:p w14:paraId="71233C04" w14:textId="77777777" w:rsidR="009D7677" w:rsidRDefault="009D7677" w:rsidP="009D7677">
      <w:pPr>
        <w:pStyle w:val="TextoNormal"/>
      </w:pPr>
    </w:p>
    <w:p w14:paraId="41189723" w14:textId="77777777" w:rsidR="009D7677" w:rsidRDefault="009D7677" w:rsidP="009D7677">
      <w:pPr>
        <w:pStyle w:val="TextoNormal"/>
      </w:pPr>
      <w:r>
        <w:t>Si llevamos estas recomendaciones a casos de violencia sexual contra la mujer, la perspectiva de género implica que los juzgadores sean conscientes de que están en un contexto delictivo en que las mujeres son las víctimas propiciatorias porque las conductas penadas se llevan a cabo por hombres que se prevalen de su posición de poder, privilegio o superioridad. Así, no cabe acercarse al estudio de estos supuestos de una forma falsamente neutral puesto que esto solo supondrá la revictimización de las mujeres. Ello supone que los operadores jurídicos entiendan cual es la situación a la que se enfrentan estas mujeres una vez que han sido víctimas de violencia sexual, que no solo les genera, en su caso, un daño físico, sino que puede ir mucho más allá generando daños psíquicos, a veces leves o a veces muy graves, dependiendo de cómo cada mujer somatice el sufrimiento padecido y de cual haya sido la intensidad y la duración de las conductas sexualmente violentas contra ellas.</w:t>
      </w:r>
    </w:p>
    <w:p w14:paraId="0A67FEC8" w14:textId="77777777" w:rsidR="009D7677" w:rsidRDefault="009D7677" w:rsidP="009D7677">
      <w:pPr>
        <w:pStyle w:val="TextoNormal"/>
      </w:pPr>
    </w:p>
    <w:p w14:paraId="007A098D" w14:textId="77777777" w:rsidR="009D7677" w:rsidRDefault="009D7677" w:rsidP="009D7677">
      <w:pPr>
        <w:pStyle w:val="TextoNormal"/>
      </w:pPr>
      <w:r>
        <w:t>Es más, dar un enfoque de género a la justicia penal implica saber que sufrir violencia sexual no solo afecta física y psicológicamente a las mujeres, sino que, además, puede impactar gravemente en el bienestar psicosocial de la víctima, su entorno y relaciones familiares, a su vida íntima y su carrera profesional.</w:t>
      </w:r>
    </w:p>
    <w:p w14:paraId="296BA733" w14:textId="77777777" w:rsidR="009D7677" w:rsidRDefault="009D7677" w:rsidP="009D7677">
      <w:pPr>
        <w:pStyle w:val="TextoNormal"/>
      </w:pPr>
    </w:p>
    <w:p w14:paraId="14C15072" w14:textId="77777777" w:rsidR="009D7677" w:rsidRDefault="009D7677" w:rsidP="009D7677">
      <w:pPr>
        <w:pStyle w:val="TextoNormal"/>
      </w:pPr>
      <w:r>
        <w:lastRenderedPageBreak/>
        <w:t>Interpretar y aplicar la norma con perspectiva de género es, por lo tanto, reconocer la plenitud de los derechos de las mujeres a desarrollar su personalidad de forma autónoma, en libertad y exenta de violencia.</w:t>
      </w:r>
    </w:p>
    <w:p w14:paraId="1482B4C3" w14:textId="77777777" w:rsidR="009D7677" w:rsidRDefault="009D7677" w:rsidP="009D7677">
      <w:pPr>
        <w:pStyle w:val="TextoNormal"/>
      </w:pPr>
    </w:p>
    <w:p w14:paraId="2E6E6E40" w14:textId="77777777" w:rsidR="009D7677" w:rsidRDefault="009D7677" w:rsidP="009D7677">
      <w:pPr>
        <w:pStyle w:val="TextoNormal"/>
      </w:pPr>
      <w:r>
        <w:t>Desde este enfoque metodológico y, por tanto, condicionante de la interpretación del Derecho, la respuesta del Tribunal debería haber sido diferente, como paso brevemente a mostrar.</w:t>
      </w:r>
    </w:p>
    <w:p w14:paraId="5557C9FC" w14:textId="77777777" w:rsidR="009D7677" w:rsidRDefault="009D7677" w:rsidP="009D7677">
      <w:pPr>
        <w:pStyle w:val="TextoNormal"/>
      </w:pPr>
    </w:p>
    <w:p w14:paraId="46F66EF5" w14:textId="77777777" w:rsidR="009D7677" w:rsidRDefault="009D7677" w:rsidP="009D7677">
      <w:pPr>
        <w:pStyle w:val="TextoNormal"/>
      </w:pPr>
      <w:r>
        <w:t xml:space="preserve">2. </w:t>
      </w:r>
      <w:r w:rsidRPr="009D7677">
        <w:rPr>
          <w:i/>
        </w:rPr>
        <w:t>La falta de enjuiciamiento del art. 15 CE</w:t>
      </w:r>
    </w:p>
    <w:p w14:paraId="108E7AA7" w14:textId="77777777" w:rsidR="009D7677" w:rsidRDefault="009D7677" w:rsidP="009D7677">
      <w:pPr>
        <w:pStyle w:val="TextoNormal"/>
      </w:pPr>
    </w:p>
    <w:p w14:paraId="638C64F4" w14:textId="77777777" w:rsidR="009D7677" w:rsidRDefault="009D7677" w:rsidP="009D7677">
      <w:pPr>
        <w:pStyle w:val="TextoNormal"/>
      </w:pPr>
      <w:r>
        <w:t>Coinciden aquí el Ministerio Fiscal y la sentencia en que no existe un desarrollo suficiente en la demanda de amparo que permita enjuiciar dicha queja, puesto que el Tribunal no dispone de las razones por las que entiende la parte que este derecho ha sido vulnerado. Sin embargo, de la lectura de la demanda y desde un entendimiento global del asunto, cabe deducir sin mucho esfuerzo que el derecho a la integridad física y moral, recogido en el art. 15 CE, se vio directamente afectado por la decisión de la Audiencia Provincial de Sevilla de entender que no concurría un delito autónomo de lesiones psicológicas en este caso. Esta conclusión de la Audiencia Provincial plasmada en su sentencia de apelación de 20 de diciembre de 2019, es razonable para la mayoría, porque se fundamenta en argumentaciones jurídicas a las que nada cabe objetar.</w:t>
      </w:r>
    </w:p>
    <w:p w14:paraId="3F55A9E7" w14:textId="77777777" w:rsidR="009D7677" w:rsidRDefault="009D7677" w:rsidP="009D7677">
      <w:pPr>
        <w:pStyle w:val="TextoNormal"/>
      </w:pPr>
    </w:p>
    <w:p w14:paraId="3705634C" w14:textId="77777777" w:rsidR="009D7677" w:rsidRDefault="009D7677" w:rsidP="009D7677">
      <w:pPr>
        <w:pStyle w:val="TextoNormal"/>
      </w:pPr>
      <w:r>
        <w:t>En contra de esta conclusión, considero que la Audiencia Provincial llevó a cabo una interpretación del Código penal y de la jurisprudencia del Tribunal Supremo poco acorde y carente de toda perspectiva de género, pues un análisis desde esta categoría analítica, habría permitido llevar a la conclusión de que las lesiones producidas eran una consecuencia inescindible de los acosos producidos.</w:t>
      </w:r>
    </w:p>
    <w:p w14:paraId="1346B43E" w14:textId="77777777" w:rsidR="009D7677" w:rsidRDefault="009D7677" w:rsidP="009D7677">
      <w:pPr>
        <w:pStyle w:val="TextoNormal"/>
      </w:pPr>
    </w:p>
    <w:p w14:paraId="63D64386" w14:textId="77777777" w:rsidR="009D7677" w:rsidRDefault="009D7677" w:rsidP="009D7677">
      <w:pPr>
        <w:pStyle w:val="TextoNormal"/>
      </w:pPr>
      <w:r>
        <w:t xml:space="preserve">Como pretendo poner de manifiesto, no planteo que la Sala Segunda del Tribunal tuviera que hacer un enjuiciamiento de la valoración de la prueba realizada por la Audiencia Provincial de Sevilla, análisis que queda fuera de nuestro alcance, teniendo en cuenta la jurisprudencia del Tribunal previa sobre el proceso penal y el </w:t>
      </w:r>
      <w:r w:rsidRPr="009D7677">
        <w:rPr>
          <w:i/>
        </w:rPr>
        <w:t>ius ut procedatur</w:t>
      </w:r>
      <w:r>
        <w:t>. Pero sí que debería haberse analizado como los motivos sobre los que sostuvo la sentencia de apelación su rechazo a reconocer la existencia de un delito de lesiones psicológicas, y que se construyó sobre un sesgo de género que discriminó a la recurrente en amparo y víctima en el proceso penal. Este sesgo discriminatorio convierte los argumentos sobre los que basa su sentencia la Audiencia Provincial de Sevilla en irrazonables y, por tanto, contrarios al derecho a la integridad de la recurrente, a la luz también de su derecho a la libertad (art. 17 CE) y al libre desarrollo de su personalidad, en una interpretación constitucional, informada por los textos internacionales antes citados, en virtud del art. 10.2 CE.</w:t>
      </w:r>
    </w:p>
    <w:p w14:paraId="6ADD3CD0" w14:textId="77777777" w:rsidR="009D7677" w:rsidRDefault="009D7677" w:rsidP="009D7677">
      <w:pPr>
        <w:pStyle w:val="TextoNormal"/>
      </w:pPr>
    </w:p>
    <w:p w14:paraId="3F5C2C6E" w14:textId="77777777" w:rsidR="009D7677" w:rsidRDefault="009D7677" w:rsidP="009D7677">
      <w:pPr>
        <w:pStyle w:val="TextoNormal"/>
      </w:pPr>
      <w:r>
        <w:t>Arguye la Sala de lo Penal de la Audiencia Provincial de Sevilla que las secuelas psicológicas sufridas por la recurrente quedan subsumidas en el desvalor propio del abuso sexual y que no cabe entender que su intensidad y duración puedan dar lugar a un delito autónomo de lesiones psicológicas, recogido en el artículo 147.1 CP. La audiencia provincial sostiene que actúa de conformidad con la reiterada jurisprudencia del Tribunal Supremo en la materia.</w:t>
      </w:r>
    </w:p>
    <w:p w14:paraId="6E38038F" w14:textId="77777777" w:rsidR="009D7677" w:rsidRDefault="009D7677" w:rsidP="009D7677">
      <w:pPr>
        <w:pStyle w:val="TextoNormal"/>
      </w:pPr>
    </w:p>
    <w:p w14:paraId="4D212151" w14:textId="77777777" w:rsidR="009D7677" w:rsidRDefault="009D7677" w:rsidP="009D7677">
      <w:pPr>
        <w:pStyle w:val="TextoNormal"/>
      </w:pPr>
      <w:r>
        <w:lastRenderedPageBreak/>
        <w:t xml:space="preserve">Sin embargo, el desarrollo argumental de la Audiencia Provincial obvia que el propio Tribunal Supremo asume que puede haber situaciones excepcionales en las que la gravedad de las secuelas psicológicas de los abusos padecidos, pueda constituir efectivamente un delito autónomo de lesiones psicológicas, como, en cambio, sí recogía el juzgado de primera instancia en su sentencia. Según el Juzgado de lo Penal núm. 2 de Sevilla el Tribunal Supremo ha considerado que “las lesiones psíquicas ocasionadas a la víctima de una agresión sexual, y entiende este juzgador que ello es igualmente aplicable cuando se trata de un abuso sexual, ya han sido tenidas en cuenta por el legislador al tipificar la conducta y asignarles una pena (STS de 19 de febrero de 2016) habiendo el Pleno no jurisdiccional de la Sala Segunda adoptado un acuerdo en tal sentido. Ciertamente el mencionado acuerdo y las sentencias que lo aplican (SSTS de 7 de noviembre de 2003 y 7 de octubre de 2004) aluden a que esa será la consideración </w:t>
      </w:r>
      <w:r w:rsidRPr="009D7677">
        <w:rPr>
          <w:i/>
        </w:rPr>
        <w:t>ordinaria</w:t>
      </w:r>
      <w:r>
        <w:t xml:space="preserve"> de manera que cabe hallar excepciones como igualmente otras resoluciones admiten. Así, la STS de 22 de octubre de 2015 alude a que cabe considerar procedente una subsunción autónoma de la conducta en el delito de lesiones cuando ‘... los resultados psíquicos de la agresión, abuso o acoso sexual superen la consideración normal de la conturbación anímica y alcancen una naturaleza autónoma como resultados típicos del delito de lesiones psíquicas, adquiriendo una magnitud desproporcionada a la que puede haber sido tomada en cuenta al penalizar el acto contra la libertad sexual y merecedora de un reproche penal especifico. Siempre, obviamente, que concurran los demás elementos típicos del delito de lesiones, es decir, la asistencia facultativa y el tratamiento médico que expresen, claramente, el diagnóstico de la enfermedad y dispongan el preciso tratamiento para su sanidad’”.</w:t>
      </w:r>
    </w:p>
    <w:p w14:paraId="4DF8DEC7" w14:textId="77777777" w:rsidR="009D7677" w:rsidRDefault="009D7677" w:rsidP="009D7677">
      <w:pPr>
        <w:pStyle w:val="TextoNormal"/>
      </w:pPr>
    </w:p>
    <w:p w14:paraId="27C8DA12" w14:textId="77777777" w:rsidR="009D7677" w:rsidRDefault="009D7677" w:rsidP="009D7677">
      <w:pPr>
        <w:pStyle w:val="TextoNormal"/>
      </w:pPr>
      <w:r>
        <w:t>En aplicación de todo lo expuesto, el juzgado de primera instancia, tras valorar todo el acervo probatorio con el que contaba, declaró hechos probados, en primer lugar, que existía una diferencia en la constatación de las secuelas psicológicas entre la recurrente en amparo y sus dos compañeras, también abusadas sexualmente por el entonces decano de su facultad. Dice el juzgado de primera instancia que “en relación a ella [la recurrente en amparo] se efectúa un largo relato de las patologías sufridas, de la necesidad de tratamiento a lo largo del tiempo y de las consecuencias sufridas, de manera diferente en el caso” de las otras dos demandantes. El juez de primera instancia declaró probado que, como consecuencia de los abusos reiterados, doña L.G.A. sufrió diversos problemas de salud, comenzando por malestar, pesadillas, sudoraciones nocturnas y un cuadro de fiebre vespertina; tuvo que coger una primera baja de corta duración, pero su estado con el desarrollo de los hechos fue empeorando, apareciendo otros síntomas como pérdida de peso o vómitos, causando nuevamente baja por enfermedad; tuvo que someterse a numerosas pruebas médicas, incluso para descartar enfermedades de origen infeccioso, llegando a ser tratada de una posible tuberculosis; se dictaminó que sufría “un trastorno adaptativo ansioso depresivo grave para el que necesita de terapia psicológica de larga duración” (hecho probado segundo). Entre los folios 35 y 47, como también constata el Ministerio Fiscal en sus alegaciones, se relata con detalle todas las circunstancias concurrentes que acaban en la elaboración de un relato fáctico minucioso que, como se ha dicho, convence al juez de que el acusado no solo era responsable de un delito continuado de abuso sexual, sino que, además, lo era de un delito de lesiones psicológicas en la persona de la recurrente, concurso de delitos con cabida en la legislación penal y conforme a la jurisprudencia de la Sala Segunda del Tribunal Supremo antes expuesta. En definitiva, la entidad de los daños psicológicos causados a doña L.G.A. alcanzan una magnitud desproporcionada que la hace me</w:t>
      </w:r>
      <w:r>
        <w:lastRenderedPageBreak/>
        <w:t>recedora de un reproche penal específico y autónomo, que, en este caso, se subsume en el tipo de lesiones del art. 147.1 CP.</w:t>
      </w:r>
    </w:p>
    <w:p w14:paraId="6856F61E" w14:textId="77777777" w:rsidR="009D7677" w:rsidRDefault="009D7677" w:rsidP="009D7677">
      <w:pPr>
        <w:pStyle w:val="TextoNormal"/>
      </w:pPr>
    </w:p>
    <w:p w14:paraId="0EFC2096" w14:textId="77777777" w:rsidR="009D7677" w:rsidRDefault="009D7677" w:rsidP="009D7677">
      <w:pPr>
        <w:pStyle w:val="TextoNormal"/>
      </w:pPr>
      <w:r>
        <w:t>La Audiencia Provincial de Sevilla aceptó completamente la declaración de hechos probados de la sentencia apelada y, por tanto, asumió el relato fáctico contenido en la sentencia dictada por el Juzgado de lo Penal núm. 2 de Sevilla, también, pues, respecto de las lesiones sufridas por doña L.G. A., en los términos que acaban de ser puestos de manifiesto. Por este motivo, resulta tan sorprendente que en la sentencia aprobada por la Sala Segunda del Tribunal Constitucional se afirme que no se observa irrazonabilidad ni arbitrariedad en la decisión de la Audiencia Provincial de Sevilla, pese a que, sobre el mismo relato fáctico se llega a una conclusión contraria, estimando la absolución del delito de lesiones psíquicas del agresor condenado. Si bien, desde una aproximación neutral y aséptica a los razonamientos de la audiencia provincial, cabría defender la corrección de la motivación de su decisión para descartar la concurrencia del delito de lesiones psicológicas, el examen de dicha motivación con una perspectiva de género impide defender dicha conclusión.</w:t>
      </w:r>
    </w:p>
    <w:p w14:paraId="7A8C6E9C" w14:textId="77777777" w:rsidR="009D7677" w:rsidRDefault="009D7677" w:rsidP="009D7677">
      <w:pPr>
        <w:pStyle w:val="TextoNormal"/>
      </w:pPr>
    </w:p>
    <w:p w14:paraId="3BF6498B" w14:textId="77777777" w:rsidR="009D7677" w:rsidRDefault="009D7677" w:rsidP="009D7677">
      <w:pPr>
        <w:pStyle w:val="TextoNormal"/>
      </w:pPr>
      <w:r>
        <w:t>En efecto, la carencia de esa perspectiva por la audiencia provincial es lo que le permite concluir que no cabía considerar la autonomía de las lesiones psicológicas sufridas por la recurrente. Así, para el órgano de apelación, las acciones que había desplegado el acusado durante el periodo de tiempo considerado habían sido similares para las tres víctimas del proceso y habían atentado por igual contra la libertad sexual de las tres denunciantes, por lo que le resultaba extraño que, a pesar de eso, las consecuencias psicológicas hubieran sido diferentes para cada una de ellas. Esta sorpresa muestra la falta de conocimiento de los impactos diversos que las violencias machistas tienen en cada mujer, descritos más arriba, y, a la vez, revela la desconfianza de la sala respecto de la verdadera naturaleza y gravedad de las lesiones psíquicas padecidas, probadas en primera instancia, por doña L.G.A. la aplicación de la norma con aparente neutralidad revictimiza a la recurrente.</w:t>
      </w:r>
    </w:p>
    <w:p w14:paraId="55DB7700" w14:textId="77777777" w:rsidR="009D7677" w:rsidRDefault="009D7677" w:rsidP="009D7677">
      <w:pPr>
        <w:pStyle w:val="TextoNormal"/>
      </w:pPr>
    </w:p>
    <w:p w14:paraId="7B407183" w14:textId="77777777" w:rsidR="009D7677" w:rsidRDefault="009D7677" w:rsidP="009D7677">
      <w:pPr>
        <w:pStyle w:val="TextoNormal"/>
      </w:pPr>
      <w:r>
        <w:t>Todo lo dicho hasta ahora fundamenta que, en contra del criterio mayoritario, mi posición sea que en este supuesto la decisión de la audiencia provincial sí podía ser tildada de irrazonable, en tanto que, pese a compartir sustrato fáctico con la primera instancia, deconstruyó su argumentario a través de una nueva interpretación que perpetuaba la situación de poder socio-sexual inherente a la discriminación entre hombres y mujeres, sin poner en duda que exista un daño psicológico común y estándar también inherente a todos los abusos sexuales, y, que, por el contrario, la afectación impacta en toda la esfera de bienestar psico-social de la mujer. La audiencia provincial situó a la víctima y al criminal en una posición de falsa igualdad que acabó agravando y revictimizando, en nuestro caso, a doña L.G.A.</w:t>
      </w:r>
    </w:p>
    <w:p w14:paraId="729BB9FA" w14:textId="77777777" w:rsidR="009D7677" w:rsidRDefault="009D7677" w:rsidP="009D7677">
      <w:pPr>
        <w:pStyle w:val="TextoNormal"/>
      </w:pPr>
    </w:p>
    <w:p w14:paraId="70A1E511" w14:textId="77777777" w:rsidR="009D7677" w:rsidRDefault="009D7677" w:rsidP="009D7677">
      <w:pPr>
        <w:pStyle w:val="TextoNormal"/>
      </w:pPr>
      <w:r>
        <w:t xml:space="preserve">3. </w:t>
      </w:r>
      <w:r w:rsidRPr="009D7677">
        <w:rPr>
          <w:i/>
        </w:rPr>
        <w:t>La aplicación del art. 24 CE con el art. 14 CE en el análisis de la queja relativa a la atenuante muy cualificada de dilaciones indebidas</w:t>
      </w:r>
    </w:p>
    <w:p w14:paraId="0EA8A4B6" w14:textId="77777777" w:rsidR="009D7677" w:rsidRDefault="009D7677" w:rsidP="009D7677">
      <w:pPr>
        <w:pStyle w:val="TextoNormal"/>
      </w:pPr>
    </w:p>
    <w:p w14:paraId="06EAC3E3" w14:textId="77777777" w:rsidR="009D7677" w:rsidRDefault="009D7677" w:rsidP="009D7677">
      <w:pPr>
        <w:pStyle w:val="TextoNormal"/>
      </w:pPr>
      <w:r>
        <w:t xml:space="preserve">Coincido en gran parte con el análisis de esta queja, desarrollado en el el fundamento jurídico 5 de la sentencia, y con su resultado estimatorio. En síntesis, se concluye que se ha producido una lesión del art. 24 CE por la irrazonabilidad de la argumentación de la sentencia de apelación dictada por la audiencia provincial que se conecta con la lesión del </w:t>
      </w:r>
      <w:r>
        <w:lastRenderedPageBreak/>
        <w:t>art. 14 CE como principio antidiscriminatorio y no como principio relacional, porque no se aporta u</w:t>
      </w:r>
      <w:r w:rsidRPr="009D7677">
        <w:rPr>
          <w:i/>
        </w:rPr>
        <w:t>n tertium comparation</w:t>
      </w:r>
      <w:r>
        <w:t>is.</w:t>
      </w:r>
    </w:p>
    <w:p w14:paraId="26391543" w14:textId="77777777" w:rsidR="009D7677" w:rsidRDefault="009D7677" w:rsidP="009D7677">
      <w:pPr>
        <w:pStyle w:val="TextoNormal"/>
      </w:pPr>
    </w:p>
    <w:p w14:paraId="0602A9EF" w14:textId="77777777" w:rsidR="009D7677" w:rsidRDefault="009D7677" w:rsidP="009D7677">
      <w:pPr>
        <w:pStyle w:val="TextoNormal"/>
      </w:pPr>
      <w:r>
        <w:t>A diferencia del razonamiento relativo a la concurrencia de un delito de lesiones psicológico autónomo del delito continuado de abusos sexuales y la aplicación de una atenuante muy cualificada por dilaciones indebidas, se concluye que ninguno de los argumentos utilizados por la Audiencia Provincial de Sevilla es conforme a las exigencias del art. 24 CE. La Audiencia Provincial se confunde en la determinación de la fecha a partir de la que se entiende que se generan dilaciones indebidas y, además, atribuye el retraso en el desarrollo del procedimiento a la tardanza de las víctimas de los abusos que tardaron casi dos años en denunciar los hechos. El primero de los argumentos resulta de un desconocimiento del Derecho aplicable, y el segundo, proyecta un sesgo sexista del órgano enjuiciador. Este sesgo ya debería haber sido reconocido, como se ha dicho más arriba, respecto de la respuesta jurídico-penal a las secuelas psicológicas de la recurrente.</w:t>
      </w:r>
    </w:p>
    <w:p w14:paraId="74180D0F" w14:textId="77777777" w:rsidR="009D7677" w:rsidRDefault="009D7677" w:rsidP="009D7677">
      <w:pPr>
        <w:pStyle w:val="TextoNormal"/>
      </w:pPr>
    </w:p>
    <w:p w14:paraId="7844D029" w14:textId="77777777" w:rsidR="009D7677" w:rsidRDefault="009D7677" w:rsidP="009D7677">
      <w:pPr>
        <w:pStyle w:val="TextoNormal"/>
      </w:pPr>
      <w:r>
        <w:t>Comparto, por tanto, las conclusiones del análisis de la sentencia respecto de las alegaciones de la recurrente sobre las dilaciones indebidas y el consecuente fallo estimatorio. Debo señalar, no obstante, que, en una sentencia tan relevante como esta, hubiera sido oportuno hacer un examen más detallado de la aplicación discriminatoria que lleva a cabo la Audiencia Provincial de las normas penales, en relación con los derechos de la recurrente, y la necesidad constitucional de adoptar la perspectiva de género en los asuntos judiciales relativos a violencias contra las mujeres.</w:t>
      </w:r>
    </w:p>
    <w:p w14:paraId="314312A0" w14:textId="77777777" w:rsidR="009D7677" w:rsidRDefault="009D7677" w:rsidP="009D7677">
      <w:pPr>
        <w:pStyle w:val="TextoNormal"/>
      </w:pPr>
    </w:p>
    <w:p w14:paraId="0C22F494" w14:textId="77777777" w:rsidR="009D7677" w:rsidRDefault="009D7677" w:rsidP="009D7677">
      <w:pPr>
        <w:pStyle w:val="TextoNormal"/>
      </w:pPr>
      <w:r>
        <w:t>En este sentido, emito mi voto particular.</w:t>
      </w:r>
    </w:p>
    <w:p w14:paraId="03AC84FF" w14:textId="77777777" w:rsidR="009D7677" w:rsidRDefault="009D7677" w:rsidP="009D7677">
      <w:pPr>
        <w:pStyle w:val="TextoNormal"/>
      </w:pPr>
    </w:p>
    <w:p w14:paraId="0327735F" w14:textId="45C9A081" w:rsidR="009D7677" w:rsidRDefault="009D7677" w:rsidP="009D7677">
      <w:pPr>
        <w:pStyle w:val="TextoNormal"/>
      </w:pPr>
      <w:r>
        <w:t>Madrid, a ocho de abril de dos mil veinticuatro.</w:t>
      </w:r>
    </w:p>
    <w:p w14:paraId="405DC09E" w14:textId="77777777" w:rsidR="009D7677" w:rsidRDefault="009D7677" w:rsidP="009D7677">
      <w:pPr>
        <w:pStyle w:val="TextoNormal"/>
      </w:pPr>
    </w:p>
    <w:p w14:paraId="50043C79" w14:textId="77777777" w:rsidR="009D7677" w:rsidRDefault="009D7677" w:rsidP="009D7677">
      <w:pPr>
        <w:pStyle w:val="TextoNormalNegritaCentrado"/>
        <w:keepNext/>
      </w:pPr>
      <w:r>
        <w:t>Voto concurrente conjunto que formulan los magistrados don César Tolosa Tribiño y don Enrique Arnaldo Alcubilla respecto de la sentencia dictada en el recurso de amparo núm. 2975-2020</w:t>
      </w:r>
    </w:p>
    <w:p w14:paraId="64E5F3A4" w14:textId="64C0B59D" w:rsidR="009D7677" w:rsidRDefault="009D7677" w:rsidP="009D7677">
      <w:pPr>
        <w:pStyle w:val="TextoNormalNegritaCentrado"/>
        <w:keepNext/>
      </w:pPr>
    </w:p>
    <w:p w14:paraId="177AC05B" w14:textId="77777777" w:rsidR="009D7677" w:rsidRDefault="009D7677" w:rsidP="009D7677">
      <w:pPr>
        <w:pStyle w:val="TextoNormal"/>
      </w:pPr>
      <w:r>
        <w:t>En el ejercicio de la facultad que nos confiere el artículo 90.2 de la Ley Orgánica del Tribunal Constitucional, y con el máximo respeto a la opinión de la mayoría, formulamos el presente voto concurrente, porque si bien entendemos que el recurso de amparo núm. 2975-2020 debió ser estimado, discrepamos del razonamiento contenido en el fundamento jurídico quinto de la sentencia.</w:t>
      </w:r>
    </w:p>
    <w:p w14:paraId="2DF8BC07" w14:textId="77777777" w:rsidR="009D7677" w:rsidRDefault="009D7677" w:rsidP="009D7677">
      <w:pPr>
        <w:pStyle w:val="TextoNormal"/>
      </w:pPr>
    </w:p>
    <w:p w14:paraId="261C2DC6" w14:textId="77777777" w:rsidR="009D7677" w:rsidRDefault="009D7677" w:rsidP="009D7677">
      <w:pPr>
        <w:pStyle w:val="TextoNormal"/>
      </w:pPr>
      <w:r>
        <w:t>Nuestra discrepancia resulta del argumento seguido para considerar irrazonable que el órgano judicial haya atendido —al apreciar la circunstancia atenuante de dilaciones indebidas como muy cualificada— a la fecha del hecho y a la demora en la interposición de la denuncia.</w:t>
      </w:r>
    </w:p>
    <w:p w14:paraId="14658C3E" w14:textId="77777777" w:rsidR="009D7677" w:rsidRDefault="009D7677" w:rsidP="009D7677">
      <w:pPr>
        <w:pStyle w:val="TextoNormal"/>
      </w:pPr>
    </w:p>
    <w:p w14:paraId="67CEC791" w14:textId="77777777" w:rsidR="009D7677" w:rsidRDefault="009D7677" w:rsidP="009D7677">
      <w:pPr>
        <w:pStyle w:val="TextoNormal"/>
      </w:pPr>
      <w:r>
        <w:t xml:space="preserve">1. Conforme con la STC 78/2013, de 8 de abril, la configuración legislativa de la atenuante obedece a una decisión libérrima del legislador, que no tiene que ver con el derecho a un proceso sin dilaciones indebidas. La atenuante encuentra su fundamento en principios y valores constitucionales, pero no forma parte del contenido del derecho a un proceso sin dilaciones indebidas (art. 24.2 CE), por lo que entendemos que no debió apoyarse </w:t>
      </w:r>
      <w:r>
        <w:lastRenderedPageBreak/>
        <w:t>la sentencia en la cita de las SSTC 124/1999, de 28 de junio, FJ 2, y 153/2005, de 6 de junio, FJ 2, que tenían por objeto precisamente verificar si se había vulnerado ese concreto derecho fundamental.</w:t>
      </w:r>
    </w:p>
    <w:p w14:paraId="3C85F5C5" w14:textId="77777777" w:rsidR="009D7677" w:rsidRDefault="009D7677" w:rsidP="009D7677">
      <w:pPr>
        <w:pStyle w:val="TextoNormal"/>
      </w:pPr>
    </w:p>
    <w:p w14:paraId="06A4F285" w14:textId="77777777" w:rsidR="009D7677" w:rsidRDefault="009D7677" w:rsidP="009D7677">
      <w:pPr>
        <w:pStyle w:val="TextoNormal"/>
      </w:pPr>
      <w:r>
        <w:t>2. La razón de ser de la atenuante de dilaciones indebidas, de inicial configuración jurisprudencial, es la compensación del daño causado al acusado por la demora sufrida, con una disminución de la pena. Dicho daño es connatural a los padecimientos de quien se ve sometido a un proceso penal y a la incertidumbre de su resultado, y se acrecienta si el proceso se prolonga indebidamente. Si bien en su inicial configuración jurisprudencial también se aludía como fundamento de la atenuante a la debilidad de la finalidad rehabilitadora de la pena —y de “escarmiento”—atendido el importante lapso temporal entre el hecho cometido y la sentencia condenatoria. Tal dispar fundamento justificó vaivenes jurisprudenciales, elaborándose por el Tribunal Supremo una jurisprudencia sobre la atenuante —entonces analógica— a través de sucesivos pronunciamientos.</w:t>
      </w:r>
    </w:p>
    <w:p w14:paraId="5C8D4018" w14:textId="77777777" w:rsidR="009D7677" w:rsidRDefault="009D7677" w:rsidP="009D7677">
      <w:pPr>
        <w:pStyle w:val="TextoNormal"/>
      </w:pPr>
    </w:p>
    <w:p w14:paraId="30A8F9B9" w14:textId="77777777" w:rsidR="009D7677" w:rsidRDefault="009D7677" w:rsidP="009D7677">
      <w:pPr>
        <w:pStyle w:val="TextoNormal"/>
      </w:pPr>
      <w:r>
        <w:t xml:space="preserve">3. Del examen de las sentencias de la Sala Segunda del Tribunal Supremo citadas en el fundamento jurídico décimo de la sentencia de la audiencia provincial, podemos afirmar que ninguna de la veintena de sentencias del Tribunal Supremo toma en consideración como </w:t>
      </w:r>
      <w:r w:rsidRPr="009D7677">
        <w:rPr>
          <w:i/>
        </w:rPr>
        <w:t>dies a quo</w:t>
      </w:r>
      <w:r>
        <w:t xml:space="preserve"> la fecha en que se imputó el delito al investigado, ni dicho momento resulta en modo alguno de la literalidad de la circunstancia aplicada, ni necesariamente se derivaría de la razón de ser de la atenuante.</w:t>
      </w:r>
    </w:p>
    <w:p w14:paraId="3686AF6B" w14:textId="77777777" w:rsidR="009D7677" w:rsidRDefault="009D7677" w:rsidP="009D7677">
      <w:pPr>
        <w:pStyle w:val="TextoNormal"/>
      </w:pPr>
    </w:p>
    <w:p w14:paraId="340D960E" w14:textId="77777777" w:rsidR="009D7677" w:rsidRDefault="009D7677" w:rsidP="009D7677">
      <w:pPr>
        <w:pStyle w:val="TextoNormal"/>
      </w:pPr>
      <w:r>
        <w:t xml:space="preserve">Buena parte de las sentencias del Tribunal Supremo citadas por el órgano judicial aluden —a diferencia de lo indicando en la sentencia que resuelve el recurso de amparo— como </w:t>
      </w:r>
      <w:r w:rsidRPr="009D7677">
        <w:rPr>
          <w:i/>
        </w:rPr>
        <w:t>díes a quo</w:t>
      </w:r>
      <w:r>
        <w:t xml:space="preserve"> a la fecha de la comisión del hecho (SSTS 291/2003, de 3 de marzo; 132/2008, de 12 de febrero; 896/2008, de 12 de diciembre, y 91/2010, de 15 de febrero); una de ellas toma en consideración la fecha de la denuncia (STS 470/2010, de 20 de mayo, FJ 1); y las restantes aluden a la duración del procedimiento o a la existencia de paralizaciones en la fase intermedia o en la segunda instancia, a los efectos de apreciar la atenuante como muy cualificada.</w:t>
      </w:r>
    </w:p>
    <w:p w14:paraId="756962FF" w14:textId="77777777" w:rsidR="009D7677" w:rsidRDefault="009D7677" w:rsidP="009D7677">
      <w:pPr>
        <w:pStyle w:val="TextoNormal"/>
      </w:pPr>
    </w:p>
    <w:p w14:paraId="0C2699AB" w14:textId="77777777" w:rsidR="009D7677" w:rsidRDefault="009D7677" w:rsidP="009D7677">
      <w:pPr>
        <w:pStyle w:val="TextoNormal"/>
      </w:pPr>
      <w:r>
        <w:t>Puede por ello afirmarse que la sentencia de la Audiencia Provincial se ajusta a los variados parámetros mantenidos por la jurisprudencia citada cuando toma en consideración la fecha del hecho y, el retraso en la interposición de la denuncia.</w:t>
      </w:r>
    </w:p>
    <w:p w14:paraId="582C4CAF" w14:textId="77777777" w:rsidR="009D7677" w:rsidRDefault="009D7677" w:rsidP="009D7677">
      <w:pPr>
        <w:pStyle w:val="TextoNormal"/>
      </w:pPr>
    </w:p>
    <w:p w14:paraId="07F76893" w14:textId="77777777" w:rsidR="009D7677" w:rsidRDefault="009D7677" w:rsidP="009D7677">
      <w:pPr>
        <w:pStyle w:val="TextoNormal"/>
      </w:pPr>
      <w:r>
        <w:t>4. La STC 78/2013, refirió que cuando “lo que se debate es, como sucede en este caso, la selección, interpretación y aplicación de un precepto legal que no afecta a los contenidos típicos del art. 24.1 CE o a otros derechos fundamentales, tan solo podrá considerarse que la resolución judicial impugnada vulnera el derecho a la tutela judicial efectiva cuando el razonamiento que la funda incurra en tal grado de arbitrariedad, irrazonabilidad o error que, por su evidencia y contenido, sean tan manifiestos y graves que para cualquier observador resulte patente que la resolución de hecho carece de toda motivación o razonamiento” (FJ 4).</w:t>
      </w:r>
    </w:p>
    <w:p w14:paraId="1F9EC158" w14:textId="77777777" w:rsidR="009D7677" w:rsidRDefault="009D7677" w:rsidP="009D7677">
      <w:pPr>
        <w:pStyle w:val="TextoNormal"/>
      </w:pPr>
    </w:p>
    <w:p w14:paraId="7DBB89CE" w14:textId="77777777" w:rsidR="009D7677" w:rsidRDefault="009D7677" w:rsidP="009D7677">
      <w:pPr>
        <w:pStyle w:val="TextoNormal"/>
      </w:pPr>
      <w:r>
        <w:t xml:space="preserve">A tenor de la literalidad de la nueva atenuante introducida en el art. 21.6 CP por la reforma operada por la Ley Orgánica 5/2010, de 22 de junio, su aplicación exige la concurrencia de una serie de requisitos o elementos constitutivos de carácter objetivo que han sido reconocidos por quien le corresponde (STS 440/2012, de 25 de mayo, por todas) y </w:t>
      </w:r>
      <w:r>
        <w:lastRenderedPageBreak/>
        <w:t>que se concretan en los siguientes: a) que tenga lugar una dilación indebida y extraordinaria; b) que ocurra durante la tramitación del procedimiento; c) que esa demora o retraso injustificado no sea atribuible al imputado; y d) que la dilación no guarde proporción con la complejidad del litigio.</w:t>
      </w:r>
    </w:p>
    <w:p w14:paraId="604827B5" w14:textId="77777777" w:rsidR="009D7677" w:rsidRDefault="009D7677" w:rsidP="009D7677">
      <w:pPr>
        <w:pStyle w:val="TextoNormal"/>
      </w:pPr>
    </w:p>
    <w:p w14:paraId="15596C6D" w14:textId="77777777" w:rsidR="009D7677" w:rsidRDefault="009D7677" w:rsidP="009D7677">
      <w:pPr>
        <w:pStyle w:val="TextoNormal"/>
      </w:pPr>
      <w:r>
        <w:t>Entendemos que el razonamiento por el que la Audiencia Provincial alude la fecha del hecho o el retraso en la formulación de la denuncia merece reproche constitucional, pero únicamente en atención a que desborda la literalidad del art. 21.6 CP.</w:t>
      </w:r>
    </w:p>
    <w:p w14:paraId="211FED5A" w14:textId="77777777" w:rsidR="009D7677" w:rsidRDefault="009D7677" w:rsidP="009D7677">
      <w:pPr>
        <w:pStyle w:val="TextoNormal"/>
      </w:pPr>
    </w:p>
    <w:p w14:paraId="3D3D9B4E" w14:textId="77777777" w:rsidR="009D7677" w:rsidRDefault="009D7677" w:rsidP="009D7677">
      <w:pPr>
        <w:pStyle w:val="TextoNormal"/>
      </w:pPr>
      <w:r>
        <w:t>La Sección Primera de la Audiencia Provincial, al fundamentar la aplicación de la atenuante como muy cualificada en la excesiva duración del procedimiento computado desde la fecha del hecho o en el retraso en la interposición de la denuncia, incurre en irrazonabilidad, pues el lapso temporal entre el hecho y el inicio del procedimiento es por completo ajeno a la actual configuración normativa de la atenuante (art. 21.6 CP) que exige que la dilación indebida y extraordinaria ocurra durante la “tramitación del procedimiento” y no antes.</w:t>
      </w:r>
    </w:p>
    <w:p w14:paraId="4AB80281" w14:textId="77777777" w:rsidR="009D7677" w:rsidRDefault="009D7677" w:rsidP="009D7677">
      <w:pPr>
        <w:pStyle w:val="TextoNormal"/>
      </w:pPr>
    </w:p>
    <w:p w14:paraId="09746485" w14:textId="77777777" w:rsidR="009D7677" w:rsidRDefault="009D7677" w:rsidP="009D7677">
      <w:pPr>
        <w:pStyle w:val="TextoNormal"/>
      </w:pPr>
      <w:r>
        <w:t>Del mismo modo es irrelevante, atendida la configuración normativa de la atenuante —y en esto radica nuestra principal discrepancia con la sentencia que resuelve el recurso de amparo—, la particular naturaleza del delito enjuiciado —fuera o no de acoso sexual—, o que la víctima fuera hombre o mujer, o que fuera más o menos vulnerable por la relación vertical con el agresor o que el acoso sexual forme parte de los delitos relacionados con la violencia de género. Ninguno de esos parámetros aparecen contemplados en el art. 21.6 CP, que no atiende, ni distingue, en atención al tipo de delito o a las relaciones entre la víctima y el condenado, por lo que las consideraciones que hace la sentencia sobre el denominado “contexto” son absolutamente prescindibles por inconexas y ajenas a la cuestión debatida.</w:t>
      </w:r>
    </w:p>
    <w:p w14:paraId="46DCBEFE" w14:textId="77777777" w:rsidR="009D7677" w:rsidRDefault="009D7677" w:rsidP="009D7677">
      <w:pPr>
        <w:pStyle w:val="TextoNormal"/>
      </w:pPr>
    </w:p>
    <w:p w14:paraId="0ACE1519" w14:textId="77777777" w:rsidR="009D7677" w:rsidRDefault="009D7677" w:rsidP="009D7677">
      <w:pPr>
        <w:pStyle w:val="TextoNormal"/>
      </w:pPr>
      <w:r>
        <w:t>Su introducción por vía interpretativa para restringir la apreciación de la atenuante y consiguientemente evitar la rebaja de la pena desborda el tenor literal posible del precepto, que no discrimina en su aplicación en atención a la naturaleza del delito o a las circunstancias atinentes a la víctima, ni a las relaciones con su agresor.</w:t>
      </w:r>
    </w:p>
    <w:p w14:paraId="2E095E9B" w14:textId="77777777" w:rsidR="009D7677" w:rsidRDefault="009D7677" w:rsidP="009D7677">
      <w:pPr>
        <w:pStyle w:val="TextoNormal"/>
      </w:pPr>
    </w:p>
    <w:p w14:paraId="1162F853" w14:textId="77777777" w:rsidR="009D7677" w:rsidRDefault="009D7677" w:rsidP="009D7677">
      <w:pPr>
        <w:pStyle w:val="TextoNormal"/>
      </w:pPr>
      <w:r>
        <w:t xml:space="preserve">Es por ello, que entendemos que el razonamiento de la sentencia que resuelve el recurso de amparo incurre en una analogía </w:t>
      </w:r>
      <w:r w:rsidRPr="009D7677">
        <w:rPr>
          <w:i/>
        </w:rPr>
        <w:t>in malam partem</w:t>
      </w:r>
      <w:r>
        <w:t xml:space="preserve"> constitucionalmente proscrita (art. 25.1 CE), induce a error en la aplicación o no de la circunstancia y supone elaborar parámetros interpretativos al margen de la configuración normativa y de la función constitucional que nos corresponde.</w:t>
      </w:r>
    </w:p>
    <w:p w14:paraId="7036B871" w14:textId="77777777" w:rsidR="009D7677" w:rsidRDefault="009D7677" w:rsidP="009D7677">
      <w:pPr>
        <w:pStyle w:val="TextoNormal"/>
      </w:pPr>
    </w:p>
    <w:p w14:paraId="68C6AD67" w14:textId="77777777" w:rsidR="009D7677" w:rsidRDefault="009D7677" w:rsidP="009D7677">
      <w:pPr>
        <w:pStyle w:val="TextoNormal"/>
      </w:pPr>
      <w:r>
        <w:t>En atención a lo expuesto expresamos nuestra discrepancia con la argumentación de la sentencia.</w:t>
      </w:r>
    </w:p>
    <w:p w14:paraId="2C432BA4" w14:textId="77777777" w:rsidR="009D7677" w:rsidRDefault="009D7677" w:rsidP="009D7677">
      <w:pPr>
        <w:pStyle w:val="TextoNormal"/>
      </w:pPr>
    </w:p>
    <w:p w14:paraId="7A5FBE90" w14:textId="27EDFF4E" w:rsidR="009D7677" w:rsidRDefault="009D7677" w:rsidP="009D7677">
      <w:pPr>
        <w:pStyle w:val="TextoNormal"/>
      </w:pPr>
      <w:r>
        <w:t>Madrid, a ocho de abril de dos mil veinticuatro.</w:t>
      </w:r>
    </w:p>
    <w:p w14:paraId="6799E904" w14:textId="168D3E5C" w:rsidR="009D7677" w:rsidRDefault="009D7677">
      <w:pPr>
        <w:spacing w:after="160" w:line="259" w:lineRule="auto"/>
        <w:rPr>
          <w:rFonts w:ascii="Times New Roman" w:eastAsia="Times New Roman" w:hAnsi="Times New Roman" w:cs="Times New Roman"/>
          <w:sz w:val="24"/>
          <w:szCs w:val="24"/>
          <w:lang w:eastAsia="es-ES"/>
        </w:rPr>
      </w:pPr>
      <w:r>
        <w:br w:type="page"/>
      </w:r>
    </w:p>
    <w:p w14:paraId="17297413" w14:textId="77777777" w:rsidR="009D7677" w:rsidRDefault="009D7677" w:rsidP="009D7677">
      <w:pPr>
        <w:pStyle w:val="TtuloResolucin"/>
      </w:pPr>
      <w:bookmarkStart w:id="51" w:name="SENTENCIA_2024_49"/>
      <w:r>
        <w:lastRenderedPageBreak/>
        <w:t>SENTENCIA 49/2024, de 8 de abril de 2024</w:t>
      </w:r>
    </w:p>
    <w:bookmarkEnd w:id="51"/>
    <w:p w14:paraId="599D757E" w14:textId="77777777" w:rsidR="009D7677" w:rsidRDefault="009D7677" w:rsidP="009D7677">
      <w:pPr>
        <w:pStyle w:val="TtuloResolucin"/>
      </w:pPr>
      <w:r>
        <w:t>Sala Segunda</w:t>
      </w:r>
    </w:p>
    <w:p w14:paraId="76FA945C" w14:textId="77777777" w:rsidR="009D7677" w:rsidRDefault="009D7677" w:rsidP="009D7677">
      <w:pPr>
        <w:pStyle w:val="TtuloBOE"/>
      </w:pPr>
      <w:r>
        <w:t>(BOE núm. 118, de 15 de mayo de 2024)</w:t>
      </w:r>
    </w:p>
    <w:p w14:paraId="23CBDE43" w14:textId="77777777" w:rsidR="009D7677" w:rsidRDefault="009D7677" w:rsidP="009D7677">
      <w:pPr>
        <w:pStyle w:val="TextoNormalCentrado"/>
      </w:pPr>
      <w:r>
        <w:t>ECLI:ES:TC:2024:49</w:t>
      </w:r>
    </w:p>
    <w:p w14:paraId="43170C1D" w14:textId="6638957E" w:rsidR="009D7677" w:rsidRDefault="009D7677" w:rsidP="009D7677">
      <w:pPr>
        <w:pStyle w:val="TextoNormalCentrado"/>
      </w:pPr>
    </w:p>
    <w:p w14:paraId="19969598" w14:textId="77777777" w:rsidR="009D7677" w:rsidRDefault="009D7677" w:rsidP="009D7677">
      <w:pPr>
        <w:pStyle w:val="SntesisDescriptiva"/>
      </w:pPr>
      <w:r>
        <w:t>Recurso de amparo 2605-2021. Promovido por don Mohamed El Bachiri en relación con las resoluciones dictadas por las salas de lo contencioso-administrativo del Tribunal Supremo y del Tribunal Superior de Justicia de la Comunidad Valenciana y un juzgado del mismo orden jurisdiccional de Valencia, que desestimaron su impugnación de la resolución administrativa sancionadora que acordó su expulsión del territorio nacional.</w:t>
      </w:r>
    </w:p>
    <w:p w14:paraId="0B7917FF" w14:textId="1B54A6FA" w:rsidR="009D7677" w:rsidRDefault="009D7677" w:rsidP="009D7677">
      <w:pPr>
        <w:pStyle w:val="SntesisDescriptiva"/>
      </w:pPr>
    </w:p>
    <w:p w14:paraId="79700422" w14:textId="77777777" w:rsidR="009D7677" w:rsidRDefault="009D7677" w:rsidP="009D7677">
      <w:pPr>
        <w:pStyle w:val="SntesisAnaltica"/>
      </w:pPr>
      <w:r>
        <w:t>Vulneración del derecho a la legalidad sancionadora: STC 47/2023 (aplicación irrazonable de la norma sancionadora que, anteponiendo la expulsión a la multa, infringió la garantía material del derecho).</w:t>
      </w:r>
    </w:p>
    <w:p w14:paraId="7DBC0A05" w14:textId="31D953C9" w:rsidR="009D7677" w:rsidRDefault="009D7677" w:rsidP="009D7677">
      <w:pPr>
        <w:pStyle w:val="SntesisAnaltica"/>
      </w:pPr>
    </w:p>
    <w:p w14:paraId="56B88EC7" w14:textId="014A504C" w:rsidR="009D7677" w:rsidRDefault="009D7677" w:rsidP="009D7677">
      <w:pPr>
        <w:pStyle w:val="Extracto"/>
      </w:pPr>
      <w:r>
        <w:t>1.</w:t>
      </w:r>
      <w:r>
        <w:tab/>
        <w:t>Reiteración de doctrina sobre vulneración de los derechos fundamentales a la legalidad sancionadora -garantía material- y a la tutela judicial efectiva (STC 47/2023) [FJ 3].</w:t>
      </w:r>
    </w:p>
    <w:p w14:paraId="174FC0E9" w14:textId="77777777" w:rsidR="009D7677" w:rsidRDefault="009D7677" w:rsidP="009D7677">
      <w:pPr>
        <w:pStyle w:val="Extracto"/>
      </w:pPr>
    </w:p>
    <w:p w14:paraId="7A483757" w14:textId="0F50B0DC" w:rsidR="009D7677" w:rsidRDefault="009D7677" w:rsidP="009D7677">
      <w:pPr>
        <w:pStyle w:val="Extracto"/>
      </w:pPr>
      <w:r>
        <w:t>2.</w:t>
      </w:r>
      <w:r>
        <w:tab/>
        <w:t>En materia de situación irregular de nacionales de terceros países en el territorio de un Estado miembro, cuando la normativa nacional imponga o bien una sanción de multa, o bien la expulsión, teniendo en cuenta que esta segunda medida solo puede adoptarse si existen circunstancias agravantes, la autoridad nacional competente no podrá aplicar directamente la Directiva 2008/115/CE para adoptar y hacer cumplir una decisión de retorno aun cuando no existan circunstancias agravantes (SSTJUE de 8 de octubre de 2020, MO c. Subdelegación del Gobierno en Toledo, asunto C-568/19;  y de 3 de marzo de 2022, UN c. Subdelegación del Gobierno en Pontevedra, asunto C-409/20) [FJ 3].</w:t>
      </w:r>
    </w:p>
    <w:p w14:paraId="2C819128" w14:textId="77777777" w:rsidR="009D7677" w:rsidRDefault="009D7677" w:rsidP="009D7677">
      <w:pPr>
        <w:pStyle w:val="Extracto"/>
      </w:pPr>
    </w:p>
    <w:p w14:paraId="035E7B1F" w14:textId="77777777" w:rsidR="009D7677" w:rsidRDefault="009D7677" w:rsidP="009D7677">
      <w:pPr>
        <w:pStyle w:val="Extracto"/>
      </w:pPr>
    </w:p>
    <w:p w14:paraId="017059AE" w14:textId="77777777" w:rsidR="009D7677" w:rsidRDefault="009D7677" w:rsidP="009D7677">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y doña Laura Díez Bueso, ha pronunciado</w:t>
      </w:r>
    </w:p>
    <w:p w14:paraId="2F9D79A7" w14:textId="021BD96A" w:rsidR="009D7677" w:rsidRDefault="009D7677" w:rsidP="009D7677">
      <w:pPr>
        <w:pStyle w:val="TextoNormal"/>
      </w:pPr>
    </w:p>
    <w:p w14:paraId="0D2AD1F0" w14:textId="77777777" w:rsidR="009D7677" w:rsidRDefault="009D7677" w:rsidP="009D7677">
      <w:pPr>
        <w:pStyle w:val="TextoNormalCentrado"/>
        <w:keepNext/>
      </w:pPr>
      <w:r>
        <w:t>EN NOMBRE DEL REY</w:t>
      </w:r>
    </w:p>
    <w:p w14:paraId="4058F3D2" w14:textId="2F8E9D07" w:rsidR="009D7677" w:rsidRDefault="009D7677" w:rsidP="009D7677">
      <w:pPr>
        <w:pStyle w:val="TextoNormalCentrado"/>
        <w:keepNext/>
      </w:pPr>
    </w:p>
    <w:p w14:paraId="194B4BCB" w14:textId="77777777" w:rsidR="009D7677" w:rsidRDefault="009D7677" w:rsidP="009D7677">
      <w:pPr>
        <w:pStyle w:val="TextoNormalCentrado"/>
        <w:keepNext/>
      </w:pPr>
    </w:p>
    <w:p w14:paraId="2713DAEB" w14:textId="77777777" w:rsidR="009D7677" w:rsidRDefault="009D7677" w:rsidP="009D7677">
      <w:pPr>
        <w:pStyle w:val="TextoNormal"/>
      </w:pPr>
      <w:r>
        <w:t>la siguiente</w:t>
      </w:r>
    </w:p>
    <w:p w14:paraId="5A98CBDB" w14:textId="32D16B73" w:rsidR="009D7677" w:rsidRDefault="009D7677" w:rsidP="009D7677">
      <w:pPr>
        <w:pStyle w:val="TextoNormal"/>
      </w:pPr>
    </w:p>
    <w:p w14:paraId="48CED6B2" w14:textId="77777777" w:rsidR="009D7677" w:rsidRDefault="009D7677" w:rsidP="009D7677">
      <w:pPr>
        <w:pStyle w:val="TextoNormalCentrado"/>
        <w:keepNext/>
      </w:pPr>
      <w:r>
        <w:t>SENTENCIA</w:t>
      </w:r>
    </w:p>
    <w:p w14:paraId="604A061F" w14:textId="12D9CE5F" w:rsidR="009D7677" w:rsidRDefault="009D7677" w:rsidP="009D7677">
      <w:pPr>
        <w:pStyle w:val="TextoNormalCentrado"/>
        <w:keepNext/>
      </w:pPr>
    </w:p>
    <w:p w14:paraId="0687C071" w14:textId="77777777" w:rsidR="009D7677" w:rsidRDefault="009D7677" w:rsidP="009D7677">
      <w:pPr>
        <w:pStyle w:val="TextoNormal"/>
      </w:pPr>
      <w:r>
        <w:t xml:space="preserve">En el recurso de amparo núm. 2605-2021, promovido por don Mohamed El Bachiri contra la resolución de 15 de enero de 2019, de la Subdelegación del Gobierno en Castellón, dictada en el expediente núm. 120020180003575; y contra las resoluciones judiciales siguientes: sentencia núm. 523/2019, de 14 de noviembre, del Juzgado de lo Contencioso-Administrativo núm. 2 de Castellón de la Plana, dictada en el procedimiento abreviado </w:t>
      </w:r>
      <w:r>
        <w:lastRenderedPageBreak/>
        <w:t>núm. 143-2019; sentencia núm. 113/2020, de 20 de febrero, de la Sección Primera de la Sala de lo Contencioso-Administrativo del Tribunal Superior de Justicia de la Comunidad Valenciana, dictada en el recurso de apelación núm. 22-2020; providencias de 14 de enero y de 18 de marzo de 2021 de la Sección Primera de la Sala de lo Contencioso-Administrativo del Tribunal Supremo, dictadas en el recurso de casación núm. 2863-2020. Ha sido parte la administración general del Estado, representada por abogado del Estado. Ha intervenido el Ministerio Fiscal. Ha sido ponente el magistrado don Ramón Sáez Valcárcel.</w:t>
      </w:r>
    </w:p>
    <w:p w14:paraId="7F085888" w14:textId="034EF132" w:rsidR="009D7677" w:rsidRDefault="009D7677" w:rsidP="009D7677">
      <w:pPr>
        <w:pStyle w:val="TextoNormal"/>
      </w:pPr>
    </w:p>
    <w:p w14:paraId="78BAD44C" w14:textId="77777777" w:rsidR="009D7677" w:rsidRDefault="009D7677" w:rsidP="009D7677">
      <w:pPr>
        <w:pStyle w:val="TextoNormalNegritaCentrado"/>
        <w:keepNext/>
      </w:pPr>
      <w:r>
        <w:t>I. Antecedentes</w:t>
      </w:r>
    </w:p>
    <w:p w14:paraId="6917AAA9" w14:textId="4BFB09FC" w:rsidR="009D7677" w:rsidRDefault="009D7677" w:rsidP="009D7677">
      <w:pPr>
        <w:pStyle w:val="TextoNormalNegritaCentrado"/>
        <w:keepNext/>
      </w:pPr>
    </w:p>
    <w:p w14:paraId="264BA115" w14:textId="56041066" w:rsidR="009D7677" w:rsidRDefault="009D7677" w:rsidP="009D7677">
      <w:pPr>
        <w:pStyle w:val="TextoNormal"/>
      </w:pPr>
      <w:r w:rsidRPr="009D7677">
        <w:rPr>
          <w:rStyle w:val="NumeroAFNegritaCaracter"/>
        </w:rPr>
        <w:t>1</w:t>
      </w:r>
      <w:r>
        <w:t>. Don Mohamed El Bachiri, representado por el procurador de los tribunales don Antonio Nicolás Vallellano y asistido del abogado don José Manuel Beltrán Cristóbal, interpuso recurso de amparo contra las resoluciones que se mencionan en el encabezamiento, mediante escrito presentado en el registro electrónico de este tribunal el 29 de abril de 2021.</w:t>
      </w:r>
    </w:p>
    <w:p w14:paraId="19A5162D" w14:textId="77777777" w:rsidR="009D7677" w:rsidRDefault="009D7677" w:rsidP="009D7677">
      <w:pPr>
        <w:pStyle w:val="TextoNormal"/>
      </w:pPr>
    </w:p>
    <w:p w14:paraId="29EF8DE5" w14:textId="77777777" w:rsidR="009D7677" w:rsidRDefault="009D7677" w:rsidP="009D7677">
      <w:pPr>
        <w:pStyle w:val="TextoNormal"/>
      </w:pPr>
      <w:r w:rsidRPr="009D7677">
        <w:rPr>
          <w:rStyle w:val="NumeroAFNegritaCaracter"/>
        </w:rPr>
        <w:t>2</w:t>
      </w:r>
      <w:r>
        <w:t>. Los antecedentes relevantes para resolver el recurso son los siguientes:</w:t>
      </w:r>
    </w:p>
    <w:p w14:paraId="728E48F1" w14:textId="77777777" w:rsidR="009D7677" w:rsidRDefault="009D7677" w:rsidP="009D7677">
      <w:pPr>
        <w:pStyle w:val="TextoNormal"/>
      </w:pPr>
    </w:p>
    <w:p w14:paraId="56806D18" w14:textId="77777777" w:rsidR="009D7677" w:rsidRDefault="009D7677" w:rsidP="009D7677">
      <w:pPr>
        <w:pStyle w:val="TextoNormal"/>
      </w:pPr>
      <w:r>
        <w:t>a) Por la Subdelegación del Gobierno de Castellón se dictó resolución de 15 de enero de 2019, decretando la expulsión del territorio nacional del recurrente y prohibiéndole la entrada en el territorio y en el espacio Schengen por un período de tres años, tras la tramitación del expediente de expulsión por procedimiento preferente núm. 120020180003575.</w:t>
      </w:r>
    </w:p>
    <w:p w14:paraId="71B7A334" w14:textId="77777777" w:rsidR="009D7677" w:rsidRDefault="009D7677" w:rsidP="009D7677">
      <w:pPr>
        <w:pStyle w:val="TextoNormal"/>
      </w:pPr>
    </w:p>
    <w:p w14:paraId="5074CA28" w14:textId="77777777" w:rsidR="009D7677" w:rsidRDefault="009D7677" w:rsidP="009D7677">
      <w:pPr>
        <w:pStyle w:val="TextoNormal"/>
      </w:pPr>
      <w:r>
        <w:t>En los antecedentes del decreto de expulsión se hacía referencia al hecho determinante de la incoación del expediente en la comisaría de Policía de Castellón el 28 de agosto de 2018: “Se ha comprobado que el interesado carece de documento alguno que acredite que se encuentra en situación regular en España, careciendo de pasaporte que permita comprobar su identidad verdadera, así como cuándo y de qué forma entró en España. Consultado el Registro Central de Extranjeros no consta que haya realizado ningún trámite para regularizar su situación en España. Asimismo, consultados los archivos policiales no le figuran detenciones”.</w:t>
      </w:r>
    </w:p>
    <w:p w14:paraId="5A8A0125" w14:textId="77777777" w:rsidR="009D7677" w:rsidRDefault="009D7677" w:rsidP="009D7677">
      <w:pPr>
        <w:pStyle w:val="TextoNormal"/>
      </w:pPr>
    </w:p>
    <w:p w14:paraId="45311098" w14:textId="77777777" w:rsidR="009D7677" w:rsidRDefault="009D7677" w:rsidP="009D7677">
      <w:pPr>
        <w:pStyle w:val="TextoNormal"/>
      </w:pPr>
      <w:r>
        <w:t>Según el fundamento primero del decreto, “los hechos indicados deben encuadrarse” en la conducta tipificada como infracción grave en el art. 53.1 a) de la Ley Orgánica 4/2000, de 11 de enero, sobre derechos y libertades de los extranjeros en España y su integración social (LOEx): “Encontrarse irregularmente en territorio español, por no haber obtenido la prórroga de estancia, carecer de autorización de residencia o tener caducada más de tres meses la mencionada autorización, y siempre que el interesado no hubiere solicitado la renovación de la misma en el plazo previsto reglamentariamente”, toda vez que, como aparece constatado en el expediente, el interesado “se encontraba en situación irregular en España atendiendo a la falta de documentación necesaria para residir en el mencionado territorio y, sin que tales hechos hayan sido desvirtuados por el interesado”.</w:t>
      </w:r>
    </w:p>
    <w:p w14:paraId="3B8A11A6" w14:textId="77777777" w:rsidR="009D7677" w:rsidRDefault="009D7677" w:rsidP="009D7677">
      <w:pPr>
        <w:pStyle w:val="TextoNormal"/>
      </w:pPr>
    </w:p>
    <w:p w14:paraId="1A37FB63" w14:textId="77777777" w:rsidR="009D7677" w:rsidRDefault="009D7677" w:rsidP="009D7677">
      <w:pPr>
        <w:pStyle w:val="TextoNormal"/>
      </w:pPr>
      <w:r>
        <w:t xml:space="preserve">Tal conducta, según el fundamento segundo, podía conllevar la expulsión del territorio español con prohibición de entrada (arts. 57.1 y 58.1 LOEx). A tal efecto, había que tener en cuenta que la jurisprudencia consideraba que la permanencia ilegal en España no era </w:t>
      </w:r>
      <w:r>
        <w:lastRenderedPageBreak/>
        <w:t>motivo suficiente para imponer la sanción de expulsión, salvo que se motivase con otros hechos o circunstancias negativas unidas a la situación irregular, como las indicadas en “la STS de 30 de junio de 2006, recurso núm. 5101/2003 […] que el interesado esté indocumentado, se desconozca por dónde y en qué fecha entró en España, o no se acredite su identificación y filiación, así como la falta de vínculos familiares, laborales o sociales en España, son motivo suficiente para sancionar con acuerdo de expulsión. Estas circunstancias han quedado acreditadas en el presente procedimiento. Asimismo, el Tribunal Superior de Justicia de la Comunidad Valenciana, en sentencia núm. 2826 del 12/12/2011 […] ha apreciado que cabe dictar sanción de expulsión en caso de extranjeros con estancia ilegal donde no se acredite arraigo y medios económicos, no entendiéndose por arraigo, el mero hecho de estar empadronado, tener un contrato de arrendamiento, tarjeta sanitaria o una cuenta corriente”.</w:t>
      </w:r>
    </w:p>
    <w:p w14:paraId="3E076710" w14:textId="77777777" w:rsidR="009D7677" w:rsidRDefault="009D7677" w:rsidP="009D7677">
      <w:pPr>
        <w:pStyle w:val="TextoNormal"/>
      </w:pPr>
    </w:p>
    <w:p w14:paraId="5CFBAE18" w14:textId="77777777" w:rsidR="009D7677" w:rsidRDefault="009D7677" w:rsidP="009D7677">
      <w:pPr>
        <w:pStyle w:val="TextoNormal"/>
      </w:pPr>
      <w:r>
        <w:t>Finalmente, el fundamento tercero concluía que las alegaciones del recurrente no desvirtuaban la sanción que se imponía, dado que el interesado no había solicitado regularizar su situación, no se encontraba en ningún supuesto de concesión de residencia temporal por circunstancias excepcionales y tampoco aportaba documentación que justificase algún tipo de vínculo familiar, laboral o social en España o disponer de medios de subsistencia.</w:t>
      </w:r>
    </w:p>
    <w:p w14:paraId="086915F7" w14:textId="77777777" w:rsidR="009D7677" w:rsidRDefault="009D7677" w:rsidP="009D7677">
      <w:pPr>
        <w:pStyle w:val="TextoNormal"/>
      </w:pPr>
    </w:p>
    <w:p w14:paraId="3EC5445A" w14:textId="77777777" w:rsidR="009D7677" w:rsidRDefault="009D7677" w:rsidP="009D7677">
      <w:pPr>
        <w:pStyle w:val="TextoNormal"/>
      </w:pPr>
      <w:r>
        <w:t>b) Contra el decreto de expulsión se interpuso recurso contencioso-administrativo —al que se opuso la Abogacía del Estado en representación de la administración demandada— ante los juzgados de lo contencioso-administrativo de Castellón y se solicitó su anulación. Se alegó que el interesado tenía veinte años, que vino a España con su familia con la que vivía en el domicilio en el que estaba empadronado a la espera de regularizar su situación administrativa, lo que no había podido hacer por motivos ajenos a su voluntad. Estaba aprendiendo el idioma y acudía a cursos a diario para integrarse en la sociedad; tenía asistencia sanitaria, carecía de antecedentes penales y policiales y había decidido vivir y trabajar en nuestro país. El recurso se acompañaba de un certificado de empadronamiento del Ayuntamiento de Vilafranca del Penedès, de un calendario de estudios y de una tarjeta de asistencia sanitaria del Departament de Salut de la Generalitat de Catalunya.</w:t>
      </w:r>
    </w:p>
    <w:p w14:paraId="013FE178" w14:textId="77777777" w:rsidR="009D7677" w:rsidRDefault="009D7677" w:rsidP="009D7677">
      <w:pPr>
        <w:pStyle w:val="TextoNormal"/>
      </w:pPr>
    </w:p>
    <w:p w14:paraId="7F34B77D" w14:textId="77777777" w:rsidR="009D7677" w:rsidRDefault="009D7677" w:rsidP="009D7677">
      <w:pPr>
        <w:pStyle w:val="TextoNormal"/>
      </w:pPr>
      <w:r>
        <w:t>Según el recurso, la sanción de expulsión por estancia irregular infringía el principio de proporcionalidad (art. 55.3 y 4 LOEx), de alcance constitucional derivado del principio de legalidad sancionadora: la sanción con la que como regla se castigan las infracciones graves es la sanción de multa de 501 hasta 10 000 €, conforme al art. 55.1 b) LOEx, en la redacción dada por la Ley Orgánica 2/2009, de 11 de diciembre. La multa es, por tanto, la sanción principal y solo si se aplican criterios fundados “en una racionalidad estrictamente sancionadora y asentada en una suficiente motivación” cabría sancionar la estancia irregular con la expulsión (art. 57.1 LOEx), lo que no se efectuaba por la resolución impugnada.</w:t>
      </w:r>
    </w:p>
    <w:p w14:paraId="7EFD6170" w14:textId="77777777" w:rsidR="009D7677" w:rsidRDefault="009D7677" w:rsidP="009D7677">
      <w:pPr>
        <w:pStyle w:val="TextoNormal"/>
      </w:pPr>
    </w:p>
    <w:p w14:paraId="39E9FBFD" w14:textId="77777777" w:rsidR="009D7677" w:rsidRDefault="009D7677" w:rsidP="009D7677">
      <w:pPr>
        <w:pStyle w:val="TextoNormal"/>
      </w:pPr>
      <w:r>
        <w:t>c) El Juzgado de lo Contencioso-Administrativo núm. 2 de Castellón de la Plana desestimó el recurso, en su sentencia núm. 523/2019, de 14 de noviembre (procedimiento abreviado núm. 143-2019) con la siguiente argumentación:</w:t>
      </w:r>
    </w:p>
    <w:p w14:paraId="0197412B" w14:textId="77777777" w:rsidR="009D7677" w:rsidRDefault="009D7677" w:rsidP="009D7677">
      <w:pPr>
        <w:pStyle w:val="TextoNormal"/>
      </w:pPr>
    </w:p>
    <w:p w14:paraId="32BB77B0" w14:textId="77777777" w:rsidR="009D7677" w:rsidRDefault="009D7677" w:rsidP="009D7677">
      <w:pPr>
        <w:pStyle w:val="TextoNormal"/>
      </w:pPr>
      <w:r>
        <w:t>(i) La motivación fue suficiente y no causó indefensión, pues refería las “circunstancias concurrentes” base de la sanción, motivación que fue conocida y comprendida, como se ponía de manifiesto en las alegaciones realizadas por el recurrente, aunque discrepase de ella.</w:t>
      </w:r>
    </w:p>
    <w:p w14:paraId="4F9CBB85" w14:textId="77777777" w:rsidR="009D7677" w:rsidRDefault="009D7677" w:rsidP="009D7677">
      <w:pPr>
        <w:pStyle w:val="TextoNormal"/>
      </w:pPr>
    </w:p>
    <w:p w14:paraId="445FD320" w14:textId="77777777" w:rsidR="009D7677" w:rsidRDefault="009D7677" w:rsidP="009D7677">
      <w:pPr>
        <w:pStyle w:val="TextoNormal"/>
      </w:pPr>
      <w:r>
        <w:t xml:space="preserve">(ii) De acuerdo con reiterada jurisprudencia de la Sala de lo Contencioso-Administrativo del Tribunal Supremo, el principio de proporcionalidad exigía que la sanción de expulsión por estancia irregular en lugar de la sanción de multa se reservara “únicamente para los supuestos en los que a la estancia irregular se unía algún otro factor que pudiera ser susceptible de valoración negativa. Sin embargo, la cuestión de la proporcionalidad de la sanción de expulsión ha devenido a ser irrelevante”, tras el dictado de la sentencia del Tribunal de Justicia de la Unión Europea de 23 de abril de 2015, asunto </w:t>
      </w:r>
      <w:r w:rsidRPr="009D7677">
        <w:rPr>
          <w:i/>
        </w:rPr>
        <w:t>Subdelegación del Gobierno en Guipúzcoa-Extranjería c. Samir Zaizoune</w:t>
      </w:r>
      <w:r>
        <w:t>, C-38/14. Según esta sentencia, la normativa española aplicable a los casos de estancia irregular de nacionales de terceros países en su territorio resultaba contraria a la Directiva 2008/115/CE del Parlamento Europeo y del Consejo, de 16 de diciembre de 2008, relativa a normas y procedimientos comunes en los Estados miembros para el retorno de los nacionales de terceros países en situación irregular (conocida como Directiva de retorno), al imponer, dependiendo de las circunstancias, o bien una sanción de multa, o bien la de expulsión, siendo ambas medidas excluyentes entre sí. Por tanto, según el juzgado, para cumplir con los fines de la Directiva, “lo procedente es decretar la expulsión del extranjero, cuando concurra un supuesto de estancia irregular, salvo que concurra alguno de los supuestos de excepción […], lo que en el caso que nos ocupa ‘nos conduce a confirmar la imposición al demandante de la sanción de expulsión con preferencia a la de multa, aunque esta también se encuentre prevista en el texto legal, y ello por cuanto no solo consta acreditada la situación irregular del demandante en nuestro país […], sino que, además, no se aprecia la concurrencia de ninguno de los supuestos de excepción previstos en los apartados 2 a 5 del artículo 6 de la Directiva ni en su artículo 5’”.</w:t>
      </w:r>
    </w:p>
    <w:p w14:paraId="6A5C9F26" w14:textId="77777777" w:rsidR="009D7677" w:rsidRDefault="009D7677" w:rsidP="009D7677">
      <w:pPr>
        <w:pStyle w:val="TextoNormal"/>
      </w:pPr>
    </w:p>
    <w:p w14:paraId="6B7B9754" w14:textId="77777777" w:rsidR="009D7677" w:rsidRDefault="009D7677" w:rsidP="009D7677">
      <w:pPr>
        <w:pStyle w:val="TextoNormal"/>
      </w:pPr>
      <w:r>
        <w:t>(iii) El recurrente no acreditó estar en ningún supuesto excepcional y, por tanto, la sanción no resultó desproporcionada, “resultando insuficiente a tales efectos [de acreditación del arraigo familiar y laboral] el empadronamiento del actor en nuestro país […], ya que lo único que demuestra es la presencia en el país, pero no la integración del empadronado”, y lo mismo sucedía con la asistencia a cursos y con la tarjeta sanitaria, “mera liberalidad de la administración ante una situación de carencia y para evitar la exclusión social”.</w:t>
      </w:r>
    </w:p>
    <w:p w14:paraId="08511338" w14:textId="77777777" w:rsidR="009D7677" w:rsidRDefault="009D7677" w:rsidP="009D7677">
      <w:pPr>
        <w:pStyle w:val="TextoNormal"/>
      </w:pPr>
    </w:p>
    <w:p w14:paraId="4C109555" w14:textId="77777777" w:rsidR="009D7677" w:rsidRDefault="009D7677" w:rsidP="009D7677">
      <w:pPr>
        <w:pStyle w:val="TextoNormal"/>
      </w:pPr>
      <w:r>
        <w:t>d) El recurrente interpuso recurso de apelación —al que también se opuso la Abogacía del Estado— contra la sentencia y solicitó su anulación. En su escrito reproducía la argumentación del recurso contencioso-administrativo e insistía en la desproporción de la sanción y en que la STJUE de 23 de abril de 2015 no se aplicaba al caso y, de aplicarse, se llegaría a un resultado contrario. “Habiendo sido acreditado que Mohamed el Bachiri hace lo posible por integrarse a través de cursos con evidente destino a regularizar su situación, sin generar ningún peligro para la sociedad española”.</w:t>
      </w:r>
    </w:p>
    <w:p w14:paraId="601192C9" w14:textId="77777777" w:rsidR="009D7677" w:rsidRDefault="009D7677" w:rsidP="009D7677">
      <w:pPr>
        <w:pStyle w:val="TextoNormal"/>
      </w:pPr>
    </w:p>
    <w:p w14:paraId="37374790" w14:textId="77777777" w:rsidR="009D7677" w:rsidRDefault="009D7677" w:rsidP="009D7677">
      <w:pPr>
        <w:pStyle w:val="TextoNormal"/>
      </w:pPr>
      <w:r>
        <w:t xml:space="preserve">e) El recurso de apelación núm. 22-2020 fue desestimado por la sentencia núm. 113/2020, de 20 de febrero, de la Sección Primera de la Sala de lo Contencioso-Administrativo del Tribunal Superior de Justicia de la Comunidad Valenciana. La sala recordaba que, aunque era sobradamente conocido que el Tribunal Supremo “ponía de relieve que, tratándose de supuestos en que la causa de expulsión era, pura y simplemente, la permanencia ilegal sin otros hechos negativos, la administración había de motivar de forma expresa por qué acudía a la sanción de expulsión, ya que la permanencia ilegal, en principio, se sancionaba con multa”, sin embargo, tras la STJUE de 23 de abril de 2015, la </w:t>
      </w:r>
      <w:r>
        <w:lastRenderedPageBreak/>
        <w:t>primacía de la Directiva de retorno sobre el derecho interno imponía que se decretase la expulsión, a no ser que concurriese alguna de las circunstancias previstas para excepcionar el retorno, tal y como ya se había pronunciado el Tribunal Supremo. Finalizaba su argumentación constatando que el recurrente se hallaba en situación irregular en España al incoarse el expediente sancionador y que, como “destaca la sentencia de instancia, la documentación aportada al proceso por el recurrente —certificado de empadronamiento, justificación de la asistencia a cursos y tarjeta sanitaria— en absoluto acredita la concurrencia de ninguna de tales excepciones”.</w:t>
      </w:r>
    </w:p>
    <w:p w14:paraId="3738ADA4" w14:textId="77777777" w:rsidR="009D7677" w:rsidRDefault="009D7677" w:rsidP="009D7677">
      <w:pPr>
        <w:pStyle w:val="TextoNormal"/>
      </w:pPr>
    </w:p>
    <w:p w14:paraId="4D9B0110" w14:textId="77777777" w:rsidR="009D7677" w:rsidRDefault="009D7677" w:rsidP="009D7677">
      <w:pPr>
        <w:pStyle w:val="TextoNormal"/>
      </w:pPr>
      <w:r>
        <w:t xml:space="preserve">f) El recurrente preparó recurso de casación en el que reiteraba que la sanción de expulsión resultaba desproporcionada e infringía, entre otros, el art. 53.1 a) LOEx, la Directiva de retorno, el reglamento de extranjería y la STJUE de 23 de abril de 2015. Se afirmaba que la sanción de expulsión resultaba desproporcionada, que era la más grave y que no se había justificado ni ponderado a la vista de sus circunstancias. Se decía que en los recursos previos “hizo mención expresa a los principios de proporcionalidad, legalidad, responsabilidad y </w:t>
      </w:r>
      <w:r w:rsidRPr="009D7677">
        <w:rPr>
          <w:i/>
        </w:rPr>
        <w:t>non bis in idem</w:t>
      </w:r>
      <w:r>
        <w:t>, de modo que la expulsión no atiende al caso concreto”, y discrepaba de la jurisprudencia iniciada con la sentencia de la Sala de lo Contencioso-Administrativo del Tribunal Supremo núm. 980/2018, de 12 de junio, que, interpretando la STJUE de 23 de abril de 2015, consideraba que la Directiva de retorno establecía que lo procedente era decretar la expulsión en situaciones de estancia irregular. La Sección Primera de la Sala de lo Contencioso-Administrativo del Tribunal Superior de Justicia tuvo por preparado el recurso de casación, mediante auto de 8 de junio de 2020, emplazando a las partes ante la Sala Tercera del Tribunal Supremo.</w:t>
      </w:r>
    </w:p>
    <w:p w14:paraId="50F8FEA6" w14:textId="77777777" w:rsidR="009D7677" w:rsidRDefault="009D7677" w:rsidP="009D7677">
      <w:pPr>
        <w:pStyle w:val="TextoNormal"/>
      </w:pPr>
    </w:p>
    <w:p w14:paraId="43411F92" w14:textId="77777777" w:rsidR="009D7677" w:rsidRDefault="009D7677" w:rsidP="009D7677">
      <w:pPr>
        <w:pStyle w:val="TextoNormal"/>
      </w:pPr>
      <w:r>
        <w:t>g) El recurso fue inadmitido mediante providencia de 14 de enero de 2021, de la Sección Primera de la Sala de lo Contencioso-Administrativo del Tribunal Supremo, “—en aplicación del art. 90.4 b) en relación con el 89.2 f) de la LJCA— […] por incumplimiento de las exigencias que el artículo 89.2 impone al escrito de preparación […] por falta de fundamentación suficiente y singularizada al caso, de la concurrencia del supuesto previsto en el artículo 88.2 c) —invocado tácitamente— de la LJCA, que permite apreciar el interés casacional objetivo y la conveniencia de un pronunciamiento de la Sala de lo Contencioso-Administrativo del Tribunal Supremo”.</w:t>
      </w:r>
    </w:p>
    <w:p w14:paraId="1EA0B29D" w14:textId="77777777" w:rsidR="009D7677" w:rsidRDefault="009D7677" w:rsidP="009D7677">
      <w:pPr>
        <w:pStyle w:val="TextoNormal"/>
      </w:pPr>
    </w:p>
    <w:p w14:paraId="47D23E03" w14:textId="77777777" w:rsidR="009D7677" w:rsidRDefault="009D7677" w:rsidP="009D7677">
      <w:pPr>
        <w:pStyle w:val="TextoNormal"/>
      </w:pPr>
      <w:r>
        <w:t xml:space="preserve">h) Contra la providencia anterior el recurrente planteó un incidente excepcional de nulidad de actuaciones como medio de acceso al recurso de amparo, alegando la vulneración del derecho a la tutela judicial efectiva, en su vertiente de derecho de acceso al recurso, y el principio </w:t>
      </w:r>
      <w:r w:rsidRPr="009D7677">
        <w:rPr>
          <w:i/>
        </w:rPr>
        <w:t>pro actione</w:t>
      </w:r>
      <w:r>
        <w:t xml:space="preserve">. Sostenía que sí que había justificado el interés casacional del recurso en el gran número de situaciones a las que podría afectar su resolución e invocaba, para demostrar su trascendencia, la reciente STJUE de 8 de octubre de 2020, asunto </w:t>
      </w:r>
      <w:r w:rsidRPr="009D7677">
        <w:rPr>
          <w:i/>
        </w:rPr>
        <w:t>MO c. Subdelegación del Gobierno en Toledo</w:t>
      </w:r>
      <w:r>
        <w:t>, C-568/19, que concluía que las directivas no pueden, por sí solas, crear obligaciones a cargo de los particulares, de modo que el Estado no puede basarse directamente en la Directiva 2008/115/CE para adoptar una decisión de retorno, lo que “implicaría que es perfectamente posible aplicar el sistema establecido por la propia Ley de extranjería, que establece como norma general que las infracciones graves serán castigadas con sanciones de multa”, de tal manera que “solo cabría la expulsión si concurriese algún dato negativo”.</w:t>
      </w:r>
    </w:p>
    <w:p w14:paraId="43CD0129" w14:textId="77777777" w:rsidR="009D7677" w:rsidRDefault="009D7677" w:rsidP="009D7677">
      <w:pPr>
        <w:pStyle w:val="TextoNormal"/>
      </w:pPr>
    </w:p>
    <w:p w14:paraId="460C1337" w14:textId="555A63E5" w:rsidR="009D7677" w:rsidRDefault="009D7677" w:rsidP="009D7677">
      <w:pPr>
        <w:pStyle w:val="TextoNormal"/>
      </w:pPr>
      <w:r>
        <w:lastRenderedPageBreak/>
        <w:t>i) El incidente fue inadmitido a trámite por medio de providencia de 18 de marzo de 2021, de la Sección Primera de la Sala de lo Contencioso-Administrativo del Tribunal Supremo: la providencia indicaba la causa de inadmisión (art. 90.4 LJCA), y el escrito de preparación carecía de la necesaria fundamentación justificativa de la concurrencia del supuesto previsto en el art. 88.2 c) de la Ley reguladora de la jurisdicción contencioso-administrativa (LJCA), tácitamente invocado, sin que la deficiente actuación procesal de la parte fuese subsanable.</w:t>
      </w:r>
    </w:p>
    <w:p w14:paraId="1781C001" w14:textId="77777777" w:rsidR="009D7677" w:rsidRDefault="009D7677" w:rsidP="009D7677">
      <w:pPr>
        <w:pStyle w:val="TextoNormal"/>
      </w:pPr>
    </w:p>
    <w:p w14:paraId="11CA01E9" w14:textId="77777777" w:rsidR="009D7677" w:rsidRDefault="009D7677" w:rsidP="009D7677">
      <w:pPr>
        <w:pStyle w:val="TextoNormal"/>
      </w:pPr>
      <w:r w:rsidRPr="009D7677">
        <w:rPr>
          <w:rStyle w:val="NumeroAFNegritaCaracter"/>
        </w:rPr>
        <w:t>3</w:t>
      </w:r>
      <w:r>
        <w:t xml:space="preserve">. La demanda de amparo denuncia, en primer lugar, que las providencias de inadmisión del recurso de casación y del incidente de nulidad de actuaciones vulneran el derecho a la tutela judicial efectiva (art. 24.1 CE), en su vertiente de derecho de acceso al recurso, y el principio </w:t>
      </w:r>
      <w:r w:rsidRPr="009D7677">
        <w:rPr>
          <w:i/>
        </w:rPr>
        <w:t>pro actione</w:t>
      </w:r>
      <w:r>
        <w:t>, por falta de motivación. Se reiteran los argumentos del incidente de nulidad y se afirma que el recurso de casación presentaba interés casacional, que debió admitirse y que ninguna de las providencias impugnadas motivó su respuesta.</w:t>
      </w:r>
    </w:p>
    <w:p w14:paraId="68A7C939" w14:textId="77777777" w:rsidR="009D7677" w:rsidRDefault="009D7677" w:rsidP="009D7677">
      <w:pPr>
        <w:pStyle w:val="TextoNormal"/>
      </w:pPr>
    </w:p>
    <w:p w14:paraId="746C8FEC" w14:textId="77777777" w:rsidR="009D7677" w:rsidRDefault="009D7677" w:rsidP="009D7677">
      <w:pPr>
        <w:pStyle w:val="TextoNormal"/>
      </w:pPr>
      <w:r>
        <w:t>En segundo término, se denuncia que desde la resolución administrativa hasta la última resolución judicial objeto de impugnación se ha ido arrastrando una falta de motivación que vulnera el derecho a la tutela judicial efectiva y el principio de proporcionalidad, al haberse ejercido la potestad sancionadora de forma arbitraria imponiendo sin justificar una sanción de expulsión y no una de multa, a pesar de carecer de datos negativos.</w:t>
      </w:r>
    </w:p>
    <w:p w14:paraId="65ED608F" w14:textId="77777777" w:rsidR="009D7677" w:rsidRDefault="009D7677" w:rsidP="009D7677">
      <w:pPr>
        <w:pStyle w:val="TextoNormal"/>
      </w:pPr>
    </w:p>
    <w:p w14:paraId="698E41B2" w14:textId="77777777" w:rsidR="009D7677" w:rsidRDefault="009D7677" w:rsidP="009D7677">
      <w:pPr>
        <w:pStyle w:val="TextoNormal"/>
      </w:pPr>
      <w:r>
        <w:t>El recurrente afirma: (i) Que “carece de antecedentes penales y hasta policiales, está trabajando”. (ii) La no regularización de su situación solo es imputable a la administración, pues, como ya dijo en el escrito de preparación del recurso de casación, “tenía solicitada cita previa en el área de trabajo de la Delegación del Gobierno de Castellón para regularizar su situación, y tal solicitud no fue resuelta al tiempo de los hechos”. (iii) La sentencia de primera instancia “responde a un modelo estereotipado” que se limita a decir que conforme a la STJUE de 23 de abril de 2015 procede la desestimación del recurso; “carece de una motivación razonable que responda a las cuestiones planteadas […] sin haber tenido en cuenta el arraigo de mi representado”. (iv) La sentencia de segunda instancia adolece de los mismos defectos y limitaciones. (v) Los órganos judiciales aplican la STJUE de 23 de abril de 2015 “con cierto automatismo para denegar las pretensiones de anulación de la sanción de expulsión y su sustitución por una sanción de multa contemplada en el artículo 55.1 b) de la Ley Orgánica 4/2000 en virtud del principio de proporcionalidad del artículo 55.3 de la mencionada ley. De tal suerte que se han convertido en unos preceptos muertos. Entendemos que la sentencia del Tribunal de Justicia de la Unión Europea no comprende el sistema de sanciones establecido legalmente en España en materia de extranjería”, porque las “sanciones de multa siempre advierten al interesado que debe abandonar territorio español por carecer de título habilitante para permanecer en España en un plazo de quince días […]. También advierten de que en caso de no cumplir con esta obligación se iniciará el correspondiente procedimiento sancionador que podría terminar con resolución de expulsión […]. Por lo que la imposición de una multa con la obligación de salir de España dejando un plazo determinado para su cumplimiento no es contrario a la Directiva 2008/115/CE, y debe tenerse en cuenta que la multa es la sanción principal que es la que ha de imponerse de no concurrir datos negativos que aconsejen la sanción de expulsión”. (vi) La Sala de lo Contencioso-Administrativo del Tribunal Supremo incurre en el mismo error. “[S]e nos achaca […] que el escrito tiene una falta de fundamentación suficiente con una singular referencia al caso, sobre la concurrencia de los supuestos pre</w:t>
      </w:r>
      <w:r>
        <w:lastRenderedPageBreak/>
        <w:t>vistos, en el art. 88.2 c) LJCA, invocados como justificativos del interés casacional objetivo para la formación de jurisprudencia y la conveniencia de un pronunciamiento de la Sala”. Había un interés casacional, dado que la STJUE de 23 de abril de 2015, “ha supuesto una congelación de los artículos 55.1 b) y 55.3 de la Ley Orgánica 4/2000, que sería como un cambio legislativo de gran calado”. (vii) La vulneración del principio de proporcionalidad y la falta de motivación la confirma la reciente STJUE de 8 de octubre de 2020, al establecer que las directivas no pueden, por sí solas, crear obligaciones a cargo de los particulares.</w:t>
      </w:r>
    </w:p>
    <w:p w14:paraId="40B10820" w14:textId="77777777" w:rsidR="009D7677" w:rsidRDefault="009D7677" w:rsidP="009D7677">
      <w:pPr>
        <w:pStyle w:val="TextoNormal"/>
      </w:pPr>
    </w:p>
    <w:p w14:paraId="6B40A568" w14:textId="77777777" w:rsidR="009D7677" w:rsidRDefault="009D7677" w:rsidP="009D7677">
      <w:pPr>
        <w:pStyle w:val="TextoNormal"/>
      </w:pPr>
      <w:r>
        <w:t>Finalmente, en relación con esta última alegación, se denuncia la vulneración del derecho a la legalidad sancionadora (art. 25.1 CE) y del principio de seguridad jurídica por la aplicación directa de la Directiva 2008/115/CE.</w:t>
      </w:r>
    </w:p>
    <w:p w14:paraId="3C3166A3" w14:textId="77777777" w:rsidR="009D7677" w:rsidRDefault="009D7677" w:rsidP="009D7677">
      <w:pPr>
        <w:pStyle w:val="TextoNormal"/>
      </w:pPr>
    </w:p>
    <w:p w14:paraId="57A7B386" w14:textId="02BB5143" w:rsidR="009D7677" w:rsidRDefault="009D7677" w:rsidP="009D7677">
      <w:pPr>
        <w:pStyle w:val="TextoNormal"/>
      </w:pPr>
      <w:r>
        <w:t>La demanda termina con la solicitud de que se anulen las resoluciones impugnadas. Asimismo, se formulan dos peticiones alternativas: (i) que se anulen las sentencias impugnadas y se retrotraiga el procedimiento al momento anterior al que se dictó la sentencia de primera instancia para que el juzgado dicte una sentencia debidamente motivada; y (ii) que se anulen las providencias impugnadas y se ordene la admisión del recurso de casación.</w:t>
      </w:r>
    </w:p>
    <w:p w14:paraId="3179244F" w14:textId="77777777" w:rsidR="009D7677" w:rsidRDefault="009D7677" w:rsidP="009D7677">
      <w:pPr>
        <w:pStyle w:val="TextoNormal"/>
      </w:pPr>
    </w:p>
    <w:p w14:paraId="3E1EF402" w14:textId="4A3B7343" w:rsidR="009D7677" w:rsidRDefault="009D7677" w:rsidP="009D7677">
      <w:pPr>
        <w:pStyle w:val="TextoNormal"/>
      </w:pPr>
      <w:r w:rsidRPr="009D7677">
        <w:rPr>
          <w:rStyle w:val="NumeroAFNegritaCaracter"/>
        </w:rPr>
        <w:t>4</w:t>
      </w:r>
      <w:r>
        <w:t>. La Sección Tercera de la Sala Segunda de este tribunal, mediante providencia de 21 de marzo de 2022, admitió a trámite la demanda al apreciar que concurre en el recurso una especial trascendencia constitucional [art. 50.1 de la Ley Orgánica del Tribunal Constitucional (LOTC)] porque puede dar ocasión al Tribunal para aclarar o cambiar su doctrina, como consecuencia de un cambio de doctrina de los órganos de garantía encargados de la interpretación de los tratados y acuerdos internacionales a los que se refiere el art. 10.2 CE [STC 155/2009, de 25 de junio, FJ 2 b)]; acordó dirigirse a los distintos órganos judiciales para que remitiesen certificación o copia adverada de sus respectivas actuaciones y al Juzgado de lo Contencioso-Administrativo núm. 2 de Castellón de la Plana para que además emplazase a quienes hubieran sido parte en el procedimiento, excepto al recurrente en amparo, con el fin de que pudiesen comparecer en el recurso en el plazo de diez días, lo que efectuó el abogado del Estado, en representación de la administración, mediante escrito presentado el 22 de abril de 2022.</w:t>
      </w:r>
    </w:p>
    <w:p w14:paraId="52AB4B8E" w14:textId="77777777" w:rsidR="009D7677" w:rsidRDefault="009D7677" w:rsidP="009D7677">
      <w:pPr>
        <w:pStyle w:val="TextoNormal"/>
      </w:pPr>
    </w:p>
    <w:p w14:paraId="5A4352E8" w14:textId="50FD137B" w:rsidR="009D7677" w:rsidRDefault="009D7677" w:rsidP="009D7677">
      <w:pPr>
        <w:pStyle w:val="TextoNormal"/>
      </w:pPr>
      <w:r w:rsidRPr="009D7677">
        <w:rPr>
          <w:rStyle w:val="NumeroAFNegritaCaracter"/>
        </w:rPr>
        <w:t>5</w:t>
      </w:r>
      <w:r>
        <w:t>. El secretario de justicia de la Sección Tercera de este tribunal, por diligencia de ordenación de 25 de abril de 2022, tuvo por personado y parte al abogado del Estado y, conforme a lo dispuesto en el art. 52.1 LOTC, acordó dar vista de las actuaciones recibidas al Ministerio Fiscal y a las partes personadas por un plazo común de veinte días para presentar alegaciones.</w:t>
      </w:r>
    </w:p>
    <w:p w14:paraId="344DC056" w14:textId="77777777" w:rsidR="009D7677" w:rsidRDefault="009D7677" w:rsidP="009D7677">
      <w:pPr>
        <w:pStyle w:val="TextoNormal"/>
      </w:pPr>
    </w:p>
    <w:p w14:paraId="06D2AEAD" w14:textId="77777777" w:rsidR="009D7677" w:rsidRDefault="009D7677" w:rsidP="009D7677">
      <w:pPr>
        <w:pStyle w:val="TextoNormal"/>
      </w:pPr>
      <w:r w:rsidRPr="009D7677">
        <w:rPr>
          <w:rStyle w:val="NumeroAFNegritaCaracter"/>
        </w:rPr>
        <w:t>6</w:t>
      </w:r>
      <w:r>
        <w:t xml:space="preserve">. El recurrente presentó escrito, el 25 de mayo de 2022, en el que ratifica su demanda y, además, recoge los nuevos criterios fijados en esta materia por la sentencia núm. 366/2021, de 17 de marzo, de la Sección Quinta de la Sala de lo Contencioso-Administrativo del Tribunal Supremo (asumidos también en su sentencia núm. 337/2022, de 16 de marzo) que vendrían a darle la razón: “Primero, que la situación de estancia irregular determina, en su caso, la decisión de expulsión y no cabe la posibilidad de sustitución por una sanción de multa. Segundo, que la expulsión, comprensiva de la decisión de retorno y su ejecución, exige, en cada caso y de manera individualizada, la valoración y </w:t>
      </w:r>
      <w:r>
        <w:lastRenderedPageBreak/>
        <w:t>apreciación de circunstancias agravantes que pongan de manifiesto y justifiquen la proporcionalidad de la medida adoptada, tras la tramitación de un procedimiento con plenas garantías de los derechos de los afectados, conforme exige la jurisprudencia comunitaria. Tercero, que por tales circunstancias de agravación han de considerase las que se han venido apreciando por la jurisprudencia en relación a la gravedad de la mera estancia irregular, bien sean de carácter subjetivo o de carácter objetivo, y que pueden comprender otras de análoga significación”.</w:t>
      </w:r>
    </w:p>
    <w:p w14:paraId="6D65ACF1" w14:textId="77777777" w:rsidR="009D7677" w:rsidRDefault="009D7677" w:rsidP="009D7677">
      <w:pPr>
        <w:pStyle w:val="TextoNormal"/>
      </w:pPr>
    </w:p>
    <w:p w14:paraId="4A65E3AC" w14:textId="77777777" w:rsidR="009D7677" w:rsidRDefault="009D7677" w:rsidP="009D7677">
      <w:pPr>
        <w:pStyle w:val="TextoNormal"/>
      </w:pPr>
      <w:r>
        <w:t xml:space="preserve">Asimismo, alega en apoyo de su pretensión que con posterioridad a la presentación de su recurso de amparo, se dictó la STJUE de 3 de marzo de 2022, asunto </w:t>
      </w:r>
      <w:r w:rsidRPr="009D7677">
        <w:rPr>
          <w:i/>
        </w:rPr>
        <w:t>UN c. Subdelegación del Gobierno en Pontevedra</w:t>
      </w:r>
      <w:r>
        <w:t>, C-409/20, cuya parte dispositiva establecía que “la Directiva 2008/115/CE del Parlamento Europeo y del Consejo, de 16 de diciembre de 2008, relativa a normas y procedimientos comunes en los Estados miembros para el retorno de los nacionales de terceros países en situación irregular, en particular sus artículos 6, apartado 1, y 8, apartado 1, leídos en relación con los artículos 6, apartado 4, y 7, apartados 1 y 2, de la misma, debe interpretarse en el sentido de que no se opone a una normativa de un Estado miembro que sanciona la permanencia irregular de un nacional de un tercer país en el territorio de ese Estado miembro, cuando no concurren circunstancias agravantes, en un primer momento, con una sanción de multa que lleva aparejada la obligación de abandonar el territorio de dicho Estado miembro en el plazo fijado salvo que, antes de que este expire, se regularice la situación del nacional de un tercer país y, en un segundo momento, si no se ha regularizado su situación, con una decisión en la que se ordena obligatoriamente su expulsión, siempre que dicho plazo se fije de conformidad con las exigencias establecidas en el artículo 7, apartados 1 y 2, de esta directiva”.</w:t>
      </w:r>
    </w:p>
    <w:p w14:paraId="3690F922" w14:textId="77777777" w:rsidR="009D7677" w:rsidRDefault="009D7677" w:rsidP="009D7677">
      <w:pPr>
        <w:pStyle w:val="TextoNormal"/>
      </w:pPr>
    </w:p>
    <w:p w14:paraId="7C0CEE44" w14:textId="73ADF04D" w:rsidR="009D7677" w:rsidRDefault="009D7677" w:rsidP="009D7677">
      <w:pPr>
        <w:pStyle w:val="TextoNormal"/>
      </w:pPr>
      <w:r>
        <w:t>Por tanto, concluye que “teniendo en cuenta nuestro recurso de amparo y las alegaciones aquí presentadas, no puede aplicarse directamente la Directiva 2008/115/CE frente a los particulares, sino que debe aplicarse el sistema establecido por la Ley Orgánica 4/2000 en sus artículos 53, 55, 57 y 58”, y que “las resoluciones que se recurren vulneran el principio de legalidad sancionadora y seguridad jurídica al aplicar directamente la Directiva 2008/115/CE”.</w:t>
      </w:r>
    </w:p>
    <w:p w14:paraId="61C2EA21" w14:textId="77777777" w:rsidR="009D7677" w:rsidRDefault="009D7677" w:rsidP="009D7677">
      <w:pPr>
        <w:pStyle w:val="TextoNormal"/>
      </w:pPr>
    </w:p>
    <w:p w14:paraId="18943419" w14:textId="77777777" w:rsidR="009D7677" w:rsidRDefault="009D7677" w:rsidP="009D7677">
      <w:pPr>
        <w:pStyle w:val="TextoNormal"/>
      </w:pPr>
      <w:r w:rsidRPr="009D7677">
        <w:rPr>
          <w:rStyle w:val="NumeroAFNegritaCaracter"/>
        </w:rPr>
        <w:t>7</w:t>
      </w:r>
      <w:r>
        <w:t>. El abogado del Estado presentó escrito, el 26 de mayo de 2022, en el que solicita que se inadmita el recurso de amparo por extemporáneo y, subsidiariamente, que se inadmita por falta de trascendencia constitucional, justificando sus peticiones con arreglo a los argumentos que se expondrán en el fundamento jurídico segundo de esta sentencia para evitar repeticiones.</w:t>
      </w:r>
    </w:p>
    <w:p w14:paraId="65358D32" w14:textId="77777777" w:rsidR="009D7677" w:rsidRDefault="009D7677" w:rsidP="009D7677">
      <w:pPr>
        <w:pStyle w:val="TextoNormal"/>
      </w:pPr>
    </w:p>
    <w:p w14:paraId="56B5EB7A" w14:textId="25FF315F" w:rsidR="009D7677" w:rsidRDefault="009D7677" w:rsidP="009D7677">
      <w:pPr>
        <w:pStyle w:val="TextoNormal"/>
      </w:pPr>
      <w:r>
        <w:t>En caso de no prosperar los óbices procesales planteados, el abogado del Estado solicita que el recurso se desestime en cuanto al fondo. Alega que la sanción de expulsión se impuso no por aplicación directa de la Directiva de retorno, sino por aplicación de la regulación resultante de su trasposición en la Ley Orgánica 2/2009. Sostiene que nos hallamos ante una cuestión de legalidad ordinaria y que la autoridad administrativa al imponer la sanción de expulsión a la situación de estancia irregular —sanción confirmada por los tribunales— se limitó a realizar una operación de subsunción de los hechos en la normativa interna prevista en los arts. 53.1 a) y 57.1 LOEx. La sanción y su confirmación fueron motivadas a partir de hechos constatados sobre los que el recurrente tuvo posibilidad de alegar y discutir en vía judicial. Ninguna vulneración hubo del derecho a la legalidad san</w:t>
      </w:r>
      <w:r>
        <w:lastRenderedPageBreak/>
        <w:t>cionadora en su faceta aplicativa (art. 25.1 CE) y tampoco del derecho a la tutela judicial efectiva y del deber de motivación (art. 24.1 CE), puesto que ninguna de las resoluciones incurrió en “argumentaciones ilógicas, absurdas, manifiestamente erróneas, arbitrarias o irracionales”, de ahí que no quepa su revisión por el Tribunal Constitucional.</w:t>
      </w:r>
    </w:p>
    <w:p w14:paraId="43C2D0BF" w14:textId="77777777" w:rsidR="009D7677" w:rsidRDefault="009D7677" w:rsidP="009D7677">
      <w:pPr>
        <w:pStyle w:val="TextoNormal"/>
      </w:pPr>
    </w:p>
    <w:p w14:paraId="374F4E71" w14:textId="77777777" w:rsidR="009D7677" w:rsidRDefault="009D7677" w:rsidP="009D7677">
      <w:pPr>
        <w:pStyle w:val="TextoNormal"/>
      </w:pPr>
      <w:r w:rsidRPr="009D7677">
        <w:rPr>
          <w:rStyle w:val="NumeroAFNegritaCaracter"/>
        </w:rPr>
        <w:t>8</w:t>
      </w:r>
      <w:r>
        <w:t>. El fiscal ante el Tribunal Constitucional presentó escrito, el 17 de junio de 2022, en el que solicita, por un lado, que se inadmita el recurso respecto de la queja relativa a la vulneración del principio de legalidad del art. 25.1 CE, por los motivos que se expondrán en el fundamento jurídico segundo de esta sentencia para evitar repeticiones.</w:t>
      </w:r>
    </w:p>
    <w:p w14:paraId="0DFDB1D2" w14:textId="77777777" w:rsidR="009D7677" w:rsidRDefault="009D7677" w:rsidP="009D7677">
      <w:pPr>
        <w:pStyle w:val="TextoNormal"/>
      </w:pPr>
    </w:p>
    <w:p w14:paraId="68FF3354" w14:textId="77777777" w:rsidR="009D7677" w:rsidRDefault="009D7677" w:rsidP="009D7677">
      <w:pPr>
        <w:pStyle w:val="TextoNormal"/>
      </w:pPr>
      <w:r>
        <w:t>Por otro lado, interesa que se estime el recurso con retroacción de las actuaciones al momento anterior a la imposición de la sanción, anulando el decreto de expulsión por vulneración del derecho a la tutela administrativa y el principio de proporcionalidad, y también las sentencias impugnadas por vulneración del derecho a la tutela judicial efectiva sin indefensión.</w:t>
      </w:r>
    </w:p>
    <w:p w14:paraId="2211F7CF" w14:textId="77777777" w:rsidR="009D7677" w:rsidRDefault="009D7677" w:rsidP="009D7677">
      <w:pPr>
        <w:pStyle w:val="TextoNormal"/>
      </w:pPr>
    </w:p>
    <w:p w14:paraId="020D83A6" w14:textId="77777777" w:rsidR="009D7677" w:rsidRDefault="009D7677" w:rsidP="009D7677">
      <w:pPr>
        <w:pStyle w:val="TextoNormal"/>
      </w:pPr>
      <w:r>
        <w:t>El decreto de expulsión, según el fiscal, no pondera las circunstancias concurrentes al limitarse a reflejar la estancia irregular del recurrente en nuestro país, a calificar este hecho como una infracción grave, a aplicar la sanción de expulsión con prohibición de entrada por un periodo de tres años y a “considerar como insuficientes las alegaciones del recurrente destinadas a acreditar su integración y arraigo sin entrar a valorar si concurría alguna circunstancia que avalase la medida de expulsión en atención a la legislación sobre extranjería en la que se apoya. Es más, la jurisprudencia que cita la resolución administrativa ni tan siquiera tiene en cuenta la doctrina emanada del Tribunal Supremo dictada con ocasión de la STJUE de 23 de abril de 2015”. La resolución desconoce, pues, el principio de proporcionalidad y vulnera el derecho a la tutela que le asiste al recurrente.</w:t>
      </w:r>
    </w:p>
    <w:p w14:paraId="5F54E810" w14:textId="77777777" w:rsidR="009D7677" w:rsidRDefault="009D7677" w:rsidP="009D7677">
      <w:pPr>
        <w:pStyle w:val="TextoNormal"/>
      </w:pPr>
    </w:p>
    <w:p w14:paraId="2890C14F" w14:textId="77777777" w:rsidR="009D7677" w:rsidRDefault="009D7677" w:rsidP="009D7677">
      <w:pPr>
        <w:pStyle w:val="TextoNormal"/>
      </w:pPr>
      <w:r>
        <w:t>El fiscal, tras exponer el contenido de las mencionadas SSTJUE de 23 de abril de 2015 y de 8 de octubre de 2020 y de la citada sentencia núm. 366/2021, de 17 de marzo, de la Sala de lo Contencioso-Administrativo del Tribunal Supremo, sostiene que las sentencias de instancia y de apelación confirmaron la sanción de expulsión por estancia irregular sin constatar o ponderar la concurrencia de datos negativos o circunstancias agravantes. Aplicaron la Directiva de retorno directamente, otorgándole un efecto directo vertical inverso prohibido por la jurisprudencia del Tribunal de Justicia de la Unión Europea, incurriendo así en una vulneración del derecho a la tutela judicial efectiva sin indefensión del demandante.</w:t>
      </w:r>
    </w:p>
    <w:p w14:paraId="4FAF4EBC" w14:textId="77777777" w:rsidR="009D7677" w:rsidRDefault="009D7677" w:rsidP="009D7677">
      <w:pPr>
        <w:pStyle w:val="TextoNormal"/>
      </w:pPr>
    </w:p>
    <w:p w14:paraId="5B2B6A83" w14:textId="3283D17E" w:rsidR="009D7677" w:rsidRDefault="009D7677" w:rsidP="009D7677">
      <w:pPr>
        <w:pStyle w:val="TextoNormal"/>
      </w:pPr>
      <w:r>
        <w:t>Finalmente, respecto de las providencias del Tribunal Supremo impugnadas, solicita que se desestime el motivo de falta de tutela judicial efectiva sin indefensión, en sus vertientes de derecho al recurso y a una resolución motivada: En cada una de estas resoluciones existe una motivación en términos jurídicos y ninguna está incursa en arbitrariedad, irrazonabilidad manifiesta o error patente, que es el canon externo de control constitucional tanto de la providencia de inadmisión del recurso de casación (STC 252/2004, de 20 de diciembre, FJ 2) como de la providencia de inadmisión del incidente de nulidad (STC 204/2014, de 15 de diciembre, FJ 4).</w:t>
      </w:r>
    </w:p>
    <w:p w14:paraId="13003A51" w14:textId="77777777" w:rsidR="009D7677" w:rsidRDefault="009D7677" w:rsidP="009D7677">
      <w:pPr>
        <w:pStyle w:val="TextoNormal"/>
      </w:pPr>
    </w:p>
    <w:p w14:paraId="6D44010C" w14:textId="77777777" w:rsidR="009D7677" w:rsidRDefault="009D7677" w:rsidP="009D7677">
      <w:pPr>
        <w:pStyle w:val="TextoNormal"/>
      </w:pPr>
      <w:r w:rsidRPr="009D7677">
        <w:rPr>
          <w:rStyle w:val="NumeroAFNegritaCaracter"/>
        </w:rPr>
        <w:t>9</w:t>
      </w:r>
      <w:r>
        <w:t xml:space="preserve">. En virtud de los arts. 2.2 y 3.2 del acuerdo del Pleno del Tribunal Constitucional de 17 de enero de 2023, publicado en el “Boletín Oficial del Estado” de 19 de enero de 2023, </w:t>
      </w:r>
      <w:r>
        <w:lastRenderedPageBreak/>
        <w:t>al haber dejado el anterior ponente de formar parte del Tribunal, se reasignó la ponencia y correspondió al magistrado don César Tolosa Tribiño, quien, conforme a lo dispuesto en el art. 217 de la Ley Orgánica del Poder Judicial (LOPJ), comunicó a la Sala Segunda de este tribunal, por conducto de su presidenta, la decisión de abstenerse del conocimiento del presente recurso de amparo por concurrir en él la causa establecida en el art. 219.11 LOPJ, al haber intervenido en la instancia judicial previa en su condición de magistrado de la Sección Primera de la Sala de lo Contencioso-Administrativo del Tribunal Supremo que dictó las providencias impugnadas.</w:t>
      </w:r>
    </w:p>
    <w:p w14:paraId="5B577FD3" w14:textId="77777777" w:rsidR="009D7677" w:rsidRDefault="009D7677" w:rsidP="009D7677">
      <w:pPr>
        <w:pStyle w:val="TextoNormal"/>
      </w:pPr>
    </w:p>
    <w:p w14:paraId="00742686" w14:textId="258A2294" w:rsidR="009D7677" w:rsidRDefault="009D7677" w:rsidP="009D7677">
      <w:pPr>
        <w:pStyle w:val="TextoNormal"/>
      </w:pPr>
      <w:r>
        <w:t>La Sala Segunda, mediante ATC 11/2024, de 12 de febrero, estimó justificada la causa de abstención y el citado magistrado quedó apartado definitivamente del presente recurso de amparo y de todas sus incidencias, designándose por la presidente en la misma fecha al actual ponente.</w:t>
      </w:r>
    </w:p>
    <w:p w14:paraId="774364DB" w14:textId="77777777" w:rsidR="009D7677" w:rsidRDefault="009D7677" w:rsidP="009D7677">
      <w:pPr>
        <w:pStyle w:val="TextoNormal"/>
      </w:pPr>
    </w:p>
    <w:p w14:paraId="46FD2DE5" w14:textId="79D69735" w:rsidR="009D7677" w:rsidRDefault="009D7677" w:rsidP="009D7677">
      <w:pPr>
        <w:pStyle w:val="TextoNormal"/>
      </w:pPr>
      <w:r w:rsidRPr="009D7677">
        <w:rPr>
          <w:rStyle w:val="NumeroAFNegritaCaracter"/>
        </w:rPr>
        <w:t>10</w:t>
      </w:r>
      <w:r>
        <w:t>. Por providencia de 4 de abril de 2024 se señaló para la deliberación y votación de la presente sentencia el día 8 del mismo mes y año.</w:t>
      </w:r>
    </w:p>
    <w:p w14:paraId="4F1E0350" w14:textId="77777777" w:rsidR="009D7677" w:rsidRDefault="009D7677" w:rsidP="009D7677">
      <w:pPr>
        <w:pStyle w:val="TextoNormal"/>
      </w:pPr>
    </w:p>
    <w:p w14:paraId="7736434E" w14:textId="77777777" w:rsidR="009D7677" w:rsidRDefault="009D7677" w:rsidP="009D7677">
      <w:pPr>
        <w:pStyle w:val="TextoNormalNegritaCentrado"/>
        <w:keepNext/>
      </w:pPr>
      <w:r>
        <w:t>II. Fundamentos jurídicos</w:t>
      </w:r>
    </w:p>
    <w:p w14:paraId="29F9837A" w14:textId="643598DD" w:rsidR="009D7677" w:rsidRDefault="009D7677" w:rsidP="009D7677">
      <w:pPr>
        <w:pStyle w:val="TextoNormalNegritaCentrado"/>
        <w:keepNext/>
      </w:pPr>
    </w:p>
    <w:p w14:paraId="7D2BA197" w14:textId="77777777" w:rsidR="009D7677" w:rsidRDefault="009D7677" w:rsidP="009D7677">
      <w:pPr>
        <w:pStyle w:val="TextoNormal"/>
      </w:pPr>
      <w:r w:rsidRPr="009D7677">
        <w:rPr>
          <w:rStyle w:val="NumeroAFNegritaCaracter"/>
        </w:rPr>
        <w:t>1</w:t>
      </w:r>
      <w:r>
        <w:t xml:space="preserve">. </w:t>
      </w:r>
      <w:r w:rsidRPr="009D7677">
        <w:rPr>
          <w:i/>
        </w:rPr>
        <w:t>Objeto del recurso y pretensiones de las partes</w:t>
      </w:r>
    </w:p>
    <w:p w14:paraId="5CE8387D" w14:textId="77777777" w:rsidR="009D7677" w:rsidRDefault="009D7677" w:rsidP="009D7677">
      <w:pPr>
        <w:pStyle w:val="TextoNormal"/>
      </w:pPr>
    </w:p>
    <w:p w14:paraId="66E306CD" w14:textId="77777777" w:rsidR="009D7677" w:rsidRDefault="009D7677" w:rsidP="009D7677">
      <w:pPr>
        <w:pStyle w:val="TextoNormal"/>
      </w:pPr>
      <w:r>
        <w:t>a) El presente recurso de amparo tiene por objeto determinar si la resolución de 15 de enero de 2019 de la Subdelegación del Gobierno en Castellón que decretó la expulsión del recurrente, de nacionalidad marroquí, del territorio nacional con prohibición de entrada en España y en el espacio Schengen por un período de tres años, al considerarlo incurso en una infracción grave del art. 53.1 a) LOEx, por encontrase irregularmente en territorio español, y las sentencias del Juzgado de lo Contencioso-Administrativo núm. 2 de Castellón y de la Sección Primera de la Sala de lo Contencioso-Administrativo del Tribunal Superior de Justicia de la Comunidad Valenciana que confirmaron el decreto de expulsión con la desestimación respectiva de los recursos contencioso-administrativo y de apelación que aquel interpuso, vulneraron sus derechos a la tutela judicial efectiva por falta de motivación e infracción del principio de proporcionalidad de las sanciones y del derecho a la legalidad sancionadora de los arts. 24.1 y 25.1 CE. Asimismo, el recurso tiene como objeto dilucidar si las providencias de inadmisión del recurso de casación y del incidente de nulidad de actuaciones, dictadas por la Sección Primera de la Sala de lo Contencioso-Administrativo del Tribunal Supremo, vulneraron su derecho a la tutela judicial efectiva, (art. 24.1 CE), en su vertiente de derecho de acceso al recurso.</w:t>
      </w:r>
    </w:p>
    <w:p w14:paraId="52152E67" w14:textId="77777777" w:rsidR="009D7677" w:rsidRDefault="009D7677" w:rsidP="009D7677">
      <w:pPr>
        <w:pStyle w:val="TextoNormal"/>
      </w:pPr>
    </w:p>
    <w:p w14:paraId="23CF82BF" w14:textId="77777777" w:rsidR="009D7677" w:rsidRDefault="009D7677" w:rsidP="009D7677">
      <w:pPr>
        <w:pStyle w:val="TextoNormal"/>
      </w:pPr>
      <w:r>
        <w:t>b) El recurrente solicita la anulación del decreto de expulsión y de las sentencias de instancia y de apelación. A su juicio, las citadas resoluciones vulneraron su derecho a la tutela judicial efectiva (art. 24.1 CE), por falta de motivación e infringir el principio de proporcionalidad en relación con el derecho a la legalidad sancionadora (art. 25.1 CE), al haber antepuesto la sanción de expulsión a la de multa prevista legalmente con carácter general para los supuestos de estancia irregular de extranjeros en el territorio nacional sin acreditarse otras circunstancias negativas o agravantes. Solicita también la anulación de las providencias de inadmisión del recurso de casación y del incidente de nulidad por vulneración de su derecho a la tutela judicial efectiva (art. 24.1 CE), en su vertiente de dere</w:t>
      </w:r>
      <w:r>
        <w:lastRenderedPageBreak/>
        <w:t>cho de acceso al recurso, al estimar que concurría y acreditó el requisito relativo al interés casacional del recurso.</w:t>
      </w:r>
    </w:p>
    <w:p w14:paraId="6D296A97" w14:textId="77777777" w:rsidR="009D7677" w:rsidRDefault="009D7677" w:rsidP="009D7677">
      <w:pPr>
        <w:pStyle w:val="TextoNormal"/>
      </w:pPr>
    </w:p>
    <w:p w14:paraId="165A51E2" w14:textId="77777777" w:rsidR="009D7677" w:rsidRDefault="009D7677" w:rsidP="009D7677">
      <w:pPr>
        <w:pStyle w:val="TextoNormal"/>
      </w:pPr>
      <w:r>
        <w:t>c) El abogado del Estado interesa la inadmisión del recurso de amparo por extemporáneo y, subsidiariamente, por falta de trascendencia constitucional. En cuanto al fondo, solicita la desestimación porque considera que las resoluciones impugnadas no vulneraron el derecho a la legalidad sancionadora en su faceta aplicativa (art. 25.1 CE) ni el derecho a la tutela judicial efectiva y el deber de motivación (art. 24.1 CE): La Directiva de retorno no se aplicó directamente para sancionar la infracción administrativa de estancia irregular, sino que este hecho se subsumió en la normativa española que traspuso la citada Directiva mediante Ley Orgánica 2/2009. Las resoluciones impugnadas estaban motivadas y ninguna incurría en argumentaciones ilógicas, absurdas, manifiestamente erróneas, arbitrarias o irracionales, por lo que no procedía su revisión por el Tribunal Constitucional.</w:t>
      </w:r>
    </w:p>
    <w:p w14:paraId="104FAE29" w14:textId="77777777" w:rsidR="009D7677" w:rsidRDefault="009D7677" w:rsidP="009D7677">
      <w:pPr>
        <w:pStyle w:val="TextoNormal"/>
      </w:pPr>
    </w:p>
    <w:p w14:paraId="24D951B5" w14:textId="77777777" w:rsidR="009D7677" w:rsidRDefault="009D7677" w:rsidP="009D7677">
      <w:pPr>
        <w:pStyle w:val="TextoNormal"/>
      </w:pPr>
      <w:r>
        <w:t>d) El fiscal solicita la inadmisión de la queja relativa a la vulneración del derecho a la legalidad sancionadora del art. 25.1 CE. Pide que se estime el recurso contra el decreto de expulsión y contra las sentencias de instancia y de apelación, al considerar que vulneraron el derecho del recurrente a la tutela judicial efectiva (art. 24.1 CE), por falta de motivación y prescindir del juicio de proporcionalidad. Finalmente, interesa la desestimación del recurso contra las providencias de inadmisión del recurso de casación y del incidente de nulidad de actuaciones, al considerar que no vulneraron el derecho a la tutela judicial efectiva (art. 24.1 CE), en su vertiente de derecho de acceso al recurso y a una resolución motivada, pues contienen una motivación en términos jurídicos y ninguna está incursa en arbitrariedad, irrazonabilidad manifiesta o error patente.</w:t>
      </w:r>
    </w:p>
    <w:p w14:paraId="33214884" w14:textId="77777777" w:rsidR="009D7677" w:rsidRDefault="009D7677" w:rsidP="009D7677">
      <w:pPr>
        <w:pStyle w:val="TextoNormal"/>
      </w:pPr>
    </w:p>
    <w:p w14:paraId="52558AF0" w14:textId="3CBC87DA" w:rsidR="009D7677" w:rsidRDefault="009D7677" w:rsidP="009D7677">
      <w:pPr>
        <w:pStyle w:val="TextoNormal"/>
      </w:pPr>
      <w:r>
        <w:t>e) Antes de proceder al estudio de las vulneraciones alegadas, la sentencia analizará los dos óbices procesales planteados por la Abogacía del Estado, cuya estimación podría dar lugar a la inadmisión del recurso, así como el óbice procesal opuesto por el Ministerio Fiscal, cuya estimación solo traería consigo la inadmisión parcial de una de las quejas. Se adelanta que se desestimarán.</w:t>
      </w:r>
    </w:p>
    <w:p w14:paraId="52269C0C" w14:textId="77777777" w:rsidR="009D7677" w:rsidRDefault="009D7677" w:rsidP="009D7677">
      <w:pPr>
        <w:pStyle w:val="TextoNormal"/>
      </w:pPr>
    </w:p>
    <w:p w14:paraId="0227014B" w14:textId="77777777" w:rsidR="009D7677" w:rsidRDefault="009D7677" w:rsidP="009D7677">
      <w:pPr>
        <w:pStyle w:val="TextoNormal"/>
      </w:pPr>
      <w:r w:rsidRPr="009D7677">
        <w:rPr>
          <w:rStyle w:val="NumeroAFNegritaCaracter"/>
        </w:rPr>
        <w:t>2</w:t>
      </w:r>
      <w:r>
        <w:t xml:space="preserve">. </w:t>
      </w:r>
      <w:r w:rsidRPr="009D7677">
        <w:rPr>
          <w:i/>
        </w:rPr>
        <w:t>Desestimación de los óbices procesales de extemporaneidad, falta de trascendencia constitucional y de falta de agotamiento y de denuncia en la vía judicial previa de la vulneración del derecho a la legalidad sancionadora</w:t>
      </w:r>
    </w:p>
    <w:p w14:paraId="3A0B9893" w14:textId="77777777" w:rsidR="009D7677" w:rsidRDefault="009D7677" w:rsidP="009D7677">
      <w:pPr>
        <w:pStyle w:val="TextoNormal"/>
      </w:pPr>
    </w:p>
    <w:p w14:paraId="22FC8D9D" w14:textId="77777777" w:rsidR="009D7677" w:rsidRDefault="009D7677" w:rsidP="009D7677">
      <w:pPr>
        <w:pStyle w:val="TextoNormal"/>
      </w:pPr>
      <w:r>
        <w:t xml:space="preserve">a) El abogado del Estado entiende que el recurso de amparo es extemporáneo. Según su criterio, el incidente de nulidad planteado contra la providencia de inadmisión del recurso de casación fue artificioso al haberse interpuesto solo para evitar la extemporaneidad del recurso de amparo, puesto que: (i) la providencia de inadmisión del recurso de casación contra la que se dirigía el incidente de nulidad fue motivada y expresó la causa de inadmisión, cumpliendo con lo dispuesto en el art. 90.4 LJCA; y (ii) no existía ninguna vulneración causada por la providencia del Tribunal Supremo que no se hubiese podido denunciar antes de recaer la resolución que puso fin al proceso (art. 241.1 LOPJ), pues las vulneraciones de los arts. 24 y 25 CE ya se denunciaron en las instancias anteriores. Notificada al recurrente la providencia de inadmisión del recurso de casación el 24 de febrero de 2021, la presentación de la demanda el 29 de abril de 2021 fue extemporánea, al haber transcurrido el plazo de caducidad de veinte días hábiles que establece el art. 43.2 LOTC para los recursos como este contra una resolución administrativa confirmada en sede judicial. </w:t>
      </w:r>
      <w:r>
        <w:lastRenderedPageBreak/>
        <w:t>También habría transcurrido el plazo de treinta días hábiles del art. 44.2 LOTC, si el recurso se calificase como judicial o mixto.</w:t>
      </w:r>
    </w:p>
    <w:p w14:paraId="7C0C036D" w14:textId="77777777" w:rsidR="009D7677" w:rsidRDefault="009D7677" w:rsidP="009D7677">
      <w:pPr>
        <w:pStyle w:val="TextoNormal"/>
      </w:pPr>
    </w:p>
    <w:p w14:paraId="75603059" w14:textId="77777777" w:rsidR="009D7677" w:rsidRDefault="009D7677" w:rsidP="009D7677">
      <w:pPr>
        <w:pStyle w:val="TextoNormal"/>
      </w:pPr>
      <w:r>
        <w:t>La cuestión de la naturaleza del recurso resultaría así irrelevante a la hora de apreciar su extemporaneidad. No obstante, debe aclararse que estamos ante un recurso de naturaleza mixta (arts. 43 y 44 LOTC), al igual que los recursos con el mismo objeto que el presente de las SSTC 80/2023, de 3 de julio, FFJJ 2 y 3; 86/2023, de 17 de julio, FJ 2, y 130/2023, de 23 de octubre, FJ único b), que fueron estimados tras desestimar alegaciones parecidas de extemporaneidad realizadas por la Abogacía del Estado. Y es de naturaleza mixta porque el recurrente, junto a las vulneraciones de derechos atribuidas al decreto de expulsión —falta de motivación e infracción del principio de proporcionalidad— no reparadas en vía judicial, imputa lesiones autónomas a las resoluciones judiciales impugnadas (SSTC 135/2010, de 2 de diciembre, FJ 2; 145/2015, de 25 de junio, FJ 2, y 117/2016, de 20 de junio, FJ 2, entre otras muchas). En concreto, atribuye a las sentencias de primera instancia y de apelación vulnerar su derecho a la legalidad sancionadora (art. 25.1 CE) por una razón añadida a la de infracción del principio de proporcionalidad, pues les atribuye confirmar la sanción aplicando erróneamente la Directiva de retorno en perjuicio del interesado. Y, además, imputa a las providencias de inadmisión del recurso de casación y del incidente de nulidad de actuaciones la vulneración de su derecho de acceso al recurso (art. 24.1 CE).</w:t>
      </w:r>
    </w:p>
    <w:p w14:paraId="56DCB96B" w14:textId="77777777" w:rsidR="009D7677" w:rsidRDefault="009D7677" w:rsidP="009D7677">
      <w:pPr>
        <w:pStyle w:val="TextoNormal"/>
      </w:pPr>
    </w:p>
    <w:p w14:paraId="435B936D" w14:textId="77777777" w:rsidR="009D7677" w:rsidRDefault="009D7677" w:rsidP="009D7677">
      <w:pPr>
        <w:pStyle w:val="TextoNormal"/>
      </w:pPr>
      <w:r>
        <w:t>Tras clarificar esta cuestión y respondiendo a la objeción planteada debe afirmarse que el incidente de nulidad no fue artificioso ni se interpuso para evitar la extemporaneidad del recurso de amparo, sino que se planteó como medio para agotar debidamente la vía judicial previa antes de acudir a la vía de amparo [art. 44.1 a) LOTC], tal y como el propio recurrente consignó en su escrito de interposición del incidente. En este escrito denunció que la providencia de inadmisión del recurso de casación vulneró su derecho de acceso al recurso. Argumentó que la providencia no motivó la decisión de inadmisión de un recurso que, para el recurrente, tenía interés casacional objetivo por afectar a una pluralidad de personas, interés que había justificado y que, además, se desprendía de la reciente STJUE de 8 de octubre de 2020, según la cual las directivas no pueden, por sí solas, crear obligaciones a cargo de los particulares, de modo que el Estado no puede basarse directamente en la Directiva 2008/115/CE para adoptar una decisión de retorno.</w:t>
      </w:r>
    </w:p>
    <w:p w14:paraId="75B1B1C3" w14:textId="77777777" w:rsidR="009D7677" w:rsidRDefault="009D7677" w:rsidP="009D7677">
      <w:pPr>
        <w:pStyle w:val="TextoNormal"/>
      </w:pPr>
    </w:p>
    <w:p w14:paraId="6CBA678A" w14:textId="77777777" w:rsidR="009D7677" w:rsidRDefault="009D7677" w:rsidP="009D7677">
      <w:pPr>
        <w:pStyle w:val="TextoNormal"/>
      </w:pPr>
      <w:r>
        <w:t>El incidente de nulidad se interpuso, por tanto, denunciando una vulneración específica del derecho de acceso al recurso por parte de la providencia de inadmisión del recurso de casación que no se pudo invocar con anterioridad en el proceso, dando cumplimiento a lo dispuesto en el art. 241.1 LOPJ y a la función del incidente de nulidad de garantía del principio de subsidiariedad del recurso de amparo de permitir a los órganos judiciales reparar la lesión antes de acudir a Tribunal Constitucional. De ahí que el incidente no pueda calificarse como “artificioso” o “manifiestamente improcedente”, en el preciso sentido restrictivo que la doctrina de este tribunal viene dando a este concepto con la consecuencia de determinar, en su caso, la extemporaneidad del recurso de amparo [por todas, STC 145/2015, FJ 2, citada en las SSTC 80/2023, FJ 2 b); 86/2023, FJ 2 b), y 130/2023, FJ único b)].</w:t>
      </w:r>
    </w:p>
    <w:p w14:paraId="4A8755E3" w14:textId="77777777" w:rsidR="009D7677" w:rsidRDefault="009D7677" w:rsidP="009D7677">
      <w:pPr>
        <w:pStyle w:val="TextoNormal"/>
      </w:pPr>
    </w:p>
    <w:p w14:paraId="621566B0" w14:textId="77777777" w:rsidR="009D7677" w:rsidRDefault="009D7677" w:rsidP="009D7677">
      <w:pPr>
        <w:pStyle w:val="TextoNormal"/>
      </w:pPr>
      <w:r>
        <w:t xml:space="preserve">La interposición del incidente de nulidad contra la providencia de inadmisión del recurso de casación es lo que ha permitido al recurrente invocar en su demanda de amparo la </w:t>
      </w:r>
      <w:r>
        <w:lastRenderedPageBreak/>
        <w:t>vulneración de su derecho de acceso al recurso sin tacha de falta de agotamiento. Si no lo hubiera interpuesto, se podría haber encontrado con que esta queja habría estado incursa en el óbice procesal de falta de agotamiento del art. 44.1 a) LOTC, tal y como se apreció en la STC 87/2023, de 17 de julio, FJ 2 c), también relativa a un caso similar al presente, que estimó el recurso de amparo, pero que inadmitió la queja contra la providencia de inadmisión del recurso de casación porque, a falta de un recurso disponible por ley, debió interponer “un incidente de nulidad de actuaciones del art. 241 LOPJ que sí cabía, por ser aquella providencia la resolución que ponía fin al procedimiento y no haberse podido denunciarse antes la lesión, dando así a la Sala del Alto Tribunal la oportunidad de conocer y repararla en su caso, preservando de paso con ello la subsidiariedad de esta jurisdicción constitucional”.</w:t>
      </w:r>
    </w:p>
    <w:p w14:paraId="36DE2DBB" w14:textId="77777777" w:rsidR="009D7677" w:rsidRDefault="009D7677" w:rsidP="009D7677">
      <w:pPr>
        <w:pStyle w:val="TextoNormal"/>
      </w:pPr>
    </w:p>
    <w:p w14:paraId="3EFCB731" w14:textId="77777777" w:rsidR="009D7677" w:rsidRDefault="009D7677" w:rsidP="009D7677">
      <w:pPr>
        <w:pStyle w:val="TextoNormal"/>
      </w:pPr>
      <w:r>
        <w:t>Una vez que ha sido declarada la procedencia de la interposición del incidente de nulidad de actuaciones para agotar la vía judicial previa, que la providencia de inadmisión del incidente se notificó al recurrente el 23 de marzo de 2021 y que el plazo de interposición del recurso de amparo computado desde el día siguiente a esta fecha vencía el 10 de mayo de 2021, a las 15:00 horas, debe concluirse que la presentación de la demanda el 29 de abril de 2021 se efectuó en plazo, por lo que el óbice procesal se desestima.</w:t>
      </w:r>
    </w:p>
    <w:p w14:paraId="7FBE12F7" w14:textId="77777777" w:rsidR="009D7677" w:rsidRDefault="009D7677" w:rsidP="009D7677">
      <w:pPr>
        <w:pStyle w:val="TextoNormal"/>
      </w:pPr>
    </w:p>
    <w:p w14:paraId="2E910958" w14:textId="77777777" w:rsidR="009D7677" w:rsidRDefault="009D7677" w:rsidP="009D7677">
      <w:pPr>
        <w:pStyle w:val="TextoNormal"/>
      </w:pPr>
      <w:r>
        <w:t>b) El segundo óbice procesal que el abogado del Estado defiende se refiere a que el recurso de amparo carece de la especial trascendencia constitucional exigida en los arts. 49.1 y 50.1 b) LOTC en relación con la STC 155/2009, de 25 de junio, FJ 2, para justificar una decisión del Tribunal Constitucional sobre el fondo del asunto. Argumenta lo siguiente: (i) El recurso no plantea un problema o no afecta a una faceta de un derecho fundamental sobre el que no haya doctrina, pues se basa en una interpretación de los arts. 53.1 a) y 57.1 LOEx, sobre los que ya existe jurisprudencia ordinaria. (ii) No se advierten “nuevas realidades” ni “cambios normativos relevantes” para la configuración del derecho fundamental, como sería, la supuesta falta de certeza respecto del principio material de legalidad sancionatoria, o bien respecto de la pretendida vulneración del derecho a la tutela judicial efectiva derivada de la inadmisión por mera providencia —como prevé la norma— del recurso de casación por ausencia de interés casacional objetivo; aspectos que no responden a una nueva aplicación de preceptos modificados de manera reciente, y que ya han sido tratados por la jurisprudencia ordinaria, como refleja la providencia de 14 de enero de 2021, de inadmisión de la casación; tampoco se advierte un cambio de doctrina en los órganos encargados de la interpretación de tratados internacionales en materia de derechos fundamentales en los que España sea parte. (iii) No se trata de un caso en que la pretendida vulneración del derecho fundamental que se denuncia provenga de la ley o de otra disposición de carácter general (arts. 88.2, 89, 90 y 94 LJCA), puesto que no cabe imputar inconstitucionalidad por vulneración del derecho a la tutela judicial efectiva a la previsión legal de que la inadmisión del recurso de casación se efectúe por medio de providencia, previsión que el Tribunal Supremo viene aplicando desde la reforma de la casación de 2015 sin tacha de inconstitucionalidad. (iv) Las resoluciones judiciales recaídas no contienen una reiterada interpretación jurisprudencial de la ley que pudiera considerarse lesiva de los derechos fundamentales de los arts. 24 y 25 CE, ni incurren en una negativa manifiesta o en la intención consciente de soslayar la doctrina del Tribunal Constitucional. (v) El caso no plantea una cuestión jurídica de relevante y general repercusión social o económica o no tiene unas consecuencias políticas generales, sin perjuicio de la facultad dis</w:t>
      </w:r>
      <w:r>
        <w:lastRenderedPageBreak/>
        <w:t>crecional del Tribunal para apreciar esta causa de especial trascendencia que, a juicio de esa parte, no concurre.</w:t>
      </w:r>
    </w:p>
    <w:p w14:paraId="2B87AC5B" w14:textId="77777777" w:rsidR="009D7677" w:rsidRDefault="009D7677" w:rsidP="009D7677">
      <w:pPr>
        <w:pStyle w:val="TextoNormal"/>
      </w:pPr>
    </w:p>
    <w:p w14:paraId="7F6FFA43" w14:textId="77777777" w:rsidR="009D7677" w:rsidRDefault="009D7677" w:rsidP="009D7677">
      <w:pPr>
        <w:pStyle w:val="TextoNormal"/>
      </w:pPr>
      <w:r>
        <w:t>Esa representación procesal formuló idéntica objeción frente a otros recursos con el mismo objeto que el presente a los que, previa desestimación de este óbice, se otorgó amparo en las SSTC 70/2023, de 19 de junio, FJ único b); 87/2023, FJ 2 b), y 130/2023, FJ único c). En la STC 72/2023, de 19 de junio, FJ 2 c), también estimatoria y con el mismo objeto, fue el Ministerio Fiscal quien alegó este óbice procesal con igual suerte.</w:t>
      </w:r>
    </w:p>
    <w:p w14:paraId="20A73928" w14:textId="77777777" w:rsidR="009D7677" w:rsidRDefault="009D7677" w:rsidP="009D7677">
      <w:pPr>
        <w:pStyle w:val="TextoNormal"/>
      </w:pPr>
    </w:p>
    <w:p w14:paraId="4DB3CEF7" w14:textId="77777777" w:rsidR="009D7677" w:rsidRDefault="009D7677" w:rsidP="009D7677">
      <w:pPr>
        <w:pStyle w:val="TextoNormal"/>
      </w:pPr>
      <w:r>
        <w:t>De conformidad con la respuesta ofrecida en los precedentes mencionados, la objeción se desestima. La jurisprudencia constitucional ha reiterado que corresponde únicamente al Tribunal, en el momento de su admisión, apreciar en cada caso si el recurso tiene especial trascendencia constitucional, de acuerdo con lo exigido por el art. 50.1 b) LOTC.</w:t>
      </w:r>
    </w:p>
    <w:p w14:paraId="585062B1" w14:textId="77777777" w:rsidR="009D7677" w:rsidRDefault="009D7677" w:rsidP="009D7677">
      <w:pPr>
        <w:pStyle w:val="TextoNormal"/>
      </w:pPr>
    </w:p>
    <w:p w14:paraId="063232B3" w14:textId="77777777" w:rsidR="009D7677" w:rsidRDefault="009D7677" w:rsidP="009D7677">
      <w:pPr>
        <w:pStyle w:val="TextoNormal"/>
      </w:pPr>
      <w:r>
        <w:t>La Sección Tercera de este tribunal, mediante providencia de 21 de marzo de 2022, admitió a trámite el recurso tras apreciar que podía dar ocasión al Tribunal para aclarar o cambiar su doctrina, como consecuencia de un cambio de la doctrina de los órganos de garantía encargados de la interpretación de los tratados y acuerdos internacionales a los que se refiere el art. 10.2 CE [STC 155/2009, FJ 2 b)]. La oportunidad se ofrecía entonces y así se desprendía de la demanda a fin de valorar la incidencia en nuestra jurisprudencia de la evolución de los distintos pronunciamientos del Tribunal de Justicia de la Unión Europea (SSTJUE de 23 de abril de 2015 y de 8 de octubre de 2020), relativos a la compatibilidad del régimen sancionador previsto en la Ley española de extranjería con la Directiva de retorno.</w:t>
      </w:r>
    </w:p>
    <w:p w14:paraId="0FE9DF97" w14:textId="77777777" w:rsidR="009D7677" w:rsidRDefault="009D7677" w:rsidP="009D7677">
      <w:pPr>
        <w:pStyle w:val="TextoNormal"/>
      </w:pPr>
    </w:p>
    <w:p w14:paraId="45F8CCFB" w14:textId="77777777" w:rsidR="009D7677" w:rsidRDefault="009D7677" w:rsidP="009D7677">
      <w:pPr>
        <w:pStyle w:val="TextoNormal"/>
      </w:pPr>
      <w:r>
        <w:t>La citada Sección Tercera ya había admitido a trámite, mediante providencia de 25 de enero de 2021, el recurso de amparo núm. 1060-2020, que encabeza la serie de recursos con idéntico objeto al del presente y en el que se contempló idéntica causa de especial trascendencia constitucional. La providencia del Pleno del Tribunal de 21 de marzo de 2023 acordó la avocación del recurso de amparo núm. 1060-2020, que fue estimado en la STC 47/2023, de 10 de mayo, por lo que procede ratificar la causa de especial trascendencia apreciada.</w:t>
      </w:r>
    </w:p>
    <w:p w14:paraId="4BA82E5F" w14:textId="77777777" w:rsidR="009D7677" w:rsidRDefault="009D7677" w:rsidP="009D7677">
      <w:pPr>
        <w:pStyle w:val="TextoNormal"/>
      </w:pPr>
    </w:p>
    <w:p w14:paraId="5277E009" w14:textId="77777777" w:rsidR="009D7677" w:rsidRDefault="009D7677" w:rsidP="009D7677">
      <w:pPr>
        <w:pStyle w:val="TextoNormal"/>
      </w:pPr>
      <w:r>
        <w:t>c) El Ministerio Fiscal se opone a la admisión de la queja relativa a la vulneración del derecho a la legalidad sancionadora del art. 25.1 CE sosteniendo que no se hizo valer en el recurso de casación ante el Tribunal Supremo. Señala, además, que la vulneración del principio de proporcionalidad se efectuó desde la óptica del art. 24.1 CE, al atribuir al decreto de expulsión y a las resoluciones que lo confirmaron una motivación deficitaria y sin ponderación. Junto a esta argumentación introduce la cláusula sin perjuicio de que no hubo lesión del art. 25.1 CE por resultar razonables las sentencias de instancia y de apelación, que interpretaron la normativa conforme a las pautas valorativas de los tribunales europeo y español, anteriores a la STJUE de 8 de octubre de 2020 y a la sentencia núm. 366/2021, de 17 de marzo, de la Sección Quinta de la Sala de Contencioso-Administrativo del Tribunal Supremo.</w:t>
      </w:r>
    </w:p>
    <w:p w14:paraId="6A8413C4" w14:textId="77777777" w:rsidR="009D7677" w:rsidRDefault="009D7677" w:rsidP="009D7677">
      <w:pPr>
        <w:pStyle w:val="TextoNormal"/>
      </w:pPr>
    </w:p>
    <w:p w14:paraId="4CA65B52" w14:textId="77777777" w:rsidR="009D7677" w:rsidRDefault="009D7677" w:rsidP="009D7677">
      <w:pPr>
        <w:pStyle w:val="TextoNormal"/>
      </w:pPr>
      <w:r>
        <w:t xml:space="preserve">Alude así al incumplimiento del requisito procesal de admisión del art. 44.1 a) LOTC, garante del principio de subsidiariedad del recurso de amparo, de agotar “todos los medios de impugnación previstos por las normas procesales para el caso concreto dentro de la vía </w:t>
      </w:r>
      <w:r>
        <w:lastRenderedPageBreak/>
        <w:t xml:space="preserve">judicial”, requisito que, en lo que aquí interesa, conlleva que no baste “con denunciar [art. 44.1 c)] dicha violación, sino que esta debe, además, combatirse siguiendo el </w:t>
      </w:r>
      <w:r w:rsidRPr="009D7677">
        <w:rPr>
          <w:i/>
        </w:rPr>
        <w:t>iter</w:t>
      </w:r>
      <w:r>
        <w:t xml:space="preserve"> procedimental (la cadena de recursos idóneos) previsto en el ordenamiento” (SSTC 2/2020, de 15 de enero, FJ 4, y 21/2020, de 11 de febrero, FJ 3).</w:t>
      </w:r>
    </w:p>
    <w:p w14:paraId="1653075F" w14:textId="77777777" w:rsidR="009D7677" w:rsidRDefault="009D7677" w:rsidP="009D7677">
      <w:pPr>
        <w:pStyle w:val="TextoNormal"/>
      </w:pPr>
    </w:p>
    <w:p w14:paraId="38C76670" w14:textId="77777777" w:rsidR="009D7677" w:rsidRDefault="009D7677" w:rsidP="009D7677">
      <w:pPr>
        <w:pStyle w:val="TextoNormal"/>
      </w:pPr>
      <w:r>
        <w:t>Para responder a la objeción planteada debe orillarse el argumento de que la aplicación de legalidad sancionadora fue razonable conforme a la jurisprudencia europea y española que existía en el momento de dictar sentencia, porque ello supone argumentar sobre el fondo del recurso —lo que se resolverá en el fundamento tercero— y no sobre el óbice procesal.</w:t>
      </w:r>
    </w:p>
    <w:p w14:paraId="3F582204" w14:textId="77777777" w:rsidR="009D7677" w:rsidRDefault="009D7677" w:rsidP="009D7677">
      <w:pPr>
        <w:pStyle w:val="TextoNormal"/>
      </w:pPr>
    </w:p>
    <w:p w14:paraId="7EFA9FA1" w14:textId="77777777" w:rsidR="009D7677" w:rsidRDefault="009D7677" w:rsidP="009D7677">
      <w:pPr>
        <w:pStyle w:val="TextoNormal"/>
      </w:pPr>
      <w:r>
        <w:t xml:space="preserve">Despejado este argumento, habrá de comprobarse, a través del examen de las actuaciones, si el recurrente se quejó de la vulneración de la legalidad sancionadora (art. 25.1 CE) en su cadena de recursos idóneos interpuestos contra el decreto de expulsión, para así verificar si cumplió con su carga procesal previa al recurso de amparo de permitir a los juzgados y tribunales desempeñar su función primigenia de tutela de los derechos y libertades susceptibles de amparo constitucional (arts. 53.2 CE y 7 LOPJ). La fiscalización del cumplimiento de esta carga debe tener en cuenta que no resulta “precisa la cita específica de un concreto precepto del texto constitucional, es decir, no se requiere una especie de </w:t>
      </w:r>
      <w:r w:rsidRPr="009D7677">
        <w:rPr>
          <w:i/>
        </w:rPr>
        <w:t>editio actionis</w:t>
      </w:r>
      <w:r>
        <w:t>, sino que basta para entenderlo cumplido con que se ofrezca base argumental suficiente a fin de que el órgano judicial pueda conocer la vulneración aducida y pronunciarse sobre ella” (STC 69/1997, de 8 de abril, FJ 3; también, entre otras muchas, SSTC 116/2002, de 20 de mayo, FJ 2; 41/2012, de 29 de marzo, FJ 4, y 111/2022, de 26 de septiembre, FJ 2).</w:t>
      </w:r>
    </w:p>
    <w:p w14:paraId="558AEF40" w14:textId="77777777" w:rsidR="009D7677" w:rsidRDefault="009D7677" w:rsidP="009D7677">
      <w:pPr>
        <w:pStyle w:val="TextoNormal"/>
      </w:pPr>
    </w:p>
    <w:p w14:paraId="00DDE6A1" w14:textId="77777777" w:rsidR="009D7677" w:rsidRDefault="009D7677" w:rsidP="009D7677">
      <w:pPr>
        <w:pStyle w:val="TextoNormal"/>
      </w:pPr>
      <w:r>
        <w:t xml:space="preserve">Comenzando por el recurso contencioso-administrativo interpuesto contra el decreto de expulsión, resulta que el recurrente denunció expresamente que la sanción de expulsión por estancia irregular infringía el principio de proporcionalidad, “de alcance constitucional, [que] es derivado del otro de legalidad sancionadora”. Alegaba que carecía de justificación y que infringía la previsión legal general de sancionar dicha estancia con multa. En su recurso de apelación repitió que los principios rectores de la potestad administrativa sancionadora regían también cuando se aplicaba la legislación sobre extranjería y que la STJUE de 23 de abril de 2015 no era aplicable al presente supuesto. Asimismo, en su escrito de preparación del recurso de casación, tras exponer las normas y jurisprudencia estatales (Ley y Reglamento de extranjería) y de la Unión Europea (Directiva de retorno y STJUE de 23 de abril de 2015) infringidas, se afirmaba que la sanción de expulsión era desproporcionada por ser la más grave y que se imponía sin justificación ni ponderación. Se decía que en los recursos previos “hizo mención expresa a los principios de proporcionalidad, legalidad, responsabilidad y </w:t>
      </w:r>
      <w:r w:rsidRPr="009D7677">
        <w:rPr>
          <w:i/>
        </w:rPr>
        <w:t>non bis in idem</w:t>
      </w:r>
      <w:r>
        <w:t xml:space="preserve">, de modo que la expulsión no atiende al caso concreto”; se discrepaba de la jurisprudencia iniciada con la sentencia núm. 980/2018, de 12 de junio, de la Sala de lo Contencioso-Admisnitrativo del Tribunal Supremo que, interpretando la STJUE de 23 de abril de 2015, consideraba que según la Directiva de retorno lo procedente era decretar la expulsión en situaciones de estancia irregular. Por último, en su escrito planteando el incidente de nulidad de actuaciones puso de relieve el interés casacional de su malogrado recurso de casación, mediante la cita de la STJUE de 8 de octubre de 2020, asunto </w:t>
      </w:r>
      <w:r w:rsidRPr="009D7677">
        <w:rPr>
          <w:i/>
        </w:rPr>
        <w:t>MO c. Subdelegación del Gobierno en Toledo</w:t>
      </w:r>
      <w:r>
        <w:t xml:space="preserve">, C-568/19, que concluía que las directivas no pueden, por sí solas, crear obligaciones a cargo de los particulares, de modo que el Estado no puede basarse directamente en la Directiva </w:t>
      </w:r>
      <w:r>
        <w:lastRenderedPageBreak/>
        <w:t>2008/115/CE para adoptar una decisión de retorno, lo que “implicaría que es perfectamente posible aplicar el sistema establecido por la propia Ley de extranjería, que establece como norma general que las infracciones graves serán castigadas con sanciones de multa”, de tal manera que “solo cabría la expulsión si concurriese algún dato negativo”.</w:t>
      </w:r>
    </w:p>
    <w:p w14:paraId="0A286FB1" w14:textId="77777777" w:rsidR="009D7677" w:rsidRDefault="009D7677" w:rsidP="009D7677">
      <w:pPr>
        <w:pStyle w:val="TextoNormal"/>
      </w:pPr>
    </w:p>
    <w:p w14:paraId="1A8A76CF" w14:textId="77777777" w:rsidR="009D7677" w:rsidRDefault="009D7677" w:rsidP="009D7677">
      <w:pPr>
        <w:pStyle w:val="TextoNormal"/>
      </w:pPr>
      <w:r>
        <w:t>Efectuado el anterior examen debe concluirse que el recurrente denunció la vulneración de su derecho a la legalidad sancionadora de forma tempestiva y en cada uno de los recursos que interpuso para agotar debidamente la vía judicial previa contra el decreto de expulsión. Y, además, esta queja se efectuó tanto desde la perspectiva del art. 24.1 CE, por falta de motivación y de ponderación de la sanción, como desde la perspectiva de la garantía material del derecho a la legalidad sancionadora del art. 25.1 CE en su faceta aplicativa al haberse alegado, además de la desproporción de la sanción de expulsión, que esta se había antepuesto a la sanción general de multa prevista legalmente para los casos de estancia irregular.</w:t>
      </w:r>
    </w:p>
    <w:p w14:paraId="132A05A2" w14:textId="77777777" w:rsidR="009D7677" w:rsidRDefault="009D7677" w:rsidP="009D7677">
      <w:pPr>
        <w:pStyle w:val="TextoNormal"/>
      </w:pPr>
    </w:p>
    <w:p w14:paraId="0724C19C" w14:textId="77777777" w:rsidR="009D7677" w:rsidRDefault="009D7677" w:rsidP="009D7677">
      <w:pPr>
        <w:pStyle w:val="TextoNormal"/>
      </w:pPr>
      <w:r>
        <w:t>El recurrente ofreció así una base argumental suficiente para que todos los órganos judiciales, incluido el Tribunal Supremo, pudieran conocer y pronunciarse sobre la lesión del derecho a la legalidad sancionadora en su faceta aplicativa, por lo que, siguiendo el criterio finalista que preside la interpretación de los requisitos del art. 44.1 a) y c) LOTC, debe desestimarse el óbice procesal alegado.</w:t>
      </w:r>
    </w:p>
    <w:p w14:paraId="0E7E7BFD" w14:textId="77777777" w:rsidR="009D7677" w:rsidRDefault="009D7677" w:rsidP="009D7677">
      <w:pPr>
        <w:pStyle w:val="TextoNormal"/>
      </w:pPr>
    </w:p>
    <w:p w14:paraId="0455DFDF" w14:textId="05D1E74A" w:rsidR="009D7677" w:rsidRDefault="009D7677" w:rsidP="009D7677">
      <w:pPr>
        <w:pStyle w:val="TextoNormal"/>
      </w:pPr>
      <w:r>
        <w:t>Una base argumental semejante fue la que sirvió para impugnar el decreto de expulsión —y su confirmación judicial— por mera estancia irregular sin constar datos negativos o agravantes, y para fundamentar la demanda de amparo que dio lugar a la citada STC 47/2023 del Pleno, que estimó el recurso, declarando que se había vulnerado el derecho de la parte recurrente a la legalidad sancionadora (art. 25.1 CE). Todas las sentencias de las Salas de este tribunal que han aplicado la doctrina de la STC 47/2023 a recursos con el mismo objeto han apreciado dicha vulneración, bien por sí sola, como en la sentencia del Pleno (SSTC 70/2023 y 71/2023, de 19 de junio; 86/2023, de 17 de julio, y 130/2023, de 23 de octubre), o bien relacionándola con el derecho a la tutela judicial efectiva del art. 24.1 CE (SSTC 53/2023 y 55/2023, de 22 de mayo; 72/2023, de 19 de junio; 80/2023, de 3 de julio, y 87/2023, de 17 de julio), con lo que el óbice procesal del fiscal pierde totalmente su fuerza debido a dicha interrelación.</w:t>
      </w:r>
    </w:p>
    <w:p w14:paraId="5C792313" w14:textId="77777777" w:rsidR="009D7677" w:rsidRDefault="009D7677" w:rsidP="009D7677">
      <w:pPr>
        <w:pStyle w:val="TextoNormal"/>
      </w:pPr>
    </w:p>
    <w:p w14:paraId="2C234E4E" w14:textId="77777777" w:rsidR="009D7677" w:rsidRDefault="009D7677" w:rsidP="009D7677">
      <w:pPr>
        <w:pStyle w:val="TextoNormal"/>
      </w:pPr>
      <w:r w:rsidRPr="009D7677">
        <w:rPr>
          <w:rStyle w:val="NumeroAFNegritaCaracter"/>
        </w:rPr>
        <w:t>3</w:t>
      </w:r>
      <w:r>
        <w:t xml:space="preserve">. </w:t>
      </w:r>
      <w:r w:rsidRPr="009D7677">
        <w:rPr>
          <w:i/>
        </w:rPr>
        <w:t>Estimación de la vulneración del derecho a la legalidad sancionadora. Aplicación de la doctrina de la STC 47/2023, de 10 de mayo</w:t>
      </w:r>
    </w:p>
    <w:p w14:paraId="00386200" w14:textId="77777777" w:rsidR="009D7677" w:rsidRDefault="009D7677" w:rsidP="009D7677">
      <w:pPr>
        <w:pStyle w:val="TextoNormal"/>
      </w:pPr>
    </w:p>
    <w:p w14:paraId="079665E5" w14:textId="77777777" w:rsidR="009D7677" w:rsidRDefault="009D7677" w:rsidP="009D7677">
      <w:pPr>
        <w:pStyle w:val="TextoNormal"/>
      </w:pPr>
      <w:r>
        <w:t>a) La naturaleza mixta del recurso determina que se examine, en primer lugar, la queja relativa a la vulneración del derecho fundamental a la legalidad sancionadora y del principio de proporcionalidad que se atribuye al decreto de expulsión y a las sentencias de instancia y de apelación que lo confirmaron, dado que así se facilita una solución más temprana del recurso sin necesidad de abordar las restantes quejas [STC 47/2023, FJ 1 c)].</w:t>
      </w:r>
    </w:p>
    <w:p w14:paraId="4D933D23" w14:textId="77777777" w:rsidR="009D7677" w:rsidRDefault="009D7677" w:rsidP="009D7677">
      <w:pPr>
        <w:pStyle w:val="TextoNormal"/>
      </w:pPr>
    </w:p>
    <w:p w14:paraId="22A3CFA9" w14:textId="77777777" w:rsidR="009D7677" w:rsidRDefault="009D7677" w:rsidP="009D7677">
      <w:pPr>
        <w:pStyle w:val="TextoNormal"/>
      </w:pPr>
      <w:r>
        <w:t xml:space="preserve">b) Como se recordará, el recurrente denuncia que la autoridad administrativa dictó contra él un decreto de expulsión de forma injustificada y carente de proporcionalidad por el mero hecho de encontrarse irregularmente en territorio español, en lugar de imponerle la sanción prevalente de multa, dado que no contaba con datos negativos, ni antecedentes penales o policiales, tenía veinte años, vivía con su familia y tenía voluntad de residir en </w:t>
      </w:r>
      <w:r>
        <w:lastRenderedPageBreak/>
        <w:t>nuestro país para lo que estaba realizando cursos de formación, aparte de estar empadronado y tener asistencia sanitaria. Señala que estas lesiones no fueron remediadas por los órganos judiciales, que prescindieron de ponderar sus circunstancias y fundamentaron la confirmación del decreto de expulsión en la aplicación directa de la Directiva de retorno, al considerar erróneamente que la STJUE de 23 de abril de 2015 y la jurisprudencia posterior de la Sala de lo Contencioso-Administrativo del Tribunal Supremo que interpretó esta última sentencia imponían necesariamente la sanción de expulsión a los supuestos de estancia irregular.</w:t>
      </w:r>
    </w:p>
    <w:p w14:paraId="35971508" w14:textId="77777777" w:rsidR="009D7677" w:rsidRDefault="009D7677" w:rsidP="009D7677">
      <w:pPr>
        <w:pStyle w:val="TextoNormal"/>
      </w:pPr>
    </w:p>
    <w:p w14:paraId="59F5FEF3" w14:textId="77777777" w:rsidR="009D7677" w:rsidRDefault="009D7677" w:rsidP="009D7677">
      <w:pPr>
        <w:pStyle w:val="TextoNormal"/>
      </w:pPr>
      <w:r>
        <w:t>La queja del recurrente, en los términos que se plantean, coincide con la resuelta en la citada STC 47/2023 del Pleno, cuya doctrina es aplicable al caso. En dicha sentencia se reconoció, como se ha dicho, la vulneración del derecho a la legalidad sancionadora en un supuesto muy similar de expulsión por mera estancia irregular en el que se anteponía esta sanción a la sanción de multa. La sanción se confirmaba judicialmente aplicando directamente las consecuencias de la Directiva de retorno en lugar de aplicar la normativa española de extranjería que establece, con carácter general, la sanción de multa para estos supuestos en los que no constan circunstancias negativas o agravantes.</w:t>
      </w:r>
    </w:p>
    <w:p w14:paraId="0E741EA8" w14:textId="77777777" w:rsidR="009D7677" w:rsidRDefault="009D7677" w:rsidP="009D7677">
      <w:pPr>
        <w:pStyle w:val="TextoNormal"/>
      </w:pPr>
    </w:p>
    <w:p w14:paraId="7B9C7CF5" w14:textId="77777777" w:rsidR="009D7677" w:rsidRDefault="009D7677" w:rsidP="009D7677">
      <w:pPr>
        <w:pStyle w:val="TextoNormal"/>
      </w:pPr>
      <w:r>
        <w:t>c) El Pleno del Tribunal Constitucional expuso en su STC 47/2023 la regulación y la jurisprudencia nacional y del Tribunal de Justicia de la Unión Europea aplicable a las situaciones de estancia irregular de ciudadanos de terceros países no miembros, reflejando la compatibilidad del régimen sancionador previsto en los arts. 53.1 a), 55.1 b) y 3, y 57.1 LOEx —que establecen como regla general una sanción de multa para estas situaciones y la posibilidad de imponer motivadamente una sanción de expulsión, incompatible con la de multa (art. 57.3 LOEx), previo expediente y respetando el principio de proporcionalidad si se acreditan circunstancias agravantes— con la exigencia general del art. 6.1 de la Directiva 2008/115/CE, que obliga a los Estados miembros a dictar una decisión de retorno contra cualquier nacional de un tercer país que se encuentre en situación irregular en su territorio, sin perjuicio de las excepciones previstas en la propia directiva.</w:t>
      </w:r>
    </w:p>
    <w:p w14:paraId="77BD2E4E" w14:textId="77777777" w:rsidR="009D7677" w:rsidRDefault="009D7677" w:rsidP="009D7677">
      <w:pPr>
        <w:pStyle w:val="TextoNormal"/>
      </w:pPr>
    </w:p>
    <w:p w14:paraId="5123E413" w14:textId="77777777" w:rsidR="009D7677" w:rsidRDefault="009D7677" w:rsidP="009D7677">
      <w:pPr>
        <w:pStyle w:val="TextoNormal"/>
      </w:pPr>
      <w:r>
        <w:t>La STC 47/2023, FJ 4 c), declaró vulnerada la garantía material del derecho a la legalidad sancionadora (art. 25.1 CE) cuando la “administración impuso la sanción de expulsión del art. 57.1 LOEx, luego confirmada judicialmente con una interpretación errónea sobre la eficacia de la Directiva de retorno, a una situación de estancia irregular en la que no consta que concurriese ninguna circunstancia agravante o elemento negativo que la hubiese justificado, ‘en atención al principio de proporcionalidad’, tal y como dicho precepto exige para su aplicación”.</w:t>
      </w:r>
    </w:p>
    <w:p w14:paraId="181532CE" w14:textId="77777777" w:rsidR="009D7677" w:rsidRDefault="009D7677" w:rsidP="009D7677">
      <w:pPr>
        <w:pStyle w:val="TextoNormal"/>
      </w:pPr>
    </w:p>
    <w:p w14:paraId="6D3DFBAF" w14:textId="77777777" w:rsidR="009D7677" w:rsidRDefault="009D7677" w:rsidP="009D7677">
      <w:pPr>
        <w:pStyle w:val="TextoNormal"/>
      </w:pPr>
      <w:r>
        <w:t>Se afirma en la citada STC 47/2023, FJ 4 b), que “las resoluciones judiciales declararon procedente la expulsión con fundamento en la aplicación directa de lo dispuesto en el art. 6.1 de la Directiva 2008/115/CE y en que la recurrente carecía de arraigo en España. Pero con tal argumentación, los órganos judiciales dejaron de aplicar las consecuencias previstas en la normativa española para las situaciones de estancia irregular, puesto que en nuestro derecho no está prevista la sanción de expulsión para los supuestos de mera estancia irregular de las personas extranjeras en quienes no se aprecie ninguna circunstancia agravante o negativa. Esta interpretación de los tribunales españoles que marginaba la normativa nacional más favorable y que otorgaba un efecto directo inverso a la Directiva de retorno es errónea y contraria a la jurisprudencia del Tribunal de Justicia de la Unión Euro</w:t>
      </w:r>
      <w:r>
        <w:lastRenderedPageBreak/>
        <w:t>pea sobre la eficacia de esta clase de normas en los ordenamientos internos. Como señala la STJUE de 8 de octubre de 2020, ‘es preciso recordar que, según reiterada jurisprudencia del Tribunal de Justicia, las directivas no pueden, por sí solas, crear obligaciones a cargo de los particulares, pues los Estados miembros no pueden invocar las disposiciones de las directivas, en su calidad de tales, contra dichas personas’ (apartado 35)”.</w:t>
      </w:r>
    </w:p>
    <w:p w14:paraId="16275F7F" w14:textId="77777777" w:rsidR="009D7677" w:rsidRDefault="009D7677" w:rsidP="009D7677">
      <w:pPr>
        <w:pStyle w:val="TextoNormal"/>
      </w:pPr>
    </w:p>
    <w:p w14:paraId="585AB24E" w14:textId="77777777" w:rsidR="009D7677" w:rsidRDefault="009D7677" w:rsidP="009D7677">
      <w:pPr>
        <w:pStyle w:val="TextoNormal"/>
      </w:pPr>
      <w:r>
        <w:t>d) Como se ha recogido en los antecedentes, la resolución administrativa objeto del presente recurso impuso al recurrente la sanción de expulsión por el hecho de encontrarse irregularmente en el territorio nacional. El decreto de expulsión no apreció ninguna circunstancia agravante y valoró como circunstancias negativas aquellas que conforman la propia situación de estancia irregular, con lo que la sanción impuesta, en atención al principio de proporcionalidad y a la doctrina expuesta, desbordó el marco sancionador del hecho típico.</w:t>
      </w:r>
    </w:p>
    <w:p w14:paraId="3CFF12A7" w14:textId="77777777" w:rsidR="009D7677" w:rsidRDefault="009D7677" w:rsidP="009D7677">
      <w:pPr>
        <w:pStyle w:val="TextoNormal"/>
      </w:pPr>
    </w:p>
    <w:p w14:paraId="101D9E43" w14:textId="77777777" w:rsidR="009D7677" w:rsidRDefault="009D7677" w:rsidP="009D7677">
      <w:pPr>
        <w:pStyle w:val="TextoNormal"/>
      </w:pPr>
      <w:r>
        <w:t>Las sentencias de instancia y de apelación tampoco apreciaron ninguna circunstancia agravante o negativa y, no obstante, confirmaron la sanción de expulsión. Dicha confirmación prescindió de la legislación española en materia de extranjería para sancionar los supuestos de estancia irregular sin circunstancias agravantes, y se basó en la aplicación de la Directiva 2008/115/CE, otorgándole un efecto directo en perjuicio de la ciudadanía prohibido por el Derecho de la Unión, tal y como recordó la STJUE de 8 de octubre de 2020. No evitan la lesión los razonamientos de las sentencias relativos a que el recurrente no acreditó que concurriera en él alguna de las excepciones previstas en la Directiva para evitar el retorno, porque estos se efectuaron con arreglo a una norma que no resultaba aplicable y porque, además, privaron al recurrente de la ponderación judicial de los hechos negativos apreciados por la Administración en relación con la sanción impuesta.</w:t>
      </w:r>
    </w:p>
    <w:p w14:paraId="3980994E" w14:textId="77777777" w:rsidR="009D7677" w:rsidRDefault="009D7677" w:rsidP="009D7677">
      <w:pPr>
        <w:pStyle w:val="TextoNormal"/>
      </w:pPr>
    </w:p>
    <w:p w14:paraId="6FC5BB72" w14:textId="70A00D04" w:rsidR="009D7677" w:rsidRDefault="009D7677" w:rsidP="009D7677">
      <w:pPr>
        <w:pStyle w:val="TextoNormal"/>
      </w:pPr>
      <w:r>
        <w:t>En virtud de lo expuesto y en aplicación de la doctrina de la STC 47/2023, seguida por las SSTC 53/2023 y 55/2023, FJ 3; 70/2023, FJ único e); 71/2023 FJ único c); 72/2023, FJ 4; 80/2023, FJ 3 c); 86/2023, FJ único c); FJ 87/2023, FJ 3 c), y 130/2023, FJ único e), debe estimarse el recurso [art. 53 a) LOTC] y reconocer que se ha vulnerado el derecho fundamental del recurrente a la legalidad sancionadora (art. 25.1 CE), restableciéndolo en él mediante la anulación de las resoluciones impugnadas (art. 55.1 LOTC).</w:t>
      </w:r>
    </w:p>
    <w:p w14:paraId="39D9D933" w14:textId="77777777" w:rsidR="009D7677" w:rsidRDefault="009D7677" w:rsidP="009D7677">
      <w:pPr>
        <w:pStyle w:val="TextoNormal"/>
      </w:pPr>
    </w:p>
    <w:p w14:paraId="3B62B87E" w14:textId="77777777" w:rsidR="009D7677" w:rsidRDefault="009D7677" w:rsidP="009D7677">
      <w:pPr>
        <w:pStyle w:val="TextoNormalCentrado"/>
        <w:keepNext/>
      </w:pPr>
      <w:r>
        <w:t>FALLO</w:t>
      </w:r>
    </w:p>
    <w:p w14:paraId="26109CD9" w14:textId="665DE68E" w:rsidR="009D7677" w:rsidRDefault="009D7677" w:rsidP="009D7677">
      <w:pPr>
        <w:pStyle w:val="TextoNormalCentrado"/>
        <w:keepNext/>
      </w:pPr>
    </w:p>
    <w:p w14:paraId="41B4F678" w14:textId="77777777" w:rsidR="009D7677" w:rsidRDefault="009D7677" w:rsidP="009D7677">
      <w:pPr>
        <w:pStyle w:val="TextoNormal"/>
      </w:pPr>
      <w:r>
        <w:t>En atención a todo lo expuesto, el Tribunal Constitucional, por la autoridad que le confiere la Constitución de la Nación española, ha decidido estimar el recurso de amparo interpuesto por don Mohamed El Bachiri, en su virtud:</w:t>
      </w:r>
    </w:p>
    <w:p w14:paraId="459064C1" w14:textId="77777777" w:rsidR="009D7677" w:rsidRDefault="009D7677" w:rsidP="009D7677">
      <w:pPr>
        <w:pStyle w:val="TextoNormal"/>
      </w:pPr>
    </w:p>
    <w:p w14:paraId="5B00A8C9" w14:textId="77777777" w:rsidR="009D7677" w:rsidRDefault="009D7677" w:rsidP="009D7677">
      <w:pPr>
        <w:pStyle w:val="TextoNormal"/>
      </w:pPr>
      <w:r>
        <w:t>1º Reconocer que ha sido vulnerado su derecho fundamental a la legalidad sancionadora (art. 25.1 CE).</w:t>
      </w:r>
    </w:p>
    <w:p w14:paraId="23A13886" w14:textId="77777777" w:rsidR="009D7677" w:rsidRDefault="009D7677" w:rsidP="009D7677">
      <w:pPr>
        <w:pStyle w:val="TextoNormal"/>
      </w:pPr>
    </w:p>
    <w:p w14:paraId="4EA02D69" w14:textId="1CB8D054" w:rsidR="009D7677" w:rsidRDefault="009D7677" w:rsidP="009D7677">
      <w:pPr>
        <w:pStyle w:val="TextoNormal"/>
      </w:pPr>
      <w:r>
        <w:t>2º Restablecerlo en su derecho y, a tal fin, declarar la nulidad de la resolución de 15 de enero de 2019, de la Subdelegación del Gobierno en Castellón, dictada en el expediente núm. 120020180003575; y de las resoluciones judiciales siguientes: sentencia núm. 523/2019, de 14 de noviembre, del Juzgado de lo Contencioso-Administrativo núm. 2 de Castellón de la Plana, dictada en el procedimiento abreviado núm. 143-2019; sentencia núm. 113/2020, de 20 de febrero, de la Sección Primera de la Sala de lo Contencioso-</w:t>
      </w:r>
      <w:r>
        <w:lastRenderedPageBreak/>
        <w:t>Administrativo del Tribunal Superior de Justicia de la Comunidad Valenciana, dictada en el recurso de apelación núm. 22-2020; providencias de 14 de enero y de 18 de marzo de 2021 de la Sección Primera de la Sala de lo Contencioso-Administrativo del Tribunal Supremo, dictadas en el recurso de casación núm. 2863-2020.</w:t>
      </w:r>
    </w:p>
    <w:p w14:paraId="66814D4D" w14:textId="77777777" w:rsidR="009D7677" w:rsidRDefault="009D7677" w:rsidP="009D7677">
      <w:pPr>
        <w:pStyle w:val="TextoNormal"/>
      </w:pPr>
    </w:p>
    <w:p w14:paraId="666C751A" w14:textId="77777777" w:rsidR="009D7677" w:rsidRDefault="009D7677" w:rsidP="009D7677">
      <w:pPr>
        <w:pStyle w:val="TextoNormal"/>
      </w:pPr>
      <w:r>
        <w:t>Publíquese esta sentencia en el “Boletín Oficial del Estado”.</w:t>
      </w:r>
    </w:p>
    <w:p w14:paraId="359167D6" w14:textId="77777777" w:rsidR="009D7677" w:rsidRDefault="009D7677" w:rsidP="009D7677">
      <w:pPr>
        <w:pStyle w:val="TextoNormal"/>
      </w:pPr>
      <w:r>
        <w:t>Dada en Madrid, a ocho de abril de dos mil veinticuatro.</w:t>
      </w:r>
    </w:p>
    <w:p w14:paraId="663AE76B" w14:textId="7CCCF3EC" w:rsidR="009D7677" w:rsidRDefault="009D7677">
      <w:pPr>
        <w:spacing w:after="160" w:line="259" w:lineRule="auto"/>
        <w:rPr>
          <w:rFonts w:ascii="Times New Roman" w:eastAsia="Times New Roman" w:hAnsi="Times New Roman" w:cs="Times New Roman"/>
          <w:sz w:val="24"/>
          <w:szCs w:val="24"/>
          <w:lang w:eastAsia="es-ES"/>
        </w:rPr>
      </w:pPr>
      <w:r>
        <w:br w:type="page"/>
      </w:r>
    </w:p>
    <w:p w14:paraId="6DED3790" w14:textId="77777777" w:rsidR="009D7677" w:rsidRDefault="009D7677" w:rsidP="009D7677">
      <w:pPr>
        <w:pStyle w:val="TtuloResolucin"/>
      </w:pPr>
      <w:bookmarkStart w:id="52" w:name="SENTENCIA_2024_50"/>
      <w:r>
        <w:lastRenderedPageBreak/>
        <w:t>SENTENCIA 50/2024, de 8 de abril de 2024</w:t>
      </w:r>
    </w:p>
    <w:bookmarkEnd w:id="52"/>
    <w:p w14:paraId="42B92002" w14:textId="77777777" w:rsidR="009D7677" w:rsidRDefault="009D7677" w:rsidP="009D7677">
      <w:pPr>
        <w:pStyle w:val="TtuloResolucin"/>
      </w:pPr>
      <w:r>
        <w:t>Sala Primera</w:t>
      </w:r>
    </w:p>
    <w:p w14:paraId="7885F09D" w14:textId="77777777" w:rsidR="009D7677" w:rsidRDefault="009D7677" w:rsidP="009D7677">
      <w:pPr>
        <w:pStyle w:val="TtuloBOE"/>
      </w:pPr>
      <w:r>
        <w:t>(BOE núm. 118, de 15 de mayo de 2024)</w:t>
      </w:r>
    </w:p>
    <w:p w14:paraId="09E7EE8C" w14:textId="77777777" w:rsidR="009D7677" w:rsidRDefault="009D7677" w:rsidP="009D7677">
      <w:pPr>
        <w:pStyle w:val="TextoNormalCentrado"/>
      </w:pPr>
      <w:r>
        <w:t>ECLI:ES:TC:2024:50</w:t>
      </w:r>
    </w:p>
    <w:p w14:paraId="76039963" w14:textId="0320519F" w:rsidR="009D7677" w:rsidRDefault="009D7677" w:rsidP="009D7677">
      <w:pPr>
        <w:pStyle w:val="TextoNormalCentrado"/>
      </w:pPr>
    </w:p>
    <w:p w14:paraId="0901E0EE" w14:textId="77777777" w:rsidR="009D7677" w:rsidRDefault="009D7677" w:rsidP="009D7677">
      <w:pPr>
        <w:pStyle w:val="SntesisDescriptiva"/>
      </w:pPr>
      <w:r>
        <w:t>Recurso de amparo 3971-2021. Promovido por don Oriol Junqueras i Vies respecto de la sentencia de la Sección Cuarta de la Sala de lo Contencioso-Administrativo del Tribunal Supremo que confirmó las resoluciones de las juntas electorales denegando su proclamación como candidato en elecciones al Congreso de los Diputados.</w:t>
      </w:r>
    </w:p>
    <w:p w14:paraId="20FFDAA3" w14:textId="71EF6BA7" w:rsidR="009D7677" w:rsidRDefault="009D7677" w:rsidP="009D7677">
      <w:pPr>
        <w:pStyle w:val="SntesisDescriptiva"/>
      </w:pPr>
    </w:p>
    <w:p w14:paraId="511ED8B6" w14:textId="77777777" w:rsidR="009D7677" w:rsidRDefault="009D7677" w:rsidP="009D7677">
      <w:pPr>
        <w:pStyle w:val="SntesisAnaltica"/>
      </w:pPr>
      <w:r>
        <w:t>Supuesta vulneración de los derechos a la tutela judicial efectiva y a un recurso efectivo en relación con el derecho de sufragio pasivo: resolución judicial que confirma la inelegibilidad del demandante como consecuencia de su condena a una pena de prisión.</w:t>
      </w:r>
    </w:p>
    <w:p w14:paraId="1F927C9C" w14:textId="45B5237A" w:rsidR="009D7677" w:rsidRDefault="009D7677" w:rsidP="009D7677">
      <w:pPr>
        <w:pStyle w:val="SntesisAnaltica"/>
      </w:pPr>
    </w:p>
    <w:p w14:paraId="2DBE0BF5" w14:textId="44180C53" w:rsidR="009D7677" w:rsidRDefault="009D7677" w:rsidP="009D7677">
      <w:pPr>
        <w:pStyle w:val="Extracto"/>
      </w:pPr>
      <w:r>
        <w:t>1.</w:t>
      </w:r>
      <w:r>
        <w:tab/>
        <w:t xml:space="preserve">La sentencia firme de condena a pena de prisión tiene efectos constitutivos de la condición de inelegibilidad, de conformidad con el art. 6.2 a) LOREG que establece que “son inelegibles los condenados por sentencia firme, a pena privativa de libertad, en el período que dure la pena”. Esta causa, conforme a reiterada doctrina constitucional, actúa </w:t>
      </w:r>
      <w:r w:rsidRPr="009D7677">
        <w:rPr>
          <w:i/>
        </w:rPr>
        <w:t xml:space="preserve">ope legis </w:t>
      </w:r>
      <w:r>
        <w:t>(STC 18/2024) y de manera independiente a su cumplimiento efectivo (STC 166/1993) [FJ 4].</w:t>
      </w:r>
    </w:p>
    <w:p w14:paraId="5DC26C4B" w14:textId="77777777" w:rsidR="009D7677" w:rsidRDefault="009D7677" w:rsidP="009D7677">
      <w:pPr>
        <w:pStyle w:val="Extracto"/>
      </w:pPr>
    </w:p>
    <w:p w14:paraId="41DC81D2" w14:textId="77777777" w:rsidR="009D7677" w:rsidRDefault="009D7677" w:rsidP="009D7677">
      <w:pPr>
        <w:pStyle w:val="Extracto"/>
      </w:pPr>
    </w:p>
    <w:p w14:paraId="2E6C88CB" w14:textId="77777777" w:rsidR="009D7677" w:rsidRDefault="009D7677" w:rsidP="009D7677">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4C8DEF7E" w14:textId="5F17C850" w:rsidR="009D7677" w:rsidRDefault="009D7677" w:rsidP="009D7677">
      <w:pPr>
        <w:pStyle w:val="TextoNormal"/>
      </w:pPr>
    </w:p>
    <w:p w14:paraId="543D3131" w14:textId="77777777" w:rsidR="009D7677" w:rsidRDefault="009D7677" w:rsidP="009D7677">
      <w:pPr>
        <w:pStyle w:val="TextoNormalCentrado"/>
        <w:keepNext/>
      </w:pPr>
      <w:r>
        <w:t>EN NOMBRE DEL REY</w:t>
      </w:r>
    </w:p>
    <w:p w14:paraId="1145E700" w14:textId="41BB9483" w:rsidR="009D7677" w:rsidRDefault="009D7677" w:rsidP="009D7677">
      <w:pPr>
        <w:pStyle w:val="TextoNormalCentrado"/>
        <w:keepNext/>
      </w:pPr>
    </w:p>
    <w:p w14:paraId="528EF904" w14:textId="77777777" w:rsidR="009D7677" w:rsidRDefault="009D7677" w:rsidP="009D7677">
      <w:pPr>
        <w:pStyle w:val="TextoNormalCentrado"/>
        <w:keepNext/>
      </w:pPr>
    </w:p>
    <w:p w14:paraId="605FEB2A" w14:textId="77777777" w:rsidR="009D7677" w:rsidRDefault="009D7677" w:rsidP="009D7677">
      <w:pPr>
        <w:pStyle w:val="TextoNormal"/>
      </w:pPr>
      <w:r>
        <w:t>la siguiente</w:t>
      </w:r>
    </w:p>
    <w:p w14:paraId="6C16FCA3" w14:textId="48E6FC0A" w:rsidR="009D7677" w:rsidRDefault="009D7677" w:rsidP="009D7677">
      <w:pPr>
        <w:pStyle w:val="TextoNormal"/>
      </w:pPr>
    </w:p>
    <w:p w14:paraId="2DABACAC" w14:textId="77777777" w:rsidR="009D7677" w:rsidRDefault="009D7677" w:rsidP="009D7677">
      <w:pPr>
        <w:pStyle w:val="TextoNormalCentrado"/>
        <w:keepNext/>
      </w:pPr>
      <w:r>
        <w:t>SENTENCIA</w:t>
      </w:r>
    </w:p>
    <w:p w14:paraId="1F524587" w14:textId="32421EFD" w:rsidR="009D7677" w:rsidRDefault="009D7677" w:rsidP="009D7677">
      <w:pPr>
        <w:pStyle w:val="TextoNormalCentrado"/>
        <w:keepNext/>
      </w:pPr>
    </w:p>
    <w:p w14:paraId="78218849" w14:textId="77777777" w:rsidR="009D7677" w:rsidRDefault="009D7677" w:rsidP="009D7677">
      <w:pPr>
        <w:pStyle w:val="TextoNormal"/>
      </w:pPr>
      <w:r>
        <w:t>En el recurso de amparo 3971-2021, promovido por don Oriol Junqueras i Vies, representado por el procurador de los tribunales don Emilio Martínez Benítez, con la asistencia letrada del abogado don Marc Marsal i Ferret, contra la sentencia de la Sección Cuarta de la Sala de lo Contencioso-Administrativo del Tribunal Supremo núm. 387/2021, de 18 de marzo, dictada en el procedimiento ordinario núm. 401-2019, y contra la providencia de 27 de abril de 2021, que inadmitió el incidente de nulidad de actuaciones. Ha sido parte la Junta Electoral Central. Ha intervenido el Ministerio Fiscal. Ha sido ponente el presidente, don Cándido Conde-Pumpido Tourón.</w:t>
      </w:r>
    </w:p>
    <w:p w14:paraId="1546F3D7" w14:textId="21CAB229" w:rsidR="009D7677" w:rsidRDefault="009D7677" w:rsidP="009D7677">
      <w:pPr>
        <w:pStyle w:val="TextoNormal"/>
      </w:pPr>
    </w:p>
    <w:p w14:paraId="12691719" w14:textId="77777777" w:rsidR="009D7677" w:rsidRDefault="009D7677" w:rsidP="009D7677">
      <w:pPr>
        <w:pStyle w:val="TextoNormalNegritaCentrado"/>
        <w:keepNext/>
      </w:pPr>
      <w:r>
        <w:lastRenderedPageBreak/>
        <w:t>I. Antecedentes</w:t>
      </w:r>
    </w:p>
    <w:p w14:paraId="0C6CD74D" w14:textId="468C60C4" w:rsidR="009D7677" w:rsidRDefault="009D7677" w:rsidP="009D7677">
      <w:pPr>
        <w:pStyle w:val="TextoNormalNegritaCentrado"/>
        <w:keepNext/>
      </w:pPr>
    </w:p>
    <w:p w14:paraId="73BF4E15" w14:textId="230AE64E" w:rsidR="009D7677" w:rsidRDefault="009D7677" w:rsidP="009D7677">
      <w:pPr>
        <w:pStyle w:val="TextoNormal"/>
      </w:pPr>
      <w:r w:rsidRPr="009D7677">
        <w:rPr>
          <w:rStyle w:val="NumeroAFNegritaCaracter"/>
        </w:rPr>
        <w:t>1</w:t>
      </w:r>
      <w:r>
        <w:t>. Mediante escrito registrado en este tribunal el día 14 de junio de 2021, don Emilio Martínez Benítez, procurador de los tribunales, en nombre y representación de don Oriol Junqueras i Vies, asistido por el letrado don Marc Marsal i Ferret, interpuso recurso de amparo contra las resoluciones citadas en el encabezamiento.</w:t>
      </w:r>
    </w:p>
    <w:p w14:paraId="3FA87599" w14:textId="77777777" w:rsidR="009D7677" w:rsidRDefault="009D7677" w:rsidP="009D7677">
      <w:pPr>
        <w:pStyle w:val="TextoNormal"/>
      </w:pPr>
    </w:p>
    <w:p w14:paraId="666E41C4" w14:textId="77777777" w:rsidR="009D7677" w:rsidRDefault="009D7677" w:rsidP="009D7677">
      <w:pPr>
        <w:pStyle w:val="TextoNormal"/>
      </w:pPr>
      <w:r w:rsidRPr="009D7677">
        <w:rPr>
          <w:rStyle w:val="NumeroAFNegritaCaracter"/>
        </w:rPr>
        <w:t>2</w:t>
      </w:r>
      <w:r>
        <w:t>. Los hechos de los que trae causa la demanda de amparo son, en síntesis, los siguientes:</w:t>
      </w:r>
    </w:p>
    <w:p w14:paraId="1040CBF9" w14:textId="77777777" w:rsidR="009D7677" w:rsidRDefault="009D7677" w:rsidP="009D7677">
      <w:pPr>
        <w:pStyle w:val="TextoNormal"/>
      </w:pPr>
    </w:p>
    <w:p w14:paraId="265ACB53" w14:textId="77777777" w:rsidR="009D7677" w:rsidRDefault="009D7677" w:rsidP="009D7677">
      <w:pPr>
        <w:pStyle w:val="TextoNormal"/>
      </w:pPr>
      <w:r>
        <w:t>a) El demandante de amparo encabezaba la lista de candidatos al Congreso de los Diputados correspondiente a la circunscripción provincial de Barcelona que la coalición electoral Esquerra Republicana de Catalunya-Sobiranistes (en adelante: ERC-S) presentó para las elecciones a Cortes Generales a celebrar el domingo día 10 de noviembre de 2019 (Real Decreto 551/2019, de 24 de septiembre, “Boletín Oficial del Estado” núm. 230, de 24 de septiembre de 2019).</w:t>
      </w:r>
    </w:p>
    <w:p w14:paraId="49D49E52" w14:textId="77777777" w:rsidR="009D7677" w:rsidRDefault="009D7677" w:rsidP="009D7677">
      <w:pPr>
        <w:pStyle w:val="TextoNormal"/>
      </w:pPr>
    </w:p>
    <w:p w14:paraId="282C1FB3" w14:textId="77777777" w:rsidR="009D7677" w:rsidRDefault="009D7677" w:rsidP="009D7677">
      <w:pPr>
        <w:pStyle w:val="TextoNormal"/>
      </w:pPr>
      <w:r>
        <w:t>b) El 14 de octubre de 2019 la Junta Electoral Provincial de Barcelona elevó consulta urgente a la Junta Electoral Central (JEC) sobre “la tramitación que debería darse a la proclamación de candidatos afectados por penas de inhabilitación absoluta impuestas por la sentencia de la Sala de lo Penal del Tribunal Supremo de 14 de octubre de 2019, en la causa especial número 3-20907-2017”.</w:t>
      </w:r>
    </w:p>
    <w:p w14:paraId="16E9B463" w14:textId="77777777" w:rsidR="009D7677" w:rsidRDefault="009D7677" w:rsidP="009D7677">
      <w:pPr>
        <w:pStyle w:val="TextoNormal"/>
      </w:pPr>
    </w:p>
    <w:p w14:paraId="276A4F11" w14:textId="77777777" w:rsidR="009D7677" w:rsidRDefault="009D7677" w:rsidP="009D7677">
      <w:pPr>
        <w:pStyle w:val="TextoNormal"/>
      </w:pPr>
      <w:r>
        <w:t>La consulta se recibió en la Junta Electoral Central a las 12:34 horas y fue contestada por su presidente, dado el carácter urgente con el que debía resolverse al tener que proclamarse definitivamente las candidaturas en el mismo día, quien adoptó la siguiente resolución (expediente núm. 283-847):</w:t>
      </w:r>
    </w:p>
    <w:p w14:paraId="15AEE17E" w14:textId="77777777" w:rsidR="009D7677" w:rsidRDefault="009D7677" w:rsidP="009D7677">
      <w:pPr>
        <w:pStyle w:val="TextoNormal"/>
      </w:pPr>
    </w:p>
    <w:p w14:paraId="61C85F96" w14:textId="77777777" w:rsidR="009D7677" w:rsidRDefault="009D7677" w:rsidP="009D7677">
      <w:pPr>
        <w:pStyle w:val="TextoNormal"/>
      </w:pPr>
      <w:r>
        <w:t>“1) Los candidatos a las elecciones al Congreso de los Diputados y al Senado de 10 de noviembre de 2019 que hayan sido condenados a la pena de privación de libertad o de inhabilitación absoluta en la sentencia de la Sala de lo Penal del Tribunal Supremo de 14 de octubre de 2019 en la causa especial número 3-20907-2017, en ejecución de dicha resolución judicial, deberán ser excluidos de la lista presentada por la candidatura, sin que puedan ser proclamados por la correspondiente junta electoral provincial.</w:t>
      </w:r>
    </w:p>
    <w:p w14:paraId="4CFED0FA" w14:textId="77777777" w:rsidR="009D7677" w:rsidRDefault="009D7677" w:rsidP="009D7677">
      <w:pPr>
        <w:pStyle w:val="TextoNormal"/>
      </w:pPr>
    </w:p>
    <w:p w14:paraId="55DE2633" w14:textId="77777777" w:rsidR="009D7677" w:rsidRDefault="009D7677" w:rsidP="009D7677">
      <w:pPr>
        <w:pStyle w:val="TextoNormal"/>
      </w:pPr>
      <w:r>
        <w:t>Este criterio es el recogido en resoluciones precedentes de la Junta Electoral Central de 27 de mayo de 1995 y de 6 de junio de 2011, criterio que fue confirmado por la sentencia del Tribunal Constitucional 144/1999.</w:t>
      </w:r>
    </w:p>
    <w:p w14:paraId="471BBCE5" w14:textId="77777777" w:rsidR="009D7677" w:rsidRDefault="009D7677" w:rsidP="009D7677">
      <w:pPr>
        <w:pStyle w:val="TextoNormal"/>
      </w:pPr>
    </w:p>
    <w:p w14:paraId="7DD45ADD" w14:textId="77777777" w:rsidR="009D7677" w:rsidRDefault="009D7677" w:rsidP="009D7677">
      <w:pPr>
        <w:pStyle w:val="TextoNormal"/>
      </w:pPr>
      <w:r>
        <w:t>2) Las juntas electorales provinciales concederán un muy breve plazo de subsanación a las candidaturas afectadas, para que puedan sustituir a los candidatos excluidos. Dicho plazo deberá permitir realizar la proclamación definitiva de las candidaturas en el día de hoy. De no realizar dicha subsanación, las candidaturas deberán ser proclamadas en los términos resultantes de dicha exclusión”.</w:t>
      </w:r>
    </w:p>
    <w:p w14:paraId="0AD1C520" w14:textId="77777777" w:rsidR="009D7677" w:rsidRDefault="009D7677" w:rsidP="009D7677">
      <w:pPr>
        <w:pStyle w:val="TextoNormal"/>
      </w:pPr>
    </w:p>
    <w:p w14:paraId="60DDAD74" w14:textId="77777777" w:rsidR="009D7677" w:rsidRDefault="009D7677" w:rsidP="009D7677">
      <w:pPr>
        <w:pStyle w:val="TextoNormal"/>
      </w:pPr>
      <w:r>
        <w:t>La Junta Electoral Provincial de Barcelona, conforme a lo resuelto por la Junta Electoral Central, acordó el mismo día lo siguiente:</w:t>
      </w:r>
    </w:p>
    <w:p w14:paraId="3D28822C" w14:textId="77777777" w:rsidR="009D7677" w:rsidRDefault="009D7677" w:rsidP="009D7677">
      <w:pPr>
        <w:pStyle w:val="TextoNormal"/>
      </w:pPr>
    </w:p>
    <w:p w14:paraId="6FF0D8AE" w14:textId="77777777" w:rsidR="009D7677" w:rsidRDefault="009D7677" w:rsidP="009D7677">
      <w:pPr>
        <w:pStyle w:val="TextoNormal"/>
      </w:pPr>
      <w:r>
        <w:t xml:space="preserve">“Dar traslado del acuerdo de la Junta Electoral Central a las candidaturas Junts per Catalunya-Junts y Esquerra Republicana de Catalunya-Sobiranistes, requiriéndoles para que en el plazo de una hora desde el recibo de la presente puedan </w:t>
      </w:r>
      <w:r w:rsidRPr="009D7677">
        <w:rPr>
          <w:i/>
        </w:rPr>
        <w:t>sustituir</w:t>
      </w:r>
      <w:r>
        <w:t xml:space="preserve"> a los candidatos excluidos. De no realizar dicha subsanación, las candidaturas deberán ser proclamadas en los términos resultantes de dicha exclusión, teniendo en cuenta que la exclusión de esos candidatos implica el requisito de composición equilibrada de mujeres y hombres establecido en el artículo 44 </w:t>
      </w:r>
      <w:r w:rsidRPr="009D7677">
        <w:rPr>
          <w:i/>
        </w:rPr>
        <w:t>bis</w:t>
      </w:r>
      <w:r>
        <w:t xml:space="preserve"> de la LOREG [Ley Orgánica del régimen electoral general], todo ello a efectos de que pueda procederse a la proclamación de esas candidaturas” (énfasis en el original).</w:t>
      </w:r>
    </w:p>
    <w:p w14:paraId="1EB28A47" w14:textId="77777777" w:rsidR="009D7677" w:rsidRDefault="009D7677" w:rsidP="009D7677">
      <w:pPr>
        <w:pStyle w:val="TextoNormal"/>
      </w:pPr>
    </w:p>
    <w:p w14:paraId="4E5956C2" w14:textId="77777777" w:rsidR="009D7677" w:rsidRDefault="009D7677" w:rsidP="009D7677">
      <w:pPr>
        <w:pStyle w:val="TextoNormal"/>
      </w:pPr>
      <w:r>
        <w:t>Recibido el requerimiento, la coalición ERC-S sustituyó al actor, de modo que en la lista de candidatos proclamados publicada en el “BOE” núm. 248, de 15 de octubre de 2019, sección III, pág. 113.505, el número uno lo pasó a ocupar don Gabriel Rufián i Romero.</w:t>
      </w:r>
    </w:p>
    <w:p w14:paraId="55DE6D02" w14:textId="77777777" w:rsidR="009D7677" w:rsidRDefault="009D7677" w:rsidP="009D7677">
      <w:pPr>
        <w:pStyle w:val="TextoNormal"/>
      </w:pPr>
    </w:p>
    <w:p w14:paraId="34328634" w14:textId="77777777" w:rsidR="009D7677" w:rsidRDefault="009D7677" w:rsidP="009D7677">
      <w:pPr>
        <w:pStyle w:val="TextoNormal"/>
      </w:pPr>
      <w:r>
        <w:t>c) El día 7 de noviembre de 2019 el representante de la coalición ERC-S presentó escrito en la Junta Electoral Central en el que solicitaba la restitución del actor en el número uno de su lista de candidatos, lo que se justificaba en el conocimiento tardío que se les había dado del auto de 14 de octubre de 2019 dictado por la Sala de lo Penal del Tribunal Supremo en la referida causa especial, por el que se posponía la ejecución de la pena de inhabilitación por el efecto reflejo derivado de estar pendiente de resolución un recurso de súplica contra una decisión adoptada en la pieza separada de situación personal.</w:t>
      </w:r>
    </w:p>
    <w:p w14:paraId="44F59D78" w14:textId="77777777" w:rsidR="009D7677" w:rsidRDefault="009D7677" w:rsidP="009D7677">
      <w:pPr>
        <w:pStyle w:val="TextoNormal"/>
      </w:pPr>
    </w:p>
    <w:p w14:paraId="55AF5132" w14:textId="77777777" w:rsidR="009D7677" w:rsidRDefault="009D7677" w:rsidP="009D7677">
      <w:pPr>
        <w:pStyle w:val="TextoNormal"/>
      </w:pPr>
      <w:r>
        <w:t>El auto hacía alusión al recurso de súplica que el actor interpuso, estando en situación de prisión provisional, contra el auto de 14 de junio de 2019 de la Sala de lo Penal del Tribunal Supremo, que le denegó el permiso penitenciario extraordinario que había solicitado para acudir a la sede del Congreso de los Diputados el día 17 de junio de 2020 con el objeto de prestar ante la Junta Electoral Central el juramento o promesa de acatamiento de la Constitución que el art. 224.2 LOREG exigía para obtener la credencial de diputado del Parlamento Europeo, después de haber sido proclamado electo por acuerdo de la Junta Electoral Central de 13 de junio de 2019, tras las elecciones celebradas el día 26 de mayo de 2019 para elegir a los diputados de dicha Cámara. En el recurso alegaba la vulneración de sus derechos de representación política y la contravención del Derecho de la Unión Europea en materia de inmunidad parlamentaria, y solicitaba el planteamiento de varias cuestiones prejudiciales. La Sala por auto de 1 de julio de 2019 acordó suspender la resolución del recurso de súplica para elevar cuestión prejudicial al Tribunal de Justicia de la Unión Europea en la que planteaba tres preguntas relativas a la vigencia temporal de la inmunidad de los diputados del Parlamento Europeo y a su eventual incidencia en el alzamiento de la medida cautelar de prisión provisional. La cuestión fue resuelta en la STJUE de 19 de diciembre de 2019, C-502/19, tras de lo cual la Sala dictó auto el 9 de enero de 2020 por el que alzó la suspensión y se resolvió el recurso de súplica.</w:t>
      </w:r>
    </w:p>
    <w:p w14:paraId="1E362388" w14:textId="77777777" w:rsidR="009D7677" w:rsidRDefault="009D7677" w:rsidP="009D7677">
      <w:pPr>
        <w:pStyle w:val="TextoNormal"/>
      </w:pPr>
    </w:p>
    <w:p w14:paraId="3151B76C" w14:textId="77777777" w:rsidR="009D7677" w:rsidRDefault="009D7677" w:rsidP="009D7677">
      <w:pPr>
        <w:pStyle w:val="TextoNormal"/>
      </w:pPr>
      <w:r>
        <w:t>d) El 8 de noviembre de 2019 la Junta Electoral Central rechazó su petición con el siguiente fundamento:</w:t>
      </w:r>
    </w:p>
    <w:p w14:paraId="5A46DDCC" w14:textId="77777777" w:rsidR="009D7677" w:rsidRDefault="009D7677" w:rsidP="009D7677">
      <w:pPr>
        <w:pStyle w:val="TextoNormal"/>
      </w:pPr>
    </w:p>
    <w:p w14:paraId="1A5ED393" w14:textId="77777777" w:rsidR="009D7677" w:rsidRDefault="009D7677" w:rsidP="009D7677">
      <w:pPr>
        <w:pStyle w:val="TextoNormal"/>
      </w:pPr>
      <w:r>
        <w:t xml:space="preserve">“1. La proclamación de los candidatos de la coalición electoral Esquerra Republicana de Catalunya-Sobiranistes es un acto firme, que fue susceptible de recurso conforme a lo </w:t>
      </w:r>
      <w:r>
        <w:lastRenderedPageBreak/>
        <w:t>dispuesto en el artículo 49 LOREG, sin que pueda ser revisado en este momento por la Junta Electoral Central.</w:t>
      </w:r>
    </w:p>
    <w:p w14:paraId="461DB2CF" w14:textId="77777777" w:rsidR="009D7677" w:rsidRDefault="009D7677" w:rsidP="009D7677">
      <w:pPr>
        <w:pStyle w:val="TextoNormal"/>
      </w:pPr>
    </w:p>
    <w:p w14:paraId="38C5F5D9" w14:textId="77777777" w:rsidR="009D7677" w:rsidRDefault="009D7677" w:rsidP="009D7677">
      <w:pPr>
        <w:pStyle w:val="TextoNormal"/>
      </w:pPr>
      <w:r>
        <w:t>2. Cabe en todo caso advertir, aunque la Sala que ha enjuiciado al señor Junqueras haya acordado posponer la ejecución de la pena de inhabilitación especial a la que fue condenado, que dicha persona ha sido también condenada mediante sentencia firme a penas de privación de libertad que está cumpliendo en este momento. Esta circunstancia incurre en el supuesto de inelegibilidad establecido en el artículo 6.2 a) de la LOREG”.</w:t>
      </w:r>
    </w:p>
    <w:p w14:paraId="38603820" w14:textId="77777777" w:rsidR="009D7677" w:rsidRDefault="009D7677" w:rsidP="009D7677">
      <w:pPr>
        <w:pStyle w:val="TextoNormal"/>
      </w:pPr>
    </w:p>
    <w:p w14:paraId="24344C8B" w14:textId="77777777" w:rsidR="009D7677" w:rsidRDefault="009D7677" w:rsidP="009D7677">
      <w:pPr>
        <w:pStyle w:val="TextoNormal"/>
      </w:pPr>
      <w:r>
        <w:t>En el pie de la resolución se advertía que el acuerdo era firme en vía administrativa y que:</w:t>
      </w:r>
    </w:p>
    <w:p w14:paraId="2EB54C33" w14:textId="77777777" w:rsidR="009D7677" w:rsidRDefault="009D7677" w:rsidP="009D7677">
      <w:pPr>
        <w:pStyle w:val="TextoNormal"/>
      </w:pPr>
    </w:p>
    <w:p w14:paraId="4317FCE2" w14:textId="77777777" w:rsidR="009D7677" w:rsidRDefault="009D7677" w:rsidP="009D7677">
      <w:pPr>
        <w:pStyle w:val="TextoNormal"/>
      </w:pPr>
      <w:r>
        <w:t>“Contra el mismo cabe la interposición de recurso contencioso-administrativo ante la Sala Tercera del Tribunal Supremo en el plazo de dos meses desde su notificación, conforme a lo dispuesto en el artículo 12.3 a) de la Ley de la jurisdicción contencioso-administrativa”.</w:t>
      </w:r>
    </w:p>
    <w:p w14:paraId="50C9EB02" w14:textId="77777777" w:rsidR="009D7677" w:rsidRDefault="009D7677" w:rsidP="009D7677">
      <w:pPr>
        <w:pStyle w:val="TextoNormal"/>
      </w:pPr>
    </w:p>
    <w:p w14:paraId="0BE7D7C2" w14:textId="77777777" w:rsidR="009D7677" w:rsidRDefault="009D7677" w:rsidP="009D7677">
      <w:pPr>
        <w:pStyle w:val="TextoNormal"/>
      </w:pPr>
      <w:r>
        <w:t>e) El actor interpuso el recurso contencioso-administrativo del que fue instruido, formalizando una demanda en la que instó la nulidad de la decisión de excluirle como candidato alegando, en síntesis, que se había adoptado con excesiva premura y sin tener un conocimiento fehaciente de la sentencia de la Sala de lo Penal del Tribunal Supremo, ni del auto de 14 de octubre de 2019, y que carecía de fundamento al basarse en una pena de inhabilitación que estaba suspendida, de lo que se seguía la vulneración del derecho del actor a la ejecución de las resoluciones judiciales en sus propios términos (art. 24.1 CE), su derecho de sufragio pasivo en conexión con el derecho de sufragio activo, inherentes a un régimen democrático [art. 23.1 y 2 CE y art. 3 del Protocolo núm. 1 al Convenio europeo de derechos humanos (CEDH)], al tiempo que se le había privado de su derecho al recurso porque se le había notificado el meritado auto el 30 de octubre de 2019, cuando ya estaba vencido el plazo establecido en el art. 49 LOREG para la impugnación de la proclamación de candidatos (art. 24.1 CE en relación con el art. 23.2 CE). Añade que, en cualquier caso, la Junta Electoral Central podía haber restablecido los derechos del actor si hubiera tratado su petición como un recurso extraordinario de revisión de los arts. 125 y 126 de la Ley 39/2015, de 1 de octubre, del procedimiento administrativo común de las administraciones públicas (LPACAP), como una revisión de oficio del art. 106 LPACAP, o conforme al art. 109 LPACAP. Aduce también que aunque el acuerdo de la Junta Electoral Central pretende mantener la decisión de la Junta Electoral Provincial de Barcelona sacando a colación de manera novedosa la causa de inelegibilidad del art. 6.2 a) LOREG, lo cierto es que la está manteniendo en sus propios términos, referidos a la pena de inhabilitación, y que, en cualquier caso, la causa del art. 6.2 a) LOREG no puede desplegar efectos sin un acto previo que declare su eficacia como causa de incompatibilidad sobrevenida, exigencia que el recurrente extrae de la diferencia que se establece en STC 144/1999, de 22 de julio, entre la falta de capacidad para ser elegible del art. 6.1 LOREG y las causas de inelegibilidad del art. 6.2 LOREG. Alegaba finalmente que la sentencia de la Sala de lo Penal del Tribunal Supremo también había vulnerado varios derechos fundamentales del recurrente, lo que había sido denunciado en incidente de nulidad de actuaciones.</w:t>
      </w:r>
    </w:p>
    <w:p w14:paraId="1A026F6F" w14:textId="77777777" w:rsidR="009D7677" w:rsidRDefault="009D7677" w:rsidP="009D7677">
      <w:pPr>
        <w:pStyle w:val="TextoNormal"/>
      </w:pPr>
    </w:p>
    <w:p w14:paraId="42B4D6A0" w14:textId="77777777" w:rsidR="009D7677" w:rsidRDefault="009D7677" w:rsidP="009D7677">
      <w:pPr>
        <w:pStyle w:val="TextoNormal"/>
      </w:pPr>
      <w:r>
        <w:t>En sus escritos de contestación a la demanda y de alegaciones finales, la representación procesal de la Junta Electoral Central y el fiscal solicitaron la inadmisión del recurso con</w:t>
      </w:r>
      <w:r>
        <w:lastRenderedPageBreak/>
        <w:t>tencioso-administrativo en base al art. 28 de la Ley reguladora de la jurisdicción contencioso-administrativa (LJCA) por dirigirse contra un acto de la Junta Electoral Central que era mera confirmación de un acto previo de la Junta Electoral Provincial de Barcelona que había ganado firmeza porque no había sido recurrido en tiempo y forma, esto es, en el plazo de dos días previsto en el art. 49 LOREG para la impugnación de la proclamación de candidatos.</w:t>
      </w:r>
    </w:p>
    <w:p w14:paraId="7A012C5B" w14:textId="77777777" w:rsidR="009D7677" w:rsidRDefault="009D7677" w:rsidP="009D7677">
      <w:pPr>
        <w:pStyle w:val="TextoNormal"/>
      </w:pPr>
    </w:p>
    <w:p w14:paraId="56725C96" w14:textId="77777777" w:rsidR="009D7677" w:rsidRDefault="009D7677" w:rsidP="009D7677">
      <w:pPr>
        <w:pStyle w:val="TextoNormal"/>
      </w:pPr>
      <w:r>
        <w:t>La representación procesal del actor, en su escrito de alegaciones finales, al rebatir la aplicabilidad de esta causa de inadmisión, conecta la vulneración del derecho a la tutela judicial efectiva del art. 24.1 CE con el derecho a un recurso efectivo del art. 13 CEDH, argumentando que en el caso de que el tribunal la apreciase estaría desconociendo tal derecho, pues la razón por la que no impugnó el acto de proclamación de candidatos no fue su aquietamiento o conformidad con el mismo, sino el hecho de que no tuvo conocimiento de que la pena de inhabilitación absoluta, único fundamento, según había venido afirmando insistentemente en todos sus escritos, de su exclusión como candidato, había sido suspendida por el tribunal sentenciador hasta que recibió la notificación del auto que acordó dicha suspensión, el 30 de octubre de 2019, cuando el plazo del art. 49 LOREG ya estaba caducado. Sostiene que llegar a otra conclusión sería absurdo, porque el actor no podía interponer un recurso con fundamento en algo que desconocía.</w:t>
      </w:r>
    </w:p>
    <w:p w14:paraId="2B05A18C" w14:textId="77777777" w:rsidR="009D7677" w:rsidRDefault="009D7677" w:rsidP="009D7677">
      <w:pPr>
        <w:pStyle w:val="TextoNormal"/>
      </w:pPr>
    </w:p>
    <w:p w14:paraId="2813F6A3" w14:textId="77777777" w:rsidR="009D7677" w:rsidRDefault="009D7677" w:rsidP="009D7677">
      <w:pPr>
        <w:pStyle w:val="TextoNormal"/>
      </w:pPr>
      <w:r>
        <w:t>f) La Sección Cuarta de la Sala de lo Contencioso-Administrativo del Tribunal Supremo dictó la sentencia núm. 387/2021, de 18 de marzo, en el procedimiento ordinario núm. 401-2019, que desestimó el recurso interpuesto por el actor, con los siguientes fundamentos: (i) desecha la concurrencia de la causa de inadmisibilidad del recurso esgrimida por los codemandados porque el objeto de impugnación era el acuerdo de la Junta Electoral Central, no el acuerdo anterior de la Junta Electoral Provincial de Barcelona, que había devenido firme; (ii) rechaza la aplicación supletoria de las normas del procedimiento administrativo común solicitada por el recurrente en materia de revisión de actos firmes, porque la supletoriedad prevista en el art. 120 LOREG no rige para los actos que tienen reconocida una vía de recurso en la propia LOREG, con cita de precedentes del Tribunal Supremo, que a su vez remiten a pronunciamientos de este tribunal, particularmente las SSTC 48/2000, de 24 de febrero, y 80/2002, de 8 de abril, en los que se enfatiza la necesidad de garantizar la seguridad jurídica en el procedimiento electoral y la esmerada diligencia que deben mostrar en la defensa de sus intereses los candidatos y formaciones políticas que intervienen en sus actos; (iii) constata que el acuerdo de la Junta Electoral Central aplicó el art. 6.2 a) LOREG, que reputa inelegibles a “los condenados por sentencia firme, a pena privativa de libertad, en el periodo que dure la pena”, causa cuya efectividad tiene lugar desde el comienzo de cumplimiento de la pena, lo que en este caso era notorio que se había producido, por lo que la suspensión del cumplimiento de la inhabilitación para cargo público pasaba a ser una cuestión secundaria; y (iv) niega que se hubieran dado circunstancias realmente extraordinarias que justificasen el inicio de un procedimiento de revisión del acuerdo.</w:t>
      </w:r>
    </w:p>
    <w:p w14:paraId="3CAD6FEF" w14:textId="77777777" w:rsidR="009D7677" w:rsidRDefault="009D7677" w:rsidP="009D7677">
      <w:pPr>
        <w:pStyle w:val="TextoNormal"/>
      </w:pPr>
    </w:p>
    <w:p w14:paraId="6F397390" w14:textId="77777777" w:rsidR="009D7677" w:rsidRDefault="009D7677" w:rsidP="009D7677">
      <w:pPr>
        <w:pStyle w:val="TextoNormal"/>
      </w:pPr>
      <w:r>
        <w:t>g) El demandante de amparo promovió incidente de nulidad de actuaciones en el que reprochaba a la sentencia del Tribunal Supremo haber incurrido en las siguientes vulneraciones de derechos fundamentales:</w:t>
      </w:r>
    </w:p>
    <w:p w14:paraId="20606EAB" w14:textId="77777777" w:rsidR="009D7677" w:rsidRDefault="009D7677" w:rsidP="009D7677">
      <w:pPr>
        <w:pStyle w:val="TextoNormal"/>
      </w:pPr>
    </w:p>
    <w:p w14:paraId="33BD286E" w14:textId="77777777" w:rsidR="009D7677" w:rsidRDefault="009D7677" w:rsidP="009D7677">
      <w:pPr>
        <w:pStyle w:val="TextoNormal"/>
      </w:pPr>
      <w:r>
        <w:lastRenderedPageBreak/>
        <w:t xml:space="preserve">(i) Vulneración del derecho a la tutela judicial efectiva (art. 24.1 CE) por incongruencia e infracción del principio de primacía del Derecho de la Unión Europea. Sostiene que la Sala de lo Contencioso-administrativo incurrió en incongruencia por </w:t>
      </w:r>
      <w:r w:rsidRPr="009D7677">
        <w:rPr>
          <w:i/>
        </w:rPr>
        <w:t>extra petita</w:t>
      </w:r>
      <w:r>
        <w:t xml:space="preserve"> al manifestar que no era competente para pronunciarse sobre la nulidad de la sentencia penal de acuerdo con el art. 9.4 de la Ley Orgánica del Poder Judicial (LOPJ), cuestión que realmente no se había planteado en la </w:t>
      </w:r>
      <w:r w:rsidRPr="009D7677">
        <w:rPr>
          <w:i/>
        </w:rPr>
        <w:t>causa petendi</w:t>
      </w:r>
      <w:r>
        <w:t xml:space="preserve"> ni en el </w:t>
      </w:r>
      <w:r w:rsidRPr="009D7677">
        <w:rPr>
          <w:i/>
        </w:rPr>
        <w:t>petitum</w:t>
      </w:r>
      <w:r>
        <w:t xml:space="preserve"> del recurso, y sobre la que la Sala hace un pronunciamiento determinante del fallo, en el que de manera genérica se desestima </w:t>
      </w:r>
      <w:r w:rsidRPr="009D7677">
        <w:rPr>
          <w:i/>
        </w:rPr>
        <w:t>in totum</w:t>
      </w:r>
      <w:r>
        <w:t xml:space="preserve"> el recurso; a lo que añade, como alegación subsidiaria, que, aunque no se apreciase esta modalidad de incongruencia, la Sala de lo Contencioso-Administrativo vulneró en cualquier caso su derecho a la tutela judicial efectiva (art. 24.1 CE) pues siendo la sentencia penal, sobre cuya validez no se pronuncia, el fundamento último de las decisiones de las juntas electorales, y pudiendo haber incurrido la misma en infracción del Derecho de la Unión Europea por no haber respetado la inmunidad que el actor ostentaba como diputado del Parlamento Europeo en virtud del art. 9 del Protocolo de privilegios e inmunidades de la Unión Europea, debió haber evitado incurrir en una respuesta tan formalista como es la invocación del art. 9.4 LOPJ, y haber procedido a elevar cuestión prejudicial ante el Tribunal de Justicia de la Unión Europea para asegurar la primacía del Derecho de la Unión Europea y la máxima efectividad de los derechos fundamentales concernidos.</w:t>
      </w:r>
    </w:p>
    <w:p w14:paraId="6CF0F97B" w14:textId="77777777" w:rsidR="009D7677" w:rsidRDefault="009D7677" w:rsidP="009D7677">
      <w:pPr>
        <w:pStyle w:val="TextoNormal"/>
      </w:pPr>
    </w:p>
    <w:p w14:paraId="1DFF0B29" w14:textId="77777777" w:rsidR="009D7677" w:rsidRDefault="009D7677" w:rsidP="009D7677">
      <w:pPr>
        <w:pStyle w:val="TextoNormal"/>
      </w:pPr>
      <w:r>
        <w:t>(ii) Vulneración del derecho a un recurso efectivo en relación con el derecho al sufragio pasivo (arts. 24 y 23 CE, arts. 6 y 13 CEDH y art. 1 del Protocolo adicional núm. 1 al CEDH), debido a que la sentencia impugnada no tomó en consideración la circunstancia extraordinaria que justificaba al revisión del acto: que el actor desconocía el error jurídico en que incurrió el acuerdo de la Junta Electoral Provincial de Barcelona, que se basaba en una pena de inhabilitación que había sido suspendida por el propio tribunal sentenciador, desconocimiento que le impidió impugnar tempestivamente el acuerdo de la Junta Electoral Provincial de Barcelona que le excluía de la lista de candidatos y que era achacable a la actuación de los poderes públicos, no a su falta de diligencia personal.</w:t>
      </w:r>
    </w:p>
    <w:p w14:paraId="4E9AF88E" w14:textId="77777777" w:rsidR="009D7677" w:rsidRDefault="009D7677" w:rsidP="009D7677">
      <w:pPr>
        <w:pStyle w:val="TextoNormal"/>
      </w:pPr>
    </w:p>
    <w:p w14:paraId="285060C7" w14:textId="77777777" w:rsidR="009D7677" w:rsidRDefault="009D7677" w:rsidP="009D7677">
      <w:pPr>
        <w:pStyle w:val="TextoNormal"/>
      </w:pPr>
      <w:r>
        <w:t xml:space="preserve">(iii) Vulneración del derecho a la tutela judicial efectiva del art. 24.1 CE en relación con ambos apartados del art. 23 CE y art. 3 del Protocolo adicional núm. 1 al CEDH, porque la sentencia aplica </w:t>
      </w:r>
      <w:r w:rsidRPr="009D7677">
        <w:rPr>
          <w:i/>
        </w:rPr>
        <w:t>ex novo</w:t>
      </w:r>
      <w:r>
        <w:t xml:space="preserve"> la causa de inelegibilidad del art. 6.2 a) LOREG, al igual que la Junta Electoral Central, que también la invoca, cuando lo que procedía era la anulación del acuerdo del Junta Electoral Provincial de Barcelona, que no se basaba en esa causa, sino en una pena de inhabilitación que estaba suspendida por el tribunal sentenciador.</w:t>
      </w:r>
    </w:p>
    <w:p w14:paraId="6A752449" w14:textId="77777777" w:rsidR="009D7677" w:rsidRDefault="009D7677" w:rsidP="009D7677">
      <w:pPr>
        <w:pStyle w:val="TextoNormal"/>
      </w:pPr>
    </w:p>
    <w:p w14:paraId="6BC2805F" w14:textId="77777777" w:rsidR="009D7677" w:rsidRDefault="009D7677" w:rsidP="009D7677">
      <w:pPr>
        <w:pStyle w:val="TextoNormal"/>
      </w:pPr>
      <w:r>
        <w:t>(iv) Vulneración del derecho a la tutela judicial efectiva en su vertiente de derecho a la ejecución de las resoluciones judiciales en sus propios términos (art. 24.1 CE) porque el acuerdo de la Junta Electoral Central no revocó el acuerdo de la Junta Electoral Provincial de Barcelona que se basaba en una pena de inhabilitación que estaba suspendida por el tribunal sentenciador.</w:t>
      </w:r>
    </w:p>
    <w:p w14:paraId="31C71A44" w14:textId="77777777" w:rsidR="009D7677" w:rsidRDefault="009D7677" w:rsidP="009D7677">
      <w:pPr>
        <w:pStyle w:val="TextoNormal"/>
      </w:pPr>
    </w:p>
    <w:p w14:paraId="37D2FF8C" w14:textId="77777777" w:rsidR="009D7677" w:rsidRDefault="009D7677" w:rsidP="009D7677">
      <w:pPr>
        <w:pStyle w:val="TextoNormal"/>
      </w:pPr>
      <w:r>
        <w:t>h) La Sección Cuarta de la Sala de lo Contencioso-Administrativo del Tribunal Supremo inadmitió el incidente de nulidad de actuaciones por providencia de 27 de abril de 2021 en la que, tras declarar que el incidente debía ser inadmitido porque lo que pretendía era un reexamen de los argumentos de la sentencia, da la siguiente respuesta a sus alegatos:</w:t>
      </w:r>
    </w:p>
    <w:p w14:paraId="58B155DF" w14:textId="77777777" w:rsidR="009D7677" w:rsidRDefault="009D7677" w:rsidP="009D7677">
      <w:pPr>
        <w:pStyle w:val="TextoNormal"/>
      </w:pPr>
    </w:p>
    <w:p w14:paraId="06C0FCE2" w14:textId="77777777" w:rsidR="009D7677" w:rsidRDefault="009D7677" w:rsidP="009D7677">
      <w:pPr>
        <w:pStyle w:val="TextoNormal"/>
      </w:pPr>
      <w:r>
        <w:t xml:space="preserve">(i) La Sala no incurrió en incongruencia </w:t>
      </w:r>
      <w:r w:rsidRPr="009D7677">
        <w:rPr>
          <w:i/>
        </w:rPr>
        <w:t>extra petita</w:t>
      </w:r>
      <w:r>
        <w:t xml:space="preserve"> al declarar su incompetencia para pronunciarse sobre la alegada nulidad de la sentencia de 14 de octubre de 2019 de la Sala Segunda del Tribunal Supremo, ni manifestó duda alguna.</w:t>
      </w:r>
    </w:p>
    <w:p w14:paraId="2F1A3477" w14:textId="77777777" w:rsidR="009D7677" w:rsidRDefault="009D7677" w:rsidP="009D7677">
      <w:pPr>
        <w:pStyle w:val="TextoNormal"/>
      </w:pPr>
    </w:p>
    <w:p w14:paraId="43B6C336" w14:textId="77777777" w:rsidR="009D7677" w:rsidRDefault="009D7677" w:rsidP="009D7677">
      <w:pPr>
        <w:pStyle w:val="TextoNormal"/>
      </w:pPr>
      <w:r>
        <w:t>(ii) No se ha vulnerado el derecho a un recurso efectivo en relación con el derecho de sufragio pasivo por el hecho de que no fuesen aceptados los argumentos del recurrente al oponerse al acuerdo de la Junta Electoral Central, la tutela judicial efectiva se satisface mediante el examen de la pretensión.</w:t>
      </w:r>
    </w:p>
    <w:p w14:paraId="209A5D56" w14:textId="77777777" w:rsidR="009D7677" w:rsidRDefault="009D7677" w:rsidP="009D7677">
      <w:pPr>
        <w:pStyle w:val="TextoNormal"/>
      </w:pPr>
    </w:p>
    <w:p w14:paraId="29FD92F8" w14:textId="77777777" w:rsidR="009D7677" w:rsidRDefault="009D7677" w:rsidP="009D7677">
      <w:pPr>
        <w:pStyle w:val="TextoNormal"/>
      </w:pPr>
      <w:r>
        <w:t>(iii) La Sala no ha incurrido en arbitrariedad por aplicar la causa de inelegibilidad del art. 6.2 a) LOREG porque dicho precepto es el fundamento del acuerdo de la Junta Electoral Central, sin que deba tomarse en consideración el previo acuerdo de la Junta Electoral Provincial de Barcelona, que devino firme.</w:t>
      </w:r>
    </w:p>
    <w:p w14:paraId="0347E028" w14:textId="77777777" w:rsidR="009D7677" w:rsidRDefault="009D7677" w:rsidP="009D7677">
      <w:pPr>
        <w:pStyle w:val="TextoNormal"/>
      </w:pPr>
    </w:p>
    <w:p w14:paraId="12057966" w14:textId="77777777" w:rsidR="009D7677" w:rsidRDefault="009D7677" w:rsidP="009D7677">
      <w:pPr>
        <w:pStyle w:val="TextoNormal"/>
      </w:pPr>
      <w:r>
        <w:t>(iv) No se ha vulnerado el derecho a la tutela judicial efectiva por no haberse revocado la decisión de la Junta Electoral Provincial de Barcelona, que había devenido firme por ausencia de impugnación en tiempo y forma.</w:t>
      </w:r>
    </w:p>
    <w:p w14:paraId="12FE83F6" w14:textId="77777777" w:rsidR="009D7677" w:rsidRDefault="009D7677" w:rsidP="009D7677">
      <w:pPr>
        <w:pStyle w:val="TextoNormal"/>
      </w:pPr>
    </w:p>
    <w:p w14:paraId="6CD7D70F" w14:textId="49192FEF" w:rsidR="009D7677" w:rsidRDefault="009D7677" w:rsidP="009D7677">
      <w:pPr>
        <w:pStyle w:val="TextoNormal"/>
      </w:pPr>
      <w:r>
        <w:t>La providencia fue notificada a la representación procesal del actor el día 4 de mayo de 2021 (siguiente día hábil a la comunicación recibida vía LexNet por su procurador, el 30 de abril de 2021).</w:t>
      </w:r>
    </w:p>
    <w:p w14:paraId="44DBF9A9" w14:textId="77777777" w:rsidR="009D7677" w:rsidRDefault="009D7677" w:rsidP="009D7677">
      <w:pPr>
        <w:pStyle w:val="TextoNormal"/>
      </w:pPr>
    </w:p>
    <w:p w14:paraId="4AE90DE5" w14:textId="77777777" w:rsidR="009D7677" w:rsidRDefault="009D7677" w:rsidP="009D7677">
      <w:pPr>
        <w:pStyle w:val="TextoNormal"/>
      </w:pPr>
      <w:r w:rsidRPr="009D7677">
        <w:rPr>
          <w:rStyle w:val="NumeroAFNegritaCaracter"/>
        </w:rPr>
        <w:t>3</w:t>
      </w:r>
      <w:r>
        <w:t>. La demanda de amparo se dirige contra la sentencia núm. 387/2021, de 18 de marzo, de la Sección Cuarta de la Sala de lo Contencioso-Administrativo del Tribunal Supremo, y contra la providencia de 27 de abril de 2021, que inadmitió el incidente de nulidad de actuaciones promovido contra la anterior, resoluciones cuya nulidad impetra aduciendo los siguientes fundamentos impugnatorios:</w:t>
      </w:r>
    </w:p>
    <w:p w14:paraId="0E5A9641" w14:textId="77777777" w:rsidR="009D7677" w:rsidRDefault="009D7677" w:rsidP="009D7677">
      <w:pPr>
        <w:pStyle w:val="TextoNormal"/>
      </w:pPr>
    </w:p>
    <w:p w14:paraId="3DC2D5DF" w14:textId="77777777" w:rsidR="009D7677" w:rsidRDefault="009D7677" w:rsidP="009D7677">
      <w:pPr>
        <w:pStyle w:val="TextoNormal"/>
      </w:pPr>
      <w:r>
        <w:t>a) Vulneración del derecho a un recurso efectivo, en relación con el derecho al sufragio pasivo (arts. 23 y 24 CE, 6 y 13 CEDH y 3 del Protocolo adicional al CEDH).</w:t>
      </w:r>
    </w:p>
    <w:p w14:paraId="19234FCF" w14:textId="77777777" w:rsidR="009D7677" w:rsidRDefault="009D7677" w:rsidP="009D7677">
      <w:pPr>
        <w:pStyle w:val="TextoNormal"/>
      </w:pPr>
    </w:p>
    <w:p w14:paraId="64548F92" w14:textId="77777777" w:rsidR="009D7677" w:rsidRDefault="009D7677" w:rsidP="009D7677">
      <w:pPr>
        <w:pStyle w:val="TextoNormal"/>
      </w:pPr>
      <w:r>
        <w:t>Alega, en síntesis, que la sentencia de la Sala de lo Contencioso-Administrativo del Tribunal Supremo le negó el acceso a un recurso efectivo para oponerse a la decisión de la Junta Electoral Provincial de Barcelona, que la Junta Electoral Central se negó a revisar, de excluir su candidatura a las elecciones generales de 10 de noviembre de 2019, con el único fundamento de su condena a una pena de inhabilitación, porque se trataba de una pena que, en realidad, no podía desplegar tales efectos al haber sido suspendida por auto dictado por la Sala de lo Penal del Tribunal Supremo el 14 de octubre de 2019, mismo día en que pronunció su sentencia, dándose la circunstancia de que el auto no le fue notificado al actor hasta el día 30 de octubre de 2019, por lo que tuvo conocimiento del fundamento erróneo de la exclusión de su candidatura cuando ya había finalizado el plazo de dos días establecido en el art. 49 LOREG para impugnar los actos de proclamación de candidatos.</w:t>
      </w:r>
    </w:p>
    <w:p w14:paraId="03680207" w14:textId="77777777" w:rsidR="009D7677" w:rsidRDefault="009D7677" w:rsidP="009D7677">
      <w:pPr>
        <w:pStyle w:val="TextoNormal"/>
      </w:pPr>
    </w:p>
    <w:p w14:paraId="6AAA48BA" w14:textId="77777777" w:rsidR="009D7677" w:rsidRDefault="009D7677" w:rsidP="009D7677">
      <w:pPr>
        <w:pStyle w:val="TextoNormal"/>
      </w:pPr>
      <w:r>
        <w:t xml:space="preserve">Argumenta asimismo: (i) que para que la causa de inelegibilidad surtiera efectos como causa de incompatibilidad, en los términos del art. 6, apartados 2 y 4 de la Ley Orgánica del régimen electoral general, era necesario, conforme a la doctrina fijada en la STC 144/1999, que dicha causa fuera declarada formalmente, lo que no ocurrió en este caso; </w:t>
      </w:r>
      <w:r>
        <w:lastRenderedPageBreak/>
        <w:t>(ii) que la Junta Electoral Provincial de Barcelona y la Junta Electoral Central tomaron su decisión sin haber tenido conocimiento fehaciente de las resoluciones judiciales en las que la fundan, siguiendo un “procedimiento de exclusión express” arbitrario y desproporcionado, en tanto que no existía una necesidad imperiosa de aplicar la causa de incompatibilidad sobrevenida el mismo día en que se dictó la sentencia condenatoria; (iii) que la providencia de inadmisión del incidente de nulidad de actuaciones verificó una interpretación errónea de la doctrina de las “circunstancias especiales” que deben permitir la revisión de las decisiones electorales conforme a la STC 44/1983, de 25 de mayo (por STC 45/1983, de 25 de mayo), pues el actor dirigió su solicitud a la Junta Electoral Central, antes de la jornada electoral convocada para el día 10 de noviembre de 2019, y su estimación no hubiera afectado a la seguridad jurídica pues no hubiera alterado los resultados electorales ni a la composición de la Cámara.</w:t>
      </w:r>
    </w:p>
    <w:p w14:paraId="3429BFF4" w14:textId="77777777" w:rsidR="009D7677" w:rsidRDefault="009D7677" w:rsidP="009D7677">
      <w:pPr>
        <w:pStyle w:val="TextoNormal"/>
      </w:pPr>
    </w:p>
    <w:p w14:paraId="0745B35B" w14:textId="77777777" w:rsidR="009D7677" w:rsidRDefault="009D7677" w:rsidP="009D7677">
      <w:pPr>
        <w:pStyle w:val="TextoNormal"/>
      </w:pPr>
      <w:r>
        <w:t xml:space="preserve">b) Vulneración del derecho a la tutela judicial efectiva en relación con el derecho de sufragio pasivo (art. 24.1 CE en relación con el art. 23.1 y 2 CE y art. 3 del Protocolo adicional núm. 1 al CEDH) porque la sentencia de la Sala de lo Contencioso-Administrativo del Tribunal Supremo ha aplicado </w:t>
      </w:r>
      <w:r w:rsidRPr="009D7677">
        <w:rPr>
          <w:i/>
        </w:rPr>
        <w:t>ex novo</w:t>
      </w:r>
      <w:r>
        <w:t xml:space="preserve"> la causa de inelegibilidad del art. 6.2 a) LOREG para sostener que la Junta Electoral Central no debía revocar la decisión de la Junta Electoral Provincial de Barcelona, y asimismo porque ha entendido que dicha causa opera automáticamente sin necesidad de que sea previamente declarada, infringiendo así la doctrina de la STC 144/1999.</w:t>
      </w:r>
    </w:p>
    <w:p w14:paraId="15FACF90" w14:textId="77777777" w:rsidR="009D7677" w:rsidRDefault="009D7677" w:rsidP="009D7677">
      <w:pPr>
        <w:pStyle w:val="TextoNormal"/>
      </w:pPr>
    </w:p>
    <w:p w14:paraId="27D78E46" w14:textId="77777777" w:rsidR="009D7677" w:rsidRDefault="009D7677" w:rsidP="009D7677">
      <w:pPr>
        <w:pStyle w:val="TextoNormal"/>
      </w:pPr>
      <w:r>
        <w:t xml:space="preserve">Alega que la decisión de la Junta Electoral Provincial de Barcelona de excluir la candidatura del actor tenía como único y exclusivo fundamento la pena de inhabilitación, y que la pena privativa de libertad como causa de inelegibilidad la introduce </w:t>
      </w:r>
      <w:r w:rsidRPr="009D7677">
        <w:rPr>
          <w:i/>
        </w:rPr>
        <w:t>ex novo</w:t>
      </w:r>
      <w:r>
        <w:t xml:space="preserve"> la Junta Electoral Central, sin haber rectificado ni anulado la decisión de aquella, por lo que en realidad la confirmó, pues si la Junta Electoral Central hubiera considerado que la causa de inelegibilidad que debía aplicarse era la del art. 6.2 a) LOREG debería haber procedido a la anulación del acto de la Junta Electoral Provincial de Barcelona; afirma que el mismo defecto puede predicarse de la sentencia del Tribunal Supremo y de la providencia de inadmisión del incidente de nulidad. Sostiene que las causas de inelegibilidad del art. 6.2 LOREG, a diferencia de la falta de capacidad para ser elegible del art. 6.1 LOREG, funcionan como causas de incompatibilidad, de modo que no surten efectos hasta que son declaradas como tales, según se sigue de la doctrina de la STC 144/1999. De este modo, el actor fue excluido arbitrariamente de la proclamación de la candidatura porque al no haberse declarado la incompatibilidad derivada de la inelegibilidad conservaba su derecho al sufragio pasivo (art. 23.2 CE) en su plenitud.</w:t>
      </w:r>
    </w:p>
    <w:p w14:paraId="42C7B8D5" w14:textId="77777777" w:rsidR="009D7677" w:rsidRDefault="009D7677" w:rsidP="009D7677">
      <w:pPr>
        <w:pStyle w:val="TextoNormal"/>
      </w:pPr>
    </w:p>
    <w:p w14:paraId="1746FA7C" w14:textId="77777777" w:rsidR="009D7677" w:rsidRDefault="009D7677" w:rsidP="009D7677">
      <w:pPr>
        <w:pStyle w:val="TextoNormal"/>
      </w:pPr>
      <w:r>
        <w:t>c) Vulneración del derecho a la tutela judicial efectiva en su vertiente de derecho a la ejecución de las resoluciones judiciales en sus propios términos (art. 24.1 CE) porque al ser fundamento de la decisión de apartar al actor de la lista de candidatos al Congreso de los Diputados una pena de inhabilitación suspendida por resolución judicial de la Sala de lo Penal del Tribunal Supremo, no se ha llevado a cabo lo resuelto por dicha sala. Achaca esta vulneración al hecho de no haberse revocado o revisado la decisión de la Junta Electoral Provincial de Barcelona.</w:t>
      </w:r>
    </w:p>
    <w:p w14:paraId="4FD5FD31" w14:textId="77777777" w:rsidR="009D7677" w:rsidRDefault="009D7677" w:rsidP="009D7677">
      <w:pPr>
        <w:pStyle w:val="TextoNormal"/>
      </w:pPr>
    </w:p>
    <w:p w14:paraId="5FC099E4" w14:textId="61063ACC" w:rsidR="009D7677" w:rsidRDefault="009D7677" w:rsidP="009D7677">
      <w:pPr>
        <w:pStyle w:val="TextoNormal"/>
      </w:pPr>
      <w:r>
        <w:t>En el suplico de la demanda de amparo se solicita la nulidad de las resoluciones judiciales impugnadas y que se restablezca al recurrente en la integridad de sus derechos me</w:t>
      </w:r>
      <w:r>
        <w:lastRenderedPageBreak/>
        <w:t>diante una indemnización por daños correspondiente al importe de las retribuciones que dejó de percibir por el cargo representativo hasta la fecha de la sentencia.</w:t>
      </w:r>
    </w:p>
    <w:p w14:paraId="7A99CD69" w14:textId="77777777" w:rsidR="009D7677" w:rsidRDefault="009D7677" w:rsidP="009D7677">
      <w:pPr>
        <w:pStyle w:val="TextoNormal"/>
      </w:pPr>
    </w:p>
    <w:p w14:paraId="27C3FB0E" w14:textId="77777777" w:rsidR="009D7677" w:rsidRDefault="009D7677" w:rsidP="009D7677">
      <w:pPr>
        <w:pStyle w:val="TextoNormal"/>
      </w:pPr>
      <w:r w:rsidRPr="009D7677">
        <w:rPr>
          <w:rStyle w:val="NumeroAFNegritaCaracter"/>
        </w:rPr>
        <w:t>4</w:t>
      </w:r>
      <w:r>
        <w:t>. La Sección Tercera de este tribunal dictó providencia el 28 de noviembre de 2022 por la que acordó admitir a trámite el recurso de amparo, apreciando que concurre en el mismo una especial trascendencia constitucional [art. 50.1 de la Ley Orgánica del Tribunal Constitucional (LOTC)] porque el asunto suscitado trasciende del caso concreto porque pudiera tener unas consecuencias políticas generales [STC 155/2009, de 25 de junio, FJ 2 g)].</w:t>
      </w:r>
    </w:p>
    <w:p w14:paraId="50C2CBEE" w14:textId="77777777" w:rsidR="009D7677" w:rsidRDefault="009D7677" w:rsidP="009D7677">
      <w:pPr>
        <w:pStyle w:val="TextoNormal"/>
      </w:pPr>
    </w:p>
    <w:p w14:paraId="77518E52" w14:textId="3332E4C5" w:rsidR="009D7677" w:rsidRDefault="009D7677" w:rsidP="009D7677">
      <w:pPr>
        <w:pStyle w:val="TextoNormal"/>
      </w:pPr>
      <w:r>
        <w:t>En la misma resolución se acordaba, en aplicación de lo dispuesto en el art. 51 LOTC, dirigir atenta comunicación a la Sección Cuarta de la Sala de lo Contencioso-Administrativo del Tribunal Supremo a fin de que, en plazo que no exceda de diez días, remitiera certificación o fotocopia adverada de las actuaciones correspondientes al núm. 2-401-2019, debiendo previamente emplazarse a quienes hubieran sido parte en el procedimiento para que, en plazo que no exceda de diez días, pudieran comparecer en el recurso de amparo, si lo desearan, excepto la parte recurrente en amparo.</w:t>
      </w:r>
    </w:p>
    <w:p w14:paraId="229988D6" w14:textId="77777777" w:rsidR="009D7677" w:rsidRDefault="009D7677" w:rsidP="009D7677">
      <w:pPr>
        <w:pStyle w:val="TextoNormal"/>
      </w:pPr>
    </w:p>
    <w:p w14:paraId="20BA9345" w14:textId="7E119B5E" w:rsidR="009D7677" w:rsidRDefault="009D7677" w:rsidP="009D7677">
      <w:pPr>
        <w:pStyle w:val="TextoNormal"/>
      </w:pPr>
      <w:r w:rsidRPr="009D7677">
        <w:rPr>
          <w:rStyle w:val="NumeroAFNegritaCaracter"/>
        </w:rPr>
        <w:t>5</w:t>
      </w:r>
      <w:r>
        <w:t>. Por escrito presentado el 16 de diciembre de 2022, don Manuel Delgado-Iribarren García-Campero, letrado de las Cortes Generales, actuando en nombre de la Junta Electoral Central, manifestó que, en ejecución del acuerdo adoptado por esta el 15 de diciembre de 2022, comparecía en su representación en el presente recurso de amparo.</w:t>
      </w:r>
    </w:p>
    <w:p w14:paraId="1ABEB0B4" w14:textId="77777777" w:rsidR="009D7677" w:rsidRDefault="009D7677" w:rsidP="009D7677">
      <w:pPr>
        <w:pStyle w:val="TextoNormal"/>
      </w:pPr>
    </w:p>
    <w:p w14:paraId="7357A75C" w14:textId="4DD8842D" w:rsidR="009D7677" w:rsidRDefault="009D7677" w:rsidP="009D7677">
      <w:pPr>
        <w:pStyle w:val="TextoNormal"/>
      </w:pPr>
      <w:r w:rsidRPr="009D7677">
        <w:rPr>
          <w:rStyle w:val="NumeroAFNegritaCaracter"/>
        </w:rPr>
        <w:t>6</w:t>
      </w:r>
      <w:r>
        <w:t>. El 20 de enero de 2023 se recibió en este tribunal, procedente de la Sección Cuarta de la Sala de lo Contencioso-Administrativo del Tribunal Supremo, testimonio de las actuaciones correspondientes al procedimiento ordinario núm. 401-2019, así como del emplazamiento del Ministerio Fiscal y de la Junta Electoral Central.</w:t>
      </w:r>
    </w:p>
    <w:p w14:paraId="5185D8F5" w14:textId="77777777" w:rsidR="009D7677" w:rsidRDefault="009D7677" w:rsidP="009D7677">
      <w:pPr>
        <w:pStyle w:val="TextoNormal"/>
      </w:pPr>
    </w:p>
    <w:p w14:paraId="53D4E45A" w14:textId="6E1DC1A8" w:rsidR="009D7677" w:rsidRDefault="009D7677" w:rsidP="009D7677">
      <w:pPr>
        <w:pStyle w:val="TextoNormal"/>
      </w:pPr>
      <w:r w:rsidRPr="009D7677">
        <w:rPr>
          <w:rStyle w:val="NumeroAFNegritaCaracter"/>
        </w:rPr>
        <w:t>7</w:t>
      </w:r>
      <w:r>
        <w:t>. Por diligencia de ordenación de 26 de enero de 2023 de la Secretaría de Justicia de la Sala Segunda de este tribunal, se puso en conocimiento del Ministerio Fiscal y de las partes que el presente recurso de amparo había sido turnado a la Sección Primera de la Sala Primera de este tribunal, se tuvo por recibido el testimonio de las actuaciones remitido por el Tribunal Supremo, así como el escrito del letrado de las Cortes Generales, a quien se tuvo por personado y parte en nombre y representación de la Junta Electoral Central, y se acordó, a tenor de lo dispuesto en el art. 52 LOTC, dar vista de las actuaciones del presente recurso de amparo, por un plazo común de veinte días, al Ministerio Fiscal y a las partes personadas para que dentro de dicho término pudieran presentar las alegaciones que a su derecho convenga.</w:t>
      </w:r>
    </w:p>
    <w:p w14:paraId="0C7EE883" w14:textId="77777777" w:rsidR="009D7677" w:rsidRDefault="009D7677" w:rsidP="009D7677">
      <w:pPr>
        <w:pStyle w:val="TextoNormal"/>
      </w:pPr>
    </w:p>
    <w:p w14:paraId="34FC0AB9" w14:textId="77777777" w:rsidR="009D7677" w:rsidRDefault="009D7677" w:rsidP="009D7677">
      <w:pPr>
        <w:pStyle w:val="TextoNormal"/>
      </w:pPr>
      <w:r w:rsidRPr="009D7677">
        <w:rPr>
          <w:rStyle w:val="NumeroAFNegritaCaracter"/>
        </w:rPr>
        <w:t>8</w:t>
      </w:r>
      <w:r>
        <w:t>. El 22 de febrero de 2023, el letrado de las Cortes Generales, en representación de la Junta Electoral Central, presentó escrito de alegaciones en el que solicitó la desestimación del recurso de amparo por su falta de fundamento.</w:t>
      </w:r>
    </w:p>
    <w:p w14:paraId="1E350974" w14:textId="77777777" w:rsidR="009D7677" w:rsidRDefault="009D7677" w:rsidP="009D7677">
      <w:pPr>
        <w:pStyle w:val="TextoNormal"/>
      </w:pPr>
    </w:p>
    <w:p w14:paraId="32B67C5B" w14:textId="77777777" w:rsidR="009D7677" w:rsidRDefault="009D7677" w:rsidP="009D7677">
      <w:pPr>
        <w:pStyle w:val="TextoNormal"/>
      </w:pPr>
      <w:r>
        <w:t xml:space="preserve">Aduce que la decisión de la Junta Electoral Provincial de Barcelona de excluir la candidatura del demandante de amparo ganó firmeza porque ni este ni la formación política a la que pertenece interpusieron el recurso jurisdiccional en materia de candidaturas en el plazo de dos días establecido en el art. 49 LOREG, y que por tal razón esta decisión ya no </w:t>
      </w:r>
      <w:r>
        <w:lastRenderedPageBreak/>
        <w:t>era impugnable ante la Junta Electoral Central en virtud del art. 21.1 LOREG, que no admite el recurso de alzada administrativo-electoral cuando la ley prevé un procedimiento específico de revisión judicial. Afirma asimismo que tampoco concurría en el caso ninguna circunstancia extraordinaria que hiciera admisible la revisión de tal decisión en los términos de la STC 80/2002. Subraya que todo el recurso de amparo se construye en torno al argumento de que la denegación de la candidatura se hizo en ejecución de la pena de inhabilitación absoluta, lo que no se corresponde con la realidad, pues la pena que dio lugar a la misma fue la de trece años de prisión, siendo un hecho notorio que el 14 de octubre de 2019 el actor estaba cumpliendo la pena de prisión en virtud de una sentencia firme. Prosigue diciendo que no son aplicables a este caso las reclamaciones y recursos establecidos en la legislación administrativa general, como la solicitud de revisión de oficio o el recurso extraordinario de revisión, en virtud del art. 120 LOREG que dice que “[e]n todo lo no expresamente regulado por esta ley en materia de procedimiento será de aplicación la Ley de procedimiento administrativo”, pues para la denegación de la candidatura la legislación electoral prevé el procedimiento específico de impugnación judicial ya referido. En definitiva, la decisión de la Junta Electoral Provincial de Barcelona se ajustó a la legalidad, porque aplicó el art. 6.2 a) LOREG que señala que son inelegibles “[l]os condenados por sentencia firme, a pena privativa de libertad, en el período que dure la pena”, pues es la pena privativa de libertad impuesta en sentencia firme la que produce la inelegibilidad del candidato, estando obligada la Junta Electoral Provincial de Barcelona a aplicar dicha causa de inelegibilidad aunque la Sala de lo Penal del Tribunal Supremo hubiera suspendido la ejecución de la pena de inhabilitación absoluta, como así se lo indicó la Junta Electoral Central al resolver la consulta que le elevó.</w:t>
      </w:r>
    </w:p>
    <w:p w14:paraId="70A7F59F" w14:textId="77777777" w:rsidR="009D7677" w:rsidRDefault="009D7677" w:rsidP="009D7677">
      <w:pPr>
        <w:pStyle w:val="TextoNormal"/>
      </w:pPr>
    </w:p>
    <w:p w14:paraId="5D71EEAA" w14:textId="283500E1" w:rsidR="009D7677" w:rsidRDefault="009D7677" w:rsidP="009D7677">
      <w:pPr>
        <w:pStyle w:val="TextoNormal"/>
      </w:pPr>
      <w:r>
        <w:t xml:space="preserve">Concluye afirmando que no se ha producido ninguna de las vulneraciones de derechos fundamentales invocadas en la demanda: no se vulneró el derecho a un recurso efectivo, porque lo que hubo fue inactividad del recurrente y de su formación política; no se aplicó </w:t>
      </w:r>
      <w:r w:rsidRPr="009D7677">
        <w:rPr>
          <w:i/>
        </w:rPr>
        <w:t>ex novo</w:t>
      </w:r>
      <w:r>
        <w:t xml:space="preserve"> la causa de inelegibilidad del art. 6.2 a) LOREG, porque fue la Junta Electoral Provincial de Barcelona quien la aplicó en su propio acuerdo; no se incumplió la doctrina de la STC 144/2009, sobre distinción entre causas de inelegibilidad y de incompatibilidad, porque no se trataba de ninguna causa de incompatibilidad, sino de la aplicación de la consecuencia electoral de una condena a privación de libertad, y no hubo ejecución de la pena de inhabilitación absoluta, porque lo que se produjo fue la aplicación del art. 6.2 a) LOREG en sus propios términos.</w:t>
      </w:r>
    </w:p>
    <w:p w14:paraId="13E39276" w14:textId="77777777" w:rsidR="009D7677" w:rsidRDefault="009D7677" w:rsidP="009D7677">
      <w:pPr>
        <w:pStyle w:val="TextoNormal"/>
      </w:pPr>
    </w:p>
    <w:p w14:paraId="090FD24B" w14:textId="77777777" w:rsidR="009D7677" w:rsidRDefault="009D7677" w:rsidP="009D7677">
      <w:pPr>
        <w:pStyle w:val="TextoNormal"/>
      </w:pPr>
      <w:r w:rsidRPr="009D7677">
        <w:rPr>
          <w:rStyle w:val="NumeroAFNegritaCaracter"/>
        </w:rPr>
        <w:t>9</w:t>
      </w:r>
      <w:r>
        <w:t>. El 14 de marzo de 2023, la fiscal ante el Tribunal Constitucional presentó escrito de alegaciones en el que solicitó, con carácter principal, la inadmisión del recurso de amparo por haber incurrido en extemporaneidad, de conformidad con lo establecido en el art. 50.1 a) LOTC en relación con el art. 43 LOTC, y de forma subsidiaria, su íntegra desestimación.</w:t>
      </w:r>
    </w:p>
    <w:p w14:paraId="78CE49F0" w14:textId="77777777" w:rsidR="009D7677" w:rsidRDefault="009D7677" w:rsidP="009D7677">
      <w:pPr>
        <w:pStyle w:val="TextoNormal"/>
      </w:pPr>
    </w:p>
    <w:p w14:paraId="798B2CFD" w14:textId="77777777" w:rsidR="009D7677" w:rsidRDefault="009D7677" w:rsidP="009D7677">
      <w:pPr>
        <w:pStyle w:val="TextoNormal"/>
      </w:pPr>
      <w:r>
        <w:t>Tras exponer sintéticamente los antecedentes del recurso de amparo y sus fundamentos, la fiscal inicia su examen con el análisis de lo que considera su genuina naturaleza, punto en el que señala que, a pesar de dirigirse contra las resoluciones judiciales dictadas por la Sección Cuarta de la Sala de lo Contencioso-Administrativo del Tribunal Supremo, y de interponerse al amparo del art. 44 LOTC, el núcleo de la impugnación radica en la vulneración del derecho fundamental de sufragio pasivo del recurrente (art. 23.2 CE) que atribuye de manera directa y primaria a la decisión de la Junta Electoral Central de 8 de no</w:t>
      </w:r>
      <w:r>
        <w:lastRenderedPageBreak/>
        <w:t>viembre de 2019 de no restituirle como candidato al Congreso de los Diputados para las elecciones de 10 de noviembre de 2019, que es la vulneración que hizo valer en el subsiguiente recurso contencioso-administrativo, junto con la vulneración del derecho a la tutela judicial efectiva, en la vertiente de derecho a la ejecución de las resoluciones judiciales (art. 24.1 CE) por no acatar la suspensión de la pena de inhabilitación acordada en el auto de 14 de octubre de 2019 de la Sala de lo Penal del Tribunal Supremo, por lo que no estaríamos ante un recurso mixto, sino ante un amparo del art. 43 LOTC sujeto al plazo de caducidad de veinte días, plazo que no se habría respetado, pues el recurso de amparo se interpuso el 14 de junio de 2021, cuando la providencia de inadmisión del incidente de nulidad de actuaciones le fue notificada al actor por LexNet el día 30 de abril de 2021.</w:t>
      </w:r>
    </w:p>
    <w:p w14:paraId="0BDD05FE" w14:textId="77777777" w:rsidR="009D7677" w:rsidRDefault="009D7677" w:rsidP="009D7677">
      <w:pPr>
        <w:pStyle w:val="TextoNormal"/>
      </w:pPr>
    </w:p>
    <w:p w14:paraId="746F3B2B" w14:textId="77777777" w:rsidR="009D7677" w:rsidRDefault="009D7677" w:rsidP="009D7677">
      <w:pPr>
        <w:pStyle w:val="TextoNormal"/>
      </w:pPr>
      <w:r>
        <w:t>Para el caso de no estimarse la concurrencia del óbice procesal de extemporaneidad, la fiscal examina y rebate cada uno de los motivos de amparo planteados en la demanda. En relación con el el primero de ellos, sobre vulneración del derecho a un recurso efectivo en conexión con el derecho de sufragio pasivo, la fiscal considera ajustado a derecho (art. 120 LOREG) y a la doctrina constitucional (STC 80/2002, de 8 de abril) el criterio seguido en la sentencia impugnada de desechar la aplicación supletoria de las normas del procedimiento administrativo común sobre revisión de actos firmes, dado que el art. 49 LOREG establece una vía específica de impugnación de la proclamación de candidatos ante los juzgados de lo contencioso-administrativo, en un plazo de dos días, con posibilidad ulterior de recurso de amparo ante el Tribunal Constitucional, que veda la aplicación de las normas comunes por no existir laguna legal que deba ser colmada. Destaca que la STC 80/2002 impone una diligencia especial a quienes concurren al proceso electoral en el cumplimiento de los trámites y plazos cuando se trata de revisar la proclamación de los resultados electorales, al tiempo que otorga un valor prevalente a la seguridad jurídica.</w:t>
      </w:r>
    </w:p>
    <w:p w14:paraId="608E0B80" w14:textId="77777777" w:rsidR="009D7677" w:rsidRDefault="009D7677" w:rsidP="009D7677">
      <w:pPr>
        <w:pStyle w:val="TextoNormal"/>
      </w:pPr>
    </w:p>
    <w:p w14:paraId="473DB5A2" w14:textId="77777777" w:rsidR="009D7677" w:rsidRDefault="009D7677" w:rsidP="009D7677">
      <w:pPr>
        <w:pStyle w:val="TextoNormal"/>
      </w:pPr>
      <w:r>
        <w:t>La fiscal rechaza que se haya producido la vulneración denunciada por estas razones: (i) el demandante de amparo y la coalición electoral ERC-S se aquietaron con la proclamación de candidatos efectuada por la Junta Electoral Provincial de Barcelona y publicada en el “BOE” de 15 de octubre de 2019, dado que no la recurrieron a través del recurso específico establecido en el art. 49 LOREG; (ii) no es cierto que el recurrente hubiera sufrido un impedimento para utilizar dicha vía de recurso, teniendo en cuenta que en el proceso penal cuestionaba en ese momento la posibilidad de ser condenado en virtud de la inmunidad que había adquirido tras haber sido elegido diputado del Parlamento Europeo, siendo la alegación de inmunidad la que había dado lugar a que la Sala de lo Penal del Tribunal Supremo elevara la cuestión prejudicial C-502/19, que sería resuelta en sentencia del Tribunal de Justicia de la Unión Europea de 19 de diciembre de 2019, y a que acordara en el auto de 14 de octubre de 2019 posponer la ejecución de la pena de inhabilitación que le había impuesto en sentencia; (iii) en el escrito presentado el 7 de noviembre de 2019 ante la Junta Electoral Central el propio actor reconocía que era posible impugnar eficazmente la exclusión de candidatos por la vía específica del art. 49 LOREG, porque en su escrito recordaba que la misma situación se había dado en las elecciones al Parlamento Europeo de mayo de 2019, cuando la Junta Electoral Central requirió a la coalición electoral Lliures per Europa la exclusión de algunos candidatos afectados por la causa penal del procés, y dicha coalición interpuso el recurso del art. 49 LOREG, que fue estimado por el juzgado de lo contencioso-administrativo, tras de lo cual la Junta Electoral Central, en cumplimiento de la resolución judicial, repuso a los candidatos que habían sido apartados y sustituidos; y (iv) el actor se aquietó con la decisión de la Junta Electoral Central tenien</w:t>
      </w:r>
      <w:r>
        <w:lastRenderedPageBreak/>
        <w:t>do conocimiento de que la misma no se fundaba únicamente en la pena de inhabilitación absoluta, sino también porque en la misma sentencia firme se le había impuesto una pena privativa de libertad, que estaba cumpliendo y que no le había sido suspendida, como se desprende de la respuesta que la Junta Electoral Central dio a la consulta elevada por la Junta Electoral Provincial de Barcelona el día 14 de octubre de 2019, de la que esta dio traslado a las candidaturas afectadas al requerirlas para que sustituyesen en el plazo de una hora a los candidatos que habían sido condenados en dicha causa penal.</w:t>
      </w:r>
    </w:p>
    <w:p w14:paraId="00F711D1" w14:textId="77777777" w:rsidR="009D7677" w:rsidRDefault="009D7677" w:rsidP="009D7677">
      <w:pPr>
        <w:pStyle w:val="TextoNormal"/>
      </w:pPr>
    </w:p>
    <w:p w14:paraId="2AF19E6E" w14:textId="77777777" w:rsidR="009D7677" w:rsidRDefault="009D7677" w:rsidP="009D7677">
      <w:pPr>
        <w:pStyle w:val="TextoNormal"/>
      </w:pPr>
      <w:r>
        <w:t xml:space="preserve">La fiscal rebate el motivo segundo de amparo, según el cual se vulneró el derecho a la tutela judicial efectiva del actor, en relación con el derecho al sufragio pasivo, por haberse aplicado </w:t>
      </w:r>
      <w:r w:rsidRPr="009D7677">
        <w:rPr>
          <w:i/>
        </w:rPr>
        <w:t>ex novo</w:t>
      </w:r>
      <w:r>
        <w:t xml:space="preserve"> la causa de inelegibilidad del art. 6.2 a) LOREG, tanto por la Junta Electoral Central como por la Sala de lo Contencioso-Administrativo del Tribunal Supremo, con el argumento de que el acuerdo de la Junta Electoral Central de 8 de noviembre de 2019, que rechazó la solicitud del actor de restituirle como candidato, no introdujo realmente una nueva causa de inelegibilidad, tal y como se desprendía de su anterior resolución de 14 de octubre de 2019, transmitida a la Junta Electoral Provincial de Barcelona y en la que esta fundó su acuerdo, que se refería claramente a la exclusión de los candidatos que hubieran sido condenados a pena privativa de libertad o de inhabilitación absoluta, por lo que el posterior conocimiento que tuvo el actor de que se había pospuesto la ejecución de la pena de inhabilitación careció de relevancia, pues la causa de inelegibilidad que se le aplicó era la del art. 6.2 a) LOREG, en virtud de la pena de prisión impuesta, no siendo cierto tampoco que no hubiera sido declarada formalmente dicha causa de inelegibilidad, pues su concurrencia se produjo desde el mismo momento en que se dictó la sentencia condenatoria el 14 de octubre de 2019, que era firme, conforme se declaró por auto de la misma sala y fecha, que acordó la ejecución de la pena de prisión y pospuso la ejecución de la pena de inhabilitación.</w:t>
      </w:r>
    </w:p>
    <w:p w14:paraId="4B0E962B" w14:textId="77777777" w:rsidR="009D7677" w:rsidRDefault="009D7677" w:rsidP="009D7677">
      <w:pPr>
        <w:pStyle w:val="TextoNormal"/>
      </w:pPr>
    </w:p>
    <w:p w14:paraId="7A0560C9" w14:textId="77777777" w:rsidR="009D7677" w:rsidRDefault="009D7677" w:rsidP="009D7677">
      <w:pPr>
        <w:pStyle w:val="TextoNormal"/>
      </w:pPr>
      <w:r>
        <w:t>La fiscal desecha, por último, que se haya producido la vulneración del derecho a la tutela judicial efectiva en su vertiente de derecho a la ejecución de las resoluciones judiciales en sus propios términos (art. 24.1 CE) porque, reitera, la decisión de la Junta Electoral Provincial de Barcelona de no proclamar la candidatura del recurrente no se fundó únicamente en la pena de inhabilitación, sino que se basó también en la pena privativa de libertad, cuya ejecución se acordó en el ya citado auto, por lo que la posposición de la ejecución de la pena de inhabilitación no privaba de legitimidad a su acuerdo.</w:t>
      </w:r>
    </w:p>
    <w:p w14:paraId="448C3563" w14:textId="77777777" w:rsidR="009D7677" w:rsidRDefault="009D7677" w:rsidP="009D7677">
      <w:pPr>
        <w:pStyle w:val="TextoNormal"/>
      </w:pPr>
    </w:p>
    <w:p w14:paraId="096E97E2" w14:textId="6D93A13A" w:rsidR="009D7677" w:rsidRDefault="009D7677" w:rsidP="009D7677">
      <w:pPr>
        <w:pStyle w:val="TextoNormal"/>
      </w:pPr>
      <w:r>
        <w:t xml:space="preserve">Concluye diciendo que, descartada la vulneración del derecho fundamental del recurrente al acceso al cargo público representativo del art. 23.2 CE, no cabía estimar la vulneración del correlativo derecho de los electores a participar en los asuntos públicos mediante la elección del candidato no proclamado </w:t>
      </w:r>
      <w:r w:rsidRPr="009D7677">
        <w:rPr>
          <w:i/>
        </w:rPr>
        <w:t>ex</w:t>
      </w:r>
      <w:r>
        <w:t xml:space="preserve"> art. 23.1 CE.</w:t>
      </w:r>
    </w:p>
    <w:p w14:paraId="4B399C53" w14:textId="77777777" w:rsidR="009D7677" w:rsidRDefault="009D7677" w:rsidP="009D7677">
      <w:pPr>
        <w:pStyle w:val="TextoNormal"/>
      </w:pPr>
    </w:p>
    <w:p w14:paraId="2FCE0C63" w14:textId="0EBE055D" w:rsidR="009D7677" w:rsidRDefault="009D7677" w:rsidP="009D7677">
      <w:pPr>
        <w:pStyle w:val="TextoNormal"/>
      </w:pPr>
      <w:r w:rsidRPr="009D7677">
        <w:rPr>
          <w:rStyle w:val="NumeroAFNegritaCaracter"/>
        </w:rPr>
        <w:t>10</w:t>
      </w:r>
      <w:r>
        <w:t>. Por escrito presentado el 13 de febrero de 2024 la representación procesal del actor denunció la dilación que se estaba produciendo en la resolución de su recurso de amparo.</w:t>
      </w:r>
    </w:p>
    <w:p w14:paraId="00CD5506" w14:textId="77777777" w:rsidR="009D7677" w:rsidRDefault="009D7677" w:rsidP="009D7677">
      <w:pPr>
        <w:pStyle w:val="TextoNormal"/>
      </w:pPr>
    </w:p>
    <w:p w14:paraId="16F37A26" w14:textId="15A1BC3B" w:rsidR="009D7677" w:rsidRDefault="009D7677" w:rsidP="009D7677">
      <w:pPr>
        <w:pStyle w:val="TextoNormal"/>
      </w:pPr>
      <w:r w:rsidRPr="009D7677">
        <w:rPr>
          <w:rStyle w:val="NumeroAFNegritaCaracter"/>
        </w:rPr>
        <w:t>11</w:t>
      </w:r>
      <w:r>
        <w:t>. Por providencia de 4 de abril de 2024 se señaló para deliberación y votación de la presente sentencia el día 8 del mismo mes y año.</w:t>
      </w:r>
    </w:p>
    <w:p w14:paraId="4AFCE930" w14:textId="77777777" w:rsidR="009D7677" w:rsidRDefault="009D7677" w:rsidP="009D7677">
      <w:pPr>
        <w:pStyle w:val="TextoNormal"/>
      </w:pPr>
    </w:p>
    <w:p w14:paraId="049648AD" w14:textId="77777777" w:rsidR="009D7677" w:rsidRDefault="009D7677" w:rsidP="009D7677">
      <w:pPr>
        <w:pStyle w:val="TextoNormalNegritaCentrado"/>
        <w:keepNext/>
      </w:pPr>
      <w:r>
        <w:lastRenderedPageBreak/>
        <w:t>II. Fundamentos jurídicos</w:t>
      </w:r>
    </w:p>
    <w:p w14:paraId="5C934EB4" w14:textId="1A3F2C61" w:rsidR="009D7677" w:rsidRDefault="009D7677" w:rsidP="009D7677">
      <w:pPr>
        <w:pStyle w:val="TextoNormalNegritaCentrado"/>
        <w:keepNext/>
      </w:pPr>
    </w:p>
    <w:p w14:paraId="4E308CE8" w14:textId="77777777" w:rsidR="009D7677" w:rsidRDefault="009D7677" w:rsidP="009D7677">
      <w:pPr>
        <w:pStyle w:val="TextoNormal"/>
      </w:pPr>
      <w:r w:rsidRPr="009D7677">
        <w:rPr>
          <w:rStyle w:val="NumeroAFNegritaCaracter"/>
        </w:rPr>
        <w:t>1</w:t>
      </w:r>
      <w:r>
        <w:t xml:space="preserve">. </w:t>
      </w:r>
      <w:r w:rsidRPr="009D7677">
        <w:rPr>
          <w:i/>
        </w:rPr>
        <w:t>Objeto del proceso y posiciones de las partes</w:t>
      </w:r>
    </w:p>
    <w:p w14:paraId="3CE9E1D2" w14:textId="77777777" w:rsidR="009D7677" w:rsidRDefault="009D7677" w:rsidP="009D7677">
      <w:pPr>
        <w:pStyle w:val="TextoNormal"/>
      </w:pPr>
    </w:p>
    <w:p w14:paraId="5482C060" w14:textId="77777777" w:rsidR="009D7677" w:rsidRDefault="009D7677" w:rsidP="009D7677">
      <w:pPr>
        <w:pStyle w:val="TextoNormal"/>
      </w:pPr>
      <w:r>
        <w:t>La demanda de amparo atribuye a la sentencia núm. 387/2021, de 18 de marzo, de la Sala de lo Contencioso-Administrativo del Tribunal Supremo, y a su providencia de 27 de abril de 2021 haberle ocasionado las siguientes vulneraciones de derechos fundamentales:</w:t>
      </w:r>
    </w:p>
    <w:p w14:paraId="22FBB788" w14:textId="77777777" w:rsidR="009D7677" w:rsidRDefault="009D7677" w:rsidP="009D7677">
      <w:pPr>
        <w:pStyle w:val="TextoNormal"/>
      </w:pPr>
    </w:p>
    <w:p w14:paraId="1674A659" w14:textId="77777777" w:rsidR="009D7677" w:rsidRDefault="009D7677" w:rsidP="009D7677">
      <w:pPr>
        <w:pStyle w:val="TextoNormal"/>
      </w:pPr>
      <w:r>
        <w:t>(i) Del derecho a un recurso efectivo en relación con el derecho de sufragio pasivo (arts. 23 y 24 CE, art. 13 CEDH y art. 3 del Protocolo adicional núm. 1 al CEDH) porque tales resoluciones confirmaron el acuerdo de 8 de noviembre de 2019 de la Junta Electoral Central, que desestimó su petición de revisión del acuerdo de 14 de octubre de 2019 de la Junta Electoral Provincial de Barcelona que ordenó su exclusión de la lista de candidatos presentada por la coalición electoral Esquerra Republicana de Catalunya-Sobiranistes (ERC-S) para las elecciones al Congreso de los Diputados de 10 de noviembre de 2019, exclusión que tuvo como único fundamento la pena de inhabilitación que le había sido impuesta en sentencia de 14 de octubre de 2019 de la Sala de lo Penal del Tribunal Supremo, pena que había sido suspendida por el tribunal sentenciador el mismo día de la sentencia, de lo que no tuvo conocimiento hasta el día 30 de octubre de 2019, en que se le notificó el auto de suspensión, cuando ya había vencido el plazo de dos días que impone el art. 49 LOREG para recurrir la proclamación de candidaturas.</w:t>
      </w:r>
    </w:p>
    <w:p w14:paraId="6C18667D" w14:textId="77777777" w:rsidR="009D7677" w:rsidRDefault="009D7677" w:rsidP="009D7677">
      <w:pPr>
        <w:pStyle w:val="TextoNormal"/>
      </w:pPr>
    </w:p>
    <w:p w14:paraId="4356DB31" w14:textId="77777777" w:rsidR="009D7677" w:rsidRDefault="009D7677" w:rsidP="009D7677">
      <w:pPr>
        <w:pStyle w:val="TextoNormal"/>
      </w:pPr>
      <w:r>
        <w:t xml:space="preserve">(ii) Del derecho a la tutela judicial efectiva en relación con el derecho de sufragio pasivo (art. 24.1 CE en relación con el art. 23.1 y 2 CE y art. 3 del Protocolo adicional núm. 1 al CEDH) porque la sentencia de la Sala de lo Contencioso-Administrativo del Tribunal Supremo aplicó </w:t>
      </w:r>
      <w:r w:rsidRPr="009D7677">
        <w:rPr>
          <w:i/>
        </w:rPr>
        <w:t>ex novo</w:t>
      </w:r>
      <w:r>
        <w:t xml:space="preserve"> la causa de inelegibilidad del art. 6.2 a) LOREG para fundar la exclusión de su candidatura en la pena de prisión que también se le impuso en la sentencia penal, tratándose de una causa distinta de la que fundó el acuerdo de la Junta Electoral Provincial de Barcelona, que se basó únicamente en la pena de inhabilitación suspendida, e incurrió asimismo en arbitrariedad al considerar que dicha causa de inelegibilidad opera automáticamente como causa de incompatibilidad, sin necesidad de que sea previamente declarada como tal, infringiendo así la doctrina de la STC 144/1999, que exige esa declaración formal.</w:t>
      </w:r>
    </w:p>
    <w:p w14:paraId="544069A5" w14:textId="77777777" w:rsidR="009D7677" w:rsidRDefault="009D7677" w:rsidP="009D7677">
      <w:pPr>
        <w:pStyle w:val="TextoNormal"/>
      </w:pPr>
    </w:p>
    <w:p w14:paraId="5B29F60B" w14:textId="77777777" w:rsidR="009D7677" w:rsidRDefault="009D7677" w:rsidP="009D7677">
      <w:pPr>
        <w:pStyle w:val="TextoNormal"/>
      </w:pPr>
      <w:r>
        <w:t>(iii) Vulneración del derecho a la tutela judicial efectiva en su vertiente de derecho a la ejecución de las resoluciones judiciales en sus propios términos (art. 24.1 CE) porque la exclusión de su candidatura se fundó en una pena de inhabilitación absoluta que el propio tribunal sentenciador había acordado suspender en su auto de 14 de octubre de 2019, de modo que no se llevó a cabo lo resuelto por dicha sala.</w:t>
      </w:r>
    </w:p>
    <w:p w14:paraId="2E489303" w14:textId="77777777" w:rsidR="009D7677" w:rsidRDefault="009D7677" w:rsidP="009D7677">
      <w:pPr>
        <w:pStyle w:val="TextoNormal"/>
      </w:pPr>
    </w:p>
    <w:p w14:paraId="7A6D5E15" w14:textId="77777777" w:rsidR="009D7677" w:rsidRDefault="009D7677" w:rsidP="009D7677">
      <w:pPr>
        <w:pStyle w:val="TextoNormal"/>
      </w:pPr>
      <w:r>
        <w:t xml:space="preserve">La Junta Electoral Central, en su escrito de alegaciones, niega que se haya producido ninguna de las vulneraciones de derechos fundamentales denunciadas. Aduce que la decisión de la Junta Electoral Provincial de Barcelona de excluir la candidatura del demandante ganó firmeza como consecuencia de que ni este ni la coalición electoral que le presentaba la recurrieron en tiempo y forma ante el juzgado de lo contencioso-administrativo (art. 49 LOREG) lo que imposibilitaba su ulterior revisión por la Junta Electoral Central, dado que no existe vía de alzada cuando hay un recurso jurisdiccional previsto en la norma (art. 21.1 LOREG). Tampoco se dio ninguna circunstancia extraordinaria que hiciera admisible </w:t>
      </w:r>
      <w:r>
        <w:lastRenderedPageBreak/>
        <w:t>la revisión de tal decisión en los términos de la STC 80/2002. Sostiene que el recurso de amparo se construye en torno al argumento de que la denegación de la candidatura se hizo en ejecución de la pena de inhabilitación absoluta, lo que no se corresponde con la realidad, pues su verdadero fundamento fue la pena de trece años de prisión que le fue impuesta en la misma sentencia firme, siendo un hecho notorio que el actor la estaba cumpliendo, por lo que la decisión de la Junta Electoral Provincial de Barcelona estaba debidamente justificada en la concurrencia del supuesto del art. 6.2 a) LOREG que establece que son inelegibles “[l]os condenados por sentencia firme, a pena privativa de libertad, durante el período que dure la pena”.</w:t>
      </w:r>
    </w:p>
    <w:p w14:paraId="54294F02" w14:textId="77777777" w:rsidR="009D7677" w:rsidRDefault="009D7677" w:rsidP="009D7677">
      <w:pPr>
        <w:pStyle w:val="TextoNormal"/>
      </w:pPr>
    </w:p>
    <w:p w14:paraId="2C76CBD3" w14:textId="77777777" w:rsidR="009D7677" w:rsidRDefault="009D7677" w:rsidP="009D7677">
      <w:pPr>
        <w:pStyle w:val="TextoNormal"/>
      </w:pPr>
      <w:r>
        <w:t>La fiscal ante el Tribunal Constitucional, por su parte, plantea en su escrito de alegaciones, en primer lugar, la concurrencia del óbice procesal de extemporaneidad del recurso de amparo alegando que las vulneraciones de derechos fundamentales que se hacen valer en el mismo son reprochables a los acuerdos adoptados por la Junta Electoral Provincial de Barcelona y la Junta Electoral Central, vulneraciones que las resoluciones judiciales no repararon, sin incurrir estas en nuevas vulneraciones, y que, por tal razón, no estamos en presencia de un recurso de amparo de naturaleza mixta, al que le sea aplicable el plazo de caducidad de treinta días del art. 44 LOTC, sino ante un recurso de amparo contra decisiones administrativas, sujeto al plazo de caducidad más corto de veinte días del art. 43 LOTC, por lo que, tomando en consideración la fecha de notificación a la representación procesal del demandante de amparo de la providencia de inadmisión del incidente de nulidad de actuaciones, que puso fin a la vía judicial previa, en el momento de interponerse el recurso de amparo, el día 14 de junio de 2021, había vencido el plazo de caducidad de veinte días.</w:t>
      </w:r>
    </w:p>
    <w:p w14:paraId="221F9DC8" w14:textId="77777777" w:rsidR="009D7677" w:rsidRDefault="009D7677" w:rsidP="009D7677">
      <w:pPr>
        <w:pStyle w:val="TextoNormal"/>
      </w:pPr>
    </w:p>
    <w:p w14:paraId="6DFD6EC5" w14:textId="133370AA" w:rsidR="009D7677" w:rsidRDefault="009D7677" w:rsidP="009D7677">
      <w:pPr>
        <w:pStyle w:val="TextoNormal"/>
      </w:pPr>
      <w:r>
        <w:t xml:space="preserve">Seguidamente examina, y desecha, cada una de las quejas deducidas en la demanda de amparo. Considera que no se ha vulnerado el derecho a un recurso efectivo en relación con el derecho de sufragio pasivo porque al existir una vía específica de impugnación en el art. 49 LOREG no era posible la aplicación supletoria de las normas del procedimiento administrativo común sobre revisión de actos firmes. La fiscal niega que el recurrente hubiera sufrido un impedimento para utilizar aquella vía de recurso y considera que el actor se aquietó con la decisión de la Junta Electoral Central teniendo conocimiento de que la misma también se fundaba en la pena privativa de libertad que se le impuso en sentencia. La causa de inelegibilidad del art. 6.2 a) LOREG no se le aplicó </w:t>
      </w:r>
      <w:r w:rsidRPr="009D7677">
        <w:rPr>
          <w:i/>
        </w:rPr>
        <w:t>ex novo</w:t>
      </w:r>
      <w:r>
        <w:t xml:space="preserve"> pues estaba en el fundamento del acuerdo de la Junta Electoral Provincial de Barcelona, tras recibir la respuesta a su consulta de la Junta Electoral Central, en la que se hacía mención a la pena de prisión, no siendo cierto tampoco que no hubiera sido declarada formalmente, pues la causa concurría desde el mismo momento en que se dictó la sentencia condenatoria firme y el auto que acordó su ejecución. Tampoco considera vulnerado el derecho a la tutela judicial efectiva en su vertiente de derecho a la ejecución de las resoluciones judiciales en sus propios términos (art. 24.1 CE) sustancialmente por el mismo motivo: como la pena privativa de libertad, que era el fundamento de la inelegibilidad, era ejecutiva en virtud del citado auto, resultaba irrelevante que se hubiera pospuesto la ejecución de la pena de inhabilitación.</w:t>
      </w:r>
    </w:p>
    <w:p w14:paraId="41336745" w14:textId="77777777" w:rsidR="009D7677" w:rsidRDefault="009D7677" w:rsidP="009D7677">
      <w:pPr>
        <w:pStyle w:val="TextoNormal"/>
      </w:pPr>
    </w:p>
    <w:p w14:paraId="7BDD77FA" w14:textId="77777777" w:rsidR="009D7677" w:rsidRDefault="009D7677" w:rsidP="009D7677">
      <w:pPr>
        <w:pStyle w:val="TextoNormal"/>
      </w:pPr>
      <w:r w:rsidRPr="009D7677">
        <w:rPr>
          <w:rStyle w:val="NumeroAFNegritaCaracter"/>
        </w:rPr>
        <w:t>2</w:t>
      </w:r>
      <w:r>
        <w:t xml:space="preserve">. </w:t>
      </w:r>
      <w:r w:rsidRPr="009D7677">
        <w:rPr>
          <w:i/>
        </w:rPr>
        <w:t>Óbice procesal</w:t>
      </w:r>
    </w:p>
    <w:p w14:paraId="0251FE62" w14:textId="77777777" w:rsidR="009D7677" w:rsidRDefault="009D7677" w:rsidP="009D7677">
      <w:pPr>
        <w:pStyle w:val="TextoNormal"/>
      </w:pPr>
    </w:p>
    <w:p w14:paraId="3B1A3F90" w14:textId="77777777" w:rsidR="009D7677" w:rsidRDefault="009D7677" w:rsidP="009D7677">
      <w:pPr>
        <w:pStyle w:val="TextoNormal"/>
      </w:pPr>
      <w:r>
        <w:lastRenderedPageBreak/>
        <w:t>La fiscal ante el Tribunal Constitucional en su escrito de alegaciones opone, con carácter preliminar al análisis del fondo de las quejas, la concurrencia del óbice procesal de extemporaneidad al entender que el recurso de amparo denuncia unas vulneraciones de derechos fundamentales que se originan en el acuerdo de la Junta Electoral Central del 8 de noviembre de 2019, y que el art. 24.1 CE se invoca meramente como deficiente tutela de dicho derecho, de lo que concluye que estamos ante un recurso de amparo del art. 43 LOTC, al que debe aplicarse el plazo de caducidad de veinte días, plazo que en este caso no se habría respetado por haber vencido, teniendo en cuenta la fecha de notificación de la providencia de inadmisión del incidente de nulidad de actuaciones, antes de la interposición de la demanda de amparo.</w:t>
      </w:r>
    </w:p>
    <w:p w14:paraId="58470209" w14:textId="77777777" w:rsidR="009D7677" w:rsidRDefault="009D7677" w:rsidP="009D7677">
      <w:pPr>
        <w:pStyle w:val="TextoNormal"/>
      </w:pPr>
    </w:p>
    <w:p w14:paraId="6B8129A4" w14:textId="77777777" w:rsidR="009D7677" w:rsidRDefault="009D7677" w:rsidP="009D7677">
      <w:pPr>
        <w:pStyle w:val="TextoNormal"/>
      </w:pPr>
      <w:r>
        <w:t>No es posible asumir este planteamiento. Es función del recurso de amparo delimitar la pretensión y fijar el objeto procesal (STC 195/2007, de 11 de septiembre, FJ 2) y el presente se dirige directamente contra la sentencia núm. 387/2021, de 18 de marzo, de la Sala de lo Contencioso-Administrativo del Tribunal Supremo y su ulterior providencia de 27 de abril de 2021, resoluciones cuya nulidad impetra. El principal argumento es la vulneración del derecho de sufragio pasivo del art. 23.2 CE y su deficiente tutela en la sentencia dictada por la Sala de lo Contencioso-Administrativo del Tribunal Supremo, a lo que se suma que esta sala formó criterio en abierta contradicción con la decisión tomada por la Sala de lo Penal del mismo tribunal, que había acordado posponer temporalmente la ejecución de la pena de inhabilitación absoluta en la que se fundaba la inelegibilidad del actor. Se apela, de este modo, al principio de intangibilidad de las resoluciones judiciales firmes, que nuestra doctrina ha caracterizado como un derecho subjetivo del justiciable que limita la capacidad de los tribunales para revisar sus sentencias y resoluciones al margen de los supuestos taxativamente previstos en la ley (STC 140/2002, de 3 de junio, FJ 2) que no solo surte efecto cuando concurren las identidades propias de la cosa juzgada formal “sino también cuando se desconoce lo resuelto por una resolución firme en el marco de procesos que examinan cuestiones que guardan con aquella una relación de estricta dependencia”, con el fin de salvaguardar la eficacia de una resolución judicial que “ha conformado la realidad jurídica de una forma determinada”, cuando el órgano jurisdiccional conoce su existencia (STC 62/2012, de 29 de marzo, FJ 2). En definitiva, se trata de que el órgano judicial “no puede desconocer lo resuelto por sentencia firme en el marco de procesos que examinan cuestiones que guardan con aquella una relación de estricta dependencia” (STC 127/2013, de 3 de junio, FJ 4). El planteamiento de esta vertiente del derecho a la tutela judicial efectiva (art. 24.1 CE), con independencia de que sea susceptible de ser estimada en un examen de fondo, presenta, a los efectos de verificar el juicio de admisibilidad del recurso de amparo, autonomía suficiente para permitir su encuadramiento en el art. 44 LOTC.</w:t>
      </w:r>
    </w:p>
    <w:p w14:paraId="618039F5" w14:textId="77777777" w:rsidR="009D7677" w:rsidRDefault="009D7677" w:rsidP="009D7677">
      <w:pPr>
        <w:pStyle w:val="TextoNormal"/>
      </w:pPr>
    </w:p>
    <w:p w14:paraId="5F6B18BD" w14:textId="496D3609" w:rsidR="009D7677" w:rsidRDefault="009D7677" w:rsidP="009D7677">
      <w:pPr>
        <w:pStyle w:val="TextoNormal"/>
      </w:pPr>
      <w:r>
        <w:t xml:space="preserve">Así las cosas, a falta de previsión expresa en la Ley Orgánica del Tribunal Constitucional del plazo de presentación de la demanda en el caso de los amparos mixtos, se habrá de estar, conforme a doctrina reiterada por este tribunal [SSTC 21/2018, de 5 de marzo, FJ 2 a), y 73/2021, de 18 de marzo, FJ 2 C) b)], al más favorable de treinta días previsto en el art. 44.2 LOTC, por lo que habiéndose notificado a la representación procesal del demandante de amparo la providencia de inadmisión del incidente de nulidad de actuaciones el 4 de mayo de 2021 —siguiente día hábil a su comunicación vía Lexnet el 30 de abril de 2021— el plazo de treinta días expiró el 16 de junio a las 15:00 horas, y la demanda de </w:t>
      </w:r>
      <w:r>
        <w:lastRenderedPageBreak/>
        <w:t>amparo quedó registrada en este tribunal el 14 de junio, a las 13:17 horas, por lo que se presentó en plazo.</w:t>
      </w:r>
    </w:p>
    <w:p w14:paraId="1D57861D" w14:textId="77777777" w:rsidR="009D7677" w:rsidRDefault="009D7677" w:rsidP="009D7677">
      <w:pPr>
        <w:pStyle w:val="TextoNormal"/>
      </w:pPr>
    </w:p>
    <w:p w14:paraId="22101D5E" w14:textId="77777777" w:rsidR="009D7677" w:rsidRDefault="009D7677" w:rsidP="009D7677">
      <w:pPr>
        <w:pStyle w:val="TextoNormal"/>
      </w:pPr>
      <w:r w:rsidRPr="009D7677">
        <w:rPr>
          <w:rStyle w:val="NumeroAFNegritaCaracter"/>
        </w:rPr>
        <w:t>3</w:t>
      </w:r>
      <w:r>
        <w:t xml:space="preserve">. </w:t>
      </w:r>
      <w:r w:rsidRPr="009D7677">
        <w:rPr>
          <w:i/>
        </w:rPr>
        <w:t>Sobre el recurso efectivo</w:t>
      </w:r>
    </w:p>
    <w:p w14:paraId="35A00BF8" w14:textId="77777777" w:rsidR="009D7677" w:rsidRDefault="009D7677" w:rsidP="009D7677">
      <w:pPr>
        <w:pStyle w:val="TextoNormal"/>
      </w:pPr>
    </w:p>
    <w:p w14:paraId="299CAAB0" w14:textId="77777777" w:rsidR="009D7677" w:rsidRDefault="009D7677" w:rsidP="009D7677">
      <w:pPr>
        <w:pStyle w:val="TextoNormal"/>
      </w:pPr>
      <w:r>
        <w:t>En el primer motivo de la demanda de amparo se reprocha a las resoluciones judiciales impugnadas haberle denegado la restitución de su candidatura, o una justa compensación, basándose en que ni él ni la coalición electoral que le presentaba habían recurrido tempestivamente, esto es, en el perentorio plazo de dos días establecido en el art. 49.1 LOREG, la proclamación de candidatos verificada en el acuerdo de la Junta Electoral Provincial de Barcelona de 14 de octubre de 2019: se afirma que esta forma de argumentar, en la que incurre en primer lugar la Junta Electoral Central en su acuerdo de 8 de noviembre de 2019, le impidió el acceso a un recurso efectivo, toda vez que el motivo invalidante de la declaración de inelegibilidad, el hecho de que la pena de inhabilitación en que se fundaba estaba en realidad suspendida, llegó a su conocimiento cuando le fue notificado el auto que acordó la suspensión, el día 30 de octubre de 2019, cuando ya había vencido el plazo del art. 49 LOREG y no era posible acudir a dicha vía jurisdiccional de impugnación.</w:t>
      </w:r>
    </w:p>
    <w:p w14:paraId="752D60EE" w14:textId="77777777" w:rsidR="009D7677" w:rsidRDefault="009D7677" w:rsidP="009D7677">
      <w:pPr>
        <w:pStyle w:val="TextoNormal"/>
      </w:pPr>
    </w:p>
    <w:p w14:paraId="318400A3" w14:textId="77777777" w:rsidR="009D7677" w:rsidRDefault="009D7677" w:rsidP="009D7677">
      <w:pPr>
        <w:pStyle w:val="TextoNormal"/>
      </w:pPr>
      <w:r>
        <w:t>La fiscal ante el Tribunal Constitucional se opone a este motivo porque el actor podía haber recurrido el acuerdo de la Junta Electoral Provincial de Barcelona en tiempo y forma para hacer valer motivos de invalidez que ha esgrimido en la demanda de amparo, como la inexistencia en el momento de su adopción de una constancia fehaciente de la sentencia de la Sala de lo Penal del Tribunal Supremo y de un acto de declaración formal de incompatibilidad sobrevenida. La Junta Electoral Central se opone igualmente por las razones que se reproducen en los antecedentes de hecho.</w:t>
      </w:r>
    </w:p>
    <w:p w14:paraId="5343A737" w14:textId="77777777" w:rsidR="009D7677" w:rsidRDefault="009D7677" w:rsidP="009D7677">
      <w:pPr>
        <w:pStyle w:val="TextoNormal"/>
      </w:pPr>
    </w:p>
    <w:p w14:paraId="125B0F3A" w14:textId="77777777" w:rsidR="009D7677" w:rsidRDefault="009D7677" w:rsidP="009D7677">
      <w:pPr>
        <w:pStyle w:val="TextoNormal"/>
      </w:pPr>
      <w:r>
        <w:t xml:space="preserve">Con carácter general, este tribunal viene declarando, conforme a las pautas dadas por la jurisprudencia del Tribunal Europeo de Derechos Humanos, que el recurso interno efectivo garantizado en el art. 13 CEDH como salvaguarda de los derechos reconocidos en el convenio “debe permitir a la autoridad competente tratar el fondo de la petición y otorgar una reparación apropiada, sin que ello deba garantizar necesariamente un resultado favorable para el peticionario” (STC 26/2022, de 24 de febrero, FJ único; STEDH de 25 de marzo de 1983, asunto </w:t>
      </w:r>
      <w:r w:rsidRPr="009D7677">
        <w:rPr>
          <w:i/>
        </w:rPr>
        <w:t>Silver y otros c. Reino Unido</w:t>
      </w:r>
      <w:r>
        <w:t>, § 113) no debiendo confundirse el derecho al recurso efectivo “con un hipotético derecho a que un tribunal falle en favor de las pretensiones planteadas” (STC 69/2021, de 18 de marzo, FJ 5).</w:t>
      </w:r>
    </w:p>
    <w:p w14:paraId="76DA5ECA" w14:textId="77777777" w:rsidR="009D7677" w:rsidRDefault="009D7677" w:rsidP="009D7677">
      <w:pPr>
        <w:pStyle w:val="TextoNormal"/>
      </w:pPr>
    </w:p>
    <w:p w14:paraId="0CF94593" w14:textId="77777777" w:rsidR="009D7677" w:rsidRDefault="009D7677" w:rsidP="009D7677">
      <w:pPr>
        <w:pStyle w:val="TextoNormal"/>
      </w:pPr>
      <w:r>
        <w:t xml:space="preserve">La revisión de las decisiones adoptadas en procesos electorales susceptibles de afectar a la representación democrática </w:t>
      </w:r>
      <w:r w:rsidRPr="009D7677">
        <w:rPr>
          <w:i/>
        </w:rPr>
        <w:t>ex</w:t>
      </w:r>
      <w:r>
        <w:t xml:space="preserve"> art. 3 del Protocolo adicional núm. 1 al CEDH, exige verificar, según la STEDH (Gran Sala) de 10 de julio de 2020, asunto </w:t>
      </w:r>
      <w:r w:rsidRPr="009D7677">
        <w:rPr>
          <w:i/>
        </w:rPr>
        <w:t>Mugemangango c. Bélgica</w:t>
      </w:r>
      <w:r>
        <w:t>: (i) si las alegaciones presentadas por quien aduce no haber tenido acceso a un recurso efectivo eran suficientemente serias y discutibles, mereciendo dicha consideración las que podrían llevar a que fuera declarado electo (§ 83) o a un cambio en la distribución de escaños (§ 85); y (ii) si dichas alegaciones fueron objeto de un examen efectivo (§ 79).</w:t>
      </w:r>
    </w:p>
    <w:p w14:paraId="52AE35C9" w14:textId="77777777" w:rsidR="009D7677" w:rsidRDefault="009D7677" w:rsidP="009D7677">
      <w:pPr>
        <w:pStyle w:val="TextoNormal"/>
      </w:pPr>
    </w:p>
    <w:p w14:paraId="029BA14C" w14:textId="77777777" w:rsidR="009D7677" w:rsidRDefault="009D7677" w:rsidP="009D7677">
      <w:pPr>
        <w:pStyle w:val="TextoNormal"/>
      </w:pPr>
      <w:r>
        <w:t>En el presente caso el demandante de amparo presentó alegaciones en el escrito ante la Junta Electoral Central de indudable relevancia en el proceso electoral en curso, pues no se puede descartar que en caso de ser estimadas hubiera podido ser repuesto en el primer lugar de la lista de candidatos presentada por la coalición electoral ERC-S para las elec</w:t>
      </w:r>
      <w:r>
        <w:lastRenderedPageBreak/>
        <w:t>ciones al Congreso de los Diputados que se iban a celebrar el 10 de noviembre de 2019, y a su proclamación como electo, a la vista del resultado alcanzado por dicha coalición en las mismas.</w:t>
      </w:r>
    </w:p>
    <w:p w14:paraId="18D86FB1" w14:textId="77777777" w:rsidR="009D7677" w:rsidRDefault="009D7677" w:rsidP="009D7677">
      <w:pPr>
        <w:pStyle w:val="TextoNormal"/>
      </w:pPr>
    </w:p>
    <w:p w14:paraId="6EF9DA03" w14:textId="77777777" w:rsidR="009D7677" w:rsidRDefault="009D7677" w:rsidP="009D7677">
      <w:pPr>
        <w:pStyle w:val="TextoNormal"/>
      </w:pPr>
      <w:r>
        <w:t>Lo que se debe dilucidar es, por lo tanto, si las resoluciones administrativas y judiciales suscitadas por sus iniciativas rehusaron todo examen de la cuestión planteada por la supuesta inexistencia en el ordenamiento interno de una vía hábil de impugnación. La Junta Electoral Central empieza argumentando que el ordenamiento interno le impedía, en principio, revisar o rectificar un acto electoral consentido y firme, pero no convierte dicho impedimento en razón de su decisión, sino que a continuación —probablemente en consideración a las dificultades alegadas por el actor en su escrito— pasa a examinar los fundamentos normativos de su declarada inelegibilidad, que conecta a su condena en sentencia firme y ejecutiva a pena privativa de libertad, en virtud de la cual estaba incurso en el supuesto del artículo 6.2 a) LOREG. Se trata de una desestimación de la pretensión por motivos de fondo, no de una inadmisión por razones de forma.</w:t>
      </w:r>
    </w:p>
    <w:p w14:paraId="2C86FBDB" w14:textId="77777777" w:rsidR="009D7677" w:rsidRDefault="009D7677" w:rsidP="009D7677">
      <w:pPr>
        <w:pStyle w:val="TextoNormal"/>
      </w:pPr>
    </w:p>
    <w:p w14:paraId="34433519" w14:textId="77777777" w:rsidR="009D7677" w:rsidRDefault="009D7677" w:rsidP="009D7677">
      <w:pPr>
        <w:pStyle w:val="TextoNormal"/>
      </w:pPr>
      <w:r>
        <w:t>La sentencia núm. 387/2021, de 18 de marzo, de la Sala de lo Contencioso-Administrativo del Tribunal Supremo, contiene, por su parte, pronunciamientos que son manifestación de un inequívoco respaldo de la vía procesal emprendida por el actor, pues desestima la causa de inadmisibilidad del art. 28 LJCA, que opusieron tanto la representación procesal de la Junta Electoral Central como el Ministerio Fiscal en sus respectivos escritos de contestación de la demanda y de alegaciones —por impugnar un acto confirmatorio de un acto anterior firme y consentido— debido a que el objeto del recurso no era el acuerdo de la Junta Electoral Provincial de Barcelona, sino el adoptado por la Junta Electoral Central. Despejado de este modo el óbice procesal, examina seguidamente el fundamento de la impugnación, con razonamientos que le llevan a respaldar la adecuación del acuerdo de la Junta Electoral Central a la normativa electoral sobre condiciones de elegibilidad, porque la inelegibilidad del actor, fundada en el art. 6.2 a) LOREG, fue efectiva desde el comienzo del cumplimiento de la pena de prisión que le fue impuesta en la sentencia penal, destacando la notoriedad de dicho dato, refiriendo asimismo el carácter secundario que adquiría, a la vista de ello, la suspensión del cumplimiento de la pena de inhabilitación para cargo público. Concluye, finalmente, con un pronunciamiento en el que descarta la concurrencia de las “circunstancias realmente extraordinarias” a las que alude la doctrina constitucional “más arriba expuesta”, en clara referencia al fundamento jurídico 6, págs. 15 a 17, en el que mediante cita de determinados pronunciamientos del Tribunal Supremo que la recogían, se incluyen citas textuales de las SSTC 48/2000 y 80/2002, que establecen el carácter excepcional, que no imposibilidad, de la revisión de actos electorales firmes.</w:t>
      </w:r>
    </w:p>
    <w:p w14:paraId="1593A81A" w14:textId="77777777" w:rsidR="009D7677" w:rsidRDefault="009D7677" w:rsidP="009D7677">
      <w:pPr>
        <w:pStyle w:val="TextoNormal"/>
      </w:pPr>
    </w:p>
    <w:p w14:paraId="28CEE250" w14:textId="77777777" w:rsidR="009D7677" w:rsidRDefault="009D7677" w:rsidP="009D7677">
      <w:pPr>
        <w:pStyle w:val="TextoNormal"/>
      </w:pPr>
      <w:r>
        <w:t>A la vista de lo expuesto, este tribunal debe concluir que las alegaciones del actor no fueron ni preteridas ni ignoradas por la supuesta inexistencia de una vía de impugnación hábil, sino que, por el contrario, tanto la Junta Electoral Central como el tribunal dieron curso a sus escritos y se pronunciaron sobre lo alegado en los mismos con razones suficientes para satisfacer el parámetro de examen efectivo establecido en la doctrina del Tribunal Europeo de Derechos Humanos.</w:t>
      </w:r>
    </w:p>
    <w:p w14:paraId="069372FE" w14:textId="77777777" w:rsidR="009D7677" w:rsidRDefault="009D7677" w:rsidP="009D7677">
      <w:pPr>
        <w:pStyle w:val="TextoNormal"/>
      </w:pPr>
    </w:p>
    <w:p w14:paraId="1A1A11DA" w14:textId="191069B3" w:rsidR="009D7677" w:rsidRDefault="009D7677" w:rsidP="009D7677">
      <w:pPr>
        <w:pStyle w:val="TextoNormal"/>
      </w:pPr>
      <w:r>
        <w:t xml:space="preserve">A mayor abundamiento, hemos de convenir con la fiscal en que la alegación de que su candidatura le fue retirada de forma precipitada, sin constancia fehaciente de la sentencia </w:t>
      </w:r>
      <w:r>
        <w:lastRenderedPageBreak/>
        <w:t>penal condenatoria ni de su ejecutividad, pudo haber sido esgrimida a través del recurso previsto en el art. 49 LOREG, vía legalmente procedente para cuyo ejercicio en tiempo y forma no hubo obstáculo alguno.</w:t>
      </w:r>
    </w:p>
    <w:p w14:paraId="7B176AE4" w14:textId="77777777" w:rsidR="009D7677" w:rsidRDefault="009D7677" w:rsidP="009D7677">
      <w:pPr>
        <w:pStyle w:val="TextoNormal"/>
      </w:pPr>
    </w:p>
    <w:p w14:paraId="39E2B833" w14:textId="77777777" w:rsidR="009D7677" w:rsidRDefault="009D7677" w:rsidP="009D7677">
      <w:pPr>
        <w:pStyle w:val="TextoNormal"/>
      </w:pPr>
      <w:r w:rsidRPr="009D7677">
        <w:rPr>
          <w:rStyle w:val="NumeroAFNegritaCaracter"/>
        </w:rPr>
        <w:t>4</w:t>
      </w:r>
      <w:r>
        <w:t xml:space="preserve">. </w:t>
      </w:r>
      <w:r w:rsidRPr="009D7677">
        <w:rPr>
          <w:i/>
        </w:rPr>
        <w:t>Sobre el derecho de sufragio pasivo</w:t>
      </w:r>
    </w:p>
    <w:p w14:paraId="16E4DF4D" w14:textId="77777777" w:rsidR="009D7677" w:rsidRDefault="009D7677" w:rsidP="009D7677">
      <w:pPr>
        <w:pStyle w:val="TextoNormal"/>
      </w:pPr>
    </w:p>
    <w:p w14:paraId="0A633345" w14:textId="77777777" w:rsidR="009D7677" w:rsidRDefault="009D7677" w:rsidP="009D7677">
      <w:pPr>
        <w:pStyle w:val="TextoNormal"/>
      </w:pPr>
      <w:r>
        <w:t>El demandante de amparo afirma que la sentencia del Tribunal Supremo cuya nulidad impetra vulneró su derecho a la tutela judicial efectiva en relación con el derecho de sufragio pasivo (arts. 24.1 CE y 23.2 CE, en relación con el art. 3 del Protocolo adicional núm. 1 al CEDH) porque asentó la pérdida de su condición de candidato sobre una causa, la del art. 6.2 a) LOREG, condena a pena de prisión, distinta de la que había utilizado la Junta Electoral Provincial de Barcelona, condena a pena de inhabilitación, causa esta que a su entender subsistiría al haberse negado posteriormente la Junta Electoral Central a revisar o rectificar el acuerdo que la apreciaba. Afirma que la pena de inhabilitación no podía privarle de su derecho fundamental al sufragio pasivo porque había sido suspendida por el mismo tribunal penal que se la impuso en virtud de auto de 14 de octubre de 2019 —misma fecha de la sentencia— y que la pena de prisión tampoco podría generar tal efecto porque, no siendo un supuesto de falta de capacidad originaria para ser elegible del art. 6.1 LOREG, precisaba de un acto de declaración formal como causa de incompatibilidad sobrevenida en los términos del art. 6.4 LOREG, que no se produjo.</w:t>
      </w:r>
    </w:p>
    <w:p w14:paraId="4F32F6EB" w14:textId="77777777" w:rsidR="009D7677" w:rsidRDefault="009D7677" w:rsidP="009D7677">
      <w:pPr>
        <w:pStyle w:val="TextoNormal"/>
      </w:pPr>
    </w:p>
    <w:p w14:paraId="1ECC3D23" w14:textId="77777777" w:rsidR="009D7677" w:rsidRDefault="009D7677" w:rsidP="009D7677">
      <w:pPr>
        <w:pStyle w:val="TextoNormal"/>
      </w:pPr>
      <w:r>
        <w:t>La fiscal en su escrito de alegaciones rebate este motivo de amparo. Aduce en primer lugar que el acuerdo de 8 de noviembre de 2019 de la Junta Electoral Central no introdujo de forma novedosa la causa de inelegibilidad del art. 6.2 a) LOREG, pues en su anterior resolución de 14 de octubre de 2019, que transmitió a la Junta Electoral Provincial de Barcelona y en la que esta fundó su propio acuerdo, ya se refería claramente a los candidatos que hubieran sido condenados a pena privativa de libertad o de inhabilitación absoluta. Considera que la declaración formal de dicha causa se produjo desde el mismo momento en que la Sala de lo Penal del Tribunal Supremo dictó la sentencia condenatoria el 14 de octubre de 2019, que era firme, e incluso en el auto de la misma sala y fecha, que acordó la ejecución de la pena de prisión al tiempo que pospuso la ejecución de la pena de inhabilitación.</w:t>
      </w:r>
    </w:p>
    <w:p w14:paraId="1784DA79" w14:textId="77777777" w:rsidR="009D7677" w:rsidRDefault="009D7677" w:rsidP="009D7677">
      <w:pPr>
        <w:pStyle w:val="TextoNormal"/>
      </w:pPr>
    </w:p>
    <w:p w14:paraId="6A51BFA9" w14:textId="77777777" w:rsidR="009D7677" w:rsidRDefault="009D7677" w:rsidP="009D7677">
      <w:pPr>
        <w:pStyle w:val="TextoNormal"/>
      </w:pPr>
      <w:r>
        <w:t>La representación procesal de la Junta Electoral Central interesa igualmente la desestimación del motivo poniendo el énfasis en que todo el recurso de amparo se construye en torno al argumento de que la denegación de la candidatura se hizo en ejecución de la pena de inhabilitación absoluta, lo que no se corresponde con la realidad, pues la pena que dio lugar a la misma fue la de trece años de prisión, siendo un hecho notorio que el 14 de octubre de 2019 el actor estaba cumpliendo la pena de prisión en virtud de una sentencia firme.</w:t>
      </w:r>
    </w:p>
    <w:p w14:paraId="7AC53D95" w14:textId="77777777" w:rsidR="009D7677" w:rsidRDefault="009D7677" w:rsidP="009D7677">
      <w:pPr>
        <w:pStyle w:val="TextoNormal"/>
      </w:pPr>
    </w:p>
    <w:p w14:paraId="2F90A7C1" w14:textId="77777777" w:rsidR="009D7677" w:rsidRDefault="009D7677" w:rsidP="009D7677">
      <w:pPr>
        <w:pStyle w:val="TextoNormal"/>
      </w:pPr>
      <w:r>
        <w:t xml:space="preserve">El motivo debe ser desestimado: la inelegibilidad del actor fue correctamente apreciada. La mera lectura de los fundamentos de la sentencia del Tribunal Supremo, Sala de lo Contencioso-Administrativo, de 18 de marzo de 2021 (FFJJ 7 y 8) revela de manera inequívoca que el argumento determinante de la desestimación del recurso interpuesto por el actor contra el acuerdo de la Junta Electoral Central de 8 de noviembre de 2019 es que dicho acuerdo se fundó en la pena de prisión que le había impuesto en sentencia firme y ejecutiva la Sala de lo Penal del Tribunal Supremo, lo que justificaba la aplicación de la </w:t>
      </w:r>
      <w:r>
        <w:lastRenderedPageBreak/>
        <w:t>causa de inelegibilidad del art. 6.2 a) LOREG, cuya efectividad, según declaraba, “tiene lugar desde el comienzo del cumplimiento de la condena cuya notoriedad en el caso de autos es indiscutible” pasando a ser cuestión secundaria “que hubiera sido suspendido el cumplimiento de la inhabilitación para cargo público”.</w:t>
      </w:r>
    </w:p>
    <w:p w14:paraId="6774C098" w14:textId="77777777" w:rsidR="009D7677" w:rsidRDefault="009D7677" w:rsidP="009D7677">
      <w:pPr>
        <w:pStyle w:val="TextoNormal"/>
      </w:pPr>
    </w:p>
    <w:p w14:paraId="127FD8EB" w14:textId="77777777" w:rsidR="009D7677" w:rsidRDefault="009D7677" w:rsidP="009D7677">
      <w:pPr>
        <w:pStyle w:val="TextoNormal"/>
      </w:pPr>
      <w:r>
        <w:t>En la demanda de amparo se alega que la sentencia se funda en una causa de inelegibilidad distinta de la esgrimida originalmente por la Junta Electoral Provincial de Barcelona, lo que podría haber generado indefensión. Esta alegación debe ser igualmente desestimada, para lo que es útil examinar la sucesión de los actos que se produjeron en el proceso electoral: el 14 de octubre de 2019, fecha en la que debía procederse a la proclamación de candidatos en el proceso electoral abierto por el Real Decreto 551/2019, de 24 de septiembre, publicado en el “BOE” núm. 230, de 24 de septiembre de 2019, la Junta Electoral Provincial de Barcelona elevó consulta urgente a la Junta Electoral Central que motivó el pronunciamiento de una resolución de su presidente (expediente núm. 283-847) que decía: “1) Los candidatos a las elecciones al Congreso de los Diputados y al Senado de 10 de noviembre de 2019 que hayan sido condenados a la pena de privación de libertad o de inhabilitación absoluta en la sentencia de la Sala de lo Penal del Tribunal Supremo de 14 de octubre de 2019 en la causa especial número 3-20907-2017, en ejecución de dicha resolución judicial, deberán ser excluidos de la lista presentada por la candidatura, sin que puedan ser proclamados por la correspondiente junta electoral provincial […] 2) Las juntas electorales provinciales concederán un muy breve plazo de subsanación a las candidaturas afectadas, para que puedan sustituir a los candidatos excluidos. Dicho plazo deberá permitir realizar la proclamación definitiva de las candidaturas en el día de hoy. De no realizar dicha subsanación, las candidaturas deberán ser proclamadas en los términos resultantes de dicha exclusión”.</w:t>
      </w:r>
    </w:p>
    <w:p w14:paraId="28F912B4" w14:textId="77777777" w:rsidR="009D7677" w:rsidRDefault="009D7677" w:rsidP="009D7677">
      <w:pPr>
        <w:pStyle w:val="TextoNormal"/>
      </w:pPr>
    </w:p>
    <w:p w14:paraId="6B18A6B3" w14:textId="77777777" w:rsidR="009D7677" w:rsidRDefault="009D7677" w:rsidP="009D7677">
      <w:pPr>
        <w:pStyle w:val="TextoNormal"/>
      </w:pPr>
      <w:r>
        <w:t xml:space="preserve">Recibida esta contestación, la Junta Electoral Provincial de Barcelona acordó el mismo día “[d]ar traslado del acuerdo de la Junta Electoral Central a las candidaturas Junts per Catalunya-Junts y Esquerra Republicana de Catalunya-Sobiranistes, requiriéndoles para que en el plazo de una hora desde el recibo de la presente puedan sustituir a los candidatos excluidos. De no realizar dicha subsanación, las candidaturas deberán ser proclamadas en los términos resultantes de dicha exclusión, teniendo en cuenta que la exclusión de esos candidatos implica el requisito de composición equilibrada de mujeres y hombres establecido en el artículo 44 </w:t>
      </w:r>
      <w:r w:rsidRPr="009D7677">
        <w:rPr>
          <w:i/>
        </w:rPr>
        <w:t>bis</w:t>
      </w:r>
      <w:r>
        <w:t xml:space="preserve"> de la LOREG, todo ello a efectos de que pueda procederse a la proclamación de esas candidaturas”.</w:t>
      </w:r>
    </w:p>
    <w:p w14:paraId="02E79BB5" w14:textId="77777777" w:rsidR="009D7677" w:rsidRDefault="009D7677" w:rsidP="009D7677">
      <w:pPr>
        <w:pStyle w:val="TextoNormal"/>
      </w:pPr>
    </w:p>
    <w:p w14:paraId="1F81C53D" w14:textId="77777777" w:rsidR="009D7677" w:rsidRDefault="009D7677" w:rsidP="009D7677">
      <w:pPr>
        <w:pStyle w:val="TextoNormal"/>
      </w:pPr>
      <w:r>
        <w:t>En cumplimiento de este requerimiento la coalición ERC-S sustituyó al actor, de modo que en la lista de candidatos proclamados publicada en el “BOE” núm. 248, de 15 de octubre de 2019, el número uno lo ocupaba don Gabriel Rufián i Romero.</w:t>
      </w:r>
    </w:p>
    <w:p w14:paraId="3A5AF876" w14:textId="77777777" w:rsidR="009D7677" w:rsidRDefault="009D7677" w:rsidP="009D7677">
      <w:pPr>
        <w:pStyle w:val="TextoNormal"/>
      </w:pPr>
    </w:p>
    <w:p w14:paraId="282362F4" w14:textId="77777777" w:rsidR="009D7677" w:rsidRDefault="009D7677" w:rsidP="009D7677">
      <w:pPr>
        <w:pStyle w:val="TextoNormal"/>
      </w:pPr>
      <w:r>
        <w:t xml:space="preserve">Está debidamente constatado, por lo tanto, que el acuerdo del presidente de la Junta Electoral Central de 14 de octubre de 2019 ligó la inelegibilidad a la condena también a la pena de prisión, que la Junta Electoral Provincial de Barcelona integró dicho fundamento en su propio acuerdo, y que todo ello fue puntualmente notificado a la coalición electoral ERC-S, que lo acató. Siendo la pena de prisión fundamento manifiesto de la causa de inelegibilidad del art. 6.2 a) LOREG, no es razonable afirmar que dicha causa se introdujo de manera sorpresiva en el acuerdo que adoptó posteriormente la Junta Electoral Central, el 8 de noviembre de 2019, que la cita de manera expresa con motivo de desestimar la </w:t>
      </w:r>
      <w:r>
        <w:lastRenderedPageBreak/>
        <w:t>pretensión del actor de ser repuesto en su condición de candidato, ni en la sentencia que desestimó el recurso contencioso-administrativo interpuesto contra dicho acuerdo, que se pronunció tras exhaustivo debate procesal sobre su concurrencia.</w:t>
      </w:r>
    </w:p>
    <w:p w14:paraId="11C8A1AE" w14:textId="77777777" w:rsidR="009D7677" w:rsidRDefault="009D7677" w:rsidP="009D7677">
      <w:pPr>
        <w:pStyle w:val="TextoNormal"/>
      </w:pPr>
    </w:p>
    <w:p w14:paraId="7F67E6F6" w14:textId="3FCBCC36" w:rsidR="009D7677" w:rsidRDefault="009D7677" w:rsidP="009D7677">
      <w:pPr>
        <w:pStyle w:val="TextoNormal"/>
      </w:pPr>
      <w:r>
        <w:t xml:space="preserve">La demanda de amparo alega finalmente que la causa de inelegibilidad del art. 6.2 a) LOREG carecía de efectos limitativos del derecho de sufragio pasivo del art. 23.2 CE porque no había sido declarada en forma. No precisa qué autoridad, a su juicio, sería la que tendría que haber hecho tal declaración, cómo ni cuándo. Alude a la supuesta infracción de la doctrina de la STC 144/1999. Esta alegación merece ser igualmente desestimada. Se trae a colación un pronunciamiento en el que este tribunal declaró que la privación de la condición de elector del entonces recurrente en amparo, como consecuencia de la imposición en sentencia firme de una pena de suspensión del sufragio, representó, en virtud del art. 6.1 LOREG, una pérdida temporal de su capacidad jurídica electoral que se podía hacer valer sin límite de tiempo, aspecto en el que se diferenciaba de las causas de inelegibilidad del art. 6.2 LOREG, que se sujetaban al plazo del art. 7.1 LOREG. Establecimos entonces que “la sentencia judicial firme es constitutiva de la incapacidad electoral activa y pasiva del recurrente, y es la que ha de hacerse valer en el proceso electoral, como han hecho las juntas electorales” (FJ 7). Es imposible extraer de esta sentencia, como se pretende en la demanda de amparo, la conclusión de que una sentencia firme de condena a pena de prisión carezca de efectos constitutivos de la condición de inelegibilidad prevista en el art. 6.2 a) LOREG, tratándose de una causa que, conforme reiterada doctrina constitucional, actúa </w:t>
      </w:r>
      <w:r w:rsidRPr="009D7677">
        <w:rPr>
          <w:i/>
        </w:rPr>
        <w:t>ope legis</w:t>
      </w:r>
      <w:r>
        <w:t xml:space="preserve"> (STC 18/2024, de 31 de enero, FJ único) y de manera independiente a su cumplimiento efectivo (STC 166/1993, de 20 de mayo, FJ 4).</w:t>
      </w:r>
    </w:p>
    <w:p w14:paraId="4B5ED2DC" w14:textId="77777777" w:rsidR="009D7677" w:rsidRDefault="009D7677" w:rsidP="009D7677">
      <w:pPr>
        <w:pStyle w:val="TextoNormal"/>
      </w:pPr>
    </w:p>
    <w:p w14:paraId="26604E3F" w14:textId="77777777" w:rsidR="009D7677" w:rsidRDefault="009D7677" w:rsidP="009D7677">
      <w:pPr>
        <w:pStyle w:val="TextoNormal"/>
      </w:pPr>
      <w:r w:rsidRPr="009D7677">
        <w:rPr>
          <w:rStyle w:val="NumeroAFNegritaCaracter"/>
        </w:rPr>
        <w:t>5</w:t>
      </w:r>
      <w:r>
        <w:t xml:space="preserve">. </w:t>
      </w:r>
      <w:r w:rsidRPr="009D7677">
        <w:rPr>
          <w:i/>
        </w:rPr>
        <w:t>Sobre la ejecución de las resoluciones judiciales en sus propios términos</w:t>
      </w:r>
    </w:p>
    <w:p w14:paraId="29F5E4D8" w14:textId="77777777" w:rsidR="009D7677" w:rsidRDefault="009D7677" w:rsidP="009D7677">
      <w:pPr>
        <w:pStyle w:val="TextoNormal"/>
      </w:pPr>
    </w:p>
    <w:p w14:paraId="01B11189" w14:textId="77777777" w:rsidR="009D7677" w:rsidRDefault="009D7677" w:rsidP="009D7677">
      <w:pPr>
        <w:pStyle w:val="TextoNormal"/>
      </w:pPr>
      <w:r>
        <w:t>La demanda de amparo denuncia por último la vulneración del derecho a la tutela judicial efectiva (art. 24.1 CE) en su vertiente de derecho a la ejecución de las resoluciones judiciales en sus propios términos, porque el demandante fue excluido como candidato en virtud de una pena de inhabilitación absoluta que había sido suspendida por auto de 14 de octubre de 2019, dictado en la ejecutoria penal por el propio tribunal sentenciador. La Junta Electoral Central y la fiscal lo rebaten por entender que la declaración de inelegibilidad del actor no fue consecuencia de la ejecución de la pena de inhabilitación, sino de la imposición de la pena de prisión.</w:t>
      </w:r>
    </w:p>
    <w:p w14:paraId="1FC63E5A" w14:textId="77777777" w:rsidR="009D7677" w:rsidRDefault="009D7677" w:rsidP="009D7677">
      <w:pPr>
        <w:pStyle w:val="TextoNormal"/>
      </w:pPr>
    </w:p>
    <w:p w14:paraId="26152536" w14:textId="16DA75C6" w:rsidR="009D7677" w:rsidRDefault="009D7677" w:rsidP="009D7677">
      <w:pPr>
        <w:pStyle w:val="TextoNormal"/>
      </w:pPr>
      <w:r>
        <w:t xml:space="preserve">El motivo debe ser igualmente desestimado. La sentencia de la Sala de lo Contencioso-Administrativo del Tribunal Supremo confirmó que la inelegibilidad del actor fue la consecuencia extraprocesal de su condena a pena de prisión. Siendo esta su </w:t>
      </w:r>
      <w:r w:rsidRPr="009D7677">
        <w:rPr>
          <w:i/>
        </w:rPr>
        <w:t>ratio decidendi</w:t>
      </w:r>
      <w:r>
        <w:t>, el auto de 14 de octubre de 2019 de la Sala de lo Penal del Tribunal Supremo, que ordenó la posposición de la ejecución de la pena de inhabilitación absoluta, no solo tenía una importancia secundaria, sino que en realidad carecía de genuina conexión con la cuestión dirimida en el procedimiento contencioso-administrativo, por lo que la sentencia dictada en este no supuso alteración o menoscabo de la realidad jurídica declarada en el mismo.</w:t>
      </w:r>
    </w:p>
    <w:p w14:paraId="4B1129F7" w14:textId="77777777" w:rsidR="009D7677" w:rsidRDefault="009D7677" w:rsidP="009D7677">
      <w:pPr>
        <w:pStyle w:val="TextoNormal"/>
      </w:pPr>
    </w:p>
    <w:p w14:paraId="60CFABF4" w14:textId="77777777" w:rsidR="009D7677" w:rsidRDefault="009D7677" w:rsidP="009D7677">
      <w:pPr>
        <w:pStyle w:val="TextoNormalCentrado"/>
        <w:keepNext/>
      </w:pPr>
      <w:r>
        <w:lastRenderedPageBreak/>
        <w:t>FALLO</w:t>
      </w:r>
    </w:p>
    <w:p w14:paraId="18A64BDD" w14:textId="3EB92BBC" w:rsidR="009D7677" w:rsidRDefault="009D7677" w:rsidP="009D7677">
      <w:pPr>
        <w:pStyle w:val="TextoNormalCentrado"/>
        <w:keepNext/>
      </w:pPr>
    </w:p>
    <w:p w14:paraId="0E57C3DB" w14:textId="580152E4" w:rsidR="009D7677" w:rsidRDefault="009D7677" w:rsidP="009D7677">
      <w:pPr>
        <w:pStyle w:val="TextoNormal"/>
      </w:pPr>
      <w:r>
        <w:t>En atención a todo lo expuesto, el Tribunal Constitucional, por la autoridad que le confiere la Constitución de la Nación española, ha decidido desestimar el presente recurso de amparo.</w:t>
      </w:r>
    </w:p>
    <w:p w14:paraId="3A00FE48" w14:textId="77777777" w:rsidR="009D7677" w:rsidRDefault="009D7677" w:rsidP="009D7677">
      <w:pPr>
        <w:pStyle w:val="TextoNormal"/>
      </w:pPr>
    </w:p>
    <w:p w14:paraId="3385C248" w14:textId="77777777" w:rsidR="009D7677" w:rsidRDefault="009D7677" w:rsidP="009D7677">
      <w:pPr>
        <w:pStyle w:val="TextoNormal"/>
      </w:pPr>
      <w:r>
        <w:t>Publíquese esta sentencia en el “Boletín Oficial del Estado”.</w:t>
      </w:r>
    </w:p>
    <w:p w14:paraId="6668BABF" w14:textId="77777777" w:rsidR="009D7677" w:rsidRDefault="009D7677" w:rsidP="009D7677">
      <w:pPr>
        <w:pStyle w:val="TextoNormal"/>
      </w:pPr>
      <w:r>
        <w:t>Dada en Madrid, a ocho de abril de dos mil veinticuatro.</w:t>
      </w:r>
    </w:p>
    <w:p w14:paraId="256E2AC8" w14:textId="0E6BFAF3" w:rsidR="009D7677" w:rsidRDefault="009D7677">
      <w:pPr>
        <w:spacing w:after="160" w:line="259" w:lineRule="auto"/>
        <w:rPr>
          <w:rFonts w:ascii="Times New Roman" w:eastAsia="Times New Roman" w:hAnsi="Times New Roman" w:cs="Times New Roman"/>
          <w:sz w:val="24"/>
          <w:szCs w:val="24"/>
          <w:lang w:eastAsia="es-ES"/>
        </w:rPr>
      </w:pPr>
      <w:r>
        <w:br w:type="page"/>
      </w:r>
    </w:p>
    <w:p w14:paraId="025304F1" w14:textId="77777777" w:rsidR="009D7677" w:rsidRDefault="009D7677" w:rsidP="009D7677">
      <w:pPr>
        <w:pStyle w:val="TtuloResolucin"/>
      </w:pPr>
      <w:bookmarkStart w:id="53" w:name="SENTENCIA_2024_51"/>
      <w:r>
        <w:lastRenderedPageBreak/>
        <w:t>SENTENCIA 51/2024, de 8 de abril de 2024</w:t>
      </w:r>
    </w:p>
    <w:bookmarkEnd w:id="53"/>
    <w:p w14:paraId="01322E59" w14:textId="77777777" w:rsidR="009D7677" w:rsidRDefault="009D7677" w:rsidP="009D7677">
      <w:pPr>
        <w:pStyle w:val="TtuloResolucin"/>
      </w:pPr>
      <w:r>
        <w:t>Sala Segunda</w:t>
      </w:r>
    </w:p>
    <w:p w14:paraId="54DF9DE1" w14:textId="77777777" w:rsidR="009D7677" w:rsidRDefault="009D7677" w:rsidP="009D7677">
      <w:pPr>
        <w:pStyle w:val="TtuloBOE"/>
      </w:pPr>
      <w:r>
        <w:t>(BOE núm. 118, de 15 de mayo de 2024)</w:t>
      </w:r>
    </w:p>
    <w:p w14:paraId="4D919C6F" w14:textId="77777777" w:rsidR="009D7677" w:rsidRDefault="009D7677" w:rsidP="009D7677">
      <w:pPr>
        <w:pStyle w:val="TextoNormalCentrado"/>
      </w:pPr>
      <w:r>
        <w:t>ECLI:ES:TC:2024:51</w:t>
      </w:r>
    </w:p>
    <w:p w14:paraId="41D57406" w14:textId="34D0E944" w:rsidR="009D7677" w:rsidRDefault="009D7677" w:rsidP="009D7677">
      <w:pPr>
        <w:pStyle w:val="TextoNormalCentrado"/>
      </w:pPr>
    </w:p>
    <w:p w14:paraId="7B39B56E" w14:textId="77777777" w:rsidR="009D7677" w:rsidRDefault="009D7677" w:rsidP="009D7677">
      <w:pPr>
        <w:pStyle w:val="SntesisDescriptiva"/>
      </w:pPr>
      <w:r>
        <w:t>Recurso de amparo 6860-2021. Promovido por don Abdeljalil Khariji respecto de los autos dictados por la Sección Primera y el Pleno de la Sala de lo Penal de la Audiencia Nacional que autorizaron su extradición a Marruecos.</w:t>
      </w:r>
    </w:p>
    <w:p w14:paraId="368F0516" w14:textId="27C2E78C" w:rsidR="009D7677" w:rsidRDefault="009D7677" w:rsidP="009D7677">
      <w:pPr>
        <w:pStyle w:val="SntesisDescriptiva"/>
      </w:pPr>
    </w:p>
    <w:p w14:paraId="6FFB93C5" w14:textId="77777777" w:rsidR="009D7677" w:rsidRDefault="009D7677" w:rsidP="009D7677">
      <w:pPr>
        <w:pStyle w:val="SntesisAnaltica"/>
      </w:pPr>
      <w:r>
        <w:t>Supuesta vulneración de los derechos a la libertad personal, a la tutela judicial efectiva y a un proceso con todas las garantías: STC 17/2024 (resoluciones judiciales que acuerdan la extradición a partir de una documentación que no permite poner en duda la necesidad y proporcionalidad de la decisión adoptada por la fiscalía de Marruecos de solicitar la entrega para asegurar el enjuiciamiento del afectado).</w:t>
      </w:r>
    </w:p>
    <w:p w14:paraId="70B0DD0A" w14:textId="08098337" w:rsidR="009D7677" w:rsidRDefault="009D7677" w:rsidP="009D7677">
      <w:pPr>
        <w:pStyle w:val="SntesisAnaltica"/>
      </w:pPr>
    </w:p>
    <w:p w14:paraId="58DB3BD3" w14:textId="1D1A2657" w:rsidR="009D7677" w:rsidRDefault="009D7677" w:rsidP="009D7677">
      <w:pPr>
        <w:pStyle w:val="Extracto"/>
      </w:pPr>
      <w:r>
        <w:t>1.</w:t>
      </w:r>
      <w:r>
        <w:tab/>
        <w:t>La intermediación judicial puede dispensarse excepcionalmente cuando concurran las siguientes exigencias: (i) En procedimiento de extradición regido por un convenio bilateral o multilateral que admita la posibilidad de que la petición de entrega pueda emanar de una autoridad distinta a la autoridad judicial; (ii) Que el país requirente suministre información suficientemente expresiva de que se trata de una autoridad facultada para emitir una solicitud de extradición en condiciones equivalentes a las de una autoridad judicial. (iii) Que el contenido de la solicitud y de la documentación anexa proporcione a los órganos judiciales españoles la información necesaria para verificar que la misma resulta necesaria y proporcionada (STC 17/2024) [FJ 2].</w:t>
      </w:r>
    </w:p>
    <w:p w14:paraId="4B9F61AA" w14:textId="77777777" w:rsidR="009D7677" w:rsidRDefault="009D7677" w:rsidP="009D7677">
      <w:pPr>
        <w:pStyle w:val="Extracto"/>
      </w:pPr>
    </w:p>
    <w:p w14:paraId="13ABDD8A" w14:textId="77777777" w:rsidR="009D7677" w:rsidRDefault="009D7677" w:rsidP="009D7677">
      <w:pPr>
        <w:pStyle w:val="Extracto"/>
      </w:pPr>
    </w:p>
    <w:p w14:paraId="12174C5A" w14:textId="77777777" w:rsidR="009D7677" w:rsidRDefault="009D7677" w:rsidP="009D7677">
      <w:pPr>
        <w:pStyle w:val="TextoNormal"/>
      </w:pPr>
      <w:r>
        <w:t>La Sala Segunda del Tribunal Constitucional, compuesta por la magistrada doña Inmaculada Montalbán Huertas, presidenta, y las magistradas y magistrados doña María Luisa Balaguer Callejón, don Enrique Arnaldo Alcubilla, don César Tolosa Tribiño y doña Laura Díez Bueso, ha pronunciado</w:t>
      </w:r>
    </w:p>
    <w:p w14:paraId="2353825F" w14:textId="5553FCD5" w:rsidR="009D7677" w:rsidRDefault="009D7677" w:rsidP="009D7677">
      <w:pPr>
        <w:pStyle w:val="TextoNormal"/>
      </w:pPr>
    </w:p>
    <w:p w14:paraId="62311690" w14:textId="77777777" w:rsidR="009D7677" w:rsidRDefault="009D7677" w:rsidP="009D7677">
      <w:pPr>
        <w:pStyle w:val="TextoNormalCentrado"/>
        <w:keepNext/>
      </w:pPr>
      <w:r>
        <w:t>EN NOMBRE DEL REY</w:t>
      </w:r>
    </w:p>
    <w:p w14:paraId="1B347682" w14:textId="46B328CD" w:rsidR="009D7677" w:rsidRDefault="009D7677" w:rsidP="009D7677">
      <w:pPr>
        <w:pStyle w:val="TextoNormalCentrado"/>
        <w:keepNext/>
      </w:pPr>
    </w:p>
    <w:p w14:paraId="56BE9727" w14:textId="77777777" w:rsidR="009D7677" w:rsidRDefault="009D7677" w:rsidP="009D7677">
      <w:pPr>
        <w:pStyle w:val="TextoNormalCentrado"/>
        <w:keepNext/>
      </w:pPr>
    </w:p>
    <w:p w14:paraId="30CAEED9" w14:textId="77777777" w:rsidR="009D7677" w:rsidRDefault="009D7677" w:rsidP="009D7677">
      <w:pPr>
        <w:pStyle w:val="TextoNormal"/>
      </w:pPr>
      <w:r>
        <w:t>la siguiente</w:t>
      </w:r>
    </w:p>
    <w:p w14:paraId="09821257" w14:textId="5E063FD0" w:rsidR="009D7677" w:rsidRDefault="009D7677" w:rsidP="009D7677">
      <w:pPr>
        <w:pStyle w:val="TextoNormal"/>
      </w:pPr>
    </w:p>
    <w:p w14:paraId="7A3F47C9" w14:textId="77777777" w:rsidR="009D7677" w:rsidRDefault="009D7677" w:rsidP="009D7677">
      <w:pPr>
        <w:pStyle w:val="TextoNormalCentrado"/>
        <w:keepNext/>
      </w:pPr>
      <w:r>
        <w:t>SENTENCIA</w:t>
      </w:r>
    </w:p>
    <w:p w14:paraId="3BE8B564" w14:textId="6983A434" w:rsidR="009D7677" w:rsidRDefault="009D7677" w:rsidP="009D7677">
      <w:pPr>
        <w:pStyle w:val="TextoNormalCentrado"/>
        <w:keepNext/>
      </w:pPr>
    </w:p>
    <w:p w14:paraId="21B3678D" w14:textId="77777777" w:rsidR="009D7677" w:rsidRDefault="009D7677" w:rsidP="009D7677">
      <w:pPr>
        <w:pStyle w:val="TextoNormal"/>
      </w:pPr>
      <w:r>
        <w:t>En el recurso de amparo núm. 6860-2021, interpuesto por don Abdeljalil Khariji contra el auto núm. 561/2021, de 8 de julio, de la Sección Primera de la Sala de lo Penal de la Audiencia Nacional, dictado en el rollo de sala núm. 19-2021, y contra el auto núm. 61/2021, de 20 de septiembre, del Pleno de la Sala de lo Penal de la Audiencia Nacional, dictado en el recurso de súplica núm. 59-2021, que confirmó el anterior. Ha intervenido el Ministerio Fiscal. Ha sido ponente el magistrado don Enrique Arnaldo Alcubilla.</w:t>
      </w:r>
    </w:p>
    <w:p w14:paraId="7D345F6C" w14:textId="6BD69232" w:rsidR="009D7677" w:rsidRDefault="009D7677" w:rsidP="009D7677">
      <w:pPr>
        <w:pStyle w:val="TextoNormal"/>
      </w:pPr>
    </w:p>
    <w:p w14:paraId="48E338AE" w14:textId="77777777" w:rsidR="009D7677" w:rsidRDefault="009D7677" w:rsidP="009D7677">
      <w:pPr>
        <w:pStyle w:val="TextoNormalNegritaCentrado"/>
        <w:keepNext/>
      </w:pPr>
      <w:r>
        <w:lastRenderedPageBreak/>
        <w:t>I. Antecedentes</w:t>
      </w:r>
    </w:p>
    <w:p w14:paraId="16A04A07" w14:textId="1E449A61" w:rsidR="009D7677" w:rsidRDefault="009D7677" w:rsidP="009D7677">
      <w:pPr>
        <w:pStyle w:val="TextoNormalNegritaCentrado"/>
        <w:keepNext/>
      </w:pPr>
    </w:p>
    <w:p w14:paraId="5588F72E" w14:textId="027F71FA" w:rsidR="009D7677" w:rsidRDefault="009D7677" w:rsidP="009D7677">
      <w:pPr>
        <w:pStyle w:val="TextoNormal"/>
      </w:pPr>
      <w:r w:rsidRPr="009D7677">
        <w:rPr>
          <w:rStyle w:val="NumeroAFNegritaCaracter"/>
        </w:rPr>
        <w:t>1</w:t>
      </w:r>
      <w:r>
        <w:t>. Mediante escrito registrado en este tribunal el 29 de octubre de 2021, por la representación procesal de don Abdeljalil Khariji se interpuso recurso de amparo contra las resoluciones judiciales referidas en el encabezamiento.</w:t>
      </w:r>
    </w:p>
    <w:p w14:paraId="4A496D70" w14:textId="77777777" w:rsidR="009D7677" w:rsidRDefault="009D7677" w:rsidP="009D7677">
      <w:pPr>
        <w:pStyle w:val="TextoNormal"/>
      </w:pPr>
    </w:p>
    <w:p w14:paraId="1D66F480" w14:textId="77777777" w:rsidR="009D7677" w:rsidRDefault="009D7677" w:rsidP="009D7677">
      <w:pPr>
        <w:pStyle w:val="TextoNormal"/>
      </w:pPr>
      <w:r w:rsidRPr="009D7677">
        <w:rPr>
          <w:rStyle w:val="NumeroAFNegritaCaracter"/>
        </w:rPr>
        <w:t>2</w:t>
      </w:r>
      <w:r>
        <w:t>. El recurso de amparo se fundamenta en los antecedentes que seguidamente se relacionan.</w:t>
      </w:r>
    </w:p>
    <w:p w14:paraId="59932689" w14:textId="77777777" w:rsidR="009D7677" w:rsidRDefault="009D7677" w:rsidP="009D7677">
      <w:pPr>
        <w:pStyle w:val="TextoNormal"/>
      </w:pPr>
    </w:p>
    <w:p w14:paraId="2492BD56" w14:textId="77777777" w:rsidR="009D7677" w:rsidRDefault="009D7677" w:rsidP="009D7677">
      <w:pPr>
        <w:pStyle w:val="TextoNormal"/>
      </w:pPr>
      <w:r>
        <w:t>a) El fiscal del rey ante el Juzgado de Primera Instancia de Safi (Marruecos) dictó el 26 de enero de 2021 una orden internacional de búsqueda y captura contra el demandante de amparo, al que atribuía su implicación en un delito de tráfico de sustancias estupefacientes y otros delitos, con los siguientes fundamentos:</w:t>
      </w:r>
    </w:p>
    <w:p w14:paraId="51A7CE4C" w14:textId="77777777" w:rsidR="009D7677" w:rsidRDefault="009D7677" w:rsidP="009D7677">
      <w:pPr>
        <w:pStyle w:val="TextoNormal"/>
      </w:pPr>
    </w:p>
    <w:p w14:paraId="128B1F56" w14:textId="77777777" w:rsidR="009D7677" w:rsidRDefault="009D7677" w:rsidP="009D7677">
      <w:pPr>
        <w:pStyle w:val="TextoNormal"/>
      </w:pPr>
      <w:r>
        <w:t>“En virtud de la diligencia referencial núm. 86 con fecha 03/02/2020 realizada por el centro judicial de Safi, por la que fue detenido el llamado Aziz Akhribch, hijo de Khalifa, este manifestó que una vez puesto en libertad de la prisión local de Ait Melloul empezó a dedicarse al narcotráfico; en 2017, conoció al llamado Abdeljalil Khariji, vecino de la ciudad de Safi, quien se le presentó en calidad de agente de seguridad disfrazado; este le extorsionaba pidiéndole cantidades de dinero en cambio de ser encubierto, ateniéndose por fin a sus órdenes de hecho que le estaba entregando la cantidad de 2500 MAD, a lo largo de un periodo de cuatro meses. Al ser descubierto, este empezaba a amenazarle haciéndole saber que se dedica también al narcotráfico y le pidió que tratase con él en este ámbito, suministrándole así drogas con sus compañeros.</w:t>
      </w:r>
    </w:p>
    <w:p w14:paraId="27E721B9" w14:textId="77777777" w:rsidR="009D7677" w:rsidRDefault="009D7677" w:rsidP="009D7677">
      <w:pPr>
        <w:pStyle w:val="TextoNormal"/>
      </w:pPr>
    </w:p>
    <w:p w14:paraId="6BAA5B89" w14:textId="77777777" w:rsidR="009D7677" w:rsidRDefault="009D7677" w:rsidP="009D7677">
      <w:pPr>
        <w:pStyle w:val="TextoNormal"/>
      </w:pPr>
      <w:r>
        <w:t>En virtud de la diligencia referencial núm. 566 con fecha 22/05/2020 realizada por la policía judicial de Safi, por la que fue arrestado el llamado Amine Fadil, hijo de Said, con 40 gramos de drogas ‘chira’. El arrestado declaró que había regresado al narcotráfico, que el llamado Abdeljalil Khariji, que solía frecuentar la zona de Bounifel, le suministraba cada dos días una placa.</w:t>
      </w:r>
    </w:p>
    <w:p w14:paraId="2343A13E" w14:textId="77777777" w:rsidR="009D7677" w:rsidRDefault="009D7677" w:rsidP="009D7677">
      <w:pPr>
        <w:pStyle w:val="TextoNormal"/>
      </w:pPr>
    </w:p>
    <w:p w14:paraId="576DEE10" w14:textId="77777777" w:rsidR="009D7677" w:rsidRDefault="009D7677" w:rsidP="009D7677">
      <w:pPr>
        <w:pStyle w:val="TextoNormal"/>
      </w:pPr>
      <w:r>
        <w:t>En virtud de la diligencia referencial núm. 429 con fecha 03/02/2020 realizada por los gendarmes de la zona Tolatoa Bougadra de la ciudad de Safi, por la que fue detenido el llamado Aziz Khribch, este declaró que había regresado al narcotráfico, que el llamado Radouane Mabrouk le entregaba droga que moldeaba para venderla de nuevo, hasta que conoció al llamado Abdeljalil Khariji, quien se le presentó en calidad de agente de seguridad pidiéndole cantidades dinerarias; que, de hecho, le entregaba un importe de 2500 MAD; los dos se han puesto de acuerdo para que le trajera semanalmente dos paquetes de droga ‘Cáñamo Índico’, en cambio de un importe de 5000 MAD, así como cantidades diferentes de droga ‘chira’”.</w:t>
      </w:r>
    </w:p>
    <w:p w14:paraId="1559FEF6" w14:textId="77777777" w:rsidR="009D7677" w:rsidRDefault="009D7677" w:rsidP="009D7677">
      <w:pPr>
        <w:pStyle w:val="TextoNormal"/>
      </w:pPr>
    </w:p>
    <w:p w14:paraId="027C6C51" w14:textId="77777777" w:rsidR="009D7677" w:rsidRDefault="009D7677" w:rsidP="009D7677">
      <w:pPr>
        <w:pStyle w:val="TextoNormal"/>
      </w:pPr>
      <w:r>
        <w:t>b) El demandante fue detenido en Arrecife (Lanzarote) el 26 de marzo de 2021 y puesto a disposición del Juzgado Central de Instrucción núm. 6, que incoó el procedimiento de extradición pasiva núm. 14-2021 y acordó, por auto de 27 de marzo de 2021, tras celebrar comparecencia del art. 505 de la Ley de enjuiciamiento criminal, su prisión provisional para evitar el riesgo de que se sustrajera a la acción de la justicia.</w:t>
      </w:r>
    </w:p>
    <w:p w14:paraId="06CA9512" w14:textId="77777777" w:rsidR="009D7677" w:rsidRDefault="009D7677" w:rsidP="009D7677">
      <w:pPr>
        <w:pStyle w:val="TextoNormal"/>
      </w:pPr>
    </w:p>
    <w:p w14:paraId="1A201C7F" w14:textId="77777777" w:rsidR="009D7677" w:rsidRDefault="009D7677" w:rsidP="009D7677">
      <w:pPr>
        <w:pStyle w:val="TextoNormal"/>
      </w:pPr>
      <w:r>
        <w:lastRenderedPageBreak/>
        <w:t>c) El 29 de marzo se recibió por vía diplomática la nota verbal de la Embajada de Marruecos núm. 272, de 26 de febrero de 2021, en la que se solicitaba del Ministerio de Justicia de España la extradición del recurrente en amparo para el enjuiciamiento por delitos de tráfico de drogas y atribución de funciones públicas. A la nota se acompañaba la orden internacional de detención emitida por el fiscal del rey, un resumen de los hechos que reproducía los de la orden internacional de detención y una relación de los preceptos legales aplicables.</w:t>
      </w:r>
    </w:p>
    <w:p w14:paraId="46C26A0B" w14:textId="77777777" w:rsidR="009D7677" w:rsidRDefault="009D7677" w:rsidP="009D7677">
      <w:pPr>
        <w:pStyle w:val="TextoNormal"/>
      </w:pPr>
    </w:p>
    <w:p w14:paraId="44A50FBB" w14:textId="77777777" w:rsidR="009D7677" w:rsidRDefault="009D7677" w:rsidP="009D7677">
      <w:pPr>
        <w:pStyle w:val="TextoNormal"/>
      </w:pPr>
      <w:r>
        <w:t>d) El Consejo de Ministros acordó, en sesión de 27 de abril de 2021, de conformidad con el art. 9.3 de la Ley 4/1985, de 21 de marzo, de extradición pasiva (en adelante, LEP), la continuación del procedimiento en vía judicial.</w:t>
      </w:r>
    </w:p>
    <w:p w14:paraId="7D89DEEF" w14:textId="77777777" w:rsidR="009D7677" w:rsidRDefault="009D7677" w:rsidP="009D7677">
      <w:pPr>
        <w:pStyle w:val="TextoNormal"/>
      </w:pPr>
    </w:p>
    <w:p w14:paraId="5C66EA11" w14:textId="77777777" w:rsidR="009D7677" w:rsidRDefault="009D7677" w:rsidP="009D7677">
      <w:pPr>
        <w:pStyle w:val="TextoNormal"/>
      </w:pPr>
      <w:r>
        <w:t>e) El reclamado fue oído en comparecencia del art. 12 LEP, celebrada el 7 de mayo de 2021, en el Juzgado Central de Instrucción núm. 6, en la que se opuso a su extradición y manifestó que no renunciaba al principio de especialidad.</w:t>
      </w:r>
    </w:p>
    <w:p w14:paraId="5A1947EE" w14:textId="77777777" w:rsidR="009D7677" w:rsidRDefault="009D7677" w:rsidP="009D7677">
      <w:pPr>
        <w:pStyle w:val="TextoNormal"/>
      </w:pPr>
    </w:p>
    <w:p w14:paraId="334B8E0D" w14:textId="77777777" w:rsidR="009D7677" w:rsidRDefault="009D7677" w:rsidP="009D7677">
      <w:pPr>
        <w:pStyle w:val="TextoNormal"/>
      </w:pPr>
      <w:r>
        <w:t>f) Elevados los autos a la Sección Primera de la Sala de lo Penal de la Audiencia Nacional, esta incoó el rollo de extradición núm. 19-2021 y dio vista de las actuaciones, en los términos del art. 13 LEP, al Ministerio Fiscal y a la defensa del reclamado, para que formularan alegaciones. El fiscal interesó que se accediera a la solicitud de extradición, si bien debiendo quedar suspendida la entrega a Marruecos hasta que se depuraran las responsabilidades del reclamado en las diligencias previas núm. 2908-2020 del Juzgado de Instrucción núm. 4 de Arrecife, sin perjuicio de su posible entrega temporal. La defensa se opuso a la entrega, alegando la vulneración del principio de reciprocidad y la ausencia de garantías en el país solicitante de la extradición, que la investigación se encuentra en Marruecos en una fase muy incipiente y que los hechos que se le imputan son muy difusos.</w:t>
      </w:r>
    </w:p>
    <w:p w14:paraId="21800529" w14:textId="77777777" w:rsidR="009D7677" w:rsidRDefault="009D7677" w:rsidP="009D7677">
      <w:pPr>
        <w:pStyle w:val="TextoNormal"/>
      </w:pPr>
    </w:p>
    <w:p w14:paraId="018C5BD2" w14:textId="77777777" w:rsidR="009D7677" w:rsidRDefault="009D7677" w:rsidP="009D7677">
      <w:pPr>
        <w:pStyle w:val="TextoNormal"/>
      </w:pPr>
      <w:r>
        <w:t>g) Celebrada la vista extradicional el 7 de julio de 2021, en la que el fiscal reiteró su opinión favorable a la petición de extradición y la defensa su oposición, la Sección Primera de la Sala de lo Penal de la Audiencia Nacional dictó el auto núm. 561/2021, de 8 de julio, por el que acordó acceder a la solicitud de extradición del demandante por concurrir los requisitos exigidos en el Convenio de extradición entre el Reino de España y el Reino de Marruecos, suscrito en Rabat el 24 de junio de 2009, y en la LEP, en particular los requisitos de doble incriminación y mínimo punitivo exigidos en el art. 2.1 del convenio bilateral, porque los hechos por los que se solicita la extradición son constitutivos de delitos de importación, tráfico, tenencia y uso de sustancias o plantas consideradas drogas regulados en los arts. 1 y 2 del Dahir Jerifiano con rango de ley núm. 1-73-282, de 21 de mayo de 1974, así como de delitos de ejercicio ilegal de funciones públicas, atribución de profesión sin reunir los requisitos legales y estafa, previstos en los arts. 380, 381 y 541 del Código penal de Marruecos; hechos que en nuestro ordenamiento penal podrían ser constitutivos del delito contra la salud pública de sustancia que no perjudica gravemente a la salud del art. 368 y del delito de extorsión del art. 243 del Código penal. En la parte dispositiva del auto se acordó que la entrega del reclamado podría ser aplazada hasta la finalización de las diligencias previas núm. 2908-2020 del Juzgado de Instrucción núm. 4 de Arrecife seguidas contra el reclamado, sin perjuicio de proceder a su entrega temporal a Marruecos si así lo solicitasen las autoridades de este país.</w:t>
      </w:r>
    </w:p>
    <w:p w14:paraId="4672A66D" w14:textId="77777777" w:rsidR="009D7677" w:rsidRDefault="009D7677" w:rsidP="009D7677">
      <w:pPr>
        <w:pStyle w:val="TextoNormal"/>
      </w:pPr>
    </w:p>
    <w:p w14:paraId="20874470" w14:textId="77777777" w:rsidR="009D7677" w:rsidRDefault="009D7677" w:rsidP="009D7677">
      <w:pPr>
        <w:pStyle w:val="TextoNormal"/>
      </w:pPr>
      <w:r>
        <w:lastRenderedPageBreak/>
        <w:t>h) Contra esta decisión el demandante interpuso recurso de súplica, en el que alegó incumplimiento del requisito de aportación documental del art. 12 del convenio bilateral hispano-marroquí, porque la extradición se basaba en una orden internacional de detención expedida por el fiscal del rey sin intervención alguna de autoridad judicial, por lo que no resultaba equiparable a una orden judicial de detención ni a una sentencia condenatoria; invocaba en su apoyo la doctrina sentada en la STC 147/2020, de 19 de octubre, por estimarla aplicable al caso, y la vulneración del derecho a la tutela judicial efectiva y a un proceso con todas las garantías del art. 24 CE, en conexión con el derecho a la libertad personal del art. 17 CE.</w:t>
      </w:r>
    </w:p>
    <w:p w14:paraId="7A121BFC" w14:textId="77777777" w:rsidR="009D7677" w:rsidRDefault="009D7677" w:rsidP="009D7677">
      <w:pPr>
        <w:pStyle w:val="TextoNormal"/>
      </w:pPr>
    </w:p>
    <w:p w14:paraId="029B891F" w14:textId="77777777" w:rsidR="009D7677" w:rsidRDefault="009D7677" w:rsidP="009D7677">
      <w:pPr>
        <w:pStyle w:val="TextoNormal"/>
      </w:pPr>
      <w:r>
        <w:t>El Pleno de la Sala de lo Penal de la Audiencia Nacional dictó el auto núm. 61/2021, de 20 de septiembre (rollo de sala núm. 19-2021), por el que desestimó el recurso de súplica tras exponer las razones por las que considera que no es aplicable a este caso la STC 147/2020, de 19 de octubre, invocada en el recurso de súplica, ni la STC 147/2021, de 12 de julio. Afirma que la orden de detención emitida por el fiscal satisface los requisitos formales del art. 12.1 a) del Convenio bilateral de extradición pues, según información remitida por la fiscalía ante el Tribunal del Tánger en un procedimiento anterior, en el ordenamiento jurídico de Marruecos el fiscal es uno de los componentes del poder judicial y tiene competencia para expedir órdenes internacionales de arresto, las cuales una vez emitidas no necesitan de ninguna legalización judicial pues se consideran órdenes judiciales. Añade que en la orden de detención expedida por el fiscal figura en el encabezamiento “del fiscal del rey ante el Juzgado de Primera Instancia de Safi. A las autoridades judiciales españolas competentes”, y al pie de la traducción se precisa que en el original de la orden de detención se encuentra, además del sello del fiscal, el del Juzgado de Primera Instancia de Safi, de lo que se desprende que tanto los jueces como los fiscales pueden solicitar la extradición y que en este caso el fiscal que emitió la orden lo puso en conocimiento del juzgado encargado de la investigación.</w:t>
      </w:r>
    </w:p>
    <w:p w14:paraId="1C33DD0B" w14:textId="77777777" w:rsidR="009D7677" w:rsidRDefault="009D7677" w:rsidP="009D7677">
      <w:pPr>
        <w:pStyle w:val="TextoNormal"/>
      </w:pPr>
    </w:p>
    <w:p w14:paraId="5BF71541" w14:textId="77777777" w:rsidR="009D7677" w:rsidRDefault="009D7677" w:rsidP="009D7677">
      <w:pPr>
        <w:pStyle w:val="TextoNormal"/>
      </w:pPr>
      <w:r>
        <w:t>Advierte que existe disparidad de hecho y de derecho entre los supuestos de Colombia (al que se refiere la STC 147/2020) y de Angola (al que se refiere la STC 147/2021) y el caso de Marruecos. En el caso de Colombia se había producido la anulación de la orden judicial de detención que había emitido un juzgado, y el Tribunal Constitucional no consideró que un escrito de calificación del fiscal, leído ante un órgano jurisdiccional, surtiera un efecto semejante a aquella inicial orden de detención, “pese a que las autoridades reclamantes, que se supone conocen su legislación, a través de nota verbal manifestaran que dicho escrito debía considerarse incluido dentro de los supuestos de ‘auto de proceder’ que menciona el artículo 8.2 del Convenio de extradición, interpretación que, sin embargo, no fue aceptada por el Tribunal Constitucional”. En el caso de Angola, al no existir tratado de extradición, era aplicable el art. 7 de la Ley de extradición pasiva y existía un documento que, conforme a la normativa del país requirente, era bastante para solicitar la extradición, si bien “el Tribunal Constitucional, restringe nuevamente la autoridad emisora y elimina a cualquier otra que no sea el juez, bajo la sospecha de su falta de independencia”. La Sala concluye que, en el caso de Marruecos, conforme a su legislación interna, la fiscalía marroquí forma parte del poder judicial, puede solicitar la extradición y no está previsto que pueda ser revisada por un juez. La orden emitida por el fiscal cumple, en suma, las exigencias del art. 12 del Convenio bilateral hispano-marroquí.</w:t>
      </w:r>
    </w:p>
    <w:p w14:paraId="196E1299" w14:textId="77777777" w:rsidR="009D7677" w:rsidRDefault="009D7677" w:rsidP="009D7677">
      <w:pPr>
        <w:pStyle w:val="TextoNormal"/>
      </w:pPr>
    </w:p>
    <w:p w14:paraId="3019252F" w14:textId="77777777" w:rsidR="009D7677" w:rsidRDefault="009D7677" w:rsidP="009D7677">
      <w:pPr>
        <w:pStyle w:val="TextoNormal"/>
      </w:pPr>
      <w:r>
        <w:lastRenderedPageBreak/>
        <w:t>Seguidamente expone las razones por las que considera que no procede aplicar al procedimiento común de extradición una doctrina elaborada por el Tribunal de Justicia de la Unión Europea al responder cuestiones prejudiciales relativas a la interpretación del art. 6.1 de la Decisión marco 2002/584/JAI, de 13 de junio, del Consejo, y su posterior modificación por la Decisión marco 2009/299/JAI, de 26 de febrero, del Consejo (en relación con el concepto de autoridad emisora de una orden europea de detención), pues el procedimiento de extradición tiene por objeto comprobar el cumplimiento de los requisitos del correspondiente convenio de extradición, lo que supone comprobar, entre otras cosas, si la resolución de detención internacional ha sido dictada conforme a dicho convenio y la legislación interna del país reclamante, y si puede existir algún motivo espurio que ponga en duda la imparcialidad de la autoridad reclamante; las sentencias del Tribunal Constitucional citadas han añadido nuevos requisitos dirigidos, de una parte, a restringir la autoridad emisora en aras del principio de velar por su imparcialidad y, de otra, a velar por los derechos del reclamado. Señala que la exigencia por parte del país donde se encuentra el reclamado de requisitos distintos o contrarios a los convenios de extradición podría dar lugar a una vulneración de los tratados suscritos y a la correspondiente responsabilidad del Estado. Los requisitos exigidos por el Tribunal de Justicia de la Unión Europea en un espacio común de reglas y principios de administración de justicia, no pueden ser extrapolables a mundos jurídicos diversos, con procedimientos y reglas diferentes en cada país y donde las partes firmantes de un tratado no pueden, bajo cobertura de la protección de los derechos del reclamado o de una protección legal que solo existe de acuerdo con las reglas de su país, exigir requisitos diferentes a los expresamente pactados. Concluye la Sala que los criterios de la STC 147/2020, sobre la base de la doctrina del Tribunal de Justicia, no pueden ser exigidos fuera del ámbito de la Unión Europea, sin perjuicio de que, en el análisis jurídico de la extradición, el órgano judicial deba ponderar los datos que las autoridades del país reclamante le facilitan sobre la claridad y precisión de los hechos punibles, las evidencias que aporten sobre la participación del reclamado en ellos, o el examen de la legislación del país reclamante en el caso de que deba entenderse que no es respetuosa de los derechos humanos del reclamado.</w:t>
      </w:r>
    </w:p>
    <w:p w14:paraId="50E9CADD" w14:textId="77777777" w:rsidR="009D7677" w:rsidRDefault="009D7677" w:rsidP="009D7677">
      <w:pPr>
        <w:pStyle w:val="TextoNormal"/>
      </w:pPr>
    </w:p>
    <w:p w14:paraId="385DECB7" w14:textId="0B00AFEF" w:rsidR="009D7677" w:rsidRDefault="009D7677" w:rsidP="009D7677">
      <w:pPr>
        <w:pStyle w:val="TextoNormal"/>
      </w:pPr>
      <w:r>
        <w:t>El auto va acompañado de dos votos particulares, firmados por tres magistrados de la Sala, que consideran que la mayoría no ha aplicado correctamente la doctrina sentada en la STC 147/2020, conforme a la cual es esencial que se cumpla la garantía jurisdiccional de la libertad en el propio país solicitante de la extradición, mediante la homologación por un órgano judicial de la orden de detención.</w:t>
      </w:r>
    </w:p>
    <w:p w14:paraId="67401D4B" w14:textId="77777777" w:rsidR="009D7677" w:rsidRDefault="009D7677" w:rsidP="009D7677">
      <w:pPr>
        <w:pStyle w:val="TextoNormal"/>
      </w:pPr>
    </w:p>
    <w:p w14:paraId="15583FD9" w14:textId="58DE2801" w:rsidR="009D7677" w:rsidRDefault="009D7677" w:rsidP="009D7677">
      <w:pPr>
        <w:pStyle w:val="TextoNormal"/>
      </w:pPr>
      <w:r w:rsidRPr="009D7677">
        <w:rPr>
          <w:rStyle w:val="NumeroAFNegritaCaracter"/>
        </w:rPr>
        <w:t>3</w:t>
      </w:r>
      <w:r>
        <w:t xml:space="preserve">. El recurrente en amparo denuncia que se han vulnerado sus derechos a la tutela judicial efectiva sin indefensión (art. 24.1 CE), a un proceso con todas las garantías (art. 24.2 CE) y a la libertad personal (art. 17.1 CE), porque la orden de arresto de 26 de enero de 2021, emitida por el fiscal del rey de Marruecos, careció de control judicial en origen. De acuerdo con la información suministrada, la orden de detención la podría haber emitido también un juez de instrucción, sin que existiera imposibilidad alguna para ello. No se ha producido, por tanto, la necesaria intervención de una autoridad judicial, exigida en las SSTC 147/2020 y 147/2021, para garantizar la proporcionalidad de la solicitud de extradición, lo que tiene que verificarse en el país de origen, dado que afecta a derechos fundamentales, pues la extradición conlleva la privación de libertad del </w:t>
      </w:r>
      <w:r w:rsidRPr="009D7677">
        <w:rPr>
          <w:i/>
        </w:rPr>
        <w:t>extraditurus</w:t>
      </w:r>
      <w:r>
        <w:t xml:space="preserve"> y le impide la permanencia en territorio español mediante un traslado forzoso. En este caso no hay ninguna resolución judicial que controle la necesidad y proporcionalidad de la medida.</w:t>
      </w:r>
    </w:p>
    <w:p w14:paraId="018EC45D" w14:textId="77777777" w:rsidR="009D7677" w:rsidRDefault="009D7677" w:rsidP="009D7677">
      <w:pPr>
        <w:pStyle w:val="TextoNormal"/>
      </w:pPr>
    </w:p>
    <w:p w14:paraId="4523871B" w14:textId="631BC50E" w:rsidR="009D7677" w:rsidRDefault="009D7677" w:rsidP="009D7677">
      <w:pPr>
        <w:pStyle w:val="TextoNormal"/>
      </w:pPr>
      <w:r w:rsidRPr="009D7677">
        <w:rPr>
          <w:rStyle w:val="NumeroAFNegritaCaracter"/>
        </w:rPr>
        <w:t>4</w:t>
      </w:r>
      <w:r>
        <w:t>. Por escrito presentado el 10 de diciembre de 2021, el magistrado de este tribunal don Ramón Sáez Valcárcel manifestó su voluntad de abstenerse del conocimiento del presente recurso de amparo, al concurrir en su persona la causa establecida en el art. 219.16 de la Ley Orgánica del Poder Judicial, por haber tenido conocimiento procesal de los hechos y de las actuaciones seguidas en tanto que integrante de las salas que resolvieron tanto sobre la autorización de entrega del demandante como sobre el ulterior recurso de súplica formulado por el mismo. La Sección Cuarta de este tribunal, en el ATC 104/2021, de 13 de diciembre, estimó justificada su abstención.</w:t>
      </w:r>
    </w:p>
    <w:p w14:paraId="742D883D" w14:textId="77777777" w:rsidR="009D7677" w:rsidRDefault="009D7677" w:rsidP="009D7677">
      <w:pPr>
        <w:pStyle w:val="TextoNormal"/>
      </w:pPr>
    </w:p>
    <w:p w14:paraId="0DB2BFCD" w14:textId="77777777" w:rsidR="009D7677" w:rsidRDefault="009D7677" w:rsidP="009D7677">
      <w:pPr>
        <w:pStyle w:val="TextoNormal"/>
      </w:pPr>
      <w:r w:rsidRPr="009D7677">
        <w:rPr>
          <w:rStyle w:val="NumeroAFNegritaCaracter"/>
        </w:rPr>
        <w:t>5</w:t>
      </w:r>
      <w:r>
        <w:t>. La Sección Cuarta del Tribunal Constitucional, por providencia de 14 de diciembre de 2021, acordó admitir a trámite el recurso de amparo apreciando que concurre en el mismo una especial trascendencia constitucional [art. 50.1 de la Ley Orgánica del Tribunal Constitucional (LOTC)] como consecuencia de que el órgano judicial pudiera haber incurrido en una negativa manifiesta del deber de acatamiento de la doctrina de este tribunal [STC 155/2009, de 25 de junio, FJ 2 f)].</w:t>
      </w:r>
    </w:p>
    <w:p w14:paraId="24091F67" w14:textId="77777777" w:rsidR="009D7677" w:rsidRDefault="009D7677" w:rsidP="009D7677">
      <w:pPr>
        <w:pStyle w:val="TextoNormal"/>
      </w:pPr>
    </w:p>
    <w:p w14:paraId="1C319DEA" w14:textId="77777777" w:rsidR="009D7677" w:rsidRDefault="009D7677" w:rsidP="009D7677">
      <w:pPr>
        <w:pStyle w:val="TextoNormal"/>
      </w:pPr>
      <w:r>
        <w:t>Asimismo se acordó, en aplicación de lo dispuesto en el art. 51 LOTC, dirigir atenta comunicación a la Sección Primera de la Sala de lo Penal de la Audiencia Nacional para que, en plazo que no excediera de diez días, remitiera certificación o fotocopia adverada de las actuaciones correspondientes al rollo núm. 19-2021, dimanante del procedimiento de extradición pasiva núm. 14-2021 del Juzgado Central de Instrucción núm. 6, debiendo previamente emplazarse, para que en el plazo de diez días pudieran comparecer, si lo deseasen, en el recurso de amparo, a quienes hubieran sido parte en el procedimiento, excepto al recurrente en amparo.</w:t>
      </w:r>
    </w:p>
    <w:p w14:paraId="7CDB9845" w14:textId="77777777" w:rsidR="009D7677" w:rsidRDefault="009D7677" w:rsidP="009D7677">
      <w:pPr>
        <w:pStyle w:val="TextoNormal"/>
      </w:pPr>
    </w:p>
    <w:p w14:paraId="09F5EE54" w14:textId="64F2CB32" w:rsidR="009D7677" w:rsidRDefault="009D7677" w:rsidP="009D7677">
      <w:pPr>
        <w:pStyle w:val="TextoNormal"/>
      </w:pPr>
      <w:r>
        <w:t>Se apreció también en la providencia la urgencia excepcional a que se refiere el art. 56.6 LOTC, toda vez que la ejecución de las resoluciones impugnadas produciría un perjuicio de imposible o muy difícil reparación que haría perder su finalidad al recurso de amparo, lo que condujo a acordar la suspensión cautelar de la ejecución del auto de 8 de julio de 2021, por el que se autoriza la entrega del recurrente a las autoridades del Reino de Marruecos para su enjuiciamiento en ese país por los hechos a que se refiere la demanda de extradición, así como del auto de 20 de septiembre de 2021, por el que se desestima el recurso de súplica interpuesto contra el anterior.</w:t>
      </w:r>
    </w:p>
    <w:p w14:paraId="70A4D4A4" w14:textId="77777777" w:rsidR="009D7677" w:rsidRDefault="009D7677" w:rsidP="009D7677">
      <w:pPr>
        <w:pStyle w:val="TextoNormal"/>
      </w:pPr>
    </w:p>
    <w:p w14:paraId="58191645" w14:textId="7F0847D0" w:rsidR="009D7677" w:rsidRDefault="009D7677" w:rsidP="009D7677">
      <w:pPr>
        <w:pStyle w:val="TextoNormal"/>
      </w:pPr>
      <w:r w:rsidRPr="009D7677">
        <w:rPr>
          <w:rStyle w:val="NumeroAFNegritaCaracter"/>
        </w:rPr>
        <w:t>6</w:t>
      </w:r>
      <w:r>
        <w:t>. La Secretaría de Justicia de la Sala Segunda de este tribunal, mediante diligencia de ordenación de 18 de enero de 2022, acordó dar vista de las actuaciones por un plazo común de veinte días al recurrente y al Ministerio Fiscal, para que presentasen las alegaciones que estimasen pertinentes, conforme determina el art. 52.1 LOTC.</w:t>
      </w:r>
    </w:p>
    <w:p w14:paraId="58ED6CB2" w14:textId="77777777" w:rsidR="009D7677" w:rsidRDefault="009D7677" w:rsidP="009D7677">
      <w:pPr>
        <w:pStyle w:val="TextoNormal"/>
      </w:pPr>
    </w:p>
    <w:p w14:paraId="04D3688F" w14:textId="3D5EDBF0" w:rsidR="009D7677" w:rsidRDefault="009D7677" w:rsidP="009D7677">
      <w:pPr>
        <w:pStyle w:val="TextoNormal"/>
      </w:pPr>
      <w:r w:rsidRPr="009D7677">
        <w:rPr>
          <w:rStyle w:val="NumeroAFNegritaCaracter"/>
        </w:rPr>
        <w:t>7</w:t>
      </w:r>
      <w:r>
        <w:t>. Por escrito presentado en este tribunal el 15 de febrero de 2022, la representación procesal del recurrente formuló alegaciones en las que se ratificó íntegramente en la demanda de amparo, cuyas alegaciones dio por reproducidas.</w:t>
      </w:r>
    </w:p>
    <w:p w14:paraId="577FD823" w14:textId="77777777" w:rsidR="009D7677" w:rsidRDefault="009D7677" w:rsidP="009D7677">
      <w:pPr>
        <w:pStyle w:val="TextoNormal"/>
      </w:pPr>
    </w:p>
    <w:p w14:paraId="17DD378F" w14:textId="77777777" w:rsidR="009D7677" w:rsidRDefault="009D7677" w:rsidP="009D7677">
      <w:pPr>
        <w:pStyle w:val="TextoNormal"/>
      </w:pPr>
      <w:r w:rsidRPr="009D7677">
        <w:rPr>
          <w:rStyle w:val="NumeroAFNegritaCaracter"/>
        </w:rPr>
        <w:t>8</w:t>
      </w:r>
      <w:r>
        <w:t xml:space="preserve">. Por escrito presentado el 4 de marzo de 2022, el Ministerio Fiscal presentó alegaciones en las que solicitó la estimación del recurso de amparo, declarando la nulidad de las resoluciones judiciales impugnadas, por entender que vulneraron el derecho fundamental </w:t>
      </w:r>
      <w:r>
        <w:lastRenderedPageBreak/>
        <w:t>del recurrente a la tutela judicial efectiva (art. 24.1 CE), en conexión con el derecho a la libertad (art. 17.1 CE).</w:t>
      </w:r>
    </w:p>
    <w:p w14:paraId="2307017B" w14:textId="77777777" w:rsidR="009D7677" w:rsidRDefault="009D7677" w:rsidP="009D7677">
      <w:pPr>
        <w:pStyle w:val="TextoNormal"/>
      </w:pPr>
    </w:p>
    <w:p w14:paraId="0DA63042" w14:textId="77777777" w:rsidR="009D7677" w:rsidRDefault="009D7677" w:rsidP="009D7677">
      <w:pPr>
        <w:pStyle w:val="TextoNormal"/>
      </w:pPr>
      <w:r>
        <w:t>El Ministerio Fiscal encuadra la cuestión suscitada en el recurso de amparo en la falta de habilitación legal de la solicitud de extradición formulada por el Reino de Marruecos, en tanto se funda en una orden internacional de detención dictada por el fiscal del rey ante el Juzgado de Primera Instancia de Safi, sin que exista una resolución judicial que la corrobore, apartándose las resoluciones judiciales impugnadas de la doctrina establecida en las SSTC 147/2020, de 19 de octubre, y 147/2021, de 12 de julio. Doctrina que sintetiza y de la que destaca, mediante extensa cita literal de los fundamentos jurídicos 7 y 8 de la primera de ellas, el valor hermenéutico e integrador que el Tribunal Constitucional atribuye (art. 10.2 CE) a los pronunciamientos del Tribunal de Justicia de la Unión Europea relativos a la orden europea de detención y entrega (Decisión Marco 2002/584/JAI) para incorporar a la tutela judicial efectiva de los derechos a la libertad personal y a la libertad de circulación, en los procedimientos de extradición pasiva, la exigencia de que en el país reclamante exista un control judicial de la ponderación de la necesidad de la medida.</w:t>
      </w:r>
    </w:p>
    <w:p w14:paraId="080A2366" w14:textId="77777777" w:rsidR="009D7677" w:rsidRDefault="009D7677" w:rsidP="009D7677">
      <w:pPr>
        <w:pStyle w:val="TextoNormal"/>
      </w:pPr>
    </w:p>
    <w:p w14:paraId="2E417390" w14:textId="77777777" w:rsidR="009D7677" w:rsidRDefault="009D7677" w:rsidP="009D7677">
      <w:pPr>
        <w:pStyle w:val="TextoNormal"/>
      </w:pPr>
      <w:r>
        <w:t>El Ministerio Fiscal considera que las condiciones en las que se expide la solicitud de extradición por el fiscal del rey de Marruecos no reúnen las características establecidas por la doctrina constitucional citada, en cuanto se establece la posibilidad de que la autoridad emisora (el fiscal del rey) esté sujeto a instrucciones de la autoridad jerárquica superior, no se prevé la inexcusable concurrencia de una autoridad judicial que controle la necesidad y proporcionalidad de la medida y no se contempla la posibilidad de un recurso judicial antes de la entrega de la persona reclamada por el Estado que debe efectuar la entrega.</w:t>
      </w:r>
    </w:p>
    <w:p w14:paraId="0086C9A0" w14:textId="77777777" w:rsidR="009D7677" w:rsidRDefault="009D7677" w:rsidP="009D7677">
      <w:pPr>
        <w:pStyle w:val="TextoNormal"/>
      </w:pPr>
    </w:p>
    <w:p w14:paraId="5DC72D23" w14:textId="05A5362F" w:rsidR="009D7677" w:rsidRDefault="009D7677" w:rsidP="009D7677">
      <w:pPr>
        <w:pStyle w:val="TextoNormal"/>
      </w:pPr>
      <w:r>
        <w:t>Como consideración adicional, el Ministerio Fiscal plantea la posibilidad de que el presente recurso de amparo sirva de oportunidad para que este tribunal aclare o cambie la doctrina sentada en las citadas SSTC 147/2020 y 147/2021, a cuyo efecto señala que el recurso de amparo núm. 7490-2021, que plantea la misma cuestión, ha sido admitido a trámite por providencia de 1 de diciembre de 2021 de la Sección Primera de la Sala Primera de este tribunal, en virtud del supuesto de especial trascendencia constitucional enunciado en la letra b) del fundamento jurídico 2 de la STC 155/2009.</w:t>
      </w:r>
    </w:p>
    <w:p w14:paraId="12988D91" w14:textId="77777777" w:rsidR="009D7677" w:rsidRDefault="009D7677" w:rsidP="009D7677">
      <w:pPr>
        <w:pStyle w:val="TextoNormal"/>
      </w:pPr>
    </w:p>
    <w:p w14:paraId="03322D87" w14:textId="37095442" w:rsidR="009D7677" w:rsidRDefault="009D7677" w:rsidP="009D7677">
      <w:pPr>
        <w:pStyle w:val="TextoNormal"/>
      </w:pPr>
      <w:r w:rsidRPr="009D7677">
        <w:rPr>
          <w:rStyle w:val="NumeroAFNegritaCaracter"/>
        </w:rPr>
        <w:t>9</w:t>
      </w:r>
      <w:r>
        <w:t>. Mediante providencia de 4 de abril de 2024, se señaló para deliberación y votación de la presente sentencia el siguiente día 8 del mismo mes y año.</w:t>
      </w:r>
    </w:p>
    <w:p w14:paraId="17A15BE6" w14:textId="77777777" w:rsidR="009D7677" w:rsidRDefault="009D7677" w:rsidP="009D7677">
      <w:pPr>
        <w:pStyle w:val="TextoNormal"/>
      </w:pPr>
    </w:p>
    <w:p w14:paraId="6F76F208" w14:textId="77777777" w:rsidR="009D7677" w:rsidRDefault="009D7677" w:rsidP="009D7677">
      <w:pPr>
        <w:pStyle w:val="TextoNormalNegritaCentrado"/>
        <w:keepNext/>
      </w:pPr>
      <w:r>
        <w:t>II. Fundamentos jurídicos</w:t>
      </w:r>
    </w:p>
    <w:p w14:paraId="0F9189A6" w14:textId="5D5A6238" w:rsidR="009D7677" w:rsidRDefault="009D7677" w:rsidP="009D7677">
      <w:pPr>
        <w:pStyle w:val="TextoNormalNegritaCentrado"/>
        <w:keepNext/>
      </w:pPr>
    </w:p>
    <w:p w14:paraId="4817217E" w14:textId="77777777" w:rsidR="009D7677" w:rsidRDefault="009D7677" w:rsidP="009D7677">
      <w:pPr>
        <w:pStyle w:val="TextoNormal"/>
      </w:pPr>
      <w:r w:rsidRPr="009D7677">
        <w:rPr>
          <w:rStyle w:val="NumeroAFNegritaCaracter"/>
        </w:rPr>
        <w:t>1</w:t>
      </w:r>
      <w:r>
        <w:t xml:space="preserve">. </w:t>
      </w:r>
      <w:r w:rsidRPr="009D7677">
        <w:rPr>
          <w:i/>
        </w:rPr>
        <w:t>Objeto del proceso y pretensiones deducidas</w:t>
      </w:r>
    </w:p>
    <w:p w14:paraId="77CDD263" w14:textId="77777777" w:rsidR="009D7677" w:rsidRDefault="009D7677" w:rsidP="009D7677">
      <w:pPr>
        <w:pStyle w:val="TextoNormal"/>
      </w:pPr>
    </w:p>
    <w:p w14:paraId="7BF3DD91" w14:textId="77777777" w:rsidR="009D7677" w:rsidRDefault="009D7677" w:rsidP="009D7677">
      <w:pPr>
        <w:pStyle w:val="TextoNormal"/>
      </w:pPr>
      <w:r>
        <w:t>La demanda de amparo interesa la nulidad del auto núm. 561/2021, de 8 de julio, dictado por la Sección Primera de la Sala de lo Penal de la Audiencia Nacional, que acordó haber lugar en fase judicial a la extradición del demandante al Reino de Marruecos al objeto de ser enjuiciado por los hechos referidos en la petición de extradición (que en nuestro ordenamiento penal podrían ser constitutivos de los delitos contra la salud pública de sustancia que no perjudica gravemente a la salud y de extorsión, previstos respectivamente en los arts. 368 y 243 del Código penal), y del auto núm. 61/2021, de 20 de septiembre, dic</w:t>
      </w:r>
      <w:r>
        <w:lastRenderedPageBreak/>
        <w:t>tado por el Pleno de la Sala de lo Penal de la Audiencia Nacional, que confirmó en súplica el anterior.</w:t>
      </w:r>
    </w:p>
    <w:p w14:paraId="5D0CABDD" w14:textId="77777777" w:rsidR="009D7677" w:rsidRDefault="009D7677" w:rsidP="009D7677">
      <w:pPr>
        <w:pStyle w:val="TextoNormal"/>
      </w:pPr>
    </w:p>
    <w:p w14:paraId="6E91481E" w14:textId="77777777" w:rsidR="009D7677" w:rsidRDefault="009D7677" w:rsidP="009D7677">
      <w:pPr>
        <w:pStyle w:val="TextoNormal"/>
      </w:pPr>
      <w:r>
        <w:t>El recurrente aduce que las resoluciones judiciales impugnadas han vulnerado sus derechos a la tutela judicial efectiva (art. 24.1 CE), a un proceso con todas las garantías (art. 24.2 CE), y a la libertad personal (art. 17.1 CE), porque la orden de arresto de 26 de enero de 2021 emitida por el fiscal del rey de Marruecos, careció del control judicial en origen exigido en las SSTC 147/2020, de 19 de octubre, y 147/2021, de 12 de julio, para garantizar su necesidad y proporcionalidad.</w:t>
      </w:r>
    </w:p>
    <w:p w14:paraId="526B6E9B" w14:textId="77777777" w:rsidR="009D7677" w:rsidRDefault="009D7677" w:rsidP="009D7677">
      <w:pPr>
        <w:pStyle w:val="TextoNormal"/>
      </w:pPr>
    </w:p>
    <w:p w14:paraId="53BE5E43" w14:textId="285BBDC8" w:rsidR="009D7677" w:rsidRDefault="009D7677" w:rsidP="009D7677">
      <w:pPr>
        <w:pStyle w:val="TextoNormal"/>
      </w:pPr>
      <w:r>
        <w:t>El Ministerio Fiscal apoya la estimación del recurso de amparo e interesa en consecuencia que se declare la nulidad de las resoluciones judiciales impugnadas, si bien de manera subsidiaria plantea la posibilidad de que se este tribunal aclare o modifique la doctrina sentada en las SSTC 147/2020 y 147/2021.</w:t>
      </w:r>
    </w:p>
    <w:p w14:paraId="3E59F7A0" w14:textId="77777777" w:rsidR="009D7677" w:rsidRDefault="009D7677" w:rsidP="009D7677">
      <w:pPr>
        <w:pStyle w:val="TextoNormal"/>
      </w:pPr>
    </w:p>
    <w:p w14:paraId="12D2F173" w14:textId="77777777" w:rsidR="009D7677" w:rsidRDefault="009D7677" w:rsidP="009D7677">
      <w:pPr>
        <w:pStyle w:val="TextoNormal"/>
      </w:pPr>
      <w:r w:rsidRPr="009D7677">
        <w:rPr>
          <w:rStyle w:val="NumeroAFNegritaCaracter"/>
        </w:rPr>
        <w:t>2</w:t>
      </w:r>
      <w:r>
        <w:t xml:space="preserve">. </w:t>
      </w:r>
      <w:r w:rsidRPr="009D7677">
        <w:rPr>
          <w:i/>
        </w:rPr>
        <w:t>La tutela judicial de la libertad en los procedimientos de extradición pasiva. STC</w:t>
      </w:r>
      <w:r>
        <w:t xml:space="preserve"> 17/2024, </w:t>
      </w:r>
      <w:r w:rsidRPr="009D7677">
        <w:rPr>
          <w:i/>
        </w:rPr>
        <w:t>de 31 de enero</w:t>
      </w:r>
    </w:p>
    <w:p w14:paraId="3BE7F9A9" w14:textId="77777777" w:rsidR="009D7677" w:rsidRDefault="009D7677" w:rsidP="009D7677">
      <w:pPr>
        <w:pStyle w:val="TextoNormal"/>
      </w:pPr>
    </w:p>
    <w:p w14:paraId="13C724BE" w14:textId="77777777" w:rsidR="009D7677" w:rsidRDefault="009D7677" w:rsidP="009D7677">
      <w:pPr>
        <w:pStyle w:val="TextoNormal"/>
      </w:pPr>
      <w:r>
        <w:t>Como ha quedado expuesto en el relato de antecedentes, este recurso de amparo fue admitido a trámite apreciando la concurrencia de especial trascendencia constitucional (art. 50.1 LOTC) como consecuencia de que el órgano judicial pudiera haber incurrido en una negativa manifiesta del deber de acatamiento de la doctrina de este tribunal [STC 155/2009, de 25 de junio, FJ 2 f)], referida, claro está, a la contenida en las citadas SSTC 147/2020 y 147/2021, expresamente invocadas por el recurrente como fundamento de su demanda de amparo. Sin embargo, esa doctrina ha sido recientemente matizada y aclarada por el Pleno del Tribunal en su STC 17/2024, de 31 de enero, que desestima el recurso de amparo interpuesto por un ciudadano marroquí contra los autos de la Sala de lo Penal de la Audiencia Nacional (Sección Segunda y Pleno) que autorizaron su entrega al Reino de Marruecos para ser juzgado por un delito de tráfico de sustancias estupefacientes, dando curso a una solicitud de extradición que se fundaba, como en el presente caso, en una orden internacional de detención emitida por el fiscal del rey que carecía de refrendo judicial. En consecuencia, a la doctrina sentada en la STC 17/2024 habrá de estarse para resolver el presente recurso de amparo.</w:t>
      </w:r>
    </w:p>
    <w:p w14:paraId="7F135A17" w14:textId="77777777" w:rsidR="009D7677" w:rsidRDefault="009D7677" w:rsidP="009D7677">
      <w:pPr>
        <w:pStyle w:val="TextoNormal"/>
      </w:pPr>
    </w:p>
    <w:p w14:paraId="49A5ADB9" w14:textId="77777777" w:rsidR="009D7677" w:rsidRDefault="009D7677" w:rsidP="009D7677">
      <w:pPr>
        <w:pStyle w:val="TextoNormal"/>
      </w:pPr>
      <w:r>
        <w:t xml:space="preserve">En efecto, en la STC 17/2024, de 31 de enero, se ha aclarado y matizado la doctrina constitucional sobre la tutela judicial del derecho a la libertad en los procedimientos de extradición pasiva fijada en las SSTC 147/2020 y 147/2021, en el sentido de distinguir una garantía básica, consistente en que el órgano judicial verifique, al examinar la petición de extradición, la imparcialidad de la autoridad que la ha emitido, garantía inherente al deber de motivación reforzada de una decisión que ha de afectar necesariamente a la esfera de la libertad personal del reclamado; y una garantía específica, consistente en que la solicitud venga refrendada por una autoridad judicial desde el mismo país de origen. Esta segunda garantía, fundada en el art. 7.1 a) LEP, es de directa aplicación en caso de ausencia de convenio extradicional con el Estado reclamante (STC 147/2021, FJ 4), pero puede verse modulada en función de lo previsto en el convenio de extradición vigente entre las partes, en tanto que fuente normativa de aplicación preferente en los términos del art. 1.1 LEP, de modo que, aun cuando sea una exigencia inherente a la tutela judicial efectiva del derecho a la libertad personal del </w:t>
      </w:r>
      <w:r w:rsidRPr="009D7677">
        <w:rPr>
          <w:i/>
        </w:rPr>
        <w:t>extraditurus</w:t>
      </w:r>
      <w:r>
        <w:t xml:space="preserve"> que nuestros tribunales verifiquen que la necesidad </w:t>
      </w:r>
      <w:r>
        <w:lastRenderedPageBreak/>
        <w:t>y proporcionalidad de la medida ha sido debidamente ponderada por un órgano judicial del país emisor, dicha intermediación judicial puede dispensarse excepcionalmente cuando concurran las siguientes exigencias (STC 17/2024, FJ 3):</w:t>
      </w:r>
    </w:p>
    <w:p w14:paraId="35B696AB" w14:textId="77777777" w:rsidR="009D7677" w:rsidRDefault="009D7677" w:rsidP="009D7677">
      <w:pPr>
        <w:pStyle w:val="TextoNormal"/>
      </w:pPr>
    </w:p>
    <w:p w14:paraId="42E13817" w14:textId="77777777" w:rsidR="009D7677" w:rsidRDefault="009D7677" w:rsidP="009D7677">
      <w:pPr>
        <w:pStyle w:val="TextoNormal"/>
      </w:pPr>
      <w:r>
        <w:t>(i) Que se trate de un procedimiento de extradición regido por un convenio bilateral o multilateral que admita la posibilidad de que la petición de entrega pueda emanar de una autoridad no jurisdiccional.</w:t>
      </w:r>
    </w:p>
    <w:p w14:paraId="6A94D96E" w14:textId="77777777" w:rsidR="009D7677" w:rsidRDefault="009D7677" w:rsidP="009D7677">
      <w:pPr>
        <w:pStyle w:val="TextoNormal"/>
      </w:pPr>
    </w:p>
    <w:p w14:paraId="233EFAF9" w14:textId="77777777" w:rsidR="009D7677" w:rsidRDefault="009D7677" w:rsidP="009D7677">
      <w:pPr>
        <w:pStyle w:val="TextoNormal"/>
      </w:pPr>
      <w:r>
        <w:t>(ii) Que el país requirente suministre información suficientemente expresiva de que se trata de una autoridad que, conforme a su legislación interna, está facultada para emitir una solicitud de extradición en condiciones equivalentes a las de una autoridad judicial.</w:t>
      </w:r>
    </w:p>
    <w:p w14:paraId="1CCBC13A" w14:textId="77777777" w:rsidR="009D7677" w:rsidRDefault="009D7677" w:rsidP="009D7677">
      <w:pPr>
        <w:pStyle w:val="TextoNormal"/>
      </w:pPr>
    </w:p>
    <w:p w14:paraId="172A73AF" w14:textId="4FC0958D" w:rsidR="009D7677" w:rsidRDefault="009D7677" w:rsidP="009D7677">
      <w:pPr>
        <w:pStyle w:val="TextoNormal"/>
      </w:pPr>
      <w:r>
        <w:t>(iii) Que el contenido de la solicitud y de la documentación anexa proporcione a los órganos judiciales españoles la información necesaria para verificar que la misma resulta necesaria y proporcionada.</w:t>
      </w:r>
    </w:p>
    <w:p w14:paraId="7A831099" w14:textId="77777777" w:rsidR="009D7677" w:rsidRDefault="009D7677" w:rsidP="009D7677">
      <w:pPr>
        <w:pStyle w:val="TextoNormal"/>
      </w:pPr>
    </w:p>
    <w:p w14:paraId="0988420D" w14:textId="77777777" w:rsidR="009D7677" w:rsidRDefault="009D7677" w:rsidP="009D7677">
      <w:pPr>
        <w:pStyle w:val="TextoNormal"/>
      </w:pPr>
      <w:r w:rsidRPr="009D7677">
        <w:rPr>
          <w:rStyle w:val="NumeroAFNegritaCaracter"/>
        </w:rPr>
        <w:t>3</w:t>
      </w:r>
      <w:r>
        <w:t xml:space="preserve">. </w:t>
      </w:r>
      <w:r w:rsidRPr="009D7677">
        <w:rPr>
          <w:i/>
        </w:rPr>
        <w:t>Análisis de la vulneración denunciada en el recurso y resolución del asunto</w:t>
      </w:r>
    </w:p>
    <w:p w14:paraId="709AE0DC" w14:textId="77777777" w:rsidR="009D7677" w:rsidRDefault="009D7677" w:rsidP="009D7677">
      <w:pPr>
        <w:pStyle w:val="TextoNormal"/>
      </w:pPr>
    </w:p>
    <w:p w14:paraId="0A07B712" w14:textId="77777777" w:rsidR="009D7677" w:rsidRDefault="009D7677" w:rsidP="009D7677">
      <w:pPr>
        <w:pStyle w:val="TextoNormal"/>
      </w:pPr>
      <w:r>
        <w:t>Como en el recurso de amparo resuelto por la STC 17/2024, en el presente caso el recurrente impugna los autos dictados por la Sala de lo Penal de la Audiencia Nacional (Sección Primera y Pleno) que autorizaron su entrega al Reino de Marruecos para ser juzgado por un delito de tráfico de sustancias estupefacientes (y otros delitos), en virtud de una solicitud de extradición fundada en una orden internacional de detención emitida por el fiscal del rey de Marruecos, carente de refrendo judicial.</w:t>
      </w:r>
    </w:p>
    <w:p w14:paraId="51E51FCA" w14:textId="77777777" w:rsidR="009D7677" w:rsidRDefault="009D7677" w:rsidP="009D7677">
      <w:pPr>
        <w:pStyle w:val="TextoNormal"/>
      </w:pPr>
    </w:p>
    <w:p w14:paraId="3B90E55F" w14:textId="77777777" w:rsidR="009D7677" w:rsidRDefault="009D7677" w:rsidP="009D7677">
      <w:pPr>
        <w:pStyle w:val="TextoNormal"/>
      </w:pPr>
      <w:r>
        <w:t>El recurrente combate esas resoluciones judiciales, por entenderlas lesivas de sus derechos a la tutela judicial efectiva, a un proceso con todas las garantías y a la libertad personal, con el argumento de que, careciendo la orden de detención emitida por el fiscal del rey de Marruecos de control judicial en dicho país (en el que, por otra parte, esa orden podría haber sido emitida también por un juez de instrucción), la decisión de autorizar la extradición al Reino de Marruecos incumple la doctrina sentada en las SSTC 147/2020 y 147/2021, que interpreta el recurrente en el sentido de que la falta de refrendo judicial equivale a una falta de necesidad y proporcionalidad de la medida, lesiva en consecuencia de los derechos fundamentales invocados.</w:t>
      </w:r>
    </w:p>
    <w:p w14:paraId="113562F1" w14:textId="77777777" w:rsidR="009D7677" w:rsidRDefault="009D7677" w:rsidP="009D7677">
      <w:pPr>
        <w:pStyle w:val="TextoNormal"/>
      </w:pPr>
    </w:p>
    <w:p w14:paraId="27DED18E" w14:textId="77777777" w:rsidR="009D7677" w:rsidRDefault="009D7677" w:rsidP="009D7677">
      <w:pPr>
        <w:pStyle w:val="TextoNormal"/>
      </w:pPr>
      <w:r>
        <w:t>De conformidad con la doctrina sentada en la STC 17/2024, resumida en el fundamento jurídico precedente, el planteamiento del recurrente no puede ser asumido, pues el art. 12 a) del Convenio de extradición entre el Reino de España y el Reino de Marruecos, suscrito en Rabat el 24 de junio de 2009, no exige que se dicte una resolución judicial como punto de partida de la solicitud de entrega del reclamado, por lo que la documentación remitida en apoyo de la solicitud de extradición no queda fuera de la cobertura legal conformada por las fuentes aplicables (el Convenio bilateral de extradición y la LEP). Por otra parte, la información complementaria remitida por el Estado requirente es suficientemente expresiva de la integración de la fiscalía de Marruecos en el órgano judicial, de sus condiciones de imparcialidad y del valor equivalente que la legislación del país otorga a las órdenes internacionales de arresto emitidas por el fiscal respecto de las emitidas por un juez de instrucción en el ámbito de su competencia, lo que excluye la necesidad de su validación judicial.</w:t>
      </w:r>
    </w:p>
    <w:p w14:paraId="4385EA55" w14:textId="77777777" w:rsidR="009D7677" w:rsidRDefault="009D7677" w:rsidP="009D7677">
      <w:pPr>
        <w:pStyle w:val="TextoNormal"/>
      </w:pPr>
    </w:p>
    <w:p w14:paraId="64D0F65D" w14:textId="77777777" w:rsidR="009D7677" w:rsidRDefault="009D7677" w:rsidP="009D7677">
      <w:pPr>
        <w:pStyle w:val="TextoNormal"/>
      </w:pPr>
      <w:r>
        <w:t>Como hemos advertido en la STC 17/2024, FJ 4, “[l]a misión de los tribunales españoles se ha de limitar a depurar aquellas solicitudes de extradición que presenten indicios de falta de proporcionalidad o de fundamento, mediante el examen en concreto de las alegaciones y documentos aportados por la persona reclamada, y de las razones y documentos aportados por las autoridades requirentes junto con la petición de extradición o de aquellos otros que el tribunal español pueda solicitar como complemento de los anteriores”.</w:t>
      </w:r>
    </w:p>
    <w:p w14:paraId="66D7C61D" w14:textId="77777777" w:rsidR="009D7677" w:rsidRDefault="009D7677" w:rsidP="009D7677">
      <w:pPr>
        <w:pStyle w:val="TextoNormal"/>
      </w:pPr>
    </w:p>
    <w:p w14:paraId="31DE0598" w14:textId="0A2C24B1" w:rsidR="009D7677" w:rsidRDefault="009D7677" w:rsidP="009D7677">
      <w:pPr>
        <w:pStyle w:val="TextoNormal"/>
      </w:pPr>
      <w:r>
        <w:t>En este caso, como en el resuelto por la STC 17/2024, la documentación remitida por las autoridades marroquíes por vía diplomática, que incluye la orden internacional de detención y la solicitud de extradición expedidas por el fiscal del rey, contiene una exposición circunstanciada tanto de los hechos imputados al demandante de amparo como de su calificación jurídica, así como de las diligencias de investigación practicadas bajo la dirección de la fiscalía marroquí, en cuyo resultado se funda dicha imputación, en términos que no permiten poner en duda la necesidad y proporcionalidad de su decisión de solicitar la entrega del reclamado para asegurar su enjuiciamiento. Procede por ello declarar que las resoluciones judiciales impugnadas, al dar curso en vía jurisdiccional a dicha solicitud, no han vulnerado los derechos fundamentales sustantivos y procesales invocados en la demanda de amparo.</w:t>
      </w:r>
    </w:p>
    <w:p w14:paraId="382B5357" w14:textId="77777777" w:rsidR="009D7677" w:rsidRDefault="009D7677" w:rsidP="009D7677">
      <w:pPr>
        <w:pStyle w:val="TextoNormal"/>
      </w:pPr>
    </w:p>
    <w:p w14:paraId="3DD3C34B" w14:textId="77777777" w:rsidR="009D7677" w:rsidRDefault="009D7677" w:rsidP="009D7677">
      <w:pPr>
        <w:pStyle w:val="TextoNormalCentrado"/>
        <w:keepNext/>
      </w:pPr>
      <w:r>
        <w:t>FALLO</w:t>
      </w:r>
    </w:p>
    <w:p w14:paraId="4C0D0568" w14:textId="2A955467" w:rsidR="009D7677" w:rsidRDefault="009D7677" w:rsidP="009D7677">
      <w:pPr>
        <w:pStyle w:val="TextoNormalCentrado"/>
        <w:keepNext/>
      </w:pPr>
    </w:p>
    <w:p w14:paraId="59848B81" w14:textId="4CE8B08D" w:rsidR="009D7677" w:rsidRDefault="009D7677" w:rsidP="009D7677">
      <w:pPr>
        <w:pStyle w:val="TextoNormal"/>
      </w:pPr>
      <w:r>
        <w:t>En atención a todo lo expuesto, el Tribunal Constitucional, por la autoridad que le confiere la Constitución de la Nación española, ha decidido desestimar el presente recurso de amparo.</w:t>
      </w:r>
    </w:p>
    <w:p w14:paraId="7C828B0B" w14:textId="77777777" w:rsidR="009D7677" w:rsidRDefault="009D7677" w:rsidP="009D7677">
      <w:pPr>
        <w:pStyle w:val="TextoNormal"/>
      </w:pPr>
    </w:p>
    <w:p w14:paraId="0BD398A1" w14:textId="77777777" w:rsidR="009D7677" w:rsidRDefault="009D7677" w:rsidP="009D7677">
      <w:pPr>
        <w:pStyle w:val="TextoNormal"/>
      </w:pPr>
      <w:r>
        <w:t>Publíquese esta sentencia en el “Boletín Oficial del Estado”.</w:t>
      </w:r>
    </w:p>
    <w:p w14:paraId="561F6155" w14:textId="77777777" w:rsidR="009D7677" w:rsidRDefault="009D7677" w:rsidP="009D7677">
      <w:pPr>
        <w:pStyle w:val="TextoNormal"/>
      </w:pPr>
      <w:r>
        <w:t>Dada en Madrid, a ocho de abril de dos mil veinticuatro.</w:t>
      </w:r>
    </w:p>
    <w:p w14:paraId="6C2B1B25" w14:textId="4CBD5373" w:rsidR="009D7677" w:rsidRDefault="009D7677">
      <w:pPr>
        <w:spacing w:after="160" w:line="259" w:lineRule="auto"/>
        <w:rPr>
          <w:rFonts w:ascii="Times New Roman" w:eastAsia="Times New Roman" w:hAnsi="Times New Roman" w:cs="Times New Roman"/>
          <w:sz w:val="24"/>
          <w:szCs w:val="24"/>
          <w:lang w:eastAsia="es-ES"/>
        </w:rPr>
      </w:pPr>
      <w:r>
        <w:br w:type="page"/>
      </w:r>
    </w:p>
    <w:p w14:paraId="68583F3F" w14:textId="77777777" w:rsidR="009D7677" w:rsidRDefault="009D7677" w:rsidP="009D7677">
      <w:pPr>
        <w:pStyle w:val="TtuloResolucin"/>
      </w:pPr>
      <w:bookmarkStart w:id="54" w:name="SENTENCIA_2024_52"/>
      <w:r>
        <w:lastRenderedPageBreak/>
        <w:t>SENTENCIA 52/2024, de 8 de abril de 2024</w:t>
      </w:r>
    </w:p>
    <w:bookmarkEnd w:id="54"/>
    <w:p w14:paraId="29256F7B" w14:textId="77777777" w:rsidR="009D7677" w:rsidRDefault="009D7677" w:rsidP="009D7677">
      <w:pPr>
        <w:pStyle w:val="TtuloResolucin"/>
      </w:pPr>
      <w:r>
        <w:t>Sala Primera</w:t>
      </w:r>
    </w:p>
    <w:p w14:paraId="67BFB6BF" w14:textId="77777777" w:rsidR="009D7677" w:rsidRDefault="009D7677" w:rsidP="009D7677">
      <w:pPr>
        <w:pStyle w:val="TtuloBOE"/>
      </w:pPr>
      <w:r>
        <w:t>(BOE núm. 118, de 15 de mayo de 2024)</w:t>
      </w:r>
    </w:p>
    <w:p w14:paraId="0862E050" w14:textId="77777777" w:rsidR="009D7677" w:rsidRDefault="009D7677" w:rsidP="009D7677">
      <w:pPr>
        <w:pStyle w:val="TextoNormalCentrado"/>
      </w:pPr>
      <w:r>
        <w:t>ECLI:ES:TC:2024:52</w:t>
      </w:r>
    </w:p>
    <w:p w14:paraId="6AE93344" w14:textId="0F609C8F" w:rsidR="009D7677" w:rsidRDefault="009D7677" w:rsidP="009D7677">
      <w:pPr>
        <w:pStyle w:val="TextoNormalCentrado"/>
      </w:pPr>
    </w:p>
    <w:p w14:paraId="026FCED1" w14:textId="77777777" w:rsidR="009D7677" w:rsidRDefault="009D7677" w:rsidP="009D7677">
      <w:pPr>
        <w:pStyle w:val="SntesisDescriptiva"/>
      </w:pPr>
      <w:r>
        <w:t>Recurso de amparo 7490-2021. Promovido por don Yi Liu respecto de los autos dictados por la Sección Cuarta y el Pleno de la Sala de lo Penal de la Audiencia Nacional que autorizaron su extradición a la República Popular China.</w:t>
      </w:r>
    </w:p>
    <w:p w14:paraId="5C18E0AC" w14:textId="41700B57" w:rsidR="009D7677" w:rsidRDefault="009D7677" w:rsidP="009D7677">
      <w:pPr>
        <w:pStyle w:val="SntesisDescriptiva"/>
      </w:pPr>
    </w:p>
    <w:p w14:paraId="2FD63B30" w14:textId="77777777" w:rsidR="009D7677" w:rsidRDefault="009D7677" w:rsidP="009D7677">
      <w:pPr>
        <w:pStyle w:val="SntesisAnaltica"/>
      </w:pPr>
      <w:r>
        <w:t>Supuesta vulneración de los derechos a la libertad personal, a la tutela judicial efectiva y a un proceso con todas las garantías: resoluciones judiciales que acuerdan la extradición a partir de una documentación que no permite poner en duda la necesidad y proporcionalidad de solicitar la entrega para asegurar el enjuiciamiento del afectado a partir de una orden de detención, refrendada por la Fiscalía Popular (STC 17/2024).</w:t>
      </w:r>
    </w:p>
    <w:p w14:paraId="13DE1964" w14:textId="4B3E4B29" w:rsidR="009D7677" w:rsidRDefault="009D7677" w:rsidP="009D7677">
      <w:pPr>
        <w:pStyle w:val="SntesisAnaltica"/>
      </w:pPr>
    </w:p>
    <w:p w14:paraId="3536BEA3" w14:textId="657B4A71" w:rsidR="009D7677" w:rsidRDefault="009D7677" w:rsidP="009D7677">
      <w:pPr>
        <w:pStyle w:val="Extracto"/>
      </w:pPr>
      <w:r>
        <w:t>1.</w:t>
      </w:r>
      <w:r>
        <w:tab/>
        <w:t>La intermediación judicial puede dispensarse excepcionalmente cuando concurran las siguientes exigencias: (i) En procedimiento de extradición regido por un convenio bilateral o multilateral que admita la posibilidad de que la petición de entrega pueda emanar de una autoridad distinta a la autoridad judicial; (ii) Que el país requirente suministre información suficientemente expresiva de que se trata de una autoridad facultada para emitir una solicitud de extradición en condiciones equivalentes a las de una autoridad judicial. (iii) Que el contenido de la solicitud y de la documentación anexa proporcione a los órganos judiciales españoles la información necesaria para verificar que la misma resulta necesaria y proporcionada (STC 17/2024) [FJ 3].</w:t>
      </w:r>
    </w:p>
    <w:p w14:paraId="4B4AB10D" w14:textId="77777777" w:rsidR="009D7677" w:rsidRDefault="009D7677" w:rsidP="009D7677">
      <w:pPr>
        <w:pStyle w:val="Extracto"/>
      </w:pPr>
    </w:p>
    <w:p w14:paraId="720E4723" w14:textId="77777777" w:rsidR="009D7677" w:rsidRDefault="009D7677" w:rsidP="009D7677">
      <w:pPr>
        <w:pStyle w:val="Extracto"/>
      </w:pPr>
    </w:p>
    <w:p w14:paraId="68B74911" w14:textId="77777777" w:rsidR="009D7677" w:rsidRDefault="009D7677" w:rsidP="009D7677">
      <w:pPr>
        <w:pStyle w:val="TextoNormal"/>
      </w:pPr>
      <w:r>
        <w:t>La Sala Primera del Tribunal Constitucional, compuesta por el magistrado don Cándido Conde-Pumpido Tourón, presidente, y los magistrados y magistradas don Ricardo Enríquez Sancho, doña María Luisa Segoviano Astaburuaga y don Juan Carlos Campo Moreno, ha pronunciado</w:t>
      </w:r>
    </w:p>
    <w:p w14:paraId="3723C86E" w14:textId="39FE3801" w:rsidR="009D7677" w:rsidRDefault="009D7677" w:rsidP="009D7677">
      <w:pPr>
        <w:pStyle w:val="TextoNormal"/>
      </w:pPr>
    </w:p>
    <w:p w14:paraId="02094621" w14:textId="77777777" w:rsidR="009D7677" w:rsidRDefault="009D7677" w:rsidP="009D7677">
      <w:pPr>
        <w:pStyle w:val="TextoNormalCentrado"/>
        <w:keepNext/>
      </w:pPr>
      <w:r>
        <w:t>EN NOMBRE DEL REY</w:t>
      </w:r>
    </w:p>
    <w:p w14:paraId="28164C9E" w14:textId="7A86020A" w:rsidR="009D7677" w:rsidRDefault="009D7677" w:rsidP="009D7677">
      <w:pPr>
        <w:pStyle w:val="TextoNormalCentrado"/>
        <w:keepNext/>
      </w:pPr>
    </w:p>
    <w:p w14:paraId="388EA9D7" w14:textId="77777777" w:rsidR="009D7677" w:rsidRDefault="009D7677" w:rsidP="009D7677">
      <w:pPr>
        <w:pStyle w:val="TextoNormalCentrado"/>
        <w:keepNext/>
      </w:pPr>
    </w:p>
    <w:p w14:paraId="19CCA7D7" w14:textId="77777777" w:rsidR="009D7677" w:rsidRDefault="009D7677" w:rsidP="009D7677">
      <w:pPr>
        <w:pStyle w:val="TextoNormal"/>
      </w:pPr>
      <w:r>
        <w:t>la siguiente</w:t>
      </w:r>
    </w:p>
    <w:p w14:paraId="081B18C9" w14:textId="12928388" w:rsidR="009D7677" w:rsidRDefault="009D7677" w:rsidP="009D7677">
      <w:pPr>
        <w:pStyle w:val="TextoNormal"/>
      </w:pPr>
    </w:p>
    <w:p w14:paraId="6A80E8F9" w14:textId="77777777" w:rsidR="009D7677" w:rsidRDefault="009D7677" w:rsidP="009D7677">
      <w:pPr>
        <w:pStyle w:val="TextoNormalCentrado"/>
        <w:keepNext/>
      </w:pPr>
      <w:r>
        <w:t>SENTENCIA</w:t>
      </w:r>
    </w:p>
    <w:p w14:paraId="40E72248" w14:textId="7E1AF048" w:rsidR="009D7677" w:rsidRDefault="009D7677" w:rsidP="009D7677">
      <w:pPr>
        <w:pStyle w:val="TextoNormalCentrado"/>
        <w:keepNext/>
      </w:pPr>
    </w:p>
    <w:p w14:paraId="4FE8D3AF" w14:textId="77777777" w:rsidR="009D7677" w:rsidRDefault="009D7677" w:rsidP="009D7677">
      <w:pPr>
        <w:pStyle w:val="TextoNormal"/>
      </w:pPr>
      <w:r>
        <w:t>En el recurso de amparo núm. 7490-2021, promovido por don Yi Liu, representado por el procurador de los tribunales don Roberto Primitivo Granizo Palomeque, asistido del letrado don Carlos Aguirre de Cárcer Moreno, contra el auto núm. 426/2021, de 15 de julio, de la Sección Cuarta de la Sala de lo Penal de la Audiencia Nacional y contra el auto núm. 68/2021, de 15 de octubre, del Pleno de la Sala de lo Penal de la Audiencia Nacional. Ha sido ponente el magistrado don Ricardo Enríquez Sancho.</w:t>
      </w:r>
    </w:p>
    <w:p w14:paraId="136A9A26" w14:textId="03D2FAB6" w:rsidR="009D7677" w:rsidRDefault="009D7677" w:rsidP="009D7677">
      <w:pPr>
        <w:pStyle w:val="TextoNormal"/>
      </w:pPr>
    </w:p>
    <w:p w14:paraId="71B37AC5" w14:textId="77777777" w:rsidR="009D7677" w:rsidRDefault="009D7677" w:rsidP="009D7677">
      <w:pPr>
        <w:pStyle w:val="TextoNormalNegritaCentrado"/>
        <w:keepNext/>
      </w:pPr>
      <w:r>
        <w:lastRenderedPageBreak/>
        <w:t>I. Antecedentes</w:t>
      </w:r>
    </w:p>
    <w:p w14:paraId="522789A4" w14:textId="51D84A9E" w:rsidR="009D7677" w:rsidRDefault="009D7677" w:rsidP="009D7677">
      <w:pPr>
        <w:pStyle w:val="TextoNormalNegritaCentrado"/>
        <w:keepNext/>
      </w:pPr>
    </w:p>
    <w:p w14:paraId="3049A0D8" w14:textId="0AF5B26B" w:rsidR="009D7677" w:rsidRDefault="009D7677" w:rsidP="009D7677">
      <w:pPr>
        <w:pStyle w:val="TextoNormal"/>
      </w:pPr>
      <w:r w:rsidRPr="009D7677">
        <w:rPr>
          <w:rStyle w:val="NumeroAFNegritaCaracter"/>
        </w:rPr>
        <w:t>1</w:t>
      </w:r>
      <w:r>
        <w:t>. Mediante escrito registrado en este tribunal el día 24 de noviembre de 2021, la representación procesal de don Yi Liu interpuso recurso de amparo contra el auto núm. 426/2021, de 15 de julio, de la Sección Cuarta de la Sala de lo Penal de la Audiencia Nacional, dictado en el rollo de sala 8-2021, dimanante del procedimiento de extradición pasiva núm. 8-2021 del Juzgado Central de Instrucción núm. 6, y contra el auto núm. 68/2021, de 15 de octubre, del Pleno de la Sala de lo Penal de la Audiencia Nacional, dictado en el recurso de súplica núm. 69-2021, que confirmó el anterior.</w:t>
      </w:r>
    </w:p>
    <w:p w14:paraId="087CD6B6" w14:textId="77777777" w:rsidR="009D7677" w:rsidRDefault="009D7677" w:rsidP="009D7677">
      <w:pPr>
        <w:pStyle w:val="TextoNormal"/>
      </w:pPr>
    </w:p>
    <w:p w14:paraId="4C0F50C2" w14:textId="77777777" w:rsidR="009D7677" w:rsidRDefault="009D7677" w:rsidP="009D7677">
      <w:pPr>
        <w:pStyle w:val="TextoNormal"/>
      </w:pPr>
      <w:r w:rsidRPr="009D7677">
        <w:rPr>
          <w:rStyle w:val="NumeroAFNegritaCaracter"/>
        </w:rPr>
        <w:t>2</w:t>
      </w:r>
      <w:r>
        <w:t>. El recurso de amparo se fundamenta en los siguientes hechos:</w:t>
      </w:r>
    </w:p>
    <w:p w14:paraId="68718118" w14:textId="77777777" w:rsidR="009D7677" w:rsidRDefault="009D7677" w:rsidP="009D7677">
      <w:pPr>
        <w:pStyle w:val="TextoNormal"/>
      </w:pPr>
    </w:p>
    <w:p w14:paraId="02A25C21" w14:textId="77777777" w:rsidR="009D7677" w:rsidRDefault="009D7677" w:rsidP="009D7677">
      <w:pPr>
        <w:pStyle w:val="TextoNormal"/>
      </w:pPr>
      <w:r>
        <w:t>a) El 10 de octubre de 2019 el buró de Seguridad Pública del distrito de Shinan dictó orden de arresto internacional contra el recurrente en amparo, decisión que fue aprobada por la Fiscalía Popular del distrito de Shinan el 30 de septiembre de 2019.</w:t>
      </w:r>
    </w:p>
    <w:p w14:paraId="207D6A27" w14:textId="77777777" w:rsidR="009D7677" w:rsidRDefault="009D7677" w:rsidP="009D7677">
      <w:pPr>
        <w:pStyle w:val="TextoNormal"/>
      </w:pPr>
    </w:p>
    <w:p w14:paraId="5881BE83" w14:textId="77777777" w:rsidR="009D7677" w:rsidRDefault="009D7677" w:rsidP="009D7677">
      <w:pPr>
        <w:pStyle w:val="TextoNormal"/>
      </w:pPr>
      <w:r>
        <w:t>Según las autoridades chinas, el reclamado habría obtenido fondos de personas particulares ofreciendo elevadas remuneraciones en forma de intereses; sin que haya procedido a la devolución de gran parte de la cantidad invertida por aquellas personas. En la solicitud de extradición se incorpora una lista de 110 víctimas (folios 28 y siguientes, indicando la cantidad perdida por cada una), donde consta que invirtieron de forma efectiva un total de 40 178 089 yuanes, y no han recuperado 25 521 160 yuanes. Los hechos tuvieron lugar desde marzo de 2015 hasta agosto de 2019.</w:t>
      </w:r>
    </w:p>
    <w:p w14:paraId="54C862AC" w14:textId="77777777" w:rsidR="009D7677" w:rsidRDefault="009D7677" w:rsidP="009D7677">
      <w:pPr>
        <w:pStyle w:val="TextoNormal"/>
      </w:pPr>
    </w:p>
    <w:p w14:paraId="5AC0FBB7" w14:textId="77777777" w:rsidR="009D7677" w:rsidRDefault="009D7677" w:rsidP="009D7677">
      <w:pPr>
        <w:pStyle w:val="TextoNormal"/>
      </w:pPr>
      <w:r>
        <w:t>La maniobra engañosa consistió en actuar “a través de la celebración de reunión de promoción de productos; distribución de folletos; presentaciones de conocidos; boca a boca, etc.”; actuando el recurrente bajo el respaldo de la Compañía Qingdao Zhonghui Shengshi, con el cebo de un alto retorno de inversión y tasa de interés mensual del l por 100 al 5 por 100; así como la devolución del capital y los intereses dentro de cierto período en moneda. Después del pago de la inversión, el inversor podía optar entre retirar las colecciones físicas (sellos, caligrafía y pinturas y otras obras de arte) o bien obtener ingresos con una tasa de interés mensual entre el 1 por 100 y el 5 por 100 (contrato de custodia encomendada). La mayoría de los inversores no retiraron los objetos físicos de las colecciones, apropiándose el reclamado aquí recurrente de dichos fondos.</w:t>
      </w:r>
    </w:p>
    <w:p w14:paraId="73265A21" w14:textId="77777777" w:rsidR="009D7677" w:rsidRDefault="009D7677" w:rsidP="009D7677">
      <w:pPr>
        <w:pStyle w:val="TextoNormal"/>
      </w:pPr>
    </w:p>
    <w:p w14:paraId="4844E846" w14:textId="77777777" w:rsidR="009D7677" w:rsidRDefault="009D7677" w:rsidP="009D7677">
      <w:pPr>
        <w:pStyle w:val="TextoNormal"/>
      </w:pPr>
      <w:r>
        <w:t>Tras las denuncias, la filial del buró de Seguridad Pública del distrito de Shinan envió personal a la oficina de la Compañía Qingdao Zhonghui Shengshi para la investigación, encontró que el edificio estaba vacío y no se pudo poner en contacto con el personal principal de la compañía (folio 4 de la solicitud de extradición).</w:t>
      </w:r>
    </w:p>
    <w:p w14:paraId="2161CEC5" w14:textId="77777777" w:rsidR="009D7677" w:rsidRDefault="009D7677" w:rsidP="009D7677">
      <w:pPr>
        <w:pStyle w:val="TextoNormal"/>
      </w:pPr>
    </w:p>
    <w:p w14:paraId="24868BB0" w14:textId="77777777" w:rsidR="009D7677" w:rsidRDefault="009D7677" w:rsidP="009D7677">
      <w:pPr>
        <w:pStyle w:val="TextoNormal"/>
      </w:pPr>
      <w:r>
        <w:t>La Fiscalía Popular del distrito de Shinan autorizó la detención del recurrente el 30 de septiembre de 2019, como obra en la solicitud de extradición. La Fiscalía sostiene que “el sospechoso está sujeto a delitos de absorción ilegal de depósitos del público, y cumple la condición de arresto establecida en el artículo 81 de la Ley de procedimiento penal de la República Popular China”, por lo que “aprobamos el arresto del sospechoso Liu Yi”.</w:t>
      </w:r>
    </w:p>
    <w:p w14:paraId="7E42C894" w14:textId="77777777" w:rsidR="009D7677" w:rsidRDefault="009D7677" w:rsidP="009D7677">
      <w:pPr>
        <w:pStyle w:val="TextoNormal"/>
      </w:pPr>
    </w:p>
    <w:p w14:paraId="229FFE84" w14:textId="77777777" w:rsidR="009D7677" w:rsidRDefault="009D7677" w:rsidP="009D7677">
      <w:pPr>
        <w:pStyle w:val="TextoNormal"/>
      </w:pPr>
      <w:r>
        <w:lastRenderedPageBreak/>
        <w:t>b) El demandante fue detenido en Madrid el día 14 de febrero de 2021 y puesto a disposición del Juzgado Central de Instrucción núm. 6, que incoó el procedimiento de extradición pasiva núm. 8-2021 y acordó, por auto de 15 de febrero de 2021, tras celebrar comparecencia del art. 505 de la Ley de enjuiciamiento criminal, su prisión provisional.</w:t>
      </w:r>
    </w:p>
    <w:p w14:paraId="1A41CB44" w14:textId="77777777" w:rsidR="009D7677" w:rsidRDefault="009D7677" w:rsidP="009D7677">
      <w:pPr>
        <w:pStyle w:val="TextoNormal"/>
      </w:pPr>
    </w:p>
    <w:p w14:paraId="646CED6A" w14:textId="77777777" w:rsidR="009D7677" w:rsidRDefault="009D7677" w:rsidP="009D7677">
      <w:pPr>
        <w:pStyle w:val="TextoNormal"/>
      </w:pPr>
      <w:r>
        <w:t>c) El 24 de marzo de 2021 se recibió por vía diplomática la nota verbal de la Embajada de la República Popular China núm. 69/21, de 23 de marzo, en la que se solicitaba del Ministerio de Justicia de España la extradición del ahora recurrente en amparo, cursada por el buró de investigación de delitos económicos del Ministerio de Seguridad Pública, para la investigación y el enjuiciamiento por delito de recaudación fraudulenta de fondos, lo que se acompañaba de la orden internacional de detención emitida por el fiscal, de un resumen de los hechos que reproducía los de la orden internacional de detención y de una relación de los preceptos legales aplicables.</w:t>
      </w:r>
    </w:p>
    <w:p w14:paraId="542D383F" w14:textId="77777777" w:rsidR="009D7677" w:rsidRDefault="009D7677" w:rsidP="009D7677">
      <w:pPr>
        <w:pStyle w:val="TextoNormal"/>
      </w:pPr>
    </w:p>
    <w:p w14:paraId="31F27578" w14:textId="77777777" w:rsidR="009D7677" w:rsidRDefault="009D7677" w:rsidP="009D7677">
      <w:pPr>
        <w:pStyle w:val="TextoNormal"/>
      </w:pPr>
      <w:r>
        <w:t>d) El Consejo de Ministros en sesión de 27 de abril de 2021 acordó, de conformidad con el art. 9.3 de la Ley 4/1985, de 21 de marzo, de extradición pasiva (LEP), la continuación del procedimiento en vía judicial.</w:t>
      </w:r>
    </w:p>
    <w:p w14:paraId="0C88282C" w14:textId="77777777" w:rsidR="009D7677" w:rsidRDefault="009D7677" w:rsidP="009D7677">
      <w:pPr>
        <w:pStyle w:val="TextoNormal"/>
      </w:pPr>
    </w:p>
    <w:p w14:paraId="42E2785D" w14:textId="77777777" w:rsidR="009D7677" w:rsidRDefault="009D7677" w:rsidP="009D7677">
      <w:pPr>
        <w:pStyle w:val="TextoNormal"/>
      </w:pPr>
      <w:r>
        <w:t>e) El reclamado fue oído en comparecencia del art. 12 LEP, celebrada el día 7 de mayo de 2021 en el Juzgado Central de Instrucción núm. 6, oponiéndose a su extradición y manifestando que no renunciaba al principio de especialidad.</w:t>
      </w:r>
    </w:p>
    <w:p w14:paraId="2B12CBD4" w14:textId="77777777" w:rsidR="009D7677" w:rsidRDefault="009D7677" w:rsidP="009D7677">
      <w:pPr>
        <w:pStyle w:val="TextoNormal"/>
      </w:pPr>
    </w:p>
    <w:p w14:paraId="5353CE1D" w14:textId="77777777" w:rsidR="009D7677" w:rsidRDefault="009D7677" w:rsidP="009D7677">
      <w:pPr>
        <w:pStyle w:val="TextoNormal"/>
      </w:pPr>
      <w:r>
        <w:t>f) Elevados los autos a la Sección Cuarta de la Sala de lo Penal de la Audiencia Nacional, esta inició el rollo de extradición núm. 8-2021 y dio vista de los mismos, en los términos del art. 13 LEP, al fiscal y a la defensa del reclamado, para que formularan alegaciones. El fiscal interesó que se accediera a la solicitud de extradición por los hechos recogidos en la petición de extradición. La defensa solicitó la práctica de prueba.</w:t>
      </w:r>
    </w:p>
    <w:p w14:paraId="7A392D19" w14:textId="77777777" w:rsidR="009D7677" w:rsidRDefault="009D7677" w:rsidP="009D7677">
      <w:pPr>
        <w:pStyle w:val="TextoNormal"/>
      </w:pPr>
    </w:p>
    <w:p w14:paraId="2E802EB2" w14:textId="77777777" w:rsidR="009D7677" w:rsidRDefault="009D7677" w:rsidP="009D7677">
      <w:pPr>
        <w:pStyle w:val="TextoNormal"/>
      </w:pPr>
      <w:r>
        <w:t>g) La vista del procedimiento de extradición se celebró el 14 de julio de 2021. En ella el fiscal reiteró su opinión en sentido favorable a la petición de extradición y la defensa se opuso alegando incumplimiento del principio de doble incriminación y la inexistencia de control judicial en la solicitud de extradición. Posteriormente la Sección Cuarta de la Sala de lo Penal de la Audiencia Nacional dictó el auto núm. 426/2021, de 15 de julio, por el que acordó acceder en fase jurisdiccional a la solicitud de extradición del actor por concurrir los requisitos exigidos en el Tratado de extradición entre el Reino de España y la República Popular China, hecho en Madrid el 14 de noviembre de 2005, y en la LEP, en particular los requisitos de doble incriminación y mínimo punitivo exigidos en el art. 2.1 a) del Tratado bilateral, porque los hechos por los que se solicitaba la extradición eran constitutivos de un delito de absorción de depósitos del público de forma ilegal, equivalente en nuestro ordenamiento penal al delito de estafa agravada previsto en los artículos 248, 249 y 250.2 del Código penal.</w:t>
      </w:r>
    </w:p>
    <w:p w14:paraId="4D0B31C2" w14:textId="77777777" w:rsidR="009D7677" w:rsidRDefault="009D7677" w:rsidP="009D7677">
      <w:pPr>
        <w:pStyle w:val="TextoNormal"/>
      </w:pPr>
    </w:p>
    <w:p w14:paraId="758EA73A" w14:textId="77777777" w:rsidR="009D7677" w:rsidRDefault="009D7677" w:rsidP="009D7677">
      <w:pPr>
        <w:pStyle w:val="TextoNormal"/>
      </w:pPr>
      <w:r>
        <w:t>h) Contra esta decisión el actor interpuso recurso de súplica, en el que alegó:</w:t>
      </w:r>
    </w:p>
    <w:p w14:paraId="5E2F41C5" w14:textId="77777777" w:rsidR="009D7677" w:rsidRDefault="009D7677" w:rsidP="009D7677">
      <w:pPr>
        <w:pStyle w:val="TextoNormal"/>
      </w:pPr>
    </w:p>
    <w:p w14:paraId="1952EC37" w14:textId="77777777" w:rsidR="009D7677" w:rsidRDefault="009D7677" w:rsidP="009D7677">
      <w:pPr>
        <w:pStyle w:val="TextoNormal"/>
      </w:pPr>
      <w:r>
        <w:t>- Incumplimiento del principio de doble incriminación, previsto en el art. 2.1 a) del Tratado de extradición.</w:t>
      </w:r>
    </w:p>
    <w:p w14:paraId="3BAEF4FD" w14:textId="77777777" w:rsidR="009D7677" w:rsidRDefault="009D7677" w:rsidP="009D7677">
      <w:pPr>
        <w:pStyle w:val="TextoNormal"/>
      </w:pPr>
    </w:p>
    <w:p w14:paraId="22D8CDA2" w14:textId="77777777" w:rsidR="009D7677" w:rsidRDefault="009D7677" w:rsidP="009D7677">
      <w:pPr>
        <w:pStyle w:val="TextoNormal"/>
      </w:pPr>
      <w:r>
        <w:lastRenderedPageBreak/>
        <w:t>- Vulneración del derecho a la tutela judicial efectiva (art. 24.1 CE), a un proceso con todas las garantías (art. 24.2 CE) en conexión con los derechos fundamentales a la libertad personal (art. 17 CE) y a la libertad de residencia y circulación (art. 19 CE) dado que la orden internacional de detención fue emitida por un fiscal sin que existiera un juicio de necesidad judicialmente homologado, y vulneración del principio de igualdad en la aplicación de la ley, porque en supuestos semejantes al actual se ha denegado la entrega del reclamado.</w:t>
      </w:r>
    </w:p>
    <w:p w14:paraId="56160E14" w14:textId="77777777" w:rsidR="009D7677" w:rsidRDefault="009D7677" w:rsidP="009D7677">
      <w:pPr>
        <w:pStyle w:val="TextoNormal"/>
      </w:pPr>
    </w:p>
    <w:p w14:paraId="4B627485" w14:textId="77777777" w:rsidR="009D7677" w:rsidRDefault="009D7677" w:rsidP="009D7677">
      <w:pPr>
        <w:pStyle w:val="TextoNormal"/>
      </w:pPr>
      <w:r>
        <w:t>i) El Pleno de la Sala de lo Penal de la Audiencia Nacional dictó el auto núm. 68/2021, de 15 de octubre, por el que desestimó el recurso de súplica.</w:t>
      </w:r>
    </w:p>
    <w:p w14:paraId="408561BA" w14:textId="77777777" w:rsidR="009D7677" w:rsidRDefault="009D7677" w:rsidP="009D7677">
      <w:pPr>
        <w:pStyle w:val="TextoNormal"/>
      </w:pPr>
    </w:p>
    <w:p w14:paraId="53DF64A9" w14:textId="77777777" w:rsidR="009D7677" w:rsidRDefault="009D7677" w:rsidP="009D7677">
      <w:pPr>
        <w:pStyle w:val="TextoNormal"/>
      </w:pPr>
      <w:r>
        <w:t>La Sala expone las razones por las que considera que no es aplicable a este caso la STC 147/2020, de 19 de octubre, invocada en el recurso de súplica, ni la STC 147/2021, de 12 de julio. Afirma que el ATC 10/2019, de 14 de febrero, inadmitió una pretensión equivalente en una extradición solicitada por la República Popular China porque, siendo el marco jurídico que disciplina la solicitud de extradición el Tratado bilateral, no le es exigible que como autoridad emisora del instrumento se imponga la judicial, sino la “competente”, que en China es el buró de investigación de delitos económicos con la aprobación del arresto por parte de la Fiscalía Popular del distrito. Otra interpretación convertiría en papel mojado el Tratado y conduciría a la impunidad.</w:t>
      </w:r>
    </w:p>
    <w:p w14:paraId="09C9BF35" w14:textId="77777777" w:rsidR="009D7677" w:rsidRDefault="009D7677" w:rsidP="009D7677">
      <w:pPr>
        <w:pStyle w:val="TextoNormal"/>
      </w:pPr>
    </w:p>
    <w:p w14:paraId="3F081D2A" w14:textId="77777777" w:rsidR="009D7677" w:rsidRDefault="009D7677" w:rsidP="009D7677">
      <w:pPr>
        <w:pStyle w:val="TextoNormal"/>
      </w:pPr>
      <w:r>
        <w:t>En lo que atañe al principio de doble incriminación, el Pleno considera que se dan, indiciariamente, todos los elementos del delito de estafa agravada: (i) engaño (ofrecer elevadas remuneraciones a quienes entregasen fondos); (ii) mediante maquinaciones fraudulentas (indicar que la empresa donde se depositaban los fondos se dedicaba a invertir en actividades que devolvían el capital y los intereses al cabo de cierto tiempo, lo que solo era cierto al principio, ocultando que carecía de la aprobación de las autoridades); (iii) de entidad suficiente (la inversión alcanzó la suma de 40 178 089 yuanes, 5 377 577 €); (iv) generador de error en otros (hubo 111 víctimas); (v) ánimo de lucro (faltan por devolver 25 521 160 yuanes); (vi) desplazamiento patrimonial (los ya indicados 40 178 089 yuanes); y (vii) perjuicio económico (por la ya señalada cifra no recuperada).</w:t>
      </w:r>
    </w:p>
    <w:p w14:paraId="6789D866" w14:textId="77777777" w:rsidR="009D7677" w:rsidRDefault="009D7677" w:rsidP="009D7677">
      <w:pPr>
        <w:pStyle w:val="TextoNormal"/>
      </w:pPr>
    </w:p>
    <w:p w14:paraId="65959468" w14:textId="5C0EE211" w:rsidR="009D7677" w:rsidRDefault="009D7677" w:rsidP="009D7677">
      <w:pPr>
        <w:pStyle w:val="TextoNormal"/>
      </w:pPr>
      <w:r>
        <w:t>El auto va acompañado de un voto particular, firmado por cuatro magistrados del Pleno, que consideran que la mayoría no ha aplicado correctamente la doctrina sentada en la STC 147/2020, en la que es esencial que se cumpla la garantía jurisdiccional de la libertad en el propio país solicitante de la extradición, mediante la homologación por un órgano judicial de la orden de detención.</w:t>
      </w:r>
    </w:p>
    <w:p w14:paraId="1B6FA9D6" w14:textId="77777777" w:rsidR="009D7677" w:rsidRDefault="009D7677" w:rsidP="009D7677">
      <w:pPr>
        <w:pStyle w:val="TextoNormal"/>
      </w:pPr>
    </w:p>
    <w:p w14:paraId="3088FDB5" w14:textId="77114A2D" w:rsidR="009D7677" w:rsidRDefault="009D7677" w:rsidP="009D7677">
      <w:pPr>
        <w:pStyle w:val="TextoNormal"/>
      </w:pPr>
      <w:r w:rsidRPr="009D7677">
        <w:rPr>
          <w:rStyle w:val="NumeroAFNegritaCaracter"/>
        </w:rPr>
        <w:t>3</w:t>
      </w:r>
      <w:r>
        <w:t>. El recurrente en amparo denuncia que se ha vulnerado su derecho a la tutela judicial efectiva (art. 24.1CE), y a un proceso con todas las garantías (art. 24.2 CE) en conexión con el derecho a la libertad (art. 17 CE) y la libertad de circulación y de residencia (art. 19 CE), porque la solicitud de extradición y la orden de arresto fueron emitidas por un órgano administrativo policial (el buró de investigación de delitos económicos del Ministerio de Seguridad Pública de la República Popular China), con la aprobación posterior del arresto por parte de la Fiscalía Popular del distrito de Shinan, sin control judicial alguno en la fijación de un juicio de necesidad y proporcionalidad respecto a las limitaciones de libertad personal y libertad de movimiento.</w:t>
      </w:r>
    </w:p>
    <w:p w14:paraId="5746A111" w14:textId="77777777" w:rsidR="009D7677" w:rsidRDefault="009D7677" w:rsidP="009D7677">
      <w:pPr>
        <w:pStyle w:val="TextoNormal"/>
      </w:pPr>
    </w:p>
    <w:p w14:paraId="3CC6F8AB" w14:textId="77777777" w:rsidR="009D7677" w:rsidRDefault="009D7677" w:rsidP="009D7677">
      <w:pPr>
        <w:pStyle w:val="TextoNormal"/>
      </w:pPr>
      <w:r w:rsidRPr="009D7677">
        <w:rPr>
          <w:rStyle w:val="NumeroAFNegritaCaracter"/>
        </w:rPr>
        <w:lastRenderedPageBreak/>
        <w:t>4</w:t>
      </w:r>
      <w:r>
        <w:t>. La Sección Primera del Tribunal Constitucional, por providencia de 1 de diciembre de 2021, acordó admitir a trámite el recurso de amparo apreciando que concurre en el mismo una especial trascendencia constitucional [art. 50.1 de la Ley Orgánica del Tribunal Constitucional (LOTC)] porque el recurso puede dar ocasión al Tribunal para aclarar o cambiar su doctrina, como consecuencia de un proceso de reflexión interna [STC 155/2009, de 25 de junio, FJ 2 b)].</w:t>
      </w:r>
    </w:p>
    <w:p w14:paraId="51479500" w14:textId="77777777" w:rsidR="009D7677" w:rsidRDefault="009D7677" w:rsidP="009D7677">
      <w:pPr>
        <w:pStyle w:val="TextoNormal"/>
      </w:pPr>
    </w:p>
    <w:p w14:paraId="0587C632" w14:textId="78954CCD" w:rsidR="009D7677" w:rsidRDefault="009D7677" w:rsidP="009D7677">
      <w:pPr>
        <w:pStyle w:val="TextoNormal"/>
      </w:pPr>
      <w:r>
        <w:t>En la providencia se acordó, en aplicación de lo dispuesto en el art. 51 LOTC, dirigir atenta comunicación a la Sala de lo Penal, Sección Cuarta, de la Audiencia Nacional para que, en plazo que no excediera de diez días, remitiera certificación o fotocopia adverada de las actuaciones correspondientes al rollo de extradición núm. 8-2021, dimanante del procedimiento de extradición pasiva núm. 8-2021 del Juzgado Central de Instrucción núm. 6, debiendo previamente emplazarse, para que en el plazo de diez días pudieran comparecer, si lo deseasen, en el recurso de amparo a quienes hubieran sido parte en el procedimiento, excepto la parte recurrente en amparo.</w:t>
      </w:r>
    </w:p>
    <w:p w14:paraId="104BC982" w14:textId="77777777" w:rsidR="009D7677" w:rsidRDefault="009D7677" w:rsidP="009D7677">
      <w:pPr>
        <w:pStyle w:val="TextoNormal"/>
      </w:pPr>
    </w:p>
    <w:p w14:paraId="7369E85C" w14:textId="15C90954" w:rsidR="009D7677" w:rsidRDefault="009D7677" w:rsidP="009D7677">
      <w:pPr>
        <w:pStyle w:val="TextoNormal"/>
      </w:pPr>
      <w:r w:rsidRPr="009D7677">
        <w:rPr>
          <w:rStyle w:val="NumeroAFNegritaCaracter"/>
        </w:rPr>
        <w:t>5</w:t>
      </w:r>
      <w:r>
        <w:t>. Se apreció también en la providencia la urgencia excepcional a que se refiere el art. 56.6 LOTC, toda vez que la ejecución de las resoluciones impugnadas produciría un perjuicio de imposible o muy difícil reparación que haría perder su finalidad al recurso de amparo, lo que condujo a acordar la suspensión cautelar de la ejecución del auto de 15 de julio de 2021, por el que se autoriza la entrega del recurrente a las autoridades de la República Popular China para su enjuiciamiento en ese país por los hechos a que se refiere la solicitud de extradición, así como del auto de 15 de octubre de 2021, por el que se desestima el recurso de súplica interpuesto contra el anterior.</w:t>
      </w:r>
    </w:p>
    <w:p w14:paraId="73C0A068" w14:textId="77777777" w:rsidR="009D7677" w:rsidRDefault="009D7677" w:rsidP="009D7677">
      <w:pPr>
        <w:pStyle w:val="TextoNormal"/>
      </w:pPr>
    </w:p>
    <w:p w14:paraId="27D47B8B" w14:textId="5AABD904" w:rsidR="009D7677" w:rsidRDefault="009D7677" w:rsidP="009D7677">
      <w:pPr>
        <w:pStyle w:val="TextoNormal"/>
      </w:pPr>
      <w:r w:rsidRPr="009D7677">
        <w:rPr>
          <w:rStyle w:val="NumeroAFNegritaCaracter"/>
        </w:rPr>
        <w:t>6</w:t>
      </w:r>
      <w:r>
        <w:t>. Recibidas las actuaciones de la Sala de lo Penal de la Audiencia Nacional, el 17 de diciembre de 2021 la Secretaría de Justicia de la Sala Primera de este tribunal dictó diligencia de ordenación en la que acordaba dar vista de las mismas por un plazo común de veinte días a la parte recurrente y al Ministerio Fiscal, para que presentasen las alegaciones que estimasen pertinentes, conforme determina el art. 52.1 LOTC.</w:t>
      </w:r>
    </w:p>
    <w:p w14:paraId="65A5119D" w14:textId="77777777" w:rsidR="009D7677" w:rsidRDefault="009D7677" w:rsidP="009D7677">
      <w:pPr>
        <w:pStyle w:val="TextoNormal"/>
      </w:pPr>
    </w:p>
    <w:p w14:paraId="3C281561" w14:textId="68C8FF0E" w:rsidR="009D7677" w:rsidRDefault="009D7677" w:rsidP="009D7677">
      <w:pPr>
        <w:pStyle w:val="TextoNormal"/>
      </w:pPr>
      <w:r w:rsidRPr="009D7677">
        <w:rPr>
          <w:rStyle w:val="NumeroAFNegritaCaracter"/>
        </w:rPr>
        <w:t>7</w:t>
      </w:r>
      <w:r>
        <w:t>. Por escrito presentado el 20 de enero de 2022 la representación procesal del actor formuló alegaciones en las que se ratificó íntegramente en la demanda.</w:t>
      </w:r>
    </w:p>
    <w:p w14:paraId="1629CDE8" w14:textId="77777777" w:rsidR="009D7677" w:rsidRDefault="009D7677" w:rsidP="009D7677">
      <w:pPr>
        <w:pStyle w:val="TextoNormal"/>
      </w:pPr>
    </w:p>
    <w:p w14:paraId="596D56D4" w14:textId="77777777" w:rsidR="009D7677" w:rsidRDefault="009D7677" w:rsidP="009D7677">
      <w:pPr>
        <w:pStyle w:val="TextoNormal"/>
      </w:pPr>
      <w:r w:rsidRPr="009D7677">
        <w:rPr>
          <w:rStyle w:val="NumeroAFNegritaCaracter"/>
        </w:rPr>
        <w:t>8</w:t>
      </w:r>
      <w:r>
        <w:t>. Por escrito presentado el 20 de enero de 2022, el fiscal ante el Tribunal Constitucional presentó alegaciones en las que solicitó la estimación del recurso de amparo, que se declarase que las resoluciones judiciales impugnadas en el mismo vulneraron los derechos fundamentales del recurrente a la tutela judicial efectiva del art. 24.1 CE y a un proceso con todas las garantías del art. 24.2 CE, en conexión con sus derechos a la libertad personal del art. 17.1 CE y a la libertad de residencia y circulación (art. 19 CE) así como el derecho fundamental del recurrente a la legalidad penal (art. 25.1 CE). Subsidiariamente, solicitaba una aclaración o precisión de la doctrina constitucional.</w:t>
      </w:r>
    </w:p>
    <w:p w14:paraId="3547170C" w14:textId="77777777" w:rsidR="009D7677" w:rsidRDefault="009D7677" w:rsidP="009D7677">
      <w:pPr>
        <w:pStyle w:val="TextoNormal"/>
      </w:pPr>
    </w:p>
    <w:p w14:paraId="72198819" w14:textId="77777777" w:rsidR="009D7677" w:rsidRDefault="009D7677" w:rsidP="009D7677">
      <w:pPr>
        <w:pStyle w:val="TextoNormal"/>
      </w:pPr>
      <w:r>
        <w:t xml:space="preserve">Tras exponer las vicisitudes del procedimiento antecedente, el fiscal encuadra la cuestión suscitada en el recurso de amparo en la falta de habilitación legal de la solicitud de extradición formulada por la República Popular China, en tanto se funda en una orden internacional de detención dictada por el buró de investigación de delitos económicos del </w:t>
      </w:r>
      <w:r>
        <w:lastRenderedPageBreak/>
        <w:t>Ministerio de Seguridad Pública con la aprobación del arresto por la Fiscalía Popular, sin que exista una resolución judicial que la corrobore, apartándose las resoluciones judiciales impugnadas de la doctrina establecida por el Tribunal Constitucional en las SSTC 147/2020, de 19 de octubre, y 147/2021, de 12 de julio, doctrina que sintetiza y de la que destaca, mediante extensa cita literal de los fundamentos jurídicos 7 y 8 de la primera de ellas, el valor hermenéutico e integrador que el Tribunal Constitucional atribuye (art. 10.2 CE) a los pronunciamientos del Tribunal de Justicia de la Unión Europea relativos a la orden europea de detención y entrega (Decisión Marco 2002/584/JAI) para incorporar a la tutela judicial efectiva del derecho a la libertad y a la libertad de circulación, en los procedimientos de extradición pasiva, la exigencia de que en el país reclamante exista un control judicial de la ponderación de la necesidad de la medida.</w:t>
      </w:r>
    </w:p>
    <w:p w14:paraId="50EFF03D" w14:textId="77777777" w:rsidR="009D7677" w:rsidRDefault="009D7677" w:rsidP="009D7677">
      <w:pPr>
        <w:pStyle w:val="TextoNormal"/>
      </w:pPr>
    </w:p>
    <w:p w14:paraId="2BB21BF1" w14:textId="77777777" w:rsidR="009D7677" w:rsidRDefault="009D7677" w:rsidP="009D7677">
      <w:pPr>
        <w:pStyle w:val="TextoNormal"/>
      </w:pPr>
      <w:r>
        <w:t>El fiscal considera que las condiciones en las que se expide la solicitud de extradición por el citado buró de investigación no reúnen las características establecidas por la doctrina constitucional citada, en cuanto que se trata de un órgano de carácter policial dependiente del poder ejecutivo que no cumple las condiciones de imparcialidad y objetividad.</w:t>
      </w:r>
    </w:p>
    <w:p w14:paraId="320DDF3C" w14:textId="77777777" w:rsidR="009D7677" w:rsidRDefault="009D7677" w:rsidP="009D7677">
      <w:pPr>
        <w:pStyle w:val="TextoNormal"/>
      </w:pPr>
    </w:p>
    <w:p w14:paraId="679FE401" w14:textId="77777777" w:rsidR="009D7677" w:rsidRDefault="009D7677" w:rsidP="009D7677">
      <w:pPr>
        <w:pStyle w:val="TextoNormal"/>
      </w:pPr>
      <w:r>
        <w:t>El fiscal no concluye aquí sus alegaciones, sino que con carácter subsidiario plantea la posibilidad de que el presente recurso de amparo sirva de oportunidad para que este tribunal aclare o cambie su doctrina.</w:t>
      </w:r>
    </w:p>
    <w:p w14:paraId="611BBB84" w14:textId="77777777" w:rsidR="009D7677" w:rsidRDefault="009D7677" w:rsidP="009D7677">
      <w:pPr>
        <w:pStyle w:val="TextoNormal"/>
      </w:pPr>
    </w:p>
    <w:p w14:paraId="3D7C684F" w14:textId="098A1EB8" w:rsidR="009D7677" w:rsidRDefault="009D7677" w:rsidP="009D7677">
      <w:pPr>
        <w:pStyle w:val="TextoNormal"/>
      </w:pPr>
      <w:r>
        <w:t>En definitiva, se trataría de aclarar o matizar, en su caso, la doctrina constitucional sobre extensión de las garantías del procedimiento de extradición pasiva, en particular la garantía jurisdiccional o de tutela judicial efectiva en el procedimiento de extradición en el momento de su emisión, con aplicación de la doctrina del Tribunal de Justicia de la Unión Europea dictada a propósito de la orden europea de detención y entrega, lo que equipara los procesos de extradición, tanto si son de países de la Unión Europea como si provienen de países terceros, estableciendo un estándar de garantías más elevado para todos los supuestos de extradición, cualquiera que sea el convenio multilateral o bilateral suscrito entre España y terceros países reguladores de la extradición, perfilando la interpretación de la compatibilidad que se puede suscitar en la aplicación de los convenios suscritos con España y la aplicación del diferente estándar de garantías del Tribunal de Justicia de la Unión Europea.</w:t>
      </w:r>
    </w:p>
    <w:p w14:paraId="4D25DB66" w14:textId="77777777" w:rsidR="009D7677" w:rsidRDefault="009D7677" w:rsidP="009D7677">
      <w:pPr>
        <w:pStyle w:val="TextoNormal"/>
      </w:pPr>
    </w:p>
    <w:p w14:paraId="0A012535" w14:textId="4E90EB9E" w:rsidR="009D7677" w:rsidRDefault="009D7677" w:rsidP="009D7677">
      <w:pPr>
        <w:pStyle w:val="TextoNormal"/>
      </w:pPr>
      <w:r w:rsidRPr="009D7677">
        <w:rPr>
          <w:rStyle w:val="NumeroAFNegritaCaracter"/>
        </w:rPr>
        <w:t>9</w:t>
      </w:r>
      <w:r>
        <w:t>. Por diligencia de ordenación de la Secretaría de Justicia de la Sala Primera de este tribunal de 21 de enero de 2022 se hace constar que, habiéndose recibido los precedentes escritos de alegaciones del fiscal y del procurador don Roberto Granizo Palomeque, queda el presente recurso de amparo pendiente para deliberación cuando por turno corresponda.</w:t>
      </w:r>
    </w:p>
    <w:p w14:paraId="6467B272" w14:textId="77777777" w:rsidR="009D7677" w:rsidRDefault="009D7677" w:rsidP="009D7677">
      <w:pPr>
        <w:pStyle w:val="TextoNormal"/>
      </w:pPr>
    </w:p>
    <w:p w14:paraId="00F7DF4E" w14:textId="77777777" w:rsidR="009D7677" w:rsidRDefault="009D7677" w:rsidP="009D7677">
      <w:pPr>
        <w:pStyle w:val="TextoNormal"/>
      </w:pPr>
      <w:r w:rsidRPr="009D7677">
        <w:rPr>
          <w:rStyle w:val="NumeroAFNegritaCaracter"/>
        </w:rPr>
        <w:t>10</w:t>
      </w:r>
      <w:r>
        <w:t>. El 23 de mayo de 2023, la magistrada de la Sala Primera de este Tribunal Constitucional doña Concepción Espejel Jorquera presentó un escrito manifestando su voluntad de abstenerse del conocimiento del presente recurso de amparo, así como de todas sus incidencias, al entender que sobre ella concurría la causa establecida en el art. 219.11 de la Ley Orgánica del Poder Judicial (haber resuelto el pleito o causa en anterior instancia), toda vez que formó parte de la Sala de lo Penal de la Audiencia Nacional que dictó el auto 68/2021, de 15 de octubre, impugnado en el recurso.</w:t>
      </w:r>
    </w:p>
    <w:p w14:paraId="3681F9A6" w14:textId="77777777" w:rsidR="009D7677" w:rsidRDefault="009D7677" w:rsidP="009D7677">
      <w:pPr>
        <w:pStyle w:val="TextoNormal"/>
      </w:pPr>
    </w:p>
    <w:p w14:paraId="18FFFBE2" w14:textId="176A2574" w:rsidR="009D7677" w:rsidRDefault="009D7677" w:rsidP="009D7677">
      <w:pPr>
        <w:pStyle w:val="TextoNormal"/>
      </w:pPr>
      <w:r>
        <w:lastRenderedPageBreak/>
        <w:t>En virtud del ATC 320/2023, de 19 de junio, la Sala Primera de este tribunal acordó estimar justificada la abstención formulada por la magistrada “y apartarla definitivamente del conocimiento del referido recurso y de todas sus incidencias”.</w:t>
      </w:r>
    </w:p>
    <w:p w14:paraId="4AF15DDE" w14:textId="77777777" w:rsidR="009D7677" w:rsidRDefault="009D7677" w:rsidP="009D7677">
      <w:pPr>
        <w:pStyle w:val="TextoNormal"/>
      </w:pPr>
    </w:p>
    <w:p w14:paraId="3E3AA6B2" w14:textId="6B19D95F" w:rsidR="009D7677" w:rsidRDefault="009D7677" w:rsidP="009D7677">
      <w:pPr>
        <w:pStyle w:val="TextoNormal"/>
      </w:pPr>
      <w:r w:rsidRPr="009D7677">
        <w:rPr>
          <w:rStyle w:val="NumeroAFNegritaCaracter"/>
        </w:rPr>
        <w:t>11</w:t>
      </w:r>
      <w:r>
        <w:t>. Mediante providencia de 4 de abril de 2024, se señaló para deliberación y votación de la presente sentencia el siguiente día 8 del mismo mes y año.</w:t>
      </w:r>
    </w:p>
    <w:p w14:paraId="101F8621" w14:textId="77777777" w:rsidR="009D7677" w:rsidRDefault="009D7677" w:rsidP="009D7677">
      <w:pPr>
        <w:pStyle w:val="TextoNormal"/>
      </w:pPr>
    </w:p>
    <w:p w14:paraId="17EC3A41" w14:textId="77777777" w:rsidR="009D7677" w:rsidRDefault="009D7677" w:rsidP="009D7677">
      <w:pPr>
        <w:pStyle w:val="TextoNormalNegritaCentrado"/>
        <w:keepNext/>
      </w:pPr>
      <w:r>
        <w:t>II. Fundamentos jurídicos</w:t>
      </w:r>
    </w:p>
    <w:p w14:paraId="7AA7CBE3" w14:textId="1245B98E" w:rsidR="009D7677" w:rsidRDefault="009D7677" w:rsidP="009D7677">
      <w:pPr>
        <w:pStyle w:val="TextoNormalNegritaCentrado"/>
        <w:keepNext/>
      </w:pPr>
    </w:p>
    <w:p w14:paraId="0449AEB0" w14:textId="77777777" w:rsidR="009D7677" w:rsidRDefault="009D7677" w:rsidP="009D7677">
      <w:pPr>
        <w:pStyle w:val="TextoNormal"/>
      </w:pPr>
      <w:r w:rsidRPr="009D7677">
        <w:rPr>
          <w:rStyle w:val="NumeroAFNegritaCaracter"/>
        </w:rPr>
        <w:t>1</w:t>
      </w:r>
      <w:r>
        <w:t xml:space="preserve">. </w:t>
      </w:r>
      <w:r w:rsidRPr="009D7677">
        <w:rPr>
          <w:i/>
        </w:rPr>
        <w:t>Objeto del proceso y posición de las partes</w:t>
      </w:r>
    </w:p>
    <w:p w14:paraId="5C58E331" w14:textId="77777777" w:rsidR="009D7677" w:rsidRDefault="009D7677" w:rsidP="009D7677">
      <w:pPr>
        <w:pStyle w:val="TextoNormal"/>
      </w:pPr>
    </w:p>
    <w:p w14:paraId="1151324F" w14:textId="77777777" w:rsidR="009D7677" w:rsidRDefault="009D7677" w:rsidP="009D7677">
      <w:pPr>
        <w:pStyle w:val="TextoNormal"/>
      </w:pPr>
      <w:r>
        <w:t>La demanda de amparo interesa la nulidad del auto núm. 426/2021, de 15 de julio, dictado por la Sección Cuarta de la Sala de lo Penal de la Audiencia Nacional, que acordó haber lugar en fase judicial a la extradición del demandante a la República Popular China al objeto de ser enjuiciado por hechos constitutivos de delito de absorción de depósitos del público de forma ilegal, y del auto núm. 68/2021, de 15 de octubre, dictado por el Pleno de la Sala de lo Penal de la Audiencia Nacional, que confirmó en súplica el anterior.</w:t>
      </w:r>
    </w:p>
    <w:p w14:paraId="73F827EB" w14:textId="77777777" w:rsidR="009D7677" w:rsidRDefault="009D7677" w:rsidP="009D7677">
      <w:pPr>
        <w:pStyle w:val="TextoNormal"/>
      </w:pPr>
    </w:p>
    <w:p w14:paraId="557AA801" w14:textId="77777777" w:rsidR="009D7677" w:rsidRDefault="009D7677" w:rsidP="009D7677">
      <w:pPr>
        <w:pStyle w:val="TextoNormal"/>
      </w:pPr>
      <w:r>
        <w:t>El recurrente en amparo denuncia que se han vulnerado sus derechos a la tutela judicial efectiva (art. 24.1 CE), a un proceso con todas las garantías (art. 24.2 CE) y a la libertad personal (art. 17.3 CE), porque tanto la solicitud de extradición como la orden de arresto fueron emitidas por un órgano administrativo policial (el buró de investigación de delitos económicos del Ministerio de Seguridad Pública de la República Popular China) con la aprobación posterior del arresto por parte de la Fiscalía Popular del distrito de Shinan, y carecieron del control judicial en origen exigido en las SSTC 147/2020 y 147/2021 para garantizar su necesidad y proporcionalidad.</w:t>
      </w:r>
    </w:p>
    <w:p w14:paraId="60CD1CEE" w14:textId="77777777" w:rsidR="009D7677" w:rsidRDefault="009D7677" w:rsidP="009D7677">
      <w:pPr>
        <w:pStyle w:val="TextoNormal"/>
      </w:pPr>
    </w:p>
    <w:p w14:paraId="3EF065F2" w14:textId="05C48095" w:rsidR="009D7677" w:rsidRDefault="009D7677" w:rsidP="009D7677">
      <w:pPr>
        <w:pStyle w:val="TextoNormal"/>
      </w:pPr>
      <w:r>
        <w:t>El fiscal ante este Tribunal Constitucional apoya el motivo e interesa la nulidad de las resoluciones judiciales impugnadas, aunque de manera subsidiaria propone que se module la doctrina constitucional sentada en la STC 147/2020 a la luz de las circunstancias del caso.</w:t>
      </w:r>
    </w:p>
    <w:p w14:paraId="44EF28A0" w14:textId="77777777" w:rsidR="009D7677" w:rsidRDefault="009D7677" w:rsidP="009D7677">
      <w:pPr>
        <w:pStyle w:val="TextoNormal"/>
      </w:pPr>
    </w:p>
    <w:p w14:paraId="59415644" w14:textId="77777777" w:rsidR="009D7677" w:rsidRDefault="009D7677" w:rsidP="009D7677">
      <w:pPr>
        <w:pStyle w:val="TextoNormal"/>
      </w:pPr>
      <w:r w:rsidRPr="009D7677">
        <w:rPr>
          <w:rStyle w:val="NumeroAFNegritaCaracter"/>
        </w:rPr>
        <w:t>2</w:t>
      </w:r>
      <w:r>
        <w:t xml:space="preserve">. </w:t>
      </w:r>
      <w:r w:rsidRPr="009D7677">
        <w:rPr>
          <w:i/>
        </w:rPr>
        <w:t>Especial trascendencia constitucional</w:t>
      </w:r>
    </w:p>
    <w:p w14:paraId="5895F05E" w14:textId="77777777" w:rsidR="009D7677" w:rsidRDefault="009D7677" w:rsidP="009D7677">
      <w:pPr>
        <w:pStyle w:val="TextoNormal"/>
      </w:pPr>
    </w:p>
    <w:p w14:paraId="423827E8" w14:textId="77777777" w:rsidR="009D7677" w:rsidRDefault="009D7677" w:rsidP="009D7677">
      <w:pPr>
        <w:pStyle w:val="TextoNormal"/>
      </w:pPr>
      <w:r>
        <w:t>La Sección Primera del Tribunal Constitucional, por providencia de 1 de diciembre de 2021, admitió a trámite el presente recurso de amparo apreciando la concurrencia de especial trascendencia constitucional (art. 50.1 LOTC) porque el recurso puede dar ocasión al Tribunal para aclarar o cambiar su doctrina, como consecuencia de un proceso de reflexión interna [STC 155/2009, FJ 2 b)].</w:t>
      </w:r>
    </w:p>
    <w:p w14:paraId="17604B32" w14:textId="77777777" w:rsidR="009D7677" w:rsidRDefault="009D7677" w:rsidP="009D7677">
      <w:pPr>
        <w:pStyle w:val="TextoNormal"/>
      </w:pPr>
    </w:p>
    <w:p w14:paraId="65214A0C" w14:textId="77777777" w:rsidR="009D7677" w:rsidRDefault="009D7677" w:rsidP="009D7677">
      <w:pPr>
        <w:pStyle w:val="TextoNormal"/>
      </w:pPr>
      <w:r>
        <w:t xml:space="preserve">Desde la STC 9/2015, de 2 de febrero, FJ 3, hemos establecido que “constituye una exigencia de certeza que este tribunal explicite el cumplimiento de este requisito, haciendo así recognoscibles los criterios de aplicación empleados al respecto por este tribunal [sentencia del Tribunal Europeo de Derechos Humanos (STEDH) de 20 de enero de 2015, asunto </w:t>
      </w:r>
      <w:r w:rsidRPr="009D7677">
        <w:rPr>
          <w:i/>
        </w:rPr>
        <w:t>Arribas Antón c. España</w:t>
      </w:r>
      <w:r>
        <w:t xml:space="preserve">]”, lo que también aconseja evitar la dispersión de criterios en asuntos que presentan una acusada identidad de objeto. A raíz de las SSTC 147/2020 y 147/2021, ha habido una reiteración de asuntos de extradición pasiva, procedentes del </w:t>
      </w:r>
      <w:r>
        <w:lastRenderedPageBreak/>
        <w:t>mismo país y de otros, que inciden en la misma cuestión, la referida a las solicitudes de extradición remitidas por un fiscal sin refrendo judicial.</w:t>
      </w:r>
    </w:p>
    <w:p w14:paraId="4CEF7CC7" w14:textId="77777777" w:rsidR="009D7677" w:rsidRDefault="009D7677" w:rsidP="009D7677">
      <w:pPr>
        <w:pStyle w:val="TextoNormal"/>
      </w:pPr>
    </w:p>
    <w:p w14:paraId="7791C022" w14:textId="08922ED5" w:rsidR="009D7677" w:rsidRDefault="009D7677" w:rsidP="009D7677">
      <w:pPr>
        <w:pStyle w:val="TextoNormal"/>
      </w:pPr>
      <w:r>
        <w:t>Este problema ha sido abordado en la reciente STC 17/2024, de 31 de enero, en la que se afirmó que también concurría la causa de especial trascendencia constitucional encuadrada en el supuesto de la letra b) del fundamento jurídico 2 de la STC 155/2009, de 25 de junio.</w:t>
      </w:r>
    </w:p>
    <w:p w14:paraId="10686032" w14:textId="77777777" w:rsidR="009D7677" w:rsidRDefault="009D7677" w:rsidP="009D7677">
      <w:pPr>
        <w:pStyle w:val="TextoNormal"/>
      </w:pPr>
    </w:p>
    <w:p w14:paraId="4E083716" w14:textId="77777777" w:rsidR="009D7677" w:rsidRDefault="009D7677" w:rsidP="009D7677">
      <w:pPr>
        <w:pStyle w:val="TextoNormal"/>
      </w:pPr>
      <w:r w:rsidRPr="009D7677">
        <w:rPr>
          <w:rStyle w:val="NumeroAFNegritaCaracter"/>
        </w:rPr>
        <w:t>3</w:t>
      </w:r>
      <w:r>
        <w:t xml:space="preserve">. </w:t>
      </w:r>
      <w:r w:rsidRPr="009D7677">
        <w:rPr>
          <w:i/>
        </w:rPr>
        <w:t>La tutela judicial de la libertad en los procedimientos de extradición pasiva</w:t>
      </w:r>
    </w:p>
    <w:p w14:paraId="32B90703" w14:textId="77777777" w:rsidR="009D7677" w:rsidRDefault="009D7677" w:rsidP="009D7677">
      <w:pPr>
        <w:pStyle w:val="TextoNormal"/>
      </w:pPr>
    </w:p>
    <w:p w14:paraId="2C12AF1A" w14:textId="77777777" w:rsidR="009D7677" w:rsidRDefault="009D7677" w:rsidP="009D7677">
      <w:pPr>
        <w:pStyle w:val="TextoNormal"/>
      </w:pPr>
      <w:r>
        <w:t xml:space="preserve">En la STC 17/2024, de 31 de enero, se ha aclarado la doctrina sobre tutela judicial del derecho a la libertad en los procedimientos de extradición pasiva fijada en las SSTC 147/2020 y 147/2021 en el sentido de distinguir una garantía básica, consistente en que el órgano judicial verifique, al examinar la petición de extradición, la imparcialidad de la autoridad que la ha emitido, garantía inherente al deber de motivación reforzada de una decisión que ha de afectar necesariamente a la esfera de la libertad personal del reclamado, y una garantía específica, consistente en que la solicitud venga refrendada por una autoridad judicial desde el mismo país de origen, fundada en el art. 7.1 a) LEP, que es de directa aplicación en caso de ausencia de convenio de extradición con el Estado reclamante (STC 147/2021, FJ 4), pero que puede verse modulada en función de lo previsto en el convenio de extradición vigente entre las partes, en tanto que fuente normativa de aplicación preferente en los términos del art. 1.1 LEP, de modo que, aun cuando sea una exigencia inherente a la tutela judicial efectiva del derecho a la libertad personal del </w:t>
      </w:r>
      <w:r w:rsidRPr="009D7677">
        <w:rPr>
          <w:i/>
        </w:rPr>
        <w:t>extraditurus</w:t>
      </w:r>
      <w:r>
        <w:t xml:space="preserve"> que nuestros tribunales verifiquen que la necesidad y proporcionalidad de la medida ha sido debidamente ponderada por un órgano judicial del país emisor, dicha intermediación judicial puede dispensarse excepcionalmente cuando concurran las siguientes exigencias:</w:t>
      </w:r>
    </w:p>
    <w:p w14:paraId="5F5D9A9E" w14:textId="77777777" w:rsidR="009D7677" w:rsidRDefault="009D7677" w:rsidP="009D7677">
      <w:pPr>
        <w:pStyle w:val="TextoNormal"/>
      </w:pPr>
    </w:p>
    <w:p w14:paraId="07D8D5D4" w14:textId="77777777" w:rsidR="009D7677" w:rsidRDefault="009D7677" w:rsidP="009D7677">
      <w:pPr>
        <w:pStyle w:val="TextoNormal"/>
      </w:pPr>
      <w:r>
        <w:t>(i) Que se trate de un procedimiento de extradición regido por un convenio bilateral o multilateral que admita la posibilidad de que la petición de entrega pueda emanar de una autoridad no jurisdiccional.</w:t>
      </w:r>
    </w:p>
    <w:p w14:paraId="403DE9ED" w14:textId="77777777" w:rsidR="009D7677" w:rsidRDefault="009D7677" w:rsidP="009D7677">
      <w:pPr>
        <w:pStyle w:val="TextoNormal"/>
      </w:pPr>
    </w:p>
    <w:p w14:paraId="354D1BA6" w14:textId="77777777" w:rsidR="009D7677" w:rsidRDefault="009D7677" w:rsidP="009D7677">
      <w:pPr>
        <w:pStyle w:val="TextoNormal"/>
      </w:pPr>
      <w:r>
        <w:t>(ii) Que el país requirente suministre información suficientemente expresiva de que se trata de una autoridad que, conforme a su legislación interna, está facultada para emitir una solicitud de extradición en condiciones equivalentes a las de una autoridad judicial.</w:t>
      </w:r>
    </w:p>
    <w:p w14:paraId="7C2CCA00" w14:textId="77777777" w:rsidR="009D7677" w:rsidRDefault="009D7677" w:rsidP="009D7677">
      <w:pPr>
        <w:pStyle w:val="TextoNormal"/>
      </w:pPr>
    </w:p>
    <w:p w14:paraId="7FFC649C" w14:textId="2076B4F5" w:rsidR="009D7677" w:rsidRDefault="009D7677" w:rsidP="009D7677">
      <w:pPr>
        <w:pStyle w:val="TextoNormal"/>
      </w:pPr>
      <w:r>
        <w:t>(iii) Que el contenido de la solicitud y de la documentación anexa proporcione a los órganos judiciales españoles la información necesaria para verificar que la misma resulta necesaria y proporcionada.</w:t>
      </w:r>
    </w:p>
    <w:p w14:paraId="3F3C26F7" w14:textId="77777777" w:rsidR="009D7677" w:rsidRDefault="009D7677" w:rsidP="009D7677">
      <w:pPr>
        <w:pStyle w:val="TextoNormal"/>
      </w:pPr>
    </w:p>
    <w:p w14:paraId="3848A1BF" w14:textId="77777777" w:rsidR="009D7677" w:rsidRDefault="009D7677" w:rsidP="009D7677">
      <w:pPr>
        <w:pStyle w:val="TextoNormal"/>
      </w:pPr>
      <w:r w:rsidRPr="009D7677">
        <w:rPr>
          <w:rStyle w:val="NumeroAFNegritaCaracter"/>
        </w:rPr>
        <w:t>4</w:t>
      </w:r>
      <w:r>
        <w:t xml:space="preserve">. </w:t>
      </w:r>
      <w:r w:rsidRPr="009D7677">
        <w:rPr>
          <w:i/>
        </w:rPr>
        <w:t>Análisis de la vulneración referida a la falta de control judicial de la solicitud de extradición en el país de origen</w:t>
      </w:r>
    </w:p>
    <w:p w14:paraId="0E9B70C8" w14:textId="77777777" w:rsidR="009D7677" w:rsidRDefault="009D7677" w:rsidP="009D7677">
      <w:pPr>
        <w:pStyle w:val="TextoNormal"/>
      </w:pPr>
    </w:p>
    <w:p w14:paraId="221820C2" w14:textId="77777777" w:rsidR="009D7677" w:rsidRDefault="009D7677" w:rsidP="009D7677">
      <w:pPr>
        <w:pStyle w:val="TextoNormal"/>
      </w:pPr>
      <w:r>
        <w:t xml:space="preserve">El recurrente en amparo fue detenido en Madrid el día 14 de febrero de 2021 y puesto a disposición del Juzgado Central de Instrucción núm. 6, que incoó el procedimiento de extradición pasiva núm. 8-2021, en virtud de una orden internacional de detención de 10 de octubre de 2019 que dictó el buró de Seguridad Pública del distrito de Shinan, aprobada por la Fiscalía Popular del distrito de Shinan el 30 de septiembre de 2019, que le atribuían haber actuado, desde marzo de 2015 hasta agosto de 2019, como agente de venta de sellos, </w:t>
      </w:r>
      <w:r>
        <w:lastRenderedPageBreak/>
        <w:t>caligrafía, pinturas y otras obras de arte para inversionistas sin la aprobación de las autoridades competentes, ofreciendo falsamente la posibilidad de obtener altos rendimientos con dichas inversiones.</w:t>
      </w:r>
    </w:p>
    <w:p w14:paraId="25A23FF9" w14:textId="77777777" w:rsidR="009D7677" w:rsidRDefault="009D7677" w:rsidP="009D7677">
      <w:pPr>
        <w:pStyle w:val="TextoNormal"/>
      </w:pPr>
    </w:p>
    <w:p w14:paraId="288A3A65" w14:textId="77777777" w:rsidR="009D7677" w:rsidRDefault="009D7677" w:rsidP="009D7677">
      <w:pPr>
        <w:pStyle w:val="TextoNormal"/>
      </w:pPr>
      <w:r>
        <w:t>Acordada por el Consejo de Ministros la continuación del procedimiento en vía judicial, y cumplimentados los trámites del procedimiento judicial, la Sección Cuarta de la Sala de lo Penal de la Audiencia Nacional dictó el auto núm. 426/2021, de 15 de julio, por el que autorizó la entrega del demandante, por considerar que concurrían los requisitos establecidos en el Tratado de extradición entre el Reino de España y la República Popular China, hecho en Madrid el 14 de noviembre de 2005, y los de la Ley 4/1985, de 21 de marzo, de extradición pasiva, en particular los requisitos de doble incriminación y mínimo punitivo exigidos en el art. 2.1 a) del Tratado bilateral.</w:t>
      </w:r>
    </w:p>
    <w:p w14:paraId="4102209E" w14:textId="77777777" w:rsidR="009D7677" w:rsidRDefault="009D7677" w:rsidP="009D7677">
      <w:pPr>
        <w:pStyle w:val="TextoNormal"/>
      </w:pPr>
    </w:p>
    <w:p w14:paraId="1E14B7F1" w14:textId="77777777" w:rsidR="009D7677" w:rsidRDefault="009D7677" w:rsidP="009D7677">
      <w:pPr>
        <w:pStyle w:val="TextoNormal"/>
      </w:pPr>
      <w:r>
        <w:t>Interpuesto recurso de súplica fue desestimado en el auto núm. 68/2021, de 15 de octubre, del Pleno de la Sala de lo Penal de la Audiencia Nacional. En el recurso de súplica el demandante hizo valer, entre otros motivos, la vulneración de los arts. 17 y 24 CE por basarse la solicitud en una orden de detención refrendada por el fiscal, no equiparable a una resolución ejecutoria de condena ni a una resolución jurisdiccional, por lo que afirmaba que dicha orden era insuficiente y carente de legitimidad constitucional con arreglo a la STC 147/2020, de 19 de octubre.</w:t>
      </w:r>
    </w:p>
    <w:p w14:paraId="2EE3668F" w14:textId="77777777" w:rsidR="009D7677" w:rsidRDefault="009D7677" w:rsidP="009D7677">
      <w:pPr>
        <w:pStyle w:val="TextoNormal"/>
      </w:pPr>
    </w:p>
    <w:p w14:paraId="113E3544" w14:textId="77777777" w:rsidR="009D7677" w:rsidRDefault="009D7677" w:rsidP="009D7677">
      <w:pPr>
        <w:pStyle w:val="TextoNormal"/>
      </w:pPr>
      <w:r>
        <w:t>El demandante de amparo, don Yi Liu, combate estas resoluciones judiciales con el argumento de que, careciendo la orden de arresto refrendada por la Fiscalía Popular del distrito de Shinan de control judicial en la República Popular China, las resoluciones judiciales impugnadas que autorizaron la extradición en estas condiciones incumplieron la doctrina sentada en las SSTC 147/2020 y 147/2021, que interpreta en el sentido de que la falta de refrendo judicial equivale a una falta de necesidad y proporcionalidad de la medida.</w:t>
      </w:r>
    </w:p>
    <w:p w14:paraId="5DB03F4A" w14:textId="77777777" w:rsidR="009D7677" w:rsidRDefault="009D7677" w:rsidP="009D7677">
      <w:pPr>
        <w:pStyle w:val="TextoNormal"/>
      </w:pPr>
    </w:p>
    <w:p w14:paraId="755B2D96" w14:textId="77777777" w:rsidR="009D7677" w:rsidRDefault="009D7677" w:rsidP="009D7677">
      <w:pPr>
        <w:pStyle w:val="TextoNormal"/>
      </w:pPr>
      <w:r>
        <w:t>De conformidad con lo que hemos expuesto en el anterior fundamento jurídico de esta sentencia, el planteamiento impugnatorio del demandante no puede ser asumido, pues el art. 7.2 a) del Tratado de extradición entre el Reino de España y la República Popular China, de 14 de noviembre de 2005 (Instrumento de ratificación de 30 de junio de 2006, “Boletín Oficial del Estado” núm. 75, de 28 de marzo de 2007), no exige el dictado de una resolución judicial como punto de partida de la solicitud de entrega, por lo que la documentación remitida en apoyo de la solicitud de extradición no queda fuera de la cobertura legal conformada por las fuentes aplicables.</w:t>
      </w:r>
    </w:p>
    <w:p w14:paraId="3F0DD26B" w14:textId="77777777" w:rsidR="009D7677" w:rsidRDefault="009D7677" w:rsidP="009D7677">
      <w:pPr>
        <w:pStyle w:val="TextoNormal"/>
      </w:pPr>
    </w:p>
    <w:p w14:paraId="780361C8" w14:textId="77777777" w:rsidR="009D7677" w:rsidRDefault="009D7677" w:rsidP="009D7677">
      <w:pPr>
        <w:pStyle w:val="TextoNormal"/>
      </w:pPr>
      <w:r>
        <w:t>En efecto, la información remitida por el Estado requirente es suficientemente expresiva de que la autoridad emisora, el buró de Seguridad Pública del distrito de Shinan con la aprobación de la Fiscalía Popular del distrito de Shinan, es la autoridad competente, lo que excluye la necesidad de su validación judicial. El mencionado artículo 7.2 a) del Tratado de extradición establece el requisito de que “la solicitud de extradición dirigida a la persecución penal de la persona reclamada deberá también ir acompañada de una copia de la orden de detención emitida por la autoridad competente de la Parte requirente”.</w:t>
      </w:r>
    </w:p>
    <w:p w14:paraId="70C762B8" w14:textId="77777777" w:rsidR="009D7677" w:rsidRDefault="009D7677" w:rsidP="009D7677">
      <w:pPr>
        <w:pStyle w:val="TextoNormal"/>
      </w:pPr>
    </w:p>
    <w:p w14:paraId="5CE69C72" w14:textId="77777777" w:rsidR="009D7677" w:rsidRDefault="009D7677" w:rsidP="009D7677">
      <w:pPr>
        <w:pStyle w:val="TextoNormal"/>
      </w:pPr>
      <w:r>
        <w:t>La misión de los tribunales españoles se ha de limitar a depurar aquellas solicitudes de extradición que presenten indicios de falta de proporcionalidad o de fundamento, mediante el examen en concreto de las alegaciones y documentos aportados por la persona reclama</w:t>
      </w:r>
      <w:r>
        <w:lastRenderedPageBreak/>
        <w:t>da y de las razones y documentos aportados por las autoridades requirentes junto con la petición de extradición o de aquellos otros que el tribunal español pueda solicitar como complemento de los anteriores.</w:t>
      </w:r>
    </w:p>
    <w:p w14:paraId="7FEE78C7" w14:textId="77777777" w:rsidR="009D7677" w:rsidRDefault="009D7677" w:rsidP="009D7677">
      <w:pPr>
        <w:pStyle w:val="TextoNormal"/>
      </w:pPr>
    </w:p>
    <w:p w14:paraId="4C83A422" w14:textId="025A80D0" w:rsidR="009D7677" w:rsidRDefault="009D7677" w:rsidP="009D7677">
      <w:pPr>
        <w:pStyle w:val="TextoNormal"/>
      </w:pPr>
      <w:r>
        <w:t>En este caso, la documentación remitida por las autoridades chinas por vía diplomática, que incluye la orden internacional de detención y la solicitud de extradición expedida por el buró de Seguridad Pública del distrito de Shinan, con la aprobación de la Fiscalía Popular del distrito de Shinan, contiene una exposición circunstanciada tanto de los hechos imputados al demandante de amparo como de su calificación jurídica y de las diligencias de investigación practicadas bajo la dirección de la fiscalía china, en cuyo resultado se funda dicha imputación, en términos que no permiten poner en duda la necesidad y proporcionalidad de su decisión de solicitar su entrega para asegurar su enjuiciamiento. Procede por ello declarar que las resoluciones judiciales impugnadas, al dar curso en vía jurisdiccional a dicha solicitud, no han vulnerado los derechos fundamentales sustantivos y procesales invocados en la demanda de amparo.</w:t>
      </w:r>
    </w:p>
    <w:p w14:paraId="28110404" w14:textId="77777777" w:rsidR="009D7677" w:rsidRDefault="009D7677" w:rsidP="009D7677">
      <w:pPr>
        <w:pStyle w:val="TextoNormal"/>
      </w:pPr>
    </w:p>
    <w:p w14:paraId="394065B9" w14:textId="77777777" w:rsidR="009D7677" w:rsidRDefault="009D7677" w:rsidP="009D7677">
      <w:pPr>
        <w:pStyle w:val="TextoNormalCentrado"/>
        <w:keepNext/>
      </w:pPr>
      <w:r>
        <w:t>FALLO</w:t>
      </w:r>
    </w:p>
    <w:p w14:paraId="69EAD8A4" w14:textId="7185E8C9" w:rsidR="009D7677" w:rsidRDefault="009D7677" w:rsidP="009D7677">
      <w:pPr>
        <w:pStyle w:val="TextoNormalCentrado"/>
        <w:keepNext/>
      </w:pPr>
    </w:p>
    <w:p w14:paraId="21D1BFCD" w14:textId="06B7D1CD" w:rsidR="009D7677" w:rsidRDefault="009D7677" w:rsidP="009D7677">
      <w:pPr>
        <w:pStyle w:val="TextoNormal"/>
      </w:pPr>
      <w:r>
        <w:t>En atención a todo lo expuesto, el Tribunal Constitucional, por la autoridad que le confiere la Constitución de la Nación española, ha decidido desestimar el presente recurso de amparo.</w:t>
      </w:r>
    </w:p>
    <w:p w14:paraId="54B02883" w14:textId="77777777" w:rsidR="009D7677" w:rsidRDefault="009D7677" w:rsidP="009D7677">
      <w:pPr>
        <w:pStyle w:val="TextoNormal"/>
      </w:pPr>
    </w:p>
    <w:p w14:paraId="193F33D9" w14:textId="77777777" w:rsidR="009D7677" w:rsidRDefault="009D7677" w:rsidP="009D7677">
      <w:pPr>
        <w:pStyle w:val="TextoNormal"/>
      </w:pPr>
      <w:r>
        <w:t>Publíquese esta sentencia en el “Boletín Oficial del Estado”.</w:t>
      </w:r>
    </w:p>
    <w:p w14:paraId="3B860F91" w14:textId="77777777" w:rsidR="009D7677" w:rsidRDefault="009D7677" w:rsidP="009D7677">
      <w:pPr>
        <w:pStyle w:val="TextoNormal"/>
      </w:pPr>
      <w:r>
        <w:t>Dada en Madrid, a ocho de abril de dos mil veinticuatro.</w:t>
      </w:r>
    </w:p>
    <w:p w14:paraId="7E5F0BBC" w14:textId="1F522788" w:rsidR="009D7677" w:rsidRDefault="009D7677">
      <w:pPr>
        <w:spacing w:after="160" w:line="259" w:lineRule="auto"/>
        <w:rPr>
          <w:rFonts w:ascii="Times New Roman" w:eastAsia="Times New Roman" w:hAnsi="Times New Roman" w:cs="Times New Roman"/>
          <w:sz w:val="24"/>
          <w:szCs w:val="24"/>
          <w:lang w:eastAsia="es-ES"/>
        </w:rPr>
      </w:pPr>
      <w:r>
        <w:br w:type="page"/>
      </w:r>
    </w:p>
    <w:p w14:paraId="2D044E23" w14:textId="77777777" w:rsidR="009D7677" w:rsidRDefault="009D7677" w:rsidP="009D7677">
      <w:pPr>
        <w:pStyle w:val="TtuloResolucin"/>
      </w:pPr>
      <w:bookmarkStart w:id="55" w:name="SENTENCIA_2024_53"/>
      <w:r>
        <w:lastRenderedPageBreak/>
        <w:t>SENTENCIA 53/2024, de 8 de abril de 2024</w:t>
      </w:r>
    </w:p>
    <w:bookmarkEnd w:id="55"/>
    <w:p w14:paraId="7304F24A" w14:textId="77777777" w:rsidR="009D7677" w:rsidRDefault="009D7677" w:rsidP="009D7677">
      <w:pPr>
        <w:pStyle w:val="TtuloResolucin"/>
      </w:pPr>
      <w:r>
        <w:t>Sala Segunda</w:t>
      </w:r>
    </w:p>
    <w:p w14:paraId="5065390C" w14:textId="77777777" w:rsidR="009D7677" w:rsidRDefault="009D7677" w:rsidP="009D7677">
      <w:pPr>
        <w:pStyle w:val="TtuloBOE"/>
      </w:pPr>
      <w:r>
        <w:t>(BOE núm. 118, de 15 de mayo de 2024)</w:t>
      </w:r>
    </w:p>
    <w:p w14:paraId="209942A9" w14:textId="77777777" w:rsidR="009D7677" w:rsidRDefault="009D7677" w:rsidP="009D7677">
      <w:pPr>
        <w:pStyle w:val="TextoNormalCentrado"/>
      </w:pPr>
      <w:r>
        <w:t>ECLI:ES:TC:2024:53</w:t>
      </w:r>
    </w:p>
    <w:p w14:paraId="7EDE5695" w14:textId="32AC8C90" w:rsidR="009D7677" w:rsidRDefault="009D7677" w:rsidP="009D7677">
      <w:pPr>
        <w:pStyle w:val="TextoNormalCentrado"/>
      </w:pPr>
    </w:p>
    <w:p w14:paraId="54C5BF4B" w14:textId="77777777" w:rsidR="009D7677" w:rsidRDefault="009D7677" w:rsidP="009D7677">
      <w:pPr>
        <w:pStyle w:val="SntesisDescriptiva"/>
      </w:pPr>
      <w:r>
        <w:t>Recurso de amparo 8220-2021. Promovido por don B.J.M.S., respecto de las resoluciones dictadas por la Sala de lo Civil del Tribunal Supremo, la Audiencia Provincial de Madrid y un juzgado de violencia sobre la mujer de su capital, en proceso de divorcio contencioso.</w:t>
      </w:r>
    </w:p>
    <w:p w14:paraId="53DB68A3" w14:textId="6D32E69B" w:rsidR="009D7677" w:rsidRDefault="009D7677" w:rsidP="009D7677">
      <w:pPr>
        <w:pStyle w:val="SntesisDescriptiva"/>
      </w:pPr>
    </w:p>
    <w:p w14:paraId="0301F79D" w14:textId="77777777" w:rsidR="009D7677" w:rsidRDefault="009D7677" w:rsidP="009D7677">
      <w:pPr>
        <w:pStyle w:val="SntesisAnaltica"/>
      </w:pPr>
      <w:r>
        <w:t>Vulneración del derecho a la tutela judicial efectiva (motivación) en relación con la obligación de asegurar la protección integral de la familia y de los hijos y el estatuto constitucional de los derechos del condenado que esté cumpliendo pena de prisión: resoluciones judiciales que consideraron, de manera irrazonable, la situación de ingreso en prisión del padre como causa de privación del derecho de visitas.</w:t>
      </w:r>
    </w:p>
    <w:p w14:paraId="54123C42" w14:textId="1324BA0B" w:rsidR="009D7677" w:rsidRDefault="009D7677" w:rsidP="009D7677">
      <w:pPr>
        <w:pStyle w:val="SntesisAnaltica"/>
      </w:pPr>
    </w:p>
    <w:p w14:paraId="137DFDA3" w14:textId="6378032C" w:rsidR="009D7677" w:rsidRDefault="009D7677" w:rsidP="009D7677">
      <w:pPr>
        <w:pStyle w:val="Extracto"/>
      </w:pPr>
      <w:r>
        <w:t>1.</w:t>
      </w:r>
      <w:r>
        <w:tab/>
        <w:t>El interés superior del menor es un concepto autónomo, independiente y prioritario sobre el interés o las preferencias personales de los padres [FJ 4].</w:t>
      </w:r>
    </w:p>
    <w:p w14:paraId="445CD95C" w14:textId="77777777" w:rsidR="009D7677" w:rsidRDefault="009D7677" w:rsidP="009D7677">
      <w:pPr>
        <w:pStyle w:val="Extracto"/>
      </w:pPr>
    </w:p>
    <w:p w14:paraId="07313E1A" w14:textId="2B537D18" w:rsidR="009D7677" w:rsidRDefault="009D7677" w:rsidP="009D7677">
      <w:pPr>
        <w:pStyle w:val="Extracto"/>
      </w:pPr>
      <w:r>
        <w:t>2.</w:t>
      </w:r>
      <w:r>
        <w:tab/>
        <w:t>Los internos en centros penitenciarios conservan todos los derechos reconocidos a los ciudadanos por las normas de nuestro ordenamiento, con excepción de aquellos que son incompatibles con el objeto de la detención o el cumplimiento de la condena. Y las actuaciones penitenciarias deberán llevarse a cabo respetando la personalidad humana de los recluidos y los derechos e intereses de los mismos no afectados por la condena (STC 57/1994) [FJ 4].</w:t>
      </w:r>
    </w:p>
    <w:p w14:paraId="4AAD1C54" w14:textId="77777777" w:rsidR="009D7677" w:rsidRDefault="009D7677" w:rsidP="009D7677">
      <w:pPr>
        <w:pStyle w:val="Extracto"/>
      </w:pPr>
    </w:p>
    <w:p w14:paraId="0FB707E7" w14:textId="334E480D" w:rsidR="009D7677" w:rsidRDefault="009D7677" w:rsidP="009D7677">
      <w:pPr>
        <w:pStyle w:val="Extracto"/>
      </w:pPr>
      <w:r>
        <w:t>3.</w:t>
      </w:r>
      <w:r>
        <w:tab/>
        <w:t>Aun cuando la sentencia sea dictada por un juzgado de violencia sobre la mujer, de los arts. 94 (en la redacción anterior a la reforma de 2021) y 160 del Código Civil no se desprende que la situación de ingreso en prisión del padre sea causa automática de privación del derecho de visitas [FJ 4].</w:t>
      </w:r>
    </w:p>
    <w:p w14:paraId="6C3E176F" w14:textId="77777777" w:rsidR="009D7677" w:rsidRDefault="009D7677" w:rsidP="009D7677">
      <w:pPr>
        <w:pStyle w:val="Extracto"/>
      </w:pPr>
    </w:p>
    <w:p w14:paraId="52D7ED66" w14:textId="6C0959F0" w:rsidR="009D7677" w:rsidRDefault="009D7677" w:rsidP="009D7677">
      <w:pPr>
        <w:pStyle w:val="Extracto"/>
      </w:pPr>
      <w:r>
        <w:t>4.</w:t>
      </w:r>
      <w:r>
        <w:tab/>
        <w:t>La privación del derecho de visitas debe ser objeto de una motivación judicial que, ponderando las circunstancias del caso, explicite los criterios que llevan a concluir que la medida es necesaria y proporcionada para proteger, en su caso, el concreto interés superior de los hijos menores, atender a las circunstancias normativas y fácticas concurrentes, y no identificar necesariamente la exclusión de visitas del progenitor por el mero hecho de estar recluido en prisión [FJ 4].</w:t>
      </w:r>
    </w:p>
    <w:p w14:paraId="5C8544BC" w14:textId="77777777" w:rsidR="009D7677" w:rsidRDefault="009D7677" w:rsidP="009D7677">
      <w:pPr>
        <w:pStyle w:val="Extracto"/>
      </w:pPr>
    </w:p>
    <w:p w14:paraId="53C7C17B" w14:textId="77777777" w:rsidR="009D7677" w:rsidRDefault="009D7677" w:rsidP="009D7677">
      <w:pPr>
        <w:pStyle w:val="Extracto"/>
      </w:pPr>
    </w:p>
    <w:p w14:paraId="571CBE1D" w14:textId="77777777" w:rsidR="009D7677" w:rsidRDefault="009D7677" w:rsidP="009D7677">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5BE04793" w14:textId="53FE1FF4" w:rsidR="009D7677" w:rsidRDefault="009D7677" w:rsidP="009D7677">
      <w:pPr>
        <w:pStyle w:val="TextoNormal"/>
      </w:pPr>
    </w:p>
    <w:p w14:paraId="5B798B8C" w14:textId="77777777" w:rsidR="009D7677" w:rsidRDefault="009D7677" w:rsidP="009D7677">
      <w:pPr>
        <w:pStyle w:val="TextoNormalCentrado"/>
        <w:keepNext/>
      </w:pPr>
      <w:r>
        <w:t>EN NOMBRE DEL REY</w:t>
      </w:r>
    </w:p>
    <w:p w14:paraId="7CE53108" w14:textId="7F96E91A" w:rsidR="009D7677" w:rsidRDefault="009D7677" w:rsidP="009D7677">
      <w:pPr>
        <w:pStyle w:val="TextoNormalCentrado"/>
        <w:keepNext/>
      </w:pPr>
    </w:p>
    <w:p w14:paraId="3EC8CDC5" w14:textId="77777777" w:rsidR="009D7677" w:rsidRDefault="009D7677" w:rsidP="009D7677">
      <w:pPr>
        <w:pStyle w:val="TextoNormalCentrado"/>
        <w:keepNext/>
      </w:pPr>
    </w:p>
    <w:p w14:paraId="3F977952" w14:textId="77777777" w:rsidR="009D7677" w:rsidRDefault="009D7677" w:rsidP="009D7677">
      <w:pPr>
        <w:pStyle w:val="TextoNormal"/>
      </w:pPr>
      <w:r>
        <w:t>la siguiente</w:t>
      </w:r>
    </w:p>
    <w:p w14:paraId="38F5B738" w14:textId="4582A241" w:rsidR="009D7677" w:rsidRDefault="009D7677" w:rsidP="009D7677">
      <w:pPr>
        <w:pStyle w:val="TextoNormal"/>
      </w:pPr>
    </w:p>
    <w:p w14:paraId="4A922CDE" w14:textId="77777777" w:rsidR="009D7677" w:rsidRDefault="009D7677" w:rsidP="009D7677">
      <w:pPr>
        <w:pStyle w:val="TextoNormalCentrado"/>
        <w:keepNext/>
      </w:pPr>
      <w:r>
        <w:lastRenderedPageBreak/>
        <w:t>SENTENCIA</w:t>
      </w:r>
    </w:p>
    <w:p w14:paraId="7A15F024" w14:textId="36AA9E93" w:rsidR="009D7677" w:rsidRDefault="009D7677" w:rsidP="009D7677">
      <w:pPr>
        <w:pStyle w:val="TextoNormalCentrado"/>
        <w:keepNext/>
      </w:pPr>
    </w:p>
    <w:p w14:paraId="760D9511" w14:textId="77777777" w:rsidR="009D7677" w:rsidRDefault="009D7677" w:rsidP="009D7677">
      <w:pPr>
        <w:pStyle w:val="TextoNormal"/>
      </w:pPr>
      <w:r>
        <w:t>En el recurso de amparo núm. 8220-2021, promovido por don B.J.M.S., representado por la procuradora de los tribunales doña María Elena Juanas Fabeiro y asistido por la abogada doña María Nuria Jiménez Barandalla, frente al auto de la Sala de lo Civil del Tribunal Supremo de 24 de noviembre de 2021 desestimatorio del recurso de queja interpuesto contra el auto de la Sección Vigesimosegunda de la Audiencia Provincial de Madrid de 22 de junio de 2021, por el que se acordó inadmitir el recurso de casación contra la sentencia de 25 de mayo de 2021 dictada en el recurso de apelación núm. 551-2020 interpuesto frente a la sentencia de 16 de diciembre de 2019 dictada por el Juzgado de Violencia sobre la Mujer núm. 1 de Madrid en el procedimiento de familia-divorcio contencioso núm. 101-2019. Ha sido parte doña C.P.P., representada por la procuradora doña Susana Escudero Gómez y asistida por el letrado don Antonio Romero de Gracia. Ha intervenido el Ministerio Fiscal. Ha sido ponente el magistrado don Ramón Sáez Valcárcel.</w:t>
      </w:r>
    </w:p>
    <w:p w14:paraId="1602486E" w14:textId="5E121071" w:rsidR="009D7677" w:rsidRDefault="009D7677" w:rsidP="009D7677">
      <w:pPr>
        <w:pStyle w:val="TextoNormal"/>
      </w:pPr>
    </w:p>
    <w:p w14:paraId="1DC3C270" w14:textId="77777777" w:rsidR="009D7677" w:rsidRDefault="009D7677" w:rsidP="009D7677">
      <w:pPr>
        <w:pStyle w:val="TextoNormalNegritaCentrado"/>
        <w:keepNext/>
      </w:pPr>
      <w:r>
        <w:t>I. Antecedentes</w:t>
      </w:r>
    </w:p>
    <w:p w14:paraId="04AD75EB" w14:textId="0D91645B" w:rsidR="009D7677" w:rsidRDefault="009D7677" w:rsidP="009D7677">
      <w:pPr>
        <w:pStyle w:val="TextoNormalNegritaCentrado"/>
        <w:keepNext/>
      </w:pPr>
    </w:p>
    <w:p w14:paraId="56BC0654" w14:textId="20CCDACA" w:rsidR="009D7677" w:rsidRDefault="009D7677" w:rsidP="009D7677">
      <w:pPr>
        <w:pStyle w:val="TextoNormal"/>
      </w:pPr>
      <w:r w:rsidRPr="009D7677">
        <w:rPr>
          <w:rStyle w:val="NumeroAFNegritaCaracter"/>
        </w:rPr>
        <w:t>1</w:t>
      </w:r>
      <w:r>
        <w:t>. Mediante escrito presentado en este tribunal el día 23 de diciembre de 2021 la procuradora de los tribunales doña María Elena Juanas Fabeiro, en nombre y representación de don B.J.M.S., interpuso recurso de amparo contra las resoluciones mencionadas en el encabezamiento.</w:t>
      </w:r>
    </w:p>
    <w:p w14:paraId="0100CD77" w14:textId="77777777" w:rsidR="009D7677" w:rsidRDefault="009D7677" w:rsidP="009D7677">
      <w:pPr>
        <w:pStyle w:val="TextoNormal"/>
      </w:pPr>
    </w:p>
    <w:p w14:paraId="65A7A444" w14:textId="77777777" w:rsidR="009D7677" w:rsidRDefault="009D7677" w:rsidP="009D7677">
      <w:pPr>
        <w:pStyle w:val="TextoNormal"/>
      </w:pPr>
      <w:r w:rsidRPr="009D7677">
        <w:rPr>
          <w:rStyle w:val="NumeroAFNegritaCaracter"/>
        </w:rPr>
        <w:t>2</w:t>
      </w:r>
      <w:r>
        <w:t>. Los hechos en que se fundamenta la demanda de amparo son, en síntesis, los que siguen:</w:t>
      </w:r>
    </w:p>
    <w:p w14:paraId="4F178783" w14:textId="77777777" w:rsidR="009D7677" w:rsidRDefault="009D7677" w:rsidP="009D7677">
      <w:pPr>
        <w:pStyle w:val="TextoNormal"/>
      </w:pPr>
    </w:p>
    <w:p w14:paraId="3FF138E1" w14:textId="77777777" w:rsidR="009D7677" w:rsidRDefault="009D7677" w:rsidP="009D7677">
      <w:pPr>
        <w:pStyle w:val="TextoNormal"/>
      </w:pPr>
      <w:r>
        <w:t>a) El 13 de junio de 2019 doña C.P.P., presentó demanda de divorcio frente a don B.J.M.S., dirigida al Juzgado de Violencia sobre la Mujer núm. 5 de Madrid, en la que relataba que el demandado había abandonado el domicilio conyugal hacía cinco años y había regresado cuatro meses antes de interponerse la demanda. Durante este último período se había producido un incidente al comunicar doña C.P.P., a don B.J.M.S., que él había recibido una citación judicial de un juzgado de violencia sobre la mujer a raíz de una denuncia efectuada por unos vecinos, incidente que había dado lugar a una intervención policial y a la posterior apertura de las diligencias urgentes de juicio rápido núm. 402-2019, ante el citado Juzgado de Violencia sobre la Mujer núm. 5 de Madrid, en cuyo seno se había dictado auto que recogía la existencia de indicios de delitos de maltrato y amenazas. El órgano judicial había dictado orden de protección de doña C.P.P., respecto del investigado y, como medidas de carácter civil, había atribuido la guarda y custodia de las dos hijas menores a la madre, así como el uso del domicilio familiar; y había establecido una pensión de alimentos a cargo del padre y un régimen de visitas en favor de este de fines de semana alternos, dos horas los sábados y dos horas los domingos, con entregas y recogidas a través de un punto de encuentro familiar. Estas medidas tenían una vigencia de treinta días hasta que se instara el procedimiento de familia que correspondiera, razón por la que se interpuso la demanda de divorcio.</w:t>
      </w:r>
    </w:p>
    <w:p w14:paraId="745126F7" w14:textId="77777777" w:rsidR="009D7677" w:rsidRDefault="009D7677" w:rsidP="009D7677">
      <w:pPr>
        <w:pStyle w:val="TextoNormal"/>
      </w:pPr>
    </w:p>
    <w:p w14:paraId="12970E9C" w14:textId="77777777" w:rsidR="009D7677" w:rsidRDefault="009D7677" w:rsidP="009D7677">
      <w:pPr>
        <w:pStyle w:val="TextoNormal"/>
      </w:pPr>
      <w:r>
        <w:t xml:space="preserve">La actora continuaba relatando en su demanda que, a la salida del citado juicio rápido, el demandado había sido detenido, al parecer por otro delito, y que se encontraba en prisión provisional, desconociendo la causa que se le imputaba y el tiempo que debía pasar </w:t>
      </w:r>
      <w:r>
        <w:lastRenderedPageBreak/>
        <w:t>en el centro penitenciario. Y solicitaba que las hijas menores de edad, entonces de once y seis años, quedaran bajo su guarda y custodia y sometidas a su patria potestad, al estar el padre privado de libertad; que se le atribuyera a ella, junto con las menores, el uso y disfrute de la vivienda familiar; y que se estableciera un régimen de visitas en favor del padre, así como su obligación de pagar pensión de alimentos. En particular, y respecto del régimen de visitas, interesó que, una vez que el demandado hubiera abandonado el centro penitenciario, las visitas se restablecieran de forma progresiva en dos fases.</w:t>
      </w:r>
    </w:p>
    <w:p w14:paraId="622CC471" w14:textId="77777777" w:rsidR="009D7677" w:rsidRDefault="009D7677" w:rsidP="009D7677">
      <w:pPr>
        <w:pStyle w:val="TextoNormal"/>
      </w:pPr>
    </w:p>
    <w:p w14:paraId="69B4F96F" w14:textId="77777777" w:rsidR="009D7677" w:rsidRDefault="009D7677" w:rsidP="009D7677">
      <w:pPr>
        <w:pStyle w:val="TextoNormal"/>
      </w:pPr>
      <w:r>
        <w:t>b) El 17 de junio de 2019 el Juzgado de Violencia sobre la Mujer núm. 5 de Madrid dictó auto indicando que las diligencias urgentes-juicio rápido núm. 402-2019 habían sido remitidas por inhibición al Juzgado de Violencia sobre la Mujer núm. 1, por lo que también procedía su inhibición en relación con el procedimiento de divorcio.</w:t>
      </w:r>
    </w:p>
    <w:p w14:paraId="3A6AC3E9" w14:textId="77777777" w:rsidR="009D7677" w:rsidRDefault="009D7677" w:rsidP="009D7677">
      <w:pPr>
        <w:pStyle w:val="TextoNormal"/>
      </w:pPr>
    </w:p>
    <w:p w14:paraId="0CCFE762" w14:textId="77777777" w:rsidR="009D7677" w:rsidRDefault="009D7677" w:rsidP="009D7677">
      <w:pPr>
        <w:pStyle w:val="TextoNormal"/>
      </w:pPr>
      <w:r>
        <w:t>Por decreto de 11 de julio de 2019 el Juzgado de Violencia sobre la Mujer núm. 1 de Madrid admitió a trámite la demanda, incoando el procedimiento de familia-divorcio contencioso núm. 101-2019. Transcurrido el plazo para comparecer y contestar a la demanda sin haberse personado en el procedimiento, el demandado fue declarado en rebeldía. Posteriormente se personó en el procedimiento, tras serle designados abogado y procurador de oficio. El 12 de diciembre de 2019 se celebró la vista, compareciendo ambas partes y sus respectivos abogados y procuradores, así como el Ministerio Fiscal.</w:t>
      </w:r>
    </w:p>
    <w:p w14:paraId="6D95833E" w14:textId="77777777" w:rsidR="009D7677" w:rsidRDefault="009D7677" w:rsidP="009D7677">
      <w:pPr>
        <w:pStyle w:val="TextoNormal"/>
      </w:pPr>
    </w:p>
    <w:p w14:paraId="00F20732" w14:textId="77777777" w:rsidR="009D7677" w:rsidRDefault="009D7677" w:rsidP="009D7677">
      <w:pPr>
        <w:pStyle w:val="TextoNormal"/>
      </w:pPr>
      <w:r>
        <w:t>En lo que se refiere al objeto del presente recurso de amparo, debe destacarse que del interrogatorio de ambos progenitores en la vista se desprende que las niñas mantenían una buena relación con su padre, que a la madre no le importaba que el padre viera a sus hijas y que hasta esa fecha no había existido ningún problema entre ellos en relación con las visitas. Ambos coincidieron en declarar que la hija mayor había estado visitando al padre en el centro penitenciario desde su ingreso, añadiendo la madre que la niña tenía una relación muy estrecha con su padre y que no deseaba prohibir dichas visitas porque ella se enfadaba si no le dejaba verle. También manifestaron que la hija menor no había ido a visitar al padre al centro penitenciario en un primer momento porque era muy pequeña; pero, después de un episodio de crisis psicológica que padeció la niña por el hecho de no ver a su padre —motivo, según contó la madre, por el que el colegio la convocó y se derivó a la menor a una psicóloga—, ambos progenitores decidieron que se reanudara el contacto mediante visitas de la hija en la prisión.</w:t>
      </w:r>
    </w:p>
    <w:p w14:paraId="17C587D0" w14:textId="77777777" w:rsidR="009D7677" w:rsidRDefault="009D7677" w:rsidP="009D7677">
      <w:pPr>
        <w:pStyle w:val="TextoNormal"/>
      </w:pPr>
    </w:p>
    <w:p w14:paraId="6D70FFCB" w14:textId="77777777" w:rsidR="009D7677" w:rsidRDefault="009D7677" w:rsidP="009D7677">
      <w:pPr>
        <w:pStyle w:val="TextoNormal"/>
      </w:pPr>
      <w:r>
        <w:t>A pregunta de la magistrada, el padre informó que estaba ingresado en prisión por un delito de robo en casa habitada.</w:t>
      </w:r>
    </w:p>
    <w:p w14:paraId="066436FF" w14:textId="77777777" w:rsidR="009D7677" w:rsidRDefault="009D7677" w:rsidP="009D7677">
      <w:pPr>
        <w:pStyle w:val="TextoNormal"/>
      </w:pPr>
    </w:p>
    <w:p w14:paraId="6CD1A7F3" w14:textId="77777777" w:rsidR="009D7677" w:rsidRDefault="009D7677" w:rsidP="009D7677">
      <w:pPr>
        <w:pStyle w:val="TextoNormal"/>
      </w:pPr>
      <w:r>
        <w:t>Tras la práctica de los interrogatorios, el Ministerio Fiscal emitió informe adhiriéndose a lo solicitado por la madre en la demanda, con la única salvedad de que no hubiera visitas mientras el padre estuviera ingresado en prisión por entender que era lo más adecuado para las menores. La abogada de la madre se ratificó en lo solicitado en la demanda. La abogada del padre concluyó su informe refiriéndose a las visitas en el centro penitenciario, solicitando que, en beneficio de las menores, se estableciera un régimen de visitas lo más amplio posible porque, según había manifestado la madre, la hija mayor lo exigía y la pequeña estaba en tratamiento psicológico por haberse visto privada de la relación.</w:t>
      </w:r>
    </w:p>
    <w:p w14:paraId="225CF0F4" w14:textId="77777777" w:rsidR="009D7677" w:rsidRDefault="009D7677" w:rsidP="009D7677">
      <w:pPr>
        <w:pStyle w:val="TextoNormal"/>
      </w:pPr>
    </w:p>
    <w:p w14:paraId="40C2A679" w14:textId="77777777" w:rsidR="009D7677" w:rsidRDefault="009D7677" w:rsidP="009D7677">
      <w:pPr>
        <w:pStyle w:val="TextoNormal"/>
      </w:pPr>
      <w:r>
        <w:lastRenderedPageBreak/>
        <w:t>c) El juzgado dictó sentencia el 16 de diciembre de 2019, por la que declaró el divorcio; atribuyó a la demandante la guarda y custodia de las menores y el ejercicio de la patria potestad en exclusiva mientras el demandado estuviere en prisión; concedió el uso y disfrute del domicilio familiar a las hijas menores y, por ende, a su progenitora custodia; impuso una pensión de alimentos a cargo del demandado; y estableció un régimen de visitas progresivo desde la salida de prisión del padre, en los términos solicitados en la demanda.</w:t>
      </w:r>
    </w:p>
    <w:p w14:paraId="74D796E0" w14:textId="77777777" w:rsidR="009D7677" w:rsidRDefault="009D7677" w:rsidP="009D7677">
      <w:pPr>
        <w:pStyle w:val="TextoNormal"/>
      </w:pPr>
    </w:p>
    <w:p w14:paraId="6BFC8E85" w14:textId="77777777" w:rsidR="009D7677" w:rsidRDefault="009D7677" w:rsidP="009D7677">
      <w:pPr>
        <w:pStyle w:val="TextoNormal"/>
      </w:pPr>
      <w:r>
        <w:t>En relación con la atribución del uso de la vivienda familiar, el juzgado consideró acreditado que la misma no era propiedad de ninguna de las dos partes, sino de la madre del demandado —que residía en otra vivienda—, quien había consentido que la demandante y sus hijas la ocuparan después de que el demandado abandonara el domicilio familiar para iniciar una relación con una tercera persona. Se declaró probado que la vivienda había constituido el domicilio familiar, en el que habían venido residiendo las menores desde su nacimiento, hecho solo acreditado por el volante de empadronamiento, pues la supuesta propietaria de la vivienda no había sido oída. Por ello, se acordaba atribuir su uso y disfrute a las hijas, junto a la madre custodia, “sin perjuicio de las relaciones que la misma deberá o podrá tener con la/los legítimos titulares de la propiedad y las acciones que esta/os podrán entablar contra aquella y que resultan ajenas a las relaciones familiares que en la presente sentencia se resuelven”.</w:t>
      </w:r>
    </w:p>
    <w:p w14:paraId="07566D9E" w14:textId="77777777" w:rsidR="009D7677" w:rsidRDefault="009D7677" w:rsidP="009D7677">
      <w:pPr>
        <w:pStyle w:val="TextoNormal"/>
      </w:pPr>
    </w:p>
    <w:p w14:paraId="44EDD609" w14:textId="77777777" w:rsidR="009D7677" w:rsidRDefault="009D7677" w:rsidP="009D7677">
      <w:pPr>
        <w:pStyle w:val="TextoNormal"/>
      </w:pPr>
      <w:r>
        <w:t>Por otro lado, sobre el régimen de visitas la sentencia argumentó:</w:t>
      </w:r>
    </w:p>
    <w:p w14:paraId="6902824D" w14:textId="77777777" w:rsidR="009D7677" w:rsidRDefault="009D7677" w:rsidP="009D7677">
      <w:pPr>
        <w:pStyle w:val="TextoNormal"/>
      </w:pPr>
    </w:p>
    <w:p w14:paraId="2C8AC3C3" w14:textId="77777777" w:rsidR="009D7677" w:rsidRDefault="009D7677" w:rsidP="009D7677">
      <w:pPr>
        <w:pStyle w:val="TextoNormal"/>
      </w:pPr>
      <w:r>
        <w:t>“Por lo que respecta al régimen de visitas que procede acordar como derecho-deber del progenitor no custodio respecto de sus hijas menores, la actora propone en su demanda un régimen progresivo en atención a la situación de prisión en la que se encuentra el demandado, el cual, por su parte, conviene reiterar, no ha contestado a la demanda y, por tanto, no ha efectuado alegación ni petición alguna relativa a esta cuestión, debiendo también destacarse cómo en el acto de la vista la parte actora se ratificó en su escrito de demanda sin introducir variación alguna respecto del suplico de la misma.</w:t>
      </w:r>
    </w:p>
    <w:p w14:paraId="1D25AAFE" w14:textId="77777777" w:rsidR="009D7677" w:rsidRDefault="009D7677" w:rsidP="009D7677">
      <w:pPr>
        <w:pStyle w:val="TextoNormal"/>
      </w:pPr>
    </w:p>
    <w:p w14:paraId="4A052B0B" w14:textId="77777777" w:rsidR="009D7677" w:rsidRDefault="009D7677" w:rsidP="009D7677">
      <w:pPr>
        <w:pStyle w:val="TextoNormal"/>
      </w:pPr>
      <w:r>
        <w:t>No obstante, al contestar a las preguntas de interrogatorio la actora manifestó que la hija [N.A.] había comenzado a visitar a su padre en prisión por petición expresa de la propia menor, así como que la más pequeña también había comenzado a realizar visitas a su padre en el centro penitenciario, refiriendo expresamente que ella no se oponía a que dichas visitas se siguieran realizando debido a la buena relación existente entre las niñas y su padre.</w:t>
      </w:r>
    </w:p>
    <w:p w14:paraId="18471E5E" w14:textId="77777777" w:rsidR="009D7677" w:rsidRDefault="009D7677" w:rsidP="009D7677">
      <w:pPr>
        <w:pStyle w:val="TextoNormal"/>
      </w:pPr>
    </w:p>
    <w:p w14:paraId="5CEE4BC8" w14:textId="77777777" w:rsidR="009D7677" w:rsidRDefault="009D7677" w:rsidP="009D7677">
      <w:pPr>
        <w:pStyle w:val="TextoNormal"/>
      </w:pPr>
      <w:r>
        <w:t>Por su parte, el Ministerio Fiscal se opuso al desarrollo de régimen de visitas alguno de las menores con su padre mientras este permanezca en prisión.</w:t>
      </w:r>
    </w:p>
    <w:p w14:paraId="2E6625E8" w14:textId="77777777" w:rsidR="009D7677" w:rsidRDefault="009D7677" w:rsidP="009D7677">
      <w:pPr>
        <w:pStyle w:val="TextoNormal"/>
      </w:pPr>
    </w:p>
    <w:p w14:paraId="69E94012" w14:textId="77777777" w:rsidR="009D7677" w:rsidRDefault="009D7677" w:rsidP="009D7677">
      <w:pPr>
        <w:pStyle w:val="TextoNormal"/>
      </w:pPr>
      <w:r>
        <w:t>Así las cosas, siendo que, como se acaba de indicar el régimen de visitas interesado por la actora en su demanda no preveía su desarrollo durante el cumplimiento de condena de prisión por parte del demandado, lo procedente es establecer como medida definitiva el solicitado en el suplico de la demanda, al velar adecuadamente el interés superior de las hijas menores, su desarrollo social y educativo, así como garantizar el restablecimiento y mantenimiento de las relaciones del demandado con sus hijas menores.</w:t>
      </w:r>
    </w:p>
    <w:p w14:paraId="60085C11" w14:textId="77777777" w:rsidR="009D7677" w:rsidRDefault="009D7677" w:rsidP="009D7677">
      <w:pPr>
        <w:pStyle w:val="TextoNormal"/>
      </w:pPr>
    </w:p>
    <w:p w14:paraId="6DEFF9C8" w14:textId="77777777" w:rsidR="009D7677" w:rsidRDefault="009D7677" w:rsidP="009D7677">
      <w:pPr>
        <w:pStyle w:val="TextoNormal"/>
      </w:pPr>
      <w:r>
        <w:lastRenderedPageBreak/>
        <w:t>Por todo ello, y sin perjuicio de los acuerdos a los que puedan llegar los padres, en defecto de estos, procede establecer que, una vez don [B.J.M.S.] salga del centro penitenciario tras el cumplimiento de la pena de prisión que actualmente se encuentra ejecutando, podrá estar con sus hijas menores de acuerdo con los términos interesados por la actora y que han sido reproducidos en el antecedente de hecho primero de la presente resolución”.</w:t>
      </w:r>
    </w:p>
    <w:p w14:paraId="199513D1" w14:textId="77777777" w:rsidR="009D7677" w:rsidRDefault="009D7677" w:rsidP="009D7677">
      <w:pPr>
        <w:pStyle w:val="TextoNormal"/>
      </w:pPr>
    </w:p>
    <w:p w14:paraId="686DCBAD" w14:textId="77777777" w:rsidR="009D7677" w:rsidRDefault="009D7677" w:rsidP="009D7677">
      <w:pPr>
        <w:pStyle w:val="TextoNormal"/>
      </w:pPr>
      <w:r>
        <w:t>d) El demandado interpuso recurso de apelación, alegando en su primer motivo que, con arreglo a la jurisprudencia del Tribunal Supremo, en los supuestos de viviendas pertenecientes a terceros la solución a los conflictos entre propietario y usuario debía darse desde el punto de vista del derecho de propiedad y no desde los parámetros del Derecho de familia. Y concluyó señalando que “[l]a vivienda familiar es propiedad de la madre del señor Moreno, que no es parte de este procedimiento, por lo que se le está provocando grave indefensión con vulneración del art. 24 de la Constitución, de forma injusta e injustificada mediante este pronunciamiento de la sentencia que afecta gravemente a su derecho de propiedad”. En el segundo motivo del recurso se opuso al régimen de visitas establecido en la sentencia al no contemplar ninguna medida durante el tiempo en que el demandado estuviera en prisión. Indicó que en la sentencia se hacía constar que la actora había manifestado que la hija mayor visitaba a su padre en prisión por petición expresa de la propia menor, y que la más pequeña también había comenzado a realizar visitas al centro penitenciario. Destacó que en la vista la actora había afirmado que a la hija mayor no le podía negar las visitas porque no lo iba a admitir, y que a la hija menor el hecho de no ver a su padre le estaba causando problemas psicológicos. La actora también había manifestado, y así constaba en la sentencia, que ella no se oponía a que las visitas se siguieran realizando, dada la buena relación existente entre el padre y las hijas; había sido el Ministerio Fiscal el que se había opuesto al desarrollo del régimen de visitas mientras el padre estuviera en prisión, aunque no había justificado los motivos de dicha negativa. Argumentó que, conforme al art. 25.2 CE, el recurrente tenía limitada su libertad individual, pero dicha limitación no podía alcanzar a otros extremos como las relaciones paternofiliales, reconociendo dicho precepto el derecho de los reclusos al desarrollo integral de su personalidad. El art. 94 del Código civil (en adelante, CC) permitía al juez limitar o suspender el derecho de visitas si se dieran graves circunstancias que así lo aconsejaran o se incumplieran grave o reiteradamente los deberes impuestos en la resolución judicial, pero la suspensión del régimen de visitas no podía derivarse del mero hecho de encontrarse el padre en prisión, sino de circunstancias que implicaran un peligro real y concreto para la salud física, psíquica o moral del menor. Además, el art. 160 CC establece que, en caso de privación de libertad de los progenitores, la Administración deberá facilitar el traslado del menor a un centro penitenciario, ya sea por un familiar o por un profesional, que velarán por la preparación del menor a dicha visita. El régimen de visitas solicitado por la actora era absolutamente restrictivo e injustificado y se contradecía con lo manifestado por ella el día de la vista.</w:t>
      </w:r>
    </w:p>
    <w:p w14:paraId="3E552459" w14:textId="77777777" w:rsidR="009D7677" w:rsidRDefault="009D7677" w:rsidP="009D7677">
      <w:pPr>
        <w:pStyle w:val="TextoNormal"/>
      </w:pPr>
    </w:p>
    <w:p w14:paraId="7E49A77B" w14:textId="77777777" w:rsidR="009D7677" w:rsidRDefault="009D7677" w:rsidP="009D7677">
      <w:pPr>
        <w:pStyle w:val="TextoNormal"/>
      </w:pPr>
      <w:r>
        <w:t>Tanto la actora como el Ministerio Fiscal se opusieron a la estimación del recurso.</w:t>
      </w:r>
    </w:p>
    <w:p w14:paraId="41ED2120" w14:textId="77777777" w:rsidR="009D7677" w:rsidRDefault="009D7677" w:rsidP="009D7677">
      <w:pPr>
        <w:pStyle w:val="TextoNormal"/>
      </w:pPr>
    </w:p>
    <w:p w14:paraId="0B9CB503" w14:textId="77777777" w:rsidR="009D7677" w:rsidRDefault="009D7677" w:rsidP="009D7677">
      <w:pPr>
        <w:pStyle w:val="TextoNormal"/>
      </w:pPr>
      <w:r>
        <w:t>e) La Sección Vigesimosegunda de la Audiencia Provincial de Madrid dictó sentencia el 25 de mayo de 2021 desestimando el recurso de apelación.</w:t>
      </w:r>
    </w:p>
    <w:p w14:paraId="3B38D9DF" w14:textId="77777777" w:rsidR="009D7677" w:rsidRDefault="009D7677" w:rsidP="009D7677">
      <w:pPr>
        <w:pStyle w:val="TextoNormal"/>
      </w:pPr>
    </w:p>
    <w:p w14:paraId="7040A4FB" w14:textId="77777777" w:rsidR="009D7677" w:rsidRDefault="009D7677" w:rsidP="009D7677">
      <w:pPr>
        <w:pStyle w:val="TextoNormal"/>
      </w:pPr>
      <w:r>
        <w:t>Respecto del uso de la vivienda familiar razonó que había de estarse al derecho de uso que se tenía durante la subsistencia de la convivencia conyugal, si bien ello tampoco con</w:t>
      </w:r>
      <w:r>
        <w:lastRenderedPageBreak/>
        <w:t>cedía a la esposa derechos de los que carecía frente a la propietaria, produciéndose una situación de precario que habría de subsistir en tanto dicha propietaria —y no el esposo— no promoviera el desalojo de la vivienda.</w:t>
      </w:r>
    </w:p>
    <w:p w14:paraId="350C5275" w14:textId="77777777" w:rsidR="009D7677" w:rsidRDefault="009D7677" w:rsidP="009D7677">
      <w:pPr>
        <w:pStyle w:val="TextoNormal"/>
      </w:pPr>
    </w:p>
    <w:p w14:paraId="6433C5A8" w14:textId="77777777" w:rsidR="009D7677" w:rsidRDefault="009D7677" w:rsidP="009D7677">
      <w:pPr>
        <w:pStyle w:val="TextoNormal"/>
      </w:pPr>
      <w:r>
        <w:t>En relación con el régimen de visitas argumentó lo siguiente:</w:t>
      </w:r>
    </w:p>
    <w:p w14:paraId="00B36CC0" w14:textId="77777777" w:rsidR="009D7677" w:rsidRDefault="009D7677" w:rsidP="009D7677">
      <w:pPr>
        <w:pStyle w:val="TextoNormal"/>
      </w:pPr>
    </w:p>
    <w:p w14:paraId="2548F377" w14:textId="77777777" w:rsidR="009D7677" w:rsidRDefault="009D7677" w:rsidP="009D7677">
      <w:pPr>
        <w:pStyle w:val="TextoNormal"/>
      </w:pPr>
      <w:r>
        <w:t>“El régimen de visitas de implantación paulatina y progresiva que se plantea por fases en la sentencia recurrida mientras se mantenga la privación de libertad del padre por cumplimiento en prisión de las penas a las que ha sido condenado es plenamente acorde con el interés superior de las hijas que con arreglo al art. 2 de la Ley Orgánica 1/1996, de 15 de enero, de protección jurídica del menor, en su nueva redacción introducida por la Ley Orgánica 8/2015, de 22 de julio, de modificación del sistema de protección a la infancia y a la adolescencia, ha de ser valorado y considerado como primordial en todas las acciones y decisiones que les conciernan, tanto en el ámbito público como privado, primando sobre cualquier otro interés legítimo que pudiera concurrir.</w:t>
      </w:r>
    </w:p>
    <w:p w14:paraId="71C3035F" w14:textId="77777777" w:rsidR="009D7677" w:rsidRDefault="009D7677" w:rsidP="009D7677">
      <w:pPr>
        <w:pStyle w:val="TextoNormal"/>
      </w:pPr>
    </w:p>
    <w:p w14:paraId="1CDDF0DA" w14:textId="77777777" w:rsidR="009D7677" w:rsidRDefault="009D7677" w:rsidP="009D7677">
      <w:pPr>
        <w:pStyle w:val="TextoNormal"/>
      </w:pPr>
      <w:r>
        <w:t xml:space="preserve">Aun cuando la madre manifieste la buena relación que mantienen las hijas menores con el padre y con independencia de las visitas que puedan haberse llevado a cabo al centro penitenciario y de las comunicaciones que libremente puedan acordar los progenitores, siempre que no perjudiquen el interés de las menores, se considera adecuada la restricción de las visitas que se determina en la sentencia y cuya duración se gradúa conforme vaya transcurriendo el tiempo desde que el padre recupere la libertad, todo ello en aplicación del principio </w:t>
      </w:r>
      <w:r w:rsidRPr="009D7677">
        <w:rPr>
          <w:i/>
        </w:rPr>
        <w:t>favor filii</w:t>
      </w:r>
      <w:r>
        <w:t>, esto es, el beneficio o interés material y moral de las menores en orden a la satisfacción de sus derechos legalmente sancionados, dado que este principio de protección integral de los hijos constituye un criterio teleológico de interpretación normativa expresamente reconocido en los arts. 92, 96 y 103, entre otros, del Código civil, que debe presidir la aplicación de la ley en esta materia”.</w:t>
      </w:r>
    </w:p>
    <w:p w14:paraId="4E516843" w14:textId="77777777" w:rsidR="009D7677" w:rsidRDefault="009D7677" w:rsidP="009D7677">
      <w:pPr>
        <w:pStyle w:val="TextoNormal"/>
      </w:pPr>
    </w:p>
    <w:p w14:paraId="39E4DFFC" w14:textId="77777777" w:rsidR="009D7677" w:rsidRDefault="009D7677" w:rsidP="009D7677">
      <w:pPr>
        <w:pStyle w:val="TextoNormal"/>
      </w:pPr>
      <w:r>
        <w:t>f) Don B.J.M.S., recurrió la sentencia en casación invocando interés casacional. En el primer motivo alegó que la sentencia era contraria a la jurisprudencia del Tribunal Supremo sobre conflictos entre propietario y usuario, y que la sentencia recurrida había dispuesto sobre el uso y disfrute de un bien sin que el legítimo propietario hubiese intervenido en el proceso, lo que había implicado una vulneración del art. 24 CE. El segundo motivo se refirió al régimen de visitas, que consideraba contrario a la voluntad de las menores, del padre y de la madre, habiendo estimado tanto el Ministerio Fiscal como el juzgado de violencia sobre la mujer actuante y la Audiencia Provincial que la visita de las menores a su padre en prisión era perjudicial sin haber llegado a explorar a las menores, cuyos deseos, sentimientos y opiniones debían haber sido tenidos en cuenta según la normativa aplicable. Se habían vulnerado los arts. 25.2 CE y 94, 158 y 160 CC, así como el art. 2 de la Ley Orgánica 1/1996, de 15 de enero, de protección jurídica del menor, de modificación parcial del Código civil y de la Ley de enjuiciamiento civil; y no se había motivado, ni siquiera indiciariamente, que las visitas en prisión pudieran perjudicar a las menores.</w:t>
      </w:r>
    </w:p>
    <w:p w14:paraId="4E4825F4" w14:textId="77777777" w:rsidR="009D7677" w:rsidRDefault="009D7677" w:rsidP="009D7677">
      <w:pPr>
        <w:pStyle w:val="TextoNormal"/>
      </w:pPr>
    </w:p>
    <w:p w14:paraId="512FD103" w14:textId="6CAB0451" w:rsidR="009D7677" w:rsidRDefault="009D7677" w:rsidP="009D7677">
      <w:pPr>
        <w:pStyle w:val="TextoNormal"/>
      </w:pPr>
      <w:r>
        <w:t>El recurso fue inadmitido por la Audiencia Provincial de Madrid mediante auto de 22 de junio de 2021, por apreciar que no cumplía con los requisitos exigidos por el art. 479 de la Ley de enjuiciamiento civil (en adelante, LEC) ni los criterios establecidos por el Tribunal Supremo. Don B.J.M.S., interpuso recurso de queja, que fue desestimado por auto del Tribunal Supremo de 24 de noviembre de 2021.</w:t>
      </w:r>
    </w:p>
    <w:p w14:paraId="3CB8E3FF" w14:textId="77777777" w:rsidR="009D7677" w:rsidRDefault="009D7677" w:rsidP="009D7677">
      <w:pPr>
        <w:pStyle w:val="TextoNormal"/>
      </w:pPr>
    </w:p>
    <w:p w14:paraId="6DE5A60F" w14:textId="77777777" w:rsidR="009D7677" w:rsidRDefault="009D7677" w:rsidP="009D7677">
      <w:pPr>
        <w:pStyle w:val="TextoNormal"/>
      </w:pPr>
      <w:r w:rsidRPr="009D7677">
        <w:rPr>
          <w:rStyle w:val="NumeroAFNegritaCaracter"/>
        </w:rPr>
        <w:t>3</w:t>
      </w:r>
      <w:r>
        <w:t>. Frente al auto del Tribunal Supremo y a las resoluciones antecedentes interpone don B.J.M.S., el presente recurso de amparo, invocando la vulneración del derecho a la tutela judicial efectiva del art. 24.1 CE en relación con el art. 33 CE y con los arts. 25.2 y 39 CE.</w:t>
      </w:r>
    </w:p>
    <w:p w14:paraId="5D0A697C" w14:textId="77777777" w:rsidR="009D7677" w:rsidRDefault="009D7677" w:rsidP="009D7677">
      <w:pPr>
        <w:pStyle w:val="TextoNormal"/>
      </w:pPr>
    </w:p>
    <w:p w14:paraId="705520BA" w14:textId="77777777" w:rsidR="009D7677" w:rsidRDefault="009D7677" w:rsidP="009D7677">
      <w:pPr>
        <w:pStyle w:val="TextoNormal"/>
      </w:pPr>
      <w:r>
        <w:t>Alega, en primer lugar, que al atribuir el uso de la vivienda familiar a la madre como progenitora custodia de las menores, las resoluciones judiciales impugnadas han privado indefinidamente de un inmueble a su propietaria, la abuela paterna, obligando a esta a acudir a un procedimiento de desahucio para recuperar su uso, y ello sin haberle concedido la posibilidad de realizar alegación alguna o proponer prueba en el procedimiento de familia, en el que dicha propietaria no fue citada. Ni siquiera es admisible privar judicialmente a una persona del ejercicio de su derecho de propiedad bajo la justificación del interés superior de las menores, habiéndose vulnerado con ello el art. 33 CE.</w:t>
      </w:r>
    </w:p>
    <w:p w14:paraId="74C4A9FC" w14:textId="77777777" w:rsidR="009D7677" w:rsidRDefault="009D7677" w:rsidP="009D7677">
      <w:pPr>
        <w:pStyle w:val="TextoNormal"/>
      </w:pPr>
    </w:p>
    <w:p w14:paraId="2B5C62DC" w14:textId="77777777" w:rsidR="009D7677" w:rsidRDefault="009D7677" w:rsidP="009D7677">
      <w:pPr>
        <w:pStyle w:val="TextoNormal"/>
      </w:pPr>
      <w:r>
        <w:t>En segundo lugar, aduce que existe una absoluta falta de fundamentación y motivación en las resoluciones recurridas en cuanto a la restricción total del derecho de visitas de las menores a su padre mientras dure su internamiento en el centro penitenciario, habiéndose vulnerado el derecho a la tutela judicial efectiva (art. 24.1 CE) en relación con la obligación de los poderes públicos de asegurar la protección integral de la familia y de los hijos (art. 39 CE). Argumenta que se ha resuelto en contra del art. 94 CC; de la Ley Orgánica 1/1996, de 15 de enero, de protección jurídica del menor, de modificación parcial del Código civil y de la Ley de enjuiciamiento civil; de la Ley Orgánica 8/2015, de 22 de julio, de modificación del sistema de protección a la infancia y a la adolescencia; de la Ley 26/2015, de 28 de julio, de modificación del sistema de protección a la infancia y a la adolescencia; y de la Convención de Naciones Unidas sobre los derechos del niño.</w:t>
      </w:r>
    </w:p>
    <w:p w14:paraId="2433DAF9" w14:textId="77777777" w:rsidR="009D7677" w:rsidRDefault="009D7677" w:rsidP="009D7677">
      <w:pPr>
        <w:pStyle w:val="TextoNormal"/>
      </w:pPr>
    </w:p>
    <w:p w14:paraId="2292BABA" w14:textId="77777777" w:rsidR="009D7677" w:rsidRDefault="009D7677" w:rsidP="009D7677">
      <w:pPr>
        <w:pStyle w:val="TextoNormal"/>
      </w:pPr>
      <w:r>
        <w:t>Considera que, con arreglo a dichas normas —en particular, con arreglo al art. 94 CC—, el progenitor no custodio tiene derecho a visitar, comunicarse y tener en su compañía a los hijos menores, no pudiendo restringirse este derecho por el solo hecho de estar internado en un centro penitenciario sin justificar que exista un peligro real y concreto para la salud física, psíquica o moral del menor. En este caso no se demostró, ni por el Ministerio Fiscal ni por los órganos judiciales, que existiera perjuicio alguno para las menores que aconsejase la interrupción del régimen de visitas al padre que las menores venían realizando al centro penitenciario. Destaca que no cumple condena por ningún delito relacionado con violencia de género; que durante el procedimiento no se recabó informe psicosocial alguno que motivase la no conveniencia de las visitas de las menores al padre, con el que mantenían una buena relación; que tampoco hubo oposición por parte de la madre, que en el acto de la vista se mostró favorable a las visitas; y que la decisión judicial es contraria a la voluntad de las menores. Concluye que todo lo anterior ha causado una limitación grave e injustificada tanto de los derechos de las menores como del padre.</w:t>
      </w:r>
    </w:p>
    <w:p w14:paraId="41458377" w14:textId="77777777" w:rsidR="009D7677" w:rsidRDefault="009D7677" w:rsidP="009D7677">
      <w:pPr>
        <w:pStyle w:val="TextoNormal"/>
      </w:pPr>
    </w:p>
    <w:p w14:paraId="1B401FD2" w14:textId="71C10739" w:rsidR="009D7677" w:rsidRDefault="009D7677" w:rsidP="009D7677">
      <w:pPr>
        <w:pStyle w:val="TextoNormal"/>
      </w:pPr>
      <w:r>
        <w:t>Como causa de especial trascendencia constitucional alega, entre otras, que el recurso plantea una cuestión jurídica de relevante y general repercusión social y permite al tribunal pronunciarse sobre la motivación con arreglo al interés superior del menor en los casos en los que uno de los progenitores se encuentra internado en un centro penitenciario y sus hijos menores desean mantener con él un régimen de visitas (arts. 24.1, 25.2 y 39 CE).</w:t>
      </w:r>
    </w:p>
    <w:p w14:paraId="2E5E12CE" w14:textId="77777777" w:rsidR="009D7677" w:rsidRDefault="009D7677" w:rsidP="009D7677">
      <w:pPr>
        <w:pStyle w:val="TextoNormal"/>
      </w:pPr>
    </w:p>
    <w:p w14:paraId="40EED37A" w14:textId="3C74612A" w:rsidR="009D7677" w:rsidRDefault="009D7677" w:rsidP="009D7677">
      <w:pPr>
        <w:pStyle w:val="TextoNormal"/>
      </w:pPr>
      <w:r w:rsidRPr="009D7677">
        <w:rPr>
          <w:rStyle w:val="NumeroAFNegritaCaracter"/>
        </w:rPr>
        <w:lastRenderedPageBreak/>
        <w:t>4</w:t>
      </w:r>
      <w:r>
        <w:t>. Por providencia de 28 de noviembre de 2022 la Sección Cuarta admitió a trámite el recurso de amparo, apreciando que concurre una especial trascendencia constitucional [art. 50.1 de la Ley Orgánica del Tribunal Constitucional (en adelante, LOTC)] por dos motivos: primero, el recurso puede dar ocasión al Tribunal para aclarar o cambiar su doctrina, como consecuencia de un proceso de reflexión interna [STC 155/2009, de 25 de junio, FJ 2 b)]; y segundo, el asunto trasciende del caso concreto porque plantea una cuestión jurídica de relevante y general repercusión social o económica [STC 155/2009, FJ 2 g)]. Por ello, en aplicación de lo dispuesto en el art. 51 LOTC, se ordenó dirigir atenta comunicación a la Sala de lo Civil del Tribunal Supremo a fin de que remitiera certificación de las actuaciones correspondientes al recurso de queja núm. 202-2021. La admisión del recurso se comunicó a la Sección Vigesimosegunda de la Audiencia Provincial de Madrid; las actuaciones habían sido remitidas con anterioridad. Y se dirigió comunicación al Juzgado de Violencia sobre la Mujer núm. 1 de Madrid para que emplazara a quienes hubieran sido parte, excepto a la recurrente en amparo, a fin de que pudieran comparecer en este proceso constitucional.</w:t>
      </w:r>
    </w:p>
    <w:p w14:paraId="0A46AD58" w14:textId="77777777" w:rsidR="009D7677" w:rsidRDefault="009D7677" w:rsidP="009D7677">
      <w:pPr>
        <w:pStyle w:val="TextoNormal"/>
      </w:pPr>
    </w:p>
    <w:p w14:paraId="1E376A09" w14:textId="52AEE999" w:rsidR="009D7677" w:rsidRDefault="009D7677" w:rsidP="009D7677">
      <w:pPr>
        <w:pStyle w:val="TextoNormal"/>
      </w:pPr>
      <w:r w:rsidRPr="009D7677">
        <w:rPr>
          <w:rStyle w:val="NumeroAFNegritaCaracter"/>
        </w:rPr>
        <w:t>5</w:t>
      </w:r>
      <w:r>
        <w:t>. El 7 de marzo de 2023 tuvo entrada en este tribunal escrito de alegaciones presentado por la procuradora doña Susana Escudero Gómez en representación de doña C.P.P., solicitando la inadmisión del recurso “por inexistencia de interés constitucional y carencia manifiesta de fundamento”. Considera que las resoluciones judiciales impugnadas han sido debidamente motivadas, especialmente la del juzgado, pues permiten conocer cuáles han sido los antecedentes de hecho y los fundamentos de Derecho en los que se ha basado el fallo; parte dispositiva que considera ajustada a Derecho en todos y cada uno de sus diferentes extremos.</w:t>
      </w:r>
    </w:p>
    <w:p w14:paraId="2B3C9A31" w14:textId="77777777" w:rsidR="009D7677" w:rsidRDefault="009D7677" w:rsidP="009D7677">
      <w:pPr>
        <w:pStyle w:val="TextoNormal"/>
      </w:pPr>
    </w:p>
    <w:p w14:paraId="057E4DF9" w14:textId="5981F19E" w:rsidR="009D7677" w:rsidRDefault="009D7677" w:rsidP="009D7677">
      <w:pPr>
        <w:pStyle w:val="TextoNormal"/>
      </w:pPr>
      <w:r w:rsidRPr="009D7677">
        <w:rPr>
          <w:rStyle w:val="NumeroAFNegritaCaracter"/>
        </w:rPr>
        <w:t>6</w:t>
      </w:r>
      <w:r>
        <w:t>. El 21 de marzo de 2023 presentó escrito de alegaciones el recurrente, reproduciendo, en esencia, los hechos y los fundamentos jurídicos de su recurso.</w:t>
      </w:r>
    </w:p>
    <w:p w14:paraId="6A692209" w14:textId="77777777" w:rsidR="009D7677" w:rsidRDefault="009D7677" w:rsidP="009D7677">
      <w:pPr>
        <w:pStyle w:val="TextoNormal"/>
      </w:pPr>
    </w:p>
    <w:p w14:paraId="46E8AE9F" w14:textId="77777777" w:rsidR="009D7677" w:rsidRDefault="009D7677" w:rsidP="009D7677">
      <w:pPr>
        <w:pStyle w:val="TextoNormal"/>
      </w:pPr>
      <w:r w:rsidRPr="009D7677">
        <w:rPr>
          <w:rStyle w:val="NumeroAFNegritaCaracter"/>
        </w:rPr>
        <w:t>7</w:t>
      </w:r>
      <w:r>
        <w:t>. La fiscal formuló sus alegaciones en escrito presentado el 18 de abril de 2023, interesando la inadmisión del recurso respecto del motivo relativo a la atribución del uso de la vivienda familiar y la estimación del motivo referido al régimen de visitas.</w:t>
      </w:r>
    </w:p>
    <w:p w14:paraId="32A42197" w14:textId="77777777" w:rsidR="009D7677" w:rsidRDefault="009D7677" w:rsidP="009D7677">
      <w:pPr>
        <w:pStyle w:val="TextoNormal"/>
      </w:pPr>
    </w:p>
    <w:p w14:paraId="17E48B07" w14:textId="77777777" w:rsidR="009D7677" w:rsidRDefault="009D7677" w:rsidP="009D7677">
      <w:pPr>
        <w:pStyle w:val="TextoNormal"/>
      </w:pPr>
      <w:r>
        <w:t>Tras exponer los antecedentes del caso, analiza la concurrencia de los presupuestos procesales para la viabilidad del recurso, considerando que concurren todos menos el de la legitimación activa del recurrente para denunciar la vulneración del art. 24.1 CE en relación con el primer motivo de amparo. Después de invocar la doctrina de este tribunal sobre la legitimación para recurrir en amparo, destaca que lo que el recurrente alega es que el inmueble que había venido constituyendo el domicilio familiar es propiedad de su madre, que no ha sido citada al juicio y a la que no se le ha permitido proponer prueba, por lo que se le ha causado indefensión con infracción del art. 24.1 CE, y se ha limitado judicialmente su derecho de propiedad con infracción del art. 33 CE. Planteada la cuestión en esos términos, el recurrente, pese a haber sido parte en el proceso judicial previo, no está alegando un interés particular en defender su derecho fundamental a la tutela judicial efectiva, derecho que correspondería ejercitarlo a su madre. No está alegando la existencia de un derecho preferente para que se le adjudique a él el uso de la vivienda, por lo que, a juicio de la fiscal, no acredita qué interés cualificado y específico concurre para esgrimir este primer motivo de amparo, que debe ser inadmitido.</w:t>
      </w:r>
    </w:p>
    <w:p w14:paraId="2DEF79B8" w14:textId="77777777" w:rsidR="009D7677" w:rsidRDefault="009D7677" w:rsidP="009D7677">
      <w:pPr>
        <w:pStyle w:val="TextoNormal"/>
      </w:pPr>
    </w:p>
    <w:p w14:paraId="31AF6EB8" w14:textId="77777777" w:rsidR="009D7677" w:rsidRDefault="009D7677" w:rsidP="009D7677">
      <w:pPr>
        <w:pStyle w:val="TextoNormal"/>
      </w:pPr>
      <w:r>
        <w:t>En relación con el segundo motivo de amparo, referido a la supresión de las visitas de las menores a su padre mientras esté internado en un centro penitenciario, destaca la fiscal lo dispuesto en los arts. 2 y 9 de la Ley Orgánica 1/1996, que garantizan el prevalente interés superior del menor en las decisiones que les afecten y su derecho a ser oído. Dado que el procedimiento de origen es un procedimiento de divorcio, se refiere también al art. 91.1 CC y, especialmente, al art. 94 CC, destacando que en el momento en que se dictaron las sentencias de primera instancia y apelación estaba vigente la redacción anterior a la reforma de este último precepto efectuada por la Ley 8/2021, de 2 de junio. En dicho momento, tal y como se invoca por el recurrente, el art. 94 CC establecía que el derecho de visitas, comunicaciones y estancia del progenitor no custodio respecto de los hijos menores se podía “limitar o suspender si se dieren graves circunstancias que así lo aconsejen o se incumplieren grave o reiteradamente los deberes impuestos por la resolución judicial”. Por otro lado, el art. 160 CC prevé, bajo ciertos requisitos, el derecho de visitas de los hijos en caso de que uno de los progenitores esté privado de libertad.</w:t>
      </w:r>
    </w:p>
    <w:p w14:paraId="12B1E6AA" w14:textId="77777777" w:rsidR="009D7677" w:rsidRDefault="009D7677" w:rsidP="009D7677">
      <w:pPr>
        <w:pStyle w:val="TextoNormal"/>
      </w:pPr>
    </w:p>
    <w:p w14:paraId="11A4EAED" w14:textId="77777777" w:rsidR="009D7677" w:rsidRDefault="009D7677" w:rsidP="009D7677">
      <w:pPr>
        <w:pStyle w:val="TextoNormal"/>
      </w:pPr>
      <w:r>
        <w:t>Por lo que se refiere a la doctrina constitucional, la fiscal invoca la que establece que las resoluciones judiciales que afecten a la esfera de los menores de edad han de cumplir un canon reforzado de motivación y regirse por el principio del interés superior del menor, doctrina que tiene particularmente en cuenta los convenios internacionales a los que apela el art. 39.4 CE y que hacen especial referencia al derecho de audiencia al menor. También se refiere a la doctrina establecida por este tribunal en relación con el derecho de las personas condenadas a pena de prisión a gozar de sus derechos fundamentales, a excepción de los que se vean expresamente limitados por el contenido del fallo condenatorio, garantizado en el art. 25.2 CE.</w:t>
      </w:r>
    </w:p>
    <w:p w14:paraId="5881065F" w14:textId="77777777" w:rsidR="009D7677" w:rsidRDefault="009D7677" w:rsidP="009D7677">
      <w:pPr>
        <w:pStyle w:val="TextoNormal"/>
      </w:pPr>
    </w:p>
    <w:p w14:paraId="29E2C294" w14:textId="77777777" w:rsidR="009D7677" w:rsidRDefault="009D7677" w:rsidP="009D7677">
      <w:pPr>
        <w:pStyle w:val="TextoNormal"/>
      </w:pPr>
      <w:r>
        <w:t>Aplicando dicha normativa y doctrina constitucional, señala la fiscal que se plantean dos cuestiones; la primera, la adopción de una resolución que afecta indiscutiblemente a la esfera de las hijas menores sin haberles dado audiencia en el procedimiento, pese a que la mayor de ellas contaba ya once años. La falta de audiencia contraviene la doctrina constitucional y el art. 9 de la Ley Orgánica 1/1996, y no ha sido objeto de una mínima justificación por parte del órgano judicial.</w:t>
      </w:r>
    </w:p>
    <w:p w14:paraId="2EE4E5C4" w14:textId="77777777" w:rsidR="009D7677" w:rsidRDefault="009D7677" w:rsidP="009D7677">
      <w:pPr>
        <w:pStyle w:val="TextoNormal"/>
      </w:pPr>
    </w:p>
    <w:p w14:paraId="522D2A56" w14:textId="77777777" w:rsidR="009D7677" w:rsidRDefault="009D7677" w:rsidP="009D7677">
      <w:pPr>
        <w:pStyle w:val="TextoNormal"/>
      </w:pPr>
      <w:r>
        <w:t>La segunda cuestión es que no se ha cumplido el canon reforzado de motivación que deben superar las resoluciones judiciales que afecten a menores. Advierte la fiscal que la sentencia del juzgado de violencia sobre la mujer no indica el criterio que le ha llevado a establecer que privar del derecho de visitas durante el período de cumplimiento de la pena privativa de libertad del padre es lo más adecuado para salvaguardar el superior interés de las menores, ni explicita el juicio de ponderación entre los valores en liza para hacer efectiva la exigencia de proporcionalidad de la decisión, limitándose a hacer una genérica referencia a que con ello se “vela adecuadamente el interés superior de las hijas”. Estas deficiencias, añade, no han sido reparadas por la audiencia provincial, que no tuvo en cuenta la falta de audiencia a las menores ni tampoco efectuó un mayor esfuerzo argumental que el de la sentencia de instancia.</w:t>
      </w:r>
    </w:p>
    <w:p w14:paraId="7A8AA7CE" w14:textId="77777777" w:rsidR="009D7677" w:rsidRDefault="009D7677" w:rsidP="009D7677">
      <w:pPr>
        <w:pStyle w:val="TextoNormal"/>
      </w:pPr>
    </w:p>
    <w:p w14:paraId="3F0B4F9C" w14:textId="77777777" w:rsidR="009D7677" w:rsidRDefault="009D7677" w:rsidP="009D7677">
      <w:pPr>
        <w:pStyle w:val="TextoNormal"/>
      </w:pPr>
      <w:r>
        <w:t xml:space="preserve">Por todo ello, concluye que se ha vulnerado el derecho a la tutela judicial efectiva (art. 24.1 CE) en relación con la protección del interés superior del menor garantizado en el art. </w:t>
      </w:r>
      <w:r>
        <w:lastRenderedPageBreak/>
        <w:t>39 CE, por falta de audiencia a las hijas y por carecer las resoluciones judiciales de una adecuada motivación.</w:t>
      </w:r>
    </w:p>
    <w:p w14:paraId="21225763" w14:textId="77777777" w:rsidR="009D7677" w:rsidRDefault="009D7677" w:rsidP="009D7677">
      <w:pPr>
        <w:pStyle w:val="TextoNormal"/>
      </w:pPr>
    </w:p>
    <w:p w14:paraId="14B8EE1B" w14:textId="52F345B8" w:rsidR="009D7677" w:rsidRDefault="009D7677" w:rsidP="009D7677">
      <w:pPr>
        <w:pStyle w:val="TextoNormal"/>
      </w:pPr>
      <w:r>
        <w:t>Por el contrario, la fiscal considera que las sentencias sí están suficientemente motivadas en relación con la atribución del uso de la vivienda familiar a la madre y las hijas, lo que invoca para el caso de que se desestimara el óbice de falta de legitimación activa antes apuntado.</w:t>
      </w:r>
    </w:p>
    <w:p w14:paraId="31D89154" w14:textId="77777777" w:rsidR="009D7677" w:rsidRDefault="009D7677" w:rsidP="009D7677">
      <w:pPr>
        <w:pStyle w:val="TextoNormal"/>
      </w:pPr>
    </w:p>
    <w:p w14:paraId="6EF7FEC3" w14:textId="3AF57933" w:rsidR="009D7677" w:rsidRDefault="009D7677" w:rsidP="009D7677">
      <w:pPr>
        <w:pStyle w:val="TextoNormal"/>
      </w:pPr>
      <w:r w:rsidRPr="009D7677">
        <w:rPr>
          <w:rStyle w:val="NumeroAFNegritaCaracter"/>
        </w:rPr>
        <w:t>8</w:t>
      </w:r>
      <w:r>
        <w:t>. Por providencia de 4 de abril de 2024 se señaló para deliberación y votación de la presente sentencia el día 8 del mismo mes y año.</w:t>
      </w:r>
    </w:p>
    <w:p w14:paraId="462407E9" w14:textId="77777777" w:rsidR="009D7677" w:rsidRDefault="009D7677" w:rsidP="009D7677">
      <w:pPr>
        <w:pStyle w:val="TextoNormal"/>
      </w:pPr>
    </w:p>
    <w:p w14:paraId="71D5D6FE" w14:textId="77777777" w:rsidR="009D7677" w:rsidRDefault="009D7677" w:rsidP="009D7677">
      <w:pPr>
        <w:pStyle w:val="TextoNormalNegritaCentrado"/>
        <w:keepNext/>
      </w:pPr>
      <w:r>
        <w:t>II. Fundamentos jurídicos</w:t>
      </w:r>
    </w:p>
    <w:p w14:paraId="76092519" w14:textId="57E11B01" w:rsidR="009D7677" w:rsidRDefault="009D7677" w:rsidP="009D7677">
      <w:pPr>
        <w:pStyle w:val="TextoNormalNegritaCentrado"/>
        <w:keepNext/>
      </w:pPr>
    </w:p>
    <w:p w14:paraId="024F16E9" w14:textId="77777777" w:rsidR="009D7677" w:rsidRDefault="009D7677" w:rsidP="009D7677">
      <w:pPr>
        <w:pStyle w:val="TextoNormal"/>
      </w:pPr>
      <w:r w:rsidRPr="009D7677">
        <w:rPr>
          <w:rStyle w:val="NumeroAFNegritaCaracter"/>
        </w:rPr>
        <w:t>1</w:t>
      </w:r>
      <w:r>
        <w:t xml:space="preserve">. </w:t>
      </w:r>
      <w:r w:rsidRPr="009D7677">
        <w:rPr>
          <w:i/>
        </w:rPr>
        <w:t>Objeto del recurso de amparo y pretensiones de las partes</w:t>
      </w:r>
    </w:p>
    <w:p w14:paraId="2A927E27" w14:textId="77777777" w:rsidR="009D7677" w:rsidRDefault="009D7677" w:rsidP="009D7677">
      <w:pPr>
        <w:pStyle w:val="TextoNormal"/>
      </w:pPr>
    </w:p>
    <w:p w14:paraId="2D871B7E" w14:textId="77777777" w:rsidR="009D7677" w:rsidRDefault="009D7677" w:rsidP="009D7677">
      <w:pPr>
        <w:pStyle w:val="TextoNormal"/>
      </w:pPr>
      <w:r>
        <w:t>a) El objeto de controversia de este proceso constitucional afecta a dos menores de edad. Para preservar su anonimato se acuerda identificarlas en esta resolución por sus iniciales, tanto a ellas como a sus padres (art. 86.3 de la Ley Orgánica del Tribunal Constitucional y Acuerdo del Pleno del Tribunal de 23 de julio de 2015, que regula la exclusión de los datos de identidad personal en la publicación de las resoluciones jurisdiccionales, “Boletín Oficial del Estado” núm. 178, de 27 de julio de 2015).</w:t>
      </w:r>
    </w:p>
    <w:p w14:paraId="4D56C761" w14:textId="77777777" w:rsidR="009D7677" w:rsidRDefault="009D7677" w:rsidP="009D7677">
      <w:pPr>
        <w:pStyle w:val="TextoNormal"/>
      </w:pPr>
    </w:p>
    <w:p w14:paraId="08517121" w14:textId="77777777" w:rsidR="009D7677" w:rsidRDefault="009D7677" w:rsidP="009D7677">
      <w:pPr>
        <w:pStyle w:val="TextoNormal"/>
      </w:pPr>
      <w:r>
        <w:t>b) La demanda de amparo se dirige contra las resoluciones reflejadas en el encabezamiento de esta sentencia. En un primer motivo alega que las sentencias dictadas en proceso de divorcio contencioso, por el Juzgado de Violencia sobre la Mujer núm. 1 de Madrid y por la Sección Vigesimosegunda de la Audiencia Provincial de Madrid han vulnerado el derecho a la tutela judicial efectiva (art. 24.1 CE), en relación con el derecho a la propiedad privada (art. 33 CE), al atribuir a las hijas menores y a la madre custodia el uso de la vivienda que constituía el domicilio familiar, cuya propiedad pertenecía a la abuela paterna de las menores, que no fue llamada al proceso ni tuvo oportunidad de efectuar alegaciones ni de proponer prueba. En un segundo motivo denuncia la vulneración del derecho a la tutela judicial efectiva (art. 24.1 CE), en relación con el art. 39 CE y con el art. 25.2 CE, por haber acordado la privación del derecho de visitas de las hijas al padre mientras este se encontrara en prisión cumpliendo condena por delito, que no consta sea de violencia de género o doméstica, en contra de la voluntad de las menores y de ambos padres, sin cumplir con los requisitos de motivación exigidos por la doctrina constitucional.</w:t>
      </w:r>
    </w:p>
    <w:p w14:paraId="06B1ED6A" w14:textId="77777777" w:rsidR="009D7677" w:rsidRDefault="009D7677" w:rsidP="009D7677">
      <w:pPr>
        <w:pStyle w:val="TextoNormal"/>
      </w:pPr>
    </w:p>
    <w:p w14:paraId="23E02567" w14:textId="77777777" w:rsidR="009D7677" w:rsidRDefault="009D7677" w:rsidP="009D7677">
      <w:pPr>
        <w:pStyle w:val="TextoNormal"/>
      </w:pPr>
      <w:r>
        <w:t>La madre de las menores solicita la inadmisión a trámite del recurso por inexistencia de interés constitucional y por falta manifiesta de fundamento.</w:t>
      </w:r>
    </w:p>
    <w:p w14:paraId="63A77F84" w14:textId="77777777" w:rsidR="009D7677" w:rsidRDefault="009D7677" w:rsidP="009D7677">
      <w:pPr>
        <w:pStyle w:val="TextoNormal"/>
      </w:pPr>
    </w:p>
    <w:p w14:paraId="04A4B676" w14:textId="7496F499" w:rsidR="009D7677" w:rsidRDefault="009D7677" w:rsidP="009D7677">
      <w:pPr>
        <w:pStyle w:val="TextoNormal"/>
      </w:pPr>
      <w:r>
        <w:t>El Ministerio Fiscal interesa la inadmisión del primer motivo de amparo por ausencia de legitimación activa del recurrente, al invocar la defensa del interés de un tercero y no de un interés propio, específico y concreto. Por el contrario, solicita la estimación del segundo motivo de amparo por considerar que las resoluciones impugnadas han vulnerado el derecho a la tutela judicial efectiva del art. 24.1 CE, en relación con la protección del interés superior del menor garantizado en el art. 39 CE, por falta de audiencia a las hijas y por carecer las resoluciones judiciales de una adecuada motivación.</w:t>
      </w:r>
    </w:p>
    <w:p w14:paraId="50DF6E14" w14:textId="77777777" w:rsidR="009D7677" w:rsidRDefault="009D7677" w:rsidP="009D7677">
      <w:pPr>
        <w:pStyle w:val="TextoNormal"/>
      </w:pPr>
    </w:p>
    <w:p w14:paraId="651CBAB8" w14:textId="77777777" w:rsidR="009D7677" w:rsidRDefault="009D7677" w:rsidP="009D7677">
      <w:pPr>
        <w:pStyle w:val="TextoNormal"/>
      </w:pPr>
      <w:r w:rsidRPr="009D7677">
        <w:rPr>
          <w:rStyle w:val="NumeroAFNegritaCaracter"/>
        </w:rPr>
        <w:t>2</w:t>
      </w:r>
      <w:r>
        <w:t xml:space="preserve">. </w:t>
      </w:r>
      <w:r w:rsidRPr="009D7677">
        <w:rPr>
          <w:i/>
        </w:rPr>
        <w:t>Examen de la admisibilidad del recurso de amparo</w:t>
      </w:r>
    </w:p>
    <w:p w14:paraId="5CE5B5E2" w14:textId="77777777" w:rsidR="009D7677" w:rsidRDefault="009D7677" w:rsidP="009D7677">
      <w:pPr>
        <w:pStyle w:val="TextoNormal"/>
      </w:pPr>
    </w:p>
    <w:p w14:paraId="5B3B1682" w14:textId="77777777" w:rsidR="009D7677" w:rsidRDefault="009D7677" w:rsidP="009D7677">
      <w:pPr>
        <w:pStyle w:val="TextoNormal"/>
      </w:pPr>
      <w:r>
        <w:t>Antes de examinar las quejas que se formulan en la demanda de amparo resulta obligado abordar las objeciones que sobre la admisibilidad del recurso plantean doña C.P.P., y el Ministerio Fiscal. Un análisis procedente en este momento procesal porque, según este tribunal ha declarado repetidamente, “los defectos insubsanables de que pudiera estar afectado el recurso de amparo no resultan sanados por que la demanda haya sido inicialmente admitida, de modo que la comprobación de los presupuestos procesales para la viabilidad de la acción [de amparo] puede siempre abordarse en la sentencia, de oficio o a instancia de parte, pudiendo dar lugar a un pronunciamiento de inadmisión por falta de tales presupuestos, sin que a ello sea obstáculo el carácter tasado de los pronunciamientos previstos en el art. 53 LOTC” (STC 77/2023, de 20 de junio, FJ 2, y doctrina allí citada).</w:t>
      </w:r>
    </w:p>
    <w:p w14:paraId="6D78E00F" w14:textId="77777777" w:rsidR="009D7677" w:rsidRDefault="009D7677" w:rsidP="009D7677">
      <w:pPr>
        <w:pStyle w:val="TextoNormal"/>
      </w:pPr>
    </w:p>
    <w:p w14:paraId="074AD711" w14:textId="77777777" w:rsidR="009D7677" w:rsidRDefault="009D7677" w:rsidP="009D7677">
      <w:pPr>
        <w:pStyle w:val="TextoNormal"/>
      </w:pPr>
      <w:r>
        <w:t>a) En el suplico del escrito de alegaciones presentado por la representación procesal de doña C.P.P., se interesa que se acuerde la inadmisión del recurso de amparo “por inexistencia de interés constitucional y carencia manifiesta de fundamento, a tenor de lo establecido en los artículos 50.1 y 49.1 de la LOTC”. Ninguna de estas objeciones puede ser acogida.</w:t>
      </w:r>
    </w:p>
    <w:p w14:paraId="1695E9B2" w14:textId="77777777" w:rsidR="009D7677" w:rsidRDefault="009D7677" w:rsidP="009D7677">
      <w:pPr>
        <w:pStyle w:val="TextoNormal"/>
      </w:pPr>
    </w:p>
    <w:p w14:paraId="72AF5353" w14:textId="77777777" w:rsidR="009D7677" w:rsidRDefault="009D7677" w:rsidP="009D7677">
      <w:pPr>
        <w:pStyle w:val="TextoNormal"/>
      </w:pPr>
      <w:r>
        <w:t>En la providencia de 28 de noviembre de 2022 se indicó que concurre una especial trascendencia constitucional porque el recurso puede dar ocasión al Tribunal para aclarar o cambiar su doctrina, como consecuencia de un proceso de reflexión interna [STC 155/2009, FJ 2 b)]; y porque el asunto suscitado trasciende del caso concreto porque plantea una cuestión jurídica de relevante y general repercusión social o económica [STC 155/2009, FJ 2 g)]. Conforme a una jurisprudencia constitucional reiterada, esta exigencia de admisibilidad, que no es de carácter procesal sino referida al fondo del asunto, es apreciada por el Tribunal en cada caso en el momento de admitir a trámite el recurso de amparo, de acuerdo con lo exigido por el art. 50.1 LOTC, sin que sea susceptible de reconsideración en el momento de la sentencia (STC 116/2023, de 25 de septiembre, FJ 2).</w:t>
      </w:r>
    </w:p>
    <w:p w14:paraId="20692C85" w14:textId="77777777" w:rsidR="009D7677" w:rsidRDefault="009D7677" w:rsidP="009D7677">
      <w:pPr>
        <w:pStyle w:val="TextoNormal"/>
      </w:pPr>
    </w:p>
    <w:p w14:paraId="7D46C84C" w14:textId="77777777" w:rsidR="009D7677" w:rsidRDefault="009D7677" w:rsidP="009D7677">
      <w:pPr>
        <w:pStyle w:val="TextoNormal"/>
      </w:pPr>
      <w:r>
        <w:t>En cualquier caso, con el fin de exponer las razones por las que se consideró que concurre la especial trascendencia constitucional del recurso y de hacer reconocibles los criterios de aplicación empleados al respecto (STC 40/2022, de 21 de marzo, FJ 2), debe indicarse que este recurso permite al Tribunal poner en relación su doctrina sobre el deber de motivación reforzada en todas las decisiones que afecten a menores de edad, lo que exige tener siempre como criterio decisor el principio del interés superior del menor (art. 24.1 y 39 CE), con la previsión constitucional del art. 25.2 CE, conforme al cual, el condenado a pena de prisión que estuviere cumpliendo la misma gozará de los derechos fundamentales, a excepción de los que se vean expresamente limitados por el contenido del fallo condenatorio, el sentido de la pena y la ley penitenciaria, teniendo en todo caso derecho al desarrollo integral de su personalidad.</w:t>
      </w:r>
    </w:p>
    <w:p w14:paraId="65431B58" w14:textId="77777777" w:rsidR="009D7677" w:rsidRDefault="009D7677" w:rsidP="009D7677">
      <w:pPr>
        <w:pStyle w:val="TextoNormal"/>
      </w:pPr>
    </w:p>
    <w:p w14:paraId="7863F813" w14:textId="77777777" w:rsidR="009D7677" w:rsidRDefault="009D7677" w:rsidP="009D7677">
      <w:pPr>
        <w:pStyle w:val="TextoNormal"/>
      </w:pPr>
      <w:r>
        <w:t>Por otro lado, aunque doña C.P.P., interesa también la inadmisión del recurso “por carencia manifiesta de fundamento”, la argumentación jurídica contenida en el cuerpo del escrito se limita a alegar que las resoluciones impugnadas satisfacen adecuadamente el canon constitucional de motivación, alegaciones que habrán de ser examinadas por este tribunal al realizar el análisis del fondo del asunto a los efectos de resolver sobre la esti</w:t>
      </w:r>
      <w:r>
        <w:lastRenderedPageBreak/>
        <w:t xml:space="preserve">mación o la desestimación del recurso, no apreciándose motivo que justifique la inadmisión del recurso por la causa alegada. Como recuerda el ATC 31/2023, de 7 de febrero, FJ 3, entre muchos otros, este tribunal “ha declarado reiteradamente que en el trámite de admisión del recurso de amparo debe examinarse el carácter verosímil o aparente de la hipotética lesión del derecho fundamental alegada en la demanda de amparo […]. Por ello, cuando los magistrados y magistradas constitucionales se pronuncian sobre la admisibilidad o no de un recurso de amparo determinan, entre otros extremos, si la lesión del derecho aducida en la demanda de amparo es descartable o no </w:t>
      </w:r>
      <w:r w:rsidRPr="009D7677">
        <w:rPr>
          <w:i/>
        </w:rPr>
        <w:t>ab initio</w:t>
      </w:r>
      <w:r>
        <w:t>; ya sea para decidir su admisión —como ha sucedido con el presente recurso de amparo— o su inadmisión”.</w:t>
      </w:r>
    </w:p>
    <w:p w14:paraId="2667CCF1" w14:textId="77777777" w:rsidR="009D7677" w:rsidRDefault="009D7677" w:rsidP="009D7677">
      <w:pPr>
        <w:pStyle w:val="TextoNormal"/>
      </w:pPr>
    </w:p>
    <w:p w14:paraId="0543AAD8" w14:textId="77777777" w:rsidR="009D7677" w:rsidRDefault="009D7677" w:rsidP="009D7677">
      <w:pPr>
        <w:pStyle w:val="TextoNormal"/>
      </w:pPr>
      <w:r>
        <w:t>b) Diferente respuesta ha de darse a la causa de inadmisión de falta de legitimación activa invocada por el Ministerio Fiscal, limitada al primero de los motivos del recurso de amparo, en el que el demandante alega que, al atribuir el uso de la vivienda familiar a la madre como progenitora custodia de las menores, las resoluciones judiciales han privado indefinidamente de un inmueble a su propietaria, la abuela paterna, obligándola a acudir a un procedimiento de desahucio para recuperar su uso, sin haberle concedido la posibilidad de realizar alegación alguna o de proponer prueba en el procedimiento de familia, en el que no fue citada.</w:t>
      </w:r>
    </w:p>
    <w:p w14:paraId="1562D77D" w14:textId="77777777" w:rsidR="009D7677" w:rsidRDefault="009D7677" w:rsidP="009D7677">
      <w:pPr>
        <w:pStyle w:val="TextoNormal"/>
      </w:pPr>
    </w:p>
    <w:p w14:paraId="3C6DBE41" w14:textId="77777777" w:rsidR="009D7677" w:rsidRDefault="009D7677" w:rsidP="009D7677">
      <w:pPr>
        <w:pStyle w:val="TextoNormal"/>
      </w:pPr>
      <w:r>
        <w:t>Invoca con acierto la fiscal la doctrina establecida, entre otras, en la STC 57/2014, de 5 de mayo, FJ 3, que establece que “[c]onstituye doctrina reiterada de este tribunal, a partir de una lectura sistemática e integradora de los arts. 161.1 b) CE y 46.1 b) de la Ley Orgánica del Tribunal Constitucional (LOTC), que para que concurra legitimación activa no es suficiente con haber sido parte en los distintos procedimientos que conforman la vía previa al amparo constitucional (SSTC 257/1988, de 22 de diciembre, FJ 3; 47/1999, de 22 de marzo, FJ 2; 92/1997, de 8 de mayo, FJ 1; 84/2000, de 27 de marzo, FJ 1, y 158/2002, de 16 de septiembre, FJ 1), sino que es preciso que el demandante acredite un interés legítimo en el asunto que ha de ventilarse, sin que pueda confundirse dicho interés con un ‘interés genérico en la preservación de derechos’; debiendo ser, por el contrario, un ‘interés cualificado y específico’ en la preservación de los derechos fundamentales cuya tutela se impetra (SSTC 148/1993, de 29 de abril, FJ 2, y 144/2000, de 29 de mayo, FJ 5)”.</w:t>
      </w:r>
    </w:p>
    <w:p w14:paraId="03365EF5" w14:textId="77777777" w:rsidR="009D7677" w:rsidRDefault="009D7677" w:rsidP="009D7677">
      <w:pPr>
        <w:pStyle w:val="TextoNormal"/>
      </w:pPr>
    </w:p>
    <w:p w14:paraId="0D35BE7A" w14:textId="77777777" w:rsidR="009D7677" w:rsidRDefault="009D7677" w:rsidP="009D7677">
      <w:pPr>
        <w:pStyle w:val="TextoNormal"/>
      </w:pPr>
      <w:r>
        <w:t>En el caso que se examina, don B.J.M.S., alega la vulneración del derecho a la tutela judicial efectiva (art. 24.1 CE) en relación con el derecho a la propiedad privada (art. 33 CE). Del razonamiento del recurrente se desprende que la vertiente del art. 24.1 CE que se vería afectada es la del derecho de acceso al proceso para poder ejercer el derecho de defensa, formular alegaciones y proponer prueba sin sufrir indefensión. Pero se trata de un derecho fundamental del que él no es titular, sino su madre, propietaria del inmueble que no fue llamada al proceso y que, al parecer, consintió que la familia habitara la vivienda. El recurrente sí tuvo acceso al proceso; se colocó en un principio en situación de rebeldía procesal; compareció posteriormente y tuvo plena intervención en el juicio y en todos los actos e instancias posteriores; y, como destaca la fiscal, no está alegando un derecho preferente para que se le adjudicara a él el uso de la vivienda, por lo que no ha acreditado un interés cualificado y específico para esgrimir este primer motivo de amparo.</w:t>
      </w:r>
    </w:p>
    <w:p w14:paraId="5B6654F4" w14:textId="77777777" w:rsidR="009D7677" w:rsidRDefault="009D7677" w:rsidP="009D7677">
      <w:pPr>
        <w:pStyle w:val="TextoNormal"/>
      </w:pPr>
    </w:p>
    <w:p w14:paraId="521614AD" w14:textId="5174C4F4" w:rsidR="009D7677" w:rsidRDefault="009D7677" w:rsidP="009D7677">
      <w:pPr>
        <w:pStyle w:val="TextoNormal"/>
      </w:pPr>
      <w:r>
        <w:t>Por todo ello, procede acordar la inadmisión a trámite del recurso interpuesto por don B.J.M.S., en lo referido a este motivo.</w:t>
      </w:r>
    </w:p>
    <w:p w14:paraId="36EBA976" w14:textId="77777777" w:rsidR="009D7677" w:rsidRDefault="009D7677" w:rsidP="009D7677">
      <w:pPr>
        <w:pStyle w:val="TextoNormal"/>
      </w:pPr>
    </w:p>
    <w:p w14:paraId="4CF8BB1F" w14:textId="77777777" w:rsidR="009D7677" w:rsidRDefault="009D7677" w:rsidP="009D7677">
      <w:pPr>
        <w:pStyle w:val="TextoNormal"/>
      </w:pPr>
      <w:r w:rsidRPr="009D7677">
        <w:rPr>
          <w:rStyle w:val="NumeroAFNegritaCaracter"/>
        </w:rPr>
        <w:lastRenderedPageBreak/>
        <w:t>3</w:t>
      </w:r>
      <w:r>
        <w:t xml:space="preserve">. </w:t>
      </w:r>
      <w:r w:rsidRPr="009D7677">
        <w:rPr>
          <w:i/>
        </w:rPr>
        <w:t>Doctrina constitucional aplicable</w:t>
      </w:r>
    </w:p>
    <w:p w14:paraId="1FB0EC58" w14:textId="77777777" w:rsidR="009D7677" w:rsidRDefault="009D7677" w:rsidP="009D7677">
      <w:pPr>
        <w:pStyle w:val="TextoNormal"/>
      </w:pPr>
    </w:p>
    <w:p w14:paraId="39318C84" w14:textId="77777777" w:rsidR="009D7677" w:rsidRDefault="009D7677" w:rsidP="009D7677">
      <w:pPr>
        <w:pStyle w:val="TextoNormal"/>
      </w:pPr>
      <w:r>
        <w:t>El objeto del proceso queda limitado a determinar si las resoluciones judiciales han respetado el derecho a la tutela judicial efectiva del recurrente, en su vertiente de derecho a una resolución motivada, al no autorizar visita alguna de sus hijas menores de edad durante el tiempo en el que hubiera de permanecer en prisión. El adecuado análisis del asunto exige tener presente tanto la doctrina que este tribunal tiene establecida sobre el interés superior del menor como principio constitucional y el deber de motivación reforzada de las resoluciones judiciales que le conciernen, como la específica doctrina relativa al régimen de visitas y comunicación con los menores.</w:t>
      </w:r>
    </w:p>
    <w:p w14:paraId="3B2C4914" w14:textId="77777777" w:rsidR="009D7677" w:rsidRDefault="009D7677" w:rsidP="009D7677">
      <w:pPr>
        <w:pStyle w:val="TextoNormal"/>
      </w:pPr>
    </w:p>
    <w:p w14:paraId="1B3E378A" w14:textId="77777777" w:rsidR="009D7677" w:rsidRDefault="009D7677" w:rsidP="009D7677">
      <w:pPr>
        <w:pStyle w:val="TextoNormal"/>
      </w:pPr>
      <w:r>
        <w:t>a) El interés superior del menor como principio constitucional y el deber de motivación reforzada</w:t>
      </w:r>
    </w:p>
    <w:p w14:paraId="497A17AD" w14:textId="77777777" w:rsidR="009D7677" w:rsidRDefault="009D7677" w:rsidP="009D7677">
      <w:pPr>
        <w:pStyle w:val="TextoNormal"/>
      </w:pPr>
    </w:p>
    <w:p w14:paraId="18F0326B" w14:textId="77777777" w:rsidR="009D7677" w:rsidRDefault="009D7677" w:rsidP="009D7677">
      <w:pPr>
        <w:pStyle w:val="TextoNormal"/>
      </w:pPr>
      <w:r>
        <w:t>En la STC 178/2020, de 14 de diciembre, FJ 3, recordamos, con cita de numerosos pronunciamientos de este tribunal, “la necesidad de que todos los poderes públicos cumplan el mandato dirigido a ellos en el art. 39 CE y atiendan de un modo preferente la situación del menor de edad, observando y haciendo observar el estatuto del menor como norma de orden público (STC 141/2000, FJ 5). Deben procurarlo, incluso si ello significa atemperar la rigidez de algunas normas procesales o sacrificar los legítimos intereses y perspectivas de terceros (SSTC 187/1996, de 25 de noviembre, FJ 2, y 77/2018, de 5 de julio, FJ 2). Hemos advertido en todas aquellas ocasiones en las que se nos ha planteado una posible lesión del derecho fundamental de un menor, que su interés superior ‘inherente a algunas de las previsiones del art. 39 CE es, considerado en abstracto, un bien constitucional suficientemente relevante para motivar la adopción de medidas legales que restrinjan derechos y principios constitucionales’ (STC 99/2019, de 18 de julio, FJ 7)”.</w:t>
      </w:r>
    </w:p>
    <w:p w14:paraId="6EEB41E6" w14:textId="77777777" w:rsidR="009D7677" w:rsidRDefault="009D7677" w:rsidP="009D7677">
      <w:pPr>
        <w:pStyle w:val="TextoNormal"/>
      </w:pPr>
    </w:p>
    <w:p w14:paraId="63E01901" w14:textId="77777777" w:rsidR="009D7677" w:rsidRDefault="009D7677" w:rsidP="009D7677">
      <w:pPr>
        <w:pStyle w:val="TextoNormal"/>
      </w:pPr>
      <w:r>
        <w:t>Señalamos también entonces que para valorar lo que resulta más beneficioso para el menor “ha de atenderse especialmente a las circunstancias concretas del caso, pues no hay dos supuestos iguales, ni puede establecerse un criterio apriorístico sobre cuál sea su mayor beneficio. […] La decisión de cuál sea en cada caso el interés superior del menor corresponde tomarla a los jueces y tribunales ordinarios, aunque es de nuestra incumbencia examinar si la motivación ofrecida por los mismos para adoptar cuantas medidas concierne a los menores, está sustentada en su mayor beneficio y así comprobar que no se han lesionado sus derechos fundamentales (STC 221/2002, FJ 4, y ATC 28/2001, de 1 de febrero). Porque, una vez más hemos de subrayar que ‘el canon de razonabilidad constitucional deviene más exigente por cuanto que se encuentran implicados valores y principios de indudable relevancia constitucional’”.</w:t>
      </w:r>
    </w:p>
    <w:p w14:paraId="623BD1CB" w14:textId="77777777" w:rsidR="009D7677" w:rsidRDefault="009D7677" w:rsidP="009D7677">
      <w:pPr>
        <w:pStyle w:val="TextoNormal"/>
      </w:pPr>
    </w:p>
    <w:p w14:paraId="5A6F8EA1" w14:textId="77777777" w:rsidR="009D7677" w:rsidRDefault="009D7677" w:rsidP="009D7677">
      <w:pPr>
        <w:pStyle w:val="TextoNormal"/>
      </w:pPr>
      <w:r>
        <w:t>Es importante destacar que “justificar debidamente las resoluciones en las que están concernidos los intereses y derechos de los menores (art. 39 CE), significa explicitar el juicio de ponderación entre los valores y derechos en liza para hacer así efectiva la exigencia de proporcionalidad inherente a la justicia, como es también jurisprudencia constitucional (STC 71/2004, de 19 de abril, FJ 5)’” (SSTC 178/2020, FJ 3, y 2/2024, de 15 de enero, FJ 2).</w:t>
      </w:r>
    </w:p>
    <w:p w14:paraId="47AB6EAC" w14:textId="77777777" w:rsidR="009D7677" w:rsidRDefault="009D7677" w:rsidP="009D7677">
      <w:pPr>
        <w:pStyle w:val="TextoNormal"/>
      </w:pPr>
    </w:p>
    <w:p w14:paraId="5DDD6280" w14:textId="77777777" w:rsidR="009D7677" w:rsidRDefault="009D7677" w:rsidP="009D7677">
      <w:pPr>
        <w:pStyle w:val="TextoNormal"/>
      </w:pPr>
      <w:r>
        <w:t xml:space="preserve">Entre los valores y derechos en liza que el órgano judicial ha de incluir en su juicio de ponderación se encuentran los deseos, sentimientos y opiniones del menor. La STC </w:t>
      </w:r>
      <w:r>
        <w:lastRenderedPageBreak/>
        <w:t>5/2023, de 20 de febrero, FJ 3, a la que nos remitimos, analizaba las disposiciones internacionales y nacionales que tratan de garantizar la participación de las personas menores de edad en los procedimientos que les afecten, en función de su edad y madurez, así como que su opinión, libremente expresada, sea tenida en cuenta en la ponderación de lo que debe considerarse en cada caso como interés superior del menor. En línea con las disposiciones internacionales que regulan la materia, el art. 2.2 b) de la Ley Orgánica 1/1996 establece entre esos criterios generales “[l]a consideración de los deseos, sentimientos y opiniones del menor, así como su derecho a participar progresivamente, en función de su edad, madurez, desarrollo y evolución personal, en el proceso de determinación de su interés superior”. El art. 9, por su parte, regula en detalle el derecho del menor a ser oído y escuchado, que forma parte del estatuto jurídico indisponible de los menores de edad, como norma de orden público, de inexcusable observancia para todos los poderes públicos (STC 141/2000, de 29 de mayo, FJ 5), y que se integra en el contenido de su derecho a la tutela judicial efectiva (art. 24.1 CE).</w:t>
      </w:r>
    </w:p>
    <w:p w14:paraId="7A7D253D" w14:textId="77777777" w:rsidR="009D7677" w:rsidRDefault="009D7677" w:rsidP="009D7677">
      <w:pPr>
        <w:pStyle w:val="TextoNormal"/>
      </w:pPr>
    </w:p>
    <w:p w14:paraId="3652F5D6" w14:textId="77777777" w:rsidR="009D7677" w:rsidRDefault="009D7677" w:rsidP="009D7677">
      <w:pPr>
        <w:pStyle w:val="TextoNormal"/>
      </w:pPr>
      <w:r>
        <w:t>Como indicamos en la STC 5/2023, FJ 3 C), el derecho del menor a ser oído y escuchado forma parte del estatuto jurídico indisponible de los menores de edad, como norma de orden público, de inexcusable observancia para todos los poderes públicos (STC 141/2000, de 29 de mayo, FJ 5), existiendo una estrecha vinculación entre el derecho indisponible del menor a ser oído y escuchado, que forma parte del contenido de su derecho a la tutela judicial efectiva (art. 24.1 CE), y el derecho a la tutela judicial efectiva y a la defensa de las partes (art. 24.1 y 2 CE).</w:t>
      </w:r>
    </w:p>
    <w:p w14:paraId="57C6F160" w14:textId="77777777" w:rsidR="009D7677" w:rsidRDefault="009D7677" w:rsidP="009D7677">
      <w:pPr>
        <w:pStyle w:val="TextoNormal"/>
      </w:pPr>
    </w:p>
    <w:p w14:paraId="1B120C44" w14:textId="77777777" w:rsidR="009D7677" w:rsidRDefault="009D7677" w:rsidP="009D7677">
      <w:pPr>
        <w:pStyle w:val="TextoNormal"/>
      </w:pPr>
      <w:r>
        <w:t>b) Doctrina constitucional sobre el régimen de visitas</w:t>
      </w:r>
    </w:p>
    <w:p w14:paraId="601E9810" w14:textId="77777777" w:rsidR="009D7677" w:rsidRDefault="009D7677" w:rsidP="009D7677">
      <w:pPr>
        <w:pStyle w:val="TextoNormal"/>
      </w:pPr>
    </w:p>
    <w:p w14:paraId="76539563" w14:textId="77777777" w:rsidR="009D7677" w:rsidRDefault="009D7677" w:rsidP="009D7677">
      <w:pPr>
        <w:pStyle w:val="TextoNormal"/>
      </w:pPr>
      <w:r>
        <w:t>El fundamento jurídico 2 de la STC 106/2022, de 13 de septiembre, expone de manera extensa nuestra doctrina sobre el derecho de visitas, comunicaciones y estancias de los menores con el progenitor que no los tenga consigo, subrayando la dimensión constitucional del derecho desde la perspectiva del mandato de protección a la familia y a la infancia (art. 39 CE). “En consecuencia, tanto la regulación del régimen de estancias, comunicaciones y visitas, exista o no acuerdo parental, como su aplicación por los órganos judiciales y por los poderes públicos, deben estar presididas por la protección del interés superior del menor”, que “opera, precisamente, como contrapeso de los derechos de cada progenitor y obliga a la autoridad judicial a ponderar tanto la necesidad como la proporcionalidad de la medida reguladora de la guarda y custodia del menor. Cuando el ejercicio de alguno de los derechos inherentes a los progenitores afecta al desenvolvimiento de sus relaciones filiales, y puede repercutir de un modo negativo en el desarrollo de la personalidad del hijo menor, el interés de los progenitores deberá ceder frente al interés de este. En estos casos nos encontramos ante un juicio de ponderación que debe constar expresamente en la resolución judicial, identificando los bienes y derechos en juego que pugnan de cada lado, a fin de poder calibrar la necesidad y proporcionalidad de la medida adoptada”.</w:t>
      </w:r>
    </w:p>
    <w:p w14:paraId="5CA3893B" w14:textId="77777777" w:rsidR="009D7677" w:rsidRDefault="009D7677" w:rsidP="009D7677">
      <w:pPr>
        <w:pStyle w:val="TextoNormal"/>
      </w:pPr>
    </w:p>
    <w:p w14:paraId="0C3B8F3F" w14:textId="77777777" w:rsidR="009D7677" w:rsidRDefault="009D7677" w:rsidP="009D7677">
      <w:pPr>
        <w:pStyle w:val="TextoNormal"/>
      </w:pPr>
      <w:r>
        <w:t xml:space="preserve">La mencionada STC 106/2022 desestimó un recurso de inconstitucionalidad interpuesto contra el art. 2, apartados décimo y decimonoveno, de la Ley 8/2021, de 2 de junio, por la que se reformó la legislación civil y procesal para el apoyo a las personas con discapacidad en el ejercicio de su capacidad jurídica; ley que había modificado el art. 94 CC, introduciendo un nuevo párrafo cuarto referido al régimen de visitas o estancias respecto de un progenitor incurso en un proceso penal iniciado por atentar contra la vida, la integridad </w:t>
      </w:r>
      <w:r>
        <w:lastRenderedPageBreak/>
        <w:t>física, la libertad, la integridad moral o la libertad e indemnidad sexual del otro cónyuge o sus hijos, o cuando la autoridad judicial advierta la existencia de indicios fundados de violencia doméstica o de género.</w:t>
      </w:r>
    </w:p>
    <w:p w14:paraId="026EFE75" w14:textId="77777777" w:rsidR="009D7677" w:rsidRDefault="009D7677" w:rsidP="009D7677">
      <w:pPr>
        <w:pStyle w:val="TextoNormal"/>
      </w:pPr>
    </w:p>
    <w:p w14:paraId="2CBDE723" w14:textId="27A8C291" w:rsidR="009D7677" w:rsidRDefault="009D7677" w:rsidP="009D7677">
      <w:pPr>
        <w:pStyle w:val="TextoNormal"/>
      </w:pPr>
      <w:r>
        <w:t xml:space="preserve">En ese contexto, indicamos en el fundamento jurídico 3 de esa sentencia que cuando del interés del menor se trata debería huirse de decisiones regladas o uniformes, porque no todos los delitos tienen la misma relevancia y alcance sobre la relación paterno o materno filial, sino que serán las concretas circunstancias del caso, la gravedad y naturaleza del delito cometido, la culpabilidad del autor, la persona o personas directamente afectadas por el mismo, entre otras, las que revelarán si en interés de la persona menor deben suspenderse de modo absoluto las relaciones con alguno de los progenitores o con ambos. El Tribunal Europeo de Derechos Humanos, se citaban entonces los asuntos </w:t>
      </w:r>
      <w:r w:rsidRPr="009D7677">
        <w:rPr>
          <w:i/>
        </w:rPr>
        <w:t>Gnahoré c. Francia</w:t>
      </w:r>
      <w:r>
        <w:t xml:space="preserve">, § 59, y </w:t>
      </w:r>
      <w:r w:rsidRPr="009D7677">
        <w:rPr>
          <w:i/>
        </w:rPr>
        <w:t>Jansen c. Noruega</w:t>
      </w:r>
      <w:r>
        <w:t>, § 88 a 93 (SSTEDH de 19 de septiembre de 2000 y de 6 de septiembre de 2018), ha considerado que solo excepcionalmente estaría justificado el cese absoluto de dichas relaciones en casos cuya gravedad o especial naturaleza o circunstancias concurrentes lo aconsejaren. Y, seguía la sentencia citada, entre otras circunstancias, deberán tomarse en consideración al establecer el régimen de visitas, comunicaciones y estancias las consecuencias irremediables que el transcurso del tiempo puede tener para las relaciones entre el hijo y el padre que no vive con él, la obligación de adoptar medidas eficaces y razonables para proteger a los menores de actos de violencia o de atentados contra su integridad personal y el derecho de todo niño a mantener de forma periódica relaciones personales y contactos directos con su padre y con su madre.</w:t>
      </w:r>
    </w:p>
    <w:p w14:paraId="0F3508B8" w14:textId="77777777" w:rsidR="009D7677" w:rsidRDefault="009D7677" w:rsidP="009D7677">
      <w:pPr>
        <w:pStyle w:val="TextoNormal"/>
      </w:pPr>
    </w:p>
    <w:p w14:paraId="40C4ACDC" w14:textId="77777777" w:rsidR="009D7677" w:rsidRDefault="009D7677" w:rsidP="009D7677">
      <w:pPr>
        <w:pStyle w:val="TextoNormal"/>
      </w:pPr>
      <w:r w:rsidRPr="009D7677">
        <w:rPr>
          <w:rStyle w:val="NumeroAFNegritaCaracter"/>
        </w:rPr>
        <w:t>4</w:t>
      </w:r>
      <w:r>
        <w:t xml:space="preserve">. </w:t>
      </w:r>
      <w:r w:rsidRPr="009D7677">
        <w:rPr>
          <w:i/>
        </w:rPr>
        <w:t>Aplicación al caso de la doctrina constitucional</w:t>
      </w:r>
    </w:p>
    <w:p w14:paraId="26538502" w14:textId="77777777" w:rsidR="009D7677" w:rsidRDefault="009D7677" w:rsidP="009D7677">
      <w:pPr>
        <w:pStyle w:val="TextoNormal"/>
      </w:pPr>
    </w:p>
    <w:p w14:paraId="7DDE55A2" w14:textId="77777777" w:rsidR="009D7677" w:rsidRDefault="009D7677" w:rsidP="009D7677">
      <w:pPr>
        <w:pStyle w:val="TextoNormal"/>
      </w:pPr>
      <w:r>
        <w:t>a) En el caso que se analiza el Juzgado de Violencia sobre la Mujer núm. 1 de Madrid, en el seno de un procedimiento de divorcio, dictó sentencia decretando la disolución del matrimonio y estableciendo una serie de medidas de carácter personal y patrimonial al amparo de lo dispuesto en los arts. 91 y siguientes CC. En particular, el régimen de visitas que establece la sentencia es el solicitado por la madre custodia, que no preveía contacto alguno mientras el padre estuviera en prisión, fijando un régimen progresivo de visitas una vez se produjera la libertad del padre.</w:t>
      </w:r>
    </w:p>
    <w:p w14:paraId="602E1898" w14:textId="77777777" w:rsidR="009D7677" w:rsidRDefault="009D7677" w:rsidP="009D7677">
      <w:pPr>
        <w:pStyle w:val="TextoNormal"/>
      </w:pPr>
    </w:p>
    <w:p w14:paraId="04AB4B2B" w14:textId="77777777" w:rsidR="009D7677" w:rsidRDefault="009D7677" w:rsidP="009D7677">
      <w:pPr>
        <w:pStyle w:val="TextoNormal"/>
      </w:pPr>
      <w:r>
        <w:t>La sentencia comienza su razonamiento afirmando que el demandado “no ha contestado a la demanda y, por tanto, no ha efectuado alegación ni petición alguna relativa a esta cuestión, debiendo también destacarse cómo en el acto de la vista la parte actora se ratificó en su escrito de demanda sin introducir variación alguna respecto del suplico de la misma”. Solo de tal circunstancia, unida al hecho de que “el Ministerio Fiscal se opuso al desarrollo de régimen de visitas alguno de las menores con su padre mientras este permanezca en prisión”, colige la sentencia que “lo procedente es establecer como medida definitiva el solicitado en el suplico de la demanda, al velar adecuadamente el interés superior de las hijas menores, su desarrollo social y educativo, así como garantizar el restablecimiento y mantenimiento de las relaciones del demandado con sus hijas menores”, todo ello “sin perjuicio de los acuerdos a los que puedan llegar los padres”.</w:t>
      </w:r>
    </w:p>
    <w:p w14:paraId="5C23F57B" w14:textId="77777777" w:rsidR="009D7677" w:rsidRDefault="009D7677" w:rsidP="009D7677">
      <w:pPr>
        <w:pStyle w:val="TextoNormal"/>
      </w:pPr>
    </w:p>
    <w:p w14:paraId="61E3E831" w14:textId="77777777" w:rsidR="009D7677" w:rsidRDefault="009D7677" w:rsidP="009D7677">
      <w:pPr>
        <w:pStyle w:val="TextoNormal"/>
      </w:pPr>
      <w:r>
        <w:t xml:space="preserve">A la vista de la doctrina constitucional anteriormente expuesta, debemos concluir que la fundamentación ofrecida por el juzgado no satisface el canon reforzado de motivación a </w:t>
      </w:r>
      <w:r>
        <w:lastRenderedPageBreak/>
        <w:t>que están sujetas las resoluciones judiciales que resuelven sobre controversias que afectan a menores.</w:t>
      </w:r>
    </w:p>
    <w:p w14:paraId="28FCE31A" w14:textId="77777777" w:rsidR="009D7677" w:rsidRDefault="009D7677" w:rsidP="009D7677">
      <w:pPr>
        <w:pStyle w:val="TextoNormal"/>
      </w:pPr>
    </w:p>
    <w:p w14:paraId="25C25C48" w14:textId="77777777" w:rsidR="009D7677" w:rsidRDefault="009D7677" w:rsidP="009D7677">
      <w:pPr>
        <w:pStyle w:val="TextoNormal"/>
      </w:pPr>
      <w:r>
        <w:t>En primer lugar, la sentencia se ampara en un criterio formalista basado en el hecho de que el padre no hubiera contestado a la demanda y la madre no hubiera modificado el suplico de su escrito inicial en el acto de la vista. Dicho criterio no puede justificar desde criterios de racionalidad la privación radical de relación entre el padre y las hijas menores. Por otro lado, la personación del demandado en rebeldía constituye un acto procesal amparado en Derecho y la declaración de rebeldía no implica reconocimiento de los hechos, ni allanamiento ni conformidad con la pretensión de la parte actora. El argumento ofrecido por el órgano judicial ha de considerarse insuficiente para fundar la decisión de privar al demandado del derecho a tener comunicación con sus hijas.</w:t>
      </w:r>
    </w:p>
    <w:p w14:paraId="396F4EAE" w14:textId="77777777" w:rsidR="009D7677" w:rsidRDefault="009D7677" w:rsidP="009D7677">
      <w:pPr>
        <w:pStyle w:val="TextoNormal"/>
      </w:pPr>
    </w:p>
    <w:p w14:paraId="40E055CE" w14:textId="77777777" w:rsidR="009D7677" w:rsidRDefault="009D7677" w:rsidP="009D7677">
      <w:pPr>
        <w:pStyle w:val="TextoNormal"/>
      </w:pPr>
      <w:r>
        <w:t>En segundo lugar, la afirmación de que el régimen propuesto por la madre permite “velar adecuadamente por el interés superior de las hijas menores, su desarrollo social y educativo, así como garantizar el restablecimiento y mantenimiento de las relaciones del demandado con sus hijas menores”, es una simple afirmación que no explicita en modo alguno los criterios que han llevado a la juzgadora a considerar que, en este caso concreto, la privación del derecho de visitas durante el periodo en el que el padre esté cumpliendo pena privativa de libertad es lo más adecuado para salvaguardar el interés superior de las menores. Tampoco se dice qué razones aconsejan impedir todo contacto entre el padre y las hijas, en qué beneficia a las menores dicha privación de las visitas. En definitiva, una motivación apodíctica.</w:t>
      </w:r>
    </w:p>
    <w:p w14:paraId="6E0358A2" w14:textId="77777777" w:rsidR="009D7677" w:rsidRDefault="009D7677" w:rsidP="009D7677">
      <w:pPr>
        <w:pStyle w:val="TextoNormal"/>
      </w:pPr>
    </w:p>
    <w:p w14:paraId="02FAF586" w14:textId="77777777" w:rsidR="009D7677" w:rsidRDefault="009D7677" w:rsidP="009D7677">
      <w:pPr>
        <w:pStyle w:val="TextoNormal"/>
      </w:pPr>
      <w:r>
        <w:t>La sentencia cuestionada no indica que las visitas de las hijas al padre en el centro penitenciario, sin oposición de la madre, les hayan causado algún perjuicio. Ni cuál es la razón por la que se decide contra ese precedente, que parece expresar el deseo de las hijas menores. Tampoco la sentencia establece hechos relevantes para el juicio de racionalidad, como el título delictivo por el que el padre está ingresado en prisión (pese a que este declaró en la vista, a preguntas de la magistrada-juez, que lo estaba por un robo en casa habitada), ni si se trata de prisión preventiva o cumple condena, ni cuál sea la duración, en su caso, de la pena impuesta, lo que podría dar lugar a una mayor o menor interrupción de la relación afectiva. Tampoco se refleja cuál sea la voluntad de las menores al respecto, y ello pese a consignarse en la sentencia que las visitas se habían venido realizando por petición expresa de las hijas y que, conforme manifestó la madre en la vista, el padre tenía buena relación con ellas. Tampoco se ha motivado por qué no se ha dado audiencia a las menores, en contra de lo dispuesto en la Ley Orgánica 1/1996, especialmente teniendo en cuenta que una de ellas tenía ya once años. Esta falta de audiencia ha motivado que el órgano judicial no haya podido conocer de forma directa e inmediata las opiniones y deseos de las menores, ni tenerlas en cuenta como criterio a ponderar a la hora de decidir y motivar el sentido de su resolución.</w:t>
      </w:r>
    </w:p>
    <w:p w14:paraId="3F0C58E2" w14:textId="77777777" w:rsidR="009D7677" w:rsidRDefault="009D7677" w:rsidP="009D7677">
      <w:pPr>
        <w:pStyle w:val="TextoNormal"/>
      </w:pPr>
    </w:p>
    <w:p w14:paraId="044C9387" w14:textId="77777777" w:rsidR="009D7677" w:rsidRDefault="009D7677" w:rsidP="009D7677">
      <w:pPr>
        <w:pStyle w:val="TextoNormal"/>
      </w:pPr>
      <w:r>
        <w:t xml:space="preserve">La falta de audiencia al menor está indisolublemente unida al deber de motivación reforzada, y viene a reforzar la insuficiencia de justificación de la decisión sobre el régimen de visitas en que incurren las sentencias impugnadas. Escuchar a la persona menor permite al órgano judicial conocer sus deseos, sentimientos y opiniones, que el art. 2 de la Ley Orgánica 1/1996 incluye entre los criterios y elementos generales que han de tenerse en cuenta en la ponderación de qué deba entenderse, en cada caso, como interés superior del </w:t>
      </w:r>
      <w:r>
        <w:lastRenderedPageBreak/>
        <w:t>menor, y que han de ser valorados conjuntamente, al desarrollar el juicio de proporcionalidad estricta, de forma que la medida que se adopte en favor de dicho interés superior no sacrifique con mayor intensidad el derecho fundamental concernido que el beneficio que se obtenga con la restricción. El apartado 5 d) de este art. 2 señala expresamente que la decisión debe incluir en su motivación “los criterios utilizados, los elementos aplicados al ponderar los criterios entre sí y con otros intereses presentes y futuros, y las garantías procesales respetadas”. Entre dichos criterios se encuentran “[l]a consideración de los deseos, sentimientos y opiniones del menor” [art. 2.2 b)], “[l]a edad y madurez del menor” [art. 2.3 a)], “[e]l irreversible efecto del transcurso del tiempo en su desarrollo” [art. 2.3 c)],”[l]a conveniencia de que su vida y desarrollo tenga lugar en un entorno familiar adecuado y libre de violencia”, debiendo priorizarse “la permanencia en su familia de origen y se preservará el mantenimiento de sus relaciones familiares, siempre que sea posible y positivo para el menor” [art. 2.2 c)] y “[a]quellos otros elementos de ponderación que, en el supuesto concreto, sean considerados pertinentes y respeten los derechos de los menores” [art. 2.3 f)]. Nada de todo ello se ha reflejado en la sentencia del juzgado de violencia sobre la mujer.</w:t>
      </w:r>
    </w:p>
    <w:p w14:paraId="702B5450" w14:textId="77777777" w:rsidR="009D7677" w:rsidRDefault="009D7677" w:rsidP="009D7677">
      <w:pPr>
        <w:pStyle w:val="TextoNormal"/>
      </w:pPr>
    </w:p>
    <w:p w14:paraId="0BE0002A" w14:textId="77777777" w:rsidR="009D7677" w:rsidRDefault="009D7677" w:rsidP="009D7677">
      <w:pPr>
        <w:pStyle w:val="TextoNormal"/>
      </w:pPr>
      <w:r>
        <w:t xml:space="preserve">La insuficiente motivación del juzgado no fue subsanada por la sentencia de 25 de mayo de 2021 de la Sección Vigesimosegunda de la Audiencia Provincial de Madrid, que incurre en los mismos defectos argumentativos de la sentencia de instancia y se limita a afirmar, sin desarrollo argumental alguno, que “[e]l régimen de visitas de implantación paulatina y progresiva que se plantea por fases en la sentencia recurrida mientras se mantenga la privación de libertad del padre por cumplimiento en prisión de las penas a las que ha sido condenado es plenamente acorde con el interés superior de las hijas”, y que, aun cuando la madre manifieste la buena relación existente entre las hijas y el padre y con independencia de las visitas que puedan haberse llevado a cabo ya en el centro penitenciario y de los acuerdos a los que puedan llegar los padres, “se considera adecuada la restricción de las visitas que se determina en la sentencia […], todo ello en aplicación del principio </w:t>
      </w:r>
      <w:r w:rsidRPr="009D7677">
        <w:rPr>
          <w:i/>
        </w:rPr>
        <w:t>favor filii</w:t>
      </w:r>
      <w:r>
        <w:t>, esto es, el beneficio o interés material y moral de las menores en orden a la satisfacción de sus derechos legalmente sancionados, dado que este principio de protección integral de los hijos constituye un criterio teleológico de interpretación normativa […] que debe presidir la aplicación de la ley en esta materia”.</w:t>
      </w:r>
    </w:p>
    <w:p w14:paraId="790D1CA7" w14:textId="77777777" w:rsidR="009D7677" w:rsidRDefault="009D7677" w:rsidP="009D7677">
      <w:pPr>
        <w:pStyle w:val="TextoNormal"/>
      </w:pPr>
    </w:p>
    <w:p w14:paraId="525EBE1B" w14:textId="77777777" w:rsidR="009D7677" w:rsidRDefault="009D7677" w:rsidP="009D7677">
      <w:pPr>
        <w:pStyle w:val="TextoNormal"/>
      </w:pPr>
      <w:r>
        <w:t xml:space="preserve">La invocación del </w:t>
      </w:r>
      <w:r w:rsidRPr="009D7677">
        <w:rPr>
          <w:i/>
        </w:rPr>
        <w:t>favor filii</w:t>
      </w:r>
      <w:r>
        <w:t xml:space="preserve"> que realiza la resolución impugnada carece de contenido, pues no explicita el motivo por el cual entiende que es beneficioso para las menores alterar el régimen de contacto con su padre. Régimen que se ha desarrollado por su propia voluntad desde el ingreso en prisión del demandante de amparo y que, según consta en autos, no solo era el deseado por los progenitores sino, lo que es más importante, era el reclamado por las niñas. En este sentido, debemos reiterar que el principio del interés superior del menor es un mandato constitucional </w:t>
      </w:r>
      <w:r w:rsidRPr="009D7677">
        <w:rPr>
          <w:i/>
        </w:rPr>
        <w:t>ex</w:t>
      </w:r>
      <w:r>
        <w:t xml:space="preserve"> art. 39 CE, que obliga a todos los poderes públicos a decidir dando prioridad al mejor y mayor bienestar, tanto material como emocional, de las menores. Los órganos judiciales debieron, por tanto, razonar acerca del mayor beneficio que para las menores implicaba interrumpir la relación hasta entonces mantenida con su padre mientras se encontrase en prisión, y justificar que ese contacto les había causado perjuicio o su mantenimiento pudiera causarlo. Porque es un deber inherente al principio de promoción del beneficio de los hijos y de las hijas menores asegurar que se minimizan los riesgos que cualquier cambio material o emocional pudieran ocasionar en su personalidad o en su desarrollo futuro.</w:t>
      </w:r>
    </w:p>
    <w:p w14:paraId="524398BC" w14:textId="77777777" w:rsidR="009D7677" w:rsidRDefault="009D7677" w:rsidP="009D7677">
      <w:pPr>
        <w:pStyle w:val="TextoNormal"/>
      </w:pPr>
    </w:p>
    <w:p w14:paraId="3D66EA76" w14:textId="77777777" w:rsidR="009D7677" w:rsidRDefault="009D7677" w:rsidP="009D7677">
      <w:pPr>
        <w:pStyle w:val="TextoNormal"/>
      </w:pPr>
      <w:r>
        <w:t>Las sentencias del juzgado de violencia sobre la mujer y de la Audiencia Provincial hacen depender la única posibilidad de que las menores puedan visitar a su padre en prisión de un posible acuerdo entre ambos progenitores, acuerdo que no ha llegado a existir, como resulta de la oposición de la madre a los sucesivos recursos del padre. Sin embargo, según el art. 91 CC corresponde a la autoridad judicial fijar en la sentencia de divorcio las medidas en relación con los hijos cuando no haya acuerdo entre los cónyuges o en caso de que no proceda aprobar dicho acuerdo. De cualquier manera, la facultad que las resoluciones impugnadas reconocen a los progenitores para decidir de común acuerdo el régimen de visitas resulta incongruente, habida cuenta de que se afirma, por un lado, que el interés de las menores pasa por interrumpir de manera drástica la relación que venían manteniendo regularmente con su padre en prisión y, por el otro, se autoriza que un acuerdo entre los progenitores pudiera reanudar dicho contacto. Se trata de una propuesta irrazonable, pues o bien el mantenimiento del régimen de visitas de las hijas al padre era beneficioso para las menores o bien ha de reputarse perjudicial, pero no resulta lógico que el beneficio o perjuicio dependa de la voluntad o del acuerdo de los progenitores. Debemos hacer hincapié en que el interés superior del menor es un concepto autónomo e independiente del interés de los padres, que no debe necesariamente coincidir y que tiene siempre prioridad sobre las preferencias personales de aquellos.</w:t>
      </w:r>
    </w:p>
    <w:p w14:paraId="4335DC7B" w14:textId="77777777" w:rsidR="009D7677" w:rsidRDefault="009D7677" w:rsidP="009D7677">
      <w:pPr>
        <w:pStyle w:val="TextoNormal"/>
      </w:pPr>
    </w:p>
    <w:p w14:paraId="440F6AF1" w14:textId="77777777" w:rsidR="009D7677" w:rsidRDefault="009D7677" w:rsidP="009D7677">
      <w:pPr>
        <w:pStyle w:val="TextoNormal"/>
      </w:pPr>
      <w:r>
        <w:t>Los posteriores autos de la Audiencia Provincial y del Tribunal Supremo limitan su contenido a la inadmisión del recurso de casación por razones procesales.</w:t>
      </w:r>
    </w:p>
    <w:p w14:paraId="2841FF1F" w14:textId="77777777" w:rsidR="009D7677" w:rsidRDefault="009D7677" w:rsidP="009D7677">
      <w:pPr>
        <w:pStyle w:val="TextoNormal"/>
      </w:pPr>
    </w:p>
    <w:p w14:paraId="41B06A40" w14:textId="77777777" w:rsidR="009D7677" w:rsidRDefault="009D7677" w:rsidP="009D7677">
      <w:pPr>
        <w:pStyle w:val="TextoNormal"/>
      </w:pPr>
      <w:r>
        <w:t>b) Como consecuencia de esa insuficiente motivación las dos sentencias impugnadas han considerado la situación de prisión del padre no custodio como causa automática de privación del derecho de visitas, en contradicción con la normativa aplicable en el momento en que fueron dictadas, pues en aquella fecha aún estaba vigente la redacción del art. 94 CC anterior a la reforma efectuada por la Ley 8/2021, de 2 de junio. Ahora el precepto, en su párrafo cuarto, dice que “[n]o procederá el establecimiento de un régimen de visita o estancia, y si existiera se suspenderá, respecto del progenitor que esté incurso en un proceso penal iniciado por atentar contra la vida, la integridad física, la libertad, la integridad moral o la libertad e indemnidad sexual del otro cónyuge o sus hijos. Tampoco procederá cuando la autoridad judicial advierta, de las alegaciones de las partes y las pruebas practicadas, la existencia de indicios fundados de violencia doméstica o de género.” Aunque la competencia era retenida por el órgano judicial especializado en violencia de género, la sentencia de divorcio introduce elemento alguno de juicio sobre la existencia de un contexto de violencia que pudiera afectar a las relaciones paternofiliales y al régimen de visitas.</w:t>
      </w:r>
    </w:p>
    <w:p w14:paraId="2E696F0A" w14:textId="77777777" w:rsidR="009D7677" w:rsidRDefault="009D7677" w:rsidP="009D7677">
      <w:pPr>
        <w:pStyle w:val="TextoNormal"/>
      </w:pPr>
    </w:p>
    <w:p w14:paraId="6D663A27" w14:textId="77777777" w:rsidR="009D7677" w:rsidRDefault="009D7677" w:rsidP="009D7677">
      <w:pPr>
        <w:pStyle w:val="TextoNormal"/>
      </w:pPr>
      <w:r>
        <w:t xml:space="preserve">En la redacción anterior el art. 94 CC establecía lo siguiente: “El progenitor que no tenga consigo a los hijos menores o incapacitados gozará del derecho de visitarlos, comunicar con ellos y tenerlos en su compañía. El juez determinará el tiempo, modo y lugar del ejercicio de este derecho, que podrá limitar o suspender si se dieren graves circunstancias que así lo aconsejen o se incumplieren grave o reiteradamente los deberes impuestos por la resolución judicial”. Por otro lado, el art. 160 CC (cuya redacción no ha variado) es del siguiente tenor: “1. Los hijos menores tienen derecho a relacionarse con sus progenitores aunque estos no ejerzan la patria potestad, salvo que se disponga otra cosa por resolución judicial o por la entidad pública en los casos establecidos en el artículo 161. En caso de </w:t>
      </w:r>
      <w:r>
        <w:lastRenderedPageBreak/>
        <w:t>privación de libertad de los progenitores, y siempre que el interés superior del menor recomiende visitas a aquellos, la administración deberá facilitar el traslado acompañado del menor al centro penitenciario, ya sea por un familiar designado por la administración competente o por un profesional que velarán por la preparación del menor a dicha visita. Asimismo la visita a un centro penitenciario se deberá realizar fuera de horario escolar y en un entorno adecuado para el menor”.</w:t>
      </w:r>
    </w:p>
    <w:p w14:paraId="615E0D27" w14:textId="77777777" w:rsidR="009D7677" w:rsidRDefault="009D7677" w:rsidP="009D7677">
      <w:pPr>
        <w:pStyle w:val="TextoNormal"/>
      </w:pPr>
    </w:p>
    <w:p w14:paraId="03B9CC08" w14:textId="77777777" w:rsidR="009D7677" w:rsidRDefault="009D7677" w:rsidP="009D7677">
      <w:pPr>
        <w:pStyle w:val="TextoNormal"/>
      </w:pPr>
      <w:r>
        <w:t>Al identificar como razón para privar al demandante del derecho de visitas su condición de recluso en un establecimiento penitenciario, se desconocen las citadas previsiones legales sobre el régimen de visitas aplicables al caso, ya que no solo no contemplan como presupuesto para restringir el derecho de visita la mera situación de prisión del progenitor no custodio (art. 94 CC), sino que disponen expresamente que la administración debe colaborar para hacer posible que los menores puedan relacionarse con sus progenitores, por supuesto, si así lo recomienda su superior interés y en las mejores condiciones para su salvaguarda (art. 160 CC).</w:t>
      </w:r>
    </w:p>
    <w:p w14:paraId="4B3C619C" w14:textId="77777777" w:rsidR="009D7677" w:rsidRDefault="009D7677" w:rsidP="009D7677">
      <w:pPr>
        <w:pStyle w:val="TextoNormal"/>
      </w:pPr>
    </w:p>
    <w:p w14:paraId="0A585352" w14:textId="77777777" w:rsidR="009D7677" w:rsidRDefault="009D7677" w:rsidP="009D7677">
      <w:pPr>
        <w:pStyle w:val="TextoNormal"/>
      </w:pPr>
      <w:r>
        <w:t>c) En este punto debemos recordar, porque ha sido planteado como motivo por el recurrente, que el art. 25.2 CE establece que las “penas privativas de libertad y las medidas de seguridad estarán orientadas hacia la reeducación y reinserción social”, que el “condenado a pena de prisión que estuviere cumpliendo la misma gozará de los derechos fundamentales de este capítulo, a excepción de los que se vean expresamente limitados por el contenido del fallo condenatorio, el sentido de la pena y la ley penitenciaria” y que el interno tiene derecho “al desarrollo integral de su personalidad”.</w:t>
      </w:r>
    </w:p>
    <w:p w14:paraId="69258436" w14:textId="77777777" w:rsidR="009D7677" w:rsidRDefault="009D7677" w:rsidP="009D7677">
      <w:pPr>
        <w:pStyle w:val="TextoNormal"/>
      </w:pPr>
    </w:p>
    <w:p w14:paraId="1A921F1F" w14:textId="77777777" w:rsidR="009D7677" w:rsidRDefault="009D7677" w:rsidP="009D7677">
      <w:pPr>
        <w:pStyle w:val="TextoNormal"/>
      </w:pPr>
      <w:r>
        <w:t>En concordancia con esas previsiones, el art. 3 de la Ley Orgánica general penitenciaria (Ley Orgánica 1/1979, de 26 de septiembre) dispone que “[l]a actividad penitenciaria se ejercerá respetando, en todo caso, la personalidad humana de los recluidos y los derechos e intereses jurídicos de los mismos no afectados por la condena” y el art. 3 del Reglamento penitenciario (Real Decreto 190/1996, de 9 de febrero) recoge como principio definitorio del estatuto jurídico de los internos que sus derechos “solo podrán ser restringidos cuando lo dispongan las leyes” y como criterio inspirador del cumplimiento de las penas y medidas de seguridad privativas de libertad “la consideración de que el interno es sujeto de derecho y no se halla excluido de la sociedad, sino que continúa formando parte de la misma. En consecuencia, la vida en prisión debe tomar como referencia la vida en libertad, reduciendo al máximo los efectos nocivos del internamiento, favoreciendo los vínculos sociales, la colaboración y participación de las entidades públicas y privadas y el acceso a las prestaciones públicas”.</w:t>
      </w:r>
    </w:p>
    <w:p w14:paraId="63D29FEE" w14:textId="77777777" w:rsidR="009D7677" w:rsidRDefault="009D7677" w:rsidP="009D7677">
      <w:pPr>
        <w:pStyle w:val="TextoNormal"/>
      </w:pPr>
    </w:p>
    <w:p w14:paraId="6AB7D3F6" w14:textId="77777777" w:rsidR="009D7677" w:rsidRDefault="009D7677" w:rsidP="009D7677">
      <w:pPr>
        <w:pStyle w:val="TextoNormal"/>
      </w:pPr>
      <w:r>
        <w:t>En línea con el marco normativo reseñado se hallan asimismo las directrices y estándares mínimos que establecen las reglas penitenciarias europeas (Recomendación Rec(2006)2-rev del Comité de Ministros a los Estados miembros sobre las reglas penitenciarias europeas, adoptadas por el Comité de Ministros el 11 de enero de 2006 y revisadas el 1 de julio de 2020), elaboradas a la luz del Convenio europeo de derechos humanos y la jurisprudencia del Tribunal Europeo de Derechos Humanos. En ellas se recogen como principios fundamentales que: “2. Las personas privadas de libertad conservan todos aquellos derechos que por ley no les hayan sido retirados por la decisión que los condena a una pena de prisión o a una detención preventiva”; “3. Las restricciones que se impongan a las personas privadas de libertad se reducirán a las estrictamente necesarias y serán propor</w:t>
      </w:r>
      <w:r>
        <w:lastRenderedPageBreak/>
        <w:t>cionales a los objetivos legítimos por los que se han impuesto”; “5. La vida en la prisión se ajustará tanto como sea posible a los aspectos positivos de la vida fuera de la prisión; y “6. Toda detención se llevará a cabo de manera que facilite la reinserción en la sociedad libre de las personas privadas de libertad”.</w:t>
      </w:r>
    </w:p>
    <w:p w14:paraId="50383193" w14:textId="77777777" w:rsidR="009D7677" w:rsidRDefault="009D7677" w:rsidP="009D7677">
      <w:pPr>
        <w:pStyle w:val="TextoNormal"/>
      </w:pPr>
    </w:p>
    <w:p w14:paraId="14E65DEB" w14:textId="77777777" w:rsidR="009D7677" w:rsidRDefault="009D7677" w:rsidP="009D7677">
      <w:pPr>
        <w:pStyle w:val="TextoNormal"/>
      </w:pPr>
      <w:r>
        <w:t>Ya en la STC 57/1994, de 28 de febrero, FJ 6, subrayamos que los internos “conservan todos los derechos reconocidos a los ciudadanos por las normas de nuestro ordenamiento, con excepción, obvio es, de aquellos que son incompatibles con el objeto de la detención o el cumplimiento de la condena; y también que las actuaciones penitenciarias deberán llevarse a cabo ‘respetando, en todo caso, la personalidad humana de los recluidos y los derechos e intereses de los mismos no afectados por la condena’ (art. 3 LOGP)”. Estas consideraciones, realizadas con ocasión de la actuación injerente de la administración penitenciaria son trasladables a las decisiones de otros poderes públicos, igualmente vinculados por el art. 25.2 CE, y el principio tantas veces reiterado por este tribunal de que la esfera jurídica del ciudadano preso —ya tan limitada— no se puede restringir o menoscabar de forma innecesaria, inadecuada o excesiva, lo que obliga a una motivación que así lo ponga de relieve (STC 170/1996, de 29 de octubre, FJ 5, por todas).</w:t>
      </w:r>
    </w:p>
    <w:p w14:paraId="7AA211EB" w14:textId="77777777" w:rsidR="009D7677" w:rsidRDefault="009D7677" w:rsidP="009D7677">
      <w:pPr>
        <w:pStyle w:val="TextoNormal"/>
      </w:pPr>
    </w:p>
    <w:p w14:paraId="41143708" w14:textId="77777777" w:rsidR="009D7677" w:rsidRDefault="009D7677" w:rsidP="009D7677">
      <w:pPr>
        <w:pStyle w:val="TextoNormal"/>
      </w:pPr>
      <w:r>
        <w:t xml:space="preserve">Frente a estas previsiones y exigencias, las sentencias impugnadas justifican la privación de visitas por el solo dato de la situación de prisión en que se halla el recurrente, sin apoyo en un precepto legal específico o en el contenido de la condena o en una exigencia derivada del sentido de la pena que avale tal restricción. En particular, las resoluciones judiciales carecen de toda consideración sobre la incidencia de la circunstancia de estar en prisión (u otras relacionadas con el delito que le dio origen) en la relación paternofilial y, en definitiva, en el contenido del valor prevalente del interés de las menores. Se limitan a motivar la decisión, como ya se ha indicado, con una llamada al principio </w:t>
      </w:r>
      <w:r w:rsidRPr="009D7677">
        <w:rPr>
          <w:i/>
        </w:rPr>
        <w:t>favor filii</w:t>
      </w:r>
      <w:r>
        <w:t xml:space="preserve"> que carece de todo desarrollo que fundamente la bondad de la medida desde tal parámetro, sin que pueda admitirse que la genérica situación de estar preso, sin ulterior precisión o mínima atención circunstanciada, sea reveladora de la necesidad de suspender las visitas en interés de las menores.</w:t>
      </w:r>
    </w:p>
    <w:p w14:paraId="124CAA28" w14:textId="77777777" w:rsidR="009D7677" w:rsidRDefault="009D7677" w:rsidP="009D7677">
      <w:pPr>
        <w:pStyle w:val="TextoNormal"/>
      </w:pPr>
    </w:p>
    <w:p w14:paraId="39942910" w14:textId="77777777" w:rsidR="009D7677" w:rsidRDefault="009D7677" w:rsidP="009D7677">
      <w:pPr>
        <w:pStyle w:val="TextoNormal"/>
      </w:pPr>
      <w:r>
        <w:t>La ausencia de valoración de las circunstancias concurrentes que muestran las sentencias recurridas desconoce no solo la imprescindible atención al superior interés de las menores concernidas que impone el art. 39 CE, sino también la necesidad de justificar la medida restrictiva del derecho de visitas del recurrente, que no viene determinada por el fallo condenatorio, el sentido de la pena o la ley penitenciaria (o cualquier otra ley), limita su derecho como interno al desarrollo integral de su personalidad y desconoce la importancia del mantenimiento de los vínculos familiares para hacer posible la orientación resocializadora (o, al menos, no desocializadora) de la pena de prisión que impone el art. 25.2 CE.</w:t>
      </w:r>
    </w:p>
    <w:p w14:paraId="6101F395" w14:textId="77777777" w:rsidR="009D7677" w:rsidRDefault="009D7677" w:rsidP="009D7677">
      <w:pPr>
        <w:pStyle w:val="TextoNormal"/>
      </w:pPr>
    </w:p>
    <w:p w14:paraId="01ACDCD9" w14:textId="3F23E4DA" w:rsidR="009D7677" w:rsidRDefault="009D7677" w:rsidP="009D7677">
      <w:pPr>
        <w:pStyle w:val="TextoNormal"/>
      </w:pPr>
      <w:r>
        <w:t>d) De todo lo anterior se concluye que, aun cuando la sentencia de primera instancia fue dictada por un juzgado de violencia sobre la mujer, de los arts. 94 (en la redacción anterior a la reforma de 2021) y 160 CC no se desprendía que fuera posible considerar la situación de ingreso en prisión del padre como causa de privación del derecho de visitas, constituyendo una inferencia carente de racionalidad. Tal privación debió ser objeto de una motivación que, ponderando las distintas circunstancias del caso, explicitara los criterios que llevaron al órgano judicial a concluir que dicha medida era necesaria y proporcionada para proteger el concreto interés superior de las hijas, que, en atención a las circuns</w:t>
      </w:r>
      <w:r>
        <w:lastRenderedPageBreak/>
        <w:t>tancias normativas y fácticas concurrentes, no puede identificarse con la evitación de visitas al padre por el mero hecho de estar recluido en prisión.</w:t>
      </w:r>
    </w:p>
    <w:p w14:paraId="67ACE469" w14:textId="77777777" w:rsidR="009D7677" w:rsidRDefault="009D7677" w:rsidP="009D7677">
      <w:pPr>
        <w:pStyle w:val="TextoNormal"/>
      </w:pPr>
    </w:p>
    <w:p w14:paraId="30720A77" w14:textId="77777777" w:rsidR="009D7677" w:rsidRDefault="009D7677" w:rsidP="009D7677">
      <w:pPr>
        <w:pStyle w:val="TextoNormal"/>
      </w:pPr>
      <w:r w:rsidRPr="009D7677">
        <w:rPr>
          <w:rStyle w:val="NumeroAFNegritaCaracter"/>
        </w:rPr>
        <w:t>5</w:t>
      </w:r>
      <w:r>
        <w:t xml:space="preserve">. </w:t>
      </w:r>
      <w:r w:rsidRPr="009D7677">
        <w:rPr>
          <w:i/>
        </w:rPr>
        <w:t>Estimación y efectos del recurso de amparo</w:t>
      </w:r>
    </w:p>
    <w:p w14:paraId="2F80663C" w14:textId="77777777" w:rsidR="009D7677" w:rsidRDefault="009D7677" w:rsidP="009D7677">
      <w:pPr>
        <w:pStyle w:val="TextoNormal"/>
      </w:pPr>
    </w:p>
    <w:p w14:paraId="5B63A798" w14:textId="30FC0595" w:rsidR="009D7677" w:rsidRDefault="009D7677" w:rsidP="009D7677">
      <w:pPr>
        <w:pStyle w:val="TextoNormal"/>
      </w:pPr>
      <w:r>
        <w:t>De acuerdo con las consideraciones desarrolladas en el fundamento anterior, procede el otorgamiento del amparo, con reconocimiento de la vulneración del derecho fundamental a obtener una resolución motivada y fundada en Derecho (art. 24.1 CE) en relación con los arts. 39 y 25.2 CE. El restablecimiento en el derecho vulnerado conlleva la declaración de nulidad de las resoluciones cuestionadas en el extremo referido al régimen de visitas entre el recurrente y sus hijas menores: la sentencia de 16 de diciembre de 2019 dictada por el Juzgado de Violencia sobre la Mujer núm. 1 de Madrid, la sentencia de 25 de mayo de 2021 y el auto de 22 de junio de 2021 de la Sección Vigesimosegunda de la Audiencia Provincial de Madrid, y el auto de 24 de noviembre de 2021 de la Sala de lo Civil del Tribunal Supremo. Visto el tiempo transcurrido desde que se dictaron las sentencias impugnadas, resulta plausible que las circunstancias relevantes para resolver sobre el régimen de visitas hayan cambiado y resulte necesaria la práctica de alguna diligencia complementaria que permita al órgano judicial obtener y verificar toda la información precisa para asegurarse de que la decisión que acuerde resulte beneficiosa para las menores, como hemos apreciado en otras ocasiones (STC 178/2020, FJ 3). Por ello, se acuerda la retroacción de las actuaciones del procedimiento al momento inmediatamente anterior al dictado de la sentencia de 16 de diciembre de 2019 por el Juzgado de Violencia sobre la Mujer núm. 1 de Madrid, para que el órgano judicial, tras la práctica de las nuevas diligencias, si así lo estima necesario, y en atención a las circunstancias concurrentes, pronuncie otra nueva que, con observancia del derecho fundamental del recurrente, respete los requisitos de motivación reforzada en interés superior de las menores con arreglo a los criterios establecidos en esta sentencia.</w:t>
      </w:r>
    </w:p>
    <w:p w14:paraId="6F15EED3" w14:textId="77777777" w:rsidR="009D7677" w:rsidRDefault="009D7677" w:rsidP="009D7677">
      <w:pPr>
        <w:pStyle w:val="TextoNormal"/>
      </w:pPr>
    </w:p>
    <w:p w14:paraId="1E93BB0D" w14:textId="77777777" w:rsidR="009D7677" w:rsidRDefault="009D7677" w:rsidP="009D7677">
      <w:pPr>
        <w:pStyle w:val="TextoNormalCentrado"/>
        <w:keepNext/>
      </w:pPr>
      <w:r>
        <w:t>FALLO</w:t>
      </w:r>
    </w:p>
    <w:p w14:paraId="13D651F8" w14:textId="201346E6" w:rsidR="009D7677" w:rsidRDefault="009D7677" w:rsidP="009D7677">
      <w:pPr>
        <w:pStyle w:val="TextoNormalCentrado"/>
        <w:keepNext/>
      </w:pPr>
    </w:p>
    <w:p w14:paraId="3C884027" w14:textId="77777777" w:rsidR="009D7677" w:rsidRDefault="009D7677" w:rsidP="009D7677">
      <w:pPr>
        <w:pStyle w:val="TextoNormal"/>
      </w:pPr>
      <w:r>
        <w:t>En atención a todo lo expuesto, el Tribunal Constitucional, por la autoridad que le confiere la Constitución de la Nación española, ha decidido estimar el recurso de amparo interpuesto por don B.J.M.S., y, en consecuencia:</w:t>
      </w:r>
    </w:p>
    <w:p w14:paraId="12845623" w14:textId="77777777" w:rsidR="009D7677" w:rsidRDefault="009D7677" w:rsidP="009D7677">
      <w:pPr>
        <w:pStyle w:val="TextoNormal"/>
      </w:pPr>
    </w:p>
    <w:p w14:paraId="66B6AE91" w14:textId="77777777" w:rsidR="009D7677" w:rsidRDefault="009D7677" w:rsidP="009D7677">
      <w:pPr>
        <w:pStyle w:val="TextoNormal"/>
      </w:pPr>
      <w:r>
        <w:t>1º Inadmitir el primer motivo de amparo referido a la vulneración del art. 24.1 CE en relación con el art. 33 CE, atinente al pronunciamiento de las resoluciones judiciales impugnadas sobre la atribución del uso de la vivienda familiar, por falta de legitimación activa del recurrente.</w:t>
      </w:r>
    </w:p>
    <w:p w14:paraId="73E27532" w14:textId="77777777" w:rsidR="009D7677" w:rsidRDefault="009D7677" w:rsidP="009D7677">
      <w:pPr>
        <w:pStyle w:val="TextoNormal"/>
      </w:pPr>
    </w:p>
    <w:p w14:paraId="27AE6ADC" w14:textId="77777777" w:rsidR="009D7677" w:rsidRDefault="009D7677" w:rsidP="009D7677">
      <w:pPr>
        <w:pStyle w:val="TextoNormal"/>
      </w:pPr>
      <w:r>
        <w:t>2º Declarar que ha sido vulnerado su derecho fundamental a la tutela judicial efectiva sin indefensión (art. 24.1 CE), en relación con la obligación de los poderes públicos de asegurar la protección integral de la familia y de los hijos (art. 39 CE) y el estatuto constitucional de los derechos del condenado que esté cumpliendo pena de prisión (art. 25.2 CE).</w:t>
      </w:r>
    </w:p>
    <w:p w14:paraId="4595E4BA" w14:textId="77777777" w:rsidR="009D7677" w:rsidRDefault="009D7677" w:rsidP="009D7677">
      <w:pPr>
        <w:pStyle w:val="TextoNormal"/>
      </w:pPr>
    </w:p>
    <w:p w14:paraId="6C553594" w14:textId="77777777" w:rsidR="009D7677" w:rsidRDefault="009D7677" w:rsidP="009D7677">
      <w:pPr>
        <w:pStyle w:val="TextoNormal"/>
      </w:pPr>
      <w:r>
        <w:t xml:space="preserve">3º Restablecerle en su derecho y, a tal fin, declarar la nulidad en el extremo referido al régimen de visitas de la sentencia de 16 de diciembre de 2019 dictada por el Juzgado de </w:t>
      </w:r>
      <w:r>
        <w:lastRenderedPageBreak/>
        <w:t>Violencia sobre la Mujer núm. 1 de Madrid, de la sentencia de 25 de mayo de 2021 y del auto de 22 de junio de 2021 de la Sección Vigesimosegunda de la Audiencia Provincial de Madrid, y del auto de 24 de noviembre de 2021 de la Sala de lo Civil del Tribunal Supremo.</w:t>
      </w:r>
    </w:p>
    <w:p w14:paraId="30CEBBEE" w14:textId="77777777" w:rsidR="009D7677" w:rsidRDefault="009D7677" w:rsidP="009D7677">
      <w:pPr>
        <w:pStyle w:val="TextoNormal"/>
      </w:pPr>
    </w:p>
    <w:p w14:paraId="1FA467C1" w14:textId="24182085" w:rsidR="009D7677" w:rsidRDefault="009D7677" w:rsidP="009D7677">
      <w:pPr>
        <w:pStyle w:val="TextoNormal"/>
      </w:pPr>
      <w:r>
        <w:t>4º Retrotraer el procedimiento al momento inmediatamente anterior al pronunciamiento de la primera de dichas resoluciones, para que el órgano judicial dicte nueva resolución en relación con el régimen de visitas que sea respetuosa con el derecho fundamental reconocido.</w:t>
      </w:r>
    </w:p>
    <w:p w14:paraId="591A4544" w14:textId="77777777" w:rsidR="009D7677" w:rsidRDefault="009D7677" w:rsidP="009D7677">
      <w:pPr>
        <w:pStyle w:val="TextoNormal"/>
      </w:pPr>
    </w:p>
    <w:p w14:paraId="70E55C7C" w14:textId="77777777" w:rsidR="009D7677" w:rsidRDefault="009D7677" w:rsidP="009D7677">
      <w:pPr>
        <w:pStyle w:val="TextoNormal"/>
      </w:pPr>
      <w:r>
        <w:t>Publíquese esta sentencia en el “Boletín Oficial del Estado”.</w:t>
      </w:r>
    </w:p>
    <w:p w14:paraId="3E61D774" w14:textId="77777777" w:rsidR="009D7677" w:rsidRDefault="009D7677" w:rsidP="009D7677">
      <w:pPr>
        <w:pStyle w:val="TextoNormal"/>
      </w:pPr>
      <w:r>
        <w:t>Dada en Madrid, a ocho de abril de dos mil veinticuatro.</w:t>
      </w:r>
    </w:p>
    <w:p w14:paraId="123D4432" w14:textId="536DDD9F" w:rsidR="009D7677" w:rsidRDefault="009D7677">
      <w:pPr>
        <w:spacing w:after="160" w:line="259" w:lineRule="auto"/>
        <w:rPr>
          <w:rFonts w:ascii="Times New Roman" w:eastAsia="Times New Roman" w:hAnsi="Times New Roman" w:cs="Times New Roman"/>
          <w:sz w:val="24"/>
          <w:szCs w:val="24"/>
          <w:lang w:eastAsia="es-ES"/>
        </w:rPr>
      </w:pPr>
      <w:r>
        <w:br w:type="page"/>
      </w:r>
    </w:p>
    <w:p w14:paraId="6801521B" w14:textId="77777777" w:rsidR="009D7677" w:rsidRDefault="009D7677" w:rsidP="009D7677">
      <w:pPr>
        <w:pStyle w:val="TtuloResolucin"/>
      </w:pPr>
      <w:bookmarkStart w:id="56" w:name="SENTENCIA_2024_54"/>
      <w:r>
        <w:lastRenderedPageBreak/>
        <w:t>SENTENCIA 54/2024, de 8 de abril de 2024</w:t>
      </w:r>
    </w:p>
    <w:bookmarkEnd w:id="56"/>
    <w:p w14:paraId="5590A94A" w14:textId="77777777" w:rsidR="009D7677" w:rsidRDefault="009D7677" w:rsidP="009D7677">
      <w:pPr>
        <w:pStyle w:val="TtuloResolucin"/>
      </w:pPr>
      <w:r>
        <w:t>Sala Segunda</w:t>
      </w:r>
    </w:p>
    <w:p w14:paraId="5689E007" w14:textId="77777777" w:rsidR="009D7677" w:rsidRDefault="009D7677" w:rsidP="009D7677">
      <w:pPr>
        <w:pStyle w:val="TtuloBOE"/>
      </w:pPr>
      <w:r>
        <w:t>(BOE núm. 118, de 15 de mayo de 2024)</w:t>
      </w:r>
    </w:p>
    <w:p w14:paraId="72091395" w14:textId="77777777" w:rsidR="009D7677" w:rsidRDefault="009D7677" w:rsidP="009D7677">
      <w:pPr>
        <w:pStyle w:val="TextoNormalCentrado"/>
      </w:pPr>
      <w:r>
        <w:t>ECLI:ES:TC:2024:54</w:t>
      </w:r>
    </w:p>
    <w:p w14:paraId="5EA48FFA" w14:textId="6A34435C" w:rsidR="009D7677" w:rsidRDefault="009D7677" w:rsidP="009D7677">
      <w:pPr>
        <w:pStyle w:val="TextoNormalCentrado"/>
      </w:pPr>
    </w:p>
    <w:p w14:paraId="043E9D00" w14:textId="77777777" w:rsidR="009D7677" w:rsidRDefault="009D7677" w:rsidP="009D7677">
      <w:pPr>
        <w:pStyle w:val="SntesisDescriptiva"/>
      </w:pPr>
      <w:r>
        <w:t>Recurso de amparo 69-2022. Promovido por don Antonio Blasco Muñoz en relación con los autos dictados por la Audiencia Provincial de Valencia en procedimiento de ejecución hipotecaria.</w:t>
      </w:r>
    </w:p>
    <w:p w14:paraId="4895EF1E" w14:textId="3B032F69" w:rsidR="009D7677" w:rsidRDefault="009D7677" w:rsidP="009D7677">
      <w:pPr>
        <w:pStyle w:val="SntesisDescriptiva"/>
      </w:pPr>
    </w:p>
    <w:p w14:paraId="3E7F8E2F" w14:textId="77777777" w:rsidR="009D7677" w:rsidRDefault="009D7677" w:rsidP="009D7677">
      <w:pPr>
        <w:pStyle w:val="SntesisAnaltica"/>
      </w:pPr>
      <w:r>
        <w:t>Vulneración del derecho a la tutela judicial efectiva (resolución fundada en Derecho): SSTC 91/2023 y 96/2023 (autos que, ignorando el principio de efectividad del Derecho de la Unión Europea, deniegan la imposición de costas en un proceso en el que se ha declarado el carácter abusivo de cláusulas contractuales).</w:t>
      </w:r>
    </w:p>
    <w:p w14:paraId="6675ED44" w14:textId="33F0F8A5" w:rsidR="009D7677" w:rsidRDefault="009D7677" w:rsidP="009D7677">
      <w:pPr>
        <w:pStyle w:val="SntesisAnaltica"/>
      </w:pPr>
    </w:p>
    <w:p w14:paraId="6780B639" w14:textId="7B3C2C2F" w:rsidR="009D7677" w:rsidRDefault="009D7677" w:rsidP="009D7677">
      <w:pPr>
        <w:pStyle w:val="Extracto"/>
      </w:pPr>
      <w:r>
        <w:t>1.</w:t>
      </w:r>
      <w:r>
        <w:tab/>
        <w:t>Imponer al consumidor la carga de asumir el pago de una parte de las costas procesales en un procedimiento de ejecución hipotecaria, tras la declaración de nulidad de una cláusula contractual por tener carácter abusivo, infringe el principio de efectividad del Derecho comunitario en materia de protección de consumidores (art. 6.1 de la Directiva 93/13/CEE); al tiempo que tergiversa el principio de disuasión de los profesionales en cuanto al uso de dichas cláusulas (art. 7.1 de la Directiva 93/13/CEE), al generar un efecto disuasorio inverso que perjudica al consumidor (STC 91/2023) [FJ 2].</w:t>
      </w:r>
    </w:p>
    <w:p w14:paraId="6BE7758B" w14:textId="77777777" w:rsidR="009D7677" w:rsidRDefault="009D7677" w:rsidP="009D7677">
      <w:pPr>
        <w:pStyle w:val="Extracto"/>
      </w:pPr>
    </w:p>
    <w:p w14:paraId="5E22C716" w14:textId="77777777" w:rsidR="009D7677" w:rsidRDefault="009D7677" w:rsidP="009D7677">
      <w:pPr>
        <w:pStyle w:val="Extracto"/>
      </w:pPr>
    </w:p>
    <w:p w14:paraId="2A46DEBC" w14:textId="77777777" w:rsidR="009D7677" w:rsidRDefault="009D7677" w:rsidP="009D7677">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64850FC4" w14:textId="18D12360" w:rsidR="009D7677" w:rsidRDefault="009D7677" w:rsidP="009D7677">
      <w:pPr>
        <w:pStyle w:val="TextoNormal"/>
      </w:pPr>
    </w:p>
    <w:p w14:paraId="4972AA25" w14:textId="77777777" w:rsidR="009D7677" w:rsidRDefault="009D7677" w:rsidP="009D7677">
      <w:pPr>
        <w:pStyle w:val="TextoNormalCentrado"/>
        <w:keepNext/>
      </w:pPr>
      <w:r>
        <w:t>EN NOMBRE DEL REY</w:t>
      </w:r>
    </w:p>
    <w:p w14:paraId="6AC738A6" w14:textId="77D53582" w:rsidR="009D7677" w:rsidRDefault="009D7677" w:rsidP="009D7677">
      <w:pPr>
        <w:pStyle w:val="TextoNormalCentrado"/>
        <w:keepNext/>
      </w:pPr>
    </w:p>
    <w:p w14:paraId="56FFA7CA" w14:textId="77777777" w:rsidR="009D7677" w:rsidRDefault="009D7677" w:rsidP="009D7677">
      <w:pPr>
        <w:pStyle w:val="TextoNormalCentrado"/>
        <w:keepNext/>
      </w:pPr>
    </w:p>
    <w:p w14:paraId="54F2BBDB" w14:textId="77777777" w:rsidR="009D7677" w:rsidRDefault="009D7677" w:rsidP="009D7677">
      <w:pPr>
        <w:pStyle w:val="TextoNormal"/>
      </w:pPr>
      <w:r>
        <w:t>la siguiente</w:t>
      </w:r>
    </w:p>
    <w:p w14:paraId="16E5EC36" w14:textId="0DA3835A" w:rsidR="009D7677" w:rsidRDefault="009D7677" w:rsidP="009D7677">
      <w:pPr>
        <w:pStyle w:val="TextoNormal"/>
      </w:pPr>
    </w:p>
    <w:p w14:paraId="3099445E" w14:textId="77777777" w:rsidR="009D7677" w:rsidRDefault="009D7677" w:rsidP="009D7677">
      <w:pPr>
        <w:pStyle w:val="TextoNormalCentrado"/>
        <w:keepNext/>
      </w:pPr>
      <w:r>
        <w:t>SENTENCIA</w:t>
      </w:r>
    </w:p>
    <w:p w14:paraId="5B5254A4" w14:textId="008605CD" w:rsidR="009D7677" w:rsidRDefault="009D7677" w:rsidP="009D7677">
      <w:pPr>
        <w:pStyle w:val="TextoNormalCentrado"/>
        <w:keepNext/>
      </w:pPr>
    </w:p>
    <w:p w14:paraId="2B5C7E38" w14:textId="77777777" w:rsidR="009D7677" w:rsidRDefault="009D7677" w:rsidP="009D7677">
      <w:pPr>
        <w:pStyle w:val="TextoNormal"/>
      </w:pPr>
      <w:r>
        <w:t>En el recurso de amparo núm. 69-2022, promovido por don Antonio Blasco Muñoz contra los autos de la Sección Séptima de la Audiencia Provincial de Valencia de 27 de octubre y 17 de diciembre de 2021, dictados en el recurso de apelación núm. 165-2021. Ha comparecido y formulado alegaciones la entidad Banco Santander, S.A. Ha intervenido el Ministerio Fiscal. Ha sido ponente el magistrado don Enrique Arnaldo Alcubilla.</w:t>
      </w:r>
    </w:p>
    <w:p w14:paraId="0440B4E0" w14:textId="429A0FCA" w:rsidR="009D7677" w:rsidRDefault="009D7677" w:rsidP="009D7677">
      <w:pPr>
        <w:pStyle w:val="TextoNormal"/>
      </w:pPr>
    </w:p>
    <w:p w14:paraId="11EAA077" w14:textId="77777777" w:rsidR="009D7677" w:rsidRDefault="009D7677" w:rsidP="009D7677">
      <w:pPr>
        <w:pStyle w:val="TextoNormalNegritaCentrado"/>
        <w:keepNext/>
      </w:pPr>
      <w:r>
        <w:t>I. Antecedentes</w:t>
      </w:r>
    </w:p>
    <w:p w14:paraId="179BFECA" w14:textId="568A47A0" w:rsidR="009D7677" w:rsidRDefault="009D7677" w:rsidP="009D7677">
      <w:pPr>
        <w:pStyle w:val="TextoNormalNegritaCentrado"/>
        <w:keepNext/>
      </w:pPr>
    </w:p>
    <w:p w14:paraId="2DC92A9A" w14:textId="182391A9" w:rsidR="009D7677" w:rsidRDefault="009D7677" w:rsidP="009D7677">
      <w:pPr>
        <w:pStyle w:val="TextoNormal"/>
      </w:pPr>
      <w:r w:rsidRPr="009D7677">
        <w:rPr>
          <w:rStyle w:val="NumeroAFNegritaCaracter"/>
        </w:rPr>
        <w:t>1</w:t>
      </w:r>
      <w:r>
        <w:t xml:space="preserve">. Mediante escrito registrado en el Tribunal Constitucional el 4 de enero de 2022, don Antonio Blasco Muñoz, representado por la procuradora de los tribunales doña Patricia </w:t>
      </w:r>
      <w:r>
        <w:lastRenderedPageBreak/>
        <w:t>Gómez Martínez y asistida por el abogado don José Vicente Gil Martí, interpuso recurso de amparo contra las resoluciones judiciales referidas en el encabezamiento.</w:t>
      </w:r>
    </w:p>
    <w:p w14:paraId="05405CA2" w14:textId="77777777" w:rsidR="009D7677" w:rsidRDefault="009D7677" w:rsidP="009D7677">
      <w:pPr>
        <w:pStyle w:val="TextoNormal"/>
      </w:pPr>
    </w:p>
    <w:p w14:paraId="361A2C33" w14:textId="77777777" w:rsidR="009D7677" w:rsidRDefault="009D7677" w:rsidP="009D7677">
      <w:pPr>
        <w:pStyle w:val="TextoNormal"/>
      </w:pPr>
      <w:r w:rsidRPr="009D7677">
        <w:rPr>
          <w:rStyle w:val="NumeroAFNegritaCaracter"/>
        </w:rPr>
        <w:t>2</w:t>
      </w:r>
      <w:r>
        <w:t>. Son hechos relevantes para resolver el presente recurso de amparo los que siguen.</w:t>
      </w:r>
    </w:p>
    <w:p w14:paraId="1CE1BE7A" w14:textId="77777777" w:rsidR="009D7677" w:rsidRDefault="009D7677" w:rsidP="009D7677">
      <w:pPr>
        <w:pStyle w:val="TextoNormal"/>
      </w:pPr>
    </w:p>
    <w:p w14:paraId="7BFEE7F5" w14:textId="77777777" w:rsidR="009D7677" w:rsidRDefault="009D7677" w:rsidP="009D7677">
      <w:pPr>
        <w:pStyle w:val="TextoNormal"/>
      </w:pPr>
      <w:r>
        <w:t>a) El señor Blasco Muñoz fue demandado por la entidad Banco Santander, S.A., en el procedimiento de ejecución hipotecaria núm. 611-2014, que se siguió ante el Juzgado de Primera Instancia núm. 21 de Valencia. En dicho procedimiento la parte ejecutada formuló incidente de oposición a la ejecución con apoyo en la disposición transitoria tercera de la Ley 5/2019, de 15 de marzo, reguladora de los contratos de crédito inmobiliario, alegando la nulidad por abusiva de la cláusula de vencimiento anticipado del contrato de préstamo hipotecario del que trae causa la ejecución. El incidente de oposición fue estimado por auto del juzgado de 28 de octubre de 2020, por el que se declara nula la referida cláusula y se acuerda el sobreseimiento y archivo de la ejecución despachada, todo ello en atención al cambio de criterio de la Sala de lo Civil del Tribunal Supremo sobre la materia. El auto dispone asimismo no imponer las costas a la entidad bancaria ejecutante, atendiendo a lo reciente de ese cambio de criterio jurisprudencial sobre el carácter abusivo de la cláusula de vencimiento anticipado.</w:t>
      </w:r>
    </w:p>
    <w:p w14:paraId="408F8D5A" w14:textId="77777777" w:rsidR="009D7677" w:rsidRDefault="009D7677" w:rsidP="009D7677">
      <w:pPr>
        <w:pStyle w:val="TextoNormal"/>
      </w:pPr>
    </w:p>
    <w:p w14:paraId="422BA37D" w14:textId="77777777" w:rsidR="009D7677" w:rsidRDefault="009D7677" w:rsidP="009D7677">
      <w:pPr>
        <w:pStyle w:val="TextoNormal"/>
      </w:pPr>
      <w:r>
        <w:t xml:space="preserve">b) El auto del juzgado fue recurrido en apelación por el señor Blasco Muñoz, exclusivamente en lo relativo al pronunciamiento sobre las costas, por entender que no procedía aplicar ninguna de las excepciones al principio de vencimiento objetivo, por cuanto el cambio de criterio jurisprudencial sobre el carácter abusivo de la cláusula de vencimiento anticipado, que da lugar al archivo de la ejecución, no era reciente, sino consolidado y la entidad bancaria ejecutante lo conocía. El recurrente sostenía también que, en atención a la jurisprudencia que citaba del Tribunal de Justicia de la Unión Europea (sentencia de 16 de julio de 2020, asuntos acumulados </w:t>
      </w:r>
      <w:r w:rsidRPr="009D7677">
        <w:rPr>
          <w:i/>
        </w:rPr>
        <w:t>CY c. Caixabank, S.A</w:t>
      </w:r>
      <w:r>
        <w:t xml:space="preserve">., y </w:t>
      </w:r>
      <w:r w:rsidRPr="009D7677">
        <w:rPr>
          <w:i/>
        </w:rPr>
        <w:t>LG y PK c. Banco Bilbao Vizcaya Argentaria, S. A</w:t>
      </w:r>
      <w:r>
        <w:t>., C 224/19 y C 259/19) y de la Sala de lo Civil del Tribunal Supremo (sentencias 419/2017, de 4 de julio y 472/2020, de 17 de septiembre), no procede aplicar en materia de consumidores la excepción al criterio general del vencimiento objetivo cuando haya serias dudas de hecho o de derecho, como consecuencia del principio de primacía del derecho comunitario y de la aplicación del principio de efectividad, en relación con los arts. 6.1 y 7.1 de la Directiva 93/13/CEE. Y ello porque, conforme a esta jurisprudencia, si el consumidor, pese a vencer en el litigio, tuviera que pagar íntegramente los gastos derivados de su defensa y representación, no se restablecería la situación de hecho y de derecho en que estaría si no hubiera existido la cláusula abusiva, es decir, no se garantizaría la total indemnidad del consumidor, exigida por los arts. 8 b) y c) y 83 del texto refundido de la Ley de consumidores y usuarios. Se produciría, además, un inadmisible efecto disuasorio inverso, pues no se disuadiría a los bancos de incluir las cláusulas abusivas en los préstamos hipotecarios, sino que se desalentaría a los consumidores de promover litigios por cantidades moderadas.</w:t>
      </w:r>
    </w:p>
    <w:p w14:paraId="6FDCD2AF" w14:textId="77777777" w:rsidR="009D7677" w:rsidRDefault="009D7677" w:rsidP="009D7677">
      <w:pPr>
        <w:pStyle w:val="TextoNormal"/>
      </w:pPr>
    </w:p>
    <w:p w14:paraId="3B5470AE" w14:textId="77777777" w:rsidR="009D7677" w:rsidRDefault="009D7677" w:rsidP="009D7677">
      <w:pPr>
        <w:pStyle w:val="TextoNormal"/>
      </w:pPr>
      <w:r>
        <w:t>c) La Sección Séptima de la Audiencia Provincial de Valencia desestimó el recurso de apelación (núm. 165-2021) por auto de 27 de octubre de 2021. Razona la Audiencia que en este caso nos hallamos ante un incidente extraordinario de oposición a la ejecución regulado en la Ley 5/2019, de 15 de marzo, que no existía por tanto en el momento en que se instó la ejecución hipotecaria en el año 2014, por lo que, atendiendo a esta circunstancia y al tiempo transcurrido, así como a las modificaciones legislativas producidas desde en</w:t>
      </w:r>
      <w:r>
        <w:lastRenderedPageBreak/>
        <w:t>tonces, se considera acertado el criterio del juzgado de primera instancia en relación con las costas, criterio que, por las mismas razones, se extiende a la apelación, al desestimarse el recurso, conforme a lo dispuesto en el art. 398 en relación con el art. 394, ambos de la Ley de enjuiciamiento civil (LEC en adelante).</w:t>
      </w:r>
    </w:p>
    <w:p w14:paraId="3CDC8C2B" w14:textId="77777777" w:rsidR="009D7677" w:rsidRDefault="009D7677" w:rsidP="009D7677">
      <w:pPr>
        <w:pStyle w:val="TextoNormal"/>
      </w:pPr>
    </w:p>
    <w:p w14:paraId="5D3435BC" w14:textId="77777777" w:rsidR="009D7677" w:rsidRDefault="009D7677" w:rsidP="009D7677">
      <w:pPr>
        <w:pStyle w:val="TextoNormal"/>
      </w:pPr>
      <w:r>
        <w:t>d) Contra este auto promovió el recurrente incidente extraordinario de nulidad de actuaciones, por entender vulnerados los derechos a la tutela judicial efectiva sin indefensión (art. 24.1 CE), al juez ordinario predeterminado por la ley (art. 24.2 CE) y a la igualdad ante la ley (art. 14 CE). Subsidiariamente solicitó que se elevase cuestión prejudicial ante el Tribunal de Justicia de la Unión Europea.</w:t>
      </w:r>
    </w:p>
    <w:p w14:paraId="539A1FC8" w14:textId="77777777" w:rsidR="009D7677" w:rsidRDefault="009D7677" w:rsidP="009D7677">
      <w:pPr>
        <w:pStyle w:val="TextoNormal"/>
      </w:pPr>
    </w:p>
    <w:p w14:paraId="397D9431" w14:textId="310EDCBA" w:rsidR="009D7677" w:rsidRDefault="009D7677" w:rsidP="009D7677">
      <w:pPr>
        <w:pStyle w:val="TextoNormal"/>
      </w:pPr>
      <w:r>
        <w:t>e) El incidente fue desestimado por auto de 17 de diciembre de 2021, con imposición de costas al recurrente, al no apreciar la Audiencia Provincial de Valencia vicio procesal alguno causante de indefensión ni vulneración de ninguno de los derechos fundamentales invocados por el recurrente, dado que “este tribunal, ha confirmado la resolución de instancia en la que se hace uso de la facultad de apreciar serias dudas de hecho y de derecho y, posteriormente, a no condenar al pago de las costas pese a desestimarse un recurso, todo ello, en el seno del incidente extraordinario introducido por la disposición transitoria tercera de la Ley 5/2019 y que se refiere a una ejecución hipotecaria que se inició en el año 2014”.</w:t>
      </w:r>
    </w:p>
    <w:p w14:paraId="24E1E56A" w14:textId="77777777" w:rsidR="009D7677" w:rsidRDefault="009D7677" w:rsidP="009D7677">
      <w:pPr>
        <w:pStyle w:val="TextoNormal"/>
      </w:pPr>
    </w:p>
    <w:p w14:paraId="7FF937B2" w14:textId="77777777" w:rsidR="009D7677" w:rsidRDefault="009D7677" w:rsidP="009D7677">
      <w:pPr>
        <w:pStyle w:val="TextoNormal"/>
      </w:pPr>
      <w:r w:rsidRPr="009D7677">
        <w:rPr>
          <w:rStyle w:val="NumeroAFNegritaCaracter"/>
        </w:rPr>
        <w:t>3</w:t>
      </w:r>
      <w:r>
        <w:t>. El recurso de amparo se interpone contra los referidos autos de la Sección Séptima de la Audiencia Provincial de Valencia de 27 de octubre y 17 de diciembre de 2021, exclusivamente en lo que atañe a la decisión de no imponer las costas a la entidad bancaria ejecutante. A las resoluciones judiciales impugnadas dirige dos censuras el recurrente.</w:t>
      </w:r>
    </w:p>
    <w:p w14:paraId="5A3F05CF" w14:textId="77777777" w:rsidR="009D7677" w:rsidRDefault="009D7677" w:rsidP="009D7677">
      <w:pPr>
        <w:pStyle w:val="TextoNormal"/>
      </w:pPr>
    </w:p>
    <w:p w14:paraId="42A22589" w14:textId="77777777" w:rsidR="009D7677" w:rsidRDefault="009D7677" w:rsidP="009D7677">
      <w:pPr>
        <w:pStyle w:val="TextoNormal"/>
      </w:pPr>
      <w:r>
        <w:t xml:space="preserve">En primer lugar, considera que han vulnerado su derecho a la tutela judicial efectiva (art. 24.1 CE), en relación con el derecho al juez ordinario predeterminado por la ley (art. 24.2 CE), porque en este caso existía una evidente “duda razonable” acerca de la aplicación del derecho comunitario (arts. 6.1 y 7.1 de la Directiva 93/13/CEE), que impediría aplicar la excepción al criterio del vencimiento objetivo (arts. 394.1 y 398 LEC). Siendo ello así, la Audiencia Provincial de Valencia debió, o bien aplicar la norma comunitaria, o bien elevar la cuestión prejudicial ante el Tribunal de Justicia de la Unión Europea (como el propio recurrente interesó expresamente en el incidente de nulidad); al no hacer nada de esto, vulneró el derecho a la tutela judicial efectiva, que comporta la necesidad de que el juez o tribunal resuelva </w:t>
      </w:r>
      <w:r w:rsidRPr="009D7677">
        <w:rPr>
          <w:i/>
        </w:rPr>
        <w:t>secundum legem</w:t>
      </w:r>
      <w:r>
        <w:t xml:space="preserve"> y ateniéndose al sistema de fuentes establecido. Vulneró también el derecho al juez legal, porque cuando un tribunal español tiene dudas sobre la interpretación de una norma comunitaria y resuelve sin consultar al Tribunal de Justicia de la Unión Europea, invade la competencia de este.</w:t>
      </w:r>
    </w:p>
    <w:p w14:paraId="0A0E7615" w14:textId="77777777" w:rsidR="009D7677" w:rsidRDefault="009D7677" w:rsidP="009D7677">
      <w:pPr>
        <w:pStyle w:val="TextoNormal"/>
      </w:pPr>
    </w:p>
    <w:p w14:paraId="24617D0C" w14:textId="77777777" w:rsidR="009D7677" w:rsidRDefault="009D7677" w:rsidP="009D7677">
      <w:pPr>
        <w:pStyle w:val="TextoNormal"/>
      </w:pPr>
      <w:r>
        <w:t>En segundo lugar, sostiene que se ha vulnerado su derecho a la igualdad ante la ley (art. 14 CE), porque la Audiencia Provincial de Valencia se ha separado radicalmente de la interpretación que viene haciendo el Tribunal Supremo en casos idénticos, siguiendo al Tribunal de Justicia de la Unión Europea, en relación con la inaplicación de la excepción al criterio del vencimiento objetivo cuando existan serias dudas de hecho o de derecho (arts. 394.1 y 398 LEC) en procedimientos en que sean parte consumidores.</w:t>
      </w:r>
    </w:p>
    <w:p w14:paraId="65CE2C81" w14:textId="77777777" w:rsidR="009D7677" w:rsidRDefault="009D7677" w:rsidP="009D7677">
      <w:pPr>
        <w:pStyle w:val="TextoNormal"/>
      </w:pPr>
    </w:p>
    <w:p w14:paraId="4BCF844F" w14:textId="6E8F9099" w:rsidR="009D7677" w:rsidRDefault="009D7677" w:rsidP="009D7677">
      <w:pPr>
        <w:pStyle w:val="TextoNormal"/>
      </w:pPr>
      <w:r>
        <w:lastRenderedPageBreak/>
        <w:t>El recurrente en amparo justifica la especial trascendencia constitucional de su recurso y solicita que se le otorgue el amparo, reconociendo la vulneración de sus derechos fundamentales y declarando la nulidad de las resoluciones judiciales impugnadas, con retroacción de actuaciones para que la Audiencia Provincial dicte nueva resolución por la que se acuerde la condena en costas de la entidad bancaria ejecutante.</w:t>
      </w:r>
    </w:p>
    <w:p w14:paraId="043B0A23" w14:textId="77777777" w:rsidR="009D7677" w:rsidRDefault="009D7677" w:rsidP="009D7677">
      <w:pPr>
        <w:pStyle w:val="TextoNormal"/>
      </w:pPr>
    </w:p>
    <w:p w14:paraId="1047A9C2" w14:textId="77777777" w:rsidR="009D7677" w:rsidRDefault="009D7677" w:rsidP="009D7677">
      <w:pPr>
        <w:pStyle w:val="TextoNormal"/>
      </w:pPr>
      <w:r w:rsidRPr="009D7677">
        <w:rPr>
          <w:rStyle w:val="NumeroAFNegritaCaracter"/>
        </w:rPr>
        <w:t>4</w:t>
      </w:r>
      <w:r>
        <w:t>. Mediante providencia de 23 de octubre de 2023 la Sección Cuarta del Tribunal Constitucional acordó la admisión a trámite del recurso de amparo, apreciando que concurre en el mismo una especial trascendencia constitucional (art, 50.1 LOTC) por cuanto el asunto suscitado trasciende al caso concreto porque plantea una cuestión jurídica de relevante y general repercusión social o económica [STC 155/2009, de 25 de junio, FJ 2 g)].</w:t>
      </w:r>
    </w:p>
    <w:p w14:paraId="75AFCCC6" w14:textId="77777777" w:rsidR="009D7677" w:rsidRDefault="009D7677" w:rsidP="009D7677">
      <w:pPr>
        <w:pStyle w:val="TextoNormal"/>
      </w:pPr>
    </w:p>
    <w:p w14:paraId="7B3EB694" w14:textId="348BC3A1" w:rsidR="009D7677" w:rsidRDefault="009D7677" w:rsidP="009D7677">
      <w:pPr>
        <w:pStyle w:val="TextoNormal"/>
      </w:pPr>
      <w:r>
        <w:t>Por ello, constando ya en este tribunal las actuaciones correspondientes al recurso de apelación núm. 165-2021 seguido ante la Sección Séptima de la Audiencia Provincial de Valencia, acordó en virtud del art. 51 Ley Orgánica del Tribunal Constitucional (LOTC) dirigir atenta comunicación al Juzgado de Primera Instancia núm. 21 de Valencia a fin de que, en plazo no superior a diez días, remitiera testimonio de las actuaciones correspondientes a la pieza de oposición a la ejecución hipotecaria núm. 611-2014. Acordó también el emplazamiento, por término de diez días, de quienes hubieran sido parte en el procedimiento, con excepción del recurrente, a los efectos de poder comparecer en el presente proceso de amparo.</w:t>
      </w:r>
    </w:p>
    <w:p w14:paraId="6234D6BD" w14:textId="77777777" w:rsidR="009D7677" w:rsidRDefault="009D7677" w:rsidP="009D7677">
      <w:pPr>
        <w:pStyle w:val="TextoNormal"/>
      </w:pPr>
    </w:p>
    <w:p w14:paraId="5EB4EF8C" w14:textId="14646656" w:rsidR="009D7677" w:rsidRDefault="009D7677" w:rsidP="009D7677">
      <w:pPr>
        <w:pStyle w:val="TextoNormal"/>
      </w:pPr>
      <w:r w:rsidRPr="009D7677">
        <w:rPr>
          <w:rStyle w:val="NumeroAFNegritaCaracter"/>
        </w:rPr>
        <w:t>5</w:t>
      </w:r>
      <w:r>
        <w:t>. Mediante diligencia de ordenación del secretario de justicia de la Sala Segunda de este tribunal de 9 de enero de 2024 se tuvo por personado y parte en este proceso constitucional al procurador de los tribunales don Miguel Ángel Montero Reiter, en nombre y representación de la entidad Banco Santander, S.A., acordándose entender con él las sucesivas actuaciones. Se acordó también dar vista de las actuaciones recibidas a las partes personadas y al Ministerio Fiscal, por plazo común de veinte días, para formular las alegaciones que estimaren pertinentes, conforme determina el art. 52.1 LOTC.</w:t>
      </w:r>
    </w:p>
    <w:p w14:paraId="7D8C04FC" w14:textId="77777777" w:rsidR="009D7677" w:rsidRDefault="009D7677" w:rsidP="009D7677">
      <w:pPr>
        <w:pStyle w:val="TextoNormal"/>
      </w:pPr>
    </w:p>
    <w:p w14:paraId="721981CF" w14:textId="2ACDEA2B" w:rsidR="009D7677" w:rsidRDefault="009D7677" w:rsidP="009D7677">
      <w:pPr>
        <w:pStyle w:val="TextoNormal"/>
      </w:pPr>
      <w:r w:rsidRPr="009D7677">
        <w:rPr>
          <w:rStyle w:val="NumeroAFNegritaCaracter"/>
        </w:rPr>
        <w:t>6</w:t>
      </w:r>
      <w:r>
        <w:t>. La representación procesal del recurrente en amparo formuló sus alegaciones mediante escrito registrado en este tribunal el 10 de enero de 2024, en el que se ratifica en los motivos de queja y fundamentos jurídicos desarrollados en la demanda de amparo.</w:t>
      </w:r>
    </w:p>
    <w:p w14:paraId="039231FC" w14:textId="77777777" w:rsidR="009D7677" w:rsidRDefault="009D7677" w:rsidP="009D7677">
      <w:pPr>
        <w:pStyle w:val="TextoNormal"/>
      </w:pPr>
    </w:p>
    <w:p w14:paraId="7493EDED" w14:textId="77777777" w:rsidR="009D7677" w:rsidRDefault="009D7677" w:rsidP="009D7677">
      <w:pPr>
        <w:pStyle w:val="TextoNormal"/>
      </w:pPr>
      <w:r w:rsidRPr="009D7677">
        <w:rPr>
          <w:rStyle w:val="NumeroAFNegritaCaracter"/>
        </w:rPr>
        <w:t>7</w:t>
      </w:r>
      <w:r>
        <w:t>. La representación procesal la entidad Banco Santander, S.A., con asistencia del abogado don Borja Fraguas Cánovas, presentó sus alegaciones mediante escrito registrado en este tribunal el 8 de febrero de 2024.</w:t>
      </w:r>
    </w:p>
    <w:p w14:paraId="402C479F" w14:textId="77777777" w:rsidR="009D7677" w:rsidRDefault="009D7677" w:rsidP="009D7677">
      <w:pPr>
        <w:pStyle w:val="TextoNormal"/>
      </w:pPr>
    </w:p>
    <w:p w14:paraId="46AEB895" w14:textId="4CD65C26" w:rsidR="009D7677" w:rsidRDefault="009D7677" w:rsidP="009D7677">
      <w:pPr>
        <w:pStyle w:val="TextoNormal"/>
      </w:pPr>
      <w:r>
        <w:t>Sostiene que las resoluciones judiciales impugnadas no incurren en las supuestas vulneraciones de derechos fundamentales que alega el demandante de amparo, pues han aplicado correctamente la excepción al criterio del vencimiento objetivo en materia de condena en costas cuando existan serias dudas de hecho o de derecho (arts. 394.1 y 398 LEC), en atención a las circunstancias concurrentes en el caso, como fundadamente se razona en dichas resoluciones. En consecuencia, solicita la íntegra desestimación del recurso de amparo.</w:t>
      </w:r>
    </w:p>
    <w:p w14:paraId="6CC0FAF9" w14:textId="77777777" w:rsidR="009D7677" w:rsidRDefault="009D7677" w:rsidP="009D7677">
      <w:pPr>
        <w:pStyle w:val="TextoNormal"/>
      </w:pPr>
    </w:p>
    <w:p w14:paraId="3523543B" w14:textId="77777777" w:rsidR="009D7677" w:rsidRDefault="009D7677" w:rsidP="009D7677">
      <w:pPr>
        <w:pStyle w:val="TextoNormal"/>
      </w:pPr>
      <w:r w:rsidRPr="009D7677">
        <w:rPr>
          <w:rStyle w:val="NumeroAFNegritaCaracter"/>
        </w:rPr>
        <w:t>8</w:t>
      </w:r>
      <w:r>
        <w:t>. El 16 de febrero de 2024 presentó sus alegaciones el Ministerio Fiscal.</w:t>
      </w:r>
    </w:p>
    <w:p w14:paraId="21A10B64" w14:textId="77777777" w:rsidR="009D7677" w:rsidRDefault="009D7677" w:rsidP="009D7677">
      <w:pPr>
        <w:pStyle w:val="TextoNormal"/>
      </w:pPr>
    </w:p>
    <w:p w14:paraId="230FBB7E" w14:textId="77777777" w:rsidR="009D7677" w:rsidRDefault="009D7677" w:rsidP="009D7677">
      <w:pPr>
        <w:pStyle w:val="TextoNormal"/>
      </w:pPr>
      <w:r>
        <w:t>Después de exponer los antecedentes del asunto y resumir las quejas que el recurrente dirige a los autos impugnados en amparo, el fiscal señala que el escrutinio del Tribunal Constitucional habrá de efectuarse en relación con la alegada lesión del derecho a la tutela judicial efectiva (art. 24.1 CE), en la vertiente de exigencia de motivación de las resoluciones judiciales, por cuanto la invocación de los derechos a la igualdad y al juez legal no deja de ser redundante respecto del reproche de errónea motivación que se dirige a la decisión judicial de no condenar en costas a la entidad bancaria, por aplicación de la excepción al criterio del vencimiento objetivo (arts. 394.1 y 398 LEC) sin tener en cuenta lo dispuesto en la Directiva 93/13/CEE tal como la ha interpretado el Tribunal de Justicia de la Unión Europea.</w:t>
      </w:r>
    </w:p>
    <w:p w14:paraId="532CADD9" w14:textId="77777777" w:rsidR="009D7677" w:rsidRDefault="009D7677" w:rsidP="009D7677">
      <w:pPr>
        <w:pStyle w:val="TextoNormal"/>
      </w:pPr>
    </w:p>
    <w:p w14:paraId="1B63A4FA" w14:textId="77777777" w:rsidR="009D7677" w:rsidRDefault="009D7677" w:rsidP="009D7677">
      <w:pPr>
        <w:pStyle w:val="TextoNormal"/>
      </w:pPr>
      <w:r>
        <w:t>Sentada esta premisa, el fiscal expone seguidamente la jurisprudencia constitucional y del Tribunal Supremo en materia de costas procesales que considera aplicable al caso y, específicamente, cuando su pronunciamiento se realiza en procesos que versan sobre el carácter abusivo de cláusulas contractuales establecidas en contratos con consumidores. Cita en particular la doctrina sentada en las SSTC 232/2015, de 5 de noviembre; 156/2021, de 16 de septiembre; 91/2023, de 11 de septiembre, y 96/2023, de 25 de septiembre. Su aplicación a la cuestión planteada en el recurso de amparo le lleva a concluir que las resoluciones judiciales impugnadas, que han aplicado la excepción al criterio del vencimiento objetivo, vulneran el derecho a la tutela judicial efectiva del recurrente, en su vertiente de acceso a la jurisdicción. Afirma el fiscal que la respuesta judicial a la pretensión del recurrente de que fuera condenada en costas la entidad bancaria ejecutante no puede considerarse respetuosa con el derecho a la tutela judicial efectiva, pues la motivación de los autos impugnados parte de una selección arbitraria e irrazonable de la normativa aplicable al caso, toda vez que la Audiencia Provincial de Valencia solo aplicó la norma nacional (arts. 394.1 y 398 LEC), sin tener en cuenta lo dispuesto en los arts. 6.1 y 7.1 de la Directiva 93/13/CEE, conforme a la interpretación sentada por el Tribunal de Justicia de la Unión Europea, y desconociendo por tanto los principios de primacía y de efectividad del Derecho comunitario, pese a que le fue alegado por el recurrente en la apelación y en el posterior incidente de nulidad.</w:t>
      </w:r>
    </w:p>
    <w:p w14:paraId="5F9D5016" w14:textId="77777777" w:rsidR="009D7677" w:rsidRDefault="009D7677" w:rsidP="009D7677">
      <w:pPr>
        <w:pStyle w:val="TextoNormal"/>
      </w:pPr>
    </w:p>
    <w:p w14:paraId="527B2C25" w14:textId="38553BFD" w:rsidR="009D7677" w:rsidRDefault="009D7677" w:rsidP="009D7677">
      <w:pPr>
        <w:pStyle w:val="TextoNormal"/>
      </w:pPr>
      <w:r>
        <w:t>Por todo ello, el Ministerio Fiscal interesa que se otorgue el amparo al recurrente, reconociendo que se ha vulnerado su derecho a la tutela judicial efectiva (art. 24.1 CE) y, en consecuencia, declarando la nulidad de los autos impugnados y ordenando que se retrotraigan las actuaciones al momento anterior a dictarse por la Sección Séptima de la Audiencia Provincial de Valencia el auto de 27 de octubre de 2021, para que dicte otro que restaure el derecho vulnerado.</w:t>
      </w:r>
    </w:p>
    <w:p w14:paraId="336E1142" w14:textId="77777777" w:rsidR="009D7677" w:rsidRDefault="009D7677" w:rsidP="009D7677">
      <w:pPr>
        <w:pStyle w:val="TextoNormal"/>
      </w:pPr>
    </w:p>
    <w:p w14:paraId="22EE62B3" w14:textId="2E4D2693" w:rsidR="009D7677" w:rsidRDefault="009D7677" w:rsidP="009D7677">
      <w:pPr>
        <w:pStyle w:val="TextoNormal"/>
      </w:pPr>
      <w:r w:rsidRPr="009D7677">
        <w:rPr>
          <w:rStyle w:val="NumeroAFNegritaCaracter"/>
        </w:rPr>
        <w:t>9</w:t>
      </w:r>
      <w:r>
        <w:t>. Por providencia de 4 de abril de 2024 se señaló para deliberación y votación de la presente sentencia el día 8 del mismo mes y año.</w:t>
      </w:r>
    </w:p>
    <w:p w14:paraId="4AE8D04D" w14:textId="77777777" w:rsidR="009D7677" w:rsidRDefault="009D7677" w:rsidP="009D7677">
      <w:pPr>
        <w:pStyle w:val="TextoNormal"/>
      </w:pPr>
    </w:p>
    <w:p w14:paraId="7C59D16D" w14:textId="77777777" w:rsidR="009D7677" w:rsidRDefault="009D7677" w:rsidP="009D7677">
      <w:pPr>
        <w:pStyle w:val="TextoNormalNegritaCentrado"/>
        <w:keepNext/>
      </w:pPr>
      <w:r>
        <w:t>II. Fundamentos jurídicos</w:t>
      </w:r>
    </w:p>
    <w:p w14:paraId="76E3E3E6" w14:textId="1FAAF3DB" w:rsidR="009D7677" w:rsidRDefault="009D7677" w:rsidP="009D7677">
      <w:pPr>
        <w:pStyle w:val="TextoNormalNegritaCentrado"/>
        <w:keepNext/>
      </w:pPr>
    </w:p>
    <w:p w14:paraId="1E26DEDB" w14:textId="77777777" w:rsidR="009D7677" w:rsidRDefault="009D7677" w:rsidP="009D7677">
      <w:pPr>
        <w:pStyle w:val="TextoNormal"/>
      </w:pPr>
      <w:r w:rsidRPr="009D7677">
        <w:rPr>
          <w:rStyle w:val="NumeroAFNegritaCaracter"/>
        </w:rPr>
        <w:t>1</w:t>
      </w:r>
      <w:r>
        <w:t xml:space="preserve">. </w:t>
      </w:r>
      <w:r w:rsidRPr="009D7677">
        <w:rPr>
          <w:i/>
        </w:rPr>
        <w:t>Objeto del recurso de amparo</w:t>
      </w:r>
    </w:p>
    <w:p w14:paraId="4063200A" w14:textId="77777777" w:rsidR="009D7677" w:rsidRDefault="009D7677" w:rsidP="009D7677">
      <w:pPr>
        <w:pStyle w:val="TextoNormal"/>
      </w:pPr>
    </w:p>
    <w:p w14:paraId="26E91606" w14:textId="77777777" w:rsidR="009D7677" w:rsidRDefault="009D7677" w:rsidP="009D7677">
      <w:pPr>
        <w:pStyle w:val="TextoNormal"/>
      </w:pPr>
      <w:r>
        <w:lastRenderedPageBreak/>
        <w:t>El presente recurso de amparo se dirige contra los autos de la Sección Séptima de la Audiencia Provincial de Valencia de 27 de octubre y 17 de diciembre de 2021, dictados en el recurso de apelación núm. 165-2021, interpuesto por el recurrente frente al auto de 28 de octubre de 2020 del Juzgado de Primera Instancia núm. 21 de Valencia, porque, pese a acordar el sobreseimiento y archivo del procedimiento de ejecución hipotecaria núm. 611-2014 que contra él se seguía, al estimar su oposición a la ejecución con fundamento en la nulidad por abusiva de la cláusula de vencimiento anticipado, no impuso las costas a la entidad bancaria ejecutante.</w:t>
      </w:r>
    </w:p>
    <w:p w14:paraId="05D2573C" w14:textId="77777777" w:rsidR="009D7677" w:rsidRDefault="009D7677" w:rsidP="009D7677">
      <w:pPr>
        <w:pStyle w:val="TextoNormal"/>
      </w:pPr>
    </w:p>
    <w:p w14:paraId="2C69DAC5" w14:textId="77777777" w:rsidR="009D7677" w:rsidRDefault="009D7677" w:rsidP="009D7677">
      <w:pPr>
        <w:pStyle w:val="TextoNormal"/>
      </w:pPr>
      <w:r>
        <w:t>La audiencia provincial vino a confirmar la decisión del juzgado de aplicar la excepción al criterio del vencimiento objetivo en materia de costas procesales (que extendió al recurso de apelación, conforme a lo previsto en el art. 398, en relación con el art. 394, ambos de la Ley de enjuiciamiento civil), al apreciar que el caso presentaba serias dudas de derecho, por tratarse de un incidente extraordinario de oposición a la ejecución introducido por la disposición transitoria tercera de la Ley 5/2019, de 15 de marzo, que no existía por tanto cuando la entidad bancaria instó la ejecución hipotecaria en el año 2014.</w:t>
      </w:r>
    </w:p>
    <w:p w14:paraId="6EE291DD" w14:textId="77777777" w:rsidR="009D7677" w:rsidRDefault="009D7677" w:rsidP="009D7677">
      <w:pPr>
        <w:pStyle w:val="TextoNormal"/>
      </w:pPr>
    </w:p>
    <w:p w14:paraId="01041296" w14:textId="77777777" w:rsidR="009D7677" w:rsidRDefault="009D7677" w:rsidP="009D7677">
      <w:pPr>
        <w:pStyle w:val="TextoNormal"/>
      </w:pPr>
      <w:r>
        <w:t xml:space="preserve">El recurrente considera que los autos de la Audiencia Provincial de Valencia vulneraron su derecho fundamental a la tutela judicial efectiva (art. 24.1 CE), que comporta la necesidad de que el órgano judicial resuelva </w:t>
      </w:r>
      <w:r w:rsidRPr="009D7677">
        <w:rPr>
          <w:i/>
        </w:rPr>
        <w:t>secundum legem</w:t>
      </w:r>
      <w:r>
        <w:t xml:space="preserve"> y ateniéndose al sistema de fuentes establecido, en relación con el derecho al juez ordinario predeterminado por la ley (art. 24.2 CE), por no respetar el principio de primacía del Derecho de la Unión Europea, toda vez que debió aplicar lo dispuesto en los arts. 6.1 y 7.1 de la Directiva 93/13/CEE, en la interpretación dada a los mismos por el Tribunal de Justicia de la Unión Europea, o en caso de duda elevar la cuestión prejudicial ante dicho tribunal (como el propio recurrente interesó expresamente en el incidente de nulidad). Sostiene asimismo que se ha vulnerado su derecho a la igualdad ante la ley (art. 14 CE), porque la Audiencia Provincial de Valencia se ha separado injustificadamente de la interpretación que viene haciendo el Tribunal Supremo en casos idénticos, siguiendo al Tribunal de Justicia de la Unión Europea, en relación con la inaplicación de la excepción al criterio del vencimiento objetivo en materia de costas en procedimientos en que sean parte consumidores.</w:t>
      </w:r>
    </w:p>
    <w:p w14:paraId="69A527F7" w14:textId="77777777" w:rsidR="009D7677" w:rsidRDefault="009D7677" w:rsidP="009D7677">
      <w:pPr>
        <w:pStyle w:val="TextoNormal"/>
      </w:pPr>
    </w:p>
    <w:p w14:paraId="62E779BE" w14:textId="77777777" w:rsidR="009D7677" w:rsidRDefault="009D7677" w:rsidP="009D7677">
      <w:pPr>
        <w:pStyle w:val="TextoNormal"/>
      </w:pPr>
      <w:r>
        <w:t>Así planteadas las censuras que el recurrente dirige a las resoluciones impugnadas, ha de convenirse con el Ministerio Fiscal en que las invocadas lesiones de los derechos a la igualdad ante la ley y al juez legal carecen de sustantividad propia, debiendo reconducirse a la alegada vulneración del derecho a la tutela judicial efectiva, por errónea o arbitraria motivación de la decisión judicial de no imponer las costas a la entidad bancaria ejecutante, aplicando la excepción al criterio del vencimiento objetivo referida a que el caso presente serias dudas de hecho o de derecho.</w:t>
      </w:r>
    </w:p>
    <w:p w14:paraId="6E951946" w14:textId="77777777" w:rsidR="009D7677" w:rsidRDefault="009D7677" w:rsidP="009D7677">
      <w:pPr>
        <w:pStyle w:val="TextoNormal"/>
      </w:pPr>
    </w:p>
    <w:p w14:paraId="10DF94AA" w14:textId="77777777" w:rsidR="009D7677" w:rsidRDefault="009D7677" w:rsidP="009D7677">
      <w:pPr>
        <w:pStyle w:val="TextoNormal"/>
      </w:pPr>
      <w:r>
        <w:t>Por las razones que han quedado expuestas en el relato de antecedentes, la representación procesal de la entidad Banco Santander, S.A., solicita la desestimación del recurso de amparo, por entender que no existe la pretendida vulneración de derechos fundamental que alega el recurrente.</w:t>
      </w:r>
    </w:p>
    <w:p w14:paraId="6100BEFB" w14:textId="77777777" w:rsidR="009D7677" w:rsidRDefault="009D7677" w:rsidP="009D7677">
      <w:pPr>
        <w:pStyle w:val="TextoNormal"/>
      </w:pPr>
    </w:p>
    <w:p w14:paraId="5E24E765" w14:textId="37AB08BF" w:rsidR="009D7677" w:rsidRDefault="009D7677" w:rsidP="009D7677">
      <w:pPr>
        <w:pStyle w:val="TextoNormal"/>
      </w:pPr>
      <w:r>
        <w:t xml:space="preserve">El Ministerio Fiscal, con cita de la doctrina constitucional sentada en las SSTC 232/2015, de 5 de noviembre; 156/2021, de 16 de septiembre; 91/2023, de 11 de septiembre, y 96/2023, de 25 de septiembre, apoya la pretensión del recurrente e interesa que se le </w:t>
      </w:r>
      <w:r>
        <w:lastRenderedPageBreak/>
        <w:t>otorgue el amparo solicitado, declarando la nulidad de los autos impugnados y ordenando que se retrotraigan las actuaciones al momento anterior a dictarse por la Sección Séptima de la Audiencia Provincial de Valencia el auto de 27 de octubre de 2021, para que dicte nueva resolución respetuosa con el derecho fundamental a la tutela judicial efectiva.</w:t>
      </w:r>
    </w:p>
    <w:p w14:paraId="10C9DCB7" w14:textId="77777777" w:rsidR="009D7677" w:rsidRDefault="009D7677" w:rsidP="009D7677">
      <w:pPr>
        <w:pStyle w:val="TextoNormal"/>
      </w:pPr>
    </w:p>
    <w:p w14:paraId="4BED04A8" w14:textId="77777777" w:rsidR="009D7677" w:rsidRDefault="009D7677" w:rsidP="009D7677">
      <w:pPr>
        <w:pStyle w:val="TextoNormal"/>
      </w:pPr>
      <w:r w:rsidRPr="009D7677">
        <w:rPr>
          <w:rStyle w:val="NumeroAFNegritaCaracter"/>
        </w:rPr>
        <w:t>2</w:t>
      </w:r>
      <w:r>
        <w:t xml:space="preserve">. </w:t>
      </w:r>
      <w:r w:rsidRPr="009D7677">
        <w:rPr>
          <w:i/>
        </w:rPr>
        <w:t>Tutela judicial efectiva de los derechos de los consumidores en materia de costas. SSTC 91/2023, de 11 de septiembre, y 96/2023, de 25 de septiembre</w:t>
      </w:r>
    </w:p>
    <w:p w14:paraId="335E7E22" w14:textId="77777777" w:rsidR="009D7677" w:rsidRDefault="009D7677" w:rsidP="009D7677">
      <w:pPr>
        <w:pStyle w:val="TextoNormal"/>
      </w:pPr>
    </w:p>
    <w:p w14:paraId="67074BCB" w14:textId="77777777" w:rsidR="009D7677" w:rsidRDefault="009D7677" w:rsidP="009D7677">
      <w:pPr>
        <w:pStyle w:val="TextoNormal"/>
      </w:pPr>
      <w:r>
        <w:t>Como acertadamente expone el fiscal en su escrito de alegaciones, la cuestión suscitada en la presente demanda de amparo es similar a la planteada en los recursos de amparo que fueron estimados por este tribunal en las SSTC 91/2023 y 96/2023, en las que se apreció la vulneración del derecho a la tutela judicial efectiva porque las resoluciones judiciales impugnadas, ignorando el principio de efectividad del Derecho de la Unión Europea, denegaron la imposición de costas a la entidad ejecutante en procesos de ejecución hipotecaria en los que se declaró por el órgano judicial el carácter abusivo y nulo de cláusulas del contrato del que trae causa la ejecución.</w:t>
      </w:r>
    </w:p>
    <w:p w14:paraId="22D8F8AA" w14:textId="77777777" w:rsidR="009D7677" w:rsidRDefault="009D7677" w:rsidP="009D7677">
      <w:pPr>
        <w:pStyle w:val="TextoNormal"/>
      </w:pPr>
    </w:p>
    <w:p w14:paraId="1D8337C9" w14:textId="77777777" w:rsidR="009D7677" w:rsidRDefault="009D7677" w:rsidP="009D7677">
      <w:pPr>
        <w:pStyle w:val="TextoNormal"/>
      </w:pPr>
      <w:r>
        <w:t>De manera semejante a aquellos casos, en el presente caso se trata de examinar si se ha vulnerado el derecho fundamental del recurrente a la tutela judicial efectiva (art. 24.1 CE), en cuanto comprende el de obtener una resolución fundada en Derecho sobre las pretensiones deducidas en el litigio, como consecuencia de unos pronunciamientos judiciales que deniegan la imposición de las costas procesales a la entidad bancaria ejecutante en un proceso de ejecución hipotecaria que ha concluido en sobreseimiento y archivo, tras la apreciación por el órgano judicial de primera instancia del carácter abusivo de la cláusula del contrato de préstamo que autorizaba su vencimiento anticipado, estimando la oposición a la ejecución del ahora recurrente en amparo.</w:t>
      </w:r>
    </w:p>
    <w:p w14:paraId="6D10498D" w14:textId="77777777" w:rsidR="009D7677" w:rsidRDefault="009D7677" w:rsidP="009D7677">
      <w:pPr>
        <w:pStyle w:val="TextoNormal"/>
      </w:pPr>
    </w:p>
    <w:p w14:paraId="769BBAEB" w14:textId="77777777" w:rsidR="009D7677" w:rsidRDefault="009D7677" w:rsidP="009D7677">
      <w:pPr>
        <w:pStyle w:val="TextoNormal"/>
      </w:pPr>
      <w:r>
        <w:t>En la STC 96/2023, FJ 2, que reitera la doctrina sentada en la STC 91/2023, FJ 4, tras reproducir lo dispuesto en los arts. 6.1 y 7.1 de la Directiva 93/13/CEE, del Consejo, de 5 de abril de 1993, sobre las cláusulas abusivas en los contratos celebrados con consumidores, y después de destacar que estos preceptos cobran relevancia a la hora de enjuiciar la consistencia de las resoluciones judiciales que se pronuncian sobre el reparto de los gastos procesales, el tribunal declara que incurre en manifiesta falta de razonabilidad, y consecuentemente en incumplimiento de las exigencias de motivación que impone el art. 24.1 CE, la resolución judicial que sobresee un procedimiento de ejecución hipotecaria tras declarar nulas por abusivas determinadas cláusulas del contrato subyacente, sin imponer las costas del procedimiento a la parte ejecutante por la existencia de dudas de derecho sobre la licitud de las cláusulas controvertidas.</w:t>
      </w:r>
    </w:p>
    <w:p w14:paraId="7F3782E0" w14:textId="77777777" w:rsidR="009D7677" w:rsidRDefault="009D7677" w:rsidP="009D7677">
      <w:pPr>
        <w:pStyle w:val="TextoNormal"/>
      </w:pPr>
    </w:p>
    <w:p w14:paraId="47934450" w14:textId="76EA3FEA" w:rsidR="009D7677" w:rsidRDefault="009D7677" w:rsidP="009D7677">
      <w:pPr>
        <w:pStyle w:val="TextoNormal"/>
      </w:pPr>
      <w:r>
        <w:t xml:space="preserve">Para alcanzar esa conclusión este tribunal tuvo en cuenta que el Tribunal de Justicia de la Unión Europea, interpretando la referida Directiva, ha considerado el efecto disuasor que pueden tener sobre los consumidores los costes del proceso judicial en el que hagan valer su derecho a no verse vinculados a cláusulas abusivas (sentencias de 13 de septiembre de 2018, asunto </w:t>
      </w:r>
      <w:r w:rsidRPr="009D7677">
        <w:rPr>
          <w:i/>
        </w:rPr>
        <w:t>Profi Credit Polska</w:t>
      </w:r>
      <w:r>
        <w:t xml:space="preserve">, C-176/17; de 16 de julio de 2020, asuntos acumulados </w:t>
      </w:r>
      <w:r w:rsidRPr="009D7677">
        <w:rPr>
          <w:i/>
        </w:rPr>
        <w:t>CY c. Caixabank, S.A</w:t>
      </w:r>
      <w:r>
        <w:t xml:space="preserve">., y </w:t>
      </w:r>
      <w:r w:rsidRPr="009D7677">
        <w:rPr>
          <w:i/>
        </w:rPr>
        <w:t>LG y PK c. Banco Bilbao Vizcaya Argentaria, S. A</w:t>
      </w:r>
      <w:r>
        <w:t xml:space="preserve">., C 224/19 y C 259/19; de 7 de abril de 2022, asunto </w:t>
      </w:r>
      <w:r w:rsidRPr="009D7677">
        <w:rPr>
          <w:i/>
        </w:rPr>
        <w:t>EL, TP c. Caixabank, S.A</w:t>
      </w:r>
      <w:r>
        <w:t xml:space="preserve">., C 385/20, y de 13 de julio de 2023, asunto </w:t>
      </w:r>
      <w:r w:rsidRPr="009D7677">
        <w:rPr>
          <w:i/>
        </w:rPr>
        <w:t>Cajasur Banco, S.A</w:t>
      </w:r>
      <w:r>
        <w:t xml:space="preserve">., C-35/22, entre otras). Y recordó a tal efecto, con cita de la doctrina contenida en SSTC 232/2015, de 5 de noviembre, FJ 5, y </w:t>
      </w:r>
      <w:r>
        <w:lastRenderedPageBreak/>
        <w:t>31/2019, de 28 de febrero, FJ 4, que al Tribunal Constitucional le corresponde velar por el respeto del principio de primacía del Derecho de la Unión Europea cuando exista una interpretación auténtica efectuada por el Tribunal de Justicia de la Unión Europea, por lo que el desconocimiento y preterición por un órgano judicial de una norma europea, tal y como ha sido interpretada por el Tribunal de Justicia, puede suponer una selección irrazonable y arbitraria de una norma aplicable al proceso, que da lugar a la vulneración del derecho a la tutela judicial efectiva.</w:t>
      </w:r>
    </w:p>
    <w:p w14:paraId="6BC7C139" w14:textId="77777777" w:rsidR="009D7677" w:rsidRDefault="009D7677" w:rsidP="009D7677">
      <w:pPr>
        <w:pStyle w:val="TextoNormal"/>
      </w:pPr>
    </w:p>
    <w:p w14:paraId="0DF438D6" w14:textId="77777777" w:rsidR="009D7677" w:rsidRDefault="009D7677" w:rsidP="009D7677">
      <w:pPr>
        <w:pStyle w:val="TextoNormal"/>
      </w:pPr>
      <w:r w:rsidRPr="009D7677">
        <w:rPr>
          <w:rStyle w:val="NumeroAFNegritaCaracter"/>
        </w:rPr>
        <w:t>3</w:t>
      </w:r>
      <w:r>
        <w:t xml:space="preserve">. </w:t>
      </w:r>
      <w:r w:rsidRPr="009D7677">
        <w:rPr>
          <w:i/>
        </w:rPr>
        <w:t>Aplicación de la doctrina al caso. Estimación del recurso de amparo</w:t>
      </w:r>
    </w:p>
    <w:p w14:paraId="27BA9585" w14:textId="77777777" w:rsidR="009D7677" w:rsidRDefault="009D7677" w:rsidP="009D7677">
      <w:pPr>
        <w:pStyle w:val="TextoNormal"/>
      </w:pPr>
    </w:p>
    <w:p w14:paraId="578BA834" w14:textId="77777777" w:rsidR="009D7677" w:rsidRDefault="009D7677" w:rsidP="009D7677">
      <w:pPr>
        <w:pStyle w:val="TextoNormal"/>
      </w:pPr>
      <w:r>
        <w:t>La aplicación de la referida doctrina constitucional al presente caso conduce a la estimación de la pretensión de amparo, dado que la respuesta judicial recibida por el recurrente en materia de costas procesales no satisface las exigencias del derecho a la tutela judicial efectiva (art. 24.1 CE), que integra, como una de sus manifestaciones, la de obtener de los jueces y tribunales una resolución fundada en Derecho sobre el fondo de las pretensiones oportunamente deducidas por las partes en el proceso.</w:t>
      </w:r>
    </w:p>
    <w:p w14:paraId="30EEBC46" w14:textId="77777777" w:rsidR="009D7677" w:rsidRDefault="009D7677" w:rsidP="009D7677">
      <w:pPr>
        <w:pStyle w:val="TextoNormal"/>
      </w:pPr>
    </w:p>
    <w:p w14:paraId="40B48C29" w14:textId="77777777" w:rsidR="009D7677" w:rsidRDefault="009D7677" w:rsidP="009D7677">
      <w:pPr>
        <w:pStyle w:val="TextoNormal"/>
      </w:pPr>
      <w:r>
        <w:t>Como ya hemos indicado, es objeto de impugnación en el presente recurso de amparo el auto de la Sección Séptima de la Audiencia Provincial de Valencia de 27 de octubre de 2021, que confirmó en apelación el dictado el 28 de octubre de 2020 por el Juzgado de Primera Instancia núm. 21 de Valencia, que acordó el sobreseimiento y archivo del procedimiento de ejecución hipotecaria núm. núm. 611-2014, en el extremo referido a la negativa a condenar en costas a la entidad financiera ejecutante, único punto al que refería la apelación del recurrente. El juzgado consideró que no procedía la condena en costas a la entidad ejecutante porque la declaración del carácter abusivo y la consiguiente nulidad de la cláusula contractual de vencimiento anticipado, que condujo al sobreseimiento y archivo del procedimiento, obedecía a un cambio de criterio reciente en la jurisprudencia del Tribunal Supremo.</w:t>
      </w:r>
    </w:p>
    <w:p w14:paraId="4DA80993" w14:textId="77777777" w:rsidR="009D7677" w:rsidRDefault="009D7677" w:rsidP="009D7677">
      <w:pPr>
        <w:pStyle w:val="TextoNormal"/>
      </w:pPr>
    </w:p>
    <w:p w14:paraId="5961688E" w14:textId="77777777" w:rsidR="009D7677" w:rsidRDefault="009D7677" w:rsidP="009D7677">
      <w:pPr>
        <w:pStyle w:val="TextoNormal"/>
      </w:pPr>
      <w:r>
        <w:t>El recurrente apeló este auto del juzgado exclusivamente en lo relativo al pronunciamiento sobre las costas, por entender que no procedía aplicar ninguna de las excepciones al principio de vencimiento objetivo, por cuanto el cambio de criterio jurisprudencial sobre el carácter abusivo de la cláusula de vencimiento anticipado, que da lugar al archivo de la ejecución, no es reciente, sino consolidado (citaba las sentencias de la Sala de lo Civil del Tribunal Supremo 419/2017, de 4 de julio, y 472/2020, de 17 de septiembre), y la entidad bancaria ejecutante lo conocía perfectamente. El recurrente sostenía también que, en atención a la jurisprudencia del Tribunal de Justicia de la Unión Europea en relación con los arts. 6.1 y 7.1 de la Directiva 93/13/CEE (citaba la sentencia de 16 de julio de 2020) y a la jurisprudencia del propio Tribunal Supremo, no procede aplicar en materia de consumidores la excepción al criterio general del vencimiento objetivo a la que se refiere el art. 394.1 LEC (existencia de serias dudas de hecho o de derecho), pues si el consumidor, pese a vencer en el litigio, tuviera que sufragar los gastos derivados de su defensa y representación, no se garantizaría la total indemnidad del consumidor, exigida por los arts. 8.1 b) y c) y 83 del texto refundido de la Ley de consumidores y usuarios.</w:t>
      </w:r>
    </w:p>
    <w:p w14:paraId="36752EBA" w14:textId="77777777" w:rsidR="009D7677" w:rsidRDefault="009D7677" w:rsidP="009D7677">
      <w:pPr>
        <w:pStyle w:val="TextoNormal"/>
      </w:pPr>
    </w:p>
    <w:p w14:paraId="400B3B8F" w14:textId="77777777" w:rsidR="009D7677" w:rsidRDefault="009D7677" w:rsidP="009D7677">
      <w:pPr>
        <w:pStyle w:val="TextoNormal"/>
      </w:pPr>
      <w:r>
        <w:t xml:space="preserve">La Audiencia Provincial de Valencia desestimó el recurso de apelación razonando “que en el presente caso nos hallamos ante un incidente extraordinario, que se ha regulado recientemente, en la Ley 5/2019, de 15 de marzo, y que, por tanto, no existía cuando la parte </w:t>
      </w:r>
      <w:r>
        <w:lastRenderedPageBreak/>
        <w:t>instó la ejecución hipotecaria en el año 2014”; por lo que, “atendiendo a estas características, al tiempo transcurrido desde que se inició el procedimiento de ejecución hipotecaria (2014), así como a las modificaciones legislativas acontecidas desde entonces”, se considera “plenamente acertado el criterio que sustenta el juzgador de instancia y, por tanto, debe confirmarse el pronunciamiento relativo al pago de las costas”. Al desestimar el incidente de nulidad promovido por el recurrente contra el auto resolutorio de la apelación, la Audiencia Provincial de Valencia rechazó que existiese vulneración de ninguno de los derechos fundamentales invocados, insistiendo en que “ha confirmado la resolución de instancia en la que se hace uso de la facultad de apreciar serias dudas de hecho y de derecho y, posteriormente, a no condenar al pago de las costas pese a desestimarse un recurso, todo ello en el seno del incidente extraordinario introducido por la disposición transitoria tercera de la Ley 5/2019 y que se refiere a una ejecución hipotecaria que se inició en el año 2014”.</w:t>
      </w:r>
    </w:p>
    <w:p w14:paraId="242A84D6" w14:textId="77777777" w:rsidR="009D7677" w:rsidRDefault="009D7677" w:rsidP="009D7677">
      <w:pPr>
        <w:pStyle w:val="TextoNormal"/>
      </w:pPr>
    </w:p>
    <w:p w14:paraId="4569A36D" w14:textId="77777777" w:rsidR="009D7677" w:rsidRDefault="009D7677" w:rsidP="009D7677">
      <w:pPr>
        <w:pStyle w:val="TextoNormal"/>
      </w:pPr>
      <w:r>
        <w:t>Pues bien, a la vista de la doctrina constitucional citada, hemos de concluir que los autos de la Audiencia Provincial de Valencia vulneraron el derecho a la tutela judicial efectiva sin indefensión del demandante de amparo (art. 24.1 CE), por incurrir en selección irrazonable y arbitraria de la norma aplicable al proceso “que redunda en entorpecimiento injustificado del derecho de los consumidores a obtener un pronunciamiento judicial que les desvincule de la cláusula abusiva y les restituya a su prístina situación fáctica y jurídica” (STC 96/2023, FJ 3).</w:t>
      </w:r>
    </w:p>
    <w:p w14:paraId="6547195B" w14:textId="77777777" w:rsidR="009D7677" w:rsidRDefault="009D7677" w:rsidP="009D7677">
      <w:pPr>
        <w:pStyle w:val="TextoNormal"/>
      </w:pPr>
    </w:p>
    <w:p w14:paraId="158684FC" w14:textId="77777777" w:rsidR="009D7677" w:rsidRDefault="009D7677" w:rsidP="009D7677">
      <w:pPr>
        <w:pStyle w:val="TextoNormal"/>
      </w:pPr>
      <w:r>
        <w:t>Los autos impugnados confirman la decisión del juzgador de instancia de no imponer las costas a la entidad bancaria ejecutante, pese a resultar vencida en el incidente extraordinario de oposición a la ejecución hipotecaria, con el único fundamento de que ese incidente, que fue introducido por la Ley 5/2019, de 15 de marzo, no existía cuando la entidad bancaria instó la ejecución en el año 2014.</w:t>
      </w:r>
    </w:p>
    <w:p w14:paraId="2D778755" w14:textId="77777777" w:rsidR="009D7677" w:rsidRDefault="009D7677" w:rsidP="009D7677">
      <w:pPr>
        <w:pStyle w:val="TextoNormal"/>
      </w:pPr>
    </w:p>
    <w:p w14:paraId="2B6747B6" w14:textId="77777777" w:rsidR="009D7677" w:rsidRDefault="009D7677" w:rsidP="009D7677">
      <w:pPr>
        <w:pStyle w:val="TextoNormal"/>
      </w:pPr>
      <w:r>
        <w:t xml:space="preserve">Ninguna consideración se hace por la Audiencia Provincial de Valencia a las exigencias de naturaleza procesal que derivan de la vigencia y aplicación de los arts. 6.1 y 7.1 de la Directiva 93/13/CEE, traída a colación por el recurrente en su recurso de apelación (y reiterada en el incidente de nulidad de actuaciones) en el que, entre otras razones, adujo la necesidad de preservar el efecto disuasorio que debe ejercer la condena en costas a quien ha utilizado una cláusula abusiva para fundamentar un procedimiento de ejecución hipotecaria, conforme a la sentencia del Tribunal de Justicia de la Unión Europea de 16 de julio de 2020, asuntos acumulados </w:t>
      </w:r>
      <w:r w:rsidRPr="009D7677">
        <w:rPr>
          <w:i/>
        </w:rPr>
        <w:t>CY c. Caixabank, S.A</w:t>
      </w:r>
      <w:r>
        <w:t xml:space="preserve">., y </w:t>
      </w:r>
      <w:r w:rsidRPr="009D7677">
        <w:rPr>
          <w:i/>
        </w:rPr>
        <w:t>LG y PK c. Banco Bilbao Vizcaya Argentaria, S. A</w:t>
      </w:r>
      <w:r>
        <w:t>., C 224/19 y C 259/19. Como señala el Ministerio Fiscal en sus alegaciones, el órgano judicial solo aplicó la norma nacional (arts. 394.1 y 398 LEC), sin tener en cuenta lo dispuesto en los arts. 6.1 y 7.1 de la Directiva 93/13/CEE, conforme a la interpretación sentada por el Tribunal de Justicia de la Unión Europea, pese a que le fue alegado por el recurrente en la apelación y en el posterior incidente de nulidad, desconociendo por tanto los principios de primacía y de efectividad del Derecho comunitario.</w:t>
      </w:r>
    </w:p>
    <w:p w14:paraId="39E08AAD" w14:textId="77777777" w:rsidR="009D7677" w:rsidRDefault="009D7677" w:rsidP="009D7677">
      <w:pPr>
        <w:pStyle w:val="TextoNormal"/>
      </w:pPr>
    </w:p>
    <w:p w14:paraId="13FDF033" w14:textId="77777777" w:rsidR="009D7677" w:rsidRDefault="009D7677" w:rsidP="009D7677">
      <w:pPr>
        <w:pStyle w:val="TextoNormal"/>
      </w:pPr>
      <w:r>
        <w:t xml:space="preserve">Nos encontramos, en definitiva, ante una selección e interpretación de las normas aplicables en materia de costas procesales que no satisface las exigencias de motivación judicial fijadas en las SSTC 91/2023 y 96/2023, pronunciamientos en los que concluimos, por las razones expresadas en el fundamento precedente de esta sentencia, que a aquellas se remite, que imponer al consumidor la carga de asumir el pago de una parte de las costas </w:t>
      </w:r>
      <w:r>
        <w:lastRenderedPageBreak/>
        <w:t>procesales en un procedimiento de ejecución hipotecaria tras la declaración de nulidad de una cláusula contractual por tener carácter abusivo, infringe el principio de efectividad del Derecho comunitario en materia de protección de consumidores (art. 6.1 de la Directiva 93/13/CEE), al tiempo que tergiversa el principio de disuasión de los profesionales en cuanto al uso de dichas cláusulas (art. 7.1 de la Directiva 93/13/CEE), al generar un efecto disuasorio inverso que perjudica al consumidor. Se trata, por otra parte, de criterios que ya habían sido incorporados a la jurisprudencia de la Sala de lo Civil del Tribunal Supremo (sentencias 419/2017, de 4 de julio, y 472/2020, de 17 de julio), en fecha anterior al pronunciamiento de las resoluciones judiciales impugnadas, y de los que la Audiencia Provincial de Valencia se aparta sin justificación.</w:t>
      </w:r>
    </w:p>
    <w:p w14:paraId="33295F00" w14:textId="77777777" w:rsidR="009D7677" w:rsidRDefault="009D7677" w:rsidP="009D7677">
      <w:pPr>
        <w:pStyle w:val="TextoNormal"/>
      </w:pPr>
    </w:p>
    <w:p w14:paraId="3B991590" w14:textId="57567977" w:rsidR="009D7677" w:rsidRDefault="009D7677" w:rsidP="009D7677">
      <w:pPr>
        <w:pStyle w:val="TextoNormal"/>
      </w:pPr>
      <w:r>
        <w:t>Procede, en consecuencia, otorgar al recurrente el amparo solicitado, que comporta en este caso la nulidad del auto de 27 de octubre de 2021, dictado en apelación por la Sección Séptima de la Audiencia Provincial de Valencia, así como del auto de 17 de diciembre de 2021, que desestima el incidente de nulidad promovido contra el anterior, para que dicho órgano judicial dicte una nueva resolución, en lo referente al pronunciamiento en materia de costas, respetuosa con el derecho a la tutela judicial efectiva sin indefensión.</w:t>
      </w:r>
    </w:p>
    <w:p w14:paraId="36630173" w14:textId="77777777" w:rsidR="009D7677" w:rsidRDefault="009D7677" w:rsidP="009D7677">
      <w:pPr>
        <w:pStyle w:val="TextoNormal"/>
      </w:pPr>
    </w:p>
    <w:p w14:paraId="7EA11146" w14:textId="77777777" w:rsidR="009D7677" w:rsidRDefault="009D7677" w:rsidP="009D7677">
      <w:pPr>
        <w:pStyle w:val="TextoNormalCentrado"/>
        <w:keepNext/>
      </w:pPr>
      <w:r>
        <w:t>FALLO</w:t>
      </w:r>
    </w:p>
    <w:p w14:paraId="7721A3A3" w14:textId="608F9056" w:rsidR="009D7677" w:rsidRDefault="009D7677" w:rsidP="009D7677">
      <w:pPr>
        <w:pStyle w:val="TextoNormalCentrado"/>
        <w:keepNext/>
      </w:pPr>
    </w:p>
    <w:p w14:paraId="426FEA77" w14:textId="77777777" w:rsidR="009D7677" w:rsidRDefault="009D7677" w:rsidP="009D7677">
      <w:pPr>
        <w:pStyle w:val="TextoNormal"/>
      </w:pPr>
      <w:r>
        <w:t>En atención a todo lo expuesto, el Tribunal Constitucional, por la autoridad que le confiere la Constitución de la Nación española, ha decidido estimar el recurso de amparo interpuesto por don Antonio Blasco Muñoz y, en su virtud:</w:t>
      </w:r>
    </w:p>
    <w:p w14:paraId="636B0A3A" w14:textId="77777777" w:rsidR="009D7677" w:rsidRDefault="009D7677" w:rsidP="009D7677">
      <w:pPr>
        <w:pStyle w:val="TextoNormal"/>
      </w:pPr>
    </w:p>
    <w:p w14:paraId="5B728A51" w14:textId="77777777" w:rsidR="009D7677" w:rsidRDefault="009D7677" w:rsidP="009D7677">
      <w:pPr>
        <w:pStyle w:val="TextoNormal"/>
      </w:pPr>
      <w:r>
        <w:t>1º Declarar que ha sido vulnerado su derecho fundamental a la tutela judicial efectiva sin indefensión (art. 24.1 CE).</w:t>
      </w:r>
    </w:p>
    <w:p w14:paraId="7F2F7B57" w14:textId="77777777" w:rsidR="009D7677" w:rsidRDefault="009D7677" w:rsidP="009D7677">
      <w:pPr>
        <w:pStyle w:val="TextoNormal"/>
      </w:pPr>
    </w:p>
    <w:p w14:paraId="74BA5BE0" w14:textId="77777777" w:rsidR="009D7677" w:rsidRDefault="009D7677" w:rsidP="009D7677">
      <w:pPr>
        <w:pStyle w:val="TextoNormal"/>
      </w:pPr>
      <w:r>
        <w:t>2º Restablecerle en su derecho y, en consecuencia, declarar la nulidad de los autos de la Sección Séptima de la Audiencia Provincial de Valencia de 27 de octubre y 17 de diciembre de 2021, dictados en el recurso de apelación núm. 165-2021.</w:t>
      </w:r>
    </w:p>
    <w:p w14:paraId="044AF41C" w14:textId="77777777" w:rsidR="009D7677" w:rsidRDefault="009D7677" w:rsidP="009D7677">
      <w:pPr>
        <w:pStyle w:val="TextoNormal"/>
      </w:pPr>
    </w:p>
    <w:p w14:paraId="42EF6070" w14:textId="31532D5A" w:rsidR="009D7677" w:rsidRDefault="009D7677" w:rsidP="009D7677">
      <w:pPr>
        <w:pStyle w:val="TextoNormal"/>
      </w:pPr>
      <w:r>
        <w:t>3º Retrotraer las actuaciones al momento inmediatamente anterior al pronunciamiento de la primera de las referidas resoluciones, para que el órgano judicial dicte una nueva respetuosa con el derecho fundamental vulnerado.</w:t>
      </w:r>
    </w:p>
    <w:p w14:paraId="0F8868C4" w14:textId="77777777" w:rsidR="009D7677" w:rsidRDefault="009D7677" w:rsidP="009D7677">
      <w:pPr>
        <w:pStyle w:val="TextoNormal"/>
      </w:pPr>
    </w:p>
    <w:p w14:paraId="3D9FB633" w14:textId="77777777" w:rsidR="009D7677" w:rsidRDefault="009D7677" w:rsidP="009D7677">
      <w:pPr>
        <w:pStyle w:val="TextoNormal"/>
      </w:pPr>
      <w:r>
        <w:t>Publíquese esta sentencia en el “Boletín Oficial del Estado”.</w:t>
      </w:r>
    </w:p>
    <w:p w14:paraId="0E783CB1" w14:textId="77777777" w:rsidR="009D7677" w:rsidRDefault="009D7677" w:rsidP="009D7677">
      <w:pPr>
        <w:pStyle w:val="TextoNormal"/>
      </w:pPr>
      <w:r>
        <w:t>Dada en Madrid, a ocho de abril de dos mil veinticuatro.</w:t>
      </w:r>
    </w:p>
    <w:p w14:paraId="2F31B95D" w14:textId="21A0F0D7" w:rsidR="009D7677" w:rsidRDefault="009D7677">
      <w:pPr>
        <w:spacing w:after="160" w:line="259" w:lineRule="auto"/>
        <w:rPr>
          <w:rFonts w:ascii="Times New Roman" w:eastAsia="Times New Roman" w:hAnsi="Times New Roman" w:cs="Times New Roman"/>
          <w:sz w:val="24"/>
          <w:szCs w:val="24"/>
          <w:lang w:eastAsia="es-ES"/>
        </w:rPr>
      </w:pPr>
      <w:r>
        <w:br w:type="page"/>
      </w:r>
    </w:p>
    <w:p w14:paraId="44458F6B" w14:textId="77777777" w:rsidR="009D7677" w:rsidRDefault="009D7677" w:rsidP="009D7677">
      <w:pPr>
        <w:pStyle w:val="TtuloResolucin"/>
      </w:pPr>
      <w:bookmarkStart w:id="57" w:name="SENTENCIA_2024_55"/>
      <w:r>
        <w:lastRenderedPageBreak/>
        <w:t>SENTENCIA 55/2024, de 8 de abril de 2024</w:t>
      </w:r>
    </w:p>
    <w:bookmarkEnd w:id="57"/>
    <w:p w14:paraId="477426AE" w14:textId="77777777" w:rsidR="009D7677" w:rsidRDefault="009D7677" w:rsidP="009D7677">
      <w:pPr>
        <w:pStyle w:val="TtuloResolucin"/>
      </w:pPr>
      <w:r>
        <w:t>Sala Segunda</w:t>
      </w:r>
    </w:p>
    <w:p w14:paraId="4ABB0E2C" w14:textId="77777777" w:rsidR="009D7677" w:rsidRDefault="009D7677" w:rsidP="009D7677">
      <w:pPr>
        <w:pStyle w:val="TtuloBOE"/>
      </w:pPr>
      <w:r>
        <w:t>(BOE núm. 118, de 15 de mayo de 2024)</w:t>
      </w:r>
    </w:p>
    <w:p w14:paraId="10802E9D" w14:textId="77777777" w:rsidR="009D7677" w:rsidRDefault="009D7677" w:rsidP="009D7677">
      <w:pPr>
        <w:pStyle w:val="TextoNormalCentrado"/>
      </w:pPr>
      <w:r>
        <w:t>ECLI:ES:TC:2024:55</w:t>
      </w:r>
    </w:p>
    <w:p w14:paraId="0E334470" w14:textId="5FD52F30" w:rsidR="009D7677" w:rsidRDefault="009D7677" w:rsidP="009D7677">
      <w:pPr>
        <w:pStyle w:val="TextoNormalCentrado"/>
      </w:pPr>
    </w:p>
    <w:p w14:paraId="7F7E4ED9" w14:textId="77777777" w:rsidR="009D7677" w:rsidRDefault="009D7677" w:rsidP="009D7677">
      <w:pPr>
        <w:pStyle w:val="SntesisDescriptiva"/>
      </w:pPr>
      <w:r>
        <w:t>Recurso de amparo 6222-2022. Promovido por don José Luis Fernández-Castañón y de Amores en relación con las resoluciones dictadas por un juzgado de primera instancia e instrucción de Dos Hermanas (Sevilla) en procedimiento de ejecución.</w:t>
      </w:r>
    </w:p>
    <w:p w14:paraId="5E72FE1A" w14:textId="7C8B1A56" w:rsidR="009D7677" w:rsidRDefault="009D7677" w:rsidP="009D7677">
      <w:pPr>
        <w:pStyle w:val="SntesisDescriptiva"/>
      </w:pPr>
    </w:p>
    <w:p w14:paraId="00B50D11" w14:textId="77777777" w:rsidR="009D7677" w:rsidRDefault="009D7677" w:rsidP="009D7677">
      <w:pPr>
        <w:pStyle w:val="SntesisAnaltica"/>
      </w:pPr>
      <w:r>
        <w:t>Vulneración del derecho a la tutela judicial efectiva (acceso al recurso): inadmisión de un recurso de revisión por falta de consignación en plazo del depósito, ignorando el carácter subsanable del defecto padecido (STC 203/2012).</w:t>
      </w:r>
    </w:p>
    <w:p w14:paraId="4C61A064" w14:textId="5852EF59" w:rsidR="009D7677" w:rsidRDefault="009D7677" w:rsidP="009D7677">
      <w:pPr>
        <w:pStyle w:val="SntesisAnaltica"/>
      </w:pPr>
    </w:p>
    <w:p w14:paraId="1089728B" w14:textId="10F9E553" w:rsidR="009D7677" w:rsidRDefault="009D7677" w:rsidP="009D7677">
      <w:pPr>
        <w:pStyle w:val="Extracto"/>
      </w:pPr>
      <w:r>
        <w:t>1.</w:t>
      </w:r>
      <w:r>
        <w:tab/>
        <w:t>Se considera contrario al derecho fundamental a la tutela judicial efectiva (art. 24.1 CE), el no permitir la subsanación de la falta de constitución de los depósitos para recurrir resoluciones civiles, excepto que la norma legal que lo contempla excluya expresamente dicha posibilidad (SSTC 217/2002 y 197/2005); y este criterio ha de seguirse también con respecto al depósito de la disposición adicional decimoquinta LOPJ, que se configura como un requisito de inexcusable cumplimiento, sin el cual la parte no tendrá derecho a que el procedimiento impugnatorio se sustancie en todas sus fases y, en todo caso, a que se resuelva en el fondo (SSTC 203/2012 y 73/2013) [FJ 3].</w:t>
      </w:r>
    </w:p>
    <w:p w14:paraId="5D06276A" w14:textId="77777777" w:rsidR="009D7677" w:rsidRDefault="009D7677" w:rsidP="009D7677">
      <w:pPr>
        <w:pStyle w:val="Extracto"/>
      </w:pPr>
    </w:p>
    <w:p w14:paraId="6A5661DC" w14:textId="5E47AD93" w:rsidR="009D7677" w:rsidRDefault="009D7677" w:rsidP="009D7677">
      <w:pPr>
        <w:pStyle w:val="Extracto"/>
      </w:pPr>
      <w:r>
        <w:t>2.</w:t>
      </w:r>
      <w:r>
        <w:tab/>
        <w:t>La ley no pretende que la exigencia del depósito acabe erigiéndose en un obstáculo excesivo al ejercicio del derecho a la tutela jurisdiccional (art. 24.1 CE). De modo que la disposición adicional decimoquinta LOPJ obliga al órgano judicial, antes de decretar la inadmisión a trámite del recurso a la parte recurrente que hubiere incurrido en defecto, omisión o error en la constitución del depósito, a garantizar la apertura de un plazo de dos días para la subsanación del defecto, con aportación en su caso de documentación; y sólo en caso de que la parte incumpla ese requerimiento se dictará auto que ponga fin al trámite del recurso [FJ 3].</w:t>
      </w:r>
    </w:p>
    <w:p w14:paraId="2B410A81" w14:textId="77777777" w:rsidR="009D7677" w:rsidRDefault="009D7677" w:rsidP="009D7677">
      <w:pPr>
        <w:pStyle w:val="Extracto"/>
      </w:pPr>
    </w:p>
    <w:p w14:paraId="29598685" w14:textId="77777777" w:rsidR="009D7677" w:rsidRDefault="009D7677" w:rsidP="009D7677">
      <w:pPr>
        <w:pStyle w:val="Extracto"/>
      </w:pPr>
    </w:p>
    <w:p w14:paraId="4BDF24AA" w14:textId="77777777" w:rsidR="009D7677" w:rsidRDefault="009D7677" w:rsidP="009D7677">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57A26ABA" w14:textId="52A62B7C" w:rsidR="009D7677" w:rsidRDefault="009D7677" w:rsidP="009D7677">
      <w:pPr>
        <w:pStyle w:val="TextoNormal"/>
      </w:pPr>
    </w:p>
    <w:p w14:paraId="1377025F" w14:textId="77777777" w:rsidR="009D7677" w:rsidRDefault="009D7677" w:rsidP="009D7677">
      <w:pPr>
        <w:pStyle w:val="TextoNormalCentrado"/>
        <w:keepNext/>
      </w:pPr>
      <w:r>
        <w:t>EN NOMBRE DEL REY</w:t>
      </w:r>
    </w:p>
    <w:p w14:paraId="24E4BA33" w14:textId="75C7F7B6" w:rsidR="009D7677" w:rsidRDefault="009D7677" w:rsidP="009D7677">
      <w:pPr>
        <w:pStyle w:val="TextoNormalCentrado"/>
        <w:keepNext/>
      </w:pPr>
    </w:p>
    <w:p w14:paraId="1848CA99" w14:textId="77777777" w:rsidR="009D7677" w:rsidRDefault="009D7677" w:rsidP="009D7677">
      <w:pPr>
        <w:pStyle w:val="TextoNormalCentrado"/>
        <w:keepNext/>
      </w:pPr>
    </w:p>
    <w:p w14:paraId="18A60717" w14:textId="77777777" w:rsidR="009D7677" w:rsidRDefault="009D7677" w:rsidP="009D7677">
      <w:pPr>
        <w:pStyle w:val="TextoNormal"/>
      </w:pPr>
      <w:r>
        <w:t>la siguiente</w:t>
      </w:r>
    </w:p>
    <w:p w14:paraId="4EA78E52" w14:textId="0D0BCC37" w:rsidR="009D7677" w:rsidRDefault="009D7677" w:rsidP="009D7677">
      <w:pPr>
        <w:pStyle w:val="TextoNormal"/>
      </w:pPr>
    </w:p>
    <w:p w14:paraId="4925056F" w14:textId="77777777" w:rsidR="009D7677" w:rsidRDefault="009D7677" w:rsidP="009D7677">
      <w:pPr>
        <w:pStyle w:val="TextoNormalCentrado"/>
        <w:keepNext/>
      </w:pPr>
      <w:r>
        <w:lastRenderedPageBreak/>
        <w:t>SENTENCIA</w:t>
      </w:r>
    </w:p>
    <w:p w14:paraId="3D07DBEE" w14:textId="718CFF24" w:rsidR="009D7677" w:rsidRDefault="009D7677" w:rsidP="009D7677">
      <w:pPr>
        <w:pStyle w:val="TextoNormalCentrado"/>
        <w:keepNext/>
      </w:pPr>
    </w:p>
    <w:p w14:paraId="38AC9EAF" w14:textId="77777777" w:rsidR="009D7677" w:rsidRDefault="009D7677" w:rsidP="009D7677">
      <w:pPr>
        <w:pStyle w:val="TextoNormal"/>
      </w:pPr>
      <w:r>
        <w:t>En el recurso de amparo núm. 6222-2022, interpuesto por el procurador de los tribunales don Ignacio José Pérez de los Santos, en nombre y representación de don José Luis Fernández-Castañón y de Amores, asistido por el abogado don Juan José Sánchez Sánchez, contra la providencia de 20 de mayo de 2022, dictada por el Juzgado de Primera Instancia e Instrucción núm. 4 de Dos Hermanas (Sevilla) en el procedimiento de ejecución provisional núm. 985-2020 por la que se inadmite el recurso de revisión planteado contra el decreto de 6 de abril de 2022, y contra el auto de 1 de julio de 2022, por el que se desestima el recurso de reposición interpuesto contra la providencia de 20 de mayo de 2022. Han comparecido doña Begoña Valcárcel Hernández, representada por la procuradora doña María Isabel Cornejo Muñoz y asistida por el abogado don Manuel Javier Fernández Ruiz, y la entidad Gesprocon 2005, S.L., representada por el procurador don Eladio García de la Borbolla y asistida por el abogado don Oscar Ignacio Arredondo Prieto. Ha intervenido el Ministerio Fiscal. Ha sido ponente la magistrada doña María Luisa Balaguer Callejón.</w:t>
      </w:r>
    </w:p>
    <w:p w14:paraId="325161A9" w14:textId="40F2AB91" w:rsidR="009D7677" w:rsidRDefault="009D7677" w:rsidP="009D7677">
      <w:pPr>
        <w:pStyle w:val="TextoNormal"/>
      </w:pPr>
    </w:p>
    <w:p w14:paraId="519A0511" w14:textId="77777777" w:rsidR="009D7677" w:rsidRDefault="009D7677" w:rsidP="009D7677">
      <w:pPr>
        <w:pStyle w:val="TextoNormalNegritaCentrado"/>
        <w:keepNext/>
      </w:pPr>
      <w:r>
        <w:t>I. Antecedentes</w:t>
      </w:r>
    </w:p>
    <w:p w14:paraId="416318E2" w14:textId="11BE6E4C" w:rsidR="009D7677" w:rsidRDefault="009D7677" w:rsidP="009D7677">
      <w:pPr>
        <w:pStyle w:val="TextoNormalNegritaCentrado"/>
        <w:keepNext/>
      </w:pPr>
    </w:p>
    <w:p w14:paraId="32E2D32D" w14:textId="42CC4362" w:rsidR="009D7677" w:rsidRDefault="009D7677" w:rsidP="009D7677">
      <w:pPr>
        <w:pStyle w:val="TextoNormal"/>
      </w:pPr>
      <w:r w:rsidRPr="009D7677">
        <w:rPr>
          <w:rStyle w:val="NumeroAFNegritaCaracter"/>
        </w:rPr>
        <w:t>1</w:t>
      </w:r>
      <w:r>
        <w:t>. Don José Luis Fernández-Castañón y de Amores interpuso recurso de amparo contra las resoluciones judiciales mencionadas en el encabezamiento mediante escrito registrado en este tribunal el 22 de septiembre de 2022.</w:t>
      </w:r>
    </w:p>
    <w:p w14:paraId="470FC370" w14:textId="77777777" w:rsidR="009D7677" w:rsidRDefault="009D7677" w:rsidP="009D7677">
      <w:pPr>
        <w:pStyle w:val="TextoNormal"/>
      </w:pPr>
    </w:p>
    <w:p w14:paraId="25963C96" w14:textId="77777777" w:rsidR="009D7677" w:rsidRDefault="009D7677" w:rsidP="009D7677">
      <w:pPr>
        <w:pStyle w:val="TextoNormal"/>
      </w:pPr>
      <w:r w:rsidRPr="009D7677">
        <w:rPr>
          <w:rStyle w:val="NumeroAFNegritaCaracter"/>
        </w:rPr>
        <w:t>2</w:t>
      </w:r>
      <w:r>
        <w:t>. Los hechos en que se fundamenta la demanda de amparo son los que seguidamente se relacionan:</w:t>
      </w:r>
    </w:p>
    <w:p w14:paraId="61D1464A" w14:textId="77777777" w:rsidR="009D7677" w:rsidRDefault="009D7677" w:rsidP="009D7677">
      <w:pPr>
        <w:pStyle w:val="TextoNormal"/>
      </w:pPr>
    </w:p>
    <w:p w14:paraId="2516CD65" w14:textId="77777777" w:rsidR="009D7677" w:rsidRDefault="009D7677" w:rsidP="009D7677">
      <w:pPr>
        <w:pStyle w:val="TextoNormal"/>
      </w:pPr>
      <w:r>
        <w:t>a) A instancias de la entidad Gesprocon 2005, S.L., se presentó demanda de procedimiento ordinario contra el ahora demandante de amparo, señor Fernández-Castañón y de Amores, instando la resolución por causa sobrevenida del contrato de compraventa relativo a la finca núm. 2169 del Registro de la Propiedad núm. 6 de Sevilla. El procedimiento se siguió en el Juzgado de Primera Instancia e Instrucción núm. 4 de Dos Hermanas (Sevilla), que desestimó la demanda por sentencia de 3 de mayo de 2018. Recurrida en apelación, la Sección Sexta de la Audiencia Provincial de Sevilla estimó el recurso y revocó la sentencia apelada, condenando al señor Fernández-Castañón y de Amores al pago a la entidad Gesprocon 2005, S.L., de la suma de un millón ciento ochenta y cuatro mil cincuenta y tres euros con veinticinco céntimos (1 184 053,25 €), más los intereses legales devengados por dicha cantidad desde la fecha del emplazamiento, así como al abono de las costas causadas en la primera instancia.</w:t>
      </w:r>
    </w:p>
    <w:p w14:paraId="7EA9A57A" w14:textId="77777777" w:rsidR="009D7677" w:rsidRDefault="009D7677" w:rsidP="009D7677">
      <w:pPr>
        <w:pStyle w:val="TextoNormal"/>
      </w:pPr>
    </w:p>
    <w:p w14:paraId="20717BA5" w14:textId="77777777" w:rsidR="009D7677" w:rsidRDefault="009D7677" w:rsidP="009D7677">
      <w:pPr>
        <w:pStyle w:val="TextoNormal"/>
      </w:pPr>
      <w:r>
        <w:t>b) La entidad Gesprocon 2005, S.L., inició el procedimiento de ejecución provisional en el Juzgado de Primera Instancia e Instrucción núm. 4 de Dos Hermanas contra el hoy demandante de amparo. Por auto de 3 de marzo de 2021, se acordó la ejecución provisional de la sentencia dictada en apelación y el despacho de la ejecución por las cantidades fijadas en concepto de principal e intereses, sin perjuicio de su ulterior liquidación.</w:t>
      </w:r>
    </w:p>
    <w:p w14:paraId="0FDC97BB" w14:textId="77777777" w:rsidR="009D7677" w:rsidRDefault="009D7677" w:rsidP="009D7677">
      <w:pPr>
        <w:pStyle w:val="TextoNormal"/>
      </w:pPr>
    </w:p>
    <w:p w14:paraId="08F1B88B" w14:textId="77777777" w:rsidR="009D7677" w:rsidRDefault="009D7677" w:rsidP="009D7677">
      <w:pPr>
        <w:pStyle w:val="TextoNormal"/>
      </w:pPr>
      <w:r>
        <w:t xml:space="preserve">En dicho procedimiento de ejecución, y en lo que al presente recurso de amparo interesa, se dictó el decreto de 6 de abril de 2022 en el que se fijaba el valor de mercado de la </w:t>
      </w:r>
      <w:r>
        <w:lastRenderedPageBreak/>
        <w:t>finca registral núm. 2169 del Registro de la Propiedad núm. 6 de Sevilla en la cuantía determinada en el informe del perito tasador nombrado al efecto. En la resolución se expresaba que contra la misma cabía recurso de revisión, que debía interponerse ante el letrado de la administración de justicia que lo había dictado. También se hacía constar expresamente que dicho recurso “deberá interponerse por escrito en el plazo de cinco días hábiles contados desde el siguiente de la notificación, con expresión de la infracción cometida a juicio del recurrente y deberá constituir y acreditar al tiempo de la interposición el depósito para recurrir de veinticinco euros, mediante su ingreso en la cuenta de consignaciones salvo que el recurrente sea: beneficiario de justicia gratuita, el Ministerio Fiscal, el Estado, comunidad autónoma, entidad local u organismo autónomo dependiente. Sin cuyos requisitos no se admitirá a trámite el recurso, y todo ello conforme a lo dispuesto en los arts. 451, 452 y concordantes de la Ley de enjuiciamiento civil y la disposición adicional decimoquinta de la Ley Orgánica del Poder Judicial (LOPJ)”.</w:t>
      </w:r>
    </w:p>
    <w:p w14:paraId="3370409B" w14:textId="77777777" w:rsidR="009D7677" w:rsidRDefault="009D7677" w:rsidP="009D7677">
      <w:pPr>
        <w:pStyle w:val="TextoNormal"/>
      </w:pPr>
    </w:p>
    <w:p w14:paraId="36A966DC" w14:textId="77777777" w:rsidR="009D7677" w:rsidRDefault="009D7677" w:rsidP="009D7677">
      <w:pPr>
        <w:pStyle w:val="TextoNormal"/>
      </w:pPr>
      <w:r>
        <w:t>c) Mediante escrito presentado el 19 de abril de 2022, la representación procesal del señor Fernández-Castañón y de Amores presentó recurso de revisión contra el anterior decreto, sin que se hiciera constar la consignación del depósito para recurrir. Por diligencia de ordenación de la letrada de la administración de justicia de 26 de abril de 2022, tras hacer constar la presentación del escrito, se acordaba su unión a los autos de su razón y se afirmaba también que “con carácter previo a admitir el recurso de revisión , requiérase al mismo para que en el término de dos días hábiles subsane la falta de consignación efectuada en la cuenta provisional de este juzgado del obligatorio depósito para recurrir regulado en la disposición adicional decimoquinta LOPJ, según Ley Orgánica 1/2009, de 3 de noviembre”. Según figura en el resguardo de ingreso, la consignación fue efectuada el 28 de abril de 2022, el mismo día de la notificación de la mencionada diligencia de ordenación.</w:t>
      </w:r>
    </w:p>
    <w:p w14:paraId="5C079151" w14:textId="77777777" w:rsidR="009D7677" w:rsidRDefault="009D7677" w:rsidP="009D7677">
      <w:pPr>
        <w:pStyle w:val="TextoNormal"/>
      </w:pPr>
    </w:p>
    <w:p w14:paraId="2D1DB714" w14:textId="77777777" w:rsidR="009D7677" w:rsidRDefault="009D7677" w:rsidP="009D7677">
      <w:pPr>
        <w:pStyle w:val="TextoNormal"/>
      </w:pPr>
      <w:r>
        <w:t>d) Por providencia de 20 de mayo de 2022, la titular del juzgado resolvió inadmitir el recurso de revisión presentado contra el decreto, considerando que la consignación del depósito para recurrir se había presentado fuera de plazo, al haberse hecho constar mediante diligencia que el recurso de revisión presentado el 19 de abril de 2022 no había sido acompañado del justificante de la constitución del depósito para recurrir, y que este había sido efectuado por la parte el 28 de abril de 2022, por tanto, extemporáneamente.</w:t>
      </w:r>
    </w:p>
    <w:p w14:paraId="2C59456F" w14:textId="77777777" w:rsidR="009D7677" w:rsidRDefault="009D7677" w:rsidP="009D7677">
      <w:pPr>
        <w:pStyle w:val="TextoNormal"/>
      </w:pPr>
    </w:p>
    <w:p w14:paraId="47AF518D" w14:textId="17BAF550" w:rsidR="009D7677" w:rsidRDefault="009D7677" w:rsidP="009D7677">
      <w:pPr>
        <w:pStyle w:val="TextoNormal"/>
      </w:pPr>
      <w:r>
        <w:t>Contra dicha providencia se presentó recurso de reposición, que fue desestimado por auto dictado el 1 de julio de 2022, en el que como fundamento del rechazo se hacía constar: “no se puede admitir la subsanación pretendida, por cuanto la consignación del depósito para interponer el recurso de revisión, debe ser realizado dentro del plazo concedido a la parte para recurrir, y no de forma extemporánea, ya que lo realiza de forma extemporánea, veinte días más tarde de que precluyera dicho plazo, por lo que siendo el depósito realizado el 28 de abril de 2022, no puede ser admitido el recurso, cuyo plazo había transcurrido con creces”. Esta resolución no era susceptible de recurso.</w:t>
      </w:r>
    </w:p>
    <w:p w14:paraId="12B957BA" w14:textId="77777777" w:rsidR="009D7677" w:rsidRDefault="009D7677" w:rsidP="009D7677">
      <w:pPr>
        <w:pStyle w:val="TextoNormal"/>
      </w:pPr>
    </w:p>
    <w:p w14:paraId="6A651AFD" w14:textId="77777777" w:rsidR="009D7677" w:rsidRDefault="009D7677" w:rsidP="009D7677">
      <w:pPr>
        <w:pStyle w:val="TextoNormal"/>
      </w:pPr>
      <w:r w:rsidRPr="009D7677">
        <w:rPr>
          <w:rStyle w:val="NumeroAFNegritaCaracter"/>
        </w:rPr>
        <w:t>3</w:t>
      </w:r>
      <w:r>
        <w:t xml:space="preserve">. La demanda de amparo se interpone </w:t>
      </w:r>
      <w:r w:rsidRPr="009D7677">
        <w:rPr>
          <w:i/>
        </w:rPr>
        <w:t>ex</w:t>
      </w:r>
      <w:r>
        <w:t xml:space="preserve"> art. 44 de la Ley Orgánica del Tribunal Constitucional (LOTC) frente a la providencia de 20 de mayo de 2022, dictada por el Juzgado de Primera Instancia e Instrucción núm. 4 de Dos Hermanas (Sevilla) en el procedimiento de ejecución provisional núm. 985-2020, por la que se inadmite el recurso de revisión planteado contra el decreto de 6 de abril de 2022, y frente al auto de 1 de julio de </w:t>
      </w:r>
      <w:r>
        <w:lastRenderedPageBreak/>
        <w:t>2022, por el que se desestima el recurso de reposición interpuesto contra la providencia de 20 de mayo de 2022. Se considera vulnerado el derecho a la tutela judicial efectiva del art. 24.1 CE, en su vertiente de acceso a los recursos legalmente previstos.</w:t>
      </w:r>
    </w:p>
    <w:p w14:paraId="1A4DAAD8" w14:textId="77777777" w:rsidR="009D7677" w:rsidRDefault="009D7677" w:rsidP="009D7677">
      <w:pPr>
        <w:pStyle w:val="TextoNormal"/>
      </w:pPr>
    </w:p>
    <w:p w14:paraId="6DE83B60" w14:textId="77777777" w:rsidR="009D7677" w:rsidRDefault="009D7677" w:rsidP="009D7677">
      <w:pPr>
        <w:pStyle w:val="TextoNormal"/>
      </w:pPr>
      <w:r>
        <w:t>Tras exponer los antecedentes y hechos que tuvo por conveniente, el demandante alega, en primer lugar, la vulneración del derecho a la tutela judicial efectiva en su vertiente de derecho de acceso al recurso. Sostiene que el motivo para acordar la inadmisión del recurso de revisión contra el decreto de 6 de abril de 2022 se basa en la falta de consignación del preceptivo depósito para recurrir, que debe hacerse con carácter previo o simultáneamente a la interposición del recurso. No se ha admitido la subsanación efectuada por el recurrente dentro del plazo concedido para ello por el propio juzgado en su diligencia de ordenación de 26 de abril de 2022, notificada el día 28 de abril de 2022, fecha en la que se consignó el depósito y se presentó el justificante ante el juzgado. De hecho, y contraviniendo lo resuelto por esta última diligencia de ordenación, la providencia de 20 de mayo de 2022, y el auto de 1 de julio de 2022, rechazan la admisión del recurso por haberse consignado de manera extemporánea.</w:t>
      </w:r>
    </w:p>
    <w:p w14:paraId="48329FAB" w14:textId="77777777" w:rsidR="009D7677" w:rsidRDefault="009D7677" w:rsidP="009D7677">
      <w:pPr>
        <w:pStyle w:val="TextoNormal"/>
      </w:pPr>
    </w:p>
    <w:p w14:paraId="5103D987" w14:textId="77777777" w:rsidR="009D7677" w:rsidRDefault="009D7677" w:rsidP="009D7677">
      <w:pPr>
        <w:pStyle w:val="TextoNormal"/>
      </w:pPr>
      <w:r>
        <w:t>El recurrente cita la normativa aplicable, que es la disposición adicional decimoquinta LOPJ, y considera que su interpretación acorde con la tutela judicial efectiva exige la admisión de la posibilidad de subsanación en todos los supuestos contemplados por la norma “defecto, omisión o error”, debiendo concluirse que es posible no solo en los casos en que se haya efectuado una consignación defectuosa o no se haya aportado el justificante, sino también en los supuestos en que se haya omitido la consignación dentro del plazo para interponer el recurso.</w:t>
      </w:r>
    </w:p>
    <w:p w14:paraId="3B98BB6D" w14:textId="77777777" w:rsidR="009D7677" w:rsidRDefault="009D7677" w:rsidP="009D7677">
      <w:pPr>
        <w:pStyle w:val="TextoNormal"/>
      </w:pPr>
    </w:p>
    <w:p w14:paraId="19E27BEF" w14:textId="77777777" w:rsidR="009D7677" w:rsidRDefault="009D7677" w:rsidP="009D7677">
      <w:pPr>
        <w:pStyle w:val="TextoNormal"/>
      </w:pPr>
      <w:r>
        <w:t>Esta interpretación se considera acorde con el principio general de subsanabilidad de los actos procesales y con la consideración del proceso como instrumento para alcanzar la tutela judicial efectiva que garantiza el art. 24.1 CE. No entenderlo así supone un excesivo rigorismo o formalismo, que revela una desproporción entre el defecto apreciado y el efecto de cierre del proceso, con la consecuencia de impedir un pronunciamiento judicial sobre el fondo. Entiende el recurrente que el legislador ha establecido un régimen de subsanación de los defectos en la constitución de los depósitos para interponer los recursos y que la controversia se refiere únicamente al alcance que debe darse al mismo. En resumen, considera que, si bien las partes deben cumplir con los presupuestos y requisitos procesales, el órgano jurisdiccional debe efectuar una interpretación de su cumplimiento en el sentido más favorable para la efectividad del derecho consagrado en el art. 24.1 CE, evitando la imposición de formalismos enervantes contrarios al espíritu y finalidad de la norma convirtiendo cualquier irregularidad formal en un obstáculo insalvable para la prosecución del proceso y la obtención de una resolución sobre el fondo.</w:t>
      </w:r>
    </w:p>
    <w:p w14:paraId="7EA0E3BB" w14:textId="77777777" w:rsidR="009D7677" w:rsidRDefault="009D7677" w:rsidP="009D7677">
      <w:pPr>
        <w:pStyle w:val="TextoNormal"/>
      </w:pPr>
    </w:p>
    <w:p w14:paraId="313E6992" w14:textId="77777777" w:rsidR="009D7677" w:rsidRDefault="009D7677" w:rsidP="009D7677">
      <w:pPr>
        <w:pStyle w:val="TextoNormal"/>
      </w:pPr>
      <w:r>
        <w:t xml:space="preserve">Como segundo motivo de amparo, el recurrente invoca el derecho de acceso al recurso en relación con el principio de proporcionalidad. En este punto se vienen a reiterar las razones expuestas en el primer motivo del recurso, si bien haciendo una referencia expresa a la necesidad de ofrecer una respuesta proporcional valorando la entidad de los vicios del procedimiento con la consecuencia de cierre del acceso al recurso, con referencia a la jurisprudencia del Tribunal Europeo de Derechos Humanos. El derecho a la tutela judicial efectiva debe entenderse conculcado cuando se imponen condiciones impeditivas u obstaculizadoras del acceso a la jurisdicción que sean innecesarias, excesivas y carezcan de </w:t>
      </w:r>
      <w:r>
        <w:lastRenderedPageBreak/>
        <w:t>razonabilidad y proporcionalidad respecto de los fines que lícitamente puede perseguir el legislador en el marco constitucional.</w:t>
      </w:r>
    </w:p>
    <w:p w14:paraId="33ED60E7" w14:textId="77777777" w:rsidR="009D7677" w:rsidRDefault="009D7677" w:rsidP="009D7677">
      <w:pPr>
        <w:pStyle w:val="TextoNormal"/>
      </w:pPr>
    </w:p>
    <w:p w14:paraId="03AF82F8" w14:textId="77777777" w:rsidR="009D7677" w:rsidRDefault="009D7677" w:rsidP="009D7677">
      <w:pPr>
        <w:pStyle w:val="TextoNormal"/>
      </w:pPr>
      <w:r>
        <w:t>En cuanto a la petición de amparo que se formula, se solicita la nulidad tanto de la providencia que inadmite el recurso de revisión interpuesto contra el decreto de 6 de abril de 2022 como del auto que la confirma, y que se reconozca el derecho a que se admita el recurso de revisión, con la obtención de un pronunciamiento y resolución sobre el fondo y la pretensión que con él se ejercita. Para ello también se solicita la retroacción de las actuaciones al momento previo al dictado por el Juzgado de Primera Instancia e Instrucción núm. 4 de Dos Hermanas de la ya mencionada providencia "declarando la nulidad de lo actuado a partir de la expresada providencia”.</w:t>
      </w:r>
    </w:p>
    <w:p w14:paraId="58E64CEF" w14:textId="77777777" w:rsidR="009D7677" w:rsidRDefault="009D7677" w:rsidP="009D7677">
      <w:pPr>
        <w:pStyle w:val="TextoNormal"/>
      </w:pPr>
    </w:p>
    <w:p w14:paraId="2592766F" w14:textId="77777777" w:rsidR="009D7677" w:rsidRDefault="009D7677" w:rsidP="009D7677">
      <w:pPr>
        <w:pStyle w:val="TextoNormal"/>
      </w:pPr>
      <w:r>
        <w:t>La justificación de la especial trascendencia constitucional del recurso se hace descansar en la necesidad de que por el Tribunal se fije y mantenga doctrina sobre la interpretación que ha de darse a la disposición adicional decimoquinta LOPJ. Concretamente si dentro del término “omisión”, es posible la subsanación de la falta de constitución del depósito preceptivo para recurrir en los supuestos en los que no se efectuó esa constitución del depósito al tiempo de la presentación del escrito de recurso, sino que dicha constitución o consignación se realizó en el momento en que por el órgano judicial se puso de manifiesto a la parte ese defecto de falta de constitución del depósito, o también cuando esa constitución o consignación se efectuó con anterioridad a esa puesta de manifiesto por el órgano jurisdiccional.</w:t>
      </w:r>
    </w:p>
    <w:p w14:paraId="7B2C2A07" w14:textId="77777777" w:rsidR="009D7677" w:rsidRDefault="009D7677" w:rsidP="009D7677">
      <w:pPr>
        <w:pStyle w:val="TextoNormal"/>
      </w:pPr>
    </w:p>
    <w:p w14:paraId="73217437" w14:textId="2C3381B4" w:rsidR="009D7677" w:rsidRDefault="009D7677" w:rsidP="009D7677">
      <w:pPr>
        <w:pStyle w:val="TextoNormal"/>
      </w:pPr>
      <w:r>
        <w:t>Mediante otrosí se solicita la suspensión de las resoluciones impugnadas en este recurso de amparo.</w:t>
      </w:r>
    </w:p>
    <w:p w14:paraId="59958FBC" w14:textId="77777777" w:rsidR="009D7677" w:rsidRDefault="009D7677" w:rsidP="009D7677">
      <w:pPr>
        <w:pStyle w:val="TextoNormal"/>
      </w:pPr>
    </w:p>
    <w:p w14:paraId="51D6D2FA" w14:textId="77777777" w:rsidR="009D7677" w:rsidRDefault="009D7677" w:rsidP="009D7677">
      <w:pPr>
        <w:pStyle w:val="TextoNormal"/>
      </w:pPr>
      <w:r w:rsidRPr="009D7677">
        <w:rPr>
          <w:rStyle w:val="NumeroAFNegritaCaracter"/>
        </w:rPr>
        <w:t>4</w:t>
      </w:r>
      <w:r>
        <w:t>. La Sección Cuarta de la Sala Segunda del Tribunal Constitucional admitió a trámite el recurso de amparo mediante providencia de fecha 27 de junio de 2023, apreciando que concurre en el mismo una especial trascendencia constitucional (art. 50.1 LOTC), porque el recurso plantea un problema o afecta a una faceta de un derecho fundamental sobre el que no hay doctrina de este tribunal [STC 155/2009, de 25 de junio, FJ 2 a)].</w:t>
      </w:r>
    </w:p>
    <w:p w14:paraId="7E160AA6" w14:textId="77777777" w:rsidR="009D7677" w:rsidRDefault="009D7677" w:rsidP="009D7677">
      <w:pPr>
        <w:pStyle w:val="TextoNormal"/>
      </w:pPr>
    </w:p>
    <w:p w14:paraId="0663F146" w14:textId="7144C05E" w:rsidR="009D7677" w:rsidRDefault="009D7677" w:rsidP="009D7677">
      <w:pPr>
        <w:pStyle w:val="TextoNormal"/>
      </w:pPr>
      <w:r>
        <w:t>Por ello, en aplicación de lo dispuesto en el art. 51 LOTC, se ordenó dirigir atenta comunicación al Juzgado de Primera Instancia e Instrucción núm. 4 de Dos Hermanas, a fin de que, en plazo que no exceda de diez días, remita certificación o fotocopia adverada de las actuaciones correspondientes al procedimiento de ejecución provisional núm. 985-2020, y emplazar, para que en el plazo de diez días puedan comparecer, si lo desean, en el recurso de amparo a quienes hubieran sido parte en el procedimiento, excepto al recurrente en amparo. Por otra parte, de conformidad con la solicitud del recurrente, se acordó formar la correspondiente pieza separada de suspensión.</w:t>
      </w:r>
    </w:p>
    <w:p w14:paraId="6940B467" w14:textId="77777777" w:rsidR="009D7677" w:rsidRDefault="009D7677" w:rsidP="009D7677">
      <w:pPr>
        <w:pStyle w:val="TextoNormal"/>
      </w:pPr>
    </w:p>
    <w:p w14:paraId="611A52A4" w14:textId="49E13D1D" w:rsidR="009D7677" w:rsidRDefault="009D7677" w:rsidP="009D7677">
      <w:pPr>
        <w:pStyle w:val="TextoNormal"/>
      </w:pPr>
      <w:r w:rsidRPr="009D7677">
        <w:rPr>
          <w:rStyle w:val="NumeroAFNegritaCaracter"/>
        </w:rPr>
        <w:t>5</w:t>
      </w:r>
      <w:r>
        <w:t>. El Tribunal resolvió la pieza separada de suspensión mediante el ATC 458/2023, de 23 de octubre, denegando la suspensión de las resoluciones impugnadas en este recurso de amparo.</w:t>
      </w:r>
    </w:p>
    <w:p w14:paraId="4A4F7E93" w14:textId="77777777" w:rsidR="009D7677" w:rsidRDefault="009D7677" w:rsidP="009D7677">
      <w:pPr>
        <w:pStyle w:val="TextoNormal"/>
      </w:pPr>
    </w:p>
    <w:p w14:paraId="603AFF4C" w14:textId="77777777" w:rsidR="009D7677" w:rsidRDefault="009D7677" w:rsidP="009D7677">
      <w:pPr>
        <w:pStyle w:val="TextoNormal"/>
      </w:pPr>
      <w:r w:rsidRPr="009D7677">
        <w:rPr>
          <w:rStyle w:val="NumeroAFNegritaCaracter"/>
        </w:rPr>
        <w:t>6</w:t>
      </w:r>
      <w:r>
        <w:t xml:space="preserve">. Por diligencia de ordenación del secretario de justicia de la Sección Cuarta del Tribunal Constitucional de 30 de octubre de 2023 se acordó tener por personada y parte en el </w:t>
      </w:r>
      <w:r>
        <w:lastRenderedPageBreak/>
        <w:t>procedimiento a la procuradora doña María Isabel Cornejo Muñoz, en nombre y representación de doña Begoña Valcárcel Hernández, acordándose entender con ella las sucesivas actuaciones, así como dar vista de las actuaciones recibidas a las partes personadas y al Ministerio Fiscal por plazo común de veinte días, para formular las alegaciones que estimen pertinentes.</w:t>
      </w:r>
    </w:p>
    <w:p w14:paraId="6AF6BD48" w14:textId="77777777" w:rsidR="009D7677" w:rsidRDefault="009D7677" w:rsidP="009D7677">
      <w:pPr>
        <w:pStyle w:val="TextoNormal"/>
      </w:pPr>
    </w:p>
    <w:p w14:paraId="311E8A19" w14:textId="2828BA74" w:rsidR="009D7677" w:rsidRDefault="009D7677" w:rsidP="009D7677">
      <w:pPr>
        <w:pStyle w:val="TextoNormal"/>
      </w:pPr>
      <w:r>
        <w:t>Por nueva diligencia de ordenación de 14 de noviembre de 2023 se acordó tener por personado y parte en el procedimiento al procurador don Eladio García de la Borbolla, en nombre y representación de la entidad Gesprocon 2005, S.L., acordándose entender con él las sucesivas diligencias y, con vista de las actuaciones recibidas en esta sala, conceder un nuevo plazo común de veinte días a las partes personadas y al Ministerio Fiscal, a fin de presentar las alegaciones que estimasen pertinentes.</w:t>
      </w:r>
    </w:p>
    <w:p w14:paraId="4D1FD730" w14:textId="77777777" w:rsidR="009D7677" w:rsidRDefault="009D7677" w:rsidP="009D7677">
      <w:pPr>
        <w:pStyle w:val="TextoNormal"/>
      </w:pPr>
    </w:p>
    <w:p w14:paraId="657CAF4A" w14:textId="10914E25" w:rsidR="009D7677" w:rsidRDefault="009D7677" w:rsidP="009D7677">
      <w:pPr>
        <w:pStyle w:val="TextoNormal"/>
      </w:pPr>
      <w:r w:rsidRPr="009D7677">
        <w:rPr>
          <w:rStyle w:val="NumeroAFNegritaCaracter"/>
        </w:rPr>
        <w:t>7</w:t>
      </w:r>
      <w:r>
        <w:t>. La representación procesal de la entidad Gesprocon 2005, S.L., por escrito registrado en este tribunal el día 7 de diciembre de 2023, formuló alegaciones en las que sostuvo que el recurrente no ha agotado todas las vías ordinarias frente a la resolución que supuestamente le daña su derecho fundamental, ya que no ha interpuesto incidente de nulidad de actuaciones. Por otra parte, expone que el recurrente reiteradamente ha vulnerado las normas de la buena fe procesal inundando el juzgado de recursos, incidentes y escritos, con suma mala fe. Asimismo, el recurso de amparo carece de trascendencia procesal, por cuanto se impugna una resolución interlocutoria y se discute una cuestión de legalidad ordinaria como es consignar la tasa; además, resulta que actualmente la ejecución está suspendida, en tanto el ejecutado ha formulado concurso de acreedores, por lo que el presente recurso, se encuentra afectado por una carencia sobrevenida de su objeto.</w:t>
      </w:r>
    </w:p>
    <w:p w14:paraId="1F9159FA" w14:textId="77777777" w:rsidR="009D7677" w:rsidRDefault="009D7677" w:rsidP="009D7677">
      <w:pPr>
        <w:pStyle w:val="TextoNormal"/>
      </w:pPr>
    </w:p>
    <w:p w14:paraId="719467E9" w14:textId="00238B41" w:rsidR="009D7677" w:rsidRDefault="009D7677" w:rsidP="009D7677">
      <w:pPr>
        <w:pStyle w:val="TextoNormal"/>
      </w:pPr>
      <w:r w:rsidRPr="009D7677">
        <w:rPr>
          <w:rStyle w:val="NumeroAFNegritaCaracter"/>
        </w:rPr>
        <w:t>8</w:t>
      </w:r>
      <w:r>
        <w:t>. El demandante de amparo, por escrito registrado en este tribunal el día 18 de diciembre de 2023, se ratifica en el contenido de la demanda, a lo que añade que la especial trascendencia constitucional del recurso se encuentra en que el Tribunal fije doctrina sobre si es posible y acorde con el derecho a la obtención de la tutela judicial efectiva la subsanación de la falta de constitución del depósito en la interposición de un recurso contra una resolución judicial, y si esa subsanación alcanza los supuestos en que el ingreso material se realiza y efectúa con posterioridad a la presentación del escrito del recurso de que se trate, aunque dentro del plazo que se le confiera a la parte para aquella subsanación, o, voluntariamente, con anterioridad a la concesión del expresado plazo. También afirma que el órgano judicial ha incurrido en una negativa manifiesta del deber de acatamiento de la doctrina del Tribunal Constitucional, pues la doctrina aplicable al caso (por todas, las SSTC 129/2012 y 130/2012, de 18 de junio), refiriéndose a los depósitos para recurrir en el orden civil, ha considerado irrazonable, y por tanto contraria al art. 24.1 CE, la decisión judicial de no permitir subsanar la falta de constitución del depósito, salvo que la norma que así lo regule excluya expresamente esta posibilidad y, por supuesto, siempre que el recurrente cumpla con este requisito en el plazo otorgado por el órgano judicial.</w:t>
      </w:r>
    </w:p>
    <w:p w14:paraId="554816BE" w14:textId="77777777" w:rsidR="009D7677" w:rsidRDefault="009D7677" w:rsidP="009D7677">
      <w:pPr>
        <w:pStyle w:val="TextoNormal"/>
      </w:pPr>
    </w:p>
    <w:p w14:paraId="36C616D5" w14:textId="485F1865" w:rsidR="009D7677" w:rsidRDefault="009D7677" w:rsidP="009D7677">
      <w:pPr>
        <w:pStyle w:val="TextoNormal"/>
      </w:pPr>
      <w:r w:rsidRPr="009D7677">
        <w:rPr>
          <w:rStyle w:val="NumeroAFNegritaCaracter"/>
        </w:rPr>
        <w:t>9</w:t>
      </w:r>
      <w:r>
        <w:t>. La representación procesal de doña Begoña Valcárcel Hernández, por escrito registrado en este tribunal el día 18 de diciembre de 2023, solicitó que se la tuviese por adherida totalmente al recurso de amparo interpuesto por el señor Fernández-Castañón y de Amores.</w:t>
      </w:r>
    </w:p>
    <w:p w14:paraId="0D9F39DB" w14:textId="77777777" w:rsidR="009D7677" w:rsidRDefault="009D7677" w:rsidP="009D7677">
      <w:pPr>
        <w:pStyle w:val="TextoNormal"/>
      </w:pPr>
    </w:p>
    <w:p w14:paraId="25AA0434" w14:textId="77777777" w:rsidR="009D7677" w:rsidRDefault="009D7677" w:rsidP="009D7677">
      <w:pPr>
        <w:pStyle w:val="TextoNormal"/>
      </w:pPr>
      <w:r w:rsidRPr="009D7677">
        <w:rPr>
          <w:rStyle w:val="NumeroAFNegritaCaracter"/>
        </w:rPr>
        <w:lastRenderedPageBreak/>
        <w:t>10</w:t>
      </w:r>
      <w:r>
        <w:t>. El Ministerio Fiscal, por escrito registrado en este tribunal el día 10 de enero de 2024, interesa la estimación del presente recurso de amparo.</w:t>
      </w:r>
    </w:p>
    <w:p w14:paraId="12AA1F9E" w14:textId="77777777" w:rsidR="009D7677" w:rsidRDefault="009D7677" w:rsidP="009D7677">
      <w:pPr>
        <w:pStyle w:val="TextoNormal"/>
      </w:pPr>
    </w:p>
    <w:p w14:paraId="40790668" w14:textId="77777777" w:rsidR="009D7677" w:rsidRDefault="009D7677" w:rsidP="009D7677">
      <w:pPr>
        <w:pStyle w:val="TextoNormal"/>
      </w:pPr>
      <w:r>
        <w:t>El Ministerio Fiscal hace referencia a las circunstancias del caso y descarta la inexistencia de óbices procesales que impidan resolver el fondo del asunto, dado que se ha agotado la vía judicial previa, en cuanto que la resolución que produce la vulneración del derecho es la providencia que inadmite a trámite el recurso de revisión. La vía judicial previa se estima adecuadamente agotada mediante la interposición del recurso de reposición contra la providencia, que fue desestimado por el auto dictado el 1 de julio de 2022, el cual no es susceptible de recurso y no incurre en ninguna vulneración autónoma. En relación con el requisito de alegación del derecho vulnerado, tal y como aparece en los términos en que se plantean el recurso de reposición, está igualmente cumplido en lo que se refiere a la alegación de la vulneración del derecho a la tutela judicial efectiva en su vertiente del derecho de acceso al recurso.</w:t>
      </w:r>
    </w:p>
    <w:p w14:paraId="20C83E87" w14:textId="77777777" w:rsidR="009D7677" w:rsidRDefault="009D7677" w:rsidP="009D7677">
      <w:pPr>
        <w:pStyle w:val="TextoNormal"/>
      </w:pPr>
    </w:p>
    <w:p w14:paraId="20DA1AE7" w14:textId="77777777" w:rsidR="009D7677" w:rsidRDefault="009D7677" w:rsidP="009D7677">
      <w:pPr>
        <w:pStyle w:val="TextoNormal"/>
      </w:pPr>
      <w:r>
        <w:t>Alude a continuación al planteamiento de la demanda de amparo y a la regulación legal que ha sido aplicada, la disposición adicional decimoquinta LOPJ, que regula la constitución de depósito para interponer recursos. Reproduce seguidamente la doctrina constitucional en relación con el derecho a la utilización de los recursos legalmente establecidos contra las resoluciones judiciales, diferenciándolo del derecho de acceso a la jurisdicción, así como aludiendo a la capacidad de revisión de las resoluciones dictadas por la jurisdicción ordinaria sobre la admisión de los recursos.</w:t>
      </w:r>
    </w:p>
    <w:p w14:paraId="385284E6" w14:textId="77777777" w:rsidR="009D7677" w:rsidRDefault="009D7677" w:rsidP="009D7677">
      <w:pPr>
        <w:pStyle w:val="TextoNormal"/>
      </w:pPr>
    </w:p>
    <w:p w14:paraId="05B4A4D7" w14:textId="77777777" w:rsidR="009D7677" w:rsidRDefault="009D7677" w:rsidP="009D7677">
      <w:pPr>
        <w:pStyle w:val="TextoNormal"/>
      </w:pPr>
      <w:r>
        <w:t xml:space="preserve">En relación con el requisito de la constitución del depósito para recurrir, la STC 74/2013, de 8 de abril, resuelve un recurso de amparo presentado ante una resolución que no tuvo por interpuesto el recurso de apelación por falta de constitución del depósito para recurrir una sentencia, y en el fundamento jurídico 2 establece la doctrina constitucional aplicable con referencia a otras dos resoluciones anteriormente dictadas sobre la misma cuestión, las SSTC 129/2012 y 130/2012. Por remisión a esas dos sentencias, la STC 73/2013, de 8 de abril, FJ 3, otorga el amparo en un supuesto en el que por el órgano judicial se había requerido a la parte para que subsanara la omisión de la constitución del depósito: “y una vez verificada esta omisión por el juzgado, actuando correctamente, no denegó la preparación, sino que dictó providencia otorgando plazo de dos días a la apelante para que pudiera subsanar el requisito, lo que esta llevó a cabo efectivamente. Cumplida entonces la finalidad legal que se atribuye a este depósito y sin que ello causare interrupción del procedimiento o perjuicio a las demás partes, la ulterior decisión de la sección </w:t>
      </w:r>
      <w:r w:rsidRPr="009D7677">
        <w:rPr>
          <w:i/>
        </w:rPr>
        <w:t>ad quem</w:t>
      </w:r>
      <w:r>
        <w:t xml:space="preserve"> de privar de efectos al acto de subsanación llevado a cabo, trayendo consigo la inadmisión del recurso interpuesto, deviene irrazonable y comporta por ello la vulneración del derecho a la tutela judicial efectiva (art. 24.1 CE), en su vertiente de acceso al recurso”.</w:t>
      </w:r>
    </w:p>
    <w:p w14:paraId="5BC60BB3" w14:textId="77777777" w:rsidR="009D7677" w:rsidRDefault="009D7677" w:rsidP="009D7677">
      <w:pPr>
        <w:pStyle w:val="TextoNormal"/>
      </w:pPr>
    </w:p>
    <w:p w14:paraId="592C71CC" w14:textId="77777777" w:rsidR="009D7677" w:rsidRDefault="009D7677" w:rsidP="009D7677">
      <w:pPr>
        <w:pStyle w:val="TextoNormal"/>
      </w:pPr>
      <w:r>
        <w:t xml:space="preserve">El Ministerio Fiscal resalta que la denegación de la tramitación del recurso obedece a la consideración por el órgano jurisdiccional de que la constitución del depósito de veinticinco euros que se requiere para la interposición del recurso de revisión ha sido efectuada fuera del plazo establecido en la disposición adicional decimoquinta LOPJ. El recurrente subsanó dicha omisión en el mismo día que le fue notificada la diligencia de ordenación de 26 de abril de 2022 por la que, advertido el defecto, se le otorgó un plazo de dos días para la subsanación. El recurrente, haciendo uso de la posibilidad de subsanación que le es </w:t>
      </w:r>
      <w:r>
        <w:lastRenderedPageBreak/>
        <w:t>ofrecida por el propio órgano jurisdiccional, de conformidad con el apartado 7 de la disposición adicional decimoquinta LOPJ, y dentro del plazo concedido para ello, procedió a presentar la documentación acreditativa del ingreso en la cuenta de depósitos y consignaciones judiciales. Para el Ministerio Fiscal, la aplicación de la doctrina constitucional citada, que, si bien se ha dictado en supuestos en los que el depósito era para recurrir en apelación, se estima de aplicación a este tipo de recursos, debe otorgarse el amparo al recurrente, por cuanto que se le ha privado, de manera arbitraria e injustificada, del acceso al recurso contra el decreto dictado por el letrado de la administración de justicia.</w:t>
      </w:r>
    </w:p>
    <w:p w14:paraId="0EAC2E22" w14:textId="77777777" w:rsidR="009D7677" w:rsidRDefault="009D7677" w:rsidP="009D7677">
      <w:pPr>
        <w:pStyle w:val="TextoNormal"/>
      </w:pPr>
    </w:p>
    <w:p w14:paraId="00C4E717" w14:textId="73AA19AB" w:rsidR="009D7677" w:rsidRDefault="009D7677" w:rsidP="009D7677">
      <w:pPr>
        <w:pStyle w:val="TextoNormal"/>
      </w:pPr>
      <w:r>
        <w:t>Por todo ello, la providencia que deniega la admisión del recurso por falta de consignación en plazo del depósito para recurrir y el auto que la confirma vulneran el derecho a la tutela judicial efectiva y deben declararse nulas, con retroacción para el dictado de una resolución respetuosa con el derecho fundamental vulnerado, que es el acceso al recurso. El ministerio también señala, en cuanto al alcance del amparo, que el recurrente solicita la declaración de nulidad de actuaciones de todo lo actuado desde la providencia de 20 de mayo de 2022, cuestión que excede de las consecuencias que deben derivarse del amparo solicitado, por cuanto que la pretensión que se ejercita mediante el recurso de reposición se refiere a una cuestión concreta dentro del procedimiento de ejecución provisional, la admisión del recurso de revisión contra el decreto que acuerda la fijación del valor de mercado de una finca señalada como garantía para hacer frente a la cuantía fijada en la ejecución. La resolución no impide la continuación del procedimiento, por lo que no cabe acceder a la pretensión formulada por el recurrente de amparo, debiendo retrotraerse las actuaciones al momento inmediatamente anterior a proveerse por el juzgado sobre el trámite de admisión del recurso de revisión presentado por el recurrente en amparo, con el fin, exclusivamente, de que se dicte otra resolución que resulte respetuosa con el derecho fundamental reconocido, manteniendo la validez del resto de las actuaciones.</w:t>
      </w:r>
    </w:p>
    <w:p w14:paraId="3C9CA8AA" w14:textId="77777777" w:rsidR="009D7677" w:rsidRDefault="009D7677" w:rsidP="009D7677">
      <w:pPr>
        <w:pStyle w:val="TextoNormal"/>
      </w:pPr>
    </w:p>
    <w:p w14:paraId="3CC08CE8" w14:textId="41EA64EA" w:rsidR="009D7677" w:rsidRDefault="009D7677" w:rsidP="009D7677">
      <w:pPr>
        <w:pStyle w:val="TextoNormal"/>
      </w:pPr>
      <w:r w:rsidRPr="009D7677">
        <w:rPr>
          <w:rStyle w:val="NumeroAFNegritaCaracter"/>
        </w:rPr>
        <w:t>11</w:t>
      </w:r>
      <w:r>
        <w:t>. Por providencia de 4 de abril de 2024 se señaló para la deliberación y votación de la presente sentencia el día 8 del mismo mes y año.</w:t>
      </w:r>
    </w:p>
    <w:p w14:paraId="03614329" w14:textId="77777777" w:rsidR="009D7677" w:rsidRDefault="009D7677" w:rsidP="009D7677">
      <w:pPr>
        <w:pStyle w:val="TextoNormal"/>
      </w:pPr>
    </w:p>
    <w:p w14:paraId="351CB990" w14:textId="77777777" w:rsidR="009D7677" w:rsidRDefault="009D7677" w:rsidP="009D7677">
      <w:pPr>
        <w:pStyle w:val="TextoNormalNegritaCentrado"/>
        <w:keepNext/>
      </w:pPr>
      <w:r>
        <w:t>II. Fundamentos jurídicos</w:t>
      </w:r>
    </w:p>
    <w:p w14:paraId="2F766595" w14:textId="6C23D12E" w:rsidR="009D7677" w:rsidRDefault="009D7677" w:rsidP="009D7677">
      <w:pPr>
        <w:pStyle w:val="TextoNormalNegritaCentrado"/>
        <w:keepNext/>
      </w:pPr>
    </w:p>
    <w:p w14:paraId="1DF177E6" w14:textId="77777777" w:rsidR="009D7677" w:rsidRDefault="009D7677" w:rsidP="009D7677">
      <w:pPr>
        <w:pStyle w:val="TextoNormal"/>
      </w:pPr>
      <w:r w:rsidRPr="009D7677">
        <w:rPr>
          <w:rStyle w:val="NumeroAFNegritaCaracter"/>
        </w:rPr>
        <w:t>1</w:t>
      </w:r>
      <w:r>
        <w:t xml:space="preserve">. </w:t>
      </w:r>
      <w:r w:rsidRPr="009D7677">
        <w:rPr>
          <w:i/>
        </w:rPr>
        <w:t>Objeto del proceso y alegaciones de las partes</w:t>
      </w:r>
    </w:p>
    <w:p w14:paraId="103CE1F4" w14:textId="77777777" w:rsidR="009D7677" w:rsidRDefault="009D7677" w:rsidP="009D7677">
      <w:pPr>
        <w:pStyle w:val="TextoNormal"/>
      </w:pPr>
    </w:p>
    <w:p w14:paraId="39878F3C" w14:textId="77777777" w:rsidR="009D7677" w:rsidRDefault="009D7677" w:rsidP="009D7677">
      <w:pPr>
        <w:pStyle w:val="TextoNormal"/>
      </w:pPr>
      <w:r>
        <w:t>Se interpone recurso de amparo por la vía del art. 44 LOTC contra la providencia de 20 de mayo de 2022, dictada por el Juzgado de Primera Instancia e Instrucción núm. 4 de Dos Hermanas (Sevilla) en el procedimiento de ejecución provisional núm. 985-2020, por la que se inadmite el recurso de revisión planteado contra el decreto de 6 de abril de 2022, y contra el auto de 1 de julio de 2022, por el que se desestima el recurso de reposición interpuesto contra la referida providencia.</w:t>
      </w:r>
    </w:p>
    <w:p w14:paraId="1E5FFF27" w14:textId="77777777" w:rsidR="009D7677" w:rsidRDefault="009D7677" w:rsidP="009D7677">
      <w:pPr>
        <w:pStyle w:val="TextoNormal"/>
      </w:pPr>
    </w:p>
    <w:p w14:paraId="665B09C5" w14:textId="77777777" w:rsidR="009D7677" w:rsidRDefault="009D7677" w:rsidP="009D7677">
      <w:pPr>
        <w:pStyle w:val="TextoNormal"/>
      </w:pPr>
      <w:r>
        <w:t>Según se razona en la demanda de amparo, se habría vulnerado el derecho a la tutela judicial efectiva (art. 24.1 CE), en su vertiente de derecho de acceso a los recursos legalmente establecidos, por cuanto la providencia de inadmisión del recurso de revisión contra el decreto de 6 de abril de 2022 se basa en la falta de consignación del preceptivo depósito para recurrir, que debe hacerse con carácter previo o simultáneamente a la interposición del recurso, sin admitir la subsanación efectuada por el recurrente dentro del plazo conce</w:t>
      </w:r>
      <w:r>
        <w:lastRenderedPageBreak/>
        <w:t>dido para ello por el propio juzgado en una previa diligencia de ordenación. La demanda sostiene que la providencia de 20 de mayo de 2022 rechaza la admisión del recurso por haberse consignado el depósito para recurrir de manera extemporánea, sin tomar en consideración la subsanación del defecto en el plazo conferido al efecto. Criterio que confirma el posterior auto de 1 de julio de 2022, al desestimar el recurso de reposición interpuesto contra la mencionada providencia.</w:t>
      </w:r>
    </w:p>
    <w:p w14:paraId="0F802706" w14:textId="77777777" w:rsidR="009D7677" w:rsidRDefault="009D7677" w:rsidP="009D7677">
      <w:pPr>
        <w:pStyle w:val="TextoNormal"/>
      </w:pPr>
    </w:p>
    <w:p w14:paraId="53F80A38" w14:textId="554D31AB" w:rsidR="009D7677" w:rsidRDefault="009D7677" w:rsidP="009D7677">
      <w:pPr>
        <w:pStyle w:val="TextoNormal"/>
      </w:pPr>
      <w:r>
        <w:t>El Ministerio Fiscal apoya la pretensión del recurrente y solicita por ello que se le otorgue el amparo, conforme ha quedado expuesto en el relato de antecedentes de la presente sentencia. También la representación procesal de doña Begoña Valcárcel Hernández interesa que se le otorgue al recurrente el amparo pretendido.</w:t>
      </w:r>
    </w:p>
    <w:p w14:paraId="34A7D481" w14:textId="77777777" w:rsidR="009D7677" w:rsidRDefault="009D7677" w:rsidP="009D7677">
      <w:pPr>
        <w:pStyle w:val="TextoNormal"/>
      </w:pPr>
    </w:p>
    <w:p w14:paraId="48768E92" w14:textId="77777777" w:rsidR="009D7677" w:rsidRDefault="009D7677" w:rsidP="009D7677">
      <w:pPr>
        <w:pStyle w:val="TextoNormal"/>
      </w:pPr>
      <w:r w:rsidRPr="009D7677">
        <w:rPr>
          <w:rStyle w:val="NumeroAFNegritaCaracter"/>
        </w:rPr>
        <w:t>2</w:t>
      </w:r>
      <w:r>
        <w:t xml:space="preserve">. </w:t>
      </w:r>
      <w:r w:rsidRPr="009D7677">
        <w:rPr>
          <w:i/>
        </w:rPr>
        <w:t>Cuestiones previas. Desestimación de óbices procesales</w:t>
      </w:r>
    </w:p>
    <w:p w14:paraId="7EA97E82" w14:textId="77777777" w:rsidR="009D7677" w:rsidRDefault="009D7677" w:rsidP="009D7677">
      <w:pPr>
        <w:pStyle w:val="TextoNormal"/>
      </w:pPr>
    </w:p>
    <w:p w14:paraId="11FED7BD" w14:textId="77777777" w:rsidR="009D7677" w:rsidRDefault="009D7677" w:rsidP="009D7677">
      <w:pPr>
        <w:pStyle w:val="TextoNormal"/>
      </w:pPr>
      <w:r>
        <w:t>Antes de examinar el fondo del presente recurso, hemos de realizar alguna consideración previa a la vista de las alegaciones de una de las partes comparecidas en el presente recurso, la entidad Gesprocon 2005, S.L., que sostiene que no se ha respetado la subsidiariedad del recurso de amparo, por no interponerse el debido incidente de nulidad de actuaciones, así como que, en realidad, este recurso carece en el momento presente de objeto, ya que se refiere a una resolución interlocutoria en un proceso de ejecución que actualmente se encuentra suspendido.</w:t>
      </w:r>
    </w:p>
    <w:p w14:paraId="40B1963D" w14:textId="77777777" w:rsidR="009D7677" w:rsidRDefault="009D7677" w:rsidP="009D7677">
      <w:pPr>
        <w:pStyle w:val="TextoNormal"/>
      </w:pPr>
    </w:p>
    <w:p w14:paraId="75DD6554" w14:textId="77777777" w:rsidR="009D7677" w:rsidRDefault="009D7677" w:rsidP="009D7677">
      <w:pPr>
        <w:pStyle w:val="TextoNormal"/>
      </w:pPr>
      <w:r>
        <w:t>En primer lugar, debe desecharse que la falta de promoción de un incidente excepcional de nulidad de actuaciones deba causar la inadmisión de este recurso de amparo, dado que dicho remedio extraordinario no era en este caso necesario para el correcto agotamiento de la vía judicial previa. La resolución que produce la alegada vulneración del derecho a la tutela judicial efectiva es la providencia que inadmite a trámite el recurso de revisión, por lo que la vía judicial previa se estima adecuadamente agotada mediante la interposición del recurso de reposición contra esa providencia, que fue desestimado por el auto dictado el 1 de julio de 2022. En ese recurso de reposición ya se invocaba la infracción del derecho a la tutela judicial efectiva, en la vertiente del derecho de acceso a los recursos legalmente previstos y, con ello, cabe considerar que se dio la oportunidad al juzgado para que pudiera reparar la vulneración denunciada. El auto no es susceptible de recurso y no se aprecia en esta resolución confirmatoria de la previa providencia ninguna vulneración autónoma que requiera la interposición del incidente de nulidad de actuaciones para garantizar la subsidiariedad del recurso de amparo frente a las violaciones de derechos fundamentales.</w:t>
      </w:r>
    </w:p>
    <w:p w14:paraId="1A7EBFC3" w14:textId="77777777" w:rsidR="009D7677" w:rsidRDefault="009D7677" w:rsidP="009D7677">
      <w:pPr>
        <w:pStyle w:val="TextoNormal"/>
      </w:pPr>
    </w:p>
    <w:p w14:paraId="1BDE4E95" w14:textId="77777777" w:rsidR="009D7677" w:rsidRDefault="009D7677" w:rsidP="009D7677">
      <w:pPr>
        <w:pStyle w:val="TextoNormal"/>
      </w:pPr>
      <w:r>
        <w:t>Por otra parte, la relación entre lo decidido en este recurso de amparo y las pretensiones suscitadas en el proceso del que trae causa no es una cuestión que corresponda plantearse a este tribunal. Corresponderá al órgano judicial, como decisión de legalidad ordinaria que es, valorar la incidencia que lo decidido en este proceso de amparo tenga en el procedimiento en el que se ha suscitado la cuestión constitucional que aquí se resuelve.</w:t>
      </w:r>
    </w:p>
    <w:p w14:paraId="5DB26D59" w14:textId="77777777" w:rsidR="009D7677" w:rsidRDefault="009D7677" w:rsidP="009D7677">
      <w:pPr>
        <w:pStyle w:val="TextoNormal"/>
      </w:pPr>
    </w:p>
    <w:p w14:paraId="27607BCA" w14:textId="2119E220" w:rsidR="009D7677" w:rsidRDefault="009D7677" w:rsidP="009D7677">
      <w:pPr>
        <w:pStyle w:val="TextoNormal"/>
      </w:pPr>
      <w:r>
        <w:t>En consecuencia, ha de rechazarse este segundo obstáculo procesal y entrar ya en el enjuiciamiento que se nos demanda.</w:t>
      </w:r>
    </w:p>
    <w:p w14:paraId="4204BA03" w14:textId="77777777" w:rsidR="009D7677" w:rsidRDefault="009D7677" w:rsidP="009D7677">
      <w:pPr>
        <w:pStyle w:val="TextoNormal"/>
      </w:pPr>
    </w:p>
    <w:p w14:paraId="0F3E0163" w14:textId="77777777" w:rsidR="009D7677" w:rsidRDefault="009D7677" w:rsidP="009D7677">
      <w:pPr>
        <w:pStyle w:val="TextoNormal"/>
      </w:pPr>
      <w:r w:rsidRPr="009D7677">
        <w:rPr>
          <w:rStyle w:val="NumeroAFNegritaCaracter"/>
        </w:rPr>
        <w:lastRenderedPageBreak/>
        <w:t>3</w:t>
      </w:r>
      <w:r>
        <w:t xml:space="preserve">. </w:t>
      </w:r>
      <w:r w:rsidRPr="009D7677">
        <w:rPr>
          <w:i/>
        </w:rPr>
        <w:t>Doctrina constitucional aplicable para la resolución del presente recurso de amparo</w:t>
      </w:r>
    </w:p>
    <w:p w14:paraId="08A6A5CE" w14:textId="77777777" w:rsidR="009D7677" w:rsidRDefault="009D7677" w:rsidP="009D7677">
      <w:pPr>
        <w:pStyle w:val="TextoNormal"/>
      </w:pPr>
    </w:p>
    <w:p w14:paraId="7138F47C" w14:textId="77777777" w:rsidR="009D7677" w:rsidRDefault="009D7677" w:rsidP="009D7677">
      <w:pPr>
        <w:pStyle w:val="TextoNormal"/>
      </w:pPr>
      <w:r>
        <w:t>Sobre el derecho a la tutela judicial efectiva (art. 24.1 CE), en su vertiente de derecho de acceso a los recursos legalmente establecidos, existe una consolidada doctrina constitucional, relevante para examinar la adecuación de las resoluciones impugnadas a las exigencias de este derecho.</w:t>
      </w:r>
    </w:p>
    <w:p w14:paraId="22278DD5" w14:textId="77777777" w:rsidR="009D7677" w:rsidRDefault="009D7677" w:rsidP="009D7677">
      <w:pPr>
        <w:pStyle w:val="TextoNormal"/>
      </w:pPr>
    </w:p>
    <w:p w14:paraId="38BF8A1D" w14:textId="77777777" w:rsidR="009D7677" w:rsidRDefault="009D7677" w:rsidP="009D7677">
      <w:pPr>
        <w:pStyle w:val="TextoNormal"/>
      </w:pPr>
      <w:r>
        <w:t>En síntesis, se advierte en dicha doctrina que el derecho de acceso a los recursos es un derecho de configuración legal (dejando a salvo la especialidad del derecho a la doble instancia en el caso de las sentencias condenatorias del orden penal), lo que implica que la tarea de interpretación de los requisitos exigidos por las normas para la admisión de los recursos, en tanto que materia de legalidad ordinaria, queda reservada a los jueces y tribunales (art. 117.3 CE). En consecuencia, no corresponde al Tribunal Constitucional revisar la aplicación judicial de las normas sobre admisión de recursos, salvo en los casos de inadmisión cuando esta se declara con base en una causa legalmente inexistente o mediante un juicio arbitrario, irrazonable o fundado en error fáctico patente (por todas, SSTC 37/1995, de 7 de febrero, FJ 5; 55/2008, de 14 de abril, FJ 2; 186/2008, de 26 de diciembre, FJ 2; 42/2009, de 9 de febrero, FJ 2, y 129/2012, FJ 2).</w:t>
      </w:r>
    </w:p>
    <w:p w14:paraId="6C450A73" w14:textId="77777777" w:rsidR="009D7677" w:rsidRDefault="009D7677" w:rsidP="009D7677">
      <w:pPr>
        <w:pStyle w:val="TextoNormal"/>
      </w:pPr>
    </w:p>
    <w:p w14:paraId="63E2A59F" w14:textId="77777777" w:rsidR="009D7677" w:rsidRDefault="009D7677" w:rsidP="009D7677">
      <w:pPr>
        <w:pStyle w:val="TextoNormal"/>
      </w:pPr>
      <w:r>
        <w:t xml:space="preserve">Asimismo, en relación específicamente con depósitos similares al que ha dado lugar al presente recurso de amparo, señala por todas la STC 73/2013, FJ 2, que la doctrina constitucional aparece resumida en la STC 203/2012, de 12 de noviembre, FJ 3, en la que, después de recordar que este tribunal ha venido «considerando como contrario al derecho fundamental a la tutela judicial efectiva (art. 24.1 CE), el no permitir la subsanación de la falta de constitución de los depósitos para recurrir resoluciones civiles, excepto que la norma legal que lo contempla excluya expresamente dicha posibilidad (SSTC 217/2002, de 25 de noviembre, FJ 4 y 197/2005, de 18 de julio, FJ 3), afirmamos que ese mismo criterio ha de seguirse también con respecto al depósito de la disposición adicional decimoquinta LOPJ, que se configura como “un requisito de inexcusable cumplimiento, sin el cual la parte no tendrá derecho a que el procedimiento impugnatorio se sustancie en todas sus fases y, en todo caso, a que se resuelva en el fondo”. De este modo, la consecuencia de no efectuar su consignación “será la no admisión a trámite del recurso, según indica el párrafo primero del apartado 7 de dicha disposición adicional. Ahora bien, establecido lo anterior, es claro que la ley no pretende que la exigencia de este depósito acabe erigiéndose en un obstáculo excesivo al ejercicio del derecho a la tutela jurisdiccional (art. 24.1 CE). De modo que obliga al órgano judicial que ha dictado la resolución susceptible de ser impugnada a advertir a las partes de ‘la necesidad de constitución de depósito para recurrir así como la forma de efectuarlo’ (apartado 6, párrafo primero, </w:t>
      </w:r>
      <w:r w:rsidRPr="009D7677">
        <w:rPr>
          <w:i/>
        </w:rPr>
        <w:t>in fine</w:t>
      </w:r>
      <w:r>
        <w:t>, de la disposición adicional decimoquinta LOPJ). Y antes de decretar la inadmisión a trámite del recurso, se garantiza a la parte recurrente ‘que hubiere incurrido en defecto, omisión o error en la constitución del depósito’ a la apertura de un plazo de dos días, añade la norma, ‘para la subsanación del defecto, con aportación en su caso de documentación acreditativa’ (apartado 7, párrafo segundo). Solo en caso de que la parte incumpla ese requerimiento, precisa la norma, ‘se dictará auto que ponga fin al trámite del recurso’ (apartado 7, último párrafo, de la disposición adicional decimoquinta LOPJ)”».</w:t>
      </w:r>
    </w:p>
    <w:p w14:paraId="4A4D0D8A" w14:textId="77777777" w:rsidR="009D7677" w:rsidRDefault="009D7677" w:rsidP="009D7677">
      <w:pPr>
        <w:pStyle w:val="TextoNormal"/>
      </w:pPr>
    </w:p>
    <w:p w14:paraId="0110253E" w14:textId="666954AA" w:rsidR="009D7677" w:rsidRDefault="009D7677" w:rsidP="009D7677">
      <w:pPr>
        <w:pStyle w:val="TextoNormal"/>
      </w:pPr>
      <w:r>
        <w:lastRenderedPageBreak/>
        <w:t>Esa misma STC 203/2012, FJ 3, a la que se remite la STC 73/2013, FJ 2, añade que «al decir el precepto que cabe la subsanación del “defecto” en el depósito, se quiere con ello abarcar los tres supuestos de incumplimiento del requisito que el propio apartado de la disposición previamente identifica, incluyendo el de su omisión —total o parcial—, pues de no entenderse así y circunscribirse la subsanación al mero defecto, quedaría fuera de cobertura “no sólo la hipótesis de la falta de constitución, sino también la del error material, una exclusión que tampoco resultaría razonable. Ha de entenderse por lo tanto que la palabra ‘defecto’ se emplea con un alcance general, y se refiere a las tres manifestaciones de incumplimiento posibles, para todas las cuales cabe la subsanación de acuerdo con lo establecido en la propia norma” (SSTC 129/2012, FJ 3; 130/2012, FJ 3 y 203/2012, FJ 3)».</w:t>
      </w:r>
    </w:p>
    <w:p w14:paraId="03B0B0E0" w14:textId="77777777" w:rsidR="009D7677" w:rsidRDefault="009D7677" w:rsidP="009D7677">
      <w:pPr>
        <w:pStyle w:val="TextoNormal"/>
      </w:pPr>
    </w:p>
    <w:p w14:paraId="0F2F2C32" w14:textId="77777777" w:rsidR="009D7677" w:rsidRDefault="009D7677" w:rsidP="009D7677">
      <w:pPr>
        <w:pStyle w:val="TextoNormal"/>
      </w:pPr>
      <w:r w:rsidRPr="009D7677">
        <w:rPr>
          <w:rStyle w:val="NumeroAFNegritaCaracter"/>
        </w:rPr>
        <w:t>4</w:t>
      </w:r>
      <w:r>
        <w:t xml:space="preserve">. </w:t>
      </w:r>
      <w:r w:rsidRPr="009D7677">
        <w:rPr>
          <w:i/>
        </w:rPr>
        <w:t>Proyección de la doctrina al caso: otorgamiento del amparo</w:t>
      </w:r>
    </w:p>
    <w:p w14:paraId="032A2B0F" w14:textId="77777777" w:rsidR="009D7677" w:rsidRDefault="009D7677" w:rsidP="009D7677">
      <w:pPr>
        <w:pStyle w:val="TextoNormal"/>
      </w:pPr>
    </w:p>
    <w:p w14:paraId="583A3BBB" w14:textId="77777777" w:rsidR="009D7677" w:rsidRDefault="009D7677" w:rsidP="009D7677">
      <w:pPr>
        <w:pStyle w:val="TextoNormal"/>
      </w:pPr>
      <w:r>
        <w:t>La aplicación de la doctrina constitucional que antecede a este caso ha de conducir al otorgamiento del amparo, tal como también ha solicitado el Ministerio Fiscal.</w:t>
      </w:r>
    </w:p>
    <w:p w14:paraId="543BE261" w14:textId="77777777" w:rsidR="009D7677" w:rsidRDefault="009D7677" w:rsidP="009D7677">
      <w:pPr>
        <w:pStyle w:val="TextoNormal"/>
      </w:pPr>
    </w:p>
    <w:p w14:paraId="0FB60DEB" w14:textId="77777777" w:rsidR="009D7677" w:rsidRDefault="009D7677" w:rsidP="009D7677">
      <w:pPr>
        <w:pStyle w:val="TextoNormal"/>
      </w:pPr>
      <w:r>
        <w:t>Según se ha puesto de manifiesto en los antecedentes, la denegación de la tramitación del recurso de revisión planteado contra el decreto de 6 de abril de 2022, de valoración de un inmueble en el proceso de ejecución provisional, obedece a la consideración de que la constitución del depósito de veinticinco euros que se requiere para la interposición del mencionado recurso de revisión ha sido efectuada fuera del plazo establecido en la disposición adicional decimoquinta LOPJ.</w:t>
      </w:r>
    </w:p>
    <w:p w14:paraId="08873142" w14:textId="77777777" w:rsidR="009D7677" w:rsidRDefault="009D7677" w:rsidP="009D7677">
      <w:pPr>
        <w:pStyle w:val="TextoNormal"/>
      </w:pPr>
    </w:p>
    <w:p w14:paraId="0FB464AA" w14:textId="77777777" w:rsidR="009D7677" w:rsidRDefault="009D7677" w:rsidP="009D7677">
      <w:pPr>
        <w:pStyle w:val="TextoNormal"/>
      </w:pPr>
      <w:r>
        <w:t>Como consta en las actuaciones, el recurrente subsanó dicha omisión en el mismo día que le fue advertido el defecto con la notificación de la diligencia de ordenación de 26 de abril de 2022, que le otorgaba dos días hábiles para subsanar la falta de consignación del depósito legalmente exigible. Por tanto, dentro del plazo concedido para ello por el propio juzgado, procedió a consignar y presentar la documentación acreditativa del ingreso en la cuenta de depósitos y consignaciones judiciales. El demandante de amparo se limitó así a hacer uso de la posibilidad de subsanación que le ofreció el propio órgano jurisdiccional, de conformidad con el apartado 7 de la disposición adicional decimoquinta LOPJ. Sin embargo, esa misma posibilidad de subsanación, que fue conferida al recurrente por el propio juzgado, es luego omitida en la providencia objeto del presente recurso de amparo. En la diligencia de ordenación de la letrada de la administración de justicia, se abre al recurrente una vía de subsanación dentro de un plazo determinado y el recurrente hace un uso debido de ella, pero en la providencia la titular del juzgado procede a cerrar el camino convirtiendo en insubsanable ahora lo que antes era subsanable. El auto posterior que desestima el recurso de reposición interpuesto contra la referida providencia tampoco hace referencia al hecho de haber efectuado la subsanación dentro del plazo conferido al efecto, y se limita a confirmar que el depósito se consignó fuera del plazo para la interposición del recurso de revisión y que por tanto ese depósito era extemporáneo, pese a que en el recurso se efectuaron alegaciones sobre estas circunstancias. Se priva así al recurrente del acceso al recurso procedente contra el inicial decreto de 6 de abril de 2022.</w:t>
      </w:r>
    </w:p>
    <w:p w14:paraId="444907BD" w14:textId="77777777" w:rsidR="009D7677" w:rsidRDefault="009D7677" w:rsidP="009D7677">
      <w:pPr>
        <w:pStyle w:val="TextoNormal"/>
      </w:pPr>
    </w:p>
    <w:p w14:paraId="6303E2FB" w14:textId="77777777" w:rsidR="009D7677" w:rsidRDefault="009D7677" w:rsidP="009D7677">
      <w:pPr>
        <w:pStyle w:val="TextoNormal"/>
      </w:pPr>
      <w:r>
        <w:t>Consecuentemente, aunque la doctrina anteriormente citada acerca de la subsanabilidad del depósito para recurrir se refiera a la inadmisión de recursos de apelación civil, como señala el Ministerio Fiscal, ha de ser aplicada también a este supuesto, en el que es el pro</w:t>
      </w:r>
      <w:r>
        <w:lastRenderedPageBreak/>
        <w:t>pio órgano judicial el que concede el plazo de subsanación y luego inadmite el recurso argumentando que esa consignación ha de efectuarse dentro del plazo conferido para recurrir y no en el de subsanación.</w:t>
      </w:r>
    </w:p>
    <w:p w14:paraId="343E217D" w14:textId="77777777" w:rsidR="009D7677" w:rsidRDefault="009D7677" w:rsidP="009D7677">
      <w:pPr>
        <w:pStyle w:val="TextoNormal"/>
      </w:pPr>
    </w:p>
    <w:p w14:paraId="1DF46B21" w14:textId="77777777" w:rsidR="009D7677" w:rsidRDefault="009D7677" w:rsidP="009D7677">
      <w:pPr>
        <w:pStyle w:val="TextoNormal"/>
      </w:pPr>
      <w:r>
        <w:t>Se trata de una decisión que ignora no solo que la omisión del depósito es subsanable, conforme a la doctrina constitucional que antes se ha expuesto, sino también el propio criterio anterior del letrado de la administración de justicia. Debe ser considerada, por tanto, una resolución irrazonable y contraria al derecho de acceso a los recursos legalmente establecidos.</w:t>
      </w:r>
    </w:p>
    <w:p w14:paraId="5E877CE6" w14:textId="77777777" w:rsidR="009D7677" w:rsidRDefault="009D7677" w:rsidP="009D7677">
      <w:pPr>
        <w:pStyle w:val="TextoNormal"/>
      </w:pPr>
    </w:p>
    <w:p w14:paraId="7E8AFA36" w14:textId="44A078F7" w:rsidR="009D7677" w:rsidRDefault="009D7677" w:rsidP="009D7677">
      <w:pPr>
        <w:pStyle w:val="TextoNormal"/>
      </w:pPr>
      <w:r>
        <w:t>Por todo ello, ha de concluirse que la providencia de 20 de mayo de 2022 que deniega la admisión del recurso de revisión por falta de consignación en plazo del depósito para recurrir y el auto de 1 de julio de 2022 que la confirma vulneraron el derecho del recurrente a la tutela judicial efectiva (art. 24.1 CE), en la vertiente de acceso a los recursos legalmente establecidos, lo que conduce a la estimación del presente recurso de amparo.</w:t>
      </w:r>
    </w:p>
    <w:p w14:paraId="47929D77" w14:textId="77777777" w:rsidR="009D7677" w:rsidRDefault="009D7677" w:rsidP="009D7677">
      <w:pPr>
        <w:pStyle w:val="TextoNormal"/>
      </w:pPr>
    </w:p>
    <w:p w14:paraId="6659F913" w14:textId="77777777" w:rsidR="009D7677" w:rsidRDefault="009D7677" w:rsidP="009D7677">
      <w:pPr>
        <w:pStyle w:val="TextoNormal"/>
      </w:pPr>
      <w:r w:rsidRPr="009D7677">
        <w:rPr>
          <w:rStyle w:val="NumeroAFNegritaCaracter"/>
        </w:rPr>
        <w:t>5</w:t>
      </w:r>
      <w:r>
        <w:t xml:space="preserve">. </w:t>
      </w:r>
      <w:r w:rsidRPr="009D7677">
        <w:rPr>
          <w:i/>
        </w:rPr>
        <w:t>Alcance del otorgamiento de amparo</w:t>
      </w:r>
    </w:p>
    <w:p w14:paraId="5820CEE5" w14:textId="77777777" w:rsidR="009D7677" w:rsidRDefault="009D7677" w:rsidP="009D7677">
      <w:pPr>
        <w:pStyle w:val="TextoNormal"/>
      </w:pPr>
    </w:p>
    <w:p w14:paraId="19267A55" w14:textId="076EB700" w:rsidR="009D7677" w:rsidRDefault="009D7677" w:rsidP="009D7677">
      <w:pPr>
        <w:pStyle w:val="TextoNormal"/>
      </w:pPr>
      <w:r>
        <w:t>En cuanto al alcance del amparo a otorgar, conviene recordar que el recurrente solicita la declaración de nulidad de actuaciones de todo lo actuado desde el dictado de la providencia de 20 de mayo de 2022, que inadmite el recurso de revisión planteado contra el decreto de 6 de abril de 2022. Se trata, sin embargo, de una cuestión que excede de las consecuencias que deben derivarse del amparo solicitado, por cuanto que, como también ha señalado el Ministerio Fiscal, la pretensión que se ejercita se refiere a una circunstancia concreta dentro del devenir del procedimiento de ejecución provisional: la admisión del recurso de revisión contra el decreto que acuerda la determinación del valor de mercado de una finca señalada como garantía para hacer frente a la cuantía fijada en la ejecución. Se trata de una resolución interlocutoria que no impide la continuación del procedimiento. Por tanto, no cabe acceder a la pretensión formulada por el recurrente en los términos del suplico de su demanda de amparo, sino que deben retrotraerse las actuaciones al momento inmediatamente anterior a proveerse sobre el trámite de admisión del recurso de revisión presentado por el recurrente en amparo, con el fin, exclusivamente, de que se dicte por el juzgado otra resolución que resulte respetuosa con el derecho fundamental reconocido, manteniendo la validez del resto de las actuaciones.</w:t>
      </w:r>
    </w:p>
    <w:p w14:paraId="6FAF94F6" w14:textId="77777777" w:rsidR="009D7677" w:rsidRDefault="009D7677" w:rsidP="009D7677">
      <w:pPr>
        <w:pStyle w:val="TextoNormal"/>
      </w:pPr>
    </w:p>
    <w:p w14:paraId="6C61072D" w14:textId="77777777" w:rsidR="009D7677" w:rsidRDefault="009D7677" w:rsidP="009D7677">
      <w:pPr>
        <w:pStyle w:val="TextoNormalCentrado"/>
        <w:keepNext/>
      </w:pPr>
      <w:r>
        <w:t>FALLO</w:t>
      </w:r>
    </w:p>
    <w:p w14:paraId="1D83EE83" w14:textId="6961EA29" w:rsidR="009D7677" w:rsidRDefault="009D7677" w:rsidP="009D7677">
      <w:pPr>
        <w:pStyle w:val="TextoNormalCentrado"/>
        <w:keepNext/>
      </w:pPr>
    </w:p>
    <w:p w14:paraId="1C8967E4" w14:textId="77777777" w:rsidR="009D7677" w:rsidRDefault="009D7677" w:rsidP="009D7677">
      <w:pPr>
        <w:pStyle w:val="TextoNormal"/>
      </w:pPr>
      <w:r>
        <w:t>En atención a todo lo expuesto, el Tribunal Constitucional, por la autoridad que le confiere la Constitución de la Nación española, ha decidido estimar el recurso de amparo interpuesto por don José Luis Fernández-Castañón y de Amores y, en su virtud:</w:t>
      </w:r>
    </w:p>
    <w:p w14:paraId="243EED25" w14:textId="77777777" w:rsidR="009D7677" w:rsidRDefault="009D7677" w:rsidP="009D7677">
      <w:pPr>
        <w:pStyle w:val="TextoNormal"/>
      </w:pPr>
    </w:p>
    <w:p w14:paraId="7049CB2D" w14:textId="77777777" w:rsidR="009D7677" w:rsidRDefault="009D7677" w:rsidP="009D7677">
      <w:pPr>
        <w:pStyle w:val="TextoNormal"/>
      </w:pPr>
      <w:r>
        <w:t>1º Declarar que ha sido vulnerado su derecho fundamental a la tutela judicial efectiva (art. 24.1 CE).</w:t>
      </w:r>
    </w:p>
    <w:p w14:paraId="74D0AFE7" w14:textId="77777777" w:rsidR="009D7677" w:rsidRDefault="009D7677" w:rsidP="009D7677">
      <w:pPr>
        <w:pStyle w:val="TextoNormal"/>
      </w:pPr>
    </w:p>
    <w:p w14:paraId="242D7194" w14:textId="77777777" w:rsidR="009D7677" w:rsidRDefault="009D7677" w:rsidP="009D7677">
      <w:pPr>
        <w:pStyle w:val="TextoNormal"/>
      </w:pPr>
      <w:r>
        <w:t>2º Restablecerle en su derecho y, a tal fin, anular la providencia de 20 de mayo de 2022, dictada por el Juzgado de Primera Instancia e Instrucción núm. 4 de Dos Hermanas (Sevilla) en el procedimiento de ejecución provisional núm. 985-2020, por la que se inad</w:t>
      </w:r>
      <w:r>
        <w:lastRenderedPageBreak/>
        <w:t>mite el recurso de revisión planteado contra el decreto de 6 de abril de 2022, y el auto de 1 de julio de 2022, por el que se desestima el recurso de reposición interpuesto contra la referida providencia.</w:t>
      </w:r>
    </w:p>
    <w:p w14:paraId="6A6A4DDA" w14:textId="77777777" w:rsidR="009D7677" w:rsidRDefault="009D7677" w:rsidP="009D7677">
      <w:pPr>
        <w:pStyle w:val="TextoNormal"/>
      </w:pPr>
    </w:p>
    <w:p w14:paraId="7259E5EA" w14:textId="3C453BA9" w:rsidR="009D7677" w:rsidRDefault="009D7677" w:rsidP="009D7677">
      <w:pPr>
        <w:pStyle w:val="TextoNormal"/>
      </w:pPr>
      <w:r>
        <w:t>3º Retrotraer las actuaciones al momento inmediatamente anterior al de dictar la providencia de 20 de mayo de 2022, para que por el Juzgado de Primera Instancia e Instrucción núm. 4 de Dos Hermanas se dicte nueva resolución acerca de la admisión del recurso de revisión que sea respetuosa con el derecho fundamental reconocido.</w:t>
      </w:r>
    </w:p>
    <w:p w14:paraId="14FFCD52" w14:textId="77777777" w:rsidR="009D7677" w:rsidRDefault="009D7677" w:rsidP="009D7677">
      <w:pPr>
        <w:pStyle w:val="TextoNormal"/>
      </w:pPr>
    </w:p>
    <w:p w14:paraId="4646978A" w14:textId="77777777" w:rsidR="009D7677" w:rsidRDefault="009D7677" w:rsidP="009D7677">
      <w:pPr>
        <w:pStyle w:val="TextoNormal"/>
      </w:pPr>
      <w:r>
        <w:t>Publíquese esta sentencia en el “Boletín Oficial del Estado”.</w:t>
      </w:r>
    </w:p>
    <w:p w14:paraId="622CB4D4" w14:textId="77777777" w:rsidR="009D7677" w:rsidRDefault="009D7677" w:rsidP="009D7677">
      <w:pPr>
        <w:pStyle w:val="TextoNormal"/>
      </w:pPr>
      <w:r>
        <w:t>Dada en Madrid, a ocho de abril de dos mil veinticuatro.</w:t>
      </w:r>
    </w:p>
    <w:p w14:paraId="7EBCDBBB" w14:textId="2E469B82" w:rsidR="009D7677" w:rsidRDefault="009D7677">
      <w:pPr>
        <w:spacing w:after="160" w:line="259" w:lineRule="auto"/>
        <w:rPr>
          <w:rFonts w:ascii="Times New Roman" w:eastAsia="Times New Roman" w:hAnsi="Times New Roman" w:cs="Times New Roman"/>
          <w:sz w:val="24"/>
          <w:szCs w:val="24"/>
          <w:lang w:eastAsia="es-ES"/>
        </w:rPr>
      </w:pPr>
      <w:r>
        <w:br w:type="page"/>
      </w:r>
    </w:p>
    <w:p w14:paraId="0A411E86" w14:textId="77777777" w:rsidR="009D7677" w:rsidRDefault="009D7677" w:rsidP="009D7677">
      <w:pPr>
        <w:pStyle w:val="TtuloResolucin"/>
      </w:pPr>
      <w:bookmarkStart w:id="58" w:name="SENTENCIA_2024_56"/>
      <w:r>
        <w:lastRenderedPageBreak/>
        <w:t>SENTENCIA 56/2024, de 8 de abril de 2024</w:t>
      </w:r>
    </w:p>
    <w:bookmarkEnd w:id="58"/>
    <w:p w14:paraId="0677809D" w14:textId="77777777" w:rsidR="009D7677" w:rsidRDefault="009D7677" w:rsidP="009D7677">
      <w:pPr>
        <w:pStyle w:val="TtuloResolucin"/>
      </w:pPr>
      <w:r>
        <w:t>Sala Primera</w:t>
      </w:r>
    </w:p>
    <w:p w14:paraId="45BB4D49" w14:textId="77777777" w:rsidR="009D7677" w:rsidRDefault="009D7677" w:rsidP="009D7677">
      <w:pPr>
        <w:pStyle w:val="TtuloBOE"/>
      </w:pPr>
      <w:r>
        <w:t>(BOE núm. 118, de 15 de mayo de 2024)</w:t>
      </w:r>
    </w:p>
    <w:p w14:paraId="3C42817C" w14:textId="77777777" w:rsidR="009D7677" w:rsidRDefault="009D7677" w:rsidP="009D7677">
      <w:pPr>
        <w:pStyle w:val="TextoNormalCentrado"/>
      </w:pPr>
      <w:r>
        <w:t>ECLI:ES:TC:2024:56</w:t>
      </w:r>
    </w:p>
    <w:p w14:paraId="73420D82" w14:textId="480D2B4A" w:rsidR="009D7677" w:rsidRDefault="009D7677" w:rsidP="009D7677">
      <w:pPr>
        <w:pStyle w:val="TextoNormalCentrado"/>
      </w:pPr>
    </w:p>
    <w:p w14:paraId="60CFC3F7" w14:textId="77777777" w:rsidR="009D7677" w:rsidRDefault="009D7677" w:rsidP="009D7677">
      <w:pPr>
        <w:pStyle w:val="SntesisDescriptiva"/>
      </w:pPr>
      <w:r>
        <w:t>Recurso de amparo 8554-2022. Promovido por don A.J.S., respecto de los autos dictados por la Audiencia Provincial de Málaga y un juzgado de primera instancia de su capital que acordaron la administración de la vacuna frente a la covid-19.</w:t>
      </w:r>
    </w:p>
    <w:p w14:paraId="5ABF3B9F" w14:textId="755F370C" w:rsidR="009D7677" w:rsidRDefault="009D7677" w:rsidP="009D7677">
      <w:pPr>
        <w:pStyle w:val="SntesisDescriptiva"/>
      </w:pPr>
    </w:p>
    <w:p w14:paraId="1494C0CE" w14:textId="77777777" w:rsidR="009D7677" w:rsidRDefault="009D7677" w:rsidP="009D7677">
      <w:pPr>
        <w:pStyle w:val="SntesisAnaltica"/>
      </w:pPr>
      <w:r>
        <w:t>Supuesta vulneración de los derechos a la integridad física y a la tutela judicial efectiva: STC 148/2023 [resoluciones judiciales que realizaron una ponderación adecuada de los intereses de una persona menor de edad (STC 38/2023)].</w:t>
      </w:r>
    </w:p>
    <w:p w14:paraId="426519C0" w14:textId="3B99C12D" w:rsidR="009D7677" w:rsidRDefault="009D7677" w:rsidP="009D7677">
      <w:pPr>
        <w:pStyle w:val="SntesisAnaltica"/>
      </w:pPr>
    </w:p>
    <w:p w14:paraId="0404F115" w14:textId="6910203E" w:rsidR="009D7677" w:rsidRDefault="009D7677" w:rsidP="009D7677">
      <w:pPr>
        <w:pStyle w:val="Extracto"/>
      </w:pPr>
      <w:r>
        <w:t>1.</w:t>
      </w:r>
      <w:r>
        <w:tab/>
        <w:t xml:space="preserve">La capacidad general de autodeterminación de las personas menores de edad, en relación con las actuaciones médicas que les afectan, encuentra su límite en la protección de su interés superior, que se impone como obligación a los progenitores, en cuanto titulares de la patria potestad o autoridad familiar, y a todos los poderes públicos, incluida la autoridad judicial (STC 148/2023) </w:t>
      </w:r>
    </w:p>
    <w:p w14:paraId="0683D360" w14:textId="77777777" w:rsidR="009D7677" w:rsidRDefault="009D7677" w:rsidP="009D7677">
      <w:pPr>
        <w:pStyle w:val="Extracto"/>
      </w:pPr>
    </w:p>
    <w:p w14:paraId="5709D107" w14:textId="0878984C" w:rsidR="009D7677" w:rsidRDefault="009D7677" w:rsidP="009D7677">
      <w:pPr>
        <w:pStyle w:val="Extracto"/>
      </w:pPr>
      <w:r>
        <w:t>2.</w:t>
      </w:r>
      <w:r>
        <w:tab/>
        <w:t xml:space="preserve">La decisión de los representantes legales relativa al otorgamiento o no del consentimiento informado por representación deberá atender a la protección del derecho a la vida, supervivencia y desarrollo del menor y la satisfacción de sus necesidades básicas, tanto materiales, físicas y educativas como emocionales y afectivas [art. 2.2, letra a) de la Ley Orgánica 1/1996]; y es preciso buscar el mayor beneficio para la vida o salud del paciente menor de edad (STC 148/2023) </w:t>
      </w:r>
    </w:p>
    <w:p w14:paraId="1DE827BE" w14:textId="77777777" w:rsidR="009D7677" w:rsidRDefault="009D7677" w:rsidP="009D7677">
      <w:pPr>
        <w:pStyle w:val="Extracto"/>
      </w:pPr>
    </w:p>
    <w:p w14:paraId="11FE9506" w14:textId="77777777" w:rsidR="009D7677" w:rsidRDefault="009D7677" w:rsidP="009D7677">
      <w:pPr>
        <w:pStyle w:val="Extracto"/>
      </w:pPr>
    </w:p>
    <w:p w14:paraId="591ED8D4" w14:textId="77777777" w:rsidR="009D7677" w:rsidRDefault="009D7677" w:rsidP="009D7677">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356B3CCA" w14:textId="3DA7601C" w:rsidR="009D7677" w:rsidRDefault="009D7677" w:rsidP="009D7677">
      <w:pPr>
        <w:pStyle w:val="TextoNormal"/>
      </w:pPr>
    </w:p>
    <w:p w14:paraId="6FDBD55E" w14:textId="77777777" w:rsidR="009D7677" w:rsidRDefault="009D7677" w:rsidP="009D7677">
      <w:pPr>
        <w:pStyle w:val="TextoNormalCentrado"/>
        <w:keepNext/>
      </w:pPr>
      <w:r>
        <w:t>EN NOMBRE DEL REY</w:t>
      </w:r>
    </w:p>
    <w:p w14:paraId="7C90D3AF" w14:textId="5B15D6BC" w:rsidR="009D7677" w:rsidRDefault="009D7677" w:rsidP="009D7677">
      <w:pPr>
        <w:pStyle w:val="TextoNormalCentrado"/>
        <w:keepNext/>
      </w:pPr>
    </w:p>
    <w:p w14:paraId="018F8636" w14:textId="77777777" w:rsidR="009D7677" w:rsidRDefault="009D7677" w:rsidP="009D7677">
      <w:pPr>
        <w:pStyle w:val="TextoNormalCentrado"/>
        <w:keepNext/>
      </w:pPr>
    </w:p>
    <w:p w14:paraId="0494AB5F" w14:textId="77777777" w:rsidR="009D7677" w:rsidRDefault="009D7677" w:rsidP="009D7677">
      <w:pPr>
        <w:pStyle w:val="TextoNormal"/>
      </w:pPr>
      <w:r>
        <w:t>la siguiente</w:t>
      </w:r>
    </w:p>
    <w:p w14:paraId="0836CF26" w14:textId="39B58AA5" w:rsidR="009D7677" w:rsidRDefault="009D7677" w:rsidP="009D7677">
      <w:pPr>
        <w:pStyle w:val="TextoNormal"/>
      </w:pPr>
    </w:p>
    <w:p w14:paraId="6EAEF361" w14:textId="77777777" w:rsidR="009D7677" w:rsidRDefault="009D7677" w:rsidP="009D7677">
      <w:pPr>
        <w:pStyle w:val="TextoNormalCentrado"/>
        <w:keepNext/>
      </w:pPr>
      <w:r>
        <w:t>SENTENCIA</w:t>
      </w:r>
    </w:p>
    <w:p w14:paraId="768B3EB0" w14:textId="56F0CB2A" w:rsidR="009D7677" w:rsidRDefault="009D7677" w:rsidP="009D7677">
      <w:pPr>
        <w:pStyle w:val="TextoNormalCentrado"/>
        <w:keepNext/>
      </w:pPr>
    </w:p>
    <w:p w14:paraId="51AB3F6A" w14:textId="77777777" w:rsidR="009D7677" w:rsidRDefault="009D7677" w:rsidP="009D7677">
      <w:pPr>
        <w:pStyle w:val="TextoNormal"/>
      </w:pPr>
      <w:r>
        <w:t>En el recurso de amparo núm. 8554-2022, promovido por don A.J.S., contra el auto núm. 102/2022, de 28 de abril, dictado en el procedimiento de jurisdicción voluntaria núm. 168-2022 del Juzgado de Primera Instancia núm. 16 de Málaga, confirmado por el auto núm. 484/2022, de 1 de diciembre, recaído en el rollo de apelación civil núm. 1385-2022 de la Sección Sexta de la Audiencia Provincial de Málaga. Ha intervenido el Ministerio Fiscal y doña V.G.M., representada por el procurador don José Carlos Jiménez Segado y asistida por la abogada doña María Luisa González Peña. Ha sido ponente la magistrada doña Concepción Espejel Jorquera.</w:t>
      </w:r>
    </w:p>
    <w:p w14:paraId="673B092A" w14:textId="43BD5679" w:rsidR="009D7677" w:rsidRDefault="009D7677" w:rsidP="009D7677">
      <w:pPr>
        <w:pStyle w:val="TextoNormal"/>
      </w:pPr>
    </w:p>
    <w:p w14:paraId="6A91B8C0" w14:textId="77777777" w:rsidR="009D7677" w:rsidRDefault="009D7677" w:rsidP="009D7677">
      <w:pPr>
        <w:pStyle w:val="TextoNormalNegritaCentrado"/>
        <w:keepNext/>
      </w:pPr>
      <w:r>
        <w:t>I. Antecedentes</w:t>
      </w:r>
    </w:p>
    <w:p w14:paraId="61FEAAEB" w14:textId="01EFE0DA" w:rsidR="009D7677" w:rsidRDefault="009D7677" w:rsidP="009D7677">
      <w:pPr>
        <w:pStyle w:val="TextoNormalNegritaCentrado"/>
        <w:keepNext/>
      </w:pPr>
    </w:p>
    <w:p w14:paraId="43599346" w14:textId="191DB154" w:rsidR="009D7677" w:rsidRDefault="009D7677" w:rsidP="009D7677">
      <w:pPr>
        <w:pStyle w:val="TextoNormal"/>
      </w:pPr>
      <w:r w:rsidRPr="009D7677">
        <w:rPr>
          <w:rStyle w:val="NumeroAFNegritaCaracter"/>
        </w:rPr>
        <w:t>1</w:t>
      </w:r>
      <w:r>
        <w:t>. Con fecha 27 de diciembre de 2022 tuvo entrada en el registro general de este Tribunal Constitucional escrito de la procuradora de los tribunales, doña María José Ríos Padrón, en nombre y representación de don A.J.S., asistido del letrado don Alexis José Aneas Fernández, en el que formaliza demanda de amparo contra las resoluciones que constan en el encabezamiento.</w:t>
      </w:r>
    </w:p>
    <w:p w14:paraId="67FE96E4" w14:textId="77777777" w:rsidR="009D7677" w:rsidRDefault="009D7677" w:rsidP="009D7677">
      <w:pPr>
        <w:pStyle w:val="TextoNormal"/>
      </w:pPr>
    </w:p>
    <w:p w14:paraId="236C91AE" w14:textId="77777777" w:rsidR="009D7677" w:rsidRDefault="009D7677" w:rsidP="009D7677">
      <w:pPr>
        <w:pStyle w:val="TextoNormal"/>
      </w:pPr>
      <w:r w:rsidRPr="009D7677">
        <w:rPr>
          <w:rStyle w:val="NumeroAFNegritaCaracter"/>
        </w:rPr>
        <w:t>2</w:t>
      </w:r>
      <w:r>
        <w:t>. Los hechos relevantes para la resolución del recurso, tal y como se deducen de la demanda y la documentación aportada, son los siguientes:</w:t>
      </w:r>
    </w:p>
    <w:p w14:paraId="646CA4BF" w14:textId="77777777" w:rsidR="009D7677" w:rsidRDefault="009D7677" w:rsidP="009D7677">
      <w:pPr>
        <w:pStyle w:val="TextoNormal"/>
      </w:pPr>
    </w:p>
    <w:p w14:paraId="1E641C6D" w14:textId="77777777" w:rsidR="009D7677" w:rsidRDefault="009D7677" w:rsidP="009D7677">
      <w:pPr>
        <w:pStyle w:val="TextoNormal"/>
      </w:pPr>
      <w:r>
        <w:t>a) Al amparo de lo previsto en el art. 156 del Código civil el procurador don José Carlos Jiménez Segado, en representación de doña V.G.M., promovió el 17 de enero de 2022 expediente de jurisdicción voluntaria por divergencia en el ejercicio de la patria potestad respecto del otro progenitor —don A.J.S., ahora demandante de amparo— acerca de la facultad de decidir unilateralmente la inoculación de la vacuna contra la covid-19 a sus hijas menores de edad, nacidas el 17 de diciembre de 2012 y el 30 de junio de 2014, respectivamente.</w:t>
      </w:r>
    </w:p>
    <w:p w14:paraId="719BD901" w14:textId="77777777" w:rsidR="009D7677" w:rsidRDefault="009D7677" w:rsidP="009D7677">
      <w:pPr>
        <w:pStyle w:val="TextoNormal"/>
      </w:pPr>
    </w:p>
    <w:p w14:paraId="0CE4062C" w14:textId="77777777" w:rsidR="009D7677" w:rsidRDefault="009D7677" w:rsidP="009D7677">
      <w:pPr>
        <w:pStyle w:val="TextoNormal"/>
      </w:pPr>
      <w:r>
        <w:t>b) Admitida la solicitud por decreto de 24 de febrero de 2022, en el que se emplazó a la parte contraria, se incoó el expediente de jurisdicción voluntaria núm. 168-2022 en el Juzgado de Primera Instancia núm. 16 de Málaga. El juzgado acordó citar de comparecencia para el día 18 de abril de 2022 a las partes y al Ministerio Fiscal. Llegado el día señalado, asistieron al acto todas las partes convocadas.</w:t>
      </w:r>
    </w:p>
    <w:p w14:paraId="408E2BF8" w14:textId="77777777" w:rsidR="009D7677" w:rsidRDefault="009D7677" w:rsidP="009D7677">
      <w:pPr>
        <w:pStyle w:val="TextoNormal"/>
      </w:pPr>
    </w:p>
    <w:p w14:paraId="6C8B6652" w14:textId="77777777" w:rsidR="009D7677" w:rsidRDefault="009D7677" w:rsidP="009D7677">
      <w:pPr>
        <w:pStyle w:val="TextoNormal"/>
      </w:pPr>
      <w:r>
        <w:t>c) Don A.J.S. formuló oposición a la solicitud presentada por doña V.G.M. y alegó, en esencia, la ausencia de evidencia médica-científica que justificara la inoculación de los medicamentos de terapia génica para la covid-19 en menores de edad, atendiendo a la gravedad de la enfermedad en menores, donde la tasa de mortalidad y de hospitalización es muy baja, y a los efectos adversos que puede llevar aparejada la vacuna, que pueden ser muy superiores a la ausencia de vacunación.</w:t>
      </w:r>
    </w:p>
    <w:p w14:paraId="70CE8A78" w14:textId="77777777" w:rsidR="009D7677" w:rsidRDefault="009D7677" w:rsidP="009D7677">
      <w:pPr>
        <w:pStyle w:val="TextoNormal"/>
      </w:pPr>
    </w:p>
    <w:p w14:paraId="7D6EE8A1" w14:textId="77777777" w:rsidR="009D7677" w:rsidRDefault="009D7677" w:rsidP="009D7677">
      <w:pPr>
        <w:pStyle w:val="TextoNormal"/>
      </w:pPr>
      <w:r>
        <w:t>d) Tras la celebración de la comparecencia, el juzgado dictó el auto núm. 102/2022, de 28 de abril, por el que estimó la pretensión de doña V.G.M. y le atribuyó la facultad de decidir sobre la inoculación de la vacuna a las hijas comunes menores de edad, sin necesidad de intervención del padre en tal decisión.</w:t>
      </w:r>
    </w:p>
    <w:p w14:paraId="70D9D35F" w14:textId="77777777" w:rsidR="009D7677" w:rsidRDefault="009D7677" w:rsidP="009D7677">
      <w:pPr>
        <w:pStyle w:val="TextoNormal"/>
      </w:pPr>
    </w:p>
    <w:p w14:paraId="55B4ACD1" w14:textId="77777777" w:rsidR="009D7677" w:rsidRDefault="009D7677" w:rsidP="009D7677">
      <w:pPr>
        <w:pStyle w:val="TextoNormal"/>
      </w:pPr>
      <w:r>
        <w:t>Expuesta de forma sintética, la decisión judicial se fundamenta en los siguientes argumentos:</w:t>
      </w:r>
    </w:p>
    <w:p w14:paraId="0E2930F1" w14:textId="77777777" w:rsidR="009D7677" w:rsidRDefault="009D7677" w:rsidP="009D7677">
      <w:pPr>
        <w:pStyle w:val="TextoNormal"/>
      </w:pPr>
    </w:p>
    <w:p w14:paraId="639FFA65" w14:textId="77777777" w:rsidR="009D7677" w:rsidRDefault="009D7677" w:rsidP="009D7677">
      <w:pPr>
        <w:pStyle w:val="TextoNormal"/>
      </w:pPr>
      <w:r>
        <w:t>(i) La recomendación sanitaria autorizada en España para esta vacunación a menores de edad se basa en criterios de salud a favor del menor receptor, con el mismo sostén científico y médico que se aplica al resto de vacunas dado su carácter preventivo; así se han pronunciado la Comisión de Salud Pública y la Asociación Española de Pediatría, y se ha comprobado la utilidad y efectos de la vacuna en el amplio rango de población ya vacunada, incluida la población infantil.</w:t>
      </w:r>
    </w:p>
    <w:p w14:paraId="7825AEF3" w14:textId="77777777" w:rsidR="009D7677" w:rsidRDefault="009D7677" w:rsidP="009D7677">
      <w:pPr>
        <w:pStyle w:val="TextoNormal"/>
      </w:pPr>
    </w:p>
    <w:p w14:paraId="77677422" w14:textId="77777777" w:rsidR="009D7677" w:rsidRDefault="009D7677" w:rsidP="009D7677">
      <w:pPr>
        <w:pStyle w:val="TextoNormal"/>
      </w:pPr>
      <w:r>
        <w:t>(ii) El padre de las menores no ha ofrecido argumentos médicos referidos a las condiciones de aquellas que hicieran no recomendable vacunarlas, sino que se remite a argumentos generalistas sobre meras probabilidades de efectos secundarios.</w:t>
      </w:r>
    </w:p>
    <w:p w14:paraId="4D56A301" w14:textId="77777777" w:rsidR="009D7677" w:rsidRDefault="009D7677" w:rsidP="009D7677">
      <w:pPr>
        <w:pStyle w:val="TextoNormal"/>
      </w:pPr>
    </w:p>
    <w:p w14:paraId="014D557A" w14:textId="77777777" w:rsidR="009D7677" w:rsidRDefault="009D7677" w:rsidP="009D7677">
      <w:pPr>
        <w:pStyle w:val="TextoNormal"/>
      </w:pPr>
      <w:r>
        <w:t>(iii) Las menores han recibido todo el calendario vacunal con consentimiento de ambos progenitores, resultando de conocimiento común que todas las vacunas pueden tener efectos secundarios, pese a lo cual no existió impedimento para su administración.</w:t>
      </w:r>
    </w:p>
    <w:p w14:paraId="167517CE" w14:textId="77777777" w:rsidR="009D7677" w:rsidRDefault="009D7677" w:rsidP="009D7677">
      <w:pPr>
        <w:pStyle w:val="TextoNormal"/>
      </w:pPr>
    </w:p>
    <w:p w14:paraId="7AB810C9" w14:textId="77777777" w:rsidR="009D7677" w:rsidRDefault="009D7677" w:rsidP="009D7677">
      <w:pPr>
        <w:pStyle w:val="TextoNormal"/>
      </w:pPr>
      <w:r>
        <w:t xml:space="preserve">(iv) El criterio de la madre es el que puede realmente permitir proteger el superior interés de las menores al no negarse a considerar la opción de vacunación, lo cual demuestra la correcta aplicación de un criterio de decisión fundado, que valora todas las posibilidades sin excluir </w:t>
      </w:r>
      <w:r w:rsidRPr="009D7677">
        <w:rPr>
          <w:i/>
        </w:rPr>
        <w:t>a priori</w:t>
      </w:r>
      <w:r>
        <w:t xml:space="preserve"> ninguna, criterio que será el finalmente determinante conforme a la recomendación médica.</w:t>
      </w:r>
    </w:p>
    <w:p w14:paraId="0F0E7B2A" w14:textId="77777777" w:rsidR="009D7677" w:rsidRDefault="009D7677" w:rsidP="009D7677">
      <w:pPr>
        <w:pStyle w:val="TextoNormal"/>
      </w:pPr>
    </w:p>
    <w:p w14:paraId="69ECEB97" w14:textId="77777777" w:rsidR="009D7677" w:rsidRDefault="009D7677" w:rsidP="009D7677">
      <w:pPr>
        <w:pStyle w:val="TextoNormal"/>
      </w:pPr>
      <w:r>
        <w:t>e) El padre de las menores interpuso recurso de apelación contra la anterior resolución mediante escrito fechado el 26 de mayo de 2022, en el que alegó la vulneración del derecho a la tutela judicial efectiva (art. 24.1 CE), por déficit de motivación del auto impugnado, así como la infracción del art. 6.1 del Convenio de Oviedo de 4 de abril de 1997, para la protección de los derechos humanos y la dignidad del ser humano con respecto a las aplicaciones de la Biología y la Medicina (Convenio relativo a los derechos humanos y la biomedicina); los arts. 8 y 9.5 de la Ley 41/2002, de autonomía del paciente, por falta de consentimiento informado; los arts. 3.1 c) y h); 3.2; 4 y 5 del Real Decreto 1090/2015, de 4 de diciembre, por el que se regulan los ensayos clínicos con medicamentos, los comités de ética de la investigación con medicamentos y el registro español de estudios clínicos; y el art. 19.2 c) del Real Decreto Legislativo 1/2015, de 24 de julio, sobe la necesidad de prescripción médica. Asimismo, alegó "falta de jurisdicción" y la primacía del superior interés del menor respecto al interés social de la vacunación.</w:t>
      </w:r>
    </w:p>
    <w:p w14:paraId="2A8F6F71" w14:textId="77777777" w:rsidR="009D7677" w:rsidRDefault="009D7677" w:rsidP="009D7677">
      <w:pPr>
        <w:pStyle w:val="TextoNormal"/>
      </w:pPr>
    </w:p>
    <w:p w14:paraId="7EE90687" w14:textId="77777777" w:rsidR="009D7677" w:rsidRDefault="009D7677" w:rsidP="009D7677">
      <w:pPr>
        <w:pStyle w:val="TextoNormal"/>
      </w:pPr>
      <w:r>
        <w:t>Al recurso de apelación se opusieron doña V.G.M. y el Ministerio Fiscal.</w:t>
      </w:r>
    </w:p>
    <w:p w14:paraId="0A156CAE" w14:textId="77777777" w:rsidR="009D7677" w:rsidRDefault="009D7677" w:rsidP="009D7677">
      <w:pPr>
        <w:pStyle w:val="TextoNormal"/>
      </w:pPr>
    </w:p>
    <w:p w14:paraId="587D214E" w14:textId="77777777" w:rsidR="009D7677" w:rsidRDefault="009D7677" w:rsidP="009D7677">
      <w:pPr>
        <w:pStyle w:val="TextoNormal"/>
      </w:pPr>
      <w:r>
        <w:t>f) La impugnación dio lugar al rollo de apelación civil núm. 1385-2022 de la Sección Sexta de la Audiencia Provincial de Málaga, que desestimó el recurso y confirmó la resolución impugnada mediante el auto núm. 484/2022, de 1 de diciembre.</w:t>
      </w:r>
    </w:p>
    <w:p w14:paraId="11EA7CF6" w14:textId="77777777" w:rsidR="009D7677" w:rsidRDefault="009D7677" w:rsidP="009D7677">
      <w:pPr>
        <w:pStyle w:val="TextoNormal"/>
      </w:pPr>
    </w:p>
    <w:p w14:paraId="7E5FF336" w14:textId="77777777" w:rsidR="009D7677" w:rsidRDefault="009D7677" w:rsidP="009D7677">
      <w:pPr>
        <w:pStyle w:val="TextoNormal"/>
      </w:pPr>
      <w:r>
        <w:t>Al margen de las cuestiones procesales planteadas en el recurso de apelación, en lo que ahora interesa para la resolución de este recurso de amparo, la Sala centra el objeto de la controversia: no se trata de si las menores han de ser vacunadas o no contra la covid-19, sino decidir, ante la discrepancia surgida entre los progenitores en el ejercicio de la patria potestad, si procede o no atribuir a la madre en exclusiva su ejercicio. Dicho lo anterior, el auto confirma que ha de recaer en la madre la atribución en exclusiva de la decisión sobre la vacunación a las hijas, sobre la base de las siguientes consideraciones:</w:t>
      </w:r>
    </w:p>
    <w:p w14:paraId="6E952046" w14:textId="77777777" w:rsidR="009D7677" w:rsidRDefault="009D7677" w:rsidP="009D7677">
      <w:pPr>
        <w:pStyle w:val="TextoNormal"/>
      </w:pPr>
    </w:p>
    <w:p w14:paraId="24763DAB" w14:textId="77777777" w:rsidR="009D7677" w:rsidRDefault="009D7677" w:rsidP="009D7677">
      <w:pPr>
        <w:pStyle w:val="TextoNormal"/>
      </w:pPr>
      <w:r>
        <w:t xml:space="preserve">(i) La solución que se adopte no puede estar presidida por la búsqueda de una verdad material de tipo científico (bondad o no de la vacuna), principio que no rige en el proceso civil a la vista de las limitaciones que para el mismo suponen los principios de alegación de parte, rogación y dispositivo. Consecuentemente, la sala no entra en una polémica científica sobre las bondades o no de la vacuna frente a la covid-19 en menores de edad, pues </w:t>
      </w:r>
      <w:r>
        <w:lastRenderedPageBreak/>
        <w:t>es indiscutible que en el actual estado de conocimiento de los científicos y expertos en la materia, existen opiniones y criterios encontrados, muchos de aparente solvencia y otros no tanto, circunstancia esta que excluye un examen científico pormenorizado de la abundante documentación sobre la cuestión aportada al procedimiento.</w:t>
      </w:r>
    </w:p>
    <w:p w14:paraId="181B416E" w14:textId="77777777" w:rsidR="009D7677" w:rsidRDefault="009D7677" w:rsidP="009D7677">
      <w:pPr>
        <w:pStyle w:val="TextoNormal"/>
      </w:pPr>
    </w:p>
    <w:p w14:paraId="541201FF" w14:textId="77777777" w:rsidR="009D7677" w:rsidRDefault="009D7677" w:rsidP="009D7677">
      <w:pPr>
        <w:pStyle w:val="TextoNormal"/>
      </w:pPr>
      <w:r>
        <w:t>(ii) Al tratarse de una decisión que afecta a menores de edad, su interés ha de presidir los criterios para la resolución que se adopte.</w:t>
      </w:r>
    </w:p>
    <w:p w14:paraId="20B1878A" w14:textId="77777777" w:rsidR="009D7677" w:rsidRDefault="009D7677" w:rsidP="009D7677">
      <w:pPr>
        <w:pStyle w:val="TextoNormal"/>
      </w:pPr>
    </w:p>
    <w:p w14:paraId="3D6598FC" w14:textId="77777777" w:rsidR="009D7677" w:rsidRDefault="009D7677" w:rsidP="009D7677">
      <w:pPr>
        <w:pStyle w:val="TextoNormal"/>
      </w:pPr>
      <w:r>
        <w:t>(iii) Las objeciones del padre se centran en que nos encontraríamos ante una vacuna basada en una técnica novedosa, cuyos riesgos no estarían debidamente estudiados a medio-largo plazo y que podrían ocasionar efectos secundarios indeseados a las menores, alegación que se basa en argumentos de carácter generalista relativos a tales posibles efectos —precisa la sala que todas las vacunas los tienen y las menores, según han reconocido los padres, han cumplido todo el calendario vacunal con el consentimiento de ambos, quienes son conscientes de que cualquier vacuna puede tener efectos secundarios—, y si bien es cierto que se está ante una vacuna novedosa, basada en una técnica pionera y desarrollada en tiempo récord, esto no la convierte en un tratamiento inseguro o peligroso para la salud, porque la vacuna ha sido aprobada por la Agencia Europea del Medicamento, y la cuestión es eminentemente técnica, en la que frente a interpretaciones subjetivas y parciales efectuadas por profanos en la materia, debe otorgarse prevalencia a las conclusiones que han alcanzado la mayoría de los expertos y especialistas tras el análisis objetivo de los datos clínicos que han arrojado los ensayos y experimentos realizados, siendo que la recomendación sanitaria autorizada en España para la vacunación de menores de edad se basa en criterios de salud, con el mismo sostén científico que se aplica al resto de vacunas, todas de carácter preventivo, y en tal sentido se han pronunciado la Comisión de Salud Pública y la Asociación Española de Pediatría.</w:t>
      </w:r>
    </w:p>
    <w:p w14:paraId="1D44CE97" w14:textId="77777777" w:rsidR="009D7677" w:rsidRDefault="009D7677" w:rsidP="009D7677">
      <w:pPr>
        <w:pStyle w:val="TextoNormal"/>
      </w:pPr>
    </w:p>
    <w:p w14:paraId="7E268CC0" w14:textId="590A1609" w:rsidR="009D7677" w:rsidRDefault="009D7677" w:rsidP="009D7677">
      <w:pPr>
        <w:pStyle w:val="TextoNormal"/>
      </w:pPr>
      <w:r>
        <w:t>(iv) Frente a la ausencia de riesgo relevante en la administración de la vacuna, la sala analiza los riesgos que para el paciente pudieran derivarse en caso de no serle dispensada. A este respecto, señala que la realidad cotidiana muestra la alta transmisibilidad del virus y la gravedad en muchos casos de las consecuencias de padecerlo. Es un hecho notorio que la vacuna en cuestión para los menores de entre cinco y doce años ha sido aprobada por la Agencia Europea del Medicamento y por la Agencia Española del Medicamento y Productos Sanitarios; la OMS (Organización Mundial de la Salud) reconoce que la vacuna de Pfizer puede administrarse con seguridad a niños a partir de los cinco años; el Ministerio de Sanidad de España refiere que actualmente se dispone de una vacuna autorizada para administrar a este grupo de población entre cinco y doce años (Comirnaty 10 μg/dosis, Pfizer-BioNTech); y el principal estudio que ha permitido autorizar el uso de esta vacuna en menores muestra que la administración de dos dosis es segura y eficaz en el indicado grupo de edad. Siendo cierto que la citada vacuna Comirnaty 10 μg/dosis está contraindicada en personas con antecedentes de reacciones alérgicas graves a una dosis previa de la propia vacuna o a algún componente de la misma, igualmente lo es que el padre de las menores manifestó que estas habían recibido la pauta de vacunación completa, aun siendo conscientes los padres de que cualquier vacuna puede tener efectos secundarios. Por último, la sala declara que las menores están sanas y no padecen de algún tipo de alergia, sin que se haya aportado ningún informe médico que desaconseje su vacunación frente a la covid-19.</w:t>
      </w:r>
    </w:p>
    <w:p w14:paraId="4F1A5AAC" w14:textId="77777777" w:rsidR="009D7677" w:rsidRDefault="009D7677" w:rsidP="009D7677">
      <w:pPr>
        <w:pStyle w:val="TextoNormal"/>
      </w:pPr>
    </w:p>
    <w:p w14:paraId="351E6C6F" w14:textId="77777777" w:rsidR="009D7677" w:rsidRDefault="009D7677" w:rsidP="009D7677">
      <w:pPr>
        <w:pStyle w:val="TextoNormal"/>
      </w:pPr>
      <w:r w:rsidRPr="009D7677">
        <w:rPr>
          <w:rStyle w:val="NumeroAFNegritaCaracter"/>
        </w:rPr>
        <w:lastRenderedPageBreak/>
        <w:t>3</w:t>
      </w:r>
      <w:r>
        <w:t>. El recurrente en la demanda de amparo alega, en esencia, que las resoluciones judiciales impugnadas vulneran los derechos fundamentales a la tutela judicial efectiva (art. 24 CE) en relación con el principio de la seguridad jurídica (art. 9.3 CE), así como los derechos fundamentales a la integridad física y moral (art. 15 CE) y a la igualdad y no discriminación (art. 14 CE), al atribuir unilateralmente a uno de los progenitores, mediante resolución judicial dictada en procedimiento de jurisdicción voluntaria, la facultad de inocular a las hijas menores de edad “las denominadas vacunas contra la covid-19 —en su estatus actual—, esto es, como medicamento bajo distintivo triángulo negro, bajo autorización condicional y seguimiento adicional, y que, para confirmar la eficacia y seguridad el fabricante deberá enviar el informe del estudio clínico final para el estudio aleatorizado, controlado con placebo y con enmascaramiento en diciembre de 2023 (plazo ampliado cinco años más por los graves casos de pericarditis y miocarditis)”.</w:t>
      </w:r>
    </w:p>
    <w:p w14:paraId="10FE7565" w14:textId="77777777" w:rsidR="009D7677" w:rsidRDefault="009D7677" w:rsidP="009D7677">
      <w:pPr>
        <w:pStyle w:val="TextoNormal"/>
      </w:pPr>
    </w:p>
    <w:p w14:paraId="05A8CF43" w14:textId="77777777" w:rsidR="009D7677" w:rsidRDefault="009D7677" w:rsidP="009D7677">
      <w:pPr>
        <w:pStyle w:val="TextoNormal"/>
      </w:pPr>
      <w:r>
        <w:t>En este sentido, sostiene el recurrente, el derecho a la igualdad exige de los poderes públicos un deber de abstención para no generar diferencias arbitrarias como la que se ha producido en este caso, donde la diferencia de trato ni está justificada ni es razonable.</w:t>
      </w:r>
    </w:p>
    <w:p w14:paraId="588394F2" w14:textId="77777777" w:rsidR="009D7677" w:rsidRDefault="009D7677" w:rsidP="009D7677">
      <w:pPr>
        <w:pStyle w:val="TextoNormal"/>
      </w:pPr>
    </w:p>
    <w:p w14:paraId="291762C8" w14:textId="77777777" w:rsidR="009D7677" w:rsidRDefault="009D7677" w:rsidP="009D7677">
      <w:pPr>
        <w:pStyle w:val="TextoNormal"/>
      </w:pPr>
      <w:r>
        <w:t>Añade que “las menores han pasado la covid-19 por lo que ya poseen inmunidad natural que, como ha quedado acreditado es más perdurable y efectiva que la protección producida por las vacunas contra la covid-19 que solo producen una reacción inmunitaria contra la proteína ‘S’, justo aquella propensa a la mutación, causante de la fuga vacunal y la ineficacia de estas vacunas para frenar los contagios como quedó evidenciado ante la variante ómicron”.</w:t>
      </w:r>
    </w:p>
    <w:p w14:paraId="75CA4142" w14:textId="77777777" w:rsidR="009D7677" w:rsidRDefault="009D7677" w:rsidP="009D7677">
      <w:pPr>
        <w:pStyle w:val="TextoNormal"/>
      </w:pPr>
    </w:p>
    <w:p w14:paraId="733DD6EF" w14:textId="77777777" w:rsidR="009D7677" w:rsidRDefault="009D7677" w:rsidP="009D7677">
      <w:pPr>
        <w:pStyle w:val="TextoNormal"/>
      </w:pPr>
      <w:r>
        <w:t>Por otra parte, insiste, no hay evidencias científicas que acrediten la bondad de la vacuna ni el beneficio individual para las menores, lo que supone que se ha vulnerado el interés superior del menor, pues los estudios científicos demuestran que el riesgo para su salud derivado de la ausencia de vacuna es inferior al riesgo de contraer la enfermedad.</w:t>
      </w:r>
    </w:p>
    <w:p w14:paraId="08690523" w14:textId="77777777" w:rsidR="009D7677" w:rsidRDefault="009D7677" w:rsidP="009D7677">
      <w:pPr>
        <w:pStyle w:val="TextoNormal"/>
      </w:pPr>
    </w:p>
    <w:p w14:paraId="436B494D" w14:textId="77777777" w:rsidR="009D7677" w:rsidRDefault="009D7677" w:rsidP="009D7677">
      <w:pPr>
        <w:pStyle w:val="TextoNormal"/>
      </w:pPr>
      <w:r>
        <w:t>Afirma que hubo ausencia de consentimiento informado y que el interés superior del menor no debe menoscabarse a favor de un tercero, ya que en tal caso quedaría subordinado al supuesto interés de un tercero, además, adulto.</w:t>
      </w:r>
    </w:p>
    <w:p w14:paraId="2D374119" w14:textId="77777777" w:rsidR="009D7677" w:rsidRDefault="009D7677" w:rsidP="009D7677">
      <w:pPr>
        <w:pStyle w:val="TextoNormal"/>
      </w:pPr>
    </w:p>
    <w:p w14:paraId="00C41403" w14:textId="77777777" w:rsidR="009D7677" w:rsidRDefault="009D7677" w:rsidP="009D7677">
      <w:pPr>
        <w:pStyle w:val="TextoNormal"/>
      </w:pPr>
      <w:r>
        <w:t>Finalmente, ha quedado acreditado, a su juicio, que las vacunas contra la covid-19 no proporcionan inmunidad total, como reconoce la propia ficha técnica del medicamento, dado que no contiene SARS-CoV-2 atenuado, sino que provoca la producción endógena de la proteína S (una fracción minúscula del virus) en los inoculados, con el fin de generar anticuerpos contra esta proteína, por lo que no impide infectarse de SARS-CoV-2 y ser fuente de contagio en condiciones semejantes a la población no vacunada. Asimismo, no cabe invocar el interés social, pues ha quedado acreditado que las vacunas contra la covid-19 no impiden el contagio y la transmisión de las nuevas variantes (delta u ómicron, que muestran mutaciones en la proteína S) en los inoculados, y que Pfizer ha admitido a la FDA (Administración de Alimentos y Medicamentos del gobierno de Estados Unidos) las limitaciones del estudio de seguridad de la vacuna para menores de edad, dado que no evaluó los riesgos asociados al corazón (miocarditis, pericarditis, etc.), genotoxicidad ni carcinogenicidad.</w:t>
      </w:r>
    </w:p>
    <w:p w14:paraId="2B001174" w14:textId="77777777" w:rsidR="009D7677" w:rsidRDefault="009D7677" w:rsidP="009D7677">
      <w:pPr>
        <w:pStyle w:val="TextoNormal"/>
      </w:pPr>
    </w:p>
    <w:p w14:paraId="36B32862" w14:textId="77777777" w:rsidR="009D7677" w:rsidRDefault="009D7677" w:rsidP="009D7677">
      <w:pPr>
        <w:pStyle w:val="TextoNormal"/>
      </w:pPr>
      <w:r>
        <w:lastRenderedPageBreak/>
        <w:t>Desarrolla la queja por vulneración del derecho a la tutela judicial efectiva (art. 24 CE) y alega que los tribunales ordinarios han valorado las pruebas de manera errónea, en particular, los informes científicos de que disponían. Las resoluciones judiciales combatidas incurren por ello en motivación insuficiente.</w:t>
      </w:r>
    </w:p>
    <w:p w14:paraId="19DAAB66" w14:textId="77777777" w:rsidR="009D7677" w:rsidRDefault="009D7677" w:rsidP="009D7677">
      <w:pPr>
        <w:pStyle w:val="TextoNormal"/>
      </w:pPr>
    </w:p>
    <w:p w14:paraId="6AEA017A" w14:textId="314727BF" w:rsidR="009D7677" w:rsidRDefault="009D7677" w:rsidP="009D7677">
      <w:pPr>
        <w:pStyle w:val="TextoNormal"/>
      </w:pPr>
      <w:r>
        <w:t>En la demanda se solicita la nulidad de los autos recurridos y que se declare que no había lugar al procedimiento de jurisdicción voluntaria para la inoculación de la vacuna contra la covid-19, pues en este caso las menores están sanas y no se advierte ningún beneficio directo para su salud, y las resoluciones judiciales orillan el verdadero debate sobre la controversia entre los riesgos y los beneficios de la vacuna. Antes al contrario, abunda el demandante de amparo, todos los datos médicos y científicos contradicen los razonamientos judiciales.</w:t>
      </w:r>
    </w:p>
    <w:p w14:paraId="6EF3C2B6" w14:textId="77777777" w:rsidR="009D7677" w:rsidRDefault="009D7677" w:rsidP="009D7677">
      <w:pPr>
        <w:pStyle w:val="TextoNormal"/>
      </w:pPr>
    </w:p>
    <w:p w14:paraId="41ED3BDE" w14:textId="404C2467" w:rsidR="009D7677" w:rsidRDefault="009D7677" w:rsidP="009D7677">
      <w:pPr>
        <w:pStyle w:val="TextoNormal"/>
      </w:pPr>
      <w:r w:rsidRPr="009D7677">
        <w:rPr>
          <w:rStyle w:val="NumeroAFNegritaCaracter"/>
        </w:rPr>
        <w:t>4</w:t>
      </w:r>
      <w:r>
        <w:t>. Por diligencia de ordenación de la Secretaría de Justicia de la Sala Primera de este tribunal de 24 de enero de 2023, se puso en conocimiento del Ministerio Fiscal y de las partes, a los efectos oportunos, que, en virtud del acuerdo adoptado por el Pleno del Tribunal Constitucional el día 17 de enero de 2023, publicado en el “Boletín Oficial del Estado” de 19 de enero, el presente recurso de amparo había sido turnado a la Sección Primera de la Sala Primera del Tribunal Constitucional.</w:t>
      </w:r>
    </w:p>
    <w:p w14:paraId="3336B9AE" w14:textId="77777777" w:rsidR="009D7677" w:rsidRDefault="009D7677" w:rsidP="009D7677">
      <w:pPr>
        <w:pStyle w:val="TextoNormal"/>
      </w:pPr>
    </w:p>
    <w:p w14:paraId="6B5404E4" w14:textId="77777777" w:rsidR="009D7677" w:rsidRDefault="009D7677" w:rsidP="009D7677">
      <w:pPr>
        <w:pStyle w:val="TextoNormal"/>
      </w:pPr>
      <w:r w:rsidRPr="009D7677">
        <w:rPr>
          <w:rStyle w:val="NumeroAFNegritaCaracter"/>
        </w:rPr>
        <w:t>5</w:t>
      </w:r>
      <w:r>
        <w:t>. La Sala Primera del Tribunal Constitucional, por providencia de 3 de julio de 2023, acordó admitir a trámite el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de 25 de junio, FJ 2 a)] y, asimismo, porque el asunto suscitado trasciende del caso concreto porque plantea una cuestión jurídica de relevante y general repercusión social o económica [STC 155/2009, FJ 2 g)].</w:t>
      </w:r>
    </w:p>
    <w:p w14:paraId="3EB81EB1" w14:textId="77777777" w:rsidR="009D7677" w:rsidRDefault="009D7677" w:rsidP="009D7677">
      <w:pPr>
        <w:pStyle w:val="TextoNormal"/>
      </w:pPr>
    </w:p>
    <w:p w14:paraId="5FB42382" w14:textId="2101AAEA" w:rsidR="009D7677" w:rsidRDefault="009D7677" w:rsidP="009D7677">
      <w:pPr>
        <w:pStyle w:val="TextoNormal"/>
      </w:pPr>
      <w:r>
        <w:t>En la misma providencia se acordó, en aplicación de lo dispuesto en el art. 51 LOTC, dirigir atenta comunicación a la Audiencia Provincial de Málaga (Sección Sexta) a fin de que, en plazo no superior a diez días, remitiera certificación o fotocopia adverada de las actuaciones correspondientes al recurso de apelación 1385-2023, e, igualmente, al Juzgado de Primera Instancia núm. 16 de Málaga a fin de que, en plazo que no excediera de diez días, remitiera certificación o fotocopia adverada de las actuaciones correspondientes al procedimiento de jurisdicción voluntaria núm. 168-2022, debiendo emplazar previamente, para que en el plazo de diez días pudieran comparecer, si lo desearan, en el recurso de amparo, a quienes hubieran sido parte en el procedimiento, excepto la parte recurrente en amparo.</w:t>
      </w:r>
    </w:p>
    <w:p w14:paraId="0F701D0E" w14:textId="77777777" w:rsidR="009D7677" w:rsidRDefault="009D7677" w:rsidP="009D7677">
      <w:pPr>
        <w:pStyle w:val="TextoNormal"/>
      </w:pPr>
    </w:p>
    <w:p w14:paraId="2B201121" w14:textId="4B8B59AE" w:rsidR="009D7677" w:rsidRDefault="009D7677" w:rsidP="009D7677">
      <w:pPr>
        <w:pStyle w:val="TextoNormal"/>
      </w:pPr>
      <w:r w:rsidRPr="009D7677">
        <w:rPr>
          <w:rStyle w:val="NumeroAFNegritaCaracter"/>
        </w:rPr>
        <w:t>6</w:t>
      </w:r>
      <w:r>
        <w:t>. Mediante providencia de 3 de julio de 2023, se acordó, asimismo, a solicitud de la parte actora, la formación de la pieza separada de suspensión, con inicio de su tramitación de conformidad con lo prevenido en el art. 56 LOTC, que una vez finalizada concluyó mediante ATC 15/2024, de fecha 13 de febrero, que denegó la suspensión cautelar de las resoluciones judiciales impugnadas.</w:t>
      </w:r>
    </w:p>
    <w:p w14:paraId="582E1681" w14:textId="77777777" w:rsidR="009D7677" w:rsidRDefault="009D7677" w:rsidP="009D7677">
      <w:pPr>
        <w:pStyle w:val="TextoNormal"/>
      </w:pPr>
    </w:p>
    <w:p w14:paraId="0DD289E1" w14:textId="77777777" w:rsidR="009D7677" w:rsidRDefault="009D7677" w:rsidP="009D7677">
      <w:pPr>
        <w:pStyle w:val="TextoNormal"/>
      </w:pPr>
      <w:r w:rsidRPr="009D7677">
        <w:rPr>
          <w:rStyle w:val="NumeroAFNegritaCaracter"/>
        </w:rPr>
        <w:lastRenderedPageBreak/>
        <w:t>7</w:t>
      </w:r>
      <w:r>
        <w:t>. El 4 de diciembre de 2023 se registró escrito en el Tribunal Constitucional firmado por la representación procesal de doña V.G.M. en el que expresó su voluntad de personarse en este proceso y se opuso al recurso de amparo, antes del trámite de alegaciones previsto en el art. 52 LOTC. Alegó entonces que en ningún caso procede la estimación del recurso de amparo, dado que ninguna vulneración de rango constitucional se ha producido. En concreto, sostuvo que el derecho a la tutela judicial efectiva se satisface con una resolución fundada en Derecho que aparezca suficientemente motivada, para añadir que el hoy solicitante de amparo no ha explicado en absoluto en su recurso dónde se localiza la concreta vulneración denunciada.</w:t>
      </w:r>
    </w:p>
    <w:p w14:paraId="5F3B002B" w14:textId="77777777" w:rsidR="009D7677" w:rsidRDefault="009D7677" w:rsidP="009D7677">
      <w:pPr>
        <w:pStyle w:val="TextoNormal"/>
      </w:pPr>
    </w:p>
    <w:p w14:paraId="130455A2" w14:textId="77777777" w:rsidR="009D7677" w:rsidRDefault="009D7677" w:rsidP="009D7677">
      <w:pPr>
        <w:pStyle w:val="TextoNormal"/>
      </w:pPr>
      <w:r>
        <w:t>Respecto a las vulneraciones alegadas de contrario de los arts. 14 y 15 CE, insistió en que la demanda de amparo contenía alegaciones genéricas, retóricas y vacías de contenido. A su juicio, las resoluciones judiciales ahora combatidas eran respetuosas con el principio de equidad y habían tenido presente el interés superior de las menores, “ya que la recomendación sanitaria autorizada en nuestro país para la vacunación de menores de edad se basa en criterios de salud con el mismo sostén científico y médico que se aplica al resto de vacunas dado su carácter preventivo, habiéndose pronunciado en este sentido la Comisión de Salud Pública y la Sociedad Española de Pediatría”. Por otra parte, las resoluciones judiciales tienen en cuenta que las hijas menores han seguido el calendario de vacunas con el consentimiento de ambos progenitores, “y no hubo ningún impedimento para administrarla a las menores, por tanto el criterio de la madre (favorable a la vacuna) es el que realmente puede permitir proteger el superior interés de las hijas pues no se niega a considerar la opción de vacunación de las menores, lo que viene a acreditar el acierto de las resoluciones judiciales que se consideraran perjudiciales por la parte recurrente, ya que valora para las niñas todas las posibilidades sin excluir ninguna”.</w:t>
      </w:r>
    </w:p>
    <w:p w14:paraId="01DA2B09" w14:textId="77777777" w:rsidR="009D7677" w:rsidRDefault="009D7677" w:rsidP="009D7677">
      <w:pPr>
        <w:pStyle w:val="TextoNormal"/>
      </w:pPr>
    </w:p>
    <w:p w14:paraId="6B9ACA38" w14:textId="29B1A78D" w:rsidR="009D7677" w:rsidRDefault="009D7677" w:rsidP="009D7677">
      <w:pPr>
        <w:pStyle w:val="TextoNormal"/>
      </w:pPr>
      <w:r>
        <w:t>Por último, añadió que las resoluciones de los órganos judiciales son respetuosas y compatibles con la doctrina sentada en la STC 148/2023, de 6 de noviembre.</w:t>
      </w:r>
    </w:p>
    <w:p w14:paraId="7D3A55F6" w14:textId="77777777" w:rsidR="009D7677" w:rsidRDefault="009D7677" w:rsidP="009D7677">
      <w:pPr>
        <w:pStyle w:val="TextoNormal"/>
      </w:pPr>
    </w:p>
    <w:p w14:paraId="7C91A56B" w14:textId="77777777" w:rsidR="009D7677" w:rsidRDefault="009D7677" w:rsidP="009D7677">
      <w:pPr>
        <w:pStyle w:val="TextoNormal"/>
      </w:pPr>
      <w:r w:rsidRPr="009D7677">
        <w:rPr>
          <w:rStyle w:val="NumeroAFNegritaCaracter"/>
        </w:rPr>
        <w:t>8</w:t>
      </w:r>
      <w:r>
        <w:t>. Tras la subsanación de defecto de postulación, por diligencia de ordenación de 18 de diciembre de 2023 se tuvo al procurador don José Carlos Jiménez Segado por personado y parte en este proceso en nombre y representación de doña V.G.M.</w:t>
      </w:r>
    </w:p>
    <w:p w14:paraId="3248F1A8" w14:textId="77777777" w:rsidR="009D7677" w:rsidRDefault="009D7677" w:rsidP="009D7677">
      <w:pPr>
        <w:pStyle w:val="TextoNormal"/>
      </w:pPr>
    </w:p>
    <w:p w14:paraId="311D3E7A" w14:textId="6B4A230C" w:rsidR="009D7677" w:rsidRDefault="009D7677" w:rsidP="009D7677">
      <w:pPr>
        <w:pStyle w:val="TextoNormal"/>
      </w:pPr>
      <w:r>
        <w:t>Por diligencia de ordenación de la Sala Primera de este tribunal de 21 de diciembre de 2023, se tuvieron por recibidos los testimonios de las actuaciones que habían sido remitidos por la Sección Sexta de la Audiencia Provincial de Málaga y por el Juzgado de Primera Instancia núm. 16 de Málaga y, a tenor de lo dispuesto en el art. 52 LOTC, se acordó dar vista de las mismas, por un plazo común de veinte días, al Ministerio Fiscal y a las partes personadas, para que dentro de ese plazo pudieran presentar las alegaciones que a su derecho conviniera.</w:t>
      </w:r>
    </w:p>
    <w:p w14:paraId="32DAB67B" w14:textId="77777777" w:rsidR="009D7677" w:rsidRDefault="009D7677" w:rsidP="009D7677">
      <w:pPr>
        <w:pStyle w:val="TextoNormal"/>
      </w:pPr>
    </w:p>
    <w:p w14:paraId="2FEF20AD" w14:textId="77777777" w:rsidR="009D7677" w:rsidRDefault="009D7677" w:rsidP="009D7677">
      <w:pPr>
        <w:pStyle w:val="TextoNormal"/>
      </w:pPr>
      <w:r w:rsidRPr="009D7677">
        <w:rPr>
          <w:rStyle w:val="NumeroAFNegritaCaracter"/>
        </w:rPr>
        <w:t>9</w:t>
      </w:r>
      <w:r>
        <w:t xml:space="preserve">. Por escrito registrado el 18 de enero de 2023, la fiscal ante el Tribunal Constitucional solicitó la desestimación íntegra del recurso. Tras referirse a las vulneraciones alegadas en la demanda de amparo, aprecia que si bien se alega la vulneración de los derechos a la igualdad (art. 14 CE), a la integridad física (art. 15 CE) y a la tutela judicial efectiva (art. 24.1 CE), respecto del primero ninguna argumentación jurídica se contiene en el recurso, por lo que se trata de una mera invocación genérica que, al no tener el más mínimo </w:t>
      </w:r>
      <w:r>
        <w:lastRenderedPageBreak/>
        <w:t>desarrollo argumental ni articulación suficiente, impide un examen de la vulneración alegada. A mayor abundamiento, añade la fiscal, esta concreta vulneración no se denunció en el recurso de apelación, lo que la convierte en extemporánea.</w:t>
      </w:r>
    </w:p>
    <w:p w14:paraId="444F5EA6" w14:textId="77777777" w:rsidR="009D7677" w:rsidRDefault="009D7677" w:rsidP="009D7677">
      <w:pPr>
        <w:pStyle w:val="TextoNormal"/>
      </w:pPr>
    </w:p>
    <w:p w14:paraId="18040BD4" w14:textId="77777777" w:rsidR="009D7677" w:rsidRDefault="009D7677" w:rsidP="009D7677">
      <w:pPr>
        <w:pStyle w:val="TextoNormal"/>
      </w:pPr>
      <w:r>
        <w:t>Por otra parte, sostiene el Ministerio Público que el núcleo central de la pretensión del demandante de amparo es la queja sobre la vulneración del derecho a la integridad física y moral del art. 15 CE, por lo que la lesión planteada bajo la cobertura del art. 24.1 CE debe ser considerada como meramente instrumental de la anterior, lo que circunscribe el análisis de la fiscal en este sentido.</w:t>
      </w:r>
    </w:p>
    <w:p w14:paraId="2387CA3C" w14:textId="77777777" w:rsidR="009D7677" w:rsidRDefault="009D7677" w:rsidP="009D7677">
      <w:pPr>
        <w:pStyle w:val="TextoNormal"/>
      </w:pPr>
    </w:p>
    <w:p w14:paraId="3B898506" w14:textId="77777777" w:rsidR="009D7677" w:rsidRDefault="009D7677" w:rsidP="009D7677">
      <w:pPr>
        <w:pStyle w:val="TextoNormal"/>
      </w:pPr>
      <w:r>
        <w:t>En cuanto a la vulneración del derecho fundamental a la integridad física y moral del art. 15 CE, defiende el Ministerio Público que resultan de aplicación al caso los razonamientos contenidos en los fundamentos jurídicos 4 y 5 de la STC 148/2023, sobre vacunación de menores y la imposibilidad de que estos puedan prestar un consentimiento informado, lo que a su juicio descartaría la existencia de vulneración, precisamente porque se cumple el presupuesto básico que el art. 9.3 c) de la Ley 41/2002 establece para que pueda acudirse al consentimiento por representación: “las menores, de siete y nueve años de edad, carecían de la capacidad emocional e intelectual necesarias para comprender el alcance de la intervención y los padres contaban con la información adecuada para la prestación del consentimiento desde un momento anterior incluso a la iniciación del procedimiento de jurisdicción voluntaria, por lo que no cabe apreciar la ausencia de consentimiento informado”.</w:t>
      </w:r>
    </w:p>
    <w:p w14:paraId="7AEA7C28" w14:textId="77777777" w:rsidR="009D7677" w:rsidRDefault="009D7677" w:rsidP="009D7677">
      <w:pPr>
        <w:pStyle w:val="TextoNormal"/>
      </w:pPr>
    </w:p>
    <w:p w14:paraId="497E9D46" w14:textId="333E3B4B" w:rsidR="009D7677" w:rsidRDefault="009D7677" w:rsidP="009D7677">
      <w:pPr>
        <w:pStyle w:val="TextoNormal"/>
      </w:pPr>
      <w:r>
        <w:t>Finalmente, la fiscal aduce que la motivación de las resoluciones judiciales tuvo como fundamento esencial la protección del interés superior de las menores en relación con su salud, en atención a las recomendaciones de las autoridades sanitarias que se mostraban a favor de la vacunación de menores haciendo una ponderación de riesgos y beneficios de la vacuna, “que el órgano judicial no estima desvirtuadas por los informes aportados por el recurrente, sin que se haya acreditado tampoco contraindicación alguna para la vacunación de sus hijas”.</w:t>
      </w:r>
    </w:p>
    <w:p w14:paraId="37DC94B8" w14:textId="77777777" w:rsidR="009D7677" w:rsidRDefault="009D7677" w:rsidP="009D7677">
      <w:pPr>
        <w:pStyle w:val="TextoNormal"/>
      </w:pPr>
    </w:p>
    <w:p w14:paraId="177E1BD7" w14:textId="5BFEBCD4" w:rsidR="009D7677" w:rsidRDefault="009D7677" w:rsidP="009D7677">
      <w:pPr>
        <w:pStyle w:val="TextoNormal"/>
      </w:pPr>
      <w:r w:rsidRPr="009D7677">
        <w:rPr>
          <w:rStyle w:val="NumeroAFNegritaCaracter"/>
        </w:rPr>
        <w:t>10</w:t>
      </w:r>
      <w:r>
        <w:t>. Las representaciones procesales de las otras partes no presentaron escrito de alegaciones en el sentido requerido, lo que se hizo constar en diligencia de 13 de febrero de 2024.</w:t>
      </w:r>
    </w:p>
    <w:p w14:paraId="2B007595" w14:textId="77777777" w:rsidR="009D7677" w:rsidRDefault="009D7677" w:rsidP="009D7677">
      <w:pPr>
        <w:pStyle w:val="TextoNormal"/>
      </w:pPr>
    </w:p>
    <w:p w14:paraId="1455D26A" w14:textId="3B75F424" w:rsidR="009D7677" w:rsidRDefault="009D7677" w:rsidP="009D7677">
      <w:pPr>
        <w:pStyle w:val="TextoNormal"/>
      </w:pPr>
      <w:r w:rsidRPr="009D7677">
        <w:rPr>
          <w:rStyle w:val="NumeroAFNegritaCaracter"/>
        </w:rPr>
        <w:t>11</w:t>
      </w:r>
      <w:r>
        <w:t>. Por providencia de 4 de abril de 2024 se señaló para deliberación y votación de la presente sentencia el día 9 de abril de 2024.</w:t>
      </w:r>
    </w:p>
    <w:p w14:paraId="74BFBA52" w14:textId="77777777" w:rsidR="009D7677" w:rsidRDefault="009D7677" w:rsidP="009D7677">
      <w:pPr>
        <w:pStyle w:val="TextoNormal"/>
      </w:pPr>
    </w:p>
    <w:p w14:paraId="3155DB2B" w14:textId="77777777" w:rsidR="009D7677" w:rsidRDefault="009D7677" w:rsidP="009D7677">
      <w:pPr>
        <w:pStyle w:val="TextoNormalNegritaCentrado"/>
        <w:keepNext/>
      </w:pPr>
      <w:r>
        <w:t>II. Fundamentos jurídicos</w:t>
      </w:r>
    </w:p>
    <w:p w14:paraId="2D30DDC5" w14:textId="46B88F14" w:rsidR="009D7677" w:rsidRDefault="009D7677" w:rsidP="009D7677">
      <w:pPr>
        <w:pStyle w:val="TextoNormalNegritaCentrado"/>
        <w:keepNext/>
      </w:pPr>
    </w:p>
    <w:p w14:paraId="645BC5ED" w14:textId="77777777" w:rsidR="009D7677" w:rsidRDefault="009D7677" w:rsidP="009D7677">
      <w:pPr>
        <w:pStyle w:val="TextoNormal"/>
      </w:pPr>
      <w:r w:rsidRPr="009D7677">
        <w:rPr>
          <w:rStyle w:val="NumeroAFNegritaCaracter"/>
        </w:rPr>
        <w:t>1</w:t>
      </w:r>
      <w:r>
        <w:t xml:space="preserve">. </w:t>
      </w:r>
      <w:r w:rsidRPr="009D7677">
        <w:rPr>
          <w:i/>
        </w:rPr>
        <w:t>Objeto del recurso</w:t>
      </w:r>
    </w:p>
    <w:p w14:paraId="34901683" w14:textId="77777777" w:rsidR="009D7677" w:rsidRDefault="009D7677" w:rsidP="009D7677">
      <w:pPr>
        <w:pStyle w:val="TextoNormal"/>
      </w:pPr>
    </w:p>
    <w:p w14:paraId="49E6F400" w14:textId="77777777" w:rsidR="009D7677" w:rsidRDefault="009D7677" w:rsidP="009D7677">
      <w:pPr>
        <w:pStyle w:val="TextoNormal"/>
      </w:pPr>
      <w:r>
        <w:t xml:space="preserve">El presente recurso de amparo se dirige contra el auto núm. 102/2022, de 28 de abril, dictado en el procedimiento de jurisdicción voluntaria núm. 168-2022 del Juzgado de Primera Instancia núm. 16 de Málaga, que atribuyó a doña V.G.M. la facultad de decidir sobre la administración de la vacuna frente a la covid-19 a sus hijas menores de edad, y contra el auto núm. 484/2022, de 1 de diciembre, recaído en el rollo de apelación civil núm. </w:t>
      </w:r>
      <w:r>
        <w:lastRenderedPageBreak/>
        <w:t>1385-2022 de la Sección Sexta de la Audiencia Provincial de Málaga, confirmatorio del anterior.</w:t>
      </w:r>
    </w:p>
    <w:p w14:paraId="6DEE9719" w14:textId="77777777" w:rsidR="009D7677" w:rsidRDefault="009D7677" w:rsidP="009D7677">
      <w:pPr>
        <w:pStyle w:val="TextoNormal"/>
      </w:pPr>
    </w:p>
    <w:p w14:paraId="39A7E6E9" w14:textId="184E7523" w:rsidR="009D7677" w:rsidRDefault="009D7677" w:rsidP="009D7677">
      <w:pPr>
        <w:pStyle w:val="TextoNormal"/>
      </w:pPr>
      <w:r>
        <w:t>Dada la naturaleza de los hechos, debe señalarse que,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 27 de julio de 2015), la presente sentencia y demás actuaciones del proceso no incluyen la identificación completa de las personas menores de edad afectadas ni la de sus parientes inmediatos que aparecen mencionados en las actuaciones, con el fin de proteger la intimidad de aquellas.</w:t>
      </w:r>
    </w:p>
    <w:p w14:paraId="6BEF5D63" w14:textId="77777777" w:rsidR="009D7677" w:rsidRDefault="009D7677" w:rsidP="009D7677">
      <w:pPr>
        <w:pStyle w:val="TextoNormal"/>
      </w:pPr>
    </w:p>
    <w:p w14:paraId="46A5D190" w14:textId="77777777" w:rsidR="009D7677" w:rsidRDefault="009D7677" w:rsidP="009D7677">
      <w:pPr>
        <w:pStyle w:val="TextoNormal"/>
      </w:pPr>
      <w:r w:rsidRPr="009D7677">
        <w:rPr>
          <w:rStyle w:val="NumeroAFNegritaCaracter"/>
        </w:rPr>
        <w:t>2</w:t>
      </w:r>
      <w:r>
        <w:t xml:space="preserve">. </w:t>
      </w:r>
      <w:r w:rsidRPr="009D7677">
        <w:rPr>
          <w:i/>
        </w:rPr>
        <w:t>Cuestiones previas y delimitación de los derechos fundamentales concernidos</w:t>
      </w:r>
    </w:p>
    <w:p w14:paraId="647263D5" w14:textId="77777777" w:rsidR="009D7677" w:rsidRDefault="009D7677" w:rsidP="009D7677">
      <w:pPr>
        <w:pStyle w:val="TextoNormal"/>
      </w:pPr>
    </w:p>
    <w:p w14:paraId="4E2CDA20" w14:textId="77777777" w:rsidR="009D7677" w:rsidRDefault="009D7677" w:rsidP="009D7677">
      <w:pPr>
        <w:pStyle w:val="TextoNormal"/>
      </w:pPr>
      <w:r>
        <w:t>Con carácter previo al examen de las cuestiones de fondo planteadas en la demanda de amparo, deben hacerse las siguientes precisiones:</w:t>
      </w:r>
    </w:p>
    <w:p w14:paraId="35AFC510" w14:textId="77777777" w:rsidR="009D7677" w:rsidRDefault="009D7677" w:rsidP="009D7677">
      <w:pPr>
        <w:pStyle w:val="TextoNormal"/>
      </w:pPr>
    </w:p>
    <w:p w14:paraId="2768B323" w14:textId="77777777" w:rsidR="009D7677" w:rsidRDefault="009D7677" w:rsidP="009D7677">
      <w:pPr>
        <w:pStyle w:val="TextoNormal"/>
      </w:pPr>
      <w:r>
        <w:t>a) Debe rechazarse la alegación de inadecuación del procedimiento de jurisdicción voluntaria por los motivos indicados en la STC 148/2023, de 6 de noviembre, FJ 2 b).</w:t>
      </w:r>
    </w:p>
    <w:p w14:paraId="69D7254F" w14:textId="77777777" w:rsidR="009D7677" w:rsidRDefault="009D7677" w:rsidP="009D7677">
      <w:pPr>
        <w:pStyle w:val="TextoNormal"/>
      </w:pPr>
    </w:p>
    <w:p w14:paraId="1361E7C2" w14:textId="77777777" w:rsidR="009D7677" w:rsidRDefault="009D7677" w:rsidP="009D7677">
      <w:pPr>
        <w:pStyle w:val="TextoNormal"/>
      </w:pPr>
      <w:r>
        <w:t>b) En el recurso de amparo se alega la vulneración del derecho a la tutela judicial efectiva (art. 24.1 CE) porque las resoluciones judiciales no se ajustan al derecho positivo al conculcar los principios sobre valoración de la prueba, motivación y derecho de defensa, y residenciar su decisión en la recomendación de las autoridades sanitarias sin valorar los informes científicos aportados por el recurrente.</w:t>
      </w:r>
    </w:p>
    <w:p w14:paraId="082FEDD9" w14:textId="77777777" w:rsidR="009D7677" w:rsidRDefault="009D7677" w:rsidP="009D7677">
      <w:pPr>
        <w:pStyle w:val="TextoNormal"/>
      </w:pPr>
    </w:p>
    <w:p w14:paraId="5B082FF5" w14:textId="77777777" w:rsidR="009D7677" w:rsidRDefault="009D7677" w:rsidP="009D7677">
      <w:pPr>
        <w:pStyle w:val="TextoNormal"/>
      </w:pPr>
      <w:r>
        <w:t>c) Se invoca también la vulneración del derecho a la integridad física y moral (art. 15 CE) por falta de consentimiento informado. Todas estas vulneraciones se imputan a la decisión judicial que atribuye la facultad de decidir al progenitor favorable a la vacunación.</w:t>
      </w:r>
    </w:p>
    <w:p w14:paraId="6DAE3BA1" w14:textId="77777777" w:rsidR="009D7677" w:rsidRDefault="009D7677" w:rsidP="009D7677">
      <w:pPr>
        <w:pStyle w:val="TextoNormal"/>
      </w:pPr>
    </w:p>
    <w:p w14:paraId="151A99A0" w14:textId="77777777" w:rsidR="009D7677" w:rsidRDefault="009D7677" w:rsidP="009D7677">
      <w:pPr>
        <w:pStyle w:val="TextoNormal"/>
      </w:pPr>
      <w:r>
        <w:t>En realidad, estas cuestiones directamente vinculadas pueden reconducirse a la posible lesión del derecho fundamental a la integridad personal (art. 15 CE), de modo que las distintas quejas planteadas bajo la cobertura del art. 24.1 CE recibirán una respuesta conjunta en el fundamento jurídico siguiente, puesto que deben calificarse como instrumentales en el presente caso.</w:t>
      </w:r>
    </w:p>
    <w:p w14:paraId="488DF67E" w14:textId="77777777" w:rsidR="009D7677" w:rsidRDefault="009D7677" w:rsidP="009D7677">
      <w:pPr>
        <w:pStyle w:val="TextoNormal"/>
      </w:pPr>
    </w:p>
    <w:p w14:paraId="6D0083A6" w14:textId="7A847916" w:rsidR="009D7677" w:rsidRDefault="009D7677" w:rsidP="009D7677">
      <w:pPr>
        <w:pStyle w:val="TextoNormal"/>
      </w:pPr>
      <w:r>
        <w:t>Y en relación con la vulneración del derecho a la igualdad (art. 14 CE), el recurrente no llega a presentar un término de comparación válido, en los términos exigidos por la doctrina de este tribunal.</w:t>
      </w:r>
    </w:p>
    <w:p w14:paraId="1E69D1E7" w14:textId="77777777" w:rsidR="009D7677" w:rsidRDefault="009D7677" w:rsidP="009D7677">
      <w:pPr>
        <w:pStyle w:val="TextoNormal"/>
      </w:pPr>
    </w:p>
    <w:p w14:paraId="7A052091" w14:textId="77777777" w:rsidR="009D7677" w:rsidRDefault="009D7677" w:rsidP="009D7677">
      <w:pPr>
        <w:pStyle w:val="TextoNormal"/>
      </w:pPr>
      <w:r w:rsidRPr="009D7677">
        <w:rPr>
          <w:rStyle w:val="NumeroAFNegritaCaracter"/>
        </w:rPr>
        <w:t>3</w:t>
      </w:r>
      <w:r>
        <w:t xml:space="preserve">. </w:t>
      </w:r>
      <w:r w:rsidRPr="009D7677">
        <w:rPr>
          <w:i/>
        </w:rPr>
        <w:t>Aplicación de la doctrina constitucional expuesta en la STC 148/2023, de 6 de noviembre</w:t>
      </w:r>
    </w:p>
    <w:p w14:paraId="15505897" w14:textId="77777777" w:rsidR="009D7677" w:rsidRDefault="009D7677" w:rsidP="009D7677">
      <w:pPr>
        <w:pStyle w:val="TextoNormal"/>
      </w:pPr>
    </w:p>
    <w:p w14:paraId="29677712" w14:textId="77777777" w:rsidR="009D7677" w:rsidRDefault="009D7677" w:rsidP="009D7677">
      <w:pPr>
        <w:pStyle w:val="TextoNormal"/>
      </w:pPr>
      <w:r>
        <w:t>La cuestión constitucional suscitada en este recurso en relación con el derecho fundamental a la integridad física y moral (art. 15 CE) es la misma que ya ha sido objeto de análisis por el Pleno de este tribunal en la STC 148/2023, de 6 de noviembre, en cuyos fundamentos jurídicos 4 y 5 se expusieron de manera pormenorizada las pautas de pondera</w:t>
      </w:r>
      <w:r>
        <w:lastRenderedPageBreak/>
        <w:t>ción necesarias para determinar si en este tipo de supuestos se ha vulnerado el derecho a la integridad personal. En la misma sentencia se cita la STC 154/2002, de 18 de julio, FJ 10, en la que ya precisamos que: (i) el reconocimiento excepcional de la capacidad del menor respecto de determinados actos jurídicos, como son los que afectan a su integridad física, no es de suyo suficiente para, por vía de equiparación reconocer en todo caso eficacia jurídica a los actos —o decisiones— del menor; (ii) la exclusión de la representación legal en tales casos debe entenderse siempre sin perjuicio del deber de los progenitores de velar y cuidar del menor y salvaguardar su interés superior, obligaciones que no desaparecen por el hecho de que se reconozca a la persona menor cierto grado de autodeterminación; y (iii) la validez y eficacia de las decisiones adoptadas por una persona menor de edad en ejercicio de su derecho a la integridad física habrán de determinarse teniendo siempre en cuenta la prevalencia de su interés superior, que ha de ser siempre tutelado por los padres y, en su caso, por los órganos judiciales, poniendo dicho interés en relación con los efectos previsibles de tales decisiones y su eventual permanencia o irreparabilidad.</w:t>
      </w:r>
    </w:p>
    <w:p w14:paraId="6AF4592D" w14:textId="77777777" w:rsidR="009D7677" w:rsidRDefault="009D7677" w:rsidP="009D7677">
      <w:pPr>
        <w:pStyle w:val="TextoNormal"/>
      </w:pPr>
    </w:p>
    <w:p w14:paraId="58D5B8EE" w14:textId="77777777" w:rsidR="009D7677" w:rsidRDefault="009D7677" w:rsidP="009D7677">
      <w:pPr>
        <w:pStyle w:val="TextoNormal"/>
      </w:pPr>
      <w:r>
        <w:t>En definitiva, la capacidad general de autodeterminación de las personas que todavía no hayan alcanzado la mayoría de edad en relación con las actuaciones médicas que les afectan encuentra su límite en la protección de su interés superior, que se impone como obligación a los progenitores, en cuanto titulares de la patria potestad o autoridad familiar y a todos los poderes públicos, incluida la autoridad judicial. A todos ellos corresponde garantizar que la decisión final relativa a la actuación médica en cuestión no trae consigo una quiebra relevante, persistente y/o irreparable de dicho interés superior.</w:t>
      </w:r>
    </w:p>
    <w:p w14:paraId="009C9727" w14:textId="77777777" w:rsidR="009D7677" w:rsidRDefault="009D7677" w:rsidP="009D7677">
      <w:pPr>
        <w:pStyle w:val="TextoNormal"/>
      </w:pPr>
    </w:p>
    <w:p w14:paraId="70166179" w14:textId="68EF4F3A" w:rsidR="009D7677" w:rsidRDefault="009D7677" w:rsidP="009D7677">
      <w:pPr>
        <w:pStyle w:val="TextoNormal"/>
      </w:pPr>
      <w:r>
        <w:t>En atención a lo expuesto, en este caso, como también se concluyó en la STC 148/2023, FJ 5, el tribunal rechaza que se haya vulnerado el art. 15 CE al constatarse que (i) se cumple el presupuesto básico que el art. 9.3 c) de la Ley 41/2002 establece para que pueda acudirse al consentimiento por representación —otorgado por los progenitores de común acuerdo o por la autoridad judicial en caso de desacuerdo— porque las menores carecían de la capacidad emocional e intelectual necesarias para comprender el alcance de la intervención y los padres contaban con la información adecuada para la prestación del consentimiento desde un momento anterior incluso a la iniciación del procedimiento de jurisdicción voluntaria, por lo que no cabe apreciar la ausencia de consentimiento informado; y (ii) la motivación de las resoluciones judiciales tuvo como fundamento esencial la protección del interés superior de las menores en relación con la protección de su salud, teniendo en cuenta la recomendación de las autoridades sanitarias, que se mostraban a favor de la vacunación de menores haciendo una ponderación de riesgos y beneficios de la vacuna, que los órganos judiciales no estimaron desvirtuada por los informes aportados por el ahora demandante de amparo.</w:t>
      </w:r>
    </w:p>
    <w:p w14:paraId="28C4EDA7" w14:textId="77777777" w:rsidR="009D7677" w:rsidRDefault="009D7677" w:rsidP="009D7677">
      <w:pPr>
        <w:pStyle w:val="TextoNormal"/>
      </w:pPr>
    </w:p>
    <w:p w14:paraId="51573597" w14:textId="77777777" w:rsidR="009D7677" w:rsidRDefault="009D7677" w:rsidP="009D7677">
      <w:pPr>
        <w:pStyle w:val="TextoNormalCentrado"/>
        <w:keepNext/>
      </w:pPr>
      <w:r>
        <w:t>FALLO</w:t>
      </w:r>
    </w:p>
    <w:p w14:paraId="4BDFCE42" w14:textId="63F88D72" w:rsidR="009D7677" w:rsidRDefault="009D7677" w:rsidP="009D7677">
      <w:pPr>
        <w:pStyle w:val="TextoNormalCentrado"/>
        <w:keepNext/>
      </w:pPr>
    </w:p>
    <w:p w14:paraId="76241271" w14:textId="60E47A86" w:rsidR="009D7677" w:rsidRDefault="009D7677" w:rsidP="009D7677">
      <w:pPr>
        <w:pStyle w:val="TextoNormal"/>
      </w:pPr>
      <w:r>
        <w:t>En atención a todo lo expuesto, el Tribunal Constitucional, por la autoridad que le confiere la Constitución de la Nación española, ha decidido desestimar el recurso de amparo interpuesto por don A.J.S.</w:t>
      </w:r>
    </w:p>
    <w:p w14:paraId="25E8C60D" w14:textId="77777777" w:rsidR="009D7677" w:rsidRDefault="009D7677" w:rsidP="009D7677">
      <w:pPr>
        <w:pStyle w:val="TextoNormal"/>
      </w:pPr>
    </w:p>
    <w:p w14:paraId="3BCD724B" w14:textId="77777777" w:rsidR="009D7677" w:rsidRDefault="009D7677" w:rsidP="009D7677">
      <w:pPr>
        <w:pStyle w:val="TextoNormal"/>
      </w:pPr>
      <w:r>
        <w:t>Publíquese esta sentencia en el “Boletín Oficial del Estado”.</w:t>
      </w:r>
    </w:p>
    <w:p w14:paraId="37148AC2" w14:textId="77777777" w:rsidR="009D7677" w:rsidRDefault="009D7677" w:rsidP="009D7677">
      <w:pPr>
        <w:pStyle w:val="TextoNormal"/>
      </w:pPr>
      <w:r>
        <w:t>Dada en Madrid, a ocho de abril de dos mil veinticuatro.</w:t>
      </w:r>
    </w:p>
    <w:p w14:paraId="101379F9" w14:textId="563B060B" w:rsidR="009D7677" w:rsidRDefault="009D7677">
      <w:pPr>
        <w:spacing w:after="160" w:line="259" w:lineRule="auto"/>
        <w:rPr>
          <w:rFonts w:ascii="Times New Roman" w:eastAsia="Times New Roman" w:hAnsi="Times New Roman" w:cs="Times New Roman"/>
          <w:sz w:val="24"/>
          <w:szCs w:val="24"/>
          <w:lang w:eastAsia="es-ES"/>
        </w:rPr>
      </w:pPr>
      <w:r>
        <w:lastRenderedPageBreak/>
        <w:br w:type="page"/>
      </w:r>
    </w:p>
    <w:p w14:paraId="39F6A3C1" w14:textId="77777777" w:rsidR="009D7677" w:rsidRDefault="009D7677" w:rsidP="009D7677">
      <w:pPr>
        <w:pStyle w:val="TtuloResolucin"/>
      </w:pPr>
      <w:bookmarkStart w:id="59" w:name="SENTENCIA_2024_57"/>
      <w:r>
        <w:lastRenderedPageBreak/>
        <w:t>SENTENCIA 57/2024, de 8 de abril de 2024</w:t>
      </w:r>
    </w:p>
    <w:bookmarkEnd w:id="59"/>
    <w:p w14:paraId="2DCF8F8E" w14:textId="77777777" w:rsidR="009D7677" w:rsidRDefault="009D7677" w:rsidP="009D7677">
      <w:pPr>
        <w:pStyle w:val="TtuloResolucin"/>
      </w:pPr>
      <w:r>
        <w:t>Sala Primera</w:t>
      </w:r>
    </w:p>
    <w:p w14:paraId="75DC41B1" w14:textId="77777777" w:rsidR="009D7677" w:rsidRDefault="009D7677" w:rsidP="009D7677">
      <w:pPr>
        <w:pStyle w:val="TtuloBOE"/>
      </w:pPr>
      <w:r>
        <w:t>(BOE núm. 118, de 15 de mayo de 2024)</w:t>
      </w:r>
    </w:p>
    <w:p w14:paraId="3AEC4FF1" w14:textId="77777777" w:rsidR="009D7677" w:rsidRDefault="009D7677" w:rsidP="009D7677">
      <w:pPr>
        <w:pStyle w:val="TextoNormalCentrado"/>
      </w:pPr>
      <w:r>
        <w:t>ECLI:ES:TC:2024:57</w:t>
      </w:r>
    </w:p>
    <w:p w14:paraId="7857DF8B" w14:textId="5E27E0EA" w:rsidR="009D7677" w:rsidRDefault="009D7677" w:rsidP="009D7677">
      <w:pPr>
        <w:pStyle w:val="TextoNormalCentrado"/>
      </w:pPr>
    </w:p>
    <w:p w14:paraId="69F6B1F0" w14:textId="77777777" w:rsidR="009D7677" w:rsidRDefault="009D7677" w:rsidP="009D7677">
      <w:pPr>
        <w:pStyle w:val="SntesisDescriptiva"/>
      </w:pPr>
      <w:r>
        <w:t>Recurso de amparo 987-2023. Promovido por don Mouloud Sbai, respecto de los autos dictados por la Sección Cuarta y el Pleno de la Sala de lo Penal de la Audiencia Nacional que autorizaron su extradición a Marruecos.</w:t>
      </w:r>
    </w:p>
    <w:p w14:paraId="2FB3EDF3" w14:textId="24BC618A" w:rsidR="009D7677" w:rsidRDefault="009D7677" w:rsidP="009D7677">
      <w:pPr>
        <w:pStyle w:val="SntesisDescriptiva"/>
      </w:pPr>
    </w:p>
    <w:p w14:paraId="04300442" w14:textId="77777777" w:rsidR="009D7677" w:rsidRDefault="009D7677" w:rsidP="009D7677">
      <w:pPr>
        <w:pStyle w:val="SntesisAnaltica"/>
      </w:pPr>
      <w:r>
        <w:t>Supuesta vulneración de los derechos a la libertad personal, a la tutela judicial efectiva y a un proceso con todas las garantías: resoluciones judiciales que acuerdan la extradición a partir de una documentación que no permite poner en duda la necesidad y proporcionalidad de la decisión adoptada por la fiscalía de Marruecos de solicitar la entrega para asegurar el enjuiciamiento del afectado (STC 17/2024); principio de doble incriminación.</w:t>
      </w:r>
    </w:p>
    <w:p w14:paraId="4C159D42" w14:textId="27BFCD34" w:rsidR="009D7677" w:rsidRDefault="009D7677" w:rsidP="009D7677">
      <w:pPr>
        <w:pStyle w:val="SntesisAnaltica"/>
      </w:pPr>
    </w:p>
    <w:p w14:paraId="36D4C7E8" w14:textId="2ABDA8E4" w:rsidR="009D7677" w:rsidRDefault="009D7677" w:rsidP="009D7677">
      <w:pPr>
        <w:pStyle w:val="Extracto"/>
      </w:pPr>
      <w:r>
        <w:t>1.</w:t>
      </w:r>
      <w:r>
        <w:tab/>
        <w:t>La intermediación judicial puede dispensarse excepcionalmente cuando concurran las siguientes exigencias: (i) En procedimiento de extradición regido por un convenio bilateral o multilateral que admita la posibilidad de que la petición de entrega pueda emanar de una autoridad distinta a la autoridad judicial; (ii) Que el país requirente suministre información suficientemente expresiva de que se trata de una autoridad facultada para emitir una solicitud de extradición en condiciones equivalentes a las de una autoridad judicial. (iii) Que el contenido de la solicitud y de la documentación anexa proporcione a los órganos judiciales españoles la información necesaria para verificar que la misma resulta necesaria y proporcionada (STC 17/2024) [FJ 4].</w:t>
      </w:r>
    </w:p>
    <w:p w14:paraId="61A14F58" w14:textId="77777777" w:rsidR="009D7677" w:rsidRDefault="009D7677" w:rsidP="009D7677">
      <w:pPr>
        <w:pStyle w:val="Extracto"/>
      </w:pPr>
    </w:p>
    <w:p w14:paraId="02895083" w14:textId="77777777" w:rsidR="009D7677" w:rsidRDefault="009D7677" w:rsidP="009D7677">
      <w:pPr>
        <w:pStyle w:val="Extracto"/>
      </w:pPr>
    </w:p>
    <w:p w14:paraId="53713AE7" w14:textId="77777777" w:rsidR="009D7677" w:rsidRDefault="009D7677" w:rsidP="009D7677">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4EC52070" w14:textId="1D7959A8" w:rsidR="009D7677" w:rsidRDefault="009D7677" w:rsidP="009D7677">
      <w:pPr>
        <w:pStyle w:val="TextoNormal"/>
      </w:pPr>
    </w:p>
    <w:p w14:paraId="4FBAED10" w14:textId="77777777" w:rsidR="009D7677" w:rsidRDefault="009D7677" w:rsidP="009D7677">
      <w:pPr>
        <w:pStyle w:val="TextoNormalCentrado"/>
        <w:keepNext/>
      </w:pPr>
      <w:r>
        <w:t>EN NOMBRE DEL REY</w:t>
      </w:r>
    </w:p>
    <w:p w14:paraId="4AC4DE66" w14:textId="7D94C79E" w:rsidR="009D7677" w:rsidRDefault="009D7677" w:rsidP="009D7677">
      <w:pPr>
        <w:pStyle w:val="TextoNormalCentrado"/>
        <w:keepNext/>
      </w:pPr>
    </w:p>
    <w:p w14:paraId="1FB89C80" w14:textId="77777777" w:rsidR="009D7677" w:rsidRDefault="009D7677" w:rsidP="009D7677">
      <w:pPr>
        <w:pStyle w:val="TextoNormalCentrado"/>
        <w:keepNext/>
      </w:pPr>
    </w:p>
    <w:p w14:paraId="0B1A7D69" w14:textId="77777777" w:rsidR="009D7677" w:rsidRDefault="009D7677" w:rsidP="009D7677">
      <w:pPr>
        <w:pStyle w:val="TextoNormal"/>
      </w:pPr>
      <w:r>
        <w:t>la siguiente</w:t>
      </w:r>
    </w:p>
    <w:p w14:paraId="7CFF1A67" w14:textId="61A4D209" w:rsidR="009D7677" w:rsidRDefault="009D7677" w:rsidP="009D7677">
      <w:pPr>
        <w:pStyle w:val="TextoNormal"/>
      </w:pPr>
    </w:p>
    <w:p w14:paraId="02EF009A" w14:textId="77777777" w:rsidR="009D7677" w:rsidRDefault="009D7677" w:rsidP="009D7677">
      <w:pPr>
        <w:pStyle w:val="TextoNormalCentrado"/>
        <w:keepNext/>
      </w:pPr>
      <w:r>
        <w:t>SENTENCIA</w:t>
      </w:r>
    </w:p>
    <w:p w14:paraId="454E1408" w14:textId="5F63638D" w:rsidR="009D7677" w:rsidRDefault="009D7677" w:rsidP="009D7677">
      <w:pPr>
        <w:pStyle w:val="TextoNormalCentrado"/>
        <w:keepNext/>
      </w:pPr>
    </w:p>
    <w:p w14:paraId="316D4B6F" w14:textId="77777777" w:rsidR="009D7677" w:rsidRDefault="009D7677" w:rsidP="009D7677">
      <w:pPr>
        <w:pStyle w:val="TextoNormal"/>
      </w:pPr>
      <w:r>
        <w:t>En el recurso de amparo núm. 987-2023, promovido por don Mouloud Sbai, representado por el procurador de los tribunales don Domingo José Collado Molinero, asistido de los letrados don Manuel Ollé Sesé y don Miguel Ángel Pérez Diepa, contra el auto núm. 578/2022, de 13 de octubre, de la Sección Cuarta de la Sala de lo Penal de la Audiencia Nacional y contra el auto núm. 105/2022, de 19 de diciembre, del Pleno de la Sala de lo Penal de la Audiencia Nacional. Ha sido ponente el magistrado don Ricardo Enríquez Sancho.</w:t>
      </w:r>
    </w:p>
    <w:p w14:paraId="7C220BA4" w14:textId="410329F4" w:rsidR="009D7677" w:rsidRDefault="009D7677" w:rsidP="009D7677">
      <w:pPr>
        <w:pStyle w:val="TextoNormal"/>
      </w:pPr>
    </w:p>
    <w:p w14:paraId="289A32EB" w14:textId="77777777" w:rsidR="009D7677" w:rsidRDefault="009D7677" w:rsidP="009D7677">
      <w:pPr>
        <w:pStyle w:val="TextoNormalNegritaCentrado"/>
        <w:keepNext/>
      </w:pPr>
      <w:r>
        <w:lastRenderedPageBreak/>
        <w:t>I. Antecedentes</w:t>
      </w:r>
    </w:p>
    <w:p w14:paraId="447F4131" w14:textId="60F4C0ED" w:rsidR="009D7677" w:rsidRDefault="009D7677" w:rsidP="009D7677">
      <w:pPr>
        <w:pStyle w:val="TextoNormalNegritaCentrado"/>
        <w:keepNext/>
      </w:pPr>
    </w:p>
    <w:p w14:paraId="3E1DDEF4" w14:textId="3EF6D490" w:rsidR="009D7677" w:rsidRDefault="009D7677" w:rsidP="009D7677">
      <w:pPr>
        <w:pStyle w:val="TextoNormal"/>
      </w:pPr>
      <w:r w:rsidRPr="009D7677">
        <w:rPr>
          <w:rStyle w:val="NumeroAFNegritaCaracter"/>
        </w:rPr>
        <w:t>1</w:t>
      </w:r>
      <w:r>
        <w:t>. Mediante escrito registrado en este tribunal el día 16 de febrero de 2023, la representación procesal de don Mouloud Sbai interpuso recurso de amparo contra el auto núm. 578/2022, de 13 de octubre, de la Sección Cuarta de la Sala de lo Penal de la Audiencia Nacional, dictado en el rollo de sala 23-2022, dimanante del procedimiento de extradición pasiva núm. 12-2022 del Juzgado Central de Instrucción núm. 5, y contra el auto núm. 105/2022, de 19 de diciembre, del Pleno de la Sala de lo Penal de la Audiencia Nacional, dictado en el recurso de súplica núm. 100-2022, que confirmó el anterior.</w:t>
      </w:r>
    </w:p>
    <w:p w14:paraId="68DD17FA" w14:textId="77777777" w:rsidR="009D7677" w:rsidRDefault="009D7677" w:rsidP="009D7677">
      <w:pPr>
        <w:pStyle w:val="TextoNormal"/>
      </w:pPr>
    </w:p>
    <w:p w14:paraId="5434EA1A" w14:textId="77777777" w:rsidR="009D7677" w:rsidRDefault="009D7677" w:rsidP="009D7677">
      <w:pPr>
        <w:pStyle w:val="TextoNormal"/>
      </w:pPr>
      <w:r w:rsidRPr="009D7677">
        <w:rPr>
          <w:rStyle w:val="NumeroAFNegritaCaracter"/>
        </w:rPr>
        <w:t>2</w:t>
      </w:r>
      <w:r>
        <w:t>. El recurso de amparo se fundamenta en los siguientes hechos:</w:t>
      </w:r>
    </w:p>
    <w:p w14:paraId="346CB5CF" w14:textId="77777777" w:rsidR="009D7677" w:rsidRDefault="009D7677" w:rsidP="009D7677">
      <w:pPr>
        <w:pStyle w:val="TextoNormal"/>
      </w:pPr>
    </w:p>
    <w:p w14:paraId="0E1323BA" w14:textId="77777777" w:rsidR="009D7677" w:rsidRDefault="009D7677" w:rsidP="009D7677">
      <w:pPr>
        <w:pStyle w:val="TextoNormal"/>
      </w:pPr>
      <w:r>
        <w:t>a) El fiscal del rey ante el Juzgado de Primera Instancia de Tánger (Marruecos) dictó el 18 de junio de 2021 orden internacional de detención contra el ahora demandante de amparo, al que atribuía su implicación en un delito de tráfico de sustancias estupefacientes, su transporte y exportación, la infracción de las disposiciones relativas a la circulación y posesión de drogas dentro de la jurisdicción de la aduana, y la exportación de una mercancía prohibida a través de la aduana sin declaración ni autorización, con los siguientes fundamentos:</w:t>
      </w:r>
    </w:p>
    <w:p w14:paraId="496D2C2E" w14:textId="77777777" w:rsidR="009D7677" w:rsidRDefault="009D7677" w:rsidP="009D7677">
      <w:pPr>
        <w:pStyle w:val="TextoNormal"/>
      </w:pPr>
    </w:p>
    <w:p w14:paraId="3FADF1DA" w14:textId="77777777" w:rsidR="009D7677" w:rsidRDefault="009D7677" w:rsidP="009D7677">
      <w:pPr>
        <w:pStyle w:val="TextoNormal"/>
      </w:pPr>
      <w:r>
        <w:t>“En virtud atestado núm. 39/M.M.A.K., de fecha 24/04/2020, redactado por la brigada de lucha contra el crimen organizado de la oficina central de investigación judicial, departamento de lucha contra el tráfico de estupefacientes, el llamado Mahjoub Bilat fue puesto a disposición de este Ministerio Fiscal por formar una banda criminal especializada en el tráfico internacional de estupefacientes, el cual confirmó en sus declaraciones que trabaja con el llamado Mouloud Sbai en el tráfico de estupefacientes, y ha participado con él en varias operaciones de tráfico internacional de droga.</w:t>
      </w:r>
    </w:p>
    <w:p w14:paraId="76CEC9B0" w14:textId="77777777" w:rsidR="009D7677" w:rsidRDefault="009D7677" w:rsidP="009D7677">
      <w:pPr>
        <w:pStyle w:val="TextoNormal"/>
      </w:pPr>
    </w:p>
    <w:p w14:paraId="04E0E012" w14:textId="77777777" w:rsidR="009D7677" w:rsidRDefault="009D7677" w:rsidP="009D7677">
      <w:pPr>
        <w:pStyle w:val="TextoNormal"/>
      </w:pPr>
      <w:r>
        <w:t>La primera operación se realizó en 2015, cuando el llamado Mouloud Sbai propuso al detenido traficar con 400 kilos de droga chira a la isla Tenerife, y le pidió elegir la vía más segura para cumplir esta operación, coordinando con el llamado Salama Boussati. Tras el éxito de esta operación, el llamado Mahjoub Bilat cobró del llamado Salama Boussati el importe de 2.500 dirhams.</w:t>
      </w:r>
    </w:p>
    <w:p w14:paraId="349683A8" w14:textId="77777777" w:rsidR="009D7677" w:rsidRDefault="009D7677" w:rsidP="009D7677">
      <w:pPr>
        <w:pStyle w:val="TextoNormal"/>
      </w:pPr>
    </w:p>
    <w:p w14:paraId="416D3B38" w14:textId="77777777" w:rsidR="009D7677" w:rsidRDefault="009D7677" w:rsidP="009D7677">
      <w:pPr>
        <w:pStyle w:val="TextoNormal"/>
      </w:pPr>
      <w:r>
        <w:t>A mediados del año 2016, el llamado Mahjoub Bilat realizó en coordinación con el llamado Mouloud Sbai y el llamado Salama Boussati una segunda operación de tráfico de 400 kilos de droga chira, de la misma manera y a la misma isla. El llamado Mahjoub Bilat recibió por esta operación, una comisión de 30 000 dirhams del llamado Salama Boussati, mientras el llamado Mouloud Sbai estaba dirigiendo la operación desde las Islas Canarias.</w:t>
      </w:r>
    </w:p>
    <w:p w14:paraId="1E523847" w14:textId="77777777" w:rsidR="009D7677" w:rsidRDefault="009D7677" w:rsidP="009D7677">
      <w:pPr>
        <w:pStyle w:val="TextoNormal"/>
      </w:pPr>
    </w:p>
    <w:p w14:paraId="487F88CB" w14:textId="77777777" w:rsidR="009D7677" w:rsidRDefault="009D7677" w:rsidP="009D7677">
      <w:pPr>
        <w:pStyle w:val="TextoNormal"/>
      </w:pPr>
      <w:r>
        <w:t xml:space="preserve">La tercera operación tuvo lugar a finales del año 2016, y consistió en el tráfico de 300 kilos de la misma droga a partir de la aldea de Almazira situada en las afueras de Tarfaya. Después de esta operación, las autoridades españolas detuvieron al cabecilla de esta banda criminal llamado Mouloud Sbai. No obstante, una vez excarcelado a mediados del año 2019, el llamado Mouloud Sbai volvió a contactar con el llamado Mahjoub Bilat, pidiéndole prepararse para una nueva operación de tráfico de 400 kilos de droga chira a España, coordinando con el llamado Salama Boussati, utilizando lanchas neumáticas. Este último </w:t>
      </w:r>
      <w:r>
        <w:lastRenderedPageBreak/>
        <w:t>trajo la droga, una lancha neumática y gasolina. Se reunieron en una zona cerca de la ciudad de Laayoune, se fueron a la zona costera de Almazira, donde cargaron la droga, y luego, se dirigieron a la ciudad de Tenerife en las Islas Canarias.</w:t>
      </w:r>
    </w:p>
    <w:p w14:paraId="713E89B0" w14:textId="77777777" w:rsidR="009D7677" w:rsidRDefault="009D7677" w:rsidP="009D7677">
      <w:pPr>
        <w:pStyle w:val="TextoNormal"/>
      </w:pPr>
    </w:p>
    <w:p w14:paraId="1360ADFD" w14:textId="77777777" w:rsidR="009D7677" w:rsidRDefault="009D7677" w:rsidP="009D7677">
      <w:pPr>
        <w:pStyle w:val="TextoNormal"/>
      </w:pPr>
      <w:r>
        <w:t>En el mismo año 2019, se preparó una nueva operación para traficar con 400 kilos de droga chira, cuando el llamado Mouloud Sbai, contactó de nuevo con el llamado Mahjoub Bilat, y le solicitó encontrar una vía segura para cargar droga y cooperar con el llamado Salama Boussati, para traficar con 400 kilos de droga chira, de las costas de Almazira cerca de la ciudad de Tarfaya”.</w:t>
      </w:r>
    </w:p>
    <w:p w14:paraId="2AB536E5" w14:textId="77777777" w:rsidR="009D7677" w:rsidRDefault="009D7677" w:rsidP="009D7677">
      <w:pPr>
        <w:pStyle w:val="TextoNormal"/>
      </w:pPr>
    </w:p>
    <w:p w14:paraId="57A29985" w14:textId="77777777" w:rsidR="009D7677" w:rsidRDefault="009D7677" w:rsidP="009D7677">
      <w:pPr>
        <w:pStyle w:val="TextoNormal"/>
      </w:pPr>
      <w:r>
        <w:t>b) El demandante fue detenido en Marbella (Málaga) el día 28 de marzo de 2022 y puesto a disposición del Juzgado Central de Instrucción núm. 5, que incoó el procedimiento de extradición pasiva núm. 12-2022 y acordó, por auto de 29 de marzo de 2022, tras celebrar comparecencia del art. 505 de la Ley de enjuiciamiento criminal, su libertad provisional y le impuso una serie de obligaciones, entre ellas, comparecencias semanales ante el juzgado más próximo a su domicilio, prohibición de abandonar el territorio nacional mientras se tramita el procedimiento de extradición y entrega del pasaporte.</w:t>
      </w:r>
    </w:p>
    <w:p w14:paraId="576115A3" w14:textId="77777777" w:rsidR="009D7677" w:rsidRDefault="009D7677" w:rsidP="009D7677">
      <w:pPr>
        <w:pStyle w:val="TextoNormal"/>
      </w:pPr>
    </w:p>
    <w:p w14:paraId="2EED7275" w14:textId="77777777" w:rsidR="009D7677" w:rsidRDefault="009D7677" w:rsidP="009D7677">
      <w:pPr>
        <w:pStyle w:val="TextoNormal"/>
      </w:pPr>
      <w:r>
        <w:t>c) El 29 de abril de 2022 se recibió por vía diplomática nota verbal de la Embajada de Marruecos núm. 683, de 29 de abril de 2022, en la que se solicitaba del Ministerio de Justicia de España la extradición del ahora recurrente en amparo, para el enjuiciamiento por delito de tráfico de drogas y delitos aduaneros, lo que se acompañaba de la orden internacional de detención emitida por el fiscal, de un resumen de los hechos que reproducía los de la orden internacional de detención y una relación de los preceptos legales aplicables.</w:t>
      </w:r>
    </w:p>
    <w:p w14:paraId="2B259F32" w14:textId="77777777" w:rsidR="009D7677" w:rsidRDefault="009D7677" w:rsidP="009D7677">
      <w:pPr>
        <w:pStyle w:val="TextoNormal"/>
      </w:pPr>
    </w:p>
    <w:p w14:paraId="32B4721D" w14:textId="77777777" w:rsidR="009D7677" w:rsidRDefault="009D7677" w:rsidP="009D7677">
      <w:pPr>
        <w:pStyle w:val="TextoNormal"/>
      </w:pPr>
      <w:r>
        <w:t>d) El Consejo de Ministros en sesión de 24 de mayo de 2022 acordó, de conformidad con el art. 9.3 de la Ley 4/1985, de 21 de marzo, de extradición pasiva (LEP), la continuación del procedimiento en vía judicial.</w:t>
      </w:r>
    </w:p>
    <w:p w14:paraId="14197AFD" w14:textId="77777777" w:rsidR="009D7677" w:rsidRDefault="009D7677" w:rsidP="009D7677">
      <w:pPr>
        <w:pStyle w:val="TextoNormal"/>
      </w:pPr>
    </w:p>
    <w:p w14:paraId="2E6CC5F1" w14:textId="77777777" w:rsidR="009D7677" w:rsidRDefault="009D7677" w:rsidP="009D7677">
      <w:pPr>
        <w:pStyle w:val="TextoNormal"/>
      </w:pPr>
      <w:r>
        <w:t>e) El reclamado fue oído en comparecencia del art. 12 LEP, celebrada el día 2 de junio de 2022 en el Juzgado Central de Instrucción núm. 5, oponiéndose a su extradición y manifestando que no renunciaba al principio de especialidad. También solicitó información complementaria para concretar la fecha exacta de la comisión de los hechos.</w:t>
      </w:r>
    </w:p>
    <w:p w14:paraId="79C69442" w14:textId="77777777" w:rsidR="009D7677" w:rsidRDefault="009D7677" w:rsidP="009D7677">
      <w:pPr>
        <w:pStyle w:val="TextoNormal"/>
      </w:pPr>
    </w:p>
    <w:p w14:paraId="0BD2EB85" w14:textId="77777777" w:rsidR="009D7677" w:rsidRDefault="009D7677" w:rsidP="009D7677">
      <w:pPr>
        <w:pStyle w:val="TextoNormal"/>
      </w:pPr>
      <w:r>
        <w:t>f) Como resultado de la información complementaria solicitada por la defensa, se incorporó al procedimiento de extradición la nota verbal núm. 1131 de 8 de julio de 2022, que contiene el oficio de 16 de junio de 2022 emitido por el primer sustituto del fiscal del rey ante el Juzgado de Primera Instancia de Tánger, en el que se aclara que los actos de narcotráfico del reclamado en 2019 se sitúan a mediados y finales de este año.</w:t>
      </w:r>
    </w:p>
    <w:p w14:paraId="23C5D4C1" w14:textId="77777777" w:rsidR="009D7677" w:rsidRDefault="009D7677" w:rsidP="009D7677">
      <w:pPr>
        <w:pStyle w:val="TextoNormal"/>
      </w:pPr>
    </w:p>
    <w:p w14:paraId="04AC279F" w14:textId="77777777" w:rsidR="009D7677" w:rsidRDefault="009D7677" w:rsidP="009D7677">
      <w:pPr>
        <w:pStyle w:val="TextoNormal"/>
      </w:pPr>
      <w:r>
        <w:t>g) Elevados los autos a la Sección Cuarta de la Sala de lo Penal de la Audiencia Nacional, esta inició el rollo de extradición núm. 23-2022 y dio vista de los mismos, en los términos del art. 13 LEP, al fiscal y a la defensa del reclamado, para que formularan alegaciones. El fiscal interesó que se accediera a la solicitud de extradición por los hechos recogidos en la petición de extradición. La defensa se dio por instruida de la totalidad del procedimiento y aportó documental sobre su situación personal y familiar y sobre los procedimientos que tiene el demandante de amparo pendientes en España.</w:t>
      </w:r>
    </w:p>
    <w:p w14:paraId="3DA5DF00" w14:textId="77777777" w:rsidR="009D7677" w:rsidRDefault="009D7677" w:rsidP="009D7677">
      <w:pPr>
        <w:pStyle w:val="TextoNormal"/>
      </w:pPr>
    </w:p>
    <w:p w14:paraId="7DA7FAAB" w14:textId="77777777" w:rsidR="009D7677" w:rsidRDefault="009D7677" w:rsidP="009D7677">
      <w:pPr>
        <w:pStyle w:val="TextoNormal"/>
      </w:pPr>
      <w:r>
        <w:lastRenderedPageBreak/>
        <w:t xml:space="preserve">h) La vista del procedimiento de extradición se celebró el 6 de octubre de 2022. En ella el fiscal reiteró su opinión en sentido favorable a la petición de extradición y la defensa se opuso alegando deficiente narración de los hechos en los que se funda la reclamación, prescripción de parte de los mismos según la legislación marroquí, litispendencia, infracción del principio de territorialidad y vulneración del derecho a un proceso con todas las garantías. Posteriormente, la Sección Cuarta de la Sala de lo Penal de la Audiencia Nacional dictó el auto núm. 578/2022, de 13 de octubre, por el que acordó acceder en fase jurisdiccional a la solicitud de extradición del actor por concurrir los requisitos exigidos en el Convenio de extradición entre el Reino de España y el Reino de Marruecos, suscrito en Rabat el 24 de junio de 2009, y en la LEP, en particular los requisitos de doble incriminación y mínimo punitivo exigidos en el art. 2.1 del Convenio bilateral, porque los hechos por los que se solicitaba la extradición eran constitutivos de delitos de participación en el tráfico de drogas, su transporte y exportación, y la infracción de las disposiciones relativas a la circulación y posesión de drogas dentro de la jurisdicción de la aduana sin declaración ni autorización, equivalentes en nuestro ordenamiento penal a los delitos contra la salud pública de sustancia que no perjudica gravemente a la salud, en cantidad de notoria importancia y perpetrado por una organización criminal de la que se ostenta la jefatura o dirección, de los arts. 368, 369.1.5 y 369 </w:t>
      </w:r>
      <w:r w:rsidRPr="009D7677">
        <w:rPr>
          <w:i/>
        </w:rPr>
        <w:t>bis</w:t>
      </w:r>
      <w:r>
        <w:t xml:space="preserve"> del Código penal (CP), y un delito de contrabando de los arts. 2.3 a) y 3 de la Ley Orgánica 12/1995, de 12 de diciembre, de represión del contrabando, modificada por la Ley Orgánica 6/2011, de 30 de junio.</w:t>
      </w:r>
    </w:p>
    <w:p w14:paraId="67CF3B08" w14:textId="77777777" w:rsidR="009D7677" w:rsidRDefault="009D7677" w:rsidP="009D7677">
      <w:pPr>
        <w:pStyle w:val="TextoNormal"/>
      </w:pPr>
    </w:p>
    <w:p w14:paraId="0BEB2D92" w14:textId="77777777" w:rsidR="009D7677" w:rsidRDefault="009D7677" w:rsidP="009D7677">
      <w:pPr>
        <w:pStyle w:val="TextoNormal"/>
      </w:pPr>
      <w:r>
        <w:t>i) Contra esta decisión el actor interpuso recurso de súplica, en el que alegó, en lo que aquí interesa:</w:t>
      </w:r>
    </w:p>
    <w:p w14:paraId="2562AB54" w14:textId="77777777" w:rsidR="009D7677" w:rsidRDefault="009D7677" w:rsidP="009D7677">
      <w:pPr>
        <w:pStyle w:val="TextoNormal"/>
      </w:pPr>
    </w:p>
    <w:p w14:paraId="7263DD13" w14:textId="77777777" w:rsidR="009D7677" w:rsidRDefault="009D7677" w:rsidP="009D7677">
      <w:pPr>
        <w:pStyle w:val="TextoNormal"/>
      </w:pPr>
      <w:r>
        <w:t xml:space="preserve">- Vulneración del art. 12 del Convenio y del art. 7 a) LEP, por inconcreción de los hechos que impide el juicio de tipicidad, en tanto que se desconoce la fecha de los hechos, no se precisa la actuación de los participantes ni del reclamado, se desconoce el </w:t>
      </w:r>
      <w:r w:rsidRPr="009D7677">
        <w:rPr>
          <w:i/>
        </w:rPr>
        <w:t>modus operandi</w:t>
      </w:r>
      <w:r>
        <w:t xml:space="preserve"> y el puerto de llegada a Canarias.</w:t>
      </w:r>
    </w:p>
    <w:p w14:paraId="36C86112" w14:textId="77777777" w:rsidR="009D7677" w:rsidRDefault="009D7677" w:rsidP="009D7677">
      <w:pPr>
        <w:pStyle w:val="TextoNormal"/>
      </w:pPr>
    </w:p>
    <w:p w14:paraId="553FA419" w14:textId="77777777" w:rsidR="009D7677" w:rsidRDefault="009D7677" w:rsidP="009D7677">
      <w:pPr>
        <w:pStyle w:val="TextoNormal"/>
      </w:pPr>
      <w:r>
        <w:t>- Vulneración del derecho a la libertad personal del art. 17 CE, dado que la orden internacional de detención fue emitida por un fiscal sin que existiera un juicio de necesidad judicialmente homologado, y vulneración del principio de igualdad en la aplicación de la ley, porque en supuestos semejantes al actual se ha denegado la entrega del reclamado.</w:t>
      </w:r>
    </w:p>
    <w:p w14:paraId="31B2DECA" w14:textId="77777777" w:rsidR="009D7677" w:rsidRDefault="009D7677" w:rsidP="009D7677">
      <w:pPr>
        <w:pStyle w:val="TextoNormal"/>
      </w:pPr>
    </w:p>
    <w:p w14:paraId="29052DAD" w14:textId="77777777" w:rsidR="009D7677" w:rsidRDefault="009D7677" w:rsidP="009D7677">
      <w:pPr>
        <w:pStyle w:val="TextoNormal"/>
      </w:pPr>
      <w:r>
        <w:t>El Pleno de la Sala de lo Penal de la Audiencia Nacional dictó el auto núm. 105/2022, de 19 de diciembre, por el que desestimó el recurso de súplica.</w:t>
      </w:r>
    </w:p>
    <w:p w14:paraId="50192094" w14:textId="77777777" w:rsidR="009D7677" w:rsidRDefault="009D7677" w:rsidP="009D7677">
      <w:pPr>
        <w:pStyle w:val="TextoNormal"/>
      </w:pPr>
    </w:p>
    <w:p w14:paraId="250BAED4" w14:textId="77777777" w:rsidR="009D7677" w:rsidRDefault="009D7677" w:rsidP="009D7677">
      <w:pPr>
        <w:pStyle w:val="TextoNormal"/>
      </w:pPr>
      <w:r>
        <w:t>La Sala expone las razones por las que considera que no es aplicable a este caso la STC 147/2020, de 19 de octubre, invocada en el recurso de súplica, ni la STC 147/2021, de 12 de julio. Afirma que la orden de detención emitida por el fiscal satisface los requisitos formales del art. 12.1 a) del tratado bilateral de extradición porque, a diferencia de otros países en los que el poder judicial solo recae en miembros de la judicatura, en Marruecos el Ministerio Fiscal está incluido en la carrera judicial y como tal es independiente, con las mismas obligaciones, derechos e incompatibilidades que los jueces.</w:t>
      </w:r>
    </w:p>
    <w:p w14:paraId="201CD6E2" w14:textId="77777777" w:rsidR="009D7677" w:rsidRDefault="009D7677" w:rsidP="009D7677">
      <w:pPr>
        <w:pStyle w:val="TextoNormal"/>
      </w:pPr>
    </w:p>
    <w:p w14:paraId="6661CC9E" w14:textId="77777777" w:rsidR="009D7677" w:rsidRDefault="009D7677" w:rsidP="009D7677">
      <w:pPr>
        <w:pStyle w:val="TextoNormal"/>
      </w:pPr>
      <w:r>
        <w:t xml:space="preserve">En lo que atañe a la falta de concreción de los hechos que sirven de base a la petición de extradición, aduce la Sala que la falta de concreción de las fechas de los hechos se debe al desconocimiento por parte de las autoridades reclamantes de las fechas de los viajes. </w:t>
      </w:r>
      <w:r>
        <w:lastRenderedPageBreak/>
        <w:t>Sin embargo, existen otros datos que permiten precisar los viajes realizados, como son: (i) la constancia en cada uno de los viajes de la sustancia y cantidad transportada; (ii) el destino de todos los viajes, Tenerife; (iii) la precisión de que la función que desempeñaba el reclamado era la de reclutador o dirigente de la banda criminal; (iv) el punto de partida de la embarcación desde la costa de Marruecos en el tercer, cuarto y quinto viaje; (v) el dato de que el reclamado fuera detenido en la tercera operación, esto es, la de finales de 2016; (vi) la precisión de que los viajes que tuvieron lugar en el año 2019, se indique que tuvieron lugar una vez que el reclamado fue excarcelado por las autoridades españolas; (vii) el hecho de que se mencione a un tercer partícipe; (viii) el dato de que el copartícipe percibió una determinada cantidad de dinero por su colaboración en las dos primeras operaciones; (ix) el hecho de que no solamente se haya utilizado una embarcación, sino también lanchas neumáticas, al menos, en la cuarta operación, esto es, la que tuvo lugar a mediados de 2019.</w:t>
      </w:r>
    </w:p>
    <w:p w14:paraId="2E3767EB" w14:textId="77777777" w:rsidR="009D7677" w:rsidRDefault="009D7677" w:rsidP="009D7677">
      <w:pPr>
        <w:pStyle w:val="TextoNormal"/>
      </w:pPr>
    </w:p>
    <w:p w14:paraId="6A6ECEEB" w14:textId="77777777" w:rsidR="009D7677" w:rsidRDefault="009D7677" w:rsidP="009D7677">
      <w:pPr>
        <w:pStyle w:val="TextoNormal"/>
      </w:pPr>
      <w:r>
        <w:t>De este modo, aunque no se indiquen las fechas concretas de cada uno de los cinco viajes, tal imprecisión no ha impedido al reclamado conocer las acusaciones dirigidas contra él, ni tampoco al tribunal analizar, una por una, si esas actividades son delictivas y examinar si en alguna de ellas concurre alguna causa de denegación de la extradición.</w:t>
      </w:r>
    </w:p>
    <w:p w14:paraId="35200F7D" w14:textId="77777777" w:rsidR="009D7677" w:rsidRDefault="009D7677" w:rsidP="009D7677">
      <w:pPr>
        <w:pStyle w:val="TextoNormal"/>
      </w:pPr>
    </w:p>
    <w:p w14:paraId="2F51E7E0" w14:textId="2D5B5C17" w:rsidR="009D7677" w:rsidRDefault="009D7677" w:rsidP="009D7677">
      <w:pPr>
        <w:pStyle w:val="TextoNormal"/>
      </w:pPr>
      <w:r>
        <w:t>El auto va acompañado de dos votos particulares, uno de ellos firmado por tres magistrados de la Sala, que consideran que la mayoría no ha aplicado correctamente la doctrina sentada en la STC 147/2020, en la que es esencial que se cumpla la garantía jurisdiccional de la libertad en el propio país solicitante de la extradición, mediante la homologación por un órgano judicial de la orden de detención. El otro, firmado por dos magistrados, considera que los hechos por los que se solicita la extradición carecen de la concreta descripción fáctica que exige el Convenio bilateral.</w:t>
      </w:r>
    </w:p>
    <w:p w14:paraId="0E56CEB2" w14:textId="77777777" w:rsidR="009D7677" w:rsidRDefault="009D7677" w:rsidP="009D7677">
      <w:pPr>
        <w:pStyle w:val="TextoNormal"/>
      </w:pPr>
    </w:p>
    <w:p w14:paraId="534349E9" w14:textId="77777777" w:rsidR="009D7677" w:rsidRDefault="009D7677" w:rsidP="009D7677">
      <w:pPr>
        <w:pStyle w:val="TextoNormal"/>
      </w:pPr>
      <w:r w:rsidRPr="009D7677">
        <w:rPr>
          <w:rStyle w:val="NumeroAFNegritaCaracter"/>
        </w:rPr>
        <w:t>3</w:t>
      </w:r>
      <w:r>
        <w:t xml:space="preserve">. El recurrente en amparo denuncia, dentro de una primera queja, que se ha vulnerado su derecho a la tutela judicial efectiva sin indefensión (art. 24.1 CE), en relación con el derecho a la legalidad extradicional. Esta lesión se produce porque (i) no se establece la fecha de comisión de los hechos; (ii) no se concreta la identidad de los participantes; (iii) tampoco se aclara el </w:t>
      </w:r>
      <w:r w:rsidRPr="009D7677">
        <w:rPr>
          <w:i/>
        </w:rPr>
        <w:t>modus operandi</w:t>
      </w:r>
      <w:r>
        <w:t>; (iv) no se precisa la existencia de organización criminal; (v) no se especifica el rol que desempeña cada participe; (vi) tampoco se fija el puerto de llegada de la droga a España, la ubicación del demandante de amparo durante las operaciones o las actividades de investigación desarrolladas en Marruecos. Esta imprecisión provoca que no se puedan comprobar todos los elementos del tipo que permiten la subsunción de los hechos en una determinada figura delictiva en España, lo que se afecta al principio de doble incriminación, y que no se pueda confirmar la jurisdicción de las autoridades marroquíes. A estos efectos, el demandante señala que está siendo juzgado por hechos similares en España, por lo que la precisión es necesaria para determinar si los hechos son, o no, idénticos y opera la causa de denegación de la extradición prevista en el art. 3.1 LEP. Esta imprecisión de los hechos tampoco permite determinar si se encuentran prescritos. Añade que la Audiencia Nacional requirió la aportación de documentación adicional, si bien la documentación aportada es claramente insuficiente.</w:t>
      </w:r>
    </w:p>
    <w:p w14:paraId="1550D6F9" w14:textId="77777777" w:rsidR="009D7677" w:rsidRDefault="009D7677" w:rsidP="009D7677">
      <w:pPr>
        <w:pStyle w:val="TextoNormal"/>
      </w:pPr>
    </w:p>
    <w:p w14:paraId="590949D4" w14:textId="4B8CA7EB" w:rsidR="009D7677" w:rsidRDefault="009D7677" w:rsidP="009D7677">
      <w:pPr>
        <w:pStyle w:val="TextoNormal"/>
      </w:pPr>
      <w:r>
        <w:t>En segundo lugar, el recurrente considera vulnerado su derecho a un proceso con todas las garantías (art. 24.2 CE) y su derecho a la libertad personal (art. 17.3 CE) porque, para que la decisión de entrega al Reino de Marruecos sea respetuosa con el derecho a la liber</w:t>
      </w:r>
      <w:r>
        <w:lastRenderedPageBreak/>
        <w:t>tad (art. 17 CE) y el derecho a la tutela judicial efectiva (art. 24.1 CE), es necesario que la demanda de extradición haya sido adoptada por el Estado requirente con las debidas garantías, esencialmente con un juicio sobre la necesidad y la proporcionalidad de la medida privativa de libertad homologada por una autoridad judicial, lo que no ocurre en un caso como este en el que la extradición ha sido solicitada por el fiscal sin intervención de ningún órgano judicial que haya realizado un análisis de la proporcionalidad de la medida.</w:t>
      </w:r>
    </w:p>
    <w:p w14:paraId="5E9A82FF" w14:textId="77777777" w:rsidR="009D7677" w:rsidRDefault="009D7677" w:rsidP="009D7677">
      <w:pPr>
        <w:pStyle w:val="TextoNormal"/>
      </w:pPr>
    </w:p>
    <w:p w14:paraId="7E09B925" w14:textId="77777777" w:rsidR="009D7677" w:rsidRDefault="009D7677" w:rsidP="009D7677">
      <w:pPr>
        <w:pStyle w:val="TextoNormal"/>
      </w:pPr>
      <w:r w:rsidRPr="009D7677">
        <w:rPr>
          <w:rStyle w:val="NumeroAFNegritaCaracter"/>
        </w:rPr>
        <w:t>4</w:t>
      </w:r>
      <w:r>
        <w:t>. La Sección Segunda del Tribunal Constitucional, por providencia de 20 de febrero de 2023, acordó admitir a trámite el recurso de amparo apreciando que concurre en el mismo una especial trascendencia constitucional [art. 50.1 de la Ley Orgánica del Tribunal Constitucional (LOTC)] porque el recurso puede dar ocasión al Tribunal para aclarar o cambiar su doctrina, como consecuencia de un proceso de reflexión interna [STC 155/2009, de 25 de junio, FJ 2 b)].</w:t>
      </w:r>
    </w:p>
    <w:p w14:paraId="58EF8BF7" w14:textId="77777777" w:rsidR="009D7677" w:rsidRDefault="009D7677" w:rsidP="009D7677">
      <w:pPr>
        <w:pStyle w:val="TextoNormal"/>
      </w:pPr>
    </w:p>
    <w:p w14:paraId="6A7DE329" w14:textId="4F4AF4AA" w:rsidR="009D7677" w:rsidRDefault="009D7677" w:rsidP="009D7677">
      <w:pPr>
        <w:pStyle w:val="TextoNormal"/>
      </w:pPr>
      <w:r>
        <w:t>En la providencia se acordó, en aplicación de lo dispuesto en el art. 51 LOTC, dirigir atenta comunicación a la Sala de lo Penal, Sección Cuarta, de la Audiencia Nacional para que, en plazo que no excediera de diez días, remitiera certificación o fotocopia adverada de las actuaciones correspondientes al rollo de extradición núm. 23-2022, dimanante del procedimiento de extradición pasiva núm. 12-2022 del Juzgado Central de Instrucción núm. 5, debiendo previamente emplazarse, para que en el plazo de diez días pudieran comparecer, si lo deseasen, en el recurso de amparo a quienes hubieran sido parte en el procedimiento, excepto la parte recurrente en amparo.</w:t>
      </w:r>
    </w:p>
    <w:p w14:paraId="4B798499" w14:textId="77777777" w:rsidR="009D7677" w:rsidRDefault="009D7677" w:rsidP="009D7677">
      <w:pPr>
        <w:pStyle w:val="TextoNormal"/>
      </w:pPr>
    </w:p>
    <w:p w14:paraId="3EDB895E" w14:textId="7CF079D4" w:rsidR="009D7677" w:rsidRDefault="009D7677" w:rsidP="009D7677">
      <w:pPr>
        <w:pStyle w:val="TextoNormal"/>
      </w:pPr>
      <w:r w:rsidRPr="009D7677">
        <w:rPr>
          <w:rStyle w:val="NumeroAFNegritaCaracter"/>
        </w:rPr>
        <w:t>5</w:t>
      </w:r>
      <w:r>
        <w:t>. Se apreció también en la providencia la urgencia excepcional a que se refiere el art. 56.6 LOTC, toda vez que la ejecución de las resoluciones impugnadas produciría un perjuicio de imposible o muy difícil reparación que haría perder su finalidad al recurso de amparo, lo que condujo a acordar la suspensión cautelar de la ejecución del auto de 13 de octubre de 2022, por el que se autoriza la entrega del recurrente a las autoridades del Reino de Marruecos para su enjuiciamiento en ese país por los hechos a que se refiere la demanda de extradición, así como del auto de 19 de diciembre de 2022, por el que se desestima el recurso de súplica interpuesto contra el anterior.</w:t>
      </w:r>
    </w:p>
    <w:p w14:paraId="0650C3D3" w14:textId="77777777" w:rsidR="009D7677" w:rsidRDefault="009D7677" w:rsidP="009D7677">
      <w:pPr>
        <w:pStyle w:val="TextoNormal"/>
      </w:pPr>
    </w:p>
    <w:p w14:paraId="2133431A" w14:textId="4F9D49F7" w:rsidR="009D7677" w:rsidRDefault="009D7677" w:rsidP="009D7677">
      <w:pPr>
        <w:pStyle w:val="TextoNormal"/>
      </w:pPr>
      <w:r w:rsidRPr="009D7677">
        <w:rPr>
          <w:rStyle w:val="NumeroAFNegritaCaracter"/>
        </w:rPr>
        <w:t>6</w:t>
      </w:r>
      <w:r>
        <w:t>. Recibidas las actuaciones de la Sala de lo Penal de la Audiencia Nacional, el 8 de mayo de 2023 la Secretaría de Justicia de la Sala Primera de este tribunal dictó diligencia de ordenación en la que acordaba dar vista de las mismas por un plazo común de veinte días a la parte recurrente y al Ministerio Fiscal, para que presentasen las alegaciones que estimasen pertinentes, conforme determina el art. 52.1 LOTC.</w:t>
      </w:r>
    </w:p>
    <w:p w14:paraId="79A28187" w14:textId="77777777" w:rsidR="009D7677" w:rsidRDefault="009D7677" w:rsidP="009D7677">
      <w:pPr>
        <w:pStyle w:val="TextoNormal"/>
      </w:pPr>
    </w:p>
    <w:p w14:paraId="1F5FC7CF" w14:textId="3881137C" w:rsidR="009D7677" w:rsidRDefault="009D7677" w:rsidP="009D7677">
      <w:pPr>
        <w:pStyle w:val="TextoNormal"/>
      </w:pPr>
      <w:r w:rsidRPr="009D7677">
        <w:rPr>
          <w:rStyle w:val="NumeroAFNegritaCaracter"/>
        </w:rPr>
        <w:t>7</w:t>
      </w:r>
      <w:r>
        <w:t>. Por escrito presentado el 24 de mayo de 2023 la representación procesal del actor formuló alegaciones en las que se ratificó íntegramente en la demanda, cuyas alegaciones dio por reproducidas.</w:t>
      </w:r>
    </w:p>
    <w:p w14:paraId="75F36FA2" w14:textId="77777777" w:rsidR="009D7677" w:rsidRDefault="009D7677" w:rsidP="009D7677">
      <w:pPr>
        <w:pStyle w:val="TextoNormal"/>
      </w:pPr>
    </w:p>
    <w:p w14:paraId="279F4AF0" w14:textId="77777777" w:rsidR="009D7677" w:rsidRDefault="009D7677" w:rsidP="009D7677">
      <w:pPr>
        <w:pStyle w:val="TextoNormal"/>
      </w:pPr>
      <w:r w:rsidRPr="009D7677">
        <w:rPr>
          <w:rStyle w:val="NumeroAFNegritaCaracter"/>
        </w:rPr>
        <w:t>8</w:t>
      </w:r>
      <w:r>
        <w:t xml:space="preserve">. Por escrito presentado el 9 de junio de 2023, el fiscal ante el Tribunal Constitucional presentó alegaciones en las que solicitó la estimación del recurso de amparo, que se declarase que las resoluciones judiciales impugnadas en el mismo vulneraron el derecho fundamental del recurrente a la tutela judicial efectiva del art. 24.1 CE, y a un proceso con todas las garantías del art. 24.2 CE, en conexión con su derecho a la libertad personal del </w:t>
      </w:r>
      <w:r>
        <w:lastRenderedPageBreak/>
        <w:t>art. 17.1 CE y a la libertad de residencia y circulación (art. 19 CE) así como el derecho fundamental del recurrente a la legalidad penal (art. 25.1 CE). Subsidiariamente, solicitaba una aclaración o precisión de la doctrina constitucional.</w:t>
      </w:r>
    </w:p>
    <w:p w14:paraId="242A203F" w14:textId="77777777" w:rsidR="009D7677" w:rsidRDefault="009D7677" w:rsidP="009D7677">
      <w:pPr>
        <w:pStyle w:val="TextoNormal"/>
      </w:pPr>
    </w:p>
    <w:p w14:paraId="7A0B7F72" w14:textId="77777777" w:rsidR="009D7677" w:rsidRDefault="009D7677" w:rsidP="009D7677">
      <w:pPr>
        <w:pStyle w:val="TextoNormal"/>
      </w:pPr>
      <w:r>
        <w:t>Tras exponer las vicisitudes del procedimiento antecedente, el fiscal encuadra la cuestión suscitada en el recurso de amparo en la falta de habilitación legal de la solicitud de extradición formulada por el Reino de Marruecos, en tanto se funda en una orden internacional de detención dictada por el fiscal del rey ante el Juzgado de Primera Instancia de Tánger, sin que exista una resolución judicial que la corrobore, apartándose las resoluciones judiciales impugnadas de la doctrina establecida por el Tribunal Constitucional en las SSTC 147/2020, de 19 de octubre, y 147/2021, de 12 de julio, doctrina que sintetiza y de la que destaca, mediante extensa cita literal de los fundamentos jurídicos 7 y 8 de la primera de ellas, el valor hermenéutico e integrador que el Tribunal Constitucional atribuye (art. 10.2 CE) a los pronunciamientos del Tribunal de Justicia de la Unión Europea relativos a la orden europea de detención y entrega (Decisión Marco 2002/584/JAI) para incorporar a la tutela judicial efectiva del derecho a la libertad y a la libertad de circulación, en los procedimientos de extradición pasiva, la exigencia de que en el país reclamante exista un control judicial de la ponderación de la necesidad de la medida.</w:t>
      </w:r>
    </w:p>
    <w:p w14:paraId="7D4773BA" w14:textId="77777777" w:rsidR="009D7677" w:rsidRDefault="009D7677" w:rsidP="009D7677">
      <w:pPr>
        <w:pStyle w:val="TextoNormal"/>
      </w:pPr>
    </w:p>
    <w:p w14:paraId="082719CF" w14:textId="77777777" w:rsidR="009D7677" w:rsidRDefault="009D7677" w:rsidP="009D7677">
      <w:pPr>
        <w:pStyle w:val="TextoNormal"/>
      </w:pPr>
      <w:r>
        <w:t>El fiscal considera que las condiciones en las que se expide la solicitud de extradición por el fiscal del rey de Marruecos no reúnen las características establecidas por la doctrina constitucional citada, en cuanto se establece la posibilidad de que la autoridad emisora —el fiscal del rey— esté sujeto a instrucciones de la autoridad jerárquica superior, no se prevé la inexcusable concurrencia de una autoridad judicial que controle la necesidad y proporcionalidad de la medida y no se contempla la posibilidad de un recurso judicial antes de la entrega de la persona buscada por el Estado que debe efectuar la ejecución.</w:t>
      </w:r>
    </w:p>
    <w:p w14:paraId="63776C65" w14:textId="77777777" w:rsidR="009D7677" w:rsidRDefault="009D7677" w:rsidP="009D7677">
      <w:pPr>
        <w:pStyle w:val="TextoNormal"/>
      </w:pPr>
    </w:p>
    <w:p w14:paraId="7783596A" w14:textId="77777777" w:rsidR="009D7677" w:rsidRDefault="009D7677" w:rsidP="009D7677">
      <w:pPr>
        <w:pStyle w:val="TextoNormal"/>
      </w:pPr>
      <w:r>
        <w:t>El fiscal no concluye aquí sus alegaciones, sino que con carácter subsidiario plantea la posibilidad de que el presente recurso de amparo sirva de oportunidad para que este tribunal aclare o cambie su doctrina.</w:t>
      </w:r>
    </w:p>
    <w:p w14:paraId="728CA3EF" w14:textId="77777777" w:rsidR="009D7677" w:rsidRDefault="009D7677" w:rsidP="009D7677">
      <w:pPr>
        <w:pStyle w:val="TextoNormal"/>
      </w:pPr>
    </w:p>
    <w:p w14:paraId="40392E61" w14:textId="77777777" w:rsidR="009D7677" w:rsidRDefault="009D7677" w:rsidP="009D7677">
      <w:pPr>
        <w:pStyle w:val="TextoNormal"/>
      </w:pPr>
      <w:r>
        <w:t>En definitiva, se trataría de aclarar o matizar, en su caso, la doctrina constitucional sobre extensión de las garantías del procedimiento de extradición pasiva, en particular la garantía jurisdiccional o de tutela judicial efectiva en el procedimiento de extradición en el momento de su emisión, con aplicación de la doctrina del Tribunal de Justicia de la Unión Europea dictada a propósito de la orden europea de detención y entrega, lo que equipara los procesos de extradición, tanto si son de los países de la Unión Europea como si provienen de países terceros, estableciendo un estándar de garantías más elevado a todos los supuestos de extradición, cualquiera que sea el convenio multilateral o bilateral suscrito entre España y terceros países reguladores de la extradición, perfilando la interpretación de la compatibilidad que se puede suscitar en la aplicación de los convenios suscritos con España y la aplicación del diferente estándar de garantías del Tribunal de Justicia de la Unión Europea.</w:t>
      </w:r>
    </w:p>
    <w:p w14:paraId="79B28FE4" w14:textId="77777777" w:rsidR="009D7677" w:rsidRDefault="009D7677" w:rsidP="009D7677">
      <w:pPr>
        <w:pStyle w:val="TextoNormal"/>
      </w:pPr>
    </w:p>
    <w:p w14:paraId="49D776D1" w14:textId="77777777" w:rsidR="009D7677" w:rsidRDefault="009D7677" w:rsidP="009D7677">
      <w:pPr>
        <w:pStyle w:val="TextoNormal"/>
      </w:pPr>
      <w:r>
        <w:t xml:space="preserve">En cuanto a la otra queja del recurrente, esto es, la que tiene que ver con la falta de concreción de los hechos en que se funda la petición de extradición, señala el fiscal que la información complementaria aportada por el Estado requirente fue insuficiente —solo se </w:t>
      </w:r>
      <w:r>
        <w:lastRenderedPageBreak/>
        <w:t>contestó sobre los hechos del año 2019— por lo que hay un déficit de concreción factual acerca de lo ocurrido en los años 2015 y 2016.</w:t>
      </w:r>
    </w:p>
    <w:p w14:paraId="20D87F3F" w14:textId="77777777" w:rsidR="009D7677" w:rsidRDefault="009D7677" w:rsidP="009D7677">
      <w:pPr>
        <w:pStyle w:val="TextoNormal"/>
      </w:pPr>
    </w:p>
    <w:p w14:paraId="22935D4A" w14:textId="77777777" w:rsidR="009D7677" w:rsidRDefault="009D7677" w:rsidP="009D7677">
      <w:pPr>
        <w:pStyle w:val="TextoNormal"/>
      </w:pPr>
      <w:r>
        <w:t>En lo que atañe a los hechos de 2019, solo se insiste en que los hechos fueron desvelados a la policía por Mahjoub Bilat. Esta circunstancia evidencia la ausencia de cualquier tipo de indagación en el país de origen dirigida a la corroboración de las imputaciones. Solo existe un vago relato de un coimputado que no consta corroborado por otros medios de prueba.</w:t>
      </w:r>
    </w:p>
    <w:p w14:paraId="52CC976A" w14:textId="77777777" w:rsidR="009D7677" w:rsidRDefault="009D7677" w:rsidP="009D7677">
      <w:pPr>
        <w:pStyle w:val="TextoNormal"/>
      </w:pPr>
    </w:p>
    <w:p w14:paraId="24D46CDF" w14:textId="72A95F4F" w:rsidR="009D7677" w:rsidRDefault="009D7677" w:rsidP="009D7677">
      <w:pPr>
        <w:pStyle w:val="TextoNormal"/>
      </w:pPr>
      <w:r>
        <w:t>Por todo ello, el fiscal considera que la indefinición fáctica denunciada por el recurrente realmente existió.</w:t>
      </w:r>
    </w:p>
    <w:p w14:paraId="124C3061" w14:textId="77777777" w:rsidR="009D7677" w:rsidRDefault="009D7677" w:rsidP="009D7677">
      <w:pPr>
        <w:pStyle w:val="TextoNormal"/>
      </w:pPr>
    </w:p>
    <w:p w14:paraId="6EF6FA77" w14:textId="03855502" w:rsidR="009D7677" w:rsidRDefault="009D7677" w:rsidP="009D7677">
      <w:pPr>
        <w:pStyle w:val="TextoNormal"/>
      </w:pPr>
      <w:r w:rsidRPr="009D7677">
        <w:rPr>
          <w:rStyle w:val="NumeroAFNegritaCaracter"/>
        </w:rPr>
        <w:t>9</w:t>
      </w:r>
      <w:r>
        <w:t>. Por diligencia de ordenación de la Secretaría de Justicia de la Sala Primera de este tribunal de 12 de junio de 2023 se hace constar que, habiéndose recibido los precedentes escritos de alegaciones del fiscal y del procurador don Domingo José Collado Molinero, queda el presente recurso de amparo pendiente para deliberación cuando por turno corresponda.</w:t>
      </w:r>
    </w:p>
    <w:p w14:paraId="78671A47" w14:textId="77777777" w:rsidR="009D7677" w:rsidRDefault="009D7677" w:rsidP="009D7677">
      <w:pPr>
        <w:pStyle w:val="TextoNormal"/>
      </w:pPr>
    </w:p>
    <w:p w14:paraId="0314FE52" w14:textId="576D3DCB" w:rsidR="009D7677" w:rsidRDefault="009D7677" w:rsidP="009D7677">
      <w:pPr>
        <w:pStyle w:val="TextoNormal"/>
      </w:pPr>
      <w:r w:rsidRPr="009D7677">
        <w:rPr>
          <w:rStyle w:val="NumeroAFNegritaCaracter"/>
        </w:rPr>
        <w:t>10</w:t>
      </w:r>
      <w:r>
        <w:t>. Mediante providencia de 4 de abril de 2024, se señaló para deliberación y votación de la presente sentencia el siguiente día 8 del mismo mes y año.</w:t>
      </w:r>
    </w:p>
    <w:p w14:paraId="36EF7640" w14:textId="77777777" w:rsidR="009D7677" w:rsidRDefault="009D7677" w:rsidP="009D7677">
      <w:pPr>
        <w:pStyle w:val="TextoNormal"/>
      </w:pPr>
    </w:p>
    <w:p w14:paraId="787154E4" w14:textId="77777777" w:rsidR="009D7677" w:rsidRDefault="009D7677" w:rsidP="009D7677">
      <w:pPr>
        <w:pStyle w:val="TextoNormalNegritaCentrado"/>
        <w:keepNext/>
      </w:pPr>
      <w:r>
        <w:t>II. Fundamentos jurídicos</w:t>
      </w:r>
    </w:p>
    <w:p w14:paraId="3BAC27B6" w14:textId="567C4509" w:rsidR="009D7677" w:rsidRDefault="009D7677" w:rsidP="009D7677">
      <w:pPr>
        <w:pStyle w:val="TextoNormalNegritaCentrado"/>
        <w:keepNext/>
      </w:pPr>
    </w:p>
    <w:p w14:paraId="682F4050" w14:textId="77777777" w:rsidR="009D7677" w:rsidRDefault="009D7677" w:rsidP="009D7677">
      <w:pPr>
        <w:pStyle w:val="TextoNormal"/>
      </w:pPr>
      <w:r w:rsidRPr="009D7677">
        <w:rPr>
          <w:rStyle w:val="NumeroAFNegritaCaracter"/>
        </w:rPr>
        <w:t>1</w:t>
      </w:r>
      <w:r>
        <w:t xml:space="preserve">. </w:t>
      </w:r>
      <w:r w:rsidRPr="009D7677">
        <w:rPr>
          <w:i/>
        </w:rPr>
        <w:t>Objeto del proceso y posición de las partes</w:t>
      </w:r>
    </w:p>
    <w:p w14:paraId="17ECCD0F" w14:textId="77777777" w:rsidR="009D7677" w:rsidRDefault="009D7677" w:rsidP="009D7677">
      <w:pPr>
        <w:pStyle w:val="TextoNormal"/>
      </w:pPr>
    </w:p>
    <w:p w14:paraId="5C6C8760" w14:textId="77777777" w:rsidR="009D7677" w:rsidRDefault="009D7677" w:rsidP="009D7677">
      <w:pPr>
        <w:pStyle w:val="TextoNormal"/>
      </w:pPr>
      <w:r>
        <w:t>La demanda de amparo interesa la nulidad del auto núm. 578/2022, de 13 de octubre, dictado por la Sección Cuarta de la Sala de lo Penal de la Audiencia Nacional, que acordó haber lugar en fase judicial a la extradición del demandante a Marruecos al objeto de ser enjuiciado por hechos constitutivos de tráfico de sustancias estupefacientes e infracciones aduaneras, y del auto núm. 105/2022, de 19 de diciembre, dictado por el Pleno de la Sala de lo Penal de la Audiencia Nacional, que confirmó en súplica el anterior.</w:t>
      </w:r>
    </w:p>
    <w:p w14:paraId="6B76AAE3" w14:textId="77777777" w:rsidR="009D7677" w:rsidRDefault="009D7677" w:rsidP="009D7677">
      <w:pPr>
        <w:pStyle w:val="TextoNormal"/>
      </w:pPr>
    </w:p>
    <w:p w14:paraId="66033850" w14:textId="77777777" w:rsidR="009D7677" w:rsidRDefault="009D7677" w:rsidP="009D7677">
      <w:pPr>
        <w:pStyle w:val="TextoNormal"/>
      </w:pPr>
      <w:r>
        <w:t>El recurrente en amparo denuncia que se ha vulnerado su derecho a la tutela judicial efectiva sin indefensión (art. 24.1 CE), en relación con el derecho a la legalidad extradicional. Esta lesión se produce por la excesiva indefinición de los hechos que sustentan la petición de extradición.</w:t>
      </w:r>
    </w:p>
    <w:p w14:paraId="68B7AD76" w14:textId="77777777" w:rsidR="009D7677" w:rsidRDefault="009D7677" w:rsidP="009D7677">
      <w:pPr>
        <w:pStyle w:val="TextoNormal"/>
      </w:pPr>
    </w:p>
    <w:p w14:paraId="525C7241" w14:textId="77777777" w:rsidR="009D7677" w:rsidRDefault="009D7677" w:rsidP="009D7677">
      <w:pPr>
        <w:pStyle w:val="TextoNormal"/>
      </w:pPr>
      <w:r>
        <w:t>El recurrente aduce también que las resoluciones judiciales impugnadas han vulnerado sus derechos a la tutela judicial efectiva (art. 24.1 CE), a un proceso con todas las garantías (art. 24.2 CE) y a la libertad personal (art. 17.3 CE), porque la orden de arresto de 26 de enero de 2021 emitida por el fiscal sustituto del rey de Marruecos, careció del control judicial en origen exigido en las SSTC 147/2020 y 147/2021 para garantizar su necesidad y proporcionalidad.</w:t>
      </w:r>
    </w:p>
    <w:p w14:paraId="47A477FB" w14:textId="77777777" w:rsidR="009D7677" w:rsidRDefault="009D7677" w:rsidP="009D7677">
      <w:pPr>
        <w:pStyle w:val="TextoNormal"/>
      </w:pPr>
    </w:p>
    <w:p w14:paraId="61FD73FE" w14:textId="712009CB" w:rsidR="009D7677" w:rsidRDefault="009D7677" w:rsidP="009D7677">
      <w:pPr>
        <w:pStyle w:val="TextoNormal"/>
      </w:pPr>
      <w:r>
        <w:t>El fiscal ante el Tribunal Constitucional apoya ambos motivos e interesa la nulidad de las resoluciones judiciales impugnadas aunque, con respecto a la segunda queja, de mane</w:t>
      </w:r>
      <w:r>
        <w:lastRenderedPageBreak/>
        <w:t>ra subsidiaria propone que se module la doctrina constitucional sentada en la STC 147/2020 a la luz de las circunstancias del caso.</w:t>
      </w:r>
    </w:p>
    <w:p w14:paraId="1BB0AB82" w14:textId="77777777" w:rsidR="009D7677" w:rsidRDefault="009D7677" w:rsidP="009D7677">
      <w:pPr>
        <w:pStyle w:val="TextoNormal"/>
      </w:pPr>
    </w:p>
    <w:p w14:paraId="65F66D2B" w14:textId="77777777" w:rsidR="009D7677" w:rsidRDefault="009D7677" w:rsidP="009D7677">
      <w:pPr>
        <w:pStyle w:val="TextoNormal"/>
      </w:pPr>
      <w:r w:rsidRPr="009D7677">
        <w:rPr>
          <w:rStyle w:val="NumeroAFNegritaCaracter"/>
        </w:rPr>
        <w:t>2</w:t>
      </w:r>
      <w:r>
        <w:t xml:space="preserve">. </w:t>
      </w:r>
      <w:r w:rsidRPr="009D7677">
        <w:rPr>
          <w:i/>
        </w:rPr>
        <w:t>Especial trascendencia constitucional</w:t>
      </w:r>
    </w:p>
    <w:p w14:paraId="203CBD43" w14:textId="77777777" w:rsidR="009D7677" w:rsidRDefault="009D7677" w:rsidP="009D7677">
      <w:pPr>
        <w:pStyle w:val="TextoNormal"/>
      </w:pPr>
    </w:p>
    <w:p w14:paraId="5477BB74" w14:textId="77777777" w:rsidR="009D7677" w:rsidRDefault="009D7677" w:rsidP="009D7677">
      <w:pPr>
        <w:pStyle w:val="TextoNormal"/>
      </w:pPr>
      <w:r>
        <w:t>La Sección Segunda del Tribunal Constitucional, por providencia de 20 de febrero de 2023, admitió a trámite el presente recurso de amparo apreciando la concurrencia de especial trascendencia constitucional (art. 50.1 LOTC) porque el recurso puede dar ocasión al Tribunal para aclarar o cambiar su doctrina, como consecuencia de un proceso de reflexión interna [STC 155/2009, FJ 2 b)].</w:t>
      </w:r>
    </w:p>
    <w:p w14:paraId="2DC45F09" w14:textId="77777777" w:rsidR="009D7677" w:rsidRDefault="009D7677" w:rsidP="009D7677">
      <w:pPr>
        <w:pStyle w:val="TextoNormal"/>
      </w:pPr>
    </w:p>
    <w:p w14:paraId="1CDB6434" w14:textId="77777777" w:rsidR="009D7677" w:rsidRDefault="009D7677" w:rsidP="009D7677">
      <w:pPr>
        <w:pStyle w:val="TextoNormal"/>
      </w:pPr>
      <w:r>
        <w:t xml:space="preserve">Desde la STC 9/2015, de 2 de febrero, FJ 3, hemos establecido que “constituye una exigencia de certeza que este tribunal explicite el cumplimiento de este requisito, haciendo así recognoscibles los criterios de aplicación empleados al respecto por este tribunal [sentencia del Tribunal Europeo de Derechos Humanos (STEDH) de 20 de enero de 2015, asunto </w:t>
      </w:r>
      <w:r w:rsidRPr="009D7677">
        <w:rPr>
          <w:i/>
        </w:rPr>
        <w:t>Arribas Antón c. España</w:t>
      </w:r>
      <w:r>
        <w:t>]”, lo que también aconseja evitar la dispersión de criterios en asuntos que presentan una acusada identidad de objeto. A raíz de las SSTC 147/2020 y 147/2021, ha habido una reiteración de asuntos de extradición pasiva, procedentes del mismo país y de otros, que inciden en la misma cuestión, la referida a las solicitudes de extradición remitidas por un fiscal sin refrendo judicial.</w:t>
      </w:r>
    </w:p>
    <w:p w14:paraId="392B13C3" w14:textId="77777777" w:rsidR="009D7677" w:rsidRDefault="009D7677" w:rsidP="009D7677">
      <w:pPr>
        <w:pStyle w:val="TextoNormal"/>
      </w:pPr>
    </w:p>
    <w:p w14:paraId="01E612EC" w14:textId="12A71466" w:rsidR="009D7677" w:rsidRDefault="009D7677" w:rsidP="009D7677">
      <w:pPr>
        <w:pStyle w:val="TextoNormal"/>
      </w:pPr>
      <w:r>
        <w:t>Este problema ha sido abordado en la reciente STC 17/2024, de 31 de enero, en la que se afirmó que también concurría la causa de especial trascendencia constitucional encuadrada en el supuesto de la letra b) del fundamento jurídico 2 de la STC 155/2009, de 25 de junio.</w:t>
      </w:r>
    </w:p>
    <w:p w14:paraId="06B4D26F" w14:textId="77777777" w:rsidR="009D7677" w:rsidRDefault="009D7677" w:rsidP="009D7677">
      <w:pPr>
        <w:pStyle w:val="TextoNormal"/>
      </w:pPr>
    </w:p>
    <w:p w14:paraId="10B8E172" w14:textId="77777777" w:rsidR="009D7677" w:rsidRDefault="009D7677" w:rsidP="009D7677">
      <w:pPr>
        <w:pStyle w:val="TextoNormal"/>
      </w:pPr>
      <w:r w:rsidRPr="009D7677">
        <w:rPr>
          <w:rStyle w:val="NumeroAFNegritaCaracter"/>
        </w:rPr>
        <w:t>3</w:t>
      </w:r>
      <w:r>
        <w:t xml:space="preserve">. </w:t>
      </w:r>
      <w:r w:rsidRPr="009D7677">
        <w:rPr>
          <w:i/>
        </w:rPr>
        <w:t>Consideraciones previas. Orden de examen de las quejas</w:t>
      </w:r>
    </w:p>
    <w:p w14:paraId="616BD12D" w14:textId="77777777" w:rsidR="009D7677" w:rsidRDefault="009D7677" w:rsidP="009D7677">
      <w:pPr>
        <w:pStyle w:val="TextoNormal"/>
      </w:pPr>
    </w:p>
    <w:p w14:paraId="73C7A3FA" w14:textId="77777777" w:rsidR="009D7677" w:rsidRDefault="009D7677" w:rsidP="009D7677">
      <w:pPr>
        <w:pStyle w:val="TextoNormal"/>
      </w:pPr>
      <w:r>
        <w:t>Para determinar el orden de examen de las quejas articuladas por el actor nos atendremos a los criterios expuestos en nuestra doctrina, según la cual, en el análisis de las diferentes lesiones alegadas ha de seguirse el criterio de “mayor retroacción” que viene empleando nuestra jurisprudencia (SSTC 180/2015, de 7 de septiembre, FJ 3, y 102/2020, de 21 de septiembre, FJ 2), y que implica conceder prioridad al examen de aquellas causas que, de prosperar, determinarían la retroacción a un momento procesal anterior, lo que haría innecesario un pronunciamiento sobre las restantes (SSTC 90/2010, de 15 de noviembre, FJ 2; 25/2012, de 27 de febrero, FJ 2, y las que en ellas se citan).</w:t>
      </w:r>
    </w:p>
    <w:p w14:paraId="60B5DE46" w14:textId="77777777" w:rsidR="009D7677" w:rsidRDefault="009D7677" w:rsidP="009D7677">
      <w:pPr>
        <w:pStyle w:val="TextoNormal"/>
      </w:pPr>
    </w:p>
    <w:p w14:paraId="7DF59336" w14:textId="77777777" w:rsidR="009D7677" w:rsidRDefault="009D7677" w:rsidP="009D7677">
      <w:pPr>
        <w:pStyle w:val="TextoNormal"/>
      </w:pPr>
      <w:r>
        <w:t>En las SSTC 115/2002, de 20 de mayo, FJ 3; 65/2003, de 7 de abril, FJ 2; 198/2003, de 10 de noviembre, FJ 3, o, más recientemente, en las SSTC 37/2018, de 23 de abril, FJ 2, y 78/2019, de 3 de junio, FJ 2, declaramos que corresponde a este tribunal, en función de las circunstancias concurrentes en cada supuesto concreto sometido a su consideración, determinar no solo el orden del examen de las quejas, sino también si resulta necesario o conveniente pronunciarse en la sentencia sobre todas las lesiones de derechos constitucionales denunciadas, en el caso de que ya se haya apreciado la concurrencia de alguna de ellas.</w:t>
      </w:r>
    </w:p>
    <w:p w14:paraId="747745F2" w14:textId="77777777" w:rsidR="009D7677" w:rsidRDefault="009D7677" w:rsidP="009D7677">
      <w:pPr>
        <w:pStyle w:val="TextoNormal"/>
      </w:pPr>
    </w:p>
    <w:p w14:paraId="430C4F45" w14:textId="45719F68" w:rsidR="009D7677" w:rsidRDefault="009D7677" w:rsidP="009D7677">
      <w:pPr>
        <w:pStyle w:val="TextoNormal"/>
      </w:pPr>
      <w:r>
        <w:t>La queja anudada a la falta de control judicial de la solicitud de extradición en el país requirente está vinculada con la especial trascendencia constitucional alegada. Por consi</w:t>
      </w:r>
      <w:r>
        <w:lastRenderedPageBreak/>
        <w:t>guiente, la lógica impone comenzar nuestro estudio por esta, dada su mayor incidencia sobre la cuestión planteada.</w:t>
      </w:r>
    </w:p>
    <w:p w14:paraId="3951CF7E" w14:textId="77777777" w:rsidR="009D7677" w:rsidRDefault="009D7677" w:rsidP="009D7677">
      <w:pPr>
        <w:pStyle w:val="TextoNormal"/>
      </w:pPr>
    </w:p>
    <w:p w14:paraId="24AD2419" w14:textId="77777777" w:rsidR="009D7677" w:rsidRDefault="009D7677" w:rsidP="009D7677">
      <w:pPr>
        <w:pStyle w:val="TextoNormal"/>
      </w:pPr>
      <w:r w:rsidRPr="009D7677">
        <w:rPr>
          <w:rStyle w:val="NumeroAFNegritaCaracter"/>
        </w:rPr>
        <w:t>4</w:t>
      </w:r>
      <w:r>
        <w:t xml:space="preserve">. </w:t>
      </w:r>
      <w:r w:rsidRPr="009D7677">
        <w:rPr>
          <w:i/>
        </w:rPr>
        <w:t>La tutela judicial de la libertad en los procedimientos de extradición pasiva</w:t>
      </w:r>
    </w:p>
    <w:p w14:paraId="601B6CAD" w14:textId="77777777" w:rsidR="009D7677" w:rsidRDefault="009D7677" w:rsidP="009D7677">
      <w:pPr>
        <w:pStyle w:val="TextoNormal"/>
      </w:pPr>
    </w:p>
    <w:p w14:paraId="3F19B260" w14:textId="77777777" w:rsidR="009D7677" w:rsidRDefault="009D7677" w:rsidP="009D7677">
      <w:pPr>
        <w:pStyle w:val="TextoNormal"/>
      </w:pPr>
      <w:r>
        <w:t xml:space="preserve">En la STC 17/2024, de 31 de enero, se aclaró la doctrina sobre tutela judicial del derecho a la libertad en los procedimientos de extradición pasiva fijada en las SSTC 147/2020 y 147/2021 en el sentido de distinguir una garantía básica, consistente en que el órgano judicial verifique, al examinar la petición de extradición, la imparcialidad de la autoridad que la ha emitido, garantía inherente al deber de motivación reforzada de una decisión que ha de afectar necesariamente a la esfera de la libertad personal del reclamado, y una garantía específica, consistente en que la solicitud venga refrendada por una autoridad judicial desde el mismo país de origen, fundada en el art. 7.1 a) LEP, que es de directa aplicación en caso de ausencia de convenio extradicional con el Estado reclamante (STC 147/2021, FJ 4), pero que puede verse modulada en función de lo previsto en el convenio de extradición vigente entre las partes, en tanto que fuente normativa de aplicación preferente en los términos del art. 1.1 LEP, de modo que, aun cuando sea una exigencia inherente a la tutela judicial efectiva del derecho a la libertad personal del </w:t>
      </w:r>
      <w:r w:rsidRPr="009D7677">
        <w:rPr>
          <w:i/>
        </w:rPr>
        <w:t>extraditurus</w:t>
      </w:r>
      <w:r>
        <w:t xml:space="preserve"> que nuestros tribunales verifiquen que la necesidad y proporcionalidad de la medida ha sido debidamente ponderada por un órgano judicial del país emisor, dicha intermediación judicial puede dispensarse excepcionalmente cuando concurran las siguientes exigencias:</w:t>
      </w:r>
    </w:p>
    <w:p w14:paraId="50BCA9F4" w14:textId="77777777" w:rsidR="009D7677" w:rsidRDefault="009D7677" w:rsidP="009D7677">
      <w:pPr>
        <w:pStyle w:val="TextoNormal"/>
      </w:pPr>
    </w:p>
    <w:p w14:paraId="078E9874" w14:textId="77777777" w:rsidR="009D7677" w:rsidRDefault="009D7677" w:rsidP="009D7677">
      <w:pPr>
        <w:pStyle w:val="TextoNormal"/>
      </w:pPr>
      <w:r>
        <w:t>(i) Que se trate de un procedimiento de extradición regido por un convenio bilateral o multilateral que admita la posibilidad de que la petición de entrega pueda emanar de una autoridad no jurisdiccional.</w:t>
      </w:r>
    </w:p>
    <w:p w14:paraId="07946CA3" w14:textId="77777777" w:rsidR="009D7677" w:rsidRDefault="009D7677" w:rsidP="009D7677">
      <w:pPr>
        <w:pStyle w:val="TextoNormal"/>
      </w:pPr>
    </w:p>
    <w:p w14:paraId="1A137B06" w14:textId="77777777" w:rsidR="009D7677" w:rsidRDefault="009D7677" w:rsidP="009D7677">
      <w:pPr>
        <w:pStyle w:val="TextoNormal"/>
      </w:pPr>
      <w:r>
        <w:t>(ii) Que el país requirente suministre información suficientemente expresiva de que se trata de una autoridad que, conforme a su legislación interna, está facultada para emitir una solicitud de extradición en condiciones equivalentes a las de una autoridad judicial.</w:t>
      </w:r>
    </w:p>
    <w:p w14:paraId="1420A41F" w14:textId="77777777" w:rsidR="009D7677" w:rsidRDefault="009D7677" w:rsidP="009D7677">
      <w:pPr>
        <w:pStyle w:val="TextoNormal"/>
      </w:pPr>
    </w:p>
    <w:p w14:paraId="0059D2CB" w14:textId="4554EAAE" w:rsidR="009D7677" w:rsidRDefault="009D7677" w:rsidP="009D7677">
      <w:pPr>
        <w:pStyle w:val="TextoNormal"/>
      </w:pPr>
      <w:r>
        <w:t>(iii) Que el contenido de la solicitud y de la documentación anexa proporcione a los órganos judiciales españoles la información necesaria para verificar que la misma resulta necesaria y proporcionada.</w:t>
      </w:r>
    </w:p>
    <w:p w14:paraId="73677311" w14:textId="77777777" w:rsidR="009D7677" w:rsidRDefault="009D7677" w:rsidP="009D7677">
      <w:pPr>
        <w:pStyle w:val="TextoNormal"/>
      </w:pPr>
    </w:p>
    <w:p w14:paraId="40864BF4" w14:textId="77777777" w:rsidR="009D7677" w:rsidRDefault="009D7677" w:rsidP="009D7677">
      <w:pPr>
        <w:pStyle w:val="TextoNormal"/>
      </w:pPr>
      <w:r w:rsidRPr="009D7677">
        <w:rPr>
          <w:rStyle w:val="NumeroAFNegritaCaracter"/>
        </w:rPr>
        <w:t>5</w:t>
      </w:r>
      <w:r>
        <w:t xml:space="preserve">. </w:t>
      </w:r>
      <w:r w:rsidRPr="009D7677">
        <w:rPr>
          <w:i/>
        </w:rPr>
        <w:t>Análisis de la vulneración referida a la falta de control judicial de la solicitud de extradición en el país de origen</w:t>
      </w:r>
    </w:p>
    <w:p w14:paraId="1426164D" w14:textId="77777777" w:rsidR="009D7677" w:rsidRDefault="009D7677" w:rsidP="009D7677">
      <w:pPr>
        <w:pStyle w:val="TextoNormal"/>
      </w:pPr>
    </w:p>
    <w:p w14:paraId="173D0865" w14:textId="77777777" w:rsidR="009D7677" w:rsidRDefault="009D7677" w:rsidP="009D7677">
      <w:pPr>
        <w:pStyle w:val="TextoNormal"/>
      </w:pPr>
      <w:r>
        <w:t>El recurrente en amparo fue detenido en Marbella (Málaga) el día 28 de marzo de 2022 y puesto a disposición del Juzgado Central de Instrucción núm. 5, que incoó el procedimiento de extradición pasiva núm. 12-2022, en virtud de una orden internacional de detención que dictó el fiscal del rey ante el Juzgado de Primera Instancia de Tánger que le atribuía haber planificado y dirigido el transporte desde Marruecos hasta las Islas Canarias de varias partidas importantes de hachís (entre los 300 y los 400 kilogramos cada vez) durante los años 2015, 2016 (en dos ocasiones) y 2019 (en otras dos ocasiones), contratando a otras personas que ayudaron en el traslado, aparte de efectuar la exportación de dicha sustancia sin formalizar las autorizaciones y declaraciones aduaneras correspondientes.</w:t>
      </w:r>
    </w:p>
    <w:p w14:paraId="5E5F4B6B" w14:textId="77777777" w:rsidR="009D7677" w:rsidRDefault="009D7677" w:rsidP="009D7677">
      <w:pPr>
        <w:pStyle w:val="TextoNormal"/>
      </w:pPr>
    </w:p>
    <w:p w14:paraId="4517EE20" w14:textId="77777777" w:rsidR="009D7677" w:rsidRDefault="009D7677" w:rsidP="009D7677">
      <w:pPr>
        <w:pStyle w:val="TextoNormal"/>
      </w:pPr>
      <w:r>
        <w:lastRenderedPageBreak/>
        <w:t>Acordada por el Consejo de Ministros la continuación del procedimiento en vía judicial, y cumplimentados los trámites del procedimiento judicial, la Sección Cuarta de la Sala de lo Penal de la Audiencia Nacional dictó el auto núm. 578/2022, de 13 de octubre, por el que autorizó la entrega del demandante, por considerar que concurrían los requisitos establecidos en el Convenio de extradición entre el Reino de España y el Reino de Marruecos, suscrito en Rabat el 24 de junio de 2009, y los de la Ley 4/1985, de 21 de marzo, de extradición pasiva, en particular los requisitos de doble incriminación y mínimo punitivo exigidos en el art. 2.1 del Convenio bilateral.</w:t>
      </w:r>
    </w:p>
    <w:p w14:paraId="0A9400C5" w14:textId="77777777" w:rsidR="009D7677" w:rsidRDefault="009D7677" w:rsidP="009D7677">
      <w:pPr>
        <w:pStyle w:val="TextoNormal"/>
      </w:pPr>
    </w:p>
    <w:p w14:paraId="253FD209" w14:textId="77777777" w:rsidR="009D7677" w:rsidRDefault="009D7677" w:rsidP="009D7677">
      <w:pPr>
        <w:pStyle w:val="TextoNormal"/>
      </w:pPr>
      <w:r>
        <w:t>Interpuesto recurso de súplica fue desestimado en el auto núm. 105/2022, de 19 de diciembre, del Pleno de la Sala de lo Penal de la Audiencia Nacional. En el recurso de súplica el demandante hizo valer, entre otros motivos, la vulneración de los arts. 17 y 24 CE por basarse la solicitud en una orden de detención expedida por el fiscal, no equiparable a una resolución ejecutoria de condena ni a una resolución jurisdiccional, por lo que afirmaba que dicha orden era insuficiente y carente de legitimidad constitucional con arreglo a la STC 147/2020, de 19 de octubre.</w:t>
      </w:r>
    </w:p>
    <w:p w14:paraId="10AA69A1" w14:textId="77777777" w:rsidR="009D7677" w:rsidRDefault="009D7677" w:rsidP="009D7677">
      <w:pPr>
        <w:pStyle w:val="TextoNormal"/>
      </w:pPr>
    </w:p>
    <w:p w14:paraId="5C3441A4" w14:textId="77777777" w:rsidR="009D7677" w:rsidRDefault="009D7677" w:rsidP="009D7677">
      <w:pPr>
        <w:pStyle w:val="TextoNormal"/>
      </w:pPr>
      <w:r>
        <w:t>El demandante de amparo, don Mouloud Sbai, combate estas resoluciones judiciales con el argumento de que, careciendo la orden de arresto emitida por el fiscal sustituto del rey de Marruecos de control judicial en dicho país, en el que, por otra parte, la orden de detención podría haber sido emitida también por un juez de instrucción, las resoluciones judiciales impugnadas que autorizaron la extradición en estas condiciones incumplieron la doctrina sentada en las SSTC 147/2020 y 147/2021, que interpreta en el sentido de que la falta de refrendo judicial equivale a una falta de necesidad y proporcionalidad de la medida.</w:t>
      </w:r>
    </w:p>
    <w:p w14:paraId="7E043B3F" w14:textId="77777777" w:rsidR="009D7677" w:rsidRDefault="009D7677" w:rsidP="009D7677">
      <w:pPr>
        <w:pStyle w:val="TextoNormal"/>
      </w:pPr>
    </w:p>
    <w:p w14:paraId="1B3B85A9" w14:textId="77777777" w:rsidR="009D7677" w:rsidRDefault="009D7677" w:rsidP="009D7677">
      <w:pPr>
        <w:pStyle w:val="TextoNormal"/>
      </w:pPr>
      <w:r>
        <w:t>De conformidad con lo que hemos expuesto en el anterior fundamento jurídico de esta sentencia, el planteamiento impugnatorio del demandante no puede ser asumido, pues el art. 12 a) del Convenio bilateral de extradición no exige el dictado de una resolución judicial como punto de partida de la solicitud de entrega, por lo que la documentación remitida en apoyo de la solicitud de extradición no queda fuera de la cobertura legal conformada por las fuentes aplicables. Por otra parte, la información complementaria remitida por el Estado requirente es suficientemente expresiva de la integración de la fiscalía en el órgano judicial, de sus condiciones de imparcialidad y del valor equivalente que la legislación del país otorga a las órdenes internacionales de arresto emitidas por el fiscal respecto de las emitidas por un juez de instrucción en el ámbito de su competencia, lo que excluye la necesidad de su validación judicial.</w:t>
      </w:r>
    </w:p>
    <w:p w14:paraId="2AC07855" w14:textId="77777777" w:rsidR="009D7677" w:rsidRDefault="009D7677" w:rsidP="009D7677">
      <w:pPr>
        <w:pStyle w:val="TextoNormal"/>
      </w:pPr>
    </w:p>
    <w:p w14:paraId="6B0EC412" w14:textId="77777777" w:rsidR="009D7677" w:rsidRDefault="009D7677" w:rsidP="009D7677">
      <w:pPr>
        <w:pStyle w:val="TextoNormal"/>
      </w:pPr>
      <w:r>
        <w:t>La misión de los tribunales españoles se ha de limitar a depurar aquellas solicitudes de extradición que presenten indicios de falta de proporcionalidad o de fundamento, mediante el examen en concreto de las alegaciones y documentos aportados por la persona reclamada, y de las razones y documentos aportados por las autoridades requirentes junto con la petición de extradición o de aquellos otros que el tribunal español pueda solicitar como complemento de los anteriores.</w:t>
      </w:r>
    </w:p>
    <w:p w14:paraId="719586CF" w14:textId="77777777" w:rsidR="009D7677" w:rsidRDefault="009D7677" w:rsidP="009D7677">
      <w:pPr>
        <w:pStyle w:val="TextoNormal"/>
      </w:pPr>
    </w:p>
    <w:p w14:paraId="0787038A" w14:textId="29F5BB5D" w:rsidR="009D7677" w:rsidRDefault="009D7677" w:rsidP="009D7677">
      <w:pPr>
        <w:pStyle w:val="TextoNormal"/>
      </w:pPr>
      <w:r>
        <w:t xml:space="preserve">En este caso, la documentación remitida por las autoridades marroquíes por vía diplomática, que incluye la orden internacional de detención y la solicitud de extradición expedidas por el fiscal del rey, contiene una exposición circunstanciada tanto de los hechos </w:t>
      </w:r>
      <w:r>
        <w:lastRenderedPageBreak/>
        <w:t>imputados al demandante de amparo como de su calificación jurídica y de las diligencias de investigación practicadas bajo la dirección de la fiscalía marroquí, en cuyo resultado se funda dicha imputación, en términos que no permiten poner en duda la necesidad y proporcionalidad de su decisión de solicitar su entrega para asegurar su enjuiciamiento. Procede por ello declarar que las resoluciones judiciales impugnadas, al dar curso en vía jurisdiccional a dicha solicitud, no han vulnerado los derechos fundamentales sustantivos y procesales invocados en la demanda de amparo.</w:t>
      </w:r>
    </w:p>
    <w:p w14:paraId="4B95B342" w14:textId="77777777" w:rsidR="009D7677" w:rsidRDefault="009D7677" w:rsidP="009D7677">
      <w:pPr>
        <w:pStyle w:val="TextoNormal"/>
      </w:pPr>
    </w:p>
    <w:p w14:paraId="694F7677" w14:textId="77777777" w:rsidR="009D7677" w:rsidRDefault="009D7677" w:rsidP="009D7677">
      <w:pPr>
        <w:pStyle w:val="TextoNormal"/>
      </w:pPr>
      <w:r w:rsidRPr="009D7677">
        <w:rPr>
          <w:rStyle w:val="NumeroAFNegritaCaracter"/>
        </w:rPr>
        <w:t>6</w:t>
      </w:r>
      <w:r>
        <w:t xml:space="preserve">. </w:t>
      </w:r>
      <w:r w:rsidRPr="009D7677">
        <w:rPr>
          <w:i/>
        </w:rPr>
        <w:t>La queja sobre la imprecisión de los hechos con afectación del principio de doble incriminación</w:t>
      </w:r>
    </w:p>
    <w:p w14:paraId="6837AB9F" w14:textId="77777777" w:rsidR="009D7677" w:rsidRDefault="009D7677" w:rsidP="009D7677">
      <w:pPr>
        <w:pStyle w:val="TextoNormal"/>
      </w:pPr>
    </w:p>
    <w:p w14:paraId="2E875205" w14:textId="77777777" w:rsidR="009D7677" w:rsidRDefault="009D7677" w:rsidP="009D7677">
      <w:pPr>
        <w:pStyle w:val="TextoNormal"/>
      </w:pPr>
      <w:r>
        <w:t>El recurrente considera asimismo que se ha producido una lesión del derecho a la tutela judicial efectiva derivada de la imprecisión de los hechos. Aduce una falta de concreción de sujetos, tiempo, lugares y fechas de supuestas operaciones destinadas al tráfico de drogas. Esta falta de determinación fáctica conlleva, a su juicio, tanto la imposibilidad de determinar una litispendencia por procesos judiciales existentes en España como la imposibilidad de apreciar una causa de prescripción y la imposibilidad de determinar una causa de denegación del art. 3.1 LEP.</w:t>
      </w:r>
    </w:p>
    <w:p w14:paraId="119E9551" w14:textId="77777777" w:rsidR="009D7677" w:rsidRDefault="009D7677" w:rsidP="009D7677">
      <w:pPr>
        <w:pStyle w:val="TextoNormal"/>
      </w:pPr>
    </w:p>
    <w:p w14:paraId="15ED841E" w14:textId="77777777" w:rsidR="009D7677" w:rsidRDefault="009D7677" w:rsidP="009D7677">
      <w:pPr>
        <w:pStyle w:val="TextoNormal"/>
      </w:pPr>
      <w:r>
        <w:t>La STC 102/1997, de 20 de mayo, FJ 6, dice sobre esta materia: “hemos afirmado que la regla de la doble incriminación, que cabe incluir en el derecho constitucional a la legalidad penal (y así lo hemos afirmado ininterrumpidamente a partir de la STC 11/1983, fundamentos jurídicos 6 y 7), no significa tanto identidad de las normas penales de los Estados concernidos como ‘que el hecho sea delictivo y con una determinada penalidad (mínima) en las legislaciones penales del Estado requirente y del Estado requerido’ (como últimamente afirmamos en el ATC 23/1997, fundamento jurídico 2, recogiendo doctrina muy consolidada: AATC 753/1985 y 499/1988, por ejemplo)”.</w:t>
      </w:r>
    </w:p>
    <w:p w14:paraId="0E7FE27A" w14:textId="77777777" w:rsidR="009D7677" w:rsidRDefault="009D7677" w:rsidP="009D7677">
      <w:pPr>
        <w:pStyle w:val="TextoNormal"/>
      </w:pPr>
    </w:p>
    <w:p w14:paraId="49A3CDDF" w14:textId="77777777" w:rsidR="009D7677" w:rsidRDefault="009D7677" w:rsidP="009D7677">
      <w:pPr>
        <w:pStyle w:val="TextoNormal"/>
      </w:pPr>
      <w:r>
        <w:t>En el presente caso, los hechos narrados en la solicitud de extradición refieren la comisión de delitos de tráfico de drogas mediante transporte de las sustancias desde Marruecos hasta Canarias durante los años 2015 a 2019, y estos hechos se corresponden plenamente con los tipos penales previstos en el art. 368 y siguientes del CP (cumpliendo así con el art. 2 LEP). Por otra parte, la posible competencia de las autoridades españolas para conocer de los hechos no supone la aplicación automática de la causa de denegación establecida en el art. 3.1 LEP porque la misma opera cuando los hechos son atribuidos exclusivamente a la jurisdicción española, lo que no ocurre en casos, como el que analizamos, en los que, en virtud del principio de ubicuidad, también las autoridades marroquíes tienen competencia sobre los mismos.</w:t>
      </w:r>
    </w:p>
    <w:p w14:paraId="0CA74A39" w14:textId="77777777" w:rsidR="009D7677" w:rsidRDefault="009D7677" w:rsidP="009D7677">
      <w:pPr>
        <w:pStyle w:val="TextoNormal"/>
      </w:pPr>
    </w:p>
    <w:p w14:paraId="35D0F7B7" w14:textId="77777777" w:rsidR="009D7677" w:rsidRDefault="009D7677" w:rsidP="009D7677">
      <w:pPr>
        <w:pStyle w:val="TextoNormal"/>
      </w:pPr>
      <w:r>
        <w:t>En cuanto a la imposibilidad de determinar la litispendencia, el recurrente tiene dos causas pendientes en España. Según explica en su auto el Pleno de la Sala de lo Penal de la Audiencia Nacional, la primera es el sumario 44-2017 de la Sección Segunda de la Audiencia Provincial de Santa Cruz de Tenerife cuyo objeto procesal son dos operaciones de hachís en el año 2015. En una de ellas no se incautó droga alguna y en la otra se intervinieron 782 kilos de hachís. Sin embargo, la única operación de 2015 por la que se le reclama la extradición es una referida a 400 kilos de chira, por lo que no existe litispendencia. La segunda causa está tramitándose ante el Juzgado de Instrucción núm. 3 de Las Palmas de Gran Canaria por hechos que tuvieron lugar en 2018. Pero este año no está in</w:t>
      </w:r>
      <w:r>
        <w:lastRenderedPageBreak/>
        <w:t>cluido en los hechos que fundan la extradición, por lo que también se excluye la litispendencia.</w:t>
      </w:r>
    </w:p>
    <w:p w14:paraId="440FB283" w14:textId="77777777" w:rsidR="009D7677" w:rsidRDefault="009D7677" w:rsidP="009D7677">
      <w:pPr>
        <w:pStyle w:val="TextoNormal"/>
      </w:pPr>
    </w:p>
    <w:p w14:paraId="5195A998" w14:textId="77777777" w:rsidR="009D7677" w:rsidRDefault="009D7677" w:rsidP="009D7677">
      <w:pPr>
        <w:pStyle w:val="TextoNormal"/>
      </w:pPr>
      <w:r>
        <w:t xml:space="preserve">Finalmente, en relación con la prescripción, el Pleno de la Sala de lo Penal de la Audiencia Nacional se remite al artículo 239 </w:t>
      </w:r>
      <w:r w:rsidRPr="009D7677">
        <w:rPr>
          <w:i/>
        </w:rPr>
        <w:t>bis</w:t>
      </w:r>
      <w:r>
        <w:t xml:space="preserve"> del Código de la aduana de Marruecos. Este precepto, a juicio del Pleno, impide considerar el inicio del cómputo de la prescripción tomando como fecha de inicio el primer episodio de 2015. Hay que partir del último, el del año 2019. Sin embargo, al haberse incoado un procedimiento penal en Marruecos el 24 de abril de 2020, que dio lugar a la orden internacional de detención de 18 de junio de 2021, esta fecha sería el </w:t>
      </w:r>
      <w:r w:rsidRPr="009D7677">
        <w:rPr>
          <w:i/>
        </w:rPr>
        <w:t>dies a quo</w:t>
      </w:r>
      <w:r>
        <w:t xml:space="preserve"> y excluiría la prescripción. En definitiva, el Pleno consideró que había tenido datos suficientes para pronunciarse sobre los temas planteados por el recurrente partiendo de la información suministrada por las autoridades marroquíes.</w:t>
      </w:r>
    </w:p>
    <w:p w14:paraId="663E2753" w14:textId="77777777" w:rsidR="009D7677" w:rsidRDefault="009D7677" w:rsidP="009D7677">
      <w:pPr>
        <w:pStyle w:val="TextoNormal"/>
      </w:pPr>
    </w:p>
    <w:p w14:paraId="271E4E86" w14:textId="77777777" w:rsidR="009D7677" w:rsidRDefault="009D7677" w:rsidP="009D7677">
      <w:pPr>
        <w:pStyle w:val="TextoNormal"/>
      </w:pPr>
      <w:r>
        <w:t>En su argumentación, el fiscal da por sentado que la petición de ampliación de información suponía que el órgano judicial compartía la visión del recurrente acerca de que la información era insuficiente. No obstante, el razonamiento del Pleno gira en torno a que los datos suministrados por las autoridades marroquíes eran suficientes para poder realizar su labor de control sobre la extradición. Por otro lado, la crítica del fiscal al hecho imputado ocurrido en el año 2019 se funda en que solo hay una fuente de datos, un coimputado no corroborado. Esto, en puridad, no tiene que ver con la doble incriminación, ni ha sido alegado por el recurrente en la demanda de amparo, la cual no realiza ninguna censura al origen de las informaciones. Simplemente las tacha de insuficientes.</w:t>
      </w:r>
    </w:p>
    <w:p w14:paraId="1D76E5E9" w14:textId="77777777" w:rsidR="009D7677" w:rsidRDefault="009D7677" w:rsidP="009D7677">
      <w:pPr>
        <w:pStyle w:val="TextoNormal"/>
      </w:pPr>
    </w:p>
    <w:p w14:paraId="3F8BDC4F" w14:textId="755EE080" w:rsidR="009D7677" w:rsidRDefault="009D7677" w:rsidP="009D7677">
      <w:pPr>
        <w:pStyle w:val="TextoNormal"/>
      </w:pPr>
      <w:r>
        <w:t>Por lo dicho, el motivo ha de ser desestimado y con ello la totalidad de la demanda.</w:t>
      </w:r>
    </w:p>
    <w:p w14:paraId="0F200600" w14:textId="77777777" w:rsidR="009D7677" w:rsidRDefault="009D7677" w:rsidP="009D7677">
      <w:pPr>
        <w:pStyle w:val="TextoNormal"/>
      </w:pPr>
    </w:p>
    <w:p w14:paraId="118944D9" w14:textId="77777777" w:rsidR="009D7677" w:rsidRDefault="009D7677" w:rsidP="009D7677">
      <w:pPr>
        <w:pStyle w:val="TextoNormalCentrado"/>
        <w:keepNext/>
      </w:pPr>
      <w:r>
        <w:t>FALLO</w:t>
      </w:r>
    </w:p>
    <w:p w14:paraId="51C0E165" w14:textId="6F93BB67" w:rsidR="009D7677" w:rsidRDefault="009D7677" w:rsidP="009D7677">
      <w:pPr>
        <w:pStyle w:val="TextoNormalCentrado"/>
        <w:keepNext/>
      </w:pPr>
    </w:p>
    <w:p w14:paraId="5D1770C6" w14:textId="674E41C1" w:rsidR="009D7677" w:rsidRDefault="009D7677" w:rsidP="009D7677">
      <w:pPr>
        <w:pStyle w:val="TextoNormal"/>
      </w:pPr>
      <w:r>
        <w:t>En atención a todo lo expuesto, el Tribunal Constitucional, por la autoridad que le confiere la Constitución de la Nación española, ha decidido desestimar el presente recurso de amparo.</w:t>
      </w:r>
    </w:p>
    <w:p w14:paraId="12EC640F" w14:textId="77777777" w:rsidR="009D7677" w:rsidRDefault="009D7677" w:rsidP="009D7677">
      <w:pPr>
        <w:pStyle w:val="TextoNormal"/>
      </w:pPr>
    </w:p>
    <w:p w14:paraId="26777133" w14:textId="77777777" w:rsidR="009D7677" w:rsidRDefault="009D7677" w:rsidP="009D7677">
      <w:pPr>
        <w:pStyle w:val="TextoNormal"/>
      </w:pPr>
      <w:r>
        <w:t>Publíquese esta sentencia en el “Boletín Oficial del Estado”.</w:t>
      </w:r>
    </w:p>
    <w:p w14:paraId="2A256CF9" w14:textId="77777777" w:rsidR="009D7677" w:rsidRDefault="009D7677" w:rsidP="009D7677">
      <w:pPr>
        <w:pStyle w:val="TextoNormal"/>
      </w:pPr>
      <w:r>
        <w:t>Dada en Madrid, a ocho de abril de dos mil veinticuatro.</w:t>
      </w:r>
    </w:p>
    <w:p w14:paraId="38D0F89F" w14:textId="43DEBAA9" w:rsidR="009D7677" w:rsidRDefault="009D7677">
      <w:pPr>
        <w:spacing w:after="160" w:line="259" w:lineRule="auto"/>
        <w:rPr>
          <w:rFonts w:ascii="Times New Roman" w:eastAsia="Times New Roman" w:hAnsi="Times New Roman" w:cs="Times New Roman"/>
          <w:sz w:val="24"/>
          <w:szCs w:val="24"/>
          <w:lang w:eastAsia="es-ES"/>
        </w:rPr>
      </w:pPr>
      <w:r>
        <w:br w:type="page"/>
      </w:r>
    </w:p>
    <w:p w14:paraId="684FAA00" w14:textId="77777777" w:rsidR="009D7677" w:rsidRDefault="009D7677" w:rsidP="009D7677">
      <w:pPr>
        <w:pStyle w:val="TtuloResolucin"/>
      </w:pPr>
      <w:bookmarkStart w:id="60" w:name="SENTENCIA_2024_58"/>
      <w:r>
        <w:lastRenderedPageBreak/>
        <w:t>SENTENCIA 58/2024, de 8 de abril de 2024</w:t>
      </w:r>
    </w:p>
    <w:bookmarkEnd w:id="60"/>
    <w:p w14:paraId="52404A44" w14:textId="77777777" w:rsidR="009D7677" w:rsidRDefault="009D7677" w:rsidP="009D7677">
      <w:pPr>
        <w:pStyle w:val="TtuloResolucin"/>
      </w:pPr>
      <w:r>
        <w:t>Sala Segunda</w:t>
      </w:r>
    </w:p>
    <w:p w14:paraId="3C4DF0B2" w14:textId="77777777" w:rsidR="009D7677" w:rsidRDefault="009D7677" w:rsidP="009D7677">
      <w:pPr>
        <w:pStyle w:val="TtuloBOE"/>
      </w:pPr>
      <w:r>
        <w:t>(BOE núm. 118, de 15 de mayo de 2024)</w:t>
      </w:r>
    </w:p>
    <w:p w14:paraId="11F6126D" w14:textId="77777777" w:rsidR="009D7677" w:rsidRDefault="009D7677" w:rsidP="009D7677">
      <w:pPr>
        <w:pStyle w:val="TextoNormalCentrado"/>
      </w:pPr>
      <w:r>
        <w:t>ECLI:ES:TC:2024:58</w:t>
      </w:r>
    </w:p>
    <w:p w14:paraId="461DEE70" w14:textId="05511097" w:rsidR="009D7677" w:rsidRDefault="009D7677" w:rsidP="009D7677">
      <w:pPr>
        <w:pStyle w:val="TextoNormalCentrado"/>
      </w:pPr>
    </w:p>
    <w:p w14:paraId="0C71A986" w14:textId="77777777" w:rsidR="009D7677" w:rsidRDefault="009D7677" w:rsidP="009D7677">
      <w:pPr>
        <w:pStyle w:val="SntesisDescriptiva"/>
      </w:pPr>
      <w:r>
        <w:t>Recurso de amparo 2127-2023. Promovido por doña N.A.L., respecto de los autos dictados por la Audiencia Provincial de Madrid y un juzgado de primera instancia e instrucción de Getafe que acordaron la administración de la vacuna frente a la covid-19.</w:t>
      </w:r>
    </w:p>
    <w:p w14:paraId="4FDD19FA" w14:textId="703A6CED" w:rsidR="009D7677" w:rsidRDefault="009D7677" w:rsidP="009D7677">
      <w:pPr>
        <w:pStyle w:val="SntesisDescriptiva"/>
      </w:pPr>
    </w:p>
    <w:p w14:paraId="3989141F" w14:textId="77777777" w:rsidR="009D7677" w:rsidRDefault="009D7677" w:rsidP="009D7677">
      <w:pPr>
        <w:pStyle w:val="SntesisAnaltica"/>
      </w:pPr>
      <w:r>
        <w:t>Supuesta vulneración de los derechos a la integridad física y a la tutela judicial efectiva: STC 148/2023 [resoluciones judiciales que realizaron una ponderación adecuada de los intereses de una persona menor de edad (STC 38/2023)].</w:t>
      </w:r>
    </w:p>
    <w:p w14:paraId="1A039855" w14:textId="16F7BFE3" w:rsidR="009D7677" w:rsidRDefault="009D7677" w:rsidP="009D7677">
      <w:pPr>
        <w:pStyle w:val="SntesisAnaltica"/>
      </w:pPr>
    </w:p>
    <w:p w14:paraId="568DB5DF" w14:textId="7AEF2BB9" w:rsidR="009D7677" w:rsidRDefault="009D7677" w:rsidP="009D7677">
      <w:pPr>
        <w:pStyle w:val="Extracto"/>
      </w:pPr>
      <w:r>
        <w:t>1.</w:t>
      </w:r>
      <w:r>
        <w:tab/>
        <w:t xml:space="preserve">La capacidad general de autodeterminación de las personas menores de edad, en relación con las actuaciones médicas que les afectan, encuentra su límite en la protección de su interés superior, que se impone como obligación a los progenitores, en cuanto titulares de la patria potestad o autoridad familiar, y a todos los poderes públicos, incluida la autoridad judicial (STC 148/2023) </w:t>
      </w:r>
    </w:p>
    <w:p w14:paraId="2FC35E77" w14:textId="77777777" w:rsidR="009D7677" w:rsidRDefault="009D7677" w:rsidP="009D7677">
      <w:pPr>
        <w:pStyle w:val="Extracto"/>
      </w:pPr>
    </w:p>
    <w:p w14:paraId="5F8FE104" w14:textId="0E9FF93B" w:rsidR="009D7677" w:rsidRDefault="009D7677" w:rsidP="009D7677">
      <w:pPr>
        <w:pStyle w:val="Extracto"/>
      </w:pPr>
      <w:r>
        <w:t>2.</w:t>
      </w:r>
      <w:r>
        <w:tab/>
        <w:t xml:space="preserve">La decisión de los representantes legales relativa al otorgamiento o no del consentimiento informado por representación deberá atender a la protección del derecho a la vida, supervivencia y desarrollo del menor y la satisfacción de sus necesidades básicas, tanto materiales, físicas y educativas como emocionales y afectivas [art. 2.2, letra a) de la Ley Orgánica 1/1996]; y es preciso buscar el mayor beneficio para la vida o salud del paciente menor de edad (STC 148/2023) </w:t>
      </w:r>
    </w:p>
    <w:p w14:paraId="036F8DFE" w14:textId="77777777" w:rsidR="009D7677" w:rsidRDefault="009D7677" w:rsidP="009D7677">
      <w:pPr>
        <w:pStyle w:val="Extracto"/>
      </w:pPr>
    </w:p>
    <w:p w14:paraId="43E53E52" w14:textId="77777777" w:rsidR="009D7677" w:rsidRDefault="009D7677" w:rsidP="009D7677">
      <w:pPr>
        <w:pStyle w:val="Extracto"/>
      </w:pPr>
    </w:p>
    <w:p w14:paraId="7961A540" w14:textId="77777777" w:rsidR="009D7677" w:rsidRDefault="009D7677" w:rsidP="009D7677">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0025012E" w14:textId="05FA9638" w:rsidR="009D7677" w:rsidRDefault="009D7677" w:rsidP="009D7677">
      <w:pPr>
        <w:pStyle w:val="TextoNormal"/>
      </w:pPr>
    </w:p>
    <w:p w14:paraId="08E4C972" w14:textId="77777777" w:rsidR="009D7677" w:rsidRDefault="009D7677" w:rsidP="009D7677">
      <w:pPr>
        <w:pStyle w:val="TextoNormalCentrado"/>
        <w:keepNext/>
      </w:pPr>
      <w:r>
        <w:t>EN NOMBRE DEL REY</w:t>
      </w:r>
    </w:p>
    <w:p w14:paraId="24F46B29" w14:textId="4FBFB738" w:rsidR="009D7677" w:rsidRDefault="009D7677" w:rsidP="009D7677">
      <w:pPr>
        <w:pStyle w:val="TextoNormalCentrado"/>
        <w:keepNext/>
      </w:pPr>
    </w:p>
    <w:p w14:paraId="3CE2680D" w14:textId="77777777" w:rsidR="009D7677" w:rsidRDefault="009D7677" w:rsidP="009D7677">
      <w:pPr>
        <w:pStyle w:val="TextoNormalCentrado"/>
        <w:keepNext/>
      </w:pPr>
    </w:p>
    <w:p w14:paraId="3B38AD1D" w14:textId="77777777" w:rsidR="009D7677" w:rsidRDefault="009D7677" w:rsidP="009D7677">
      <w:pPr>
        <w:pStyle w:val="TextoNormal"/>
      </w:pPr>
      <w:r>
        <w:t>la siguiente</w:t>
      </w:r>
    </w:p>
    <w:p w14:paraId="5EA12F5A" w14:textId="68A27393" w:rsidR="009D7677" w:rsidRDefault="009D7677" w:rsidP="009D7677">
      <w:pPr>
        <w:pStyle w:val="TextoNormal"/>
      </w:pPr>
    </w:p>
    <w:p w14:paraId="0D88A06B" w14:textId="77777777" w:rsidR="009D7677" w:rsidRDefault="009D7677" w:rsidP="009D7677">
      <w:pPr>
        <w:pStyle w:val="TextoNormalCentrado"/>
        <w:keepNext/>
      </w:pPr>
      <w:r>
        <w:t>SENTENCIA</w:t>
      </w:r>
    </w:p>
    <w:p w14:paraId="6ADD4A4C" w14:textId="46783B52" w:rsidR="009D7677" w:rsidRDefault="009D7677" w:rsidP="009D7677">
      <w:pPr>
        <w:pStyle w:val="TextoNormalCentrado"/>
        <w:keepNext/>
      </w:pPr>
    </w:p>
    <w:p w14:paraId="2864FE7B" w14:textId="77777777" w:rsidR="009D7677" w:rsidRDefault="009D7677" w:rsidP="009D7677">
      <w:pPr>
        <w:pStyle w:val="TextoNormal"/>
      </w:pPr>
      <w:r>
        <w:t xml:space="preserve">En el recurso de amparo núm. 2127-2023, interpuesto por la procuradora de los tribunales doña María Cristina Sosa González, en nombre y representación de doña N.A.L., bajo la dirección técnica de la letrada doña Cristina Armas Suárez, contra el auto de 30 de septiembre de 2022 dictado por el Juzgado de Primera Instancia e Instrucción núm. 4 de Getafe en procedimiento de jurisdicción voluntaria por desacuerdo en el ejercicio de la patria potestad núm. 698-2021, y contra el auto de 9 de marzo de 2023 dictado por la Sección Vigesimosegunda de la Audiencia Provincial de Madrid, en el rollo de apelación núm. </w:t>
      </w:r>
      <w:r>
        <w:lastRenderedPageBreak/>
        <w:t>1168-2022, confirmatorio del anterior. Ha intervenido el Ministerio Fiscal. Ha sido ponente el magistrado don Enrique Arnaldo Alcubilla.</w:t>
      </w:r>
    </w:p>
    <w:p w14:paraId="200D9709" w14:textId="28282D77" w:rsidR="009D7677" w:rsidRDefault="009D7677" w:rsidP="009D7677">
      <w:pPr>
        <w:pStyle w:val="TextoNormal"/>
      </w:pPr>
    </w:p>
    <w:p w14:paraId="33395E3C" w14:textId="77777777" w:rsidR="009D7677" w:rsidRDefault="009D7677" w:rsidP="009D7677">
      <w:pPr>
        <w:pStyle w:val="TextoNormalNegritaCentrado"/>
        <w:keepNext/>
      </w:pPr>
      <w:r>
        <w:t>I. Antecedentes</w:t>
      </w:r>
    </w:p>
    <w:p w14:paraId="2BE3742A" w14:textId="4FEC31A5" w:rsidR="009D7677" w:rsidRDefault="009D7677" w:rsidP="009D7677">
      <w:pPr>
        <w:pStyle w:val="TextoNormalNegritaCentrado"/>
        <w:keepNext/>
      </w:pPr>
    </w:p>
    <w:p w14:paraId="63C02F6E" w14:textId="1A367687" w:rsidR="009D7677" w:rsidRDefault="009D7677" w:rsidP="009D7677">
      <w:pPr>
        <w:pStyle w:val="TextoNormal"/>
      </w:pPr>
      <w:r w:rsidRPr="009D7677">
        <w:rPr>
          <w:rStyle w:val="NumeroAFNegritaCaracter"/>
        </w:rPr>
        <w:t>1</w:t>
      </w:r>
      <w:r>
        <w:t>. Doña N.A.L., representada por la procuradora de los tribunales doña María Cristina Sosa González, interpuso recurso de amparo contra las resoluciones reseñadas en el encabezamiento de la presente sentencia mediante escrito presentado en el registro de este tribunal el día 30 de marzo de 2023.</w:t>
      </w:r>
    </w:p>
    <w:p w14:paraId="2FFADD15" w14:textId="77777777" w:rsidR="009D7677" w:rsidRDefault="009D7677" w:rsidP="009D7677">
      <w:pPr>
        <w:pStyle w:val="TextoNormal"/>
      </w:pPr>
    </w:p>
    <w:p w14:paraId="42126EC6" w14:textId="77777777" w:rsidR="009D7677" w:rsidRDefault="009D7677" w:rsidP="009D7677">
      <w:pPr>
        <w:pStyle w:val="TextoNormal"/>
      </w:pPr>
      <w:r w:rsidRPr="009D7677">
        <w:rPr>
          <w:rStyle w:val="NumeroAFNegritaCaracter"/>
        </w:rPr>
        <w:t>2</w:t>
      </w:r>
      <w:r>
        <w:t>. Los hechos de los que trae causa la demanda de amparo son, en síntesis, los siguientes:</w:t>
      </w:r>
    </w:p>
    <w:p w14:paraId="56316FF0" w14:textId="77777777" w:rsidR="009D7677" w:rsidRDefault="009D7677" w:rsidP="009D7677">
      <w:pPr>
        <w:pStyle w:val="TextoNormal"/>
      </w:pPr>
    </w:p>
    <w:p w14:paraId="0C139C67" w14:textId="77777777" w:rsidR="009D7677" w:rsidRDefault="009D7677" w:rsidP="009D7677">
      <w:pPr>
        <w:pStyle w:val="TextoNormal"/>
      </w:pPr>
      <w:r>
        <w:t>a) Don J.C.P.N. solicitó la intervención judicial por desacuerdo de los progenitores en el ejercicio de la patria potestad al amparo del art. 86.1 de la Ley de la jurisdicción voluntaria  y el art. 156 párrafo tercero del Código civil, ante la negativa de la madre, doña N.A.L., para la inoculación de la vacuna contra la covid-19 y otras vacunas previstas en el calendario vacunal a la hija menor común de ambos litigantes, a la sazón de doce años de edad. Interesaba que se le atribuyera la facultad de decidir sobre este extremo.</w:t>
      </w:r>
    </w:p>
    <w:p w14:paraId="7E047654" w14:textId="77777777" w:rsidR="009D7677" w:rsidRDefault="009D7677" w:rsidP="009D7677">
      <w:pPr>
        <w:pStyle w:val="TextoNormal"/>
      </w:pPr>
    </w:p>
    <w:p w14:paraId="61EEFA2D" w14:textId="77777777" w:rsidR="009D7677" w:rsidRDefault="009D7677" w:rsidP="009D7677">
      <w:pPr>
        <w:pStyle w:val="TextoNormal"/>
      </w:pPr>
      <w:r>
        <w:t>b) Mediante decreto de 3 de diciembre de 2021 del Juzgado de Primera Instancia e Instrucción núm. 4 de Getafe se admitió la solicitud de don J.C.P.N. y se acordó citar a las partes y al Ministerio Fiscal a una comparecencia el día 27 de enero de 2022.</w:t>
      </w:r>
    </w:p>
    <w:p w14:paraId="3449B5DA" w14:textId="77777777" w:rsidR="009D7677" w:rsidRDefault="009D7677" w:rsidP="009D7677">
      <w:pPr>
        <w:pStyle w:val="TextoNormal"/>
      </w:pPr>
    </w:p>
    <w:p w14:paraId="656AD8A0" w14:textId="77777777" w:rsidR="009D7677" w:rsidRDefault="009D7677" w:rsidP="009D7677">
      <w:pPr>
        <w:pStyle w:val="TextoNormal"/>
      </w:pPr>
      <w:r>
        <w:t>c) Doña N.A.L. presentó escrito por el que se oponía a la administración de la vacuna contra la covid-19 a la menor, alegando la ausencia de evidencia médica/científica que justificase la inoculación de los medicamentos de terapia génica para la covid-19 en menores de edad, atendiendo a la gravedad de la enfermedad en niños, en los que la tasa de mortalidad y de hospitalización era muy baja, y a los efectos adversos que podía llevar aparejada la vacuna, que podían ser muy superiores a la ausencia de vacunación. A ello añadía que el medicamento se encontraba en fase experimental. Asimismo alegaba que, de accederse a la inoculación de la vacuna a la menor, se produciría la vulneración del derecho a la integridad física y moral (art. 15 CE) por falta de consentimiento informado por escrito en los términos de la Ley 41/2002, de 14 de noviembre, básica reguladora de la autonomía del paciente y de derechos y obligaciones en materia de información y documentación clínica, en relación con la STC 37/2011, de 28 de marzo, así como la vulneración de Código de Nuremberg, el Convenio de Oviedo, de 4 de abril de 1997, relativo a los derechos humanos y la biomedicina, y la Declaración universal sobre bioética y derechos humanos de la UNESCO.</w:t>
      </w:r>
    </w:p>
    <w:p w14:paraId="1B11BF74" w14:textId="77777777" w:rsidR="009D7677" w:rsidRDefault="009D7677" w:rsidP="009D7677">
      <w:pPr>
        <w:pStyle w:val="TextoNormal"/>
      </w:pPr>
    </w:p>
    <w:p w14:paraId="195FFE21" w14:textId="77777777" w:rsidR="009D7677" w:rsidRDefault="009D7677" w:rsidP="009D7677">
      <w:pPr>
        <w:pStyle w:val="TextoNormal"/>
      </w:pPr>
      <w:r>
        <w:t>d) En el día y hora señalados para la celebración de la vista comparecieron las partes, quienes se ratificaron en sus escritos, y el Ministerio Fiscal, y se llevó a cabo la exploración de la menor.</w:t>
      </w:r>
    </w:p>
    <w:p w14:paraId="5F84BC63" w14:textId="77777777" w:rsidR="009D7677" w:rsidRDefault="009D7677" w:rsidP="009D7677">
      <w:pPr>
        <w:pStyle w:val="TextoNormal"/>
      </w:pPr>
    </w:p>
    <w:p w14:paraId="14CE959F" w14:textId="77777777" w:rsidR="009D7677" w:rsidRDefault="009D7677" w:rsidP="009D7677">
      <w:pPr>
        <w:pStyle w:val="TextoNormal"/>
      </w:pPr>
      <w:r>
        <w:t xml:space="preserve">e) El Juzgado de Primera Instancia e Instrucción núm. 4 de Getafe dictó auto el 30 de septiembre de 2022 en el que, tras realizar una serie de consideraciones acerca del interés superior del menor y advertir el carácter voluntario de la vacunación contra la covid-19 y </w:t>
      </w:r>
      <w:r>
        <w:lastRenderedPageBreak/>
        <w:t>la necesidad de consentimiento informado en los términos de la Ley 41/2002, básica reguladora de la autonomía del paciente y de derechos y obligaciones en materia de información y documentación clínica, consideró que la postura de la madre carecía de base científica y que la negativa de la hija a vacunarse parecía estar motivada por las informaciones vertidas por su madre. Frente a ello, el auto señalaba que las autoridades sanitarias y la mayoría de los estudios científicos incidían en los beneficios de la vacuna contra la covid-19. Respecto del resto de vacunas, indicó el auto que la negativa de la madre a su inoculación no podía sustentarse en que se encontrasen en fase experimental. Concluyó que, en interés de la menor, no constando contraindicación médica, y habiendo seguido la menor el calendario vacunal hasta la negativa de la madre, procedía atribuir en exclusiva al padre la facultad de decidir sobre la administración de la vacuna contra la covid-19 y el resto de las vacunas que le correspondieran conforme al calendario vacunal.</w:t>
      </w:r>
    </w:p>
    <w:p w14:paraId="67798AC3" w14:textId="77777777" w:rsidR="009D7677" w:rsidRDefault="009D7677" w:rsidP="009D7677">
      <w:pPr>
        <w:pStyle w:val="TextoNormal"/>
      </w:pPr>
    </w:p>
    <w:p w14:paraId="3FC8F6C2" w14:textId="77777777" w:rsidR="009D7677" w:rsidRDefault="009D7677" w:rsidP="009D7677">
      <w:pPr>
        <w:pStyle w:val="TextoNormal"/>
      </w:pPr>
      <w:r>
        <w:t>f) Frente a este auto doña N.A.L. presentó recurso de apelación en el que alegaba la vulneración de los arts. 216, 217 y 218 de la Ley de enjuiciamiento civil, en relación con el art. 24.1 CE, por vulneración del principio de justicia rogada, falta de valoración de la prueba aportada y falta de motivación del auto recurrido. Consideraba también que se había vulnerado el art. 15 CE por falta de consentimiento informado de los progenitores y de la menor en relación con la Ley 41/2002, y pese a que deberían extremarse las precauciones por tratarse de un medicamento en fase experimental, y en contra también del Convenio de Oviedo, de 4 de abril de 1997, relativo a los derechos humanos y la biomedicina, y de la STC 37/2011, de 28 de marzo.</w:t>
      </w:r>
    </w:p>
    <w:p w14:paraId="2D614702" w14:textId="77777777" w:rsidR="009D7677" w:rsidRDefault="009D7677" w:rsidP="009D7677">
      <w:pPr>
        <w:pStyle w:val="TextoNormal"/>
      </w:pPr>
    </w:p>
    <w:p w14:paraId="1CAF1771" w14:textId="77777777" w:rsidR="009D7677" w:rsidRDefault="009D7677" w:rsidP="009D7677">
      <w:pPr>
        <w:pStyle w:val="TextoNormal"/>
      </w:pPr>
      <w:r>
        <w:t>g) El fiscal interesó la desestimación del recurso de apelación por considerar que las razones esgrimidas por la recurrente no eran suficientes para impedir la vacunación, teniendo en cuenta que la vacuna contra la covid-19 venía avalada por la Organización Mundial de la Salud y había sido aprobada por la Agencia Europea del Medicamento, afirmándose que los beneficios de la vacunación superan a los riesgos.</w:t>
      </w:r>
    </w:p>
    <w:p w14:paraId="516FC728" w14:textId="77777777" w:rsidR="009D7677" w:rsidRDefault="009D7677" w:rsidP="009D7677">
      <w:pPr>
        <w:pStyle w:val="TextoNormal"/>
      </w:pPr>
    </w:p>
    <w:p w14:paraId="0FF802AA" w14:textId="618CB208" w:rsidR="009D7677" w:rsidRDefault="009D7677" w:rsidP="009D7677">
      <w:pPr>
        <w:pStyle w:val="TextoNormal"/>
      </w:pPr>
      <w:r>
        <w:t>h) La Sección Vigesimosegunda de la Audiencia Provincial de Madrid dictó auto el 9 de marzo de 2023 por el que desestimó el recurso de apelación. Consideró que el auto recurrido no vulneraba el art. 24.1 CE, a la vista de la prueba practicada, detalladamente referida en la dicha resolución, que había examinado toda la prueba desde la lógica y racionalidad jurídica, sin que resultase arbitraria ni irracional. Tampoco se habría vulnerado el art. 15 CE porque el consentimiento informado debe facilitarse por el servicio médico correspondiente, no por el órgano judicial, y en este caso no se imponía una asistencia médica contra la voluntad del paciente ni constaba un riesgo relevante de que la vacunación generase un peligro grave y cierto para la salud. Teniendo en cuenta el interés superior de la menor, confirmó la atribución de la facultad de decidir al padre.</w:t>
      </w:r>
    </w:p>
    <w:p w14:paraId="4D88458B" w14:textId="77777777" w:rsidR="009D7677" w:rsidRDefault="009D7677" w:rsidP="009D7677">
      <w:pPr>
        <w:pStyle w:val="TextoNormal"/>
      </w:pPr>
    </w:p>
    <w:p w14:paraId="00755CD2" w14:textId="77777777" w:rsidR="009D7677" w:rsidRDefault="009D7677" w:rsidP="009D7677">
      <w:pPr>
        <w:pStyle w:val="TextoNormal"/>
      </w:pPr>
      <w:r w:rsidRPr="009D7677">
        <w:rPr>
          <w:rStyle w:val="NumeroAFNegritaCaracter"/>
        </w:rPr>
        <w:t>3</w:t>
      </w:r>
      <w:r>
        <w:t>. La recurrente denuncia en la demanda de amparo que se le han vulnerado los siguientes derechos fundamentales:</w:t>
      </w:r>
    </w:p>
    <w:p w14:paraId="2C1F3D98" w14:textId="77777777" w:rsidR="009D7677" w:rsidRDefault="009D7677" w:rsidP="009D7677">
      <w:pPr>
        <w:pStyle w:val="TextoNormal"/>
      </w:pPr>
    </w:p>
    <w:p w14:paraId="37049D50" w14:textId="77777777" w:rsidR="009D7677" w:rsidRDefault="009D7677" w:rsidP="009D7677">
      <w:pPr>
        <w:pStyle w:val="TextoNormal"/>
      </w:pPr>
      <w:r>
        <w:t xml:space="preserve">(i) El derecho a la integridad física y moral (art. 15 CE), por falta del consentimiento informado regulado en la Ley 41/2002, básica reguladora de la autonomía del paciente y de derechos y obligaciones en materia de información y documentación clínica, también reconocido en la Carta de derechos fundamentales de la Unión Europea y en el Convenio de Oviedo, de 4 de abril de 1997, relativo a los derechos humanos y la biomedicina, y que </w:t>
      </w:r>
      <w:r>
        <w:lastRenderedPageBreak/>
        <w:t>puede entenderse comprendido asimismo en el art. 8 del Convenio europeo para la protección de los derechos humanos y las libertades fundamentales. Se invoca también la doctrina sentada en las SSTC 220/2005, de 12 de septiembre; 160/2007, de 2 de julio, y 37/2011, de 28 de marzo.</w:t>
      </w:r>
    </w:p>
    <w:p w14:paraId="5F5C3FC8" w14:textId="77777777" w:rsidR="009D7677" w:rsidRDefault="009D7677" w:rsidP="009D7677">
      <w:pPr>
        <w:pStyle w:val="TextoNormal"/>
      </w:pPr>
    </w:p>
    <w:p w14:paraId="7BFAD9D4" w14:textId="77777777" w:rsidR="009D7677" w:rsidRDefault="009D7677" w:rsidP="009D7677">
      <w:pPr>
        <w:pStyle w:val="TextoNormal"/>
      </w:pPr>
      <w:r>
        <w:t>(ii) El derecho a la tutela judicial efectiva (art. 24.1 CE), por infracción de los principios de justicia rogada y de carga de la prueba, así como por falta de motivación y vulneración del derecho a un juez imparcial, porque la decisión judicial se ha basado en la recomendación de las autoridades sanitarias sin tener en cuenta que la vacunación es voluntaria y que, en caso de desacuerdo de los progenitores, el interesado en la vacunación debería aportar un informe médico que justifique la necesidad del tratamiento por existir peligro para la vida de la menor. La decisión judicial no se ha adoptado por criterios científicos o jurídicos, sino conforme a las creencias personales de los juzgadores, en contra de la imparcialidad judicial.</w:t>
      </w:r>
    </w:p>
    <w:p w14:paraId="0F029C10" w14:textId="77777777" w:rsidR="009D7677" w:rsidRDefault="009D7677" w:rsidP="009D7677">
      <w:pPr>
        <w:pStyle w:val="TextoNormal"/>
      </w:pPr>
    </w:p>
    <w:p w14:paraId="7D9B3838" w14:textId="77777777" w:rsidR="009D7677" w:rsidRDefault="009D7677" w:rsidP="009D7677">
      <w:pPr>
        <w:pStyle w:val="TextoNormal"/>
      </w:pPr>
      <w:r>
        <w:t>En el suplico de la demanda de amparo solicita, además del otorgamiento del amparo y la declaración de nulidad de las resoluciones judiciales impugnadas, que se declare también que no ha lugar al procedimiento de jurisdicción voluntaria para la inoculación de las vacunas a la hija de la recurrente sin el debido consentimiento informado por escrito de ambos progenitores y de la menor o, subsidiariamente, que es necesario el consentimiento de ambos progenitores mientras la hija sea menor de edad.</w:t>
      </w:r>
    </w:p>
    <w:p w14:paraId="1B21B933" w14:textId="77777777" w:rsidR="009D7677" w:rsidRDefault="009D7677" w:rsidP="009D7677">
      <w:pPr>
        <w:pStyle w:val="TextoNormal"/>
      </w:pPr>
    </w:p>
    <w:p w14:paraId="6F047649" w14:textId="31F1C121" w:rsidR="009D7677" w:rsidRDefault="009D7677" w:rsidP="009D7677">
      <w:pPr>
        <w:pStyle w:val="TextoNormal"/>
      </w:pPr>
      <w:r>
        <w:t>Por medio de otrosí, solicitaba la suspensión de la ejecución del auto de 30 de septiembre de 2022, dictado por el Juzgado de Primera Instancia e Instrucción núm. 4 de Getafe en el procedimiento de jurisdicción voluntaria sobre discrepancias en el ejercicio de la patria potestad núm. 698-2021, y ratificado por el auto de la Sección Vigesimosegunda de la Audiencia Provincial de Madrid de 9 de marzo de 2023, en el rollo de apelación núm. 1168-2022.</w:t>
      </w:r>
    </w:p>
    <w:p w14:paraId="44CB2D6E" w14:textId="77777777" w:rsidR="009D7677" w:rsidRDefault="009D7677" w:rsidP="009D7677">
      <w:pPr>
        <w:pStyle w:val="TextoNormal"/>
      </w:pPr>
    </w:p>
    <w:p w14:paraId="7E33B18F" w14:textId="77777777" w:rsidR="009D7677" w:rsidRDefault="009D7677" w:rsidP="009D7677">
      <w:pPr>
        <w:pStyle w:val="TextoNormal"/>
      </w:pPr>
      <w:r w:rsidRPr="009D7677">
        <w:rPr>
          <w:rStyle w:val="NumeroAFNegritaCaracter"/>
        </w:rPr>
        <w:t>4</w:t>
      </w:r>
      <w:r>
        <w:t>. Mediante providencia de 19 de junio de 2023, la Sección Cuarta del Tribunal Constitucional acordó admitir a trámite el recurso de amparo apreciando que concurría en el mismo una especial trascendencia constitucional [art. 50.1 de la Ley Orgánica del Tribunal Constitucional (LOTC)] porque el recurso planteaba un problema o afectaba a una faceta de un derecho fundamental sobre el que no había doctrina de este tribunal [STC 155/2009, de 25 de junio, FJ 2 a)] y, asimismo, porque el asunto suscitado trascendía del caso concreto porque planteaba una cuestión jurídica de relevante y general repercusión social o económica [STC 155/2009, FJ 2 g)].</w:t>
      </w:r>
    </w:p>
    <w:p w14:paraId="627095CF" w14:textId="77777777" w:rsidR="009D7677" w:rsidRDefault="009D7677" w:rsidP="009D7677">
      <w:pPr>
        <w:pStyle w:val="TextoNormal"/>
      </w:pPr>
    </w:p>
    <w:p w14:paraId="6789B0A0" w14:textId="22B5F93C" w:rsidR="009D7677" w:rsidRDefault="009D7677" w:rsidP="009D7677">
      <w:pPr>
        <w:pStyle w:val="TextoNormal"/>
      </w:pPr>
      <w:r>
        <w:t>En la misma providencia se acordó, en aplicación de lo dispuesto en el art. 51 LOTC, dirigir atenta comunicación a la Sección Vigesimosegunda de la Audiencia Provincial de Madrid a fin de que, en plazo no superior a diez días, remitiera testimonio de las actuaciones correspondientes al recurso de apelación 1168-2022 e, igualmente, al Juzgado de Primera Instancia e Instrucción núm. 4 de Getafe a fin de que, en idéntico plazo, remitiera certificación o fotocopia adverada de las actuaciones correspondientes al procedimiento de intervención judicial por desacuerdo en el ejercicio de la patria potestad núm. 698-2021, debiendo emplazar previamente a quienes hubieran sido parte en el procedimiento, excepto a la recurrente en amparo, para que en el plazo de diez días pudieran comparecer, si lo desearan, en el recurso de amparo.</w:t>
      </w:r>
    </w:p>
    <w:p w14:paraId="0FA886EB" w14:textId="77777777" w:rsidR="009D7677" w:rsidRDefault="009D7677" w:rsidP="009D7677">
      <w:pPr>
        <w:pStyle w:val="TextoNormal"/>
      </w:pPr>
    </w:p>
    <w:p w14:paraId="3CA94D9C" w14:textId="77777777" w:rsidR="009D7677" w:rsidRDefault="009D7677" w:rsidP="009D7677">
      <w:pPr>
        <w:pStyle w:val="TextoNormal"/>
      </w:pPr>
      <w:r w:rsidRPr="009D7677">
        <w:rPr>
          <w:rStyle w:val="NumeroAFNegritaCaracter"/>
        </w:rPr>
        <w:t>5</w:t>
      </w:r>
      <w:r>
        <w:t>. Mediante providencia de 19 de junio de 2023 se acordó, asimismo la formación de pieza separada de suspensión, iniciándose su tramitación conforme al art. 56 LOTC.</w:t>
      </w:r>
    </w:p>
    <w:p w14:paraId="679DF1ED" w14:textId="77777777" w:rsidR="009D7677" w:rsidRDefault="009D7677" w:rsidP="009D7677">
      <w:pPr>
        <w:pStyle w:val="TextoNormal"/>
      </w:pPr>
    </w:p>
    <w:p w14:paraId="5BE70567" w14:textId="77777777" w:rsidR="009D7677" w:rsidRDefault="009D7677" w:rsidP="009D7677">
      <w:pPr>
        <w:pStyle w:val="TextoNormal"/>
      </w:pPr>
      <w:r>
        <w:t>En la misma resolución se acordó librar oficio a la Dirección General de Salud Pública de la Comunidad de Madrid, a fin de que informase sobre si consta la administración de la vacuna contra la covid-19 a la hija de la recurrente y, en su caso, la fecha en la que se le administró. Mediante oficio que tuvo entrada en el registro de este tribunal el 24 de julio de 2023, el referido centro directivo comunicó que no consta que se haya administrado la vacuna a la menor.</w:t>
      </w:r>
    </w:p>
    <w:p w14:paraId="1AB4373A" w14:textId="77777777" w:rsidR="009D7677" w:rsidRDefault="009D7677" w:rsidP="009D7677">
      <w:pPr>
        <w:pStyle w:val="TextoNormal"/>
      </w:pPr>
    </w:p>
    <w:p w14:paraId="4870EFED" w14:textId="2DD618A4" w:rsidR="009D7677" w:rsidRDefault="009D7677" w:rsidP="009D7677">
      <w:pPr>
        <w:pStyle w:val="TextoNormal"/>
      </w:pPr>
      <w:r>
        <w:t>Mediante diligencia de ordenación de la Secretaría de Justicia de la Sala Segunda de este tribunal de 5 de septiembre de 2023 se dio traslado de esa comunicación al recurrente y al Ministerio Fiscal para formular alegaciones, trámite que fue evacuado únicamente por la Fiscalía, que interesó la denegación de la suspensión cautelar solicitada.</w:t>
      </w:r>
    </w:p>
    <w:p w14:paraId="7A8EED39" w14:textId="77777777" w:rsidR="009D7677" w:rsidRDefault="009D7677" w:rsidP="009D7677">
      <w:pPr>
        <w:pStyle w:val="TextoNormal"/>
      </w:pPr>
    </w:p>
    <w:p w14:paraId="33267C0E" w14:textId="3D4DC748" w:rsidR="009D7677" w:rsidRDefault="009D7677" w:rsidP="009D7677">
      <w:pPr>
        <w:pStyle w:val="TextoNormal"/>
      </w:pPr>
      <w:r w:rsidRPr="009D7677">
        <w:rPr>
          <w:rStyle w:val="NumeroAFNegritaCaracter"/>
        </w:rPr>
        <w:t>6</w:t>
      </w:r>
      <w:r>
        <w:t>. Mediante diligencia de ordenación de la Secretaría de Justicia de la Sala Segunda de este tribunal de 18 de diciembre de 2023 se acordó dar vista de las actuaciones recibidas a la recurrente y al Ministerio Fiscal por plazo común de veinte días, para presentar alegaciones, conforme establece el art. 52.1 LOTC.</w:t>
      </w:r>
    </w:p>
    <w:p w14:paraId="795F7C2E" w14:textId="77777777" w:rsidR="009D7677" w:rsidRDefault="009D7677" w:rsidP="009D7677">
      <w:pPr>
        <w:pStyle w:val="TextoNormal"/>
      </w:pPr>
    </w:p>
    <w:p w14:paraId="25B08A5D" w14:textId="77777777" w:rsidR="009D7677" w:rsidRDefault="009D7677" w:rsidP="009D7677">
      <w:pPr>
        <w:pStyle w:val="TextoNormal"/>
      </w:pPr>
      <w:r w:rsidRPr="009D7677">
        <w:rPr>
          <w:rStyle w:val="NumeroAFNegritaCaracter"/>
        </w:rPr>
        <w:t>7</w:t>
      </w:r>
      <w:r>
        <w:t>. El Ministerio Fiscal presentó escrito de alegaciones el 8 de febrero de 2024 en el que consideró, en primer lugar, que la alegada vulneración del derecho a un juez imparcial no ha sido denunciada formalmente en el proceso tan pronto como, una vez conocida, hubiera lugar a ello [art. 44.1 c) LOTC], si bien destaca que el núcleo esencial de la pretensión de la recurrente reside en la vulneración del derecho a la integridad personal (art. 15 CE), de suerte que las quejas planteadas bajo la cobertura del art. 24.1 CE serían más bien instrumentales respecto de aquella.</w:t>
      </w:r>
    </w:p>
    <w:p w14:paraId="4FDB3A51" w14:textId="77777777" w:rsidR="009D7677" w:rsidRDefault="009D7677" w:rsidP="009D7677">
      <w:pPr>
        <w:pStyle w:val="TextoNormal"/>
      </w:pPr>
    </w:p>
    <w:p w14:paraId="32A69FB0" w14:textId="2E55E75C" w:rsidR="009D7677" w:rsidRDefault="009D7677" w:rsidP="009D7677">
      <w:pPr>
        <w:pStyle w:val="TextoNormal"/>
      </w:pPr>
      <w:r>
        <w:t>En relación con la posible vulneración del art. 15 CE, considera el Ministerio Fiscal que debe aplicarse a este caso la doctrina constitucional establecida en la STC 148/2023, de 6 de noviembre, fundamentos jurídicos 4 y 5, debiendo rechazarse que se haya vulnerado el derecho fundamental que aquel precepto garantiza, porque, si bien la menor, de trece años, manifestó en la exploración judicial su oposición a la vacuna, el juez valoró esta negativa concluyendo que debía primar en todo caso el interés superior de la menor frente los riesgos de contraer la enfermedad, de acuerdo con las recomendaciones de las autoridades sanitarias, añadiendo que los padres contaban con la información adecuada para la prestación del consentimiento desde antes incluso de iniciarse el procedimiento de jurisdicción voluntaria, por lo que no cabe apreciar ausencia de consentimiento informado. La motivación de las resoluciones judiciales, en suma, descansa sobre la protección del interés superior de la menor en relación con la protección de su salud. A la vista de todos estos razonamientos, el Ministerio Fiscal interesa la desestimación del recurso de amparo.</w:t>
      </w:r>
    </w:p>
    <w:p w14:paraId="0D583900" w14:textId="77777777" w:rsidR="009D7677" w:rsidRDefault="009D7677" w:rsidP="009D7677">
      <w:pPr>
        <w:pStyle w:val="TextoNormal"/>
      </w:pPr>
    </w:p>
    <w:p w14:paraId="73716FF5" w14:textId="61E0FA78" w:rsidR="009D7677" w:rsidRDefault="009D7677" w:rsidP="009D7677">
      <w:pPr>
        <w:pStyle w:val="TextoNormal"/>
      </w:pPr>
      <w:r w:rsidRPr="009D7677">
        <w:rPr>
          <w:rStyle w:val="NumeroAFNegritaCaracter"/>
        </w:rPr>
        <w:t>8</w:t>
      </w:r>
      <w:r>
        <w:t>. Por providencia de 4 de abril de 2024 se señaló para deliberación y votación de la presente sentencia el día 8 de abril del mismo mes y año.</w:t>
      </w:r>
    </w:p>
    <w:p w14:paraId="04D9B453" w14:textId="77777777" w:rsidR="009D7677" w:rsidRDefault="009D7677" w:rsidP="009D7677">
      <w:pPr>
        <w:pStyle w:val="TextoNormal"/>
      </w:pPr>
    </w:p>
    <w:p w14:paraId="6E01B9E4" w14:textId="77777777" w:rsidR="009D7677" w:rsidRDefault="009D7677" w:rsidP="009D7677">
      <w:pPr>
        <w:pStyle w:val="TextoNormalNegritaCentrado"/>
        <w:keepNext/>
      </w:pPr>
      <w:r>
        <w:lastRenderedPageBreak/>
        <w:t>II. Fundamentos jurídicos</w:t>
      </w:r>
    </w:p>
    <w:p w14:paraId="00A49BAF" w14:textId="45F54916" w:rsidR="009D7677" w:rsidRDefault="009D7677" w:rsidP="009D7677">
      <w:pPr>
        <w:pStyle w:val="TextoNormalNegritaCentrado"/>
        <w:keepNext/>
      </w:pPr>
    </w:p>
    <w:p w14:paraId="29DBA2C8" w14:textId="77777777" w:rsidR="009D7677" w:rsidRDefault="009D7677" w:rsidP="009D7677">
      <w:pPr>
        <w:pStyle w:val="TextoNormal"/>
      </w:pPr>
      <w:r w:rsidRPr="009D7677">
        <w:rPr>
          <w:rStyle w:val="NumeroAFNegritaCaracter"/>
        </w:rPr>
        <w:t>1</w:t>
      </w:r>
      <w:r>
        <w:t xml:space="preserve">. </w:t>
      </w:r>
      <w:r w:rsidRPr="009D7677">
        <w:rPr>
          <w:i/>
        </w:rPr>
        <w:t>Objeto del recurso</w:t>
      </w:r>
    </w:p>
    <w:p w14:paraId="319992DA" w14:textId="77777777" w:rsidR="009D7677" w:rsidRDefault="009D7677" w:rsidP="009D7677">
      <w:pPr>
        <w:pStyle w:val="TextoNormal"/>
      </w:pPr>
    </w:p>
    <w:p w14:paraId="7F6F8ECF" w14:textId="77777777" w:rsidR="009D7677" w:rsidRDefault="009D7677" w:rsidP="009D7677">
      <w:pPr>
        <w:pStyle w:val="TextoNormal"/>
      </w:pPr>
      <w:r>
        <w:t>El presente recurso de amparo se dirige contra el auto de 30 de septiembre de 2022 dictado por el Juzgado de Primera Instancia e Instrucción núm. 4 de Getafe en el procedimiento de intervención judicial por desacuerdo en el ejercicio de la patria potestad 698-2021, que atribuyó a don J.C.P.N. la facultad de decidir sobre la administración de la vacuna frente a la covid-19 a su hija menor de edad, y contra el auto de 9 de marzo de 2023 de la Sección Vigesimosegunda de la Audiencia Provincial de Madrid, dictado en el rollo de apelación núm. 1168-2022, confirmatorio del anterior.</w:t>
      </w:r>
    </w:p>
    <w:p w14:paraId="611BFAF4" w14:textId="77777777" w:rsidR="009D7677" w:rsidRDefault="009D7677" w:rsidP="009D7677">
      <w:pPr>
        <w:pStyle w:val="TextoNormal"/>
      </w:pPr>
    </w:p>
    <w:p w14:paraId="057181CA" w14:textId="28FC5166" w:rsidR="009D7677" w:rsidRDefault="009D7677" w:rsidP="009D7677">
      <w:pPr>
        <w:pStyle w:val="TextoNormal"/>
      </w:pPr>
      <w:r>
        <w:t>Dada la naturaleza de los hechos, debe señalarse que,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 27 de julio de 2015), la presente sentencia y demás actuaciones del proceso no incluyen la identificación completa de la persona menor de edad afectada ni la de sus parientes inmediatos que aparecen mencionados en las actuaciones, con el fin de proteger la intimidad de aquella.</w:t>
      </w:r>
    </w:p>
    <w:p w14:paraId="035118EA" w14:textId="77777777" w:rsidR="009D7677" w:rsidRDefault="009D7677" w:rsidP="009D7677">
      <w:pPr>
        <w:pStyle w:val="TextoNormal"/>
      </w:pPr>
    </w:p>
    <w:p w14:paraId="76A04CDC" w14:textId="77777777" w:rsidR="009D7677" w:rsidRDefault="009D7677" w:rsidP="009D7677">
      <w:pPr>
        <w:pStyle w:val="TextoNormal"/>
      </w:pPr>
      <w:r w:rsidRPr="009D7677">
        <w:rPr>
          <w:rStyle w:val="NumeroAFNegritaCaracter"/>
        </w:rPr>
        <w:t>2</w:t>
      </w:r>
      <w:r>
        <w:t xml:space="preserve">. </w:t>
      </w:r>
      <w:r w:rsidRPr="009D7677">
        <w:rPr>
          <w:i/>
        </w:rPr>
        <w:t>Cuestiones previas y delimitación de los derechos fundamentales concernidos</w:t>
      </w:r>
    </w:p>
    <w:p w14:paraId="7CDD0955" w14:textId="77777777" w:rsidR="009D7677" w:rsidRDefault="009D7677" w:rsidP="009D7677">
      <w:pPr>
        <w:pStyle w:val="TextoNormal"/>
      </w:pPr>
    </w:p>
    <w:p w14:paraId="351EB796" w14:textId="77777777" w:rsidR="009D7677" w:rsidRDefault="009D7677" w:rsidP="009D7677">
      <w:pPr>
        <w:pStyle w:val="TextoNormal"/>
      </w:pPr>
      <w:r>
        <w:t>Con carácter previo al examen de las cuestiones de fondo planteadas en la demanda de amparo, deben hacerse las siguientes precisiones:</w:t>
      </w:r>
    </w:p>
    <w:p w14:paraId="1CC00E2C" w14:textId="77777777" w:rsidR="009D7677" w:rsidRDefault="009D7677" w:rsidP="009D7677">
      <w:pPr>
        <w:pStyle w:val="TextoNormal"/>
      </w:pPr>
    </w:p>
    <w:p w14:paraId="109C39A2" w14:textId="77777777" w:rsidR="009D7677" w:rsidRDefault="009D7677" w:rsidP="009D7677">
      <w:pPr>
        <w:pStyle w:val="TextoNormal"/>
      </w:pPr>
      <w:r>
        <w:t>a) En el recurso de amparo se alega la vulneración del derecho a la tutela judicial efectiva (art. 24.1 CE) porque, según la recurrente, los autos impugnados, que atribuyen la facultad de decidir al progenitor favorable a la vacunación, incurren en defecto de motivación suficiente e incluyen razonamientos y afirmaciones sin sustento científico, porque han valorado las pruebas practicadas de manera errónea, de modo que la decisión judicial no se ha adoptado por criterios científicos o jurídicos, sino conforme a las creencias personales de los juzgadores.</w:t>
      </w:r>
    </w:p>
    <w:p w14:paraId="5A84D0A7" w14:textId="77777777" w:rsidR="009D7677" w:rsidRDefault="009D7677" w:rsidP="009D7677">
      <w:pPr>
        <w:pStyle w:val="TextoNormal"/>
      </w:pPr>
    </w:p>
    <w:p w14:paraId="0AED9707" w14:textId="77777777" w:rsidR="009D7677" w:rsidRDefault="009D7677" w:rsidP="009D7677">
      <w:pPr>
        <w:pStyle w:val="TextoNormal"/>
      </w:pPr>
      <w:r>
        <w:t>Como señala el Ministerio Fiscal, la queja planteada bajo la cobertura del art. 24.1 CE debe ser subsumida, por su carácter instrumental, en la vulneración del derecho a la integridad física y moral (art. 15 CE), que constituye el núcleo esencial de la demanda de amparo.</w:t>
      </w:r>
    </w:p>
    <w:p w14:paraId="1E6DADAF" w14:textId="77777777" w:rsidR="009D7677" w:rsidRDefault="009D7677" w:rsidP="009D7677">
      <w:pPr>
        <w:pStyle w:val="TextoNormal"/>
      </w:pPr>
    </w:p>
    <w:p w14:paraId="748AEBFE" w14:textId="50B3114B" w:rsidR="009D7677" w:rsidRDefault="009D7677" w:rsidP="009D7677">
      <w:pPr>
        <w:pStyle w:val="TextoNormal"/>
      </w:pPr>
      <w:r>
        <w:t>b) El objeto del presente recurso de amparo queda, en consecuencia, constreñido a examinar si se ha producido la alegada vulneración del derecho a la integridad física y moral (art. 15 CE), por falta de consentimiento informado de la recurrente para la inoculación a su hija menor de la vacuna contra la covid-19. Esta es la lesión constitucional que se imputa al auto del juzgado, confirmado en apelación, que atribuye la facultad de decidir al progenitor favorable a la vacunación (en este caso, el padre de la menor).</w:t>
      </w:r>
    </w:p>
    <w:p w14:paraId="44267FC3" w14:textId="77777777" w:rsidR="009D7677" w:rsidRDefault="009D7677" w:rsidP="009D7677">
      <w:pPr>
        <w:pStyle w:val="TextoNormal"/>
      </w:pPr>
    </w:p>
    <w:p w14:paraId="3368F1D8" w14:textId="77777777" w:rsidR="009D7677" w:rsidRDefault="009D7677" w:rsidP="009D7677">
      <w:pPr>
        <w:pStyle w:val="TextoNormal"/>
      </w:pPr>
      <w:r w:rsidRPr="009D7677">
        <w:rPr>
          <w:rStyle w:val="NumeroAFNegritaCaracter"/>
        </w:rPr>
        <w:t>3</w:t>
      </w:r>
      <w:r>
        <w:t xml:space="preserve">. </w:t>
      </w:r>
      <w:r w:rsidRPr="009D7677">
        <w:rPr>
          <w:i/>
        </w:rPr>
        <w:t>Aplicación de la doctrina constitucional expuesta en la STC 148/2023, de 6 de noviembre</w:t>
      </w:r>
    </w:p>
    <w:p w14:paraId="5373A40C" w14:textId="77777777" w:rsidR="009D7677" w:rsidRDefault="009D7677" w:rsidP="009D7677">
      <w:pPr>
        <w:pStyle w:val="TextoNormal"/>
      </w:pPr>
    </w:p>
    <w:p w14:paraId="3743C9FE" w14:textId="77777777" w:rsidR="009D7677" w:rsidRDefault="009D7677" w:rsidP="009D7677">
      <w:pPr>
        <w:pStyle w:val="TextoNormal"/>
      </w:pPr>
      <w:r>
        <w:t>La cuestión constitucional suscitada en este recurso en relación con el derecho fundamental a la integridad física y moral (art. 15 CE) es la misma que ya ha sido objeto de análisis por el Pleno de este tribunal en la STC 148/2023, de 6 de noviembre, en cuyos fundamentos jurídicos 4 y 5 se expusieron de manera pormenorizada las pautas de ponderación necesarias para determinar si en este tipo de supuestos se ha vulnerado el derecho a la integridad personal, centrando la cuestión en que la administración de la vacuna, a falta de consentimiento libre, válido e informado de la persona afectada, precisa para su constitucionalidad el cumplimiento de los requisitos generales que, de acuerdo con nuestra doctrina, rigen la restricción de los derechos fundamentales sustantivos.</w:t>
      </w:r>
    </w:p>
    <w:p w14:paraId="6E0A49D2" w14:textId="77777777" w:rsidR="009D7677" w:rsidRDefault="009D7677" w:rsidP="009D7677">
      <w:pPr>
        <w:pStyle w:val="TextoNormal"/>
      </w:pPr>
    </w:p>
    <w:p w14:paraId="7AAA25FD" w14:textId="77777777" w:rsidR="009D7677" w:rsidRDefault="009D7677" w:rsidP="009D7677">
      <w:pPr>
        <w:pStyle w:val="TextoNormal"/>
      </w:pPr>
      <w:r>
        <w:t>En atención a lo expuesto, en este caso, como también se concluyó en la STC 148/2023, FJ 5, el Tribunal rechaza que se haya vulnerado el derecho garantizado por el art. 15 CE al constatarse que: (i) se cumple el presupuesto básico que el art. 9.3 c), de la Ley 41/2002 establece para que pueda acudirse al consentimiento por representación —otorgado por los progenitores de común acuerdo o por la autoridad judicial en caso de desacuerdo— porque en este caso la menor, de doce años de edad, carecía de las capacidades —emocional e intelectual— necesarias para comprender el alcance de la intervención, dada la evidente complejidad de la cuestión dirimida, de donde cabía inferir razonablemente que no contaba con los elementos de juicio científico-técnicos precisos para emitir un consentimiento informado por sí misma; (ii) la menor fue oída y, aunque manifestó su oposición a vacunarse, el órgano judicial apreció que su postura parecía estar influida por las informaciones de su madre, contraria a la vacunación, sin que su postura tuviera base científica, frente a lo que contrapone el criterio de las autoridades sanitarias y de la mayoría de estudios científicos, que inciden en los beneficios de la vacuna contra la covid-19, a lo que añade que los padres contaban con la información adecuada para la prestación del consentimiento desde un momento anterior incluso a la iniciación del procedimiento de jurisdicción voluntaria, por lo que no cabe apreciar la ausencia de consentimiento informado; y (iii) la motivación de las resoluciones judiciales tuvo como fundamento esencial la protección del interés superior de la menor en relación con la protección de su salud, teniendo en cuenta la recomendación de las autoridades sanitarias, que se mostraban a favor de la vacunación de menores, haciendo una ponderación de riesgos y beneficios de la vacuna, que el órgano judicial no estima desvirtuadas por los informes aportados por la recurrente.</w:t>
      </w:r>
    </w:p>
    <w:p w14:paraId="115CCE7F" w14:textId="77777777" w:rsidR="009D7677" w:rsidRDefault="009D7677" w:rsidP="009D7677">
      <w:pPr>
        <w:pStyle w:val="TextoNormal"/>
      </w:pPr>
    </w:p>
    <w:p w14:paraId="655AA564" w14:textId="022A93AE" w:rsidR="009D7677" w:rsidRDefault="009D7677" w:rsidP="009D7677">
      <w:pPr>
        <w:pStyle w:val="TextoNormal"/>
      </w:pPr>
      <w:r>
        <w:t>Por otra parte, la resolución sobre el fondo de este recurso implica que no resulte procedente resolver sobre la medida cautelar de suspensión solicitada por el recurrente, lo que determina que deba acordarse el archivo de la pieza separada de suspensión.</w:t>
      </w:r>
    </w:p>
    <w:p w14:paraId="0639E5C6" w14:textId="77777777" w:rsidR="009D7677" w:rsidRDefault="009D7677" w:rsidP="009D7677">
      <w:pPr>
        <w:pStyle w:val="TextoNormal"/>
      </w:pPr>
    </w:p>
    <w:p w14:paraId="7307ACB5" w14:textId="77777777" w:rsidR="009D7677" w:rsidRDefault="009D7677" w:rsidP="009D7677">
      <w:pPr>
        <w:pStyle w:val="TextoNormalCentrado"/>
        <w:keepNext/>
      </w:pPr>
      <w:r>
        <w:t>FALLO</w:t>
      </w:r>
    </w:p>
    <w:p w14:paraId="40F84DC1" w14:textId="10CBBC68" w:rsidR="009D7677" w:rsidRDefault="009D7677" w:rsidP="009D7677">
      <w:pPr>
        <w:pStyle w:val="TextoNormalCentrado"/>
        <w:keepNext/>
      </w:pPr>
    </w:p>
    <w:p w14:paraId="18C073F8" w14:textId="2A2DB907" w:rsidR="009D7677" w:rsidRDefault="009D7677" w:rsidP="009D7677">
      <w:pPr>
        <w:pStyle w:val="TextoNormal"/>
      </w:pPr>
      <w:r>
        <w:t>En atención a todo lo expuesto, el Tribunal Constitucional, por la autoridad que le confiere la Constitución de la Nación española, ha decidido desestimar el recurso de amparo interpuesto por doña N.A.L., y archivar la pieza separada de suspensión.</w:t>
      </w:r>
    </w:p>
    <w:p w14:paraId="622F79A8" w14:textId="77777777" w:rsidR="009D7677" w:rsidRDefault="009D7677" w:rsidP="009D7677">
      <w:pPr>
        <w:pStyle w:val="TextoNormal"/>
      </w:pPr>
    </w:p>
    <w:p w14:paraId="78F9A4AB" w14:textId="77777777" w:rsidR="009D7677" w:rsidRDefault="009D7677" w:rsidP="009D7677">
      <w:pPr>
        <w:pStyle w:val="TextoNormal"/>
      </w:pPr>
      <w:r>
        <w:t>Publíquese esta sentencia en el “Boletín Oficial del Estado”.</w:t>
      </w:r>
    </w:p>
    <w:p w14:paraId="576D8320" w14:textId="77777777" w:rsidR="009D7677" w:rsidRDefault="009D7677" w:rsidP="009D7677">
      <w:pPr>
        <w:pStyle w:val="TextoNormal"/>
      </w:pPr>
      <w:r>
        <w:t>Dada en Madrid, a ocho de abril de dos mil veinticuatro.</w:t>
      </w:r>
    </w:p>
    <w:p w14:paraId="4D4AB549" w14:textId="46199A45" w:rsidR="009D7677" w:rsidRDefault="009D7677">
      <w:pPr>
        <w:spacing w:after="160" w:line="259" w:lineRule="auto"/>
        <w:rPr>
          <w:rFonts w:ascii="Times New Roman" w:eastAsia="Times New Roman" w:hAnsi="Times New Roman" w:cs="Times New Roman"/>
          <w:sz w:val="24"/>
          <w:szCs w:val="24"/>
          <w:lang w:eastAsia="es-ES"/>
        </w:rPr>
      </w:pPr>
      <w:r>
        <w:lastRenderedPageBreak/>
        <w:br w:type="page"/>
      </w:r>
    </w:p>
    <w:p w14:paraId="66B32CBF" w14:textId="77777777" w:rsidR="009D7677" w:rsidRDefault="009D7677" w:rsidP="009D7677">
      <w:pPr>
        <w:pStyle w:val="TtuloResolucin"/>
      </w:pPr>
      <w:bookmarkStart w:id="61" w:name="SENTENCIA_2024_59"/>
      <w:r>
        <w:lastRenderedPageBreak/>
        <w:t>SENTENCIA 59/2024, de 8 de abril de 2024</w:t>
      </w:r>
    </w:p>
    <w:bookmarkEnd w:id="61"/>
    <w:p w14:paraId="3F3982A7" w14:textId="77777777" w:rsidR="009D7677" w:rsidRDefault="009D7677" w:rsidP="009D7677">
      <w:pPr>
        <w:pStyle w:val="TtuloResolucin"/>
      </w:pPr>
      <w:r>
        <w:t>Sala Segunda</w:t>
      </w:r>
    </w:p>
    <w:p w14:paraId="1EE44811" w14:textId="77777777" w:rsidR="009D7677" w:rsidRDefault="009D7677" w:rsidP="009D7677">
      <w:pPr>
        <w:pStyle w:val="TtuloBOE"/>
      </w:pPr>
      <w:r>
        <w:t>(BOE núm. 118, de 15 de mayo de 2024)</w:t>
      </w:r>
    </w:p>
    <w:p w14:paraId="6B682CFE" w14:textId="77777777" w:rsidR="009D7677" w:rsidRDefault="009D7677" w:rsidP="009D7677">
      <w:pPr>
        <w:pStyle w:val="TextoNormalCentrado"/>
      </w:pPr>
      <w:r>
        <w:t>ECLI:ES:TC:2024:59</w:t>
      </w:r>
    </w:p>
    <w:p w14:paraId="3A08CE51" w14:textId="7EDFD12A" w:rsidR="009D7677" w:rsidRDefault="009D7677" w:rsidP="009D7677">
      <w:pPr>
        <w:pStyle w:val="TextoNormalCentrado"/>
      </w:pPr>
    </w:p>
    <w:p w14:paraId="3C34F152" w14:textId="77777777" w:rsidR="009D7677" w:rsidRDefault="009D7677" w:rsidP="009D7677">
      <w:pPr>
        <w:pStyle w:val="SntesisDescriptiva"/>
      </w:pPr>
      <w:r>
        <w:t>Recurso de amparo 2295-2023. Promovido por doña J.E.A., respecto del auto dictado por la Audiencia Provincial de Vizcaya que acordó la administración de la vacuna frente a la covid-19.</w:t>
      </w:r>
    </w:p>
    <w:p w14:paraId="17A033E0" w14:textId="77F2E480" w:rsidR="009D7677" w:rsidRDefault="009D7677" w:rsidP="009D7677">
      <w:pPr>
        <w:pStyle w:val="SntesisDescriptiva"/>
      </w:pPr>
    </w:p>
    <w:p w14:paraId="344EAAE6" w14:textId="77777777" w:rsidR="009D7677" w:rsidRDefault="009D7677" w:rsidP="009D7677">
      <w:pPr>
        <w:pStyle w:val="SntesisAnaltica"/>
      </w:pPr>
      <w:r>
        <w:t>Supuesta vulneración de los derechos a la integridad física y a la tutela judicial efectiva: STC 148/2023 [resoluciones judiciales que realizaron una ponderación adecuada de los intereses de una persona menor de edad (STC 38/2023)].</w:t>
      </w:r>
    </w:p>
    <w:p w14:paraId="2DBB1240" w14:textId="7CB7DAB7" w:rsidR="009D7677" w:rsidRDefault="009D7677" w:rsidP="009D7677">
      <w:pPr>
        <w:pStyle w:val="SntesisAnaltica"/>
      </w:pPr>
    </w:p>
    <w:p w14:paraId="4ABE0632" w14:textId="6AA30037" w:rsidR="009D7677" w:rsidRDefault="009D7677" w:rsidP="009D7677">
      <w:pPr>
        <w:pStyle w:val="Extracto"/>
      </w:pPr>
      <w:r>
        <w:t>1.</w:t>
      </w:r>
      <w:r>
        <w:tab/>
        <w:t xml:space="preserve">La capacidad general de autodeterminación de las personas menores de edad, en relación con las actuaciones médicas que les afectan, encuentra su límite en la protección de su interés superior, que se impone como obligación a los progenitores, en cuanto titulares de la patria potestad o autoridad familiar, y a todos los poderes públicos, incluida la autoridad judicial (STC 148/2023) </w:t>
      </w:r>
    </w:p>
    <w:p w14:paraId="25209A9E" w14:textId="77777777" w:rsidR="009D7677" w:rsidRDefault="009D7677" w:rsidP="009D7677">
      <w:pPr>
        <w:pStyle w:val="Extracto"/>
      </w:pPr>
    </w:p>
    <w:p w14:paraId="7E34D2EB" w14:textId="69FD2302" w:rsidR="009D7677" w:rsidRDefault="009D7677" w:rsidP="009D7677">
      <w:pPr>
        <w:pStyle w:val="Extracto"/>
      </w:pPr>
      <w:r>
        <w:t>2.</w:t>
      </w:r>
      <w:r>
        <w:tab/>
        <w:t xml:space="preserve">La decisión de los representantes legales relativa al otorgamiento o no del consentimiento informado por representación deberá atender a la protección del derecho a la vida, supervivencia y desarrollo del menor y la satisfacción de sus necesidades básicas, tanto materiales, físicas y educativas como emocionales y afectivas [art. 2.2, letra a) de la Ley Orgánica 1/1996]; y es preciso buscar el mayor beneficio para la vida o salud del paciente menor de edad (STC 148/2023) </w:t>
      </w:r>
    </w:p>
    <w:p w14:paraId="1BB46360" w14:textId="77777777" w:rsidR="009D7677" w:rsidRDefault="009D7677" w:rsidP="009D7677">
      <w:pPr>
        <w:pStyle w:val="Extracto"/>
      </w:pPr>
    </w:p>
    <w:p w14:paraId="4441639E" w14:textId="77777777" w:rsidR="009D7677" w:rsidRDefault="009D7677" w:rsidP="009D7677">
      <w:pPr>
        <w:pStyle w:val="Extracto"/>
      </w:pPr>
    </w:p>
    <w:p w14:paraId="10B711E3" w14:textId="77777777" w:rsidR="009D7677" w:rsidRDefault="009D7677" w:rsidP="009D7677">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1D1AC41C" w14:textId="4FF54DD0" w:rsidR="009D7677" w:rsidRDefault="009D7677" w:rsidP="009D7677">
      <w:pPr>
        <w:pStyle w:val="TextoNormal"/>
      </w:pPr>
    </w:p>
    <w:p w14:paraId="3CFE9856" w14:textId="77777777" w:rsidR="009D7677" w:rsidRDefault="009D7677" w:rsidP="009D7677">
      <w:pPr>
        <w:pStyle w:val="TextoNormalCentrado"/>
        <w:keepNext/>
      </w:pPr>
      <w:r>
        <w:t>EN NOMBRE DEL REY</w:t>
      </w:r>
    </w:p>
    <w:p w14:paraId="49D02DBA" w14:textId="5277121C" w:rsidR="009D7677" w:rsidRDefault="009D7677" w:rsidP="009D7677">
      <w:pPr>
        <w:pStyle w:val="TextoNormalCentrado"/>
        <w:keepNext/>
      </w:pPr>
    </w:p>
    <w:p w14:paraId="043C5ED8" w14:textId="77777777" w:rsidR="009D7677" w:rsidRDefault="009D7677" w:rsidP="009D7677">
      <w:pPr>
        <w:pStyle w:val="TextoNormalCentrado"/>
        <w:keepNext/>
      </w:pPr>
    </w:p>
    <w:p w14:paraId="1004780C" w14:textId="77777777" w:rsidR="009D7677" w:rsidRDefault="009D7677" w:rsidP="009D7677">
      <w:pPr>
        <w:pStyle w:val="TextoNormal"/>
      </w:pPr>
      <w:r>
        <w:t>la siguiente</w:t>
      </w:r>
    </w:p>
    <w:p w14:paraId="35A46354" w14:textId="7E835944" w:rsidR="009D7677" w:rsidRDefault="009D7677" w:rsidP="009D7677">
      <w:pPr>
        <w:pStyle w:val="TextoNormal"/>
      </w:pPr>
    </w:p>
    <w:p w14:paraId="67ACAF07" w14:textId="77777777" w:rsidR="009D7677" w:rsidRDefault="009D7677" w:rsidP="009D7677">
      <w:pPr>
        <w:pStyle w:val="TextoNormalCentrado"/>
        <w:keepNext/>
      </w:pPr>
      <w:r>
        <w:t>SENTENCIA</w:t>
      </w:r>
    </w:p>
    <w:p w14:paraId="3342F652" w14:textId="2AF081B4" w:rsidR="009D7677" w:rsidRDefault="009D7677" w:rsidP="009D7677">
      <w:pPr>
        <w:pStyle w:val="TextoNormalCentrado"/>
        <w:keepNext/>
      </w:pPr>
    </w:p>
    <w:p w14:paraId="3D7E7D23" w14:textId="77777777" w:rsidR="009D7677" w:rsidRDefault="009D7677" w:rsidP="009D7677">
      <w:pPr>
        <w:pStyle w:val="TextoNormal"/>
      </w:pPr>
      <w:r>
        <w:t>En el recurso de amparo núm. 2295-2023, promovido por doña J.E.A., representada por la procuradora de los tribunales doña María Cristina Sosa González y asistida por la abogada doña Cristina Armas Suárez, contra el auto dictado el 23 de diciembre de 2022 por la Sección Cuarta de la Audiencia Provincial de Vizcaya en el rollo de apelación núm. 817-2022. Ha comparecido don I.L.A., representado por la procuradora doña Victoria Pérez-Mulet y Diez-Picazo y asistido por la abogada doña Begoña Atxa Azurmendi Ha intervenido el Ministerio Fiscal. Ha sido ponente el magistrado don Enrique Arnaldo Alcubilla.</w:t>
      </w:r>
    </w:p>
    <w:p w14:paraId="020A75F7" w14:textId="05021F7C" w:rsidR="009D7677" w:rsidRDefault="009D7677" w:rsidP="009D7677">
      <w:pPr>
        <w:pStyle w:val="TextoNormal"/>
      </w:pPr>
    </w:p>
    <w:p w14:paraId="73996AAC" w14:textId="77777777" w:rsidR="009D7677" w:rsidRDefault="009D7677" w:rsidP="009D7677">
      <w:pPr>
        <w:pStyle w:val="TextoNormalNegritaCentrado"/>
        <w:keepNext/>
      </w:pPr>
      <w:r>
        <w:lastRenderedPageBreak/>
        <w:t>I. Antecedentes</w:t>
      </w:r>
    </w:p>
    <w:p w14:paraId="09E59A41" w14:textId="485B5A06" w:rsidR="009D7677" w:rsidRDefault="009D7677" w:rsidP="009D7677">
      <w:pPr>
        <w:pStyle w:val="TextoNormalNegritaCentrado"/>
        <w:keepNext/>
      </w:pPr>
    </w:p>
    <w:p w14:paraId="6F07F59E" w14:textId="3D1D8B8B" w:rsidR="009D7677" w:rsidRDefault="009D7677" w:rsidP="009D7677">
      <w:pPr>
        <w:pStyle w:val="TextoNormal"/>
      </w:pPr>
      <w:r w:rsidRPr="009D7677">
        <w:rPr>
          <w:rStyle w:val="NumeroAFNegritaCaracter"/>
        </w:rPr>
        <w:t>1</w:t>
      </w:r>
      <w:r>
        <w:t>. Mediante escrito que tuvo entrada en el registro general de este tribunal el día 5 de abril de 2023, la procuradora de los tribunales doña María Cristina Sosa González, en nombre y representación de doña J.E.A., interpuso recurso de amparo contra las resoluciones judiciales que se citan en el encabezamiento.</w:t>
      </w:r>
    </w:p>
    <w:p w14:paraId="767F7379" w14:textId="77777777" w:rsidR="009D7677" w:rsidRDefault="009D7677" w:rsidP="009D7677">
      <w:pPr>
        <w:pStyle w:val="TextoNormal"/>
      </w:pPr>
    </w:p>
    <w:p w14:paraId="6F37AC6D" w14:textId="77777777" w:rsidR="009D7677" w:rsidRDefault="009D7677" w:rsidP="009D7677">
      <w:pPr>
        <w:pStyle w:val="TextoNormal"/>
      </w:pPr>
      <w:r w:rsidRPr="009D7677">
        <w:rPr>
          <w:rStyle w:val="NumeroAFNegritaCaracter"/>
        </w:rPr>
        <w:t>2</w:t>
      </w:r>
      <w:r>
        <w:t>. Los hechos de los que trae causa la demanda, relevantes para la resolución del recurso, son, en síntesis, los siguientes:</w:t>
      </w:r>
    </w:p>
    <w:p w14:paraId="0CB99E8A" w14:textId="77777777" w:rsidR="009D7677" w:rsidRDefault="009D7677" w:rsidP="009D7677">
      <w:pPr>
        <w:pStyle w:val="TextoNormal"/>
      </w:pPr>
    </w:p>
    <w:p w14:paraId="623E1F99" w14:textId="77777777" w:rsidR="009D7677" w:rsidRDefault="009D7677" w:rsidP="009D7677">
      <w:pPr>
        <w:pStyle w:val="TextoNormal"/>
      </w:pPr>
      <w:r>
        <w:t>a) Don I.L.A., solicitó la intervención judicial por desacuerdo de los progenitores en el ejercicio de la patria potestad al amparo del art. 86.1 de la Ley 15/2015, de 2 de julio, de la jurisdicción voluntaria (LJV) y el art. 156 párrafo tercero del Código civil, ante la negativa de la madre, doña J.E.A., a la inoculación de la vacuna contra la covid-19 a los dos hijos comunes de ambos litigantes, de edades de doce y nueve años en el momento de la petición.</w:t>
      </w:r>
    </w:p>
    <w:p w14:paraId="6BED0DC0" w14:textId="77777777" w:rsidR="009D7677" w:rsidRDefault="009D7677" w:rsidP="009D7677">
      <w:pPr>
        <w:pStyle w:val="TextoNormal"/>
      </w:pPr>
    </w:p>
    <w:p w14:paraId="66973371" w14:textId="77777777" w:rsidR="009D7677" w:rsidRDefault="009D7677" w:rsidP="009D7677">
      <w:pPr>
        <w:pStyle w:val="TextoNormal"/>
      </w:pPr>
      <w:r>
        <w:t>b) Mediante decreto de 3 de febrero de 2022 del Juzgado de Primera Instancia núm. 6 de Bilbao (procedimiento de jurisdicción voluntaria de intervención judicial sobre desacuerdo en el ejercicio de la patria potestad núm. 34-2022) se admitió la solicitud y se acordó citar a las partes para la celebración de la comparecencia el 1 de marzo de 2022. El juzgado acordó citar al mayor de los dos hermanos para la exploración judicial el 28 de febrero de 2022 y no consideró precisa la exploración del hermano menor. Por diligencia de ordenación de 16 de febrero de 2022 el juzgado, “por razones de agenda”, acordó dejar sin efecto la audiencia señalada el 28 de febrero y fijó una nueva el 1 de marzo de 2022, con carácter previo a la comparecencia de todas las partes.</w:t>
      </w:r>
    </w:p>
    <w:p w14:paraId="1E788830" w14:textId="77777777" w:rsidR="009D7677" w:rsidRDefault="009D7677" w:rsidP="009D7677">
      <w:pPr>
        <w:pStyle w:val="TextoNormal"/>
      </w:pPr>
    </w:p>
    <w:p w14:paraId="483528B2" w14:textId="77777777" w:rsidR="009D7677" w:rsidRDefault="009D7677" w:rsidP="009D7677">
      <w:pPr>
        <w:pStyle w:val="TextoNormal"/>
      </w:pPr>
      <w:r>
        <w:t>El Ministerio Fiscal interesó que se atribuyese expresamente la facultad de decidir sobre la inoculación de la vacuna al progenitor promovente.</w:t>
      </w:r>
    </w:p>
    <w:p w14:paraId="1D11CEA5" w14:textId="77777777" w:rsidR="009D7677" w:rsidRDefault="009D7677" w:rsidP="009D7677">
      <w:pPr>
        <w:pStyle w:val="TextoNormal"/>
      </w:pPr>
    </w:p>
    <w:p w14:paraId="74230FDB" w14:textId="77777777" w:rsidR="009D7677" w:rsidRDefault="009D7677" w:rsidP="009D7677">
      <w:pPr>
        <w:pStyle w:val="TextoNormal"/>
      </w:pPr>
      <w:r>
        <w:t>Por su parte, doña J.E.A., formuló oposición a la solicitud y alegó, en esencia, la ausencia de evidencia médico-científica que justificara la inoculación de los medicamentos de terapia génica para la covid-19 en menores de edad, atendiendo a la ausencia de gravedad de esta enfermedad en estos, en los que la tasa de mortalidad y de hospitalización es muy baja, y a los efectos adversos que puede llevar aparejada la vacuna, que pueden ser muy superiores a la ausencia de vacunación. Expuso también las dudas que podrían surgir con el consentimiento previo informado, aseverando que los niños habían sufrido presiones del padre, quien les habría inducido a que prestasen su consentimiento bajo el pretexto de que no podrían “acudir a eventos divertidos para ellos”. Añadió que los dos niños están sanos, que ambos tienen puestas las vacunas obligatorias conforme al calendario oficial y que por el contacto que habían tenido con ella misma, que había sufrido la covid-19, podrían estar ya inmunizados. Además, indica que los profesionales expertos de pública notoriedad han puesto de manifiesto que la administración de la vacuna contra la covid-19 no logra inmunizar a los menores.</w:t>
      </w:r>
    </w:p>
    <w:p w14:paraId="0730040A" w14:textId="77777777" w:rsidR="009D7677" w:rsidRDefault="009D7677" w:rsidP="009D7677">
      <w:pPr>
        <w:pStyle w:val="TextoNormal"/>
      </w:pPr>
    </w:p>
    <w:p w14:paraId="24A7F0D3" w14:textId="77777777" w:rsidR="009D7677" w:rsidRDefault="009D7677" w:rsidP="009D7677">
      <w:pPr>
        <w:pStyle w:val="TextoNormal"/>
      </w:pPr>
      <w:r>
        <w:t xml:space="preserve">c) Tras celebrarse la comparecencia el 1 de marzo de 2022, el Juzgado de Primera Instancia núm. 6 de Bilbao dictó auto el 10 de mayo del mismo año en el que desestimó la </w:t>
      </w:r>
      <w:r>
        <w:lastRenderedPageBreak/>
        <w:t>petición de don I.L.A., y atribuyó a doña J.E.A., la facultad de decidir sobre la inoculación de la vacuna a los dos hijos menores de ambos.</w:t>
      </w:r>
    </w:p>
    <w:p w14:paraId="6262FDA9" w14:textId="77777777" w:rsidR="009D7677" w:rsidRDefault="009D7677" w:rsidP="009D7677">
      <w:pPr>
        <w:pStyle w:val="TextoNormal"/>
      </w:pPr>
    </w:p>
    <w:p w14:paraId="21DD8D9F" w14:textId="77777777" w:rsidR="009D7677" w:rsidRDefault="009D7677" w:rsidP="009D7677">
      <w:pPr>
        <w:pStyle w:val="TextoNormal"/>
      </w:pPr>
      <w:r>
        <w:t>d) Don I.L.A., interpuso recurso de apelación contra el auto del juzgado, reiterando su posición en relación con los riesgos y beneficios de la vacuna y alegando la vulneración del derecho a la tutela judicial efectiva por la falta de motivación del auto recurrido, dada la existencia de un déficit de valoración de los datos científicos aportados. Adujo también la vulneración del derecho a la integridad física y moral (art. 15 CE) por la falta de consentimiento informado por escrito en los términos de la Ley 41/2002, de 14 de noviembre, básica reguladora de la autonomía del paciente y de derechos y obligaciones en materia de información y documentación clínica, y del Convenio de Oviedo de 4 de abril de 1997, relativo a los derechos humanos y la biomedicina.</w:t>
      </w:r>
    </w:p>
    <w:p w14:paraId="3FBF26D5" w14:textId="77777777" w:rsidR="009D7677" w:rsidRDefault="009D7677" w:rsidP="009D7677">
      <w:pPr>
        <w:pStyle w:val="TextoNormal"/>
      </w:pPr>
    </w:p>
    <w:p w14:paraId="1E39624E" w14:textId="77777777" w:rsidR="009D7677" w:rsidRDefault="009D7677" w:rsidP="009D7677">
      <w:pPr>
        <w:pStyle w:val="TextoNormal"/>
      </w:pPr>
      <w:r>
        <w:t>e) Doña J.E.A. presentó escrito por el que se opuso al recurso de apelación e interesó la desestimación. En sentido contrario se pronunció el Ministerio Fiscal, quien se adhirió expresamente al recurso interpuesto por el padre.</w:t>
      </w:r>
    </w:p>
    <w:p w14:paraId="4A0D701F" w14:textId="77777777" w:rsidR="009D7677" w:rsidRDefault="009D7677" w:rsidP="009D7677">
      <w:pPr>
        <w:pStyle w:val="TextoNormal"/>
      </w:pPr>
    </w:p>
    <w:p w14:paraId="13352F80" w14:textId="77777777" w:rsidR="009D7677" w:rsidRDefault="009D7677" w:rsidP="009D7677">
      <w:pPr>
        <w:pStyle w:val="TextoNormal"/>
      </w:pPr>
      <w:r>
        <w:t>f) La Sección Cuarta de la Audiencia Provincial de Vizcaya dictó auto el 23 de diciembre de 2022 en el que estimó el recurso de apelación, acordando autorizar a don I.L.A., a decidir sobre la inoculación de la vacuna contra la covid-19 a los dos hijos menores. Razona que el objeto de la controversia no es disponer sobre la vacunación, sino atribuir a uno de los progenitores la facultad de decidir, en atención al interés superior para los menores. Añade que los informes periciales obrantes en las actuaciones ponen de manifiesto la inexistencia de riesgo por la inoculación de la vacuna para la integridad física de los niños, dadas las recomendaciones del Ministerio de Sanidad y la Asociación Española de Pediatría, en relación con las propias indicaciones de la Agencia Europea del Medicamento. Considera que “la vacunación a los menores (sin factores de riesgo sobre enfermedades infecciosas) proporcionará beneficios a nivel individual”. En definitiva, el balance de riesgo y beneficio es claramente favorable a la vacunación.</w:t>
      </w:r>
    </w:p>
    <w:p w14:paraId="1DE946BB" w14:textId="77777777" w:rsidR="009D7677" w:rsidRDefault="009D7677" w:rsidP="009D7677">
      <w:pPr>
        <w:pStyle w:val="TextoNormal"/>
      </w:pPr>
    </w:p>
    <w:p w14:paraId="463AD072" w14:textId="77777777" w:rsidR="009D7677" w:rsidRDefault="009D7677" w:rsidP="009D7677">
      <w:pPr>
        <w:pStyle w:val="TextoNormal"/>
      </w:pPr>
      <w:r>
        <w:t>g) Frente al auto de la audiencia provincial promovió la recurrente en amparo incidente excepcional de nulidad de actuaciones, invocando la vulneración del derecho a la integridad física (art. 15 CE), en relación con el art. 9.5 de la Ley 41/2002, de 14 de noviembre, básica reguladora de la autonomía del paciente y de derechos y obligaciones en materia de información y documentación clínica, la Carta de derechos fundamentales de la Unión Europea y el Convenio de Oviedo, de 4 de abril de 1997, relativo a los derechos humanos y la biomedicina, vinculadas tales infracciones a la falta de consentimiento informado; así como la lesión del derecho a la tutela judicial efectiva (art. 24.1 CE), por errónea valoración de la prueba y deficiente motivación.</w:t>
      </w:r>
    </w:p>
    <w:p w14:paraId="253F1D05" w14:textId="77777777" w:rsidR="009D7677" w:rsidRDefault="009D7677" w:rsidP="009D7677">
      <w:pPr>
        <w:pStyle w:val="TextoNormal"/>
      </w:pPr>
    </w:p>
    <w:p w14:paraId="0124D5B7" w14:textId="4E8ADA7C" w:rsidR="009D7677" w:rsidRDefault="009D7677" w:rsidP="009D7677">
      <w:pPr>
        <w:pStyle w:val="TextoNormal"/>
      </w:pPr>
      <w:r>
        <w:t>h) Mediante auto de 27 de marzo de 2023, la Sección Cuarta de la Audiencia Provincial de Vizcaya acordó inadmitir el incidente de nulidad de actuaciones por no apreciar infracción constitucional alguna. Respecto de la alegada vulneración del art. 15 CE, se razona que el procedimiento no ha tenido por objeto decidir sobre la vacunación de los menores, sino sobre cuál de sus padres ha de tomar la decisión, por lo que estamos ante una fase previa a cualquier eventual consentimiento informado, puesto que será el médico o servicio sanitario quien en su momento informe al padre acerca de la vacunación y de sus ries</w:t>
      </w:r>
      <w:r>
        <w:lastRenderedPageBreak/>
        <w:t>gos. En cuanto a la pretendida vulneración del art. 24.1 CE, se afirma que la recurrente se limita a discrepar de una decisión contraria a sus intereses.</w:t>
      </w:r>
    </w:p>
    <w:p w14:paraId="747D4F48" w14:textId="77777777" w:rsidR="009D7677" w:rsidRDefault="009D7677" w:rsidP="009D7677">
      <w:pPr>
        <w:pStyle w:val="TextoNormal"/>
      </w:pPr>
    </w:p>
    <w:p w14:paraId="289648FB" w14:textId="77777777" w:rsidR="009D7677" w:rsidRDefault="009D7677" w:rsidP="009D7677">
      <w:pPr>
        <w:pStyle w:val="TextoNormal"/>
      </w:pPr>
      <w:r w:rsidRPr="009D7677">
        <w:rPr>
          <w:rStyle w:val="NumeroAFNegritaCaracter"/>
        </w:rPr>
        <w:t>3</w:t>
      </w:r>
      <w:r>
        <w:t>. La recurrente denuncia que se le han vulnerado los siguientes derechos fundamentales:</w:t>
      </w:r>
    </w:p>
    <w:p w14:paraId="01FFE8B2" w14:textId="77777777" w:rsidR="009D7677" w:rsidRDefault="009D7677" w:rsidP="009D7677">
      <w:pPr>
        <w:pStyle w:val="TextoNormal"/>
      </w:pPr>
    </w:p>
    <w:p w14:paraId="1108FA61" w14:textId="77777777" w:rsidR="009D7677" w:rsidRDefault="009D7677" w:rsidP="009D7677">
      <w:pPr>
        <w:pStyle w:val="TextoNormal"/>
      </w:pPr>
      <w:r>
        <w:t>(i) El derecho a la integridad física y moral (art. 15.1 CE), porque no se recabó el consentimiento informado de los menores ni de sus progenitores, que es un derecho reconocido en la Ley 41/2022, de 14 de noviembre, básica reguladora de la autonomía del paciente y de derechos y obligaciones en materia de información y documentación, en el art. 3, apartado 2 a), de la Carta de los derechos fundamentales de la Unión Europea y en el Convenio relativo a los derechos humanos y la biomedicina hecho en Oviedo el 4 de abril de 1997, y que queda asimismo amparado en el art. 8 del Convenio europeo para la protección de los derechos humanos y de las libertades fundamentales como aspecto del derecho a la vida privada y familiar reconocido en dicho precepto, conforme a la jurisprudencia del Tribunal Europeo de Derechos Humanos. Invoca asimismo la doctrina constitucional, que relaciona el consentimiento informado con el derecho de la persona a la integridad física y moral, entendido como derecho a rechazar intervenciones que afecten a su incolumidad corporal.</w:t>
      </w:r>
    </w:p>
    <w:p w14:paraId="05EF5005" w14:textId="77777777" w:rsidR="009D7677" w:rsidRDefault="009D7677" w:rsidP="009D7677">
      <w:pPr>
        <w:pStyle w:val="TextoNormal"/>
      </w:pPr>
    </w:p>
    <w:p w14:paraId="6E60DEE8" w14:textId="77777777" w:rsidR="009D7677" w:rsidRDefault="009D7677" w:rsidP="009D7677">
      <w:pPr>
        <w:pStyle w:val="TextoNormal"/>
      </w:pPr>
      <w:r>
        <w:t>(ii) Los derechos a la tutela judicial efectiva (art. 24.1 CE) y a un proceso con todas las garantías (art. 24.2 CE), porque la Audiencia Provincial de Vizcaya no fundamenta su decisión en argumentos científicos o jurídicos, sino en las creencias personales de los miembros de ese tribunal, lo que denota falta de imparcialidad.</w:t>
      </w:r>
    </w:p>
    <w:p w14:paraId="5F610D01" w14:textId="77777777" w:rsidR="009D7677" w:rsidRDefault="009D7677" w:rsidP="009D7677">
      <w:pPr>
        <w:pStyle w:val="TextoNormal"/>
      </w:pPr>
    </w:p>
    <w:p w14:paraId="616352EE" w14:textId="71F7E2D0" w:rsidR="009D7677" w:rsidRDefault="009D7677" w:rsidP="009D7677">
      <w:pPr>
        <w:pStyle w:val="TextoNormal"/>
      </w:pPr>
      <w:r>
        <w:t>En el suplico de la demanda de amparo se solicita la nulidad del auto dictado en apelación por la Audiencia Provincial de Vizcaya y que se declare que en el presente caso no concurre el debido consentimiento informado por escrito a los progenitores y a los menores, y que ni siquiera se ha justificado la necesidad de un tratamiento médico invasivo como es la vacuna contra la covid-19. Mediante otrosí se solicitó también la suspensión cautelar del auto impugnado.</w:t>
      </w:r>
    </w:p>
    <w:p w14:paraId="23B64617" w14:textId="77777777" w:rsidR="009D7677" w:rsidRDefault="009D7677" w:rsidP="009D7677">
      <w:pPr>
        <w:pStyle w:val="TextoNormal"/>
      </w:pPr>
    </w:p>
    <w:p w14:paraId="7AC58519" w14:textId="77777777" w:rsidR="009D7677" w:rsidRDefault="009D7677" w:rsidP="009D7677">
      <w:pPr>
        <w:pStyle w:val="TextoNormal"/>
      </w:pPr>
      <w:r w:rsidRPr="009D7677">
        <w:rPr>
          <w:rStyle w:val="NumeroAFNegritaCaracter"/>
        </w:rPr>
        <w:t>4</w:t>
      </w:r>
      <w:r>
        <w:t>. La Sección Cuarta del Tribunal Constitucional, por providencia de 19 de junio de 2023, acordó admitir a trámite el recurso de amparo, apreciando que concurre una especial trascendencia constitucional (art. 50.1 LOTC) por cuanto plantea un problema o afecta a una faceta de un derecho fundamental sobre el que no hay doctrina de este tribunal [STC 155/2009, de 25 de junio, FJ 2 a)] y, asimismo, porque el asunto suscitado trasciende del caso concreto porque plantea una cuestión jurídica de relevante y general repercusión social o económica [STC 155/2009, FJ 2 g)].</w:t>
      </w:r>
    </w:p>
    <w:p w14:paraId="5C2D1BF6" w14:textId="77777777" w:rsidR="009D7677" w:rsidRDefault="009D7677" w:rsidP="009D7677">
      <w:pPr>
        <w:pStyle w:val="TextoNormal"/>
      </w:pPr>
    </w:p>
    <w:p w14:paraId="2ED11BD5" w14:textId="7E4839CE" w:rsidR="009D7677" w:rsidRDefault="009D7677" w:rsidP="009D7677">
      <w:pPr>
        <w:pStyle w:val="TextoNormal"/>
      </w:pPr>
      <w:r>
        <w:t xml:space="preserve">En la misma providencia se acordó, en aplicación de lo dispuesto en el art. 51 Ley Orgánica del Tribunal Constitucional (LOTC), dirigir atenta comunicación a la Sección Cuarta de la Audiencia Provincial de Vizcaya para que, en plazo no superior a diez días, remitiera certificación o fotocopia adverada de las actuaciones correspondientes al recurso de apelación 817-2022, e, igualmente, al Juzgado de Primera Instancia núm. 6 de Bilbao a fin de que, en el mismo plazo, remitiese certificación o fotocopia adverada de las actuaciones correspondientes al procedimiento de jurisdicción voluntaria núm. 34-2022, debiendo emplazar previamente a quienes hubieran sido parte en el procedimiento, excepto a </w:t>
      </w:r>
      <w:r>
        <w:lastRenderedPageBreak/>
        <w:t>la recurrente, para que en el plazo de diez días pudieran comparecer en el recurso de amparo.</w:t>
      </w:r>
    </w:p>
    <w:p w14:paraId="7980DC61" w14:textId="77777777" w:rsidR="009D7677" w:rsidRDefault="009D7677" w:rsidP="009D7677">
      <w:pPr>
        <w:pStyle w:val="TextoNormal"/>
      </w:pPr>
    </w:p>
    <w:p w14:paraId="5608D4F3" w14:textId="77777777" w:rsidR="009D7677" w:rsidRDefault="009D7677" w:rsidP="009D7677">
      <w:pPr>
        <w:pStyle w:val="TextoNormal"/>
      </w:pPr>
      <w:r w:rsidRPr="009D7677">
        <w:rPr>
          <w:rStyle w:val="NumeroAFNegritaCaracter"/>
        </w:rPr>
        <w:t>5</w:t>
      </w:r>
      <w:r>
        <w:t>. Mediante providencia de 19 de junio de 2023 se acordó asimismo la formación de la pieza separada de suspensión, con inicio de su tramitación de conformidad con lo previsto en el art. 56 LOTC. En la misma resolución se acordó librar oficio al Departamento de Salud del Gobierno Vasco a fin de que informase sobre si consta la administración de la vacuna contra la covid-19 a los hijos de la recurrente y, en su caso, la fecha en la que se les administró la vacuna.</w:t>
      </w:r>
    </w:p>
    <w:p w14:paraId="0919FD3B" w14:textId="77777777" w:rsidR="009D7677" w:rsidRDefault="009D7677" w:rsidP="009D7677">
      <w:pPr>
        <w:pStyle w:val="TextoNormal"/>
      </w:pPr>
    </w:p>
    <w:p w14:paraId="53F2F7E8" w14:textId="77777777" w:rsidR="009D7677" w:rsidRDefault="009D7677" w:rsidP="009D7677">
      <w:pPr>
        <w:pStyle w:val="TextoNormal"/>
      </w:pPr>
      <w:r>
        <w:t>El 5 de diciembre de 2023 tuvo entrada en el registro del Tribunal el oficio remitido por el Departamento de Salud del Gobierno Vasco en la que figuran los certificados de vacunación de los dos hijos menores de la recurrente, fechados el 7 y el 21 de junio de 2023.</w:t>
      </w:r>
    </w:p>
    <w:p w14:paraId="1FCB6D9E" w14:textId="77777777" w:rsidR="009D7677" w:rsidRDefault="009D7677" w:rsidP="009D7677">
      <w:pPr>
        <w:pStyle w:val="TextoNormal"/>
      </w:pPr>
    </w:p>
    <w:p w14:paraId="353E76B2" w14:textId="19DAD4EC" w:rsidR="009D7677" w:rsidRDefault="009D7677" w:rsidP="009D7677">
      <w:pPr>
        <w:pStyle w:val="TextoNormal"/>
      </w:pPr>
      <w:r>
        <w:t>La Sección Cuarta del Tribunal Constitucional dio traslado de dicha certificación al Ministerio Fiscal y a las partes personadas en el recurso de amparo por plazo común de tres días, a fin de que manifestasen lo que a su derecho conviniera, trámite que fue cumplimentado únicamente por el fiscal, que interesó el archivo de la solicitud de la medida cautelar de suspensión, por entender que esta ha perdido sobrevenidamente su objeto, dado que consta que la resolución judicial impugnada ya ha producido sus efectos con la vacunación de los menores.</w:t>
      </w:r>
    </w:p>
    <w:p w14:paraId="288D45F3" w14:textId="77777777" w:rsidR="009D7677" w:rsidRDefault="009D7677" w:rsidP="009D7677">
      <w:pPr>
        <w:pStyle w:val="TextoNormal"/>
      </w:pPr>
    </w:p>
    <w:p w14:paraId="68CBBE80" w14:textId="6B582A5C" w:rsidR="009D7677" w:rsidRDefault="009D7677" w:rsidP="009D7677">
      <w:pPr>
        <w:pStyle w:val="TextoNormal"/>
      </w:pPr>
      <w:r w:rsidRPr="009D7677">
        <w:rPr>
          <w:rStyle w:val="NumeroAFNegritaCaracter"/>
        </w:rPr>
        <w:t>6</w:t>
      </w:r>
      <w:r>
        <w:t>. El 4 de julio de 2023 se registró escrito en este tribunal en el que la procuradora doña Victoria Pérez-Mulet y Diez-Picazo expresó su voluntad de personarse en el presente recurso de amparo en nombre y representación de don I.L.A.</w:t>
      </w:r>
    </w:p>
    <w:p w14:paraId="2155BD4B" w14:textId="77777777" w:rsidR="009D7677" w:rsidRDefault="009D7677" w:rsidP="009D7677">
      <w:pPr>
        <w:pStyle w:val="TextoNormal"/>
      </w:pPr>
    </w:p>
    <w:p w14:paraId="7E57A8BA" w14:textId="06461E8C" w:rsidR="009D7677" w:rsidRDefault="009D7677" w:rsidP="009D7677">
      <w:pPr>
        <w:pStyle w:val="TextoNormal"/>
      </w:pPr>
      <w:r w:rsidRPr="009D7677">
        <w:rPr>
          <w:rStyle w:val="NumeroAFNegritaCaracter"/>
        </w:rPr>
        <w:t>7</w:t>
      </w:r>
      <w:r>
        <w:t>. Por diligencia de ordenación de la Secretaría de Justicia de la Sala Segunda de este tribunal de 28 de septiembre de 2023 se acordó tener por personada y parte a la procuradora doña María Victoria Pérez-Mulet y Diez-Picazo en la representación que ostenta, se tuvieron por recibidos los testimonios de las actuaciones remitidos por la Sección Cuarta de la Audiencia Provincial de Vizcaya y por el Juzgado de Primera Instancia núm. 6 de Bilbao y, a tenor de lo dispuesto en el art. 52.1 LOTC, se acordó dar vista de las actuaciones, por un plazo común de veinte días, al Ministerio Fiscal y a las partes personadas, para que dentro de dicho término pudieran presentar las alegaciones que a su derecho conviniesen.</w:t>
      </w:r>
    </w:p>
    <w:p w14:paraId="0BA7DE89" w14:textId="77777777" w:rsidR="009D7677" w:rsidRDefault="009D7677" w:rsidP="009D7677">
      <w:pPr>
        <w:pStyle w:val="TextoNormal"/>
      </w:pPr>
    </w:p>
    <w:p w14:paraId="1D0B3AA6" w14:textId="55A8C3A7" w:rsidR="009D7677" w:rsidRDefault="009D7677" w:rsidP="009D7677">
      <w:pPr>
        <w:pStyle w:val="TextoNormal"/>
      </w:pPr>
      <w:r w:rsidRPr="009D7677">
        <w:rPr>
          <w:rStyle w:val="NumeroAFNegritaCaracter"/>
        </w:rPr>
        <w:t>8</w:t>
      </w:r>
      <w:r>
        <w:t xml:space="preserve">. El 4 de octubre de 2023 se registró en el Tribunal Constitucional el escrito de alegaciones presentado por la representación procesal de don I.L.A., en el que manifiesta su oposición al recurso de amparo y alega que “la sentencia del Tribunal Europeo de Derechos Humanos en el asunto </w:t>
      </w:r>
      <w:r w:rsidRPr="009D7677">
        <w:rPr>
          <w:i/>
        </w:rPr>
        <w:t>Vavřička</w:t>
      </w:r>
      <w:r>
        <w:t xml:space="preserve"> c. la República Checa de abril de 2021 viene a legitimar el uso de mecanismos como el de la exigencia de vacunación para el acceso a centros preescolares de menores (previos a los de educación obligatoria) y resuelve el juicio de prevalencia de derechos a favor de la salud pública”, y que las argumentaciones contenidas en la demanda de amparo, que reiteran las formuladas en el procedimiento ordinario, carecen de sustento científico. Señala que la médico que emitió el dictamen pericial en la instancia no reconoció personalmente a los menores, por lo que mal podría conocer los posibles efectos adversos de la vacuna sobre estos niños en concreto, y que sus opiniones </w:t>
      </w:r>
      <w:r>
        <w:lastRenderedPageBreak/>
        <w:t>se basan en datos generales y en opiniones personales, carentes de objetividad alguna y que difieren con la mayoría de la comunidad científica, cuando lo cierto es que la vacunación frente a la covid-19 encuentra un respaldo muy consistente de las autoridades médicas, legislativas e incluso jurisprudenciales, entendiendo que el beneficio de la vacuna en niños es muy superior a los posibles riesgos y efectos adversos. A lo que añade que el mayor de los hermanos, de doce años, se mostró expresamente favorable a la inoculación de la vacuna.</w:t>
      </w:r>
    </w:p>
    <w:p w14:paraId="6CAF1280" w14:textId="77777777" w:rsidR="009D7677" w:rsidRDefault="009D7677" w:rsidP="009D7677">
      <w:pPr>
        <w:pStyle w:val="TextoNormal"/>
      </w:pPr>
    </w:p>
    <w:p w14:paraId="73184BEA" w14:textId="77777777" w:rsidR="009D7677" w:rsidRDefault="009D7677" w:rsidP="009D7677">
      <w:pPr>
        <w:pStyle w:val="TextoNormal"/>
      </w:pPr>
      <w:r w:rsidRPr="009D7677">
        <w:rPr>
          <w:rStyle w:val="NumeroAFNegritaCaracter"/>
        </w:rPr>
        <w:t>9</w:t>
      </w:r>
      <w:r>
        <w:t>. Por escrito registrado el 17 de noviembre de 2023 el Ministerio Fiscal solicitó la desestimación íntegra del recurso.</w:t>
      </w:r>
    </w:p>
    <w:p w14:paraId="6199CCBE" w14:textId="77777777" w:rsidR="009D7677" w:rsidRDefault="009D7677" w:rsidP="009D7677">
      <w:pPr>
        <w:pStyle w:val="TextoNormal"/>
      </w:pPr>
    </w:p>
    <w:p w14:paraId="1E4238ED" w14:textId="77777777" w:rsidR="009D7677" w:rsidRDefault="009D7677" w:rsidP="009D7677">
      <w:pPr>
        <w:pStyle w:val="TextoNormal"/>
      </w:pPr>
      <w:r>
        <w:t>Respecto de la pretendida lesión del derecho a la tutela judicial efectiva (art. 24.1 CE), sostiene que el auto de la audiencia provincial no incurre en déficits de motivación, puesto que se dicta en un procedimiento de jurisdicción voluntaria, en el que debe prevalecer el interés superior del menor y “no debe atenderse exclusivamente a las pretensiones deducidas por las partes y a las pruebas aportadas para sustentarlas”. La audiencia provincial, al estimar el recurso de apelación, ha valorado la prueba aportada de manera razonable y ponderando correctamente los derechos en juego, si bien en contra de los intereses de la recurrente.</w:t>
      </w:r>
    </w:p>
    <w:p w14:paraId="10B0F161" w14:textId="77777777" w:rsidR="009D7677" w:rsidRDefault="009D7677" w:rsidP="009D7677">
      <w:pPr>
        <w:pStyle w:val="TextoNormal"/>
      </w:pPr>
    </w:p>
    <w:p w14:paraId="4FDF9679" w14:textId="77777777" w:rsidR="009D7677" w:rsidRDefault="009D7677" w:rsidP="009D7677">
      <w:pPr>
        <w:pStyle w:val="TextoNormal"/>
      </w:pPr>
      <w:r>
        <w:t>En cuanto a la lesión del derecho a un procedimiento con todas las garantías (art. 24.2 CE), señala el fiscal que se trata de una mera invocación genérica que, al no venir respaldada del más mínimo desarrollo argumental, impide un examen de la vulneración alegada, sin perjuicio de advertir, que, en cuanto referida a una pretendida falta de imparcialidad de los magistrados del tribunal de apelación, se trata de una queja que no se sustenta en criterios objetivos.</w:t>
      </w:r>
    </w:p>
    <w:p w14:paraId="3F138EA3" w14:textId="77777777" w:rsidR="009D7677" w:rsidRDefault="009D7677" w:rsidP="009D7677">
      <w:pPr>
        <w:pStyle w:val="TextoNormal"/>
      </w:pPr>
    </w:p>
    <w:p w14:paraId="3F40B096" w14:textId="33550715" w:rsidR="009D7677" w:rsidRDefault="009D7677" w:rsidP="009D7677">
      <w:pPr>
        <w:pStyle w:val="TextoNormal"/>
      </w:pPr>
      <w:r>
        <w:t>En cuanto a la vulneración del derecho fundamental a la integridad física y moral (art. 15 CE), sostiene que resultan de aplicación al caso los razonamientos contenidos en los fundamentos jurídicos 4 y 5 de la STC 148/2023, de 6 de noviembre, sobre la vacunación de menores y la imposibilidad de que estos puedan prestar un consentimiento informado, lo que descartaría la existencia de vulneración, a lo que se añade que en este caso el hijo de doce años se mostró favorable a la vacunación ante la discrepancia del padre y de la madre, opinión que “se recoge y es tomada en consideración en el auto de la audiencia provincial”, que motiva jurídicamente la decisión de atribuir al padre la facultad de decisión y, por tanto, de otorgar el consentimiento por representación legal, teniendo en cuenta “que, no concurriendo en los menores patologías que desaconsejen la vacunación, se ha de estar a la opinión de los informes y recomendaciones de los organismos oficiales competentes sobre la vacunación de los niños, como mejor garantía para la protección de sus intereses”.</w:t>
      </w:r>
    </w:p>
    <w:p w14:paraId="197FD441" w14:textId="77777777" w:rsidR="009D7677" w:rsidRDefault="009D7677" w:rsidP="009D7677">
      <w:pPr>
        <w:pStyle w:val="TextoNormal"/>
      </w:pPr>
    </w:p>
    <w:p w14:paraId="5BF515F4" w14:textId="64580722" w:rsidR="009D7677" w:rsidRDefault="009D7677" w:rsidP="009D7677">
      <w:pPr>
        <w:pStyle w:val="TextoNormal"/>
      </w:pPr>
      <w:r w:rsidRPr="009D7677">
        <w:rPr>
          <w:rStyle w:val="NumeroAFNegritaCaracter"/>
        </w:rPr>
        <w:t>10</w:t>
      </w:r>
      <w:r>
        <w:t>. La representación procesal de la recurrente en amparo no presentó escrito de alegaciones.</w:t>
      </w:r>
    </w:p>
    <w:p w14:paraId="1B4061CB" w14:textId="77777777" w:rsidR="009D7677" w:rsidRDefault="009D7677" w:rsidP="009D7677">
      <w:pPr>
        <w:pStyle w:val="TextoNormal"/>
      </w:pPr>
    </w:p>
    <w:p w14:paraId="2D435FB7" w14:textId="0CBBC14E" w:rsidR="009D7677" w:rsidRDefault="009D7677" w:rsidP="009D7677">
      <w:pPr>
        <w:pStyle w:val="TextoNormal"/>
      </w:pPr>
      <w:r w:rsidRPr="009D7677">
        <w:rPr>
          <w:rStyle w:val="NumeroAFNegritaCaracter"/>
        </w:rPr>
        <w:t>11</w:t>
      </w:r>
      <w:r>
        <w:t>. Por providencia de 4 de abril de 2024 se señaló para deliberación y votación de la presente sentencia el día 8 del mismo mes y año.</w:t>
      </w:r>
    </w:p>
    <w:p w14:paraId="2FA6E5F5" w14:textId="77777777" w:rsidR="009D7677" w:rsidRDefault="009D7677" w:rsidP="009D7677">
      <w:pPr>
        <w:pStyle w:val="TextoNormal"/>
      </w:pPr>
    </w:p>
    <w:p w14:paraId="7BAA00B9" w14:textId="77777777" w:rsidR="009D7677" w:rsidRDefault="009D7677" w:rsidP="009D7677">
      <w:pPr>
        <w:pStyle w:val="TextoNormalNegritaCentrado"/>
        <w:keepNext/>
      </w:pPr>
      <w:r>
        <w:lastRenderedPageBreak/>
        <w:t>II. Fundamentos jurídicos</w:t>
      </w:r>
    </w:p>
    <w:p w14:paraId="51A9A429" w14:textId="740B96ED" w:rsidR="009D7677" w:rsidRDefault="009D7677" w:rsidP="009D7677">
      <w:pPr>
        <w:pStyle w:val="TextoNormalNegritaCentrado"/>
        <w:keepNext/>
      </w:pPr>
    </w:p>
    <w:p w14:paraId="6E066BB3" w14:textId="77777777" w:rsidR="009D7677" w:rsidRDefault="009D7677" w:rsidP="009D7677">
      <w:pPr>
        <w:pStyle w:val="TextoNormal"/>
      </w:pPr>
      <w:r w:rsidRPr="009D7677">
        <w:rPr>
          <w:rStyle w:val="NumeroAFNegritaCaracter"/>
        </w:rPr>
        <w:t>1</w:t>
      </w:r>
      <w:r>
        <w:t xml:space="preserve">. </w:t>
      </w:r>
      <w:r w:rsidRPr="009D7677">
        <w:rPr>
          <w:i/>
        </w:rPr>
        <w:t>Objeto del recurso</w:t>
      </w:r>
    </w:p>
    <w:p w14:paraId="57444F0A" w14:textId="77777777" w:rsidR="009D7677" w:rsidRDefault="009D7677" w:rsidP="009D7677">
      <w:pPr>
        <w:pStyle w:val="TextoNormal"/>
      </w:pPr>
    </w:p>
    <w:p w14:paraId="6D705DF2" w14:textId="77777777" w:rsidR="009D7677" w:rsidRDefault="009D7677" w:rsidP="009D7677">
      <w:pPr>
        <w:pStyle w:val="TextoNormal"/>
      </w:pPr>
      <w:r>
        <w:t>El presente recurso de amparo se dirige contra el auto de 23 de diciembre de 2022 de la Sección Cuarta de la Audiencia Provincial de Vizcaya, dictado en el rollo núm. 817-2022, que atribuyó a don I.L.A., la facultad de decidir sobre la administración de la vacuna frente a la covid-19 a sus hijos menores de edad, al estimar el recurso de apelación interpuesto por este frente al auto del Juzgado de Primera Instancia núm. 6 de Bilbao de 10 de mayo de 2022, dictado en el procedimiento de jurisdicción voluntaria núm. 34-2022, que había atribuido a doña J.E.A., la facultad de decidir.</w:t>
      </w:r>
    </w:p>
    <w:p w14:paraId="0CD2301D" w14:textId="77777777" w:rsidR="009D7677" w:rsidRDefault="009D7677" w:rsidP="009D7677">
      <w:pPr>
        <w:pStyle w:val="TextoNormal"/>
      </w:pPr>
    </w:p>
    <w:p w14:paraId="0EDA8A1D" w14:textId="0B42D44D" w:rsidR="009D7677" w:rsidRDefault="009D7677" w:rsidP="009D7677">
      <w:pPr>
        <w:pStyle w:val="TextoNormal"/>
      </w:pPr>
      <w:r>
        <w:t>Dada la naturaleza de los hechos, debe señalarse que,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 27 de julio de 2015), la presente sentencia y demás actuaciones del proceso no incluyen la identificación completa de los menores de edad afectados ni la de sus parientes inmediatos que aparecen mencionados en las actuaciones, con el fin de proteger la intimidad de aquellos.</w:t>
      </w:r>
    </w:p>
    <w:p w14:paraId="640B2090" w14:textId="77777777" w:rsidR="009D7677" w:rsidRDefault="009D7677" w:rsidP="009D7677">
      <w:pPr>
        <w:pStyle w:val="TextoNormal"/>
      </w:pPr>
    </w:p>
    <w:p w14:paraId="648F4F77" w14:textId="77777777" w:rsidR="009D7677" w:rsidRDefault="009D7677" w:rsidP="009D7677">
      <w:pPr>
        <w:pStyle w:val="TextoNormal"/>
      </w:pPr>
      <w:r w:rsidRPr="009D7677">
        <w:rPr>
          <w:rStyle w:val="NumeroAFNegritaCaracter"/>
        </w:rPr>
        <w:t>2</w:t>
      </w:r>
      <w:r>
        <w:t xml:space="preserve">. </w:t>
      </w:r>
      <w:r w:rsidRPr="009D7677">
        <w:rPr>
          <w:i/>
        </w:rPr>
        <w:t>Cuestiones previas y delimitación de los derechos fundamentales concernidos</w:t>
      </w:r>
    </w:p>
    <w:p w14:paraId="3AD286FD" w14:textId="77777777" w:rsidR="009D7677" w:rsidRDefault="009D7677" w:rsidP="009D7677">
      <w:pPr>
        <w:pStyle w:val="TextoNormal"/>
      </w:pPr>
    </w:p>
    <w:p w14:paraId="1C74FC89" w14:textId="77777777" w:rsidR="009D7677" w:rsidRDefault="009D7677" w:rsidP="009D7677">
      <w:pPr>
        <w:pStyle w:val="TextoNormal"/>
      </w:pPr>
      <w:r>
        <w:t>Con carácter previo al examen de la cuestión de fondo planteada en la demanda de amparo, debe hacerse la siguiente precisión.</w:t>
      </w:r>
    </w:p>
    <w:p w14:paraId="215190B9" w14:textId="77777777" w:rsidR="009D7677" w:rsidRDefault="009D7677" w:rsidP="009D7677">
      <w:pPr>
        <w:pStyle w:val="TextoNormal"/>
      </w:pPr>
    </w:p>
    <w:p w14:paraId="74600FD7" w14:textId="77777777" w:rsidR="009D7677" w:rsidRDefault="009D7677" w:rsidP="009D7677">
      <w:pPr>
        <w:pStyle w:val="TextoNormal"/>
      </w:pPr>
      <w:r>
        <w:t>En el recurso de amparo se alega, junto a la lesión del derecho a la integridad personal (art. 15 CE), la vulneración de los derechos a la tutela judicial efectiva (art. 24.1 CE) y a un proceso con todas las garantías (art. 24.2 CE), por cuanto, en opinión de la recurrente, el auto dictado en apelación por la Audiencia Provincial de Vizcaya, al atribuir la facultad de decidir al progenitor favorable a la vacunación, incurre en defecto de motivación suficiente e incluye razonamientos y afirmaciones sin sustento científico, basándose la respuesta judicial al conflicto suscitado en las creencias personales de los miembros de ese tribunal, lo que denota falta de imparcialidad; vulneración que no fue reparada en el incidente de nulidad.</w:t>
      </w:r>
    </w:p>
    <w:p w14:paraId="2980680A" w14:textId="77777777" w:rsidR="009D7677" w:rsidRDefault="009D7677" w:rsidP="009D7677">
      <w:pPr>
        <w:pStyle w:val="TextoNormal"/>
      </w:pPr>
    </w:p>
    <w:p w14:paraId="3852C82D" w14:textId="16840EF2" w:rsidR="009D7677" w:rsidRDefault="009D7677" w:rsidP="009D7677">
      <w:pPr>
        <w:pStyle w:val="TextoNormal"/>
      </w:pPr>
      <w:r>
        <w:t>En realidad, estas pretendidas infracciones del art. 24 CE están directamente vinculadas con la alegada lesión del derecho fundamental a la integridad física y moral, de la que aparecen como instrumentales, de modo que pueden recibir una respuesta conjunta en el fundamento jurídico siguiente de esta sentencia. El objeto del recurso de amparo queda, en consecuencia, constreñido a examinar si se ha producido la vulneración del derecho a la integridad física y moral (art. 15 CE), por falta de consentimiento informado de la recurrente para la inoculación de la vacuna contra la Covid-19 a sus hijos menores. Esta es la lesión constitucional que se imputa al auto dictado en apelación por la Audiencia Provincial de Vizcaya, que atribuye la facultad de decidir al progenitor favorable a la vacunación (en este caso, el padre de los menores).</w:t>
      </w:r>
    </w:p>
    <w:p w14:paraId="61E1A0FA" w14:textId="77777777" w:rsidR="009D7677" w:rsidRDefault="009D7677" w:rsidP="009D7677">
      <w:pPr>
        <w:pStyle w:val="TextoNormal"/>
      </w:pPr>
    </w:p>
    <w:p w14:paraId="730CA113" w14:textId="77777777" w:rsidR="009D7677" w:rsidRDefault="009D7677" w:rsidP="009D7677">
      <w:pPr>
        <w:pStyle w:val="TextoNormal"/>
      </w:pPr>
      <w:r w:rsidRPr="009D7677">
        <w:rPr>
          <w:rStyle w:val="NumeroAFNegritaCaracter"/>
        </w:rPr>
        <w:lastRenderedPageBreak/>
        <w:t>3</w:t>
      </w:r>
      <w:r>
        <w:t xml:space="preserve">. </w:t>
      </w:r>
      <w:r w:rsidRPr="009D7677">
        <w:rPr>
          <w:i/>
        </w:rPr>
        <w:t>Aplicación de la doctrina constitucional sentada en la STC 148/2023, de 6 de noviembre</w:t>
      </w:r>
    </w:p>
    <w:p w14:paraId="0E29BA14" w14:textId="77777777" w:rsidR="009D7677" w:rsidRDefault="009D7677" w:rsidP="009D7677">
      <w:pPr>
        <w:pStyle w:val="TextoNormal"/>
      </w:pPr>
    </w:p>
    <w:p w14:paraId="1512C92D" w14:textId="77777777" w:rsidR="009D7677" w:rsidRDefault="009D7677" w:rsidP="009D7677">
      <w:pPr>
        <w:pStyle w:val="TextoNormal"/>
      </w:pPr>
      <w:r>
        <w:t>La cuestión constitucional suscitada en este recurso en relación con el derecho fundamental a la integridad física y moral (art. 15 CE) es la misma que ya ha sido objeto de análisis por el Pleno de este tribunal en la STC 148/2023, de 6 de noviembre, en cuyos fundamentos jurídicos 4 y 5 se expusieron de manera pormenorizada las pautas de ponderación necesarias para determinar si en este tipo de supuestos se ha vulnerado el derecho a la integridad personal, centrando la cuestión en que la administración de la vacuna, a falta de consentimiento libre, válido e informado de la persona afectada, precisa para su constitucionalidad el cumplimiento de los requisitos generales que, de acuerdo con nuestra doctrina, rigen la restricción de los derechos fundamentales sustantivos.</w:t>
      </w:r>
    </w:p>
    <w:p w14:paraId="36F61981" w14:textId="77777777" w:rsidR="009D7677" w:rsidRDefault="009D7677" w:rsidP="009D7677">
      <w:pPr>
        <w:pStyle w:val="TextoNormal"/>
      </w:pPr>
    </w:p>
    <w:p w14:paraId="23A0CC51" w14:textId="77777777" w:rsidR="009D7677" w:rsidRDefault="009D7677" w:rsidP="009D7677">
      <w:pPr>
        <w:pStyle w:val="TextoNormal"/>
      </w:pPr>
      <w:r>
        <w:t>En atención a lo expuesto, en este caso, como también se concluyó en la STC 148/2023, FJ 5, el Tribunal rechaza que se haya vulnerado el derecho garantizado por el art. 15 CE, al constatarse que: (i) se cumple el presupuesto básico que el art. 9.3, letra c) de la Ley 41/2002 establece para que pueda acudirse al consentimiento por representación —otorgado por los progenitores de común acuerdo o por la autoridad judicial en caso de desacuerdo— porque los menores carecían de la capacidad emocional e intelectual necesarias para comprender el alcance la intervención y los padres contaban con la información adecuada para la prestación del consentimiento desde un momento anterior incluso a la iniciación del procedimiento de jurisdicción voluntaria, por lo que no cabe apreciar la ausencia de consentimiento informado; y (ii) la motivación de la resolución judicial impugnada tuvo como fundamento esencial la protección del interés superior de los menores en relación con la protección de su salud, teniendo en cuenta la recomendación de las autoridades sanitarias, que se mostraban a favor de la vacunación de menores haciendo una ponderación de riesgos y beneficios de la vacuna, que la Audiencia Provincial de Vizcaya no estimó desvirtuada por los informes obrantes en las actuaciones.</w:t>
      </w:r>
    </w:p>
    <w:p w14:paraId="0AEBAA85" w14:textId="77777777" w:rsidR="009D7677" w:rsidRDefault="009D7677" w:rsidP="009D7677">
      <w:pPr>
        <w:pStyle w:val="TextoNormal"/>
      </w:pPr>
    </w:p>
    <w:p w14:paraId="43E9BA2B" w14:textId="32D53BA9" w:rsidR="009D7677" w:rsidRDefault="009D7677" w:rsidP="009D7677">
      <w:pPr>
        <w:pStyle w:val="TextoNormal"/>
      </w:pPr>
      <w:r>
        <w:t>Por otra parte, la resolución sobre el fondo de este recurso implica que no resulte procedente resolver sobre la medida cautelar de suspensión solicitada por la recurrente, lo que determina que deba acordarse el archivo de la pieza separada de suspensión.</w:t>
      </w:r>
    </w:p>
    <w:p w14:paraId="7DA23B35" w14:textId="77777777" w:rsidR="009D7677" w:rsidRDefault="009D7677" w:rsidP="009D7677">
      <w:pPr>
        <w:pStyle w:val="TextoNormal"/>
      </w:pPr>
    </w:p>
    <w:p w14:paraId="60899867" w14:textId="77777777" w:rsidR="009D7677" w:rsidRDefault="009D7677" w:rsidP="009D7677">
      <w:pPr>
        <w:pStyle w:val="TextoNormalCentrado"/>
        <w:keepNext/>
      </w:pPr>
      <w:r>
        <w:t>FALLO</w:t>
      </w:r>
    </w:p>
    <w:p w14:paraId="7B21C940" w14:textId="5A328E4A" w:rsidR="009D7677" w:rsidRDefault="009D7677" w:rsidP="009D7677">
      <w:pPr>
        <w:pStyle w:val="TextoNormalCentrado"/>
        <w:keepNext/>
      </w:pPr>
    </w:p>
    <w:p w14:paraId="6DB645D0" w14:textId="04A13846" w:rsidR="009D7677" w:rsidRDefault="009D7677" w:rsidP="009D7677">
      <w:pPr>
        <w:pStyle w:val="TextoNormal"/>
      </w:pPr>
      <w:r>
        <w:t>En atención a todo lo expuesto, el Tribunal Constitucional, por la autoridad que le confiere la Constitución de la Nación española, ha decidido desestimar el recurso de amparo interpuesto por doña J.E.A., y archivar la pieza separada de suspensión.</w:t>
      </w:r>
    </w:p>
    <w:p w14:paraId="54080532" w14:textId="77777777" w:rsidR="009D7677" w:rsidRDefault="009D7677" w:rsidP="009D7677">
      <w:pPr>
        <w:pStyle w:val="TextoNormal"/>
      </w:pPr>
    </w:p>
    <w:p w14:paraId="524E7106" w14:textId="77777777" w:rsidR="009D7677" w:rsidRDefault="009D7677" w:rsidP="009D7677">
      <w:pPr>
        <w:pStyle w:val="TextoNormal"/>
      </w:pPr>
      <w:r>
        <w:t>Publíquese esta sentencia en el “Boletín Oficial del Estado”.</w:t>
      </w:r>
    </w:p>
    <w:p w14:paraId="54252CBE" w14:textId="77777777" w:rsidR="009D7677" w:rsidRDefault="009D7677" w:rsidP="009D7677">
      <w:pPr>
        <w:pStyle w:val="TextoNormal"/>
      </w:pPr>
      <w:r>
        <w:t>Dada en Madrid, a ocho de abril de dos mil veinticuatro.</w:t>
      </w:r>
    </w:p>
    <w:p w14:paraId="73A63355" w14:textId="4A0C31A6" w:rsidR="009D7677" w:rsidRDefault="009D7677">
      <w:pPr>
        <w:spacing w:after="160" w:line="259" w:lineRule="auto"/>
        <w:rPr>
          <w:rFonts w:ascii="Times New Roman" w:eastAsia="Times New Roman" w:hAnsi="Times New Roman" w:cs="Times New Roman"/>
          <w:sz w:val="24"/>
          <w:szCs w:val="24"/>
          <w:lang w:eastAsia="es-ES"/>
        </w:rPr>
      </w:pPr>
      <w:r>
        <w:br w:type="page"/>
      </w:r>
    </w:p>
    <w:p w14:paraId="39DB5005" w14:textId="77777777" w:rsidR="009D7677" w:rsidRDefault="009D7677" w:rsidP="009D7677">
      <w:pPr>
        <w:pStyle w:val="TtuloResolucin"/>
      </w:pPr>
      <w:bookmarkStart w:id="62" w:name="SENTENCIA_2024_60"/>
      <w:r>
        <w:lastRenderedPageBreak/>
        <w:t>SENTENCIA 60/2024, de 8 de abril de 2024</w:t>
      </w:r>
    </w:p>
    <w:bookmarkEnd w:id="62"/>
    <w:p w14:paraId="7778D332" w14:textId="77777777" w:rsidR="009D7677" w:rsidRDefault="009D7677" w:rsidP="009D7677">
      <w:pPr>
        <w:pStyle w:val="TtuloResolucin"/>
      </w:pPr>
      <w:r>
        <w:t>Sala Segunda</w:t>
      </w:r>
    </w:p>
    <w:p w14:paraId="68863861" w14:textId="77777777" w:rsidR="009D7677" w:rsidRDefault="009D7677" w:rsidP="009D7677">
      <w:pPr>
        <w:pStyle w:val="TtuloBOE"/>
      </w:pPr>
      <w:r>
        <w:t>(BOE núm. 118, de 15 de mayo de 2024)</w:t>
      </w:r>
    </w:p>
    <w:p w14:paraId="17312DDC" w14:textId="77777777" w:rsidR="009D7677" w:rsidRDefault="009D7677" w:rsidP="009D7677">
      <w:pPr>
        <w:pStyle w:val="TextoNormalCentrado"/>
      </w:pPr>
      <w:r>
        <w:t>ECLI:ES:TC:2024:60</w:t>
      </w:r>
    </w:p>
    <w:p w14:paraId="7B709ABF" w14:textId="29ED7F16" w:rsidR="009D7677" w:rsidRDefault="009D7677" w:rsidP="009D7677">
      <w:pPr>
        <w:pStyle w:val="TextoNormalCentrado"/>
      </w:pPr>
    </w:p>
    <w:p w14:paraId="6FE9B58F" w14:textId="77777777" w:rsidR="009D7677" w:rsidRDefault="009D7677" w:rsidP="009D7677">
      <w:pPr>
        <w:pStyle w:val="SntesisDescriptiva"/>
      </w:pPr>
      <w:r>
        <w:t>Recurso de amparo 2548-2023. Promovido por don A.C.M.R., respecto de los autos dictados por la Audiencia Provincial de Cádiz y un juzgado de primera instancia e instrucción de El Puerto de Santa María, que acordaron la administración de la vacuna frente a la covid-19.</w:t>
      </w:r>
    </w:p>
    <w:p w14:paraId="0ECF9AC2" w14:textId="784AFD70" w:rsidR="009D7677" w:rsidRDefault="009D7677" w:rsidP="009D7677">
      <w:pPr>
        <w:pStyle w:val="SntesisDescriptiva"/>
      </w:pPr>
    </w:p>
    <w:p w14:paraId="2E8896A7" w14:textId="77777777" w:rsidR="009D7677" w:rsidRDefault="009D7677" w:rsidP="009D7677">
      <w:pPr>
        <w:pStyle w:val="SntesisAnaltica"/>
      </w:pPr>
      <w:r>
        <w:t>Supuesta vulneración de los derechos a la integridad física y a la tutela judicial efectiva: STC 148/2023 [resoluciones judiciales que realizaron una ponderación adecuada de los intereses de una persona menor de edad (STC 38/2023)].</w:t>
      </w:r>
    </w:p>
    <w:p w14:paraId="4643C8AE" w14:textId="31769D98" w:rsidR="009D7677" w:rsidRDefault="009D7677" w:rsidP="009D7677">
      <w:pPr>
        <w:pStyle w:val="SntesisAnaltica"/>
      </w:pPr>
    </w:p>
    <w:p w14:paraId="16F94960" w14:textId="09246BB6" w:rsidR="009D7677" w:rsidRDefault="009D7677" w:rsidP="009D7677">
      <w:pPr>
        <w:pStyle w:val="Extracto"/>
      </w:pPr>
      <w:r>
        <w:t>1.</w:t>
      </w:r>
      <w:r>
        <w:tab/>
        <w:t xml:space="preserve">La capacidad general de autodeterminación de las personas menores de edad, en relación con las actuaciones médicas que les afectan, encuentra su límite en la protección de su interés superior, que se impone como obligación a los progenitores, en cuanto titulares de la patria potestad o autoridad familiar, y a todos los poderes públicos, incluida la autoridad judicial (STC 148/2023) </w:t>
      </w:r>
    </w:p>
    <w:p w14:paraId="4BBAA1F6" w14:textId="77777777" w:rsidR="009D7677" w:rsidRDefault="009D7677" w:rsidP="009D7677">
      <w:pPr>
        <w:pStyle w:val="Extracto"/>
      </w:pPr>
    </w:p>
    <w:p w14:paraId="3BAADBCE" w14:textId="57BD9A12" w:rsidR="009D7677" w:rsidRDefault="009D7677" w:rsidP="009D7677">
      <w:pPr>
        <w:pStyle w:val="Extracto"/>
      </w:pPr>
      <w:r>
        <w:t>2.</w:t>
      </w:r>
      <w:r>
        <w:tab/>
        <w:t xml:space="preserve">La decisión de los representantes legales relativa al otorgamiento o no del consentimiento informado por representación deberá atender a la protección del derecho a la vida, supervivencia y desarrollo del menor y la satisfacción de sus necesidades básicas, tanto materiales, físicas y educativas como emocionales y afectivas [art. 2.2, letra a) de la Ley Orgánica 1/1996]; y es preciso buscar el mayor beneficio para la vida o salud del paciente menor de edad (STC 148/2023) </w:t>
      </w:r>
    </w:p>
    <w:p w14:paraId="0757B007" w14:textId="77777777" w:rsidR="009D7677" w:rsidRDefault="009D7677" w:rsidP="009D7677">
      <w:pPr>
        <w:pStyle w:val="Extracto"/>
      </w:pPr>
    </w:p>
    <w:p w14:paraId="4C88E824" w14:textId="77777777" w:rsidR="009D7677" w:rsidRDefault="009D7677" w:rsidP="009D7677">
      <w:pPr>
        <w:pStyle w:val="Extracto"/>
      </w:pPr>
    </w:p>
    <w:p w14:paraId="202C6702" w14:textId="77777777" w:rsidR="009D7677" w:rsidRDefault="009D7677" w:rsidP="009D7677">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6868FB70" w14:textId="1F5BCF4C" w:rsidR="009D7677" w:rsidRDefault="009D7677" w:rsidP="009D7677">
      <w:pPr>
        <w:pStyle w:val="TextoNormal"/>
      </w:pPr>
    </w:p>
    <w:p w14:paraId="670FE003" w14:textId="77777777" w:rsidR="009D7677" w:rsidRDefault="009D7677" w:rsidP="009D7677">
      <w:pPr>
        <w:pStyle w:val="TextoNormalCentrado"/>
        <w:keepNext/>
      </w:pPr>
      <w:r>
        <w:t>EN NOMBRE DEL REY</w:t>
      </w:r>
    </w:p>
    <w:p w14:paraId="12906118" w14:textId="47E99542" w:rsidR="009D7677" w:rsidRDefault="009D7677" w:rsidP="009D7677">
      <w:pPr>
        <w:pStyle w:val="TextoNormalCentrado"/>
        <w:keepNext/>
      </w:pPr>
    </w:p>
    <w:p w14:paraId="30206A39" w14:textId="77777777" w:rsidR="009D7677" w:rsidRDefault="009D7677" w:rsidP="009D7677">
      <w:pPr>
        <w:pStyle w:val="TextoNormalCentrado"/>
        <w:keepNext/>
      </w:pPr>
    </w:p>
    <w:p w14:paraId="4B0D4E48" w14:textId="77777777" w:rsidR="009D7677" w:rsidRDefault="009D7677" w:rsidP="009D7677">
      <w:pPr>
        <w:pStyle w:val="TextoNormal"/>
      </w:pPr>
      <w:r>
        <w:t>la siguiente</w:t>
      </w:r>
    </w:p>
    <w:p w14:paraId="214A9D47" w14:textId="46808223" w:rsidR="009D7677" w:rsidRDefault="009D7677" w:rsidP="009D7677">
      <w:pPr>
        <w:pStyle w:val="TextoNormal"/>
      </w:pPr>
    </w:p>
    <w:p w14:paraId="775AAF4E" w14:textId="77777777" w:rsidR="009D7677" w:rsidRDefault="009D7677" w:rsidP="009D7677">
      <w:pPr>
        <w:pStyle w:val="TextoNormalCentrado"/>
        <w:keepNext/>
      </w:pPr>
      <w:r>
        <w:t>SENTENCIA</w:t>
      </w:r>
    </w:p>
    <w:p w14:paraId="315BE299" w14:textId="2D10C4CD" w:rsidR="009D7677" w:rsidRDefault="009D7677" w:rsidP="009D7677">
      <w:pPr>
        <w:pStyle w:val="TextoNormalCentrado"/>
        <w:keepNext/>
      </w:pPr>
    </w:p>
    <w:p w14:paraId="322EE104" w14:textId="77777777" w:rsidR="009D7677" w:rsidRDefault="009D7677" w:rsidP="009D7677">
      <w:pPr>
        <w:pStyle w:val="TextoNormal"/>
      </w:pPr>
      <w:r>
        <w:t>En el recurso de amparo núm. 2548-2023, promovido por don A.C.M.R., representado por la procuradora de los tribunales doña María Cristina Sosa González y asistido por la abogada doña Cristina Armas Suárez, contra el auto dictado el 24 de febrero de 2023 por la Sección Quinta de la Audiencia Provincial de Cádiz en el rollo de apelación núm. 1577-2022, que confirmó íntegramente el auto del Juzgado de Primera Instancia e Instrucción núm. 5 de El Puerto de Santa María de 22 de abril de 2022 dictado en el procedimiento de jurisdicción voluntaria de intervención judicial sobre desacuerdo en el ejercicio de la pa</w:t>
      </w:r>
      <w:r>
        <w:lastRenderedPageBreak/>
        <w:t>tria potestad núm. 835-2021. Ha comparecido doña I.P.M., representada por el procurador de los tribunales don Esteban García Castellanos y asistida por la abogada doña Gema de Vega Seijas. Ha intervenido el Ministerio Fiscal. Ha sido ponente el magistrado don Enrique Arnaldo Alcubilla.</w:t>
      </w:r>
    </w:p>
    <w:p w14:paraId="04A1697E" w14:textId="43586BDD" w:rsidR="009D7677" w:rsidRDefault="009D7677" w:rsidP="009D7677">
      <w:pPr>
        <w:pStyle w:val="TextoNormal"/>
      </w:pPr>
    </w:p>
    <w:p w14:paraId="5B85FEA1" w14:textId="77777777" w:rsidR="009D7677" w:rsidRDefault="009D7677" w:rsidP="009D7677">
      <w:pPr>
        <w:pStyle w:val="TextoNormalNegritaCentrado"/>
        <w:keepNext/>
      </w:pPr>
      <w:r>
        <w:t>I. Antecedentes</w:t>
      </w:r>
    </w:p>
    <w:p w14:paraId="500EDC88" w14:textId="652F1D5A" w:rsidR="009D7677" w:rsidRDefault="009D7677" w:rsidP="009D7677">
      <w:pPr>
        <w:pStyle w:val="TextoNormalNegritaCentrado"/>
        <w:keepNext/>
      </w:pPr>
    </w:p>
    <w:p w14:paraId="01ED0EAF" w14:textId="3655ACBA" w:rsidR="009D7677" w:rsidRDefault="009D7677" w:rsidP="009D7677">
      <w:pPr>
        <w:pStyle w:val="TextoNormal"/>
      </w:pPr>
      <w:r w:rsidRPr="009D7677">
        <w:rPr>
          <w:rStyle w:val="NumeroAFNegritaCaracter"/>
        </w:rPr>
        <w:t>1</w:t>
      </w:r>
      <w:r>
        <w:t>. Mediante escrito que tuvo entrada en el registro general de este tribunal el 17 de abril de 2023, la procuradora de los tribunales doña María Cristina Sosa González, en nombre y representación de don A.C.M.R., interpuso recurso de amparo contra las resoluciones judiciales que se citan en el encabezamiento.</w:t>
      </w:r>
    </w:p>
    <w:p w14:paraId="4186CFDA" w14:textId="77777777" w:rsidR="009D7677" w:rsidRDefault="009D7677" w:rsidP="009D7677">
      <w:pPr>
        <w:pStyle w:val="TextoNormal"/>
      </w:pPr>
    </w:p>
    <w:p w14:paraId="1B826BF6" w14:textId="77777777" w:rsidR="009D7677" w:rsidRDefault="009D7677" w:rsidP="009D7677">
      <w:pPr>
        <w:pStyle w:val="TextoNormal"/>
      </w:pPr>
      <w:r w:rsidRPr="009D7677">
        <w:rPr>
          <w:rStyle w:val="NumeroAFNegritaCaracter"/>
        </w:rPr>
        <w:t>2</w:t>
      </w:r>
      <w:r>
        <w:t>. Los hechos de los que trae causa la demanda, relevantes para la resolución del recurso, son, en síntesis, los siguientes:</w:t>
      </w:r>
    </w:p>
    <w:p w14:paraId="13828EA3" w14:textId="77777777" w:rsidR="009D7677" w:rsidRDefault="009D7677" w:rsidP="009D7677">
      <w:pPr>
        <w:pStyle w:val="TextoNormal"/>
      </w:pPr>
    </w:p>
    <w:p w14:paraId="4B483BFD" w14:textId="77777777" w:rsidR="009D7677" w:rsidRDefault="009D7677" w:rsidP="009D7677">
      <w:pPr>
        <w:pStyle w:val="TextoNormal"/>
      </w:pPr>
      <w:r>
        <w:t>a) Doña I.P.M., solicitó la intervención judicial por desacuerdo de los progenitores en el ejercicio de la patria potestad al amparo del art. 86.1 de la Ley 15/2015, de 2 de julio, de la jurisdicción voluntaria, y el art. 156, párrafo tercero, del Código civil, ante la negativa del padre, don A.C.M.R., para la inoculación de la vacuna contra el covid-19 al hijo de ambos litigantes, de once años de edad en el momento de la petición.</w:t>
      </w:r>
    </w:p>
    <w:p w14:paraId="79DD40E7" w14:textId="77777777" w:rsidR="009D7677" w:rsidRDefault="009D7677" w:rsidP="009D7677">
      <w:pPr>
        <w:pStyle w:val="TextoNormal"/>
      </w:pPr>
    </w:p>
    <w:p w14:paraId="60796645" w14:textId="77777777" w:rsidR="009D7677" w:rsidRDefault="009D7677" w:rsidP="009D7677">
      <w:pPr>
        <w:pStyle w:val="TextoNormal"/>
      </w:pPr>
      <w:r>
        <w:t>b) Mediante decreto de 25 de noviembre de 2021 del Juzgado de Primera Instancia e Instrucción núm. 4 de El Puerto de Santa María se admitió la solicitud y se acordó citar a las partes para la celebración de la comparecencia el 16 de diciembre de 2021. Por diligencia de ordenación de 16 de diciembre de 2021 se acordó suspender la vista señalada y en nueva diligencia de ordenación de 28 de diciembre de 2021 se acordó citar a las partes y al Ministerio Fiscal para la celebración de la comparecencia el 2 de febrero de 2022.</w:t>
      </w:r>
    </w:p>
    <w:p w14:paraId="5F972237" w14:textId="77777777" w:rsidR="009D7677" w:rsidRDefault="009D7677" w:rsidP="009D7677">
      <w:pPr>
        <w:pStyle w:val="TextoNormal"/>
      </w:pPr>
    </w:p>
    <w:p w14:paraId="73A7942A" w14:textId="77777777" w:rsidR="009D7677" w:rsidRDefault="009D7677" w:rsidP="009D7677">
      <w:pPr>
        <w:pStyle w:val="TextoNormal"/>
      </w:pPr>
      <w:r>
        <w:t>c) Don A.C.M.R., formuló oposición a la solicitud presentada y alegó, en esencia, la ausencia de evidencia médico-científica que justificara la inoculación de los medicamentos de terapia génica para el covid-19 en menores, atendiendo a la ausencia de gravedad de esa enfermedad en estos, en los que la tasa de mortalidad y de hospitalización es muy baja, y a los efectos adversos que puede llevar aparejada la vacuna, que pueden ser muy superiores a los derivados de la ausencia de vacunación. Añadió que la situación epidemiológica no era tan grave como la del año anterior.</w:t>
      </w:r>
    </w:p>
    <w:p w14:paraId="40875A23" w14:textId="77777777" w:rsidR="009D7677" w:rsidRDefault="009D7677" w:rsidP="009D7677">
      <w:pPr>
        <w:pStyle w:val="TextoNormal"/>
      </w:pPr>
    </w:p>
    <w:p w14:paraId="0F40EA1C" w14:textId="77777777" w:rsidR="009D7677" w:rsidRDefault="009D7677" w:rsidP="009D7677">
      <w:pPr>
        <w:pStyle w:val="TextoNormal"/>
      </w:pPr>
      <w:r>
        <w:t>Por su parte, el Ministerio Fiscal interesó la autorización para la administración de la vacuna, al entender que era la decisión más adecuada para la salud del menor en atención a las recomendaciones de las autoridades sanitarias.</w:t>
      </w:r>
    </w:p>
    <w:p w14:paraId="6F3CFA42" w14:textId="77777777" w:rsidR="009D7677" w:rsidRDefault="009D7677" w:rsidP="009D7677">
      <w:pPr>
        <w:pStyle w:val="TextoNormal"/>
      </w:pPr>
    </w:p>
    <w:p w14:paraId="0A23EB2F" w14:textId="77777777" w:rsidR="009D7677" w:rsidRDefault="009D7677" w:rsidP="009D7677">
      <w:pPr>
        <w:pStyle w:val="TextoNormal"/>
      </w:pPr>
      <w:r>
        <w:t>d) El 22 de abril de 2022 el Juzgado de Primera Instancia núm. 5 de El Puerto de Santa María dictó auto en el que estimó la petición de doña I.P.M., y le atribuyó la facultad de decidir sobre la inoculación de la vacuna al hijo menor de la pareja. El órgano judicial realiza un juicio de ponderación de los riesgos y beneficios de la vacuna y, tras reflejar que no existe unanimidad sobre los posibles efectos adversos, se decanta por la conveniencia de la vacunación en atención a las recomendaciones de las autoridades sanitarias, en especial del Ministerio de Sanidad y de la Agencia Europea de Medicamentos, así co</w:t>
      </w:r>
      <w:r>
        <w:lastRenderedPageBreak/>
        <w:t>mo de la Asociación Española de Pediatría. Considera el juzgado que, por todo ello, la postura de la madre, favorable a la vacunación, es más respetuosa con el interés superior del menor.</w:t>
      </w:r>
    </w:p>
    <w:p w14:paraId="30794D48" w14:textId="77777777" w:rsidR="009D7677" w:rsidRDefault="009D7677" w:rsidP="009D7677">
      <w:pPr>
        <w:pStyle w:val="TextoNormal"/>
      </w:pPr>
    </w:p>
    <w:p w14:paraId="18166FE6" w14:textId="77777777" w:rsidR="009D7677" w:rsidRDefault="009D7677" w:rsidP="009D7677">
      <w:pPr>
        <w:pStyle w:val="TextoNormal"/>
      </w:pPr>
      <w:r>
        <w:t>e) Don A.C.M.R., interpuso recurso de apelación contra dicho auto, alegando la vulneración del derecho a la tutela judicial efectiva (art. 24.1 CE), por error en la valoración de la prueba y ausencia de un razonamiento lógico en la resolución judicial en relación con los riesgos y beneficios de la vacuna en menores de edad y los posibles efectos adversos. Invocó asimismo la vulneración del derecho a la integridad física y moral (art. 15 CE), por la falta de consentimiento informado en relación con la Ley 41/2002, de 14 de noviembre, básica reguladora de la autonomía del paciente y de derechos y obligaciones en materia de información y documentación clínica, y añadió que la vacuna se encuentra en fase de ensayo, por lo que no hay certeza de su eficacia y aumentan los riesgos imprevisibles, con la relevancia de que el consentimiento informado en el ámbito sanitario está especialmente destinado a evitar la materialización de riesgos, sin olvidar que el ejercicio de autodeterminación que tiene por objeto el propio sustrato corporal impide una actuación médica o tratamiento cuando no sean constitucionalmente obligatorios. En definitiva, el consentimiento informado es un mecanismo de garantía para la efectividad del principio de autonomía de la voluntad del paciente. Añadió que la vacuna no había sido prescrita por ningún pediatra mediante la correspondiente receta y que se producía la infracción del Convenio de Oviedo de 4 de abril de 1997, relativo a los derechos humanos y la biomedicina.</w:t>
      </w:r>
    </w:p>
    <w:p w14:paraId="4986E385" w14:textId="77777777" w:rsidR="009D7677" w:rsidRDefault="009D7677" w:rsidP="009D7677">
      <w:pPr>
        <w:pStyle w:val="TextoNormal"/>
      </w:pPr>
    </w:p>
    <w:p w14:paraId="7A1F85AB" w14:textId="77777777" w:rsidR="009D7677" w:rsidRDefault="009D7677" w:rsidP="009D7677">
      <w:pPr>
        <w:pStyle w:val="TextoNormal"/>
      </w:pPr>
      <w:r>
        <w:t>f) La representación procesal de doña I.P.M., presentó escrito en el que formuló oposición al recurso de apelación, con análisis de la Ley 41/2002 y los requisitos para el consentimiento informado. Enfatizó la importancia de atender al interés superior del niño y alegó que el padre se opone sistemáticamente a cualquier cuestión relacionada con su bienestar. Destacó el bajo riesgo de reacción a la vacuna contra el covid-19, especialmente en los menores, aludió a las recomendaciones de la Agencia Europea de Medicamentos y de la Agencia Española de Medicamentos y Productos Sanitarios, y sostuvo que los beneficios de la administración de la vacuna superarían con creces los riesgos constatados hasta este momento, para concluir que la inoculación de la vacuna parece la única alternativa eficaz frente al riesgo real de desarrollar la enfermedad.</w:t>
      </w:r>
    </w:p>
    <w:p w14:paraId="183EDE8D" w14:textId="77777777" w:rsidR="009D7677" w:rsidRDefault="009D7677" w:rsidP="009D7677">
      <w:pPr>
        <w:pStyle w:val="TextoNormal"/>
      </w:pPr>
    </w:p>
    <w:p w14:paraId="4A0FDFC2" w14:textId="77777777" w:rsidR="009D7677" w:rsidRDefault="009D7677" w:rsidP="009D7677">
      <w:pPr>
        <w:pStyle w:val="TextoNormal"/>
      </w:pPr>
      <w:r>
        <w:t>g) El Ministerio Fiscal impugnó el recurso de apelación y recordó la relevancia del interés superior del menor en cualquier decisión que afecte a su salud. Analizó los requisitos de la Ley 41/2002 en relación con el consentimiento informado y los menores y señaló que, hasta el momento, la vacuna contra el covid-19 es la única alternativa para superar la pandemia y que la autorización de las vacunas por la Agencia Europea de Medicamentos y la Agencia Española de Medicamentos y Productos Sanitarios permite suponer que se han elaborado con las máximas garantías de calidad, seguridad y eficacia y que por ello mismo los beneficios de su administración superan notoriamente los riesgos. Resaltó que el Ministerio de Sanidad y las distintas consejerías de salud autonómicas abogan por la vacunación de la población infantil y, por último, que los argumentos de la resolución recurrida son de peso y las alegaciones del recurrente ya fueron analizadas en el procedimiento de instancia y debidamente rechazadas por el órgano judicial.</w:t>
      </w:r>
    </w:p>
    <w:p w14:paraId="70EDC52D" w14:textId="77777777" w:rsidR="009D7677" w:rsidRDefault="009D7677" w:rsidP="009D7677">
      <w:pPr>
        <w:pStyle w:val="TextoNormal"/>
      </w:pPr>
    </w:p>
    <w:p w14:paraId="2620CD08" w14:textId="0EE74670" w:rsidR="009D7677" w:rsidRDefault="009D7677" w:rsidP="009D7677">
      <w:pPr>
        <w:pStyle w:val="TextoNormal"/>
      </w:pPr>
      <w:r>
        <w:t xml:space="preserve">h) La Sección Quinta de la Audiencia Provincial de Cádiz dictó auto el 24 de febrero de 2023 en el que desestimó el recurso de apelación. En la resolución judicial se razona que </w:t>
      </w:r>
      <w:r>
        <w:lastRenderedPageBreak/>
        <w:t>el objeto de la controversia no es disponer sobre la vacunación sino atribuir a uno de los progenitores la facultad de decidir, en atención al interés superior del menor. Asimismo, razona que la prueba fue correctamente valorada y ponderada por el juzgado y considera que de los criterios del Ministerio de Sanidad y de la Asociación Española de Pediatría acerca de la vacuna en menores se deduce que la misma es beneficiosa para el niño (además de serlo para toda la sociedad en evitación de futuros contagios), a lo que debe añadirse que ha sido autorizada por la Agencia Europea de Medicamentos.</w:t>
      </w:r>
    </w:p>
    <w:p w14:paraId="00DFA5A9" w14:textId="77777777" w:rsidR="009D7677" w:rsidRDefault="009D7677" w:rsidP="009D7677">
      <w:pPr>
        <w:pStyle w:val="TextoNormal"/>
      </w:pPr>
    </w:p>
    <w:p w14:paraId="35CC3AE7" w14:textId="77777777" w:rsidR="009D7677" w:rsidRDefault="009D7677" w:rsidP="009D7677">
      <w:pPr>
        <w:pStyle w:val="TextoNormal"/>
      </w:pPr>
      <w:r w:rsidRPr="009D7677">
        <w:rPr>
          <w:rStyle w:val="NumeroAFNegritaCaracter"/>
        </w:rPr>
        <w:t>3</w:t>
      </w:r>
      <w:r>
        <w:t>. La recurrente denuncia que se le han vulnerado los siguientes derechos fundamentales:</w:t>
      </w:r>
    </w:p>
    <w:p w14:paraId="52B46C4C" w14:textId="77777777" w:rsidR="009D7677" w:rsidRDefault="009D7677" w:rsidP="009D7677">
      <w:pPr>
        <w:pStyle w:val="TextoNormal"/>
      </w:pPr>
    </w:p>
    <w:p w14:paraId="26A78481" w14:textId="77777777" w:rsidR="009D7677" w:rsidRDefault="009D7677" w:rsidP="009D7677">
      <w:pPr>
        <w:pStyle w:val="TextoNormal"/>
      </w:pPr>
      <w:r>
        <w:t>(i) El derecho a la integridad física y moral (art. 15.1 CE), porque no se recabó el consentimiento informado ni del menor ni de sus progenitores. Argumenta que el consentimiento informado del paciente es un derecho reconocido en la Ley 41/2002, de 14 de noviembre, básica reguladora de la autonomía del paciente y de derechos y obligaciones en materia de información y documentación clínica, en el art. 3.2 a), de la Carta de los derechos fundamentales de la Unión Europea y en el Convenio relativo a los derechos humanos y la biomedicina, hecho en Oviedo el 4 de abril de 1997, y que queda asimismo amparado en el art. 8 del Convenio europeo para la protección de los derechos humanos y de las libertades fundamentales como aspecto del derecho a la vida privada y familiar reconocido en dicho precepto, conforme a la jurisprudencia del Tribunal Europeo de Derechos Humanos. Invoca asimismo la doctrina constitucional, que relaciona el consentimiento informado con el derecho de la persona a la integridad física y moral, entendido como derecho a rechazar intervenciones que afecten a su incolumidad corporal.</w:t>
      </w:r>
    </w:p>
    <w:p w14:paraId="3BC0167E" w14:textId="77777777" w:rsidR="009D7677" w:rsidRDefault="009D7677" w:rsidP="009D7677">
      <w:pPr>
        <w:pStyle w:val="TextoNormal"/>
      </w:pPr>
    </w:p>
    <w:p w14:paraId="0219CC01" w14:textId="77777777" w:rsidR="009D7677" w:rsidRDefault="009D7677" w:rsidP="009D7677">
      <w:pPr>
        <w:pStyle w:val="TextoNormal"/>
      </w:pPr>
      <w:r>
        <w:t>(ii) El derecho a la tutela judicial efectiva (art. 24.1 CE), por defectos de motivación relevantes y errores en la valoración de la prueba en las resoluciones recurridas, por cuanto los órganos judiciales han estimado la petición de la madre con el único argumento de que hay que seguir las recomendaciones genéricas de las autoridades sanitarias y las sociedades científicas, cuando lo cierto es que ante la falta absoluta de prueba que justifique la necesidad del tratamiento médico no se debió atribuir a la madre la facultad de decidir sobre la vacunación al menor. Los autos impugnados no se apoyan en argumentos científicos o jurídicos, sino en las creencias personales de los juzgadores, lo que denota falta de imparcialidad.</w:t>
      </w:r>
    </w:p>
    <w:p w14:paraId="39D48E58" w14:textId="77777777" w:rsidR="009D7677" w:rsidRDefault="009D7677" w:rsidP="009D7677">
      <w:pPr>
        <w:pStyle w:val="TextoNormal"/>
      </w:pPr>
    </w:p>
    <w:p w14:paraId="01D953E2" w14:textId="5B33262F" w:rsidR="009D7677" w:rsidRDefault="009D7677" w:rsidP="009D7677">
      <w:pPr>
        <w:pStyle w:val="TextoNormal"/>
      </w:pPr>
      <w:r>
        <w:t>En el suplico de la demanda de amparo solicita la nulidad de los autos combatidos y que se declare que en el presente caso no concurre el debido consentimiento informado por escrito a los progenitores y al menor, y que ni siquiera se ha justificado la necesidad de un tratamiento médico invasivo como es la vacuna contra el covid-19. Mediante otrosí se solicitó también la suspensión cautelar de los autos impugnados.</w:t>
      </w:r>
    </w:p>
    <w:p w14:paraId="1F6F960D" w14:textId="77777777" w:rsidR="009D7677" w:rsidRDefault="009D7677" w:rsidP="009D7677">
      <w:pPr>
        <w:pStyle w:val="TextoNormal"/>
      </w:pPr>
    </w:p>
    <w:p w14:paraId="2E284625" w14:textId="77777777" w:rsidR="009D7677" w:rsidRDefault="009D7677" w:rsidP="009D7677">
      <w:pPr>
        <w:pStyle w:val="TextoNormal"/>
      </w:pPr>
      <w:r w:rsidRPr="009D7677">
        <w:rPr>
          <w:rStyle w:val="NumeroAFNegritaCaracter"/>
        </w:rPr>
        <w:t>4</w:t>
      </w:r>
      <w:r>
        <w:t>. La Sección Cuarta del Tribunal Constitucional, por providencia de 25 de septiembre de 2023, acordó admitir a trámite el recurso de amparo apreciando que concurre en el mismo una especial trascendencia constitucional (art. 50.1 LOTC) porque el recurso plantea un problema o afecta a una faceta de un derecho fundamental sobre el que no hay doctrina de este tribunal [STC 155/2009, de 25 de junio, FJ 2 a)] y, asimismo, porque el asunto suscitado trasciende del caso concreto porque plantea una cuestión jurídica de relevante y general repercusión social o económica [STC 155/2009, FJ 2 g)].</w:t>
      </w:r>
    </w:p>
    <w:p w14:paraId="5E9B6821" w14:textId="77777777" w:rsidR="009D7677" w:rsidRDefault="009D7677" w:rsidP="009D7677">
      <w:pPr>
        <w:pStyle w:val="TextoNormal"/>
      </w:pPr>
    </w:p>
    <w:p w14:paraId="177C5DA8" w14:textId="0F22B780" w:rsidR="009D7677" w:rsidRDefault="009D7677" w:rsidP="009D7677">
      <w:pPr>
        <w:pStyle w:val="TextoNormal"/>
      </w:pPr>
      <w:r>
        <w:t>En la misma providencia se acordó, en aplicación de lo dispuesto en el art. 51 LOTC, dirigir atenta comunicación a la Sección Quinta de la Audiencia Provincial de Cádiz para que, en plazo no superior a diez días, remitiera certificación o fotocopia adverada de las actuaciones correspondientes al recurso de apelación 1577-2022 e, igualmente, al Juzgado de Primera Instancia e Instrucción núm. 5 de El Puerto de Santa María a fin de que, en el mismo plazo, remitiese certificación o fotocopia adverada de las actuaciones correspondientes al procedimiento de jurisdicción voluntaria núm. 835-2021, debiendo emplazar previamente a quienes hubieran sido parte en el procedimiento, excepto al recurrente en amparo, para que en el plazo de diez días pudieran comparecer en el recurso de amparo.</w:t>
      </w:r>
    </w:p>
    <w:p w14:paraId="3E9513F7" w14:textId="77777777" w:rsidR="009D7677" w:rsidRDefault="009D7677" w:rsidP="009D7677">
      <w:pPr>
        <w:pStyle w:val="TextoNormal"/>
      </w:pPr>
    </w:p>
    <w:p w14:paraId="5E30FEBD" w14:textId="77777777" w:rsidR="009D7677" w:rsidRDefault="009D7677" w:rsidP="009D7677">
      <w:pPr>
        <w:pStyle w:val="TextoNormal"/>
      </w:pPr>
      <w:r w:rsidRPr="009D7677">
        <w:rPr>
          <w:rStyle w:val="NumeroAFNegritaCaracter"/>
        </w:rPr>
        <w:t>5</w:t>
      </w:r>
      <w:r>
        <w:t>. Mediante providencia de 25 de septiembre de 2023 se acordó también la formación de la pieza separada de suspensión, con inicio de su tramitación de conformidad con lo previsto en el art. 56 LOTC. En la misma resolución se acordó librar oficio a la Dirección General de Salud Pública de la Junta de Andalucía a fin de que informase sobre si consta la administración de la vacuna contra el covid-19 al hijo del recurrente y, en su caso, la fecha en la que se suministró la vacuna.</w:t>
      </w:r>
    </w:p>
    <w:p w14:paraId="3A8B884A" w14:textId="77777777" w:rsidR="009D7677" w:rsidRDefault="009D7677" w:rsidP="009D7677">
      <w:pPr>
        <w:pStyle w:val="TextoNormal"/>
      </w:pPr>
    </w:p>
    <w:p w14:paraId="4858B3E0" w14:textId="77777777" w:rsidR="009D7677" w:rsidRDefault="009D7677" w:rsidP="009D7677">
      <w:pPr>
        <w:pStyle w:val="TextoNormal"/>
      </w:pPr>
      <w:r>
        <w:t>El 5 de octubre de 2023 tuvo entrada en el registro del Tribunal el oficio remitido por la Consejería de Salud y Consumo de la Junta de Andalucía al que se adjunta certificación en la que figura que el menor no consta como vacunado.</w:t>
      </w:r>
    </w:p>
    <w:p w14:paraId="3526BF16" w14:textId="77777777" w:rsidR="009D7677" w:rsidRDefault="009D7677" w:rsidP="009D7677">
      <w:pPr>
        <w:pStyle w:val="TextoNormal"/>
      </w:pPr>
    </w:p>
    <w:p w14:paraId="44516D7E" w14:textId="34C61BDA" w:rsidR="009D7677" w:rsidRDefault="009D7677" w:rsidP="009D7677">
      <w:pPr>
        <w:pStyle w:val="TextoNormal"/>
      </w:pPr>
      <w:r>
        <w:t>El 6 de octubre de 2023 la Sección Cuarta del Tribunal dictó providencia en la que acordó conferir traslado de la anterior certificación al Ministerio Fiscal y al recurrente por término de tres días, para que procediesen a informar sobre la suspensión solicitada. El trámite fue cumplimentado únicamente por el fiscal, que interesó la denegación de la medida de suspensión, puesto que “cualquier pronunciamiento cautelar que este tribunal pudiera hacer en favor de la suspensión solicitada significaría entrar anticipadamente en el debate de fondo de la pretensión de amparo”.</w:t>
      </w:r>
    </w:p>
    <w:p w14:paraId="13932626" w14:textId="77777777" w:rsidR="009D7677" w:rsidRDefault="009D7677" w:rsidP="009D7677">
      <w:pPr>
        <w:pStyle w:val="TextoNormal"/>
      </w:pPr>
    </w:p>
    <w:p w14:paraId="0B493591" w14:textId="1298BE24" w:rsidR="009D7677" w:rsidRDefault="009D7677" w:rsidP="009D7677">
      <w:pPr>
        <w:pStyle w:val="TextoNormal"/>
      </w:pPr>
      <w:r w:rsidRPr="009D7677">
        <w:rPr>
          <w:rStyle w:val="NumeroAFNegritaCaracter"/>
        </w:rPr>
        <w:t>6</w:t>
      </w:r>
      <w:r>
        <w:t>. El 24 de noviembre de 2023 se registró escrito en este tribunal en el que el procurador don Esteban Manuel García Castellano expresó su voluntad de personarse en el recurso de amparo en nombre y representación de doña I.P.M.</w:t>
      </w:r>
    </w:p>
    <w:p w14:paraId="412197A1" w14:textId="77777777" w:rsidR="009D7677" w:rsidRDefault="009D7677" w:rsidP="009D7677">
      <w:pPr>
        <w:pStyle w:val="TextoNormal"/>
      </w:pPr>
    </w:p>
    <w:p w14:paraId="0B7C4057" w14:textId="7542AD39" w:rsidR="009D7677" w:rsidRDefault="009D7677" w:rsidP="009D7677">
      <w:pPr>
        <w:pStyle w:val="TextoNormal"/>
      </w:pPr>
      <w:r w:rsidRPr="009D7677">
        <w:rPr>
          <w:rStyle w:val="NumeroAFNegritaCaracter"/>
        </w:rPr>
        <w:t>7</w:t>
      </w:r>
      <w:r>
        <w:t>. Por diligencia de ordenación de la Secretaría de Justicia de la Sala Segunda de este tribunal de 27 de noviembre de 2023 se acordó tener por personado y parte en el procedimiento al procurador don Esteban Manuel García Castellano en la representación que ostenta y, asimismo, a tenor de lo dispuesto en el art. 52.1 LOTC, se acordó dar vista de las actuaciones recibidas, por un plazo común de veinte días, al Ministerio Fiscal y a las partes personadas, para que dentro de dicho término pudieran presentar las alegaciones que a su derecho conviniesen.</w:t>
      </w:r>
    </w:p>
    <w:p w14:paraId="014FC1E1" w14:textId="77777777" w:rsidR="009D7677" w:rsidRDefault="009D7677" w:rsidP="009D7677">
      <w:pPr>
        <w:pStyle w:val="TextoNormal"/>
      </w:pPr>
    </w:p>
    <w:p w14:paraId="48178A55" w14:textId="4766EEB7" w:rsidR="009D7677" w:rsidRDefault="009D7677" w:rsidP="009D7677">
      <w:pPr>
        <w:pStyle w:val="TextoNormal"/>
      </w:pPr>
      <w:r w:rsidRPr="009D7677">
        <w:rPr>
          <w:rStyle w:val="NumeroAFNegritaCaracter"/>
        </w:rPr>
        <w:t>8</w:t>
      </w:r>
      <w:r>
        <w:t xml:space="preserve">. El 15 de enero de 2024 se registró en el Tribunal Constitucional escrito de alegaciones presentado por la representación procesal de doña I.P.M., en el que manifiesta su oposición al recurso de amparo y alega que la falta de vacunación supone un riesgo igual o posiblemente mayor que recibir la inoculación, pues dejaría al cuerpo del menor indefenso ante el virus, al no existir otros tratamientos eficaces que sean menos invasivos. Sostiene </w:t>
      </w:r>
      <w:r>
        <w:lastRenderedPageBreak/>
        <w:t>que la vacunación es más respetuosa con el superior interés del menor, tal y como han entendido los órganos judiciales y la Fiscalía, y que el padre se viene oponiendo a cualquier decisión que sea beneficiosa para el menor por el conflicto familiar existente. Añade que es un hecho notorio que la vacuna ha sido aprobada por la Agencia Europea de Medicamentos y por la Agencia Española de Medicamentos y Productos Sanitarios, lo que permite suponer que se ha elaborado con las máximas garantías de calidad, seguridad y eficacia.</w:t>
      </w:r>
    </w:p>
    <w:p w14:paraId="128E6880" w14:textId="77777777" w:rsidR="009D7677" w:rsidRDefault="009D7677" w:rsidP="009D7677">
      <w:pPr>
        <w:pStyle w:val="TextoNormal"/>
      </w:pPr>
    </w:p>
    <w:p w14:paraId="30406DBE" w14:textId="77777777" w:rsidR="009D7677" w:rsidRDefault="009D7677" w:rsidP="009D7677">
      <w:pPr>
        <w:pStyle w:val="TextoNormal"/>
      </w:pPr>
      <w:r w:rsidRPr="009D7677">
        <w:rPr>
          <w:rStyle w:val="NumeroAFNegritaCaracter"/>
        </w:rPr>
        <w:t>9</w:t>
      </w:r>
      <w:r>
        <w:t>. Por escrito registrado en el Tribunal el 31 de enero de 2024, el Ministerio Fiscal solicitó la desestimación íntegra del recurso de amparo.</w:t>
      </w:r>
    </w:p>
    <w:p w14:paraId="6145F0A3" w14:textId="77777777" w:rsidR="009D7677" w:rsidRDefault="009D7677" w:rsidP="009D7677">
      <w:pPr>
        <w:pStyle w:val="TextoNormal"/>
      </w:pPr>
    </w:p>
    <w:p w14:paraId="4D5736D1" w14:textId="77777777" w:rsidR="009D7677" w:rsidRDefault="009D7677" w:rsidP="009D7677">
      <w:pPr>
        <w:pStyle w:val="TextoNormal"/>
      </w:pPr>
      <w:r>
        <w:t>Advierte con carácter previo que el recurrente alega, como núcleo central de su pretensión, la vulneración del derecho a la integridad personal (art. 15 CE), de modo que las quejas planteadas bajo la cobertura del art. 24.1 CE pueden recibir una respuesta conjunta, dado que son instrumentales de aquella, sin perjuicio de que la censura por falta de imparcialidad en ningún caso fue invocada tempestivamente en la vía judicial.</w:t>
      </w:r>
    </w:p>
    <w:p w14:paraId="7216F188" w14:textId="77777777" w:rsidR="009D7677" w:rsidRDefault="009D7677" w:rsidP="009D7677">
      <w:pPr>
        <w:pStyle w:val="TextoNormal"/>
      </w:pPr>
    </w:p>
    <w:p w14:paraId="7CE47794" w14:textId="7042C48E" w:rsidR="009D7677" w:rsidRDefault="009D7677" w:rsidP="009D7677">
      <w:pPr>
        <w:pStyle w:val="TextoNormal"/>
      </w:pPr>
      <w:r>
        <w:t>La cuestión planteada en el recurso de amparo se ciñe, pues, a la pretendida vulneración del derecho fundamental a la integridad física y moral (art. 15 CE), resultando de aplicación al caso los razonamientos contenidos en los fundamentos 4 y 5 de la STC 148/2023, de 6 de noviembre, sobre la vacunación de menores y la imposibilidad de que estos puedan prestar un consentimiento informado, lo que permite descartar la existencia de vulneración. En este caso el menor, de once años en el momento de la solicitud, carecía de la capacidad emocional e intelectual necesarias para comprender el alcance de la intervención, y los padres contaban con la información adecuada para la prestación del consentimiento desde un momento anterior, incluso, a la iniciación del procedimiento de jurisdicción voluntaria, por lo que no cabe apreciar la ausencia de consentimiento informado. La motivación de las resoluciones judiciales tuvo como fundamento esencial la protección del interés superior del menor, teniendo en cuenta las recomendaciones de las autoridades sanitarias, que se mostraban a favor de la vacunación de menores haciendo una ponderación de riesgos y beneficios de la vacuna, que los órganos judiciales no han estimado desvirtuada por los informes aportados por el recurrente, sin que se haya acreditado tampoco contraindicación alguna para la vacunación del hijo común de ambos progenitores.</w:t>
      </w:r>
    </w:p>
    <w:p w14:paraId="3790CE68" w14:textId="77777777" w:rsidR="009D7677" w:rsidRDefault="009D7677" w:rsidP="009D7677">
      <w:pPr>
        <w:pStyle w:val="TextoNormal"/>
      </w:pPr>
    </w:p>
    <w:p w14:paraId="67FCD375" w14:textId="69491D32" w:rsidR="009D7677" w:rsidRDefault="009D7677" w:rsidP="009D7677">
      <w:pPr>
        <w:pStyle w:val="TextoNormal"/>
      </w:pPr>
      <w:r w:rsidRPr="009D7677">
        <w:rPr>
          <w:rStyle w:val="NumeroAFNegritaCaracter"/>
        </w:rPr>
        <w:t>10</w:t>
      </w:r>
      <w:r>
        <w:t>. La representación procesal del recurrente en amparo no presentó escrito de alegaciones.</w:t>
      </w:r>
    </w:p>
    <w:p w14:paraId="439E77FE" w14:textId="77777777" w:rsidR="009D7677" w:rsidRDefault="009D7677" w:rsidP="009D7677">
      <w:pPr>
        <w:pStyle w:val="TextoNormal"/>
      </w:pPr>
    </w:p>
    <w:p w14:paraId="6B364853" w14:textId="1C817DAF" w:rsidR="009D7677" w:rsidRDefault="009D7677" w:rsidP="009D7677">
      <w:pPr>
        <w:pStyle w:val="TextoNormal"/>
      </w:pPr>
      <w:r w:rsidRPr="009D7677">
        <w:rPr>
          <w:rStyle w:val="NumeroAFNegritaCaracter"/>
        </w:rPr>
        <w:t>11</w:t>
      </w:r>
      <w:r>
        <w:t>. Por providencia de 4 de abril de 2024 se señaló para deliberación y votación de la presente sentencia el día 8 del mismo mes y año.</w:t>
      </w:r>
    </w:p>
    <w:p w14:paraId="7E0CFA1D" w14:textId="77777777" w:rsidR="009D7677" w:rsidRDefault="009D7677" w:rsidP="009D7677">
      <w:pPr>
        <w:pStyle w:val="TextoNormal"/>
      </w:pPr>
    </w:p>
    <w:p w14:paraId="795D4EF1" w14:textId="77777777" w:rsidR="009D7677" w:rsidRDefault="009D7677" w:rsidP="009D7677">
      <w:pPr>
        <w:pStyle w:val="TextoNormalNegritaCentrado"/>
        <w:keepNext/>
      </w:pPr>
      <w:r>
        <w:t>II. Fundamentos jurídicos</w:t>
      </w:r>
    </w:p>
    <w:p w14:paraId="16EF1EE9" w14:textId="6E8181CC" w:rsidR="009D7677" w:rsidRDefault="009D7677" w:rsidP="009D7677">
      <w:pPr>
        <w:pStyle w:val="TextoNormalNegritaCentrado"/>
        <w:keepNext/>
      </w:pPr>
    </w:p>
    <w:p w14:paraId="20F6BE9C" w14:textId="77777777" w:rsidR="009D7677" w:rsidRDefault="009D7677" w:rsidP="009D7677">
      <w:pPr>
        <w:pStyle w:val="TextoNormal"/>
      </w:pPr>
      <w:r w:rsidRPr="009D7677">
        <w:rPr>
          <w:rStyle w:val="NumeroAFNegritaCaracter"/>
        </w:rPr>
        <w:t>1</w:t>
      </w:r>
      <w:r>
        <w:t xml:space="preserve">. </w:t>
      </w:r>
      <w:r w:rsidRPr="009D7677">
        <w:rPr>
          <w:i/>
        </w:rPr>
        <w:t>Objeto del recurso</w:t>
      </w:r>
    </w:p>
    <w:p w14:paraId="23E9EA28" w14:textId="77777777" w:rsidR="009D7677" w:rsidRDefault="009D7677" w:rsidP="009D7677">
      <w:pPr>
        <w:pStyle w:val="TextoNormal"/>
      </w:pPr>
    </w:p>
    <w:p w14:paraId="7AAC9FD7" w14:textId="77777777" w:rsidR="009D7677" w:rsidRDefault="009D7677" w:rsidP="009D7677">
      <w:pPr>
        <w:pStyle w:val="TextoNormal"/>
      </w:pPr>
      <w:r>
        <w:t xml:space="preserve">El presente recurso de amparo se dirige contra el auto de 22 de abril de 2022 del Juzgado de Primera Instancia núm. 5 de El Puerto de Santa María, dictado en el procedimiento </w:t>
      </w:r>
      <w:r>
        <w:lastRenderedPageBreak/>
        <w:t>de jurisdicción voluntaria núm. 835-2021, que atribuyó a doña I.P.M., la facultad de decidir sobre la administración de la vacuna frente al covid-19 a su hijo menor de edad, y contra el auto de 24 de febrero de 2023 dictado por la Sección Quinta de la Audiencia Provincial de Cádiz en el rollo de apelación núm. 1577-2022, confirmatorio del anterior.</w:t>
      </w:r>
    </w:p>
    <w:p w14:paraId="122135B6" w14:textId="77777777" w:rsidR="009D7677" w:rsidRDefault="009D7677" w:rsidP="009D7677">
      <w:pPr>
        <w:pStyle w:val="TextoNormal"/>
      </w:pPr>
    </w:p>
    <w:p w14:paraId="218CA9B3" w14:textId="7821B70C" w:rsidR="009D7677" w:rsidRDefault="009D7677" w:rsidP="009D7677">
      <w:pPr>
        <w:pStyle w:val="TextoNormal"/>
      </w:pPr>
      <w:r>
        <w:t>Dada la naturaleza de los hechos, debe señalarse que,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 27 de julio de 2015), la presente sentencia y demás actuaciones del proceso no incluyen la identificación completa de la persona menor de edad afectada ni la de sus parientes inmediatos que aparecen mencionados en las actuaciones, con el fin de proteger la intimidad de aquellas.</w:t>
      </w:r>
    </w:p>
    <w:p w14:paraId="62B161CC" w14:textId="77777777" w:rsidR="009D7677" w:rsidRDefault="009D7677" w:rsidP="009D7677">
      <w:pPr>
        <w:pStyle w:val="TextoNormal"/>
      </w:pPr>
    </w:p>
    <w:p w14:paraId="7AE7A3A5" w14:textId="77777777" w:rsidR="009D7677" w:rsidRDefault="009D7677" w:rsidP="009D7677">
      <w:pPr>
        <w:pStyle w:val="TextoNormal"/>
      </w:pPr>
      <w:r w:rsidRPr="009D7677">
        <w:rPr>
          <w:rStyle w:val="NumeroAFNegritaCaracter"/>
        </w:rPr>
        <w:t>2</w:t>
      </w:r>
      <w:r>
        <w:t xml:space="preserve">. </w:t>
      </w:r>
      <w:r w:rsidRPr="009D7677">
        <w:rPr>
          <w:i/>
        </w:rPr>
        <w:t>Cuestiones previas y delimitación de los derechos fundamentales concernidos</w:t>
      </w:r>
    </w:p>
    <w:p w14:paraId="2E34D13F" w14:textId="77777777" w:rsidR="009D7677" w:rsidRDefault="009D7677" w:rsidP="009D7677">
      <w:pPr>
        <w:pStyle w:val="TextoNormal"/>
      </w:pPr>
    </w:p>
    <w:p w14:paraId="73C6A5FA" w14:textId="77777777" w:rsidR="009D7677" w:rsidRDefault="009D7677" w:rsidP="009D7677">
      <w:pPr>
        <w:pStyle w:val="TextoNormal"/>
      </w:pPr>
      <w:r>
        <w:t>Con carácter previo al examen de las cuestiones de fondo planteadas en la demanda de amparo, debe hacerse la siguiente precisión.</w:t>
      </w:r>
    </w:p>
    <w:p w14:paraId="202F4A09" w14:textId="77777777" w:rsidR="009D7677" w:rsidRDefault="009D7677" w:rsidP="009D7677">
      <w:pPr>
        <w:pStyle w:val="TextoNormal"/>
      </w:pPr>
    </w:p>
    <w:p w14:paraId="0E3EA473" w14:textId="77777777" w:rsidR="009D7677" w:rsidRDefault="009D7677" w:rsidP="009D7677">
      <w:pPr>
        <w:pStyle w:val="TextoNormal"/>
      </w:pPr>
      <w:r>
        <w:t>En el recurso de amparo se alega, junto a la lesión del derecho a la integridad personal (art. 15 CE), la vulneración del derecho a la tutela judicial efectiva (art. 24.1 CE), por cuanto, en opinión del recurrente, los autos impugnados, al atribuir la facultad de decidir al progenitor favorable a la vacunación, incurren en defecto de motivación suficiente e incluyen razonamientos y afirmaciones sin sustento científico, basándose la respuesta judicial al conflicto suscitado en las creencias personales de los juzgadores, lo que denota falta de imparcialidad.</w:t>
      </w:r>
    </w:p>
    <w:p w14:paraId="3170DDC0" w14:textId="77777777" w:rsidR="009D7677" w:rsidRDefault="009D7677" w:rsidP="009D7677">
      <w:pPr>
        <w:pStyle w:val="TextoNormal"/>
      </w:pPr>
    </w:p>
    <w:p w14:paraId="3F92833B" w14:textId="3AAF7402" w:rsidR="009D7677" w:rsidRDefault="009D7677" w:rsidP="009D7677">
      <w:pPr>
        <w:pStyle w:val="TextoNormal"/>
      </w:pPr>
      <w:r>
        <w:t>En realidad, esta pretendida infracción del art. 24.1 CE está directamente vinculada con la alegada lesión del derecho fundamental a la integridad física y moral, de la que aparece como instrumental, de modo que puede recibir una respuesta conjunta en el fundamento jurídico siguiente de esta sentencia. El objeto del recurso de amparo queda, en consecuencia, constreñido a examinar si se ha producido la vulneración del derecho a la integridad física y moral (art. 15 CE), por falta de consentimiento informado del recurrente para la inoculación de la vacuna contra el covid-19 a su hijo menor. Esta es la lesión constitucional que se imputa a los autos impugnados, que atribuyen la facultad de decidir al progenitor favorable a la vacunación (en este caso, la madre de los menores).</w:t>
      </w:r>
    </w:p>
    <w:p w14:paraId="078995AB" w14:textId="77777777" w:rsidR="009D7677" w:rsidRDefault="009D7677" w:rsidP="009D7677">
      <w:pPr>
        <w:pStyle w:val="TextoNormal"/>
      </w:pPr>
    </w:p>
    <w:p w14:paraId="32F4A617" w14:textId="77777777" w:rsidR="009D7677" w:rsidRDefault="009D7677" w:rsidP="009D7677">
      <w:pPr>
        <w:pStyle w:val="TextoNormal"/>
      </w:pPr>
      <w:r w:rsidRPr="009D7677">
        <w:rPr>
          <w:rStyle w:val="NumeroAFNegritaCaracter"/>
        </w:rPr>
        <w:t>3</w:t>
      </w:r>
      <w:r>
        <w:t xml:space="preserve">. </w:t>
      </w:r>
      <w:r w:rsidRPr="009D7677">
        <w:rPr>
          <w:i/>
        </w:rPr>
        <w:t>Aplicación de la doctrina constitucional sentada en la STC 148/2023, de 6 de noviembre</w:t>
      </w:r>
    </w:p>
    <w:p w14:paraId="56D2377D" w14:textId="77777777" w:rsidR="009D7677" w:rsidRDefault="009D7677" w:rsidP="009D7677">
      <w:pPr>
        <w:pStyle w:val="TextoNormal"/>
      </w:pPr>
    </w:p>
    <w:p w14:paraId="2D567239" w14:textId="77777777" w:rsidR="009D7677" w:rsidRDefault="009D7677" w:rsidP="009D7677">
      <w:pPr>
        <w:pStyle w:val="TextoNormal"/>
      </w:pPr>
      <w:r>
        <w:t>La cuestión constitucional suscitada en este recurso de amparo en relación con el derecho fundamental a la integridad física y moral (art. 15 CE) es la misma que ya ha sido objeto de análisis por el Pleno de este tribunal en la STC 148/2023, de 6 de noviembre, en cuyos fundamentos jurídicos 4 y 5 se expusieron de manera pormenorizada las pautas de ponderación necesarias para determinar si en este tipo de supuestos se ha vulnerado el derecho a la integridad personal, centrando la cuestión en que la administración de la vacuna, a falta de consentimiento libre, válido e informado de la persona afectada, precisa para su constitucionalidad el cumplimiento de los requisitos generales que, de acuerdo con nuestra doctrina, rigen la restricción de los derechos fundamentales sustantivos.</w:t>
      </w:r>
    </w:p>
    <w:p w14:paraId="182D3E02" w14:textId="77777777" w:rsidR="009D7677" w:rsidRDefault="009D7677" w:rsidP="009D7677">
      <w:pPr>
        <w:pStyle w:val="TextoNormal"/>
      </w:pPr>
    </w:p>
    <w:p w14:paraId="5C0B31D4" w14:textId="77777777" w:rsidR="009D7677" w:rsidRDefault="009D7677" w:rsidP="009D7677">
      <w:pPr>
        <w:pStyle w:val="TextoNormal"/>
      </w:pPr>
      <w:r>
        <w:t>En atención a lo expuesto, en este caso, como también se concluyó en la STC 148/2023, FJ 5, el Tribunal rechaza que se haya vulnerado el derecho garantizado por el art. 15 CE, al constatarse que: (i) se cumple el presupuesto básico que el art. 9.3, letra c), de la Ley 41/2002 establece para que pueda acudirse al consentimiento por representación —otorgado por los progenitores de común acuerdo o por la autoridad judicial en caso de desacuerdo— porque el menor carecía de la capacidad emocional e intelectual necesarias para comprender el alcance la intervención y los padres contaban con la información adecuada para la prestación del consentimiento desde un momento anterior incluso a la iniciación del procedimiento de jurisdicción voluntaria, por lo que no cabe apreciar la ausencia de consentimiento informado; y (ii) la motivación de las resoluciones judiciales tuvo como fundamento esencial la protección del interés superior del menor en relación con la protección de su salud, teniendo en cuenta la recomendación de las autoridades sanitarias, que se mostraban a favor de la vacunación de menores haciendo una ponderación de riesgos y beneficios de la vacuna, que los órganos judiciales no estimaron desvirtuada por los informes aportados por el recurrente.</w:t>
      </w:r>
    </w:p>
    <w:p w14:paraId="31B657C2" w14:textId="77777777" w:rsidR="009D7677" w:rsidRDefault="009D7677" w:rsidP="009D7677">
      <w:pPr>
        <w:pStyle w:val="TextoNormal"/>
      </w:pPr>
    </w:p>
    <w:p w14:paraId="4F637A88" w14:textId="3DA7CF4D" w:rsidR="009D7677" w:rsidRDefault="009D7677" w:rsidP="009D7677">
      <w:pPr>
        <w:pStyle w:val="TextoNormal"/>
      </w:pPr>
      <w:r>
        <w:t>Por otra parte, la resolución sobre el fondo de este recurso implica que no resulte procedente resolver sobre la medida cautelar de suspensión solicitada por la demandante, lo que determina que deba acordarse el archivo de la pieza separada de suspensión.</w:t>
      </w:r>
    </w:p>
    <w:p w14:paraId="5070CE2C" w14:textId="77777777" w:rsidR="009D7677" w:rsidRDefault="009D7677" w:rsidP="009D7677">
      <w:pPr>
        <w:pStyle w:val="TextoNormal"/>
      </w:pPr>
    </w:p>
    <w:p w14:paraId="7C88B91D" w14:textId="77777777" w:rsidR="009D7677" w:rsidRDefault="009D7677" w:rsidP="009D7677">
      <w:pPr>
        <w:pStyle w:val="TextoNormalCentrado"/>
        <w:keepNext/>
      </w:pPr>
      <w:r>
        <w:t>FALLO</w:t>
      </w:r>
    </w:p>
    <w:p w14:paraId="77765224" w14:textId="113A16C8" w:rsidR="009D7677" w:rsidRDefault="009D7677" w:rsidP="009D7677">
      <w:pPr>
        <w:pStyle w:val="TextoNormalCentrado"/>
        <w:keepNext/>
      </w:pPr>
    </w:p>
    <w:p w14:paraId="57CFF809" w14:textId="606B5440" w:rsidR="009D7677" w:rsidRDefault="009D7677" w:rsidP="009D7677">
      <w:pPr>
        <w:pStyle w:val="TextoNormal"/>
      </w:pPr>
      <w:r>
        <w:t>En atención a todo lo expuesto, el Tribunal Constitucional, por la autoridad que le confiere la Constitución de la Nación española, ha decidido desestimar el recurso de amparo interpuesto por don A.C.M.R., y archivar la pieza separada de suspensión.</w:t>
      </w:r>
    </w:p>
    <w:p w14:paraId="63F8A884" w14:textId="77777777" w:rsidR="009D7677" w:rsidRDefault="009D7677" w:rsidP="009D7677">
      <w:pPr>
        <w:pStyle w:val="TextoNormal"/>
      </w:pPr>
    </w:p>
    <w:p w14:paraId="40C3B0D3" w14:textId="77777777" w:rsidR="009D7677" w:rsidRDefault="009D7677" w:rsidP="009D7677">
      <w:pPr>
        <w:pStyle w:val="TextoNormal"/>
      </w:pPr>
      <w:r>
        <w:t>Publíquese esta sentencia en el “Boletín Oficial del Estado”.</w:t>
      </w:r>
    </w:p>
    <w:p w14:paraId="35E6245F" w14:textId="77777777" w:rsidR="009D7677" w:rsidRDefault="009D7677" w:rsidP="009D7677">
      <w:pPr>
        <w:pStyle w:val="TextoNormal"/>
      </w:pPr>
      <w:r>
        <w:t>Dada en Madrid, a ocho de abril de dos mil veinticuatro.</w:t>
      </w:r>
    </w:p>
    <w:p w14:paraId="0C091813" w14:textId="53ED431A" w:rsidR="009D7677" w:rsidRDefault="009D7677">
      <w:pPr>
        <w:spacing w:after="160" w:line="259" w:lineRule="auto"/>
        <w:rPr>
          <w:rFonts w:ascii="Times New Roman" w:eastAsia="Times New Roman" w:hAnsi="Times New Roman" w:cs="Times New Roman"/>
          <w:sz w:val="24"/>
          <w:szCs w:val="24"/>
          <w:lang w:eastAsia="es-ES"/>
        </w:rPr>
      </w:pPr>
      <w:r>
        <w:br w:type="page"/>
      </w:r>
    </w:p>
    <w:p w14:paraId="071D060D" w14:textId="77777777" w:rsidR="009D7677" w:rsidRDefault="009D7677" w:rsidP="009D7677">
      <w:pPr>
        <w:pStyle w:val="TtuloResolucin"/>
      </w:pPr>
      <w:bookmarkStart w:id="63" w:name="SENTENCIA_2024_61"/>
      <w:r>
        <w:lastRenderedPageBreak/>
        <w:t>SENTENCIA 61/2024, de 9 de abril de 2024</w:t>
      </w:r>
    </w:p>
    <w:bookmarkEnd w:id="63"/>
    <w:p w14:paraId="35484C9D" w14:textId="77777777" w:rsidR="009D7677" w:rsidRDefault="009D7677" w:rsidP="009D7677">
      <w:pPr>
        <w:pStyle w:val="TtuloResolucin"/>
      </w:pPr>
      <w:r>
        <w:t>Pleno</w:t>
      </w:r>
    </w:p>
    <w:p w14:paraId="4B2A64B6" w14:textId="77777777" w:rsidR="009D7677" w:rsidRDefault="009D7677" w:rsidP="009D7677">
      <w:pPr>
        <w:pStyle w:val="TtuloBOE"/>
      </w:pPr>
      <w:r>
        <w:t>(BOE núm. 118, de 15 de mayo de 2024)</w:t>
      </w:r>
    </w:p>
    <w:p w14:paraId="51E17466" w14:textId="77777777" w:rsidR="009D7677" w:rsidRDefault="009D7677" w:rsidP="009D7677">
      <w:pPr>
        <w:pStyle w:val="TextoNormalCentrado"/>
      </w:pPr>
      <w:r>
        <w:t>ECLI:ES:TC:2024:61</w:t>
      </w:r>
    </w:p>
    <w:p w14:paraId="5BF972F7" w14:textId="0BBC4CF8" w:rsidR="009D7677" w:rsidRDefault="009D7677" w:rsidP="009D7677">
      <w:pPr>
        <w:pStyle w:val="TextoNormalCentrado"/>
      </w:pPr>
    </w:p>
    <w:p w14:paraId="1905E8F8" w14:textId="77777777" w:rsidR="009D7677" w:rsidRDefault="009D7677" w:rsidP="009D7677">
      <w:pPr>
        <w:pStyle w:val="SntesisDescriptiva"/>
      </w:pPr>
      <w:r>
        <w:t>Recurso de amparo 1186-2019. Promovido por don Alí Aarrass respecto de las resoluciones dictadas por las salas de lo contencioso-administrativo del Tribunal Supremo y de la Audiencia Nacional en procedimiento de responsabilidad patrimonial de la administración de justicia.</w:t>
      </w:r>
    </w:p>
    <w:p w14:paraId="13384083" w14:textId="202726BD" w:rsidR="009D7677" w:rsidRDefault="009D7677" w:rsidP="009D7677">
      <w:pPr>
        <w:pStyle w:val="SntesisDescriptiva"/>
      </w:pPr>
    </w:p>
    <w:p w14:paraId="58491411" w14:textId="77777777" w:rsidR="009D7677" w:rsidRDefault="009D7677" w:rsidP="009D7677">
      <w:pPr>
        <w:pStyle w:val="SntesisAnaltica"/>
      </w:pPr>
      <w:r>
        <w:t>Vulneración del derecho a la tutela judicial efectiva (acceso a la jurisdicción), en relación con el derecho a no ser sometido a torturas ni tratos inhumanos o degradantes: denegación de un pronunciamiento sobre el fondo fundada en el ejercicio de una acción inadecuada y en la consideración de que los dictámenes emitidos por los comités de Naciones Unidas no constituyen títulos ejecutivos que generen automáticamente el derecho a una indemnización. Voto particular.</w:t>
      </w:r>
    </w:p>
    <w:p w14:paraId="76FA7500" w14:textId="79088E54" w:rsidR="009D7677" w:rsidRDefault="009D7677" w:rsidP="009D7677">
      <w:pPr>
        <w:pStyle w:val="SntesisAnaltica"/>
      </w:pPr>
    </w:p>
    <w:p w14:paraId="4F434FD1" w14:textId="69059CE1" w:rsidR="009D7677" w:rsidRDefault="009D7677" w:rsidP="009D7677">
      <w:pPr>
        <w:pStyle w:val="Extracto"/>
      </w:pPr>
      <w:r>
        <w:t>1.</w:t>
      </w:r>
      <w:r>
        <w:tab/>
        <w:t>Los órganos judiciales, aplicando las normas competenciales o de otra índole, han de encauzar cada pretensión por el procedimiento adecuado, sea o no el elegido por la parte actora (SSTC 21/1986 o 116/2001). Ahora bien, si el proceso seleccionado por el demandante objetivamente cumple el presupuesto de la adecuación, no puede imponerse un cauce procesal distinto (STC 20/1993) [FJ 4].</w:t>
      </w:r>
    </w:p>
    <w:p w14:paraId="646EAE2F" w14:textId="77777777" w:rsidR="009D7677" w:rsidRDefault="009D7677" w:rsidP="009D7677">
      <w:pPr>
        <w:pStyle w:val="Extracto"/>
      </w:pPr>
    </w:p>
    <w:p w14:paraId="49A9A8A7" w14:textId="2D99AB0E" w:rsidR="009D7677" w:rsidRDefault="009D7677" w:rsidP="009D7677">
      <w:pPr>
        <w:pStyle w:val="Extracto"/>
      </w:pPr>
      <w:r>
        <w:t>2.</w:t>
      </w:r>
      <w:r>
        <w:tab/>
        <w:t xml:space="preserve">La lesión de derechos humanos, reconocidos en el Pacto internacional de derechos civiles y políticos y declarada en el dictamen del Comité de Derechos Humanos de Naciones Unidas, puede acreditar la posible vulneración de los correspondientes derechos fundamentales, puesto que el contenido de aquéllos constituye parte también del de éstos, formando el estándar mínimo y básico de los derechos fundamentales de toda persona en el ordenamiento jurídico español, como resulta de la circunstancia de que los tratados y acuerdos internacionales sobre derechos humanos sean insoslayables instrumentos hermenéuticos de los derechos fundamentales de la Constitución española </w:t>
      </w:r>
      <w:r w:rsidRPr="009D7677">
        <w:rPr>
          <w:i/>
        </w:rPr>
        <w:t>ex</w:t>
      </w:r>
      <w:r>
        <w:t xml:space="preserve"> art. 10.2 CE (ATC 260/2000) [FJ 4].</w:t>
      </w:r>
    </w:p>
    <w:p w14:paraId="7BA49775" w14:textId="77777777" w:rsidR="009D7677" w:rsidRDefault="009D7677" w:rsidP="009D7677">
      <w:pPr>
        <w:pStyle w:val="Extracto"/>
      </w:pPr>
    </w:p>
    <w:p w14:paraId="3F2D5C9A" w14:textId="4A4664E0" w:rsidR="009D7677" w:rsidRDefault="009D7677" w:rsidP="009D7677">
      <w:pPr>
        <w:pStyle w:val="Extracto"/>
      </w:pPr>
      <w:r>
        <w:t>3.</w:t>
      </w:r>
      <w:r>
        <w:tab/>
        <w:t>No es respetuoso con el derecho de acceso a la jurisdicción apreciar la inadecuación de una acción iniciada por el recurrente, haciendo impracticable la tutela de sus derechos fundamentales [FJ 4].</w:t>
      </w:r>
    </w:p>
    <w:p w14:paraId="4206A882" w14:textId="77777777" w:rsidR="009D7677" w:rsidRDefault="009D7677" w:rsidP="009D7677">
      <w:pPr>
        <w:pStyle w:val="Extracto"/>
      </w:pPr>
    </w:p>
    <w:p w14:paraId="5C7FFD68" w14:textId="0F1133BD" w:rsidR="009D7677" w:rsidRDefault="009D7677" w:rsidP="009D7677">
      <w:pPr>
        <w:pStyle w:val="Extracto"/>
      </w:pPr>
      <w:r>
        <w:t>4.</w:t>
      </w:r>
      <w:r>
        <w:tab/>
        <w:t>Los dictámenes emitidos por los comités de la ONU no constituyen títulos ejecutivos que generen automáticamente el derecho a una indemnización. No obstante, no puede deducirse de esa constatación una ausencia de obligación estatal de cumplimiento de los Tratados de derechos humanos ratificados e incorporados al ordenamiento español [FJ 4].</w:t>
      </w:r>
    </w:p>
    <w:p w14:paraId="23A0ADEA" w14:textId="77777777" w:rsidR="009D7677" w:rsidRDefault="009D7677" w:rsidP="009D7677">
      <w:pPr>
        <w:pStyle w:val="Extracto"/>
      </w:pPr>
    </w:p>
    <w:p w14:paraId="42BF5E30" w14:textId="3CC52CAF" w:rsidR="009D7677" w:rsidRDefault="009D7677" w:rsidP="009D7677">
      <w:pPr>
        <w:pStyle w:val="Extracto"/>
      </w:pPr>
      <w:r>
        <w:t>5.</w:t>
      </w:r>
      <w:r>
        <w:tab/>
        <w:t xml:space="preserve">Una resolución judicial que deniega un pronunciamiento sobre el fondo con base en el ejercicio de una acción inadecuada y que no reconoce un cauce procesal efectivo para examinar la reparación de una eventual lesión del derecho fundamental a no ser sometido a tortura ni a tratos inhumanos o degradantes vulnera </w:t>
      </w:r>
      <w:r>
        <w:lastRenderedPageBreak/>
        <w:t>el derecho a la tutela judicial efectiva del recurrente en relación con el art. 15 CE [FJ 5].</w:t>
      </w:r>
    </w:p>
    <w:p w14:paraId="5E66E9F7" w14:textId="77777777" w:rsidR="009D7677" w:rsidRDefault="009D7677" w:rsidP="009D7677">
      <w:pPr>
        <w:pStyle w:val="Extracto"/>
      </w:pPr>
    </w:p>
    <w:p w14:paraId="57F8F1FF" w14:textId="77777777" w:rsidR="009D7677" w:rsidRDefault="009D7677" w:rsidP="009D7677">
      <w:pPr>
        <w:pStyle w:val="Extracto"/>
      </w:pPr>
    </w:p>
    <w:p w14:paraId="13B72EA1" w14:textId="77777777" w:rsidR="009D7677" w:rsidRDefault="009D7677" w:rsidP="009D7677">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3DB01482" w14:textId="1C30B5B2" w:rsidR="009D7677" w:rsidRDefault="009D7677" w:rsidP="009D7677">
      <w:pPr>
        <w:pStyle w:val="TextoNormal"/>
      </w:pPr>
    </w:p>
    <w:p w14:paraId="47805AA8" w14:textId="77777777" w:rsidR="009D7677" w:rsidRDefault="009D7677" w:rsidP="009D7677">
      <w:pPr>
        <w:pStyle w:val="TextoNormalCentrado"/>
        <w:keepNext/>
      </w:pPr>
      <w:r>
        <w:t>EN NOMBRE DEL REY</w:t>
      </w:r>
    </w:p>
    <w:p w14:paraId="26C62775" w14:textId="1AE46842" w:rsidR="009D7677" w:rsidRDefault="009D7677" w:rsidP="009D7677">
      <w:pPr>
        <w:pStyle w:val="TextoNormalCentrado"/>
        <w:keepNext/>
      </w:pPr>
    </w:p>
    <w:p w14:paraId="2A09A9F4" w14:textId="77777777" w:rsidR="009D7677" w:rsidRDefault="009D7677" w:rsidP="009D7677">
      <w:pPr>
        <w:pStyle w:val="TextoNormalCentrado"/>
        <w:keepNext/>
      </w:pPr>
    </w:p>
    <w:p w14:paraId="5A6B3951" w14:textId="77777777" w:rsidR="009D7677" w:rsidRDefault="009D7677" w:rsidP="009D7677">
      <w:pPr>
        <w:pStyle w:val="TextoNormal"/>
      </w:pPr>
      <w:r>
        <w:t>la siguiente</w:t>
      </w:r>
    </w:p>
    <w:p w14:paraId="36FE90B0" w14:textId="5F0192D7" w:rsidR="009D7677" w:rsidRDefault="009D7677" w:rsidP="009D7677">
      <w:pPr>
        <w:pStyle w:val="TextoNormal"/>
      </w:pPr>
    </w:p>
    <w:p w14:paraId="5B7D9F6D" w14:textId="77777777" w:rsidR="009D7677" w:rsidRDefault="009D7677" w:rsidP="009D7677">
      <w:pPr>
        <w:pStyle w:val="TextoNormalCentrado"/>
        <w:keepNext/>
      </w:pPr>
      <w:r>
        <w:t>SENTENCIA</w:t>
      </w:r>
    </w:p>
    <w:p w14:paraId="578E45EA" w14:textId="081CFF5F" w:rsidR="009D7677" w:rsidRDefault="009D7677" w:rsidP="009D7677">
      <w:pPr>
        <w:pStyle w:val="TextoNormalCentrado"/>
        <w:keepNext/>
      </w:pPr>
    </w:p>
    <w:p w14:paraId="5155EC30" w14:textId="77777777" w:rsidR="009D7677" w:rsidRDefault="009D7677" w:rsidP="009D7677">
      <w:pPr>
        <w:pStyle w:val="TextoNormal"/>
      </w:pPr>
      <w:r>
        <w:t>En el recurso de amparo núm. 1186-2019, promovido por don Alí Aarrass, contra la sentencia de la Sección Tercera de la Sala de lo Contencioso-Administrativo de la Audiencia Nacional, de 2 de febrero de 2018, que desestimó el recurso contencioso-administrativo núm. 989-2016, formalizado contra la desestimación por silencio de la reclamación de responsabilidad patrimonial por funcionamiento anormal de la administración de justicia, contra esta propia desestimación presunta por parte del Ministerio de Justicia, así como contra la providencia de la Sección Primera de la Sala de lo Contencioso-Administrativo del Tribunal Supremo, de 10 de enero de 2019, que inadmitió a trámite el recurso de casación núm. 2197-2018 interpuesto contra aquella. Han intervenido el abogado del Estado y el Ministerio Fiscal. Ha sido ponente el magistrado don César Tolosa Tribiño.</w:t>
      </w:r>
    </w:p>
    <w:p w14:paraId="3A6BA173" w14:textId="4442CA41" w:rsidR="009D7677" w:rsidRDefault="009D7677" w:rsidP="009D7677">
      <w:pPr>
        <w:pStyle w:val="TextoNormal"/>
      </w:pPr>
    </w:p>
    <w:p w14:paraId="67D1C93C" w14:textId="77777777" w:rsidR="009D7677" w:rsidRDefault="009D7677" w:rsidP="009D7677">
      <w:pPr>
        <w:pStyle w:val="TextoNormalNegritaCentrado"/>
        <w:keepNext/>
      </w:pPr>
      <w:r>
        <w:t>I. Antecedentes</w:t>
      </w:r>
    </w:p>
    <w:p w14:paraId="522DBA17" w14:textId="3F48D2F5" w:rsidR="009D7677" w:rsidRDefault="009D7677" w:rsidP="009D7677">
      <w:pPr>
        <w:pStyle w:val="TextoNormalNegritaCentrado"/>
        <w:keepNext/>
      </w:pPr>
    </w:p>
    <w:p w14:paraId="4314ED12" w14:textId="4A8DBAEF" w:rsidR="009D7677" w:rsidRDefault="009D7677" w:rsidP="009D7677">
      <w:pPr>
        <w:pStyle w:val="TextoNormal"/>
      </w:pPr>
      <w:r w:rsidRPr="009D7677">
        <w:rPr>
          <w:rStyle w:val="NumeroAFNegritaCaracter"/>
        </w:rPr>
        <w:t>1</w:t>
      </w:r>
      <w:r>
        <w:t>. Mediante escrito registrado en este tribunal el día 26 de febrero de 2019, la procuradora de los tribunales doña Lucía Victoria Agulla Lanza, en nombre y representación de don Alí Aarrass, defendido por el letrado don José Luis Galán Martín, interpuso recurso de amparo contra las resoluciones que se citan en el encabezamiento, por vulneración del derecho a la integridad física y moral, con interdicción de la tortura y penas o tratos inhumanos o degradantes (art. 15 CE), y del derecho a la tutela judicial efectiva, con interdicción de la indefensión (art. 24.1 CE).</w:t>
      </w:r>
    </w:p>
    <w:p w14:paraId="26333CBC" w14:textId="77777777" w:rsidR="009D7677" w:rsidRDefault="009D7677" w:rsidP="009D7677">
      <w:pPr>
        <w:pStyle w:val="TextoNormal"/>
      </w:pPr>
    </w:p>
    <w:p w14:paraId="68E13F39" w14:textId="77777777" w:rsidR="009D7677" w:rsidRDefault="009D7677" w:rsidP="009D7677">
      <w:pPr>
        <w:pStyle w:val="TextoNormal"/>
      </w:pPr>
      <w:r w:rsidRPr="009D7677">
        <w:rPr>
          <w:rStyle w:val="NumeroAFNegritaCaracter"/>
        </w:rPr>
        <w:t>2</w:t>
      </w:r>
      <w:r>
        <w:t>. El recurso de amparo tiene su origen en los siguientes antecedentes:</w:t>
      </w:r>
    </w:p>
    <w:p w14:paraId="452ACB60" w14:textId="77777777" w:rsidR="009D7677" w:rsidRDefault="009D7677" w:rsidP="009D7677">
      <w:pPr>
        <w:pStyle w:val="TextoNormal"/>
      </w:pPr>
    </w:p>
    <w:p w14:paraId="1AE492D2" w14:textId="77777777" w:rsidR="009D7677" w:rsidRDefault="009D7677" w:rsidP="009D7677">
      <w:pPr>
        <w:pStyle w:val="TextoNormal"/>
      </w:pPr>
      <w:r>
        <w:t xml:space="preserve">a) El 13 de marzo de 2008 el Tribunal de Apelación de Rabat emitió una orden internacional de detención contra don Alí Aarrass por presunta actividad de terrorismo. Tras su detención en Melilla el 1 de abril de 2008, el Juzgado Central de Instrucción núm. 1 de esa localidad dictó auto de 2 de abril de 2008 incoando el procedimiento de extradición núm. </w:t>
      </w:r>
      <w:r>
        <w:lastRenderedPageBreak/>
        <w:t>18-2008, ratificando posteriormente, por auto de 18 de abril de 2008, la prisión provisional incondicional y comunicada del reclamado, acordada por el Juzgado de Instrucción núm. 5 de Melilla por auto de 2 de abril de 2008.</w:t>
      </w:r>
    </w:p>
    <w:p w14:paraId="584ABEA9" w14:textId="77777777" w:rsidR="009D7677" w:rsidRDefault="009D7677" w:rsidP="009D7677">
      <w:pPr>
        <w:pStyle w:val="TextoNormal"/>
      </w:pPr>
    </w:p>
    <w:p w14:paraId="27BE2A69" w14:textId="77777777" w:rsidR="009D7677" w:rsidRDefault="009D7677" w:rsidP="009D7677">
      <w:pPr>
        <w:pStyle w:val="TextoNormal"/>
      </w:pPr>
      <w:r>
        <w:t>b) Por nota verbal de la Embajada de Marruecos núm. 943, de 22 de abril de 2008, se solicitó del Ministerio de Justicia de España la extradición de don Alí Aarrass para el enjuiciamiento por delito de constitución de asociación de malhechores y prestación de ayuda a esta banda; constitución de asociación para la preparación y perpetración de acciones terroristas en el marco de un proyecto colectivo para atentar gravemente contra el orden público y prestar ayuda a quien perpetra una acción terrorista, según la legislación marroquí.</w:t>
      </w:r>
    </w:p>
    <w:p w14:paraId="1F409009" w14:textId="77777777" w:rsidR="009D7677" w:rsidRDefault="009D7677" w:rsidP="009D7677">
      <w:pPr>
        <w:pStyle w:val="TextoNormal"/>
      </w:pPr>
    </w:p>
    <w:p w14:paraId="730539DB" w14:textId="77777777" w:rsidR="009D7677" w:rsidRDefault="009D7677" w:rsidP="009D7677">
      <w:pPr>
        <w:pStyle w:val="TextoNormal"/>
      </w:pPr>
      <w:r>
        <w:t>c) El 21 de noviembre de 2008 la Sección Segunda de la Sala de lo Penal de la Audiencia Nacional dictó auto núm. 35/2008 por el que declaró procedente la extradición a Marruecos y condicionó la entrega de don Alí Aarrass al compromiso expreso de que la prisión que eventualmente se le pudiese imponer no fuera indefectiblemente de por vida. En relación con la denuncia que el reclamado formuló sobre la situación de las cárceles marroquíes, para oponerse a la extradición, el auto fundamenta [letra e) del razonamiento jurídico cuarto] que “adolece de generalidad apoyada en informaciones de medios de publicación en internet no contrastadas, estando por tanto huérfana de toda acreditación”.</w:t>
      </w:r>
    </w:p>
    <w:p w14:paraId="77B367CA" w14:textId="77777777" w:rsidR="009D7677" w:rsidRDefault="009D7677" w:rsidP="009D7677">
      <w:pPr>
        <w:pStyle w:val="TextoNormal"/>
      </w:pPr>
    </w:p>
    <w:p w14:paraId="30CFBADF" w14:textId="77777777" w:rsidR="009D7677" w:rsidRDefault="009D7677" w:rsidP="009D7677">
      <w:pPr>
        <w:pStyle w:val="TextoNormal"/>
      </w:pPr>
      <w:r>
        <w:t>(i) Don Alí Aarrass interpuso recurso de súplica contra el auto núm. 35/2008 ante el Pleno de la Sala de lo Penal de la Audiencia Nacional, alegando distintas irregularidades, así como la inexistencia de garantías para que no se aplicasen tratos inhumanos o degradantes en el caso de su entrega.</w:t>
      </w:r>
    </w:p>
    <w:p w14:paraId="4EF7F56F" w14:textId="77777777" w:rsidR="009D7677" w:rsidRDefault="009D7677" w:rsidP="009D7677">
      <w:pPr>
        <w:pStyle w:val="TextoNormal"/>
      </w:pPr>
    </w:p>
    <w:p w14:paraId="361DEEE5" w14:textId="77777777" w:rsidR="009D7677" w:rsidRDefault="009D7677" w:rsidP="009D7677">
      <w:pPr>
        <w:pStyle w:val="TextoNormal"/>
      </w:pPr>
      <w:r>
        <w:t>(ii) El Pleno estimó parcialmente dicho recurso de súplica, mediante auto núm. 4/2009, de 23 de enero, confirmando el auto de procedencia de la extradición a Marruecos, “cuyo contenido se mantiene en su integridad, a excepción de modificar la condición establecida, en el sentido de comprometerse el Estado requirente a sustituir la eventual pena de muerte a imponer por la prevista para los mismos hechos por la legislación del Estado requerido”.</w:t>
      </w:r>
    </w:p>
    <w:p w14:paraId="25217210" w14:textId="77777777" w:rsidR="009D7677" w:rsidRDefault="009D7677" w:rsidP="009D7677">
      <w:pPr>
        <w:pStyle w:val="TextoNormal"/>
      </w:pPr>
    </w:p>
    <w:p w14:paraId="402D5490" w14:textId="77777777" w:rsidR="009D7677" w:rsidRDefault="009D7677" w:rsidP="009D7677">
      <w:pPr>
        <w:pStyle w:val="TextoNormal"/>
      </w:pPr>
      <w:r>
        <w:t>Respecto a la conculcación de los derechos humanos, alegados por don Alí Aarrass, el auto dictado por el Pleno concluye, en el apartado F) del fundamento jurídico segundo, que “en los folios 266 a 269 obra aportado un informe de Amnistía Internacional sobre los derechos humanos en el mundo, y más concretamente en Marruecos, haciéndose referencia al empleo de torturas para extraer confesiones, a los malos tratos infligidos por los guardadores penitenciarios y por las fuerzas de seguridad, a la falta de acceso a los cuidados médicos y a las restricciones a las visitas de familiares. Tales vulneraciones denunciadas no pueden reputarse como sistemáticas y generalizadas, al no existir acreditación sobre ello; como tampoco existe prueba alguna, ni siquiera indiciaria, sobre [</w:t>
      </w:r>
      <w:r w:rsidRPr="009D7677">
        <w:rPr>
          <w:i/>
        </w:rPr>
        <w:t>sic</w:t>
      </w:r>
      <w:r>
        <w:t>] concreta y real exposición del reclamado a tratos inhumanos o degradantes en el supuesto de que se acceda a su extradición”.</w:t>
      </w:r>
    </w:p>
    <w:p w14:paraId="18448233" w14:textId="77777777" w:rsidR="009D7677" w:rsidRDefault="009D7677" w:rsidP="009D7677">
      <w:pPr>
        <w:pStyle w:val="TextoNormal"/>
      </w:pPr>
    </w:p>
    <w:p w14:paraId="62F8C47E" w14:textId="77777777" w:rsidR="009D7677" w:rsidRDefault="009D7677" w:rsidP="009D7677">
      <w:pPr>
        <w:pStyle w:val="TextoNormal"/>
      </w:pPr>
      <w:r>
        <w:t xml:space="preserve">d) En ejecución de las resoluciones la Audiencia Nacional, siempre a través del Ministerio de Justicia español, se dirigió a las autoridades marroquíes trasladándoles las dos condiciones a las que la entrega extradicional había quedado sometida. Las autoridades </w:t>
      </w:r>
      <w:r>
        <w:lastRenderedPageBreak/>
        <w:t>marroquíes, tras contestar con reticencias los requerimientos formulados para que ofreciera garantías de cumplir ambas condiciones, acabaron aceptando las mismas.</w:t>
      </w:r>
    </w:p>
    <w:p w14:paraId="49D71924" w14:textId="77777777" w:rsidR="009D7677" w:rsidRDefault="009D7677" w:rsidP="009D7677">
      <w:pPr>
        <w:pStyle w:val="TextoNormal"/>
      </w:pPr>
    </w:p>
    <w:p w14:paraId="5E4195F9" w14:textId="77777777" w:rsidR="009D7677" w:rsidRDefault="009D7677" w:rsidP="009D7677">
      <w:pPr>
        <w:pStyle w:val="TextoNormal"/>
      </w:pPr>
      <w:r>
        <w:t>En el curso de estos requerimientos la Sala dictó auto de 9 de octubre de 2009 mostrando su conformidad en cuanto al empeño por parte de las autoridades judiciales marroquíes de la aplicación del art. 11 del Convenio extradicional. Contra este auto don Alí Aarrass interpuso recurso de súplica instando la denegación de la extradición, que fue desestimado por auto de 24 de noviembre de 2009.</w:t>
      </w:r>
    </w:p>
    <w:p w14:paraId="071AA821" w14:textId="77777777" w:rsidR="009D7677" w:rsidRDefault="009D7677" w:rsidP="009D7677">
      <w:pPr>
        <w:pStyle w:val="TextoNormal"/>
      </w:pPr>
    </w:p>
    <w:p w14:paraId="33FF706E" w14:textId="77777777" w:rsidR="009D7677" w:rsidRDefault="009D7677" w:rsidP="009D7677">
      <w:pPr>
        <w:pStyle w:val="TextoNormal"/>
      </w:pPr>
      <w:r>
        <w:t>Finalmente, y en atención a una nota verbal de 16 de noviembre de 2009 remitida por la Embajada del Reino de Marruecos en España, la Sala de lo Penal de la Audiencia Nacional dictó providencia de 25 de noviembre de 2009 por la que consideró suficientes las garantías ofrecidas, y acordó “comunicar lo resuelto al Consejo de Ministros, a través de la Subdirección General de Cooperación Jurídica Internacional, a los efectos procedentes”.</w:t>
      </w:r>
    </w:p>
    <w:p w14:paraId="498DB130" w14:textId="77777777" w:rsidR="009D7677" w:rsidRDefault="009D7677" w:rsidP="009D7677">
      <w:pPr>
        <w:pStyle w:val="TextoNormal"/>
      </w:pPr>
    </w:p>
    <w:p w14:paraId="33A9F529" w14:textId="77777777" w:rsidR="009D7677" w:rsidRDefault="009D7677" w:rsidP="009D7677">
      <w:pPr>
        <w:pStyle w:val="TextoNormal"/>
      </w:pPr>
      <w:r>
        <w:t>e) Don Alí Aarrass interpuso recurso de amparo ante el Tribunal Constitucional (recurso de amparo 354-2010) contra el auto de 9 de octubre de 2009 y contra el auto de 24 de noviembre de 2009 que desestimó el recurso contra el primero, solicitando que la ejecución de la extradición fuese suspendida a la mayor brevedad. El recurso de amparo fue inadmitido por providencia de 8 de febrero de 2010, de la Sección Cuarta de este tribunal, “por no apreciar en el mismo la especial trascendencia constitucional que, como condición para la admisión de un recurso de amparo, requiere el art. 50.1 b) de la Ley Orgánica del Tribunal Constitucional, redactado por la Ley Orgánica 6/2007, de 24 de mayo”.</w:t>
      </w:r>
    </w:p>
    <w:p w14:paraId="15584087" w14:textId="77777777" w:rsidR="009D7677" w:rsidRDefault="009D7677" w:rsidP="009D7677">
      <w:pPr>
        <w:pStyle w:val="TextoNormal"/>
      </w:pPr>
    </w:p>
    <w:p w14:paraId="0DCA7527" w14:textId="77777777" w:rsidR="009D7677" w:rsidRDefault="009D7677" w:rsidP="009D7677">
      <w:pPr>
        <w:pStyle w:val="TextoNormal"/>
      </w:pPr>
      <w:r>
        <w:t>f) Tras la inadmisión del recurso de amparo don Alí Aarrass presentó los días 16 y 17 de marzo de 2010 una demanda y solicitud de medidas provisionales al Tribunal Europeo de Derechos Humanos a efectos de que el Estado español suspendiese el proceso de extradición.</w:t>
      </w:r>
    </w:p>
    <w:p w14:paraId="47179BEB" w14:textId="77777777" w:rsidR="009D7677" w:rsidRDefault="009D7677" w:rsidP="009D7677">
      <w:pPr>
        <w:pStyle w:val="TextoNormal"/>
      </w:pPr>
    </w:p>
    <w:p w14:paraId="3380316E" w14:textId="77777777" w:rsidR="009D7677" w:rsidRDefault="009D7677" w:rsidP="009D7677">
      <w:pPr>
        <w:pStyle w:val="TextoNormal"/>
      </w:pPr>
      <w:r>
        <w:t>En su demanda alegó violación de los arts. 6 (proceso equitativo), 2 (derecho a la vida), 3 (en cuanto a la prohibición de trato inhumano y degradante), 5 (derecho a la libertad y la seguridad) y 14 (prohibición de discriminación) del Convenio Europeo de Derechos Humanos (CEDH) y del art. 4 (derecho a no ser juzgado o condenado dos veces) del Protocolo núm. 7 al Convenio. Y solicitó que se declarasen nulos, por un lado, los autos de 21 de noviembre de 2008 (dictado por la Sección Segunda de la Sala de lo Penal de la Audiencia Nacional) y de 23 de enero de 2009, confirmatorio del mismo (dictado por el Pleno de la Sala de lo Penal de la Audiencia Nacional); y, por otro, los autos de 9 de octubre de 2009 (dictado por la Sección Segunda de la Sala de lo Penal de la Audiencia Nacional) y de 24 de noviembre de 2009, confirmatorio del mismo (dictado por el Pleno de la Sala de lo Penal de la Audiencia Nacional).</w:t>
      </w:r>
    </w:p>
    <w:p w14:paraId="723F2467" w14:textId="77777777" w:rsidR="009D7677" w:rsidRDefault="009D7677" w:rsidP="009D7677">
      <w:pPr>
        <w:pStyle w:val="TextoNormal"/>
      </w:pPr>
    </w:p>
    <w:p w14:paraId="7B576444" w14:textId="77777777" w:rsidR="009D7677" w:rsidRDefault="009D7677" w:rsidP="009D7677">
      <w:pPr>
        <w:pStyle w:val="TextoNormal"/>
      </w:pPr>
      <w:r>
        <w:t>El Tribunal Europeo rechazó la solicitud de medidas provisionales, y el 11 de mayo de 2010 declaró inadmisible la demanda presentada el 16 de marzo de 2010 “al no cumplirse los requisitos exigidos en el Convenio”, toda vez que “no observ[aba] ninguna apariencia de violación de los derechos y libertades garantizados por el Convenio o sus Protocolos”.</w:t>
      </w:r>
    </w:p>
    <w:p w14:paraId="5AF43833" w14:textId="77777777" w:rsidR="009D7677" w:rsidRDefault="009D7677" w:rsidP="009D7677">
      <w:pPr>
        <w:pStyle w:val="TextoNormal"/>
      </w:pPr>
    </w:p>
    <w:p w14:paraId="6D651549" w14:textId="77777777" w:rsidR="009D7677" w:rsidRDefault="009D7677" w:rsidP="009D7677">
      <w:pPr>
        <w:pStyle w:val="TextoNormal"/>
      </w:pPr>
      <w:r>
        <w:lastRenderedPageBreak/>
        <w:t>g) El Consejo de Ministros en su reunión de 19 de noviembre de 2010 acordó la entrega de don Alí Aarrass a las autoridades de Marruecos, en ejecución de extradición, a la que accedió la Sección Segunda de la Sala de lo Penal de la Audiencia Nacional.</w:t>
      </w:r>
    </w:p>
    <w:p w14:paraId="305937F5" w14:textId="77777777" w:rsidR="009D7677" w:rsidRDefault="009D7677" w:rsidP="009D7677">
      <w:pPr>
        <w:pStyle w:val="TextoNormal"/>
      </w:pPr>
    </w:p>
    <w:p w14:paraId="3408D64B" w14:textId="77777777" w:rsidR="009D7677" w:rsidRDefault="009D7677" w:rsidP="009D7677">
      <w:pPr>
        <w:pStyle w:val="TextoNormal"/>
      </w:pPr>
      <w:r>
        <w:t>h) El 22 de noviembre de 2010, don Alí Aarrass presentó ante el Tribunal Europeo de Derechos Humanos una nueva solicitud de medidas provisionales contra el Estado español, con el fin de que se suspendiera su extradición a Marruecos, la cual fue de nuevo rechazada, el 23 de noviembre del 2010, al no encontrar el Tribunal circunstancias significativas que justificaran una decisión distinta de la adoptada el 16 de marzo de 2010. Igualmente, el Tribunal invitó al actor a informarle, antes del 7 de diciembre de 2010, si deseaba presentar una nueva demanda contra el Estado parte, subrayando que no examinaría una nueva demanda que fuera esencialmente similar a la rechazada el 11 de mayo de 2010 y que no contuviera hechos nuevos.</w:t>
      </w:r>
    </w:p>
    <w:p w14:paraId="11AF9897" w14:textId="77777777" w:rsidR="009D7677" w:rsidRDefault="009D7677" w:rsidP="009D7677">
      <w:pPr>
        <w:pStyle w:val="TextoNormal"/>
      </w:pPr>
    </w:p>
    <w:p w14:paraId="42E6AA00" w14:textId="77777777" w:rsidR="009D7677" w:rsidRDefault="009D7677" w:rsidP="009D7677">
      <w:pPr>
        <w:pStyle w:val="TextoNormal"/>
      </w:pPr>
      <w:r>
        <w:t>i) La defensa de don Alí Aarrass dirigió entonces, el 25 de noviembre de 2010, una comunicación urgente al Comité de Derechos Humanos de Naciones Unidas, y ese mismo día presentó un escrito ante la Audiencia Nacional solicitando la paralización del procedimiento de extradición, alegando que este último lo pondría ante un riesgo real y cierto de ser torturado.</w:t>
      </w:r>
    </w:p>
    <w:p w14:paraId="01EFFEA8" w14:textId="77777777" w:rsidR="009D7677" w:rsidRDefault="009D7677" w:rsidP="009D7677">
      <w:pPr>
        <w:pStyle w:val="TextoNormal"/>
      </w:pPr>
    </w:p>
    <w:p w14:paraId="383EF5C4" w14:textId="77777777" w:rsidR="009D7677" w:rsidRDefault="009D7677" w:rsidP="009D7677">
      <w:pPr>
        <w:pStyle w:val="TextoNormal"/>
      </w:pPr>
      <w:r>
        <w:t>El Comité acusó recibo de su reclamación el día 26 de noviembre de 2010 mediante carta en la que le comunicaba que la relatora especial sobre nuevas comunicaciones y medidas provisionales, actuando en nombre del Comité, había decidido solicitar la adopción de medidas provisionales en virtud del art. 92 del Reglamento del Comité, y pedir al Estado español que no extraditara al autor mientras su caso estuviera siendo examinado. Con el objeto de que se suspendiera la extradición, dicha resolución fue puesta en conocimiento de la Audiencia Nacional por la defensa de don Alí Aarrass el día 2 de diciembre de 2010, mediante nuevo escrito en el que solicitaba de nuevo la paralización del procedimiento de extradición.</w:t>
      </w:r>
    </w:p>
    <w:p w14:paraId="2E0D9F74" w14:textId="77777777" w:rsidR="009D7677" w:rsidRDefault="009D7677" w:rsidP="009D7677">
      <w:pPr>
        <w:pStyle w:val="TextoNormal"/>
      </w:pPr>
    </w:p>
    <w:p w14:paraId="0E2EEF86" w14:textId="77777777" w:rsidR="009D7677" w:rsidRDefault="009D7677" w:rsidP="009D7677">
      <w:pPr>
        <w:pStyle w:val="TextoNormal"/>
      </w:pPr>
      <w:r>
        <w:t>La Sala de lo Penal de la Audiencia Nacional dio traslado al Ministerio Fiscal de los dos escritos presentados por don Alí Aarrass los días 25 de noviembre y 2 de diciembre, instando la paralización del procedimiento de extradición. Del primer escrito se dio traslado por diligencia de 30 de noviembre de 2010 —notificada el día 2 de diciembre—, oponiéndose el Ministerio Fiscal a la paralización de la extradición por escrito de 3 de diciembre de 2010. Del segundo escrito se dio traslado por diligencia de ordenación de 3 de diciembre de 2010 —notificada el 7 de diciembre— oponiéndose de nuevo el Ministerio Fiscal a la paralización del procedimiento de extradición por escrito de 10 de diciembre de 2010, presentado el día 13 de diciembre de 2010.</w:t>
      </w:r>
    </w:p>
    <w:p w14:paraId="716D775E" w14:textId="77777777" w:rsidR="009D7677" w:rsidRDefault="009D7677" w:rsidP="009D7677">
      <w:pPr>
        <w:pStyle w:val="TextoNormal"/>
      </w:pPr>
    </w:p>
    <w:p w14:paraId="1F0E2386" w14:textId="77777777" w:rsidR="009D7677" w:rsidRDefault="009D7677" w:rsidP="009D7677">
      <w:pPr>
        <w:pStyle w:val="TextoNormal"/>
      </w:pPr>
      <w:r>
        <w:t xml:space="preserve">La Sección Segunda de la Sala de lo Penal dictó auto el día 13 de diciembre de 2010 en el que acordó no paralizar el procedimiento de extradición, “al haberse agotado la vía jurisdiccional al tratarse de una resolución firme, acordada por la Sala y confirmada por el Pleno que en fecha de 23/01/2009 desestimó el recurso de súplica interpuesto contra la misma, imponiendo la condición de que el Estado requirente (Marruecos) se comprometiera a sustituir la eventual pena de muerte; compromiso que fue aceptado ofreciendo el Reino de Marruecos garantías de la aplicación del art. 11 del Convenio de extradición, acordando la Sala en fecha 25/11/2009 considerar suficientes las garantías ofrecidas por el </w:t>
      </w:r>
      <w:r>
        <w:lastRenderedPageBreak/>
        <w:t>Reino de Marruecos y comunicar lo resuelto al Consejo de Ministros a los efectos legales procedentes agotándose la vía jurisdiccional”. En dicho auto se ofrecía la posibilidad de interponer recurso de súplica en el plazo de tres días.</w:t>
      </w:r>
    </w:p>
    <w:p w14:paraId="45E06D92" w14:textId="77777777" w:rsidR="009D7677" w:rsidRDefault="009D7677" w:rsidP="009D7677">
      <w:pPr>
        <w:pStyle w:val="TextoNormal"/>
      </w:pPr>
    </w:p>
    <w:p w14:paraId="7D8A0241" w14:textId="77777777" w:rsidR="009D7677" w:rsidRDefault="009D7677" w:rsidP="009D7677">
      <w:pPr>
        <w:pStyle w:val="TextoNormal"/>
      </w:pPr>
      <w:r>
        <w:t>Don Alí Aarrass fue entregado a Marruecos el 14 de diciembre de 2010.</w:t>
      </w:r>
    </w:p>
    <w:p w14:paraId="443E6B17" w14:textId="77777777" w:rsidR="009D7677" w:rsidRDefault="009D7677" w:rsidP="009D7677">
      <w:pPr>
        <w:pStyle w:val="TextoNormal"/>
      </w:pPr>
    </w:p>
    <w:p w14:paraId="083F1DD9" w14:textId="77777777" w:rsidR="009D7677" w:rsidRDefault="009D7677" w:rsidP="009D7677">
      <w:pPr>
        <w:pStyle w:val="TextoNormal"/>
      </w:pPr>
      <w:r>
        <w:t>j) El grupo de trabajo sobre la detención arbitraria del Consejo de Derechos Humanos de la Asamblea General de Naciones Unidas emitió el 25 de junio de 2013 la opinión 25/2013, en la que examina las alegaciones que don Alí Aarrass presentó el 2 de mayo de 2011 informando sobre las supuestas torturas de las que habría sido objeto desde su llegada a Marruecos por parte de las autoridades de dicho país.</w:t>
      </w:r>
    </w:p>
    <w:p w14:paraId="65906816" w14:textId="77777777" w:rsidR="009D7677" w:rsidRDefault="009D7677" w:rsidP="009D7677">
      <w:pPr>
        <w:pStyle w:val="TextoNormal"/>
      </w:pPr>
    </w:p>
    <w:p w14:paraId="4BF3E582" w14:textId="77777777" w:rsidR="009D7677" w:rsidRDefault="009D7677" w:rsidP="009D7677">
      <w:pPr>
        <w:pStyle w:val="TextoNormal"/>
      </w:pPr>
      <w:r>
        <w:t>En dicha opinión —que se adjunta con la demanda de amparo— el grupo de trabajo lamenta que, siendo unas acusaciones tan graves, el Gobierno de Marruecos no haya respondido a las mismas (apartado 29); advierte que la Ley de 3 de marzo de 2003 contra la lucha del terrorismo de dicho Estado no permite el acceso a un abogado sino tras un periodo de seis días, lo que aumenta el riesgo de torturas de los detenidos (apartado 30); expresa que el Comité está preocupado sobre las numerosas alegaciones de torturas que serían cometidas por oficiales de policía y agentes penitenciarios, particularmente aquellos encargados de la vigilancia del terrorismo (apartado 31). Concluye que dichas observaciones corroboran las alegaciones de don Alí Aarrass y, ante la ausencia de contestación por parte del Gobierno de Marruecos, afirma que no se puede garantizar un proceso justo y equitativo (apartado 33). Aprecia de este modo el Comité que la detención y condena, sobre la base de una confesión que habría sido obtenida mediante tortura, serían contrarias a los arts. 9, 10 y 11 de la Declaración universal de derechos humanos y 9 y 14 del Pacto internacional de derechos civiles y políticos, adoptado en Nueva York por la Asamblea General de las Naciones Unidas el 16 de diciembre de 1966 (PIDCP), de modo que insta al Gobierno marroquí a la inmediata liberación del interesado y al otorgamiento de una reparación adecuada (apartados 34 y 35).</w:t>
      </w:r>
    </w:p>
    <w:p w14:paraId="502A09C7" w14:textId="77777777" w:rsidR="009D7677" w:rsidRDefault="009D7677" w:rsidP="009D7677">
      <w:pPr>
        <w:pStyle w:val="TextoNormal"/>
      </w:pPr>
    </w:p>
    <w:p w14:paraId="07980F7C" w14:textId="77777777" w:rsidR="009D7677" w:rsidRDefault="009D7677" w:rsidP="009D7677">
      <w:pPr>
        <w:pStyle w:val="TextoNormal"/>
      </w:pPr>
      <w:r>
        <w:t>k) Posteriormente, el Comité contra la Tortura de Naciones Unidas emitió por su parte la decisión de 19 de mayo de 2014 —que también se adjunta a la demanda de amparo— resultado de la comunicación núm. 477/2011 formulada también por don Alí Aarrass contra Marruecos el 3 de octubre de 2011.</w:t>
      </w:r>
    </w:p>
    <w:p w14:paraId="04E6FDE2" w14:textId="77777777" w:rsidR="009D7677" w:rsidRDefault="009D7677" w:rsidP="009D7677">
      <w:pPr>
        <w:pStyle w:val="TextoNormal"/>
      </w:pPr>
    </w:p>
    <w:p w14:paraId="385C2164" w14:textId="77777777" w:rsidR="009D7677" w:rsidRDefault="009D7677" w:rsidP="009D7677">
      <w:pPr>
        <w:pStyle w:val="TextoNormal"/>
      </w:pPr>
      <w:r>
        <w:t xml:space="preserve">En dicha comunicación el Comité toma nota de las quejas presentadas por don Alí Aarrass, en las que relata que desde su llegada a Marruecos el 14 de diciembre de 2010 estuvo detenido y fue sometido a sesiones de tortura hasta el 23 de diciembre de 2010 con el fin de obligarlo a confesar (apartado 10.2) y, teniendo en cuenta el contexto de la falta de garantías durante la detención policial, la privación del acceso a un médico y el hecho de que el autor fuera obligado a firmar declaraciones en un idioma que no domina, y a falta de información facilitada por el Estado parte en la que se cuestionen estas alegaciones, la decisión declara que Marruecos no ha cumplido sus obligaciones en virtud del art. 2, párrafo 1, y el art. 11 de la Convención contra la tortura y otros tratos o penas crueles, inhumanos o degradantes (apartado 10.3). También aprecia la vulneración de los arts. 12, 13 y 15 ante la ausencia de una actividad imparcial de investigación habiendo motivos razonables para creer que se habría cometido un acto de tortura, condenándose al autor basándose en sus confesiones (apartados 10.4 a 10.10). En consecuencia, el Comité insta a </w:t>
      </w:r>
      <w:r>
        <w:lastRenderedPageBreak/>
        <w:t>Marruecos a que le informe sobre las medidas tomadas, que deben incluir la apertura de una investigación imparcial y exhaustiva de las denuncias del autor que incluya la realización de exámenes médicos que se ajusten a las directrices del Protocolo de Estambul (apartado 12).</w:t>
      </w:r>
    </w:p>
    <w:p w14:paraId="7A9E1F2B" w14:textId="77777777" w:rsidR="009D7677" w:rsidRDefault="009D7677" w:rsidP="009D7677">
      <w:pPr>
        <w:pStyle w:val="TextoNormal"/>
      </w:pPr>
    </w:p>
    <w:p w14:paraId="55AB3B68" w14:textId="77777777" w:rsidR="009D7677" w:rsidRDefault="009D7677" w:rsidP="009D7677">
      <w:pPr>
        <w:pStyle w:val="TextoNormal"/>
      </w:pPr>
      <w:r>
        <w:t>l) El día 21 de julio de 2014 el Comité de Derechos Humanos de Naciones Unidas emitió el dictamen resultado de la comunicación núm. 2008/2010 presentada en su día por don Alí Aarrass contra el Estado español, en el que concluye que “la extradición del autor a Marruecos por el Estado parte constituyó una violación del artículo 7 del Pacto”.</w:t>
      </w:r>
    </w:p>
    <w:p w14:paraId="61ED34AC" w14:textId="77777777" w:rsidR="009D7677" w:rsidRDefault="009D7677" w:rsidP="009D7677">
      <w:pPr>
        <w:pStyle w:val="TextoNormal"/>
      </w:pPr>
    </w:p>
    <w:p w14:paraId="08F26E63" w14:textId="77777777" w:rsidR="009D7677" w:rsidRDefault="009D7677" w:rsidP="009D7677">
      <w:pPr>
        <w:pStyle w:val="TextoNormal"/>
      </w:pPr>
      <w:r>
        <w:t xml:space="preserve">Para llegar a dicha consideración “el Comité observa que la extradición del autor fue solicitada en el marco del proceso denominado caso </w:t>
      </w:r>
      <w:r w:rsidRPr="009D7677">
        <w:rPr>
          <w:i/>
        </w:rPr>
        <w:t>Belliraj</w:t>
      </w:r>
      <w:r>
        <w:t xml:space="preserve"> por delitos relacionados [con] actos de terrorismo, conforme al Código penal y la Ley 03/03 relativo a la lucha contra el terrorismo de Marruecos. En el proceso de extradición, la Audiencia Nacional tomó nota de información que indicaba el empleo de tortura para extraer confesiones, y los malos tratos infligidos por los agentes penitenciarios y por las fuerzas de seguridad en Marruecos, pero desechó las alegaciones del autor sobre el riesgo de tortura, señalando únicamente que estas vulneraciones no podían reputarse como sistemáticas y generalizadas. Sin embargo, el Comité observa que informes fidedignos presentados por el autor a la Audiencia Nacional e información de dominio público indicaban que en Marruecos muchas personas acusadas de crímenes relacionados [con] actos de terrorismo, en particular en el marco del caso </w:t>
      </w:r>
      <w:r w:rsidRPr="009D7677">
        <w:rPr>
          <w:i/>
        </w:rPr>
        <w:t>Belliraj</w:t>
      </w:r>
      <w:r>
        <w:t>, habían sido detenidas, incomunicadas y sometidas a severos malos tratos y tortura. En este contexto y a la luz de las personales circunstancias del autor como acusado de delitos vinculados a actos de terrorismo, el Comité considera que el Estado parte no evaluó adecuadamente el riesgo de tortura y severos malos tratos del autor” (apartado 10.4 del dictamen).</w:t>
      </w:r>
    </w:p>
    <w:p w14:paraId="1D988883" w14:textId="77777777" w:rsidR="009D7677" w:rsidRDefault="009D7677" w:rsidP="009D7677">
      <w:pPr>
        <w:pStyle w:val="TextoNormal"/>
      </w:pPr>
    </w:p>
    <w:p w14:paraId="54FFEE9B" w14:textId="77777777" w:rsidR="009D7677" w:rsidRDefault="009D7677" w:rsidP="009D7677">
      <w:pPr>
        <w:pStyle w:val="TextoNormal"/>
      </w:pPr>
      <w:r>
        <w:t>Tras esta apreciación establece que de conformidad con lo previsto en el art. 2, párrafo 3, letra a) PIDCP, “el Estado parte tiene la obligación de proporcionar al autor un recurso efectivo, que incluya: (i) proporcionar una compensación adecuada por la violación sufrida, teniendo en cuenta los actos de tortura y malos tratos a que fue expuesto como consecuencia de su extradición a Marruecos; y (ii) tomar todas las medidas de cooperación posibles con las autoridades marroquíes para asegurar un monitoreo efectivo del trato del autor en Marruecos. El Estado parte tiene también la obligación de adoptar medidas para evitar que se cometan violaciones semejantes en el futuro”. Asimismo, se establece también el deseo del Comité de recibir del Reino de España información acerca de las medidas adoptadas en aplicación del dictamen.</w:t>
      </w:r>
    </w:p>
    <w:p w14:paraId="150CB720" w14:textId="77777777" w:rsidR="009D7677" w:rsidRDefault="009D7677" w:rsidP="009D7677">
      <w:pPr>
        <w:pStyle w:val="TextoNormal"/>
      </w:pPr>
    </w:p>
    <w:p w14:paraId="20641514" w14:textId="77777777" w:rsidR="009D7677" w:rsidRDefault="009D7677" w:rsidP="009D7677">
      <w:pPr>
        <w:pStyle w:val="TextoNormal"/>
      </w:pPr>
      <w:r>
        <w:t>m) Tras la emisión del descrito dictamen la entonces letrada del hoy recurrente en amparo, de nacionalidad belga, remitió los días 19 y 29 de septiembre y 15 de octubre de 2014 tres correos electrónicos sucesivos —el primero en lengua francesa— al Ministerio de Justicia en los que solicitó información acerca de cómo se iba a dar cumplimiento al dictamen recaído en la comunicación 2008/2010, interesándose específicamente sobre “[c]ómo España imagina la compensación?”.</w:t>
      </w:r>
    </w:p>
    <w:p w14:paraId="455AE3C9" w14:textId="77777777" w:rsidR="009D7677" w:rsidRDefault="009D7677" w:rsidP="009D7677">
      <w:pPr>
        <w:pStyle w:val="TextoNormal"/>
      </w:pPr>
    </w:p>
    <w:p w14:paraId="76F0CBB0" w14:textId="77777777" w:rsidR="009D7677" w:rsidRDefault="009D7677" w:rsidP="009D7677">
      <w:pPr>
        <w:pStyle w:val="TextoNormal"/>
      </w:pPr>
      <w:r>
        <w:t xml:space="preserve">La Abogacía General del Estado envió el día 15 de octubre de 2014 un correo electrónico contestando a dichos mensajes y haciendo saber que las autoridades españolas “están estudiando la manera de dar seguimiento al mismo” y añadiendo que “[l]as cuestiones </w:t>
      </w:r>
      <w:r>
        <w:lastRenderedPageBreak/>
        <w:t>planteadas implican a varios departamentos ministeriales y requieren la necesaria coordinación interna”. Se afirma también en dicha comunicación que el Reino de España informará al Comité en el plazo de 180 días acerca de las medidas que se adopten al respecto y que los representantes de don Alí Aarrass serán también informados de la respuesta que España formule a dicho Comité.</w:t>
      </w:r>
    </w:p>
    <w:p w14:paraId="6BC890C5" w14:textId="77777777" w:rsidR="009D7677" w:rsidRDefault="009D7677" w:rsidP="009D7677">
      <w:pPr>
        <w:pStyle w:val="TextoNormal"/>
      </w:pPr>
    </w:p>
    <w:p w14:paraId="42A0B85C" w14:textId="77777777" w:rsidR="009D7677" w:rsidRDefault="009D7677" w:rsidP="009D7677">
      <w:pPr>
        <w:pStyle w:val="TextoNormal"/>
      </w:pPr>
      <w:r>
        <w:t>El 26 de febrero de 2015 la Abogacía General del Estado remitió oficio al Comité de Derechos Humanos referido a la labor de seguimiento y publicidad desarrollada por el Gobierno de España para dar cumplimiento al dictamen recaído en la comunicación 2008/2010. El oficio —que aporta el abogado del Estado—, tras explicar que “el Estado español no ha resuelto modificar la Ley de extradición pasiva, […] que no adolece de defecto en cuanto a su adecuación al nivel de protección de los derechos fundamentales reconocidos por la Constitución”, aborda, en el apartado 12, la primera recomendación del Comité relativa al reconocimiento de una compensación adecuada a la violación sufrida. Sobre dicha cuestión traslada al Comité que “[s]in prejuzgar por nuestra parte ahora el eventual resultado de una reclamación de responsabilidad extracontractual que el interesado pudiera deducir ante el departamento ministerial correspondiente, competente por razón de la materia, sobre la base del dictamen como título jurídico-material en sí mismo, y de la en su caso ulterior vía judicial contenciosa, lo cierto es que el estado actual de la jurisprudencia se inclina por la ausencia de reconocimiento de ejecutoriedad directa del dictamen como título formal, es decir, por la improcedencia de la invocación ante las autoridades administrativas o ante los tribunales españoles con el fin de obtener una ejecución directa sin más trámite, sin interposición de resolución administrativa o jurisdiccional previa de Derecho interno, del contenido del dictamen del comité respectivo”.</w:t>
      </w:r>
    </w:p>
    <w:p w14:paraId="25A8A5EA" w14:textId="77777777" w:rsidR="009D7677" w:rsidRDefault="009D7677" w:rsidP="009D7677">
      <w:pPr>
        <w:pStyle w:val="TextoNormal"/>
      </w:pPr>
    </w:p>
    <w:p w14:paraId="5B8FE97E" w14:textId="77777777" w:rsidR="009D7677" w:rsidRDefault="009D7677" w:rsidP="009D7677">
      <w:pPr>
        <w:pStyle w:val="TextoNormal"/>
      </w:pPr>
      <w:r>
        <w:t>Con posterioridad, el Ministerio de Justicia envía al Comité de Derechos Humanos un segundo informe de seguimiento elaborado por la Abogacía General del Estado, de fecha 8 de enero de 2016, en el que se informa que el recurrente “presentó la petición de compensación adecuada ante las autoridades españolas por medio del procedimiento de responsabilidad patrimonial de la administración del Estado, dicho procedimiento se tramita ante el Ministerio de Justicia”. En este informe también se relacionan las medidas de carácter general adoptadas por el Reino de España para dar efectividad al Pacto, así como las medidas relativas al monitoreo efectivo del trato dispensado por las autoridades marroquíes.</w:t>
      </w:r>
    </w:p>
    <w:p w14:paraId="259876E6" w14:textId="77777777" w:rsidR="009D7677" w:rsidRDefault="009D7677" w:rsidP="009D7677">
      <w:pPr>
        <w:pStyle w:val="TextoNormal"/>
      </w:pPr>
    </w:p>
    <w:p w14:paraId="0A2F5B0C" w14:textId="77777777" w:rsidR="009D7677" w:rsidRDefault="009D7677" w:rsidP="009D7677">
      <w:pPr>
        <w:pStyle w:val="TextoNormal"/>
      </w:pPr>
      <w:r>
        <w:t>n) El día 20 de julio de 2015 don Alí Aarrass presentó ante el Ministerio de Justicia una reclamación por responsabilidad patrimonial de la administración del Estado por funcionamiento anormal de la administración de justicia, instando el reconocimiento de una indemnización global de 3 245 879,73 €, como consecuencia de los daños y perjuicios sufridos por la situación de indebido enjuiciamiento y prisión, junto con las torturas padecidas en Marruecos, “consecuencia de la negligente decisión de España de extraditar a mi representado”.</w:t>
      </w:r>
    </w:p>
    <w:p w14:paraId="6FE50235" w14:textId="77777777" w:rsidR="009D7677" w:rsidRDefault="009D7677" w:rsidP="009D7677">
      <w:pPr>
        <w:pStyle w:val="TextoNormal"/>
      </w:pPr>
    </w:p>
    <w:p w14:paraId="194C61AB" w14:textId="77777777" w:rsidR="009D7677" w:rsidRDefault="009D7677" w:rsidP="009D7677">
      <w:pPr>
        <w:pStyle w:val="TextoNormal"/>
      </w:pPr>
      <w:r>
        <w:t xml:space="preserve">En dicha reclamación se explica que “efectivamente, hubo un funcionamiento anormal de la administración de justicia, al no evaluarse, como refiere el Comité, de forma acertada por parte del tribunal los riesgos ciertos y evidentes de tortura que se cernían sobre mi representado en caso de ser extraditado, como así ocurrió, pese a la obligación que la legislación vigente le imponía con respecto a la adopción de garantías frente a una probable </w:t>
      </w:r>
      <w:r>
        <w:lastRenderedPageBreak/>
        <w:t>situación de tortura”; también precisa que “el título jurídico material para establecer la responsabilidad patrimonial del Estado Español por los daños y perjuicios sufridos por mi representado se sustenta en el dictamen de 21 de julio de 2014, respecto de la comunicación 2008/2010, del Comité de Derechos Humanos de Naciones Unidas […], que estableció, sin lugar a dudas, que ‘el Estado parte no evaluó adecuadamente el riesgo de tortura y severos malos tratos del autor’, constituyendo su extradición a Marruecos una ‘violación del artículo 7 del Pacto’ [internacional de derechos civiles y políticos]”.</w:t>
      </w:r>
    </w:p>
    <w:p w14:paraId="48530B1E" w14:textId="77777777" w:rsidR="009D7677" w:rsidRDefault="009D7677" w:rsidP="009D7677">
      <w:pPr>
        <w:pStyle w:val="TextoNormal"/>
      </w:pPr>
    </w:p>
    <w:p w14:paraId="58C57C21" w14:textId="77777777" w:rsidR="009D7677" w:rsidRDefault="009D7677" w:rsidP="009D7677">
      <w:pPr>
        <w:pStyle w:val="TextoNormal"/>
      </w:pPr>
      <w:r>
        <w:t>Y tras hacer mención de la falta de implementación del Plan de derechos humanos del Gobierno de España, aprobado en Consejo de Ministros de 12 de diciembre de 2008, subraya el compromiso del Estado español de “procurar la ejecutividad de las sentencias, dictámenes y recomendaciones de los organismos internacionales, como es el caso que nos ocupa”. Por lo que concluye que “a falta de un procedimiento específico, debe ser aplicable, para la ejecución de los aspectos compensatorios, en el plano estrictamente económico, de la comunicación 2008/2010 del Comité de Derechos Humanos de Naciones Unidas y por todos los perjuicios sufridos por mi representado a que se ha hecho mención en el cuerpo de este escrito, el procedimiento previsto para la reclamación por responsabilidad patrimonial derivada de funcionamiento anormal de la administración de justicia, a tramitar ante este Ministerio”.</w:t>
      </w:r>
    </w:p>
    <w:p w14:paraId="195F862E" w14:textId="77777777" w:rsidR="009D7677" w:rsidRDefault="009D7677" w:rsidP="009D7677">
      <w:pPr>
        <w:pStyle w:val="TextoNormal"/>
      </w:pPr>
    </w:p>
    <w:p w14:paraId="1433C269" w14:textId="77777777" w:rsidR="009D7677" w:rsidRDefault="009D7677" w:rsidP="009D7677">
      <w:pPr>
        <w:pStyle w:val="TextoNormal"/>
      </w:pPr>
      <w:r>
        <w:t>ñ) El 23 de noviembre de 2015, el Ministerio de Justicia acusó recibo de la reclamación, que daba inicio al expediente núm. 425/2015, a cuyo efecto dio un plazo de diez días para que el recurrente facilitase la referencia del procedimiento judicial de extradición seguido por la Sección Segunda de la Sala de lo Penal de la Audiencia Nacional, de la que derivaba la reclamación económica. Tras haber intentado infructuosamente la notificación en una dirección incorrecta se notificó por correo electrónico el 22 de diciembre de 2015, y dicha información se aportó el 5 de enero de 2016.</w:t>
      </w:r>
    </w:p>
    <w:p w14:paraId="7FA7B538" w14:textId="77777777" w:rsidR="009D7677" w:rsidRDefault="009D7677" w:rsidP="009D7677">
      <w:pPr>
        <w:pStyle w:val="TextoNormal"/>
      </w:pPr>
    </w:p>
    <w:p w14:paraId="0E4E70E7" w14:textId="77777777" w:rsidR="009D7677" w:rsidRDefault="009D7677" w:rsidP="009D7677">
      <w:pPr>
        <w:pStyle w:val="TextoNormal"/>
      </w:pPr>
      <w:r>
        <w:t>La subdirectora general de Relaciones con la Administración de Justicia remitió el 15 de febrero de 2016 al Consejo General del Poder judicial el expediente a efectos de la emisión del preceptivo informe sobre la reclamación planteada. En su reunión de 19 de enero de 2017 la Comisión Permanente del Consejo aprobó el informe núm. 37/2016, en el que concluye que no nos encontramos ante un funcionamiento anormal de la administración de justicia en la medida en que dicho título de imputación no se corresponde con el hecho causante de la lesión que se denuncia y que constata el Comité de Derechos Humanos. Llega a esta conclusión tras apreciar que “la violación del Pacto constatada por el Comité de Derechos Humanos se imputa a una resolución judicial”, en concreto, “[e]l dictamen del Comité de Derechos Humanos viene a imputar, así, la lesión del derecho reconocido en el artículo 7 del Pacto al auto 35/2008, de 21 de noviembre de 2008, de la Sección Segunda de la Sala de lo Penal de la Audiencia Nacional, cuyo contenido fue ratificado en su integridad por el auto 4/2009, de 23 de enero de 2009, del Pleno de la Sala de lo Penal […]. El origen de la lesión radica, pues, a juicio del Comité, en un ejercicio de la función jurisdiccional no adecuado al mandato contenido en el artículo 7 del Pacto que, de acuerdo con la interpretación del órgano internacional, exige a los Estados parte ‘no extraditar, deportar, expulsar o retirar de otro modo a una persona de su territorio cuando hay razones de peso para creer que existe un riesgo real de provocar un daño irreparable, como el contemplado por los artículos 6 y 7 del Pacto’, y en consecuencia ‘tener en cuenta todos los hechos y circunstancias pertinentes, entre ellos la situación general de los derechos huma</w:t>
      </w:r>
      <w:r>
        <w:lastRenderedPageBreak/>
        <w:t>nos en el país al que es deportado o extraditado el autor’ (punto 10.3 g del dictamen del Comité de Derechos Humanos, de 21 de julio de 2014 [CCPR/C/lll/D/2008/2010])”. De este modo concreta el informe que “cuando el evento indemnizable se vincula al ejercicio de la potestad jurisdiccional […] nos encontramos ante hipótesis que caen fuera del título funcionamiento anormal de la Administración de Justicia y que habrán de residenciarse, eventualmente, en sede de error judicial, cuya valoración no puede realizar este Consejo”.</w:t>
      </w:r>
    </w:p>
    <w:p w14:paraId="38F6AA91" w14:textId="77777777" w:rsidR="009D7677" w:rsidRDefault="009D7677" w:rsidP="009D7677">
      <w:pPr>
        <w:pStyle w:val="TextoNormal"/>
      </w:pPr>
    </w:p>
    <w:p w14:paraId="336FA083" w14:textId="77777777" w:rsidR="009D7677" w:rsidRDefault="009D7677" w:rsidP="009D7677">
      <w:pPr>
        <w:pStyle w:val="TextoNormal"/>
      </w:pPr>
      <w:r>
        <w:t>o) La representación de don Alí Aarrass interpuso, el 21 de diciembre de 2016, recurso contencioso-administrativo contra la desestimación presunta de la reclamación de la responsabilidad patrimonial de la administración de justicia que se tramitó ante la Sección Tercera de la Sala de lo Contencioso-Administrativo de la Audiencia Nacional (procedimiento ordinario núm. 989-2016). Tras la entrega del expediente administrativo, el actor formalizó demanda el 21 de marzo de 2017, solicitando una indemnización de 3 245 879,73 € más los intereses desde la fecha de la reclamación, como consecuencia de los daños sufridos imputables al funcionamiento anormal de la administración de justicia que no evaluó los riesgos ciertos de tortura que se cernían sobre don Alí Aarrass en caso de ser extraditado a Marruecos.</w:t>
      </w:r>
    </w:p>
    <w:p w14:paraId="71195D59" w14:textId="77777777" w:rsidR="009D7677" w:rsidRDefault="009D7677" w:rsidP="009D7677">
      <w:pPr>
        <w:pStyle w:val="TextoNormal"/>
      </w:pPr>
    </w:p>
    <w:p w14:paraId="689D01D9" w14:textId="77777777" w:rsidR="009D7677" w:rsidRDefault="009D7677" w:rsidP="009D7677">
      <w:pPr>
        <w:pStyle w:val="TextoNormal"/>
      </w:pPr>
      <w:r>
        <w:t>(i) La Sección Tercera de la Sala de lo Contencioso-Administrativo de la Audiencia Nacional dictó sentencia el 2 de febrero de 2018 desestimando el recurso contencioso-administrativo interpuesto y confirmando la desestimación presunta de la reclamación de responsabilidad patrimonial por el funcionamiento anormal de la administración de justicia) Comienza la Sala en el fundamento jurídico tercero explicando que “el valor vinculante de los dictámenes del citado Comité ha sido cuestionado por nuestra jurisprudencia”, con referencia a la jurisprudencia del Tribunal Supremo (STS de 25 de julio de 2002) y del Tribunal Constitucional (STC 70/2002, de 3 de abril), y tras el examen del art. 2 del Pacto internacional de derechos civiles y políticos, hecho en Nueva York el 19 de diciembre de 1996 (PIDCP) interpreta que este “no impone a los Estados parte el deber de indemnizar de manera inmediata y directa a los perjudicados, cuando el Comité de Derechos Humanos concluya que un Estado parte ha violado los derechos o libertades reconocidos en el Pacto, sino la obligación de articular un procedimiento que haga posible reclamar la indemnización que proceda. Nótese que el dictamen de autos, en su punto 12, con remisión a lo señalado en el artículo 2, párrafo 3 a) del Pacto, habla de la obligación de proporcionar al autor un ‘recurso efectivo’”. De esta forma concluye que le corresponde enjuiciar el litigio como un supuesto más de desestimación de una reclamación de responsabilidad patrimonial de la administración de justicia.</w:t>
      </w:r>
    </w:p>
    <w:p w14:paraId="06EB355F" w14:textId="77777777" w:rsidR="009D7677" w:rsidRDefault="009D7677" w:rsidP="009D7677">
      <w:pPr>
        <w:pStyle w:val="TextoNormal"/>
      </w:pPr>
    </w:p>
    <w:p w14:paraId="473783C3" w14:textId="77777777" w:rsidR="009D7677" w:rsidRDefault="009D7677" w:rsidP="009D7677">
      <w:pPr>
        <w:pStyle w:val="TextoNormal"/>
      </w:pPr>
      <w:r>
        <w:t xml:space="preserve">(ii) A continuación, en el fundamento jurídico cuarto, recuerda la diferenciación constitucional y legal que nuestro ordenamiento hace de los distintos regímenes de responsabilidad patrimonial. Por un lado, “[e]n la Constitución se establece un régimen diferente de responsabilidad para los daños causados a los particulares como consecuencia del funcionamiento de los servicios públicos de la administración, que ya fuese aquel normal o anormal, generan responsabilidad y que aparece recogido en el artículo 106.2 de la Constitución precepto este que aparece incardinado en el título IV de la misma, intitulado ‘Del Gobierno y de la Administración’, y que resulta desarrollado en el artículo 139 de la Ley 30/1992 mientras que la responsabilidad del Estado por los daños causados por error judicial o funcionamiento anormal de la administración de justicia viene establecida de forma discriminada positivamente por la propia Constitución en su artículo 121.2, precepto que </w:t>
      </w:r>
      <w:r>
        <w:lastRenderedPageBreak/>
        <w:t>forma parte del título VI ‘Del Poder Judicial’ [….] con lo que claramente se está indicando que solo en la forma que la ley diga procederá la indemnización por los daños así producidos, lo que nos lleva directamente a los arts. 292 a 297 de la Ley Orgánica de 1 de julio de 1985, del Poder Judicial, en donde se recogen los supuestos de procedencia de tal responsabilidad”.</w:t>
      </w:r>
    </w:p>
    <w:p w14:paraId="592963BF" w14:textId="77777777" w:rsidR="009D7677" w:rsidRDefault="009D7677" w:rsidP="009D7677">
      <w:pPr>
        <w:pStyle w:val="TextoNormal"/>
      </w:pPr>
    </w:p>
    <w:p w14:paraId="46E195F4" w14:textId="77777777" w:rsidR="009D7677" w:rsidRDefault="009D7677" w:rsidP="009D7677">
      <w:pPr>
        <w:pStyle w:val="TextoNormal"/>
      </w:pPr>
      <w:r>
        <w:t>Sentado lo anterior, la Audiencia Nacional limita el objeto del recurso “al ámbito que le es propio, a la reclamación patrimonial suscitada en el ámbito del art. 292 de la LOPJ sobre la premisa argumental de que la autoridad judicial española no debería haber dado curso a la extradición solicitada por el Reino de Marruecos”.</w:t>
      </w:r>
    </w:p>
    <w:p w14:paraId="2F46DB59" w14:textId="77777777" w:rsidR="009D7677" w:rsidRDefault="009D7677" w:rsidP="009D7677">
      <w:pPr>
        <w:pStyle w:val="TextoNormal"/>
      </w:pPr>
    </w:p>
    <w:p w14:paraId="12D6841D" w14:textId="77777777" w:rsidR="009D7677" w:rsidRDefault="009D7677" w:rsidP="009D7677">
      <w:pPr>
        <w:pStyle w:val="TextoNormal"/>
      </w:pPr>
      <w:r>
        <w:t>(iii) Sobre la base de estas premisas, en el mismo fundamento jurídico cuarto, afirma, en primer lugar, que “[l]a posición de la recurrente no puede asumirse en la medida que, bajo la referencia a un supuesto funcionamiento anormal necesario para dar cobertura a su reclamación dirigida directamente al ministro de Justicia, es palmario que el punto sobre el que gravita su reclamación patrimonial viene determinado, exclusivamente, por unas resoluciones judiciales firmes y lo que en realidad se está cuestionando es lo dispuesto en las mismas, resoluciones que hasta la fecha no han sido declaradas erróneas por los cauces del art. 293 LOPJ y cuyo acierto o desacierto, en hechos y/o derecho, incluso en su temporalidad, por muy evidente que pueda parecerle al actor, no compete valorar a esta Sala en el seno del procedimiento aquí instaurado por funcionamiento anormal del art. 292 de la LOPJ”.</w:t>
      </w:r>
    </w:p>
    <w:p w14:paraId="21943A79" w14:textId="77777777" w:rsidR="009D7677" w:rsidRDefault="009D7677" w:rsidP="009D7677">
      <w:pPr>
        <w:pStyle w:val="TextoNormal"/>
      </w:pPr>
    </w:p>
    <w:p w14:paraId="0ED2A231" w14:textId="77777777" w:rsidR="009D7677" w:rsidRDefault="009D7677" w:rsidP="009D7677">
      <w:pPr>
        <w:pStyle w:val="TextoNormal"/>
      </w:pPr>
      <w:r>
        <w:t>Para apoyar esta conclusión explica que cabe hablar de “error judicial” cuando el perjuicio “deriv[a] de un pronunciamiento emitido (acción) o debido de emitir (omisión) por un juez, magistrado o tribunal en el ejercicio de su actividad jurisdiccional”, cuando se desconozcan hechos básicos relevantes que resulten indiscutiblemente del expediente, o se hiciera una interpretación de los mismos manifiestamente absurda o errónea; mientras que el “funcionamiento anormal” abarca “cualquier defecto en la actuación de los juzgados y tribunales, concebidos como complejo orgánico en el que se integran diversas personas, servicios, medios y actividades”.</w:t>
      </w:r>
    </w:p>
    <w:p w14:paraId="6ED9FC81" w14:textId="77777777" w:rsidR="009D7677" w:rsidRDefault="009D7677" w:rsidP="009D7677">
      <w:pPr>
        <w:pStyle w:val="TextoNormal"/>
      </w:pPr>
    </w:p>
    <w:p w14:paraId="4CF0887B" w14:textId="77777777" w:rsidR="009D7677" w:rsidRDefault="009D7677" w:rsidP="009D7677">
      <w:pPr>
        <w:pStyle w:val="TextoNormal"/>
      </w:pPr>
      <w:r>
        <w:t>En segundo lugar, declara que no le compete valorar la concurrencia de los parámetros de un posible error judicial que de fondo defiende, “y sin que las muy específicas exigencias del art. 293 de la LOPJ puedan entenderse cumplidas, sin más, por los dictámenes del Comité de Derechos Humanos de las Naciones Unidas, dictámenes que carecen de fuerza ejecutiva y que ni siquiera sirven de título de imputación para la responsabilidad patrimonial pretendida con carácter general como es la del Estado legislador (cuanto menos para la responsabilidad patrimonial especial de la administración de justicia sustentada de base en lo que solo puede tratarse como un caso de un pretendido error judicial)”.</w:t>
      </w:r>
    </w:p>
    <w:p w14:paraId="0F11FA9F" w14:textId="77777777" w:rsidR="009D7677" w:rsidRDefault="009D7677" w:rsidP="009D7677">
      <w:pPr>
        <w:pStyle w:val="TextoNormal"/>
      </w:pPr>
    </w:p>
    <w:p w14:paraId="5E72603C" w14:textId="77777777" w:rsidR="009D7677" w:rsidRDefault="009D7677" w:rsidP="009D7677">
      <w:pPr>
        <w:pStyle w:val="TextoNormal"/>
      </w:pPr>
      <w:r>
        <w:t>(iv) Finalmente, tras recordar que “todos tenemos el deber de soportar las consecuencias de resoluciones judiciales no revisadas ni declaradas erróneas por los cauces legalmente marcados”, concluye que “el Derecho español tiene un cauce específico que da cumplimiento al recurso efectivo para poder obtener en su caso la reparación pretendida y el recurrente es el único responsable de no haber seguido el procedimiento legalmente marcado para hacer valer el error judicial que en el fondo defiende algo que, como ya hemos dicho, no puede cuestionarse ante esta Sala ni en el seno del procedimiento aquí arti</w:t>
      </w:r>
      <w:r>
        <w:lastRenderedPageBreak/>
        <w:t>culado por funcionamiento anormal de la administración de justicia española a la que, además, no le son imputables las consecuencias directas de actuaciones de autoridades gubernativas o judiciales extranjeras”.</w:t>
      </w:r>
    </w:p>
    <w:p w14:paraId="68B7395E" w14:textId="77777777" w:rsidR="009D7677" w:rsidRDefault="009D7677" w:rsidP="009D7677">
      <w:pPr>
        <w:pStyle w:val="TextoNormal"/>
      </w:pPr>
    </w:p>
    <w:p w14:paraId="0D2EB069" w14:textId="77777777" w:rsidR="009D7677" w:rsidRDefault="009D7677" w:rsidP="009D7677">
      <w:pPr>
        <w:pStyle w:val="TextoNormal"/>
      </w:pPr>
      <w:r>
        <w:t xml:space="preserve">p) Contra la anterior sentencia don Alí Aarrass presentó escrito de preparación de recurso de casación, identificando en el apartado II de los requisitos de admisibilidad como normas infringidas [art. 89.2 a) de la Ley reguladora de la jurisdicción contencioso-administrativa (LJCA)], los arts. 121 y 106.2 CE, 292.1 de la Ley Orgánica 6/1985, de 1 de julio, del Poder Judicial (LOPJ) y 139.1 de la Ley 30/1992, de 26 de noviembre, de régimen jurídico de las administraciones públicas y del procedimiento administrativo común (Ley 30/1992); la Convención contra la tortura y otros tratos o penas crueles, inhumanos o degradantes; los arts. 15 CE, 3 y 13 CEDH y 2.3 PIDCP; y como jurisprudencia infringida las SSTC 32/2003, de 13 de febrero, y 140/2007, de 4 de junio, y la STEDH de 7 de julio de 1989, asunto </w:t>
      </w:r>
      <w:r w:rsidRPr="009D7677">
        <w:rPr>
          <w:i/>
        </w:rPr>
        <w:t>Soering c. Reino Unido</w:t>
      </w:r>
      <w:r>
        <w:t>. En el apartado III desarrolla el juicio de relevancia [art. 89.2 d) LJCA] y en el apartado IV explica la concurrencia de interés casacional objetivo con singular referencia a este caso concreto y la conveniencia de pronunciamiento por el Tribunal Supremo [art. 89.2 f) LJCA]. En síntesis, se pide al Alto Tribunal que aclare si estamos en presencia de un error judicial o de un funcionamiento anormal de la administración de justicia, cuál es el valor de los dictámenes del Comité de Derechos Humanos, y si existe la obligación de indemnizar al Estado español en casos de tortura cometida por autoridades de países a los que se haya extraditado a un ciudadano.</w:t>
      </w:r>
    </w:p>
    <w:p w14:paraId="4F939C89" w14:textId="77777777" w:rsidR="009D7677" w:rsidRDefault="009D7677" w:rsidP="009D7677">
      <w:pPr>
        <w:pStyle w:val="TextoNormal"/>
      </w:pPr>
    </w:p>
    <w:p w14:paraId="21E5629C" w14:textId="43094A99" w:rsidR="009D7677" w:rsidRDefault="009D7677" w:rsidP="009D7677">
      <w:pPr>
        <w:pStyle w:val="TextoNormal"/>
      </w:pPr>
      <w:r>
        <w:t>La Sección Tercera de la Sala de lo Contencioso-Administrativo de la Audiencia Nacional tuvo dicho recurso por preparado, mediante auto dictado el 26 de marzo de 2018, si bien este fue posteriormente inadmitido a trámite mediante providencia de 10 de enero de 2019 dictada por la Sección Primera de la Sala de lo Contencioso-Administrativo del Tribunal Supremo “por incumplimiento de las exigencias que el artículo 89.2 de la LJCA impone al escrito de preparación, al no haber justificado el presupuesto del artículo 88.3 a) —con base en el cual prepara el recurso— para que opere la presunción establecida en dicho precepto, dada la existencia de reiterada jurisprudencia sobre la cuestión planteada (requisitos del error judicial y la responsabilidad patrimonial por funcionamiento anormal de la administración de justicia)”.</w:t>
      </w:r>
    </w:p>
    <w:p w14:paraId="78B63B5F" w14:textId="77777777" w:rsidR="009D7677" w:rsidRDefault="009D7677" w:rsidP="009D7677">
      <w:pPr>
        <w:pStyle w:val="TextoNormal"/>
      </w:pPr>
    </w:p>
    <w:p w14:paraId="49209E01" w14:textId="77777777" w:rsidR="009D7677" w:rsidRDefault="009D7677" w:rsidP="009D7677">
      <w:pPr>
        <w:pStyle w:val="TextoNormal"/>
      </w:pPr>
      <w:r w:rsidRPr="009D7677">
        <w:rPr>
          <w:rStyle w:val="NumeroAFNegritaCaracter"/>
        </w:rPr>
        <w:t>3</w:t>
      </w:r>
      <w:r>
        <w:t>. En la demanda de amparo el recurrente denuncia que la desestimación presunta por parte del Ministerio de Justicia de su reclamación de responsabilidad patrimonial por funcionamiento anormal de la administración de justicia, la sentencia de 2 de febrero de 2018 de la Sección Tercera de la Sala de lo Contencioso-Administrativo de la Audiencia Nacional que confirma la misma y la providencia de 10 de enero de 2019 de la Sección Primera de la Sala de lo Contencioso-Administrativo del Tribunal Supremo que inadmite a trámite del recurso de casación han vulnerado los derechos fundamentales a la integridad física y moral, con interdicción de la tortura, penas y tratos inhumanos o degradantes (art. 15 CE) y a la tutela judicial efectiva con interdicción de la arbitrariedad (art. 24.1 CE). Califica el recurso de amparo como “mixto”, y en el suplico pide que, con el fin de restablecer la integridad de su derecho, se declare la “nulidad de las referidas resoluciones judiciales, ordenando retrotraer las actuaciones al momento anterior a dictarse la primera de ellas, debiéndose dictar por el órgano jurisdiccional una sentencia plenamente acorde con los derechos fundamentales del demandante”.</w:t>
      </w:r>
    </w:p>
    <w:p w14:paraId="3CDEF846" w14:textId="77777777" w:rsidR="009D7677" w:rsidRDefault="009D7677" w:rsidP="009D7677">
      <w:pPr>
        <w:pStyle w:val="TextoNormal"/>
      </w:pPr>
    </w:p>
    <w:p w14:paraId="3E277E0A" w14:textId="77777777" w:rsidR="009D7677" w:rsidRDefault="009D7677" w:rsidP="009D7677">
      <w:pPr>
        <w:pStyle w:val="TextoNormal"/>
      </w:pPr>
      <w:r>
        <w:lastRenderedPageBreak/>
        <w:t>a) El primer motivo de amparo lo refiere a la vulneración del derecho a la integridad física y moral, con interdicción de la tortura y penas o tratos inhumanos o degradantes (art. 15 CE).</w:t>
      </w:r>
    </w:p>
    <w:p w14:paraId="051DB2F5" w14:textId="77777777" w:rsidR="009D7677" w:rsidRDefault="009D7677" w:rsidP="009D7677">
      <w:pPr>
        <w:pStyle w:val="TextoNormal"/>
      </w:pPr>
    </w:p>
    <w:p w14:paraId="5F28093C" w14:textId="77777777" w:rsidR="009D7677" w:rsidRDefault="009D7677" w:rsidP="009D7677">
      <w:pPr>
        <w:pStyle w:val="TextoNormal"/>
      </w:pPr>
      <w:r>
        <w:t xml:space="preserve">El recurrente expone, con apoyo en las SSTC 32/2003 y 140/2007, que la especial naturaleza del procedimiento de extradición determina que si los órganos judiciales, siendo conocedores de la eventual vulneración de los derechos fundamentales en el país de destino, no la evitan con los medios de que disponen, a dichos órganos habrá de serles imputable esa eventual vulneración de derechos fundamentales. Insiste en que el Tribunal Europeo de Derechos Humanos, en una jurisprudencia reiterada, ha afirmado que, cuando existen razones fundadas para creer que la persona cuya extradición se interesa se enfrenta a un riesgo real de ser sometido a un trato contrario al art. 3 CEDH, el Estado contratante no debe extraditarla (SSTEDH de 7 de julio de 1989, asunto </w:t>
      </w:r>
      <w:r w:rsidRPr="009D7677">
        <w:rPr>
          <w:i/>
        </w:rPr>
        <w:t>Soering c. Reino Unido</w:t>
      </w:r>
      <w:r>
        <w:t xml:space="preserve">, y de 9 de enero de 2018, </w:t>
      </w:r>
      <w:r w:rsidRPr="009D7677">
        <w:rPr>
          <w:i/>
        </w:rPr>
        <w:t>X c. Suecia</w:t>
      </w:r>
      <w:r>
        <w:t>, entre otras).</w:t>
      </w:r>
    </w:p>
    <w:p w14:paraId="2E4011CD" w14:textId="77777777" w:rsidR="009D7677" w:rsidRDefault="009D7677" w:rsidP="009D7677">
      <w:pPr>
        <w:pStyle w:val="TextoNormal"/>
      </w:pPr>
    </w:p>
    <w:p w14:paraId="4B779F7F" w14:textId="77777777" w:rsidR="009D7677" w:rsidRDefault="009D7677" w:rsidP="009D7677">
      <w:pPr>
        <w:pStyle w:val="TextoNormal"/>
      </w:pPr>
      <w:r>
        <w:t>Con base en la anterior doctrina afirma que el “Estado español es responsable de la consecuencia de tortura recibida por mi representado en Marruecos, aunque la misma no se haya producido en territorio español ni por acción directa de agentes españoles”, y desarrolla a continuación las consecuencias que se derivan de dichas responsabilidades:</w:t>
      </w:r>
    </w:p>
    <w:p w14:paraId="66057F43" w14:textId="77777777" w:rsidR="009D7677" w:rsidRDefault="009D7677" w:rsidP="009D7677">
      <w:pPr>
        <w:pStyle w:val="TextoNormal"/>
      </w:pPr>
    </w:p>
    <w:p w14:paraId="6807B657" w14:textId="77777777" w:rsidR="009D7677" w:rsidRDefault="009D7677" w:rsidP="009D7677">
      <w:pPr>
        <w:pStyle w:val="TextoNormal"/>
      </w:pPr>
      <w:r>
        <w:t>(i) En primer lugar, entiende que la obligación de indemnización surge incluso sin la existencia del dictamen del Comité de Derechos Humanos, siendo así que “[l]a virtualidad de dicho dictamen […] es la de declarar, […] el padecimiento de tortura por parte del reclamante en Marruecos y su relación directa con la indebida extradición acordada por los tribunales españoles”.</w:t>
      </w:r>
    </w:p>
    <w:p w14:paraId="782CBB58" w14:textId="77777777" w:rsidR="009D7677" w:rsidRDefault="009D7677" w:rsidP="009D7677">
      <w:pPr>
        <w:pStyle w:val="TextoNormal"/>
      </w:pPr>
    </w:p>
    <w:p w14:paraId="5DFF9F6F" w14:textId="77777777" w:rsidR="009D7677" w:rsidRDefault="009D7677" w:rsidP="009D7677">
      <w:pPr>
        <w:pStyle w:val="TextoNormal"/>
      </w:pPr>
      <w:r>
        <w:t>(ii) Alega, asimismo, que no solo los tribunales españoles efectuaron una evaluación errónea de los peligros que sobre el mismo se cernían en Marruecos, sino que incluso “las autoridades españolas quebrantaron el principio de buena fe que comporta la adhesión al protocolo facultativo, que obliga a cooperar con el Comité”. A tal efecto reproduce los apartados 8.1, 8.2 y 8.3 del dictamen en los que el Comité concluye que el Estado incumplió las obligaciones contraídas en virtud del Protocolo facultativo al llevar a cabo la extradición antes de que pudiese concluir su consideración y examen y formular y comunicar el correspondiente dictamen. Y tras esta trascripción afirma que “estamos ante un funcionamiento anormal de la administración de justicia. El tribunal español aplicó el Derecho español vigente [...] pero, sin embargo, ‘no evaluó adecuadamente’ el riesgo de tortura en Marruecos en caso de extradición y, además, acordó la materialización de esta pese a que el propio Comité de Derechos Humanos había indicado a España que no debería procederse a ejecutar la extradición hasta que la queja ante el mismo hubiese sido sustanciada, explícita desatención al requerimiento del Comité que, desde luego, no cabe calificar de ‘error’”.</w:t>
      </w:r>
    </w:p>
    <w:p w14:paraId="7F449D87" w14:textId="77777777" w:rsidR="009D7677" w:rsidRDefault="009D7677" w:rsidP="009D7677">
      <w:pPr>
        <w:pStyle w:val="TextoNormal"/>
      </w:pPr>
    </w:p>
    <w:p w14:paraId="501135E4" w14:textId="77777777" w:rsidR="009D7677" w:rsidRDefault="009D7677" w:rsidP="009D7677">
      <w:pPr>
        <w:pStyle w:val="TextoNormal"/>
      </w:pPr>
      <w:r>
        <w:t xml:space="preserve">(iii) Aduce, por otro lado, que el mal funcionamiento de la administración de justicia se produjo también por las dilaciones indebidas en la tramitación de su solicitud de paralización de la extradición, como consecuencia de las medidas cautelares adoptadas por el Comité, “especialmente en su paso por Fiscalía”. Explica que, si bien dicha paralización se solicitó el 2 de diciembre de 2010, la Audiencia Nacional no se pronunció hasta el día 13 de diciembre de 2010, estando prevista la entrega del reclamado al día siguiente, privando </w:t>
      </w:r>
      <w:r>
        <w:lastRenderedPageBreak/>
        <w:t xml:space="preserve">así a la parte, </w:t>
      </w:r>
      <w:r w:rsidRPr="009D7677">
        <w:rPr>
          <w:i/>
        </w:rPr>
        <w:t>de facto</w:t>
      </w:r>
      <w:r>
        <w:t>, de la interposición del recurso de súplica que se ofrecía en dicho auto denegatorio.</w:t>
      </w:r>
    </w:p>
    <w:p w14:paraId="1381D6C5" w14:textId="77777777" w:rsidR="009D7677" w:rsidRDefault="009D7677" w:rsidP="009D7677">
      <w:pPr>
        <w:pStyle w:val="TextoNormal"/>
      </w:pPr>
    </w:p>
    <w:p w14:paraId="3DA0FE33" w14:textId="77777777" w:rsidR="009D7677" w:rsidRDefault="009D7677" w:rsidP="009D7677">
      <w:pPr>
        <w:pStyle w:val="TextoNormal"/>
      </w:pPr>
      <w:r>
        <w:t>El recurrente insiste de nuevo en que el deber de indemnizar por los daños sufridos no surge únicamente del dictamen del Comité, sino también de la legislación nacional e internacional aplicable, citando a tal efecto, entre otros, los arts. 96, 10.2 y 121 CE así como el art. 292.1 LOPJ, el art. 139.1 de la Ley 30/1992 y el art. 32 de la vigente Ley 40/2015, de 1 de octubre, de régimen jurídico del sector público (Ley 40/2015). Y se apoya también en la STS 1263/2018, de 17 de julio, dictada en un supuesto de reclamación patrimonial por funcionamiento anormal de la administración de justicia que tiene su origen en un dictamen del Comité para la eliminación de la discriminación contra la mujer (CEDAW) que reconoció el derecho a indemnización como consecuencia de la vulneración de determinados derechos fundamentales.</w:t>
      </w:r>
    </w:p>
    <w:p w14:paraId="3E3F2F89" w14:textId="77777777" w:rsidR="009D7677" w:rsidRDefault="009D7677" w:rsidP="009D7677">
      <w:pPr>
        <w:pStyle w:val="TextoNormal"/>
      </w:pPr>
    </w:p>
    <w:p w14:paraId="27EA5D7F" w14:textId="77777777" w:rsidR="009D7677" w:rsidRDefault="009D7677" w:rsidP="009D7677">
      <w:pPr>
        <w:pStyle w:val="TextoNormal"/>
      </w:pPr>
      <w:r>
        <w:t>Y concluye finalmente el examen de la lesión del art. 15 CE afirmando que “[p]or tanto, es evidente que tanto la administración del Estado, con su denegación presunta de la reclamación indemnizatoria, como los órganos jurisdiccionales que han desestimado el recurso contencioso administrativo, confirmando y ‘motivando’ la misma, han infringido el derecho fundamental del recurrente a la integridad física y moral y a no sufrir tortura”.</w:t>
      </w:r>
    </w:p>
    <w:p w14:paraId="6FA5A3D6" w14:textId="77777777" w:rsidR="009D7677" w:rsidRDefault="009D7677" w:rsidP="009D7677">
      <w:pPr>
        <w:pStyle w:val="TextoNormal"/>
      </w:pPr>
    </w:p>
    <w:p w14:paraId="78A97658" w14:textId="77777777" w:rsidR="009D7677" w:rsidRDefault="009D7677" w:rsidP="009D7677">
      <w:pPr>
        <w:pStyle w:val="TextoNormal"/>
      </w:pPr>
      <w:r>
        <w:t>b) La segunda causa de amparo se refiere a la infracción del derecho a la tutela judicial efectiva y a la interdicción de indefensión (art. 24.1 CE).</w:t>
      </w:r>
    </w:p>
    <w:p w14:paraId="38C30CAA" w14:textId="77777777" w:rsidR="009D7677" w:rsidRDefault="009D7677" w:rsidP="009D7677">
      <w:pPr>
        <w:pStyle w:val="TextoNormal"/>
      </w:pPr>
    </w:p>
    <w:p w14:paraId="1EFE1877" w14:textId="77777777" w:rsidR="009D7677" w:rsidRDefault="009D7677" w:rsidP="009D7677">
      <w:pPr>
        <w:pStyle w:val="TextoNormal"/>
      </w:pPr>
      <w:r>
        <w:t>En este apartado el recurrente denuncia que “los órganos jurisdiccionales han violado el principio de tutela judicial efectiva, al no haber ofrecido un remedio eficaz frente a la violación causada por la administración, basándose para ello en criterios anticonstitucionales”. Con base en esta premisa combate las afirmaciones o presuntas motivaciones “de abierto carácter inconstitucional” que contiene la sentencia dictada por la Sala de lo Contencioso-Administrativo de la Audiencia Nacional y que deben revisarse por parte de este tribunal:</w:t>
      </w:r>
    </w:p>
    <w:p w14:paraId="570C1EDC" w14:textId="77777777" w:rsidR="009D7677" w:rsidRDefault="009D7677" w:rsidP="009D7677">
      <w:pPr>
        <w:pStyle w:val="TextoNormal"/>
      </w:pPr>
    </w:p>
    <w:p w14:paraId="4B8BF924" w14:textId="77777777" w:rsidR="009D7677" w:rsidRDefault="009D7677" w:rsidP="009D7677">
      <w:pPr>
        <w:pStyle w:val="TextoNormal"/>
      </w:pPr>
      <w:r>
        <w:t>(i) En primer lugar, “cuando se establece la irrelevancia de los dictámenes del Comité de Derechos Humanos, con grave quebranto de lo dispuesto en el artículo 10.2 CE, además de en toda la legislación interna e internacional”, apoyándose el recurrente en las SSTC 245/1991, de 16 de diciembre; 97/1999, de 31 de mayo; 91/2000, de 30 de marzo; 116/2006, de 24 de abril, y 236/2007, de 7 de noviembre, que reproduce parcialmente.</w:t>
      </w:r>
    </w:p>
    <w:p w14:paraId="12AC47F9" w14:textId="77777777" w:rsidR="009D7677" w:rsidRDefault="009D7677" w:rsidP="009D7677">
      <w:pPr>
        <w:pStyle w:val="TextoNormal"/>
      </w:pPr>
    </w:p>
    <w:p w14:paraId="1BA01B5E" w14:textId="77777777" w:rsidR="009D7677" w:rsidRDefault="009D7677" w:rsidP="009D7677">
      <w:pPr>
        <w:pStyle w:val="TextoNormal"/>
      </w:pPr>
      <w:r>
        <w:t>(ii) En segundo lugar, también es abiertamente “anticonstitucional”, y viola la jurisprudencia del Tribunal Europeo de Derechos Humanos, la afirmación de que “a la administración de justicia española no le son imputables las consecuencias de actuaciones de autoridades gubernativas o judiciales extranjeras”.</w:t>
      </w:r>
    </w:p>
    <w:p w14:paraId="786B1782" w14:textId="77777777" w:rsidR="009D7677" w:rsidRDefault="009D7677" w:rsidP="009D7677">
      <w:pPr>
        <w:pStyle w:val="TextoNormal"/>
      </w:pPr>
    </w:p>
    <w:p w14:paraId="2E8D3E8C" w14:textId="77777777" w:rsidR="009D7677" w:rsidRDefault="009D7677" w:rsidP="009D7677">
      <w:pPr>
        <w:pStyle w:val="TextoNormal"/>
      </w:pPr>
      <w:r>
        <w:t xml:space="preserve">(iii) Finalmente, también defiende que “el pretexto de la sentencia de que, en todo caso, estaríamos ante un supuesto de error judicial y no de funcionamiento anormal de la administración de justicia […] [s]upone una interpretación inconstitucional, incompatible con el principio de tutela judicial efectiva, con la prohibición de indefensión, y con los principios de legalidad, seguridad jurídica y responsabilidad e interdicción de la arbitrariedad de los poderes públicos (art. 9.3 CE) y, consecuentemente con los principios de buena fe, </w:t>
      </w:r>
      <w:r>
        <w:lastRenderedPageBreak/>
        <w:t>confianza legítima y lealtad institucional que informan la actuación de la administración [art. 3.1e) de la Ley 40/2015, de 1 de octubre]”. En apoyo de esta última afirmación hace referencia a las distintas contestaciones dadas por la Abogacía General del Estado al recurrente y al Comité de Derechos Humanos:</w:t>
      </w:r>
    </w:p>
    <w:p w14:paraId="10C66004" w14:textId="77777777" w:rsidR="009D7677" w:rsidRDefault="009D7677" w:rsidP="009D7677">
      <w:pPr>
        <w:pStyle w:val="TextoNormal"/>
      </w:pPr>
    </w:p>
    <w:p w14:paraId="4B14F758" w14:textId="77777777" w:rsidR="009D7677" w:rsidRDefault="009D7677" w:rsidP="009D7677">
      <w:pPr>
        <w:pStyle w:val="TextoNormal"/>
      </w:pPr>
      <w:r>
        <w:t>- Explica el recurrente que si la vía adecuada de reclamación era el reconocimiento previo del error judicial la Abogacía del Estado se lo debía haber hecho “notar” en la contestación a sus correos electrónicos, “en virtud de los […] principios informadores de la actuación de la administración máxime cuando se trataba de un plazo breve y perentorio (estaba a menos de una semana de su vencimiento) y la reclamación la efectuaba una abogada extranjera, en nombre de un ciudadano extranjero en prisión en país extranjero e incomunicado, por lo que su posibilidad de conocimiento del brevísimo plazo preclusivo de reclamación por supuesto error judicial en el Derecho español […] era harto problemática”.</w:t>
      </w:r>
    </w:p>
    <w:p w14:paraId="06D3B5DE" w14:textId="77777777" w:rsidR="009D7677" w:rsidRDefault="009D7677" w:rsidP="009D7677">
      <w:pPr>
        <w:pStyle w:val="TextoNormal"/>
      </w:pPr>
    </w:p>
    <w:p w14:paraId="5301C4FE" w14:textId="77777777" w:rsidR="009D7677" w:rsidRDefault="009D7677" w:rsidP="009D7677">
      <w:pPr>
        <w:pStyle w:val="TextoNormal"/>
      </w:pPr>
      <w:r>
        <w:t>- En relación al informe remitido por la Abogacía del Estado al Comité de Derechos Humanos el 26 de febrero de 2015 observa que “se habla de reclamación ‘ante el departamento ministerial correspondiente’, sin alusión a la acción judicial para reconocimiento del error judicial”; e igualmente en el posterior informe de seguimiento del dictamen de 11 de febrero de 2016 remitido al Comité se informa que don Alí Aarrass ha presentado petición de compensación adecuada ante las autoridades españolas por medio del procedimiento de responsabilidad patrimonial de la administración de justicia, pero “sin hacer la menor mención al Comité sobre la presunta improcedencia del cauce utilizado para dicha reclamación patrimonial”.</w:t>
      </w:r>
    </w:p>
    <w:p w14:paraId="40719B12" w14:textId="77777777" w:rsidR="009D7677" w:rsidRDefault="009D7677" w:rsidP="009D7677">
      <w:pPr>
        <w:pStyle w:val="TextoNormal"/>
      </w:pPr>
    </w:p>
    <w:p w14:paraId="0B02E462" w14:textId="77777777" w:rsidR="009D7677" w:rsidRDefault="009D7677" w:rsidP="009D7677">
      <w:pPr>
        <w:pStyle w:val="TextoNormal"/>
      </w:pPr>
      <w:r>
        <w:t>El recurrente concluye el examen de la segunda vulneración denunciada afirmando que “[e]xistió, por tanto, un funcionamiento anormal de la administración de justicia española que, como tal, debió ser declarada por el Ministerio de Justicia y, en su defecto, por los tribunales de lo contencioso”.</w:t>
      </w:r>
    </w:p>
    <w:p w14:paraId="66E67C1A" w14:textId="77777777" w:rsidR="009D7677" w:rsidRDefault="009D7677" w:rsidP="009D7677">
      <w:pPr>
        <w:pStyle w:val="TextoNormal"/>
      </w:pPr>
    </w:p>
    <w:p w14:paraId="538FE920" w14:textId="52764204" w:rsidR="009D7677" w:rsidRDefault="009D7677" w:rsidP="009D7677">
      <w:pPr>
        <w:pStyle w:val="TextoNormal"/>
      </w:pPr>
      <w:r>
        <w:t xml:space="preserve">c) La demanda dedica un último apartado específico a justificar la especial trascendencia constitucional. A tal efecto, afirma que el problema iusfundamental que plantea el recurso es subsumible en el apartado a) del fundamento jurídico 2 de la STC 155/2009, de 25 de junio, —plantea un problema o una faceta de un derecho fundamental sobre el que no hay doctrina constitucional— y, de forma subsidiaria, el apartado b) —da ocasión al Tribunal para aclarar o cambiar su doctrina como consecuencia de un proceso de reflexión interna—. Por lo que respecta al carácter novedoso del recurso afirma que, aunque existe doctrina constitucional acerca de la ejecución de los dictámenes de los comités de Naciones Unidas, el presente recurso tiene una singularidad manifiesta derivada del hecho de que “la violación del Pacto que declara el Comité no tiene por causa una omisión o deficiencia del Estado legislador, como podría ocurrir en los casos de la ausencia de doble instancia, que fueron objeto de estudio en aquellas sentencias, sino una omisión de diligencia por parte de la administración de justicia en la evaluación de los riesgos que habría de afrontar el reclamado en caso de extradición a Marruecos”. Asimismo, en el presente caso, se ha violado de forma autónoma el derecho a la integridad física y moral y a no ser torturado, derecho fundamental de carácter absoluto, aunque sumado al derecho a la tutela judicial efectiva. Añadiendo que también “plantea ‘una cuestión jurídica relevante y general repercusión’”, como es la relativa al cumplimiento de los dictámenes de los comités de </w:t>
      </w:r>
      <w:r>
        <w:lastRenderedPageBreak/>
        <w:t>Naciones Unidas de interpretación y control de los tratados internacionales sobre derechos humanos.</w:t>
      </w:r>
    </w:p>
    <w:p w14:paraId="38E2F074" w14:textId="77777777" w:rsidR="009D7677" w:rsidRDefault="009D7677" w:rsidP="009D7677">
      <w:pPr>
        <w:pStyle w:val="TextoNormal"/>
      </w:pPr>
    </w:p>
    <w:p w14:paraId="4B0BEE28" w14:textId="77777777" w:rsidR="009D7677" w:rsidRDefault="009D7677" w:rsidP="009D7677">
      <w:pPr>
        <w:pStyle w:val="TextoNormal"/>
      </w:pPr>
      <w:r w:rsidRPr="009D7677">
        <w:rPr>
          <w:rStyle w:val="NumeroAFNegritaCaracter"/>
        </w:rPr>
        <w:t>4</w:t>
      </w:r>
      <w:r>
        <w:t>. La Sección Tercera de este Tribunal Constitucional, por providencia de 15 de junio de 2020, acordó admitir a trámite el recurso de amparo, “apreciando que concurre en el mismo una especial trascendencia constitucional (art. 50.1 LOTC) porque el recurso plantea un problema o afecta a una faceta de un derecho fundamental sobre el que no hay doctrina de este tribunal [STC 155/2009, FJ 2 a)]”.</w:t>
      </w:r>
    </w:p>
    <w:p w14:paraId="0B1A188C" w14:textId="77777777" w:rsidR="009D7677" w:rsidRDefault="009D7677" w:rsidP="009D7677">
      <w:pPr>
        <w:pStyle w:val="TextoNormal"/>
      </w:pPr>
    </w:p>
    <w:p w14:paraId="37C148AF" w14:textId="5CFCE5B8" w:rsidR="009D7677" w:rsidRDefault="009D7677" w:rsidP="009D7677">
      <w:pPr>
        <w:pStyle w:val="TextoNormal"/>
      </w:pPr>
      <w:r>
        <w:t>De conformidad con lo dispuesto en el art. 51 de la Ley Orgánica del Tribunal Constitucional (LOTC), acordó dirigir atenta comunicación “al Tribunal Supremo, Sala de lo Contencioso-Administrativo, Sección Primera, a fin de que, en plazo que no exceda de diez días, remita certificación o fotocopia adverada de las actuaciones correspondientes al recurso de casación núm. 2197-2018”. E igualmente acordó dirigir “atenta comunicación a la Audiencia Nacional, Sala de lo Contencioso-Administrativo, Sección Tercera, a fin de que, en plazo que no exceda de diez días, remita certificación o fotocopia adverada de las actuaciones correspondientes al procedimiento ordinario núm. 989-2016; debiendo previamente emplazarse, para que en el plazo de diez días puedan comparecer, si lo desean, en el recurso de amparo a quienes hubieran sido parte en el procedimiento, excepto la parte recurrente en amparo”.</w:t>
      </w:r>
    </w:p>
    <w:p w14:paraId="0ECC2E3A" w14:textId="77777777" w:rsidR="009D7677" w:rsidRDefault="009D7677" w:rsidP="009D7677">
      <w:pPr>
        <w:pStyle w:val="TextoNormal"/>
      </w:pPr>
    </w:p>
    <w:p w14:paraId="4F5B23A1" w14:textId="7672CA0D" w:rsidR="009D7677" w:rsidRDefault="009D7677" w:rsidP="009D7677">
      <w:pPr>
        <w:pStyle w:val="TextoNormal"/>
      </w:pPr>
      <w:r w:rsidRPr="009D7677">
        <w:rPr>
          <w:rStyle w:val="NumeroAFNegritaCaracter"/>
        </w:rPr>
        <w:t>5</w:t>
      </w:r>
      <w:r>
        <w:t>. El 29 de junio de 2020 presentó escrito el abogado del Estado por el que se personaba en el procedimiento.</w:t>
      </w:r>
    </w:p>
    <w:p w14:paraId="1B3D4BC0" w14:textId="77777777" w:rsidR="009D7677" w:rsidRDefault="009D7677" w:rsidP="009D7677">
      <w:pPr>
        <w:pStyle w:val="TextoNormal"/>
      </w:pPr>
    </w:p>
    <w:p w14:paraId="3925800C" w14:textId="56468DFF" w:rsidR="009D7677" w:rsidRDefault="009D7677" w:rsidP="009D7677">
      <w:pPr>
        <w:pStyle w:val="TextoNormal"/>
      </w:pPr>
      <w:r w:rsidRPr="009D7677">
        <w:rPr>
          <w:rStyle w:val="NumeroAFNegritaCaracter"/>
        </w:rPr>
        <w:t>6</w:t>
      </w:r>
      <w:r>
        <w:t>. El secretario de justicia de la Sección Tercera de este tribunal dictó diligencia de ordenación de 15 de julio de 2020 por la que se tuvo por personado y parte en el procedimiento al abogado del Estado. Asimismo, en la misma diligencia acordó, a tenor de lo dispuesto en el art. 52.1 LOTC, que se diese vista de las actuaciones recibidas a las partes personadas y al Ministerio Fiscal por plazo común de veinte días, para que dentro de dicho término pudieran presentar las alegaciones que estimasen pertinentes.</w:t>
      </w:r>
    </w:p>
    <w:p w14:paraId="16A0C978" w14:textId="77777777" w:rsidR="009D7677" w:rsidRDefault="009D7677" w:rsidP="009D7677">
      <w:pPr>
        <w:pStyle w:val="TextoNormal"/>
      </w:pPr>
    </w:p>
    <w:p w14:paraId="29E6AEC7" w14:textId="77777777" w:rsidR="009D7677" w:rsidRDefault="009D7677" w:rsidP="009D7677">
      <w:pPr>
        <w:pStyle w:val="TextoNormal"/>
      </w:pPr>
      <w:r w:rsidRPr="009D7677">
        <w:rPr>
          <w:rStyle w:val="NumeroAFNegritaCaracter"/>
        </w:rPr>
        <w:t>7</w:t>
      </w:r>
      <w:r>
        <w:t>. La representación procesal de don Alí Aarrass presentó, el día 11 de septiembre de 2020, escrito de alegaciones en el que solicitó que se dicte sentencia de conformidad con su escrito de demanda. En particular, tras dar por reiterados los argumentos expuestos en dicha demanda, recuerda que se trataba de una reclamación de responsabilidad patrimonial por los daños y perjuicios sufridos “y declarados probados en dictamen del Comité de Derechos Humanos de Naciones Unidas [….] a causa de las acreditadas torturas producidas en Marruecos a consecuencia de la indebida extradición por parte del Reino de España”; “[a]ctividad jurisdiccional de autorización de extradición que supuso un evidente funcionamiento anormal de la administración de justicia, produciéndose un efecto sin duda no querido ni deseable a consecuencia de la inadecuada evaluación de los riesgos, reiteradamente advertidos por la defensa, inherentes a su extradición a Marruecos”.</w:t>
      </w:r>
    </w:p>
    <w:p w14:paraId="51A71273" w14:textId="77777777" w:rsidR="009D7677" w:rsidRDefault="009D7677" w:rsidP="009D7677">
      <w:pPr>
        <w:pStyle w:val="TextoNormal"/>
      </w:pPr>
    </w:p>
    <w:p w14:paraId="76CB7A6D" w14:textId="0A08461F" w:rsidR="009D7677" w:rsidRDefault="009D7677" w:rsidP="009D7677">
      <w:pPr>
        <w:pStyle w:val="TextoNormal"/>
      </w:pPr>
      <w:r>
        <w:t xml:space="preserve">Añade también que esta situación es más grave por la desatención mostrada por el Reino de España a la solicitud de que no se produjera la materialización de la extradición, y “también acentuada por la dilación indebida” que retrasó durante diez días la resolución de la solicitud de la defensa de paralizar la entrega e hizo imposible el recurso de súplica </w:t>
      </w:r>
      <w:r>
        <w:lastRenderedPageBreak/>
        <w:t>del que disponía legalmente. E insiste en la necesidad de seguir el criterio contenido en la sentencia de la Sala de lo Contencioso-Administrativo del Tribunal Supremo de 17 de julio de 2018, afirmando que la inexistencia de un procedimiento de ejecución directa de los dictámenes de los comités de Naciones Unidas no puede ser óbice o pretexto para denegar una justa reclamación que tiene su encaje procedimental en la vía de la reclamación patrimonial por funcionamiento anormal de la administración de justicia.</w:t>
      </w:r>
    </w:p>
    <w:p w14:paraId="379C6A63" w14:textId="77777777" w:rsidR="009D7677" w:rsidRDefault="009D7677" w:rsidP="009D7677">
      <w:pPr>
        <w:pStyle w:val="TextoNormal"/>
      </w:pPr>
    </w:p>
    <w:p w14:paraId="7515BB2F" w14:textId="77777777" w:rsidR="009D7677" w:rsidRDefault="009D7677" w:rsidP="009D7677">
      <w:pPr>
        <w:pStyle w:val="TextoNormal"/>
      </w:pPr>
      <w:r w:rsidRPr="009D7677">
        <w:rPr>
          <w:rStyle w:val="NumeroAFNegritaCaracter"/>
        </w:rPr>
        <w:t>8</w:t>
      </w:r>
      <w:r>
        <w:t>. El 18 de septiembre de 2020, el abogado del Estado presentó su escrito de alegaciones por el que interesó que se inadmitiese el presento recurso de amparo respecto al art. 15 CE, porque no puede servir de base a una decisión del Tribunal Constitucional un asunto decidido por el Tribunal Europeo de Derechos Humanos, y respecto a la lesión del art. 24.1 CE, al no haberse agotado la vía judicial previa. Subsidiariamente suplicó que se apreciase que no existe vulneración alguna porque la Audiencia Nacional ha aplicado correctamente la doctrina relativa la falta de efecto vinculante de los dictámenes de los comités de Naciones Unidas, y la consideración de la Audiencia Nacional sobre la vía de la posible reparación del derecho alegado es una interpretación de la legalidad ordinaria que no produce la vulneración del art. 15 CE, ni tampoco del art. 24 CE.</w:t>
      </w:r>
    </w:p>
    <w:p w14:paraId="6A6DB889" w14:textId="77777777" w:rsidR="009D7677" w:rsidRDefault="009D7677" w:rsidP="009D7677">
      <w:pPr>
        <w:pStyle w:val="TextoNormal"/>
      </w:pPr>
    </w:p>
    <w:p w14:paraId="3E349969" w14:textId="77777777" w:rsidR="009D7677" w:rsidRDefault="009D7677" w:rsidP="009D7677">
      <w:pPr>
        <w:pStyle w:val="TextoNormal"/>
      </w:pPr>
      <w:r>
        <w:t>a) Comienza su escrito haciendo referencia al objeto de la demanda de amparo y a los antecedentes del caso. Por lo que se refiere a la primera de las cuestiones apuntadas, el abogado del Estado aduce que, aunque la demanda se dirige formalmente contra las resoluciones judiciales, se afirma en el cuerpo de la misma que se trata de un recurso de amparo mixto, en el que se invocan como infringidos los arts. 15 y 24.1 CE. Destaca que la reclamación patrimonial se fundamenta en el dictamen del Comité de Derechos Humanos de 21 de julio de 2014 que consideró que el proceso de extradición a Marruecos vulneró el art. 7 PIDCP por una indebida valoración del riesgo de torturas en dicho país y, más concretamente, afirma que “la reclamación patrimonial tiene por objeto dar satisfacción a la primera de las recomendaciones del Comité: proporcionar una compensación adecuada al señor Aarrass por haber sido extraditado a Marruecos. Para lo que considera título suficiente el dictamen del Comité”.</w:t>
      </w:r>
    </w:p>
    <w:p w14:paraId="05D9F863" w14:textId="77777777" w:rsidR="009D7677" w:rsidRDefault="009D7677" w:rsidP="009D7677">
      <w:pPr>
        <w:pStyle w:val="TextoNormal"/>
      </w:pPr>
    </w:p>
    <w:p w14:paraId="2FA8191F" w14:textId="77777777" w:rsidR="009D7677" w:rsidRDefault="009D7677" w:rsidP="009D7677">
      <w:pPr>
        <w:pStyle w:val="TextoNormal"/>
      </w:pPr>
      <w:r>
        <w:t>El abogado del Estado sostiene que el recurrente no imputa la lesión del art. 15 CE a la administración pública que denegó su reclamación de responsabilidad patrimonial ni tampoco a la sentencia dictada por la Audiencia Nacional que confirma la actuación administrativa, sino a la “resolución de la Audiencia Nacional que autorizó su extradición”. Y afirma que de lo que realmente se queja el recurrente es de que ni la administración ni la Audiencia Nacional consideraron el dictamen del Comité como título suficiente para fundamentar la responsabilidad patrimonial, “[l]o que parece que considera que perpetúa la vulneración del art. 15 CE que considera cometió el órgano judicial en el proceso de extradición”. Asimismo, y por lo que se refiere a la alegada lesión del derecho a la tutela judicial efectiva, explica que “[d]el contenido de la demanda se desprende que lo que achaca a las resoluciones judiciales es una defectuosa motivación […] de la sentencia de la Audiencia Nacional […] al no considerar el dictamen del Comité de Derechos Humanos como título suficiente para fundamentar la responsabilidad patrimonial”.</w:t>
      </w:r>
    </w:p>
    <w:p w14:paraId="31722C43" w14:textId="77777777" w:rsidR="009D7677" w:rsidRDefault="009D7677" w:rsidP="009D7677">
      <w:pPr>
        <w:pStyle w:val="TextoNormal"/>
      </w:pPr>
    </w:p>
    <w:p w14:paraId="4A5ABD9A" w14:textId="77777777" w:rsidR="009D7677" w:rsidRDefault="009D7677" w:rsidP="009D7677">
      <w:pPr>
        <w:pStyle w:val="TextoNormal"/>
      </w:pPr>
      <w:r>
        <w:t>A continuación, el abogado del Estado realiza una síntesis de los antecedentes del recurso haciendo especial énfasis en que el recurrente ha omitido en la demanda la intervención que han tenido tanto el Tribunal Constitucional como el Tribunal Europeo de Dere</w:t>
      </w:r>
      <w:r>
        <w:lastRenderedPageBreak/>
        <w:t>chos Humanos en relación con su extradición, no siendo hasta que vio frustrada su solicitud de tutela por parte de este último tribunal que inició el procedimiento ante el Comité de Derechos Humanos. Por dicha razón, continúa exponiendo, el Estado español alegó la inadmisibilidad de la reclamación con base en la reserva realizada por el Reino de España al Protocolo facultativo consistente en que esa misma cuestión ya había sido planteada ante otra instancia internacional. A pesar de ello, el Comité admitió su competencia para conocer la comunicación al considerar que la actuación del Tribunal Europeo no supuso un verdadero sometimiento de la controversia a otro medio internacional de resolución. Y, en cualquier caso, explica que, tras dictarse el dictamen del Comité, el Estado ha realizado gestiones ante el Reino de Marruecos para velar por la seguridad personal del demandante, habiendo remitido informes de seguimiento del dictamen del Comité en los años 2014, 2015, 2016, 2017 y 2020 (informes que se aportan con el escrito de alegaciones).</w:t>
      </w:r>
    </w:p>
    <w:p w14:paraId="2D44992B" w14:textId="77777777" w:rsidR="009D7677" w:rsidRDefault="009D7677" w:rsidP="009D7677">
      <w:pPr>
        <w:pStyle w:val="TextoNormal"/>
      </w:pPr>
    </w:p>
    <w:p w14:paraId="2A477B36" w14:textId="77777777" w:rsidR="009D7677" w:rsidRDefault="009D7677" w:rsidP="009D7677">
      <w:pPr>
        <w:pStyle w:val="TextoNormal"/>
      </w:pPr>
      <w:r>
        <w:t>b) Tras referirse al objeto de la demanda de amparo y a sus antecedentes en los términos que se acaban de exponer, los fundamentos de Derecho del escrito de alegaciones se inician con un apartado que califica de “preliminar” y en el que sostiene el incorrecto planteamiento del recurso de amparo en relación a la lesión del art. 15 CE que, al contrario de lo sostenido por el recurrente, no es mixto, sino que debió haberse interpuesto al amparo del art. 43 LOTC ya que dicha lesión solo sería imputable a la administración, y en ningún caso a los órganos judiciales ordinarios, en la medida en que fue la primera la que no consideró el dictamen del Comité como título material de la responsabilidad patrimonial, limitándose los órganos judiciales a confirmar la desestimación presunta por la administración. Por ello, considera que el Tribunal Constitucional, en su caso, solo debería pronunciarse acerca de la vulneración del art. 24.1 CE que imputa al Poder Judicial, cuestión que es ajena a si debe considerarse el dictamen como título suficiente para dar lugar a una responsabilidad patrimonial del Estado.</w:t>
      </w:r>
    </w:p>
    <w:p w14:paraId="4982C4C8" w14:textId="77777777" w:rsidR="009D7677" w:rsidRDefault="009D7677" w:rsidP="009D7677">
      <w:pPr>
        <w:pStyle w:val="TextoNormal"/>
      </w:pPr>
    </w:p>
    <w:p w14:paraId="520F1542" w14:textId="77777777" w:rsidR="009D7677" w:rsidRDefault="009D7677" w:rsidP="009D7677">
      <w:pPr>
        <w:pStyle w:val="TextoNormal"/>
      </w:pPr>
      <w:r>
        <w:t>Invoca, asimismo, que la demanda incurre en las siguientes causas de inadmisibilidad:</w:t>
      </w:r>
    </w:p>
    <w:p w14:paraId="0EC0FEFF" w14:textId="77777777" w:rsidR="009D7677" w:rsidRDefault="009D7677" w:rsidP="009D7677">
      <w:pPr>
        <w:pStyle w:val="TextoNormal"/>
      </w:pPr>
    </w:p>
    <w:p w14:paraId="1827A6D3" w14:textId="77777777" w:rsidR="009D7677" w:rsidRDefault="009D7677" w:rsidP="009D7677">
      <w:pPr>
        <w:pStyle w:val="TextoNormal"/>
      </w:pPr>
      <w:r>
        <w:t>(i) Entiende que el recurso adolece de falta de especial trascendencia constitucional, toda vez que la cuestión suscitada como novedosa, determinar si conforme a las normas de Derecho internacional suscritas por España los dictámenes del comité son título bastante para fundamentar una responsabilidad patrimonial, es de rango infraconstitucional según doctrina constitucional reiterada. A lo anterior añade que tampoco goza de dicha cualidad la cuestión referida a la motivación de las resoluciones judiciales ya que es notorio que hay doctrina constitucional al respecto.</w:t>
      </w:r>
    </w:p>
    <w:p w14:paraId="261AD73F" w14:textId="77777777" w:rsidR="009D7677" w:rsidRDefault="009D7677" w:rsidP="009D7677">
      <w:pPr>
        <w:pStyle w:val="TextoNormal"/>
      </w:pPr>
    </w:p>
    <w:p w14:paraId="2C498A4C" w14:textId="77777777" w:rsidR="009D7677" w:rsidRDefault="009D7677" w:rsidP="009D7677">
      <w:pPr>
        <w:pStyle w:val="TextoNormal"/>
      </w:pPr>
      <w:r>
        <w:t xml:space="preserve">(ii) También defiende el abogado del Estado que debe apreciarse la inadmisibilidad parcial por falta de agotamiento de la vía judicial previa debido a que la lesión del art. 24.1 CE, imputada a la sentencia dictada por la Audiencia Nacional, se alega por primera vez en el recurso de amparo, no habiendo sido invocada en el escrito de preparación del recurso de casación ni posteriormente a través de la interposición de un incidente de nulidad de actuaciones </w:t>
      </w:r>
      <w:r w:rsidRPr="009D7677">
        <w:rPr>
          <w:i/>
        </w:rPr>
        <w:t>ex</w:t>
      </w:r>
      <w:r>
        <w:t xml:space="preserve"> art. 241 LOPJ. Esta falta de invocación de la vulneración del derecho en la preparación del recurso de casación hace inaplicable en este caso concreto la doctrina sobre la innecesaridad del incidente de nulidad de actuaciones recogida en la STC 112/2019, de 3 de octubre.</w:t>
      </w:r>
    </w:p>
    <w:p w14:paraId="11717DC6" w14:textId="77777777" w:rsidR="009D7677" w:rsidRDefault="009D7677" w:rsidP="009D7677">
      <w:pPr>
        <w:pStyle w:val="TextoNormal"/>
      </w:pPr>
    </w:p>
    <w:p w14:paraId="5B40DB1B" w14:textId="77777777" w:rsidR="009D7677" w:rsidRDefault="009D7677" w:rsidP="009D7677">
      <w:pPr>
        <w:pStyle w:val="TextoNormal"/>
      </w:pPr>
      <w:r>
        <w:lastRenderedPageBreak/>
        <w:t>(iii) Y, respecto a la lesión del art. 15 CE, razona que debería inadmitirse parcialmente el recurso en la medida en que el dictamen ha obviado que, sobre la lesión del mencionado derecho, se ha pronunciado tanto el Tribunal Constitucional como el Tribunal Europeo de Derechos Humanos, que inadmitieron sendas demandas con el mismo objeto, por lo que “[s]ería absolutamente contrario al sistema de protección de los derechos fundamentales europeo y del que España forma parte, que el Tribunal Constitucional haga prevalecer la opinión contradictora del Comité de Naciones Unidas”.</w:t>
      </w:r>
    </w:p>
    <w:p w14:paraId="6337640E" w14:textId="77777777" w:rsidR="009D7677" w:rsidRDefault="009D7677" w:rsidP="009D7677">
      <w:pPr>
        <w:pStyle w:val="TextoNormal"/>
      </w:pPr>
    </w:p>
    <w:p w14:paraId="1BEAAECA" w14:textId="77777777" w:rsidR="009D7677" w:rsidRDefault="009D7677" w:rsidP="009D7677">
      <w:pPr>
        <w:pStyle w:val="TextoNormal"/>
      </w:pPr>
      <w:r>
        <w:t>A tal efecto explica que el art. 5.2 a) del Protocolo facultativo del Pacto internacional de derechos civiles y políticos, Instrumento de adhesión de 17 de enero de 1985, establece que el Comité no examinará ninguna comunicación respecto de asuntos que ya hubieran sido sometidos a otro procedimiento de examen o arreglo internacionales, pero que el Comité interpreta dicho precepto en algunas decisiones, como hace en la controvertida, en el sentido de que cuando se produce una inadmisión el Tribunal Europeo de Derechos Humanos no estudia lo suficiente el caso, y se siente legitimado para analizarlo nuevamente. En ese supuesto el demandante buscó una segunda oportunidad en el sistema de Naciones Unidas, a lo que se añade que solicitó dos medidas cautelares al Tribunal Europeo de Derechos Humanos para que, al amparo del art. 39 de su Reglamento se paralizase la extradición, medidas cuya adopción rechazó. Y “[s]in embargo, el Comité reprocha a España que no haya respetado ‘su’ medida cautelar de suspensión de la extradición”. Por lo que el abogado del Estado plantea si cabe otorgar mayor valor a un dictamen de Naciones Unidas que a una decisión jurisdiccional del Tribunal Europeo de Derechos Humanos, estando además prohibida la admisión de una demanda analizada por dicho tribunal, por lo que el dictamen se ha dictado incumpliendo claramente las normas internacionales a las que España se ha comprometido.</w:t>
      </w:r>
    </w:p>
    <w:p w14:paraId="597AE94B" w14:textId="77777777" w:rsidR="009D7677" w:rsidRDefault="009D7677" w:rsidP="009D7677">
      <w:pPr>
        <w:pStyle w:val="TextoNormal"/>
      </w:pPr>
    </w:p>
    <w:p w14:paraId="4D59CE50" w14:textId="77777777" w:rsidR="009D7677" w:rsidRDefault="009D7677" w:rsidP="009D7677">
      <w:pPr>
        <w:pStyle w:val="TextoNormal"/>
      </w:pPr>
      <w:r>
        <w:t>c) A continuación examina en el apartado cuarto “el carácter de los Dictámenes del Comité de Derechos Humanos”, abordando primeramente la naturaleza jurídica de las disposiciones de los tratados de derechos humanos y su interpretación y, más concretamente, la jurisprudencia española sobre los dictámenes de los comités. Afirma que la jurisprudencia ha otorgado un papel interpretativo a los dictámenes “dado que [los comités] no son órganos judiciales y, por tanto, sus dictámenes ni son ejecutivos ni son vinculantes, destacando la diferencia que existe entre estos dictámenes y las sentencias del Tribunal Europeo de Derechos Humanos”. En apoyo de dicha afirmación trascribe parte de las SSTC 141/2012, de 2 de julio, FJ 3, y 23/2020, de 13 de febrero, FJ 6. Continúa explicando que la doctrina constitucional contenida en dichas sentencias ha tenido un fiel reflejo en la jurisprudencia del Tribunal Supremo, en especial en la sentencia de la Sala de lo Penal núm. 338/2015, que “remarca las diferencias originadas en los tratados respectivos, entre las sentencias del Tribunal Europeo de Derechos Humanos y los dictámenes de los comités de las Naciones Unidas”, y en el mismo sentido en la sentencia de la Sala de lo Contencioso-Administrativo del Tribunal Supremo de 6 de febrero de 2015, así como en la sentencia dictada en revisión por el Tribunal Supremo 1/2020, en que se niega la equiparación, a efectos de revisión, de un dictamen del Comité de Derechos Humanos con una sentencia del Tribunal Europeo de Derechos Humanos.</w:t>
      </w:r>
    </w:p>
    <w:p w14:paraId="5DA8EA8E" w14:textId="77777777" w:rsidR="009D7677" w:rsidRDefault="009D7677" w:rsidP="009D7677">
      <w:pPr>
        <w:pStyle w:val="TextoNormal"/>
      </w:pPr>
    </w:p>
    <w:p w14:paraId="21749C31" w14:textId="77777777" w:rsidR="009D7677" w:rsidRDefault="009D7677" w:rsidP="009D7677">
      <w:pPr>
        <w:pStyle w:val="TextoNormal"/>
      </w:pPr>
      <w:r>
        <w:t xml:space="preserve">Dedica un apartado del escrito de alegaciones a la STS de 17 de julio de 2018 (asunto </w:t>
      </w:r>
      <w:r w:rsidRPr="009D7677">
        <w:rPr>
          <w:i/>
        </w:rPr>
        <w:t>González Carreño</w:t>
      </w:r>
      <w:r>
        <w:t xml:space="preserve">) en la que se introdujo la expresión “vinculante/obligatorio” del dictamen si bien dicha sentencia, pone de relieve el abogado del Estado, cita dos sentencias del </w:t>
      </w:r>
      <w:r>
        <w:lastRenderedPageBreak/>
        <w:t>Tribunal Constitucional (SSTC 245/1991, de 16 de diciembre, y 91/2000, de 30 de marzo) que se refieren a sentencias del Tribunal Europeo de Derechos Humanos y no a dictámenes de comités de Naciones Unidas, y “[d]adas las sentencias posteriores del Tribunal Constitucional y del Tribunal Supremo parece desprenderse que la sentencia no deja de ser un caso exótico en el que primó dar satisfacción a una injusticia material, más aún cuando con posterioridad la Sala especial del Tribunal Supremo (STS 1/2020) ha considerado que un dictamen no es motivo de revisión de una sentencia”.</w:t>
      </w:r>
    </w:p>
    <w:p w14:paraId="2DE96BDE" w14:textId="77777777" w:rsidR="009D7677" w:rsidRDefault="009D7677" w:rsidP="009D7677">
      <w:pPr>
        <w:pStyle w:val="TextoNormal"/>
      </w:pPr>
    </w:p>
    <w:p w14:paraId="42C073EE" w14:textId="77777777" w:rsidR="009D7677" w:rsidRDefault="009D7677" w:rsidP="009D7677">
      <w:pPr>
        <w:pStyle w:val="TextoNormal"/>
      </w:pPr>
      <w:r>
        <w:t>Desde otra perspectiva expone que la jurisprudencia de los órganos jurisdiccionales españoles es común a la de los países de nuestro entorno y coherente, además, con la posición de la Organización de las Naciones Unidas, que ha afirmado que las opiniones finales que el Comité emite tras la comunicación de una persona carecen de fuerza jurídica obligatoria, por más que, en atención al principio de buena fe, se espere de los Estados parte que acepten las recomendaciones. La misma posición es sostenida por la Comisión de Venecia, por el Comité de Derechos Humanos del Consejo de Europa y por el Tribunal de Justicia de la Unión Europea.</w:t>
      </w:r>
    </w:p>
    <w:p w14:paraId="7C4B83E1" w14:textId="77777777" w:rsidR="009D7677" w:rsidRDefault="009D7677" w:rsidP="009D7677">
      <w:pPr>
        <w:pStyle w:val="TextoNormal"/>
      </w:pPr>
    </w:p>
    <w:p w14:paraId="517156BA" w14:textId="77777777" w:rsidR="009D7677" w:rsidRDefault="009D7677" w:rsidP="009D7677">
      <w:pPr>
        <w:pStyle w:val="TextoNormal"/>
      </w:pPr>
      <w:r>
        <w:t>El abogado del Estado sostiene también que las solicitudes de las medidas provisionales que pueden adoptar los comités deben ser interpretadas a la luz del carácter no vinculante de los dictámenes que estos emiten al finalizar el procedimiento. De la norma convencional que regula la solicitud de la medida provisional deriva que la competencia para adoptar o no dichas medidas cautelares no corresponde al Comité, sino a los Estados parte, a los que se les exige únicamente examinar la solicitud de forma urgente y conforme a las reglas de la diligencia debida. Afirma que, en todo caso, es distinto el carácter de las solicitudes de medidas cautelares “cuando la competencia no está recogida en el tratado sino en el reglamento interno del comité, ya que en estos supuestos (v.gr., comité contra la tortura) el Estado parte no ha prestado su consentimiento a esta competencia en favor del Comité”.</w:t>
      </w:r>
    </w:p>
    <w:p w14:paraId="4CD57755" w14:textId="77777777" w:rsidR="009D7677" w:rsidRDefault="009D7677" w:rsidP="009D7677">
      <w:pPr>
        <w:pStyle w:val="TextoNormal"/>
      </w:pPr>
    </w:p>
    <w:p w14:paraId="00C3614E" w14:textId="77777777" w:rsidR="009D7677" w:rsidRDefault="009D7677" w:rsidP="009D7677">
      <w:pPr>
        <w:pStyle w:val="TextoNormal"/>
      </w:pPr>
      <w:r>
        <w:t>Finalmente, tras dichas consideraciones de carácter general, afirma en el apartado quinto que, al contrario de lo sostenido en la demanda, el Reino de España no se ha desentendido de la situación del recurrente, sino que, dando cumplimiento al dictamen, el Ministerio de Asuntos Exteriores, Unión Europea y Cooperación ha tratado de influir en la mejora de sus condiciones penitenciarias en Marruecos.</w:t>
      </w:r>
    </w:p>
    <w:p w14:paraId="4AE60468" w14:textId="77777777" w:rsidR="009D7677" w:rsidRDefault="009D7677" w:rsidP="009D7677">
      <w:pPr>
        <w:pStyle w:val="TextoNormal"/>
      </w:pPr>
    </w:p>
    <w:p w14:paraId="703A18B4" w14:textId="77777777" w:rsidR="009D7677" w:rsidRDefault="009D7677" w:rsidP="009D7677">
      <w:pPr>
        <w:pStyle w:val="TextoNormal"/>
      </w:pPr>
      <w:r>
        <w:t>d) En relación con las lesiones denunciadas aborda en el apartado sexto del escrito de alegaciones la vulneración del art. 15 CE, en el que explica que “la actuación de la Sala de lo Penal de la Audiencia Nacional no causó vulneración alguna del artículo 15 CE”.</w:t>
      </w:r>
    </w:p>
    <w:p w14:paraId="4C4AFB8F" w14:textId="77777777" w:rsidR="009D7677" w:rsidRDefault="009D7677" w:rsidP="009D7677">
      <w:pPr>
        <w:pStyle w:val="TextoNormal"/>
      </w:pPr>
    </w:p>
    <w:p w14:paraId="1F9C371A" w14:textId="77777777" w:rsidR="009D7677" w:rsidRDefault="009D7677" w:rsidP="009D7677">
      <w:pPr>
        <w:pStyle w:val="TextoNormal"/>
      </w:pPr>
      <w:r>
        <w:t xml:space="preserve">Entiende que debe rechazarse “que se aplique la jurisprudencia del Tribunal Constitucional y del Tribunal Europeo de Derechos Humanos sobre la asunción de responsabilidad cuando una persona es extraditada a un país con riesgo potencial de sufrir tratamientos inhumanos o degradantes a la fundamentación del dictamen del Comité”. Y tampoco puede “afirmarse gratuitamente que las decisiones de la Sala de lo Penal de la Audiencia Nacional vulnerasen el artículo 15 CE por el hecho de que el demandante en su momento afirmase gratuitamente que en el vecino Reino de Marruecos [se] practicase tortura sistemática a los detenidos”. Añade que este hecho no consta acreditado, “más que alegaciones de tipo genérico” y que la Audiencia Nacional “obró diligentemente”, dado que solicitó </w:t>
      </w:r>
      <w:r>
        <w:lastRenderedPageBreak/>
        <w:t>garantías al Reino de Marruecos hasta en dos ocasiones con la finalidad de que no se le pudiera imponer la pena de prisión perpetua, como así ha sido. Y tampoco apreció el Tribunal Europeo de Derechos Humanos que Marruecos no fuera un país seguro porque no admitió la demanda fundamentada en el art. 3 CEDH.</w:t>
      </w:r>
    </w:p>
    <w:p w14:paraId="17850557" w14:textId="77777777" w:rsidR="009D7677" w:rsidRDefault="009D7677" w:rsidP="009D7677">
      <w:pPr>
        <w:pStyle w:val="TextoNormal"/>
      </w:pPr>
    </w:p>
    <w:p w14:paraId="631AB623" w14:textId="77777777" w:rsidR="009D7677" w:rsidRDefault="009D7677" w:rsidP="009D7677">
      <w:pPr>
        <w:pStyle w:val="TextoNormal"/>
      </w:pPr>
      <w:r>
        <w:t>e) Finaliza su escrito examinando la lesión del derecho a la tutela judicial efectiva en su vertiente de indebida motivación, insistiendo en que no puede imputarse a la Audiencia Nacional la lesión del art. 24.1 CE ya que se ha limitado a confirmar la actuación administrativa, por lo que el poder del Estado causante de la lesión sería el Poder Ejecutivo, “por no considerar el dictamen del Comité título habilitante de la responsabilidad patrimonial”.</w:t>
      </w:r>
    </w:p>
    <w:p w14:paraId="76394D9D" w14:textId="77777777" w:rsidR="009D7677" w:rsidRDefault="009D7677" w:rsidP="009D7677">
      <w:pPr>
        <w:pStyle w:val="TextoNormal"/>
      </w:pPr>
    </w:p>
    <w:p w14:paraId="4A177F94" w14:textId="1D41A572" w:rsidR="009D7677" w:rsidRDefault="009D7677" w:rsidP="009D7677">
      <w:pPr>
        <w:pStyle w:val="TextoNormal"/>
      </w:pPr>
      <w:r>
        <w:t>Subsidiariamente alega que “la jurisprudencia del Tribunal es reiterada sobre la posible apreciación de la vulneración del art. 24 CE en su vertiente de indebida motivación por ser esta arbitraria, irracional o se encuentre incursa en un error patente en el supuesto de inaplicación de una norma internacional aplicable al caso para lo que habrá que estar a la motivación realizada por el tribunal en concreto” (SSTC 137/2017, de 27 de noviembre; 22/2018, de 5 de marzo; 37/2019, de 26 de marzo, y 82/2019, de 17 de junio). Explica que la Audiencia Nacional dedica más de nueve folios a argumentar por qué los dictámenes no son título suficiente para fundamentar una demanda de responsabilidad patrimonial, se basa en la doctrina del Tribunal Constitucional sobre el alcance interpretativo de los dictámenes y en los mecanismos que nuestro ordenamiento prevé para reclamar una responsabilidad por error judicial, aplica la jurisprudencia existente y señala el camino que debía haber seguido el recurrente. A la vista de lo cual concluye que la motivación no se puede considerar ni arbitraria ni irracional ni incursa en error patente, aunque esta no satisfaga las expectativas del demandante de amparo, expectativa no amparada por el art. 24.1 CE.</w:t>
      </w:r>
    </w:p>
    <w:p w14:paraId="6EA6E7FC" w14:textId="77777777" w:rsidR="009D7677" w:rsidRDefault="009D7677" w:rsidP="009D7677">
      <w:pPr>
        <w:pStyle w:val="TextoNormal"/>
      </w:pPr>
    </w:p>
    <w:p w14:paraId="2B1C8B7C" w14:textId="77777777" w:rsidR="009D7677" w:rsidRDefault="009D7677" w:rsidP="009D7677">
      <w:pPr>
        <w:pStyle w:val="TextoNormal"/>
      </w:pPr>
      <w:r w:rsidRPr="009D7677">
        <w:rPr>
          <w:rStyle w:val="NumeroAFNegritaCaracter"/>
        </w:rPr>
        <w:t>9</w:t>
      </w:r>
      <w:r>
        <w:t>. El fiscal ante el Tribunal Constitucional presentó su escrito de alegaciones el 7 de octubre de 2020 interesando que se otorgue el amparo solicitado y se declare vulnerado el derecho a la tutela judicial efectiva y a la integridad física y moral (arts. 24.1 y 15 CE); que se acuerde restablecerlo en sus derechos y, en consecuencia, se declare la nulidad de las resoluciones judiciales recurridas en amparo y se retrotraigan las actuaciones al momento inmediatamente anterior al dictado de la sentencia de 2 de febrero de 2018 de la Sección Tercera de la Sala de lo Contencioso-Administrativo de la Audiencia Nacional, a fin de que se dicte la que corresponda de forma respetuosa con los derechos fundamentales vulnerados.</w:t>
      </w:r>
    </w:p>
    <w:p w14:paraId="3D49F96D" w14:textId="77777777" w:rsidR="009D7677" w:rsidRDefault="009D7677" w:rsidP="009D7677">
      <w:pPr>
        <w:pStyle w:val="TextoNormal"/>
      </w:pPr>
    </w:p>
    <w:p w14:paraId="64408C92" w14:textId="77777777" w:rsidR="009D7677" w:rsidRDefault="009D7677" w:rsidP="009D7677">
      <w:pPr>
        <w:pStyle w:val="TextoNormal"/>
      </w:pPr>
      <w:r>
        <w:t>El fiscal, tras exponer en el primer epígrafe los antecedentes de hecho, aborda en un segundo epígrafe las consideraciones jurídicas relativas al recurso de amparo.</w:t>
      </w:r>
    </w:p>
    <w:p w14:paraId="75432FED" w14:textId="77777777" w:rsidR="009D7677" w:rsidRDefault="009D7677" w:rsidP="009D7677">
      <w:pPr>
        <w:pStyle w:val="TextoNormal"/>
      </w:pPr>
    </w:p>
    <w:p w14:paraId="26C04765" w14:textId="77777777" w:rsidR="009D7677" w:rsidRDefault="009D7677" w:rsidP="009D7677">
      <w:pPr>
        <w:pStyle w:val="TextoNormal"/>
      </w:pPr>
      <w:r>
        <w:t>a) Comienza por referirse en el primer apartado al objeto del amparo, subrayando que deben quedar al margen del mismo las resoluciones judiciales dictadas en el proceso de extradición, que además fueron objeto de recurso de amparo, así como las resoluciones —y su ejecución— dictadas por las autoridades del Reino de Marruecos. Precisa también que aunque la demanda se dirige frente a la resolución administrativa presunta denegatoria de la reclamación de indemnización y frente a las resoluciones judiciales, careciendo la primera de cualquier argumentación por la propia naturaleza del silencio administrativo, es la sentencia dictada por la Audiencia Nacional —confirmada por la providencia de inadmisión del recurso de casación— la que constituye el núcleo de las impugnaciones, solici</w:t>
      </w:r>
      <w:r>
        <w:lastRenderedPageBreak/>
        <w:t>tando por ello el recurrente la retroacción de las actuaciones al momento anterior a dictarse sentencia por la Audiencia Nacional. Por ello defiende el fiscal que el recurso puede entenderse también dirigido contra la resolución judicial de forma adicional, lo que reconduce al plazo de interposición de treinta días previsto en el art. 44.2 LOTC.</w:t>
      </w:r>
    </w:p>
    <w:p w14:paraId="74926F89" w14:textId="77777777" w:rsidR="009D7677" w:rsidRDefault="009D7677" w:rsidP="009D7677">
      <w:pPr>
        <w:pStyle w:val="TextoNormal"/>
      </w:pPr>
    </w:p>
    <w:p w14:paraId="443F1953" w14:textId="77777777" w:rsidR="009D7677" w:rsidRDefault="009D7677" w:rsidP="009D7677">
      <w:pPr>
        <w:pStyle w:val="TextoNormal"/>
      </w:pPr>
      <w:r>
        <w:t>b) Por lo que se refiere a la cuestión de fondo, que aborda en un segundo apartado, el escrito del Ministerio Fiscal aborda, en un primer momento, la doctrina constitucional a propósito del valor y alcance de los dictámenes del Comité de Derechos Humanos, así como del derecho a la tutela judicial efectiva.</w:t>
      </w:r>
    </w:p>
    <w:p w14:paraId="03FEE18E" w14:textId="77777777" w:rsidR="009D7677" w:rsidRDefault="009D7677" w:rsidP="009D7677">
      <w:pPr>
        <w:pStyle w:val="TextoNormal"/>
      </w:pPr>
    </w:p>
    <w:p w14:paraId="0F7C1633" w14:textId="77777777" w:rsidR="009D7677" w:rsidRDefault="009D7677" w:rsidP="009D7677">
      <w:pPr>
        <w:pStyle w:val="TextoNormal"/>
      </w:pPr>
      <w:r>
        <w:t>(i) Respecto a la primera de las cuestiones apuntadas, transcribe determinados fragmentos de la STC 116/2006, de 24 de abril, en los que se afirma que dichos dictámenes no tienen fuerza ejecutoria directa ya que ni el ordenamiento jurídico interno prevé una vía para la revisión de resoluciones judiciales firmes como consecuencia de la intervención del Comité, ni el propio PIDCP contiene cláusula alguna de la que se derive su ejecutoriedad. No obstante, aunque los dictámenes del Comité no tengan fuerza ejecutoria directa ni sean equiparables a las resoluciones del Tribunal Europeo de Derechos Humanos, no implica que carezcan de todo efecto interno en la medida en que declaran la infracción de un derecho reconocido en el Pacto que forma parte de nuestro Derecho interno. A continuación, transcribe también parte de los AATC 27/2017, de 20 de febrero, FJ 2, y 260/2000, de 13 de noviembre, FJ 2, afirmándose en el segundo que el que el recurrente pueda disponer de un cauce procesal adecuado y eficaz atañe directamente al respeto y observancia por los poderes públicos españoles de los derechos fundamentales del recurrente. En particular, en dicho asunto le cabía promover la revisión penal, en tanto el dictamen puede ser tenido como un hecho nuevo, o ejercer la acción por error judicial de los arts. 292 y 293 LOPJ.</w:t>
      </w:r>
    </w:p>
    <w:p w14:paraId="26C183CD" w14:textId="77777777" w:rsidR="009D7677" w:rsidRDefault="009D7677" w:rsidP="009D7677">
      <w:pPr>
        <w:pStyle w:val="TextoNormal"/>
      </w:pPr>
    </w:p>
    <w:p w14:paraId="707FC8A5" w14:textId="77777777" w:rsidR="009D7677" w:rsidRDefault="009D7677" w:rsidP="009D7677">
      <w:pPr>
        <w:pStyle w:val="TextoNormal"/>
      </w:pPr>
      <w:r>
        <w:t>Cita y transcribe también algunos fragmentos de la STS núm. 1263/2018, de 17 de julio, de la Sala de lo Contencioso-Administrativo, Sección Cuarta, en la que se declaró, respecto a un dictamen del comité CEDAW que “dado que la existencia de un cauce adecuado y eficaz para hacer valer el reconocimiento de la vulneración de derechos fundamentales ante los órganos judiciales españoles atañe directamente al respeto y observancia por los poderes públicos españoles de los derechos fundamentales, es posible admitir en este caso que ese dictamen sea el presupuesto habilitante para formular una reclamación de responsabilidad patrimonial del Estado por funcionamiento anormal de la administración de justicia como último cauce para obtener la reparación, ello con independencia de la decisión que resulte procedente en cada caso e, incluso, de la posible procedencia de otros en los supuestos de hecho que puedan llegar a plantearse”.</w:t>
      </w:r>
    </w:p>
    <w:p w14:paraId="6FEF8A32" w14:textId="77777777" w:rsidR="009D7677" w:rsidRDefault="009D7677" w:rsidP="009D7677">
      <w:pPr>
        <w:pStyle w:val="TextoNormal"/>
      </w:pPr>
    </w:p>
    <w:p w14:paraId="686F4CE9" w14:textId="77777777" w:rsidR="009D7677" w:rsidRDefault="009D7677" w:rsidP="009D7677">
      <w:pPr>
        <w:pStyle w:val="TextoNormal"/>
      </w:pPr>
      <w:r>
        <w:t>(ii) Por lo que se refiere a la alegada lesión del derecho a la tutela judicial efectiva, cita el ATC 10/2019, de 14 de febrero, y las SSTC 196/2002, de 28 de octubre, y 292/2005, de 10 de noviembre, sobre el derecho a obtener una resolución motivada y fundada en Derecho, no incursa en arbitrariedad, irrazonabilidad o error fáctico patente, requiriendo, además, una motivación reforzada en aquellos supuestos en los que está involucrado un derecho sustantivo.</w:t>
      </w:r>
    </w:p>
    <w:p w14:paraId="7515586B" w14:textId="77777777" w:rsidR="009D7677" w:rsidRDefault="009D7677" w:rsidP="009D7677">
      <w:pPr>
        <w:pStyle w:val="TextoNormal"/>
      </w:pPr>
    </w:p>
    <w:p w14:paraId="6F0E5232" w14:textId="77777777" w:rsidR="009D7677" w:rsidRDefault="009D7677" w:rsidP="009D7677">
      <w:pPr>
        <w:pStyle w:val="TextoNormal"/>
      </w:pPr>
      <w:r>
        <w:t>c) Tras dichas consideraciones de alcance general, el Ministerio Fiscal examina, en el apartado cuarto del epígrafe segundo, el caso concreto a la luz de la doctrina constitucio</w:t>
      </w:r>
      <w:r>
        <w:lastRenderedPageBreak/>
        <w:t>nal antes expuesta. Afirma que la sentencia dictada por la Audiencia Nacional e impugnada en amparo no se acomoda por diversos motivos a las directrices jurisprudenciales antes apuntadas.</w:t>
      </w:r>
    </w:p>
    <w:p w14:paraId="6D29056A" w14:textId="77777777" w:rsidR="009D7677" w:rsidRDefault="009D7677" w:rsidP="009D7677">
      <w:pPr>
        <w:pStyle w:val="TextoNormal"/>
      </w:pPr>
    </w:p>
    <w:p w14:paraId="082A2DB2" w14:textId="77777777" w:rsidR="009D7677" w:rsidRDefault="009D7677" w:rsidP="009D7677">
      <w:pPr>
        <w:pStyle w:val="TextoNormal"/>
      </w:pPr>
      <w:r>
        <w:t>Explica que el dictamen, aun sin ser directamente ejecutivo, “no puede quedar despojado de todo efecto, es decir de ‘toda carencia de un potencial efecto interno’ cuando ha declarado la vulneración de un derecho reconocido en el PIDCP”. Y, si bien “el dictamen no puede declarar la existencia de error judicial, sustituyendo a los órganos judiciales españoles por la vía del art. 293 LOPJ, […] sí es suficiente para sustentar el procedimiento de reclamación por funcionamiento anormal”. En este contexto afirma que “[l]a sentencia de la Audiencia Nacional excluye a la resolución del Comité del carácter de título habilitante para abrir la vía de la reclamación por funcionamiento anormal. Y de esta manera cierra la del proceso de la reclamación interpuesta derivándola a un procedimiento —error judicial— que no es en sí mismo imprescindible cuando existe, como en este caso, una resolución del Comité de Derechos Humanos que reconoce la existencia de una violación del art. 7 PIDCP. Y ello comporta no reconocer la virtualidad del dictamen como título autónomo habilitante de un procedimiento de reclamación por funcionamiento anormal, limitando la fuerza ejecutoria que se deriva de la doctrina constitucional y desconociendo el criterio establecido por el Tribunal Supremo al que nos hemos referido anteriormente”.</w:t>
      </w:r>
    </w:p>
    <w:p w14:paraId="6E138179" w14:textId="77777777" w:rsidR="009D7677" w:rsidRDefault="009D7677" w:rsidP="009D7677">
      <w:pPr>
        <w:pStyle w:val="TextoNormal"/>
      </w:pPr>
    </w:p>
    <w:p w14:paraId="4EC9FCE8" w14:textId="77777777" w:rsidR="009D7677" w:rsidRDefault="009D7677" w:rsidP="009D7677">
      <w:pPr>
        <w:pStyle w:val="TextoNormal"/>
      </w:pPr>
      <w:r>
        <w:t>Destaca el Ministerio Fiscal también que hay que tener en cuenta, además, que es aplicable a este supuesto el canon de motivación reforzada por los derechos fundamentales que se encuentran en juego. Cita la STC 181/2004, de 2 de noviembre, FJ 14, según la cual “la especial naturaleza del procedimiento de extradición determina que si los órganos judiciales españoles, siendo conocedores de la eventual vulneración de los derechos fundamentales del recurrente en el país de destino, no la evitan con los medios de que disponen, a dichos órganos habrá de serles imputables esa eventual vulneración de los derechos fundamentales del reclamado”.</w:t>
      </w:r>
    </w:p>
    <w:p w14:paraId="0BD0E04F" w14:textId="77777777" w:rsidR="009D7677" w:rsidRDefault="009D7677" w:rsidP="009D7677">
      <w:pPr>
        <w:pStyle w:val="TextoNormal"/>
      </w:pPr>
    </w:p>
    <w:p w14:paraId="754E6E15" w14:textId="7456D209" w:rsidR="009D7677" w:rsidRDefault="009D7677" w:rsidP="009D7677">
      <w:pPr>
        <w:pStyle w:val="TextoNormal"/>
      </w:pPr>
      <w:r>
        <w:t>En definitiva, para el fiscal, el criterio de la Audiencia Nacional negándose a reconocer un cauce procesal adecuado a la reclamación planteada por funcionamiento anormal, derivándolo a un supuesto de error judicial, constituye una respuesta contraria a la tutela judicial efectiva: cierra el acceso a un procedimiento; niega validez jurídica al dictamen del Comité y limita los efectos internos que sí tiene reconocidos; y elimina la valoración sobre una eventual compensación “también de obligado cumplimiento”, que se deriva “a un procedimiento ya inviable y adicional por error judicial que cierra el camino de la reclamación y de la compensación, lo que comporta el resultado de negar un recurso efectivo al recurrente, tal como establece el PIDCP” y “prolonga los efectos de unas actuaciones constitutivas de vulneración del art. 7 del PIDCP según lo declarado por el Comité, lo que afecta al art. 15 CE en cuanto derecho involucrado en la decisión de extradición adoptada en su día”.</w:t>
      </w:r>
    </w:p>
    <w:p w14:paraId="2C4DB255" w14:textId="77777777" w:rsidR="009D7677" w:rsidRDefault="009D7677" w:rsidP="009D7677">
      <w:pPr>
        <w:pStyle w:val="TextoNormal"/>
      </w:pPr>
    </w:p>
    <w:p w14:paraId="32F1C6B7" w14:textId="7B74FEC1" w:rsidR="009D7677" w:rsidRDefault="009D7677" w:rsidP="009D7677">
      <w:pPr>
        <w:pStyle w:val="TextoNormal"/>
      </w:pPr>
      <w:r w:rsidRPr="009D7677">
        <w:rPr>
          <w:rStyle w:val="NumeroAFNegritaCaracter"/>
        </w:rPr>
        <w:t>10</w:t>
      </w:r>
      <w:r>
        <w:t>. Con posterioridad al trámite de alegaciones la representación procesal del recurrente presentó el día 30 de mayo de 2022 escrito en el que “de forma un tanto extraprocesal” procede a “ampliar y actualizar las alegaciones en su día efectuadas”. A través del citado escrito el recurrente pone de manifiesto: (i) que la Audiencia Nacional, acogiendo la jurisprudencia contenida en la STS 1263/2018, de 17 de julio, ha dictado la sentencia de 27 de abril de 2022, recurso de derechos fundamentales 2-2021, que reconoce la responsa</w:t>
      </w:r>
      <w:r>
        <w:lastRenderedPageBreak/>
        <w:t>bilidad patrimonial de la administración de justicia en un supuesto que tenía como presupuesto un dictamen del Comité contra la Tortura de Naciones Unidas; (ii) que una vez cumplida la pena impuesta en Marruecos, el recurrente ha logrado volver a Europa y, a instancias del International Rehabilitation Council for Torture Victims, fue examinado los días 4 y 5 de septiembre de 2021 en Bruselas por médicos forenses independientes que han elaborado un informe médico legal que también se adjunta al mencionado escrito junto con una traducción no oficial de las conclusiones y recomendaciones contenidas en el citado informe.</w:t>
      </w:r>
    </w:p>
    <w:p w14:paraId="02F69C97" w14:textId="77777777" w:rsidR="009D7677" w:rsidRDefault="009D7677" w:rsidP="009D7677">
      <w:pPr>
        <w:pStyle w:val="TextoNormal"/>
      </w:pPr>
    </w:p>
    <w:p w14:paraId="7E532D21" w14:textId="57F73469" w:rsidR="009D7677" w:rsidRDefault="009D7677" w:rsidP="009D7677">
      <w:pPr>
        <w:pStyle w:val="TextoNormal"/>
      </w:pPr>
      <w:r w:rsidRPr="009D7677">
        <w:rPr>
          <w:rStyle w:val="NumeroAFNegritaCaracter"/>
        </w:rPr>
        <w:t>11</w:t>
      </w:r>
      <w:r>
        <w:t>. El secretario de justicia dictó diligencia de ordenación el 31 de mayo de 2022 respecto al anterior escrito presentado el día 30 de mayo de 2022, por la que se acuerda que se una a las actuaciones a que se refiere y se dé cuenta.</w:t>
      </w:r>
    </w:p>
    <w:p w14:paraId="1475E475" w14:textId="77777777" w:rsidR="009D7677" w:rsidRDefault="009D7677" w:rsidP="009D7677">
      <w:pPr>
        <w:pStyle w:val="TextoNormal"/>
      </w:pPr>
    </w:p>
    <w:p w14:paraId="2B65F8BB" w14:textId="0203F12F" w:rsidR="009D7677" w:rsidRDefault="009D7677" w:rsidP="009D7677">
      <w:pPr>
        <w:pStyle w:val="TextoNormal"/>
      </w:pPr>
      <w:r w:rsidRPr="009D7677">
        <w:rPr>
          <w:rStyle w:val="NumeroAFNegritaCaracter"/>
        </w:rPr>
        <w:t>12</w:t>
      </w:r>
      <w:r>
        <w:t>. La Sala, en sesión celebrada el día 11 de septiembre de 2023, acordó proponer la avocación al Pleno del presente recurso de amparo, de conformidad con lo dispuesto en el art. 10.1 n) LOTC.</w:t>
      </w:r>
    </w:p>
    <w:p w14:paraId="2B64DEF6" w14:textId="77777777" w:rsidR="009D7677" w:rsidRDefault="009D7677" w:rsidP="009D7677">
      <w:pPr>
        <w:pStyle w:val="TextoNormal"/>
      </w:pPr>
    </w:p>
    <w:p w14:paraId="062AB12D" w14:textId="2EDBBBFA" w:rsidR="009D7677" w:rsidRDefault="009D7677" w:rsidP="009D7677">
      <w:pPr>
        <w:pStyle w:val="TextoNormal"/>
      </w:pPr>
      <w:r w:rsidRPr="009D7677">
        <w:rPr>
          <w:rStyle w:val="NumeroAFNegritaCaracter"/>
        </w:rPr>
        <w:t>13</w:t>
      </w:r>
      <w:r>
        <w:t>. El Pleno, en su reunión de 26 de septiembre de 2023 y conforme establece el artículo 10.1 n) LOTC, a propuesta de la Sala Segunda, acuerda recabar para sí el conocimiento del recurso de amparo.</w:t>
      </w:r>
    </w:p>
    <w:p w14:paraId="7C386FB1" w14:textId="77777777" w:rsidR="009D7677" w:rsidRDefault="009D7677" w:rsidP="009D7677">
      <w:pPr>
        <w:pStyle w:val="TextoNormal"/>
      </w:pPr>
    </w:p>
    <w:p w14:paraId="189EE70B" w14:textId="77777777" w:rsidR="009D7677" w:rsidRDefault="009D7677" w:rsidP="009D7677">
      <w:pPr>
        <w:pStyle w:val="TextoNormal"/>
      </w:pPr>
      <w:r w:rsidRPr="009D7677">
        <w:rPr>
          <w:rStyle w:val="NumeroAFNegritaCaracter"/>
        </w:rPr>
        <w:t>14</w:t>
      </w:r>
      <w:r>
        <w:t>. El 8 de enero de 2024 la representación procesal del recurrente presentó nuevo escrito con “alegaciones complementarias” “y a la vista del tiempo transcurrido desde la interposición de la demanda de amparo” en las que señala que el Tribunal Supremo acaba de dictar la sentencia 1597/2023, de 29 de noviembre, de la Sección Cuarta, en idénticos términos a la sentencia 1263/2018, de 17 de julio, doctrina que estima de aplicación al caso.</w:t>
      </w:r>
    </w:p>
    <w:p w14:paraId="1334F574" w14:textId="77777777" w:rsidR="009D7677" w:rsidRDefault="009D7677" w:rsidP="009D7677">
      <w:pPr>
        <w:pStyle w:val="TextoNormal"/>
      </w:pPr>
    </w:p>
    <w:p w14:paraId="7A8E43FD" w14:textId="77777777" w:rsidR="009D7677" w:rsidRDefault="009D7677" w:rsidP="009D7677">
      <w:pPr>
        <w:pStyle w:val="TextoNormal"/>
      </w:pPr>
      <w:r>
        <w:t>Más concretamente, se afirma que “[e]n efecto, como en nuestra demanda ya se indicaba (página 16), el daño indemnizable ya se produjo al no evaluarse de forma acertada por parte de los tribunales españoles los riesgos ciertos y evidentes de tortura que se cernían sobre mi representado en caso de ser extraditado, pese, además, a la advertencia efectuada por el Comité, que había solicitado la suspensión de la extradición durante el procedimiento ante el mismo. Sin perjuicio de su constatación y establecimiento explícito de la obligación de reparación posteriormente declarada por el Comité.</w:t>
      </w:r>
    </w:p>
    <w:p w14:paraId="482B3614" w14:textId="77777777" w:rsidR="009D7677" w:rsidRDefault="009D7677" w:rsidP="009D7677">
      <w:pPr>
        <w:pStyle w:val="TextoNormal"/>
      </w:pPr>
    </w:p>
    <w:p w14:paraId="5B820616" w14:textId="26CB21DA" w:rsidR="009D7677" w:rsidRDefault="009D7677" w:rsidP="009D7677">
      <w:pPr>
        <w:pStyle w:val="TextoNormal"/>
      </w:pPr>
      <w:r>
        <w:t>Infracción de derechos fundamentales imputable a los tribunales españoles, conforme se expresaba en las páginas 22, 23 y 24 de nuestra demanda, con citas de la STC 32/2003 y 140/2007, el artículo 3 del Convenio contra la Tortura y sentencias del Tribunal de Justicia de la Unión Europea y el Tribunal Europeo de Derechos Humanos, cuestión también reiterada en nuestro escrito de alegaciones de 11 de septiembre de 2020”.</w:t>
      </w:r>
    </w:p>
    <w:p w14:paraId="43867A9D" w14:textId="77777777" w:rsidR="009D7677" w:rsidRDefault="009D7677" w:rsidP="009D7677">
      <w:pPr>
        <w:pStyle w:val="TextoNormal"/>
      </w:pPr>
    </w:p>
    <w:p w14:paraId="2DD1C9A1" w14:textId="6430F4E9" w:rsidR="009D7677" w:rsidRDefault="009D7677" w:rsidP="009D7677">
      <w:pPr>
        <w:pStyle w:val="TextoNormal"/>
      </w:pPr>
      <w:r w:rsidRPr="009D7677">
        <w:rPr>
          <w:rStyle w:val="NumeroAFNegritaCaracter"/>
        </w:rPr>
        <w:t>15</w:t>
      </w:r>
      <w:r>
        <w:t>. El 9 de enero de 2024 el secretario de justicia dictó diligencia de ordenación acordando unir a las actuaciones el anterior escrito presentado por la representación del recurrente, a los efectos que correspondan.</w:t>
      </w:r>
    </w:p>
    <w:p w14:paraId="703E8B06" w14:textId="77777777" w:rsidR="009D7677" w:rsidRDefault="009D7677" w:rsidP="009D7677">
      <w:pPr>
        <w:pStyle w:val="TextoNormal"/>
      </w:pPr>
    </w:p>
    <w:p w14:paraId="7E3A9E0F" w14:textId="29CE91A6" w:rsidR="009D7677" w:rsidRDefault="009D7677" w:rsidP="009D7677">
      <w:pPr>
        <w:pStyle w:val="TextoNormal"/>
      </w:pPr>
      <w:r w:rsidRPr="009D7677">
        <w:rPr>
          <w:rStyle w:val="NumeroAFNegritaCaracter"/>
        </w:rPr>
        <w:lastRenderedPageBreak/>
        <w:t>16</w:t>
      </w:r>
      <w:r>
        <w:t>. Por providencia de 9 de abril de 2024 se señaló ese mismo día para deliberación y votación de la presente sentencia.</w:t>
      </w:r>
    </w:p>
    <w:p w14:paraId="10897731" w14:textId="77777777" w:rsidR="009D7677" w:rsidRDefault="009D7677" w:rsidP="009D7677">
      <w:pPr>
        <w:pStyle w:val="TextoNormal"/>
      </w:pPr>
    </w:p>
    <w:p w14:paraId="73501CB8" w14:textId="77777777" w:rsidR="009D7677" w:rsidRDefault="009D7677" w:rsidP="009D7677">
      <w:pPr>
        <w:pStyle w:val="TextoNormalNegritaCentrado"/>
        <w:keepNext/>
      </w:pPr>
      <w:r>
        <w:t>II. Fundamentos jurídicos</w:t>
      </w:r>
    </w:p>
    <w:p w14:paraId="2D54DD42" w14:textId="2BB90060" w:rsidR="009D7677" w:rsidRDefault="009D7677" w:rsidP="009D7677">
      <w:pPr>
        <w:pStyle w:val="TextoNormalNegritaCentrado"/>
        <w:keepNext/>
      </w:pPr>
    </w:p>
    <w:p w14:paraId="3A14FB88" w14:textId="77777777" w:rsidR="009D7677" w:rsidRDefault="009D7677" w:rsidP="009D7677">
      <w:pPr>
        <w:pStyle w:val="TextoNormal"/>
      </w:pPr>
      <w:r w:rsidRPr="009D7677">
        <w:rPr>
          <w:rStyle w:val="NumeroAFNegritaCaracter"/>
        </w:rPr>
        <w:t>1</w:t>
      </w:r>
      <w:r>
        <w:t xml:space="preserve">. </w:t>
      </w:r>
      <w:r w:rsidRPr="009D7677">
        <w:rPr>
          <w:i/>
        </w:rPr>
        <w:t>Objeto del recurso de amparo y pretensiones de las partes</w:t>
      </w:r>
    </w:p>
    <w:p w14:paraId="437BCFFF" w14:textId="77777777" w:rsidR="009D7677" w:rsidRDefault="009D7677" w:rsidP="009D7677">
      <w:pPr>
        <w:pStyle w:val="TextoNormal"/>
      </w:pPr>
    </w:p>
    <w:p w14:paraId="3CF70353" w14:textId="77777777" w:rsidR="009D7677" w:rsidRDefault="009D7677" w:rsidP="009D7677">
      <w:pPr>
        <w:pStyle w:val="TextoNormal"/>
      </w:pPr>
      <w:r>
        <w:t>a) El objeto del presente recurso de amparo lo constituyen la sentencia dictada el 2 de febrero de 2018 por la Sección Tercera de la Sala de lo Contencioso-Administrativo de la Audiencia Nacional que desestimó el recurso contencioso-administrativo interpuesto contra la desestimación por silencio administrativo de la solicitud de responsabilidad patrimonial por mal funcionamiento de la administración de justicia —contra la cual también se dirige el recurso— y contra la providencia de 10 de enero de 2019 dictada por la Sección Primera de la Sala de lo Contencioso-Administrativo del Tribunal Supremo que inadmitió a trámite el recurso de casación interpuesto contra aquella.</w:t>
      </w:r>
    </w:p>
    <w:p w14:paraId="2B7ACC4B" w14:textId="77777777" w:rsidR="009D7677" w:rsidRDefault="009D7677" w:rsidP="009D7677">
      <w:pPr>
        <w:pStyle w:val="TextoNormal"/>
      </w:pPr>
    </w:p>
    <w:p w14:paraId="21358CA7" w14:textId="77777777" w:rsidR="009D7677" w:rsidRDefault="009D7677" w:rsidP="009D7677">
      <w:pPr>
        <w:pStyle w:val="TextoNormal"/>
      </w:pPr>
      <w:r>
        <w:t>La reclamación de responsabilidad patrimonial por mal funcionamiento de la administración de justicia la fundó el recurrente en una incorrecta evaluación de los riesgos por parte del Estado al acordar su extradición a Marruecos, así como en una demora en la tramitación de la solicitud de suspensión de la extradición que tuvo como consecuencia que fue sometido a torturas en dicho país. Con el fin de sostener su pretensión adjuntó, entre otros documentos, el dictamen del Comité de Derechos Humanos de Naciones Unidas de 21 de julio de 2014, recaído en la comunicación núm. 2008/2010, en el que se declara que la extradición de don Alí Aarrass a Marruecos constituyó una vulneración del art. 7 del Pacto internacional de derechos civiles y políticos, estableciendo la obligación del Estado de proporcionar al comunicante un recurso efectivo que incluya proporcionar una compensación adecuada por la violación sufrida, teniendo en cuenta los actos de tortura y malos tratos a que fue expuesto como consecuencia de su extradición a Marruecos, así como de tomar medidas de cooperación posible con las autoridades de dicho país para asegurar un monitoreo efectivo del trato dispensado a don Alí Aarrass en Marruecos. La sentencia dictada por la Audiencia Nacional desestimó el recurso contencioso-administrativo con base, en esencia, en dos argumentos: la carencia de fuerza ejecutiva del dictamen del Comité, que tan solo obliga al Estado a procurar un recurso efectivo al recurrente para hacer valer sus derechos, y la inadecuación de la acción elegida por el recurrente debido a que su queja debió haberse formulado a través de la declaración de error judicial. La Audiencia Nacional afirma que, salvo que se declare la existencia de error judicial a través de los cauces legalmente establecidos al respecto, existe el deber jurídico de soportar los daños que se deriven de las resoluciones judiciales.</w:t>
      </w:r>
    </w:p>
    <w:p w14:paraId="25F9DF5E" w14:textId="77777777" w:rsidR="009D7677" w:rsidRDefault="009D7677" w:rsidP="009D7677">
      <w:pPr>
        <w:pStyle w:val="TextoNormal"/>
      </w:pPr>
    </w:p>
    <w:p w14:paraId="76CD7287" w14:textId="77777777" w:rsidR="009D7677" w:rsidRDefault="009D7677" w:rsidP="009D7677">
      <w:pPr>
        <w:pStyle w:val="TextoNormal"/>
      </w:pPr>
      <w:r>
        <w:t>b) En los antecedentes han quedado expuestos con detalle tanto los argumentos por los que la demanda aduce la inconstitucionalidad de las resoluciones impugnadas como los de signo contrario, de modo que basta ahora con remitirnos a aquella exposición y con recordar, de forma extremadamente concisa, lo esencial de unas tesis y otras.</w:t>
      </w:r>
    </w:p>
    <w:p w14:paraId="66915D26" w14:textId="77777777" w:rsidR="009D7677" w:rsidRDefault="009D7677" w:rsidP="009D7677">
      <w:pPr>
        <w:pStyle w:val="TextoNormal"/>
      </w:pPr>
    </w:p>
    <w:p w14:paraId="59235FB2" w14:textId="77777777" w:rsidR="009D7677" w:rsidRDefault="009D7677" w:rsidP="009D7677">
      <w:pPr>
        <w:pStyle w:val="TextoNormal"/>
      </w:pPr>
      <w:r>
        <w:t xml:space="preserve">(i) El recurrente en amparo aduce que se han vulnerado los arts. 15 y 24.1 CE. Por lo que se refiere al derecho a la prohibición de torturas y tratos inhumanos o degradantes alega que, existiendo un riesgo real de lesión de derechos fundamentales al acordar su </w:t>
      </w:r>
      <w:r>
        <w:lastRenderedPageBreak/>
        <w:t>extradición y entrega a Marruecos, las autoridades españolas no la evitaron por lo que, de conformidad con reiterada doctrina constitucional y jurisprudencia del Tribunal Europeo de Derechos Humanos, serán imputables a las autoridades españolas las lesiones de derechos fundamentales del recurrente llevadas a cabo en el país al que se produjo la entrega.</w:t>
      </w:r>
    </w:p>
    <w:p w14:paraId="5364D339" w14:textId="77777777" w:rsidR="009D7677" w:rsidRDefault="009D7677" w:rsidP="009D7677">
      <w:pPr>
        <w:pStyle w:val="TextoNormal"/>
      </w:pPr>
    </w:p>
    <w:p w14:paraId="2C602B6C" w14:textId="77777777" w:rsidR="009D7677" w:rsidRDefault="009D7677" w:rsidP="009D7677">
      <w:pPr>
        <w:pStyle w:val="TextoNormal"/>
      </w:pPr>
      <w:r>
        <w:t>El Estado tiene el deber de indemnizar los daños sufridos por el recurrente por más que no se reconozca el carácter ejecutivo del dictamen del Comité, ya que la virtualidad que tiene este último —unido en este caso a la opinión del grupo de trabajo sobre la detención arbitraria del Consejo de Derechos Humanos de la Asamblea General de Naciones Unidas, la decisión del Comité contra la Tortura y la carta remitida por el relator especial sobre la tortura y otras penas o tratos crueles, inhumanos o degradantes, recaídas respecto del señor Aarrass— es la de declarar el padecimiento de tortura en Marruecos del actor y su relación con la indebida extradición acordada por los tribunales españoles. Asimismo, alega que se ha infringido el derecho a la tutela judicial efectiva debido a que no ha existido un remedio eficaz frente a la lesión causada por la administración ya que la interpretación de la legalidad realizada por los órganos judiciales no solo incurre en inconstitucionalidad, sino que, además, es contradictoria con las comunicaciones llevadas a cabo entre la Abogacía del Estado y el recurrente y entre aquella y el Comité.</w:t>
      </w:r>
    </w:p>
    <w:p w14:paraId="304C9169" w14:textId="77777777" w:rsidR="009D7677" w:rsidRDefault="009D7677" w:rsidP="009D7677">
      <w:pPr>
        <w:pStyle w:val="TextoNormal"/>
      </w:pPr>
    </w:p>
    <w:p w14:paraId="230B4AAF" w14:textId="77777777" w:rsidR="009D7677" w:rsidRDefault="009D7677" w:rsidP="009D7677">
      <w:pPr>
        <w:pStyle w:val="TextoNormal"/>
      </w:pPr>
      <w:r>
        <w:t>(ii) El abogado del Estado interesa, en primer término, la inadmisión de la demanda de amparo respecto de la alegada vulneración del derecho a no sufrir torturas o tratos inhumanos o degradantes debido a que tanto el Tribunal Constitucional como el Tribunal Europeo de Derechos Humanos ya se pronunciaron sobre dicha pretensión al conocer de los recursos interpuestos contra la orden de extradición. Asimismo, considera que el recurso carece de especial trascendencia constitucional y que incurre también en causa de inadmisibilidad parcial la alegada lesión del derecho a la tutela judicial efectiva debido a que respecto de ella no se agotó la vía judicial previa.</w:t>
      </w:r>
    </w:p>
    <w:p w14:paraId="4FFC8A97" w14:textId="77777777" w:rsidR="009D7677" w:rsidRDefault="009D7677" w:rsidP="009D7677">
      <w:pPr>
        <w:pStyle w:val="TextoNormal"/>
      </w:pPr>
    </w:p>
    <w:p w14:paraId="604C2E00" w14:textId="77777777" w:rsidR="009D7677" w:rsidRDefault="009D7677" w:rsidP="009D7677">
      <w:pPr>
        <w:pStyle w:val="TextoNormal"/>
      </w:pPr>
      <w:r>
        <w:t>De forma subsidiaria, interesa la desestimación del recurso toda vez que los dictámenes de los comités de Naciones Unidas no son vinculantes jurídicamente ni en las medidas cautelares ni en opiniones finales ya que, de otro modo, podría alterarse el efecto de cosa juzgada de las decisiones jurisdiccionales españolas. A mayor abundamiento, alega que la determinación del valor jurídico de dichos dictámenes es una cuestión de mera legalidad ordinaria carente de trascendencia constitucional. Tampoco cabe apreciar la lesión del derecho a la tutela judicial efectiva ya que la determinación de si la vía procedente para instar la tutela de las pretensiones del actor es la del error judicial o la responsabilidad patrimonial por mal funcionamiento de la administración de justicia constituye también una cuestión de legalidad ordinaria ajena a la jurisdicción de amparo.</w:t>
      </w:r>
    </w:p>
    <w:p w14:paraId="04A2C7F6" w14:textId="77777777" w:rsidR="009D7677" w:rsidRDefault="009D7677" w:rsidP="009D7677">
      <w:pPr>
        <w:pStyle w:val="TextoNormal"/>
      </w:pPr>
    </w:p>
    <w:p w14:paraId="008B0701" w14:textId="77777777" w:rsidR="009D7677" w:rsidRDefault="009D7677" w:rsidP="009D7677">
      <w:pPr>
        <w:pStyle w:val="TextoNormal"/>
      </w:pPr>
      <w:r>
        <w:t>(iii) El Ministerio Fiscal interesa la estimación del presente recurso de amparo. Considera que aunque los dictámenes de los comités no tengan carácter ejecutivo, no pueden quedar despojados de todo efecto cuando declaran la vulneración de un derecho reconocido en el PIDCP, debiendo disponer el recurrente de un cauce adecuado para que pueda examinarse una pretensión que no solo afecta a la ejecución de las resoluciones de organismos internacionales, sino que atañe directamente al respeto y observancia por parte de los poderes públicos españoles de los derechos fundamentales garantizados en la Constitución.</w:t>
      </w:r>
    </w:p>
    <w:p w14:paraId="213BFF76" w14:textId="77777777" w:rsidR="009D7677" w:rsidRDefault="009D7677" w:rsidP="009D7677">
      <w:pPr>
        <w:pStyle w:val="TextoNormal"/>
      </w:pPr>
    </w:p>
    <w:p w14:paraId="07A2B06F" w14:textId="77A45DB1" w:rsidR="009D7677" w:rsidRDefault="009D7677" w:rsidP="009D7677">
      <w:pPr>
        <w:pStyle w:val="TextoNormal"/>
      </w:pPr>
      <w:r>
        <w:lastRenderedPageBreak/>
        <w:t>A partir de dichas premisas, el Ministerio Fiscal afirma que el dictamen del Comité sí es suficiente para sustentar el procedimiento de reclamación por funcionamiento anormal de la administración de justicia, tal y como aconteció en el caso al que se refiere la STS 1263/2018, de 17 de julio, incurriendo en inconstitucionalidad la argumentación de la resolución judicial impugnada debido a que: (i) limita los efectos internos del dictamen y desconoce su carácter de título autónomo y habilitante de la reclamación por mal funcionamiento de la administración de justicia; (ii) deriva el reconocimiento de una eventual compensación a un procedimiento ya inviable, lo que supone negar un recurso efectivo al recurrente a pesar de lo que dispone el PIDCP; y (iii) constituye una respuesta no solo contraria al art. 24.1 CE, sino que determina la ausencia de falta de ponderación de una eventual compensación, lo que contribuye a perpetuar la lesión no solo del art. 7 del Pacto, sino también del art. 15 CE.</w:t>
      </w:r>
    </w:p>
    <w:p w14:paraId="7E2D869D" w14:textId="77777777" w:rsidR="009D7677" w:rsidRDefault="009D7677" w:rsidP="009D7677">
      <w:pPr>
        <w:pStyle w:val="TextoNormal"/>
      </w:pPr>
    </w:p>
    <w:p w14:paraId="4D35E973" w14:textId="77777777" w:rsidR="009D7677" w:rsidRDefault="009D7677" w:rsidP="009D7677">
      <w:pPr>
        <w:pStyle w:val="TextoNormal"/>
      </w:pPr>
      <w:r w:rsidRPr="009D7677">
        <w:rPr>
          <w:rStyle w:val="NumeroAFNegritaCaracter"/>
        </w:rPr>
        <w:t>2</w:t>
      </w:r>
      <w:r>
        <w:t xml:space="preserve">. </w:t>
      </w:r>
      <w:r w:rsidRPr="009D7677">
        <w:rPr>
          <w:i/>
        </w:rPr>
        <w:t>Sobre los óbices de admisibilidad alegados por el abogado del Estado</w:t>
      </w:r>
    </w:p>
    <w:p w14:paraId="32D62B0D" w14:textId="77777777" w:rsidR="009D7677" w:rsidRDefault="009D7677" w:rsidP="009D7677">
      <w:pPr>
        <w:pStyle w:val="TextoNormal"/>
      </w:pPr>
    </w:p>
    <w:p w14:paraId="3E12922D" w14:textId="77777777" w:rsidR="009D7677" w:rsidRDefault="009D7677" w:rsidP="009D7677">
      <w:pPr>
        <w:pStyle w:val="TextoNormal"/>
      </w:pPr>
      <w:r>
        <w:t>Delimitadas en los términos expuestos las cuestiones planteadas por las partes, debemos pronunciarnos sobre las causas de inadmisibilidad de la demanda alegadas por el abogado del Estado.</w:t>
      </w:r>
    </w:p>
    <w:p w14:paraId="38914F16" w14:textId="77777777" w:rsidR="009D7677" w:rsidRDefault="009D7677" w:rsidP="009D7677">
      <w:pPr>
        <w:pStyle w:val="TextoNormal"/>
      </w:pPr>
    </w:p>
    <w:p w14:paraId="777C5A5A" w14:textId="77777777" w:rsidR="009D7677" w:rsidRDefault="009D7677" w:rsidP="009D7677">
      <w:pPr>
        <w:pStyle w:val="TextoNormal"/>
      </w:pPr>
      <w:r>
        <w:t>a) No obstante, antes de ello, se impone hacer algunas precisiones acerca del objeto de este proceso.</w:t>
      </w:r>
    </w:p>
    <w:p w14:paraId="23CD0773" w14:textId="77777777" w:rsidR="009D7677" w:rsidRDefault="009D7677" w:rsidP="009D7677">
      <w:pPr>
        <w:pStyle w:val="TextoNormal"/>
      </w:pPr>
    </w:p>
    <w:p w14:paraId="1B111021" w14:textId="77777777" w:rsidR="009D7677" w:rsidRDefault="009D7677" w:rsidP="009D7677">
      <w:pPr>
        <w:pStyle w:val="TextoNormal"/>
      </w:pPr>
      <w:r>
        <w:t xml:space="preserve">(i) En primer lugar, y sin entrar a cuestionar el carácter mixto o no del recurso sobre el que discrepan los comparecientes en el proceso de amparo, así como a determinar si una desestimación presunta es, en este supuesto, susceptible de vulnerar derechos fundamentales, resulta patente que proyectar el control únicamente sobre las resoluciones judiciales impugnadas sería susceptible de reparar </w:t>
      </w:r>
      <w:r w:rsidRPr="009D7677">
        <w:rPr>
          <w:i/>
        </w:rPr>
        <w:t>in totum</w:t>
      </w:r>
      <w:r>
        <w:t>, en caso de estimarse el recurso, las pretensiones del recurrente. En efecto, la Audiencia Nacional podría enjuiciar los pedimentos de fondo planteados por la parte si estuviera en condiciones de hacerlo o, en otro caso, podría ordenar la retroacción de actuaciones con la finalidad de que la administración, una vez tramitado el procedimiento legalmente establecido, se pronunciara sobre la cuestión de fondo. La conclusión anterior es además la única coherente con los pedimentos de la parte que, al igual que el Ministerio Fiscal, solicita en la súplica de su demanda que, en caso de estimarse el recurso de amparo, se ordene la retroacción de las actuaciones al momento anterior a dictarse la sentencia por la Audiencia Nacional con el fin de que dicho órgano judicial dicte una nueva resolución respetuosa con el contenido de los derechos fundamentales infringidos. Con base en lo anterior, y de conformidad con lo solicitado por el Ministerio Fiscal, nuestro control se centrará en los razonamientos contenidos en la sentencia de la Audiencia Nacional aquí impugnada.</w:t>
      </w:r>
    </w:p>
    <w:p w14:paraId="597FF94A" w14:textId="77777777" w:rsidR="009D7677" w:rsidRDefault="009D7677" w:rsidP="009D7677">
      <w:pPr>
        <w:pStyle w:val="TextoNormal"/>
      </w:pPr>
    </w:p>
    <w:p w14:paraId="48EFD9B0" w14:textId="77777777" w:rsidR="009D7677" w:rsidRDefault="009D7677" w:rsidP="009D7677">
      <w:pPr>
        <w:pStyle w:val="TextoNormal"/>
      </w:pPr>
      <w:r>
        <w:t xml:space="preserve">(ii) En segundo lugar, resulta obligado subrayar, tal y como ha puesto de relieve el Ministerio Fiscal, que en modo alguno pueden constituir el objeto del presente recurso ni las resoluciones que en su día acordaron la extradición y entrega a Marruecos de don Alí Aarrass, ni tampoco las decisiones y su ejecución acordadas por el Reino de Marruecos respecto del recurrente en amparo. Las primeras son firmes y, además, como bien afirma el abogado del Estado, fueron ya objeto de recurso de amparo, e incluso de demanda individual a la que se refiere el art. 34 CEDH, sin que el Tribunal Europeo de Derechos Humanos apreciara que el Reino de España hubiera vulnerado ningún derecho del Convenio </w:t>
      </w:r>
      <w:r>
        <w:lastRenderedPageBreak/>
        <w:t>europeo de derechos humanos al acordar la extradición del señor Aarrass. Y, respecto de las segundas, es obvio que, en virtud de lo dispuesto en los arts. 40 a 44 LOTC, no pueden ser objeto de control a través de esta vía.</w:t>
      </w:r>
    </w:p>
    <w:p w14:paraId="0C0A3B94" w14:textId="77777777" w:rsidR="009D7677" w:rsidRDefault="009D7677" w:rsidP="009D7677">
      <w:pPr>
        <w:pStyle w:val="TextoNormal"/>
      </w:pPr>
    </w:p>
    <w:p w14:paraId="4DFB121E" w14:textId="77777777" w:rsidR="009D7677" w:rsidRDefault="009D7677" w:rsidP="009D7677">
      <w:pPr>
        <w:pStyle w:val="TextoNormal"/>
      </w:pPr>
      <w:r>
        <w:t>Por último, es preciso también aclarar que el presente recurso de amparo no es la vía idónea para someter a juicio el modelo de cumplimiento de dictámenes de los comités de Naciones Unidas en el marco del ordenamiento jurídico español, puesto que ello excedería del objeto del propio procedimiento de amparo. El único objeto de este pronunciamiento es determinar si las resoluciones judiciales impugnadas son vulneradoras de los derechos fundamentales invocados por el recurrente en amparo.</w:t>
      </w:r>
    </w:p>
    <w:p w14:paraId="0B1BD9DE" w14:textId="77777777" w:rsidR="009D7677" w:rsidRDefault="009D7677" w:rsidP="009D7677">
      <w:pPr>
        <w:pStyle w:val="TextoNormal"/>
      </w:pPr>
    </w:p>
    <w:p w14:paraId="7E26B40D" w14:textId="77777777" w:rsidR="009D7677" w:rsidRDefault="009D7677" w:rsidP="009D7677">
      <w:pPr>
        <w:pStyle w:val="TextoNormal"/>
      </w:pPr>
      <w:r>
        <w:t>b) Tras las anteriores consideraciones procede resolver las varias causas de inadmisibilidad alegadas por el abogado del Estado.</w:t>
      </w:r>
    </w:p>
    <w:p w14:paraId="13D44835" w14:textId="77777777" w:rsidR="009D7677" w:rsidRDefault="009D7677" w:rsidP="009D7677">
      <w:pPr>
        <w:pStyle w:val="TextoNormal"/>
      </w:pPr>
    </w:p>
    <w:p w14:paraId="5F34E632" w14:textId="77777777" w:rsidR="009D7677" w:rsidRDefault="009D7677" w:rsidP="009D7677">
      <w:pPr>
        <w:pStyle w:val="TextoNormal"/>
      </w:pPr>
      <w:r>
        <w:t>(i) En primer término, afirma que el presente recurso de amparo carece de especial trascendencia constitucional debido a que determinar si los dictámenes de los comités son título suficiente para fundar la responsabilidad patrimonial del Estado es, en todo caso y con independencia de los derechos del Pacto que puedan resultar concernidos, una cuestión de carácter infra constitucional referida a la aplicación de un tratado internacional suscrito por España, tal y como ha venido estableciendo la jurisprudencia de este tribunal. Tampoco aprecia que concurra especial trascendencia constitucional respecto a la alegada lesión del derecho a la tutela judicial efectiva y, en especial, respecto al derecho a la motivación de las resoluciones judiciales, debido a la amplísima doctrina constitucional que existe sobre el mencionado derecho.</w:t>
      </w:r>
    </w:p>
    <w:p w14:paraId="624CDE33" w14:textId="77777777" w:rsidR="009D7677" w:rsidRDefault="009D7677" w:rsidP="009D7677">
      <w:pPr>
        <w:pStyle w:val="TextoNormal"/>
      </w:pPr>
    </w:p>
    <w:p w14:paraId="6E98BCC8" w14:textId="77777777" w:rsidR="009D7677" w:rsidRDefault="009D7677" w:rsidP="009D7677">
      <w:pPr>
        <w:pStyle w:val="TextoNormal"/>
      </w:pPr>
      <w:r>
        <w:t xml:space="preserve">Procede, sin embargo, descartar la concurrencia de tal óbice recordando nuestra reiterada doctrina en cuya virtud “es a este tribunal a quien corresponde apreciar si el contenido del recurso justifica una decisión sobre el fondo en razón de su especial trascendencia constitucional, que ‘encuentra su momento procesal idóneo en el trámite de admisión contemplado en el art. 50.1 LOTC’” [últimamente, SSTC 46/2019, de 8 de abril, FJ 3 c); 54/2019, FJ 3 c); 58/2019, FJ 3 c); 59/2019, FJ 3 b), las tres últimas de 6 de mayo, y 3/2020, de 15 de enero, FJ 4, así como las anteriores que ahí se citan]. Tampoco en este momento procesal consideramos que el recurso carezca de especial trascendencia constitucional, sino que sigue gozando de tal cualidad debido a que plantea un problema iusfundamental y de articulación del sistema de fuentes sobre el que no existe doctrina constitucional y que se refiere a si, a falta de una vía procesal </w:t>
      </w:r>
      <w:r w:rsidRPr="009D7677">
        <w:rPr>
          <w:i/>
        </w:rPr>
        <w:t>ad hoc</w:t>
      </w:r>
      <w:r>
        <w:t xml:space="preserve">, el procedimiento de responsabilidad patrimonial por mal funcionamiento de la administración de justicia es una vía adecuada e idónea para interesar la reparación de derechos fundamentales una vez que se ha declarado la contrariedad de un acto interno a los derechos garantizados en el PIDCP, que es fuente normativa del ordenamiento </w:t>
      </w:r>
      <w:r w:rsidRPr="009D7677">
        <w:rPr>
          <w:i/>
        </w:rPr>
        <w:t>ex</w:t>
      </w:r>
      <w:r>
        <w:t xml:space="preserve"> art. 96.1 CE.</w:t>
      </w:r>
    </w:p>
    <w:p w14:paraId="363AAA4A" w14:textId="77777777" w:rsidR="009D7677" w:rsidRDefault="009D7677" w:rsidP="009D7677">
      <w:pPr>
        <w:pStyle w:val="TextoNormal"/>
      </w:pPr>
    </w:p>
    <w:p w14:paraId="08BBBA66" w14:textId="77777777" w:rsidR="009D7677" w:rsidRDefault="009D7677" w:rsidP="009D7677">
      <w:pPr>
        <w:pStyle w:val="TextoNormal"/>
      </w:pPr>
      <w:r>
        <w:t xml:space="preserve">(ii) En segundo término, el abogado del Estado aduce la inadmisibilidad parcial por falta de agotamiento de la vía judicial previa respecto a la alegada vulneración del art. 24.1 CE, toda vez que, al no haber invocado la lesión de dicho derecho en el escrito de preparación del recurso de casación, debió interponer posteriormente incidente de nulidad de actuaciones para impetrar la protección del derecho a la tutela judicial efectiva frente a la sentencia dictada por la Audiencia Nacional. Sostiene que no resulta aplicable a este supuesto la doctrina sentada en la STC 112/2019, de 3 de octubre, acerca del carácter no </w:t>
      </w:r>
      <w:r>
        <w:lastRenderedPageBreak/>
        <w:t>preceptivo de la reviviscencia del incidente de nulidad de actuaciones para tener por agotada la vía judicial previa en un ulterior recurso de amparo tras la inadmisión del recurso de casación contencioso-administrativo debido a que, en el asunto resuelto en la mencionada sentencia, sí se invocó en el escrito de preparación del recurso de casación la infracción del derecho fundamental presuntamente vulnerado en la instancia, circunstancia esta que no concurre en el presente caso.</w:t>
      </w:r>
    </w:p>
    <w:p w14:paraId="57BC5E5F" w14:textId="77777777" w:rsidR="009D7677" w:rsidRDefault="009D7677" w:rsidP="009D7677">
      <w:pPr>
        <w:pStyle w:val="TextoNormal"/>
      </w:pPr>
    </w:p>
    <w:p w14:paraId="4DC84B52" w14:textId="77777777" w:rsidR="009D7677" w:rsidRDefault="009D7677" w:rsidP="009D7677">
      <w:pPr>
        <w:pStyle w:val="TextoNormal"/>
      </w:pPr>
      <w:r>
        <w:t>Formulada en estos términos, la objeción planteada no puede ser acogida, pues la sola lectura del escrito de preparación del recurso de casación evidencia que el actor sí invocó la lesión del derecho a la tutela judicial efectiva. En efecto, en dicho escrito se invocan, entre las normas infringidas, los arts. 13 CEDH y 2.3 PIDCP, se califica de “impedimento obstativo” la conclusión de la Audiencia Nacional según la cual el recurso efectivo por el que debía haberse formulado la pretensión del recurrente era el error judicial en lugar del de la responsabilidad patrimonial por mal funcionamiento de la administración de justicia, dedicando varias páginas a poner de relieve que el asunto es “perfectamente incardinable” a través de este último cauce. En definitiva, del conjunto del escrito se deriva que el recurrente aduce la necesidad de que exista una vía de tutela para la protección de sus derechos.</w:t>
      </w:r>
    </w:p>
    <w:p w14:paraId="15D563C2" w14:textId="77777777" w:rsidR="009D7677" w:rsidRDefault="009D7677" w:rsidP="009D7677">
      <w:pPr>
        <w:pStyle w:val="TextoNormal"/>
      </w:pPr>
    </w:p>
    <w:p w14:paraId="7ABBBB7B" w14:textId="77777777" w:rsidR="009D7677" w:rsidRDefault="009D7677" w:rsidP="009D7677">
      <w:pPr>
        <w:pStyle w:val="TextoNormal"/>
      </w:pPr>
      <w:r>
        <w:t xml:space="preserve">Según doctrina consolidada de este tribunal, el cumplimiento del requisito de la invocación previa del derecho fundamental, que es, en realidad, el que cuestiona el abogado del Estado, “no precisa la cita específica de un concreto precepto del texto constitucional, es decir, no se requiere una especie de </w:t>
      </w:r>
      <w:r w:rsidRPr="009D7677">
        <w:rPr>
          <w:i/>
        </w:rPr>
        <w:t>editio actionis</w:t>
      </w:r>
      <w:r>
        <w:t>, sino que basta para entenderlo cumplido con que se ofrezca base argumental suficiente a fin de que el órgano judicial pueda conocer la vulneración aducida y pronunciarse sobre ella, interpretación flexible de dicho requisito que se contiene en las SSTC 17/1982, 117/1983, 75/1984, 10/1986, 75/1988 y 248/1993” (STC 69/1997, de 8 de abril, FJ 3). Habiendo quedado acreditada la invocación del derecho fundamental vulnerado en el escrito de preparación del recurso de casación, no resulta exigible la interposición del incidente de nulidad de actuaciones conforme a la doctrina derivada de la STC 112/2019, de 3 de octubre.</w:t>
      </w:r>
    </w:p>
    <w:p w14:paraId="1CB01036" w14:textId="77777777" w:rsidR="009D7677" w:rsidRDefault="009D7677" w:rsidP="009D7677">
      <w:pPr>
        <w:pStyle w:val="TextoNormal"/>
      </w:pPr>
    </w:p>
    <w:p w14:paraId="7DE02A71" w14:textId="77777777" w:rsidR="009D7677" w:rsidRDefault="009D7677" w:rsidP="009D7677">
      <w:pPr>
        <w:pStyle w:val="TextoNormal"/>
      </w:pPr>
      <w:r>
        <w:t>Se descarta, en consecuencia, la causa de inadmisibilidad aducida.</w:t>
      </w:r>
    </w:p>
    <w:p w14:paraId="106ABCAD" w14:textId="77777777" w:rsidR="009D7677" w:rsidRDefault="009D7677" w:rsidP="009D7677">
      <w:pPr>
        <w:pStyle w:val="TextoNormal"/>
      </w:pPr>
    </w:p>
    <w:p w14:paraId="4C046721" w14:textId="77777777" w:rsidR="009D7677" w:rsidRDefault="009D7677" w:rsidP="009D7677">
      <w:pPr>
        <w:pStyle w:val="TextoNormal"/>
      </w:pPr>
      <w:r>
        <w:t>(iii) Por último, el abogado del Estado interesa la inadmisión parcial del amparo respecto del art. 15 CE toda vez que el Comité de Derechos Humanos de Naciones Unidas, con grave quebranto del sistema internacional de protección de derechos fundamentales, declaró la admisibilidad de la comunicación formulada por don Alí Aarrass, a pesar de que el mismo asunto había sido sometido previamente a la protección del Tribunal Europeo de Derechos Humanos, que inadmitió la demanda individual interpuesta al amparo del art. 34 CEDH. Siendo esto así, en aplicación del Derecho Internacional de Derechos Humanos es incuestionable que el Comité no debió haber emitido dictamen alguno en relación con la comunicación de don Alí Aarrass, sino que esta debió inadmitirse a trámite en virtud del Derecho aplicable.</w:t>
      </w:r>
    </w:p>
    <w:p w14:paraId="5EA9A4A6" w14:textId="77777777" w:rsidR="009D7677" w:rsidRDefault="009D7677" w:rsidP="009D7677">
      <w:pPr>
        <w:pStyle w:val="TextoNormal"/>
      </w:pPr>
    </w:p>
    <w:p w14:paraId="0881D466" w14:textId="7143CFAB" w:rsidR="009D7677" w:rsidRDefault="009D7677" w:rsidP="009D7677">
      <w:pPr>
        <w:pStyle w:val="TextoNormal"/>
      </w:pPr>
      <w:r>
        <w:t xml:space="preserve">Tampoco podemos acordar la concurrencia de dicho óbice ya que supone realizar un enjuiciamiento sobre los criterios de admisibilidad del sistema de comunicaciones del Comité de Naciones Unidas que excede radicalmente de la competencia de este tribunal. No obstante, como ya se ha expuesto anteriormente, el objeto del recurso de amparo no </w:t>
      </w:r>
      <w:r>
        <w:lastRenderedPageBreak/>
        <w:t>puede reconducirse a verificar o a ratificar el contenido del mencionado dictamen, por lo que en nada compromete, a los efectos de admisibilidad de este recurso, si el Comité debió o no haber admitido a trámite la comunicación presentada en su día por don Alí Aarrass.</w:t>
      </w:r>
    </w:p>
    <w:p w14:paraId="22063382" w14:textId="77777777" w:rsidR="009D7677" w:rsidRDefault="009D7677" w:rsidP="009D7677">
      <w:pPr>
        <w:pStyle w:val="TextoNormal"/>
      </w:pPr>
    </w:p>
    <w:p w14:paraId="71F3F5E2" w14:textId="77777777" w:rsidR="009D7677" w:rsidRDefault="009D7677" w:rsidP="009D7677">
      <w:pPr>
        <w:pStyle w:val="TextoNormal"/>
      </w:pPr>
      <w:r w:rsidRPr="009D7677">
        <w:rPr>
          <w:rStyle w:val="NumeroAFNegritaCaracter"/>
        </w:rPr>
        <w:t>3</w:t>
      </w:r>
      <w:r>
        <w:t xml:space="preserve">. </w:t>
      </w:r>
      <w:r w:rsidRPr="009D7677">
        <w:rPr>
          <w:i/>
        </w:rPr>
        <w:t>Consideraciones previas sobre el objeto de nuestro enjuiciamiento</w:t>
      </w:r>
    </w:p>
    <w:p w14:paraId="4D717CAD" w14:textId="77777777" w:rsidR="009D7677" w:rsidRDefault="009D7677" w:rsidP="009D7677">
      <w:pPr>
        <w:pStyle w:val="TextoNormal"/>
      </w:pPr>
    </w:p>
    <w:p w14:paraId="39CE2456" w14:textId="77777777" w:rsidR="009D7677" w:rsidRDefault="009D7677" w:rsidP="009D7677">
      <w:pPr>
        <w:pStyle w:val="TextoNormal"/>
      </w:pPr>
      <w:r>
        <w:t>a) Una vez despejados los óbices procesales procede enjuiciar el fondo del asunto. Antes de ello, debe advertirse que, al contrario de lo que interesa el demandante, no es posible en este caso realizar un enjuiciamiento previo y autónomo de la aducida lesión de los derechos a la prohibición de torturas y a no sufrir tratos inhumanos o degradantes (art. 15 CE) ya que lo que debe analizar este tribunal es si el recurrente ostenta el derecho fundamental, negado por la Audiencia Nacional, a instar su pretensión a través del procedimiento de mal funcionamiento de la administración de justicia.</w:t>
      </w:r>
    </w:p>
    <w:p w14:paraId="3652F3E1" w14:textId="77777777" w:rsidR="009D7677" w:rsidRDefault="009D7677" w:rsidP="009D7677">
      <w:pPr>
        <w:pStyle w:val="TextoNormal"/>
      </w:pPr>
    </w:p>
    <w:p w14:paraId="5A5E5475" w14:textId="77777777" w:rsidR="009D7677" w:rsidRDefault="009D7677" w:rsidP="009D7677">
      <w:pPr>
        <w:pStyle w:val="TextoNormal"/>
      </w:pPr>
      <w:r>
        <w:t>O, expresado en otros términos, lo que se le ha negado al recurrente en las resoluciones judiciales no es el derecho material que reclamaba —una indemnización como consecuencia de una hipotética lesión de un derecho fundamental, cuestión que no ha sido analizada ni por la administración ni por los órganos judiciales intervinientes— ni tampoco, porque así lo reconoce la Audiencia Nacional, el derecho a un recurso efectivo para hacer valer su pretensión, sino el derecho a que su pretensión pueda ser conocida a través del procedimiento de mal funcionamiento de la administración de justicia. En efecto, según la Audiencia Nacional el actor sí tuvo a su disposición el único remedio efectivo para ver estimadas sus pretensiones —la declaración de error judicial, que no instó en su momento—, habiendo residenciado la tutela de sus derechos a través de una vía procesal inadecuada. Este es, por lo demás, el entendimiento que el Ministerio Fiscal realiza del presente recurso de amparo, que sostiene que el control en esta sede debe proyectarse sobre las resoluciones judiciales impugnadas y, particularmente, la dictada por la Audiencia Nacional. En definitiva, la Audiencia Nacional no cuestiona que la pretensión de fondo no sea enjuiciable, ni niega al recurrente el derecho a disponer de un recurso efectivo o vía procesal para instar su pretensión, sino que su tutela se ha articulado a través de un cauce inadecuado, decisión únicamente imputable a la parte.</w:t>
      </w:r>
    </w:p>
    <w:p w14:paraId="3B423576" w14:textId="77777777" w:rsidR="009D7677" w:rsidRDefault="009D7677" w:rsidP="009D7677">
      <w:pPr>
        <w:pStyle w:val="TextoNormal"/>
      </w:pPr>
    </w:p>
    <w:p w14:paraId="2310F735" w14:textId="77777777" w:rsidR="009D7677" w:rsidRDefault="009D7677" w:rsidP="009D7677">
      <w:pPr>
        <w:pStyle w:val="TextoNormal"/>
      </w:pPr>
      <w:r>
        <w:t>Partiendo de los presupuestos anteriores, debemos concretar, asimismo, la vertiente del derecho a la tutela judicial efectiva que se encuentra comprometida en este caso ya que tanto el actor como las partes comparecientes hacen alusión en sus escritos, bien al derecho contenido en el art. 24.1 CE en términos genéricos, bien a alguna de sus vertientes, como el derecho a la motivación de las resoluciones judiciales, a obtener una resolución fundada en Derecho, no irrazonable ni arbitraria ni incursa en error fáctico patente y a la prohibición de indefensión. Asimismo, tanto el recurrente como el Ministerio Fiscal aluden también a que se ha impedido el derecho a un “recurso efectivo” que permita hacer valer las pretensiones de la parte, citando a tal efecto el art. 13 CEDH.</w:t>
      </w:r>
    </w:p>
    <w:p w14:paraId="59FAF71D" w14:textId="77777777" w:rsidR="009D7677" w:rsidRDefault="009D7677" w:rsidP="009D7677">
      <w:pPr>
        <w:pStyle w:val="TextoNormal"/>
      </w:pPr>
    </w:p>
    <w:p w14:paraId="35ACF79A" w14:textId="77777777" w:rsidR="009D7677" w:rsidRDefault="009D7677" w:rsidP="009D7677">
      <w:pPr>
        <w:pStyle w:val="TextoNormal"/>
      </w:pPr>
      <w:r>
        <w:t>El derecho al que, en puridad, afectan los argumentos aducidos por la Audiencia Nacional antes expuestos es el de acceso a la jurisdicción, por más que se considere que dichos razonamientos, adicionalmente, generan indefensión o que no están fundados en Derecho por no respetar la adecuada aplicación del sistema de fuentes y que, por ello, resultan irrazonables y arbitrarios. Es esta, en consecuencia, la vertiente del derecho a la tutela judicial efectiva sobre la que este tribunal debe realizar su enjuiciamiento en este momen</w:t>
      </w:r>
      <w:r>
        <w:lastRenderedPageBreak/>
        <w:t>to, aplicando los parámetros o cánones de control de constitucionalidad que resultan inherentes a la misma.</w:t>
      </w:r>
    </w:p>
    <w:p w14:paraId="69B1F9AB" w14:textId="77777777" w:rsidR="009D7677" w:rsidRDefault="009D7677" w:rsidP="009D7677">
      <w:pPr>
        <w:pStyle w:val="TextoNormal"/>
      </w:pPr>
    </w:p>
    <w:p w14:paraId="595A73C2" w14:textId="77777777" w:rsidR="009D7677" w:rsidRDefault="009D7677" w:rsidP="009D7677">
      <w:pPr>
        <w:pStyle w:val="TextoNormal"/>
      </w:pPr>
      <w:r>
        <w:t>b) Una vez concretada la cuestión que debe ser objeto de nuestro análisis, identificados los derechos fundamentales concernidos, así como la forma imbricada en que va a llevarse a cabo el enjuiciamiento de los mismos, es preciso subrayar que la tutela judicial efectiva se garantiza en el art. 24.1 CE para la protección por parte de los órganos judiciales de los “derechos e intereses legítimos” de los ciudadanos. Más concretamente y por lo que se refiere al derecho de acceso a la jurisdicción, este tribunal ha venido afirmando que constituye “el primer contenido en un orden lógico y cronológico” (STC 26/2008, de 11 de febrero, FJ 5, entre muchas otras) del derecho constitucionalizado en el art. 24.1 CE, constituyendo en consecuencia la “sustancia medular” (STC 37/1995, de 7 de febrero, FJ 5) o el “elemento nuclear” (STC 27/2010, de 27 de abril, FJ 3) del derecho a la tutela judicial efectiva, que consiste en la promoción de la actividad jurisdiccional que desemboque en una decisión de fondo sobre las pretensiones deducidas por las partes.</w:t>
      </w:r>
    </w:p>
    <w:p w14:paraId="6D4167DD" w14:textId="77777777" w:rsidR="009D7677" w:rsidRDefault="009D7677" w:rsidP="009D7677">
      <w:pPr>
        <w:pStyle w:val="TextoNormal"/>
      </w:pPr>
    </w:p>
    <w:p w14:paraId="58900602" w14:textId="77777777" w:rsidR="009D7677" w:rsidRDefault="009D7677" w:rsidP="009D7677">
      <w:pPr>
        <w:pStyle w:val="TextoNormal"/>
      </w:pPr>
      <w:r>
        <w:t>Naturalmente, no cabe deducir de lo anterior que los órganos judiciales no puedan dictar resoluciones que, sin entrar en el fondo del asunto, denieguen el acceso al proceso al apreciar que no se cumplen los requisitos legalmente exigidos para ello. Debido precisamente al carácter nuclear del derecho de acceso a la jurisdicción, este tribunal se ha referido en reiteradas ocasiones a los límites infranqueables a los que están sometidos el legislador y los órganos judiciales.</w:t>
      </w:r>
    </w:p>
    <w:p w14:paraId="3E2F00E3" w14:textId="77777777" w:rsidR="009D7677" w:rsidRDefault="009D7677" w:rsidP="009D7677">
      <w:pPr>
        <w:pStyle w:val="TextoNormal"/>
      </w:pPr>
    </w:p>
    <w:p w14:paraId="1411ED7D" w14:textId="78EC5BD2" w:rsidR="009D7677" w:rsidRDefault="009D7677" w:rsidP="009D7677">
      <w:pPr>
        <w:pStyle w:val="TextoNormal"/>
      </w:pPr>
      <w:r>
        <w:t xml:space="preserve">Respecto del primero, este tribunal ha establecido que las “limitaciones impuestas al ejercicio del derecho fundamental a la tutela judicial efectiva no solo han de responder a una finalidad constitucionalmente legítima, sino que han de ser razonables y proporcionadas en relación con el objetivo pretendido y no han de afectar al contenido esencial del derecho” (STC 141/1988, de 12 de julio, FJ 7). Asimismo, respecto de la vinculación de tal derecho a los órganos judiciales, este tribunal ha afirmado en reiteradas ocasiones que el control de constitucionalidad de las resoluciones que hurtan una resolución sobre el fondo del asunto es especialmente intenso, no limitado a verificar que no se trata de resoluciones arbitrarias, manifiestamente irrazonables o fruto de un error patente, sino que exige tomar en consideración “los criterios que proporciona el principio </w:t>
      </w:r>
      <w:r w:rsidRPr="009D7677">
        <w:rPr>
          <w:i/>
        </w:rPr>
        <w:t>pro actione</w:t>
      </w:r>
      <w:r>
        <w:t>, entendido no como la forzosa selección de la interpretación más favorable a la admisión de entre todas las posibles de las normas que la regulan, sino como la interdicción de aquellas decisiones de inadmisión que por su rigorismo, por su formalismo excesivo o por cualquier otra razón revelen una clara desproporción entre los fines que aquellas causas preservan y los intereses que sacrifican” (entre otras muchas, SSTC 194/2015, de 21 de septiembre, FJ 5, y 91/2016, de 9 de mayo, FJ 3).</w:t>
      </w:r>
    </w:p>
    <w:p w14:paraId="6A07BC73" w14:textId="77777777" w:rsidR="009D7677" w:rsidRDefault="009D7677" w:rsidP="009D7677">
      <w:pPr>
        <w:pStyle w:val="TextoNormal"/>
      </w:pPr>
    </w:p>
    <w:p w14:paraId="3EB1F287" w14:textId="77777777" w:rsidR="009D7677" w:rsidRDefault="009D7677" w:rsidP="009D7677">
      <w:pPr>
        <w:pStyle w:val="TextoNormal"/>
      </w:pPr>
      <w:r w:rsidRPr="009D7677">
        <w:rPr>
          <w:rStyle w:val="NumeroAFNegritaCaracter"/>
        </w:rPr>
        <w:t>4</w:t>
      </w:r>
      <w:r>
        <w:t xml:space="preserve">. </w:t>
      </w:r>
      <w:r w:rsidRPr="009D7677">
        <w:rPr>
          <w:i/>
        </w:rPr>
        <w:t>Análisis de las quejas del recurso de amparo</w:t>
      </w:r>
    </w:p>
    <w:p w14:paraId="0341BBAB" w14:textId="77777777" w:rsidR="009D7677" w:rsidRDefault="009D7677" w:rsidP="009D7677">
      <w:pPr>
        <w:pStyle w:val="TextoNormal"/>
      </w:pPr>
    </w:p>
    <w:p w14:paraId="711E2AF2" w14:textId="77777777" w:rsidR="009D7677" w:rsidRDefault="009D7677" w:rsidP="009D7677">
      <w:pPr>
        <w:pStyle w:val="TextoNormal"/>
      </w:pPr>
      <w:r>
        <w:t xml:space="preserve">a) Los argumentos aducidos por la Audiencia Nacional para negar un pronunciamiento sobre el fondo de las cuestiones planteadas oportunamente por la parte son dos. Por un lado, que los dictámenes emitidos por los comités de la ONU no constituyen títulos ejecutivos que generen automáticamente el derecho a una indemnización, sino que solo obligan al Estado a conferir al comunicante un recurso efectivo en el que hacer valer sus pretensiones tal y como se deriva del art. 2, párrafo 3 a) PIDCP; por otro, que ha acudido a una </w:t>
      </w:r>
      <w:r>
        <w:lastRenderedPageBreak/>
        <w:t>acción inadecuada para impetrar la tutela de sus derechos ya que a través del procedimiento de responsabilidad patrimonial por mal funcionamiento de la administración de justicia no es posible declarar la existencia de un error judicial que es lo que en realidad pretende el recurrente. Aduce a tal efecto que, debido a que los hipotéticos errores que denuncia el recurrente los proyecta exclusivamente sobre las resoluciones judiciales que en su día acordaron la entrega del recurrente a Marruecos, el ordenamiento jurídico español sí dispone de un recurso efectivo para hacer valer su pretensión que es el de declaración de error judicial, vía que no ha utilizado el recurrente, siendo este el único responsable de no haber seguido el procedimiento legalmente establecido.</w:t>
      </w:r>
    </w:p>
    <w:p w14:paraId="36A64B52" w14:textId="77777777" w:rsidR="009D7677" w:rsidRDefault="009D7677" w:rsidP="009D7677">
      <w:pPr>
        <w:pStyle w:val="TextoNormal"/>
      </w:pPr>
    </w:p>
    <w:p w14:paraId="167FDD6E" w14:textId="77777777" w:rsidR="009D7677" w:rsidRDefault="009D7677" w:rsidP="009D7677">
      <w:pPr>
        <w:pStyle w:val="TextoNormal"/>
      </w:pPr>
      <w:r>
        <w:t>b) Antes de analizar si dichos argumentos son respetuosos con el derecho de acceso a la jurisdicción, es relevante poner de relieve que tanto el recurrente como el Ministerio Fiscal consideran que el dictamen emitido por el Comité obliga a los poderes públicos a establecer una vía procesal o un recurso efectivo para hacer valer jurídicamente los derechos e intereses legítimos del recurrente. Esta misma posición es asumida por la sentencia impugnada que afirma que “el Pacto internacional de derechos civiles y políticos no impone a los Estados parte el deber de indemnizar de manera inmediata y directa a los perjudicados, cuando el Comité de Derechos Humanos concluya que un Estado parte ha violado los derechos o libertades reconocidos en el Pacto, sino la obligación de articular un procedimiento que haga posible reclamar la indemnización que proceda. Nótese que el dictamen de autos, en su punto 12, con remisión a lo señalado en el artículo 2, párrafo 3 a) del Pacto, habla de la obligación de proporcionar al autor un ‘recurso efectivo’”.</w:t>
      </w:r>
    </w:p>
    <w:p w14:paraId="402A90BC" w14:textId="77777777" w:rsidR="009D7677" w:rsidRDefault="009D7677" w:rsidP="009D7677">
      <w:pPr>
        <w:pStyle w:val="TextoNormal"/>
      </w:pPr>
    </w:p>
    <w:p w14:paraId="0E5C7D4E" w14:textId="77777777" w:rsidR="009D7677" w:rsidRDefault="009D7677" w:rsidP="009D7677">
      <w:pPr>
        <w:pStyle w:val="TextoNormal"/>
      </w:pPr>
      <w:r>
        <w:t>La discrepancia entre el recurrente en amparo y la sentencia impugnada radica en que esta última sostiene que la reclamación patrimonial tiene su origen, exclusivamente, en las resoluciones judiciales que en su día acordaron la extradición. Sin embargo, el recurrente lo atribuye a una pluralidad de actos de los poderes públicos españoles, adoptados en diversos momentos que, según el dictamen del Comité llevaron a don Alí Aarrass a estar expuesto a actos de torturas y tratos inhumanos; no obstante, el recurrente subraya que tendría derecho a la indemnización por mal funcionamiento de la administración de justicia, aunque no se hubiera emitido el dictamen del Comité. Es evidente, como consecuencia de lo expuesto, que la sentencia no deniega el derecho de acción o el recurso efectivo del que es titular el recurrente y que surge del propio dictamen y del art. 2, párrafo 3 a) PIDCP. Esta, por tanto, no es la cuestión controvertida, sino los argumentos que contiene la mencionada sentencia para concluir que el recurrente ha canalizado dicho derecho procesal del que es titular a través de una vía inadecuada. Sobre estos argumentos es sobre los que debe pronunciarse este tribunal.</w:t>
      </w:r>
    </w:p>
    <w:p w14:paraId="62CC62CD" w14:textId="77777777" w:rsidR="009D7677" w:rsidRDefault="009D7677" w:rsidP="009D7677">
      <w:pPr>
        <w:pStyle w:val="TextoNormal"/>
      </w:pPr>
    </w:p>
    <w:p w14:paraId="19ADDBF0" w14:textId="77777777" w:rsidR="009D7677" w:rsidRDefault="009D7677" w:rsidP="009D7677">
      <w:pPr>
        <w:pStyle w:val="TextoNormal"/>
      </w:pPr>
      <w:r>
        <w:t xml:space="preserve">c) La doctrina constitucional a la que antes hemos hecho referencia relativa al derecho de acceso a la jurisdicción, en el que rige el principio </w:t>
      </w:r>
      <w:r w:rsidRPr="009D7677">
        <w:rPr>
          <w:i/>
        </w:rPr>
        <w:t>pro actione</w:t>
      </w:r>
      <w:r>
        <w:t>, se ha proyectado sobre el control de los presupuestos procesales que determinan la admisibilidad de la demanda entre los que se incluye, naturalmente, el procedimiento o la acción a través del cual se articula la pretensión de tutela (STC 20/1993, de 18 de enero). El derecho de acceso a la jurisdicción, al ser un derecho de configuración legal y de naturaleza prestacional, debe ejercerse por las vías procesales o los procedimientos establecidos por el legislador que, como ya se ha dicho, debe respetar el contenido esencial del derecho. La determinación de dichos cauces procesales, así como la definición de su contenido y alcance, “forma parte de la tarea privativa del juez ordinario por estar implicadas en ella las operaciones jurídi</w:t>
      </w:r>
      <w:r>
        <w:lastRenderedPageBreak/>
        <w:t>cas que son inherentes a la función de juzgar” (STC 186/1995, de 11 de diciembre, FJ 2). “Más concretamente, en relación con la apreciación de la inadecuación de procedimiento como causa de inadmisión, este tribunal ha declarado de forma reiterada que si bien el mandato contenido en el art. 24.1 CE encierra el ‘derecho a escoger la vía judicial que se estime más conveniente para la defensa de derechos e intereses legítimos’ (STC 90/1985, de 22 de julio, FJ 5), es imprescindible que el cauce procesal elegido sea el jurídicamente correcto, pues el derecho a la tutela judicial efectiva no incluye un derecho fundamental a procesos determinados; son los órganos judiciales los que, aplicando las normas competenciales o de otra índole, han de encauzar cada pretensión por el procedimiento adecuado, sea o no el elegido por la parte actora (SSTC 21/1986, de 14 de febrero, FJ 1; 20/1993, de 18 de enero, FJ 5; 189/1993, de 14 de junio, FJ 2; 92/1994; 186/1995, de 11 de diciembre, FJ 2; 160/1998, de 14 de julio, FJ 4, y 214/2000, de 18 de septiembre, FJ 5, por todas)” (SSTC 116/2001, de 21 de mayo, FJ 4, y 160/1998, de 14 de julio, FJ 4). Ahora bien, “si el seleccionado por el demandante objetivamente cumple el presupuesto de la adecuación, no puede imponerse un cauce procesal distinto” (STC 20/1993, de 18 de enero, FJ 5).</w:t>
      </w:r>
    </w:p>
    <w:p w14:paraId="20C9A334" w14:textId="77777777" w:rsidR="009D7677" w:rsidRDefault="009D7677" w:rsidP="009D7677">
      <w:pPr>
        <w:pStyle w:val="TextoNormal"/>
      </w:pPr>
    </w:p>
    <w:p w14:paraId="6581FFFC" w14:textId="77777777" w:rsidR="009D7677" w:rsidRDefault="009D7677" w:rsidP="009D7677">
      <w:pPr>
        <w:pStyle w:val="TextoNormal"/>
      </w:pPr>
      <w:r>
        <w:t>Como ya se ha expuesto, en este caso la causa que ha llevado a la Audiencia Nacional a inadmitir la pretensión del recurrente se debe a que la responsabilidad patrimonial por mal funcionamiento de la administración de justicia tiene su origen exclusivamente en determinadas resoluciones judiciales que no han sido declaradas erróneas y que el recurrente tiene el deber jurídico de soportar.</w:t>
      </w:r>
    </w:p>
    <w:p w14:paraId="6D26A760" w14:textId="77777777" w:rsidR="009D7677" w:rsidRDefault="009D7677" w:rsidP="009D7677">
      <w:pPr>
        <w:pStyle w:val="TextoNormal"/>
      </w:pPr>
    </w:p>
    <w:p w14:paraId="66B8B08E" w14:textId="77777777" w:rsidR="009D7677" w:rsidRDefault="009D7677" w:rsidP="009D7677">
      <w:pPr>
        <w:pStyle w:val="TextoNormal"/>
      </w:pPr>
      <w:r>
        <w:t>No obstante, un somero examen de las actuaciones nos permite afirmar que es más que discutible el presupuesto del que parte la Audiencia Nacional. En efecto, en la demanda presentada por el recurrente ante la Sala de lo Contencioso-Administrativo de la Audiencia Nacional se afirma que la defensa de don Alí Aarrass también solicitó al Consejo de Ministros la paralización de la extradición como consecuencia de la respuesta dada por el Comité a su comunicación en la que se rogaba al Reino de España que suspendiera la entrega hasta que se resolviera definitivamente la comunicación presentada por don Alí Aarrass. El silencio del Consejo de Ministros a dicha petición, según el recurrente, fue también decisivo en su extradición en la medida en que es a dicho órgano al que compete en último término acordar o no la entrega, máxime después de haber solicitado el Comité al Estado que se suspendiera dicha medida hasta que acabara de tramitarse la comunicación, lo que supone admitir que la extradición del recurrente a Marruecos obedeció a una pluralidad de decisiones adoptadas por diversos poderes públicos, no solo por el judicial, lo que, por otro lado, acontece en todo procedimiento de extradición dada su naturaleza mixta, esto es, “administrativo-judicial” (STC 141/1998, de 29 de julio, FJ 3).</w:t>
      </w:r>
    </w:p>
    <w:p w14:paraId="5BE4CB88" w14:textId="77777777" w:rsidR="009D7677" w:rsidRDefault="009D7677" w:rsidP="009D7677">
      <w:pPr>
        <w:pStyle w:val="TextoNormal"/>
      </w:pPr>
    </w:p>
    <w:p w14:paraId="133A064F" w14:textId="77777777" w:rsidR="009D7677" w:rsidRDefault="009D7677" w:rsidP="009D7677">
      <w:pPr>
        <w:pStyle w:val="TextoNormal"/>
      </w:pPr>
      <w:r>
        <w:t>Por otro lado, y dejando a un lado el carácter mixto de dicho procedimiento y que fuera el Consejo de Ministros el que acordó en último extremo la extradición de don Alí Aarrass, la queja del demandante se proyecta también sobre una pérdida de oportunidad consistente en la falta de reconsideración de la extradición por parte de la Audiencia Nacional a través del recurso de súplica que cabía interponer contra el auto que no accedió a suspender la extradición y que, según el recurrente, venía motivada por la demora en la notificación al Ministerio Fiscal de la solicitud de paralización de la extradición formulada con base en la petición del Comité al Reino de España de suspender el citado procedimiento.</w:t>
      </w:r>
    </w:p>
    <w:p w14:paraId="01849BDE" w14:textId="77777777" w:rsidR="009D7677" w:rsidRDefault="009D7677" w:rsidP="009D7677">
      <w:pPr>
        <w:pStyle w:val="TextoNormal"/>
      </w:pPr>
    </w:p>
    <w:p w14:paraId="2AD6A941" w14:textId="77777777" w:rsidR="009D7677" w:rsidRDefault="009D7677" w:rsidP="009D7677">
      <w:pPr>
        <w:pStyle w:val="TextoNormal"/>
      </w:pPr>
      <w:r>
        <w:lastRenderedPageBreak/>
        <w:t>El recurrente alega que no pudo interponer el recurso de súplica contra el auto dictado por la Audiencia Nacional el 13 de diciembre de 2010 —en el que se denegaba la suspensión de la entrega— debido a que esta se llevó a cabo al día siguiente, esto es, el día 14 de diciembre de 2010, privando así a la parte de una oportunidad de reconsideración judicial a través del régimen impugnativo legalmente previsto de la decisión de entrega. Si tenemos en cuenta que el retraso en la tramitación de los procedimientos constituye la especie más clara e indiscutida de funcionamiento anormal de la administración de justicia y que en sí misma considerada puede ser objeto de indemnización en el caso de que dicho retraso se considere “anormal”, resulta obvio que la vía procesal a través de la que debe instarse dicha pretensión es la de responsabilidad patrimonial por mal funcionamiento de la administración de justicia. Máxime en este caso en el que dichas actuaciones no han sido siquiera objeto de control jurisdiccional por parte de los órganos judiciales nacionales. Es más, la pérdida de oportunidad a la que se refiere el recurrente como consecuencia de haber sido extraditado sin que se hubieran agotado las posibilidades de tutela judicial del recurrente se produce con posterioridad al dictado de las resoluciones judiciales que acordaron la extradición, por lo que mal pueden tener su origen exclusivo en estas.</w:t>
      </w:r>
    </w:p>
    <w:p w14:paraId="7E917C64" w14:textId="77777777" w:rsidR="009D7677" w:rsidRDefault="009D7677" w:rsidP="009D7677">
      <w:pPr>
        <w:pStyle w:val="TextoNormal"/>
      </w:pPr>
    </w:p>
    <w:p w14:paraId="52561A12" w14:textId="77777777" w:rsidR="009D7677" w:rsidRDefault="009D7677" w:rsidP="009D7677">
      <w:pPr>
        <w:pStyle w:val="TextoNormal"/>
      </w:pPr>
      <w:r>
        <w:t>En definitiva, una vez constatado que, al contrario de lo sostenido por la Audiencia Nacional, la razón de ser de la reclamación del recurrente en amparo no tiene su origen exclusivamente en las resoluciones judiciales que acordaron su extradición, la respuesta de la Audiencia Nacional no se compadece con las exigencias que se derivan del derecho de acceso a la jurisdicción, incurriendo en un rigorismo proscrito por el art. 24.1 CE.</w:t>
      </w:r>
    </w:p>
    <w:p w14:paraId="5D9766EA" w14:textId="77777777" w:rsidR="009D7677" w:rsidRDefault="009D7677" w:rsidP="009D7677">
      <w:pPr>
        <w:pStyle w:val="TextoNormal"/>
      </w:pPr>
    </w:p>
    <w:p w14:paraId="218CAD99" w14:textId="77777777" w:rsidR="009D7677" w:rsidRDefault="009D7677" w:rsidP="009D7677">
      <w:pPr>
        <w:pStyle w:val="TextoNormal"/>
      </w:pPr>
      <w:r>
        <w:t>Hay que advertir que, ante el equívoco marco normativo procesal existente, tampoco resultaría proporcionado ni conforme con los derechos del recurrente en este caso exigirle iniciar diversos procesos con el fin de individualizar la responsabilidad que, en su caso, haya tenido cada órgano en los supuestos daños que, según sostiene el recurrente y confirma el dictamen de 21 de julio de 2014 del Comité de Derechos Humanos de Naciones Unidas, se le han causado en su esfera jurídica. Sin perjuicio de lo anterior, hay que tener en cuenta, como se afirma en la demanda de amparo y sostiene el Ministerio Fiscal, que la acción de responsabilidad patrimonial por mal funcionamiento de la administración de justicia se tornaba en el último remedio efectivo para controlar la vulneración de sus derechos fundamentales. En efecto, como aduce el Ministerio Fiscal, “la lesión de diversos derechos humanos reconocidos en el Pacto, declarada en el dictamen de la Comisión, puede acreditar la posible vulneración de los correspondientes derechos fundamentales del recurrente, puesto que el contenido de aquellos constituye parte también del de estos, formando el estándar mínimo y básico de los derechos fundamentales de toda persona en el ordenamiento jurídico español, como resulta de la circunstancia de que los tratados y acuerdos internacionales sobre derechos humanos sean insoslayables instrumentos hermenéuticos de los derechos fundamentales de la Constitución española (art. 10.2 CE)” (ATC 260/2000, FJ 2).</w:t>
      </w:r>
    </w:p>
    <w:p w14:paraId="0B3DD325" w14:textId="77777777" w:rsidR="009D7677" w:rsidRDefault="009D7677" w:rsidP="009D7677">
      <w:pPr>
        <w:pStyle w:val="TextoNormal"/>
      </w:pPr>
    </w:p>
    <w:p w14:paraId="449836ED" w14:textId="77777777" w:rsidR="009D7677" w:rsidRDefault="009D7677" w:rsidP="009D7677">
      <w:pPr>
        <w:pStyle w:val="TextoNormal"/>
      </w:pPr>
      <w:r>
        <w:t xml:space="preserve">Aunque los argumentos anteriores son suficientes para concluir que la resolución de la Audiencia Nacional es contraria al derecho de acceso a la jurisdicción, no puede desconocerse tampoco, como aduce el recurrente, que en este caso la administración, tanto en las comunicaciones informales que mantuvo con la letrada de nacionalidad belga que asistió al recurrente inmediatamente después de que se dictara el dictamen, como en las sucesivas comunicaciones que la Abogacía del Estado mantuvo con el Comité, nunca se refirió a la </w:t>
      </w:r>
      <w:r>
        <w:lastRenderedPageBreak/>
        <w:t>vía del error judicial como la idónea para enjuiciar las pretensiones del recurrente. Al contrario, el informe de 26 de febrero de 2015 de la Abogacía del Estado enviado al Comité de Derechos Humanos referido a las medidas adoptadas por el Estado para la aplicación del dictamen establece que, aunque la jurisprudencia no otorga ejecutoriedad al dictamen, dicha afirmación se realiza “sin prejuzgar por nuestra parte ahora el eventual resultado de una reclamación de responsabilidad extra contractual que el interesado pudiera deducir ante el departamento ministerial correspondiente, competente por razón de la materia sobre la base del dictamen como título jurídico material en sí mismo, y de la en su caso ulterior vía judicial”.</w:t>
      </w:r>
    </w:p>
    <w:p w14:paraId="3115FF29" w14:textId="77777777" w:rsidR="009D7677" w:rsidRDefault="009D7677" w:rsidP="009D7677">
      <w:pPr>
        <w:pStyle w:val="TextoNormal"/>
      </w:pPr>
    </w:p>
    <w:p w14:paraId="1B310043" w14:textId="77777777" w:rsidR="009D7677" w:rsidRDefault="009D7677" w:rsidP="009D7677">
      <w:pPr>
        <w:pStyle w:val="TextoNormal"/>
      </w:pPr>
      <w:r>
        <w:t>Tal forma de razonar excluye por completo la vía de la declaración de error judicial —que se inicia directamente ante los órganos judiciales— y remite, por los trámites a los que alude, a la acción de responsabilidad patrimonial por mal funcionamiento de la administración de justicia. Por último, en el informe de seguimiento del dictamen dirigido al Comité el 11 de febrero de 2016 se informa por parte del Estado a dicho organismo internacional que don Alí Aarrass ha iniciado los trámites correspondientes ante el Ministerio de Justicia para que se declare la responsabilidad patrimonial del Estado, sin que se aluda a la hipotética inadecuación de la acción elegida por la parte.</w:t>
      </w:r>
    </w:p>
    <w:p w14:paraId="5B2093A3" w14:textId="77777777" w:rsidR="009D7677" w:rsidRDefault="009D7677" w:rsidP="009D7677">
      <w:pPr>
        <w:pStyle w:val="TextoNormal"/>
      </w:pPr>
    </w:p>
    <w:p w14:paraId="01839CB7" w14:textId="77777777" w:rsidR="009D7677" w:rsidRDefault="009D7677" w:rsidP="009D7677">
      <w:pPr>
        <w:pStyle w:val="TextoNormal"/>
      </w:pPr>
      <w:r>
        <w:t>Es decir, en el caso que ahora enjuiciamos el Estado informó al organismo internacional competente de que el comunicante debía iniciar los trámites de reclamación de responsabilidad patrimonial ante el Ministerio correspondiente. Aunque dicha información —que con posterioridad resultó ser errónea— no se produce en una resolución administrativa dirigida al recurrente, se inserta en un informe oficial, remitido al Comité autor del dictamen recaído en la comunicación formulada por don Alí Aarrass y a través del cual el Estado da respuesta a la solicitud de dicho Comité de recibir información acerca del cumplimiento por parte del Estado del mencionado dictamen. Teniendo en cuenta la finalidad de dicho informe, el órgano al que se dirige, que a su vez lo remitió a don Alí Aarrass, así como su contenido, entendemos que es suficiente para inducir a error a la parte por lo que, aun en el caso de que dicho cauce hubiese sido objetivamente inidóneo, no podía ser susceptible de causarle perjuicios en su esfera jurídica.</w:t>
      </w:r>
    </w:p>
    <w:p w14:paraId="2976437C" w14:textId="77777777" w:rsidR="009D7677" w:rsidRDefault="009D7677" w:rsidP="009D7677">
      <w:pPr>
        <w:pStyle w:val="TextoNormal"/>
      </w:pPr>
    </w:p>
    <w:p w14:paraId="28A6BE33" w14:textId="66566335" w:rsidR="009D7677" w:rsidRDefault="009D7677" w:rsidP="009D7677">
      <w:pPr>
        <w:pStyle w:val="TextoNormal"/>
      </w:pPr>
      <w:r>
        <w:t>En suma, de los razonamientos anteriores se desprende que no es respetuoso con el derecho de acceso a la jurisdicción apreciar la inadecuación de la acción iniciada por el recurrente, haciendo impracticable la tutela de sus derechos fundamentales. Este pronunciamiento, relativo a uno de los dos argumentos que utiliza la Audiencia Nacional para rechazar las pretensiones indemnizatorias del recurrente en amparo, conduce por sí solo a la estimación del recurso de amparo. No obstante, conviene referirse también al argumento sostenido por la Audiencia Nacional acerca de que los dictámenes emitidos por los comités de la ONU no constituyen títulos ejecutivos que generen automáticamente el derecho a una indemnización, para afirmar que no puede deducirse de esa constatación, y no lo hace la Audiencia Nacional, una ausencia de obligación estatal de cumplimiento de los tratados de derechos humanos ratificados e incorporados al ordenamiento español, obligación esta derivada de una correcta intelección del art. 96.1 CE. Este compromiso de cumplimiento lleva aparejada la exigencia de respeto a los mecanismos internacionales de garantía de tratados cuando exista, como es aquí el caso, una voluntad estatal expresa de sumisión a dichos mecanismos.</w:t>
      </w:r>
    </w:p>
    <w:p w14:paraId="06547CC4" w14:textId="77777777" w:rsidR="009D7677" w:rsidRDefault="009D7677" w:rsidP="009D7677">
      <w:pPr>
        <w:pStyle w:val="TextoNormal"/>
      </w:pPr>
    </w:p>
    <w:p w14:paraId="24859093" w14:textId="77777777" w:rsidR="009D7677" w:rsidRDefault="009D7677" w:rsidP="009D7677">
      <w:pPr>
        <w:pStyle w:val="TextoNormal"/>
      </w:pPr>
      <w:r w:rsidRPr="009D7677">
        <w:rPr>
          <w:rStyle w:val="NumeroAFNegritaCaracter"/>
        </w:rPr>
        <w:lastRenderedPageBreak/>
        <w:t>5</w:t>
      </w:r>
      <w:r>
        <w:t xml:space="preserve">. </w:t>
      </w:r>
      <w:r w:rsidRPr="009D7677">
        <w:rPr>
          <w:i/>
        </w:rPr>
        <w:t>Efectos de la estimación del recurso</w:t>
      </w:r>
    </w:p>
    <w:p w14:paraId="5C16AC0A" w14:textId="77777777" w:rsidR="009D7677" w:rsidRDefault="009D7677" w:rsidP="009D7677">
      <w:pPr>
        <w:pStyle w:val="TextoNormal"/>
      </w:pPr>
    </w:p>
    <w:p w14:paraId="159F678F" w14:textId="77777777" w:rsidR="009D7677" w:rsidRDefault="009D7677" w:rsidP="009D7677">
      <w:pPr>
        <w:pStyle w:val="TextoNormal"/>
      </w:pPr>
      <w:r>
        <w:t>Como efectos derivados de la estimación de la queja de la demanda y con ella la del recurso interpuesto, procede, en primer lugar, declarar vulnerado el derecho a la tutela judicial efectiva del recurrente en relación con el art. 15 CE por no haberse reconocido un cauce procesal efectivo para examinar la reparación de una eventual lesión del derecho fundamental a no ser sometido a tortura ni a tratos inhumanos o degradantes. En segundo término, acordar la nulidad de la sentencia de 2 de febrero de 2018 dictada por la Sección Tercera de la Sala de lo Contencioso-Administrativo de la Audiencia Nacional, que desestimó el recurso contencioso-administrativo núm. 989-2016, así como de la providencia dictada por la Sección Primera de la Sala de lo Contencioso-Administrativo del Tribunal Supremo de 10 de enero de 2019, que inadmitió a trámite el recurso de casación núm. 2197-2018.</w:t>
      </w:r>
    </w:p>
    <w:p w14:paraId="08DE4BCF" w14:textId="77777777" w:rsidR="009D7677" w:rsidRDefault="009D7677" w:rsidP="009D7677">
      <w:pPr>
        <w:pStyle w:val="TextoNormal"/>
      </w:pPr>
    </w:p>
    <w:p w14:paraId="11FA4209" w14:textId="7F834854" w:rsidR="009D7677" w:rsidRDefault="009D7677" w:rsidP="009D7677">
      <w:pPr>
        <w:pStyle w:val="TextoNormal"/>
      </w:pPr>
      <w:r>
        <w:t>Por último, y a fin de reparar su derecho fundamental, se ordena la retroacción de actuaciones al momento inmediatamente anterior al del dictado de la sentencia de 2 de febrero de 2018 a fin de que la Audiencia Nacional enjuicie la pretensión de fondo y determine si existe o no un derecho a la indemnización como consecuencia de una hipotética lesión de un derecho fundamental.</w:t>
      </w:r>
    </w:p>
    <w:p w14:paraId="0274D03D" w14:textId="77777777" w:rsidR="009D7677" w:rsidRDefault="009D7677" w:rsidP="009D7677">
      <w:pPr>
        <w:pStyle w:val="TextoNormal"/>
      </w:pPr>
    </w:p>
    <w:p w14:paraId="284B6F43" w14:textId="77777777" w:rsidR="009D7677" w:rsidRDefault="009D7677" w:rsidP="009D7677">
      <w:pPr>
        <w:pStyle w:val="TextoNormalCentrado"/>
        <w:keepNext/>
      </w:pPr>
      <w:r>
        <w:t>FALLO</w:t>
      </w:r>
    </w:p>
    <w:p w14:paraId="0C00817D" w14:textId="0A743CC1" w:rsidR="009D7677" w:rsidRDefault="009D7677" w:rsidP="009D7677">
      <w:pPr>
        <w:pStyle w:val="TextoNormalCentrado"/>
        <w:keepNext/>
      </w:pPr>
    </w:p>
    <w:p w14:paraId="1FE8EBBB" w14:textId="77777777" w:rsidR="009D7677" w:rsidRDefault="009D7677" w:rsidP="009D7677">
      <w:pPr>
        <w:pStyle w:val="TextoNormal"/>
      </w:pPr>
      <w:r>
        <w:t>En atención a todo lo expuesto, el Tribunal Constitucional, por la autoridad que le confiere la Constitución de la Nación española, ha decidido otorgar el amparo a don Alí Aarrass y, en consecuencia:</w:t>
      </w:r>
    </w:p>
    <w:p w14:paraId="5D417FDE" w14:textId="77777777" w:rsidR="009D7677" w:rsidRDefault="009D7677" w:rsidP="009D7677">
      <w:pPr>
        <w:pStyle w:val="TextoNormal"/>
      </w:pPr>
    </w:p>
    <w:p w14:paraId="6AE92E64" w14:textId="77777777" w:rsidR="009D7677" w:rsidRDefault="009D7677" w:rsidP="009D7677">
      <w:pPr>
        <w:pStyle w:val="TextoNormal"/>
      </w:pPr>
      <w:r>
        <w:t>1º Reconocer el derecho del demandante de amparo a la tutela judicial efectiva sin indefensión (art. 24.1 CE), en relación con su derecho a no ser sometido a torturas ni a tratos inhumanos o degradantes (art. 15 CE).</w:t>
      </w:r>
    </w:p>
    <w:p w14:paraId="055A419C" w14:textId="77777777" w:rsidR="009D7677" w:rsidRDefault="009D7677" w:rsidP="009D7677">
      <w:pPr>
        <w:pStyle w:val="TextoNormal"/>
      </w:pPr>
    </w:p>
    <w:p w14:paraId="1655D70F" w14:textId="77777777" w:rsidR="009D7677" w:rsidRDefault="009D7677" w:rsidP="009D7677">
      <w:pPr>
        <w:pStyle w:val="TextoNormal"/>
      </w:pPr>
      <w:r>
        <w:t>2º Restablecer su derecho y, a tal fin, anular la sentencia dictada por la Sección Tercera de la Sala de lo Contencioso-Administrativo de la Audiencia Nacional, de 2 de febrero de 2018, que desestimó el recurso contencioso-administrativo núm. 989-2016, así como la providencia dictada por la Sección Primera de la Sala de lo Contencioso-Administrativo del Tribunal Supremo, de 10 de enero de 2019, que inadmitió a trámite el recurso de casación núm. 2197-2018.</w:t>
      </w:r>
    </w:p>
    <w:p w14:paraId="7BC77674" w14:textId="77777777" w:rsidR="009D7677" w:rsidRDefault="009D7677" w:rsidP="009D7677">
      <w:pPr>
        <w:pStyle w:val="TextoNormal"/>
      </w:pPr>
    </w:p>
    <w:p w14:paraId="095FDEE0" w14:textId="723E4F2A" w:rsidR="009D7677" w:rsidRDefault="009D7677" w:rsidP="009D7677">
      <w:pPr>
        <w:pStyle w:val="TextoNormal"/>
      </w:pPr>
      <w:r>
        <w:t>3º Ordenar la retroacción de las actuaciones al momento de pronunciarse la primera de las resoluciones judiciales anuladas para que se pronuncie otra respetuosa con el derecho fundamental.</w:t>
      </w:r>
    </w:p>
    <w:p w14:paraId="6EB91245" w14:textId="77777777" w:rsidR="009D7677" w:rsidRDefault="009D7677" w:rsidP="009D7677">
      <w:pPr>
        <w:pStyle w:val="TextoNormal"/>
      </w:pPr>
    </w:p>
    <w:p w14:paraId="484D9F4C" w14:textId="77777777" w:rsidR="009D7677" w:rsidRDefault="009D7677" w:rsidP="009D7677">
      <w:pPr>
        <w:pStyle w:val="TextoNormal"/>
      </w:pPr>
      <w:r>
        <w:t>Publíquese esta sentencia en el “Boletín Oficial del Estado”.</w:t>
      </w:r>
    </w:p>
    <w:p w14:paraId="3E6F030C" w14:textId="77777777" w:rsidR="009D7677" w:rsidRDefault="009D7677" w:rsidP="009D7677">
      <w:pPr>
        <w:pStyle w:val="TextoNormal"/>
      </w:pPr>
      <w:r>
        <w:t>Dada en Madrid, a nueve de abril de dos mil veinticuatro.</w:t>
      </w:r>
    </w:p>
    <w:p w14:paraId="6682A380" w14:textId="64E4F3EF" w:rsidR="009D7677" w:rsidRDefault="009D7677" w:rsidP="009D7677">
      <w:pPr>
        <w:pStyle w:val="ParrafoNormal"/>
      </w:pPr>
    </w:p>
    <w:p w14:paraId="4AD22C83" w14:textId="77777777" w:rsidR="009D7677" w:rsidRDefault="009D7677" w:rsidP="009D7677">
      <w:pPr>
        <w:pStyle w:val="TextoNormalNegritaCentrado"/>
        <w:keepNext/>
      </w:pPr>
      <w:r>
        <w:t>Voto particular que formulan los magistrados don Ricardo Enríquez Sancho y don Enrique Arnaldo Alcubilla, la magistrada doña Concepción Espejel Jorquera, el magistrado don César Tolosa Tribiño y la magistrada doña Lau</w:t>
      </w:r>
      <w:r>
        <w:lastRenderedPageBreak/>
        <w:t>ra Díez Bueso a la sentencia del Pleno del Tribunal que resuelve el recurso de amparo núm. 1186-2019</w:t>
      </w:r>
    </w:p>
    <w:p w14:paraId="38262E18" w14:textId="7922E5AE" w:rsidR="009D7677" w:rsidRDefault="009D7677" w:rsidP="009D7677">
      <w:pPr>
        <w:pStyle w:val="TextoNormalNegritaCentrado"/>
        <w:keepNext/>
      </w:pPr>
    </w:p>
    <w:p w14:paraId="1405B45F" w14:textId="77777777" w:rsidR="009D7677" w:rsidRDefault="009D7677" w:rsidP="009D7677">
      <w:pPr>
        <w:pStyle w:val="TextoNormal"/>
      </w:pPr>
      <w:r>
        <w:t>En el ejercicio de la facultad que nos confiere el artículo 90.2 de la Ley Orgánica del Tribunal Constitucional, y con respeto a la opinión de los magistrados y las magistradas que han conformado la mayoría del Pleno, formulamos el presente voto particular para expresar nuestra discrepancia con la fundamentación y con el fallo de la sentencia recaída en el presente recurso de amparo, que a nuestro entender debió ser desestimado.</w:t>
      </w:r>
    </w:p>
    <w:p w14:paraId="30BF40F5" w14:textId="77777777" w:rsidR="009D7677" w:rsidRDefault="009D7677" w:rsidP="009D7677">
      <w:pPr>
        <w:pStyle w:val="TextoNormal"/>
      </w:pPr>
    </w:p>
    <w:p w14:paraId="66F9F41C" w14:textId="77777777" w:rsidR="009D7677" w:rsidRDefault="009D7677" w:rsidP="009D7677">
      <w:pPr>
        <w:pStyle w:val="TextoNormal"/>
      </w:pPr>
      <w:r>
        <w:t>La sentencia de la que discrepamos debió adoptar como canon de enjuiciamiento el deber de motivación que deriva del derecho a la tutela judicial efectiva y no el derecho de acceso a la jurisdicción, lo que le hubiera llevado a concluir que la fundamentación de la sentencia dictada por la Sala de lo Contencioso-Administrativo de la Audiencia Nacional, considerando que la reclamación presentada por don Alí Aarrass se basaba en un supuesto error judicial y no en un funcionamiento anormal de la administración de justicia, constituía una argumentación fundada en Derecho, sin resultar en ningún caso irrazonable o errónea, y sin que quepa llegar a otra conclusión por la sola circunstancia de que en este supuesto el recurrente presente un dictamen del Comité de Derechos Humanos de Naciones Unidas.</w:t>
      </w:r>
    </w:p>
    <w:p w14:paraId="6A7071F9" w14:textId="77777777" w:rsidR="009D7677" w:rsidRDefault="009D7677" w:rsidP="009D7677">
      <w:pPr>
        <w:pStyle w:val="TextoNormal"/>
      </w:pPr>
    </w:p>
    <w:p w14:paraId="128D847C" w14:textId="77777777" w:rsidR="009D7677" w:rsidRDefault="009D7677" w:rsidP="009D7677">
      <w:pPr>
        <w:pStyle w:val="TextoNormal"/>
      </w:pPr>
      <w:r>
        <w:t xml:space="preserve">1. </w:t>
      </w:r>
      <w:r w:rsidRPr="009D7677">
        <w:rPr>
          <w:i/>
        </w:rPr>
        <w:t>El derecho de acceso a la jurisdicción no es el derecho comprometido en el presente recurso de amparo</w:t>
      </w:r>
    </w:p>
    <w:p w14:paraId="23AFFBFB" w14:textId="77777777" w:rsidR="009D7677" w:rsidRDefault="009D7677" w:rsidP="009D7677">
      <w:pPr>
        <w:pStyle w:val="TextoNormal"/>
      </w:pPr>
    </w:p>
    <w:p w14:paraId="0ABF2FBA" w14:textId="77777777" w:rsidR="009D7677" w:rsidRDefault="009D7677" w:rsidP="009D7677">
      <w:pPr>
        <w:pStyle w:val="TextoNormal"/>
      </w:pPr>
      <w:r>
        <w:t>La cuestión nuclear objeto de debate en el presente recurso de amparo radicaba en la razonabilidad del discurso seguido por la sentencia dictada por la Sala de lo Contencioso-Administrativo de la Audiencia Nacional, que confirmó la desestimación presunta por parte del Ministerio de Justicia de la reclamación de responsabilidad patrimonial por funcionamiento anormal de la administración de justicia presentada por don Alí Aarrass. La petición de responsabilidad patrimonial por funcionamiento anormal se articuló por el recurrente sobre la base de que los tribunales españoles no evaluaron los riesgos ciertos y evidentes de tortura que sobre el mismo se cernían en Marruecos, en caso de ser extraditado. Y la Audiencia Nacional desestimó el recurso interpuesto, confirmando la desestimación presunta, al considerar que la actuación de la que deriva la reclamación del recurrente se refiere a lo dispuesto en las resoluciones judiciales dictadas por la Sala de lo Penal de la Audiencia Nacional que evaluaron dicho riesgo y acordaron la extradición, resoluciones que hasta la fecha no han sido declaradas erróneas por los cauces del art. 293 LOPJ y cuyo acierto o desacierto, por muy evidente que pueda parecerle al actor, considera la Sala que no le compete valorar en el seno de un procedimiento por funcionamiento anormal de la administración de justicia.</w:t>
      </w:r>
    </w:p>
    <w:p w14:paraId="249275DD" w14:textId="77777777" w:rsidR="009D7677" w:rsidRDefault="009D7677" w:rsidP="009D7677">
      <w:pPr>
        <w:pStyle w:val="TextoNormal"/>
      </w:pPr>
    </w:p>
    <w:p w14:paraId="100DD36F" w14:textId="77777777" w:rsidR="009D7677" w:rsidRDefault="009D7677" w:rsidP="009D7677">
      <w:pPr>
        <w:pStyle w:val="TextoNormal"/>
      </w:pPr>
      <w:r>
        <w:t>No puede compartirse que el derecho de acceso a la jurisdicción constituya el canon de enjuiciamiento adecuado para resolver el recurso de amparo interpuesto por don Alí Aarrass. En primer lugar, porque en la demanda lo que el recurrente combate son las “afirmaciones o presuntas motivaciones de abierto carácter inconstitucional” contenidas en la sentencia y pide la revisión de la motivación desarrollada por la Audiencia Nacional, que le lleva a concluir que estaríamos ante un error judicial, y no un funcionamiento anormal de la administración de justicia. Indica así expresamente el recurrente en su demanda de amparo que la “interpretación” en la que se basa la Audiencia Nacional es “in</w:t>
      </w:r>
      <w:r>
        <w:lastRenderedPageBreak/>
        <w:t>constitucional, incompatible con el principio de tutela judicial efectiva, con la prohibición de indefensión, y con los principios de legalidad, seguridad jurídica y responsabilidad e interdicción de la arbitrariedad de los poderes públicos (artículo 9.3 CE) y, consecuentemente con los principios de buena fe, confianza legítima y lealtad institucional que informan la actuación de la administración [art. 3.1 e) de la Ley 40/2015, de 1 de octubre]”. También en el escrito de alegaciones se insiste en que la actuación jurisdiccional de extradición supuso un evidente funcionamiento anormal de la administración de justicia.</w:t>
      </w:r>
    </w:p>
    <w:p w14:paraId="0BF37792" w14:textId="77777777" w:rsidR="009D7677" w:rsidRDefault="009D7677" w:rsidP="009D7677">
      <w:pPr>
        <w:pStyle w:val="TextoNormal"/>
      </w:pPr>
    </w:p>
    <w:p w14:paraId="68E3DDEF" w14:textId="77777777" w:rsidR="009D7677" w:rsidRDefault="009D7677" w:rsidP="009D7677">
      <w:pPr>
        <w:pStyle w:val="TextoNormal"/>
      </w:pPr>
      <w:r>
        <w:t>Por lo tanto, es evidente que lo único que el recurrente ha denunciado en sede de amparo es la vulneración de su derecho a la tutela judicial efectiva en su vertiente del derecho a una resolución motivada y fundada en Derecho, por lo que la sentencia de la mayoría ha llevado a cabo una reconstrucción de los argumentos del recurrente soslayando nuestra reiterada jurisprudencia en la que hemos recordado que no nos corresponde “suplir o reconstruir las razones de los recurrentes en amparo cuando estas no se aportan al recurso” [SSTC 97/2020, de 21 de julio, FJ 3 A), y 171/2021, de 7 de octubre, FJ 2].</w:t>
      </w:r>
    </w:p>
    <w:p w14:paraId="2F4699BB" w14:textId="77777777" w:rsidR="009D7677" w:rsidRDefault="009D7677" w:rsidP="009D7677">
      <w:pPr>
        <w:pStyle w:val="TextoNormal"/>
      </w:pPr>
    </w:p>
    <w:p w14:paraId="27674CAB" w14:textId="77777777" w:rsidR="009D7677" w:rsidRDefault="009D7677" w:rsidP="009D7677">
      <w:pPr>
        <w:pStyle w:val="TextoNormal"/>
      </w:pPr>
      <w:r>
        <w:t>Es más, no es posible que nos encontremos en modo alguno con un problema de acceso a la jurisdicción en tanto “derecho a dirigirse a un juez en busca de protección” (STC 209/2013, de 16 de diciembre, FJ 3). Y esto es así porque la Audiencia Nacional admitió a trámite el recurso contencioso-administrativo que interpuso contra la denegación presunta de su reclamación de responsabilidad patrimonial por funcionamiento anormal de la administración de justicia y, como explica el propio recurrente, desestimó su pretensión en la vía judicial confirmando la resolución administrativa que denegaba dicha petición indemnizatoria.</w:t>
      </w:r>
    </w:p>
    <w:p w14:paraId="149D7873" w14:textId="77777777" w:rsidR="009D7677" w:rsidRDefault="009D7677" w:rsidP="009D7677">
      <w:pPr>
        <w:pStyle w:val="TextoNormal"/>
      </w:pPr>
    </w:p>
    <w:p w14:paraId="56488284" w14:textId="77777777" w:rsidR="009D7677" w:rsidRDefault="009D7677" w:rsidP="009D7677">
      <w:pPr>
        <w:pStyle w:val="TextoNormal"/>
      </w:pPr>
      <w:r>
        <w:t>Esto es, el recurrente dirigió su petición indemnizatoria ante el Ministerio de Justicia, que es el competente para iniciar y tramitar un procedimiento administrativo de responsabilidad patrimonial por funcionamiento anormal de la administración de justicia, con arreglo a las normas reguladoras de la responsabilidad patrimonial del Estado. Una vez denegada dicha reclamación en la vía administrativa interpuso recurso contencioso-administrativo ante la Audiencia Nacional solicitando que se dejara sin efecto dicha resolución presunta denegatoria de su reclamación; el recurso contencioso-administrativo fue admitido y se tramitó el correspondiente procedimiento judicial, en cuyo seno tanto el recurrente como las partes legitimadas pudieron presentar sus alegaciones y hacer valer sus pretensiones. Y este procedimiento judicial tramitado por la Audiencia Nacional (revisor de la resolución administrativa presunta que puso fin al procedimiento administrativo de reclamación de responsabilidad patrimonial) abocó al dictado de una sentencia sobre el fondo que fue desestimatoria por considerar, y así lo razona la Audiencia Nacional, que no concurría un supuesto de funcionamiento anormal de la administración de justicia.</w:t>
      </w:r>
    </w:p>
    <w:p w14:paraId="136945B2" w14:textId="77777777" w:rsidR="009D7677" w:rsidRDefault="009D7677" w:rsidP="009D7677">
      <w:pPr>
        <w:pStyle w:val="TextoNormal"/>
      </w:pPr>
    </w:p>
    <w:p w14:paraId="1C36771B" w14:textId="77777777" w:rsidR="009D7677" w:rsidRDefault="009D7677" w:rsidP="009D7677">
      <w:pPr>
        <w:pStyle w:val="TextoNormal"/>
      </w:pPr>
      <w:r>
        <w:t xml:space="preserve">En definitiva, hubo un pronunciamiento sobre la cuestión de fondo planteada por el recurrente en el procedimiento judicial seguido ante la Audiencia Nacional que fue desestimatorio, al “confirmar la resolución impugnada por su conformidad a Derecho”. Ante lo cual la sentencia de este tribunal debería haberse limitado a comprobar si, como denuncia el recurrente, la motivación que llevó a dicha desestimación está fundada en Derecho “lo que conlleva la garantía de que la decisión no sea consecuencia de una aplicación arbitraria de la legalidad, ni resulte manifiestamente irrazonable, incursa en un error patente o en una evidente contradicción entre los fundamentos jurídicos, o entre estos y el fallo, ya que, </w:t>
      </w:r>
      <w:r>
        <w:lastRenderedPageBreak/>
        <w:t>en tal caso, la aplicación de la legalidad sería tan solo una mera apariencia” (SSTC 138/2014, de 8 de septiembre, y 198/2016, de 28 de noviembre, FJ 5, entre otras muchas).</w:t>
      </w:r>
    </w:p>
    <w:p w14:paraId="121CF495" w14:textId="77777777" w:rsidR="009D7677" w:rsidRDefault="009D7677" w:rsidP="009D7677">
      <w:pPr>
        <w:pStyle w:val="TextoNormal"/>
      </w:pPr>
    </w:p>
    <w:p w14:paraId="35CAE73B" w14:textId="77777777" w:rsidR="009D7677" w:rsidRDefault="009D7677" w:rsidP="009D7677">
      <w:pPr>
        <w:pStyle w:val="TextoNormal"/>
      </w:pPr>
      <w:r>
        <w:t xml:space="preserve">2. </w:t>
      </w:r>
      <w:r w:rsidRPr="009D7677">
        <w:rPr>
          <w:i/>
        </w:rPr>
        <w:t>El procedimiento por error judicial es el único cauce posible para reclamar los hipotéticos daños causados por las resoluciones judiciales que acordaron la extradición</w:t>
      </w:r>
    </w:p>
    <w:p w14:paraId="09EE3411" w14:textId="77777777" w:rsidR="009D7677" w:rsidRDefault="009D7677" w:rsidP="009D7677">
      <w:pPr>
        <w:pStyle w:val="TextoNormal"/>
      </w:pPr>
    </w:p>
    <w:p w14:paraId="0EA14D46" w14:textId="77777777" w:rsidR="009D7677" w:rsidRDefault="009D7677" w:rsidP="009D7677">
      <w:pPr>
        <w:pStyle w:val="TextoNormal"/>
      </w:pPr>
      <w:r>
        <w:t>Atendiendo al deber de motivación de las sentencias, canon de enjuiciamiento que correspondía aplicar con arreglo a las consideraciones que preceden, no cabía sino concluir que la motivación contenida en la sentencia de la Audiencia Nacional no adolece de arbitrariedad, ni de irrazonabilidad, ni tampoco está incursa en error patente, en la medida en que lo que concluye es que la reclamación de don Alí Aarrass se refiere a un supuesto de error judicial, y no a un supuesto de funcionamiento anormal de la administración de justicia, que no le compete valorar en el seno del procedimiento iniciado por el recurrente.</w:t>
      </w:r>
    </w:p>
    <w:p w14:paraId="6BC9DD77" w14:textId="77777777" w:rsidR="009D7677" w:rsidRDefault="009D7677" w:rsidP="009D7677">
      <w:pPr>
        <w:pStyle w:val="TextoNormal"/>
      </w:pPr>
    </w:p>
    <w:p w14:paraId="48EF0F46" w14:textId="77777777" w:rsidR="009D7677" w:rsidRDefault="009D7677" w:rsidP="009D7677">
      <w:pPr>
        <w:pStyle w:val="TextoNormal"/>
      </w:pPr>
      <w:r>
        <w:t>a) No es posible encontrar quiebra alguna en la lógica de la argumentación seguida por la Sala de lo Contencioso-Administrativo de la Audiencia Nacional, y que diferencia, en un primer momento, entre los daños derivados de un anormal funcionamiento de la administración de justicia y los daños causados por un error judicial, razonando que “[h]ablaremos de error judicial cuando el perjuicio a indemnizar que se reclama derive de un pronunciamiento emitido (acción) o debido de emitir (omisión) por un juez, magistrado o tribunal en el ejercicio de su actividad jurisdiccional” y de funcionamiento anormal cuando se trate de “cualquier defecto en la actuación de los juzgados y tribunales, concebidos como complejo orgánico en el que se integran diversas personas, servicios, medios y actividades”. Y transcribe parte del razonamiento de la STS de 3 de octubre de 2008 (recurso núm. 7-2007) con arreglo al cual “[m]ientras la indemnización por causa de error debe ir precedida de una decisión judicial que expresamente lo reconozca […] la reclamación por los daños causados como consecuencia del funcionamiento anormal de la administración de justicia no exige una previa declaración judicial, sino que se formula directamente ante el Ministerio de Justicia”.</w:t>
      </w:r>
    </w:p>
    <w:p w14:paraId="5C896781" w14:textId="77777777" w:rsidR="009D7677" w:rsidRDefault="009D7677" w:rsidP="009D7677">
      <w:pPr>
        <w:pStyle w:val="TextoNormal"/>
      </w:pPr>
    </w:p>
    <w:p w14:paraId="14D0F326" w14:textId="77777777" w:rsidR="009D7677" w:rsidRDefault="009D7677" w:rsidP="009D7677">
      <w:pPr>
        <w:pStyle w:val="TextoNormal"/>
      </w:pPr>
      <w:r>
        <w:t>(i) Se trata por lo tanto de una argumentación fundada en Derecho, que está basada en la normativa vigente (arts. 292 y ss. LOPJ) y en la interpretación que de la misma hace el Tribunal Supremo, cuya jurisprudencia cita. Partiendo de la base de que cuando el error se imputa a una resolución o decisión judicial —de la clase que sea— estaríamos ante un supuesto de error judicial, la Sala concluye que la evaluación incorrecta de los riesgos derivados de la extradición que llevó a cabo la Sala de lo Penal de la Audiencia Nacional constituye una decisión judicial cuyo acierto o desacierto sería constitutivo, en su caso, de un error judicial y no de un funcionamiento anormal de la administración de justicia. Y que, como dispone el art. 293 LOPJ, “deberá ir precedida de una decisión judicial que expresamente lo reconozca”.</w:t>
      </w:r>
    </w:p>
    <w:p w14:paraId="12CD0841" w14:textId="77777777" w:rsidR="009D7677" w:rsidRDefault="009D7677" w:rsidP="009D7677">
      <w:pPr>
        <w:pStyle w:val="TextoNormal"/>
      </w:pPr>
    </w:p>
    <w:p w14:paraId="30D1228B" w14:textId="77777777" w:rsidR="009D7677" w:rsidRDefault="009D7677" w:rsidP="009D7677">
      <w:pPr>
        <w:pStyle w:val="TextoNormal"/>
      </w:pPr>
      <w:r>
        <w:t xml:space="preserve">(ii) A lo que debe añadirse que la conclusión a la que llega la Audiencia Nacional guarda una relación directa con el contenido de la petición de reclamación de responsabilidad patrimonial presentada por el recurrente al Ministerio de Justicia en la que se razona que hubo un daño al no evaluar el “tribunal” los riesgos ciertos y evidentes de tortura. Y también en la demanda presentada ante la Audiencia Nacional se articuló la petición de responsabilidad patrimonial por funcionamiento anormal sobre la base de que los tribunales </w:t>
      </w:r>
      <w:r>
        <w:lastRenderedPageBreak/>
        <w:t>españoles no ampararon su derecho a no ser torturado, efectuando una evaluación errónea de los peligros que sobre el mismo se cernían en Marruecos.</w:t>
      </w:r>
    </w:p>
    <w:p w14:paraId="0E5DBE15" w14:textId="77777777" w:rsidR="009D7677" w:rsidRDefault="009D7677" w:rsidP="009D7677">
      <w:pPr>
        <w:pStyle w:val="TextoNormal"/>
      </w:pPr>
    </w:p>
    <w:p w14:paraId="40295D9E" w14:textId="77777777" w:rsidR="009D7677" w:rsidRDefault="009D7677" w:rsidP="009D7677">
      <w:pPr>
        <w:pStyle w:val="TextoNormal"/>
      </w:pPr>
      <w:r>
        <w:t>Tanto en la reclamación presentada ante el Ministerio de Justicia, como en la demanda presentada ante la Audiencia Nacional, don Alí Aarrass esgrimió el dictamen del Comité de Derechos Humanos como título para instar dicha reclamación, y en dicho dictamen el Comité considera que la extradición del recurrente a Marruecos supuso una violación del art. 7 del Pacto internacional de derechos civiles y políticos, únicamente porque “el Estado parte no evaluó adecuadamente el riesgo de tortura y severos malos tratos del autor”, explicando que “informes fidedignos presentados por el autor a la Audiencia Nacional e información de dominio público indicaban que en Marruecos muchas personas acusadas de crímenes relacionados [con] actos de terrorismo, en particular en el marco del caso Belliraj, habían sido detenidas, incomunicadas y sometidas a severos malos tratos y torturas”.</w:t>
      </w:r>
    </w:p>
    <w:p w14:paraId="2FAD9B20" w14:textId="77777777" w:rsidR="009D7677" w:rsidRDefault="009D7677" w:rsidP="009D7677">
      <w:pPr>
        <w:pStyle w:val="TextoNormal"/>
      </w:pPr>
    </w:p>
    <w:p w14:paraId="21035F27" w14:textId="77777777" w:rsidR="009D7677" w:rsidRDefault="009D7677" w:rsidP="009D7677">
      <w:pPr>
        <w:pStyle w:val="TextoNormal"/>
      </w:pPr>
      <w:r>
        <w:t>Es decir, la única actuación o decisión en la que se apoya el Comité para considerar que se produce una violación del Pacto, de la que se deriva la obligación de proporcionar un recurso efectivo que incluya una compensación adecuada, es una actuación “judicial”, en concreto, la actuación de la Sala de lo Penal de la Audiencia Nacional que, según expone el dictamen, “tomó nota de información que indicaba el empleo de tortura para extraer confesiones, y los malos tratos infligidos por los agentes penitenciarios y por las fuerzas de seguridad en Marruecos, pero desechó las alegaciones del autor sobre el riesgo de tortura, señalando únicamente que estas vulneraciones no podían reputarse como sistemáticas y generalizadas”.</w:t>
      </w:r>
    </w:p>
    <w:p w14:paraId="7C88D362" w14:textId="77777777" w:rsidR="009D7677" w:rsidRDefault="009D7677" w:rsidP="009D7677">
      <w:pPr>
        <w:pStyle w:val="TextoNormal"/>
      </w:pPr>
    </w:p>
    <w:p w14:paraId="10A0678E" w14:textId="77777777" w:rsidR="009D7677" w:rsidRDefault="009D7677" w:rsidP="009D7677">
      <w:pPr>
        <w:pStyle w:val="TextoNormal"/>
      </w:pPr>
      <w:r>
        <w:t>b) La sentencia de la mayoría cuestiona la conclusión a la que llega la resolución recurrida en amparo de que el perjuicio que se alega deriva de un pronunciamiento emitido por un juez, sobre la base de dos argumentos que no podemos compartir: el primero, por el carácter mixto del procedimiento de extradición “y que fuera el Consejo de Ministros el que acordó en último extremo la extradición de don Alí Aarrass”; y, el segundo, porque el recurrente “alega” que no pudo interponer el recurso de súplica contra el auto dictado por la Audiencia Nacional el 13 de diciembre de 2010 —en el que se denegaba la suspensión de la entrega— debido a que esta se llevó a cabo al día siguiente, “privando así a la parte de una oportunidad de reconsideración judicial a través del régimen impugnativo legalmente previsto de la decisión de entrega”.</w:t>
      </w:r>
    </w:p>
    <w:p w14:paraId="564332DC" w14:textId="77777777" w:rsidR="009D7677" w:rsidRDefault="009D7677" w:rsidP="009D7677">
      <w:pPr>
        <w:pStyle w:val="TextoNormal"/>
      </w:pPr>
    </w:p>
    <w:p w14:paraId="1FE07871" w14:textId="77777777" w:rsidR="009D7677" w:rsidRDefault="009D7677" w:rsidP="009D7677">
      <w:pPr>
        <w:pStyle w:val="TextoNormal"/>
      </w:pPr>
      <w:r>
        <w:t>(i) Esta argumentación en la que se apoya la mayoría olvida, por un lado, que la evaluación o asesoramiento del riesgo de que se puedan sufrir tratos inhumanos o degradantes en caso de ser extraditado es un punto crucial del procedimiento de extradición y en nuestro sistema jurídico corresponde a la Sala de lo Penal de la Audiencia Nacional valorar si existen obstáculos que se opongan a la extradición, en la medida en que la misma no se concederá si existe riesgo de que la persona cuya extradición se solicita esté expuesta al riesgo de tratos inhumanos o degradantes o torturas [art. 12 en relación con el art. 4, ambos de la Ley 4/1985, de 21 de marzo, de extradición pasiva (LEP)].</w:t>
      </w:r>
    </w:p>
    <w:p w14:paraId="264236A0" w14:textId="77777777" w:rsidR="009D7677" w:rsidRDefault="009D7677" w:rsidP="009D7677">
      <w:pPr>
        <w:pStyle w:val="TextoNormal"/>
      </w:pPr>
    </w:p>
    <w:p w14:paraId="1B605B44" w14:textId="77777777" w:rsidR="009D7677" w:rsidRDefault="009D7677" w:rsidP="009D7677">
      <w:pPr>
        <w:pStyle w:val="TextoNormal"/>
      </w:pPr>
      <w:r>
        <w:t xml:space="preserve">Esta evaluación es una actuación que corresponde en exclusiva a la jurisdicción penal, y en la misma no tiene ninguna intervención, ni puede tenerla, la administración. Sí cabe recordar que la LEP establece la facultad del Gobierno de denegar la extradición, aun habiéndola considerado procedente el tribunal, pero esta facultad denegatoria solo puede </w:t>
      </w:r>
      <w:r>
        <w:lastRenderedPageBreak/>
        <w:t>ejercerse por los motivos que recoge el art. 6 LEP y que atienden al principio de reciprocidad o a razones de seguridad, orden público o demás intereses esenciales para el Estado, principios que son totalmente ajenos al control de fondo o sustantivo de los requisitos para conceder o denegar la extradición (STS 303/2022, de 10 de marzo).</w:t>
      </w:r>
    </w:p>
    <w:p w14:paraId="613804AE" w14:textId="77777777" w:rsidR="009D7677" w:rsidRDefault="009D7677" w:rsidP="009D7677">
      <w:pPr>
        <w:pStyle w:val="TextoNormal"/>
      </w:pPr>
    </w:p>
    <w:p w14:paraId="4807C9DF" w14:textId="77777777" w:rsidR="009D7677" w:rsidRDefault="009D7677" w:rsidP="009D7677">
      <w:pPr>
        <w:pStyle w:val="TextoNormal"/>
      </w:pPr>
      <w:r>
        <w:t>Este distinto control responde al sistema mixto de extradición diseñado por el legislador y supone una división de competencias entre el Gobierno y el Poder Judicial, de forma que, con arreglo a una constante jurisprudencia del Tribunal Supremo, la fase judicial y la fase gubernativa “están perfectamente delimitadas por la Ley, siendo por otro lado totalmente independientes aunque se subsigan unas y otras” (por todas las SSTS 1284/2020 de 13 de octubre, y 1000/2020, de 15 de julio, y la jurisprudencia que citan).</w:t>
      </w:r>
    </w:p>
    <w:p w14:paraId="1CDB2A47" w14:textId="77777777" w:rsidR="009D7677" w:rsidRDefault="009D7677" w:rsidP="009D7677">
      <w:pPr>
        <w:pStyle w:val="TextoNormal"/>
      </w:pPr>
    </w:p>
    <w:p w14:paraId="7E916BDC" w14:textId="77777777" w:rsidR="009D7677" w:rsidRDefault="009D7677" w:rsidP="009D7677">
      <w:pPr>
        <w:pStyle w:val="TextoNormal"/>
      </w:pPr>
      <w:r>
        <w:t>De esta forma, por un lado, “la decisión sobre si resulta procedente la extradición, desde una perspectiva de la legalidad, corresponde al Poder Judicial, y dentro de este a la específica competencia de la Sala de lo Penal de la Audiencia Nacional”, y, por otro lado, “la actuación posterior y última del Gobierno es un típico acto de soberanía propia del Poder Ejecutivo, para cuya efectividad ha fijado el artículo 6 de la Ley 4/1985, unos criterios que, desde luego, no se refieren al control de la legalidad de la extradición, sobre la que exteriormente ha decidido la Sala Penal de la Audiencia Nacional” (STS de 13 de mayo de 2011).</w:t>
      </w:r>
    </w:p>
    <w:p w14:paraId="5FA98DD2" w14:textId="77777777" w:rsidR="009D7677" w:rsidRDefault="009D7677" w:rsidP="009D7677">
      <w:pPr>
        <w:pStyle w:val="TextoNormal"/>
      </w:pPr>
    </w:p>
    <w:p w14:paraId="32F969CE" w14:textId="77777777" w:rsidR="009D7677" w:rsidRDefault="009D7677" w:rsidP="009D7677">
      <w:pPr>
        <w:pStyle w:val="TextoNormal"/>
      </w:pPr>
      <w:r>
        <w:t>Y el juicio de legalidad que corresponde en exclusiva a la jurisdicción penal “abarca también el examen de la conformidad de la extradición con los derechos fundamentales” y por ello la jurisprudencia del Tribunal Supremo viene estableciendo “que no puede serle exigido o reprochado al Gobierno que no haya efectuado ese control, por ser esta una función que, además de no tenerla reconocida en la tan repetida Ley 4/1985, sería contraria a los mandatos constitucionales que proclaman la independencia y exclusividad del ejercicio del poder jurisdiccional (artículo 117 CE)” (SSTS de 20 de enero de 2003 y de 7 de noviembre de 2006). Es decir, el deber de examinar la posible vulneración de los derechos del reclamado en el país solicitante “se circunscribe a los Tribunales españoles a los que, por razón de sus facultades jurisdiccionales y competencia, corresponda conocer de las referidas vulneraciones de derechos” (SSTS de 20 de enero de 2003).</w:t>
      </w:r>
    </w:p>
    <w:p w14:paraId="730511CE" w14:textId="77777777" w:rsidR="009D7677" w:rsidRDefault="009D7677" w:rsidP="009D7677">
      <w:pPr>
        <w:pStyle w:val="TextoNormal"/>
      </w:pPr>
    </w:p>
    <w:p w14:paraId="21A3978B" w14:textId="77777777" w:rsidR="009D7677" w:rsidRDefault="009D7677" w:rsidP="009D7677">
      <w:pPr>
        <w:pStyle w:val="TextoNormal"/>
      </w:pPr>
      <w:r>
        <w:t>Teniendo todo ello en cuenta, no es posible afirmar que el daño se imputa a diversos poderes públicos porque la única actuación a la que el recurrente imputa el daño es una actuación jurisdiccional: la evaluación del riesgo de ser sometido a torturas que llevó a cabo la Sala de lo Penal de la Audiencia Nacional en los autos de 21 de noviembre de 2008 y de 23 de enero de 2009, en los que valorando el informe de Amnistía Internacional presentado por el recurrente concluyó que las vulneraciones denunciadas no podían considerarse sistemáticas ni generalizadas, y que no existía prueba alguna sobre la concreta y real exposición del reclamado a dichos tratos si se accedía a su extradición.</w:t>
      </w:r>
    </w:p>
    <w:p w14:paraId="4AB28C7B" w14:textId="77777777" w:rsidR="009D7677" w:rsidRDefault="009D7677" w:rsidP="009D7677">
      <w:pPr>
        <w:pStyle w:val="TextoNormal"/>
      </w:pPr>
    </w:p>
    <w:p w14:paraId="72D8DE86" w14:textId="77777777" w:rsidR="009D7677" w:rsidRDefault="009D7677" w:rsidP="009D7677">
      <w:pPr>
        <w:pStyle w:val="TextoNormal"/>
      </w:pPr>
      <w:r>
        <w:t xml:space="preserve">Esta evaluación es, como hemos dicho, una actuación jurisdiccional en la que no interviene el Consejo de Ministros, al que hace referencia la sentencia de la mayoría, ni puede intervenir, en virtud del principio de independencia y exclusividad del ejercicio del poder jurisdiccional. Precisamente por ello la decisión de extradición de la Audiencia Nacional “debe ser controlada por los mecanismos procesales de impugnación ordinarios y extraordinarios legalmente previstos frente a sus resoluciones y, en su caso, por la vía del amparo </w:t>
      </w:r>
      <w:r>
        <w:lastRenderedPageBreak/>
        <w:t>constitucional” (SSTS de 20 de enero de 2003), que es lo que hizo el recurrente, al venir en un primer momento en amparo ante este tribunal y en un segundo momento ante el Tribunal Europeo de Derechos Humanos quedando firme la decisión judicial de extradición al no ser admitidos ninguno de dichos recursos.</w:t>
      </w:r>
    </w:p>
    <w:p w14:paraId="48FE25C8" w14:textId="77777777" w:rsidR="009D7677" w:rsidRDefault="009D7677" w:rsidP="009D7677">
      <w:pPr>
        <w:pStyle w:val="TextoNormal"/>
      </w:pPr>
    </w:p>
    <w:p w14:paraId="7F50BAC3" w14:textId="77777777" w:rsidR="009D7677" w:rsidRDefault="009D7677" w:rsidP="009D7677">
      <w:pPr>
        <w:pStyle w:val="TextoNormal"/>
      </w:pPr>
      <w:r>
        <w:t>(ii) La segunda razón que lleva a la sentencia de la mayoría a cuestionar el presupuesto de que el daño se imputa exclusivamente a determinadas resoluciones judiciales es la circunstancia ahora alegada por el recurrente de que hubo unas dilaciones indebidas.</w:t>
      </w:r>
    </w:p>
    <w:p w14:paraId="1538A39B" w14:textId="77777777" w:rsidR="009D7677" w:rsidRDefault="009D7677" w:rsidP="009D7677">
      <w:pPr>
        <w:pStyle w:val="TextoNormal"/>
      </w:pPr>
    </w:p>
    <w:p w14:paraId="536D2616" w14:textId="77777777" w:rsidR="009D7677" w:rsidRDefault="009D7677" w:rsidP="009D7677">
      <w:pPr>
        <w:pStyle w:val="TextoNormal"/>
      </w:pPr>
      <w:r>
        <w:t>Al respecto es preciso poner de manifiesto, en primer lugar, que lo que el recurrente considera como constitutivo de dilaciones indebidas es la tramitación que la Sala de lo Penal de la Audiencia Nacional da a dos escritos que presenta los días 25 de noviembre y 2 de diciembre de 2010, “especialmente en su paso por Fiscalía”, pidiendo que se paralice la ejecución de la extradición a Marruecos, extradición que era ya firme y que, por lo tanto, no se podía ya paralizar al haberse inadmitido tanto el recurso de amparo interpuesto ante este tribunal como el recurso ante el Tribunal Europeo de Derechos Humanos, y habiendo también acordado la entrega el Consejo de Ministros; la extradición se ejecutó una vez que la Sala dio respuesta a dichos escritos mediante auto que denegó la paralización.</w:t>
      </w:r>
    </w:p>
    <w:p w14:paraId="452C4558" w14:textId="77777777" w:rsidR="009D7677" w:rsidRDefault="009D7677" w:rsidP="009D7677">
      <w:pPr>
        <w:pStyle w:val="TextoNormal"/>
      </w:pPr>
    </w:p>
    <w:p w14:paraId="0AAB6681" w14:textId="77777777" w:rsidR="009D7677" w:rsidRDefault="009D7677" w:rsidP="009D7677">
      <w:pPr>
        <w:pStyle w:val="TextoNormal"/>
      </w:pPr>
      <w:r>
        <w:t>Es decir, cuando don Alí Aarrass presenta dicha solicitud es en un momento en el que la decisión de extradición ya es firme dado que había interpuesto recurso de amparo ante este tribunal (recurso de amparo 354-2010) contra las resoluciones de la Sala de lo Penal de la Audiencia Nacional acordando la extradición, y en el que ya había solicitado expresamente que su ejecución fuese suspendida a la mayor brevedad. Este tribunal inadmitió el recurso de amparo “por no apreciar en el mismo la especial trascendencia constitucional que, como condición para la admisión de un recurso de amparo, requiere el art. 50.1 b) de la Ley Orgánica del Tribunal Constitucional, redactado por la Ley Orgánica 6/2007, de 24 de mayo”.</w:t>
      </w:r>
    </w:p>
    <w:p w14:paraId="3E65DB67" w14:textId="77777777" w:rsidR="009D7677" w:rsidRDefault="009D7677" w:rsidP="009D7677">
      <w:pPr>
        <w:pStyle w:val="TextoNormal"/>
      </w:pPr>
    </w:p>
    <w:p w14:paraId="5CD121CA" w14:textId="77777777" w:rsidR="009D7677" w:rsidRDefault="009D7677" w:rsidP="009D7677">
      <w:pPr>
        <w:pStyle w:val="TextoNormal"/>
      </w:pPr>
      <w:r>
        <w:t>A continuación, tras la inadmisión del recurso de amparo, también presentó ante el Tribunal Europeo de Derechos Humanos una demanda y una solicitud de medidas provisionales a efectos de que el Estado español suspendiese el proceso de extradición, y a tal efecto alegó, entre otros, la violación del art. 3 CEDH en cuanto a la prohibición de tratos inhumanos o degradantes; también solicitó la nulidad de las distintas resoluciones judiciales dictadas por la Sala de lo Penal de la Audiencia Nacional. El Tribunal Europeo no solo rechazó la solicitud de medidas provisionales, sino que también declaró inadmisible la demanda presentada toda vez que “no observ[aba] ninguna apariencia de violación de los derechos y libertades garantizados por el Convenio o sus Protocolos”.</w:t>
      </w:r>
    </w:p>
    <w:p w14:paraId="46A15498" w14:textId="77777777" w:rsidR="009D7677" w:rsidRDefault="009D7677" w:rsidP="009D7677">
      <w:pPr>
        <w:pStyle w:val="TextoNormal"/>
      </w:pPr>
    </w:p>
    <w:p w14:paraId="69B0FFB0" w14:textId="77777777" w:rsidR="009D7677" w:rsidRDefault="009D7677" w:rsidP="009D7677">
      <w:pPr>
        <w:pStyle w:val="TextoNormal"/>
      </w:pPr>
      <w:r>
        <w:t>Es más, con posterioridad, don Alí Aarrass llegó a presentar ante el Tribunal Europeo de Derechos Humanos una segunda solicitud de medidas provisionales contra el Estado español, con el fin de que se suspendiera su extradición a Marruecos, la cual fue de nuevo rechazada, al no encontrar el tribunal circunstancias significativas que justificaran una decisión distinta de la adoptada previamente.</w:t>
      </w:r>
    </w:p>
    <w:p w14:paraId="36C1F172" w14:textId="77777777" w:rsidR="009D7677" w:rsidRDefault="009D7677" w:rsidP="009D7677">
      <w:pPr>
        <w:pStyle w:val="TextoNormal"/>
      </w:pPr>
    </w:p>
    <w:p w14:paraId="761B2B27" w14:textId="77777777" w:rsidR="009D7677" w:rsidRDefault="009D7677" w:rsidP="009D7677">
      <w:pPr>
        <w:pStyle w:val="TextoNormal"/>
      </w:pPr>
      <w:r>
        <w:t xml:space="preserve">Por lo tanto, en contra de lo que afirma la mayoría, no se privó al recurrente “de una oportunidad de reconsideración judicial a través del régimen impugnativo legalmente previsto de la decisión de entrega”, y lo que el recurrente llama dilaciones indebidas carece de </w:t>
      </w:r>
      <w:r>
        <w:lastRenderedPageBreak/>
        <w:t>relación alguna con la decisión de extraditar que fue objeto de control jurisdiccional en toda su extensión.</w:t>
      </w:r>
    </w:p>
    <w:p w14:paraId="1A681CA9" w14:textId="77777777" w:rsidR="009D7677" w:rsidRDefault="009D7677" w:rsidP="009D7677">
      <w:pPr>
        <w:pStyle w:val="TextoNormal"/>
      </w:pPr>
    </w:p>
    <w:p w14:paraId="7004B6E3" w14:textId="77777777" w:rsidR="009D7677" w:rsidRDefault="009D7677" w:rsidP="009D7677">
      <w:pPr>
        <w:pStyle w:val="TextoNormal"/>
      </w:pPr>
      <w:r>
        <w:t>En cualquier caso, tampoco dicha alegación de dilaciones indebidas hecha ahora en sede de amparo puede resultar determinante porque no la planteó el recurrente en la reclamación de responsabilidad patrimonial presentada ante el Ministerio de Justicia, y la Audiencia Nacional se limita a confirmar la desestimación presunta de dicha reclamación de responsabilidad patrimonial. Como ya hemos explicado, en dicha reclamación presentada en la vía administrativa el recurrente únicamente reclamó los daños causados por una indebida evaluación de los riesgos de tortura que habría llevado a cabo el “tribunal” (esto es, la Sala de lo Penal de la Audiencia Nacional), sin hacer ninguna mención a la posible existencia de dilaciones indebidas, ni reclamar ningún daño derivado de las mismas. Adicionalmente, la reclamación se basaba en el dictamen emitido por el Comité de Derechos Humanos de Naciones Unidas, y este dictamen ni declara la vulneración de ningún derecho del PIDCP por la existencia de dilaciones indebidas, ni tampoco aprecia que estas concurriesen.</w:t>
      </w:r>
    </w:p>
    <w:p w14:paraId="2B65A894" w14:textId="77777777" w:rsidR="009D7677" w:rsidRDefault="009D7677" w:rsidP="009D7677">
      <w:pPr>
        <w:pStyle w:val="TextoNormal"/>
      </w:pPr>
    </w:p>
    <w:p w14:paraId="6FA1D2EE" w14:textId="77777777" w:rsidR="009D7677" w:rsidRDefault="009D7677" w:rsidP="009D7677">
      <w:pPr>
        <w:pStyle w:val="TextoNormal"/>
      </w:pPr>
      <w:r>
        <w:t>Y no podemos dejar de llamar la atención sobre el hecho de que el recurrente hizo alusión a unas posibles dilaciones indebidas por primera vez en su demanda interpuesta ante la Sala de lo Contencioso-Administrativo de la Audiencia Nacional, es decir, tras tener conocimiento del informe de 19 de enero de 2017 aprobado por la Comisión Permanente del Consejo General del Poder Judicial, en el que concluye que no nos encontramos ante un funcionamiento anormal de la administración de justicia en la medida en que dicho título de imputación no se corresponde con el hecho causante de la lesión que se denuncia y que constata el Comité de Derechos Humanos.</w:t>
      </w:r>
    </w:p>
    <w:p w14:paraId="7CF1FFEC" w14:textId="77777777" w:rsidR="009D7677" w:rsidRDefault="009D7677" w:rsidP="009D7677">
      <w:pPr>
        <w:pStyle w:val="TextoNormal"/>
      </w:pPr>
    </w:p>
    <w:p w14:paraId="376BB7EE" w14:textId="77777777" w:rsidR="009D7677" w:rsidRDefault="009D7677" w:rsidP="009D7677">
      <w:pPr>
        <w:pStyle w:val="TextoNormal"/>
      </w:pPr>
      <w:r>
        <w:t>c) No podemos tampoco compartir la afirmación de la mayoría que considera que “ante el equívoco marco normativo procesal existente” no sería proporcionado exigir al recurrente iniciar diversos procesos con el fin de individualizar la responsabilidad que haya tenido cada órgano en los supuestos daños causados.</w:t>
      </w:r>
    </w:p>
    <w:p w14:paraId="421D9D39" w14:textId="77777777" w:rsidR="009D7677" w:rsidRDefault="009D7677" w:rsidP="009D7677">
      <w:pPr>
        <w:pStyle w:val="TextoNormal"/>
      </w:pPr>
    </w:p>
    <w:p w14:paraId="6A42C876" w14:textId="77777777" w:rsidR="009D7677" w:rsidRDefault="009D7677" w:rsidP="009D7677">
      <w:pPr>
        <w:pStyle w:val="TextoNormal"/>
      </w:pPr>
      <w:r>
        <w:t>En un supuesto como el que nos ocupa, en el que la responsabilidad patrimonial se imputa exclusivamente a un supuesto daño producido por unas resoluciones judiciales, la única vía procedimental que existe en nuestro ordenamiento jurídico para reclamar un daño es el procedimiento específico por error judicial, diferente al procedimiento por funcionamiento anormal de la administración de justicia, y que en nuestro ordenamiento interno tiene su propio anclaje en nuestro texto constitucional, dado que el art. 121 CE diferencia entre los daños causados por error judicial y los daños causados por funcionamiento anormal de la administración de justicia, que darán derecho a una indemnización a cargo del Estado “conforme a la ley”.</w:t>
      </w:r>
    </w:p>
    <w:p w14:paraId="76322BA0" w14:textId="77777777" w:rsidR="009D7677" w:rsidRDefault="009D7677" w:rsidP="009D7677">
      <w:pPr>
        <w:pStyle w:val="TextoNormal"/>
      </w:pPr>
    </w:p>
    <w:p w14:paraId="0F472ED7" w14:textId="77777777" w:rsidR="009D7677" w:rsidRDefault="009D7677" w:rsidP="009D7677">
      <w:pPr>
        <w:pStyle w:val="TextoNormal"/>
      </w:pPr>
      <w:r>
        <w:t xml:space="preserve">Y esta previsión constitucional se desarrolla con posterioridad en los arts. 292 y ss. LOPJ que regula dos procedimientos administrativos ante el Ministerio de Justicia distintos según se trate de una reclamación por daños causados en cualesquiera bienes y derechos por error judicial o por daños que sean consecuencia de un funcionamiento anormal de la administración de justicia. La diferencia procedimental fundamental radica en que la reclamación por error judicial exige que antes de solicitar la indemnización ante el Ministerio de Justicia se obtenga previamente una decisión judicial que reconozca y declare la </w:t>
      </w:r>
      <w:r>
        <w:lastRenderedPageBreak/>
        <w:t>existencia de dicho error, mientras que una reclamación de responsabilidad patrimonial por funcionamiento de la administración de justicia “no exige una previa declaración judicial, sino que se formula directamente ante el Ministerio de Justicia, en los términos prevenidos en el artículo 292 de la Ley Orgánica del Poder Judicial” [así lo refleja el Tribunal Supremo en sus sentencias de 16 de mayo de 2014 (recurso de casación núm. 5768-2011), y de 23 de enero de 2015 (recurso de casación núm. 3210-2012)].</w:t>
      </w:r>
    </w:p>
    <w:p w14:paraId="039CDDE4" w14:textId="77777777" w:rsidR="009D7677" w:rsidRDefault="009D7677" w:rsidP="009D7677">
      <w:pPr>
        <w:pStyle w:val="TextoNormal"/>
      </w:pPr>
    </w:p>
    <w:p w14:paraId="54007E99" w14:textId="77777777" w:rsidR="009D7677" w:rsidRDefault="009D7677" w:rsidP="009D7677">
      <w:pPr>
        <w:pStyle w:val="TextoNormal"/>
      </w:pPr>
      <w:r>
        <w:t>De esta forma, el reconocimiento expreso de que un órgano jurisdiccional ha incurrido en error en el ejercicio de su función jurisdiccional al dictar una resolución judicial, solo puede ser declarado por otro órgano jurisdiccional, declarado competente para ello, y no por la propia administración. Se respeta de este modo el principio de independencia judicial dado que se sustrae de la administración el enjuiciamiento de si una determinada interpretación judicial llevada a cabo por un órgano jurisdiccional puede ser calificada de errónea, de modo que, solo una vez que el error judicial ha sido declarado por otro órgano judicial competente para ello, que reúne también las condiciones de independencia, puede presentarse ante el Ministerio de Justicia una pretensión indemnizatoria, y al Ministerio le corresponderá tramitar la solicitud con arreglo a las correspondientes normas que regulan la responsabilidad administrativa.</w:t>
      </w:r>
    </w:p>
    <w:p w14:paraId="1934C3BD" w14:textId="77777777" w:rsidR="009D7677" w:rsidRDefault="009D7677" w:rsidP="009D7677">
      <w:pPr>
        <w:pStyle w:val="TextoNormal"/>
      </w:pPr>
    </w:p>
    <w:p w14:paraId="4D675519" w14:textId="77777777" w:rsidR="009D7677" w:rsidRDefault="009D7677" w:rsidP="009D7677">
      <w:pPr>
        <w:pStyle w:val="TextoNormal"/>
      </w:pPr>
      <w:r>
        <w:t xml:space="preserve">Todo ello tiene su razón de ser en que un régimen de responsabilidad patrimonial que derive de la existencia de un error judicial debe ajustarse a las exigencias que se derivan de los principios del Estado de Derecho y, en particular, de la garantía de independencia judicial, como recientemente ha subrayado el Tribunal de Justicia de la Unión Europea en su sentencia de 18 de mayo de 2021, </w:t>
      </w:r>
      <w:r w:rsidRPr="009D7677">
        <w:rPr>
          <w:i/>
        </w:rPr>
        <w:t>Asociaţia ‘Forumul Judecătorilor din România</w:t>
      </w:r>
      <w:r>
        <w:t>’, asuntos acumulados C-83/19, C-127/19, C-195/19, C-291/19, C-355/19 y C-397/19, § 225 y siguientes.</w:t>
      </w:r>
    </w:p>
    <w:p w14:paraId="6461C51C" w14:textId="77777777" w:rsidR="009D7677" w:rsidRDefault="009D7677" w:rsidP="009D7677">
      <w:pPr>
        <w:pStyle w:val="TextoNormal"/>
      </w:pPr>
    </w:p>
    <w:p w14:paraId="164163ED" w14:textId="77777777" w:rsidR="009D7677" w:rsidRDefault="009D7677" w:rsidP="009D7677">
      <w:pPr>
        <w:pStyle w:val="TextoNormal"/>
      </w:pPr>
      <w:r>
        <w:t>Y ello no puede quedar desvirtuado por la sola circunstancia de que exista un dictamen del Comité de Derechos Humanos de las Naciones Unidas que declare la violación de un derecho reconocido en el PIDCP, en la medida en que el derecho al recurso efectivo que se le reconoce a toda persona cuyos derechos o libertades reconocidos en el Pacto hayan sido violados [art. 2, apartado 3, letra a) PIDCP], no le exime en ningún caso de seguir las vías procesales existentes en el ordenamiento jurídico interno.</w:t>
      </w:r>
    </w:p>
    <w:p w14:paraId="4149E30C" w14:textId="77777777" w:rsidR="009D7677" w:rsidRDefault="009D7677" w:rsidP="009D7677">
      <w:pPr>
        <w:pStyle w:val="TextoNormal"/>
      </w:pPr>
    </w:p>
    <w:p w14:paraId="24E42E51" w14:textId="77777777" w:rsidR="009D7677" w:rsidRDefault="009D7677" w:rsidP="009D7677">
      <w:pPr>
        <w:pStyle w:val="TextoNormal"/>
      </w:pPr>
      <w:r>
        <w:t xml:space="preserve">Basta acudir a la interpretación que el Tribunal Europeo de Derechos Humanos hace del similar derecho al recurso efectivo contenido en el art. 13 CEDH, en el que se indica que el recurso debe ser efectivo pero no es ilimitado en la medida en que, por un lado, el carácter efectivo del recurso interno no depende de la certeza de un resultado favorable (STEDH de 6 de marzo de 2001, asunto </w:t>
      </w:r>
      <w:r w:rsidRPr="009D7677">
        <w:rPr>
          <w:i/>
        </w:rPr>
        <w:t>Hilal c. Reino Unido</w:t>
      </w:r>
      <w:r>
        <w:t xml:space="preserve">, § 78); y, por otro lado, un solicitante que no haya utilizado los recursos internos adecuados y pertinentes no puede invocar el art. 13 por separado o junto con otro artículo (SSTEDH de 27 de julio de 2004, asunto </w:t>
      </w:r>
      <w:r w:rsidRPr="009D7677">
        <w:rPr>
          <w:i/>
        </w:rPr>
        <w:t>Slimani c. Francia</w:t>
      </w:r>
      <w:r>
        <w:t xml:space="preserve">, § 39 a 42, y de 17 de octubre de 2006, asunto </w:t>
      </w:r>
      <w:r w:rsidRPr="009D7677">
        <w:rPr>
          <w:i/>
        </w:rPr>
        <w:t>Sultan Öner y otros c. Turquía</w:t>
      </w:r>
      <w:r>
        <w:t xml:space="preserve">, 2006, § 117). Además, el conjunto de recursos previstos en el Derecho interno puede cumplir los requisitos del art. 13, incluso cuando ningún recurso por sí solo pueda satisfacerlos por completo (SSTEDH de 26 de octubre de 2020, asunto </w:t>
      </w:r>
      <w:r w:rsidRPr="009D7677">
        <w:rPr>
          <w:i/>
        </w:rPr>
        <w:t>Kudła c. Polonia</w:t>
      </w:r>
      <w:r>
        <w:t xml:space="preserve">, § 157; de 13 de diciembre de 2012, asunto </w:t>
      </w:r>
      <w:r w:rsidRPr="009D7677">
        <w:rPr>
          <w:i/>
        </w:rPr>
        <w:t>De Souza Ribeiro c. Francia</w:t>
      </w:r>
      <w:r>
        <w:t>, 2012, § 79, y de 10 de julio de 2020, asunt</w:t>
      </w:r>
      <w:r w:rsidRPr="009D7677">
        <w:rPr>
          <w:i/>
        </w:rPr>
        <w:t>o Mugemangan</w:t>
      </w:r>
      <w:r>
        <w:t>go c. Bélgica, § 131).</w:t>
      </w:r>
    </w:p>
    <w:p w14:paraId="62DDA2AA" w14:textId="77777777" w:rsidR="009D7677" w:rsidRDefault="009D7677" w:rsidP="009D7677">
      <w:pPr>
        <w:pStyle w:val="TextoNormal"/>
      </w:pPr>
    </w:p>
    <w:p w14:paraId="5269F346" w14:textId="77777777" w:rsidR="009D7677" w:rsidRDefault="009D7677" w:rsidP="009D7677">
      <w:pPr>
        <w:pStyle w:val="TextoNormal"/>
      </w:pPr>
      <w:r>
        <w:lastRenderedPageBreak/>
        <w:t>En sentido similar el Comité de Derechos Humanos de Naciones Unidas ha interpretado el art. 2, párrafo 3, letra a) PIDCP en el sentido de que los Estados partes deben garantizar que las personas también dispongan de recursos accesibles, efectivos y exigibles para reivindicar los derechos protegidos por el Pacto, refiriéndose a la posibilidad de interponer dicho recurso tanto ante una autoridad judicial, como ante una autoridad administrativa o legislativa (dictamen de 19 de septiembre de 2003</w:t>
      </w:r>
      <w:r w:rsidRPr="009D7677">
        <w:rPr>
          <w:i/>
        </w:rPr>
        <w:t>, George Kazantzis c. Chip</w:t>
      </w:r>
      <w:r>
        <w:t>re, apartado 6.6).</w:t>
      </w:r>
    </w:p>
    <w:p w14:paraId="26A1F141" w14:textId="77777777" w:rsidR="009D7677" w:rsidRDefault="009D7677" w:rsidP="009D7677">
      <w:pPr>
        <w:pStyle w:val="TextoNormal"/>
      </w:pPr>
    </w:p>
    <w:p w14:paraId="47D0BDA0" w14:textId="77777777" w:rsidR="009D7677" w:rsidRDefault="009D7677" w:rsidP="009D7677">
      <w:pPr>
        <w:pStyle w:val="TextoNormal"/>
      </w:pPr>
      <w:r>
        <w:t>d) Finalmente, tampoco compartimos la consecuencia que la sentencia de la mayoría anuda a las comunicaciones que la Abogacía del Estado mantuvo, ya con el propio recurrente, ya con el Comité de Derechos Humanos y que, según sostiene, tuvo la virtualidad de “inducir a error” a don Alí Aarrass, de modo que la interposición de un cauce inidóneo no podía ser susceptible de causarle perjuicio en su esfera jurídica.</w:t>
      </w:r>
    </w:p>
    <w:p w14:paraId="732EE06C" w14:textId="77777777" w:rsidR="009D7677" w:rsidRDefault="009D7677" w:rsidP="009D7677">
      <w:pPr>
        <w:pStyle w:val="TextoNormal"/>
      </w:pPr>
    </w:p>
    <w:p w14:paraId="76085D3F" w14:textId="77777777" w:rsidR="009D7677" w:rsidRDefault="009D7677" w:rsidP="009D7677">
      <w:pPr>
        <w:pStyle w:val="TextoNormal"/>
      </w:pPr>
      <w:r>
        <w:t>En cuanto a las primeras, cabe advertir que son un simple correo electrónico en el que se le traslada que las cuestiones planteadas por el dictamen implican a varios departamentos ministeriales, sin que se haga referencia alguna a la reclamación de responsabilidad patrimonial, siendo así que el dictamen también planteaba más cuestiones, como las de tomar todas las medidas de cooperación posibles con las autoridades marroquíes para un monitoreo efectivo de su trato en Marruecos, así como la obligación de adoptar medidas para evitar que se cometan violaciones semejantes en el futuro. Y en cuanto a las contestaciones que el Estado español dirige al Comité, a través de la Abogacía General del Estado, y que no tienen por destinatario al recurrente, estas solo informan de las medidas adoptadas por España, sin pronunciarse sobre cuál debe ser la vía procedimental para una reclamación de responsabilidad patrimonial como la que nos ocupa: en la comunicación de 26 de febrero de 2015 únicamente se informa que la jurisprudencia se inclina por no reconocer ejecutoriedad directa al dictamen, información que se da “sin prejuzgar” una reclamación que pudiera deducir el interesado “ante el departamento ministerial correspondiente, competente por razón de la materia”; y en la comunicación de 8 de enero de 2016 solo se informa de la reclamación presentada por el recurrente, sin pronunciarse sobre la misma.</w:t>
      </w:r>
    </w:p>
    <w:p w14:paraId="01A2086B" w14:textId="77777777" w:rsidR="009D7677" w:rsidRDefault="009D7677" w:rsidP="009D7677">
      <w:pPr>
        <w:pStyle w:val="TextoNormal"/>
      </w:pPr>
    </w:p>
    <w:p w14:paraId="72D94170" w14:textId="77777777" w:rsidR="009D7677" w:rsidRDefault="009D7677" w:rsidP="009D7677">
      <w:pPr>
        <w:pStyle w:val="TextoNormal"/>
      </w:pPr>
      <w:r>
        <w:t>No cabe por lo tanto inferir de estas comunicaciones que la administración indujese a confusión o a error al recurrente en cuanto a la vía de reclamación de responsabilidad que procedía iniciar tras el dictamen, dado que no se indicó la vía procedimental que el recurrente debía seguir, más allá de reseñar con carácter genérico que el interesado podría presentar una reclamación de responsabilidad patrimonial ante el departamento ministerial correspondiente, lo cual además es correcto pues toda reclamación de responsabilidad patrimonial debe presentarse ante el ministerio correspondiente, sin perjuicio de que en el supuesto del error judicial deba obtenerse previamente una decisión judicial que reconozca y declare la existencia de dicho error.</w:t>
      </w:r>
    </w:p>
    <w:p w14:paraId="700B3B8A" w14:textId="77777777" w:rsidR="009D7677" w:rsidRDefault="009D7677" w:rsidP="009D7677">
      <w:pPr>
        <w:pStyle w:val="TextoNormal"/>
      </w:pPr>
    </w:p>
    <w:p w14:paraId="2610248A" w14:textId="77777777" w:rsidR="009D7677" w:rsidRDefault="009D7677" w:rsidP="009D7677">
      <w:pPr>
        <w:pStyle w:val="TextoNormal"/>
      </w:pPr>
      <w:r>
        <w:t>En cualquier caso, carece de razón alguna pretender que la administración deba informar o instruir a los litigantes acerca de los recursos utilizables en el ordenamiento jurídico español cuando se trate de interponer una reclamación de responsabilidad patrimonial contra ella misma. Y asimilar las informaciones que el Estado español, a través de la Abogacía del Estado, da al Comité de Derechos Humanos de Naciones Unidas sobre el cumplimiento de sus dictámenes a una suerte de instrucción jurídica a los recurrentes supone eximir en la práctica a estos últimos de su única responsabilidad de seguir el procedimien</w:t>
      </w:r>
      <w:r>
        <w:lastRenderedPageBreak/>
        <w:t>to legalmente marcado para reclamar los daños y perjuicios que en su caso se deriven de una lesión del PIDCP; en el presente supuesto de hacer valer el error judicial que en el fondo defiende, siendo así además que como la Audiencia Nacional recuerda expresamente “todos tenemos el deber de soportar las consecuencias de resoluciones judiciales no revisadas ni declaradas erróneas por los cauces legalmente marcados”.</w:t>
      </w:r>
    </w:p>
    <w:p w14:paraId="14BC89E8" w14:textId="77777777" w:rsidR="009D7677" w:rsidRDefault="009D7677" w:rsidP="009D7677">
      <w:pPr>
        <w:pStyle w:val="TextoNormal"/>
      </w:pPr>
    </w:p>
    <w:p w14:paraId="20F67A99" w14:textId="77777777" w:rsidR="009D7677" w:rsidRDefault="009D7677" w:rsidP="009D7677">
      <w:pPr>
        <w:pStyle w:val="TextoNormal"/>
      </w:pPr>
      <w:r>
        <w:t>e) En definitiva, lo único que se deriva de la motivación de la Audiencia Nacional es que tienen que seguirse las vías legales previstas en el ordenamiento jurídico interno para exigir la responsabilidad patrimonial en la que pueden incurrir los órganos jurisdiccionales cuando se les imputa un error judicial, aun cuando exista un dictamen del Comité de Derechos Humanos que haya apreciado una vulneración del PIDCP derivado de una resolución o decisión judicial (en este supuesto, la actuación jurisdiccional de extradición), y dicha conclusión no puede considerarse en ningún caso una interpretación proscrita por el art. 24.1 CE.</w:t>
      </w:r>
    </w:p>
    <w:p w14:paraId="24CB4697" w14:textId="77777777" w:rsidR="009D7677" w:rsidRDefault="009D7677" w:rsidP="009D7677">
      <w:pPr>
        <w:pStyle w:val="TextoNormal"/>
      </w:pPr>
    </w:p>
    <w:p w14:paraId="6A8BB08D" w14:textId="77777777" w:rsidR="009D7677" w:rsidRDefault="009D7677" w:rsidP="009D7677">
      <w:pPr>
        <w:pStyle w:val="TextoNormal"/>
      </w:pPr>
      <w:r>
        <w:t xml:space="preserve">3. </w:t>
      </w:r>
      <w:r w:rsidRPr="009D7677">
        <w:rPr>
          <w:i/>
        </w:rPr>
        <w:t>Los dictámenes de los comités de Naciones Unidas carecen en todo caso de fuerza ejecutoria directa</w:t>
      </w:r>
    </w:p>
    <w:p w14:paraId="1D011710" w14:textId="77777777" w:rsidR="009D7677" w:rsidRDefault="009D7677" w:rsidP="009D7677">
      <w:pPr>
        <w:pStyle w:val="TextoNormal"/>
      </w:pPr>
    </w:p>
    <w:p w14:paraId="766E986A" w14:textId="77777777" w:rsidR="009D7677" w:rsidRDefault="009D7677" w:rsidP="009D7677">
      <w:pPr>
        <w:pStyle w:val="TextoNormal"/>
      </w:pPr>
      <w:r>
        <w:t xml:space="preserve">Finalmente, este tribunal tendría que haber recordado expresamente en la sentencia aprobada su doctrina constitucional consolidada con arreglo a la cual los dictámenes del Comité de Derechos Humanos de las Naciones Unidas carecen de fuerza ejecutoria directa (por todas, la STC 116/2006, FJ 4), doctrina que además era la </w:t>
      </w:r>
      <w:r w:rsidRPr="009D7677">
        <w:rPr>
          <w:i/>
        </w:rPr>
        <w:t>ratio</w:t>
      </w:r>
      <w:r>
        <w:t xml:space="preserve"> en la que descansa la sentencia dictada por la Sala de lo Contencioso-Administrativo de la Audiencia Nacional cuando razona que las muy específicas exigencias del art. 293 LOPJ no pueden entenderse cumplidas, sin más, por los dictámenes del Comité de Derechos Humanos de las Naciones Unidas, “dictámenes que carecen de fuerza ejecutiva y que ni siquiera sirven de título de imputación para la responsabilidad patrimonial pretendida con carácter general como es la del estado legislador (cuanto menos para la responsabilidad patrimonial especial de la Administración de Justicia sustentada de base en lo que solo puede tratarse como un caso de un pretendido error judicial)”.</w:t>
      </w:r>
    </w:p>
    <w:p w14:paraId="4A451E2C" w14:textId="77777777" w:rsidR="009D7677" w:rsidRDefault="009D7677" w:rsidP="009D7677">
      <w:pPr>
        <w:pStyle w:val="TextoNormal"/>
      </w:pPr>
    </w:p>
    <w:p w14:paraId="72079116" w14:textId="77777777" w:rsidR="009D7677" w:rsidRDefault="009D7677" w:rsidP="009D7677">
      <w:pPr>
        <w:pStyle w:val="TextoNormal"/>
      </w:pPr>
      <w:r>
        <w:t xml:space="preserve">Este último razonamiento desarrollado por la sentencia recurrida en amparo es coherente con nuestra doctrina contenida más recientemente en la STC 23/2020, de 13 de febrero, FJ 6, en la que explicamos, en relación con el Comité de Derechos Humanos de Naciones Unidas, que “el comité es una instancia no jurisdiccional de tutela de los derechos, un órgano de garantía que, mediante dictámenes, resuelve las quejas que pueden presentarse individualmente. Pero, como destacamos en la STC 70/2002, de 3 de abril, FJ 7, en virtud de los arts. 41 y 42 del Pacto internacional de derechos civiles y políticos y del Protocolo facultativo de 16 de diciembre de 1966, las competencias del Comité le habilitan exclusivamente para recibir y examinar comunicaciones, tanto de Estados parte que aleguen que otro estado parte incumple las obligaciones del Pacto, como de individuos que aleguen ser víctimas de violaciones de cualquiera de los derechos enunciados en el Pacto. Y, respecto de las comunicaciones individuales, en virtud del art. 5 párrafo 4 del Protocolo facultativo, para presentar sus observaciones al Estado parte y al individuo, haciendo constar en su caso la existencia de una violación del Pacto en el caso concreto. Debido a su naturaleza, las ‘observaciones’ que en forma de dictamen emite el Comité no son resoluciones judiciales, puesto que el Comité no tiene facultades jurisdiccionales (como claramente se deduce de la lectura de los arts. 41 y 42 PIDCP), y sus dictámenes no pueden constituir la </w:t>
      </w:r>
      <w:r>
        <w:lastRenderedPageBreak/>
        <w:t>interpretación auténtica del Pacto, dado que, en ningún momento, ni el Pacto ni el Protocolo facultativo le otorgan tal competencia”. En sentido similar nos hemos pronunciado en la reciente STC 46/2022, de 24 de marzo, FJ 6, en la que hemos vuelto a reconocer que “las ‘observaciones’ que en forma de dictamen emite el Comité no son resoluciones judiciales, puesto que el Comité no tiene facultades jurisdiccionales (como claramente se deduce de la lectura de los arts. 41 y 42 del Pacto), y sus dictámenes no pueden constituir la interpretación auténtica del Pacto, dado que, en ningún momento, ni el Pacto ni el Protocolo facultativo le otorgan tal competencia”.</w:t>
      </w:r>
    </w:p>
    <w:p w14:paraId="247D1092" w14:textId="77777777" w:rsidR="009D7677" w:rsidRDefault="009D7677" w:rsidP="009D7677">
      <w:pPr>
        <w:pStyle w:val="TextoNormal"/>
      </w:pPr>
    </w:p>
    <w:p w14:paraId="256CF9C8" w14:textId="77777777" w:rsidR="009D7677" w:rsidRDefault="009D7677" w:rsidP="009D7677">
      <w:pPr>
        <w:pStyle w:val="TextoNormal"/>
      </w:pPr>
      <w:r>
        <w:t>Por lo tanto, no siendo el Comité de Derechos Humanos de Naciones Unidas un órgano jurisdiccional, ni siendo sus observaciones resoluciones judiciales, y tratándose de revisar el criterio contenido en una decisión judicial adoptada en el ejercicio de la función jurisdiccional, la conclusión a la que llega la Audiencia Nacional, que afirma que el dictamen no permite soslayar el cumplimiento de los requisitos previstos en el art. 293 LOPJ, se advera como una conclusión razonable y lógica. De lo contrario se permitiría que la administración que es en definitiva la competente para conocer y tramitar una reclamación de responsabilidad patrimonial por funcionamiento anormal de la administración de justicia, revisase directamente la evaluación que la Sala de lo Penal de la Audiencia Nacional hizo de los riesgos de la extradición que se cernían sobre don Alí Aarrass.</w:t>
      </w:r>
    </w:p>
    <w:p w14:paraId="70365C37" w14:textId="77777777" w:rsidR="009D7677" w:rsidRDefault="009D7677" w:rsidP="009D7677">
      <w:pPr>
        <w:pStyle w:val="TextoNormal"/>
      </w:pPr>
    </w:p>
    <w:p w14:paraId="76552460" w14:textId="77777777" w:rsidR="009D7677" w:rsidRDefault="009D7677" w:rsidP="009D7677">
      <w:pPr>
        <w:pStyle w:val="TextoNormal"/>
      </w:pPr>
      <w:r>
        <w:t>4</w:t>
      </w:r>
      <w:r w:rsidRPr="009D7677">
        <w:rPr>
          <w:i/>
        </w:rPr>
        <w:t>. Las consecuencias del fallo estimator</w:t>
      </w:r>
      <w:r>
        <w:t>io</w:t>
      </w:r>
    </w:p>
    <w:p w14:paraId="2691FB76" w14:textId="77777777" w:rsidR="009D7677" w:rsidRDefault="009D7677" w:rsidP="009D7677">
      <w:pPr>
        <w:pStyle w:val="TextoNormal"/>
      </w:pPr>
    </w:p>
    <w:p w14:paraId="0D9C343B" w14:textId="77777777" w:rsidR="009D7677" w:rsidRDefault="009D7677" w:rsidP="009D7677">
      <w:pPr>
        <w:pStyle w:val="TextoNormal"/>
      </w:pPr>
      <w:r>
        <w:t>Por último, hubiera sido deseable que la sentencia de la mayoría hubiera precisado los efectos de la estimación del recurso, dado que en todo caso la retroacción de actuaciones al momento inmediatamente anterior al dictado de la sentencia de 2 de febrero de 2018 no puede tener otra finalidad que la de que la Audiencia Nacional, bien devuelva las actuaciones a la administración para que tramite el procedimiento y resuelva sobre el fondo, o enjuicie ella misma si existe o no un derecho a la indemnización como consecuencia de una hipotética lesión de un derecho fundamental, y en este segundo supuesto ello exige examinar, como impone la razón de decidir en este tipo de recursos, cada uno de los requisitos que han de concurrir para dar lugar a la responsabilidad patrimonial, dado que, como ya hemos recordado en el punto anterior, conforme a nuestra doctrina consolidada los dictámenes del Comité no tienen fuerza ejecutoria directa.</w:t>
      </w:r>
    </w:p>
    <w:p w14:paraId="75D4CC4B" w14:textId="77777777" w:rsidR="009D7677" w:rsidRDefault="009D7677" w:rsidP="009D7677">
      <w:pPr>
        <w:pStyle w:val="TextoNormal"/>
      </w:pPr>
    </w:p>
    <w:p w14:paraId="3F5E3045" w14:textId="7FAE42AB" w:rsidR="009D7677" w:rsidRDefault="009D7677" w:rsidP="009D7677">
      <w:pPr>
        <w:pStyle w:val="TextoNormal"/>
      </w:pPr>
      <w:r>
        <w:t>Madrid, a nueve de abril de dos mil veinticuatro.</w:t>
      </w:r>
    </w:p>
    <w:p w14:paraId="55F4D05A" w14:textId="2BE9DEF8" w:rsidR="009D7677" w:rsidRDefault="009D7677">
      <w:pPr>
        <w:spacing w:after="160" w:line="259" w:lineRule="auto"/>
        <w:rPr>
          <w:rFonts w:ascii="Times New Roman" w:eastAsia="Times New Roman" w:hAnsi="Times New Roman" w:cs="Times New Roman"/>
          <w:sz w:val="24"/>
          <w:szCs w:val="24"/>
          <w:lang w:eastAsia="es-ES"/>
        </w:rPr>
      </w:pPr>
      <w:r>
        <w:br w:type="page"/>
      </w:r>
    </w:p>
    <w:p w14:paraId="0FA91FCD" w14:textId="77777777" w:rsidR="009D7677" w:rsidRDefault="009D7677" w:rsidP="009D7677">
      <w:pPr>
        <w:pStyle w:val="TtuloResolucin"/>
      </w:pPr>
      <w:bookmarkStart w:id="64" w:name="SENTENCIA_2024_62"/>
      <w:r>
        <w:lastRenderedPageBreak/>
        <w:t>SENTENCIA 62/2024, de 10 de abril de 2024</w:t>
      </w:r>
    </w:p>
    <w:bookmarkEnd w:id="64"/>
    <w:p w14:paraId="3A952469" w14:textId="77777777" w:rsidR="009D7677" w:rsidRDefault="009D7677" w:rsidP="009D7677">
      <w:pPr>
        <w:pStyle w:val="TtuloResolucin"/>
      </w:pPr>
      <w:r>
        <w:t>Pleno</w:t>
      </w:r>
    </w:p>
    <w:p w14:paraId="53D46B1B" w14:textId="77777777" w:rsidR="009D7677" w:rsidRDefault="009D7677" w:rsidP="009D7677">
      <w:pPr>
        <w:pStyle w:val="TtuloBOE"/>
      </w:pPr>
      <w:r>
        <w:t>(BOE núm. 118, de 15 de mayo de 2024)</w:t>
      </w:r>
    </w:p>
    <w:p w14:paraId="16D724EE" w14:textId="77777777" w:rsidR="009D7677" w:rsidRDefault="009D7677" w:rsidP="009D7677">
      <w:pPr>
        <w:pStyle w:val="TextoNormalCentrado"/>
      </w:pPr>
      <w:r>
        <w:t>ECLI:ES:TC:2024:62</w:t>
      </w:r>
    </w:p>
    <w:p w14:paraId="6ED3E608" w14:textId="522CAC34" w:rsidR="009D7677" w:rsidRDefault="009D7677" w:rsidP="009D7677">
      <w:pPr>
        <w:pStyle w:val="TextoNormalCentrado"/>
      </w:pPr>
    </w:p>
    <w:p w14:paraId="589D6570" w14:textId="77777777" w:rsidR="009D7677" w:rsidRDefault="009D7677" w:rsidP="009D7677">
      <w:pPr>
        <w:pStyle w:val="SntesisDescriptiva"/>
      </w:pPr>
      <w:r>
        <w:t>Recurso de amparo 3476-2020. Promovido por don Joaquim Torra i Pla en relación con el auto de la Sala de lo Contencioso-Administrativo del Tribunal Supremo, que denegó la suspensión de la apreciación de una causa sobrevenida de inelegibilidad y la consiguiente pérdida de la credencial como diputado electo del Parlamento de Cataluña.</w:t>
      </w:r>
    </w:p>
    <w:p w14:paraId="44306108" w14:textId="231E3329" w:rsidR="009D7677" w:rsidRDefault="009D7677" w:rsidP="009D7677">
      <w:pPr>
        <w:pStyle w:val="SntesisDescriptiva"/>
      </w:pPr>
    </w:p>
    <w:p w14:paraId="5909582C" w14:textId="77777777" w:rsidR="009D7677" w:rsidRDefault="009D7677" w:rsidP="009D7677">
      <w:pPr>
        <w:pStyle w:val="SntesisAnaltica"/>
      </w:pPr>
      <w:r>
        <w:t>Alegada vulneración de los derechos a la tutela judicial efectiva (tutela cautelar y resolución fundada en Derecho), de participación y representación política y a la presunción de inocencia, en conexión con las libertades de pensamiento, expresión y reunión: extinción del proceso de amparo por pérdida sobrevenida de objeto.</w:t>
      </w:r>
    </w:p>
    <w:p w14:paraId="66728938" w14:textId="50E0BEED" w:rsidR="009D7677" w:rsidRDefault="009D7677" w:rsidP="009D7677">
      <w:pPr>
        <w:pStyle w:val="SntesisAnaltica"/>
      </w:pPr>
    </w:p>
    <w:p w14:paraId="7D9060B3" w14:textId="2EE70970" w:rsidR="009D7677" w:rsidRDefault="009D7677" w:rsidP="009D7677">
      <w:pPr>
        <w:pStyle w:val="Extracto"/>
      </w:pPr>
      <w:r>
        <w:t>1.</w:t>
      </w:r>
      <w:r>
        <w:tab/>
        <w:t>Desde la perspectiva de la garantía constitucional del derecho a la tutela judicial efectiva, la finalidad constitucionalmente protegida de las medidas cautelares no es otra que la de asegurar la efectividad del pronunciamiento futuro del órgano judicial relativo precisamente a los derechos e intereses legítimos llevados ante los jueces y tribunales en el proceso principal (STC 159/2008) [FJ 2].</w:t>
      </w:r>
    </w:p>
    <w:p w14:paraId="752D2C89" w14:textId="77777777" w:rsidR="009D7677" w:rsidRDefault="009D7677" w:rsidP="009D7677">
      <w:pPr>
        <w:pStyle w:val="Extracto"/>
      </w:pPr>
    </w:p>
    <w:p w14:paraId="1A41A88A" w14:textId="5C0B1724" w:rsidR="009D7677" w:rsidRDefault="009D7677" w:rsidP="009D7677">
      <w:pPr>
        <w:pStyle w:val="Extracto"/>
      </w:pPr>
      <w:r>
        <w:t>2.</w:t>
      </w:r>
      <w:r>
        <w:tab/>
        <w:t>En el particular ámbito de la tutela judicial cautelar, la confluencia de una resolución penal, ajena al proceso contencioso-administrativo de instancia pero impeditiva de dicha tutela, conduce a la pérdida sobrevenida de objeto y, con ello, la extinción del recurso de amparo [FJ 2].</w:t>
      </w:r>
    </w:p>
    <w:p w14:paraId="45162E23" w14:textId="77777777" w:rsidR="009D7677" w:rsidRDefault="009D7677" w:rsidP="009D7677">
      <w:pPr>
        <w:pStyle w:val="Extracto"/>
      </w:pPr>
    </w:p>
    <w:p w14:paraId="0F5A5E22" w14:textId="77777777" w:rsidR="009D7677" w:rsidRDefault="009D7677" w:rsidP="009D7677">
      <w:pPr>
        <w:pStyle w:val="Extracto"/>
      </w:pPr>
    </w:p>
    <w:p w14:paraId="2DA5F997" w14:textId="77777777" w:rsidR="009D7677" w:rsidRDefault="009D7677" w:rsidP="009D7677">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7E190CEC" w14:textId="1D8FB881" w:rsidR="009D7677" w:rsidRDefault="009D7677" w:rsidP="009D7677">
      <w:pPr>
        <w:pStyle w:val="TextoNormal"/>
      </w:pPr>
    </w:p>
    <w:p w14:paraId="4ED094CB" w14:textId="77777777" w:rsidR="009D7677" w:rsidRDefault="009D7677" w:rsidP="009D7677">
      <w:pPr>
        <w:pStyle w:val="TextoNormalCentrado"/>
        <w:keepNext/>
      </w:pPr>
      <w:r>
        <w:t>EN NOMBRE DEL REY</w:t>
      </w:r>
    </w:p>
    <w:p w14:paraId="3A1EFA14" w14:textId="516C9D04" w:rsidR="009D7677" w:rsidRDefault="009D7677" w:rsidP="009D7677">
      <w:pPr>
        <w:pStyle w:val="TextoNormalCentrado"/>
        <w:keepNext/>
      </w:pPr>
    </w:p>
    <w:p w14:paraId="322FC502" w14:textId="77777777" w:rsidR="009D7677" w:rsidRDefault="009D7677" w:rsidP="009D7677">
      <w:pPr>
        <w:pStyle w:val="TextoNormalCentrado"/>
        <w:keepNext/>
      </w:pPr>
    </w:p>
    <w:p w14:paraId="58631FA1" w14:textId="77777777" w:rsidR="009D7677" w:rsidRDefault="009D7677" w:rsidP="009D7677">
      <w:pPr>
        <w:pStyle w:val="TextoNormal"/>
      </w:pPr>
      <w:r>
        <w:t>la siguiente</w:t>
      </w:r>
    </w:p>
    <w:p w14:paraId="51AA4DD1" w14:textId="0D783A59" w:rsidR="009D7677" w:rsidRDefault="009D7677" w:rsidP="009D7677">
      <w:pPr>
        <w:pStyle w:val="TextoNormal"/>
      </w:pPr>
    </w:p>
    <w:p w14:paraId="3FC63757" w14:textId="77777777" w:rsidR="009D7677" w:rsidRDefault="009D7677" w:rsidP="009D7677">
      <w:pPr>
        <w:pStyle w:val="TextoNormalCentrado"/>
        <w:keepNext/>
      </w:pPr>
      <w:r>
        <w:t>SENTENCIA</w:t>
      </w:r>
    </w:p>
    <w:p w14:paraId="44D93383" w14:textId="5B9A0BDE" w:rsidR="009D7677" w:rsidRDefault="009D7677" w:rsidP="009D7677">
      <w:pPr>
        <w:pStyle w:val="TextoNormalCentrado"/>
        <w:keepNext/>
      </w:pPr>
    </w:p>
    <w:p w14:paraId="475EA6C8" w14:textId="77777777" w:rsidR="009D7677" w:rsidRDefault="009D7677" w:rsidP="009D7677">
      <w:pPr>
        <w:pStyle w:val="TextoNormal"/>
      </w:pPr>
      <w:r>
        <w:t>En el recurso de amparo núm. 3476-2020, promovido por don Joaquim Torra i Pla, representado por el procurador de los tribunales don Javier Fernández Estrada y asistido por los letrados don Gonzalo Boye Tusset y doña María Isabel Elbal Sánchez, contra el auto de la Sala de lo Contencioso-Administrativo del Tribunal Supremo de 20 de febrero de 2020 que desestima el recurso de reposición interpuesto contra el auto de la misma sala, de 23 de enero de 2020, denegatorio de las medidas cautelares solicitadas por el deman</w:t>
      </w:r>
      <w:r>
        <w:lastRenderedPageBreak/>
        <w:t>dante de amparo en el procedimiento contencioso administrativo para la protección de derechos fundamentales núm. 8-2020. Han comparecido y formulado alegaciones el letrado de las Cortes Generales y de la Junta Electoral Central, en representación de dicha junta; el partido político Ciudadanos-Partido de la Ciudadanía, representado por la procuradora de los tribunales doña María Ángeles Oliva Yanes y asistido por el letrado don Juan Francisco Mestre Delgado; y el partido político Vox, representado por doña María del Pilar Hidalgo López y asistido por la letrada doña Marta Asunción Castro Fuertes. Ha comparecido el Partido Popular, representado por el procurador de los tribunales don Manuel Sánchez-Puelles y González-Carvajal. Ha intervenido el Ministerio Fiscal. Ha sido ponente el magistrado don Ramón Sáez Valcárcel.</w:t>
      </w:r>
    </w:p>
    <w:p w14:paraId="7BD1EB0C" w14:textId="4AEED498" w:rsidR="009D7677" w:rsidRDefault="009D7677" w:rsidP="009D7677">
      <w:pPr>
        <w:pStyle w:val="TextoNormal"/>
      </w:pPr>
    </w:p>
    <w:p w14:paraId="12F396F4" w14:textId="77777777" w:rsidR="009D7677" w:rsidRDefault="009D7677" w:rsidP="009D7677">
      <w:pPr>
        <w:pStyle w:val="TextoNormalNegritaCentrado"/>
        <w:keepNext/>
      </w:pPr>
      <w:r>
        <w:t>I. Antecedentes</w:t>
      </w:r>
    </w:p>
    <w:p w14:paraId="1B716175" w14:textId="67B48232" w:rsidR="009D7677" w:rsidRDefault="009D7677" w:rsidP="009D7677">
      <w:pPr>
        <w:pStyle w:val="TextoNormalNegritaCentrado"/>
        <w:keepNext/>
      </w:pPr>
    </w:p>
    <w:p w14:paraId="27046F05" w14:textId="12FB3C52" w:rsidR="009D7677" w:rsidRDefault="009D7677" w:rsidP="009D7677">
      <w:pPr>
        <w:pStyle w:val="TextoNormal"/>
      </w:pPr>
      <w:r w:rsidRPr="009D7677">
        <w:rPr>
          <w:rStyle w:val="NumeroAFNegritaCaracter"/>
        </w:rPr>
        <w:t>1</w:t>
      </w:r>
      <w:r>
        <w:t>. Por escrito registrado en este tribunal el 17 de julio de 2020, el procurador de los tribunales don Javier Fernández Estrada, en nombre y representación de don Joaquim Torra i Pla, interpuso recurso de amparo contra los autos reseñados en el encabezamiento de esta resolución, que denegaban la suspensión del acuerdo de 3 de enero de 2020 de la Junta Electoral Central. Mediante dicho acuerdo se dejaba sin efecto la credencial de diputado electo al Parlamento de Cataluña por la circunscripción electoral de Barcelona del ahora demandante de amparo por incurrir en la causa de inelegibilidad sobrevenida del art. 6.2 b) de la Ley Orgánica 5/1985, de 19 de junio, del régimen electoral general (LOREG), en razón de haber sido condenado por sentencia no firme dictada el día 19 de diciembre de 2019 por la Sala de lo Civil y Penal del Tribunal Superior de Justicia de Cataluña.</w:t>
      </w:r>
    </w:p>
    <w:p w14:paraId="526BE32A" w14:textId="77777777" w:rsidR="009D7677" w:rsidRDefault="009D7677" w:rsidP="009D7677">
      <w:pPr>
        <w:pStyle w:val="TextoNormal"/>
      </w:pPr>
    </w:p>
    <w:p w14:paraId="0CD666C4" w14:textId="77777777" w:rsidR="009D7677" w:rsidRDefault="009D7677" w:rsidP="009D7677">
      <w:pPr>
        <w:pStyle w:val="TextoNormal"/>
      </w:pPr>
      <w:r w:rsidRPr="009D7677">
        <w:rPr>
          <w:rStyle w:val="NumeroAFNegritaCaracter"/>
        </w:rPr>
        <w:t>2</w:t>
      </w:r>
      <w:r>
        <w:t>. Los antecedentes relevantes para resolver las pretensiones planteadas son, sucintamente expuestos, los siguientes:</w:t>
      </w:r>
    </w:p>
    <w:p w14:paraId="325D46C0" w14:textId="77777777" w:rsidR="009D7677" w:rsidRDefault="009D7677" w:rsidP="009D7677">
      <w:pPr>
        <w:pStyle w:val="TextoNormal"/>
      </w:pPr>
    </w:p>
    <w:p w14:paraId="69BA03BA" w14:textId="77777777" w:rsidR="009D7677" w:rsidRDefault="009D7677" w:rsidP="009D7677">
      <w:pPr>
        <w:pStyle w:val="TextoNormal"/>
      </w:pPr>
      <w:r>
        <w:t>a) El ahora demandante de amparo resultó elegido diputado en las elecciones al Parlamento de Cataluña celebradas el 21 de diciembre de 2017.</w:t>
      </w:r>
    </w:p>
    <w:p w14:paraId="1B757D3B" w14:textId="77777777" w:rsidR="009D7677" w:rsidRDefault="009D7677" w:rsidP="009D7677">
      <w:pPr>
        <w:pStyle w:val="TextoNormal"/>
      </w:pPr>
    </w:p>
    <w:p w14:paraId="249BD993" w14:textId="77777777" w:rsidR="009D7677" w:rsidRDefault="009D7677" w:rsidP="009D7677">
      <w:pPr>
        <w:pStyle w:val="TextoNormal"/>
      </w:pPr>
      <w:r>
        <w:t>b) Por sentencia de 19 de diciembre de 2019 de la Sala de lo Civil y Penal del Tribunal Superior de Justicia de Cataluña (procedimiento abreviado núm. 1-2019), don Joaquim Torra i Pla fue condenado como “autor penalmente responsable de un delito de desobediencia cometido por autoridad o funcionario público, [ya definido], sin la concurrencia de circunstancias modificativas de la responsabilidad criminal, a las penas de multa de diez (10) meses con una cuota diaria de cien (100) euros y una responsabilidad personal subsidiaria de un día de privación de libertad por cada dos cuotas no abonadas, e inhabilitación especial para el ejercicio de cargos públicos electivos, ya sean de ámbito local, autonómico, estatal o europeo, así como para el desempeño de funciones de gobierno en los ámbitos local, autonómico y del Estado, por tiempo de un (1) año y seis (6) meses”. Dicha sentencia fue recurrida en casación ante el Tribunal Supremo por el demandante de amparo (recurso de casación núm. 203-2020).</w:t>
      </w:r>
    </w:p>
    <w:p w14:paraId="5633774B" w14:textId="77777777" w:rsidR="009D7677" w:rsidRDefault="009D7677" w:rsidP="009D7677">
      <w:pPr>
        <w:pStyle w:val="TextoNormal"/>
      </w:pPr>
    </w:p>
    <w:p w14:paraId="01FC114B" w14:textId="77777777" w:rsidR="009D7677" w:rsidRDefault="009D7677" w:rsidP="009D7677">
      <w:pPr>
        <w:pStyle w:val="TextoNormal"/>
      </w:pPr>
      <w:r>
        <w:t xml:space="preserve">c) Tras dictarse la sentencia de 19 de diciembre de 2019 por la Sala de lo Civil y Penal del Tribunal Superior de Justicia de Cataluña, el representante del Partido Popular solicitó a la Junta Electoral Provincial de Barcelona, mediante escrito de 20 de diciembre de 2019, que se procediera al cese de don Joaquim Torra i Pla como diputado electo del Parlamento </w:t>
      </w:r>
      <w:r>
        <w:lastRenderedPageBreak/>
        <w:t>de Cataluña por inelegibilidad sobrevenida en aplicación de lo dispuesto en el art. 6.2 b) LOREG, al haber sido condenado por sentencia no firme en los términos ya expuestos. El 23 de diciembre de 2019 los representantes de Ciudadanos-Partido de la Ciudadanía y Vox presentaron sendos escritos formulando idéntica petición, y se acordó la acumulación de ambos al primero.</w:t>
      </w:r>
    </w:p>
    <w:p w14:paraId="56785950" w14:textId="77777777" w:rsidR="009D7677" w:rsidRDefault="009D7677" w:rsidP="009D7677">
      <w:pPr>
        <w:pStyle w:val="TextoNormal"/>
      </w:pPr>
    </w:p>
    <w:p w14:paraId="553FA8AB" w14:textId="77777777" w:rsidR="009D7677" w:rsidRDefault="009D7677" w:rsidP="009D7677">
      <w:pPr>
        <w:pStyle w:val="TextoNormal"/>
      </w:pPr>
      <w:r>
        <w:t>d) Por acuerdo de 24 de diciembre de 2019, la Junta Electoral Provincial de Barcelona desestimó las solicitudes formuladas.</w:t>
      </w:r>
    </w:p>
    <w:p w14:paraId="7543FF1A" w14:textId="77777777" w:rsidR="009D7677" w:rsidRDefault="009D7677" w:rsidP="009D7677">
      <w:pPr>
        <w:pStyle w:val="TextoNormal"/>
      </w:pPr>
    </w:p>
    <w:p w14:paraId="26AF7A49" w14:textId="77777777" w:rsidR="009D7677" w:rsidRDefault="009D7677" w:rsidP="009D7677">
      <w:pPr>
        <w:pStyle w:val="TextoNormal"/>
      </w:pPr>
      <w:r>
        <w:t>e) Frente a dicho acuerdo de 24 de diciembre de 2019 formularon recursos ante la Junta Electoral Central tanto el señor Torra i Pla como las representaciones de las formaciones políticas Junts per Catalunya, Partido Popular, Ciudadanos-Partido de la Ciudadanía y Vox. Estos recursos fueron resueltos por la Junta Electoral Central mediante acuerdo de 3 de enero de 2020 (expediente núm. 251-628) —con voto particular suscrito por seis de los trece vocales— en el que se disponía:</w:t>
      </w:r>
    </w:p>
    <w:p w14:paraId="68443B44" w14:textId="77777777" w:rsidR="009D7677" w:rsidRDefault="009D7677" w:rsidP="009D7677">
      <w:pPr>
        <w:pStyle w:val="TextoNormal"/>
      </w:pPr>
    </w:p>
    <w:p w14:paraId="235975ED" w14:textId="77777777" w:rsidR="009D7677" w:rsidRDefault="009D7677" w:rsidP="009D7677">
      <w:pPr>
        <w:pStyle w:val="TextoNormal"/>
      </w:pPr>
      <w:r>
        <w:t>“Primero.- Desestimar los recursos planteados por Junts per Catalunya y por el señor Torra i Pla.</w:t>
      </w:r>
    </w:p>
    <w:p w14:paraId="3BB96DB6" w14:textId="77777777" w:rsidR="009D7677" w:rsidRDefault="009D7677" w:rsidP="009D7677">
      <w:pPr>
        <w:pStyle w:val="TextoNormal"/>
      </w:pPr>
    </w:p>
    <w:p w14:paraId="5B01034D" w14:textId="77777777" w:rsidR="009D7677" w:rsidRDefault="009D7677" w:rsidP="009D7677">
      <w:pPr>
        <w:pStyle w:val="TextoNormal"/>
      </w:pPr>
      <w:r>
        <w:t>Segundo.- Estimar el recurso interpuesto por el Partido Popular, y parcialmente los interpuestos por Ciudadanos-Partido de la Ciudadanía y Vox, con el siguiente alcance y efectos:</w:t>
      </w:r>
    </w:p>
    <w:p w14:paraId="059C029F" w14:textId="77777777" w:rsidR="009D7677" w:rsidRDefault="009D7677" w:rsidP="009D7677">
      <w:pPr>
        <w:pStyle w:val="TextoNormal"/>
      </w:pPr>
    </w:p>
    <w:p w14:paraId="684C80D0" w14:textId="77777777" w:rsidR="009D7677" w:rsidRDefault="009D7677" w:rsidP="009D7677">
      <w:pPr>
        <w:pStyle w:val="TextoNormal"/>
      </w:pPr>
      <w:r>
        <w:t>1.- La anulación del acuerdo adoptado por la Junta Electoral Provincial de Barcelona el día 24 de diciembre de 2019, que desestimaba las solicitudes formuladas por las formaciones políticas Partido Popular, Ciudadanos y Vox para que se procediera al cese de don Joaquim Torra i Pla como diputado electo del Parlamento de Cataluña, por inelegibilidad sobrevenida, ello en aplicación del art. 6.2 b) LOREG.</w:t>
      </w:r>
    </w:p>
    <w:p w14:paraId="6356FBD8" w14:textId="77777777" w:rsidR="009D7677" w:rsidRDefault="009D7677" w:rsidP="009D7677">
      <w:pPr>
        <w:pStyle w:val="TextoNormal"/>
      </w:pPr>
    </w:p>
    <w:p w14:paraId="6F5C16A0" w14:textId="77777777" w:rsidR="009D7677" w:rsidRDefault="009D7677" w:rsidP="009D7677">
      <w:pPr>
        <w:pStyle w:val="TextoNormal"/>
      </w:pPr>
      <w:r>
        <w:t>2.- Declarar que concurre en don Joaquim Torra i Pla la causa de inelegibilidad sobrevenida del art. 6.2 b) LOREG en razón de haber sido condenado por sentencia no firme dictada el día 19 de diciembre de 2019 (procedimiento abreviado 1-2019) por la Sala de lo Civil y Penal del Tribunal Superior de Justicia de la Comunidad Autónoma de Cataluña, imponiéndole, además de una pena de multa, la pena de inhabilitación especial para el ejercicio de cargos públicos electivos, ya sean de ámbito local, autonómico, estatal o europeo, así como para el desempeño de funciones de gobierno en los ámbitos local autonómico y del Estado, por tiempo de un año y seis meses, por considerarle autor de un delito de desobediencia tipificada en el art. 410.1 del CP [Código penal], precepto incluido en el título XIX del Código Penal, cuya rúbrica es la de ‘[d]elitos contra la administración pública’.</w:t>
      </w:r>
    </w:p>
    <w:p w14:paraId="4A0D01D0" w14:textId="77777777" w:rsidR="009D7677" w:rsidRDefault="009D7677" w:rsidP="009D7677">
      <w:pPr>
        <w:pStyle w:val="TextoNormal"/>
      </w:pPr>
    </w:p>
    <w:p w14:paraId="5EE70F20" w14:textId="77777777" w:rsidR="009D7677" w:rsidRDefault="009D7677" w:rsidP="009D7677">
      <w:pPr>
        <w:pStyle w:val="TextoNormal"/>
      </w:pPr>
      <w:r>
        <w:t>3.- Dejar sin efecto la credencial de diputado electo al Parlamento de Cataluña por la circunscripción electoral de Barcelona de don Joaquim Torra i Pla efectuada por la Junta Electoral Provincial de Barcelona tras las elecciones celebradas el 21 de diciembre de 2017, todo ello con efectos de la fecha de este acuerdo.</w:t>
      </w:r>
    </w:p>
    <w:p w14:paraId="5A834A65" w14:textId="77777777" w:rsidR="009D7677" w:rsidRDefault="009D7677" w:rsidP="009D7677">
      <w:pPr>
        <w:pStyle w:val="TextoNormal"/>
      </w:pPr>
    </w:p>
    <w:p w14:paraId="7A478820" w14:textId="77777777" w:rsidR="009D7677" w:rsidRDefault="009D7677" w:rsidP="009D7677">
      <w:pPr>
        <w:pStyle w:val="TextoNormal"/>
      </w:pPr>
      <w:r>
        <w:t>4.- Ordenar a la Junta Electoral Provincial de Barcelona que a la recepción de este acuerdo y de modo inmediato declare la vacante como diputado del Parlamento de Catalu</w:t>
      </w:r>
      <w:r>
        <w:lastRenderedPageBreak/>
        <w:t>ña, por la circunscripción electoral de Barcelona, de don Joaquim Torra i Pla, expidiendo la credencial al siguiente candidato de la lista de Junts per Catalunya, con que concurrió a las citadas elecciones de 21 de diciembre de 2017, a los efectos procedentes”.</w:t>
      </w:r>
    </w:p>
    <w:p w14:paraId="5C4075D1" w14:textId="77777777" w:rsidR="009D7677" w:rsidRDefault="009D7677" w:rsidP="009D7677">
      <w:pPr>
        <w:pStyle w:val="TextoNormal"/>
      </w:pPr>
    </w:p>
    <w:p w14:paraId="69B9F641" w14:textId="77777777" w:rsidR="009D7677" w:rsidRDefault="009D7677" w:rsidP="009D7677">
      <w:pPr>
        <w:pStyle w:val="TextoNormal"/>
      </w:pPr>
      <w:r>
        <w:t xml:space="preserve">f) Por escrito de 8 de enero de 2020, la representación procesal del ahora demandante de amparo interpuso recurso contencioso administrativo para la protección de los derechos fundamentales contra el citado acuerdo de la Junta Electoral Central. Dicho recurso (núm. 8-2020) se tramitó por la Sección Cuarta de la Sala de lo Contencioso-Administrativo del Tribunal Supremo. Mediante otrosí, el recurrente solicitaba la adopción de la medida cautelar provisionalísima de suspensión </w:t>
      </w:r>
      <w:r w:rsidRPr="009D7677">
        <w:rPr>
          <w:i/>
        </w:rPr>
        <w:t>inaudita parte</w:t>
      </w:r>
      <w:r>
        <w:t xml:space="preserve"> del acuerdo impugnado [art. 135.1 de la Ley reguladora de la jurisdicción contencioso-administrativa (LJCA)], alegando que cualquier efecto que pudiera llegar a reconocerse a tal acuerdo ocasionaría un perjuicio grave e irreparable al recurrente, a la Cámara en su conjunto, a los diputados del Parlamento de Cataluña y al conjunto de los ciudadanos que lo eligieron como diputado en las elecciones al Parlamento de Cataluña de 21 de diciembre de 2017.</w:t>
      </w:r>
    </w:p>
    <w:p w14:paraId="25C314AD" w14:textId="77777777" w:rsidR="009D7677" w:rsidRDefault="009D7677" w:rsidP="009D7677">
      <w:pPr>
        <w:pStyle w:val="TextoNormal"/>
      </w:pPr>
    </w:p>
    <w:p w14:paraId="7A98F3BC" w14:textId="77777777" w:rsidR="009D7677" w:rsidRDefault="009D7677" w:rsidP="009D7677">
      <w:pPr>
        <w:pStyle w:val="TextoNormal"/>
      </w:pPr>
      <w:r>
        <w:t xml:space="preserve">g) Por auto de 10 de enero de 2020, la Sección Cuarta de la Sala de lo Contencioso-Administrativo del Tribunal Supremo acordó no haber lugar a la adopción de la medida solicitada con carácter cautelarísimo e </w:t>
      </w:r>
      <w:r w:rsidRPr="009D7677">
        <w:rPr>
          <w:i/>
        </w:rPr>
        <w:t>inaudita parte</w:t>
      </w:r>
      <w:r>
        <w:t>, y ordenó al mismo tiempo la tramitación del incidente de suspensión conforme a lo establecido en los arts. 131 y ss. LJCA, dando traslado al representante de la Junta Electoral Central y al Ministerio Fiscal para formular alegaciones.</w:t>
      </w:r>
    </w:p>
    <w:p w14:paraId="11E9925A" w14:textId="77777777" w:rsidR="009D7677" w:rsidRDefault="009D7677" w:rsidP="009D7677">
      <w:pPr>
        <w:pStyle w:val="TextoNormal"/>
      </w:pPr>
    </w:p>
    <w:p w14:paraId="550D8C9B" w14:textId="77777777" w:rsidR="009D7677" w:rsidRDefault="009D7677" w:rsidP="009D7677">
      <w:pPr>
        <w:pStyle w:val="TextoNormal"/>
      </w:pPr>
      <w:r>
        <w:t>h) Por auto de 23 de enero de 2020, la citada sección acordó no haber lugar a la adopción de la medida cautelar de suspensión de la eficacia del acuerdo de la Junta Electoral Central de 3 de enero de 2020. Los motivos son, sucintamente expuestos, los siguientes:</w:t>
      </w:r>
    </w:p>
    <w:p w14:paraId="0F16289E" w14:textId="77777777" w:rsidR="009D7677" w:rsidRDefault="009D7677" w:rsidP="009D7677">
      <w:pPr>
        <w:pStyle w:val="TextoNormal"/>
      </w:pPr>
    </w:p>
    <w:p w14:paraId="74049F4F" w14:textId="77777777" w:rsidR="009D7677" w:rsidRDefault="009D7677" w:rsidP="009D7677">
      <w:pPr>
        <w:pStyle w:val="TextoNormal"/>
      </w:pPr>
      <w:r>
        <w:t>(i) En primer lugar, y ante la petición del recurrente de que se plantee cuestión de inconstitucionalidad, se afirma que la Sala no alberga dudas, en el momento procesal en el que se encuentra, sobre la regularidad constitucional de los arts. 6.2 b) y 6.4 LOREG; preceptos sobre los que se basa el acuerdo de la Junta Electoral Central objeto de recurso contencioso administrativo. El órgano judicial señala que la aplicación combinada de los mismos ha sido considerada e interpretada por la propia Sala en la STS 438/2019, de 1 de abril, y que en ella “se razonó, con amplia cita de jurisprudencia constitucional, que la concreción de supuestos que se produjo en el año 2011 con relación a la reforma operada en la LOREG por la Ley Orgánica 1/2003, de 10 de marzo, [para la garantía de la democracia en los ayuntamientos y la seguridad de los concejales], que ya preveía la inelegibilidad de condenados por sentencia aunque esta no fuera firme, estaba dirigida a una mayor protección de las instituciones públicas, haciendo emerger una orientación más cercenadora respecto a condenados a la pena de inhabilitación especial de empleo o cargo público, por la ejemplaridad social exigible a quien ejerce función pública, máxime si es representante de los ciudadanos (STC 151/1999, de 14 de septiembre, FJ 3 y fallo)”.</w:t>
      </w:r>
    </w:p>
    <w:p w14:paraId="440B8F87" w14:textId="77777777" w:rsidR="009D7677" w:rsidRDefault="009D7677" w:rsidP="009D7677">
      <w:pPr>
        <w:pStyle w:val="TextoNormal"/>
      </w:pPr>
    </w:p>
    <w:p w14:paraId="76315BDF" w14:textId="77777777" w:rsidR="009D7677" w:rsidRDefault="009D7677" w:rsidP="009D7677">
      <w:pPr>
        <w:pStyle w:val="TextoNormal"/>
      </w:pPr>
      <w:r>
        <w:t xml:space="preserve">El auto añade que la citada sentencia también priva de consistencia a la invocación por el recurrente de los derechos reconocidos en los apartados 1 y 2 del art. 23 CE, en relación con el art. 25 del Pacto internacional de derechos civiles y políticos (PIDCP). Se señala que “[e]l artículo 6.2 b) LOREG, aplicado en este caso, parte del supuesto de que una resolución jurisdiccional condenatoria, aunque no sea firme, altera la relación representativa </w:t>
      </w:r>
      <w:r>
        <w:lastRenderedPageBreak/>
        <w:t xml:space="preserve">y la extingue por ministerio de la ley, lo que enerva la invocación de los derechos (artículo 23.1 y 23.2 CE) citados”. Respecto de la denunciada vulneración del art. 3 del Protocolo núm. 1 del Convenio europeo para la protección de los derechos humanos y de las libertades fundamentales (CEDH), el Tribunal Supremo indica que “los preceptos de la LOREG en cuestión se encuentran dentro del margen de maniobra que el Protocolo núm. 1 del CEDH concede a los Estados (por todas, STEDH, Gran Sala, de 16 de marzo de 2006, asunto </w:t>
      </w:r>
      <w:r w:rsidRPr="009D7677">
        <w:rPr>
          <w:i/>
        </w:rPr>
        <w:t>Tatjana Ždanoka c. Letonia</w:t>
      </w:r>
      <w:r>
        <w:t>, § 115)”. Y, por último, señala que no se entiende en qué medida se han podido ver afectadas las libertades ideológicas, de expresión y reunión del recurrente, acerca de las cuales este nada razona en su escrito.</w:t>
      </w:r>
    </w:p>
    <w:p w14:paraId="01251D56" w14:textId="77777777" w:rsidR="009D7677" w:rsidRDefault="009D7677" w:rsidP="009D7677">
      <w:pPr>
        <w:pStyle w:val="TextoNormal"/>
      </w:pPr>
    </w:p>
    <w:p w14:paraId="4DCA5E3E" w14:textId="77777777" w:rsidR="009D7677" w:rsidRDefault="009D7677" w:rsidP="009D7677">
      <w:pPr>
        <w:pStyle w:val="TextoNormal"/>
      </w:pPr>
      <w:r>
        <w:t>(ii) Sobre los efectos desfavorables de los que se queja el recurrente, la Sala señala que estos dimanan de las consecuencias jurídico-electorales que la Ley Orgánica del régimen electoral general atribuye a una sentencia penal condenatoria, aunque no sea firme, y no del acuerdo de la Junta Electoral Central. De ello deriva que “se enervan también los alegatos que se esgrimen respecto de los efectos penales de la cuestión”, que, dice, “no son de discutir en este orden jurisdiccional contencioso-administrativo”. Razón por la cual tampoco se aprecia consistencia en la vulneración de derechos fundamentales propios de la dimensión penal del caso que se alegan, como el derecho a la legalidad penal, al juez ordinario predeterminado por la ley, a la presunción de inocencia o a la doble instancia penal; alegaciones que además entiende el Tribunal Supremo que se hacen en forma imprecisa. Por ello, y al considerar que los aspectos penales del caso quedan fuera del ámbito del recurso, se desestima igualmente la petición de plantear una cuestión prejudicial ante el Tribunal de Justicia de la Unión Europea.</w:t>
      </w:r>
    </w:p>
    <w:p w14:paraId="580FABBC" w14:textId="77777777" w:rsidR="009D7677" w:rsidRDefault="009D7677" w:rsidP="009D7677">
      <w:pPr>
        <w:pStyle w:val="TextoNormal"/>
      </w:pPr>
    </w:p>
    <w:p w14:paraId="11297EB3" w14:textId="77777777" w:rsidR="009D7677" w:rsidRDefault="009D7677" w:rsidP="009D7677">
      <w:pPr>
        <w:pStyle w:val="TextoNormal"/>
      </w:pPr>
      <w:r>
        <w:t>(iii) Las quejas alegadas por el recurrente sobre una supuesta actuación intempestiva, sesgada, indebida o parcial formuladas contra la Junta Electoral Central, son, a juicio del órgano judicial, “claramente inconsistentes y solo pueden excusarse en una visión benévola de extralimitaciones en el ejercicio de defensa”. La Sala entiende que “[l]a Junta Electoral Central, que es administración electoral permanente (artículo 9.1 LOREG), cuenta entre sus funciones la de expedir las credenciales en caso de vacante por fallecimiento, incapacidad o renuncia, a tenor del artículo 19.1 l) LOREG”. Apreciación preliminar que le lleva a no acoger en sede cautelar “los extensos esfuerzos argumentales que se emplean para justificar una supuesta incompetencia de la Junta Electoral Central y de la Junta Provincial de Barcelona”. También le resulta clara la correlación de la incompatibilidad sobrevenida con las causas de inelegibilidad, en el tenor literal de los artículos 6.2 b) y 6.4 LOREG.</w:t>
      </w:r>
    </w:p>
    <w:p w14:paraId="77245E10" w14:textId="77777777" w:rsidR="009D7677" w:rsidRDefault="009D7677" w:rsidP="009D7677">
      <w:pPr>
        <w:pStyle w:val="TextoNormal"/>
      </w:pPr>
    </w:p>
    <w:p w14:paraId="3CC1A1F0" w14:textId="77777777" w:rsidR="009D7677" w:rsidRDefault="009D7677" w:rsidP="009D7677">
      <w:pPr>
        <w:pStyle w:val="TextoNormal"/>
      </w:pPr>
      <w:r>
        <w:t>(iv) En relación con los intereses en conflicto a los que hace alusión el art. 130.1 LJCA, la Sala considera que “el interés general que debe prevalecer es ahora el que está presente en la sentencia condenatoria ya citada a la que los artículos 6.2 b) y 6.4 LOREG conectan las consecuencias jurídico-electorales que aprecia el acto recurrido”, y que “[e]n este momento, ofrece una apariencia de buen derecho contraria a la suspensión, sin que ello suponga en modo alguno prejuzgar el fondo del asunto”.</w:t>
      </w:r>
    </w:p>
    <w:p w14:paraId="017D96AD" w14:textId="77777777" w:rsidR="009D7677" w:rsidRDefault="009D7677" w:rsidP="009D7677">
      <w:pPr>
        <w:pStyle w:val="TextoNormal"/>
      </w:pPr>
    </w:p>
    <w:p w14:paraId="32CD4023" w14:textId="77777777" w:rsidR="009D7677" w:rsidRDefault="009D7677" w:rsidP="009D7677">
      <w:pPr>
        <w:pStyle w:val="TextoNormal"/>
      </w:pPr>
      <w:r>
        <w:t xml:space="preserve">(v) Respecto de los alegatos sobre la supuesta no aplicabilidad de los arts. 6.2 b) y 6.4 LOREG al Parlamento de Cataluña, señala “la especial reserva de ley orgánica que se atribuye a la LOREG desde la ya citada STC 72/1984, de 14 de junio, </w:t>
      </w:r>
      <w:r w:rsidRPr="009D7677">
        <w:rPr>
          <w:i/>
        </w:rPr>
        <w:t>ex</w:t>
      </w:r>
      <w:r>
        <w:t xml:space="preserve"> artículo 70 de la Constitución Española”, y advierte que “[p]or su propio carácter orgánico y por lo que </w:t>
      </w:r>
      <w:r>
        <w:lastRenderedPageBreak/>
        <w:t>dispone en forma clara la disposición adicional primera, [apartado] 2 LOREG”, le “resulta en esta apreciación cautelar que la LOREG es aplicable aquí y que en los aspectos que se discuten enerva por principio que se le oponga, en nuestro sistema de fuentes del Derecho, la normativa contradictoria que se invoca”. Y le resulta obvio que “esta cuestión también afecta, salvo la apreciación preliminar que acabamos de efectuar, a la cuestión de fondo del recurso”.</w:t>
      </w:r>
    </w:p>
    <w:p w14:paraId="4B36368F" w14:textId="77777777" w:rsidR="009D7677" w:rsidRDefault="009D7677" w:rsidP="009D7677">
      <w:pPr>
        <w:pStyle w:val="TextoNormal"/>
      </w:pPr>
    </w:p>
    <w:p w14:paraId="75E53CCB" w14:textId="77777777" w:rsidR="009D7677" w:rsidRDefault="009D7677" w:rsidP="009D7677">
      <w:pPr>
        <w:pStyle w:val="TextoNormal"/>
      </w:pPr>
      <w:r>
        <w:t xml:space="preserve">(vi) La Sala tampoco aprecia la existencia de </w:t>
      </w:r>
      <w:r w:rsidRPr="009D7677">
        <w:rPr>
          <w:i/>
        </w:rPr>
        <w:t>periculum in mora</w:t>
      </w:r>
      <w:r>
        <w:t xml:space="preserve"> (fundamento jurídico 6). Señala que “[e]n la hipótesis de una sentencia estimatoria de anulación del acuerdo de la Junta Electoral Central podría añadirse un pronunciamiento de anulación de la expedición de la credencial expedida por la Junta Electoral Central al sustituto del señor Torra, como lo demuestra la sentencia de esta sala 844/2019, de 18 de junio (recurso núm. 252-2018)”. Para la Sala, “[u]n fallo estimatorio sería ejecutable, por lo que la mora procesal no hace perder su finalidad al recurso”. Añade que “[l]a alegación de que sería insuficiente una sentencia tardía en que insiste el recurrente, y también acoge el fiscal, tampoco puede prosperar porque implica cuestionar la constitucionalidad de la norma con otros argumentos”. Y concluye que los razonamientos expuestos sobre el fundamento que le merece la pretensión impiden, dado el tenor literal del artículo 6.2 b) LOREG, poder aceptar “una especie de aplicación automática de protección cautelar de todas las pretensiones que se formulen desde el punto de vista de la insuficiencia de una estimación tardía”, pues “entendidas así las medidas cautelares tendrían como consecuencia la inaplicación práctica de las causas de inelegibilidad previstas en los apartados a) y b) del artículo 6.2 LOREG ya que, una vez concedida la protección cautelar, bastaría dilatar la tramitación del recurso hasta la finalización de la legislatura”.</w:t>
      </w:r>
    </w:p>
    <w:p w14:paraId="7BDF7117" w14:textId="77777777" w:rsidR="009D7677" w:rsidRDefault="009D7677" w:rsidP="009D7677">
      <w:pPr>
        <w:pStyle w:val="TextoNormal"/>
      </w:pPr>
    </w:p>
    <w:p w14:paraId="10AC159C" w14:textId="77777777" w:rsidR="009D7677" w:rsidRDefault="009D7677" w:rsidP="009D7677">
      <w:pPr>
        <w:pStyle w:val="TextoNormal"/>
      </w:pPr>
      <w:r>
        <w:t>Finalmente se aprecia que “[l]a Ley Orgánica 3/2011 modificó la LOREG incluyendo entre los supuestos de inelegibilidad la condena por sentencia judicial, aunque no sea firme, a penas de inhabilitación absoluta o especial o suspensión de empleo o cargo público por delitos contra la administración pública”, lo cual “tiene fundamento en la necesidad de que todos los gestores públicos gocen de la confianza y el respeto de los ciudadanos (STC 151/1999, de 14 de septiembre, FJ 3)”. Y que “[a]cceder a la pretensión cautelar que se pide por la simple mora procesal supondría la inaplicación práctica de preceptos legales vinculantes de cuya regularidad constitucional no hemos dudado y a los que todos los poderes públicos estamos vinculados”.</w:t>
      </w:r>
    </w:p>
    <w:p w14:paraId="20FC9662" w14:textId="77777777" w:rsidR="009D7677" w:rsidRDefault="009D7677" w:rsidP="009D7677">
      <w:pPr>
        <w:pStyle w:val="TextoNormal"/>
      </w:pPr>
    </w:p>
    <w:p w14:paraId="02CB0DFE" w14:textId="77777777" w:rsidR="009D7677" w:rsidRDefault="009D7677" w:rsidP="009D7677">
      <w:pPr>
        <w:pStyle w:val="TextoNormal"/>
      </w:pPr>
      <w:r>
        <w:t>i) Don Joaquim Torra i Pla interpuso recurso de reposición contra la denegación de la medida cautelar, reiterando las alegaciones ya efectuadas y rechazadas, y esgrimiendo, además, que el auto recurrido de 23 de enero de 2020 incurre en un exceso de jurisdicción y no cumple con las exigencias de motivación ni concede la tutela cautelar.</w:t>
      </w:r>
    </w:p>
    <w:p w14:paraId="4FBB6425" w14:textId="77777777" w:rsidR="009D7677" w:rsidRDefault="009D7677" w:rsidP="009D7677">
      <w:pPr>
        <w:pStyle w:val="TextoNormal"/>
      </w:pPr>
    </w:p>
    <w:p w14:paraId="024B02B5" w14:textId="6DD28DE4" w:rsidR="009D7677" w:rsidRDefault="009D7677" w:rsidP="009D7677">
      <w:pPr>
        <w:pStyle w:val="TextoNormal"/>
      </w:pPr>
      <w:r>
        <w:t>j) El recurso fue desestimado por auto de 20 de febrero de 2020. La Sala rechaza las quejas sobre el exceso de jurisdicción y la falta de motivación e inconsistencia. Sobre la ausencia de tutela cautelar, se señala que esta también existe cuando se deniega la pretensión si se hace “en forma aprehensible, razonada y lo pedido sea improsperable”. El auto: (i) mantiene, respecto del alegato en el que se ataca la improcedencia de plantear cuestión de inconstitucionalidad, lo dicho en la resolución recurrida; (ii) reitera la inconsistencia de los alegatos mantenidos sobre la presunción de inocencia y considera que la sentencia de la Sala de lo Civil y Penal del Tribunal Superior de Justicia de Cataluña de 19 de diciem</w:t>
      </w:r>
      <w:r>
        <w:lastRenderedPageBreak/>
        <w:t xml:space="preserve">bre de 2019 opera, en el presente recurso, “como un mero dato que integra el supuesto de hecho del artículo 6.2 b) LOREG”, por lo que los efectos penales de la cuestión no se deben ni pueden discutir en el orden jurisdiccional contencioso-administrativo; (iii) rechaza la queja de que habría contradicción del auto impugnado con la Ley Orgánica del régimen electoral general, pues la inelegibilidad sobrevenida del recurrente la produce la sentencia penal, “lo que no se contradice por una comprobación posterior de que se ha producido la circunstancia enervante, ni de que esta tenga efectos constitutivos </w:t>
      </w:r>
      <w:r w:rsidRPr="009D7677">
        <w:rPr>
          <w:i/>
        </w:rPr>
        <w:t>ex nunc</w:t>
      </w:r>
      <w:r>
        <w:t xml:space="preserve">”; (iv) entiende que nada tiene que ver la invocación que se hace del auto de la Sala de 16 de julio de 2018 (recurso núm.  252-2018); y, finalmente, (v) se reafirma en los argumentos esgrimidos en relación con la existencia de </w:t>
      </w:r>
      <w:r w:rsidRPr="009D7677">
        <w:rPr>
          <w:i/>
        </w:rPr>
        <w:t>periculum in mora</w:t>
      </w:r>
      <w:r>
        <w:t>.</w:t>
      </w:r>
    </w:p>
    <w:p w14:paraId="56FA26E5" w14:textId="77777777" w:rsidR="009D7677" w:rsidRDefault="009D7677" w:rsidP="009D7677">
      <w:pPr>
        <w:pStyle w:val="TextoNormal"/>
      </w:pPr>
    </w:p>
    <w:p w14:paraId="4A31DBB3" w14:textId="77777777" w:rsidR="009D7677" w:rsidRDefault="009D7677" w:rsidP="009D7677">
      <w:pPr>
        <w:pStyle w:val="TextoNormal"/>
      </w:pPr>
      <w:r w:rsidRPr="009D7677">
        <w:rPr>
          <w:rStyle w:val="NumeroAFNegritaCaracter"/>
        </w:rPr>
        <w:t>3</w:t>
      </w:r>
      <w:r>
        <w:t>. En la demanda de amparo se denuncia la vulneración de los derechos reconocidos en los arts. 14, 23 y 24 CE, en conexión con los arts. 9.3, 16.1, 20.1 y 21.1 CE. También se estima infringido el artículo 3 del Protocolo núm. 1 anejo al CEDH, en relación con los arts. 6 y 13 CEDH. Y se invocan los arts. 14 y 25 PIDCP. No obstante, la fundamentación de la demanda únicamente hace referencia a las siguientes vulneraciones:</w:t>
      </w:r>
    </w:p>
    <w:p w14:paraId="4FE5517A" w14:textId="77777777" w:rsidR="009D7677" w:rsidRDefault="009D7677" w:rsidP="009D7677">
      <w:pPr>
        <w:pStyle w:val="TextoNormal"/>
      </w:pPr>
    </w:p>
    <w:p w14:paraId="732FD852" w14:textId="77777777" w:rsidR="009D7677" w:rsidRDefault="009D7677" w:rsidP="009D7677">
      <w:pPr>
        <w:pStyle w:val="TextoNormal"/>
      </w:pPr>
      <w:r>
        <w:t>a) Lesión del derecho a la tutela judicial efectiva (art. 24.1 CE), en su manifestación de derecho a la tutela judicial cautelar, por haberle denegado las resoluciones judiciales impugnadas la medida cautelar de suspensión de un modo arbitrario e irrazonable, además de contrario a la jurisprudencia del Tribunal Constitucional. El demandante de amparo discrepa:</w:t>
      </w:r>
    </w:p>
    <w:p w14:paraId="1CEB19EC" w14:textId="77777777" w:rsidR="009D7677" w:rsidRDefault="009D7677" w:rsidP="009D7677">
      <w:pPr>
        <w:pStyle w:val="TextoNormal"/>
      </w:pPr>
    </w:p>
    <w:p w14:paraId="31F8B5D3" w14:textId="77777777" w:rsidR="009D7677" w:rsidRDefault="009D7677" w:rsidP="009D7677">
      <w:pPr>
        <w:pStyle w:val="TextoNormal"/>
      </w:pPr>
      <w:r>
        <w:t>(i) Por una parte, del criterio de la apariencia de buen derecho del acuerdo de la Junta Electoral Central de 3 de enero de 2020 del que se sirve la Sala para denegar la medida cautelar solicitada. Sostiene la demanda de amparo que la denegación de la medida cautelar “se sustenta principalmente” sobre el “arbitrario prejuicio de la Sala acerca de la inviabilidad de los argumentos del recurrente en relación con el fondo del asunto”. Las infracciones aducidas por el recurrente en el recurso contencioso administrativo sustanciado ante el Tribunal Supremo se referían, en esencia, a: (i) la incompetencia de la Junta Electoral Central; (ii) la inaplicabilidad del art. 6.2 b) LOREG, en relación con el art. 6.4 de la misma norma, a su caso; y (iii) la vulneración de sus derechos políticos y a la presunción de inocencia. Aduce que la inviabilidad de sus pretensiones, en caso de existir, en ningún caso era manifiesta ni podía apreciarse en el incidente cautelar, máxime cuando la fundamentación de pretensiones coincidía, al menos parcialmente, con “el voto particular formulado por prácticamente la mitad de los vocales” de la Junta Electoral Central al acuerdo que esta dictó el 3 de enero de 2020.</w:t>
      </w:r>
    </w:p>
    <w:p w14:paraId="7920E6E4" w14:textId="77777777" w:rsidR="009D7677" w:rsidRDefault="009D7677" w:rsidP="009D7677">
      <w:pPr>
        <w:pStyle w:val="TextoNormal"/>
      </w:pPr>
    </w:p>
    <w:p w14:paraId="7EB0932C" w14:textId="77777777" w:rsidR="009D7677" w:rsidRDefault="009D7677" w:rsidP="009D7677">
      <w:pPr>
        <w:pStyle w:val="TextoNormal"/>
      </w:pPr>
      <w:r>
        <w:t xml:space="preserve">(ii) De otro lado, el recurrente discrepa del análisis sobre la concurrencia del </w:t>
      </w:r>
      <w:r w:rsidRPr="009D7677">
        <w:rPr>
          <w:i/>
        </w:rPr>
        <w:t>periculum in mora</w:t>
      </w:r>
      <w:r>
        <w:t xml:space="preserve">, que considera arbitrario e irracional y supone, a su juicio, el vaciamiento completo del contenido de dicho criterio, crucial para la determinación de la procedencia de la adopción de medidas cautelares. Defiende que se debería “haber concedido la medida cautelar solicitada, suspendiendo así la aplicación (ilegal) por parte de la Junta Electoral Central (órgano incompetente) de un artículo (inconstitucional) durante ‘un plazo razonable’, hasta la sentencia”; cuando, además, el art. 6.2 b) LOREG no se ha aplicado en condiciones de igualdad, dado que nunca la Junta Electoral Central había declarado la inelegibilidad sobrevenida de un parlamentario electo una vez concluido el proceso electoral. En este punto, la demanda de amparo invoca doctrina constitucional acerca del carácter irreparable </w:t>
      </w:r>
      <w:r>
        <w:lastRenderedPageBreak/>
        <w:t xml:space="preserve">del perjuicio consistente en no poder ejercer el cargo representativo (AATC 981/1988, de 25 de agosto, y 54/1989, de 31 de enero); sostiene, en línea con lo que había mantenido el fiscal en el incidente de ejecución ante el Tribunal Supremo, que el ejercicio del mandato representativo podría verse considerablemente recortado, o incluso desvirtuado completamente, en función de la duración del proceso; y denuncia que los dos autos recurridos basaron la conclusión de que no existía </w:t>
      </w:r>
      <w:r w:rsidRPr="009D7677">
        <w:rPr>
          <w:i/>
        </w:rPr>
        <w:t>periculum in mora</w:t>
      </w:r>
      <w:r>
        <w:t xml:space="preserve"> en una interpretación errónea de la STS 844/2019. Rebate también el argumento, contenido en los autos recurridos, según el cual la apreciación de </w:t>
      </w:r>
      <w:r w:rsidRPr="009D7677">
        <w:rPr>
          <w:i/>
        </w:rPr>
        <w:t>periculum in mora</w:t>
      </w:r>
      <w:r>
        <w:t xml:space="preserve"> supondría “cuestionar la constitucionalidad de la norma [aplicada por el acuerdo de la Junta Electoral Central] con otros argumentos”; según el recurrente, el acuerdo de 3 de enero de la Junta Electoral Central sería ilegal “con independencia de la suerte que deba correr el artículo 6.2 b) de la Ley Orgánica del Régimen Electoral General, dado el colosal vicio de incompetencia de la Junta Electoral Central”.</w:t>
      </w:r>
    </w:p>
    <w:p w14:paraId="5B5FCC98" w14:textId="77777777" w:rsidR="009D7677" w:rsidRDefault="009D7677" w:rsidP="009D7677">
      <w:pPr>
        <w:pStyle w:val="TextoNormal"/>
      </w:pPr>
    </w:p>
    <w:p w14:paraId="674D1F70" w14:textId="77777777" w:rsidR="009D7677" w:rsidRDefault="009D7677" w:rsidP="009D7677">
      <w:pPr>
        <w:pStyle w:val="TextoNormal"/>
      </w:pPr>
      <w:r>
        <w:t>(iii) Por último, la demanda de amparo discrepa de la valoración circunstanciada de los intereses en conflicto realizada por el Tribunal Supremo, que considera manifiestamente contraria a Derecho. Sostiene que la valoración realizada “supone, en la práctica, la radical negativa a la suspensión de cualesquiera decisiones de la administración que esta diga amparadas en la ley, aun cuando esta se oponga a todos los precedentes de la propia administración que ha dictado el acto, o aun cuando el acto impugnado cuente con el voto particular de prácticamente la mitad de los vocales del órgano colegiado que lo dictó”. Denuncia que en la ponderación de los intereses en conflicto no se hayan tenido en cuenta los derechos de sufragio pasivo y a ejercer el cargo para el que se ha sido elegido, así como el derecho a la presunción de inocencia. Para el recurrente, “en vez de ponderar los derechos e intereses en conflicto, las resoluciones recurridas en amparo simplemente deciden cuáles deben prevalecer sin juicio de ponderación alguno, vulnerando, por tanto, el derecho a la tutela judicial efectiva, el derecho a una resolución motivada, así como los derechos sustantivos alegados”.</w:t>
      </w:r>
    </w:p>
    <w:p w14:paraId="0A0A7F11" w14:textId="77777777" w:rsidR="009D7677" w:rsidRDefault="009D7677" w:rsidP="009D7677">
      <w:pPr>
        <w:pStyle w:val="TextoNormal"/>
      </w:pPr>
    </w:p>
    <w:p w14:paraId="5B4C87CF" w14:textId="77777777" w:rsidR="009D7677" w:rsidRDefault="009D7677" w:rsidP="009D7677">
      <w:pPr>
        <w:pStyle w:val="TextoNormal"/>
      </w:pPr>
      <w:r>
        <w:t>b) Vulneración del derecho del recurrente a ejercer el cargo público de parlamentario en condiciones de igualdad (art. 23.2 CE), para el que resultó elegido en las elecciones al Parlamento de Cataluña de 21 de diciembre de 2017, y, por ende, el derecho de los ciudadanos de Cataluña que lo eligieron en dicho proceso electoral (art. 23.1 CE). Esta lesión, que se considera producida como consecuencia de la denegación de la medida cautelar de suspensión, es puesta en conexión en la demanda con los derechos a la libertad de expresión y de reunión.</w:t>
      </w:r>
    </w:p>
    <w:p w14:paraId="6931C141" w14:textId="77777777" w:rsidR="009D7677" w:rsidRDefault="009D7677" w:rsidP="009D7677">
      <w:pPr>
        <w:pStyle w:val="TextoNormal"/>
      </w:pPr>
    </w:p>
    <w:p w14:paraId="2218DF78" w14:textId="77777777" w:rsidR="009D7677" w:rsidRDefault="009D7677" w:rsidP="009D7677">
      <w:pPr>
        <w:pStyle w:val="TextoNormal"/>
      </w:pPr>
      <w:r>
        <w:t xml:space="preserve">Defiende el recurrente que, a la luz de la jurisprudencia del Tribunal Europeo de Derechos Humanos —por todas, STEDH de 11 de junio de 2002, asunto </w:t>
      </w:r>
      <w:r w:rsidRPr="009D7677">
        <w:rPr>
          <w:i/>
        </w:rPr>
        <w:t>Sadak y otros c. Turquía</w:t>
      </w:r>
      <w:r>
        <w:t>—, es evidente que sus derechos políticos se están viendo vulnerados al no poder ocupar su escaño en el Parlamento de Cataluña y representar a sus electores. Considera que con la denegación de la medida cautelar se convierte en ilusorio el ejercicio del derecho a ejercer el cargo público de diputado para el que resultó elegido en las elecciones al Parlamento de Cataluña. Y entiende que es artificiosa la argumentación de los autos recurridos, que, al asociar la pérdida de la relación representativa a la sentencia penal del Tribunal Superior de Justicia de Cataluña, pretenderían evitar la ponderación de los derechos políticos del recurrente a la hora de valorar la concesión de las medidas cautelares. De modo que “el Tribunal Supremo, en ninguno de los dos autos, no ha valorado ni pondera</w:t>
      </w:r>
      <w:r>
        <w:lastRenderedPageBreak/>
        <w:t>do los derechos políticos del recurrente, toda vez que directamente ha negado que el recurrente gozara aún de ellos […] sin tan siquiera exponer un razonamiento coherente”.</w:t>
      </w:r>
    </w:p>
    <w:p w14:paraId="09B7876B" w14:textId="77777777" w:rsidR="009D7677" w:rsidRDefault="009D7677" w:rsidP="009D7677">
      <w:pPr>
        <w:pStyle w:val="TextoNormal"/>
      </w:pPr>
    </w:p>
    <w:p w14:paraId="4E056F9A" w14:textId="77777777" w:rsidR="009D7677" w:rsidRDefault="009D7677" w:rsidP="009D7677">
      <w:pPr>
        <w:pStyle w:val="TextoNormal"/>
      </w:pPr>
      <w:r>
        <w:t>c) Vulneración del derecho del recurrente a la presunción de inocencia (art. 24.2 CE), por no haber ponderado el Tribunal Supremo tal derecho fundamental a la hora de decidir sobre la medida cautelar solicitada a pesar de que su otorgamiento hubiese impedido que la Junta Electoral Central ejecutase una sentencia penal no firme.</w:t>
      </w:r>
    </w:p>
    <w:p w14:paraId="61A5FBD0" w14:textId="77777777" w:rsidR="009D7677" w:rsidRDefault="009D7677" w:rsidP="009D7677">
      <w:pPr>
        <w:pStyle w:val="TextoNormal"/>
      </w:pPr>
    </w:p>
    <w:p w14:paraId="07F06EB3" w14:textId="77777777" w:rsidR="009D7677" w:rsidRDefault="009D7677" w:rsidP="009D7677">
      <w:pPr>
        <w:pStyle w:val="TextoNormal"/>
      </w:pPr>
      <w:r>
        <w:t xml:space="preserve">Se esgrime que el art. 4.1 de la Directiva (UE) 2016/343, del Parlamento europeo y del Consejo de 9 de marzo de 2016 “es claro en el sentido [de] que todas las autoridades públicas […] deben evitar cualquier referencia pública a la culpabilidad de las personas acusadas en procesos penales hasta que adquiera firmeza la resolución final sobre si la persona ha cometido o no la infracción penal en cuestión”. Aduce, al respecto, la naturaleza penal del art. 6.2 LOREG, reconocida reiteradamente por la Sala de lo Penal del Tribunal Supremo. Y añade que “[l]a interpretación de la normativa aplicable de la Sala Tercera es, pues, completamente errónea, y se ha equivocado […] no solo al no aplicar correctamente la Directiva [2016/343] sino al negarse a solicitar al órgano competente, el Tribunal de Justicia de la Unión Europea, la interpretación auténtica del derecho a la presunción de inocencia a la luz de la directiva”. A su juicio, “[n]egarse, simplemente, a entender la directiva, su alcance y contenido, por el hecho de ser contraria al interés de la Sala Tercera por denegar las medidas cautelares, no hace sino vulnerar los derechos del recurrente”. Entiende que “la ejecución provisional de una condena penal, más cuando la pena impuesta es de estas características, implica, claramente, una vulneración de lo previsto y preceptuado, entre otros, en los artículos 2 y 4 de la Directiva 2016/343”. Considera, igualmente, que la Sala de lo Contencioso-Administrativo se separa de la jurisprudencia del Tribunal Europeo de Derechos Humanos (se citan, entre otras, las SSTEDH de 24 de mayo de 2011, asunto </w:t>
      </w:r>
      <w:r w:rsidRPr="009D7677">
        <w:rPr>
          <w:i/>
        </w:rPr>
        <w:t>Konstas c. Grecia</w:t>
      </w:r>
      <w:r>
        <w:t xml:space="preserve">, y de 18 de febrero de 2016, asunto </w:t>
      </w:r>
      <w:r w:rsidRPr="009D7677">
        <w:rPr>
          <w:i/>
        </w:rPr>
        <w:t>Rywin c. Polonia</w:t>
      </w:r>
      <w:r>
        <w:t>). Para el recurrente, “resulta difícilmente imaginable una referencia pública a la culpabilidad que pueda afectar más al derecho a la presunción de inocencia, en los términos previstos en el artículo 4 de la Directiva 2016/343”.</w:t>
      </w:r>
    </w:p>
    <w:p w14:paraId="276A3ADF" w14:textId="77777777" w:rsidR="009D7677" w:rsidRDefault="009D7677" w:rsidP="009D7677">
      <w:pPr>
        <w:pStyle w:val="TextoNormal"/>
      </w:pPr>
    </w:p>
    <w:p w14:paraId="46AECF8A" w14:textId="77777777" w:rsidR="009D7677" w:rsidRDefault="009D7677" w:rsidP="009D7677">
      <w:pPr>
        <w:pStyle w:val="TextoNormal"/>
      </w:pPr>
      <w:r>
        <w:t>d) Vulneración del derecho a la tutela judicial efectiva (art. 24.1 CE), en su vertiente del derecho a una resolución fundada en derecho, por cuanto los autos impugnados habrían ignorado o desestimado arbitrariamente las alegaciones del recurrente.</w:t>
      </w:r>
    </w:p>
    <w:p w14:paraId="71831CD9" w14:textId="77777777" w:rsidR="009D7677" w:rsidRDefault="009D7677" w:rsidP="009D7677">
      <w:pPr>
        <w:pStyle w:val="TextoNormal"/>
      </w:pPr>
    </w:p>
    <w:p w14:paraId="52106B26" w14:textId="0FEF5E94" w:rsidR="009D7677" w:rsidRDefault="009D7677" w:rsidP="009D7677">
      <w:pPr>
        <w:pStyle w:val="TextoNormal"/>
      </w:pPr>
      <w:r>
        <w:t>Se denuncia que algunos de los motivos que podrían dar lugar a la ilegalidad del acuerdo de la Junta Electoral Central de 3 de enero de 2020 ni siquiera se abordaron por el órgano judicial a la hora de determinar la manifiesta inviabilidad de todos y cada uno de los argumentos del escrito de interposición. En concreto, se aduce que el Tribunal Supremo: (i) ignoró sus alegaciones en relación con la denunciada carencia de imparcialidad y de competencia de la Junta Electoral Central para dictar el acuerdo de 3 de enero de 2020; y (ii) ofreció una respuesta incoherente a sus alegaciones sobre la posibilidad de planteamiento de la cuestión de inconstitucionalidad en el marco del recurso contencioso administrativo principal.</w:t>
      </w:r>
    </w:p>
    <w:p w14:paraId="0164C85D" w14:textId="77777777" w:rsidR="009D7677" w:rsidRDefault="009D7677" w:rsidP="009D7677">
      <w:pPr>
        <w:pStyle w:val="TextoNormal"/>
      </w:pPr>
    </w:p>
    <w:p w14:paraId="463E7DC1" w14:textId="77777777" w:rsidR="009D7677" w:rsidRDefault="009D7677" w:rsidP="009D7677">
      <w:pPr>
        <w:pStyle w:val="TextoNormal"/>
      </w:pPr>
      <w:r w:rsidRPr="009D7677">
        <w:rPr>
          <w:rStyle w:val="NumeroAFNegritaCaracter"/>
        </w:rPr>
        <w:t>4</w:t>
      </w:r>
      <w:r>
        <w:t>. Por providencia de 22 de julio de 2020, el Pleno de este tribunal, conforme establece el art. 10.1 n) de la Ley Orgánica del Tribunal Constitucional (LOTC), a propuesta del presidente, recabó para sí el conocimiento del recurso de amparo tramitado en la Sala Se</w:t>
      </w:r>
      <w:r>
        <w:lastRenderedPageBreak/>
        <w:t>gunda bajo el núm. 3476-2020 y acordó admitirlo a trámite, apreciando que concurre en el mismo una especial trascendencia constitucional (art. 50.1 LOTC), porque el asunto suscitado trasciende del caso concreto porque pudiera tener unas consecuencias políticas generales [STC 155/2009, de 25 de junio, FJ 2 g)]. En aplicación de lo dispuesto en el art. 51 LOTC, se acordó asimismo dirigir atenta comunicación a la Sección Cuarta de la Sala de lo Contencioso-Administrativo del Tribunal Supremo, a fin de que, en plazo que no excediera de diez días, remitiera certificación o fotocopia adverada de las actuaciones correspondientes a los autos de 23 de enero y de 20 de febrero de 2020 en el procedimiento ordinario núm. 8-2020, y emplazase a quienes hubieran sido parte en el procedimiento, excepto la parte recurrente en amparo, para que, en el plazo de diez días, pudieran comparecer en el recurso de amparo.</w:t>
      </w:r>
    </w:p>
    <w:p w14:paraId="36F84F34" w14:textId="77777777" w:rsidR="009D7677" w:rsidRDefault="009D7677" w:rsidP="009D7677">
      <w:pPr>
        <w:pStyle w:val="TextoNormal"/>
      </w:pPr>
    </w:p>
    <w:p w14:paraId="1F7FDDDC" w14:textId="34383A67" w:rsidR="009D7677" w:rsidRDefault="009D7677" w:rsidP="009D7677">
      <w:pPr>
        <w:pStyle w:val="TextoNormal"/>
      </w:pPr>
      <w:r>
        <w:t xml:space="preserve">En la misma providencia, y en relación con la solicitud de suspensión de las resoluciones impugnadas, el Pleno no apreció “la urgencia excepcional a la que se refiere el art. 56.6 LOTC, que justificaría su adopción </w:t>
      </w:r>
      <w:r w:rsidRPr="009D7677">
        <w:rPr>
          <w:i/>
        </w:rPr>
        <w:t>inaudita parte</w:t>
      </w:r>
      <w:r>
        <w:t xml:space="preserve"> de forma inmotivada, dado que acceder a la misma equivaldría a anticipar un eventual fallo estimatorio del recurso de amparo”, por lo que, a fin de resolver sobre la misma, ordenó formar la oportuna pieza separada y, en ella, conceder un plazo de tres días al Ministerio Fiscal y al solicitante de amparo para que efectuasen alegaciones respecto a dicha petición; lo que se acuerda por otra providencia de la misma fecha.</w:t>
      </w:r>
    </w:p>
    <w:p w14:paraId="6DF489A0" w14:textId="77777777" w:rsidR="009D7677" w:rsidRDefault="009D7677" w:rsidP="009D7677">
      <w:pPr>
        <w:pStyle w:val="TextoNormal"/>
      </w:pPr>
    </w:p>
    <w:p w14:paraId="071CAA0C" w14:textId="71B437B8" w:rsidR="009D7677" w:rsidRDefault="009D7677" w:rsidP="009D7677">
      <w:pPr>
        <w:pStyle w:val="TextoNormal"/>
      </w:pPr>
      <w:r w:rsidRPr="009D7677">
        <w:rPr>
          <w:rStyle w:val="NumeroAFNegritaCaracter"/>
        </w:rPr>
        <w:t>5</w:t>
      </w:r>
      <w:r>
        <w:t xml:space="preserve">. Frente a dicha denegación de la suspensión </w:t>
      </w:r>
      <w:r w:rsidRPr="009D7677">
        <w:rPr>
          <w:i/>
        </w:rPr>
        <w:t>inaudita parte</w:t>
      </w:r>
      <w:r>
        <w:t xml:space="preserve"> el recurrente formuló recurso de súplica el día 31 de julio de 2020.</w:t>
      </w:r>
    </w:p>
    <w:p w14:paraId="567F64BB" w14:textId="77777777" w:rsidR="009D7677" w:rsidRDefault="009D7677" w:rsidP="009D7677">
      <w:pPr>
        <w:pStyle w:val="TextoNormal"/>
      </w:pPr>
    </w:p>
    <w:p w14:paraId="202FFF7D" w14:textId="20731A24" w:rsidR="009D7677" w:rsidRDefault="009D7677" w:rsidP="009D7677">
      <w:pPr>
        <w:pStyle w:val="TextoNormal"/>
      </w:pPr>
      <w:r w:rsidRPr="009D7677">
        <w:rPr>
          <w:rStyle w:val="NumeroAFNegritaCaracter"/>
        </w:rPr>
        <w:t>6</w:t>
      </w:r>
      <w:r>
        <w:t>. El 28 de septiembre de 2020 la Sala de lo Penal del Tribunal Supremo dictó sentencia desestimatoria del recurso de casación núm. 203-2020, que había sido interpuesto por el ahora demandante de amparo frente a la sentencia del Tribunal Superior de Justicia de Cataluña de 19 de diciembre de 2019, con lo cual dicha sentencia devino firme. Frente a esta sentencia de la Sala de lo Penal del Tribunal Supremo interpuso don Joaquim Torra i Pla un nuevo recurso de amparo (núm. 4586‑2020) que sería ulteriormente desestimado mediante STC 25/2022, de 23 de febrero.</w:t>
      </w:r>
    </w:p>
    <w:p w14:paraId="7DB33A47" w14:textId="77777777" w:rsidR="009D7677" w:rsidRDefault="009D7677" w:rsidP="009D7677">
      <w:pPr>
        <w:pStyle w:val="TextoNormal"/>
      </w:pPr>
    </w:p>
    <w:p w14:paraId="3C35A406" w14:textId="70E25F7B" w:rsidR="009D7677" w:rsidRDefault="009D7677" w:rsidP="009D7677">
      <w:pPr>
        <w:pStyle w:val="TextoNormal"/>
      </w:pPr>
      <w:r w:rsidRPr="009D7677">
        <w:rPr>
          <w:rStyle w:val="NumeroAFNegritaCaracter"/>
        </w:rPr>
        <w:t>7</w:t>
      </w:r>
      <w:r>
        <w:t>. Por ATC 127/2020, de 21 de octubre, el Pleno acordó archivar la pieza separada de suspensión por pérdida de objeto y desestimar el citado recurso de súplica.</w:t>
      </w:r>
    </w:p>
    <w:p w14:paraId="40607F25" w14:textId="77777777" w:rsidR="009D7677" w:rsidRDefault="009D7677" w:rsidP="009D7677">
      <w:pPr>
        <w:pStyle w:val="TextoNormal"/>
      </w:pPr>
    </w:p>
    <w:p w14:paraId="38700B21" w14:textId="3E9CEACB" w:rsidR="009D7677" w:rsidRDefault="009D7677" w:rsidP="009D7677">
      <w:pPr>
        <w:pStyle w:val="TextoNormal"/>
      </w:pPr>
      <w:r w:rsidRPr="009D7677">
        <w:rPr>
          <w:rStyle w:val="NumeroAFNegritaCaracter"/>
        </w:rPr>
        <w:t>8</w:t>
      </w:r>
      <w:r>
        <w:t>. Por diligencia de ordenación de 17 de noviembre de 2020 se tuvo por recibido el testimonio de las actuaciones solicitadas y se tuvieron por personados y parte en el procedimiento al procurador don Manuel Sánchez-Puelles y González-Carvajal, en representación del Partido Popular; a la Junta Electoral Central; a la procuradora doña María Ángeles Oliva Yanes, en representación de Ciudadanos-Partido de la Ciudadanía; y a la procuradora doña María del Pilar Hidalgo López, en representación del partido político Vox. Asimismo, y a tenor de lo dispuesto en el art. 52 LOTC, se dio vista de todas las actuaciones del presente recurso de amparo, en la Secretaría del Pleno, por un plazo común de veinte días, al Ministerio Fiscal y a las partes personadas, para que dentro de dicho término pudieran presentar las alegaciones que a su derecho convinieran.</w:t>
      </w:r>
    </w:p>
    <w:p w14:paraId="7B3D979F" w14:textId="77777777" w:rsidR="009D7677" w:rsidRDefault="009D7677" w:rsidP="009D7677">
      <w:pPr>
        <w:pStyle w:val="TextoNormal"/>
      </w:pPr>
    </w:p>
    <w:p w14:paraId="12DA1F89" w14:textId="77777777" w:rsidR="009D7677" w:rsidRDefault="009D7677" w:rsidP="009D7677">
      <w:pPr>
        <w:pStyle w:val="TextoNormal"/>
      </w:pPr>
      <w:r w:rsidRPr="009D7677">
        <w:rPr>
          <w:rStyle w:val="NumeroAFNegritaCaracter"/>
        </w:rPr>
        <w:lastRenderedPageBreak/>
        <w:t>9</w:t>
      </w:r>
      <w:r>
        <w:t>. Por escrito registrado el 18 de diciembre de 2020, el letrado de las Cortes Generales y de la Junta Electoral Central formuló alegaciones en representación de dicha junta, solicitando la pérdida sobrevenida del objeto del recurso o, subsidiariamente, su desestimación.</w:t>
      </w:r>
    </w:p>
    <w:p w14:paraId="5B639051" w14:textId="77777777" w:rsidR="009D7677" w:rsidRDefault="009D7677" w:rsidP="009D7677">
      <w:pPr>
        <w:pStyle w:val="TextoNormal"/>
      </w:pPr>
    </w:p>
    <w:p w14:paraId="59F96AF1" w14:textId="77777777" w:rsidR="009D7677" w:rsidRDefault="009D7677" w:rsidP="009D7677">
      <w:pPr>
        <w:pStyle w:val="TextoNormal"/>
      </w:pPr>
      <w:r>
        <w:t>a) En primer lugar, interesa que sea aplicado el criterio contenido en el ya citado ATC 127/2020, que acordó el archivo de la pieza separada de suspensión de este mismo proceso por pérdida de objeto, tras dictarse la sentencia de 28 de septiembre de 2020 de la Sala de lo Penal del Tribunal Supremo, confirmatoria de la condena impuesta por el Tribunal Superior de Justicia de Cataluña de 19 de diciembre de 2019. Indica el letrado de la Junta Electoral Central que no resulta posible restablecer en las funciones de diputado del Parlamento catalán al recurrente, al haber sido privado definitivamente del cargo por la citada sentencia (ya firme) de 19 de diciembre de 2019.</w:t>
      </w:r>
    </w:p>
    <w:p w14:paraId="201B7231" w14:textId="77777777" w:rsidR="009D7677" w:rsidRDefault="009D7677" w:rsidP="009D7677">
      <w:pPr>
        <w:pStyle w:val="TextoNormal"/>
      </w:pPr>
    </w:p>
    <w:p w14:paraId="4B5FA7AD" w14:textId="77777777" w:rsidR="009D7677" w:rsidRDefault="009D7677" w:rsidP="009D7677">
      <w:pPr>
        <w:pStyle w:val="TextoNormal"/>
      </w:pPr>
      <w:r>
        <w:t>b) A continuación se sostiene la inexistencia de la aducida vulneración del derecho a la tutela judicial efectiva (art. 24.1 CE) en sus vertientes del derecho a la justicia cautelar y a obtener una resolución fundada en Derecho. Tras reseñar la doctrina constitucional relativa al derecho a la justicia cautelar, sostiene que “se satisface facilitando que la ejecución pueda ser sometida a la decisión de un tribunal y que este, con la información y contradicción debida, resuelva sobre la suspensión solicitada”; y ello siempre que la decisión adoptada no resulte “arbitraria, irrazonable o fruto de un error patente”. Niega que los autos impugnados incurran en alguno de estos tres vicios, únicos que cabe invocar según la jurisprudencia constitucional reseñada, ya que hacen referencia a los requisitos previstos en la Ley reguladora de la jurisdicción contencioso-administrativa y realizan una pormenorizada valoración circunstanciada de los intereses en conflicto, con la necesaria ponderación que condujo a considerar preferente la aplicación del art. 6.2 b) LOREG. Argumenta que la concesión de la medida cautelar hubiera supuesto un vaciamiento del citado precepto, cuya constitucionalidad no ofrecía dudas al Tribunal Supremo. Considera, en definitiva, que podrá discreparse de esa decisión, pero que no implica que no se haya respetado el derecho a la justicia cautelar.</w:t>
      </w:r>
    </w:p>
    <w:p w14:paraId="1FC3F613" w14:textId="77777777" w:rsidR="009D7677" w:rsidRDefault="009D7677" w:rsidP="009D7677">
      <w:pPr>
        <w:pStyle w:val="TextoNormal"/>
      </w:pPr>
    </w:p>
    <w:p w14:paraId="6D5E52F8" w14:textId="77777777" w:rsidR="009D7677" w:rsidRDefault="009D7677" w:rsidP="009D7677">
      <w:pPr>
        <w:pStyle w:val="TextoNormal"/>
      </w:pPr>
      <w:r>
        <w:t>c) Igualmente, se rechaza la alegada vulneración del derecho a la presunción de inocencia (art. 24.2 CE). Además de no estar ante un supuesto penal o sancionador, sino ante las consecuencias electorales de una sentencia penal establecidas en el ordenamiento electoral, la Junta Electoral Central considera que no cabe entender vulnerada la presunción de inocencia, pues ha sido una sentencia condenatoria del Tribunal Superior de Justicia de Cataluña la que ha fijado el presupuesto previsto en el art. 6.2 b) LOREG, que fue el que condujo al acuerdo de la Junta Electoral Central de 3 de enero de 2020. Sostiene que tampoco es apreciable en qué medida se ha podido conculcar la presunción de inocencia al denegar la suspensión solicitada por la Sala de lo Contencioso-Administrativo del Tribunal Supremo, pues no hay en dicho auto ninguna mención o aspecto que pueda atentar a esa presunción de inocencia. A su juicio, la Sala se limitó a resolver la pieza de medidas cautelares sin entrar en el tema de fondo, que quedaba al margen de su decisión. Por discrepar de que el acuerdo de 3 de enero de 2020 supusiera una “ejecución provisional de la pena”, la Junta Electoral Central entiende que no resulta aplicable la Directiva (UE) 2016/343 y que carece de trascendencia la jurisprudencia del Tribunal Europeo de Derechos Humanos que se cita en la demanda de amparo.</w:t>
      </w:r>
    </w:p>
    <w:p w14:paraId="1C0F316A" w14:textId="77777777" w:rsidR="009D7677" w:rsidRDefault="009D7677" w:rsidP="009D7677">
      <w:pPr>
        <w:pStyle w:val="TextoNormal"/>
      </w:pPr>
    </w:p>
    <w:p w14:paraId="53732EC9" w14:textId="36BFE462" w:rsidR="009D7677" w:rsidRDefault="009D7677" w:rsidP="009D7677">
      <w:pPr>
        <w:pStyle w:val="TextoNormal"/>
      </w:pPr>
      <w:r>
        <w:lastRenderedPageBreak/>
        <w:t>d) Por último, en referencia a la queja de vulneración del derecho de acceso y permanencia en los cargos públicos (art. 23 CE), la Junta Electoral Central recuerda que estamos ante un derecho de configuración legal y sostiene que en su resolución de 3 de enero de 2020 se limitó a aplicar la legislación electoral, de igual manera que los autos de denegación de medidas cautelares se emitieron conforme a lo dispuesto en el ordenamiento vigente. Defiende que los autos recurridos valoraron y ponderaron los derechos políticos del recurrente, pero que, en la valoración circunstanciada de los intereses en conflicto que exige realizar el art. 130 LJCA, la Sala consideró que los derechos políticos del recurrente no debían prevalecer frente a intereses públicos tales como, por un lado, “la necesidad de que todos los gestores públicos gocen de la confianza y el respeto de los ciudadanos” (STC 151/1999, FJ 3), y, por otro, la aplicación del art. 6.2 b) LOREG aprobado por el legislador con esa finalidad. A su juicio, la concesión de la medida cautelar hubiera supuesto la “inaplicación práctica” del citado precepto (ATS de 23 de enero de 2020).</w:t>
      </w:r>
    </w:p>
    <w:p w14:paraId="4DEE4FAC" w14:textId="77777777" w:rsidR="009D7677" w:rsidRDefault="009D7677" w:rsidP="009D7677">
      <w:pPr>
        <w:pStyle w:val="TextoNormal"/>
      </w:pPr>
    </w:p>
    <w:p w14:paraId="3C43712D" w14:textId="77777777" w:rsidR="009D7677" w:rsidRDefault="009D7677" w:rsidP="009D7677">
      <w:pPr>
        <w:pStyle w:val="TextoNormal"/>
      </w:pPr>
      <w:r w:rsidRPr="009D7677">
        <w:rPr>
          <w:rStyle w:val="NumeroAFNegritaCaracter"/>
        </w:rPr>
        <w:t>10</w:t>
      </w:r>
      <w:r>
        <w:t>. Por escrito registrado ante este tribunal el 21 de diciembre de 2020 formuló alegaciones la representación procesal del partido político Ciudadanos‑Partido de la Ciudadanía, a través de las que se interesaba la desestimación íntegra del recurso de amparo.</w:t>
      </w:r>
    </w:p>
    <w:p w14:paraId="440075A9" w14:textId="77777777" w:rsidR="009D7677" w:rsidRDefault="009D7677" w:rsidP="009D7677">
      <w:pPr>
        <w:pStyle w:val="TextoNormal"/>
      </w:pPr>
    </w:p>
    <w:p w14:paraId="77C39E63" w14:textId="77777777" w:rsidR="009D7677" w:rsidRDefault="009D7677" w:rsidP="009D7677">
      <w:pPr>
        <w:pStyle w:val="TextoNormal"/>
      </w:pPr>
      <w:r>
        <w:t>a) De manera preliminar, se argumenta que el otorgamiento del amparo ha devenido imposible, en la medida en que el acto cuya suspensión se pretendía ya ha sido ejecutado; en concreto, en la sesión celebrada en el Parlamento de Cataluña el 27 de enero de 2020, en la que se hizo efectiva la pérdida de condición de diputado del ahora recurrente, y, posteriormente, como consecuencia de la ejecución de la sentencia penal, una vez esta fue confirmada en casación por la Sala de lo Penal del Tribunal Supremo mediante sentencia de 28 de septiembre de 2020. Considera que la finalidad de la suspensión no comprende dejar sin efecto un acto ya ejecutado, y recuerda que el Tribunal Supremo viene declarando desde antiguo que cuando el acto impugnado ha sido ejecutado no es procedente acordar la suspensión de su ejecución, y ello tanto al amparo de la Ley reguladora de la jurisdicción contencioso-administrativa de 1956 como bajo la regulación vigente (se hace referencia al ATS de 11 de septiembre de 1992 y a las SSTS de 8 de julio de 1996 y 5 de febrero de 2004). El mismo criterio, añade, ha seguido este tribunal en el ATC 127/2020 dictado en el presente recurso de amparo, que acordó “archivar la pieza separada de suspensión del recurso de amparo núm. 3476-2020 interpuesto por don Joaquim Torra i Pla, por pérdida de objeto”.</w:t>
      </w:r>
    </w:p>
    <w:p w14:paraId="6B6218AD" w14:textId="77777777" w:rsidR="009D7677" w:rsidRDefault="009D7677" w:rsidP="009D7677">
      <w:pPr>
        <w:pStyle w:val="TextoNormal"/>
      </w:pPr>
    </w:p>
    <w:p w14:paraId="228816B4" w14:textId="77777777" w:rsidR="009D7677" w:rsidRDefault="009D7677" w:rsidP="009D7677">
      <w:pPr>
        <w:pStyle w:val="TextoNormal"/>
      </w:pPr>
      <w:r>
        <w:t>b) A continuación se sostiene que lo que pretende realmente el recurrente en la demanda de amparo es una nueva decisión sobre el incidente de medidas cautelares, lo que excedería notablemente el ámbito propio de la protección del derecho a la tutela judicial cautelar. A su juicio, los autos recurridos están objetivamente fundados, y lo que pretende el recurrente es someter su petición de adopción de medidas cautelares al Tribunal Constitucional como si fuese planteada por vez primera, prescindiendo de las resoluciones del Tribunal Supremo.</w:t>
      </w:r>
    </w:p>
    <w:p w14:paraId="5C142E5C" w14:textId="77777777" w:rsidR="009D7677" w:rsidRDefault="009D7677" w:rsidP="009D7677">
      <w:pPr>
        <w:pStyle w:val="TextoNormal"/>
      </w:pPr>
    </w:p>
    <w:p w14:paraId="08A217C7" w14:textId="77777777" w:rsidR="009D7677" w:rsidRDefault="009D7677" w:rsidP="009D7677">
      <w:pPr>
        <w:pStyle w:val="TextoNormal"/>
      </w:pPr>
      <w:r>
        <w:t>Defiende que los autos recurridos no incurren en arbitrariedad, ni en falta de motivación ni en denegación de tutela cautelar contraria al art. 24.1 CE, sino que se adecúan a los criterios generales establecidos en la Ley reguladora de la jurisdicción contencioso-administrativa y en la jurisprudencia del Tribunal Supremo y del Tribunal Constitucional. En relación con la ponderación de los intereses contrapuestos, sostiene que “existe un inte</w:t>
      </w:r>
      <w:r>
        <w:lastRenderedPageBreak/>
        <w:t>rés público, derivado tanto del órgano que dicta la resolución como de su causa o motivo (una sentencia de la jurisdicción penal, que subsume perfectamente lo establecido en la LOREG) en la ejecución inmediata del acto recurrido en instancia”. Considera que “los intereses públicos concurrentes (derivados de la elección producida) y privados (del recurrente) por mantenerse en el cargo representativo deben ceder ante las exigencias, prevalentes, del interés general”; y añade: “[o]tra cosa supondría (y deberá aplicarse con carácter general, no para un caso concreto) que en cualquier caso y en cualquier circunstancia, la imposibilidad de la ejecución en sus propios términos de la eventual sentencia que recayese en el recurso determinaría la adopción de la medida cautelar, suceda lo que suceda con los intereses generales y sus exigencias en el caso concreto”. A su juicio, la suspensión de la decisión adoptada en aplicación de la Ley Orgánica del régimen electoral general “resultaría una decisión sumamente perturbadora para los intereses generales, ya que supondría de facto la inejecución de todas las decisiones jurídico-públicas impugnadas ante la jurisdicción, con independencia de la valoración de las exigencias del interés general”. Afirma también que, en el caso, la apariencia de buen derecho de la pretensión principal “no concurre ni remotamente, precisamente por la dificultad que encuentra el recurrente en explicar, de forma concreta y precisa, en qué consiste su pretendida razón, de forma que no debe beneficiarse, inicialmente, de las consecuencias de la tutela cautelar”.</w:t>
      </w:r>
    </w:p>
    <w:p w14:paraId="638B8365" w14:textId="77777777" w:rsidR="009D7677" w:rsidRDefault="009D7677" w:rsidP="009D7677">
      <w:pPr>
        <w:pStyle w:val="TextoNormal"/>
      </w:pPr>
    </w:p>
    <w:p w14:paraId="0E896D05" w14:textId="77777777" w:rsidR="009D7677" w:rsidRDefault="009D7677" w:rsidP="009D7677">
      <w:pPr>
        <w:pStyle w:val="TextoNormal"/>
      </w:pPr>
      <w:r>
        <w:t xml:space="preserve">c) La parte considera que la protección de los derechos fundamentales previstos en el art. 23 CE no justifica, en el caso, la adopción de la medida cautelar conforme a la doctrina constitucional. Advierte de la jurisprudencia del Tribunal Europeo de Derechos Humanos según la cual “los derechos garantizados por el art. 3 del Protocolo núm. 1 CEDH ‘no son absolutos’ [STEDH de 30 de junio de 2009 (asunto </w:t>
      </w:r>
      <w:r w:rsidRPr="009D7677">
        <w:rPr>
          <w:i/>
        </w:rPr>
        <w:t>Etxeberria y otros c. España</w:t>
      </w:r>
      <w:r>
        <w:t xml:space="preserve">, § 40)], sino que pueden estar sometidos a ‘limitaciones implícitas’, disponiendo los Estados de un amplio margen de apreciación al respecto [STEDH de 2 de marzo de 1987 (asunto </w:t>
      </w:r>
      <w:r w:rsidRPr="009D7677">
        <w:rPr>
          <w:i/>
        </w:rPr>
        <w:t>Mathieu-Mohin y Clearfayt c. Bélgica</w:t>
      </w:r>
      <w:r>
        <w:t xml:space="preserve">, § 52)]”. Añade que “el CEDH no prohíbe la aplicación de la medida de privación cautelar de libertad a un diputado o candidato en unas elecciones legislativas ni su mantenimiento en prisión provisional, así como que estas decisiones no implican automáticamente una violación del art. 3 del Protocolo núm. 1 CEDH, ni siquiera en el caso de que la privación de libertad fuera contraria al art. 5.3 CEDH [STEDH de 20 de noviembre de 2018 (asunto </w:t>
      </w:r>
      <w:r w:rsidRPr="009D7677">
        <w:rPr>
          <w:i/>
        </w:rPr>
        <w:t>Selahattin Demirtas c. Turquía</w:t>
      </w:r>
      <w:r>
        <w:t xml:space="preserve">, § 231)]”. También hace referencia a la STC 97/2020, de 21 de julio, en la que se recuerda que el derecho de acceso a los cargos públicos del art. 23 CE es de configuración legal, y en la que se concluyó que la aplicación por las resoluciones recurridas del art. 384 </w:t>
      </w:r>
      <w:r w:rsidRPr="009D7677">
        <w:rPr>
          <w:i/>
        </w:rPr>
        <w:t>bis</w:t>
      </w:r>
      <w:r>
        <w:t xml:space="preserve"> de la Ley de Enjuiciamiento Criminal no fue lesiva del art. 23.2 CE.</w:t>
      </w:r>
    </w:p>
    <w:p w14:paraId="1F2A7968" w14:textId="77777777" w:rsidR="009D7677" w:rsidRDefault="009D7677" w:rsidP="009D7677">
      <w:pPr>
        <w:pStyle w:val="TextoNormal"/>
      </w:pPr>
    </w:p>
    <w:p w14:paraId="289C1A46" w14:textId="77777777" w:rsidR="009D7677" w:rsidRDefault="009D7677" w:rsidP="009D7677">
      <w:pPr>
        <w:pStyle w:val="TextoNormal"/>
      </w:pPr>
      <w:r>
        <w:t>La aplicación de los criterios expuestos al supuesto planteado ha de conducir, según el partido Ciudadanos‑Partido de la Ciudadanía, a la desestimación del recurso, ya que “[l]os actos inicialmente recurridos, y cuya suspensión instó en sede judicial el ahora recurrente, aplicaron una previsión establecida en la ley una vez que se materializó el supuesto de hecho en ella previsto mediante una sentencia dictada por la jurisdicción penal”. “[U]na ley válida, que está fundada en la satisfacción de fines de interés general, dignos de protección jurídico-constitucional, que delimita el contenido del derecho, y lo hace de forma respetuosa con las exigencias que derivan del principio de proporcionalidad. De forma que, objetivamente, se cumplen los criterios generales establecidos por la jurisprudencia del tribunal que hemos citado”.</w:t>
      </w:r>
    </w:p>
    <w:p w14:paraId="6D083E3C" w14:textId="77777777" w:rsidR="009D7677" w:rsidRDefault="009D7677" w:rsidP="009D7677">
      <w:pPr>
        <w:pStyle w:val="TextoNormal"/>
      </w:pPr>
    </w:p>
    <w:p w14:paraId="44E8ED7B" w14:textId="64594FD0" w:rsidR="009D7677" w:rsidRDefault="009D7677" w:rsidP="009D7677">
      <w:pPr>
        <w:pStyle w:val="TextoNormal"/>
      </w:pPr>
      <w:r>
        <w:lastRenderedPageBreak/>
        <w:t>d) Por último, la parte advierte que el recurrente plantea cuestiones de fondo que están vedadas en la pieza de medidas cautelares, sobre las que los autos recurridos no pudieron pronunciarse válidamente más que a los efectos de valorar la apariencia de buen derecho, sin infringir la jurisprudencia aplicable y sin haber incurrido en una suerte de predeterminación, que lesionaría el derecho a la tutela judicial. Estas cuestiones son tres, a saber: (i) la competencia de la Junta Electoral Central para adoptar el acuerdo impugnado en el proceso principal; (ii) la aplicabilidad del artículo 6.2 b) LOREG a los diputados del Parlamento de Cataluña; y (iii) la lesión de los derechos políticos del recurrente y de su derecho a la presunción de inocencia. A su juicio, “[n]inguno de dichos extremos (salvo la tutela cautelar y el derecho del artículo 23 CE) tiene relevancia alguna en el marco de la tutela judicial cautelar, porque se trata de valoraciones sobre el fondo del asunto que serán resueltas en la sentencia del recurso principal”. Además, respecto del derecho a la presunción de inocencia señala que dicho derecho “no reclama su aplicación en el caso, ni ha sido vulnerado por los autos recurridos, ya que no se ha ejercido potestad sancionadora alguna, sino la adopción de una decisión que aplica una previsión legal concreta y precisa, de aplicación automática cuando se produce el presupuesto previsto en la misma, que es la existencia de la sentencia penal que se dictó en su día”.</w:t>
      </w:r>
    </w:p>
    <w:p w14:paraId="30DF0FD6" w14:textId="77777777" w:rsidR="009D7677" w:rsidRDefault="009D7677" w:rsidP="009D7677">
      <w:pPr>
        <w:pStyle w:val="TextoNormal"/>
      </w:pPr>
    </w:p>
    <w:p w14:paraId="11DC959F" w14:textId="77777777" w:rsidR="009D7677" w:rsidRDefault="009D7677" w:rsidP="009D7677">
      <w:pPr>
        <w:pStyle w:val="TextoNormal"/>
      </w:pPr>
      <w:r w:rsidRPr="009D7677">
        <w:rPr>
          <w:rStyle w:val="NumeroAFNegritaCaracter"/>
        </w:rPr>
        <w:t>11</w:t>
      </w:r>
      <w:r>
        <w:t>. Por escrito registrado ante este tribunal el 22 de diciembre de 2020 formuló alegaciones doña María del Pilar Hidalgo López en representación del partido político Vox, oponiéndose al otorgamiento del amparo y argumentando, con carácter previo, que el recurso habría devenido carente de objeto y de especial trascendencia constitucional tras el dictado del ATC 133/2020, de 3 de noviembre.</w:t>
      </w:r>
    </w:p>
    <w:p w14:paraId="6D8BA9DB" w14:textId="77777777" w:rsidR="009D7677" w:rsidRDefault="009D7677" w:rsidP="009D7677">
      <w:pPr>
        <w:pStyle w:val="TextoNormal"/>
      </w:pPr>
    </w:p>
    <w:p w14:paraId="61F13E4B" w14:textId="3185F795" w:rsidR="009D7677" w:rsidRDefault="009D7677" w:rsidP="009D7677">
      <w:pPr>
        <w:pStyle w:val="TextoNormal"/>
      </w:pPr>
      <w:r>
        <w:t>En cuanto al fondo, el partido político Vox defiende que no existe la vulneración del derecho a la tutela cautelar invocado. A su juicio, la denegación de la suspensión no puede ser tachada de arbitraria ni de irrazonable, ya que el Tribunal Supremo habría justificado su decisión y aplicado escrupulosamente la legalidad vigente. Le resulta llamativo que se invoque el derecho a la presunción de inocencia tras el dictado de la sentencia condenatoria en sede penal (sentencia que además fue ulteriormente confirmada por la de la Sala de lo Penal del Tribunal Supremo de 28 de septiembre de 2020). Rechaza la arbitrariedad o falta de imparcialidad que predica el recurrente del Tribunal Supremo y de la Junta Electoral Central, y sostiene que la decisión de esta última resulta apropiada y congruente con la legislación vigente, dado que la causa de inelegibilidad se materializó con posterioridad a la adquisición de la condición de diputado por parte del recurrente, quien —según el partido político Vox— “no debía ni siquiera haberse presentado a las elecciones”.</w:t>
      </w:r>
    </w:p>
    <w:p w14:paraId="3E5A2FFF" w14:textId="77777777" w:rsidR="009D7677" w:rsidRDefault="009D7677" w:rsidP="009D7677">
      <w:pPr>
        <w:pStyle w:val="TextoNormal"/>
      </w:pPr>
    </w:p>
    <w:p w14:paraId="52676098" w14:textId="77777777" w:rsidR="009D7677" w:rsidRDefault="009D7677" w:rsidP="009D7677">
      <w:pPr>
        <w:pStyle w:val="TextoNormal"/>
      </w:pPr>
      <w:r w:rsidRPr="009D7677">
        <w:rPr>
          <w:rStyle w:val="NumeroAFNegritaCaracter"/>
        </w:rPr>
        <w:t>12</w:t>
      </w:r>
      <w:r>
        <w:t>. Por escrito registrado ante este tribunal el 11 de enero de 2021 formuló alegaciones el Ministerio Fiscal, interesando la declaración de la pérdida de objeto del recurso de amparo y, subsidiariamente, su íntegra desestimación.</w:t>
      </w:r>
    </w:p>
    <w:p w14:paraId="68B9CE0C" w14:textId="77777777" w:rsidR="009D7677" w:rsidRDefault="009D7677" w:rsidP="009D7677">
      <w:pPr>
        <w:pStyle w:val="TextoNormal"/>
      </w:pPr>
    </w:p>
    <w:p w14:paraId="360A1497" w14:textId="77777777" w:rsidR="009D7677" w:rsidRDefault="009D7677" w:rsidP="009D7677">
      <w:pPr>
        <w:pStyle w:val="TextoNormal"/>
      </w:pPr>
      <w:r>
        <w:t xml:space="preserve">a) Por lo que respecta al objeto del recurso, señala que desde el mismo momento en que se dictó la sentencia de la Sala de lo Penal del Tribunal Supremo de 28 de septiembre de 2020, desestimatoria del recurso de casación planteado por don Joaquim Torra i Pla contra la sentencia dictada por la Sala de lo Civil y Penal del Tribunal Superior de Justicia de Cataluña de 19 de diciembre de 2019, esta adquirió firmeza. Y, siendo de aplicación el art. 42 CP, el recurrente quedó privado definitivamente de su condición de diputado del Parlamento de Cataluña y del cargo de presidente de la Generalitat. El fiscal considera que un </w:t>
      </w:r>
      <w:r>
        <w:lastRenderedPageBreak/>
        <w:t>hipotético fallo estimatorio del presente recurso de amparo y una eventual nulidad de las resoluciones aquí impugnadas carecerían de relevancia frente a la ya producida privación definitiva de tales cargos. Se alega, al respecto, lo expresado en el ATC 127/2020, FJ 3. Termina su alegato afirmando que lo dicho afecta “a la vertiente puramente subjetiva del presente recurso de amparo, pero no ha de tener relevancia en cuanto a la vertiente objetiva del mismo”, dado el supuesto de especial trascendencia constitucional apreciado para su admisión a trámite.</w:t>
      </w:r>
    </w:p>
    <w:p w14:paraId="062500B8" w14:textId="77777777" w:rsidR="009D7677" w:rsidRDefault="009D7677" w:rsidP="009D7677">
      <w:pPr>
        <w:pStyle w:val="TextoNormal"/>
      </w:pPr>
    </w:p>
    <w:p w14:paraId="09B804B6" w14:textId="77777777" w:rsidR="009D7677" w:rsidRDefault="009D7677" w:rsidP="009D7677">
      <w:pPr>
        <w:pStyle w:val="TextoNormal"/>
      </w:pPr>
      <w:r>
        <w:t xml:space="preserve">b) Sobre el primer motivo de amparo —la vulneración del derecho a la tutela judicial cautelar efectiva (art. 24.1 CE)—, el fiscal comienza su análisis haciendo referencia a lo dispuesto en el apartado VI.5 de la exposición de motivos de la Ley reguladora de la jurisdicción contenciosa-administrativa, de la que se desprende que la regulación de las medidas cautelares contenida en los arts. 129 y ss. de la citada ley “ha elevado a punto central de la aplicación de tales medidas el criterio […] de la ponderación motivada de todos los intereses en conflicto”, junto al cual se mantiene el requisito de </w:t>
      </w:r>
      <w:r w:rsidRPr="009D7677">
        <w:rPr>
          <w:i/>
        </w:rPr>
        <w:t>periculum in mora</w:t>
      </w:r>
      <w:r>
        <w:t xml:space="preserve">, y se omite completamente el criterio del </w:t>
      </w:r>
      <w:r w:rsidRPr="009D7677">
        <w:rPr>
          <w:i/>
        </w:rPr>
        <w:t>fumus boni iuris</w:t>
      </w:r>
      <w:r>
        <w:t>, o seriedad de las pretensiones de fondo a cuyo servicio se instan las medidas cautelares. Criterio este último que, sin embargo, sí se aplica en la práctica, si bien solamente en determinados tipos de casos (por ejemplo, en supuestos de nulidad de pleno Derecho que sea manifiesta o cuando los actos impugnados hayan sido dictados en cumplimiento o ejecución de una disposición general declarada nula), sin que pueda aplicarse en modo alguno, según reiterada jurisprudencia del Tribunal Supremo, cuando la nulidad del acto se predique en virtud de causas que han de ser, por primera vez, objeto de valoración y decisión.</w:t>
      </w:r>
    </w:p>
    <w:p w14:paraId="62A63404" w14:textId="77777777" w:rsidR="009D7677" w:rsidRDefault="009D7677" w:rsidP="009D7677">
      <w:pPr>
        <w:pStyle w:val="TextoNormal"/>
      </w:pPr>
    </w:p>
    <w:p w14:paraId="0D4EB088" w14:textId="77777777" w:rsidR="009D7677" w:rsidRDefault="009D7677" w:rsidP="009D7677">
      <w:pPr>
        <w:pStyle w:val="TextoNormal"/>
      </w:pPr>
      <w:r>
        <w:t>A continuación, y tras resumir la doctrina constitucional sobre el citado derecho, se argumenta que las resoluciones impugnadas se han ajustado a los criterios de los arts. 129 y ss. LJCA y que su motivación no es arbitraria. El fiscal entiende que se ha procedido a la “valoración circunstanciada de todos los intereses en conflicto” que exige el art. 130.1 LJCA, sin que, como aduce el recurrente, los autos impugnados se hayan basado prioritariamente en la pretendida apariencia de buen derecho del acuerdo de la Junta Electoral Central impugnado en sede contencioso-administrativa. Le resulta de toda lógica que los autos recurridos partieran de la base de la competencia de la administración electoral para resolver. En relación con el argumento del recurrente sobre la no aplicación del art. 6.2 b) y 4 LOREG a los diputados del Parlamento, se hace referencia al contenido de la STC 155/2014, de 25 de septiembre, que distingue entre causa de incompatibilidad parlamentaria por inelegibilidad y otras causas de incompatibilidad parlamentaria, y a la vista de su contenido concluye que tal argumento tampoco puede tener el efecto que se pretende en la demanda de amparo. También descarta el fiscal la arbitrariedad o irrazonabilidad de la argumentación realizada por el Tribunal Supremo sobre la ausencia de un perjuicio irreparable (</w:t>
      </w:r>
      <w:r w:rsidRPr="009D7677">
        <w:rPr>
          <w:i/>
        </w:rPr>
        <w:t>periculum in mora</w:t>
      </w:r>
      <w:r>
        <w:t>).</w:t>
      </w:r>
    </w:p>
    <w:p w14:paraId="3B0B3674" w14:textId="77777777" w:rsidR="009D7677" w:rsidRDefault="009D7677" w:rsidP="009D7677">
      <w:pPr>
        <w:pStyle w:val="TextoNormal"/>
      </w:pPr>
    </w:p>
    <w:p w14:paraId="38CCE037" w14:textId="77777777" w:rsidR="009D7677" w:rsidRDefault="009D7677" w:rsidP="009D7677">
      <w:pPr>
        <w:pStyle w:val="TextoNormal"/>
      </w:pPr>
      <w:r>
        <w:t>c) El fiscal rechaza igualmente la queja relativa a la vulneración del derecho de sufragio pasivo (art. 23.2 CE), en su manifestación del derecho a ejercer el cargo para el que se ha sido elegido, en relación con los derechos a la libertad de expresión y reunión. Comienza afirmando el carácter subsidiario de este motivo respecto del formulado en primer lugar, y que ya ha sido rechazado, debiendo perecer, por tanto, de rechazarse la alegada vulneración del derecho a la tutela judicial cautelar.</w:t>
      </w:r>
    </w:p>
    <w:p w14:paraId="098D723B" w14:textId="77777777" w:rsidR="009D7677" w:rsidRDefault="009D7677" w:rsidP="009D7677">
      <w:pPr>
        <w:pStyle w:val="TextoNormal"/>
      </w:pPr>
    </w:p>
    <w:p w14:paraId="04A1F5B2" w14:textId="77777777" w:rsidR="009D7677" w:rsidRDefault="009D7677" w:rsidP="009D7677">
      <w:pPr>
        <w:pStyle w:val="TextoNormal"/>
      </w:pPr>
      <w:r>
        <w:lastRenderedPageBreak/>
        <w:t>Advertido lo anterior, señala que nos encontramos ante un derecho de configuración legal que puede verse limitado, como ocurre en este caso, y que las resoluciones judiciales se limitaron a aplicar lo dispuesto en el art. 6.2 b), en relación con el art. 6.4 LOREG; preceptos que, entiende, “constituyen excepciones establecidas por el mismo legislador a la regla general del mantenimiento del cargo público electivo en el ejercicio de sus funciones, con la finalidad de dotar de una mayor protección a las instituciones públicas, haciendo emerger una orientación más cercenadora de derechos para los condenados a pena de inhabilitación especial de empleo o cargo público, por la ejemplaridad social exigible a quien ejerce función pública, máxime si es representante de los ciudadanos”. Una particularidad, a su juicio, “que, desde el punto de vista de la doctrina del Tribunal Europeo de Derechos Humanos, no parece merecedora de censura alguna”, como se desprende de lo reseñado en la STC 155/2019, de 28 de noviembre, FJ 15. Considera que la ausencia de arbitrariedad en tal decisión “puede ser afirmada sin mayores problemas, al tener su origen la medida restrictiva del derecho fundamental en [un] acontecimiento tan relevante como la condena (aunque no firme) impuesta por la sentencia dictada […] y en la aplicación, como consecuencia necesaria de la existencia de tal condena no firme, de las disposiciones de los arts. 6.2 b) y 6.4 LOREG”. Se dan, por tanto, a su juicio, dos elementos esenciales: (i) la preexistencia de una previsión legal limitativa del derecho fundamental del interesado; y (ii) la exigencia de que se haya dictado una resolución jurisdiccional de condena por un órgano judicial independiente tras la celebración de un juicio con todas las garantías.</w:t>
      </w:r>
    </w:p>
    <w:p w14:paraId="4F3A844E" w14:textId="77777777" w:rsidR="009D7677" w:rsidRDefault="009D7677" w:rsidP="009D7677">
      <w:pPr>
        <w:pStyle w:val="TextoNormal"/>
      </w:pPr>
    </w:p>
    <w:p w14:paraId="0BD6A626" w14:textId="77777777" w:rsidR="009D7677" w:rsidRDefault="009D7677" w:rsidP="009D7677">
      <w:pPr>
        <w:pStyle w:val="TextoNormal"/>
      </w:pPr>
      <w:r>
        <w:t>d) El fiscal considera que la denunciada vulneración del derecho a la presunción de inocencia (art. 24.2 CE) no se ha producido. Señala que el acuerdo de la Junta Electoral Central de 3 de enero de 2020 partió de un hecho cierto como lo es el dictado de la sentencia condenatoria; sentencia que determinó la aplicación de los arts. 6.2 b) y 6.4 LOREG. Preceptos que “son de aplicación inmediata y necesaria cuando concurren los presupuestos fijados en ellos, presupuestos que deben ser conformes al ordenamiento y, en primer lugar, a la propia Constitución Española”. Tampoco se aprecia dicha vulneración en los autos dictados por la Sala de lo Contencioso-Administrativo al no haberse pronunciado ninguno de ellos sobre la culpabilidad del señor Torra i Pla, “habiéndose limitado a constatar que no era el acuerdo de la Junta Electoral Central de 3 de enero de 2020 el que había privado al recurrente de su credencial de diputado sino una sentencia penal condenatoria a la que dos preceptos de la Ley Orgánica del régimen electoral general atribuían ese efecto”.</w:t>
      </w:r>
    </w:p>
    <w:p w14:paraId="4B6D10B9" w14:textId="77777777" w:rsidR="009D7677" w:rsidRDefault="009D7677" w:rsidP="009D7677">
      <w:pPr>
        <w:pStyle w:val="TextoNormal"/>
      </w:pPr>
    </w:p>
    <w:p w14:paraId="29FB6319" w14:textId="39AE6C24" w:rsidR="009D7677" w:rsidRDefault="009D7677" w:rsidP="009D7677">
      <w:pPr>
        <w:pStyle w:val="TextoNormal"/>
      </w:pPr>
      <w:r>
        <w:t>e) Finalmente, el fiscal refuta la queja relativa a la vulneración del derecho a la tutela judicial efectiva en su vertiente del derecho a obtener una resolución judicial fundada en Derecho (art. 24.1 CE). Considera que las resoluciones impugnadas contienen los elementos y razones de juicio que permiten conocer cuáles han sido los criterios jurídicos que han fundamentado la decisión, y que no es consecuencia de una aplicación arbitraria de la legalidad, ni resulta manifiestamente irrazonada o irrazonable, ni incurre en error patente.</w:t>
      </w:r>
    </w:p>
    <w:p w14:paraId="46801FE7" w14:textId="77777777" w:rsidR="009D7677" w:rsidRDefault="009D7677" w:rsidP="009D7677">
      <w:pPr>
        <w:pStyle w:val="TextoNormal"/>
      </w:pPr>
    </w:p>
    <w:p w14:paraId="1748D046" w14:textId="5F6ADB47" w:rsidR="009D7677" w:rsidRDefault="009D7677" w:rsidP="009D7677">
      <w:pPr>
        <w:pStyle w:val="TextoNormal"/>
      </w:pPr>
      <w:r w:rsidRPr="009D7677">
        <w:rPr>
          <w:rStyle w:val="NumeroAFNegritaCaracter"/>
        </w:rPr>
        <w:t>13</w:t>
      </w:r>
      <w:r>
        <w:t>. No ha formulado alegaciones la representación procesal del demandante de amparo. Tampoco el procurador don Manuel Sánchez-Puelles y González-Carvajal, en representación del Partido Popular.</w:t>
      </w:r>
    </w:p>
    <w:p w14:paraId="26FAE48C" w14:textId="77777777" w:rsidR="009D7677" w:rsidRDefault="009D7677" w:rsidP="009D7677">
      <w:pPr>
        <w:pStyle w:val="TextoNormal"/>
      </w:pPr>
    </w:p>
    <w:p w14:paraId="0F0CAC47" w14:textId="77777777" w:rsidR="009D7677" w:rsidRDefault="009D7677" w:rsidP="009D7677">
      <w:pPr>
        <w:pStyle w:val="TextoNormal"/>
      </w:pPr>
      <w:r w:rsidRPr="009D7677">
        <w:rPr>
          <w:rStyle w:val="NumeroAFNegritaCaracter"/>
        </w:rPr>
        <w:t>14</w:t>
      </w:r>
      <w:r>
        <w:t>. En virtud de escrito registrado el día 3 de diciembre de 2021, la representación del recurrente promovió incidente de recusación contra el magistrado don Enrique Arnaldo Alcubilla y la magistrada doña Concepción Espejel Jorquera.</w:t>
      </w:r>
    </w:p>
    <w:p w14:paraId="69C6CB99" w14:textId="77777777" w:rsidR="009D7677" w:rsidRDefault="009D7677" w:rsidP="009D7677">
      <w:pPr>
        <w:pStyle w:val="TextoNormal"/>
      </w:pPr>
    </w:p>
    <w:p w14:paraId="684145FD" w14:textId="0FCB0A2E" w:rsidR="009D7677" w:rsidRDefault="009D7677" w:rsidP="009D7677">
      <w:pPr>
        <w:pStyle w:val="TextoNormal"/>
      </w:pPr>
      <w:r>
        <w:t>El incidente fue inadmitido a trámite por el ATC 107/2021, de 15 de diciembre. La posterior solicitud de aclaración y el recurso de súplica interpuesto contra el citado auto fueron desestimados por medio del ATC 17/2022, de 25 de enero.</w:t>
      </w:r>
    </w:p>
    <w:p w14:paraId="1F52354C" w14:textId="77777777" w:rsidR="009D7677" w:rsidRDefault="009D7677" w:rsidP="009D7677">
      <w:pPr>
        <w:pStyle w:val="TextoNormal"/>
      </w:pPr>
    </w:p>
    <w:p w14:paraId="5D22F06B" w14:textId="206E14A9" w:rsidR="009D7677" w:rsidRDefault="009D7677" w:rsidP="009D7677">
      <w:pPr>
        <w:pStyle w:val="TextoNormal"/>
      </w:pPr>
      <w:r w:rsidRPr="009D7677">
        <w:rPr>
          <w:rStyle w:val="NumeroAFNegritaCaracter"/>
        </w:rPr>
        <w:t>15</w:t>
      </w:r>
      <w:r>
        <w:t>. Mediante providencia de 9 de abril de 2024 se señaló para deliberación y votación de la presente sentencia el día 10 del mismo mes y año.</w:t>
      </w:r>
    </w:p>
    <w:p w14:paraId="47025CEE" w14:textId="77777777" w:rsidR="009D7677" w:rsidRDefault="009D7677" w:rsidP="009D7677">
      <w:pPr>
        <w:pStyle w:val="TextoNormal"/>
      </w:pPr>
    </w:p>
    <w:p w14:paraId="0670400A" w14:textId="77777777" w:rsidR="009D7677" w:rsidRDefault="009D7677" w:rsidP="009D7677">
      <w:pPr>
        <w:pStyle w:val="TextoNormalNegritaCentrado"/>
        <w:keepNext/>
      </w:pPr>
      <w:r>
        <w:t>II. Fundamentos jurídicos</w:t>
      </w:r>
    </w:p>
    <w:p w14:paraId="51CEAEE0" w14:textId="0117BB12" w:rsidR="009D7677" w:rsidRDefault="009D7677" w:rsidP="009D7677">
      <w:pPr>
        <w:pStyle w:val="TextoNormalNegritaCentrado"/>
        <w:keepNext/>
      </w:pPr>
    </w:p>
    <w:p w14:paraId="2785FC29" w14:textId="77777777" w:rsidR="009D7677" w:rsidRDefault="009D7677" w:rsidP="009D7677">
      <w:pPr>
        <w:pStyle w:val="TextoNormal"/>
      </w:pPr>
      <w:r w:rsidRPr="009D7677">
        <w:rPr>
          <w:rStyle w:val="NumeroAFNegritaCaracter"/>
        </w:rPr>
        <w:t>1</w:t>
      </w:r>
      <w:r>
        <w:t xml:space="preserve">. </w:t>
      </w:r>
      <w:r w:rsidRPr="009D7677">
        <w:rPr>
          <w:i/>
        </w:rPr>
        <w:t>Objeto del recurso y posiciones de las partes</w:t>
      </w:r>
    </w:p>
    <w:p w14:paraId="39D701E9" w14:textId="77777777" w:rsidR="009D7677" w:rsidRDefault="009D7677" w:rsidP="009D7677">
      <w:pPr>
        <w:pStyle w:val="TextoNormal"/>
      </w:pPr>
    </w:p>
    <w:p w14:paraId="27A38975" w14:textId="77777777" w:rsidR="009D7677" w:rsidRDefault="009D7677" w:rsidP="009D7677">
      <w:pPr>
        <w:pStyle w:val="TextoNormal"/>
      </w:pPr>
      <w:r>
        <w:t>El recurso de amparo cuyo enjuiciamiento sigue ha sido interpuesto por el otrora diputado del Parlamento y presidente de la Generalitat de Cataluña, don Joaquim Torra i Pla, contra los autos de la Sección Cuarta de la Sala de lo Contencioso-Administrativo del Tribunal Supremo de 23 de enero de 2020 (que denegó la suspensión cautelar del acuerdo impugnado por el ahora recurrente de amparo en el proceso principal seguido ante dicho órgano judicial) y de 20 de febrero de 2020 (que desestimó el recurso de reposición interpuesto frente al anterior auto).</w:t>
      </w:r>
    </w:p>
    <w:p w14:paraId="071370FC" w14:textId="77777777" w:rsidR="009D7677" w:rsidRDefault="009D7677" w:rsidP="009D7677">
      <w:pPr>
        <w:pStyle w:val="TextoNormal"/>
      </w:pPr>
    </w:p>
    <w:p w14:paraId="6CC9DB92" w14:textId="77777777" w:rsidR="009D7677" w:rsidRDefault="009D7677" w:rsidP="009D7677">
      <w:pPr>
        <w:pStyle w:val="TextoNormal"/>
      </w:pPr>
      <w:r>
        <w:t>El acto al que se refería el proceso contencioso administrativo seguido ante el Tribunal Supremo era el acuerdo de la Junta Electoral Central de 3 de enero de 2020 por el que (i) se declaró que concurría en don Joaquim Torra i Pla la causa de inelegibilidad sobrevenida del art. 6.2 b) LOREG; (ii) se dejó sin efecto su credencial de diputado electo al Parlamento de Cataluña por la circunscripción electoral de Barcelona; y (iii) se ordenó a la Junta Electoral Provincial de Barcelona que declarase su vacante como diputado del Parlamento de Cataluña y que expidiese la credencial al siguiente candidato de la lista de Junts per Catalunya. Dicho acuerdo fue adoptado tras haber sido condenado el ahora recurrente por delito de desobediencia mediante sentencia (no firme) dictada por la Sala de lo Civil y Penal del Tribunal Superior de Justicia de Cataluña el 19 de diciembre de 2019. Dicha condena sería confirmada, tras la interposición del presente recurso de amparo, mediante la sentencia de la Sala de lo Penal del Tribunal Supremo de 28 de septiembre 2020, contra la que don Joaquim Torra i Pla interpuso otro recurso de amparo (núm. 4586‑2020), que fue desestimado mediante STC 25/2022. Por su parte, el recurso contencioso administrativo en cuyo seno se suscitó el incidente cautelar del que trae causa el presente proceso de amparo fue desestimado por la Sala de lo Contencioso-Administrativo del Tribunal Supremo mediante sentencia de 20 de julio de 2021, frente a la que pende en la actualidad el recurso de amparo núm. 6056‑2021.</w:t>
      </w:r>
    </w:p>
    <w:p w14:paraId="794E37F6" w14:textId="77777777" w:rsidR="009D7677" w:rsidRDefault="009D7677" w:rsidP="009D7677">
      <w:pPr>
        <w:pStyle w:val="TextoNormal"/>
      </w:pPr>
    </w:p>
    <w:p w14:paraId="790D71B2" w14:textId="77777777" w:rsidR="009D7677" w:rsidRDefault="009D7677" w:rsidP="009D7677">
      <w:pPr>
        <w:pStyle w:val="TextoNormal"/>
      </w:pPr>
      <w:r>
        <w:t>En la demanda de amparo se aduce que el Tribunal Supremo, al denegar la suspensión cautelar del referido acuerdo de la Junta Electoral Central, vulneró el derecho a la tutela judicial efectiva en sus vertientes de derecho a la tutela cautelar y a una resolución fundada en Derecho (art. 24.1 CE), el derecho a la participación y representación política (art. 23 CE), y el derecho a la presunción de inocencia (art. 24.2 CE), lesiones junto con las cuales se denuncian, por conexión, las de las libertades de pensamiento (art. 16.1 CE), expresión (art. 20.1 CE) y reunión (art. 21 CE).</w:t>
      </w:r>
    </w:p>
    <w:p w14:paraId="21B8BB3B" w14:textId="77777777" w:rsidR="009D7677" w:rsidRDefault="009D7677" w:rsidP="009D7677">
      <w:pPr>
        <w:pStyle w:val="TextoNormal"/>
      </w:pPr>
    </w:p>
    <w:p w14:paraId="6F26513A" w14:textId="2C2BE48E" w:rsidR="009D7677" w:rsidRDefault="009D7677" w:rsidP="009D7677">
      <w:pPr>
        <w:pStyle w:val="TextoNormal"/>
      </w:pPr>
      <w:r>
        <w:lastRenderedPageBreak/>
        <w:t>El fiscal y la Junta Electoral Central interesan la extinción del proceso por pérdida sobrevenida de su objeto y, subsidiariamente, su desestimación. Los partidos políticos Vox y Ciudadanos-Partido de la Ciudadanía rechazan igualmente las vulneraciones alegadas, en los términos expuestos en los antecedentes, y ello tras hacer referencia a la pérdida de objeto del recurso, a la que Vox anuda, además, la pérdida de especial trascendencia constitucional del recurso de amparo.</w:t>
      </w:r>
    </w:p>
    <w:p w14:paraId="377E3BEE" w14:textId="77777777" w:rsidR="009D7677" w:rsidRDefault="009D7677" w:rsidP="009D7677">
      <w:pPr>
        <w:pStyle w:val="TextoNormal"/>
      </w:pPr>
    </w:p>
    <w:p w14:paraId="626888BF" w14:textId="77777777" w:rsidR="009D7677" w:rsidRDefault="009D7677" w:rsidP="009D7677">
      <w:pPr>
        <w:pStyle w:val="TextoNormal"/>
      </w:pPr>
      <w:r w:rsidRPr="009D7677">
        <w:rPr>
          <w:rStyle w:val="NumeroAFNegritaCaracter"/>
        </w:rPr>
        <w:t>2</w:t>
      </w:r>
      <w:r>
        <w:t xml:space="preserve">. </w:t>
      </w:r>
      <w:r w:rsidRPr="009D7677">
        <w:rPr>
          <w:i/>
        </w:rPr>
        <w:t>Pérdida de objeto del recurso de amparo</w:t>
      </w:r>
    </w:p>
    <w:p w14:paraId="0EDB6317" w14:textId="77777777" w:rsidR="009D7677" w:rsidRDefault="009D7677" w:rsidP="009D7677">
      <w:pPr>
        <w:pStyle w:val="TextoNormal"/>
      </w:pPr>
    </w:p>
    <w:p w14:paraId="0A102F5B" w14:textId="77777777" w:rsidR="009D7677" w:rsidRDefault="009D7677" w:rsidP="009D7677">
      <w:pPr>
        <w:pStyle w:val="TextoNormal"/>
      </w:pPr>
      <w:r>
        <w:t>Como ha quedado expuesto, el fiscal y los representantes de la Junta Electoral Central y de los partidos políticos Ciudadanos-Partido de la Ciudadanía y Vox aprecian la pérdida sobrevenida de objeto del recurso, que se habría producido como consecuencia de haber dictado la Sala de lo Penal del Tribunal Supremo la sentencia de 28 de septiembre de 2020, por la que se ratificó la condena por desobediencia del ahora recurrente en amparo; condena que devino así firme y determinó la definitiva privación de su condición de diputado del Parlamento de Cataluña. En defensa de esta pretensión se apela a lo resuelto en el ATC 127/2020, en el que se consideró que la solicitud de suspensión cautelar instada en el marco del presente recurso de amparo había perdido de forma sobrevenida su objeto por haber adquirido firmeza la condena penal del recurrente como autor de un delito de desobediencia.</w:t>
      </w:r>
    </w:p>
    <w:p w14:paraId="449418D3" w14:textId="77777777" w:rsidR="009D7677" w:rsidRDefault="009D7677" w:rsidP="009D7677">
      <w:pPr>
        <w:pStyle w:val="TextoNormal"/>
      </w:pPr>
    </w:p>
    <w:p w14:paraId="372385D3" w14:textId="77777777" w:rsidR="009D7677" w:rsidRDefault="009D7677" w:rsidP="009D7677">
      <w:pPr>
        <w:pStyle w:val="TextoNormal"/>
      </w:pPr>
      <w:r>
        <w:t>Este tribunal ha admitido que los recursos de amparo se extingan por pérdida sobrevenida de su objeto, al señalar que “la desaparición sobrevenida del objeto del proceso, aun cuando no [es] contemplada expresamente en el artículo 86.1 LOTC, es una de las formas de terminación de los distintos procesos constitucionales” (por todas, STC 26/2022, de 24 de febrero, FJ único, y en términos análogos, STC 144/2022, de 15 de noviembre, FJ 3, con numerosas referencias). Así se ha apreciado en particular en procesos de amparo, pues “el recurso de amparo es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En tal medida, con carácter general, hemos rechazado las pretensiones puramente declarativas desvinculadas de una lesión actual, real y efectiva del derecho invocado (STC 131/1998, de 16 de junio, FJ 2). Por ello, cuando la pretensión ejercitada dirigida al restablecimiento o la preservación de aquellos derechos se ha visto satisfecha fuera del propio proceso de amparo y la lesión constitucional denunciada no pervive, debe concluirse que este carece desde ese momento de objeto sobre el que deba pronunciarse este tribunal (SSTC 73/2018, de 5 de julio, FJ 2; 52/2019, de 11 de abril, FJ 3, y 161/2020, de 16 de noviembre, FJ único)” (STC 144/2022, FJ 3). Las circunstancias determinantes de la pérdida de objeto, ajenas a la actuación de este tribunal, pueden haberse producido ya en el momento de formulación de la demanda de amparo o bien con posterioridad a su iniciación, durante el desarrollo del proceso constitucional de protección de derechos fundamentales (STC 144/2022, FJ 3), como se postula en este caso.</w:t>
      </w:r>
    </w:p>
    <w:p w14:paraId="507417BE" w14:textId="77777777" w:rsidR="009D7677" w:rsidRDefault="009D7677" w:rsidP="009D7677">
      <w:pPr>
        <w:pStyle w:val="TextoNormal"/>
      </w:pPr>
    </w:p>
    <w:p w14:paraId="165FE945" w14:textId="77777777" w:rsidR="009D7677" w:rsidRDefault="009D7677" w:rsidP="009D7677">
      <w:pPr>
        <w:pStyle w:val="TextoNormal"/>
      </w:pPr>
      <w:r>
        <w:t>Para pronunciarnos sobre la alegación de pérdida sobrevenida de objeto resulta necesario tener presente, de un lado, cuál es el contenido impugnativo de la demanda y, de otro, cuáles son las circunstancias posteriores a la interposición del recurso de amparo a las que se vincula la pretendida pérdida de objeto del proceso constitucional.</w:t>
      </w:r>
    </w:p>
    <w:p w14:paraId="18DE702D" w14:textId="77777777" w:rsidR="009D7677" w:rsidRDefault="009D7677" w:rsidP="009D7677">
      <w:pPr>
        <w:pStyle w:val="TextoNormal"/>
      </w:pPr>
    </w:p>
    <w:p w14:paraId="22FC7177" w14:textId="77777777" w:rsidR="009D7677" w:rsidRDefault="009D7677" w:rsidP="009D7677">
      <w:pPr>
        <w:pStyle w:val="TextoNormal"/>
      </w:pPr>
      <w:r>
        <w:t>A) Delimitación de los derechos fundamentales concernidos y del objeto del enjuiciamiento</w:t>
      </w:r>
    </w:p>
    <w:p w14:paraId="2683B63C" w14:textId="77777777" w:rsidR="009D7677" w:rsidRDefault="009D7677" w:rsidP="009D7677">
      <w:pPr>
        <w:pStyle w:val="TextoNormal"/>
      </w:pPr>
    </w:p>
    <w:p w14:paraId="27977340" w14:textId="77777777" w:rsidR="009D7677" w:rsidRDefault="009D7677" w:rsidP="009D7677">
      <w:pPr>
        <w:pStyle w:val="TextoNormal"/>
      </w:pPr>
      <w:r>
        <w:t xml:space="preserve">Como con mayor detalle se ha expuesto en los antecedentes, la demanda de amparo denuncia la vulneración de distintos derechos fundamentales y aduce la existencia de una relación de causalidad entre varias de tales lesiones. Ello hace necesario comenzar delimitando cuáles son los derechos fundamentales que </w:t>
      </w:r>
      <w:r w:rsidRPr="009D7677">
        <w:rPr>
          <w:i/>
        </w:rPr>
        <w:t>prima facie</w:t>
      </w:r>
      <w:r>
        <w:t xml:space="preserve"> aparecen como concernidos por la actuación judicial impugnada.</w:t>
      </w:r>
    </w:p>
    <w:p w14:paraId="79DBFB61" w14:textId="77777777" w:rsidR="009D7677" w:rsidRDefault="009D7677" w:rsidP="009D7677">
      <w:pPr>
        <w:pStyle w:val="TextoNormal"/>
      </w:pPr>
    </w:p>
    <w:p w14:paraId="2ACA5B2F" w14:textId="77777777" w:rsidR="009D7677" w:rsidRDefault="009D7677" w:rsidP="009D7677">
      <w:pPr>
        <w:pStyle w:val="TextoNormal"/>
      </w:pPr>
      <w:r>
        <w:t>a) El núcleo de la demanda de amparo viene constituido por la queja relativa al derecho a la tutela judicial cautelar, de la que resulta indisociable la atinente al derecho a una resolución fundada en Derecho (art. 24.1 CE), en tanto que esta se refiere a los supuestos errores y omisiones en que habría incurrido el Tribunal Supremo a la hora de denegar la suspensión cautelar solicitada. A su vez, ambas lesiones se alegan en estrecha conexión con la denunciada vulneración del derecho del recurrente a ejercer los cargos públicos para los que resultó elegido (art. 23.2 CE) y de los correlativos derechos políticos de los ciudadanos a los que representaba legítimamente (art. 23.1 CE). La lesión de estos derechos sustantivos sería consecuencia, según el planteamiento de la demanda, de la vulneración de aquellos otros derechos procesales. Una estructura similar presenta la alegada lesión del derecho fundamental a la presunción de inocencia (art. 24.2 CE), pues también aquí la vulneración derivaría del modo en que el Tribunal Supremo razonó a la hora de denegar la medida cautelar de suspensión.</w:t>
      </w:r>
    </w:p>
    <w:p w14:paraId="482CCB5C" w14:textId="77777777" w:rsidR="009D7677" w:rsidRDefault="009D7677" w:rsidP="009D7677">
      <w:pPr>
        <w:pStyle w:val="TextoNormal"/>
      </w:pPr>
    </w:p>
    <w:p w14:paraId="21C7AD8C" w14:textId="77777777" w:rsidR="009D7677" w:rsidRDefault="009D7677" w:rsidP="009D7677">
      <w:pPr>
        <w:pStyle w:val="TextoNormal"/>
      </w:pPr>
      <w:r>
        <w:t>b) El recurrente en amparo denuncia también la vulneración de sus derechos a la libertad ideológica (art. 16.1 CE), de expresión (art. 20.1 CE) y de reunión (art. 21 CE). Sin embargo, la demanda no realiza respecto de estas quejas un mínimo desarrollo argumental que permita vislumbrar de qué manera las citadas libertades podrían haberse visto concretamente afectadas por los autos recurridos. Una afectación en absoluto evidente si se tiene en cuenta que el proceso judicial en cuyo seno se dictaron los autos impugnados tenía por objeto una resolución de la administración electoral atinente a la condición de diputado del recurrente, y no a una actuación específica de este realizada en ejercicio de sus libertades ideológica, de expresión o de reunión. En definitiva, tal y como han sido formuladas en la demanda, estas quejas deben considerarse como redundantes o meramente tributarias de la relativa al ejercicio del cargo público representativo (art. 23.2 CE).</w:t>
      </w:r>
    </w:p>
    <w:p w14:paraId="7C83F611" w14:textId="77777777" w:rsidR="009D7677" w:rsidRDefault="009D7677" w:rsidP="009D7677">
      <w:pPr>
        <w:pStyle w:val="TextoNormal"/>
      </w:pPr>
    </w:p>
    <w:p w14:paraId="75B2A05D" w14:textId="77777777" w:rsidR="009D7677" w:rsidRDefault="009D7677" w:rsidP="009D7677">
      <w:pPr>
        <w:pStyle w:val="TextoNormal"/>
      </w:pPr>
      <w:r>
        <w:t>B) Circunstancias concurrentes</w:t>
      </w:r>
    </w:p>
    <w:p w14:paraId="1AFDC3DE" w14:textId="77777777" w:rsidR="009D7677" w:rsidRDefault="009D7677" w:rsidP="009D7677">
      <w:pPr>
        <w:pStyle w:val="TextoNormal"/>
      </w:pPr>
    </w:p>
    <w:p w14:paraId="76217EEF" w14:textId="77777777" w:rsidR="009D7677" w:rsidRDefault="009D7677" w:rsidP="009D7677">
      <w:pPr>
        <w:pStyle w:val="TextoNormal"/>
      </w:pPr>
      <w:r>
        <w:t>Corresponde ahora rememorar el entramado procesal vinculado a la actuación del recurrente y a la pérdida de su condición de diputado autonómico, cuyos datos precisos constan en los antecedentes y cuya sucesión cronológica cabe sintetizar en sus hitos principales como sigue:</w:t>
      </w:r>
    </w:p>
    <w:p w14:paraId="3505519B" w14:textId="77777777" w:rsidR="009D7677" w:rsidRDefault="009D7677" w:rsidP="009D7677">
      <w:pPr>
        <w:pStyle w:val="TextoNormal"/>
      </w:pPr>
    </w:p>
    <w:p w14:paraId="5149EFA5" w14:textId="77777777" w:rsidR="009D7677" w:rsidRDefault="009D7677" w:rsidP="009D7677">
      <w:pPr>
        <w:pStyle w:val="TextoNormal"/>
      </w:pPr>
      <w:r>
        <w:t>(i) El recurrente fue condenado en primera instancia como autor de un delito de desobediencia cometido por autoridad o funcionario público (art. 410.1 CP) por sentencia del Tribunal Superior de Justicia de Cataluña de 19 de diciembre de 2019, entre otras, a la pena de inhabilitación especial para el ejercicio de cargos públicos electivos por tiempo de un año y seis meses.</w:t>
      </w:r>
    </w:p>
    <w:p w14:paraId="474ABF7F" w14:textId="77777777" w:rsidR="009D7677" w:rsidRDefault="009D7677" w:rsidP="009D7677">
      <w:pPr>
        <w:pStyle w:val="TextoNormal"/>
      </w:pPr>
    </w:p>
    <w:p w14:paraId="4BB72A32" w14:textId="77777777" w:rsidR="009D7677" w:rsidRDefault="009D7677" w:rsidP="009D7677">
      <w:pPr>
        <w:pStyle w:val="TextoNormal"/>
      </w:pPr>
      <w:r>
        <w:t>(ii) Mientras el proceso penal seguía su curso, al recurrir el demandante en casación la condena, por acuerdo de la Junta Electoral Central de 3 de enero de 2020 se resolvió dejar sin efecto la credencial de diputado electo al Parlamento de Cataluña del demandante de amparo en aplicación de la causa de inelegibilidad sobrevenida del art. 6.2 b) LOREG, prevista, entre otros supuestos, para los condenados por sentencia, aunque no sea firme, por delito contra la administración pública cuando la misma haya establecido la pena de inhabilitación especial para empleo o cargo público, como era el caso.</w:t>
      </w:r>
    </w:p>
    <w:p w14:paraId="7C8EC4C9" w14:textId="77777777" w:rsidR="009D7677" w:rsidRDefault="009D7677" w:rsidP="009D7677">
      <w:pPr>
        <w:pStyle w:val="TextoNormal"/>
      </w:pPr>
    </w:p>
    <w:p w14:paraId="5BD4F2E0" w14:textId="77777777" w:rsidR="009D7677" w:rsidRDefault="009D7677" w:rsidP="009D7677">
      <w:pPr>
        <w:pStyle w:val="TextoNormal"/>
      </w:pPr>
      <w:r>
        <w:t xml:space="preserve">(iii) Frente a ese acuerdo, el demandante entabló recurso contencioso administrativo solicitando la adopción de una medida cautelar provisionalísima de suspensión </w:t>
      </w:r>
      <w:r w:rsidRPr="009D7677">
        <w:rPr>
          <w:i/>
        </w:rPr>
        <w:t>inaudita parte</w:t>
      </w:r>
      <w:r>
        <w:t xml:space="preserve"> del acuerdo impugnado, descartada por auto de la Sala de lo Contencioso-Administrativo del Tribunal Supremo de 10 de enero de 2020; como también lo fue por auto del mismo órgano judicial de 23 de enero de 2020 la medida cautelar de suspensión una vez tramitado el correspondiente incidente, a su vez confirmado en reposición por auto de 20 de febrero de 2020.</w:t>
      </w:r>
    </w:p>
    <w:p w14:paraId="3F287FB6" w14:textId="77777777" w:rsidR="009D7677" w:rsidRDefault="009D7677" w:rsidP="009D7677">
      <w:pPr>
        <w:pStyle w:val="TextoNormal"/>
      </w:pPr>
    </w:p>
    <w:p w14:paraId="373379AB" w14:textId="77777777" w:rsidR="009D7677" w:rsidRDefault="009D7677" w:rsidP="009D7677">
      <w:pPr>
        <w:pStyle w:val="TextoNormal"/>
      </w:pPr>
      <w:r>
        <w:t xml:space="preserve">(iv) El 17 de julio de 2020 (tras la suspensión de los plazos durante el estado de alarma), el demandante interpuso el presente recurso de amparo (núm. 3476-2020) contra los citados autos de 23 de enero y de 20 de febrero de 2020, que fue admitido por providencia de 22 de julio de 2020. En esa providencia se descartó adoptar la medida cautelar </w:t>
      </w:r>
      <w:r w:rsidRPr="009D7677">
        <w:rPr>
          <w:i/>
        </w:rPr>
        <w:t>inaudita parte</w:t>
      </w:r>
      <w:r>
        <w:t xml:space="preserve"> de suspensión de las resoluciones impugnadas instada en la demanda con base en el art. 56.6 LOTC y se acordó formar la oportuna pieza separada respecto de la petición de suspensión sustentada en el art. 56.3 LOTC.</w:t>
      </w:r>
    </w:p>
    <w:p w14:paraId="4A7980B7" w14:textId="77777777" w:rsidR="009D7677" w:rsidRDefault="009D7677" w:rsidP="009D7677">
      <w:pPr>
        <w:pStyle w:val="TextoNormal"/>
      </w:pPr>
    </w:p>
    <w:p w14:paraId="00B21D38" w14:textId="77777777" w:rsidR="009D7677" w:rsidRDefault="009D7677" w:rsidP="009D7677">
      <w:pPr>
        <w:pStyle w:val="TextoNormal"/>
      </w:pPr>
      <w:r>
        <w:t>(v) La Sala de lo Penal del Tribunal Supremo dictó sentencia el 28 de septiembre de 2020 por la que desestimó el recurso de casación formulado por el recurrente contra la sentencia del Tribunal Superior de Justicia de Cataluña que le había condenado como autor del delito de desobediencia. El órgano judicial de instancia dictó ese mismo día auto en el que declaró la firmeza de la condena y dispuso que se hiciera efectiva la inhabilitación especial del señor Torra i Pla desde ese mismo día 28 de septiembre de 2020, auto que fue confirmado en súplica por auto de 13 de octubre de 2020.</w:t>
      </w:r>
    </w:p>
    <w:p w14:paraId="41FD0467" w14:textId="77777777" w:rsidR="009D7677" w:rsidRDefault="009D7677" w:rsidP="009D7677">
      <w:pPr>
        <w:pStyle w:val="TextoNormal"/>
      </w:pPr>
    </w:p>
    <w:p w14:paraId="4E46F4D4" w14:textId="77777777" w:rsidR="009D7677" w:rsidRDefault="009D7677" w:rsidP="009D7677">
      <w:pPr>
        <w:pStyle w:val="TextoNormal"/>
      </w:pPr>
      <w:r>
        <w:t>(vi) Por ATC 127/2020, este tribunal archivó la pieza separada de suspensión abierta en el presente proceso de amparo por pérdida de objeto. En su fundamento tercero razonamos que, tras el dictado de la sentencia de 28 de septiembre de 2020 por la Sala de lo Penal del Tribunal Supremo, se hizo efectiva la inhabilitación especial para cargo electivo del demandante en aplicación de lo dispuesto en el art. 42 CP, lo que conlleva la pérdida de su condición de diputado, habiendo perdido eficacia el acuerdo de la Junta Electoral Central que aplica el art. 6.2 b) LOREG, al igual que las resoluciones judiciales ulteriores impugnadas en amparo, que ya no despliegan efecto alguno. En la medida en que el pronunciamiento acerca de la solicitud de suspensión solo procede respecto de resoluciones o disposiciones que son susceptibles de producir efectos, concluimos que el incidente de suspensión había perdido objeto, haciendo hincapié en que la finalidad de la medida instada por el actor era seguir ejerciendo sus funciones como diputado, lo que resultaba imposible tras la ejecución de la pena de inhabilitación especial.</w:t>
      </w:r>
    </w:p>
    <w:p w14:paraId="7CD3472F" w14:textId="77777777" w:rsidR="009D7677" w:rsidRDefault="009D7677" w:rsidP="009D7677">
      <w:pPr>
        <w:pStyle w:val="TextoNormal"/>
      </w:pPr>
    </w:p>
    <w:p w14:paraId="010B3915" w14:textId="77777777" w:rsidR="009D7677" w:rsidRDefault="009D7677" w:rsidP="009D7677">
      <w:pPr>
        <w:pStyle w:val="TextoNormal"/>
      </w:pPr>
      <w:r>
        <w:lastRenderedPageBreak/>
        <w:t>(vii) La Sala Tercera del Tribunal Supremo desestimó el recurso contencioso administrativo entablado contra el acuerdo de la Junta Electoral Central de 3 de enero de 2020 que aplicó el art. 6.2 b) LOREG por sentencia de 20 de julio de 2021, que ha sido objeto asimismo de recurso de amparo (núm. 6056-2021), actualmente pendiente de resolución.</w:t>
      </w:r>
    </w:p>
    <w:p w14:paraId="6BE7B3BD" w14:textId="77777777" w:rsidR="009D7677" w:rsidRDefault="009D7677" w:rsidP="009D7677">
      <w:pPr>
        <w:pStyle w:val="TextoNormal"/>
      </w:pPr>
    </w:p>
    <w:p w14:paraId="6D93B5FB" w14:textId="77777777" w:rsidR="009D7677" w:rsidRDefault="009D7677" w:rsidP="009D7677">
      <w:pPr>
        <w:pStyle w:val="TextoNormal"/>
      </w:pPr>
      <w:r>
        <w:t>C) Pérdida sobrevenida de objeto</w:t>
      </w:r>
    </w:p>
    <w:p w14:paraId="1E19884D" w14:textId="77777777" w:rsidR="009D7677" w:rsidRDefault="009D7677" w:rsidP="009D7677">
      <w:pPr>
        <w:pStyle w:val="TextoNormal"/>
      </w:pPr>
    </w:p>
    <w:p w14:paraId="5A8B51D5" w14:textId="77777777" w:rsidR="009D7677" w:rsidRDefault="009D7677" w:rsidP="009D7677">
      <w:pPr>
        <w:pStyle w:val="TextoNormal"/>
      </w:pPr>
      <w:r>
        <w:t>A la luz de lo expuesto, desde el 28 de septiembre de 2020 el recurrente quedó privado definitivamente de su cargo de diputado en el Parlamento de Cataluña en ejecución de la condena por delito de desobediencia de autoridad o funcionario público a la pena de inhabilitación especial para cargo electivo por mor del art. 42 CP. Dispone ese precepto que “[l]a pena de inhabilitación especial para empleo o cargo público produce la privación definitiva del empleo o cargo sobre el que recayere […] y de los honores que le sean anejos […] [y] la incapacidad para obtener el mismo u otros análogos, durante el tiempo de la condena”. La finalidad de la medida cautelar de suspensión instada ante la jurisdicción contencioso-administrativa, cuya denegación se controvierte en el presente recurso de amparo, era posibilitar el ejercicio de dicho cargo en tanto se resolviera el recurso formulado contra el acuerdo de la Junta Electoral Central, que finalmente se desestimó por sentencia de la Sala de lo Contencioso-Administrativo del Tribunal Supremo de 20 de julio de 2021. Pero dicho objetivo de tutela cautelar devino imposible en el propio proceso contencioso administrativo en el que se había solicitado desde el momento en que se produjo la privación por otra vía de la condición de diputado, lo que no solo determinaba la inutilidad de adoptar una medida de suspensión de la aplicación del art. 6.2 b) LOREG, como subrayamos en el ATC 127/2020, FJ 3, sino que implicaba la pérdida de eficacia del acuerdo de la Junta Electoral Central, que no podía ser suspendido “pues ya no despliega, al igual que las resoluciones impugnadas en amparo, efecto alguno al momento de adoptar esta decisión”.</w:t>
      </w:r>
    </w:p>
    <w:p w14:paraId="0078C383" w14:textId="77777777" w:rsidR="009D7677" w:rsidRDefault="009D7677" w:rsidP="009D7677">
      <w:pPr>
        <w:pStyle w:val="TextoNormal"/>
      </w:pPr>
    </w:p>
    <w:p w14:paraId="732F5823" w14:textId="77777777" w:rsidR="009D7677" w:rsidRDefault="009D7677" w:rsidP="009D7677">
      <w:pPr>
        <w:pStyle w:val="TextoNormal"/>
      </w:pPr>
      <w:r>
        <w:t>Ciertamente, no nos encontramos en este caso ante una falta de eficacia de las resoluciones o disposiciones impugnadas fruto de la satisfacción extraprocesal de la pretensión de mantener cautelarmente la condición de diputado. Pero sí ante un cese de efectos del acuerdo cuya suspensión se rechazó por la Sala de lo Contencioso-Administrativo en las resoluciones impugnadas, asimismo carentes de toda pervivencia, y la absoluta imposibilidad desde poco más de dos meses después de interpuesto el recurso de amparo —casi cinco meses después de rechazada la suspensión cautelar por la Sala de lo Contencioso-Administrativo— de dar satisfacción a la pretensión del recurrente de suspender el acuerdo para poder mantenerse en el desempeño de las funciones de diputado del Parlamento catalán. Por otro lado, desde que se ejecuta la condena penal firme, la pieza de medidas cautelares en la jurisdicción contencioso-administrativa pierde su objeto, pues en ese momento deviene de imposible acogimiento la solicitud de suspensión en aras a mantener la condición de diputado mientras se tramita el recurso contra el acuerdo que aplica el art. 6.2 b) LOREG. Y esa pérdida, fruto de las particulares circunstancias del caso, se comunica al recurso de amparo.</w:t>
      </w:r>
    </w:p>
    <w:p w14:paraId="32DDBF0C" w14:textId="77777777" w:rsidR="009D7677" w:rsidRDefault="009D7677" w:rsidP="009D7677">
      <w:pPr>
        <w:pStyle w:val="TextoNormal"/>
      </w:pPr>
    </w:p>
    <w:p w14:paraId="0120C8D2" w14:textId="77777777" w:rsidR="009D7677" w:rsidRDefault="009D7677" w:rsidP="009D7677">
      <w:pPr>
        <w:pStyle w:val="TextoNormal"/>
      </w:pPr>
      <w:r>
        <w:t xml:space="preserve">Como recordamos en el fundamento jurídico único de la STC 26/2022, «[l]a jurisprudencia constante de este tribunal en materia de tutela cautelar, sostiene que “no toda vulneración de normas y derechos procesales producida en los procesos relativos a la adopción y ejecución de medidas cautelares es susceptible de convertirse en objeto del recurso </w:t>
      </w:r>
      <w:r>
        <w:lastRenderedPageBreak/>
        <w:t>de amparo” (STC 159/2008, de 12 de diciembre, FJ 2, y jurisprudencia allí citada)”. Lo será cuando “lo que se recurre es ‘un acto u omisión judicial que venga a negar decisivamente la protección procesal de los derechos e intereses legítimos cuya tutela se pretende ante los tribunales’ (STC 237/1991, de 12 de diciembre, FJ 2), o, en otras palabras, cuando afecta a una medida cautelar que pretenda evitar un daño sobre los derechos e intereses controvertidos en el proceso principal que de producirse llevaría a que el objeto de esos derechos o intereses desapareciera o resultara tan gravemente afectado que sus titulares, aunque obtuviesen una resolución de fondo favorable, no podrían ejercerlo o, cuando menos, no podrían desarrollar todas las facultades que lo conformaban inicialmente” (STC 159/2008, FJ 2). Esa limitación en la conformación del objeto del recurso de amparo deriva del hecho de que, desde la perspectiva de esta garantía constitucional del derecho a la tutela judicial efectiva, “la finalidad constitucionalmente protegida de las medidas cautelares no es otra, como ya se ha dicho, que la de asegurar la efectividad del pronunciamiento futuro del órgano judicial relativo precisamente a los derechos e intereses legítimos llevados ante los jueces y tribunales en el proceso principal” (STC 159/2008, FJ 2)».</w:t>
      </w:r>
    </w:p>
    <w:p w14:paraId="58BA63D4" w14:textId="77777777" w:rsidR="009D7677" w:rsidRDefault="009D7677" w:rsidP="009D7677">
      <w:pPr>
        <w:pStyle w:val="TextoNormal"/>
      </w:pPr>
    </w:p>
    <w:p w14:paraId="6DD66E71" w14:textId="77777777" w:rsidR="009D7677" w:rsidRDefault="009D7677" w:rsidP="009D7677">
      <w:pPr>
        <w:pStyle w:val="TextoNormal"/>
      </w:pPr>
      <w:r>
        <w:t>La sentencia de la Sala de lo Penal del Tribunal Supremo constituye una circunstancia externa al proceso contencioso administrativo en que se impugna el acuerdo de la Junta Electoral Central que introduce una cesura decisiva en lo que a la pérdida de la condición de diputado del recurrente se refiere, ya que conduce a la imposibilidad de lograr la finalidad de la tutela cautelar pretendida en el proceso contencioso administrativo por razones excepcionales ajenas a la actuación del órgano judicial competente en el proceso principal, la Sala de lo Contencioso-Administrativo del Tribunal Supremo, de modo que el presente recurso de amparo ha perdido su contenido constitucional.</w:t>
      </w:r>
    </w:p>
    <w:p w14:paraId="022001AD" w14:textId="77777777" w:rsidR="009D7677" w:rsidRDefault="009D7677" w:rsidP="009D7677">
      <w:pPr>
        <w:pStyle w:val="TextoNormal"/>
      </w:pPr>
    </w:p>
    <w:p w14:paraId="66D4E79C" w14:textId="77777777" w:rsidR="009D7677" w:rsidRDefault="009D7677" w:rsidP="009D7677">
      <w:pPr>
        <w:pStyle w:val="TextoNormal"/>
      </w:pPr>
      <w:r>
        <w:t>La privación del cargo de diputado en aplicación del art. 42 CP, determinó en el asunto que nos concierne, que la efectividad de un posible pronunciamiento de fondo favorable a las pretensiones del recurrente por parte de la Sala de lo Contencioso-Administrativo del Tribunal Supremo no dependiera ya de la adopción de la suspensión cautelar por dicho órgano judicial. La firmeza de la condena penal, acordada el 28 de septiembre de 2020, y la ejecución de la pena de inhabilitación especial desde ese día hicieron inviable garantizar el pleno ejercicio de los derechos al ejercicio del cargo representativo y a la presunción de inocencia cuya tutela cautelar se pretendía, en tanto que identificada con conservar la condición de diputado autonómico, ya que supuso la pérdida definitiva de dicha condición. La finalidad del proceso cautelar de asegurar los efectos de un pronunciamiento estimatorio de las propias pretensiones desapareció y, con ello, el objeto del amparo relativo a la tutela cautelar aun cuando la pretensión del demandante no se ha visto satisfecha por otra vía. Lo determinante es, de un lado, que la medida de suspensión de la ejecución del acuerdo de la Junta Electoral Central de 3 de enero de 2020 solicitada se proyectaba sobre una resolución ya sin eficacia. Y, de otro lado y en todo caso, que esa medida no podía evitar el perjuicio aducido para defender su pertinencia, identificado con la afectación a los derechos reconocidos en los arts. 23 y 24.2 CE por haber sido privado del cargo de diputado con base en una sentencia penal no firme, ya que la pérdida de dicho cargo se produjo de forma definitiva al alcanzar firmeza la sentencia condenatoria penal. En tales circunstancias, decae la finalidad constitucionalmente protegida de la tutela cautelar de asegurar la efectividad del pronunciamiento futuro del órgano judicial relativo a los derechos e intereses legítimos llevados ante los jueces y tribunales en el proceso principal.</w:t>
      </w:r>
    </w:p>
    <w:p w14:paraId="20D2B3A3" w14:textId="77777777" w:rsidR="009D7677" w:rsidRDefault="009D7677" w:rsidP="009D7677">
      <w:pPr>
        <w:pStyle w:val="TextoNormal"/>
      </w:pPr>
    </w:p>
    <w:p w14:paraId="740D8FE8" w14:textId="5E691B66" w:rsidR="009D7677" w:rsidRDefault="009D7677" w:rsidP="009D7677">
      <w:pPr>
        <w:pStyle w:val="TextoNormal"/>
      </w:pPr>
      <w:r>
        <w:lastRenderedPageBreak/>
        <w:t>En suma, en este procedimiento, por su particular contenido iusfundamental (tutela judicial cautelar) y por la confluencia de una resolución penal ajena al proceso contencioso administrativo de instancia, pero impeditiva de dicha tutela, el Tribunal aprecia la pérdida sobrevenida de objeto y, con ello, la extinción del presente recurso de amparo.</w:t>
      </w:r>
    </w:p>
    <w:p w14:paraId="0095281C" w14:textId="77777777" w:rsidR="009D7677" w:rsidRDefault="009D7677" w:rsidP="009D7677">
      <w:pPr>
        <w:pStyle w:val="TextoNormal"/>
      </w:pPr>
    </w:p>
    <w:p w14:paraId="35A4161F" w14:textId="77777777" w:rsidR="009D7677" w:rsidRDefault="009D7677" w:rsidP="009D7677">
      <w:pPr>
        <w:pStyle w:val="TextoNormalCentrado"/>
        <w:keepNext/>
      </w:pPr>
      <w:r>
        <w:t>FALLO</w:t>
      </w:r>
    </w:p>
    <w:p w14:paraId="5B4AB4BD" w14:textId="5C048D0D" w:rsidR="009D7677" w:rsidRDefault="009D7677" w:rsidP="009D7677">
      <w:pPr>
        <w:pStyle w:val="TextoNormalCentrado"/>
        <w:keepNext/>
      </w:pPr>
    </w:p>
    <w:p w14:paraId="1C59758D" w14:textId="18AF15DA" w:rsidR="009D7677" w:rsidRDefault="009D7677" w:rsidP="009D7677">
      <w:pPr>
        <w:pStyle w:val="TextoNormal"/>
      </w:pPr>
      <w:r>
        <w:t>En atención a todo lo expuesto, el Tribunal Constitucional, por la autoridad que le confiere la Constitución de la Nación española, ha decidido declarar la extinción del recurso de amparo interpuesto por don Joaquim Torra i Pla por pérdida sobrevenida de objeto.</w:t>
      </w:r>
    </w:p>
    <w:p w14:paraId="06F2AB20" w14:textId="77777777" w:rsidR="009D7677" w:rsidRDefault="009D7677" w:rsidP="009D7677">
      <w:pPr>
        <w:pStyle w:val="TextoNormal"/>
      </w:pPr>
    </w:p>
    <w:p w14:paraId="017C5FA4" w14:textId="77777777" w:rsidR="009D7677" w:rsidRDefault="009D7677" w:rsidP="009D7677">
      <w:pPr>
        <w:pStyle w:val="TextoNormal"/>
      </w:pPr>
      <w:r>
        <w:t>Publíquese esta sentencia en el “Boletín Oficial del Estado”.</w:t>
      </w:r>
    </w:p>
    <w:p w14:paraId="5F4BFCFB" w14:textId="77777777" w:rsidR="009D7677" w:rsidRDefault="009D7677" w:rsidP="009D7677">
      <w:pPr>
        <w:pStyle w:val="TextoNormal"/>
      </w:pPr>
      <w:r>
        <w:t>Dada en Madrid, a diez de abril de dos mil veinticuatro.</w:t>
      </w:r>
    </w:p>
    <w:p w14:paraId="6ACE92CB" w14:textId="11E2774D" w:rsidR="009D7677" w:rsidRDefault="009D7677">
      <w:pPr>
        <w:spacing w:after="160" w:line="259" w:lineRule="auto"/>
        <w:rPr>
          <w:rFonts w:ascii="Times New Roman" w:eastAsia="Times New Roman" w:hAnsi="Times New Roman" w:cs="Times New Roman"/>
          <w:sz w:val="24"/>
          <w:szCs w:val="24"/>
          <w:lang w:eastAsia="es-ES"/>
        </w:rPr>
      </w:pPr>
      <w:r>
        <w:br w:type="page"/>
      </w:r>
    </w:p>
    <w:p w14:paraId="3708220D" w14:textId="77777777" w:rsidR="009D7677" w:rsidRDefault="009D7677" w:rsidP="009D7677">
      <w:pPr>
        <w:pStyle w:val="TtuloResolucin"/>
      </w:pPr>
      <w:bookmarkStart w:id="65" w:name="SENTENCIA_2024_63"/>
      <w:r>
        <w:lastRenderedPageBreak/>
        <w:t>SENTENCIA 63/2024, de 10 de abril de 2024</w:t>
      </w:r>
    </w:p>
    <w:bookmarkEnd w:id="65"/>
    <w:p w14:paraId="651457E5" w14:textId="77777777" w:rsidR="009D7677" w:rsidRDefault="009D7677" w:rsidP="009D7677">
      <w:pPr>
        <w:pStyle w:val="TtuloResolucin"/>
      </w:pPr>
      <w:r>
        <w:t>Pleno</w:t>
      </w:r>
    </w:p>
    <w:p w14:paraId="5538D422" w14:textId="77777777" w:rsidR="009D7677" w:rsidRDefault="009D7677" w:rsidP="009D7677">
      <w:pPr>
        <w:pStyle w:val="TtuloBOE"/>
      </w:pPr>
      <w:r>
        <w:t>(BOE núm. 118, de 15 de mayo de 2024)</w:t>
      </w:r>
    </w:p>
    <w:p w14:paraId="31151F61" w14:textId="77777777" w:rsidR="009D7677" w:rsidRDefault="009D7677" w:rsidP="009D7677">
      <w:pPr>
        <w:pStyle w:val="TextoNormalCentrado"/>
      </w:pPr>
      <w:r>
        <w:t>ECLI:ES:TC:2024:63</w:t>
      </w:r>
    </w:p>
    <w:p w14:paraId="2739C9DC" w14:textId="6F01BF4F" w:rsidR="009D7677" w:rsidRDefault="009D7677" w:rsidP="009D7677">
      <w:pPr>
        <w:pStyle w:val="TextoNormalCentrado"/>
      </w:pPr>
    </w:p>
    <w:p w14:paraId="0F76B79B" w14:textId="77777777" w:rsidR="009D7677" w:rsidRDefault="009D7677" w:rsidP="009D7677">
      <w:pPr>
        <w:pStyle w:val="SntesisDescriptiva"/>
      </w:pPr>
      <w:r>
        <w:t>Cuestión de inconstitucionalidad 3512-2020. Planteada por la Sección Cuarta de la Sala de lo Contencioso-Administrativo del Tribunal Supremo en relación con diversos preceptos de la Ley 30/2015, de 9 de septiembre, por la que se regula el sistema de formación profesional para el empleo en el ámbito laboral.</w:t>
      </w:r>
    </w:p>
    <w:p w14:paraId="6E3704DD" w14:textId="74A8EC1B" w:rsidR="009D7677" w:rsidRDefault="009D7677" w:rsidP="009D7677">
      <w:pPr>
        <w:pStyle w:val="SntesisDescriptiva"/>
      </w:pPr>
    </w:p>
    <w:p w14:paraId="0C7E947F" w14:textId="77777777" w:rsidR="009D7677" w:rsidRDefault="009D7677" w:rsidP="009D7677">
      <w:pPr>
        <w:pStyle w:val="SntesisAnaltica"/>
      </w:pPr>
      <w:r>
        <w:t>Derechos de igualdad y libertad sindical: inadmisión parcial de la cuestión de inconstitucionalidad; trato diferencial entre los sindicatos basado en la mayor representatividad o la representatividad en el ámbito de actuación correspondiente que resulta objetivo y razonable.</w:t>
      </w:r>
    </w:p>
    <w:p w14:paraId="290E9057" w14:textId="33BD9EB7" w:rsidR="009D7677" w:rsidRDefault="009D7677" w:rsidP="009D7677">
      <w:pPr>
        <w:pStyle w:val="SntesisAnaltica"/>
      </w:pPr>
    </w:p>
    <w:p w14:paraId="728B542C" w14:textId="74E38D14" w:rsidR="009D7677" w:rsidRDefault="009D7677" w:rsidP="009D7677">
      <w:pPr>
        <w:pStyle w:val="Extracto"/>
      </w:pPr>
      <w:r>
        <w:t>1.</w:t>
      </w:r>
      <w:r>
        <w:tab/>
        <w:t>De las dos vertientes de la formación profesional -la que se desarrolla dentro del sistema educativo y la que tiene lugar dentro del ámbito laboral-, la “formación profesional para el empleo” se define como el conjunto de iniciativas, programas e instrumentos que tienen como finalidad impulsar y extender entre las empresas y los trabajadores ocupados y desempleados una formación que contribuya al desarrollo personal y profesional de los trabajadores y a su promoción en el trabajo que responda a las necesidades del mercado laboral y esté orientada a la mejora de la empleabilidad de los trabajadores y la competitividad empresarial (STC 39/2021). Su acreditación se materializa a través de la emisión de los correspondientes certificados de profesionalidad (SSTC 111/2012 o 61/2015) [FFJJ 3 y 5].</w:t>
      </w:r>
    </w:p>
    <w:p w14:paraId="48C1C2F5" w14:textId="77777777" w:rsidR="009D7677" w:rsidRDefault="009D7677" w:rsidP="009D7677">
      <w:pPr>
        <w:pStyle w:val="Extracto"/>
      </w:pPr>
    </w:p>
    <w:p w14:paraId="43B2DD94" w14:textId="2BD0D4B7" w:rsidR="009D7677" w:rsidRDefault="009D7677" w:rsidP="009D7677">
      <w:pPr>
        <w:pStyle w:val="Extracto"/>
      </w:pPr>
      <w:r>
        <w:t>2.</w:t>
      </w:r>
      <w:r>
        <w:tab/>
        <w:t>Las competencias para la programación de la oferta formativa tanto para trabajadores ocupados como para trabajadores desempleados corresponden a las administraciones competentes. Y las facultades de las administraciones públicas incluyen, en particular, tanto la programación anual o plurianual de las ofertas formativas como la convocatoria pública, en condiciones de publicidad, objetividad y libre concurrencia, de los procesos de adjudicación de la gestión económica de los fondos públicos correspondientes [FJ 5].</w:t>
      </w:r>
    </w:p>
    <w:p w14:paraId="2E37EFE6" w14:textId="77777777" w:rsidR="009D7677" w:rsidRDefault="009D7677" w:rsidP="009D7677">
      <w:pPr>
        <w:pStyle w:val="Extracto"/>
      </w:pPr>
    </w:p>
    <w:p w14:paraId="6703901F" w14:textId="7EE00D67" w:rsidR="009D7677" w:rsidRDefault="009D7677" w:rsidP="009D7677">
      <w:pPr>
        <w:pStyle w:val="Extracto"/>
      </w:pPr>
      <w:r>
        <w:t>3.</w:t>
      </w:r>
      <w:r>
        <w:tab/>
        <w:t>La Constitución consagra al sindicato como un elemento clave dentro de la configuración de nuestro Estado social y democrático de derecho (art. 1.1 CE), al incluir su reconocimiento en el art. 7 del título preliminar; y su especial ubicación en el texto fundamental realza la consideración del sindicato como uno de los soportes institucionales básicos de la sociedad para la defensa, protección y promoción de los intereses colectivos de los trabajadores [FJ 4].</w:t>
      </w:r>
    </w:p>
    <w:p w14:paraId="68452432" w14:textId="77777777" w:rsidR="009D7677" w:rsidRDefault="009D7677" w:rsidP="009D7677">
      <w:pPr>
        <w:pStyle w:val="Extracto"/>
      </w:pPr>
    </w:p>
    <w:p w14:paraId="3EE21711" w14:textId="2BDB4D0A" w:rsidR="009D7677" w:rsidRDefault="009D7677" w:rsidP="009D7677">
      <w:pPr>
        <w:pStyle w:val="Extracto"/>
      </w:pPr>
      <w:r>
        <w:t>4.</w:t>
      </w:r>
      <w:r>
        <w:tab/>
        <w:t>Los sindicatos han sido calificados por la doctrina constitucional, no sólo como piezas económicas y sociales indispensables para la defensa y promoción de los intereses de los trabajadores (STC 70/1982), sino, lo que es más importante, como organismos básicos del sistema político (STC 11/1981), como formaciones sociales con relevancia constitucional (STC 18/1984), y como una institución esencial del sistema constitucional español (SSTC 101/1996 y 8/2015) [FJ 4].</w:t>
      </w:r>
    </w:p>
    <w:p w14:paraId="5AFB4FFA" w14:textId="77777777" w:rsidR="009D7677" w:rsidRDefault="009D7677" w:rsidP="009D7677">
      <w:pPr>
        <w:pStyle w:val="Extracto"/>
      </w:pPr>
    </w:p>
    <w:p w14:paraId="5D47A3B2" w14:textId="15D8B9D0" w:rsidR="009D7677" w:rsidRDefault="009D7677" w:rsidP="009D7677">
      <w:pPr>
        <w:pStyle w:val="Extracto"/>
      </w:pPr>
      <w:r>
        <w:t>5.</w:t>
      </w:r>
      <w:r>
        <w:tab/>
        <w:t>La libertad sindical implica la libertad en el ejercicio de la acción sindical, esto es, de aquellos medios de acción que contribuyan a que el sindicato pueda desenvolver la actividad a la que está llamado en el propio texto constitucional (STC 30/1992) [FJ 4].</w:t>
      </w:r>
    </w:p>
    <w:p w14:paraId="2B805930" w14:textId="77777777" w:rsidR="009D7677" w:rsidRDefault="009D7677" w:rsidP="009D7677">
      <w:pPr>
        <w:pStyle w:val="Extracto"/>
      </w:pPr>
    </w:p>
    <w:p w14:paraId="36F309B7" w14:textId="3914C2D0" w:rsidR="009D7677" w:rsidRDefault="009D7677" w:rsidP="009D7677">
      <w:pPr>
        <w:pStyle w:val="Extracto"/>
      </w:pPr>
      <w:r>
        <w:t>6.</w:t>
      </w:r>
      <w:r>
        <w:tab/>
        <w:t>La Ley Orgánica de libertad sindical, siguiendo la pauta marcada por algunos instrumentos internacionales, reconoce a los sindicatos que tengan la consideración de más representativos la capacidad para ostentar representación institucional ante las administraciones públicas u otras entidades u organismo de carácter estatal o de comunidad autónoma que la tengan prevista (STC 39/1986) [FJ 4].</w:t>
      </w:r>
    </w:p>
    <w:p w14:paraId="628444F0" w14:textId="77777777" w:rsidR="009D7677" w:rsidRDefault="009D7677" w:rsidP="009D7677">
      <w:pPr>
        <w:pStyle w:val="Extracto"/>
      </w:pPr>
    </w:p>
    <w:p w14:paraId="786F9D1B" w14:textId="2D312126" w:rsidR="009D7677" w:rsidRDefault="009D7677" w:rsidP="009D7677">
      <w:pPr>
        <w:pStyle w:val="Extracto"/>
      </w:pPr>
      <w:r>
        <w:t>7.</w:t>
      </w:r>
      <w:r>
        <w:tab/>
        <w:t>El criterio del legislador de establecer un trato diferencial para los sindicatos basado en la mayor representatividad o la representatividad en el ámbito de actuación correspondiente puede considerarse objetivo y razonable, pues: (i) se produce en el plano de la participación institucional, que forma parte del contenido adicional de la libertad sindical; (ii) solo se produce en los escalones superiores del sistema,; (iii) en el ámbito de la programación, el trato diferencial únicamente se produce en las modalidades de oferta formativa de carácter complementario que requieren una consideración global de las necesidades del mercado laboral; (iv) la diferencia de trato no alcanza a la gestión económica de los fondos de formación, que se sujetan a un régimen de concurrencia competitiva [FJ 5].</w:t>
      </w:r>
    </w:p>
    <w:p w14:paraId="1100F8CA" w14:textId="77777777" w:rsidR="009D7677" w:rsidRDefault="009D7677" w:rsidP="009D7677">
      <w:pPr>
        <w:pStyle w:val="Extracto"/>
      </w:pPr>
    </w:p>
    <w:p w14:paraId="751846B6" w14:textId="77777777" w:rsidR="009D7677" w:rsidRDefault="009D7677" w:rsidP="009D7677">
      <w:pPr>
        <w:pStyle w:val="Extracto"/>
      </w:pPr>
    </w:p>
    <w:p w14:paraId="3E42547C" w14:textId="77777777" w:rsidR="009D7677" w:rsidRDefault="009D7677" w:rsidP="009D7677">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04DC2D94" w14:textId="179EB2E9" w:rsidR="009D7677" w:rsidRDefault="009D7677" w:rsidP="009D7677">
      <w:pPr>
        <w:pStyle w:val="TextoNormal"/>
      </w:pPr>
    </w:p>
    <w:p w14:paraId="1B601CC3" w14:textId="77777777" w:rsidR="009D7677" w:rsidRDefault="009D7677" w:rsidP="009D7677">
      <w:pPr>
        <w:pStyle w:val="TextoNormalCentrado"/>
        <w:keepNext/>
      </w:pPr>
      <w:r>
        <w:t>EN NOMBRE DEL REY</w:t>
      </w:r>
    </w:p>
    <w:p w14:paraId="608078E4" w14:textId="3BAA9D44" w:rsidR="009D7677" w:rsidRDefault="009D7677" w:rsidP="009D7677">
      <w:pPr>
        <w:pStyle w:val="TextoNormalCentrado"/>
        <w:keepNext/>
      </w:pPr>
    </w:p>
    <w:p w14:paraId="0A3B6491" w14:textId="77777777" w:rsidR="009D7677" w:rsidRDefault="009D7677" w:rsidP="009D7677">
      <w:pPr>
        <w:pStyle w:val="TextoNormalCentrado"/>
        <w:keepNext/>
      </w:pPr>
    </w:p>
    <w:p w14:paraId="0AE9C00E" w14:textId="77777777" w:rsidR="009D7677" w:rsidRDefault="009D7677" w:rsidP="009D7677">
      <w:pPr>
        <w:pStyle w:val="TextoNormal"/>
      </w:pPr>
      <w:r>
        <w:t>la siguiente</w:t>
      </w:r>
    </w:p>
    <w:p w14:paraId="764533D1" w14:textId="57E1C259" w:rsidR="009D7677" w:rsidRDefault="009D7677" w:rsidP="009D7677">
      <w:pPr>
        <w:pStyle w:val="TextoNormal"/>
      </w:pPr>
    </w:p>
    <w:p w14:paraId="736F93A4" w14:textId="77777777" w:rsidR="009D7677" w:rsidRDefault="009D7677" w:rsidP="009D7677">
      <w:pPr>
        <w:pStyle w:val="TextoNormalCentrado"/>
        <w:keepNext/>
      </w:pPr>
      <w:r>
        <w:t>SENTENCIA</w:t>
      </w:r>
    </w:p>
    <w:p w14:paraId="1785985F" w14:textId="7B33206B" w:rsidR="009D7677" w:rsidRDefault="009D7677" w:rsidP="009D7677">
      <w:pPr>
        <w:pStyle w:val="TextoNormalCentrado"/>
        <w:keepNext/>
      </w:pPr>
    </w:p>
    <w:p w14:paraId="78F64DB4" w14:textId="77777777" w:rsidR="009D7677" w:rsidRDefault="009D7677" w:rsidP="009D7677">
      <w:pPr>
        <w:pStyle w:val="TextoNormal"/>
      </w:pPr>
      <w:r>
        <w:t xml:space="preserve">En la cuestión de inconstitucionalidad núm. 3512-2020, planteada por la Sección Cuarta de la Sala de lo Contencioso-Administrativo del Tribunal Supremo, en relación con los artículos 1.2; 5.1, párrafo segundo; 10.2 a) y b); 11.1; 13 (en concordancia con el art. 10.2); 21.1; 25.1; 26.1; disposición adicional primera; disposición final cuarta, y disposición final quinta, apartados primero y segundo, en las menciones que efectúan a organizaciones sindicales “más representativas” o “representativas en el correspondiente ámbito de actuación”, de la Ley 30/2015, de 9 de septiembre, por la que se regula el sistema de formación profesional para el empleo en el ámbito laboral, por posible vulneración de los </w:t>
      </w:r>
      <w:r>
        <w:lastRenderedPageBreak/>
        <w:t>arts. 14 y 28 CE. Han comparecido y formulado alegaciones el abogado del Estado y la fiscal general del Estado. Ha sido ponente el magistrado don Juan Carlos Campo Moreno.</w:t>
      </w:r>
    </w:p>
    <w:p w14:paraId="49461AC5" w14:textId="60E2D445" w:rsidR="009D7677" w:rsidRDefault="009D7677" w:rsidP="009D7677">
      <w:pPr>
        <w:pStyle w:val="TextoNormal"/>
      </w:pPr>
    </w:p>
    <w:p w14:paraId="0DD7FD66" w14:textId="77777777" w:rsidR="009D7677" w:rsidRDefault="009D7677" w:rsidP="009D7677">
      <w:pPr>
        <w:pStyle w:val="TextoNormalNegritaCentrado"/>
        <w:keepNext/>
      </w:pPr>
      <w:r>
        <w:t>I. Antecedentes</w:t>
      </w:r>
    </w:p>
    <w:p w14:paraId="41DBB922" w14:textId="255A2206" w:rsidR="009D7677" w:rsidRDefault="009D7677" w:rsidP="009D7677">
      <w:pPr>
        <w:pStyle w:val="TextoNormalNegritaCentrado"/>
        <w:keepNext/>
      </w:pPr>
    </w:p>
    <w:p w14:paraId="375830D3" w14:textId="450572F3" w:rsidR="009D7677" w:rsidRDefault="009D7677" w:rsidP="009D7677">
      <w:pPr>
        <w:pStyle w:val="TextoNormal"/>
      </w:pPr>
      <w:r w:rsidRPr="009D7677">
        <w:rPr>
          <w:rStyle w:val="NumeroAFNegritaCaracter"/>
        </w:rPr>
        <w:t>1</w:t>
      </w:r>
      <w:r>
        <w:t>. El 20 de julio de 2020 tuvo entrada en el registro de este tribunal oficio de la Sección Cuarta de la Sala de lo Contencioso-Administrativo del Tribunal Supremo, al que se acompaña el testimonio de las actuaciones seguidas en el recurso contencioso-administrativo 516-2017 y el auto de 7 de julio de 2020, por el que se acuerda plantear cuestión de inconstitucionalidad respecto de los artículos 1.2; 5.1, párrafo segundo; 10.2 a) y b); 11.1; 13 (en concordancia con el art. 10.2); 21.1; 25.1; 26.1; disposición adicional primera; disposición final cuarta, y disposición final quinta, apartados primero y segundo, en las menciones que efectúan a organizaciones sindicales “más representativas” o “representativas en el correspondiente ámbito de actuación”, de la Ley 30/2015, de 9 de septiembre, por la que se regula el sistema de formación profesional para el empleo en el ámbito laboral.</w:t>
      </w:r>
    </w:p>
    <w:p w14:paraId="0EE19932" w14:textId="77777777" w:rsidR="009D7677" w:rsidRDefault="009D7677" w:rsidP="009D7677">
      <w:pPr>
        <w:pStyle w:val="TextoNormal"/>
      </w:pPr>
    </w:p>
    <w:p w14:paraId="53A2EC66" w14:textId="77777777" w:rsidR="009D7677" w:rsidRDefault="009D7677" w:rsidP="009D7677">
      <w:pPr>
        <w:pStyle w:val="TextoNormal"/>
      </w:pPr>
      <w:r w:rsidRPr="009D7677">
        <w:rPr>
          <w:rStyle w:val="NumeroAFNegritaCaracter"/>
        </w:rPr>
        <w:t>2</w:t>
      </w:r>
      <w:r>
        <w:t>. Los antecedentes de hecho de la presente cuestión de inconstitucionalidad son, en síntesis, los siguientes:</w:t>
      </w:r>
    </w:p>
    <w:p w14:paraId="27309929" w14:textId="77777777" w:rsidR="009D7677" w:rsidRDefault="009D7677" w:rsidP="009D7677">
      <w:pPr>
        <w:pStyle w:val="TextoNormal"/>
      </w:pPr>
    </w:p>
    <w:p w14:paraId="0C6304E2" w14:textId="77777777" w:rsidR="009D7677" w:rsidRDefault="009D7677" w:rsidP="009D7677">
      <w:pPr>
        <w:pStyle w:val="TextoNormal"/>
      </w:pPr>
      <w:r>
        <w:t>a) El 20 de julio de 2017, el sindicato Unión Sindical Obrera (en adelante, USO) presentó recurso contencioso-administrativo especial para la protección de los derechos fundamentales de la persona contra el Real Decreto 694/2017, de 3 de julio, que desarrolla la Ley 30/2015, de 9 de septiembre, por la que se regula el sistema de formación profesional para el empleo en el ámbito laboral. Afirma el recurso que determinados preceptos del texto reglamentario [arts. 2.1, párrafo segundo; 2.2; 2.3, párrafo primero; 9, párrafo primero; 20.2; 21.1; 22.2; 24.1, párrafo primero; 26.2 en concordancia con la disposición transitoria tercera; 35.1 a) y b); 36; 37.2 en concordancia con la disposición transitoria segunda y disposición final segunda, apartados primero y segundo] vulneran los derechos de igualdad y libertad sindical (arts. 14 y 28.1 CE), en cuanto prevén el requisito de la mayor representatividad y/o representatividad de los sindicatos para poder participar en determinadas actividades en el ámbito de la formación profesional para el empleo.</w:t>
      </w:r>
    </w:p>
    <w:p w14:paraId="378A4ACE" w14:textId="77777777" w:rsidR="009D7677" w:rsidRDefault="009D7677" w:rsidP="009D7677">
      <w:pPr>
        <w:pStyle w:val="TextoNormal"/>
      </w:pPr>
    </w:p>
    <w:p w14:paraId="367D40A6" w14:textId="77777777" w:rsidR="009D7677" w:rsidRDefault="009D7677" w:rsidP="009D7677">
      <w:pPr>
        <w:pStyle w:val="TextoNormal"/>
      </w:pPr>
      <w:r>
        <w:t>En el cuarto otrosí de la demanda se solicita, para el supuesto de que no prosperen los argumentos contenidos en el cuerpo del escrito, el planteamiento de cuestión de inconstitucionalidad en relación con la Ley 30/2015, de 9 de septiembre, por la que se regula el sistema de formación profesional para el empleo en el ámbito laboral, en lo que se refiere a los incisos “organizaciones sindicales más representativas” o “representativas”, de los arts. 1.2; 5.1, párrafo segundo; 10.2 a), b) y c); 11.1; 13 (en concordancia con el art. 10.2); 21.1; 25.1; 26.1; disposición adicional primera; disposición final cuarta, y disposición final quinta, apartados primero y segundo.</w:t>
      </w:r>
    </w:p>
    <w:p w14:paraId="0DEF5DAD" w14:textId="77777777" w:rsidR="009D7677" w:rsidRDefault="009D7677" w:rsidP="009D7677">
      <w:pPr>
        <w:pStyle w:val="TextoNormal"/>
      </w:pPr>
    </w:p>
    <w:p w14:paraId="3E7860D9" w14:textId="77777777" w:rsidR="009D7677" w:rsidRDefault="009D7677" w:rsidP="009D7677">
      <w:pPr>
        <w:pStyle w:val="TextoNormal"/>
      </w:pPr>
      <w:r>
        <w:t>b) Efectuada la correspondiente tramitación (reclamación del expediente administrativo, formalización de la demanda, alegaciones de la abogacía general del Estado y del Ministerio Fiscal), mediante auto de 24 de noviembre de 2017 se acordó recibir el recurso a prueba, y con respecto a la cuestión de inconstitucionalidad planteada en el escrito de demanda, resolver lo pertinente, una vez finalizada la tramitación.</w:t>
      </w:r>
    </w:p>
    <w:p w14:paraId="4212FCFE" w14:textId="77777777" w:rsidR="009D7677" w:rsidRDefault="009D7677" w:rsidP="009D7677">
      <w:pPr>
        <w:pStyle w:val="TextoNormal"/>
      </w:pPr>
    </w:p>
    <w:p w14:paraId="0A388A6D" w14:textId="77777777" w:rsidR="009D7677" w:rsidRDefault="009D7677" w:rsidP="009D7677">
      <w:pPr>
        <w:pStyle w:val="TextoNormal"/>
      </w:pPr>
      <w:r>
        <w:t>c) En providencia de 12 de junio de 2019, la Sala acuerda abrir un plazo común e improrrogable de diez días para que las partes y el Ministerio Fiscal puedan alegar lo que consideren oportuno sobre la pertinencia de plantear cuestión de inconstitucionalidad en relación con la Ley 30/2015, de 9 de septiembre, por la que se regula el sistema de formación profesional para el empleo en el ámbito laboral, en los extremos objeto del recurso contencioso-administrativo, en concreto: artículos 1.2; 5.1, párrafo segundo; 10.2 a) y b); 11.1; 13 (en concordancia con el art. 10.2); 21.1; 25.1; 26.1; disposición adicional primera; disposición final cuarta, y disposición final quinta, apartados primero y segundo, por posible vulneración de los derechos fundamentales de libertad sindical (art. 28.1 CE), y de igualdad (art. 14 CE) en relación con el art. 7 CE (que encomienda a los sindicatos la defensa de los intereses de los trabajadores), al no encuadrarse la materia de formación profesional en el ámbito de la representación institucional a que se refiere el art. 7 de la Ley Orgánica 11/1985, de 27 de agosto, de libertad sindical, que sustenta el criterio de mayor representatividad, de conformidad con la interpretación efectuada por el Tribunal Constitucional.</w:t>
      </w:r>
    </w:p>
    <w:p w14:paraId="0051D165" w14:textId="77777777" w:rsidR="009D7677" w:rsidRDefault="009D7677" w:rsidP="009D7677">
      <w:pPr>
        <w:pStyle w:val="TextoNormal"/>
      </w:pPr>
    </w:p>
    <w:p w14:paraId="3199466A" w14:textId="77777777" w:rsidR="009D7677" w:rsidRDefault="009D7677" w:rsidP="009D7677">
      <w:pPr>
        <w:pStyle w:val="TextoNormal"/>
      </w:pPr>
      <w:r>
        <w:t>d) El anterior trámite fue cumplimentado por el Ministerio Fiscal en fecha 1 de julio de 2019. Manifiesta el fiscal que no se opone al planteamiento de la cuestión de inconstitucionalidad, pues estima que concurre una conexión regulatoria entre la Ley 30/2015 y el Real Decreto 694/2017 que permite considerar cumplido el llamado “juicio de relevancia”. Afirma que la eventual infracción constitucional de la norma reglamentaria no puede desvincularse del propio tenor de la ley de cobertura. En su opinión, si la norma reglamentaria de desarrollo fuera contraria a la Constitución, también habría de serlo la norma de rango legal de la que trae causa, ya que ambas tienen el mismo contenido, utilizan incluso las mismas palabras y se refieren al mismo supuesto de hecho. Estima, por ello, el fiscal que la aplicación de la norma reglamentaria implica necesariamente la de la ley que le sirve de soporte. Concluye, en definitiva, que se cumplen los presupuestos procesales para el planteamiento de la cuestión y advierte que no corresponde a la Fiscalía del Tribunal Supremo, en el trámite del art. 35.2 de la Ley Orgánica del Tribunal Constitucional (LOTC), fijar la posición del Ministerio Fiscal sobre el problema de fondo.</w:t>
      </w:r>
    </w:p>
    <w:p w14:paraId="0D4D2070" w14:textId="77777777" w:rsidR="009D7677" w:rsidRDefault="009D7677" w:rsidP="009D7677">
      <w:pPr>
        <w:pStyle w:val="TextoNormal"/>
      </w:pPr>
    </w:p>
    <w:p w14:paraId="5AFDF1AA" w14:textId="77777777" w:rsidR="009D7677" w:rsidRDefault="009D7677" w:rsidP="009D7677">
      <w:pPr>
        <w:pStyle w:val="TextoNormal"/>
      </w:pPr>
      <w:r>
        <w:t>e) La representación legal de USO remite escrito de alegaciones en fecha 1 de julio de 2019, en el que se ratifica en la previa solicitud de planteamiento de la cuestión de inconstitucionalidad.</w:t>
      </w:r>
    </w:p>
    <w:p w14:paraId="6313065D" w14:textId="77777777" w:rsidR="009D7677" w:rsidRDefault="009D7677" w:rsidP="009D7677">
      <w:pPr>
        <w:pStyle w:val="TextoNormal"/>
      </w:pPr>
    </w:p>
    <w:p w14:paraId="577DB4BA" w14:textId="2DE0BEAB" w:rsidR="009D7677" w:rsidRDefault="009D7677" w:rsidP="009D7677">
      <w:pPr>
        <w:pStyle w:val="TextoNormal"/>
      </w:pPr>
      <w:r>
        <w:t>f) El abogado del Estado remite su escrito de alegaciones en fecha 2 julio de 2019. Se opone en él al planteamiento de la cuestión de inconstitucionalidad argumentando que la participación de cualquier sindicato en el sistema de formación profesional para el empleo provocaría una situación de atomización sindical y empresarial que impediría a los agentes sociales cumplir con las funciones que les son atribuidas en la Ley 30/2015 y el Real Decreto 694/2017. Esto justifica, según razona, el diferente tratamiento de los sindicatos según su representatividad, sin que ese régimen jurídico conlleve vulneración de los derechos fundamentales mencionados en la providencia de 12 de junio de 2009.</w:t>
      </w:r>
    </w:p>
    <w:p w14:paraId="5E5BFA63" w14:textId="77777777" w:rsidR="009D7677" w:rsidRDefault="009D7677" w:rsidP="009D7677">
      <w:pPr>
        <w:pStyle w:val="TextoNormal"/>
      </w:pPr>
    </w:p>
    <w:p w14:paraId="6247D693" w14:textId="77777777" w:rsidR="009D7677" w:rsidRDefault="009D7677" w:rsidP="009D7677">
      <w:pPr>
        <w:pStyle w:val="TextoNormal"/>
      </w:pPr>
      <w:r w:rsidRPr="009D7677">
        <w:rPr>
          <w:rStyle w:val="NumeroAFNegritaCaracter"/>
        </w:rPr>
        <w:t>3</w:t>
      </w:r>
      <w:r>
        <w:t xml:space="preserve">. Por auto de 7 de julio de 2020, la Sección cuarta de la Sala de lo Contencioso-administrativo del Tribunal Supremo acuerda plantear cuestión de inconstitucionalidad en relación con los artículos 1.2; 5.1, párrafo segundo; 10.2 a) y b); 11.1; 13 (en concordancia </w:t>
      </w:r>
      <w:r>
        <w:lastRenderedPageBreak/>
        <w:t>con el art. 10.2); 21.1; 25.1; 26.1; disposición adicional primera; disposición final cuarta, y disposición final quinta, apartados primero y segundo, en las menciones que efectúan a organizaciones sindicales “más representativas” o “representativas en el correspondiente ámbito de actuación”, de la Ley 30/2015, de 9 de septiembre, por la que se regula el sistema de formación para el empleo en el ámbito laboral, por posible vulneración de los arts. 14 y 28 CE.</w:t>
      </w:r>
    </w:p>
    <w:p w14:paraId="060AAB78" w14:textId="77777777" w:rsidR="009D7677" w:rsidRDefault="009D7677" w:rsidP="009D7677">
      <w:pPr>
        <w:pStyle w:val="TextoNormal"/>
      </w:pPr>
    </w:p>
    <w:p w14:paraId="0F57168D" w14:textId="77777777" w:rsidR="009D7677" w:rsidRDefault="009D7677" w:rsidP="009D7677">
      <w:pPr>
        <w:pStyle w:val="TextoNormal"/>
      </w:pPr>
      <w:r>
        <w:t>Sostiene, en primer lugar, la Sala que la validez de la Ley 30/2015, de 9 de septiembre, condiciona la resolución del recurso contencioso-administrativo formulado por USO contra el Real Decreto 694/2017, al existir una conexión regulatoria en virtud de la cual la aplicación de la norma reglamentaria implica, de manera indisoluble, la de la ley citada. Del propio enunciado del real decreto se deduce, inequívocamente, que estamos ante un desarrollo de la Ley 30/2015. Así lo afirma el preámbulo, lo reitera el art. 1, al fijar su objeto, y lo confirman los preceptos recurridos, que se remiten a la Ley 30/2015. En particular, la exigencia de la condición de sindicato más representativo dimana directamente del texto de la ley. Por ello, la Sala no puede pronunciarse sobre la inconstitucionalidad de ese requisito, a efectos de considerar que la norma reglamentaria es inaplicable, sin infringir, al tiempo, la ley de la que trae causa.</w:t>
      </w:r>
    </w:p>
    <w:p w14:paraId="3B34BDF6" w14:textId="77777777" w:rsidR="009D7677" w:rsidRDefault="009D7677" w:rsidP="009D7677">
      <w:pPr>
        <w:pStyle w:val="TextoNormal"/>
      </w:pPr>
    </w:p>
    <w:p w14:paraId="36DC4D48" w14:textId="77777777" w:rsidR="009D7677" w:rsidRDefault="009D7677" w:rsidP="009D7677">
      <w:pPr>
        <w:pStyle w:val="TextoNormal"/>
      </w:pPr>
      <w:r>
        <w:t>En relación con el fondo del asunto, sostiene el auto que la duda de constitucionalidad se sustenta en que la formación profesional para el empleo no es una actividad encuadrable en la función de “representación institucional”, a la que se refiere el art. 7 de la Ley Orgánica de libertad sindical, y que es la que justifica la aplicación del criterio de mayor representatividad, de conformidad con la doctrina del Tribunal Constitucional y del propio Tribunal Supremo. Por ello, la exclusión del sindicato recurrente de la posibilidad de participar en el ejercicio de funciones consultivas en materia de formación profesional afecta a los derechos fundamentales contemplados en los arts. 14 y 28 CE.</w:t>
      </w:r>
    </w:p>
    <w:p w14:paraId="20091198" w14:textId="77777777" w:rsidR="009D7677" w:rsidRDefault="009D7677" w:rsidP="009D7677">
      <w:pPr>
        <w:pStyle w:val="TextoNormal"/>
      </w:pPr>
    </w:p>
    <w:p w14:paraId="1CADBEA2" w14:textId="77777777" w:rsidR="009D7677" w:rsidRDefault="009D7677" w:rsidP="009D7677">
      <w:pPr>
        <w:pStyle w:val="TextoNormal"/>
      </w:pPr>
      <w:r>
        <w:t>Afirma que, en el presente caso, ambos preceptos constitucionales se entrelazan; el primero garantiza la igualdad en el disfrute de los derechos fundamentales, mientras que el segundo garantiza la libertad sindical. Ambos derechos del sindicato recurrente se ven afectados por la regulación legal, al no poder participar en las funciones consultivas contempladas en los preceptos cuestionados.</w:t>
      </w:r>
    </w:p>
    <w:p w14:paraId="02655065" w14:textId="77777777" w:rsidR="009D7677" w:rsidRDefault="009D7677" w:rsidP="009D7677">
      <w:pPr>
        <w:pStyle w:val="TextoNormal"/>
      </w:pPr>
    </w:p>
    <w:p w14:paraId="155E7A72" w14:textId="77777777" w:rsidR="009D7677" w:rsidRDefault="009D7677" w:rsidP="009D7677">
      <w:pPr>
        <w:pStyle w:val="TextoNormal"/>
      </w:pPr>
      <w:r>
        <w:t xml:space="preserve">Recuerda la Sala que en la STC 75/1992, FJ 2, se dijo que la libertad sindical, una vez que asegura a cada sindicato un haz de poderes suficiente para cumplir su misión de representación y defensa de los intereses de los trabajadores, no garantiza ni a los sindicatos ni a sus miembros un trato específico por parte del Estado, del que se deriven derechos o facultades concretas. Asimismo, la STC 37/1983, de 11 de mayo, vino a afirmar que la acción sindical comprende todos los medios lícitos que se desprenden de nuestro ordenamiento y de los tratados internacionales suscritos por España en la materia. Y también se ha afirmado en la precitada STC 75/1992, que es posible introducir diferencias entre los sindicatos para asegurar la efectividad de la propia actividad que se les encomienda, sin que por ello se vulnere la libertad sindical de los que no han recibido ese </w:t>
      </w:r>
      <w:r w:rsidRPr="009D7677">
        <w:rPr>
          <w:i/>
        </w:rPr>
        <w:t>plus</w:t>
      </w:r>
      <w:r>
        <w:t xml:space="preserve"> de derechos, en la medida en que estos conserven los derechos nucleares que integran la libertad sindical.</w:t>
      </w:r>
    </w:p>
    <w:p w14:paraId="716006EC" w14:textId="77777777" w:rsidR="009D7677" w:rsidRDefault="009D7677" w:rsidP="009D7677">
      <w:pPr>
        <w:pStyle w:val="TextoNormal"/>
      </w:pPr>
    </w:p>
    <w:p w14:paraId="0B1847F3" w14:textId="77777777" w:rsidR="009D7677" w:rsidRDefault="009D7677" w:rsidP="009D7677">
      <w:pPr>
        <w:pStyle w:val="TextoNormal"/>
      </w:pPr>
      <w:r>
        <w:lastRenderedPageBreak/>
        <w:t>En cuanto a la condición de “sindicato más representativo” en la doctrina constitucional, el auto cita varias resoluciones del Tribunal Constitucional relativas a la constitucionalidad de la exigencia de dicho requisito como criterio de participación en determinados campos, tras la definición de su singular posición jurídica en la acción sindical y participación institucional en el art. 6.1 de la Ley Orgánica 11/1985, de 2 de agosto, de libertad sindical. Destaca aquí la STC 99/1987, de 11 de junio, FJ 7, en la que, en relación al pase a la situación de servicios especiales, se afirma que esa distinción entre sindicatos más representativos y los que no lo son, resulta contraria a la Constitución por incompatibilidad con los arts. 14 y 28, pues no se justifica esa distinción entre sindicatos a efectos de exoneración del funcionario que en ellos ostente cargos, lo que supone una discriminación tanto en favor del funcionario como del sindicato “más representativo”.</w:t>
      </w:r>
    </w:p>
    <w:p w14:paraId="6519FFA2" w14:textId="77777777" w:rsidR="009D7677" w:rsidRDefault="009D7677" w:rsidP="009D7677">
      <w:pPr>
        <w:pStyle w:val="TextoNormal"/>
      </w:pPr>
    </w:p>
    <w:p w14:paraId="6531CC29" w14:textId="77777777" w:rsidR="009D7677" w:rsidRDefault="009D7677" w:rsidP="009D7677">
      <w:pPr>
        <w:pStyle w:val="TextoNormal"/>
      </w:pPr>
      <w:r>
        <w:t>Cita a continuación la STC 147/2001, en la que se afirma que el principio de igualdad de trato, connatural a un sistema de pluralidad y libertad sindical, no impide que, en determinadas ocasiones y para determinadas funciones, sea admisible un trato desigual a los sindicatos, sin vulneración del art. 14 CE, basado en el criterio de la mayor representatividad. Entre otras razones, porque se trata de un criterio que arranca de un dato objetivo, como es la voluntad de los trabajadores y funcionarios expresada en las elecciones a órganos de representación de trabajadores y funcionarios, y porque la promoción del hecho sindical, y la eficaz y efectiva defensa y promoción de los intereses de los trabajadores (art. 7 CE), finalidades también necesitadas de atención, pueden malograrse por una excesiva atomización sindical y la atribución de un carácter absoluto al principio de igualdad de trato y del libre e igual disfrute del derecho reconocido en el art. 28.1 CE. Diferencias de trato entre los sindicatos que, como también se ha dicho, tienen, no obstante, que cumplir los requisitos de objetividad, adecuación, razonabilidad y proporcionalidad.</w:t>
      </w:r>
    </w:p>
    <w:p w14:paraId="322185CF" w14:textId="77777777" w:rsidR="009D7677" w:rsidRDefault="009D7677" w:rsidP="009D7677">
      <w:pPr>
        <w:pStyle w:val="TextoNormal"/>
      </w:pPr>
    </w:p>
    <w:p w14:paraId="4EC916F5" w14:textId="77777777" w:rsidR="009D7677" w:rsidRDefault="009D7677" w:rsidP="009D7677">
      <w:pPr>
        <w:pStyle w:val="TextoNormal"/>
      </w:pPr>
      <w:r>
        <w:t>En cuanto a la posible inconstitucionalidad de los preceptos cuestionados de la Ley 30/2015, señala el auto que la institución de la mayor representatividad está admitida en la doctrina constitucional. No obstante, esa preferencia objetiva del legislador por unos sindicatos —los más representativos— frente a otros que no llegan a ese umbral de representatividad, no es ilimitada, sino que su intensidad se modula por razón de la materia de que se trate, debiendo ostentar una justificación objetiva y razonable, es decir, no arbitraria. Conforme a dicha jurisprudencia, es en el ámbito de la representación institucional de los intereses de los trabajadores donde resulta constitucional la preferencia de los sindicatos más representativos, pues ella arraiga, en este caso, en un dato objetivo, como es la voluntad de los trabajadores y funcionarios expresada en las elecciones a órganos de representación.</w:t>
      </w:r>
    </w:p>
    <w:p w14:paraId="1404D6C1" w14:textId="77777777" w:rsidR="009D7677" w:rsidRDefault="009D7677" w:rsidP="009D7677">
      <w:pPr>
        <w:pStyle w:val="TextoNormal"/>
      </w:pPr>
    </w:p>
    <w:p w14:paraId="16E32C25" w14:textId="7FF3AC35" w:rsidR="009D7677" w:rsidRDefault="009D7677" w:rsidP="009D7677">
      <w:pPr>
        <w:pStyle w:val="TextoNormal"/>
      </w:pPr>
      <w:r>
        <w:t xml:space="preserve">En el caso que se examina, considera la Sala que los preceptos controvertidos atribuyen a las organizaciones sindicales funciones de naturaleza esencialmente consultiva en materia de formación profesional, con la particularidad de que la financiación del sistema de formación profesional para el empleo se nutre, entre otros medios, de cuotas de todos los trabajadores, con independencia de su afiliación sindical (art. 6 de la Ley 30/2015). Por ello, afirma el auto, puede resultar plausible que un sindicato de notoria implantación nacional, como es el recurrente en el proceso </w:t>
      </w:r>
      <w:r w:rsidRPr="009D7677">
        <w:rPr>
          <w:i/>
        </w:rPr>
        <w:t>a quo</w:t>
      </w:r>
      <w:r>
        <w:t xml:space="preserve">, pueda participar en las labores de consulta y planificación diseñadas en la Ley 30/2015, pudiendo entenderse que la planificación estratégica de la formación profesional para el empleo, la detección de necesidades, el análisis prospectivo y “las demás cuestiones” previstas en los artículos cuestionados, no </w:t>
      </w:r>
      <w:r>
        <w:lastRenderedPageBreak/>
        <w:t>se integran en el ámbito de la representación institucional, que es donde la atomización sindical puede perjudicar la eficaz defensa de los intereses de los trabajadores, criterio en el que se sustenta la doctrina constitucional para justificar la institución de la mayor representatividad. Por estas razones, concluye el auto, los citados preceptos de la Ley 30/2015, en los incisos que se refieren a las organizaciones sindicales “más representativas” o “representativas en el correspondiente ámbito de actuación”, para poder participar en materia formativa, pueden vulnerar los arts. 14 y 28 CE, que garantizan el principio de igualdad y la pluralidad sindical.</w:t>
      </w:r>
    </w:p>
    <w:p w14:paraId="3BE5493D" w14:textId="77777777" w:rsidR="009D7677" w:rsidRDefault="009D7677" w:rsidP="009D7677">
      <w:pPr>
        <w:pStyle w:val="TextoNormal"/>
      </w:pPr>
    </w:p>
    <w:p w14:paraId="7764EE4D" w14:textId="5D45E1F5" w:rsidR="009D7677" w:rsidRDefault="009D7677" w:rsidP="009D7677">
      <w:pPr>
        <w:pStyle w:val="TextoNormal"/>
      </w:pPr>
      <w:r w:rsidRPr="009D7677">
        <w:rPr>
          <w:rStyle w:val="NumeroAFNegritaCaracter"/>
        </w:rPr>
        <w:t>4</w:t>
      </w:r>
      <w:r>
        <w:t>. El Pleno de este tribunal, a propuesta de la Sección Tercera, y por providencia de 20 de octubre de 2020, acordó admitir a trámite la presente cuestión de inconstitucionalidad; reservar para sí el conocimiento de esta, de conformidad con lo dispuesto en el art. 10.1 c) LOTC; dar traslado de las actuaciones al Congreso de los Diputados y al Senado por conducto de sus presidentes, al Gobierno por conducto del Ministerio de Justicia, y a la fiscal general del Estado, al objeto de que en el improrrogable plazo de quince días pudieran personarse en el proceso y formular las alegaciones que estimen convenientes. Asimismo, se acordó comunicar la admisión al órgano judicial proponente a fin de que, de conformidad con el art. 35.3 LOTC, permanezca suspendido el proceso hasta que este tribunal resuelva definitivamente la presente cuestión; y publicar la incoación de la cuestión en el “Boletín Oficial del Estado”.</w:t>
      </w:r>
    </w:p>
    <w:p w14:paraId="09EDC49E" w14:textId="77777777" w:rsidR="009D7677" w:rsidRDefault="009D7677" w:rsidP="009D7677">
      <w:pPr>
        <w:pStyle w:val="TextoNormal"/>
      </w:pPr>
    </w:p>
    <w:p w14:paraId="705877EA" w14:textId="690BD73C" w:rsidR="009D7677" w:rsidRDefault="009D7677" w:rsidP="009D7677">
      <w:pPr>
        <w:pStyle w:val="TextoNormal"/>
      </w:pPr>
      <w:r w:rsidRPr="009D7677">
        <w:rPr>
          <w:rStyle w:val="NumeroAFNegritaCaracter"/>
        </w:rPr>
        <w:t>5</w:t>
      </w:r>
      <w:r>
        <w:t>. La presidenta del Congreso de los Diputados, mediante escrito registrado en este tribunal el 5 de noviembre de 2020, acordó dar por personada a esa Cámara y por ofrecida su colaboración a los efectos del art. 88.1 LOTC. El presidente del Senado, en escrito registrado el 10 de noviembre de 2020, solicitó asimismo que se tuviera por personada a la Cámara y por ofrecida su colaboración a los efectos del art. 88.1 LOTC.</w:t>
      </w:r>
    </w:p>
    <w:p w14:paraId="55FE8F98" w14:textId="77777777" w:rsidR="009D7677" w:rsidRDefault="009D7677" w:rsidP="009D7677">
      <w:pPr>
        <w:pStyle w:val="TextoNormal"/>
      </w:pPr>
    </w:p>
    <w:p w14:paraId="4B881176" w14:textId="77777777" w:rsidR="009D7677" w:rsidRDefault="009D7677" w:rsidP="009D7677">
      <w:pPr>
        <w:pStyle w:val="TextoNormal"/>
      </w:pPr>
      <w:r w:rsidRPr="009D7677">
        <w:rPr>
          <w:rStyle w:val="NumeroAFNegritaCaracter"/>
        </w:rPr>
        <w:t>6</w:t>
      </w:r>
      <w:r>
        <w:t>. El abogado del Estado presentó su escrito de alegaciones el 18 de noviembre de 2020, en el que solicita la inadmisión a trámite de la presente cuestión de inconstitucionalidad, y, subsidiariamente, su desestimación.</w:t>
      </w:r>
    </w:p>
    <w:p w14:paraId="6DC09EB6" w14:textId="77777777" w:rsidR="009D7677" w:rsidRDefault="009D7677" w:rsidP="009D7677">
      <w:pPr>
        <w:pStyle w:val="TextoNormal"/>
      </w:pPr>
    </w:p>
    <w:p w14:paraId="417C734C" w14:textId="77777777" w:rsidR="009D7677" w:rsidRDefault="009D7677" w:rsidP="009D7677">
      <w:pPr>
        <w:pStyle w:val="TextoNormal"/>
      </w:pPr>
      <w:r>
        <w:t xml:space="preserve">Considera el abogado del Estado que el auto de planteamiento se limita a recoger la argumentación del sindicato recurrente, sin expresar los motivos por los que, a su juicio, los preceptos cuestionados pueden resultar inconstitucionales. La Sala no habría desarrollado fundamentación alguna que explicase en qué medida dichos preceptos no contemplan un supuesto de representación institucional. Es discutible, por ello, que exista una verdadera duda de constitucionalidad. El auto se limita en este punto, según señala el abogado del Estado, a afirmar que “no se entiende que la planificación estratégica de la formación profesional para el empleo, la detección de necesidades, el análisis prospectivo y </w:t>
      </w:r>
      <w:r w:rsidRPr="009D7677">
        <w:rPr>
          <w:i/>
        </w:rPr>
        <w:t>las demás cuestiones</w:t>
      </w:r>
      <w:r>
        <w:t xml:space="preserve"> previstas en los artículos de la Ley 30/2015, más arriba consignados, se integre en el ámbito de la representación institucional” (énfasis añadido), sin explicitar los fundamentos que permiten llegar a esa conclusión.</w:t>
      </w:r>
    </w:p>
    <w:p w14:paraId="24470513" w14:textId="77777777" w:rsidR="009D7677" w:rsidRDefault="009D7677" w:rsidP="009D7677">
      <w:pPr>
        <w:pStyle w:val="TextoNormal"/>
      </w:pPr>
    </w:p>
    <w:p w14:paraId="644AE326" w14:textId="77777777" w:rsidR="009D7677" w:rsidRDefault="009D7677" w:rsidP="009D7677">
      <w:pPr>
        <w:pStyle w:val="TextoNormal"/>
      </w:pPr>
      <w:r>
        <w:t xml:space="preserve">Sostiene, por otro lado, el abogado del Estado que la Sala, pese a partir de la base de que “la financiación del sistema de formación profesional se nutre, entre otros medios, de cuotas de todos los trabajadores, independientemente de su afiliación sindical”, que es el elemento que, aparentemente, hace surgir la duda al órgano </w:t>
      </w:r>
      <w:r w:rsidRPr="009D7677">
        <w:rPr>
          <w:i/>
        </w:rPr>
        <w:t>a quo</w:t>
      </w:r>
      <w:r>
        <w:t xml:space="preserve">, la solución a la que </w:t>
      </w:r>
      <w:r>
        <w:lastRenderedPageBreak/>
        <w:t>llega como “plausible” no es diferente a la contenida en el texto legal cuestionado, pues el auto defiende la participación en el sistema de un “sindicato de notoria implantación nacional”, es decir sustituye el criterio de la representatividad, previsto en la Ley 30/2015, por la notoria implantación nacional, en lo que el abogado del Estado considera un puro ejercicio de reconstrucción del precepto legal.</w:t>
      </w:r>
    </w:p>
    <w:p w14:paraId="1B007669" w14:textId="77777777" w:rsidR="009D7677" w:rsidRDefault="009D7677" w:rsidP="009D7677">
      <w:pPr>
        <w:pStyle w:val="TextoNormal"/>
      </w:pPr>
    </w:p>
    <w:p w14:paraId="555221C5" w14:textId="77777777" w:rsidR="009D7677" w:rsidRDefault="009D7677" w:rsidP="009D7677">
      <w:pPr>
        <w:pStyle w:val="TextoNormal"/>
      </w:pPr>
      <w:r>
        <w:t xml:space="preserve">Señala que el auto de planteamiento parece reconocer de forma implícita que las organizaciones sindicales más representativas o las representativas, por su propia naturaleza, gozan de capacidad suficiente para garantizar la mejor eficacia y eficiencia en el desarrollo de las funciones encomendadas en los preceptos impugnados y de los fines que estos persiguen, lo que legitima su participación. También parece reconocer que otras organizaciones con menor grado de presencia o capacidad no ofrecerían garantías suficientes para llevar a cabo este tipo de funciones. Partiendo de ello, entiende el abogado del Estado, que el auto de planteamiento sustituye la representatividad, a la que no niega fundamento objetivo y proporcional, por un concepto indeterminado que crea </w:t>
      </w:r>
      <w:r w:rsidRPr="009D7677">
        <w:rPr>
          <w:i/>
        </w:rPr>
        <w:t>ex novo</w:t>
      </w:r>
      <w:r>
        <w:t>, como es el de la notoria implantación a nivel nacional, por lo que no existe en rigor duda de constitucionalidad, sino una reconstrucción de los preceptos legales. Por este motivo, concluye que el auto no ofrece un pormenorizado análisis de las cuestiones suscitadas por los preceptos cuestionados, lo que debería llevar a la inadmisión de la presente cuestión de inconstitucionalidad.</w:t>
      </w:r>
    </w:p>
    <w:p w14:paraId="038AA6EA" w14:textId="77777777" w:rsidR="009D7677" w:rsidRDefault="009D7677" w:rsidP="009D7677">
      <w:pPr>
        <w:pStyle w:val="TextoNormal"/>
      </w:pPr>
    </w:p>
    <w:p w14:paraId="1A91C747" w14:textId="77777777" w:rsidR="009D7677" w:rsidRDefault="009D7677" w:rsidP="009D7677">
      <w:pPr>
        <w:pStyle w:val="TextoNormal"/>
      </w:pPr>
      <w:r>
        <w:t>El abogado del Estado examina, a continuación, la evolución legislativa del sistema de formación profesional para el empleo. Considera al respecto que tanto la Ley 30/2015, de 9 de septiembre, como el Real Decreto-ley 4/2015, de 22 de marzo, han acometido una reforma integral del citado sistema, en la que se impulsa el liderazgo y protagonismo de las organizaciones sindicales y empresariales más representativas en el diseño estratégico, la planificación, programación, difusión, control, seguimiento y evaluación de la formación profesional para el empleo. La finalidad de la reforma es hacer el mejor aprovechamiento posible de la experiencia y conocimiento que puede aportar la cercanía de las organizaciones sindicales al tejido productivo. En estas funciones colaboran y participan las organizaciones sindicales más representativas, al tratarse de funciones propias de la representación institucional, que se encuentra reservada a aquellas.</w:t>
      </w:r>
    </w:p>
    <w:p w14:paraId="60DE8B96" w14:textId="77777777" w:rsidR="009D7677" w:rsidRDefault="009D7677" w:rsidP="009D7677">
      <w:pPr>
        <w:pStyle w:val="TextoNormal"/>
      </w:pPr>
    </w:p>
    <w:p w14:paraId="56D4B14D" w14:textId="77777777" w:rsidR="009D7677" w:rsidRDefault="009D7677" w:rsidP="009D7677">
      <w:pPr>
        <w:pStyle w:val="TextoNormal"/>
      </w:pPr>
      <w:r>
        <w:t>Subraya que, a diferencia de la anterior regulación, se elimina la posibilidad de que las organizaciones empresariales y sindicales más representativas y representativas puedan ser beneficiarias de subvenciones públicas destinadas a ejecutar acciones formativas, de modo que su intervención queda fundamentalmente circunscrita a la evaluación, diseño, planificación, y detección de necesidades formativas del sistema de formación profesional para el empleo, así como a formar parte de diversos órganos tripartitos de gobernanza del sistema, junto con la Administración General del Estado y las comunidades autónomas. Es por ello por lo que no puede tenerse en cuenta, para la resolución de la controversia planteada, la jurisprudencia citada por USO en relación con aquellos recursos en los que el sindicato recurrente reclamaba ostentar la condición de entidad beneficiaria de subvenciones públicas para ejecutar planes de formación, al no ser aplicable al caso.</w:t>
      </w:r>
    </w:p>
    <w:p w14:paraId="556B8177" w14:textId="77777777" w:rsidR="009D7677" w:rsidRDefault="009D7677" w:rsidP="009D7677">
      <w:pPr>
        <w:pStyle w:val="TextoNormal"/>
      </w:pPr>
    </w:p>
    <w:p w14:paraId="22E126D7" w14:textId="77777777" w:rsidR="009D7677" w:rsidRDefault="009D7677" w:rsidP="009D7677">
      <w:pPr>
        <w:pStyle w:val="TextoNormal"/>
      </w:pPr>
      <w:r>
        <w:t>Examina asimismo el abogado del Estado la doctrina constitucional y la jurisprudencia ordinaria en esta materia. De conformidad con la misma, el criterio de la mayor representatividad conculcaría la libertad sindical si fuera utilizado como criterio exclusivo y exclu</w:t>
      </w:r>
      <w:r>
        <w:lastRenderedPageBreak/>
        <w:t>yente para determinar el acceso de las organizaciones sindicales a unas subvenciones públicas cuya finalidad es susceptible de incardinarse dentro de los fines de defensa y promoción de los intereses económicos y sociales que se atribuyen en la Constitución a todos los sindicatos sin distinción. Y ello porque este tipo de subvenciones tiene incidencia en el orden competitivo entre los sindicatos, de modo que, si fueran destinadas en exclusiva a los sindicatos situados en el vértice, colocarían a estos en una posición superior a los demás. Por el contrario, el Tribunal Constitucional considera que el derecho de participación institucional se encuentra entre los derechos adicionales del derecho de libertad sindical, y, por tanto, puede concederse en exclusiva a unos determinados sindicatos, dado que sobrepasa el núcleo de la libertad sindical que debe ser garantizado a todas las organizaciones sindicales.</w:t>
      </w:r>
    </w:p>
    <w:p w14:paraId="1FF3E3B6" w14:textId="77777777" w:rsidR="009D7677" w:rsidRDefault="009D7677" w:rsidP="009D7677">
      <w:pPr>
        <w:pStyle w:val="TextoNormal"/>
      </w:pPr>
    </w:p>
    <w:p w14:paraId="1AC4D978" w14:textId="77777777" w:rsidR="009D7677" w:rsidRDefault="009D7677" w:rsidP="009D7677">
      <w:pPr>
        <w:pStyle w:val="TextoNormal"/>
      </w:pPr>
      <w:r>
        <w:t>En cuanto a las funciones de seguimiento y detección de necesidades del subsistema de formación, la doctrina considera que tiene una “específica justificación en la conveniencia de lograr una correcta adecuación de los planes de formación a las necesidades del ámbito o sector al que se dirigen, lo que pone de relieve el importante papel que desempeñan estas entidades para detectar tales necesidades, por su inmediato contacto con la realidad laboral y empresarial”. Afirma el Tribunal que “la recurrente no puede ampararse en el contenido esencial de su libertad sindical para exigir que le sea permitido estar presente en todo caso en los centros en que se toman las decisiones de política social o económica, pues esa participación en organismos tripartitos no emana necesariamente de la libertad sindical, sino que es creación de la ley, en sentido amplio, y a ella sola debe ser remitida” (STC 39/1986, FJ 3).</w:t>
      </w:r>
    </w:p>
    <w:p w14:paraId="443FE936" w14:textId="77777777" w:rsidR="009D7677" w:rsidRDefault="009D7677" w:rsidP="009D7677">
      <w:pPr>
        <w:pStyle w:val="TextoNormal"/>
      </w:pPr>
    </w:p>
    <w:p w14:paraId="5779EBF6" w14:textId="77777777" w:rsidR="009D7677" w:rsidRDefault="009D7677" w:rsidP="009D7677">
      <w:pPr>
        <w:pStyle w:val="TextoNormal"/>
      </w:pPr>
      <w:r>
        <w:t>Se cita asimismo la sentencia de la Sala de lo Contencioso-Administrativo de la Audiencia Nacional 1451/2014, de 19 de marzo, en la que se desestiman las pretensiones de USO, que se oponía a que las organizaciones sindicales más representativas formaran parte de la comisión permanente del Patronato de la Fundación Tripartita para la Formación en el Empleo. Y la sentencia del Tribunal Supremo de 22 de enero de 2014 (recurso 3548-2008), en la que se reconoce que la participación de los sindicatos más representativos en la Comisión General para la Formación Continua, prevista en el IV Acuerdo de formación continua de las administraciones públicas, no es discriminatoria ni atenta contra la libertad sindical. En base a ello, se afirma que la participación de los sindicatos más representativos en la comisión permanente de la Fundación Tripartita para la Formación en el Empleo no atenta a la libertad sindical.</w:t>
      </w:r>
    </w:p>
    <w:p w14:paraId="65A3289C" w14:textId="77777777" w:rsidR="009D7677" w:rsidRDefault="009D7677" w:rsidP="009D7677">
      <w:pPr>
        <w:pStyle w:val="TextoNormal"/>
      </w:pPr>
    </w:p>
    <w:p w14:paraId="6A7D32F6" w14:textId="77777777" w:rsidR="009D7677" w:rsidRDefault="009D7677" w:rsidP="009D7677">
      <w:pPr>
        <w:pStyle w:val="TextoNormal"/>
      </w:pPr>
      <w:r>
        <w:t>Entiende el abogado del Estado que la participación o intervención de los agentes sociales en el nuevo sistema de formación profesional para el empleo, no conculca el derecho de libertad sindical. Tras citar lo señalado en el art. 6 de la Ley Orgánica de libertad sindical, afirma que las funciones encomendadas a las organizaciones sindicales más representativas y simplemente representativas se enmarcan en las funciones de participación institucional que la ley orgánica reserva a las organizaciones que alcancen tal condición.</w:t>
      </w:r>
    </w:p>
    <w:p w14:paraId="37984800" w14:textId="77777777" w:rsidR="009D7677" w:rsidRDefault="009D7677" w:rsidP="009D7677">
      <w:pPr>
        <w:pStyle w:val="TextoNormal"/>
      </w:pPr>
    </w:p>
    <w:p w14:paraId="2D49EF2C" w14:textId="77777777" w:rsidR="009D7677" w:rsidRDefault="009D7677" w:rsidP="009D7677">
      <w:pPr>
        <w:pStyle w:val="TextoNormal"/>
      </w:pPr>
      <w:r>
        <w:t>Las funciones previstas en los preceptos cuestionados no se refieren al desarrollo y ejecución de acciones formativas destinadas a los trabajadores, sino a participar y colaborar con la administración en la planificación y evaluación del sistema de formación profesional para el empleo; participar en la detección de necesidades formativas, en el diseño, programación y difusión de programas de formación transversales y de programas de cualifi</w:t>
      </w:r>
      <w:r>
        <w:lastRenderedPageBreak/>
        <w:t>cación y reconocimiento profesional; emitir informe no vinculante sobre la formación de desempleados; ser consultadas por la administración para la implantación del cheque de formación; participar en el Patronato de la Fundación estatal para la Formación en el Empleo y formar parte de la estructuras paritarias sectoriales. Se trata en todos estos casos de actuaciones que se sitúan en el marco de la participación institucional con otros agentes y administraciones públicas implicadas en el sistema de formación profesional de empleo, actuaciones que no se incluyen en el núcleo de la libertad sindical ni afectan a la proyección de un sindicato hacia sus afiliados, ni a su labor de promoción.</w:t>
      </w:r>
    </w:p>
    <w:p w14:paraId="480F5502" w14:textId="77777777" w:rsidR="009D7677" w:rsidRDefault="009D7677" w:rsidP="009D7677">
      <w:pPr>
        <w:pStyle w:val="TextoNormal"/>
      </w:pPr>
    </w:p>
    <w:p w14:paraId="6869CCA2" w14:textId="77777777" w:rsidR="009D7677" w:rsidRDefault="009D7677" w:rsidP="009D7677">
      <w:pPr>
        <w:pStyle w:val="TextoNormal"/>
      </w:pPr>
      <w:r>
        <w:t>A juicio del abogado del Estado, si se quiere implantar un sistema eficaz y eficiente, no se puede reconocer la posibilidad de que cualquier sindicato, por muy minoritario que sea, pueda realizar las actividades que se contemplan en los preceptos cuestionados. Pretender que cientos de organizaciones empresariales y sindicales, al margen de su grado de representatividad o implantación, participen en esas actividades, atendiendo a un grado de representatividad que el demandante no se atreve a determinar, provocaría una atomización sindical y empresarial que impediría cumplir las funciones que a los agentes sociales atribuye la ley. Las organizaciones sindicales más representativas y representativas, por su propia naturaleza, gozan de capacidad suficiente para garantizar la mejor eficacia y eficiencia en el desarrollo de las funciones encomendadas en los preceptos impugnados, lo que legitima su participación, dado que otras organizaciones con menor grado de presencia o capacidad no ofrecerían garantías suficientes para llevar a cabo este tipo de funciones.</w:t>
      </w:r>
    </w:p>
    <w:p w14:paraId="46F12E60" w14:textId="77777777" w:rsidR="009D7677" w:rsidRDefault="009D7677" w:rsidP="009D7677">
      <w:pPr>
        <w:pStyle w:val="TextoNormal"/>
      </w:pPr>
    </w:p>
    <w:p w14:paraId="4AD5C63E" w14:textId="77777777" w:rsidR="009D7677" w:rsidRDefault="009D7677" w:rsidP="009D7677">
      <w:pPr>
        <w:pStyle w:val="TextoNormal"/>
      </w:pPr>
      <w:r>
        <w:t>Afirma así que la exigencia de representatividad, en los términos que se recogen en el real decreto cuestionado, resulta proporcionada y justificada, y de la misma no cabe inferir vulneración alguna de los derechos fundamentales alegados. Es más, si el sindicato recurrente ostenta representación suficiente en algún ámbito o sector, nada impide que participe en las actividades previstas en los preceptos impugnados, pues no se circunscriben únicamente a los sindicatos más representativos, ya que muchas de ellas aluden a los sindicatos simplemente representativos.</w:t>
      </w:r>
    </w:p>
    <w:p w14:paraId="0C759516" w14:textId="77777777" w:rsidR="009D7677" w:rsidRDefault="009D7677" w:rsidP="009D7677">
      <w:pPr>
        <w:pStyle w:val="TextoNormal"/>
      </w:pPr>
    </w:p>
    <w:p w14:paraId="17823E20" w14:textId="77777777" w:rsidR="009D7677" w:rsidRDefault="009D7677" w:rsidP="009D7677">
      <w:pPr>
        <w:pStyle w:val="TextoNormal"/>
      </w:pPr>
      <w:r>
        <w:t>Recuerda que la igualdad de trato no tiene un alcance absoluto, y así lo ha afirmado el Tribunal Constitucional en una reiterada doctrina, que no hace sino transponer al concreto ámbito de la libertad sindical la propia doctrina constitucional relativa al art. 14 CE (cita las SSTC 98/1985; 188/1995; 95/1996, de 29 de mayo; 37/1998, de 17 de febrero, y 18/2003, de 30 de enero). En el presente caso, considera que se dan circunstancias objetivas, razonables y proporcionadas que exigen que únicamente puedan desarrollarse las actividades controvertidas por las organizaciones sindicales que cuenten con un determinado nivel de representación en su ámbito o sector, pues solo estas, por su propia naturaleza, gozan de una capacidad suficiente para garantizar la eficacia en el desarrollo de dichas funciones.</w:t>
      </w:r>
    </w:p>
    <w:p w14:paraId="6BFA7DD3" w14:textId="77777777" w:rsidR="009D7677" w:rsidRDefault="009D7677" w:rsidP="009D7677">
      <w:pPr>
        <w:pStyle w:val="TextoNormal"/>
      </w:pPr>
    </w:p>
    <w:p w14:paraId="68A51A9B" w14:textId="1202F75C" w:rsidR="009D7677" w:rsidRDefault="009D7677" w:rsidP="009D7677">
      <w:pPr>
        <w:pStyle w:val="TextoNormal"/>
      </w:pPr>
      <w:r>
        <w:t>Concluye, por todo ello, el abogado del Estado que no existe, en rigor, duda de constitucionalidad, pues lo que se pretende en el auto de planteamiento es una reconstrucción de los preceptos legales aplicables, y que la cuestión, en todo caso, debería ser desestimada.</w:t>
      </w:r>
    </w:p>
    <w:p w14:paraId="03DBF694" w14:textId="77777777" w:rsidR="009D7677" w:rsidRDefault="009D7677" w:rsidP="009D7677">
      <w:pPr>
        <w:pStyle w:val="TextoNormal"/>
      </w:pPr>
    </w:p>
    <w:p w14:paraId="05EADEE9" w14:textId="77777777" w:rsidR="009D7677" w:rsidRDefault="009D7677" w:rsidP="009D7677">
      <w:pPr>
        <w:pStyle w:val="TextoNormal"/>
      </w:pPr>
      <w:r w:rsidRPr="009D7677">
        <w:rPr>
          <w:rStyle w:val="NumeroAFNegritaCaracter"/>
        </w:rPr>
        <w:t>7</w:t>
      </w:r>
      <w:r>
        <w:t>. En fecha 24 de noviembre de 2020 tiene entrada en el registro de este tribunal el escrito de alegaciones de la fiscal general del Estado.</w:t>
      </w:r>
    </w:p>
    <w:p w14:paraId="3C8A2F21" w14:textId="77777777" w:rsidR="009D7677" w:rsidRDefault="009D7677" w:rsidP="009D7677">
      <w:pPr>
        <w:pStyle w:val="TextoNormal"/>
      </w:pPr>
    </w:p>
    <w:p w14:paraId="64D3FA96" w14:textId="77777777" w:rsidR="009D7677" w:rsidRDefault="009D7677" w:rsidP="009D7677">
      <w:pPr>
        <w:pStyle w:val="TextoNormal"/>
      </w:pPr>
      <w:r>
        <w:t>Tras referirse a los antecedentes de la presente cuestión de inconstitucionalidad, señala la fiscal general que la duda planteada debe reconducirse al examen de la vulneración de la libertad sindical (art. 28.1 CE), pues es doctrina inconcusa del Tribunal Constitucional desde la STC 53/1982 que en el derecho a la libertad sindical está implícito el de igualdad de trato entre sindicatos. Ambas denuncias deben, por ello, examinarse de forma conjunta.</w:t>
      </w:r>
    </w:p>
    <w:p w14:paraId="69538F6A" w14:textId="77777777" w:rsidR="009D7677" w:rsidRDefault="009D7677" w:rsidP="009D7677">
      <w:pPr>
        <w:pStyle w:val="TextoNormal"/>
      </w:pPr>
    </w:p>
    <w:p w14:paraId="44FB4BB1" w14:textId="77777777" w:rsidR="009D7677" w:rsidRDefault="009D7677" w:rsidP="009D7677">
      <w:pPr>
        <w:pStyle w:val="TextoNormal"/>
      </w:pPr>
      <w:r>
        <w:t>Se refiere a continuación la fiscal general al objeto y contenido de la Ley 30/2015. En este punto, reproduce literalmente lo dispuesto en los preceptos controvertidos. Recuerda asimismo, apelando a lo expresado en el preámbulo de la Ley 30/2015, que el sistema de formación profesional ha sido un modelo de gestión compartido entre las administraciones públicas (Administración General del Estado y comunidades autónomas) y las instituciones sociales. Cita al respecto la Ley 51/1980, básica de empleo; el Real Decreto 631/1993, por el que se regula el plan nacional de formación e inserción profesional; el Real Decreto 1046/2003, por el que se regula el sistema de formación profesional continua, el acuerdo de formación profesional para el empleo firmado por el Gobierno y los interlocutores sociales el 7 de febrero de 2006, que apuesta por un modelo integrado de formación para el empleo; y el Real Decreto 395/2007, por el que se regula el subsistema de formación profesional para el empleo, que integra la formación ocupacional y la formación continua en un único modelo de formación profesional para el empleo.</w:t>
      </w:r>
    </w:p>
    <w:p w14:paraId="754A19E0" w14:textId="77777777" w:rsidR="009D7677" w:rsidRDefault="009D7677" w:rsidP="009D7677">
      <w:pPr>
        <w:pStyle w:val="TextoNormal"/>
      </w:pPr>
    </w:p>
    <w:p w14:paraId="37173A2E" w14:textId="77777777" w:rsidR="009D7677" w:rsidRDefault="009D7677" w:rsidP="009D7677">
      <w:pPr>
        <w:pStyle w:val="TextoNormal"/>
      </w:pPr>
      <w:r>
        <w:t>El subsistema de formación profesional para el empleo se incorpora al marco legal vigente por el Real Decreto-ley 3/2011, de medidas urgentes para la mejora de la empleabilidad y reforma de políticas activas de empleo; y el acuerdo de propuestas para la negociación tripartita para fortalecer el crecimiento económico y el empleo, firmado por el Gobierno y los interlocutores sociales el 29 de julio de 2015, recoge un compromiso con el desarrollo de medidas concretas en diversos ámbitos, incluida la voluntad de trabajar para transformar el sistema de formación profesional para el empleo sobre la base del diálogo social.</w:t>
      </w:r>
    </w:p>
    <w:p w14:paraId="0AD01713" w14:textId="77777777" w:rsidR="009D7677" w:rsidRDefault="009D7677" w:rsidP="009D7677">
      <w:pPr>
        <w:pStyle w:val="TextoNormal"/>
      </w:pPr>
    </w:p>
    <w:p w14:paraId="037CCE24" w14:textId="77777777" w:rsidR="009D7677" w:rsidRDefault="009D7677" w:rsidP="009D7677">
      <w:pPr>
        <w:pStyle w:val="TextoNormal"/>
      </w:pPr>
      <w:r>
        <w:t>A continuación, el escrito de la fiscal general viene a reproducir lo señalado en el art. 6.1 de la Ley Orgánica de libertad sindical; reitera que la STC 147/2001 señala que el criterio de mayor representatividad se considera objetivo y razonable para establecer la participación de los representantes de los trabajadores en los organismos internacionales y desarrollar tareas de representación institucional, y reproduce literalmente lo recogido en el fundamento jurídico 4 de la STC 39/1986 (reiterado en el fundamento jurídico 4 de las SSTC 184/1987, de 18 de noviembre, y 7/1990, de 18 de enero).</w:t>
      </w:r>
    </w:p>
    <w:p w14:paraId="30E02BB6" w14:textId="77777777" w:rsidR="009D7677" w:rsidRDefault="009D7677" w:rsidP="009D7677">
      <w:pPr>
        <w:pStyle w:val="TextoNormal"/>
      </w:pPr>
    </w:p>
    <w:p w14:paraId="2CED3749" w14:textId="77777777" w:rsidR="009D7677" w:rsidRDefault="009D7677" w:rsidP="009D7677">
      <w:pPr>
        <w:pStyle w:val="TextoNormal"/>
      </w:pPr>
      <w:r>
        <w:t xml:space="preserve">Con estos antecedentes, la fiscal general estima que la restricción de la participación a las organizaciones sindicales más representativas o representativas se acomoda a la doctrina del Tribunal Constitucional, pues esta considera que la participación institucional es la participación ejercida en organismos públicos. En el supuesto planteado, las instituciones reguladas pertenecen al sector público estatal. Dicha participación requiere que venga delimitada a la defensa de los intereses generales y no los propios de las organizaciones que ostentan la representación, lo cual también acontece con la formación profesional de que se trata, pues las actividades de formación producen efectos más allá de los afiliados al sindicato, al estar dirigidas a todos los trabajadores. La participación institucional no deriva de que se concrete en funciones decisorias o consultivas, ni en el origen de los fondos </w:t>
      </w:r>
      <w:r>
        <w:lastRenderedPageBreak/>
        <w:t>de que se nutre el sistema sino, reitera, en la naturaleza pública de los organismos afectados y en la necesidad de defender en ellos los intereses generales y no los propios de la organización que ostenta la representación. Por ello, ninguna de las razones aducidas por el auto de planteamiento sería válida para excluir que, en el supuesto planteado, estemos ante un caso de participación institucional.</w:t>
      </w:r>
    </w:p>
    <w:p w14:paraId="6AB8D60D" w14:textId="77777777" w:rsidR="009D7677" w:rsidRDefault="009D7677" w:rsidP="009D7677">
      <w:pPr>
        <w:pStyle w:val="TextoNormal"/>
      </w:pPr>
    </w:p>
    <w:p w14:paraId="1ADE9AAC" w14:textId="0E66D6CA" w:rsidR="009D7677" w:rsidRDefault="009D7677" w:rsidP="009D7677">
      <w:pPr>
        <w:pStyle w:val="TextoNormal"/>
      </w:pPr>
      <w:r>
        <w:t>Concluye, por todo ello, solicitando que se dicte sentencia en la que se declare la constitucionalidad de los preceptos impugnados.</w:t>
      </w:r>
    </w:p>
    <w:p w14:paraId="3D9E1B62" w14:textId="77777777" w:rsidR="009D7677" w:rsidRDefault="009D7677" w:rsidP="009D7677">
      <w:pPr>
        <w:pStyle w:val="TextoNormal"/>
      </w:pPr>
    </w:p>
    <w:p w14:paraId="733DB1DC" w14:textId="77777777" w:rsidR="009D7677" w:rsidRDefault="009D7677" w:rsidP="009D7677">
      <w:pPr>
        <w:pStyle w:val="TextoNormal"/>
      </w:pPr>
      <w:r w:rsidRPr="009D7677">
        <w:rPr>
          <w:rStyle w:val="NumeroAFNegritaCaracter"/>
        </w:rPr>
        <w:t>8</w:t>
      </w:r>
      <w:r>
        <w:t>. La representación del sindicato USO presentó el escrito de alegaciones en fecha 21 de diciembre de 2020.</w:t>
      </w:r>
    </w:p>
    <w:p w14:paraId="616D087E" w14:textId="77777777" w:rsidR="009D7677" w:rsidRDefault="009D7677" w:rsidP="009D7677">
      <w:pPr>
        <w:pStyle w:val="TextoNormal"/>
      </w:pPr>
    </w:p>
    <w:p w14:paraId="4524E697" w14:textId="77777777" w:rsidR="009D7677" w:rsidRDefault="009D7677" w:rsidP="009D7677">
      <w:pPr>
        <w:pStyle w:val="TextoNormal"/>
      </w:pPr>
      <w:r>
        <w:t>En dicho escrito se argumenta que las funciones contempladas en los preceptos controvertidos no se encuadran en el ámbito de la representación institucional. La finalidad de la participación sindical en este concreto ámbito consiste, según señala USO, en colaborar para que se facilite al conjunto de los trabajadores la formación profesional necesaria, para lo que han de verse representados por sus sindicatos en la planificación y evaluación del sistema de formación profesional para el empleo, en la detección de necesidades formativas y en el diseño, programación y difusión de acciones formativas en el correspondiente ámbito de actuación. A todo ello deben tener acceso, en función de su representatividad, las organizaciones sindicales que no alcanzan la condición de más representativas y/o representativas, por no tratarse de funciones propias de la representación institucional. Lo contrario sería lesivo, en opinión de USO, de los arts. 14 y 28 CE.</w:t>
      </w:r>
    </w:p>
    <w:p w14:paraId="5BCDF344" w14:textId="77777777" w:rsidR="009D7677" w:rsidRDefault="009D7677" w:rsidP="009D7677">
      <w:pPr>
        <w:pStyle w:val="TextoNormal"/>
      </w:pPr>
    </w:p>
    <w:p w14:paraId="375A722F" w14:textId="77777777" w:rsidR="009D7677" w:rsidRDefault="009D7677" w:rsidP="009D7677">
      <w:pPr>
        <w:pStyle w:val="TextoNormal"/>
      </w:pPr>
      <w:r>
        <w:t>Recuerda el sindicato que en la Ley Orgánica de libertad sindical se reservan una serie de funciones a los sindicatos “más representativos” y “representativos”, que se vinculan a la llamada representación institucional, a la negociación colectiva y a la participación en la determinación de las condiciones de trabajo, en los sistemas no jurisdiccionales de solución de conflictos de trabajo, la promoción de elecciones, así como cualquier otra función representativa que se establezca. No existiría, según añade, ninguna justificación ni base legal para exigir el requisito de representatividad en la participación en materia formativa, pues la Ley Orgánica de libertad sindical no lo contempla en este concreto ámbito.</w:t>
      </w:r>
    </w:p>
    <w:p w14:paraId="2E0DA897" w14:textId="77777777" w:rsidR="009D7677" w:rsidRDefault="009D7677" w:rsidP="009D7677">
      <w:pPr>
        <w:pStyle w:val="TextoNormal"/>
      </w:pPr>
    </w:p>
    <w:p w14:paraId="6141B625" w14:textId="77777777" w:rsidR="009D7677" w:rsidRDefault="009D7677" w:rsidP="009D7677">
      <w:pPr>
        <w:pStyle w:val="TextoNormal"/>
      </w:pPr>
      <w:r>
        <w:t>Afirma también el sindicato que debe aplicarse en el ámbito formativo el criterio de proporcionalidad, en cuanto criterio no discriminatorio. La exigencia del plus de representatividad fomentaría la afiliación a aquellos sindicatos a los que está abierta la participación en materia de formación profesional, e incidiría, por ello, en el orden competitivo, situando a estas organizaciones en una posición de superioridad. Afectaría, por ello, a la libertad sindical en sus dos vertientes, individual y colectiva.</w:t>
      </w:r>
    </w:p>
    <w:p w14:paraId="56BFC70F" w14:textId="77777777" w:rsidR="009D7677" w:rsidRDefault="009D7677" w:rsidP="009D7677">
      <w:pPr>
        <w:pStyle w:val="TextoNormal"/>
      </w:pPr>
    </w:p>
    <w:p w14:paraId="433FA855" w14:textId="77777777" w:rsidR="009D7677" w:rsidRDefault="009D7677" w:rsidP="009D7677">
      <w:pPr>
        <w:pStyle w:val="TextoNormal"/>
      </w:pPr>
      <w:r>
        <w:t xml:space="preserve">Se argumenta, asimismo, que el sistema de formación profesional se financia con dinero público y con las cuotas que aportan todos los trabajadores, afiliados o no a los sindicatos más representativos, por lo que son los intereses del conjunto de los trabajadores los que deben prevalecer sobre los particulares de los sindicatos, sean o no más representativos, en provecho de las expectativas para las que se promueve el fenómeno de la formación profesional. Sostiene también que todos los trabajadores contribuyen con las aportaciones del 0,10 por 100 de sus cotizaciones a la financiación de un sistema formativo en el que solamente se permite colaborar a los sindicatos más representativos, lo que habilita a </w:t>
      </w:r>
      <w:r>
        <w:lastRenderedPageBreak/>
        <w:t>estos administrar las aportaciones efectuadas por los afiliados de USO, así como las de los no afiliados a ningún sindicato.</w:t>
      </w:r>
    </w:p>
    <w:p w14:paraId="6444C44E" w14:textId="77777777" w:rsidR="009D7677" w:rsidRDefault="009D7677" w:rsidP="009D7677">
      <w:pPr>
        <w:pStyle w:val="TextoNormal"/>
      </w:pPr>
    </w:p>
    <w:p w14:paraId="4736BEE0" w14:textId="4AE02069" w:rsidR="009D7677" w:rsidRDefault="009D7677" w:rsidP="009D7677">
      <w:pPr>
        <w:pStyle w:val="TextoNormal"/>
      </w:pPr>
      <w:r>
        <w:t>Señala, finalmente, USO que la realidad demuestra que los aspectos relacionados con la formación son claves para el crecimiento afiliativo y el acceso de los sindicatos a colectivos que tradicionalmente no se afilian. Recuerda que USO es la tercera fuerza sindical a nivel nacional por lo que ostenta el carácter de notoria y suficiente implantación nacional, lo que justifica su participación en el ámbito de la formación profesional.</w:t>
      </w:r>
    </w:p>
    <w:p w14:paraId="5396BE5E" w14:textId="77777777" w:rsidR="009D7677" w:rsidRDefault="009D7677" w:rsidP="009D7677">
      <w:pPr>
        <w:pStyle w:val="TextoNormal"/>
      </w:pPr>
    </w:p>
    <w:p w14:paraId="1FAF6CC0" w14:textId="27EBC530" w:rsidR="009D7677" w:rsidRDefault="009D7677" w:rsidP="009D7677">
      <w:pPr>
        <w:pStyle w:val="TextoNormal"/>
      </w:pPr>
      <w:r w:rsidRPr="009D7677">
        <w:rPr>
          <w:rStyle w:val="NumeroAFNegritaCaracter"/>
        </w:rPr>
        <w:t>9</w:t>
      </w:r>
      <w:r>
        <w:t>. Por providencia de 9 de abril de 2024, se señaló para deliberación y votación de la presente sentencia el día 10 del mismo mes y año.</w:t>
      </w:r>
    </w:p>
    <w:p w14:paraId="4B8DC420" w14:textId="77777777" w:rsidR="009D7677" w:rsidRDefault="009D7677" w:rsidP="009D7677">
      <w:pPr>
        <w:pStyle w:val="TextoNormal"/>
      </w:pPr>
    </w:p>
    <w:p w14:paraId="5C7CBBCF" w14:textId="77777777" w:rsidR="009D7677" w:rsidRDefault="009D7677" w:rsidP="009D7677">
      <w:pPr>
        <w:pStyle w:val="TextoNormalNegritaCentrado"/>
        <w:keepNext/>
      </w:pPr>
      <w:r>
        <w:t>II. Fundamentos jurídicos</w:t>
      </w:r>
    </w:p>
    <w:p w14:paraId="45C0CAA5" w14:textId="102AFEC6" w:rsidR="009D7677" w:rsidRDefault="009D7677" w:rsidP="009D7677">
      <w:pPr>
        <w:pStyle w:val="TextoNormalNegritaCentrado"/>
        <w:keepNext/>
      </w:pPr>
    </w:p>
    <w:p w14:paraId="0AA81D97" w14:textId="77777777" w:rsidR="009D7677" w:rsidRDefault="009D7677" w:rsidP="009D7677">
      <w:pPr>
        <w:pStyle w:val="TextoNormal"/>
      </w:pPr>
      <w:r w:rsidRPr="009D7677">
        <w:rPr>
          <w:rStyle w:val="NumeroAFNegritaCaracter"/>
        </w:rPr>
        <w:t>1</w:t>
      </w:r>
      <w:r>
        <w:t xml:space="preserve">. </w:t>
      </w:r>
      <w:r w:rsidRPr="009D7677">
        <w:rPr>
          <w:i/>
        </w:rPr>
        <w:t>Objeto de la cuestión de inconstitucionalidad y alegaciones de las partes</w:t>
      </w:r>
    </w:p>
    <w:p w14:paraId="51A6F061" w14:textId="77777777" w:rsidR="009D7677" w:rsidRDefault="009D7677" w:rsidP="009D7677">
      <w:pPr>
        <w:pStyle w:val="TextoNormal"/>
      </w:pPr>
    </w:p>
    <w:p w14:paraId="11662681" w14:textId="77777777" w:rsidR="009D7677" w:rsidRDefault="009D7677" w:rsidP="009D7677">
      <w:pPr>
        <w:pStyle w:val="TextoNormal"/>
      </w:pPr>
      <w:r>
        <w:t>La presente cuestión de inconstitucionalidad ha sido planteada por la Sala de lo Contencioso-Administrativo del Tribunal Supremo y se dirige contra los artículos 1.2; 5.1, párrafo segundo; 10.2 a) y b); 11.1; 13 (en concordancia con el art. 10.2); 21.1; 25.1; 26.1; disposición adicional primera; disposición final cuarta y disposición final quinta, apartados primero y segundo de la Ley 30/2015, de 9 de septiembre, por la que se regula el sistema de formación profesional para el empleo en el ámbito laboral. Todos estos preceptos son cuestionados exclusivamente en los concretos incisos que restringen el ejercicio de determinadas funciones consultivas o cooperativas a las “organizaciones sindicales más representativas” o “representativas en el correspondiente ámbito de actuación”.</w:t>
      </w:r>
    </w:p>
    <w:p w14:paraId="230F2636" w14:textId="77777777" w:rsidR="009D7677" w:rsidRDefault="009D7677" w:rsidP="009D7677">
      <w:pPr>
        <w:pStyle w:val="TextoNormal"/>
      </w:pPr>
    </w:p>
    <w:p w14:paraId="14CEC59E" w14:textId="77777777" w:rsidR="009D7677" w:rsidRDefault="009D7677" w:rsidP="009D7677">
      <w:pPr>
        <w:pStyle w:val="TextoNormal"/>
      </w:pPr>
      <w:r>
        <w:t>La Ley 30/2015 acomete, según se señala en su preámbulo, “una reforma integral del sistema” de formación profesional para el empleo en virtud de la cual, y en lo que al presente proceso constitucional interesa, “los agentes sociales dejan de participar en la gestión de los fondos y en la impartición de la formación como lo hacían hasta la fecha, dejando este papel a las entidades que imparten formación profesional y que desarrollarán esta tarea en un nuevo entorno más competitivo”. Se modifica así el régimen que se venía aplicando hasta la fecha, en el que los agentes sociales aparecían como beneficiarios de subvenciones públicas destinadas a ejecutar las acciones formativas. En la nueva regulación, según concreta el preámbulo de la Ley, “[e]l papel de los agentes sociales en el sistema es objeto de modificaciones de calado: se impulsa su liderazgo y el protagonismo de las organizaciones sindicales y empresariales más representativas en el diseño estratégico, en la planificación, programación, difusión, control, seguimiento y evaluación de la formación profesional para el empleo, especialmente en la dirigida a los trabajadores ocupados. Se trata de hacer el mejor aprovechamiento posible de la experiencia y conocimiento que puede aportar su cercanía al tejido productivo mediante una contribución que representará, de hecho, una de las grandes fortalezas del nuevo sistema de formación profesional para el empleo, al tiempo que se promueven diferentes espacios y formas de participación y colaboración de otros agentes sociales”.</w:t>
      </w:r>
    </w:p>
    <w:p w14:paraId="59490F32" w14:textId="77777777" w:rsidR="009D7677" w:rsidRDefault="009D7677" w:rsidP="009D7677">
      <w:pPr>
        <w:pStyle w:val="TextoNormal"/>
      </w:pPr>
    </w:p>
    <w:p w14:paraId="50A2E2F2" w14:textId="77777777" w:rsidR="009D7677" w:rsidRDefault="009D7677" w:rsidP="009D7677">
      <w:pPr>
        <w:pStyle w:val="TextoNormal"/>
      </w:pPr>
      <w:r>
        <w:t xml:space="preserve">En el auto de planteamiento, el órgano judicial considera que la atribución del ejercicio de funciones meramente consultivas y de colaboración incluidas en el nuevo sistema a las </w:t>
      </w:r>
      <w:r>
        <w:lastRenderedPageBreak/>
        <w:t>“organizaciones sindicales más representativas” o “representativas en el correspondiente ámbito de actuación” puede vulnerar los arts. 14 y 28 CE. La Sala reconoce que el criterio de la mayor representatividad está admitido por la doctrina del Tribunal Constitucional y del propio Tribunal Supremo, pero estima que esa preferencia del legislador por unos sindicatos —los más representativos— frente a otros que no logran una determinada representatividad debe responder, conforme a esa misma doctrina, a una justificación objetiva y razonable, es decir, no arbitraria. Entiende, en particular, que dicha preferencia solo resulta constitucionalmente admisible en el ámbito específico de la “representación institucional”, a que se refieren los arts. 6 y 7 de la Ley Orgánica de libertad sindical [en adelante LOLS], en cuanto en ese ámbito la diferencia de trato responde a un dato objetivo: la voluntad de los trabajadores y funcionarios expresada en las elecciones a órganos de representación.</w:t>
      </w:r>
    </w:p>
    <w:p w14:paraId="78A76F45" w14:textId="77777777" w:rsidR="009D7677" w:rsidRDefault="009D7677" w:rsidP="009D7677">
      <w:pPr>
        <w:pStyle w:val="TextoNormal"/>
      </w:pPr>
    </w:p>
    <w:p w14:paraId="69B2B229" w14:textId="77777777" w:rsidR="009D7677" w:rsidRDefault="009D7677" w:rsidP="009D7677">
      <w:pPr>
        <w:pStyle w:val="TextoNormal"/>
      </w:pPr>
      <w:r>
        <w:t>Considera, asimismo, el órgano judicial que las funciones que en los preceptos controvertidos se reservan a los sindicatos que ostentan esa superior representatividad no se incluyen en el ámbito propio de la mencionada representación institucional, dado que se trata de funciones de naturaleza meramente consultiva y de participación en el funcionamiento del sistema de formación profesional para el empleo, con la particularidad de que la financiación de dicho sistema se nutre, entre otros medios, de cuotas de todos los trabajadores, independientemente de su afiliación sindical (art. 6 de la Ley 30/2015). Por ello, el auto considera que ha de resultar admisible que un sindicato de notoria implantación a nivel nacional pueda participar en las labores de consulta y planificación diseñadas en la Ley 30/2015, pues la planificación estratégica de la formación profesional para el empleo, la detección de necesidades, el análisis prospectivo y “las demás cuestiones previstas” en los artículos cuestionados de la citada ley no se integran en el ámbito de la representación institucional, que es el concreto sector en el que la atomización sindical puede perjudicar la eficaz defensa de los intereses de los trabajadores.</w:t>
      </w:r>
    </w:p>
    <w:p w14:paraId="7F355B07" w14:textId="77777777" w:rsidR="009D7677" w:rsidRDefault="009D7677" w:rsidP="009D7677">
      <w:pPr>
        <w:pStyle w:val="TextoNormal"/>
      </w:pPr>
    </w:p>
    <w:p w14:paraId="277FBBF0" w14:textId="5A1EC616" w:rsidR="009D7677" w:rsidRDefault="009D7677" w:rsidP="009D7677">
      <w:pPr>
        <w:pStyle w:val="TextoNormal"/>
      </w:pPr>
      <w:r>
        <w:t>Como de forma detallada se ha expuesto en los antecedentes, el abogado del Estado ha solicitado la inadmisión de la cuestión de inconstitucionalidad, al considerar que esta no contiene una verdadera duda de constitucionalidad, que, de existir dicha duda, no es propia del órgano judicial y que no hay contenido argumental específico, en el auto de planteamiento, en relación con cada uno de los preceptos que resultan cuestionados. Subsidiariamente, interesa la desestimación de la presente cuestión de inconstitucionalidad al entender que la diferenciación establecida por el legislador entre distintos sindicatos resulta acorde con la doctrina de este tribunal sobre la libertad sindical. Por su parte, la fiscal general del Estado ha interesado la desestimación de la cuestión por los argumentos que han sido expuestos en los antecedentes.</w:t>
      </w:r>
    </w:p>
    <w:p w14:paraId="0C18CA73" w14:textId="77777777" w:rsidR="009D7677" w:rsidRDefault="009D7677" w:rsidP="009D7677">
      <w:pPr>
        <w:pStyle w:val="TextoNormal"/>
      </w:pPr>
    </w:p>
    <w:p w14:paraId="3DD67CAC" w14:textId="77777777" w:rsidR="009D7677" w:rsidRDefault="009D7677" w:rsidP="009D7677">
      <w:pPr>
        <w:pStyle w:val="TextoNormal"/>
      </w:pPr>
      <w:r w:rsidRPr="009D7677">
        <w:rPr>
          <w:rStyle w:val="NumeroAFNegritaCaracter"/>
        </w:rPr>
        <w:t>2</w:t>
      </w:r>
      <w:r>
        <w:t xml:space="preserve">. </w:t>
      </w:r>
      <w:r w:rsidRPr="009D7677">
        <w:rPr>
          <w:i/>
        </w:rPr>
        <w:t>Examen de los presupuestos procesales</w:t>
      </w:r>
    </w:p>
    <w:p w14:paraId="1DFA47A8" w14:textId="77777777" w:rsidR="009D7677" w:rsidRDefault="009D7677" w:rsidP="009D7677">
      <w:pPr>
        <w:pStyle w:val="TextoNormal"/>
      </w:pPr>
    </w:p>
    <w:p w14:paraId="60EFA1CF" w14:textId="77777777" w:rsidR="009D7677" w:rsidRDefault="009D7677" w:rsidP="009D7677">
      <w:pPr>
        <w:pStyle w:val="TextoNormal"/>
      </w:pPr>
      <w:r>
        <w:t>Con carácter previo al examen de fondo, procede efectuar las siguientes consideraciones de carácter general sobre el cumplimiento de los presupuestos procesales:</w:t>
      </w:r>
    </w:p>
    <w:p w14:paraId="259B94F5" w14:textId="77777777" w:rsidR="009D7677" w:rsidRDefault="009D7677" w:rsidP="009D7677">
      <w:pPr>
        <w:pStyle w:val="TextoNormal"/>
      </w:pPr>
    </w:p>
    <w:p w14:paraId="063CF3FE" w14:textId="77777777" w:rsidR="009D7677" w:rsidRDefault="009D7677" w:rsidP="009D7677">
      <w:pPr>
        <w:pStyle w:val="TextoNormal"/>
      </w:pPr>
      <w:r>
        <w:t>A) Hemos de pronunciarnos, en primer lugar, sobre los óbices procesales planteados por el abogado del Estado.</w:t>
      </w:r>
    </w:p>
    <w:p w14:paraId="3827556A" w14:textId="77777777" w:rsidR="009D7677" w:rsidRDefault="009D7677" w:rsidP="009D7677">
      <w:pPr>
        <w:pStyle w:val="TextoNormal"/>
      </w:pPr>
    </w:p>
    <w:p w14:paraId="0829D3C8" w14:textId="77777777" w:rsidR="009D7677" w:rsidRDefault="009D7677" w:rsidP="009D7677">
      <w:pPr>
        <w:pStyle w:val="TextoNormal"/>
      </w:pPr>
      <w:r>
        <w:lastRenderedPageBreak/>
        <w:t>a) Afirma el abogado del Estado que el auto de planteamiento no contiene una verdadera duda de constitucionalidad por cuanto, en su opinión, el órgano judicial se limita a proponer que se reconstruyan los preceptos legales cuestionados, propugnando, en concreto, la sustitución del criterio de “mayor representatividad” por un concepto novedoso, el de notoria implantación nacional, de carácter indeterminado.</w:t>
      </w:r>
    </w:p>
    <w:p w14:paraId="05B53128" w14:textId="77777777" w:rsidR="009D7677" w:rsidRDefault="009D7677" w:rsidP="009D7677">
      <w:pPr>
        <w:pStyle w:val="TextoNormal"/>
      </w:pPr>
    </w:p>
    <w:p w14:paraId="3ED4D046" w14:textId="77777777" w:rsidR="009D7677" w:rsidRDefault="009D7677" w:rsidP="009D7677">
      <w:pPr>
        <w:pStyle w:val="TextoNormal"/>
      </w:pPr>
      <w:r>
        <w:t>En ningún caso la lectura del auto de planteamiento permite extraer dicha conclusión. El referido auto se limita a concluir que la reserva de funciones colaborativas y consultivas del sistema de formación profesional en favor de los sindicatos más representativos o representativos en el correspondiente ámbito de actuación excede de las previsiones constitucionales y determina que se excluya indebidamente de dicha participación a un sindicato, Unión Sindical Obrera, que, a criterio del órgano judicial, ostenta una notoria implantación nacional. Con esta argumentación el auto de planteamiento se limita a explicitar el efecto discriminatorio que, en su opinión, determina la contradicción de las normas legales cuestionadas con los arts. 14 y 28 CE, exteriorizando, de ese modo, la correspondiente duda de constitucionalidad. Ningún reproche puede dirigirse, por tanto, al auto de planteamiento por esta razón.</w:t>
      </w:r>
    </w:p>
    <w:p w14:paraId="09B34FCE" w14:textId="77777777" w:rsidR="009D7677" w:rsidRDefault="009D7677" w:rsidP="009D7677">
      <w:pPr>
        <w:pStyle w:val="TextoNormal"/>
      </w:pPr>
    </w:p>
    <w:p w14:paraId="19E9CC78" w14:textId="77777777" w:rsidR="009D7677" w:rsidRDefault="009D7677" w:rsidP="009D7677">
      <w:pPr>
        <w:pStyle w:val="TextoNormal"/>
      </w:pPr>
      <w:r>
        <w:t xml:space="preserve">b) Es claro, asimismo, que el órgano judicial no se ha limitado, frente a lo que afirma el abogado del Estado, a remitirse, sin más, a las dudas expresadas por la parte recurrente en el proceso </w:t>
      </w:r>
      <w:r w:rsidRPr="009D7677">
        <w:rPr>
          <w:i/>
        </w:rPr>
        <w:t>a quo</w:t>
      </w:r>
      <w:r>
        <w:t>, sino que, tal y como exige la doctrina de este tribunal (por todas, STC 57/2018, de 24 de mayo, FJ 5), ha manifestado y argumentado su propia duda de constitucionalidad. El hecho de que esta coincida con la previamente consignada en la demanda por el sindicato USO no significa que no sea asumida como propia. Lo relevante, en este punto, es que no hay una mera remisión a las alegaciones de la parte actora sino un contenido argumental que, en todo momento, se articula como criterio de la propia Sala.</w:t>
      </w:r>
    </w:p>
    <w:p w14:paraId="2E02A4B1" w14:textId="77777777" w:rsidR="009D7677" w:rsidRDefault="009D7677" w:rsidP="009D7677">
      <w:pPr>
        <w:pStyle w:val="TextoNormal"/>
      </w:pPr>
    </w:p>
    <w:p w14:paraId="357BACAA" w14:textId="77777777" w:rsidR="009D7677" w:rsidRDefault="009D7677" w:rsidP="009D7677">
      <w:pPr>
        <w:pStyle w:val="TextoNormal"/>
      </w:pPr>
      <w:r>
        <w:t>c) Finalmente, es cierto, como señala el abogado del Estado, que el auto de planteamiento enumera los preceptos de la Ley 30/2015 que resultan cuestionados y, sin argumentar nada específico en relación con cada uno de ellos, les reprocha de forma conjunta la indebida utilización del criterio diferenciador de la mayor representatividad o de la representatividad en el correspondiente ámbito de actuación. No obstante, esa circunstancia no significa que el auto de planteamiento carezca de contenido argumental suficiente. Lo que se deduce de la citada resolución judicial es que se dirige un reproche común a todos los preceptos de la Ley 30/2015 que utilizan dicho criterio distintivo, reproche basado, fundamentalmente, en dos argumentos: que todos ellos contemplan funciones cooperativas o consultivas que no forman parte del ámbito de la participación institucional y que estamos ante un sistema financiado con cuotas de formación pagadas por los trabajadores con independencia de su concreta afiliación sindical. El carácter común o estructural del reproche que se hace a los preceptos cuestionados no ha de conducir, por ello, a la inadmisión de la cuestión sino a enjuiciar aquellos desde ese mismo planteamiento estructural, en coherencia con el contenido argumental o carga alegatoria del auto de planteamiento [específicamente en relación con la cuestión de inconstitucionalidad, por todas, SSTC 92/2017, de 6 de julio, FJ 2 b), y 51/2018, de 10 de mayo, FJ 2 a)].</w:t>
      </w:r>
    </w:p>
    <w:p w14:paraId="450859D4" w14:textId="77777777" w:rsidR="009D7677" w:rsidRDefault="009D7677" w:rsidP="009D7677">
      <w:pPr>
        <w:pStyle w:val="TextoNormal"/>
      </w:pPr>
    </w:p>
    <w:p w14:paraId="5D4AF38A" w14:textId="77777777" w:rsidR="009D7677" w:rsidRDefault="009D7677" w:rsidP="009D7677">
      <w:pPr>
        <w:pStyle w:val="TextoNormal"/>
      </w:pPr>
      <w:r>
        <w:t>Procede, en consecuencia, rechazar la solicitud de inadmisión formulada por el abogado del Estado.</w:t>
      </w:r>
    </w:p>
    <w:p w14:paraId="56D74805" w14:textId="77777777" w:rsidR="009D7677" w:rsidRDefault="009D7677" w:rsidP="009D7677">
      <w:pPr>
        <w:pStyle w:val="TextoNormal"/>
      </w:pPr>
    </w:p>
    <w:p w14:paraId="34DAA6B9" w14:textId="77777777" w:rsidR="009D7677" w:rsidRDefault="009D7677" w:rsidP="009D7677">
      <w:pPr>
        <w:pStyle w:val="TextoNormal"/>
      </w:pPr>
      <w:r>
        <w:lastRenderedPageBreak/>
        <w:t>B) Al margen de los óbices expresamente planteados por las partes, ha de recordarse que la concurrencia de los requisitos procesales exigidos por el art. 35 LOTC puede ser examinada no solo en el trámite de admisión previsto en el art. 37 LOTC, sino también en la sentencia que ponga fin al proceso constitucional (entre otras muchas, STC 126/2021, de 3 de junio, FJ 2) y este examen, en tanto que afecta a los presupuestos de admisión, es una cuestión de orden público procesal que puede efectuarse de oficio por el Tribunal (STC 98/2022, de 12 de julio, FJ 2, y las que allí se citan).</w:t>
      </w:r>
    </w:p>
    <w:p w14:paraId="4118463A" w14:textId="77777777" w:rsidR="009D7677" w:rsidRDefault="009D7677" w:rsidP="009D7677">
      <w:pPr>
        <w:pStyle w:val="TextoNormal"/>
      </w:pPr>
    </w:p>
    <w:p w14:paraId="79960ED3" w14:textId="77777777" w:rsidR="009D7677" w:rsidRDefault="009D7677" w:rsidP="009D7677">
      <w:pPr>
        <w:pStyle w:val="TextoNormal"/>
      </w:pPr>
      <w:r>
        <w:t>En particular, son condiciones procesales de la cuestión de inconstitucionalidad que los preceptos cuestionados resulten “aplicables al caso” (juicio de aplicabilidad) y que de su “validez dependa el fallo” (juicio de relevancia), tal y como exigen los arts. 163 CE y 35 LOTC. Es esta una doble condición necesaria y sucesiva para que este proceso mantenga su naturaleza incidental y no se convierta en un juicio abstracto de constitucionalidad desligado de las circunstancias del caso concreto, lo que daría lugar a una ampliación de la legitimación para interponer recurso abstracto o directo de inconstitucionalidad establecida en la Constitución [art. 162.1 a)] y en la Ley Orgánica del Tribunal Constitucional (art. 32.1) (por todas, STC 126/2022, de 11 de octubre, FJ 2).</w:t>
      </w:r>
    </w:p>
    <w:p w14:paraId="4BEC9CA5" w14:textId="77777777" w:rsidR="009D7677" w:rsidRDefault="009D7677" w:rsidP="009D7677">
      <w:pPr>
        <w:pStyle w:val="TextoNormal"/>
      </w:pPr>
    </w:p>
    <w:p w14:paraId="771EE4F6" w14:textId="77777777" w:rsidR="009D7677" w:rsidRDefault="009D7677" w:rsidP="009D7677">
      <w:pPr>
        <w:pStyle w:val="TextoNormal"/>
      </w:pPr>
      <w:r>
        <w:t xml:space="preserve">La presente cuestión de inconstitucionalidad tiene su origen en un recurso contencioso-administrativo especial para la protección de los derechos fundamentales planteado por el sindicato USO contra determinados preceptos del Real Decreto 694/2017, de 3 de julio, por el que se desarrolla la Ley 30/2015, de 9 de septiembre, que es la norma con rango legal que constituye el objeto propio de la cuestión aquí planteada. En supuestos como el presente, en que la cuestión de inconstitucionalidad tiene su origen en procedimientos de impugnación directa de normas reglamentarias que vienen a desarrollar las concretas disposiciones legales cuestionadas, la doctrina de este tribunal ha reiterado que se da cumplimiento a los juicios de aplicabilidad y relevancia, exigidos por el art. 35.1 y 2 LOTC “siempre que el proceso </w:t>
      </w:r>
      <w:r w:rsidRPr="009D7677">
        <w:rPr>
          <w:i/>
        </w:rPr>
        <w:t>a quo</w:t>
      </w:r>
      <w:r>
        <w:t xml:space="preserve"> no puede resolverse sin despejar las dudas de constitucionalidad que afectan a dichas disposiciones legales, y siempre que, asimismo, la exteriorización del juicio de relevancia por parte del órgano judicial ponga de relieve la conexión entre los preceptos reglamentarios ante él impugnados y estas últimas” (por todas, STC 148/2006, de 11 de mayo, FJ 1).</w:t>
      </w:r>
    </w:p>
    <w:p w14:paraId="50926E9A" w14:textId="77777777" w:rsidR="009D7677" w:rsidRDefault="009D7677" w:rsidP="009D7677">
      <w:pPr>
        <w:pStyle w:val="TextoNormal"/>
      </w:pPr>
    </w:p>
    <w:p w14:paraId="5E2661DD" w14:textId="77777777" w:rsidR="009D7677" w:rsidRDefault="009D7677" w:rsidP="009D7677">
      <w:pPr>
        <w:pStyle w:val="TextoNormal"/>
      </w:pPr>
      <w:r>
        <w:t>En el presente caso, la Sala de lo Contencioso-Administrativo del Tribunal Supremo, en el fundamento jurídico 3 del auto de planteamiento, ha exteriorizado el juicio de aplicabilidad y relevancia con un razonamiento general. Sostiene que las normas reglamentarias impugnadas en el proceso judicial por el sindicato USO son plasmación prácticamente literal de los preceptos de la Ley 30/2015 sobre los que versa la duda de constitucionalidad. Afirma, en todo caso, que dichas normas legales son las que sirven para dar cobertura normativa a las disposiciones reglamentarias impugnadas. Concurriría, por ello, la conexión regulatoria exigida en nuestra doctrina para considerar cumplido el requisito de relevancia para el resultado del proceso, pues la aplicación de la norma reglamentaria implicaría indisolublemente la de la ley que desarrolla.</w:t>
      </w:r>
    </w:p>
    <w:p w14:paraId="71591B81" w14:textId="77777777" w:rsidR="009D7677" w:rsidRDefault="009D7677" w:rsidP="009D7677">
      <w:pPr>
        <w:pStyle w:val="TextoNormal"/>
      </w:pPr>
    </w:p>
    <w:p w14:paraId="5FEDA89A" w14:textId="77777777" w:rsidR="009D7677" w:rsidRDefault="009D7677" w:rsidP="009D7677">
      <w:pPr>
        <w:pStyle w:val="TextoNormal"/>
      </w:pPr>
      <w:r>
        <w:t xml:space="preserve">La parquedad de esta argumentación exige que este tribunal contraste por sí mismo los preceptos reglamentarios que fueron impugnados por el sindicato USO con los preceptos legales que son objeto de la duda de constitucionalidad, a efectos de determinar si realmente existe la correspondiente conexión normativa. De ese contraste resulta que, aunque </w:t>
      </w:r>
      <w:r>
        <w:lastRenderedPageBreak/>
        <w:t xml:space="preserve">es cierto que tanto los preceptos de la Ley 30/2015 que han sido cuestionados como las normas del Real Decreto 694/2017 que fueron impugnadas ante el Tribunal Supremo contienen, sin excepción, referencias a las organizaciones sindicales más representativas o representativas en el correspondiente ámbito de actuación, no concurre entre todos ellos, al menos </w:t>
      </w:r>
      <w:r w:rsidRPr="009D7677">
        <w:rPr>
          <w:i/>
        </w:rPr>
        <w:t>prima facie</w:t>
      </w:r>
      <w:r>
        <w:t xml:space="preserve"> y sin necesidad de una mayor explicitación de los juicios de aplicabilidad y relevancia, la conexión normativa alegada, pues no todos los preceptos legales que han sido cuestionados sirven para dar cobertura o habilitación a las normas reglamentarias que constituyen el objeto del proceso contencioso-administrativo.</w:t>
      </w:r>
    </w:p>
    <w:p w14:paraId="6F6DBEFE" w14:textId="77777777" w:rsidR="009D7677" w:rsidRDefault="009D7677" w:rsidP="009D7677">
      <w:pPr>
        <w:pStyle w:val="TextoNormal"/>
      </w:pPr>
    </w:p>
    <w:p w14:paraId="5FA67F50" w14:textId="77777777" w:rsidR="009D7677" w:rsidRDefault="009D7677" w:rsidP="009D7677">
      <w:pPr>
        <w:pStyle w:val="TextoNormal"/>
      </w:pPr>
      <w:r>
        <w:t>Así, la conexión normativa entre la Ley 30/2015 y los preceptos reglamentarios de desarrollo a que alude el auto de planteamiento puede apreciarse en los preceptos siguientes:</w:t>
      </w:r>
    </w:p>
    <w:p w14:paraId="695EE59F" w14:textId="77777777" w:rsidR="009D7677" w:rsidRDefault="009D7677" w:rsidP="009D7677">
      <w:pPr>
        <w:pStyle w:val="TextoNormal"/>
      </w:pPr>
    </w:p>
    <w:p w14:paraId="25D38A56" w14:textId="77777777" w:rsidR="009D7677" w:rsidRDefault="009D7677" w:rsidP="009D7677">
      <w:pPr>
        <w:pStyle w:val="TextoNormal"/>
      </w:pPr>
      <w:r>
        <w:t>(i) Los arts. 2.1, párrafo segundo; 2.2 y 2.3, párrafo primero del Real Decreto 694/2017 se refieren a la planificación y evaluación general del sistema de formación para el empleo, por lo que tienen cobertura directa en los cuestionados arts. 5.1 y 21.1 de La Ley 30/2015, relativos al escenario plurianual y al plan anual de evaluación de la calidad del sistema.</w:t>
      </w:r>
    </w:p>
    <w:p w14:paraId="1B121E92" w14:textId="77777777" w:rsidR="009D7677" w:rsidRDefault="009D7677" w:rsidP="009D7677">
      <w:pPr>
        <w:pStyle w:val="TextoNormal"/>
      </w:pPr>
    </w:p>
    <w:p w14:paraId="22EB4789" w14:textId="77777777" w:rsidR="009D7677" w:rsidRDefault="009D7677" w:rsidP="009D7677">
      <w:pPr>
        <w:pStyle w:val="TextoNormal"/>
      </w:pPr>
      <w:r>
        <w:t>(ii) Los arts. 20.2; 21.2; 22.2 y, por remisión, 35.1 a) y b) del referido Real Decreto regulan los distintos tipos de programas de formación que han de desarrollar las administraciones públicas en el ámbito de la oferta formativa para trabajadores ocupados, por lo que tienen su cobertura directa en los arts. 10.2 a) y b) y, por remisión, 13 de la Ley 30/2015, que regulan precisamente la oferta formativa para trabajadores ocupados.</w:t>
      </w:r>
    </w:p>
    <w:p w14:paraId="7F5AAAAA" w14:textId="77777777" w:rsidR="009D7677" w:rsidRDefault="009D7677" w:rsidP="009D7677">
      <w:pPr>
        <w:pStyle w:val="TextoNormal"/>
      </w:pPr>
    </w:p>
    <w:p w14:paraId="08BCFFFE" w14:textId="77777777" w:rsidR="009D7677" w:rsidRDefault="009D7677" w:rsidP="009D7677">
      <w:pPr>
        <w:pStyle w:val="TextoNormal"/>
      </w:pPr>
      <w:r>
        <w:t>(iii) Los arts. 24.1, párrafo primero, 26.2 y, por remisión, 35.1 a) y b) de la norma reglamentaria, relativos a la oferta formativa para trabajadores desempleados, tienen su cobertura directa en los arts. 11.1 y, nuevamente por remisión, 13 de la Ley 30/2015, que se refieren justamente a esa materia.</w:t>
      </w:r>
    </w:p>
    <w:p w14:paraId="2B8421CD" w14:textId="77777777" w:rsidR="009D7677" w:rsidRDefault="009D7677" w:rsidP="009D7677">
      <w:pPr>
        <w:pStyle w:val="TextoNormal"/>
      </w:pPr>
    </w:p>
    <w:p w14:paraId="075BFFC9" w14:textId="77777777" w:rsidR="009D7677" w:rsidRDefault="009D7677" w:rsidP="009D7677">
      <w:pPr>
        <w:pStyle w:val="TextoNormal"/>
      </w:pPr>
      <w:r>
        <w:t>(iv) El art. 36 del Real Decreto 694/2017 relativo a la Fundación Estatal para la Formación en el Empleo, tiene cobertura directa, a su vez, en el art. 25.1 de la Ley 30/2015, que se ocupa de la referida fundación.</w:t>
      </w:r>
    </w:p>
    <w:p w14:paraId="460B1552" w14:textId="77777777" w:rsidR="009D7677" w:rsidRDefault="009D7677" w:rsidP="009D7677">
      <w:pPr>
        <w:pStyle w:val="TextoNormal"/>
      </w:pPr>
    </w:p>
    <w:p w14:paraId="514447A1" w14:textId="77777777" w:rsidR="009D7677" w:rsidRDefault="009D7677" w:rsidP="009D7677">
      <w:pPr>
        <w:pStyle w:val="TextoNormal"/>
      </w:pPr>
      <w:r>
        <w:t>(v) El art. 37.2, en concordancia con la disposición transitoria segunda, del Real Decreto 694/2017 tiene cobertura directa en el art. 26 de la Ley 30/2015, relativo a las estructuras paritarias.</w:t>
      </w:r>
    </w:p>
    <w:p w14:paraId="2343A95B" w14:textId="77777777" w:rsidR="009D7677" w:rsidRDefault="009D7677" w:rsidP="009D7677">
      <w:pPr>
        <w:pStyle w:val="TextoNormal"/>
      </w:pPr>
    </w:p>
    <w:p w14:paraId="11F48857" w14:textId="77777777" w:rsidR="009D7677" w:rsidRDefault="009D7677" w:rsidP="009D7677">
      <w:pPr>
        <w:pStyle w:val="TextoNormal"/>
      </w:pPr>
      <w:r>
        <w:t>También puede considerarse justificada la conexión normativa de los preceptos reglamentarios ya citados con la disposición final cuarta de la Ley 30/2015, en cuanto esta modifica el art. 26 de la Ley 56/2003, de 16 de diciembre, de empleo, para referirse a las diversas funciones que corresponden a las organizaciones sindicales más representativas en el sistema de formación profesional para el empleo.</w:t>
      </w:r>
    </w:p>
    <w:p w14:paraId="5EB62A1C" w14:textId="77777777" w:rsidR="009D7677" w:rsidRDefault="009D7677" w:rsidP="009D7677">
      <w:pPr>
        <w:pStyle w:val="TextoNormal"/>
      </w:pPr>
    </w:p>
    <w:p w14:paraId="561B0CC1" w14:textId="77777777" w:rsidR="009D7677" w:rsidRDefault="009D7677" w:rsidP="009D7677">
      <w:pPr>
        <w:pStyle w:val="TextoNormal"/>
      </w:pPr>
      <w:r>
        <w:t xml:space="preserve">No ocurre, sin embargo, lo mismo con la disposición adicional primera y la disposición final quinta de la Ley 30/2015, de 9 de septiembre. Estos preceptos legales, a los que se extiende la cuestión de inconstitucionalidad, no tienen, en atención a su contenido, una conexión normativa directa con las normas reglamentarias objeto del pleito judicial, o, al </w:t>
      </w:r>
      <w:r>
        <w:lastRenderedPageBreak/>
        <w:t>menos, esa conexión no resulta, sin más, de la alegada relación general de habilitación o cobertura respecto de la norma reglamentaria de desarrollo. Así:</w:t>
      </w:r>
    </w:p>
    <w:p w14:paraId="36943E35" w14:textId="77777777" w:rsidR="009D7677" w:rsidRDefault="009D7677" w:rsidP="009D7677">
      <w:pPr>
        <w:pStyle w:val="TextoNormal"/>
      </w:pPr>
    </w:p>
    <w:p w14:paraId="34E67BF2" w14:textId="77777777" w:rsidR="009D7677" w:rsidRDefault="009D7677" w:rsidP="009D7677">
      <w:pPr>
        <w:pStyle w:val="TextoNormal"/>
      </w:pPr>
      <w:r>
        <w:t>a) La disposición adicional primera de la Ley 30/2015, se refiere al “[a]poyo a pequeñas y medianas empresas”. Señala este precepto que “[l]os servicios públicos de empleo, con la colaboración de las organizaciones empresariales y sindicales más representativas o representativas en sus respectivos ámbitos sectoriales y territoriales, promoverán las iniciativas necesarias para facilitar y generalizar el acceso de las pequeñas y medianas empresas a la formación de sus trabajadores. A tal fin, deberán prestarles asesoramiento y poner a su disposición la información necesaria acerca de las distintas iniciativas de formación profesional para el empleo y de las entidades formativas existentes para su impartición”.</w:t>
      </w:r>
    </w:p>
    <w:p w14:paraId="3B432EBD" w14:textId="77777777" w:rsidR="009D7677" w:rsidRDefault="009D7677" w:rsidP="009D7677">
      <w:pPr>
        <w:pStyle w:val="TextoNormal"/>
      </w:pPr>
    </w:p>
    <w:p w14:paraId="06761AB3" w14:textId="77777777" w:rsidR="009D7677" w:rsidRDefault="009D7677" w:rsidP="009D7677">
      <w:pPr>
        <w:pStyle w:val="TextoNormal"/>
      </w:pPr>
      <w:r>
        <w:t>Como puede observarse, el precepto se refiere al apoyo que las organizaciones sindicales más representativas pueden prestar a las pequeñas y medianas empresas para que estas accedan a la formación de sus trabajadores. Estamos, por ello, ante un precepto legal que se ubica, dentro del sistema general de formación profesional para el empleo, en el ámbito de la formación programada por las propias empresas, esto es, de la formación que estas han de prestar a sus trabajadores asalariados, y que opera como norma especial para el asesoramiento de la pequeña y mediana empresa (norma especial que ya existía, por cierto, en la regulación precedente, en concreto en el art. 19.2 del ya derogado Real Decreto 395/2007, de 23 de marzo). Ninguno de los preceptos reglamentarios que fueron impugnados por USO ante el Tribunal Supremo tiene soporte aparente en esta norma especial de la disposición adicional primera de la Ley 30/2015.</w:t>
      </w:r>
    </w:p>
    <w:p w14:paraId="000181E7" w14:textId="77777777" w:rsidR="009D7677" w:rsidRDefault="009D7677" w:rsidP="009D7677">
      <w:pPr>
        <w:pStyle w:val="TextoNormal"/>
      </w:pPr>
    </w:p>
    <w:p w14:paraId="116F4549" w14:textId="77777777" w:rsidR="009D7677" w:rsidRDefault="009D7677" w:rsidP="009D7677">
      <w:pPr>
        <w:pStyle w:val="TextoNormal"/>
      </w:pPr>
      <w:r>
        <w:t>b) La disposición final quinta de la Ley 30/2015 es cuestionada en sus apartados “uno” y “dos”. Estos dos apartados contienen una reforma de la Ley 20/2007, de 11 de julio, del Estatuto del trabajo autónomo, en concreto del art. 21 y de la disposición adicional duodécima.</w:t>
      </w:r>
    </w:p>
    <w:p w14:paraId="477A1E9A" w14:textId="77777777" w:rsidR="009D7677" w:rsidRDefault="009D7677" w:rsidP="009D7677">
      <w:pPr>
        <w:pStyle w:val="TextoNormal"/>
      </w:pPr>
    </w:p>
    <w:p w14:paraId="33FF3792" w14:textId="77777777" w:rsidR="009D7677" w:rsidRDefault="009D7677" w:rsidP="009D7677">
      <w:pPr>
        <w:pStyle w:val="TextoNormal"/>
      </w:pPr>
      <w:r>
        <w:t>(i) El art. 21 de la Ley 20/2007 regula la representatividad de las asociaciones de trabajadores autónomos (aspecto sobre el que no versa la duda de constitucionalidad) y solo en su apartado tercero contiene una referencia a la participación de las organizaciones sindicales “más representativas” en relación con cuatro ámbitos concretos: la “representación institucional” [letra a)], el diseño de “políticas públicas que incidan sobre el trabajador autónomo” [letra b)], el “diseño de programas públicos dirigidos a los trabajadores autónomos” [letra c] y “[c]ualquier otra función que se establezca legal o reglamentariamente” [letra d]. Como puede observarse, aunque alguno de estos apartados alude al diseño de políticas o programas públicos, lo hace con carácter general. Ninguno de ellos se refiere específicamente a la formación profesional para el empleo. No se aprecia, por tanto, la conexión directa que el órgano judicial invoca en el auto de planteamiento en relación con el Real Decreto 694/2017, de 3 de julio, que desarrolla exclusivamente el sistema de formación profesional para el empleo previsto en la Ley 30/2015.</w:t>
      </w:r>
    </w:p>
    <w:p w14:paraId="62F5B1FB" w14:textId="77777777" w:rsidR="009D7677" w:rsidRDefault="009D7677" w:rsidP="009D7677">
      <w:pPr>
        <w:pStyle w:val="TextoNormal"/>
      </w:pPr>
    </w:p>
    <w:p w14:paraId="1D0E98F0" w14:textId="77777777" w:rsidR="009D7677" w:rsidRDefault="009D7677" w:rsidP="009D7677">
      <w:pPr>
        <w:pStyle w:val="TextoNormal"/>
      </w:pPr>
      <w:r>
        <w:t xml:space="preserve">(ii) A su vez, la disposición adicional duodécima de la Ley 20/2007 se refiere (en la redacción dada a su párrafo primero por la disposición final quinta de la Ley 30/2015) a la “realización” de “programas permanentes” de formación de trabajadores autónomos en materia de riesgos laborales, ámbito normativo que tampoco guarda correlación directa </w:t>
      </w:r>
      <w:r>
        <w:lastRenderedPageBreak/>
        <w:t xml:space="preserve">con ninguno de los preceptos del Real Decreto 694/2017, de 3 de julio, que fueron impugnados por USO en el pleito </w:t>
      </w:r>
      <w:r w:rsidRPr="009D7677">
        <w:rPr>
          <w:i/>
        </w:rPr>
        <w:t>a quo</w:t>
      </w:r>
      <w:r>
        <w:t>. En todo caso, no puede apreciarse, sin mayor argumentación al respecto, que esta disposición legal, situada fuera del marco de la Ley 30/2015, sirva de cobertura normativa de las referidas normas reglamentarias.</w:t>
      </w:r>
    </w:p>
    <w:p w14:paraId="3521D565" w14:textId="77777777" w:rsidR="009D7677" w:rsidRDefault="009D7677" w:rsidP="009D7677">
      <w:pPr>
        <w:pStyle w:val="TextoNormal"/>
      </w:pPr>
    </w:p>
    <w:p w14:paraId="676B0EE8" w14:textId="369C5210" w:rsidR="009D7677" w:rsidRDefault="009D7677" w:rsidP="009D7677">
      <w:pPr>
        <w:pStyle w:val="TextoNormal"/>
      </w:pPr>
      <w:r>
        <w:t>De todo lo expuesto se infiere que ha de inadmitirse parcialmente la cuestión de inconstitucionalidad planteada en relación con la disposición adicional primera y la disposición final quinta de la Ley 30/2015, al no estar suficientemente justificados, en relación con dichos preceptos, los juicios de aplicabilidad y relevancia.</w:t>
      </w:r>
    </w:p>
    <w:p w14:paraId="2BC00CCA" w14:textId="77777777" w:rsidR="009D7677" w:rsidRDefault="009D7677" w:rsidP="009D7677">
      <w:pPr>
        <w:pStyle w:val="TextoNormal"/>
      </w:pPr>
    </w:p>
    <w:p w14:paraId="6CC013A3" w14:textId="77777777" w:rsidR="009D7677" w:rsidRDefault="009D7677" w:rsidP="009D7677">
      <w:pPr>
        <w:pStyle w:val="TextoNormal"/>
      </w:pPr>
      <w:r w:rsidRPr="009D7677">
        <w:rPr>
          <w:rStyle w:val="NumeroAFNegritaCaracter"/>
        </w:rPr>
        <w:t>3</w:t>
      </w:r>
      <w:r>
        <w:t xml:space="preserve">. </w:t>
      </w:r>
      <w:r w:rsidRPr="009D7677">
        <w:rPr>
          <w:i/>
        </w:rPr>
        <w:t>Consideraciones preliminares sobre el objeto del proceso</w:t>
      </w:r>
    </w:p>
    <w:p w14:paraId="5F1BF3B2" w14:textId="77777777" w:rsidR="009D7677" w:rsidRDefault="009D7677" w:rsidP="009D7677">
      <w:pPr>
        <w:pStyle w:val="TextoNormal"/>
      </w:pPr>
    </w:p>
    <w:p w14:paraId="7384B65A" w14:textId="77777777" w:rsidR="009D7677" w:rsidRDefault="009D7677" w:rsidP="009D7677">
      <w:pPr>
        <w:pStyle w:val="TextoNormal"/>
      </w:pPr>
      <w:r>
        <w:t>En relación con el objeto del proceso, han de hacerse las siguientes consideraciones preliminares:</w:t>
      </w:r>
    </w:p>
    <w:p w14:paraId="561B4584" w14:textId="77777777" w:rsidR="009D7677" w:rsidRDefault="009D7677" w:rsidP="009D7677">
      <w:pPr>
        <w:pStyle w:val="TextoNormal"/>
      </w:pPr>
    </w:p>
    <w:p w14:paraId="6227AD66" w14:textId="77777777" w:rsidR="009D7677" w:rsidRDefault="009D7677" w:rsidP="009D7677">
      <w:pPr>
        <w:pStyle w:val="TextoNormal"/>
      </w:pPr>
      <w:r>
        <w:t>a) Para una mejor compresión del enjuiciamiento de la presente cuestión de inconstitucionalidad, conviene explicar, de modo sintético y con carácter preliminar, el rol que cumple en nuestro ordenamiento jurídico el sistema de formación profesional para el empleo y, más concretamente, el juego que, dentro de dicho sistema, tienen los concretos preceptos objeto de este proceso constitucional.</w:t>
      </w:r>
    </w:p>
    <w:p w14:paraId="10F44AA0" w14:textId="77777777" w:rsidR="009D7677" w:rsidRDefault="009D7677" w:rsidP="009D7677">
      <w:pPr>
        <w:pStyle w:val="TextoNormal"/>
      </w:pPr>
    </w:p>
    <w:p w14:paraId="666D3451" w14:textId="77777777" w:rsidR="009D7677" w:rsidRDefault="009D7677" w:rsidP="009D7677">
      <w:pPr>
        <w:pStyle w:val="TextoNormal"/>
      </w:pPr>
      <w:r>
        <w:t>Como tuvimos ocasión de poner de manifiesto en la STC 111/2012, de 24 de mayo, FJ 3, la “formación profesional” es un “concepto unitario” que “trata de la capacitación para el desempeño de una profesión y el acceso al mercado laboral”. No obstante, su específica articulación en nuestro ordenamiento jurídico “cubre una multiplicidad de figuras con perfiles propios y diferenciados”.</w:t>
      </w:r>
    </w:p>
    <w:p w14:paraId="0313BA43" w14:textId="77777777" w:rsidR="009D7677" w:rsidRDefault="009D7677" w:rsidP="009D7677">
      <w:pPr>
        <w:pStyle w:val="TextoNormal"/>
      </w:pPr>
    </w:p>
    <w:p w14:paraId="3051B673" w14:textId="77777777" w:rsidR="009D7677" w:rsidRDefault="009D7677" w:rsidP="009D7677">
      <w:pPr>
        <w:pStyle w:val="TextoNormal"/>
      </w:pPr>
      <w:r>
        <w:t>En particular, como señalamos en las SSTC 88/2014, de 9 de junio, FJ 3, y 123/2014, de 21 de julio, FJ 3, dentro del concepto genérico de “formación profesional” encontramos dos vertientes distintas. La primera de ellas se incluye en el sistema educativo, en el que los saberes o cualificación con base en aptitudes específicas se imparten en ciclos formativos dirigidos, previa estratificación en niveles y grados, a la obtención de títulos académicos o profesionales que habilitan para el ejercicio de determinadas profesiones u oficios. En cambio, la formación profesional para el empleo, que engloba la antigua formación ocupacional y continua, forma parte del ámbito laboral y se dirige a la emisión de los correspondientes certificados de profesionalidad. En nuestra STC 39/2021, de 18 de febrero, FJ 2, definimos, más precisamente, la formación profesional para el empleo como el conjunto de iniciativas, programas e instrumentos que tienen como finalidad impulsar y extender entre las empresas y los trabajadores ocupados y desempleados una formación que contribuya al desarrollo personal y profesional de los trabajadores y a su promoción en el trabajo que responda a las necesidades del mercado laboral y esté orientada a la mejora de la empleabilidad de los trabajadores y la competitividad empresarial.</w:t>
      </w:r>
    </w:p>
    <w:p w14:paraId="788273E8" w14:textId="77777777" w:rsidR="009D7677" w:rsidRDefault="009D7677" w:rsidP="009D7677">
      <w:pPr>
        <w:pStyle w:val="TextoNormal"/>
      </w:pPr>
    </w:p>
    <w:p w14:paraId="5410043C" w14:textId="77777777" w:rsidR="009D7677" w:rsidRDefault="009D7677" w:rsidP="009D7677">
      <w:pPr>
        <w:pStyle w:val="TextoNormal"/>
      </w:pPr>
      <w:r>
        <w:t xml:space="preserve">La Ley 30/2015, de 9 de septiembre, se desenvuelve en este segundo ámbito. Según se afirma en su preámbulo, pretende acometer una reforma integral del sistema de formación profesional para el empleo para poner fin a las “debilidades e ineficiencias” que caracterizaban al modelo hasta entonces vigente, contenido en el derogado Real Decreto 395/2007, de 23 de marzo. Entre esas debilidades, el preámbulo de la Ley identifica expresamente, al </w:t>
      </w:r>
      <w:r>
        <w:lastRenderedPageBreak/>
        <w:t>hilo del diagnóstico realizado por la mesa de diálogo social en el acuerdo de formación para el empleo del año 2006, una “definición poco eficiente del papel de los agentes implicados en el sistema”. En relación con dichos agentes, el primero de los preceptos cuestionados (art. 1.2) contiene una declaración general según la cual el sistema en su conjunto se asienta en la “acción coordinada, colaborativa y cooperativa entre la administración general del Estado, las comunidades autónomas, las organizaciones empresariales y sindicales más representativas y los demás agentes que intervienen en el mismo para garantizar la unidad de mercado y un enfoque estratégico de la formación, respetando el marco competencial existente”.</w:t>
      </w:r>
    </w:p>
    <w:p w14:paraId="02E996D6" w14:textId="77777777" w:rsidR="009D7677" w:rsidRDefault="009D7677" w:rsidP="009D7677">
      <w:pPr>
        <w:pStyle w:val="TextoNormal"/>
      </w:pPr>
    </w:p>
    <w:p w14:paraId="4350863E" w14:textId="77777777" w:rsidR="009D7677" w:rsidRDefault="009D7677" w:rsidP="009D7677">
      <w:pPr>
        <w:pStyle w:val="TextoNormal"/>
      </w:pPr>
      <w:r>
        <w:t>Más concretamente, y en lo que a este proceso constitucional interesa, una de “las principales ineficiencias identificadas en el sistema” es, según añade el preámbulo, “la falta de una adecuada anticipación de las necesidades y la planificación de la actividad formativa”. En dicho ámbito se desenvuelve el también cuestionado art. 5 de la Ley, que prevé la aprobación de un escenario plurianual de planificación estratégica que incorpore las tendencias y previsiones económicas y permita identificar los objetivos de atención prioritaria, así como los indicadores para su evaluación, con la participación, entre otros, de las organizaciones empresariales y sindicales más representativas.</w:t>
      </w:r>
    </w:p>
    <w:p w14:paraId="040F3B2A" w14:textId="77777777" w:rsidR="009D7677" w:rsidRDefault="009D7677" w:rsidP="009D7677">
      <w:pPr>
        <w:pStyle w:val="TextoNormal"/>
      </w:pPr>
    </w:p>
    <w:p w14:paraId="787F0A8E" w14:textId="77777777" w:rsidR="009D7677" w:rsidRDefault="009D7677" w:rsidP="009D7677">
      <w:pPr>
        <w:pStyle w:val="TextoNormal"/>
      </w:pPr>
      <w:r>
        <w:t>En lo que se refiere a las “iniciativas de formación profesional”, el capítulo III de la Ley pretende afrontarlas con un “nuevo enfoque” en el que predomine la formación que programa la empresa para sus propios trabajadores. La “formación programada por la empresa” está “llamada a ser la herramienta principal para ofrecer una respuesta inmediata a las necesidades cambiantes de los sectores y reforzar su capacidad de innovación”. Hay que reseñar que la presente cuestión no se refiere a ningún precepto incluido en esta modalidad principal de formación.</w:t>
      </w:r>
    </w:p>
    <w:p w14:paraId="6AB6CBC7" w14:textId="77777777" w:rsidR="009D7677" w:rsidRDefault="009D7677" w:rsidP="009D7677">
      <w:pPr>
        <w:pStyle w:val="TextoNormal"/>
      </w:pPr>
    </w:p>
    <w:p w14:paraId="2A7DF2B0" w14:textId="77777777" w:rsidR="009D7677" w:rsidRDefault="009D7677" w:rsidP="009D7677">
      <w:pPr>
        <w:pStyle w:val="TextoNormal"/>
      </w:pPr>
      <w:r>
        <w:t>Dentro del capítulo III, la Ley 30/2015 también prevé que las distintas administraciones, en sus respectivos ámbitos competenciales y en lo no previsto en el marco de la empresa, completen “la oferta formativa con su propia programación” y ello tanto para los trabajadores ocupados como para los trabajadores en situación de desempleo. Estas modalidades complementarias de oferta formativa sí están afectadas por la presente cuestión de inconstitucionalidad, ya que los arts. 10, 11 y 13 de la Ley prevén la intervención consultiva o cooperativa de las organizaciones sindicales más representativas, o de las estructuras paritarias creadas por estas de acuerdo con lo dispuesto en el también cuestionado art. 26 de la Ley, en el diseño, programación y difusión de la oferta formativa que está a cargo de las administraciones públicas.</w:t>
      </w:r>
    </w:p>
    <w:p w14:paraId="2F53D326" w14:textId="77777777" w:rsidR="009D7677" w:rsidRDefault="009D7677" w:rsidP="009D7677">
      <w:pPr>
        <w:pStyle w:val="TextoNormal"/>
      </w:pPr>
    </w:p>
    <w:p w14:paraId="6D9658BA" w14:textId="77777777" w:rsidR="009D7677" w:rsidRDefault="009D7677" w:rsidP="009D7677">
      <w:pPr>
        <w:pStyle w:val="TextoNormal"/>
      </w:pPr>
      <w:r>
        <w:t>En el ámbito de la evaluación del sistema, el art. 21.1 de la Ley resulta cuestionado en cuanto prevé la participación, entre otros sujetos, de las organizaciones sindicales más representativas en la elaboración de un plan anual de evaluación de la calidad, impacto, eficacia y eficiencia del conjunto del sistema de formación profesional para el empleo en el ámbito laboral, cuyas conclusiones y recomendaciones deberán dar lugar a la incorporación de mejoras en su funcionamiento.</w:t>
      </w:r>
    </w:p>
    <w:p w14:paraId="3C6E3543" w14:textId="77777777" w:rsidR="009D7677" w:rsidRDefault="009D7677" w:rsidP="009D7677">
      <w:pPr>
        <w:pStyle w:val="TextoNormal"/>
      </w:pPr>
    </w:p>
    <w:p w14:paraId="6F402E74" w14:textId="77777777" w:rsidR="009D7677" w:rsidRDefault="009D7677" w:rsidP="009D7677">
      <w:pPr>
        <w:pStyle w:val="TextoNormal"/>
      </w:pPr>
      <w:r>
        <w:t xml:space="preserve">Por su parte, al regular los órganos de gobernanza general del sistema, la Ley 30/2015 reforma la hasta entonces denominada Fundación Tripartita para la Formación en el Empleo, que pasa denominarse (tal y como señala la disposición adicional quinta de la Ley </w:t>
      </w:r>
      <w:r>
        <w:lastRenderedPageBreak/>
        <w:t>por remisión al art. 25) Fundación Estatal para la Formación en el Empleo. El objeto principal de esta concreta innovación normativa es asegurar que la representación de la Administración General del Estado en el patronato de dicha fundación, perteneciente al sector público estatal, sea mayoritaria, tal y como dispone el cuestionado art. 25 de la Ley. Este también exige, y por tal razón resulta cuestionado en este proceso, que en dicho patronato participen asimismo, junto a otros sujetos, las organizaciones empresariales y sindicales más representativas.</w:t>
      </w:r>
    </w:p>
    <w:p w14:paraId="0299F5DC" w14:textId="77777777" w:rsidR="009D7677" w:rsidRDefault="009D7677" w:rsidP="009D7677">
      <w:pPr>
        <w:pStyle w:val="TextoNormal"/>
      </w:pPr>
    </w:p>
    <w:p w14:paraId="22868992" w14:textId="77777777" w:rsidR="009D7677" w:rsidRDefault="009D7677" w:rsidP="009D7677">
      <w:pPr>
        <w:pStyle w:val="TextoNormal"/>
      </w:pPr>
      <w:r>
        <w:t>Por su parte, la disposición final cuarta de la Ley modifica, como ya se ha anticipado, el art. 26 de la Ley de empleo para ajustar las declaraciones generales que este precepto contiene sobre el sistema de formación profesional para el empleo al contenido de la propia Ley 30/2015, con inclusión de las consiguientes referencias al papel de las “organizaciones sindicales más representativas”. En particular, el apartado 3 del art. 26 de la Ley de empleo, en la redacción dada por esta disposición final, prevé la “consulta con las organizaciones empresariales y sindicales más representativas” por parte de las administraciones públicas competentes a efectos de “decidir la implantación progresiva de un cheque formación para trabajadores desempleados”.</w:t>
      </w:r>
    </w:p>
    <w:p w14:paraId="435B65EA" w14:textId="77777777" w:rsidR="009D7677" w:rsidRDefault="009D7677" w:rsidP="009D7677">
      <w:pPr>
        <w:pStyle w:val="TextoNormal"/>
      </w:pPr>
    </w:p>
    <w:p w14:paraId="4FD88868" w14:textId="77777777" w:rsidR="009D7677" w:rsidRDefault="009D7677" w:rsidP="009D7677">
      <w:pPr>
        <w:pStyle w:val="TextoNormal"/>
      </w:pPr>
      <w:r>
        <w:t>Finalmente, se hace necesaria, para la mejor inteligencia de nuestro posterior enjuiciamiento, una sintética referencia a la financiación del sistema y consiguiente gestión económica de los fondos de formación profesional. Conforme al art. 6 de la Ley el sistema se financia con los fondos provenientes de la cuota de formación profesional que aportan las empresas y los trabajadores, de acuerdo con las previsiones de la Ley de presupuestos generales del Estado de cada ejercicio, así como con las aportaciones específicas establecidas en el presupuesto de la Agencia Española de Empleo y con los fondos propios que las comunidades autónomas puedan destinar en el ejercicio de su competencia. Igualmente, las acciones del sistema de formación profesional para el empleo pueden ser objeto de cofinanciación a través del Fondo Social Europeo o de otras ayudas e iniciativas europeas.</w:t>
      </w:r>
    </w:p>
    <w:p w14:paraId="30CE3269" w14:textId="77777777" w:rsidR="009D7677" w:rsidRDefault="009D7677" w:rsidP="009D7677">
      <w:pPr>
        <w:pStyle w:val="TextoNormal"/>
      </w:pPr>
    </w:p>
    <w:p w14:paraId="13EE5A58" w14:textId="77777777" w:rsidR="009D7677" w:rsidRDefault="009D7677" w:rsidP="009D7677">
      <w:pPr>
        <w:pStyle w:val="TextoNormal"/>
      </w:pPr>
      <w:r>
        <w:t>En cuanto a la gestión económica de los fondos, la ley opta de “manera inequívoca”, según señala su preámbulo, por “la concurrencia competitiva abierta a todos los proveedores de formación acreditados y/o inscritos”, estableciendo el principio de libre concurrencia como “rasgo básico transversal a la gestión de la financiación por parte de todas las administraciones competentes en materia de formación profesional”, tal y como había recomendado el informe del Tribunal de Cuentas de fiscalización sobre la gestión de la Fundación Tripartita para la Formación en el Empleo correspondiente al año 2010. Es de reseñar que en este punto se produce un cambio significativo en relación con la intervención de las organizaciones sindicales. Con la Ley 30/2015, estas dejan de ser destinatarias directas de subvenciones en materia de formación, si bien pueden participar indirectamente en los correspondientes procedimientos de concurrencia competitiva a través de centros o entidades de formación acreditados que estén vinculados a ellas.</w:t>
      </w:r>
    </w:p>
    <w:p w14:paraId="10524224" w14:textId="77777777" w:rsidR="009D7677" w:rsidRDefault="009D7677" w:rsidP="009D7677">
      <w:pPr>
        <w:pStyle w:val="TextoNormal"/>
      </w:pPr>
    </w:p>
    <w:p w14:paraId="609E0D3D" w14:textId="77777777" w:rsidR="009D7677" w:rsidRDefault="009D7677" w:rsidP="009D7677">
      <w:pPr>
        <w:pStyle w:val="TextoNormal"/>
      </w:pPr>
      <w:r>
        <w:t xml:space="preserve">b) Una vez explicado el objeto normativo sobre el que se proyecta nuestro enjuiciamiento, ha ponerse de manifiesto que durante la tramitación de la presente cuestión de inconstitucionalidad ha entrado en vigor la Ley Orgánica 3/2022, de 31 de marzo, de ordenación e integración de la formación profesional, cuya disposición derogatoria única señala expresamente, en su apartado segundo, que “[q]uedan derogadas cuantas disposiciones de la Ley 30/2015, de 9 de septiembre, por la que se regula el sistema de formación </w:t>
      </w:r>
      <w:r>
        <w:lastRenderedPageBreak/>
        <w:t>profesional para el empleo en el ámbito laboral se opongan a lo establecido en la presente ley”.</w:t>
      </w:r>
    </w:p>
    <w:p w14:paraId="76E7B038" w14:textId="77777777" w:rsidR="009D7677" w:rsidRDefault="009D7677" w:rsidP="009D7677">
      <w:pPr>
        <w:pStyle w:val="TextoNormal"/>
      </w:pPr>
    </w:p>
    <w:p w14:paraId="2174596E" w14:textId="77777777" w:rsidR="009D7677" w:rsidRDefault="009D7677" w:rsidP="009D7677">
      <w:pPr>
        <w:pStyle w:val="TextoNormal"/>
      </w:pPr>
      <w:r>
        <w:t>Aunque no corresponde a este tribunal determinar los efectos que dicha disposición derogatoria puede tener en relación con la vigencia de los distintos preceptos de la Ley 30/2015, de 9 de septiembre, no puede ignorarse que la presente cuestión de inconstitucionalidad trae causa de un proceso judicial en el que se impugna directamente ante la jurisdicción contencioso-administrativa una disposición de carácter general (el ya citado Real Decreto 694/2017), por lo que la eventual derogación de alguna de las normas legales cuestionadas podría tener una incidencia sobrevenida sobre la subsistencia del objeto del proceso constitucional (por todas, STC 169/2023, de 22 de noviembre, FFJJ 2 y 3).</w:t>
      </w:r>
    </w:p>
    <w:p w14:paraId="5F555998" w14:textId="77777777" w:rsidR="009D7677" w:rsidRDefault="009D7677" w:rsidP="009D7677">
      <w:pPr>
        <w:pStyle w:val="TextoNormal"/>
      </w:pPr>
    </w:p>
    <w:p w14:paraId="7B11D7D6" w14:textId="77777777" w:rsidR="009D7677" w:rsidRDefault="009D7677" w:rsidP="009D7677">
      <w:pPr>
        <w:pStyle w:val="TextoNormal"/>
      </w:pPr>
      <w:r>
        <w:t>La pretensión de la Ley Orgánica 3/2022, de 31 de marzo, es que las dos vertientes ya aludidas de la formación profesional, la que se desarrolla dentro del sistema educativo y la que tiene lugar dentro del ámbito laboral (que es, como se ha explicado, la única que constituye el objeto de este proceso, en cuanto regulada específicamente en la Ley 30/2015), respondan a una perspectiva integrada, de modo que una y otra configuren sus contenidos en función de unos mismos criterios rectores de la capacitación profesional. Como señala el preámbulo de la Ley Orgánica 3/2022, se trata de “[l]ograr una cualificación y recualificación permanente de toda la población, desde los jóvenes antes de abandonar la escolaridad obligatoria hasta el final de la trayectoria profesional” lo que requiere “un sistema integral de formación profesional”, especialmente a efectos de que el contenido de la formación sea “acreditable, acumulable y capitalizable”, generando los correspondientes itinerarios formativos. A tal efecto, una de las finalidades de la norma es crear una sola red que integre los centros de formación del sistema educativo y los que imparten la formación profesional en el ámbito laboral.</w:t>
      </w:r>
    </w:p>
    <w:p w14:paraId="60EA10A0" w14:textId="77777777" w:rsidR="009D7677" w:rsidRDefault="009D7677" w:rsidP="009D7677">
      <w:pPr>
        <w:pStyle w:val="TextoNormal"/>
      </w:pPr>
    </w:p>
    <w:p w14:paraId="474C87DE" w14:textId="77777777" w:rsidR="009D7677" w:rsidRDefault="009D7677" w:rsidP="009D7677">
      <w:pPr>
        <w:pStyle w:val="TextoNormal"/>
      </w:pPr>
      <w:r>
        <w:t>En realidad, la pretensión de integrar bajo un mismo prisma todo el ámbito de la formación profesional, tanto la que se desarrolla en el ámbito educativo como en el laboral, no es novedosa, pues a esa misma finalidad atendía ya la Ley Orgánica 5/2002, de 19 de junio, de las cualificaciones y la formación profesional. La Ley Orgánica 3/2022, de 31 de marzo se limita a sustituir ese marco general preexistente por otro distinto. Por ello, la única disposición con rango de ley que deroga expresamente y en su totalidad es la citada Ley Orgánica 5/2002, de 19 de junio (disposición derogatoria única, apartado primero).</w:t>
      </w:r>
    </w:p>
    <w:p w14:paraId="06C4F5B5" w14:textId="77777777" w:rsidR="009D7677" w:rsidRDefault="009D7677" w:rsidP="009D7677">
      <w:pPr>
        <w:pStyle w:val="TextoNormal"/>
      </w:pPr>
    </w:p>
    <w:p w14:paraId="35F33DD0" w14:textId="77777777" w:rsidR="009D7677" w:rsidRDefault="009D7677" w:rsidP="009D7677">
      <w:pPr>
        <w:pStyle w:val="TextoNormal"/>
      </w:pPr>
      <w:r>
        <w:t>En cambio, la derogación de los preceptos que integran la Ley 30/2015 se produce solo en cuanto “se opongan a lo establecido” en la propia Ley Orgánica 3/2022. En la medida en que este efecto derogatorio parcial queda abierto a interpretación, la propia disposición derogatoria segunda, apartado segundo, de la Ley Orgánica 3/2022 insta al Gobierno a la modificación de “las disposiciones de la Ley 30/2015, de 9 de septiembre, por la que se regula el sistema de formación profesional para el empleo en el ámbito laboral que se vean afectadas por esta disposición derogatoria”. Es claro que, en tanto no se efectúe esa modificación normativa, los efectos derogatorios sobre la Ley 30/2015 producidos por la Ley Orgánica 3/2022 no pueden ser claramente concretados, por lo que, en línea de principio, el conjunto de sus preceptos ha de considerarse vigente en tanto la contradicción con la Ley Orgánica 3/2022 no resulte inmediata o manifiesta.</w:t>
      </w:r>
    </w:p>
    <w:p w14:paraId="765A7165" w14:textId="77777777" w:rsidR="009D7677" w:rsidRDefault="009D7677" w:rsidP="009D7677">
      <w:pPr>
        <w:pStyle w:val="TextoNormal"/>
      </w:pPr>
    </w:p>
    <w:p w14:paraId="1E729D37" w14:textId="77777777" w:rsidR="009D7677" w:rsidRDefault="009D7677" w:rsidP="009D7677">
      <w:pPr>
        <w:pStyle w:val="TextoNormal"/>
      </w:pPr>
      <w:r>
        <w:lastRenderedPageBreak/>
        <w:t>Pues bien, un examen general de la Ley Orgánica 3/2022, de 31 de marzo, permite considerar, a los solos efectos de entender que pervive el objeto del presente proceso constitucional, que ninguno de los preceptos legales afectados por la cuestión de inconstitucionalidad planteada puede entenderse manifiestamente derogado por la citada ley orgánica. En lo que se refiere, en particular, al sistema de formación profesional para el empleo, las normas contenidas en la Ley Orgánica 3/2022 aluden expresamente a la integración de la red de centros del sistema educativo con la red de centros y entidades autorizadas para formación profesional para el empleo. También se ocupa expresamente de la regulación de los centros y entidades acreditadas para impartir acciones de formación profesional para el empleo. Las disposiciones de la Ley Orgánica 3/2022 tienen, asimismo, incidencia en la homologación de las capacitaciones profesionales de los trabajadores. Sin embargo, ninguno de estos contenidos normativos se refiere directamente a las materias objeto de la presente cuestión. Asimismo, tampoco se observa que ninguno de los preceptos de la citada ley orgánica que expresamente aluden a las organizaciones sindicales más representativas (arts. 6, 59, 89, 91, 110, 113, 114 y 117) resulten manifiestamente incompatibles con las previsiones de los preceptos de la Ley 30/2015 que son cuestionados en el presente proceso.</w:t>
      </w:r>
    </w:p>
    <w:p w14:paraId="38BC1147" w14:textId="77777777" w:rsidR="009D7677" w:rsidRDefault="009D7677" w:rsidP="009D7677">
      <w:pPr>
        <w:pStyle w:val="TextoNormal"/>
      </w:pPr>
    </w:p>
    <w:p w14:paraId="729DFDD0" w14:textId="0066B211" w:rsidR="009D7677" w:rsidRDefault="009D7677" w:rsidP="009D7677">
      <w:pPr>
        <w:pStyle w:val="TextoNormal"/>
      </w:pPr>
      <w:r>
        <w:t>Ha de considerarse, en definitiva, que subsiste el objeto del proceso constitucional.</w:t>
      </w:r>
    </w:p>
    <w:p w14:paraId="206F1BDD" w14:textId="77777777" w:rsidR="009D7677" w:rsidRDefault="009D7677" w:rsidP="009D7677">
      <w:pPr>
        <w:pStyle w:val="TextoNormal"/>
      </w:pPr>
    </w:p>
    <w:p w14:paraId="775861B1" w14:textId="77777777" w:rsidR="009D7677" w:rsidRDefault="009D7677" w:rsidP="009D7677">
      <w:pPr>
        <w:pStyle w:val="TextoNormal"/>
      </w:pPr>
      <w:r w:rsidRPr="009D7677">
        <w:rPr>
          <w:rStyle w:val="NumeroAFNegritaCaracter"/>
        </w:rPr>
        <w:t>4</w:t>
      </w:r>
      <w:r>
        <w:t xml:space="preserve">. </w:t>
      </w:r>
      <w:r w:rsidRPr="009D7677">
        <w:rPr>
          <w:i/>
        </w:rPr>
        <w:t>Doctrina aplicable</w:t>
      </w:r>
    </w:p>
    <w:p w14:paraId="2AA00F55" w14:textId="77777777" w:rsidR="009D7677" w:rsidRDefault="009D7677" w:rsidP="009D7677">
      <w:pPr>
        <w:pStyle w:val="TextoNormal"/>
      </w:pPr>
    </w:p>
    <w:p w14:paraId="102C6F69" w14:textId="77777777" w:rsidR="009D7677" w:rsidRDefault="009D7677" w:rsidP="009D7677">
      <w:pPr>
        <w:pStyle w:val="TextoNormal"/>
      </w:pPr>
      <w:r>
        <w:t>A) Posición constitucional de los sindicatos y derecho de libertad sindical</w:t>
      </w:r>
    </w:p>
    <w:p w14:paraId="017260CA" w14:textId="77777777" w:rsidR="009D7677" w:rsidRDefault="009D7677" w:rsidP="009D7677">
      <w:pPr>
        <w:pStyle w:val="TextoNormal"/>
      </w:pPr>
    </w:p>
    <w:p w14:paraId="393A9C99" w14:textId="77777777" w:rsidR="009D7677" w:rsidRDefault="009D7677" w:rsidP="009D7677">
      <w:pPr>
        <w:pStyle w:val="TextoNormal"/>
      </w:pPr>
      <w:r>
        <w:t>El art. 7 CE atribuye a los sindicatos la “defensa y promoción de los intereses económicos y sociales que le son propios”, y le confiere, como elemento indispensable, la libertad para su creación y su actividad “dentro del respeto a la Constitución y a la ley”. El precepto aparece situado en el título preliminar del texto constitucional, lo que convierte a los sindicatos en uno de los pilares básicos del sistema político, y les otorga una función institucional que va más allá de la que deriva de la propia afiliación y del peso efectivo de cada organización sindical, en las tareas de defensa y gestión de los derechos e intereses colectivos de los trabajadores.</w:t>
      </w:r>
    </w:p>
    <w:p w14:paraId="5C6FA395" w14:textId="77777777" w:rsidR="009D7677" w:rsidRDefault="009D7677" w:rsidP="009D7677">
      <w:pPr>
        <w:pStyle w:val="TextoNormal"/>
      </w:pPr>
    </w:p>
    <w:p w14:paraId="0ECB6BCD" w14:textId="77777777" w:rsidR="009D7677" w:rsidRDefault="009D7677" w:rsidP="009D7677">
      <w:pPr>
        <w:pStyle w:val="TextoNormal"/>
      </w:pPr>
      <w:r>
        <w:t>Nuestra doctrina ha puesto de relieve que la Constitución ha consagrado al sindicato como “un elemento clave dentro de la configuración de nuestro Estado como Estado social y democrático de derecho (art. 1.1 CE), al incluir su reconocimiento en el art. 7 del título preliminar”, afirmando que “su especial ubicación en el texto fundamental realza la consideración del sindicato como uno de los soportes institucionales básicos de la sociedad para la defensa, protección y promoción de los intereses colectivos de los trabajadores”. Es por ello que los sindicatos han sido calificados por la doctrina constitucional “no solo como piezas económicas y sociales indispensables para la defensa y promoción de los intereses de los trabajadores (STC 70/1982, de 29 de noviembre, FJ 5), sino, lo que es más importante, como organismos básicos del sistema político (STC 11/1981, de 8 de abril, FJ 11), como formaciones sociales con relevancia constitucional (STC 18/1984, de 7 de febrero, FJ 3), y, en definitiva, como una institución esencial del sistema constitucional español (STC 101/1996, de 11 de junio, FJ 3)” (STC 8/2015, de 22 de enero, FJ 2).</w:t>
      </w:r>
    </w:p>
    <w:p w14:paraId="0B4D2C70" w14:textId="77777777" w:rsidR="009D7677" w:rsidRDefault="009D7677" w:rsidP="009D7677">
      <w:pPr>
        <w:pStyle w:val="TextoNormal"/>
      </w:pPr>
    </w:p>
    <w:p w14:paraId="2F20011F" w14:textId="77777777" w:rsidR="009D7677" w:rsidRDefault="009D7677" w:rsidP="009D7677">
      <w:pPr>
        <w:pStyle w:val="TextoNormal"/>
      </w:pPr>
      <w:r>
        <w:lastRenderedPageBreak/>
        <w:t>El art. 28.1 CE reconoce, por su parte, el derecho fundamental a la libertad sindical, estableciendo que todos tienen derecho a sindicarse libremente y que dicha libertad comprende el derecho a fundar sindicatos y a afiliarse al de su elección sin que nadie pueda ser obligado a afiliarse a un sindicato. La libertad sindical incluye además, como contenido esencial, el derecho a que los sindicatos fundados realicen las funciones que de ellos es dable esperar, de acuerdo con el carácter democrático del Estado y con las coordenadas que a esta institución hay que reconocer, es decir, a que las organizaciones sindicales libremente creadas desempeñen el papel y las funciones que a los sindicatos de trabajadores atribuye el art. 7 de la Constitución (SSTC 70/1982, de 29 de noviembre, FJ 3; 11/1998, de 13 de enero, FJ 4, y 60/1998, de 16 de marzo, FJ 1). La libertad sindical implica pues la libertad en el ejercicio de la acción sindical, esto es, de aquellos medios de acción que contribuyan a que el sindicato pueda desenvolver la actividad a la que está llamado en el propio texto constitucional (STC 30/1992, de 18 de marzo, FJ 3).</w:t>
      </w:r>
    </w:p>
    <w:p w14:paraId="66C23E88" w14:textId="77777777" w:rsidR="009D7677" w:rsidRDefault="009D7677" w:rsidP="009D7677">
      <w:pPr>
        <w:pStyle w:val="TextoNormal"/>
      </w:pPr>
    </w:p>
    <w:p w14:paraId="52B7EF7A" w14:textId="77777777" w:rsidR="009D7677" w:rsidRDefault="009D7677" w:rsidP="009D7677">
      <w:pPr>
        <w:pStyle w:val="TextoNormal"/>
      </w:pPr>
      <w:r>
        <w:t>B) Necesidad de conciliar la igualdad de trato a los sindicatos con el principio de promoción del hecho sindical</w:t>
      </w:r>
    </w:p>
    <w:p w14:paraId="265134C8" w14:textId="77777777" w:rsidR="009D7677" w:rsidRDefault="009D7677" w:rsidP="009D7677">
      <w:pPr>
        <w:pStyle w:val="TextoNormal"/>
      </w:pPr>
    </w:p>
    <w:p w14:paraId="70320A2A" w14:textId="77777777" w:rsidR="009D7677" w:rsidRDefault="009D7677" w:rsidP="009D7677">
      <w:pPr>
        <w:pStyle w:val="TextoNormal"/>
      </w:pPr>
      <w:r>
        <w:t>Desde sus primeros pronunciamientos, el Tribunal Constitucional ha venido poniendo de manifiesto que la actuación estatal en relación con las organizaciones sindicales ha de respetar la libertad sindical, que comprende tanto el derecho a la no injerencia o intromisión de los poderes públicos en su actividad, como el derecho a no ser discriminados entre sí por parte de tales poderes públicos, de modo arbitrario o irrazonable (SSTC 147/2001, de 27 de junio, FJ 3, y 118/2012, de 4 de junio, FJ 4). En esta segunda vertiente, nuestra doctrina se ha venido caracterizando, desde los primeros pronunciamientos sobre la materia, por los siguientes rasgos definitorios:</w:t>
      </w:r>
    </w:p>
    <w:p w14:paraId="4C1CC321" w14:textId="77777777" w:rsidR="009D7677" w:rsidRDefault="009D7677" w:rsidP="009D7677">
      <w:pPr>
        <w:pStyle w:val="TextoNormal"/>
      </w:pPr>
    </w:p>
    <w:p w14:paraId="10F30DD1" w14:textId="77777777" w:rsidR="009D7677" w:rsidRDefault="009D7677" w:rsidP="009D7677">
      <w:pPr>
        <w:pStyle w:val="TextoNormal"/>
      </w:pPr>
      <w:r>
        <w:t xml:space="preserve">a) La existencia de un trato discriminatorio entre organizaciones sindicales puede resultar contraria a los arts. 28.1 CE y 14 CE, preceptos que deben ser examinados, a estos efectos, de manera conjunta (SSTC 65/1982, de 10 de noviembre, FJ 1, 23/1983, de 25 de marzo, FJ 2; 99/1983, de 16 de noviembre, FJ 2, y 20/1985, de 14 febrero, FJ 2). Así se deriva, igualmente, de la jurisprudencia del Tribunal Europeo de Derechos Humanos sobre la materia (sentencias de 27 de octubre de 1975, asunto </w:t>
      </w:r>
      <w:r w:rsidRPr="009D7677">
        <w:rPr>
          <w:i/>
        </w:rPr>
        <w:t>Sindicato Nacional de la Policía Belga c. Bélgica</w:t>
      </w:r>
      <w:r>
        <w:t xml:space="preserve"> y de 6 de febrero de 1976, asunto </w:t>
      </w:r>
      <w:r w:rsidRPr="009D7677">
        <w:rPr>
          <w:i/>
        </w:rPr>
        <w:t>Sindicato Sueco de Conductores de Locomotoras c. Suecia</w:t>
      </w:r>
      <w:r>
        <w:t>) (SSTC 188/1995, FJ 6; 147/2001, FJ 3, y 118/2012, FJ 4).</w:t>
      </w:r>
    </w:p>
    <w:p w14:paraId="78684301" w14:textId="77777777" w:rsidR="009D7677" w:rsidRDefault="009D7677" w:rsidP="009D7677">
      <w:pPr>
        <w:pStyle w:val="TextoNormal"/>
      </w:pPr>
    </w:p>
    <w:p w14:paraId="75BBDCCC" w14:textId="77777777" w:rsidR="009D7677" w:rsidRDefault="009D7677" w:rsidP="009D7677">
      <w:pPr>
        <w:pStyle w:val="TextoNormal"/>
      </w:pPr>
      <w:r>
        <w:t xml:space="preserve">b) No obstante, un tratamiento plenamente igualitario de los sindicatos podría comprometer el ejercicio efectivo de las funciones de relevancia constitucional que el art. 7 CE encomienda a estas organizaciones como “soportes institucionales básicos de la sociedad para la defensa, protección y promoción de los intereses colectivos de los trabajadores” [vid. </w:t>
      </w:r>
      <w:r w:rsidRPr="009D7677">
        <w:rPr>
          <w:i/>
        </w:rPr>
        <w:t>supra</w:t>
      </w:r>
      <w:r>
        <w:t xml:space="preserve">, letra A)]. Existe, así, dentro del propio texto constitucional, una tensión entre la exigencia de igualdad de trato a los sindicatos derivada de los arts. 14 y 28 CE y el principio de “promoción del hecho sindical”. De acuerdo con nuestra doctrina, nos encontramos ante “dos principios derivados del texto constitucional, cuya compatibilidad es preciso garantizar: en primer lugar, el de libertad sindical e igualdad de trato de los sindicatos, derivado del art. 28.1 de la Constitución (en relación con el 14); en segundo, el de promoción del hecho sindical, que enlaza con el art. 7 de la Constitución y sería obstaculizado por una defensa a ultranza del primero. En la tensión entre estos principios, el problema obviamente es de límites, […] en relación con la más eficaz defensa de los intereses </w:t>
      </w:r>
      <w:r>
        <w:lastRenderedPageBreak/>
        <w:t>de los trabajadores, que se vería perjudicada por una atomización sindical” (por todas, STC 98/1985, de 29 de julio, FJ 7).</w:t>
      </w:r>
    </w:p>
    <w:p w14:paraId="33AD810A" w14:textId="77777777" w:rsidR="009D7677" w:rsidRDefault="009D7677" w:rsidP="009D7677">
      <w:pPr>
        <w:pStyle w:val="TextoNormal"/>
      </w:pPr>
    </w:p>
    <w:p w14:paraId="2752940E" w14:textId="77777777" w:rsidR="009D7677" w:rsidRDefault="009D7677" w:rsidP="009D7677">
      <w:pPr>
        <w:pStyle w:val="TextoNormal"/>
      </w:pPr>
      <w:r>
        <w:t>Por otro lado, el concepto legal de mayor representatividad es una manifestación de la “legislación de apoyo” al hecho sindical que se deriva del compromiso de los poderes públicos con la igualdad sustancial (art. 9.2 CE). Y se concreta en la capacidad del sindicato que reúne la singular posición jurídica de la mayor representatividad de colaborar en el desarrollo de proyectos de regulación y gestión de las relaciones laborales que tutelen el trabajo asalariado, lo que acomete con los medios de acción colectiva que el ordenamiento pone a disposición del sindicato para la defensa de los intereses económicos y sociales que les son propios (art. 7 CE). La opción de mayor representatividad trasciende así la noción de representación voluntaria ligada al hecho asociativo, para asumir un rol institucional, como representación colectiva del conjunto de trabajadores de todas las ramas y territorios, sobre la base del dato objetivo de la audiencia electoral, el consenso mayoritario sobre determinadas opciones sindicales que certifica el voto de los trabajadores, afiliados o no a estas centrales sindicales, merced al cual se haya conseguido superar al menos el 10 por 100 de los miembros de comités de empresa y delegados de personal y de las juntas de personal en el empleo público elegidos a nivel estatal o autonómico (art. 6 y 7 LOLS).</w:t>
      </w:r>
    </w:p>
    <w:p w14:paraId="69D57D14" w14:textId="77777777" w:rsidR="009D7677" w:rsidRDefault="009D7677" w:rsidP="009D7677">
      <w:pPr>
        <w:pStyle w:val="TextoNormal"/>
      </w:pPr>
    </w:p>
    <w:p w14:paraId="1E666A46" w14:textId="77777777" w:rsidR="009D7677" w:rsidRDefault="009D7677" w:rsidP="009D7677">
      <w:pPr>
        <w:pStyle w:val="TextoNormal"/>
      </w:pPr>
      <w:r>
        <w:t>Es por ello por lo que “la promoción de un cierto modelo sindical, en que se potencie la existencia de sindicatos fuertes, en contraposición a un sistema de atomización, puede ser una finalidad legítima desde el punto de vista del art. 14 CE, así como desde el punto de vista del art. 7 CE, por garantizar una más incisiva acción de los sindicatos para el cumplimiento de sus fines. Es concorde esta finalidad con valores que la propia Constitución ha consagrado y, por tanto, puede ser legítimo introducir diferencias de trato por esa causa, siempre que no sea desproporcionado el resultado por restringir el núcleo esencial de la libertad sindical, o por entorpecer en exceso el libre funcionamiento de los sindicatos, sometiéndolos a trabas o a controles” (STC 75/1992, de 14 de mayo, FJ 3).</w:t>
      </w:r>
    </w:p>
    <w:p w14:paraId="73E02607" w14:textId="77777777" w:rsidR="009D7677" w:rsidRDefault="009D7677" w:rsidP="009D7677">
      <w:pPr>
        <w:pStyle w:val="TextoNormal"/>
      </w:pPr>
    </w:p>
    <w:p w14:paraId="0174B212" w14:textId="77777777" w:rsidR="009D7677" w:rsidRDefault="009D7677" w:rsidP="009D7677">
      <w:pPr>
        <w:pStyle w:val="TextoNormal"/>
      </w:pPr>
      <w:r>
        <w:t>c) La necesidad de conciliar la igualdad de trato de los sindicatos con la necesaria “promoción del hecho sindical”, evitando una “atomización” que impida el eficaz ejercicio de las funciones de relevancia constitucional encomendadas a los sindicatos en el art. 7 CE, determina, en definitiva, en nuestra doctrina, que el legislador pueda establecer diferencias de trato entre sindicatos siempre que estén basadas en criterios objetivos y razonables. Por ello, el derecho de las organizaciones sindicales a no ser tratadas de forma discriminatoria por los poderes públicos se vulnera cuando la desigualdad está desprovista de una justificación objetiva y razonable, lo que debe apreciarse en relación con la finalidad y efectos de la medida considerada, debiendo darse una relación razonable de adecuación entre los medios empleados y la finalidad perseguida (SSTC 20/1985, de 14 de febrero, FJ 2). Como señala la STC 147/2001, en el marco de un problema de límites, las diferencias de trato entre los sindicatos tienen que cumplir con los requisitos de objetividad, adecuación y razonabilidad (FJ 3).</w:t>
      </w:r>
    </w:p>
    <w:p w14:paraId="538E12B8" w14:textId="77777777" w:rsidR="009D7677" w:rsidRDefault="009D7677" w:rsidP="009D7677">
      <w:pPr>
        <w:pStyle w:val="TextoNormal"/>
      </w:pPr>
    </w:p>
    <w:p w14:paraId="6471450E" w14:textId="77777777" w:rsidR="009D7677" w:rsidRDefault="009D7677" w:rsidP="009D7677">
      <w:pPr>
        <w:pStyle w:val="TextoNormal"/>
      </w:pPr>
      <w:r>
        <w:t xml:space="preserve">d) A la hora de realizar el referido juicio de razonabilidad, tal y como venimos señalando ya desde la STC 53/1982, de 22 de julio, FJ 3, no corresponde a este tribunal determinar si el criterio utilizado por el legislador “es el más acertado o el más conveniente políticamente, ni tampoco si es el más acorde con la Constitución, lo cual entrañaría juicios de </w:t>
      </w:r>
      <w:r>
        <w:lastRenderedPageBreak/>
        <w:t>valor o de preferencia que este tribunal no puede jamás emitir, sino tan solo si es discriminatorio por ser irracional o arbitrario, o si por el contrario es razonable y objetivo”.</w:t>
      </w:r>
    </w:p>
    <w:p w14:paraId="2028243C" w14:textId="77777777" w:rsidR="009D7677" w:rsidRDefault="009D7677" w:rsidP="009D7677">
      <w:pPr>
        <w:pStyle w:val="TextoNormal"/>
      </w:pPr>
    </w:p>
    <w:p w14:paraId="0E66648B" w14:textId="77777777" w:rsidR="009D7677" w:rsidRDefault="009D7677" w:rsidP="009D7677">
      <w:pPr>
        <w:pStyle w:val="TextoNormal"/>
      </w:pPr>
      <w:r>
        <w:t>C) La mayor representatividad como criterio objetivo de diferenciación entre sindicatos.</w:t>
      </w:r>
    </w:p>
    <w:p w14:paraId="73BC6474" w14:textId="77777777" w:rsidR="009D7677" w:rsidRDefault="009D7677" w:rsidP="009D7677">
      <w:pPr>
        <w:pStyle w:val="TextoNormal"/>
      </w:pPr>
    </w:p>
    <w:p w14:paraId="0970B2E8" w14:textId="77777777" w:rsidR="009D7677" w:rsidRDefault="009D7677" w:rsidP="009D7677">
      <w:pPr>
        <w:pStyle w:val="TextoNormal"/>
      </w:pPr>
      <w:r>
        <w:t>a) Uno de los criterios que este tribunal ha venido considerando válido, con los matices que se dirán, para establecer un trato diferencial entre sindicatos sin merma de los derechos reconocidos en los arts. 14 y 28 CE es el de la mayor representatividad. Y ello en la medida de que se trata de un criterio que arranca de un dato objetivo, como es la voluntad de los trabajadores y funcionarios expresada en las elecciones a órganos de representación de trabajadores y funcionarios, y porque la promoción del hecho sindical y la eficaz y efectiva defensa y promoción de los intereses de los trabajadores (art. 7 CE), finalidades también necesitadas de atención, pueden malograrse por una excesiva atomización sindical y la atribución de un carácter absoluto al principio de igualdad de trato y del libre e igual disfrute del derecho reconocido en el art. 28.1 CE (por todas, STC 147/2001, FJ 3).</w:t>
      </w:r>
    </w:p>
    <w:p w14:paraId="70C16F1D" w14:textId="77777777" w:rsidR="009D7677" w:rsidRDefault="009D7677" w:rsidP="009D7677">
      <w:pPr>
        <w:pStyle w:val="TextoNormal"/>
      </w:pPr>
    </w:p>
    <w:p w14:paraId="65DFDD99" w14:textId="77777777" w:rsidR="009D7677" w:rsidRDefault="009D7677" w:rsidP="009D7677">
      <w:pPr>
        <w:pStyle w:val="TextoNormal"/>
      </w:pPr>
      <w:r>
        <w:t xml:space="preserve">b) Ahora bien, que el concepto de mayor representatividad sea un criterio objetivo y, por ello, constitucionalmente válido </w:t>
      </w:r>
      <w:r w:rsidRPr="009D7677">
        <w:rPr>
          <w:i/>
        </w:rPr>
        <w:t>a priori</w:t>
      </w:r>
      <w:r>
        <w:t xml:space="preserve"> para establecer diferencias de trato entre sindicatos, no significa que cualquier regulación apoyada en él haya de reputarse como constitucionalmente legítima. Resulta necesario analizar la finalidad y efectos de la medida y las razones que han llevado al legislador a considerar conforme con las exigencias constitucionales conferir determinadas facultades a los sindicatos más representativos.</w:t>
      </w:r>
    </w:p>
    <w:p w14:paraId="71DDB3FE" w14:textId="77777777" w:rsidR="009D7677" w:rsidRDefault="009D7677" w:rsidP="009D7677">
      <w:pPr>
        <w:pStyle w:val="TextoNormal"/>
      </w:pPr>
    </w:p>
    <w:p w14:paraId="54A38D33" w14:textId="77777777" w:rsidR="009D7677" w:rsidRDefault="009D7677" w:rsidP="009D7677">
      <w:pPr>
        <w:pStyle w:val="TextoNormal"/>
      </w:pPr>
      <w:r>
        <w:t>Así, en coherencia con el origen del concepto de representatividad, consignado en el art. 3.5 de la Constitución de la Organización Internacional del Trabajo (OIT), el criterio de la mayor representatividad se ha considerado objetivo y razonable para establecer la participación de los representantes de los trabajadores en los organismos internacionales y desarrollar tareas de representación institucional (informe 36, caso núm. 190, párrafo 195 del comité de libertad sindical del consejo de administración de la OIT y SSTC 53/1982, de 22 de julio, y 65/1982, de 10 de noviembre) y también se ha estimado como un criterio válido para constatar la significación de las organizaciones que aspiren a desarrollar actividades que produzcan efectos más allá de sus afiliados, como la negociación colectiva de eficacia general (SSTC 73/1984, de 27 de junio, 98/1985, de 29 de julio). Asimismo, otras facultades de las organizaciones más representativas, tales como la posibilidad de promover elecciones sindicales (STC 164/1993, de 18 de mayo), gozar del derecho de excedencia forzosa para los trabajadores que desempeñen cargos sindicales (STC 263/1994, de 3 de octubre) o contar con delegados sindicales en determinadas condiciones (STC 188/1995, de 18 de diciembre), también se han declarado justificadas por este tribunal y no lesivas del derecho de libertad sindical.</w:t>
      </w:r>
    </w:p>
    <w:p w14:paraId="62B22398" w14:textId="77777777" w:rsidR="009D7677" w:rsidRDefault="009D7677" w:rsidP="009D7677">
      <w:pPr>
        <w:pStyle w:val="TextoNormal"/>
      </w:pPr>
    </w:p>
    <w:p w14:paraId="3DA4E3A0" w14:textId="77777777" w:rsidR="009D7677" w:rsidRDefault="009D7677" w:rsidP="009D7677">
      <w:pPr>
        <w:pStyle w:val="TextoNormal"/>
      </w:pPr>
      <w:r>
        <w:t xml:space="preserve">c) El criterio de mayor representatividad otorga un particular margen de acción al legislador en el ámbito de la participación institucional, pues este tribunal ha considerado que tal función no pertenece al núcleo esencial de la libertad sindical, razón por la cual el legislador goza de un amplio margen para establecer diferencias de trato entre los distintos sindicatos. En este sentido, la doctrina de este tribunal, ya desde la STC 39/1986, de 31 de marzo, señala que es “perfectamente claro que los sindicatos pueden recibir del legislador más facultades y derechos que engrosan el núcleo esencial del art. 28.1 de la Constitución </w:t>
      </w:r>
      <w:r>
        <w:lastRenderedPageBreak/>
        <w:t>y que no contradicen el texto constitucional” y que “[e]ntre estos últimos se encuentra el derecho a la participación institucional”, de modo que la participación en la actividad de organismos públicos “es creación de la ley en sentido amplio y a ella sola debe ser remitida”. En definitiva, “la participación institucional constituye un derecho o facultad adicional, que los sindicatos pueden recibir del legislador, sin ser parte del núcleo mínimo e indispensable de la libertad sindical pero que engrosa su núcleo esencial” [STC 39/1986, de 31 de marzo, FJ 3 b)]. No obstante, de acuerdo con nuestra doctrina, no cabe excluir sin más a los sindicatos más representativos del ámbito de la participación institucional, lo que dependerá de las características de la regulación concretamente examinada (por todas, STC 183/1992, de 16 de noviembre).</w:t>
      </w:r>
    </w:p>
    <w:p w14:paraId="6E30F48E" w14:textId="77777777" w:rsidR="009D7677" w:rsidRDefault="009D7677" w:rsidP="009D7677">
      <w:pPr>
        <w:pStyle w:val="TextoNormal"/>
      </w:pPr>
    </w:p>
    <w:p w14:paraId="04E3E9E6" w14:textId="77777777" w:rsidR="009D7677" w:rsidRDefault="009D7677" w:rsidP="009D7677">
      <w:pPr>
        <w:pStyle w:val="TextoNormal"/>
      </w:pPr>
      <w:r>
        <w:t>d) Para determinar el ámbito propio de la función de participación institucional, nuestra doctrina ha sido clara a la hora de relacionarla con la naturaleza pública del ente que tiene atribuida la correspondiente competencia. Hemos señalado al respecto que “el único precepto clave para determinar el alcance que cabe dar a la expresión ‘participación institucional’ en el marco constitucional es el art. 129 de la Constitución, al que también hace referencia la recurrente. Pues bien, dicho precepto entiende por participación la desarrollada en el seno de ‘organismos públicos’, fuera de la cual, otras formas de participación no están prohibidas por la Constitución, pero tampoco reguladas por ella. De la misma manera, la Ley Orgánica de libertad sindical, siguiendo la pauta marcada por algunos instrumentos internacionales, reconoce a los sindicatos que tengan la consideración de más representativos la capacidad para ‘ostentar representación institucional ante las administraciones públicas u otras entidades u organismo de carácter estatal o de comunidad autónoma que la tengan prevista’ (art. 6.3 a). Esto es, existe una estrecha vinculación entre la participación prevista en el art. 129 de la Constitución y la estructura organizativa de la administración pública, o de ‘entidades’ y ‘organismos’ de naturaleza pública que se califican por su naturaleza y su adscripción orgánica, y no tanto por la mayor o menor transcendencia que puedan tener” [STC 39/1986, de 31 de marzo, FJ 4 C)].</w:t>
      </w:r>
    </w:p>
    <w:p w14:paraId="6CDCF0D3" w14:textId="77777777" w:rsidR="009D7677" w:rsidRDefault="009D7677" w:rsidP="009D7677">
      <w:pPr>
        <w:pStyle w:val="TextoNormal"/>
      </w:pPr>
    </w:p>
    <w:p w14:paraId="035EA7F5" w14:textId="77777777" w:rsidR="009D7677" w:rsidRDefault="009D7677" w:rsidP="009D7677">
      <w:pPr>
        <w:pStyle w:val="TextoNormal"/>
      </w:pPr>
      <w:r>
        <w:t>e) No obstante, la función de participación institucional no es la única en la que el concepto de “mayor representatividad” puede funcionar como elemento legítimo de diferenciación, ya que, como se ha visto, también puede operar en ámbitos propios de los medios de acción sindical, como es el caso de la negociación colectiva. Ese ámbito plural de proyección del concepto de mayor representatividad está reconocido en el desarrollo legal de la libertad sindical, en el que el concepto de sindicato más representativo y la capacidad representativa atribuida a este se encuentran regulados en la Ley Orgánica 11/1985, de 2 de agosto, de libertad sindical, dictada en desarrollo del art. 28.1 CE, que los contempla en su título III, bajo el epígrafe “[d]e la representatividad sindical”.</w:t>
      </w:r>
    </w:p>
    <w:p w14:paraId="6FEC928E" w14:textId="77777777" w:rsidR="009D7677" w:rsidRDefault="009D7677" w:rsidP="009D7677">
      <w:pPr>
        <w:pStyle w:val="TextoNormal"/>
      </w:pPr>
    </w:p>
    <w:p w14:paraId="70B59D71" w14:textId="77777777" w:rsidR="009D7677" w:rsidRDefault="009D7677" w:rsidP="009D7677">
      <w:pPr>
        <w:pStyle w:val="TextoNormal"/>
      </w:pPr>
      <w:r>
        <w:t>Así, el art. 6.1 LOLS viene a señalar que “[l]a mayor representatividad sindical reconocida a determinados sindicatos, les confiere una singular posición jurídica a efectos, tanto de participación institucional como de acción sindical”. Tras fijar en su apartado segundo las condiciones para ostentar la condición de sindicato más representativo a nivel estatal, en su apartado tercero determina que “[l]as organizaciones [sindicales] que tengan la consideración de sindicato más representativo según el número anterior, gozarán de capacidad representativa a todos los niveles territoriales y funcionales para: a) Ostentar representación institucional ante las administraciones públicas u otras entidades y organismos de carácter estatal o de comunidad autónoma que la tengan prevista; b) La negociación colec</w:t>
      </w:r>
      <w:r>
        <w:lastRenderedPageBreak/>
        <w:t>tiva, en los términos previstos en el estatuto de los trabajadores; c) Participar como interlocutores en la determinación de las condiciones de trabajo en las administraciones públicas a través de los oportunos procedimientos de consulta o negociación; d) Participar en los sistemas no jurisdiccionales de solución de conflictos de trabajo; e) Promover elecciones para delegados de personas y comités de empresa y órganos correspondientes de las administraciones públicas; f) Obtener cesiones temporales de uso de inmuebles patrimoniales públicos en los términos que se establezcan legalmente; g) Cualquier otra función representativa que se establezca”.</w:t>
      </w:r>
    </w:p>
    <w:p w14:paraId="1D4DA339" w14:textId="77777777" w:rsidR="009D7677" w:rsidRDefault="009D7677" w:rsidP="009D7677">
      <w:pPr>
        <w:pStyle w:val="TextoNormal"/>
      </w:pPr>
    </w:p>
    <w:p w14:paraId="26C48CB2" w14:textId="77777777" w:rsidR="009D7677" w:rsidRDefault="009D7677" w:rsidP="009D7677">
      <w:pPr>
        <w:pStyle w:val="TextoNormal"/>
      </w:pPr>
      <w:r>
        <w:t>Por su parte, el art. 7 determina en su apartado primero los sindicatos que tendrán la consideración de más representativos a nivel de comunidad autónoma, y señala que “[e]stas organizaciones gozarán de capacidad representativa para ejercer en el ámbito específico de la comunidad autónoma las funciones y facultades enumeradas en el número 3 del artículo anterior, así como la capacidad para ostentar la representación institucional ante las administraciones públicas u otras entidades u organismos de carácter estatal”; y en el apartado segundo se contemplan los sindicatos representativos en “un ámbito territorial y funcional específico”.</w:t>
      </w:r>
    </w:p>
    <w:p w14:paraId="508A6009" w14:textId="77777777" w:rsidR="009D7677" w:rsidRDefault="009D7677" w:rsidP="009D7677">
      <w:pPr>
        <w:pStyle w:val="TextoNormal"/>
      </w:pPr>
    </w:p>
    <w:p w14:paraId="1CDB67BF" w14:textId="77777777" w:rsidR="009D7677" w:rsidRDefault="009D7677" w:rsidP="009D7677">
      <w:pPr>
        <w:pStyle w:val="TextoNormal"/>
      </w:pPr>
      <w:r>
        <w:t>f) El criterio de mayor representatividad no resulta admisible, sin embargo, allí donde su utilización puede acabar afectando desproporcionadamente al núcleo esencial de las funciones garantizadas en el art. 28.1 CE, lo que este tribunal ha considerado que ocurre en lo relativo a “la concesión de subvenciones para fines generales de todos los sindicatos con exclusión de los demás” y ello en la medida en que, de acuerdo con nuestro doctrina (i) no está en juego en ese caso el ejercicio ordenado y eficiente de la actividad de relevancia constitucional que deben desarrollar los sindicatos, y (ii) el otorgamiento de subvenciones en función de la mayor representatividad podría constituir una inducción indirecta a la afiliación a determinados sindicatos, lo que atentaría contra la libertad sindical, en su vertiente más básica de derecho a afiliarse al sindicato de propia preferencia, no ya mediante la coacción o imposición de la obligación de elegir determinados sindicatos sino mediante “una presión para que los trabajadores” adopten una decisión que “deja de ser libre” (STC 26/1985, de 22 de febrero, FJ 3).</w:t>
      </w:r>
    </w:p>
    <w:p w14:paraId="1A82D83D" w14:textId="77777777" w:rsidR="009D7677" w:rsidRDefault="009D7677" w:rsidP="009D7677">
      <w:pPr>
        <w:pStyle w:val="TextoNormal"/>
      </w:pPr>
    </w:p>
    <w:p w14:paraId="6FDB25EE" w14:textId="77777777" w:rsidR="009D7677" w:rsidRDefault="009D7677" w:rsidP="009D7677">
      <w:pPr>
        <w:pStyle w:val="TextoNormal"/>
      </w:pPr>
      <w:r>
        <w:t>No obstante, incluso en relación con la distribución de subvenciones, cuando estas vienen ligadas a la realización de concretos programas o actividades, nuestra doctrina ha aceptado la posibilidad de un trato más favorable para las organizaciones sindicales más representativas en función de “la real existencia de una mayor o menor carga organizativa necesaria para una eficaz puesta en práctica” de las actividades correspondientes (STC 147/2001, de 27 de junio, FJ 4).</w:t>
      </w:r>
    </w:p>
    <w:p w14:paraId="6AC7D93A" w14:textId="77777777" w:rsidR="009D7677" w:rsidRDefault="009D7677" w:rsidP="009D7677">
      <w:pPr>
        <w:pStyle w:val="TextoNormal"/>
      </w:pPr>
    </w:p>
    <w:p w14:paraId="2817D468" w14:textId="77777777" w:rsidR="009D7677" w:rsidRDefault="009D7677" w:rsidP="009D7677">
      <w:pPr>
        <w:pStyle w:val="TextoNormal"/>
      </w:pPr>
      <w:r>
        <w:t>g) Finalmente, hay que tener presente que el concepto de mayor representatividad ha sido abordado por este tribunal para resolver dos problemas de orden distinto. Uno es su utilización como criterio válido para establecer diferencias de tratamiento legal entre diferentes sindicatos, concediendo determinadas ventajas o prerrogativas a los que tengan la cualidad de la mayor representatividad. Otro distinto es el enjuiciamiento de los mecanismos legales que han sido previstos para concretar y apreciar esa representatividad superior. En ese segundo orden de casos (SSTC 65/1982, de 10 de noviembre, y 98/1985, de 29 de julio, FJ 6) no se discute la legitimidad del criterio diferenciador mismo sino los elementos utilizados por el legislador para “medir” la representatividad, como, por ejem</w:t>
      </w:r>
      <w:r>
        <w:lastRenderedPageBreak/>
        <w:t>plo, si ha de aplicarse un determinado criterio de territorialidad (v. gr. STC 53/1982, de 22 de julio, en relación la medición de la representatividad en la participación en las antiguas comisiones ejecutivas provinciales del Instituto Nacional de Empleo).</w:t>
      </w:r>
    </w:p>
    <w:p w14:paraId="67B15486" w14:textId="77777777" w:rsidR="009D7677" w:rsidRDefault="009D7677" w:rsidP="009D7677">
      <w:pPr>
        <w:pStyle w:val="TextoNormal"/>
      </w:pPr>
    </w:p>
    <w:p w14:paraId="5478BE35" w14:textId="77777777" w:rsidR="009D7677" w:rsidRDefault="009D7677" w:rsidP="009D7677">
      <w:pPr>
        <w:pStyle w:val="TextoNormal"/>
      </w:pPr>
      <w:r>
        <w:t>Como señala la STC 98/1985, de 29 de julio, FJ 6, en estos dos tipos de supuestos el “objeto del juicio es diferente: en el relativo a las funciones, lo que interesa no es conocer la constitucionalidad de su atribución a unos determinados sujetos, sino la exclusión de otros, mientras que en materia de reconocimiento de la condición es la objetividad del criterio que permite una posición singular lo que debe valorarse”.</w:t>
      </w:r>
    </w:p>
    <w:p w14:paraId="41185449" w14:textId="77777777" w:rsidR="009D7677" w:rsidRDefault="009D7677" w:rsidP="009D7677">
      <w:pPr>
        <w:pStyle w:val="TextoNormal"/>
      </w:pPr>
    </w:p>
    <w:p w14:paraId="6F1C3B2D" w14:textId="6B68DC25" w:rsidR="009D7677" w:rsidRDefault="009D7677" w:rsidP="009D7677">
      <w:pPr>
        <w:pStyle w:val="TextoNormal"/>
      </w:pPr>
      <w:r>
        <w:t>Es claro que, en el presente caso, la Sala de lo Contencioso-Administrativo del Tribunal Supremo plantea el primer tipo de problema, ya que la cuestión de inconstitucionalidad pone en entredicho la legitimidad de la exclusión de aquellos sindicatos que no alcanza el umbral de la “mayor representatividad” o de la “representatividad en el correspondiente ámbito de actuación” en relación con el ejercicio de ciertas funciones consultivas y cooperativas propias del sistema de formación para el empleo previsto en la Ley 30/2015, de 9 de septiembre. A ese objeto se ceñirá, por ello, el enjuiciamiento de la cuestión planteada.</w:t>
      </w:r>
    </w:p>
    <w:p w14:paraId="13D1F773" w14:textId="77777777" w:rsidR="009D7677" w:rsidRDefault="009D7677" w:rsidP="009D7677">
      <w:pPr>
        <w:pStyle w:val="TextoNormal"/>
      </w:pPr>
    </w:p>
    <w:p w14:paraId="68F4BC6F" w14:textId="77777777" w:rsidR="009D7677" w:rsidRDefault="009D7677" w:rsidP="009D7677">
      <w:pPr>
        <w:pStyle w:val="TextoNormal"/>
      </w:pPr>
      <w:r w:rsidRPr="009D7677">
        <w:rPr>
          <w:rStyle w:val="NumeroAFNegritaCaracter"/>
        </w:rPr>
        <w:t>5</w:t>
      </w:r>
      <w:r>
        <w:t xml:space="preserve">. </w:t>
      </w:r>
      <w:r w:rsidRPr="009D7677">
        <w:rPr>
          <w:i/>
        </w:rPr>
        <w:t>Enjuiciamiento</w:t>
      </w:r>
    </w:p>
    <w:p w14:paraId="342F9660" w14:textId="77777777" w:rsidR="009D7677" w:rsidRDefault="009D7677" w:rsidP="009D7677">
      <w:pPr>
        <w:pStyle w:val="TextoNormal"/>
      </w:pPr>
    </w:p>
    <w:p w14:paraId="0021BD6C" w14:textId="77777777" w:rsidR="009D7677" w:rsidRDefault="009D7677" w:rsidP="009D7677">
      <w:pPr>
        <w:pStyle w:val="TextoNormal"/>
      </w:pPr>
      <w:r>
        <w:t>A) Cuestión planteada</w:t>
      </w:r>
    </w:p>
    <w:p w14:paraId="41D73235" w14:textId="77777777" w:rsidR="009D7677" w:rsidRDefault="009D7677" w:rsidP="009D7677">
      <w:pPr>
        <w:pStyle w:val="TextoNormal"/>
      </w:pPr>
    </w:p>
    <w:p w14:paraId="63ABC7AC" w14:textId="77777777" w:rsidR="009D7677" w:rsidRDefault="009D7677" w:rsidP="009D7677">
      <w:pPr>
        <w:pStyle w:val="TextoNormal"/>
      </w:pPr>
      <w:r>
        <w:t xml:space="preserve">Como ya se anticipó al examinar el cumplimiento de los presupuestos procesales [vid. </w:t>
      </w:r>
      <w:r w:rsidRPr="009D7677">
        <w:rPr>
          <w:i/>
        </w:rPr>
        <w:t>supra</w:t>
      </w:r>
      <w:r>
        <w:t xml:space="preserve"> FJ 2 A) c)], el auto de planteamiento no contiene una argumentación con desarrollo específico en relación con cada uno de los preceptos de la Ley 30/2015 que han sido cuestionados por el órgano judicial. Plantea, antes bien, una duda común a todos ellos que consiste, en esencia, en el siguiente razonamiento: al restringir la participación de las organizaciones sindicales en atención al criterio de la mayor representatividad, la Ley 30/2015 ha desbordado el ámbito estricto de la participación institucional, pues estamos ante funciones consultivas y cooperativas ajenas a dicho ámbito y atinentes, además, a un sistema de formación que se financia con aportaciones de todos los trabajadores, estén o no afiliados a un determinado sindicato; por tal razón, todos los preceptos que utilizan ese criterio distintivo para restringir la participación de los sindicatos en el sistema de formación profesional para el empleo habrían de considerarse inconstitucionales.</w:t>
      </w:r>
    </w:p>
    <w:p w14:paraId="4420F8FE" w14:textId="77777777" w:rsidR="009D7677" w:rsidRDefault="009D7677" w:rsidP="009D7677">
      <w:pPr>
        <w:pStyle w:val="TextoNormal"/>
      </w:pPr>
    </w:p>
    <w:p w14:paraId="6872A312" w14:textId="77777777" w:rsidR="009D7677" w:rsidRDefault="009D7677" w:rsidP="009D7677">
      <w:pPr>
        <w:pStyle w:val="TextoNormal"/>
      </w:pPr>
      <w:r>
        <w:t>Los preceptos legales que resultan cuestionados por el órgano judicial son, en consecuencia, todos aquellos que en la Ley 30/2015 utilizan el criterio de “mayor representatividad”, sin que el auto de planteamiento alegue nada en relación específica con el concreto contenido normativo de cada uno de ellos. El auto de planteamiento tampoco delimita claramente las concretas funciones, de entre las conferidas en los preceptos cuestionados, que considera incompatibles con el criterio de la mayor representatividad, pues solo menciona expresamente “la planificación estratégica de la formación profesional para el empleo”, “la detección de necesidades” y “el análisis prospectivo”, y, en todo lo demás, se limita a aludir a “las demás cuestiones” reguladas en los preceptos previamente enumerados.</w:t>
      </w:r>
    </w:p>
    <w:p w14:paraId="04D01924" w14:textId="77777777" w:rsidR="009D7677" w:rsidRDefault="009D7677" w:rsidP="009D7677">
      <w:pPr>
        <w:pStyle w:val="TextoNormal"/>
      </w:pPr>
    </w:p>
    <w:p w14:paraId="648AAC9A" w14:textId="77777777" w:rsidR="009D7677" w:rsidRDefault="009D7677" w:rsidP="009D7677">
      <w:pPr>
        <w:pStyle w:val="TextoNormal"/>
      </w:pPr>
      <w:r>
        <w:t xml:space="preserve">Pues bien, en la medida en que nos encontramos ante una duda de constitucionalidad que apunta a la ilegitimidad estructural o general, dentro del sistema de la Ley 30/2015, de la diferencia de trato entre organizaciones sindicales en función del criterio de la mayor </w:t>
      </w:r>
      <w:r>
        <w:lastRenderedPageBreak/>
        <w:t>representatividad y que carece contenido argumental específico en relación con cada uno de los preceptos cuestionados, nuestro enjuiciamiento será acorde a ese planteamiento estructural, que exige evaluar el criterio diferenciador utilizado en relación con el conjunto del sistema, y prestará especial atención a los dos argumentos en los que la duda de constitucionalidad se apoya expresamente: el desbordamiento por el legislador del ámbito de la participación institucional y la financiación del sistema de formación profesional para el empleo con cuotas de formación que aportan todos los trabajadores, al margen de su concreta afiliación sindical.</w:t>
      </w:r>
    </w:p>
    <w:p w14:paraId="77A3F7BE" w14:textId="77777777" w:rsidR="009D7677" w:rsidRDefault="009D7677" w:rsidP="009D7677">
      <w:pPr>
        <w:pStyle w:val="TextoNormal"/>
      </w:pPr>
    </w:p>
    <w:p w14:paraId="0F3D36F0" w14:textId="77777777" w:rsidR="009D7677" w:rsidRDefault="009D7677" w:rsidP="009D7677">
      <w:pPr>
        <w:pStyle w:val="TextoNormal"/>
      </w:pPr>
      <w:r>
        <w:t>De acuerdo con ello, procederemos al enjuiciamiento de la presente cuestión determinando, en primer lugar, si las funciones que el sistema de formación profesional para el empleo de la Ley 30/2015 otorga a las organizaciones sindicales más representativas o representativas en el correspondiente ámbito de actuación tienen o no la consideración de “participación institucional” (B). Una vez que esas funciones hayan sido encuadradas en un determinado ámbito, sea o no el de la participación institucional, examinaremos además si, desde la óptica del conjunto del sistema de formación profesional para el empleo, nos encontramos ante un criterio diferenciador que puede considerarse ajustado a las exigencias de la doctrina constitucional, prestando especial atención al dato relativo al origen de los fondos públicos que sirven para financiar el sistema (C).</w:t>
      </w:r>
    </w:p>
    <w:p w14:paraId="281446E3" w14:textId="77777777" w:rsidR="009D7677" w:rsidRDefault="009D7677" w:rsidP="009D7677">
      <w:pPr>
        <w:pStyle w:val="TextoNormal"/>
      </w:pPr>
    </w:p>
    <w:p w14:paraId="483EA247" w14:textId="77777777" w:rsidR="009D7677" w:rsidRDefault="009D7677" w:rsidP="009D7677">
      <w:pPr>
        <w:pStyle w:val="TextoNormal"/>
      </w:pPr>
      <w:r>
        <w:t>B) Determinación del ámbito en el que se desenvuelven las funciones encomendadas a las organizaciones sindicales más representativas o representativas en el ámbito de actuación correspondiente.</w:t>
      </w:r>
    </w:p>
    <w:p w14:paraId="471C0FD4" w14:textId="77777777" w:rsidR="009D7677" w:rsidRDefault="009D7677" w:rsidP="009D7677">
      <w:pPr>
        <w:pStyle w:val="TextoNormal"/>
      </w:pPr>
    </w:p>
    <w:p w14:paraId="09AA39CD" w14:textId="77777777" w:rsidR="009D7677" w:rsidRDefault="009D7677" w:rsidP="009D7677">
      <w:pPr>
        <w:pStyle w:val="TextoNormal"/>
      </w:pPr>
      <w:r>
        <w:t>Para determinar si las funciones encomendadas por la Ley 30/2015 a los sindicatos más representativos o representativos en el correspondiente ámbito de actuación se desenvuelven en el marco de la participación institucional, han de hacerse dos precisiones en relación con dicho concepto, directamente enlazadas con la exposición doctrinal efectuada en el fundamento jurídico 4 C):</w:t>
      </w:r>
    </w:p>
    <w:p w14:paraId="37DC61B2" w14:textId="77777777" w:rsidR="009D7677" w:rsidRDefault="009D7677" w:rsidP="009D7677">
      <w:pPr>
        <w:pStyle w:val="TextoNormal"/>
      </w:pPr>
    </w:p>
    <w:p w14:paraId="40070F68" w14:textId="77777777" w:rsidR="009D7677" w:rsidRDefault="009D7677" w:rsidP="009D7677">
      <w:pPr>
        <w:pStyle w:val="TextoNormal"/>
      </w:pPr>
      <w:r>
        <w:t>(i) En primer lugar, aunque la Sala de lo Contencioso-Administrativo del Tribunal Supremo se refiere en su auto de planteamiento, en varias ocasiones, a la “representación institucional” como el ámbito genuino de desenvolvimiento del criterio de la “mayor representatividad”, lo cierto es, que, en términos estrictos, el concepto acuñado en nuestra doctrina es el de “participación institucional”, tal y como recoge expresamente el art. 6.1 LOLS, según el cual “[l]a mayor representatividad sindical reconocida a determinados sindicatos les confiere una singular posición jurídica a efectos, tanto de participación institucional como de acción sindical”.</w:t>
      </w:r>
    </w:p>
    <w:p w14:paraId="58D02819" w14:textId="77777777" w:rsidR="009D7677" w:rsidRDefault="009D7677" w:rsidP="009D7677">
      <w:pPr>
        <w:pStyle w:val="TextoNormal"/>
      </w:pPr>
    </w:p>
    <w:p w14:paraId="55AD0F6C" w14:textId="77777777" w:rsidR="009D7677" w:rsidRDefault="009D7677" w:rsidP="009D7677">
      <w:pPr>
        <w:pStyle w:val="TextoNormal"/>
      </w:pPr>
      <w:r>
        <w:t>Ciertamente, el propio art. 6 LOLS precisa que entre las funciones concretas de participación institucional que corresponden a los sindicatos más representativos se encuentra la de “[o]stentar la representación institucional de las administraciones públicas” [art. 6.3 a) LOLS], pero el citado precepto también menciona otras funciones de participación institucional de los sindicatos más representativos como la de “participar como interlocutores” de las administraciones públicas en los “oportunos procedimientos de consulta o negociación” [art. 6.3 c) LOLS], la de “participar en los sistemas no jurisdiccionales de solución de conflictos de trabajo” [art. 6.3 d) LOLS] o, en todo caso, “[c]ualquier otra función representativa que se establezca” [art. 6.3 g)].</w:t>
      </w:r>
    </w:p>
    <w:p w14:paraId="01720DB6" w14:textId="77777777" w:rsidR="009D7677" w:rsidRDefault="009D7677" w:rsidP="009D7677">
      <w:pPr>
        <w:pStyle w:val="TextoNormal"/>
      </w:pPr>
    </w:p>
    <w:p w14:paraId="737439B1" w14:textId="77777777" w:rsidR="009D7677" w:rsidRDefault="009D7677" w:rsidP="009D7677">
      <w:pPr>
        <w:pStyle w:val="TextoNormal"/>
      </w:pPr>
      <w:r>
        <w:t>En suma, la participación institucional, como ámbito más genuino de desenvolvimiento del criterio de la mayor representatividad, trasciende, frente a lo que parece sugerir en algunos pasajes el auto de planteamiento, el mero hecho de ostentar la representación institucional de los trabajadores ante las administraciones públicas y abarca cualquier otra forma de intervención de los sindicatos en las funciones desarrolladas por un organismo público que el legislador decida conferir a las organizaciones sindicales como contenido adicional del derecho comprendido en el art. 28.1 CE.</w:t>
      </w:r>
    </w:p>
    <w:p w14:paraId="52EEE770" w14:textId="77777777" w:rsidR="009D7677" w:rsidRDefault="009D7677" w:rsidP="009D7677">
      <w:pPr>
        <w:pStyle w:val="TextoNormal"/>
      </w:pPr>
    </w:p>
    <w:p w14:paraId="599C443B" w14:textId="77777777" w:rsidR="009D7677" w:rsidRDefault="009D7677" w:rsidP="009D7677">
      <w:pPr>
        <w:pStyle w:val="TextoNormal"/>
      </w:pPr>
      <w:r>
        <w:t xml:space="preserve">(ii) En todo caso, para evaluar si las funciones atribuidas a las organizaciones sindicales “más representativas” o “representativas en el ámbito sectorial correspondiente” se desenvuelven en el ámbito de la participación institucional hemos de atender al criterio establecido en nuestra doctrina [vid. </w:t>
      </w:r>
      <w:r w:rsidRPr="009D7677">
        <w:rPr>
          <w:i/>
        </w:rPr>
        <w:t>supra</w:t>
      </w:r>
      <w:r>
        <w:t xml:space="preserve"> fundamento jurídico 4 C) d)] según el cual ha de determinarse si tales organizaciones sindicales vienen llamadas a participar en el ejercicio de funciones atribuidas a “entidades” y “organismos” de naturaleza pública que se califican de tal modo por su naturaleza y su adscripción orgánica.</w:t>
      </w:r>
    </w:p>
    <w:p w14:paraId="230C7E9C" w14:textId="77777777" w:rsidR="009D7677" w:rsidRDefault="009D7677" w:rsidP="009D7677">
      <w:pPr>
        <w:pStyle w:val="TextoNormal"/>
      </w:pPr>
    </w:p>
    <w:p w14:paraId="6D2CCF93" w14:textId="77777777" w:rsidR="009D7677" w:rsidRDefault="009D7677" w:rsidP="009D7677">
      <w:pPr>
        <w:pStyle w:val="TextoNormal"/>
      </w:pPr>
      <w:r>
        <w:t>Hechas estas precisiones, realizaremos el enjuiciamiento de este concreto punto distinguiendo: (a) la naturaleza jurídica de la actividad que se desarrolla, en general, a través del sistema de formación profesional para el empleo; (b) los preceptos cuestionados que se proyectan sobre el conjunto de ese sistema y (c) los preceptos cuestionados que se desenvuelven en el seno de alguna de las tres modalidades de programación y gestión de la formación profesional para el empleo.</w:t>
      </w:r>
    </w:p>
    <w:p w14:paraId="66F1E92D" w14:textId="77777777" w:rsidR="009D7677" w:rsidRDefault="009D7677" w:rsidP="009D7677">
      <w:pPr>
        <w:pStyle w:val="TextoNormal"/>
      </w:pPr>
    </w:p>
    <w:p w14:paraId="10DCB81F" w14:textId="77777777" w:rsidR="009D7677" w:rsidRDefault="009D7677" w:rsidP="009D7677">
      <w:pPr>
        <w:pStyle w:val="TextoNormal"/>
      </w:pPr>
      <w:r>
        <w:t xml:space="preserve">a) En cuanto a la naturaleza jurídica del sistema, ya se puso de manifiesto [vid. </w:t>
      </w:r>
      <w:r w:rsidRPr="009D7677">
        <w:rPr>
          <w:i/>
        </w:rPr>
        <w:t>supra</w:t>
      </w:r>
      <w:r>
        <w:t xml:space="preserve"> fundamento jurídico 3 a)] que la formación profesional para el empleo comprende únicamente aquella formación profesional que no se integra en los ciclos formativos previstos en el sistema educativo para la obtención de las titulaciones académicas correspondientes y que se desarrolla, en cambio, dentro del ámbito laboral.</w:t>
      </w:r>
    </w:p>
    <w:p w14:paraId="7EB5BCCB" w14:textId="77777777" w:rsidR="009D7677" w:rsidRDefault="009D7677" w:rsidP="009D7677">
      <w:pPr>
        <w:pStyle w:val="TextoNormal"/>
      </w:pPr>
    </w:p>
    <w:p w14:paraId="21BF4705" w14:textId="77777777" w:rsidR="009D7677" w:rsidRDefault="009D7677" w:rsidP="009D7677">
      <w:pPr>
        <w:pStyle w:val="TextoNormal"/>
      </w:pPr>
      <w:r>
        <w:t>La finalidad de dicho sistema es, concretamente, la acreditación, por vías en todo caso distintas de las previstas en el sistema educativo, de las correspondientes competencias profesionales adquiridas. Esa acreditación se materializa, finalmente, a través de la emisión de los correspondientes certificados de profesionalidad. Estos, según señalamos en las SSTC 111/2012, de 24 de mayo, FJ 5; 194/2012, de 31 de octubre, FJ 4, y 61/2015, de 18 de marzo, FJ 2, son los instrumentos de acreditación de la capacitación profesional distintos a los títulos académicos de formación profesional de grado medio y de grado superior que se adquieren en los ciclos formativos del sistema educativo.</w:t>
      </w:r>
    </w:p>
    <w:p w14:paraId="1EFF8567" w14:textId="77777777" w:rsidR="009D7677" w:rsidRDefault="009D7677" w:rsidP="009D7677">
      <w:pPr>
        <w:pStyle w:val="TextoNormal"/>
      </w:pPr>
    </w:p>
    <w:p w14:paraId="4A304B35" w14:textId="77777777" w:rsidR="009D7677" w:rsidRDefault="009D7677" w:rsidP="009D7677">
      <w:pPr>
        <w:pStyle w:val="TextoNormal"/>
      </w:pPr>
      <w:r>
        <w:t>En atención a estos elementos, este tribunal ha considerado que el sistema de formación para el empleo constituye “una actividad administrativa dirigida a acreditar que la experiencia laboral o la formación adquirida capacitan para el desarrollo de determinadas tareas en el mercado de trabajo” (STC 39/2021, de 18 de febrero, FJ 3).</w:t>
      </w:r>
    </w:p>
    <w:p w14:paraId="651B201A" w14:textId="77777777" w:rsidR="009D7677" w:rsidRDefault="009D7677" w:rsidP="009D7677">
      <w:pPr>
        <w:pStyle w:val="TextoNormal"/>
      </w:pPr>
    </w:p>
    <w:p w14:paraId="27ABC156" w14:textId="77777777" w:rsidR="009D7677" w:rsidRDefault="009D7677" w:rsidP="009D7677">
      <w:pPr>
        <w:pStyle w:val="TextoNormal"/>
      </w:pPr>
      <w:r>
        <w:t>b) Para el desarrollo de esa actividad administrativa, la Ley 30/2015 prevé la participación de las organizaciones sindicales más representativas en el ejercicio de ciertas funciones que afectan al conjunto del sistema. Así ocurre, concretamente, en cinco de los precep</w:t>
      </w:r>
      <w:r>
        <w:lastRenderedPageBreak/>
        <w:t>tos cuestionados: los arts. 1.2, 5.1, 21.1 y 25 y la disposición final cuarta de la Ley 30/2015 (que reforma el art. 26 de la ley 56/2003, de 16 de diciembre, de empleo).</w:t>
      </w:r>
    </w:p>
    <w:p w14:paraId="36C99512" w14:textId="77777777" w:rsidR="009D7677" w:rsidRDefault="009D7677" w:rsidP="009D7677">
      <w:pPr>
        <w:pStyle w:val="TextoNormal"/>
      </w:pPr>
    </w:p>
    <w:p w14:paraId="67FE7A64" w14:textId="77777777" w:rsidR="009D7677" w:rsidRDefault="009D7677" w:rsidP="009D7677">
      <w:pPr>
        <w:pStyle w:val="TextoNormal"/>
      </w:pPr>
      <w:r>
        <w:t xml:space="preserve">(i) El art. 1.2 de la Ley 30/2015, incluido en las disposiciones generales (capítulo I), se limita a exigir, como ya se ha explicado [vid. </w:t>
      </w:r>
      <w:r w:rsidRPr="009D7677">
        <w:rPr>
          <w:i/>
        </w:rPr>
        <w:t>supra</w:t>
      </w:r>
      <w:r>
        <w:t xml:space="preserve"> fundamento jurídico 3 a)], una “acción coordinada, colaborativa y cooperativa” de las administraciones competentes y los agentes sociales, enunciación general que, por sí misma, nada prejuzga en relación con las concretas funciones que ejercen los diferentes partícipes del sistema. La referencia que dicho precepto hace a la intervención de las “organizaciones sindicales más representativas” adquiere, en realidad, sustantividad jurídica en la regulación posterior.</w:t>
      </w:r>
    </w:p>
    <w:p w14:paraId="27181A27" w14:textId="77777777" w:rsidR="009D7677" w:rsidRDefault="009D7677" w:rsidP="009D7677">
      <w:pPr>
        <w:pStyle w:val="TextoNormal"/>
      </w:pPr>
    </w:p>
    <w:p w14:paraId="28680943" w14:textId="77777777" w:rsidR="009D7677" w:rsidRDefault="009D7677" w:rsidP="009D7677">
      <w:pPr>
        <w:pStyle w:val="TextoNormal"/>
      </w:pPr>
      <w:r>
        <w:t>Lo mismo ocurre con la declaración general contenida en el art. 26.2 de la Ley de empleo (en la redacción dada por la disposición final cuarta de la Ley 30/2015) en cuanto determina que la participación de las organizaciones sindicales más representativas se producirá “en los términos previstos en la normativa reguladora del sistema de formación profesional para el empleo en el ámbito laboral”.</w:t>
      </w:r>
    </w:p>
    <w:p w14:paraId="160F6CB7" w14:textId="77777777" w:rsidR="009D7677" w:rsidRDefault="009D7677" w:rsidP="009D7677">
      <w:pPr>
        <w:pStyle w:val="TextoNormal"/>
      </w:pPr>
    </w:p>
    <w:p w14:paraId="1CCDD90B" w14:textId="77777777" w:rsidR="009D7677" w:rsidRDefault="009D7677" w:rsidP="009D7677">
      <w:pPr>
        <w:pStyle w:val="TextoNormal"/>
      </w:pPr>
      <w:r>
        <w:t>(ii) Por su parte, el art. 5.1 de la Ley 30/2015 atribuye al Ministerio de Empleo y Seguridad Social la competencia para elaborar, con informe preceptivo del consejo general del sistema nacional de empleo, “un escenario plurianual que actúe como marco de planificación estratégica de todo el sistema de formación profesional para el empleo en el ámbito laboral” y ello con la finalidad de “asegurar que el sistema responda de forma dinámica a las necesidades formativas de empresas y trabajadores identificadas desde los distintos ámbitos competenciales y ofrecer una imagen de certidumbre y estabilidad a todos los agentes implicados en su desarrollo que permita la inversión en formación y la generación de estructuras estables en el tiempo”.</w:t>
      </w:r>
    </w:p>
    <w:p w14:paraId="10793173" w14:textId="77777777" w:rsidR="009D7677" w:rsidRDefault="009D7677" w:rsidP="009D7677">
      <w:pPr>
        <w:pStyle w:val="TextoNormal"/>
      </w:pPr>
    </w:p>
    <w:p w14:paraId="6C16407C" w14:textId="77777777" w:rsidR="009D7677" w:rsidRDefault="009D7677" w:rsidP="009D7677">
      <w:pPr>
        <w:pStyle w:val="TextoNormal"/>
      </w:pPr>
      <w:r>
        <w:t>En el diseño de ese escenario plurianual el párrafo segundo del precepto prevé “la participación de las organizaciones empresariales y sindicales más representativas, de las comunidades autónomas, de las estructuras paritarias sectoriales y de las organizaciones intersectoriales representativas de autónomos y de las entidades de la economía social en su ámbito específico, y con la colaboración de otros departamentos ministeriales, de observatorios y de expertos en la materia”.</w:t>
      </w:r>
    </w:p>
    <w:p w14:paraId="2BCB3F06" w14:textId="77777777" w:rsidR="009D7677" w:rsidRDefault="009D7677" w:rsidP="009D7677">
      <w:pPr>
        <w:pStyle w:val="TextoNormal"/>
      </w:pPr>
    </w:p>
    <w:p w14:paraId="768E3956" w14:textId="77777777" w:rsidR="009D7677" w:rsidRDefault="009D7677" w:rsidP="009D7677">
      <w:pPr>
        <w:pStyle w:val="TextoNormal"/>
      </w:pPr>
      <w:r>
        <w:t>Esta previsión es reiterada, en términos más generales, en el art. 26.3 de la Ley de empleo (en la redacción dada por la cuestionada disposición final cuarta de la Ley 30/2015), que señala que “[e]n el marco de la planificación estratégica del conjunto del sistema, el Ministerio de Empleo y Seguridad Social, con la participación de las comunidades autónomas, de las organizaciones empresariales y sindicales más representativas y de las organizaciones representativas de autónomos y de la economía social, elaborará un escenario plurianual de la formación profesional para el empleo y desarrollará un sistema eficiente de observación y prospección del mercado de trabajo para detectar y anticipar los cambios en las demandas de cualificación y competencias del tejido productivo”.</w:t>
      </w:r>
    </w:p>
    <w:p w14:paraId="651FDFF4" w14:textId="77777777" w:rsidR="009D7677" w:rsidRDefault="009D7677" w:rsidP="009D7677">
      <w:pPr>
        <w:pStyle w:val="TextoNormal"/>
      </w:pPr>
    </w:p>
    <w:p w14:paraId="6D6469D1" w14:textId="77777777" w:rsidR="009D7677" w:rsidRDefault="009D7677" w:rsidP="009D7677">
      <w:pPr>
        <w:pStyle w:val="TextoNormal"/>
      </w:pPr>
      <w:r>
        <w:t xml:space="preserve">Como ya señalamos en la STC 71/2018, de 21 de julio, FJ 3 a), al examinar esta regulación desde una dimensión competencial, el escenario plurianual actúa, en definitiva “como marco de planificación estratégica de todo el sistema de formación profesional para </w:t>
      </w:r>
      <w:r>
        <w:lastRenderedPageBreak/>
        <w:t>el empleo, elaborado por el Estado: artículos 5.1 de la Ley 30/2015 y 2 del Real Decreto 694/2017)”.</w:t>
      </w:r>
    </w:p>
    <w:p w14:paraId="66ED2A30" w14:textId="77777777" w:rsidR="009D7677" w:rsidRDefault="009D7677" w:rsidP="009D7677">
      <w:pPr>
        <w:pStyle w:val="TextoNormal"/>
      </w:pPr>
    </w:p>
    <w:p w14:paraId="16A9815D" w14:textId="77777777" w:rsidR="009D7677" w:rsidRDefault="009D7677" w:rsidP="009D7677">
      <w:pPr>
        <w:pStyle w:val="TextoNormal"/>
      </w:pPr>
      <w:r>
        <w:t>En este caso nos encontramos, por ello, ante la planificación estratégica de una actividad administrativa, esto es, ante el ejercicio de una potestad normativa claramente atribuida a un organismo público, el Ministerio de Empleo y Seguridad Social. Por tal razón, la participación colaboradora de las organizaciones sindicales, junto a otras entidades y agentes, en las labores preliminares de prospección y diseño de esa norma-marco (escenario plurianual) tiene la naturaleza jurídica de participación institucional.</w:t>
      </w:r>
    </w:p>
    <w:p w14:paraId="17AAEC1B" w14:textId="77777777" w:rsidR="009D7677" w:rsidRDefault="009D7677" w:rsidP="009D7677">
      <w:pPr>
        <w:pStyle w:val="TextoNormal"/>
      </w:pPr>
    </w:p>
    <w:p w14:paraId="40405CBA" w14:textId="77777777" w:rsidR="009D7677" w:rsidRDefault="009D7677" w:rsidP="009D7677">
      <w:pPr>
        <w:pStyle w:val="TextoNormal"/>
      </w:pPr>
      <w:r>
        <w:t>(iii) Lo mismo ocurre con el art. 21.1 de la Ley, según el cual el Servicio Público de Empleo (SEPE), con informe preceptivo del consejo general del sistema nacional de empleo, “elaborará anualmente un plan de evaluación de la calidad, impacto, eficacia y eficiencia del conjunto del sistema de formación profesional para el empleo en el ámbito laboral, cuyas conclusiones y recomendaciones deberán dar lugar a la incorporación de mejoras en su funcionamiento”.</w:t>
      </w:r>
    </w:p>
    <w:p w14:paraId="1F61B85A" w14:textId="77777777" w:rsidR="009D7677" w:rsidRDefault="009D7677" w:rsidP="009D7677">
      <w:pPr>
        <w:pStyle w:val="TextoNormal"/>
      </w:pPr>
    </w:p>
    <w:p w14:paraId="7D84100A" w14:textId="77777777" w:rsidR="009D7677" w:rsidRDefault="009D7677" w:rsidP="009D7677">
      <w:pPr>
        <w:pStyle w:val="TextoNormal"/>
      </w:pPr>
      <w:r>
        <w:t>De acuerdo con el citado precepto, en la elaboración del referido plan dicho organismo público ha de contar con la participación “de los órganos o entidades competentes de las comunidades autónomas y de las organizaciones empresariales y sindicales más representativas”, por lo que la intervención colaboradora de los agentes sociales se produce también en calidad de participación institucional.</w:t>
      </w:r>
    </w:p>
    <w:p w14:paraId="11672687" w14:textId="77777777" w:rsidR="009D7677" w:rsidRDefault="009D7677" w:rsidP="009D7677">
      <w:pPr>
        <w:pStyle w:val="TextoNormal"/>
      </w:pPr>
    </w:p>
    <w:p w14:paraId="499EC1A6" w14:textId="77777777" w:rsidR="009D7677" w:rsidRDefault="009D7677" w:rsidP="009D7677">
      <w:pPr>
        <w:pStyle w:val="TextoNormal"/>
      </w:pPr>
      <w:r>
        <w:t>(iv) El mismo fenómeno de participación consultiva en una decisión adoptada por un organismo público se reproduce en relación con la posible implantación de un cheque de formación de los trabajadores, ámbito donde el art. 26.4 de la Ley de empleo (en la redacción dada por la disposición final cuarta de la Ley 30/2015) dispone que “[l]as administraciones competentes, previa consulta con las organizaciones empresariales y sindicales más representativas, podrán decidir la implantación progresiva de un cheque formación para trabajadores desempleados delimitando los sectores en los que se aplicará. A tal efecto, reglamentariamente se determinarán los requisitos y condiciones para su disfrute. Asimismo, en el seno de la conferencia sectorial de empleo y asuntos laborales se analizará su puesta en marcha y los mecanismos para su evaluación”. Nuevamente, estamos ante el ejercicio de una potestad de una administración pública y ante una participación institucional de carácter consultivo de las organizaciones sindicales más representativas.</w:t>
      </w:r>
    </w:p>
    <w:p w14:paraId="150C3B05" w14:textId="77777777" w:rsidR="009D7677" w:rsidRDefault="009D7677" w:rsidP="009D7677">
      <w:pPr>
        <w:pStyle w:val="TextoNormal"/>
      </w:pPr>
    </w:p>
    <w:p w14:paraId="5FCB0BFB" w14:textId="77777777" w:rsidR="009D7677" w:rsidRDefault="009D7677" w:rsidP="009D7677">
      <w:pPr>
        <w:pStyle w:val="TextoNormal"/>
      </w:pPr>
      <w:r>
        <w:t>(v) Finalmente, también estamos ante un supuesto de participación institucional en el concreto caso de la Fundación Estatal para la Formación para el Empleo, como “entidad colaboradora y de apoyo técnico del Servicio Público de Empleo Estatal en materia de formación profesional para el empleo”. Dicha fundación pertenece, según señala claramente el art. 25.1 de la Ley 30/2015 al “sector público estatal” y, aunque en el patronato de dicho organismo público han de estar presentes diversos sujetos, entre ellos las organizaciones sindicales más representativas, la Administración General del Estado se reserva, en todo caso, tal y como señala el precepto, el número de miembros “que sea necesario para que esta tenga una representación mayoritaria en dicho órgano”.</w:t>
      </w:r>
    </w:p>
    <w:p w14:paraId="51954C54" w14:textId="77777777" w:rsidR="009D7677" w:rsidRDefault="009D7677" w:rsidP="009D7677">
      <w:pPr>
        <w:pStyle w:val="TextoNormal"/>
      </w:pPr>
    </w:p>
    <w:p w14:paraId="5AF61624" w14:textId="77777777" w:rsidR="009D7677" w:rsidRDefault="009D7677" w:rsidP="009D7677">
      <w:pPr>
        <w:pStyle w:val="TextoNormal"/>
      </w:pPr>
      <w:r>
        <w:t xml:space="preserve">c) Como ya se anticipó [vid. </w:t>
      </w:r>
      <w:r w:rsidRPr="009D7677">
        <w:rPr>
          <w:i/>
        </w:rPr>
        <w:t>supra</w:t>
      </w:r>
      <w:r>
        <w:t xml:space="preserve"> fundamento jurídico 3 a)], el sistema general de formación para el empleo se subdivide, en su operatividad práctica, en tres concretas “mo</w:t>
      </w:r>
      <w:r>
        <w:lastRenderedPageBreak/>
        <w:t>dalidades de formación profesional para el empleo” (art. 8 de la Ley 30/2015): la formación programada por las empresas para sus trabajadores; la oferta formativa de las administraciones competentes para trabajadores ocupados y la oferta formativa de las administraciones competentes para trabajadores desempleados. En lo que se refiere a la intervención de las administraciones públicas, puede establecerse, sin embargo, una diferenciación esencial entre la primera modalidad (formación programada por las empresas) y las otras dos (oferta formativa para trabajadores ocupados o desempleados) con la consiguiente influencia en la delimitación del concepto de participación institucional. Así:</w:t>
      </w:r>
    </w:p>
    <w:p w14:paraId="28DE9C07" w14:textId="77777777" w:rsidR="009D7677" w:rsidRDefault="009D7677" w:rsidP="009D7677">
      <w:pPr>
        <w:pStyle w:val="TextoNormal"/>
      </w:pPr>
    </w:p>
    <w:p w14:paraId="64F736A2" w14:textId="77777777" w:rsidR="009D7677" w:rsidRDefault="009D7677" w:rsidP="009D7677">
      <w:pPr>
        <w:pStyle w:val="TextoNormal"/>
      </w:pPr>
      <w:r>
        <w:t>(i) La formación programada por las empresas se caracteriza por atribuir a estas la facultad de programar, en función de sus propias necesidades, las acciones formativas relativas a sus trabajadores asalariados (art. 9.1 de la Ley 30/2015). Dichas acciones formativas son financiadas, de acuerdo con el art. 6.5 a) de la propia Ley 30/2015, mediante bonificaciones en las cotizaciones empresariales a la Seguridad Social que proceden de los fondos de formación profesional para el empleo. Como ya se explicó [fundamento jurídico 3 a)] esta modalidad constituye “la herramienta principal” de capacitación de los trabajadores, pues las otras dos tienen la finalidad de “completar” la oferta formativa.</w:t>
      </w:r>
    </w:p>
    <w:p w14:paraId="112F91E0" w14:textId="77777777" w:rsidR="009D7677" w:rsidRDefault="009D7677" w:rsidP="009D7677">
      <w:pPr>
        <w:pStyle w:val="TextoNormal"/>
      </w:pPr>
    </w:p>
    <w:p w14:paraId="3B757EEC" w14:textId="77777777" w:rsidR="009D7677" w:rsidRDefault="009D7677" w:rsidP="009D7677">
      <w:pPr>
        <w:pStyle w:val="TextoNormal"/>
      </w:pPr>
      <w:r>
        <w:t>De acuerdo con nuestra doctrina, esta primera modalidad de formación profesional queda claramente fuera del ámbito de la llamada participación institucional, ya que todas las facultades de programación de la oferta se encuentran residenciadas en el ámbito de la empresa misma y no están conferidas a las administraciones públicas. Este ámbito queda, no obstante, fuera de la duda de constitucionalidad [vid</w:t>
      </w:r>
      <w:r w:rsidRPr="009D7677">
        <w:rPr>
          <w:i/>
        </w:rPr>
        <w:t>. sup</w:t>
      </w:r>
      <w:r>
        <w:t>ra fundamento jurídico 3 a)].</w:t>
      </w:r>
    </w:p>
    <w:p w14:paraId="102E4393" w14:textId="77777777" w:rsidR="009D7677" w:rsidRDefault="009D7677" w:rsidP="009D7677">
      <w:pPr>
        <w:pStyle w:val="TextoNormal"/>
      </w:pPr>
    </w:p>
    <w:p w14:paraId="061CF955" w14:textId="77777777" w:rsidR="009D7677" w:rsidRDefault="009D7677" w:rsidP="009D7677">
      <w:pPr>
        <w:pStyle w:val="TextoNormal"/>
      </w:pPr>
      <w:r>
        <w:t>(ii) Solo en las otras dos modalidades de formación para el empleo hay preceptos afectados por la duda de constitucionalidad (concretamente, los arts. 10, 11, 13 y, por remisión, 26 de la Ley). Dichas modalidades responden, en la Ley 30/2015, a una estructura diversa a la que caracteriza a la formación programada por la empresa, ya que en ellas la programación anual o plurianual de la oferta formativa se encomienda a las propias administraciones públicas.</w:t>
      </w:r>
    </w:p>
    <w:p w14:paraId="2EE36FE1" w14:textId="77777777" w:rsidR="009D7677" w:rsidRDefault="009D7677" w:rsidP="009D7677">
      <w:pPr>
        <w:pStyle w:val="TextoNormal"/>
      </w:pPr>
    </w:p>
    <w:p w14:paraId="1991400D" w14:textId="77777777" w:rsidR="009D7677" w:rsidRDefault="009D7677" w:rsidP="009D7677">
      <w:pPr>
        <w:pStyle w:val="TextoNormal"/>
      </w:pPr>
      <w:r>
        <w:t>En efecto, las competencias para la programación de la oferta formativa tanto para trabajadores ocupados (art. 10) como para trabajadores desempleados (art. 11) corresponden “a las administraciones competentes” de acuerdo con los arts. 8 b) y c), 10.1 y 11.1 de la Ley 30/2015. Las facultades de las administraciones públicas incluyen, en particular, tanto la programación anual o plurianual de las ofertas formativas (arts. 10.2, 11.1 y 13.1) como la convocatoria pública, en condiciones de publicidad, objetividad y libre concurrencia, de los procesos de adjudicación de la gestión económica de los fondos públicos correspondientes [arts. 6.5 b) y c) y 13.3].</w:t>
      </w:r>
    </w:p>
    <w:p w14:paraId="2AE8C91D" w14:textId="77777777" w:rsidR="009D7677" w:rsidRDefault="009D7677" w:rsidP="009D7677">
      <w:pPr>
        <w:pStyle w:val="TextoNormal"/>
      </w:pPr>
    </w:p>
    <w:p w14:paraId="5A5F845C" w14:textId="77777777" w:rsidR="009D7677" w:rsidRDefault="009D7677" w:rsidP="009D7677">
      <w:pPr>
        <w:pStyle w:val="TextoNormal"/>
      </w:pPr>
      <w:r>
        <w:t>En estos casos, lo que se atribuye a determinadas organizaciones sindicales, en concreto a las que cumplen el requisito de la mayor representatividad o a las estructuras paritarias que pueden crearse de acuerdo con el art. 26 de la Ley 30/2015 con la participación de estas, es el derecho a ejercer funciones consultivas o de colaboración en las labores de diseño, programación y difusión de la oferta formativa, quedando todas las facultades decisorias residenciadas en la administración pública competente. Dicho en otros términos: las administraciones públicas, al ejercer sus competencias de programación de la oferta formativa para trabajadores ocupados o desempleados, han de contar con la opinión y co</w:t>
      </w:r>
      <w:r>
        <w:lastRenderedPageBreak/>
        <w:t>laboración de varias entidades y agentes, entre los cuales se encuentran las organizaciones sindicales más representativas.</w:t>
      </w:r>
    </w:p>
    <w:p w14:paraId="5DCA729D" w14:textId="77777777" w:rsidR="009D7677" w:rsidRDefault="009D7677" w:rsidP="009D7677">
      <w:pPr>
        <w:pStyle w:val="TextoNormal"/>
      </w:pPr>
    </w:p>
    <w:p w14:paraId="335D5BF2" w14:textId="77777777" w:rsidR="009D7677" w:rsidRDefault="009D7677" w:rsidP="009D7677">
      <w:pPr>
        <w:pStyle w:val="TextoNormal"/>
      </w:pPr>
      <w:r>
        <w:t>De ello se infiere que en las modalidades de oferta formativa para trabajadores ocupados y desempleados nos encontramos ante la colaboración o cooperación de las organizaciones sindicales en el ejercicio de competencias reservadas a organismos públicos. Estamos, por ello, ante supuestos de participación institucional.</w:t>
      </w:r>
    </w:p>
    <w:p w14:paraId="6835C30A" w14:textId="77777777" w:rsidR="009D7677" w:rsidRDefault="009D7677" w:rsidP="009D7677">
      <w:pPr>
        <w:pStyle w:val="TextoNormal"/>
      </w:pPr>
    </w:p>
    <w:p w14:paraId="437FA066" w14:textId="77777777" w:rsidR="009D7677" w:rsidRDefault="009D7677" w:rsidP="009D7677">
      <w:pPr>
        <w:pStyle w:val="TextoNormal"/>
      </w:pPr>
      <w:r>
        <w:t>Puede concluirse, en definitiva, que la duda de constitucionalidad se refiere a funciones que se configuran como supuestos de participación institucional, esto es, como participación de las organizaciones sindicales en el ejercicio de funciones encomendadas a organismos públicos [v</w:t>
      </w:r>
      <w:r w:rsidRPr="009D7677">
        <w:rPr>
          <w:i/>
        </w:rPr>
        <w:t>id. s</w:t>
      </w:r>
      <w:r>
        <w:t>upra fundamento jurídico 4 C) d)].</w:t>
      </w:r>
    </w:p>
    <w:p w14:paraId="36E83DF9" w14:textId="77777777" w:rsidR="009D7677" w:rsidRDefault="009D7677" w:rsidP="009D7677">
      <w:pPr>
        <w:pStyle w:val="TextoNormal"/>
      </w:pPr>
    </w:p>
    <w:p w14:paraId="7FFD3E29" w14:textId="77777777" w:rsidR="009D7677" w:rsidRDefault="009D7677" w:rsidP="009D7677">
      <w:pPr>
        <w:pStyle w:val="TextoNormal"/>
      </w:pPr>
      <w:r>
        <w:t>C) Enjuiciamiento</w:t>
      </w:r>
    </w:p>
    <w:p w14:paraId="7FE22708" w14:textId="77777777" w:rsidR="009D7677" w:rsidRDefault="009D7677" w:rsidP="009D7677">
      <w:pPr>
        <w:pStyle w:val="TextoNormal"/>
      </w:pPr>
    </w:p>
    <w:p w14:paraId="23C427F1" w14:textId="77777777" w:rsidR="009D7677" w:rsidRDefault="009D7677" w:rsidP="009D7677">
      <w:pPr>
        <w:pStyle w:val="TextoNormal"/>
      </w:pPr>
      <w:r>
        <w:t xml:space="preserve">El hecho de que nos encontremos en el ámbito de la participación institucional es, sin duda, relevante para el enjuiciamiento de la presente cuestión, pues el margen de decisión del que goza el legislador es especialmente amplio en dicho ámbito, pero este elemento no puede decantar por sí solo el juicio de constitucionalidad sobre la compatibilidad de una regulación legal con los arts. 14 y 28 CE [vid. </w:t>
      </w:r>
      <w:r w:rsidRPr="009D7677">
        <w:rPr>
          <w:i/>
        </w:rPr>
        <w:t>supra</w:t>
      </w:r>
      <w:r>
        <w:t xml:space="preserve"> fundamento jurídico 4 C)]. Es necesario el examen adicional de la razonabilidad o adecuación del criterio diferenciador utilizado en el ámbito de una regulación concreta.</w:t>
      </w:r>
    </w:p>
    <w:p w14:paraId="3CFBC36B" w14:textId="77777777" w:rsidR="009D7677" w:rsidRDefault="009D7677" w:rsidP="009D7677">
      <w:pPr>
        <w:pStyle w:val="TextoNormal"/>
      </w:pPr>
    </w:p>
    <w:p w14:paraId="3ADC11CD" w14:textId="77777777" w:rsidR="009D7677" w:rsidRDefault="009D7677" w:rsidP="009D7677">
      <w:pPr>
        <w:pStyle w:val="TextoNormal"/>
      </w:pPr>
      <w:r>
        <w:t>Para realizar ese examen, hemos de tener presente que el sistema de formación profesional para el empleo establecido en la Ley 30/2015 se estructura en tres escalones distintos: (a) el de la planificación general de la oferta formativa; (b) el de la programación de la oferta formativa y (c) el de la gestión económica de los fondos de formación. Analizaremos, a continuación, el rol de las organizaciones sindicales en cada uno de esos tres escalones, a los efectos de: (i) emitir un juicio inicial, dentro de cada uno de ellos, acerca de la adecuación del criterio de la mayor representatividad a los fines de evitar una atomización o dispersión sindical que pueda perjudicar el despliegue eficaz del sistema y; (ii) realizar, después, una ponderación sobre el cumplimiento de los principios de objetividad, razonabilidad y adecuación en la diferenciación de trato entre sindicatos contenida en la Ley 30/2015, teniendo en cuenta la normativa cuestionada en su conjunto o “como unidad” (STC 147/2001, FJ 4) y considerando, en particular, el argumento del auto de planteamiento relativo al origen de los fondos con los que se financia el sistema.</w:t>
      </w:r>
    </w:p>
    <w:p w14:paraId="514B0216" w14:textId="77777777" w:rsidR="009D7677" w:rsidRDefault="009D7677" w:rsidP="009D7677">
      <w:pPr>
        <w:pStyle w:val="TextoNormal"/>
      </w:pPr>
    </w:p>
    <w:p w14:paraId="67A089BF" w14:textId="77777777" w:rsidR="009D7677" w:rsidRDefault="009D7677" w:rsidP="009D7677">
      <w:pPr>
        <w:pStyle w:val="TextoNormal"/>
      </w:pPr>
      <w:r>
        <w:t>a) La planificación general del sistema es asumida, tal y como ya se ha explicado, por las administraciones públicas tanto en lo que se refiere a la determinación del escenario plurianual (art. 5.1) como a la aprobación del plan anual de evaluación de la calidad, impacto, eficacia y eficiencia del sistema (art. 21.1). A esta misma perspectiva global obedece la potestad de las administraciones públicas de “decidir la implantación progresiva de un cheque formación para trabajadores desempleados delimitando los sectores en los que se aplicará” (art. 26 de la Ley de empleo, redactado por la disposición adicional cuarta de la Ley 30/2015).</w:t>
      </w:r>
    </w:p>
    <w:p w14:paraId="3C2A3346" w14:textId="77777777" w:rsidR="009D7677" w:rsidRDefault="009D7677" w:rsidP="009D7677">
      <w:pPr>
        <w:pStyle w:val="TextoNormal"/>
      </w:pPr>
    </w:p>
    <w:p w14:paraId="6FBD194D" w14:textId="77777777" w:rsidR="009D7677" w:rsidRDefault="009D7677" w:rsidP="009D7677">
      <w:pPr>
        <w:pStyle w:val="TextoNormal"/>
      </w:pPr>
      <w:r>
        <w:t xml:space="preserve">En todos estos casos, la actividad planificadora tiene una dimensión global, por lo que la decisión de legislador de restringir la participación institucional de los agentes sociales </w:t>
      </w:r>
      <w:r>
        <w:lastRenderedPageBreak/>
        <w:t>en virtud del criterio de la mayor representatividad, evitando una atomización o dispersión que entorpezca el eficaz funcionamiento del sistema, puede considerarse, en principio, razonable.</w:t>
      </w:r>
    </w:p>
    <w:p w14:paraId="1267D58D" w14:textId="77777777" w:rsidR="009D7677" w:rsidRDefault="009D7677" w:rsidP="009D7677">
      <w:pPr>
        <w:pStyle w:val="TextoNormal"/>
      </w:pPr>
    </w:p>
    <w:p w14:paraId="0D73BA67" w14:textId="77777777" w:rsidR="009D7677" w:rsidRDefault="009D7677" w:rsidP="009D7677">
      <w:pPr>
        <w:pStyle w:val="TextoNormal"/>
      </w:pPr>
      <w:r>
        <w:t>Lo mismo puede decirse de la participación minoritaria de los sindicatos más representativos, junto a otros agentes sociales y entidades, en el patronato de la fundación estatal para la formación para el empleo, como institución que está integrada en el sector público estatal (art. 25). Siendo dicha fundación uno de los órganos de gobernanza general del sistema, la restricción de la participación de las organizaciones sindicales en su patronato en función del criterio de la “mayor representatividad” es adecuada a la finalidad de evitar una dispersión o atomización perjudicial para su funcionamiento eficiente.</w:t>
      </w:r>
    </w:p>
    <w:p w14:paraId="69FE2BB4" w14:textId="77777777" w:rsidR="009D7677" w:rsidRDefault="009D7677" w:rsidP="009D7677">
      <w:pPr>
        <w:pStyle w:val="TextoNormal"/>
      </w:pPr>
    </w:p>
    <w:p w14:paraId="12CF630C" w14:textId="77777777" w:rsidR="009D7677" w:rsidRDefault="009D7677" w:rsidP="009D7677">
      <w:pPr>
        <w:pStyle w:val="TextoNormal"/>
      </w:pPr>
      <w:r>
        <w:t>En realidad, es de reseñar que el rol de los sindicatos más representativos no varía aquí sustancialmente en relación con el sistema anterior, pues el patronato de la preexistente Fundación Tripartita para la Formación en el Empleo, igualmente perteneciente al sector público estatal y regulada en el art. 33 del ya derogado Real Decreto 395/2007, de 23 de marzo, estaba constituido únicamente “por la administración pública (con representación del Ministerio de Trabajo y Asuntos Sociales y las comunidades autónomas) y por las organizaciones empresariales y sindicales más representativas”. La nueva regulación abre la puerta a la participación de nuevos agentes o entidades y garantiza, en todo caso, como ya se explicó en el fundamento jurídico 3 a), que la participación de la administración general del Estado en dicho Patronato sea siempre mayoritaria (art. 25.1 CE).</w:t>
      </w:r>
    </w:p>
    <w:p w14:paraId="56F141FD" w14:textId="77777777" w:rsidR="009D7677" w:rsidRDefault="009D7677" w:rsidP="009D7677">
      <w:pPr>
        <w:pStyle w:val="TextoNormal"/>
      </w:pPr>
    </w:p>
    <w:p w14:paraId="6B43B4E3" w14:textId="77777777" w:rsidR="009D7677" w:rsidRDefault="009D7677" w:rsidP="009D7677">
      <w:pPr>
        <w:pStyle w:val="TextoNormal"/>
      </w:pPr>
      <w:r>
        <w:t>b) En la programación de la oferta formativa, puede observarse que el legislador ha excluido toda diferencia de trato entre sindicatos en el ámbito de la formación programada por la empresa. En efecto, la Ley 30/2015 no establece aquí ningún tipo de prerrogativa en favor de determinadas organizaciones sindicales. Al contrario, de acuerdo con el art. 9.2 de la Ley, la programación de la oferta formativa “se realizará respetando el derecho de información y consulta de la representación legal de los trabajadores, a quien se deberá solicitar informe de forma preceptiva, sin perjuicio de la agilidad en el inicio y desarrollo de las acciones formativas”. Son, por tanto, los representantes legales de los trabajadores en la empresa los que intervienen en la formación programada por esta.</w:t>
      </w:r>
    </w:p>
    <w:p w14:paraId="754120E7" w14:textId="77777777" w:rsidR="009D7677" w:rsidRDefault="009D7677" w:rsidP="009D7677">
      <w:pPr>
        <w:pStyle w:val="TextoNormal"/>
      </w:pPr>
    </w:p>
    <w:p w14:paraId="74FBE33D" w14:textId="77777777" w:rsidR="009D7677" w:rsidRDefault="009D7677" w:rsidP="009D7677">
      <w:pPr>
        <w:pStyle w:val="TextoNormal"/>
      </w:pPr>
      <w:r>
        <w:t>En cambio, en las modalidades de oferta formativa para trabajadores ocupados y desempleados, en las que la programación es competencia de las administraciones públicas, el legislador ha entendido que el funcionamiento ordenado y eficaz del sistema de formación profesional para el empleo puede verse entorpecido con un modelo de participación sindical caracterizado por la atomización o dispersión. Tal decisión tampoco puede considerarse arbitraria si se atiende al objeto, dimensión y ámbito temporal de esta programación.</w:t>
      </w:r>
    </w:p>
    <w:p w14:paraId="66141066" w14:textId="77777777" w:rsidR="009D7677" w:rsidRDefault="009D7677" w:rsidP="009D7677">
      <w:pPr>
        <w:pStyle w:val="TextoNormal"/>
      </w:pPr>
    </w:p>
    <w:p w14:paraId="682B358B" w14:textId="77777777" w:rsidR="009D7677" w:rsidRDefault="009D7677" w:rsidP="009D7677">
      <w:pPr>
        <w:pStyle w:val="TextoNormal"/>
      </w:pPr>
      <w:r>
        <w:t>En cuanto al objeto, estas dos modalidades de programación cumplen un rol de complemento de la oferta formativa facilitada en el ámbito empresarial; en cuanto a la dimensión, se caracterizan por trascender el ámbito de la empresa a los efectos de responder a las necesidades generales o sectoriales del mercado de trabajo (a través de programas que precisamente son calificados en la ley y en el desarrollo reglamentario del Real Decreto 694/2017 como “sectoriales” o “transversales,” o que surgen de las propias “necesidades detectadas por los servicios públicos de empleo” en el ejercicio de sus funciones); final</w:t>
      </w:r>
      <w:r>
        <w:lastRenderedPageBreak/>
        <w:t>mente, la duración de la programación es anual o plurianual lo que redunda en la perspectiva global o de conjunto que ha de seguirse para establecerla.</w:t>
      </w:r>
    </w:p>
    <w:p w14:paraId="3533FA01" w14:textId="77777777" w:rsidR="009D7677" w:rsidRDefault="009D7677" w:rsidP="009D7677">
      <w:pPr>
        <w:pStyle w:val="TextoNormal"/>
      </w:pPr>
    </w:p>
    <w:p w14:paraId="3BAEF5E7" w14:textId="77777777" w:rsidR="009D7677" w:rsidRDefault="009D7677" w:rsidP="009D7677">
      <w:pPr>
        <w:pStyle w:val="TextoNormal"/>
      </w:pPr>
      <w:r>
        <w:t>La restricción de la participación en función de la “mayor representatividad” resulta, por ello, adecuada a la finalidad de evitar una atomización o dispersión sindicales que entorpezca el funcionamiento eficaz del sistema de formación profesional.</w:t>
      </w:r>
    </w:p>
    <w:p w14:paraId="591DBE7A" w14:textId="77777777" w:rsidR="009D7677" w:rsidRDefault="009D7677" w:rsidP="009D7677">
      <w:pPr>
        <w:pStyle w:val="TextoNormal"/>
      </w:pPr>
    </w:p>
    <w:p w14:paraId="700CF068" w14:textId="77777777" w:rsidR="009D7677" w:rsidRDefault="009D7677" w:rsidP="009D7677">
      <w:pPr>
        <w:pStyle w:val="TextoNormal"/>
      </w:pPr>
      <w:r>
        <w:t>Nuevamente, debe reseñarse, para reforzar esta conclusión, que la innovación que realiza la Ley 30/2015 es, también en este punto, muy relativa, pues la regulación del derogado Real Decreto 395/2007 ya contemplaba el criterio de la mayor representatividad en la participación sindical en la programación de la formación a cargo de las administraciones públicas. En particular, el art. 32 de dicho Real Decreto (relativo a los órganos competentes para la programación, gestión y control), establecía en este punto que “[l]as administraciones públicas competentes garantizarán la participación de las organizaciones empresariales y sindicales más representativas en la forma que se prevea por dichas administraciones en sus respectivos ámbitos competenciales”.</w:t>
      </w:r>
    </w:p>
    <w:p w14:paraId="4AC03E39" w14:textId="77777777" w:rsidR="009D7677" w:rsidRDefault="009D7677" w:rsidP="009D7677">
      <w:pPr>
        <w:pStyle w:val="TextoNormal"/>
      </w:pPr>
    </w:p>
    <w:p w14:paraId="0BFACF06" w14:textId="77777777" w:rsidR="009D7677" w:rsidRDefault="009D7677" w:rsidP="009D7677">
      <w:pPr>
        <w:pStyle w:val="TextoNormal"/>
      </w:pPr>
      <w:r>
        <w:t>c) Es, en realidad, en el tercer escalón del sistema, el de la gestión económica de los fondos, donde la Ley 30/2015 establece la innovación más relevante en relación con la intervención de los sindicatos. En la regulación precedente, la gestión económica de los planes de formación de los trabajadores ocupados estaba encomendada, tanto en el ámbito estatal como en el autonómico, exclusivamente a las organizaciones sindicales y empresariales. En dicha gestión, las organizaciones sindicales más representativas tenían un particular protagonismo, ya que la ejecución de los entonces denominados “planes de formación” (actuales “programas de formación”) se realizaba, en el ámbito estatal y autonómico, mediante convenios suscritos con aquellas por las administraciones públicas competentes (art. 24 del Real Decreto 395/2007, de 23 de marzo). Solo con el Real Decreto-ley 3/2012, de 10 de febrero, y la subsiguiente Ley 3/2012, de 6 de julio, se admitió que la ejecución de la programación también pudiera ser efectuada mediante convenios suscritos con “centros y entidades de formación debidamente acreditados e inscritos en el Registro de Centros y Entidades de Formación”.</w:t>
      </w:r>
    </w:p>
    <w:p w14:paraId="75643F08" w14:textId="77777777" w:rsidR="009D7677" w:rsidRDefault="009D7677" w:rsidP="009D7677">
      <w:pPr>
        <w:pStyle w:val="TextoNormal"/>
      </w:pPr>
    </w:p>
    <w:p w14:paraId="4ED1607A" w14:textId="77777777" w:rsidR="009D7677" w:rsidRDefault="009D7677" w:rsidP="009D7677">
      <w:pPr>
        <w:pStyle w:val="TextoNormal"/>
      </w:pPr>
      <w:r>
        <w:t>La Ley 30/2015 procede a la sustitución, parcialmente anticipada por la citada Ley 3/2012, de 6 de julio, de ese régimen de monopolio de gestión económica conferido a los agentes sociales por un nuevo modelo de concurrencia competitiva, en el que ya no se establece ninguna prerrogativa para las organizaciones sindicales más representativas o representativas en el ámbito de actuación correspondiente.</w:t>
      </w:r>
    </w:p>
    <w:p w14:paraId="29FD98B7" w14:textId="77777777" w:rsidR="009D7677" w:rsidRDefault="009D7677" w:rsidP="009D7677">
      <w:pPr>
        <w:pStyle w:val="TextoNormal"/>
      </w:pPr>
    </w:p>
    <w:p w14:paraId="159461C5" w14:textId="77777777" w:rsidR="009D7677" w:rsidRDefault="009D7677" w:rsidP="009D7677">
      <w:pPr>
        <w:pStyle w:val="TextoNormal"/>
      </w:pPr>
      <w:r>
        <w:t>La gestión económica de los fondos de formación para el empleo queda abierta, con la Ley 30/2015, a cualquier entidad que cumpla con las condiciones legales necesarias para ser proveedora de servicios de formación profesional para el empleo. Con carácter general, la adjudicación de los fondos puede producirse mediante “subvenciones en régimen de concurrencia competitiva […] abierta a todas las entidades de formación que cumplan los requisitos de acreditación y/o inscripción conforme a la normativa vigente” [art. 6.5 b) de la Ley 30/2015]. A su vez, las administraciones públicas competentes pueden proceder a “la gestión directa a través de centros propios” o acudir “al régimen de contratación pública, especialmente mediante la suscripción de acuerdos marco, suscribir contratos-programa, convenios, o aplicar cualquier otra forma jurídica ajustada a derecho, a lo pre</w:t>
      </w:r>
      <w:r>
        <w:lastRenderedPageBreak/>
        <w:t>visto en las previsiones recogidas en esta ley relativas a la gestión de fondos del sistema de formación profesional para el empleo, su seguimiento y control, así como la calidad y la evaluación de la formación impartida” [art. 6.5 c) de la Ley 30/2015].</w:t>
      </w:r>
    </w:p>
    <w:p w14:paraId="1A1DB3FD" w14:textId="77777777" w:rsidR="009D7677" w:rsidRDefault="009D7677" w:rsidP="009D7677">
      <w:pPr>
        <w:pStyle w:val="TextoNormal"/>
      </w:pPr>
    </w:p>
    <w:p w14:paraId="559C12CA" w14:textId="77777777" w:rsidR="009D7677" w:rsidRDefault="009D7677" w:rsidP="009D7677">
      <w:pPr>
        <w:pStyle w:val="TextoNormal"/>
      </w:pPr>
      <w:r>
        <w:t>En todo caso, cualquiera que sea la forma jurídica elegida, han de garantizarse “los principios de publicidad, objetividad y libre concurrencia en la gestión de las convocatorias públicas para la financiación de la actividad formativa” y los organismos gestores de las administraciones públicas han de publicar “en sus páginas web, una vez finalizado el citado proceso, la relación de entidades beneficiarias con especificación del tipo o líneas de programa, la puntuación técnica y la financiación obtenidas” (art. 13.3 de la Ley).</w:t>
      </w:r>
    </w:p>
    <w:p w14:paraId="3E7E6945" w14:textId="77777777" w:rsidR="009D7677" w:rsidRDefault="009D7677" w:rsidP="009D7677">
      <w:pPr>
        <w:pStyle w:val="TextoNormal"/>
      </w:pPr>
    </w:p>
    <w:p w14:paraId="2573897C" w14:textId="77777777" w:rsidR="009D7677" w:rsidRDefault="009D7677" w:rsidP="009D7677">
      <w:pPr>
        <w:pStyle w:val="TextoNormal"/>
      </w:pPr>
      <w:r>
        <w:t>El régimen de concurrencia competitiva es también aplicable a la gestión del llamado “cheque de formación”, pues la entrega de dicho cheque por parte del trabajador beneficiario se ha de realizar a una entidad de formación “seleccionada por él de entre las que cumplan los requisitos de acreditación y/o inscripción establecidos para impartir la formación, que, a su vez, sean seleccionadas por la administración competente para formar parte del sistema de información y seguimiento específico que se desarrolle al efecto” [art. 6.5 b</w:t>
      </w:r>
      <w:r w:rsidRPr="009D7677">
        <w:rPr>
          <w:i/>
        </w:rPr>
        <w:t>) in fi</w:t>
      </w:r>
      <w:r>
        <w:t>ne].</w:t>
      </w:r>
    </w:p>
    <w:p w14:paraId="063771C7" w14:textId="77777777" w:rsidR="009D7677" w:rsidRDefault="009D7677" w:rsidP="009D7677">
      <w:pPr>
        <w:pStyle w:val="TextoNormal"/>
      </w:pPr>
    </w:p>
    <w:p w14:paraId="195698D8" w14:textId="77777777" w:rsidR="009D7677" w:rsidRDefault="009D7677" w:rsidP="009D7677">
      <w:pPr>
        <w:pStyle w:val="TextoNormal"/>
      </w:pPr>
      <w:r>
        <w:t>En suma, como señala el Preámbulo de la Ley 30/2015, el principio de libre concurrencia “se establece como rasgo básico transversal a la gestión de la financiación por parte de todas las administraciones competentes en materia de formación profesional”.</w:t>
      </w:r>
    </w:p>
    <w:p w14:paraId="67B00A8C" w14:textId="77777777" w:rsidR="009D7677" w:rsidRDefault="009D7677" w:rsidP="009D7677">
      <w:pPr>
        <w:pStyle w:val="TextoNormal"/>
      </w:pPr>
    </w:p>
    <w:p w14:paraId="0797F42F" w14:textId="77777777" w:rsidR="009D7677" w:rsidRDefault="009D7677" w:rsidP="009D7677">
      <w:pPr>
        <w:pStyle w:val="TextoNormal"/>
      </w:pPr>
      <w:r>
        <w:t>Se observa, así, que en este último escalón del sistema, que es donde se produce la mutación sustancial de la intervención de los agentes sociales y donde se materializa la efectiva asignación de los recursos públicos para la ejecución de la formación programada, la Ley 30/2015 no establece ninguna prerrogativa en favor de determinadas organizaciones sindicales. Al contrario, los centros o entidades de formación vinculados a ellas están contemplados en la ley en plano de igualdad a la hora de participar en los correspondientes procedimientos de concurrencia competitiva para la gestión económica de los fondos de formación.</w:t>
      </w:r>
    </w:p>
    <w:p w14:paraId="12BD9856" w14:textId="77777777" w:rsidR="009D7677" w:rsidRDefault="009D7677" w:rsidP="009D7677">
      <w:pPr>
        <w:pStyle w:val="TextoNormal"/>
      </w:pPr>
    </w:p>
    <w:p w14:paraId="324F9BDE" w14:textId="77777777" w:rsidR="009D7677" w:rsidRDefault="009D7677" w:rsidP="009D7677">
      <w:pPr>
        <w:pStyle w:val="TextoNormal"/>
      </w:pPr>
      <w:r>
        <w:t>Resulta, en consecuencia, de escasa relevancia, a efectos de enjuiciar las diferencias de trato entre sindicatos establecidas en los escalones superiores del sistema de formación para el empleo (planificación y programación), el argumento contenido en el auto de planteamiento según el cual la financiación de dicho sistema se nutre de las cuotas que aportan todos los trabajadores, estén o no afiliados a un sindicato que tenga una superior representatividad.</w:t>
      </w:r>
    </w:p>
    <w:p w14:paraId="3D6F7E0A" w14:textId="77777777" w:rsidR="009D7677" w:rsidRDefault="009D7677" w:rsidP="009D7677">
      <w:pPr>
        <w:pStyle w:val="TextoNormal"/>
      </w:pPr>
    </w:p>
    <w:p w14:paraId="384A0AF9" w14:textId="77777777" w:rsidR="009D7677" w:rsidRDefault="009D7677" w:rsidP="009D7677">
      <w:pPr>
        <w:pStyle w:val="TextoNormal"/>
      </w:pPr>
      <w:r>
        <w:t xml:space="preserve">En primer lugar, hay que recordar que dichas aportaciones de los trabajadores se canalizan parcialmente hacia las bonificaciones que financian la totalidad de la formación promovida por las empresas, donde no hay diferencia de trato alguna [art. 6.5 a) de la Ley 30/2015, ya citado]. En segundo lugar, y como ya se explicó [vid. </w:t>
      </w:r>
      <w:r w:rsidRPr="009D7677">
        <w:rPr>
          <w:i/>
        </w:rPr>
        <w:t>supra</w:t>
      </w:r>
      <w:r>
        <w:t xml:space="preserve"> fundamento jurídico 3 a)], los fondos de formación profesional se nutren no solo de esas cuotas de los trabajadores, sino también de las cuotas empresariales de formación, de las aportaciones específicas establecidas en el presupuesto de la Agencia Española de Empleo, de los fondos propios que las comunidades autónomas puedan destinar a este concepto en el ejercicio de su competencia y, en su caso, de la cofinanciación a través del Fondo Social Europeo o de </w:t>
      </w:r>
      <w:r>
        <w:lastRenderedPageBreak/>
        <w:t>otras ayudas e iniciativas europeas (art. 6.1 de la Ley 30/2015). Finalmente, y esto es lo más relevante, justamente en el plano de la gestión económica de los fondos (en cuya financiación participan, en efecto, todos los trabajadores) no existe diferencia de trato alguna entre sindicatos, pues la gestión que han de hacer las administraciones competentes de las convocatorias públicas para la financiación de las actividades formativas ha de respetar los principios de publicidad, objetividad y libre concurrencia.</w:t>
      </w:r>
    </w:p>
    <w:p w14:paraId="3F33FB3D" w14:textId="77777777" w:rsidR="009D7677" w:rsidRDefault="009D7677" w:rsidP="009D7677">
      <w:pPr>
        <w:pStyle w:val="TextoNormal"/>
      </w:pPr>
    </w:p>
    <w:p w14:paraId="1183AF85" w14:textId="77777777" w:rsidR="009D7677" w:rsidRDefault="009D7677" w:rsidP="009D7677">
      <w:pPr>
        <w:pStyle w:val="TextoNormal"/>
      </w:pPr>
      <w:r>
        <w:t>Por ello, también el examen global o conjunto del contexto normativo en el que se produce la diferencia de tratamiento legal entre organizaciones sindicales revela, en definitiva, que la normativa cuestionada cumple con los principios de objetividad, razonabilidad y adecuación enunciados en nuestra doctrina, que no se ven desvirtuados por los dos argumentos en los que se ha apoyado la duda de constitucionalidad, pues ni estamos fuera del ámbito de la participación institucional (elemento en sí mismo no determinante del juicio de constitucionalidad) ni las funciones ejercidas por los sindicatos más representativos o representativos en su ámbito de actuación guardan relación directa con la posterior la gestión económica de los fondos públicos, que está sujeta a régimen de concurrencia competitiva.</w:t>
      </w:r>
    </w:p>
    <w:p w14:paraId="5771F08F" w14:textId="77777777" w:rsidR="009D7677" w:rsidRDefault="009D7677" w:rsidP="009D7677">
      <w:pPr>
        <w:pStyle w:val="TextoNormal"/>
      </w:pPr>
    </w:p>
    <w:p w14:paraId="67E6CAE6" w14:textId="77777777" w:rsidR="009D7677" w:rsidRDefault="009D7677" w:rsidP="009D7677">
      <w:pPr>
        <w:pStyle w:val="TextoNormal"/>
      </w:pPr>
      <w:r>
        <w:t>D) Conclusión</w:t>
      </w:r>
    </w:p>
    <w:p w14:paraId="338E42FA" w14:textId="77777777" w:rsidR="009D7677" w:rsidRDefault="009D7677" w:rsidP="009D7677">
      <w:pPr>
        <w:pStyle w:val="TextoNormal"/>
      </w:pPr>
    </w:p>
    <w:p w14:paraId="46FC0294" w14:textId="77777777" w:rsidR="009D7677" w:rsidRDefault="009D7677" w:rsidP="009D7677">
      <w:pPr>
        <w:pStyle w:val="TextoNormal"/>
      </w:pPr>
      <w:r>
        <w:t>Recapitulando lo expuesto, el criterio del legislador de establecer un trato diferencial para los sindicatos basado en la mayor representatividad o la representatividad en el ámbito de actuación correspondiente puede considerarse objetivo y razonable, pues: (i) se produce en un plano, como es la participación institucional, que forma parte del contenido adicional de la libertad sindical y que en nuestra doctrina y en la propia Ley Orgánica de libertad sindical se considera idóneo para evitar la atomización o dispersión sindical; (ii) solo se produce en los escalones superiores del sistema, en concreto en la planificación general y en la programación anual y plurianual de la oferta formativa, donde es razonable pensar que la dispersión puede afectar a un eficaz funcionamiento; (iii) en el ámbito de la programación, el trato diferencial únicamente se produce en las modalidades de oferta formativa de carácter complementario que requieren una consideración global de las necesidades del mercado laboral por trascender el ámbito de la empresa; (iv) en todo caso, la diferencia de trato no alcanza a la gestión económica de los fondos de formación, que se sujetan a un régimen de concurrencia competitiva.</w:t>
      </w:r>
    </w:p>
    <w:p w14:paraId="71B503AD" w14:textId="77777777" w:rsidR="009D7677" w:rsidRDefault="009D7677" w:rsidP="009D7677">
      <w:pPr>
        <w:pStyle w:val="TextoNormal"/>
      </w:pPr>
    </w:p>
    <w:p w14:paraId="43D9E373" w14:textId="485AF417" w:rsidR="009D7677" w:rsidRDefault="009D7677" w:rsidP="009D7677">
      <w:pPr>
        <w:pStyle w:val="TextoNormal"/>
      </w:pPr>
      <w:r>
        <w:t>La cuestión de inconstitucionalidad planteada ha de ser, por ello, desestimada.</w:t>
      </w:r>
    </w:p>
    <w:p w14:paraId="5D6AF91C" w14:textId="77777777" w:rsidR="009D7677" w:rsidRDefault="009D7677" w:rsidP="009D7677">
      <w:pPr>
        <w:pStyle w:val="TextoNormal"/>
      </w:pPr>
    </w:p>
    <w:p w14:paraId="4F4AA26E" w14:textId="77777777" w:rsidR="009D7677" w:rsidRDefault="009D7677" w:rsidP="009D7677">
      <w:pPr>
        <w:pStyle w:val="TextoNormalCentrado"/>
        <w:keepNext/>
      </w:pPr>
      <w:r>
        <w:t>FALLO</w:t>
      </w:r>
    </w:p>
    <w:p w14:paraId="14294720" w14:textId="0E9A44B6" w:rsidR="009D7677" w:rsidRDefault="009D7677" w:rsidP="009D7677">
      <w:pPr>
        <w:pStyle w:val="TextoNormalCentrado"/>
        <w:keepNext/>
      </w:pPr>
    </w:p>
    <w:p w14:paraId="440DBC14" w14:textId="77777777" w:rsidR="009D7677" w:rsidRDefault="009D7677" w:rsidP="009D7677">
      <w:pPr>
        <w:pStyle w:val="TextoNormal"/>
      </w:pPr>
      <w:r>
        <w:t>En atención a todo lo expuesto, el Tribunal Constitucional, por la autoridad que le confiere la Constitución de la Nación española, ha decidido:</w:t>
      </w:r>
    </w:p>
    <w:p w14:paraId="20B16D94" w14:textId="77777777" w:rsidR="009D7677" w:rsidRDefault="009D7677" w:rsidP="009D7677">
      <w:pPr>
        <w:pStyle w:val="TextoNormal"/>
      </w:pPr>
    </w:p>
    <w:p w14:paraId="5EAB5A52" w14:textId="77777777" w:rsidR="009D7677" w:rsidRDefault="009D7677" w:rsidP="009D7677">
      <w:pPr>
        <w:pStyle w:val="TextoNormal"/>
      </w:pPr>
      <w:r>
        <w:t>1º Inadmitir la cuestión de inconstitucionalidad en relación con la disposición adicional primera y la disposición final quinta de la Ley 30/2015, de 9 de septiembre.</w:t>
      </w:r>
    </w:p>
    <w:p w14:paraId="2F81D8F7" w14:textId="77777777" w:rsidR="009D7677" w:rsidRDefault="009D7677" w:rsidP="009D7677">
      <w:pPr>
        <w:pStyle w:val="TextoNormal"/>
      </w:pPr>
    </w:p>
    <w:p w14:paraId="4B86D5D0" w14:textId="236D4816" w:rsidR="009D7677" w:rsidRDefault="009D7677" w:rsidP="009D7677">
      <w:pPr>
        <w:pStyle w:val="TextoNormal"/>
      </w:pPr>
      <w:r>
        <w:t>2º Desestimar en lo demás la presente cuestión de inconstitucionalidad.</w:t>
      </w:r>
    </w:p>
    <w:p w14:paraId="07451231" w14:textId="77777777" w:rsidR="009D7677" w:rsidRDefault="009D7677" w:rsidP="009D7677">
      <w:pPr>
        <w:pStyle w:val="TextoNormal"/>
      </w:pPr>
    </w:p>
    <w:p w14:paraId="394CC793" w14:textId="77777777" w:rsidR="009D7677" w:rsidRDefault="009D7677" w:rsidP="009D7677">
      <w:pPr>
        <w:pStyle w:val="TextoNormal"/>
      </w:pPr>
      <w:r>
        <w:t>Publíquese esta sentencia en el “Boletín Oficial del Estado”.</w:t>
      </w:r>
    </w:p>
    <w:p w14:paraId="45BD81D7" w14:textId="77777777" w:rsidR="009D7677" w:rsidRDefault="009D7677" w:rsidP="009D7677">
      <w:pPr>
        <w:pStyle w:val="TextoNormal"/>
      </w:pPr>
      <w:r>
        <w:lastRenderedPageBreak/>
        <w:t>Dada en Madrid, a diez de abril de dos mil veinticuatro.</w:t>
      </w:r>
    </w:p>
    <w:p w14:paraId="11B0A786" w14:textId="41177A80" w:rsidR="009D7677" w:rsidRDefault="009D7677">
      <w:pPr>
        <w:spacing w:after="160" w:line="259" w:lineRule="auto"/>
        <w:rPr>
          <w:rFonts w:ascii="Times New Roman" w:eastAsia="Times New Roman" w:hAnsi="Times New Roman" w:cs="Times New Roman"/>
          <w:sz w:val="24"/>
          <w:szCs w:val="24"/>
          <w:lang w:eastAsia="es-ES"/>
        </w:rPr>
      </w:pPr>
      <w:r>
        <w:br w:type="page"/>
      </w:r>
    </w:p>
    <w:p w14:paraId="7AC86F40" w14:textId="77777777" w:rsidR="009D7677" w:rsidRDefault="009D7677" w:rsidP="009D7677">
      <w:pPr>
        <w:pStyle w:val="TtuloResolucin"/>
      </w:pPr>
      <w:bookmarkStart w:id="66" w:name="SENTENCIA_2024_64"/>
      <w:r>
        <w:lastRenderedPageBreak/>
        <w:t>SENTENCIA 64/2024, de 10 de abril de 2024</w:t>
      </w:r>
    </w:p>
    <w:bookmarkEnd w:id="66"/>
    <w:p w14:paraId="13AF73FE" w14:textId="77777777" w:rsidR="009D7677" w:rsidRDefault="009D7677" w:rsidP="009D7677">
      <w:pPr>
        <w:pStyle w:val="TtuloResolucin"/>
      </w:pPr>
      <w:r>
        <w:t>Pleno</w:t>
      </w:r>
    </w:p>
    <w:p w14:paraId="06F56BA8" w14:textId="77777777" w:rsidR="009D7677" w:rsidRDefault="009D7677" w:rsidP="009D7677">
      <w:pPr>
        <w:pStyle w:val="TtuloBOE"/>
      </w:pPr>
      <w:r>
        <w:t>(BOE núm. 118, de 15 de mayo de 2024)</w:t>
      </w:r>
    </w:p>
    <w:p w14:paraId="65548862" w14:textId="77777777" w:rsidR="009D7677" w:rsidRDefault="009D7677" w:rsidP="009D7677">
      <w:pPr>
        <w:pStyle w:val="TextoNormalCentrado"/>
      </w:pPr>
      <w:r>
        <w:t>ECLI:ES:TC:2024:64</w:t>
      </w:r>
    </w:p>
    <w:p w14:paraId="157071C5" w14:textId="15C94479" w:rsidR="009D7677" w:rsidRDefault="009D7677" w:rsidP="009D7677">
      <w:pPr>
        <w:pStyle w:val="TextoNormalCentrado"/>
      </w:pPr>
    </w:p>
    <w:p w14:paraId="2DDA6729" w14:textId="77777777" w:rsidR="009D7677" w:rsidRDefault="009D7677" w:rsidP="009D7677">
      <w:pPr>
        <w:pStyle w:val="SntesisDescriptiva"/>
      </w:pPr>
      <w:r>
        <w:t>Recurso de amparo 2017-2021. Promovido por doña Clara Ponsatí i Obiols respecto de las resoluciones de la Sala de lo Contencioso-Administrativo del Tribunal Supremo y de la Junta Electoral Central sobre modo de acatamiento de la Constitución para acceder a la condición de diputada del Parlamento Europeo.</w:t>
      </w:r>
    </w:p>
    <w:p w14:paraId="4E3B4419" w14:textId="51D9DC04" w:rsidR="009D7677" w:rsidRDefault="009D7677" w:rsidP="009D7677">
      <w:pPr>
        <w:pStyle w:val="SntesisDescriptiva"/>
      </w:pPr>
    </w:p>
    <w:p w14:paraId="550D16C9" w14:textId="77777777" w:rsidR="009D7677" w:rsidRDefault="009D7677" w:rsidP="009D7677">
      <w:pPr>
        <w:pStyle w:val="SntesisAnaltica"/>
      </w:pPr>
      <w:r>
        <w:t>Supuesta vulneración del derecho de acceso a los cargos públicos: satisfacción extraprocesal de las pretensiones planteadas, que conlleva su pérdida de objeto (STC 144/2022).</w:t>
      </w:r>
    </w:p>
    <w:p w14:paraId="3ACB9DAC" w14:textId="306CB29E" w:rsidR="009D7677" w:rsidRDefault="009D7677" w:rsidP="009D7677">
      <w:pPr>
        <w:pStyle w:val="SntesisAnaltica"/>
      </w:pPr>
    </w:p>
    <w:p w14:paraId="3940133E" w14:textId="2B3270AE" w:rsidR="009D7677" w:rsidRDefault="009D7677" w:rsidP="009D7677">
      <w:pPr>
        <w:pStyle w:val="Extracto"/>
      </w:pPr>
      <w:r>
        <w:t>1.</w:t>
      </w:r>
      <w:r>
        <w:tab/>
        <w:t>La satisfacción extraprocesal de las pretensiones formuladas en amparo y la desaparición sobrevenida del objeto del proceso, aun cuando no contempladas expresamente en el artículo 86.1 LOTC (pero sí en el art. 22 de la Ley de enjuiciamiento civil), han sido admitidas por este Tribunal como una de las formas de terminación de los distintos procesos constitucionales (SSTC 144/2022 y 148/2022) [FJ Único].</w:t>
      </w:r>
    </w:p>
    <w:p w14:paraId="75FE5527" w14:textId="77777777" w:rsidR="009D7677" w:rsidRDefault="009D7677" w:rsidP="009D7677">
      <w:pPr>
        <w:pStyle w:val="Extracto"/>
      </w:pPr>
    </w:p>
    <w:p w14:paraId="0E33A8C4" w14:textId="77777777" w:rsidR="009D7677" w:rsidRDefault="009D7677" w:rsidP="009D7677">
      <w:pPr>
        <w:pStyle w:val="Extracto"/>
      </w:pPr>
    </w:p>
    <w:p w14:paraId="31155287" w14:textId="77777777" w:rsidR="009D7677" w:rsidRDefault="009D7677" w:rsidP="009D7677">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5B8CA18B" w14:textId="4AF84253" w:rsidR="009D7677" w:rsidRDefault="009D7677" w:rsidP="009D7677">
      <w:pPr>
        <w:pStyle w:val="TextoNormal"/>
      </w:pPr>
    </w:p>
    <w:p w14:paraId="3ED4AA04" w14:textId="77777777" w:rsidR="009D7677" w:rsidRDefault="009D7677" w:rsidP="009D7677">
      <w:pPr>
        <w:pStyle w:val="TextoNormalCentrado"/>
        <w:keepNext/>
      </w:pPr>
      <w:r>
        <w:t>EN NOMBRE DEL REY</w:t>
      </w:r>
    </w:p>
    <w:p w14:paraId="15AF38A7" w14:textId="7E1D2300" w:rsidR="009D7677" w:rsidRDefault="009D7677" w:rsidP="009D7677">
      <w:pPr>
        <w:pStyle w:val="TextoNormalCentrado"/>
        <w:keepNext/>
      </w:pPr>
    </w:p>
    <w:p w14:paraId="197FDBD2" w14:textId="77777777" w:rsidR="009D7677" w:rsidRDefault="009D7677" w:rsidP="009D7677">
      <w:pPr>
        <w:pStyle w:val="TextoNormalCentrado"/>
        <w:keepNext/>
      </w:pPr>
    </w:p>
    <w:p w14:paraId="05781286" w14:textId="77777777" w:rsidR="009D7677" w:rsidRDefault="009D7677" w:rsidP="009D7677">
      <w:pPr>
        <w:pStyle w:val="TextoNormal"/>
      </w:pPr>
      <w:r>
        <w:t>la siguiente</w:t>
      </w:r>
    </w:p>
    <w:p w14:paraId="7231F473" w14:textId="017BCD1A" w:rsidR="009D7677" w:rsidRDefault="009D7677" w:rsidP="009D7677">
      <w:pPr>
        <w:pStyle w:val="TextoNormal"/>
      </w:pPr>
    </w:p>
    <w:p w14:paraId="4D6D7845" w14:textId="77777777" w:rsidR="009D7677" w:rsidRDefault="009D7677" w:rsidP="009D7677">
      <w:pPr>
        <w:pStyle w:val="TextoNormalCentrado"/>
        <w:keepNext/>
      </w:pPr>
      <w:r>
        <w:t>SENTENCIA</w:t>
      </w:r>
    </w:p>
    <w:p w14:paraId="076C9CE2" w14:textId="6CCB46F1" w:rsidR="009D7677" w:rsidRDefault="009D7677" w:rsidP="009D7677">
      <w:pPr>
        <w:pStyle w:val="TextoNormalCentrado"/>
        <w:keepNext/>
      </w:pPr>
    </w:p>
    <w:p w14:paraId="75EEC448" w14:textId="77777777" w:rsidR="009D7677" w:rsidRDefault="009D7677" w:rsidP="009D7677">
      <w:pPr>
        <w:pStyle w:val="TextoNormal"/>
      </w:pPr>
      <w:r>
        <w:t>En el recurso de amparo núm. 2017-2021, promovido por doña Clara Ponsatí i Obiols, contra los siguientes actos de los poderes públicos: (i) el acuerdo de la Junta Electoral Central núm. 10/2020 de 28 de enero de 2020 (expediente núm. 561-82); (ii) el acuerdo de la Junta Electoral Central núm. 11/2020 de 28 de enero de 2020 (expediente núm. 561-83); (iii) el acuerdo de la Junta Electoral Central núm. 14/2020 de 30 de enero de 2020 (expediente núm. 561-83); (iv) la sentencia de la Sala de lo Contencioso-Administrativo, Sección Cuarta, de 23 de noviembre de 2020; y (v) el auto de la misma Sala y Sección del Tribunal Supremo, de 11 de febrero de 2021, que declaró no haber lugar al incidente de nulidad de actuaciones promovido contra aquella sentencia. Han intervenido la Junta Electoral Central y el Ministerio Fiscal. Ha sido ponente el magistrado don Ricardo Enríquez Sancho.</w:t>
      </w:r>
    </w:p>
    <w:p w14:paraId="22956246" w14:textId="2076502E" w:rsidR="009D7677" w:rsidRDefault="009D7677" w:rsidP="009D7677">
      <w:pPr>
        <w:pStyle w:val="TextoNormal"/>
      </w:pPr>
    </w:p>
    <w:p w14:paraId="0BBEC63A" w14:textId="77777777" w:rsidR="009D7677" w:rsidRDefault="009D7677" w:rsidP="009D7677">
      <w:pPr>
        <w:pStyle w:val="TextoNormalNegritaCentrado"/>
        <w:keepNext/>
      </w:pPr>
      <w:r>
        <w:lastRenderedPageBreak/>
        <w:t>I. Antecedentes</w:t>
      </w:r>
    </w:p>
    <w:p w14:paraId="2FB8D327" w14:textId="60893B8F" w:rsidR="009D7677" w:rsidRDefault="009D7677" w:rsidP="009D7677">
      <w:pPr>
        <w:pStyle w:val="TextoNormalNegritaCentrado"/>
        <w:keepNext/>
      </w:pPr>
    </w:p>
    <w:p w14:paraId="76401DC6" w14:textId="1C2875B9" w:rsidR="009D7677" w:rsidRDefault="009D7677" w:rsidP="009D7677">
      <w:pPr>
        <w:pStyle w:val="TextoNormal"/>
      </w:pPr>
      <w:r w:rsidRPr="009D7677">
        <w:rPr>
          <w:rStyle w:val="NumeroAFNegritaCaracter"/>
        </w:rPr>
        <w:t>1</w:t>
      </w:r>
      <w:r>
        <w:t>. Mediante escrito presentado en el registro general de este tribunal el 7 de abril de 2021, el procurador de los tribunales don Javier Fernández Estrada, actuando en nombre y representación de doña Clara Ponsatí i Obiols, bajo la defensa del letrado don Gonzalo Boye, interpuso demanda de amparo contra las resoluciones arriba mencionadas.</w:t>
      </w:r>
    </w:p>
    <w:p w14:paraId="41FF9656" w14:textId="77777777" w:rsidR="009D7677" w:rsidRDefault="009D7677" w:rsidP="009D7677">
      <w:pPr>
        <w:pStyle w:val="TextoNormal"/>
      </w:pPr>
    </w:p>
    <w:p w14:paraId="4D5D4BCD" w14:textId="77777777" w:rsidR="009D7677" w:rsidRDefault="009D7677" w:rsidP="009D7677">
      <w:pPr>
        <w:pStyle w:val="TextoNormal"/>
      </w:pPr>
      <w:r w:rsidRPr="009D7677">
        <w:rPr>
          <w:rStyle w:val="NumeroAFNegritaCaracter"/>
        </w:rPr>
        <w:t>2</w:t>
      </w:r>
      <w:r>
        <w:t>. Los hechos con relevancia para la resolución del presente recurso de amparo y a los que se refiere la demanda presentada, son los siguientes:</w:t>
      </w:r>
    </w:p>
    <w:p w14:paraId="08317977" w14:textId="77777777" w:rsidR="009D7677" w:rsidRDefault="009D7677" w:rsidP="009D7677">
      <w:pPr>
        <w:pStyle w:val="TextoNormal"/>
      </w:pPr>
    </w:p>
    <w:p w14:paraId="0A6F9E26" w14:textId="77777777" w:rsidR="009D7677" w:rsidRDefault="009D7677" w:rsidP="009D7677">
      <w:pPr>
        <w:pStyle w:val="TextoNormal"/>
      </w:pPr>
      <w:r>
        <w:t>a) La Junta Electoral Central adoptó el 23 de enero de 2020 (publicado en el “Boletín Oficial del Estado” —“BOE”— núm. 21, del 24 de enero de 2020) un acuerdo “por el que se procede a la proclamación de los candidatos electos al Parlamento Europeo, que han de ocupar los cinco escaños adicionales que le corresponden a España por la retirada del Reino Unido de la Unión Europea”; en relación con las elecciones al Parlamento Europeo celebradas el 26 de mayo de 2019. El texto es el siguiente:</w:t>
      </w:r>
    </w:p>
    <w:p w14:paraId="272459CC" w14:textId="77777777" w:rsidR="009D7677" w:rsidRDefault="009D7677" w:rsidP="009D7677">
      <w:pPr>
        <w:pStyle w:val="TextoNormal"/>
      </w:pPr>
    </w:p>
    <w:p w14:paraId="5F1BB55E" w14:textId="77777777" w:rsidR="009D7677" w:rsidRDefault="009D7677" w:rsidP="009D7677">
      <w:pPr>
        <w:pStyle w:val="TextoNormal"/>
      </w:pPr>
      <w:r>
        <w:t>“La Junta Electoral Central, en su sesión de 23 de enero de 2020, ha adoptado el siguiente acuerdo:</w:t>
      </w:r>
    </w:p>
    <w:p w14:paraId="23C5BE52" w14:textId="77777777" w:rsidR="009D7677" w:rsidRDefault="009D7677" w:rsidP="009D7677">
      <w:pPr>
        <w:pStyle w:val="TextoNormal"/>
      </w:pPr>
    </w:p>
    <w:p w14:paraId="7BEF7641" w14:textId="77777777" w:rsidR="009D7677" w:rsidRDefault="009D7677" w:rsidP="009D7677">
      <w:pPr>
        <w:pStyle w:val="TextoNormal"/>
      </w:pPr>
      <w:r>
        <w:t>1. La disposición adicional única del Real Decreto 206/2019, de 1 de abril, por el que se convocan elecciones de diputados al Parlamento Europeo, señala que: ‘De conformidad con el artículo 3.2 de la Decisión (UE) 2018/937 del Consejo Europeo, una vez sea jurídicamente efectiva la salida del Reino Unido, los cinco nuevos escaños que corresponden a España serán asignados por la Junta Electoral Central a las candidaturas a las que puedan corresponder como consecuencia de la aplicación de las reglas establecidas en el artículo 216 de la Ley Orgánica 5/1985, de 19 de junio, a los resultados del proceso electoral celebrados el 26 de mayo de 2019, sin que sea necesario realizar nuevas elecciones’.</w:t>
      </w:r>
    </w:p>
    <w:p w14:paraId="75C6B0DC" w14:textId="77777777" w:rsidR="009D7677" w:rsidRDefault="009D7677" w:rsidP="009D7677">
      <w:pPr>
        <w:pStyle w:val="TextoNormal"/>
      </w:pPr>
    </w:p>
    <w:p w14:paraId="4A54B2B2" w14:textId="77777777" w:rsidR="009D7677" w:rsidRDefault="009D7677" w:rsidP="009D7677">
      <w:pPr>
        <w:pStyle w:val="TextoNormal"/>
      </w:pPr>
      <w:r>
        <w:t>2. El referido artículo 3.2 de la Decisión (UE) 2018/937, del Consejo Europeo, señala que una vez que la retirada del Reino Unido de la Unión sea jurídicamente efectiva, a España le corresponderán cincuenta y nueve escaños, es decir, cinco más de los que posee actualmente.</w:t>
      </w:r>
    </w:p>
    <w:p w14:paraId="0871D4BA" w14:textId="77777777" w:rsidR="009D7677" w:rsidRDefault="009D7677" w:rsidP="009D7677">
      <w:pPr>
        <w:pStyle w:val="TextoNormal"/>
      </w:pPr>
    </w:p>
    <w:p w14:paraId="36E5411F" w14:textId="77777777" w:rsidR="009D7677" w:rsidRDefault="009D7677" w:rsidP="009D7677">
      <w:pPr>
        <w:pStyle w:val="TextoNormal"/>
      </w:pPr>
      <w:r>
        <w:t>3. El artículo 1, apartado 2, de la Decisión (UE) 2019/1810, del Consejo Europeo, tomada de acuerdo con el Reino Unido el 29 de octubre de 2019, por la que se prorroga el plazo previsto en el artículo 50.3 del Tratado de la Unión Europea, fija como fecha de entrada en vigor del acuerdo de retirada del Reino Unido de la Unión Europea el 1 de febrero de 2020.</w:t>
      </w:r>
    </w:p>
    <w:p w14:paraId="627F6BE9" w14:textId="77777777" w:rsidR="009D7677" w:rsidRDefault="009D7677" w:rsidP="009D7677">
      <w:pPr>
        <w:pStyle w:val="TextoNormal"/>
      </w:pPr>
    </w:p>
    <w:p w14:paraId="3D4080D5" w14:textId="77777777" w:rsidR="009D7677" w:rsidRDefault="009D7677" w:rsidP="009D7677">
      <w:pPr>
        <w:pStyle w:val="TextoNormal"/>
      </w:pPr>
      <w:r>
        <w:t>4. Conforme a los criterios establecidos en los artículos 216 y 163 de la LOREG [Ley Orgánica del régimen electoral general], la atribución de esos cinco escaños, de acuerdo con los resultados obtenidos en las elecciones celebradas el 26 de mayo de 2019, corresponden a los candidatos de las formaciones electorales siguientes:</w:t>
      </w:r>
    </w:p>
    <w:p w14:paraId="56A9DC48" w14:textId="77777777" w:rsidR="009D7677" w:rsidRDefault="009D7677" w:rsidP="009D7677">
      <w:pPr>
        <w:pStyle w:val="TextoNormal"/>
      </w:pPr>
    </w:p>
    <w:p w14:paraId="0C323666" w14:textId="77777777" w:rsidR="009D7677" w:rsidRDefault="009D7677" w:rsidP="009D7677">
      <w:pPr>
        <w:pStyle w:val="TextoNormal"/>
      </w:pPr>
      <w:r>
        <w:t>1. Partido Socialista Obrero Español.</w:t>
      </w:r>
    </w:p>
    <w:p w14:paraId="0A742B4A" w14:textId="77777777" w:rsidR="009D7677" w:rsidRDefault="009D7677" w:rsidP="009D7677">
      <w:pPr>
        <w:pStyle w:val="TextoNormal"/>
      </w:pPr>
    </w:p>
    <w:p w14:paraId="098A3645" w14:textId="77777777" w:rsidR="009D7677" w:rsidRDefault="009D7677" w:rsidP="009D7677">
      <w:pPr>
        <w:pStyle w:val="TextoNormal"/>
      </w:pPr>
      <w:r>
        <w:lastRenderedPageBreak/>
        <w:t>2. Vox.</w:t>
      </w:r>
    </w:p>
    <w:p w14:paraId="2E5BF9CF" w14:textId="77777777" w:rsidR="009D7677" w:rsidRDefault="009D7677" w:rsidP="009D7677">
      <w:pPr>
        <w:pStyle w:val="TextoNormal"/>
      </w:pPr>
    </w:p>
    <w:p w14:paraId="0F29EC12" w14:textId="77777777" w:rsidR="009D7677" w:rsidRDefault="009D7677" w:rsidP="009D7677">
      <w:pPr>
        <w:pStyle w:val="TextoNormal"/>
      </w:pPr>
      <w:r>
        <w:t>3. Partido Popular.</w:t>
      </w:r>
    </w:p>
    <w:p w14:paraId="27548C1C" w14:textId="77777777" w:rsidR="009D7677" w:rsidRDefault="009D7677" w:rsidP="009D7677">
      <w:pPr>
        <w:pStyle w:val="TextoNormal"/>
      </w:pPr>
    </w:p>
    <w:p w14:paraId="378E1ABB" w14:textId="77777777" w:rsidR="009D7677" w:rsidRDefault="009D7677" w:rsidP="009D7677">
      <w:pPr>
        <w:pStyle w:val="TextoNormal"/>
      </w:pPr>
      <w:r>
        <w:t>4. Ciudadanos-Partido de la Ciudadanía.</w:t>
      </w:r>
    </w:p>
    <w:p w14:paraId="758C0580" w14:textId="77777777" w:rsidR="009D7677" w:rsidRDefault="009D7677" w:rsidP="009D7677">
      <w:pPr>
        <w:pStyle w:val="TextoNormal"/>
      </w:pPr>
    </w:p>
    <w:p w14:paraId="1E765A5F" w14:textId="77777777" w:rsidR="009D7677" w:rsidRDefault="009D7677" w:rsidP="009D7677">
      <w:pPr>
        <w:pStyle w:val="TextoNormal"/>
      </w:pPr>
      <w:r>
        <w:t>5. Lliures per Europa.</w:t>
      </w:r>
    </w:p>
    <w:p w14:paraId="644D1EA9" w14:textId="77777777" w:rsidR="009D7677" w:rsidRDefault="009D7677" w:rsidP="009D7677">
      <w:pPr>
        <w:pStyle w:val="TextoNormal"/>
      </w:pPr>
    </w:p>
    <w:p w14:paraId="6022CEFB" w14:textId="77777777" w:rsidR="009D7677" w:rsidRDefault="009D7677" w:rsidP="009D7677">
      <w:pPr>
        <w:pStyle w:val="TextoNormal"/>
      </w:pPr>
      <w:r>
        <w:t>5. En consecuencia, de acuerdo con lo establecido en el artículo 224.1 de la LOREG, quedan proclamados como candidatos electos al Parlamento Europeo, con efectos de 1 de febrero de 2020, las siguientes personas:</w:t>
      </w:r>
    </w:p>
    <w:p w14:paraId="59D58C95" w14:textId="77777777" w:rsidR="009D7677" w:rsidRDefault="009D7677" w:rsidP="009D7677">
      <w:pPr>
        <w:pStyle w:val="TextoNormal"/>
      </w:pPr>
    </w:p>
    <w:p w14:paraId="573AC368" w14:textId="77777777" w:rsidR="009D7677" w:rsidRDefault="009D7677" w:rsidP="009D7677">
      <w:pPr>
        <w:pStyle w:val="TextoNormal"/>
      </w:pPr>
      <w:r>
        <w:t>1. Don Marcos Ros Sempere.</w:t>
      </w:r>
    </w:p>
    <w:p w14:paraId="0C882B59" w14:textId="77777777" w:rsidR="009D7677" w:rsidRDefault="009D7677" w:rsidP="009D7677">
      <w:pPr>
        <w:pStyle w:val="TextoNormal"/>
      </w:pPr>
    </w:p>
    <w:p w14:paraId="5833BBE5" w14:textId="77777777" w:rsidR="009D7677" w:rsidRDefault="009D7677" w:rsidP="009D7677">
      <w:pPr>
        <w:pStyle w:val="TextoNormal"/>
      </w:pPr>
      <w:r>
        <w:t>2. Doña Margarita de la Pisa Carrión.</w:t>
      </w:r>
    </w:p>
    <w:p w14:paraId="7305CDA7" w14:textId="77777777" w:rsidR="009D7677" w:rsidRDefault="009D7677" w:rsidP="009D7677">
      <w:pPr>
        <w:pStyle w:val="TextoNormal"/>
      </w:pPr>
    </w:p>
    <w:p w14:paraId="25599BE6" w14:textId="77777777" w:rsidR="009D7677" w:rsidRDefault="009D7677" w:rsidP="009D7677">
      <w:pPr>
        <w:pStyle w:val="TextoNormal"/>
      </w:pPr>
      <w:r>
        <w:t>3. Don Gabriel Mato Adrover.</w:t>
      </w:r>
    </w:p>
    <w:p w14:paraId="1F2ACABD" w14:textId="77777777" w:rsidR="009D7677" w:rsidRDefault="009D7677" w:rsidP="009D7677">
      <w:pPr>
        <w:pStyle w:val="TextoNormal"/>
      </w:pPr>
    </w:p>
    <w:p w14:paraId="58E4F25D" w14:textId="77777777" w:rsidR="009D7677" w:rsidRDefault="009D7677" w:rsidP="009D7677">
      <w:pPr>
        <w:pStyle w:val="TextoNormal"/>
      </w:pPr>
      <w:r>
        <w:t>4. Don Adrián Vázquez Lázara.</w:t>
      </w:r>
    </w:p>
    <w:p w14:paraId="5077B7E5" w14:textId="77777777" w:rsidR="009D7677" w:rsidRDefault="009D7677" w:rsidP="009D7677">
      <w:pPr>
        <w:pStyle w:val="TextoNormal"/>
      </w:pPr>
    </w:p>
    <w:p w14:paraId="1860E7E7" w14:textId="77777777" w:rsidR="009D7677" w:rsidRDefault="009D7677" w:rsidP="009D7677">
      <w:pPr>
        <w:pStyle w:val="TextoNormal"/>
      </w:pPr>
      <w:r>
        <w:t>5. Doña Clara Ponsatí Obiols.</w:t>
      </w:r>
    </w:p>
    <w:p w14:paraId="0C0C1CAC" w14:textId="77777777" w:rsidR="009D7677" w:rsidRDefault="009D7677" w:rsidP="009D7677">
      <w:pPr>
        <w:pStyle w:val="TextoNormal"/>
      </w:pPr>
    </w:p>
    <w:p w14:paraId="6DFD2CC2" w14:textId="77777777" w:rsidR="009D7677" w:rsidRDefault="009D7677" w:rsidP="009D7677">
      <w:pPr>
        <w:pStyle w:val="TextoNormal"/>
      </w:pPr>
      <w:r>
        <w:t>Este Acuerdo de proclamación de electos es susceptible del recurso contencioso electoral previsto en los artículos 112 y siguientes de la Ley Orgánica del régimen electoral general, ante la Sala de lo Contencioso-Administrativo del Tribunal Supremo de conformidad con lo dispuesto en el artículo 225 de la LOREG. El recurso deberá presentarse ante la Junta Electoral Central dentro de los tres días siguientes al acto de proclamación de electos.</w:t>
      </w:r>
    </w:p>
    <w:p w14:paraId="50762582" w14:textId="77777777" w:rsidR="009D7677" w:rsidRDefault="009D7677" w:rsidP="009D7677">
      <w:pPr>
        <w:pStyle w:val="TextoNormal"/>
      </w:pPr>
    </w:p>
    <w:p w14:paraId="3BAAD768" w14:textId="77777777" w:rsidR="009D7677" w:rsidRDefault="009D7677" w:rsidP="009D7677">
      <w:pPr>
        <w:pStyle w:val="TextoNormal"/>
      </w:pPr>
      <w:r>
        <w:t>6. Conforme a lo dispuesto en el artículo 224.2 de la LOREG, los referidos candidatos electos ‘en el plazo de cinco días desde su proclamación deberán jurar o prometer acatamiento a la Constitución ante la Junta Electoral Central. Transcurrido dicho plazo, la Junta Electoral Central declarará vacantes los escaños correspondientes a los diputados al Parlamento Europeo que no hubieran acatado la Constitución, y suspendidas todas las prerrogativas que les pudieran corresponder por razón de su cargo, todo ello hasta que se produzca dicho acatamiento’.</w:t>
      </w:r>
    </w:p>
    <w:p w14:paraId="10B3DD38" w14:textId="77777777" w:rsidR="009D7677" w:rsidRDefault="009D7677" w:rsidP="009D7677">
      <w:pPr>
        <w:pStyle w:val="TextoNormal"/>
      </w:pPr>
    </w:p>
    <w:p w14:paraId="3F83E9A8" w14:textId="77777777" w:rsidR="009D7677" w:rsidRDefault="009D7677" w:rsidP="009D7677">
      <w:pPr>
        <w:pStyle w:val="TextoNormal"/>
      </w:pPr>
      <w:r>
        <w:t>A tal efecto, se convoca a los candidatos electos a la sesión de la Junta Electoral Central del próximo martes 28 de enero de 2020, a las 13:30 horas, en la sede de dicha junta, para que puedan proceder a prestar juramento o promesa de acatamiento a la Constitución.</w:t>
      </w:r>
    </w:p>
    <w:p w14:paraId="36AA0DFA" w14:textId="77777777" w:rsidR="009D7677" w:rsidRDefault="009D7677" w:rsidP="009D7677">
      <w:pPr>
        <w:pStyle w:val="TextoNormal"/>
      </w:pPr>
    </w:p>
    <w:p w14:paraId="135785DF" w14:textId="77777777" w:rsidR="009D7677" w:rsidRDefault="009D7677" w:rsidP="009D7677">
      <w:pPr>
        <w:pStyle w:val="TextoNormal"/>
      </w:pPr>
      <w:r>
        <w:t>Este acuerdo se publicará en el ‘Boletín Oficial del Estado’, en aplicación de lo dispuesto en el artículo 18.6 de la Ley Orgánica 5/1985, de 19 de junio, del régimen electoral general”.</w:t>
      </w:r>
    </w:p>
    <w:p w14:paraId="5F4A9165" w14:textId="77777777" w:rsidR="009D7677" w:rsidRDefault="009D7677" w:rsidP="009D7677">
      <w:pPr>
        <w:pStyle w:val="TextoNormal"/>
      </w:pPr>
    </w:p>
    <w:p w14:paraId="2A802A3E" w14:textId="77777777" w:rsidR="009D7677" w:rsidRDefault="009D7677" w:rsidP="009D7677">
      <w:pPr>
        <w:pStyle w:val="TextoNormal"/>
      </w:pPr>
      <w:r>
        <w:t>b) La Junta Electoral Central, en la sesión celebrada el 28 de enero de 2020, adoptó el acuerdo núm. 10/2020, expediente núm. 561-82, con el tenor siguiente:</w:t>
      </w:r>
    </w:p>
    <w:p w14:paraId="0C3850F5" w14:textId="77777777" w:rsidR="009D7677" w:rsidRDefault="009D7677" w:rsidP="009D7677">
      <w:pPr>
        <w:pStyle w:val="TextoNormal"/>
      </w:pPr>
    </w:p>
    <w:p w14:paraId="66EE670D" w14:textId="77777777" w:rsidR="009D7677" w:rsidRDefault="009D7677" w:rsidP="009D7677">
      <w:pPr>
        <w:pStyle w:val="TextoNormal"/>
      </w:pPr>
      <w:r>
        <w:lastRenderedPageBreak/>
        <w:t>“Quedan proclamados diputados al Parlamento Europeo, con efectos de 1 de febrero de 2020, por haber prestado acatamiento a la Constitución española en cumplimiento de lo previsto en el artículo 224.2 de la Ley Orgánica del régimen electoral general:</w:t>
      </w:r>
    </w:p>
    <w:p w14:paraId="52542F53" w14:textId="77777777" w:rsidR="009D7677" w:rsidRDefault="009D7677" w:rsidP="009D7677">
      <w:pPr>
        <w:pStyle w:val="TextoNormal"/>
      </w:pPr>
    </w:p>
    <w:p w14:paraId="0E831F47" w14:textId="77777777" w:rsidR="009D7677" w:rsidRDefault="009D7677" w:rsidP="009D7677">
      <w:pPr>
        <w:pStyle w:val="TextoNormal"/>
      </w:pPr>
      <w:r>
        <w:t>- Don Marcos Ros Sempere (Partido Socialista Obrero Español)</w:t>
      </w:r>
    </w:p>
    <w:p w14:paraId="3F859865" w14:textId="77777777" w:rsidR="009D7677" w:rsidRDefault="009D7677" w:rsidP="009D7677">
      <w:pPr>
        <w:pStyle w:val="TextoNormal"/>
      </w:pPr>
    </w:p>
    <w:p w14:paraId="7970169A" w14:textId="77777777" w:rsidR="009D7677" w:rsidRDefault="009D7677" w:rsidP="009D7677">
      <w:pPr>
        <w:pStyle w:val="TextoNormal"/>
      </w:pPr>
      <w:r>
        <w:t>- Doña Margarita de la Pisa Carrión (Vox)</w:t>
      </w:r>
    </w:p>
    <w:p w14:paraId="5425CDFA" w14:textId="77777777" w:rsidR="009D7677" w:rsidRDefault="009D7677" w:rsidP="009D7677">
      <w:pPr>
        <w:pStyle w:val="TextoNormal"/>
      </w:pPr>
    </w:p>
    <w:p w14:paraId="5FE15ABF" w14:textId="77777777" w:rsidR="009D7677" w:rsidRDefault="009D7677" w:rsidP="009D7677">
      <w:pPr>
        <w:pStyle w:val="TextoNormal"/>
      </w:pPr>
      <w:r>
        <w:t>- Don Gabriel Mato Adrover (Partido Popular)</w:t>
      </w:r>
    </w:p>
    <w:p w14:paraId="735AC9BE" w14:textId="77777777" w:rsidR="009D7677" w:rsidRDefault="009D7677" w:rsidP="009D7677">
      <w:pPr>
        <w:pStyle w:val="TextoNormal"/>
      </w:pPr>
    </w:p>
    <w:p w14:paraId="2DC40BAF" w14:textId="77777777" w:rsidR="009D7677" w:rsidRDefault="009D7677" w:rsidP="009D7677">
      <w:pPr>
        <w:pStyle w:val="TextoNormal"/>
      </w:pPr>
      <w:r>
        <w:t>- Don Adrián Vázquez Lázara (Ciudadanos-Partido de la Ciudadanía)</w:t>
      </w:r>
    </w:p>
    <w:p w14:paraId="20DC6FD8" w14:textId="77777777" w:rsidR="009D7677" w:rsidRDefault="009D7677" w:rsidP="009D7677">
      <w:pPr>
        <w:pStyle w:val="TextoNormal"/>
      </w:pPr>
    </w:p>
    <w:p w14:paraId="41D5B970" w14:textId="77777777" w:rsidR="009D7677" w:rsidRDefault="009D7677" w:rsidP="009D7677">
      <w:pPr>
        <w:pStyle w:val="TextoNormal"/>
      </w:pPr>
      <w:r>
        <w:t>Asimismo, la Junta Electoral Central acuerda comunicar al Parlamento Europeo la relación de los cuatro diputados electos que han de ocupar los escaños que corresponden al Reino de Estaña, tras la retirada de la Unión Europea de Reino Unido de la Gran Bretaña, al cumplir el requisito del artículo 224.2 de la Ley Orgánica del régimen electoral general, haciéndole saber que el próximo día 30 de enero a las 13:00 horas está prevista una nueva reunión de la Junta Electoral Central, a la que ha sido convocada la candidata electa doña Clara Ponsatí i Obiols (Lliures per Europa) para que pueda cumplir el citado requisito, por no haber asistido en el día de hoy”.</w:t>
      </w:r>
    </w:p>
    <w:p w14:paraId="594EEA81" w14:textId="77777777" w:rsidR="009D7677" w:rsidRDefault="009D7677" w:rsidP="009D7677">
      <w:pPr>
        <w:pStyle w:val="TextoNormal"/>
      </w:pPr>
    </w:p>
    <w:p w14:paraId="6FB9DAE1" w14:textId="77777777" w:rsidR="009D7677" w:rsidRDefault="009D7677" w:rsidP="009D7677">
      <w:pPr>
        <w:pStyle w:val="TextoNormal"/>
      </w:pPr>
      <w:r>
        <w:t xml:space="preserve">c) En la misma fecha la Junta Electoral Central adoptó el acuerdo núm. 11/2020, expediente núm. 561-83, por el que denegó la solicitud formulada por la aquí demandante de amparo para que se le expidiera la credencial de electa al Parlamento Europeo sin tener que cumplir con el trámite presencial de acatamiento a la Constitución española previsto en el art. 224.2 de la Ley Orgánica del régimen electoral general (LOREG), convocándola para el 30 de enero de 2020 a fin de que pudiera llevarlo a cabo. En interpretación del alcance atribuible a la sentencia del Tribunal de Justicia de la Unión Europea, de 19 de diciembre de 2019, recaído en el asunto </w:t>
      </w:r>
      <w:r w:rsidRPr="009D7677">
        <w:rPr>
          <w:i/>
        </w:rPr>
        <w:t>Oriol Junqueras Vies</w:t>
      </w:r>
      <w:r>
        <w:t>, C-502/19, el acuerdo de la Junta señaló:</w:t>
      </w:r>
    </w:p>
    <w:p w14:paraId="7B54C0C8" w14:textId="77777777" w:rsidR="009D7677" w:rsidRDefault="009D7677" w:rsidP="009D7677">
      <w:pPr>
        <w:pStyle w:val="TextoNormal"/>
      </w:pPr>
    </w:p>
    <w:p w14:paraId="538C2853" w14:textId="77777777" w:rsidR="009D7677" w:rsidRDefault="009D7677" w:rsidP="009D7677">
      <w:pPr>
        <w:pStyle w:val="TextoNormal"/>
      </w:pPr>
      <w:r>
        <w:t>“1.- El artículo 224.2 de la LOREG señala lo siguiente: ‘en el plazo de cinco días desde su proclamación, los candidatos electos deberán jurar o prometer acatamiento a la Constitución ante la Junta Electoral Central. Transcurrido dicho plazo, la Junta Electoral Central declarará vacantes los escaños correspondientes a los diputados del Parlamento Europeo que no hubieran acatado la Constitución y suspendidas todas las prerrogativas que les pudieran corresponder por razón de su cargo, todo ello hasta que se produzca dicho acatamiento’.</w:t>
      </w:r>
    </w:p>
    <w:p w14:paraId="20DF9706" w14:textId="77777777" w:rsidR="009D7677" w:rsidRDefault="009D7677" w:rsidP="009D7677">
      <w:pPr>
        <w:pStyle w:val="TextoNormal"/>
      </w:pPr>
    </w:p>
    <w:p w14:paraId="2105F582" w14:textId="77777777" w:rsidR="009D7677" w:rsidRDefault="009D7677" w:rsidP="009D7677">
      <w:pPr>
        <w:pStyle w:val="TextoNormal"/>
      </w:pPr>
      <w:r>
        <w:t xml:space="preserve">En las elecciones al Parlamento Europeo, el artículo 108.6 de la LOREG, que cita la interesada y que se refiere a las actas de proclamación de electos, debe interpretarse a la luz de las especialidades establecidas en el citado artículo 224.2. Como tiene declarado la Junta Electoral Central, en las elecciones europeas, el acta de escrutinio general al que se refiere el art. 108 de la LOREG es el elaborado por las juntas electorales provinciales, que posteriormente lo remiten a la Junta Electoral Central, para que realice las operaciones previstas en el artículo 224.1 de la LOREG: recuento de los votos a nivel nacional, atribución de escaños a cada una de las candidaturas y proclamación de electos. A continuación de dicha proclamación, en el plazo de cinco días, el apartado 2 del mismo artículo 224 </w:t>
      </w:r>
      <w:r>
        <w:lastRenderedPageBreak/>
        <w:t>exige que los candidatos electos juren o prometan acatamiento a la Constitución ante la Junta Electoral Central, de manera que solo posteriormente se producirá la comunicación al Parlamento Europeo de los que hayan cumplido ese requisito, quedando vacantes temporalmente los escaños de los que no lo hicieron, hasta que se produzca dicho acatamiento. En esos términos está actuando la Junta Electoral Central desde que España pasó a formar parte de las Comunidades Europeas en 1986.</w:t>
      </w:r>
    </w:p>
    <w:p w14:paraId="5E7C840F" w14:textId="77777777" w:rsidR="009D7677" w:rsidRDefault="009D7677" w:rsidP="009D7677">
      <w:pPr>
        <w:pStyle w:val="TextoNormal"/>
      </w:pPr>
    </w:p>
    <w:p w14:paraId="275F64C2" w14:textId="77777777" w:rsidR="009D7677" w:rsidRDefault="009D7677" w:rsidP="009D7677">
      <w:pPr>
        <w:pStyle w:val="TextoNormal"/>
      </w:pPr>
      <w:r>
        <w:t>2. También tiene reiteradamente declarado la junta que el acto de acatamiento a la Constitución es de naturaleza personalísima y por tanto indelegable, que debe realizarse presencialmente ante la Junta Electoral Central, como se lleva haciendo desde la aprobación del referido artículo 224.2 de la LOREG, y que no puede llevarse a efecto mediante cualquier mecanismo que pretenda elegir el propio interesado al margen de las previsiones legales al efecto (Acuerdos de 20 de junio y 22 de julio de 2019).</w:t>
      </w:r>
    </w:p>
    <w:p w14:paraId="215AE009" w14:textId="77777777" w:rsidR="009D7677" w:rsidRDefault="009D7677" w:rsidP="009D7677">
      <w:pPr>
        <w:pStyle w:val="TextoNormal"/>
      </w:pPr>
    </w:p>
    <w:p w14:paraId="566B1952" w14:textId="77777777" w:rsidR="009D7677" w:rsidRDefault="009D7677" w:rsidP="009D7677">
      <w:pPr>
        <w:pStyle w:val="TextoNormal"/>
      </w:pPr>
      <w:r>
        <w:t>3. De lo indicado se infiere que la comunicación al Parlamento Europeo solo puede realizarse a partir del momento en el que el candidato electo haya comparecido personalmente y prestado acatamiento a la Constitución. En el caso de no hacerlo, no es posible tampoco proceder a expedir la credencial de diputado al Parlamento Europeo, por impedirlo el ya citado artículo 224.2 de la LOREG.</w:t>
      </w:r>
    </w:p>
    <w:p w14:paraId="40CACCBF" w14:textId="77777777" w:rsidR="009D7677" w:rsidRDefault="009D7677" w:rsidP="009D7677">
      <w:pPr>
        <w:pStyle w:val="TextoNormal"/>
      </w:pPr>
    </w:p>
    <w:p w14:paraId="4C026400" w14:textId="77777777" w:rsidR="009D7677" w:rsidRDefault="009D7677" w:rsidP="009D7677">
      <w:pPr>
        <w:pStyle w:val="TextoNormal"/>
      </w:pPr>
      <w:r>
        <w:t>4. Esta interpretación es conforme con el Derecho de la Unión Europea, en la medida en que el artículo 8 del Acta relativa a la elección de diputados al Parlamento Europeo de 1976 señala que ‘el procedimiento electoral, salvo lo dispuesto en dicha disposición, se regirá, en cada Estado miembro, por las disposiciones nacionales’. Y no hay ninguna disposición en los tratados que prohíba establecer un requisito como el del acatamiento a la norma fundamental del Estado.</w:t>
      </w:r>
    </w:p>
    <w:p w14:paraId="66FE690A" w14:textId="77777777" w:rsidR="009D7677" w:rsidRDefault="009D7677" w:rsidP="009D7677">
      <w:pPr>
        <w:pStyle w:val="TextoNormal"/>
      </w:pPr>
    </w:p>
    <w:p w14:paraId="6E85A6A7" w14:textId="77777777" w:rsidR="009D7677" w:rsidRDefault="009D7677" w:rsidP="009D7677">
      <w:pPr>
        <w:pStyle w:val="TextoNormal"/>
      </w:pPr>
      <w:r>
        <w:t>El artículo 4.3 del Tratado de la Unión Europea, citado por la interesada, se refiere al principio de cooperación leal entre la Unión y los Estados miembros. Dicho principio en nada se ve afectado por este criterio puesto que son los propios Tratados los que han atribuido esta competencia a los Estados miembros.</w:t>
      </w:r>
    </w:p>
    <w:p w14:paraId="67F5910D" w14:textId="77777777" w:rsidR="009D7677" w:rsidRDefault="009D7677" w:rsidP="009D7677">
      <w:pPr>
        <w:pStyle w:val="TextoNormal"/>
      </w:pPr>
    </w:p>
    <w:p w14:paraId="5648A177" w14:textId="77777777" w:rsidR="009D7677" w:rsidRDefault="009D7677" w:rsidP="009D7677">
      <w:pPr>
        <w:pStyle w:val="TextoNormal"/>
      </w:pPr>
      <w:r>
        <w:t>El criterio indicado tampoco resulta contrario al artículo 3 del Reglamento interno del Parlamento Europeo, puesto que para poder notificar a esta institución los nombres de los diputados electos, estos deben haber cumplido el requisito establecido en el artículo 224.2 de la LOREG.</w:t>
      </w:r>
    </w:p>
    <w:p w14:paraId="015A3179" w14:textId="77777777" w:rsidR="009D7677" w:rsidRDefault="009D7677" w:rsidP="009D7677">
      <w:pPr>
        <w:pStyle w:val="TextoNormal"/>
      </w:pPr>
    </w:p>
    <w:p w14:paraId="63E39957" w14:textId="77777777" w:rsidR="009D7677" w:rsidRDefault="009D7677" w:rsidP="009D7677">
      <w:pPr>
        <w:pStyle w:val="TextoNormal"/>
      </w:pPr>
      <w:r>
        <w:t>5. La sentencia del Tribunal de Justicia de la Unión Europea de 19 de diciembre de 2019, en el asunto Junqueras i Vies, tampoco se opone a esta interpretación. Dicha resolución declara que, ‘la adquisición de la condición de miembro del Parlamento Europeo, a efectos del artículo 9 del Protocolo sobre los privilegios y las inmunidades de la Unión se produce por el hecho y desde el momento de la proclamación oficial de los resultados electorales efectuada por los Estados miembros’ (apartado 71). Pero esta sentencia no excluye que la legislación nacional pueda exigir otras formalidades legales, al señalar también que la referida inmunidad debe ‘permitir a quienes han resultado electos miembros del Parlamento Europeo cumplir los trámites necesarios para tomar posesión de su mandato’ (apartado 86).</w:t>
      </w:r>
    </w:p>
    <w:p w14:paraId="6B54D740" w14:textId="77777777" w:rsidR="009D7677" w:rsidRDefault="009D7677" w:rsidP="009D7677">
      <w:pPr>
        <w:pStyle w:val="TextoNormal"/>
      </w:pPr>
    </w:p>
    <w:p w14:paraId="34B0179E" w14:textId="77777777" w:rsidR="009D7677" w:rsidRDefault="009D7677" w:rsidP="009D7677">
      <w:pPr>
        <w:pStyle w:val="TextoNormal"/>
      </w:pPr>
      <w:r>
        <w:lastRenderedPageBreak/>
        <w:t>En consecuencia, la interesada goza de inmunidad desde la proclamación de candidatos electos realizada por la Junta Electoral Central el pasado 23 de enero de 2020, en los términos declarados por la citada sentencia, pero eso no excluye que deba cumplir el requisito de acatamiento constitucional establecido en el artículo 224.2, ni que pueda exigir su realización mediante procedimientos distintos de los establecidos legalmente, máxime cuando no invoca ninguna causa justificada para ello.</w:t>
      </w:r>
    </w:p>
    <w:p w14:paraId="6CF82071" w14:textId="77777777" w:rsidR="009D7677" w:rsidRDefault="009D7677" w:rsidP="009D7677">
      <w:pPr>
        <w:pStyle w:val="TextoNormal"/>
      </w:pPr>
    </w:p>
    <w:p w14:paraId="58C27C72" w14:textId="77777777" w:rsidR="009D7677" w:rsidRDefault="009D7677" w:rsidP="009D7677">
      <w:pPr>
        <w:pStyle w:val="TextoNormal"/>
      </w:pPr>
      <w:r>
        <w:t>6. Esta Junta Electoral Central es consciente de que el Parlamento Europeo ha tomado algunas decisiones respecto a dos candidatos electos a dicha institución, los señores Puigdemont y Comín, que no han cumplido el requisito de acatamiento constitucional establecido en el artículo 224.2 de la LOREG; sin embargo, es público y notorio que, hasta la fecha, están interviniendo en las sesiones del Parlamento Europeo. Estas decisiones adoptadas por el Parlamento Europeo, acordadas sin haber oído a la Junta Electoral Central —que es la autoridad nacional competente para comunicar la condición de diputado electo, conforme al Acta Electoral de 1976 y el artículo 3.6 del Reglamento del Parlamento Europeo—, en opinión de esta junta, no pueden servir de fundamento para modificar el criterio anteriormente expresado, en tanto el Tribunal de Justicia de la Unión Europea o los tribunales nacionales no declaren inaplicable el artículo 224.2 de la LOREG, por entender que resulta contrario al Derecho de la Unión Europea, siendo obligación de la Junta Electoral Central exigir su cumplimiento.</w:t>
      </w:r>
    </w:p>
    <w:p w14:paraId="2FAD09ED" w14:textId="77777777" w:rsidR="009D7677" w:rsidRDefault="009D7677" w:rsidP="009D7677">
      <w:pPr>
        <w:pStyle w:val="TextoNormal"/>
      </w:pPr>
    </w:p>
    <w:p w14:paraId="0D17B9A0" w14:textId="77777777" w:rsidR="009D7677" w:rsidRDefault="009D7677" w:rsidP="009D7677">
      <w:pPr>
        <w:pStyle w:val="TextoNormal"/>
      </w:pPr>
      <w:r>
        <w:t>En virtud de lo expuesto se acuerda lo siguiente:</w:t>
      </w:r>
    </w:p>
    <w:p w14:paraId="3ABEC69A" w14:textId="77777777" w:rsidR="009D7677" w:rsidRDefault="009D7677" w:rsidP="009D7677">
      <w:pPr>
        <w:pStyle w:val="TextoNormal"/>
      </w:pPr>
    </w:p>
    <w:p w14:paraId="7D270DA8" w14:textId="77777777" w:rsidR="009D7677" w:rsidRDefault="009D7677" w:rsidP="009D7677">
      <w:pPr>
        <w:pStyle w:val="TextoNormal"/>
      </w:pPr>
      <w:r>
        <w:t>1.- Denegar las peticiones que realiza la señora Ponsatí en este escrito.</w:t>
      </w:r>
    </w:p>
    <w:p w14:paraId="6B88B8B3" w14:textId="77777777" w:rsidR="009D7677" w:rsidRDefault="009D7677" w:rsidP="009D7677">
      <w:pPr>
        <w:pStyle w:val="TextoNormal"/>
      </w:pPr>
    </w:p>
    <w:p w14:paraId="5AD4FF70" w14:textId="77777777" w:rsidR="009D7677" w:rsidRDefault="009D7677" w:rsidP="009D7677">
      <w:pPr>
        <w:pStyle w:val="TextoNormal"/>
      </w:pPr>
      <w:r>
        <w:t>2.- Convocar de nuevo a doña Clara Ponsatí i Obiols para que preste juramento o promesa de acatamiento a la Constitución, conforme a lo establecido en el artículo 224.2 de la LOREG, en la sesión que la Junta Electoral Central celebrará el próximo día 30 de enero a las 13:00 horas advirtiéndole que en el caso de no hacerlo deberá declararse vacante provisionalmente dicho escaño hasta que se cumpla este requisito.</w:t>
      </w:r>
    </w:p>
    <w:p w14:paraId="2F13D939" w14:textId="77777777" w:rsidR="009D7677" w:rsidRDefault="009D7677" w:rsidP="009D7677">
      <w:pPr>
        <w:pStyle w:val="TextoNormal"/>
      </w:pPr>
    </w:p>
    <w:p w14:paraId="1ED237DA" w14:textId="77777777" w:rsidR="009D7677" w:rsidRDefault="009D7677" w:rsidP="009D7677">
      <w:pPr>
        <w:pStyle w:val="TextoNormal"/>
      </w:pPr>
      <w:r>
        <w:t>De este acuerdo se dará traslado a la interesada y al Parlamento Europeo”.</w:t>
      </w:r>
    </w:p>
    <w:p w14:paraId="25D9262D" w14:textId="77777777" w:rsidR="009D7677" w:rsidRDefault="009D7677" w:rsidP="009D7677">
      <w:pPr>
        <w:pStyle w:val="TextoNormal"/>
      </w:pPr>
    </w:p>
    <w:p w14:paraId="11569E58" w14:textId="77777777" w:rsidR="009D7677" w:rsidRDefault="009D7677" w:rsidP="009D7677">
      <w:pPr>
        <w:pStyle w:val="TextoNormal"/>
      </w:pPr>
      <w:r>
        <w:t>d) Con fecha 30 de enero de 2020 la Junta Electoral Central adoptó el acuerdo núm. 14/2020, expediente núm. 561-83, una vez constatada la inasistencia de la aquí recurrente para efectuar el trámite del art. 224.2 LOREG, con el contenido siguiente:</w:t>
      </w:r>
    </w:p>
    <w:p w14:paraId="40A540A2" w14:textId="77777777" w:rsidR="009D7677" w:rsidRDefault="009D7677" w:rsidP="009D7677">
      <w:pPr>
        <w:pStyle w:val="TextoNormal"/>
      </w:pPr>
    </w:p>
    <w:p w14:paraId="428CCEC0" w14:textId="77777777" w:rsidR="009D7677" w:rsidRDefault="009D7677" w:rsidP="009D7677">
      <w:pPr>
        <w:pStyle w:val="TextoNormal"/>
      </w:pPr>
      <w:r>
        <w:t>“1) La Junta Electoral Central, en su reunión de 23 de enero de 2020, acordó, de conformidad con lo establecido en el artículo 224.1 de la LOREG, proclamar como candidatos electos al Parlamento Europeo, con efectos de 1 de febrero de 2020, a las siguientes personas:</w:t>
      </w:r>
    </w:p>
    <w:p w14:paraId="0E7CE826" w14:textId="77777777" w:rsidR="009D7677" w:rsidRDefault="009D7677" w:rsidP="009D7677">
      <w:pPr>
        <w:pStyle w:val="TextoNormal"/>
      </w:pPr>
    </w:p>
    <w:p w14:paraId="5E321164" w14:textId="77777777" w:rsidR="009D7677" w:rsidRDefault="009D7677" w:rsidP="009D7677">
      <w:pPr>
        <w:pStyle w:val="TextoNormal"/>
      </w:pPr>
      <w:r>
        <w:t>1. Don Marcos Ros Sempere</w:t>
      </w:r>
    </w:p>
    <w:p w14:paraId="3400B591" w14:textId="77777777" w:rsidR="009D7677" w:rsidRDefault="009D7677" w:rsidP="009D7677">
      <w:pPr>
        <w:pStyle w:val="TextoNormal"/>
      </w:pPr>
    </w:p>
    <w:p w14:paraId="7ADADD06" w14:textId="77777777" w:rsidR="009D7677" w:rsidRDefault="009D7677" w:rsidP="009D7677">
      <w:pPr>
        <w:pStyle w:val="TextoNormal"/>
      </w:pPr>
      <w:r>
        <w:t>2. Doña Margarita de la Pisa Carrión</w:t>
      </w:r>
    </w:p>
    <w:p w14:paraId="6AC8B151" w14:textId="77777777" w:rsidR="009D7677" w:rsidRDefault="009D7677" w:rsidP="009D7677">
      <w:pPr>
        <w:pStyle w:val="TextoNormal"/>
      </w:pPr>
    </w:p>
    <w:p w14:paraId="3B4EF523" w14:textId="77777777" w:rsidR="009D7677" w:rsidRDefault="009D7677" w:rsidP="009D7677">
      <w:pPr>
        <w:pStyle w:val="TextoNormal"/>
      </w:pPr>
      <w:r>
        <w:t>3. Don Gabriel Mato Adrover</w:t>
      </w:r>
    </w:p>
    <w:p w14:paraId="44A8EAD7" w14:textId="77777777" w:rsidR="009D7677" w:rsidRDefault="009D7677" w:rsidP="009D7677">
      <w:pPr>
        <w:pStyle w:val="TextoNormal"/>
      </w:pPr>
    </w:p>
    <w:p w14:paraId="5CE86E90" w14:textId="77777777" w:rsidR="009D7677" w:rsidRDefault="009D7677" w:rsidP="009D7677">
      <w:pPr>
        <w:pStyle w:val="TextoNormal"/>
      </w:pPr>
      <w:r>
        <w:lastRenderedPageBreak/>
        <w:t>4. Don Adrián Vázquez Lázara</w:t>
      </w:r>
    </w:p>
    <w:p w14:paraId="30272325" w14:textId="77777777" w:rsidR="009D7677" w:rsidRDefault="009D7677" w:rsidP="009D7677">
      <w:pPr>
        <w:pStyle w:val="TextoNormal"/>
      </w:pPr>
    </w:p>
    <w:p w14:paraId="78D7D00C" w14:textId="77777777" w:rsidR="009D7677" w:rsidRDefault="009D7677" w:rsidP="009D7677">
      <w:pPr>
        <w:pStyle w:val="TextoNormal"/>
      </w:pPr>
      <w:r>
        <w:t>5. Doña Clara Ponsatí Obiols</w:t>
      </w:r>
    </w:p>
    <w:p w14:paraId="04549A1A" w14:textId="77777777" w:rsidR="009D7677" w:rsidRDefault="009D7677" w:rsidP="009D7677">
      <w:pPr>
        <w:pStyle w:val="TextoNormal"/>
      </w:pPr>
    </w:p>
    <w:p w14:paraId="26488F8B" w14:textId="77777777" w:rsidR="009D7677" w:rsidRDefault="009D7677" w:rsidP="009D7677">
      <w:pPr>
        <w:pStyle w:val="TextoNormal"/>
      </w:pPr>
      <w:r>
        <w:t>2) El artículo 224.2 de la Ley Orgánica del régimen electoral general, en lo que se refiere a las elecciones al Parlamento Europeo, dispone lo siguiente:</w:t>
      </w:r>
    </w:p>
    <w:p w14:paraId="420F52F7" w14:textId="77777777" w:rsidR="009D7677" w:rsidRDefault="009D7677" w:rsidP="009D7677">
      <w:pPr>
        <w:pStyle w:val="TextoNormal"/>
      </w:pPr>
    </w:p>
    <w:p w14:paraId="475E03AF" w14:textId="77777777" w:rsidR="009D7677" w:rsidRDefault="009D7677" w:rsidP="009D7677">
      <w:pPr>
        <w:pStyle w:val="TextoNormal"/>
      </w:pPr>
      <w:r>
        <w:t>‘En el plazo de cinco días desde la proclamación, los candidatos electos deberán jurar o prometer acatamiento a la Constitución ante la Junta Electoral Central. Transcurrido dicho plazo, la Junta Electoral Central declarará vacantes los escaños correspondientes a los diputados del Parlamento Europeo que no hubieran acatado la Constitución y suspendidas todas las prerrogativas que les pudieran corresponder por razón de su cargo, todo ello hasta que se produzca dicho acatamiento’.</w:t>
      </w:r>
    </w:p>
    <w:p w14:paraId="70FD2F23" w14:textId="77777777" w:rsidR="009D7677" w:rsidRDefault="009D7677" w:rsidP="009D7677">
      <w:pPr>
        <w:pStyle w:val="TextoNormal"/>
      </w:pPr>
    </w:p>
    <w:p w14:paraId="3D67965C" w14:textId="77777777" w:rsidR="009D7677" w:rsidRDefault="009D7677" w:rsidP="009D7677">
      <w:pPr>
        <w:pStyle w:val="TextoNormal"/>
      </w:pPr>
      <w:r>
        <w:t>3) Al no haber comparecido la candidata electa doña Clara Ponsatí i Obiols en las reuniones de 28 y 30 de enero de la Junta Electoral Central, para prestar acatamiento a la Constitución en cumplimiento de dicho artículo 224.2 de la LOREG, el escaño permanecerá temporalmente vacante hasta que se produzca dicho acatamiento, sin perjuicio de que, conforme a lo declarado en la sentencia del Tribunal de Justicia de la Unión Europea de 19 de diciembre de 2019 en el asunto relativo al señor Junqueras i Vies, el acto de proclamación de candidatos electos pueda desplegar los efectos oportunos”.</w:t>
      </w:r>
    </w:p>
    <w:p w14:paraId="00FAA52C" w14:textId="77777777" w:rsidR="009D7677" w:rsidRDefault="009D7677" w:rsidP="009D7677">
      <w:pPr>
        <w:pStyle w:val="TextoNormal"/>
      </w:pPr>
    </w:p>
    <w:p w14:paraId="029E9F04" w14:textId="77777777" w:rsidR="009D7677" w:rsidRDefault="009D7677" w:rsidP="009D7677">
      <w:pPr>
        <w:pStyle w:val="TextoNormal"/>
      </w:pPr>
      <w:r>
        <w:t>e) Con fecha 31 de enero de 2020, la Dirección General de la Presidencia del Parlamento Europeo emitió una “notificación oficial sobre la elección de cinco miembros de dicha Cámara elegidos en España”, entre cuyos nombres se encontraba en último lugar el de la aquí demandante de amparo, a quienes se les comunicó que en la sesión plenaria del 10 de febrero de 2020 el Parlamento Europeo tomaría nota de su elección como tales diputados, con efecto del 1 de febrero de 2020.</w:t>
      </w:r>
    </w:p>
    <w:p w14:paraId="345A6234" w14:textId="77777777" w:rsidR="009D7677" w:rsidRDefault="009D7677" w:rsidP="009D7677">
      <w:pPr>
        <w:pStyle w:val="TextoNormal"/>
      </w:pPr>
    </w:p>
    <w:p w14:paraId="5F12CD62" w14:textId="77777777" w:rsidR="009D7677" w:rsidRDefault="009D7677" w:rsidP="009D7677">
      <w:pPr>
        <w:pStyle w:val="TextoNormal"/>
      </w:pPr>
      <w:r>
        <w:t>f) Con fecha 12 de febrero de 2020 el representante procesal de la aquí demandante de amparo presentó escrito de interposición de recurso contencioso-administrativo por el procedimiento para la protección de los derechos fundamentales, ante la Sala de lo Contencioso-Administrativo del Tribunal Supremo. Admitido a trámite el recurso, se dio plazo para formalizar demanda, la cual se dirigió contra los acuerdos 10/2020 y 11/2020, ambos de 28 de enero de 2020, y el acuerdo 14/2020, de 30 de enero de 2020, todos ellos de la Junta Electoral Central.</w:t>
      </w:r>
    </w:p>
    <w:p w14:paraId="05FD8A4D" w14:textId="77777777" w:rsidR="009D7677" w:rsidRDefault="009D7677" w:rsidP="009D7677">
      <w:pPr>
        <w:pStyle w:val="TextoNormal"/>
      </w:pPr>
    </w:p>
    <w:p w14:paraId="6FF44E26" w14:textId="77777777" w:rsidR="009D7677" w:rsidRDefault="009D7677" w:rsidP="009D7677">
      <w:pPr>
        <w:pStyle w:val="TextoNormal"/>
      </w:pPr>
      <w:r>
        <w:t>Como motivos de la impugnación se alegaron los siguientes: (i) unas consideraciones acerca del “pleno sometimiento del presente recurso al Derecho de la Unión” Europea, reprochando a los acuerdos ahora impugnados, y a sentencias anteriores dictadas por la propia Sala de lo Contencioso-Administrativo del Tribunal Supremo haber incumplido de manera manifiesta dicho ordenamiento, del que destaca la sentencia del Tribunal de Justicia de la Unión Europea de 19 de diciembre de 2019, asunto C-502/19, y el auto de 20 de diciembre de 2019 en el asunto C-646/19; (ii) en esta misma línea, unas consideraciones sobre la “sujeción al Derecho de la Unión del proceso electoral al Parlamento Europeo, así como de todo lo relativo al estatuto y las condiciones generales para el ejercicio del cargo de diputado al Parlamento Europeo”; (iii) consideraciones sobre “la garantía de los derechos fundamentales en el proceso de elecciones al Parlamento Europeo”; (iv) unas expli</w:t>
      </w:r>
      <w:r>
        <w:lastRenderedPageBreak/>
        <w:t xml:space="preserve">caciones sobre el “reparto competencial sobre la regulación de las elecciones al Parlamento Europeo y el estatuto y las condiciones generales para el ejercicio del cargo de diputado” de dicha Cámara; (v) la incidencia “del asunto C-502/19 del Tribunal de Justicia de la Unión Europea sobre este procedimiento”; (vi) que los “acuerdos impugnados son nulos de pleno derecho por cuanto incurren en infracciones palmarias del Derecho de la Unión Europea, de la Constitución Española y de la propia Ley Orgánica del régimen electoral general, así como de los tratados internacionales en materia de derechos humanos ratificados por España, que dan lugar a la vulneración de los derechos fundamentales de la recurrente, así como de los de sus electores”; (vii) que los “acuerdos impugnados son contrarios al Derecho de la Unión por cuanto el artículo 224.2 LOREG excede las competencias atribuidas a los Estados miembros en virtud del artículo 8 del Acta Electoral de 1976, en relación con su artículo 12”; (viii) que “los acuerdos impugnados, en relación con el artículo 224.2 LOREG, son contrarios al Derecho de la Unión por cuanto desconocen la condición de Cámara directa e inmediatamente representativa de la ciudadanía de la Unión que ostenta el Parlamento Europeo, que deriva de los artículos 10.1 y 2 y 14.2 y 3 del Tratado de la Unión, vulnerando así el derecho a la igualdad que reconocen los artículos 20 y 21 de la Carta de los derechos fundamentales y el artículo 18 del Tratado de funcionamiento de la Unión Europea”; (ix) que los “acuerdos impugnados, en relación con el artículo 224.2 LOREG, son contrarios al Derecho de la Unión por cuanto vulneran la independencia del mandato de los diputados al Parlamento Europeo que reconocen el artículo 6.1 del Acta Electoral de 1976 y los artículos 2 y 3 del Estatuto de los diputados del Parlamento Europeo, en relación con el derecho a la libertad ideológica que reconoce el artículo 10.1 de la Carta de los derechos fundamentales de la Unión Europea”; (x) el “acuerdo que declara vacante el escaño de la recurrente, en relación con el artículo 224.2 LOREG, es contrario al Derecho de la Unión por cuanto vulnera el artículo 13 del Acta Electoral de 1976”; (xi) los “acuerdos impugnados, en relación con el artículo 224.2 LOREG, vulneran el artículo 5.1 del Acta Electoral de 1976, al que priva de su efecto útil en relación con el artículo 14.2 del Tratado de la Unión, el artículo 3.2 de la Decisión 2018/937/UE, del Consejo Europeo de 28 de junio de 2019, así como el artículo 4.3 del Tratado de la Unión Europea”; (xii) el “artículo 224.2 LOREG es contrario al Derecho de la Unión por cuanto vulnera el artículo 6.2 del Acta Electoral de 1976, en relación con los artículos 7, 8 y 9 del Protocolo núm. 7”; (xiii) los “acuerdos impugnados, en relación con el artículo 224.2 LOREG, son contrarios al Derecho de la Unión por cuanto vulneran también el artículo 39.2 de la Carta de los derechos fundamentales de la Unión, en relación con los límites que establece su artículo 52.1”; (xiv) los “acuerdos impugnados, en relación con el artículo 224.3 LOREG, son contrarios al Derecho de la Unión por cuanto vulneran tanto los principios de equivalencia e igualdad de trato como el de efectividad”; (xv) los “acuerdos impugnados son contrarios a Derecho por cuanto el acatamiento de la Constitución no tiene naturaleza constitutiva sobre la condición de parlamentario, y en este sentido los acuerdos impugnados vulneran también el principio de cooperación leal que establece el artículo 4.3 del Tratado de la Unión”; (xvi) se efectúan después unas consideraciones generales “sobre la regulación del procedimiento de las elecciones al Parlamento Europeo en la Ley Orgánica del régimen electoral general” en varios apartados de los arts. 108 y 224 de dicha ley; (xvii) en particular, se reprocha a la Junta Electoral Central su “negativa a remitir inmediatamente el acta de proclamación de electos al Parlamento Europeo” en relación con los cinco diputados incluidos en el acto de proclamación del 23 de enero de 2020, entre ellos la recurrente; (xviii) y sobre esto último denuncia una discriminación de trato de la Junta Electoral Central, que sí comunicó al Parlamento Europeo el 27 </w:t>
      </w:r>
      <w:r>
        <w:lastRenderedPageBreak/>
        <w:t>de junio de 2019 la proclamación de la diputada “Excma. Sra. Estrella Durá Ferrandis”, quien iba en la lista del partido socialista obrero español y sustituía al diputado señor Josep Borell Fontelles; (xix) la demanda de instancia se queja asimismo de la negativa de la Junta Electoral Central de expedir la credencial a la aquí recurrente en amparo, diputada ya electa; (xx) continúa el escrito sosteniendo que la Junta Electoral Central carecía manifiestamente de imparcialidad en este caso, dadas algunas manifestaciones en 2018 de dos de sus vocales sobre el señor Carles Puigdemont i Casamajó, y de los términos de defensa de su imparcialidad vertidos por la misma junta en otros procesos similares ante la Sala de lo Contencioso-Administrativo del Tribunal Supremo; (xxi) dice por último que procede la aplicación de la doctrina del acto aclarado, en referencia a la sentencia de 19 de diciembre de 2019 de la Gran Sala del Tribunal de Justicia de la Unión Europea en el asunto C-502/19</w:t>
      </w:r>
      <w:r w:rsidRPr="009D7677">
        <w:rPr>
          <w:i/>
        </w:rPr>
        <w:t>, Junqueras Vi</w:t>
      </w:r>
      <w:r>
        <w:t>es, y el auto del presidente del mismo tribunal de 19 de marzo de 2020.</w:t>
      </w:r>
    </w:p>
    <w:p w14:paraId="2D158D33" w14:textId="77777777" w:rsidR="009D7677" w:rsidRDefault="009D7677" w:rsidP="009D7677">
      <w:pPr>
        <w:pStyle w:val="TextoNormal"/>
      </w:pPr>
    </w:p>
    <w:p w14:paraId="0EC4F3AC" w14:textId="77777777" w:rsidR="009D7677" w:rsidRDefault="009D7677" w:rsidP="009D7677">
      <w:pPr>
        <w:pStyle w:val="TextoNormal"/>
      </w:pPr>
      <w:r>
        <w:t>El suplico de la demanda de instancia pidió que se acordase la nulidad de los acuerdos impugnados y que la Sala de lo Contencioso-Administrativo del Tribunal Supremo “declare que se ha vulnerado el derecho fundamental de la recurrente a acceder a los cargos públicos en condiciones de igualdad (artículo 23.2 de la Constitución y 39.2 de la Carta), así como los derechos a la igualdad de trato (artículo 14 de la Constitución y 20 y 21 de la Carta), a la libertad ideológica (artículos 16.1 de la Constitución y 10.1 de la Carta) y a la libertad de expresión (artículo 20.1 a y 11.1 de la Carta), en relación con los artículos 23.1 de la Constitución, 10.2 y 3 del Tratado de la Unión Europea y 14.3 del Tratado de funcionamiento de la Unión Europea”. Con condena a la Junta Electoral Central para que comunique formalmente al Parlamento Europeo la proclamación de la recurrente como diputada de dicha Cámara, y le expida y entregue la credencial acreditativa.</w:t>
      </w:r>
    </w:p>
    <w:p w14:paraId="7C1164B1" w14:textId="77777777" w:rsidR="009D7677" w:rsidRDefault="009D7677" w:rsidP="009D7677">
      <w:pPr>
        <w:pStyle w:val="TextoNormal"/>
      </w:pPr>
    </w:p>
    <w:p w14:paraId="60A69327" w14:textId="77777777" w:rsidR="009D7677" w:rsidRDefault="009D7677" w:rsidP="009D7677">
      <w:pPr>
        <w:pStyle w:val="TextoNormal"/>
      </w:pPr>
      <w:r>
        <w:t xml:space="preserve">Por medio de otrosí digo primero se pidió la práctica de prueba documental; por otrosí digo segundo que en el momento procesal oportuno se abriese trámite de conclusiones escritas </w:t>
      </w:r>
      <w:r w:rsidRPr="009D7677">
        <w:rPr>
          <w:i/>
        </w:rPr>
        <w:t>ex</w:t>
      </w:r>
      <w:r>
        <w:t xml:space="preserve"> art. 62 de la Ley reguladora de la jurisdicción contencioso-administrativa; y por otrosí digo tercero, que “en caso de que decida no estimar directamente la demanda por albergar dudas sobre la vigencia, alcance o interpretación de Derecho de la Unión Europea invocado”, plantee cuestión prejudicial ante el Tribunal de Justicia de la Unión Europea.</w:t>
      </w:r>
    </w:p>
    <w:p w14:paraId="4226CCCE" w14:textId="77777777" w:rsidR="009D7677" w:rsidRDefault="009D7677" w:rsidP="009D7677">
      <w:pPr>
        <w:pStyle w:val="TextoNormal"/>
      </w:pPr>
    </w:p>
    <w:p w14:paraId="5AE4B686" w14:textId="77777777" w:rsidR="009D7677" w:rsidRDefault="009D7677" w:rsidP="009D7677">
      <w:pPr>
        <w:pStyle w:val="TextoNormal"/>
      </w:pPr>
      <w:r>
        <w:t xml:space="preserve">g) La Sección Cuarta de la Sala de lo Contencioso-Administrativo del Tribunal Supremo, encargada del conocimiento del proceso (recurso ordinario núm. 51-2020, procedimiento jurisdiccional de protección de los derechos fundamentales), dictó sentencia el 23 de noviembre de 2020 desestimando el recurso contencioso-administrativo interpuesto. De este modo, el fundamento de Derecho quinto, A) descarta en primer lugar que dicho Alto Tribunal adolezca de falta de imparcialidad al hilo de lo expuesto al final del escrito de demanda, pues ni fue recusado en esos otros procesos ni se evidencia animadversión alguna de la sala hacia los entonces recurrentes o hacia la aquí demandante de amparo. Pasa luego a advertir [fundamento de Derecho quinto, B)] que el recurso aquí planteado no ha perdido su objeto por el hecho de haber recaído la STJUE de 19 de diciembre de 2019, aunque no es menos cierto, añade en su fundamento de Derecho quinto C), que todas las cuestiones planteadas ya han sido resueltas en las sentencias 722/2020 y 723/2020, de 10 de junio de 2020, dictadas en los recursos contencioso-administrativos núm. 271-2019 y 278-2019, sin que concurran elementos distintivos que lleven a una solución distinta, lo </w:t>
      </w:r>
      <w:r>
        <w:lastRenderedPageBreak/>
        <w:t>que obliga a seguir los mismos razonamientos que en dichas resoluciones. De ellos se hace resumen en los siguientes términos:</w:t>
      </w:r>
    </w:p>
    <w:p w14:paraId="5EDA13C4" w14:textId="77777777" w:rsidR="009D7677" w:rsidRDefault="009D7677" w:rsidP="009D7677">
      <w:pPr>
        <w:pStyle w:val="TextoNormal"/>
      </w:pPr>
    </w:p>
    <w:p w14:paraId="78582B4F" w14:textId="77777777" w:rsidR="009D7677" w:rsidRDefault="009D7677" w:rsidP="009D7677">
      <w:pPr>
        <w:pStyle w:val="TextoNormal"/>
      </w:pPr>
      <w:r>
        <w:t>“Las ideas principales en que se fundamentan esas decisiones son, en esencia, la plena aplicabilidad del artículo 224.2 de la Ley Orgánica del régimen electoral general en las elecciones al Parlamento Europeo porque ninguna disposición del Derecho de la Unión lo impide y porque la sentencia de 19 de diciembre de 2019 (asunto C-502/19) circunscribe su fallo a la adquisición por los candidatos proclamados electos a esa Cámara de la garantía de la inmunidad prevista en el párrafo segundo del Protocolo núm. 7 sobre los privilegios e inmunidades de la Unión, en los términos por ella precisados.</w:t>
      </w:r>
    </w:p>
    <w:p w14:paraId="4A03B27E" w14:textId="77777777" w:rsidR="009D7677" w:rsidRDefault="009D7677" w:rsidP="009D7677">
      <w:pPr>
        <w:pStyle w:val="TextoNormal"/>
      </w:pPr>
    </w:p>
    <w:p w14:paraId="6303D94D" w14:textId="77777777" w:rsidR="009D7677" w:rsidRDefault="009D7677" w:rsidP="009D7677">
      <w:pPr>
        <w:pStyle w:val="TextoNormal"/>
      </w:pPr>
      <w:r>
        <w:t>Aquel precepto legal es plenamente conforme a la Constitución. Por eso, se ha venido aplicando pacíficamente y a todos los candidatos proclamados electos al Parlamento Europeo hasta ahora durante varias décadas. Además, el acatamiento que reclama dicho artículo 224.2, es el mismo que se exige a todos los representantes elegidos democráticamente en España y no exige ninguna adhesión ideológica a la Constitución sino solamente el compromiso solemne de actuar respetando los procedimientos constitucionales en el bien entendido de que estos admiten la reforma total del texto fundamental. En otras palabras, el acatamiento que se reclama no atiende a los fines políticos pretendidos sino a los medios utilizados para lograrlos.</w:t>
      </w:r>
    </w:p>
    <w:p w14:paraId="1249E351" w14:textId="77777777" w:rsidR="009D7677" w:rsidRDefault="009D7677" w:rsidP="009D7677">
      <w:pPr>
        <w:pStyle w:val="TextoNormal"/>
      </w:pPr>
    </w:p>
    <w:p w14:paraId="6BD71CF1" w14:textId="77777777" w:rsidR="009D7677" w:rsidRDefault="009D7677" w:rsidP="009D7677">
      <w:pPr>
        <w:pStyle w:val="TextoNormal"/>
      </w:pPr>
      <w:r>
        <w:t>La consecuencia de no prestarlo en la forma exigida por la ley orgánica, no es la privación del escaño al incumplidor sino el impedimento de adquirir la condición plena de parlamentario y la improcedencia de expedir la credencial correspondiente. Impedimento que podrá levantar en cualquier momento quien se vea afectado con su personación ante la Junta Electoral Central, órgano permanente, y la prestación del acatamiento.</w:t>
      </w:r>
    </w:p>
    <w:p w14:paraId="21F23020" w14:textId="77777777" w:rsidR="009D7677" w:rsidRDefault="009D7677" w:rsidP="009D7677">
      <w:pPr>
        <w:pStyle w:val="TextoNormal"/>
      </w:pPr>
    </w:p>
    <w:p w14:paraId="3B6F56CC" w14:textId="77777777" w:rsidR="009D7677" w:rsidRDefault="009D7677" w:rsidP="009D7677">
      <w:pPr>
        <w:pStyle w:val="TextoNormal"/>
      </w:pPr>
      <w:r>
        <w:t>Y el rechazo a las peticiones de las partes de que planteemos cuestión prejudicial al Tribunal de Justicia de la Unión Europea en demanda de aclaración de las consideraciones que hace su sentencia de 19 de diciembre de 2020 se explica porque, además de su singularidad, la respuesta que pudiera dar, cualquiera que fuera, no alteraría el hecho de que la señora Ponsatí i Obiols ha sido admitida como diputada por el Parlamento Europeo”.</w:t>
      </w:r>
    </w:p>
    <w:p w14:paraId="70351E4E" w14:textId="77777777" w:rsidR="009D7677" w:rsidRDefault="009D7677" w:rsidP="009D7677">
      <w:pPr>
        <w:pStyle w:val="TextoNormal"/>
      </w:pPr>
    </w:p>
    <w:p w14:paraId="15407489" w14:textId="77777777" w:rsidR="009D7677" w:rsidRDefault="009D7677" w:rsidP="009D7677">
      <w:pPr>
        <w:pStyle w:val="TextoNormal"/>
      </w:pPr>
      <w:r>
        <w:t>Se dedica a continuación la sentencia [fundamento de Derecho quinto, D)] a extractar diversos pasajes de las sentencias 722/2020 y 723/2020 de 10 de junio de 2022, y de los autos de 15 de septiembre de 2020 que rechazaron los incidentes de nulidad de actuaciones contra aquellas, en relación con la regulación del procedimiento en la Ley Orgánica del régimen electoral general para la expedición de credenciales a los electos al Parlamento Europeo; sobre el sentido y la forma de prestar el acatamiento a la Constitución; la normativa electoral de la Unión Europea y los efectos de la sentencia de 19 de diciembre de 2019 y el auto de 10 de diciembre de 2019, ambos dictados por el Tribunal de Justicia de la Unión Europea; sobre la conformidad de los acuerdos de la Junta Electoral Central con la Ley Orgánica del régimen electoral general; y sobre la improcedencia de plantear cuestión prejudicial ante el mismo Tribunal de Justicia.</w:t>
      </w:r>
    </w:p>
    <w:p w14:paraId="38ADA897" w14:textId="77777777" w:rsidR="009D7677" w:rsidRDefault="009D7677" w:rsidP="009D7677">
      <w:pPr>
        <w:pStyle w:val="TextoNormal"/>
      </w:pPr>
    </w:p>
    <w:p w14:paraId="3B43DCC9" w14:textId="77777777" w:rsidR="009D7677" w:rsidRDefault="009D7677" w:rsidP="009D7677">
      <w:pPr>
        <w:pStyle w:val="TextoNormal"/>
      </w:pPr>
      <w:r>
        <w:t>Tras la reproducción de estos criterios, la sentencia enjuicia por último (también, fundamento de Derecho quinto) los dos motivos de la demanda que no habían sido tratados por aquellas sentencias:</w:t>
      </w:r>
    </w:p>
    <w:p w14:paraId="222DA800" w14:textId="77777777" w:rsidR="009D7677" w:rsidRDefault="009D7677" w:rsidP="009D7677">
      <w:pPr>
        <w:pStyle w:val="TextoNormal"/>
      </w:pPr>
    </w:p>
    <w:p w14:paraId="3476E5C3" w14:textId="77777777" w:rsidR="009D7677" w:rsidRDefault="009D7677" w:rsidP="009D7677">
      <w:pPr>
        <w:pStyle w:val="TextoNormal"/>
      </w:pPr>
      <w:r>
        <w:t>“La alegación sobre la práctica del Parlamento Vasco.</w:t>
      </w:r>
    </w:p>
    <w:p w14:paraId="07840A0E" w14:textId="77777777" w:rsidR="009D7677" w:rsidRDefault="009D7677" w:rsidP="009D7677">
      <w:pPr>
        <w:pStyle w:val="TextoNormal"/>
      </w:pPr>
    </w:p>
    <w:p w14:paraId="055EF771" w14:textId="77777777" w:rsidR="009D7677" w:rsidRDefault="009D7677" w:rsidP="009D7677">
      <w:pPr>
        <w:pStyle w:val="TextoNormal"/>
      </w:pPr>
      <w:r>
        <w:t>Respecto de la alegación sobre la práctica seguida en el Parlamento Vasco hay que decir que en esta Cámara hay una regulación específica. Es la establecida por el apartado 5 del artículo 4 de su reglamento y consiste en la consecuencia que ese precepto atribuye al hecho de que el parlamentario, llamado al efecto, tome asiento en su respectivo escaño: asentir al cumplimiento de las obligaciones que le serán exigidas en virtud del reglamento y reconocer los derechos que en él se establecen.</w:t>
      </w:r>
    </w:p>
    <w:p w14:paraId="76DC1837" w14:textId="77777777" w:rsidR="009D7677" w:rsidRDefault="009D7677" w:rsidP="009D7677">
      <w:pPr>
        <w:pStyle w:val="TextoNormal"/>
      </w:pPr>
    </w:p>
    <w:p w14:paraId="51093069" w14:textId="77777777" w:rsidR="009D7677" w:rsidRDefault="009D7677" w:rsidP="009D7677">
      <w:pPr>
        <w:pStyle w:val="TextoNormal"/>
      </w:pPr>
      <w:r>
        <w:t>[…] La alegada falta de imparcialidad de la Junta Electoral Central</w:t>
      </w:r>
    </w:p>
    <w:p w14:paraId="69EF3683" w14:textId="77777777" w:rsidR="009D7677" w:rsidRDefault="009D7677" w:rsidP="009D7677">
      <w:pPr>
        <w:pStyle w:val="TextoNormal"/>
      </w:pPr>
    </w:p>
    <w:p w14:paraId="421A94F0" w14:textId="77777777" w:rsidR="009D7677" w:rsidRDefault="009D7677" w:rsidP="009D7677">
      <w:pPr>
        <w:pStyle w:val="TextoNormal"/>
      </w:pPr>
      <w:r>
        <w:t>Un último extremo que no se suscitó en los dos procesos anteriores en los términos en que se ha planteado en este es el de la alegada falta de imparcialidad de la Junta Electoral Central por las manifestaciones que se atribuyen a dos de sus vocales. Uno de ellos, según la recurrente, don Andrés Betancor Rodríguez y el otro don Carlos Vidal Prado.</w:t>
      </w:r>
    </w:p>
    <w:p w14:paraId="2EC0CA65" w14:textId="77777777" w:rsidR="009D7677" w:rsidRDefault="009D7677" w:rsidP="009D7677">
      <w:pPr>
        <w:pStyle w:val="TextoNormal"/>
      </w:pPr>
    </w:p>
    <w:p w14:paraId="35F9246C" w14:textId="77777777" w:rsidR="009D7677" w:rsidRDefault="009D7677" w:rsidP="009D7677">
      <w:pPr>
        <w:pStyle w:val="TextoNormal"/>
      </w:pPr>
      <w:r>
        <w:t>El letrado de las Cortes Generales y de la Junta Electoral Central recuerda que el señor Betancor Rodríguez no formaba parte de la Junta Electoral Central que adoptó los acuerdos recurridos. Por tanto, mal puede invocarse su proceder para justificar la falta de imparcialidad alegada, ya que la composición del órgano era diferente.</w:t>
      </w:r>
    </w:p>
    <w:p w14:paraId="70655099" w14:textId="77777777" w:rsidR="009D7677" w:rsidRDefault="009D7677" w:rsidP="009D7677">
      <w:pPr>
        <w:pStyle w:val="TextoNormal"/>
      </w:pPr>
    </w:p>
    <w:p w14:paraId="0B634667" w14:textId="77777777" w:rsidR="009D7677" w:rsidRDefault="009D7677" w:rsidP="009D7677">
      <w:pPr>
        <w:pStyle w:val="TextoNormal"/>
      </w:pPr>
      <w:r>
        <w:t>Y las manifestaciones del señor Vidal Prado, que sí intervino en su adopción, en nada se refieren a la señora Ponsatí i Obiols y tuvieron lugar el 26 de marzo de 2018, el 26 de julio de 2018 y el 30 de octubre de 2018. Es importante señalarlo porque la recurrente no lo recusó a fin de que no interviniera en los expedientes en que se tomaron el 28 y el 30 de enero de 2020 los acuerdos que ha recurrido jurisdiccionalmente. A la vista de lo uno y de lo otro, parece claro que no había razones que, conforme al artículo 23 de la Ley 40/2015, de 1 de octubre, de régimen jurídico del sector público, requirieran la abstención del señor Vidal Prado y el hecho de que la señora Ponsatí i Obiols no hiciera uso del derecho que reconoce su artículo 24 a recusarlo lo confirma. Por tanto, no se puede discutir la legalidad de los acuerdos de la Junta Electoral Central por esta causa sin perjuicio de observar que, según el artículo 23.4 de ese texto legal, la actuación de autoridades y personal al servicio de las administraciones públicas en los que concurran motivos de abstención no implicará, necesariamente, y en todo caso, la invalidez de los actos en que hayan intervenido”.</w:t>
      </w:r>
    </w:p>
    <w:p w14:paraId="174170CC" w14:textId="77777777" w:rsidR="009D7677" w:rsidRDefault="009D7677" w:rsidP="009D7677">
      <w:pPr>
        <w:pStyle w:val="TextoNormal"/>
      </w:pPr>
    </w:p>
    <w:p w14:paraId="2D3D13EB" w14:textId="77777777" w:rsidR="009D7677" w:rsidRDefault="009D7677" w:rsidP="009D7677">
      <w:pPr>
        <w:pStyle w:val="TextoNormal"/>
      </w:pPr>
      <w:r>
        <w:t>h) Contra la sentencia de 23 de noviembre de 2020 la representación procesal de la aquí demandante de amparo interpuso escrito de nulidad de actuaciones, alegando la vulneración del derecho a la tutela judicial efectiva (art. 24.1 CE), en su dimensión de derecho a obtener una resolución judicial motivada y fundada en Derecho; y la lesión del derecho a un proceso con todas las garantías (art. 24.2 CE) y “al juez natural” que incardina en el derecho al juez ordinario predeterminado por la ley (art. 24.2 CE).</w:t>
      </w:r>
    </w:p>
    <w:p w14:paraId="65CA0FC6" w14:textId="77777777" w:rsidR="009D7677" w:rsidRDefault="009D7677" w:rsidP="009D7677">
      <w:pPr>
        <w:pStyle w:val="TextoNormal"/>
      </w:pPr>
    </w:p>
    <w:p w14:paraId="320AD000" w14:textId="3A5F7375" w:rsidR="009D7677" w:rsidRDefault="009D7677" w:rsidP="009D7677">
      <w:pPr>
        <w:pStyle w:val="TextoNormal"/>
      </w:pPr>
      <w:r>
        <w:t>i) La propia Sección Cuarta, Sala de lo Contencioso-Administrativo, del Tribunal Supremo, dictó auto el 11 de febrero de 2021 acordando desestimar (“no ha lugar”) al referido incidente, con arreglo a las razones que expone en su razonamiento quinto, defendiendo la corrección de lo argumentado por la sentencia impugnada, que resume de manera amplia.</w:t>
      </w:r>
    </w:p>
    <w:p w14:paraId="105A1439" w14:textId="77777777" w:rsidR="009D7677" w:rsidRDefault="009D7677" w:rsidP="009D7677">
      <w:pPr>
        <w:pStyle w:val="TextoNormal"/>
      </w:pPr>
    </w:p>
    <w:p w14:paraId="70CF0F9A" w14:textId="77777777" w:rsidR="009D7677" w:rsidRDefault="009D7677" w:rsidP="009D7677">
      <w:pPr>
        <w:pStyle w:val="TextoNormal"/>
      </w:pPr>
      <w:r w:rsidRPr="009D7677">
        <w:rPr>
          <w:rStyle w:val="NumeroAFNegritaCaracter"/>
        </w:rPr>
        <w:t>3</w:t>
      </w:r>
      <w:r>
        <w:t>. La demanda de amparo se dirige contra los ya identificados acuerdos de la Junta Electoral Central de 28 de enero de 2020 (recaídos en los expedientes 561-82 y 561-83) y 30 de enero de 2020 (expediente 561-83), la sentencia de la Sala de lo Contencioso-Administrativo del Tribunal Supremo de 23 de noviembre de 2020 que desestimó el recurso contencioso-administrativo interpuesto contra aquellos acuerdos, y el auto de 11 de febrero de la misma sala del Alto Tribunal que desestimó el incidente de nulidad de actuaciones promovido contra esta sentencia.</w:t>
      </w:r>
    </w:p>
    <w:p w14:paraId="7358AAA6" w14:textId="77777777" w:rsidR="009D7677" w:rsidRDefault="009D7677" w:rsidP="009D7677">
      <w:pPr>
        <w:pStyle w:val="TextoNormal"/>
      </w:pPr>
    </w:p>
    <w:p w14:paraId="02B2CD5D" w14:textId="77777777" w:rsidR="009D7677" w:rsidRDefault="009D7677" w:rsidP="009D7677">
      <w:pPr>
        <w:pStyle w:val="TextoNormal"/>
      </w:pPr>
      <w:r>
        <w:t>Con carácter previo a los motivos del recurso procede advertir que en el antecedente de hecho séptimo, el escrito menciona que: “En fecha 31 de enero de 2020, el Parlamento Europeo, obviando como no podía ser de otra manera las ilegales pretensiones de la Junta Electoral Central, comunicó oficialmente la elección de la recurrente como diputada al Parlamento Europeo con efectos desde el día siguiente, 1 de febrero [Se acompaña como documento núm. 9]. El 5 de febrero de 2020, como es un hecho público y notorio, el Parlamento Europeo la acreditó plenamente como diputada de pleno derecho”.</w:t>
      </w:r>
    </w:p>
    <w:p w14:paraId="78FA3BCC" w14:textId="77777777" w:rsidR="009D7677" w:rsidRDefault="009D7677" w:rsidP="009D7677">
      <w:pPr>
        <w:pStyle w:val="TextoNormal"/>
      </w:pPr>
    </w:p>
    <w:p w14:paraId="7950E64F" w14:textId="77777777" w:rsidR="009D7677" w:rsidRDefault="009D7677" w:rsidP="009D7677">
      <w:pPr>
        <w:pStyle w:val="TextoNormal"/>
      </w:pPr>
      <w:r>
        <w:t>a) Ya en cuanto a los motivos de impugnación, la demanda reprocha a los acuerdos de la Junta Electoral Central y a las resoluciones del Tribunal Supremo por no haber reparado los perpetrados por aquella, que “han vulnerado el derecho fundamental de la recurrente a unas elecciones libres con las debidas garantías comprendido en los artículos 39 de la Carta de los derechos fundamentales de la Unión Europea y 23 de la Constitución Española, en relación con el artículo 3 del Protocolo núm. 1 del Convenio de Roma y el artículo 25 del Pacto internacional de derechos civiles y políticos, así como el derecho a la igualdad en la aplicación de la ley sin discriminación reconocido en los artículos 20 y 21 de la Carta de los derechos fundamentales de la Unión Europea y en el artículo 14 de la Constitución, en conexión con el resto de derechos sustantivos alegados en la demanda. También se han vulnerado los derechos reconocidos en los artículos 17 y 19 de la Constitución”.</w:t>
      </w:r>
    </w:p>
    <w:p w14:paraId="38A4B425" w14:textId="77777777" w:rsidR="009D7677" w:rsidRDefault="009D7677" w:rsidP="009D7677">
      <w:pPr>
        <w:pStyle w:val="TextoNormal"/>
      </w:pPr>
    </w:p>
    <w:p w14:paraId="71853700" w14:textId="77777777" w:rsidR="009D7677" w:rsidRDefault="009D7677" w:rsidP="009D7677">
      <w:pPr>
        <w:pStyle w:val="TextoNormal"/>
      </w:pPr>
      <w:r>
        <w:t>Por su lado, a las resoluciones dictadas por la Sala de lo Contencioso-Administrativo del Tribunal Supremo también se les achaca de manera directa que “vulneran el derecho a la tutela judicial efectiva, así como a una resolución judicial motivada y fundada en Derecho, en relación con el derecho a un proceso con todas las garantías. También se ha vulnerado el derecho al juez ordinario predeterminado por la ley. Derechos todos ellos amparados por el artículo 24 de la Constitución”.</w:t>
      </w:r>
    </w:p>
    <w:p w14:paraId="5E298C6E" w14:textId="77777777" w:rsidR="009D7677" w:rsidRDefault="009D7677" w:rsidP="009D7677">
      <w:pPr>
        <w:pStyle w:val="TextoNormal"/>
      </w:pPr>
    </w:p>
    <w:p w14:paraId="43F4D9DF" w14:textId="77777777" w:rsidR="009D7677" w:rsidRDefault="009D7677" w:rsidP="009D7677">
      <w:pPr>
        <w:pStyle w:val="TextoNormal"/>
      </w:pPr>
      <w:r>
        <w:t xml:space="preserve">b) Fundamenta su pretensión la actora en su demanda de amparo (de 174 páginas), trasladando sustancialmente los argumentos vertidos en su demanda de instancia ante el Tribunal Supremo. Así, después de realizar unas consideraciones previas acerca del “sometimiento del presente litigio al Derecho de la Unión”, se refiere en primer lugar a las vulneraciones atribuidas a los acuerdos de la Junta Electoral Central, donde en resumen expone las siguientes quejas: (i) “[l]os acuerdos impugnados son contrarios al Derecho de la Unión, por cuanto el artículo 224.2 de la Ley Orgánica del régimen electoral general es un precepto inaplicable pues excede las competencias atribuidas a los Estados miembros en virtud del artículo 8 del Acta Electoral de 1976, en relación con su artículo 12”; (ii) “[l]os acuerdos impugnados, en relación con el artículo 224.2 LOREG, son contrarios al Derecho de la Unión por cuanto desconocen la condición de Cámara directa e inmediatamente representativa de la ciudadanía de la Unión que ostenta el Parlamento Europeo, que deriva </w:t>
      </w:r>
      <w:r>
        <w:lastRenderedPageBreak/>
        <w:t>de los artículos 10.1 y 2 y 14.2 y 3 del Tratado de la Unión, vulnerando así el derecho a la igualdad que reconocen los artículos 20 y 21 de la Carta de los derechos fundamentales y el artículo 18 del Tratado de funcionamiento de la Unión Europea”; (iii) “[l]os acuerdos impugnados, en relación con el artículo 224.2 LOREG, son contrarios al Derecho de la Unión por cuanto vulneran la independencia del mandato de los diputados al Parlamento Europeo que reconocen el artículo 6.1 del Acta Electoral de 1976 y los artículos 2 y 3 del Estatuto de los diputados del Parlamento Europeo, en relación con el derecho a la libertad ideológica que reconoce el artículo 10.1 de la Carta de los derechos fundamentales de la Unión Europea”; (iv) “[e]l acuerdo que declara vacante el escaño de la recurrente, en relación con el artículo 224.2 LOREG, es contrario al Derecho de la Unión por cuanto vulnera el artículo 13 del Acta Electoral de 1976”; (v) “[l]os acuerdos impugnados, en relación con el artículo 224.2 LOREG, vulneran el artículo 5.1 del Acta Electoral de 1976, al que priva de su efecto útil en relación con el artículo 14.2 del Tratado de la Unión, el artículo 3.2 de la Decisión 2018/937/UE del Consejo Europeo de 28 de junio de 2018, así como el artículo 4.3 del Tratado de la Unión Europea”; (vi) “[e]l artículo 224.2 LOREG es contrario al Derecho de la Unión por cuanto vulnera el artículo 6.2 del Acta Electoral de 1976, en relación con los artículos 7, 8 y 9 del Protocolo núm. 7”; (vii) “[l]os acuerdos impugnados, en relación con el artículo 224.2 LOREG, son contrarios al Derecho de la Unión por cuanto vulneran en cualquier caso el contenido esencial del artículo 39.2 de la Carta de los derechos fundamentales de la Unión, en relación con los límites que establece su artículo 52.1, así como el artículo 23 de la Constitución”; (viii) “[l]os acuerdos impugnados, en relación con el artículo 224.2 LOREG, son contrarios al Derecho de la Unión por cuanto vulneran tanto los principios de equivalencia e igualdad de trato como el de efectividad”; (ix) “[l]os acuerdos impugnados son contrarios a Derecho por cuanto el acatamiento de la Constitución no tiene naturaleza constitutiva sobre la condición de parlamentario, y en este sentido los acuerdos impugnados vulneran también el principio de cooperación leal que establece el artículo 4.3 del Tratado de la Unión”.</w:t>
      </w:r>
    </w:p>
    <w:p w14:paraId="5FD24E81" w14:textId="77777777" w:rsidR="009D7677" w:rsidRDefault="009D7677" w:rsidP="009D7677">
      <w:pPr>
        <w:pStyle w:val="TextoNormal"/>
      </w:pPr>
    </w:p>
    <w:p w14:paraId="4A6CFF45" w14:textId="77777777" w:rsidR="009D7677" w:rsidRDefault="009D7677" w:rsidP="009D7677">
      <w:pPr>
        <w:pStyle w:val="TextoNormal"/>
      </w:pPr>
      <w:r>
        <w:t>c) Continúa el escrito de demanda tratando lo que llama “motivos adicionales de nulidad, vinculados a los mismos derechos fundamentales”, y donde alega, en síntesis:</w:t>
      </w:r>
    </w:p>
    <w:p w14:paraId="0AB6126D" w14:textId="77777777" w:rsidR="009D7677" w:rsidRDefault="009D7677" w:rsidP="009D7677">
      <w:pPr>
        <w:pStyle w:val="TextoNormal"/>
      </w:pPr>
    </w:p>
    <w:p w14:paraId="2FF45FEE" w14:textId="77777777" w:rsidR="009D7677" w:rsidRDefault="009D7677" w:rsidP="009D7677">
      <w:pPr>
        <w:pStyle w:val="TextoNormal"/>
      </w:pPr>
      <w:r>
        <w:t>(i) La necesaria aplicación por la Junta Electoral Central, en las elecciones al Parlamento Europeo, no solo del art. 224 LOREG sino también de su art. 108, pues ambas normas son compatibles como se desprende de la propia exposición de motivos de la Ley Orgánica 1/1987, de 2 de abril, que reformó la Ley Orgánica del régimen electoral general de 1985 para la regulación de las elecciones al Parlamento Europeo; el art. 108 es común a todos los procesos electorales, dice, específicamente sus apartados 6 y 7, con la única particularidad de que compete su aplicación a la Junta Electoral Central y no a las juntas provinciales. De este modo, el art. 108.6 LOREG obligaba a la remisión inmediata del acta de proclamación de electos al Parlamento Europeo, sin condicionarlo a otros trámites como el del acatamiento a la Constitución. Una vez efectuada la proclamación de electos el 23 de enero de 2020, debió remitirse sin más el acta, la cual debe cumplir con los requisitos del art. 108.5 LOREG. Remisión a la Cámara que también se deriva del art. 3, apartados 1 y 3 del reglamento interno del Parlamento Europeo. Los arts. 108.8 (para las elecciones de ámbito interno) y 224.2 LOREG para las del Parlamento Europeo, no suponen modulación alguna a aquel mandato del Derecho de la Unión. La Junta Electoral Central sí cumplió con ello en el caso de la diputada señora Estrella Durá Ferrandis. El incumplimiento que afecta a la aquí recurrente añade el escrito de demanda, resulta también contrario al prin</w:t>
      </w:r>
      <w:r>
        <w:lastRenderedPageBreak/>
        <w:t>cipio de cooperación leal entre instituciones de la Unión y los Estados miembros, del art. 4.3 del Tratado de la Unión Europea.</w:t>
      </w:r>
    </w:p>
    <w:p w14:paraId="2126C896" w14:textId="77777777" w:rsidR="009D7677" w:rsidRDefault="009D7677" w:rsidP="009D7677">
      <w:pPr>
        <w:pStyle w:val="TextoNormal"/>
      </w:pPr>
    </w:p>
    <w:p w14:paraId="1D8255CD" w14:textId="77777777" w:rsidR="009D7677" w:rsidRDefault="009D7677" w:rsidP="009D7677">
      <w:pPr>
        <w:pStyle w:val="TextoNormal"/>
      </w:pPr>
      <w:r>
        <w:t>(ii) En refuerzo de esta última argumentación, se centra de inmediato la demanda en denunciar la “diferencia de trato con la diputada electa al Parlamento Europeo Excma. Sra. Estrella Durá Ferrandis”, integrante de la lista del partido socialista obrero español y a quien pasó a corresponderle un escaño tras la renuncia del señor Joseph Borrell Fontelles. En este caso el vicepresidente de la Junta Electoral Central, en funciones de presidente, resolvió comunicar al presidente del Parlamento Europeo la proclamación como electa de dicha diputada el 27 de junio de 2019, “cuando esta aún no había prestado juramento o promesa de acatamiento de la Constitución ante la Junta Electoral Central”; lo que sin embargo se ha negado a los diputados señores Puigdemont i Casamajó, Comín i Oliveres y a la propia recurrente; a esta en concreto mediante el acuerdo 11/2020, de 28 de enero de 2020, aquí impugnado. Se trata, añade el escrito, de una vulneración del derecho a la igualdad en la aplicación de la ley prohibida por los arts. 20 y 21 de la Carta de derechos fundamentales de la Unión Europea, y demuestra —así lo entiende— que no hay obstáculo legal alguno (arts. 108 y 224.2 LOREG) para hacerlo también con la recurrente. Advierte que no es ajeno a esta discriminación el hecho de que la diputada electa a quien sí se comunicó su proclamación pertenece al partido actualmente en el Gobierno, mientras que la demandante es diputada “de un partido opositor que representa una minoría nacional”.</w:t>
      </w:r>
    </w:p>
    <w:p w14:paraId="3A95BBF5" w14:textId="77777777" w:rsidR="009D7677" w:rsidRDefault="009D7677" w:rsidP="009D7677">
      <w:pPr>
        <w:pStyle w:val="TextoNormal"/>
      </w:pPr>
    </w:p>
    <w:p w14:paraId="106DB731" w14:textId="77777777" w:rsidR="009D7677" w:rsidRDefault="009D7677" w:rsidP="009D7677">
      <w:pPr>
        <w:pStyle w:val="TextoNormal"/>
      </w:pPr>
      <w:r>
        <w:t>(iii) Reprocha después la demanda la negativa de la Junta Electoral Central a expedir la credencial de la diputada electa aquí recurrente, conforme indica el acuerdo 11/2020, sin que el art. 224.2 LOREG que cita dicho acuerdo regule sin embargo la expedición de credenciales, pues lo hace el art. 108.7 LOREG, aplicable también a las elecciones al Parlamento Europeo, como un acto previo al de juramento o promesa de acatamiento a la Constitución. La credencial lo es de la proclamación como electo y no del trámite de acatamiento; citando a continuación resoluciones de la Junta Electoral Central sobre el efecto inmediato y automático de la expedición y entrega de credenciales.</w:t>
      </w:r>
    </w:p>
    <w:p w14:paraId="5AC55D84" w14:textId="77777777" w:rsidR="009D7677" w:rsidRDefault="009D7677" w:rsidP="009D7677">
      <w:pPr>
        <w:pStyle w:val="TextoNormal"/>
      </w:pPr>
    </w:p>
    <w:p w14:paraId="63F2C13D" w14:textId="77777777" w:rsidR="009D7677" w:rsidRDefault="009D7677" w:rsidP="009D7677">
      <w:pPr>
        <w:pStyle w:val="TextoNormal"/>
      </w:pPr>
      <w:r>
        <w:t xml:space="preserve">d) Avanza el escrito de demanda planteando lo que entiende como “motivos de nulidad en que incurren los acuerdos de la Junta Electoral Central en relación con la falta de imparcialidad de este órgano, vinculados a la vulneración del derecho al ejercicio en condiciones de igualdad del cargo de diputado al Parlamento Europeo”. Pasa a hacer cita de las sentencias del Tribunal Europeo de Derechos Humanos de 8 de julio de 2008, asunto </w:t>
      </w:r>
      <w:r w:rsidRPr="009D7677">
        <w:rPr>
          <w:i/>
        </w:rPr>
        <w:t>Partido Laborista Georgiano c. Georgia</w:t>
      </w:r>
      <w:r>
        <w:t xml:space="preserve">; de 8 de octubre de 2015, </w:t>
      </w:r>
      <w:r w:rsidRPr="009D7677">
        <w:rPr>
          <w:i/>
        </w:rPr>
        <w:t>asunto Gahramanti y otros c. Azerbaiyán</w:t>
      </w:r>
      <w:r>
        <w:t xml:space="preserve">; de 9 de abril de 2002, asunto </w:t>
      </w:r>
      <w:r w:rsidRPr="009D7677">
        <w:rPr>
          <w:i/>
        </w:rPr>
        <w:t>Podkolzina c</w:t>
      </w:r>
      <w:r>
        <w:t xml:space="preserve">. </w:t>
      </w:r>
      <w:r w:rsidRPr="009D7677">
        <w:rPr>
          <w:i/>
        </w:rPr>
        <w:t>Letonia</w:t>
      </w:r>
      <w:r>
        <w:t xml:space="preserve">, y 10 de julio de 2020, </w:t>
      </w:r>
      <w:r w:rsidRPr="009D7677">
        <w:rPr>
          <w:i/>
        </w:rPr>
        <w:t>asunto</w:t>
      </w:r>
      <w:r>
        <w:t xml:space="preserve"> </w:t>
      </w:r>
      <w:r w:rsidRPr="009D7677">
        <w:rPr>
          <w:i/>
        </w:rPr>
        <w:t>Mugemangango c. Bélgica</w:t>
      </w:r>
      <w:r>
        <w:t>; acerca de la importancia de la imparcialidad de las autoridades electorales; y alude al código de buenas prácticas en materia electoral de la Comisión de Venecia y otros organismos internacionales. Dicho esto, se pone en cuestión la imparcialidad de la Junta Electoral Central trayendo a colación algunas manifestaciones vertidas por dos de sus vocales en el año 2018 en relación con el señor Puigdemont i Casamajó, o lo afirmado por la junta en uno de los procesos ante la Sala de lo Contencioso-Administrativo del Tribunal Supremo respecto a actuar de manera correcta. De estos datos infiere la recurrente “la animadversión de la Junta Electoral Central” hacia ella y hacia su candidatura, y que aquella ha utilizado “todo su poder” para impedir tomar posesión a los señores Puigdemont i Casamajó, Comín i Oliveres y a la recurrente como diputados del Parlamento Europeo. Por tanto, la Junta Electoral Central no reúne las condiciones de ob</w:t>
      </w:r>
      <w:r>
        <w:lastRenderedPageBreak/>
        <w:t>jetividad e imparcialidad que exige la jurisprudencia del Tribunal Europeo de Derechos Humanos y el art. 3.1 del Protocolo núm. 1 al Convenio europeo de derechos humanos.</w:t>
      </w:r>
    </w:p>
    <w:p w14:paraId="698F213E" w14:textId="77777777" w:rsidR="009D7677" w:rsidRDefault="009D7677" w:rsidP="009D7677">
      <w:pPr>
        <w:pStyle w:val="TextoNormal"/>
      </w:pPr>
    </w:p>
    <w:p w14:paraId="0AE63242" w14:textId="77777777" w:rsidR="009D7677" w:rsidRDefault="009D7677" w:rsidP="009D7677">
      <w:pPr>
        <w:pStyle w:val="TextoNormal"/>
      </w:pPr>
      <w:r>
        <w:t>e) Abre a continuación la demanda un apartado sobre los motivos de nulidad “en que incurre la sentencia de la Sala de lo Contencioso-Administrativo del Tribunal Supremo de 23 de noviembre de 2020 y el auto de 11 de febrero de 2021”, en el cual desglosa los siguientes:</w:t>
      </w:r>
    </w:p>
    <w:p w14:paraId="1D27C805" w14:textId="77777777" w:rsidR="009D7677" w:rsidRDefault="009D7677" w:rsidP="009D7677">
      <w:pPr>
        <w:pStyle w:val="TextoNormal"/>
      </w:pPr>
    </w:p>
    <w:p w14:paraId="6DB610A0" w14:textId="77777777" w:rsidR="009D7677" w:rsidRDefault="009D7677" w:rsidP="009D7677">
      <w:pPr>
        <w:pStyle w:val="TextoNormal"/>
      </w:pPr>
      <w:r>
        <w:t xml:space="preserve">(i) “Vulneración de idénticos derechos fundamentales que los vulnerados por los actos de la Junta Electoral Central”: ante todo dice el escrito que las resoluciones del Tribunal Supremo al no reparar las vulneraciones causadas por la administración electoral incurren por ello en idénticas infracciones. En todo caso, se centra ahora la recurrente en identificar la conculcación de los derechos fundamentales del art. 24 CE producida de manera directa y autónoma por las resoluciones judiciales impugnadas. Tal cosa sucede a su parecer, en primer lugar, por vulnerar la sentencia de 23 de noviembre de 2020 el derecho a la tutela judicial efectiva (art. 24.1 CE) de la recurrente, en su vertiente del derecho a una resolución fundada en Derecho. Luego de hacer cita de la STC 102/2014 , de 23 de junio, sobre el contenido de esta faceta del derecho del art. 24.1 CE, afirma que la sentencia ahora recurrida evidencia un “proceso deductivo […] completamente ajeno a la lógica jurídica”, remitiéndose literalmente al criterio fijado por la propia Sala de lo Contencioso-Administrativo del Tribunal Supremo en las SSTS 722/2020, de 20 de junio, y 723/2023, de 29 de mayo, que sin embargo resolvían supuestos no iguales al presente, ni atender a la STJUE de 19 de diciembre de 2019, C-502/19, asunto </w:t>
      </w:r>
      <w:r w:rsidRPr="009D7677">
        <w:rPr>
          <w:i/>
        </w:rPr>
        <w:t>Oriol Junqueras</w:t>
      </w:r>
      <w:r>
        <w:t>. El recurso contencioso-administrativo interpuesto por la recurrente debió ser estimado, o en su caso haber planteado la Sala de lo Contencioso-Administrativo una cuestión prejudicial ante el Tribunal de Justicia de la Unión Europea, sobre la compatibilidad del acto de acatamiento a la Constitución del art. 224.2 LOREG con la normativa electoral del Parlamento Europeo. Esa doble negativa de la sentencia de 23 de noviembre de 2020 supuso la vulneración del derecho a la tutela judicial efectiva de la recurrente, y de nuevo la vulneración de los derechos fundamentales sustantivos.</w:t>
      </w:r>
    </w:p>
    <w:p w14:paraId="731EC1FC" w14:textId="77777777" w:rsidR="009D7677" w:rsidRDefault="009D7677" w:rsidP="009D7677">
      <w:pPr>
        <w:pStyle w:val="TextoNormal"/>
      </w:pPr>
    </w:p>
    <w:p w14:paraId="4464FAC5" w14:textId="77777777" w:rsidR="009D7677" w:rsidRDefault="009D7677" w:rsidP="009D7677">
      <w:pPr>
        <w:pStyle w:val="TextoNormal"/>
      </w:pPr>
      <w:r>
        <w:t xml:space="preserve">(ii) Se extiende luego la demanda en las “vulneraciones de derechos consecuencia de la inobservancia de la obligación de plantear cuestión prejudicial ante el Tribunal de Justicia de la Unión Europea”, citando en primer lugar el art. 267 del Tratado de funcionamiento de la Unión Europea en cuanto a la regulación de la cuestión prejudicial interpretativa y de validez. Reconoce la demandante de amparo que la Sala de lo Contencioso-Administrativo del Tribunal Supremo podía resolver su recurso sin plantear la cuestión prejudicial, siempre que lo fuera en sentido estimatorio “tanto desde el punto de vista de la doctrina del acto claro, como de la doctrina del acto aclarado”; pero no desestimar su demanda de instancia aplicando el art. 224.2 LOREG, sin plantear aquella cuestión prejudicial. Añade que la existencia de una duda al respecto se deriva de las conclusiones del abogado general de 12 de noviembre de 2019 en el proceso C-502/19, como del auto de la vicepresidenta del Tribunal de Justicia de 20 de diciembre de 2019 asunto C-646/19 P (R), </w:t>
      </w:r>
      <w:r w:rsidRPr="009D7677">
        <w:rPr>
          <w:i/>
        </w:rPr>
        <w:t>Puigdemont i Casamajó y Comín i Oliveres</w:t>
      </w:r>
      <w:r>
        <w:t>. Al no caber recurso en los términos del art. 267 del Tratado de funcionamiento de la Unión Europea, la Sala de lo Contencioso-Administrativo del Tribunal Supremo, Sección Cuarta, no puede “pretender dictar sentencia conforme a una norma nacional que el propio Tribunal de Justicia de la Unión Europea ha considerado dudosamente compatible con el Derecho de la Unión sin plantear la correspondiente cues</w:t>
      </w:r>
      <w:r>
        <w:lastRenderedPageBreak/>
        <w:t xml:space="preserve">tión prejudicial”. Hacerlo supone “infracción manifiesta” de aquel art. 267 y del art. 47 de la Carta de derechos fundamentales de la Unión Europea, con cita en su apoyo de las SSTJUE de 9 de septiembre de 2015, asunto C-160/14, </w:t>
      </w:r>
      <w:r w:rsidRPr="009D7677">
        <w:rPr>
          <w:i/>
        </w:rPr>
        <w:t>João Filipe Ferreira da Silva e Brito y otros c. Estado portugués</w:t>
      </w:r>
      <w:r>
        <w:t xml:space="preserve">, y de 6 de octubre de 1982, asunto C-283/81, </w:t>
      </w:r>
      <w:r w:rsidRPr="009D7677">
        <w:rPr>
          <w:i/>
        </w:rPr>
        <w:t>Cilfit</w:t>
      </w:r>
      <w:r>
        <w:t>. Opina que de haberse planteado la cuestión prejudicial, la respuesta que obtendría le habría hecho estimar el recurso contencioso-administrativo al Tribunal Supremo. Al haber procedido de otro modo, se han vulnerado los derechos de la demandante en amparo a la tutela judicial efectiva en su vertiente de derecho a una resolución fundada en Derecho, a un proceso con todas las garantías, y al juez ordinario predeterminado por la ley (en referencia al Tribunal de Justicia de la Unión Europea). La sentencia impugnada se muestra arbitraria e irrazonable, y es incoherente que haya descartado por innecesario el planteamiento de la cuestión prejudicial.</w:t>
      </w:r>
    </w:p>
    <w:p w14:paraId="0BD6990A" w14:textId="77777777" w:rsidR="009D7677" w:rsidRDefault="009D7677" w:rsidP="009D7677">
      <w:pPr>
        <w:pStyle w:val="TextoNormal"/>
      </w:pPr>
    </w:p>
    <w:p w14:paraId="71650AD4" w14:textId="77777777" w:rsidR="009D7677" w:rsidRDefault="009D7677" w:rsidP="009D7677">
      <w:pPr>
        <w:pStyle w:val="TextoNormal"/>
      </w:pPr>
      <w:r>
        <w:t>(iii) Como última cuestión de este bloque de quejas, la demanda de amparo habla de “la vulneración del derecho a una resolución motivada y fundada en Derecho en relación con el derecho al juez imparcial”, discrepando de la aseveración de la sentencia impugnada de que los magistrados de la Sección Cuarta no habían perdido su imparcialidad, “al no expresar los razonamientos que conducen a esa conclusión” sino que es “apodíctica”. Discrepa también de la advertencia efectuada en la sentencia sobre la necesidad de haber planteado la recurrente antes la recusación de los magistrados, porque tenían estos que haberla apreciado de oficio según jurisprudencia del Tribunal Europeo de Derechos Humanos; sin que tales afirmaciones hayan sido corregidas por el auto dictado resolviendo el incidente de nulidad de actuaciones contra la sentencia.</w:t>
      </w:r>
    </w:p>
    <w:p w14:paraId="33C3FE52" w14:textId="77777777" w:rsidR="009D7677" w:rsidRDefault="009D7677" w:rsidP="009D7677">
      <w:pPr>
        <w:pStyle w:val="TextoNormal"/>
      </w:pPr>
    </w:p>
    <w:p w14:paraId="66B54AF7" w14:textId="77777777" w:rsidR="009D7677" w:rsidRDefault="009D7677" w:rsidP="009D7677">
      <w:pPr>
        <w:pStyle w:val="TextoNormal"/>
      </w:pPr>
      <w:r>
        <w:t>f) Lo anteriormente dicho sirve a la recurrente para pedir, finalmente, que este Tribunal Constitucional plantee cuestión prejudicial ante el Tribunal de Justicia de la Unión Europea acerca de la compatibilidad del art. 224.2 LOREG con el Derecho de la Unión Europea y las exigencias que ha de tener una medida limitativa de derechos fundamentales según los arts. 39.2 y 52.1 de la Carta de derechos fundamentales de la Unión Europea, los cuales, sostiene, sirven como parámetro de interpretación del derecho fundamental del art. 23.2 CE, por la vía del art. 10.2 CE. Este tribunal estaría obligado a ello de acuerdo con el art. 267, párrafo tercero, del Tratado de funcionamiento de la Unión Europea.</w:t>
      </w:r>
    </w:p>
    <w:p w14:paraId="1A2E7A5A" w14:textId="77777777" w:rsidR="009D7677" w:rsidRDefault="009D7677" w:rsidP="009D7677">
      <w:pPr>
        <w:pStyle w:val="TextoNormal"/>
      </w:pPr>
    </w:p>
    <w:p w14:paraId="69A77D39" w14:textId="77777777" w:rsidR="009D7677" w:rsidRDefault="009D7677" w:rsidP="009D7677">
      <w:pPr>
        <w:pStyle w:val="TextoNormal"/>
      </w:pPr>
      <w:r>
        <w:t>g) El suplico de la demanda solicita que con otorgamiento del amparo acordemos la nulidad de los actos de los poderes públicos impugnados; con declaración de haberse vulnerado los derechos fundamentales y los preceptos de la normativa de la Unión Europea que ha citado a lo largo de su escrito; “y cuantas medidas procedan para la plena restitución de la recurrente en el ejercicio de sus derechos fundamentales”.</w:t>
      </w:r>
    </w:p>
    <w:p w14:paraId="00F8DDF6" w14:textId="77777777" w:rsidR="009D7677" w:rsidRDefault="009D7677" w:rsidP="009D7677">
      <w:pPr>
        <w:pStyle w:val="TextoNormal"/>
      </w:pPr>
    </w:p>
    <w:p w14:paraId="5E09C4E6" w14:textId="39C97D62" w:rsidR="009D7677" w:rsidRDefault="009D7677" w:rsidP="009D7677">
      <w:pPr>
        <w:pStyle w:val="TextoNormal"/>
      </w:pPr>
      <w:r>
        <w:t>Por medio de otrosí digo, el escrito pidió la celebración de vista pública con base en el art. 85.3 de la Ley Orgánica del Tribunal Constitucional (LOTC), en relación con el art. 6 del Convenio europeo de derechos humanos (CEDH).</w:t>
      </w:r>
    </w:p>
    <w:p w14:paraId="6D07D532" w14:textId="77777777" w:rsidR="009D7677" w:rsidRDefault="009D7677" w:rsidP="009D7677">
      <w:pPr>
        <w:pStyle w:val="TextoNormal"/>
      </w:pPr>
    </w:p>
    <w:p w14:paraId="48DEF676" w14:textId="5A309E85" w:rsidR="009D7677" w:rsidRDefault="009D7677" w:rsidP="009D7677">
      <w:pPr>
        <w:pStyle w:val="TextoNormal"/>
      </w:pPr>
      <w:r w:rsidRPr="009D7677">
        <w:rPr>
          <w:rStyle w:val="NumeroAFNegritaCaracter"/>
        </w:rPr>
        <w:t>4</w:t>
      </w:r>
      <w:r>
        <w:t>. La Sala Segunda de este Tribunal Constitucional dictó providencia el 5 de octubre de 2021 en la que hizo constar que en la sesión celebrada el día anterior, el 4 de octubre de 2021, se acordó “proponer la avocación al Pleno del presente recurso de amparo, de conformidad con lo dispuesto en el art. 10.1 n) LOTC”.</w:t>
      </w:r>
    </w:p>
    <w:p w14:paraId="6BD9568D" w14:textId="77777777" w:rsidR="009D7677" w:rsidRDefault="009D7677" w:rsidP="009D7677">
      <w:pPr>
        <w:pStyle w:val="TextoNormal"/>
      </w:pPr>
    </w:p>
    <w:p w14:paraId="3AE4837F" w14:textId="77777777" w:rsidR="009D7677" w:rsidRDefault="009D7677" w:rsidP="009D7677">
      <w:pPr>
        <w:pStyle w:val="TextoNormal"/>
      </w:pPr>
      <w:r w:rsidRPr="009D7677">
        <w:rPr>
          <w:rStyle w:val="NumeroAFNegritaCaracter"/>
        </w:rPr>
        <w:lastRenderedPageBreak/>
        <w:t>5</w:t>
      </w:r>
      <w:r>
        <w:t>. El Pleno de este tribunal dictó una providencia el 28 de octubre del siguiente tenor:</w:t>
      </w:r>
    </w:p>
    <w:p w14:paraId="60F2B91E" w14:textId="77777777" w:rsidR="009D7677" w:rsidRDefault="009D7677" w:rsidP="009D7677">
      <w:pPr>
        <w:pStyle w:val="TextoNormal"/>
      </w:pPr>
    </w:p>
    <w:p w14:paraId="1FD898D6" w14:textId="77777777" w:rsidR="009D7677" w:rsidRDefault="009D7677" w:rsidP="009D7677">
      <w:pPr>
        <w:pStyle w:val="TextoNormal"/>
      </w:pPr>
      <w:r>
        <w:t>“El Pleno, en su reunión de esta fecha y conforme establece el artículo 10.1.n) de la Ley Orgánica del Tribunal, a propuesta de la Sala Segunda, acuerda recabar para sí el conocimiento del recurso de amparo que se tramita en dicha sala bajo el número 2017-2021, interpuesto por doña Clara Ponsatí i Obiols. Y ha acordado admitirlo a trámite, apreciando que concurre en el mismo una especial trascendencia constitucional (art. 50.1 LOTC) porque el recurso plantea un problema o afecta a una faceta de un derecho fundamental sobre el que no hay doctrina de este Tribunal [STC 155/2009, de 25 de junio, FJ 2 a)] y porque el asunto suscitado trasciende del caso concreto porque pudiera tener unas consecuencias políticas generales [STC 155/2009, FJ 2 g)].</w:t>
      </w:r>
    </w:p>
    <w:p w14:paraId="71CCB447" w14:textId="77777777" w:rsidR="009D7677" w:rsidRDefault="009D7677" w:rsidP="009D7677">
      <w:pPr>
        <w:pStyle w:val="TextoNormal"/>
      </w:pPr>
    </w:p>
    <w:p w14:paraId="537D4B11" w14:textId="5785650B" w:rsidR="009D7677" w:rsidRDefault="009D7677" w:rsidP="009D7677">
      <w:pPr>
        <w:pStyle w:val="TextoNormal"/>
      </w:pPr>
      <w:r>
        <w:t>Por ello, en aplicación de lo dispuesto en el artículo 51 de la Ley Orgánica de este tribunal, diríjase atenta comunicación a la Sala de lo Contencioso-Administrativo del Tribunal Supremo, a fin de que, en plazo que no exceda de diez días, remita certificación o fotocopia adverada de las actuaciones correspondientes al recurso ordinario núm. 51-2020, en el que se dictó la sentencia de 23 de noviembre de 2020 y el auto de 11 de febrero de 2021; debiendo previamente emplazar a quienes hubieran sido parte en el procedimiento, excepto la parte recurrente en amparo, para que en el plazo de diez días, puedan comparecer, si lo desean, en el recurso de amparo”.</w:t>
      </w:r>
    </w:p>
    <w:p w14:paraId="24EE8F89" w14:textId="77777777" w:rsidR="009D7677" w:rsidRDefault="009D7677" w:rsidP="009D7677">
      <w:pPr>
        <w:pStyle w:val="TextoNormal"/>
      </w:pPr>
    </w:p>
    <w:p w14:paraId="3932C5DD" w14:textId="2C35EA0F" w:rsidR="009D7677" w:rsidRDefault="009D7677" w:rsidP="009D7677">
      <w:pPr>
        <w:pStyle w:val="TextoNormal"/>
      </w:pPr>
      <w:r w:rsidRPr="009D7677">
        <w:rPr>
          <w:rStyle w:val="NumeroAFNegritaCaracter"/>
        </w:rPr>
        <w:t>6</w:t>
      </w:r>
      <w:r>
        <w:t>. Con fecha 19 de noviembre de 2021 tuvo entrada en el registro de este tribunal un escrito de la Presidencia de la Junta Electoral Central, donde se refleja que el 18 de noviembre de 2021 adoptó el acuerdo de personarse en el presente recurso de amparo 2017-2021 “bajo la representación del letrado de las Cortes Generales y de la Junta Electoral Central”.</w:t>
      </w:r>
    </w:p>
    <w:p w14:paraId="4424DCCD" w14:textId="77777777" w:rsidR="009D7677" w:rsidRDefault="009D7677" w:rsidP="009D7677">
      <w:pPr>
        <w:pStyle w:val="TextoNormal"/>
      </w:pPr>
    </w:p>
    <w:p w14:paraId="7C94A5FC" w14:textId="77777777" w:rsidR="009D7677" w:rsidRDefault="009D7677" w:rsidP="009D7677">
      <w:pPr>
        <w:pStyle w:val="TextoNormal"/>
      </w:pPr>
      <w:r w:rsidRPr="009D7677">
        <w:rPr>
          <w:rStyle w:val="NumeroAFNegritaCaracter"/>
        </w:rPr>
        <w:t>7</w:t>
      </w:r>
      <w:r>
        <w:t>. La Secretaría de Justicia del Pleno de este tribunal dictó diligencia de ordenación el 22 de noviembre de 2021 con el contenido siguiente: “En el asunto reseñado se tiene por recibido el testimonio de las actuaciones solicitadas de la Sección Cuarta de la Sala de lo Contencioso-Administrativo del Tribunal Supremo.</w:t>
      </w:r>
    </w:p>
    <w:p w14:paraId="2F5AD831" w14:textId="77777777" w:rsidR="009D7677" w:rsidRDefault="009D7677" w:rsidP="009D7677">
      <w:pPr>
        <w:pStyle w:val="TextoNormal"/>
      </w:pPr>
    </w:p>
    <w:p w14:paraId="548D784A" w14:textId="77777777" w:rsidR="009D7677" w:rsidRDefault="009D7677" w:rsidP="009D7677">
      <w:pPr>
        <w:pStyle w:val="TextoNormal"/>
      </w:pPr>
      <w:r>
        <w:t>Así mismo, se tiene por personado y parte en el procedimiento al letrado de las Cortes Generales y de la Junta Electoral Central, en nombre y representación de la Junta Electoral Central.</w:t>
      </w:r>
    </w:p>
    <w:p w14:paraId="5E79239E" w14:textId="77777777" w:rsidR="009D7677" w:rsidRDefault="009D7677" w:rsidP="009D7677">
      <w:pPr>
        <w:pStyle w:val="TextoNormal"/>
      </w:pPr>
    </w:p>
    <w:p w14:paraId="4C8859A6" w14:textId="7595A246" w:rsidR="009D7677" w:rsidRDefault="009D7677" w:rsidP="009D7677">
      <w:pPr>
        <w:pStyle w:val="TextoNormal"/>
      </w:pPr>
      <w:r>
        <w:t>A tenor de lo dispuesto en el art. 52 de la Ley Orgánica de este tribunal, se acuerda dar vista de todas las actuaciones del presente recurso de amparo, por un plazo común de veinte días, al Ministerio Fiscal y a las partes personadas, para que dentro de dicho término puedan presentar las alegaciones que a su derecho convenga”.</w:t>
      </w:r>
    </w:p>
    <w:p w14:paraId="1410448A" w14:textId="77777777" w:rsidR="009D7677" w:rsidRDefault="009D7677" w:rsidP="009D7677">
      <w:pPr>
        <w:pStyle w:val="TextoNormal"/>
      </w:pPr>
    </w:p>
    <w:p w14:paraId="5EE7BC9A" w14:textId="77777777" w:rsidR="009D7677" w:rsidRDefault="009D7677" w:rsidP="009D7677">
      <w:pPr>
        <w:pStyle w:val="TextoNormal"/>
      </w:pPr>
      <w:r w:rsidRPr="009D7677">
        <w:rPr>
          <w:rStyle w:val="NumeroAFNegritaCaracter"/>
        </w:rPr>
        <w:t>8</w:t>
      </w:r>
      <w:r>
        <w:t>. Con fecha 22 de diciembre de 2021 el letrado de las Cortes Generales y de la Junta Electoral Central, actuando en representación de esta última, presentó su escrito de alegaciones por el que interesó a este tribunal que procediera a desestimar el recurso de amparo.</w:t>
      </w:r>
    </w:p>
    <w:p w14:paraId="2A21C5D3" w14:textId="77777777" w:rsidR="009D7677" w:rsidRDefault="009D7677" w:rsidP="009D7677">
      <w:pPr>
        <w:pStyle w:val="TextoNormal"/>
      </w:pPr>
    </w:p>
    <w:p w14:paraId="33CECE91" w14:textId="77777777" w:rsidR="009D7677" w:rsidRDefault="009D7677" w:rsidP="009D7677">
      <w:pPr>
        <w:pStyle w:val="TextoNormal"/>
      </w:pPr>
      <w:r>
        <w:t>a) Fundamenta su pretensión formulando ante todo unas consideraciones previas, explicando (i) de un lado, que “[l]a demandante tenía la condición de persona huida de la justi</w:t>
      </w:r>
      <w:r>
        <w:lastRenderedPageBreak/>
        <w:t>cia española por haber sido dictada contra ella por la Sala Segunda del Tribunal Supremo una orden europea de detención y entrega a las autoridades judiciales españolas”; en concreto cuando la Junta Electoral Central adoptó el acuerdo de proclamación de electos al Parlamento Europeo el 23 de enero de 2020 la recurrente había salido de España al haber sido “sido procesada por la Sala Segunda del Tribunal Supremo en el marco del proceso secesionista catalán de octubre de 2017 y contra ella se había dictado un mandato europeo de detención y entrega a las autoridades judiciales españolas […] hechos que son públicos y notorios, a pesar de que no se haga referencia alguna a ello en la demanda de amparo”. Por esta razón, continúa diciendo el letrado de la Junta Electoral Central, la recurrente no atendió al requerimiento para que acudiese a su sede a prestar juramento o promesa de acatamiento a la Constitución conforme al art. 224.2 LOREG, por lo que la junta no pudo expedir la credencial que solicitaba y tuvo que declarar la vacante temporal de su escaño hasta que se cumpliera con dicho trámite, y no como “sanción”. De este modo, dice el letrado, lo que reclama la recurrente “no era el respeto al principio de igualdad en el acceso a los cargos públicos, como sostiene en diferentes lugares de la demanda, sino un trato discriminatorio y diferente del que tuvieron el resto de los candidatos. que cumplieron el requisito legal establecido en el art. 224.2 de la LOREG”.</w:t>
      </w:r>
    </w:p>
    <w:p w14:paraId="22E520BE" w14:textId="77777777" w:rsidR="009D7677" w:rsidRDefault="009D7677" w:rsidP="009D7677">
      <w:pPr>
        <w:pStyle w:val="TextoNormal"/>
      </w:pPr>
    </w:p>
    <w:p w14:paraId="0DE87E38" w14:textId="77777777" w:rsidR="009D7677" w:rsidRDefault="009D7677" w:rsidP="009D7677">
      <w:pPr>
        <w:pStyle w:val="TextoNormal"/>
      </w:pPr>
      <w:r>
        <w:t>(ii) De otro lado, se aclara que a pesar de lo resuelto por la Junta Electoral Central, “la recurrente tomó posesión de su escaño como diputada del Parlamento Europeo, en la sesión plenaria celebrada el 10 de febrero de 2020, manteniendo hasta la actualidad esa condición”; hechos que son también “públicos y notorios” y que comporta una decisión del Parlamento Europeo que no fue recurrida ante el Tribunal de Justicia de la Unión Europea y por tanto ha devenido firme. Añade el letrado, que “la recurrente ejerce desde esa fecha su cargo de diputada al Parlamento Europeo, lo cual nos lleva a plantear las razones de este recurso de amparo”: si se trata de que se restablezca alguno de sus derechos fundamentales, “es obvio que la recurrente no puede ser restablecida en un derecho que no ha perdido”. La pretensión de que este Tribunal Constitucional declare que el art. 224.2 LOREG es contrario a la interpretación dada por el Tribunal de Justicia en su sentencia de 19 de diciembre de 2019, excede del objeto de un recurso de amparo, pues lo que no se dice en la demanda es que dicho precepto resulte contrario a la Constitución, lo que sí hubiera podido eventualmente examinarse mediante una “autocuestión de inconstitucionalidad” del art. 55.2 LOTC. Y recuerda el escrito que la doctrina de este tribunal únicamente ejercita el control de la adecuación de la legislación española a los tratados comunitarios, si se vulnera algún precepto constitucional. “Por eso, a nuestro juicio, el Tribunal debe considerar si no se está pretendiendo que lleve a cabo una función distinta de la que corresponde en un proceso de amparo, al no existir en el presente caso una lesión real, efectiva y cierta (ATC 232/2004, de 7 de junio, FJ 4) en un derecho fundamental susceptible de dicho amparo”.</w:t>
      </w:r>
    </w:p>
    <w:p w14:paraId="254C58E9" w14:textId="77777777" w:rsidR="009D7677" w:rsidRDefault="009D7677" w:rsidP="009D7677">
      <w:pPr>
        <w:pStyle w:val="TextoNormal"/>
      </w:pPr>
    </w:p>
    <w:p w14:paraId="4E1D9E6E" w14:textId="77777777" w:rsidR="009D7677" w:rsidRDefault="009D7677" w:rsidP="009D7677">
      <w:pPr>
        <w:pStyle w:val="TextoNormal"/>
      </w:pPr>
      <w:r>
        <w:t xml:space="preserve">(iii) A continuación advierte que la demanda de amparo “se limita en la mayor parte de su contenido a reproducir la que planteó ante la Sala de lo Contencioso-Administrativo del Tribunal Supremo, al impugnar los acuerdos de la Junta Electoral Central objeto de este proceso”, y por tanto “no ha hecho el menor esfuerzo por convertir sus alegaciones en el recurso contencioso-administrativo previo a este proceso de amparo, que debe ceñirse a la vulneración de los derechos fundamentales que son susceptibles de esta protección constitucional”. Ese déficit de argumentación no queda cubierto, precisa, con la mera invocación del art. 23 CE y su carácter de derecho fundamental de configuración legal, obligando a </w:t>
      </w:r>
      <w:r>
        <w:lastRenderedPageBreak/>
        <w:t>las demás partes a “reconstruir ese conjunto de alegaciones” dentro del objeto de un recurso de amparo.</w:t>
      </w:r>
    </w:p>
    <w:p w14:paraId="644FD988" w14:textId="77777777" w:rsidR="009D7677" w:rsidRDefault="009D7677" w:rsidP="009D7677">
      <w:pPr>
        <w:pStyle w:val="TextoNormal"/>
      </w:pPr>
    </w:p>
    <w:p w14:paraId="1E5726F5" w14:textId="77777777" w:rsidR="009D7677" w:rsidRDefault="009D7677" w:rsidP="009D7677">
      <w:pPr>
        <w:pStyle w:val="TextoNormal"/>
      </w:pPr>
      <w:r>
        <w:t>(iv) Finalmente se indica como consideración previa que los “tratados internacionales, incluidos los comunitarios, constituyen un criterio hermenéutico particularmente valioso en materia de derechos fundamentales, en los términos reconocidos en el artículo 10.2 de la Constitución, pero no crean derechos fundamentales a efectos de recurso de amparo constitucional ni constituyen el canon de constitucionalidad que debe enjuiciar el máximo intérprete de la Constitución”. Cita en respaldo de esta aseveración las SSTC 84/2019, de 17 de junio, y 28/1991, de 14 de febrero, esta última sobre el Derecho comunitario europeo. En consecuencia, entiende el escrito de alegaciones que respecto de los acuerdos impugnados de la Junta Electoral Central debe entenderse que lo que hay que examinar es si vulneraron el derecho fundamental del art. 23 CE en relación con el art. 14 de la misma, “el derecho de participación política en condiciones de igualdad y sin discriminación”. También están las vulneraciones del art. 24 CE que la demanda achaca a las resoluciones de la Sala de lo Contencioso-Administrativo del Tribunal Supremo también recurridas.</w:t>
      </w:r>
    </w:p>
    <w:p w14:paraId="5A5CDDE6" w14:textId="77777777" w:rsidR="009D7677" w:rsidRDefault="009D7677" w:rsidP="009D7677">
      <w:pPr>
        <w:pStyle w:val="TextoNormal"/>
      </w:pPr>
    </w:p>
    <w:p w14:paraId="598DFDF7" w14:textId="77777777" w:rsidR="009D7677" w:rsidRDefault="009D7677" w:rsidP="009D7677">
      <w:pPr>
        <w:pStyle w:val="TextoNormal"/>
      </w:pPr>
      <w:r>
        <w:t>b) Por lo que respecta ya al fondo de la demanda de amparo, el letrado de la Junta Electoral Central defiende la inexistencia de vulneración de los arts. 23 y 14 CE por los actos de dicha junta que han sido recurridos. A su parecer, si bien es cierto que la STJUE de 19 de diciembre de 2019 modificó la jurisprudencia existente en cuanto a la aplicabilidad del Derecho nacional en esta materia, declarando que la adquisición de la condición de miembro del Parlamento Europeo se adquiere desde el momento de la proclamación como electo, dicha sentencia sin embargo “no descarta que el candidato electo deba cumplir ciertos requisitos previstos por el Derecho nacional, y por eso declara que goza de inmunidad desde la proclamación oficial de electa para poder cumplir estas formalidades”, inmunidad que también afecta “a cumplir ciertos requisitos previstos por el Derecho interno”. Esta es justamente la interpretación realizada por la Junta Electoral Central en su acuerdo 11/2020, mientras el Tribunal de Justicia de la Unión Europea no declare inaplicable el art. 224.2 LOREG; interpretación que el letrado considera conforme con el derecho a un proceso con todas las garantías (art. 24.2 CE), con cita de la STC 39/2019, de 26 de marzo. No obstante, a su entender es dudoso el alcance de la STJUE de 19 de diciembre de 2019, por lo que ante la Sala de lo Contencioso-Administrativo del Tribunal Supremo pidió el planteamiento de una cuestión prejudicial, como también el Ministerio Fiscal, que la sala denegó. Más adelante dice el escrito que no se han infringido los principios de equivalencia, igualdad de trato y efectividad, con cita de la STC 119/1990, de 21 de junio, y recuerda que este Tribunal Constitucional “tiene una consolidada doctrina acerca de la conformidad con la Constitución de la exigencia del requisito de acatamiento constitucional”, con cita de las SSTC 101/1983, de 18 de noviembre;122/1983, de 16 de diciembre; 119/1990, de 21 de junio, y 74/1991, de 8 de abril.</w:t>
      </w:r>
    </w:p>
    <w:p w14:paraId="4D5D9DAA" w14:textId="77777777" w:rsidR="009D7677" w:rsidRDefault="009D7677" w:rsidP="009D7677">
      <w:pPr>
        <w:pStyle w:val="TextoNormal"/>
      </w:pPr>
    </w:p>
    <w:p w14:paraId="4142765D" w14:textId="77777777" w:rsidR="009D7677" w:rsidRDefault="009D7677" w:rsidP="009D7677">
      <w:pPr>
        <w:pStyle w:val="TextoNormal"/>
      </w:pPr>
      <w:r>
        <w:t>Niega asimismo el letrado de la Junta Electoral Central que se hubiere producido discriminación en el caso de la diputada señora Durá Ferrandis, no solo por ser distinta la circunstancia de partida, la sustitución del diputado anterior en la lista que renunciaba, la cual debía ser comunicada al Parlamento Europeo, sino que dicha diputada cumplió con el trámite de acatamiento a la Constitución. Por último, se discrepa del reproche de falta de imparcialidad dirigido por la recurrente a la Junta Electoral Central, refiriéndose aquella erróneamente a personas distintas y aludiendo a un vocal que no lo era cuando se adopta</w:t>
      </w:r>
      <w:r>
        <w:lastRenderedPageBreak/>
        <w:t>ron los actos impugnados. Sentado esto, el escrito resume de nuevo las alegaciones de este primer bloque (sobre los acuerdos de la Junta Electoral Central).</w:t>
      </w:r>
    </w:p>
    <w:p w14:paraId="43001975" w14:textId="77777777" w:rsidR="009D7677" w:rsidRDefault="009D7677" w:rsidP="009D7677">
      <w:pPr>
        <w:pStyle w:val="TextoNormal"/>
      </w:pPr>
    </w:p>
    <w:p w14:paraId="09201170" w14:textId="77777777" w:rsidR="009D7677" w:rsidRDefault="009D7677" w:rsidP="009D7677">
      <w:pPr>
        <w:pStyle w:val="TextoNormal"/>
      </w:pPr>
      <w:r>
        <w:t>c) El letrado aborda a continuación las vulneraciones del art. 24 CE que la demanda de amparo achaca de manera autónoma a las resoluciones de la Sala de lo Contencioso-Administrativo, Sección Cuarta, del Tribunal Supremo, diciendo que “carece de toda consistencia” el tildar a estas de irrazonables, cuando por el contrario “se refieren ampliamente al derecho de la Unión y la jurisprudencia comunitaria” aplicables.</w:t>
      </w:r>
    </w:p>
    <w:p w14:paraId="58873D7A" w14:textId="77777777" w:rsidR="009D7677" w:rsidRDefault="009D7677" w:rsidP="009D7677">
      <w:pPr>
        <w:pStyle w:val="TextoNormal"/>
      </w:pPr>
    </w:p>
    <w:p w14:paraId="7D0A8C30" w14:textId="77777777" w:rsidR="009D7677" w:rsidRDefault="009D7677" w:rsidP="009D7677">
      <w:pPr>
        <w:pStyle w:val="TextoNormal"/>
      </w:pPr>
      <w:r>
        <w:t>Tampoco aprecia cometida la alegada vulneración del derecho al juez competente del art. 47 de la Carta de derechos fundamentales de la Unión Europea y que se correspondería con el derecho al juez ordinario predeterminado por la ley (art. 24.2 CE), por no haber presentado el Tribunal Supremo una cuestión prejudicial ante el Tribunal de Justicia de la Unión Europea. Trae a colación el letrado la doctrina de este Tribunal Constitucional que descarta que exista vulneración del art. 24.2 CE por el solo hecho de que no se plantee aquella cuestión, siempre que la negativa sea fruto de una exégesis racional de la legalidad (con cita de la STC 37/2019, de 26 de marzo, y las anteriores que en estas se reseñan), como despliega la sentencia de 23 de noviembre de 2020 del Tribunal Supremo, aquí impugnada.</w:t>
      </w:r>
    </w:p>
    <w:p w14:paraId="58010561" w14:textId="77777777" w:rsidR="009D7677" w:rsidRDefault="009D7677" w:rsidP="009D7677">
      <w:pPr>
        <w:pStyle w:val="TextoNormal"/>
      </w:pPr>
    </w:p>
    <w:p w14:paraId="6DABC4EA" w14:textId="1D6BAC5B" w:rsidR="009D7677" w:rsidRDefault="009D7677" w:rsidP="009D7677">
      <w:pPr>
        <w:pStyle w:val="TextoNormal"/>
      </w:pPr>
      <w:r>
        <w:t>Otro tanto sucede, dice el letrado de la Junta Electoral Central, con la supuesta vulneración del derecho a una resolución judicial fundada en Derecho (art. 24.1 CE) y el derecho al juez imparcial, confundiendo la demanda de amparo “razonabilidad de la argumentación del órgano judicial y la coincidencia o no con esa misma argumentación”. Por todo ello concluye diciendo que “el amparo solicitado carece de toda fundamentación jurídica y debe ser desestimado”.</w:t>
      </w:r>
    </w:p>
    <w:p w14:paraId="4C523185" w14:textId="77777777" w:rsidR="009D7677" w:rsidRDefault="009D7677" w:rsidP="009D7677">
      <w:pPr>
        <w:pStyle w:val="TextoNormal"/>
      </w:pPr>
    </w:p>
    <w:p w14:paraId="47DD5BB9" w14:textId="77777777" w:rsidR="009D7677" w:rsidRDefault="009D7677" w:rsidP="009D7677">
      <w:pPr>
        <w:pStyle w:val="TextoNormal"/>
      </w:pPr>
      <w:r w:rsidRPr="009D7677">
        <w:rPr>
          <w:rStyle w:val="NumeroAFNegritaCaracter"/>
        </w:rPr>
        <w:t>9</w:t>
      </w:r>
      <w:r>
        <w:t>. El fiscal jefe ante este Tribunal Constitucional presentó su escrito de alegaciones el 18 de enero de 2022, por el que interesó que dictásemos sentencia que “desestime íntegramente el recurso de amparo interpuesto”.</w:t>
      </w:r>
    </w:p>
    <w:p w14:paraId="3EEF5D22" w14:textId="77777777" w:rsidR="009D7677" w:rsidRDefault="009D7677" w:rsidP="009D7677">
      <w:pPr>
        <w:pStyle w:val="TextoNormal"/>
      </w:pPr>
    </w:p>
    <w:p w14:paraId="7498BBB1" w14:textId="77777777" w:rsidR="009D7677" w:rsidRDefault="009D7677" w:rsidP="009D7677">
      <w:pPr>
        <w:pStyle w:val="TextoNormal"/>
      </w:pPr>
      <w:r>
        <w:t>a) A tal fin, y luego de resumir los antecedentes de las fases previas a la demanda de amparo y los trámites posteriores a su presentación ante este tribunal, en el escrito de alegaciones se afirma que no parece concurrir ningún obstáculo procesal para la admisibilidad del recurso (dice que se cumplen los requisitos de legitimación activa, interposición en plazo, agotamiento de la vía judicial previa y que respecto de las vulneraciones atribuidas a la Sala de lo Contencioso-Administrativo del Tribunal Supremo se promovió incidente de nulidad de actuaciones), pasando a formular algunas consideraciones sobre el objeto del recurso planteado:</w:t>
      </w:r>
    </w:p>
    <w:p w14:paraId="27F257DA" w14:textId="77777777" w:rsidR="009D7677" w:rsidRDefault="009D7677" w:rsidP="009D7677">
      <w:pPr>
        <w:pStyle w:val="TextoNormal"/>
      </w:pPr>
    </w:p>
    <w:p w14:paraId="09957CDE" w14:textId="77777777" w:rsidR="009D7677" w:rsidRDefault="009D7677" w:rsidP="009D7677">
      <w:pPr>
        <w:pStyle w:val="TextoNormal"/>
      </w:pPr>
      <w:r>
        <w:t>(i) Dice el fiscal jefe que se trata de un amparo mixto, con resumen de los actos impugnados y las vulneraciones alegadas, de modo que la aplicación de la doctrina de este tribunal sobre el orden metodológico en el examen de las quejas de este tipo de recursos (con cita de la STC 56/2019, de 6 de mayo) implica empezar por aquellas que conlleven la más amplia tutela y una mayor retroacción de actuaciones, esto es, las vulneraciones de derechos sustantivos y solo en el caso de que no se apreciare ninguna, pasaría al examen de las infracciones del art. 24 CE por el Tribunal Supremo.</w:t>
      </w:r>
    </w:p>
    <w:p w14:paraId="3487B0E9" w14:textId="77777777" w:rsidR="009D7677" w:rsidRDefault="009D7677" w:rsidP="009D7677">
      <w:pPr>
        <w:pStyle w:val="TextoNormal"/>
      </w:pPr>
    </w:p>
    <w:p w14:paraId="386E0F5A" w14:textId="77777777" w:rsidR="009D7677" w:rsidRDefault="009D7677" w:rsidP="009D7677">
      <w:pPr>
        <w:pStyle w:val="TextoNormal"/>
      </w:pPr>
      <w:r>
        <w:lastRenderedPageBreak/>
        <w:t>(ii) En todo caso, advierte que las quejas sobre lesión del derecho a la libertad personal (art. 17 CE) y a la libertad deambulatoria (art. 19 CE) “carece absolutamente de justificación argumental en el escrito de demanda, y no será objeto” por ello de su examen. A su vez, la invocación de los derechos a la libertad de expresión en sede parlamentaria y a la libertad ideológica, las tratará a propósito del examen de la lesión del art. 23 CE.</w:t>
      </w:r>
    </w:p>
    <w:p w14:paraId="19196ACE" w14:textId="77777777" w:rsidR="009D7677" w:rsidRDefault="009D7677" w:rsidP="009D7677">
      <w:pPr>
        <w:pStyle w:val="TextoNormal"/>
      </w:pPr>
    </w:p>
    <w:p w14:paraId="25719939" w14:textId="77777777" w:rsidR="009D7677" w:rsidRDefault="009D7677" w:rsidP="009D7677">
      <w:pPr>
        <w:pStyle w:val="TextoNormal"/>
      </w:pPr>
      <w:r>
        <w:t>(iii) En tercer lugar, en cuanto al énfasis que le imprime la demanda a la invocación de diversas normas del Derecho de la Unión Europea y a poner de manifiesto “el sometimiento del presente litigio al Derecho de la Unión” para cuestionar la actuación de la Junta Electoral Central, confirmada por el Tribunal Supremo y que no se aplicase el trámite de acatamiento a la Constitución del art. 224.2 LOREG con arreglo al principio de primacía del Derecho de la Unión y la STJUE de 19 de diciembre de 2019 en el asunto C-502/19, así como de otras normas del mismo Derecho, entiende el fiscal jefe que la demanda está haciendo presupuesto de la cuestión debatida, tal y como ya defendió la recurrente ante el Tribunal Supremo, el cual rechazó plantear una cuestión prejudicial ante el Tribunal de Justicia de la Unión. Siendo así, añade el escrito, no tiene que aceptarse como única alternativa posible la que propone la recurrente, y en todo caso no se describe una “situación jurídica reveladora de una infracción constitucional”.</w:t>
      </w:r>
    </w:p>
    <w:p w14:paraId="0961077C" w14:textId="77777777" w:rsidR="009D7677" w:rsidRDefault="009D7677" w:rsidP="009D7677">
      <w:pPr>
        <w:pStyle w:val="TextoNormal"/>
      </w:pPr>
    </w:p>
    <w:p w14:paraId="29B83359" w14:textId="77777777" w:rsidR="009D7677" w:rsidRDefault="009D7677" w:rsidP="009D7677">
      <w:pPr>
        <w:pStyle w:val="TextoNormal"/>
      </w:pPr>
      <w:r>
        <w:t>Discrepa asimismo el Ministerio Público de los intentos de la demanda por pedir la aplicación del art. 52 de la Carta de derechos fundamentales de la Unión Europea, como si tuviera un nivel de protección de mayor intensidad que nuestra Constitución, con el resultado de inaplicar la norma interna (art. 224.2 LOREG) o declararla inconstitucional. Se pregunta el escrito de alegaciones qué se pretende con esta estrategia dialéctica de la demanda, siendo que la recurrente es una ciudadana española, lo que le permite recibir la protección de los derechos recogidos en el Derecho de la Unión Europea pero también los previstos en el Convenio europeo de Derechos Humanos, no solo por la vía de la Carta de derechos fundamentales de la Unión Europea sino como ciudadana española, la de un Estado miembro del Consejo de Europa y parte en el CEDH. De todo esto colige que la “inconsistencia o, si se prefiere, la confusa insuficiencia de la argumentación de la demanda en este punto clave aboca, como se ha anticipado, a una grave incertidumbre acerca de cuál es el fundamento jurídico-constitucional de la pretensión de amparo misma”; aparte de que “buena parte del escrito de amparo constituye una mera copia mecánica, con puntuales ajustes, del recurso contencioso-administrativo en su día deducido ante la Sala Tercera del Tribunal Supremo, y ni siquiera —o solo— por la propia demandante, sino por otros recurrentes defendidos por el mismo letrado (los señores Puigdemont y Comín)”, añadiendo igualmente confusión la petición para que este Tribunal Constitucional plantee la cuestión prejudicial ante el Tribunal de Justicia de la Unión Europea, sin abordar la demanda el debate sobre la doctrina sentada por la STC 26/2014, de 13 de febrero, y el planteamiento de tales cuestiones por este tribunal.</w:t>
      </w:r>
    </w:p>
    <w:p w14:paraId="20F87BF0" w14:textId="77777777" w:rsidR="009D7677" w:rsidRDefault="009D7677" w:rsidP="009D7677">
      <w:pPr>
        <w:pStyle w:val="TextoNormal"/>
      </w:pPr>
    </w:p>
    <w:p w14:paraId="6D68CD94" w14:textId="77777777" w:rsidR="009D7677" w:rsidRDefault="009D7677" w:rsidP="009D7677">
      <w:pPr>
        <w:pStyle w:val="TextoNormal"/>
      </w:pPr>
      <w:r>
        <w:t>Concluye estas primeras consideraciones sobre el objeto del recurso, afirmando que el debate “queda reducido a la posible lesión del derecho a la representación política que reconoce y tutela el art. 23 CE”, en su caso puesta en relación con la vulneración del derecho a la libertad de expresión en sede parlamentaria y a la libertad ideológica; y el derecho a la igualdad y la interdicción de la discriminación (art. 14 CE), aparte de las alegadas vulneraciones de derechos del art. 24 CE.</w:t>
      </w:r>
    </w:p>
    <w:p w14:paraId="65D3F1AC" w14:textId="77777777" w:rsidR="009D7677" w:rsidRDefault="009D7677" w:rsidP="009D7677">
      <w:pPr>
        <w:pStyle w:val="TextoNormal"/>
      </w:pPr>
    </w:p>
    <w:p w14:paraId="6DBEE9CC" w14:textId="77777777" w:rsidR="009D7677" w:rsidRDefault="009D7677" w:rsidP="009D7677">
      <w:pPr>
        <w:pStyle w:val="TextoNormal"/>
      </w:pPr>
      <w:r>
        <w:lastRenderedPageBreak/>
        <w:t>b) A continuación se refiere el fiscal jefe ante este tribunal a la inexistencia de lesión del derecho a la representación política del art. 23 CE. Niega que la demanda haya logrado fundamentar la integración del contenido esencial de este derecho fundamental con las normas del ordenamiento jurídico europeo que cita, y aunque eventualmente ello sería posible por el carácter de configuración legal de este derecho, lo cierto es que la STJUE de 19 de diciembre de 2020 no lo ha hecho así, porque la misma se ocupa del régimen de inmunidad de los diputados del Parlamento Europeo, no del régimen de acceso al ejercicio pleno de dicha condición o cargo, ni lo hace el auto posterior de la vicepresidenta del tribunal de justicia.</w:t>
      </w:r>
    </w:p>
    <w:p w14:paraId="615B39A8" w14:textId="77777777" w:rsidR="009D7677" w:rsidRDefault="009D7677" w:rsidP="009D7677">
      <w:pPr>
        <w:pStyle w:val="TextoNormal"/>
      </w:pPr>
    </w:p>
    <w:p w14:paraId="14A898AB" w14:textId="77777777" w:rsidR="009D7677" w:rsidRDefault="009D7677" w:rsidP="009D7677">
      <w:pPr>
        <w:pStyle w:val="TextoNormal"/>
      </w:pPr>
      <w:r>
        <w:t>Tampoco son relevantes las consideraciones de la demanda sobre el art. 108 LOREG. En todo caso, prosigue diciendo el fiscal jefe: “El esfuerzo argumentativo de la demanda a la hora de acreditar que la administración electoral española vulneró el Derecho de la Unión Europea, o infringió la propia Constitución española, o aplicó indebidamente la legislación electoral interna, queda vacío por completo de contenido y sentido ante la evidencia de que doña Clara Ponsatí Obiols, como se ha apuntado en los antecedentes del presente escrito de alegaciones, y ella misma reconoce de forma explícita en el propio recurso de amparo, una vez proclamada electa por la Junta Electoral Central, y en el plazo que la propia junta había señalado (con efectos de 1 de febrero de 2020) accedió a la condición y ejercicio pleno de su cargo de diputada del Parlamento Europeo, sin que —hay que insistir— conste ni se alegue en su demanda que dicho ejercicio se haya visto impedido o perturbado en modo alguno”. Ninguno de los acuerdos de la junta electoral que impugna, añade el escrito de alegaciones, “afectaron de forma alguna, fueran o no ajustadas a Derecho —al Derecho nacional o al europeo, o a ninguno de·los dos— al hecho incontrovertible de que la señora Ponsatí tomó posesión de su escaño en el Parlamento Europeo sin que nadie ni nada se lo impidiera, ni le haya impedido su posterior ejercicio en representación de sus votantes, cuyo derecho también esgrime vanamente a su favor”; ni consta que ningún órgano o autoridad del Estado español con legitimación para hacerlo haya impugnado la decisión de la Presidencia de la Cámara. “La patente inexistencia de lesión del derecho proclamado por el artículo 23 CE es objetivamente determinante, en suma, de la inadmisibilidad de este motivo de amparo, y por tanto ha de serlo de su desestimación”.</w:t>
      </w:r>
    </w:p>
    <w:p w14:paraId="42357007" w14:textId="77777777" w:rsidR="009D7677" w:rsidRDefault="009D7677" w:rsidP="009D7677">
      <w:pPr>
        <w:pStyle w:val="TextoNormal"/>
      </w:pPr>
    </w:p>
    <w:p w14:paraId="7AAB8F63" w14:textId="77777777" w:rsidR="009D7677" w:rsidRDefault="009D7677" w:rsidP="009D7677">
      <w:pPr>
        <w:pStyle w:val="TextoNormal"/>
      </w:pPr>
      <w:r>
        <w:t>c) Se sostiene después por el escrito de alegaciones que no se ha producido la vulneración del derecho a la igualdad y a la no discriminación (art. 14 CE), pues la recurrente accedió al cargo y lo ejerce igual que los demás diputados españoles al Parlamento Europeo pese a no haber cumplido con el trámite del art. 224.2 LOREG, sin que sea evidente que ello determine que el cumplimiento de este último produzca en sí una desigualdad contraria a las normas electorales propias de dicha Cámara. Descarta asimismo que merezca cuestionamiento el requisito del acatamiento a la Constitución por razones ideológicas del diputado de que se trate, con cita de la STC 74/1991, FJ 5, ni cabe tacharla de exigencia desproporcionada. Tampoco considera el fiscal jefe que haya habido discriminación de trato mediante la comparación de la situación de la recurrente con la de la diputada señora Estrella Durá Ferrandis, resultando correctos los razonamientos de la sentencia del Tribunal Supremo para su desestimación.</w:t>
      </w:r>
    </w:p>
    <w:p w14:paraId="3D4EE9FE" w14:textId="77777777" w:rsidR="009D7677" w:rsidRDefault="009D7677" w:rsidP="009D7677">
      <w:pPr>
        <w:pStyle w:val="TextoNormal"/>
      </w:pPr>
    </w:p>
    <w:p w14:paraId="7F861314" w14:textId="77777777" w:rsidR="009D7677" w:rsidRDefault="009D7677" w:rsidP="009D7677">
      <w:pPr>
        <w:pStyle w:val="TextoNormal"/>
      </w:pPr>
      <w:r>
        <w:t xml:space="preserve">d) Por lo que respecta a las vulneraciones de los derechos fundamentales del art. 24 CE que la demanda reprocha a la sentencia del Tribunal Supremo y posterior auto rechazando el incidente de nulidad contra ella, tras la lectura en concreto de la sentencia resulta en </w:t>
      </w:r>
      <w:r>
        <w:lastRenderedPageBreak/>
        <w:t>primer lugar que “[n]o hay en esa exposición rastro de irracionalidad alguna, sino una respuesta racional, razonable y fundada. No es de apreciar, por tanto, en este punto, conforme a la doctrina constitucional que invoca el propio escrito de recurso, ninguna vulneración del derecho a la tutela judicial efectiva”. Tampoco se ha conculcado este derecho porque la Sala de lo Contencioso-Administrativo del Tribunal Supremo no haya accedido a la solicitud de la recurrente de plantear una cuestión prejudicial sobre el art. 224.2 LOREG ante el Tribunal de Justicia de la Unión Europea, al haber actuado la Sala dentro de las facultades que en este ámbito le reconoce a los tribunales de justicia la STC 37/2019, FJ 4: la negativa fue el fruto de una exégesis racional de la legalidad.</w:t>
      </w:r>
    </w:p>
    <w:p w14:paraId="173450DE" w14:textId="77777777" w:rsidR="009D7677" w:rsidRDefault="009D7677" w:rsidP="009D7677">
      <w:pPr>
        <w:pStyle w:val="TextoNormal"/>
      </w:pPr>
    </w:p>
    <w:p w14:paraId="4E29CCB9" w14:textId="77777777" w:rsidR="009D7677" w:rsidRDefault="009D7677" w:rsidP="009D7677">
      <w:pPr>
        <w:pStyle w:val="TextoNormal"/>
      </w:pPr>
      <w:r>
        <w:t>Finaliza este bloque de vulneraciones procesales, descartando también el escrito de alegaciones la queja de la demanda de que la Sala de lo Contencioso-Administrativo del Tribunal Supremo que dictó la sentencia no fue imparcial, antes al contrario, dio respuesta “nítidamente clara y perfectamente razonable” a las dudas expuestas al respecto por la recurrente</w:t>
      </w:r>
    </w:p>
    <w:p w14:paraId="6D364F17" w14:textId="77777777" w:rsidR="009D7677" w:rsidRDefault="009D7677" w:rsidP="009D7677">
      <w:pPr>
        <w:pStyle w:val="TextoNormal"/>
      </w:pPr>
    </w:p>
    <w:p w14:paraId="00634E8C" w14:textId="1DE3BEB7" w:rsidR="009D7677" w:rsidRDefault="009D7677" w:rsidP="009D7677">
      <w:pPr>
        <w:pStyle w:val="TextoNormal"/>
      </w:pPr>
      <w:r>
        <w:t xml:space="preserve">e) Finalmente, se refiere el fiscal jefe ante este tribunal, fuera ya de las quejas de vulneraciones constitucionales y del Derecho de la Unión Europea, a la solicitud de la demanda para que planteemos nosotros una cuestión prejudicial sobre la duda ya esgrimida por la recurrente, petición de la que aquel discrepa porque “esa consulta al tribunal europeo resultaría absolutamente irrelevante para el fallo, puesto que el propio relato fáctico de la demanda acredita la inexistencia manifiesta de lesión del derecho a la representación política (art. 23 CE) que alega la recurrente, al reconocer que de modo inmediato a su proclamación como electa en los comicios al Parlamento Europeo, dicha institución permitió su incorporación al pleno ejercicio de la función parlamentaria, resultando por tanto inaplicado </w:t>
      </w:r>
      <w:r w:rsidRPr="009D7677">
        <w:rPr>
          <w:i/>
        </w:rPr>
        <w:t>de facto</w:t>
      </w:r>
      <w:r>
        <w:t xml:space="preserve"> el art. 224.2 LOREG”.</w:t>
      </w:r>
    </w:p>
    <w:p w14:paraId="49F95F3D" w14:textId="77777777" w:rsidR="009D7677" w:rsidRDefault="009D7677" w:rsidP="009D7677">
      <w:pPr>
        <w:pStyle w:val="TextoNormal"/>
      </w:pPr>
    </w:p>
    <w:p w14:paraId="17CC2A04" w14:textId="77777777" w:rsidR="009D7677" w:rsidRDefault="009D7677" w:rsidP="009D7677">
      <w:pPr>
        <w:pStyle w:val="TextoNormal"/>
      </w:pPr>
      <w:r w:rsidRPr="009D7677">
        <w:rPr>
          <w:rStyle w:val="NumeroAFNegritaCaracter"/>
        </w:rPr>
        <w:t>10</w:t>
      </w:r>
      <w:r>
        <w:t>. De manera incidental se planteó en diversos recursos de amparo en los que se impugnaron resoluciones dictadas por la Sala de lo Penal del Tribunal Supremo dictadas en la causa especial 20907-2017, entre ellos en el presente recurso de amparo avocado por el Pleno 2017-2021, sendos escritos por los que se recusó a los magistrados de este tribunal don Enrique Arnaldo Alcubilla y doña Concepción Espejel Jorquera, el primero por considerarle incurso en las causas de recusación previstas en el art. 219, 9, 10, 13 y 14 de la Ley Orgánica del Poder Judicial (LOPJ), y la segunda por incurrir supuestamente en las causas del art. 219, 10, 13 y 16 LOPJ, todo ello con base en los hechos que tuvieron por conveniente aducir.</w:t>
      </w:r>
    </w:p>
    <w:p w14:paraId="2A343FC5" w14:textId="77777777" w:rsidR="009D7677" w:rsidRDefault="009D7677" w:rsidP="009D7677">
      <w:pPr>
        <w:pStyle w:val="TextoNormal"/>
      </w:pPr>
    </w:p>
    <w:p w14:paraId="446AE8AB" w14:textId="24F63767" w:rsidR="009D7677" w:rsidRDefault="009D7677" w:rsidP="009D7677">
      <w:pPr>
        <w:pStyle w:val="TextoNormal"/>
      </w:pPr>
      <w:r>
        <w:t>Las recusaciones fueron inadmitidas a trámite, también la del presente recurso de amparo avocado 2017-2021, por ATC 107/2021, de 15 de diciembre, del Pleno de este tribunal. Interpuestos recursos de aclaración y de súplica contra esta resolución, la misma resultó confirmada por el ATC 17/2022, de 25 de enero, desestimando los recursos interpuestos.</w:t>
      </w:r>
    </w:p>
    <w:p w14:paraId="7881D34A" w14:textId="77777777" w:rsidR="009D7677" w:rsidRDefault="009D7677" w:rsidP="009D7677">
      <w:pPr>
        <w:pStyle w:val="TextoNormal"/>
      </w:pPr>
    </w:p>
    <w:p w14:paraId="2AC3F129" w14:textId="77777777" w:rsidR="009D7677" w:rsidRDefault="009D7677" w:rsidP="009D7677">
      <w:pPr>
        <w:pStyle w:val="TextoNormal"/>
      </w:pPr>
      <w:r w:rsidRPr="009D7677">
        <w:rPr>
          <w:rStyle w:val="NumeroAFNegritaCaracter"/>
        </w:rPr>
        <w:t>11</w:t>
      </w:r>
      <w:r>
        <w:t>. Con fecha 31 de enero de 2022, se extendió diligencia de la Secretaría de Justicia del Pleno de este tribunal para hacer constar que dentro del plazo conferido para el trámite del art. 52 LOTC, presentaron alegaciones el letrado de las Cortes Generales y de la Junta Electoral Central, y el Ministerio Fiscal, “quedando el presente recurso de amparo pendiente para deliberación cuando por turno corresponda”.</w:t>
      </w:r>
    </w:p>
    <w:p w14:paraId="4C0499F0" w14:textId="77777777" w:rsidR="009D7677" w:rsidRDefault="009D7677" w:rsidP="009D7677">
      <w:pPr>
        <w:pStyle w:val="TextoNormal"/>
      </w:pPr>
    </w:p>
    <w:p w14:paraId="67833FAC" w14:textId="32799487" w:rsidR="009D7677" w:rsidRDefault="009D7677" w:rsidP="009D7677">
      <w:pPr>
        <w:pStyle w:val="TextoNormal"/>
      </w:pPr>
      <w:r>
        <w:t>Con posterioridad, el 15 de noviembre de 2022 el representante procesal de la demandante de amparo presentó un escrito a fin de aportar a las actuaciones una carta de la presidenta del Parlamento Europeo, dirigida a la Junta Electoral Central el 22 de septiembre de 2022, con repercusión a su parecer en los hechos objeto de este recurso de amparo. La Secretaría de Justicia del Pleno de este tribunal dictó diligencia de ordenación el 16 de noviembre de 2022, acordando unir a las actuaciones el escrito presentado, “del que se pasa a dar cuenta, a los efectos que corresponda”.</w:t>
      </w:r>
    </w:p>
    <w:p w14:paraId="2E9F2AE1" w14:textId="77777777" w:rsidR="009D7677" w:rsidRDefault="009D7677" w:rsidP="009D7677">
      <w:pPr>
        <w:pStyle w:val="TextoNormal"/>
      </w:pPr>
    </w:p>
    <w:p w14:paraId="551542E3" w14:textId="2BB3F022" w:rsidR="009D7677" w:rsidRDefault="009D7677" w:rsidP="009D7677">
      <w:pPr>
        <w:pStyle w:val="TextoNormal"/>
      </w:pPr>
      <w:r w:rsidRPr="009D7677">
        <w:rPr>
          <w:rStyle w:val="NumeroAFNegritaCaracter"/>
        </w:rPr>
        <w:t>12</w:t>
      </w:r>
      <w:r>
        <w:t>. Mediante providencia de 9 de abril de 2024, se señaló para deliberación y votación de la presente sentencia el día 10 del mismo mes y año.</w:t>
      </w:r>
    </w:p>
    <w:p w14:paraId="50648159" w14:textId="77777777" w:rsidR="009D7677" w:rsidRDefault="009D7677" w:rsidP="009D7677">
      <w:pPr>
        <w:pStyle w:val="TextoNormal"/>
      </w:pPr>
    </w:p>
    <w:p w14:paraId="7C6F38FA" w14:textId="77777777" w:rsidR="009D7677" w:rsidRDefault="009D7677" w:rsidP="009D7677">
      <w:pPr>
        <w:pStyle w:val="TextoNormalNegritaCentrado"/>
        <w:keepNext/>
      </w:pPr>
      <w:r>
        <w:t>II. Fundamentos jurídicos</w:t>
      </w:r>
    </w:p>
    <w:p w14:paraId="66BACFB7" w14:textId="27BF9977" w:rsidR="009D7677" w:rsidRDefault="009D7677" w:rsidP="009D7677">
      <w:pPr>
        <w:pStyle w:val="TextoNormalNegritaCentrado"/>
        <w:keepNext/>
      </w:pPr>
    </w:p>
    <w:p w14:paraId="549BE5E1" w14:textId="77777777" w:rsidR="009D7677" w:rsidRDefault="009D7677" w:rsidP="009D7677">
      <w:pPr>
        <w:pStyle w:val="TextoNormal"/>
      </w:pPr>
      <w:r w:rsidRPr="009D7677">
        <w:rPr>
          <w:rStyle w:val="TextoNormalNegritaCaracter"/>
        </w:rPr>
        <w:t xml:space="preserve">Único. </w:t>
      </w:r>
      <w:r w:rsidRPr="009D7677">
        <w:rPr>
          <w:i/>
        </w:rPr>
        <w:t>Aplicación de la doctrina sentada en la STC 144/2022, de 15 de noviembre</w:t>
      </w:r>
    </w:p>
    <w:p w14:paraId="4A2A69F9" w14:textId="77777777" w:rsidR="009D7677" w:rsidRDefault="009D7677" w:rsidP="009D7677">
      <w:pPr>
        <w:pStyle w:val="TextoNormal"/>
      </w:pPr>
    </w:p>
    <w:p w14:paraId="4667703B" w14:textId="77777777" w:rsidR="009D7677" w:rsidRDefault="009D7677" w:rsidP="009D7677">
      <w:pPr>
        <w:pStyle w:val="TextoNormal"/>
      </w:pPr>
      <w:r>
        <w:t>a) Se interpone el presente recurso de amparo contra los acuerdos de la Junta Electoral Central que, tras la proclamación de la recurrente el 23 de enero de 2020 como diputada electa al Parlamento Europeo en las elecciones celebradas el 26 de mayo de 2019, en la que en principio no había obtenido escaño por la circunscripción de España pero sí se le adjudicó luego de la salida del Reino Unido de la Unión Europea (Brexit), adoptaron lo siguiente: (i) junto a otros cuatro candidatos de otras organizaciones políticas se le otorgó un plazo de diez días para que cumpliera con el requisito de acatamiento mediante juramento o promesa a la Constitución española, conforme al art. 224.2 LOREG (acuerdo 10/2020, de 28 de enero de 2020); (ii) denegó la solicitud de la recurrente para que se le expidiera la credencial de electa al Parlamento Europeo sin tener que cumplir con el requisito mencionado, convocándola de nuevo para el 30 de enero de 2020 para que pudiera llevarlo a cabo (acuerdo 11/2020, de 28 de enero de 2020); y (iii) al no cumplir con el trámite del art. 224.2 LOREG, dejó su escaño temporalmente vacante hasta que se produjera el acto de acatamiento referido (acuerdo 14/2020, de 30 de enero de 2020). Se interpone también este recurso contra la sentencia de 23 de noviembre de 2020 de la Sala de lo Contencioso-Administrativo, Sección Cuarta, del Tribunal Supremo, que desestimó el recurso contencioso-administrativo interpuesto contra aquellos acuerdos de la Junta Electoral Central, y contra el auto de la misma sala y sección del Alto Tribunal, de 11 de febrero de 2012, que desestimó el incidente de nulidad de actuaciones promovido contra dicha sentencia.</w:t>
      </w:r>
    </w:p>
    <w:p w14:paraId="5FACA606" w14:textId="77777777" w:rsidR="009D7677" w:rsidRDefault="009D7677" w:rsidP="009D7677">
      <w:pPr>
        <w:pStyle w:val="TextoNormal"/>
      </w:pPr>
    </w:p>
    <w:p w14:paraId="5EF7311B" w14:textId="77777777" w:rsidR="009D7677" w:rsidRDefault="009D7677" w:rsidP="009D7677">
      <w:pPr>
        <w:pStyle w:val="TextoNormal"/>
      </w:pPr>
      <w:r>
        <w:t>A todas estas resoluciones le reprocha la demanda (de manera original en el caso de los acuerdos de la Junta Electoral Central, y por no haber reparado esa falta las resoluciones posteriores del Tribunal Supremo), como queja principal la de haber vulnerado el derecho de la recurrente al acceso y ejercicio de cargo público representativo (art. 23.2 CE) en conexión con el derecho de los ciudadanos a participar en los asuntos públicos a través de sus representantes (art. 23.1 CE), al no haber obtenido su credencial de diputada del Parlamento Europeo merced a no haber cumplido con el trámite de acatamiento a la Constitución española del art. 224.2 LOREG. Invoca además como vulnerados, sin ningún recorrido argumental, los derechos a la libertad individual (art. 17 CE) y a la libertad ambulatoria (art. 19 CE), y como derivación de la queja principal la vulneración del derecho a la liber</w:t>
      </w:r>
      <w:r>
        <w:lastRenderedPageBreak/>
        <w:t>tad de expresión (art. 18 CE) e ideológica (art. 16 CE); amén de citar como infringidos diversos preceptos del Derecho primario y derivado de la Unión Europea. Tanto el letrado de las Cortes Generales y de la Junta Electoral Central, actuando en representación de esta última, como el fiscal jefe ante este Tribunal Constitucional, han formulado alegaciones interesando la desestimación del recurso interpuesto.</w:t>
      </w:r>
    </w:p>
    <w:p w14:paraId="11A8CF0C" w14:textId="77777777" w:rsidR="009D7677" w:rsidRDefault="009D7677" w:rsidP="009D7677">
      <w:pPr>
        <w:pStyle w:val="TextoNormal"/>
      </w:pPr>
    </w:p>
    <w:p w14:paraId="05C9A643" w14:textId="77777777" w:rsidR="009D7677" w:rsidRDefault="009D7677" w:rsidP="009D7677">
      <w:pPr>
        <w:pStyle w:val="TextoNormal"/>
      </w:pPr>
      <w:r>
        <w:t>b) La problemática jurídico-constitucional que se somete ahora a nuestra consideración presenta una similitud sustancial con la enjuiciada en sentencias recaídas en otros recursos de amparo, a propósito también de la denegación de la expedición de credenciales de candidatos electos a las elecciones al Parlamento Europeo celebradas el 26 de mayo de 2019 por la Junta Electoral Central, justamente por no haber cumplido —por distintas circunstancias personales— con el trámite de acatamiento a nuestra Constitución previsto en el citado art. 224.2 LOREG. En la primera de ellas, la STC 144/2022, fijamos doctrina en la que constatamos que el reconocimiento posterior por parte del Parlamento Europeo de la condición de diputado de la Cámara de ese candidato electo, con pleno reconocimiento de sus derechos y con efectos retroactivos a la primera sesión de aquella Cámara (2 de julio de 2019), fecha anterior a la interposición de su demanda de amparo, evidenciaba una satisfacción extraprocesal de las pretensiones deducidas en esta, por lo que declaramos allí —además de la inadmisión de algunas quejas que adolecían de óbices procesales— la desestimación de la demanda en cuanto a la queja principal (lesión de los derechos del art. 23 CE), como consecuencia de la satisfacción extraprocesal de las pretensiones planteadas.</w:t>
      </w:r>
    </w:p>
    <w:p w14:paraId="1707E67B" w14:textId="77777777" w:rsidR="009D7677" w:rsidRDefault="009D7677" w:rsidP="009D7677">
      <w:pPr>
        <w:pStyle w:val="TextoNormal"/>
      </w:pPr>
    </w:p>
    <w:p w14:paraId="19A6589A" w14:textId="77777777" w:rsidR="009D7677" w:rsidRDefault="009D7677" w:rsidP="009D7677">
      <w:pPr>
        <w:pStyle w:val="TextoNormal"/>
      </w:pPr>
      <w:r>
        <w:t>Esta misma doctrina ha sido ya aplicada en las SSTC 148/2022, de 29 de noviembre; 31/2024, de 28 de febrero, y 45/2024, de 12 de marzo.</w:t>
      </w:r>
    </w:p>
    <w:p w14:paraId="63728A4C" w14:textId="77777777" w:rsidR="009D7677" w:rsidRDefault="009D7677" w:rsidP="009D7677">
      <w:pPr>
        <w:pStyle w:val="TextoNormal"/>
      </w:pPr>
    </w:p>
    <w:p w14:paraId="359F0490" w14:textId="77777777" w:rsidR="009D7677" w:rsidRDefault="009D7677" w:rsidP="009D7677">
      <w:pPr>
        <w:pStyle w:val="TextoNormal"/>
      </w:pPr>
      <w:r>
        <w:t xml:space="preserve">En el presente caso, la única diferencia de situaciones con las resueltas en dichas sentencias estriba en el dato de que la recurrente como se ha dicho no fue proclamada electa en junio de 2019, sino solamente con ocasión de haberse producido la salida del Reino Unido de la Unión Europea y quedar gracias a ello disponibles otros cinco escaños para España, el último de los cuales le correspondió a la recurrente. Coincide sin embargo con aquellas en lo sustancial, a saber: (i) la denegación por la Junta Electoral Central de la credencial de diputada al Parlamento Europeo por no haber cumplido el trámite del art. 224.2 LOREG, en su caso (como en el tratado en las SSTC 144/2022 y 148/2022) por haber abandonado voluntariamente el territorio nacional para no estar a disposición de la Sala de lo Penal del Tribunal Supremo en la causa especial 20907-2017, donde ha resultado procesada —como recuerda el letrado de la Junta Electoral Central en su escrito de alegaciones—; (ii) el haberle sido reconocida no obstante su condición de miembro de dicha Cámara por notificación oficial de la Dirección General de la Presidencia de esta última; (iii) pautándose su toma de posesión en la sesión parlamentaria del 10 de febrero de 2020, y con efectos retroactivos al 1 de febrero de 2020, ya antes no solo de que interpusiera la demanda de amparo ante este tribunal, sino de hecho a que interpusiera recurso ante la Sala de lo Contencioso-Administrativo del Tribunal Supremo (el 12 de febrero de 2020) contra los acuerdos de la Junta Electoral Central, siendo por tanto conocido por la recurrente para entonces que su derecho de ejercicio de cargo público representativo le había sido reparado. Pero es más: la indicada notificación oficial de la Dirección General de la Presidencia del Parlamento Europeo no se dirige únicamente a ella sino también a los otros cuatro diputados electos por el mismo evento (salida del Reino Unido de la Unión Europea, como consecuencia del Brexit), los cuales sí habían cumplido oportunamente </w:t>
      </w:r>
      <w:r>
        <w:lastRenderedPageBreak/>
        <w:t>con el requisito del art. 224.2 LOREG, por lo que ni siquiera puede hablarse de un retraso o agravio comparativo en el reconocimiento de su condición de diputada electa, respecto de ellos.</w:t>
      </w:r>
    </w:p>
    <w:p w14:paraId="0D5DD35D" w14:textId="77777777" w:rsidR="009D7677" w:rsidRDefault="009D7677" w:rsidP="009D7677">
      <w:pPr>
        <w:pStyle w:val="TextoNormal"/>
      </w:pPr>
    </w:p>
    <w:p w14:paraId="29E3AD43" w14:textId="77777777" w:rsidR="009D7677" w:rsidRDefault="009D7677" w:rsidP="009D7677">
      <w:pPr>
        <w:pStyle w:val="TextoNormal"/>
      </w:pPr>
      <w:r>
        <w:t>c) Procede, en consecuencia, aplicar al presente recurso la doctrina fijada en la STC 144/2022, de 15 de noviembre que en el FJ 3 declaraba:</w:t>
      </w:r>
    </w:p>
    <w:p w14:paraId="607FBB85" w14:textId="77777777" w:rsidR="009D7677" w:rsidRDefault="009D7677" w:rsidP="009D7677">
      <w:pPr>
        <w:pStyle w:val="TextoNormal"/>
      </w:pPr>
    </w:p>
    <w:p w14:paraId="0F9B9B13" w14:textId="77777777" w:rsidR="009D7677" w:rsidRDefault="009D7677" w:rsidP="009D7677">
      <w:pPr>
        <w:pStyle w:val="TextoNormal"/>
      </w:pPr>
      <w:r>
        <w:t>“La satisfacción extraprocesal de las pretensiones formuladas en amparo y la desaparición sobrevenida del objeto del proceso, aun cuando no contempladas expresamente en el artículo 86.1 LOTC (pero sí en el art. 22 de la Ley de enjuiciamiento civil), han sido admitidas por este tribunal como una de las formas de terminación de los distintos procesos constitucionales [entre otras, SSTC 42/1982, de 4 de julio; 151/1990, de 4 de octubre, FJ 4; 139/1992, de 13 de octubre, FJ 2; 57/1993, de 15 de febrero, FJ único; 69/1997, de 8 de abril, FJ 4; 257/2000, de 30 de octubre, FJ 1; 10/2001, de 29 de enero, FJ 2; 73/2018, de 5 de julio, FJ 2; 52/2021, de 15 de marzo, FJ 2 b), y 120/2021, de 31 de mayo, FJ 2]. Así lo hemos apreciado en numerosos procesos como el presente pues, el recurso de amparo es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En tal medida, con carácter general, hemos rechazado las pretensiones puramente declarativas desvinculadas de una lesión actual, real y efectiva del derecho invocado (STC 131/1998, de 16 de junio, FJ 2). Por ello, cuando la pretensión ejercitada dirigida al restablecimiento o la preservación de aquellos derechos se ha visto satisfecha fuera del propio proceso de amparo y la lesión constitucional denunciada no pervive, debe concluirse que este carece desde ese momento de objeto sobre el que deba pronunciarse este tribunal (SSTC 73/2018, de 5 de julio, FJ 2; 52/2019, de 11 de abril, FJ 3, y 161/2020, de 16 de noviembre, FJ único).</w:t>
      </w:r>
    </w:p>
    <w:p w14:paraId="06F6C079" w14:textId="77777777" w:rsidR="009D7677" w:rsidRDefault="009D7677" w:rsidP="009D7677">
      <w:pPr>
        <w:pStyle w:val="TextoNormal"/>
      </w:pPr>
    </w:p>
    <w:p w14:paraId="01115DFB" w14:textId="77777777" w:rsidR="009D7677" w:rsidRDefault="009D7677" w:rsidP="009D7677">
      <w:pPr>
        <w:pStyle w:val="TextoNormal"/>
      </w:pPr>
      <w:r>
        <w:t>Dicha circunstancia, ajena a la actuación de este tribunal, puede haberse producido ya en el momento de formulación de la demanda de amparo (SSTC 57/1993, de 15 de febrero, FJ único; 61/2001, de 26 febrero, FJ 2; 11/2020, de 28 de enero, FJ 1; 171/2021, de 7 de octubre, FJ 3, y 80/2021, de 19 de abril, FJ 6) —como ocurre en este caso—, o bien con posterioridad a su iniciación, durante el desarrollo del proceso constitucional de protección de derechos fundamentales.</w:t>
      </w:r>
    </w:p>
    <w:p w14:paraId="7E256ABF" w14:textId="77777777" w:rsidR="009D7677" w:rsidRDefault="009D7677" w:rsidP="009D7677">
      <w:pPr>
        <w:pStyle w:val="TextoNormal"/>
      </w:pPr>
    </w:p>
    <w:p w14:paraId="5F1BBAF5" w14:textId="77777777" w:rsidR="009D7677" w:rsidRDefault="009D7677" w:rsidP="009D7677">
      <w:pPr>
        <w:pStyle w:val="TextoNormal"/>
      </w:pPr>
      <w:r>
        <w:t xml:space="preserve">La aplicación de los criterios expuestos a la pretensión principal planteada en el recurso permite constatar que, […] los demandantes obtuvieron la satisfacción extraprocesal de su pretensión principal y, con ella, el cese de la limitación que denuncian de sus derechos, esto es, el acceso a la condición de diputado europeo con reconocimiento y posibilidad de pleno ejercicio de la función parlamentaria para la que habían sido proclamados diputados electos como consecuencia de las elecciones europeas celebradas el 26 mayo de 2019. Lo que significa la reparación </w:t>
      </w:r>
      <w:r w:rsidRPr="009D7677">
        <w:rPr>
          <w:i/>
        </w:rPr>
        <w:t>de facto</w:t>
      </w:r>
      <w:r>
        <w:t xml:space="preserve"> de los derechos fundamentales que, de forma nuclear, constituyen el contenido de la pretensión de amparo.</w:t>
      </w:r>
    </w:p>
    <w:p w14:paraId="4326E452" w14:textId="77777777" w:rsidR="009D7677" w:rsidRDefault="009D7677" w:rsidP="009D7677">
      <w:pPr>
        <w:pStyle w:val="TextoNormal"/>
      </w:pPr>
    </w:p>
    <w:p w14:paraId="3B38C2F2" w14:textId="77777777" w:rsidR="009D7677" w:rsidRDefault="009D7677" w:rsidP="009D7677">
      <w:pPr>
        <w:pStyle w:val="TextoNormal"/>
      </w:pPr>
      <w:r>
        <w:t>[…]</w:t>
      </w:r>
    </w:p>
    <w:p w14:paraId="683C99C3" w14:textId="77777777" w:rsidR="009D7677" w:rsidRDefault="009D7677" w:rsidP="009D7677">
      <w:pPr>
        <w:pStyle w:val="TextoNormal"/>
      </w:pPr>
    </w:p>
    <w:p w14:paraId="682D697B" w14:textId="77777777" w:rsidR="009D7677" w:rsidRDefault="009D7677" w:rsidP="009D7677">
      <w:pPr>
        <w:pStyle w:val="TextoNormal"/>
      </w:pPr>
      <w:r>
        <w:t xml:space="preserve">Esta circunstancia, anterior en el tiempo a la formulación de la demanda de amparo, permite apreciar ahora la extinción del objeto de la pretensión de amparo formulada por no </w:t>
      </w:r>
      <w:r>
        <w:lastRenderedPageBreak/>
        <w:t>subsistir ya entonces los efectos de las decisiones de la Junta Electoral Central cuestionadas. El fundamento de esta desestimación, al no venir apoyado en razones de fondo, hace innecesario el análisis de la pretensión de reenvío prejudicial planteada en la demanda, que deviene irrelevante para justificar este pronunciamiento.</w:t>
      </w:r>
    </w:p>
    <w:p w14:paraId="47FDA9F1" w14:textId="77777777" w:rsidR="009D7677" w:rsidRDefault="009D7677" w:rsidP="009D7677">
      <w:pPr>
        <w:pStyle w:val="TextoNormal"/>
      </w:pPr>
    </w:p>
    <w:p w14:paraId="52069A1F" w14:textId="77777777" w:rsidR="009D7677" w:rsidRDefault="009D7677" w:rsidP="009D7677">
      <w:pPr>
        <w:pStyle w:val="TextoNormal"/>
      </w:pPr>
      <w:r>
        <w:t>La misma suerte han de seguir el resto de las pretensiones de amparo planteadas de forma derivada o subsidiaria que están relacionadas y cuestionan la revisión judicial de las decisiones de la Junta Electoral Central, pues todas ellas reiteran o tienen que ver de forma decisiva con la primera pretensión, cuya desestimación hemos acordado. No cabe olvidar que, en este caso, la actuación jurisdiccional reclamada lo era únicamente en su doble condición de revisora de la actuación de la Junta Electoral Central y garante de los derechos fundamentales afectados por sus decisiones, por lo que la satisfacción extraprocesal de la pretensión principal se extiende en este caso a sus derivadas”.</w:t>
      </w:r>
    </w:p>
    <w:p w14:paraId="37E17034" w14:textId="77777777" w:rsidR="009D7677" w:rsidRDefault="009D7677" w:rsidP="009D7677">
      <w:pPr>
        <w:pStyle w:val="TextoNormal"/>
      </w:pPr>
    </w:p>
    <w:p w14:paraId="3E5E7090" w14:textId="5E9A3F73" w:rsidR="009D7677" w:rsidRDefault="009D7677" w:rsidP="009D7677">
      <w:pPr>
        <w:pStyle w:val="TextoNormal"/>
      </w:pPr>
      <w:r>
        <w:t>d) La aplicación de esta doctrina, puesta en relación con las circunstancias del presente caso ya descritas en este mismo fundamento jurídico único, determinan por tanto la desestimación de la demanda de amparo.</w:t>
      </w:r>
    </w:p>
    <w:p w14:paraId="15F6A9C1" w14:textId="77777777" w:rsidR="009D7677" w:rsidRDefault="009D7677" w:rsidP="009D7677">
      <w:pPr>
        <w:pStyle w:val="TextoNormal"/>
      </w:pPr>
    </w:p>
    <w:p w14:paraId="4BDF12A4" w14:textId="77777777" w:rsidR="009D7677" w:rsidRDefault="009D7677" w:rsidP="009D7677">
      <w:pPr>
        <w:pStyle w:val="TextoNormalCentrado"/>
        <w:keepNext/>
      </w:pPr>
      <w:r>
        <w:t>FALLO</w:t>
      </w:r>
    </w:p>
    <w:p w14:paraId="16DBCB93" w14:textId="091D80B3" w:rsidR="009D7677" w:rsidRDefault="009D7677" w:rsidP="009D7677">
      <w:pPr>
        <w:pStyle w:val="TextoNormalCentrado"/>
        <w:keepNext/>
      </w:pPr>
    </w:p>
    <w:p w14:paraId="276ECECB" w14:textId="5A0A13DD" w:rsidR="009D7677" w:rsidRDefault="009D7677" w:rsidP="009D7677">
      <w:pPr>
        <w:pStyle w:val="TextoNormal"/>
      </w:pPr>
      <w:r>
        <w:t>En atención a todo lo expuesto, el Tribunal Constitucional, por la autoridad que le confiere la Constitución de la Nación española, ha decidido desestimar la demanda de amparo interpuesta por doña Clara Ponsatí i Obiols, como consecuencia de la satisfacción extraprocesal de las pretensiones planteadas, lo que supone su pérdida de objeto.</w:t>
      </w:r>
    </w:p>
    <w:p w14:paraId="1F6D1ECE" w14:textId="77777777" w:rsidR="009D7677" w:rsidRDefault="009D7677" w:rsidP="009D7677">
      <w:pPr>
        <w:pStyle w:val="TextoNormal"/>
      </w:pPr>
    </w:p>
    <w:p w14:paraId="27C3B666" w14:textId="77777777" w:rsidR="009D7677" w:rsidRDefault="009D7677" w:rsidP="009D7677">
      <w:pPr>
        <w:pStyle w:val="TextoNormal"/>
      </w:pPr>
      <w:r>
        <w:t>Publíquese esta sentencia en el “Boletín Oficial del Estado”.</w:t>
      </w:r>
    </w:p>
    <w:p w14:paraId="20814E1E" w14:textId="77777777" w:rsidR="009D7677" w:rsidRDefault="009D7677" w:rsidP="009D7677">
      <w:pPr>
        <w:pStyle w:val="TextoNormal"/>
      </w:pPr>
      <w:r>
        <w:t>Dada en Madrid, a diez de abril de dos mil veinticuatro.</w:t>
      </w:r>
    </w:p>
    <w:p w14:paraId="2DCE266F" w14:textId="58A53B8D" w:rsidR="009D7677" w:rsidRDefault="009D7677">
      <w:pPr>
        <w:spacing w:after="160" w:line="259" w:lineRule="auto"/>
        <w:rPr>
          <w:rFonts w:ascii="Times New Roman" w:eastAsia="Times New Roman" w:hAnsi="Times New Roman" w:cs="Times New Roman"/>
          <w:sz w:val="24"/>
          <w:szCs w:val="24"/>
          <w:lang w:eastAsia="es-ES"/>
        </w:rPr>
      </w:pPr>
      <w:r>
        <w:br w:type="page"/>
      </w:r>
    </w:p>
    <w:p w14:paraId="48D566E1" w14:textId="77777777" w:rsidR="009D7677" w:rsidRDefault="009D7677" w:rsidP="009D7677">
      <w:pPr>
        <w:pStyle w:val="TtuloResolucin"/>
      </w:pPr>
      <w:bookmarkStart w:id="67" w:name="SENTENCIA_2024_65"/>
      <w:r>
        <w:lastRenderedPageBreak/>
        <w:t>SENTENCIA 65/2024, de 11 de abril de 2024</w:t>
      </w:r>
    </w:p>
    <w:bookmarkEnd w:id="67"/>
    <w:p w14:paraId="437180D9" w14:textId="77777777" w:rsidR="009D7677" w:rsidRDefault="009D7677" w:rsidP="009D7677">
      <w:pPr>
        <w:pStyle w:val="TtuloResolucin"/>
      </w:pPr>
      <w:r>
        <w:t>Pleno</w:t>
      </w:r>
    </w:p>
    <w:p w14:paraId="4FAE3880" w14:textId="77777777" w:rsidR="009D7677" w:rsidRDefault="009D7677" w:rsidP="009D7677">
      <w:pPr>
        <w:pStyle w:val="TtuloBOE"/>
      </w:pPr>
      <w:r>
        <w:t>(BOE núm. 118, de 15 de mayo de 2024)</w:t>
      </w:r>
    </w:p>
    <w:p w14:paraId="3DDFB1A2" w14:textId="77777777" w:rsidR="009D7677" w:rsidRDefault="009D7677" w:rsidP="009D7677">
      <w:pPr>
        <w:pStyle w:val="TextoNormalCentrado"/>
      </w:pPr>
      <w:r>
        <w:t>ECLI:ES:TC:2024:65</w:t>
      </w:r>
    </w:p>
    <w:p w14:paraId="2CF7E7D3" w14:textId="3D854CCA" w:rsidR="009D7677" w:rsidRDefault="009D7677" w:rsidP="009D7677">
      <w:pPr>
        <w:pStyle w:val="TextoNormalCentrado"/>
      </w:pPr>
    </w:p>
    <w:p w14:paraId="2DBAAA00" w14:textId="77777777" w:rsidR="009D7677" w:rsidRDefault="009D7677" w:rsidP="009D7677">
      <w:pPr>
        <w:pStyle w:val="SntesisDescriptiva"/>
      </w:pPr>
      <w:r>
        <w:t>Recurso de inconstitucionalidad 5671-2022. Interpuesto por el presidente del Gobierno en relación con los apartados 2 y 65 del artículo único de la Ley Foral 17/2021, de 21 de octubre, por la que se modifica la Ley Foral 2/2018, de 13 de abril, de contratos públicos.</w:t>
      </w:r>
    </w:p>
    <w:p w14:paraId="33846801" w14:textId="25078D0B" w:rsidR="009D7677" w:rsidRDefault="009D7677" w:rsidP="009D7677">
      <w:pPr>
        <w:pStyle w:val="SntesisDescriptiva"/>
      </w:pPr>
    </w:p>
    <w:p w14:paraId="3F594D56" w14:textId="77777777" w:rsidR="009D7677" w:rsidRDefault="009D7677" w:rsidP="009D7677">
      <w:pPr>
        <w:pStyle w:val="SntesisAnaltica"/>
      </w:pPr>
      <w:r>
        <w:t>Competencias en materia de contratación pública: extinción parcial del proceso de inconstitucionalidad; nulidad del precepto foral que, desconociendo el carácter básico de la determinación de los negocios excluidos del ámbito de aplicación de la Ley de contratos del sector público, extiende esta condición a servicios jurídicos distintos de los mencionados por el legislador estatal.</w:t>
      </w:r>
    </w:p>
    <w:p w14:paraId="0B7F9C39" w14:textId="39B06682" w:rsidR="009D7677" w:rsidRDefault="009D7677" w:rsidP="009D7677">
      <w:pPr>
        <w:pStyle w:val="SntesisAnaltica"/>
      </w:pPr>
    </w:p>
    <w:p w14:paraId="4F960D91" w14:textId="5B95A919" w:rsidR="009D7677" w:rsidRDefault="009D7677" w:rsidP="009D7677">
      <w:pPr>
        <w:pStyle w:val="Extracto"/>
      </w:pPr>
      <w:r>
        <w:t>1.</w:t>
      </w:r>
      <w:r>
        <w:tab/>
        <w:t>El singular régimen que se extiende a la contratación de las distintas administraciones públicas de la comunidad foral de Navarra no se ve limitado por todas las previsiones de la legislación estatal básica en materia de contratación pública, sino solo por aquellas normas en las que, precisamente, se plasmen los principios esenciales de esa legislación básica, cuya determinación habrá de realizarse a partir del análisis particularizado de la regulación en relación con la competencia descrita en la Ley Orgánica 13/1982 de reintegración y amejoramiento del régimen foral de Navarra -LORAFNA- en materia de función pública (STC 140/1990) [FJ 3].</w:t>
      </w:r>
    </w:p>
    <w:p w14:paraId="68132A1B" w14:textId="77777777" w:rsidR="009D7677" w:rsidRDefault="009D7677" w:rsidP="009D7677">
      <w:pPr>
        <w:pStyle w:val="Extracto"/>
      </w:pPr>
    </w:p>
    <w:p w14:paraId="2862B9CD" w14:textId="0F5DE900" w:rsidR="009D7677" w:rsidRDefault="009D7677" w:rsidP="009D7677">
      <w:pPr>
        <w:pStyle w:val="Extracto"/>
      </w:pPr>
      <w:r>
        <w:t>2.</w:t>
      </w:r>
      <w:r>
        <w:tab/>
        <w:t>En los supuestos de inconstitucionalidad mediata, por derivar la posible vulneración no de las prescripciones establecidas en la Constitución sino de los preceptos estatales básicos dictados en su aplicación, es necesario referirse a la noción de “bases”, en su doble dimensión material y formal [FJ 4].</w:t>
      </w:r>
    </w:p>
    <w:p w14:paraId="0C20A83D" w14:textId="77777777" w:rsidR="009D7677" w:rsidRDefault="009D7677" w:rsidP="009D7677">
      <w:pPr>
        <w:pStyle w:val="Extracto"/>
      </w:pPr>
    </w:p>
    <w:p w14:paraId="2C56631C" w14:textId="689E820A" w:rsidR="009D7677" w:rsidRDefault="009D7677" w:rsidP="009D7677">
      <w:pPr>
        <w:pStyle w:val="Extracto"/>
      </w:pPr>
      <w:r>
        <w:t>3.</w:t>
      </w:r>
      <w:r>
        <w:tab/>
        <w:t>Los preceptos de la Ley de contratos del sector público que directamente se encaminen a dotar de una efectividad práctica a los principios de libertad de acceso a las licitaciones, publicidad y transparencia de los procedimientos; igualdad de trato y no discriminación entre licitadores; integridad y eficiente utilización de los fondos públicos (STC 84/2015), plasmados en el art. 1.1 LCSP, deben ser razonablemente considerados como normas básicas [FJ 4].</w:t>
      </w:r>
    </w:p>
    <w:p w14:paraId="3D7CE6A4" w14:textId="77777777" w:rsidR="009D7677" w:rsidRDefault="009D7677" w:rsidP="009D7677">
      <w:pPr>
        <w:pStyle w:val="Extracto"/>
      </w:pPr>
    </w:p>
    <w:p w14:paraId="1BA2967A" w14:textId="030A50F0" w:rsidR="009D7677" w:rsidRDefault="009D7677" w:rsidP="009D7677">
      <w:pPr>
        <w:pStyle w:val="Extracto"/>
      </w:pPr>
      <w:r>
        <w:t>4.</w:t>
      </w:r>
      <w:r>
        <w:tab/>
        <w:t>No tendrán consideración de normas básicas aquellas prescripciones de detalle o de procedimiento que, sin merma de la eficacia de los principios básicos, pudieran ser sustituidas por otras regulaciones asimismo complementarias o de detalle, elaboradas por las comunidades autónomas con competencia para ello (STC 141/1993). Por esta vía quedan excluidas de la esfera de lo básico aquellas prescripciones de orden procedimental y formal, que tienen una naturaleza complementaria y auxiliar que solo de forma muy incidental guardan conexión con los principios del régimen básico de contratación (STC 68/2021) [FJ 4].</w:t>
      </w:r>
    </w:p>
    <w:p w14:paraId="675824FD" w14:textId="77777777" w:rsidR="009D7677" w:rsidRDefault="009D7677" w:rsidP="009D7677">
      <w:pPr>
        <w:pStyle w:val="Extracto"/>
      </w:pPr>
    </w:p>
    <w:p w14:paraId="19F85F8B" w14:textId="404C8652" w:rsidR="009D7677" w:rsidRDefault="009D7677" w:rsidP="009D7677">
      <w:pPr>
        <w:pStyle w:val="Extracto"/>
      </w:pPr>
      <w:r>
        <w:t>5.</w:t>
      </w:r>
      <w:r>
        <w:tab/>
        <w:t xml:space="preserve">La concreción del elemento objetivo de la ley es esencial para garantizar la igualdad y el tratamiento común ante las administraciones. Y deben considerarse </w:t>
      </w:r>
      <w:r>
        <w:lastRenderedPageBreak/>
        <w:t>esenciales las reglas en las que se plasmen una serie de principios cardinales de la contratación pública, tales como las garantías de publicidad, igualdad, libre concurrencia y seguridad jurídica que aseguren a los ciudadanos un tratamiento común por parte de todas las administraciones públicas (STC 141/1993); principios que resultarían ilusorios si, frente a un mismo negocio jurídico, los operadores económicos se encontraran ante respuestas normativas diversas en función del poder adjudicador de que se trate [FJ 4].</w:t>
      </w:r>
    </w:p>
    <w:p w14:paraId="24C0B08C" w14:textId="77777777" w:rsidR="009D7677" w:rsidRDefault="009D7677" w:rsidP="009D7677">
      <w:pPr>
        <w:pStyle w:val="Extracto"/>
      </w:pPr>
    </w:p>
    <w:p w14:paraId="684682A8" w14:textId="740F4AD5" w:rsidR="009D7677" w:rsidRDefault="009D7677" w:rsidP="009D7677">
      <w:pPr>
        <w:pStyle w:val="Extracto"/>
      </w:pPr>
      <w:r>
        <w:t>6.</w:t>
      </w:r>
      <w:r>
        <w:tab/>
        <w:t>La determinación de los negocios excluidos del ámbito de aplicación de la Ley de contratos del sector público no solo tiene carácter básico sino que, además, ha de ser considerada un principio esencial de la legislación básica estatal [FJ 4].</w:t>
      </w:r>
    </w:p>
    <w:p w14:paraId="44A9227F" w14:textId="77777777" w:rsidR="009D7677" w:rsidRDefault="009D7677" w:rsidP="009D7677">
      <w:pPr>
        <w:pStyle w:val="Extracto"/>
      </w:pPr>
    </w:p>
    <w:p w14:paraId="57184BB9" w14:textId="77777777" w:rsidR="009D7677" w:rsidRDefault="009D7677" w:rsidP="009D7677">
      <w:pPr>
        <w:pStyle w:val="Extracto"/>
      </w:pPr>
    </w:p>
    <w:p w14:paraId="6C2B51B7" w14:textId="77777777" w:rsidR="009D7677" w:rsidRDefault="009D7677" w:rsidP="009D7677">
      <w:pPr>
        <w:pStyle w:val="TextoNormal"/>
      </w:pPr>
      <w:r>
        <w:t>El Pleno del Tribunal Constitucional, compuesto por el magistrado don Cándido Conde-Pumpido Tourón, presidente, y las magistradas y magistrados doña Inmaculada Montalbán Huertas, don Ricardo Enríquez Sancho, don Ramón Sáez Valcárcel, don Enrique Arnaldo Alcubilla, doña Concepción Espejel Jorquera, doña María Luisa Segoviano Astaburuaga, don César Tolosa Tribiño, don Juan Carlos Campo Moreno y doña Laura Díez Bueso, ha pronunciado</w:t>
      </w:r>
    </w:p>
    <w:p w14:paraId="464939EF" w14:textId="7C3DDBEF" w:rsidR="009D7677" w:rsidRDefault="009D7677" w:rsidP="009D7677">
      <w:pPr>
        <w:pStyle w:val="TextoNormal"/>
      </w:pPr>
    </w:p>
    <w:p w14:paraId="3EE611FB" w14:textId="77777777" w:rsidR="009D7677" w:rsidRDefault="009D7677" w:rsidP="009D7677">
      <w:pPr>
        <w:pStyle w:val="TextoNormalCentrado"/>
        <w:keepNext/>
      </w:pPr>
      <w:r>
        <w:t>EN NOMBRE DEL REY</w:t>
      </w:r>
    </w:p>
    <w:p w14:paraId="03D6BE48" w14:textId="604E8235" w:rsidR="009D7677" w:rsidRDefault="009D7677" w:rsidP="009D7677">
      <w:pPr>
        <w:pStyle w:val="TextoNormalCentrado"/>
        <w:keepNext/>
      </w:pPr>
    </w:p>
    <w:p w14:paraId="666869E9" w14:textId="77777777" w:rsidR="009D7677" w:rsidRDefault="009D7677" w:rsidP="009D7677">
      <w:pPr>
        <w:pStyle w:val="TextoNormalCentrado"/>
        <w:keepNext/>
      </w:pPr>
    </w:p>
    <w:p w14:paraId="1CC29DBF" w14:textId="77777777" w:rsidR="009D7677" w:rsidRDefault="009D7677" w:rsidP="009D7677">
      <w:pPr>
        <w:pStyle w:val="TextoNormal"/>
      </w:pPr>
      <w:r>
        <w:t>la siguiente</w:t>
      </w:r>
    </w:p>
    <w:p w14:paraId="2BD62228" w14:textId="50E92F26" w:rsidR="009D7677" w:rsidRDefault="009D7677" w:rsidP="009D7677">
      <w:pPr>
        <w:pStyle w:val="TextoNormal"/>
      </w:pPr>
    </w:p>
    <w:p w14:paraId="41C6E4B5" w14:textId="77777777" w:rsidR="009D7677" w:rsidRDefault="009D7677" w:rsidP="009D7677">
      <w:pPr>
        <w:pStyle w:val="TextoNormalCentrado"/>
        <w:keepNext/>
      </w:pPr>
      <w:r>
        <w:t>SENTENCIA</w:t>
      </w:r>
    </w:p>
    <w:p w14:paraId="38A4FDD9" w14:textId="2CAB46C6" w:rsidR="009D7677" w:rsidRDefault="009D7677" w:rsidP="009D7677">
      <w:pPr>
        <w:pStyle w:val="TextoNormalCentrado"/>
        <w:keepNext/>
      </w:pPr>
    </w:p>
    <w:p w14:paraId="43EA000C" w14:textId="77777777" w:rsidR="009D7677" w:rsidRDefault="009D7677" w:rsidP="009D7677">
      <w:pPr>
        <w:pStyle w:val="TextoNormal"/>
      </w:pPr>
      <w:r>
        <w:t>En el recurso de inconstitucionalidad núm. 5671-2022, interpuesto por el presidente del Gobierno, contra el artículo único, apartados 2 y 65, de la Ley Foral 17/2021, de 21 de octubre, por la que se modifica la Ley Foral 2/2018, de 13 de abril, de contratos públicos. Han sido parte el Parlamento de Navarra y el Gobierno de Navarra. Ha sido ponente la magistrada doña María Luisa Segoviano Astaburuaga.</w:t>
      </w:r>
    </w:p>
    <w:p w14:paraId="7EAC7C5C" w14:textId="3E1843B3" w:rsidR="009D7677" w:rsidRDefault="009D7677" w:rsidP="009D7677">
      <w:pPr>
        <w:pStyle w:val="TextoNormal"/>
      </w:pPr>
    </w:p>
    <w:p w14:paraId="14795D5B" w14:textId="77777777" w:rsidR="009D7677" w:rsidRDefault="009D7677" w:rsidP="009D7677">
      <w:pPr>
        <w:pStyle w:val="TextoNormalNegritaCentrado"/>
        <w:keepNext/>
      </w:pPr>
      <w:r>
        <w:t>I. Antecedentes</w:t>
      </w:r>
    </w:p>
    <w:p w14:paraId="22A4F820" w14:textId="2DCFB5AC" w:rsidR="009D7677" w:rsidRDefault="009D7677" w:rsidP="009D7677">
      <w:pPr>
        <w:pStyle w:val="TextoNormalNegritaCentrado"/>
        <w:keepNext/>
      </w:pPr>
    </w:p>
    <w:p w14:paraId="1A0B95FD" w14:textId="77777777" w:rsidR="009D7677" w:rsidRDefault="009D7677" w:rsidP="009D7677">
      <w:pPr>
        <w:pStyle w:val="TextoNormal"/>
      </w:pPr>
      <w:r w:rsidRPr="009D7677">
        <w:rPr>
          <w:rStyle w:val="NumeroAFNegritaCaracter"/>
        </w:rPr>
        <w:t>1</w:t>
      </w:r>
      <w:r>
        <w:t>. Mediante escrito presentado en el registro de este tribunal el 2 de agosto de 2022, el abogado del Estado, en representación del presidente del Gobierno, interpuso recurso de inconstitucionalidad contra el artículo único de la Ley Foral 17/2021, de 21 de octubre, por la que se modifica la Ley Foral 2/2018, de 13 de abril, de contratos públicos, en sus apartados 2, en la medida en que añade las letras l) y m) al art. 7.1 de la Ley Foral 2/2018, y 65, por cuanto añade una disposición adicional vigesimoprimera a dicha ley foral. La ley fue publicada en el “Boletín Oficial de Navarra” núm. 251, de 2 de noviembre de 2021. El abogado del Estado no invocó los arts. 161.2 CE y 30 de la Ley Orgánica del Tribunal Constitucional (LOTC).</w:t>
      </w:r>
    </w:p>
    <w:p w14:paraId="2C35FE82" w14:textId="77777777" w:rsidR="009D7677" w:rsidRDefault="009D7677" w:rsidP="009D7677">
      <w:pPr>
        <w:pStyle w:val="TextoNormal"/>
      </w:pPr>
    </w:p>
    <w:p w14:paraId="438100B2" w14:textId="77777777" w:rsidR="009D7677" w:rsidRDefault="009D7677" w:rsidP="009D7677">
      <w:pPr>
        <w:pStyle w:val="TextoNormal"/>
      </w:pPr>
      <w:r>
        <w:t>El recurso se fundamenta, en síntesis, en las siguientes alegaciones:</w:t>
      </w:r>
    </w:p>
    <w:p w14:paraId="127DE1FD" w14:textId="77777777" w:rsidR="009D7677" w:rsidRDefault="009D7677" w:rsidP="009D7677">
      <w:pPr>
        <w:pStyle w:val="TextoNormal"/>
      </w:pPr>
    </w:p>
    <w:p w14:paraId="5A0006E7" w14:textId="77777777" w:rsidR="009D7677" w:rsidRDefault="009D7677" w:rsidP="009D7677">
      <w:pPr>
        <w:pStyle w:val="TextoNormal"/>
      </w:pPr>
      <w:r>
        <w:t>A) Tras exponer los antecedentes del caso y el contenido de la ley impugnada, el recurso se refiere al marco competencial en la materia regulada, pues la impugnación obedece a motivos competenciales, ya que se sustenta en la vulneración de las competencias del Estado en materia de contratación pública (art. 149.1.18 CE), a pesar de reconocer las especiales competencias que ostenta la Comunidad Foral de Navarra en materia de contratación, en virtud de los arts. 2, 39.1 a) y 49.1 d) de la Ley Orgánica 13/1982, de 10 de agosto, de reintegración y amejoramiento del régimen foral de Navarra (LORAFNA), dictada en desarrollo de la disposición adicional primera de la Constitución, mencionando también la disposición final segunda de la Ley 9/2017, de 9 de noviembre, de contratos del sector público, por la que se trasponen al ordenamiento jurídico español las directivas del Parlamento Europeo y del Consejo 2014/23/UE y 2014/24/UE, de 26 de febrero de 2014 (LCSP), respecto a su aplicación a la Comunidad Foral de Navarra. Asimismo, se invoca la doctrina constitucional sobre este aspecto y en relación con el alcance de la disposición adicional primera CE, recogida en el fundamento jurídico 4 de la STC 68/2021, de 18 de marzo.</w:t>
      </w:r>
    </w:p>
    <w:p w14:paraId="30CF6647" w14:textId="77777777" w:rsidR="009D7677" w:rsidRDefault="009D7677" w:rsidP="009D7677">
      <w:pPr>
        <w:pStyle w:val="TextoNormal"/>
      </w:pPr>
    </w:p>
    <w:p w14:paraId="7EECEFFE" w14:textId="77777777" w:rsidR="009D7677" w:rsidRDefault="009D7677" w:rsidP="009D7677">
      <w:pPr>
        <w:pStyle w:val="TextoNormal"/>
      </w:pPr>
      <w:r>
        <w:t>De acuerdo con todo ello, no se pone en duda la constitucionalidad de la singularidad foral en materia de contratos, sino que se cuestiona únicamente si los preceptos controvertidos son compatibles con los límites establecidos en los citados preceptos de la LORAFNA, que se concretan en la “unidad constitucional” y en “los principios esenciales de la legislación básica del Estado”, cuyo desbordamiento plantea también la compatibilidad con la Constitución, y con el régimen de distribución de competencias, sin perjuicio de que, además, tales incompatibilidades puedan serlo también con el Derecho de la Unión Europea, cuyo carácter interpretativo u orientador en los conflictos competenciales ha sido destacado por el Tribunal Constitucional.</w:t>
      </w:r>
    </w:p>
    <w:p w14:paraId="77752668" w14:textId="77777777" w:rsidR="009D7677" w:rsidRDefault="009D7677" w:rsidP="009D7677">
      <w:pPr>
        <w:pStyle w:val="TextoNormal"/>
      </w:pPr>
    </w:p>
    <w:p w14:paraId="591C2507" w14:textId="77777777" w:rsidR="009D7677" w:rsidRDefault="009D7677" w:rsidP="009D7677">
      <w:pPr>
        <w:pStyle w:val="TextoNormal"/>
      </w:pPr>
      <w:r>
        <w:t>Sostiene igualmente el abogado del Estado que los principios esenciales en materia de contratación tienen un carácter extenso que justifican una mayor intensidad y densidad normativa de la legislación básica del Estado con respecto a las competencias forales, tal como se deduce del art. 1 LCSP. El objeto principal de la normativa básica en materia de contratación es proporcionar las garantías de respeto y cumplimiento de los principios de publicidad, igualdad, libre concurrencia y seguridad jurídica que aseguren a los ciudadanos un común tratamiento por parte de todas las administraciones públicas. En último término, corresponde al Tribunal Constitucional deducir si la norma es o no materialmente básica. Y, en este sentido, se menciona la STC 68/2021, que sistematiza lo que constituye legislación básica en materia contractual, y se afirma que el ámbito competencial de la Comunidad Foral, que debe respetar los principios esenciales en materia de contratación, comprenderá aspectos de tipo contractual que no entren en colisión con las previsiones inspiradas en el art. 1 LCSP.</w:t>
      </w:r>
    </w:p>
    <w:p w14:paraId="5C31342E" w14:textId="77777777" w:rsidR="009D7677" w:rsidRDefault="009D7677" w:rsidP="009D7677">
      <w:pPr>
        <w:pStyle w:val="TextoNormal"/>
      </w:pPr>
    </w:p>
    <w:p w14:paraId="529DE018" w14:textId="77777777" w:rsidR="009D7677" w:rsidRDefault="009D7677" w:rsidP="009D7677">
      <w:pPr>
        <w:pStyle w:val="TextoNormal"/>
      </w:pPr>
      <w:r>
        <w:t>A partir de lo anterior, se indica que el motivo de inconstitucionalidad que se alega frente a los preceptos impugnados se concreta en la quiebra de los límites que son parámetro de control de la normativa foral.</w:t>
      </w:r>
    </w:p>
    <w:p w14:paraId="6E22E0B2" w14:textId="77777777" w:rsidR="009D7677" w:rsidRDefault="009D7677" w:rsidP="009D7677">
      <w:pPr>
        <w:pStyle w:val="TextoNormal"/>
      </w:pPr>
    </w:p>
    <w:p w14:paraId="58113346" w14:textId="77777777" w:rsidR="009D7677" w:rsidRDefault="009D7677" w:rsidP="009D7677">
      <w:pPr>
        <w:pStyle w:val="TextoNormal"/>
      </w:pPr>
      <w:r>
        <w:t xml:space="preserve">B) El recurso de inconstitucionalidad argumenta que el apartado 2 del artículo único de la Ley Foral 17/2021 modifica el art. 7.1 de la Ley Foral 2/2018 y establece en sus letras l) y m) los negocios jurídicos que quedan excluidos de la aplicación de la norma foral por </w:t>
      </w:r>
      <w:r>
        <w:lastRenderedPageBreak/>
        <w:t>razón de su propia naturaleza y de la existencia de normativa específica. Dicha exclusión, a juicio del recurrente, no aparece comprendida en los arts. 4 a 11 LCSP, cuyo carácter formalmente básico resulta del apartado 3 de su disposición final primera, al haber sido dictada al amparo del art. 149.1.18 CE, y su carácter materialmente básico ha sido declarado por la STC 68/2021, al tener por objeto delimitar el ámbito de aplicación de la Ley de contratos del sector público, en este caso de manera negativa, siendo esencial la concreción del elemento objetivo de la Ley para garantizar la igualdad y el tratamiento común ante las administraciones.</w:t>
      </w:r>
    </w:p>
    <w:p w14:paraId="4EAF4E38" w14:textId="77777777" w:rsidR="009D7677" w:rsidRDefault="009D7677" w:rsidP="009D7677">
      <w:pPr>
        <w:pStyle w:val="TextoNormal"/>
      </w:pPr>
    </w:p>
    <w:p w14:paraId="46D2E00E" w14:textId="77777777" w:rsidR="009D7677" w:rsidRDefault="009D7677" w:rsidP="009D7677">
      <w:pPr>
        <w:pStyle w:val="TextoNormal"/>
      </w:pPr>
      <w:r>
        <w:t>Aduce el recurso que los negocios que la nueva letra l) del art. 7.1 excluye, se mencionan en el art. 19.2 e) de la Ley 9/2017 como contratos del sector público (dentro de la sección relativa a los contratos sujetos a una regulación armonizada) que, al no encontrarse excluidos en la sección segunda del capítulo I (“Negocios y contratos excluidos”), se encuentran sujetos a la normativa básica de contratación pública. Y, en el caso de la Comunidad Foral de Navarra, el resultado ha de ser el mismo, porque la determinación del ámbito objetivo de aplicación de la Ley de contratos del sector público respecto de los contratos incluidos y excluidos de ella forma parte de los “principios esenciales de la legislación básica del Estado” en materia de contratos públicos, tal y como ha afirmado en su dictamen el Consejo de Estado. Por ello, el apartado 2 del artículo único, al excluir en el apartado l) del art. 7.1 de la Ley Foral 2/2018 los contratos de servicios jurídicos del ámbito de los contratos del sector público, es contrario a la distribución de competencias e inconstitucional.</w:t>
      </w:r>
    </w:p>
    <w:p w14:paraId="13763485" w14:textId="77777777" w:rsidR="009D7677" w:rsidRDefault="009D7677" w:rsidP="009D7677">
      <w:pPr>
        <w:pStyle w:val="TextoNormal"/>
      </w:pPr>
    </w:p>
    <w:p w14:paraId="6857FBE2" w14:textId="77777777" w:rsidR="009D7677" w:rsidRDefault="009D7677" w:rsidP="009D7677">
      <w:pPr>
        <w:pStyle w:val="TextoNormal"/>
      </w:pPr>
      <w:r>
        <w:t>C) Por lo que se refiere al apartado m) que se incluye en el art. 7.1 de la Ley Foral 2/2018, que prevé la exclusión explícita de la aplicación de la legislación básica en materia de contratos de los denominados “acuerdos públicos de adquisición de medicamentos”, se indica que, sin perjuicio de lo que se expondrá en relación con la nueva disposición adicional vigesimoprimera (introducida por la Ley Foral 17/2021), que desarrolla esta previsión, la vigente Ley de contratos del sector público no excluye a tales acuerdos de su ámbito objetivo de aplicación, que reviste un carácter “materialmente básico” de acuerdo con la jurisprudencia constitucional, y que solo puede ser determinado por el legislador estatal en ejercicio de la competencia que le atribuye el art. 149.1.18 CE. De ahí que el legislador autonómico no pueda excluir de la licitación pública negocios jurídicos distintos de los excluidos por la normativa básica estatal, por lo que la nueva letra m) del art. 7.1 de la Ley Foral 2/2018 no se adecúa al orden constitucional de competencias.</w:t>
      </w:r>
    </w:p>
    <w:p w14:paraId="15A74452" w14:textId="77777777" w:rsidR="009D7677" w:rsidRDefault="009D7677" w:rsidP="009D7677">
      <w:pPr>
        <w:pStyle w:val="TextoNormal"/>
      </w:pPr>
    </w:p>
    <w:p w14:paraId="2C115109" w14:textId="77777777" w:rsidR="009D7677" w:rsidRDefault="009D7677" w:rsidP="009D7677">
      <w:pPr>
        <w:pStyle w:val="TextoNormal"/>
      </w:pPr>
      <w:r>
        <w:t xml:space="preserve">D) Por otra parte, se impugna la nueva disposición adicional vigesimoprimera de la Ley Foral 2/2018 (introducida por el apartado 65 de la Ley Foral 17/2021), que articula un sistema para la compra de medicamentos, instrumentando la exclusión de los acuerdos de adquisición, que se declaran negocios privados. El recurso de inconstitucionalidad destaca que, en este caso, al título competencial sobre legislación básica en materia de contratos administrativos debe unirse la competencia relativa a la “Legislación sobre productos farmacéuticos” (art. 149.1.16 CE), que es competencia de carácter pleno, implicando una reserva normativa absoluta a favor del Estado, que se justifica “en la potencial peligrosidad de estos productos” y en la garantía de una “uniformidad mínima en las condiciones de acceso a los medicamentos con independencia del lugar en el que dentro del territorio nacional se resida y se evita la introducción de factores de desigualdad en la protección básica de la salud”; uniformidad que, no obstante, puede ser susceptible de mejora, en su </w:t>
      </w:r>
      <w:r>
        <w:lastRenderedPageBreak/>
        <w:t>caso, por parte de las comunidades autónomas, en virtud de su competencia sustantiva y de su autonomía financiera, siempre que no se contravenga el principio de solidaridad (SSTC 152/2003, de 17 de julio, FJ 7, y 211/2014, de 18 de diciembre, FJ 5).</w:t>
      </w:r>
    </w:p>
    <w:p w14:paraId="5C67C163" w14:textId="77777777" w:rsidR="009D7677" w:rsidRDefault="009D7677" w:rsidP="009D7677">
      <w:pPr>
        <w:pStyle w:val="TextoNormal"/>
      </w:pPr>
    </w:p>
    <w:p w14:paraId="774CDC0D" w14:textId="77777777" w:rsidR="009D7677" w:rsidRDefault="009D7677" w:rsidP="009D7677">
      <w:pPr>
        <w:pStyle w:val="TextoNormal"/>
      </w:pPr>
      <w:r>
        <w:t>a) En primer lugar, razona el abogado del Estado que la justificación de la adquisición de medicamentos por parte del Servicio Navarro de Salud-Osasunbidea al margen de los procedimientos de contratación pública en el hecho de que haya existido previamente una negociación con una instancia pública y fijación administrativa del precio, exige aclarar que la política de precios fijados por la administración no determina el precio en el que, en su caso, será suministrado un medicamento (en un claro contrato administrativo). El recurso hace referencia a la regulación del texto refundido de la Ley de garantías y uso racional de los medicamentos y productos sanitarios (aprobado por Real Decreto Legislativo 1/2015, de 24 de julio), el cual ordena la prestación farmacéutica con el objetivo de que esta se preste a precios razonables y con un gasto público ajustado. Y para hacer efectivos los principios de accesibilidad universal a la prestación, así como su financiación selectiva, el sistema queda regulado a través de la prescripción por principio activo, la dispensación en función del sistema de precios de referencia y el sistema de precios seleccionados, de acuerdo con los arts. 87, 98 y 94 del citado texto refundido, que sigue un sistema basado en la estructura de costes de la producción del medicamento, al que se añade un margen determinado, así como con el art. 92, que fija los criterios legales para la toma de decisiones en materia de financiación y precio. Aunque se trate de una política de precios fijados por la administración, no existe referencia al precio en el que, en su caso, será suministrado un medicamento o conjunto de medicamentos determinados por parte de los laboratorios a hospitales públicos del Sistema Nacional de Salud, sino que es un precio máximo, que no impide que puedan obtenerse reducciones de precio con base en una licitación pública, que deberá realizarse conforme a lo dispuesto en la Ley 9/2017 de contratos del sector público. Y esa ausencia de licitación supone una ruptura de “los principios esenciales de la legislación básica del Estado” y, en coherencia, de los límites indicados en el artículo 49.1 d) LORAFNA respecto de la competencia de la Comunidad Foral de Navarra para regular la contratación pública.</w:t>
      </w:r>
    </w:p>
    <w:p w14:paraId="33A2AF31" w14:textId="77777777" w:rsidR="009D7677" w:rsidRDefault="009D7677" w:rsidP="009D7677">
      <w:pPr>
        <w:pStyle w:val="TextoNormal"/>
      </w:pPr>
    </w:p>
    <w:p w14:paraId="7927847C" w14:textId="77777777" w:rsidR="009D7677" w:rsidRDefault="009D7677" w:rsidP="009D7677">
      <w:pPr>
        <w:pStyle w:val="TextoNormal"/>
      </w:pPr>
      <w:r>
        <w:t xml:space="preserve">b) Por otra parte, descarta la demanda, al socaire de lo que se señala en la exposición de motivos de la Ley Foral 2/2018, que la doctrina establecida por el Tribunal de Justicia de la Unión Europea en una sentencia de 2 de junio de 2016 (asunto C-410/14, </w:t>
      </w:r>
      <w:r w:rsidRPr="009D7677">
        <w:rPr>
          <w:i/>
        </w:rPr>
        <w:t>Dr. Falk Pharma GmbH c. DAK-Gesundheit</w:t>
      </w:r>
      <w:r>
        <w:t xml:space="preserve">, § 41 y 42) pueda justificar la regulación de los “acuerdos de adquisición” y procedimientos </w:t>
      </w:r>
      <w:r w:rsidRPr="009D7677">
        <w:rPr>
          <w:i/>
        </w:rPr>
        <w:t>ex novo</w:t>
      </w:r>
      <w:r>
        <w:t xml:space="preserve"> para la adquisición publica de medicamentos, ya que no son supuestos comparables: la indicada sentencia del Tribunal de Justicia de la Unión Europea se refiere a un procedimiento concreto respecto de un principio activo específico y versa sobre prescripción y dispensación en oficina de farmacia, mientras que la ley foral establece todo un nuevo sistema de compra pública directa por parte del Servicio Navarro de Salud-Osasunbidea, que exige una decisión de selección, otorgando exclusividad a determinados operadores económicos, lo que implica </w:t>
      </w:r>
      <w:r w:rsidRPr="009D7677">
        <w:rPr>
          <w:i/>
        </w:rPr>
        <w:t>de facto</w:t>
      </w:r>
      <w:r>
        <w:t xml:space="preserve"> un contrato público.</w:t>
      </w:r>
    </w:p>
    <w:p w14:paraId="6A8A97A3" w14:textId="77777777" w:rsidR="009D7677" w:rsidRDefault="009D7677" w:rsidP="009D7677">
      <w:pPr>
        <w:pStyle w:val="TextoNormal"/>
      </w:pPr>
    </w:p>
    <w:p w14:paraId="5302752D" w14:textId="77777777" w:rsidR="009D7677" w:rsidRDefault="009D7677" w:rsidP="009D7677">
      <w:pPr>
        <w:pStyle w:val="TextoNormal"/>
      </w:pPr>
      <w:r>
        <w:t xml:space="preserve">(i) Por lo que se refiere a la selección en la compra de medicamentos de uso hospitalario, se afirma que el procedimiento alternativo de compra regulado en los apartados 3 y 4 de la nueva disposición adicional supone la selección de medicamentos y la selección de proveedores, con la consiguiente exclusión de aquellos que no hayan sido elegidos. Por </w:t>
      </w:r>
      <w:r>
        <w:lastRenderedPageBreak/>
        <w:t>tanto, se permite una discrecionalidad casi absoluta al órgano de contratación, lo que no solo supone un trato desigual para los operadores económicos interesados, incompatible con los principios de igualdad y no discriminación, sino que, además, no se responde al principio de eficiencia en la medida en que dicha selección se realiza al margen de criterios que garanticen la obtención de los suministros que mejor respondan a las necesidades que se pretendan cubrir. Se pone de relieve que, incluso observando la doctrina del Tribunal de Justicia de la Unión Europea, no se está ante un “acuerdo de adquisición”, sino ante un “contrato público”, en este caso de suministro, cuya regulación, licitación y ejecución ha de regirse por los principios esenciales que establece la legislación estatal básica en materia de contratación, así como por los principios y procedimientos que establece la normativa comunitaria en la materia. Lo mismo cabe indicar en relación con los medicamentos con protección de patente, respecto a los cuales, la Junta Consultiva de Contratación Pública del Estado, en su Informe 17/08, ha señalado que, incluso en los casos en que concurran circunstancias que determinen la necesidad de adquirir el medicamento de un único distribuidor, será de aplicación lo dispuesto en el art. 154 d) LCSP, de conformidad con el cual la adquisición podrá efectuarse por el procedimiento negociado sin publicidad. Se trata de nuevo de una regulación de un sistema de compra pública de medicamentos a espaldas de la Ley de contratos del sector público y de la normativa europea, que difícilmente permitiría garantizar el principio de integridad consagrado en el art. 1.1 LCSP, incluido dentro de los “principios esenciales de la legislación básica del Estado” que constituyen un límite a la competencia foral, de acuerdo con la LORAFNA.</w:t>
      </w:r>
    </w:p>
    <w:p w14:paraId="23758813" w14:textId="77777777" w:rsidR="009D7677" w:rsidRDefault="009D7677" w:rsidP="009D7677">
      <w:pPr>
        <w:pStyle w:val="TextoNormal"/>
      </w:pPr>
    </w:p>
    <w:p w14:paraId="365DD0CF" w14:textId="77777777" w:rsidR="009D7677" w:rsidRDefault="009D7677" w:rsidP="009D7677">
      <w:pPr>
        <w:pStyle w:val="TextoNormal"/>
      </w:pPr>
      <w:r>
        <w:t>(ii) Finalmente, refiere que el apartado 5 de la nueva disposición adicional vigesimoprimera, al atribuir naturaleza privada a los acuerdos de adquisición publica de medicamentos, desconoce que le corresponde al Estado la competencia para determinar qué tipo de contratos del sector público son o no administrativos, y, por otra parte, la atribución de naturaleza privada a la referida adquisición, carece de justificación en la ley foral; antes al contrario, su regulación de estos “acuerdos de adquisición” reúne todos los elementos necesarios para que pueda hablarse de un contrato público, ya que se trata de contratos onerosos (art. 2.1 LCSP), destinados a la adquisición de suministros, y celebrados por poderes adjudicadores, tal y como se definen en la normativa comunitaria y en el art. 3 LCSP. Por consiguiente, deben sujetarse al procedimiento contractual legalmente previsto para su adjudicación.</w:t>
      </w:r>
    </w:p>
    <w:p w14:paraId="1EA42C11" w14:textId="77777777" w:rsidR="009D7677" w:rsidRDefault="009D7677" w:rsidP="009D7677">
      <w:pPr>
        <w:pStyle w:val="TextoNormal"/>
      </w:pPr>
    </w:p>
    <w:p w14:paraId="580981B9" w14:textId="77777777" w:rsidR="009D7677" w:rsidRDefault="009D7677" w:rsidP="009D7677">
      <w:pPr>
        <w:pStyle w:val="TextoNormal"/>
      </w:pPr>
      <w:r>
        <w:t>En consecuencia, tanto la letra m) introducida en el art. 7.1 como la nueva disposición adicional vigesimoprimera desbordan el ámbito competencial foral, menoscabando los principios esenciales de la legislación básica en materia de contratos públicos del Estado.</w:t>
      </w:r>
    </w:p>
    <w:p w14:paraId="608AF6F4" w14:textId="77777777" w:rsidR="009D7677" w:rsidRDefault="009D7677" w:rsidP="009D7677">
      <w:pPr>
        <w:pStyle w:val="TextoNormal"/>
      </w:pPr>
    </w:p>
    <w:p w14:paraId="6A2891FA" w14:textId="4E30D7EA" w:rsidR="009D7677" w:rsidRDefault="009D7677" w:rsidP="009D7677">
      <w:pPr>
        <w:pStyle w:val="TextoNormal"/>
      </w:pPr>
      <w:r>
        <w:t>El recurso concluye solicitando la declaración de inconstitucionalidad y nulidad de las normas impugnadas.</w:t>
      </w:r>
    </w:p>
    <w:p w14:paraId="7592F9EC" w14:textId="77777777" w:rsidR="009D7677" w:rsidRDefault="009D7677" w:rsidP="009D7677">
      <w:pPr>
        <w:pStyle w:val="TextoNormal"/>
      </w:pPr>
    </w:p>
    <w:p w14:paraId="2F845B10" w14:textId="77777777" w:rsidR="009D7677" w:rsidRDefault="009D7677" w:rsidP="009D7677">
      <w:pPr>
        <w:pStyle w:val="TextoNormal"/>
      </w:pPr>
      <w:r w:rsidRPr="009D7677">
        <w:rPr>
          <w:rStyle w:val="NumeroAFNegritaCaracter"/>
        </w:rPr>
        <w:t>2</w:t>
      </w:r>
      <w:r>
        <w:t>. Por providencia de 14 de septiembre de 2022, el Pleno del Tribunal acordó la admisión a trámite del recurso, dando traslado al Congreso de los Diputados y al Senado, así como al Parlamento y al Gobierno de Navarra, por conducto de sus presidentes, para que pudieran personarse y formular las alegaciones que estimaran convenientes, así como publicar la incoación del proceso en el “Boletín Oficial del Estado” y en el “Boletín Oficial de Navarra”.</w:t>
      </w:r>
    </w:p>
    <w:p w14:paraId="1B2D507C" w14:textId="77777777" w:rsidR="009D7677" w:rsidRDefault="009D7677" w:rsidP="009D7677">
      <w:pPr>
        <w:pStyle w:val="TextoNormal"/>
      </w:pPr>
    </w:p>
    <w:p w14:paraId="411EC647" w14:textId="16D18756" w:rsidR="009D7677" w:rsidRDefault="009D7677" w:rsidP="009D7677">
      <w:pPr>
        <w:pStyle w:val="TextoNormal"/>
      </w:pPr>
      <w:r>
        <w:lastRenderedPageBreak/>
        <w:t>En cumplimiento de lo ordenado, la incoación del proceso se publicó en el “Boletín Oficial del Estado” núm. 227, de 21 de septiembre de 2022, y en el “Boletín Oficial de Navarra” núm. 197, de 4 de octubre de 2022.</w:t>
      </w:r>
    </w:p>
    <w:p w14:paraId="13226A50" w14:textId="77777777" w:rsidR="009D7677" w:rsidRDefault="009D7677" w:rsidP="009D7677">
      <w:pPr>
        <w:pStyle w:val="TextoNormal"/>
      </w:pPr>
    </w:p>
    <w:p w14:paraId="23359626" w14:textId="4E60A71E" w:rsidR="009D7677" w:rsidRDefault="009D7677" w:rsidP="009D7677">
      <w:pPr>
        <w:pStyle w:val="TextoNormal"/>
      </w:pPr>
      <w:r w:rsidRPr="009D7677">
        <w:rPr>
          <w:rStyle w:val="NumeroAFNegritaCaracter"/>
        </w:rPr>
        <w:t>3</w:t>
      </w:r>
      <w:r>
        <w:t>. A través de escrito registrado el 22 de septiembre de 2022 la presidenta del Congreso de los Diputados puso en conocimiento de este tribunal el acuerdo adoptado por la mesa de la Cámara en reunión celebrada el anterior día 20 dando por personada a la Cámara en el procedimiento y por ofrecida su colaboración a los efectos del art. 88.1 LOTC.</w:t>
      </w:r>
    </w:p>
    <w:p w14:paraId="7FDCD08A" w14:textId="77777777" w:rsidR="009D7677" w:rsidRDefault="009D7677" w:rsidP="009D7677">
      <w:pPr>
        <w:pStyle w:val="TextoNormal"/>
      </w:pPr>
    </w:p>
    <w:p w14:paraId="0DDA54DC" w14:textId="0BF62224" w:rsidR="009D7677" w:rsidRDefault="009D7677" w:rsidP="009D7677">
      <w:pPr>
        <w:pStyle w:val="TextoNormal"/>
      </w:pPr>
      <w:r w:rsidRPr="009D7677">
        <w:rPr>
          <w:rStyle w:val="NumeroAFNegritaCaracter"/>
        </w:rPr>
        <w:t>4</w:t>
      </w:r>
      <w:r>
        <w:t>. El 27 de septiembre de 2022, el presidente del Senado comunicó el acuerdo de la mesa de la Cámara de darla por personada y por ofrecida su colaboración a los efectos del art. 88.1 LOTC.</w:t>
      </w:r>
    </w:p>
    <w:p w14:paraId="1788DB51" w14:textId="77777777" w:rsidR="009D7677" w:rsidRDefault="009D7677" w:rsidP="009D7677">
      <w:pPr>
        <w:pStyle w:val="TextoNormal"/>
      </w:pPr>
    </w:p>
    <w:p w14:paraId="2C0B6D9C" w14:textId="77777777" w:rsidR="009D7677" w:rsidRDefault="009D7677" w:rsidP="009D7677">
      <w:pPr>
        <w:pStyle w:val="TextoNormal"/>
      </w:pPr>
      <w:r w:rsidRPr="009D7677">
        <w:rPr>
          <w:rStyle w:val="NumeroAFNegritaCaracter"/>
        </w:rPr>
        <w:t>5</w:t>
      </w:r>
      <w:r>
        <w:t>. La representación del Parlamento de Navarra presentó su escrito de alegaciones con fecha 17 de octubre de 2022, en el que solicitó la desestimación del recurso de inconstitucionalidad, de acuerdo con los argumentos que se resumen a continuación.</w:t>
      </w:r>
    </w:p>
    <w:p w14:paraId="2EB061C4" w14:textId="77777777" w:rsidR="009D7677" w:rsidRDefault="009D7677" w:rsidP="009D7677">
      <w:pPr>
        <w:pStyle w:val="TextoNormal"/>
      </w:pPr>
    </w:p>
    <w:p w14:paraId="4FDC0DB6" w14:textId="77777777" w:rsidR="009D7677" w:rsidRDefault="009D7677" w:rsidP="009D7677">
      <w:pPr>
        <w:pStyle w:val="TextoNormal"/>
      </w:pPr>
      <w:r>
        <w:t>a) Expuestos los antecedentes del caso, el objeto del recurso, así como el planteamiento del abogado del Estado, se refiere, en primer lugar, a la incidencia del Derecho comunitario en el régimen competencial común sobre contratación pública. Menciona el objeto de las normas básicas dentro de la distribución competencial que articula el bloque de la constitucionalidad, en relación con el ejercicio por las comunidades autónomas de sus competencias propias, que no pueden quedar vacías de contenido como consecuencia de la definición de lo básico por parte del Estado. En particular, señala que hay que partir de la competencia exclusiva que el art. 149.1.18 CE atribuye al Estado en materia de legislación básica sobre contratos y concesiones administrativas, ámbito sobre el que las comunidades autónomas han asumido el desarrollo legislativo y la ejecución. Junto a ello se debe tomar en consideración la regulación comunitaria de los contratos públicos contenida en las Directivas 2014/23/UE y 2014/24/UE, cuyos preceptos han sido transpuestos por la Ley 9/2017. Esa influencia del Derecho comunitario ha requerido la intervención del Tribunal Constitucional para delimitar la competencia de ambas instancias nacionales, estableciendo una doctrina de la que se pueden extraer las siguientes consideraciones: (i) La ejecución del Derecho comunitario corresponde a quien materialmente ostenta la competencia según las reglas del Derecho interno, puesto que no existe una competencia específica para la ejecución de aquel derecho (STC 80/1993, de 8 de marzo, FJ 3); (ii) Se disocia la legislación básica de la normativa comunitaria, siendo esta vinculante para las comunidades autónomas a causa del efecto directo de las propias directivas, sin perjuicio de su traslación a la legislación básica nacional (STC 141/1993, de 22 de abril, FJ 2): (iii) Se distingue entre los principios generales en materia de contratación administrativa recogidos en las directivas comunitarias —susceptibles de ser calificados como legislación básica— de las prescripciones de detalle o de procedimiento, y cuya formulación corresponde a las comunidades autónomas (STC 141/1993, FJ 5).</w:t>
      </w:r>
    </w:p>
    <w:p w14:paraId="4B141149" w14:textId="77777777" w:rsidR="009D7677" w:rsidRDefault="009D7677" w:rsidP="009D7677">
      <w:pPr>
        <w:pStyle w:val="TextoNormal"/>
      </w:pPr>
    </w:p>
    <w:p w14:paraId="39FF577D" w14:textId="77777777" w:rsidR="009D7677" w:rsidRDefault="009D7677" w:rsidP="009D7677">
      <w:pPr>
        <w:pStyle w:val="TextoNormal"/>
      </w:pPr>
      <w:r>
        <w:t>b) A continuación, aborda la cuestión relativa a la delimitación de la competencia histórica de Navarra en materia de contratos y concesiones administrativas, recordando que, en su condición de territorio foral, resulta titular de derechos históricos respetados, y amparados y sujetos a actualización en el marco de la Constitución (disposición adicional prime</w:t>
      </w:r>
      <w:r>
        <w:lastRenderedPageBreak/>
        <w:t>ra) y del Estatuto de Autonomía, lo que va más allá del mero reconocimiento de las competencias ejercidas históricamente (STC 32/1981, de 28 de julio, FJ 3). En tal contexto, la LORAFNA, en su art. 49.1 d), atribuye a Navarra competencia exclusiva sobre “contratos y concesiones administrativas, respetando los principios esenciales de la legislación básica del Estado en la materia”; atribución que resulta diferente de la otorgada con carácter general a las demás comunidades autónomas, al configurarse como una competencia exclusiva de raíz histórica, limitada por el principio de unidad constitucional (arts. 2 y 39 LORAFNA) y por el respeto de los principios esenciales fijados por la legislación básica estatal y no por toda ella. Así pues, el techo competencial de Navarra en la materia es más amplio que el otorgado a las demás comunidades autónomas, resultando similar a la que recae sobre el régimen estatutario de los funcionarios públicos de la Comunidad Foral, de acuerdo con el art. 49.1 b) LORAFNA, citando la doctrina sobre el alcance de la competencia foral en materia de función pública recogida en la STC 140/1990, de 20 de septiembre, FJ 4, que debe ser extrapolada, según entiende, a la competencia en materia de contratación administrativa.</w:t>
      </w:r>
    </w:p>
    <w:p w14:paraId="19D16B08" w14:textId="77777777" w:rsidR="009D7677" w:rsidRDefault="009D7677" w:rsidP="009D7677">
      <w:pPr>
        <w:pStyle w:val="TextoNormal"/>
      </w:pPr>
    </w:p>
    <w:p w14:paraId="2FB3BB6E" w14:textId="77777777" w:rsidR="009D7677" w:rsidRDefault="009D7677" w:rsidP="009D7677">
      <w:pPr>
        <w:pStyle w:val="TextoNormal"/>
      </w:pPr>
      <w:r>
        <w:t>En relación con los principios esenciales de la legislación básica del Estado en materia de contratos por los que queda limitada la competencia foral, afirma que la legislación estatal deberá atender a los principios del Derecho comunitario materializados en las correspondientes directivas de contratación y en la doctrina del Tribunal de Justicia de la Unión Europea. Tales principios son los de igualdad de trato, no discriminación, reconocimiento mutuo, proporcionalidad y transparencia, tal y como refiere el art. 2 de la Ley Foral 2/2018, de 13 de abril, de contratos públicos, en una relación materialmente coincidente con lo previsto en el art. 1 LCSP. Y, a la luz de dichos principios, corresponde a Navarra la regulación de los contratos públicos y la transposición de las directivas comunitarias. Por otro lado, la disposición final segunda de la Ley de contratos del sector público ha reconocido expresamente, por primera vez, la competencia histórica de Navarra en esta materia, remitiendo la aplicación de la mencionada ley a lo dispuesto en la LORAFNA; reconocimiento que supone la admisión por el Estado de que la legislación foral no es un mero desarrollo de la legislación básica en su conjunto, sino que está constreñida únicamente por los principios esenciales contenidos en ella. Y se destaca, igualmente, que tanto la Ley de contratos del sector público como la Ley Foral 17/2021 suponen la adaptación de la legislación española y la de Navarra a las Directivas 2014/23/UE y 2014/24/UE, por lo que los principios recogidos en las mismas en materia de contratación pública cristalizan tanto en la legislación básica estatal como en la legislación foral, teniendo eficacia vinculante, tal y como se ha reconocido en el preámbulo de la Ley de contratos del sector público, y en el de la Ley Foral 2/2018. Dentro del respeto a los límites impuestos por el art. 49.1 d) LORAFNA y a las reglas contenidas en las directivas comunitarias, la Ley Foral 17/2021 se ampara en la competencia exclusiva de Navarra para “llevar a cabo algunas modificaciones y correcciones en su contenido, para alcanzar un mejor grado de cumplimiento de los principios de eficacia y eficiencia, proporcionalidad, transparencia e integridad, que recoge la propia Ley Foral de contratos en su artículo 2” —como expone su preámbulo—.</w:t>
      </w:r>
    </w:p>
    <w:p w14:paraId="79A9BDA0" w14:textId="77777777" w:rsidR="009D7677" w:rsidRDefault="009D7677" w:rsidP="009D7677">
      <w:pPr>
        <w:pStyle w:val="TextoNormal"/>
      </w:pPr>
    </w:p>
    <w:p w14:paraId="0B14D9BD" w14:textId="77777777" w:rsidR="009D7677" w:rsidRDefault="009D7677" w:rsidP="009D7677">
      <w:pPr>
        <w:pStyle w:val="TextoNormal"/>
      </w:pPr>
      <w:r>
        <w:t xml:space="preserve">c) En cuanto a la exclusión de los servicios jurídicos del ámbito de aplicación de la Ley Foral 2/2018, que sí aparecen incluidos en el ámbito de aplicación de la legislación de contratación pública —aunque no sujetos a regulación armonizada— de acuerdo con el art. 19.2 e) LCSP, se afirma que la razón de dicha exclusión no es caprichosa ni carente de </w:t>
      </w:r>
      <w:r>
        <w:lastRenderedPageBreak/>
        <w:t xml:space="preserve">fundamento, ya que se encuentra amparada en la Directiva 2014/24/UE, de 26 de febrero, del Parlamento Europeo y del Consejo, cuyo art. 10 d) las recoge dentro de las exclusiones específicas relativas a los contratos de servicios, justificándolo en su considerando 25. Y sobre el alcance de esta exclusión se ha pronunciado la STJUE de 6 de junio de 2019 (asunto C-264/18, </w:t>
      </w:r>
      <w:r w:rsidRPr="009D7677">
        <w:rPr>
          <w:i/>
        </w:rPr>
        <w:t>P.M. y otros c. Ministerraad</w:t>
      </w:r>
      <w:r>
        <w:t>). Se trata, en suma, de servicios prestados por un abogado en el marco de una relación en la que ciertas características personales de una parte resultan determinantes para su adjudicación, lo que justifican la conveniencia de excluirlos del ámbito de aplicación de la ley. Se precisa, no obstante, que el art. 10 de la directiva excluye únicamente la representación legal en un procedimiento ante una instancia internacional de arbitraje o de conciliación, ante los órganos jurisdiccionales o instituciones internacionales, así como también el asesoramiento prestado como preparación del procedimiento.</w:t>
      </w:r>
    </w:p>
    <w:p w14:paraId="10D203F9" w14:textId="77777777" w:rsidR="009D7677" w:rsidRDefault="009D7677" w:rsidP="009D7677">
      <w:pPr>
        <w:pStyle w:val="TextoNormal"/>
      </w:pPr>
    </w:p>
    <w:p w14:paraId="00DBFF90" w14:textId="77777777" w:rsidR="009D7677" w:rsidRDefault="009D7677" w:rsidP="009D7677">
      <w:pPr>
        <w:pStyle w:val="TextoNormal"/>
      </w:pPr>
      <w:r>
        <w:t>A pesar de ello, el legislador español ha optado, al transponer la referida Directiva, por incluir aquellos servicios jurídicos dentro del ámbito de aplicación de la norma nacional, y, por su parte, el legislador navarro, ha excluido del ámbito de aplicación de la Ley Foral 2/2018 los servicios jurídicos objeto de controversia, pero no vulnera el orden competencial definido por la Constitución y la LORAFNA, pues de la inclusión de los servicios referidos por el legislador nacional y de la ulterior calificación del precepto como básico, no puede inferirse que sea una emanación del principio comunitario de igualdad de trato y que resulte indisponible por el legislador foral, que puede excluirlos del ámbito de aplicación de la Ley Foral 2/2018 porque lo respaldan la Directiva 2014/24/UE y la doctrina del Tribunal de Justicia de la Unión Europea.</w:t>
      </w:r>
    </w:p>
    <w:p w14:paraId="65B13E5B" w14:textId="77777777" w:rsidR="009D7677" w:rsidRDefault="009D7677" w:rsidP="009D7677">
      <w:pPr>
        <w:pStyle w:val="TextoNormal"/>
      </w:pPr>
    </w:p>
    <w:p w14:paraId="17E8C6A9" w14:textId="77777777" w:rsidR="009D7677" w:rsidRDefault="009D7677" w:rsidP="009D7677">
      <w:pPr>
        <w:pStyle w:val="TextoNormal"/>
      </w:pPr>
      <w:r>
        <w:t>d) Por lo que concierne a los acuerdos de adquisición pública de medicamentos, descarta, en primer lugar, que sea aplicable el título relativo a “legislación sobre productos farmacéuticos” invocado en la demanda, de acuerdo con la doctrina del Tribunal Constitucional sobre dicho título (STC 98/2004, de 25 de mayo, FJ 5), pues en los preceptos impugnados no se considera el concepto de medicamento desde el punto de vista del control exigible a los poderes públicos, sino desde la perspectiva de la “prestación sanitaria” del sistema de salud. Por tanto, el título aplicable sería el de las “bases y coordinación general de la sanidad”, ámbito en el que la intervención autonómica es mucho mayor, y en el que la competencia de Navarra resulta inequívoca de acuerdo con el art 148.1.21 CE y con el art. 53.1 LORAFNA. Por consiguiente, la Comunidad Foral de Navarra actúa en el ejercicio de sus legítimas competencias, y sin injerencia en la competencia estatal.</w:t>
      </w:r>
    </w:p>
    <w:p w14:paraId="79606353" w14:textId="77777777" w:rsidR="009D7677" w:rsidRDefault="009D7677" w:rsidP="009D7677">
      <w:pPr>
        <w:pStyle w:val="TextoNormal"/>
      </w:pPr>
    </w:p>
    <w:p w14:paraId="16512A93" w14:textId="77777777" w:rsidR="009D7677" w:rsidRDefault="009D7677" w:rsidP="009D7677">
      <w:pPr>
        <w:pStyle w:val="TextoNormal"/>
      </w:pPr>
      <w:r>
        <w:t>Por otra parte, recuerda que los “derechos históricos” reconocidos constitucionalmente permiten a la Comunidad Foral unas facultades legislativas más amplias en materia de contratación, y que la decisión del legislador foral de excluir del ámbito de aplicación de la Ley Foral 2/2018 los acuerdos de adquisición pública de medicamentos no vulneran el régimen de distribución de competencias. Indica que, aunque la legislación estatal considera tales acuerdos como un mero contrato de suministro, al no estar excluidos de su ámbito de aplicación (arts. 4 a 11 LCSP), sin embargo, tanto del propio preámbulo de la Ley 9/2017 como de su disposición adicional cuadragésima novena se desprende que dicha ley confiere libertad a las comunidades autónomas para apartarse de la aplicación de la legislación contractual y articular instrumentos no contractuales en el ámbito de los servicios sociales, sanitarios o farmacéuticos, siempre que se garantice la suficiente publicidad y el respeto a los principios de transparencia e igualdad de trato. Asimismo, menciona el con</w:t>
      </w:r>
      <w:r>
        <w:lastRenderedPageBreak/>
        <w:t xml:space="preserve">siderando cuarto de la Directiva 2014/24/UE, estimando que, según esta, no toda actuación de los poderes públicos en el mercado jurídico debe concluir con la materialización de un contrato público; posibilidad que ha sido confirmada reiteradamente por el Tribunal de Justicia de la Unión Europea (entre otras, sentencias de 2 de junio de 2016, asunto C-410/14, </w:t>
      </w:r>
      <w:r w:rsidRPr="009D7677">
        <w:rPr>
          <w:i/>
        </w:rPr>
        <w:t>Falk Pharma</w:t>
      </w:r>
      <w:r>
        <w:t xml:space="preserve">,  y de 1 de marzo de 2018, asunto C-9/17, </w:t>
      </w:r>
      <w:r w:rsidRPr="009D7677">
        <w:rPr>
          <w:i/>
        </w:rPr>
        <w:t>Tirkonnen</w:t>
      </w:r>
      <w:r>
        <w:t>), con la única cautela de que no se efectúe una selección previa. En estos casos, a lo sumo, deberá existir un contrato (derivado de un acuerdo público de adquisición) que determine las relaciones entre el ente público y el proveedor.</w:t>
      </w:r>
    </w:p>
    <w:p w14:paraId="6A378676" w14:textId="77777777" w:rsidR="009D7677" w:rsidRDefault="009D7677" w:rsidP="009D7677">
      <w:pPr>
        <w:pStyle w:val="TextoNormal"/>
      </w:pPr>
    </w:p>
    <w:p w14:paraId="60ACAD99" w14:textId="77777777" w:rsidR="009D7677" w:rsidRDefault="009D7677" w:rsidP="009D7677">
      <w:pPr>
        <w:pStyle w:val="TextoNormal"/>
      </w:pPr>
      <w:r>
        <w:t>Añade que la reforma introducida en la Ley Foral 2/2018 ha diferenciado tres supuestos distintos, recogidos en la disposición adicional vigesimoprimera:</w:t>
      </w:r>
    </w:p>
    <w:p w14:paraId="3EBF0C37" w14:textId="77777777" w:rsidR="009D7677" w:rsidRDefault="009D7677" w:rsidP="009D7677">
      <w:pPr>
        <w:pStyle w:val="TextoNormal"/>
      </w:pPr>
    </w:p>
    <w:p w14:paraId="19AD9A06" w14:textId="77777777" w:rsidR="009D7677" w:rsidRDefault="009D7677" w:rsidP="009D7677">
      <w:pPr>
        <w:pStyle w:val="TextoNormal"/>
      </w:pPr>
      <w:r>
        <w:t>(i) La adquisición de medicamentos con precios de venta de laboratorio fijados por el Sistema Nacional de Salud (apartado 1), en la que no resultan comprometidos los principios de libertad de acceso, transparencia, igualdad, y no discriminación, por cuanto no existe un proceso selectivo previo y la negociación sobre los precios ya se ha producido.</w:t>
      </w:r>
    </w:p>
    <w:p w14:paraId="2DCC7DB4" w14:textId="77777777" w:rsidR="009D7677" w:rsidRDefault="009D7677" w:rsidP="009D7677">
      <w:pPr>
        <w:pStyle w:val="TextoNormal"/>
      </w:pPr>
    </w:p>
    <w:p w14:paraId="6710EADA" w14:textId="77777777" w:rsidR="009D7677" w:rsidRDefault="009D7677" w:rsidP="009D7677">
      <w:pPr>
        <w:pStyle w:val="TextoNormal"/>
      </w:pPr>
      <w:r>
        <w:t>(ii) La adquisición de medicamentos con protección de patente (apartado 2), en la que solo existe un producto y se ha determinado su precio público, por lo que la exclusión de la contratación pública parece lo más correcto desde un planteamiento de eficacia administrativa.</w:t>
      </w:r>
    </w:p>
    <w:p w14:paraId="3F0B2BA7" w14:textId="77777777" w:rsidR="009D7677" w:rsidRDefault="009D7677" w:rsidP="009D7677">
      <w:pPr>
        <w:pStyle w:val="TextoNormal"/>
      </w:pPr>
    </w:p>
    <w:p w14:paraId="6855C9DE" w14:textId="77777777" w:rsidR="009D7677" w:rsidRDefault="009D7677" w:rsidP="009D7677">
      <w:pPr>
        <w:pStyle w:val="TextoNormal"/>
      </w:pPr>
      <w:r>
        <w:t>(iii) En cuanto a los medicamentos genéricos y biosimilares (apartado 3), si bien existe una concurrencia de proveedores, no hay un proceso selectivo previo, quedando los acuerdos de adquisición supeditados al cumplimiento de las condiciones prefijadas por el adquirente, y estando abiertos a nuevos proveedores que asuman las condiciones establecidas. La ley foral contempla la posibilidad de contar con un solo proveedor o un único medicamento, lo que requiere la iniciación de un procedimiento sujeto a los criterios y reglas establecidos en la propia disposición adicional, debiendo distinguirse entre el acuerdo público de adquisición (excluido de la aplicación de la ley foral) y el procedimiento de contratación ulterior, que debe cumplir con los requisitos previstos en el apartado 4 de la disposición adicional (existencia de criterios de selección cualitativos, comunicación a los posibles interesados y concesión de un plazo no inferior a diez días para la presentación de ofertas), por lo que no se vulneran los principios comunitarios de contratación pública.</w:t>
      </w:r>
    </w:p>
    <w:p w14:paraId="0E951BBC" w14:textId="77777777" w:rsidR="009D7677" w:rsidRDefault="009D7677" w:rsidP="009D7677">
      <w:pPr>
        <w:pStyle w:val="TextoNormal"/>
      </w:pPr>
    </w:p>
    <w:p w14:paraId="48653FCB" w14:textId="77777777" w:rsidR="009D7677" w:rsidRDefault="009D7677" w:rsidP="009D7677">
      <w:pPr>
        <w:pStyle w:val="TextoNormal"/>
      </w:pPr>
      <w:r>
        <w:t>En consecuencia, en los tres supuestos la característica esencial es la ausencia de una decisión previa de selección por parte del poder adjudicador, lo que es acorde con la doctrina del Tribunal de Justicia de la Unión Europea, y no existe ningún peligro para la competencia ni ninguna necesidad de aplicar las estrictas reglas de contratación pública, ya que es un sistema que admite a todos los operadores que reúnan los requisitos previamente establecidos, no resultan afectados los principios comunitarios en materia de contratación ni se perturba el mercado, sin que haya obstáculos para que los contratos celebrados en el marco de estos acuerdos adopten una naturaleza privada.</w:t>
      </w:r>
    </w:p>
    <w:p w14:paraId="7E3A72BD" w14:textId="77777777" w:rsidR="009D7677" w:rsidRDefault="009D7677" w:rsidP="009D7677">
      <w:pPr>
        <w:pStyle w:val="TextoNormal"/>
      </w:pPr>
    </w:p>
    <w:p w14:paraId="0BEE22AA" w14:textId="6A5088B4" w:rsidR="009D7677" w:rsidRDefault="009D7677" w:rsidP="009D7677">
      <w:pPr>
        <w:pStyle w:val="TextoNormal"/>
      </w:pPr>
      <w:r>
        <w:t xml:space="preserve">En definitiva, el conflicto competencial planteado por el Estado obedece a una indebida interpretación de las competencias de Navarra, cuyo techo competencial en materia de contratos públicos es más amplio que el de las demás comunidades autónomas. Y, en este </w:t>
      </w:r>
      <w:r>
        <w:lastRenderedPageBreak/>
        <w:t>caso, los preceptos recurridos no vulneran los “principios esenciales” de la legislación básica del Estado, pues actúan dentro del margen de los principios comunitarios.</w:t>
      </w:r>
    </w:p>
    <w:p w14:paraId="4B8449F0" w14:textId="77777777" w:rsidR="009D7677" w:rsidRDefault="009D7677" w:rsidP="009D7677">
      <w:pPr>
        <w:pStyle w:val="TextoNormal"/>
      </w:pPr>
    </w:p>
    <w:p w14:paraId="2680B826" w14:textId="77777777" w:rsidR="009D7677" w:rsidRDefault="009D7677" w:rsidP="009D7677">
      <w:pPr>
        <w:pStyle w:val="TextoNormal"/>
      </w:pPr>
      <w:r w:rsidRPr="009D7677">
        <w:rPr>
          <w:rStyle w:val="NumeroAFNegritaCaracter"/>
        </w:rPr>
        <w:t>6</w:t>
      </w:r>
      <w:r>
        <w:t>. El 18 de octubre de 2022 tuvo entrada en el registro de este tribunal el escrito del asesor jurídico-letrado de la Comunidad Foral de Navarra, en representación de su Gobierno, en el que solicita la íntegra desestimación del recurso, de acuerdo con los siguientes argumentos.</w:t>
      </w:r>
    </w:p>
    <w:p w14:paraId="3C72425B" w14:textId="77777777" w:rsidR="009D7677" w:rsidRDefault="009D7677" w:rsidP="009D7677">
      <w:pPr>
        <w:pStyle w:val="TextoNormal"/>
      </w:pPr>
    </w:p>
    <w:p w14:paraId="69B9648F" w14:textId="77777777" w:rsidR="009D7677" w:rsidRDefault="009D7677" w:rsidP="009D7677">
      <w:pPr>
        <w:pStyle w:val="TextoNormal"/>
      </w:pPr>
      <w:r>
        <w:t>A) Tras exponer los antecedentes del recurso, efectúa unas consideraciones generales señalando que la parte actora parece asumir formalmente la singularidad del régimen foral, lo que, sin embargo, no se traduce en el respeto al régimen establecido en la ley foral objeto de impugnación, amparada por la competencia histórica del art. 49.1 d) LORAFNA que no es de desarrollo legislativo, sino exclusiva. La particularidad de este peculiar régimen competencial se encuentra en la disposición adicional primera CE, que solo se predica de los territorios históricos incorporados a la Comunidad Autónoma del País Vasco y a la de Navarra y no es aplicable al resto de los territorios y comunidades (SSTC 214/1989, de 21 de diciembre, y 31/2010, de 28 de junio, FJ 14). Así, el título II de la LORAFNA revela que para Navarra no rige el techo competencial autonómico derivado del título VIII CE, y sus competencias exorbitantes enraízan en sus derechos históricos (STC 180/2016, de 20 de octubre, FJ 6), singularidad que reconocen diversas leyes estatales (aunque ese reconocimiento sea innecesario). Señala que no se compadece con la formal aceptación del régimen foral la motivación del recurso empleada para la declaración de inconstitucionalidad de las normas impugnadas, al aplicar como término comparativo “la legislación básica del Estado en materia contractual”, invocando la doctrina constitucional en la materia, especialmente la STC 68/2021, a partir de la cual se identifica sin ambages el título competencial de la comunidad foral con el de Aragón. Se reduce, así la competencia foral a una serie de “especialidades”, sin analizar debidamente el alcance de la norma de la LORAFNA e ignorando la distinta naturaleza de tal competencia.</w:t>
      </w:r>
    </w:p>
    <w:p w14:paraId="0F99EBDC" w14:textId="77777777" w:rsidR="009D7677" w:rsidRDefault="009D7677" w:rsidP="009D7677">
      <w:pPr>
        <w:pStyle w:val="TextoNormal"/>
      </w:pPr>
    </w:p>
    <w:p w14:paraId="759D9BC2" w14:textId="77777777" w:rsidR="009D7677" w:rsidRDefault="009D7677" w:rsidP="009D7677">
      <w:pPr>
        <w:pStyle w:val="TextoNormal"/>
      </w:pPr>
      <w:r>
        <w:t>B) A continuación, se hace referencia a las competencias estatal y foral en materia de contratación administrativa, mencionando el art. 149.1.18 CE así como la competencia exclusiva que el art. 49.1 d) LORAFNA atribuye a la comunidad foral en materia de “contratos y concesiones administrativas, respetando los principios esenciales de la legislación básica del Estado en la materia”, en cuyo ejercicio se han dictado leyes forales reguladoras de la contratación administrativa, con una regulación más amplia que el mero desarrollo de la legislación básica, sin cuestionamiento competencial alguno por el Estado. Asimismo, se cita la Ley de contratos del sector público, que se califica de extensa y densa, al ser en su mayor parte básica (disposición final primera), y que no se corresponde con la plasmación de auténticos principios que informan la contratación administrativa, sino que constituye una regulación específica y detallada de la materia. No obstante, tiene presente la singularidad de Navarra en su disposición final segunda, de la que se deduce, en una interpretación sistemática con la disposición final primera, que toda la Ley de contratos del sector público no es aplicable a Navarra sino respetando la LORAFNA; cláusula de salvaguardia del régimen foral similar a la contenida en otras leyes estatales, que resulta innecesaria.</w:t>
      </w:r>
    </w:p>
    <w:p w14:paraId="11F2BA68" w14:textId="77777777" w:rsidR="009D7677" w:rsidRDefault="009D7677" w:rsidP="009D7677">
      <w:pPr>
        <w:pStyle w:val="TextoNormal"/>
      </w:pPr>
    </w:p>
    <w:p w14:paraId="4EE24248" w14:textId="77777777" w:rsidR="009D7677" w:rsidRDefault="009D7677" w:rsidP="009D7677">
      <w:pPr>
        <w:pStyle w:val="TextoNormal"/>
      </w:pPr>
      <w:r>
        <w:t xml:space="preserve">C) Se detiene igualmente el escrito de alegaciones en el análisis de la singularidad competencial de Navarra en materia de contratos, partiendo de la literalidad del art. 49.1 </w:t>
      </w:r>
      <w:r>
        <w:lastRenderedPageBreak/>
        <w:t>d) LORAFNA, que recoge una competencia exclusiva de raíz histórica o foral, limitada por el respeto de los principios esenciales fijados por la legislación básica estatal, que son el tope competencial de Navarra (citando las facultades que le corresponden conforme al art. 40 LORAFNA respecto de las competencias exclusivas). El otro límite que rige para las competencias históricas o forales es el de la unidad constitucional, de las competencias ejercidas en el momento de aprobación de la LORAFNA conforme a la ley paccionada de 16 de agosto de 1841 (sobre los fueros de la provincia de Navarra) y disposiciones complementarias [arts. 2 y 39.1 a) LORAFNA]. Ahora bien, nunca podrá identificarse la subordinación a la Constitución con el sometimiento de la competencia histórica a normas estrictamente competenciales, pues, en tal caso, aquella se reduciría a la categoría de competencia autonómica. Se afirma que, en materia de contratos públicos [art. 49.1 d) LORAFNA], sea cual fuere el ámbito concreto del principio de unidad constitucional, es imposible reconducirlo al respeto de un concreto modelo de celebración de negocios en materia de servicios jurídicos o de productos farmacéuticos, lo que el recurso no intenta. No hay, pues, padecimiento alguno de ese límite por la normativa legal impugnada de contrario.</w:t>
      </w:r>
    </w:p>
    <w:p w14:paraId="2DE22B3B" w14:textId="77777777" w:rsidR="009D7677" w:rsidRDefault="009D7677" w:rsidP="009D7677">
      <w:pPr>
        <w:pStyle w:val="TextoNormal"/>
      </w:pPr>
    </w:p>
    <w:p w14:paraId="72DB7394" w14:textId="77777777" w:rsidR="009D7677" w:rsidRDefault="009D7677" w:rsidP="009D7677">
      <w:pPr>
        <w:pStyle w:val="TextoNormal"/>
      </w:pPr>
      <w:r>
        <w:t>Se menciona también lo que el escrito de alegaciones considera el reconocimiento por parte del Tribunal Constitucional de la diferencia del régimen foral de contratación pública respecto de otras comunidades que se encarna en la disposición final segunda de la Ley de contratos del sector público, efectuado en el fundamento jurídico 4 de la STC 68/2021. En primer lugar, porque la disposición adicional primera CE (SSTC 76/1988, de 26 de abril, y 118/2016, de 23 de junio) ampara y respeta los derechos forales de la Comunidad Autónoma del País Vasco y de Navarra (STC 110/2016, de 9 de junio) y no de otras comunidades. Y, por otra, porque el Tribunal Constitucional afirma con claridad (STC 158/2019, de 12 de diciembre) que es el Estatuto de Autonomía el elemento decisivo de actualización de esos derechos, siendo los correspondientes preceptos estatutarios los que expresan el contenido de la foralidad garantizada por la Constitución (SSTC 171/2014, de 23 de octubre, FJ 6, y 68/2018, de 21 de junio, FJ 5). Ello conduce nuevamente a la previsión del art. 49.1 d) LORAFNA.</w:t>
      </w:r>
    </w:p>
    <w:p w14:paraId="2C57BCD0" w14:textId="77777777" w:rsidR="009D7677" w:rsidRDefault="009D7677" w:rsidP="009D7677">
      <w:pPr>
        <w:pStyle w:val="TextoNormal"/>
      </w:pPr>
    </w:p>
    <w:p w14:paraId="758AB80F" w14:textId="77777777" w:rsidR="009D7677" w:rsidRDefault="009D7677" w:rsidP="009D7677">
      <w:pPr>
        <w:pStyle w:val="TextoNormal"/>
      </w:pPr>
      <w:r>
        <w:t>Ante la inexistencia de un pronunciamiento del Tribunal Constitucional que examine el título contractual foral de ese precepto, el representante del Gobierno navarro invoca la doctrina establecida en la STC 140/1990, relativa a otra competencia exclusiva que, según afirma, se formula en términos análogos en la LORAFNA: la relativa al régimen estatutario de los funcionarios públicos de la Comunidad Foral [art. 49.1 b)], que está limitada por el respeto a los derechos y obligaciones esenciales que la legislación básica del Estado reconozca los funcionarios públicos. De acuerdo con la citada sentencia, en una primera aproximación, esos derechos y obligaciones esenciales vienen constituidos por aquellos principios y reglas caracterizadores del propio modelo de función pública que conforman la sustancia misma de ese régimen, y sin los cuales el sistema no sería reconocible, pero no desplegarán ese efecto limitativo todas las previsiones de la legislación estatal básica relativas al régimen estatutario de los funcionarios públicos (fundamentos jurídicos 4 y 5). Dada la práctica identidad de ambas competencias, esa visión preliminar ha de aplicarse analógicamente, sirviendo también para delimitar el alcance de la competencia foral en materia de contratos, de modo que habrá que precisar en cada caso cuáles son los principios esenciales de la legislación básica estatal en la materia contractual, que serán los caracterizadores del propio modelo de contratación administrativa que conforman la sustan</w:t>
      </w:r>
      <w:r>
        <w:lastRenderedPageBreak/>
        <w:t>cia de ese régimen y permiten reconocerlo, pero no todas las “bases”, en el sentido que ha dado a ese concepto, por ejemplo, la STC 96/2004, de 24 de mayo, FJ 6 (respecto de la materia de sanidad interior).</w:t>
      </w:r>
    </w:p>
    <w:p w14:paraId="2BD5558F" w14:textId="77777777" w:rsidR="009D7677" w:rsidRDefault="009D7677" w:rsidP="009D7677">
      <w:pPr>
        <w:pStyle w:val="TextoNormal"/>
      </w:pPr>
    </w:p>
    <w:p w14:paraId="662D26AA" w14:textId="77777777" w:rsidR="009D7677" w:rsidRDefault="009D7677" w:rsidP="009D7677">
      <w:pPr>
        <w:pStyle w:val="TextoNormal"/>
      </w:pPr>
      <w:r>
        <w:t>Por lo que se refiere a los principios esenciales de la legislación básica del Estado, se indica que la propia Ley de contratos del sector público alude explícitamente en su preámbulo a los principios de igualdad de trato, no discriminación, transparencia, proporcionalidad, integridad y libre competencia. Su art. 1.1 establece que ha de garantizarse que la contratación del sector público se ajuste a los principios de libertad de acceso a las licitaciones, publicidad y transparencia de los procedimientos, y no discriminación e igualdad de trato entre los licitadores. También habrá de asegurarse una eficiente utilización de los fondos destinados a la realización de obras, la adquisición de bienes y la contratación de servicios mediante la exigencia de la definición previa de las necesidades a satisfacer, la salvaguarda de la libre competencia y la selección de la oferta económicamente más ventajosa. El art. 28 menciona y define los principios de necesidad, idoneidad y eficiencia (que en el art. 34 se cualifica como de buena administración). A estas reglas esenciales deben responder las normas básicas estatales, y solo en la medida en que traduzcan realmente esos principios, se someterá a los mismos la normativa foral en materia de contratos administrativos. Y se añade que, a la hora de interpretarlos, habrá de acudirse a la normativa comunitaria, dada la vinculación de la legislación básica estatal con la misma; vinculación que se reconoció en el acuerdo adoptado en la junta de cooperación Administración General del Estado-Comunidad Foral de Navarra, ante las posibles discrepancias con la Constitución que al Estado le sugerían, además de los preceptos impugnados, otros incorporados por la Ley Foral 17/2021. Y esos son los principios respetados por las normas cuestionadas, que no incurren en la vulneración que se les achaca, mientras que el recurso se limita a contrastar la norma foral con la básica del Estado.</w:t>
      </w:r>
    </w:p>
    <w:p w14:paraId="1557E8EA" w14:textId="77777777" w:rsidR="009D7677" w:rsidRDefault="009D7677" w:rsidP="009D7677">
      <w:pPr>
        <w:pStyle w:val="TextoNormal"/>
      </w:pPr>
    </w:p>
    <w:p w14:paraId="4906964E" w14:textId="77777777" w:rsidR="009D7677" w:rsidRDefault="009D7677" w:rsidP="009D7677">
      <w:pPr>
        <w:pStyle w:val="TextoNormal"/>
      </w:pPr>
      <w:r>
        <w:t>En cuanto al alcance de la legislación básica del Estado, el escrito de alegaciones se refiere a la STC 141/1993, que, según se afirma, apuntaría tres criterios: la configuración de lo básico como una norma con ley de principios, dirigida a asegurar un trato común de los administrados; la autonomía institucional, que implica que la ejecución interna del Derecho comunitario se hará de acuerdo con la distribución constitucional y estatutaria de competencias; y, por último, la no necesaria equiparación entre Derecho comunitario y legislación básica estatal. Se menciona, igualmente, la STC 68/2021 que, de acuerdo con doctrina anterior, define lo básico por el criterio teleológico consistente en determinar si los preceptos tienen como objetivo principal garantizar la efectividad de los principios generales de la contratación pública (los aludidos en el art. 1.1 LCSP), o si, por contraste, ese objetivo es puramente accesorio [FJ 5 E) a)]. También afirma dicha sentencia el carácter básico de las prescripciones que excluyen ciertos negocios o contratos del ámbito de la Ley de contratos del sector público o establecen los requisitos para esa exclusión, así como los que califican el tipo contractual según la naturaleza de las prestaciones o atendiendo al sujeto contratante o a la cuantía. Pero esas previsiones no arrojan luz sobre este caso, por no contemplar la STC 68/2021 el concreto objeto de debate de este proceso, y porque Navarra no se encuentra sometida a toda la normativa básica estatal.</w:t>
      </w:r>
    </w:p>
    <w:p w14:paraId="347D56DB" w14:textId="77777777" w:rsidR="009D7677" w:rsidRDefault="009D7677" w:rsidP="009D7677">
      <w:pPr>
        <w:pStyle w:val="TextoNormal"/>
      </w:pPr>
    </w:p>
    <w:p w14:paraId="4B8DA4B6" w14:textId="77777777" w:rsidR="009D7677" w:rsidRDefault="009D7677" w:rsidP="009D7677">
      <w:pPr>
        <w:pStyle w:val="TextoNormal"/>
      </w:pPr>
      <w:r>
        <w:t xml:space="preserve">D) En cuanto a la queja relativa a la exclusión de los servicios jurídicos de la Ley Foral de contratos públicos [art. 7.1 l)], se aduce que el recurso vuelve a entender que el carácter básico de la Ley de contratos del sector público ya constituye de por sí una cortapisa a que </w:t>
      </w:r>
      <w:r>
        <w:lastRenderedPageBreak/>
        <w:t>Navarra legisle sobre la mentada exclusión. Pero tales servicios se encuentran excluidos de la Directiva de Contratación 2014/24/UE, tal y como se establece en su art. 10 d) y se fundamenta en sus considerandos 4 y 25. Asimismo, el informe 4/2019 de la Junta Consultiva de Contratación Pública del Estado reconoce la posibilidad del legislador de regular o no por la norma de contratación pública esos servicios, aunque afirma que la decisión del legislador español es perfectamente congruente con el texto y el espíritu de la directiva y no puede calificarse como una incorrecta transposición, porque el legislador interno goza de la potestad de permitir su regulación por la norma contractual pública. En este caso, la Comunidad Foral de Navarra, en el ejercicio de sus competencias en la materia, y en una correcta transposición de la directiva europea, ha optado por excluirlos de la norma de contratos públicos; exclusión que no significa que se eludan los principios esenciales de la contratación del Tratado CE, tal y como demuestra el art. 34.1, párrafo cuarto de la Ley Foral de contratos públicos, al determinar que los contratos privados de la administración se regirán en cuanto su preparación y adjudicación, en defecto de normas específicas, por la ley foral y sus disposiciones de desarrollo. Denuncia, además, que la demanda, con invocación de la STC 68/2021, identifica plenamente el título competencial de la comunidad foral con el de Aragón, para sostener la inconstitucionalidad de la norma impugnada porque contradice lo que establece la norma básica estatal en uso de su propio derecho de opción, obviando la diferente naturaleza de la competencia foral, que le permite llevar a cabo la transposición de las directivas europeas en uso de las posibilidades que le ofrecen.</w:t>
      </w:r>
    </w:p>
    <w:p w14:paraId="2C46FF96" w14:textId="77777777" w:rsidR="009D7677" w:rsidRDefault="009D7677" w:rsidP="009D7677">
      <w:pPr>
        <w:pStyle w:val="TextoNormal"/>
      </w:pPr>
    </w:p>
    <w:p w14:paraId="0840582D" w14:textId="77777777" w:rsidR="009D7677" w:rsidRDefault="009D7677" w:rsidP="009D7677">
      <w:pPr>
        <w:pStyle w:val="TextoNormal"/>
      </w:pPr>
      <w:r>
        <w:t>E) A continuación, se aborda el examen de los argumentos dirigidos contra el art. 7.1 m) de la Ley Foral de contratos públicos, alegando que el recurso parte de la asunción apodíctica de que contraviene un límite supuestamente incorporado en la competencia de la comunidad foral, e identifica la frontera de esta última con la de otras comunidades, sometidas a la legislación básica, sin apelación a otra doctrina que así lo pueda corroborar: es una norma materialmente básica, en cuanto la Ley de contratos del sector público no excluye de su ámbito aplicativo ese tipo de acuerdos, pero no es ese el límite de la competencia foral. Y, sin desarrollar más la cuestión, el recurso pasa a examinar el régimen de la disposición adicional vigesimoprimera de la Ley Foral de contratos públicos.</w:t>
      </w:r>
    </w:p>
    <w:p w14:paraId="7951405F" w14:textId="77777777" w:rsidR="009D7677" w:rsidRDefault="009D7677" w:rsidP="009D7677">
      <w:pPr>
        <w:pStyle w:val="TextoNormal"/>
      </w:pPr>
    </w:p>
    <w:p w14:paraId="3CF91168" w14:textId="77777777" w:rsidR="009D7677" w:rsidRDefault="009D7677" w:rsidP="009D7677">
      <w:pPr>
        <w:pStyle w:val="TextoNormal"/>
      </w:pPr>
      <w:r>
        <w:t xml:space="preserve">F) Como último aspecto, trata el escrito de alegaciones lo relativo al régimen de adquisición de medicamentos de la disposición adicional vigesimoprimera de la Ley Foral de contratos públicos, afirmando que, como precisa el preámbulo de esta, se regula la adquisición de medicamentos de uso hospitalario, estableciendo un sistema en el que se fijan las condiciones generales, que pueden incluir o no rebajas sobre el precio establecido administrativamente, abiertas a una pluralidad de proveedores, con la posibilidad de incorporación posterior de otros operadores económicos, en atención a la doctrina establecida por el Tribunal de Justicia de la Unión Europea en la sentencia de 2 de junio de 2016 (asunto C-410/14, </w:t>
      </w:r>
      <w:r w:rsidRPr="009D7677">
        <w:rPr>
          <w:i/>
        </w:rPr>
        <w:t>Dr. Falk Pharma GmbH c. DAK-Gesundheit</w:t>
      </w:r>
      <w:r>
        <w:t>), dispensándose la licitación pública cuando ya exista un precio determinado administrativamente, negociado entre la administración y el proveedor farmacéutico.</w:t>
      </w:r>
    </w:p>
    <w:p w14:paraId="1EDD1C9D" w14:textId="77777777" w:rsidR="009D7677" w:rsidRDefault="009D7677" w:rsidP="009D7677">
      <w:pPr>
        <w:pStyle w:val="TextoNormal"/>
      </w:pPr>
    </w:p>
    <w:p w14:paraId="452CCC24" w14:textId="77777777" w:rsidR="009D7677" w:rsidRDefault="009D7677" w:rsidP="009D7677">
      <w:pPr>
        <w:pStyle w:val="TextoNormal"/>
      </w:pPr>
      <w:r>
        <w:t xml:space="preserve">a) El escrito descarta, en primer lugar, la vulneración de la competencia estatal </w:t>
      </w:r>
      <w:r w:rsidRPr="009D7677">
        <w:rPr>
          <w:i/>
        </w:rPr>
        <w:t>ex</w:t>
      </w:r>
      <w:r>
        <w:t xml:space="preserve"> art. 149.1.16 CE respecto a la legislación sobre productos farmacéuticos, de acuerdo con la definición que de dicho título ha dado la STC 98/2004, que los refiere a las condiciones de dispensación de tales productos, que exigen un previo enjuiciamiento de su posible peli</w:t>
      </w:r>
      <w:r>
        <w:lastRenderedPageBreak/>
        <w:t>grosidad o riesgo, materia en la que no incide la disposición impugnada, ni el recurso indica cómo puede padecer en este caso ese título competencial.</w:t>
      </w:r>
    </w:p>
    <w:p w14:paraId="3D11B7F1" w14:textId="77777777" w:rsidR="009D7677" w:rsidRDefault="009D7677" w:rsidP="009D7677">
      <w:pPr>
        <w:pStyle w:val="TextoNormal"/>
      </w:pPr>
    </w:p>
    <w:p w14:paraId="0F1E5DD7" w14:textId="77777777" w:rsidR="009D7677" w:rsidRDefault="009D7677" w:rsidP="009D7677">
      <w:pPr>
        <w:pStyle w:val="TextoNormal"/>
      </w:pPr>
      <w:r>
        <w:t>b) Por otra parte, indica que el recurso describe el procedimiento de dispensación de medicamentos en oficina de farmacia, que no guarda relación con la adquisición de medicamentos por las administraciones sanitarias, debiendo completarse esa explicación con la que conviene al procedimiento de adquisición pública de medicamentos, de acuerdo con lo dispuesto en los arts. 92 y 94 del texto refundido de la Ley de garantías y uso racional de los medicamentos y productos sanitarios (aprobado por Real Decreto Legislativo 1/2015, de 24 de julio). Decidida la financiación pública, es el Gobierno de la Nación el que establece los criterios y procedimiento para la fijación de precios de medicamentos y productos sanitarios financiables públicamente. Por último, el Ministerio de Sanidad establecerá el precio de venta al público de los medicamentos y productos sanitarios financiados, mediante la agregación del precio industrial autorizado y de los márgenes de las actividades de distribución mayorista y dispensación al público.</w:t>
      </w:r>
    </w:p>
    <w:p w14:paraId="545A6CD5" w14:textId="77777777" w:rsidR="009D7677" w:rsidRDefault="009D7677" w:rsidP="009D7677">
      <w:pPr>
        <w:pStyle w:val="TextoNormal"/>
      </w:pPr>
    </w:p>
    <w:p w14:paraId="4160DD65" w14:textId="77777777" w:rsidR="009D7677" w:rsidRDefault="009D7677" w:rsidP="009D7677">
      <w:pPr>
        <w:pStyle w:val="TextoNormal"/>
      </w:pPr>
      <w:r>
        <w:t>c) Asimismo, el procedimiento a que se somete la financiación y fijación de precios se lleva a cabo con intervención de los operadores farmacéuticos, refiriéndose tanto la doctrina científica como el Tribunal de Cuentas a un proceso de negociación, que es continuado, al quedar afectado por la aparición de nuevos medicamentos, por la constante evaluación de los medicamentos que son ya objeto de financiación, o por el establecimiento de nuevos precios. Además, el sistema impone obligaciones de confidencialidad, como las que se contienen en los arts. 16.4, 97.3 y 106.2 del texto refundido de la Ley de garantías y uso racional de los medicamentos y productos sanitarios.</w:t>
      </w:r>
    </w:p>
    <w:p w14:paraId="573220D8" w14:textId="77777777" w:rsidR="009D7677" w:rsidRDefault="009D7677" w:rsidP="009D7677">
      <w:pPr>
        <w:pStyle w:val="TextoNormal"/>
      </w:pPr>
    </w:p>
    <w:p w14:paraId="482D98C5" w14:textId="77777777" w:rsidR="009D7677" w:rsidRDefault="009D7677" w:rsidP="009D7677">
      <w:pPr>
        <w:pStyle w:val="TextoNormal"/>
      </w:pPr>
      <w:r>
        <w:t>d) A continuación, expone el escrito de alegaciones la doctrina del Tribunal de Justicia de la Unión Europea que precisa el alcance de las directivas de contratación pública en esta materia, afirmando que el precio es un elemento más del mercado, que coexiste con otros, por lo que no ha de conducir necesariamente a encauzar la adquisición del medicamento a través de un contrato público. Se menciona nuevamente la STJUE de 2 de junio de 2016, en la que se declaró que el sistema “</w:t>
      </w:r>
      <w:r w:rsidRPr="009D7677">
        <w:rPr>
          <w:i/>
        </w:rPr>
        <w:t>open-house</w:t>
      </w:r>
      <w:r>
        <w:t>” utilizado en Alemania para seleccionar el precio de medicamentos reembolsables sin seleccionar un proveedor único, y permitiendo la incorporación posterior de nuevos proveedores que asumiesen las condiciones establecidas, quedaba fuera del ámbito de aplicación de las directivas de contratación (apartados 36, 37 y 42). Si bien, el propio Tribunal de Justicia de la Unión Europea previene los límites jurídicos de ese sistema, señalando que estará sujeto a las normas fundamentales del Tratado de funcionamiento de la Unión Europea, en particular con los principios de no discriminación y de igualdad de trato entre los operadores económicos, así como con la obligación de transparencia, que exige realizar una publicidad adecuada (apartados 44 a 47). Este criterio se ha ampliado en la STJUE de 1 de marzo de 2018, asunto C-9/17, (</w:t>
      </w:r>
      <w:r w:rsidRPr="009D7677">
        <w:rPr>
          <w:i/>
        </w:rPr>
        <w:t>María Tirkkonen c Korkein hallinto-oikeus</w:t>
      </w:r>
      <w:r>
        <w:t>). Defiende el escrito de alegaciones que el sistema de establecimiento administrativo del precio de los medicamentos financiables por el Sistema Nacional de Salud encaja dentro de las cautelas jurídicas determinadas por el Tribunal de Justicia de la Unión Europea, por lo que es ajustada al Derecho comunitario de contratos públicos la adquisición directa de esos productos o el establecimiento de sistemas de compra que tengan en cuenta ese precio establecido por el ministerio, sin tener que licitar, seleccionar y contratar a proveedores únicos.</w:t>
      </w:r>
    </w:p>
    <w:p w14:paraId="033FE432" w14:textId="77777777" w:rsidR="009D7677" w:rsidRDefault="009D7677" w:rsidP="009D7677">
      <w:pPr>
        <w:pStyle w:val="TextoNormal"/>
      </w:pPr>
    </w:p>
    <w:p w14:paraId="233620B1" w14:textId="77777777" w:rsidR="009D7677" w:rsidRDefault="009D7677" w:rsidP="009D7677">
      <w:pPr>
        <w:pStyle w:val="TextoNormal"/>
      </w:pPr>
      <w:r>
        <w:lastRenderedPageBreak/>
        <w:t>e) Finalmente, se mantiene que la Ley Foral de contratos públicos no incurre en infracción alguna de principios esenciales de la normativa básica y que la transposición de la normativa comunitaria se ha hecho en Navarra de conformidad con sus principios y en atención a los límites que la LORAFNA establece al ejercicio de su competencia histórica, advirtiendo que la Ley de contratos del sector público parece ajustarse en menor medida a las directivas que transpone que la ley foral cuya constitucionalidad se cuestiona.</w:t>
      </w:r>
    </w:p>
    <w:p w14:paraId="499FEF31" w14:textId="77777777" w:rsidR="009D7677" w:rsidRDefault="009D7677" w:rsidP="009D7677">
      <w:pPr>
        <w:pStyle w:val="TextoNormal"/>
      </w:pPr>
    </w:p>
    <w:p w14:paraId="365D6A6F" w14:textId="77777777" w:rsidR="009D7677" w:rsidRDefault="009D7677" w:rsidP="009D7677">
      <w:pPr>
        <w:pStyle w:val="TextoNormal"/>
      </w:pPr>
      <w:r>
        <w:t xml:space="preserve">Así, por lo que se refiere a las adquisiciones de medicamentos genéricos, biosimilares y medicamentos originales, los servicios de farmacia podrán elegir cualquiera de ellos, atendiendo a criterios de eficiencia en la gestión, de entre los ofertados por los proveedores que asuman las condiciones previamente establecidas por el órgano competente, sin perjuicio de que se puedan celebrar acuerdos posteriores con nuevos proveedores que también las asuman. De existir la discrecionalidad que se denuncia en el recurso, sería de índole técnica, ante la imposibilidad de prever en un pliego las múltiples variables que puedan presentarse en relación con los medicamentos, con el mismo principio activo, sometido a controles externos al del poder que contrata, que impiden atender a criterios de eficacia estrictamente farmacológica. Pero pueden surgir detalles que inclinen la decisión técnica en favor de una u otra opción. En suma, la previsión normativa de la Ley Foral de contratos públicos encaja perfectamente en el concepto de adquisiciones </w:t>
      </w:r>
      <w:r w:rsidRPr="009D7677">
        <w:rPr>
          <w:i/>
        </w:rPr>
        <w:t>open-house</w:t>
      </w:r>
      <w:r>
        <w:t>, que se encuentran fuera del ámbito de aplicación de la directiva y no son contratos públicos, aunque deban respetar los principios generales del Tratado de funcionamiento de la Unión Europea.</w:t>
      </w:r>
    </w:p>
    <w:p w14:paraId="1083B1AD" w14:textId="77777777" w:rsidR="009D7677" w:rsidRDefault="009D7677" w:rsidP="009D7677">
      <w:pPr>
        <w:pStyle w:val="TextoNormal"/>
      </w:pPr>
    </w:p>
    <w:p w14:paraId="3339285B" w14:textId="77777777" w:rsidR="009D7677" w:rsidRDefault="009D7677" w:rsidP="009D7677">
      <w:pPr>
        <w:pStyle w:val="TextoNormal"/>
      </w:pPr>
      <w:r>
        <w:t>En cuanto a los medicamentos sujetos a patente, que representan el 80 por 100 del gasto farmacéutico, el margen de negociación económica es nulo, una vez finalizado el procedimiento administrativo de establecimiento de precios, no solo en el sistema que instaura la norma foral sino en cualquier procedimiento de adquisición pública de medicamentos. Pero conseguir la entrega de los medicamentos con la mayor celeridad posible resulta crítico para los pacientes que los necesitan, sin que de ello resulte una infracción de principio esencial alguno de la contratación pública, y es un medio para la satisfacción del interés público. La regulación actual del procedimiento negociado sin convocatoria de licitación se asemeja a lo establecido para el resto de los contratos en los que existe un mercado abierto que hace posible y exigible la competencia, mas, en estos supuestos, ni existe tal mercado ni es posible la competencia. Por tanto, el procedimiento que establece la Ley Foral de contratos públicos para la adquisición de estos medicamentos constituye un conjunto de exigencias de construcción propia del Derecho foral que no contravienen principio esencial alguno encarnado en la legislación básica estatal, sin que, se pueda asimilar la regulación de la Ley Foral de contratos públicos a la de otra ley autonómica de las Islas Baleares, como hace el recurso.</w:t>
      </w:r>
    </w:p>
    <w:p w14:paraId="25201769" w14:textId="77777777" w:rsidR="009D7677" w:rsidRDefault="009D7677" w:rsidP="009D7677">
      <w:pPr>
        <w:pStyle w:val="TextoNormal"/>
      </w:pPr>
    </w:p>
    <w:p w14:paraId="247E5424" w14:textId="2E031D38" w:rsidR="009D7677" w:rsidRDefault="009D7677" w:rsidP="009D7677">
      <w:pPr>
        <w:pStyle w:val="TextoNormal"/>
      </w:pPr>
      <w:r>
        <w:t>Por medio de otrosí se solicita el recibimiento del recurso a prueba, proponiendo la práctica de prueba documental, por unión del informe de 18 de octubre de 2022, del subdirector de Farmacia y Prestaciones del Servicio Navarro de Salud, que se aporta junto con el escrito de alegaciones.</w:t>
      </w:r>
    </w:p>
    <w:p w14:paraId="25FD28BA" w14:textId="77777777" w:rsidR="009D7677" w:rsidRDefault="009D7677" w:rsidP="009D7677">
      <w:pPr>
        <w:pStyle w:val="TextoNormal"/>
      </w:pPr>
    </w:p>
    <w:p w14:paraId="131AF3D1" w14:textId="66A6AE56" w:rsidR="009D7677" w:rsidRDefault="009D7677" w:rsidP="009D7677">
      <w:pPr>
        <w:pStyle w:val="TextoNormal"/>
      </w:pPr>
      <w:r w:rsidRPr="009D7677">
        <w:rPr>
          <w:rStyle w:val="NumeroAFNegritaCaracter"/>
        </w:rPr>
        <w:t>7</w:t>
      </w:r>
      <w:r>
        <w:t>. El 16 de enero de 2023 tuvo entrada en este tribunal escrito del asesor jurídico-letrado de la Comunidad Foral de Navarra, en la representación que ostenta, en el que señala la posibilidad de que el recurso haya perdido parcialmente objeto de manera sobreve</w:t>
      </w:r>
      <w:r>
        <w:lastRenderedPageBreak/>
        <w:t>nida como consecuencia de la íntegra modificación de la disposición adicional vigesimoprimera de la Ley Foral de contratos públicos en virtud de la Ley Foral 35/2022, de 28 de diciembre, de presupuestos generales de Navarra para el año 2023, de manera que dicha norma habría sido ya expulsada del ordenamiento jurídico. Subsidiariamente, los términos del debate habrían de versar sobre la nueva disposición, que acrecienta su acomodo a las exigencias del Derecho comunitario.</w:t>
      </w:r>
    </w:p>
    <w:p w14:paraId="440AA1E8" w14:textId="77777777" w:rsidR="009D7677" w:rsidRDefault="009D7677" w:rsidP="009D7677">
      <w:pPr>
        <w:pStyle w:val="TextoNormal"/>
      </w:pPr>
    </w:p>
    <w:p w14:paraId="7001B1B3" w14:textId="0C0B172B" w:rsidR="009D7677" w:rsidRDefault="009D7677" w:rsidP="009D7677">
      <w:pPr>
        <w:pStyle w:val="TextoNormal"/>
      </w:pPr>
      <w:r w:rsidRPr="009D7677">
        <w:rPr>
          <w:rStyle w:val="NumeroAFNegritaCaracter"/>
        </w:rPr>
        <w:t>8</w:t>
      </w:r>
      <w:r>
        <w:t>. Mediante providencia de 9 de abril de 2024 se señaló para deliberación y fallo de la presente sentencia el día 11 del mismo mes y año.</w:t>
      </w:r>
    </w:p>
    <w:p w14:paraId="151F1D2C" w14:textId="77777777" w:rsidR="009D7677" w:rsidRDefault="009D7677" w:rsidP="009D7677">
      <w:pPr>
        <w:pStyle w:val="TextoNormal"/>
      </w:pPr>
    </w:p>
    <w:p w14:paraId="09BDD123" w14:textId="77777777" w:rsidR="009D7677" w:rsidRDefault="009D7677" w:rsidP="009D7677">
      <w:pPr>
        <w:pStyle w:val="TextoNormalNegritaCentrado"/>
        <w:keepNext/>
      </w:pPr>
      <w:r>
        <w:t>II. Fundamentos jurídicos</w:t>
      </w:r>
    </w:p>
    <w:p w14:paraId="00D430A1" w14:textId="675A2EAF" w:rsidR="009D7677" w:rsidRDefault="009D7677" w:rsidP="009D7677">
      <w:pPr>
        <w:pStyle w:val="TextoNormalNegritaCentrado"/>
        <w:keepNext/>
      </w:pPr>
    </w:p>
    <w:p w14:paraId="398B3732" w14:textId="77777777" w:rsidR="009D7677" w:rsidRDefault="009D7677" w:rsidP="009D7677">
      <w:pPr>
        <w:pStyle w:val="TextoNormal"/>
      </w:pPr>
      <w:r w:rsidRPr="009D7677">
        <w:rPr>
          <w:rStyle w:val="NumeroAFNegritaCaracter"/>
        </w:rPr>
        <w:t>1</w:t>
      </w:r>
      <w:r>
        <w:t xml:space="preserve">. </w:t>
      </w:r>
      <w:r w:rsidRPr="009D7677">
        <w:rPr>
          <w:i/>
        </w:rPr>
        <w:t>Objeto del recurso y posiciones de las partes</w:t>
      </w:r>
    </w:p>
    <w:p w14:paraId="7461AAEE" w14:textId="77777777" w:rsidR="009D7677" w:rsidRDefault="009D7677" w:rsidP="009D7677">
      <w:pPr>
        <w:pStyle w:val="TextoNormal"/>
      </w:pPr>
    </w:p>
    <w:p w14:paraId="0673F371" w14:textId="77777777" w:rsidR="009D7677" w:rsidRDefault="009D7677" w:rsidP="009D7677">
      <w:pPr>
        <w:pStyle w:val="TextoNormal"/>
      </w:pPr>
      <w:r>
        <w:t>En el presente recurso de inconstitucionalidad, promovido por el presidente del Gobierno, se impugna el artículo único de la Ley Foral 17/2021, de 21 de octubre, por la que se modifica la Ley Foral 2/2018, de 13 de abril, de contratos públicos, apartado 2, que añade las letras l) y m) al art. 7.1 de la Ley Foral 2/2018, y 65, que incorpora a esta última una disposición adicional vigesimoprimera. El tenor de los preceptos impugnados es el siguiente:</w:t>
      </w:r>
    </w:p>
    <w:p w14:paraId="53113556" w14:textId="77777777" w:rsidR="009D7677" w:rsidRDefault="009D7677" w:rsidP="009D7677">
      <w:pPr>
        <w:pStyle w:val="TextoNormal"/>
      </w:pPr>
    </w:p>
    <w:p w14:paraId="7C7EB894" w14:textId="77777777" w:rsidR="009D7677" w:rsidRDefault="009D7677" w:rsidP="009D7677">
      <w:pPr>
        <w:pStyle w:val="TextoNormal"/>
      </w:pPr>
      <w:r>
        <w:t>“Artículo único. Modificación de la Ley Foral 2/2018, de 13 de abril, de contratos públicos.</w:t>
      </w:r>
    </w:p>
    <w:p w14:paraId="43238241" w14:textId="77777777" w:rsidR="009D7677" w:rsidRDefault="009D7677" w:rsidP="009D7677">
      <w:pPr>
        <w:pStyle w:val="TextoNormal"/>
      </w:pPr>
    </w:p>
    <w:p w14:paraId="39083BC5" w14:textId="77777777" w:rsidR="009D7677" w:rsidRDefault="009D7677" w:rsidP="009D7677">
      <w:pPr>
        <w:pStyle w:val="TextoNormal"/>
      </w:pPr>
      <w:r>
        <w:t>La Ley Foral 2/2018, de 13 de abril, de contratos públicos, queda modificada en los siguientes términos:</w:t>
      </w:r>
    </w:p>
    <w:p w14:paraId="22782AC7" w14:textId="77777777" w:rsidR="009D7677" w:rsidRDefault="009D7677" w:rsidP="009D7677">
      <w:pPr>
        <w:pStyle w:val="TextoNormal"/>
      </w:pPr>
    </w:p>
    <w:p w14:paraId="67033EBF" w14:textId="77777777" w:rsidR="009D7677" w:rsidRDefault="009D7677" w:rsidP="009D7677">
      <w:pPr>
        <w:pStyle w:val="TextoNormal"/>
      </w:pPr>
      <w:r>
        <w:t>[…]</w:t>
      </w:r>
    </w:p>
    <w:p w14:paraId="29F25FCB" w14:textId="77777777" w:rsidR="009D7677" w:rsidRDefault="009D7677" w:rsidP="009D7677">
      <w:pPr>
        <w:pStyle w:val="TextoNormal"/>
      </w:pPr>
    </w:p>
    <w:p w14:paraId="49182E52" w14:textId="77777777" w:rsidR="009D7677" w:rsidRDefault="009D7677" w:rsidP="009D7677">
      <w:pPr>
        <w:pStyle w:val="TextoNormal"/>
      </w:pPr>
      <w:r>
        <w:t>2. Se añaden tres nuevas letras al apartado 1 del artículo 7, con la siguiente redacción:</w:t>
      </w:r>
    </w:p>
    <w:p w14:paraId="3E25CA44" w14:textId="77777777" w:rsidR="009D7677" w:rsidRDefault="009D7677" w:rsidP="009D7677">
      <w:pPr>
        <w:pStyle w:val="TextoNormal"/>
      </w:pPr>
    </w:p>
    <w:p w14:paraId="434BBEE1" w14:textId="77777777" w:rsidR="009D7677" w:rsidRDefault="009D7677" w:rsidP="009D7677">
      <w:pPr>
        <w:pStyle w:val="TextoNormal"/>
      </w:pPr>
      <w:r>
        <w:t>‘l) Los siguientes servicios jurídicos:</w:t>
      </w:r>
    </w:p>
    <w:p w14:paraId="6760654C" w14:textId="77777777" w:rsidR="009D7677" w:rsidRDefault="009D7677" w:rsidP="009D7677">
      <w:pPr>
        <w:pStyle w:val="TextoNormal"/>
      </w:pPr>
    </w:p>
    <w:p w14:paraId="523104E1" w14:textId="77777777" w:rsidR="009D7677" w:rsidRDefault="009D7677" w:rsidP="009D7677">
      <w:pPr>
        <w:pStyle w:val="TextoNormal"/>
      </w:pPr>
      <w:r>
        <w:t>1. Representación legal de un cliente por un abogado, en el sentido del artículo 1 de la Directiva 77/249/CEE del Consejo en un arbitraje o una conciliación celebrada en un Estado miembro, un tercer país o ante una instancia internacional de conciliación o arbitraje, o un procedimiento judicial ante los órganos jurisdiccionales o las autoridades públicas de un Estado miembro, un tercer país o ante órganos jurisdiccionales o instituciones internacionales.</w:t>
      </w:r>
    </w:p>
    <w:p w14:paraId="197C8B02" w14:textId="77777777" w:rsidR="009D7677" w:rsidRDefault="009D7677" w:rsidP="009D7677">
      <w:pPr>
        <w:pStyle w:val="TextoNormal"/>
      </w:pPr>
    </w:p>
    <w:p w14:paraId="4F1FBE06" w14:textId="77777777" w:rsidR="009D7677" w:rsidRDefault="009D7677" w:rsidP="009D7677">
      <w:pPr>
        <w:pStyle w:val="TextoNormal"/>
      </w:pPr>
      <w:r>
        <w:t>2. Asesoramiento jurídico prestado como preparación de uno de los procedimientos mencionados en el apartado anterior o cuando haya una indicación concreta y una alta probabilidad de que el asunto sobre el que se asesora será objeto de dichos procedimientos, siempre que el asesoramiento lo preste un abogado en el sentido del artículo 1 de la Directiva 77/249/CEE.</w:t>
      </w:r>
    </w:p>
    <w:p w14:paraId="4B345A2F" w14:textId="77777777" w:rsidR="009D7677" w:rsidRDefault="009D7677" w:rsidP="009D7677">
      <w:pPr>
        <w:pStyle w:val="TextoNormal"/>
      </w:pPr>
    </w:p>
    <w:p w14:paraId="4129DA03" w14:textId="77777777" w:rsidR="009D7677" w:rsidRDefault="009D7677" w:rsidP="009D7677">
      <w:pPr>
        <w:pStyle w:val="TextoNormal"/>
      </w:pPr>
      <w:r>
        <w:lastRenderedPageBreak/>
        <w:t>3. Servicios de certificación y autenticación de documentos que deban ser prestados por un notario.</w:t>
      </w:r>
    </w:p>
    <w:p w14:paraId="1D5AAACD" w14:textId="77777777" w:rsidR="009D7677" w:rsidRDefault="009D7677" w:rsidP="009D7677">
      <w:pPr>
        <w:pStyle w:val="TextoNormal"/>
      </w:pPr>
    </w:p>
    <w:p w14:paraId="62E8BD2B" w14:textId="77777777" w:rsidR="009D7677" w:rsidRDefault="009D7677" w:rsidP="009D7677">
      <w:pPr>
        <w:pStyle w:val="TextoNormal"/>
      </w:pPr>
      <w:r>
        <w:t>m) Los acuerdos de adquisición pública de medicamentos, conforme a la disposición adicional vigesimoprimera de esta ley foral’.</w:t>
      </w:r>
    </w:p>
    <w:p w14:paraId="512E5A82" w14:textId="77777777" w:rsidR="009D7677" w:rsidRDefault="009D7677" w:rsidP="009D7677">
      <w:pPr>
        <w:pStyle w:val="TextoNormal"/>
      </w:pPr>
    </w:p>
    <w:p w14:paraId="5EB303CD" w14:textId="77777777" w:rsidR="009D7677" w:rsidRDefault="009D7677" w:rsidP="009D7677">
      <w:pPr>
        <w:pStyle w:val="TextoNormal"/>
      </w:pPr>
      <w:r>
        <w:t>[…]</w:t>
      </w:r>
    </w:p>
    <w:p w14:paraId="36F7BEB6" w14:textId="77777777" w:rsidR="009D7677" w:rsidRDefault="009D7677" w:rsidP="009D7677">
      <w:pPr>
        <w:pStyle w:val="TextoNormal"/>
      </w:pPr>
    </w:p>
    <w:p w14:paraId="3ED87D4C" w14:textId="77777777" w:rsidR="009D7677" w:rsidRDefault="009D7677" w:rsidP="009D7677">
      <w:pPr>
        <w:pStyle w:val="TextoNormal"/>
      </w:pPr>
      <w:r>
        <w:t>65. Se introduce una nueva disposición adicional vigesimoprimera con la siguiente redacción:</w:t>
      </w:r>
    </w:p>
    <w:p w14:paraId="7B379BB4" w14:textId="77777777" w:rsidR="009D7677" w:rsidRDefault="009D7677" w:rsidP="009D7677">
      <w:pPr>
        <w:pStyle w:val="TextoNormal"/>
      </w:pPr>
    </w:p>
    <w:p w14:paraId="42B0A8B8" w14:textId="77777777" w:rsidR="009D7677" w:rsidRDefault="009D7677" w:rsidP="009D7677">
      <w:pPr>
        <w:pStyle w:val="TextoNormal"/>
      </w:pPr>
      <w:r>
        <w:t>‘Disposición adicional vigesimoprimera. Régimen aplicable a la adquisición pública de medicamentos.</w:t>
      </w:r>
    </w:p>
    <w:p w14:paraId="1755895F" w14:textId="77777777" w:rsidR="009D7677" w:rsidRDefault="009D7677" w:rsidP="009D7677">
      <w:pPr>
        <w:pStyle w:val="TextoNormal"/>
      </w:pPr>
    </w:p>
    <w:p w14:paraId="53710A08" w14:textId="77777777" w:rsidR="009D7677" w:rsidRDefault="009D7677" w:rsidP="009D7677">
      <w:pPr>
        <w:pStyle w:val="TextoNormal"/>
      </w:pPr>
      <w:r>
        <w:t>1. Los medicamentos con precios de venta de laboratorio fijados para el Sistema Nacional de Salud, en tanto que ya ha existido negociación con una instancia pública y fijación administrativa del precio, podrán ser adquiridos directamente por el Servicio Navarro de Salud-Osasunbidea sin necesidad de licitación.</w:t>
      </w:r>
    </w:p>
    <w:p w14:paraId="73F4FE22" w14:textId="77777777" w:rsidR="009D7677" w:rsidRDefault="009D7677" w:rsidP="009D7677">
      <w:pPr>
        <w:pStyle w:val="TextoNormal"/>
      </w:pPr>
    </w:p>
    <w:p w14:paraId="15AB9DD6" w14:textId="77777777" w:rsidR="009D7677" w:rsidRDefault="009D7677" w:rsidP="009D7677">
      <w:pPr>
        <w:pStyle w:val="TextoNormal"/>
      </w:pPr>
      <w:r>
        <w:t>2. Los medicamentos con protección de patente, determinado el precio público por la comisión interministerial de precios de los medicamentos, podrán ser adquiridos directamente por el Servicio Navarro de Salud-Osasunbidea, tomando como referencia máxima el precio determinado por el Ministerio de Sanidad.</w:t>
      </w:r>
    </w:p>
    <w:p w14:paraId="7B54B3F5" w14:textId="77777777" w:rsidR="009D7677" w:rsidRDefault="009D7677" w:rsidP="009D7677">
      <w:pPr>
        <w:pStyle w:val="TextoNormal"/>
      </w:pPr>
    </w:p>
    <w:p w14:paraId="64B502AF" w14:textId="77777777" w:rsidR="009D7677" w:rsidRDefault="009D7677" w:rsidP="009D7677">
      <w:pPr>
        <w:pStyle w:val="TextoNormal"/>
      </w:pPr>
      <w:r>
        <w:t>3. En las adquisiciones de medicamentos genéricos, biosimilares y medicamentos originales, los servicios de farmacia podrán elegir cualquiera de estos medicamentos, atendiendo a criterios de eficiencia en la gestión, de entre los ofertados por los proveedores que asuman las condiciones que previamente haya establecido el órgano competente para adquirirlos, que serán de cumplimiento obligado. La celebración de un acuerdo de adquisición pública de medicamentos con uno o varios proveedores no impedirá la celebración de acuerdos posteriores con nuevos proveedores que asuman las condiciones establecidas.</w:t>
      </w:r>
    </w:p>
    <w:p w14:paraId="7C289A18" w14:textId="77777777" w:rsidR="009D7677" w:rsidRDefault="009D7677" w:rsidP="009D7677">
      <w:pPr>
        <w:pStyle w:val="TextoNormal"/>
      </w:pPr>
    </w:p>
    <w:p w14:paraId="27F7B49C" w14:textId="77777777" w:rsidR="009D7677" w:rsidRDefault="009D7677" w:rsidP="009D7677">
      <w:pPr>
        <w:pStyle w:val="TextoNormal"/>
      </w:pPr>
      <w:r>
        <w:t>4. No obstante lo señalado en el punto anterior, de considerarse más conveniente contar con un único proveedor o un único medicamento de los señalados, se podrá seleccionar uno entre ellos como destinatario de los pedidos, realizando un procedimiento en el que se establecerán los criterios de selección cualitativos que se tendrán en cuenta para la selección, así como su ponderación. Deberá darse participación a todos los posibles proveedores y se otorgará un plazo no inferior a diez días, desde la publicación en internet o desde el envío de la invitación, para que presenten sus ofertas. La unidad responsable, de forma motivada, notificará y publicará en internet el resultado del procedimiento. El plazo de estos acuerdos de adquisición pública de medicamentos con un proveedor o medicamento único no podrá superar un año, excepto que el importe anual no exceda los 100 000 €, en cuyo caso se podrá prorrogar por un año más, previa conformidad de las partes.</w:t>
      </w:r>
    </w:p>
    <w:p w14:paraId="62C1F63B" w14:textId="77777777" w:rsidR="009D7677" w:rsidRDefault="009D7677" w:rsidP="009D7677">
      <w:pPr>
        <w:pStyle w:val="TextoNormal"/>
      </w:pPr>
    </w:p>
    <w:p w14:paraId="2A17F9FE" w14:textId="77777777" w:rsidR="009D7677" w:rsidRDefault="009D7677" w:rsidP="009D7677">
      <w:pPr>
        <w:pStyle w:val="TextoNormal"/>
      </w:pPr>
      <w:r>
        <w:t>5. Los acuerdos de adquisición pública de medicamentos, en cualquiera de sus modalidades, tendrán naturaleza privada, pero se exigirá en su tramitación lo siguiente:</w:t>
      </w:r>
    </w:p>
    <w:p w14:paraId="11AEB050" w14:textId="77777777" w:rsidR="009D7677" w:rsidRDefault="009D7677" w:rsidP="009D7677">
      <w:pPr>
        <w:pStyle w:val="TextoNormal"/>
      </w:pPr>
    </w:p>
    <w:p w14:paraId="4A98FA0B" w14:textId="77777777" w:rsidR="009D7677" w:rsidRDefault="009D7677" w:rsidP="009D7677">
      <w:pPr>
        <w:pStyle w:val="TextoNormal"/>
      </w:pPr>
      <w:r>
        <w:t>a) Justificación de la necesidad y de la existencia de crédito.</w:t>
      </w:r>
    </w:p>
    <w:p w14:paraId="1CD1693F" w14:textId="77777777" w:rsidR="009D7677" w:rsidRDefault="009D7677" w:rsidP="009D7677">
      <w:pPr>
        <w:pStyle w:val="TextoNormal"/>
      </w:pPr>
    </w:p>
    <w:p w14:paraId="5CEFB18F" w14:textId="77777777" w:rsidR="009D7677" w:rsidRDefault="009D7677" w:rsidP="009D7677">
      <w:pPr>
        <w:pStyle w:val="TextoNormal"/>
      </w:pPr>
      <w:r>
        <w:t>b) Determinación de las condiciones a cumplir por los proveedores previendo expresamente el sistema de pago y penalidades contractuales por incumplimientos de plazos, calidad del producto y/o volumen suministrado.</w:t>
      </w:r>
    </w:p>
    <w:p w14:paraId="0E6BC87E" w14:textId="77777777" w:rsidR="009D7677" w:rsidRDefault="009D7677" w:rsidP="009D7677">
      <w:pPr>
        <w:pStyle w:val="TextoNormal"/>
      </w:pPr>
    </w:p>
    <w:p w14:paraId="4C4568C8" w14:textId="77777777" w:rsidR="009D7677" w:rsidRDefault="009D7677" w:rsidP="009D7677">
      <w:pPr>
        <w:pStyle w:val="TextoNormal"/>
      </w:pPr>
      <w:r>
        <w:t>c) Solicitud formal a la empresa, cuya aceptación implica el compromiso de cumplimiento de todos los términos del acuerdo.</w:t>
      </w:r>
    </w:p>
    <w:p w14:paraId="0B0D03BD" w14:textId="77777777" w:rsidR="009D7677" w:rsidRDefault="009D7677" w:rsidP="009D7677">
      <w:pPr>
        <w:pStyle w:val="TextoNormal"/>
      </w:pPr>
    </w:p>
    <w:p w14:paraId="147F8292" w14:textId="77777777" w:rsidR="009D7677" w:rsidRDefault="009D7677" w:rsidP="009D7677">
      <w:pPr>
        <w:pStyle w:val="TextoNormal"/>
      </w:pPr>
      <w:r>
        <w:t>6. Los acuerdos de adquisición pública de medicamentos de tracto sucesivo podrán prever su modificación y causas de resolución específicas’”.</w:t>
      </w:r>
    </w:p>
    <w:p w14:paraId="5548E6E3" w14:textId="77777777" w:rsidR="009D7677" w:rsidRDefault="009D7677" w:rsidP="009D7677">
      <w:pPr>
        <w:pStyle w:val="TextoNormal"/>
      </w:pPr>
    </w:p>
    <w:p w14:paraId="145CB8F1" w14:textId="77777777" w:rsidR="009D7677" w:rsidRDefault="009D7677" w:rsidP="009D7677">
      <w:pPr>
        <w:pStyle w:val="TextoNormal"/>
      </w:pPr>
      <w:r>
        <w:t>El recurso denuncia la vulneración de la competencia estatal en materia de legislación básica sobre contratos y concesiones administrativas (art. 149.1.18 CE) por excluir de la contratación pública determinados servicios y los acuerdos de adquisición pública de medicamentos, para los que se establece un régimen específico, en cuanto al cual se alega, además, la competencia exclusiva del Estado respecto a la legislación sobre productos farmacéuticos (art. 149.1.16 CE).</w:t>
      </w:r>
    </w:p>
    <w:p w14:paraId="7631A3A8" w14:textId="77777777" w:rsidR="009D7677" w:rsidRDefault="009D7677" w:rsidP="009D7677">
      <w:pPr>
        <w:pStyle w:val="TextoNormal"/>
      </w:pPr>
    </w:p>
    <w:p w14:paraId="65E1FA44" w14:textId="171CC38D" w:rsidR="009D7677" w:rsidRDefault="009D7677" w:rsidP="009D7677">
      <w:pPr>
        <w:pStyle w:val="TextoNormal"/>
      </w:pPr>
      <w:r>
        <w:t>Por su parte, las representaciones del Parlamento y del Gobierno de Navarra solicitan la desestimación del recurso por los motivos que han quedados expuestos detalladamente en los antecedentes, en los que, en síntesis, se invoca la competencia exclusiva de carácter histórico del art. 49.1 d) LORAFNA sobre contratos y concesiones administrativas, limitada únicamente por la unidad constitucional y por los principios esenciales de la legislación básica del Estado, y no por toda ella, así como que las normas impugnadas responden a las directivas europeas sobre contratación y a la jurisprudencia del Tribunal de Justicia de la Unión Europea.</w:t>
      </w:r>
    </w:p>
    <w:p w14:paraId="5B13DC96" w14:textId="77777777" w:rsidR="009D7677" w:rsidRDefault="009D7677" w:rsidP="009D7677">
      <w:pPr>
        <w:pStyle w:val="TextoNormal"/>
      </w:pPr>
    </w:p>
    <w:p w14:paraId="55C2BD93" w14:textId="77777777" w:rsidR="009D7677" w:rsidRDefault="009D7677" w:rsidP="009D7677">
      <w:pPr>
        <w:pStyle w:val="TextoNormal"/>
      </w:pPr>
      <w:r w:rsidRPr="009D7677">
        <w:rPr>
          <w:rStyle w:val="NumeroAFNegritaCaracter"/>
        </w:rPr>
        <w:t>2</w:t>
      </w:r>
      <w:r>
        <w:t xml:space="preserve">. </w:t>
      </w:r>
      <w:r w:rsidRPr="009D7677">
        <w:rPr>
          <w:i/>
        </w:rPr>
        <w:t>Consideraciones previas: efectos sobre el recurso de la modificación de la norma impugnada</w:t>
      </w:r>
    </w:p>
    <w:p w14:paraId="41D6A6DC" w14:textId="77777777" w:rsidR="009D7677" w:rsidRDefault="009D7677" w:rsidP="009D7677">
      <w:pPr>
        <w:pStyle w:val="TextoNormal"/>
      </w:pPr>
    </w:p>
    <w:p w14:paraId="3C92E0F7" w14:textId="77777777" w:rsidR="009D7677" w:rsidRDefault="009D7677" w:rsidP="009D7677">
      <w:pPr>
        <w:pStyle w:val="TextoNormal"/>
      </w:pPr>
      <w:r>
        <w:t>Antes de proceder al análisis de las quejas formuladas por el abogado del Estado, es necesario determinar la pervivencia de la controversia, en los términos en que ha sido planteada, dado que durante la vigencia de este procedimiento se han aprobado sendas leyes forales que afectan parcialmente a las normas impugnadas en este recurso de inconstitucionalidad. En primer lugar, la Ley Foral 35/2022, de 28 de diciembre, de presupuestos generales de Navarra para el año 2023, cuya disposición final segunda, apartado siete modificó íntegramente la disposición adicional vigesimoprimera de la Ley Foral 2/2018. La Ley Foral 35/2022 entró en vigor al día siguiente de su publicación en el “Boletín Oficial de Navarra” (disposición final decimosexta), que tuvo lugar el 30 de diciembre de 2022. En segundo lugar, Ley Foral 2/2024, de 13 de marzo, de presupuestos generales de Navarra para el año 2024, cuya disposición final segunda, en su apartado seis, suprime el punto 2 de la misma disposición adicional vigesimoprimera. Esta última ley entró en vigor al día siguiente de su publicación en el “Boletín Oficial de Navarra” (disposición final séptima), que se produjo el 14 de marzo de 2024. En consecuencia, es preciso determinar la incidencia que dichas modificaciones tienen sobre este procedimiento.</w:t>
      </w:r>
    </w:p>
    <w:p w14:paraId="7F34C90A" w14:textId="77777777" w:rsidR="009D7677" w:rsidRDefault="009D7677" w:rsidP="009D7677">
      <w:pPr>
        <w:pStyle w:val="TextoNormal"/>
      </w:pPr>
    </w:p>
    <w:p w14:paraId="15F4DE57" w14:textId="77777777" w:rsidR="009D7677" w:rsidRDefault="009D7677" w:rsidP="009D7677">
      <w:pPr>
        <w:pStyle w:val="TextoNormal"/>
      </w:pPr>
      <w:r>
        <w:t xml:space="preserve">De acuerdo con la doctrina de este tribunal, la regla general en los recursos de inconstitucionalidad es que la modificación, derogación o pérdida de vigencia de la norma que se </w:t>
      </w:r>
      <w:r>
        <w:lastRenderedPageBreak/>
        <w:t>recurre produce la extinción del procedimiento, ya que la finalidad de este proceso abstracto no es otra que la depuración del ordenamiento jurídico, algo innecesario cuando el propio legislador ha expulsado la norma de dicho ordenamiento [por todas, STC 82/2020, de 15 de julio, FJ 2 b)]. Ahora bien, cuando se trata de modificaciones normativas que inciden en procesos constitucionales de naturaleza competencial, como el que ahora nos ocupa, este tribunal ha afirmado reiteradamente que la eventual apreciación de la pérdida de objeto del proceso dependerá de la incidencia real que sobre el mismo tenga la derogación, sustitución o modificación de la norma, y que no puede resolverse apriorísticamente en función de criterios abstractos o genéricos, pues lo relevante no es tanto la expulsión de la concreta norma impugnada del ordenamiento, cuanto determinar si con esa expulsión ha cesado o no la controversia competencial, toda vez que poner fin a la misma a la luz del orden constitucional de reparto de competencias es el fin último al que sirven tales procesos. De modo que si la normativa en torno a la cual se trabó el conflicto resulta sustituida por otra que viene a plantear los mismos problemas competenciales la consecuencia será la no desaparición del conflicto [entre otras, STC 38/2021, de 18 de febrero, FJ 2 a)].</w:t>
      </w:r>
    </w:p>
    <w:p w14:paraId="6F4EEF64" w14:textId="77777777" w:rsidR="009D7677" w:rsidRDefault="009D7677" w:rsidP="009D7677">
      <w:pPr>
        <w:pStyle w:val="TextoNormal"/>
      </w:pPr>
    </w:p>
    <w:p w14:paraId="02C551CA" w14:textId="77777777" w:rsidR="009D7677" w:rsidRDefault="009D7677" w:rsidP="009D7677">
      <w:pPr>
        <w:pStyle w:val="TextoNormal"/>
      </w:pPr>
      <w:r>
        <w:t>En el presente caso nos encontramos ante el supuesto de un proceso constitucional de naturaleza competencial, pues es objeto de discusión la vulneración de las competencias estatales en materia de contratos administrativos y de legislación sobre productos farmacéuticos por los preceptos impugnados. Ello supone que, al tener el litigio este carácter competencial, se debe examinar si la controversia puede entenderse resuelta en parte o no con la modificación que se ha producido de uno de los preceptos impugnados. Por consiguiente, la aplicación de la doctrina expuesta nos obliga a realizar un contraste entre la ley impugnada y la ley vigente, a partir de la consideración de los concretos motivos de impugnación que el recurso de constitucionalidad dirige contra la disposición adicional vigesimoprimera de la Ley Foral de contratos públicos en la redacción dada por la Ley Foral 17/2021.</w:t>
      </w:r>
    </w:p>
    <w:p w14:paraId="20A75961" w14:textId="77777777" w:rsidR="009D7677" w:rsidRDefault="009D7677" w:rsidP="009D7677">
      <w:pPr>
        <w:pStyle w:val="TextoNormal"/>
      </w:pPr>
    </w:p>
    <w:p w14:paraId="5D1ABDEB" w14:textId="77777777" w:rsidR="009D7677" w:rsidRDefault="009D7677" w:rsidP="009D7677">
      <w:pPr>
        <w:pStyle w:val="TextoNormal"/>
      </w:pPr>
      <w:r>
        <w:t>A) La redacción de la disposición adicional vigesimoprimera de la Ley Foral de contratos públicos derivada de las modificaciones introducidas por la Ley Foral 35/2022 y por la Ley Foral 2/2024 es la siguiente:</w:t>
      </w:r>
    </w:p>
    <w:p w14:paraId="7B4A5C3F" w14:textId="77777777" w:rsidR="009D7677" w:rsidRDefault="009D7677" w:rsidP="009D7677">
      <w:pPr>
        <w:pStyle w:val="TextoNormal"/>
      </w:pPr>
    </w:p>
    <w:p w14:paraId="1319F6AF" w14:textId="77777777" w:rsidR="009D7677" w:rsidRDefault="009D7677" w:rsidP="009D7677">
      <w:pPr>
        <w:pStyle w:val="TextoNormal"/>
      </w:pPr>
      <w:r>
        <w:t>“1. Los medicamentos con protección de patente, determinado el precio y condiciones de financiación en el sistema público mediante resolución de la Dirección General de Cartera Común de Servicios del Sistema Nacional de Salud y Farmacia del Ministerio de Sanidad, tras acuerdo de la comisión interministerial de precios de los medicamentos, podrán ser adquiridos mediante procedimiento negociado sin convocatoria de licitación por el Servicio Navarro de Salud-Osasunbidea. En su tramitación, atendiendo a la especial naturaleza de las necesidades a cubrir se exigirá, exclusivamente, lo siguiente:</w:t>
      </w:r>
    </w:p>
    <w:p w14:paraId="76F5FA23" w14:textId="77777777" w:rsidR="009D7677" w:rsidRDefault="009D7677" w:rsidP="009D7677">
      <w:pPr>
        <w:pStyle w:val="TextoNormal"/>
      </w:pPr>
    </w:p>
    <w:p w14:paraId="2B1CCB8A" w14:textId="77777777" w:rsidR="009D7677" w:rsidRDefault="009D7677" w:rsidP="009D7677">
      <w:pPr>
        <w:pStyle w:val="TextoNormal"/>
      </w:pPr>
      <w:r>
        <w:t>a) Justificación de la necesidad y de la existencia de crédito.</w:t>
      </w:r>
    </w:p>
    <w:p w14:paraId="7D275B31" w14:textId="77777777" w:rsidR="009D7677" w:rsidRDefault="009D7677" w:rsidP="009D7677">
      <w:pPr>
        <w:pStyle w:val="TextoNormal"/>
      </w:pPr>
    </w:p>
    <w:p w14:paraId="2C34D2F2" w14:textId="77777777" w:rsidR="009D7677" w:rsidRDefault="009D7677" w:rsidP="009D7677">
      <w:pPr>
        <w:pStyle w:val="TextoNormal"/>
      </w:pPr>
      <w:r>
        <w:t>b) Documento de aceptación de las condiciones del contrato, debidamente firmado.</w:t>
      </w:r>
    </w:p>
    <w:p w14:paraId="243A7DAE" w14:textId="77777777" w:rsidR="009D7677" w:rsidRDefault="009D7677" w:rsidP="009D7677">
      <w:pPr>
        <w:pStyle w:val="TextoNormal"/>
      </w:pPr>
    </w:p>
    <w:p w14:paraId="24E5D09C" w14:textId="77777777" w:rsidR="009D7677" w:rsidRDefault="009D7677" w:rsidP="009D7677">
      <w:pPr>
        <w:pStyle w:val="TextoNormal"/>
      </w:pPr>
      <w:r>
        <w:t>c) Resolución de la Dirección Gerencia del SNS-O aprobando el gasto y el contrato.</w:t>
      </w:r>
    </w:p>
    <w:p w14:paraId="25B8B0E2" w14:textId="77777777" w:rsidR="009D7677" w:rsidRDefault="009D7677" w:rsidP="009D7677">
      <w:pPr>
        <w:pStyle w:val="TextoNormal"/>
      </w:pPr>
    </w:p>
    <w:p w14:paraId="2F741AAF" w14:textId="77777777" w:rsidR="009D7677" w:rsidRDefault="009D7677" w:rsidP="009D7677">
      <w:pPr>
        <w:pStyle w:val="TextoNormal"/>
      </w:pPr>
      <w:r>
        <w:t>Estos contratos serán objeto de publicidad conforme a lo previsto por el artículo 102.1 de esta ley foral”.</w:t>
      </w:r>
    </w:p>
    <w:p w14:paraId="2433286A" w14:textId="77777777" w:rsidR="009D7677" w:rsidRDefault="009D7677" w:rsidP="009D7677">
      <w:pPr>
        <w:pStyle w:val="TextoNormal"/>
      </w:pPr>
    </w:p>
    <w:p w14:paraId="558EF206" w14:textId="77777777" w:rsidR="009D7677" w:rsidRDefault="009D7677" w:rsidP="009D7677">
      <w:pPr>
        <w:pStyle w:val="TextoNormal"/>
      </w:pPr>
      <w:r>
        <w:t>La queja de la demanda se refiere, de modo general, a la exclusión de “los acuerdos de adquisición pública de medicamentos, conforme a la disposición adicional vigesimoprimera de esta ley foral” del ámbito de aplicación de la Ley Foral de contratos públicos, que se efectúa en su art. 7.1 m) (introducido por la Ley Foral 17/2021), y se extiende a la disposición adicional vigesimoprimera, en la cual se regula el sistema específico de adquisición de medicamentos de uso hospitalario, al margen de los procedimientos generales de la propia ley foral. Frente a la exclusión del art. 7.1 m) de la Ley Foral de contratos públicos, el recurso aduce que dicha ley no puede excluir de las normas de contratación pública negocios jurídicos distintos de los excluidos por la normativa básica estatal. Se advierte, así, una estrecha relación entre el art. 7.1 m) y la disposición adicional vigesimoprimera de la ley.</w:t>
      </w:r>
    </w:p>
    <w:p w14:paraId="3D9D718D" w14:textId="77777777" w:rsidR="009D7677" w:rsidRDefault="009D7677" w:rsidP="009D7677">
      <w:pPr>
        <w:pStyle w:val="TextoNormal"/>
      </w:pPr>
    </w:p>
    <w:p w14:paraId="486ABE51" w14:textId="77777777" w:rsidR="009D7677" w:rsidRDefault="009D7677" w:rsidP="009D7677">
      <w:pPr>
        <w:pStyle w:val="TextoNormal"/>
      </w:pPr>
      <w:r>
        <w:t>No obstante, más allá de esa causa general de impugnación por motivos competenciales que se dirige contra el art. 7.1 m) de la Ley Foral de contratos públicos, y, por extensión, contra la disposición adicional vigesimoprimera, en lo que respecta a esta el recurso articula unas tachas específicas que se formulan contra el contenido de cada apartado; tachas que es preciso dilucidar si subsisten o no tras la modificación operada en dicha disposición.</w:t>
      </w:r>
    </w:p>
    <w:p w14:paraId="1266F50E" w14:textId="77777777" w:rsidR="009D7677" w:rsidRDefault="009D7677" w:rsidP="009D7677">
      <w:pPr>
        <w:pStyle w:val="TextoNormal"/>
      </w:pPr>
    </w:p>
    <w:p w14:paraId="397BEE14" w14:textId="77777777" w:rsidR="009D7677" w:rsidRDefault="009D7677" w:rsidP="009D7677">
      <w:pPr>
        <w:pStyle w:val="TextoNormal"/>
      </w:pPr>
      <w:r>
        <w:t>(i) En lo que se refiere al apartado 1 de la disposición adicional vigesimoprimera, que acude a la previa “negociación con una instancia pública, y fijación administrativa del precio” como justificación de la compra pública de medicamentos de uso hospitalario sin licitación, la demanda aduce que el precio al que se adquieren los medicamentos no está fijado administrativamente, sino que solo se fija un precio máximo, sobre el cual puede y debe realizarse una licitación pública, de manera que su ausencia supone una ruptura de “los principios esenciales de la legislación básica del Estado”. La previsión de este apartado desaparece en la actual redacción que recibe la disposición adicional vigesimoprimera de la Ley Foral de contratos públicos en virtud de las leyes forales 35/2022 y 2/2024, por lo que no subsiste el problema competencial planteado en el recurso de inconstitucionalidad, de modo que se ha de concluir que este ha perdido objeto en relación con el apartado 1.</w:t>
      </w:r>
    </w:p>
    <w:p w14:paraId="7B12A73D" w14:textId="77777777" w:rsidR="009D7677" w:rsidRDefault="009D7677" w:rsidP="009D7677">
      <w:pPr>
        <w:pStyle w:val="TextoNormal"/>
      </w:pPr>
    </w:p>
    <w:p w14:paraId="5A70E6E6" w14:textId="77777777" w:rsidR="009D7677" w:rsidRDefault="009D7677" w:rsidP="009D7677">
      <w:pPr>
        <w:pStyle w:val="TextoNormal"/>
      </w:pPr>
      <w:r>
        <w:t xml:space="preserve">(ii) El apartado 2 se refería a los medicamentos con protección de patente, estableciendo que, una vez determinado el precio público por la comisión interministerial de precios de los medicamentos, podrían ser adquiridos directamente por el Servicio Navarro de Salud-Osasunbidea, tomando como referencia máxima el precio determinado. Según el escrito rector del recurso, en este supuesto existe una selección de un operador concreto por razones de protección de patente, sin que pueda invocarse la doctrina de la STJUE de 2 de junio de 2016 (asunto C-410/14, </w:t>
      </w:r>
      <w:r w:rsidRPr="009D7677">
        <w:rPr>
          <w:i/>
        </w:rPr>
        <w:t>Dr. Falk Pharma GmbH c. DAK-Gesundheit</w:t>
      </w:r>
      <w:r>
        <w:t>), añadiendo que, de acuerdo con lo señalado en el informe 17/08 de la Junta Consultiva de Contratación Pública del Estado, en ese caso sería de aplicación el art. 154 d) LCSP, y la adquisición debería realizarse por procedimiento negociado sin publicidad.</w:t>
      </w:r>
    </w:p>
    <w:p w14:paraId="7AEF92E4" w14:textId="77777777" w:rsidR="009D7677" w:rsidRDefault="009D7677" w:rsidP="009D7677">
      <w:pPr>
        <w:pStyle w:val="TextoNormal"/>
      </w:pPr>
    </w:p>
    <w:p w14:paraId="6E575F7D" w14:textId="77777777" w:rsidR="009D7677" w:rsidRDefault="009D7677" w:rsidP="009D7677">
      <w:pPr>
        <w:pStyle w:val="TextoNormal"/>
      </w:pPr>
      <w:r>
        <w:t xml:space="preserve">En la nueva redacción de la disposición adicional vigesimoprimera de la Ley Foral de contratos públicos, la regulación de la adquisición de los medicamentos con protección de patente se contiene en el apartado 1, que dispone que, una vez determinados el precio y las condiciones de financiación en el sistema público mediante resolución de la Dirección </w:t>
      </w:r>
      <w:r>
        <w:lastRenderedPageBreak/>
        <w:t>General de Cartera Común de Servicios del Sistema Nacional de Salud y Farmacia del Ministerio de Sanidad, “podrán ser adquiridos mediante procedimiento negociado sin convocatoria de licitación por el Servicio Navarro de Salud-Osasunbidea”, y, además, serán objeto de publicidad conforme a lo previsto por el art. 102.1 de la Ley Foral de contratos públicos. Del examen del nuevo régimen de estas adquisiciones se deduce, sin mayor dificultad, que la queja formulada en el presente recurso carece ya de sentido, puesto que, en su regulación actual, el apartado 1 de la disposición adicional vigesimoprimera responde a la objeción que la demanda dirigía contra el régimen de adquisición de medicamentos con protección de patente en la redacción de la Ley Foral 17/2021. Que ello es así lo viene a corroborar el hecho de que, en el recurso de inconstitucionalidad núm. 6245-2023, promovido por el presidente del Gobierno contra diversos preceptos de la Ley Foral 35/2022, no se haya formulado ningún reparo contra el apartado 1 de la disposición adicional vigesimoprimera en su nueva redacción. Por consiguiente, en la medida en que no se mantiene en la actual regulación el problema de índole competencial suscitado en el presente recurso de inconstitucionalidad, hemos de entender que este ha perdido objeto también en relación con la adquisición de medicamentos con protección de patente, a la que se refería el apartado 2 (de acuerdo con la redacción que le dio la Ley Foral 17/2021).</w:t>
      </w:r>
    </w:p>
    <w:p w14:paraId="2ED3CE19" w14:textId="77777777" w:rsidR="009D7677" w:rsidRDefault="009D7677" w:rsidP="009D7677">
      <w:pPr>
        <w:pStyle w:val="TextoNormal"/>
      </w:pPr>
    </w:p>
    <w:p w14:paraId="42C3CB4C" w14:textId="77777777" w:rsidR="009D7677" w:rsidRDefault="009D7677" w:rsidP="009D7677">
      <w:pPr>
        <w:pStyle w:val="TextoNormal"/>
      </w:pPr>
      <w:r>
        <w:t xml:space="preserve">(iii) Los apartados 3 y 4 tratan de las adquisiciones de medicamentos genéricos, biosimilares y medicamentos originales, regulando, a tal efecto, un procedimiento </w:t>
      </w:r>
      <w:r w:rsidRPr="009D7677">
        <w:rPr>
          <w:i/>
        </w:rPr>
        <w:t>ad hoc</w:t>
      </w:r>
      <w:r>
        <w:t>, conforme al cual, los servicios de farmacia, atendiendo a criterios de eficiencia en la gestión, pueden elegir cualquiera de dichos medicamentos de entre los ofertados por los proveedores que asuman las condiciones previamente establecidas por el órgano competente, sin que la celebración de un acuerdo de adquisición pública con uno o varios proveedores impida la celebración de acuerdos posteriores con nuevos proveedores que asuman las condiciones establecidas (apartado 3). No obstante, si se considera más conveniente contar con un único proveedor, o un único medicamento, se podrá seleccionar uno de entre ellos como destinatario de los pedidos, previa realización de un procedimiento en el que se establecerán los criterios de selección cualitativos que se tendrán en cuenta, así como su ponderación. En tal caso, se deberá dar participación a todos los posibles proveedores, otorgándose un plazo no inferior a diez días para la presentación de las ofertas, con posterior notificación y publicación en internet, de forma motivada, del resultado del procedimiento (apartado 4).</w:t>
      </w:r>
    </w:p>
    <w:p w14:paraId="781B0A63" w14:textId="77777777" w:rsidR="009D7677" w:rsidRDefault="009D7677" w:rsidP="009D7677">
      <w:pPr>
        <w:pStyle w:val="TextoNormal"/>
      </w:pPr>
    </w:p>
    <w:p w14:paraId="5BCFFD30" w14:textId="77777777" w:rsidR="009D7677" w:rsidRDefault="009D7677" w:rsidP="009D7677">
      <w:pPr>
        <w:pStyle w:val="TextoNormal"/>
      </w:pPr>
      <w:r>
        <w:t xml:space="preserve">En el recurso de inconstitucionalidad se denuncia que, a diferencia de la STJUE de 2 de junio de 2016, asunto </w:t>
      </w:r>
      <w:r w:rsidRPr="009D7677">
        <w:rPr>
          <w:i/>
        </w:rPr>
        <w:t>Dr. Falk Pharma</w:t>
      </w:r>
      <w:r>
        <w:t xml:space="preserve"> (ya mencionada), los procedimientos que articula la ley foral exigen una decisión de selección, que otorga exclusividad al operador u operadores económicos elegidos y a los medicamentos seleccionados. Se alega que hay, en consecuencia, una discrecionalidad casi absoluta al realizar la selección, sin que el procedimiento responda a los principios de igualdad y no discriminación, ni al principio de eficiencia, a pesar de que los criterios de aptitud y de adjudicación tienen una especial importancia por su estrecha conexión con la salud de los ciudadanos. La demanda concluye que, en realidad, se está no ante un acuerdo de adquisición, sino ante un contrato público de suministro, cuya regulación, licitación y ejecución ha de regirse por los principios esenciales de la legislación estatal básica en materia de contratación y de la normativa comunitaria.</w:t>
      </w:r>
    </w:p>
    <w:p w14:paraId="534BABA0" w14:textId="77777777" w:rsidR="009D7677" w:rsidRDefault="009D7677" w:rsidP="009D7677">
      <w:pPr>
        <w:pStyle w:val="TextoNormal"/>
      </w:pPr>
    </w:p>
    <w:p w14:paraId="011235BA" w14:textId="77777777" w:rsidR="009D7677" w:rsidRDefault="009D7677" w:rsidP="009D7677">
      <w:pPr>
        <w:pStyle w:val="TextoNormal"/>
      </w:pPr>
      <w:r>
        <w:lastRenderedPageBreak/>
        <w:t xml:space="preserve">El contenido de los apartados 3 y 4 de la disposición adicional vigesimoprimera de la Ley Foral de contratos públicos, en la redacción dada por la Ley Foral 17/2021, fue modificado por la Ley Foral 35/2022, que estableció, en el apartado 2 de la misma disposición, una regulación similar, dirigida, igualmente, a la implantación de un sistema de adquisición de medicamentos </w:t>
      </w:r>
      <w:r w:rsidRPr="009D7677">
        <w:rPr>
          <w:i/>
        </w:rPr>
        <w:t>open house</w:t>
      </w:r>
      <w:r>
        <w:t xml:space="preserve">, apoyado en la STJUE de 2 de junio de 2016 (asunto C-410/14, </w:t>
      </w:r>
      <w:r w:rsidRPr="009D7677">
        <w:rPr>
          <w:i/>
        </w:rPr>
        <w:t>Dr. Falk Pharma GmbH contra DAK- Gesundheit</w:t>
      </w:r>
      <w:r>
        <w:t>). Sin embargo, dicho apartado 2 ha sido suprimido por la disposición final segunda, apartado seis de la Ley Foral 2/2024, por lo cual, hemos de concluir que el recurso ha perdido objeto también en cuanto a los apartados 3 y 4.</w:t>
      </w:r>
    </w:p>
    <w:p w14:paraId="546646DF" w14:textId="77777777" w:rsidR="009D7677" w:rsidRDefault="009D7677" w:rsidP="009D7677">
      <w:pPr>
        <w:pStyle w:val="TextoNormal"/>
      </w:pPr>
    </w:p>
    <w:p w14:paraId="03023CE2" w14:textId="77777777" w:rsidR="009D7677" w:rsidRDefault="009D7677" w:rsidP="009D7677">
      <w:pPr>
        <w:pStyle w:val="TextoNormal"/>
      </w:pPr>
      <w:r>
        <w:t>(iv) La regla contenida en el apartado 5, que atribuía naturaleza privada a los acuerdos de adquisición pública de medicamentos, en cualquiera de sus modalidades, ha desaparecido en la redacción que la Ley Foral 35/2022 ha dado a la disposición adicional vigesimoprimera de la Ley Foral de contratos públicos, por lo que hay que entender que ya no subsiste el problema competencial que se denunciaba en la demanda al oponer que es competencia del Estado determinar qué tipo de contratos son administrativos o no. En consecuencia, también ha perdido objeto el recurso en cuanto a este apartado.</w:t>
      </w:r>
    </w:p>
    <w:p w14:paraId="28C3C96B" w14:textId="77777777" w:rsidR="009D7677" w:rsidRDefault="009D7677" w:rsidP="009D7677">
      <w:pPr>
        <w:pStyle w:val="TextoNormal"/>
      </w:pPr>
    </w:p>
    <w:p w14:paraId="35FF44BA" w14:textId="77777777" w:rsidR="009D7677" w:rsidRDefault="009D7677" w:rsidP="009D7677">
      <w:pPr>
        <w:pStyle w:val="TextoNormal"/>
      </w:pPr>
      <w:r>
        <w:t>(v) Finalmente, el apartado 6, relativo a los acuerdos de adquisición pública de medicamentos de tracto sucesivo, no recibió ninguna tacha específica de inconstitucionalidad, y, en todo caso, no se incluye en la nueva redacción de la disposición adicional vigesimoprimera ni es sustituido por una norma similar. El resultado, por tanto, ha de ser el mismo que el obtenido en relación con los anteriores apartados.</w:t>
      </w:r>
    </w:p>
    <w:p w14:paraId="19745889" w14:textId="77777777" w:rsidR="009D7677" w:rsidRDefault="009D7677" w:rsidP="009D7677">
      <w:pPr>
        <w:pStyle w:val="TextoNormal"/>
      </w:pPr>
    </w:p>
    <w:p w14:paraId="5B0A8D2E" w14:textId="77777777" w:rsidR="009D7677" w:rsidRDefault="009D7677" w:rsidP="009D7677">
      <w:pPr>
        <w:pStyle w:val="TextoNormal"/>
      </w:pPr>
      <w:r>
        <w:t>De acuerdo con lo hasta aquí expuesto, debemos concluir que el presente recurso de inconstitucionalidad ha perdido objeto en relación con la impugnación de la disposición adicional vigesimoprimera de la Ley Foral de contratos públicos, añadida por la Ley Foral 17/2021, como consecuencia de la modificación operada en la misma en virtud de las leyes forales 35/2022 y 2/2024.</w:t>
      </w:r>
    </w:p>
    <w:p w14:paraId="5711D756" w14:textId="77777777" w:rsidR="009D7677" w:rsidRDefault="009D7677" w:rsidP="009D7677">
      <w:pPr>
        <w:pStyle w:val="TextoNormal"/>
      </w:pPr>
    </w:p>
    <w:p w14:paraId="7B7EEE05" w14:textId="77777777" w:rsidR="009D7677" w:rsidRDefault="009D7677" w:rsidP="009D7677">
      <w:pPr>
        <w:pStyle w:val="TextoNormal"/>
      </w:pPr>
      <w:r>
        <w:t xml:space="preserve">B) La modificación de la disposición adicional vigesimoprimera de la Ley Foral de contratos públicos realizada por las leyes citadas afecta también a la impugnación de la letra m) del art. 7.1 de la Ley Foral de contratos públicos, introducida por el artículo único, apartado 2 de la Ley Foral 17/2021, y que excluye del ámbito de aplicación de aquella, como ya se ha señalado, “los acuerdos de adquisición pública de medicamentos, conforme a la disposición adicional vigesimoprimera de esta ley foral”. La exclusión establecida en ese precepto tenía su razón de ser en la primigenia redacción de la disposición adicional vigesimoprimera de la Ley Foral 2/2018, en la que se establecía un procedimiento específico de adquisición de medicamentos, al margen del régimen general de la ley foral, que se apoyaba en la STJUE de 2 de junio de 2016 (asunto C-410/14, </w:t>
      </w:r>
      <w:r w:rsidRPr="009D7677">
        <w:rPr>
          <w:i/>
        </w:rPr>
        <w:t>Dr. Falk Pharma GmbH contra DAK- Gesundheit</w:t>
      </w:r>
      <w:r>
        <w:t xml:space="preserve">), como se señala en el párrafo que la Ley Foral 17/2021 añade a la exposición de motivos de la Ley Foral 2/2018: “En la disposición adicional vigesimoprimera, se regula la adquisición de medicamentos de uso hospitalario y se establece un sistema conforme al cual se fijan condiciones generales, que pueden incluir o no rebajas sobre el precio administrativamente establecido de financiación a cargo del Sistema Nacional de Salud, abiertas a una pluralidad de proveedores, con la posibilidad de incorporación posterior de otros operadores económicos, en atención a la doctrina establecida por el </w:t>
      </w:r>
      <w:r>
        <w:lastRenderedPageBreak/>
        <w:t>Tribunal de Justicia de la Unión Europea en una sentencia de 2 de junio de 2016 (</w:t>
      </w:r>
      <w:r w:rsidRPr="009D7677">
        <w:rPr>
          <w:i/>
        </w:rPr>
        <w:t>Dr. Falk Pharma GmbH contra DAK- Gesundheit</w:t>
      </w:r>
      <w:r>
        <w:t>, asunto C-410/14, puntos 41 y 42)”.</w:t>
      </w:r>
    </w:p>
    <w:p w14:paraId="34BAD44B" w14:textId="77777777" w:rsidR="009D7677" w:rsidRDefault="009D7677" w:rsidP="009D7677">
      <w:pPr>
        <w:pStyle w:val="TextoNormal"/>
      </w:pPr>
    </w:p>
    <w:p w14:paraId="5A736103" w14:textId="77777777" w:rsidR="009D7677" w:rsidRDefault="009D7677" w:rsidP="009D7677">
      <w:pPr>
        <w:pStyle w:val="TextoNormal"/>
      </w:pPr>
      <w:r>
        <w:t xml:space="preserve">Esa exclusión seguía teniendo sentido tras la modificación introducida en la Ley Foral 2/2018  por la Ley Foral 35/2022, pues el nuevo apartado 2 de la disposición adicional vigesimoprimera establecía, en la misma línea indicada por la exposición de motivos de la Ley Foral 2/2018 (tras la adición realizada por la Ley Foral 17/2021), un sistema </w:t>
      </w:r>
      <w:r w:rsidRPr="009D7677">
        <w:rPr>
          <w:i/>
        </w:rPr>
        <w:t>open house</w:t>
      </w:r>
      <w:r>
        <w:t xml:space="preserve"> de adquisición de medicamentos, utilizado en otros países de la Unión Europea, apoyado en la citada STJUE de 2 de junio de 2016, según la cual, no constituye un contrato público a los efectos de la Directiva 2004/18 “un sistema de acuerdos, como el que es objeto del litigio principal, mediante el cual una entidad pública pretende adquirir bienes en el mercado contratando, a lo largo de toda la vigencia de dicho sistema, con todo operador económico que se comprometa a suministrar los bienes de que se trate en condiciones preestablecidas, sin llevar a cabo una selección entre los operadores interesados y permitiéndoles adherirse a dicho sistema durante toda la vigencia de este” (§ 42).</w:t>
      </w:r>
    </w:p>
    <w:p w14:paraId="7AB4FECD" w14:textId="77777777" w:rsidR="009D7677" w:rsidRDefault="009D7677" w:rsidP="009D7677">
      <w:pPr>
        <w:pStyle w:val="TextoNormal"/>
      </w:pPr>
    </w:p>
    <w:p w14:paraId="54F2B0A8" w14:textId="77777777" w:rsidR="009D7677" w:rsidRDefault="009D7677" w:rsidP="009D7677">
      <w:pPr>
        <w:pStyle w:val="TextoNormal"/>
      </w:pPr>
      <w:r>
        <w:t>Sin embargo, la reforma operada por la Ley Foral 2/2024 ha suprimido el apartado 2, dejando reducida la disposición adicional vigesimoprimera LFCP a su apartado 1, que establece el régimen de adquisición de medicamentos con protección de patente, de forma acorde —tras su modificación por la Ley Foral 35/2022— a lo que alegaba el recurso en su impugnación (que sostenía que, habiendo selección de un operador concreto por razones de protección de patente, la adquisición debería realizarse por procedimiento negociado sin publicidad), y con las previsiones del art. 75 de la Ley Foral de contratos públicos respecto a la utilización del procedimiento negociado sin convocatoria de licitación, en relación con el cual la disposición adicional vigesimoprimera contempla las específicas peculiaridades de la adquisición de medicamentos con protección de patente. Por consiguiente, no hay actualmente en la referida disposición adicional ninguna regulación que quede completamente al margen de la aplicación de la Ley Foral de contratos públicos, lo que produce como consecuencia que el art. 7.1 m) quede vacío de contenido, ya que la exclusión que establece respecto de los acuerdos de adquisición pública de medicamentos remite a lo que prevé, a su vez, la disposición adicional vigesimoprimera. Es decir, que el art. 7.1 m) se encuentra condicionado por esa disposición adicional, de manera que solo tiene sentido en la medida en que en esta se establezca un régimen específico de adquisición pública de medicamentos al margen de la ley foral. Como tras las modificaciones realizadas por las leyes forales 35/2022 y 2/2024 no hay tal régimen específico excluido de la aplicación de la Ley 2/2018, sino tan solo unas especialidades para la adquisición de medicamentos con protección de patente, a las que se someterá el procedimiento negociado sin convocatoria de licitación del art. 75 de la Ley Foral de contratos públicos, debemos concluir que el art. 7.1 m) carece actualmente de contenido normativo, por lo que la impugnación dirigida contra el mismo ha perdido objeto, al igual que la relativa a la disposición adicional vigesimoprimera, cuya suerte ha de seguir, ante la estrecha vinculación existente entre ambos.</w:t>
      </w:r>
    </w:p>
    <w:p w14:paraId="4B337CA0" w14:textId="77777777" w:rsidR="009D7677" w:rsidRDefault="009D7677" w:rsidP="009D7677">
      <w:pPr>
        <w:pStyle w:val="TextoNormal"/>
      </w:pPr>
    </w:p>
    <w:p w14:paraId="05E0A941" w14:textId="7E9272C8" w:rsidR="009D7677" w:rsidRDefault="009D7677" w:rsidP="009D7677">
      <w:pPr>
        <w:pStyle w:val="TextoNormal"/>
      </w:pPr>
      <w:r>
        <w:t>En suma, pierde también objeto el presente recurso de inconstitucionalidad en cuanto al art. 7.1 m) de la Ley 2/2018, introducido por el artículo único, apartado 2 de la Ley Foral 17/2021, de manera que debemos ceñir nuestro enjuiciamiento al art. 7.1 l) de la Ley 2/2018.</w:t>
      </w:r>
    </w:p>
    <w:p w14:paraId="672FAA22" w14:textId="77777777" w:rsidR="009D7677" w:rsidRDefault="009D7677" w:rsidP="009D7677">
      <w:pPr>
        <w:pStyle w:val="TextoNormal"/>
      </w:pPr>
    </w:p>
    <w:p w14:paraId="0A02D0BA" w14:textId="77777777" w:rsidR="009D7677" w:rsidRDefault="009D7677" w:rsidP="009D7677">
      <w:pPr>
        <w:pStyle w:val="TextoNormal"/>
      </w:pPr>
      <w:r w:rsidRPr="009D7677">
        <w:rPr>
          <w:rStyle w:val="NumeroAFNegritaCaracter"/>
        </w:rPr>
        <w:lastRenderedPageBreak/>
        <w:t>3</w:t>
      </w:r>
      <w:r>
        <w:t xml:space="preserve">. </w:t>
      </w:r>
      <w:r w:rsidRPr="009D7677">
        <w:rPr>
          <w:i/>
        </w:rPr>
        <w:t>Encuadre material y competencial de la controversia</w:t>
      </w:r>
    </w:p>
    <w:p w14:paraId="1F912774" w14:textId="77777777" w:rsidR="009D7677" w:rsidRDefault="009D7677" w:rsidP="009D7677">
      <w:pPr>
        <w:pStyle w:val="TextoNormal"/>
      </w:pPr>
    </w:p>
    <w:p w14:paraId="1471153E" w14:textId="77777777" w:rsidR="009D7677" w:rsidRDefault="009D7677" w:rsidP="009D7677">
      <w:pPr>
        <w:pStyle w:val="TextoNormal"/>
      </w:pPr>
      <w:r>
        <w:t>a) Atendiendo al específico contenido, sentido y finalidad de las normas impugnadas (SSTC 26/2016, de 18 de febrero, FJ 6; y 21/2017, de 2 de febrero, FJ 2), que modifican determinadas previsiones de la Ley Foral 2/2018, de 13 de abril, de contratos públicos, no cabe albergar dudas de que la materia en la que se encuadra la controversia es la relativa a la contratación del sector público, extremo en el que coinciden las partes.</w:t>
      </w:r>
    </w:p>
    <w:p w14:paraId="6B6D04A2" w14:textId="77777777" w:rsidR="009D7677" w:rsidRDefault="009D7677" w:rsidP="009D7677">
      <w:pPr>
        <w:pStyle w:val="TextoNormal"/>
      </w:pPr>
    </w:p>
    <w:p w14:paraId="0429FA4C" w14:textId="77777777" w:rsidR="009D7677" w:rsidRDefault="009D7677" w:rsidP="009D7677">
      <w:pPr>
        <w:pStyle w:val="TextoNormal"/>
      </w:pPr>
      <w:r>
        <w:t xml:space="preserve">El abogado del Estado ha alegado, además, la competencia estatal en relación con la legislación sobre productos farmacéuticos </w:t>
      </w:r>
      <w:r w:rsidRPr="009D7677">
        <w:rPr>
          <w:i/>
        </w:rPr>
        <w:t>ex</w:t>
      </w:r>
      <w:r>
        <w:t xml:space="preserve"> art. 149.1.16 CE respecto a las quejas dirigidas contra el art. 7.1 m), en relación con la disposición adicional vigesimoprimera de la Ley Foral de contratos públicos. Sin embargo, al haber perdido objeto el recurso respecto de esas dos normas, no hemos de pronunciarnos sobre si la competencia alegada ha de ser tomada en consideración en este caso.</w:t>
      </w:r>
    </w:p>
    <w:p w14:paraId="502ED23D" w14:textId="77777777" w:rsidR="009D7677" w:rsidRDefault="009D7677" w:rsidP="009D7677">
      <w:pPr>
        <w:pStyle w:val="TextoNormal"/>
      </w:pPr>
    </w:p>
    <w:p w14:paraId="3A8617A4" w14:textId="77777777" w:rsidR="009D7677" w:rsidRDefault="009D7677" w:rsidP="009D7677">
      <w:pPr>
        <w:pStyle w:val="TextoNormal"/>
      </w:pPr>
      <w:r>
        <w:t>b) Una vez delimitada la materia en la que se inserta la regulación controvertida en este proceso constitucional, se han de precisar los títulos competenciales que amparan a las partes. En esta materia corresponde al Estado la competencia para el establecimiento de la legislación básica sobre contratos administrativos, de acuerdo con el art. 149.1.18 CE, pudiendo asumir las comunidades autónomas, como regla general, la competencia de desarrollo legislativo y ejecución.</w:t>
      </w:r>
    </w:p>
    <w:p w14:paraId="1FB3B33A" w14:textId="77777777" w:rsidR="009D7677" w:rsidRDefault="009D7677" w:rsidP="009D7677">
      <w:pPr>
        <w:pStyle w:val="TextoNormal"/>
      </w:pPr>
    </w:p>
    <w:p w14:paraId="3B6B4BCD" w14:textId="77777777" w:rsidR="009D7677" w:rsidRDefault="009D7677" w:rsidP="009D7677">
      <w:pPr>
        <w:pStyle w:val="TextoNormal"/>
      </w:pPr>
      <w:r>
        <w:t>No obstante, en el caso de la Comunidad Foral de Navarra, esa competencia presenta particularidades que la diferencian del resto de comunidades autónomas, pues el art. 49.1 d) LORAFNA reconoce competencia exclusiva a Navarra, en virtud de su régimen foral, sobre contratos y concesiones administrativas, respetando los principios esenciales de la legislación básica del Estado en la materia. En razón de ello y siguiendo la doctrina establecida en las SSTC 140/1990, de 20 de septiembre, FFJJ 3 y 4, y 111/2014, de 26 de junio, FJ 2, para otra de las competencias contempladas en el art. 49.1 LORAFNA [la relativa al régimen estatutario de los funcionarios públicos de la comunidad foral, que se establece en el apartado b)], podemos afirmar que la competencia atribuida por el art. 49.1 d) incluirá las competencias que sobre contratos administrativos ejercía Navarra en el momento de promulgarse la LORAFNA [art. 39.1 a)], teniendo, sin embargo, como límites, en primer lugar, el que las mismas no afecten a las competencias estatales inherentes a la unidad constitucional (artículos 2.2 y 3.1 LORAFNA) y, en segundo lugar, el respeto de “los principios esenciales de la legislación básica del Estado en la materia” [artículo 49.1 d) LORAFNA].</w:t>
      </w:r>
    </w:p>
    <w:p w14:paraId="40E1721E" w14:textId="77777777" w:rsidR="009D7677" w:rsidRDefault="009D7677" w:rsidP="009D7677">
      <w:pPr>
        <w:pStyle w:val="TextoNormal"/>
      </w:pPr>
    </w:p>
    <w:p w14:paraId="60CF6A11" w14:textId="77777777" w:rsidR="009D7677" w:rsidRDefault="009D7677" w:rsidP="009D7677">
      <w:pPr>
        <w:pStyle w:val="TextoNormal"/>
      </w:pPr>
      <w:r>
        <w:t>Es de significar que la propia Ley de contratos del sector público reconoce la especialidad que representa el régimen foral de Navarra, al establecer en su disposición final segunda que, “[e]n virtud de su régimen foral, la aplicación a la Comunidad Foral de Navarra de lo dispuesto en esta ley se llevará a cabo sin perjuicio de lo dispuesto en la Ley Orgánica 13/1982, de 10 de agosto, de reintegración y amejoramiento del régimen foral de Navarra”.</w:t>
      </w:r>
    </w:p>
    <w:p w14:paraId="73950B3C" w14:textId="77777777" w:rsidR="009D7677" w:rsidRDefault="009D7677" w:rsidP="009D7677">
      <w:pPr>
        <w:pStyle w:val="TextoNormal"/>
      </w:pPr>
    </w:p>
    <w:p w14:paraId="288FC9A7" w14:textId="3D8C75C8" w:rsidR="009D7677" w:rsidRDefault="009D7677" w:rsidP="009D7677">
      <w:pPr>
        <w:pStyle w:val="TextoNormal"/>
      </w:pPr>
      <w:r>
        <w:t>Por consiguiente, este singular régimen, que se extiende a la contratación de las distintas administraciones públicas de la comunidad foral que se enuncian en el art. 4 de la Ley 2/2018, no se ve limitado por todas las previsiones de la legislación estatal básica en mate</w:t>
      </w:r>
      <w:r>
        <w:lastRenderedPageBreak/>
        <w:t>ria de contratación pública, sino solo por aquellas normas en las que, precisamente, se plasmen los principios esenciales de esa legislación básica, cuya determinación habrá de realizarse a partir del análisis particularizado de la regulación de los distintos aspectos que aquí se ven concernidos, al igual que señalamos en la STC 140/1990, de 20 de septiembre, FJ 4, en relación con la competencia del art. 49.1 b) LORAFNA en materia de función pública.</w:t>
      </w:r>
    </w:p>
    <w:p w14:paraId="268E54C8" w14:textId="77777777" w:rsidR="009D7677" w:rsidRDefault="009D7677" w:rsidP="009D7677">
      <w:pPr>
        <w:pStyle w:val="TextoNormal"/>
      </w:pPr>
    </w:p>
    <w:p w14:paraId="7FD5D3E0" w14:textId="77777777" w:rsidR="009D7677" w:rsidRDefault="009D7677" w:rsidP="009D7677">
      <w:pPr>
        <w:pStyle w:val="TextoNormal"/>
      </w:pPr>
      <w:r w:rsidRPr="009D7677">
        <w:rPr>
          <w:rStyle w:val="NumeroAFNegritaCaracter"/>
        </w:rPr>
        <w:t>4</w:t>
      </w:r>
      <w:r>
        <w:t xml:space="preserve">. </w:t>
      </w:r>
      <w:r w:rsidRPr="009D7677">
        <w:rPr>
          <w:i/>
        </w:rPr>
        <w:t>Examen de la impugnación del artículo único, apartado 2 de la Ley Foral 17/2021, que introduce el apartado l) en el art. 7.1 de la Ley Foral de contratos públicos: estimación</w:t>
      </w:r>
    </w:p>
    <w:p w14:paraId="0BA809D3" w14:textId="77777777" w:rsidR="009D7677" w:rsidRDefault="009D7677" w:rsidP="009D7677">
      <w:pPr>
        <w:pStyle w:val="TextoNormal"/>
      </w:pPr>
    </w:p>
    <w:p w14:paraId="7DC89DAE" w14:textId="77777777" w:rsidR="009D7677" w:rsidRDefault="009D7677" w:rsidP="009D7677">
      <w:pPr>
        <w:pStyle w:val="TextoNormal"/>
      </w:pPr>
      <w:r>
        <w:t>A) Posiciones de las partes</w:t>
      </w:r>
    </w:p>
    <w:p w14:paraId="4439DAF3" w14:textId="77777777" w:rsidR="009D7677" w:rsidRDefault="009D7677" w:rsidP="009D7677">
      <w:pPr>
        <w:pStyle w:val="TextoNormal"/>
      </w:pPr>
    </w:p>
    <w:p w14:paraId="42E2F884" w14:textId="77777777" w:rsidR="009D7677" w:rsidRDefault="009D7677" w:rsidP="009D7677">
      <w:pPr>
        <w:pStyle w:val="TextoNormal"/>
      </w:pPr>
      <w:r>
        <w:t>El abogado del Estado afirma que el nuevo art. 7.1 l) de la Ley Foral 2/2018, en cuanto excluye los contratos de servicios jurídicos del ámbito de los contratos del sector públicos, es contrario a la distribución de competencias y, por consiguiente, inconstitucional, porque los negocios que el precepto excluye del ámbito de aplicación de la Ley Foral de contratos públicos se mencionan en el art. 19.2 e) LCSP como contratos del sector público (dentro de la sección relativa a los contratos sujetos a una regulación armonizada), y, al no encontrarse excluidos en los arts. 4 a 11 LCSP, cuyo carácter materialmente básico ha sido declarado por la STC 68/2021, se encuentran sujetos a la normativa básica de contratación pública.</w:t>
      </w:r>
    </w:p>
    <w:p w14:paraId="6A891A4E" w14:textId="77777777" w:rsidR="009D7677" w:rsidRDefault="009D7677" w:rsidP="009D7677">
      <w:pPr>
        <w:pStyle w:val="TextoNormal"/>
      </w:pPr>
    </w:p>
    <w:p w14:paraId="7DA918A4" w14:textId="77777777" w:rsidR="009D7677" w:rsidRDefault="009D7677" w:rsidP="009D7677">
      <w:pPr>
        <w:pStyle w:val="TextoNormal"/>
      </w:pPr>
      <w:r>
        <w:t>Las representaciones del Parlamento y la Comunidad Foral de Navarra coinciden en defender que el carácter básico de la Ley de contratos del sector público no impide a Navarra legislar sobre la exclusión recogida en el precepto impugnado, y que la exclusión de estos servicios viene amparada por la Directiva 2014/24/UE, de 26 de febrero, del Parlamento Europeo y del Consejo, cuyo art. 10 d) la recoge dentro de las exclusiones de servicios, tal y como se fundamenta en sus considerandos 4 y 25, habiéndose pronunciado sobre su alcance la STJUE de 6 de junio de 2019.</w:t>
      </w:r>
    </w:p>
    <w:p w14:paraId="754CDBBF" w14:textId="77777777" w:rsidR="009D7677" w:rsidRDefault="009D7677" w:rsidP="009D7677">
      <w:pPr>
        <w:pStyle w:val="TextoNormal"/>
      </w:pPr>
    </w:p>
    <w:p w14:paraId="10A0BA78" w14:textId="77777777" w:rsidR="009D7677" w:rsidRDefault="009D7677" w:rsidP="009D7677">
      <w:pPr>
        <w:pStyle w:val="TextoNormal"/>
      </w:pPr>
      <w:r>
        <w:t>B) Consideraciones previas</w:t>
      </w:r>
    </w:p>
    <w:p w14:paraId="00DB5F68" w14:textId="77777777" w:rsidR="009D7677" w:rsidRDefault="009D7677" w:rsidP="009D7677">
      <w:pPr>
        <w:pStyle w:val="TextoNormal"/>
      </w:pPr>
    </w:p>
    <w:p w14:paraId="269CFF4B" w14:textId="77777777" w:rsidR="009D7677" w:rsidRDefault="009D7677" w:rsidP="009D7677">
      <w:pPr>
        <w:pStyle w:val="TextoNormal"/>
      </w:pPr>
      <w:r>
        <w:t>En relación con las alegaciones realizadas por las partes, deben efectuarse dos consideraciones previas, antes de proceder al enjuiciamiento del precepto impugnado.</w:t>
      </w:r>
    </w:p>
    <w:p w14:paraId="7BC56915" w14:textId="77777777" w:rsidR="009D7677" w:rsidRDefault="009D7677" w:rsidP="009D7677">
      <w:pPr>
        <w:pStyle w:val="TextoNormal"/>
      </w:pPr>
    </w:p>
    <w:p w14:paraId="40D3913D" w14:textId="77777777" w:rsidR="009D7677" w:rsidRDefault="009D7677" w:rsidP="009D7677">
      <w:pPr>
        <w:pStyle w:val="TextoNormal"/>
      </w:pPr>
      <w:r>
        <w:t xml:space="preserve">a) En primer lugar, y teniendo en cuenta que lo que se plantea es un supuesto de inconstitucionalidad mediata, por derivar la posible vulneración no de las prescripciones establecidas en la Constitución, sino de los preceptos estatales básicos dictados en su aplicación, es necesario referirse a la noción de “bases”, en su doble dimensión material y formal. Materialmente, las bases son, de acuerdo con nuestra doctrina, los principios normativos generales que informan u ordenan una determinada materia, constituyendo, en definitiva, el marco normativo unitario o denominador común de necesaria vigencia en todo el territorio nacional. Lo básico es, de esta forma, lo imprescindible de una materia, en aras de una unidad mínima de posiciones jurídicas que delimita lo que es competencia estatal y determina, al tiempo, el punto de partida y el límite a partir del cual puede ejercer la comunidad autónoma, en defensa del propio interés general, la competencia asumida en su estatuto. Con esa delimitación material de lo básico se evita que puedan dejarse sin </w:t>
      </w:r>
      <w:r>
        <w:lastRenderedPageBreak/>
        <w:t>contenido o cercenarse las competencias autonómicas, ya que el Estado no puede, en el ejercicio de una competencia básica, agotar la regulación de la materia, sino que debe dejar un margen normativo propio a la comunidad autónoma (STC 98/2004, FJ 6, y las que en ella se citan).</w:t>
      </w:r>
    </w:p>
    <w:p w14:paraId="7EE799A6" w14:textId="77777777" w:rsidR="009D7677" w:rsidRDefault="009D7677" w:rsidP="009D7677">
      <w:pPr>
        <w:pStyle w:val="TextoNormal"/>
      </w:pPr>
    </w:p>
    <w:p w14:paraId="4BFDC074" w14:textId="77777777" w:rsidR="009D7677" w:rsidRDefault="009D7677" w:rsidP="009D7677">
      <w:pPr>
        <w:pStyle w:val="TextoNormal"/>
      </w:pPr>
      <w:r>
        <w:t>Y, en cuanto al alcance de la dimensión formal de las bases, hemos manifestado que su “finalidad esencial es la de excluir la incertidumbre jurídica que supondría que el Estado pueda oponer como norma básica a las comunidades autónomas cualquier clase de precepto legal o reglamentario, al margen de cuál sea su rango o estructura (SSTC 80/1988 y 227/1988). Por ello, [...], el instrumento para establecerlas es la ley (STC 1/1982, FJ 1) [...] De suerte que la propia ley puede y debe declarar expresamente el carácter básico de la norma o, en su defecto, venir dotada de una estructura que permita inferir, directa o indirectamente, pero sin especial dificultad, su vocación o pretensión básica [...] Este tribunal, cierto es, ha admitido que la exigencia aquí considerada no es absoluta; y consecuentemente ha estimado que excepcionalmente pueden considerarse básicas algunas regulaciones no contenidas en normas de rango legal e incluso ciertos actos de ejecución cuando, por la naturaleza de la materia, resultan complemento necesario para garantizar la consecución de la finalidad objetiva a que responde la competencia estatal sobre las bases (STC 48/1988, FJ 3) [...] Sin embargo, no cabe olvidar, en contrapartida, que la atribución de carácter básico a normas reglamentarias, a actos de ejecución o incluso a potestades administrativas ha sido entendida por este tribunal como una dispensa excepcional” (STC 223/2000, de 21 de septiembre, FJ 6).</w:t>
      </w:r>
    </w:p>
    <w:p w14:paraId="33337AA0" w14:textId="77777777" w:rsidR="009D7677" w:rsidRDefault="009D7677" w:rsidP="009D7677">
      <w:pPr>
        <w:pStyle w:val="TextoNormal"/>
      </w:pPr>
    </w:p>
    <w:p w14:paraId="23E6763A" w14:textId="77777777" w:rsidR="009D7677" w:rsidRDefault="009D7677" w:rsidP="009D7677">
      <w:pPr>
        <w:pStyle w:val="TextoNormal"/>
      </w:pPr>
      <w:r>
        <w:t>Más concretamente, por lo que se refiere al ámbito de la contratación, dijimos en la STC 68/2021, FJ 5 E) a), que la delimitación de lo básico en el ámbito de la contratación pública se ha llevado a cabo de acuerdo con dos criterios teleológicos: “(i) El criterio vinculado a la consecución o garantía de los principios generales de la contratación en el sector público. En términos de la STC 141/1993, FJ 5, ‘la normativa básica en materia de contratación administrativa tiene principalmente por objeto, aparte de otros fines de interés general, proporcionar las garantías de publicidad, igualdad, libre concurrencia y seguridad jurídica que aseguren a los ciudadanos un tratamiento común por parte de todas las administraciones públicas’ [en el mismo sentido, SSTC 331/1993, de 12 de noviembre, FJ 6 B); 162/2009, de 29 de junio, FJ 4; 56/2014, FJ 3 a), y 237/2015, FJ 2]. (ii) En conexión con el objetivo de estabilidad presupuestaria y control de gasto, al criterio anterior se añade ‘una eficiente utilización de los fondos destinados a la realización de obras, la adquisición de bienes y la contratación de servicios mediante la exigencia de la definición previa de las necesidades a satisfacer, la salvaguarda de la libre competencia y la selección de la oferta económicamente más ventajosa’ [STC 84/2015, FJ 5 a)]”.</w:t>
      </w:r>
    </w:p>
    <w:p w14:paraId="01F196F2" w14:textId="77777777" w:rsidR="009D7677" w:rsidRDefault="009D7677" w:rsidP="009D7677">
      <w:pPr>
        <w:pStyle w:val="TextoNormal"/>
      </w:pPr>
    </w:p>
    <w:p w14:paraId="54055A5A" w14:textId="77777777" w:rsidR="009D7677" w:rsidRDefault="009D7677" w:rsidP="009D7677">
      <w:pPr>
        <w:pStyle w:val="TextoNormal"/>
      </w:pPr>
      <w:r>
        <w:t xml:space="preserve">Por consiguiente, “todos aquellos preceptos de la Ley de contratos del sector público que directamente se encaminen a dotar de una efectividad práctica a los principios de libertad de acceso a las licitaciones, publicidad y transparencia de los procedimientos; igualdad de trato y no discriminación entre licitadores; integridad y eficiente utilización de los fondos públicos —STC 84/2015, FJ 5 a), plasmados en el art. 1.1 LCSP—, deben ser razonablemente considerados como normas básicas. Por el contrario, no tendrán tal consideración ‘aquellas otras prescripciones de detalle o de procedimiento que, sin merma de la eficacia de tales principios básicos, pudieran ser sustituidas por otras regulaciones asimismo complementarias o de detalle, elaboradas por las comunidades autónomas con </w:t>
      </w:r>
      <w:r>
        <w:lastRenderedPageBreak/>
        <w:t>competencia para ello’ (STC 141/1993, FJ 5). Por esta vía quedan excluidas de la esfera de lo básico aquellas prescripciones de orden procedimental y formal, que tienen una naturaleza complementaria y auxiliar que solo de forma muy incidental guardan conexión con los principios del régimen básico de contratación” [STC 68/2021, FJ 5 E) a)].</w:t>
      </w:r>
    </w:p>
    <w:p w14:paraId="715DDBEF" w14:textId="77777777" w:rsidR="009D7677" w:rsidRDefault="009D7677" w:rsidP="009D7677">
      <w:pPr>
        <w:pStyle w:val="TextoNormal"/>
      </w:pPr>
    </w:p>
    <w:p w14:paraId="2964AE45" w14:textId="77777777" w:rsidR="009D7677" w:rsidRDefault="009D7677" w:rsidP="009D7677">
      <w:pPr>
        <w:pStyle w:val="TextoNormal"/>
      </w:pPr>
      <w:r>
        <w:t>Dicho lo anterior, se ha de matizar, no obstante, que, en el presente caso, no basta, como se afirma en el recurso, con que los servicios a los que se refiere el precepto impugnado queden sujetos a la normativa básica sobre contratación, al no haber sido excluidos por la Ley de contratos del sector público de su ámbito de aplicación, aunque este tribunal haya reconocido el carácter básico de ese extremo. Como ya hemos precisado en el fundamento anterior, la competencia de la Comunidad Foral en materia de contratación es una competencia exclusiva que deriva de su régimen foral, por lo que ha de tenerse presente que no todas las determinaciones de la legislación básica sobre contratación pública extenderán su efecto limitativo en relación con el ejercicio de su competencia por la Comunidad Foral de Navarra, sino solo aquellas en las que se plasmen los principios esenciales de la legislación básica estatal en la materia, que es el único límite que el art. 49.1 d) LORAFNA impone a la competencia exclusiva de la comunidad foral, aparte del que, con carácter general, resulta de los arts. 2.2 y 3.1 LORAFNA respecto a la no afección de las competencias estatales inherentes a la unidad constitucional. Lo que ha de decidirse ahora es, si atendiendo al régimen de distribución de competencias entre el Estado y la Comunidad Foral de Navarra en materia de contratación pública, las normas que establecen qué negocios y contratos quedan excluidos del ámbito de aplicación de la Ley de contratos del sector público, además de tener carácter básico, vinculan a Navarra conforme al art. 49.1 d) LORAFNA. Por consiguiente, el canon que debe guiar nuestro enjuiciamiento en el presente caso no es simplemente la legislación básica contenida en la Ley de contratos del sector público, sino que es preciso ahondar dentro de ella para extraer de esas normas básicas sus principios esenciales, que son los que acotan el ámbito a partir del cual puede ejercer su competencia el legislador foral.</w:t>
      </w:r>
    </w:p>
    <w:p w14:paraId="05173F51" w14:textId="77777777" w:rsidR="009D7677" w:rsidRDefault="009D7677" w:rsidP="009D7677">
      <w:pPr>
        <w:pStyle w:val="TextoNormal"/>
      </w:pPr>
    </w:p>
    <w:p w14:paraId="2DD0B5BF" w14:textId="77777777" w:rsidR="009D7677" w:rsidRDefault="009D7677" w:rsidP="009D7677">
      <w:pPr>
        <w:pStyle w:val="TextoNormal"/>
      </w:pPr>
      <w:r>
        <w:t>b) Por otra parte, las representaciones del Parlamento y la Comunidad Foral de Navarra han acudido al Derecho de la Unión Europea como justificación de la excepción introducida por la Ley 17/2020 en la Ley Foral de contratos públicos, especialmente a la Directiva 2014/24/UE, de 26 de febrero. En relación con la incorporación a nuestro ordenamiento jurídico interno de las directivas europeas, este tribunal ha señalado de manera reiterada que “son las reglas internas de delimitación competencial las que en todo caso han de fundamentar la respuesta a los conflictos planteados entre el Estado y las comunidades autónomas”, pues el “Derecho comunitario no es en sí mismo canon o parámetro directo de constitucionalidad en los procesos constitucionales”; “las normas del Derecho de la Unión Europea, originario o derivado, carecen de rango y fuerza constitucionales”; y el orden competencial establecido por la Constitución “no resulta alterado ni por el ingreso de España en la Comunidad Europea ni por la promulgación de las normas comunitarias” (por todas, STC 165/2016, de 6 de octubre, FJ 6), pues “la cesión del ejercicio de competencias en favor de organismos comunitarios no implica que las autoridades nacionales dejen de estar sometidas, en cuanto poderes públicos, a la Constitución y al resto del ordenamiento jurídico, como establece el art. 9.1 de la Norma fundamental”. Consiguientemente, “la ejecución del Derecho comunitario corresponde a quien materialmente ostenta la competencia según las reglas de Derecho interno, puesto que ‘no existe una competencia especí</w:t>
      </w:r>
      <w:r>
        <w:lastRenderedPageBreak/>
        <w:t>fica para la ejecución del Derecho comunitario’ (SSTC 236/1991 y 79/1992)” (STC 141/1993, de 22 de abril, FJ 2).</w:t>
      </w:r>
    </w:p>
    <w:p w14:paraId="3700DE42" w14:textId="77777777" w:rsidR="009D7677" w:rsidRDefault="009D7677" w:rsidP="009D7677">
      <w:pPr>
        <w:pStyle w:val="TextoNormal"/>
      </w:pPr>
    </w:p>
    <w:p w14:paraId="0F9F688C" w14:textId="77777777" w:rsidR="009D7677" w:rsidRDefault="009D7677" w:rsidP="009D7677">
      <w:pPr>
        <w:pStyle w:val="TextoNormal"/>
      </w:pPr>
      <w:r>
        <w:t>También se ocupó de esta cuestión la STC 68/2021, al resolver el recurso de inconstitucionalidad promovido contra la Ley de contratos del sector público. En su fundamento jurídico 3 b) afirmó que el conflicto que allí se dilucidaba había de ser resuelto exclusivamente conforme a las reglas del Derecho interno, añadiendo que “[e]l hecho de que las directivas europeas sean de obligado cumplimiento por la totalidad de las autoridades de los Estados miembros y que incluso puedan tener un ‘efecto directo’, no significa, como ya ha declarado el tribunal, ‘que las normas estatales que las adaptan a nuestro ordenamiento deban ser consideradas necesariamente básicas’; e igualmente, si su trasposición exige, en ciertos casos, establecer normas internas con un contenido mínimo uniforme para el conjunto del territorio estatal, será al Estado al que le corresponda efectuar esta regulación ‘mediante normas de carácter básico en la medida en que así lo permitan la Constitución y los Estatutos de Autonomía’ (STC 141/1993, FJ 2). Del mismo modo, si la Unión Europea establece una legislación que sustituya a la normativa básica del Estado, de acuerdo con una reiterada doctrina constitucional (STC 148/1998, de 2 de julio, FJ 4), ‘no existe razón alguna para objetar que la comunidad autónoma ejecute el Derecho de la Unión Europea en el ámbito de sus competencias […] y, en consecuencia, tampoco, en principio, para que pueda adoptar, cuando ello sea posible, legislación de desarrollo a partir de una legislación europea que sustituya a la normativa básica del Estado en una materia’, salvaguardando, en todo caso, la competencia básica del Estado ‘que no resulta desplazada ni eliminada por la normativa europea, de modo que el Estado puede dictar futuras normas básicas en el ejercicio de una competencia constitucionalmente reservada, pues […] la sustitución de unas bases por el Derecho europeo no modifica constitutivamente la competencia constitucional estatal de emanación de bases’ (STC 31/2010, de 28 de junio, FJ 123)”.</w:t>
      </w:r>
    </w:p>
    <w:p w14:paraId="012EDD86" w14:textId="77777777" w:rsidR="009D7677" w:rsidRDefault="009D7677" w:rsidP="009D7677">
      <w:pPr>
        <w:pStyle w:val="TextoNormal"/>
      </w:pPr>
    </w:p>
    <w:p w14:paraId="395D6791" w14:textId="77777777" w:rsidR="009D7677" w:rsidRDefault="009D7677" w:rsidP="009D7677">
      <w:pPr>
        <w:pStyle w:val="TextoNormal"/>
      </w:pPr>
      <w:r>
        <w:t>Por consiguiente, la controversia competencial suscitada ante este tribunal queda deferida al momento en el que se examine si los preceptos de la Ley de contratos del sector público que se contraponen a los que aquí se impugnan, tienen o no el carácter de normas básicas, y si, además, constituyen principios esenciales de esa regulación básica. Y, aunque en materia de contratación pública, suele existir coincidencia entre el contenido del Derecho europeo y las normas estatales que merecen ser razonablemente consideradas como básicas, hay que precisar que no toda norma comunitaria ha de ser incorporada al ordenamiento jurídico interno a través de una norma estatal dotada de carácter básico [STC 68/2021, FJ 3 b)]. Esto no es óbice para que un pronunciamiento sobre la eventual contradicción alegada entre la legislación estatal y la norma autonómica “deba partir de una interpretación de las disposiciones legales acorde con las exigencias del Derecho europeo” [STC 84/2015, de 30 de abril, FJ 6 a)], sin olvidar que no corresponde a este tribunal pronunciarse sobre la eventual incompatibilidad entre una norma de Derecho interno y el sistema normativo de la Unión Europea (STC 134/2011, de 20 de julio, FJ 8).</w:t>
      </w:r>
    </w:p>
    <w:p w14:paraId="6FD88A55" w14:textId="77777777" w:rsidR="009D7677" w:rsidRDefault="009D7677" w:rsidP="009D7677">
      <w:pPr>
        <w:pStyle w:val="TextoNormal"/>
      </w:pPr>
    </w:p>
    <w:p w14:paraId="49641CC1" w14:textId="77777777" w:rsidR="009D7677" w:rsidRDefault="009D7677" w:rsidP="009D7677">
      <w:pPr>
        <w:pStyle w:val="TextoNormal"/>
      </w:pPr>
      <w:r>
        <w:t xml:space="preserve">Finalmente, respecto a la alegación de la representación de la Comunidad Foral de Navarra sobre el reconocimiento en la junta de cooperación administración general del Estado-Comunidad Foral de Navarra —que debatió sobre las posibles discrepancias con la Constitución que al Estado le sugerían diversos preceptos de la Ley Foral 17/2021— de la existencia de una vinculación de la legislación básica estatal con la normativa europea, </w:t>
      </w:r>
      <w:r>
        <w:lastRenderedPageBreak/>
        <w:t>hay que recordar la consolidada doctrina constitucional sobre el valor de los acuerdos de las comisiones bilaterales de cooperación, que no pueden impedir el pronunciamiento de este tribunal acerca de las infracciones constitucionales que se denuncian en el proceso (SSTC 106/2009, de 4 de mayo, FJ 3; 22/2015, de 16 de febrero, FJ 3; 79/2017, de 22 de junio, FJ 10, y 83/2020, de 15 de julio, FJ 6), y que tampoco pueden erigirse en parámetro de constitucionalidad de las disposiciones cuestionadas en un recurso de inconstitucionalidad (STC 217/2016, de 15 de diciembre, FJ 6).</w:t>
      </w:r>
    </w:p>
    <w:p w14:paraId="19018DE5" w14:textId="77777777" w:rsidR="009D7677" w:rsidRDefault="009D7677" w:rsidP="009D7677">
      <w:pPr>
        <w:pStyle w:val="TextoNormal"/>
      </w:pPr>
    </w:p>
    <w:p w14:paraId="6F070798" w14:textId="77777777" w:rsidR="009D7677" w:rsidRDefault="009D7677" w:rsidP="009D7677">
      <w:pPr>
        <w:pStyle w:val="TextoNormal"/>
      </w:pPr>
      <w:r>
        <w:t>C) Enjuiciamiento.</w:t>
      </w:r>
    </w:p>
    <w:p w14:paraId="5A2DE3CF" w14:textId="77777777" w:rsidR="009D7677" w:rsidRDefault="009D7677" w:rsidP="009D7677">
      <w:pPr>
        <w:pStyle w:val="TextoNormal"/>
      </w:pPr>
    </w:p>
    <w:p w14:paraId="0868CE3F" w14:textId="77777777" w:rsidR="009D7677" w:rsidRDefault="009D7677" w:rsidP="009D7677">
      <w:pPr>
        <w:pStyle w:val="TextoNormal"/>
      </w:pPr>
      <w:r>
        <w:t>El precepto impugnado añade, entre otras, la letra l) al art. 7.1 de la Ley Foral de contratos públicos —que establece los negocios excluidos de la aplicación de la Ley Foral de contratos públicos “por razón de su propia naturaleza y de la existencia de normativa específica”—, en virtud de la cual, quedan excluidos del ámbito de aplicación de la ley foral determinados servicios jurídicos. En concreto, se excluyen (i) la representación legal de un cliente por un abogado, en el sentido del art. 1 de la Directiva 77/249/CEE, del Consejo, en un arbitraje o una conciliación celebrada en Estados miembros o terceros países, o ante una instancia internacional de conciliación o arbitraje, o bien en un procedimiento judicial ante los órganos jurisdiccionales o las autoridades públicas de esos Estados o países o ante órganos jurisdiccionales o instituciones internacionales; (ii) el asesoramiento jurídico prestado por abogado (también en el sentido de la Directiva 77/249/CEE) como preparación de los anteriores procedimientos, o cuando haya una indicación concreta y una alta probabilidad de que el asunto sea objeto de dichos procedimientos; (iii) los servicios de certificación y autenticación de documentos que deban ser prestados por un notario.</w:t>
      </w:r>
    </w:p>
    <w:p w14:paraId="658A8E3A" w14:textId="77777777" w:rsidR="009D7677" w:rsidRDefault="009D7677" w:rsidP="009D7677">
      <w:pPr>
        <w:pStyle w:val="TextoNormal"/>
      </w:pPr>
    </w:p>
    <w:p w14:paraId="513CAB5B" w14:textId="77777777" w:rsidR="009D7677" w:rsidRDefault="009D7677" w:rsidP="009D7677">
      <w:pPr>
        <w:pStyle w:val="TextoNormal"/>
      </w:pPr>
      <w:r>
        <w:t>En relación con esta modificación, el preámbulo de la Ley Foral 17/2021 tan solo aclara que “se trasponen de forma más precisa algunos supuestos de exclusión de la aplicación de la Ley Foral de contratos públicos”, toda vez que los servicios referidos no se encontraban excluidos de esta originariamente. Son las representaciones del Parlamento y de la comunidad foral las que han especificado que la exclusión obedece a la transposición de la Directiva 2014/24/UE, del Parlamento Europeo y del Consejo, de 26 de febrero de 2014, sobre contratación pública y por la que se deroga la Directiva 2004/18/CE, invocando en este caso el art. 10 d) de dicha directiva.</w:t>
      </w:r>
    </w:p>
    <w:p w14:paraId="0B81C7EF" w14:textId="77777777" w:rsidR="009D7677" w:rsidRDefault="009D7677" w:rsidP="009D7677">
      <w:pPr>
        <w:pStyle w:val="TextoNormal"/>
      </w:pPr>
    </w:p>
    <w:p w14:paraId="7AFF679F" w14:textId="77777777" w:rsidR="009D7677" w:rsidRDefault="009D7677" w:rsidP="009D7677">
      <w:pPr>
        <w:pStyle w:val="TextoNormal"/>
      </w:pPr>
      <w:r>
        <w:t xml:space="preserve">Es cierto que el art. 10 d) de la Directiva 2014/24/UE excluye de su ámbito de aplicación los mismos servicios jurídicos que el art. 7.1 l) de la Ley Foral de contratos públicos excluye, en idénticos términos, de la aplicación de la Ley Foral de contratos públicos. Sin embargo, esta constatación no permite, sin más, dar por buena la exclusión que realiza la norma foral, puesto que la controversia ha de ser resuelta de acuerdo con la doctrina que hemos expuesto en el apartado precedente, sobre la sujeción a las normas de Derecho interno a la hora de dar respuesta a los conflictos que surjan en relación con la incorporación a nuestro ordenamiento interno de las directivas europeas, ya que el Derecho comunitario no es, en sí mismo, parámetro directo de constitucionalidad. Ratifica la anterior aseveración, en este caso, la STJUE de 6 de junio de 2019 (asunto C-264/18, </w:t>
      </w:r>
      <w:r w:rsidRPr="009D7677">
        <w:rPr>
          <w:i/>
        </w:rPr>
        <w:t>P.M. y otros c. Ministerraad</w:t>
      </w:r>
      <w:r>
        <w:t>), que, al enjuiciar la conformidad del art. 10 d) de la Directiva 2014/24/UE con el principio de subsidiariedad, afirmó que, del hecho de que el legislador de la Unión excluyese del ámbito de aplicación de la Directiva 2014/24 los servicios contemplados en dicho precepto, “se desprende necesariamente que consideró que correspondía a los legis</w:t>
      </w:r>
      <w:r>
        <w:lastRenderedPageBreak/>
        <w:t>ladores nacionales determinar si esos servicios debían someterse a las normas de adjudicación de contratos públicos” (§ 21). No es, por tanto, determinante, a los efectos que aquí nos interesan, la exclusión de tales servicios del ámbito de aplicación de la Directiva 2014/24/UE, porque, en último término, es facultad del legislador nacional decidir si deben quedar sometidos a las normas de contratación pública.</w:t>
      </w:r>
    </w:p>
    <w:p w14:paraId="6755340C" w14:textId="77777777" w:rsidR="009D7677" w:rsidRDefault="009D7677" w:rsidP="009D7677">
      <w:pPr>
        <w:pStyle w:val="TextoNormal"/>
      </w:pPr>
    </w:p>
    <w:p w14:paraId="4A7E8581" w14:textId="77777777" w:rsidR="009D7677" w:rsidRDefault="009D7677" w:rsidP="009D7677">
      <w:pPr>
        <w:pStyle w:val="TextoNormal"/>
      </w:pPr>
      <w:r>
        <w:t>En este sentido, la Ley de contratos del sector público se refiere a los contratos que tienen por objeto la prestación de tales servicios jurídicos en su art. 19.2 e), pero lo hace a los solos efectos de excluirlos de los contratos sujetos a la regulación armonizada (que implica la mayor sujeción al Derecho público). No los menciona, en cambio, entre los negocios excluidos que se especifican en los arts. 4 a 11, y, particularmente, en este último. De todo ello se sigue que la Ley de contratos del sector público incluye los contratos relativos a esos negocios jurídicos dentro de su ámbito de aplicación, a diferencia de lo que hace, actualmente, la Ley Foral de contratos públicos. No basta, sin embargo, esa contraposición entre las normas estatal y foral para llegar a la conclusión de que la impugnación debe ser estimada. Se ha de determinar, en primer lugar, si la normativa de la Ley de contratos del sector público en esta materia tiene carácter básico, y, a continuación, en el caso de que la respuesta sea afirmativa, si esa norma básica debe ser considerada o no un principio esencial, en los términos del art. 49.1 d) LORAFNA.</w:t>
      </w:r>
    </w:p>
    <w:p w14:paraId="5F44D644" w14:textId="77777777" w:rsidR="009D7677" w:rsidRDefault="009D7677" w:rsidP="009D7677">
      <w:pPr>
        <w:pStyle w:val="TextoNormal"/>
      </w:pPr>
    </w:p>
    <w:p w14:paraId="305666B4" w14:textId="77777777" w:rsidR="009D7677" w:rsidRDefault="009D7677" w:rsidP="009D7677">
      <w:pPr>
        <w:pStyle w:val="TextoNormal"/>
      </w:pPr>
      <w:r>
        <w:t>Para responder a ambas cuestiones podemos acudir al fundamento jurídico 6 A) de la STC 68/2021, que, al resolver una tacha que criticaba la realización, a través del art. 11 LCSP, de una trasposición defectuosa de las directivas europeas, al no excluir y regular los contratos que tengan por objeto servicios jurídicos [art. 19.2 e) LCSP], concluyó: “El Tribunal considera que los arts. 9.2 y 11 tienen un carácter materialmente básico en cuanto su objeto es delimitar el ámbito de aplicación de la Ley de contratos del sector público [STC 84/2015, FJ 5 a)]; en este caso, negativamente, determinando las reglas o condiciones mínimas y comunes para que la exclusión opere”. Siendo esas reglas de exclusión básicas, resta por determinar si, además, se trata de un principio esencial de la normativa básica que deba ser respetado por la Comunidad Foral de Navarra. Y la respuesta no puede sino ser afirmativa, porque, como la misma sentencia añadió a renglón seguido, “[l]a concreción del elemento objetivo de la ley es esencial para garantizar la igualdad y el tratamiento común ante las administraciones”. Ya hemos señalado anteriormente que deben considerarse esenciales las reglas en las que se plasmen una serie de principios cardinales de la contratación pública, entre los que mencionábamos, por remisión a la STC 141/1993, FJ 5, las garantías de publicidad, igualdad, libre concurrencia y seguridad jurídica que aseguren a los ciudadanos un tratamiento común por parte de todas las administraciones públicas, principios que resultarían ilusorios si, frente a un mismo negocio jurídico, los operadores económicos se encontraran ante respuestas normativas diversas en función del poder adjudicador de que se trate.</w:t>
      </w:r>
    </w:p>
    <w:p w14:paraId="35EFC98B" w14:textId="77777777" w:rsidR="009D7677" w:rsidRDefault="009D7677" w:rsidP="009D7677">
      <w:pPr>
        <w:pStyle w:val="TextoNormal"/>
      </w:pPr>
    </w:p>
    <w:p w14:paraId="5A9B37F0" w14:textId="39503043" w:rsidR="009D7677" w:rsidRDefault="009D7677" w:rsidP="009D7677">
      <w:pPr>
        <w:pStyle w:val="TextoNormal"/>
      </w:pPr>
      <w:r>
        <w:t xml:space="preserve">En definitiva, concurren los dos presupuestos que son necesarios para que la Comunidad Foral de Navarra quede sujeta a las previsiones de la legislación contractual del Estado, </w:t>
      </w:r>
      <w:r w:rsidRPr="009D7677">
        <w:rPr>
          <w:i/>
        </w:rPr>
        <w:t>ex</w:t>
      </w:r>
      <w:r>
        <w:t xml:space="preserve"> art. 49.1 d) LORAFNA, pues la determinación de los negocios excluidos del ámbito de aplicación de la Ley de contratos del sector público no solo tiene carácter básico, sino que, además, ha de ser considerada un principio esencial de la legislación básica estatal. No ajustándose a esas reglas el art. 7.1 l) de la Ley Foral de contratos públicos, introducido por el artículo único, apartado 2 de la Ley Foral 17/2021, que excluye del ámbito de </w:t>
      </w:r>
      <w:r>
        <w:lastRenderedPageBreak/>
        <w:t>aplicación ciertos servicios jurídicos no excluidos de la Ley de contratos del sector público, debemos estimar la impugnación y declararlo inconstitucional y nulo.</w:t>
      </w:r>
    </w:p>
    <w:p w14:paraId="5A82C750" w14:textId="77777777" w:rsidR="009D7677" w:rsidRDefault="009D7677" w:rsidP="009D7677">
      <w:pPr>
        <w:pStyle w:val="TextoNormal"/>
      </w:pPr>
    </w:p>
    <w:p w14:paraId="6E4588F2" w14:textId="77777777" w:rsidR="009D7677" w:rsidRDefault="009D7677" w:rsidP="009D7677">
      <w:pPr>
        <w:pStyle w:val="TextoNormal"/>
      </w:pPr>
      <w:r w:rsidRPr="009D7677">
        <w:rPr>
          <w:rStyle w:val="NumeroAFNegritaCaracter"/>
        </w:rPr>
        <w:t>5</w:t>
      </w:r>
      <w:r>
        <w:t xml:space="preserve">. </w:t>
      </w:r>
      <w:r w:rsidRPr="009D7677">
        <w:rPr>
          <w:i/>
        </w:rPr>
        <w:t>Conclusión y alcance del fallo</w:t>
      </w:r>
    </w:p>
    <w:p w14:paraId="2A09BAF2" w14:textId="77777777" w:rsidR="009D7677" w:rsidRDefault="009D7677" w:rsidP="009D7677">
      <w:pPr>
        <w:pStyle w:val="TextoNormal"/>
      </w:pPr>
    </w:p>
    <w:p w14:paraId="3E09BE75" w14:textId="77777777" w:rsidR="009D7677" w:rsidRDefault="009D7677" w:rsidP="009D7677">
      <w:pPr>
        <w:pStyle w:val="TextoNormal"/>
      </w:pPr>
      <w:r>
        <w:t>De acuerdo con los argumentos expuestos en los anteriores fundamentos jurídicos, este tribunal considera (i) que el recurso de inconstitucionalidad ha perdido sobrevenidamente su objeto en relación con las quejas dirigidas contra la disposición adicional vigesimoprimera de la Ley Foral de contratos públicos, introducida por el artículo único, apartado 65 de la Ley Foral 17/2021 , de 21 de octubre, por la que se modifica la Ley Foral 2/2018, de 13 de abril, de contratos públicos, y contra el art. 7.1 m) de la Ley Foral de contratos públicos, añadido por el artículo único, apartado 2 de la misma Ley Foral 17/2021; y (ii) que la letra l) del art. 7.1 de la Ley Foral de contratos públicos, añadida por la misma Ley Foral 17/2021, en su artículo único, apartado 2, debe ser declarada inconstitucional y nula porque vulnera el orden constitucional de distribución de competencias, al excluir del ámbito de la contratación pública los negocios que tienen por objeto determinados servicios jurídicos, de manera contraria a lo establecido en la Ley de contratos del sector público.</w:t>
      </w:r>
    </w:p>
    <w:p w14:paraId="2011CFDA" w14:textId="77777777" w:rsidR="009D7677" w:rsidRDefault="009D7677" w:rsidP="009D7677">
      <w:pPr>
        <w:pStyle w:val="TextoNormal"/>
      </w:pPr>
    </w:p>
    <w:p w14:paraId="3DC57C39" w14:textId="14ACA30B" w:rsidR="009D7677" w:rsidRDefault="009D7677" w:rsidP="009D7677">
      <w:pPr>
        <w:pStyle w:val="TextoNormal"/>
      </w:pPr>
      <w:r>
        <w:t>Por último, debemos determinar el alcance temporal de los efectos de la declaración de inconstitucionalidad y nulidad de los indicados preceptos. A este respecto, ha de precisarse que tal declaración no afectará a las situaciones jurídicas consolidadas, pues el principio de seguridad jurídica consagrado en el art. 9.3 CE y la necesidad de atender al fin legítimo de procurar la estabilidad en las relaciones contractuales preexistentes aconseja limitar los efectos de esta sentencia, de manera que la inconstitucionalidad y nulidad de los preceptos mencionados tendrá únicamente efectos pro futuro, manteniéndose en sus términos los contratos relativos a los servicios jurídicos a que se refiere el art. 7.1 l) de la Ley Foral de contratos públicos celebrados con anterioridad a la presente resolución bajo tales previsiones normativas.</w:t>
      </w:r>
    </w:p>
    <w:p w14:paraId="5D8DE234" w14:textId="77777777" w:rsidR="009D7677" w:rsidRDefault="009D7677" w:rsidP="009D7677">
      <w:pPr>
        <w:pStyle w:val="TextoNormal"/>
      </w:pPr>
    </w:p>
    <w:p w14:paraId="11487100" w14:textId="77777777" w:rsidR="009D7677" w:rsidRDefault="009D7677" w:rsidP="009D7677">
      <w:pPr>
        <w:pStyle w:val="TextoNormalCentrado"/>
        <w:keepNext/>
      </w:pPr>
      <w:r>
        <w:t>FALLO</w:t>
      </w:r>
    </w:p>
    <w:p w14:paraId="58E40831" w14:textId="3F1B318B" w:rsidR="009D7677" w:rsidRDefault="009D7677" w:rsidP="009D7677">
      <w:pPr>
        <w:pStyle w:val="TextoNormalCentrado"/>
        <w:keepNext/>
      </w:pPr>
    </w:p>
    <w:p w14:paraId="1D7E9E13" w14:textId="77777777" w:rsidR="009D7677" w:rsidRDefault="009D7677" w:rsidP="009D7677">
      <w:pPr>
        <w:pStyle w:val="TextoNormal"/>
      </w:pPr>
      <w:r>
        <w:t>En atención a todo lo expuesto, el Tribunal Constitucional, por la autoridad que le confiere la Constitución de la Nación española, ha decidido estimar parcialmente el recurso de inconstitucionalidad interpuesto por el presidente del Gobierno contra la Ley Foral 17/2021, de 21 de octubre, por la que se modifica la Ley Foral 2/2018, de 13 de abril, de contratos públicos y, en consecuencia:</w:t>
      </w:r>
    </w:p>
    <w:p w14:paraId="46737B10" w14:textId="77777777" w:rsidR="009D7677" w:rsidRDefault="009D7677" w:rsidP="009D7677">
      <w:pPr>
        <w:pStyle w:val="TextoNormal"/>
      </w:pPr>
    </w:p>
    <w:p w14:paraId="00DC3D54" w14:textId="77777777" w:rsidR="009D7677" w:rsidRDefault="009D7677" w:rsidP="009D7677">
      <w:pPr>
        <w:pStyle w:val="TextoNormal"/>
      </w:pPr>
      <w:r>
        <w:t>1º Declarar extinguido el recurso de inconstitucionalidad, por desaparición sobrevenida de su objeto, en relación con la impugnación de la disposición adicional vigesimoprimera y del art. 7.1 m) de la Ley Foral 2/2018, de 13 de abril, de contratos públicos, introducidos, respectivamente, por los apartados 65 y 2 del artículo único de la Ley Foral 17/2021, de 21 de octubre, por la que se modifica la Ley Foral 2/2018, de 13 de abril, de contratos públicos.</w:t>
      </w:r>
    </w:p>
    <w:p w14:paraId="7B6A003F" w14:textId="77777777" w:rsidR="009D7677" w:rsidRDefault="009D7677" w:rsidP="009D7677">
      <w:pPr>
        <w:pStyle w:val="TextoNormal"/>
      </w:pPr>
    </w:p>
    <w:p w14:paraId="792C80FC" w14:textId="7018F6E9" w:rsidR="009D7677" w:rsidRDefault="009D7677" w:rsidP="009D7677">
      <w:pPr>
        <w:pStyle w:val="TextoNormal"/>
      </w:pPr>
      <w:r>
        <w:t>2º Declarar que es inconstitucional y nulo, con los efectos previstos en el fundamento jurídico 5, el art. 7.1 l) de la Ley Foral 2/2018, de 13 de abril, de contratos públicos, aña</w:t>
      </w:r>
      <w:r>
        <w:lastRenderedPageBreak/>
        <w:t>dido por el apartado 2 del artículo único de la Ley Foral 17/2021, de 21 de octubre, por la que se modifica la Ley Foral 2/2018, de 13 de abril, de contratos públicos.</w:t>
      </w:r>
    </w:p>
    <w:p w14:paraId="11803611" w14:textId="77777777" w:rsidR="009D7677" w:rsidRDefault="009D7677" w:rsidP="009D7677">
      <w:pPr>
        <w:pStyle w:val="TextoNormal"/>
      </w:pPr>
    </w:p>
    <w:p w14:paraId="56F50271" w14:textId="77777777" w:rsidR="009D7677" w:rsidRDefault="009D7677" w:rsidP="009D7677">
      <w:pPr>
        <w:pStyle w:val="TextoNormal"/>
      </w:pPr>
      <w:r>
        <w:t>Publíquese esta sentencia en el “Boletín Oficial del Estado”.</w:t>
      </w:r>
    </w:p>
    <w:p w14:paraId="087AABA4" w14:textId="77777777" w:rsidR="009D7677" w:rsidRDefault="009D7677" w:rsidP="009D7677">
      <w:pPr>
        <w:pStyle w:val="TextoNormal"/>
      </w:pPr>
      <w:r>
        <w:t>Dada en Madrid, a once de abril de dos mil veinticuatro.</w:t>
      </w:r>
    </w:p>
    <w:p w14:paraId="4D7F3B16" w14:textId="250A91D6" w:rsidR="009D7677" w:rsidRDefault="009D7677">
      <w:pPr>
        <w:spacing w:after="160" w:line="259" w:lineRule="auto"/>
        <w:rPr>
          <w:rFonts w:ascii="Times New Roman" w:eastAsia="Times New Roman" w:hAnsi="Times New Roman" w:cs="Times New Roman"/>
          <w:sz w:val="24"/>
          <w:szCs w:val="24"/>
          <w:lang w:eastAsia="es-ES"/>
        </w:rPr>
      </w:pPr>
      <w:r>
        <w:br w:type="page"/>
      </w:r>
    </w:p>
    <w:p w14:paraId="774B03A6" w14:textId="77777777" w:rsidR="009D7677" w:rsidRDefault="009D7677" w:rsidP="009D7677">
      <w:pPr>
        <w:pStyle w:val="TtuloResolucin"/>
      </w:pPr>
      <w:bookmarkStart w:id="68" w:name="SENTENCIA_2024_66"/>
      <w:r>
        <w:lastRenderedPageBreak/>
        <w:t>SENTENCIA 66/2024, de 23 de abril de 2024</w:t>
      </w:r>
    </w:p>
    <w:bookmarkEnd w:id="68"/>
    <w:p w14:paraId="630F82D8" w14:textId="77777777" w:rsidR="009D7677" w:rsidRDefault="009D7677" w:rsidP="009D7677">
      <w:pPr>
        <w:pStyle w:val="TtuloResolucin"/>
      </w:pPr>
      <w:r>
        <w:t>Pleno</w:t>
      </w:r>
    </w:p>
    <w:p w14:paraId="4C50E0C0" w14:textId="77777777" w:rsidR="009D7677" w:rsidRDefault="009D7677" w:rsidP="009D7677">
      <w:pPr>
        <w:pStyle w:val="TtuloBOE"/>
      </w:pPr>
      <w:r>
        <w:t>(BOE núm. 131, de 30 de mayo de 2024)</w:t>
      </w:r>
    </w:p>
    <w:p w14:paraId="5A5311EF" w14:textId="77777777" w:rsidR="009D7677" w:rsidRDefault="009D7677" w:rsidP="009D7677">
      <w:pPr>
        <w:pStyle w:val="TextoNormalCentrado"/>
      </w:pPr>
      <w:r>
        <w:t>ECLI:ES:TC:2024:66</w:t>
      </w:r>
    </w:p>
    <w:p w14:paraId="66DEBF7C" w14:textId="0A64DBDB" w:rsidR="009D7677" w:rsidRDefault="009D7677" w:rsidP="009D7677">
      <w:pPr>
        <w:pStyle w:val="TextoNormalCentrado"/>
      </w:pPr>
    </w:p>
    <w:p w14:paraId="25BE6F1E" w14:textId="77777777" w:rsidR="009D7677" w:rsidRDefault="009D7677" w:rsidP="009D7677">
      <w:pPr>
        <w:pStyle w:val="SntesisDescriptiva"/>
      </w:pPr>
      <w:r>
        <w:t>Recurso de amparo 5301-2021. Promovido por don Oriol Junqueras i Vies en relación con la sentencia de la Sección Cuarta de la Sala de lo Contencioso-Administrativo del Tribunal Supremo que confirmó las resoluciones de la Junta Electoral Central que habían declarado la pérdida de su condición de diputado del Parlamento Europeo.</w:t>
      </w:r>
    </w:p>
    <w:p w14:paraId="6F3FBAB6" w14:textId="1C9F48F4" w:rsidR="009D7677" w:rsidRDefault="009D7677" w:rsidP="009D7677">
      <w:pPr>
        <w:pStyle w:val="SntesisDescriptiva"/>
      </w:pPr>
    </w:p>
    <w:p w14:paraId="4D651288" w14:textId="77777777" w:rsidR="009D7677" w:rsidRDefault="009D7677" w:rsidP="009D7677">
      <w:pPr>
        <w:pStyle w:val="SntesisAnaltica"/>
      </w:pPr>
      <w:r>
        <w:t>Supuesta vulneración de los derechos a la igualdad ante la ley y a no padecer discriminación, al acceso a los cargos públicos, a la tutela judicial efectiva y a un proceso con todas las garantías: resolución judicial que dio una respuesta razonada y fundada en Derecho a las pretensiones tempestivamente deducidas por el recurrente, sin desconocer la primacía del Derecho de la Unión Europea ni el régimen procesal de la prejudicialidad penal.</w:t>
      </w:r>
    </w:p>
    <w:p w14:paraId="7A2C4BF2" w14:textId="6217FD80" w:rsidR="009D7677" w:rsidRDefault="009D7677" w:rsidP="009D7677">
      <w:pPr>
        <w:pStyle w:val="SntesisAnaltica"/>
      </w:pPr>
    </w:p>
    <w:p w14:paraId="638C0830" w14:textId="71E0CE2A" w:rsidR="009D7677" w:rsidRDefault="009D7677" w:rsidP="009D7677">
      <w:pPr>
        <w:pStyle w:val="Extracto"/>
      </w:pPr>
      <w:r>
        <w:t>1.</w:t>
      </w:r>
      <w:r>
        <w:tab/>
        <w:t>No existe norma orgánica ni procesal en nuestro ordenamiento jurídico que permita a los tribunales del orden contencioso-administrativo conocer de la impugnación de una sentencia penal firme, frente a la que sólo se permite interponer, dentro de la jurisdicción ordinaria, un incidente de nulidad de actuaciones ante la propia Sala de lo Penal [FJ 3].</w:t>
      </w:r>
    </w:p>
    <w:p w14:paraId="5F289CA7" w14:textId="77777777" w:rsidR="009D7677" w:rsidRDefault="009D7677" w:rsidP="009D7677">
      <w:pPr>
        <w:pStyle w:val="Extracto"/>
      </w:pPr>
    </w:p>
    <w:p w14:paraId="2CE94C22" w14:textId="4CEDB512" w:rsidR="009D7677" w:rsidRDefault="009D7677" w:rsidP="009D7677">
      <w:pPr>
        <w:pStyle w:val="Extracto"/>
      </w:pPr>
      <w:r>
        <w:t>2.</w:t>
      </w:r>
      <w:r>
        <w:tab/>
        <w:t xml:space="preserve">La revisión de las decisiones adoptadas en procesos electorales susceptibles de afectar a la representación democrática ex art. 3 del Protocolo adicional núm. 1 al CEDH, exige verificar si las alegaciones presentadas por quien aduce no haber tenido acceso a un recurso efectivo eran suficientemente serias y discutibles (STC 50/2024 y STEDH -Gran Sala- de 10 de julio de 2020, asunto </w:t>
      </w:r>
      <w:r w:rsidRPr="009D7677">
        <w:rPr>
          <w:i/>
        </w:rPr>
        <w:t>Mugemangango c. Bélgica</w:t>
      </w:r>
      <w:r>
        <w:t>) [FJ 3].</w:t>
      </w:r>
    </w:p>
    <w:p w14:paraId="2E62F8B2" w14:textId="77777777" w:rsidR="009D7677" w:rsidRDefault="009D7677" w:rsidP="009D7677">
      <w:pPr>
        <w:pStyle w:val="Extracto"/>
      </w:pPr>
    </w:p>
    <w:p w14:paraId="5AF5EEFE" w14:textId="0D26A102" w:rsidR="009D7677" w:rsidRDefault="009D7677" w:rsidP="009D7677">
      <w:pPr>
        <w:pStyle w:val="Extracto"/>
      </w:pPr>
      <w:r>
        <w:t>3.</w:t>
      </w:r>
      <w:r>
        <w:tab/>
        <w:t xml:space="preserve">No procede que los órganos judiciales planteen la cuestión prejudicial ante el Tribunal de Justicia de la Unión Europea si la mencionada cuestión no es pertinente, es decir, en los supuestos en los que la respuesta a dicha cuestión, cualquiera que fuera, no podría tener incidencia alguna en la solución del litigio (STJUE de 6 de octubre de 1982, </w:t>
      </w:r>
      <w:r w:rsidRPr="009D7677">
        <w:rPr>
          <w:i/>
        </w:rPr>
        <w:t>Cilfit y otros</w:t>
      </w:r>
      <w:r>
        <w:t xml:space="preserve">, 283/81, EU:C:1982:335; STJUE de 18 de julio de 2013, </w:t>
      </w:r>
      <w:r w:rsidRPr="009D7677">
        <w:rPr>
          <w:i/>
        </w:rPr>
        <w:t>Consiglio Nazionale dei Geologi</w:t>
      </w:r>
      <w:r>
        <w:t xml:space="preserve">, C-136/12, EU:C:2013:489; o STJUE de 6 de octubre de 2021 -Gran Sala-, asunto C-561/19, </w:t>
      </w:r>
      <w:r w:rsidRPr="009D7677">
        <w:rPr>
          <w:i/>
        </w:rPr>
        <w:t>Consorzio Italian Management y Catania Multiservizi SpA c. Rete Ferroviaria Italiana SpA</w:t>
      </w:r>
      <w:r>
        <w:t xml:space="preserve"> [FJ 4].</w:t>
      </w:r>
    </w:p>
    <w:p w14:paraId="53190FE8" w14:textId="77777777" w:rsidR="009D7677" w:rsidRDefault="009D7677" w:rsidP="009D7677">
      <w:pPr>
        <w:pStyle w:val="Extracto"/>
      </w:pPr>
    </w:p>
    <w:p w14:paraId="7FEA3D64" w14:textId="74A755D6" w:rsidR="009D7677" w:rsidRDefault="009D7677" w:rsidP="009D7677">
      <w:pPr>
        <w:pStyle w:val="Extracto"/>
      </w:pPr>
      <w:r>
        <w:t>4.</w:t>
      </w:r>
      <w:r>
        <w:tab/>
        <w:t>Para apreciar una vulneración del derecho a la igualdad ante la ley debe partirse de la homogeneidad o identidad del término de comparación utilizado. Lo propio del juicio de igualdad es su carácter relacional conforme al cual se requiere como presupuestos obligados; de un lado, que, como consecuencia de la medida normativa cuestionada, se haya introducido directa o indirectamente una diferencia de trato entre grupos o categorías de personas; y, de otro, que las situaciones subjetivas que quieran traerse a la comparación sean, efectivamente, homogéneas o equiparables, es decir, que el término de comparación no resulte arbitrario o caprichoso (SSTC 205/2011 y 160/2012) [FJ 6].</w:t>
      </w:r>
    </w:p>
    <w:p w14:paraId="3436A252" w14:textId="77777777" w:rsidR="009D7677" w:rsidRDefault="009D7677" w:rsidP="009D7677">
      <w:pPr>
        <w:pStyle w:val="Extracto"/>
      </w:pPr>
    </w:p>
    <w:p w14:paraId="60BB7DE0" w14:textId="01B9637E" w:rsidR="009D7677" w:rsidRDefault="009D7677" w:rsidP="009D7677">
      <w:pPr>
        <w:pStyle w:val="Extracto"/>
      </w:pPr>
      <w:r>
        <w:t>5.</w:t>
      </w:r>
      <w:r>
        <w:tab/>
        <w:t>El demandante de amparo que expresa haber padecido alguna situación personal calificable de discriminatoria, conforme al segundo inciso del art. 14 CE, debe acreditarlo. Aunque nuestra doctrina en este ámbito, a diferencia del estricto de la igualdad ante la ley, no exige un contraste con nadie, con un tercero, sino solo la verificación de la concurrencia del factor protegido (STC 172/2021), sí deben suministrarse al menos datos objetivos que permitan identificar un comportamiento prohibido [FJ 6].</w:t>
      </w:r>
    </w:p>
    <w:p w14:paraId="38CC8206" w14:textId="77777777" w:rsidR="009D7677" w:rsidRDefault="009D7677" w:rsidP="009D7677">
      <w:pPr>
        <w:pStyle w:val="Extracto"/>
      </w:pPr>
    </w:p>
    <w:p w14:paraId="0AB3F387" w14:textId="77777777" w:rsidR="009D7677" w:rsidRDefault="009D7677" w:rsidP="009D7677">
      <w:pPr>
        <w:pStyle w:val="Extracto"/>
      </w:pPr>
    </w:p>
    <w:p w14:paraId="619F6F94" w14:textId="77777777" w:rsidR="009D7677" w:rsidRDefault="009D7677" w:rsidP="009D7677">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69E22C8D" w14:textId="7890AF3B" w:rsidR="009D7677" w:rsidRDefault="009D7677" w:rsidP="009D7677">
      <w:pPr>
        <w:pStyle w:val="TextoNormal"/>
      </w:pPr>
    </w:p>
    <w:p w14:paraId="0977AF45" w14:textId="77777777" w:rsidR="009D7677" w:rsidRDefault="009D7677" w:rsidP="009D7677">
      <w:pPr>
        <w:pStyle w:val="TextoNormalCentrado"/>
        <w:keepNext/>
      </w:pPr>
      <w:r>
        <w:t>EN NOMBRE DEL REY</w:t>
      </w:r>
    </w:p>
    <w:p w14:paraId="1E05C955" w14:textId="5F097919" w:rsidR="009D7677" w:rsidRDefault="009D7677" w:rsidP="009D7677">
      <w:pPr>
        <w:pStyle w:val="TextoNormalCentrado"/>
        <w:keepNext/>
      </w:pPr>
    </w:p>
    <w:p w14:paraId="37F44884" w14:textId="77777777" w:rsidR="009D7677" w:rsidRDefault="009D7677" w:rsidP="009D7677">
      <w:pPr>
        <w:pStyle w:val="TextoNormalCentrado"/>
        <w:keepNext/>
      </w:pPr>
    </w:p>
    <w:p w14:paraId="068199F5" w14:textId="77777777" w:rsidR="009D7677" w:rsidRDefault="009D7677" w:rsidP="009D7677">
      <w:pPr>
        <w:pStyle w:val="TextoNormal"/>
      </w:pPr>
      <w:r>
        <w:t>la siguiente</w:t>
      </w:r>
    </w:p>
    <w:p w14:paraId="7A7DA906" w14:textId="41CA3C8C" w:rsidR="009D7677" w:rsidRDefault="009D7677" w:rsidP="009D7677">
      <w:pPr>
        <w:pStyle w:val="TextoNormal"/>
      </w:pPr>
    </w:p>
    <w:p w14:paraId="7CC37BC4" w14:textId="77777777" w:rsidR="009D7677" w:rsidRDefault="009D7677" w:rsidP="009D7677">
      <w:pPr>
        <w:pStyle w:val="TextoNormalCentrado"/>
        <w:keepNext/>
      </w:pPr>
      <w:r>
        <w:t>SENTENCIA</w:t>
      </w:r>
    </w:p>
    <w:p w14:paraId="7B24CE9F" w14:textId="4E17A937" w:rsidR="009D7677" w:rsidRDefault="009D7677" w:rsidP="009D7677">
      <w:pPr>
        <w:pStyle w:val="TextoNormalCentrado"/>
        <w:keepNext/>
      </w:pPr>
    </w:p>
    <w:p w14:paraId="0AE79020" w14:textId="77777777" w:rsidR="009D7677" w:rsidRDefault="009D7677" w:rsidP="009D7677">
      <w:pPr>
        <w:pStyle w:val="TextoNormal"/>
      </w:pPr>
      <w:r>
        <w:t>En el recurso de amparo núm. 5301-2021, promovido por don Oriol Junqueras i Vies, contra la sentencia de la Sala de lo Contencioso-Administrativo, Sección Cuarta, del Tribunal Supremo, de 12 de mayo de 2021, y contra la providencia de la misma Sala y Sección del Tribunal Supremo, de 15 de junio de 2021, que declaró la inadmisión del incidente de nulidad de actuaciones promovido contra aquella sentencia. Han intervenido la Junta Electoral Central, el Partido Popular, el partido político Vox y el Ministerio Fiscal. Ha sido ponente el magistrado don Ricardo Enríquez Sancho.</w:t>
      </w:r>
    </w:p>
    <w:p w14:paraId="799CCCD8" w14:textId="60467AF2" w:rsidR="009D7677" w:rsidRDefault="009D7677" w:rsidP="009D7677">
      <w:pPr>
        <w:pStyle w:val="TextoNormal"/>
      </w:pPr>
    </w:p>
    <w:p w14:paraId="4715BEE9" w14:textId="77777777" w:rsidR="009D7677" w:rsidRDefault="009D7677" w:rsidP="009D7677">
      <w:pPr>
        <w:pStyle w:val="TextoNormalNegritaCentrado"/>
        <w:keepNext/>
      </w:pPr>
      <w:r>
        <w:t>I. Antecedentes</w:t>
      </w:r>
    </w:p>
    <w:p w14:paraId="454B819E" w14:textId="7CB85805" w:rsidR="009D7677" w:rsidRDefault="009D7677" w:rsidP="009D7677">
      <w:pPr>
        <w:pStyle w:val="TextoNormalNegritaCentrado"/>
        <w:keepNext/>
      </w:pPr>
    </w:p>
    <w:p w14:paraId="465343EE" w14:textId="5CEA61D9" w:rsidR="009D7677" w:rsidRDefault="009D7677" w:rsidP="009D7677">
      <w:pPr>
        <w:pStyle w:val="TextoNormal"/>
      </w:pPr>
      <w:r w:rsidRPr="009D7677">
        <w:rPr>
          <w:rStyle w:val="NumeroAFNegritaCaracter"/>
        </w:rPr>
        <w:t>1</w:t>
      </w:r>
      <w:r>
        <w:t>. Mediante escrito presentado en el registro general de este tribunal el 29 de julio de 2021, el procurador de los tribunales don Emilio Martínez Benítez, actuando en nombre y representación de don Oriol Junqueras i Vies, bajo la defensa del letrado don Marc Marsal i Ferret, interpuso demanda de amparo contra las resoluciones arriba mencionadas.</w:t>
      </w:r>
    </w:p>
    <w:p w14:paraId="1726F9E5" w14:textId="77777777" w:rsidR="009D7677" w:rsidRDefault="009D7677" w:rsidP="009D7677">
      <w:pPr>
        <w:pStyle w:val="TextoNormal"/>
      </w:pPr>
    </w:p>
    <w:p w14:paraId="3F4DDC7E" w14:textId="77777777" w:rsidR="009D7677" w:rsidRDefault="009D7677" w:rsidP="009D7677">
      <w:pPr>
        <w:pStyle w:val="TextoNormal"/>
      </w:pPr>
      <w:r w:rsidRPr="009D7677">
        <w:rPr>
          <w:rStyle w:val="NumeroAFNegritaCaracter"/>
        </w:rPr>
        <w:t>2</w:t>
      </w:r>
      <w:r>
        <w:t>. Los hechos con relevancia para la resolución del presente recurso de amparo y a los que se refiere la demanda presentada, son los siguientes:</w:t>
      </w:r>
    </w:p>
    <w:p w14:paraId="008D719B" w14:textId="77777777" w:rsidR="009D7677" w:rsidRDefault="009D7677" w:rsidP="009D7677">
      <w:pPr>
        <w:pStyle w:val="TextoNormal"/>
      </w:pPr>
    </w:p>
    <w:p w14:paraId="1EA2558D" w14:textId="77777777" w:rsidR="009D7677" w:rsidRDefault="009D7677" w:rsidP="009D7677">
      <w:pPr>
        <w:pStyle w:val="TextoNormal"/>
      </w:pPr>
      <w:r>
        <w:t>a) La Junta Electoral Central, en sesión celebrada el 3 de enero de 2020, en respuesta a una solicitud escrita formulada por el Partido Popular, Ciudadanos-Partido de la Ciudadanía y Vox, adoptó el acuerdo núm. 3/2020 en el expediente 561-79, por el que declaró la inelegibilidad sobrevenida para el cargo de diputado del Parlamento Europeo del aquí re</w:t>
      </w:r>
      <w:r>
        <w:lastRenderedPageBreak/>
        <w:t>currente, en aplicación de los arts. 6.2 a) y 6.4 de la Ley Orgánica del régimen electoral general (LOREG), al haber sido condenado por la sentencia núm. 459/2019, de 14 de octubre, de la Sala de lo Penal del Tribunal Supremo (causa especial 20907-2017), entre otras, a la pena de trece años de prisión. El acuerdo 3/2020 de la Junta Electoral Central tiene el siguiente contenido:</w:t>
      </w:r>
    </w:p>
    <w:p w14:paraId="4EBA8197" w14:textId="77777777" w:rsidR="009D7677" w:rsidRDefault="009D7677" w:rsidP="009D7677">
      <w:pPr>
        <w:pStyle w:val="TextoNormal"/>
      </w:pPr>
    </w:p>
    <w:p w14:paraId="4E368656" w14:textId="77777777" w:rsidR="009D7677" w:rsidRDefault="009D7677" w:rsidP="009D7677">
      <w:pPr>
        <w:pStyle w:val="TextoNormal"/>
      </w:pPr>
      <w:r>
        <w:t>«Primero.- Procede acoger las peticiones planteadas por las formaciones políticas Partido Popular, Ciudadanos-Partido de la Ciudadanía y Vox en relación con la pérdida de la condición de diputado electo del Parlamento Europeo por parte de don Oriol Junqueras i Vies en razón de concurrir en su persona una causa de inelegibilidad sobrevenida por haber sido condenado a pena privativa de libertad en sentencia penal firme número 459/2019, de 14 de octubre (causa especial núm. 3/20907/2017) dictada por la Sala Segunda del Tribunal Supremo, ello por las siguientes razones:</w:t>
      </w:r>
    </w:p>
    <w:p w14:paraId="6B87DB87" w14:textId="77777777" w:rsidR="009D7677" w:rsidRDefault="009D7677" w:rsidP="009D7677">
      <w:pPr>
        <w:pStyle w:val="TextoNormal"/>
      </w:pPr>
    </w:p>
    <w:p w14:paraId="767B0445" w14:textId="77777777" w:rsidR="009D7677" w:rsidRDefault="009D7677" w:rsidP="009D7677">
      <w:pPr>
        <w:pStyle w:val="TextoNormal"/>
      </w:pPr>
      <w:r>
        <w:t>Primera. En primer lugar, debe rechazarse la falta de legitimación aducida por la representación del señor Junqueras y de la formación Ahora Repúblicas, por cuanto, como ha señalado la jurisprudencia, la competencia conferida a la Junta Electoral Central por el artículo 19.1 h) de la LOREG para resolver quejas o reclamaciones, como las aquí planteadas, no tiene limitada la legitimación activa para su formulación, a diferencia de lo que sucede con la interposición de recursos, que exige por esencia la titularidad de un derecho o interés legítimo específicamente vinculado al acto o resolución que se recurre (STS 933/2016 de la Sala de lo Contencioso-Administrativo del Tribunal Supremo, Sección Séptima, de 28 de abril de 2016, FD 1).</w:t>
      </w:r>
    </w:p>
    <w:p w14:paraId="3BCFA15E" w14:textId="77777777" w:rsidR="009D7677" w:rsidRDefault="009D7677" w:rsidP="009D7677">
      <w:pPr>
        <w:pStyle w:val="TextoNormal"/>
      </w:pPr>
    </w:p>
    <w:p w14:paraId="5144E9BE" w14:textId="77777777" w:rsidR="009D7677" w:rsidRDefault="009D7677" w:rsidP="009D7677">
      <w:pPr>
        <w:pStyle w:val="TextoNormal"/>
      </w:pPr>
      <w:r>
        <w:t>Segunda. En segundo término debemos dar respuesta a las alegaciones de la representación del señor Junqueras y de la coalición electoral Ahora Repúblicas relativas a la incompetencia de la Junta Electoral Central y a la existencia de prejudicialidad penal.</w:t>
      </w:r>
    </w:p>
    <w:p w14:paraId="2303995F" w14:textId="77777777" w:rsidR="009D7677" w:rsidRDefault="009D7677" w:rsidP="009D7677">
      <w:pPr>
        <w:pStyle w:val="TextoNormal"/>
      </w:pPr>
    </w:p>
    <w:p w14:paraId="4AA89314" w14:textId="77777777" w:rsidR="009D7677" w:rsidRDefault="009D7677" w:rsidP="009D7677">
      <w:pPr>
        <w:pStyle w:val="TextoNormal"/>
      </w:pPr>
      <w:r>
        <w:t>La representación del señor Junqueras i Vies y de la coalición electoral “Ahora Repúblicas” sostiene que la decisión sobre las cuestiones planteadas no compete a esta Junta sino que debería efectuarla la Sala Segunda del Tribunal Supremo, citando en su apoyo lo actuado en ejecución de la sentencia de la propia Sala 177/2017 que impuso una pena de inhabilitación a don Francesc Homs. Tal planteamiento no puede ser aceptado pues la situación de ambos casos es muy diferente ya que mientras en el que se cita como punto de comparación se trataba de ejecutar una parte de una condena penal (pena de inhabilitación) que no tenía reflejo en los supuestos de inelegibilidad electoral contemplados en el artículo 6.2 de la LOREG, aquí estamos ante un supuesto de aplicación de un expreso precepto de la LOREG —artículo 6.2 a)— que contempla una causa de inelegibilidad y después de que se esté ejecutando la pena privativa de libertad impuesta en la condena penal.</w:t>
      </w:r>
    </w:p>
    <w:p w14:paraId="07F1343F" w14:textId="77777777" w:rsidR="009D7677" w:rsidRDefault="009D7677" w:rsidP="009D7677">
      <w:pPr>
        <w:pStyle w:val="TextoNormal"/>
      </w:pPr>
    </w:p>
    <w:p w14:paraId="546A2277" w14:textId="77777777" w:rsidR="009D7677" w:rsidRDefault="009D7677" w:rsidP="009D7677">
      <w:pPr>
        <w:pStyle w:val="TextoNormal"/>
      </w:pPr>
      <w:r>
        <w:t>Tampoco pueden aceptarse el resto de los argumentos que se despliegan para fundar una supuesta clase de prejudicialidad penal puesto que es indudable que existe una sentencia penal firme que impone la pena prevista en la causa de inelegibilidad del artículo 6.2 a) de la LOREG. No consta que haya sido admitido a trámite el incidente de nulidad de actuaciones que se dice promovido ni que se haya suspendido la ejecución y eficacia de la sentencia como consecuencia de la admisión del incidente de nulidad, actuaciones previstas en el artículo 241 de la Ley Orgánica del Poder Judicial (LOPJ).</w:t>
      </w:r>
    </w:p>
    <w:p w14:paraId="0701E229" w14:textId="77777777" w:rsidR="009D7677" w:rsidRDefault="009D7677" w:rsidP="009D7677">
      <w:pPr>
        <w:pStyle w:val="TextoNormal"/>
      </w:pPr>
    </w:p>
    <w:p w14:paraId="65382FED" w14:textId="77777777" w:rsidR="009D7677" w:rsidRDefault="009D7677" w:rsidP="009D7677">
      <w:pPr>
        <w:pStyle w:val="TextoNormal"/>
      </w:pPr>
      <w:r>
        <w:lastRenderedPageBreak/>
        <w:t>Tampoco cabe admitir que debe existir un pronunciamiento independiente de la Sala Segunda sobre los efectos de la inmunidad declarada por la Sentencia del Tribunal de Justicia de la Unión Europea respecto de la condena a la pena privativa de libertad que, de hecho, se está ejecutando. En este sentido la sentencia del Tribunal de Justicia de la Unión Europea (Gran Sala) de 19 de diciembre de 2019 (asunto C-502/19), que tuvo por objeto una petición de decisión prejudicial planteada, con arreglo al artículo 267 del Tratado de funcionamiento de la Unión Europea, por la Sala Segunda del Tribunal Supremo, en su apartado 30 señala que el propio Tribunal Supremo, en su auto de remisión señaló que “las cuestiones de interpretación del Derecho de la Unión que plantea al Tribunal de Justicia no se han suscitado en el marco de la preparación de la sentencia en la causa principal contra el señor Junqueras i Vies, sino en el contexto del recurso de súplica interpuesto por este contra el auto mencionado en el apartado 25 de la presente sentencia”; añadiendo que “el tratamiento procesal de este recurso no condiciona el contenido del pronunciamiento sobre la causa principal, al margen de la eventual eficacia, que califica de ‘refleja o indirecta’, que pudieran originar los actos consecuentes a la autorización o denegación del permiso de salida del centro penitenciario”.</w:t>
      </w:r>
    </w:p>
    <w:p w14:paraId="2F9F8A81" w14:textId="77777777" w:rsidR="009D7677" w:rsidRDefault="009D7677" w:rsidP="009D7677">
      <w:pPr>
        <w:pStyle w:val="TextoNormal"/>
      </w:pPr>
    </w:p>
    <w:p w14:paraId="2CC6EEEC" w14:textId="77777777" w:rsidR="009D7677" w:rsidRDefault="009D7677" w:rsidP="009D7677">
      <w:pPr>
        <w:pStyle w:val="TextoNormal"/>
      </w:pPr>
      <w:r>
        <w:t>Tercera. La sentencia del Tribunal de Justicia de la Unión Europea (Gran Sala) de 19 de diciembre de 2019 (asunto C-502/19), que tuvo por objeto una petición de decisión prejudicial planteada, con arreglo al artículo 267 del Tratado de funcionamiento de la Unión Europea, por la Sala Segunda del Tribunal Supremo, mediante auto de 1 de julio de 2019 ha declarado que “la adquisición de la condición de miembro del Parlamento Europeo, a efectos del art. 9 del Protocolo sobre los privilegios y las inmunidades de la Unión se produce por el hecho y desde el momento de la proclamación oficial de los resultados electorales efectuados por los Estados miembros” (apartado 71); y más adelante señala que “una persona que ha sido oficialmente proclamada electa al Parlamento Europeo ha adquirido, por este hecho y desde ese momento, la condición de miembro de dicha institución, a efectos del artículo 9 del Protocolo sobre los privilegios y las inmunidades de la Unión, y goza, en este concepto, de la inmunidad prevista en el párrafo segundo del mismo artículo” (apartado 81). Concluyendo que “el señor Junqueras i Vies adquirió la condición de miembro del Parlamento Europeo el 13 de junio de 2019, día en que las autoridades españolas competentes procedieron a la proclamación oficial de los resultados de las elecciones al Parlamento Europeo celebradas el 26 de mayo de 2019” (apartado 89).</w:t>
      </w:r>
    </w:p>
    <w:p w14:paraId="3A1404F5" w14:textId="77777777" w:rsidR="009D7677" w:rsidRDefault="009D7677" w:rsidP="009D7677">
      <w:pPr>
        <w:pStyle w:val="TextoNormal"/>
      </w:pPr>
    </w:p>
    <w:p w14:paraId="673471C1" w14:textId="77777777" w:rsidR="009D7677" w:rsidRDefault="009D7677" w:rsidP="009D7677">
      <w:pPr>
        <w:pStyle w:val="TextoNormal"/>
      </w:pPr>
      <w:r>
        <w:t>Ello implica que, conforme a lo señalado en la referida resolución judicial, don Oriol Junqueras i Vies es miembro del Parlamento Europeo tras su proclamación como electo por esta Junta Electoral Central el día 13 de junio de 2019 (“Boletín Oficial del Estado” —“BOE”— de 14 de junio de 2019), aunque no ha cumplimentado aún las formalidades fijadas por la legislación nacional, en concreto lo previsto en el artículo 224.2 de la LOREG.</w:t>
      </w:r>
    </w:p>
    <w:p w14:paraId="3B8628B1" w14:textId="77777777" w:rsidR="009D7677" w:rsidRDefault="009D7677" w:rsidP="009D7677">
      <w:pPr>
        <w:pStyle w:val="TextoNormal"/>
      </w:pPr>
    </w:p>
    <w:p w14:paraId="005DC25B" w14:textId="77777777" w:rsidR="009D7677" w:rsidRDefault="009D7677" w:rsidP="009D7677">
      <w:pPr>
        <w:pStyle w:val="TextoNormal"/>
      </w:pPr>
      <w:r>
        <w:t>Cuarta. Sin embargo, la situación procesal del señor Junqueras ha cambiado a partir de la sentencia de la Sala Segunda del Tribunal Supremo número 459/2019, de 14 de octubre (causa especial núm. 3/20907/2017), en la que se impuso al señor Junqueras i Vies “las penas de trece años de prisión y trece años de inhabilitación absoluta, con la consiguiente privación definitiva de todos los honores, empleos y cargos públicos que tenga el penado, aunque sean electivos, e incapacidad para obtener los mismos o cualesquiera otros hono</w:t>
      </w:r>
      <w:r>
        <w:lastRenderedPageBreak/>
        <w:t>res, cargos o empleos públicos y la de ser elegido para cargo público durante el tiempo de la condena”.</w:t>
      </w:r>
    </w:p>
    <w:p w14:paraId="1AC41B2A" w14:textId="77777777" w:rsidR="009D7677" w:rsidRDefault="009D7677" w:rsidP="009D7677">
      <w:pPr>
        <w:pStyle w:val="TextoNormal"/>
      </w:pPr>
    </w:p>
    <w:p w14:paraId="21B5D875" w14:textId="77777777" w:rsidR="009D7677" w:rsidRDefault="009D7677" w:rsidP="009D7677">
      <w:pPr>
        <w:pStyle w:val="TextoNormal"/>
      </w:pPr>
      <w:r>
        <w:t>En consecuencia, la situación del señor Junqueras ha dejado de ser la de prisión provisional, que era la que tenía cuando resolvió el Tribunal de Justicia de la Unión Europea, para pasar a ser la de condenado por sentencia firme a pena privativa de libertad que está siendo cumplida actualmente como es público y notorio. Es precisamente esta nueva situación la que tiene efectos jurídico-electorales en los términos que se expondrá a continuación.</w:t>
      </w:r>
    </w:p>
    <w:p w14:paraId="56954329" w14:textId="77777777" w:rsidR="009D7677" w:rsidRDefault="009D7677" w:rsidP="009D7677">
      <w:pPr>
        <w:pStyle w:val="TextoNormal"/>
      </w:pPr>
    </w:p>
    <w:p w14:paraId="29480444" w14:textId="77777777" w:rsidR="009D7677" w:rsidRDefault="009D7677" w:rsidP="009D7677">
      <w:pPr>
        <w:pStyle w:val="TextoNormal"/>
      </w:pPr>
      <w:r>
        <w:t>Quinta. El artículo 6.2 a) de la Ley Orgánica Electoral General (LOREG) dispone que “[s]on inelegibles: a) Los condenados por sentencia firme, a pena privativa de libertad, en el período que dure la pena”.</w:t>
      </w:r>
    </w:p>
    <w:p w14:paraId="6945A82C" w14:textId="77777777" w:rsidR="009D7677" w:rsidRDefault="009D7677" w:rsidP="009D7677">
      <w:pPr>
        <w:pStyle w:val="TextoNormal"/>
      </w:pPr>
    </w:p>
    <w:p w14:paraId="4583EE3B" w14:textId="77777777" w:rsidR="009D7677" w:rsidRDefault="009D7677" w:rsidP="009D7677">
      <w:pPr>
        <w:pStyle w:val="TextoNormal"/>
      </w:pPr>
      <w:r>
        <w:t>Por otra parte, según el artículo 35 del Código penal vigente la pena de prisión que está cumpliendo el señor Junqueras es una pena privativa de libertad.</w:t>
      </w:r>
    </w:p>
    <w:p w14:paraId="38D7EB1A" w14:textId="77777777" w:rsidR="009D7677" w:rsidRDefault="009D7677" w:rsidP="009D7677">
      <w:pPr>
        <w:pStyle w:val="TextoNormal"/>
      </w:pPr>
    </w:p>
    <w:p w14:paraId="3276F36F" w14:textId="77777777" w:rsidR="009D7677" w:rsidRDefault="009D7677" w:rsidP="009D7677">
      <w:pPr>
        <w:pStyle w:val="TextoNormal"/>
      </w:pPr>
      <w:r>
        <w:t>Finalmente, el artículo 6.4 establece que “[l]as causas de inelegibilidad lo son también de incompatibilidad”.</w:t>
      </w:r>
    </w:p>
    <w:p w14:paraId="0F457EBD" w14:textId="77777777" w:rsidR="009D7677" w:rsidRDefault="009D7677" w:rsidP="009D7677">
      <w:pPr>
        <w:pStyle w:val="TextoNormal"/>
      </w:pPr>
    </w:p>
    <w:p w14:paraId="6095284E" w14:textId="77777777" w:rsidR="009D7677" w:rsidRDefault="009D7677" w:rsidP="009D7677">
      <w:pPr>
        <w:pStyle w:val="TextoNormal"/>
      </w:pPr>
      <w:r>
        <w:t>En relación con el alcance de estos preceptos es necesario tomar en consideración diversos pronunciamientos de nuestro Tribunal Constitucional:</w:t>
      </w:r>
    </w:p>
    <w:p w14:paraId="633AD8B9" w14:textId="77777777" w:rsidR="009D7677" w:rsidRDefault="009D7677" w:rsidP="009D7677">
      <w:pPr>
        <w:pStyle w:val="TextoNormal"/>
      </w:pPr>
    </w:p>
    <w:p w14:paraId="6A8EE966" w14:textId="77777777" w:rsidR="009D7677" w:rsidRDefault="009D7677" w:rsidP="009D7677">
      <w:pPr>
        <w:pStyle w:val="TextoNormal"/>
      </w:pPr>
      <w:r>
        <w:t>(1) La sentencia del Tribunal Constitucional (STC) 155/2014, de 25 de septiembre, cuando nos dice “[e]n cuanto a las concretas causas de incompatibilidad, interesa destacar que, en nuestro ordenamiento jurídico, todas las causas de inelegibilidad lo son también de incompatibilidad, pero no a la inversa o, en términos de este tribunal ‘nuestro sistema es el de la concurrencia de supuestos de inelegibilidad, que impiden el convertirse, en quien concurran, en sujeto pasivo de la relación electoral, y de supuestos de incompatibilidad, en los que se transforman las de inelegibilidad que dice el art. 4, 5 y 6, operando, en su caso, impidiendo el acceso al cargo o el cese en el mismo, de modo que aquellos, proclamados y aun elegidos, que han quedado posteriormente afectados por tales causas, incurren en incompatibilidad. La causa sobrevenida opera así como supuesto de incompatibilidad, generadora, no de la invalidez de la elección, sino de impedimento para asumir el cargo electivo o de cese, si se hubiera accedido al escaño’ (STC 45/1983, de 25 de mayo, FJ 5). De esta forma, los supuestos de inelegibilidad se transforman en causas de incompatibilidad por expresa previsión del legislador si, aun no concurriendo la tacha cuando el representante concurrió a las elecciones como candidato, una vez electo y, mientras ostente la condición de parlamentario, pretendiera acceder a algunos de los cargos calificados como inelegibles que, en ese momento, se transformarían en causas de incompatibilidad”.</w:t>
      </w:r>
    </w:p>
    <w:p w14:paraId="2ABDA807" w14:textId="77777777" w:rsidR="009D7677" w:rsidRDefault="009D7677" w:rsidP="009D7677">
      <w:pPr>
        <w:pStyle w:val="TextoNormal"/>
      </w:pPr>
    </w:p>
    <w:p w14:paraId="4E26EEE9" w14:textId="77777777" w:rsidR="009D7677" w:rsidRDefault="009D7677" w:rsidP="009D7677">
      <w:pPr>
        <w:pStyle w:val="TextoNormal"/>
      </w:pPr>
      <w:r>
        <w:t>(2) La STC 166/1993, de 20 de mayo, en cuanto nos dice lo siguiente:</w:t>
      </w:r>
    </w:p>
    <w:p w14:paraId="424DD0E3" w14:textId="77777777" w:rsidR="009D7677" w:rsidRDefault="009D7677" w:rsidP="009D7677">
      <w:pPr>
        <w:pStyle w:val="TextoNormal"/>
      </w:pPr>
    </w:p>
    <w:p w14:paraId="0928ADEE" w14:textId="77777777" w:rsidR="009D7677" w:rsidRDefault="009D7677" w:rsidP="009D7677">
      <w:pPr>
        <w:pStyle w:val="TextoNormal"/>
      </w:pPr>
      <w:r>
        <w:t xml:space="preserve">(a) En el párrafo primero de su fundamento de Derecho cuarto: “En tal sentido conviene dejar bien sentado que la causa de inelegibilidad que afecta a ‘los condenados por sentencia firme a pena privativa de libertad, en el período que dure la pena’ [art. 6.2 a) LOREG] no está en función del cumplimiento efectivo de la condena, que también se produce formalmente cuando se suspende, sino por ese pronunciamiento cuya carga infamante, </w:t>
      </w:r>
      <w:r>
        <w:lastRenderedPageBreak/>
        <w:t>como máximo reproche social, es la razón determinante de que el así señalado sea excluido del proceso electoral. En consecuencia, no depende ni puede depender de la situación personal del condenado, libertad o prisión, ya que —por otra parte— la condena condicional está concebida exclusivamente para evitar el probable efecto corruptor de la vida carcelaria en los delincuentes primarios y respecto de las penas privativas de libertad de corta duración, finalidad explícita en el momento de su implantación”;</w:t>
      </w:r>
    </w:p>
    <w:p w14:paraId="7810A623" w14:textId="77777777" w:rsidR="009D7677" w:rsidRDefault="009D7677" w:rsidP="009D7677">
      <w:pPr>
        <w:pStyle w:val="TextoNormal"/>
      </w:pPr>
    </w:p>
    <w:p w14:paraId="20F6BEEB" w14:textId="77777777" w:rsidR="009D7677" w:rsidRDefault="009D7677" w:rsidP="009D7677">
      <w:pPr>
        <w:pStyle w:val="TextoNormal"/>
      </w:pPr>
      <w:r>
        <w:t>(b) En el párrafo tercero del citado fundamento de Derecho: “La incapacidad para ser elegible se produce como consecuencia automática de la pena privativa de libertad (el arresto mayor), y solo de ella, desconectada pues de su accesoria, la suspensión. Así la configura como causa de inelegibilidad el precepto tantas veces traído y llevado (art. 6.2 LOREG), que es aplicable en toda clase de elecciones, generales o no, como pone de relieve, desde una perspectiva sistemática, su encuadramiento en el título I de la Ley donde se contienen las ‘disposiciones comunes para las elecciones por sufragio universal directo’, epígrafe suficientemente expresivo de su alcance general. Así lo ha entendido correctamente la sentencia impugnada, ninguno de cuyos razonamientos particulares respecto de cada uno de los motivos de impugnación esgrimidos se ha separado de la doctrina sentada al respecto por este Tribunal Constitucional y, en suma, no ha quebrantado o desconocido los derechos fundamentales que se han invocado como fundamento del amparo”.</w:t>
      </w:r>
    </w:p>
    <w:p w14:paraId="66162938" w14:textId="77777777" w:rsidR="009D7677" w:rsidRDefault="009D7677" w:rsidP="009D7677">
      <w:pPr>
        <w:pStyle w:val="TextoNormal"/>
      </w:pPr>
    </w:p>
    <w:p w14:paraId="5F808415" w14:textId="77777777" w:rsidR="009D7677" w:rsidRDefault="009D7677" w:rsidP="009D7677">
      <w:pPr>
        <w:pStyle w:val="TextoNormal"/>
      </w:pPr>
      <w:r>
        <w:t>Sexta. En consecuencia, de lo expuesto se infiere que concurre en el señor Junqueras i Vies una causa de inelegibilidad sobrevenida por haber sido condenado por sentencia firme de 14 de octubre 2019, dictada por la Sala Segunda del Tribunal Supremo, a la pena privativa de libertad de trece años de prisión, hecho que determina su cese como diputado electo del Parlamento Europeo que, en los términos de la sentencia del Tribunal de Justicia de la Unión Europea de 19 de diciembre de 2019 anteriormente reseñada había adquirido el 13 de junio de 2019.</w:t>
      </w:r>
    </w:p>
    <w:p w14:paraId="2C125283" w14:textId="77777777" w:rsidR="009D7677" w:rsidRDefault="009D7677" w:rsidP="009D7677">
      <w:pPr>
        <w:pStyle w:val="TextoNormal"/>
      </w:pPr>
    </w:p>
    <w:p w14:paraId="5812EEF9" w14:textId="77777777" w:rsidR="009D7677" w:rsidRDefault="009D7677" w:rsidP="009D7677">
      <w:pPr>
        <w:pStyle w:val="TextoNormal"/>
      </w:pPr>
      <w:r>
        <w:t>Séptima. Esta consecuencia es plenamente conforme con el Derecho de la Unión Europea. El artículo 4 del Reglamento interno del Parlamento Europeo, relativo a la duración del mandato parlamentario, señala que “[e]l mandato comienza y expira según lo dispuesto en los artículos 5 y 13 del Acta de 20 de septiembre de 1976”.</w:t>
      </w:r>
    </w:p>
    <w:p w14:paraId="23BB3748" w14:textId="77777777" w:rsidR="009D7677" w:rsidRDefault="009D7677" w:rsidP="009D7677">
      <w:pPr>
        <w:pStyle w:val="TextoNormal"/>
      </w:pPr>
    </w:p>
    <w:p w14:paraId="2B6ACDA9" w14:textId="77777777" w:rsidR="009D7677" w:rsidRDefault="009D7677" w:rsidP="009D7677">
      <w:pPr>
        <w:pStyle w:val="TextoNormal"/>
      </w:pPr>
      <w:r>
        <w:t>Y es la referida Acta la que en su artículo 13 indica que “[u]n escaño quedará vacante cuando el mandato de un diputado al Parlamento Europeo expire debido a su dimisión, a su fallecimiento o a la anulación de su mandato” (apartado 1). Y posteriormente aclara que “[c]uando la legislación de un Estado miembro establezca expresamente la anulación del mandato de un diputado al Parlamento Europeo, su mandato expirará en aplicación de las disposiciones de esa legislación. Las autoridades nacionales competentes informarán de ello al Parlamento Europeo” (apartado 3).</w:t>
      </w:r>
    </w:p>
    <w:p w14:paraId="03077DCE" w14:textId="77777777" w:rsidR="009D7677" w:rsidRDefault="009D7677" w:rsidP="009D7677">
      <w:pPr>
        <w:pStyle w:val="TextoNormal"/>
      </w:pPr>
    </w:p>
    <w:p w14:paraId="38AD59ED" w14:textId="77777777" w:rsidR="009D7677" w:rsidRDefault="009D7677" w:rsidP="009D7677">
      <w:pPr>
        <w:pStyle w:val="TextoNormal"/>
      </w:pPr>
      <w:r>
        <w:t xml:space="preserve">Esto es lo que sucede en el presente caso. La condena mediante sentencia firme a una pena de privativa de libertad implica </w:t>
      </w:r>
      <w:r w:rsidRPr="009D7677">
        <w:rPr>
          <w:i/>
        </w:rPr>
        <w:t>ope legis</w:t>
      </w:r>
      <w:r>
        <w:t xml:space="preserve"> la pérdida del mandato parlamentario, por incurrir en la causa de inelegibilidad establecida en el artículo 6.2 a) de la LOREG, en relación con el artículo 6.4 de la misma norma legal, en los términos recogidos en la jurisprudencia constitucional anteriormente reseñada. Corresponde a la Junta Electoral Central, como órgano competente en la materia conforme a lo dispuesto en el artículo 224.3 de la LOREG declarar esta circunstancia y comunicarlo al Parlamento Europeo.</w:t>
      </w:r>
    </w:p>
    <w:p w14:paraId="091BCCFD" w14:textId="77777777" w:rsidR="009D7677" w:rsidRDefault="009D7677" w:rsidP="009D7677">
      <w:pPr>
        <w:pStyle w:val="TextoNormal"/>
      </w:pPr>
    </w:p>
    <w:p w14:paraId="5E6FF154" w14:textId="77777777" w:rsidR="009D7677" w:rsidRDefault="009D7677" w:rsidP="009D7677">
      <w:pPr>
        <w:pStyle w:val="TextoNormal"/>
      </w:pPr>
      <w:r>
        <w:t>Segundo.- Por todo lo expuesto procede:</w:t>
      </w:r>
    </w:p>
    <w:p w14:paraId="54CC1217" w14:textId="77777777" w:rsidR="009D7677" w:rsidRDefault="009D7677" w:rsidP="009D7677">
      <w:pPr>
        <w:pStyle w:val="TextoNormal"/>
      </w:pPr>
    </w:p>
    <w:p w14:paraId="02577A34" w14:textId="77777777" w:rsidR="009D7677" w:rsidRDefault="009D7677" w:rsidP="009D7677">
      <w:pPr>
        <w:pStyle w:val="TextoNormal"/>
      </w:pPr>
      <w:r>
        <w:t>(a) Declarar que concurre en don Oriol Junqueras i Vies la causa de inelegibilidad sobrevenida del art. 6.2 a) de la LOREG en razón a haber sido condenado por sentencia número 459/2019, de 14 de octubre (causa especial núm. 3/20907/2017), de la Sala Segunda del Tribunal Supremo, a la pena privativa de libertad de trece años de prisión.</w:t>
      </w:r>
    </w:p>
    <w:p w14:paraId="6FB94408" w14:textId="77777777" w:rsidR="009D7677" w:rsidRDefault="009D7677" w:rsidP="009D7677">
      <w:pPr>
        <w:pStyle w:val="TextoNormal"/>
      </w:pPr>
    </w:p>
    <w:p w14:paraId="4ECFD133" w14:textId="77777777" w:rsidR="009D7677" w:rsidRDefault="009D7677" w:rsidP="009D7677">
      <w:pPr>
        <w:pStyle w:val="TextoNormal"/>
      </w:pPr>
      <w:r>
        <w:t>(b) Declarar la pérdida de la condición de diputado del Parlamento Europeo de don Oriol Junqueras i Vies, con anulación de su mandato, todo ello con efectos desde la fecha de este acuerdo.</w:t>
      </w:r>
    </w:p>
    <w:p w14:paraId="3BBE2F8B" w14:textId="77777777" w:rsidR="009D7677" w:rsidRDefault="009D7677" w:rsidP="009D7677">
      <w:pPr>
        <w:pStyle w:val="TextoNormal"/>
      </w:pPr>
    </w:p>
    <w:p w14:paraId="47086E30" w14:textId="77777777" w:rsidR="009D7677" w:rsidRDefault="009D7677" w:rsidP="009D7677">
      <w:pPr>
        <w:pStyle w:val="TextoNormal"/>
      </w:pPr>
      <w:r>
        <w:t>(c) Proceder a cubrir la vacante como diputado del Parlamento Europeo, de don Oriol Junqueras i Vies, proclamando como candidato electo en su sustitución a don Jordi Solé i Ferrando por ser el siguiente candidato de la lista de la coalición electoral Ahora Repúblicas con la que concurrió a las citadas elecciones de 26 de mayo de 2019. Dicho candidato será convocado a efectos de que comparezca ante la Junta Electoral Central para que preste juramento o promesa de acatamiento a la Constitución, conforme a lo dispuesto en el artículo 224.2 de la LOREG.</w:t>
      </w:r>
    </w:p>
    <w:p w14:paraId="7BAD9446" w14:textId="77777777" w:rsidR="009D7677" w:rsidRDefault="009D7677" w:rsidP="009D7677">
      <w:pPr>
        <w:pStyle w:val="TextoNormal"/>
      </w:pPr>
    </w:p>
    <w:p w14:paraId="19DD573A" w14:textId="77777777" w:rsidR="009D7677" w:rsidRDefault="009D7677" w:rsidP="009D7677">
      <w:pPr>
        <w:pStyle w:val="TextoNormal"/>
      </w:pPr>
      <w:r>
        <w:t>Este acuerdo se notificará a los interesados y se comunicará al presidente del Parlamento Europeo.</w:t>
      </w:r>
    </w:p>
    <w:p w14:paraId="405608F0" w14:textId="77777777" w:rsidR="009D7677" w:rsidRDefault="009D7677" w:rsidP="009D7677">
      <w:pPr>
        <w:pStyle w:val="TextoNormal"/>
      </w:pPr>
    </w:p>
    <w:p w14:paraId="41982BD0" w14:textId="77777777" w:rsidR="009D7677" w:rsidRDefault="009D7677" w:rsidP="009D7677">
      <w:pPr>
        <w:pStyle w:val="TextoNormal"/>
      </w:pPr>
      <w:r>
        <w:t>Asimismo, se dará traslado a la Sala de lo Penal del Tribunal Supremo».</w:t>
      </w:r>
    </w:p>
    <w:p w14:paraId="717B04CB" w14:textId="77777777" w:rsidR="009D7677" w:rsidRDefault="009D7677" w:rsidP="009D7677">
      <w:pPr>
        <w:pStyle w:val="TextoNormal"/>
      </w:pPr>
    </w:p>
    <w:p w14:paraId="0471D828" w14:textId="77777777" w:rsidR="009D7677" w:rsidRDefault="009D7677" w:rsidP="009D7677">
      <w:pPr>
        <w:pStyle w:val="TextoNormal"/>
      </w:pPr>
      <w:r>
        <w:t>El acuerdo se acompaña de un voto particular suscrito por cinco vocales de la Junta, quienes consideran que antes de resolver la cuestión debatida debería haber esperado al pronunciamiento de la Sala Segunda del Tribunal Supremo sobre el alcance de la inmunidad del señor Junqueras, declarada por la sentencia de la Gran Sala del Tribunal de Justicia de la Unión Europea el 19 de diciembre de 2019, por si el mismo pudiera tener alguna “incidencia” en dicha cuestión.</w:t>
      </w:r>
    </w:p>
    <w:p w14:paraId="6849A9F7" w14:textId="77777777" w:rsidR="009D7677" w:rsidRDefault="009D7677" w:rsidP="009D7677">
      <w:pPr>
        <w:pStyle w:val="TextoNormal"/>
      </w:pPr>
    </w:p>
    <w:p w14:paraId="4EFD272D" w14:textId="77777777" w:rsidR="009D7677" w:rsidRDefault="009D7677" w:rsidP="009D7677">
      <w:pPr>
        <w:pStyle w:val="TextoNormal"/>
      </w:pPr>
      <w:r>
        <w:t>b) La Junta Electoral Central, en su sesión celebrada el 23 de enero de 2020, adoptó el acuerdo núm. 4/2020 en el expediente número 561-81, del tenor literal siguiente:</w:t>
      </w:r>
    </w:p>
    <w:p w14:paraId="5BDE0ACA" w14:textId="77777777" w:rsidR="009D7677" w:rsidRDefault="009D7677" w:rsidP="009D7677">
      <w:pPr>
        <w:pStyle w:val="TextoNormal"/>
      </w:pPr>
    </w:p>
    <w:p w14:paraId="69EE2161" w14:textId="77777777" w:rsidR="009D7677" w:rsidRDefault="009D7677" w:rsidP="009D7677">
      <w:pPr>
        <w:pStyle w:val="TextoNormal"/>
      </w:pPr>
      <w:r>
        <w:t>“(1) La Junta Electoral Central, en su reunión de 3 de enero de 2020, acordó lo siguiente:</w:t>
      </w:r>
    </w:p>
    <w:p w14:paraId="20C71162" w14:textId="77777777" w:rsidR="009D7677" w:rsidRDefault="009D7677" w:rsidP="009D7677">
      <w:pPr>
        <w:pStyle w:val="TextoNormal"/>
      </w:pPr>
    </w:p>
    <w:p w14:paraId="7E32FD2B" w14:textId="77777777" w:rsidR="009D7677" w:rsidRDefault="009D7677" w:rsidP="009D7677">
      <w:pPr>
        <w:pStyle w:val="TextoNormal"/>
      </w:pPr>
      <w:r>
        <w:t>‘(a) Declarar que concurre en don Oriol Junqueras i Vies la causa de inelegibilidad sobrevenida del art. 6.2 a) de la LOREG en razón a haber sido condenado por sentencia número 459/2019, de 14 de octubre (causa especial núm. 3/20907/2017), de la Sala Segunda del Tribunal Supremo, a la pena privativa de libertad de trece años de prisión.</w:t>
      </w:r>
    </w:p>
    <w:p w14:paraId="5260FBFD" w14:textId="77777777" w:rsidR="009D7677" w:rsidRDefault="009D7677" w:rsidP="009D7677">
      <w:pPr>
        <w:pStyle w:val="TextoNormal"/>
      </w:pPr>
    </w:p>
    <w:p w14:paraId="7BA9931D" w14:textId="77777777" w:rsidR="009D7677" w:rsidRDefault="009D7677" w:rsidP="009D7677">
      <w:pPr>
        <w:pStyle w:val="TextoNormal"/>
      </w:pPr>
      <w:r>
        <w:t>(b) Declarar la pérdida de la condición de diputado del Parlamento Europeo de don Oriol Junqueras i Vies, con anulación de su mandato, todo ello con efectos desde la fecha de este acuerdo.</w:t>
      </w:r>
    </w:p>
    <w:p w14:paraId="7754884F" w14:textId="77777777" w:rsidR="009D7677" w:rsidRDefault="009D7677" w:rsidP="009D7677">
      <w:pPr>
        <w:pStyle w:val="TextoNormal"/>
      </w:pPr>
    </w:p>
    <w:p w14:paraId="6FBB7D1D" w14:textId="77777777" w:rsidR="009D7677" w:rsidRDefault="009D7677" w:rsidP="009D7677">
      <w:pPr>
        <w:pStyle w:val="TextoNormal"/>
      </w:pPr>
      <w:r>
        <w:lastRenderedPageBreak/>
        <w:t>(c) Proceder a cubrir la vacante como diputado del Parlamento Europeo, de don Oriol Junqueras i Vies, proclamando como candidato electo en su sustitución a don Jordi Solé i Ferrando por ser el siguiente candidato de la lista de la coalición electoral Ahora Repúblicas con la que concurrió a las citadas elecciones de 26 de mayo de 2019. Dicho candidato será convocado a efectos de que comparezca ante la Junta Electoral Central para que preste juramento o promesa de acatamiento a la Constitución, conforme a lo dispuesto en el artículo 224.2 de la LOREG.</w:t>
      </w:r>
    </w:p>
    <w:p w14:paraId="6CCA9868" w14:textId="77777777" w:rsidR="009D7677" w:rsidRDefault="009D7677" w:rsidP="009D7677">
      <w:pPr>
        <w:pStyle w:val="TextoNormal"/>
      </w:pPr>
    </w:p>
    <w:p w14:paraId="158C4A6F" w14:textId="77777777" w:rsidR="009D7677" w:rsidRDefault="009D7677" w:rsidP="009D7677">
      <w:pPr>
        <w:pStyle w:val="TextoNormal"/>
      </w:pPr>
      <w:r>
        <w:t>Este acuerdo se notificará a los interesados y se comunicará al presidente del Parlamento Europeo.</w:t>
      </w:r>
    </w:p>
    <w:p w14:paraId="0707F94F" w14:textId="77777777" w:rsidR="009D7677" w:rsidRDefault="009D7677" w:rsidP="009D7677">
      <w:pPr>
        <w:pStyle w:val="TextoNormal"/>
      </w:pPr>
    </w:p>
    <w:p w14:paraId="441BAF58" w14:textId="77777777" w:rsidR="009D7677" w:rsidRDefault="009D7677" w:rsidP="009D7677">
      <w:pPr>
        <w:pStyle w:val="TextoNormal"/>
      </w:pPr>
      <w:r>
        <w:t>Asimismo, se dará traslado a la Sala de lo Penal del Tribunal Supremo’.</w:t>
      </w:r>
    </w:p>
    <w:p w14:paraId="491AC313" w14:textId="77777777" w:rsidR="009D7677" w:rsidRDefault="009D7677" w:rsidP="009D7677">
      <w:pPr>
        <w:pStyle w:val="TextoNormal"/>
      </w:pPr>
    </w:p>
    <w:p w14:paraId="13E28BB5" w14:textId="77777777" w:rsidR="009D7677" w:rsidRDefault="009D7677" w:rsidP="009D7677">
      <w:pPr>
        <w:pStyle w:val="TextoNormal"/>
      </w:pPr>
      <w:r>
        <w:t>(2) El artículo 224.2 de la Ley Orgánica del Régimen Electoral General, en lo que se refiere a las elecciones al Parlamento Europeo, dispone lo siguiente:</w:t>
      </w:r>
    </w:p>
    <w:p w14:paraId="7699795E" w14:textId="77777777" w:rsidR="009D7677" w:rsidRDefault="009D7677" w:rsidP="009D7677">
      <w:pPr>
        <w:pStyle w:val="TextoNormal"/>
      </w:pPr>
    </w:p>
    <w:p w14:paraId="3F9705F9" w14:textId="77777777" w:rsidR="009D7677" w:rsidRDefault="009D7677" w:rsidP="009D7677">
      <w:pPr>
        <w:pStyle w:val="TextoNormal"/>
      </w:pPr>
      <w:r>
        <w:t>‘En el plazo de cinco días desde su proclamación, los candidatos electos deberán jurar o prometer acatamiento a la Constitución ante la Junta Electoral Central. Transcurrido dicho plazo, la Junta Electoral Central declarará vacantes los escaños correspondientes a los diputados del Parlamento Europeo que no hubieran acatado la Constitución y suspendidas todas las prerrogativas que les pudieran corresponder por razón de su cargo, todo ello hasta que se produzca dicho acatamiento’.</w:t>
      </w:r>
    </w:p>
    <w:p w14:paraId="1427F76D" w14:textId="77777777" w:rsidR="009D7677" w:rsidRDefault="009D7677" w:rsidP="009D7677">
      <w:pPr>
        <w:pStyle w:val="TextoNormal"/>
      </w:pPr>
    </w:p>
    <w:p w14:paraId="1535BC37" w14:textId="77777777" w:rsidR="009D7677" w:rsidRDefault="009D7677" w:rsidP="009D7677">
      <w:pPr>
        <w:pStyle w:val="TextoNormal"/>
      </w:pPr>
      <w:r>
        <w:t>(3) Al no haber prestado acatamiento a la Constitución el candidato don Jordi Solé i Ferrando en el plazo legalmente establecido, en cumplimiento de dicho artículo 224.2 de la LOREG, el escaño permanecerá vacante hasta que se produzca dicho acatamiento, sin perjuicio de que, conforme a lo declarado en la sentencia del Tribunal de Justicia de la Unión Europea de 19 de diciembre de 2019 en el asunto relativo al señor Junqueras i Vies, el acto de proclamación de candidatos electos pueda desplegar los efectos oportunos.</w:t>
      </w:r>
    </w:p>
    <w:p w14:paraId="243D4606" w14:textId="77777777" w:rsidR="009D7677" w:rsidRDefault="009D7677" w:rsidP="009D7677">
      <w:pPr>
        <w:pStyle w:val="TextoNormal"/>
      </w:pPr>
    </w:p>
    <w:p w14:paraId="609BF26C" w14:textId="77777777" w:rsidR="009D7677" w:rsidRDefault="009D7677" w:rsidP="009D7677">
      <w:pPr>
        <w:pStyle w:val="TextoNormal"/>
      </w:pPr>
      <w:r>
        <w:t>De este acuerdo se dará traslado al interesado y al Parlamento Europeo”.</w:t>
      </w:r>
    </w:p>
    <w:p w14:paraId="51CD0661" w14:textId="77777777" w:rsidR="009D7677" w:rsidRDefault="009D7677" w:rsidP="009D7677">
      <w:pPr>
        <w:pStyle w:val="TextoNormal"/>
      </w:pPr>
    </w:p>
    <w:p w14:paraId="1B173C59" w14:textId="77777777" w:rsidR="009D7677" w:rsidRDefault="009D7677" w:rsidP="009D7677">
      <w:pPr>
        <w:pStyle w:val="TextoNormal"/>
      </w:pPr>
      <w:r>
        <w:t>c) La representación procesal del ahora demandante de amparo interpuso recurso contencioso-administrativo contra el acuerdo núm. 3/2020 de la Junta Electoral Central, que luego amplió al acuerdo 4/2020 del mismo organismo. Admitido a trámite el recurso por la Sección Cuarta de la Sala de lo Contencioso-Administrativo del Tribunal Supremo (procedimiento ordinario 5-2020), se formalizó demanda planteando los siguientes motivos de impugnación:</w:t>
      </w:r>
    </w:p>
    <w:p w14:paraId="04559749" w14:textId="77777777" w:rsidR="009D7677" w:rsidRDefault="009D7677" w:rsidP="009D7677">
      <w:pPr>
        <w:pStyle w:val="TextoNormal"/>
      </w:pPr>
    </w:p>
    <w:p w14:paraId="440BC611" w14:textId="77777777" w:rsidR="009D7677" w:rsidRDefault="009D7677" w:rsidP="009D7677">
      <w:pPr>
        <w:pStyle w:val="TextoNormal"/>
      </w:pPr>
      <w:r>
        <w:t>(i) “Vulneración del derecho a la tutela judicial efectiva en su vertiente del derecho a la igualdad de armas (art. 24 CE), del derecho a la igualdad ante la ley y del artículo 21.1 b) LJCA por ausencia de legitimación pasiva de PP y VOX en el presente procedimiento. Nulidad de pleno derecho de acuerdo con el art. 47.1 a) [de la Ley del procedimiento administrativo común] y subsidiaria anulabilidad de acuerdo con el art. 48.1”</w:t>
      </w:r>
    </w:p>
    <w:p w14:paraId="0E44D103" w14:textId="77777777" w:rsidR="009D7677" w:rsidRDefault="009D7677" w:rsidP="009D7677">
      <w:pPr>
        <w:pStyle w:val="TextoNormal"/>
      </w:pPr>
    </w:p>
    <w:p w14:paraId="155024D3" w14:textId="77777777" w:rsidR="009D7677" w:rsidRDefault="009D7677" w:rsidP="009D7677">
      <w:pPr>
        <w:pStyle w:val="TextoNormal"/>
      </w:pPr>
      <w:r>
        <w:t xml:space="preserve">Empieza por señalar la demanda que en el propio procedimiento judicial ha habido controversia incidental sobre la legitimación de los partidos políticos citados, que ahora se reproduce en el escrito de demanda al no caber ya recurso autónomo contra la resolución </w:t>
      </w:r>
      <w:r>
        <w:lastRenderedPageBreak/>
        <w:t>que le ha negado la razón al recurrente, y “para su alegación, si procede, ante el Tribunal Constitucional”. Sostiene la demanda que la Sala ha ampliado sin razón sustantiva alguna la interpretación del art. 21.1 b) de la Ley reguladora de la jurisdicción contencioso-administrativa (LJCA), obviando hacer referencia a los derechos e intereses legítimos de los dos codemandados, limitándose la Sala a aceptar que tienen legitimación pasiva al haber participado como interesados en el expediente ante la Junta Electoral Central, la cual sin embargo aceptó su intervención sin hacer análisis alguno sobre qué derecho o interés legítimo defendían. Con esta errónea interpretación del precepto procesal se ha vulnerado a su juicio el derecho fundamental del art. 14 CE “puesto que no existe otro caso en el que se reconozca legitimación pasiva sin interés legítimo o derecho subjetivo alguno afectados (ni siquiera analizados)”. El auto de 21 de mayo de 2020 que trató esto, continúa diciendo la demanda, habla de que ambos partidos tienen un interés “en la suerte y defensa del acto de la JEC”, expresión esta que sin embargo no se distingue del “simple interés abstracto por la defensa de la legalidad”.</w:t>
      </w:r>
    </w:p>
    <w:p w14:paraId="546148EC" w14:textId="77777777" w:rsidR="009D7677" w:rsidRDefault="009D7677" w:rsidP="009D7677">
      <w:pPr>
        <w:pStyle w:val="TextoNormal"/>
      </w:pPr>
    </w:p>
    <w:p w14:paraId="410A113C" w14:textId="77777777" w:rsidR="009D7677" w:rsidRDefault="009D7677" w:rsidP="009D7677">
      <w:pPr>
        <w:pStyle w:val="TextoNormal"/>
      </w:pPr>
      <w:r>
        <w:t>Y alega también en este punto: “La igualdad de armas protegida por el art. 24 CE se vulnera por el simple hecho de que se otorga a las codemandadas un derecho a participar en este proceso, que no les correspondía de acuerdo con la ley, por lo que se obliga a esta parte a enfrentarse a múltiples partes procesales en la defensa de sus derechos […]; lo que también se alega a los efectos de lo establecido en el art. 44.1 c) de la Ley Orgánica 2/1979, de 3 de octubre, del Tribunal Constitucional”.</w:t>
      </w:r>
    </w:p>
    <w:p w14:paraId="5E0857AC" w14:textId="77777777" w:rsidR="009D7677" w:rsidRDefault="009D7677" w:rsidP="009D7677">
      <w:pPr>
        <w:pStyle w:val="TextoNormal"/>
      </w:pPr>
    </w:p>
    <w:p w14:paraId="485A8C1F" w14:textId="77777777" w:rsidR="009D7677" w:rsidRDefault="009D7677" w:rsidP="009D7677">
      <w:pPr>
        <w:pStyle w:val="TextoNormal"/>
      </w:pPr>
      <w:r>
        <w:t>(ii) “Vulneración de la prejudicialidad penal y de los autos de 9 de enero de la Sala de lo Penal del Tribunal Supremo”</w:t>
      </w:r>
    </w:p>
    <w:p w14:paraId="24A462A3" w14:textId="77777777" w:rsidR="009D7677" w:rsidRDefault="009D7677" w:rsidP="009D7677">
      <w:pPr>
        <w:pStyle w:val="TextoNormal"/>
      </w:pPr>
    </w:p>
    <w:p w14:paraId="74CC5D89" w14:textId="77777777" w:rsidR="009D7677" w:rsidRDefault="009D7677" w:rsidP="009D7677">
      <w:pPr>
        <w:pStyle w:val="TextoNormal"/>
      </w:pPr>
      <w:r>
        <w:t xml:space="preserve">Se afirma que tanto el acuerdo 3/2020 de la Junta Electoral Central de 3 de enero de 2020, como el posterior acuerdo 4/2020 de 23 de enero de 2020 que “no hace sino ejecutar el acuerdo impugnado inicialmente al proceder a [la] sustitución del señor Junqueras por el parlamentario que le seguía en la lista, por lo que de ser nulo el primero lo es también el segundo”, no debieron dictarse sin antes haber tenido la Junta en consideración la respuesta que debía dar la Sala de lo Penal del Tribunal Supremo tras la sentencia del Tribunal de Justicia de la Unión Europea de 19 de diciembre de 2019, recaída en el asunto C-502/19, </w:t>
      </w:r>
      <w:r w:rsidRPr="009D7677">
        <w:rPr>
          <w:i/>
        </w:rPr>
        <w:t>Oriol Junqueras Vies</w:t>
      </w:r>
      <w:r>
        <w:t>. La demanda reproduce un párrafo del auto de 9 de enero de 2020 [del que se hace resumen más adelante, en el antecedente 2.3 f) de la presente sentencia] y que concretó, según la demanda, “los efectos reflejos o indirectos de la STJUE en la sentencia dictada [por] el propio Tribunal Supremo”. El párrafo reproducido señala:</w:t>
      </w:r>
    </w:p>
    <w:p w14:paraId="649A1F77" w14:textId="77777777" w:rsidR="009D7677" w:rsidRDefault="009D7677" w:rsidP="009D7677">
      <w:pPr>
        <w:pStyle w:val="TextoNormal"/>
      </w:pPr>
    </w:p>
    <w:p w14:paraId="0ED625CB" w14:textId="77777777" w:rsidR="009D7677" w:rsidRDefault="009D7677" w:rsidP="009D7677">
      <w:pPr>
        <w:pStyle w:val="TextoNormal"/>
      </w:pPr>
      <w:r>
        <w:t>“Se trataba, en fin, de determinar el alcance de la inmunidad —si llegara a reconocérsele— y si ese reconocimiento limitaba, en alguna medida, nuestro pronunciamiento, que conllevaba la pérdida de la condición de europarlamentario del señor Junqueras. Y hasta tanto no se pronunciara el Tribunal de Justicia de la Unión Europea, no podíamos precisar sus últimos perfiles, que habían de ser definidos en la sentencia que diera respuesta a la cuestión prejudicial”.</w:t>
      </w:r>
    </w:p>
    <w:p w14:paraId="3A5AB18D" w14:textId="77777777" w:rsidR="009D7677" w:rsidRDefault="009D7677" w:rsidP="009D7677">
      <w:pPr>
        <w:pStyle w:val="TextoNormal"/>
      </w:pPr>
    </w:p>
    <w:p w14:paraId="12C267A3" w14:textId="77777777" w:rsidR="009D7677" w:rsidRDefault="009D7677" w:rsidP="009D7677">
      <w:pPr>
        <w:pStyle w:val="TextoNormal"/>
      </w:pPr>
      <w:r>
        <w:t xml:space="preserve">Pues bien, la demanda extrae de este párrafo que la Sala de lo Penal del Alto Tribunal está reconociendo que la inmunidad del recurrente como diputado al Parlamento Europeo “podía llegar a afectar el pronunciamiento que comportaba la pérdida del escaño” y que “correspondía al Tribunal Supremo precisar dichos efectos”; por lo tanto el acuerdo de la </w:t>
      </w:r>
      <w:r>
        <w:lastRenderedPageBreak/>
        <w:t>Junta Electoral “no podía preceder a la decisión del Tribunal Supremo adoptada en dicho auto”. El auto de la Sala de lo Penal, prosigue la demanda, se limita a decir que “tiene constancia” de que ya se ha producido una decisión de la Junta Electoral Central, “por lo que no puede hallarse en dicho auto ningún atisbo que avale la legalidad de dicha decisión tomada con carácter previo a lo decidido por el Tribunal Supremo”.</w:t>
      </w:r>
    </w:p>
    <w:p w14:paraId="1556A85D" w14:textId="77777777" w:rsidR="009D7677" w:rsidRDefault="009D7677" w:rsidP="009D7677">
      <w:pPr>
        <w:pStyle w:val="TextoNormal"/>
      </w:pPr>
    </w:p>
    <w:p w14:paraId="7EA8963C" w14:textId="77777777" w:rsidR="009D7677" w:rsidRDefault="009D7677" w:rsidP="009D7677">
      <w:pPr>
        <w:pStyle w:val="TextoNormal"/>
      </w:pPr>
      <w:r>
        <w:t>La demanda de instancia continúa diciendo que al haber adoptado la Junta su acuerdo 3/2020 prescindiendo del parecer de la Sala de lo Penal del Tribunal Supremo, se “vulneró la prejudicialidad penal” respecto de los dos autos que esta dictó el 9 de enero de 2020 y de “las competencias del Tribunal Supremo en relación con el planteamiento de cuestiones prejudiciales”. Y también que se vulneró el derecho fundamental del recurrente al sufragio pasivo, al privarle “prematuramente de su mandato como miembro del Parlamento Europeo (apartados 1 y 2 del art. 23 CE, art. 3 del Protocolo núm. 1 —Protocolo adicional— del Convenio europeo de derechos humanos —aplicable a las elecciones europeas de acuerdo con sentencia del Tribunal Europeo de Derechos Humanos de 18 de febrero de 1999, asunto Matthews c. Reino Unido, apartados 36 a 44— y apartados 1 y 2 del art. 39 de la Carta de derechos fundamentales de la Unión Europea, que los Estados miembros deben aplicar cuando ejecutan el Derecho de la Unión)”.</w:t>
      </w:r>
    </w:p>
    <w:p w14:paraId="0589E3D4" w14:textId="77777777" w:rsidR="009D7677" w:rsidRDefault="009D7677" w:rsidP="009D7677">
      <w:pPr>
        <w:pStyle w:val="TextoNormal"/>
      </w:pPr>
    </w:p>
    <w:p w14:paraId="13BFA79C" w14:textId="77777777" w:rsidR="009D7677" w:rsidRDefault="009D7677" w:rsidP="009D7677">
      <w:pPr>
        <w:pStyle w:val="TextoNormal"/>
      </w:pPr>
      <w:r>
        <w:t xml:space="preserve">Añade que la nulidad del acuerdo 3/2020 de la Junta Electoral Central “se comunica al acuerdo objeto de la ampliación al ser la ejecución del primero”, ya adolezcan ambos de “nulidad del pleno derecho </w:t>
      </w:r>
      <w:r w:rsidRPr="009D7677">
        <w:rPr>
          <w:i/>
        </w:rPr>
        <w:t>ex</w:t>
      </w:r>
      <w:r>
        <w:t xml:space="preserve"> letras a), b) y c) del apartado 1 del art. 47 de la Ley 39/2015”, o subsidiariamente anulables “conforme al art. 48.1 [de la Ley 39/2015]”. Dicha ilicitud “no lo convalida el hecho que pudiera haberse dictado el mismo acto con posterioridad a los autos del Tribunal Supremo de 9 de enero de 2020, puesto que la causa de inelegibilidad sobrevenida debe ser declarada de forma expresa y ello no podría haber sucedido hasta conocidos dichos autos”.</w:t>
      </w:r>
    </w:p>
    <w:p w14:paraId="69A61517" w14:textId="77777777" w:rsidR="009D7677" w:rsidRDefault="009D7677" w:rsidP="009D7677">
      <w:pPr>
        <w:pStyle w:val="TextoNormal"/>
      </w:pPr>
    </w:p>
    <w:p w14:paraId="10B69607" w14:textId="77777777" w:rsidR="009D7677" w:rsidRDefault="009D7677" w:rsidP="009D7677">
      <w:pPr>
        <w:pStyle w:val="TextoNormal"/>
      </w:pPr>
      <w:r>
        <w:t>(iii) “Vulneración del principio de cooperación leal con las instituciones europeas, del derecho fundamental al sufragio pasivo y a la libertad deambulatoria, del art. 9 del Protocolo núm, 7 de privilegios e inmunidades de la Unión Europea, de los artículos 7 y 9 del Reglamento interno de procedimiento del Parlamento Europeo”</w:t>
      </w:r>
    </w:p>
    <w:p w14:paraId="518EC181" w14:textId="77777777" w:rsidR="009D7677" w:rsidRDefault="009D7677" w:rsidP="009D7677">
      <w:pPr>
        <w:pStyle w:val="TextoNormal"/>
      </w:pPr>
    </w:p>
    <w:p w14:paraId="279B45F1" w14:textId="77777777" w:rsidR="009D7677" w:rsidRDefault="009D7677" w:rsidP="009D7677">
      <w:pPr>
        <w:pStyle w:val="TextoNormal"/>
      </w:pPr>
      <w:r>
        <w:t>Empieza este motivo citando el art. 4.1 LOPJ, el cual dispone que los jueces han de aplicar el Derecho de la Unión Europea de acuerdo con la jurisprudencia del Tribunal de Justicia de la Unión; el deber de cooperación leal del art. 4, apartado 3, párrafo primero del Tratado de la Unión Europea que “adquiere un carácter reforzado cuando de órganos judiciales se trata”; y el “párrafo 93” de la STJUE de 19 de diciembre de 2019 “con cita de la sentencia Marra”. A juicio del recurrente, la sentencia dictada en su asunto C-502/19, “no debe aplicarse solamente a los únicos y limitados efectos de resolver el asunto en el contexto del cual se planteó la cuestión prejudicial (esto es, en relación únicamente con el permiso penitenciario denegado […] por el auto de 14 de junio de 2019 de la Sala de lo Penal del Tribunal Supremo), sino que significa que esta Sala y Sección tiene la obligación de extraer de la misma la totalidad de su significado y aplicar y desplegar la totalidad de sus efectos al caso que nos ocupa”. El principio de cooperación leal con las instituciones de la Unión Europea “y con el Tribunal de Justicia de la Unión Europea en particular […] obliga también a la Junta Electoral Central”.</w:t>
      </w:r>
    </w:p>
    <w:p w14:paraId="70EC153D" w14:textId="77777777" w:rsidR="009D7677" w:rsidRDefault="009D7677" w:rsidP="009D7677">
      <w:pPr>
        <w:pStyle w:val="TextoNormal"/>
      </w:pPr>
    </w:p>
    <w:p w14:paraId="1D3A5C56" w14:textId="77777777" w:rsidR="009D7677" w:rsidRDefault="009D7677" w:rsidP="009D7677">
      <w:pPr>
        <w:pStyle w:val="TextoNormal"/>
      </w:pPr>
      <w:r>
        <w:lastRenderedPageBreak/>
        <w:t>Afirma la demanda respecto del recurrente que una correcta interpretación de la STJUE de 19 de diciembre de 2019, al conferirle la condición de diputado del Parlamento Europeo desde la fecha de su proclamación como electo, obligaba al “levantamiento inmediato de su prisión provisional para su desplazamiento a la sede del Parlamento Europeo y, caso de querer mantenerse dicha medida de prisión provisional, la previa tramitación del levantamiento de su inmunidad” ante dicha cámara y conforme a su propia normativa.</w:t>
      </w:r>
    </w:p>
    <w:p w14:paraId="6E3C4A14" w14:textId="77777777" w:rsidR="009D7677" w:rsidRDefault="009D7677" w:rsidP="009D7677">
      <w:pPr>
        <w:pStyle w:val="TextoNormal"/>
      </w:pPr>
    </w:p>
    <w:p w14:paraId="0AC8988E" w14:textId="77777777" w:rsidR="009D7677" w:rsidRDefault="009D7677" w:rsidP="009D7677">
      <w:pPr>
        <w:pStyle w:val="TextoNormal"/>
      </w:pPr>
      <w:r>
        <w:t xml:space="preserve">Al no haberse acordado esto por la Junta Electoral Central, se han producido las vulneraciones “tanto del derecho a la libertad deambulatoria (arts. 17 CE, 6 CDFUE y 5 CEDH), como al derecho al proceso con todas las garantías, tutela judicial o juicio justo (24 CE, 47 CDFUE y 6 CEDH), como al derecho de participación y representación política (apartados 1 y 2 del art. 23 CE, apartados 1 y 2 del art. 39 CDFUE y 3 del Protocolo adicional al CEDH)”. “El desplazamiento al Parlamento Europeo implica la adquisición inmediata derivada de la letra b) del artículo 9 del Protocolo núm. 7 de privilegios e inmunidades de la Unión Europea, es decir, inmunidad respecto de cualquier medida de detención y de sometimiento a cualquier proceso judicial”; y reprocha a la Junta Electoral no haber tenido en cuenta la STJUE, Gran Sala, de 21 de octubre de 2008, </w:t>
      </w:r>
      <w:r w:rsidRPr="009D7677">
        <w:rPr>
          <w:i/>
        </w:rPr>
        <w:t>Marra</w:t>
      </w:r>
      <w:r>
        <w:t xml:space="preserve">, asuntos acumulados C-200/07 y C-201/07, que obligaba a la Sala de lo Penal a suspender el procedimiento y no haber dictado sentencia hasta que se resolviera la cuestión prejudicial planteada por esta al Tribunal de Justicia de la Unión Europea. Al “confirmarse el goce de la inmunidad por parte del señor Junqueras, la sentencia no debía haber sido dictada”. Los acuerdos de la Junta se dictan “en vulneración del Derecho de la Unión correctamente interpretado, y que obligaba a la tramitación del levantamiento” de su inmunidad. E indica luego que no se dan los requisitos exigidos en la STEDH de 20 de noviembre de 2018, asunto </w:t>
      </w:r>
      <w:r w:rsidRPr="009D7677">
        <w:rPr>
          <w:i/>
        </w:rPr>
        <w:t>Selahattin Demirtaş c. Turquía</w:t>
      </w:r>
      <w:r>
        <w:t>, para poder restringir los derechos políticos: (i) el acuerdo impugnado “implica la total privación de derecho al sufragio pasivo” del recurrente, pues pese al reconocimiento de su condición de electo en la sesión plenaria de 13 de enero de 2020, no pudo ejercer el cargo; (ii) no concurría un objetivo legítimo de garantizar la no sustracción a la justicia del recurrente, puesto que este siempre estuvo a disposición de la justicia, en realidad lo pretendido por “la Junta Electoral Central y por la Sala de lo Penal del Tribunal Supremo es evitar que ejerza su mandato representativo”; y (iii) las medidas adoptadas por ambos órganos resultaron desproporcionadas: prisión, prohibición de desplazamiento para cumplimentar trámites para obtener su credencial de diputado del Parlamento Europeo, impedirle acudir a la sede de este y finalmente despojarle del escaño, fueron desproporcionadas; negándose a considerar medidas alternativas (sin concretar en este punto la demanda, cuáles).</w:t>
      </w:r>
    </w:p>
    <w:p w14:paraId="793E4008" w14:textId="77777777" w:rsidR="009D7677" w:rsidRDefault="009D7677" w:rsidP="009D7677">
      <w:pPr>
        <w:pStyle w:val="TextoNormal"/>
      </w:pPr>
    </w:p>
    <w:p w14:paraId="7383F88D" w14:textId="77777777" w:rsidR="009D7677" w:rsidRDefault="009D7677" w:rsidP="009D7677">
      <w:pPr>
        <w:pStyle w:val="TextoNormal"/>
      </w:pPr>
      <w:r>
        <w:t>(iv) “Discriminación respecto al resto de los eurodiputados electos en toda Europa”</w:t>
      </w:r>
    </w:p>
    <w:p w14:paraId="2FA341D5" w14:textId="77777777" w:rsidR="009D7677" w:rsidRDefault="009D7677" w:rsidP="009D7677">
      <w:pPr>
        <w:pStyle w:val="TextoNormal"/>
      </w:pPr>
    </w:p>
    <w:p w14:paraId="632D5A86" w14:textId="77777777" w:rsidR="009D7677" w:rsidRDefault="009D7677" w:rsidP="009D7677">
      <w:pPr>
        <w:pStyle w:val="TextoNormal"/>
      </w:pPr>
      <w:r>
        <w:t xml:space="preserve">Como último motivo de fondo se aduce que existe tal discriminación entre el recurrente y los demás diputados electos al Parlamento Europeo por el Reino de España, quienes no tuvieron ninguna dificultad para acceder a la sede de dicha Cámara el día de su sesión constitutiva y gozar plenamente así de la inmunidad reconocida por el Protocolo núm. 7, ejerciendo plenamente su condición de miembros de la misma. Con la excepción, añade, de los señores Comín y Puigdemont, sometidos también a la “acción de la Sala de lo Penal del Tribunal Supremo y de la Junta Electoral Central”. El “no respeto” por los dos acuerdos de la Junta Electoral Central que se impugnan, produciendo la “pérdida prematura de su escaño […] sin que se haya tramitado previamente el levantamiento de la inmunidad </w:t>
      </w:r>
      <w:r>
        <w:lastRenderedPageBreak/>
        <w:t>parlamentaria que le asistía ni haya podido invocar la inmunidad establecida en la letra b) del artículo 9 del Protocolo núm. 7 de privilegios e inmunidades de la Unión Europea, comporta un trato desigual y discriminatorio respecto del resto de eurodiputados”.</w:t>
      </w:r>
    </w:p>
    <w:p w14:paraId="5AFA0EA8" w14:textId="77777777" w:rsidR="009D7677" w:rsidRDefault="009D7677" w:rsidP="009D7677">
      <w:pPr>
        <w:pStyle w:val="TextoNormal"/>
      </w:pPr>
    </w:p>
    <w:p w14:paraId="549399B9" w14:textId="77777777" w:rsidR="009D7677" w:rsidRDefault="009D7677" w:rsidP="009D7677">
      <w:pPr>
        <w:pStyle w:val="TextoNormal"/>
      </w:pPr>
      <w:r>
        <w:t>Se indica que dicha discriminación es contraria al art. 23.2 CE y a los arts. 39.2 CDFUE y 3 del Protocolo núm. 1 al CEDH, en relación con los arts. 14 CE, 20 y 21 CDFUE y 14 CEDH.</w:t>
      </w:r>
    </w:p>
    <w:p w14:paraId="094A59EF" w14:textId="77777777" w:rsidR="009D7677" w:rsidRDefault="009D7677" w:rsidP="009D7677">
      <w:pPr>
        <w:pStyle w:val="TextoNormal"/>
      </w:pPr>
    </w:p>
    <w:p w14:paraId="2E75A617" w14:textId="77777777" w:rsidR="009D7677" w:rsidRDefault="009D7677" w:rsidP="009D7677">
      <w:pPr>
        <w:pStyle w:val="TextoNormal"/>
      </w:pPr>
      <w:r>
        <w:t>(v) En todo caso, la demanda de instancia argumenta que si la Sala de lo Contencioso-Administrativo del Tribunal Supremo tuviese dudas “sobre la interpretación del Derecho de la Unión debe plantearse cuestión prejudicial ante el Tribunal de Justicia de la Unión Europea tal como el propio Tribunal de Luxemburgo indica que debe hacerse en este caso para poder plantear ante dicho órgano judicial las vulneraciones del Derecho de la Unión Europea producidas en el presente caso a la vista del párrafo 60 del auto de la vicepresidenta del Tribunal de Justicia de la Unión Europea, de 8 de octubre de 2020, dictado en el asunto C-201/20”.</w:t>
      </w:r>
    </w:p>
    <w:p w14:paraId="07752D09" w14:textId="77777777" w:rsidR="009D7677" w:rsidRDefault="009D7677" w:rsidP="009D7677">
      <w:pPr>
        <w:pStyle w:val="TextoNormal"/>
      </w:pPr>
    </w:p>
    <w:p w14:paraId="4855229E" w14:textId="77777777" w:rsidR="009D7677" w:rsidRDefault="009D7677" w:rsidP="009D7677">
      <w:pPr>
        <w:pStyle w:val="TextoNormal"/>
      </w:pPr>
      <w:r>
        <w:t>El suplico de la demanda solicita una sentencia estimatoria que declare la nulidad de los acuerdos impugnados, “la vulneración de los derechos fundamentales de mi mandante y restituyéndolo en su condición de miembro del Parlamento Europeo, comunicándolo inmediatamente al Parlamento Europeo”. Por medio de otrosí digo el escrito reitera la solicitud de que el Alto Tribunal, de tener “alguna duda sobre la vigencia o interpretación del Derecho de la Unión imprescindible para la resolución del recurso”, plantee la cuestión prejudicial conforme al art. 267 del Tratado de funcionamiento de la Unión Europea (TFUE), proponiendo al efecto las dos siguientes cuestiones:</w:t>
      </w:r>
    </w:p>
    <w:p w14:paraId="66AA0F14" w14:textId="77777777" w:rsidR="009D7677" w:rsidRDefault="009D7677" w:rsidP="009D7677">
      <w:pPr>
        <w:pStyle w:val="TextoNormal"/>
      </w:pPr>
    </w:p>
    <w:p w14:paraId="4F9BEBED" w14:textId="77777777" w:rsidR="009D7677" w:rsidRDefault="009D7677" w:rsidP="009D7677">
      <w:pPr>
        <w:pStyle w:val="TextoNormal"/>
      </w:pPr>
      <w:r>
        <w:t>“Cuestión prejudicial núm. 1: ¿El mantenimiento en prisión y la continuación de un proceso penal contra el eurodiputado electo Oriol Junqueras y los acuerdos de la JEC declarando la pérdida del escaño y su sustitución por el siguiente componente de la lista electoral sin efectuar una solicitud de levantamiento de su inmunidad al Parlamento Europeo independientemente de la fase en que se halle dicho procedimiento pero antes del dictado de una sentencia que analice su culpabilidad, debe ser considerado contrario a lo que prevé el artículo 9 del Protocolo de privilegios e inmunidades de la Unión Europea, al artículo 39 de la Carta de los derechos fundamentales de la Unión Europea y al artículo 3 del Protocolo adicional núm. 1 al Convenio europeo para la protección de los derechos humanos y las libertades fundamentales, firmado en Roma el 4 de noviembre de 1950 y de conformidad con lo que disponen las sentencia del Tribunal de Justicia de la Unión Europea de 19 de diciembre de 2019 (asunto C-502/2019) y sentencia del Tribunal de Justicia de la Unión Europea, Gran Sala, de 21 de octubre de 2008</w:t>
      </w:r>
      <w:r w:rsidRPr="009D7677">
        <w:rPr>
          <w:i/>
        </w:rPr>
        <w:t>, Mar</w:t>
      </w:r>
      <w:r>
        <w:t>ra (asuntos C-200/07 y C-201/07)?</w:t>
      </w:r>
    </w:p>
    <w:p w14:paraId="1ABAA909" w14:textId="77777777" w:rsidR="009D7677" w:rsidRDefault="009D7677" w:rsidP="009D7677">
      <w:pPr>
        <w:pStyle w:val="TextoNormal"/>
      </w:pPr>
    </w:p>
    <w:p w14:paraId="523C4375" w14:textId="77777777" w:rsidR="009D7677" w:rsidRDefault="009D7677" w:rsidP="009D7677">
      <w:pPr>
        <w:pStyle w:val="TextoNormal"/>
      </w:pPr>
      <w:r>
        <w:t xml:space="preserve">Cuestión prejudicial núm. 2: ¿La declaración de la causa de inelegibilidad sobrevenida del señor Junqueras, la pérdida de su escaño en el Parlamento Europeo y su sustitución por otro europarlamentario por los acuerdos de la JEC que ejecutan los efectos de una sentencia penal dictada sin dotar de efectos prácticos la sentencia del Tribunal de Justicia de la Unión Europea de 19 de diciembre de 2019 en el asunto C-502/19 y sin haber suspendido el proceso para tramitar previamente el levantamiento de la inmunidad del señor Junqueras ante el Parlamento Europeo vulneran el Derecho de la Unión Europea de acuerdo con los </w:t>
      </w:r>
      <w:r>
        <w:lastRenderedPageBreak/>
        <w:t>artículos 9 del Protocolo núm. 7 de privilegios e inmunidades de la Unión Europea, 7 y 9 del Reglamento interno de procedimientos del Parlamento Europeo, 20, 21 y 39 CDFUE y 4.3.1 TUE?”.</w:t>
      </w:r>
    </w:p>
    <w:p w14:paraId="05825F1B" w14:textId="77777777" w:rsidR="009D7677" w:rsidRDefault="009D7677" w:rsidP="009D7677">
      <w:pPr>
        <w:pStyle w:val="TextoNormal"/>
      </w:pPr>
    </w:p>
    <w:p w14:paraId="580B24D9" w14:textId="77777777" w:rsidR="009D7677" w:rsidRDefault="009D7677" w:rsidP="009D7677">
      <w:pPr>
        <w:pStyle w:val="TextoNormal"/>
      </w:pPr>
      <w:r>
        <w:t>d) La Sección Cuarta de la Sala de lo Contencioso-Administrativo del Tribunal Supremo dictó sentencia núm. 672/2021, de 12 de mayo, desestimando el recurso. Los razonamientos de esta decisión aparecen en el fundamento de Derecho quinto, de los que se procede a hacer resumen.</w:t>
      </w:r>
    </w:p>
    <w:p w14:paraId="6E5611BB" w14:textId="77777777" w:rsidR="009D7677" w:rsidRDefault="009D7677" w:rsidP="009D7677">
      <w:pPr>
        <w:pStyle w:val="TextoNormal"/>
      </w:pPr>
    </w:p>
    <w:p w14:paraId="0054C2F5" w14:textId="77777777" w:rsidR="009D7677" w:rsidRDefault="009D7677" w:rsidP="009D7677">
      <w:pPr>
        <w:pStyle w:val="TextoNormal"/>
      </w:pPr>
      <w:r>
        <w:t>(i) Ante todo se formula una advertencia general y es que la parte recurrente “realmente combate la sentencia de la Sala Segunda de este Tribunal Supremo de 14 de octubre de 2019 que le condenó a las penas de prisión y de inhabilitación absoluta […] así como de los autos de esa Sala de 9 de enero de 2020”. Dicho propósito “carece de todo fundamento jurídico pues no corresponde a la jurisdicción contencioso-administrativa revisar el ejercicio de la potestad jurisdiccional efectuado por los tribunales penales según ya dijimos en nuestra sentencia núm. 387/2021, de 18 de marzo. […] En la medida en que la construcción del recurrente descansa fundamentalmente, como nos llega a decir, en la […] nulidad de la sentencia que le condenó, toda su argumentación se viene abajo, [pues] debemos estar a lo que ha fallado en firme. Así lo exigen los artículos 10.2 de la Ley Orgánica del Poder Judicial y 4.1 de la Ley de la jurisdicción”.</w:t>
      </w:r>
    </w:p>
    <w:p w14:paraId="640E25F1" w14:textId="77777777" w:rsidR="009D7677" w:rsidRDefault="009D7677" w:rsidP="009D7677">
      <w:pPr>
        <w:pStyle w:val="TextoNormal"/>
      </w:pPr>
    </w:p>
    <w:p w14:paraId="62B054F0" w14:textId="77777777" w:rsidR="009D7677" w:rsidRDefault="009D7677" w:rsidP="009D7677">
      <w:pPr>
        <w:pStyle w:val="TextoNormal"/>
      </w:pPr>
      <w:r>
        <w:t>No obstante, añade la sentencia que “a fin de dar plena satisfacción al derecho a la tutela judicial efectiva del señor Junqueras i Vies, vamos a explicar por qué consideramos que los acuerdos de la Junta Electoral Central que ha impugnado no incurren en las infracciones al ordenamiento jurídico que les achaca”.</w:t>
      </w:r>
    </w:p>
    <w:p w14:paraId="147EBA1A" w14:textId="77777777" w:rsidR="009D7677" w:rsidRDefault="009D7677" w:rsidP="009D7677">
      <w:pPr>
        <w:pStyle w:val="TextoNormal"/>
      </w:pPr>
    </w:p>
    <w:p w14:paraId="28B67243" w14:textId="77777777" w:rsidR="009D7677" w:rsidRDefault="009D7677" w:rsidP="009D7677">
      <w:pPr>
        <w:pStyle w:val="TextoNormal"/>
      </w:pPr>
      <w:r>
        <w:t>(ii) Se refiere entonces la sentencia [fundamento quinto, apartado A)] a la falta de legitimación pasiva del Partido Popular y de Vox en dicho proceso contencioso-administrativo, que se esgrime en el primer motivo de la demanda, el cual se desestima. Tras recordar que ya se dio una respuesta negativa a esta tesis tanto en el auto de 21 de mayo de 2020 que resolvió la pieza de medidas cautelares, como en el auto de la misma fecha que resolvió el recurso de revisión contra el decreto que resolvió el recurso de reposición interpuesto contra la diligencia de ordenación de 22 de enero de 2020 que tuvo a ambas personas jurídicas como personadas en la causa (proceso ordinario 5-2020), se afirma:</w:t>
      </w:r>
    </w:p>
    <w:p w14:paraId="0AA9C5CF" w14:textId="77777777" w:rsidR="009D7677" w:rsidRDefault="009D7677" w:rsidP="009D7677">
      <w:pPr>
        <w:pStyle w:val="TextoNormal"/>
      </w:pPr>
    </w:p>
    <w:p w14:paraId="57C474E5" w14:textId="77777777" w:rsidR="009D7677" w:rsidRDefault="009D7677" w:rsidP="009D7677">
      <w:pPr>
        <w:pStyle w:val="TextoNormal"/>
      </w:pPr>
      <w:r>
        <w:t>“[N]o puede reducirse al mero interés por la defensa de la legalidad el que asiste a los partidos que han obtenido de la Junta Electoral Central el acuerdo impugnado a comparecer para defenderlo. Al propugnar la desestimación del recurso contencioso-administrativo no solo pretenden que se confirme judicialmente una actuación que consideran conforme a Derecho adoptada a instancias suyas sino también excluir del Parlamento Europeo a un competidor electoral. No se debe olvidar que la Ley Orgánica del régimen electoral general (artículo 49.1) reconoce legitimación para recurrir la proclamación de candidaturas a todas las candidaturas proclamadas y para impugnar u oponerse a la impugnación [de] la proclamación de candidatos electos a los partidos que hayan presentado candidaturas en la circunscripción (artículo 110)”.</w:t>
      </w:r>
    </w:p>
    <w:p w14:paraId="7DC8914B" w14:textId="77777777" w:rsidR="009D7677" w:rsidRDefault="009D7677" w:rsidP="009D7677">
      <w:pPr>
        <w:pStyle w:val="TextoNormal"/>
      </w:pPr>
    </w:p>
    <w:p w14:paraId="7931F152" w14:textId="77777777" w:rsidR="009D7677" w:rsidRDefault="009D7677" w:rsidP="009D7677">
      <w:pPr>
        <w:pStyle w:val="TextoNormal"/>
      </w:pPr>
      <w:r>
        <w:lastRenderedPageBreak/>
        <w:t>Y en cuanto a las supuestas consecuencias negativas que según la demanda habría tenido la intervención de ambos partidos respecto del ejercicio de los derechos procesales del recurrente, se trata según la Sala de un argumento insostenible:</w:t>
      </w:r>
    </w:p>
    <w:p w14:paraId="07C0BE07" w14:textId="77777777" w:rsidR="009D7677" w:rsidRDefault="009D7677" w:rsidP="009D7677">
      <w:pPr>
        <w:pStyle w:val="TextoNormal"/>
      </w:pPr>
    </w:p>
    <w:p w14:paraId="5764BB3A" w14:textId="77777777" w:rsidR="009D7677" w:rsidRDefault="009D7677" w:rsidP="009D7677">
      <w:pPr>
        <w:pStyle w:val="TextoNormal"/>
      </w:pPr>
      <w:r>
        <w:t>“Por lo demás, la comparecencia de los mencionados partidos en nada ha perjudicado a las posibilidades del señor Junqueras i Vies de defender su posición. En este sentido, llama la atención la falta de identificación por parte del recurrente de hechos o actuaciones concretas en que se haya materializado la vulneración de la igualdad de armas. No nos ha dicho qué se le ha impedido hacer o qué ventaja se ha dado a quienes se oponen a su recurso que no haya podido contrarrestar procesalmente”.</w:t>
      </w:r>
    </w:p>
    <w:p w14:paraId="27793C3D" w14:textId="77777777" w:rsidR="009D7677" w:rsidRDefault="009D7677" w:rsidP="009D7677">
      <w:pPr>
        <w:pStyle w:val="TextoNormal"/>
      </w:pPr>
    </w:p>
    <w:p w14:paraId="456CB624" w14:textId="77777777" w:rsidR="009D7677" w:rsidRDefault="009D7677" w:rsidP="009D7677">
      <w:pPr>
        <w:pStyle w:val="TextoNormal"/>
      </w:pPr>
      <w:r>
        <w:t>(iii) Solventada la anterior cuestión, que atañe a “la regular constitución de las relaciones procesales”, aborda la sentencia el examen de los motivos de fondo de la demanda y la petición final de planteamiento de cuestión prejudicial ante el Tribunal de Justicia de la Unión Europea, todos ellos con resultado desestimatorio:</w:t>
      </w:r>
    </w:p>
    <w:p w14:paraId="364FE2F0" w14:textId="77777777" w:rsidR="009D7677" w:rsidRDefault="009D7677" w:rsidP="009D7677">
      <w:pPr>
        <w:pStyle w:val="TextoNormal"/>
      </w:pPr>
    </w:p>
    <w:p w14:paraId="771D4051" w14:textId="77777777" w:rsidR="009D7677" w:rsidRDefault="009D7677" w:rsidP="009D7677">
      <w:pPr>
        <w:pStyle w:val="TextoNormal"/>
      </w:pPr>
      <w:r>
        <w:t>“(B) La prejudicialidad penal</w:t>
      </w:r>
    </w:p>
    <w:p w14:paraId="0A31C5F3" w14:textId="77777777" w:rsidR="009D7677" w:rsidRDefault="009D7677" w:rsidP="009D7677">
      <w:pPr>
        <w:pStyle w:val="TextoNormal"/>
      </w:pPr>
    </w:p>
    <w:p w14:paraId="656D3F0C" w14:textId="77777777" w:rsidR="009D7677" w:rsidRDefault="009D7677" w:rsidP="009D7677">
      <w:pPr>
        <w:pStyle w:val="TextoNormal"/>
      </w:pPr>
      <w:r>
        <w:t>En realidad, la prejudicialidad penal opera en este caso en sentido opuesto a lo defendido por la demanda: la Junta Electoral Central, a instancia del Partido Popular y de Vox aplicó las consecuencias que la sentencia firme de la Sala Segunda de 14 de octubre de 2019 comportaba para la condición del señor Junqueras i Vies como candidato electo al Parlamento Europeo: la declaración de su inelegibilidad sobrevenida a causa de la pena privativa de libertad que estaba cumpliendo. No era preciso que esperara a la decisión que tomara la Sala Segunda del Tribunal Supremo a la vista de la sentencia del Tribunal de Justicia de la Unión Europea de 19 de diciembre de 2019.</w:t>
      </w:r>
    </w:p>
    <w:p w14:paraId="6AC0F3C1" w14:textId="77777777" w:rsidR="009D7677" w:rsidRDefault="009D7677" w:rsidP="009D7677">
      <w:pPr>
        <w:pStyle w:val="TextoNormal"/>
      </w:pPr>
    </w:p>
    <w:p w14:paraId="5FE9CD55" w14:textId="77777777" w:rsidR="009D7677" w:rsidRDefault="009D7677" w:rsidP="009D7677">
      <w:pPr>
        <w:pStyle w:val="TextoNormal"/>
      </w:pPr>
      <w:r>
        <w:t>De otro lado, es cierto que esta última sentencia, no dispone nada sobre el proceso principal a pesar de que tenía conocimiento de que se había dictado la sentencia de 14 de octubre de 2019 tal como refleja en su exposición de antecedentes e, incluso, acepta que se mantuviera en prisión al señor Junqueras i Vies aunque debiera solicitarse el levantamiento de la inmunidad que le correspondía desde su elección, la consignada en el párrafo segundo del artículo 9 del Protocolo núm. 7 de privilegios e inmunidades de la Unión Europea. Se limita el Tribunal de Justicia a encomendar a la Sala Segunda que sacara las conclusiones procedentes. Precisamente, por ello, esta resolvió el 9 de enero de 2020 que, no estando ya en prisión provisional sino cumpliendo la condena que le impuso, no procedía solicitar autorización al Parlamento Europeo porque el señor Junqueras i Vies había perdido su condición de diputado.</w:t>
      </w:r>
    </w:p>
    <w:p w14:paraId="22A4DDD7" w14:textId="77777777" w:rsidR="009D7677" w:rsidRDefault="009D7677" w:rsidP="009D7677">
      <w:pPr>
        <w:pStyle w:val="TextoNormal"/>
      </w:pPr>
    </w:p>
    <w:p w14:paraId="5C23ED18" w14:textId="77777777" w:rsidR="009D7677" w:rsidRDefault="009D7677" w:rsidP="009D7677">
      <w:pPr>
        <w:pStyle w:val="TextoNormal"/>
      </w:pPr>
      <w:r>
        <w:t xml:space="preserve">Aparte de los argumentos que buscan extraer de la sentencia del Tribunal de Justicia de 19 de diciembre de 2019 una causa de nulidad de la dictada por la Sala Segunda que, según se desprende del planteamiento de la demanda, debería haber operado vía las ulteriores resoluciones de esta, nada dice sobre la razón por la que la Junta Electoral Central apreció la inelegibilidad sobrevenida. Es decir, no llega a discutir que la condena firme a una pena privativa de libertad comporta la pérdida del sufragio pasivo, o sea, que determina la inelegibilidad, en este caso sobrevenida, del condenado. Efecto, por otra parte, claramente establecido por el artículo 6.2 a) de la Ley Orgánica del régimen electoral general, </w:t>
      </w:r>
      <w:r>
        <w:lastRenderedPageBreak/>
        <w:t>tal como hemos confirmado recientemente en la ya recordada sentencia núm. 387/2021, de 18 de marzo (recurso núm. 401-2019).</w:t>
      </w:r>
    </w:p>
    <w:p w14:paraId="131034CC" w14:textId="77777777" w:rsidR="009D7677" w:rsidRDefault="009D7677" w:rsidP="009D7677">
      <w:pPr>
        <w:pStyle w:val="TextoNormal"/>
      </w:pPr>
    </w:p>
    <w:p w14:paraId="1F337CCE" w14:textId="77777777" w:rsidR="009D7677" w:rsidRDefault="009D7677" w:rsidP="009D7677">
      <w:pPr>
        <w:pStyle w:val="TextoNormal"/>
      </w:pPr>
      <w:r>
        <w:t>Así, pues, hemos de rechazar también esta alegación.</w:t>
      </w:r>
    </w:p>
    <w:p w14:paraId="7B570947" w14:textId="77777777" w:rsidR="009D7677" w:rsidRDefault="009D7677" w:rsidP="009D7677">
      <w:pPr>
        <w:pStyle w:val="TextoNormal"/>
      </w:pPr>
    </w:p>
    <w:p w14:paraId="445B175E" w14:textId="77777777" w:rsidR="009D7677" w:rsidRDefault="009D7677" w:rsidP="009D7677">
      <w:pPr>
        <w:pStyle w:val="TextoNormal"/>
      </w:pPr>
      <w:r>
        <w:t>(C) La cooperación leal con las instituciones europeas</w:t>
      </w:r>
    </w:p>
    <w:p w14:paraId="07CA7F87" w14:textId="77777777" w:rsidR="009D7677" w:rsidRDefault="009D7677" w:rsidP="009D7677">
      <w:pPr>
        <w:pStyle w:val="TextoNormal"/>
      </w:pPr>
    </w:p>
    <w:p w14:paraId="277A28A1" w14:textId="77777777" w:rsidR="009D7677" w:rsidRDefault="009D7677" w:rsidP="009D7677">
      <w:pPr>
        <w:pStyle w:val="TextoNormal"/>
      </w:pPr>
      <w:r>
        <w:t>La demanda y más aún el escrito de conclusiones entienden el respeto al principio de cooperación leal con las instituciones europeas como la aceptación plena de su entendimiento de lo que la sentencia del Tribunal de Justicia de la Unión Europea ha dicho. Es comprensible que el recurrente lo pretenda pero ese propósito no hace realidad su premisa. De esa sentencia, dictada en un contexto específico —para responder a la cuestión prejudicial planteada antes de resolver el recurso de súplica contra un auto que denegó al señor Junqueras i Vies permiso para desplazarse a la sede de la Junta Electoral Central a fin de prestar el acatamiento a la Constitución, cuando se hallaba en prisión provisional— quiere derivar unos singulares efectos sobre lo que la Sala Segunda debió decidir y, a partir de su particular idea de la decisión que esta habría debido tomar, quiere que esos efectos lleguen a los actos discutidos de la Junta Electoral Central.</w:t>
      </w:r>
    </w:p>
    <w:p w14:paraId="77B748FB" w14:textId="77777777" w:rsidR="009D7677" w:rsidRDefault="009D7677" w:rsidP="009D7677">
      <w:pPr>
        <w:pStyle w:val="TextoNormal"/>
      </w:pPr>
    </w:p>
    <w:p w14:paraId="2BB9FE73" w14:textId="77777777" w:rsidR="009D7677" w:rsidRDefault="009D7677" w:rsidP="009D7677">
      <w:pPr>
        <w:pStyle w:val="TextoNormal"/>
      </w:pPr>
      <w:r>
        <w:t>Para construir este artificio la demanda, además de atribuir a la sentencia de 19 de diciembre de 2019 lo que no dice, tiene que ignorar que el Derecho de la Unión Europea —artículo 13 del Acta electoral de 1976— remite a la legislación nacional cuanto afecta a la anulación del mandato de los diputados al Parlamento Europeo.</w:t>
      </w:r>
    </w:p>
    <w:p w14:paraId="11D02451" w14:textId="77777777" w:rsidR="009D7677" w:rsidRDefault="009D7677" w:rsidP="009D7677">
      <w:pPr>
        <w:pStyle w:val="TextoNormal"/>
      </w:pPr>
    </w:p>
    <w:p w14:paraId="72FDF938" w14:textId="77777777" w:rsidR="009D7677" w:rsidRDefault="009D7677" w:rsidP="009D7677">
      <w:pPr>
        <w:pStyle w:val="TextoNormal"/>
      </w:pPr>
      <w:r>
        <w:t>Es claro, pues, que no puede prosperar esta argumentación, no solo porque va más allá del ámbito de nuestra jurisdicción, sino también porque carece de fundamento. Cooperar lealmente con las instituciones europeas no consiste en ignorar el ordenamiento jurídico europeo y español.</w:t>
      </w:r>
    </w:p>
    <w:p w14:paraId="301C4043" w14:textId="77777777" w:rsidR="009D7677" w:rsidRDefault="009D7677" w:rsidP="009D7677">
      <w:pPr>
        <w:pStyle w:val="TextoNormal"/>
      </w:pPr>
    </w:p>
    <w:p w14:paraId="34E52159" w14:textId="77777777" w:rsidR="009D7677" w:rsidRDefault="009D7677" w:rsidP="009D7677">
      <w:pPr>
        <w:pStyle w:val="TextoNormal"/>
      </w:pPr>
      <w:r>
        <w:t>(D) La alegada discriminación</w:t>
      </w:r>
    </w:p>
    <w:p w14:paraId="24ECBA53" w14:textId="77777777" w:rsidR="009D7677" w:rsidRDefault="009D7677" w:rsidP="009D7677">
      <w:pPr>
        <w:pStyle w:val="TextoNormal"/>
      </w:pPr>
    </w:p>
    <w:p w14:paraId="3F86D55A" w14:textId="77777777" w:rsidR="009D7677" w:rsidRDefault="009D7677" w:rsidP="009D7677">
      <w:pPr>
        <w:pStyle w:val="TextoNormal"/>
      </w:pPr>
      <w:r>
        <w:t>La discriminación a la que se refiere la demanda es la que se habría producido entre el señor Junqueras i Vies y los demás diputados electos al Parlamento Europeo que no han tenido impedimento para cumplir los requisitos para perfeccionar su condición. Ya planteó el señor Junqueras i Vies la desigualdad en el trato recibido en su recurso núm. 436-2019, interpuesto contra el acuerdo de la Junta Electoral Central de 17 de octubre de 2019 que rechazó su pretensión de que se le permitiera prestar el acatamiento a la Constitución mediante escritura notarial y la de que se le declarara inaplicable el artículo 224.2 de la Ley Orgánica del régimen electoral general.</w:t>
      </w:r>
    </w:p>
    <w:p w14:paraId="33CB71FC" w14:textId="77777777" w:rsidR="009D7677" w:rsidRDefault="009D7677" w:rsidP="009D7677">
      <w:pPr>
        <w:pStyle w:val="TextoNormal"/>
      </w:pPr>
    </w:p>
    <w:p w14:paraId="303A720F" w14:textId="77777777" w:rsidR="009D7677" w:rsidRDefault="009D7677" w:rsidP="009D7677">
      <w:pPr>
        <w:pStyle w:val="TextoNormal"/>
      </w:pPr>
      <w:r>
        <w:t>Nuestra sentencia núm. 375/2021, de 17 de marzo, desestimó ese recurso y, en concreto, rechazó la discriminación que atribuía a la Junta Electoral Central. Según explica en sus fundamentos de Derecho, esta última se limitó a aplicar la legislación nacional vigente, a la que se remite el Derecho de la Unión Europea, y comprobó que el señor Junqueras i Vies no había acreditado que se le hubiera aplicado ese precepto de forma diferente a como se aplicó a los demás diputados electos al Parlamento Europeo.</w:t>
      </w:r>
    </w:p>
    <w:p w14:paraId="3FFB582F" w14:textId="77777777" w:rsidR="009D7677" w:rsidRDefault="009D7677" w:rsidP="009D7677">
      <w:pPr>
        <w:pStyle w:val="TextoNormal"/>
      </w:pPr>
    </w:p>
    <w:p w14:paraId="064EBE2F" w14:textId="77777777" w:rsidR="009D7677" w:rsidRDefault="009D7677" w:rsidP="009D7677">
      <w:pPr>
        <w:pStyle w:val="TextoNormal"/>
      </w:pPr>
      <w:r>
        <w:lastRenderedPageBreak/>
        <w:t>Esto mismo hemos de reiterar ahora pues, no nos ha mostrado el recurrente que a otros diputados electos, en su situación, se les hubiera dispensado el trato que él no recibió. El principio de igualdad, efectivamente, opera respecto de quienes se encuentran en la misma situación y proscribe que, sin fundamento objetivo y razonable, de entre ellos se dé a unos un trato distinto al que reciben otros. Pero, insistimos, no nos ha dicho el señor Junqueras i Vies que haya otros diputados electos que, en la misma situación en que él se encontraba, recibieran un trato distinto al que él obtuvo.</w:t>
      </w:r>
    </w:p>
    <w:p w14:paraId="376A4918" w14:textId="77777777" w:rsidR="009D7677" w:rsidRDefault="009D7677" w:rsidP="009D7677">
      <w:pPr>
        <w:pStyle w:val="TextoNormal"/>
      </w:pPr>
    </w:p>
    <w:p w14:paraId="5AFD3389" w14:textId="77777777" w:rsidR="009D7677" w:rsidRDefault="009D7677" w:rsidP="009D7677">
      <w:pPr>
        <w:pStyle w:val="TextoNormal"/>
      </w:pPr>
      <w:r>
        <w:t>Por tanto, no cabe apreciar discriminación.</w:t>
      </w:r>
    </w:p>
    <w:p w14:paraId="5B8B0763" w14:textId="77777777" w:rsidR="009D7677" w:rsidRDefault="009D7677" w:rsidP="009D7677">
      <w:pPr>
        <w:pStyle w:val="TextoNormal"/>
      </w:pPr>
    </w:p>
    <w:p w14:paraId="51591689" w14:textId="77777777" w:rsidR="009D7677" w:rsidRDefault="009D7677" w:rsidP="009D7677">
      <w:pPr>
        <w:pStyle w:val="TextoNormal"/>
      </w:pPr>
      <w:r>
        <w:t>(E) La improcedencia de plantear cuestión prejudicial</w:t>
      </w:r>
    </w:p>
    <w:p w14:paraId="7B8C964D" w14:textId="77777777" w:rsidR="009D7677" w:rsidRDefault="009D7677" w:rsidP="009D7677">
      <w:pPr>
        <w:pStyle w:val="TextoNormal"/>
      </w:pPr>
    </w:p>
    <w:p w14:paraId="3CC8E97D" w14:textId="77777777" w:rsidR="009D7677" w:rsidRDefault="009D7677" w:rsidP="009D7677">
      <w:pPr>
        <w:pStyle w:val="TextoNormal"/>
      </w:pPr>
      <w:r>
        <w:t>Cuanto llevamos dicho pone de manifiesto que los acuerdos de la Junta Electoral Central objeto de este recurso contencioso-administrativo no incurren en las infracciones al ordenamiento jurídico que les atribuye la demanda y que no está en juego la aplicación del Derecho de la Unión Europea ni, en consecuencia, hay dudas sobre su entendimiento que deban ser aclaradas. Así, pues, no procede plantear la cuestión prejudicial solicitada”.</w:t>
      </w:r>
    </w:p>
    <w:p w14:paraId="084993C2" w14:textId="77777777" w:rsidR="009D7677" w:rsidRDefault="009D7677" w:rsidP="009D7677">
      <w:pPr>
        <w:pStyle w:val="TextoNormal"/>
      </w:pPr>
    </w:p>
    <w:p w14:paraId="56599B0C" w14:textId="77777777" w:rsidR="009D7677" w:rsidRDefault="009D7677" w:rsidP="009D7677">
      <w:pPr>
        <w:pStyle w:val="TextoNormal"/>
      </w:pPr>
      <w:r>
        <w:t>e) Contra la sentencia que se acaba de indicar se interpuso por la representación procesal del aquí demandante de amparo un incidente de nulidad de actuaciones en el que alegó la vulneración de sus derechos fundamentales a la tutela judicial efectiva (art. 24.1 CE), por incurrir dicha resolución judicial en incongruencia omisiva y ser inmotivada y arbitraria; a la igualdad en aplicación de la ley y a la no discriminación (art. 14 CE), puesto en relación con el derecho de sufragio pasivo del art. 23 CE; a un proceso con todas las garantías (art. 24.2 CE), y a un recurso efectivo (art. 24.1 CE, en relación con los arts. 6 y 13 CEDH).</w:t>
      </w:r>
    </w:p>
    <w:p w14:paraId="35DCEB4D" w14:textId="77777777" w:rsidR="009D7677" w:rsidRDefault="009D7677" w:rsidP="009D7677">
      <w:pPr>
        <w:pStyle w:val="TextoNormal"/>
      </w:pPr>
    </w:p>
    <w:p w14:paraId="3E9E6848" w14:textId="77777777" w:rsidR="009D7677" w:rsidRDefault="009D7677" w:rsidP="009D7677">
      <w:pPr>
        <w:pStyle w:val="TextoNormal"/>
      </w:pPr>
      <w:r>
        <w:t>f) La Sección Cuarta de la Sala de lo Contencioso-Administrativo del Tribunal Supremo inadmitió el incidente planteado mediante providencia de 15 de junio de 2021, en cuyo apartado 3 razonó lo que sigue:</w:t>
      </w:r>
    </w:p>
    <w:p w14:paraId="2B6D7870" w14:textId="77777777" w:rsidR="009D7677" w:rsidRDefault="009D7677" w:rsidP="009D7677">
      <w:pPr>
        <w:pStyle w:val="TextoNormal"/>
      </w:pPr>
    </w:p>
    <w:p w14:paraId="1E66687C" w14:textId="77777777" w:rsidR="009D7677" w:rsidRDefault="009D7677" w:rsidP="009D7677">
      <w:pPr>
        <w:pStyle w:val="TextoNormal"/>
      </w:pPr>
      <w:r>
        <w:t>“En el escrito de promoción del incidente de nulidad el señor Junqueras i Vies reitera cuanto ya alegó en la demanda y en las conclusiones y fue tenido en cuenta y respondido razonadamente por la sentencia núm. 672/2021, de 12 de mayo. En efecto, insiste en la artificiosa argumentación según la cual hemos de desconocer la sentencia firme de la Sala Segunda del Tribunal Supremo en cuya virtud la Junta Electoral Central tomó la resolución controvertida en este proceso. Es, pues, evidente que plantea cosas distintas de aquellas para las que, según el artículo 241 de la Ley Orgánica del Poder Judicial, está pensado este incidente. Respecto de él una jurisprudencia reiterada y constante, tanto que excusa de cita de sentencias, viene resaltando que no es una nueva instancia ni la ocasión para pretender el reexamen de lo ya debatido en el proceso y decidido de forma motivada y congruente por la sentencia cuya nulidad se pretende [sentencia del Tribunal Constitucional núm. 107/2021 y auto del Tribunal Constitucional núm. 54/2017 entre otros].</w:t>
      </w:r>
    </w:p>
    <w:p w14:paraId="2BAB52DC" w14:textId="77777777" w:rsidR="009D7677" w:rsidRDefault="009D7677" w:rsidP="009D7677">
      <w:pPr>
        <w:pStyle w:val="TextoNormal"/>
      </w:pPr>
    </w:p>
    <w:p w14:paraId="32804CEE" w14:textId="66969F21" w:rsidR="009D7677" w:rsidRDefault="009D7677" w:rsidP="009D7677">
      <w:pPr>
        <w:pStyle w:val="TextoNormal"/>
      </w:pPr>
      <w:r>
        <w:t>En consecuencia, debemos inadmitir el presente incidente de nulidad de actuaciones”.</w:t>
      </w:r>
    </w:p>
    <w:p w14:paraId="7AF16D0E" w14:textId="77777777" w:rsidR="009D7677" w:rsidRDefault="009D7677" w:rsidP="009D7677">
      <w:pPr>
        <w:pStyle w:val="TextoNormal"/>
      </w:pPr>
    </w:p>
    <w:p w14:paraId="0FE9D726" w14:textId="77777777" w:rsidR="009D7677" w:rsidRDefault="009D7677" w:rsidP="009D7677">
      <w:pPr>
        <w:pStyle w:val="TextoNormal"/>
      </w:pPr>
      <w:r w:rsidRPr="009D7677">
        <w:rPr>
          <w:rStyle w:val="NumeroAFNegritaCaracter"/>
        </w:rPr>
        <w:t>3</w:t>
      </w:r>
      <w:r>
        <w:t>. La demanda de amparo alega que la sentencia de 12 de mayo de 2021 y el posterior auto de 15 de junio de 2021, dictados por la Sección Cuarta, Sala de lo Contencioso-</w:t>
      </w:r>
      <w:r>
        <w:lastRenderedPageBreak/>
        <w:t>Administrativo, del Tribunal Supremo, han vulnerado derechos fundamentales del recurrente, articulando su impugnación en cinco motivos.</w:t>
      </w:r>
    </w:p>
    <w:p w14:paraId="36D41EEF" w14:textId="77777777" w:rsidR="009D7677" w:rsidRDefault="009D7677" w:rsidP="009D7677">
      <w:pPr>
        <w:pStyle w:val="TextoNormal"/>
      </w:pPr>
    </w:p>
    <w:p w14:paraId="2F24B198" w14:textId="77777777" w:rsidR="009D7677" w:rsidRDefault="009D7677" w:rsidP="009D7677">
      <w:pPr>
        <w:pStyle w:val="TextoNormal"/>
      </w:pPr>
      <w:r>
        <w:t>A) Primer motivo: “La sentencia (y la providencia de inadmisión) incurren en incongruencia omisiva, son inmotivadas, arbitrarias y vulneran el derecho a la tutela judicial efectiva, así como el derecho a la igualdad en la aplicación de la ley y a la no discriminación (arts. 24 y 14 CE, arts. 6 y 14 CEDH, y arts. 20 y 47 CDFUE) en relación con el derecho al sufragio pasivo (ambos apartados del art. 23 CE y art. 3 Protocolo adicional CEDH, y ambos apartados art. 39 CDFUE), al desestimar las alegaciones de esta parte respecto a la vulneración del derecho a la igualdad de armas pero no contener ningún motivo de desestimación respecto de la vulneración del derecho a la igualdad ante la ley en relación con la aceptación de la legitimación pasiva de PP y VOX. Vulnera asimismo el derecho a la tutela judicial efectiva en su vertiente de ejecución de las resoluciones judiciales en sus propios términos (art. 24 CE), así como el deber de cooperación leal, al hacer caso omiso a la doctrina del Tribunal General de la Unión Europea en la materia”.</w:t>
      </w:r>
    </w:p>
    <w:p w14:paraId="6699D2B4" w14:textId="77777777" w:rsidR="009D7677" w:rsidRDefault="009D7677" w:rsidP="009D7677">
      <w:pPr>
        <w:pStyle w:val="TextoNormal"/>
      </w:pPr>
    </w:p>
    <w:p w14:paraId="5AD02E97" w14:textId="77777777" w:rsidR="009D7677" w:rsidRDefault="009D7677" w:rsidP="009D7677">
      <w:pPr>
        <w:pStyle w:val="TextoNormal"/>
      </w:pPr>
      <w:r>
        <w:t>En este primer motivo se exponen dos quejas principales, vinculadas al primer motivo de impugnación de la demanda de instancia en la que el recurrente cuestionó el reconocimiento por la Sala de legitimación al Partido Popular y a Vox para actuar como codemandados. Quejas que entiende han sido mal contestadas, o no han recibido contestación, en la sentencia impugnada:</w:t>
      </w:r>
    </w:p>
    <w:p w14:paraId="104583A9" w14:textId="77777777" w:rsidR="009D7677" w:rsidRDefault="009D7677" w:rsidP="009D7677">
      <w:pPr>
        <w:pStyle w:val="TextoNormal"/>
      </w:pPr>
    </w:p>
    <w:p w14:paraId="167CFC79" w14:textId="77777777" w:rsidR="009D7677" w:rsidRDefault="009D7677" w:rsidP="009D7677">
      <w:pPr>
        <w:pStyle w:val="TextoNormal"/>
      </w:pPr>
      <w:r>
        <w:t>a) Queja sobre la lesión del derecho a la igualdad de armas (art. 24.1 CE): la demanda dice que la sentencia recurrida “motiva adecuadamente” la desestimación de la alegación sobre la vulneración del derecho a la igualdad de armas derivada de la entrada al proceso de aquellos dos partidos políticos, pero discrepa de la desestimación de la alegación sobre la vulneración del derecho a la igualdad ante la ley y a la tutela judicial efectiva que acuerda la sentencia, pues señala que, como resultado del criterio favorable de la Sala, el recurrente ha tenido que “enfrentarse a diversas representaciones procesales” (más adelante dice “enfrentarse a más de una parte procesal”), lo que le ha producido indefensión (también invoca la lesión del art. 14 CE).</w:t>
      </w:r>
    </w:p>
    <w:p w14:paraId="7CC61DDA" w14:textId="77777777" w:rsidR="009D7677" w:rsidRDefault="009D7677" w:rsidP="009D7677">
      <w:pPr>
        <w:pStyle w:val="TextoNormal"/>
      </w:pPr>
    </w:p>
    <w:p w14:paraId="07DDD039" w14:textId="77777777" w:rsidR="009D7677" w:rsidRDefault="009D7677" w:rsidP="009D7677">
      <w:pPr>
        <w:pStyle w:val="TextoNormal"/>
      </w:pPr>
      <w:r>
        <w:t>b) Queja sobre la lesión de los derechos a la tutela judicial efectiva (art. 24.1 CE) y a la igualdad ante la ley (art. 14 CE): según el recurrente, la sentencia impugnada es inmotivada e incongruente y subsidiariamente adolece de una motivación arbitraria respecto a la contestación a su otra queja, la de que se le vulneró el derecho de igualdad ante la ley y a la tutela judicial efectiva (arts. 14 y 24 CE), por haber apreciado que el Partido Popular y Vox actuaron por un interés legítimo. A su parecer dicho interés no existe, aquellos “se limitaron a provocar la actuación de oficio de la Junta Electoral Central”, y el Tribunal Supremo les permite que comparezcan con base en un simple interés en la legalidad, criterio que es “</w:t>
      </w:r>
      <w:r w:rsidRPr="009D7677">
        <w:rPr>
          <w:i/>
        </w:rPr>
        <w:t>ad hoc</w:t>
      </w:r>
      <w:r>
        <w:t xml:space="preserve">, </w:t>
      </w:r>
      <w:r w:rsidRPr="009D7677">
        <w:rPr>
          <w:i/>
        </w:rPr>
        <w:t>ad casum</w:t>
      </w:r>
      <w:r>
        <w:t xml:space="preserve"> y </w:t>
      </w:r>
      <w:r w:rsidRPr="009D7677">
        <w:rPr>
          <w:i/>
        </w:rPr>
        <w:t>contra legem</w:t>
      </w:r>
      <w:r>
        <w:t>”. Discrepa también de la expresión utilizada en la sentencia para apoyar el interés legítimo de dichas entidades, al hablar de la “exclusión de un competidor electoral”, que no es una finalidad legítima sino “directamente contraria a los principios democráticos”. Añade que la sentencia impugnada no ha tenido en cuenta que el Tribunal General de la Unión Europea excluyó la participación de Vox en un auto de 19 de noviembre de 2020, asunto T-32/20, instado por “los señores Puigdemont y Comín”. Alega también que se ha lesionado su derecho de sufragio pasivo.</w:t>
      </w:r>
    </w:p>
    <w:p w14:paraId="378CC032" w14:textId="77777777" w:rsidR="009D7677" w:rsidRDefault="009D7677" w:rsidP="009D7677">
      <w:pPr>
        <w:pStyle w:val="TextoNormal"/>
      </w:pPr>
    </w:p>
    <w:p w14:paraId="6DCB4AC5" w14:textId="77777777" w:rsidR="009D7677" w:rsidRDefault="009D7677" w:rsidP="009D7677">
      <w:pPr>
        <w:pStyle w:val="TextoNormal"/>
      </w:pPr>
      <w:r>
        <w:lastRenderedPageBreak/>
        <w:t>B) Segundo motivo: “La sentencia y la providencia incurren en infracción de las normas del procedimiento, del derecho a la tutela judicial efectiva (24.1 CE y 6 CEDH) y del proceso con todas las garantías (art. 24.2 CE y 6 CEDH) y al recurso efectivo (ambos apartados art. 24 CE y 6 y 13 CEDH), en vulneración del derecho a sufragio pasivo (ambos apartados de los arts. 23 CE y 39 CDFUE y art. 3 Protocolo adicional CEDH), y en vulneración de la primacía del Derecho de la Unión y del deber de cooperación leal al fundamentarse de forma principal en la imposibilidad de cuestionar la sentencia penal o la vulneración por la JEC del Derecho de la Unión”.</w:t>
      </w:r>
    </w:p>
    <w:p w14:paraId="4746BD02" w14:textId="77777777" w:rsidR="009D7677" w:rsidRDefault="009D7677" w:rsidP="009D7677">
      <w:pPr>
        <w:pStyle w:val="TextoNormal"/>
      </w:pPr>
    </w:p>
    <w:p w14:paraId="421DF8C3" w14:textId="77777777" w:rsidR="009D7677" w:rsidRDefault="009D7677" w:rsidP="009D7677">
      <w:pPr>
        <w:pStyle w:val="TextoNormal"/>
      </w:pPr>
      <w:r>
        <w:t xml:space="preserve">a) En este segundo motivo se esgrime que la sentencia recurrida en amparo y la providencia que la confirma han optado por impedir que actos impugnados ante el orden jurisdiccional contencioso-administrativo (los acuerdos de la Junta Electoral Central) puedan ser objeto de control porque una sentencia penal que “sirve de antecedente y fundamento a la decisión de la JEC”, no es revisable en vía contencioso-administrativa, incluso en casos de infracción del Derecho de la Unión Europea. Tal criterio “establece un límite a la jurisdicción contenciosa que vulnera el derecho a la tutela judicial efectiva (24.1 CE) y el proceso con todas las garantías (art. 24.2 CE)”, en conexión con “el principio de primacía del Derecho de la Unión y el deber de cooperación leal del art. 4.3 TUE, párrafo primero”. Hace cita también el escrito del art. 4 </w:t>
      </w:r>
      <w:r w:rsidRPr="009D7677">
        <w:rPr>
          <w:i/>
        </w:rPr>
        <w:t>bis</w:t>
      </w:r>
      <w:r>
        <w:t xml:space="preserve"> LOPJ en cuanto a la obligación de los jueces de aplicar el Derecho de la Unión conforme a la jurisprudencia del Tribunal de Justicia de la Unión Europea, en este caso la fijada en la STJUE de 19 de diciembre de 2019.</w:t>
      </w:r>
    </w:p>
    <w:p w14:paraId="491759B8" w14:textId="77777777" w:rsidR="009D7677" w:rsidRDefault="009D7677" w:rsidP="009D7677">
      <w:pPr>
        <w:pStyle w:val="TextoNormal"/>
      </w:pPr>
    </w:p>
    <w:p w14:paraId="471411F4" w14:textId="77777777" w:rsidR="009D7677" w:rsidRDefault="009D7677" w:rsidP="009D7677">
      <w:pPr>
        <w:pStyle w:val="TextoNormal"/>
      </w:pPr>
      <w:r>
        <w:t>Para el recurrente, la efectividad de los derechos fundamentales que alega, incluyendo el derecho de sufragio pasivo del art. 23 CE, supone que aquel control por los órganos del orden contencioso-administrativo resulte posible en una situación como la descrita. Una conclusión contraria vulneraría también el derecho “a un recurso efectivo (art. 24 CE ambos apartados y art. 13 CEDH), puesto que inutiliza al recurso contencioso administrativo como recurso efectivo para hacer valer el Derecho de la Unión”.</w:t>
      </w:r>
    </w:p>
    <w:p w14:paraId="22730075" w14:textId="77777777" w:rsidR="009D7677" w:rsidRDefault="009D7677" w:rsidP="009D7677">
      <w:pPr>
        <w:pStyle w:val="TextoNormal"/>
      </w:pPr>
    </w:p>
    <w:p w14:paraId="452273DE" w14:textId="77777777" w:rsidR="009D7677" w:rsidRDefault="009D7677" w:rsidP="009D7677">
      <w:pPr>
        <w:pStyle w:val="TextoNormal"/>
      </w:pPr>
      <w:r>
        <w:t>b) Subsidiariamente, añade, de existir semejante límite de enjuiciamiento para la Sala de lo Contencioso-Administrativo del Tribunal Supremo, esta debió promover cuestión prejudicial ante el Tribunal de Justicia. “No habiendo sido así, se constata la vulneración de los derechos alegados”.</w:t>
      </w:r>
    </w:p>
    <w:p w14:paraId="56D1E362" w14:textId="77777777" w:rsidR="009D7677" w:rsidRDefault="009D7677" w:rsidP="009D7677">
      <w:pPr>
        <w:pStyle w:val="TextoNormal"/>
      </w:pPr>
    </w:p>
    <w:p w14:paraId="3FD47E90" w14:textId="77777777" w:rsidR="009D7677" w:rsidRDefault="009D7677" w:rsidP="009D7677">
      <w:pPr>
        <w:pStyle w:val="TextoNormal"/>
      </w:pPr>
      <w:r>
        <w:t>C) Tercer motivo: “La sentencia y la providencia incurren en infracción del derecho a la tutela judicial efectiva (art. 24.1 CE), las normas del procedimiento y del proceso con todas las garantías (art. 24.2 CE) y al derecho al recurso efectivo (ambos apartados del art. 24 CE, 6 y 13 CEDH) al denegar inmotivadamente el planteamiento de la cuestión prejudicial planteada por esta parte conforme al art. 267 del Tratado de la UE sin motivación en la supuesta claridad del acto”.</w:t>
      </w:r>
    </w:p>
    <w:p w14:paraId="14D0E1D1" w14:textId="77777777" w:rsidR="009D7677" w:rsidRDefault="009D7677" w:rsidP="009D7677">
      <w:pPr>
        <w:pStyle w:val="TextoNormal"/>
      </w:pPr>
    </w:p>
    <w:p w14:paraId="05510968" w14:textId="77777777" w:rsidR="009D7677" w:rsidRDefault="009D7677" w:rsidP="009D7677">
      <w:pPr>
        <w:pStyle w:val="TextoNormal"/>
      </w:pPr>
      <w:r>
        <w:t xml:space="preserve">a) Como continuación del motivo anterior, se queja el demandante de amparo de que la Sala de lo Contencioso-Administrativo del Alto Tribunal, al dictar la sentencia aquí impugnada, no hubiere planteado tampoco cuestión prejudicial ante el Tribunal de Justicia de la Unión Europea, diciendo en el enunciado del motivo que ha denegado “inmotivadamente el planteamiento de la cuestión”, aunque al explicarlo discrepa en realidad de las razones dadas en la sentencia impugnada para no formular la cuestión, como es la no necesidad de aplicar el Derecho de la Unión Europea. Para justificar la procedencia de dicho </w:t>
      </w:r>
      <w:r>
        <w:lastRenderedPageBreak/>
        <w:t>planteamiento, la demanda vuelve a reproducir de manera literal la queja anterior de su escrito —lo que excusa aquí de su repetición—, diciendo que sí está en juego dicha aplicación, y existe contradicción entre los acuerdos de la Junta Electoral Central y dicho ordenamiento jurídico al haber declarado inelegible al recurrente con base en la sentencia de la Sala de lo Penal del Alto Tribunal que esta dictó sin pedir el levantamiento de su inmunidad; siendo que dicha “parte ha argumentado profusamente la vulneración del Derecho de la Unión en sus escritos”. Dice que a diferencia de la Sala de lo Penal del Tribunal Supremo, que solo tiene que aplicar la STJUE de 19 de diciembre de 2019 para resolver la cuestión concreta suscitada (“pieza separada relativa al permiso de salida del señor Junqueras para realizar los trámites ante la JEC”), la Sala de lo Contencioso-Administrativo debe hacerlo “a todos los asuntos que se le plantean, por lo que resulta irrelevante si el Tribunal de Justicia de la Unión Europea se pronunció únicamente sobre el alcance de la inmunidad del señor Junqueras en relación con su situación de prisión provisional”.</w:t>
      </w:r>
    </w:p>
    <w:p w14:paraId="609A7313" w14:textId="77777777" w:rsidR="009D7677" w:rsidRDefault="009D7677" w:rsidP="009D7677">
      <w:pPr>
        <w:pStyle w:val="TextoNormal"/>
      </w:pPr>
    </w:p>
    <w:p w14:paraId="7D54F819" w14:textId="77777777" w:rsidR="009D7677" w:rsidRDefault="009D7677" w:rsidP="009D7677">
      <w:pPr>
        <w:pStyle w:val="TextoNormal"/>
      </w:pPr>
      <w:r>
        <w:t>b) Según la demanda, la Sala de lo Contencioso-Administrativo, Sección Cuarta, del Tribunal Supremo, para poder dictar su sentencia en el recurso ordinario 5-2020, debió resolver si la Sala de lo Penal del Alto Tribunal tenía que solicitar el suplicatorio al Parlamento Europeo antes de dictar su sentencia en la causa especial 20907-2017; si el no haberlo hecho supuso la vulneración “del Derecho de la Unión y los derechos fundamentales del señor Junqueras […] y, por tanto, también debió plantearse si las decisiones de la Junta Electoral Central han incurrido en dichas vulneraciones”. Y de haber tenido dudas, procedía plantear la cuestión prejudicial. E invoca a su favor la STC 37/2019, de 26 de marzo, sobre la doctrina del “acto claro” con relación a la facultad judicial de denegación del planteamiento de una cuestión prejudicial ante el Tribunal de Justicia de la Unión Europea, no constando motivada dicha denegación por la sentencia impugnada con base en esa doctrina.</w:t>
      </w:r>
    </w:p>
    <w:p w14:paraId="154D94C1" w14:textId="77777777" w:rsidR="009D7677" w:rsidRDefault="009D7677" w:rsidP="009D7677">
      <w:pPr>
        <w:pStyle w:val="TextoNormal"/>
      </w:pPr>
    </w:p>
    <w:p w14:paraId="046F083C" w14:textId="77777777" w:rsidR="009D7677" w:rsidRDefault="009D7677" w:rsidP="009D7677">
      <w:pPr>
        <w:pStyle w:val="TextoNormal"/>
      </w:pPr>
      <w:r>
        <w:t>D) Cuarto motivo: “La sentencia incurre en infracción del derecho a la tutela judicial efectiva (apartados 1 y 2 del art. 24 CE, art. 6 CEDH y art. 13 CEDH) en relación con el derecho al sufragio pasivo (ambos apartados del art. 23 CE y del art. 39 CDFUE y art. 3 del Protocolo adicional CEDH) al concluir que debe primar la aplicación de la sentencia penal sin apreciar que concurría prejudicialidad penal en el momento de la adopción de la decisión de la JEC. La sentencia incurre en incongruencia omisiva y omisión de pronunciamiento y arbitrariedad al no analizar la verdadera causa de pedir de la prejudicialidad penal tal como se planteó por esta parte”.</w:t>
      </w:r>
    </w:p>
    <w:p w14:paraId="1687A1C7" w14:textId="77777777" w:rsidR="009D7677" w:rsidRDefault="009D7677" w:rsidP="009D7677">
      <w:pPr>
        <w:pStyle w:val="TextoNormal"/>
      </w:pPr>
    </w:p>
    <w:p w14:paraId="2BB3232C" w14:textId="77777777" w:rsidR="009D7677" w:rsidRDefault="009D7677" w:rsidP="009D7677">
      <w:pPr>
        <w:pStyle w:val="TextoNormal"/>
      </w:pPr>
      <w:r>
        <w:t xml:space="preserve">a) Sostiene la demanda, conectando con lo alegado en el segundo motivo, que la sentencia de la Sala de lo Contencioso-Administrativo del Alto Tribunal que se recurre, “omite todo análisis o motivación sobre si la decisión de la Junta Electoral Central debía esperar a las resoluciones de la Sala de lo Penal del Tribunal Supremo sobre los efectos de la sentencia del Tribunal de Justicia de la Unión Europea, la cual precisamente identificaba a dicho órgano judicial como el competente para establecer los ‘efectos reflejos’ que sobre la sentencia condenatoria penal debiera tener el pronunciamiento jurisdiccional europeo”. Reitera que la Junta Electoral Central sabía que debía esperar a conocer el criterio de la Sala de lo Penal del Tribunal Supremo, como pusieron de manifiesto los votos particulares al acuerdo 3/2020 de la Junta, impugnado ante la Sala de lo Contencioso-Administrativo del mismo Tribunal. La negativa de la sentencia impugnada a reconocer que concurría un supuesto de prejudicialidad penal “conculca los derechos de mi mandante a la ejecución </w:t>
      </w:r>
      <w:r>
        <w:lastRenderedPageBreak/>
        <w:t>de las resoluciones judiciales en sus propios términos, el derecho a la tutela judicial efectiva, así como el derecho al sufragio pasivo”.</w:t>
      </w:r>
    </w:p>
    <w:p w14:paraId="7DDCA239" w14:textId="77777777" w:rsidR="009D7677" w:rsidRDefault="009D7677" w:rsidP="009D7677">
      <w:pPr>
        <w:pStyle w:val="TextoNormal"/>
      </w:pPr>
    </w:p>
    <w:p w14:paraId="3A2F639C" w14:textId="77777777" w:rsidR="009D7677" w:rsidRDefault="009D7677" w:rsidP="009D7677">
      <w:pPr>
        <w:pStyle w:val="TextoNormal"/>
      </w:pPr>
      <w:r>
        <w:t>Dice luego que la sentencia impugnada “(aunque no se pronuncia al respecto) viene en confirmar que no era preciso que la Junta Electoral Central aguardara a la sentencia del Tribunal de Justicia de la Unión Europea y a la decisión de la Sala de lo Penal del Tribunal Supremo sobre los efectos de la misma para aplicar los efectos de la sentencia penal condenatoria dictada por la Sala de lo Penal del Tribunal Supremo”. Para luego alegar que la sentencia recurrida “omite, incurriendo en incongruencia omisiva y en omisión de pronunciamiento y arbitrariedad, cualquier pronunciamiento al respecto, lo que vulnera el derecho a la tutela judicial efectiva (ambos apartados del art. 24 CE, art. 47 CDFUE y art. 6 CEDH en relación con el art. 13 CEDH). Resulta irrelevante a estos efectos si luego las ulteriores decisiones de la Sala de lo Penal del Tribunal Supremo vinieron en confirmar o no la decisión de la Junta Electoral Central (no se trata de un supuesto de convalidación de derecho administrativo). […] la precipitada decisión de la JEC vulneró la prejudicialidad penal y las competencias de la Sala de lo Penal del Tribunal Supremo, así como lo establecido en la propia sentencia del Tribunal de Justicia de la Unión Europea identificando a quien le correspondía fijar los efectos de la sentencia penal condenatoria dictada. […] En estas circunstancias, la sentencia omite cualquier análisis de cómo opera la prejudicialidad penal en el presente asunto y en los términos planteados. Sencillamente no se pronuncia sobre si la decisión de la JEC debía esperar al pronunciamiento de la Sala de lo Penal del Tribunal Supremo tal como establecía la sentencia del Tribunal de Justicia de la Unión Europea”.</w:t>
      </w:r>
    </w:p>
    <w:p w14:paraId="5F7C2868" w14:textId="77777777" w:rsidR="009D7677" w:rsidRDefault="009D7677" w:rsidP="009D7677">
      <w:pPr>
        <w:pStyle w:val="TextoNormal"/>
      </w:pPr>
    </w:p>
    <w:p w14:paraId="274B044F" w14:textId="77777777" w:rsidR="009D7677" w:rsidRDefault="009D7677" w:rsidP="009D7677">
      <w:pPr>
        <w:pStyle w:val="TextoNormal"/>
      </w:pPr>
      <w:r>
        <w:t>b) Termina diciendo la demanda en este motivo que: “Al no ejecutarse en sus propios términos la sentencia del Tribunal de Justicia de la Unión Europea y no esperar a las resoluciones del Tribunal Supremo para establecer los efectos de la sentencia penal condenatoria a la vista de la STJUE sobre el señor Junqueras, se han vulnerado a mi mandante los derechos a la tutela judicial efectiva en relación con la ejecución de las resoluciones judiciales en sus propios términos (ambos apartados del art. 24 CE, art. 47 CDFUE y arts. 6 y 13 CEDH) en relación con el sufragio pasivo (ambos apartados del art. 23 CE y del art. 39 CDFUE y art. 3 del Protocolo adicional CEDH)”.</w:t>
      </w:r>
    </w:p>
    <w:p w14:paraId="53D1A24A" w14:textId="77777777" w:rsidR="009D7677" w:rsidRDefault="009D7677" w:rsidP="009D7677">
      <w:pPr>
        <w:pStyle w:val="TextoNormal"/>
      </w:pPr>
    </w:p>
    <w:p w14:paraId="16B0884C" w14:textId="77777777" w:rsidR="009D7677" w:rsidRDefault="009D7677" w:rsidP="009D7677">
      <w:pPr>
        <w:pStyle w:val="TextoNormal"/>
      </w:pPr>
      <w:r>
        <w:t>E) Quinto motivo: “La sentencia incurre en incongruencia omisiva, es inmotivada, arbitraria y vulnera el derecho a la tutela judicial efectiva, así como el derecho a la igualdad en la aplicación de la ley y a la no discriminación (arts. 24 y 14 CE, arts. 6 y 14 CEDH y arts. 20 y 47 CDFUE) en relación con el derecho al sufragio pasivo (ambos apartados del art. 23 CE y art. 3 Protocolo adicional CEDH, y ambos apartados art. 39 CDFUE) al haber aportado y acreditado término de comparación de trato discriminatorio en relación con otros eurodiputados en relación con quienes sí se ha solicitado previo suplicatorio (levantamiento de la inmunidad) previo a dictar cualquier resolución judicial respecto a ellos o a quienes no se les ha impedido el acceso al cargo”.</w:t>
      </w:r>
    </w:p>
    <w:p w14:paraId="2428F610" w14:textId="77777777" w:rsidR="009D7677" w:rsidRDefault="009D7677" w:rsidP="009D7677">
      <w:pPr>
        <w:pStyle w:val="TextoNormal"/>
      </w:pPr>
    </w:p>
    <w:p w14:paraId="0705DCB0" w14:textId="77777777" w:rsidR="009D7677" w:rsidRDefault="009D7677" w:rsidP="009D7677">
      <w:pPr>
        <w:pStyle w:val="TextoNormal"/>
      </w:pPr>
      <w:r>
        <w:t xml:space="preserve">La demanda empieza por reconocer, respecto de la alegada vulneración del derecho a la no discriminación, que “difícilmente puede aportarse término de comparación de un eurodiputado sometido de forma exacta a las graves vulneraciones de derechos fundamentales a las que se somete al señor Junqueras. Sencillamente, no existe”. Sin embargo, funda esta queja diciendo que la STJUE de 19 de diciembre de 2019 estableció que el demandante de </w:t>
      </w:r>
      <w:r>
        <w:lastRenderedPageBreak/>
        <w:t>amparo disponía de inmunidad y que por ello debió solicitarse el levantamiento de esta antes de acordarse una medida como la prisión provisional, “lo que ha sido reconocido por los propios autos de la Sala de lo Penal del Tribunal Supremo, lo que no hace sino constatar la vulneración de dicho derecho del señor Junqueras, aunque la Sala de lo Penal del Tribunal Supremo rehúse anudar ninguna consecuencia jurídica a dicha vulneración de derechos”. Dice también que de dicha sentencia resolutoria del asunto C-502/19 resultaba que debía paralizarse cualquier procedimiento donde se discutiera tal inmunidad parlamentaria, y que de haberse permitido al recurrente “acceder al Parlamento Europeo” nadie discutiría sus inmunidades como miembro de la Cámara, “véase el caso de los señores Puigdemont y Comín”.</w:t>
      </w:r>
    </w:p>
    <w:p w14:paraId="3E0CCF5D" w14:textId="77777777" w:rsidR="009D7677" w:rsidRDefault="009D7677" w:rsidP="009D7677">
      <w:pPr>
        <w:pStyle w:val="TextoNormal"/>
      </w:pPr>
    </w:p>
    <w:p w14:paraId="1AB2BCB7" w14:textId="77777777" w:rsidR="009D7677" w:rsidRDefault="009D7677" w:rsidP="009D7677">
      <w:pPr>
        <w:pStyle w:val="TextoNormal"/>
      </w:pPr>
      <w:r>
        <w:t>“Por todo ello, resulta evidente que mediante la actuación de la Junta Electoral Central y del Tribunal Supremo (Salas de lo Penal y de lo Contencioso-Administrativo) no se ha aplicado el Derecho de la Unión Europea al señor Junqueras como se aplica al resto de eurodiputados, especialmente a los sometidos a procesamiento y cuya inmunidad debe ser levantada. Por tanto, el término de comparación (alegado por esta parte) son todos los eurodiputados, especialmente los sometidos a un procedimiento de levantamiento de la inmunidad y, especialmente, los señores Puigdemont y Comín”; y la vulneración de los derechos del recurrente “ha sido declarada por la propia sentencia del Tribunal de Justicia de la Unión Europea y reconocida por el auto de la Sala de lo Penal del Tribunal Supremo de 9 de enero de 2020 (aunque sin anudarle efecto jurídico alguno)”.</w:t>
      </w:r>
    </w:p>
    <w:p w14:paraId="2079F9E6" w14:textId="77777777" w:rsidR="009D7677" w:rsidRDefault="009D7677" w:rsidP="009D7677">
      <w:pPr>
        <w:pStyle w:val="TextoNormal"/>
      </w:pPr>
    </w:p>
    <w:p w14:paraId="4EF2A72A" w14:textId="77777777" w:rsidR="009D7677" w:rsidRDefault="009D7677" w:rsidP="009D7677">
      <w:pPr>
        <w:pStyle w:val="TextoNormal"/>
      </w:pPr>
      <w:r>
        <w:t>El suplico del escrito de demanda solicita que este Tribunal Constitucional dicte sentencia por la que se declare:</w:t>
      </w:r>
    </w:p>
    <w:p w14:paraId="041C6EB5" w14:textId="77777777" w:rsidR="009D7677" w:rsidRDefault="009D7677" w:rsidP="009D7677">
      <w:pPr>
        <w:pStyle w:val="TextoNormal"/>
      </w:pPr>
    </w:p>
    <w:p w14:paraId="669271C6" w14:textId="77777777" w:rsidR="009D7677" w:rsidRDefault="009D7677" w:rsidP="009D7677">
      <w:pPr>
        <w:pStyle w:val="TextoNormal"/>
      </w:pPr>
      <w:r>
        <w:t>“(a) El reconocimiento de la vulneración del derecho fundamental a la tutela judicial efectiva, al proceso con las debidas garantías, al recurso efectivo y al derecho al sufragio pasivo (apartados 1 y 2 del art. 24 CE en relación con los arts. 6 y 13 CEDH y el art. 47 CE, apartados 1 y 2 del art. 23 CE en relación con el art. 3 del Protocolo adicional CEDH), al sufragio pasivo y activo (ambos apartados del art. 23 CE, ambos apartados del art. 39 CDFUE y art. 3 del Protocolo adicional CEDH) en relación también con el derecho a la igualdad y la no discriminación (art. 14 CE, arts. 20 y 21 CDFUE y art. 14 CEDH).</w:t>
      </w:r>
    </w:p>
    <w:p w14:paraId="42EFB121" w14:textId="77777777" w:rsidR="009D7677" w:rsidRDefault="009D7677" w:rsidP="009D7677">
      <w:pPr>
        <w:pStyle w:val="TextoNormal"/>
      </w:pPr>
    </w:p>
    <w:p w14:paraId="27CC8CE1" w14:textId="77777777" w:rsidR="009D7677" w:rsidRDefault="009D7677" w:rsidP="009D7677">
      <w:pPr>
        <w:pStyle w:val="TextoNormal"/>
      </w:pPr>
      <w:r>
        <w:t>(b) La nulidad de las resoluciones judiciales impugnadas y del acuerdo de la Junta Electoral Central impugnado.</w:t>
      </w:r>
    </w:p>
    <w:p w14:paraId="1892C615" w14:textId="77777777" w:rsidR="009D7677" w:rsidRDefault="009D7677" w:rsidP="009D7677">
      <w:pPr>
        <w:pStyle w:val="TextoNormal"/>
      </w:pPr>
    </w:p>
    <w:p w14:paraId="3D20832E" w14:textId="77777777" w:rsidR="009D7677" w:rsidRDefault="009D7677" w:rsidP="009D7677">
      <w:pPr>
        <w:pStyle w:val="TextoNormal"/>
      </w:pPr>
      <w:r>
        <w:t>(c) El restablecimiento del recurrente en la integridad de sus derechos acordando indemnización al señor Junqueras por los daños derivados de la vulneración de sus derechos fundamentales por importe equivalente a las retribuciones de una legislatura de eurodiputado.</w:t>
      </w:r>
    </w:p>
    <w:p w14:paraId="1DC25CBF" w14:textId="77777777" w:rsidR="009D7677" w:rsidRDefault="009D7677" w:rsidP="009D7677">
      <w:pPr>
        <w:pStyle w:val="TextoNormal"/>
      </w:pPr>
    </w:p>
    <w:p w14:paraId="461AC994" w14:textId="210178DD" w:rsidR="009D7677" w:rsidRDefault="009D7677" w:rsidP="009D7677">
      <w:pPr>
        <w:pStyle w:val="TextoNormal"/>
      </w:pPr>
      <w:r>
        <w:t>(d) Subsidiariamente, la nulidad de las resoluciones judiciales impugnadas y la retroacción del procedimiento para proceder al planteamiento de cuestión prejudicial ante el Tribunal de Justicia de la Unión Europea en los términos planteados por esta parte ante el Tribunal Supremo en su escrito de formalización de la demanda”.</w:t>
      </w:r>
    </w:p>
    <w:p w14:paraId="526E4EAA" w14:textId="77777777" w:rsidR="009D7677" w:rsidRDefault="009D7677" w:rsidP="009D7677">
      <w:pPr>
        <w:pStyle w:val="TextoNormal"/>
      </w:pPr>
    </w:p>
    <w:p w14:paraId="00DE37EA" w14:textId="5A7D3482" w:rsidR="009D7677" w:rsidRDefault="009D7677" w:rsidP="009D7677">
      <w:pPr>
        <w:pStyle w:val="TextoNormal"/>
      </w:pPr>
      <w:r w:rsidRPr="009D7677">
        <w:rPr>
          <w:rStyle w:val="NumeroAFNegritaCaracter"/>
        </w:rPr>
        <w:t>4</w:t>
      </w:r>
      <w:r>
        <w:t xml:space="preserve">. Mediante providencia de la Sala Primera de este Tribunal Constitucional, de 21 de marzo de 2022, se acordó “proponer la avocación al Pleno del presente recurso de amparo, </w:t>
      </w:r>
      <w:r>
        <w:lastRenderedPageBreak/>
        <w:t>de conformidad con lo dispuesto en el art. 10.1 n) de la Ley Orgánica del Tribunal Constitucional (LOTC)”.</w:t>
      </w:r>
    </w:p>
    <w:p w14:paraId="0DF8067E" w14:textId="77777777" w:rsidR="009D7677" w:rsidRDefault="009D7677" w:rsidP="009D7677">
      <w:pPr>
        <w:pStyle w:val="TextoNormal"/>
      </w:pPr>
    </w:p>
    <w:p w14:paraId="70D1CA85" w14:textId="77777777" w:rsidR="009D7677" w:rsidRDefault="009D7677" w:rsidP="009D7677">
      <w:pPr>
        <w:pStyle w:val="TextoNormal"/>
      </w:pPr>
      <w:r w:rsidRPr="009D7677">
        <w:rPr>
          <w:rStyle w:val="NumeroAFNegritaCaracter"/>
        </w:rPr>
        <w:t>5</w:t>
      </w:r>
      <w:r>
        <w:t>. El 12 de mayo de 2022 el Pleno de este tribunal dictó providencia del siguiente tenor literal:</w:t>
      </w:r>
    </w:p>
    <w:p w14:paraId="0547DB73" w14:textId="77777777" w:rsidR="009D7677" w:rsidRDefault="009D7677" w:rsidP="009D7677">
      <w:pPr>
        <w:pStyle w:val="TextoNormal"/>
      </w:pPr>
    </w:p>
    <w:p w14:paraId="72BF2A8C" w14:textId="77777777" w:rsidR="009D7677" w:rsidRDefault="009D7677" w:rsidP="009D7677">
      <w:pPr>
        <w:pStyle w:val="TextoNormal"/>
      </w:pPr>
      <w:r>
        <w:t>“El Pleno, en su reunión de esta fecha y conforme establece el artículo 10.1 n) de la Ley Orgánica del Tribunal, a propuesta de la Sala, acuerda recabar para sí el conocimiento del recurso de amparo que se tramita en la Sala Primera con el número 5301-2021, interpuesto por don Oriol Junqueras i Vies. Y ha acordado admitirlo a trámite, apreciando que concurre en el mismo una especial trascendencia constitucional (art. 50.1 LOTC) porque el recurso plantea un problema o afecta a una faceta de un derecho fundamental sobre el que no hay doctrina de este tribunal [STC 155/2009, de 25 de junio, FJ 2 a)] y porque el asunto suscitado trasciende del caso concreto porque pudiera tener unas consecuencias políticas generales [STC 155/2009, FJ 2 g)].</w:t>
      </w:r>
    </w:p>
    <w:p w14:paraId="0DBE4EDC" w14:textId="77777777" w:rsidR="009D7677" w:rsidRDefault="009D7677" w:rsidP="009D7677">
      <w:pPr>
        <w:pStyle w:val="TextoNormal"/>
      </w:pPr>
    </w:p>
    <w:p w14:paraId="34AA167B" w14:textId="4546BADD" w:rsidR="009D7677" w:rsidRDefault="009D7677" w:rsidP="009D7677">
      <w:pPr>
        <w:pStyle w:val="TextoNormal"/>
      </w:pPr>
      <w:r>
        <w:t>Por ello, en aplicación de lo dispuesto en el artículo 51 de la Ley Orgánica de este Tribunal, diríjase atenta comunicación a la Sección Cuarta de la Sala de lo Contencioso-Administrativo del Tribunal Supremo, a fin de que, en plazo que no exceda de diez días, remita certificación o fotocopia adverada de las actuaciones correspondientes al recurso ordinario núm. 5-2020, debiendo previamente emplazar a quienes hubieran sido parte en el procedimiento, excepto la parte recurrente en amparo, para que en el plazo de diez días puedan comparecer, si lo desean, en el recurso de amparo”.</w:t>
      </w:r>
    </w:p>
    <w:p w14:paraId="2E778A6C" w14:textId="77777777" w:rsidR="009D7677" w:rsidRDefault="009D7677" w:rsidP="009D7677">
      <w:pPr>
        <w:pStyle w:val="TextoNormal"/>
      </w:pPr>
    </w:p>
    <w:p w14:paraId="3EC7D7F5" w14:textId="77777777" w:rsidR="009D7677" w:rsidRDefault="009D7677" w:rsidP="009D7677">
      <w:pPr>
        <w:pStyle w:val="TextoNormal"/>
      </w:pPr>
      <w:r w:rsidRPr="009D7677">
        <w:rPr>
          <w:rStyle w:val="NumeroAFNegritaCaracter"/>
        </w:rPr>
        <w:t>6</w:t>
      </w:r>
      <w:r>
        <w:t>. La procuradora de los tribunales doña María del Pilar Hidalgo López presentó escrito en el registro de este tribunal el 26 de mayo de 2022, actuando en representación del partido político Vox, bajo la defensa de la abogada doña Marta Castro Fuertes, por el que solicitó se acordase su personación en el presente recurso de amparo.</w:t>
      </w:r>
    </w:p>
    <w:p w14:paraId="167EC024" w14:textId="77777777" w:rsidR="009D7677" w:rsidRDefault="009D7677" w:rsidP="009D7677">
      <w:pPr>
        <w:pStyle w:val="TextoNormal"/>
      </w:pPr>
    </w:p>
    <w:p w14:paraId="0FDA18D9" w14:textId="77777777" w:rsidR="009D7677" w:rsidRDefault="009D7677" w:rsidP="009D7677">
      <w:pPr>
        <w:pStyle w:val="TextoNormal"/>
      </w:pPr>
      <w:r>
        <w:t>Asimismo, el procurador don Manuel Sánchez-Puelles y González-Carvajal presentó escrito en el registro de este tribunal el 30 de mayo de 2022, manifestando que se personaba en nombre y representación del Partido Popular, bajo la defensa del abogado don Alexis Godoy Garda, por lo que solicitó se le tuviese por comparecido y personado en este recurso de amparo, entendiéndose con dicho procurador las sucesivas diligencias.</w:t>
      </w:r>
    </w:p>
    <w:p w14:paraId="10B66242" w14:textId="77777777" w:rsidR="009D7677" w:rsidRDefault="009D7677" w:rsidP="009D7677">
      <w:pPr>
        <w:pStyle w:val="TextoNormal"/>
      </w:pPr>
    </w:p>
    <w:p w14:paraId="723CFCC9" w14:textId="2F3F244B" w:rsidR="009D7677" w:rsidRDefault="009D7677" w:rsidP="009D7677">
      <w:pPr>
        <w:pStyle w:val="TextoNormal"/>
      </w:pPr>
      <w:r>
        <w:t>Finalmente, por escrito registrado en este tribunal el 6 de junio de 2022 el letrado de las Cortes Generales y de la Junta Electoral Central, actuando en nombre de esta última, suplicó se le tuviera por personado en la representación que legalmente ostenta en el presente recurso de amparo. Acompañó copia del acuerdo adoptado por la Junta Electoral Central el 2 de junio de 2022, a efecto de personarse en este recurso de amparo y bajo la representación indicada.</w:t>
      </w:r>
    </w:p>
    <w:p w14:paraId="17310A60" w14:textId="77777777" w:rsidR="009D7677" w:rsidRDefault="009D7677" w:rsidP="009D7677">
      <w:pPr>
        <w:pStyle w:val="TextoNormal"/>
      </w:pPr>
    </w:p>
    <w:p w14:paraId="0EA44C4B" w14:textId="77777777" w:rsidR="009D7677" w:rsidRDefault="009D7677" w:rsidP="009D7677">
      <w:pPr>
        <w:pStyle w:val="TextoNormal"/>
      </w:pPr>
      <w:r w:rsidRPr="009D7677">
        <w:rPr>
          <w:rStyle w:val="NumeroAFNegritaCaracter"/>
        </w:rPr>
        <w:t>7</w:t>
      </w:r>
      <w:r>
        <w:t>. El 7 de junio de 2022, la Secretaría de Justicia del Pleno de este tribunal dictó diligencia de ordenación con este contenido:</w:t>
      </w:r>
    </w:p>
    <w:p w14:paraId="7FA1E65C" w14:textId="77777777" w:rsidR="009D7677" w:rsidRDefault="009D7677" w:rsidP="009D7677">
      <w:pPr>
        <w:pStyle w:val="TextoNormal"/>
      </w:pPr>
    </w:p>
    <w:p w14:paraId="24CADE15" w14:textId="77777777" w:rsidR="009D7677" w:rsidRDefault="009D7677" w:rsidP="009D7677">
      <w:pPr>
        <w:pStyle w:val="TextoNormal"/>
      </w:pPr>
      <w:r>
        <w:t>“En el asunto reseñado se tiene por recibido el testimonio de las actuaciones solicitado de la Sección Cuarta de la Sala de lo Contencioso-Administrativo del Tribunal Supremo.</w:t>
      </w:r>
    </w:p>
    <w:p w14:paraId="19223359" w14:textId="77777777" w:rsidR="009D7677" w:rsidRDefault="009D7677" w:rsidP="009D7677">
      <w:pPr>
        <w:pStyle w:val="TextoNormal"/>
      </w:pPr>
    </w:p>
    <w:p w14:paraId="499B8C85" w14:textId="77777777" w:rsidR="009D7677" w:rsidRDefault="009D7677" w:rsidP="009D7677">
      <w:pPr>
        <w:pStyle w:val="TextoNormal"/>
      </w:pPr>
      <w:r>
        <w:t>Así mismo, se tiene por personados y parte en el procedimiento a la procuradora doña María del Pilar Hidalgo López, en representación del partido político Vox, al procurador don Manuel Sánchez-Puelles y González-Carvajal, en representación del Partido Popular, y al letrado de las Cortes Generales y de la Junta Electoral Central, en representación de la citada Junta Electoral Central.</w:t>
      </w:r>
    </w:p>
    <w:p w14:paraId="6A3C57C9" w14:textId="77777777" w:rsidR="009D7677" w:rsidRDefault="009D7677" w:rsidP="009D7677">
      <w:pPr>
        <w:pStyle w:val="TextoNormal"/>
      </w:pPr>
    </w:p>
    <w:p w14:paraId="304E028F" w14:textId="77777777" w:rsidR="009D7677" w:rsidRDefault="009D7677" w:rsidP="009D7677">
      <w:pPr>
        <w:pStyle w:val="TextoNormal"/>
      </w:pPr>
      <w:r>
        <w:t>A tenor de lo dispuesto en el art. 52 de la Ley Orgánica de este Tribunal, dese vista de todas las actuaciones del presente recurso de amparo, por un plazo común de veinte días, al Ministerio Fiscal y a las partes personadas, para que dentro de dicho término puedan presentar las alegaciones que a su derecho convenga”.</w:t>
      </w:r>
    </w:p>
    <w:p w14:paraId="106F4DB9" w14:textId="77777777" w:rsidR="009D7677" w:rsidRDefault="009D7677" w:rsidP="009D7677">
      <w:pPr>
        <w:pStyle w:val="TextoNormal"/>
      </w:pPr>
    </w:p>
    <w:p w14:paraId="29A6D936" w14:textId="77777777" w:rsidR="009D7677" w:rsidRDefault="009D7677" w:rsidP="009D7677">
      <w:pPr>
        <w:pStyle w:val="TextoNormal"/>
      </w:pPr>
      <w:r>
        <w:t>Notificada esta resolución, el representante procesal del aquí demandante de amparo presentó escrito registrado el 14 de junio de 2022, por el que interesó “que se facilite copia o se dé traslado del contenido de las actuaciones remitido por el Tribunal Supremo en el presente recurso de amparo o, subsidiariamente, se otorgue cita previa a este procurador para que pueda instruirse en la sede del Tribunal Constitucional del contenido del testimonio de las actuaciones remitidas por el Tribunal Supremo en el presente procedimiento con posterioridad al 17 de junio”, y “que una vez se haya tenido acceso al testimonio completo de las actuaciones, y para evitar la indefensión de esta parte, se otorgue nuevo plazo completo de alegaciones a esta parte igual al concedido al resto de comparecidos”.</w:t>
      </w:r>
    </w:p>
    <w:p w14:paraId="57114409" w14:textId="77777777" w:rsidR="009D7677" w:rsidRDefault="009D7677" w:rsidP="009D7677">
      <w:pPr>
        <w:pStyle w:val="TextoNormal"/>
      </w:pPr>
    </w:p>
    <w:p w14:paraId="5B400D89" w14:textId="75591F3C" w:rsidR="009D7677" w:rsidRDefault="009D7677" w:rsidP="009D7677">
      <w:pPr>
        <w:pStyle w:val="TextoNormal"/>
      </w:pPr>
      <w:r>
        <w:t>La Secretaría de Justicia del Pleno de este tribunal proveyó a lo solicitado en virtud de diligencia de ordenación de 15 de junio de 2022, indicando lo siguiente: “En el asunto de referencia, se tiene por presentado escrito del procurador señor Martínez Benítez, en representación del señor Oriol Junqueras Vies, y, visto su contenido, se acuerda estar a lo resuelto en la diligencia de ordenación de siete de junio de dos mil veintidós, tanto respecto del trámite de vista de actuaciones (sin necesidad de cita previa para acceder a las mismas) como respecto del plazo que en dicha resolución se acordó”.</w:t>
      </w:r>
    </w:p>
    <w:p w14:paraId="45B16DB6" w14:textId="77777777" w:rsidR="009D7677" w:rsidRDefault="009D7677" w:rsidP="009D7677">
      <w:pPr>
        <w:pStyle w:val="TextoNormal"/>
      </w:pPr>
    </w:p>
    <w:p w14:paraId="024360E8" w14:textId="77777777" w:rsidR="009D7677" w:rsidRDefault="009D7677" w:rsidP="009D7677">
      <w:pPr>
        <w:pStyle w:val="TextoNormal"/>
      </w:pPr>
      <w:r w:rsidRPr="009D7677">
        <w:rPr>
          <w:rStyle w:val="NumeroAFNegritaCaracter"/>
        </w:rPr>
        <w:t>8</w:t>
      </w:r>
      <w:r>
        <w:t>. El representante procesal del Partido Popular presentó su escrito de alegaciones el 5 de julio de 2022, por el que interesó que este tribunal dictase sentencia desestimatoria del recurso.</w:t>
      </w:r>
    </w:p>
    <w:p w14:paraId="2C9356BF" w14:textId="77777777" w:rsidR="009D7677" w:rsidRDefault="009D7677" w:rsidP="009D7677">
      <w:pPr>
        <w:pStyle w:val="TextoNormal"/>
      </w:pPr>
    </w:p>
    <w:p w14:paraId="39C16DB6" w14:textId="77777777" w:rsidR="009D7677" w:rsidRDefault="009D7677" w:rsidP="009D7677">
      <w:pPr>
        <w:pStyle w:val="TextoNormal"/>
      </w:pPr>
      <w:r>
        <w:t xml:space="preserve">a) Niega en primer lugar la entidad personada la queja de la demanda por vulneración del derecho a la igualdad ante la ley al haber aceptado la Sala de lo Contencioso-Administrativo del Tribunal Supremo su legitimación como parte recurrida en el recurso ordinario núm. 5-2020. Defiende que la entidad ostentaba un interés legítimo en la controversia, conforme al art. 24.1 CE y a la doctrina constitucional (cita las SSTC 97/1991, de 9 de mayo, y 38/2010, de 19 de julio), la cual resulta de aplicación a los partidos políticos. Cita luego los arts. 6 CE y 19 LJCA, así como la STC 65/2023, de 6 de junio (recurso de amparo 4577-2019), que reconoce precisamente legitimación a dicho partido político para promover un recurso de amparo. Niega además que su participación en el proceso </w:t>
      </w:r>
      <w:r w:rsidRPr="009D7677">
        <w:rPr>
          <w:i/>
        </w:rPr>
        <w:t>a quo</w:t>
      </w:r>
      <w:r>
        <w:t xml:space="preserve"> pudiera minorar o restringir las posibilidades de defensa del recurrente, o que se quebrantase el principio de igualdad de armas, derivado del derecho a la tutela judicial efectiva (art. 24.1 CE) y del derecho a un proceso con todas las garantías (art. 24.2 CE), con cita de las SSTC 186/1990, de 15 de noviembre; 125/1995, de 24 de julio, y 217/2000, de 18 de septiembre.</w:t>
      </w:r>
    </w:p>
    <w:p w14:paraId="64469CBD" w14:textId="77777777" w:rsidR="009D7677" w:rsidRDefault="009D7677" w:rsidP="009D7677">
      <w:pPr>
        <w:pStyle w:val="TextoNormal"/>
      </w:pPr>
    </w:p>
    <w:p w14:paraId="78D60460" w14:textId="77777777" w:rsidR="009D7677" w:rsidRDefault="009D7677" w:rsidP="009D7677">
      <w:pPr>
        <w:pStyle w:val="TextoNormal"/>
      </w:pPr>
      <w:r>
        <w:t>b) Respecto de las quejas de la demanda de amparo relativas a que la sentencia de la Sección Cuarta, Sala de lo Contencioso-Administrativo, del Tribunal Supremo incurre en incongruencia omisiva, es inmotivada y arbitraria, vulnerando el derecho a la tutela judicial efectiva del recurrente, dice la entidad personada que, no resultando objeto del recurso contencioso-administrativo la sentencia de la Sala de lo Penal del Alto Tribunal que condenó al aquí demandante de amparo, sino unos acuerdos de la Junta Electoral Central, es correcto el razonamiento de la sentencia impugnada de no revisar aquella sentencia penal. Recuerda a renglón seguido la doctrina constitucional que no exige para tener por correctamente motivada una resolución judicial (art. 24.1 CE), que se dé respuesta a todos los aspectos y perspectivas planteados por las partes, sino solo que exponga los criterios jurídicos esenciales de la decisión, incluso es posible una respuesta tácita siempre que del conjunto de los razonamientos de la resolución pueda deducirse que el órgano judicial ha contestado a la cuestión planteada. Cita al respecto las SSTC 187/1998, de 28 de septiembre; 138/2007, de 4 de junio, FJ 2; 165/2008, de 15 de diciembre, FJ 2, y 141/2009, de 15 de junio.</w:t>
      </w:r>
    </w:p>
    <w:p w14:paraId="5FA103CF" w14:textId="77777777" w:rsidR="009D7677" w:rsidRDefault="009D7677" w:rsidP="009D7677">
      <w:pPr>
        <w:pStyle w:val="TextoNormal"/>
      </w:pPr>
    </w:p>
    <w:p w14:paraId="428B745A" w14:textId="77777777" w:rsidR="009D7677" w:rsidRDefault="009D7677" w:rsidP="009D7677">
      <w:pPr>
        <w:pStyle w:val="TextoNormal"/>
      </w:pPr>
      <w:r>
        <w:t>c) Discrepa asimismo el escrito de alegaciones de la apreciación de la demanda referida a que la sentencia que se recurre denegó de manera inmotivada la cuestión prejudicial penal interesada, dado el distinto contenido y efectos de los autos de la Sala de lo Penal del Tribunal Supremo de 9 de enero de 2020, que no afectaban a la sentencia de condena penal, y el acuerdo de la Junta Electoral Central impugnado en el recurso contencioso-administrativo núm. 5-2020, que declara la inelegibilidad sobrevenida para el cargo de diputado al Parlamento Europeo del recurrente, con base en su condena a pena privativa de libertad y en aplicación de los arts. 6.2 a) y 6.4 LOREG, acogiendo así las peticiones formuladas por la entidad aquí personada y por el partido político Vox ante la Junta. Dicho acuerdo no podía entrar a valorar el acierto o desacierto de la sentencia penal, como tampoco la sentencia de la Sala de lo Contencioso-Administrativo aquí impugnada, pues sería contrario al efecto de cosa juzgada de la referida STS 459/2019, de 14 de octubre.</w:t>
      </w:r>
    </w:p>
    <w:p w14:paraId="1A2327C4" w14:textId="77777777" w:rsidR="009D7677" w:rsidRDefault="009D7677" w:rsidP="009D7677">
      <w:pPr>
        <w:pStyle w:val="TextoNormal"/>
      </w:pPr>
    </w:p>
    <w:p w14:paraId="12FEC52C" w14:textId="77777777" w:rsidR="009D7677" w:rsidRDefault="009D7677" w:rsidP="009D7677">
      <w:pPr>
        <w:pStyle w:val="TextoNormal"/>
      </w:pPr>
      <w:r>
        <w:t>d) Sobre la infracción alegada en la demanda del principio de cooperación leal con lo resuelto por el Tribunal de Justicia de la Unión Europea en la sentencia de 19 de diciembre de 2019, no entiende el Partido Popular que se haya inobservado tal principio, pues no se puede exigir que la resolución del Tribunal de Justicia se aplique a unas circunstancias de hecho (pena de prisión al recurrente, al haber sido condenado por sentencia) distintas de las que se valoraron por aquella (medida cautelar de prisión provisional), que es lo que a su vez determina la aplicación del art. 6 LOREG. El acuerdo de la Junta Electoral Central de 3 de enero de 2020, añade el escrito, adoptó su acuerdo “con total respeto del contenido de la sentencia del Tribunal de Justicia de la Unión Europea”.</w:t>
      </w:r>
    </w:p>
    <w:p w14:paraId="49D39704" w14:textId="77777777" w:rsidR="009D7677" w:rsidRDefault="009D7677" w:rsidP="009D7677">
      <w:pPr>
        <w:pStyle w:val="TextoNormal"/>
      </w:pPr>
    </w:p>
    <w:p w14:paraId="77F24BFB" w14:textId="256D8AD4" w:rsidR="009D7677" w:rsidRDefault="009D7677" w:rsidP="009D7677">
      <w:pPr>
        <w:pStyle w:val="TextoNormal"/>
      </w:pPr>
      <w:r>
        <w:t>e) Rechaza después la entidad personada la queja de lesión del derecho a la igualdad y a la no discriminación de la demanda de amparo. Con cita de la STC 149/2017, de 18 de diciembre, acerca del contenido esencial de este doble derecho fundamental sustantivo, sostiene la entidad personada que no se acredita una discriminación del recurrente respecto del resto de los parlamentarios, “toda vez que las circunstancias del mismo son bien distintas de las de todos aquellos electos que, frente a lo que acaece en el caso del recurrente, no fueron condenados por sentencia firme a una pena privativa de libertad”, razón por la cual estos no perdieron su condición de elegibles.</w:t>
      </w:r>
    </w:p>
    <w:p w14:paraId="4D4AF650" w14:textId="77777777" w:rsidR="009D7677" w:rsidRDefault="009D7677" w:rsidP="009D7677">
      <w:pPr>
        <w:pStyle w:val="TextoNormal"/>
      </w:pPr>
    </w:p>
    <w:p w14:paraId="058367EA" w14:textId="77777777" w:rsidR="009D7677" w:rsidRDefault="009D7677" w:rsidP="009D7677">
      <w:pPr>
        <w:pStyle w:val="TextoNormal"/>
      </w:pPr>
      <w:r w:rsidRPr="009D7677">
        <w:rPr>
          <w:rStyle w:val="NumeroAFNegritaCaracter"/>
        </w:rPr>
        <w:t>9</w:t>
      </w:r>
      <w:r>
        <w:t>. El letrado de las Cortes Generales y de la Junta Electoral Central, actuando en representación y defensa de dicha Junta, registró su escrito de alegaciones el 6 de julio de 2022 por el que interesó la desestimación del presente recurso de amparo.</w:t>
      </w:r>
    </w:p>
    <w:p w14:paraId="41A906A7" w14:textId="77777777" w:rsidR="009D7677" w:rsidRDefault="009D7677" w:rsidP="009D7677">
      <w:pPr>
        <w:pStyle w:val="TextoNormal"/>
      </w:pPr>
    </w:p>
    <w:p w14:paraId="65DBA4D4" w14:textId="77777777" w:rsidR="009D7677" w:rsidRDefault="009D7677" w:rsidP="009D7677">
      <w:pPr>
        <w:pStyle w:val="TextoNormal"/>
      </w:pPr>
      <w:r>
        <w:t>a) Comienza su escrito exponiendo unas “[c]onsideraciones generales sobre el objeto del recurso”, con relación a los siguientes aspectos: (i) afirma que en la demanda de amparo se impugna la sentencia de la Sala de lo Contencioso-Administrativo del Tribunal Supremo que confirmó la legalidad de dos acuerdos de la Junta Electoral Central, de 3 de enero y de 23 de enero de 2020 —cuyo contenido recuerda—, precisando que “[a]unque el recurso se refiere a ambas resoluciones [de la Junta], en realidad la demanda se centra en la primera de ellas, ya que la segunda se cuestiona únicamente como consecuencia de la primera. Por eso toda nuestra argumentación irá dedicada al primero de los acuerdos recurridos”. Añade que si bien aquella sentencia “constituye el objeto formal del amparo […], buena parte de los argumentos de la demanda se refieren a las decisiones de la administración electoral”; (ii) se advierte que “los principales argumentos de la demanda se centran […] en cuestionar la legalidad de resoluciones judiciales que no constituyeron el objeto del proceso”, en concreto la sentencia 459/2019 de la Sala de lo Penal del Tribunal Supremo, y los dos autos de esta última, de 9 de enero de 2020. Y adelanta en este punto que la demanda confunde el contenido propio del derecho fundamental a la tutela judicial efectiva (art. 24.1 CE), que no es el de atender a sus pretensiones y argumentos.</w:t>
      </w:r>
    </w:p>
    <w:p w14:paraId="17EE86C4" w14:textId="77777777" w:rsidR="009D7677" w:rsidRDefault="009D7677" w:rsidP="009D7677">
      <w:pPr>
        <w:pStyle w:val="TextoNormal"/>
      </w:pPr>
    </w:p>
    <w:p w14:paraId="5E0A6A0B" w14:textId="77777777" w:rsidR="009D7677" w:rsidRDefault="009D7677" w:rsidP="009D7677">
      <w:pPr>
        <w:pStyle w:val="TextoNormal"/>
      </w:pPr>
      <w:r>
        <w:t>b) Aborda en segundo lugar el escrito de alegaciones, la “adecuación a nuestro ordenamiento jurídico de las resoluciones de la Junta Electoral Central discutidas en este proceso”: tras la cita del art. 6.2 LOREG y pasajes literales del acuerdo de 3 de enero de 2020 de la Junta, se afirma que esta se limitó a aplicar aquel precepto teniendo en cuenta que la sentencia de la Sala de lo Penal del Tribunal Supremo 459/2019, de 14 de octubre, condenó al recurrente a una pena de trece años de privación de libertad, la cual ya era firme cuando se dictó el mentado acuerdo de 3 de enero de 2020, por lo que se declaró la inelegibilidad sobrevenida y consiguiente pérdida del escaño al Parlamento Europeo del recurrente, proclamándose al siguiente candidato en la lista de la formación política por la que concurrió a esas elecciones. La parte demandante de amparo confunde “la pena de inhabilitación absoluta, prevista en el apartado b) del citado artículo 6.2 de la LOREG, con la de privación de libertad, del apartado a) de ese precepto, que fue la que aplicó la administración electoral en la resolución discutida”; de modo que carecen de toda trascendencia las manifestaciones de la demanda sobre lo declarado por el auto de la Sala de lo Penal del Tribunal Supremo de 9 de enero de 2020, que se refería por su lado a la pena de inhabilitación absoluta.</w:t>
      </w:r>
    </w:p>
    <w:p w14:paraId="377469F8" w14:textId="77777777" w:rsidR="009D7677" w:rsidRDefault="009D7677" w:rsidP="009D7677">
      <w:pPr>
        <w:pStyle w:val="TextoNormal"/>
      </w:pPr>
    </w:p>
    <w:p w14:paraId="423764E5" w14:textId="77777777" w:rsidR="009D7677" w:rsidRDefault="009D7677" w:rsidP="009D7677">
      <w:pPr>
        <w:pStyle w:val="TextoNormal"/>
      </w:pPr>
      <w:r>
        <w:t xml:space="preserve">c) En tercer término, el escrito del letrado de la Junta Electoral Central rechaza las quejas de la demanda de amparo sobre la “vulneración de los derechos a la tutela judicial efectiva y a la igualdad en la aplicación de la ley y a la no discriminación por la aceptación de la Sala de lo Contencioso-Administrativo del Tribunal Supremo de la legitimación pasiva de las formaciones políticas Partido Popular y Vox”: afirma que la demanda no explica por qué dicho reconocimiento de legitimación ha producido una lesión del derecho fundamental del recurrente del art. 24.1 CE, o al principio de igualdad de armas y de contradicción de las partes en el proceso, pues este pudo defenderse de lo alegado por ambos partidos políticos. En todo caso, la sentencia que recurre explicó de manera motivada por </w:t>
      </w:r>
      <w:r>
        <w:lastRenderedPageBreak/>
        <w:t>qué ambos tenían legitimación pasiva, con cita de jurisprudencia del propio Tribunal Supremo en la materia; sin olvidar la “necesaria flexibilidad que la cuestión de la legitimación tiene en materia electoral, en la medida en que supone una manifestación del ejercicio del derecho fundamental de participación política de los ciudadanos, tanto en su condición de electores como de elegibles”. Cita luego doctrina constitucional sobre la interpretación del concepto de legitimación (STC 15/2012, FJ 3).</w:t>
      </w:r>
    </w:p>
    <w:p w14:paraId="7C2E8D31" w14:textId="77777777" w:rsidR="009D7677" w:rsidRDefault="009D7677" w:rsidP="009D7677">
      <w:pPr>
        <w:pStyle w:val="TextoNormal"/>
      </w:pPr>
    </w:p>
    <w:p w14:paraId="4A9E8189" w14:textId="77777777" w:rsidR="009D7677" w:rsidRDefault="009D7677" w:rsidP="009D7677">
      <w:pPr>
        <w:pStyle w:val="TextoNormal"/>
      </w:pPr>
      <w:r>
        <w:t>d) Prosigue el escrito de alegaciones negando la “infracción del derecho a la tutela judicial efectiva y otros derechos conexos por la vulneración de la primacía del Derecho de la Unión Europea y del deber de cooperación leal ante la imposibilidad de la jurisdicción contencioso-administrativa de cuestionar una sentencia penal en la que se basó la resolución de la Junta Electoral Central”. Atendiendo al contenido de la STS 459/2019, de 14 de octubre, de la Sala de lo Penal del Tribunal Supremo que condenó al recurrente por dos delitos, los autos de esta misma Sala de 9 de enero de 2020 y el acuerdo de la Junta Electoral Central de 3 de enero de 2020 que aplicó lo dispuesto en el art. 6.2 a) LOREG ante la firmeza de la pena de prisión, el escrito rechaza que existiera la situación de prejudicialidad penal invocada por el recurrente, como correctamente entendió la sentencia de la Sala de lo Contencioso-Administrativo, Sección Cuarta, del Alto Tribunal, aquí impugnada; resultando “insólito” y prohibido por el ordenamiento jurídico (art. 10.2 LOPJ), que se pretendiera que esta última revisara aquella sentencia penal firme. Tampoco aprecia el letrado de la Junta que se haya vulnerado el principio de cooperación leal con la STJUE de 19 de diciembre de 2019 que esgrime la demanda, teniendo en cuenta que esta se pronunció sobre la inmunidad del recurrente como miembro del Parlamento Europeo ante la imposición de una medida cautelar de prisión provisional, que ya no estaba en vigor tras la sentencia 459/2019 que le condenó y que ya era firme, pasando a ser una pena privativa de libertad.</w:t>
      </w:r>
    </w:p>
    <w:p w14:paraId="45F8D13B" w14:textId="77777777" w:rsidR="009D7677" w:rsidRDefault="009D7677" w:rsidP="009D7677">
      <w:pPr>
        <w:pStyle w:val="TextoNormal"/>
      </w:pPr>
    </w:p>
    <w:p w14:paraId="5FFB9804" w14:textId="77777777" w:rsidR="009D7677" w:rsidRDefault="009D7677" w:rsidP="009D7677">
      <w:pPr>
        <w:pStyle w:val="TextoNormal"/>
      </w:pPr>
      <w:r>
        <w:t xml:space="preserve">e) Por lo que atañe a la vulneración del derecho fundamental a la tutela judicial efectiva por haber denegado la sentencia de la Sala de lo Contencioso-Administrativo del Tribunal Supremo el planteamiento de una cuestión prejudicial ante el Tribunal de Justicia de la Unión Europea, niega el escrito de alegaciones su concurrencia con aplicación de la STJUE de 6 de octubre de 1982, asunto C-283/81, </w:t>
      </w:r>
      <w:r w:rsidRPr="009D7677">
        <w:rPr>
          <w:i/>
        </w:rPr>
        <w:t>Cilfit</w:t>
      </w:r>
      <w:r>
        <w:t xml:space="preserve">, pues el objeto de la cuestión prejudicial solicitado por el recurrente versaría sobre la sentencia de la Sala de lo Penal del Tribunal Supremo, que no es objeto del proceso </w:t>
      </w:r>
      <w:r w:rsidRPr="009D7677">
        <w:rPr>
          <w:i/>
        </w:rPr>
        <w:t>a quo</w:t>
      </w:r>
      <w:r>
        <w:t>; con lo que vuelve a reincidirse por dicha parte procesal en la línea argumental principal que ya se ha rechazado. La sentencia impugnada motiva adecuadamente la negativa a plantear la cuestión y la demanda no explica en qué medida la aplicación de la doctrina de la STC 37/2019 resulta en favor de su posición.</w:t>
      </w:r>
    </w:p>
    <w:p w14:paraId="71C0CE90" w14:textId="77777777" w:rsidR="009D7677" w:rsidRDefault="009D7677" w:rsidP="009D7677">
      <w:pPr>
        <w:pStyle w:val="TextoNormal"/>
      </w:pPr>
    </w:p>
    <w:p w14:paraId="36DF37A8" w14:textId="0A874F0F" w:rsidR="009D7677" w:rsidRDefault="009D7677" w:rsidP="009D7677">
      <w:pPr>
        <w:pStyle w:val="TextoNormal"/>
      </w:pPr>
      <w:r>
        <w:t>f) Finalmente, se refiere el letrado de la Junta Electoral Central a la queja de la demanda por “violación del derecho a la tutela judicial efectiva y al derecho de igualdad por el supuesto trato discriminatorio dado a otros eurodiputados”. Advierte que de nuevo la impugnación se centra en la sentencia de la Sala de lo Penal del Tribunal Supremo, y a la situación de los señores Puigdemont y Comín, cuya situación procesal no es la misma que la del recurrente de este amparo pues al no haber podido ser juzgados no se les ha aplicado el art. 6.2 a) LOREG, como sí a él. Tampoco hay lesión del derecho a la tutela judicial efectiva.</w:t>
      </w:r>
    </w:p>
    <w:p w14:paraId="43D7D2B9" w14:textId="77777777" w:rsidR="009D7677" w:rsidRDefault="009D7677" w:rsidP="009D7677">
      <w:pPr>
        <w:pStyle w:val="TextoNormal"/>
      </w:pPr>
    </w:p>
    <w:p w14:paraId="07001FEB" w14:textId="77777777" w:rsidR="009D7677" w:rsidRDefault="009D7677" w:rsidP="009D7677">
      <w:pPr>
        <w:pStyle w:val="TextoNormal"/>
      </w:pPr>
      <w:r w:rsidRPr="009D7677">
        <w:rPr>
          <w:rStyle w:val="NumeroAFNegritaCaracter"/>
        </w:rPr>
        <w:lastRenderedPageBreak/>
        <w:t>10</w:t>
      </w:r>
      <w:r>
        <w:t>. En la misma fecha, 6 de julio de 2022, la representante procesal del partido político Vox registró su escrito de alegaciones, por el que interesó la desestimación por este tribunal del recurso de amparo interpuesto.</w:t>
      </w:r>
    </w:p>
    <w:p w14:paraId="4DDF9FEE" w14:textId="77777777" w:rsidR="009D7677" w:rsidRDefault="009D7677" w:rsidP="009D7677">
      <w:pPr>
        <w:pStyle w:val="TextoNormal"/>
      </w:pPr>
    </w:p>
    <w:p w14:paraId="174C1DFA" w14:textId="77777777" w:rsidR="009D7677" w:rsidRDefault="009D7677" w:rsidP="009D7677">
      <w:pPr>
        <w:pStyle w:val="TextoNormal"/>
      </w:pPr>
      <w:r>
        <w:t xml:space="preserve">a) La entidad personada rechaza las quejas de la demanda anudadas al reconocimiento de legitimación a ella y al Partido Popular por la sentencia impugnada. Defiende que tiene legitimación conforme al art. 19.1 LJCA y diversas resoluciones del Tribunal Supremo que recoge, al ostentar un interés legítimo, y recuerda que ambas entidades ya habían participado en el expediente ante la Junta Electoral Central. Por otro lado, no hay ninguna acreditación de indefensión causada al recurrente por esta circunstancia ni de conculcación del principio de igualdad de armas, ni de “en qué hecho o </w:t>
      </w:r>
      <w:r w:rsidRPr="009D7677">
        <w:rPr>
          <w:i/>
        </w:rPr>
        <w:t>iter</w:t>
      </w:r>
      <w:r>
        <w:t xml:space="preserve"> procesal le ha supuesto una vulneración de algún derecho. […] </w:t>
      </w:r>
      <w:r w:rsidRPr="009D7677">
        <w:rPr>
          <w:i/>
        </w:rPr>
        <w:t>Sensu contrario</w:t>
      </w:r>
      <w:r>
        <w:t>, la expulsión de Vox o la privación del ejercicio legítimo de sus derechos, sí supondría una vulneración del principio de igualdad de armas”.</w:t>
      </w:r>
    </w:p>
    <w:p w14:paraId="0D771F42" w14:textId="77777777" w:rsidR="009D7677" w:rsidRDefault="009D7677" w:rsidP="009D7677">
      <w:pPr>
        <w:pStyle w:val="TextoNormal"/>
      </w:pPr>
    </w:p>
    <w:p w14:paraId="1B53BF85" w14:textId="77777777" w:rsidR="009D7677" w:rsidRDefault="009D7677" w:rsidP="009D7677">
      <w:pPr>
        <w:pStyle w:val="TextoNormal"/>
      </w:pPr>
      <w:r>
        <w:t>b) La misma suerte desestimatoria se predica de las quejas de la demanda referentes a la denegación de la tesis de la prejudicialidad penal con relación a los acuerdos de la Junta Electoral Central. No hay incongruencia omisiva de la sentencia impugnada, que da respuesta a este motivo del recurso interpuesto, aunque no satisfaga la misma al recurrente. Añade que los acuerdos de la Junta de 3 y de 23 de enero de 2020 se limitan a extraer los efectos de la sentencia de la Sala de lo Penal del Tribunal Supremo 459/2019 a causa de la pena privativa de libertad, una vez adquirida firmeza dicha resolución penal, declarando la Junta que quedaba vacante el escaño del recurrente.</w:t>
      </w:r>
    </w:p>
    <w:p w14:paraId="1808CD69" w14:textId="77777777" w:rsidR="009D7677" w:rsidRDefault="009D7677" w:rsidP="009D7677">
      <w:pPr>
        <w:pStyle w:val="TextoNormal"/>
      </w:pPr>
    </w:p>
    <w:p w14:paraId="309CE2E1" w14:textId="77777777" w:rsidR="009D7677" w:rsidRDefault="009D7677" w:rsidP="009D7677">
      <w:pPr>
        <w:pStyle w:val="TextoNormal"/>
      </w:pPr>
      <w:r>
        <w:t>c) Sobre las vulneraciones constitucionales que la demanda hace derivar del desconocimiento de la primacía del Derecho de la Unión y del deber de cooperación leal, el escrito de alegaciones advierte que la cuestión prejudicial planteada por la Sala de lo Penal del Alto Tribunal y resuelta por la STJUE de 19 de diciembre de 2019, contemplaba la situación de preso preventivo del recurrente, por lo que el cambio propiciado por la sentencia de condena 459/2019, de 14 de octubre, impide aplicar en toda su extensión la sentencia del Tribunal de Justicia. La actuación de la Junta Electoral Central y de la Sección Cuarta, Sala de lo Contencioso-Administrativo, del Alto Tribunal, evidencian el “cumplimiento estricto de la legalidad”, como confirmaron los autos del Tribunal General de la Unión Europea de 15 de diciembre de 2020 y de 20 de enero de 2021.</w:t>
      </w:r>
    </w:p>
    <w:p w14:paraId="7EEED1B4" w14:textId="77777777" w:rsidR="009D7677" w:rsidRDefault="009D7677" w:rsidP="009D7677">
      <w:pPr>
        <w:pStyle w:val="TextoNormal"/>
      </w:pPr>
    </w:p>
    <w:p w14:paraId="3E668BF6" w14:textId="77777777" w:rsidR="009D7677" w:rsidRDefault="009D7677" w:rsidP="009D7677">
      <w:pPr>
        <w:pStyle w:val="TextoNormal"/>
      </w:pPr>
      <w:r>
        <w:t>d) Discrepa el escrito de alegaciones, a continuación, de las quejas que invoca el recurrente por no haber planteado la Sala de lo Contencioso-administrativo del Tribunal Supremo una cuestión prejudicial ante el Tribunal de Justicia de la Unión Europea, al no concurrir ninguno de los requisitos previstos en el art. 267 TFUE, como razona la sentencia aquí impugnada, recordando de nuevo el cambio de situación procesal penal del recurrente tras la firmeza de la sentencia penal de condena.</w:t>
      </w:r>
    </w:p>
    <w:p w14:paraId="44E94701" w14:textId="77777777" w:rsidR="009D7677" w:rsidRDefault="009D7677" w:rsidP="009D7677">
      <w:pPr>
        <w:pStyle w:val="TextoNormal"/>
      </w:pPr>
    </w:p>
    <w:p w14:paraId="490D30A8" w14:textId="1182C285" w:rsidR="009D7677" w:rsidRDefault="009D7677" w:rsidP="009D7677">
      <w:pPr>
        <w:pStyle w:val="TextoNormal"/>
      </w:pPr>
      <w:r>
        <w:t xml:space="preserve">e) Como último punto, el partido político personado sostiene la inexistencia de discriminación hacia el aquí recurrente, aducida en la demanda, limitándose los actos impugnados a aplicar la legislación vigente en España, art. 6, apartados 2 a) y 4 LOREG, causa sobrevenida de inelegibilidad para ostentar cargo público representativo. No se acredita discriminación respecto de otros diputados del Parlamento Europeo, “confundiendo [la demanda] la aplicación igual de la ley con el cumplimiento diferenciado de la misma”; es </w:t>
      </w:r>
      <w:r>
        <w:lastRenderedPageBreak/>
        <w:t>decir, “el tratamiento igual de circunstancias iguales y el tratamiento desigual de circunstancias desiguales”.</w:t>
      </w:r>
    </w:p>
    <w:p w14:paraId="5431F388" w14:textId="77777777" w:rsidR="009D7677" w:rsidRDefault="009D7677" w:rsidP="009D7677">
      <w:pPr>
        <w:pStyle w:val="TextoNormal"/>
      </w:pPr>
    </w:p>
    <w:p w14:paraId="23C96416" w14:textId="77777777" w:rsidR="009D7677" w:rsidRDefault="009D7677" w:rsidP="009D7677">
      <w:pPr>
        <w:pStyle w:val="TextoNormal"/>
      </w:pPr>
      <w:r w:rsidRPr="009D7677">
        <w:rPr>
          <w:rStyle w:val="NumeroAFNegritaCaracter"/>
        </w:rPr>
        <w:t>11</w:t>
      </w:r>
      <w:r>
        <w:t>. El 26 de julio de 2022, el fiscal ante este Tribunal Constitucional presentó su escrito de alegaciones por el que interesó que “se desestime íntegramente el recurso de amparo interpuesto”.</w:t>
      </w:r>
    </w:p>
    <w:p w14:paraId="3698F34A" w14:textId="77777777" w:rsidR="009D7677" w:rsidRDefault="009D7677" w:rsidP="009D7677">
      <w:pPr>
        <w:pStyle w:val="TextoNormal"/>
      </w:pPr>
    </w:p>
    <w:p w14:paraId="6151FA4F" w14:textId="77777777" w:rsidR="009D7677" w:rsidRDefault="009D7677" w:rsidP="009D7677">
      <w:pPr>
        <w:pStyle w:val="TextoNormal"/>
      </w:pPr>
      <w:r>
        <w:t xml:space="preserve">a) Tras un resumen de los hechos principales del proceso </w:t>
      </w:r>
      <w:r w:rsidRPr="009D7677">
        <w:rPr>
          <w:i/>
        </w:rPr>
        <w:t>a quo</w:t>
      </w:r>
      <w:r>
        <w:t>, las resoluciones judiciales impugnadas en amparo y los motivos de la demanda, pasa a pronunciarse sobre cada uno de estos. Respecto de la queja por el reconocimiento de legitimación pasiva al Partido Popular y a Vox, el fiscal recuerda doctrina constitucional sobre el concepto de legitimación, con cita de las SSTC 85/1987, de 29 de mayo, y 80/2020, de 15 de julio, así como sentencias de la Sala de lo Contencioso-Administrativo del Tribunal Supremo. Cita a continuación la STC 25/2022, de 23 de febrero, a propósito de un recurso de amparo electoral donde la Junta Electoral Central respondía a una consulta de un partido político, y 144/1999, de 22 de julio, sobre la intervención de terceros en procedimientos ante la administración electoral. Discrepa por otro lado de que el auto del Tribunal General de la Unión Europea de 19 de noviembre de 2020, asunto T-32/20, conduzca a negarles legitimación, pues el acto tenía un contenido distinto del aquí impugnado, las pretensiones eran mucho más amplias y se trataba de la legitimación activa.</w:t>
      </w:r>
    </w:p>
    <w:p w14:paraId="168407A1" w14:textId="77777777" w:rsidR="009D7677" w:rsidRDefault="009D7677" w:rsidP="009D7677">
      <w:pPr>
        <w:pStyle w:val="TextoNormal"/>
      </w:pPr>
    </w:p>
    <w:p w14:paraId="3906D288" w14:textId="77777777" w:rsidR="009D7677" w:rsidRDefault="009D7677" w:rsidP="009D7677">
      <w:pPr>
        <w:pStyle w:val="TextoNormal"/>
      </w:pPr>
      <w:r>
        <w:t>Añade que tampoco hay quiebra del principio de igualdad de armas, con cita sobre este derecho fundamental de las SSTC 217/2000, de 18 de septiembre, y 195/2007, de 11 de septiembre, y que “la eventual dificultad en la respuesta a tres codemandados que mantienen la misma pretensión no parece que pueda considerarse una carga desproporcionada para la parte y con intensidad suficiente para integrar una lesión constitucional del derecho fundamental alegado”.</w:t>
      </w:r>
    </w:p>
    <w:p w14:paraId="63B123A6" w14:textId="77777777" w:rsidR="009D7677" w:rsidRDefault="009D7677" w:rsidP="009D7677">
      <w:pPr>
        <w:pStyle w:val="TextoNormal"/>
      </w:pPr>
    </w:p>
    <w:p w14:paraId="6B07826E" w14:textId="77777777" w:rsidR="009D7677" w:rsidRDefault="009D7677" w:rsidP="009D7677">
      <w:pPr>
        <w:pStyle w:val="TextoNormal"/>
      </w:pPr>
      <w:r>
        <w:t>b) El motivo segundo de la demanda, la primacía del Derecho de la Unión Europea y el deber de cooperación leal, lleva al fiscal a recordar doctrina constitucional sobre el contenido del derecho fundamental a un proceso con todas las garantías (art. 24.2 CE), con cita de las SSTC 258/2007, de 18 de diciembre, y 41/2022, de 21 de marzo; afirmando a continuación que el acuerdo impugnado de la Junta Electoral Central se limitó a aplicar el fallo de la sentencia 459/2019 de la Sala de lo Penal del Tribunal Supremo, del que deriva una causa de inelegibilidad sobrevenida y que “no puede considerarse contrario al Derecho europeo”, pues las normas electorales sobre el Parlamento Europeo y el propio Reglamento de este remiten al procedimiento electoral de cada Estado. La STJUE de 19 de diciembre de 2019 se circunscribe a la inmunidad del recurrente en el período de prisión provisional, “en nada se extendía a la situación derivada de la STS condenatoria”, lo que tiene en cuenta el auto de la Sala de lo Penal de 9 de enero de 2020 al estimar el recurso de súplica pero matizando su alcance, mientras que en el otro auto de la misma fecha se adaptó la nueva situación del recurrente. Por último en este punto, pone de relieve el fiscal que resulta contradictorio que la demanda pretenda que la sentencia de la Sala de lo Contencioso-Administrativo revisara la dictada el 14 de octubre de 2019 por la Sala de lo Penal, y a la vez se pidiera el planteamiento de una cuestión prejudicial ante el Tribunal de Justicia de la Unión Europea, “que es precisamente el efecto inverso, en cuanto que se atribuye a esa jurisdicción el pronunciamiento previo condicionante de la posterior resolución contencioso-administrativa”.</w:t>
      </w:r>
    </w:p>
    <w:p w14:paraId="6469D986" w14:textId="77777777" w:rsidR="009D7677" w:rsidRDefault="009D7677" w:rsidP="009D7677">
      <w:pPr>
        <w:pStyle w:val="TextoNormal"/>
      </w:pPr>
    </w:p>
    <w:p w14:paraId="1BB66B28" w14:textId="77777777" w:rsidR="009D7677" w:rsidRDefault="009D7677" w:rsidP="009D7677">
      <w:pPr>
        <w:pStyle w:val="TextoNormal"/>
      </w:pPr>
      <w:r>
        <w:t>c) Aborda luego el escrito de alegaciones el motivo tercero de la demanda, que rechaza el no planteamiento de la referida cuestión prejudicial ante el Tribunal de Justicia. Para fundar su opinión, cita el fiscal la doctrina constitucional sobre el principio de primacía del Derecho de la Unión Europea y la conformidad a la Constitución de la decisión judicial de no plantear cuestión prejudicial (SSTC 232/2015, de 5 de noviembre; 135/2017, de 27 de noviembre, y 37/2019, de 26 de marzo). Precisa entonces que “el ámbito de resolución del recurso contencioso-administrativo se ciñe a los acuerdos de la Junta Electoral Central impugnados, sin afectación por la inmunidad del recurrente de la STJUE”, y la sentencia aquí impugnada “se ajusta a los cánones ordinarios del control del derecho a la tutela judicial efectiva, de manera que la justificación de no estar concernido el derecho europeo y, consecuentemente, la inexistencia de dudas, como fundamento del no planeamiento de la cuestión de inconstitucionalidad, no puede reputarse arbitraria, irrazonable ni incursa en error patente”.</w:t>
      </w:r>
    </w:p>
    <w:p w14:paraId="7CC19CC8" w14:textId="77777777" w:rsidR="009D7677" w:rsidRDefault="009D7677" w:rsidP="009D7677">
      <w:pPr>
        <w:pStyle w:val="TextoNormal"/>
      </w:pPr>
    </w:p>
    <w:p w14:paraId="62AADC69" w14:textId="77777777" w:rsidR="009D7677" w:rsidRDefault="009D7677" w:rsidP="009D7677">
      <w:pPr>
        <w:pStyle w:val="TextoNormal"/>
      </w:pPr>
      <w:r>
        <w:t>d) En lo que concierne a la queja por no haber apreciado la Sala de lo Contencioso-Administrativo la existencia de una prejudicialidad penal, el fiscal ante este tribunal comienza su análisis una vez más con cita de nuestra doctrina, en concreto la relativa al control constitucional de las decisiones sobre prejudicialidad entre órdenes jurisdiccionales (STC 147/2002, de 15 de julio), y sobre el derecho a la ejecución de las resoluciones judiciales (STC 11/2008, de 21 de enero, y ATC 375/2008, de 24 de noviembre). Sobre esta base, el escrito reitera que los dos acuerdos de la Junta Electoral Central que se impugnan tenían por antecedente y título constitutivo la sentencia penal de 14 de octubre de 2019 que era firme, no a la STJUE de 19 de diciembre de 2019, sobre la que sí se pronunciaron los autos de la Sala de lo Penal del Tribunal Supremo de 9 de enero de 2020. “En definitiva, por tanto, era innecesario esperar un pronunciamiento del Tribunal Supremo, porque el objeto de la STJUE y sus efectos eran distintos de la STS de 14 de octubre de 2019 y solo esta última era determinante del acuerdo declarando la inelegibilidad sobrevenida y pérdida de la condición de diputado del Parlamento Europeo del recurrente, sin que ello comporte un incumplimiento de la STJUE, por no ajustarse la interpretación de sus efectos y alcance a lo sostenido por el recurrente”.</w:t>
      </w:r>
    </w:p>
    <w:p w14:paraId="77812176" w14:textId="77777777" w:rsidR="009D7677" w:rsidRDefault="009D7677" w:rsidP="009D7677">
      <w:pPr>
        <w:pStyle w:val="TextoNormal"/>
      </w:pPr>
    </w:p>
    <w:p w14:paraId="7AB70C42" w14:textId="77777777" w:rsidR="009D7677" w:rsidRDefault="009D7677" w:rsidP="009D7677">
      <w:pPr>
        <w:pStyle w:val="TextoNormal"/>
      </w:pPr>
      <w:r>
        <w:t xml:space="preserve">e) Por último, trata el escrito de alegaciones del fiscal ante este tribunal sobre la queja de lesión de los arts. 14, 24 y 23 CE, por supuesta discriminación del recurrente. Cita la doctrina constitucional sobre el contenido del derecho a la igualdad ante la ley (STC 85/2019, de 19 de junio) y sobre el concepto de resolución judicial incongruente (STC 171/1993, de 27 de mayo) y el alcance del derecho a una resolución judicial motivada (STC 77/2000, de 27 de marzo); tras lo cual afirma que la demanda aduce como término de comparación, de manera genérica, a los demás diputados del Parlamento Europeo, y solo trae una referencia concreta a los señores Puigdemont y Comín. En todo caso, prosigue diciendo, la Junta Electoral Central ha impuesto a todos los electos a aquella Cámara el requisito del art. 224.2 LOREG, cuya licitud constitucional, añade el fiscal, proclama la STC 119/1990, de 21 de junio, FJ 4. La STJUE de 19 de diciembre de 2019, además, se remite a los requisitos previstos en el Derecho interno de cada Estado, y el derecho de sufragio pasivo (art. 23 CE) es de configuración legal, lo que en este caso supone la aplicación del art. 224.2 LOREG. El término de comparación con los señores Puigdemont y Comín no resulta válido, dada la diferente situación procesal de ellos dos (no están condenados porque “se encuentran […] prófugos fuera del alcance de la justicia española”) y la </w:t>
      </w:r>
      <w:r>
        <w:lastRenderedPageBreak/>
        <w:t>del aquí demandante de amparo (a disposición de la justicia española y condenado por la STS de 14 de octubre de 2019). Esto es lo que ha razonado de manera congruente la sentencia aquí impugnada.</w:t>
      </w:r>
    </w:p>
    <w:p w14:paraId="493E5CFA" w14:textId="77777777" w:rsidR="009D7677" w:rsidRDefault="009D7677" w:rsidP="009D7677">
      <w:pPr>
        <w:pStyle w:val="TextoNormal"/>
      </w:pPr>
    </w:p>
    <w:p w14:paraId="2CF1236A" w14:textId="26DE7229" w:rsidR="009D7677" w:rsidRDefault="009D7677" w:rsidP="009D7677">
      <w:pPr>
        <w:pStyle w:val="TextoNormal"/>
      </w:pPr>
      <w:r>
        <w:t>Termina el escrito, antes de formular su suplico, haciendo una recapitulación de las razones expuestas que llevan al fiscal a descartar las vulneraciones de derechos fundamentales invocadas por la demanda.</w:t>
      </w:r>
    </w:p>
    <w:p w14:paraId="0BA6B33C" w14:textId="77777777" w:rsidR="009D7677" w:rsidRDefault="009D7677" w:rsidP="009D7677">
      <w:pPr>
        <w:pStyle w:val="TextoNormal"/>
      </w:pPr>
    </w:p>
    <w:p w14:paraId="72A6804D" w14:textId="76642C7D" w:rsidR="009D7677" w:rsidRDefault="009D7677" w:rsidP="009D7677">
      <w:pPr>
        <w:pStyle w:val="TextoNormal"/>
      </w:pPr>
      <w:r w:rsidRPr="009D7677">
        <w:rPr>
          <w:rStyle w:val="NumeroAFNegritaCaracter"/>
        </w:rPr>
        <w:t>12</w:t>
      </w:r>
      <w:r>
        <w:t>. Por diligencia de la Secretaría de Justicia del Pleno de este tribunal de 27 de julio de 2022, se hizo constar que formularon escritos de alegaciones “el procurador don Manuel Sánchez-Puelles y González-Carvajal, en representación del Partido Popular, el letrado de las Cortes Generales y de la Junta Electoral Central, en representación de la Junta Electoral Central, la procuradora doña María del Pilar Hidalgo López, en representación de Vox, y el Ministerio Fiscal, quedando el presente recurso de amparo pendiente para deliberación cuando por turno corresponda, sin perjuicio de lo dispuesto en el art. 84 LOTC”.</w:t>
      </w:r>
    </w:p>
    <w:p w14:paraId="6625CF83" w14:textId="77777777" w:rsidR="009D7677" w:rsidRDefault="009D7677" w:rsidP="009D7677">
      <w:pPr>
        <w:pStyle w:val="TextoNormal"/>
      </w:pPr>
    </w:p>
    <w:p w14:paraId="564BB8B9" w14:textId="77777777" w:rsidR="009D7677" w:rsidRDefault="009D7677" w:rsidP="009D7677">
      <w:pPr>
        <w:pStyle w:val="TextoNormal"/>
      </w:pPr>
      <w:r w:rsidRPr="009D7677">
        <w:rPr>
          <w:rStyle w:val="NumeroAFNegritaCaracter"/>
        </w:rPr>
        <w:t>13</w:t>
      </w:r>
      <w:r>
        <w:t>. De manera incidental, la representación procesal del demandante de amparo planteó por escrito la recusación de los magistrados de este tribunal don Antonio Narváez Rodríguez, doña Concepción Espejel Jorquera y don Enrique Arnaldo Alcubilla, los dos primeros por considerarles incursos en la causa de recusación prevista en el art. 219.10 LOPJ y el magistrado Arnaldo Alcubilla por incurrir supuestamente en las causas del art. 219.6, 10, 13 y 16 LOPJ, todo ello con base en los hechos que tuvo por conveniente aducir.</w:t>
      </w:r>
    </w:p>
    <w:p w14:paraId="70D7E6C9" w14:textId="77777777" w:rsidR="009D7677" w:rsidRDefault="009D7677" w:rsidP="009D7677">
      <w:pPr>
        <w:pStyle w:val="TextoNormal"/>
      </w:pPr>
    </w:p>
    <w:p w14:paraId="572CFDF1" w14:textId="25BD9A7E" w:rsidR="009D7677" w:rsidRDefault="009D7677" w:rsidP="009D7677">
      <w:pPr>
        <w:pStyle w:val="TextoNormal"/>
      </w:pPr>
      <w:r>
        <w:t>Las recusaciones fueron inadmitidas a trámite por ATC 73/2022, de 27 de abril, del Pleno de este tribunal, el cual devino firme al no interponerse recurso de súplica contra él.</w:t>
      </w:r>
    </w:p>
    <w:p w14:paraId="2A6B1AD6" w14:textId="77777777" w:rsidR="009D7677" w:rsidRDefault="009D7677" w:rsidP="009D7677">
      <w:pPr>
        <w:pStyle w:val="TextoNormal"/>
      </w:pPr>
    </w:p>
    <w:p w14:paraId="66BAA72F" w14:textId="21ACAF89" w:rsidR="009D7677" w:rsidRDefault="009D7677" w:rsidP="009D7677">
      <w:pPr>
        <w:pStyle w:val="TextoNormal"/>
      </w:pPr>
      <w:r w:rsidRPr="009D7677">
        <w:rPr>
          <w:rStyle w:val="NumeroAFNegritaCaracter"/>
        </w:rPr>
        <w:t>14</w:t>
      </w:r>
      <w:r>
        <w:t>. Mediante providencia de 23 de abril de 2024, se señaló ese mismo día para la deliberación y votación de la presente sentencia.</w:t>
      </w:r>
    </w:p>
    <w:p w14:paraId="6639DB75" w14:textId="77777777" w:rsidR="009D7677" w:rsidRDefault="009D7677" w:rsidP="009D7677">
      <w:pPr>
        <w:pStyle w:val="TextoNormal"/>
      </w:pPr>
    </w:p>
    <w:p w14:paraId="4EAE477B" w14:textId="77777777" w:rsidR="009D7677" w:rsidRDefault="009D7677" w:rsidP="009D7677">
      <w:pPr>
        <w:pStyle w:val="TextoNormalNegritaCentrado"/>
        <w:keepNext/>
      </w:pPr>
      <w:r>
        <w:t>II. Fundamentos jurídicos</w:t>
      </w:r>
    </w:p>
    <w:p w14:paraId="5B82D853" w14:textId="45B1BD0C" w:rsidR="009D7677" w:rsidRDefault="009D7677" w:rsidP="009D7677">
      <w:pPr>
        <w:pStyle w:val="TextoNormalNegritaCentrado"/>
        <w:keepNext/>
      </w:pPr>
    </w:p>
    <w:p w14:paraId="3F57E451" w14:textId="77777777" w:rsidR="009D7677" w:rsidRDefault="009D7677" w:rsidP="009D7677">
      <w:pPr>
        <w:pStyle w:val="TextoNormal"/>
      </w:pPr>
      <w:r w:rsidRPr="009D7677">
        <w:rPr>
          <w:rStyle w:val="NumeroAFNegritaCaracter"/>
        </w:rPr>
        <w:t>1</w:t>
      </w:r>
      <w:r>
        <w:t xml:space="preserve">. </w:t>
      </w:r>
      <w:r w:rsidRPr="009D7677">
        <w:rPr>
          <w:i/>
        </w:rPr>
        <w:t>Objeto del recurso y precisiones previas al examen de fondo</w:t>
      </w:r>
    </w:p>
    <w:p w14:paraId="64D82652" w14:textId="77777777" w:rsidR="009D7677" w:rsidRDefault="009D7677" w:rsidP="009D7677">
      <w:pPr>
        <w:pStyle w:val="TextoNormal"/>
      </w:pPr>
    </w:p>
    <w:p w14:paraId="5C9D42B2" w14:textId="77777777" w:rsidR="009D7677" w:rsidRDefault="009D7677" w:rsidP="009D7677">
      <w:pPr>
        <w:pStyle w:val="TextoNormal"/>
      </w:pPr>
      <w:r>
        <w:t>a) El presente recurso de amparo se interpone contra la sentencia núm. 672/2021, de 12 de mayo, de la Sala de lo Contencioso-Administrativo, Sección Cuarta, del Tribunal Supremo, recaída en el recurso ordinario núm. 5-2020, por la que se desestimó el recurso contencioso-administrativo interpuesto por el aquí demandante de amparo contra los acuerdos de la Junta Electoral Central núm. 3/2020, de 3 de enero de 2020 (expediente núm. 561-79) y 4/2020, de 23 de enero de 2020 (expediente núm. 561-81), que habían declarado la pérdida del escaño de diputado del Parlamento Europeo del recurrente y su sustitución por el siguiente candidato de la lista por la que concurrió a las elecciones de 26 de mayo de 2019. La demanda de amparo también se dirige contra la providencia de la misma Sala y Sección del Tribunal Supremo, de 15 de junio de 2021, que inadmitió a trámite el incidente de nulidad promovido contra la antedicha sentencia.</w:t>
      </w:r>
    </w:p>
    <w:p w14:paraId="69C89609" w14:textId="77777777" w:rsidR="009D7677" w:rsidRDefault="009D7677" w:rsidP="009D7677">
      <w:pPr>
        <w:pStyle w:val="TextoNormal"/>
      </w:pPr>
    </w:p>
    <w:p w14:paraId="08A6DEC5" w14:textId="77777777" w:rsidR="009D7677" w:rsidRDefault="009D7677" w:rsidP="009D7677">
      <w:pPr>
        <w:pStyle w:val="TextoNormal"/>
      </w:pPr>
      <w:r>
        <w:lastRenderedPageBreak/>
        <w:t>A estas dos resoluciones judiciales la demanda reprocha, con arreglo a los argumentos que detalla en dicho escrito y que luego examinaremos, la vulneración de los derechos fundamentales del recurrente a la tutela judicial efectiva (art. 24.1 CE), en sus vertientes de derecho a una resolución motivada, congruente y fundada en Derecho (no arbitraria), y a un recurso efectivo; a la igualdad en la aplicación de la ley y a no sufrir discriminación (art. 14 CE); a un proceso con todas las garantías (art. 24.2 CE) y al sufragio pasivo (art. 23 CE).</w:t>
      </w:r>
    </w:p>
    <w:p w14:paraId="5B4A0BBD" w14:textId="77777777" w:rsidR="009D7677" w:rsidRDefault="009D7677" w:rsidP="009D7677">
      <w:pPr>
        <w:pStyle w:val="TextoNormal"/>
      </w:pPr>
    </w:p>
    <w:p w14:paraId="164CCF64" w14:textId="77777777" w:rsidR="009D7677" w:rsidRDefault="009D7677" w:rsidP="009D7677">
      <w:pPr>
        <w:pStyle w:val="TextoNormal"/>
      </w:pPr>
      <w:r>
        <w:t>Denuncia también la demanda la infracción de diversos preceptos del Derecho de la Unión Europea [el principio de cooperación leal del art. 4.3 del Tratado de la Unión Europea; el art. 267 del Tratado de funcionamiento de la Unión Europea; los arts. 20, 39 y 47 de la Carta de los derechos fundamentales de la Unión Europea] y la conculcación de los arts. 6, 13 y 14 del Convenio europeo para la protección de los derechos humanos y de las libertades fundamentales, y la del art. 3 del Protocolo adicional al Convenio. Al respecto debemos advertir desde este momento que, conforme a nuestra reiterada doctrina, el Derecho de la Unión Europea, incluyendo el principio de primacía que rige las relaciones con nuestro ordenamiento interno, no constituye canon de constitucionalidad que pueda ser invocado para fundamentar por sí solo un recurso de amparo, sin perjuicio de que sea tenido en cuenta como fuente de interpretación de nuestros derechos fundamentales por la vía del art. 10.2 CE [entre otras, SSTC 232/2015, de 5 de noviembre, FJ 4; 3/2018, de 22 de enero, FJ 4; 22/2018, de 5 de marzo, FJ 3; 31/2022, de 7 de marzo, FJ 5; 42/2022, de 21 de marzo, FJ 4.2 C), y 91/2023, de 11 de septiembre, FJ 4 c)]. En similares términos lo hemos declarado así respecto del CEDH o de su Protocolo adicional [STC 132/2022, de 24 de octubre, FJ 3 c)]. Asimismo, la jurisprudencia tanto del Tribunal Europeo de Derechos Humanos, como del Tribunal de Justicia de la Unión Europea sirven como criterio de interpretación de las normas constitucionales sobre libertades y derechos fundamentales por la citada vía del art. 10.2 CE [entre otras, SSTC 66/2022, de 2 de junio, FJ 4 A) c), y 87/2022, de 28 de junio, FJ 3.3 A)].</w:t>
      </w:r>
    </w:p>
    <w:p w14:paraId="3BA0049E" w14:textId="77777777" w:rsidR="009D7677" w:rsidRDefault="009D7677" w:rsidP="009D7677">
      <w:pPr>
        <w:pStyle w:val="TextoNormal"/>
      </w:pPr>
    </w:p>
    <w:p w14:paraId="14D7C94E" w14:textId="77777777" w:rsidR="009D7677" w:rsidRDefault="009D7677" w:rsidP="009D7677">
      <w:pPr>
        <w:pStyle w:val="TextoNormal"/>
      </w:pPr>
      <w:r>
        <w:t>b) Tanto el letrado de las Cortes Generales y de la Junta Electoral Central, actuando en representación y defensa de esta última, como la representación procesal del Partido Popular y de Vox y el fiscal ante este Tribunal Constitucional han presentado sus escritos de alegaciones donde interesan la desestimación del recurso de amparo interpuesto.</w:t>
      </w:r>
    </w:p>
    <w:p w14:paraId="386024A5" w14:textId="77777777" w:rsidR="009D7677" w:rsidRDefault="009D7677" w:rsidP="009D7677">
      <w:pPr>
        <w:pStyle w:val="TextoNormal"/>
      </w:pPr>
    </w:p>
    <w:p w14:paraId="5659755D" w14:textId="77777777" w:rsidR="009D7677" w:rsidRDefault="009D7677" w:rsidP="009D7677">
      <w:pPr>
        <w:pStyle w:val="TextoNormal"/>
      </w:pPr>
      <w:r>
        <w:t xml:space="preserve">c) A efectos de la correcta delimitación del objeto de este recurso, hay que aclarar que la demanda de amparo no cuestiona que la inelegibilidad sobrevenida que ha privado al recurrente de su escaño de diputado al Parlamento Europeo en las elecciones de 26 de mayo de 2019, como resultado de la condena a pena privativa de libertad (de trece años) por la sentencia 459/2019 de la Sala de lo Penal del Tribunal Supremo, de 14 de octubre de 2019 (causa especial 20907-2017), es una medida prevista en el art. 6.2 a) [“Son inelegibles: a) “Los condenados por sentencia firme, a pena privativa de libertad, en el período que dure la pena”] y 6.4 [“Las causas de inelegibilidad lo son también de incompatibilidad. Las causas de incompatibilidad se regirán por lo dispuesto para cada tipo de proceso electoral”] de la LOREG, ni ha alegado tampoco que estas normas sean inconstitucionales, lo que exime de su examen en esta sentencia. En todo caso y a los efectos que importan a este recurso de amparo, nuestra doctrina ya se ha pronunciado en varias ocasiones sobre este supuesto de privación de cargo público representativo, destacando que el efecto de inelegibilidad “no está en función del cumplimiento efectivo de la condena, que también </w:t>
      </w:r>
      <w:r>
        <w:lastRenderedPageBreak/>
        <w:t xml:space="preserve">se produce formalmente cuando se suspende” [STC 166/1993, de 20 de mayo, FJ 4]; y que resulta exigible a las juntas electorales que, “una vez acreditada la causa de la incapacidad electoral del recurrente, la hayan hecho valer, extrayendo de esa incapacidad declarada por sentencia firme las oportunas consecuencias jurídico-electorales” [STC 144/1999, de 22 de julio, FJ 7]. En el caso concreto del aquí recurrente y de la sentencia que le ha condenado, hemos dicho recientemente en la STC 50/2024, de 8 de abril, FJ 4 </w:t>
      </w:r>
      <w:r w:rsidRPr="009D7677">
        <w:rPr>
          <w:i/>
        </w:rPr>
        <w:t>in fine</w:t>
      </w:r>
      <w:r>
        <w:t xml:space="preserve">, que: “Es imposible extraer de esta sentencia, como se pretende en la demanda de amparo, la conclusión de que una sentencia firme de condena a pena de prisión carezca de efectos constitutivos de la condición de inelegibilidad prevista en el art. 6.2 a) LOREG, tratándose de una causa que, conforme reiterada doctrina constitucional, actúa </w:t>
      </w:r>
      <w:r w:rsidRPr="009D7677">
        <w:rPr>
          <w:i/>
        </w:rPr>
        <w:t>ope legis</w:t>
      </w:r>
      <w:r>
        <w:t xml:space="preserve"> (STC 18/2024, de 31 de enero, FJ único) y de manera independiente a su cumplimiento efectivo (STC 166/1993, de 20 de mayo, FJ 4)”.</w:t>
      </w:r>
    </w:p>
    <w:p w14:paraId="129293EF" w14:textId="77777777" w:rsidR="009D7677" w:rsidRDefault="009D7677" w:rsidP="009D7677">
      <w:pPr>
        <w:pStyle w:val="TextoNormal"/>
      </w:pPr>
    </w:p>
    <w:p w14:paraId="1BA9D555" w14:textId="2AD25948" w:rsidR="009D7677" w:rsidRDefault="009D7677" w:rsidP="009D7677">
      <w:pPr>
        <w:pStyle w:val="TextoNormal"/>
      </w:pPr>
      <w:r>
        <w:t>Sentado lo que antecede, hemos de iniciar el enjuiciamiento de los distintos motivos de impugnación del recurso.</w:t>
      </w:r>
    </w:p>
    <w:p w14:paraId="42AAD06B" w14:textId="77777777" w:rsidR="009D7677" w:rsidRDefault="009D7677" w:rsidP="009D7677">
      <w:pPr>
        <w:pStyle w:val="TextoNormal"/>
      </w:pPr>
    </w:p>
    <w:p w14:paraId="244183E3" w14:textId="77777777" w:rsidR="009D7677" w:rsidRDefault="009D7677" w:rsidP="009D7677">
      <w:pPr>
        <w:pStyle w:val="TextoNormal"/>
      </w:pPr>
      <w:r w:rsidRPr="009D7677">
        <w:rPr>
          <w:rStyle w:val="NumeroAFNegritaCaracter"/>
        </w:rPr>
        <w:t>2</w:t>
      </w:r>
      <w:r>
        <w:t xml:space="preserve">. </w:t>
      </w:r>
      <w:r w:rsidRPr="009D7677">
        <w:rPr>
          <w:i/>
        </w:rPr>
        <w:t>Primer motivo de la demanda de amparo (quejas por la legitimación pasiva del Partido Popular y Vox en el recurso contencioso-administrativo 5-2020). Desestimación</w:t>
      </w:r>
    </w:p>
    <w:p w14:paraId="7C9703ED" w14:textId="77777777" w:rsidR="009D7677" w:rsidRDefault="009D7677" w:rsidP="009D7677">
      <w:pPr>
        <w:pStyle w:val="TextoNormal"/>
      </w:pPr>
    </w:p>
    <w:p w14:paraId="63DC9EC1" w14:textId="77777777" w:rsidR="009D7677" w:rsidRDefault="009D7677" w:rsidP="009D7677">
      <w:pPr>
        <w:pStyle w:val="TextoNormal"/>
      </w:pPr>
      <w:r>
        <w:t>El recurrente aduce ante todo la lesión de diversas facetas del derecho a la tutela judicial efectiva (art. 24.1 CE), del derecho a un proceso con todas las garantías (art. 24.2 CE) y del derecho de igualdad ante la ley (art. 14 CE), por la decisión de la Sala durante el procedimiento, no desvirtuada en la sentencia impugnada, de reconocer legitimación pasiva a las organizaciones políticas Partido Popular y Vox para intervenir como codemandados en el recurso contencioso-administrativo 5-2020, promovido por el recurrente contra los acuerdos de la Junta Electoral Central 3/2020 y 4/2020. Estas alegaciones se articulan en torno a dos quejas en la demanda de amparo, a las que daremos respuesta en el mismo orden:</w:t>
      </w:r>
    </w:p>
    <w:p w14:paraId="57BEFE35" w14:textId="77777777" w:rsidR="009D7677" w:rsidRDefault="009D7677" w:rsidP="009D7677">
      <w:pPr>
        <w:pStyle w:val="TextoNormal"/>
      </w:pPr>
    </w:p>
    <w:p w14:paraId="10C11BBA" w14:textId="77777777" w:rsidR="009D7677" w:rsidRDefault="009D7677" w:rsidP="009D7677">
      <w:pPr>
        <w:pStyle w:val="TextoNormal"/>
      </w:pPr>
      <w:r>
        <w:t>a) Queja sobre la lesión del derecho a la igualdad de armas (art. 24.2 CE): se señala en la demanda que como resultado de la entrada en el proceso (recurso ordinario 5-2020) de aquellos dos partidos políticos, el recurrente se ha visto obligado a “enfrentarse” a varias partes procesales, lo que le ha causado indefensión. Así expuesta, esta primera queja debe desestimarse. Conforme a nuestra STC 217/2000, de 18 de septiembre, FJ 2:</w:t>
      </w:r>
    </w:p>
    <w:p w14:paraId="5F41B477" w14:textId="77777777" w:rsidR="009D7677" w:rsidRDefault="009D7677" w:rsidP="009D7677">
      <w:pPr>
        <w:pStyle w:val="TextoNormal"/>
      </w:pPr>
    </w:p>
    <w:p w14:paraId="21B94942" w14:textId="77777777" w:rsidR="009D7677" w:rsidRDefault="009D7677" w:rsidP="009D7677">
      <w:pPr>
        <w:pStyle w:val="TextoNormal"/>
      </w:pPr>
      <w:r>
        <w:t>“Hemos declarado en reiterada jurisprudencia que el derecho a la defensa y a la asistencia letrada consagrado en el art. 24.2 CE tiene por finalidad asegurar la efectiva realización de los principios procesales de igualdad de armas y de contradicción, que imponen a los órganos judiciales el deber positivo de evitar desequilibrios entre la respectiva posición de las partes en el proceso, lo mismo que atajar las limitaciones en la defensa que puedan provocar a alguna de ellas un resultado de indefensión constitucionalmente prohibido por el art. 24.1 CE, al estar relacionado estrechamente aquel derecho con este (STC 71/1999, de 26 de abril)”.</w:t>
      </w:r>
    </w:p>
    <w:p w14:paraId="0C07BE31" w14:textId="77777777" w:rsidR="009D7677" w:rsidRDefault="009D7677" w:rsidP="009D7677">
      <w:pPr>
        <w:pStyle w:val="TextoNormal"/>
      </w:pPr>
    </w:p>
    <w:p w14:paraId="00B4F158" w14:textId="77777777" w:rsidR="009D7677" w:rsidRDefault="009D7677" w:rsidP="009D7677">
      <w:pPr>
        <w:pStyle w:val="TextoNormal"/>
      </w:pPr>
      <w:r>
        <w:t>En parecidos términos, hablando de igualdad de las partes en el proceso, las SSTC 130/2002, de 3 de junio, FJ 3; 91/2021, de 22 de abril, FJ 6.2 a); 106/2021, de 11 de mayo, FJ 6.2 a); 121/2021, de 2 de junio, FJ 7.2 a), y 122/2021, de 2 de junio, FJ 7.5.1.</w:t>
      </w:r>
    </w:p>
    <w:p w14:paraId="3E2737BC" w14:textId="77777777" w:rsidR="009D7677" w:rsidRDefault="009D7677" w:rsidP="009D7677">
      <w:pPr>
        <w:pStyle w:val="TextoNormal"/>
      </w:pPr>
    </w:p>
    <w:p w14:paraId="27487A1A" w14:textId="77777777" w:rsidR="009D7677" w:rsidRDefault="009D7677" w:rsidP="009D7677">
      <w:pPr>
        <w:pStyle w:val="TextoNormal"/>
      </w:pPr>
      <w:r>
        <w:lastRenderedPageBreak/>
        <w:t>Con aplicación de esta doctrina, resulta claro que la actuación dentro de aquel proceso ordinario de los dos partidos políticos citados, no le ha supuesto al recurrente ninguna pérdida o recorte de trámites, plazos u oportunidades procesales, de alegación o de prueba. De hecho, la indefensión que predica es solo la debida, dice, a que tiene que enfrentarse a varias partes procesales, además, se entiende, de la Junta Electoral Central. Lógicamente, no existe un derecho en favor de quien ostenta la legitimación activa en un proceso a defender sus pretensiones frente a una única parte en contrario, o a seleccionar aquellos legitimados que considere menos aptos para oponerse a sus pretensiones. Tiene, en todo caso, la carga de defenderse de las alegaciones y pruebas de quienes con respeto a la legalidad constitucional (art. 24.1 CE) y procesal ordinaria, según el orden jurisdiccional de que se trate, han sido admitidos por el tribunal competente como legitimados pasivos.</w:t>
      </w:r>
    </w:p>
    <w:p w14:paraId="4861FEA7" w14:textId="77777777" w:rsidR="009D7677" w:rsidRDefault="009D7677" w:rsidP="009D7677">
      <w:pPr>
        <w:pStyle w:val="TextoNormal"/>
      </w:pPr>
    </w:p>
    <w:p w14:paraId="0AECF995" w14:textId="77777777" w:rsidR="009D7677" w:rsidRDefault="009D7677" w:rsidP="009D7677">
      <w:pPr>
        <w:pStyle w:val="TextoNormal"/>
      </w:pPr>
      <w:r>
        <w:t>b) Queja sobre la lesión de los derechos a la tutela judicial efectiva (art. 24.1 CE) y a la igualdad ante la ley (art. 14 CE): en segundo lugar, la demanda por un lado achaca a la sentencia impugnada carecer de la debida motivación o en su caso incurrir en incongruencia omisiva en dar respuesta a la alegada lesión de aquellos dos derechos fundamentales por habérsele reconocido legitimación a las dos entidades políticas citadas; pero simultáneamente tacha de “arbitraria” la argumentación que ha dado la misma sentencia para apreciar que aquellas ostentan un interés legítimo para actuar en ese proceso ordinario 5-2020. Tampoco esta queja puede prosperar.</w:t>
      </w:r>
    </w:p>
    <w:p w14:paraId="7AA0A2E6" w14:textId="77777777" w:rsidR="009D7677" w:rsidRDefault="009D7677" w:rsidP="009D7677">
      <w:pPr>
        <w:pStyle w:val="TextoNormal"/>
      </w:pPr>
    </w:p>
    <w:p w14:paraId="43848776" w14:textId="77777777" w:rsidR="009D7677" w:rsidRDefault="009D7677" w:rsidP="009D7677">
      <w:pPr>
        <w:pStyle w:val="TextoNormal"/>
      </w:pPr>
      <w:r>
        <w:t xml:space="preserve">(i) Como recuerda la STC 83/2023, de 4 de julio, FJ 7 a), el derecho fundamental a la motivación de las resoluciones judiciales (art. 24.1 CE) exige que estas contengan “los elementos y razones de juicio que permitan conocer cuáles han sido los criterios jurídicos que fundamentan la decisión”. A su vez, estaremos ante una incongruencia omisiva o </w:t>
      </w:r>
      <w:r w:rsidRPr="009D7677">
        <w:rPr>
          <w:i/>
        </w:rPr>
        <w:t>ex silentio</w:t>
      </w:r>
      <w:r>
        <w:t>, según esta misma STC 83/2023, FJ 7 b), con cita de la anterior STC 39/2023, de 8 de mayo, FJ 3:</w:t>
      </w:r>
    </w:p>
    <w:p w14:paraId="12B7E674" w14:textId="77777777" w:rsidR="009D7677" w:rsidRDefault="009D7677" w:rsidP="009D7677">
      <w:pPr>
        <w:pStyle w:val="TextoNormal"/>
      </w:pPr>
    </w:p>
    <w:p w14:paraId="2C71DE7F" w14:textId="77777777" w:rsidR="009D7677" w:rsidRDefault="009D7677" w:rsidP="009D7677">
      <w:pPr>
        <w:pStyle w:val="TextoNormal"/>
      </w:pPr>
      <w:r>
        <w:t>“Cuando el órgano judicial deja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y sin que sea necesaria, para la satisfacción del derecho a la tutela judicial efectiva, una contestación explícita y pormenorizada a todas y cada una de las alegaciones que se aducen por las partes como fundamento de su pretensión, pudiendo bastar, en atención a las circunstancias particulares concurrentes, con una respuesta global o genérica, aunque se omita respecto de alegaciones concretas no sustanciales (STC 40/2006, de 13 de febrero, por todas)”.</w:t>
      </w:r>
    </w:p>
    <w:p w14:paraId="496074A8" w14:textId="77777777" w:rsidR="009D7677" w:rsidRDefault="009D7677" w:rsidP="009D7677">
      <w:pPr>
        <w:pStyle w:val="TextoNormal"/>
      </w:pPr>
    </w:p>
    <w:p w14:paraId="4D916E03" w14:textId="77777777" w:rsidR="009D7677" w:rsidRDefault="009D7677" w:rsidP="009D7677">
      <w:pPr>
        <w:pStyle w:val="TextoNormal"/>
      </w:pPr>
      <w:r>
        <w:t>La sentencia impugnada, núm. 672/2021, de 12 de mayo, no incurre en falta de motivación ni en incongruencia omisiva, pues examina y da contestación a los argumentos de la demanda de instancia sobre el punto controvertido —el haber conferido legitimación pasiva al Partido Popular y a Vox en dicho proceso—, explicando por qué los dos partidos, que ya antes han actuado ante la Junta Electoral Central, ostentan un interés legítimo identificable. No es incongruencia omisiva sino desestimación tácita, ante la falta de la alegación de un término de comparación válido, de la denuncia de lesión de la igualdad ante la ley; o que la Sala no está vinculada con las incidencias de un proceso seguido ante el Tribunal General de la Unión Europea, en el que ni siquiera era parte el aquí recurrente.</w:t>
      </w:r>
    </w:p>
    <w:p w14:paraId="3E6AC4E0" w14:textId="77777777" w:rsidR="009D7677" w:rsidRDefault="009D7677" w:rsidP="009D7677">
      <w:pPr>
        <w:pStyle w:val="TextoNormal"/>
      </w:pPr>
    </w:p>
    <w:p w14:paraId="2CEC3FC0" w14:textId="77777777" w:rsidR="009D7677" w:rsidRDefault="009D7677" w:rsidP="009D7677">
      <w:pPr>
        <w:pStyle w:val="TextoNormal"/>
      </w:pPr>
      <w:r>
        <w:lastRenderedPageBreak/>
        <w:t xml:space="preserve">(ii) Tampoco es eficaz la descalificación como “arbitraria” que realiza la demanda, justamente de la </w:t>
      </w:r>
      <w:r w:rsidRPr="009D7677">
        <w:rPr>
          <w:i/>
        </w:rPr>
        <w:t>ratio decidendi</w:t>
      </w:r>
      <w:r>
        <w:t xml:space="preserve"> de la sentencia acerca del interés legítimo de aquellos dos partidos políticos para actuar como demandados en el procedimiento de instancia. La sentencia impugnada afirma que dicha legitimación no se funda en un mero interés por la legalidad (más allá de la función que tuviera la denuncia presentada ante la Junta Electoral Central), sino en un interés legítimo que tiene reconocimiento en el art. 110 c) LOREG para oponerse a la proclamación de candidatos electos. Precepto este, cabe añadir, que al incardinarse en el título I de la Ley Orgánica resulta aplicable al procedimiento electoral al Parlamento Europeo (art. 1 LOREG, y STC 153/2003, de 17 de julio, FJ 6).</w:t>
      </w:r>
    </w:p>
    <w:p w14:paraId="584FA75A" w14:textId="77777777" w:rsidR="009D7677" w:rsidRDefault="009D7677" w:rsidP="009D7677">
      <w:pPr>
        <w:pStyle w:val="TextoNormal"/>
      </w:pPr>
    </w:p>
    <w:p w14:paraId="44C5A634" w14:textId="77777777" w:rsidR="009D7677" w:rsidRDefault="009D7677" w:rsidP="009D7677">
      <w:pPr>
        <w:pStyle w:val="TextoNormal"/>
      </w:pPr>
      <w:r>
        <w:t>Por otro lado, además del alcance amplio que tenemos reconocido a la noción constitucional (art. 24.1 CE) de interés legítimo, entendido como ventaja o utilidad jurídica, “no necesariamente de contenido patrimonial […] que puede ser tanto individual como corporativo o colectivo y que también puede ser directo o indirecto” (STC 80/2020, de 15 de julio, FJ 3, con cita de otras sentencias anteriores); en lo que aquí importa, en materia de impugnación de candidaturas electas, hemos dicho específicamente que: “si no la titularidad del derecho, sí cabe reconocer a los propios partidos políticos un interés legítimo suficiente a que se respeten las adecuadas condiciones para el ejercicio del derecho de sufragio, atendida su condición de instrumento fundamental para la participación política que les atribuye el art. 6 de la Constitución” (STC 25/1990, de 19 de febrero, FJ 3).</w:t>
      </w:r>
    </w:p>
    <w:p w14:paraId="4952E3DC" w14:textId="77777777" w:rsidR="009D7677" w:rsidRDefault="009D7677" w:rsidP="009D7677">
      <w:pPr>
        <w:pStyle w:val="TextoNormal"/>
      </w:pPr>
    </w:p>
    <w:p w14:paraId="3F8FA988" w14:textId="77777777" w:rsidR="009D7677" w:rsidRDefault="009D7677" w:rsidP="009D7677">
      <w:pPr>
        <w:pStyle w:val="TextoNormal"/>
      </w:pPr>
      <w:r>
        <w:t xml:space="preserve">Y respecto del uso de la frase “excluir del Parlamento Europeo a un competidor electoral”, colige de ella el recurrente una connotación espuria que no se corresponde con una lectura objetiva de la sentencia impugnada. Ha de tenerse en cuenta que los dos partidos habían intervenido ante la Junta Electoral Central con el fin de que a don Oriol Junqueras i Vies se le aplicase lo dispuesto en los arts. 6.2 a) y 6.4 LOREG, por su inelegibilidad sobrevenida como diputado al Parlamento Europeo tras su condena a pena privativa de libertad por sentencia firme, con el efecto propio de la pérdida de su escaño. Dicha pretensión fue acogida en los acuerdos 3/2020 y 4/2020 de la Junta, que declararon la concurrencia de ese efecto </w:t>
      </w:r>
      <w:r w:rsidRPr="009D7677">
        <w:rPr>
          <w:i/>
        </w:rPr>
        <w:t>ope legis</w:t>
      </w:r>
      <w:r>
        <w:t>. Por lo tanto, había un interés legítimo de ambos en defender el mantenimiento de esa declaración en el proceso contencioso-administrativo que el recurrente abrió precisamente para la impugnación de dichos acuerdos. Ambos partidos resultaban afectados por la eventual “estimación de las pretensiones del demandante” [art. 21.1 b) LJCA] y es razonable y no arbitrario que se les haya tenido por codemandados en el proceso referido.</w:t>
      </w:r>
    </w:p>
    <w:p w14:paraId="722831D1" w14:textId="77777777" w:rsidR="009D7677" w:rsidRDefault="009D7677" w:rsidP="009D7677">
      <w:pPr>
        <w:pStyle w:val="TextoNormal"/>
      </w:pPr>
    </w:p>
    <w:p w14:paraId="6194C526" w14:textId="69249CFA" w:rsidR="009D7677" w:rsidRDefault="009D7677" w:rsidP="009D7677">
      <w:pPr>
        <w:pStyle w:val="TextoNormal"/>
      </w:pPr>
      <w:r>
        <w:t>c) Finalmente, se alega en el enunciado de este primer motivo de la demanda que el otorgamiento de legitimación al Partido Popular y a Vox habría producido también la vulneración del derecho de sufragio pasivo (art. 23.2 CE) y el derecho a la ejecución de una resolución judicial en sus propios términos (art. 24.1 CE), pero sin ningún desarrollo argumental en el escrito al fundamento de tales lesiones.</w:t>
      </w:r>
    </w:p>
    <w:p w14:paraId="70EF2642" w14:textId="77777777" w:rsidR="009D7677" w:rsidRDefault="009D7677" w:rsidP="009D7677">
      <w:pPr>
        <w:pStyle w:val="TextoNormal"/>
      </w:pPr>
    </w:p>
    <w:p w14:paraId="65967B7E" w14:textId="77777777" w:rsidR="009D7677" w:rsidRDefault="009D7677" w:rsidP="009D7677">
      <w:pPr>
        <w:pStyle w:val="TextoNormal"/>
      </w:pPr>
      <w:r w:rsidRPr="009D7677">
        <w:rPr>
          <w:rStyle w:val="NumeroAFNegritaCaracter"/>
        </w:rPr>
        <w:t>3</w:t>
      </w:r>
      <w:r>
        <w:t xml:space="preserve">. </w:t>
      </w:r>
      <w:r w:rsidRPr="009D7677">
        <w:rPr>
          <w:i/>
        </w:rPr>
        <w:t>Segundo motivo de la demanda de amparo (quejas por no realizar la sentencia impugnada un control de la sentencia penal de condena del recurrente). Desestimación</w:t>
      </w:r>
    </w:p>
    <w:p w14:paraId="4E5FA3D1" w14:textId="77777777" w:rsidR="009D7677" w:rsidRDefault="009D7677" w:rsidP="009D7677">
      <w:pPr>
        <w:pStyle w:val="TextoNormal"/>
      </w:pPr>
    </w:p>
    <w:p w14:paraId="549E2B61" w14:textId="77777777" w:rsidR="009D7677" w:rsidRDefault="009D7677" w:rsidP="009D7677">
      <w:pPr>
        <w:pStyle w:val="TextoNormal"/>
      </w:pPr>
      <w:r>
        <w:t>Se plantea en segundo lugar por la demanda de amparo que la sentencia de la Sección Cuarta de la Sala de lo Contencioso-Administrativo del Tribunal Supremo vulneró su derecho a la tutela judicial efectiva (art. 24.1 CE) por impedir el control de los acuerdos im</w:t>
      </w:r>
      <w:r>
        <w:lastRenderedPageBreak/>
        <w:t>pugnados de la Junta Electoral Central, que declararon la pérdida del escaño de diputado al Parlamento Europeo por mor de su condena a pena privativa de libertad por la sentencia 459/2019, dictada por la Sala de lo Penal del mismo tribunal el 14 de octubre de 2019 en la causa especial 20907-2017, la cual “sirve de antecedente y fundamento a la decisión de la Junta Electoral Central”. La demanda sostiene que esa sentencia penal resulta a su vez contraria al principio de primacía del Derecho de la Unión Europea y al principio de cooperación leal del art. 4 TUE por lo que, como consecuencia de la abstención que reprocha a la sentencia aquí impugnada, se vulneran también sus derechos fundamentales a un proceso con todas las garantías (art. 24.2 CE), a un “recurso efectivo” por suponer la “inutilización” del proceso contencioso-administrativo y, en el plano sustantivo, la lesión consecuente de su derecho al sufragio pasivo (art. 23.2 CE). El motivo debe ser rechazado.</w:t>
      </w:r>
    </w:p>
    <w:p w14:paraId="4EA69651" w14:textId="77777777" w:rsidR="009D7677" w:rsidRDefault="009D7677" w:rsidP="009D7677">
      <w:pPr>
        <w:pStyle w:val="TextoNormal"/>
      </w:pPr>
    </w:p>
    <w:p w14:paraId="384C91C1" w14:textId="77777777" w:rsidR="009D7677" w:rsidRDefault="009D7677" w:rsidP="009D7677">
      <w:pPr>
        <w:pStyle w:val="TextoNormal"/>
      </w:pPr>
      <w:r>
        <w:t>a) No existe norma orgánica ni procesal en nuestro ordenamiento jurídico que permita a los tribunales del orden contencioso-administrativo conocer de la impugnación de una sentencia penal, que en este caso era además firme desde su pronunciamiento el 14 de octubre de 2019 y solo permitía interponer contra ella, dentro de la jurisdicción ordinaria, un incidente de nulidad de actuaciones ante la propia Sala de lo Penal, tal y como entre otros hizo el recurrente y le fue desestimado en auto de 29 de enero de 2020.</w:t>
      </w:r>
    </w:p>
    <w:p w14:paraId="162013D1" w14:textId="77777777" w:rsidR="009D7677" w:rsidRDefault="009D7677" w:rsidP="009D7677">
      <w:pPr>
        <w:pStyle w:val="TextoNormal"/>
      </w:pPr>
    </w:p>
    <w:p w14:paraId="0998DF9B" w14:textId="77777777" w:rsidR="009D7677" w:rsidRDefault="009D7677" w:rsidP="009D7677">
      <w:pPr>
        <w:pStyle w:val="TextoNormal"/>
      </w:pPr>
      <w:r>
        <w:t xml:space="preserve">La invasión o exceso de jurisdicción que propone la demanda carece de reconocimiento en la LOPJ, como se desprende de su art. 9, apartados 1 (“[l]os juzgados y tribunales ejercerán su jurisdicción exclusivamente en aquellos casos en que les venga atribuida por esta u otra ley”) y 4 (donde se recogen las atribuciones de control del orden contencioso-administrativo); como tampoco en los arts. 1 a 3 LJCA, que delimitan el ámbito de competencia de los tribunales de este orden jurisdiccional. La vulneración del derecho a la tutela judicial efectiva (art. 24.1 CE) solo se produciría si, en sentido inverso a lo aquí sucedido, el órgano judicial se inhibe de su deber de juzgar por falta de jurisdicción o de competencia, sin motivar su decisión o mediante argumentos arbitrarios, irrazonables, incursos en error patente o con falta de proporcionalidad (canon </w:t>
      </w:r>
      <w:r w:rsidRPr="009D7677">
        <w:rPr>
          <w:i/>
        </w:rPr>
        <w:t>pro actione</w:t>
      </w:r>
      <w:r>
        <w:t xml:space="preserve"> para el derecho de acceso a la jurisdicción); o en fin, si lo hace sin tener en cuenta que el justiciable ya ha obtenido una previa respuesta de otro orden jurisdiccional que le remite a este, al que se dirige precisamente en virtud de un principio de confianza legítima en la administración de justicia, de modo que esta nueva negativa le dejaría en una situación “sin salida” (en palabras de la STC 117/2009, de 18 de mayo, FJ 4).</w:t>
      </w:r>
    </w:p>
    <w:p w14:paraId="15B0C26F" w14:textId="77777777" w:rsidR="009D7677" w:rsidRDefault="009D7677" w:rsidP="009D7677">
      <w:pPr>
        <w:pStyle w:val="TextoNormal"/>
      </w:pPr>
    </w:p>
    <w:p w14:paraId="7A449E23" w14:textId="77777777" w:rsidR="009D7677" w:rsidRDefault="009D7677" w:rsidP="009D7677">
      <w:pPr>
        <w:pStyle w:val="TextoNormal"/>
      </w:pPr>
      <w:r>
        <w:t>No está de más indicar que la STC 45/2022, de 23 de marzo, desestimó el recurso de amparo interpuesto por el aquí recurrente contra la sentencia 459/2019 y el auto de 29 de enero de 2020 que desestimó el incidente de nulidad, confirmando esta última.</w:t>
      </w:r>
    </w:p>
    <w:p w14:paraId="30488005" w14:textId="77777777" w:rsidR="009D7677" w:rsidRDefault="009D7677" w:rsidP="009D7677">
      <w:pPr>
        <w:pStyle w:val="TextoNormal"/>
      </w:pPr>
    </w:p>
    <w:p w14:paraId="081233B8" w14:textId="77777777" w:rsidR="009D7677" w:rsidRDefault="009D7677" w:rsidP="009D7677">
      <w:pPr>
        <w:pStyle w:val="TextoNormal"/>
      </w:pPr>
      <w:r>
        <w:t>b) La demanda de amparo también afirma en este segundo motivo que, al no haber acometido la sentencia impugnada el control de la sentencia penal de 14 de octubre de 2019, aquella quebrantó el derecho a un “recurso efectivo” al que se refiere el art. 13 CEDH, en cuanto se “inutilizó” al proceso contencioso-administrativo como cauce jurisdiccional para el control a su vez de los actos impugnables ante él (en este caso, los de la Junta Electoral Central).</w:t>
      </w:r>
    </w:p>
    <w:p w14:paraId="4668B074" w14:textId="77777777" w:rsidR="009D7677" w:rsidRDefault="009D7677" w:rsidP="009D7677">
      <w:pPr>
        <w:pStyle w:val="TextoNormal"/>
      </w:pPr>
    </w:p>
    <w:p w14:paraId="0D54239F" w14:textId="77777777" w:rsidR="009D7677" w:rsidRDefault="009D7677" w:rsidP="009D7677">
      <w:pPr>
        <w:pStyle w:val="TextoNormal"/>
      </w:pPr>
      <w:r>
        <w:t>(i) Acerca de la noción de “recurso efectivo” del art. 13 CEDH (“[t]oda persona cuyos derechos y libertades reconocidos en el presente Convenio hayan sido violados tiene dere</w:t>
      </w:r>
      <w:r>
        <w:lastRenderedPageBreak/>
        <w:t>cho a la concesión de un recurso efectivo ante una instancia nacional, incluso cuando la violación haya sido cometida por personas que actúen en el ejercicio de sus funciones oficiales”), que según nuestra STC 69/2021, de 18 de marzo, FJ 5 C) c), “equivaldría a una supuesta queja de violación del artículo 24 CE”, dicha garantía comporta —añade esta sentencia— que la persona “ha tenido ocasión de que un tribunal analice sus pretensiones de fondo de manera motivada y razonada, no debiendo confundirse el derecho al recurso efectivo del art. 13 CEDH con un hipotético derecho a que un tribunal falle en favor de las pretensiones planteadas”. O en palabras de la STC 26/2022, de 24 de febrero, FJ único, que “se trata de un recurso ante una instancia competente, que ofrece al justiciable la posibilidad de obtener el examen de una queja”, insistiendo en que ese procedimiento “no tiene que pasar […] por la estimación de la pretensión defendida por quien hace uso del recurso”.</w:t>
      </w:r>
    </w:p>
    <w:p w14:paraId="185958A8" w14:textId="77777777" w:rsidR="009D7677" w:rsidRDefault="009D7677" w:rsidP="009D7677">
      <w:pPr>
        <w:pStyle w:val="TextoNormal"/>
      </w:pPr>
    </w:p>
    <w:p w14:paraId="05DB1670" w14:textId="77777777" w:rsidR="009D7677" w:rsidRDefault="009D7677" w:rsidP="009D7677">
      <w:pPr>
        <w:pStyle w:val="TextoNormal"/>
      </w:pPr>
      <w:r>
        <w:t xml:space="preserve">En el mismo sentido, la reciente STC 50/2024, de 8 de abril, FJ 3, donde especificamos que “[l]a revisión de las decisiones adoptadas en procesos electorales susceptibles de afectar a la representación democrática </w:t>
      </w:r>
      <w:r w:rsidRPr="009D7677">
        <w:rPr>
          <w:i/>
        </w:rPr>
        <w:t>ex</w:t>
      </w:r>
      <w:r>
        <w:t xml:space="preserve"> art. 3 del Protocolo adicional núm. 1 al CEDH, exige verificar, según la STEDH (Gran Sala) de 10 de julio de 2020, asunto </w:t>
      </w:r>
      <w:r w:rsidRPr="009D7677">
        <w:rPr>
          <w:i/>
        </w:rPr>
        <w:t>Mugemangango c. Bélgica</w:t>
      </w:r>
      <w:r>
        <w:t>: […] si las alegaciones presentadas por quien aduce no haber tenido acceso a un recurso efectivo eran suficientemente serias y discutibles”.</w:t>
      </w:r>
    </w:p>
    <w:p w14:paraId="19115C4F" w14:textId="77777777" w:rsidR="009D7677" w:rsidRDefault="009D7677" w:rsidP="009D7677">
      <w:pPr>
        <w:pStyle w:val="TextoNormal"/>
      </w:pPr>
    </w:p>
    <w:p w14:paraId="12D72C98" w14:textId="77777777" w:rsidR="009D7677" w:rsidRDefault="009D7677" w:rsidP="009D7677">
      <w:pPr>
        <w:pStyle w:val="TextoNormal"/>
      </w:pPr>
      <w:r>
        <w:t>(ii) Con aplicación de dicha doctrina, no puede de ningún modo compartirse la tesis del recurrente sobre la supuesta inutilización por la Sala de lo Contencioso-Administrativo, Sección Cuarta, del recurso ordinario 5-2020, como instrumento de tutela de su pretensión de impugnar los acuerdos de la Junta Electoral Central de 3 y de 23 de enero de 2020. El proceso se tramitó y obtuvo una respuesta de fondo, quedando así satisfecho el derecho a un recurso efectivo (art. 24.1 CE); lo que no se debe confundir con un pretendido derecho a que le sean estimados sus argumentos, por contrarios a la legalidad vigente que estos se revelen.</w:t>
      </w:r>
    </w:p>
    <w:p w14:paraId="343E4BBA" w14:textId="77777777" w:rsidR="009D7677" w:rsidRDefault="009D7677" w:rsidP="009D7677">
      <w:pPr>
        <w:pStyle w:val="TextoNormal"/>
      </w:pPr>
    </w:p>
    <w:p w14:paraId="69CAE604" w14:textId="36A8B71C" w:rsidR="009D7677" w:rsidRDefault="009D7677" w:rsidP="009D7677">
      <w:pPr>
        <w:pStyle w:val="TextoNormal"/>
      </w:pPr>
      <w:r>
        <w:t>c) Resta únicamente mencionar que, como corolario de las vulneraciones que aduce en este motivo y que hemos rechazado, la demanda afirma que se le ha causado al recurrente la lesión de su derecho de sufragio pasivo (art. 23.2 CE), careciendo sin embargo este reproche de una autonomía argumental que permita su viabilidad. También añade que la Sala de lo Contencioso-Administrativo debió plantear cuestión prejudicial ante el Tribunal de Justicia de la Unión Europea, queja que desarrolla en el siguiente motivo de su escrito, por lo que daremos contestación a ella en el siguiente fundamento jurídico.</w:t>
      </w:r>
    </w:p>
    <w:p w14:paraId="7809ED3F" w14:textId="77777777" w:rsidR="009D7677" w:rsidRDefault="009D7677" w:rsidP="009D7677">
      <w:pPr>
        <w:pStyle w:val="TextoNormal"/>
      </w:pPr>
    </w:p>
    <w:p w14:paraId="25B8AD2B" w14:textId="77777777" w:rsidR="009D7677" w:rsidRDefault="009D7677" w:rsidP="009D7677">
      <w:pPr>
        <w:pStyle w:val="TextoNormal"/>
      </w:pPr>
      <w:r w:rsidRPr="009D7677">
        <w:rPr>
          <w:rStyle w:val="NumeroAFNegritaCaracter"/>
        </w:rPr>
        <w:t>4</w:t>
      </w:r>
      <w:r>
        <w:t xml:space="preserve">. </w:t>
      </w:r>
      <w:r w:rsidRPr="009D7677">
        <w:rPr>
          <w:i/>
        </w:rPr>
        <w:t>Tercer motivo de la demanda de amparo (quejas por el no planteamiento de cuestión prejudicial ante el Tribunal de Justicia de la Unión Europea). Desestimación</w:t>
      </w:r>
    </w:p>
    <w:p w14:paraId="547A9161" w14:textId="77777777" w:rsidR="009D7677" w:rsidRDefault="009D7677" w:rsidP="009D7677">
      <w:pPr>
        <w:pStyle w:val="TextoNormal"/>
      </w:pPr>
    </w:p>
    <w:p w14:paraId="070F7F38" w14:textId="77777777" w:rsidR="009D7677" w:rsidRDefault="009D7677" w:rsidP="009D7677">
      <w:pPr>
        <w:pStyle w:val="TextoNormal"/>
      </w:pPr>
      <w:r>
        <w:t>Se queja en tercer término el recurrente de que la Sala y Sección juzgadora no haya planteado antes de dictar sentencia una cuestión prejudicial ante el Tribunal de Justicia de la Unión Europea; en concreto se refiere a las dos cuestiones que propuso al final de su escrito de demanda de instancia, sobre si los acuerdos de la Junta Electoral Central que declararon inelegible al recurrente, con pérdida de su escaño, contradicen el Derecho de la Unión Europea por fundarse en la sentencia de la Sala de lo Penal del Tribunal Supremo de 14 de octubre de 2019, la cual también infringió el Derecho de la Unión Europea al dictarse sin pedir antes el levantamiento de su inmunidad al Parlamento Europeo.</w:t>
      </w:r>
    </w:p>
    <w:p w14:paraId="5177ED16" w14:textId="77777777" w:rsidR="009D7677" w:rsidRDefault="009D7677" w:rsidP="009D7677">
      <w:pPr>
        <w:pStyle w:val="TextoNormal"/>
      </w:pPr>
    </w:p>
    <w:p w14:paraId="6A96ADD8" w14:textId="77777777" w:rsidR="009D7677" w:rsidRDefault="009D7677" w:rsidP="009D7677">
      <w:pPr>
        <w:pStyle w:val="TextoNormal"/>
      </w:pPr>
      <w:r>
        <w:t>Como hemos recogido en los antecedentes, la sentencia aquí impugnada [fundamento quinto, apartado E)], rechazó la procedencia de plantear dichas cuestiones pues los acuerdos de la Junta Electoral Central “no incurren en las infracciones al ordenamiento jurídico que les atribuye la demanda y […] no está en juego la aplicación del Derecho de la Unión Europea ni, en consecuencia, hay dudas sobre su entendimiento que deban ser aclaradas”. La demanda de amparo discrepa sin embargo de este razonamiento y considera que la denegación “inmotivadamente” de la proposición de elevar aquellas cuestiones al Tribunal de Justicia de la Unión Europea ha supuesto la vulneración de los derechos del recurrente a la tutela judicial efectiva (art. 24.1 CE), incluyendo la del derecho a “un recurso efectivo” del art. 13 CEDH y a un proceso con todas las garantías (art. 24.2 CE), e invoca la doctrina del “acto claro” al que se ha referido la STC 37/2019, de 26 de marzo.</w:t>
      </w:r>
    </w:p>
    <w:p w14:paraId="37E1900E" w14:textId="77777777" w:rsidR="009D7677" w:rsidRDefault="009D7677" w:rsidP="009D7677">
      <w:pPr>
        <w:pStyle w:val="TextoNormal"/>
      </w:pPr>
    </w:p>
    <w:p w14:paraId="7B9036D3" w14:textId="77777777" w:rsidR="009D7677" w:rsidRDefault="009D7677" w:rsidP="009D7677">
      <w:pPr>
        <w:pStyle w:val="TextoNormal"/>
      </w:pPr>
      <w:r>
        <w:t>Expuesto con estos argumentos, el motivo debe ser desestimado con arreglo a las siguientes razones:</w:t>
      </w:r>
    </w:p>
    <w:p w14:paraId="5CA81511" w14:textId="77777777" w:rsidR="009D7677" w:rsidRDefault="009D7677" w:rsidP="009D7677">
      <w:pPr>
        <w:pStyle w:val="TextoNormal"/>
      </w:pPr>
    </w:p>
    <w:p w14:paraId="1B1FA671" w14:textId="77777777" w:rsidR="009D7677" w:rsidRDefault="009D7677" w:rsidP="009D7677">
      <w:pPr>
        <w:pStyle w:val="TextoNormal"/>
      </w:pPr>
      <w:r>
        <w:t>a) Este tribunal tiene fijada doctrina en cuanto a la repercusión que tiene en el ámbito de los derechos fundamentales el deber de un órgano judicial de plantear cuestión prejudicial (interpretativa o, en su caso, de validez) ante el Tribunal de Justicia de la Unión Europea, o bien de no hacerlo, en un asunto sometido a su conocimiento, antes de dictar sentencia definitiva. En lo que aquí importa destacar, señalamos en nuestra STC 37/2019 —invocada por el aquí recurrente—, en concreto en el fundamento jurídico 4, que:</w:t>
      </w:r>
    </w:p>
    <w:p w14:paraId="609442FA" w14:textId="77777777" w:rsidR="009D7677" w:rsidRDefault="009D7677" w:rsidP="009D7677">
      <w:pPr>
        <w:pStyle w:val="TextoNormal"/>
      </w:pPr>
    </w:p>
    <w:p w14:paraId="49B9D0F5" w14:textId="77777777" w:rsidR="009D7677" w:rsidRDefault="009D7677" w:rsidP="009D7677">
      <w:pPr>
        <w:pStyle w:val="TextoNormal"/>
      </w:pPr>
      <w:r>
        <w:t>“Resulta contrario al derecho a un proceso con todas las garantías (art. 24.2 CE), dejar de aplicar una norma interna (tenga esta rango de ley o no) sin plantear cuestión prejudicial ante el Tribunal de Justicia de la Unión Europea, cuando exista una ‘duda objetiva, clara y terminante’ sobre esa supuesta contradicción [SSTC 58/2004, FFJJ 9 a 14; 232/2015, FJ 5 a)]. […] En sentido contrario a lo anterior, ‘dejar de plantear la cuestión prejudicial y aplicar una ley nacional supuestamente contraria al Derecho de la Unión no vulnera el derecho a la tutela judicial efectiva si esa decisión es fruto de una exégesis racional de la legalidad ordinaria, pues solo estos parámetros tan elevados forman parte de los derechos consagrados en el art. 24 CE’ [STC 232/2015, FJ 5 b), con cita de las anteriores SSTC 27/2013, de 11 de febrero, FJ 7; 212/2014, de 18 de diciembre, FJ 3, y 99/2015, de 25 de mayo, FJ 3]”.</w:t>
      </w:r>
    </w:p>
    <w:p w14:paraId="1BCE8FF1" w14:textId="77777777" w:rsidR="009D7677" w:rsidRDefault="009D7677" w:rsidP="009D7677">
      <w:pPr>
        <w:pStyle w:val="TextoNormal"/>
      </w:pPr>
    </w:p>
    <w:p w14:paraId="665660E1" w14:textId="77777777" w:rsidR="009D7677" w:rsidRDefault="009D7677" w:rsidP="009D7677">
      <w:pPr>
        <w:pStyle w:val="TextoNormal"/>
      </w:pPr>
      <w:r>
        <w:t>b) En la STC 45/2022, de 23 de marzo, en recurso de amparo promovido por el aquí recurrente —y por don Raül Romeva Rueda— contra la STS 459/2019, de 14 de octubre, y el auto desestimatorio de los incidentes de nulidad, confirmamos el correcto proceder de la Sala de lo Penal del Alto Tribunal en cuanto a no plantear la cuestión prejudicial, aplicando el canon general de una resolución judicial motivada y razonable, pero también el de una motivación acorde con la configuración esencial del derecho fundamental a la participación política (art. 23 CE) concernido [STC 45/2022, FJ 13.1.5.3 a)].</w:t>
      </w:r>
    </w:p>
    <w:p w14:paraId="24B512E4" w14:textId="77777777" w:rsidR="009D7677" w:rsidRDefault="009D7677" w:rsidP="009D7677">
      <w:pPr>
        <w:pStyle w:val="TextoNormal"/>
      </w:pPr>
    </w:p>
    <w:p w14:paraId="1A827ABB" w14:textId="77777777" w:rsidR="009D7677" w:rsidRDefault="009D7677" w:rsidP="009D7677">
      <w:pPr>
        <w:pStyle w:val="TextoNormal"/>
      </w:pPr>
      <w:r>
        <w:t xml:space="preserve">En dicha STC 45/2022, FJ 13.1.5.1 b), señalamos además que: “Corresponderá al órgano judicial, como decisión de legalidad ordinaria que es, establecer si, por entender que concurre una relación de dependencia como la que venimos considerando, procede paralizar ese procedimiento hasta que se pronuncie el Tribunal de Justicia en la cuestión prejudicial o, por no apreciar la misma, cabe continuar el mismo y consiguientemente acordar </w:t>
      </w:r>
      <w:r>
        <w:lastRenderedPageBreak/>
        <w:t xml:space="preserve">sobre esas cuestiones sin esperar a aquel pronunciamiento” [en el mismo sentido, STC 87/2022, de 28 de junio, FJ 3.4 A)]. Hemos tenido así en cuenta la propia doctrina reiterada del Tribunal de Justicia de la Unión Europea, recordada entre otras en su sentencia dictada en Gran Sala el 6 de octubre de 2021, asunto C-561/19, </w:t>
      </w:r>
      <w:r w:rsidRPr="009D7677">
        <w:rPr>
          <w:i/>
        </w:rPr>
        <w:t>Consorzio Italian Management y Catania Multiservizi SpA c. Rete Ferroviaria Italiana SpA</w:t>
      </w:r>
      <w:r>
        <w:t xml:space="preserve">, conforme a la cual no procede que los órganos judiciales planteen la cuestión si esta “no es pertinente, es decir, en los supuestos en los que la respuesta a dicha cuestión, cualquiera que fuera, no podría tener incidencia alguna en la solución del litigio (sentencias de 6 de octubre de 1982, </w:t>
      </w:r>
      <w:r w:rsidRPr="009D7677">
        <w:rPr>
          <w:i/>
        </w:rPr>
        <w:t>Cilfit y otros</w:t>
      </w:r>
      <w:r>
        <w:t xml:space="preserve">, 283/81, EU:C:1982:335, apartado 10; de 18 de julio de 2013, </w:t>
      </w:r>
      <w:r w:rsidRPr="009D7677">
        <w:rPr>
          <w:i/>
        </w:rPr>
        <w:t>Consiglio Nazionale dei Geologi</w:t>
      </w:r>
      <w:r>
        <w:t xml:space="preserve">, C-136/12, EU:C:2013:489, apartado 26, y de 15 de marzo de 2017, </w:t>
      </w:r>
      <w:r w:rsidRPr="009D7677">
        <w:rPr>
          <w:i/>
        </w:rPr>
        <w:t>Aquino</w:t>
      </w:r>
      <w:r>
        <w:t>, C-3/16, EU:C:2017:209, apartado 43)” (apartado 34; también apartados 33, 51, 66 y fallo).</w:t>
      </w:r>
    </w:p>
    <w:p w14:paraId="30123F1C" w14:textId="77777777" w:rsidR="009D7677" w:rsidRDefault="009D7677" w:rsidP="009D7677">
      <w:pPr>
        <w:pStyle w:val="TextoNormal"/>
      </w:pPr>
    </w:p>
    <w:p w14:paraId="0ECC554C" w14:textId="77777777" w:rsidR="009D7677" w:rsidRDefault="009D7677" w:rsidP="009D7677">
      <w:pPr>
        <w:pStyle w:val="TextoNormal"/>
      </w:pPr>
      <w:r>
        <w:t>c) Vista su literalidad, la respuesta dada por la sentencia aquí recurrida, de la Sala de lo Contencioso-Administrativo, Sección Cuarta, del Tribunal Supremo, a la petición formulada por el recurrente evidencia que la Sala no albergaba ninguna “duda objetiva, clara y terminante” sobre la necesidad de plantear cuestión prejudicial ante el Tribunal de Justicia de la Unión Europea, al no apreciar que la Junta Electoral Central tuviera que tener en cuenta el Derecho de la Unión Europea antes de adoptar sus acuerdos, ni percibe contradicción entre los acuerdos y ese Derecho, puesto que este se remite al ordenamiento de cada Estado en cuanto a las causas que pueden determinar la pérdida del escaño de un miembro del Parlamento Europeo.</w:t>
      </w:r>
    </w:p>
    <w:p w14:paraId="6C7B1DDE" w14:textId="77777777" w:rsidR="009D7677" w:rsidRDefault="009D7677" w:rsidP="009D7677">
      <w:pPr>
        <w:pStyle w:val="TextoNormal"/>
      </w:pPr>
    </w:p>
    <w:p w14:paraId="025C4A0D" w14:textId="77777777" w:rsidR="009D7677" w:rsidRDefault="009D7677" w:rsidP="009D7677">
      <w:pPr>
        <w:pStyle w:val="TextoNormal"/>
      </w:pPr>
      <w:r>
        <w:t>La ausencia de duda en plantear la cuestión, porque la pretensión del recurrente no exige la aplicación del Derecho de la Unión Europea ni hay contradicción entre este último y la LOREG, que es la normativa aplicable, se ve respaldada por una apreciación razonable del objeto de la controversia de instancia que resulta acorde, siguiendo nuestra doctrina, con el derecho a la participación política (art. 23 CE) del recurrente que este esgrime:</w:t>
      </w:r>
    </w:p>
    <w:p w14:paraId="5028726F" w14:textId="77777777" w:rsidR="009D7677" w:rsidRDefault="009D7677" w:rsidP="009D7677">
      <w:pPr>
        <w:pStyle w:val="TextoNormal"/>
      </w:pPr>
    </w:p>
    <w:p w14:paraId="13745991" w14:textId="77777777" w:rsidR="009D7677" w:rsidRDefault="009D7677" w:rsidP="009D7677">
      <w:pPr>
        <w:pStyle w:val="TextoNormal"/>
      </w:pPr>
      <w:r>
        <w:t>(i) La sentencia impugnada explica en el fundamento de Derecho quinto, apartado B), “La prejudicialidad penal”, que la inelegibilidad sobrevenida del recurrente como resultado de su condena a la pena de trece años de privación de libertad, no dependía ya de la interpretación que se pudiera dar de la STJUE de 19 de diciembre de 2019, asunto C-502/19, que fue dictada atendiendo a la situación procesal del recurrente en aquella fecha (preso preventivo), la cual ya no persistía. La lectura de los apartados 89 a 91 y la parte dispositiva de la STJUE, corroboran que el Tribunal de Justicia atendía específicamente a la situación procesal en aquel momento del señor Junqueras, en orden al reconocimiento al mismo de la inmunidad del art. 9 del Protocolo núm. 7 de privilegios e inmunidades de la Unión Europea.</w:t>
      </w:r>
    </w:p>
    <w:p w14:paraId="27227364" w14:textId="77777777" w:rsidR="009D7677" w:rsidRDefault="009D7677" w:rsidP="009D7677">
      <w:pPr>
        <w:pStyle w:val="TextoNormal"/>
      </w:pPr>
    </w:p>
    <w:p w14:paraId="74489ED3" w14:textId="77777777" w:rsidR="009D7677" w:rsidRDefault="009D7677" w:rsidP="009D7677">
      <w:pPr>
        <w:pStyle w:val="TextoNormal"/>
      </w:pPr>
      <w:r>
        <w:t xml:space="preserve">(ii) Asimismo, la sentencia impugnada, en el fundamento de Derecho quinto, apartado C), “La cooperación leal con las instituciones europeas”, tras calificar de artificio que la demanda de instancia intente “atribuir a la sentencia de 19 de diciembre de 2019 lo que no dice”, le reprocha además que ignore lo que establece en esta materia el propio Derecho de la Unión Europea. Específicamente el art. 13 del Acta electoral de 1976, la cual “remite a la legislación nacional cuanto afecta a la anulación del mandato de los diputados al Parlamento Europeo”; que es lo que aquí ha hecho la Junta Electoral Central. Sostiene por ello la Sala que se ha respetado el principio de cooperación leal con las instituciones de la </w:t>
      </w:r>
      <w:r>
        <w:lastRenderedPageBreak/>
        <w:t>Unión Europea (Tribunal de Justicia, Parlamento), principio este que “no consiste en ignorar el ordenamiento jurídico europeo y español”.</w:t>
      </w:r>
    </w:p>
    <w:p w14:paraId="62ACB7E5" w14:textId="77777777" w:rsidR="009D7677" w:rsidRDefault="009D7677" w:rsidP="009D7677">
      <w:pPr>
        <w:pStyle w:val="TextoNormal"/>
      </w:pPr>
    </w:p>
    <w:p w14:paraId="70C6B1B4" w14:textId="77777777" w:rsidR="009D7677" w:rsidRDefault="009D7677" w:rsidP="009D7677">
      <w:pPr>
        <w:pStyle w:val="TextoNormal"/>
      </w:pPr>
      <w:r>
        <w:t>Todo ello descarta la necesidad de aplicar la doctrina del “acto claro”, como propugna la demanda de amparo, porque de manera razonable la sentencia explica por qué no resulta de aplicación al caso el Derecho de la Unión Europea (doctrina que supone que esa aplicación fuese necesaria), ni existe contradicción entre este último y la LOREG.</w:t>
      </w:r>
    </w:p>
    <w:p w14:paraId="32B7A49F" w14:textId="77777777" w:rsidR="009D7677" w:rsidRDefault="009D7677" w:rsidP="009D7677">
      <w:pPr>
        <w:pStyle w:val="TextoNormal"/>
      </w:pPr>
    </w:p>
    <w:p w14:paraId="5C2987DA" w14:textId="77777777" w:rsidR="009D7677" w:rsidRDefault="009D7677" w:rsidP="009D7677">
      <w:pPr>
        <w:pStyle w:val="TextoNormal"/>
      </w:pPr>
      <w:r>
        <w:t xml:space="preserve">d) Las propias instituciones comunitarias han aplicado el criterio opuesto al que defiende el recurrente, negando la sujeción al Derecho de la Unión Europea de la declaración de inelegibilidad </w:t>
      </w:r>
      <w:r w:rsidRPr="009D7677">
        <w:rPr>
          <w:i/>
        </w:rPr>
        <w:t>ex</w:t>
      </w:r>
      <w:r>
        <w:t xml:space="preserve"> arts. 6.2 a) y 6.4 LOREG.</w:t>
      </w:r>
    </w:p>
    <w:p w14:paraId="7CD4A155" w14:textId="77777777" w:rsidR="009D7677" w:rsidRDefault="009D7677" w:rsidP="009D7677">
      <w:pPr>
        <w:pStyle w:val="TextoNormal"/>
      </w:pPr>
    </w:p>
    <w:p w14:paraId="2E7357E9" w14:textId="77777777" w:rsidR="009D7677" w:rsidRDefault="009D7677" w:rsidP="009D7677">
      <w:pPr>
        <w:pStyle w:val="TextoNormal"/>
      </w:pPr>
      <w:r>
        <w:t>(i) En efecto, en primer lugar el presidente del Parlamento Europeo, en la sesión de la Cámara del día 13 de enero de 2020, formuló la siguiente declaración: “Habida cuenta de la decisión de la Junta Electoral Central de 3 de enero de 2020 y tras el auto del Tribunal Supremo de 9 de enero de 2020, el Parlamento constata la vacante del escaño de Oriol Junqueras i Vies con efecto desde el 3 de enero de 2020, de conformidad con el Reglamento interno” [acta de la sesión publicada en el “Diario Oficial de la Unión Europea” —“DOUE”— C 239, de 18 de junio de 2021, Información procedente de las instituciones, órganos y organismos de la Unión Europea, Parlamento Europeo, período de sesiones 2019-2020), punto núm. 6, “Composición del Parlamento”].</w:t>
      </w:r>
    </w:p>
    <w:p w14:paraId="1ABAF0F7" w14:textId="77777777" w:rsidR="009D7677" w:rsidRDefault="009D7677" w:rsidP="009D7677">
      <w:pPr>
        <w:pStyle w:val="TextoNormal"/>
      </w:pPr>
    </w:p>
    <w:p w14:paraId="1ADEC7F9" w14:textId="77777777" w:rsidR="009D7677" w:rsidRDefault="009D7677" w:rsidP="009D7677">
      <w:pPr>
        <w:pStyle w:val="TextoNormal"/>
      </w:pPr>
      <w:r>
        <w:t xml:space="preserve">(ii) Contra esta declaración el recurrente formalizó un recurso de anulación del art. 263 TFUE, el cual fue inadmitido por auto del Tribunal General de la Unión Europea (Sección Sexta), de 15 de diciembre de 2020, asunto T-24/20, </w:t>
      </w:r>
      <w:r w:rsidRPr="009D7677">
        <w:rPr>
          <w:i/>
        </w:rPr>
        <w:t>Oriol Junqueras i Vies c. Parlamento Europeo</w:t>
      </w:r>
      <w:r>
        <w:t>, acogiendo el óbice alegado por dicha Cámara en el sentido de que aquella declaración era un acto meramente informativo, carente de efectos jurídicos. Importa destacar al respecto que, con cita de los arts. 7.3 y 13, apartados 1 a 3 del Acta electoral, y del art. 4.4, párrafo segundo del Reglamento interno del Parlamento Europeo, para el Tribunal General “resulta que el Parlamento no dispone de ninguna competencia para controlar la decisión de las autoridades de un Estado miembro por la que se declare, en aplicación del Derecho nacional, la anulación del mandato de un diputado europeo o la existencia de una incompatibilidad adicional” (apartado 59). Esa misma conclusión se alcanza, añade, conforme a los arts. 8 y 12 del Acta electoral y el art. 3, apartado tercero, del Reglamento interno (apartado 60). Además, afirma que la condena a pena privativa de libertad del recurrente, según el “acuerdo de 3 de enero de 2020 de la Junta Electoral Central […] implicaba, legalmente, la pérdida de su mandato de diputado, al aplicársele la cláusula de inelegibilidad prevista en el artículo 6, apartado 2, letra a), de la Ley electoral española, interpretada conjuntamente con el artículo 6, apartado 4, de la misma, conforme a la jurisprudencia constitucional recordada en ese acuerdo” (apartado 70).</w:t>
      </w:r>
    </w:p>
    <w:p w14:paraId="77F2C6D5" w14:textId="77777777" w:rsidR="009D7677" w:rsidRDefault="009D7677" w:rsidP="009D7677">
      <w:pPr>
        <w:pStyle w:val="TextoNormal"/>
      </w:pPr>
    </w:p>
    <w:p w14:paraId="5B53AA2A" w14:textId="77777777" w:rsidR="009D7677" w:rsidRDefault="009D7677" w:rsidP="009D7677">
      <w:pPr>
        <w:pStyle w:val="TextoNormal"/>
      </w:pPr>
      <w:r>
        <w:t>Es de indicar que a la fecha de interponer su demanda de amparo (29 de julio de 2021), el recurrente conocía este auto del Tribunal General de la Unión Europea de 15 de diciembre de 2020, del que sin embargo no hace mención en aquel escrito.</w:t>
      </w:r>
    </w:p>
    <w:p w14:paraId="197027D7" w14:textId="77777777" w:rsidR="009D7677" w:rsidRDefault="009D7677" w:rsidP="009D7677">
      <w:pPr>
        <w:pStyle w:val="TextoNormal"/>
      </w:pPr>
    </w:p>
    <w:p w14:paraId="578F3FC3" w14:textId="77777777" w:rsidR="009D7677" w:rsidRDefault="009D7677" w:rsidP="009D7677">
      <w:pPr>
        <w:pStyle w:val="TextoNormal"/>
      </w:pPr>
      <w:r>
        <w:t xml:space="preserve">(iii) El auto del Tribunal General de 15 de diciembre de 2020 resultó confirmado en casación por la sentencia del Tribunal de Justicia de la Unión Europea (Sala Cuarta), de 22 de diciembre de 2022, asunto C-115/21, </w:t>
      </w:r>
      <w:r w:rsidRPr="009D7677">
        <w:rPr>
          <w:i/>
        </w:rPr>
        <w:t>Oriol Junqueras i Vies c. Parlamento Europeo</w:t>
      </w:r>
      <w:r>
        <w:t xml:space="preserve">. A </w:t>
      </w:r>
      <w:r>
        <w:lastRenderedPageBreak/>
        <w:t>tal efecto, la Sala indica que “de la jurisprudencia del Tribunal de Justicia relativa al artículo 12, apartado 2, del Acta electoral en su versión inicial, pero que es extrapolable al artículo 13, apartado 3, del Acta electoral en su versión aplicable al litigio, se desprende que el Parlamento no dispone de ningún margen de apreciación para declarar la vacante de escaño resultante del Derecho nacional” (apartado 62); ni puede aplicar a este supuesto, que es de “anulación de mandato” del art. 13.3 del Acta electoral, la facultad de negarse a declarar la vacante si se trata de una inexactitud material o de vicio del consentimiento del art. 4.7 del Reglamento interno, que son situaciones distintas de la anulación (apartado 66).</w:t>
      </w:r>
    </w:p>
    <w:p w14:paraId="399E2B51" w14:textId="77777777" w:rsidR="009D7677" w:rsidRDefault="009D7677" w:rsidP="009D7677">
      <w:pPr>
        <w:pStyle w:val="TextoNormal"/>
      </w:pPr>
    </w:p>
    <w:p w14:paraId="2AC4D40B" w14:textId="356F8E41" w:rsidR="009D7677" w:rsidRDefault="009D7677" w:rsidP="009D7677">
      <w:pPr>
        <w:pStyle w:val="TextoNormal"/>
      </w:pPr>
      <w:r>
        <w:t>Expuesto lo anterior, al no existir razón objetiva alguna por la que la Sección Cuarta de la Sala de lo Contencioso-Administrativo del Tribunal Supremo hubiese tenido que elevar cuestión prejudicial ante el Tribunal de Justicia para pronunciarse sobre la legalidad de los acuerdos de la Junta Electoral Central 3/2020 y 4/2020, no se han vulnerado los derechos del recurrente a la tutela judicial efectiva, a un “recurso efectivo” —esta queja, sin recorrido argumental— o a un proceso con todas las garantías del recurrente por indebida preterición del principio de primacía del Derecho de la Unión.</w:t>
      </w:r>
    </w:p>
    <w:p w14:paraId="104BDFC1" w14:textId="77777777" w:rsidR="009D7677" w:rsidRDefault="009D7677" w:rsidP="009D7677">
      <w:pPr>
        <w:pStyle w:val="TextoNormal"/>
      </w:pPr>
    </w:p>
    <w:p w14:paraId="1EF49EF3" w14:textId="77777777" w:rsidR="009D7677" w:rsidRDefault="009D7677" w:rsidP="009D7677">
      <w:pPr>
        <w:pStyle w:val="TextoNormal"/>
      </w:pPr>
      <w:r w:rsidRPr="009D7677">
        <w:rPr>
          <w:rStyle w:val="NumeroAFNegritaCaracter"/>
        </w:rPr>
        <w:t>5</w:t>
      </w:r>
      <w:r>
        <w:t xml:space="preserve">. </w:t>
      </w:r>
      <w:r w:rsidRPr="009D7677">
        <w:rPr>
          <w:i/>
        </w:rPr>
        <w:t>Cuarto motivo de la demanda de amparo (quejas por no haberse apreciado un supuesto de prejudicialidad penal). Desestimación</w:t>
      </w:r>
    </w:p>
    <w:p w14:paraId="0FAEED28" w14:textId="77777777" w:rsidR="009D7677" w:rsidRDefault="009D7677" w:rsidP="009D7677">
      <w:pPr>
        <w:pStyle w:val="TextoNormal"/>
      </w:pPr>
    </w:p>
    <w:p w14:paraId="61AC1635" w14:textId="77777777" w:rsidR="009D7677" w:rsidRDefault="009D7677" w:rsidP="009D7677">
      <w:pPr>
        <w:pStyle w:val="TextoNormal"/>
      </w:pPr>
      <w:r>
        <w:t xml:space="preserve">Alega también la demanda de amparo, que el acuerdo de la Junta Electoral Central de 3 de enero de 2020 no debería haberse dictado sin haber tenido en cuenta la resolución de la Sala de lo Penal del Tribunal Supremo que debía fijar los efectos de la STJUE de 19 de diciembre de 2019 en el asunto C-502/19, </w:t>
      </w:r>
      <w:r w:rsidRPr="009D7677">
        <w:rPr>
          <w:i/>
        </w:rPr>
        <w:t>Oriol Junqueras i Vies</w:t>
      </w:r>
      <w:r>
        <w:t>, con relación a la causa especial 20907-2017, en concreto un auto de 9 de enero de 2020. Al haber prescindido los acuerdos de la Junta de lo que habría de decidir la Sala de lo Penal del Tribunal Supremo, desconocieron el efecto de prejudicialidad penal; infracción jurídica esta que la sentencia impugnada en el presente recurso de amparo, núm. 672/2021, de 12 de mayo, de la Sección Cuarta, Sala de lo Contencioso-Administrativo, del Tribunal Supremo, no ha reparado, dice la demanda, al confirmar aquellos acuerdos de la Junta.</w:t>
      </w:r>
    </w:p>
    <w:p w14:paraId="313D6B4F" w14:textId="77777777" w:rsidR="009D7677" w:rsidRDefault="009D7677" w:rsidP="009D7677">
      <w:pPr>
        <w:pStyle w:val="TextoNormal"/>
      </w:pPr>
    </w:p>
    <w:p w14:paraId="0832AB46" w14:textId="77777777" w:rsidR="009D7677" w:rsidRDefault="009D7677" w:rsidP="009D7677">
      <w:pPr>
        <w:pStyle w:val="TextoNormal"/>
      </w:pPr>
      <w:r>
        <w:t>De este modo, sostiene la demanda de amparo que se ha vulnerado su derecho a la tutela judicial efectiva por faltar “toda motivación” para justificar aquella quiebra de la prejudicialidad penal. Alega también la lesión del art. 24.1 CE en su faceta de derecho a la ejecución en sus propios términos de las resoluciones judiciales. El motivo debe rechazarse por las siguientes razones:</w:t>
      </w:r>
    </w:p>
    <w:p w14:paraId="51BD5DB3" w14:textId="77777777" w:rsidR="009D7677" w:rsidRDefault="009D7677" w:rsidP="009D7677">
      <w:pPr>
        <w:pStyle w:val="TextoNormal"/>
      </w:pPr>
    </w:p>
    <w:p w14:paraId="1455A358" w14:textId="77777777" w:rsidR="009D7677" w:rsidRDefault="009D7677" w:rsidP="009D7677">
      <w:pPr>
        <w:pStyle w:val="TextoNormal"/>
      </w:pPr>
      <w:r>
        <w:t>a) Congruentemente con lo alegado, la Sala de lo Contencioso-Administrativo del Alto Tribunal respondió de manera motivada y razonable a esta cuestión, negando en el fundamento de Derecho quinto, apartado B), de su sentencia aquí impugnada que tal prejudicialidad penal concurriera, atendida la finalidad por la que la Sala Segunda debió dictar el auto de 9 de enero de 2020. No apreciamos que con esta decisión se hubiese incurrido en la alegada vulneración del derecho a la tutela judicial efectiva del recurrente (art. 24.1 CE), por una interpretación o aplicación inadecuada del régimen de prejudicialidad penal del art. 4.1 LJCA (“[l]a competencia del orden jurisdiccional contencioso-administrativo se extiende al conocimiento y decisión de las cuestiones prejudiciales […] salvo las de carácter […] penal”).</w:t>
      </w:r>
    </w:p>
    <w:p w14:paraId="1863DDBF" w14:textId="77777777" w:rsidR="009D7677" w:rsidRDefault="009D7677" w:rsidP="009D7677">
      <w:pPr>
        <w:pStyle w:val="TextoNormal"/>
      </w:pPr>
    </w:p>
    <w:p w14:paraId="336F3587" w14:textId="77777777" w:rsidR="009D7677" w:rsidRDefault="009D7677" w:rsidP="009D7677">
      <w:pPr>
        <w:pStyle w:val="TextoNormal"/>
      </w:pPr>
      <w:r>
        <w:t>b) Sin olvidar que estamos ante un juicio que queda en el ámbito de la legalidad ordinaria [STC 50/2022, de 4 de abril, FJ 4 a), con cita de la STC 166/1995, de 20 de noviembre, FJ 2], hay que indicar que el auto de 9 de enero de 2020 de la Sala de lo Penal del Tribunal Supremo al que se refiere el recurrente, en efecto, y como dice la sentencia impugnada en este amparo, limita los efectos de la STJUE de 19 de diciembre de 2019 a la situación de preso preventivo que tenía el recurrente cuando se elevó la cuestión prejudicial (el día 1 de julio de 2019) sobre el régimen de inmunidad que le era aplicable en aquella situación procesal. Por tanto, el auto de 9 de enero de 2020 desliga todo efecto o repercusión de la STJUE de 19 de diciembre de 2019 sobre su situación posterior de condenado a pena de prisión, que es el que a su vez tiene en cuenta el acuerdo de la Junta Electoral Central de 3 de enero de 2020.</w:t>
      </w:r>
    </w:p>
    <w:p w14:paraId="64242D39" w14:textId="77777777" w:rsidR="009D7677" w:rsidRDefault="009D7677" w:rsidP="009D7677">
      <w:pPr>
        <w:pStyle w:val="TextoNormal"/>
      </w:pPr>
    </w:p>
    <w:p w14:paraId="6FA44506" w14:textId="77777777" w:rsidR="009D7677" w:rsidRDefault="009D7677" w:rsidP="009D7677">
      <w:pPr>
        <w:pStyle w:val="TextoNormal"/>
      </w:pPr>
      <w:r>
        <w:t>Además, el auto de la Sala de lo Penal señala que “la realidad que ahora se proyecta sobre el recurrente [es] la de un preso condenado que, por el solo hecho de serlo, ha incurrido en una causa sobrevenida de inelegibilidad”, con cita justamente de los arts. 6 y 211 LOREG que declaran inelegibles a los condenados por sentencia firme a pena privativa de libertad, durante el periodo que dure la pena.</w:t>
      </w:r>
    </w:p>
    <w:p w14:paraId="6814E97C" w14:textId="77777777" w:rsidR="009D7677" w:rsidRDefault="009D7677" w:rsidP="009D7677">
      <w:pPr>
        <w:pStyle w:val="TextoNormal"/>
      </w:pPr>
    </w:p>
    <w:p w14:paraId="4C0A3BEB" w14:textId="77777777" w:rsidR="009D7677" w:rsidRDefault="009D7677" w:rsidP="009D7677">
      <w:pPr>
        <w:pStyle w:val="TextoNormal"/>
      </w:pPr>
      <w:r>
        <w:t>Este auto fue confirmado en súplica por otro auto de 29 de enero de 2020 en el que se reiteró que el recurrente ya no está en prisión preventiva sino condenado por sentencia firme a la pena de trece años de prisión y a inhabilitación absoluta por el mismo plazo, penas ambas que “se están ahora ejecutando”; habiendo incurrido en una causa sobrevenida de inelegibilidad por la que ha perdido su condición de “europarlamentario”.</w:t>
      </w:r>
    </w:p>
    <w:p w14:paraId="65ADFD85" w14:textId="77777777" w:rsidR="009D7677" w:rsidRDefault="009D7677" w:rsidP="009D7677">
      <w:pPr>
        <w:pStyle w:val="TextoNormal"/>
      </w:pPr>
    </w:p>
    <w:p w14:paraId="5E7D177B" w14:textId="77777777" w:rsidR="009D7677" w:rsidRDefault="009D7677" w:rsidP="009D7677">
      <w:pPr>
        <w:pStyle w:val="TextoNormal"/>
      </w:pPr>
      <w:r>
        <w:t>c) Puede decirse por todo ello que la sentencia aquí impugnada no incurrió en un manejo indebido de las normas de prejudicialidad penal, pues lo resuelto por el auto de 9 de enero de 2020 de la Sala de lo Penal del Tribunal Supremo no habría condicionado el sentido del acuerdo de la Junta Electoral Central de 3 de enero de 2020. Menos todavía la sentencia impugnada desconoció el régimen legal sobre prejudicialidad penal en el proceso contencioso-administrativo.</w:t>
      </w:r>
    </w:p>
    <w:p w14:paraId="50FAD3D6" w14:textId="77777777" w:rsidR="009D7677" w:rsidRDefault="009D7677" w:rsidP="009D7677">
      <w:pPr>
        <w:pStyle w:val="TextoNormal"/>
      </w:pPr>
    </w:p>
    <w:p w14:paraId="7573306E" w14:textId="77777777" w:rsidR="009D7677" w:rsidRDefault="009D7677" w:rsidP="009D7677">
      <w:pPr>
        <w:pStyle w:val="TextoNormal"/>
      </w:pPr>
      <w:r>
        <w:t>Tampoco incurrió la sentencia recurrida en conculcación del derecho fundamental a un proceso con todas las garantías (art. 24.2 CE) por alterar el sistema de fuentes desconociendo el principio de primacía del Derecho de la Unión o el de cooperación leal del art. 4 TUE, como se ha venido explicando en la presente sentencia desde el fundamento jurídico anterior.</w:t>
      </w:r>
    </w:p>
    <w:p w14:paraId="686DA947" w14:textId="77777777" w:rsidR="009D7677" w:rsidRDefault="009D7677" w:rsidP="009D7677">
      <w:pPr>
        <w:pStyle w:val="TextoNormal"/>
      </w:pPr>
    </w:p>
    <w:p w14:paraId="57DD6358" w14:textId="1B7A0B0A" w:rsidR="009D7677" w:rsidRDefault="009D7677" w:rsidP="009D7677">
      <w:pPr>
        <w:pStyle w:val="TextoNormal"/>
      </w:pPr>
      <w:r>
        <w:t>d) En lo que concierne finalmente en este motivo a la denuncia de conculcación del derecho a la ejecución (art. 24.1 CE), lo que dice la demanda de amparo es que el dictado del acuerdo de 3 de enero de la Junta Electoral Central no permitió ejecutar, “en sus propios términos”, la STJUE de 19 de diciembre de 2019, de nuevo por no esperar la Junta al auto de la Sala de lo Penal del Tribunal Supremo de 9 de enero de 2020. De nuevo hay que negar esta vulneración, recordando que la STJUE se refería a la inmunidad de libertad deambulatoria reconocida al aquí recurrente en su condición de preso preventivo, por el art. 9 del Protocolo núm. 7; es decir, todavía no estaba juzgado ni condenado por sentencia en aquel momento. Ningún obstáculo a la ejecución de la STJUE recaída en el asunto C-</w:t>
      </w:r>
      <w:r>
        <w:lastRenderedPageBreak/>
        <w:t>502/19, por ende, se deriva de los acuerdos de la Junta Electoral Central, como tampoco de la sentencia contencioso-administrativa impugnada en este amparo.</w:t>
      </w:r>
    </w:p>
    <w:p w14:paraId="6E9A5860" w14:textId="77777777" w:rsidR="009D7677" w:rsidRDefault="009D7677" w:rsidP="009D7677">
      <w:pPr>
        <w:pStyle w:val="TextoNormal"/>
      </w:pPr>
    </w:p>
    <w:p w14:paraId="1F82B570" w14:textId="77777777" w:rsidR="009D7677" w:rsidRDefault="009D7677" w:rsidP="009D7677">
      <w:pPr>
        <w:pStyle w:val="TextoNormal"/>
      </w:pPr>
      <w:r w:rsidRPr="009D7677">
        <w:rPr>
          <w:rStyle w:val="NumeroAFNegritaCaracter"/>
        </w:rPr>
        <w:t>6</w:t>
      </w:r>
      <w:r>
        <w:t xml:space="preserve">. </w:t>
      </w:r>
      <w:r w:rsidRPr="009D7677">
        <w:rPr>
          <w:i/>
        </w:rPr>
        <w:t>Quinto y último motivo de la demanda de amparo (quejas por sufrir trato discriminatorio). Desestimación</w:t>
      </w:r>
    </w:p>
    <w:p w14:paraId="2140BA17" w14:textId="77777777" w:rsidR="009D7677" w:rsidRDefault="009D7677" w:rsidP="009D7677">
      <w:pPr>
        <w:pStyle w:val="TextoNormal"/>
      </w:pPr>
    </w:p>
    <w:p w14:paraId="7A159445" w14:textId="77777777" w:rsidR="009D7677" w:rsidRDefault="009D7677" w:rsidP="009D7677">
      <w:pPr>
        <w:pStyle w:val="TextoNormal"/>
      </w:pPr>
      <w:r>
        <w:t>Finalmente, la demanda de amparo aduce como último motivo de ataque a la sentencia 672/2021 y a la providencia que inadmite el incidente de nulidad contra ella que dichas resoluciones incurren en lesión del derecho a la tutela judicial efectiva (art. 24.1 CE) del recurrente, por incongruencia omisiva y falta de motivación, así como del derecho a la igualdad en la aplicación de la ley y a la no discriminación del art. 14 CE y de su derecho fundamental al sufragio pasivo (art. 23 CE), al haber sufrido trato discriminatorio “en relación con otros eurodiputados en relación con quienes sí se ha solicitado previo suplicatorio (levantamiento de la inmunidad) previo a dictar cualquier resolución judicial respecto a ellos o a quienes no se les ha impedido el acceso al cargo”. En el escrito, si bien reconoce primero que “difícilmente puede aportarse término de comparación de un eurodiputado sometido de forma exacta a las graves vulneraciones de derechos fundamentales a las que se somete al señor Junqueras”, menciona sin embargo después a “todos los eurodiputados, especialmente los sometidos a un procedimiento de levantamiento de la inmunidad y, especialmente, los señores Puigdemont y Comín”; y añade que la vulneración de los derechos del recurrente “ha sido declarada por la propia sentencia del Tribunal de Justicia de la Unión Europea y reconocida por el auto de la Sala de lo Penal del Tribunal Supremo de 9 de enero de 2020 (aunque sin anudarle efecto jurídico alguno)”.</w:t>
      </w:r>
    </w:p>
    <w:p w14:paraId="1AE56387" w14:textId="77777777" w:rsidR="009D7677" w:rsidRDefault="009D7677" w:rsidP="009D7677">
      <w:pPr>
        <w:pStyle w:val="TextoNormal"/>
      </w:pPr>
    </w:p>
    <w:p w14:paraId="315D314E" w14:textId="77777777" w:rsidR="009D7677" w:rsidRDefault="009D7677" w:rsidP="009D7677">
      <w:pPr>
        <w:pStyle w:val="TextoNormal"/>
      </w:pPr>
      <w:r>
        <w:t>Este último motivo ha de correr la misma suerte desestimatoria de los anteriores.</w:t>
      </w:r>
    </w:p>
    <w:p w14:paraId="33EF40BF" w14:textId="77777777" w:rsidR="009D7677" w:rsidRDefault="009D7677" w:rsidP="009D7677">
      <w:pPr>
        <w:pStyle w:val="TextoNormal"/>
      </w:pPr>
    </w:p>
    <w:p w14:paraId="4ACA3F72" w14:textId="77777777" w:rsidR="009D7677" w:rsidRDefault="009D7677" w:rsidP="009D7677">
      <w:pPr>
        <w:pStyle w:val="TextoNormal"/>
      </w:pPr>
      <w:r>
        <w:t>a) Ante todo, es doctrina de este tribunal, recordada por nuestra STC 127/2019, de 31 de octubre, FJ 7, que:</w:t>
      </w:r>
    </w:p>
    <w:p w14:paraId="700401B0" w14:textId="77777777" w:rsidR="009D7677" w:rsidRDefault="009D7677" w:rsidP="009D7677">
      <w:pPr>
        <w:pStyle w:val="TextoNormal"/>
      </w:pPr>
    </w:p>
    <w:p w14:paraId="08B2564C" w14:textId="77777777" w:rsidR="009D7677" w:rsidRDefault="009D7677" w:rsidP="009D7677">
      <w:pPr>
        <w:pStyle w:val="TextoNormal"/>
      </w:pPr>
      <w:r>
        <w:t>“Para apreciar una vulneración del derecho a la igualdad ante la ley debe partirse de la homogeneidad o identidad del término de comparación utilizado. Lo propio del juicio de igualdad, es ‘su carácter relacional conforme al cual se requiere como presupuestos obligados, de un lado, que, como consecuencia de la medida normativa cuestionada, se haya introducido directa o indirectamente una diferencia de trato entre grupos o categorías de personas’ y, de otro, que ‘las situaciones subjetivas que quieran traerse a la comparación sean, efectivamente, homogéneas o equiparables, es decir, que el término de comparación no resulte arbitrario o caprichoso’. Solo una vez verificado uno y otro presupuesto resulta procedente entrar a determinar la licitud constitucional o no de la diferencia contenida en la norma (SSTC 205/2011, de 15 de diciembre, FJ 3, y 160/2012, de 20 de septiembre, FJ 7)”.</w:t>
      </w:r>
    </w:p>
    <w:p w14:paraId="30811EDA" w14:textId="77777777" w:rsidR="009D7677" w:rsidRDefault="009D7677" w:rsidP="009D7677">
      <w:pPr>
        <w:pStyle w:val="TextoNormal"/>
      </w:pPr>
    </w:p>
    <w:p w14:paraId="0AD21D4C" w14:textId="77777777" w:rsidR="009D7677" w:rsidRDefault="009D7677" w:rsidP="009D7677">
      <w:pPr>
        <w:pStyle w:val="TextoNormal"/>
      </w:pPr>
      <w:r>
        <w:t xml:space="preserve">b) Así rectamente entendido, es evidente que el recurrente no ofrece un término de comparación que resulte válido a los efectos que pretende. Su situación es la de una persona condenada por sentencia penal firme a pena privativa de libertad, a quien se le han impuesto los efectos </w:t>
      </w:r>
      <w:r w:rsidRPr="009D7677">
        <w:rPr>
          <w:i/>
        </w:rPr>
        <w:t>ex lege</w:t>
      </w:r>
      <w:r>
        <w:t xml:space="preserve"> de los arts. 6.2 a) y 6.4 LOREG, lo que significa que el </w:t>
      </w:r>
      <w:r w:rsidRPr="009D7677">
        <w:rPr>
          <w:i/>
        </w:rPr>
        <w:t>tertium comparationis</w:t>
      </w:r>
      <w:r>
        <w:t xml:space="preserve"> no puede ser otro que la eventual identificación de otra persona electa a cargo representativo en comicios celebrados en España (incluso aunque no sea el de diputado del Parlamento Europeo) a quien, pese a habérsele impuesto una pena de prisión, </w:t>
      </w:r>
      <w:r>
        <w:lastRenderedPageBreak/>
        <w:t>no se le hubiera declarado inelegible por la administración electoral competente y continuara por ello ejerciéndo su cargo. Incluso de hallarlo, no podría prescindirse del hecho de que quedaría por averiguar por qué motivo habría sido excepcionada esa otra persona de la aplicación de la ley, continuando en el escaño, pues no existe el derecho a la igualdad en la ilegalidad (por todas, STC 25/2022, de 23 de febrero, FJ 3).</w:t>
      </w:r>
    </w:p>
    <w:p w14:paraId="490C2D1C" w14:textId="77777777" w:rsidR="009D7677" w:rsidRDefault="009D7677" w:rsidP="009D7677">
      <w:pPr>
        <w:pStyle w:val="TextoNormal"/>
      </w:pPr>
    </w:p>
    <w:p w14:paraId="464589E4" w14:textId="77777777" w:rsidR="009D7677" w:rsidRDefault="009D7677" w:rsidP="009D7677">
      <w:pPr>
        <w:pStyle w:val="TextoNormal"/>
      </w:pPr>
      <w:r>
        <w:t>El único término de comparación ofrecido es el de “los señores Puigdemont y Comín”, quienes no han sido juzgados ni condenados en la causa especial 20907-2017 por haberse puesto fuera del alcance de la justicia española, por lo que a ellos no se les ha aplicado lo dispuesto en el art. 6 LOREG, lo que descarta todo posible parangón.</w:t>
      </w:r>
    </w:p>
    <w:p w14:paraId="2EEC9E2A" w14:textId="77777777" w:rsidR="009D7677" w:rsidRDefault="009D7677" w:rsidP="009D7677">
      <w:pPr>
        <w:pStyle w:val="TextoNormal"/>
      </w:pPr>
    </w:p>
    <w:p w14:paraId="1009B883" w14:textId="77777777" w:rsidR="009D7677" w:rsidRDefault="009D7677" w:rsidP="009D7677">
      <w:pPr>
        <w:pStyle w:val="TextoNormal"/>
      </w:pPr>
      <w:r>
        <w:t>c) Tampoco se acredita que el demandante de amparo haya padecido alguna situación personal calificable de discriminatoria, conforme al segundo inciso del art. 14 CE. Aunque nuestra doctrina en este ámbito, a diferencia de aquel estricto de la igualdad ante la ley, “no exige un contraste con nadie, con un tercero, sino solo la verificación de la concurrencia del factor protegido” (STC 172/2021, de 7 de octubre, FJ 3), sí deben suministrarse al menos datos objetivos que permitan identificar un comportamiento prohibido, lo que en este caso no sucede.</w:t>
      </w:r>
    </w:p>
    <w:p w14:paraId="51B176A5" w14:textId="77777777" w:rsidR="009D7677" w:rsidRDefault="009D7677" w:rsidP="009D7677">
      <w:pPr>
        <w:pStyle w:val="TextoNormal"/>
      </w:pPr>
    </w:p>
    <w:p w14:paraId="09246B76" w14:textId="77777777" w:rsidR="009D7677" w:rsidRDefault="009D7677" w:rsidP="009D7677">
      <w:pPr>
        <w:pStyle w:val="TextoNormal"/>
      </w:pPr>
      <w:r>
        <w:t>La sentencia impugnada razona de manera congruente y motivada que no se ha acreditado la vulneración del art. 14 CE que se invoca, pues “no nos ha mostrado el recurrente que a otros diputados electos, en su situación, se les hubiera dispensado el trato que él no recibió”. Esta respuesta no merece objeción, y no precisa de más extensión justamente por la patente ausencia de hechos que permitan hablar de una vulneración del art. 14 CE.</w:t>
      </w:r>
    </w:p>
    <w:p w14:paraId="5CB1255D" w14:textId="77777777" w:rsidR="009D7677" w:rsidRDefault="009D7677" w:rsidP="009D7677">
      <w:pPr>
        <w:pStyle w:val="TextoNormal"/>
      </w:pPr>
    </w:p>
    <w:p w14:paraId="720217E1" w14:textId="1B69F7C7" w:rsidR="009D7677" w:rsidRDefault="009D7677" w:rsidP="009D7677">
      <w:pPr>
        <w:pStyle w:val="TextoNormal"/>
      </w:pPr>
      <w:r>
        <w:t>Procede, con la desestimación de este último motivo, la del recurso en su totalidad.</w:t>
      </w:r>
    </w:p>
    <w:p w14:paraId="563E7C56" w14:textId="77777777" w:rsidR="009D7677" w:rsidRDefault="009D7677" w:rsidP="009D7677">
      <w:pPr>
        <w:pStyle w:val="TextoNormal"/>
      </w:pPr>
    </w:p>
    <w:p w14:paraId="1AFBF3ED" w14:textId="77777777" w:rsidR="009D7677" w:rsidRDefault="009D7677" w:rsidP="009D7677">
      <w:pPr>
        <w:pStyle w:val="TextoNormalCentrado"/>
        <w:keepNext/>
      </w:pPr>
      <w:r>
        <w:t>FALLO</w:t>
      </w:r>
    </w:p>
    <w:p w14:paraId="25C791A0" w14:textId="742A6F47" w:rsidR="009D7677" w:rsidRDefault="009D7677" w:rsidP="009D7677">
      <w:pPr>
        <w:pStyle w:val="TextoNormalCentrado"/>
        <w:keepNext/>
      </w:pPr>
    </w:p>
    <w:p w14:paraId="469FB028" w14:textId="7735DAA6" w:rsidR="009D7677" w:rsidRDefault="009D7677" w:rsidP="009D7677">
      <w:pPr>
        <w:pStyle w:val="TextoNormal"/>
      </w:pPr>
      <w:r>
        <w:t>En atención a todo lo expuesto, el Tribunal Constitucional, por la autoridad que le confiere la Constitución de la Nación española, ha decidido desestimar la demanda de amparo interpuesta por don Oriol Junqueras i Vies.</w:t>
      </w:r>
    </w:p>
    <w:p w14:paraId="18FAEFF0" w14:textId="77777777" w:rsidR="009D7677" w:rsidRDefault="009D7677" w:rsidP="009D7677">
      <w:pPr>
        <w:pStyle w:val="TextoNormal"/>
      </w:pPr>
    </w:p>
    <w:p w14:paraId="2D477DD2" w14:textId="77777777" w:rsidR="009D7677" w:rsidRDefault="009D7677" w:rsidP="009D7677">
      <w:pPr>
        <w:pStyle w:val="TextoNormal"/>
      </w:pPr>
      <w:r>
        <w:t>Publíquese esta sentencia en el “Boletín Oficial del Estado”.</w:t>
      </w:r>
    </w:p>
    <w:p w14:paraId="23F5C75B" w14:textId="77777777" w:rsidR="009D7677" w:rsidRDefault="009D7677" w:rsidP="009D7677">
      <w:pPr>
        <w:pStyle w:val="TextoNormal"/>
      </w:pPr>
      <w:r>
        <w:t>Dada en Madrid, a veintitrés de abril de dos mil veinticuatro.</w:t>
      </w:r>
    </w:p>
    <w:p w14:paraId="065D8ACE" w14:textId="4DA2C099" w:rsidR="009D7677" w:rsidRDefault="009D7677">
      <w:pPr>
        <w:spacing w:after="160" w:line="259" w:lineRule="auto"/>
        <w:rPr>
          <w:rFonts w:ascii="Times New Roman" w:eastAsia="Times New Roman" w:hAnsi="Times New Roman" w:cs="Times New Roman"/>
          <w:sz w:val="24"/>
          <w:szCs w:val="24"/>
          <w:lang w:eastAsia="es-ES"/>
        </w:rPr>
      </w:pPr>
      <w:r>
        <w:br w:type="page"/>
      </w:r>
    </w:p>
    <w:p w14:paraId="720CA27D" w14:textId="77777777" w:rsidR="009D7677" w:rsidRDefault="009D7677" w:rsidP="009D7677">
      <w:pPr>
        <w:pStyle w:val="TtuloResolucin"/>
      </w:pPr>
      <w:bookmarkStart w:id="69" w:name="SENTENCIA_2024_67"/>
      <w:r>
        <w:lastRenderedPageBreak/>
        <w:t>SENTENCIA 67/2024, de 23 de abril de 2024</w:t>
      </w:r>
    </w:p>
    <w:bookmarkEnd w:id="69"/>
    <w:p w14:paraId="029946BB" w14:textId="77777777" w:rsidR="009D7677" w:rsidRDefault="009D7677" w:rsidP="009D7677">
      <w:pPr>
        <w:pStyle w:val="TtuloResolucin"/>
      </w:pPr>
      <w:r>
        <w:t>Pleno</w:t>
      </w:r>
    </w:p>
    <w:p w14:paraId="797C491D" w14:textId="77777777" w:rsidR="009D7677" w:rsidRDefault="009D7677" w:rsidP="009D7677">
      <w:pPr>
        <w:pStyle w:val="TtuloBOE"/>
      </w:pPr>
      <w:r>
        <w:t>(BOE núm. 131, de 30 de mayo de 2024)</w:t>
      </w:r>
    </w:p>
    <w:p w14:paraId="60538BAA" w14:textId="77777777" w:rsidR="009D7677" w:rsidRDefault="009D7677" w:rsidP="009D7677">
      <w:pPr>
        <w:pStyle w:val="TextoNormalCentrado"/>
      </w:pPr>
      <w:r>
        <w:t>ECLI:ES:TC:2024:67</w:t>
      </w:r>
    </w:p>
    <w:p w14:paraId="1BA4F401" w14:textId="223181F6" w:rsidR="009D7677" w:rsidRDefault="009D7677" w:rsidP="009D7677">
      <w:pPr>
        <w:pStyle w:val="TextoNormalCentrado"/>
      </w:pPr>
    </w:p>
    <w:p w14:paraId="2F48D674" w14:textId="77777777" w:rsidR="009D7677" w:rsidRDefault="009D7677" w:rsidP="009D7677">
      <w:pPr>
        <w:pStyle w:val="SntesisDescriptiva"/>
      </w:pPr>
      <w:r>
        <w:t>Recurso de inconstitucionalidad 2059-2022. Interpuesto por más de cincuenta diputados del Grupo Parlamentario Popular en el Congreso respecto de la disposición final primera de la Ley 22/2021, de 28 de diciembre, de presupuestos generales del Estado para el año 2022.</w:t>
      </w:r>
    </w:p>
    <w:p w14:paraId="0AB1C74B" w14:textId="1D826AD3" w:rsidR="009D7677" w:rsidRDefault="009D7677" w:rsidP="009D7677">
      <w:pPr>
        <w:pStyle w:val="SntesisDescriptiva"/>
      </w:pPr>
    </w:p>
    <w:p w14:paraId="165884E7" w14:textId="77777777" w:rsidR="009D7677" w:rsidRDefault="009D7677" w:rsidP="009D7677">
      <w:pPr>
        <w:pStyle w:val="SntesisAnaltica"/>
      </w:pPr>
      <w:r>
        <w:t>Límites de las leyes de presupuestos: nulidad del precepto legal que reforma la Ley reguladora de las bases del régimen local modificando la forma de selección, provisión y nombramiento de funcionarios con habilitación de carácter nacional en el ámbito de la Comunidad Autónoma del País Vasco. Voto particular.</w:t>
      </w:r>
    </w:p>
    <w:p w14:paraId="023CD928" w14:textId="4D3C1E05" w:rsidR="009D7677" w:rsidRDefault="009D7677" w:rsidP="009D7677">
      <w:pPr>
        <w:pStyle w:val="SntesisAnaltica"/>
      </w:pPr>
    </w:p>
    <w:p w14:paraId="52EC02AF" w14:textId="1C248A77" w:rsidR="009D7677" w:rsidRDefault="009D7677" w:rsidP="009D7677">
      <w:pPr>
        <w:pStyle w:val="Extracto"/>
      </w:pPr>
      <w:r>
        <w:t>1.</w:t>
      </w:r>
      <w:r>
        <w:tab/>
        <w:t>En el contenido eventual de una ley de presupuestos en general no caben las normas que integran el régimen de la función pública (STC 109/2021); y así hemos declarado inconstitucionales, entre otras, por tratarse de disposiciones de carácter general que no guardaban relación alguna con los ingresos y gastos del ejercicio, diversas medidas relacionadas con el personal del sector público incluidas en leyes de presupuestos (SSTC 174/1998, o 109/2021) [FJ 3].</w:t>
      </w:r>
    </w:p>
    <w:p w14:paraId="0A37A2EF" w14:textId="77777777" w:rsidR="009D7677" w:rsidRDefault="009D7677" w:rsidP="009D7677">
      <w:pPr>
        <w:pStyle w:val="Extracto"/>
      </w:pPr>
    </w:p>
    <w:p w14:paraId="23E6752D" w14:textId="43E53DD8" w:rsidR="009D7677" w:rsidRDefault="009D7677" w:rsidP="009D7677">
      <w:pPr>
        <w:pStyle w:val="Extracto"/>
      </w:pPr>
      <w:r>
        <w:t>2.</w:t>
      </w:r>
      <w:r>
        <w:tab/>
        <w:t>Encuentran cabida en el contenido eventual de una ley de presupuestos normas que guardan conexión con el régimen retributivo de la función pública (STC 152/2014), con incidencia directa en el gasto público presupuestado (STC 109/2021), tales como las que establecen la incompatibilidad de percepción de haberes activos y de pensiones (STC 65/1990); el incremento de retribuciones salariales para el personal al servicio de las administraciones públicas (STC 237/1992); la creación de un complemento retributivo para determinados cargos públicos (STC 32/2000); o una medida que pretende evitar el incremento de las retribuciones del personal del sector público (STC 99/2016) [FJ 3].</w:t>
      </w:r>
    </w:p>
    <w:p w14:paraId="3F607671" w14:textId="77777777" w:rsidR="009D7677" w:rsidRDefault="009D7677" w:rsidP="009D7677">
      <w:pPr>
        <w:pStyle w:val="Extracto"/>
      </w:pPr>
    </w:p>
    <w:p w14:paraId="65827F60" w14:textId="1EF6A493" w:rsidR="009D7677" w:rsidRDefault="009D7677" w:rsidP="009D7677">
      <w:pPr>
        <w:pStyle w:val="Extracto"/>
      </w:pPr>
      <w:r>
        <w:t>3.</w:t>
      </w:r>
      <w:r>
        <w:tab/>
        <w:t>Aceptar que la conexión funcional de los funcionarios de administración local con habilitación nacional con la materia de control externo de la gestión económico-financiera y presupuestaria de las entidades locales expresa la relación directa que exige la jurisprudencia constitucional a efectos del contenido eventual de la ley de presupuestos, implicaría que esta ley pudiese regular todos los colectivos funcionariales que desempeñan tareas relacionadas con ingresos y gastos públicos, en contra de la configuración constitucional de ley de presupuestos como ley de contenido constitucionalmente definido (STC 32/2000) [FJ 4].</w:t>
      </w:r>
    </w:p>
    <w:p w14:paraId="63B521CB" w14:textId="77777777" w:rsidR="009D7677" w:rsidRDefault="009D7677" w:rsidP="009D7677">
      <w:pPr>
        <w:pStyle w:val="Extracto"/>
      </w:pPr>
    </w:p>
    <w:p w14:paraId="09EC2C4D" w14:textId="09CA6116" w:rsidR="009D7677" w:rsidRDefault="009D7677" w:rsidP="009D7677">
      <w:pPr>
        <w:pStyle w:val="Extracto"/>
      </w:pPr>
      <w:r>
        <w:t>4.</w:t>
      </w:r>
      <w:r>
        <w:tab/>
        <w:t>Debe concurrir relación directa o inmediata entre la ley de presupuestos y los gastos e ingresos que integran el presupuesto; y no cabe entender que esté justificada la inclusión de una disposición en la ley de presupuestos por suponer un complemento necesario para la mayor inteligencia y para la mejor y más eficaz ejecución del presupuesto y, en general, de la política económica del Gobierno (SSTC 76/1992 o 86/2013) [FJ 4].</w:t>
      </w:r>
    </w:p>
    <w:p w14:paraId="49DE0729" w14:textId="77777777" w:rsidR="009D7677" w:rsidRDefault="009D7677" w:rsidP="009D7677">
      <w:pPr>
        <w:pStyle w:val="Extracto"/>
      </w:pPr>
    </w:p>
    <w:p w14:paraId="65F70654" w14:textId="77777777" w:rsidR="009D7677" w:rsidRDefault="009D7677" w:rsidP="009D7677">
      <w:pPr>
        <w:pStyle w:val="Extracto"/>
      </w:pPr>
    </w:p>
    <w:p w14:paraId="7A96B796" w14:textId="77777777" w:rsidR="009D7677" w:rsidRDefault="009D7677" w:rsidP="009D7677">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26D7A700" w14:textId="25C7BC7C" w:rsidR="009D7677" w:rsidRDefault="009D7677" w:rsidP="009D7677">
      <w:pPr>
        <w:pStyle w:val="TextoNormal"/>
      </w:pPr>
    </w:p>
    <w:p w14:paraId="3C745CCA" w14:textId="77777777" w:rsidR="009D7677" w:rsidRDefault="009D7677" w:rsidP="009D7677">
      <w:pPr>
        <w:pStyle w:val="TextoNormalCentrado"/>
        <w:keepNext/>
      </w:pPr>
      <w:r>
        <w:t>EN NOMBRE DEL REY</w:t>
      </w:r>
    </w:p>
    <w:p w14:paraId="295C1D92" w14:textId="4DE745FA" w:rsidR="009D7677" w:rsidRDefault="009D7677" w:rsidP="009D7677">
      <w:pPr>
        <w:pStyle w:val="TextoNormalCentrado"/>
        <w:keepNext/>
      </w:pPr>
    </w:p>
    <w:p w14:paraId="63851CAC" w14:textId="77777777" w:rsidR="009D7677" w:rsidRDefault="009D7677" w:rsidP="009D7677">
      <w:pPr>
        <w:pStyle w:val="TextoNormalCentrado"/>
        <w:keepNext/>
      </w:pPr>
    </w:p>
    <w:p w14:paraId="6286AB09" w14:textId="77777777" w:rsidR="009D7677" w:rsidRDefault="009D7677" w:rsidP="009D7677">
      <w:pPr>
        <w:pStyle w:val="TextoNormal"/>
      </w:pPr>
      <w:r>
        <w:t>la siguiente</w:t>
      </w:r>
    </w:p>
    <w:p w14:paraId="4B1217B6" w14:textId="10247AC6" w:rsidR="009D7677" w:rsidRDefault="009D7677" w:rsidP="009D7677">
      <w:pPr>
        <w:pStyle w:val="TextoNormal"/>
      </w:pPr>
    </w:p>
    <w:p w14:paraId="6848CE03" w14:textId="77777777" w:rsidR="009D7677" w:rsidRDefault="009D7677" w:rsidP="009D7677">
      <w:pPr>
        <w:pStyle w:val="TextoNormalCentrado"/>
        <w:keepNext/>
      </w:pPr>
      <w:r>
        <w:t>SENTENCIA</w:t>
      </w:r>
    </w:p>
    <w:p w14:paraId="2F447A3E" w14:textId="71125B63" w:rsidR="009D7677" w:rsidRDefault="009D7677" w:rsidP="009D7677">
      <w:pPr>
        <w:pStyle w:val="TextoNormalCentrado"/>
        <w:keepNext/>
      </w:pPr>
    </w:p>
    <w:p w14:paraId="143026CA" w14:textId="77777777" w:rsidR="009D7677" w:rsidRDefault="009D7677" w:rsidP="009D7677">
      <w:pPr>
        <w:pStyle w:val="TextoNormal"/>
      </w:pPr>
      <w:r>
        <w:t>En el recurso de inconstitucionalidad núm. 2059-2022, promovido por más de cincuenta diputados pertenecientes al Grupo Parlamentario Popular en el Congreso de los Diputados, contra la disposición final primera de la Ley 22/2021, de 28 de diciembre, de presupuestos generales del Estado para el año 2022, que modifica la Ley 7/1985, de 2 de abril, reguladora de las bases del régimen local. Han comparecido y formulado alegaciones, en la representación que ostentan, el abogado del Estado y el letrado del Gobierno Vasco. Ha sido ponente el magistrado don Enrique Arnaldo Alcubilla.</w:t>
      </w:r>
    </w:p>
    <w:p w14:paraId="61605F30" w14:textId="3B610601" w:rsidR="009D7677" w:rsidRDefault="009D7677" w:rsidP="009D7677">
      <w:pPr>
        <w:pStyle w:val="TextoNormal"/>
      </w:pPr>
    </w:p>
    <w:p w14:paraId="220F7C09" w14:textId="77777777" w:rsidR="009D7677" w:rsidRDefault="009D7677" w:rsidP="009D7677">
      <w:pPr>
        <w:pStyle w:val="TextoNormalNegritaCentrado"/>
        <w:keepNext/>
      </w:pPr>
      <w:r>
        <w:t>I. Antecedentes</w:t>
      </w:r>
    </w:p>
    <w:p w14:paraId="2E8DA99F" w14:textId="0BB10B69" w:rsidR="009D7677" w:rsidRDefault="009D7677" w:rsidP="009D7677">
      <w:pPr>
        <w:pStyle w:val="TextoNormalNegritaCentrado"/>
        <w:keepNext/>
      </w:pPr>
    </w:p>
    <w:p w14:paraId="24E9CCA4" w14:textId="77777777" w:rsidR="009D7677" w:rsidRDefault="009D7677" w:rsidP="009D7677">
      <w:pPr>
        <w:pStyle w:val="TextoNormal"/>
      </w:pPr>
      <w:r w:rsidRPr="009D7677">
        <w:rPr>
          <w:rStyle w:val="NumeroAFNegritaCaracter"/>
        </w:rPr>
        <w:t>1</w:t>
      </w:r>
      <w:r>
        <w:t>. El día 24 de marzo de 2022 tuvo entrada en el registro general de este tribunal el recurso de inconstitucionalidad interpuesto por más de cincuenta diputados pertenecientes al Grupo Parlamentario Popular en el Congreso de los Diputados contra la disposición final primera de la Ley 22/2021, de 28 de diciembre, de presupuestos generales del Estado para el año 2022, que modifica la Ley 7/1985, de 2 de abril, reguladora de las bases del régimen local. Los motivos en los que se fundamenta el recurso de inconstitucionalidad son los que, sucintamente, se exponen a continuación:</w:t>
      </w:r>
    </w:p>
    <w:p w14:paraId="4C1458F7" w14:textId="77777777" w:rsidR="009D7677" w:rsidRDefault="009D7677" w:rsidP="009D7677">
      <w:pPr>
        <w:pStyle w:val="TextoNormal"/>
      </w:pPr>
    </w:p>
    <w:p w14:paraId="004FB69C" w14:textId="77777777" w:rsidR="009D7677" w:rsidRDefault="009D7677" w:rsidP="009D7677">
      <w:pPr>
        <w:pStyle w:val="TextoNormal"/>
      </w:pPr>
      <w:r>
        <w:t xml:space="preserve">a) Los diputados recurrentes alegan, como primer motivo de inconstitucionalidad, que la disposición final primera de la Ley 22/2021, de 28 de diciembre, de presupuestos generales del Estado para el año 2022, incorpora una regulación ajena al contenido propio de las leyes presupuestarias al modificar el apartado séptimo de la disposición adicional segunda de la Ley 7/1985, de 2 de abril, reguladora de las bases del régimen local (LBRL). Vulneraría por ello los arts. 66.2 y 134.2 CE, en relación con el principio de seguridad jurídica </w:t>
      </w:r>
      <w:r w:rsidRPr="009D7677">
        <w:rPr>
          <w:i/>
        </w:rPr>
        <w:t>ex</w:t>
      </w:r>
      <w:r>
        <w:t xml:space="preserve"> art. 9.3 CE.</w:t>
      </w:r>
    </w:p>
    <w:p w14:paraId="313F8E54" w14:textId="77777777" w:rsidR="009D7677" w:rsidRDefault="009D7677" w:rsidP="009D7677">
      <w:pPr>
        <w:pStyle w:val="TextoNormal"/>
      </w:pPr>
    </w:p>
    <w:p w14:paraId="7133BB82" w14:textId="77777777" w:rsidR="009D7677" w:rsidRDefault="009D7677" w:rsidP="009D7677">
      <w:pPr>
        <w:pStyle w:val="TextoNormal"/>
      </w:pPr>
      <w:r>
        <w:t xml:space="preserve">Entienden los recurrentes que, a la luz de la doctrina constitucional sobre los límites materiales del contenido eventual o no imprescindible de las leyes de presupuestos, la disposición impugnada no guarda relación económica directa con los ingresos o gastos de las administraciones locales afectadas, en tanto incide sobre la forma de selección, provisión y nombramiento de funcionarios con habilitación de carácter nacional en el ámbito de la </w:t>
      </w:r>
      <w:r>
        <w:lastRenderedPageBreak/>
        <w:t>Comunidad Autónoma del País Vasco sin repercutir, no obstante, sobre el gasto público que supondría su incorporación, sea por una u otra vía, a la plantilla de la administración local correspondiente ni guardar conexión alguna con su régimen retributivo.</w:t>
      </w:r>
    </w:p>
    <w:p w14:paraId="5FECEEE0" w14:textId="77777777" w:rsidR="009D7677" w:rsidRDefault="009D7677" w:rsidP="009D7677">
      <w:pPr>
        <w:pStyle w:val="TextoNormal"/>
      </w:pPr>
    </w:p>
    <w:p w14:paraId="6578F87D" w14:textId="77777777" w:rsidR="009D7677" w:rsidRDefault="009D7677" w:rsidP="009D7677">
      <w:pPr>
        <w:pStyle w:val="TextoNormal"/>
      </w:pPr>
      <w:r>
        <w:t>La disposición recurrida tampoco se erige, a juicio de los recurrentes, en complemento necesario para la mejor inteligencia y ejecución del presupuesto, sin que la Ley 22/2021, de presupuestos generales del Estado para el año 2022, haya justificado, en ningún caso, su inclusión como materia conexa.</w:t>
      </w:r>
    </w:p>
    <w:p w14:paraId="2CBF93E2" w14:textId="77777777" w:rsidR="009D7677" w:rsidRDefault="009D7677" w:rsidP="009D7677">
      <w:pPr>
        <w:pStyle w:val="TextoNormal"/>
      </w:pPr>
    </w:p>
    <w:p w14:paraId="24BFCA03" w14:textId="77777777" w:rsidR="009D7677" w:rsidRDefault="009D7677" w:rsidP="009D7677">
      <w:pPr>
        <w:pStyle w:val="TextoNormal"/>
      </w:pPr>
      <w:r>
        <w:t xml:space="preserve">b) La disposición impugnada vulnera también, según los diputados recurrentes, el art. 150.2 CE. En primer lugar, porque incorporaría una decisión formalmente unilateral del Estado de transferir a la Comunidad Autónoma del País Vasco las facultades previstas en el art. 92 </w:t>
      </w:r>
      <w:r w:rsidRPr="009D7677">
        <w:rPr>
          <w:i/>
        </w:rPr>
        <w:t>bis</w:t>
      </w:r>
      <w:r>
        <w:t xml:space="preserve"> LBRL respecto a los funcionarios de administración local con habilitación de carácter nacional que hubiera precisado, conforme a este precepto constitucional, de su adopción por medio de ley orgánica. En segundo, porque la delegación afectaría a una materia de carácter básico </w:t>
      </w:r>
      <w:r w:rsidRPr="009D7677">
        <w:rPr>
          <w:i/>
        </w:rPr>
        <w:t>ex</w:t>
      </w:r>
      <w:r>
        <w:t xml:space="preserve"> art. 149.1.18 CE y, en concreto, a las facultades de selección, aprobación de oferta pública de empleo para cubrir vacantes, convocatoria de procesos de provisión para plazas vacantes, nombramiento en dichos procesos de provisión, asignación del primer destino y situaciones administrativas, todas ellas en relación con funcionarios de administración local con habilitación de carácter nacional, no susceptibles por su propia naturaleza de transferencia o delegación. Para finalizar, la lesión del art. 150.2 CE derivaría, asimismo, de la falta de previsión expresa por el legislador estatal de las formas de control que se reservaría el Estado, en tanto titular último de la competencia, sobre el ejercicio por la Comunidad Autónoma del País Vasco de las facultades transferidas.</w:t>
      </w:r>
    </w:p>
    <w:p w14:paraId="0EC8ABDF" w14:textId="77777777" w:rsidR="009D7677" w:rsidRDefault="009D7677" w:rsidP="009D7677">
      <w:pPr>
        <w:pStyle w:val="TextoNormal"/>
      </w:pPr>
    </w:p>
    <w:p w14:paraId="52462E8E" w14:textId="4AD7F61F" w:rsidR="009D7677" w:rsidRDefault="009D7677" w:rsidP="009D7677">
      <w:pPr>
        <w:pStyle w:val="TextoNormal"/>
      </w:pPr>
      <w:r>
        <w:t>c) Los recurrentes denuncian, por último, que la disposición impugnada vulnera asimismo el art. 149.1.18 CE. Con cita de la doctrina constitucional señalan que las facultades delegadas por su enunciado en materia de selección, adscripción a plazas concretas, oferta de empleo público y situaciones administrativas de los funcionarios locales con habilitación de carácter nacional forman parte de las bases de su régimen estatutario, abocando a su fragmentación y regionalización sin que las peculiaridades organizativas del País Vasco vinculadas a los derechos históricos de los territorios forales amparados por la disposición adicional primera CE alcancen para justificar, en ausencia de argumentación al respecto en la exposición de motivos de la Ley 22/2021, de presupuestos generales del Estado para el año 2022, la afección a elementos esenciales de la norma básica estatal y la excepción de la Comunidad Autónoma del País Vasco de la regulación común al respecto.</w:t>
      </w:r>
    </w:p>
    <w:p w14:paraId="4585965C" w14:textId="77777777" w:rsidR="009D7677" w:rsidRDefault="009D7677" w:rsidP="009D7677">
      <w:pPr>
        <w:pStyle w:val="TextoNormal"/>
      </w:pPr>
    </w:p>
    <w:p w14:paraId="0A42FA3C" w14:textId="5EFFA537" w:rsidR="009D7677" w:rsidRDefault="009D7677" w:rsidP="009D7677">
      <w:pPr>
        <w:pStyle w:val="TextoNormal"/>
      </w:pPr>
      <w:r w:rsidRPr="009D7677">
        <w:rPr>
          <w:rStyle w:val="NumeroAFNegritaCaracter"/>
        </w:rPr>
        <w:t>2</w:t>
      </w:r>
      <w:r>
        <w:t>. Por providencia de 28 de abril de 2022 el Pleno del Tribunal, a propuesta de la Sección Segunda, acordó admitir a trámite el presente recurso de inconstitucionalidad; dar traslado de la demanda y documentos presentados, conforme establece el art. 34 de la Ley Orgánica del Tribunal Constitucional (LOTC), al Congreso de los Diputados y al Senado, por conducto de sus presidentes, y al Gobierno, a través de la ministra de Justicia, al objeto de que, en el plazo de quince días, pudieran personarse en el proceso y formular las alegaciones que estimaran convenientes. Finalmente, se acordó publicar la incoación del recurso en el “Boletín Oficial del Estado”.</w:t>
      </w:r>
    </w:p>
    <w:p w14:paraId="066C5C8E" w14:textId="77777777" w:rsidR="009D7677" w:rsidRDefault="009D7677" w:rsidP="009D7677">
      <w:pPr>
        <w:pStyle w:val="TextoNormal"/>
      </w:pPr>
    </w:p>
    <w:p w14:paraId="2E7EDB72" w14:textId="6BB4848B" w:rsidR="009D7677" w:rsidRDefault="009D7677" w:rsidP="009D7677">
      <w:pPr>
        <w:pStyle w:val="TextoNormal"/>
      </w:pPr>
      <w:r w:rsidRPr="009D7677">
        <w:rPr>
          <w:rStyle w:val="NumeroAFNegritaCaracter"/>
        </w:rPr>
        <w:t>3</w:t>
      </w:r>
      <w:r>
        <w:t xml:space="preserve">. Por escrito registrado en este tribunal el 12 de mayo de 2022, la presidenta del Congreso de los Diputados comunicó que la mesa de la Cámara había acordado personarse en </w:t>
      </w:r>
      <w:r>
        <w:lastRenderedPageBreak/>
        <w:t>este procedimiento y ofrecer su colaboración a los efectos del art. 88.1 LOTC, y remitir lo actuado a la dirección de estudios, análisis y publicaciones y a la asesoría jurídica de la Secretaría General. A su vez, el presidente del Senado interesó, por escrito registrado asimismo con fecha 12 de mayo de 2022, que se tuviera por personada a dicha Cámara en este procedimiento y por ofrecida su colaboración a los efectos del art. 88.1 LOTC.</w:t>
      </w:r>
    </w:p>
    <w:p w14:paraId="4A19FAD0" w14:textId="77777777" w:rsidR="009D7677" w:rsidRDefault="009D7677" w:rsidP="009D7677">
      <w:pPr>
        <w:pStyle w:val="TextoNormal"/>
      </w:pPr>
    </w:p>
    <w:p w14:paraId="120928C6" w14:textId="77777777" w:rsidR="009D7677" w:rsidRDefault="009D7677" w:rsidP="009D7677">
      <w:pPr>
        <w:pStyle w:val="TextoNormal"/>
      </w:pPr>
      <w:r w:rsidRPr="009D7677">
        <w:rPr>
          <w:rStyle w:val="NumeroAFNegritaCaracter"/>
        </w:rPr>
        <w:t>4</w:t>
      </w:r>
      <w:r>
        <w:t>. Mediante escrito registrado en el Tribunal el 17 de mayo de 2022 el letrado del Gobierno Vasco, en la representación que por su cargo ostenta, solicitó que, habiendo tenido conocimiento de la providencia de 28 de abril de 2022 por la que el Pleno del Tribunal Constitucional había acordado admitir a trámite el presente recurso de inconstitucionalidad, se tuviera por personado el Gobierno Vasco como coadyuvante del Gobierno de España y se acordara abrir el plazo para formular las correspondientes alegaciones, habida cuenta de que el recurso interpuesto afecta de forma clara al ámbito de autonomía y régimen competencial de la Comunidad Autónoma del País Vasco.</w:t>
      </w:r>
    </w:p>
    <w:p w14:paraId="0675FC6A" w14:textId="77777777" w:rsidR="009D7677" w:rsidRDefault="009D7677" w:rsidP="009D7677">
      <w:pPr>
        <w:pStyle w:val="TextoNormal"/>
      </w:pPr>
    </w:p>
    <w:p w14:paraId="672DE0CD" w14:textId="58C84B44" w:rsidR="009D7677" w:rsidRDefault="009D7677" w:rsidP="009D7677">
      <w:pPr>
        <w:pStyle w:val="TextoNormal"/>
      </w:pPr>
      <w:r>
        <w:t>Tras dar traslado del escrito a la parte recurrente y al abogado del Estado para que, en el plazo de diez días, alegaran lo que estimaran conveniente al respecto, el Pleno del Tribunal acordó, mediante providencia de 30 de junio de 2022, tener por personado al letrado del Gobierno Vasco, en calidad de coadyuvante del Gobierno de España, y otorgarle un plazo de quince días para formular las alegaciones que estimara necesarias en defensa de la constitucionalidad de la disposición final primera de la Ley 22/2021, de presupuestos generales del Estado para el año 2022.</w:t>
      </w:r>
    </w:p>
    <w:p w14:paraId="68A3BF66" w14:textId="77777777" w:rsidR="009D7677" w:rsidRDefault="009D7677" w:rsidP="009D7677">
      <w:pPr>
        <w:pStyle w:val="TextoNormal"/>
      </w:pPr>
    </w:p>
    <w:p w14:paraId="6EC4C70B" w14:textId="77777777" w:rsidR="009D7677" w:rsidRDefault="009D7677" w:rsidP="009D7677">
      <w:pPr>
        <w:pStyle w:val="TextoNormal"/>
      </w:pPr>
      <w:r w:rsidRPr="009D7677">
        <w:rPr>
          <w:rStyle w:val="NumeroAFNegritaCaracter"/>
        </w:rPr>
        <w:t>5</w:t>
      </w:r>
      <w:r>
        <w:t>. El abogado del Estado, en la representación que legalmente ostenta, por escrito registrado en este tribunal el 24 de mayo de 2022 manifestó que se personaba en nombre del Gobierno y solicitó que se acordara ampliar el plazo para formular alegaciones.</w:t>
      </w:r>
    </w:p>
    <w:p w14:paraId="51B2E316" w14:textId="77777777" w:rsidR="009D7677" w:rsidRDefault="009D7677" w:rsidP="009D7677">
      <w:pPr>
        <w:pStyle w:val="TextoNormal"/>
      </w:pPr>
    </w:p>
    <w:p w14:paraId="3040C5C5" w14:textId="56BEB3AF" w:rsidR="009D7677" w:rsidRDefault="009D7677" w:rsidP="009D7677">
      <w:pPr>
        <w:pStyle w:val="TextoNormal"/>
      </w:pPr>
      <w:r>
        <w:t>El Pleno acordó, mediante providencia de 25 de mayo de 2022, tener por personado al abogado del Estado y prorrogarle en ocho días el plazo concedido por providencia de 28 de abril de 2022 para formular alegaciones.</w:t>
      </w:r>
    </w:p>
    <w:p w14:paraId="391619C4" w14:textId="77777777" w:rsidR="009D7677" w:rsidRDefault="009D7677" w:rsidP="009D7677">
      <w:pPr>
        <w:pStyle w:val="TextoNormal"/>
      </w:pPr>
    </w:p>
    <w:p w14:paraId="64D7F88F" w14:textId="77777777" w:rsidR="009D7677" w:rsidRDefault="009D7677" w:rsidP="009D7677">
      <w:pPr>
        <w:pStyle w:val="TextoNormal"/>
      </w:pPr>
      <w:r w:rsidRPr="009D7677">
        <w:rPr>
          <w:rStyle w:val="NumeroAFNegritaCaracter"/>
        </w:rPr>
        <w:t>6</w:t>
      </w:r>
      <w:r>
        <w:t>. Con fecha 6 de junio de 2022 tuvo entrada en el registro general de este tribunal el escrito de alegaciones del abogado del Estado en el que interesó la desestimación del recurso de inconstitucionalidad.</w:t>
      </w:r>
    </w:p>
    <w:p w14:paraId="38C66C88" w14:textId="77777777" w:rsidR="009D7677" w:rsidRDefault="009D7677" w:rsidP="009D7677">
      <w:pPr>
        <w:pStyle w:val="TextoNormal"/>
      </w:pPr>
    </w:p>
    <w:p w14:paraId="09259B8C" w14:textId="77777777" w:rsidR="009D7677" w:rsidRDefault="009D7677" w:rsidP="009D7677">
      <w:pPr>
        <w:pStyle w:val="TextoNormal"/>
      </w:pPr>
      <w:r>
        <w:t xml:space="preserve">Tras recordar la doctrina constitucional relativa a los límites materiales de las leyes de presupuestos (cita las SSTC 123/2016, de 23 de junio, FJ 3, y 16/2022, de 8 de febrero, FJ 3), así como a su naturaleza y vigencia temporal (STC 34/2005, de 17 de febrero, FJ 5), señala a continuación que la oferta de empleo público y la selección del personal funcionario de la administración local con habilitación nacional de régimen común es competencia del Estado. La norma cuestionada tiene como fin hacer posible la ejecución presupuestaria y de la política económica del Gobierno, dotando de seguridad jurídica a la previsión de gasto público ligada a la oferta de empleo público y selección de este tipo de personal funcionario (dirigida a facilitar la reposición del personal al servicio de las administraciones públicas regulada por el art. 20 de la propia Ley 22/2021, de presupuestos generales del Estado para el año 2022) y evitando que dicha ejecución se vea limitada o impedida al clarificar las competencias de la Comunidad Autónoma del País Vasco sobre el particular, </w:t>
      </w:r>
      <w:r>
        <w:lastRenderedPageBreak/>
        <w:t>en aplicación de la citada tasa de reposición, y conciliar el enunciado del texto refundido de la Ley del estatuto básico del empleado público, aprobado por Real Decreto Legislativo 5/2015, de 30 de octubre, con el de la Ley reguladora de las bases del régimen local, en particular con su disposición adicional segunda.</w:t>
      </w:r>
    </w:p>
    <w:p w14:paraId="0E4A9078" w14:textId="77777777" w:rsidR="009D7677" w:rsidRDefault="009D7677" w:rsidP="009D7677">
      <w:pPr>
        <w:pStyle w:val="TextoNormal"/>
      </w:pPr>
    </w:p>
    <w:p w14:paraId="05D262E2" w14:textId="2D9DD054" w:rsidR="009D7677" w:rsidRDefault="009D7677" w:rsidP="009D7677">
      <w:pPr>
        <w:pStyle w:val="TextoNormal"/>
      </w:pPr>
      <w:r>
        <w:t>Concluye su escrito la Abogacía del Estado señalando que, si bien conforme a la doctrina constitucional los derechos históricos no son títulos competenciales autónomos, la disposición adicional primera CE alcanza a proteger, como mínimo irreductible, un régimen de autogobierno territorial con el que quepa reconocer el régimen foral tradicional de los distintos territorios históricos (con cita expresa a tal efecto de las SSTC 214/1989, de 21 de diciembre, FJ 26; 233/1999, de 16 de diciembre, y 208/2012, de 14 de noviembre, FFJJ 3 y 4). La disposición final impugnada en el presente recurso atendería, en su opinión, al propio mandato constitucional al preservar la singularidad de ese régimen foral en materia organizativa local.</w:t>
      </w:r>
    </w:p>
    <w:p w14:paraId="3931E59E" w14:textId="77777777" w:rsidR="009D7677" w:rsidRDefault="009D7677" w:rsidP="009D7677">
      <w:pPr>
        <w:pStyle w:val="TextoNormal"/>
      </w:pPr>
    </w:p>
    <w:p w14:paraId="71B052B0" w14:textId="77777777" w:rsidR="009D7677" w:rsidRDefault="009D7677" w:rsidP="009D7677">
      <w:pPr>
        <w:pStyle w:val="TextoNormal"/>
      </w:pPr>
      <w:r w:rsidRPr="009D7677">
        <w:rPr>
          <w:rStyle w:val="NumeroAFNegritaCaracter"/>
        </w:rPr>
        <w:t>7</w:t>
      </w:r>
      <w:r>
        <w:t>. Por escrito registrado en el Tribunal el 7 de julio de 2022, el letrado del Gobierno Vasco, en nombre y representación de este, solicitó que se acordara ampliar el plazo concedido por providencia de 30 de junio de 2022 para formular alegaciones.</w:t>
      </w:r>
    </w:p>
    <w:p w14:paraId="6E163EC5" w14:textId="77777777" w:rsidR="009D7677" w:rsidRDefault="009D7677" w:rsidP="009D7677">
      <w:pPr>
        <w:pStyle w:val="TextoNormal"/>
      </w:pPr>
    </w:p>
    <w:p w14:paraId="7A4CE8BB" w14:textId="673B2EDD" w:rsidR="009D7677" w:rsidRDefault="009D7677" w:rsidP="009D7677">
      <w:pPr>
        <w:pStyle w:val="TextoNormal"/>
      </w:pPr>
      <w:r>
        <w:t>Por diligencia de ordenación del secretario de justicia del Pleno de 8 de julio de 2022 se acordó prorrogarle dicho plazo en ocho días más.</w:t>
      </w:r>
    </w:p>
    <w:p w14:paraId="62FB3A01" w14:textId="77777777" w:rsidR="009D7677" w:rsidRDefault="009D7677" w:rsidP="009D7677">
      <w:pPr>
        <w:pStyle w:val="TextoNormal"/>
      </w:pPr>
    </w:p>
    <w:p w14:paraId="67FF702E" w14:textId="77777777" w:rsidR="009D7677" w:rsidRDefault="009D7677" w:rsidP="009D7677">
      <w:pPr>
        <w:pStyle w:val="TextoNormal"/>
      </w:pPr>
      <w:r w:rsidRPr="009D7677">
        <w:rPr>
          <w:rStyle w:val="NumeroAFNegritaCaracter"/>
        </w:rPr>
        <w:t>8</w:t>
      </w:r>
      <w:r>
        <w:t>. Mediante escrito registrado en este tribunal el 7 de septiembre de 2022, formuló alegaciones el letrado del Gobierno Vasco, interesando la desestimación del recurso de inconstitucionalidad.</w:t>
      </w:r>
    </w:p>
    <w:p w14:paraId="316F92F8" w14:textId="77777777" w:rsidR="009D7677" w:rsidRDefault="009D7677" w:rsidP="009D7677">
      <w:pPr>
        <w:pStyle w:val="TextoNormal"/>
      </w:pPr>
    </w:p>
    <w:p w14:paraId="10EDD588" w14:textId="77777777" w:rsidR="009D7677" w:rsidRDefault="009D7677" w:rsidP="009D7677">
      <w:pPr>
        <w:pStyle w:val="TextoNormal"/>
      </w:pPr>
      <w:r>
        <w:t>En primer lugar, se analiza la constitucionalidad de la disposición impugnada desde la perspectiva de su inclusión en una ley presupuestaria, partiendo de la consolidada doctrina constitucional sobre el contenido “esencial” y el contenido “eventual, no necesario o no imprescindible” de las leyes de presupuestos, y los requisitos que han de concurrir para que la regulación por ley de presupuestos de una materia que no forma parte del contenido esencial o necesario sea constitucionalmente legítima.</w:t>
      </w:r>
    </w:p>
    <w:p w14:paraId="2A423B1F" w14:textId="77777777" w:rsidR="009D7677" w:rsidRDefault="009D7677" w:rsidP="009D7677">
      <w:pPr>
        <w:pStyle w:val="TextoNormal"/>
      </w:pPr>
    </w:p>
    <w:p w14:paraId="557D8D18" w14:textId="77777777" w:rsidR="009D7677" w:rsidRDefault="009D7677" w:rsidP="009D7677">
      <w:pPr>
        <w:pStyle w:val="TextoNormal"/>
      </w:pPr>
      <w:r>
        <w:t>Afirma la representación letrada del Gobierno Vasco que la norma cuestionada guarda una relación económica directa e inmediata con el contenido propio de las leyes presupuestarias desde las perspectivas, en primer lugar, de las retribuciones de los funcionarios a los que se refiere la disposición impugnada, que inciden sustancialmente en el capítulo de gastos de los presupuestos de las entidades locales; de su conexión con la ejecución, en segundo lugar, de las previsiones de la Ley 20/2021, de 28 de diciembre, de medidas urgentes para la reducción de la temporalidad en el empleo público, en relación con los funcionarios de administración local con habilitación nacional en el ámbito territorial de la Comunidad Autónoma del País Vasco; así como, por último, de la eventual repercusión económica de las responsabilidades que pudieran derivar de actuaciones administrativas irregulares que incumplieran el plazo máximo de permanencia del personal temporal.</w:t>
      </w:r>
    </w:p>
    <w:p w14:paraId="68ED2DFE" w14:textId="77777777" w:rsidR="009D7677" w:rsidRDefault="009D7677" w:rsidP="009D7677">
      <w:pPr>
        <w:pStyle w:val="TextoNormal"/>
      </w:pPr>
    </w:p>
    <w:p w14:paraId="1EEE1137" w14:textId="77777777" w:rsidR="009D7677" w:rsidRDefault="009D7677" w:rsidP="009D7677">
      <w:pPr>
        <w:pStyle w:val="TextoNormal"/>
      </w:pPr>
      <w:r>
        <w:t>En conclusión, la medida contenida en la disposición impugnada constituiría una opción legítima del legislador que, conforme a la doctrina constitucional, no desbordaría la específica función constitucional asignada a las leyes de presupuestos o su contenido ma</w:t>
      </w:r>
      <w:r>
        <w:lastRenderedPageBreak/>
        <w:t>terial. Tampoco contravendría, por lo demás, su especialidad procedimental en tanto su incorporación a la ley no supone, en opinión del Gobierno Vasco, una restricción ilegítima del poder legislativo o una disminución de las facultades parlamentarias para su examen y enmienda.</w:t>
      </w:r>
    </w:p>
    <w:p w14:paraId="4B175C39" w14:textId="77777777" w:rsidR="009D7677" w:rsidRDefault="009D7677" w:rsidP="009D7677">
      <w:pPr>
        <w:pStyle w:val="TextoNormal"/>
      </w:pPr>
    </w:p>
    <w:p w14:paraId="0AB3BB64" w14:textId="77777777" w:rsidR="009D7677" w:rsidRDefault="009D7677" w:rsidP="009D7677">
      <w:pPr>
        <w:pStyle w:val="TextoNormal"/>
      </w:pPr>
      <w:r>
        <w:t xml:space="preserve">Finalmente, sostiene que la disposición recurrida tampoco vulneraría el principio de seguridad jurídica (art. 9.3 CE), en tanto que resultaría conocida y comprensible, previsible en sus consecuencias y generadora de confianza en sus destinatarios, estableciendo la forma en que se aplicará en el ámbito de la Comunidad Autónoma del País Vasco la normativa reguladora de los funcionarios de administración local con habilitación de carácter nacional prevista en el art. 92 </w:t>
      </w:r>
      <w:r w:rsidRPr="009D7677">
        <w:rPr>
          <w:i/>
        </w:rPr>
        <w:t>bis</w:t>
      </w:r>
      <w:r>
        <w:t xml:space="preserve"> LBRL y concordantes.</w:t>
      </w:r>
    </w:p>
    <w:p w14:paraId="2D07FA85" w14:textId="77777777" w:rsidR="009D7677" w:rsidRDefault="009D7677" w:rsidP="009D7677">
      <w:pPr>
        <w:pStyle w:val="TextoNormal"/>
      </w:pPr>
    </w:p>
    <w:p w14:paraId="562D6C0D" w14:textId="5060D5B0" w:rsidR="009D7677" w:rsidRDefault="009D7677" w:rsidP="009D7677">
      <w:pPr>
        <w:pStyle w:val="TextoNormal"/>
      </w:pPr>
      <w:r>
        <w:t>En segundo lugar, se examina la invocada vulneración del reparto competencial respecto de los funcionarios de administración local con habilitación nacional. Tras un somero repaso de la doctrina constitucional sobre la distribución de competencias en materia de régimen local (art. 149.1.18 CE) y la singularidad de los derechos históricos de los territorios forales (disposición adicional primera CE), la representación del Gobierno Vasco se refiere a la especialidad y las particularidades históricas más sobresalientes del régimen funcionarial local en los territorios históricos vascos. Concluye de todo ello que la disposición recurrida no delega competencia alguna, sino que se limita a aclarar la redacción del precepto estatal modificado para especificar la singularidad foral que corresponde a la Comunidad Autónoma del País Vasco. Asegura, para terminar, con cita de la STC 45/2017, de 27 de abril, FJ 3, que la propia evolución del régimen jurídico del personal funcionario de administración local con habilitación de carácter nacional admitiría la asimetría regulatoria, con origen en la legislación básica estatal, entre comunidades autónomas de régimen foral y general, confirmando la constitucionalidad de la disposición final primera de la Ley 22/2021, de presupuestos generales del Estado para el año 2022.</w:t>
      </w:r>
    </w:p>
    <w:p w14:paraId="4FFA6C86" w14:textId="77777777" w:rsidR="009D7677" w:rsidRDefault="009D7677" w:rsidP="009D7677">
      <w:pPr>
        <w:pStyle w:val="TextoNormal"/>
      </w:pPr>
    </w:p>
    <w:p w14:paraId="1B9D984B" w14:textId="60E84A8F" w:rsidR="009D7677" w:rsidRDefault="009D7677" w:rsidP="009D7677">
      <w:pPr>
        <w:pStyle w:val="TextoNormal"/>
      </w:pPr>
      <w:r w:rsidRPr="009D7677">
        <w:rPr>
          <w:rStyle w:val="NumeroAFNegritaCaracter"/>
        </w:rPr>
        <w:t>9</w:t>
      </w:r>
      <w:r>
        <w:t>. Con fecha 26 de enero de 2024 tuvo entrada en el registro general de este tribunal un escrito de alegaciones complementarias del abogado del Estado. Comienza dando noticia de la reciente modificación del apartado séptimo de la disposición adicional segunda LBRL por el Real Decreto-ley 6/2023, de 19 de diciembre, por el que se aprueban medidas urgentes para la ejecución del Plan de recuperación, transformación y resiliencia en materia de servicio público de justicia, función pública, régimen local y mecenazgo, convalidado el 10 de enero de 2024 por el Congreso de los Diputados; y refiere que esta reforma viene a establecer una previsión normativa igual a la impugnada en el presente recurso, a la que, en consecuencia, deroga. Con cita literal de la doctrina constitucional aplicable a las modificaciones normativas que afectan al objeto del recurso de inconstitucionalidad (STC 10/2023, de 23 de febrero, FJ 2) interesa que este tribunal tome en consideración que el argumento esgrimido por los recurrentes acerca de la eventual infracción de los límites constitucionales de los contenidos de las leyes de presupuestos generales ha quedado por ello vacía de contenido.</w:t>
      </w:r>
    </w:p>
    <w:p w14:paraId="5974AD4F" w14:textId="77777777" w:rsidR="009D7677" w:rsidRDefault="009D7677" w:rsidP="009D7677">
      <w:pPr>
        <w:pStyle w:val="TextoNormal"/>
      </w:pPr>
    </w:p>
    <w:p w14:paraId="14D293AA" w14:textId="3E20A283" w:rsidR="009D7677" w:rsidRDefault="009D7677" w:rsidP="009D7677">
      <w:pPr>
        <w:pStyle w:val="TextoNormal"/>
      </w:pPr>
      <w:r w:rsidRPr="009D7677">
        <w:rPr>
          <w:rStyle w:val="NumeroAFNegritaCaracter"/>
        </w:rPr>
        <w:t>10</w:t>
      </w:r>
      <w:r>
        <w:t xml:space="preserve">. Mediante escrito registrado en este tribunal el 5 de febrero de 2024 el letrado del Gobierno Vasco se adhiere a las alegaciones complementarias del abogado del Estado, interesando que sean objeto de consideración al resolver la alegación de los recurrentes acerca de la posible vulneración del art. 134.2 CE, en relación con el principio de seguridad jurídica del art. 9.3 CE, toda vez que habría decaído de forma sobrevenida su objeto </w:t>
      </w:r>
      <w:r>
        <w:lastRenderedPageBreak/>
        <w:t>como consecuencia de la pérdida de vigencia y expulsión del ordenamiento jurídico de la disposición impugnada a causa de la modificación efectuada en la Ley reguladora de las bases de régimen local por el Real Decreto-ley 6/2023, de 19 de diciembre.</w:t>
      </w:r>
    </w:p>
    <w:p w14:paraId="04EF53F0" w14:textId="77777777" w:rsidR="009D7677" w:rsidRDefault="009D7677" w:rsidP="009D7677">
      <w:pPr>
        <w:pStyle w:val="TextoNormal"/>
      </w:pPr>
    </w:p>
    <w:p w14:paraId="3480FE70" w14:textId="610D638B" w:rsidR="009D7677" w:rsidRDefault="009D7677" w:rsidP="009D7677">
      <w:pPr>
        <w:pStyle w:val="TextoNormal"/>
      </w:pPr>
      <w:r w:rsidRPr="009D7677">
        <w:rPr>
          <w:rStyle w:val="NumeroAFNegritaCaracter"/>
        </w:rPr>
        <w:t>11</w:t>
      </w:r>
      <w:r>
        <w:t>. En sesión del Pleno de este tribunal que tuvo lugar los días 12 y 13 de marzo de 2024, la magistrada ponente doña María Luisa Balaguer Callejón sometió a la deliberación del Pleno los puntos de hecho, las cuestiones y fundamentos de Derecho del recurso, así como la decisión que, a su juicio, debía recaer; y, previa la correspondiente deliberación, la mayoría del Pleno se pronunció en contra de la propuesta de la ponente, que declinó la redacción de la resolución. El presidente del Tribunal se la encomendó al magistrado don Enrique Arnaldo Alcubilla, en aplicación del art. 206.2 de la Ley Orgánica del Poder Judicial, de aplicación supletoria en esta jurisdicción conforme al art. 80 LOTC.</w:t>
      </w:r>
    </w:p>
    <w:p w14:paraId="6CBA5842" w14:textId="77777777" w:rsidR="009D7677" w:rsidRDefault="009D7677" w:rsidP="009D7677">
      <w:pPr>
        <w:pStyle w:val="TextoNormal"/>
      </w:pPr>
    </w:p>
    <w:p w14:paraId="71E83E01" w14:textId="759F9CE7" w:rsidR="009D7677" w:rsidRDefault="009D7677" w:rsidP="009D7677">
      <w:pPr>
        <w:pStyle w:val="TextoNormal"/>
      </w:pPr>
      <w:r w:rsidRPr="009D7677">
        <w:rPr>
          <w:rStyle w:val="NumeroAFNegritaCaracter"/>
        </w:rPr>
        <w:t>12</w:t>
      </w:r>
      <w:r>
        <w:t>. Por providencia de 23 de abril de 2024 se señaló ese mismo día para la deliberación y votación de la presente sentencia.</w:t>
      </w:r>
    </w:p>
    <w:p w14:paraId="20526464" w14:textId="77777777" w:rsidR="009D7677" w:rsidRDefault="009D7677" w:rsidP="009D7677">
      <w:pPr>
        <w:pStyle w:val="TextoNormal"/>
      </w:pPr>
    </w:p>
    <w:p w14:paraId="33722F4F" w14:textId="77777777" w:rsidR="009D7677" w:rsidRDefault="009D7677" w:rsidP="009D7677">
      <w:pPr>
        <w:pStyle w:val="TextoNormalNegritaCentrado"/>
        <w:keepNext/>
      </w:pPr>
      <w:r>
        <w:t>II. Fundamentos jurídicos</w:t>
      </w:r>
    </w:p>
    <w:p w14:paraId="644DBE40" w14:textId="158892BE" w:rsidR="009D7677" w:rsidRDefault="009D7677" w:rsidP="009D7677">
      <w:pPr>
        <w:pStyle w:val="TextoNormalNegritaCentrado"/>
        <w:keepNext/>
      </w:pPr>
    </w:p>
    <w:p w14:paraId="26FA4BEB" w14:textId="77777777" w:rsidR="009D7677" w:rsidRDefault="009D7677" w:rsidP="009D7677">
      <w:pPr>
        <w:pStyle w:val="TextoNormal"/>
      </w:pPr>
      <w:r w:rsidRPr="009D7677">
        <w:rPr>
          <w:rStyle w:val="NumeroAFNegritaCaracter"/>
        </w:rPr>
        <w:t>1</w:t>
      </w:r>
      <w:r>
        <w:t xml:space="preserve">. </w:t>
      </w:r>
      <w:r w:rsidRPr="009D7677">
        <w:rPr>
          <w:i/>
        </w:rPr>
        <w:t>Objeto del recurso de inconstitucionalidad y posiciones de las partes</w:t>
      </w:r>
    </w:p>
    <w:p w14:paraId="7684DE54" w14:textId="77777777" w:rsidR="009D7677" w:rsidRDefault="009D7677" w:rsidP="009D7677">
      <w:pPr>
        <w:pStyle w:val="TextoNormal"/>
      </w:pPr>
    </w:p>
    <w:p w14:paraId="4A9367BD" w14:textId="77777777" w:rsidR="009D7677" w:rsidRDefault="009D7677" w:rsidP="009D7677">
      <w:pPr>
        <w:pStyle w:val="TextoNormal"/>
      </w:pPr>
      <w:r>
        <w:t>La presente resolución ha de resolver el recurso de inconstitucionalidad interpuesto por más de cincuenta diputados del Grupo Parlamentario Popular del Congreso contra la disposición final primera de la Ley 22/2021, de 28 de diciembre, de presupuestos generales del Estado para el año 2022, en cuanto da nueva redacción al apartado séptimo de la disposición adicional segunda de la Ley 7/1985, de 2 de abril, reguladora de las bases del régimen local (LBRL), que quedó redactado como sigue:</w:t>
      </w:r>
    </w:p>
    <w:p w14:paraId="50862E1C" w14:textId="77777777" w:rsidR="009D7677" w:rsidRDefault="009D7677" w:rsidP="009D7677">
      <w:pPr>
        <w:pStyle w:val="TextoNormal"/>
      </w:pPr>
    </w:p>
    <w:p w14:paraId="3AD75424" w14:textId="77777777" w:rsidR="009D7677" w:rsidRDefault="009D7677" w:rsidP="009D7677">
      <w:pPr>
        <w:pStyle w:val="TextoNormal"/>
      </w:pPr>
      <w:r>
        <w:t xml:space="preserve">“7. En el ámbito de la Comunidad Autónoma del País Vasco, la normativa reguladora de los funcionarios de administración local con habilitación de carácter nacional prevista en el artículo 92 </w:t>
      </w:r>
      <w:r w:rsidRPr="009D7677">
        <w:rPr>
          <w:i/>
        </w:rPr>
        <w:t>bis</w:t>
      </w:r>
      <w:r>
        <w:t xml:space="preserve"> y concordantes de esta ley, se aplicará de conformidad con la disposición adicional primera de la Constitución, con el artículo 149.1.18 de la misma y con la Ley Orgánica 3/1979, de 18 de diciembre, por la que se aprueba el Estatuto de Autonomía para el País Vasco, teniendo en cuenta que todas las facultades previstas en el citado artículo 92 </w:t>
      </w:r>
      <w:r w:rsidRPr="009D7677">
        <w:rPr>
          <w:i/>
        </w:rPr>
        <w:t>bis</w:t>
      </w:r>
      <w:r>
        <w:t xml:space="preserve"> respecto a dicho personal serán asumidas en los términos que establezca la normativa autonómica, incluyendo entre las mismas la facultad de selección, la aprobación de la oferta pública de empleo para cubrir las vacantes existentes de las plazas correspondientes a las mismas en su ámbito territorial, convocar exclusivamente para su territorio los procesos de provisión para las plazas vacantes en el mismo, la facultad de nombramiento del personal funcionario en dichos procesos de provisión, la asignación del primer destino y las situaciones administrativas”.</w:t>
      </w:r>
    </w:p>
    <w:p w14:paraId="7C16FA30" w14:textId="77777777" w:rsidR="009D7677" w:rsidRDefault="009D7677" w:rsidP="009D7677">
      <w:pPr>
        <w:pStyle w:val="TextoNormal"/>
      </w:pPr>
    </w:p>
    <w:p w14:paraId="01C7F13A" w14:textId="77777777" w:rsidR="009D7677" w:rsidRDefault="009D7677" w:rsidP="009D7677">
      <w:pPr>
        <w:pStyle w:val="TextoNormal"/>
      </w:pPr>
      <w:r>
        <w:t xml:space="preserve">Para los demandantes, la modificación que se ha llevado a cabo por la disposición impugnada vulneraría, en primer lugar, los arts. 66.2 y 134.2 CE, en relación con el principio de seguridad jurídica </w:t>
      </w:r>
      <w:r w:rsidRPr="009D7677">
        <w:rPr>
          <w:i/>
        </w:rPr>
        <w:t>ex</w:t>
      </w:r>
      <w:r>
        <w:t xml:space="preserve"> art. 9.3 CE. La regulación que incorpora no podría llevarse a cabo a través de una ley presupuestaria, en cuanto que se trata de una norma con un contenido constitucionalmente delimitado, sin que pueda considerarse que la modificación impugnada sea contenido ni necesario ni eventual de la ley de presupuestos. La nueva redacción </w:t>
      </w:r>
      <w:r>
        <w:lastRenderedPageBreak/>
        <w:t>del apartado séptimo de la disposición adicional segunda LBRL incurriría, además, en otros dos vicios de inconstitucionalidad. Por un lado, esta modificación incorporaría una decisión formal unilateral del Estado de transferir las facultades previstas por la disposición a la Comunidad Autónoma del País Vasco, que hubiera precisado de su adopción por medio de ley orgánica y de la previsión expresa por el legislador estatal de las formas de control que se reservaría el Estado, como titular último de la competencia, sobre el ejercicio autonómico de las facultades transferidas, con lo que se estaría vulnerando el art. 150.2 CE. Por otro lado, se afectaría de modo sustancial a las bases del régimen estatutario de los funcionarios locales con habilitación de carácter nacional, infringiendo el art. 149.1.18 CE, sin que las peculiaridades organizativas del País Vasco vinculadas a los derechos históricos de los territorios forales amparados por la disposición adicional primera CE alcancen para justificar, en ausencia de argumentación sobre el particular en la exposición de motivos de la Ley 22/2021, de presupuestos generales del Estado para el año 2022, la afección a elementos esenciales de la norma básica estatal en materia de selección, adscripción a plazas concretas, oferta de empleo público y situaciones administrativas de estos funcionarios locales.</w:t>
      </w:r>
    </w:p>
    <w:p w14:paraId="712F7374" w14:textId="77777777" w:rsidR="009D7677" w:rsidRDefault="009D7677" w:rsidP="009D7677">
      <w:pPr>
        <w:pStyle w:val="TextoNormal"/>
      </w:pPr>
    </w:p>
    <w:p w14:paraId="282F89C7" w14:textId="446D17A9" w:rsidR="009D7677" w:rsidRDefault="009D7677" w:rsidP="009D7677">
      <w:pPr>
        <w:pStyle w:val="TextoNormal"/>
      </w:pPr>
      <w:r>
        <w:t>El abogado del Estado y el letrado del Gobierno Vasco han interesado la desestimación del recurso de inconstitucionalidad por entender que no concurre ninguna de las vulneraciones constitucionales que los recurrentes denuncian.</w:t>
      </w:r>
    </w:p>
    <w:p w14:paraId="0ED13CA5" w14:textId="77777777" w:rsidR="009D7677" w:rsidRDefault="009D7677" w:rsidP="009D7677">
      <w:pPr>
        <w:pStyle w:val="TextoNormal"/>
      </w:pPr>
    </w:p>
    <w:p w14:paraId="7810B04A" w14:textId="77777777" w:rsidR="009D7677" w:rsidRDefault="009D7677" w:rsidP="009D7677">
      <w:pPr>
        <w:pStyle w:val="TextoNormal"/>
      </w:pPr>
      <w:r w:rsidRPr="009D7677">
        <w:rPr>
          <w:rStyle w:val="NumeroAFNegritaCaracter"/>
        </w:rPr>
        <w:t>2</w:t>
      </w:r>
      <w:r>
        <w:t xml:space="preserve">. </w:t>
      </w:r>
      <w:r w:rsidRPr="009D7677">
        <w:rPr>
          <w:i/>
        </w:rPr>
        <w:t>Consideraciones previas sobre la delimitación del objeto del recurso</w:t>
      </w:r>
    </w:p>
    <w:p w14:paraId="6E97D97A" w14:textId="77777777" w:rsidR="009D7677" w:rsidRDefault="009D7677" w:rsidP="009D7677">
      <w:pPr>
        <w:pStyle w:val="TextoNormal"/>
      </w:pPr>
    </w:p>
    <w:p w14:paraId="08F65ADB" w14:textId="77777777" w:rsidR="009D7677" w:rsidRDefault="009D7677" w:rsidP="009D7677">
      <w:pPr>
        <w:pStyle w:val="TextoNormal"/>
      </w:pPr>
      <w:r>
        <w:t>Antes de proceder al enjuiciamiento de la disposición final recurrida, debemos pronunciarnos sobre la subsistencia del objeto de este proceso constitucional. Durante la pendencia del proceso, el apartado 7 de la disposición adicional segunda LBRL ha sido objeto de reforma por el art. 128, apartado séptimo del Real Decreto-ley 6/2023, de 19 de diciembre, por el que se aprueban medidas urgentes para la ejecución del Plan de recuperación, transformación y resiliencia en materia de servicio público de justicia, función pública, régimen local y mecenazgo, quedando redactado como sigue:</w:t>
      </w:r>
    </w:p>
    <w:p w14:paraId="4AE3D512" w14:textId="77777777" w:rsidR="009D7677" w:rsidRDefault="009D7677" w:rsidP="009D7677">
      <w:pPr>
        <w:pStyle w:val="TextoNormal"/>
      </w:pPr>
    </w:p>
    <w:p w14:paraId="5954B30C" w14:textId="77777777" w:rsidR="009D7677" w:rsidRDefault="009D7677" w:rsidP="009D7677">
      <w:pPr>
        <w:pStyle w:val="TextoNormal"/>
      </w:pPr>
      <w:r>
        <w:t>“7. En el ámbito de la Comunidad Autónoma del País Vasco, la normativa básica reguladora de los funcionarios de Administración local con habilitación de carácter nacional se aplicará de conformidad con la disposición adicional primera de la Constitución, con el artículo 149.1.18 de la misma y con la Ley Orgánica 3/1979, de 18 de diciembre, por la que se aprueba el Estatuto de Autonomía para el País Vasco, teniendo en cuenta que todas las facultades previstas respecto a dicho personal serán asumidas en los términos que establezca la normativa autonómica, incluyendo entre las mismas la facultad de selección, la aprobación de la oferta pública de empleo para cubrir las vacantes existentes de las plazas correspondientes a las mismas en su ámbito territorial, convocar exclusivamente para su territorio los procesos de provisión para las plazas vacantes en el mismo, la facultad de nombramiento del personal funcionario en dichos procesos de provisión, la asignación del primer destino y las situaciones administrativas”.</w:t>
      </w:r>
    </w:p>
    <w:p w14:paraId="558CC55F" w14:textId="77777777" w:rsidR="009D7677" w:rsidRDefault="009D7677" w:rsidP="009D7677">
      <w:pPr>
        <w:pStyle w:val="TextoNormal"/>
      </w:pPr>
    </w:p>
    <w:p w14:paraId="1DB49E1D" w14:textId="77777777" w:rsidR="009D7677" w:rsidRDefault="009D7677" w:rsidP="009D7677">
      <w:pPr>
        <w:pStyle w:val="TextoNormal"/>
      </w:pPr>
      <w:r>
        <w:t xml:space="preserve">El examen de la modificación efectuada por el art. 128, apartado séptimo del Real Decreto-ley 6/2023 (vigente desde el 21 de diciembre de 2023) pone de relieve que esta reforma supone la sustitución del enunciado del apartado séptimo de la disposición adicional </w:t>
      </w:r>
      <w:r>
        <w:lastRenderedPageBreak/>
        <w:t>segunda LBRL, tal como fue redactado por la disposición impugnada en el presente recurso, por otra normativa que viene a reproducir ese enunciado, con una redacción similar.</w:t>
      </w:r>
    </w:p>
    <w:p w14:paraId="04E175C0" w14:textId="77777777" w:rsidR="009D7677" w:rsidRDefault="009D7677" w:rsidP="009D7677">
      <w:pPr>
        <w:pStyle w:val="TextoNormal"/>
      </w:pPr>
    </w:p>
    <w:p w14:paraId="557198D5" w14:textId="77777777" w:rsidR="009D7677" w:rsidRDefault="009D7677" w:rsidP="009D7677">
      <w:pPr>
        <w:pStyle w:val="TextoNormal"/>
      </w:pPr>
      <w:r>
        <w:t>La doctrina constitucional ha reiterado que en los recursos de inconstitucionalidad, cuya finalidad última es la depuración objetiva del ordenamiento jurídico, la modificación, derogación o pérdida de vigencia de la norma que se recurre puede producir la extinción sobrevenida del proceso, pues, como regla general, en un recurso abstracto, como el de inconstitucionalidad, carece de sentido pronunciarse sobre normas que el mismo legislador ha expulsado ya del ordenamiento de modo total, sin ultraactividad (entre otras muchas, SSTC 19/2012, de 15 de febrero, FJ 2; 216/2012, de 14 de noviembre, FJ 2; 9/2013, de 28 de enero, FJ 2, y 44/2023, de 9 de mayo, FJ 1).</w:t>
      </w:r>
    </w:p>
    <w:p w14:paraId="7E240644" w14:textId="77777777" w:rsidR="009D7677" w:rsidRDefault="009D7677" w:rsidP="009D7677">
      <w:pPr>
        <w:pStyle w:val="TextoNormal"/>
      </w:pPr>
    </w:p>
    <w:p w14:paraId="73CB7473" w14:textId="77777777" w:rsidR="009D7677" w:rsidRDefault="009D7677" w:rsidP="009D7677">
      <w:pPr>
        <w:pStyle w:val="TextoNormal"/>
      </w:pPr>
      <w:r>
        <w:t>Ahora bien, esta regla tiene algunas excepciones. En concreto, además de los supuestos de ultraactividad de la norma, a los que ya se ha hecho mención, hemos declarado,por lo que ahora interesa, que, “cuando se trata de realizar un control sobre los vicios de validez que pudieran haber incidido sobre la propia aprobación de una norma, el objeto del proceso no se puede ver afectado sin más por la eventual derogación o modificación de las normas adoptadas, ya que en tal caso subsiste el interés constitucional de velar por el recto ejercicio de la potestad legislativa (STC 136/2011, de 13 de septiembre, FJ 2). A partir de esta doctrina, persiste el objeto del proceso si la impugnación se basa precisamente en una posible vulneración del proceso legislativo que habría tenido lugar, en su caso, cuando a una ley de presupuestos se incorporan materias que exceden de su contenido mínimo o, incluso, eventual; esto es, cuando lo que se controvierta sea precisamente la inclusión de una norma en una ley de presupuestos, y no el concreto contenido del precepto” (STC 86/2013, de 11 de abril, FJ 2, cuya doctrina se reitera en SSTC 206/2013, de 5 de diciembre, FJ 2, y 122/2018, de 31 de octubre, FJ 2).</w:t>
      </w:r>
    </w:p>
    <w:p w14:paraId="1E09E9A8" w14:textId="77777777" w:rsidR="009D7677" w:rsidRDefault="009D7677" w:rsidP="009D7677">
      <w:pPr>
        <w:pStyle w:val="TextoNormal"/>
      </w:pPr>
    </w:p>
    <w:p w14:paraId="2D5295A1" w14:textId="77777777" w:rsidR="009D7677" w:rsidRDefault="009D7677" w:rsidP="009D7677">
      <w:pPr>
        <w:pStyle w:val="TextoNormal"/>
      </w:pPr>
      <w:r>
        <w:t>La razón de ser de esta excepción reside en la necesidad de asegurar el correcto funcionamiento del sistema de producción normativa previsto en la Constitución, depurando y expulsando del ordenamiento las normas impugnadas ante este tribunal que se aparten de dicho sistema, con independencia de que se hallen o no en vigor en el momento en que se declare su inconstitucionalidad.</w:t>
      </w:r>
    </w:p>
    <w:p w14:paraId="2B8DCD6F" w14:textId="77777777" w:rsidR="009D7677" w:rsidRDefault="009D7677" w:rsidP="009D7677">
      <w:pPr>
        <w:pStyle w:val="TextoNormal"/>
      </w:pPr>
    </w:p>
    <w:p w14:paraId="285DE844" w14:textId="77777777" w:rsidR="009D7677" w:rsidRDefault="009D7677" w:rsidP="009D7677">
      <w:pPr>
        <w:pStyle w:val="TextoNormal"/>
      </w:pPr>
      <w:r>
        <w:t>Así sucede en el presente caso con la primera tacha que los recurrentes dirigen a la disposición impugnada, a la que imputan la infracción de los límites materiales de las leyes de presupuestos (arts. 66.2 y 134 CE, en relación con el principio de seguridad jurídica que garantiza el art. 9.3 CE), fundada en la indebida inclusión de la regulación contenida en esa disposición en una ley de presupuestos. En consecuencia, la pérdida de vigencia de la disposición impugnada, tras la reforma introducida por el art. 128, apartado séptimo del Real Decreto-ley 6/2023, en nada afecta a la pervivencia del objeto del recurso en este punto, por lo que debemos enjuiciar el fondo del asunto, y pronunciarnos sobre la eventual vulneración del sistema de fuentes que se alega en la demanda. Y lo mismo cabe decir respecto de la infracción del art. 150.2 CE que los recurrentes imputan también a la disposición impugnada, por tratarse de nuevo de una cuestión que atañe a la necesidad de velar por el correcto funcionamiento del sistema de producción normativa constitucionalmente establecido.</w:t>
      </w:r>
    </w:p>
    <w:p w14:paraId="79A3CB53" w14:textId="77777777" w:rsidR="009D7677" w:rsidRDefault="009D7677" w:rsidP="009D7677">
      <w:pPr>
        <w:pStyle w:val="TextoNormal"/>
      </w:pPr>
    </w:p>
    <w:p w14:paraId="238CB735" w14:textId="77777777" w:rsidR="009D7677" w:rsidRDefault="009D7677" w:rsidP="009D7677">
      <w:pPr>
        <w:pStyle w:val="TextoNormal"/>
      </w:pPr>
      <w:r>
        <w:lastRenderedPageBreak/>
        <w:t>Otra excepción a la regla de la extinción sobrevenida del recurso de inconstitucionalidad por modificación, derogación o pérdida de vigencia de la norma que se recurre, es la que atañe a los supuestos de impugnaciones de carácter competencial. En estos casos, la pervivencia o desaparición del objeto del recurso dependerá de si la nueva normativa, sustitutoria de la impugnada, viene a plantear o no los mismos problemas competenciales señalados en el recurso de inconstitucionalidad [por todas, STC 134/2011, de 20 de julio, FJ 2 b)]. Si los problemas competenciales subsisten, ello justifica la pervivencia del objeto del recurso y, por tanto, de la competencia de este tribunal para resolverlo porque “la función de preservar los ámbitos respectivos de competencias no puede quedar enervada por la sola derogación o modificación de las disposiciones cuya adopción dio lugar al litigio (STC 18/2016, de 4 de febrero, FJ 2, y jurisprudencia allí citada). Por ello, si “la normativa en relación con la cual se trabó el conflicto no es simplemente derogada, sino parcialmente sustituida por otra que viene a plantear en esencia los mismos problemas competenciales, la doctrina de este tribunal avala la conclusión de la no desaparición del objeto del conflicto” [STC 134/2011, FJ 2 b)].</w:t>
      </w:r>
    </w:p>
    <w:p w14:paraId="59E18039" w14:textId="77777777" w:rsidR="009D7677" w:rsidRDefault="009D7677" w:rsidP="009D7677">
      <w:pPr>
        <w:pStyle w:val="TextoNormal"/>
      </w:pPr>
    </w:p>
    <w:p w14:paraId="671B3CA9" w14:textId="1C76FA0B" w:rsidR="009D7677" w:rsidRDefault="009D7677" w:rsidP="009D7677">
      <w:pPr>
        <w:pStyle w:val="TextoNormal"/>
      </w:pPr>
      <w:r>
        <w:t>La redacción actual del apartado séptimo de la disposición adicional segunda LBRL, resultante de la reforma introducida por el art. 128, apartado séptimo del Real Decreto-ley 6/2023, viene a reproducir en términos similares la que a aquel precepto le dio la disposición final primera de la Ley 22/2021, de presupuestos generales del Estado para el año 2022, a la que los diputados recurrentes imputan la infracción del art. 149.1.18 CE, conforme quedó expuesto. En consecuencia, puesto que el actual enunciado de la norma reproduce, con similar redacción, las mismas cuestiones competenciales objeto de controversia en el presente recurso de inconstitucionalidad, ha de concluirse que también en este punto pervive el objeto del recurso.</w:t>
      </w:r>
    </w:p>
    <w:p w14:paraId="476208CD" w14:textId="77777777" w:rsidR="009D7677" w:rsidRDefault="009D7677" w:rsidP="009D7677">
      <w:pPr>
        <w:pStyle w:val="TextoNormal"/>
      </w:pPr>
    </w:p>
    <w:p w14:paraId="4FB1ECEA" w14:textId="77777777" w:rsidR="009D7677" w:rsidRDefault="009D7677" w:rsidP="009D7677">
      <w:pPr>
        <w:pStyle w:val="TextoNormal"/>
      </w:pPr>
      <w:r w:rsidRPr="009D7677">
        <w:rPr>
          <w:rStyle w:val="NumeroAFNegritaCaracter"/>
        </w:rPr>
        <w:t>3</w:t>
      </w:r>
      <w:r>
        <w:t xml:space="preserve">. </w:t>
      </w:r>
      <w:r w:rsidRPr="009D7677">
        <w:rPr>
          <w:i/>
        </w:rPr>
        <w:t>Examen de la infracción de</w:t>
      </w:r>
      <w:r>
        <w:t xml:space="preserve"> </w:t>
      </w:r>
      <w:r w:rsidRPr="009D7677">
        <w:rPr>
          <w:i/>
        </w:rPr>
        <w:t>los arts. 66.2 y 134.2 CE, en relación con el principio de seguridad jurídica (art. 9.3 CE). Doctrina constitucional sobre los límites materiales de las leyes de presupuestos</w:t>
      </w:r>
    </w:p>
    <w:p w14:paraId="19A46B7D" w14:textId="77777777" w:rsidR="009D7677" w:rsidRDefault="009D7677" w:rsidP="009D7677">
      <w:pPr>
        <w:pStyle w:val="TextoNormal"/>
      </w:pPr>
    </w:p>
    <w:p w14:paraId="203BAB07" w14:textId="77777777" w:rsidR="009D7677" w:rsidRDefault="009D7677" w:rsidP="009D7677">
      <w:pPr>
        <w:pStyle w:val="TextoNormal"/>
      </w:pPr>
      <w:r>
        <w:t>Efectuadas las precisiones que anteceden, debemos examinar las infracciones constitucionales alegadas, comenzando por la que imputa a la disposición impugnada la vulneración de los límites materiales de las leyes de presupuestos (arts. 66.2 y 134.2 CE), siendo la también invocada infracción del principio de seguridad jurídica (art. 9.3 CE) una consecuencia de la anterior.</w:t>
      </w:r>
    </w:p>
    <w:p w14:paraId="6ED4C43F" w14:textId="77777777" w:rsidR="009D7677" w:rsidRDefault="009D7677" w:rsidP="009D7677">
      <w:pPr>
        <w:pStyle w:val="TextoNormal"/>
      </w:pPr>
    </w:p>
    <w:p w14:paraId="138CE3A5" w14:textId="77777777" w:rsidR="009D7677" w:rsidRDefault="009D7677" w:rsidP="009D7677">
      <w:pPr>
        <w:pStyle w:val="TextoNormal"/>
      </w:pPr>
      <w:r>
        <w:t>Los recurrentes aducen que la disposición impugnada, que atribuye a la Comunidad Autónoma del País Vasco, conforme a la normativa que esta establezca, todas las facultades previstas en la Ley reguladora de las bases de régimen local en relación con los funcionarios de administración local con habilitación de carácter nacional, incluyendo las de selección, aprobación de la oferta pública de empleo para cubrir las vacantes existentes en su ámbito territorial, convocatoria en su territorio de los procesos de provisión de plazas vacantes, nombramiento del personal funcionario, asignación del primer destino y situaciones administrativas, desborda el contenido material de las leyes de presupuestos.</w:t>
      </w:r>
    </w:p>
    <w:p w14:paraId="42E46E57" w14:textId="77777777" w:rsidR="009D7677" w:rsidRDefault="009D7677" w:rsidP="009D7677">
      <w:pPr>
        <w:pStyle w:val="TextoNormal"/>
      </w:pPr>
    </w:p>
    <w:p w14:paraId="11A8210A" w14:textId="77777777" w:rsidR="009D7677" w:rsidRDefault="009D7677" w:rsidP="009D7677">
      <w:pPr>
        <w:pStyle w:val="TextoNormal"/>
      </w:pPr>
      <w:r>
        <w:t xml:space="preserve">Con cita de la doctrina constitucional sobre los límites del contenido “eventual” o “no imprescindible” de las leyes de presupuestos, sostienen los recurrente que la disposición impugnada no puede tener cabida en una ley de presupuestos generales del Estado, porque </w:t>
      </w:r>
      <w:r>
        <w:lastRenderedPageBreak/>
        <w:t>no guarda relación económica con los ingresos o gastos de las administraciones locales afectadas, en tanto incide sobre la forma de selección, provisión y nombramiento de funcionarios con habilitación de carácter nacional en el ámbito de la Comunidad Autónoma del País Vasco, pero sin repercutir sobre el gasto público que supondría su incorporación ni guardar conexión alguna con su régimen retributivo, puesto que dicho personal tendría que incorporarse, de una forma u otra, a la plantilla de la administración local correspondiente, de suerte que se generaría el mismo gasto con independencia de la forma en que esa incorporación se produjera. La disposición recurrida tampoco se erige, según los recurrentes, en complemento necesario para la mejor inteligencia y ejecución del presupuesto.</w:t>
      </w:r>
    </w:p>
    <w:p w14:paraId="2841474D" w14:textId="77777777" w:rsidR="009D7677" w:rsidRDefault="009D7677" w:rsidP="009D7677">
      <w:pPr>
        <w:pStyle w:val="TextoNormal"/>
      </w:pPr>
    </w:p>
    <w:p w14:paraId="2F16DE64" w14:textId="77777777" w:rsidR="009D7677" w:rsidRDefault="009D7677" w:rsidP="009D7677">
      <w:pPr>
        <w:pStyle w:val="TextoNormal"/>
      </w:pPr>
      <w:r>
        <w:t>Tanto el abogado del Estado como el letrado del Gobierno Vasco entienden que la disposición impugnada no incurre en la tacha de inconstitucionalidad alegada por los recurrentes, pues se trataría de una regulación que tiene legítimo encaje en el contenido eventual, no necesario o no imprescindible de las leyes de presupuestos.</w:t>
      </w:r>
    </w:p>
    <w:p w14:paraId="124CF51E" w14:textId="77777777" w:rsidR="009D7677" w:rsidRDefault="009D7677" w:rsidP="009D7677">
      <w:pPr>
        <w:pStyle w:val="TextoNormal"/>
      </w:pPr>
    </w:p>
    <w:p w14:paraId="70FE8B37" w14:textId="77777777" w:rsidR="009D7677" w:rsidRDefault="009D7677" w:rsidP="009D7677">
      <w:pPr>
        <w:pStyle w:val="TextoNormal"/>
      </w:pPr>
      <w:r>
        <w:t>Para dar cumplida respuesta a la controversia planteada, debemos recordar nuestra consolidada doctrina sobre los límites materiales de las leyes de presupuestos, conforme a la cual la Constitución establece una reserva de un contenido de ley de presupuestos, lo que significa que la norma debe ceñirse a ese contenido y también que ese contenido se encuentra reservado a ella (SSTC 9/2013, FJ 3, y 86/2013, FJ 3, con cita de otras muchas). Esta limitación de contenido es “una exigencia del principio de seguridad jurídica constitucionalmente garantizado (art. 9.3 CE), esto es, de la certeza del Derecho que exige que una ley de contenido constitucionalmente definido, como es la ley de presupuestos generales del Estado, no contenga más disposiciones que las que guardan correspondencia con su función constitucional (arts. 66.2 y 134.2 CE), debido a la incertidumbre que una regulación de este tipo indudablemente origina” (por todas, STC 32/2000, de 3 de febrero, FJ 5). Es la propia función constitucional de la norma, con las consecuentes restricciones al debate parlamentario, la que fundamenta la limitación del contenido de estas leyes, que se justifica en que representan un papel central en un Estado democrático de Derecho, porque permiten a sus ciudadanos tener una visión de conjunto del plan económico del Gobierno, de ahí la exigencia de que en ellas se incluyan “la totalidad de los gastos e ingresos del sector público estatal”, como dispone el art. 134.2 CE (por todas, SSTC 3/2003, de 16 de enero, FJ 4; 9/2013, FJ 3, y 86/2013, FJ 3).</w:t>
      </w:r>
    </w:p>
    <w:p w14:paraId="731A7E93" w14:textId="77777777" w:rsidR="009D7677" w:rsidRDefault="009D7677" w:rsidP="009D7677">
      <w:pPr>
        <w:pStyle w:val="TextoNormal"/>
      </w:pPr>
    </w:p>
    <w:p w14:paraId="769061B2" w14:textId="77777777" w:rsidR="009D7677" w:rsidRDefault="009D7677" w:rsidP="009D7677">
      <w:pPr>
        <w:pStyle w:val="TextoNormal"/>
      </w:pPr>
      <w:r>
        <w:t>A partir de esta premisa, hemos reiterado que las leyes de presupuestos tienen un contenido mínimo, esencial e indisponible, y pueden tener también un contenido eventual o no imprescindible.</w:t>
      </w:r>
    </w:p>
    <w:p w14:paraId="667B2509" w14:textId="77777777" w:rsidR="009D7677" w:rsidRDefault="009D7677" w:rsidP="009D7677">
      <w:pPr>
        <w:pStyle w:val="TextoNormal"/>
      </w:pPr>
    </w:p>
    <w:p w14:paraId="0690D01A" w14:textId="77777777" w:rsidR="009D7677" w:rsidRDefault="009D7677" w:rsidP="009D7677">
      <w:pPr>
        <w:pStyle w:val="TextoNormal"/>
      </w:pPr>
      <w:r>
        <w:t>El contenido esencial o indisponible es el que en todo caso debe aparecer en la ley de presupuestos generales del Estado que cada año debe ser aprobada por las Cortes Generales (art. 66.2 CE), que deriva directamente de lo dispuesto en el art. 134.2 CE y que se concreta en la previsión de ingresos y habilitación de gastos para un ejercicio económico y en las normas de naturaleza financiera que desarrollan y aclaran los estados cifrados para su ejecución congruente o simétrica en el respectivo período anual. Ese contenido propio, mínimo y necesario de la ley de presupuestos, es al que se refiere el art. 134.2 CE y que alcanza a “la totalidad de los gastos e ingresos del sector público estatal” [SSTC 206/2013, de 5 de diciembre, FJ 5; 217/2013, de 19 de diciembre, FJ 2, y 44/2015, de 5 de marzo, FJ 3 b), por todas].</w:t>
      </w:r>
    </w:p>
    <w:p w14:paraId="29C8435D" w14:textId="77777777" w:rsidR="009D7677" w:rsidRDefault="009D7677" w:rsidP="009D7677">
      <w:pPr>
        <w:pStyle w:val="TextoNormal"/>
      </w:pPr>
    </w:p>
    <w:p w14:paraId="242E1DAA" w14:textId="77777777" w:rsidR="009D7677" w:rsidRDefault="009D7677" w:rsidP="009D7677">
      <w:pPr>
        <w:pStyle w:val="TextoNormal"/>
      </w:pPr>
      <w:r>
        <w:t>La ley de presupuestos generales del Estado puede tener también un contenido “eventual”, “disponible” y, por tanto, “no imprescindible”, que se justifica en el carácter funcional de dicha ley como vehículo director de la política económica del Gobierno y que se concreta en aquellas otras disposiciones que, aun no suponiendo una previsión de ingresos o una habilitación de gastos en sentido estricto, o bien guardan una relación directa con las previsiones de ingreso y las habilitaciones de gasto de los presupuestos, o bien responden a los criterios de política económica general o, en fin, vienen a ser un complemento necesario para la mejor inteligencia y más eficaz ejecución del presupuesto (por todas, SSTC 74/2011, de 19 de mayo, FJ 3; 99/2016, de 25 de mayo, FJ 8, y 123/2016, de 23 de junio, FJ 3). Por eso, quedan en principio excluidas de las leyes de presupuestos las normas típicas del Derecho codificado u otras previsiones de carácter general en las que no concurra dicha vinculación (entre otras muchas, SSTC 248/2007, de 13 de diciembre, FJ 4; 74/2011, de 19 de mayo, FJ 3; 9/2013, FJ 3, y 86/2013, FJ 3). En particular, sobre el requisito de la vinculación necesaria del contenido eventual con los gastos e ingresos públicos, se ha recalcado la importancia de que dicha conexión sea “inmediata y directa”. Esto significa que no pueden incluirse en las leyes de presupuestos normas “cuya incidencia en la ordenación del programa anual de ingresos y gastos es solo accidental y secundaria y por ende insuficiente para legitimar su inclusión en la ley de presupuestos” [SSTC 152/2014, de 25 de septiembre, FJ 4 a), y 122/2018, de 31 de octubre, FJ 3 d)].</w:t>
      </w:r>
    </w:p>
    <w:p w14:paraId="3D30E013" w14:textId="77777777" w:rsidR="009D7677" w:rsidRDefault="009D7677" w:rsidP="009D7677">
      <w:pPr>
        <w:pStyle w:val="TextoNormal"/>
      </w:pPr>
    </w:p>
    <w:p w14:paraId="58FA76B6" w14:textId="77777777" w:rsidR="009D7677" w:rsidRDefault="009D7677" w:rsidP="009D7677">
      <w:pPr>
        <w:pStyle w:val="TextoNormal"/>
      </w:pPr>
      <w:r>
        <w:t>Esta doctrina, elaborada en relación con la ley de presupuestos generales del Estado, ha sido extendida por el Tribunal a las leyes de presupuestos de las comunidades autónomas, como también es sabido, de suerte que será aplicable a estas siempre y cuando exista una identidad sustancial entre las normas que integran el bloque de la constitucionalidad aplicable a la institución presupuestaria de la comunidad autónoma de que se trate y cuanto dispone el art. 134.2 CE respecto del Estado (por todas, STC 86/2013, FJ 3).</w:t>
      </w:r>
    </w:p>
    <w:p w14:paraId="3EFDBC56" w14:textId="77777777" w:rsidR="009D7677" w:rsidRDefault="009D7677" w:rsidP="009D7677">
      <w:pPr>
        <w:pStyle w:val="TextoNormal"/>
      </w:pPr>
    </w:p>
    <w:p w14:paraId="4E936156" w14:textId="77777777" w:rsidR="009D7677" w:rsidRDefault="009D7677" w:rsidP="009D7677">
      <w:pPr>
        <w:pStyle w:val="TextoNormal"/>
      </w:pPr>
      <w:r>
        <w:t>La aplicación de esta doctrina constitucional a las diferentes controversias planteadas ante este tribunal ha dado lugar a una amplia casuística. Por su relevancia para la cuestión que nos ocupa, conviene recordar que hemos advertido expresamente que “[e]n el contenido eventual de una ley de presupuestos en general no caben las normas que integran el régimen de la función pública” [STC 109/2021, de 13 de mayo, FJ 3.c)], y así hemos declarado inconstitucionales, entre otras, por tratarse de disposiciones de carácter general que no guardaban relación alguna con los ingresos y gastos del ejercicio, diversas medidas relacionadas con el personal del sector público incluidas en leyes de presupuestos, como las relativas a los procedimientos de acceso de los funcionarios sanitarios locales interinos a la categoría de funcionarios de carrera (STC 174/1998, de 23 de julio); al régimen de provisión de los puestos de trabajo del personal sanitario (STC 203/1998, de 15 de octubre); a la creación de un cuerpo de funcionarios autonómicos (STC 130/1999, de 1 de julio); a la edad de pase a la situación de segunda actividad de los funcionarios del Cuerpo Nacional de Policía (STC 234/1999, de 16 de diciembre); a la regulación de un supuesto de movilidad interadministrativa funcionarial (STC 274/2000, de 15 de noviembre); a los requisitos de titulación necesaria para acceder a un cuerpo de funcionarios del Tribunal de Cuentas (STC 9/2013, ya citada); al establecimiento de limitaciones a la incorporación de personal laboral al sector público (STC 122/2018, también citada); o a la exigencia de dedicación exclusiva de las jefaturas de servicio o sección del personal estatutario faculta</w:t>
      </w:r>
      <w:r>
        <w:lastRenderedPageBreak/>
        <w:t>tivo del sistema sanitario público para poder percibir el complemento correspondiente (STC 109/2021, citada asimismo).</w:t>
      </w:r>
    </w:p>
    <w:p w14:paraId="2818E348" w14:textId="77777777" w:rsidR="009D7677" w:rsidRDefault="009D7677" w:rsidP="009D7677">
      <w:pPr>
        <w:pStyle w:val="TextoNormal"/>
      </w:pPr>
    </w:p>
    <w:p w14:paraId="54766C5F" w14:textId="29F6BCF1" w:rsidR="009D7677" w:rsidRDefault="009D7677" w:rsidP="009D7677">
      <w:pPr>
        <w:pStyle w:val="TextoNormal"/>
      </w:pPr>
      <w:r>
        <w:t>Por el contrario, “[e]ncuentran cabida en el contenido eventual [de una ley de presupuestos] normas que guardan conexión con el régimen retributivo de la función pública [STC 152/2014, de 25 de septiembre, FJ 3 a)], con incidencia directa en el gasto público presupuestado” [STC 109/2021, FJ 3 c)], tales como las que establecen la incompatibilidad de percepción de haberes activos y de pensiones (STC 65/1990, de 5 de abril); el incremento de retribuciones salariales para el personal al servicio de las administraciones públicas (STC 237/1992, de 15 de diciembre); la creación de un complemento retributivo para determinados cargos públicos (STC 32/2000, de 3 de febrero); o una medida que pretende evitar el incremento de las retribuciones del personal del sector público (STC 99/2016, de 25 de mayo, FJ 8).</w:t>
      </w:r>
    </w:p>
    <w:p w14:paraId="1D6EC386" w14:textId="77777777" w:rsidR="009D7677" w:rsidRDefault="009D7677" w:rsidP="009D7677">
      <w:pPr>
        <w:pStyle w:val="TextoNormal"/>
      </w:pPr>
    </w:p>
    <w:p w14:paraId="0F81BB12" w14:textId="77777777" w:rsidR="009D7677" w:rsidRDefault="009D7677" w:rsidP="009D7677">
      <w:pPr>
        <w:pStyle w:val="TextoNormal"/>
      </w:pPr>
      <w:r w:rsidRPr="009D7677">
        <w:rPr>
          <w:rStyle w:val="NumeroAFNegritaCaracter"/>
        </w:rPr>
        <w:t>4</w:t>
      </w:r>
      <w:r>
        <w:t xml:space="preserve">. </w:t>
      </w:r>
      <w:r w:rsidRPr="009D7677">
        <w:rPr>
          <w:i/>
        </w:rPr>
        <w:t>Aplicación al caso de la doctrina constitucional sobre los límites materiales de las leyes de presupuestos. Estimación de la tacha de inconstitucionalidad alegada</w:t>
      </w:r>
    </w:p>
    <w:p w14:paraId="3471AC92" w14:textId="77777777" w:rsidR="009D7677" w:rsidRDefault="009D7677" w:rsidP="009D7677">
      <w:pPr>
        <w:pStyle w:val="TextoNormal"/>
      </w:pPr>
    </w:p>
    <w:p w14:paraId="74BA6CC7" w14:textId="77777777" w:rsidR="009D7677" w:rsidRDefault="009D7677" w:rsidP="009D7677">
      <w:pPr>
        <w:pStyle w:val="TextoNormal"/>
      </w:pPr>
      <w:r>
        <w:t>A partir de la doctrina constitucional expuesta debe ahora examinarse si la disposición impugnada desborda, como sostienen los recurrentes, el contenido posible de una ley de presupuestos y vulnera, en consecuencia, los arts. 66.2 y 134.2 CE.</w:t>
      </w:r>
    </w:p>
    <w:p w14:paraId="2EAD6A10" w14:textId="77777777" w:rsidR="009D7677" w:rsidRDefault="009D7677" w:rsidP="009D7677">
      <w:pPr>
        <w:pStyle w:val="TextoNormal"/>
      </w:pPr>
    </w:p>
    <w:p w14:paraId="58C59692" w14:textId="77777777" w:rsidR="009D7677" w:rsidRDefault="009D7677" w:rsidP="009D7677">
      <w:pPr>
        <w:pStyle w:val="TextoNormal"/>
      </w:pPr>
      <w:r>
        <w:t>No está en discusión que la disposición impugnada no integra el núcleo esencial o indisponible de la ley de presupuestos, por lo que su constitucionalidad dependerá de si esa disposición puede encontrar encaje en el denominado “contenido eventual” de dicha ley, como defienden el abogado del Estado y el letrado del Gobierno Vasco. Procede examinar, por tanto, la inmediatez de la conexión de la disposición controvertida con el objeto del presupuesto, en los términos señalados.</w:t>
      </w:r>
    </w:p>
    <w:p w14:paraId="1CD86F70" w14:textId="77777777" w:rsidR="009D7677" w:rsidRDefault="009D7677" w:rsidP="009D7677">
      <w:pPr>
        <w:pStyle w:val="TextoNormal"/>
      </w:pPr>
    </w:p>
    <w:p w14:paraId="02B6BBC4" w14:textId="77777777" w:rsidR="009D7677" w:rsidRDefault="009D7677" w:rsidP="009D7677">
      <w:pPr>
        <w:pStyle w:val="TextoNormal"/>
      </w:pPr>
      <w:r>
        <w:t>La disposición final primera de la Ley 22/2021, de presupuestos generales del Estado para el año 2022, que da nueva redacción al apartado séptimo de la disposición adicional segunda LBRL y cuyo contenido quedó antes transcrito, establece una regulación incardinada en la materia de función pública, al referirse a la atribución a la Comunidad Autónoma del País Vasco, en su ámbito territorial, de todas las facultades previstas en la Ley reguladora de las bases de régimen local en relación con los funcionarios de administración local con habilitación de carácter nacional, incluyendo las de selección, aprobación de la oferta pública de empleo para cubrir las vacantes existentes, la convocatoria de los procesos de provisión de plazas vacantes, el nombramiento del personal funcionario, la asignación del primer destino y las situaciones administrativas.</w:t>
      </w:r>
    </w:p>
    <w:p w14:paraId="480A91B8" w14:textId="77777777" w:rsidR="009D7677" w:rsidRDefault="009D7677" w:rsidP="009D7677">
      <w:pPr>
        <w:pStyle w:val="TextoNormal"/>
      </w:pPr>
    </w:p>
    <w:p w14:paraId="0738ABD5" w14:textId="77777777" w:rsidR="009D7677" w:rsidRDefault="009D7677" w:rsidP="009D7677">
      <w:pPr>
        <w:pStyle w:val="TextoNormal"/>
      </w:pPr>
      <w:r>
        <w:t>Se trata de una norma en materia de función pública, que no guarda conexión con el régimen retributivo de los funcionarios de administración local con habilitación de carácter nacional ni tiene incidencia económica directa con los ingresos o los gastos, al no suponer un incremento o minoración de los ingresos de las administraciones públicas que se vean afectadas, ni tampoco un incremento o una minoración de los gastos en materia de personal, puesto que dicho personal tendría que incorporarse, de una forma u otra, a la plantilla de la corporación local.</w:t>
      </w:r>
    </w:p>
    <w:p w14:paraId="2FFED2F5" w14:textId="77777777" w:rsidR="009D7677" w:rsidRDefault="009D7677" w:rsidP="009D7677">
      <w:pPr>
        <w:pStyle w:val="TextoNormal"/>
      </w:pPr>
    </w:p>
    <w:p w14:paraId="68DB355E" w14:textId="77777777" w:rsidR="009D7677" w:rsidRDefault="009D7677" w:rsidP="009D7677">
      <w:pPr>
        <w:pStyle w:val="TextoNormal"/>
      </w:pPr>
      <w:r>
        <w:lastRenderedPageBreak/>
        <w:t>El abogado del Estado y el letrado del Gobierno Vasco han sostenido que la disposición impugnada tiene encaje en el contenido eventual de las leyes de presupuestos, toda vez que el desempeño de las funciones reservadas por la Ley reguladora de las bases de régimen local a los funcionarios de administración local con habilitación nacional (entre las que se encuentran las funciones de control y fiscalización externa de la gestión económico-financiera y presupuestaria, y de contabilidad, tesorería y recaudación) están vinculadas con el régimen de control de los gastos e ingresos públicos de las entidades locales y, por tanto, con las previsiones de ingreso y las habilitaciones de gasto de los presupuestos. En definitiva, se viene a afirmar que, dadas las actividades fiscalizadoras que corresponden a los funcionarios de administración local con habilitación nacional, la disposición impugnada afectaría indirectamente a la fase de control del presupuesto de las corporaciones locales, que es una de las que componen el ciclo presupuestario, junto a las de elaboración, aprobación y ejecución de los presupuestos.</w:t>
      </w:r>
    </w:p>
    <w:p w14:paraId="2BCC87E4" w14:textId="77777777" w:rsidR="009D7677" w:rsidRDefault="009D7677" w:rsidP="009D7677">
      <w:pPr>
        <w:pStyle w:val="TextoNormal"/>
      </w:pPr>
    </w:p>
    <w:p w14:paraId="6C16CBBC" w14:textId="77777777" w:rsidR="009D7677" w:rsidRDefault="009D7677" w:rsidP="009D7677">
      <w:pPr>
        <w:pStyle w:val="TextoNormal"/>
      </w:pPr>
      <w:r>
        <w:t>Sin embargo, a los efectos de la delimitación del contenido admisible de la ley de presupuestos, la vinculación apuntada es claramente insuficiente, pues no expresa una relación directa e inmediata de la disposición impugnada con los ingresos o gastos públicos, con la política económica del Gobierno o con la inteligencia y ejecución del presupuesto. Como ya hemos advertido, “son muchísimas las medidas normativas susceptibles de tener alguna incidencia en cualquiera de estos aspectos, pero si esto fuera suficiente, los límites materiales que afectan a las leyes de presupuestos quedarían desnaturalizados; se diluirían hasta devenir prácticamente inoperantes” (por todas, SSTC 234/1999, FJ 5, y 9/2013, FJ 4). Aceptar que la conexión funcional de los funcionarios de administración local con habilitación nacional con la materia de control externo de la gestión económico-financiera y presupuestaria de las entidades locales expresa la relación directa que exige la jurisprudencia constitucional a efectos del contenido eventual de la ley de presupuestos, implicaría que esta ley pudiese regular todos los colectivos funcionariales que desempeñan tareas relacionadas con ingresos y gastos públicos, en contra de la configuración constitucional de ley de presupuestos como “ley de contenido constitucionalmente definido” (STC 32/2000, de 3 de febrero, FJ 5, por todas).</w:t>
      </w:r>
    </w:p>
    <w:p w14:paraId="3C5E7F74" w14:textId="77777777" w:rsidR="009D7677" w:rsidRDefault="009D7677" w:rsidP="009D7677">
      <w:pPr>
        <w:pStyle w:val="TextoNormal"/>
      </w:pPr>
    </w:p>
    <w:p w14:paraId="61BBCD7A" w14:textId="77777777" w:rsidR="009D7677" w:rsidRDefault="009D7677" w:rsidP="009D7677">
      <w:pPr>
        <w:pStyle w:val="TextoNormal"/>
      </w:pPr>
      <w:r>
        <w:t>Por todo lo expuesto, apreciamos que no concurre la indispensable relación directa o inmediata de la disposición impugnada con los gastos e ingresos que integran el presupuesto, ni cabe entender que esté justificada la inclusión de esa disposición en la ley de presupuestos por suponer “un complemento necesario para la mayor inteligencia y para la mejor y más eficaz ejecución del presupuesto y, en general, de la política económica del Gobierno” [SSTC 76/1992, de 14 de mayo, FJ 4 a); 9/2013, FJ 4, y 86/2013, FJ 5]. La regulación contenida en la disposición impugnada desborda, por tanto, el contenido constitucionalmente admisible de la ley de presupuestos, por lo que es contraria a la Constitución (arts. 66.2 y 134.2).</w:t>
      </w:r>
    </w:p>
    <w:p w14:paraId="6DADBDDC" w14:textId="77777777" w:rsidR="009D7677" w:rsidRDefault="009D7677" w:rsidP="009D7677">
      <w:pPr>
        <w:pStyle w:val="TextoNormal"/>
      </w:pPr>
    </w:p>
    <w:p w14:paraId="5E3EAC55" w14:textId="77777777" w:rsidR="009D7677" w:rsidRDefault="009D7677" w:rsidP="009D7677">
      <w:pPr>
        <w:pStyle w:val="TextoNormal"/>
      </w:pPr>
      <w:r>
        <w:t>Debemos, en consecuencia, declarar la inconstitucionalidad y nulidad de la disposición final primera de la Ley 22/2021, de presupuestos generales del Estado para el año 2022, lo que hace innecesario que entremos a examinar las restantes censuras de inconstitucionalidad que los diputados recurrentes dirigen a esa disposición y, en concreto, las referidas a la vulneración de los arts. 150.2 y del art. 149.1.18 CE.</w:t>
      </w:r>
    </w:p>
    <w:p w14:paraId="58700870" w14:textId="77777777" w:rsidR="009D7677" w:rsidRDefault="009D7677" w:rsidP="009D7677">
      <w:pPr>
        <w:pStyle w:val="TextoNormal"/>
      </w:pPr>
    </w:p>
    <w:p w14:paraId="34937C71" w14:textId="2E70B21A" w:rsidR="009D7677" w:rsidRDefault="009D7677" w:rsidP="009D7677">
      <w:pPr>
        <w:pStyle w:val="TextoNormal"/>
      </w:pPr>
      <w:r>
        <w:lastRenderedPageBreak/>
        <w:t>Por otra parte, hay que tener presente que pueden haberse celebrado procesos selectivos y de provisión de puestos y declarado situaciones de los funcionarios al amparo de la disposición que ahora declaramos inconstitucional durante el tiempo trascurrido entre la interposición del recurso de inconstitucionalidad y esta sentencia. Nuestra declaración de inconstitucionalidad y nulidad no deberá afectar a esos procesos y resoluciones administrativas, pues, en estas circunstancias, el principio constitucional de seguridad jurídica (art. 9.3 CE) reclama salvaguardar la intangibilidad de las situaciones jurídicas consolidadas, es decir, no solo las decididas con fuerza de cosa juzgada, sino también las situaciones administrativas firmes, según hemos decidido en casos similares (por todas, SSTC 9/2013, FJ 4, y 86/2013, FJ 5).</w:t>
      </w:r>
    </w:p>
    <w:p w14:paraId="638411AA" w14:textId="77777777" w:rsidR="009D7677" w:rsidRDefault="009D7677" w:rsidP="009D7677">
      <w:pPr>
        <w:pStyle w:val="TextoNormal"/>
      </w:pPr>
    </w:p>
    <w:p w14:paraId="703ADE50" w14:textId="77777777" w:rsidR="009D7677" w:rsidRDefault="009D7677" w:rsidP="009D7677">
      <w:pPr>
        <w:pStyle w:val="TextoNormalCentrado"/>
        <w:keepNext/>
      </w:pPr>
      <w:r>
        <w:t>FALLO</w:t>
      </w:r>
    </w:p>
    <w:p w14:paraId="7E96F199" w14:textId="7FBF7D67" w:rsidR="009D7677" w:rsidRDefault="009D7677" w:rsidP="009D7677">
      <w:pPr>
        <w:pStyle w:val="TextoNormalCentrado"/>
        <w:keepNext/>
      </w:pPr>
    </w:p>
    <w:p w14:paraId="2239CBA5" w14:textId="095E85CA" w:rsidR="009D7677" w:rsidRDefault="009D7677" w:rsidP="009D7677">
      <w:pPr>
        <w:pStyle w:val="TextoNormal"/>
      </w:pPr>
      <w:r>
        <w:t>En atención a todo lo expuesto, el Tribunal Constitucional, por la autoridad que le confiere la Constitución de la Nación española, ha decidido estimar el recurso de inconstitucionalidad y, en consecuencia, declarar inconstitucional y nula la disposición final primera de la Ley 22/2021, de 28 de diciembre, de presupuestos generales del Estado para el año 2022, con los efectos establecidos en el fundamento jurídico 4.</w:t>
      </w:r>
    </w:p>
    <w:p w14:paraId="3BD2CE22" w14:textId="77777777" w:rsidR="009D7677" w:rsidRDefault="009D7677" w:rsidP="009D7677">
      <w:pPr>
        <w:pStyle w:val="TextoNormal"/>
      </w:pPr>
    </w:p>
    <w:p w14:paraId="5FFC7F31" w14:textId="77777777" w:rsidR="009D7677" w:rsidRDefault="009D7677" w:rsidP="009D7677">
      <w:pPr>
        <w:pStyle w:val="TextoNormal"/>
      </w:pPr>
      <w:r>
        <w:t>Publíquese esta sentencia en el “Boletín Oficial del Estado”.</w:t>
      </w:r>
    </w:p>
    <w:p w14:paraId="7B4AAC26" w14:textId="77777777" w:rsidR="009D7677" w:rsidRDefault="009D7677" w:rsidP="009D7677">
      <w:pPr>
        <w:pStyle w:val="TextoNormal"/>
      </w:pPr>
      <w:r>
        <w:t>Dada en Madrid, a veintitrés de abril de dos mil veinticuatro.</w:t>
      </w:r>
    </w:p>
    <w:p w14:paraId="67442FCA" w14:textId="74A8657F" w:rsidR="009D7677" w:rsidRDefault="009D7677" w:rsidP="009D7677">
      <w:pPr>
        <w:pStyle w:val="ParrafoNormal"/>
      </w:pPr>
    </w:p>
    <w:p w14:paraId="2D3E8AED" w14:textId="77777777" w:rsidR="009D7677" w:rsidRDefault="009D7677" w:rsidP="009D7677">
      <w:pPr>
        <w:pStyle w:val="TextoNormalNegritaCentrado"/>
        <w:keepNext/>
      </w:pPr>
      <w:r>
        <w:t>Voto particular que formula la magistrada doña María Luisa Balaguer Callejón a la sentencia dictada en el recurso de inconstitucionalidad núm. 2059-2022</w:t>
      </w:r>
    </w:p>
    <w:p w14:paraId="3A4928D2" w14:textId="23AFE059" w:rsidR="009D7677" w:rsidRDefault="009D7677" w:rsidP="009D7677">
      <w:pPr>
        <w:pStyle w:val="TextoNormalNegritaCentrado"/>
        <w:keepNext/>
      </w:pPr>
    </w:p>
    <w:p w14:paraId="7A464C65" w14:textId="77777777" w:rsidR="009D7677" w:rsidRDefault="009D7677" w:rsidP="009D7677">
      <w:pPr>
        <w:pStyle w:val="TextoNormal"/>
      </w:pPr>
      <w:r>
        <w:t>En ejercicio de la facultad que me confiere el artículo 90.2 de la Ley Orgánica del Tribunal Constitucional (LOTC), y con pleno respeto a la opinión de la mayoría reflejada en la sentencia, formulo el presente voto, dejando constancia sucintamente de los fundamentos de mi posición discrepante con el fallo y con los razonamientos que lo sustentan, de acuerdo con los argumentos que defendí en la deliberación del Pleno.</w:t>
      </w:r>
    </w:p>
    <w:p w14:paraId="3C0EF0F5" w14:textId="77777777" w:rsidR="009D7677" w:rsidRDefault="009D7677" w:rsidP="009D7677">
      <w:pPr>
        <w:pStyle w:val="TextoNormal"/>
      </w:pPr>
    </w:p>
    <w:p w14:paraId="7D548FBC" w14:textId="77777777" w:rsidR="009D7677" w:rsidRDefault="009D7677" w:rsidP="009D7677">
      <w:pPr>
        <w:pStyle w:val="TextoNormal"/>
      </w:pPr>
      <w:r>
        <w:t xml:space="preserve">Mi discrepancia, como expongo a continuación, se concreta en la decisión finalmente adoptada que, en mi opinión, debió ser de extinción del recurso de inconstitucionalidad por pérdida de su objeto respecto del motivo de impugnación relativo a la posible vulneración del límite constitucional a los contenidos que son susceptibles de regularse por la ley de presupuestos del Estado por imperativo de lo dispuesto en el art. 134 CE, en relación con el art. 66.2 CE y el principio de seguridad jurídica </w:t>
      </w:r>
      <w:r w:rsidRPr="009D7677">
        <w:rPr>
          <w:i/>
        </w:rPr>
        <w:t>ex</w:t>
      </w:r>
      <w:r>
        <w:t xml:space="preserve"> art. 9.3 CE, manteniendo, sin embargo, parcialmente vivo su objeto en relación con la cuestión competencial objeto de controversia. Como la sentencia de la que disiento reconoce, la redacción dada al apartado 7 de la disposición adicional segunda de la Ley 7/1985, de 2 de abril, reguladora de las bases del régimen local, por la Ley 22/2021 aquí impugnada, fue objeto de modificación en virtud del artículo 128.7 del Real Decreto-ley 6/2023, de 19 de diciembre, por el que se aprueban medidas urgentes para la ejecución del Plan de recuperación, transformación y resiliencia en materia de servicio público de justicia, función pública, régimen local y mecenazgo. Por tal razón, en aplicación de la doctrina de este tribunal, se debería haber declarado la pérdida sobrevenida en este punto del objeto del recurso de inconstitucionali</w:t>
      </w:r>
      <w:r>
        <w:lastRenderedPageBreak/>
        <w:t>dad, pues la regla general en el ámbito de los recursos de inconstitucionalidad es que la modificación de la norma impugnada extingue su objeto.</w:t>
      </w:r>
    </w:p>
    <w:p w14:paraId="1AB40D56" w14:textId="77777777" w:rsidR="009D7677" w:rsidRDefault="009D7677" w:rsidP="009D7677">
      <w:pPr>
        <w:pStyle w:val="TextoNormal"/>
      </w:pPr>
    </w:p>
    <w:p w14:paraId="5235A682" w14:textId="77777777" w:rsidR="009D7677" w:rsidRDefault="009D7677" w:rsidP="009D7677">
      <w:pPr>
        <w:pStyle w:val="TextoNormal"/>
      </w:pPr>
      <w:r>
        <w:t>Como este tribunal tiene establecido, “en el ámbito del recurso de inconstitucionalidad, recurso abstracto y orientado a la depuración objetiva del ordenamiento, la pérdida sobrevenida de la vigencia del precepto legal impugnado ‘habrá de ser tenida en cuenta por este tribunal para apreciar si la misma conlleva [...] la exclusión de toda la aplicabilidad de la ley, [pues] si así fuera, no habría sino que reconocer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40.1 LOTC)’ (STC 199/1987, FJ 3). Por ello, carece de sentido, tratándose de un recurso de inconstitucionalidad, ‘pronunciarse sobre normas que el mismo legislador ha expulsado ya de dicho ordenamiento ... de modo total, sin ultraactividad’ (SSTC 160/1987, FJ 6; 150/1990, FJ 8, y 385/1983, FJ 2)” (por todas, SSTC 104/2015, de 28 de mayo, FJ 2; 237/2015, de 19 de noviembre, FJ 3; 270/2015, de 17 de diciembre, FJ 2; 140/2016, de 21 de julio, FJ 2, y 27/2017, de 16 de febrero, FJ 2).</w:t>
      </w:r>
    </w:p>
    <w:p w14:paraId="43813BB4" w14:textId="77777777" w:rsidR="009D7677" w:rsidRDefault="009D7677" w:rsidP="009D7677">
      <w:pPr>
        <w:pStyle w:val="TextoNormal"/>
      </w:pPr>
    </w:p>
    <w:p w14:paraId="769F041B" w14:textId="77777777" w:rsidR="009D7677" w:rsidRDefault="009D7677" w:rsidP="009D7677">
      <w:pPr>
        <w:pStyle w:val="TextoNormal"/>
      </w:pPr>
      <w:r>
        <w:t>Bien es cierto que la cuestión debe resolverse en cada caso concreto y no cabe dar una respuesta unívoca en todos los supuestos, ya que esa regla general tiene excepciones. Tal ocurre cuando el recurso de inconstitucionalidad versa sobre una controversia de carácter competencial y esta no ha desaparecido con la nueva norma [entre otras, SSTC 96/2013, de 23 de abril, FJ 2; 142/2014, de 11 de septiembre, FJ 2, y 230/2015, de 5 de noviembre, FJ 3 b)], o cuando se trata de controlar normas de vigencia temporal limitada como son, por ejemplo, las leyes de presupuestos, pues “excluir la posibilidad de examen constitucional en estos supuestos ‘sería tanto como negar la posibilidad de control por este Tribunal Constitucional de determinadas normas con vigencia limitada en el tiempo ... creándose así un ámbito normativo (estatal o autonómico) inmune al control de la jurisdicción constitucional’” [por todas, SSTC 13/2007, de 18 de enero, FJ 1; 26/2013, de 31 de enero, FJ 2, y 179/2016, de 20 de octubre, FJ 2 a)]. Finalmente, se ha excluido el supuesto de la legislación de urgencia, en cuanto las deficiencias respecto a los presupuestos para su uso y a su contenido posible no pueden quedar subsanadas por los efectos derogatorios de la legislación sobrevenida o los convalidantes de la asunción del decreto-ley por el Congreso de los Diputados o por las asambleas de las comunidades autónomas [por todas, SSTC 137/2003, de 3 de julio, FJ 2; 155/2005, de 9 de junio, FJ 2; 96/2014, de 12 de junio, FJ 2;47/2015, de 5 de marzo, FJ 2 c), y 106/2015, de 28 de mayo, FJ 2].</w:t>
      </w:r>
    </w:p>
    <w:p w14:paraId="7B7BD45A" w14:textId="77777777" w:rsidR="009D7677" w:rsidRDefault="009D7677" w:rsidP="009D7677">
      <w:pPr>
        <w:pStyle w:val="TextoNormal"/>
      </w:pPr>
    </w:p>
    <w:p w14:paraId="0314F4E8" w14:textId="77777777" w:rsidR="009D7677" w:rsidRDefault="009D7677" w:rsidP="009D7677">
      <w:pPr>
        <w:pStyle w:val="TextoNormal"/>
      </w:pPr>
      <w:r>
        <w:t xml:space="preserve">Pues bien, en este caso concurre la primera de las circunstancias expuestas para impedir la aplicación de la regla general, pero no la segunda. La disposición final impugnada en el recurso de inconstitucionalidad que nos ocupa, aunque se encuentra incluida dentro de una ley de presupuestos, no tenía una vigencia temporal limitada, sino que fue aprobada con una vocación de vigencia indefinida, por lo que la excepción a la regla general en los supuestos de normas limitadas en el tiempo no es de aplicación en este caso. Dicha disposición adicional fue sustituida en su integridad por el Real Decreto-ley 6/2023, de 19 de diciembre, de manera que el legislador estatal la expulsó completamente del ordenamiento jurídico, excluyendo toda posibilidad de aplicación, sin que se plantee problema alguno de ultraactividad de la Ley 22/2021, de 28 de diciembre, de presupuestos generales del Estado para el año 2022. Por tal razón, estimo que la sentencia debió dirigir su argumentación </w:t>
      </w:r>
      <w:r>
        <w:lastRenderedPageBreak/>
        <w:t xml:space="preserve">al entendimiento de que el objeto del recurso había desaparecido en relación con el primer motivo de impugnación esgrimido por los recurrentes, sin que tuviera sentido ya un pronunciamiento sobre la eventual vulneración por la disposición final formalmente impugnada de los arts. 66.2 y 134.2 CE en relación con el principio de seguridad jurídica </w:t>
      </w:r>
      <w:r w:rsidRPr="009D7677">
        <w:rPr>
          <w:i/>
        </w:rPr>
        <w:t>ex</w:t>
      </w:r>
      <w:r>
        <w:t xml:space="preserve"> art. 9.3 CE. A pesar de esta evidencia, reconocida incluso en el fundamento jurídico 2 de la sentencia de la que disiento, en el que se desarrolla una argumentación de la que debía derivarse como consecuencia ineluctable la extinción del recurso de inconstitucionalidad en este punto, dadas la expulsión por el mismo legislador del ordenamiento jurídico sin ultraactividad alguna de la disposición aprobada inicialmente con vocación de vigencia indefinida, y la controversia planteada por los recurrentes acerca no solo de la inclusión de la norma en una ley de presupuestos, sino del concreto contenido del precepto, se rechazó la posible pérdida de objeto del recurso y se dejó sin responder explícitamente al resto de los vicios de inconstitucionalidad alegados, quedando subsistente la cuestión competencial planteada, puesto que la sentencia no entró, a mi juicio de forma inexplicable, a resolver la cuestión de fondo que en el mismo se planteaba, modo de proceder con el que muestro mi disconformidad.</w:t>
      </w:r>
    </w:p>
    <w:p w14:paraId="750BC5C5" w14:textId="77777777" w:rsidR="009D7677" w:rsidRDefault="009D7677" w:rsidP="009D7677">
      <w:pPr>
        <w:pStyle w:val="TextoNormal"/>
      </w:pPr>
    </w:p>
    <w:p w14:paraId="5E66AB54" w14:textId="77777777" w:rsidR="009D7677" w:rsidRDefault="009D7677" w:rsidP="009D7677">
      <w:pPr>
        <w:pStyle w:val="TextoNormal"/>
      </w:pPr>
      <w:r>
        <w:t>En conclusión, por las razones expuestas, considero que el fallo del presente recurso de inconstitucionalidad debería haber sido de extinción por pérdida de objeto respecto del primer motivo de inconstitucionalidad invocado, entrando a valorar las impugnaciones de carácter competencial planteados por la disposición impugnada, en tanto la nueva normativa, sustitutoria de la impugnada, viene a plantear los mismos problemas competenciales señalados en el presente recurso de inconstitucionalidad.</w:t>
      </w:r>
    </w:p>
    <w:p w14:paraId="39A849AC" w14:textId="77777777" w:rsidR="009D7677" w:rsidRDefault="009D7677" w:rsidP="009D7677">
      <w:pPr>
        <w:pStyle w:val="TextoNormal"/>
      </w:pPr>
    </w:p>
    <w:p w14:paraId="2B9A6D56" w14:textId="77777777" w:rsidR="009D7677" w:rsidRDefault="009D7677" w:rsidP="009D7677">
      <w:pPr>
        <w:pStyle w:val="TextoNormal"/>
      </w:pPr>
      <w:r>
        <w:t>Y en este sentido emito mi voto particular.</w:t>
      </w:r>
    </w:p>
    <w:p w14:paraId="573E94A7" w14:textId="77777777" w:rsidR="009D7677" w:rsidRDefault="009D7677" w:rsidP="009D7677">
      <w:pPr>
        <w:pStyle w:val="TextoNormal"/>
      </w:pPr>
    </w:p>
    <w:p w14:paraId="27EED2CB" w14:textId="16D9B5D1" w:rsidR="009D7677" w:rsidRDefault="009D7677" w:rsidP="009D7677">
      <w:pPr>
        <w:pStyle w:val="TextoNormal"/>
      </w:pPr>
      <w:r>
        <w:t>Madrid, a veintitrés de abril de dos mil veinticuatro.</w:t>
      </w:r>
    </w:p>
    <w:p w14:paraId="3DB23DB0" w14:textId="79F560FA" w:rsidR="009D7677" w:rsidRDefault="009D7677">
      <w:pPr>
        <w:spacing w:after="160" w:line="259" w:lineRule="auto"/>
        <w:rPr>
          <w:rFonts w:ascii="Times New Roman" w:eastAsia="Times New Roman" w:hAnsi="Times New Roman" w:cs="Times New Roman"/>
          <w:sz w:val="24"/>
          <w:szCs w:val="24"/>
          <w:lang w:eastAsia="es-ES"/>
        </w:rPr>
      </w:pPr>
      <w:r>
        <w:br w:type="page"/>
      </w:r>
    </w:p>
    <w:p w14:paraId="5C06DC5C" w14:textId="77777777" w:rsidR="009D7677" w:rsidRDefault="009D7677" w:rsidP="009D7677">
      <w:pPr>
        <w:pStyle w:val="TtuloResolucin"/>
      </w:pPr>
      <w:bookmarkStart w:id="70" w:name="SENTENCIA_2024_68"/>
      <w:r>
        <w:lastRenderedPageBreak/>
        <w:t>SENTENCIA 68/2024, de 23 de abril de 2024</w:t>
      </w:r>
    </w:p>
    <w:bookmarkEnd w:id="70"/>
    <w:p w14:paraId="13306B66" w14:textId="77777777" w:rsidR="009D7677" w:rsidRDefault="009D7677" w:rsidP="009D7677">
      <w:pPr>
        <w:pStyle w:val="TtuloResolucin"/>
      </w:pPr>
      <w:r>
        <w:t>Pleno</w:t>
      </w:r>
    </w:p>
    <w:p w14:paraId="5AFA861A" w14:textId="77777777" w:rsidR="009D7677" w:rsidRDefault="009D7677" w:rsidP="009D7677">
      <w:pPr>
        <w:pStyle w:val="TtuloBOE"/>
      </w:pPr>
      <w:r>
        <w:t>(BOE núm. 131, de 30 de mayo de 2024)</w:t>
      </w:r>
    </w:p>
    <w:p w14:paraId="60D0951A" w14:textId="77777777" w:rsidR="009D7677" w:rsidRDefault="009D7677" w:rsidP="009D7677">
      <w:pPr>
        <w:pStyle w:val="TextoNormalCentrado"/>
      </w:pPr>
      <w:r>
        <w:t>ECLI:ES:TC:2024:68</w:t>
      </w:r>
    </w:p>
    <w:p w14:paraId="4E8968C1" w14:textId="0884918D" w:rsidR="009D7677" w:rsidRDefault="009D7677" w:rsidP="009D7677">
      <w:pPr>
        <w:pStyle w:val="TextoNormalCentrado"/>
      </w:pPr>
    </w:p>
    <w:p w14:paraId="158E8ABC" w14:textId="77777777" w:rsidR="009D7677" w:rsidRDefault="009D7677" w:rsidP="009D7677">
      <w:pPr>
        <w:pStyle w:val="SntesisDescriptiva"/>
      </w:pPr>
      <w:r>
        <w:t>Recurso de inconstitucionalidad 6521-2023. Interpuesto por el presidente del Gobierno respecto de la Ley del Parlamento de Galicia 4/2023, de 6 de julio, de ordenación y gestión integrada del litoral de Galicia.</w:t>
      </w:r>
    </w:p>
    <w:p w14:paraId="1B571B68" w14:textId="77C32C7C" w:rsidR="009D7677" w:rsidRDefault="009D7677" w:rsidP="009D7677">
      <w:pPr>
        <w:pStyle w:val="SntesisDescriptiva"/>
      </w:pPr>
    </w:p>
    <w:p w14:paraId="3EF00543" w14:textId="77777777" w:rsidR="009D7677" w:rsidRDefault="009D7677" w:rsidP="009D7677">
      <w:pPr>
        <w:pStyle w:val="SntesisAnaltica"/>
      </w:pPr>
      <w:r>
        <w:t>Competencias sobre el dominio público marítimo terrestre: nulidad parcial de los preceptos relativos a la garantía del acceso y permanencia de las embarcaciones gallegas en los caladeros de competencia autonómica y a la ocupación del dominio público marítimo terrestre por los sistemas de recogida, almacenamiento, tratamiento y vertido de aguas residuales; interpretación conforme con la Constitución del precepto legal autonómico que prevé la ocupación por establecimientos de la cadena mar-industria alimentaria del demanio o de la zona de servidumbre de protección. Voto particular.</w:t>
      </w:r>
    </w:p>
    <w:p w14:paraId="1D8072D9" w14:textId="7B211358" w:rsidR="009D7677" w:rsidRDefault="009D7677" w:rsidP="009D7677">
      <w:pPr>
        <w:pStyle w:val="SntesisAnaltica"/>
      </w:pPr>
    </w:p>
    <w:p w14:paraId="0700DC6F" w14:textId="47154219" w:rsidR="009D7677" w:rsidRDefault="009D7677" w:rsidP="009D7677">
      <w:pPr>
        <w:pStyle w:val="Extracto"/>
      </w:pPr>
      <w:r>
        <w:t>1.</w:t>
      </w:r>
      <w:r>
        <w:tab/>
        <w:t>La titularidad del dominio público no confiere, por sí misma, competencia alguna. Es la naturaleza jurídica de la concreta actividad el único criterio válido para juzgar su idoneidad constitucional (SSTC STC 77/1984 o 97/2002) [FJ 5].</w:t>
      </w:r>
    </w:p>
    <w:p w14:paraId="29263765" w14:textId="77777777" w:rsidR="009D7677" w:rsidRDefault="009D7677" w:rsidP="009D7677">
      <w:pPr>
        <w:pStyle w:val="Extracto"/>
      </w:pPr>
    </w:p>
    <w:p w14:paraId="28CBDF8A" w14:textId="304B776B" w:rsidR="009D7677" w:rsidRDefault="009D7677" w:rsidP="009D7677">
      <w:pPr>
        <w:pStyle w:val="Extracto"/>
      </w:pPr>
      <w:r>
        <w:t>2.</w:t>
      </w:r>
      <w:r>
        <w:tab/>
        <w:t>El Estado ostenta competencia de carácter básico en la ordenación del sector pesquero relativa a la pesca marítima en aguas exteriores (SSTC 56/1989 o 44/1992) [FJ 5].</w:t>
      </w:r>
    </w:p>
    <w:p w14:paraId="25BB89EB" w14:textId="77777777" w:rsidR="009D7677" w:rsidRDefault="009D7677" w:rsidP="009D7677">
      <w:pPr>
        <w:pStyle w:val="Extracto"/>
      </w:pPr>
    </w:p>
    <w:p w14:paraId="648F5FAC" w14:textId="768A1DE6" w:rsidR="009D7677" w:rsidRDefault="009D7677" w:rsidP="009D7677">
      <w:pPr>
        <w:pStyle w:val="Extracto"/>
      </w:pPr>
      <w:r>
        <w:t>3.</w:t>
      </w:r>
      <w:r>
        <w:tab/>
        <w:t>De acuerdo con el art. 139 CE, todos los españoles tienen los mismos derechos y obligaciones en cualquier parte del territorio del Estado; y ninguna autoridad podrá adoptar medidas que directa o indirectamente obstaculicen la libertad de circulación y establecimiento de las personas y la libre circulación de bienes en todo el territorio español. Y este precepto prohíbe a las comunidades autónomas discriminar en favor de las empresas radicadas en su territorio (STC 225/1993) o establecer discriminación alguna entre los vecinos de los distintos lugares del territorio nacional (STC 37/1981) [FJ 7].</w:t>
      </w:r>
    </w:p>
    <w:p w14:paraId="32E09054" w14:textId="77777777" w:rsidR="009D7677" w:rsidRDefault="009D7677" w:rsidP="009D7677">
      <w:pPr>
        <w:pStyle w:val="Extracto"/>
      </w:pPr>
    </w:p>
    <w:p w14:paraId="62D08050" w14:textId="73D75E3E" w:rsidR="009D7677" w:rsidRDefault="009D7677" w:rsidP="009D7677">
      <w:pPr>
        <w:pStyle w:val="Extracto"/>
      </w:pPr>
      <w:r>
        <w:t>4.</w:t>
      </w:r>
      <w:r>
        <w:tab/>
        <w:t>No es posible justificar un trato privilegiado de las embarcaciones gallegas frente al resto de embarcaciones con sustento en el ejercicio de las competencias asumidas por la Comunidad Autónoma de Galicia [FJ 7].</w:t>
      </w:r>
    </w:p>
    <w:p w14:paraId="555DDC87" w14:textId="77777777" w:rsidR="009D7677" w:rsidRDefault="009D7677" w:rsidP="009D7677">
      <w:pPr>
        <w:pStyle w:val="Extracto"/>
      </w:pPr>
    </w:p>
    <w:p w14:paraId="590BA473" w14:textId="4A6AC3F1" w:rsidR="009D7677" w:rsidRDefault="009D7677" w:rsidP="009D7677">
      <w:pPr>
        <w:pStyle w:val="Extracto"/>
      </w:pPr>
      <w:r>
        <w:t>5.</w:t>
      </w:r>
      <w:r>
        <w:tab/>
        <w:t>Al haber asumido la comunidad autónoma competencias en pesca, marisqueo y acuicultura, no invade competencia estatal alguna la pretensión normativa de asegurar, en los instrumentos de ordenación marina del litoral, un régimen de “zonificación y uso” que garantice el acceso y permanencia de las embarcaciones a los caladeros cuya regulación sea de su competencia [FJ 7].</w:t>
      </w:r>
    </w:p>
    <w:p w14:paraId="7CAA4BE3" w14:textId="77777777" w:rsidR="009D7677" w:rsidRDefault="009D7677" w:rsidP="009D7677">
      <w:pPr>
        <w:pStyle w:val="Extracto"/>
      </w:pPr>
    </w:p>
    <w:p w14:paraId="03462722" w14:textId="167AE52B" w:rsidR="009D7677" w:rsidRDefault="009D7677" w:rsidP="009D7677">
      <w:pPr>
        <w:pStyle w:val="Extracto"/>
      </w:pPr>
      <w:r>
        <w:t>6.</w:t>
      </w:r>
      <w:r>
        <w:tab/>
        <w:t>En relación con la cadena mar-industria alimentaria debe entenderse por ésta el conjunto de empresas y entidades que desarrollan actividades económicas propias del sector pesquero, marisquero y de la acuicultura, incluidas las actividades de extracción, cultivo, producción, manipulación, transformación y comerciali</w:t>
      </w:r>
      <w:r>
        <w:lastRenderedPageBreak/>
        <w:t>zación de los productos de la pesca, el marisqueo y la acuicultura. Y los establecimientos de la cadena mar-industria deben cumplir las exigencias establecidas en la normativa estatal de costas [FJ 8].</w:t>
      </w:r>
    </w:p>
    <w:p w14:paraId="05092F25" w14:textId="77777777" w:rsidR="009D7677" w:rsidRDefault="009D7677" w:rsidP="009D7677">
      <w:pPr>
        <w:pStyle w:val="Extracto"/>
      </w:pPr>
    </w:p>
    <w:p w14:paraId="74B6817A" w14:textId="18922201" w:rsidR="009D7677" w:rsidRDefault="009D7677" w:rsidP="009D7677">
      <w:pPr>
        <w:pStyle w:val="Extracto"/>
      </w:pPr>
      <w:r>
        <w:t>7.</w:t>
      </w:r>
      <w:r>
        <w:tab/>
        <w:t>Los usos portuarios y las actividades, instalaciones y construcciones acordes a los mismos deben respetar las limitaciones y prohibiciones de la normativa estatal de costas [FJ 8].</w:t>
      </w:r>
    </w:p>
    <w:p w14:paraId="64548039" w14:textId="77777777" w:rsidR="009D7677" w:rsidRDefault="009D7677" w:rsidP="009D7677">
      <w:pPr>
        <w:pStyle w:val="Extracto"/>
      </w:pPr>
    </w:p>
    <w:p w14:paraId="48F650C1" w14:textId="7E644B12" w:rsidR="009D7677" w:rsidRDefault="009D7677" w:rsidP="009D7677">
      <w:pPr>
        <w:pStyle w:val="Extracto"/>
      </w:pPr>
      <w:r>
        <w:t>8.</w:t>
      </w:r>
      <w:r>
        <w:tab/>
        <w:t>La emisión de informes preceptivos por parte de la administración que ostenta competencias concurrentes con la administración actuante es legítima si se ciñen al ámbito de competencias de la primera y no impiden o perturban las competencias de la segunda (STC 40/1998) [FJ 9].</w:t>
      </w:r>
    </w:p>
    <w:p w14:paraId="7E253D45" w14:textId="77777777" w:rsidR="009D7677" w:rsidRDefault="009D7677" w:rsidP="009D7677">
      <w:pPr>
        <w:pStyle w:val="Extracto"/>
      </w:pPr>
    </w:p>
    <w:p w14:paraId="779BF365" w14:textId="70D8E3AC" w:rsidR="009D7677" w:rsidRDefault="009D7677" w:rsidP="009D7677">
      <w:pPr>
        <w:pStyle w:val="Extracto"/>
      </w:pPr>
      <w:r>
        <w:t>9.</w:t>
      </w:r>
      <w:r>
        <w:tab/>
        <w:t>Los establecimientos de la cadena mar-industria podrán ocupar terrenos de dominio público marítimo-terrestre o comprendidos en la zona de servidumbre de protección únicamente cuando requieran la captación y retorno de agua de mar para el desarrollo de sus procesos productivos o comerciales, y por su naturaleza no puedan tener otra ubicación en el caso de que la ocupación sea tanto en terrenos del dominio público marítimo-terrestre como en la zona de servidumbre de protección. O, en este último caso, se podrá producir la ocupación cuando presten servicios necesarios o convenientes para el uso del dominio público marítimo-terrestre [FJ 11].</w:t>
      </w:r>
    </w:p>
    <w:p w14:paraId="500F5FDB" w14:textId="77777777" w:rsidR="009D7677" w:rsidRDefault="009D7677" w:rsidP="009D7677">
      <w:pPr>
        <w:pStyle w:val="Extracto"/>
      </w:pPr>
    </w:p>
    <w:p w14:paraId="5AF8D1D1" w14:textId="77777777" w:rsidR="009D7677" w:rsidRDefault="009D7677" w:rsidP="009D7677">
      <w:pPr>
        <w:pStyle w:val="Extracto"/>
      </w:pPr>
    </w:p>
    <w:p w14:paraId="011DACA5" w14:textId="77777777" w:rsidR="009D7677" w:rsidRDefault="009D7677" w:rsidP="009D7677">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191293ED" w14:textId="3A4B9847" w:rsidR="009D7677" w:rsidRDefault="009D7677" w:rsidP="009D7677">
      <w:pPr>
        <w:pStyle w:val="TextoNormal"/>
      </w:pPr>
    </w:p>
    <w:p w14:paraId="2759418E" w14:textId="77777777" w:rsidR="009D7677" w:rsidRDefault="009D7677" w:rsidP="009D7677">
      <w:pPr>
        <w:pStyle w:val="TextoNormalCentrado"/>
        <w:keepNext/>
      </w:pPr>
      <w:r>
        <w:t>EN NOMBRE DEL REY</w:t>
      </w:r>
    </w:p>
    <w:p w14:paraId="193C9DE4" w14:textId="4582007B" w:rsidR="009D7677" w:rsidRDefault="009D7677" w:rsidP="009D7677">
      <w:pPr>
        <w:pStyle w:val="TextoNormalCentrado"/>
        <w:keepNext/>
      </w:pPr>
    </w:p>
    <w:p w14:paraId="4FDEF441" w14:textId="77777777" w:rsidR="009D7677" w:rsidRDefault="009D7677" w:rsidP="009D7677">
      <w:pPr>
        <w:pStyle w:val="TextoNormalCentrado"/>
        <w:keepNext/>
      </w:pPr>
    </w:p>
    <w:p w14:paraId="1938F581" w14:textId="77777777" w:rsidR="009D7677" w:rsidRDefault="009D7677" w:rsidP="009D7677">
      <w:pPr>
        <w:pStyle w:val="TextoNormal"/>
      </w:pPr>
      <w:r>
        <w:t>la siguiente</w:t>
      </w:r>
    </w:p>
    <w:p w14:paraId="4D8C2EF7" w14:textId="15F2A88D" w:rsidR="009D7677" w:rsidRDefault="009D7677" w:rsidP="009D7677">
      <w:pPr>
        <w:pStyle w:val="TextoNormal"/>
      </w:pPr>
    </w:p>
    <w:p w14:paraId="468578DA" w14:textId="77777777" w:rsidR="009D7677" w:rsidRDefault="009D7677" w:rsidP="009D7677">
      <w:pPr>
        <w:pStyle w:val="TextoNormalCentrado"/>
        <w:keepNext/>
      </w:pPr>
      <w:r>
        <w:t>SENTENCIA</w:t>
      </w:r>
    </w:p>
    <w:p w14:paraId="6262F8F8" w14:textId="09F63CC1" w:rsidR="009D7677" w:rsidRDefault="009D7677" w:rsidP="009D7677">
      <w:pPr>
        <w:pStyle w:val="TextoNormalCentrado"/>
        <w:keepNext/>
      </w:pPr>
    </w:p>
    <w:p w14:paraId="0FDAE58F" w14:textId="77777777" w:rsidR="009D7677" w:rsidRDefault="009D7677" w:rsidP="009D7677">
      <w:pPr>
        <w:pStyle w:val="TextoNormal"/>
      </w:pPr>
      <w:r>
        <w:t xml:space="preserve">En el recurso de inconstitucionalidad núm. 6521-2023, interpuesto por el presidente del Gobierno contra la totalidad o alguno de los incisos o párrafos de los arts. 1.2 d) y g); 2.1 y 2.2; 3 a); 11.1, 11.4 b), 11.5 a) y b); 12.2 y 5; 21.1 d) y e); 22.1 y 22.2 a), b), c) y d); 23.2 d), g), i) y m); 24.3 c), e) y f); 25.1 a), b), c) y d); 27.3 c); 29.1; 34.2 a) y b) y 34.3; 35.2 a), b) y c) y 35.3; 36.2 a), b) y c); 40.2 y 3; 41.2 a), b), c) y d) y 41.3; 46.2, 46.3 a) y b) y 46.5; 48.1, 3, 4 y 5; 49.1, 2, 3 y 4; 52; 53.1, 3 y 4; 55.2; 57.3; 58.3; 59.2; 60.3; 62.5; 64.3; y las disposiciones finales primera y quinta de la Ley del Parlamento de Galicia 4/2023, de 6 de julio, de ordenación y gestión integrada del litoral de Galicia (en adelante, Ley del Parlamento de Galicia 4/2023). Han comparecido el Congreso de los Diputados y </w:t>
      </w:r>
      <w:r>
        <w:lastRenderedPageBreak/>
        <w:t>el Senado. Han formulado alegaciones el Gobierno y el Parlamento de Galicia. Ha sido ponente el magistrado don César Tolosa Tribiño.</w:t>
      </w:r>
    </w:p>
    <w:p w14:paraId="5D1FCE49" w14:textId="6374B89A" w:rsidR="009D7677" w:rsidRDefault="009D7677" w:rsidP="009D7677">
      <w:pPr>
        <w:pStyle w:val="TextoNormal"/>
      </w:pPr>
    </w:p>
    <w:p w14:paraId="40B1CA3C" w14:textId="77777777" w:rsidR="009D7677" w:rsidRDefault="009D7677" w:rsidP="009D7677">
      <w:pPr>
        <w:pStyle w:val="TextoNormalNegritaCentrado"/>
        <w:keepNext/>
      </w:pPr>
      <w:r>
        <w:t>I. Antecedentes</w:t>
      </w:r>
    </w:p>
    <w:p w14:paraId="07885B41" w14:textId="15217C7F" w:rsidR="009D7677" w:rsidRDefault="009D7677" w:rsidP="009D7677">
      <w:pPr>
        <w:pStyle w:val="TextoNormalNegritaCentrado"/>
        <w:keepNext/>
      </w:pPr>
    </w:p>
    <w:p w14:paraId="622F0875" w14:textId="77777777" w:rsidR="009D7677" w:rsidRDefault="009D7677" w:rsidP="009D7677">
      <w:pPr>
        <w:pStyle w:val="TextoNormal"/>
      </w:pPr>
      <w:r w:rsidRPr="009D7677">
        <w:rPr>
          <w:rStyle w:val="NumeroAFNegritaCaracter"/>
        </w:rPr>
        <w:t>1</w:t>
      </w:r>
      <w:r>
        <w:t>. Mediante escrito presentado en el registro de este tribunal el día 11 de octubre de 2023, el abogado del Estado, en nombre del presidente del Gobierno, interpuso recurso de inconstitucionalidad frente a diversos apartados e incisos de los arts. 1, 2, 3, 11, 12, 21, 22, 23, 24, 25, 27, 29, 34, 35, 36, 40, 41, 46, 48, 49, 52, 53, 55, 57, 58, 59, 60, 62 y 64 y las disposiciones finales primera y quinta de la Ley del Parlamento de Galicia 4/2023. El abogado del Estado invocó los arts. 161.2 CE y 30 de la Ley Orgánica del Tribunal Constitucional (LOTC) a fin de que se produzca la suspensión de los preceptos e incisos impugnados.</w:t>
      </w:r>
    </w:p>
    <w:p w14:paraId="40CC94E6" w14:textId="77777777" w:rsidR="009D7677" w:rsidRDefault="009D7677" w:rsidP="009D7677">
      <w:pPr>
        <w:pStyle w:val="TextoNormal"/>
      </w:pPr>
    </w:p>
    <w:p w14:paraId="06CE1AB9" w14:textId="77777777" w:rsidR="009D7677" w:rsidRDefault="009D7677" w:rsidP="009D7677">
      <w:pPr>
        <w:pStyle w:val="TextoNormal"/>
      </w:pPr>
      <w:r>
        <w:t xml:space="preserve">El extenso recurso de inconstitucionalidad aparece estructurado en siete bloques, que se corresponden con los siete fundamentos jurídicos que el mismo contiene: A) En el primero identifica cinco grupos de motivos de inconstitucionalidad; B) En el segundo efectúa consideraciones generales sobre la definición del litoral, su gestión por las comunidades autónomas que han asumido competencias, el problema constitucional de las cláusulas de salvaguardia y de las </w:t>
      </w:r>
      <w:r w:rsidRPr="009D7677">
        <w:rPr>
          <w:i/>
        </w:rPr>
        <w:t>leges repetitae</w:t>
      </w:r>
      <w:r>
        <w:t>; C) En el tercero atribuye vicio de inconstitucionalidad a numerosos preceptos por infringir la competencia exclusiva del Estado en la regulación del régimen jurídico del dominio público marítimo-terrestre; D) En el cuarto cuestiona diversos preceptos de la ley autonómica por incurrir en una extralimitación de las propias competencias autonómicas; E) En el quinto sustenta la impugnación de otros tantos preceptos por atribuirse la gestión de los títulos de ocupación del dominio público marítimo-terrestre sin tener competencia estatutaria para ello; F) En el sexto atribuye la inconstitucionalidad de preceptos de la Ley del Parlamento de Galicia 4/2023 por vulnerar la competencia exclusiva del Estado sobre pesca marítima; G) En el último fundamento se refiere a otros motivos de inconstitucionalidad.</w:t>
      </w:r>
    </w:p>
    <w:p w14:paraId="6274F3A1" w14:textId="77777777" w:rsidR="009D7677" w:rsidRDefault="009D7677" w:rsidP="009D7677">
      <w:pPr>
        <w:pStyle w:val="TextoNormal"/>
      </w:pPr>
    </w:p>
    <w:p w14:paraId="332E0830" w14:textId="77777777" w:rsidR="009D7677" w:rsidRDefault="009D7677" w:rsidP="009D7677">
      <w:pPr>
        <w:pStyle w:val="TextoNormal"/>
      </w:pPr>
      <w:r>
        <w:t>A) Al exponer los motivos de inconstitucionalidad de los preceptos impugnados dedica un primer fundamento a identificar lo que denomina como “grupo de motivos de inconstitucionalidad”, y en el que incluye de modo genérico los siguientes reproches constitucionales: a) La apropiación de la competencia exclusiva del Estado para regular el régimen jurídico del dominio público marítimo-terrestre en tanto que propietario demanial del mismo (art. 132.2 CE); b) Inadecuación de la Ley del Parlamento de Galicia 4/2023 a la normativa básica en materia de limitaciones de la propiedad sobre los terrenos contiguos a la ribera del mar por razones de protección del dominio público marítimo-terrestre; c) Configuración de un concepto muy amplio de mar territorial sobre el que proyecta actuaciones careciendo de competencia; d) Asunción por la comunidad autónoma de la gestión de títulos de ocupación del dominio público en virtud de la ley, sin sustento en la competencia de ordenación del territorio y del litoral; e) Infracción de la competencia exclusiva del Estado sobre pesca en aguas exteriores (art. 149.1.19 CE), como consecuencia de la definición de litoral que se extiende hasta el límite exterior del mar territorial.</w:t>
      </w:r>
    </w:p>
    <w:p w14:paraId="0B505C06" w14:textId="77777777" w:rsidR="009D7677" w:rsidRDefault="009D7677" w:rsidP="009D7677">
      <w:pPr>
        <w:pStyle w:val="TextoNormal"/>
      </w:pPr>
    </w:p>
    <w:p w14:paraId="64FB8C90" w14:textId="77777777" w:rsidR="009D7677" w:rsidRDefault="009D7677" w:rsidP="009D7677">
      <w:pPr>
        <w:pStyle w:val="TextoNormal"/>
      </w:pPr>
      <w:r>
        <w:t xml:space="preserve">B) En el segundo fundamento, titulado “Sobre la definición de litoral, la gestión de litoral por algunas comunidades autónomas, sobre el principio de territorialidad en el ejercicio </w:t>
      </w:r>
      <w:r>
        <w:lastRenderedPageBreak/>
        <w:t xml:space="preserve">de las competencias autonómicas, sobre las cláusulas de salvaguardia y las </w:t>
      </w:r>
      <w:r w:rsidRPr="009D7677">
        <w:rPr>
          <w:i/>
        </w:rPr>
        <w:t>leges repetitae</w:t>
      </w:r>
      <w:r>
        <w:t>”, el abogado del Estado, sin abandonar el plano de análisis general de los vicios de constitucionalidad que atribuye a los preceptos impugnados, esto es, sin referirse de modo concreto a cada uno de ellos, efectúa cinco consideraciones:</w:t>
      </w:r>
    </w:p>
    <w:p w14:paraId="085239FF" w14:textId="77777777" w:rsidR="009D7677" w:rsidRDefault="009D7677" w:rsidP="009D7677">
      <w:pPr>
        <w:pStyle w:val="TextoNormal"/>
      </w:pPr>
    </w:p>
    <w:p w14:paraId="5BF88B5E" w14:textId="77777777" w:rsidR="009D7677" w:rsidRDefault="009D7677" w:rsidP="009D7677">
      <w:pPr>
        <w:pStyle w:val="TextoNormal"/>
      </w:pPr>
      <w:r>
        <w:t>a) El espacio que integra el litoral español es soporte de competencias locales, autonómicas y estatales. Por una parte, el Estado se encuentra obligado a “proteger el demanio marítimo-terrestre a fin de asegurar tanto el mantenimiento de su integridad física y jurídica como su uso público y sus valores paisajísticos”, con sustento en los títulos competenciales previstos en los arts. 149.1.1 y 149.1.23 CE (STC 149/1991, de 4 de julio), pero por otra, la “variedad de las condiciones físicas de la costa hace razonable, e incluso impone, que no sean idénticas las normas que hayan de aplicarse en uno u otro sitio para la protección del medio ambiente litoral y para asegurar la utilización del demanio” (SSTC 87/2012, de 18 de abril, y 137/2012, de 19 de junio).</w:t>
      </w:r>
    </w:p>
    <w:p w14:paraId="60392F0D" w14:textId="77777777" w:rsidR="009D7677" w:rsidRDefault="009D7677" w:rsidP="009D7677">
      <w:pPr>
        <w:pStyle w:val="TextoNormal"/>
      </w:pPr>
    </w:p>
    <w:p w14:paraId="6C328968" w14:textId="77777777" w:rsidR="009D7677" w:rsidRDefault="009D7677" w:rsidP="009D7677">
      <w:pPr>
        <w:pStyle w:val="TextoNormal"/>
      </w:pPr>
      <w:r>
        <w:t>b) El Estado como titular del demanio tiene la competencia para determinar el régimen jurídico de los bienes que lo integran, de su utilización y protección, encontrándose comprendida la gestión del dominio público marítimo-terrestre, que incluye el otorgamiento de concesiones y autorizaciones para su ocupación y aprovechamiento [art. 110 b) de la Ley 22/1988, de 28 de julio, de costas (en adelante, LC)]. Esta competencia, a diferencia de otras comunidades autónomas, no ha sido asumida por la Comunidad Autónoma de Galicia, de modo que la Ley del Parlamento de Galicia 4/2023 contempla determinada regulación si bien la supedita a la formalización de la transferencia o delegación de dicha competencia, sin que la misma corresponda a la administración competente para la ordenación del territorio, ni pueda ser asumida por normas al margen del estatuto de autonomía, o pueda quedar a expensas de hipotéticas modificaciones competenciales [SSTC 149/1991; 128/2016, de 7 de julio, y 18/2022, de 8 de febrero, FJ 2 d)].</w:t>
      </w:r>
    </w:p>
    <w:p w14:paraId="2BC4AFE3" w14:textId="77777777" w:rsidR="009D7677" w:rsidRDefault="009D7677" w:rsidP="009D7677">
      <w:pPr>
        <w:pStyle w:val="TextoNormal"/>
      </w:pPr>
    </w:p>
    <w:p w14:paraId="09646083" w14:textId="77777777" w:rsidR="009D7677" w:rsidRDefault="009D7677" w:rsidP="009D7677">
      <w:pPr>
        <w:pStyle w:val="TextoNormal"/>
      </w:pPr>
      <w:r>
        <w:t>c) Las comunidades autónomas se han constituido sobre una estructura territorial de base municipal que no incluye el mar, de modo que sus competencias solo excepcionalmente pueden proyectarse sobre el mar territorial (STC 8/2013, de 17 de enero, FJ 5), debiendo existir a tal efecto un explícito reconocimiento estatutario o resultar del bloque de constitucionalidad atendida la naturaleza de la competencia o que resulte imprescindible para el ejercicio de la competencia de la que es titular (STC 38/2022, de 11 de marzo), como sucede en los casos de continuidad ecológica del ecosistema marino con el espacio natural terrestre objeto de protección (art. 6.4 de la Ley 42/2007, de 13 de diciembre, del patrimonio natural y de la biodiversidad (en adelante, LPNB) tras la reforma efectuada por la Ley 33/2015, de 21 de septiembre).</w:t>
      </w:r>
    </w:p>
    <w:p w14:paraId="5AE27874" w14:textId="77777777" w:rsidR="009D7677" w:rsidRDefault="009D7677" w:rsidP="009D7677">
      <w:pPr>
        <w:pStyle w:val="TextoNormal"/>
      </w:pPr>
    </w:p>
    <w:p w14:paraId="1299E585" w14:textId="77777777" w:rsidR="009D7677" w:rsidRDefault="009D7677" w:rsidP="009D7677">
      <w:pPr>
        <w:pStyle w:val="TextoNormal"/>
      </w:pPr>
      <w:r>
        <w:t>d) La Ley del Parlamento de Galicia 4/2023 hace uso de “cláusulas de salvaguarda” que por sí mismas no sanan el vicio de inconstitucionalidad, al depender la validez del precepto de su contenido sustantivo [STC 116/2017, de 19 de octubre, FJ 3 d)].</w:t>
      </w:r>
    </w:p>
    <w:p w14:paraId="61BD6852" w14:textId="77777777" w:rsidR="009D7677" w:rsidRDefault="009D7677" w:rsidP="009D7677">
      <w:pPr>
        <w:pStyle w:val="TextoNormal"/>
      </w:pPr>
    </w:p>
    <w:p w14:paraId="4DA85A98" w14:textId="77777777" w:rsidR="009D7677" w:rsidRDefault="009D7677" w:rsidP="009D7677">
      <w:pPr>
        <w:pStyle w:val="TextoNormal"/>
      </w:pPr>
      <w:r>
        <w:t xml:space="preserve">e) El art. 2.2 de la Ley del Parlamento de Galicia 4/2023 considera que el litoral gallego se extiende hasta el límite exterior del mar territorial, ámbito en el que se integra el dominio público marítimo-terrestre (art. 132.2 CE), de modo que, con sustento en dicho entendimiento del litoral gallego se expanden las competencias autonómicas al mar territorial. Por otra parte, reproduce preceptos de la legislación básica, incurriendo en el vicio de las </w:t>
      </w:r>
      <w:r w:rsidRPr="009D7677">
        <w:rPr>
          <w:i/>
        </w:rPr>
        <w:lastRenderedPageBreak/>
        <w:t>leges repetitae</w:t>
      </w:r>
      <w:r>
        <w:t xml:space="preserve"> planteando problemas de constitucionalidad [STC 54/2018, de 24 de mayo, FJ 6 c), y 13/2019, de 31 de enero, FJ 2].</w:t>
      </w:r>
    </w:p>
    <w:p w14:paraId="299E6299" w14:textId="77777777" w:rsidR="009D7677" w:rsidRDefault="009D7677" w:rsidP="009D7677">
      <w:pPr>
        <w:pStyle w:val="TextoNormal"/>
      </w:pPr>
    </w:p>
    <w:p w14:paraId="4A77BBA5" w14:textId="77777777" w:rsidR="009D7677" w:rsidRDefault="009D7677" w:rsidP="009D7677">
      <w:pPr>
        <w:pStyle w:val="TextoNormal"/>
      </w:pPr>
      <w:r>
        <w:t>C) En el tercer fundamento afirma la inconstitucionalidad de los arts. 1.2 d) y g); 2.1, 2.2; 23.2 d), g) e i); 24.3 c), e) y f); 27.3 c); 34.2 a) y b), 34.3; 35.2 a), b) y c); 36.2 a), b) y c); 40.2 y 3; 41.2 a), b), c) y d); 46.3 a) y b); 48.3; 49.1 en el inciso “salvo que estén sujetos a declaración responsable de acuerdo con lo dispuesto en el apartado siguiente”, 49.2, 49.3, 49.4; 57.3; 58.3 segundo párrafo en el inciso final “[h]asta la celebración del convenio, corresponde a la persona titular del bien cumplir las obligaciones derivadas de la legislación de patrimonio cultural”; 60.3; y de la disposición final primera, al entender que ha existido una apropiación por la comunidad autónoma de la “competencia exclusiva del Estado para regular el régimen jurídico del dominio público marítimo terrestre porque es el propietario demanial del mismo”.</w:t>
      </w:r>
    </w:p>
    <w:p w14:paraId="703AC73A" w14:textId="77777777" w:rsidR="009D7677" w:rsidRDefault="009D7677" w:rsidP="009D7677">
      <w:pPr>
        <w:pStyle w:val="TextoNormal"/>
      </w:pPr>
    </w:p>
    <w:p w14:paraId="19B17035" w14:textId="77777777" w:rsidR="009D7677" w:rsidRDefault="009D7677" w:rsidP="009D7677">
      <w:pPr>
        <w:pStyle w:val="TextoNormal"/>
      </w:pPr>
      <w:r>
        <w:t>a) Atribuye el vicio de inconstitucionalidad al art. 1.2 d) al considerar competente a la comunidad autónoma —atendida la definición del litoral gallego que efectúa el art.2.2 de la Ley del Parlamento de Galicia 4/2023— para el otorgamiento de los títulos de ocupación del dominio público marítimo-terrestre, pese a que no ha sido asumida la competencia en el Estatuto de Autonomía de Galicia (en adelante, EAG), correspondiendo la gestión del dominio público marítimo-terrestre al Estado [art. 110 b) LC, y STC 149/1991, FJ 4 A)].</w:t>
      </w:r>
    </w:p>
    <w:p w14:paraId="3E82B5C9" w14:textId="77777777" w:rsidR="009D7677" w:rsidRDefault="009D7677" w:rsidP="009D7677">
      <w:pPr>
        <w:pStyle w:val="TextoNormal"/>
      </w:pPr>
    </w:p>
    <w:p w14:paraId="21D97CEB" w14:textId="77777777" w:rsidR="009D7677" w:rsidRDefault="009D7677" w:rsidP="009D7677">
      <w:pPr>
        <w:pStyle w:val="TextoNormal"/>
      </w:pPr>
      <w:r>
        <w:t>b) El art. 1.2 g) atribuye competencia normativa sobre el régimen jurídico del dominio público marítimo-terrestre y en relación con los bienes del patrimonio histórico o artístico (puesto en relación con el art. 58.2 de la Ley del Parlamento de Galicia 4/2023), tratándose de una regulación que le corresponde al Estado de manera exclusiva, conforme a lo expuesto con carácter general en el recurso y específicamente en lo que a la competencia sobre patrimonio histórico se refiere, en atención a lo resuelto en la STS 407/2004, de 28 de enero.</w:t>
      </w:r>
    </w:p>
    <w:p w14:paraId="42D03B49" w14:textId="77777777" w:rsidR="009D7677" w:rsidRDefault="009D7677" w:rsidP="009D7677">
      <w:pPr>
        <w:pStyle w:val="TextoNormal"/>
      </w:pPr>
    </w:p>
    <w:p w14:paraId="1F2F1C37" w14:textId="77777777" w:rsidR="009D7677" w:rsidRDefault="009D7677" w:rsidP="009D7677">
      <w:pPr>
        <w:pStyle w:val="TextoNormal"/>
      </w:pPr>
      <w:r>
        <w:t>c) La inconstitucionalidad del art. 2.1 y 2.2 resulta de la definición del litoral al contravenir la competencia estatal para determinar el dominio público marítimo-terrestre (STC 100/2016, de 25 de mayo), sin justificarse en la competencia autonómica asumida en materia de “ordenación del territorio”, al no extenderse esta ni sobre el mar ni sobre las aguas interiores (SSTC 149/1991; 3/2014, de 16 de enero; 38/2002, de 14 de febrero; 87/2013, de 11 de abril, y 99/2013, de 23 de abril), sin que la utilización de la cláusula “sin perjuicio” que utiliza el art. 2.3 salve la inconstitucionalidad del precepto, en primer lugar porque se constriñe al “mar territorial” ignorando el carácter indisponible de la regulación del dominio público marítimo-terrestre competencia exclusiva del Estado y atendida la doctrina constitucional por la que este tipo de cláusulas no sana el vicio de inconstitucionalidad de los preceptos [STC 116/2017, FJ 3 d)].</w:t>
      </w:r>
    </w:p>
    <w:p w14:paraId="365C7557" w14:textId="77777777" w:rsidR="009D7677" w:rsidRDefault="009D7677" w:rsidP="009D7677">
      <w:pPr>
        <w:pStyle w:val="TextoNormal"/>
      </w:pPr>
    </w:p>
    <w:p w14:paraId="4F27CF87" w14:textId="77777777" w:rsidR="009D7677" w:rsidRDefault="009D7677" w:rsidP="009D7677">
      <w:pPr>
        <w:pStyle w:val="TextoNormal"/>
      </w:pPr>
      <w:r>
        <w:t>d) Reprocha al art. 23.2 d), g) e i), que enumera determinaciones que deben tener las directrices del litoral por incluir algunas que le corresponden al Estado. Pese a que la titularidad estatal sobre el dominio público marítimo-terrestre no es criterio de delimitación competencial, de la misma derivan determinadas facultades para el Estado, como el establecimiento de criterios de implantación de las actividades de litoral que establecen los arts. 25 y 32.1 LC (avalados por la STC 149/1991) y que determinan la inconstitucionali</w:t>
      </w:r>
      <w:r>
        <w:lastRenderedPageBreak/>
        <w:t>dad del art. 23.2 d) de la Ley del Parlamento de Galicia 4/2023; por otra parte, solo el titular del demanio puede resolver sobre el grado de ocupación del demanio (STC 149/1991) y así lo ha efectuado el Estado en los arts. 65 a 74 del Reglamento general de costas aprobado por Real Decreto 876/2014, de 10 de octubre (en adelante, RGC), debiendo indicarse que la modificación del mismo por el Real Decreto 668/2022, de 1 de agosto, ha sido anulada por la STS 150/2024, de 31 de enero, lo que vicia de inconstitucionalidad el art. 23.2 g) de la Ley del Parlamento de Galicia 4/2023; y finalmente, el mismo criterio es aplicable al art. 23.2 i) de la Ley del Parlamento de Galicia 4/2023 conforme a la doctrina expuesta en la STC 149/1991.</w:t>
      </w:r>
    </w:p>
    <w:p w14:paraId="5BDA8847" w14:textId="77777777" w:rsidR="009D7677" w:rsidRDefault="009D7677" w:rsidP="009D7677">
      <w:pPr>
        <w:pStyle w:val="TextoNormal"/>
      </w:pPr>
    </w:p>
    <w:p w14:paraId="2F8B68F3" w14:textId="77777777" w:rsidR="009D7677" w:rsidRDefault="009D7677" w:rsidP="009D7677">
      <w:pPr>
        <w:pStyle w:val="TextoNormal"/>
      </w:pPr>
      <w:r>
        <w:t xml:space="preserve">e) La inconstitucionalidad del art. 24.3 c), e) y f) de la Ley del Parlamento de Galicia 4/2023, resulta porque en los apartados c) y f) se determinan los mecanismos de gestión de las áreas litorales, así como su protección, y la concreción de los usos permitidos, compatibles y prohibidos en las distintas áreas de litoral, regulando cuestiones que versan sobre bienes demaniales, que corresponden en exclusiva al Estado, quien las disciplina en los arts. 31 y siguientes de la Ley de costas, con carácter básico. Por su parte, el apartado e) atribuye al plan de ordenación costera la delimitación de los corredores ecológicos, regulados en la Ley 42/2007, que tiene carácter básico por haber sido dictada en ejercicio de la competencia exclusiva del Estado </w:t>
      </w:r>
      <w:r w:rsidRPr="009D7677">
        <w:rPr>
          <w:i/>
        </w:rPr>
        <w:t>ex</w:t>
      </w:r>
      <w:r>
        <w:t xml:space="preserve"> artículo 149.1.23 CE. La Ley 42/2007, reserva al Estado el ejercicio de las funciones previstas en la ley en la zona económica exclusiva, la plataforma continental, los espacios situados en estrechos sometidos al derecho internacional y en alta mar (art. 6.</w:t>
      </w:r>
      <w:r w:rsidRPr="009D7677">
        <w:rPr>
          <w:i/>
        </w:rPr>
        <w:t>1 in fi</w:t>
      </w:r>
      <w:r>
        <w:t>ne y 6.3 LPNB).</w:t>
      </w:r>
    </w:p>
    <w:p w14:paraId="2379D603" w14:textId="77777777" w:rsidR="009D7677" w:rsidRDefault="009D7677" w:rsidP="009D7677">
      <w:pPr>
        <w:pStyle w:val="TextoNormal"/>
      </w:pPr>
    </w:p>
    <w:p w14:paraId="792DCBE6" w14:textId="77777777" w:rsidR="009D7677" w:rsidRDefault="009D7677" w:rsidP="009D7677">
      <w:pPr>
        <w:pStyle w:val="TextoNormal"/>
      </w:pPr>
      <w:r>
        <w:t>f) Se considera inconstitucional el art. 27.3 c) de la Ley del Parlamento de Galicia 4/2023 que menciona los “planes especiales de playas”, como “instrumentos de ordenación de las playas del litoral de Galicia” y parte del contenido de los mismos se refieren a materias de competencia estatal al ser las playas un espacio integrante del dominio público marítimo-terrestre, reguladas en el art. 33 LC y en los arts. 65 a 74 RGC. No le corresponde a Galicia ordenar los servicios de temporada, el régimen de utilización de las playas en cuanto establece normas que constituyen el régimen jurídico del demanio estatal que le corresponde al Estado, por lo que la Comunidad Autónoma de Galicia carece de competencia estatutaria.</w:t>
      </w:r>
    </w:p>
    <w:p w14:paraId="6C422C1F" w14:textId="77777777" w:rsidR="009D7677" w:rsidRDefault="009D7677" w:rsidP="009D7677">
      <w:pPr>
        <w:pStyle w:val="TextoNormal"/>
      </w:pPr>
    </w:p>
    <w:p w14:paraId="7C08CA3E" w14:textId="77777777" w:rsidR="009D7677" w:rsidRDefault="009D7677" w:rsidP="009D7677">
      <w:pPr>
        <w:pStyle w:val="TextoNormal"/>
      </w:pPr>
      <w:r>
        <w:t xml:space="preserve">g) Califica de inconstitucional el art. 34.2 a) y b) y 3, pues en el dominio público marítimo-terrestre los usos posibles y prohibidos, así como las reglas para su utilización, se recogen en la Ley de costas y en su reglamento, dictadas por el titular del demanio y no pueden ser sustituidas por la ley autonómica respecto de los bienes del dominio público marítimo-terrestre situados en su territorio. Otro tanto sucede con las servidumbres del demanio establecidas como básicas por el Estado en todo el perímetro costero y que admiten normas adicionales de protección, pero no normas que la reduzcan. No le corresponde a la comunidad autónoma regular los usos permitidos del dominio público marítimo-terrestre o reiterar los previstos en la norma del Estado, salvo que sea imprescindible para entender la norma autonómica. El precepto no reproduce exactamente la previsión del art. 31.1 LC al omitir algunos usos e introducir otros, además de omitir la referencia a la utilización libre, pública y gratuita para los usos comunes. Esa regulación de los usos permitidos, de acuerdo con el art. 32 de la Ley del Parlamento de Galicia 4/2023, se proyecta sobre los terrenos afectados por la servidumbre de protección, que se encuentran regulados en los arts. 25.2 LC y 45 y 47.3 de su reglamento, por lo que el art. 34.2 y 3 de la Ley del </w:t>
      </w:r>
      <w:r>
        <w:lastRenderedPageBreak/>
        <w:t>Parlamento de Galicia 4/2023, incurre en inconstitucionalidad al regular el régimen jurídico del dominio público marítimo-terrestre y vulnerar la legislación básica en materia de medio ambiente.</w:t>
      </w:r>
    </w:p>
    <w:p w14:paraId="554F23E0" w14:textId="77777777" w:rsidR="009D7677" w:rsidRDefault="009D7677" w:rsidP="009D7677">
      <w:pPr>
        <w:pStyle w:val="TextoNormal"/>
      </w:pPr>
    </w:p>
    <w:p w14:paraId="3ED982C0" w14:textId="77777777" w:rsidR="009D7677" w:rsidRDefault="009D7677" w:rsidP="009D7677">
      <w:pPr>
        <w:pStyle w:val="TextoNormal"/>
      </w:pPr>
      <w:r>
        <w:t>h) La inconstitucionalidad del art. 35.2 a), b) y c) es planteada en términos similares a la que se formula en relación con el art. 34.2 de la Ley del Parlamento de Galicia 4/2023; concretamente afirma que no le corresponde a la comunidad autónoma regular los usos autorizables del dominio público marítimo-terrestre, ni cabe la reiteración de la normativa del Estado que es a quien le corresponde regular esta materia. Señala que el precepto autonómico no reproduce de manera exacta la previsión del art. 31.2 LC, al incluir usos distintos. Añade que, además de carecer de competencia para establecer el régimen jurídico del demanio, se extralimita al contener la previsión relativa al otorgamiento de títulos habilitantes sobre el dominio público marítimo-terrestre.</w:t>
      </w:r>
    </w:p>
    <w:p w14:paraId="1094FEF0" w14:textId="77777777" w:rsidR="009D7677" w:rsidRDefault="009D7677" w:rsidP="009D7677">
      <w:pPr>
        <w:pStyle w:val="TextoNormal"/>
      </w:pPr>
    </w:p>
    <w:p w14:paraId="137F5CB7" w14:textId="77777777" w:rsidR="009D7677" w:rsidRDefault="009D7677" w:rsidP="009D7677">
      <w:pPr>
        <w:pStyle w:val="TextoNormal"/>
      </w:pPr>
      <w:r>
        <w:t>i) A juicio del abogado del Estado la inconstitucionalidad del art. 36.2 a), b) y c) resulta de disciplinar los usos prohibidos en el área de protección ambiental, que puede incluir tanto el dominio público marítimo-terrestre como los terrenos afectados por las servidumbres de este (conforme resulta del art. 32 de la Ley del Parlamento de Galicia 4/2023) y si bien la comunidad autónoma puede establecer medidas adicionales de protección ambiental (art. 149.1.23 CE), no puede reducirlas. En tal sentido el precepto no alude al art. 25 LC en relación con la servidumbre de protección y por otra parte limita el alcance de la prohibición de las “actuaciones de transformación urbanística”, pues permite la “implantación de dotaciones públicas estratégicas del artículo 60”, contraviniendo el art. 25 LC y el art. 44.6 de la misma en los que no se permite el emplazamiento de instalaciones de aguas residuales ni de colectores en la ribera del mar ni en los primeros metros desde la misma.</w:t>
      </w:r>
    </w:p>
    <w:p w14:paraId="6724A95B" w14:textId="77777777" w:rsidR="009D7677" w:rsidRDefault="009D7677" w:rsidP="009D7677">
      <w:pPr>
        <w:pStyle w:val="TextoNormal"/>
      </w:pPr>
    </w:p>
    <w:p w14:paraId="12847B82" w14:textId="77777777" w:rsidR="009D7677" w:rsidRDefault="009D7677" w:rsidP="009D7677">
      <w:pPr>
        <w:pStyle w:val="TextoNormal"/>
      </w:pPr>
      <w:r>
        <w:t>j) Continúa sosteniendo la inconstitucionalidad del art. 40.2 y 3 de la tantas veces citada Ley del Parlamento de Galicia 4/2023, nuevamente por regular —careciendo de competencia— usos de espacios que incluyen el dominio público marítimo-terrestre y los terrenos afectados por la servidumbre de protección, residenciando en el precepto los mismos reproches que formula contra los dos anteriores artículos en relación con la improcedencia de la reproducción de preceptos estatales o con la circunstancia de introducir usos comunes distintos a los previstos en el art. 31.1 LC, tales como los usos agrícolas, ganaderos y forestales. Por otra parte, incluye terrenos afectados por la servidumbre de protección, para los que el art. 45 RGC, prevé actuaciones a realizar sin autorización, que también se disciplinan en el art. 25.2 LC y en el art. 47.3 RGC, en los que se prevé la correspondiente autorización del órgano competente para determinados usos forestales, como es la tala de árboles. Tras ello afirma la inconstitucionalidad en la vulneración de la legislación básica (art. 149.1.23 CE).</w:t>
      </w:r>
    </w:p>
    <w:p w14:paraId="595DC120" w14:textId="77777777" w:rsidR="009D7677" w:rsidRDefault="009D7677" w:rsidP="009D7677">
      <w:pPr>
        <w:pStyle w:val="TextoNormal"/>
      </w:pPr>
    </w:p>
    <w:p w14:paraId="79945CBB" w14:textId="77777777" w:rsidR="009D7677" w:rsidRDefault="009D7677" w:rsidP="009D7677">
      <w:pPr>
        <w:pStyle w:val="TextoNormal"/>
      </w:pPr>
      <w:r>
        <w:t>k) Nuevamente censura, en este caso, al art. 41.2 a), b), c) y d), por contener una regulación de usos sobre el área de protección ambiental que como se reitera comprende bienes del dominio público marítimo-terrestre y terrenos afectados por la servidumbre de protección, incluso espacios ajenos a la Ley de costas (art. 37 de la Ley del Parlamento de Galicia 4/2023, en tal sentido), incurriendo en el mismo exceso competencial que el art. 35 de la Ley del Parlamento de Galicia 4/2023 e indica que “no está al alcance de la comunidad autónoma incluir usos posibles y autorizables, adicionales a los estrictamente previstos en la Ley de costas, rebajando así el grado de protección dispensado a dichos bienes y terre</w:t>
      </w:r>
      <w:r>
        <w:lastRenderedPageBreak/>
        <w:t>nos”. Añade que no le corresponde otorgar títulos habilitantes para ocupar el dominio público. Y tras ello, nuevamente concluye con la afirmación de que el precepto vulnera la legislación básica en materia de medio ambiente.</w:t>
      </w:r>
    </w:p>
    <w:p w14:paraId="325C4DD8" w14:textId="77777777" w:rsidR="009D7677" w:rsidRDefault="009D7677" w:rsidP="009D7677">
      <w:pPr>
        <w:pStyle w:val="TextoNormal"/>
      </w:pPr>
    </w:p>
    <w:p w14:paraId="7A93BCAF" w14:textId="77777777" w:rsidR="009D7677" w:rsidRDefault="009D7677" w:rsidP="009D7677">
      <w:pPr>
        <w:pStyle w:val="TextoNormal"/>
      </w:pPr>
      <w:r>
        <w:t>l) Al art. 46.3 a) y b) de la Ley del Parlamento de Galicia 4/2023 le reprocha que regule el régimen jurídico de dominio público marítimo-terrestre, al establecer los usos permitidos en el área de reordenación, la cual puede incluir espacios demaniales, como la zona de servicio de los puertos autonómicos y los terrenos afectados por la servidumbre de protección. Recuerda que la zona de servicio de un puerto autonómico si bien no coincide con el dominio público marítimo-terrestre, sí lo hace con la zona de servidumbre de protección de aquel, que incluye determinados bienes que tienen la consideración de dominio público marítimo-terrestre (art. 52.1 de la Ley del Parlamento de Galicia 6/2017, de 12 de diciembre, de puertos de Galicia) regulándose los usos permitidos y prohibiciones de dicha zona de servicio portuaria (arts. 49 LC y 105 RGC). A la zona de servicio del puerto no coincidente con el dominio público marítimo-terrestre, pero sí con la servidumbre de protección de aquel, son de aplicación las limitaciones de uso que prevé el artículo 25 LC y concordantes del Reglamento general de costas (STC 34/2014, de 27 de febrero, FJ 4).</w:t>
      </w:r>
    </w:p>
    <w:p w14:paraId="604EA228" w14:textId="77777777" w:rsidR="009D7677" w:rsidRDefault="009D7677" w:rsidP="009D7677">
      <w:pPr>
        <w:pStyle w:val="TextoNormal"/>
      </w:pPr>
    </w:p>
    <w:p w14:paraId="695AA222" w14:textId="77777777" w:rsidR="009D7677" w:rsidRDefault="009D7677" w:rsidP="009D7677">
      <w:pPr>
        <w:pStyle w:val="TextoNormal"/>
      </w:pPr>
      <w:r>
        <w:t>m) El art. 48.3 es impugnado porque al prever los usos que considera autorizables en el dominio público marítimo-terrestre se extralimita en las competencias autonómicas, sin que la mera reproducción del precepto estatal evite el vicio de inconstitucionalidad. Refiere que el precepto establece una presunción legal sobre la necesidad de ocupación del demanio, pese a que muchas de las actividades o instalaciones se podrían ubicar fuera del dominio público marítimo-terrestre y tratarse de “actividades o instalaciones que la propia Ley de costas (de aplicación preferente e insoslayable) prohíbe expresamente en el dominio público marítimo terrestre (como sucede con las instalaciones de tratamiento de aguas residuales o los colectores paralelos a la costa)”.</w:t>
      </w:r>
    </w:p>
    <w:p w14:paraId="1F7289FC" w14:textId="77777777" w:rsidR="009D7677" w:rsidRDefault="009D7677" w:rsidP="009D7677">
      <w:pPr>
        <w:pStyle w:val="TextoNormal"/>
      </w:pPr>
    </w:p>
    <w:p w14:paraId="0A89EFF5" w14:textId="77777777" w:rsidR="009D7677" w:rsidRDefault="009D7677" w:rsidP="009D7677">
      <w:pPr>
        <w:pStyle w:val="TextoNormal"/>
      </w:pPr>
      <w:r>
        <w:t>n) El art. 49.1 de la Ley del Parlamento de Galicia 4/2023 es cuestionado únicamente en lo que se refiere a su segundo inciso “salvo que estén sujetos a declaración responsable de acuerdo con lo dispuesto en el apartado siguiente”, pues la previsión que efectúa su primer inciso requiriendo autorización previa autonómica para usos y actividades que pretendan llevarse a cabo en la zona de servidumbre de protección del dominio público marítimo-terrestre la conceptúa constitucional [conforme a la STC 149/1991, FJ 3 D) d)]. Por otra parte, impugna íntegramente sus apartados 2, 3 y 4 a los que llama el inciso final del apartado 1 impugnado.</w:t>
      </w:r>
    </w:p>
    <w:p w14:paraId="3C60C272" w14:textId="77777777" w:rsidR="009D7677" w:rsidRDefault="009D7677" w:rsidP="009D7677">
      <w:pPr>
        <w:pStyle w:val="TextoNormal"/>
      </w:pPr>
    </w:p>
    <w:p w14:paraId="786C3B29" w14:textId="77777777" w:rsidR="009D7677" w:rsidRDefault="009D7677" w:rsidP="009D7677">
      <w:pPr>
        <w:pStyle w:val="TextoNormal"/>
      </w:pPr>
      <w:r>
        <w:t>La razón de la impugnación del apartado 2, es la modificación que supone del régimen de autorización previsto en el art. 49 RGC, rebajando su protección y el control de su utilización por parte del Estado, al impedir que la Administración General del Estado emita el informe previo al inicio de la actividad. Encuadra la competencia del Estado, esta vez, en el art. 149.1.18 CE, al prever la regulación estatal “un concreto mecanismo de intervención administrativa para garantizar el tratamiento común de los titulares de derechos, puesto que la opción por una de ellas en la concreta materia ambiental debe hallar justificación en la finalidad tuitiva a la que responde este título competencial (p. ej., establecer la técnica de la declaración responsable en el caso de obras o instalaciones ubicadas en la servidumbre de protección de costas (STC 57/2016, de 17 de marzo, FJ 4)”.</w:t>
      </w:r>
    </w:p>
    <w:p w14:paraId="40E16247" w14:textId="77777777" w:rsidR="009D7677" w:rsidRDefault="009D7677" w:rsidP="009D7677">
      <w:pPr>
        <w:pStyle w:val="TextoNormal"/>
      </w:pPr>
    </w:p>
    <w:p w14:paraId="2681D8E7" w14:textId="77777777" w:rsidR="009D7677" w:rsidRDefault="009D7677" w:rsidP="009D7677">
      <w:pPr>
        <w:pStyle w:val="TextoNormal"/>
      </w:pPr>
      <w:r>
        <w:lastRenderedPageBreak/>
        <w:t>Por otra parte, los apartados 3 y 4 del art. 49 de la Ley del Parlamento de Galicia 4/2023 recogen una presunción legal de que determinadas obras, instalaciones y actividades, son susceptibles de desarrollarse en terrenos afectados por la servidumbre de costas, reduciendo la protección del litoral y contraviniendo el art. 25 LC que no contempla la posibilidad de ciertas instalaciones y prohíbe expresamente otras como las edificaciones destinadas a residencia o habitación o las instalaciones de tratamiento de aguas residuales y colectores paralelos en los primeros veinte metros desde la ribera del mar, menoscabando la legislación básica estatal en materia de protección del medio ambiente litoral (art. 149.1.23 CE y STC 149/1991).</w:t>
      </w:r>
    </w:p>
    <w:p w14:paraId="425B1240" w14:textId="77777777" w:rsidR="009D7677" w:rsidRDefault="009D7677" w:rsidP="009D7677">
      <w:pPr>
        <w:pStyle w:val="TextoNormal"/>
      </w:pPr>
    </w:p>
    <w:p w14:paraId="36D10BAE" w14:textId="77777777" w:rsidR="009D7677" w:rsidRDefault="009D7677" w:rsidP="009D7677">
      <w:pPr>
        <w:pStyle w:val="TextoNormal"/>
      </w:pPr>
      <w:r>
        <w:t>ñ) El art. 57.3 de la Ley del Parlamento de Galicia 4/2023 desconoce la competencia exclusiva del Estado para el establecimiento del régimen jurídico del dominio público marítimo-terrestre, del que es titular, al incluir en la red de establecimientos turísticos a recuperar o rehabilitar los emplazados en el demanio o en su servidumbre de protección si se trata de edificaciones destinadas a residencia o habitación, contraviniendo la regulación de la disposición transitoria primera de la Ley de costas, que permite la conversión de los derechos de propiedad previos en derechos de aprovechamiento concesional pero “respetando los usos y aprovechamientos existentes” o en los términos del art. 27.2 RGC que entiende por usos y aprovechamiento existentes los que “a la fecha de aprobación del deslinde se estuvieran llevando a cabo y fueran conformes a la legalidad vigente”.</w:t>
      </w:r>
    </w:p>
    <w:p w14:paraId="52796DB7" w14:textId="77777777" w:rsidR="009D7677" w:rsidRDefault="009D7677" w:rsidP="009D7677">
      <w:pPr>
        <w:pStyle w:val="TextoNormal"/>
      </w:pPr>
    </w:p>
    <w:p w14:paraId="2447BB80" w14:textId="77777777" w:rsidR="009D7677" w:rsidRDefault="009D7677" w:rsidP="009D7677">
      <w:pPr>
        <w:pStyle w:val="TextoNormal"/>
      </w:pPr>
      <w:r>
        <w:t>o) Impugna el artículo 58.3 de la Ley del Parlamento de Galicia 4/2023, segundo párrafo inciso final: “Hasta la celebración del convenio, corresponde a la persona titular del bien cumplir las obligaciones derivadas de la legislación de patrimonio cultural”, por contravenir el apartado 3 de la disposición adicional tercera del Reglamento general de costas, que atribuye el cumplimiento de las obligaciones de la legislación de patrimonio cultural a la administración promotora de la declaración responsable o de la catalogación del bien. Dicha disposición, además de ser dictada en el ejercicio de la competencia estatal sobre el dominio público marítimo-terrestre (art. 132 CE y STC 149/1991), deriva de la competencia estatal exclusiva en la regulación del régimen jurídico básico en materia de contratos y concesiones administrativas del artículo 149.1.18 CE. Ello se deduce de la disposición final segunda de la Ley 2/2013, de 29 de mayo, de protección y uso sostenible del litoral por la que se modifica la Ley de costas de 1988, que introduce la vulnerada disposición adicional undécima de la Ley de costas, a su vez desarrollada por la disposición adicional tercera del Reglamento general de la Ley de costas.</w:t>
      </w:r>
    </w:p>
    <w:p w14:paraId="2B4B0D6E" w14:textId="77777777" w:rsidR="009D7677" w:rsidRDefault="009D7677" w:rsidP="009D7677">
      <w:pPr>
        <w:pStyle w:val="TextoNormal"/>
      </w:pPr>
    </w:p>
    <w:p w14:paraId="20081C3E" w14:textId="77777777" w:rsidR="009D7677" w:rsidRDefault="009D7677" w:rsidP="009D7677">
      <w:pPr>
        <w:pStyle w:val="TextoNormal"/>
      </w:pPr>
      <w:r>
        <w:t xml:space="preserve">p) La inconstitucionalidad del art. 60.3 de la Ley del Parlamento de Galicia 4/2023, resulta de contravenir el art. 44.6 LC, dictado en virtud de la “competencia exclusiva [del Estado] para la determinación del régimen jurídico del dominio público marítimo terrestre, así como respecto de sus servidumbres legales </w:t>
      </w:r>
      <w:r w:rsidRPr="009D7677">
        <w:rPr>
          <w:i/>
        </w:rPr>
        <w:t>ex</w:t>
      </w:r>
      <w:r>
        <w:t xml:space="preserve"> artículo 149.1.23 CE”, que no permite el emplazamiento de instalaciones de tratamiento de aguas residuales en la ribera de mar ni en los primeros veinte metros desde la misma ni tampoco la instalación de colectores paralelos a la costa en dichos espacios.</w:t>
      </w:r>
    </w:p>
    <w:p w14:paraId="3D914A9F" w14:textId="77777777" w:rsidR="009D7677" w:rsidRDefault="009D7677" w:rsidP="009D7677">
      <w:pPr>
        <w:pStyle w:val="TextoNormal"/>
      </w:pPr>
    </w:p>
    <w:p w14:paraId="301D41F7" w14:textId="77777777" w:rsidR="009D7677" w:rsidRDefault="009D7677" w:rsidP="009D7677">
      <w:pPr>
        <w:pStyle w:val="TextoNormal"/>
      </w:pPr>
      <w:r>
        <w:t xml:space="preserve">q) Para cerrar este tercer fundamento, indica que la disposición final primera modifica el artículo 55 de la Ley del Parlamento de Galicia 6/2017, relativo a las “actividades, instalaciones y construcciones permitidas” conforme a los usos portuarios, en la zona de servicios, e incluye algunas que no figuraban en la redacción originaria de dicho artículo. </w:t>
      </w:r>
      <w:r>
        <w:lastRenderedPageBreak/>
        <w:t xml:space="preserve">Destaca como “más relevante” la relativa a los apartados 2 e) y g). Indica que la adscripción de bienes del dominio público marítimo-terrestre a las comunidades autónomas, si bien no modifica la calificación jurídica del bien, comporta que es la comunidad autónoma a la que le corresponde su utilización y gestión adecuadas a su finalidad y con sujeción a las disposiciones pertinentes (art. 49 LC). En el art. 49.4 LC se establecen los usos permitidos con limitaciones y los prohibidos. Dicho precepto se desarrolla en el art. 105 RGC, añadiendo la superficie máxima que tales usos pueden tener y en el art. 106 RGC que exige para la delimitación de los usos, el informe favorable de la administración general del Estado. A ello se añade que la adscripción del bien a la comunidad autónoma no le libera de las limitaciones medioambientales derivadas de los arts. 45 LC y 149.1.23 CE. Como reconoce la STC 31/2010, de 28 de junio, FJ 92, el ejercicio de las funciones ejecutivas autonómicas “se somete al respeto del régimen general del dominio público, pues dicho régimen corresponde establecerlo al Estado, titular del demanio, con libertad de configuración”. En tal sentido, los arts. 25 y 32 LC fueron declarados básicos por las SSTC 149/1991, FFJJ 3 y 4, y 34/2014, FJ 3, </w:t>
      </w:r>
      <w:r w:rsidRPr="009D7677">
        <w:rPr>
          <w:i/>
        </w:rPr>
        <w:t>in fine</w:t>
      </w:r>
      <w:r>
        <w:t>, de modo que en la previsión de los usos portuarios no prevén “los relativos a la cadena mar-industria alimentaria” y “servicios sanitarios, asistenciales, docentes, culturales o deportivos”. Dicha previsión en la norma autonómica no tiene el carácter de norma adicional de protección, ni supone un desarrollo de la norma básica, por lo que contraviene el art. 149.1.23 CE.</w:t>
      </w:r>
    </w:p>
    <w:p w14:paraId="423C8220" w14:textId="77777777" w:rsidR="009D7677" w:rsidRDefault="009D7677" w:rsidP="009D7677">
      <w:pPr>
        <w:pStyle w:val="TextoNormal"/>
      </w:pPr>
    </w:p>
    <w:p w14:paraId="255EC50E" w14:textId="77777777" w:rsidR="009D7677" w:rsidRDefault="009D7677" w:rsidP="009D7677">
      <w:pPr>
        <w:pStyle w:val="TextoNormal"/>
      </w:pPr>
      <w:r>
        <w:t>D) Dedica el cuarto fundamento del recurso a sustentar la inconstitucionalidad de los arts. 11.5 a), 12.5, 21.1 d) y e), 23.2 m), 25.1 c) y 64.3 por extralimitación competencial, al extender las competencias autonómicas al mar territorial.</w:t>
      </w:r>
    </w:p>
    <w:p w14:paraId="70E85254" w14:textId="77777777" w:rsidR="009D7677" w:rsidRDefault="009D7677" w:rsidP="009D7677">
      <w:pPr>
        <w:pStyle w:val="TextoNormal"/>
      </w:pPr>
    </w:p>
    <w:p w14:paraId="3077D428" w14:textId="77777777" w:rsidR="009D7677" w:rsidRDefault="009D7677" w:rsidP="009D7677">
      <w:pPr>
        <w:pStyle w:val="TextoNormal"/>
      </w:pPr>
      <w:r>
        <w:t>a) El art. 11.5 a) es considerado por los recurrentes inconstitucional en tanto que atribuye a la consejería con competencias sobre el mar el plan de ordenación marina y los planes especiales de ría por lo que desconoce tanto las competencias estatales sobre los espacios marinos como el régimen de protección del medio marino establecido con carácter básico en la Ley 41/2010, de 29 de diciembre, de protección del medio marino (en adelante, Ley 41/2010) y en sus reglamentos de desarrollo: el Real Decreto 363/2017, de 8 de abril, por el que se establece un marco para la ordenación del espacio marítimo; y el Real Decreto 150/2023, de 28 de febrero, por el que se aprueban los planes de ordenación del espacio marítimo de las cinco demarcaciones marinas españolas.</w:t>
      </w:r>
    </w:p>
    <w:p w14:paraId="6B3EA0FB" w14:textId="77777777" w:rsidR="009D7677" w:rsidRDefault="009D7677" w:rsidP="009D7677">
      <w:pPr>
        <w:pStyle w:val="TextoNormal"/>
      </w:pPr>
    </w:p>
    <w:p w14:paraId="6599C3E7" w14:textId="77777777" w:rsidR="009D7677" w:rsidRDefault="009D7677" w:rsidP="009D7677">
      <w:pPr>
        <w:pStyle w:val="TextoNormal"/>
      </w:pPr>
      <w:r>
        <w:t xml:space="preserve">b) El art. 12.5 de la Ley del Parlamento de Galicia 4/2023 atribuye al Instituto Tecnológico para el Control del Medio Marino el control de la calidad del medio marino y en particular, el control del cumplimiento de los objetivos ambientales en las aguas costeras del litoral de Galicia, completando sus funciones el art. 64.3 de la Ley del Parlamento de Galicia 4/2023 que atribuye al referido instituto la emisión de “un informe de compatibilidad con los objetivos de calidad y ambientales de las aguas de Galicia” para “las actuaciones que pretendan llevarse a cabo en aguas costeras que requieran la ejecución de obras o instalaciones, o la colocación o depósito de materiales sobre el fondo marino”. Señala que el control de la calidad no se encuentra comprendido en la competencia de “ordenación del litoral” y que la Ley 41/2010 regula los informes de compatibilidad con las estrategias marinas de competencia exclusiva del Estado. La Ley del Parlamento de Galicia 4/2023 establece la presunción legal de la necesidad de ocupación de esos espacios por la totalidad de las instalaciones destinadas a esa actividad, sin ni siquiera atribuir al solicitante la carga de acreditar esa necesidad de ocupación, vulnera la legislación básica de costas, con </w:t>
      </w:r>
      <w:r>
        <w:lastRenderedPageBreak/>
        <w:t>el consiguiente detrimento de la preservación de esa valiosa franja litoral y del régimen jurídico que rige la adopción de las medidas necesarias para lograr o mantener el buen estado ambiental del medio marino, a través de su planificación, conservación, protección y mejora, con sustento en el art. 149.1.23 CE (disposición adicional primera de la Ley 41/2010). Son las estrategias marinas en cuya elaboración y seguimiento participan las comunidades autónomas, en la medida en que afecten a sus competencias, los instrumentos esenciales para la planificación del medio marino, sin que la Comunidad Autónoma de Galicia haya asumido la competencia sobre dicha materia, ni le alcance la competencia medio ambiental como consecuencia de la continuidad y unidad del espacio público protegido de competencia autonómica.</w:t>
      </w:r>
    </w:p>
    <w:p w14:paraId="5024CA3E" w14:textId="77777777" w:rsidR="009D7677" w:rsidRDefault="009D7677" w:rsidP="009D7677">
      <w:pPr>
        <w:pStyle w:val="TextoNormal"/>
      </w:pPr>
    </w:p>
    <w:p w14:paraId="204FAC31" w14:textId="77777777" w:rsidR="009D7677" w:rsidRDefault="009D7677" w:rsidP="009D7677">
      <w:pPr>
        <w:pStyle w:val="TextoNormal"/>
      </w:pPr>
      <w:r>
        <w:t>c) El art. 21.1 d) y e) de la Ley del Parlamento de Galicia 4/2023 dispone como instrumento específico de ordenación del litoral el “plan de ordenación marina” y “los planes especiales de ría” cuya inconstitucionalidad resulta de su relación con los arts. 11.5 a) y 23.2 m) de la misma ley, por las razones expuestas al abordar la inconstitucionalidad de estos artículos: desconocimiento tanto de las competencias estatales sobre los espacios marinos, como del régimen de protección del medio marino establecido con carácter básico en la Ley 41/2010 y en sus reglamentos de desarrollo: el Real Decreto 363/2017, y el Real Decreto 150/2023.</w:t>
      </w:r>
    </w:p>
    <w:p w14:paraId="71E16590" w14:textId="77777777" w:rsidR="009D7677" w:rsidRDefault="009D7677" w:rsidP="009D7677">
      <w:pPr>
        <w:pStyle w:val="TextoNormal"/>
      </w:pPr>
    </w:p>
    <w:p w14:paraId="38E0C867" w14:textId="77777777" w:rsidR="009D7677" w:rsidRDefault="009D7677" w:rsidP="009D7677">
      <w:pPr>
        <w:pStyle w:val="TextoNormal"/>
      </w:pPr>
      <w:r>
        <w:t>d) El art. 23.2 m) es considerado inconstitucional al imponer como determinación de las directrices del litoral los criterios para la determinación de los usos estratégicos y prioritarios del mar, a los efectos de la elaboración del plan de ordenación marina, al atribuir a la Comunidad Autónoma de Galicia facultades sobre el mar que la normativa vigente no le atribuye, ni respetar los criterios de extensión al mar de competencias autonómicas. El establecimiento de los criterios para la determinación de los usos estratégicos y prioritarios del mar, a los efectos de la elaboración del plan de ordenación marina, corresponde al Estado con carácter básico de acuerdo con la Ley 41/2010 y en los citados reglamentos de desarrollo.</w:t>
      </w:r>
    </w:p>
    <w:p w14:paraId="7761904C" w14:textId="77777777" w:rsidR="009D7677" w:rsidRDefault="009D7677" w:rsidP="009D7677">
      <w:pPr>
        <w:pStyle w:val="TextoNormal"/>
      </w:pPr>
    </w:p>
    <w:p w14:paraId="2455DA67" w14:textId="77777777" w:rsidR="009D7677" w:rsidRDefault="009D7677" w:rsidP="009D7677">
      <w:pPr>
        <w:pStyle w:val="TextoNormal"/>
      </w:pPr>
      <w:r>
        <w:t>e) El art. 25.1 c) de la Ley del Parlamento de Galicia 4/2023 prevé como objetivo del plan de ordenación marina lograr el desarrollo sostenible del sector energético, con respeto de la biodiversidad y la pesca, el marisqueo y la acuicultura, pese a que la STC 3/2014, FJ 5, excluyó de la competencia autonómica en el mar territorial “el desarrollo sostenible del sector energético”.</w:t>
      </w:r>
    </w:p>
    <w:p w14:paraId="3337AB0F" w14:textId="77777777" w:rsidR="009D7677" w:rsidRDefault="009D7677" w:rsidP="009D7677">
      <w:pPr>
        <w:pStyle w:val="TextoNormal"/>
      </w:pPr>
    </w:p>
    <w:p w14:paraId="034DBD9E" w14:textId="77777777" w:rsidR="009D7677" w:rsidRDefault="009D7677" w:rsidP="009D7677">
      <w:pPr>
        <w:pStyle w:val="TextoNormal"/>
      </w:pPr>
      <w:r>
        <w:t xml:space="preserve">f) El art. 64.3 de la Ley del Parlamento de Galicia 4/2023 prevé la emisión de un informe de compatibilidad con los objetivos de calidad y ambientales de las aguas de Galicia para las actuaciones que pretendan llevarse a cabo en las aguas costeras que requieran la ejecución de obras e instalaciones, o la colocación o depósito de materiales sobre el fondo marino. Las aguas costeras se extienden hasta una milla náutica mar adentro desde las líneas de base rectas, según el artículo 16 </w:t>
      </w:r>
      <w:r w:rsidRPr="009D7677">
        <w:rPr>
          <w:i/>
        </w:rPr>
        <w:t>bis</w:t>
      </w:r>
      <w:r>
        <w:t xml:space="preserve">.1 del Real Decreto Legislativo 1/2001, de 20 de julio, por el que se aprueba el texto refundido de la Ley de aguas. Entiende el abogado del Estado que la ley no puede incluir, como competencia propia, la emisión de un informe similar al previsto en la normativa estatal, referido a aquellas actividades que requieran, bien la ejecución de obras o instalaciones en las aguas marinas, su lecho o su subsuelo, bien la colocación o depósito de materias sobre el fondo marino. Mediante dicha práctica, la Comunidad Autónoma de Galicia está sustituyendo la competencia exclusiva </w:t>
      </w:r>
      <w:r>
        <w:lastRenderedPageBreak/>
        <w:t>otorgada por la Ley 41/2010 al Ministerio para la Transición Ecológica y el Reto Demográfico, que incluye la competencia para la emisión del correspondiente informe de compatibilidad con la estrategia marina, siendo dicha ley básica en virtud del art. 149.1.23 CE.</w:t>
      </w:r>
    </w:p>
    <w:p w14:paraId="5E9EF7E2" w14:textId="77777777" w:rsidR="009D7677" w:rsidRDefault="009D7677" w:rsidP="009D7677">
      <w:pPr>
        <w:pStyle w:val="TextoNormal"/>
      </w:pPr>
    </w:p>
    <w:p w14:paraId="042E18B7" w14:textId="77777777" w:rsidR="009D7677" w:rsidRDefault="009D7677" w:rsidP="009D7677">
      <w:pPr>
        <w:pStyle w:val="TextoNormal"/>
      </w:pPr>
      <w:r>
        <w:t>E) En el quinto fundamento sostiene la inconstitucionalidad de los arts. 2.1 y 2; 3 a); 11.4 b) y 5 b); 35.3; 41.3; 46.2; 48.1, 4 y 5; 52; 53.1, inciso “todos los títulos de intervención requeridos por la normativa vigente”, 3 y 4; 62.5 inciso inicial: “[c]uando el otorgamiento del título de ocupación corresponda a la administración general de la Comunidad Autónoma de Galicia conforme a lo previsto en el artículo 48”; y disposición final quinta en el inciso: “salvo lo establecido en el artículo 48.1 con respecto al ejercicio de las competencias autonómicas para el otorgamiento de las autorizaciones y concesiones del dominio público marítimo-terrestre, cuya entrada en vigor queda supeditada a la publicación del real decreto de traspasos de funciones y servicios de la administración general del Estado a la Comunidad Autónoma de Galicia”, por atribuirse la gestión de los títulos de ocupación del dominio público marítimo-terrestre sin tener competencia estatutaria para ello.</w:t>
      </w:r>
    </w:p>
    <w:p w14:paraId="22F49E73" w14:textId="77777777" w:rsidR="009D7677" w:rsidRDefault="009D7677" w:rsidP="009D7677">
      <w:pPr>
        <w:pStyle w:val="TextoNormal"/>
      </w:pPr>
    </w:p>
    <w:p w14:paraId="7C967539" w14:textId="77777777" w:rsidR="009D7677" w:rsidRDefault="009D7677" w:rsidP="009D7677">
      <w:pPr>
        <w:pStyle w:val="TextoNormal"/>
      </w:pPr>
      <w:r>
        <w:t>a) En relación con la inconstitucionalidad del art. 2.1 y 2 de la Ley del Parlamento de Galicia 4/2023 se remite a lo ya expuesto sobre tales preceptos.</w:t>
      </w:r>
    </w:p>
    <w:p w14:paraId="5507A691" w14:textId="77777777" w:rsidR="009D7677" w:rsidRDefault="009D7677" w:rsidP="009D7677">
      <w:pPr>
        <w:pStyle w:val="TextoNormal"/>
      </w:pPr>
    </w:p>
    <w:p w14:paraId="7B3D348F" w14:textId="77777777" w:rsidR="009D7677" w:rsidRDefault="009D7677" w:rsidP="009D7677">
      <w:pPr>
        <w:pStyle w:val="TextoNormal"/>
      </w:pPr>
      <w:r>
        <w:t>b) El art. 3 a) de la Ley del Parlamento de Galicia 4/2023 lo considera inconstitucional pues incluye entre los fines de la ley la “ordenación y gestión del litoral como una entidad continua y única”, lo que atendido el concepto de litoral supone arrogarse la ordenación y gestión del dominio público marítimo-terrestre, cuando la competencia exclusiva en el establecimiento del régimen jurídico del dominio público es del Estado y la Comunidad Autónoma de Galicia carece de competencias estatutarias en materia de otorgamiento y gestión de los títulos habilitantes para la utilización del dominio público marítimo-terrestre, correspondiéndole al Estado como afirmó la STC 149/1991, al pronunciarse sobre el art. 110 b) LC.</w:t>
      </w:r>
    </w:p>
    <w:p w14:paraId="502F815D" w14:textId="77777777" w:rsidR="009D7677" w:rsidRDefault="009D7677" w:rsidP="009D7677">
      <w:pPr>
        <w:pStyle w:val="TextoNormal"/>
      </w:pPr>
    </w:p>
    <w:p w14:paraId="679CC844" w14:textId="77777777" w:rsidR="009D7677" w:rsidRDefault="009D7677" w:rsidP="009D7677">
      <w:pPr>
        <w:pStyle w:val="TextoNormal"/>
      </w:pPr>
      <w:r>
        <w:t>c) Por la misma razón, la inconstitucionalidad del art. 11.4 b) y 5 b) resulta de la atribución a la consejería de la función de otorgar títulos de intervención o la emisión de informes equivalentes para la utilización de los espacios terrestres del dominio público marítimo-terrestre, y de otorgar títulos de intervención para la utilización de los espacios intermareales y marinos del demanio, cuando corresponda en virtud de lo previsto en el artículo 48 de la Ley del Parlamento de Galicia 4/2023, pese a que el otorgamiento y gestión de los títulos habilitantes para la utilización del dominio público marítimo-terrestre es función que no ha sido asumida estatutariamente por la Comunidad Autónoma de Galicia y que no se incluye en la competencia de ordenación del litoral, tal y como afirmó, entre otras, la STC 149/1991 con ocasión de la propia impugnación del artículo 110 b) LC.</w:t>
      </w:r>
    </w:p>
    <w:p w14:paraId="305E48ED" w14:textId="77777777" w:rsidR="009D7677" w:rsidRDefault="009D7677" w:rsidP="009D7677">
      <w:pPr>
        <w:pStyle w:val="TextoNormal"/>
      </w:pPr>
    </w:p>
    <w:p w14:paraId="14761BD8" w14:textId="77777777" w:rsidR="009D7677" w:rsidRDefault="009D7677" w:rsidP="009D7677">
      <w:pPr>
        <w:pStyle w:val="TextoNormal"/>
      </w:pPr>
      <w:r>
        <w:t>d) En relación con los arts. 35.3, 41.3 y 46.2 de la Ley del Parlamento de Galicia 4/2023, defiende su inconstitucionalidad por los mismos argumentos expuestos para el art. 48 de esta misma ley.</w:t>
      </w:r>
    </w:p>
    <w:p w14:paraId="15FC5058" w14:textId="77777777" w:rsidR="009D7677" w:rsidRDefault="009D7677" w:rsidP="009D7677">
      <w:pPr>
        <w:pStyle w:val="TextoNormal"/>
      </w:pPr>
    </w:p>
    <w:p w14:paraId="547564C1" w14:textId="77777777" w:rsidR="009D7677" w:rsidRDefault="009D7677" w:rsidP="009D7677">
      <w:pPr>
        <w:pStyle w:val="TextoNormal"/>
      </w:pPr>
      <w:r>
        <w:t>e) Aborda a continuación la inconstitucionalidad de los apartados primero, cuarto y quinto del art. 48 de la Ley del Parlamento de Galicia 4/2023, al referirse en su apartado primero, a la competencia para el otorgamiento de las autorizaciones y concesiones en el dominio público marítimo-terrestre por parte de las consejerías competentes “en el mo</w:t>
      </w:r>
      <w:r>
        <w:lastRenderedPageBreak/>
        <w:t>mento en que se produzca el efectivo traspaso de funciones y servicios de la administración general del Estado a la Comunidad Autónoma de Galicia en materia de ordenación del litoral”. Sin embargo, la comunidad autónoma ya ostenta competencias en la “ordenación del litoral”, en virtud de los traspasos operados por los Reales Decretos 2424/1982, de 24 de julio, sobre traspaso de funciones y servicios de la Administración General del Estado a la Comunidad Autónoma de Galicia en materia de ordenación del territorio y urbanismo; 3564/1983, de 5 de octubre, sobre traspaso de funciones y servicios del Estado a la Comunidad Autónoma de Galicia en materia de estudios de ordenación del territorio y medio ambiente; 1524/1984, de 1 de agosto, sobre valoración definitiva y ampliación de medios adscritos a los servicios traspasados a la Comunidad Autónoma de Galicia en materia de ordenación del territorio y urbanismo; y 659/1985, de 17 de abril, sobre traspaso de funciones y servicios de la administración del Estado a la Comunidad Autónoma de Galicia en materia de ordenación del litoral y vertidos al mar, sin que haya modificado su estatuto a fin de reconocer nuevas funciones ejecutivas en relación con la gestión de los títulos de ocupación y uso del dominio público marítimo-terrestre que pudieran requerir nuevos traspasos. Por otra parte, el sometimiento a condición suspensiva y el contenido de lo previsto en el art. 48.1 de la Ley del Parlamento de Galicia 4/2023 a la aprobación del acuerdo de traspaso de funciones y servicios (disposición final quinta), es contraria a la doctrina del Tribunal (SSTC 95/2002, de 25 de abril, FJ 14; 128/2016, y 116/2017, FJ 4). En definitiva, señala el Consejo de Estado en su dictamen núm. 991/2023: “como ha quedado expuesto con anterioridad, la regulación preventiva o anterior a la futura adquisición de una competencia que no se tiene no es respetuosa con la titularidad competencial de quien la conserva, en este caso el Estado”.</w:t>
      </w:r>
    </w:p>
    <w:p w14:paraId="43C6955F" w14:textId="77777777" w:rsidR="009D7677" w:rsidRDefault="009D7677" w:rsidP="009D7677">
      <w:pPr>
        <w:pStyle w:val="TextoNormal"/>
      </w:pPr>
    </w:p>
    <w:p w14:paraId="693BD334" w14:textId="77777777" w:rsidR="009D7677" w:rsidRDefault="009D7677" w:rsidP="009D7677">
      <w:pPr>
        <w:pStyle w:val="TextoNormal"/>
      </w:pPr>
      <w:r>
        <w:t>f) El art. 52 de la Ley del Parlamento de Galicia 4/2023 establece la solicitud de diversos informes en los procedimientos de otorgamiento de títulos de intervención. El abogado del Estado predica su inconstitucionalidad por conexión con los arts. 48 y 49 de la Ley del Parlamento de Galicia 4/2023. En concreto, considera que es contrario al art. 156 RGC que desarrolla el procedimiento de otorgamiento de autorizaciones o concesiones que sean competencia de las comunidades autónomas, sin que la comunidad autónoma pueda sustituir un procedimiento por otro, al carecer de competencia para ello.</w:t>
      </w:r>
    </w:p>
    <w:p w14:paraId="3F2C8F25" w14:textId="77777777" w:rsidR="009D7677" w:rsidRDefault="009D7677" w:rsidP="009D7677">
      <w:pPr>
        <w:pStyle w:val="TextoNormal"/>
      </w:pPr>
    </w:p>
    <w:p w14:paraId="0637B49F" w14:textId="77777777" w:rsidR="009D7677" w:rsidRDefault="009D7677" w:rsidP="009D7677">
      <w:pPr>
        <w:pStyle w:val="TextoNormal"/>
      </w:pPr>
      <w:r>
        <w:t xml:space="preserve">g) El abogado del Estado considera inconstitucional el art. 53 apartado primero inciso “todos los títulos de intervención requeridos por la normativa vigente” y apartados tercero y cuarto de la Ley del Parlamento de Galicia 4/2023. El artículo 53 de la Ley autonómica alude al procedimiento integrado a seguir cuando deban otorgarse varios títulos de intervención, habilitando a la propia administración autonómica a su desarrollo reglamentario. Este precepto es contrario a las competencias autonómicas al atribuirse la instrucción de todos los títulos de intervención (estatales, como se ha visto respecto de los del artículo 48) y autonómicos (apartado 1). El apartado 3 se inmiscuye en competencias ejecutivas estatales por conexión con el artículo 48 (concesiones). Respecto del apartado 4, el art. 156 RGC ya desarrolla el procedimiento de otorgamiento de autorizaciones o concesiones de competencia de las comunidades autónomas que requieren concesión de ocupación del dominio público marítimo-terrestre por la administración general del Estado, sin que la Comunidad Autónoma de Galicia sea competente para suplantar esas previsiones de la normativa estatal. Por otra parte, cuando la actividad propuesta en la servidumbre de protección requiera la utilización del dominio público marítimo-terrestre, será necesario el otorgamiento del correspondiente título conforme a lo previsto en la Ley de costas y su </w:t>
      </w:r>
      <w:r>
        <w:lastRenderedPageBreak/>
        <w:t>reglamento, sin que corresponda, tampoco, a la comunidad autónoma regular procedimiento alguno, por carecer de competencia al respecto.</w:t>
      </w:r>
    </w:p>
    <w:p w14:paraId="2F3F2944" w14:textId="77777777" w:rsidR="009D7677" w:rsidRDefault="009D7677" w:rsidP="009D7677">
      <w:pPr>
        <w:pStyle w:val="TextoNormal"/>
      </w:pPr>
    </w:p>
    <w:p w14:paraId="666692A2" w14:textId="77777777" w:rsidR="009D7677" w:rsidRDefault="009D7677" w:rsidP="009D7677">
      <w:pPr>
        <w:pStyle w:val="TextoNormal"/>
      </w:pPr>
      <w:r>
        <w:t>h) Se impugna el art. 62 apartado quinto inciso inicial: “[c]uando el otorgamiento del título de ocupación corresponda a la administración general de la Comunidad Autónoma de Galicia conforme a lo previsto en el artículo 48”. El artículo 62 de la Ley del Parlamento de Galicia 4/2023 hace referencia a la elaboración de estudios sobre resiliencia del litoral ante los efectos del cambio climático, disponiendo en su apartado primero, que corresponderá a la comunidad autónoma la elaboración de los mismos, pese a la incompetencia de dicha comunidad autónoma para gestionar los títulos de ocupación del dominio público marítimo-terrestre. Los estudios a los que se hace referencia en el art. 61 de la Ley autonómica no pueden referirse a aquellos terrenos que tengan la consideración de demaniales y sin perjuicio de lo previsto en el apartado segundo de la disposición adicional octava de la Ley 2/2013 sobre terrenos adscritos a las comunidades autónomas.</w:t>
      </w:r>
    </w:p>
    <w:p w14:paraId="0AF2A03E" w14:textId="77777777" w:rsidR="009D7677" w:rsidRDefault="009D7677" w:rsidP="009D7677">
      <w:pPr>
        <w:pStyle w:val="TextoNormal"/>
      </w:pPr>
    </w:p>
    <w:p w14:paraId="3F916245" w14:textId="77777777" w:rsidR="009D7677" w:rsidRDefault="009D7677" w:rsidP="009D7677">
      <w:pPr>
        <w:pStyle w:val="TextoNormal"/>
      </w:pPr>
      <w:r>
        <w:t>i) La impugnación de la disposición final quinta en el inciso “salvo lo establecido en el artículo 48.1 con respecto al ejercicio de las competencias autonómicas para el otorgamiento de las autorizaciones y concesiones del dominio público marítimo-terrestre, cuya entrada en vigor queda supeditada a la publicación del real decreto de traspasos de funciones y servicios de la Administración General del Estado a la Comunidad Autónoma de Galicia”, resulta de los argumentos desarrollados en el artículo 48 de la Ley del Parlamento de Galicia 4/2023 en relación con la suplantación de las competencias de titularidad estatal en materia de gestión de autorizaciones y concesiones sobre el dominio público marítimo-terrestre y en relación con la falta de competencias del legislador autonómico sobre la alteración de las competencias estatutarias.</w:t>
      </w:r>
    </w:p>
    <w:p w14:paraId="3D7E9782" w14:textId="77777777" w:rsidR="009D7677" w:rsidRDefault="009D7677" w:rsidP="009D7677">
      <w:pPr>
        <w:pStyle w:val="TextoNormal"/>
      </w:pPr>
    </w:p>
    <w:p w14:paraId="5CC9689D" w14:textId="77777777" w:rsidR="009D7677" w:rsidRDefault="009D7677" w:rsidP="009D7677">
      <w:pPr>
        <w:pStyle w:val="TextoNormal"/>
      </w:pPr>
      <w:r>
        <w:t xml:space="preserve">F) En el sexto fundamento se sostiene la inconstitucionalidad por infracción de la competencia estatal exclusiva sobre pesca en aguas exteriores </w:t>
      </w:r>
      <w:r w:rsidRPr="009D7677">
        <w:rPr>
          <w:i/>
        </w:rPr>
        <w:t>ex</w:t>
      </w:r>
      <w:r>
        <w:t xml:space="preserve"> artículo 149.1.19 CE de los artículos: 22, apartados 1 y 2, letras a), b), c) y d), en todo aquello que se refiera a la pesca marítima en aguas exteriores; 25.1 a) y b); 59.2 inciso “teniendo la obligación de asegurar en todos los instrumentos de ordenación marina del litoral previstos en esta un régimen de zonificación y uso que garantice el acceso y la permanencia de las embarcaciones gallegas a los caladeros cuya regulación sea de su competencia” y la disposición final primera “además del ya señalado artículo”.</w:t>
      </w:r>
    </w:p>
    <w:p w14:paraId="031C9934" w14:textId="77777777" w:rsidR="009D7677" w:rsidRDefault="009D7677" w:rsidP="009D7677">
      <w:pPr>
        <w:pStyle w:val="TextoNormal"/>
      </w:pPr>
    </w:p>
    <w:p w14:paraId="342EB5A3" w14:textId="77777777" w:rsidR="009D7677" w:rsidRDefault="009D7677" w:rsidP="009D7677">
      <w:pPr>
        <w:pStyle w:val="TextoNormal"/>
      </w:pPr>
      <w:r>
        <w:t>a) El recurso frente al art. 22.1 y 2 a), b), c) y d), en todo aquello que se refiera a la pesca marítima en aguas exteriores, se fundamenta en que la materia “pesca marítima” es competencia exclusiva del Estado (art. 149.1.19 CE) cuando su regulación se proyecta sobre el mar territorial, la zona económica y las aguas internacionales (por todas, SSTC 38/2002, FJ 6, y 166/2013, de 7 de octubre, FJ 6).</w:t>
      </w:r>
    </w:p>
    <w:p w14:paraId="7E7F5D9E" w14:textId="77777777" w:rsidR="009D7677" w:rsidRDefault="009D7677" w:rsidP="009D7677">
      <w:pPr>
        <w:pStyle w:val="TextoNormal"/>
      </w:pPr>
    </w:p>
    <w:p w14:paraId="0084A7FF" w14:textId="77777777" w:rsidR="009D7677" w:rsidRDefault="009D7677" w:rsidP="009D7677">
      <w:pPr>
        <w:pStyle w:val="TextoNormal"/>
      </w:pPr>
      <w:r>
        <w:t>b) El art. 25.1 a) y b) invade la competencia exclusiva del Estado en materia de pesca marítima (art. 149.1.19 CE) cuando su regulación se proyecta sobre el mar territorial, la zona económica y las aguas internacionales. Por el contrario, solo en el caso de que la disciplina de dichas cuestiones se ciña a las aguas interiores de la Comunidad Autónoma de Galicia resultará esta competente para establecerla (STC 9/2001, de 18 de enero, FJ 6).</w:t>
      </w:r>
    </w:p>
    <w:p w14:paraId="7A991865" w14:textId="77777777" w:rsidR="009D7677" w:rsidRDefault="009D7677" w:rsidP="009D7677">
      <w:pPr>
        <w:pStyle w:val="TextoNormal"/>
      </w:pPr>
    </w:p>
    <w:p w14:paraId="7023F9EE" w14:textId="77777777" w:rsidR="009D7677" w:rsidRDefault="009D7677" w:rsidP="009D7677">
      <w:pPr>
        <w:pStyle w:val="TextoNormal"/>
      </w:pPr>
      <w:r>
        <w:lastRenderedPageBreak/>
        <w:t>c) La censura constitucional del inciso contenido en el art. 59.2 de la Ley del Parlamento de Galicia 4/2023 “teniendo la obligación de asegurar en todos los instrumentos de ordenación marina del litoral previstos en esta un régimen de zonificación y uso que garantice el acceso y la permanencia de las embarcaciones gallegas a los caladeros cuya regulación sea de su competencia”, se argumenta en la competencia exclusiva del Estado en referencia a los instrumentos de ordenación marina del litoral, en la determinación de la obligación de los antedichos instrumentos de establecer un “régimen de zonificación y uso”, en los términos previstos en la Ley 41/2010 y en sus reglamentos de desarrollo ya citados, tal como se ha expuesto anteriormente en relación con la impugnación de los arts. 11.5 a), 21.1 d) y 23.2 m). Finalmente, la obligación que el precepto asigna al régimen de zonificación y uso de que garantice el acceso y la permanencia de las embarcaciones gallegas a los caladeros cuya regulación sea de su competencia, resulta inconstitucional en la medida en que parece establecer una diferenciación de acceso a los caladeros entre embarcaciones “gallegas” y el resto de las embarcaciones españolas y comunitarias, que no se justifique por razones vinculadas a la pesca o la conservación de los recursos pesqueros en aguas marítimas interiores, además de interferir con la competencia exclusiva del Estado sobre pesca en aguas exteriores, por las razones señaladas con antelación en la impugnación del artículo 22 de la Ley del Parlamento de Galicia 4/2023.</w:t>
      </w:r>
    </w:p>
    <w:p w14:paraId="17F564FE" w14:textId="77777777" w:rsidR="009D7677" w:rsidRDefault="009D7677" w:rsidP="009D7677">
      <w:pPr>
        <w:pStyle w:val="TextoNormal"/>
      </w:pPr>
    </w:p>
    <w:p w14:paraId="1CE388BA" w14:textId="77777777" w:rsidR="009D7677" w:rsidRDefault="009D7677" w:rsidP="009D7677">
      <w:pPr>
        <w:pStyle w:val="TextoNormal"/>
      </w:pPr>
      <w:r>
        <w:t>d) La disposición final primera es inconstitucional por las razones ya expuestas al abordar la misma.</w:t>
      </w:r>
    </w:p>
    <w:p w14:paraId="2047318F" w14:textId="77777777" w:rsidR="009D7677" w:rsidRDefault="009D7677" w:rsidP="009D7677">
      <w:pPr>
        <w:pStyle w:val="TextoNormal"/>
      </w:pPr>
    </w:p>
    <w:p w14:paraId="05A5A595" w14:textId="77777777" w:rsidR="009D7677" w:rsidRDefault="009D7677" w:rsidP="009D7677">
      <w:pPr>
        <w:pStyle w:val="TextoNormal"/>
      </w:pPr>
      <w:r>
        <w:t>G) En el séptimo y último fundamento, bajo la rúbrica “[o]tros motivos de inconstitucionalidad específicos”, impugna:</w:t>
      </w:r>
    </w:p>
    <w:p w14:paraId="014B1E02" w14:textId="77777777" w:rsidR="009D7677" w:rsidRDefault="009D7677" w:rsidP="009D7677">
      <w:pPr>
        <w:pStyle w:val="TextoNormal"/>
      </w:pPr>
    </w:p>
    <w:p w14:paraId="75DF5CDF" w14:textId="77777777" w:rsidR="009D7677" w:rsidRDefault="009D7677" w:rsidP="009D7677">
      <w:pPr>
        <w:pStyle w:val="TextoNormal"/>
      </w:pPr>
      <w:r>
        <w:t>a) El art. 11 apartado primero inciso “y la lucha contra la contaminación marina”, en cuanto se refiera a los vertidos mar-mar, en cuanto que incluye en la misma el concepto de marina mercante (STC 40/1998, de 19 de febrero, FFJJ 50 y 52).</w:t>
      </w:r>
    </w:p>
    <w:p w14:paraId="75CBCE8D" w14:textId="77777777" w:rsidR="009D7677" w:rsidRDefault="009D7677" w:rsidP="009D7677">
      <w:pPr>
        <w:pStyle w:val="TextoNormal"/>
      </w:pPr>
    </w:p>
    <w:p w14:paraId="50CD1E5B" w14:textId="77777777" w:rsidR="009D7677" w:rsidRDefault="009D7677" w:rsidP="009D7677">
      <w:pPr>
        <w:pStyle w:val="TextoNormal"/>
      </w:pPr>
      <w:r>
        <w:t>b) El art. 12 apartado segundo, en el que se prevé que “Portos de Galicia impulsará el desarrollo sostenible del litoral a través de la implantación de establecimientos de la cadena mar-industria alimentaria en espacios portuarios de su competencia”, en tanto que los usos posibles en espacios de dominio público marítimo-terrestre adscritos a las comunidades autónomas para usos portuarios se rigen por lo dispuesto en la legislación estatal de costas, en cuanto que los espacios siguen siendo de dominio estatal sin perjuicio de su adscripción a una determinada comunidad autónoma. La adecuación de los usos previstos a la norma estatal ha de determinarse caso por caso en el correspondiente expediente.</w:t>
      </w:r>
    </w:p>
    <w:p w14:paraId="24E75D8A" w14:textId="77777777" w:rsidR="009D7677" w:rsidRDefault="009D7677" w:rsidP="009D7677">
      <w:pPr>
        <w:pStyle w:val="TextoNormal"/>
      </w:pPr>
    </w:p>
    <w:p w14:paraId="46E9EBD1" w14:textId="77777777" w:rsidR="009D7677" w:rsidRDefault="009D7677" w:rsidP="009D7677">
      <w:pPr>
        <w:pStyle w:val="TextoNormal"/>
      </w:pPr>
      <w:r>
        <w:t>c) El art. 25.1 d) de la Ley del Parlamento de Galicia 4/2023, en lo que se refiere a las facultades reservadas al Estado en razón de su competencia exclusiva de marina mercante, cuando se refiere a que “[e]n el marco de las competencias de la Comunidad Autónoma de Galicia, el plan de ordenación marina” con el fin de alcanzar los objetivos: “d) impulsar el desarrollo sostenible del transporte marítimo, incluido el transporte de personas”, pues es propio de la competencia exclusiva del Estado en marina mercante (art. 149.1.20 CE).</w:t>
      </w:r>
    </w:p>
    <w:p w14:paraId="3FA9085B" w14:textId="77777777" w:rsidR="009D7677" w:rsidRDefault="009D7677" w:rsidP="009D7677">
      <w:pPr>
        <w:pStyle w:val="TextoNormal"/>
      </w:pPr>
    </w:p>
    <w:p w14:paraId="23B25C8F" w14:textId="77777777" w:rsidR="009D7677" w:rsidRDefault="009D7677" w:rsidP="009D7677">
      <w:pPr>
        <w:pStyle w:val="TextoNormal"/>
      </w:pPr>
      <w:r>
        <w:t>d) Se impugna el art. 29.1 de la Ley del Parlamento de Galicia 4/2023, porque al proyectar el desarrollo sostenible sobre el litoral, debe tomarse en consideración que la competencia autonómica relativa a la ordenación territorial del demanio costero resulta acota</w:t>
      </w:r>
      <w:r>
        <w:lastRenderedPageBreak/>
        <w:t>da por el uso que el Estado haga de las que le incumben para alcanzar los fines que ampara el art. 45 CE. La protección que el Estado ejerce sobre el dominio público marítimo-terrestre deriva del artículo 132.2 CE y, en palabras del fundamento jurídico 1 D) de la STC 149/1991, se traduce en que “para servir a estas funciones el legislador estatal no solo está facultado, sino obligado, a proteger el demanio marítimo-terrestre a fin de asegurar tanto el mantenimiento de su integridad física y jurídica, como su uso público y sus valores paisajísticos”. La amplia definición del concepto de litoral de la ley gallega implica que esta se proyecte sobre ámbitos en los que prevalece la competencia estatal para establecer el régimen jurídico y la legislación básica estatal en materia medio ambiental, de modo que regula los principios rectores del dominio público marítimo-terrestre y del medio marino, careciendo de competencia para ello, y excediendo del marco programático que le atribuye el Consejo de Estado.</w:t>
      </w:r>
    </w:p>
    <w:p w14:paraId="61B29102" w14:textId="77777777" w:rsidR="009D7677" w:rsidRDefault="009D7677" w:rsidP="009D7677">
      <w:pPr>
        <w:pStyle w:val="TextoNormal"/>
      </w:pPr>
    </w:p>
    <w:p w14:paraId="3C96E53A" w14:textId="77777777" w:rsidR="009D7677" w:rsidRDefault="009D7677" w:rsidP="009D7677">
      <w:pPr>
        <w:pStyle w:val="TextoNormal"/>
      </w:pPr>
      <w:r>
        <w:t>e) Se impugna el art. 46.5 de la Ley del Parlamento de Galicia 4/2023 en su inciso “[l]os bienes cedidos serán destinados a fines de uso o servicio público” por tratarse de un aspecto de competencia regulatoria estatal debido a la titularidad estatal del dominio público marítimo-terrestre al que se refiere la cesión, en conexión con el resto de los apartados impugnados del artículo conforme a los argumentos previstos en las alegaciones precedentes.</w:t>
      </w:r>
    </w:p>
    <w:p w14:paraId="7A87FA1D" w14:textId="77777777" w:rsidR="009D7677" w:rsidRDefault="009D7677" w:rsidP="009D7677">
      <w:pPr>
        <w:pStyle w:val="TextoNormal"/>
      </w:pPr>
    </w:p>
    <w:p w14:paraId="5E7E28FB" w14:textId="77777777" w:rsidR="009D7677" w:rsidRDefault="009D7677" w:rsidP="009D7677">
      <w:pPr>
        <w:pStyle w:val="TextoNormal"/>
      </w:pPr>
      <w:r>
        <w:t>f) El art. 55.2 de la Ley del Parlamento de Galicia 4/2023 hace referencia a la industria mar-alimentaria, entendida como “el conjunto de empresas y entidades que desarrollan actividades económicas propias del sector pesquero, marisquero y de la acuicultura, incluidas las actividades de extracción, cultivo, producción, manipulación, transformación y comercialización de los productos de la pesca, el marisqueo y la acuicultura” y en el apartado impugnado se establece la presunción de la necesidad de ocupación del dominio público marítimo-terrestre o la zona de especial protección por los establecimientos de la cadena mar-industria alimentaria, extralimitándose, pues no corresponde a la Comunidad Autónoma de Galicia establecer el régimen jurídico del dominio público marítimo-terrestre, sino que corresponde en exclusiva al Estado como titular demanial. En ejercicio de esta competencia, el artículo 32 LC establece la regla básica que es desarrollada en el art. 61 RGC, de modo que la presunción legal de necesidad de ocupación de esos espacios por la totalidad de las instalaciones destinadas a esa actividad, sin ni siquiera atribuir al solicitante la carga de acreditar esa necesidad de ocupación vulnera la legislación básica de costas, con el consiguiente detrimento de la preservación de esa valiosa franja litoral.</w:t>
      </w:r>
    </w:p>
    <w:p w14:paraId="2B9601D2" w14:textId="77777777" w:rsidR="009D7677" w:rsidRDefault="009D7677" w:rsidP="009D7677">
      <w:pPr>
        <w:pStyle w:val="TextoNormal"/>
      </w:pPr>
    </w:p>
    <w:p w14:paraId="5AE5E2DD" w14:textId="34D0A05E" w:rsidR="009D7677" w:rsidRDefault="009D7677" w:rsidP="009D7677">
      <w:pPr>
        <w:pStyle w:val="TextoNormal"/>
      </w:pPr>
      <w:r>
        <w:t>Finalmente, el recurso invoca expresamente los arts. 161.2 CE y 30 LOTC interesando la suspensión de la vigencia de los incisos, párrafos y apartados de los artículos impugnados.</w:t>
      </w:r>
    </w:p>
    <w:p w14:paraId="5168EE53" w14:textId="77777777" w:rsidR="009D7677" w:rsidRDefault="009D7677" w:rsidP="009D7677">
      <w:pPr>
        <w:pStyle w:val="TextoNormal"/>
      </w:pPr>
    </w:p>
    <w:p w14:paraId="2803D3F3" w14:textId="5B08EA14" w:rsidR="009D7677" w:rsidRDefault="009D7677" w:rsidP="009D7677">
      <w:pPr>
        <w:pStyle w:val="TextoNormal"/>
      </w:pPr>
      <w:r w:rsidRPr="009D7677">
        <w:rPr>
          <w:rStyle w:val="NumeroAFNegritaCaracter"/>
        </w:rPr>
        <w:t>2</w:t>
      </w:r>
      <w:r>
        <w:t xml:space="preserve">. Por providencia de 6 de noviembre de 2023, el Pleno del Tribunal acordó admitir a trámite el recurso de inconstitucionalidad interpuesto y dar traslado de las actuaciones, conforme establece el art. 34 LOTC, al Congreso de los Diputados, al Senado, a la Xunta de Galicia y al Parlamento de Galicia, al objeto de que en el plazo de quince días pudieran personarse en el proceso y formular las alegaciones que estimaran pertinentes; tener por invocado por el presidente del Gobierno el art. 161.2 CE, lo que, a su tenor y conforme dispone el art. 30 LOTC, produjo la suspensión de la vigencia y aplicación de los preceptos impugnados desde la fecha de interposición del recurso para las partes del proceso, y </w:t>
      </w:r>
      <w:r>
        <w:lastRenderedPageBreak/>
        <w:t>desde el día en que aparezca publicada la suspensión en el “Boletín Oficial del Estado” para los terceros; y publicar la incoación del recurso en el “Boletín Oficial del Estado” y en el “Diario Oficial de Galicia”.</w:t>
      </w:r>
    </w:p>
    <w:p w14:paraId="72D25E0D" w14:textId="77777777" w:rsidR="009D7677" w:rsidRDefault="009D7677" w:rsidP="009D7677">
      <w:pPr>
        <w:pStyle w:val="TextoNormal"/>
      </w:pPr>
    </w:p>
    <w:p w14:paraId="3CCC21B5" w14:textId="7E35FA69" w:rsidR="009D7677" w:rsidRDefault="009D7677" w:rsidP="009D7677">
      <w:pPr>
        <w:pStyle w:val="TextoNormal"/>
      </w:pPr>
      <w:r w:rsidRPr="009D7677">
        <w:rPr>
          <w:rStyle w:val="NumeroAFNegritaCaracter"/>
        </w:rPr>
        <w:t>3</w:t>
      </w:r>
      <w:r>
        <w:t>. Por acuerdo de sus respectivas mesas, el Congreso de los Diputados y el Senado acordaron personarse en el procedimiento y ofrecer su colaboración a los efectos del artículo 88.1 LOTC.</w:t>
      </w:r>
    </w:p>
    <w:p w14:paraId="30B07AB8" w14:textId="77777777" w:rsidR="009D7677" w:rsidRDefault="009D7677" w:rsidP="009D7677">
      <w:pPr>
        <w:pStyle w:val="TextoNormal"/>
      </w:pPr>
    </w:p>
    <w:p w14:paraId="7FEDFA5E" w14:textId="237B0C9E" w:rsidR="009D7677" w:rsidRDefault="009D7677" w:rsidP="009D7677">
      <w:pPr>
        <w:pStyle w:val="TextoNormal"/>
      </w:pPr>
      <w:r w:rsidRPr="009D7677">
        <w:rPr>
          <w:rStyle w:val="NumeroAFNegritaCaracter"/>
        </w:rPr>
        <w:t>4</w:t>
      </w:r>
      <w:r>
        <w:t>. Por escritos registrados en este tribunal el 17 y 28 de noviembre de 2023, el letrado de la Xunta de Galicia y el del Parlamento de Galicia solicitaron la concesión de prórroga por el máximo legal del plazo para formular alegaciones. Por sendas diligencias de ordenación de 17 y 28 de noviembre de 2023, se acordó la prórroga en ocho días más del plazo concedido por la providencia de 6 de noviembre de 2023.</w:t>
      </w:r>
    </w:p>
    <w:p w14:paraId="05264EAA" w14:textId="77777777" w:rsidR="009D7677" w:rsidRDefault="009D7677" w:rsidP="009D7677">
      <w:pPr>
        <w:pStyle w:val="TextoNormal"/>
      </w:pPr>
    </w:p>
    <w:p w14:paraId="0880BA96" w14:textId="77777777" w:rsidR="009D7677" w:rsidRDefault="009D7677" w:rsidP="009D7677">
      <w:pPr>
        <w:pStyle w:val="TextoNormal"/>
      </w:pPr>
      <w:r w:rsidRPr="009D7677">
        <w:rPr>
          <w:rStyle w:val="NumeroAFNegritaCaracter"/>
        </w:rPr>
        <w:t>5</w:t>
      </w:r>
      <w:r>
        <w:t>. Mediante escrito presentado el 18 de diciembre de 2023, don Xosé Antón Sarmiento Méndez y doña Purificación López Gómez, como letrado oficial mayor y letrada del Parlamento de Galicia, en defensa y representación de este, formularon alegaciones solicitando la desestimación del recurso interpuesto.</w:t>
      </w:r>
    </w:p>
    <w:p w14:paraId="2ED43EB2" w14:textId="77777777" w:rsidR="009D7677" w:rsidRDefault="009D7677" w:rsidP="009D7677">
      <w:pPr>
        <w:pStyle w:val="TextoNormal"/>
      </w:pPr>
    </w:p>
    <w:p w14:paraId="11836DC6" w14:textId="77777777" w:rsidR="009D7677" w:rsidRDefault="009D7677" w:rsidP="009D7677">
      <w:pPr>
        <w:pStyle w:val="TextoNormal"/>
      </w:pPr>
      <w:r>
        <w:t>A) El Parlamento de Galicia en sus alegaciones afirma la constitucionalidad de la Ley del Parlamento de Galicia 4/2023, al indicar que se dicta en el ejercicio de las competencias atribuidas a la Comunidad Autónoma de Galicia y se adecua a la normativa estatal básica en materia de limitaciones de la propiedad sobre los terrenos contiguos a la ribera del mar, al principio de territorialidad, a la gestión de los títulos de ocupación del dominio público marítimo-terrestre y a la competencia sobre pesca en aguas exteriores. El propio art. 2.4 y 5 de la Ley del Parlamento de Galicia 4/2023 preceptúa que la ley es complementaria de la legislación sectorial que regula las actividades que se realicen sobre el litoral y que se aplica con pleno respeto de la legislación portuaria, de medio marino y de costas y, en todo caso, quedan fuera de su ámbito de aplicación los puertos del Estado.</w:t>
      </w:r>
    </w:p>
    <w:p w14:paraId="5E755D41" w14:textId="77777777" w:rsidR="009D7677" w:rsidRDefault="009D7677" w:rsidP="009D7677">
      <w:pPr>
        <w:pStyle w:val="TextoNormal"/>
      </w:pPr>
    </w:p>
    <w:p w14:paraId="53D30EE6" w14:textId="77777777" w:rsidR="009D7677" w:rsidRDefault="009D7677" w:rsidP="009D7677">
      <w:pPr>
        <w:pStyle w:val="TextoNormal"/>
      </w:pPr>
      <w:r>
        <w:t>Destaca, con reproducción del apartado IV de la exposición de motivos, que el objeto de la ley es la ordenación y gestión integrada del litoral de Galicia desde un enfoque ecosistémico, que garantice un desarrollo sostenible siguiendo los criterios de diversos instrumentos internacionales y europeos. Constituye una premisa avalada por la experiencia y el conocimiento científico que la escala autonómica es idónea para alcanzar dicho objetivo atendida la singularidad del litoral de Galicia.</w:t>
      </w:r>
    </w:p>
    <w:p w14:paraId="16A6109F" w14:textId="77777777" w:rsidR="009D7677" w:rsidRDefault="009D7677" w:rsidP="009D7677">
      <w:pPr>
        <w:pStyle w:val="TextoNormal"/>
      </w:pPr>
    </w:p>
    <w:p w14:paraId="1372C6E5" w14:textId="77777777" w:rsidR="009D7677" w:rsidRDefault="009D7677" w:rsidP="009D7677">
      <w:pPr>
        <w:pStyle w:val="TextoNormal"/>
      </w:pPr>
      <w:r>
        <w:t xml:space="preserve">Expone los títulos competenciales en los que, conforme a la doctrina constitucional, se sustenta la Ley y que se recogen en su exposición de motivos. Refiere que el Estatuto de Autonomía de Galicia asumió la competencia del art. 148.1.3 CE, incluyendo, además, la ordenación del litoral (art. 27.3 EAG), habiéndose pronunciado la STC 149/1991, FJ 1 A), en el sentido de que la competencia de las comunidades costeras para la ordenación del territorio lo es también para el litoral, en cuyo concepto se incluye al menos la ribera del mar y sus zonas de protección e influencia. Continúa con la cita de las SSTC 38/2002, FJ 6, y 162/2012, de 20 de septiembre, FJ 7, para indicar que el Tribunal Constitucional ha invocado el principio de territorialidad por el que se reconoce el territorio como elemento definidor de las competencias autonómicas, sin que el legislador estatal pueda, sin una </w:t>
      </w:r>
      <w:r>
        <w:lastRenderedPageBreak/>
        <w:t>expresa previsión constitucional o estatutaria, llevar a cabo una interpretación conceptual y abstracta del sistema de distribución de competencias con el objetivo de delimitar las competencias autonómicas. El Tribunal Constitucional al interpretar qué debe entenderse por territorio autonómico extiende los puertos y la zona marítimo-terrestre a los territorios municipales en que están enclavados, a diferencia del mar territorial que no forma parte del mismo, aunque excepcionalmente sobre él puedan llegar a ejercerse competencias autonómicas, bien por explícito reconocimiento estatutario, bien por la naturaleza de la competencia.</w:t>
      </w:r>
    </w:p>
    <w:p w14:paraId="33EFDB55" w14:textId="77777777" w:rsidR="009D7677" w:rsidRDefault="009D7677" w:rsidP="009D7677">
      <w:pPr>
        <w:pStyle w:val="TextoNormal"/>
      </w:pPr>
    </w:p>
    <w:p w14:paraId="2FE8777A" w14:textId="77777777" w:rsidR="009D7677" w:rsidRDefault="009D7677" w:rsidP="009D7677">
      <w:pPr>
        <w:pStyle w:val="TextoNormal"/>
      </w:pPr>
      <w:r>
        <w:t>Precisa que el punto de partida de la ordenación de la ley se ampara, con relación a los espacios del litoral, en el título de ordenación del territorio y del litoral (art. 27.3 EAG) y en otros títulos competenciales: competencia exclusiva sobre la pesca en las rías y demás aguas interiores, el marisqueo y la acuicultura (art. 27.15 EAG), sobre los puertos autonómicos (art. 27.9 EAG), desarrollo legislativo y ejecución de la legislación estatal en materia de ordenación del sector pesquero (art. 28.5 EAG) y puertos pesqueros (art. 28.6 EAG) o competencia de ejecución de la legislación estatal en materia de salvamento marítimo (art. 29.3 EAG) y vertidos industriales y contaminantes en las aguas territoriales del Estado correspondientes al litoral gallego (art. 29.4 EAG). A ello se debe añadir la competencia exclusiva en materia de “[n]ormas adicionales sobre protección del medio ambiente y del paisaje en los términos del artículo 149.1.23 [CE]” y las competencias sobre espacios naturales marinos cuando así viniera exigido por la continuidad y unidad del espacio natural protegido (STC 99/2013) y las facultades ejecutivas o de gestión en materia de medio ambiente (STC 102/1995, de 26 de junio).</w:t>
      </w:r>
    </w:p>
    <w:p w14:paraId="1AB7C09B" w14:textId="77777777" w:rsidR="009D7677" w:rsidRDefault="009D7677" w:rsidP="009D7677">
      <w:pPr>
        <w:pStyle w:val="TextoNormal"/>
      </w:pPr>
    </w:p>
    <w:p w14:paraId="1DF5C4D4" w14:textId="77777777" w:rsidR="009D7677" w:rsidRDefault="009D7677" w:rsidP="009D7677">
      <w:pPr>
        <w:pStyle w:val="TextoNormal"/>
      </w:pPr>
      <w:r>
        <w:t>Sostiene que en materia de urbanismo, cuya competencia también incide en la ordenación del litoral, es incuestionable la competencia exclusiva de la Comunidad Autónoma de Galicia, pero es evidente que en el espacio en que se ejerce la misma, pueden incidir competencias estatales, cuyo ejercicio puede justificar el establecimiento de mecanismos de coordinación y cooperación concretos (STC 36/1994, de 10 de febrero, FJ 5). Apunta, que la normativa básica del Estado debe dejar un espacio para el desarrollo normativo autonómico (STC 98/2004, de 25 de mayo, FJ 6). La condición de dominio público o demanial de algunos espacios, a los que alude el art. 132 CE, califica una categoría de bienes, pero no es criterio delimitador de competencias (STC 77/1984, de 3 de julio), porque las facultades dominicales pueden ser utilizadas legítimamente solo en atención a los fines públicos que justifican la existencia del dominio público, esto es, para asegurar la protección de la integridad del demanio, la preservación de sus características naturales y la libre utilización pública y gratuita, no para condicionar abusivamente la utilización de las competencias ajenas (STC 149/1991).</w:t>
      </w:r>
    </w:p>
    <w:p w14:paraId="4B90A39A" w14:textId="77777777" w:rsidR="009D7677" w:rsidRDefault="009D7677" w:rsidP="009D7677">
      <w:pPr>
        <w:pStyle w:val="TextoNormal"/>
      </w:pPr>
    </w:p>
    <w:p w14:paraId="649F1723" w14:textId="77777777" w:rsidR="009D7677" w:rsidRDefault="009D7677" w:rsidP="009D7677">
      <w:pPr>
        <w:pStyle w:val="TextoNormal"/>
      </w:pPr>
      <w:r>
        <w:t>B) Bajo la rúbrica definición del litoral y principio de territorialidad, glosa el contenido del art. 2 de la Ley del Parlamento de Galicia 4/2023 y destaca las limitaciones que en el ejercicio de las competencias de la Comunidad Autónoma de Galicia se establecen en el apartado tercero del art. 2 y de las que resulta el respeto a las competencias exclusivas o de normación básica que le corresponden al Estado, así como que la ordenación del litoral debe realizarse de acuerdo con los principios de lealtad institucional, colaboración, cooperación y coordinación (art. 4.1 de la Ley del Parlamento de Galicia 4/2023).</w:t>
      </w:r>
    </w:p>
    <w:p w14:paraId="41E33552" w14:textId="77777777" w:rsidR="009D7677" w:rsidRDefault="009D7677" w:rsidP="009D7677">
      <w:pPr>
        <w:pStyle w:val="TextoNormal"/>
      </w:pPr>
    </w:p>
    <w:p w14:paraId="07C9BC87" w14:textId="77777777" w:rsidR="009D7677" w:rsidRDefault="009D7677" w:rsidP="009D7677">
      <w:pPr>
        <w:pStyle w:val="TextoNormal"/>
      </w:pPr>
      <w:r>
        <w:lastRenderedPageBreak/>
        <w:t>En el apartado titulado gestión del litoral, considera que la gestión de los títulos de uso y ocupación del dominio público marítimo-terrestre —en que se incluyen las funciones ejecutivas de otorgamiento de las autorizaciones y concesiones previstas en la normativa de costas para la utilización y ocupación del demanio— se encuentra comprendida en la competencia asumida en los arts. 27.3 y 37.2 EAG sobre ordenación del territorio y del litoral, no correspondiéndole al Estado la competencia de gestión de los títulos de ocupación del dominio público marítimo-terrestre (dictamen núm. 227/2022, de 20 de julio, del Consello Consultivo de Galicia), ni por la titularidad de esta porción del dominio público, ni por la competencia estatal sobre protección del medio ambiente, sin que pueda retener dicha competencia en virtud de la cláusula residual del art. 149.3 CE. Es necesario el traspaso de medios y servicios por parte del Estado para que, en aras a la lealtad institucional, se evite que persista la situación anómala de que el Estado siga ejercitando transitoriamente funciones que no le corresponden.</w:t>
      </w:r>
    </w:p>
    <w:p w14:paraId="2C453ED9" w14:textId="77777777" w:rsidR="009D7677" w:rsidRDefault="009D7677" w:rsidP="009D7677">
      <w:pPr>
        <w:pStyle w:val="TextoNormal"/>
      </w:pPr>
    </w:p>
    <w:p w14:paraId="077EE619" w14:textId="77777777" w:rsidR="009D7677" w:rsidRDefault="009D7677" w:rsidP="009D7677">
      <w:pPr>
        <w:pStyle w:val="TextoNormal"/>
      </w:pPr>
      <w:r>
        <w:t>Rechaza el argumento del recurrente, que, con base en las SSTC 149/1991 y 18/2022, considera que Galicia no ha asumido la competencia, pues la comunidad autónoma tiene competencia propia en materia de ordenación del litoral y la regulación dictada con base a dicha competencia, aparece condicionada al traspaso efectivo de funciones y servicios con respecto al régimen general del dominio público marítimo-terrestre —regulación condicionada que se ha considerado constitucional en otros ámbitos (SSTC 128/2016, y 36/2020, de 25 de febrero)— sin que dichas normas de traspaso tengan capacidad delimitadora de competencias, capacidad que solo se predica de las normas que delimitan el bloque de constitucionalidad (SSTC 102/1985, de 4 de octubre; 59/1995, de 17 de marzo, y 47/1998, de 2 de marzo).</w:t>
      </w:r>
    </w:p>
    <w:p w14:paraId="0D13A427" w14:textId="77777777" w:rsidR="009D7677" w:rsidRDefault="009D7677" w:rsidP="009D7677">
      <w:pPr>
        <w:pStyle w:val="TextoNormal"/>
      </w:pPr>
    </w:p>
    <w:p w14:paraId="185A00CF" w14:textId="77777777" w:rsidR="009D7677" w:rsidRDefault="009D7677" w:rsidP="009D7677">
      <w:pPr>
        <w:pStyle w:val="TextoNormal"/>
      </w:pPr>
      <w:r>
        <w:t>Defiende la utilización de cláusulas de salvaguarda y la reproducción de normas estatales. En el primer caso por obedecer a razones de seguridad jurídica para precisar el marco competencial autonómico con respeto a las normas integrantes del bloque de constitucionalidad. También sostiene la corrección constitucional de la reproducción de normas estatales, pues al tratarse de competencias compartidas con el Estado se pretende facilitar la comprensión de la regulación, para dotarla de mayor certeza y seguridad jurídica conforme a las SSTC 5/2015, de 22 de enero, FJ 9, y 25/2017, de 16 de febrero, FJ 3.</w:t>
      </w:r>
    </w:p>
    <w:p w14:paraId="07955B70" w14:textId="77777777" w:rsidR="009D7677" w:rsidRDefault="009D7677" w:rsidP="009D7677">
      <w:pPr>
        <w:pStyle w:val="TextoNormal"/>
      </w:pPr>
    </w:p>
    <w:p w14:paraId="54A70ACB" w14:textId="77777777" w:rsidR="009D7677" w:rsidRDefault="009D7677" w:rsidP="009D7677">
      <w:pPr>
        <w:pStyle w:val="TextoNormal"/>
      </w:pPr>
      <w:r>
        <w:t>A continuación, examina de modo individualizado los preceptos impugnados siguiendo la agrupación de los mismos efectuada en el escrito de impugnación. Vamos a distinguir por tanto nuevamente cinco grupos, siguiendo la estructura del recurso de inconstitucionalidad: C) Referido a la competencia exclusiva del Estado para regular el dominio público marítimo-terrestre; D) Competencia autonómica sobre el mar territorial; E) La gestión de los títulos de ocupación del dominio público marítimo-terrestre; F) La competencia exclusiva sobre pesca en aguas exteriores (art. 149.1.19 CE); G) Y otros motivos específicos.</w:t>
      </w:r>
    </w:p>
    <w:p w14:paraId="28907569" w14:textId="77777777" w:rsidR="009D7677" w:rsidRDefault="009D7677" w:rsidP="009D7677">
      <w:pPr>
        <w:pStyle w:val="TextoNormal"/>
      </w:pPr>
    </w:p>
    <w:p w14:paraId="5D5F4D77" w14:textId="77777777" w:rsidR="009D7677" w:rsidRDefault="009D7677" w:rsidP="009D7677">
      <w:pPr>
        <w:pStyle w:val="TextoNormal"/>
      </w:pPr>
      <w:r>
        <w:t>C) Preceptos impugnados relacionados con la competencia exclusiva del Estado para regular el régimen jurídico del dominio público marítimo-terrestre.</w:t>
      </w:r>
    </w:p>
    <w:p w14:paraId="24766E36" w14:textId="77777777" w:rsidR="009D7677" w:rsidRDefault="009D7677" w:rsidP="009D7677">
      <w:pPr>
        <w:pStyle w:val="TextoNormal"/>
      </w:pPr>
    </w:p>
    <w:p w14:paraId="639CFAC8" w14:textId="77777777" w:rsidR="009D7677" w:rsidRDefault="009D7677" w:rsidP="009D7677">
      <w:pPr>
        <w:pStyle w:val="TextoNormal"/>
      </w:pPr>
      <w:r>
        <w:t xml:space="preserve">a) En relación con el objeto de la ley [art. 1.2 d) y g)] destaca que el otorgamiento y gestión de títulos habilitantes, que es uno de los objetos de la ley, forma parte, como se ha expuesto, de la competencia propia y exclusiva de la comunidad autónoma. Indica que el concepto de litoral se fundamenta en la doctrina constitucional y las disposiciones sobre el </w:t>
      </w:r>
      <w:r>
        <w:lastRenderedPageBreak/>
        <w:t>mar territorial se entienden referidas exclusivamente para el ejercicio de competencias autonómicas y se ejercitan con respeto a las competencias estatales. Añade que la regulación y las acciones de conservación, ampliación y renovación del patrimonio público litoral, no contraviene el régimen jurídico del dominio público marítimo-terrestre, ni la competencia exclusiva del Estado, pues persigue la puesta en valor de ese patrimonio debiendo prevalecer la normativa del patrimonio cultural como reconoce la normativa de costas (art. 9.1 y disposición adicional undécima LC). Destaca que la regulación de título VI, que incluye medidas para acrecentar el patrimonio público litoral, no ha sido impugnada y su contenido es similar al de otras comunidades autónomas.</w:t>
      </w:r>
    </w:p>
    <w:p w14:paraId="794A042A" w14:textId="77777777" w:rsidR="009D7677" w:rsidRDefault="009D7677" w:rsidP="009D7677">
      <w:pPr>
        <w:pStyle w:val="TextoNormal"/>
      </w:pPr>
    </w:p>
    <w:p w14:paraId="54EA356E" w14:textId="77777777" w:rsidR="009D7677" w:rsidRDefault="009D7677" w:rsidP="009D7677">
      <w:pPr>
        <w:pStyle w:val="TextoNormal"/>
      </w:pPr>
      <w:r>
        <w:t>b) En relación con el ámbito de aplicación (art. 2, apartados 1 y 2), referido al concepto y extensión del litoral, justifica su constitucionalidad en el apartado 3 del art. 2 de la Ley del Parlamento de Galicia 4/2023, que contiene una cláusula de salvaguarda de las competencias estatales, coincidente con el redactado en el acuerdo de la Subcomisión de seguimiento normativo, prevención y solución de conflictos de la Comisión Bilateral Generalitat-Estado, en relación con la Ley del Parlamento de Cataluña 8/2020, de 30 de julio, de protección y ordenación del litoral (“BOE” núm. 125, de 26 de mayo de 2021) y conforme con la doctrina constitucional ya citada sobre el ejercicio de competencias autonómicas sobre el mar territorial. Añade que la definición de aguas costeras y aguas de transición que recoge la disposición adicional segunda de la Ley del Parlamento de Galicia 4/2023, se remite a la efectuada en la legislación de aguas.</w:t>
      </w:r>
    </w:p>
    <w:p w14:paraId="72F3FFEC" w14:textId="77777777" w:rsidR="009D7677" w:rsidRDefault="009D7677" w:rsidP="009D7677">
      <w:pPr>
        <w:pStyle w:val="TextoNormal"/>
      </w:pPr>
    </w:p>
    <w:p w14:paraId="7D60E24E" w14:textId="77777777" w:rsidR="009D7677" w:rsidRDefault="009D7677" w:rsidP="009D7677">
      <w:pPr>
        <w:pStyle w:val="TextoNormal"/>
      </w:pPr>
      <w:r>
        <w:t>c) Con referencia a los artículos relativos a la ordenación del litoral y las playas [arts. 23.2 d), g) e i); 24.3 c), e) y f) y 27.3 c) de la Ley del Parlamento de Galicia 4/2023] discrepa del vicio de inconstitucionalidad y para ello expone la finalidad que pretenden las “determinaciones mínimas en abstracto” contenidas en esos instrumentos de ordenación (directrices, plan de ordenación y planes especiales) y que deben ser entendidas “en el marco de la legislación básica del Estado y con respeto de las facultades que derivan de su titularidad sobre los bienes que integran el dominio público marítimo terrestre” (art. 21.3 de la Ley del Parlamento de Galicia 4/2023) y dentro de las competencias de la Comunidad Autónoma de Galicia. Añade que la determinación cuestionada de los planes especiales no colisiona con el art. 33 LC, al tratarse de actuaciones y medidas de impulso para ordenar estos servicios y sin capacidad alguna para alterar físicamente el dominio público marítimo-terrestre.</w:t>
      </w:r>
    </w:p>
    <w:p w14:paraId="315616C7" w14:textId="77777777" w:rsidR="009D7677" w:rsidRDefault="009D7677" w:rsidP="009D7677">
      <w:pPr>
        <w:pStyle w:val="TextoNormal"/>
      </w:pPr>
    </w:p>
    <w:p w14:paraId="782403CE" w14:textId="77777777" w:rsidR="009D7677" w:rsidRDefault="009D7677" w:rsidP="009D7677">
      <w:pPr>
        <w:pStyle w:val="TextoNormal"/>
      </w:pPr>
      <w:r>
        <w:t xml:space="preserve">d) A continuación se refiere al régimen de usos de los espacios del litoral gallego [arts. 34.2 a) y b); 34.3; 35.2 a), b) y c); 36.2 a), b) y c); 40.2 y 3; 41.2 a), b), c) y d); 46.3 a) y b); 48.3; 49.1 en el inciso “salvo que estén sujetos a declaración responsable de acuerdo con lo dispuesto en el apartado siguiente” y 2, 3 y 4; y, disposición final primera de la Ley del Parlamento de Galicia 4/2023. Entiende que la regulación de los usos permitidos en el área de protección ambiental: [art. 34.2 a) y b) y 34.3], compatibles [art. 35.2 a), b) y c)] y prohibidos [art. 36.2 a), b) y c)]; en el área de mejora paisajística [permitidos: art. 40.2 y 3; y compatibles: 41.2 a), b), c) y d)]; y en el área de reordenación [art. 46.3 a) y b)] es constitucional, al ser respetuosa con la normativa básica estatal, cuyos arts. 31.1 y 25.2 LC se reproducen por razones de seguridad jurídica y se complementan con la regulación no básica o con normativa en materia de competencia exclusiva autonómica, sin incidir en la naturaleza de los espacios o bienes que zonifica, ni alterar su régimen jurídico, como indica la exposición de motivos. Recuerda que conforme a la STC 149/1991, el otorgamiento </w:t>
      </w:r>
      <w:r>
        <w:lastRenderedPageBreak/>
        <w:t>de títulos de concesión o autorización del dominio público por la Administración General del Estado no puede realizarse contra las previsiones ordenadoras y si bien puede denegarse cuando pueda ser perjudicial para la integridad o utilización del dominio, no para condicionar la competencia autonómica.</w:t>
      </w:r>
    </w:p>
    <w:p w14:paraId="259B43B0" w14:textId="77777777" w:rsidR="009D7677" w:rsidRDefault="009D7677" w:rsidP="009D7677">
      <w:pPr>
        <w:pStyle w:val="TextoNormal"/>
      </w:pPr>
    </w:p>
    <w:p w14:paraId="36208B7D" w14:textId="77777777" w:rsidR="009D7677" w:rsidRDefault="009D7677" w:rsidP="009D7677">
      <w:pPr>
        <w:pStyle w:val="TextoNormal"/>
      </w:pPr>
      <w:r>
        <w:t>Alude a que el art. 48.3 de la Ley del Parlamento de Galicia 4/2023 posibilita la ocupación del dominio público marítimo-terrestre de acuerdo con lo dispuesto en los arts. 32 LC y 61 RGC. Es por ello, que desarrolla la normativa de costas respetando las competencias autonómicas sobre la ordenación del territorio y las facultades de la administración general del Estado de protección de la integridad del dominio público marítimo-terrestre, debiendo interpretarse en conexión con el apartado 4 del mismo art. 48 de la Ley del Parlamento de Galicia 4/2023.</w:t>
      </w:r>
    </w:p>
    <w:p w14:paraId="5E476A89" w14:textId="77777777" w:rsidR="009D7677" w:rsidRDefault="009D7677" w:rsidP="009D7677">
      <w:pPr>
        <w:pStyle w:val="TextoNormal"/>
      </w:pPr>
    </w:p>
    <w:p w14:paraId="7B08C856" w14:textId="77777777" w:rsidR="009D7677" w:rsidRDefault="009D7677" w:rsidP="009D7677">
      <w:pPr>
        <w:pStyle w:val="TextoNormal"/>
      </w:pPr>
      <w:r>
        <w:t>Sostiene que la inconstitucionalidad del art. 49.1 de la Ley del Parlamento de Galicia 4/2023 en el inciso “salvo que estén sujetos a declaración responsable de acuerdo con lo dispuesto en el apartado siguiente” y del art. 49.2, 3 y 4, se sustenta en la sustitución de la autorización autonómica por la declaración responsable y por presumir legalmente que determinadas obras, instalaciones y actividades pueden ser realizadas en la zona de servidumbre de protección del dominio público marítimo-terrestre. Sin embargo, dicho vicio de inconstitucionalidad no puede ser aceptado porque la declaración responsable, como la autorización administrativa, es un mecanismo para permitir obras en dicha zona, que ha sido concretado en el Decreto 97/2019, de la Consejería de Medio Ambiente, Territorio y Vivienda de la Xunta de Galicia, de 18 de julio, por el que se regulan las competencias de la Comunidad Autónoma de Galicia en la zona de servidumbre de protección del dominio público marítimo-terrestre. Añade, que las obras, instalaciones y actividades pueden ser realizadas en esta zona de servidumbre de protección suponen una concreción de la competencia autonómica de ordenación del territorio, y ello, sin perjuicio y con respeto a lo dispuesto en la normativa de costas y a las facultades de la Administración General del Estado de proteger la integridad del dominio público.</w:t>
      </w:r>
    </w:p>
    <w:p w14:paraId="19BE7AFD" w14:textId="77777777" w:rsidR="009D7677" w:rsidRDefault="009D7677" w:rsidP="009D7677">
      <w:pPr>
        <w:pStyle w:val="TextoNormal"/>
      </w:pPr>
    </w:p>
    <w:p w14:paraId="55031060" w14:textId="77777777" w:rsidR="009D7677" w:rsidRDefault="009D7677" w:rsidP="009D7677">
      <w:pPr>
        <w:pStyle w:val="TextoNormal"/>
      </w:pPr>
      <w:r>
        <w:t xml:space="preserve">Cierra este subapartado refiriéndose a la disposición final primera, por la que se modifica el art. 55 de la Ley del Parlamento de Galicia 6/2017, relativo a las actividades, instalaciones y construcciones permitidas en la zona de servicio portuario y descarta la inconstitucionalidad de los nuevos usos. Sostiene que la Ley del Parlamento de Galicia 6/2017, establece la organización portuaria de Galicia y se limita a regular el régimen jurídico de los puertos e instalaciones portuarias competencia de la comunidad autónoma. Destaca que la modificación se ha limitado a añadir algunos usos portuarios [en los apartados c) </w:t>
      </w:r>
      <w:r w:rsidRPr="009D7677">
        <w:rPr>
          <w:i/>
        </w:rPr>
        <w:t>in fine</w:t>
      </w:r>
      <w:r>
        <w:t>, y e)] y los vinculados a la interacción puerto-ciudad [apartado g)], explicitando las fórmulas de colaboración interadministrativas de los espacios portuarios vinculados a la interacción puerto-ciudad. Recuerda los títulos competenciales que amparan dicha regulación (arts. 27.3, 28.6, 27.15, 28.5 EAG), sin que dicha regulación contradiga o excluya la aplicación de la legislación estatal aplicable.</w:t>
      </w:r>
    </w:p>
    <w:p w14:paraId="7312644B" w14:textId="77777777" w:rsidR="009D7677" w:rsidRDefault="009D7677" w:rsidP="009D7677">
      <w:pPr>
        <w:pStyle w:val="TextoNormal"/>
      </w:pPr>
    </w:p>
    <w:p w14:paraId="70AD6305" w14:textId="77777777" w:rsidR="009D7677" w:rsidRDefault="009D7677" w:rsidP="009D7677">
      <w:pPr>
        <w:pStyle w:val="TextoNormal"/>
      </w:pPr>
      <w:r>
        <w:t xml:space="preserve">e) Finalmente cierra este primer grupo de preceptos rechazando que las actuaciones estratégicas para el desarrollo sostenible del litoral (arts. 57.3, 58.3, segundo párrafo inciso final “[h]asta la celebración del convenio, corresponde a la persona titular del bien cumplir las obligaciones derivadas de la legislación de patrimonio cultural” y 60.3), sean inconstitucionales. Indica que se consideran actuaciones estratégicas las que, en ejecución de una </w:t>
      </w:r>
      <w:r>
        <w:lastRenderedPageBreak/>
        <w:t>competencia autonómica, tienen lugar en el litoral y son esenciales para su desarrollo sostenible. Concretamente sobre los establecimientos turísticos se ejerce la competencia exclusiva sobre la promoción y ordenación del turismo dentro de la comunidad. Sostiene que se posibilita, no se impone, que ciertas edificaciones previamente existentes formen parte de la red de establecimientos turísticos y siempre que las mismas sean conformes a la Ley de costas. Se declara el patrimonio cultural del litoral actuación estratégica en relación con la competencia exclusiva sobre el patrimonio histórico, artístico, arquitectónico y arqueológico de interés de Galicia. La normativa de costas reconoce que la normativa de patrimonio cultural debe prevalecer. Por último, las dotaciones públicas esenciales para el abastecimiento de poblaciones y el saneamiento y depuración de aguas residuales se declaran estratégicas en relación con la competencia para la ejecución de la legislación estatal en materia de vertidos de aguas residuales en las aguas territoriales del Estado correspondientes al litoral gallego, para casos estrictamente necesarios y con respeto a la normativa de costas.</w:t>
      </w:r>
    </w:p>
    <w:p w14:paraId="501C741E" w14:textId="77777777" w:rsidR="009D7677" w:rsidRDefault="009D7677" w:rsidP="009D7677">
      <w:pPr>
        <w:pStyle w:val="TextoNormal"/>
      </w:pPr>
    </w:p>
    <w:p w14:paraId="4D674811" w14:textId="77777777" w:rsidR="009D7677" w:rsidRDefault="009D7677" w:rsidP="009D7677">
      <w:pPr>
        <w:pStyle w:val="TextoNormal"/>
      </w:pPr>
      <w:r>
        <w:t>D) Preceptos impugnados relacionados con las competencias autonómicas sobre el mar territorial [arts. 11.5 a), 21.1 d) y e) y 23.2 m), 12.5, 25.1 c) y 64.3] se fundamentan en las competencias autonómicas sobre el mar territorial (arts. 27.3, 27.15, 27.9, 28.5, 28.6, 29.3 y 29.4 EAG). Sostiene la constitucionalidad del art. 11.5 a) de la Ley del Parlamento de Galicia 4/2023 en las competencias exclusivas de la Comunidad Autónoma de Galicia sin perjuicio del respeto a la legislación básica estatal en materia de protección del medio ambiente y pesca marítima. El control de la calidad del medio marino atribuido al Instituto Tecnológico para el Control del Medio Marino, lo es en el marco de las competencias autonómicas. El informe no es vinculante para el Estado, siendo un posible mecanismo de colaboración entre el Estado y la comunidad autónoma. La Ley 41/2010 reconoce la competencia autonómica para dictar normas adicionales de protección. Asimismo, las atribuciones previstas en los arts. 21.1 d) y e), 23.2 m) y 25.1 c) de la Ley del Parlamento de Galicia 4/2023 lo son en el marco de las competencias autonómicas y con respeto a la biodiversidad y pesca, el marisqueo y la acuicultura.</w:t>
      </w:r>
    </w:p>
    <w:p w14:paraId="7A619A95" w14:textId="77777777" w:rsidR="009D7677" w:rsidRDefault="009D7677" w:rsidP="009D7677">
      <w:pPr>
        <w:pStyle w:val="TextoNormal"/>
      </w:pPr>
    </w:p>
    <w:p w14:paraId="057024DF" w14:textId="77777777" w:rsidR="009D7677" w:rsidRDefault="009D7677" w:rsidP="009D7677">
      <w:pPr>
        <w:pStyle w:val="TextoNormal"/>
      </w:pPr>
      <w:r>
        <w:t>E) Preceptos de la Ley del Parlamento de Galicia 4/2023 impugnados en relación con la gestión de los títulos de ocupación del dominio público marítimo-terrestre [arts. 2.1 y 2; 3 a); 11.4 b) y 5 b); 35.3; 41.3; 46.2; 48.1, 4 y 5; 52; 53.1 inciso “todos los títulos de intervención requeridos por la normativa vigente”, 3 y 4; 62.5 inciso “cuando el otorgamiento del título de ocupación corresponda a la Administración General de la Comunidad Autónoma de Galicia conforme a lo previsto en el art. 48” y disposición final quinta en el inciso “salvo lo establecido en el artículo 48.1 con respecto al ejercicio de las competencias autonómicas para el otorgamiento de las autorizaciones y concesiones del dominio público marítimo-terrestre, cuya entrada en vigor queda supeditada a la publicación del real decreto de traspasos de funciones y servicios de la Administración General del Estado a la Comunidad Autónoma de Galicia”].</w:t>
      </w:r>
    </w:p>
    <w:p w14:paraId="3EE9379A" w14:textId="77777777" w:rsidR="009D7677" w:rsidRDefault="009D7677" w:rsidP="009D7677">
      <w:pPr>
        <w:pStyle w:val="TextoNormal"/>
      </w:pPr>
    </w:p>
    <w:p w14:paraId="13E865D9" w14:textId="77777777" w:rsidR="009D7677" w:rsidRDefault="009D7677" w:rsidP="009D7677">
      <w:pPr>
        <w:pStyle w:val="TextoNormal"/>
      </w:pPr>
      <w:r>
        <w:t xml:space="preserve">La gestión de los títulos de ocupación forma parte de la competencia exclusiva de Galicia de ordenación del litoral (arts. 27.3 y 37.2 EAG) y comprende el otorgamiento de autorizaciones y concesiones previstas en la normativa de costas. Queda supeditada al traspaso efectivo de servicios y funciones, no precisa reforma estatutaria y su contenido respeta el régimen general establecido en la normativa de costas (art. 48.1 de la Ley del Parlamento de Galicia 4/2023). Los títulos de intervención en relación con los usos compatibles en el </w:t>
      </w:r>
      <w:r>
        <w:lastRenderedPageBreak/>
        <w:t>área de protección medioambiental (art. 35.3, siempre de la Ley del Parlamento de Galicia 4/2023), de mejora ambiental y paisajística (art. 41) y en el área de reordenación (art. 46) se justifican “en la competencia propia y exclusiva autonómica” y la reproducción de la norma estatal se realiza por seguridad jurídica. Al procedimiento simplificado del art. 53 de la Ley del Parlamento de Galicia 4/2023, le es aplicable el régimen de la Ley del Parlamento de Galicia 9/2021, de 25 de febrero, de simplificación administrativa y de apoyo a la reactivación económica de Galicia.</w:t>
      </w:r>
    </w:p>
    <w:p w14:paraId="438D22F4" w14:textId="77777777" w:rsidR="009D7677" w:rsidRDefault="009D7677" w:rsidP="009D7677">
      <w:pPr>
        <w:pStyle w:val="TextoNormal"/>
      </w:pPr>
    </w:p>
    <w:p w14:paraId="51DA339F" w14:textId="77777777" w:rsidR="009D7677" w:rsidRDefault="009D7677" w:rsidP="009D7677">
      <w:pPr>
        <w:pStyle w:val="TextoNormal"/>
      </w:pPr>
      <w:r>
        <w:t>Añade que el art. 48 de la Ley del Parlamento de Galicia 4/2023 prevé que cuando el otorgamiento de los títulos recaiga en una misma administración, debe seguirse un único procedimiento conforme al art. 52 de la Ley del Parlamento de Galicia 4/2023. Este precepto prevé la solicitud de informes de resiliencia, de impacto económico-social y de compatibilidad, no se oponen a la normativa de costas, sino que la complementan, en el marco de las competencias autonómicas para dictar normas adicionales de protección del medio ambiente. Refiere que la emisión de informes previos en ámbitos de competencia propios es una de las técnicas o fórmulas de cooperación en supuestos de coexistencia e integración de competencias estatales y autonómicas (STC 204/2022), si bien tales informes autonómicos no pueden ser vinculantes (SSTC 46/2007, de 1 de marzo; 116/2017, FJ 7, y 31/2010).</w:t>
      </w:r>
    </w:p>
    <w:p w14:paraId="53EC94CB" w14:textId="77777777" w:rsidR="009D7677" w:rsidRDefault="009D7677" w:rsidP="009D7677">
      <w:pPr>
        <w:pStyle w:val="TextoNormal"/>
      </w:pPr>
    </w:p>
    <w:p w14:paraId="5588D383" w14:textId="77777777" w:rsidR="009D7677" w:rsidRDefault="009D7677" w:rsidP="009D7677">
      <w:pPr>
        <w:pStyle w:val="TextoNormal"/>
      </w:pPr>
      <w:r>
        <w:t>F) Preceptos relativos a la competencia estatal exclusiva sobre pesca en aguas exteriores (art. 149.1.19 CE). Nuevamente en relación con los arts. 22.1 y 2 a), b), c) y d), 25.1 a) y b), el inciso impugnado del art. 59.2 y la disposición final primera de la Ley del Parlamento de Galicia 4/2023 relaciona las competencias autonómicas que los sustentan (arts. 27.3, 27.15 y 28.5 EAG) y que sustentaron la Ley del Parlamento de Galicia 11/2008, de 3 de diciembre, de pesca de Galicia, en cuyo art. 3 disciplina su ámbito territorial de aplicación en función de las materias que regula.</w:t>
      </w:r>
    </w:p>
    <w:p w14:paraId="61A2C4A8" w14:textId="77777777" w:rsidR="009D7677" w:rsidRDefault="009D7677" w:rsidP="009D7677">
      <w:pPr>
        <w:pStyle w:val="TextoNormal"/>
      </w:pPr>
    </w:p>
    <w:p w14:paraId="0D94BE92" w14:textId="77777777" w:rsidR="009D7677" w:rsidRDefault="009D7677" w:rsidP="009D7677">
      <w:pPr>
        <w:pStyle w:val="TextoNormal"/>
      </w:pPr>
      <w:r>
        <w:t>Refiere que el art. 22 de la Ley del Parlamento de Galicia 4/2023 no invade el art. 149.1.19 CE, máxime cuando el art. 21.1 de la ley controvertida explicita que sus previsiones deben entenderse en el marco de la legislación básica del Estado y con respecto a las facultades que derivan de su titularidad sobre los bienes del dominio público marítimo-terrestre. El art. 25.1 a) y b) de la Ley también se enmarca en las indicadas competencias, sin perjuicio de las competencias estatales. Sostiene que el inciso impugnado del art. 59.2 de la ley gallega se incardina en la competencia de desarrollo legislativo y ejecución de la legislación estatal en materia de ordenación del sector pesquero (art. 28.5 EAG) y garantiza el acceso y permanencia de las embarcaciones gallegas a los caladeros de regulación autonómica. Sobre la disposición final primera que modifica el art. 55 de la Ley del Parlamento de Galicia 6/2017, se remite a las consideraciones ya realizadas.</w:t>
      </w:r>
    </w:p>
    <w:p w14:paraId="55B4803E" w14:textId="77777777" w:rsidR="009D7677" w:rsidRDefault="009D7677" w:rsidP="009D7677">
      <w:pPr>
        <w:pStyle w:val="TextoNormal"/>
      </w:pPr>
    </w:p>
    <w:p w14:paraId="1D5698F0" w14:textId="77777777" w:rsidR="009D7677" w:rsidRDefault="009D7677" w:rsidP="009D7677">
      <w:pPr>
        <w:pStyle w:val="TextoNormal"/>
      </w:pPr>
      <w:r>
        <w:t>G) En relación con los preceptos impugnados por otros motivos [arts. 11 apartado primero inciso “y la lucha contra la contaminación marina”; 12.2; 25.1 d); 29.1; 46.5, inciso “los bienes cedidos serán destinados a fines de uso o servicio público” y 55.2].</w:t>
      </w:r>
    </w:p>
    <w:p w14:paraId="166A6CBB" w14:textId="77777777" w:rsidR="009D7677" w:rsidRDefault="009D7677" w:rsidP="009D7677">
      <w:pPr>
        <w:pStyle w:val="TextoNormal"/>
      </w:pPr>
    </w:p>
    <w:p w14:paraId="05003FAB" w14:textId="77777777" w:rsidR="009D7677" w:rsidRDefault="009D7677" w:rsidP="009D7677">
      <w:pPr>
        <w:pStyle w:val="TextoNormal"/>
      </w:pPr>
      <w:r>
        <w:t>Comienza por referirse a la impugnación del inciso “y la lucha contra la contaminación marina”, en cuanto se refiera a vertidos mar-mar del art.11.1 de la Ley del Parlamento de Galicia 4/2023 e indica que en la lucha contra la contaminación marina, en materia de vertidos al mar, en las aguas territoriales del litoral gallego, la Comunidad Autónoma de Ga</w:t>
      </w:r>
      <w:r>
        <w:lastRenderedPageBreak/>
        <w:t>licia tiene competencias significativas, pues le corresponde la ejecución de la legislación del Estado, la competencia exclusiva en aprovechamientos hidráulicos cuando las aguas discurran íntegramente dentro del territorio y dictar normas adicionales de protección del medio ambiente y del paisaje. En el ejercicio de dichas competencias señala que se ha aprobado la Ley del Parlamento de Galicia 8/1993, de 23 de junio, reguladora de la administración hidráulica de Galicia, la Ley del Parlamento de Galicia 8/2001, de 2 de agosto, de protección de la calidad de las aguas de las rías de Galicia y de ordenación del servicio público de depuración de aguas residuales urbanas y la Ley del Parlamento de Galicia 9/2010, de 4 de noviembre, de aguas de Galicia.</w:t>
      </w:r>
    </w:p>
    <w:p w14:paraId="44D1605C" w14:textId="77777777" w:rsidR="009D7677" w:rsidRDefault="009D7677" w:rsidP="009D7677">
      <w:pPr>
        <w:pStyle w:val="TextoNormal"/>
      </w:pPr>
    </w:p>
    <w:p w14:paraId="27DD07AE" w14:textId="77777777" w:rsidR="009D7677" w:rsidRDefault="009D7677" w:rsidP="009D7677">
      <w:pPr>
        <w:pStyle w:val="TextoNormal"/>
      </w:pPr>
      <w:r>
        <w:t>Aborda la impugnación de los arts. 12.2 y 55.2 de la Ley del Parlamento de Galicia 4/2023 relativos a los establecimientos y usos de la cadena mar-industria alimentaria. Indica que se sustentan en la competencia exclusiva en materia de pesca en las rías y demás aguas interiores y en la competencia de desarrollo legislativo y de ejecución de la legislación del Estado en materia de ordenación del sector pesquero, a la que luego añade la competencia de ordenación del territorio. Advierte que se atribuye a Puertos de Galicia una actuación de impulso y por otra parte, la regulación no es contraria a la Ley de costas, pues los arts. 49.4, 25.1 y 25.2 LC permiten usos vinculados a los establecimientos de la cadena mar-industria alimentaria, siempre que no perjudique el dominio público marítimo-terrestre, ni la actividad portuaria (art. 49.4 LC), y, en relación con los bienes de la zona de servidumbre de protección, no aparecen incluidos entre los usos o actividades prohibidas (art. 25.1 LC), no siendo contrario al art. 25.2 LC, que precisa que “con carácter ordinario” solo se permitirán ciertas obras, instalaciones y servicios.</w:t>
      </w:r>
    </w:p>
    <w:p w14:paraId="718F6DFB" w14:textId="77777777" w:rsidR="009D7677" w:rsidRDefault="009D7677" w:rsidP="009D7677">
      <w:pPr>
        <w:pStyle w:val="TextoNormal"/>
      </w:pPr>
    </w:p>
    <w:p w14:paraId="118C8CB7" w14:textId="77777777" w:rsidR="009D7677" w:rsidRDefault="009D7677" w:rsidP="009D7677">
      <w:pPr>
        <w:pStyle w:val="TextoNormal"/>
      </w:pPr>
      <w:r>
        <w:t>Tampoco comparte la impugnación del art. 25.1 d) de la Ley del Parlamento de Galicia 4/2023, pues es competencia exclusiva el transporte marítimo siempre y cuando se lleve a cabo exclusivamente entre puertos o puntos de la comunidad autónoma, sin conexión con otros puertos o puntos de otros ámbitos territoriales, de conformidad con el art. 2 c) y 6 de la Ley Orgánica 16/1995, de 27 de diciembre, de transferencia de competencias a la Comunidad Autónoma Gallega. En el ejercicio de dicha competencia se aprobó la Ley del Parlamento de Galicia 2/2008, de 6 de mayo, por la que se desarrolla la libre prestación de servicios de transporte marítimo de personas en aguas interiores de Galicia.</w:t>
      </w:r>
    </w:p>
    <w:p w14:paraId="6D2E6B00" w14:textId="77777777" w:rsidR="009D7677" w:rsidRDefault="009D7677" w:rsidP="009D7677">
      <w:pPr>
        <w:pStyle w:val="TextoNormal"/>
      </w:pPr>
    </w:p>
    <w:p w14:paraId="255FDC96" w14:textId="0994E6C1" w:rsidR="009D7677" w:rsidRDefault="009D7677" w:rsidP="009D7677">
      <w:pPr>
        <w:pStyle w:val="TextoNormal"/>
      </w:pPr>
      <w:r>
        <w:t>Considera que el art. 29.1 de la Ley del Parlamento de Galicia 4/2023 no regula el uso del litoral sino los criterios de uso, por lo que es una declaración programática. Y el art. 46.5 de la Ley del Parlamento de Galicia 4/2023 en el inciso “los bienes cedidos serán destinados a fines de uso o servicio público”, no regula un aspecto de competencia estatal, en razón de la titularidad estatal del dominio público marítimo-terrestre, al que se refiere la cesión en conexión con el resto de los apartados impugnados del artículo por las razones expuestas a propósito del art. 46 de la Ley del Parlamento de Galicia 4/2023.</w:t>
      </w:r>
    </w:p>
    <w:p w14:paraId="33F79283" w14:textId="77777777" w:rsidR="009D7677" w:rsidRDefault="009D7677" w:rsidP="009D7677">
      <w:pPr>
        <w:pStyle w:val="TextoNormal"/>
      </w:pPr>
    </w:p>
    <w:p w14:paraId="0691F0DB" w14:textId="77777777" w:rsidR="009D7677" w:rsidRDefault="009D7677" w:rsidP="009D7677">
      <w:pPr>
        <w:pStyle w:val="TextoNormal"/>
      </w:pPr>
      <w:r w:rsidRPr="009D7677">
        <w:rPr>
          <w:rStyle w:val="NumeroAFNegritaCaracter"/>
        </w:rPr>
        <w:t>6</w:t>
      </w:r>
      <w:r>
        <w:t>. El 19 de diciembre de 2023, el letrado jefe del Gabinete de Asuntos Constitucionales, presentó sus alegaciones en representación de la Xunta de Galicia, solicitando la desestimación del recurso interpuesto.</w:t>
      </w:r>
    </w:p>
    <w:p w14:paraId="308009F2" w14:textId="77777777" w:rsidR="009D7677" w:rsidRDefault="009D7677" w:rsidP="009D7677">
      <w:pPr>
        <w:pStyle w:val="TextoNormal"/>
      </w:pPr>
    </w:p>
    <w:p w14:paraId="7E3C8C6F" w14:textId="77777777" w:rsidR="009D7677" w:rsidRDefault="009D7677" w:rsidP="009D7677">
      <w:pPr>
        <w:pStyle w:val="TextoNormal"/>
      </w:pPr>
      <w:r>
        <w:t>Las extensas alegaciones —349 páginas— siguen la estructura del escrito impugnatorio, por lo que se referenciarán atendiendo ese mismo orden.</w:t>
      </w:r>
    </w:p>
    <w:p w14:paraId="2143E271" w14:textId="77777777" w:rsidR="009D7677" w:rsidRDefault="009D7677" w:rsidP="009D7677">
      <w:pPr>
        <w:pStyle w:val="TextoNormal"/>
      </w:pPr>
    </w:p>
    <w:p w14:paraId="18B959A7" w14:textId="77777777" w:rsidR="009D7677" w:rsidRDefault="009D7677" w:rsidP="009D7677">
      <w:pPr>
        <w:pStyle w:val="TextoNormal"/>
      </w:pPr>
      <w:r>
        <w:lastRenderedPageBreak/>
        <w:t>A) En el primer apartado, además de justificar la extensión del escrito —por existir setenta y dos impugnaciones en treinta y un artículos— y explicitar la estructura del mismo, refiere que no existió comisión bilateral de cooperación y que el Gobierno ha ido más allá de lo amparado por el Consejo de Estado. Destaca que la carga argumental corresponde al Estado y se queja de una constante falta de carga argumentativa del recurso y de la mera invocación abusiva y reiterada del art. 132.2 CE para sustentar la inconstitucionalidad de los preceptos. Subraya que consultado al Consejo Consultivo de Galicia en julio de 2022, sobre si la competencia sobre ordenación del litoral comprende la gestión de títulos de ocupación y uso del dominio público marítimo-terrestre, este, en el dictamen de 20 de julio de 2022 informó que dicha gestión es una función ejecutiva prevista en el art. 27.3 EAG, sobre la que la comunidad autónoma puede dictar normas legales y reglamentarias, que disciplinen las cuestiones relacionadas con el ejercicio de tales funciones ejecutivas. Señala que, impulsada la primera regulación legal del litoral de Galicia, el anteproyecto fue sometido a un excepcional proceso de participación pública y finalmente fue aprobada por el Parlamento sin votos en contra.</w:t>
      </w:r>
    </w:p>
    <w:p w14:paraId="3D2AFBBD" w14:textId="77777777" w:rsidR="009D7677" w:rsidRDefault="009D7677" w:rsidP="009D7677">
      <w:pPr>
        <w:pStyle w:val="TextoNormal"/>
      </w:pPr>
    </w:p>
    <w:p w14:paraId="45010ED0" w14:textId="77777777" w:rsidR="009D7677" w:rsidRDefault="009D7677" w:rsidP="009D7677">
      <w:pPr>
        <w:pStyle w:val="TextoNormal"/>
      </w:pPr>
      <w:r>
        <w:t>Con referencia a la exposición de motivos de la Ley del Parlamento de Galicia 4/2023 subraya la importancia del litoral en general y particularmente del litoral gallego atendida su singularidad. El litoral es mucho más que la zona de dominio público marítimo-terrestre, es un espacio multisectorial y multicompetencial, cuya gestión integrada —en línea con el “Protocolo relativo a la gestión integrada de las zonas costeras del Mediterráneo” de 21 de enero de 2008 (Protocolo de 2008), la Recomendación 2002/413/CE, del Parlamento Europeo y del Consejo, de 30 de mayo de 2002, sobre la aplicación de la gestión integrada de las zonas costeras en Europa (Recomendación 2002/413/CE); la Directiva 2008/56/CE del Parlamento Europeo y del Consejo, de 17 de junio de 2008, por la que se establece un marco de acción comunitaria para la política del medio marino (Directiva marco sobre la estrategia marina); y la Directiva 2014/89/UE del Parlamento Europeo y del Consejo, de 23 de julio de 2014, por la que se establece un marco para la ordenación del espacio marítimo— es el objeto de la ley (art. 1 de la Ley del Parlamento de Galicia 4/2023) y sobre el que se ejercen competencias autonómicas, con respeto a las normas estatales (como resulta de la utilización de cláusulas de salvaguarda).</w:t>
      </w:r>
    </w:p>
    <w:p w14:paraId="6CD66F7F" w14:textId="77777777" w:rsidR="009D7677" w:rsidRDefault="009D7677" w:rsidP="009D7677">
      <w:pPr>
        <w:pStyle w:val="TextoNormal"/>
      </w:pPr>
    </w:p>
    <w:p w14:paraId="106E4653" w14:textId="77777777" w:rsidR="009D7677" w:rsidRDefault="009D7677" w:rsidP="009D7677">
      <w:pPr>
        <w:pStyle w:val="TextoNormal"/>
      </w:pPr>
      <w:r>
        <w:t>Considera que el Estado intenta atribuirse competencias por ser titular del dominio público marítimo-terrestre —pese a que el art. 132.2 CE no es título atributivo de competencias [STC 149/1991, FJ 4 A)]—, atribución que se concibe como excluyente de toda intervención autonómica. Tampoco tienen carácter excluyente otros títulos invocados (arts. 149.1.1 y 149.1.23 CE), pues no impiden el ejercicio de competencias autonómicas (SSTC 149/1991; 61/1997, de 20 de marzo, y 102/1995). Añade, que solo cabe la anulación de una ley cuando es imposible interpretarla conforme a la Constitución (STC 202/2003, de 17 de noviembre), siendo relevante para evitar dicha consecuencia las cláusulas de salvaguarda utilizadas en la Ley del Parlamento de Galicia 4/2023 y la reproducción de la legislación estatal.</w:t>
      </w:r>
    </w:p>
    <w:p w14:paraId="39653788" w14:textId="77777777" w:rsidR="009D7677" w:rsidRDefault="009D7677" w:rsidP="009D7677">
      <w:pPr>
        <w:pStyle w:val="TextoNormal"/>
      </w:pPr>
    </w:p>
    <w:p w14:paraId="51EE3199" w14:textId="77777777" w:rsidR="009D7677" w:rsidRDefault="009D7677" w:rsidP="009D7677">
      <w:pPr>
        <w:pStyle w:val="TextoNormal"/>
      </w:pPr>
      <w:r>
        <w:t xml:space="preserve">Alude a que el art. 27.3 EAG atribuye a la Comunidad Autónoma de Galicia competencia sobre la “[o]rdenación del territorio y del litoral, urbanismo y vivienda” y se refiere a su contenido (SSTC 36/1994; 28/1997, de 13 de febrero; 149/1998, de 2 de julio, y 57/2015, de 18 de marzo), que no puede ser obviado por el Estado. Sobre la competencia de ordenación del litoral, indica que en los municipios costeros el concepto de territorio </w:t>
      </w:r>
      <w:r>
        <w:lastRenderedPageBreak/>
        <w:t>comprende al litoral (SSTC 149/1991 y 18/2022) y se refiere al dictamen 227/2022, del Consello Consultivo de Galicia que aborda el contenido de dicha competencia, que por ser exclusiva comprende funciones de normación y ejecución, y con esta, la potestad —de carácter ejecutivo— de autorizar usos permitidos en la zona de servidumbre de protección del dominio público marítimo-terrestre (STC 149/1991).</w:t>
      </w:r>
    </w:p>
    <w:p w14:paraId="0755BCB1" w14:textId="77777777" w:rsidR="009D7677" w:rsidRDefault="009D7677" w:rsidP="009D7677">
      <w:pPr>
        <w:pStyle w:val="TextoNormal"/>
      </w:pPr>
    </w:p>
    <w:p w14:paraId="3D9A20B8" w14:textId="77777777" w:rsidR="009D7677" w:rsidRDefault="009D7677" w:rsidP="009D7677">
      <w:pPr>
        <w:pStyle w:val="TextoNormal"/>
      </w:pPr>
      <w:r>
        <w:t>También trae a colación la competencia autonómica en materia de medioambiente (art. 27.30 EAG) y el deber del Estado de dejar margen de desarrollo de la legislación básica a las comunidades autónomas (STC 102/1995, que se aparta de la STC 149/1991). Subraya, con cita de la doctrina constitucional, la lógica constitucional de la distribución competencial bases-desarrollo. Y alude a los otros títulos competenciales referidos en la exposición de motivos de la Ley del Parlamento de Galicia 4/2023 (arts. 20.3, 27.9, 27.15, 28.5 y 29.4 EAG).</w:t>
      </w:r>
    </w:p>
    <w:p w14:paraId="013C3ED8" w14:textId="77777777" w:rsidR="009D7677" w:rsidRDefault="009D7677" w:rsidP="009D7677">
      <w:pPr>
        <w:pStyle w:val="TextoNormal"/>
      </w:pPr>
    </w:p>
    <w:p w14:paraId="0B75CD2C" w14:textId="77777777" w:rsidR="009D7677" w:rsidRDefault="009D7677" w:rsidP="009D7677">
      <w:pPr>
        <w:pStyle w:val="TextoNormal"/>
      </w:pPr>
      <w:r>
        <w:t>Aborda la naturaleza y alcance de la competencia legislativa estatal prevista en el art. 149.1.1 CE, con cita de las SSTC 61/1997, FJ 7, y 149/1991, FJ 1 D), que no es excluyente de la competencia autonómica que, a través de sus instrumentos de ordenación, puede condicionar adicionalmente el uso que haya de darse a la zona marítimo-terrestre.</w:t>
      </w:r>
    </w:p>
    <w:p w14:paraId="386A5C6E" w14:textId="77777777" w:rsidR="009D7677" w:rsidRDefault="009D7677" w:rsidP="009D7677">
      <w:pPr>
        <w:pStyle w:val="TextoNormal"/>
      </w:pPr>
    </w:p>
    <w:p w14:paraId="1878DB87" w14:textId="77777777" w:rsidR="009D7677" w:rsidRDefault="009D7677" w:rsidP="009D7677">
      <w:pPr>
        <w:pStyle w:val="TextoNormal"/>
      </w:pPr>
      <w:r>
        <w:t xml:space="preserve">B) En este apartado da respuesta a los argumentos que bajo el mismo título “la definición de litoral, la gestión del litoral por algunas comunidades autónomas, sobre el principio de territorialidad en el ejercicio de las competencias autonómicas, sobre las cláusulas de salvaguardia y las </w:t>
      </w:r>
      <w:r w:rsidRPr="009D7677">
        <w:rPr>
          <w:i/>
        </w:rPr>
        <w:t>leges repititae</w:t>
      </w:r>
      <w:r>
        <w:t>”, se contienen en el fundamento segundo del escrito impugnatorio.</w:t>
      </w:r>
    </w:p>
    <w:p w14:paraId="314E4E59" w14:textId="77777777" w:rsidR="009D7677" w:rsidRDefault="009D7677" w:rsidP="009D7677">
      <w:pPr>
        <w:pStyle w:val="TextoNormal"/>
      </w:pPr>
    </w:p>
    <w:p w14:paraId="3325AA7A" w14:textId="77777777" w:rsidR="009D7677" w:rsidRDefault="009D7677" w:rsidP="009D7677">
      <w:pPr>
        <w:pStyle w:val="TextoNormal"/>
      </w:pPr>
      <w:r>
        <w:t>Indica que el litoral no está definido en la legislación básica del Estado. Nada impide a la Comunidad Autónoma de Galicia aprobar una ley sobre el litoral y a los efectos de la misma recoger su ámbito de aplicación. Se considera el litoral como una entidad continua y única que debe ser gestionada de modo integral y con respeto al sistema constitucional de distribución de competencias (art. 2.4 y 2.5 de la Ley del Parlamento de Galicia 4/2023). El litoral comprende tierra y mar, y sobre esa franja operan títulos competenciales que atribuyen a la Comunidad Autónoma de Galicia diversas competencias. Solo una parte del litoral es dominio público marítimo-terrestre. El mar territorial no forma parte del territorio autonómico, lo que no impide que sobre el mismo se puedan ejercer competencias autonómicas (STC 38/2002, FJ 6), con respeto a las competencias estatales.</w:t>
      </w:r>
    </w:p>
    <w:p w14:paraId="5F9A208D" w14:textId="77777777" w:rsidR="009D7677" w:rsidRDefault="009D7677" w:rsidP="009D7677">
      <w:pPr>
        <w:pStyle w:val="TextoNormal"/>
      </w:pPr>
    </w:p>
    <w:p w14:paraId="083FB6D8" w14:textId="77777777" w:rsidR="009D7677" w:rsidRDefault="009D7677" w:rsidP="009D7677">
      <w:pPr>
        <w:pStyle w:val="TextoNormal"/>
      </w:pPr>
      <w:r>
        <w:t xml:space="preserve">Argumenta que sobre ordenación del litoral, los estatutos de autonomía de Galicia, País Vasco, Andalucía, Cataluña, y otras comunidades autónomas con litoral les atribuyen competencia, si bien, las que modificaron sus originales estatutos (Cataluña, Andalucía, Illes Balears y Canarias) completan la atribución especificando que “respetando el régimen general del dominio público” e indicando que dicha competencia exclusiva “incluye en todo caso” distintas funciones ejecutivas, entre las que se encuentra la de gestionar los títulos para ocupar el dominio público marítimo-terrestre. Añade que se han aprobado los Reales Decretos: 1387/2008, de 1 de agosto; 62/2011, de 21 de enero, y 713/2022, de 30 de agosto, de traspaso de funciones y servicios en materia de ordenación y gestión del litoral a Cataluña, Andalucía y Canarias respectivamente. Refiere que la delimitación de las competencias estatales la efectúa el Tribunal Constitucional para todas las comunidades </w:t>
      </w:r>
      <w:r>
        <w:lastRenderedPageBreak/>
        <w:t>que tienen competencia en la ordenación del litoral, pues lo contrario supondría tratar de modo desigual a unas comunidades autónomas respecto de otras.</w:t>
      </w:r>
    </w:p>
    <w:p w14:paraId="7AF84BDF" w14:textId="77777777" w:rsidR="009D7677" w:rsidRDefault="009D7677" w:rsidP="009D7677">
      <w:pPr>
        <w:pStyle w:val="TextoNormal"/>
      </w:pPr>
    </w:p>
    <w:p w14:paraId="1ACC7F2B" w14:textId="77777777" w:rsidR="009D7677" w:rsidRDefault="009D7677" w:rsidP="009D7677">
      <w:pPr>
        <w:pStyle w:val="TextoNormal"/>
      </w:pPr>
      <w:r>
        <w:t>Se duele de que a diferencia de lo sucedido en relación con otras comunidades autónomas, en que tras aprobarse leyes reguladoras del litoral (Ley del Parlamento de Cataluña 8/2020, de 30 de julio) o reguladoras de la biosfera (Ley del Parlamento de las Illes Balears 3/2023, de 17 de febrero, de Menorca reserva de biosfera), el Estado convocó la comisión bilateral de cooperación, a diferencia de lo acontecido con la Ley del Parlamento de Galicia 4/2023, resolviéndose mediante acuerdos interpretativos de tenor literal similar a los recogidos en esta última ley citada.</w:t>
      </w:r>
    </w:p>
    <w:p w14:paraId="0E06968F" w14:textId="77777777" w:rsidR="009D7677" w:rsidRDefault="009D7677" w:rsidP="009D7677">
      <w:pPr>
        <w:pStyle w:val="TextoNormal"/>
      </w:pPr>
    </w:p>
    <w:p w14:paraId="0B2B2551" w14:textId="77777777" w:rsidR="009D7677" w:rsidRDefault="009D7677" w:rsidP="009D7677">
      <w:pPr>
        <w:pStyle w:val="TextoNormal"/>
      </w:pPr>
      <w:r>
        <w:t>Justifica la utilización de las cláusulas de salvaguarda en aquellos artículos en que pudiese verse implicada franja demanial de titularidad estatal, por ser manifestación de la voluntad del legislador de respetar el marco competencial del Estado sobre el litoral, pese a reconocer que es una técnica innecesaria que puede llevar a criticar el texto en términos de técnica legislativa. Por otra parte, refiere que la reproducción de la legislación básica, con voluntad de preservar las competencias estatales, cumple con las exigencias constitucionales [SSTC 132/2019, de 13 de noviembre, FJ 7 D), y 47/2004, de 25 de marzo, FJ 8].</w:t>
      </w:r>
    </w:p>
    <w:p w14:paraId="5D8076B5" w14:textId="77777777" w:rsidR="009D7677" w:rsidRDefault="009D7677" w:rsidP="009D7677">
      <w:pPr>
        <w:pStyle w:val="TextoNormal"/>
      </w:pPr>
    </w:p>
    <w:p w14:paraId="4371010E" w14:textId="77777777" w:rsidR="009D7677" w:rsidRDefault="009D7677" w:rsidP="009D7677">
      <w:pPr>
        <w:pStyle w:val="TextoNormal"/>
      </w:pPr>
      <w:r>
        <w:t>C) En este apartado da respuesta a los argumentos que el escrito de impugnación contiene en su fundamento tercero, en el que el presidente del Gobierno considera inconstitucionales diversos artículos de la Ley del Parlamento de Galicia 4/2023 por “apropiación de la competencia exclusiva del Estado para regular el régimen jurídico del dominio público marítimo-terrestre porque es el propietario demanial”. Sostiene, que con dicha afirmación general no solo se defiende que la competencia sea exclusiva, sino que es excluyente.</w:t>
      </w:r>
    </w:p>
    <w:p w14:paraId="45FBA00C" w14:textId="77777777" w:rsidR="009D7677" w:rsidRDefault="009D7677" w:rsidP="009D7677">
      <w:pPr>
        <w:pStyle w:val="TextoNormal"/>
      </w:pPr>
    </w:p>
    <w:p w14:paraId="7A574DE5" w14:textId="77777777" w:rsidR="009D7677" w:rsidRDefault="009D7677" w:rsidP="009D7677">
      <w:pPr>
        <w:pStyle w:val="TextoNormal"/>
      </w:pPr>
      <w:r>
        <w:t>Razona que al Estado le corresponde la facultad —no la competencia— de determinar el régimen jurídico del demanio, como consecuencia de la atribución al mismo de la titularidad del dominio público marítimo-terrestre (STC 31/2010, FJ 92). Las facultades dominicales solo pueden ser legítimamente utilizadas en atención a los fines públicos que justifican la existencia del dominio público, esto es, para asegurar la protección de la integridad del demanio y la preservación de sus características naturales y la libre utilización pública y gratuita, no para condicionar abusivamente la utilización de competencias ajenas. La condición demanial, no sustrae la competencia que corresponde a los entes públicos (STC 149/1991), ni es un criterio delimitador de competencias (STC 77/1984). Al Estado le corresponden las facultades normativas para establecer el régimen de ocupación del demanio, sin perjuicio de las competencias autonómicas, que pueden verse moduladas o condicionadas, cuando se despliegan sobre el dominio público marítimo-terrestre (SSTC 100/2016, y 34/2010, de 19 de julio, FJ 3), pero no vaciadas (STC 149/1991), en relación con la inconstitucionalidad del art. 34 LC. Es por ello que cuestiona el razonamiento del recurso al referirse al art. 32.1 LC como el único criterio de implantación de usos sobre el dominio público marítimo-terrestre, pues ello vaciaría de contenido las competencias autonómicas y en su apoyo reproduce el fundamento jurídico 4 B) c) de la STC 149/1991, que resuelve la impugnación de los apartados 3 a 5 del art. 33 LC.</w:t>
      </w:r>
    </w:p>
    <w:p w14:paraId="78466489" w14:textId="77777777" w:rsidR="009D7677" w:rsidRDefault="009D7677" w:rsidP="009D7677">
      <w:pPr>
        <w:pStyle w:val="TextoNormal"/>
      </w:pPr>
    </w:p>
    <w:p w14:paraId="2B2C6991" w14:textId="77777777" w:rsidR="009D7677" w:rsidRDefault="009D7677" w:rsidP="009D7677">
      <w:pPr>
        <w:pStyle w:val="TextoNormal"/>
      </w:pPr>
      <w:r>
        <w:t xml:space="preserve">Sostiene que, en los terrenos colindantes, la fuerza del título demanial tiene sus limitaciones y es donde operan las competencias de los arts. 149.1.1 y 149.1.23 CE, cuyo contenido se examina, mediante la cita parcial del fundamento jurídico 1 D) de la STC </w:t>
      </w:r>
      <w:r>
        <w:lastRenderedPageBreak/>
        <w:t>149/1991, insistiendo en la competencia de las comunidades autónomas para establecer normas adicionales de protección del medio ambiente, incluso para “desarrollar la legislación básica” (STC 102/1995, aludida, que modifica el criterio de la STC 149/1991).</w:t>
      </w:r>
    </w:p>
    <w:p w14:paraId="1E7EF4F7" w14:textId="77777777" w:rsidR="009D7677" w:rsidRDefault="009D7677" w:rsidP="009D7677">
      <w:pPr>
        <w:pStyle w:val="TextoNormal"/>
      </w:pPr>
    </w:p>
    <w:p w14:paraId="73859E91" w14:textId="77777777" w:rsidR="009D7677" w:rsidRDefault="009D7677" w:rsidP="009D7677">
      <w:pPr>
        <w:pStyle w:val="TextoNormal"/>
      </w:pPr>
      <w:r>
        <w:t>Subraya que el Tribunal Constitucional debe realizar su enjuiciamiento conforme a una perspectiva de control abstracto y objetivo (STC 87/2019, de 20 de junio), por el que solo existirá inconstitucionalidad si el uso previsto en el concreto precepto gallego impugnado, en sí mismo, contradice en abstracto el límite previsto en la Ley de costas, pues de remitirse a una planificación posterior la incompatibilidad en su caso estaría en el plan. A ello añade que se requiere que el recurrente argumente de un modo suficiente la incompatibilidad de la ley autonómica con la estatal (STC 8/2013), y si no lo hace, el Tribunal no debe descender a examinar esa cuestión, pues entonces suple al recurrente y afecta a la defensa.</w:t>
      </w:r>
    </w:p>
    <w:p w14:paraId="563CD46C" w14:textId="77777777" w:rsidR="009D7677" w:rsidRDefault="009D7677" w:rsidP="009D7677">
      <w:pPr>
        <w:pStyle w:val="TextoNormal"/>
      </w:pPr>
    </w:p>
    <w:p w14:paraId="06EFAF2A" w14:textId="77777777" w:rsidR="009D7677" w:rsidRDefault="009D7677" w:rsidP="009D7677">
      <w:pPr>
        <w:pStyle w:val="TextoNormal"/>
      </w:pPr>
      <w:r>
        <w:t>A continuación, pasa a examinar la concreta impugnación que se efectúa en el correspondiente apartado del escrito de impugnación de los distintos preceptos.</w:t>
      </w:r>
    </w:p>
    <w:p w14:paraId="3A6E87BC" w14:textId="77777777" w:rsidR="009D7677" w:rsidRDefault="009D7677" w:rsidP="009D7677">
      <w:pPr>
        <w:pStyle w:val="TextoNormal"/>
      </w:pPr>
    </w:p>
    <w:p w14:paraId="7503C777" w14:textId="77777777" w:rsidR="009D7677" w:rsidRDefault="009D7677" w:rsidP="009D7677">
      <w:pPr>
        <w:pStyle w:val="TextoNormal"/>
      </w:pPr>
      <w:r>
        <w:t>a) En relación con la impugnación del art. 1.2 d) de la Ley del Parlamento de Galicia 4/2023, además de referirse a la argumentación que efectúa en defensa del art. 48.1 de la Ley del Parlamento de Galicia 4/2023, considera que aunque no se compartiera la competencia de la comunidad sobre autorizaciones y concesiones en el dominio público marítimo-terrestre, la referencia a los títulos habilitantes, no se agota en los “títulos de ocupación”, como resulta del art. 47.2 de la ley controvertida, pues en el litoral —que es más que el dominio público marítimo-terrestre— hay más títulos habilitantes de incuestionable competencia gallega. Por eso, al introducir la expresión “cuando proceda”, se salva la constitucionalidad del precepto.</w:t>
      </w:r>
    </w:p>
    <w:p w14:paraId="284A7CAE" w14:textId="77777777" w:rsidR="009D7677" w:rsidRDefault="009D7677" w:rsidP="009D7677">
      <w:pPr>
        <w:pStyle w:val="TextoNormal"/>
      </w:pPr>
    </w:p>
    <w:p w14:paraId="386798A8" w14:textId="77777777" w:rsidR="009D7677" w:rsidRDefault="009D7677" w:rsidP="009D7677">
      <w:pPr>
        <w:pStyle w:val="TextoNormal"/>
      </w:pPr>
      <w:r>
        <w:t>b) La impugnación de la letra g) del art. 1.2 de la Ley del Parlamento de Galicia 4/2023, en cuanto a la “regulación del patrimonio público litoral”, parte de un error de base. Dicho patrimonio no es el conformado por parcelas del dominio público marítimo-terrestre, sino que reúne bienes de titularidad autonómica. Su regulación se encuentra en el título VI de la Ley —no impugnado— en los arts. 65 a 68 que no se refieren a dependencias demaniales.</w:t>
      </w:r>
    </w:p>
    <w:p w14:paraId="4A95F57E" w14:textId="77777777" w:rsidR="009D7677" w:rsidRDefault="009D7677" w:rsidP="009D7677">
      <w:pPr>
        <w:pStyle w:val="TextoNormal"/>
      </w:pPr>
    </w:p>
    <w:p w14:paraId="5262B4C9" w14:textId="77777777" w:rsidR="009D7677" w:rsidRDefault="009D7677" w:rsidP="009D7677">
      <w:pPr>
        <w:pStyle w:val="TextoNormal"/>
      </w:pPr>
      <w:r>
        <w:t>Ese patrimonio no es dominio público marítimo-terrestre, sino litoral conforme al art. 66.2 a), b) y c) de la Ley del Parlamento de Galicia 4/2023. El art. 66.2 a) se refiere a bienes de titularidad privada sobre los que se ejerce la potestad de expropiación previstos en el art. 67.2 de la ley impugnada, para lograr objetivos descritos en el área de mejora ambiental (art. 39) y de reordenación (art. 45); el art. 66.2 b) de la Ley del Parlamento de Galicia 4/2023, alude a bienes adquiridos en ejercicio de derecho de tanteo y retracto, en los términos regulados en el art. 68 de la Ley del Parlamento de Galicia 4/2023 —que no ha sido impugnado— sobre transmisiones onerosas de terreno, que por tanto nunca pertenecerán al dominio público marítimo-terrestre, al carecer de la naturaleza de inalienables; y, finalmente, el art. 66.2 c) de la ley impugnada se refiere a bienes cedidos tras un procedimiento de desafectación del dominio público marítimo terrestre por lo que este resulta intacto. En los tres casos la comunidad autónoma tiene competencias para expropiar e intervenir derivadas de la ordenación urbanística como de la aprobación de normas adicionales de protección.</w:t>
      </w:r>
    </w:p>
    <w:p w14:paraId="3789B83D" w14:textId="77777777" w:rsidR="009D7677" w:rsidRDefault="009D7677" w:rsidP="009D7677">
      <w:pPr>
        <w:pStyle w:val="TextoNormal"/>
      </w:pPr>
    </w:p>
    <w:p w14:paraId="08FED071" w14:textId="77777777" w:rsidR="009D7677" w:rsidRDefault="009D7677" w:rsidP="009D7677">
      <w:pPr>
        <w:pStyle w:val="TextoNormal"/>
      </w:pPr>
      <w:r>
        <w:lastRenderedPageBreak/>
        <w:t>c) En relación con el art. 2 de la Ley del Parlamento de Galicia 4/2023 considera que el litoral no está definido en la legislación básica del Estado y nada impide a la Comunidad Autónoma de Galicia plasmar la definición del litoral y su extensión “a los efectos de esta ley” (art. 2.2 de la ley controvertida), cuyo objeto se materializa “en el marco de las competencias” atribuidas a Galicia por la Constitución Española y el Estatuto de Autonomía de Galicia (art. 1.1 de la Ley), “con pleno respeto de la legislación portuaria, del medio marino y de costas” (art. 2.4) y quedando fuera del ámbito de la ley los puertos del Estado (art. 2.5).</w:t>
      </w:r>
    </w:p>
    <w:p w14:paraId="3C1C04FF" w14:textId="77777777" w:rsidR="009D7677" w:rsidRDefault="009D7677" w:rsidP="009D7677">
      <w:pPr>
        <w:pStyle w:val="TextoNormal"/>
      </w:pPr>
    </w:p>
    <w:p w14:paraId="00616DA2" w14:textId="77777777" w:rsidR="009D7677" w:rsidRDefault="009D7677" w:rsidP="009D7677">
      <w:pPr>
        <w:pStyle w:val="TextoNormal"/>
      </w:pPr>
      <w:r>
        <w:t>Rechaza lo indicado en el escrito de impugnación, en el que se sostiene que la Ley del Parlamento de Galicia 4/2023 extiende el territorio autonómico al mar sobre el que incardina actuaciones de ordenación del territorio. Indica que la Ley del Parlamento de Galicia 4/2023, ni en su preámbulo ni en su articulado declara que el mar forme parte del territorio de la Comunidad Autónoma de Galicia, o que sobre el mismo se pretendan ejercer competencias de ordenación del litoral, aunque sobre el mismo puedan ejercer legítimamente otras competencias (STC 38/2002, FJ 6, y arts. 20.3, 27.9, 27.15, 28.5 y 29.4 EAG) —insistiéndose en la Ley del Parlamento de Galicia 4/2023— siempre con respeto al bloque de constitucionalidad (art. 2.3 de la Ley del Parlamento de Galicia 4/2023 que utiliza una expresión similar a la utilizada en los acuerdos interpretativos de las comisiones bilaterales entre el Estado y otras comunidades autónomas; y arts. 12.5, 23.1, 25.1, 32.2 c), 49.3, 48.1, 55.3, 58.7 y 64.3 de la Ley del Parlamento de Galicia 4/2023, entre otros).</w:t>
      </w:r>
    </w:p>
    <w:p w14:paraId="01F7CB0E" w14:textId="77777777" w:rsidR="009D7677" w:rsidRDefault="009D7677" w:rsidP="009D7677">
      <w:pPr>
        <w:pStyle w:val="TextoNormal"/>
      </w:pPr>
    </w:p>
    <w:p w14:paraId="0CB4A16C" w14:textId="77777777" w:rsidR="009D7677" w:rsidRDefault="009D7677" w:rsidP="009D7677">
      <w:pPr>
        <w:pStyle w:val="TextoNormal"/>
      </w:pPr>
      <w:r>
        <w:t>d) La impugnación del contenido de las directrices del litoral contenidas en el apartado 2 letras d), g) e i) del art. 23 de la Ley del Parlamento de Galicia 4/2023, mezcla el dominio público marítimo-terrestre y la zona de servidumbre de protección. La existencia misma de las directrices sobre el litoral (art. 23.1 de la Ley) —que es más extenso que el dominio público marítimo-terrestre— no se cuestiona, pues no hay duda de que la competencia de ordenación de litoral se proyecta sobre el dominio público marítimo-terrestre (STC 162/2012, FJ 7). Por otra parte, expuesto el contenido de la materia “ordenación del territorio y del litoral” (SSTC 36/1994; 28/1997; 149/1998, y en la más reciente STC 57/2015), lo impugnable no sería el marco general de referencia para elaborar los instrumentos de ordenación, sino las concretas directrices aprobadas (STC 87/2019), siempre que no “tengan cobijo en su acervo competencial”. A diferencia de lo que se sostiene en la impugnación, serán las comunidades autónomas como titulares de la ordenación del territorio las que tendrán atribuida la aprobación de los instrumentos de ordenación y de los criterios a los que deben acomodarse [STC 149/1991, FJ 4 B) c)], correspondiéndole al Estado establecer límites máximos y mínimos y a las comunidades, respetando tales límites, aprobar los instrumentos de ordenación y establecer los criterios a los que se han de acomodar, pudiendo advertir el Estado cualquier extralimitación de los mismos al disponer de un papel relevante en su tramitación (arts. 112 y 117 LC).</w:t>
      </w:r>
    </w:p>
    <w:p w14:paraId="317CFF51" w14:textId="77777777" w:rsidR="009D7677" w:rsidRDefault="009D7677" w:rsidP="009D7677">
      <w:pPr>
        <w:pStyle w:val="TextoNormal"/>
      </w:pPr>
    </w:p>
    <w:p w14:paraId="7FDC1AF5" w14:textId="77777777" w:rsidR="009D7677" w:rsidRDefault="009D7677" w:rsidP="009D7677">
      <w:pPr>
        <w:pStyle w:val="TextoNormal"/>
      </w:pPr>
      <w:r>
        <w:t xml:space="preserve">Tras cada una de las letras d), g), i) y m) del art. 23.2 de la Ley del Parlamento de Galicia 4/2023 existe una competencia autonómica. En la letra d) opera la competencia en materia de pesca en las rías y demás aguas interiores, marisqueo y acuicultura (art. 27.15 EAG) y ordenación del sector pesquero (art. 28.6 EAG); respecto de la letra g) “determinación de la capacidad de carga y acogida” la STC 57/2015 la consideró manifestación típica de la competencia de ordenación del territorio y urbanismo, entendiendo que también concurre la competencia compartida en materia de protección civil, cuando concurran </w:t>
      </w:r>
      <w:r>
        <w:lastRenderedPageBreak/>
        <w:t>circunstancias de seguridad pública [art. 27.6 EAG y STC 133/1990, de 19 de julio, FJ 3 c)] y cuando se trate de preservar valores naturales, la competencia para dictar normas adicionales de protección ambiental (arts. 149.1.23 CE y 27.30 EAG); finalmente respecto de la letra i), criterios exigidos a las edificaciones y a las instalaciones permitidas en espacios sensibles del litoral, singularmente las requeridas para los tanques de cultivo, son manifestación de la competencia para ordenación del litoral, en los términos ya indicados por el Tribunal Constitucional en su STC 149/1991, FJ 4 B) c). A los que se deben añadir por razón de la actividad acuícola, en el caso de los “tanques de cultivo” las competencias previstas en los arts. 27.15 y 28.6 EAG.</w:t>
      </w:r>
    </w:p>
    <w:p w14:paraId="26B82359" w14:textId="77777777" w:rsidR="009D7677" w:rsidRDefault="009D7677" w:rsidP="009D7677">
      <w:pPr>
        <w:pStyle w:val="TextoNormal"/>
      </w:pPr>
    </w:p>
    <w:p w14:paraId="252F331A" w14:textId="77777777" w:rsidR="009D7677" w:rsidRDefault="009D7677" w:rsidP="009D7677">
      <w:pPr>
        <w:pStyle w:val="TextoNormal"/>
      </w:pPr>
      <w:r>
        <w:t>Por último, recuerda que el art. 21.3 de la Ley del Parlamento de Galicia 4/2023 dispone que las previsiones contenidas en el título II deben entenderse en el marco de la legislación básica del Estado y con respeto de las facultades que derivan de su titularidad sobre los bienes que integran el dominio público marítimo-terrestre. Cuestiona, también en este punto, el peor tratamiento que ha merecido la Ley del Parlamento de Galicia 4/2023 en relación con las determinaciones de la “capacidad de carga” de los espacios del litoral, que la Ley del Parlamento de las Illes Balears 3/2023, de 17 de febrero, de Menorca reserva de biosfera, en la que la comisión bilateral alcanzó un acuerdo interpretativo, que evitó la impugnación de la ley, cuyo contenido es similar a las referidas cláusulas de salvaguarda.</w:t>
      </w:r>
    </w:p>
    <w:p w14:paraId="03F5536E" w14:textId="77777777" w:rsidR="009D7677" w:rsidRDefault="009D7677" w:rsidP="009D7677">
      <w:pPr>
        <w:pStyle w:val="TextoNormal"/>
      </w:pPr>
    </w:p>
    <w:p w14:paraId="209C2F48" w14:textId="77777777" w:rsidR="009D7677" w:rsidRDefault="009D7677" w:rsidP="009D7677">
      <w:pPr>
        <w:pStyle w:val="TextoNormal"/>
      </w:pPr>
      <w:r>
        <w:t>e) Cuestiona el modo en que se impugna el art. 24.3, letras c), e) y f), al afectar al derecho de defensa. Indica que el plan de ordenación costera (art. 24.1 de la Ley del Parlamento de Galicia 4/2023) no se impugna, sino algunas de sus determinaciones que por su carácter genérico difícilmente pueden ser inconstitucionales, pues, en su caso, lo será el plan que se apruebe (STC 87/2019), en cuyo proceso de elaboración intervendrá decisivamente el Estado conforme a la Ley de costas. Es más, “la mera posibilidad de un uso torticero de las normas no puede ser nunca en sí mismo motivo bastante para declarar su inconstitucionalidad” (SSTC 58/1982, de 27 de julio, FJ 2, y 83/2020, de 15 de julio, FJ 8). Las determinaciones encajan en el contenido de la competencia de ordenación del litoral y en el caso de las letras c) y e) en la de dictar normas adicionales de protección (art. 27.30 EAG).</w:t>
      </w:r>
    </w:p>
    <w:p w14:paraId="6E6930A7" w14:textId="77777777" w:rsidR="009D7677" w:rsidRDefault="009D7677" w:rsidP="009D7677">
      <w:pPr>
        <w:pStyle w:val="TextoNormal"/>
      </w:pPr>
    </w:p>
    <w:p w14:paraId="53C22474" w14:textId="77777777" w:rsidR="009D7677" w:rsidRDefault="009D7677" w:rsidP="009D7677">
      <w:pPr>
        <w:pStyle w:val="TextoNormal"/>
      </w:pPr>
      <w:r>
        <w:t>Cuestiona la argumentación del escrito de impugnación sobre el art. 24.2 e) de la Ley del Parlamento de Galicia 4/2023, pues la Ley no afecta a la zona económica exclusiva, la plataforma continental, los espacios situados en estrechos sometidos al derecho internacional y en alta mar, que no caen dentro de su ámbito (art. 2). En tal sentido, el art. 24.1 de la Ley del Parlamento de Galicia 4/2023 comienza indicando que “[e]l plan de ordenación costera es el instrumento básico de ordenación de los espacios terrestre e intermareal del litoral de Galicia”.</w:t>
      </w:r>
    </w:p>
    <w:p w14:paraId="679B8EB7" w14:textId="77777777" w:rsidR="009D7677" w:rsidRDefault="009D7677" w:rsidP="009D7677">
      <w:pPr>
        <w:pStyle w:val="TextoNormal"/>
      </w:pPr>
    </w:p>
    <w:p w14:paraId="7CF62A9D" w14:textId="77777777" w:rsidR="009D7677" w:rsidRDefault="009D7677" w:rsidP="009D7677">
      <w:pPr>
        <w:pStyle w:val="TextoNormal"/>
      </w:pPr>
      <w:r>
        <w:t xml:space="preserve">Finalmente, en relación con la letra c) y f) del art. 24.2 de la Ley del Parlamento de Galicia 4/2023, no puede aceptarse que el art. 32 LC sea criterio único regulador de los usos en el dominio público marítimo-terrestre, ni el pretendido carácter exclusivo que pretende atribuirse a la competencia estatal. Si así fuera, se estaría vaciando de contenido la competencia para ordenar el territorio, tal y como se señala por la STC 149/1991, FJ 4 B) c) y d). No es inconstitucional que el plan de ordenación costera concrete los usos y actividades permitidos, compatibles y prohibidos en las diferentes áreas del litoral [letra f)], al tratarse de una manifestación clara de la ordenación del territorio y del litoral. Subraya que en todo caso los arts. 5 y 24.5 de la Ley del Parlamento de Galicia 4/2023, en línea con la STC </w:t>
      </w:r>
      <w:r>
        <w:lastRenderedPageBreak/>
        <w:t>46/2007, hacen un llamamiento a los principios de colaboración, participación y coordinación interadministrativas, proyectándose además sobre el mismo la aludida cláusula del art. 21.3 de la ley controvertida.</w:t>
      </w:r>
    </w:p>
    <w:p w14:paraId="1066A0AC" w14:textId="77777777" w:rsidR="009D7677" w:rsidRDefault="009D7677" w:rsidP="009D7677">
      <w:pPr>
        <w:pStyle w:val="TextoNormal"/>
      </w:pPr>
    </w:p>
    <w:p w14:paraId="7E1F5A62" w14:textId="77777777" w:rsidR="009D7677" w:rsidRDefault="009D7677" w:rsidP="009D7677">
      <w:pPr>
        <w:pStyle w:val="TextoNormal"/>
      </w:pPr>
      <w:r>
        <w:t>f) Se impugna la determinación de los planes especiales de playa contenida en el art. 27.3 c) de la Ley del Parlamento de Galicia 4/2023, consistente en “las actuaciones y medidas que deberán impulsarse para ordenar los servicios de temporada de las playas”, pero no se impugna la existencia de tales planes (art. 27.1 de la Ley). Critica la argumentación impugnativa, pues pretende hacer entender que la ley atribuye a la comunidad autónoma la competencia para ordenar tales servicios, cuando lo atribuido es el impulso de actuaciones y medidas para ordenar esos servicios, con respeto a los máximos y mínimos establecidos por el Estado. No se cita la doctrina que aborda directamente la cuestión [STC 149/1991, FJ 4 B) c)] vertida sobre el alcance del art. 33 LC y se cita de modo parcial la STC 198/1991, de 17 de octubre, FJ 4 A) b). Reitera que Galicia en virtud del artículo 27.3 de su estatuto de autonomía tiene competencias exclusivas en materia de ordenación del territorio y del litoral, urbanismo, y otras —dictar normas adicionales de protección del medio ambiente, de carácter urbanístico, en materia de protección civil y salvamento— las cuales indudablemente se pueden ejercer sobre las playas. También estos planes están afectados por la prevención del art. 21.3 de la Ley del Parlamento de Galicia 4/2023 y, en caso de vulnerar la Ley de costas podrían ser recurridos, pero no cabe admitir la impugnación con carácter preventivo (STC 87/2019).</w:t>
      </w:r>
    </w:p>
    <w:p w14:paraId="5F0AF29F" w14:textId="77777777" w:rsidR="009D7677" w:rsidRDefault="009D7677" w:rsidP="009D7677">
      <w:pPr>
        <w:pStyle w:val="TextoNormal"/>
      </w:pPr>
    </w:p>
    <w:p w14:paraId="1D3796FA" w14:textId="77777777" w:rsidR="009D7677" w:rsidRDefault="009D7677" w:rsidP="009D7677">
      <w:pPr>
        <w:pStyle w:val="TextoNormal"/>
      </w:pPr>
      <w:r>
        <w:t>g) Al abordar la impugnación del art. 34.2 a) y b) y 34.3 de la Ley del Parlamento de Galicia 4/2023, efectúa unas consideraciones previas y comunes a las impugnaciones de los arts. 34, 35, 36, 40 y 41.</w:t>
      </w:r>
    </w:p>
    <w:p w14:paraId="57798908" w14:textId="77777777" w:rsidR="009D7677" w:rsidRDefault="009D7677" w:rsidP="009D7677">
      <w:pPr>
        <w:pStyle w:val="TextoNormal"/>
      </w:pPr>
    </w:p>
    <w:p w14:paraId="71ED9197" w14:textId="77777777" w:rsidR="009D7677" w:rsidRDefault="009D7677" w:rsidP="009D7677">
      <w:pPr>
        <w:pStyle w:val="TextoNormal"/>
      </w:pPr>
      <w:r>
        <w:t>La ley zonifica el litoral en tres clases de espacios agrupados en áreas y cada una con sus objetivos (de protección ambiental, de mejora ambiental y paisajística y de reordenación) y con unos usos: permitidos —no necesitan título habilitante—; compatibles —que se sujetan a un título—, y prohibidos. El texto reúne los usos ya regulados en otras leyes por voluntad de integración normativa, no innova. Indica, que solo una parte de esos espacios son dominio público marítimo-terrestre o zona de servidumbre de protección. Recuerda que el art. 31 de la Ley del Parlamento de Galicia 4/2023 dispone que la regulación es “sin perjuicio de lo dispuesto en la normativa de costas y de medio marino, así como del ejercicio por la administración general del Estado de las facultades que le corresponden en su condición de titular del dominio público marítimo-terrestre” y que se contempla una cláusula de cierre para el caso de que en un mismo espacio confluyan normas o planes con regímenes diversos “se aplicará la regla que suponga una mayor protección del espacio” (art. 43 de la Ley del Parlamento de Galicia 4/2023). Por tanto, frente a lo indicado por el abogado del Estado, no se pretende establecer un régimen paralelo distinto del establecido por el Estado para el dominio público marítimo-terrestre y la zona de servidumbre de protección.</w:t>
      </w:r>
    </w:p>
    <w:p w14:paraId="4333388B" w14:textId="77777777" w:rsidR="009D7677" w:rsidRDefault="009D7677" w:rsidP="009D7677">
      <w:pPr>
        <w:pStyle w:val="TextoNormal"/>
      </w:pPr>
    </w:p>
    <w:p w14:paraId="42A55A3E" w14:textId="77777777" w:rsidR="009D7677" w:rsidRDefault="009D7677" w:rsidP="009D7677">
      <w:pPr>
        <w:pStyle w:val="TextoNormal"/>
      </w:pPr>
      <w:r>
        <w:t xml:space="preserve">El área de protección ambiental a que se refieren las impugnaciones de los arts. 34, 35 y 36 de la Ley del Parlamento de Galicia 4/2023, incluye espacios de litoral que conservan ciertas características (art. 32.1 y 32.2 a), b) y c) de la Ley). Comprende los espacios de dominio público marítimo-terrestre [art. 32.2 a), siempre de la Ley del Parlamento de Galicia 4/2023], los espacios naturales protegidos del litoral, que comprenden ámbitos del </w:t>
      </w:r>
      <w:r>
        <w:lastRenderedPageBreak/>
        <w:t>espacio terrestre y marítimo terrestre [art. 32.2 b)] y los espacios marinos del litoral, que comprenden el mar territorial y las aguas interiores [art. 32.2 c)]. La Ley del Parlamento de Galicia 4/2023 y en concreto sus arts.34.2 a) y b) y 3; 35.2 a), b) y c) y 3; y 36.2 a), b) y c), pretenden recoger el régimen de usos de la normativa de costas, medio marino o de protección del patrimonio natural, sin regularlos, y las únicas novedades se amparan en competencias propias de ordenación del litoral y dictar normas adicionales de protección.</w:t>
      </w:r>
    </w:p>
    <w:p w14:paraId="49BAB456" w14:textId="77777777" w:rsidR="009D7677" w:rsidRDefault="009D7677" w:rsidP="009D7677">
      <w:pPr>
        <w:pStyle w:val="TextoNormal"/>
      </w:pPr>
    </w:p>
    <w:p w14:paraId="6AAB8D7F" w14:textId="77777777" w:rsidR="009D7677" w:rsidRDefault="009D7677" w:rsidP="009D7677">
      <w:pPr>
        <w:pStyle w:val="TextoNormal"/>
      </w:pPr>
      <w:r>
        <w:t>A continuación, se detiene en la impugnación del art. 34.2 de la Ley del Parlamento de Galicia 4/2023, e indica que se limita a reproducir los arts. 24 y siguientes de la Ley de costas, pero no señala la contradicción o exceso. Además, el art. 34.2 señala expresamente: “En todo caso, podrán realizarse libremente los usos permitidos expresamente en la normativa de costas, medio marino y patrimonio natural y biodiversidad que resulte de aplicación al no causar afección sobre los valores que deben protegerse”, sin que la omisión de alguna mención del art. 31.1 LC pueda ser vicio de inconstitucionalidad (STC 8/2012, de 18 de enero, FJ 5). Se ha pretendido recoger en un único texto legal los diversos usos, respetando el marco competencial, en el que la comunidad autónoma tiene competencia para ordenar usos, respetando los límites máximos y mínimos establecidos por el legislador estatal y la reiteración resulta imprescindible para lograr una ordenación y gestión integrada.</w:t>
      </w:r>
    </w:p>
    <w:p w14:paraId="4CA152DD" w14:textId="77777777" w:rsidR="009D7677" w:rsidRDefault="009D7677" w:rsidP="009D7677">
      <w:pPr>
        <w:pStyle w:val="TextoNormal"/>
      </w:pPr>
    </w:p>
    <w:p w14:paraId="33A1F1EE" w14:textId="77777777" w:rsidR="009D7677" w:rsidRDefault="009D7677" w:rsidP="009D7677">
      <w:pPr>
        <w:pStyle w:val="TextoNormal"/>
      </w:pPr>
      <w:r>
        <w:t>Critica que la impugnación del art. 34.3 de la Ley del Parlamento de Galicia 4/2023 —que permite trabajos necesarios para actuaciones asociadas a la prevención de incendios forestales— se limite a señalar que se trata de usos distintos a los indicados en el art. 31.1 LC. Considera que dicha norma debe considerarse una norma adicional de protección —que no perjudica el dominio público marítimo-terrestre— asociada a la prevención y extinción de incendios forestales, que se contempla en la Ley del Parlamento de Galicia 3/2007, de 9 de abril, de prevención y defensa contra los incendios forestales de Galicia.</w:t>
      </w:r>
    </w:p>
    <w:p w14:paraId="17C26461" w14:textId="77777777" w:rsidR="009D7677" w:rsidRDefault="009D7677" w:rsidP="009D7677">
      <w:pPr>
        <w:pStyle w:val="TextoNormal"/>
      </w:pPr>
    </w:p>
    <w:p w14:paraId="4C942534" w14:textId="77777777" w:rsidR="009D7677" w:rsidRDefault="009D7677" w:rsidP="009D7677">
      <w:pPr>
        <w:pStyle w:val="TextoNormal"/>
      </w:pPr>
      <w:r>
        <w:t>h) En defensa del art. 35.2 a) b) y c) de la Ley del Parlamento de Galicia 4/2023 reitera los mismos argumentos que, referidos a la finalidad de la regulación, han sido utilizados para oponerse a la impugnación del art. 34.2 de la Ley, e insiste en cuestionar la idea rectora que resulta del recurso, cual es que el Estado puede agotar —y agota— la regulación de la ordenación de los usos del dominio público marítimo-terrestre. Reitera que los títulos que operan sobre la zona de servidumbre de protección son los previstos en el art. 149.1.1 y 23 CE.</w:t>
      </w:r>
    </w:p>
    <w:p w14:paraId="1B74A630" w14:textId="77777777" w:rsidR="009D7677" w:rsidRDefault="009D7677" w:rsidP="009D7677">
      <w:pPr>
        <w:pStyle w:val="TextoNormal"/>
      </w:pPr>
    </w:p>
    <w:p w14:paraId="5A79919A" w14:textId="77777777" w:rsidR="009D7677" w:rsidRDefault="009D7677" w:rsidP="009D7677">
      <w:pPr>
        <w:pStyle w:val="TextoNormal"/>
      </w:pPr>
      <w:r>
        <w:t>Afirma que no se ha pretendido reproducir el art. 31.2 LC, sino identificar el tipo de utilización que, por ser susceptible de causar afección a los valores naturales de los espacios del área de protección ambiental, está sujeto a un título de intervención administrativa, así como dar seguridad jurídica a los destinatarios de la norma. En las letras a) y b) se añade “en los términos establecidos en la normativa de costas y del medio marino”. Acepta, a efectos dialécticos, que la técnica legislativa no pueda compartirse, pero difícilmente se puede considerar vulnerada la competencia del Estado. Considera que no es correcto que se incluyen usos distintos a los previstos en la Ley de costas en el art. 35.2 c) de la Ley del Parlamento de Galicia 4/2023 al referirse a “usos de los espacios naturales protegidos susceptibles de causar una afección apreciable sobre los valores naturales”.</w:t>
      </w:r>
    </w:p>
    <w:p w14:paraId="4447C9CE" w14:textId="77777777" w:rsidR="009D7677" w:rsidRDefault="009D7677" w:rsidP="009D7677">
      <w:pPr>
        <w:pStyle w:val="TextoNormal"/>
      </w:pPr>
    </w:p>
    <w:p w14:paraId="5D6E4680" w14:textId="77777777" w:rsidR="009D7677" w:rsidRDefault="009D7677" w:rsidP="009D7677">
      <w:pPr>
        <w:pStyle w:val="TextoNormal"/>
      </w:pPr>
      <w:r>
        <w:lastRenderedPageBreak/>
        <w:t>En relación con el art. 35.3 de la Ley del Parlamento de Galicia 4/2023, en tanto que el reproche se remite a la posible inconstitucionalidad del capítulo V, posterga su defensa a la valoración del indicado capítulo.</w:t>
      </w:r>
    </w:p>
    <w:p w14:paraId="37382D61" w14:textId="77777777" w:rsidR="009D7677" w:rsidRDefault="009D7677" w:rsidP="009D7677">
      <w:pPr>
        <w:pStyle w:val="TextoNormal"/>
      </w:pPr>
    </w:p>
    <w:p w14:paraId="660BF75D" w14:textId="77777777" w:rsidR="009D7677" w:rsidRDefault="009D7677" w:rsidP="009D7677">
      <w:pPr>
        <w:pStyle w:val="TextoNormal"/>
      </w:pPr>
      <w:r>
        <w:t>i) Defiende la constitucionalidad del art. 36.2 a), b) y c) de la Ley del Parlamento de Galicia 4/2023, que se refiere a los usos prohibidos en el área de protección ambiental, con los mismos argumentos que en los dos preceptos anteriores (tener como finalidad dar seguridad jurídica, respetar la regulación de usos de la Ley de costas, sin introducir novedad alguna, encontrándose las únicas novedades, de haberlas, amparadas en las competencias propias: ordenación y medio ambiente). Refiere que, como reconoce el escrito de impugnación, las comunidades autónomas pueden establecer normas adicionales de protección, por lo que se ignora la causa de inconstitucionalidad del precepto cuyo encabezamiento es precisamente: “estarán prohibidos los usos que”, sin que se explique la incompatibilidad con la Ley de costas o la minoración de la protección alegada. Añade que si lo que se cuestiona es: “salvo las que estén expresamente contempladas en el título IV de esta ley” [letra a)] y “salvo las dirigidas a la implantación de las dotaciones públicas estratégicas reguladas en el artículo 60” [letra c)], debe ser impugnado el título IV o el artículo 60 de la Ley del Parlamento de Galicia 4/2023, pero no el precepto actual por el mero hecho de citarlos. Refiere que el art. 36.2 de la Ley comienza con “[e]n todo caso” y serán los planes de ordenación del litoral (art. 36.1 de la Ley del Parlamento de Galicia 4/2023), los que establecerán los usos o actividades prohibidas y podrán ser impugnados.</w:t>
      </w:r>
    </w:p>
    <w:p w14:paraId="2F8930DA" w14:textId="77777777" w:rsidR="009D7677" w:rsidRDefault="009D7677" w:rsidP="009D7677">
      <w:pPr>
        <w:pStyle w:val="TextoNormal"/>
      </w:pPr>
    </w:p>
    <w:p w14:paraId="7B226C5E" w14:textId="77777777" w:rsidR="009D7677" w:rsidRDefault="009D7677" w:rsidP="009D7677">
      <w:pPr>
        <w:pStyle w:val="TextoNormal"/>
      </w:pPr>
      <w:r>
        <w:t xml:space="preserve">Cuestiona la posición contradictoria del abogado del Estado, que pese a criticar la </w:t>
      </w:r>
      <w:r w:rsidRPr="009D7677">
        <w:rPr>
          <w:i/>
        </w:rPr>
        <w:t>lex repetitae</w:t>
      </w:r>
      <w:r>
        <w:t xml:space="preserve"> reprocha que no se incluyan en el art. 36 de la Ley del Parlamento de Galicia 4/2023 las prohibiciones que afectan a la servidumbre de protección que se contienen en el art. 25 LC. Añade que en el área de protección ambiental no hay zona de servidumbre más allá de la franja que pueda tener ese carácter dentro del espacio natural, que aparece limitada en sus usos por “los instrumentos de ordenación y gestión de los espacios naturales protegidos” [letra d), que no se impugna], y que recoge las limitaciones en estas zonas de servidumbre. Insiste en que las omisiones de previsiones de la ley estatal básica no son vicio de constitucionalidad.</w:t>
      </w:r>
    </w:p>
    <w:p w14:paraId="23E9E49A" w14:textId="77777777" w:rsidR="009D7677" w:rsidRDefault="009D7677" w:rsidP="009D7677">
      <w:pPr>
        <w:pStyle w:val="TextoNormal"/>
      </w:pPr>
    </w:p>
    <w:p w14:paraId="7382E0B0" w14:textId="77777777" w:rsidR="009D7677" w:rsidRDefault="009D7677" w:rsidP="009D7677">
      <w:pPr>
        <w:pStyle w:val="TextoNormal"/>
      </w:pPr>
      <w:r>
        <w:t>Finalmente, en cuanto al cuestionamiento de “la implantación de dotaciones públicas estratégicas del art. 60”, indica que dicho precepto parte del cumplimiento de todas las exigencias establecidas en la normativa de costas y a ellas se añaden otros condicionantes adicionales, al amparo de la competencia ambiental de desarrollo de la legislación básica y para el dictado de normas adicionales de protección.</w:t>
      </w:r>
    </w:p>
    <w:p w14:paraId="418E3927" w14:textId="77777777" w:rsidR="009D7677" w:rsidRDefault="009D7677" w:rsidP="009D7677">
      <w:pPr>
        <w:pStyle w:val="TextoNormal"/>
      </w:pPr>
    </w:p>
    <w:p w14:paraId="7F85E6CD" w14:textId="77777777" w:rsidR="009D7677" w:rsidRDefault="009D7677" w:rsidP="009D7677">
      <w:pPr>
        <w:pStyle w:val="TextoNormal"/>
      </w:pPr>
      <w:r>
        <w:t xml:space="preserve">j) Defiende la constitucionalidad del art. 40.2 y 3 de la Ley del Parlamento de Galicia 4/2023 que se refiere a los usos permitidos en el área de mejora ambiental y paisajística. Indica la Xunta de Galicia que el área de mejora ambiental y paisajística es una extensa área que comprende solo tierra, en la que la Ley del Parlamento de Galicia 4/2023 plasma unos objetivos determinados de ordenación (art. 39 de la ley impugnada). El área de mejora ambiental y paisajística es la zona menos afectada por la Ley de costas. Recuerda que la Ley del Parlamento de Galicia 4/2023 ha pretendido traer al texto el régimen de uso que se recoge en las normas estatales y en su caso completar la regulación con novedades basadas en la propia competencia (ordenación del territorio y litoral, dictar normas adicionales de </w:t>
      </w:r>
      <w:r>
        <w:lastRenderedPageBreak/>
        <w:t>protección del medio ambiente y urbanística sobre suelo rústico) y de modo respetuoso con los límites mínimos y máximos establecidos en la Ley de costas.</w:t>
      </w:r>
    </w:p>
    <w:p w14:paraId="0B3FB87F" w14:textId="77777777" w:rsidR="009D7677" w:rsidRDefault="009D7677" w:rsidP="009D7677">
      <w:pPr>
        <w:pStyle w:val="TextoNormal"/>
      </w:pPr>
    </w:p>
    <w:p w14:paraId="51DF3B24" w14:textId="77777777" w:rsidR="009D7677" w:rsidRDefault="009D7677" w:rsidP="009D7677">
      <w:pPr>
        <w:pStyle w:val="TextoNormal"/>
      </w:pPr>
      <w:r>
        <w:t>Frente a las alegaciones del Estado, refiere que no se regulan los usos permitidos, sino que se traen a la norma los ya regulados para una mayor comprensión de la gestión integrada. Cuando el precepto incluye usos distintos a los “agrícolas, ganaderos y forestales propios de la naturaleza del suelo rústico para los que la normativa urbanística no exige título habilitante”, integra en la Ley del Parlamento de Galicia 4/2023, la normativa urbanística (arts. 31 a 37 de la Ley del Parlamento de Galicia 2/2016, de 10 de febrero, del suelo de Galicia).</w:t>
      </w:r>
    </w:p>
    <w:p w14:paraId="42BBF7D4" w14:textId="77777777" w:rsidR="009D7677" w:rsidRDefault="009D7677" w:rsidP="009D7677">
      <w:pPr>
        <w:pStyle w:val="TextoNormal"/>
      </w:pPr>
    </w:p>
    <w:p w14:paraId="3B50B898" w14:textId="77777777" w:rsidR="009D7677" w:rsidRDefault="009D7677" w:rsidP="009D7677">
      <w:pPr>
        <w:pStyle w:val="TextoNormal"/>
      </w:pPr>
      <w:r>
        <w:t>Sostiene que las actuaciones permitidas en el art. 40.3 de la Ley del Parlamento de Galicia 4/2023, están asociadas a la prevención y extinción de incendios forestales que contempla la Ley del Parlamento de Galicia 3/2007.</w:t>
      </w:r>
    </w:p>
    <w:p w14:paraId="345E17C4" w14:textId="77777777" w:rsidR="009D7677" w:rsidRDefault="009D7677" w:rsidP="009D7677">
      <w:pPr>
        <w:pStyle w:val="TextoNormal"/>
      </w:pPr>
    </w:p>
    <w:p w14:paraId="705CB082" w14:textId="77777777" w:rsidR="009D7677" w:rsidRDefault="009D7677" w:rsidP="009D7677">
      <w:pPr>
        <w:pStyle w:val="TextoNormal"/>
      </w:pPr>
      <w:r>
        <w:t xml:space="preserve">k) También sustenta la constitucionalidad del art. 41.2 a), b), c) y d) de la Ley del Parlamento de Galicia 4/2023, referido a los usos compatibles en el área de mejora ambiental y paisajística, sujetos a intervención administrativa, por causar afección sobre los valores ambientales y paisajísticos. Recuerda que la finalidad del precepto es dar seguridad jurídica y favorecer la ansiada gestión integral del litoral y por ello trae al texto los usos que, de modo disperso, se regulan sobre el área de mejora ambiental y paisajística, lo que justifica el uso de la </w:t>
      </w:r>
      <w:r w:rsidRPr="009D7677">
        <w:rPr>
          <w:i/>
        </w:rPr>
        <w:t>lex repetita</w:t>
      </w:r>
      <w:r>
        <w:t>. Las novedades introducidas, cuando existan, se basan en competencias propias de ordenación del litoral y medio ambiente, que comprenden el desarrollo de la legislación básica estatal. Insiste en la competencia que no deriva del régimen jurídico del dominio público marítimo-terrestre —“ordenar los usos”— y la que sí deriva del mismo —establecer límites máximos y mínimos para garantizar el uso público del dominio público marítimo-terrestre y su conservación y protección—. En la zona de protección operan las competencias del art. 149.1.1 y 23 CE. Se remite a los argumentos sobre los preceptos anteriores. Destaca ciertas imprecisiones en las que incurre el recurso y destaca que conforme a los arts. 37 y 43 de la Ley del Parlamento de Galicia 4/2023 si sobre un mismo espacio confluyen normas o instrumentos con regímenes de uso distinto, se aplicará la regla que suponga una mayor protección.</w:t>
      </w:r>
    </w:p>
    <w:p w14:paraId="3A3F0232" w14:textId="77777777" w:rsidR="009D7677" w:rsidRDefault="009D7677" w:rsidP="009D7677">
      <w:pPr>
        <w:pStyle w:val="TextoNormal"/>
      </w:pPr>
    </w:p>
    <w:p w14:paraId="202BF039" w14:textId="77777777" w:rsidR="009D7677" w:rsidRDefault="009D7677" w:rsidP="009D7677">
      <w:pPr>
        <w:pStyle w:val="TextoNormal"/>
      </w:pPr>
      <w:r>
        <w:t>Añade que la denunciada inclusión de usos no previstos en la ley de costas [art. 41.2 c) y d) de la Ley del Parlamento de Galicia 4/2023], omite que en las letras a) y b) se regulan los usos comunes especiales y los usos privativos sobre el dominio público marítimo-terrestre y los usos en la zona de servidumbre de protección. Fuera de estas zonas, que se regulan en la Ley de costas, se recogen como compatibles, sujetos a título de intervención, los usos en las zonas periféricas de protección de espacios naturales y los espacios de especial interés paisajístico no incluidos en el área de protección ambiental.</w:t>
      </w:r>
    </w:p>
    <w:p w14:paraId="5B5B767F" w14:textId="77777777" w:rsidR="009D7677" w:rsidRDefault="009D7677" w:rsidP="009D7677">
      <w:pPr>
        <w:pStyle w:val="TextoNormal"/>
      </w:pPr>
    </w:p>
    <w:p w14:paraId="7AC5C65D" w14:textId="77777777" w:rsidR="009D7677" w:rsidRDefault="009D7677" w:rsidP="009D7677">
      <w:pPr>
        <w:pStyle w:val="TextoNormal"/>
      </w:pPr>
      <w:r>
        <w:t>En relación con el art. 40.3 de la Ley del Parlamento de Galicia 4/2023 en tanto que el reproche se remite a la posible inconstitucionalidad del capítulo V, posterga su defensa a la valoración del indicado capítulo.</w:t>
      </w:r>
    </w:p>
    <w:p w14:paraId="172DF62D" w14:textId="77777777" w:rsidR="009D7677" w:rsidRDefault="009D7677" w:rsidP="009D7677">
      <w:pPr>
        <w:pStyle w:val="TextoNormal"/>
      </w:pPr>
    </w:p>
    <w:p w14:paraId="3B7B1D19" w14:textId="77777777" w:rsidR="009D7677" w:rsidRDefault="009D7677" w:rsidP="009D7677">
      <w:pPr>
        <w:pStyle w:val="TextoNormal"/>
      </w:pPr>
      <w:r>
        <w:t xml:space="preserve">l) El art. 46.3 a) y b) de la Ley del Parlamento de Galicia 4/2023, recoge los usos prohibidos en el área de reordenación. Destaca los espacios del litoral que integran el área de reordenación y al menos, la zona de servicio de los puertos autonómicos y los terrenos </w:t>
      </w:r>
      <w:r>
        <w:lastRenderedPageBreak/>
        <w:t xml:space="preserve">comprendidos en la zona de servidumbre de protección del dominio público marítimo-terrestre de veinte metros regulada en el apartado 3 de la disposición transitoria tercera de la Ley de costas. Se refiere a los objetivos de ordenación de esta área (art. 45 de la ley controvertida) y por la naturaleza de los espacios recogidos en la misma se indica en el art. 46.1 de la Ley del Parlamento de Galicia 4/2023 que los usos del área de reordenación se regularán por la normativa urbanística o portuaria, sin perjuicio de lo dispuesto en la normativa de costas y del medio marino y del ejercicio por la administración del Estado de las facultades que le corresponden en su condición de titular del dominio público marítimo-terrestre. Se recuerda la pretensión de traer los usos recogidos en tales normas y que más allá de la crítica al uso de la </w:t>
      </w:r>
      <w:r w:rsidRPr="009D7677">
        <w:rPr>
          <w:i/>
        </w:rPr>
        <w:t>lex repetita</w:t>
      </w:r>
      <w:r>
        <w:t>, el precepto se refiere a los usos prohibidos de los arts. 32 y 25 LC. No se puede considerar que la Ley de costas y el Reglamento general de costas agotan el régimen jurídico del dominio público marítimo-terrestre, pues ello vaciaría la competencia autonómica (STC 34/2014).</w:t>
      </w:r>
    </w:p>
    <w:p w14:paraId="23BA36D0" w14:textId="77777777" w:rsidR="009D7677" w:rsidRDefault="009D7677" w:rsidP="009D7677">
      <w:pPr>
        <w:pStyle w:val="TextoNormal"/>
      </w:pPr>
    </w:p>
    <w:p w14:paraId="7F844974" w14:textId="77777777" w:rsidR="009D7677" w:rsidRDefault="009D7677" w:rsidP="009D7677">
      <w:pPr>
        <w:pStyle w:val="TextoNormal"/>
      </w:pPr>
      <w:r>
        <w:t>m) Defiende la constitucionalidad del art. 48.3 de la Ley del Parlamento de Galicia 4/2023. Cuestiona el escaso esfuerzo de concreción del recurrente —que no razona la incompatibilidad de las letras a) a g) del art. 48.3 de la Ley— ni desvirtúa su incompatibilidad. Afirma nuevamente la competencia autonómica de ordenación del litoral y la relativa a dictar normas adicionales de protección sobre el dominio público marítimo-terrestre y recuerda las potestades que sobre el dominio público marítimo-terrestre le corresponden al Estado [STC 149/1991, FJ 4 A) d)] y las que no le corresponden.</w:t>
      </w:r>
    </w:p>
    <w:p w14:paraId="3591E23D" w14:textId="77777777" w:rsidR="009D7677" w:rsidRDefault="009D7677" w:rsidP="009D7677">
      <w:pPr>
        <w:pStyle w:val="TextoNormal"/>
      </w:pPr>
    </w:p>
    <w:p w14:paraId="54427F16" w14:textId="77777777" w:rsidR="009D7677" w:rsidRDefault="009D7677" w:rsidP="009D7677">
      <w:pPr>
        <w:pStyle w:val="TextoNormal"/>
      </w:pPr>
      <w:r>
        <w:t>Se refiere a los siete tipos de actividades o instalaciones que requieren la ocupación del dominio público marítimo-terrestre: la letra a) contempla actividades e instalaciones reguladas en el art. 55 de la Ley del Parlamento de Galicia 4/2023, precepto que para el Consejo de Estado no es contrario al art. 32 LC; la letra b) se refiere a activades reguladas en el art. 60 de la Ley, y debe estarse a lo que sobre su constitucionalidad se indique; la letra c) se limita a favorecer el suministro energético a los establecimientos que ya ocupan legalmente el dominio público marítimo-terrestre; la letra d) recoge las instalaciones de generación de energía eléctrica a partir de fuentes renovables en el mar y sus correspondientes instalaciones auxiliares en tierra, que no son, desde luego, actividades e instalaciones que planteen dudas sobre la necesidad de ocupar espacios de dominio público marítimo-terrestre, a la vista de la presencia de ellas en los planes de ordenación del espacio marítimo aprobados por el Estado mediante Real Decreto 150/2023, de 28 de febrero, que declara numerosas “zonas de alto potencial para el desarrollo de la [energía] eólica marina”; la letra e) recoge las instalaciones náutico-deportivas necesarias para acoger la práctica de deportes náuticos, expresamente permitidos en el dominio público marítimo-terrestre de conformidad con lo establecido en el art. 70 RGC; la letra f) como la letra c), trata de favorecer las redes de comunicación en los establecimientos que ya ocupan legalmente el dominio público marítimo-terrestre, sin que pueda siquiera intuirse de dónde puede derivar la pretendida incompatibilidad con la normativa de costas; la letra g) recoge un supuesto regulado en la Ley de costas y en el art. 61.2 b RGC, pero se hace más exigente su implantación, añadiendo, por tanto, una norma adicional de protección, al introducir la exigencia de que “siempre que la documentación que se adjunte al proyecto de actividad o instalación acredite el cumplimiento de la normativa de costas e incluya un estudio de alternativas que justifique la ubicación escogida”. No hay razón alguna para declarar la inconstitucionalidad de este apartado.</w:t>
      </w:r>
    </w:p>
    <w:p w14:paraId="56054A9C" w14:textId="77777777" w:rsidR="009D7677" w:rsidRDefault="009D7677" w:rsidP="009D7677">
      <w:pPr>
        <w:pStyle w:val="TextoNormal"/>
      </w:pPr>
    </w:p>
    <w:p w14:paraId="265E9139" w14:textId="77777777" w:rsidR="009D7677" w:rsidRDefault="009D7677" w:rsidP="009D7677">
      <w:pPr>
        <w:pStyle w:val="TextoNormal"/>
      </w:pPr>
      <w:r>
        <w:lastRenderedPageBreak/>
        <w:t>Considera que el art. 48.3 de la Ley del Parlamento de Galicia 4/2023 respeta los arts. 32.1 LC y 61 RGC, que establecen aquellos límites mínimos y máximos que corresponde determinar al Estado. En cualquier caso, y dicho todo lo anterior, si el Estado considerase que una determinada localización (no la norma que la recoge, que es genérica) incumple alguna de las exigencias de las normas por las que le corresponde velar como titular demanial, dispondrá de los instrumentos que le ofrece la propia Ley de costas para impedir dicho uso.</w:t>
      </w:r>
    </w:p>
    <w:p w14:paraId="3D3A4E7C" w14:textId="77777777" w:rsidR="009D7677" w:rsidRDefault="009D7677" w:rsidP="009D7677">
      <w:pPr>
        <w:pStyle w:val="TextoNormal"/>
      </w:pPr>
    </w:p>
    <w:p w14:paraId="727471D9" w14:textId="77777777" w:rsidR="009D7677" w:rsidRDefault="009D7677" w:rsidP="009D7677">
      <w:pPr>
        <w:pStyle w:val="TextoNormal"/>
      </w:pPr>
      <w:r>
        <w:t>n) En la defensa de la constitucionalidad del art. 49.1 en el inciso “salvo que estén sujetos a declaración responsable de acuerdo con lo dispuesto en el apartado siguiente”) y los apartados 2, 3 y 4, distingue la impugnación del inciso del art. 49.1 de la Ley del Parlamento de Galicia 4/2023, que se basa en la sustitución de la autorización prevista en el art. 49 RGC por una declaración responsable, rebajando su protección y control por la administración, y afectando al mecanismo común de intervención administrativa (art. 149.1.18 CE) de las restantes impugnaciones (art. 49.2, 3 y 4 de la Ley).</w:t>
      </w:r>
    </w:p>
    <w:p w14:paraId="5DB111BA" w14:textId="77777777" w:rsidR="009D7677" w:rsidRDefault="009D7677" w:rsidP="009D7677">
      <w:pPr>
        <w:pStyle w:val="TextoNormal"/>
      </w:pPr>
    </w:p>
    <w:p w14:paraId="5BF2F37D" w14:textId="77777777" w:rsidR="009D7677" w:rsidRDefault="009D7677" w:rsidP="009D7677">
      <w:pPr>
        <w:pStyle w:val="TextoNormal"/>
      </w:pPr>
      <w:r>
        <w:t xml:space="preserve">Examina el art. 149.1.18 CE con sustento en las SSTC 54/2017, de 11 de mayo, FJ 7 b), y 55/2018, de 24 de mayo, FJ 4, y en la STC 57/2016, FJ 4, invocada por el Estado, lo que le lleva a concluir que la competencia para establecer títulos de intervención administrativa es autonómica, pero que puede ser condicionada por el Estado. La Ley de costas puede imponer declaración responsable en determinados casos, pero no agotar los casos y con ellos la competencia autonómica para regular otros. El juicio de constitucionalidad obliga a contrastar el art. 49.2 de la Ley del Parlamento de Galicia 4/2023 con la Ley de costas, para verificar si interfiere con alguna disposición o si rebaja la protección del dominio público marítimo-terrestre, al impedir a la administración del Estado emitir el informe del art. 50 RGC. Tras el contraste de ambos considera que la exigencia de declaración responsable en estos supuestos no afecta al art. 50 RGC ni rebaja la protección y es proporcionada en los mismos términos en que se justificó por el legislador estatal el art. 13 </w:t>
      </w:r>
      <w:r w:rsidRPr="009D7677">
        <w:rPr>
          <w:i/>
        </w:rPr>
        <w:t>bis</w:t>
      </w:r>
      <w:r>
        <w:t xml:space="preserve"> LC. Llama la atención que la comisión bilateral para resolver conflictos de la Ley del Parlamento de Cataluña 8/2020, de 30 de julio, de protección y ordenación del litoral en los arts. 18 y 30 recoge similar redacción y fueron considerados constitucionales. Propone finalmente una interpretación conforme, por la que se considere constitucional sin perjuicio del informe que corresponde emitir al Estado respecto a la servidumbre de tránsito, en el trámite correspondiente del título habilitante urbanístico.</w:t>
      </w:r>
    </w:p>
    <w:p w14:paraId="04143B10" w14:textId="77777777" w:rsidR="009D7677" w:rsidRDefault="009D7677" w:rsidP="009D7677">
      <w:pPr>
        <w:pStyle w:val="TextoNormal"/>
      </w:pPr>
    </w:p>
    <w:p w14:paraId="22A81747" w14:textId="77777777" w:rsidR="009D7677" w:rsidRDefault="009D7677" w:rsidP="009D7677">
      <w:pPr>
        <w:pStyle w:val="TextoNormal"/>
      </w:pPr>
      <w:r>
        <w:t>En relación con el art. 49.3 y 4 de la Ley del Parlamento de Galicia 4/2023, considera que el recurrente equipara de modo equivocado los arts. 25 y 32 LC. El art. 25.2 LC no establece como límite las “obras, instalaciones y actividades que por su naturaleza requieran la ocupación del dominio público marítimo-terrestre” sino las que “presten servicios necesarios o convenientes para el uso del dominio público marítimo-terrestre”. Apela a la necesidad o conveniencia de modo disyuntivo, no acumulativo, lo que amplía el margen de actuación en esta zona y además recoge ejemplificativamente algunas de estas instalaciones y actividades, dejando abierta la relación. Por lo que es improcedente impugnar en bloque el art. 49.4 de la Ley del Parlamento de Galicia 4/2023, sin justificar su innecesariedad o falta de conveniencia, sin que esa falta de argumentación pueda ser suplida.</w:t>
      </w:r>
    </w:p>
    <w:p w14:paraId="65EE9F02" w14:textId="77777777" w:rsidR="009D7677" w:rsidRDefault="009D7677" w:rsidP="009D7677">
      <w:pPr>
        <w:pStyle w:val="TextoNormal"/>
      </w:pPr>
    </w:p>
    <w:p w14:paraId="633D08D2" w14:textId="77777777" w:rsidR="009D7677" w:rsidRDefault="009D7677" w:rsidP="009D7677">
      <w:pPr>
        <w:pStyle w:val="TextoNormal"/>
      </w:pPr>
      <w:r>
        <w:t>ñ) La Xunta de Galicia defiende la constitucionalidad del art. 57.3 de la Ley del Parlamento de Galicia 4/2023. Dicho precepto prevé que podrán formar parte de la red de esta</w:t>
      </w:r>
      <w:r>
        <w:lastRenderedPageBreak/>
        <w:t>blecimientos turísticos del litoral, los establecimientos ubicados en el dominio público marítimo-terrestre o zona de servidumbre de protección siempre que se trate de edificaciones previamente destinadas a residencia o habitación que viniesen ocupando legítimamente el espacio en aplicación del derecho transitorio de la Ley de costas. Indica la Xunta que esta actuación aparece limitada porque la creación de la red se condiciona a la aprobación por el Consello de la Xunta de las bases reguladoras de la red (art. 56.1) que especificarán las condiciones que deben reunir las edificaciones o los requisitos exigibles y su régimen de funcionamiento (art. 56.5). Por ello concluye que difícilmente pueden intuirse los vicios que se alegan porque la red está por aprobarse. Como resulta del art. 57.2 de la Ley del Parlamento de Galicia 4/2023, no recurrido, la idea es precisamente no construir más, sino recuperar o rehabilitar edificaciones prexistentes, de especial valor —arquitectónico, histórico o cultural—. Pone en valor dicha estrategia, que ha llevado a actualizar el catálogo de estas edificaciones.</w:t>
      </w:r>
    </w:p>
    <w:p w14:paraId="011C4ACD" w14:textId="77777777" w:rsidR="009D7677" w:rsidRDefault="009D7677" w:rsidP="009D7677">
      <w:pPr>
        <w:pStyle w:val="TextoNormal"/>
      </w:pPr>
    </w:p>
    <w:p w14:paraId="654DCDD3" w14:textId="77777777" w:rsidR="009D7677" w:rsidRDefault="009D7677" w:rsidP="009D7677">
      <w:pPr>
        <w:pStyle w:val="TextoNormal"/>
      </w:pPr>
      <w:r>
        <w:t>No se pretende vulnerar la Ley de costas, pues se refiere a edificaciones, ya destinadas a residencia o habitación, que dispongan de título legítimo de ocupación por aplicación del derecho transitorio de la Ley de costas. No se está modificando el uso inicialmente establecido en la Ley de costas “residencia o habitación” para permitir una explotación económica en términos turísticos, pues el carácter de “residencia o habitación” es un concepto de la Ley de costas, que permite el uso de residencia familiar y el turístico-hotelero (STS 2773/2016, de 29 de diciembre, recurso núm. 3385-2015). No se trata de autorizar nuevos usos prohibidos en la Ley de costas, ni se desprotege el dominio público marítimo-terrestre, al no alterarse la edificabilidad y el número de usuarios. Es competencia gallega: “La promoción y la ordenación del turismo dentro de la comunidad” (art. 27.21 EAG). El precepto impugnado no afecta a los permisos que debe obtener el establecimiento, mediante los cuales se ejercerán los controles por quien corresponda.</w:t>
      </w:r>
    </w:p>
    <w:p w14:paraId="051B3732" w14:textId="77777777" w:rsidR="009D7677" w:rsidRDefault="009D7677" w:rsidP="009D7677">
      <w:pPr>
        <w:pStyle w:val="TextoNormal"/>
      </w:pPr>
    </w:p>
    <w:p w14:paraId="44D8249F" w14:textId="77777777" w:rsidR="009D7677" w:rsidRDefault="009D7677" w:rsidP="009D7677">
      <w:pPr>
        <w:pStyle w:val="TextoNormal"/>
      </w:pPr>
      <w:r>
        <w:t>o) La defensa de la constitucionalidad del art. 58.3, segundo párrafo final: “Hasta la celebración del convenio, corresponde a la persona titular del bien cumplir las obligaciones derivadas de la legislación de patrimonio cultural”, se sustenta en considerar que la STS de 28 de enero de 2004, recurso núm. 6222-2000, nada tiene que ver con el inciso impugnado. Indica en relación con el inciso que “el punto de partida es precisamente el contrario: dado que el Estado es el titular demanial de los bienes del patrimonio histórico enclavados en el dominio público marítimo-terrestre, se establece que ejerza como tal y, por tanto, asuma las obligaciones derivadas de dicho título hasta que se suscriba un convenio entre el Estado y la Comunidad Autónoma de Galicia que permita establecer un régimen concertado de protección. Esta declaración legal deriva de la legislación de patrimonio cultural, tanto estatal (art. 36.1 [de la] Ley [16/1985, de 25 de junio], del patrimonio histórico español) como autonómica (art. 32 [de la] Ley 5/2016, de 4 de mayo, del patrimonio cultural de Galicia)”.</w:t>
      </w:r>
    </w:p>
    <w:p w14:paraId="6489ECD5" w14:textId="77777777" w:rsidR="009D7677" w:rsidRDefault="009D7677" w:rsidP="009D7677">
      <w:pPr>
        <w:pStyle w:val="TextoNormal"/>
      </w:pPr>
    </w:p>
    <w:p w14:paraId="6D5E8C3F" w14:textId="77777777" w:rsidR="009D7677" w:rsidRDefault="009D7677" w:rsidP="009D7677">
      <w:pPr>
        <w:pStyle w:val="TextoNormal"/>
      </w:pPr>
      <w:r>
        <w:t xml:space="preserve">p) También se opone a la pretendida inconstitucionalidad del art. 60.3 de la Ley del Parlamento de Galicia 4/2023. Indica que el interés de la comunidad autónoma es completar la regulación estatal, para garantizar la existencia —solo cuando sea imprescindible— de estas instalaciones esenciales, por lo que se exige un aval técnico y para que las mismas queden integradas paisajísticamente en el entorno. En todo caso prevé una cláusula de salvaguarda, por la que las infraestructuras deberán cumplir la normativa básica de la Ley de costas (art. 149.1.23 CE), sin que el recurso argumente la contradicción entre la Ley del </w:t>
      </w:r>
      <w:r>
        <w:lastRenderedPageBreak/>
        <w:t xml:space="preserve">Parlamento de Galicia 4/2023 y la Ley de costas, dictada en desarrollo o como norma adicional de protección. El precepto impugnado no infringe el art. 44.6 LC, no solo porque parte del respeto a la Ley de costas, sino porque se trata de una norma adicional de protección (art. 149.1.23 CE) y es desarrollo legislativo de la legislación básica, admitida por la STC 102/1995, que modifica la STC 149/1991, FJ 1 D) </w:t>
      </w:r>
      <w:r w:rsidRPr="009D7677">
        <w:rPr>
          <w:i/>
        </w:rPr>
        <w:t>in fine</w:t>
      </w:r>
      <w:r>
        <w:t>. La exigencia de informe y la concreción de los casos en que puede construirse fuera de la ribera del mar se establece con sustento en el art 27.30 EAG.</w:t>
      </w:r>
    </w:p>
    <w:p w14:paraId="63B86997" w14:textId="77777777" w:rsidR="009D7677" w:rsidRDefault="009D7677" w:rsidP="009D7677">
      <w:pPr>
        <w:pStyle w:val="TextoNormal"/>
      </w:pPr>
    </w:p>
    <w:p w14:paraId="1602F0A3" w14:textId="77777777" w:rsidR="009D7677" w:rsidRDefault="009D7677" w:rsidP="009D7677">
      <w:pPr>
        <w:pStyle w:val="TextoNormal"/>
      </w:pPr>
      <w:r>
        <w:t>q) La defensa de la constitucionalidad de la disposición final primera, parte de que únicamente se impugna el concreto inciso de la letra e) “los relativos a la cadena mar-industria alimentaria” y la letra g) del art. 55.2 de la Ley del Parlamento de Galicia 4/2023. La genérica invocación del art. 49 LC no es adecuada, pues el art. 55 de la Ley del Parlamento de Galicia 6/2017 se refiere a los puertos ya construidos y en funcionamiento, por lo que el contraste se debe producir únicamente con el apartado 4 del art. 49 LC y el art. 105 RGC, cuyo objeto regulador son los usos comerciales y de restauración en la zona de servicio portuaria (STC 28/2016, de 18 de febrero). Indica que el art. 55 de la Ley del Parlamento de Galicia 6/2017, no regula los “usos comerciales y de restauración”, sino los “usos portuarios”. Y, los “usos portuarios”, tienen un régimen jurídico distinto que corresponde establecer al legislador autonómico (arts. 148.1.6 y 149.1.20 CE, 27.9 y 28.6 EAG). No es correcto el enfoque del recurrente cuando indica que “exceden de los usos previstos en los artículos 25 y 32 de la Ley de costas como posibles en un espacio portuario adscrito a la comunidad autónoma”. Dicho argumento, es contrario a la STC 34/2014 y es poco comprensible con la admisión del art. 49.4 LC de “usos comerciales y de restauración”, y las condiciones antes señaladas de no ocupar bienes de dominio público marítimo-terrestre que reúnan las características del art. 3 de la Ley de costas. Además, el acuerdo de la Comisión Bilateral de Cooperación Administración General del Estado-Comunidad Autónoma de Galicia de 11 de octubre de 2018, sobre los arts. 39, 44 y 52.1 de la Ley del Parlamento de Galicia 6/2017, no es contrario a la modificación del art. 55 de la Ley del Parlamento de Galicia 6/2017.</w:t>
      </w:r>
    </w:p>
    <w:p w14:paraId="7DDCA83A" w14:textId="77777777" w:rsidR="009D7677" w:rsidRDefault="009D7677" w:rsidP="009D7677">
      <w:pPr>
        <w:pStyle w:val="TextoNormal"/>
      </w:pPr>
    </w:p>
    <w:p w14:paraId="5C249755" w14:textId="77777777" w:rsidR="009D7677" w:rsidRDefault="009D7677" w:rsidP="009D7677">
      <w:pPr>
        <w:pStyle w:val="TextoNormal"/>
      </w:pPr>
      <w:r>
        <w:t>D) En este apartado da respuesta a los argumentos que se contienen en el fundamento cuarto del escrito impugnatorio relativos a la inconstitucionalidad de los arts. 11.5 a), 12.5, 21.1 d) y e), 23.2 m), 25.1 c) y 64.3 de la Ley del Parlamento de Galicia 4/2023 por extralimitación competencial, al extender las competencias autonómicas al mar territorial.</w:t>
      </w:r>
    </w:p>
    <w:p w14:paraId="4868896D" w14:textId="77777777" w:rsidR="009D7677" w:rsidRDefault="009D7677" w:rsidP="009D7677">
      <w:pPr>
        <w:pStyle w:val="TextoNormal"/>
      </w:pPr>
    </w:p>
    <w:p w14:paraId="7F573DA5" w14:textId="77777777" w:rsidR="009D7677" w:rsidRDefault="009D7677" w:rsidP="009D7677">
      <w:pPr>
        <w:pStyle w:val="TextoNormal"/>
      </w:pPr>
      <w:r>
        <w:t>Bajo el título “Ámbito de aplicación”, la Xunta de Galicia, a tenor del planteamiento del escrito de impugnación, pone de relieve que el art. 2.3 de la Ley del Parlamento de Galicia 4/2023, vincula las disposiciones sobre el mar territorial a las actuaciones que se deriven de las competencias autonómicas y sin perjuicio de las competencias estatales y añade que la Ley no considera el mar como parte del territorio gallego, con expresa referencia —para ello— a la exposición de motivos.</w:t>
      </w:r>
    </w:p>
    <w:p w14:paraId="79214638" w14:textId="77777777" w:rsidR="009D7677" w:rsidRDefault="009D7677" w:rsidP="009D7677">
      <w:pPr>
        <w:pStyle w:val="TextoNormal"/>
      </w:pPr>
    </w:p>
    <w:p w14:paraId="44B451D9" w14:textId="77777777" w:rsidR="009D7677" w:rsidRDefault="009D7677" w:rsidP="009D7677">
      <w:pPr>
        <w:pStyle w:val="TextoNormal"/>
      </w:pPr>
      <w:r>
        <w:t xml:space="preserve">Refiere que el acuerdo interpretativo de la Comisión Bilateral de Cooperación Administración General del Estado y Cataluña, sobre la Ley del Parlamento de Cataluña 8/2020, de 30 de julio, de protección y ordenación del litoral (“BOE” núm. 125, de 26 de mayo de 2021, páginas 64046 a 64050) recoge un texto idéntico al art. 2.3 de la Ley del Parlamento de Galicia 4/2023, e incluso en cada artículo con referencias o con posibles incidencias en el mar se recogen referencias de respeto al marco de distribución de competencias [arts. </w:t>
      </w:r>
      <w:r>
        <w:lastRenderedPageBreak/>
        <w:t>32.2 c), 58.7, 12.5, 23.1, 25.1, 21.3, 46.1, 48.1, 49.3, 55.3, 64.3 de la Ley], expresando la voluntad de respetar los límites competenciales, según también refiere en sus alegaciones el recurrente, no siendo sostenible que luego señale la existencia de una supuesta pretensión oculta.</w:t>
      </w:r>
    </w:p>
    <w:p w14:paraId="39628346" w14:textId="77777777" w:rsidR="009D7677" w:rsidRDefault="009D7677" w:rsidP="009D7677">
      <w:pPr>
        <w:pStyle w:val="TextoNormal"/>
      </w:pPr>
    </w:p>
    <w:p w14:paraId="4CBC4E94" w14:textId="77777777" w:rsidR="009D7677" w:rsidRDefault="009D7677" w:rsidP="009D7677">
      <w:pPr>
        <w:pStyle w:val="TextoNormal"/>
      </w:pPr>
      <w:r>
        <w:t>En la línea de justificar el dispar tratamiento de Galicia por parte del Estado en relación con otras comunidades autónomas, indica que: (i) cláusulas de salvaguarda de carácter más abierto, como son las expresadas en los arts. 99 y 94.1 del Estatuto de Autonomía de Canarias (Ley Orgánica 1/2018, de 5 de noviembre), llevaron a que el Consejo de Estado en su dictamen núm. 562/2020, considerara constitucional la definición del “ámbito espacial de la Comunidad Autónoma de Canarias”, contenida en el art. 4 del estatuto, a pesar de que para ello había que hacer una interpretación que no era la más evidente según la letra del precepto; y (ii) también se hace eco de la Ley del Parlamento de las Illes Balears 3/2023, de 17 de febrero, de Menorca reserva de biosfera, cuyo art. 4 fue sometido a la Comisión Bilateral de Cooperación Administración General del Estado-Comunidad Autónoma de las Illes Balears, alcanzándose el acuerdo de 10 de noviembre de 2023 (Resolución de 21 de noviembre de 2023, de la Secretaría General de Coordinación Territorial, por la que se publica el acuerdo de 10 de noviembre de 2023, “BOE” de 13 de diciembre), de tenor similar al art. 2.3 de la Ley del Parlamento de Galicia 4/2023, considerando que no es fácil de entender que un precepto legal sea de peor condición que un acuerdo alcanzado en el seno de un comisión bilateral. Incluso en dicho acuerdo se reconoce por el Estado de modo explícito que las competencias autonómicas —que se citan en el EAG— “en materia de ordenación del territorio y del paisaje, del litoral y urbanismo y de protección del medio ambiente, u otras que legítimamente incidan o se proyecten sobre el mar territorial”, tienen proyección sobre el mar.</w:t>
      </w:r>
    </w:p>
    <w:p w14:paraId="202622B1" w14:textId="77777777" w:rsidR="009D7677" w:rsidRDefault="009D7677" w:rsidP="009D7677">
      <w:pPr>
        <w:pStyle w:val="TextoNormal"/>
      </w:pPr>
    </w:p>
    <w:p w14:paraId="04B5ECC8" w14:textId="77777777" w:rsidR="009D7677" w:rsidRDefault="009D7677" w:rsidP="009D7677">
      <w:pPr>
        <w:pStyle w:val="TextoNormal"/>
      </w:pPr>
      <w:r>
        <w:t>En relación con el mar territorial el art. 132.2 CE no es una norma atributiva de competencias, lo cual deriva de uniforme jurisprudencia al efecto, SSTC 227/1988, de 29 de noviembre; 149/1991, y 9/2001 (avaló la proyección de competencias autonómicas sobre el mar territorial y zona económica exclusiva, concretamente marisqueo y acuicultura) por citar algunas de las más relevantes. Está descartada la tesis de que las comunidades autónomas no pueden ejercitar absolutamente ninguna competencia o facultad fuera del espacio terrestre. El Estatuto de Autonomía de Galicia recoge competencias con proyección sobre espacios marinos, tales como pesca en aguas interiores, marisqueo y acuicultura, transporte marítimo, salvamento marítimo. La competencia sobre transporte marítimo fue asumida por la Comunidad Autónoma de Galicia por transferencia de la Ley Orgánica 16/1995, de 27 de diciembre. Las SSTC 38/2002, FJ 6; 31/2010, FJ 92, y 8/2013, descartaron la posición del abogado del Estado, esto es, que una vez entramos en el mar territorial, la comunidad autónoma no puede tener competencia alguna. Conforme a dicha doctrina, la comunidad autónoma tendrá competencia, al menos, cuando el estatuto prevea expresamente que una competencia autonómica se proyecta sobre el mar, cuando la naturaleza de la competencia estatutariamente atribuida lo exija o lo implique o cuando el ejercicio extraterritorial resulte necesario o procedente para el ejercicio de la competencia autonómica. Y, además, cuando entre el elemento terrestre y marítimo haya continuidad ecológica.</w:t>
      </w:r>
    </w:p>
    <w:p w14:paraId="674359F7" w14:textId="77777777" w:rsidR="009D7677" w:rsidRDefault="009D7677" w:rsidP="009D7677">
      <w:pPr>
        <w:pStyle w:val="TextoNormal"/>
      </w:pPr>
    </w:p>
    <w:p w14:paraId="7857704B" w14:textId="77777777" w:rsidR="009D7677" w:rsidRDefault="009D7677" w:rsidP="009D7677">
      <w:pPr>
        <w:pStyle w:val="TextoNormal"/>
      </w:pPr>
      <w:r>
        <w:t xml:space="preserve">Recuerda la finalidad de la Ley del Parlamento de Galicia 4/2023 que se integra en el marco del movimiento supranacional, del que se hace eco la exposición de motivos, con referencia expresa al Protocolo de 2008 y a la Recomendación 2002/413/CE , así como el </w:t>
      </w:r>
      <w:r>
        <w:lastRenderedPageBreak/>
        <w:t>respeto al bloque constitucional de distribución de competencias (art. 2.3 de la Ley del Parlamento de Galicia 4/2023). Cita los arts. 7 —enfoque ecosistémico— y 8 —que define la gestión integrada del litoral— de la Ley y se refiere extensamente al contenido del informe que aporta como documento núm. 6. Insiste en los títulos competenciales que operan sobre el dominio público marítimo-terrestre y a los que ya se ha referido reiteradamente en sus alegaciones.</w:t>
      </w:r>
    </w:p>
    <w:p w14:paraId="2365C827" w14:textId="77777777" w:rsidR="009D7677" w:rsidRDefault="009D7677" w:rsidP="009D7677">
      <w:pPr>
        <w:pStyle w:val="TextoNormal"/>
      </w:pPr>
    </w:p>
    <w:p w14:paraId="36DC02D9" w14:textId="77777777" w:rsidR="009D7677" w:rsidRDefault="009D7677" w:rsidP="009D7677">
      <w:pPr>
        <w:pStyle w:val="TextoNormal"/>
      </w:pPr>
      <w:r>
        <w:t>Cuestiona nuevamente el incumplimiento de la carga argumental del recurso —reiterando lo argumentado en el apartado A) de sus alegaciones—, al no identificar las competencias estatales sobre los espacios marinos ni los artículos de la Ley 41/2010, o de los reglamentos que la desarrollan que se están desconociendo.</w:t>
      </w:r>
    </w:p>
    <w:p w14:paraId="35ECC339" w14:textId="77777777" w:rsidR="009D7677" w:rsidRDefault="009D7677" w:rsidP="009D7677">
      <w:pPr>
        <w:pStyle w:val="TextoNormal"/>
      </w:pPr>
    </w:p>
    <w:p w14:paraId="2AEFC805" w14:textId="77777777" w:rsidR="009D7677" w:rsidRDefault="009D7677" w:rsidP="009D7677">
      <w:pPr>
        <w:pStyle w:val="TextoNormal"/>
      </w:pPr>
      <w:r>
        <w:t>Se refiere a continuación a los concretos preceptos que en este cuarto bloque se impugnan:</w:t>
      </w:r>
    </w:p>
    <w:p w14:paraId="684E407C" w14:textId="77777777" w:rsidR="009D7677" w:rsidRDefault="009D7677" w:rsidP="009D7677">
      <w:pPr>
        <w:pStyle w:val="TextoNormal"/>
      </w:pPr>
    </w:p>
    <w:p w14:paraId="170D9890" w14:textId="77777777" w:rsidR="009D7677" w:rsidRDefault="009D7677" w:rsidP="009D7677">
      <w:pPr>
        <w:pStyle w:val="TextoNormal"/>
      </w:pPr>
      <w:r>
        <w:t>a) Considera que la impugnación del art. 11.5 a) de la Ley del Parlamento de Galicia 4/2023 es un ejemplo de la falta de carga argumentativa. La impugnación se limita a señalar que el precepto atribuye la elaboración de un plan de ordenación marítima y planes especiales de ría desconociendo tanto la competencia estatal sobre espacios marinos como el régimen de protección del medio marino establecido con carácter básico en la Ley 41/2010 y en sus reglamentos, sin identificar a qué concretos artículos de estas normas se refiere. El escrito de impugnación recoge la expresión “gestión integrada del litoral” que no se encuentra en el precepto impugnado. La impugnación solo cuestiona la referencia al plan de ordenación marítima y a los planes especiales de ría, pero el precepto solo regula la distribución de funciones en la administración gallega, por lo que, si lo cuestionado son los planes, lo impugnable serán los planes finales o los artículos de la Ley del Parlamento de Galicia 4/2023 que a ellos se refieren. En tal sentido, el art. 26, sobre planes especiales de ría, no está recurrido, por lo que no se entiende la impugnación del art. 11.5 a) de la Ley. Por otra parte, el plan de ordenación marina, no es impugnado en relación con su propia existencia (art. 25.1 de la Ley), por lo que ni tan siquiera por conexión cabría anular el art. 11.5 a) de la Ley del Parlamento de Galicia 4/2023.</w:t>
      </w:r>
    </w:p>
    <w:p w14:paraId="1B65DF05" w14:textId="77777777" w:rsidR="009D7677" w:rsidRDefault="009D7677" w:rsidP="009D7677">
      <w:pPr>
        <w:pStyle w:val="TextoNormal"/>
      </w:pPr>
    </w:p>
    <w:p w14:paraId="2C48E8A5" w14:textId="77777777" w:rsidR="009D7677" w:rsidRDefault="009D7677" w:rsidP="009D7677">
      <w:pPr>
        <w:pStyle w:val="TextoNormal"/>
      </w:pPr>
      <w:r>
        <w:t>La referencia a que se impugna en conexión con los arts. 21.1 d) y e) y 23.2 m) tampoco solventa el problema de la carga argumental pues en las impugnaciones de tales preceptos no se contiene argumentación alguna.</w:t>
      </w:r>
    </w:p>
    <w:p w14:paraId="3940DAD3" w14:textId="77777777" w:rsidR="009D7677" w:rsidRDefault="009D7677" w:rsidP="009D7677">
      <w:pPr>
        <w:pStyle w:val="TextoNormal"/>
      </w:pPr>
    </w:p>
    <w:p w14:paraId="09423F92" w14:textId="77777777" w:rsidR="009D7677" w:rsidRDefault="009D7677" w:rsidP="009D7677">
      <w:pPr>
        <w:pStyle w:val="TextoNormal"/>
      </w:pPr>
      <w:r>
        <w:t xml:space="preserve">b) En relación con el art. 12.5 de la Ley del Parlamento de Galicia 4/2023, la Xunta de Galicia refiere que se cuestiona dicho precepto, pero en realidad la impugnación se refiere al art. 64 de la Ley. Se ignora la razón de la inconstitucionalidad del art. 12.5 de la Ley, no hay ninguna interferencia con informes, competencias o facultades estatales, ni lo indica el impugnante. Un instituto gallego que controle la calidad del medio marino es una norma adicional de protección del medio ambiente. Afirma que se traen al precepto aspectos que no se contienen en su literalidad, en particular cuando se le atribuye la emisión de “un informe de compatibilidad con los objetivos de calidad y ambientales de las aguas de Galicia”. Se desconoce el artículo de la Ley 41/2010 que resulta vulnerado y se cuestiona, que pese a que dicha ley es norma básica (art. 149.1.23 CE) se le atribuya competencia exclusiva. Considera que el art. 12.5 de la Ley del Parlamento de Galicia 4/2023 hay que entenderlo en relación con el ejercicio de competencias que tiene Galicia (art. 2.3 de la </w:t>
      </w:r>
      <w:r>
        <w:lastRenderedPageBreak/>
        <w:t>Ley), como norma adicional de protección del medio ambiente, que no interfiere con los controles del Estado. Las estrategias marinas aprobadas por el Estado no son excluyentes ni determinan la inconstitucionalidad del precepto.</w:t>
      </w:r>
    </w:p>
    <w:p w14:paraId="49623B47" w14:textId="77777777" w:rsidR="009D7677" w:rsidRDefault="009D7677" w:rsidP="009D7677">
      <w:pPr>
        <w:pStyle w:val="TextoNormal"/>
      </w:pPr>
    </w:p>
    <w:p w14:paraId="1131E696" w14:textId="77777777" w:rsidR="009D7677" w:rsidRDefault="009D7677" w:rsidP="009D7677">
      <w:pPr>
        <w:pStyle w:val="TextoNormal"/>
      </w:pPr>
      <w:r>
        <w:t>c) Afirma la Xunta de Galicia que la impugnación del art. 21.1 d) y e) de la Ley del Parlamento de Galicia 4/2023 —que prevé respectivamente que la ordenación del litoral se realice mediante el plan de ordenación marina y los planes especiales de ría—, se sustenta con la impugnación de los arts. 11.5 1) y 23.2 m) de la Ley, pero que en relación con estos últimos nada se dice argumentativamente. Insiste que, si lo impugnado son los planes, habrá que atender a la impugnación de los artículos que a dichos planes se refieren y en realidad lo impugnable serán los planes finales. Destaca que el art. 26 de la Ley del Parlamento de Galicia 4/2023 referido a los planes especiales de ría no está recurrido, por lo que no se puede entender impugnado el art. 21.1 e). Y en relación con el plan de ordenación marina, previsto en el art. 25, no se impugna la existencia del plan (ni se impugna todo el precepto, ni su apartado primero), pues solo se impugna la mención de la letra c) del art. 25.1 de la Ley: “apoyar el desarrollo sostenible del sector energético, con respeto de la biodiversidad y la pesca, el marisqueo y la acuicultura”, por lo que, perviviendo el propio plan y las demás menciones, no cabe anular el art. 21.1 d) de la Ley del Parlamento de Galicia 4/2023. Añade que vuelve a repetir, en relación con el art. 21.1 d) y e) de la Ley, la frase “desconociendo tanto las competencias estatales sobre los espacios marinos como el régimen de protección del medio marino establecido con carácter básico”, pero no identifica los artículos de la ley o los reglamentos eventualmente vulnerados, incumpliendo la carga impugnatoria.</w:t>
      </w:r>
    </w:p>
    <w:p w14:paraId="1EDF9F12" w14:textId="77777777" w:rsidR="009D7677" w:rsidRDefault="009D7677" w:rsidP="009D7677">
      <w:pPr>
        <w:pStyle w:val="TextoNormal"/>
      </w:pPr>
    </w:p>
    <w:p w14:paraId="4F095F18" w14:textId="77777777" w:rsidR="009D7677" w:rsidRDefault="009D7677" w:rsidP="009D7677">
      <w:pPr>
        <w:pStyle w:val="TextoNormal"/>
      </w:pPr>
      <w:r>
        <w:t>d) Considera que la impugnación del art. 23.2 m) de la Ley del Parlamento de Galicia 4/2023 incumple la carga impugnatoria. No se impugna la existencia de directrices de ordenación del litoral —el art. 23.1 de la Ley no se recurre—, sino que las directrices recojan —en el marco de las competencias de la Comunidad Autónoma de Galicia, como indica el art. 23.1 de la Ley del Parlamento de Galicia 4/2023— criterios sobre los usos estratégicos y prioritarios del mar a los efectos de elaborar el plan de ordenación marina. Las directrices fijan criterios a los efectos de la elaboración del plan de ordenación marina, por lo que parece cuestionar el plan y habrá que atender al contenido del plan finalmente aprobado o a la impugnación de los preceptos que regulen el plan de ordenación marina. El art. 25 de la Ley del Parlamento de Galicia 4/2023 no aparece impugnado en su apartado 1, esto es, el relativo a la existencia del plan. Únicamente se impugna la finalidad del plan que prevé el art. 25.1 c) de la Ley: apoyar el desarrollo sostenible del sector energético, con respeto de la biodiversidad y la pesca, el marisqueo y la acuicultura. Al pervivir el plan y todas las menciones del mismo no impugnadas, no cabe anular la mención del art. 23.2 m) de la Ley del Parlamento de Galicia 4/2023. Cuestiona la imprecisión de la impugnación y recuerda que debe tomarse en consideración la cláusula de salvaguarda de los arts. 2.3 y 23 de la Ley. Reitera que sobre el mar pueden existir competencias autonómicas, por lo que se implanten “criterios” para usos estratégicos y prioritarios de las competencias que puedan existir, no determina que el precepto sea inconstitucional. Indica que sobre el mar hay competencias básicas estales y no puede ser inconstitucional, establecer normas adicionales de protección. La impugnación parte de que las facultades estatales son excluyentes de cualquier intervención autonómica lo que es contrario a la doctrina constitucional y al propio acuerdo de la Comisión Bilateral de Cooperación Administración General del Estado-Comunidad Autónoma de las Illes Balears, para solventar discre</w:t>
      </w:r>
      <w:r>
        <w:lastRenderedPageBreak/>
        <w:t>pancias respecto a varios de los artículos de la Ley del Parlamento de las Illes Balears 3/2023, de 17 de febrero, de Menorca reserva de biosfera (“BOE” de 14 de diciembre), en relación al reconocimiento de la constitucionalidad de las previsiones del plan director sectorial balear para la ordenación del litoral.</w:t>
      </w:r>
    </w:p>
    <w:p w14:paraId="3C7A95A1" w14:textId="77777777" w:rsidR="009D7677" w:rsidRDefault="009D7677" w:rsidP="009D7677">
      <w:pPr>
        <w:pStyle w:val="TextoNormal"/>
      </w:pPr>
    </w:p>
    <w:p w14:paraId="6464DD99" w14:textId="77777777" w:rsidR="009D7677" w:rsidRDefault="009D7677" w:rsidP="009D7677">
      <w:pPr>
        <w:pStyle w:val="TextoNormal"/>
      </w:pPr>
      <w:r>
        <w:t>e) Insiste en sus argumentos, ahora proyectados frente a la impugnación del art. 25.1 c) de la Ley del Parlamento de Galicia 4/2023. Considera que no se impugna la existencia del plan de ordenación marina, sino una concreta finalidad: “apoyar” el desarrollo sostenible del sector energético, por lo que será en el concreto plan donde se podrá supervisar la existencia de una interferencia con las competencias estatales. Indica que es posible una interpretación conforme con el bloque de constitucionalidad en relación con el apoyo del desarrollo sostenible de un sector como el energético, que en su confluencia de espacios —parques eólicos— puede proyectarse sobre la pesca, el marisqueo y la acuicultura o la biodiversidad. Apunta a que las instalaciones de generación eléctrica en el mar requieren continuidad mar-tierra, porque la energía luego se distribuye en tierra. Indica que la STC 3/2014, no es aplicable al referirse a autorizaciones de instalaciones de generación eléctrica en el mar territorial.</w:t>
      </w:r>
    </w:p>
    <w:p w14:paraId="779007E8" w14:textId="77777777" w:rsidR="009D7677" w:rsidRDefault="009D7677" w:rsidP="009D7677">
      <w:pPr>
        <w:pStyle w:val="TextoNormal"/>
      </w:pPr>
    </w:p>
    <w:p w14:paraId="1D205E5B" w14:textId="77777777" w:rsidR="009D7677" w:rsidRDefault="009D7677" w:rsidP="009D7677">
      <w:pPr>
        <w:pStyle w:val="TextoNormal"/>
      </w:pPr>
      <w:r>
        <w:t>f) Considera que la regulación del informe de compatibilidad con los objetivos de calidad y ambientales de las aguas de Galicia, que prevé el impugnado art. 64.3 de la Ley del Parlamento de Galicia 4/2023, es respetuosa con el sistema de distribución de competencias al tratarse de una norma adicional de protección ambiental con una mención textual: “con respeto a lo dispuesto en la normativa de protección del medio marino”. La habilitación competencial del precepto se recoge en la exposición de motivos y se trata de una norma adicional de protección (art. 27.30 EAG). El encuadre de la materia en medio ambiente es afirmado en la impugnación al recoger el art. 149.1.23 CE al reconocer la impugnación que “la Comunidad Autónoma de Galicia es competente en las citadas aguas costeras de la demarcación hidrográfica Galicia costa”, difícilmente puede ser entonces inconstitucional el apartado impugnado. Por otra parte, no se indica qué precepto de la Ley 42/2007 se vulnera. Por otra parte, dicha ley sustenta la idea compartida por la Ley del Parlamento de Galicia 4/2023 de que la preservación del patrimonio natural es deber de todos los poderes, en sus respectivos ámbitos de competencia (art. 5 LPNB) y que las competencias del Estado sobre el medio marino lo son “sin perjuicio de las competencias de las comunidades autónomas del litoral”. Es por ello por lo que Galicia aprobó la Ley 5/2019, de 2 de agosto, del patrimonio natural y de la biodiversidad de Galicia cuyo artículo 4 alude a las competencias autonómicas.</w:t>
      </w:r>
    </w:p>
    <w:p w14:paraId="45B8DDBD" w14:textId="77777777" w:rsidR="009D7677" w:rsidRDefault="009D7677" w:rsidP="009D7677">
      <w:pPr>
        <w:pStyle w:val="TextoNormal"/>
      </w:pPr>
    </w:p>
    <w:p w14:paraId="36E06851" w14:textId="77777777" w:rsidR="009D7677" w:rsidRDefault="009D7677" w:rsidP="009D7677">
      <w:pPr>
        <w:pStyle w:val="TextoNormal"/>
      </w:pPr>
      <w:r>
        <w:t>Añade que al referirse el art. 64.3 de la Ley del Parlamento de Galicia 4/2023 a “aguas de Galicia”, el informe se daría en relación con las aguas donde la Comunidad Autónoma de Galicia puede realizar sus funciones. Insiste en la competencia del art. 27.30 EAG, en relación con el argumento del Estado de que en la Ley 41/2010, se contiene idéntico informe. Para finalizar añade que la propia Ley 41/2010, parte de la singularidad de las “aguas costeras” y reconoce sobre ellas que existen otras normas y otros títulos en virtud de los cuales puede regularse el objetivo de alcanzar el buen estado de dichas aguas.</w:t>
      </w:r>
    </w:p>
    <w:p w14:paraId="042B4DF2" w14:textId="77777777" w:rsidR="009D7677" w:rsidRDefault="009D7677" w:rsidP="009D7677">
      <w:pPr>
        <w:pStyle w:val="TextoNormal"/>
      </w:pPr>
    </w:p>
    <w:p w14:paraId="5AF437E6" w14:textId="77777777" w:rsidR="009D7677" w:rsidRDefault="009D7677" w:rsidP="009D7677">
      <w:pPr>
        <w:pStyle w:val="TextoNormal"/>
      </w:pPr>
      <w:r>
        <w:t>E) En este apartado da respuesta a los argumentos que se contienen en el fundamento quinto del escrito impugnatorio relativos a la inconstitucionalidad de los arts. 2.1 y 2; 3 a); 11.4 b) y 5 b); 35.3; 41.3; 46.2; 48.1, 4 y 5; 52; 53.1, inciso “todos los títulos de interven</w:t>
      </w:r>
      <w:r>
        <w:lastRenderedPageBreak/>
        <w:t>ción requeridos por la normativa vigente”, 3 y 4; 62.5 inciso inicial: “[c]uando el otorgamiento del título de ocupación corresponda a la administración general de la Comunidad Autónoma de Galicia conforme a lo previsto en el artículo 48”; y disposición final quinta en el inciso: “salvo lo establecido en el artículo 48.1 con respecto al ejercicio de las competencias autonómicas para el otorgamiento de las autorizaciones y concesiones del dominio público marítimo-terrestre, cuya entrada en vigor queda supeditada a la publicación del real decreto de traspasos de funciones y servicios de la administración general del Estado a la Comunidad Autónoma de Galicia”, por atribuirse la gestión de los títulos de ocupación del dominio público marítimo-terrestre sin tener competencia estatutaria para ello.</w:t>
      </w:r>
    </w:p>
    <w:p w14:paraId="45249CE4" w14:textId="77777777" w:rsidR="009D7677" w:rsidRDefault="009D7677" w:rsidP="009D7677">
      <w:pPr>
        <w:pStyle w:val="TextoNormal"/>
      </w:pPr>
    </w:p>
    <w:p w14:paraId="301BDF46" w14:textId="77777777" w:rsidR="009D7677" w:rsidRDefault="009D7677" w:rsidP="009D7677">
      <w:pPr>
        <w:pStyle w:val="TextoNormal"/>
      </w:pPr>
      <w:r>
        <w:t>Bajo el título “Ámbito de impugnación”, la Xunta de Galicia, a tenor del planteamiento del escrito de impugnación, efectúa unas consideraciones generales antes de abordar la impugnación de los concretos preceptos. Rebate que la ley atribuya competencias, al indicar que la Ley del Parlamento de Galicia 4/2023 recoge una competencia estatutaria y en tanto no se han transferido por real decreto las funciones y servicios de la Administración General del Estado a la Comunidad Autónoma de Galicia, en materia de ordenación del litoral se introducen algunas salvedades en el art. 48 y en la disposición final quinta de la Ley del Parlamento de Galicia 4/2023.</w:t>
      </w:r>
    </w:p>
    <w:p w14:paraId="21CD7417" w14:textId="77777777" w:rsidR="009D7677" w:rsidRDefault="009D7677" w:rsidP="009D7677">
      <w:pPr>
        <w:pStyle w:val="TextoNormal"/>
      </w:pPr>
    </w:p>
    <w:p w14:paraId="4AF77B23" w14:textId="77777777" w:rsidR="009D7677" w:rsidRDefault="009D7677" w:rsidP="009D7677">
      <w:pPr>
        <w:pStyle w:val="TextoNormal"/>
      </w:pPr>
      <w:r>
        <w:t>Centra el debate en si se puede determinar que el Estatuto de Autonomía de Galicia contiene esa competencia referida al otorgamiento de las autorizaciones y concesiones del dominio público marítimo-terrestre. Y considera que en el dictamen núm. 227/2022 del Consello Consultivo de Galicia —cuyo contenido es extensamente reproducido— se concluye que de los términos de los arts. 27.3 y 37.2 EAG y de la doctrina actual del Tribunal Constitucional (SSTC 31/2010; 57/2016, y 18/2022), se deduce que la competencia asumida por la Comunidad Autónoma de Galicia sobre la “ordenación del territorio y del litoral” comprende las facultades sobre la “gestión” de los títulos de uso y ocupación del dominio público marítimo-terrestre, comprensibles de las funciones ejecutivas de otorgamiento (y, consiguientemente, también las relativas a la prórroga, modificación y extinción) de las autorizaciones y concesiones previstas en la normativa de costas para la utilización y ocupación del dominio público marítimo-terrestre del litoral gallego no adscrito.</w:t>
      </w:r>
    </w:p>
    <w:p w14:paraId="78DED32F" w14:textId="77777777" w:rsidR="009D7677" w:rsidRDefault="009D7677" w:rsidP="009D7677">
      <w:pPr>
        <w:pStyle w:val="TextoNormal"/>
      </w:pPr>
    </w:p>
    <w:p w14:paraId="1D387A05" w14:textId="77777777" w:rsidR="009D7677" w:rsidRDefault="009D7677" w:rsidP="009D7677">
      <w:pPr>
        <w:pStyle w:val="TextoNormal"/>
      </w:pPr>
      <w:r>
        <w:t>Destaca del dictamen los siguientes aspectos: (i) La atribución de competencia exclusiva sobre una materia, comprende todas las facultades o funciones que naturalmente son desarrollables en relación con tal materia; (ii) El mayor o menor grado de concreción normativa en la atribución de competencias por parte de los estatutos de autonomía no opera como factor decisivo en el reparto competencial entre el Estado y las comunidades autónomas; (iii) La determinación del alcance de la asunción estatutaria de competencias no es algo estático sino dinámico; (iv) El Tribunal Constitucional puede considerar que una precisión estatutaria de competencias resulta conforme con la Constitución, aunque ello suponga una matización, modificación o revisión de su propia doctrina precedente sobre el alcance de las competencias estatales; (v) La nueva delimitación competencial no puede entenderse aplicable exclusivamente a una concreta comunidad autónoma; (vi) La Comunidad Autónoma de Galicia asumió la competencia sobre ordenación del territorio y del litoral en el art. 27.3 EAG; (vii) Dicha competencia comprende todas las facultades o funciones en relación con dicha materia (art. 37.2 EAG); (viii) La competencia exclusiva no puede verse afectada por la titularidad del dominio público marítimo-terrestre que no es criterio de delimitación de competencias; (ix) La Ley de costas, al regular funciones ejecu</w:t>
      </w:r>
      <w:r>
        <w:lastRenderedPageBreak/>
        <w:t>tivas como funciones del Estado, no opera ni como norma atributiva, ni como norma delimitadora de competencias; (x) El art. 110 b) LC partió de un determinado entendimiento del bloque de constitucionalidad que el Tribunal Constitucional consideró conforme con el bloque de constitucionalidad; (xi) El art. 149.3 b) del Estatuto de Autonomía de Cataluña (EAC), concreta una competencia propia, pues de tratarse de una competencia estatal se hubiera precisado una transferencia al amparo del art. 150 CE; (xii) La STC 31/2010, FJ 92, consideró la concreción del Estatuto de Autonomía de Cataluña conforme a la Constitución desde una perspectiva material y formal; (xiii) Esa doctrina constitucional no puede circunscribir sus efectos a la Comunidad Autónoma de Cataluña y a aquellas otras (como la andaluza, la balear y la canaria) cuyos estatutos recojan la mención expresa de la gestión de los títulos de dominio público marítimo-terrestre; (xiv) Si las facultades del Estado sobre el espacio demanial derivadas de la titularidad de dicho dominio están conectadas con su necesaria protección, necesariamente han de ser, como regla general, uniformes en todo el territorio nacional sin que el Estado pueda retenerlas en tal concepto solo en algunas comunidades autónomas y no en otras por la única razón de la falta de concreción estatutaria expresa de dichas facultades; (xv) La competencia del art. 27.3 EAG comprende la gestión de los títulos de ocupación y uso del dominio público marítimo-terrestre entendida como función ejecutiva, lo cual excluye la necesidad de modificar el Estatuto de Autonomía para Galicia para la asunción de la competencia en este ámbito; (xvi) Al tratarse de funciones de gestión, de carácter ejecutivo, sí que resulta necesario el traspaso de medios y servicios para que estas puedan ser efectivamente ejercidas por la Comunidad Autónoma de Galicia; y (xvii) La falta de traspaso, no puede afectar al reparto competencial y a la regulación por la Comunidad Autónoma de Galicia de las funciones ejecutivas, por lo que cabe dictar normas legales y reglamentarias con respecto al dominio público marítimo-terrestre que disciplinen las cuestiones relativas al ejercicio de las funciones ejecutivas.</w:t>
      </w:r>
    </w:p>
    <w:p w14:paraId="18767469" w14:textId="77777777" w:rsidR="009D7677" w:rsidRDefault="009D7677" w:rsidP="009D7677">
      <w:pPr>
        <w:pStyle w:val="TextoNormal"/>
      </w:pPr>
    </w:p>
    <w:p w14:paraId="775E6DC4" w14:textId="77777777" w:rsidR="009D7677" w:rsidRDefault="009D7677" w:rsidP="009D7677">
      <w:pPr>
        <w:pStyle w:val="TextoNormal"/>
      </w:pPr>
      <w:r>
        <w:t>A continuación, examina el tratamiento de la competencia exclusiva en materia de ordenación del litoral en la Comunidad Autónoma de Galicia y en las comunidades autónomas de Cataluña y de Andalucía, con referencia a la de las Illes Balears y de Canarias.</w:t>
      </w:r>
    </w:p>
    <w:p w14:paraId="05460A65" w14:textId="77777777" w:rsidR="009D7677" w:rsidRDefault="009D7677" w:rsidP="009D7677">
      <w:pPr>
        <w:pStyle w:val="TextoNormal"/>
      </w:pPr>
    </w:p>
    <w:p w14:paraId="68A9ABA2" w14:textId="77777777" w:rsidR="009D7677" w:rsidRDefault="009D7677" w:rsidP="009D7677">
      <w:pPr>
        <w:pStyle w:val="TextoNormal"/>
      </w:pPr>
      <w:r>
        <w:t>Destaca que la Comunidad Autónoma de Galicia recoge en el tantas veces referido art. 27.3 EAG, con el alcance del art. 37.2 EAG, la competencia exclusiva sobre ordenación del litoral que comprende la función ejecutiva y que mediante Real Decreto 659/1985, de 17 de abril, la administración general del Estado viene a transferir a la Comunidad Autónoma de Galicia las funciones que se integran en la competencia de ordenación del litoral. La primera función transferida fue aprobar planes que afecten al litoral, reservándose la administración general del Estado funciones de emisión de informes y de autorización de la ocupación, de tramitación y resolución de las concesiones y autorizaciones incluidas en el dominio público marítimo-terrestre.</w:t>
      </w:r>
    </w:p>
    <w:p w14:paraId="01A3466A" w14:textId="77777777" w:rsidR="009D7677" w:rsidRDefault="009D7677" w:rsidP="009D7677">
      <w:pPr>
        <w:pStyle w:val="TextoNormal"/>
      </w:pPr>
    </w:p>
    <w:p w14:paraId="36F84ACA" w14:textId="77777777" w:rsidR="009D7677" w:rsidRDefault="009D7677" w:rsidP="009D7677">
      <w:pPr>
        <w:pStyle w:val="TextoNormal"/>
      </w:pPr>
      <w:r>
        <w:t xml:space="preserve">En términos análogos la Comunidad Autónoma de Cataluña recogía en los arts. 9 y 25 EAC la competencia exclusiva sobre ordenación del litoral y en términos similares —pero no idénticos— mediante el Real Decreto 3301/1981, de 18 de diciembre, sobre transferencia de servicios del Estado a la Generalitat de Cataluña en materia de ordenación del litoral, se le transfirieron funciones, tales como: aprobar planes de ordenación del litoral, que incluyan las playas pero “en ningún caso” la zona marítimo-terrestre; tramitar expedientes de concesión de dominio público, pero la resolución de los expedientes de concesión se </w:t>
      </w:r>
      <w:r>
        <w:lastRenderedPageBreak/>
        <w:t>los reservaba la Administración General del Estado. Tras la reforma del Estatuto de Autonomía de Cataluña, su art. 149.3 recoge la competencia en materia de ordenación del litoral y precisa las funciones ejecutivas que se incluyen en dicha competencia, con la cautela de que se ejercerán respetando el régimen del dominio público marítimo-terrestre. Tras la reforma estatutaria, mediante Real Decreto 1404/2007, de 29 de octubre, el Estado transfirió a la Comunidad Autónoma de Cataluña varias funciones relativas a autorizaciones e instalaciones marítimas, luego ampliadas mediante Real Decreto 1387/2008, de 1 de agosto, en que se reserva el Estado las mismas funciones y potestades que fueron reservadas en los originales reales decretos de transferencia.</w:t>
      </w:r>
    </w:p>
    <w:p w14:paraId="0EF90D5B" w14:textId="77777777" w:rsidR="009D7677" w:rsidRDefault="009D7677" w:rsidP="009D7677">
      <w:pPr>
        <w:pStyle w:val="TextoNormal"/>
      </w:pPr>
    </w:p>
    <w:p w14:paraId="5F631C8B" w14:textId="77777777" w:rsidR="009D7677" w:rsidRDefault="009D7677" w:rsidP="009D7677">
      <w:pPr>
        <w:pStyle w:val="TextoNormal"/>
      </w:pPr>
      <w:r>
        <w:t>La Comunidad Autónoma de Andalucía siguió un recorrido similar a la Comunidad Autónoma de Cataluña, con una inicial previsión estatutaria análoga, un inicial traspaso de funciones y servicios (Real Decreto 2803/1983, de 25 de agosto), una posterior reforma estatutaria que precisa la inclusión en la competencia exclusiva de ordenación del litoral la emisión de títulos demaniales (art. 56.6 de su estatuto de autonomía) y un posterior traspaso de funciones en materia de otorgamiento de títulos habilitantes (Real Decreto 62/2011, de 21 de enero) con reserva del Estado de la función de emitir informes preceptivos relativos a la integridad física y garantía de libre acceso y la necesidad de acuerdo entre las administraciones en caso de informe no favorable.</w:t>
      </w:r>
    </w:p>
    <w:p w14:paraId="6E52DC9F" w14:textId="77777777" w:rsidR="009D7677" w:rsidRDefault="009D7677" w:rsidP="009D7677">
      <w:pPr>
        <w:pStyle w:val="TextoNormal"/>
      </w:pPr>
    </w:p>
    <w:p w14:paraId="5EC58C68" w14:textId="77777777" w:rsidR="009D7677" w:rsidRDefault="009D7677" w:rsidP="009D7677">
      <w:pPr>
        <w:pStyle w:val="TextoNormal"/>
      </w:pPr>
      <w:r>
        <w:t>En términos similares las comunidades autónomas de las Illes Balears y Canarias recogen su competencia en materia de ordenación del litoral y de forma similar “se les han transferido las funciones propias de esa competencia”.</w:t>
      </w:r>
    </w:p>
    <w:p w14:paraId="62EB3E9D" w14:textId="77777777" w:rsidR="009D7677" w:rsidRDefault="009D7677" w:rsidP="009D7677">
      <w:pPr>
        <w:pStyle w:val="TextoNormal"/>
      </w:pPr>
    </w:p>
    <w:p w14:paraId="780206D4" w14:textId="77777777" w:rsidR="009D7677" w:rsidRDefault="009D7677" w:rsidP="009D7677">
      <w:pPr>
        <w:pStyle w:val="TextoNormal"/>
      </w:pPr>
      <w:r>
        <w:t>A continuación, entra a examinar las concretas impugnaciones, de los diversos preceptos, efectuadas en este bloque por el abogado del Estado:</w:t>
      </w:r>
    </w:p>
    <w:p w14:paraId="4EC15DF0" w14:textId="77777777" w:rsidR="009D7677" w:rsidRDefault="009D7677" w:rsidP="009D7677">
      <w:pPr>
        <w:pStyle w:val="TextoNormal"/>
      </w:pPr>
    </w:p>
    <w:p w14:paraId="3F05FE41" w14:textId="77777777" w:rsidR="009D7677" w:rsidRDefault="009D7677" w:rsidP="009D7677">
      <w:pPr>
        <w:pStyle w:val="TextoNormal"/>
      </w:pPr>
      <w:r>
        <w:t>a) Cuestiona la impugnación que por remisión se efectúa del art. 2.1 y 2 de la Ley del Parlamento de Galicia 4/2023 e indica que se desconoce el por qué se traen estos apartados al fundamento que se refiere a la gestión de los títulos de ocupación, lo que por sí lleva a desestimar la impugnación. Subsidiariamente se remite al fundamento tercero del escrito correlativo al de la impugnación.</w:t>
      </w:r>
    </w:p>
    <w:p w14:paraId="357C0DE2" w14:textId="77777777" w:rsidR="009D7677" w:rsidRDefault="009D7677" w:rsidP="009D7677">
      <w:pPr>
        <w:pStyle w:val="TextoNormal"/>
      </w:pPr>
    </w:p>
    <w:p w14:paraId="5986D42F" w14:textId="77777777" w:rsidR="009D7677" w:rsidRDefault="009D7677" w:rsidP="009D7677">
      <w:pPr>
        <w:pStyle w:val="TextoNormal"/>
      </w:pPr>
      <w:r>
        <w:t>b) Rechaza la impugnación del art. 3 a) de la Ley del Parlamento de Galicia 4/2023, pues es claro que la Comunidad Autónoma de Galicia puede ordenar y gestionar el litoral, en el marco de las competencias atribuidas a la Comunidad Autónoma de Galicia (art. 1.1 de la Ley), al tener competencias sobre “ordenación del litoral” (arts. 27.3 y 37.2 EAG) y haberse referido las SSTC 6/2016, de 21 de enero, y 28/2016, a “las competencias ejecutivas de las comunidades autónomas sobre el litoral”. Si lo que se pretende es cuestionar la concreta gestión a los títulos de ocupación del dominio público marítimo-terrestre, habrá que impugnar dichas menciones y no el art. 3 a) de la Ley del Parlamento de Galicia 4/2023. Reitera, en todo caso, con sustento en el referido dictamen la competencia completa sobre la materia.</w:t>
      </w:r>
    </w:p>
    <w:p w14:paraId="69346D10" w14:textId="77777777" w:rsidR="009D7677" w:rsidRDefault="009D7677" w:rsidP="009D7677">
      <w:pPr>
        <w:pStyle w:val="TextoNormal"/>
      </w:pPr>
    </w:p>
    <w:p w14:paraId="7D77C7AB" w14:textId="77777777" w:rsidR="009D7677" w:rsidRDefault="009D7677" w:rsidP="009D7677">
      <w:pPr>
        <w:pStyle w:val="TextoNormal"/>
      </w:pPr>
      <w:r>
        <w:t xml:space="preserve">c) Rechaza el reproche de inconstitucionalidad del art. 11.4 b) y 11.5 b), que contempla la competencia para otorgar títulos de intervención y/o emitir informes equivalentes, para utilizar espacios del dominio público marítimo-terrestre o de los espacios intermareales y marinos del dominio público marítimo-terrestre, cuando corresponda conforme al art. 48 </w:t>
      </w:r>
      <w:r>
        <w:lastRenderedPageBreak/>
        <w:t>de la Ley del Parlamento de Galicia 4/2023. A tal fin, se remite a sus alegaciones en sustento de la constitucionalidad del art. 48 de la Ley y a las efectuadas en el fundamento cuarto sobre el reproche estatal relativo a “la pretensión de extender su alcance al mar territorial”. Recuerda la tesis del dictamen del Consello Consultivo de Galicia, sobre la nueva doctrina (STC 8/2022, de 27 de enero) del reparto competencial que no puede circunscribir sus efectos a la Comunidad Autónoma de Cataluña y a las comunidades autónomas que han modificado sus estatutos recogiendo la mención expresa de la gestión de los títulos del dominio público marítimo-terrestre. Añade, en relación con el art. 11.5 b) de la Ley del Parlamento de Galicia 4/2023 que la impugnación se desactiva al observar que el Estado ha transferido funciones y servicios de gestión de títulos de ocupación del dominio público marítimo-terrestre también en cuanto a sus espacios marítimos a diversas comunidades autónomas mediante los reales decretos ya citados.</w:t>
      </w:r>
    </w:p>
    <w:p w14:paraId="1FE8891B" w14:textId="77777777" w:rsidR="009D7677" w:rsidRDefault="009D7677" w:rsidP="009D7677">
      <w:pPr>
        <w:pStyle w:val="TextoNormal"/>
      </w:pPr>
    </w:p>
    <w:p w14:paraId="2B28AA0C" w14:textId="77777777" w:rsidR="009D7677" w:rsidRDefault="009D7677" w:rsidP="009D7677">
      <w:pPr>
        <w:pStyle w:val="TextoNormal"/>
      </w:pPr>
      <w:r>
        <w:t>d) Frente a la impugnación de los arts. 35.3, 41.3 y 46.2 de la Ley del Parlamento de Galicia 4/2023 basada en los argumentos que se predican frente al art. 48 de la Ley, la Xunta de Galicia se remite al razonamiento que sustenta la constitucionalidad de dicho precepto y subraya que, en el caso del art. 46.2 ya se recoge “de conformidad con la normativa de costas”. Por otra parte, al aludir dichos preceptos a que “[l]os títulos de intervención administrativa se otorgarán con arreglo a lo dispuesto en el capítulo V de este título”, cuyo art. 47.2 de la Ley del Parlamento de Galicia 4/2023 —no impugnado— no agota los títulos de concesión y autorización en el dominio público marítimo-terrestre. Existen otros títulos no discutidos, pues sobre el litoral hay títulos habilitantes de competencia gallega sin cuestionamiento posible.</w:t>
      </w:r>
    </w:p>
    <w:p w14:paraId="5A07435F" w14:textId="77777777" w:rsidR="009D7677" w:rsidRDefault="009D7677" w:rsidP="009D7677">
      <w:pPr>
        <w:pStyle w:val="TextoNormal"/>
      </w:pPr>
    </w:p>
    <w:p w14:paraId="0F579F0D" w14:textId="77777777" w:rsidR="009D7677" w:rsidRDefault="009D7677" w:rsidP="009D7677">
      <w:pPr>
        <w:pStyle w:val="TextoNormal"/>
      </w:pPr>
      <w:r>
        <w:t>e) De modo extenso el letrado de la Xunta de Galicia rebate la impugnación del art. 48.1, 4 y 5 de la Ley del Parlamento de Galicia 4/2023. En primer lugar se remite a lo indicado en el apartado anterior y al dictamen del Consello Consultivo de Galicia y con sustento en dicho dictamen (y en las SSTC 25/2015, de 19 de febrero; 128/2016, y 36/2022, de 10 de marzo, que en el mismo se citan) considera constitucional la condición a la que se somete el otorgamiento de las autorizaciones y concesiones sobre el dominio público marítimo-terrestre, esto es, al “momento en que se produzca el efectivo traspaso de funciones y servicios de la administración general del Estado a la Comunidad Autónoma de Galicia en materia de ordenación del litoral”.</w:t>
      </w:r>
    </w:p>
    <w:p w14:paraId="7A7E6C95" w14:textId="77777777" w:rsidR="009D7677" w:rsidRDefault="009D7677" w:rsidP="009D7677">
      <w:pPr>
        <w:pStyle w:val="TextoNormal"/>
      </w:pPr>
    </w:p>
    <w:p w14:paraId="3312296E" w14:textId="77777777" w:rsidR="009D7677" w:rsidRDefault="009D7677" w:rsidP="009D7677">
      <w:pPr>
        <w:pStyle w:val="TextoNormal"/>
      </w:pPr>
      <w:r>
        <w:t>Afirma que las sentencias citadas por el escrito de impugnación no son de aplicación pues conforme a lo reiterado el art. 27.3 EAG comprende la gestión de los títulos de ocupación y uso del dominio público marítimo-terrestre, sin necesidad de modificar el Estatuto de Autonomía de Galicia, como señala el dictamen tantas veces referido. El recurso no justifica por qué no está en el Estatuto de Autonomía de Galicia dicha competencia y adolece de falta de carga argumentativa. Nada específico indica el escrito de impugnación del art. 48.4 y 5 de la Ley del Parlamento de Galicia 4/2023.</w:t>
      </w:r>
    </w:p>
    <w:p w14:paraId="665D8EA3" w14:textId="77777777" w:rsidR="009D7677" w:rsidRDefault="009D7677" w:rsidP="009D7677">
      <w:pPr>
        <w:pStyle w:val="TextoNormal"/>
      </w:pPr>
    </w:p>
    <w:p w14:paraId="027F1A02" w14:textId="77777777" w:rsidR="009D7677" w:rsidRDefault="009D7677" w:rsidP="009D7677">
      <w:pPr>
        <w:pStyle w:val="TextoNormal"/>
      </w:pPr>
      <w:r>
        <w:t>Sostiene que el art. 110 LC fue enjuiciado en la STC 149/1991, FJ 4. La misma refiere que se reserva en favor de la administración general del Estado facultades, no competencias, que se derivan de la titularidad estatal del dominio público natural (art. 132 CE). Dicha reserva es una opción, pero no la única, siendo compatible con la Constitución que la disposición sobre el uso y aprovechamiento corresponda a la comunidad autónoma con competencia plena para ordenar el litoral. No es contrario al orden constitucional de com</w:t>
      </w:r>
      <w:r>
        <w:lastRenderedPageBreak/>
        <w:t>petencias la reserva de dicha facultad (STC 198/1991). Refiere que la STC 31/2010, FJ 92, declaró la constitucionalidad del art. 149.3 b) EAC y validó que el Estatuto de Autonomía de Cataluña comprenda y englobe el otorgamiento de títulos de utilización del dominio público marítimo-terrestre dentro de la ordenación del litoral, y ello sin cambiar el art. 110 LC. No es necesaria la modificación de la Ley de costas como afirma el abogado del Estado, más cuando el art. 48.1 de la Ley del Parlamento de Galicia 4/2023 comienza con “[r]espetando el régimen general establecido en la normativa de costas”. Añade que la propia Administración General del Estado transfirió a Cataluña, Andalucía, Illes Balears y Canarias, sin previa modificación de la Ley de costas el otorgamiento de títulos de ocupación en el dominio público marítimo-terrestre.</w:t>
      </w:r>
    </w:p>
    <w:p w14:paraId="0BD9E874" w14:textId="77777777" w:rsidR="009D7677" w:rsidRDefault="009D7677" w:rsidP="009D7677">
      <w:pPr>
        <w:pStyle w:val="TextoNormal"/>
      </w:pPr>
    </w:p>
    <w:p w14:paraId="457B12E7" w14:textId="77777777" w:rsidR="009D7677" w:rsidRDefault="009D7677" w:rsidP="009D7677">
      <w:pPr>
        <w:pStyle w:val="TextoNormal"/>
      </w:pPr>
      <w:r>
        <w:t>Examina la STC 57/2016 e indica que el Tribunal Constitucional parte, conforme a la STC 149/1991, de un condicionamiento legítimo de la competencia exclusiva en materia de ordenación del litoral. Añade que la STC 18/2022 recuerda que las funciones ejecutivas se integran en la competencia más amplia de ordenación del litoral y que como apostilla la STC 31/2010, FJ 92, dado que la Generalitat es competente en materia de ordenación del litoral, la gestión de los títulos no menoscaba la competencia del Estado sobre la protección del litoral (art. 132.2 CE). El fundamento jurídico 92 define la extensión de la competencia autonómica sobre ordenación de litoral para todos los estatutos de autonomía que recojan dicha competencia. Entiende, en consonancia con la STC 34/2014, que no puede ser que la expresión “en todo caso” del Estatuto de Autonomía de Cataluña sea fuente atributiva de la competencia. Considera que la STC 31/2010 introdujo un matiz en el reparto competencial contenido en la STC 149/1991 y la nueva doctrina no se puede circunscribir a la Comunidad Autónoma de Cataluña y a las otras comunidades autónomas que han recogido la mención expresa de la gestión de los títulos de dominio público marítimo-terrestre en sus estatutos. Dicho cambio doctrinal debe proyectarse sobre la Comunidad Autónoma de Galicia.</w:t>
      </w:r>
    </w:p>
    <w:p w14:paraId="5DE66DB1" w14:textId="77777777" w:rsidR="009D7677" w:rsidRDefault="009D7677" w:rsidP="009D7677">
      <w:pPr>
        <w:pStyle w:val="TextoNormal"/>
      </w:pPr>
    </w:p>
    <w:p w14:paraId="43FE72DF" w14:textId="77777777" w:rsidR="009D7677" w:rsidRDefault="009D7677" w:rsidP="009D7677">
      <w:pPr>
        <w:pStyle w:val="TextoNormal"/>
      </w:pPr>
      <w:r>
        <w:t>f) Considera que la impugnación del art. 52 de la Ley del Parlamento de Galicia 4/2023 se conecta con la que resulte de los arts. 48 y 49 de la Ley. En relación con la conexión con el art. 48 señala que los títulos de intervención de los que trata el art. 52 van más allá del dominio público marítimo-terrestre, por lo que, aunque se estimara la inconstitucionalidad del art. 48, el art. 52 perviviría en relación con los otros títulos de intervención. Por otra parte, no existe conexión con el art. 49 en el que únicamente se combate la declaración responsable y esta no afecta al art. 52. Añade que el art. 52 se refiere a informes regulados en los arts. 62 a 64 de la Ley y concreta la limitada impugnación de dichos preceptos: el artículo 62 solo es impugnado por el apartado quinto en cuanto al inciso final: “[c]uando el otorgamiento del título de ocupación corresponda a la administración general de la Comunidad Autónoma de Galicia conforme a lo previsto en el artículo 48”; el art. 63 no es impugnado; y el art. 64 únicamente en su apartado 3. Indica que el art. 52 de la Ley del Parlamento de Galicia 4/2023 no contiene una regulación material y por ello debería decaer la impugnación. No se especifica la contradicción con el art. 156 RGC, solo se indica que no les corresponde a las comunidades autónomas suplantar ese procedimiento por uno propio. Considera que los informes otorgan una mayor protección ambiental (art. 27.30 EAG). En relación con la zona de servidumbre de protección no se cita precepto alguno y le corresponde a la Comunidad Autónoma de Galicia regular y tramitar el procedimiento conforme a los arts. 49 y 50 RGC. Todas las comunidades autónomas costeras han dictado normas de procedimiento para otorgar autorizaciones en la zona de servidum</w:t>
      </w:r>
      <w:r>
        <w:lastRenderedPageBreak/>
        <w:t>bre de protección. Por otra parte, no se recoge en la Ley del Parlamento de Galicia 4/2023 el carácter vinculante de ningún informe.</w:t>
      </w:r>
    </w:p>
    <w:p w14:paraId="2558E39C" w14:textId="77777777" w:rsidR="009D7677" w:rsidRDefault="009D7677" w:rsidP="009D7677">
      <w:pPr>
        <w:pStyle w:val="TextoNormal"/>
      </w:pPr>
    </w:p>
    <w:p w14:paraId="4DC597AB" w14:textId="77777777" w:rsidR="009D7677" w:rsidRDefault="009D7677" w:rsidP="009D7677">
      <w:pPr>
        <w:pStyle w:val="TextoNormal"/>
      </w:pPr>
      <w:r>
        <w:t>g) En la defensa de la constitucionalidad del art. 53.1 inciso “todos los títulos de intervención requeridos por la normativa vigente” y de sus apartados 3 y 4 reitera su posición sobre la competencia de Galicia sobre los títulos de ocupación y lo expuesto en relación con el art. 48 de la Ley del Parlamento de Galicia 4/2023. Insiste en que hay más títulos de intervención que los referidos a la ocupación del dominio público marítimo-terrestre, por lo que el precepto debe pervivir, en su caso, respecto de los restantes. Considera que la impugnación del apartado 4, dependerá del contenido del reglamento que se apruebe. Declarar una hipótesis de integración condicionada a su posibilidad no es inconstitucional, se deberá valorar al materializarse dicha integración en el desarrollo reglamentario previsto en el apartado 5. No se citan las competencias ejecutivas estatales que por conexión con el art. 48 de la Ley resultan vulneradas. Aun cuando sea competencia de la Administración General del Estado el otorgamiento de títulos, no debe rechazarse la integración de modo absoluto, pues el art. 222.4 RGC regula la emisión de un informe preceptivo y vinculante, por lo que en tal caso la integración sería posible sin vulnerar competencias ejecutivas del Estado en materia procedimental, con cita de la STC 55/2018.</w:t>
      </w:r>
    </w:p>
    <w:p w14:paraId="4A2FF6FA" w14:textId="77777777" w:rsidR="009D7677" w:rsidRDefault="009D7677" w:rsidP="009D7677">
      <w:pPr>
        <w:pStyle w:val="TextoNormal"/>
      </w:pPr>
    </w:p>
    <w:p w14:paraId="1169FB73" w14:textId="77777777" w:rsidR="009D7677" w:rsidRDefault="009D7677" w:rsidP="009D7677">
      <w:pPr>
        <w:pStyle w:val="TextoNormal"/>
      </w:pPr>
      <w:r>
        <w:t>h) Considera que la impugnación del art. 62 apartado quinto inciso final “[c]uando el otorgamiento del título de ocupación corresponda a la administración general de la Comunidad Autónoma de Galicia conforme a lo previsto en el artículo 48”, con sustento en la emisión de un informe o de estudios que no se mencionan en el inciso, imposibilita el debate de inconstitucionalidad. En todo caso, el grado de resiliencia costera está conectado con competencias derivadas del art. 27.30 EAG.</w:t>
      </w:r>
    </w:p>
    <w:p w14:paraId="14B0A3E7" w14:textId="77777777" w:rsidR="009D7677" w:rsidRDefault="009D7677" w:rsidP="009D7677">
      <w:pPr>
        <w:pStyle w:val="TextoNormal"/>
      </w:pPr>
    </w:p>
    <w:p w14:paraId="0AE6FB25" w14:textId="77777777" w:rsidR="009D7677" w:rsidRDefault="009D7677" w:rsidP="009D7677">
      <w:pPr>
        <w:pStyle w:val="TextoNormal"/>
      </w:pPr>
      <w:r>
        <w:t>i) Defiende la constitucionalidad de la disposición final quinta en el inciso “salvo lo establecido en el artículo 48.1 con respecto al ejercicio de las competencias autonómicas para el otorgamiento de las autorizaciones y concesiones del dominio público marítimo-terrestre, cuya entrada en vigor queda supeditada a la publicación del real decreto de traspasos de funciones y servicios de la administración general del Estado a la Comunidad Autónoma de Galicia” con sustento en la explicación dada en el fundamento quinto del dictamen del Consello Consultivo de Galicia.</w:t>
      </w:r>
    </w:p>
    <w:p w14:paraId="001C3427" w14:textId="77777777" w:rsidR="009D7677" w:rsidRDefault="009D7677" w:rsidP="009D7677">
      <w:pPr>
        <w:pStyle w:val="TextoNormal"/>
      </w:pPr>
    </w:p>
    <w:p w14:paraId="4FE89BD5" w14:textId="77777777" w:rsidR="009D7677" w:rsidRDefault="009D7677" w:rsidP="009D7677">
      <w:pPr>
        <w:pStyle w:val="TextoNormal"/>
      </w:pPr>
      <w:r>
        <w:t xml:space="preserve">F) En este apartado da respuesta a los argumentos que se contienen en el fundamento sexto del recurso de inconstitucionalidad en el que se censura, por infracción de la competencia estatal exclusiva sobre pesca en aguas exteriores </w:t>
      </w:r>
      <w:r w:rsidRPr="009D7677">
        <w:rPr>
          <w:i/>
        </w:rPr>
        <w:t>ex</w:t>
      </w:r>
      <w:r>
        <w:t xml:space="preserve"> artículo 149.1.19 CE, los arts. 22, apartados 1 y 2, letras a), b), c) y d), en todo aquello que se refiera a la pesca marítima en aguas exteriores; 25.1 a) y b); y 59.2 inciso “teniendo la obligación de asegurar en todos los instrumentos de ordenación marina del litoral previstos en esta un régimen de zonificación y uso que garantice el acceso y la permanencia de las embarcaciones gallegas a los caladeros cuya regulación sea de su competencia”; y la disposición final primera, “además del ya señalado artículo”.</w:t>
      </w:r>
    </w:p>
    <w:p w14:paraId="3B0F4C61" w14:textId="77777777" w:rsidR="009D7677" w:rsidRDefault="009D7677" w:rsidP="009D7677">
      <w:pPr>
        <w:pStyle w:val="TextoNormal"/>
      </w:pPr>
    </w:p>
    <w:p w14:paraId="2A26445A" w14:textId="77777777" w:rsidR="009D7677" w:rsidRDefault="009D7677" w:rsidP="009D7677">
      <w:pPr>
        <w:pStyle w:val="TextoNormal"/>
      </w:pPr>
      <w:r>
        <w:t xml:space="preserve">Comienza, en relación con la mención del recurso a “que se extiende mar adentro, hasta el límite exterior del mar territorial”, con lo expuesto en el fundamento cuarto, si bien reitera la mención “horizontal” del art. 2.3 de la Ley del Parlamento de Galicia 4/2023 no impugnado. Entiende que el Estado mezcla varios títulos competenciales: a) pesca en las </w:t>
      </w:r>
      <w:r>
        <w:lastRenderedPageBreak/>
        <w:t>rías y demás aguas interiores, así como el marisqueo y la acuicultura, que son competencia exclusiva gallega (STC 9/2001), pues con base en el art. 148.1.11 CE han sido asumidas en el art. 27.15 EAG; b) pesca marítima en aguas exteriores, donde hay competencias tanto del Estado como de las comunidades autónomas. Dispone el art. 149.1.19 CE que el Estado tiene competencia exclusiva en materia de pesca marítima, sin perjuicio de las competencias que en la ordenación del sector pesquero se les atribuyan a las comunidades autónomas (SSTC 158/1986, de 11 de diciembre; 9/2001, FFJJ 6 y 9, y 166/2013, FJ 3). Y esas competencias gallegas sobre ordenación del sector pesquero están asumidas por Galicia en el art. 28.5 EAG. Añade que, en aguas exteriores, lo que no entre en la competencia estatal es autonómico, esto es, comprende todo lo que no sea actividad extractiva directa.</w:t>
      </w:r>
    </w:p>
    <w:p w14:paraId="70685EEE" w14:textId="77777777" w:rsidR="009D7677" w:rsidRDefault="009D7677" w:rsidP="009D7677">
      <w:pPr>
        <w:pStyle w:val="TextoNormal"/>
      </w:pPr>
    </w:p>
    <w:p w14:paraId="292BF704" w14:textId="77777777" w:rsidR="009D7677" w:rsidRDefault="009D7677" w:rsidP="009D7677">
      <w:pPr>
        <w:pStyle w:val="TextoNormal"/>
      </w:pPr>
      <w:r>
        <w:t>Por tanto, debe rechazarse la inconstitucionalidad de los preceptos impugnados porque admiten, cuanto menos, una interpretación que los restringiría a esas aguas interiores y rías. Y en las aguas exteriores, tiene Galicia competencia en todo lo que no sea actividad extractiva. El recurso no identifica qué aspectos de la regulación se refieren a actividad extractiva directa, se limita a reproducir la doctrina general de distribución de competencias en materia de pesca y a efectuar referencias genéricas que no cumplen con la carga argumentativa.</w:t>
      </w:r>
    </w:p>
    <w:p w14:paraId="7EAAD366" w14:textId="77777777" w:rsidR="009D7677" w:rsidRDefault="009D7677" w:rsidP="009D7677">
      <w:pPr>
        <w:pStyle w:val="TextoNormal"/>
      </w:pPr>
    </w:p>
    <w:p w14:paraId="194EED8D" w14:textId="77777777" w:rsidR="009D7677" w:rsidRDefault="009D7677" w:rsidP="009D7677">
      <w:pPr>
        <w:pStyle w:val="TextoNormal"/>
      </w:pPr>
      <w:r>
        <w:t>A continuación, examina las concretas impugnaciones:</w:t>
      </w:r>
    </w:p>
    <w:p w14:paraId="721A265C" w14:textId="77777777" w:rsidR="009D7677" w:rsidRDefault="009D7677" w:rsidP="009D7677">
      <w:pPr>
        <w:pStyle w:val="TextoNormal"/>
      </w:pPr>
    </w:p>
    <w:p w14:paraId="0765629A" w14:textId="77777777" w:rsidR="009D7677" w:rsidRDefault="009D7677" w:rsidP="009D7677">
      <w:pPr>
        <w:pStyle w:val="TextoNormal"/>
      </w:pPr>
      <w:r>
        <w:t>a) Se defiende frente a la impugnación del art. 22, apartados 1 y 2, letras a), b), c) y d), en todo aquello que se refiera a la pesca marítima en aguas exteriores, al plantear el recurrente una argumentación limitada al mencionar la doctrina constitucional en general e incompleta sobre pesca en aguas exteriores. Es posible la desestimación por falta de carga argumentativa al no identificarse “las frases, apartados, palabras” que incumplen la distribución competencial. Refiere que difícilmente se puede considerar actividad extractiva directa una estrategia de “apoyo” y lo mismo cabe indicar respecto de las letras a), b), c) y d) cuando se alude a “impulsar”, “favorecer”, “promover”, se añaden, además, referencias explícitas a actividades de marisquero, acuicultura. Y, con sustento en el art. 149.1.23 CE nada impide la interpretación conforme de la continuidad biológica para algún aspecto medioambiental. Por último, indica que existen comunidades autónomas con estrategia de economía azul aprobada que no han sido cuestionadas, con referencia a las estrategias de Cataluña, Canarias y Andalucía. Añade finalmente que siempre cabe una interpretación conforme teniendo en cuenta los arts.1.1 y 2.3 de la Ley del Parlamento de Galicia 4/2023. Finalmente, las competencias gallegas en materia de pesca en aguas exteriores comprenden, sin ánimo exhaustivo, al menos marisqueo y acuicultura (STC 9/2001, FJ 9).</w:t>
      </w:r>
    </w:p>
    <w:p w14:paraId="0AF0D10D" w14:textId="77777777" w:rsidR="009D7677" w:rsidRDefault="009D7677" w:rsidP="009D7677">
      <w:pPr>
        <w:pStyle w:val="TextoNormal"/>
      </w:pPr>
    </w:p>
    <w:p w14:paraId="62BEC7E9" w14:textId="77777777" w:rsidR="009D7677" w:rsidRDefault="009D7677" w:rsidP="009D7677">
      <w:pPr>
        <w:pStyle w:val="TextoNormal"/>
      </w:pPr>
      <w:r>
        <w:t>b) Frente a la impugnación del art. 25.1 a) y b) de la Ley del Parlamento de Galicia 4/2023 considera que la carga argumentativa es inexistente, pues se sustenta en una mera referencia genérica. En todo caso siempre cabrá una interpretación conforme a las prevenciones del mismo precepto o a la cláusula del art. 2.3 de la Ley. Añade que el art. 25.4 de la ley controvertida prevé como principio rector la colaboración interadministrativa. Será, en su caso, el concreto plan que se apruebe el que podrá afectar a la distribución de competencias y ser impugnable.</w:t>
      </w:r>
    </w:p>
    <w:p w14:paraId="6D12F089" w14:textId="77777777" w:rsidR="009D7677" w:rsidRDefault="009D7677" w:rsidP="009D7677">
      <w:pPr>
        <w:pStyle w:val="TextoNormal"/>
      </w:pPr>
    </w:p>
    <w:p w14:paraId="7EB9AC1D" w14:textId="77777777" w:rsidR="009D7677" w:rsidRDefault="009D7677" w:rsidP="009D7677">
      <w:pPr>
        <w:pStyle w:val="TextoNormal"/>
      </w:pPr>
      <w:r>
        <w:t xml:space="preserve">c) Nuevamente cuestiona la impugnación del art. 59.2 de la Ley del Parlamento de Galicia 4/2023, en el inciso “teniendo la obligación de asegurar en todos los instrumentos de </w:t>
      </w:r>
      <w:r>
        <w:lastRenderedPageBreak/>
        <w:t>ordenación marina del litoral previstos en este un régimen de zonificación y uso que garantice el acceso y la permanencia de las embarcaciones gallegas a los caladeros cuya regulación sea de su competencia”, por basarse en la impugnación de los arts. 11.5 a), 21.1 d) y 23.2 m), que ya fue cuestionada por su falta de argumentación, pues ni tan siquiera se concretó el título competencial vulnerado o los preceptos de la Ley 41/2010 afectados. La impugnación parte de la tesis de que las facultades estatales son excluyentes de cualquier intervención autonómica. Añade que la propia Ley de pesca de Galicia, sin ir más lejos, establece la zonificación del espacio marítimo a efectos del ejercicio de las competencias autonómicas en materia de pesca, marisqueo o acuicultura.</w:t>
      </w:r>
    </w:p>
    <w:p w14:paraId="6C893A20" w14:textId="77777777" w:rsidR="009D7677" w:rsidRDefault="009D7677" w:rsidP="009D7677">
      <w:pPr>
        <w:pStyle w:val="TextoNormal"/>
      </w:pPr>
    </w:p>
    <w:p w14:paraId="5D13391C" w14:textId="77777777" w:rsidR="009D7677" w:rsidRDefault="009D7677" w:rsidP="009D7677">
      <w:pPr>
        <w:pStyle w:val="TextoNormal"/>
      </w:pPr>
      <w:r>
        <w:t>Nada impide que la comunidad autónoma elabore planes de ordenación marina en el ámbito de sus competencias. El objetivo respecto de la flota gallega no supone el establecimiento de diferencias frente a la flota no gallega, y, en todo caso, habrá que enjuiciar el concreto instrumento a fin de verificar si existe afectación a otras embarcaciones no gallegas.</w:t>
      </w:r>
    </w:p>
    <w:p w14:paraId="475B1D6C" w14:textId="77777777" w:rsidR="009D7677" w:rsidRDefault="009D7677" w:rsidP="009D7677">
      <w:pPr>
        <w:pStyle w:val="TextoNormal"/>
      </w:pPr>
    </w:p>
    <w:p w14:paraId="30C261A3" w14:textId="77777777" w:rsidR="009D7677" w:rsidRDefault="009D7677" w:rsidP="009D7677">
      <w:pPr>
        <w:pStyle w:val="TextoNormal"/>
      </w:pPr>
      <w:r>
        <w:t>d) En relación con la disposición final primera se remite a las argumentaciones contenidas en la alegación tercera.</w:t>
      </w:r>
    </w:p>
    <w:p w14:paraId="2870497E" w14:textId="77777777" w:rsidR="009D7677" w:rsidRDefault="009D7677" w:rsidP="009D7677">
      <w:pPr>
        <w:pStyle w:val="TextoNormal"/>
      </w:pPr>
    </w:p>
    <w:p w14:paraId="2D23EC94" w14:textId="77777777" w:rsidR="009D7677" w:rsidRDefault="009D7677" w:rsidP="009D7677">
      <w:pPr>
        <w:pStyle w:val="TextoNormal"/>
      </w:pPr>
      <w:r>
        <w:t>G) En este apartado da respuesta a los argumentos que se contienen en el fundamento séptimo del recurso de inconstitucionalidad que se refiere a “[o]tros motivos de inconstitucionalidad específicos”.</w:t>
      </w:r>
    </w:p>
    <w:p w14:paraId="30E56AAF" w14:textId="77777777" w:rsidR="009D7677" w:rsidRDefault="009D7677" w:rsidP="009D7677">
      <w:pPr>
        <w:pStyle w:val="TextoNormal"/>
      </w:pPr>
    </w:p>
    <w:p w14:paraId="4A35EC51" w14:textId="77777777" w:rsidR="009D7677" w:rsidRDefault="009D7677" w:rsidP="009D7677">
      <w:pPr>
        <w:pStyle w:val="TextoNormal"/>
      </w:pPr>
      <w:r>
        <w:t>a) Cuestiona la impugnación del art. 11.1 de la Ley del Parlamento de Galicia 4/2023, en el inciso “y la lucha contra la contaminación marina”, en cuanto se refiera a los vertidos mar-mar. Considera que la STC 149/1991, admitió competencia autonómica en los vertidos al mar desde tierra, lo cual es contaminación marina; así lo admite la impugnación al entender que el único problema es que no hay la salvedad del vertido mar-mar. La STC 40/1998, consideró inconstitucionales preceptos de la Ley 27/1992, de 24 de noviembre, de puertos del Estado y de la marina mercante, precisamente porque no preveían intervención alguna de las comunidades autónomas en defensa de su competencia de protección del medio ambiente. También la STC 8/2012, FJ 5, ha indicado que la ley autonómica no queda viciada de inconstitucionalidad porque omita precisiones de carácter básico incluidas en la ley general. En todo caso, cabría una interpretación conforme del precepto (STC 202/2003), más cuando el art. 1.1 de la Ley del Parlamento de Galicia 4/2023 indica que la ordenación y gestión integrada que pretende la ley lo es en el “marco de las competencias atribuidas a la Comunidad Autónoma de Galicia en la Constitución española y en el Estatuto de autonomía”, lo que se reitera en el art. 11.1 de la ley impugnada. Es más, la referencia a que se trata de vertidos desde tierra ya se encuentra en el art. 64 de la Ley, sin que sea preciso repetirlo otra vez y más en un artículo general. Por otra parte, la lucha contra la contaminación marina tiene otras derivas más allá del vertido.</w:t>
      </w:r>
    </w:p>
    <w:p w14:paraId="4DF55246" w14:textId="77777777" w:rsidR="009D7677" w:rsidRDefault="009D7677" w:rsidP="009D7677">
      <w:pPr>
        <w:pStyle w:val="TextoNormal"/>
      </w:pPr>
    </w:p>
    <w:p w14:paraId="77B845DE" w14:textId="77777777" w:rsidR="009D7677" w:rsidRDefault="009D7677" w:rsidP="009D7677">
      <w:pPr>
        <w:pStyle w:val="TextoNormal"/>
      </w:pPr>
      <w:r>
        <w:t xml:space="preserve">b) Rechaza la inconstitucionalidad del art. 12.2 de la Ley del Parlamento de Galicia 4/2023. Considera que el Consejo de Estado no apreció ningún motivo de inconstitucionalidad. Y que atendida la literalidad del precepto en que solo se expresa el deseo de que “Portos” de Galicia impulsará el desarrollo sostenible del litoral, con mención de “a través de la implantación de establecimientos de la cadena mar-industria alimentaria en espacios portuarios de su competencia”, si el Estado considera que alguna concreta implantación </w:t>
      </w:r>
      <w:r>
        <w:lastRenderedPageBreak/>
        <w:t>vulnera la Ley de costas es allí donde debe actuar. La ubicación sistemática del precepto y su contenido no anticipan el régimen jurídico del dominio público marítimo-terrestre, pues la mención “impulsar”, no permite el rechazo del precepto, más cuando la determinación de los usos deberá realizarse caso a caso. En todo caso se remite a lo señalado en relación con la disposición final primera de la Ley del Parlamento de Galicia 4/2023.</w:t>
      </w:r>
    </w:p>
    <w:p w14:paraId="5BCADF5C" w14:textId="77777777" w:rsidR="009D7677" w:rsidRDefault="009D7677" w:rsidP="009D7677">
      <w:pPr>
        <w:pStyle w:val="TextoNormal"/>
      </w:pPr>
    </w:p>
    <w:p w14:paraId="500FF50B" w14:textId="77777777" w:rsidR="009D7677" w:rsidRDefault="009D7677" w:rsidP="009D7677">
      <w:pPr>
        <w:pStyle w:val="TextoNormal"/>
      </w:pPr>
      <w:r>
        <w:t>c) No comparte que se impugne el art. 25.1 d) de la Ley del Parlamento de Galicia 4/2023, en el que se contempla como una de las finalidades del plan de ordenación marina la de impulsar el desarrollo sostenible del transporte marítimo, incluido el transporte de personas. Considera que Galicia ha asumido competencia exclusiva en materia de “transporte marítimo que se lleve a cabo exclusivamente entre puertos o puntos de la comunidad autónoma, sin conexión con puertos o puntos de otros ámbitos territoriales”, mediante la Ley Orgánica 16/1995, de 27 de diciembre (art. 2) y el propio art. 25 de la ley controvertida comienza indicando “[e]n el marco de las competencias de la Comunidad Autónoma de Galicia”. El precepto es compatible con el art. 6 LC y por otra parte, el art. 25 de la Ley del Parlamento de Galicia 4/2023 se limita a establecer objetivos y en la letra d) a “impulsar”, por lo que tendrá que ser la planificación, la que deberá ajustarse a la legalidad vigente. Por otra parte, esa actividad de impulso se puede alcanzar con medidas diversas, que ni siquiera tengan por qué afectar al transporte marítimo, operando además otros títulos competenciales (ordenación y medio ambiente).</w:t>
      </w:r>
    </w:p>
    <w:p w14:paraId="05434876" w14:textId="77777777" w:rsidR="009D7677" w:rsidRDefault="009D7677" w:rsidP="009D7677">
      <w:pPr>
        <w:pStyle w:val="TextoNormal"/>
      </w:pPr>
    </w:p>
    <w:p w14:paraId="214D2420" w14:textId="77777777" w:rsidR="009D7677" w:rsidRDefault="009D7677" w:rsidP="009D7677">
      <w:pPr>
        <w:pStyle w:val="TextoNormal"/>
      </w:pPr>
      <w:r>
        <w:t>d) En relación con la impugnación del art. 29.1 de la Ley del Parlamento de Galicia 4/2023, reprocha la impugnación directa del precepto sin instar la apertura de la comisión bilateral por revelar un entendimiento de las competencias sobre el dominio público marítimo-terrestre —y sobre el litoral— “de tal nivel que sorprende”. El propio Consejo de Estado le advirtió de la inviabilidad de recurrir este artículo por ser programático y la propia impugnación reconoce en relación con el desarrollo sostenible que nada tiene que objetar al tratarse de un principio básico en el ejercicio de las competencias del art. 27.3 EAG. Siempre a efectos dialécticos sería posible una interpretación conforme (art. 1.1 de la Ley). Desconoce cómo anudar al litoral el principio de desarrollo sostenible es incompatible con el legítimo ejercicio de las facultades dominicales del Estado sobre el dominio público. Insiste en el contenido de la competencia relativa a la ordenación del territorio y del litoral (SSTC 149/1991 y 14/2004, de 13 de febrero). Añade como títulos competenciales que también operan los previstos en el art. 27.30 y 27.24 EAG.</w:t>
      </w:r>
    </w:p>
    <w:p w14:paraId="7F2BB573" w14:textId="77777777" w:rsidR="009D7677" w:rsidRDefault="009D7677" w:rsidP="009D7677">
      <w:pPr>
        <w:pStyle w:val="TextoNormal"/>
      </w:pPr>
    </w:p>
    <w:p w14:paraId="09AE5C3C" w14:textId="77777777" w:rsidR="009D7677" w:rsidRDefault="009D7677" w:rsidP="009D7677">
      <w:pPr>
        <w:pStyle w:val="TextoNormal"/>
      </w:pPr>
      <w:r>
        <w:t xml:space="preserve">e) La defensa del inciso que contempla el art. 46.5 de la Ley del Parlamento de Galicia 4/2023: “[l]os bienes cedidos serán destinados a fines de uso o servicio público”, parte de una referencia más extensa al precepto impugnado. El art. 46.5 establece que la administración autonómica o los ayuntamientos promoverán los procedimientos de desafectación de espacios que resulten innecesarios para el dominio público marítimo-terrestre o para los usos portuarios, con expresa solicitud de cesión gratuita de aquellos en favor de la administración autonómica o de la entidad local. Y se completa el apartado señalando que “los bienes cedidos serán destinados a los fines de uso o servicio público”. Este último inciso es el que se impugna, pasando por alto que el destino se señala respecto de bienes cedidos que han sido previamente desafectados, por lo que ya no tienen la condición demanial. Nuevamente reprocha la ausencia de carga impugnativa, al basarse el cuestionamiento del precepto en la mera manifestación de la existencia de una “apropiación de la competencia </w:t>
      </w:r>
      <w:r>
        <w:lastRenderedPageBreak/>
        <w:t>exclusiva del Estado para regular el régimen jurídico del dominio público marítimo-terrestre porque es propietario demanial del mismo”.</w:t>
      </w:r>
    </w:p>
    <w:p w14:paraId="21E899EA" w14:textId="77777777" w:rsidR="009D7677" w:rsidRDefault="009D7677" w:rsidP="009D7677">
      <w:pPr>
        <w:pStyle w:val="TextoNormal"/>
      </w:pPr>
    </w:p>
    <w:p w14:paraId="13CB9E7D" w14:textId="77777777" w:rsidR="009D7677" w:rsidRDefault="009D7677" w:rsidP="009D7677">
      <w:pPr>
        <w:pStyle w:val="TextoNormal"/>
      </w:pPr>
      <w:r>
        <w:t>f) Considera la Xunta de Galicia que la impugnación del art. 55.2 de la Ley del Parlamento de Galicia 4/2023 mezcla argumentos de distinta naturaleza. En cuanto a la afirmación de la existencia de un exceso competencial basado en la manifestación de que establece el régimen jurídico del dominio público marítimo-terrestre, trae nuevamente la doctrina constitucional relativa a la interacción entre el título demanial del art. 132.2 CE y la competencia de ordenación del territorio [STC 149/1991, FFJJ 3 D) c) y 4 B) b)] y destaca que los límites estatales han sido respetados pues el propio Consejo de Estado no vio en este precepto atisbo de inconstitucionalidad al limitar la actuación estratégica a los casos en que se requiera la captación y retorno de agua de mar para el desarrollo de los procesos productivos. Pero además se respetan las prohibiciones establecidas en los arts. 25.1 y 32.1 LC y se ha introducido la cláusula de salvaguarda: “Además de las exigencias establecidas en la normativa de costas y de pesca de Galicia” al inicio de su apartado 3, lo que desde luego ampara ya una interpretación conforme de ser necesario llegar a ese punto. Además de añadir que operaría la competencia en materia de desarrollo de la legislación básica (STC 102/1995, que modificó la STC 149/1991), indica que si algún concreto caso se entiende que sobrepasa normativa estatal aplicable —“actividades e instalaciones que no pueden tener otra ubicación”— será ahí donde pueda surgir el debate. La jurisprudencia ordinaria ha declarado que estas actividades —establecimientos de la cadena mar-industria alimentaria—, se encuentran vinculadas al dominio público, que exige su ocupación en el desarrollo de la misma, no pudiendo tener otra ubicación por su naturaleza. El carácter necesario de la ocupación se completa con la previsión para el área de protección ambiental del art. 55.2 de la Ley del Parlamento de Galicia 4/2023.</w:t>
      </w:r>
    </w:p>
    <w:p w14:paraId="606D1A65" w14:textId="77777777" w:rsidR="009D7677" w:rsidRDefault="009D7677" w:rsidP="009D7677">
      <w:pPr>
        <w:pStyle w:val="TextoNormal"/>
      </w:pPr>
    </w:p>
    <w:p w14:paraId="49212C9A" w14:textId="44BA1BA1" w:rsidR="009D7677" w:rsidRDefault="009D7677" w:rsidP="009D7677">
      <w:pPr>
        <w:pStyle w:val="TextoNormal"/>
      </w:pPr>
      <w:r>
        <w:t>Finalmente termina suplicando que se desestimen las impugnaciones y solicita que se oiga a las partes sobre el levantamiento de la suspensión (ATC 157/2008, de 12 de junio).</w:t>
      </w:r>
    </w:p>
    <w:p w14:paraId="74A43957" w14:textId="77777777" w:rsidR="009D7677" w:rsidRDefault="009D7677" w:rsidP="009D7677">
      <w:pPr>
        <w:pStyle w:val="TextoNormal"/>
      </w:pPr>
    </w:p>
    <w:p w14:paraId="2B7B5742" w14:textId="34EAF5E5" w:rsidR="009D7677" w:rsidRDefault="009D7677" w:rsidP="009D7677">
      <w:pPr>
        <w:pStyle w:val="TextoNormal"/>
      </w:pPr>
      <w:r w:rsidRPr="009D7677">
        <w:rPr>
          <w:rStyle w:val="NumeroAFNegritaCaracter"/>
        </w:rPr>
        <w:t>7</w:t>
      </w:r>
      <w:r>
        <w:t>. Por diligencia de ordenación del secretario del Pleno de 20 de diciembre de 2023, se concedió el plazo de cinco días a las partes personadas para que expusieran lo que considerasen conveniente acerca del mantenimiento o levantamiento de la suspensión de la ley impugnada, siendo presentadas dichas alegaciones los días 8 y 10 de enero de 2024. Por ATC 22/2024, de 28 de febrero, se acordó: “Mantener la suspensión de los arts. 1.2 d) y g); 2.1 y 2.2; 11.4 b), 11.5 a) y b); 12.5; 21.1 d); 22.1 y 22.2 a), b), c) y d); 23.2 d), g), i) y m); 24.3 c), e) y f); 25.1 a), b), c) y d); 27.3 c); 34.2 a) y b) y 34.3; 35.2 a), b) y c) y 35.3; 36.2 a), b) y c); 40.2 y 3; 41.2 a), b), c) y d) y 41.3; 46.2, 46.3 a) y b) y 46.5; 48.1, 3, 4 y 5; 49.1, 2, 3 y 4; 55.2; 57.3; 58.3; 59.2; 60.3; 62.5; 64.3; disposición final primera y disposición final quinta de la Ley 4/2023, de 6 de julio, de ordenación y gestión integrada del litoral de Galicia”, y levantar la suspensión del resto de preceptos impugnados.</w:t>
      </w:r>
    </w:p>
    <w:p w14:paraId="48C02E28" w14:textId="77777777" w:rsidR="009D7677" w:rsidRDefault="009D7677" w:rsidP="009D7677">
      <w:pPr>
        <w:pStyle w:val="TextoNormal"/>
      </w:pPr>
    </w:p>
    <w:p w14:paraId="11677278" w14:textId="489F237C" w:rsidR="009D7677" w:rsidRDefault="009D7677" w:rsidP="009D7677">
      <w:pPr>
        <w:pStyle w:val="TextoNormal"/>
      </w:pPr>
      <w:r w:rsidRPr="009D7677">
        <w:rPr>
          <w:rStyle w:val="NumeroAFNegritaCaracter"/>
        </w:rPr>
        <w:t>8</w:t>
      </w:r>
      <w:r>
        <w:t>. Mediante providencia de 23 de abril de 2024, se señaló ese mismo día para deliberación y votación de la presente sentencia.</w:t>
      </w:r>
    </w:p>
    <w:p w14:paraId="3EEB04CF" w14:textId="77777777" w:rsidR="009D7677" w:rsidRDefault="009D7677" w:rsidP="009D7677">
      <w:pPr>
        <w:pStyle w:val="TextoNormal"/>
      </w:pPr>
    </w:p>
    <w:p w14:paraId="3A597079" w14:textId="77777777" w:rsidR="009D7677" w:rsidRDefault="009D7677" w:rsidP="009D7677">
      <w:pPr>
        <w:pStyle w:val="TextoNormalNegritaCentrado"/>
        <w:keepNext/>
      </w:pPr>
      <w:r>
        <w:t>II. Fundamentos jurídicos</w:t>
      </w:r>
    </w:p>
    <w:p w14:paraId="61E2F4AF" w14:textId="5AD1B6AA" w:rsidR="009D7677" w:rsidRDefault="009D7677" w:rsidP="009D7677">
      <w:pPr>
        <w:pStyle w:val="TextoNormalNegritaCentrado"/>
        <w:keepNext/>
      </w:pPr>
    </w:p>
    <w:p w14:paraId="336A77A2" w14:textId="77777777" w:rsidR="009D7677" w:rsidRDefault="009D7677" w:rsidP="009D7677">
      <w:pPr>
        <w:pStyle w:val="TextoNormal"/>
      </w:pPr>
      <w:r w:rsidRPr="009D7677">
        <w:rPr>
          <w:rStyle w:val="NumeroAFNegritaCaracter"/>
        </w:rPr>
        <w:t>1</w:t>
      </w:r>
      <w:r>
        <w:t xml:space="preserve">. </w:t>
      </w:r>
      <w:r w:rsidRPr="009D7677">
        <w:rPr>
          <w:i/>
        </w:rPr>
        <w:t>Objeto del proceso</w:t>
      </w:r>
    </w:p>
    <w:p w14:paraId="39D0FE41" w14:textId="77777777" w:rsidR="009D7677" w:rsidRDefault="009D7677" w:rsidP="009D7677">
      <w:pPr>
        <w:pStyle w:val="TextoNormal"/>
      </w:pPr>
    </w:p>
    <w:p w14:paraId="0CD8909A" w14:textId="77777777" w:rsidR="009D7677" w:rsidRDefault="009D7677" w:rsidP="009D7677">
      <w:pPr>
        <w:pStyle w:val="TextoNormal"/>
      </w:pPr>
      <w:r>
        <w:t>El recurso de inconstitucionalidad núm. 6521-2023, promovido por el presidente del Gobierno, tiene por objeto la totalidad o alguno de los incisos o párrafos de los arts. 1.2 d) y g); 2.1 y 2.2; 3 a); 11.1; 11.4 b); 11.5 a) y b); 12.2 y 5; 21.1 d) y e); 22.1 y 22.2 a), b), c) y d); 23.2 d), g), i) y m); 24.3 c), e) y f); 25.1 a), b), c) y d); 27.3 c); 29.1; 34.2 a) y b) y 34.3; 35.2 a), b) y c), y 35.3; 36.2 a), b) y c); 40.2 y 3; 41.2 a), b), c) y d), y 41.3; 46.2, 46.3 a) y b), y 46.5; 48.1, 3, 4 y 5; 49.1, 2, 3 y 4; 52; 53.1, 3 y 4; 55.2; 57.3; 58.3, 59.2; 60.3; 62.5 y 64.3 y las disposiciones finales primera, y quinta de la Ley del Parlamento de Galicia 4/2023, de 6 de julio, de ordenación y gestión integrada del litoral de Galicia (en adelante, Ley del Parlamento de Galicia 4/2023).</w:t>
      </w:r>
    </w:p>
    <w:p w14:paraId="31218356" w14:textId="77777777" w:rsidR="009D7677" w:rsidRDefault="009D7677" w:rsidP="009D7677">
      <w:pPr>
        <w:pStyle w:val="TextoNormal"/>
      </w:pPr>
    </w:p>
    <w:p w14:paraId="2AE3BA21" w14:textId="77777777" w:rsidR="009D7677" w:rsidRDefault="009D7677" w:rsidP="009D7677">
      <w:pPr>
        <w:pStyle w:val="TextoNormal"/>
      </w:pPr>
      <w:r>
        <w:t>A los efectos de facilitar la claridad de la presente sentencia y dada la cantidad de preceptos que se impugnan, la reproducción del tenor literal de los concretos apartados e incisos impugnados se efectuará en el momento en que sean examinadas cada una de las impugnaciones.</w:t>
      </w:r>
    </w:p>
    <w:p w14:paraId="279C82EC" w14:textId="77777777" w:rsidR="009D7677" w:rsidRDefault="009D7677" w:rsidP="009D7677">
      <w:pPr>
        <w:pStyle w:val="TextoNormal"/>
      </w:pPr>
    </w:p>
    <w:p w14:paraId="3441FD26" w14:textId="67FE8574" w:rsidR="009D7677" w:rsidRDefault="009D7677" w:rsidP="009D7677">
      <w:pPr>
        <w:pStyle w:val="TextoNormal"/>
      </w:pPr>
      <w:r>
        <w:t xml:space="preserve">Con idéntica finalidad procede que adelantemos la metodología que vamos a seguir para la resolución del presente recurso de inconstitucionalidad: (i) En el fundamento segundo expondremos las posiciones de las partes aceptando la distribución de los cinco bloques de los preceptos impugnados —fundamentos tercero a séptimo, que se corresponden con las letras C), D), E), F), G), de los antecedentes 1, 5 y 6—, si bien, se agruparán, a estos solos efectos, los bloques C) y E), al tener el mismo fundamento impugnatorio; (ii) En el tercer fundamento se analizará nuestra doctrina sobre otros aspectos cuya relevancia ha sido puesta de manifiesto por las partes: la exigencia de carga argumental, la naturaleza del control que nos corresponde efectuar y la problemática constitucional de la </w:t>
      </w:r>
      <w:r w:rsidRPr="009D7677">
        <w:rPr>
          <w:i/>
        </w:rPr>
        <w:t>lex repetita</w:t>
      </w:r>
      <w:r>
        <w:t xml:space="preserve"> y de las cláusulas de salvaguarda; (iii) En el fundamento cuarto, se indicará la sistemática que se seguirá en el examen de las impugnaciones contenidas en el recurso de inconstitucionalidad.</w:t>
      </w:r>
    </w:p>
    <w:p w14:paraId="408EF5F6" w14:textId="77777777" w:rsidR="009D7677" w:rsidRDefault="009D7677" w:rsidP="009D7677">
      <w:pPr>
        <w:pStyle w:val="TextoNormal"/>
      </w:pPr>
    </w:p>
    <w:p w14:paraId="644BB21C" w14:textId="77777777" w:rsidR="009D7677" w:rsidRDefault="009D7677" w:rsidP="009D7677">
      <w:pPr>
        <w:pStyle w:val="TextoNormal"/>
      </w:pPr>
      <w:r w:rsidRPr="009D7677">
        <w:rPr>
          <w:rStyle w:val="NumeroAFNegritaCaracter"/>
        </w:rPr>
        <w:t>2</w:t>
      </w:r>
      <w:r>
        <w:t xml:space="preserve">. </w:t>
      </w:r>
      <w:r w:rsidRPr="009D7677">
        <w:rPr>
          <w:i/>
        </w:rPr>
        <w:t>Posición de las partes</w:t>
      </w:r>
    </w:p>
    <w:p w14:paraId="68C2788B" w14:textId="77777777" w:rsidR="009D7677" w:rsidRDefault="009D7677" w:rsidP="009D7677">
      <w:pPr>
        <w:pStyle w:val="TextoNormal"/>
      </w:pPr>
    </w:p>
    <w:p w14:paraId="5454E1AD" w14:textId="77777777" w:rsidR="009D7677" w:rsidRDefault="009D7677" w:rsidP="009D7677">
      <w:pPr>
        <w:pStyle w:val="TextoNormal"/>
      </w:pPr>
      <w:r>
        <w:t>A) La interposición del recurso se fundamenta, como se ha expuesto en el antecedente 1 de modo más extenso, en los siguientes motivos:</w:t>
      </w:r>
    </w:p>
    <w:p w14:paraId="7B934F63" w14:textId="77777777" w:rsidR="009D7677" w:rsidRDefault="009D7677" w:rsidP="009D7677">
      <w:pPr>
        <w:pStyle w:val="TextoNormal"/>
      </w:pPr>
    </w:p>
    <w:p w14:paraId="209BE2CC" w14:textId="77777777" w:rsidR="009D7677" w:rsidRDefault="009D7677" w:rsidP="009D7677">
      <w:pPr>
        <w:pStyle w:val="TextoNormal"/>
      </w:pPr>
      <w:r>
        <w:t>a) Extralimitación de sus competencias por parte de la Comunidad Autónoma de Galicia al invadir la “competencia exclusiva del Estado”, derivada de su titularidad dominical (art. 132.2 CE) y ejercida a través de la Ley 22/1988, de 28 de julio, de costas y el Real Decreto 876/2014, de 10 de octubre, que aprueba el Reglamento general de costas (RGC). Debe indicarse que la modificación del mismo efectuada por el Real Decreto 668/2022, de 1 de agosto, ha sido anulada recientemente por la STS 150/2024, de 31 de enero. Dicha competencia exclusiva comprende tanto la regulación del régimen jurídico del dominio público marítimo-terrestre como el otorgamiento de concesiones y autorizaciones para su ocupación y aprovechamiento [art. 110 b) de la Ley de costas del Estado], competencia esta última que no ha sido asumida por la Comunidad Autónoma en el Estatuto de Autonomía de Galicia a diferencia de los estatutos de autonomía aprobados por otras comunidades autónomas.</w:t>
      </w:r>
    </w:p>
    <w:p w14:paraId="35F89C6A" w14:textId="77777777" w:rsidR="009D7677" w:rsidRDefault="009D7677" w:rsidP="009D7677">
      <w:pPr>
        <w:pStyle w:val="TextoNormal"/>
      </w:pPr>
    </w:p>
    <w:p w14:paraId="28CD144B" w14:textId="77777777" w:rsidR="009D7677" w:rsidRDefault="009D7677" w:rsidP="009D7677">
      <w:pPr>
        <w:pStyle w:val="TextoNormal"/>
      </w:pPr>
      <w:r>
        <w:lastRenderedPageBreak/>
        <w:t>El recurso de inconstitucionalidad atribuye este vicio de inconstitucionalidad en su tercer fundamento —recogido en la letra C) del antecedente 1— a los arts. 1.2 d) y g); 2.1; 2.2; 23.2 d), g), e i); 24.3 c), e) y f); 27.3 c); 34.2 a) y b); 34.3; 35.2 a), b), y c); 36.2 a), b), y c); 40.2 y 3; 41.2 a), b), c), y d); 46.3 a) y b); 48.3; 49.1, en el inciso “salvo que estén sujetos a declaración responsable de acuerdo con lo dispuesto en el apartado siguiente”; 49.3; 49.4; 57.3; 58.3, segundo párrafo, en el inciso final “[h]asta la celebración del convenio, corresponde a la persona titular del bien cumplir las obligaciones derivadas de la legislación de patrimonio cultural”; 60.3, y a la disposición final primera de la Ley controvertida.</w:t>
      </w:r>
    </w:p>
    <w:p w14:paraId="5F0F5A2F" w14:textId="77777777" w:rsidR="009D7677" w:rsidRDefault="009D7677" w:rsidP="009D7677">
      <w:pPr>
        <w:pStyle w:val="TextoNormal"/>
      </w:pPr>
    </w:p>
    <w:p w14:paraId="5E3C714E" w14:textId="77777777" w:rsidR="009D7677" w:rsidRDefault="009D7677" w:rsidP="009D7677">
      <w:pPr>
        <w:pStyle w:val="TextoNormal"/>
      </w:pPr>
      <w:r>
        <w:t>Dicho reproche constitucional, en relación con el ejercicio de las competencias para el otorgamiento de las autorizaciones y concesiones del dominio público marítimo-terrestre, se lo atribuye en el quinto fundamento, a los arts. 2.1 y 2; 3 a); 11.4 b) y 5 b); 35.3; 41.3; 46.2; 48.1, 4 y 5; 52; 53.1, inciso “todos los títulos de intervención requeridos por la normativa vigente”, 3 y 4; 62.5, inciso inicial: “[c]uando el otorgamiento del título de ocupación corresponda a la administración general de la Comunidad Autónoma de Galicia conforme a lo previsto en el artículo 48”; y disposición final quinta en el inciso: “salvo lo establecido en el artículo 48.1”.</w:t>
      </w:r>
    </w:p>
    <w:p w14:paraId="0355AB48" w14:textId="77777777" w:rsidR="009D7677" w:rsidRDefault="009D7677" w:rsidP="009D7677">
      <w:pPr>
        <w:pStyle w:val="TextoNormal"/>
      </w:pPr>
    </w:p>
    <w:p w14:paraId="440D6FDA" w14:textId="77777777" w:rsidR="009D7677" w:rsidRDefault="009D7677" w:rsidP="009D7677">
      <w:pPr>
        <w:pStyle w:val="TextoNormal"/>
      </w:pPr>
      <w:r>
        <w:t>b) Extralimitación de la Comunidad Autónoma de Galicia al extender las competencias autonómicas sobre el mar territorial. El escrito de impugnación efectúa dicha censura constitucional en el fundamento cuarto, en relación con los arts. 11.5 a), 12.5, 21.1 d) y e), 23.2 m), 25.1 c) y 64.3 de la Ley del Parlamento de Galicia 4/2023.</w:t>
      </w:r>
    </w:p>
    <w:p w14:paraId="67531D40" w14:textId="77777777" w:rsidR="009D7677" w:rsidRDefault="009D7677" w:rsidP="009D7677">
      <w:pPr>
        <w:pStyle w:val="TextoNormal"/>
      </w:pPr>
    </w:p>
    <w:p w14:paraId="55641138" w14:textId="77777777" w:rsidR="009D7677" w:rsidRDefault="009D7677" w:rsidP="009D7677">
      <w:pPr>
        <w:pStyle w:val="TextoNormal"/>
      </w:pPr>
      <w:r>
        <w:t>c) Infracción de la competencia estatal exclusiva sobre pesca en aguas exteriores (</w:t>
      </w:r>
      <w:r w:rsidRPr="009D7677">
        <w:rPr>
          <w:i/>
        </w:rPr>
        <w:t>ex</w:t>
      </w:r>
      <w:r>
        <w:t xml:space="preserve"> artículo 149.1.19 CE) que el abogado del Estado atribuye en el fundamento sexto de su escrito, a los artículos: 22.1 y 2, letras a), b), c) y d), en todo aquello que se refiera a la pesca marítima en aguas exteriores; 25.1 a) y b), y 59.2, inciso “teniendo la obligación de asegurar en todos los instrumentos de ordenación marina del litoral previstos en esta un régimen de zonificación y uso que garantice el acceso y la permanencia de las embarcaciones gallegas a los caladeros cuya regulación sea de su competencia”; y a la disposición final primera, además, del ya señalado artículo.</w:t>
      </w:r>
    </w:p>
    <w:p w14:paraId="360665C3" w14:textId="77777777" w:rsidR="009D7677" w:rsidRDefault="009D7677" w:rsidP="009D7677">
      <w:pPr>
        <w:pStyle w:val="TextoNormal"/>
      </w:pPr>
    </w:p>
    <w:p w14:paraId="4A21219C" w14:textId="77777777" w:rsidR="009D7677" w:rsidRDefault="009D7677" w:rsidP="009D7677">
      <w:pPr>
        <w:pStyle w:val="TextoNormal"/>
      </w:pPr>
      <w:r>
        <w:t>d) Finalmente en el último fundamento del recurso de inconstitucionalidad, se atribuyen diversas vulneraciones a los arts.: 11.1 inciso “y la lucha contra la contaminación marina”, en cuanto se refiera a los vertidos mar-mar; 12.2; 25.1 d); 29.1; 46.5; 55.2 de la Ley del Parlamento de Galicia 4/2023, tanto por invadir competencias estatales sobre marina mercante como sobre el dominio público marítimo-terrestre.</w:t>
      </w:r>
    </w:p>
    <w:p w14:paraId="230E4E31" w14:textId="77777777" w:rsidR="009D7677" w:rsidRDefault="009D7677" w:rsidP="009D7677">
      <w:pPr>
        <w:pStyle w:val="TextoNormal"/>
      </w:pPr>
    </w:p>
    <w:p w14:paraId="58B9D34C" w14:textId="77777777" w:rsidR="009D7677" w:rsidRDefault="009D7677" w:rsidP="009D7677">
      <w:pPr>
        <w:pStyle w:val="TextoNormal"/>
      </w:pPr>
      <w:r>
        <w:t xml:space="preserve">B) En sus alegaciones, tanto el Parlamento como la Xunta de Galicia —cuyas razones comprenden a las del Parlamento— solicitan la desestimación del recurso. Los argumentos con los que pretenden refutar las impugnaciones efectuadas son proyectados sobre cada uno de los artículos cuestionados y han sido expuestos respectivamente en los antecedentes 5 y 6 letras C), D), E) y F). Sin perjuicio de examinar los concretos argumentos en relación con cada uno de los preceptos —tales como el carácter preventivo de la impugnación, el incumplimiento de la carga argumental, la ausencia de contradicción con la legislación estatal, la irrelevancia de omitir precisiones de la norma básica, o la inexistencia de vicio de inconstitucionalidad para el Consejo de Estado, entre otros—, pasamos a exponer </w:t>
      </w:r>
      <w:r>
        <w:lastRenderedPageBreak/>
        <w:t>de modo sintético —y correlativo a los motivos de impugnación del abogado del Estado antes referidos—, las razones opuestas a la impugnación estatal:</w:t>
      </w:r>
    </w:p>
    <w:p w14:paraId="58312D33" w14:textId="77777777" w:rsidR="009D7677" w:rsidRDefault="009D7677" w:rsidP="009D7677">
      <w:pPr>
        <w:pStyle w:val="TextoNormal"/>
      </w:pPr>
    </w:p>
    <w:p w14:paraId="59C68865" w14:textId="77777777" w:rsidR="009D7677" w:rsidRDefault="009D7677" w:rsidP="009D7677">
      <w:pPr>
        <w:pStyle w:val="TextoNormal"/>
      </w:pPr>
      <w:r>
        <w:t>a) El Parlamento y la Xunta de Galicia —con apoyo en el dictamen 227/2022, de 20 de julio, del Consello Consultivo de Galicia— consideran, frente al reproche del presidente del Gobierno por el que la Ley del Parlamento de Galicia 4/2023 se habría apropiado de la competencia exclusiva del Estado sobre el dominio público marítimo-terrestre, que la titularidad del Estado sobre el demanio califica una categoría de bienes y le otorga facultades dominicales que solo pueden ser legítimamente utilizadas para atender los fines públicos que las justifican, pero no es criterio delimitador de competencias, ni permite sustraer o condicionar abusivamente las competencias autonómicas, ni tiene carácter excluyente del ejercicio de tales competencias.</w:t>
      </w:r>
    </w:p>
    <w:p w14:paraId="25274E1F" w14:textId="77777777" w:rsidR="009D7677" w:rsidRDefault="009D7677" w:rsidP="009D7677">
      <w:pPr>
        <w:pStyle w:val="TextoNormal"/>
      </w:pPr>
    </w:p>
    <w:p w14:paraId="1CE312ED" w14:textId="77777777" w:rsidR="009D7677" w:rsidRDefault="009D7677" w:rsidP="009D7677">
      <w:pPr>
        <w:pStyle w:val="TextoNormal"/>
      </w:pPr>
      <w:r>
        <w:t>Entienden que la Ley del Parlamento de Galicia 4/2023 se adecua a la normativa estatal en materia de limitaciones del dominio público marítimo-terrestre y que se dicta en el ejercicio de la competencia exclusiva de la Comunidad Autónoma de Galicia sobre “ordenación del territorio y del litoral” (arts. 27.3 y 37.2 EAG) que comprende la gestión de los títulos de uso y ocupación del dominio público marítimo-terrestre —como resultó de la STC 31/2010, FJ 92— y también, con sustento en otros títulos competenciales (arts. 27.9, 15, 21 y 30, 28.5 y 6, y 29.3 y 4 EAG) que se ejercen con respeto a las competencias del Estado sobre el dominio público marítimo-terrestre como lo acredita la utilización de numerosas cláusulas de salvaguarda de contenido similar a las plasmadas en las comisiones bilaterales entre el Estado y otras comunidades autónomas. Refieren que la delimitación competencial en la “ordenación del litoral” efectuada por el Tribunal Constitucional debe aplicarse a todas las comunidades autónomas.</w:t>
      </w:r>
    </w:p>
    <w:p w14:paraId="695A7CE9" w14:textId="77777777" w:rsidR="009D7677" w:rsidRDefault="009D7677" w:rsidP="009D7677">
      <w:pPr>
        <w:pStyle w:val="TextoNormal"/>
      </w:pPr>
    </w:p>
    <w:p w14:paraId="6799FB79" w14:textId="77777777" w:rsidR="009D7677" w:rsidRDefault="009D7677" w:rsidP="009D7677">
      <w:pPr>
        <w:pStyle w:val="TextoNormal"/>
      </w:pPr>
      <w:r>
        <w:t>b) Reconocen que el mar territorial no forma parte del territorio autonómico, ahora bien, ello no impide que sobre el mismo se puedan ejercer competencias autonómicas; cuando el Estatuto prevea expresamente que una competencia autonómica se proyecta sobre el mar, cuando la naturaleza de la competencia estatutariamente atribuida lo exija o lo implique, cuando el ejercicio extraterritorial resulte necesario o procedente para el ejercicio de la competencia autonómica, y, cuando, en fin, entre el elemento terrestre y marítimo haya continuidad ecológica. Por otra parte, el respeto a las competencias del Estado aparece reflejado en el art. 2.3 de la Ley del Parlamento de Galicia 4/2023 en que se recoge un texto idéntico al acuerdo interpretativo adoptado en las comisiones bilaterales entre la Administración General del Estado y Cataluña o las Illes Balears, en relación con las leyes 8/2020 y 3/2023 respectivamente, encontrándose referencias al respeto de las competencias del Estado en diversos preceptos (arts. 32.2 c), 58.7, 12.5, 23.1, 25.1, 21.3, 46.1, 48.1, 49.3, 55.3 y 64.3  de la Ley del Parlamento de Galicia 4/2023).</w:t>
      </w:r>
    </w:p>
    <w:p w14:paraId="5EF6EB53" w14:textId="77777777" w:rsidR="009D7677" w:rsidRDefault="009D7677" w:rsidP="009D7677">
      <w:pPr>
        <w:pStyle w:val="TextoNormal"/>
      </w:pPr>
    </w:p>
    <w:p w14:paraId="074C9609" w14:textId="77777777" w:rsidR="009D7677" w:rsidRDefault="009D7677" w:rsidP="009D7677">
      <w:pPr>
        <w:pStyle w:val="TextoNormal"/>
      </w:pPr>
      <w:r>
        <w:t>c) Descartan la infracción de la competencia estatal exclusiva sobre pesca en aguas exteriores (</w:t>
      </w:r>
      <w:r w:rsidRPr="009D7677">
        <w:rPr>
          <w:i/>
        </w:rPr>
        <w:t>ex</w:t>
      </w:r>
      <w:r>
        <w:t xml:space="preserve"> art. 149.1.19 CE) que el abogado del Estado atribuye en el fundamento sexto de su escrito a diversos preceptos, al considerar que la Comunidad Autónoma de Galicia tiene asumidas competencias en aguas exteriores en los arts. 27.15 y 28.5 EAG.</w:t>
      </w:r>
    </w:p>
    <w:p w14:paraId="34253BFC" w14:textId="77777777" w:rsidR="009D7677" w:rsidRDefault="009D7677" w:rsidP="009D7677">
      <w:pPr>
        <w:pStyle w:val="TextoNormal"/>
      </w:pPr>
    </w:p>
    <w:p w14:paraId="63BB376F" w14:textId="3E56A36F" w:rsidR="009D7677" w:rsidRDefault="009D7677" w:rsidP="009D7677">
      <w:pPr>
        <w:pStyle w:val="TextoNormal"/>
      </w:pPr>
      <w:r>
        <w:t xml:space="preserve">d) Finalmente, frente a la impugnación de los arts.: 11.1, inciso “y la lucha contra la contaminación marina”, en cuanto se refiera a los vertidos mar-mar; 12.2; 25.1 d); 29.1; 46.5, y 55.2 de la Ley del Parlamento de Galicia 4/2023, destacan la competencia de la </w:t>
      </w:r>
      <w:r>
        <w:lastRenderedPageBreak/>
        <w:t>Comunidad Autónoma de Galicia en los vertidos al mar desde la tierra, en la protección del medio ambiente, en transporte marítimo que se lleve a cabo exclusivamente entre puertos o puntos de la comunidad autónoma, sin conexión con puertos o puntos de otros ámbitos territoriales, sin que exista contradicción con la legislación estatal.</w:t>
      </w:r>
    </w:p>
    <w:p w14:paraId="5B93B829" w14:textId="77777777" w:rsidR="009D7677" w:rsidRDefault="009D7677" w:rsidP="009D7677">
      <w:pPr>
        <w:pStyle w:val="TextoNormal"/>
      </w:pPr>
    </w:p>
    <w:p w14:paraId="13A27361" w14:textId="77777777" w:rsidR="009D7677" w:rsidRDefault="009D7677" w:rsidP="009D7677">
      <w:pPr>
        <w:pStyle w:val="TextoNormal"/>
      </w:pPr>
      <w:r w:rsidRPr="009D7677">
        <w:rPr>
          <w:rStyle w:val="NumeroAFNegritaCaracter"/>
        </w:rPr>
        <w:t>3</w:t>
      </w:r>
      <w:r>
        <w:t xml:space="preserve">. </w:t>
      </w:r>
      <w:r w:rsidRPr="009D7677">
        <w:rPr>
          <w:i/>
        </w:rPr>
        <w:t>Otros argumentos que han sido planteados por las partes como relevantes para resolver el recurso</w:t>
      </w:r>
    </w:p>
    <w:p w14:paraId="26B5C627" w14:textId="77777777" w:rsidR="009D7677" w:rsidRDefault="009D7677" w:rsidP="009D7677">
      <w:pPr>
        <w:pStyle w:val="TextoNormal"/>
      </w:pPr>
    </w:p>
    <w:p w14:paraId="76188EE7" w14:textId="77777777" w:rsidR="009D7677" w:rsidRDefault="009D7677" w:rsidP="009D7677">
      <w:pPr>
        <w:pStyle w:val="TextoNormal"/>
      </w:pPr>
      <w:r>
        <w:t>Son varias las cuestiones que las partes han puesto de manifiesto tanto en el escrito de impugnación como en las alegaciones formuladas al margen del contenido y alcance de las competencias debatidas, en ocasiones con dispar entendimiento sobre su relevancia y que merecen ser examinadas a la luz de nuestra doctrina, sin perjuicio de volver sobre ellas al examinar cada uno de los preceptos impugnados.</w:t>
      </w:r>
    </w:p>
    <w:p w14:paraId="551B272F" w14:textId="77777777" w:rsidR="009D7677" w:rsidRDefault="009D7677" w:rsidP="009D7677">
      <w:pPr>
        <w:pStyle w:val="TextoNormal"/>
      </w:pPr>
    </w:p>
    <w:p w14:paraId="49901496" w14:textId="77777777" w:rsidR="009D7677" w:rsidRDefault="009D7677" w:rsidP="009D7677">
      <w:pPr>
        <w:pStyle w:val="TextoNormal"/>
      </w:pPr>
      <w:r>
        <w:t>a) La carga argumental del recurrente</w:t>
      </w:r>
    </w:p>
    <w:p w14:paraId="400BE06B" w14:textId="77777777" w:rsidR="009D7677" w:rsidRDefault="009D7677" w:rsidP="009D7677">
      <w:pPr>
        <w:pStyle w:val="TextoNormal"/>
      </w:pPr>
    </w:p>
    <w:p w14:paraId="7FA49D4A" w14:textId="77777777" w:rsidR="009D7677" w:rsidRDefault="009D7677" w:rsidP="009D7677">
      <w:pPr>
        <w:pStyle w:val="TextoNormal"/>
      </w:pPr>
      <w:r>
        <w:t>En varios de los preceptos impugnados se objeta por la Xunta de Galicia el incumplimiento de la carga argumental del recurrente, que incluso califica al inicio de sus alegaciones de constante, y que proyecta sobre diversos artículos [arts. 11.5 a); 21.1 d) y e); 22. 1 y 2 a), b), c) y d); 23.2 m); 24.3 c), e) y f); 25.1 a) y b); 46.5; 48.3, 4 y 5; 49.3 y 4, y 59.2 de la ley impugnada].</w:t>
      </w:r>
    </w:p>
    <w:p w14:paraId="69BBD9CD" w14:textId="77777777" w:rsidR="009D7677" w:rsidRDefault="009D7677" w:rsidP="009D7677">
      <w:pPr>
        <w:pStyle w:val="TextoNormal"/>
      </w:pPr>
    </w:p>
    <w:p w14:paraId="06CD0F82" w14:textId="77777777" w:rsidR="009D7677" w:rsidRDefault="009D7677" w:rsidP="009D7677">
      <w:pPr>
        <w:pStyle w:val="TextoNormal"/>
      </w:pPr>
      <w:r>
        <w:t>Conviene precisar las consecuencias de dicho incumplimiento y en que consiste o cuando se puede considerar incumplida la carga argumental.</w:t>
      </w:r>
    </w:p>
    <w:p w14:paraId="27A0D4FF" w14:textId="77777777" w:rsidR="009D7677" w:rsidRDefault="009D7677" w:rsidP="009D7677">
      <w:pPr>
        <w:pStyle w:val="TextoNormal"/>
      </w:pPr>
    </w:p>
    <w:p w14:paraId="7AC84A06" w14:textId="77777777" w:rsidR="009D7677" w:rsidRDefault="009D7677" w:rsidP="009D7677">
      <w:pPr>
        <w:pStyle w:val="TextoNormal"/>
      </w:pPr>
      <w:r>
        <w:t>En tal sentido, pronto tuvimos ocasión de indicar que “en los casos de fundamentación insuficiente el tribunal resta en libertad para rechazar la acción en aquello en que se encuentre insuficientemente fundada o para examinar el fondo del asunto si encuentra razones para ello” (STC 11/1981, de 8 de abril, FJ 3), pues “nuestro pronunciamiento debe centrarse en los aspectos señalados en la demanda ‘sin que este tribunal pueda entrar en aquellos sobre los que el recurso, no solo carece de una argumentación suficiente que permita desvirtuar la presunción de validez de las leyes aprobadas’ (STC 237/2007, de 8 de noviembre, FJ 3), sino que, además, ‘exceden de la pretensión planteada’ (STC 8/2013, de 17 de enero, FJ 2). En efecto, ‘cuando lo que está en juego es la depuración del ordenamiento jurídico, es carga de los recurrentes no solo la de abrir la vía para que el Tribunal pueda pronunciarse, sino también la de colaborar con la justicia del Tribunal en un pormenorizado análisis de las graves cuestiones que se suscitan. Es justo, pues, hablar […] de una carga del recurrente y en los casos en que aquella no se observe, de una falta de diligencia procesalmente exigible, que es la diligencia de ofrecer la fundamentación que razonablemente es de esperar (STC 11/1981, de 8 de abril, FJ 3, reiterada en las SSTC 36/1994, de 10 de febrero, FJ 1; 43/1996, de 14 de marzo, FJ 3, y 61/1997, de 20 de marzo, FJ 13). Ello supone que no debe estimarse una pretensión que solo descansa en la mera aseveración genérica, huérfana de toda argumentación, de una supuesta afectación de títulos competenciales’ [STC 22/2012, de 16 de febrero, FJ 2 b)]” (STC 86/2017, de 4 de julio, FJ 2).</w:t>
      </w:r>
    </w:p>
    <w:p w14:paraId="784A8AB6" w14:textId="77777777" w:rsidR="009D7677" w:rsidRDefault="009D7677" w:rsidP="009D7677">
      <w:pPr>
        <w:pStyle w:val="TextoNormal"/>
      </w:pPr>
    </w:p>
    <w:p w14:paraId="0CF5FC73" w14:textId="77777777" w:rsidR="009D7677" w:rsidRDefault="009D7677" w:rsidP="009D7677">
      <w:pPr>
        <w:pStyle w:val="TextoNormal"/>
      </w:pPr>
      <w:r>
        <w:t>En relación con los conflictos de competencia no caben las descalificaciones globales imprecisas, exigiendo que la fundamentación concrete el por qué en cada caso debe enten</w:t>
      </w:r>
      <w:r>
        <w:lastRenderedPageBreak/>
        <w:t>derse vulnerado el bloque de la constitucionalidad “‘no consintiendo, por tanto, los conflictos de competencia’ ser resueltos desde un plano exclusivamente abstracto y generalizado que prescinda de contrastar, de manera singularizada los títulos competenciales invocados y el concreto contenido de cada uno de los preceptos sobre los cuales se proyecta la impugnación (STC 147/1991)” (STC 141/1993, de 22 de abril, FJ 5).</w:t>
      </w:r>
    </w:p>
    <w:p w14:paraId="30E49234" w14:textId="77777777" w:rsidR="009D7677" w:rsidRDefault="009D7677" w:rsidP="009D7677">
      <w:pPr>
        <w:pStyle w:val="TextoNormal"/>
      </w:pPr>
    </w:p>
    <w:p w14:paraId="2B5F49CF" w14:textId="77777777" w:rsidR="009D7677" w:rsidRDefault="009D7677" w:rsidP="009D7677">
      <w:pPr>
        <w:pStyle w:val="TextoNormal"/>
      </w:pPr>
      <w:r>
        <w:t>Expuesto lo anterior procede adelantar que las impugnaciones de los arts. 11.5, 21.1 d) y e), y 23.2 m) de la Ley del Parlamento de Galicia 4/2023 deben ser desestimadas por incumplir la carga argumental exigida. En efecto el escrito de impugnación indica que tales preceptos suponen la elaboración de “un plan de ordenación marina y los planes especiales de ría” y desconocen tanto las competencias estatales sobre los espacios marinos como el régimen de protección del medio marino establecido con carácter básico en la Ley 41/2010, de 29 de diciembre y en sus reglamentos de desarrollo: el Real Decreto 363/2017, de 8 de abril, y el Real Decreto 150/2023, de 28 de febrero. Con dicha afirmación, pese a la naturaleza competencial del conflicto, el recurso se limita a efectuar una descalificación global de las referidas normas e imposibilita el necesario contraste de los títulos competenciales concurrentes.</w:t>
      </w:r>
    </w:p>
    <w:p w14:paraId="582FE370" w14:textId="77777777" w:rsidR="009D7677" w:rsidRDefault="009D7677" w:rsidP="009D7677">
      <w:pPr>
        <w:pStyle w:val="TextoNormal"/>
      </w:pPr>
    </w:p>
    <w:p w14:paraId="0448C81A" w14:textId="77777777" w:rsidR="009D7677" w:rsidRDefault="009D7677" w:rsidP="009D7677">
      <w:pPr>
        <w:pStyle w:val="TextoNormal"/>
      </w:pPr>
      <w:r>
        <w:t>Por ello, la impugnación de los arts. 11.5, 21.1 d) y e), y 23.2 m) de la Ley del Parlamento de Galicia 4/2023 debe ser desestimada.</w:t>
      </w:r>
    </w:p>
    <w:p w14:paraId="3996F842" w14:textId="77777777" w:rsidR="009D7677" w:rsidRDefault="009D7677" w:rsidP="009D7677">
      <w:pPr>
        <w:pStyle w:val="TextoNormal"/>
      </w:pPr>
    </w:p>
    <w:p w14:paraId="05BED461" w14:textId="77777777" w:rsidR="009D7677" w:rsidRDefault="009D7677" w:rsidP="009D7677">
      <w:pPr>
        <w:pStyle w:val="TextoNormal"/>
      </w:pPr>
      <w:r>
        <w:t>b) Naturaleza del control de constitucionalidad</w:t>
      </w:r>
    </w:p>
    <w:p w14:paraId="10D777F3" w14:textId="77777777" w:rsidR="009D7677" w:rsidRDefault="009D7677" w:rsidP="009D7677">
      <w:pPr>
        <w:pStyle w:val="TextoNormal"/>
      </w:pPr>
    </w:p>
    <w:p w14:paraId="1CE126D0" w14:textId="77777777" w:rsidR="009D7677" w:rsidRDefault="009D7677" w:rsidP="009D7677">
      <w:pPr>
        <w:pStyle w:val="TextoNormal"/>
      </w:pPr>
      <w:r>
        <w:t>También en las alegaciones del Parlamento y de la Xunta de Galicia, se rechazan las impugnaciones de diversos preceptos al considerar que contienen determinaciones abstractas de por sí inocuas para colisionar con la normativa estatal y que serán las concretas aplicaciones las que, en su caso, podrán ser contrarias al bloque constitucional de competencias.</w:t>
      </w:r>
    </w:p>
    <w:p w14:paraId="41DB1188" w14:textId="77777777" w:rsidR="009D7677" w:rsidRDefault="009D7677" w:rsidP="009D7677">
      <w:pPr>
        <w:pStyle w:val="TextoNormal"/>
      </w:pPr>
    </w:p>
    <w:p w14:paraId="7B1A18F5" w14:textId="77777777" w:rsidR="009D7677" w:rsidRDefault="009D7677" w:rsidP="009D7677">
      <w:pPr>
        <w:pStyle w:val="TextoNormal"/>
      </w:pPr>
      <w:r>
        <w:t>Tal objeción a la inconstitucionalidad se formula tanto por el Parlamento de Galicia como también por la Xunta en relación con algunos de los criterios mínimos que deben tener las directrices de litoral [art. 23.2 d), g), i) y m) de la Ley del Parlamento de Galicia 4/2023], o las determinaciones que debe tener el Plan de ordenación costera [art. 24.3 c), e) y f)] o los planes especiales de ría [art. 27.3 c)]. Exclusivamente por la Xunta de Galicia se argumenta en tal sentido en relación con las atribuciones y funciones de la consejería sobre los trabajos preparatorios y la elevación para su aprobación de instrumentos de ordenación del litoral [art. 11.5 a) de la ley controvertida] y que la ordenación del litoral se realice a través del plan de ordenación marina o de los planes especiales de ría [art. 21.1 d) y e)] o que se fije como uno de los objetivos del plan de ordenación marina impulsar el desarrollo sostenible del transporte marítimo, incluido el transporte de personas [art. 25.1 d)] o en consonancia con el dictamen del consejo con la declaración referente a que el uso del litoral se realice conforme al principio de desarrollo sostenible (art. 29.1).</w:t>
      </w:r>
    </w:p>
    <w:p w14:paraId="2F5263B6" w14:textId="77777777" w:rsidR="009D7677" w:rsidRDefault="009D7677" w:rsidP="009D7677">
      <w:pPr>
        <w:pStyle w:val="TextoNormal"/>
      </w:pPr>
    </w:p>
    <w:p w14:paraId="324DE510" w14:textId="77777777" w:rsidR="009D7677" w:rsidRDefault="009D7677" w:rsidP="009D7677">
      <w:pPr>
        <w:pStyle w:val="TextoNormal"/>
      </w:pPr>
      <w:r>
        <w:t xml:space="preserve">Tales objeciones —salvo las referentes a los arts. 11.5, 21.1 d) y e) y 23.2 m) de la Ley del Parlamento de Galicia 4/2023 cuya impugnación ha sido desestimada— serán examinadas en su caso al enjuiciar cada uno de los preceptos impugnados, pues acerca del carácter preventivo del recurso, ya hemos tenido ocasión de señalar la dificultad de valorar esta objeción con carácter general y previo, pues verificar si dicho rasgo concurre requiere </w:t>
      </w:r>
      <w:r>
        <w:lastRenderedPageBreak/>
        <w:t>examinar cada una de las impugnaciones (STC 110/2011, de 22 de junio, FJ 3, con cita de la STC 31/2010, de 28 de junio, FJ 2). Baste ahora destacar que el control que lleva a cabo el Tribunal Constitucional en los recursos de inconstitucionalidad “es un control de carácter abstracto de la norma impugnada, desvinculado de cualquier consideración concreta sobre su aplicación a un específico supuesto de hecho […] debiendo limitarnos a contrastar de manera abstracta el precepto recurrido y las normas y principios constitucionales que se estiman infringidos” [STC 185/2016, de 3 de noviembre, FJ 7 b)].</w:t>
      </w:r>
    </w:p>
    <w:p w14:paraId="0E7A5165" w14:textId="77777777" w:rsidR="009D7677" w:rsidRDefault="009D7677" w:rsidP="009D7677">
      <w:pPr>
        <w:pStyle w:val="TextoNormal"/>
      </w:pPr>
    </w:p>
    <w:p w14:paraId="286F9829" w14:textId="77777777" w:rsidR="009D7677" w:rsidRDefault="009D7677" w:rsidP="009D7677">
      <w:pPr>
        <w:pStyle w:val="TextoNormal"/>
      </w:pPr>
      <w:r>
        <w:t>Consiguientemente desde la STC 58/1982, de 27 de julio, FJ 2 hasta la reciente STC 36/2022, de 10 de marzo, FJ 3, hemos reiterado que “la mera posibilidad de un uso torticero de las normas no puede ser nunca en sí misma motivo bastante para declarar la inconstitucionalidad de estas, pues aunque el Estado de Derecho tiende hacia la sustitución del gobierno de los hombres por el gobierno de las leyes, no hay ningún legislador, por sabio que sea, capaz de producir leyes de las que un gobernante no pueda hacer mal uso”.</w:t>
      </w:r>
    </w:p>
    <w:p w14:paraId="4C40AB7D" w14:textId="77777777" w:rsidR="009D7677" w:rsidRDefault="009D7677" w:rsidP="009D7677">
      <w:pPr>
        <w:pStyle w:val="TextoNormal"/>
      </w:pPr>
    </w:p>
    <w:p w14:paraId="67425447" w14:textId="77777777" w:rsidR="009D7677" w:rsidRDefault="009D7677" w:rsidP="009D7677">
      <w:pPr>
        <w:pStyle w:val="TextoNormal"/>
      </w:pPr>
      <w:r>
        <w:t>Por otra parte, el juicio de constitucionalidad que corresponde a este tribunal “‘no lo es de técnica legislativa’ [SSTC 109/1987, de 29 de junio, FJ 3 c) y 195/1996, de 28 de noviembre, FJ 4], ni de ‘perfección técnica de las leyes’ (SSTC 226/1993, de 8 de julio, FJ 4), pues nuestro control ‘nada tiene que ver con su depuración técnica’ (SSTC 226/1993, de 8 de julio, FJ 5, y 195/1996, de 28 de noviembre, FJ 4)” (por todas, STC 136/2011, de 13 de septiembre, FJ 3).</w:t>
      </w:r>
    </w:p>
    <w:p w14:paraId="2830A00F" w14:textId="77777777" w:rsidR="009D7677" w:rsidRDefault="009D7677" w:rsidP="009D7677">
      <w:pPr>
        <w:pStyle w:val="TextoNormal"/>
      </w:pPr>
    </w:p>
    <w:p w14:paraId="7CBDD56C" w14:textId="77777777" w:rsidR="009D7677" w:rsidRDefault="009D7677" w:rsidP="009D7677">
      <w:pPr>
        <w:pStyle w:val="TextoNormal"/>
      </w:pPr>
      <w:r>
        <w:t>c) La constitucionalidad de l</w:t>
      </w:r>
      <w:r w:rsidRPr="009D7677">
        <w:rPr>
          <w:i/>
        </w:rPr>
        <w:t>a lex repeti</w:t>
      </w:r>
      <w:r>
        <w:t>ta</w:t>
      </w:r>
    </w:p>
    <w:p w14:paraId="48899244" w14:textId="77777777" w:rsidR="009D7677" w:rsidRDefault="009D7677" w:rsidP="009D7677">
      <w:pPr>
        <w:pStyle w:val="TextoNormal"/>
      </w:pPr>
    </w:p>
    <w:p w14:paraId="5B317CB0" w14:textId="77777777" w:rsidR="009D7677" w:rsidRDefault="009D7677" w:rsidP="009D7677">
      <w:pPr>
        <w:pStyle w:val="TextoNormal"/>
      </w:pPr>
      <w:r>
        <w:t xml:space="preserve">También se observa en el escrito de impugnación y en las alegaciones de las partes referencias al alcance de la doctrina constitucional sobre las </w:t>
      </w:r>
      <w:r w:rsidRPr="009D7677">
        <w:rPr>
          <w:i/>
        </w:rPr>
        <w:t>leges repetitae</w:t>
      </w:r>
      <w:r>
        <w:t>, en la letra E) del fundamento segundo del recurso de las alegaciones de la Xunta de Galicia.</w:t>
      </w:r>
    </w:p>
    <w:p w14:paraId="71243684" w14:textId="77777777" w:rsidR="009D7677" w:rsidRDefault="009D7677" w:rsidP="009D7677">
      <w:pPr>
        <w:pStyle w:val="TextoNormal"/>
      </w:pPr>
    </w:p>
    <w:p w14:paraId="48A2D707" w14:textId="77777777" w:rsidR="009D7677" w:rsidRDefault="009D7677" w:rsidP="009D7677">
      <w:pPr>
        <w:pStyle w:val="TextoNormal"/>
      </w:pPr>
      <w:r>
        <w:t xml:space="preserve">El abogado del Estado, de un modo algo confuso, indica que la Comunidad Autónoma de Galicia “con objeto de ejercer las competencias propias” “reproduce legislación básica, incurriendo en el vicio de </w:t>
      </w:r>
      <w:r w:rsidRPr="009D7677">
        <w:rPr>
          <w:i/>
        </w:rPr>
        <w:t>lex repetita</w:t>
      </w:r>
      <w:r>
        <w:t>”¸ si bien, previamente refiere que “al legislador autonómico le está prohibido reproducir la legislación estatal que responde a sus competencias exclusivas”. Reprocha dicho vicio de inconstitucionalidad al art. 34 de la Ley del Parlamento de Galicia 4/2023 —por reproducir de modo inexacto el art. 31.1 LC los usos generales del dominio público marítimo-terrestre incluyendo algunos y omitiendo otros—, y al art. 29.1 de la Ley. La Xunta de Galicia cita fragmentos de la doctrina constitucional recogidos en las SSTC 47/2004, de 29 de marzo, FJ 8, y 132/2019, de 13 de noviembre, FJ 7 D).</w:t>
      </w:r>
    </w:p>
    <w:p w14:paraId="2A7A0BE9" w14:textId="77777777" w:rsidR="009D7677" w:rsidRDefault="009D7677" w:rsidP="009D7677">
      <w:pPr>
        <w:pStyle w:val="TextoNormal"/>
      </w:pPr>
    </w:p>
    <w:p w14:paraId="5F7F60BF" w14:textId="77777777" w:rsidR="009D7677" w:rsidRDefault="009D7677" w:rsidP="009D7677">
      <w:pPr>
        <w:pStyle w:val="TextoNormal"/>
      </w:pPr>
      <w:r>
        <w:t>Sobre la reproducción por las leyes de preceptos de otras hemos sintetizado nuestra doctrina en la STC 341/2005, de 21 de diciembre, FJ 9 —con cita de otras— al indicar que este tribunal no ha dejado de advertir sobre los riesgos de ciertas prácticas legislativas potencialmente inconstitucionales como la reproducción por ley de preceptos constitucionales o casos en los que leyes autonómicas reproducían normas incluidas en la legislación básica del Estado, pues “pueden mover a la confusión normativa […], como ocurre en aquellos supuestos en los que el precepto reproducido pierde su vigencia o es modificado, manteniéndose vigente, sin embargo, el que lo reproducía”.</w:t>
      </w:r>
    </w:p>
    <w:p w14:paraId="49EFCA59" w14:textId="77777777" w:rsidR="009D7677" w:rsidRDefault="009D7677" w:rsidP="009D7677">
      <w:pPr>
        <w:pStyle w:val="TextoNormal"/>
      </w:pPr>
    </w:p>
    <w:p w14:paraId="7B29C790" w14:textId="77777777" w:rsidR="009D7677" w:rsidRDefault="009D7677" w:rsidP="009D7677">
      <w:pPr>
        <w:pStyle w:val="TextoNormal"/>
      </w:pPr>
      <w:r>
        <w:lastRenderedPageBreak/>
        <w:t>Añadiendo que dicho riesgo se convierte en ilegítimo “cuando las comunidades autónomas carecen de toda competencia para legislar sobre una materia”. Esto es, la simple reproducción por la legislación autonómica “incurre en inconstitucionalidad por invasión de competencias en materias cuya regulación no corresponde a las comunidades autónomas”.</w:t>
      </w:r>
    </w:p>
    <w:p w14:paraId="1E075534" w14:textId="77777777" w:rsidR="009D7677" w:rsidRDefault="009D7677" w:rsidP="009D7677">
      <w:pPr>
        <w:pStyle w:val="TextoNormal"/>
      </w:pPr>
    </w:p>
    <w:p w14:paraId="20B8D227" w14:textId="77777777" w:rsidR="009D7677" w:rsidRDefault="009D7677" w:rsidP="009D7677">
      <w:pPr>
        <w:pStyle w:val="TextoNormal"/>
      </w:pPr>
      <w:r>
        <w:t>También hemos precisado que “esta proscripción de la reiteración o reproducción de normas [...] por el legislador autonómico (</w:t>
      </w:r>
      <w:r w:rsidRPr="009D7677">
        <w:rPr>
          <w:i/>
        </w:rPr>
        <w:t>leges repetitae</w:t>
      </w:r>
      <w:r>
        <w:t>) no debemos extenderla a aquellos supuestos en que la reiteración simplemente consiste en incorporar a la normativa autonómica, ejercida esta en su ámbito competencial, determinados preceptos del ordenamiento procesal general con la sola finalidad de dotar de sentido o inteligibilidad al texto normativo aprobado por el Parlamento autonómico” (STC 47/2004, de 29 de marzo, FJ 8).</w:t>
      </w:r>
    </w:p>
    <w:p w14:paraId="066B2CEF" w14:textId="77777777" w:rsidR="009D7677" w:rsidRDefault="009D7677" w:rsidP="009D7677">
      <w:pPr>
        <w:pStyle w:val="TextoNormal"/>
      </w:pPr>
    </w:p>
    <w:p w14:paraId="0981BB63" w14:textId="77777777" w:rsidR="009D7677" w:rsidRDefault="009D7677" w:rsidP="009D7677">
      <w:pPr>
        <w:pStyle w:val="TextoNormal"/>
      </w:pPr>
      <w:r>
        <w:t>Por último, el reverso de lo anterior tiene que ver con la relevancia constitucional, también planteada en las alegaciones de las partes, de las omisiones por la ley autonómica de algunas previsiones recogidas en la legislación estatal básica. A tal respecto hemos afirmado que “‘es obvio que la omisión en una ley particular de unas precisiones cualesquiera de carácter básico establecidas en la ley general no vicia de inconstitucionalidad a aquella ley particular, pues estas precisiones mantienen su plena vigencia con independencia de que sean recordadas o no por el legislador comunitario, cuya referencia a ellas sólo este carácter de recordatorio puede revestir’ (STC 5/1982, de 8 de febrero, FJ 2). No obstante, también se ha señalado que la conclusión será distinta, y concurrirá un vicio de inconstitucionalidad, cuando la única exégesis posible de la omisión —total o parcial— lleve a entender que la regulación autonómica está estableciendo una regulación contraria a la legislación básica estatal, al tratarse de omisiones que, al no poder considerarse inocuas, indiferentes o neutras, alteran el régimen jurídico previsto en la misma, como es el caso de la omisión de requisitos esenciales en una determinada regulación que el desarrollo autonómico no puede desconocer (STC 172/1996, de 31 de octubre, FJ 2) u omisiones muy significativas que sólo pueden entenderse como reducción del nivel de rigor que en la materia establece la legislación básica estatal (STC 73/1997, de 11 de abril, FJ 4)” (STC 8/2012, de 18 de enero. FJ 5).</w:t>
      </w:r>
    </w:p>
    <w:p w14:paraId="4C7F22CF" w14:textId="77777777" w:rsidR="009D7677" w:rsidRDefault="009D7677" w:rsidP="009D7677">
      <w:pPr>
        <w:pStyle w:val="TextoNormal"/>
      </w:pPr>
    </w:p>
    <w:p w14:paraId="7C287B2B" w14:textId="77777777" w:rsidR="009D7677" w:rsidRDefault="009D7677" w:rsidP="009D7677">
      <w:pPr>
        <w:pStyle w:val="TextoNormal"/>
      </w:pPr>
      <w:r>
        <w:t>d) Cláusulas de salvaguarda e interpretación conforme a la Constitución</w:t>
      </w:r>
    </w:p>
    <w:p w14:paraId="74EB0F3B" w14:textId="77777777" w:rsidR="009D7677" w:rsidRDefault="009D7677" w:rsidP="009D7677">
      <w:pPr>
        <w:pStyle w:val="TextoNormal"/>
      </w:pPr>
    </w:p>
    <w:p w14:paraId="553A814B" w14:textId="77777777" w:rsidR="009D7677" w:rsidRDefault="009D7677" w:rsidP="009D7677">
      <w:pPr>
        <w:pStyle w:val="TextoNormal"/>
      </w:pPr>
      <w:r>
        <w:t xml:space="preserve">Para terminar este fundamento debemos referirnos a la utilización en la Ley del Parlamento de Galicia 4/2023 de las conocidas como “cláusulas de salvaguarda” a las que han hecho referencia todas las partes en sus alegaciones, si bien atribuyéndoles distinta virtualidad. El abogado del Estado, indica que son utilizadas en los artículos 2.4, 21.3, 30, 31, 46.1, 48.1, 48.4, 72.1 y 73.1, entre otros y cita la STC 116/2017, FJ 3 d), para referirse a su potencialidad sanadora de eventuales inconstitucionalidades y concluye que la incorporación de tales cláusulas de salvaguarda no convalida por sí solas el contenido de las previsiones en cada caso controvertidas, que deberán ser, por tanto, analizadas al margen de tal remisión. Para el Parlamento de Galicia, su incorporación a la ley controvertida obedece a razones de seguridad jurídica para precisar el marco competencial autonómico, así como el objeto, finalidad o contenido en su caso de la correspondiente regulación y con pleno respeto a las normas integrantes del bloque de constitucionalidad. Finalmente, la Xunta de Galicia se refiere con profusión a las mismas a lo largo de sus alegaciones, indicando que se pretende el reconocimiento de la multi-competencialidad o complejidad </w:t>
      </w:r>
      <w:r>
        <w:lastRenderedPageBreak/>
        <w:t>competencial del régimen jurídico del litoral y de un escrupuloso respeto del bloque de la constitucionalidad. Por lo que “se ha considerado imprescindible introducir una cláusula de salvaguarda en todos aquellos artículos en que pudiese verse implicada la franja demanial de titularidad estatal”.</w:t>
      </w:r>
    </w:p>
    <w:p w14:paraId="64F8D889" w14:textId="77777777" w:rsidR="009D7677" w:rsidRDefault="009D7677" w:rsidP="009D7677">
      <w:pPr>
        <w:pStyle w:val="TextoNormal"/>
      </w:pPr>
    </w:p>
    <w:p w14:paraId="59BF6F83" w14:textId="77777777" w:rsidR="009D7677" w:rsidRDefault="009D7677" w:rsidP="009D7677">
      <w:pPr>
        <w:pStyle w:val="TextoNormal"/>
      </w:pPr>
      <w:r>
        <w:t>Debe indicarse que desde la STC 4/1981, de 2 de febrero, FJ 1, este tribunal viene afirmando que, “siendo posibles dos interpretaciones de un precepto, una ajustada a la Constitución y la otra no conforme con ella, debe admitirse la primera con arreglo a un criterio hermenéutico reiteradas veces aplicado por este tribunal” [STC 176/1999, de 30 de septiembre, FJ 3; 185/2014, de 6 de noviembre, FJ 7; 118/2016, de 23 de junio, FJ 3 d); 26/2017, de 16 de febrero, FJ 6, y 62/2017, de 25 de mayo, FJ 7], siempre que tales interpretaciones posibles sean “igualmente razonables” [SSTC 168/2016, de 6 de octubre, FJ 4 b); 97/2018, de 19 de septiembre, FJ 7, y 76/2019, de 22 de mayo, FJ 8, por todas].</w:t>
      </w:r>
    </w:p>
    <w:p w14:paraId="64E049F8" w14:textId="77777777" w:rsidR="009D7677" w:rsidRDefault="009D7677" w:rsidP="009D7677">
      <w:pPr>
        <w:pStyle w:val="TextoNormal"/>
      </w:pPr>
    </w:p>
    <w:p w14:paraId="2536DF6C" w14:textId="77777777" w:rsidR="009D7677" w:rsidRDefault="009D7677" w:rsidP="009D7677">
      <w:pPr>
        <w:pStyle w:val="TextoNormal"/>
      </w:pPr>
      <w:r>
        <w:t>En este contexto, la doctrina constitucional sobre la relevancia a los efectos del enjuiciamiento de las normas impugnadas de la utilización de las cláusulas de salvaguarda fue expuesta extensamente en la STC 116/2017, de 19 de octubre, FJ 3 d), a la que han aludido las partes. En ella indicamos, con cita de otras sentencias, lo siguiente:</w:t>
      </w:r>
    </w:p>
    <w:p w14:paraId="5F6AC96B" w14:textId="77777777" w:rsidR="009D7677" w:rsidRDefault="009D7677" w:rsidP="009D7677">
      <w:pPr>
        <w:pStyle w:val="TextoNormal"/>
      </w:pPr>
    </w:p>
    <w:p w14:paraId="5336958C" w14:textId="77777777" w:rsidR="009D7677" w:rsidRDefault="009D7677" w:rsidP="009D7677">
      <w:pPr>
        <w:pStyle w:val="TextoNormal"/>
      </w:pPr>
      <w:r>
        <w:t>«“[E]s sobradamente conocida la posición de este Tribunal sobre la innecesariedad de su previsión expresa, habiendo afirmado reiteradamente que su ausencia no es determinante de un vicio de inconstitucionalidad (por todas, STC 32/2016, de 18 de febrero, FJ 9). Por la misma nota característica de su innecesariedad, procede añadir ahora que, si bien el juicio de constitucionalidad no lo es de técnica legislativa (STC 120/2012, de 4 de junio, FJ 3, y las allí citadas), la mera incorporación de este tipo de cláusulas pudiera acaso servir de contexto a la hora de interpretar cuáles son el objeto, la finalidad o el contenido de los preceptos controvertidos, pero por sí misma no sanaría el vicio de inconstitucionalidad en que, en hipótesis, hubieran podido incurrir. Por este motivo, su validez jurídica no dependerá de que se hallen rodeados de este tipo de cautelas, sino de que su contenido sustantivo respete las normas integrantes del bloque de la constitucionalidad.</w:t>
      </w:r>
    </w:p>
    <w:p w14:paraId="48ABC6DD" w14:textId="77777777" w:rsidR="009D7677" w:rsidRDefault="009D7677" w:rsidP="009D7677">
      <w:pPr>
        <w:pStyle w:val="TextoNormal"/>
      </w:pPr>
    </w:p>
    <w:p w14:paraId="01D00DE0" w14:textId="728EECFE" w:rsidR="009D7677" w:rsidRDefault="009D7677" w:rsidP="009D7677">
      <w:pPr>
        <w:pStyle w:val="TextoNormal"/>
      </w:pPr>
      <w:r>
        <w:t>Con independencia de lo que puedan aportar tales cláusulas a la interpretación de las normas en conflicto, son plenamente aplicables las dos precisiones contenidas en la STC 20/2017, de 2 de febrero, FJ 9: “La primera, que ‘es necesario apurar todas las posibilidades de interpretar los preceptos de conformidad con la Constitución y declarar tan sólo la derogación de aquellos cuya incompatibilidad con ella resulte indudable por ser imposible llevar a cabo dicha interpretación’ (SSTC 14/2015, de 5 de febrero, FJ 5, y 17/2016, de 4 de febrero, FJ 4), de modo que ‘siendo posibles dos interpretaciones de un precepto, una ajustada a la Constitución y la otra no conforme con ella, debe admitirse la primera con arreglo a un criterio hermenéutico reiteradas veces aplicado por este Tribunal’ (STC 185/2014, de 6 de noviembre, FJ 7). La segunda es que la salvaguarda del principio de conservación de la norma encuentra su límite en las interpretaciones respetuosas tanto de la literalidad como del contenido de la norma cuestionada, de manera que la interpretación de conformidad con los mandatos constitucionales sea efectivamente deducible, de modo natural y no forzado, de la disposición impugnada (STC 185/2014, de 6 de noviembre, FJ 7), sin que corresponda a este Tribunal la reconstrucción de la norma en contra de su sentido evidente con la finalidad de encontrar un sentido constitucional, asumiendo una fun</w:t>
      </w:r>
      <w:r>
        <w:lastRenderedPageBreak/>
        <w:t>ción de legislador positivo que en ningún caso le corresponde (STC 14/2015, de 5 de febrero, FJ 5)”».</w:t>
      </w:r>
    </w:p>
    <w:p w14:paraId="1B00BBC3" w14:textId="77777777" w:rsidR="009D7677" w:rsidRDefault="009D7677" w:rsidP="009D7677">
      <w:pPr>
        <w:pStyle w:val="TextoNormal"/>
      </w:pPr>
    </w:p>
    <w:p w14:paraId="3CB681B7" w14:textId="77777777" w:rsidR="009D7677" w:rsidRDefault="009D7677" w:rsidP="009D7677">
      <w:pPr>
        <w:pStyle w:val="TextoNormal"/>
      </w:pPr>
      <w:r w:rsidRPr="009D7677">
        <w:rPr>
          <w:rStyle w:val="NumeroAFNegritaCaracter"/>
        </w:rPr>
        <w:t>4</w:t>
      </w:r>
      <w:r>
        <w:t xml:space="preserve">. </w:t>
      </w:r>
      <w:r w:rsidRPr="009D7677">
        <w:rPr>
          <w:i/>
        </w:rPr>
        <w:t>Sistemática del examen de las impugnaciones contenidas en el recurso de inconstitucionalidad</w:t>
      </w:r>
    </w:p>
    <w:p w14:paraId="18484DC0" w14:textId="77777777" w:rsidR="009D7677" w:rsidRDefault="009D7677" w:rsidP="009D7677">
      <w:pPr>
        <w:pStyle w:val="TextoNormal"/>
      </w:pPr>
    </w:p>
    <w:p w14:paraId="16E09FCA" w14:textId="77777777" w:rsidR="009D7677" w:rsidRDefault="009D7677" w:rsidP="009D7677">
      <w:pPr>
        <w:pStyle w:val="TextoNormal"/>
      </w:pPr>
      <w:r>
        <w:t>Lo expuesto hasta ahora nos sitúa en condiciones de abordar el resto de las setenta y dos impugnaciones —en treinta y un artículos— efectuadas por el presidente del Gobierno. A tal efecto, expondremos en primer lugar, en el fundamento cinco, la doctrina constitucional aplicable y en el seis una aproximación al contenido y finalidad de la Ley del Parlamento de Galicia 4/2023.</w:t>
      </w:r>
    </w:p>
    <w:p w14:paraId="472BBAAA" w14:textId="77777777" w:rsidR="009D7677" w:rsidRDefault="009D7677" w:rsidP="009D7677">
      <w:pPr>
        <w:pStyle w:val="TextoNormal"/>
      </w:pPr>
    </w:p>
    <w:p w14:paraId="6629412C" w14:textId="77777777" w:rsidR="009D7677" w:rsidRDefault="009D7677" w:rsidP="009D7677">
      <w:pPr>
        <w:pStyle w:val="TextoNormal"/>
      </w:pPr>
      <w:r>
        <w:t>Posteriormente seguiremos solo en parte la sistemática del escrito de impugnación y de las alegaciones de las partes, de la que nos separaremos por inevitables razones de coherencia sistemática en el tratamiento del problema constitucional. Por tanto, examinaremos las impugnaciones en los siguientes fundamentos:</w:t>
      </w:r>
    </w:p>
    <w:p w14:paraId="00B3ABB0" w14:textId="77777777" w:rsidR="009D7677" w:rsidRDefault="009D7677" w:rsidP="009D7677">
      <w:pPr>
        <w:pStyle w:val="TextoNormal"/>
      </w:pPr>
    </w:p>
    <w:p w14:paraId="5D3AA779" w14:textId="77777777" w:rsidR="009D7677" w:rsidRDefault="009D7677" w:rsidP="009D7677">
      <w:pPr>
        <w:pStyle w:val="TextoNormal"/>
      </w:pPr>
      <w:r>
        <w:t>a) En el fundamento jurídico 7 la constitucionalidad de los arts. 1.2 g); 2.1; 2.2; 22.1 y 2 a), b), c) y d); 23.2 d), g) e i); 24.3 c), e) y f); 25.1 a), b), c) y d), y 27.3 c), al referirse al objeto y ámbito de la Ley del Parlamento de Galicia 4/2023 y a los instrumentos de ordenación del litoral.</w:t>
      </w:r>
    </w:p>
    <w:p w14:paraId="2A3008DA" w14:textId="77777777" w:rsidR="009D7677" w:rsidRDefault="009D7677" w:rsidP="009D7677">
      <w:pPr>
        <w:pStyle w:val="TextoNormal"/>
      </w:pPr>
    </w:p>
    <w:p w14:paraId="1D9C13AC" w14:textId="77777777" w:rsidR="009D7677" w:rsidRDefault="009D7677" w:rsidP="009D7677">
      <w:pPr>
        <w:pStyle w:val="TextoNormal"/>
      </w:pPr>
      <w:r>
        <w:t>b) En el fundamento jurídico 8 las impugnaciones de los arts. 29.1; 34.2 a) y b); 34.3; 35.2 a), b) y c); 36.2 a), b) y c); 40.2 y 3; 41.2 a), b), c) y d); 46.3 a) y b); 48.3; 49.1, en el inciso “salvo que estén sujetos a declaración responsable de acuerdo con lo dispuesto en el apartado siguiente”, 49.3; 49.4; 57.3; 58.3, segundo párrafo, en el inciso final “[h]asta la celebración del convenio, corresponde a la persona titular del bien cumplir las obligaciones derivadas de la legislación de patrimonio cultural”, 60.3, y de la disposición final primera de la Ley del Parlamento de Galicia 4/2023, al encontrarse relacionados con el régimen de los usos sobre el litoral.</w:t>
      </w:r>
    </w:p>
    <w:p w14:paraId="56B8F7C2" w14:textId="77777777" w:rsidR="009D7677" w:rsidRDefault="009D7677" w:rsidP="009D7677">
      <w:pPr>
        <w:pStyle w:val="TextoNormal"/>
      </w:pPr>
    </w:p>
    <w:p w14:paraId="2A18DFF4" w14:textId="77777777" w:rsidR="009D7677" w:rsidRDefault="009D7677" w:rsidP="009D7677">
      <w:pPr>
        <w:pStyle w:val="TextoNormal"/>
      </w:pPr>
      <w:r>
        <w:t>c) En el fundamento jurídico 9 la constitucionalidad de los arts. 12.5 y 64.3 de la Ley del Parlamento de Galicia 4/2023, al fundarse la impugnación en la “extralimitación al extender las competencias autonómicas al mar territorial”.</w:t>
      </w:r>
    </w:p>
    <w:p w14:paraId="1CBC7C13" w14:textId="77777777" w:rsidR="009D7677" w:rsidRDefault="009D7677" w:rsidP="009D7677">
      <w:pPr>
        <w:pStyle w:val="TextoNormal"/>
      </w:pPr>
    </w:p>
    <w:p w14:paraId="0DFC825F" w14:textId="77777777" w:rsidR="009D7677" w:rsidRDefault="009D7677" w:rsidP="009D7677">
      <w:pPr>
        <w:pStyle w:val="TextoNormal"/>
      </w:pPr>
      <w:r>
        <w:t>d) En el fundamento jurídico 10 la inconstitucionalidad de los arts. 1.2 d); 3 a); 11.4 b) y 5 b); 35.3; 41.3; 46.2; 48.1, 4 y 5; 52; 53.1, 3 y 4; 62.5, y disposición final quinta, al encontrarse relacionados con el régimen de intervención administrativa.</w:t>
      </w:r>
    </w:p>
    <w:p w14:paraId="583EA5C1" w14:textId="77777777" w:rsidR="009D7677" w:rsidRDefault="009D7677" w:rsidP="009D7677">
      <w:pPr>
        <w:pStyle w:val="TextoNormal"/>
      </w:pPr>
    </w:p>
    <w:p w14:paraId="74680AD2" w14:textId="52402D6E" w:rsidR="009D7677" w:rsidRDefault="009D7677" w:rsidP="009D7677">
      <w:pPr>
        <w:pStyle w:val="TextoNormal"/>
      </w:pPr>
      <w:r>
        <w:t>e) Y, finalmente, en el último fundamento jurídico la impugnación de los restantes artículos, esto es, de los arts. 11.1, inciso “y la lucha contra la contaminación marina”, y 12.2, 46.5 y 55.2 de la Ley del Parlamento de Galicia 4/2023.</w:t>
      </w:r>
    </w:p>
    <w:p w14:paraId="59CE2BF8" w14:textId="77777777" w:rsidR="009D7677" w:rsidRDefault="009D7677" w:rsidP="009D7677">
      <w:pPr>
        <w:pStyle w:val="TextoNormal"/>
      </w:pPr>
    </w:p>
    <w:p w14:paraId="4B7316A1" w14:textId="77777777" w:rsidR="009D7677" w:rsidRDefault="009D7677" w:rsidP="009D7677">
      <w:pPr>
        <w:pStyle w:val="TextoNormal"/>
      </w:pPr>
      <w:r w:rsidRPr="009D7677">
        <w:rPr>
          <w:rStyle w:val="NumeroAFNegritaCaracter"/>
        </w:rPr>
        <w:t>5</w:t>
      </w:r>
      <w:r>
        <w:t xml:space="preserve">. </w:t>
      </w:r>
      <w:r w:rsidRPr="009D7677">
        <w:rPr>
          <w:i/>
        </w:rPr>
        <w:t>Doctrina constitucional aplicable</w:t>
      </w:r>
    </w:p>
    <w:p w14:paraId="12166D83" w14:textId="77777777" w:rsidR="009D7677" w:rsidRDefault="009D7677" w:rsidP="009D7677">
      <w:pPr>
        <w:pStyle w:val="TextoNormal"/>
      </w:pPr>
    </w:p>
    <w:p w14:paraId="4C7DAADF" w14:textId="77777777" w:rsidR="009D7677" w:rsidRDefault="009D7677" w:rsidP="009D7677">
      <w:pPr>
        <w:pStyle w:val="TextoNormal"/>
      </w:pPr>
      <w:r>
        <w:t>Delimitadas las posiciones de las partes es clara la existencia de un dispar entendimiento del contenido y alcance de las competencias concurrentes del Estado y de la Comunidad Autónoma de Galicia que se proyectan sobre el litoral. Debe adelantarse que sobre el es</w:t>
      </w:r>
      <w:r>
        <w:lastRenderedPageBreak/>
        <w:t>pacio litoral concurre la competencia autonómica especifica de ordenación del litoral y otras propias de la Comunidad Autónoma en relación con el medio ambiente, espacios naturales protegidos, puertos, pesca, patrimonio histórico artístico, entre otras, junto con algunas competencias del Estado y las facultades que le corresponden al Estado como titular del dominio público marítimo-terrestre (art. 132.2 CE).</w:t>
      </w:r>
    </w:p>
    <w:p w14:paraId="03F02E7E" w14:textId="77777777" w:rsidR="009D7677" w:rsidRDefault="009D7677" w:rsidP="009D7677">
      <w:pPr>
        <w:pStyle w:val="TextoNormal"/>
      </w:pPr>
    </w:p>
    <w:p w14:paraId="21241372" w14:textId="77777777" w:rsidR="009D7677" w:rsidRDefault="009D7677" w:rsidP="009D7677">
      <w:pPr>
        <w:pStyle w:val="TextoNormal"/>
      </w:pPr>
      <w:r>
        <w:t>El presidente del Gobierno considera que la Ley del Parlamento de Galicia 4/2023 incurre en una extralimitación o apropiación de su “competencia exclusiva” derivada de la titularidad demanial y de otras competencias de las que es titular. Y, por su parte, la Comunidad Autónoma de Galicia entiende que los preceptos impugnados se han dictado en el ejercicio de las diversas competencias asumidas en el EAG, entre la que destaca la de “ordenación del territorio y del litoral” (art. 27.3 EAG) y que la competencia estatal no tiene carácter excluyente.</w:t>
      </w:r>
    </w:p>
    <w:p w14:paraId="39BC1971" w14:textId="77777777" w:rsidR="009D7677" w:rsidRDefault="009D7677" w:rsidP="009D7677">
      <w:pPr>
        <w:pStyle w:val="TextoNormal"/>
      </w:pPr>
    </w:p>
    <w:p w14:paraId="4E6CD076" w14:textId="77777777" w:rsidR="009D7677" w:rsidRDefault="009D7677" w:rsidP="009D7677">
      <w:pPr>
        <w:pStyle w:val="TextoNormal"/>
      </w:pPr>
      <w:r>
        <w:t>Dicha contraposición delimita el esquema dialéctico en el que se desenvuelven las respectivas pretensiones de nulidad de los preceptos y de defensa de los mismos y obliga a adentrarnos en la doctrina constitucional sobre las competencias del Estado y de la Comunidad Autónoma de Galicia que se proyectan sobre el dominio público marítimo-terrestre, así como en relación con las facultades que le corresponden al Estado como consecuencia de la titularidad demanial.</w:t>
      </w:r>
    </w:p>
    <w:p w14:paraId="17D8D922" w14:textId="77777777" w:rsidR="009D7677" w:rsidRDefault="009D7677" w:rsidP="009D7677">
      <w:pPr>
        <w:pStyle w:val="TextoNormal"/>
      </w:pPr>
    </w:p>
    <w:p w14:paraId="1D094E1D" w14:textId="77777777" w:rsidR="009D7677" w:rsidRDefault="009D7677" w:rsidP="009D7677">
      <w:pPr>
        <w:pStyle w:val="TextoNormal"/>
      </w:pPr>
      <w:r>
        <w:t>A) La titularidad del dominio público marítimo-terrestre no es título atributivo de competencias</w:t>
      </w:r>
    </w:p>
    <w:p w14:paraId="56CAE92A" w14:textId="77777777" w:rsidR="009D7677" w:rsidRDefault="009D7677" w:rsidP="009D7677">
      <w:pPr>
        <w:pStyle w:val="TextoNormal"/>
      </w:pPr>
    </w:p>
    <w:p w14:paraId="6CC606C4" w14:textId="77777777" w:rsidR="009D7677" w:rsidRDefault="009D7677" w:rsidP="009D7677">
      <w:pPr>
        <w:pStyle w:val="TextoNormal"/>
      </w:pPr>
      <w:r>
        <w:t>Desde la STC 113/1983, de 6 de diciembre hasta la reciente STC 18/2022, de 8 de febrero, este tribunal se ha pronunciado, en mayor o menor medida sobre la distribución de competencias en materia de costas en una pluralidad de sentencias, decantando una doctrina que, en la actualidad tras las últimas sentencias dictadas, puede considerarse asentada.</w:t>
      </w:r>
    </w:p>
    <w:p w14:paraId="572D6468" w14:textId="77777777" w:rsidR="009D7677" w:rsidRDefault="009D7677" w:rsidP="009D7677">
      <w:pPr>
        <w:pStyle w:val="TextoNormal"/>
      </w:pPr>
    </w:p>
    <w:p w14:paraId="46B35B66" w14:textId="77777777" w:rsidR="009D7677" w:rsidRDefault="009D7677" w:rsidP="009D7677">
      <w:pPr>
        <w:pStyle w:val="TextoNormal"/>
      </w:pPr>
      <w:r>
        <w:t>La premisa de la que hemos partido al resolver los conflictos planteados —de modo implícito en algunas ocasiones (STC 113/1983) y expreso en la mayor parte de las veces—, es que la “atribución de una competencia sobre un ámbito físico determinado no impide necesariamente que se ejerzan otras competencias en ese espacio” [SSTC 77/1984, de 3 de julio, FJ 2; 103/1989, de 8 de junio, FJ 7 a); 102/1995, de 26 de junio, FJ 3; 40/1998, de 19 de febrero, FJ 29, y 80/1998, de 2 de abril, FJ 3]. Esto determina que “sobre una misma superficie o espacio natural pueden actuar distintas administraciones públicas para diferentes funciones o competencias, con la inexorable necesidad de colaboración” (STC 79/2019, de 5 de junio, FJ 5) y, por supuesto, de coordinación. Este tribunal ha cimentado una extensa doctrina sobre la concurrencia de títulos competenciales que se produce en el dominio público marítimo-terrestre y especialmente sobre la incidencia que resulta de los títulos competenciales de las comunidades autónomas en las facultades atribuidas al Estado como titular del demanio.</w:t>
      </w:r>
    </w:p>
    <w:p w14:paraId="73720FFD" w14:textId="77777777" w:rsidR="009D7677" w:rsidRDefault="009D7677" w:rsidP="009D7677">
      <w:pPr>
        <w:pStyle w:val="TextoNormal"/>
      </w:pPr>
    </w:p>
    <w:p w14:paraId="2FAA4F04" w14:textId="77777777" w:rsidR="009D7677" w:rsidRDefault="009D7677" w:rsidP="009D7677">
      <w:pPr>
        <w:pStyle w:val="TextoNormal"/>
      </w:pPr>
      <w:r>
        <w:t>Hemos afirmado con reiteración desde la STC 77/1984, FJ 3, que la condición de dominio público, no es un criterio utilizado para delimitar competencias “ni tampoco sirve para aislar una porción de territorio de su entorno, y considerarlo como una zona exenta de las competencias de los diversos entes públicos que las ostenten” [STC 103/1989, FJ 6 a)], “ni [le] sustrae de las competencias que sobre ese aspecto corresponden a otros entes pú</w:t>
      </w:r>
      <w:r>
        <w:lastRenderedPageBreak/>
        <w:t>blicos que no ostentan esa titularidad” (SSTC 149/1991, de 4 de julio, FJ 1 y 46/2007, de 1 de marzo, FJ 12). En otros términos, “son, en principio, separables la propiedad pública de un bien y el ejercicio de las competencias públicas que lo utilizan como soporte” (STC 227/1988, de 29 de noviembre, FJ 14). De modo contundente hemos afirmado, que “[e]s opinión pacífica que la titularidad del dominio público no confiere, por sí misma, competencia alguna […]. Es la naturaleza jurídica de la actividad el único criterio válido para juzgar su idoneidad constitucional” (SSTC 102/1995, de 26 de junio, FJ 20; 195/1998, de 1 de octubre, FJ 3, y 97/2002, de 25 de abril, FJ 7).</w:t>
      </w:r>
    </w:p>
    <w:p w14:paraId="072387EA" w14:textId="77777777" w:rsidR="009D7677" w:rsidRDefault="009D7677" w:rsidP="009D7677">
      <w:pPr>
        <w:pStyle w:val="TextoNormal"/>
      </w:pPr>
    </w:p>
    <w:p w14:paraId="21D0F1D5" w14:textId="77777777" w:rsidR="009D7677" w:rsidRDefault="009D7677" w:rsidP="009D7677">
      <w:pPr>
        <w:pStyle w:val="TextoNormal"/>
      </w:pPr>
      <w:r>
        <w:t>B) Facultades y competencias del Estado sobre el dominio público marítimo-terrestre y sobre los terrenos colindantes</w:t>
      </w:r>
    </w:p>
    <w:p w14:paraId="3A552543" w14:textId="77777777" w:rsidR="009D7677" w:rsidRDefault="009D7677" w:rsidP="009D7677">
      <w:pPr>
        <w:pStyle w:val="TextoNormal"/>
      </w:pPr>
    </w:p>
    <w:p w14:paraId="609B69F6" w14:textId="77777777" w:rsidR="009D7677" w:rsidRDefault="009D7677" w:rsidP="009D7677">
      <w:pPr>
        <w:pStyle w:val="TextoNormal"/>
      </w:pPr>
      <w:r>
        <w:t>a) Facultades y competencias del Estado sobre el dominio público marítimo-terrestre. De la Constitución resulta “que es competencia propia del Estado la determinación de aquellas categorías de bienes que integran el dominio público natural […] Esta facultad del legislador estatal para definir el dominio público estatal (art. 132.2 CE) y para establecer el régimen jurídico de todos los bienes que lo integran […] no sólo ha de inspirarse en los principios de inalienabilidad, imprescriptibilidad e inembargabilidad, sino que además ha de adoptar todas las medidas que crea necesarias para preservar sus características propias […]. En el caso del dominio público marítimo-terrestre se trata, además, sin embargo, de una expresa necesidad jurídico-positiva, constitucional, pues como es obvio, el mandato del constituyente quedaría burlado si el legislador obrase de modo tal que, aun reteniendo físicamente en el dominio público del Estado la zona marítimo-terrestre, tolerase que su naturaleza y sus características fueran destruidas o alteradas” [STC 149/1991, FJ 1 C)].</w:t>
      </w:r>
    </w:p>
    <w:p w14:paraId="4C8ABB66" w14:textId="77777777" w:rsidR="009D7677" w:rsidRDefault="009D7677" w:rsidP="009D7677">
      <w:pPr>
        <w:pStyle w:val="TextoNormal"/>
      </w:pPr>
    </w:p>
    <w:p w14:paraId="202F2CE5" w14:textId="77777777" w:rsidR="009D7677" w:rsidRDefault="009D7677" w:rsidP="009D7677">
      <w:pPr>
        <w:pStyle w:val="TextoNormal"/>
      </w:pPr>
      <w:r>
        <w:t>De este modo “el legislador estatal no sólo está facultado, sino obligado, a proteger el demanio marítimo-terrestre a fin de asegurar tanto el mantenimiento de su integridad física y jurídica, como su uso público y sus valores paisajísticos” y “[e]stas finalidades que ampara el art. 45 CE no pueden alcanzarse, sin embargo, sin limitar o condicionar de algún modo las utilizaciones del demanio y el uso que sus propietarios pueden hacer de los terrenos colindantes con él y, en consecuencia, tampoco sin incidir sobre la competencia que para la ordenación del territorio ostentan las comunidades autónomas costeras” [STC 149/1991, FJ 1 D)].</w:t>
      </w:r>
    </w:p>
    <w:p w14:paraId="659A0C49" w14:textId="77777777" w:rsidR="009D7677" w:rsidRDefault="009D7677" w:rsidP="009D7677">
      <w:pPr>
        <w:pStyle w:val="TextoNormal"/>
      </w:pPr>
    </w:p>
    <w:p w14:paraId="5803959B" w14:textId="77777777" w:rsidR="009D7677" w:rsidRDefault="009D7677" w:rsidP="009D7677">
      <w:pPr>
        <w:pStyle w:val="TextoNormal"/>
      </w:pPr>
      <w:r>
        <w:t>De modo que “en la zona marítimo-terrestre, el Estado, como titular del demanio, se encuentra facultado para regular el régimen jurídico de estos bienes y para establecer cuantas medidas sean necesarias para su protección, para preservar las características propias del bien y para asegurar la integridad de su titularidad y el libre uso público. Por ello, de la doctrina constitucional hasta aquí citada cabe concluir que, aun cuando la titularidad del dominio público no es un criterio válido para delimitar competencias entre el Estado y las comunidades autónomas, sin embargo le corresponde al Estado definir legislativamente el dominio público estatal y establecer el régimen jurídico de los bienes que lo integran, así como adoptar las medidas precisas para proteger la integridad del demanio, preservar sus características naturales y su libre utilización.” (STC 46/2007, FJ 12).</w:t>
      </w:r>
    </w:p>
    <w:p w14:paraId="40B1198A" w14:textId="77777777" w:rsidR="009D7677" w:rsidRDefault="009D7677" w:rsidP="009D7677">
      <w:pPr>
        <w:pStyle w:val="TextoNormal"/>
      </w:pPr>
    </w:p>
    <w:p w14:paraId="54A54C63" w14:textId="77777777" w:rsidR="009D7677" w:rsidRDefault="009D7677" w:rsidP="009D7677">
      <w:pPr>
        <w:pStyle w:val="TextoNormal"/>
      </w:pPr>
      <w:r>
        <w:t xml:space="preserve">Esta facultad legislativa que compete en exclusiva al Estado de establecer el régimen jurídico del dominio público marítimo-terrestre </w:t>
      </w:r>
      <w:r w:rsidRPr="009D7677">
        <w:rPr>
          <w:i/>
        </w:rPr>
        <w:t>ex</w:t>
      </w:r>
      <w:r>
        <w:t xml:space="preserve"> art. 132.2 CE, al estar acotada a prever las medidas que garanticen su integridad física y jurídica y aseguren su libre utilización, </w:t>
      </w:r>
      <w:r>
        <w:lastRenderedPageBreak/>
        <w:t>no excluye la competencia legislativa autonómica de ordenación del litoral, que recayendo sobre ese mismo espacio físico le habilita para establecer en cada tramo de costa qué usos son posibles en el dominio público marítimo-terrestre, siempre claro está que al hacerlo no contraríe o desvirtúe las antedichas medidas que corresponde definir al Estado en exclusiva y que en la actualidad se encuentran en la ley y reglamento que regulan las costas.</w:t>
      </w:r>
    </w:p>
    <w:p w14:paraId="423019FC" w14:textId="77777777" w:rsidR="009D7677" w:rsidRDefault="009D7677" w:rsidP="009D7677">
      <w:pPr>
        <w:pStyle w:val="TextoNormal"/>
      </w:pPr>
    </w:p>
    <w:p w14:paraId="50D702DA" w14:textId="77777777" w:rsidR="009D7677" w:rsidRDefault="009D7677" w:rsidP="009D7677">
      <w:pPr>
        <w:pStyle w:val="TextoNormal"/>
      </w:pPr>
      <w:r>
        <w:t>Esto es lo que estableció la STC 46/2007 —refiriéndose a la STC 149/1991— “la titularidad estatal de determinadas facultades relacionadas con la protección y defensa de un bien demanial no ha de interpretarse en el sentido de impedir el ejercicio de las correspondientes competencias de las diferentes Administraciones no titulares de ese bien que incidan sobre ese soporte. De esta forma, las limitaciones a las competencias autonómicas derivadas de dichas facultades estatales han de ser las imprescindibles para garantizar la defensa y la protección integral de dichos bienes sin pretender ordenar directamente el territorio, toda vez que la costa está sujeta a los instrumentos de ordenación territorial cuya aprobación corresponde en exclusiva al titular de dicha competencia.” (FJ 12).</w:t>
      </w:r>
    </w:p>
    <w:p w14:paraId="6FD98B5A" w14:textId="77777777" w:rsidR="009D7677" w:rsidRDefault="009D7677" w:rsidP="009D7677">
      <w:pPr>
        <w:pStyle w:val="TextoNormal"/>
      </w:pPr>
    </w:p>
    <w:p w14:paraId="6033905B" w14:textId="77777777" w:rsidR="009D7677" w:rsidRDefault="009D7677" w:rsidP="009D7677">
      <w:pPr>
        <w:pStyle w:val="TextoNormal"/>
      </w:pPr>
      <w:r>
        <w:t>A modo de síntesis puede afirmarse que de la titularidad del dominio público marítimo-terrestre resulta únicamente la facultad del Estado de adoptar medidas de protección que aseguren que la naturaleza y las características del mismo no sean destruidas y alteradas, así como para garantizar el uso libre, sin perjuicio de las posibilidades de actuación del Estado sobre la zona marítimo-terrestre a través de otros títulos.</w:t>
      </w:r>
    </w:p>
    <w:p w14:paraId="6CFC79F9" w14:textId="77777777" w:rsidR="009D7677" w:rsidRDefault="009D7677" w:rsidP="009D7677">
      <w:pPr>
        <w:pStyle w:val="TextoNormal"/>
      </w:pPr>
    </w:p>
    <w:p w14:paraId="67B84ACB" w14:textId="77777777" w:rsidR="009D7677" w:rsidRDefault="009D7677" w:rsidP="009D7677">
      <w:pPr>
        <w:pStyle w:val="TextoNormal"/>
      </w:pPr>
      <w:r>
        <w:t>b) Competencias del Estado sobre los terrenos colindantes. Sin embargo, la inexistencia de titularidad del Estado sobre los terrenos colindantes determina que la obligación de preservar las características naturales del dominio público marítimo-terrestre y de asegurar su libre uso deban sustentarse exclusivamente en otras competencias reservadas al Estado en el art. 149.1 CE. Así tuvimos ocasión de indicarlo en la tantas veces citada STC 149/1991, en concreto en su FJ 1 D) que reproducimos a continuación:</w:t>
      </w:r>
    </w:p>
    <w:p w14:paraId="1CE8BA96" w14:textId="77777777" w:rsidR="009D7677" w:rsidRDefault="009D7677" w:rsidP="009D7677">
      <w:pPr>
        <w:pStyle w:val="TextoNormal"/>
      </w:pPr>
    </w:p>
    <w:p w14:paraId="4C62A807" w14:textId="77777777" w:rsidR="009D7677" w:rsidRDefault="009D7677" w:rsidP="009D7677">
      <w:pPr>
        <w:pStyle w:val="TextoNormal"/>
      </w:pPr>
      <w:r>
        <w:t>“En lo que toca a los terrenos colindantes es claro, sin embargo, que tal titularidad no existe y que la articulación entre la obligación estatal de proteger las características propias del dominio público marítimo-terrestre y asegurar su libre uso público, de una parte, y la competencia autonómica sobre la ordenación territorial, de la otra, ha de hacerse por otra vía, apoyándose en otras competencias reservadas al Estado en exclusiva por el art. 149.1 de la CE. Entre éstas, y aparte otras competencias sectoriales que legitiman la acción normativa e incluso ejecutiva del Estado en supuestos concretos (así las enunciadas en los párrafos 4, 8, 13, 20, 21 ó 24 del citado art. 149.1 CE), son dos los títulos competenciales, por así decir generales, a los que se ha de acudir para resolver conforme a la Constitución el problema que plantea la antes mencionada articulación.</w:t>
      </w:r>
    </w:p>
    <w:p w14:paraId="29425AD3" w14:textId="77777777" w:rsidR="009D7677" w:rsidRDefault="009D7677" w:rsidP="009D7677">
      <w:pPr>
        <w:pStyle w:val="TextoNormal"/>
      </w:pPr>
    </w:p>
    <w:p w14:paraId="5873E049" w14:textId="77777777" w:rsidR="009D7677" w:rsidRDefault="009D7677" w:rsidP="009D7677">
      <w:pPr>
        <w:pStyle w:val="TextoNormal"/>
      </w:pPr>
      <w:r>
        <w:t>El primero de tales títulos es el enunciado en el art. 149.1.1, que opera aquí en dos planos distintos. En primer lugar, para asegurar una igualdad básica en el ejercicio del derecho a disfrutar de un medio ambiente adecuado al desarrollo de la persona (art. 45 CE), en relación con el dominio público marítimo-terrestre, cuya importancia a estos efectos ya ha sido señalada antes con referencia a la Carta Europea del Litoral. No es ya la titularidad demanial, sino la competencia que le atribuye el citado art. 149.1.1, la que fundamenta la legitimidad de todas aquellas normas destinadas a garantizar, en condiciones básicamente iguales, la utilización pública, libre y gratuita del demanio para los usos comunes y a esta</w:t>
      </w:r>
      <w:r>
        <w:lastRenderedPageBreak/>
        <w:t>blecer, correlativamente, el régimen jurídico de aquellos usos u ocupaciones que no lo son. De otro lado, tanto para asegurar la integridad física y las características propias de la zona marítimo-terrestre como para garantizar su accesibilidad es imprescindible imponer servidumbres sobre los terrenos colindantes y limitar las facultades dominicales de sus propietarios, afectando así, de manera importante, el derecho que garantiza el art. 33.1 y 2 de la CE. La necesidad de asegurar la igualdad de todos los españoles en el ejercicio de este derecho no quedaría asegurada si el Estado, en uso de la competencia exclusiva que le otorga el art. 149.1.1, no regulase las condiciones básicas de la propiedad sobre los terrenos colindantes de la zona marítimo-terrestre, una regulación que, naturalmente, no excluye la posibilidad de que, a través de los correspondientes instrumentos de ordenación, las comunidades autónomas condicionen adicionalmente el uso que a esos terrenos puede darse.</w:t>
      </w:r>
    </w:p>
    <w:p w14:paraId="1DA5141A" w14:textId="77777777" w:rsidR="009D7677" w:rsidRDefault="009D7677" w:rsidP="009D7677">
      <w:pPr>
        <w:pStyle w:val="TextoNormal"/>
      </w:pPr>
    </w:p>
    <w:p w14:paraId="434BD860" w14:textId="77777777" w:rsidR="009D7677" w:rsidRDefault="009D7677" w:rsidP="009D7677">
      <w:pPr>
        <w:pStyle w:val="TextoNormal"/>
      </w:pPr>
      <w:r>
        <w:t>El segundo, aunque no secundario, de los indicados títulos es el que, en relación con la protección del medio ambiente consagra el art. 149.1.23. Como se sabe, la competencia allí reservada al Estado es la relativa al establecimiento de la legislación básica, que puede ser complementada con normas adicionales, cuando así lo prevén los respectivos Estatutos, así como el ejercicio de las funciones de ejecución necesarias para la efectividad de esa legislación. Es, sin duda, la protección de la naturaleza la finalidad inmediata que persiguen las normas mediante las que se establecen limitaciones en el uso de los terrenos colindantes a fin de preservar las características propias (incluso, claro está, los valores paisajísticos) de la zona marítimo-terrestre y, por tanto, es a partir de esa finalidad primaria como se han de articular, para respetar la delimitación competencial que impone el bloque de la constitucionalidad, la obligación que al legislador estatal impone el art. 132.2 de la CE y las competencias asumidas por las comunidades autónomas.</w:t>
      </w:r>
    </w:p>
    <w:p w14:paraId="79DA5A97" w14:textId="77777777" w:rsidR="009D7677" w:rsidRDefault="009D7677" w:rsidP="009D7677">
      <w:pPr>
        <w:pStyle w:val="TextoNormal"/>
      </w:pPr>
    </w:p>
    <w:p w14:paraId="23C8CEF4" w14:textId="77777777" w:rsidR="009D7677" w:rsidRDefault="009D7677" w:rsidP="009D7677">
      <w:pPr>
        <w:pStyle w:val="TextoNormal"/>
      </w:pPr>
      <w:r>
        <w:t>Conviene subrayar ya en este momento, que los términos en los que la Constitución (art. 149.1.23) recoge la competencia exclusiva del Estado concerniente a la protección del medio ambiente ofrecen una peculiaridad que no puede ser desdeñada a la hora de establecer su significado preciso. No utiliza aquí la Constitución, en efecto, como en otros lugares (v. gr.: en el art. 149.1.13, 16, 18 o 25) el concepto de bases, sino el de legislación básica del que también hace uso en otros párrafos (17 y 27) del mismo apartado 1 del art. 149. A diferencia de lo que en éstos sucede, sin embargo, no agrega explícitamente (como en el art. 149.1.27), ni implícitamente admite (así el 149.1.17) que el desarrollo de esta legislación básica pueda ser asumido, como competencia propia, por las comunidades autónomas, sino que precisa que la eventual competencia normativa de éstas es la de ‘establecer normas adicionales de protección’.</w:t>
      </w:r>
    </w:p>
    <w:p w14:paraId="5972442D" w14:textId="77777777" w:rsidR="009D7677" w:rsidRDefault="009D7677" w:rsidP="009D7677">
      <w:pPr>
        <w:pStyle w:val="TextoNormal"/>
      </w:pPr>
    </w:p>
    <w:p w14:paraId="1A7D50CC" w14:textId="77777777" w:rsidR="009D7677" w:rsidRDefault="009D7677" w:rsidP="009D7677">
      <w:pPr>
        <w:pStyle w:val="TextoNormal"/>
      </w:pPr>
      <w:r>
        <w:t xml:space="preserve">Aunque esta redacción del Texto Constitucional lleva naturalmente a la conclusión de que el constituyente no ha pretendido reservar a la competencia legislativa del Estado sólo el establecimiento de preceptos básicos necesitados de ulterior desarrollo, sino que, por el contrario, ha entendido que había de ser el Estado el que estableciese toda la normativa que considerase indispensable para la protección del medio ambiente (sin perjuicio, claro está, de que este standard proteccionista común fuese mejorado, por así decir, por las comunidades autónomas) y aunque, efectivamente algunos estatutos de autonomía se ajustan precisamente a este entendimiento (así EA Galicia, art. 27.30; EA Valencia, art. 32.6; EA Baleares, art. 11.5, […]), hay otros estatutos de autonomía [así EA País Vasco, art. 11.1 a); EA Cataluña, art. 10.6, y EA Andalucía, art. 15.1.7] que atribuyen a la correspondiente </w:t>
      </w:r>
      <w:r>
        <w:lastRenderedPageBreak/>
        <w:t>Comunidad Autónoma competencia para desarrollar la legislación básica del Estado sobre medio ambiente.</w:t>
      </w:r>
    </w:p>
    <w:p w14:paraId="6B13990B" w14:textId="77777777" w:rsidR="009D7677" w:rsidRDefault="009D7677" w:rsidP="009D7677">
      <w:pPr>
        <w:pStyle w:val="TextoNormal"/>
      </w:pPr>
    </w:p>
    <w:p w14:paraId="1DF2B4B9" w14:textId="77777777" w:rsidR="009D7677" w:rsidRDefault="009D7677" w:rsidP="009D7677">
      <w:pPr>
        <w:pStyle w:val="TextoNormal"/>
      </w:pPr>
      <w:r>
        <w:t>Esta atribución es, sin duda, legítima, pues al precisar que el Estado tiene competencia exclusiva para la legislación básica sobre protección del medio ambiente, ‘sin perjuicio de las facultades de las comunidades autónomas de establecer normas adicionales de Protección’, la Constitución no excluye la posibilidad de que las comunidades autónomas puedan desarrollar también, mediante normas legales o reglamentarias, la legislación estatal, cuando específicamente sus estatutos les hayan atribuido esta competencia. La obligada interpretación de los estatutos conforme a la Constitución fuerza a entender, sin embargo, que en materia de medio ambiente el deber estatal de dejar un margen al desarrollo de la legislación básica por la normativa autonómica es menor que en otros ámbitos y que, en consecuencia, no cabe afirmar la inconstitucionalidad de las normas estatales aduciendo que, por el detalle con el que están concebidas, no permiten desarrollo normativo alguno.</w:t>
      </w:r>
    </w:p>
    <w:p w14:paraId="7ADB1281" w14:textId="77777777" w:rsidR="009D7677" w:rsidRDefault="009D7677" w:rsidP="009D7677">
      <w:pPr>
        <w:pStyle w:val="TextoNormal"/>
      </w:pPr>
    </w:p>
    <w:p w14:paraId="5EAE6FF8" w14:textId="77777777" w:rsidR="009D7677" w:rsidRDefault="009D7677" w:rsidP="009D7677">
      <w:pPr>
        <w:pStyle w:val="TextoNormal"/>
      </w:pPr>
      <w:r>
        <w:t>Esta consideración, unida a la evidente dificultad que en la práctica ofrece la distinción entre normas que desarrollan la legislación estatal y normas que establecen medidas adicionales de protección, permite establecer una cierta equiparación, a estos efectos, entre todas las comunidades autónomas.</w:t>
      </w:r>
    </w:p>
    <w:p w14:paraId="5ACC8871" w14:textId="77777777" w:rsidR="009D7677" w:rsidRDefault="009D7677" w:rsidP="009D7677">
      <w:pPr>
        <w:pStyle w:val="TextoNormal"/>
      </w:pPr>
    </w:p>
    <w:p w14:paraId="5F8A509B" w14:textId="77777777" w:rsidR="009D7677" w:rsidRDefault="009D7677" w:rsidP="009D7677">
      <w:pPr>
        <w:pStyle w:val="TextoNormal"/>
      </w:pPr>
      <w:r>
        <w:t>Con arreglo a estas ideas generales y sin perjuicio de examinar otros posibles títulos competenciales cuando la materia concreta lo requiera, pasamos al análisis de las impugnaciones dirigidas contra los distintos artículos. Ordenaremos este análisis siguiendo los títulos en los que la propia ley está dividida aunque, ocasionalmente, en razón de la conexión existente entre los preceptos, hayamos de hacer referencia, en el análisis del contenido de un determinado título, a preceptos que se hallan fuera de él”.</w:t>
      </w:r>
    </w:p>
    <w:p w14:paraId="2319541E" w14:textId="77777777" w:rsidR="009D7677" w:rsidRDefault="009D7677" w:rsidP="009D7677">
      <w:pPr>
        <w:pStyle w:val="TextoNormal"/>
      </w:pPr>
    </w:p>
    <w:p w14:paraId="06C5FB52" w14:textId="77777777" w:rsidR="009D7677" w:rsidRDefault="009D7677" w:rsidP="009D7677">
      <w:pPr>
        <w:pStyle w:val="TextoNormal"/>
      </w:pPr>
      <w:r>
        <w:t>C) La ordenación del litoral como título competencial especifico y en particular la competencia para la gestión de los títulos de ocupación</w:t>
      </w:r>
    </w:p>
    <w:p w14:paraId="679CD3D7" w14:textId="77777777" w:rsidR="009D7677" w:rsidRDefault="009D7677" w:rsidP="009D7677">
      <w:pPr>
        <w:pStyle w:val="TextoNormal"/>
      </w:pPr>
    </w:p>
    <w:p w14:paraId="3A9D013F" w14:textId="77777777" w:rsidR="009D7677" w:rsidRDefault="009D7677" w:rsidP="009D7677">
      <w:pPr>
        <w:pStyle w:val="TextoNormal"/>
      </w:pPr>
      <w:r>
        <w:t>En relación con el contenido de la competencia del ordenación del territorio, la STC 31/2010, de 28 de junio, al examinar la constitucionalidad del apartado 3 b) del art. 149 del Estatuto de Autonomía de Cataluña (EAC) —que comprende en la competencia exclusiva de ordenación del litoral una serie de competencias ejecutivas que se proyectan sobre el dominio público marítimo-terrestre—, indica que debe descartarse su inconstitucionalidad dado que el precepto “se limita a reconocer a la Generalitat las señaladas funciones ejecutivas de su competencia cuyo ejercicio expresamente se somete al respeto del régimen general del dominio público, lo que implica su plena sujeción a las potestades estatales, pues dicho régimen corresponde establecerlo al Estado, titular del demanio, con libertad de configuración.” (FJ 92).</w:t>
      </w:r>
    </w:p>
    <w:p w14:paraId="6F8DF8BF" w14:textId="77777777" w:rsidR="009D7677" w:rsidRDefault="009D7677" w:rsidP="009D7677">
      <w:pPr>
        <w:pStyle w:val="TextoNormal"/>
      </w:pPr>
    </w:p>
    <w:p w14:paraId="34109297" w14:textId="77777777" w:rsidR="009D7677" w:rsidRDefault="009D7677" w:rsidP="009D7677">
      <w:pPr>
        <w:pStyle w:val="TextoNormal"/>
      </w:pPr>
      <w:r>
        <w:t xml:space="preserve">Precisamente, ya la STC 149/1991, había aventurado el fundamento de la competencia autonómica para el otorgamiento de títulos para la ocupación y uso privativos del dominio público en la competencia para la ordenación del territorio, incluido el litoral, al indicar que la capacidad de ordenación territorial condiciona el otorgamiento de los títulos que permitan su utilización privativa o su ocupación. Así señalamos que es “sobre todo, la competencia plena para la ordenación del territorio propio, incluido el litoral, la que más sólidamente puede fundamentar la oposición de las comunidades autónomas a la retención </w:t>
      </w:r>
      <w:r>
        <w:lastRenderedPageBreak/>
        <w:t>en manos de la administración del Estado, de las facultades relativas a la gestión del dominio público marítimo-terrestre, pues es incuestionable que, formando parte éste de aquel territorio, la capacidad para ordenarlo condiciona, de uno u otro modo, el otorgamiento de los títulos que permitan su utilización privativa o su ocupación” [FJ 4 A)].</w:t>
      </w:r>
    </w:p>
    <w:p w14:paraId="42643B55" w14:textId="77777777" w:rsidR="009D7677" w:rsidRDefault="009D7677" w:rsidP="009D7677">
      <w:pPr>
        <w:pStyle w:val="TextoNormal"/>
      </w:pPr>
    </w:p>
    <w:p w14:paraId="6534FCA7" w14:textId="77777777" w:rsidR="009D7677" w:rsidRDefault="009D7677" w:rsidP="009D7677">
      <w:pPr>
        <w:pStyle w:val="TextoNormal"/>
      </w:pPr>
      <w:r>
        <w:t>Mas recientemente, al resolver el recurso presentado por el Estado contra la Ley del Parlamento de Cataluña 8/2020, de 30 de julio, de protección y ordenación del litoral, hemos indicado con referencia al art. 149.3 b) EAC, que “la competencia sobre la ‘gestión’ de los títulos de ocupación del dominio público marítimo terrestre se integra en la competencia más amplia de ordenación del litoral […] como apostilla la STC 31/2010, FJ 92, ‘dado que’ la Generalitat es competente en materia de ordenación del litoral, la gestión de los títulos no menoscaba la competencia del Estado sobre la protección del litoral derivada del art. 132.2 CE” [STC 18/2022, FJ 2 b)].</w:t>
      </w:r>
    </w:p>
    <w:p w14:paraId="334F204B" w14:textId="77777777" w:rsidR="009D7677" w:rsidRDefault="009D7677" w:rsidP="009D7677">
      <w:pPr>
        <w:pStyle w:val="TextoNormal"/>
      </w:pPr>
    </w:p>
    <w:p w14:paraId="4F96C539" w14:textId="77777777" w:rsidR="009D7677" w:rsidRDefault="009D7677" w:rsidP="009D7677">
      <w:pPr>
        <w:pStyle w:val="TextoNormal"/>
      </w:pPr>
      <w:r>
        <w:t>De este modo debe entenderse que el art. 149.3 b) EAC cuando precisa que la competencia exclusiva de la Generalitat en materia de ordenación del litoral incluye en todo caso, “[l]a gestión de los títulos de ocupación y uso del dominio público marítimo terrestre, especialmente el otorgamiento de autorizaciones y concesiones” se limita a concretar una competencia propia, ya asumida antes de la reforma de 2006, pues no hubiera podido ser asumida si no formara parte de la ordenación del litoral, al no existir ley estatal por la que se le haya transferido o delegado dicha gestión conforme al art. 150.2 CE (STC 56/1990, de 29 de marzo, FJ 5).</w:t>
      </w:r>
    </w:p>
    <w:p w14:paraId="652F3D70" w14:textId="77777777" w:rsidR="009D7677" w:rsidRDefault="009D7677" w:rsidP="009D7677">
      <w:pPr>
        <w:pStyle w:val="TextoNormal"/>
      </w:pPr>
    </w:p>
    <w:p w14:paraId="6A886FFE" w14:textId="77777777" w:rsidR="009D7677" w:rsidRDefault="009D7677" w:rsidP="009D7677">
      <w:pPr>
        <w:pStyle w:val="TextoNormal"/>
      </w:pPr>
      <w:r>
        <w:t>Consiguientemente cuando en la STC 18/2022 avalamos la constitucionalidad del referido precepto, porque el mismo no invadía competencias estatales, modulamos así —definitivamente— nuestra doctrina, al entender que las funciones ejecutivas relativas a la gestión de títulos de utilización y ocupación del dominio público marítimo-terrestre no forman parte de competencias estatales al tener su encaje en la competencia sobre ordenación del litoral. Por tanto, la competencia estatal debe entenderse limitada a establecer el régimen jurídico del dominio público para atender a las finalidades antes dichas, quedando sustraídas del mismo la facultad de otorgar las autorizaciones para la utilización y ocupación del demanio, al pertenecer dichas facultades de ejecución a la competencia exclusiva de ordenación del litoral, posicionamiento constitucional que es proyectable a las comunidades autónomas que tengan reconocida dicha competencia en sus estatutos de autonomía.</w:t>
      </w:r>
    </w:p>
    <w:p w14:paraId="3E3B523B" w14:textId="77777777" w:rsidR="009D7677" w:rsidRDefault="009D7677" w:rsidP="009D7677">
      <w:pPr>
        <w:pStyle w:val="TextoNormal"/>
      </w:pPr>
    </w:p>
    <w:p w14:paraId="76817A24" w14:textId="77777777" w:rsidR="009D7677" w:rsidRDefault="009D7677" w:rsidP="009D7677">
      <w:pPr>
        <w:pStyle w:val="TextoNormal"/>
      </w:pPr>
      <w:r>
        <w:t>Finalmente, no está demás apuntar, aun cuando nos separemos de la ordenación del territorio y del litoral, que hemos reconocido la competencia autonómica de gestión en materia de protección del medio ambiente, que también puede servir de sustento para la gestión de los títulos de ocupación y uso del dominio público marítimo-terrestre, especialmente para el otorgamiento de autorizaciones y concesiones. En tal sentido, indicamos, en la STC 102/1995, de 26 de junio, FJ 18:</w:t>
      </w:r>
    </w:p>
    <w:p w14:paraId="547C371B" w14:textId="77777777" w:rsidR="009D7677" w:rsidRDefault="009D7677" w:rsidP="009D7677">
      <w:pPr>
        <w:pStyle w:val="TextoNormal"/>
      </w:pPr>
    </w:p>
    <w:p w14:paraId="6189FC7E" w14:textId="77777777" w:rsidR="009D7677" w:rsidRDefault="009D7677" w:rsidP="009D7677">
      <w:pPr>
        <w:pStyle w:val="TextoNormal"/>
      </w:pPr>
      <w:r>
        <w:t xml:space="preserve">“Si en el engranaje de las competencias normativas del Estado y de las comunidades pudiera crearse alguna zona en sombra o algún problema de límites, no ocurre lo mismo tratándose de la ‘gestión’, que corresponde en principio a las comunidades autónomas. No sólo la Constitución la encomienda a aquellas, sino que además estatutariamente se les defiere la función ejecutiva no sólo en el ámbito entero de la protección del medio ambiente, comprendidos los espacios naturales, trátese de las normas básicas como de las </w:t>
      </w:r>
      <w:r>
        <w:lastRenderedPageBreak/>
        <w:t>adicionales y de las que se dicten para su desarrollo, legislativas y reglamentarias, estatales o no, sino también en las diferentes facetas que conllevan la administración, la inspección y la potestad sancionadora como quedó dicho en un principio, con ocasión de analizar y clasificar el contenido de los estatutos de autonomía al respecto. El juego recíproco de las normas constitucionales (arts. 148.1.9 y 149.1.23 CE) y de las estatutarias pone de manifiesto ‘sin lugar a duda, que las facultades ejecutivas o de gestión en materia de medio ambiente, en general [...] corresponden a’ las comunidades autónomas ‘y no al Estado’ (SSTC 149/1991 y 329/1993)”.</w:t>
      </w:r>
    </w:p>
    <w:p w14:paraId="2853AFB8" w14:textId="77777777" w:rsidR="009D7677" w:rsidRDefault="009D7677" w:rsidP="009D7677">
      <w:pPr>
        <w:pStyle w:val="TextoNormal"/>
      </w:pPr>
    </w:p>
    <w:p w14:paraId="7AA63B2D" w14:textId="77777777" w:rsidR="009D7677" w:rsidRDefault="009D7677" w:rsidP="009D7677">
      <w:pPr>
        <w:pStyle w:val="TextoNormal"/>
      </w:pPr>
      <w:r>
        <w:t>D) Competencias de las comunidades autónomas sobre el mar territorial</w:t>
      </w:r>
    </w:p>
    <w:p w14:paraId="69089DD0" w14:textId="77777777" w:rsidR="009D7677" w:rsidRDefault="009D7677" w:rsidP="009D7677">
      <w:pPr>
        <w:pStyle w:val="TextoNormal"/>
      </w:pPr>
    </w:p>
    <w:p w14:paraId="7F0E8F12" w14:textId="77777777" w:rsidR="009D7677" w:rsidRDefault="009D7677" w:rsidP="009D7677">
      <w:pPr>
        <w:pStyle w:val="TextoNormal"/>
      </w:pPr>
      <w:r>
        <w:t>Conviene indicar que lo que se ha dado en llamar territorialidad de las competencias de las comunidades autónomas, no se proyecta sobre el mar territorial. Es claro que el “territorio autonómico no se extiende al mar territorial” [SSTC 3/2014, de 16 de enero, FJ 3; 121/2014, de 17 de julio, FJ 3 a), y 8/2018, de 25 de enero, FJ 7] y consiguientemente “la competencia autonómica sobre ordenación del territorio no se extiende al mar” territorial [STC 149/1991, de 4 de julio, FJ 7 A) b)], respecto del que “excepcionalmente pueden llegar a ejercerse competencias autonómicas, eventualidad ésta que dependerá, bien de un explícito reconocimiento estatutario […] bien de la naturaleza de la competencia tal como resulta de la interpretación del bloque de la constitucionalidad (acuicultura: STC 103/1989, de 8 de junio; ordenación del sector pesquero: STC 158/1986, de 11 de diciembre; marisqueo: STC 9/2001, de 18 de enero)” STC 38/2002, de 14 de febrero, FJ 6, o incluso cuando “la extensión al mar territorial sea una exigencia de la competencia en liza, tal como sucede en materia de protección de espacios naturales cuando la unidad y continuidad de ciertos ecosistemas exige que su protección no encuentre el límite indicado” (con cita de otras, STC 8/2013, de 17 de enero, FJ 5).</w:t>
      </w:r>
    </w:p>
    <w:p w14:paraId="741140CF" w14:textId="77777777" w:rsidR="009D7677" w:rsidRDefault="009D7677" w:rsidP="009D7677">
      <w:pPr>
        <w:pStyle w:val="TextoNormal"/>
      </w:pPr>
    </w:p>
    <w:p w14:paraId="4E48530B" w14:textId="77777777" w:rsidR="009D7677" w:rsidRDefault="009D7677" w:rsidP="009D7677">
      <w:pPr>
        <w:pStyle w:val="TextoNormal"/>
      </w:pPr>
      <w:r>
        <w:t>Hemos destacado en tal sentido que “no es posible descartar la existencia de obras fijas situadas en el mar que se proyecten sobre las aguas de la zona marítimo-terrestre (territorio autonómico) o sobre el mar territorial (que no tiene tal condición) y que tengan como referencia, en ambos casos, competencias de las comunidades autónomas en los términos estrictos antes señalados […] pero sometiéndola, como reza el encabezamiento del precepto, al ‘régimen general del dominio público’, cuyo establecimiento corresponde al Estado, y a ‘las excepciones que puedan establecerse por motivos medioambientales en las aguas costeras interiores y de transición’, excepciones estas últimas que también deben ser fijadas por el Estad</w:t>
      </w:r>
      <w:r w:rsidRPr="009D7677">
        <w:rPr>
          <w:i/>
        </w:rPr>
        <w:t xml:space="preserve">o </w:t>
      </w:r>
      <w:r>
        <w:t>ex art. 149.1.23 CE” (STC 31/2010, FJ 92).</w:t>
      </w:r>
    </w:p>
    <w:p w14:paraId="5F21B400" w14:textId="77777777" w:rsidR="009D7677" w:rsidRDefault="009D7677" w:rsidP="009D7677">
      <w:pPr>
        <w:pStyle w:val="TextoNormal"/>
      </w:pPr>
    </w:p>
    <w:p w14:paraId="7DB1CA07" w14:textId="77777777" w:rsidR="009D7677" w:rsidRDefault="009D7677" w:rsidP="009D7677">
      <w:pPr>
        <w:pStyle w:val="TextoNormal"/>
      </w:pPr>
      <w:r>
        <w:t>E) Otros títulos competenciales concurrentes</w:t>
      </w:r>
    </w:p>
    <w:p w14:paraId="2A363035" w14:textId="77777777" w:rsidR="009D7677" w:rsidRDefault="009D7677" w:rsidP="009D7677">
      <w:pPr>
        <w:pStyle w:val="TextoNormal"/>
      </w:pPr>
    </w:p>
    <w:p w14:paraId="7A4F20D5" w14:textId="77777777" w:rsidR="009D7677" w:rsidRDefault="009D7677" w:rsidP="009D7677">
      <w:pPr>
        <w:pStyle w:val="TextoNormal"/>
      </w:pPr>
      <w:r>
        <w:t>a) Competencia del Estado sobre “pesca marítima” (art. 149.1.19 CE)</w:t>
      </w:r>
    </w:p>
    <w:p w14:paraId="76AC752B" w14:textId="77777777" w:rsidR="009D7677" w:rsidRDefault="009D7677" w:rsidP="009D7677">
      <w:pPr>
        <w:pStyle w:val="TextoNormal"/>
      </w:pPr>
    </w:p>
    <w:p w14:paraId="70F61F57" w14:textId="77777777" w:rsidR="009D7677" w:rsidRDefault="009D7677" w:rsidP="009D7677">
      <w:pPr>
        <w:pStyle w:val="TextoNormal"/>
      </w:pPr>
      <w:r>
        <w:t>Otro de los títulos que operan sobre el dominio público marítimo-terrestre y que ha sido invocado por el abogado del Estado, son el de “pesca marítima” y “ordenación del sector pesquero”, a los que alude el art. 149.1.19 CE. En la STC 56/1989, de 16 de marzo, si bien comenzamos reconociendo que “los conceptos de ‘pesca marítima’ y ‘ordenación del sector pesquero’ pueden asumir distintos significados, hasta el punto de que, en términos absolutos y fuera de todo contexto, podrían considerarse equiparables.” (FJ 5). Ahora bien, en la medida en que la Constitución los diferencia, “es necesario dotar a cada uno de con</w:t>
      </w:r>
      <w:r>
        <w:lastRenderedPageBreak/>
        <w:t>tenido material propio y diferenciado”. Ya en aquella sentencia tuvimos ocasión de indicar que “el concepto de ‘pesca’ hace referencia a la actividad extractiva de recursos naturales, en sí misma considerada. […] En consecuencia, dentro de las competencias sobre pesca marítima hay que incluir la regulación de las características y condiciones que la actividad extractiva, así como, dado que es presupuesto inherente a esta actividad, el régimen de protección, conservación y mejora de los recursos pesqueros”.</w:t>
      </w:r>
    </w:p>
    <w:p w14:paraId="5663869A" w14:textId="77777777" w:rsidR="009D7677" w:rsidRDefault="009D7677" w:rsidP="009D7677">
      <w:pPr>
        <w:pStyle w:val="TextoNormal"/>
      </w:pPr>
    </w:p>
    <w:p w14:paraId="4497EEF0" w14:textId="77777777" w:rsidR="009D7677" w:rsidRDefault="009D7677" w:rsidP="009D7677">
      <w:pPr>
        <w:pStyle w:val="TextoNormal"/>
      </w:pPr>
      <w:r>
        <w:t xml:space="preserve">Con referencia a los concretos contenidos de la competencia del Estado sobre pesca marítima, indicamos que “[de] ahí que la normativa referente a los recursos y las zonas donde puede pescarse (fondos, caladeros, distancias, cupos), a los periodos en que puede pescarse (vedas, horas) y a la forma y medios de realización de la actividad extractiva en el mar (artes, medios de pesca) haya de considerarse competencia exclusiva del Estado. Esta interpretación es tanto más plausible cuanto que excluida la pesca en aguas interiores, resultaría difícil e ilógico repartir entre el Estado y las comunidades unas competencias sobre actividades y recursos, cuya ordenación y protección excede claramente del interés de cada comunidad autónoma, e inclusive, hoy en día, del Estado, pues se hallan sometidas a una normativa supranacional cada vez más extensa y estricta.” (FJ 5). En esta misma sentencia se insistirá en que “el establecimiento de zonas y límites de fondos no es competencia perteneciente a la ordenación del sector pesquero, sino a la pesca, y más exactamente a la protección del recurso, esto es, de aquello que constituye el objeto mismo de la actividad extractiva y, por ende, su </w:t>
      </w:r>
      <w:r w:rsidRPr="009D7677">
        <w:rPr>
          <w:i/>
        </w:rPr>
        <w:t>prius</w:t>
      </w:r>
      <w:r>
        <w:t xml:space="preserve"> lógico” (FJ 6 </w:t>
      </w:r>
      <w:r w:rsidRPr="009D7677">
        <w:rPr>
          <w:i/>
        </w:rPr>
        <w:t>in fine</w:t>
      </w:r>
      <w:r>
        <w:t>) y en que “hay que incluir dentro del título competencial sobre pesca marítima la regulación (estatal) de los artefactos o artes con los que se pesca” (FJ 7).</w:t>
      </w:r>
    </w:p>
    <w:p w14:paraId="52BE69FD" w14:textId="77777777" w:rsidR="009D7677" w:rsidRDefault="009D7677" w:rsidP="009D7677">
      <w:pPr>
        <w:pStyle w:val="TextoNormal"/>
      </w:pPr>
    </w:p>
    <w:p w14:paraId="0CD3069D" w14:textId="77777777" w:rsidR="009D7677" w:rsidRDefault="009D7677" w:rsidP="009D7677">
      <w:pPr>
        <w:pStyle w:val="TextoNormal"/>
      </w:pPr>
      <w:r>
        <w:t>Unos años después venimos a considerar que el régimen de vedas, las cuotas máximas de capturas, las normas que fijaban el tamaño mínimo de las especies o las dimensiones mínimas de las mallas de los artes de cerco y su longitud, así como los fondos marinos en los que puede practicarse esta modalidad de pesca, era “patente que todos estos extremos atañen a la competencia exclusiva del Estado sobre pesca marítima, por tratarse de preceptos dirigidos a la regulación del recurso natural y del esfuerzo pesquero” (STC 147/1991, de 4 de julio, FJ 5). La razón de ser de ese criterio descansaba en que “sólo desde una ordenación unitaria del caladero nacional pueden fijarse criterios efectivos de protección de un recurso natural necesariamente móvil y, por ello, difícilmente separable entre comunidades autónomas limítrofes, y es indudablemente cierto que la contención del esfuerzo pesquero y la explotación racional de los recursos, evitando que se esquilmen los caladeros o se capturen alevines, requiere de un conjunto de medidas (redes, mallas, fondos, tallas de las especies, etc.) que sólo unitariamente contempladas cobran sentido y garantizan su eficacia” (FJ 5).</w:t>
      </w:r>
    </w:p>
    <w:p w14:paraId="2D6B0DA1" w14:textId="77777777" w:rsidR="009D7677" w:rsidRDefault="009D7677" w:rsidP="009D7677">
      <w:pPr>
        <w:pStyle w:val="TextoNormal"/>
      </w:pPr>
    </w:p>
    <w:p w14:paraId="5726DF5A" w14:textId="77777777" w:rsidR="009D7677" w:rsidRDefault="009D7677" w:rsidP="009D7677">
      <w:pPr>
        <w:pStyle w:val="TextoNormal"/>
      </w:pPr>
      <w:r>
        <w:t>En fin, en la STC 9/2001, FJ 5, en que se citan otras anteriores sostuvimos que “la elaboración de planes de pesca, en relación con la distribución de licencias de pesca para faenar en aguas internacionales o de terceros países como consecuencia de compromisos o tratados internacionales, se incardina en la materia ‘pesca marítima’, pues en tal sentido ya hemos dicho que dichos planes ‘se inscriben claramente en el título competencial que atañe a la conservación de los recursos pesqueros y a la regulación de la actividad extractiva, al ser directa consecuencia de las limitaciones de acceso, o de esfuerzo pesquero, a los caladeros comunitarios establecidos para nuestros barcos de altura en el Acta de Adhesión, por lo que han de ser enmarcados dentro del título de pesca marítima, competencia exclu</w:t>
      </w:r>
      <w:r>
        <w:lastRenderedPageBreak/>
        <w:t>siva del Estado, y no en el de ordenación del sector pesquero’, pues, en definitiva, ‘tales planes no vienen a ser otra cosa que actos administrativos de distribución de los cupos de licencias de presencia simultánea diaria en determinados caladeros..., y, como hemos declarado en anteriores sentencias, el establecimiento de cupos de autorizaciones para pescar y de los requisitos para obtener tales autorizaciones debe incluirse dentro del título de pesca marítima, sin que pueda considerarse organización económica del sector, sino protección directa del recurso marítimo a través de un régimen de autorizaciones para ejercer la actividad extractiva (STC 56/1989, FJ 8, y STC 44/1992, FJ 3)’ (STC 147/1998, de 2 de julio, FJ 8)”.</w:t>
      </w:r>
    </w:p>
    <w:p w14:paraId="5C73BBE4" w14:textId="77777777" w:rsidR="009D7677" w:rsidRDefault="009D7677" w:rsidP="009D7677">
      <w:pPr>
        <w:pStyle w:val="TextoNormal"/>
      </w:pPr>
    </w:p>
    <w:p w14:paraId="62AF082B" w14:textId="77777777" w:rsidR="009D7677" w:rsidRDefault="009D7677" w:rsidP="009D7677">
      <w:pPr>
        <w:pStyle w:val="TextoNormal"/>
      </w:pPr>
      <w:r>
        <w:t>b) Competencia del Estado y de las comunidades autónomas sobre ordenación del sector pesquero</w:t>
      </w:r>
    </w:p>
    <w:p w14:paraId="7D75068F" w14:textId="77777777" w:rsidR="009D7677" w:rsidRDefault="009D7677" w:rsidP="009D7677">
      <w:pPr>
        <w:pStyle w:val="TextoNormal"/>
      </w:pPr>
    </w:p>
    <w:p w14:paraId="424729E7" w14:textId="77777777" w:rsidR="009D7677" w:rsidRDefault="009D7677" w:rsidP="009D7677">
      <w:pPr>
        <w:pStyle w:val="TextoNormal"/>
      </w:pPr>
      <w:r>
        <w:t>Como se ha anticipado el Estado también ostenta competencia, pero aquí de carácter básico en la “ordenación del sector pesquero”, distinción por la que hemos manifestado con cita de las SSTC 56/1989 y 147/1991, en el fundamento jurídico 2 de la STC 44/1992, de 2 de abril, al indicar que frente a “‘la pesca marítima’ en aguas exteriores […] debe, en cambio, considerarse competencia compartida […] la ‘ordenación del sector pesquero’, título que hace referencia a la regulación del sector económico o productivo de la pesca, en todo lo que no sea actividad extractiva directa, sino organización del sector; incluyendo la determinación de quiénes pueden ejercer directamente la pesca, las condiciones que deben reunir tales sujetos integrantes del sector y su forma de organización; por consiguiente, se enmarcan también en este título, competencias referidas a las condiciones profesionales de los pescadores y otros sujetos relacionados con el sector, construcción de buques, registros oficiales, cofradías de pescadores, lonjas de contratación y otras similares. Al margen de este deslinde teórico queda, obviamente, la competencia autonómica exclusiva sobre pesca en aguas interiores, marisqueo y acuicultura”.</w:t>
      </w:r>
    </w:p>
    <w:p w14:paraId="30F15341" w14:textId="77777777" w:rsidR="009D7677" w:rsidRDefault="009D7677" w:rsidP="009D7677">
      <w:pPr>
        <w:pStyle w:val="TextoNormal"/>
      </w:pPr>
    </w:p>
    <w:p w14:paraId="37BFC43D" w14:textId="59C906DA" w:rsidR="009D7677" w:rsidRDefault="009D7677" w:rsidP="009D7677">
      <w:pPr>
        <w:pStyle w:val="TextoNormal"/>
      </w:pPr>
      <w:r>
        <w:t>Ahora bien “la ampliación del ámbito de la competencia básica por su incidencia en la protección del recurso natural implica una clara limitación de las competencias autonómicas de desarrollo legislativo y ejecución. El ámbito de la normación básica en la ordenación del sector pesquero, en cuanto afecte a la regulación del esfuerzo pesquero, para su contención y reducción progresiva en defensa del recurso natural en los caladeros nacionales, se extiende allí donde sea necesario asegurar, de un modo unitario, la limitación de las posibilidades extractivas en el caladero nacional.” (STC 57/1992, de 9 de abril, FJ 2).</w:t>
      </w:r>
    </w:p>
    <w:p w14:paraId="1EAA712B" w14:textId="77777777" w:rsidR="009D7677" w:rsidRDefault="009D7677" w:rsidP="009D7677">
      <w:pPr>
        <w:pStyle w:val="TextoNormal"/>
      </w:pPr>
    </w:p>
    <w:p w14:paraId="1337E1C8" w14:textId="77777777" w:rsidR="009D7677" w:rsidRDefault="009D7677" w:rsidP="009D7677">
      <w:pPr>
        <w:pStyle w:val="TextoNormal"/>
      </w:pPr>
      <w:r w:rsidRPr="009D7677">
        <w:rPr>
          <w:rStyle w:val="NumeroAFNegritaCaracter"/>
        </w:rPr>
        <w:t>6</w:t>
      </w:r>
      <w:r>
        <w:t xml:space="preserve">. </w:t>
      </w:r>
      <w:r w:rsidRPr="009D7677">
        <w:rPr>
          <w:i/>
        </w:rPr>
        <w:t>Breve referencia a la finalidad y contenido de la Ley del Parlamento de Galicia</w:t>
      </w:r>
      <w:r>
        <w:t xml:space="preserve"> 4/2023</w:t>
      </w:r>
    </w:p>
    <w:p w14:paraId="068729FC" w14:textId="77777777" w:rsidR="009D7677" w:rsidRDefault="009D7677" w:rsidP="009D7677">
      <w:pPr>
        <w:pStyle w:val="TextoNormal"/>
      </w:pPr>
    </w:p>
    <w:p w14:paraId="2F3B72FC" w14:textId="77777777" w:rsidR="009D7677" w:rsidRDefault="009D7677" w:rsidP="009D7677">
      <w:pPr>
        <w:pStyle w:val="TextoNormal"/>
      </w:pPr>
      <w:r>
        <w:t>Expuestas las posiciones de las partes y la doctrina consolidada de este tribunal en relación con el contenido y alcance de las competencias concurrentes del Estado y de la Comunidad Autónoma de Galicia que se proyectan sobre el litoral, así como referente a otros aspectos relevantes, es oportuno detenernos a examinar, a grandes rasgos, cual es la finalidad que pretende la Ley del Parlamento de Galicia 4/2023 y su contenido.</w:t>
      </w:r>
    </w:p>
    <w:p w14:paraId="037B8DFC" w14:textId="77777777" w:rsidR="009D7677" w:rsidRDefault="009D7677" w:rsidP="009D7677">
      <w:pPr>
        <w:pStyle w:val="TextoNormal"/>
      </w:pPr>
    </w:p>
    <w:p w14:paraId="7468F5A0" w14:textId="77777777" w:rsidR="009D7677" w:rsidRDefault="009D7677" w:rsidP="009D7677">
      <w:pPr>
        <w:pStyle w:val="TextoNormal"/>
      </w:pPr>
      <w:r>
        <w:t xml:space="preserve">Según la exposición de motivos, la Ley se ampara competencialmente en el título de ordenación del territorio y del litoral (artículo 27.3 del EAG) con respecto a los espacios del litoral que indiscutiblemente forman parte del territorio autonómico, y en otros títulos </w:t>
      </w:r>
      <w:r>
        <w:lastRenderedPageBreak/>
        <w:t>competenciales cuando se proyecte la competencia sobre el mar: la competencia exclusiva sobre la pesca en las rías y demás aguas interiores, el marisqueo y la acuicultura (artículo 27.15 EAG) y sobre los puertos autonómicos (artículo 27.9 EAG), la competencia para el desarrollo legislativo y la ejecución de la legislación del Estado en materia de ordenación del sector pesquero (artículo 28.5 EAG) y puertos pesqueros (artículo 28.6 EAG), o la competencia de ejecución de la legislación del Estado en materia de salvamento marítimo (artículo 20.3 EAG) y vertidos industriales y contaminantes en las aguas territoriales del Estado correspondientes al litoral gallego (artículo 29.4 EAG), y en la competencia exclusiva de la materia “adicionales sobre protección del medio ambiente y del paisaje en los términos del artículo 149.1.23” (art. 27.30 EAG), por citar los títulos más significativos (apartado II de la exposición de motivos).</w:t>
      </w:r>
    </w:p>
    <w:p w14:paraId="21CB4467" w14:textId="77777777" w:rsidR="009D7677" w:rsidRDefault="009D7677" w:rsidP="009D7677">
      <w:pPr>
        <w:pStyle w:val="TextoNormal"/>
      </w:pPr>
    </w:p>
    <w:p w14:paraId="1C99AB2C" w14:textId="77777777" w:rsidR="009D7677" w:rsidRDefault="009D7677" w:rsidP="009D7677">
      <w:pPr>
        <w:pStyle w:val="TextoNormal"/>
      </w:pPr>
      <w:r>
        <w:t>Con la ley “se aspira a la ordenación y gestión del litoral desde un enfoque ecosistémico e integrado, que garantice un desarrollo sostenible”. La integración “exige superar la visión sectorializada del litoral, en favor de una gestión que tome en consideración los diversos usos y actividades económicas que se proyectan y desarrollan en el litoral, los diversos riesgos y amenazas que afecten a los ecosistemas marino-costeros, así como las distintas administraciones que concurran en su ordenación y gestión, esto es, adoptar un enfoque integrado en la gestión del litoral”. Se parte de la premisa de que la “escala autonómica” es la idónea para esa ordenación y gestión ecosistémica e integrada y adecuada a la singularidad del litoral gallego, desde el convencimiento de que Galicia “puede y debe asumir el protagonismo que le corresponde en la ordenación y gestión de uno de sus espacios más significativos e identitarios, el litoral” (apartado IV de la exposición de motivos).</w:t>
      </w:r>
    </w:p>
    <w:p w14:paraId="4CB89090" w14:textId="77777777" w:rsidR="009D7677" w:rsidRDefault="009D7677" w:rsidP="009D7677">
      <w:pPr>
        <w:pStyle w:val="TextoNormal"/>
      </w:pPr>
    </w:p>
    <w:p w14:paraId="264F803F" w14:textId="77777777" w:rsidR="009D7677" w:rsidRDefault="009D7677" w:rsidP="009D7677">
      <w:pPr>
        <w:pStyle w:val="TextoNormal"/>
      </w:pPr>
      <w:r>
        <w:t>La Ley por primera vez define el litoral de Galicia y lo hace, según reza la exposición de motivos, “exclusivamente para el ejercicio de las competencias que el estatuto de autonomía reconoce explícitamente en este medio o a las que deban realizarse en el mar por la naturaleza de la competencia, tal y como resulta de la interpretación del bloque de la constitucionalidad”. La Ley del Parlamento de Galicia 4/2023, en su título preliminar determina de modo exhaustivo los fines perseguidos y los principios rectores.</w:t>
      </w:r>
    </w:p>
    <w:p w14:paraId="04B0AFB3" w14:textId="77777777" w:rsidR="009D7677" w:rsidRDefault="009D7677" w:rsidP="009D7677">
      <w:pPr>
        <w:pStyle w:val="TextoNormal"/>
      </w:pPr>
    </w:p>
    <w:p w14:paraId="418043D5" w14:textId="77777777" w:rsidR="009D7677" w:rsidRDefault="009D7677" w:rsidP="009D7677">
      <w:pPr>
        <w:pStyle w:val="TextoNormal"/>
      </w:pPr>
      <w:r>
        <w:t>En los sucesivos títulos regula: la organización administrativa y los sujetos intervinientes; los instrumentos de ordenación del litoral —en los que distingue para los espacios terrestres y marítimo-terrestres, el plan de ordenación costera, y para los espacios marinos, el plan de ordenación marina—; los usos y actividades en el litoral, en función de los objetivos de ordenación perseguidos, que parte de una zonificación del litoral en tres áreas: área de protección ambiental, área de reordenación, área de mejora ambiental y paisajística; el régimen de intervención administrativa, de modo que el otorgamiento de las autorizaciones y concesiones del dominio público marítimo-terrestre se atribuye a la administración autonómica a partir del momento en el que se produzca el efectivo traspaso de funciones y servicios por el Estado; los usos de la cadena mar-industria alimentaria; la red de sendas litorales y de establecimientos turísticos. Dedica los últimos títulos a regular las normas adicionales de protección y sostenibilidad del litoral, el patrimonio público litoral, lo que denomina cultura litoral, concienciación y educación ambiental y finalmente inspección del litoral y potestad sancionadora.</w:t>
      </w:r>
    </w:p>
    <w:p w14:paraId="3D381134" w14:textId="77777777" w:rsidR="009D7677" w:rsidRDefault="009D7677" w:rsidP="009D7677">
      <w:pPr>
        <w:pStyle w:val="TextoNormal"/>
      </w:pPr>
    </w:p>
    <w:p w14:paraId="59982EAF" w14:textId="77777777" w:rsidR="009D7677" w:rsidRDefault="009D7677" w:rsidP="009D7677">
      <w:pPr>
        <w:pStyle w:val="TextoNormal"/>
      </w:pPr>
      <w:r>
        <w:t xml:space="preserve">Es oportuno detenerse en el contenido del título III “Usos y actividades del litoral” —en el que se ubican varios de los preceptos impugnados— y que comprende el capítulo I </w:t>
      </w:r>
      <w:r>
        <w:lastRenderedPageBreak/>
        <w:t>“Disposiciones generales” (arts. 29 a 31), el capítulo II “Área de protección ambiental” (arts. 32 a 37), el capítulo III “Área de mejora ambiental y paisajística” (arts. 38 a 43), el capítulo IV “Área de reordenación” (arts. 44 a 46) y el capítulo V “Régimen de la intervención administrativa” (arts. 47 a 53).</w:t>
      </w:r>
    </w:p>
    <w:p w14:paraId="4CA09601" w14:textId="77777777" w:rsidR="009D7677" w:rsidRDefault="009D7677" w:rsidP="009D7677">
      <w:pPr>
        <w:pStyle w:val="TextoNormal"/>
      </w:pPr>
    </w:p>
    <w:p w14:paraId="3638DD7B" w14:textId="77777777" w:rsidR="009D7677" w:rsidRDefault="009D7677" w:rsidP="009D7677">
      <w:pPr>
        <w:pStyle w:val="TextoNormal"/>
      </w:pPr>
      <w:r>
        <w:t>De dicha regulación resulta que la Ley del Parlamento de Galicia 4/2023 distingue en el litoral de Galicia tres clases de espacios agrupados para su ordenación por áreas, en función de sus condiciones y de las acciones que corresponde emprender sobre ellos: el área de protección ambiental, el área de mejora ambiental y paisajística y el área de reordenación. La ley regula los usos en cada una de las áreas en las que se zonifica el litoral, “sin perjuicio de lo dispuesto en la normativa de costas y medio marino y del ejercicio por la administración general del Estado de las facultades que le corresponden en su condición de titular del dominio público marítimo-terrestre” (art. 31).</w:t>
      </w:r>
    </w:p>
    <w:p w14:paraId="0A78594E" w14:textId="77777777" w:rsidR="009D7677" w:rsidRDefault="009D7677" w:rsidP="009D7677">
      <w:pPr>
        <w:pStyle w:val="TextoNormal"/>
      </w:pPr>
    </w:p>
    <w:p w14:paraId="138E973B" w14:textId="77777777" w:rsidR="009D7677" w:rsidRDefault="009D7677" w:rsidP="009D7677">
      <w:pPr>
        <w:pStyle w:val="TextoNormal"/>
      </w:pPr>
      <w:r>
        <w:t>Interesa destacar, a los efectos de delimitación de facultades y competencias, que el área de protección ambiental comprende espacios de dominio público marítimo-terrestre que mantengan ciertas características, el mar territorial y las aguas interiores y también terrenos correspondientes a la zona de servidumbre de protección (art. 32 de la Ley). El área de mejora ambiental y paisajística incluye bienes del dominio público marítimo-terrestre no incluidos en el área de protección ambiental, con alguna excepción, terrenos de la zona de servidumbre de protección y otros (art. 38). Y, finalmente el área de reordenación incluye los espacios no incluidos en el área de mejora ambiental y paisajística y área de protección ambiental y los comprendidos en la zona de servicio de los puertos autonómicos y en la zona de servidumbre de protección de veinte metros regulada en la disposición transitoria tercera de la Ley de costas (art. 44.2 de la Ley del Parlamento de Galicia 4/2023).</w:t>
      </w:r>
    </w:p>
    <w:p w14:paraId="6DC90EFF" w14:textId="77777777" w:rsidR="009D7677" w:rsidRDefault="009D7677" w:rsidP="009D7677">
      <w:pPr>
        <w:pStyle w:val="TextoNormal"/>
      </w:pPr>
    </w:p>
    <w:p w14:paraId="02BCA3FF" w14:textId="6E880D43" w:rsidR="009D7677" w:rsidRDefault="009D7677" w:rsidP="009D7677">
      <w:pPr>
        <w:pStyle w:val="TextoNormal"/>
      </w:pPr>
      <w:r>
        <w:t>Por último, debe indicarse que son frecuentes y reiteradas en la Ley del Parlamento de Galicia 4/2023 las llamadas al respeto bloque de constitucionalidad, ya en la exposición de motivos, apelando a la observancia: de las “competencias de la administración general del Estado”; de “su legislación específica para las obras y actuaciones de interés general del Estado”; del “marco de las competencias atribuidas a la Comunidad Autónoma de Galicia en la Constitución española y en el Estatuto de autonomía” (art. 1.1); a “la normativa de costas y medio marino y sin perjuicio de la normativa dictada al amparo de títulos competenciales específicos, así como con respeto de las facultades que correspondan a la administración general del Estado en cuanto titular del dominio público marítimo-terrestre” [art. 1.2 c) de la Ley]; de “las competencias en materia de costas, protección y ordenación del espacio marítimo o cualquier otra que corresponda al Estado” (art. 2.3); de la “legislación portuaria, de medio marino y de costas” (art. 2.4); del “marco de la legislación básica del Estado y con respeto de las facultades que derivan de su titularidad sobre los bienes que integran el dominio público marítimo-terrestre” (art. 21.3); de las “competencias de ordenación del espacio marítimo que corresponden al Estado”; o, en fin, de lo dispuesto en la normativa de costas y medio marino y del ejercicio por la administración general del Estado “de las facultades que le corresponden en su condición de titular del dominio público marítimo-terrestre” (arts. 31, 46 y 48.4 de la Ley del Parlamento de Galicia 4/2023).</w:t>
      </w:r>
    </w:p>
    <w:p w14:paraId="4A78E7E7" w14:textId="77777777" w:rsidR="009D7677" w:rsidRDefault="009D7677" w:rsidP="009D7677">
      <w:pPr>
        <w:pStyle w:val="TextoNormal"/>
      </w:pPr>
    </w:p>
    <w:p w14:paraId="73E6AFA7" w14:textId="77777777" w:rsidR="009D7677" w:rsidRDefault="009D7677" w:rsidP="009D7677">
      <w:pPr>
        <w:pStyle w:val="TextoNormal"/>
      </w:pPr>
      <w:r w:rsidRPr="009D7677">
        <w:rPr>
          <w:rStyle w:val="NumeroAFNegritaCaracter"/>
        </w:rPr>
        <w:lastRenderedPageBreak/>
        <w:t>7</w:t>
      </w:r>
      <w:r>
        <w:t xml:space="preserve">. </w:t>
      </w:r>
      <w:r w:rsidRPr="009D7677">
        <w:rPr>
          <w:i/>
        </w:rPr>
        <w:t>Examen de la inconstitucionalidad de los arts. 1.2 g); 2.1; 2.2; 22.1 y 2 a), b), c) y d); 23.2 d), g) e i); 24.3 c), e) y f); 25.1 a), b), c) y d) y 27.3 c) de la Ley del Parlamento de Galicia</w:t>
      </w:r>
      <w:r>
        <w:t xml:space="preserve"> 4/2023</w:t>
      </w:r>
    </w:p>
    <w:p w14:paraId="7D6E4F2B" w14:textId="77777777" w:rsidR="009D7677" w:rsidRDefault="009D7677" w:rsidP="009D7677">
      <w:pPr>
        <w:pStyle w:val="TextoNormal"/>
      </w:pPr>
    </w:p>
    <w:p w14:paraId="1FD9AC98" w14:textId="77777777" w:rsidR="009D7677" w:rsidRDefault="009D7677" w:rsidP="009D7677">
      <w:pPr>
        <w:pStyle w:val="TextoNormal"/>
      </w:pPr>
      <w:r>
        <w:t>El presidente del Gobierno, con carácter general, justifica la inconstitucionalidad de los indicados preceptos por la apropiación de la competencia exclusiva del Estado para regular el régimen jurídico del dominio público marítimo terrestre con sustento en su titularidad demanial (art. 132.2 CE). El Parlamento y la Xunta de Galicia se oponen argumentando, como punto de partida, que la titularidad del Estado sobre el demanio califica una categoría de bienes y le otorga facultades dominicales, pero estas solo pueden ser legítimamente utilizadas para atender los fines públicos que las justifican, sin que la titularidad sea criterio delimitador de competencias, ni permita sustraer o condicionar abusivamente las competencias autonómicas, ni tiene carácter excluyente del ejercicio de tales competencias.</w:t>
      </w:r>
    </w:p>
    <w:p w14:paraId="45A06C9D" w14:textId="77777777" w:rsidR="009D7677" w:rsidRDefault="009D7677" w:rsidP="009D7677">
      <w:pPr>
        <w:pStyle w:val="TextoNormal"/>
      </w:pPr>
    </w:p>
    <w:p w14:paraId="21413D6A" w14:textId="77777777" w:rsidR="009D7677" w:rsidRDefault="009D7677" w:rsidP="009D7677">
      <w:pPr>
        <w:pStyle w:val="TextoNormal"/>
      </w:pPr>
      <w:r>
        <w:t>Examinaremos las concretas impugnaciones de cada uno de los preceptos, previa reproducción de su tenor literal —resaltando en cursiva el concreto apartado o inciso afectado— y las alegaciones de las partes, adelantando desde ahora que se proyectará sobre las mismas la doctrina que hemos expuesto en el fundamento jurídico 5.</w:t>
      </w:r>
    </w:p>
    <w:p w14:paraId="00332A56" w14:textId="77777777" w:rsidR="009D7677" w:rsidRDefault="009D7677" w:rsidP="009D7677">
      <w:pPr>
        <w:pStyle w:val="TextoNormal"/>
      </w:pPr>
    </w:p>
    <w:p w14:paraId="0619432C" w14:textId="77777777" w:rsidR="009D7677" w:rsidRDefault="009D7677" w:rsidP="009D7677">
      <w:pPr>
        <w:pStyle w:val="TextoNormal"/>
      </w:pPr>
      <w:r>
        <w:t>a) Art. 1.2 g) de la Ley del Parlamento de Galicia 4/2023</w:t>
      </w:r>
    </w:p>
    <w:p w14:paraId="3D55861B" w14:textId="77777777" w:rsidR="009D7677" w:rsidRDefault="009D7677" w:rsidP="009D7677">
      <w:pPr>
        <w:pStyle w:val="TextoNormal"/>
      </w:pPr>
    </w:p>
    <w:p w14:paraId="387217F1" w14:textId="77777777" w:rsidR="009D7677" w:rsidRDefault="009D7677" w:rsidP="009D7677">
      <w:pPr>
        <w:pStyle w:val="TextoNormal"/>
      </w:pPr>
      <w:r>
        <w:t>El art. 1.2 g) de la ley controvertida tiene el siguiente tenor literal:</w:t>
      </w:r>
    </w:p>
    <w:p w14:paraId="76DC4F76" w14:textId="77777777" w:rsidR="009D7677" w:rsidRDefault="009D7677" w:rsidP="009D7677">
      <w:pPr>
        <w:pStyle w:val="TextoNormal"/>
      </w:pPr>
    </w:p>
    <w:p w14:paraId="6CE6A502" w14:textId="77777777" w:rsidR="009D7677" w:rsidRDefault="009D7677" w:rsidP="009D7677">
      <w:pPr>
        <w:pStyle w:val="TextoNormal"/>
      </w:pPr>
      <w:r>
        <w:t>“Artículo 1. Objeto de la ley</w:t>
      </w:r>
    </w:p>
    <w:p w14:paraId="4AD1353E" w14:textId="77777777" w:rsidR="009D7677" w:rsidRDefault="009D7677" w:rsidP="009D7677">
      <w:pPr>
        <w:pStyle w:val="TextoNormal"/>
      </w:pPr>
    </w:p>
    <w:p w14:paraId="1AFA9E74" w14:textId="77777777" w:rsidR="009D7677" w:rsidRDefault="009D7677" w:rsidP="009D7677">
      <w:pPr>
        <w:pStyle w:val="TextoNormal"/>
      </w:pPr>
      <w:r>
        <w:t>1. La presente ley tiene por objeto la ordenación y gestión integrada del litoral de Galicia, en el marco de las competencias atribuidas a la Comunidad Autónoma de Galicia en la Constitución española y en el Estatuto de autonomía.</w:t>
      </w:r>
    </w:p>
    <w:p w14:paraId="0476A43F" w14:textId="77777777" w:rsidR="009D7677" w:rsidRDefault="009D7677" w:rsidP="009D7677">
      <w:pPr>
        <w:pStyle w:val="TextoNormal"/>
      </w:pPr>
    </w:p>
    <w:p w14:paraId="1322BCBD" w14:textId="77777777" w:rsidR="009D7677" w:rsidRDefault="009D7677" w:rsidP="009D7677">
      <w:pPr>
        <w:pStyle w:val="TextoNormal"/>
      </w:pPr>
      <w:r>
        <w:t>2. La ordenación y gestión integrada del litoral comprende:</w:t>
      </w:r>
    </w:p>
    <w:p w14:paraId="7DE38669" w14:textId="77777777" w:rsidR="009D7677" w:rsidRDefault="009D7677" w:rsidP="009D7677">
      <w:pPr>
        <w:pStyle w:val="TextoNormal"/>
      </w:pPr>
    </w:p>
    <w:p w14:paraId="03E50B6E" w14:textId="77777777" w:rsidR="009D7677" w:rsidRDefault="009D7677" w:rsidP="009D7677">
      <w:pPr>
        <w:pStyle w:val="TextoNormal"/>
      </w:pPr>
      <w:r>
        <w:t>[…]</w:t>
      </w:r>
    </w:p>
    <w:p w14:paraId="27A0651C" w14:textId="77777777" w:rsidR="009D7677" w:rsidRDefault="009D7677" w:rsidP="009D7677">
      <w:pPr>
        <w:pStyle w:val="TextoNormal"/>
      </w:pPr>
    </w:p>
    <w:p w14:paraId="5878E56D" w14:textId="77777777" w:rsidR="009D7677" w:rsidRDefault="009D7677" w:rsidP="009D7677">
      <w:pPr>
        <w:pStyle w:val="TextoNormal"/>
      </w:pPr>
      <w:r>
        <w:t xml:space="preserve">g) </w:t>
      </w:r>
      <w:r w:rsidRPr="009D7677">
        <w:rPr>
          <w:i/>
        </w:rPr>
        <w:t>La regulación del patrimonio público litoral y las acciones a emprender para su conservación, ampliación y renovación</w:t>
      </w:r>
      <w:r>
        <w:t>”.</w:t>
      </w:r>
    </w:p>
    <w:p w14:paraId="6065EF8D" w14:textId="77777777" w:rsidR="009D7677" w:rsidRDefault="009D7677" w:rsidP="009D7677">
      <w:pPr>
        <w:pStyle w:val="TextoNormal"/>
      </w:pPr>
    </w:p>
    <w:p w14:paraId="3B7909F2" w14:textId="77777777" w:rsidR="009D7677" w:rsidRDefault="009D7677" w:rsidP="009D7677">
      <w:pPr>
        <w:pStyle w:val="TextoNormal"/>
      </w:pPr>
      <w:r>
        <w:t>(i) El abogado del Estado sustenta la impugnación de dicho precepto en que incluye dentro de la ordenación y gestión integrada del litoral “la regulación del patrimonio público litoral y las acciones a emprender para su conservación, ampliación y renovación”, que debe ponerse en relación con los “bienes declarados de interés cultural o catalogados que se encuentren situados en el dominio público marítimo-terrestre” (el art. 58.2 de la Ley del Parlamento de Galicia 4/2023) lo que supone asumir competencia normativa sobre un aspecto del régimen jurídico del dominio público marítimo-terrestre, pese a que el art. 9.1 LC establece que no pueden existir terrenos de propiedad distinta a la demanial del Estado en ninguna de las pertenencias del dominio público marítimo-terrestre, salvo lo dispuesto en el art. 49 LC. En segundo lugar, respecto de los bienes del patrimonio histórico o artístico, se regulan en la disposición adicional undécima LC. Añade que la competencia auto</w:t>
      </w:r>
      <w:r>
        <w:lastRenderedPageBreak/>
        <w:t>nómica en materia de patrimonio histórico no puede alterar o sustraer el régimen estatal sobre el dominio público marítimo-terrestre en atención a lo resuelto en la STS de 28 de enero de 2004.</w:t>
      </w:r>
    </w:p>
    <w:p w14:paraId="07AF3DD0" w14:textId="77777777" w:rsidR="009D7677" w:rsidRDefault="009D7677" w:rsidP="009D7677">
      <w:pPr>
        <w:pStyle w:val="TextoNormal"/>
      </w:pPr>
    </w:p>
    <w:p w14:paraId="5DF0CFAE" w14:textId="77777777" w:rsidR="009D7677" w:rsidRDefault="009D7677" w:rsidP="009D7677">
      <w:pPr>
        <w:pStyle w:val="TextoNormal"/>
      </w:pPr>
      <w:r>
        <w:t>(ii) Por las otras partes se rechaza la inconstitucionalidad pues se persigue preservar monumentos, lugares, edificaciones del litoral, su recuperación, incluso actuando sobre el dominio público marítimo-terrestre o la zona de especial protección, no siendo incompatible con el art. 9.1 LC, máxime tomando en consideración la regulación del título VI de la Ley del Parlamento de Galicia 4/2023, cuyos arts. 65-68 —no impugnados— no se refieren a dependencias demaniales, siendo el contenido similar al de otras comunidades autónomas. La impugnación parte de un error de base: el “patrimonio público litoral” no lo conforman parcelas del dominio público marítimo-terrestre, sino “bienes de titularidad autonómica” que se adquirirán “con el fin de obtener reservas de suelo”, bienes entre los que no están los del dominio público marítimo-terrestre, conforme al art. 66.2 a), b) y c) de la ley impugnada.</w:t>
      </w:r>
    </w:p>
    <w:p w14:paraId="3FE3CF3E" w14:textId="77777777" w:rsidR="009D7677" w:rsidRDefault="009D7677" w:rsidP="009D7677">
      <w:pPr>
        <w:pStyle w:val="TextoNormal"/>
      </w:pPr>
    </w:p>
    <w:p w14:paraId="1C8F105E" w14:textId="77777777" w:rsidR="009D7677" w:rsidRDefault="009D7677" w:rsidP="009D7677">
      <w:pPr>
        <w:pStyle w:val="TextoNormal"/>
      </w:pPr>
      <w:r>
        <w:t>(iii) Debemos descartar la inconstitucionalidad del art. 1.2 g) de la Ley del Parlamento de Galicia 4/2023. El precepto impugnado debe ponerse en relación con el título VI de esta ley, que regula el “patrimonio público litoral”, bajo dicha rubrica, en sus arts. 65 a 68. Incluye medidas para acrecentarlo, con el fin de poder acometer acciones de renaturalización y la ejecución de algunas actuaciones estratégicas. Define los bienes que lo integran y establece la declaración de utilidad pública a los efectos de expropiación forzosa y el derecho de tanteo y retracto en ciertos ámbitos que delimitarán los planes. Una de las finalidades de la Ley del Parlamento de Galicia 4/2023 es la recuperación y puesta en valor del patrimonio del litoral.</w:t>
      </w:r>
    </w:p>
    <w:p w14:paraId="6CC493A9" w14:textId="77777777" w:rsidR="009D7677" w:rsidRDefault="009D7677" w:rsidP="009D7677">
      <w:pPr>
        <w:pStyle w:val="TextoNormal"/>
      </w:pPr>
    </w:p>
    <w:p w14:paraId="32E8B843" w14:textId="77777777" w:rsidR="009D7677" w:rsidRDefault="009D7677" w:rsidP="009D7677">
      <w:pPr>
        <w:pStyle w:val="TextoNormal"/>
      </w:pPr>
      <w:r>
        <w:t>Ciertamente hemos afirmado que le corresponde al Estado definir el dominio público estatal (art. 132.2 CE) y establecer el régimen jurídico de todos los bienes que lo integran y al efecto debe inspirarse en los principios de inalienabilidad, imprescriptibilidad e inembargabilidad, preservar sus características propias [STC 149/1991, FJ 4 C)]. Por tanto, la Comunidad Autónoma de Galicia no podría regular su régimen jurídico, ni tampoco las acciones para su conservación, ampliación y renovación.</w:t>
      </w:r>
    </w:p>
    <w:p w14:paraId="6477744D" w14:textId="77777777" w:rsidR="009D7677" w:rsidRDefault="009D7677" w:rsidP="009D7677">
      <w:pPr>
        <w:pStyle w:val="TextoNormal"/>
      </w:pPr>
    </w:p>
    <w:p w14:paraId="62C48662" w14:textId="77777777" w:rsidR="009D7677" w:rsidRDefault="009D7677" w:rsidP="009D7677">
      <w:pPr>
        <w:pStyle w:val="TextoNormal"/>
      </w:pPr>
      <w:r>
        <w:t>Ahora bien, el patrimonio público litoral, cuya regulación se incluye en la ordenación y gestión integrada del litoral, no es el perteneciente al dominio público marítimo-terrestre (arts. 2 a 6 LC), en primer lugar porque el litoral no se agota en el dominio público al comprender la zona de servidumbre de protección y la zona de influencia (art. 2 de la Ley del Parlamento de Galicia 4/2023) y además y fundamentalmente porque el patrimonio público no se integra por los bienes que pertenecen al dominio público estatal, sino por otros que carecen, por el propio origen de su adquisición de la nota característica de indisponibilidad (art. 7 LC) esencial de los bienes demaniales o bien han sido desafectados del demanio. En efecto, el patrimonio público litoral aparece integrado conforme a las letras a), b) y c) del art. 66.2 de la ley controvertida por los bienes resultantes de procedimientos de expropiación forzosa o adquiridos en ejercicio del derecho de tanteo o retracto o cedidos por la Administración General del Estado, precisamente previo procedimiento de desafectación de dominio público marítimo-terrestre. De modo que tales bienes no forman parte del dominio público marítimo-terrestre.</w:t>
      </w:r>
    </w:p>
    <w:p w14:paraId="2BF40A95" w14:textId="77777777" w:rsidR="009D7677" w:rsidRDefault="009D7677" w:rsidP="009D7677">
      <w:pPr>
        <w:pStyle w:val="TextoNormal"/>
      </w:pPr>
    </w:p>
    <w:p w14:paraId="4EDCA5DC" w14:textId="77777777" w:rsidR="009D7677" w:rsidRDefault="009D7677" w:rsidP="009D7677">
      <w:pPr>
        <w:pStyle w:val="TextoNormal"/>
      </w:pPr>
      <w:r>
        <w:lastRenderedPageBreak/>
        <w:t>Por tanto, la impugnación del art.1.2 g) de la Ley del Parlamento de Galicia 4/2023 debe ser desestimada.</w:t>
      </w:r>
    </w:p>
    <w:p w14:paraId="32739511" w14:textId="77777777" w:rsidR="009D7677" w:rsidRDefault="009D7677" w:rsidP="009D7677">
      <w:pPr>
        <w:pStyle w:val="TextoNormal"/>
      </w:pPr>
    </w:p>
    <w:p w14:paraId="54095E75" w14:textId="77777777" w:rsidR="009D7677" w:rsidRDefault="009D7677" w:rsidP="009D7677">
      <w:pPr>
        <w:pStyle w:val="TextoNormal"/>
      </w:pPr>
      <w:r>
        <w:t>b) Art. 2.1 y 2.2 de la Ley del Parlamento de Galicia 4/2023</w:t>
      </w:r>
    </w:p>
    <w:p w14:paraId="0047FFF2" w14:textId="77777777" w:rsidR="009D7677" w:rsidRDefault="009D7677" w:rsidP="009D7677">
      <w:pPr>
        <w:pStyle w:val="TextoNormal"/>
      </w:pPr>
    </w:p>
    <w:p w14:paraId="60F52487" w14:textId="77777777" w:rsidR="009D7677" w:rsidRDefault="009D7677" w:rsidP="009D7677">
      <w:pPr>
        <w:pStyle w:val="TextoNormal"/>
      </w:pPr>
      <w:r>
        <w:t>Del art. 2 se impugnan los apartados 1 y 2 cuyo tenor literal es el que sigue:</w:t>
      </w:r>
    </w:p>
    <w:p w14:paraId="57ED4FA0" w14:textId="77777777" w:rsidR="009D7677" w:rsidRDefault="009D7677" w:rsidP="009D7677">
      <w:pPr>
        <w:pStyle w:val="TextoNormal"/>
      </w:pPr>
    </w:p>
    <w:p w14:paraId="1DCF54CA" w14:textId="77777777" w:rsidR="009D7677" w:rsidRDefault="009D7677" w:rsidP="009D7677">
      <w:pPr>
        <w:pStyle w:val="TextoNormal"/>
      </w:pPr>
      <w:r>
        <w:t>“Artículo 2. Ámbito de aplicación</w:t>
      </w:r>
    </w:p>
    <w:p w14:paraId="04493D57" w14:textId="77777777" w:rsidR="009D7677" w:rsidRDefault="009D7677" w:rsidP="009D7677">
      <w:pPr>
        <w:pStyle w:val="TextoNormal"/>
      </w:pPr>
    </w:p>
    <w:p w14:paraId="77F8B7D1" w14:textId="77777777" w:rsidR="009D7677" w:rsidRDefault="009D7677" w:rsidP="009D7677">
      <w:pPr>
        <w:pStyle w:val="TextoNormal"/>
      </w:pPr>
      <w:r>
        <w:t>1. Se entiende por litoral la franja de anchura variable, a ambos lados de la ribera del mar, en la que se produce la interacción entre la naturaleza, las comunidades humanas y las actividades socioeconómicas que se sustentan en la existencia o influencia del mar.</w:t>
      </w:r>
    </w:p>
    <w:p w14:paraId="68B47CFE" w14:textId="77777777" w:rsidR="009D7677" w:rsidRDefault="009D7677" w:rsidP="009D7677">
      <w:pPr>
        <w:pStyle w:val="TextoNormal"/>
      </w:pPr>
    </w:p>
    <w:p w14:paraId="20DEAF2E" w14:textId="77777777" w:rsidR="009D7677" w:rsidRDefault="009D7677" w:rsidP="009D7677">
      <w:pPr>
        <w:pStyle w:val="TextoNormal"/>
      </w:pPr>
      <w:r>
        <w:t>2. A los efectos de la presente ley, el litoral de Galicia se extiende hacia el interior, hasta el límite administrativo de los ayuntamientos costeros o, cuando lo supere, el límite interior de los espacios naturales que radiquen en ellos; y mar adentro, hasta el límite exterior del mar territorial”.</w:t>
      </w:r>
    </w:p>
    <w:p w14:paraId="256A0CF5" w14:textId="77777777" w:rsidR="009D7677" w:rsidRDefault="009D7677" w:rsidP="009D7677">
      <w:pPr>
        <w:pStyle w:val="TextoNormal"/>
      </w:pPr>
    </w:p>
    <w:p w14:paraId="672B8417" w14:textId="77777777" w:rsidR="009D7677" w:rsidRDefault="009D7677" w:rsidP="009D7677">
      <w:pPr>
        <w:pStyle w:val="TextoNormal"/>
      </w:pPr>
      <w:r>
        <w:t>(i) Se impugnan los dos primeros apartados del art. 2 al definir el litoral como ámbito de aplicación de la norma que se extiende sobre espacios en gran medida de titularidad estatal “donde da por hecha la competencia autonómica de gestión del dominio público marítimo-terrestre”. La definición del litoral contraviene la competencia estatal para determinar el dominio público marítimo-terrestre (STC 100/2016, de 25 de mayo), sin justificarse en la competencia autonómica asumida en materia de “ordenación del territorio”, al no extenderse esta ni sobre el mar, ni sobre las aguas interiores (SSTC 149/1991, 3/2014, 38/2002, 87/2013 y 99/2013), sin que la utilización de la cláusula “sin perjuicio” que emplea el art. 2.3 de la Ley salve la inconstitucionalidad del precepto, en primer lugar porque se constriñe al “mar territorial” ignorando el carácter indisponible de la regulación del dominio público marítimo-terrestre competencia exclusiva del Estado y atendida la doctrina constitucional por la que este tipo de cláusulas no sana el vicio de inconstitucionalidad de los preceptos [STC 116/2017, FJ 3 d)].</w:t>
      </w:r>
    </w:p>
    <w:p w14:paraId="7CF16146" w14:textId="77777777" w:rsidR="009D7677" w:rsidRDefault="009D7677" w:rsidP="009D7677">
      <w:pPr>
        <w:pStyle w:val="TextoNormal"/>
      </w:pPr>
    </w:p>
    <w:p w14:paraId="1FF79B81" w14:textId="77777777" w:rsidR="009D7677" w:rsidRDefault="009D7677" w:rsidP="009D7677">
      <w:pPr>
        <w:pStyle w:val="TextoNormal"/>
      </w:pPr>
      <w:r>
        <w:t>(ii) El Parlamento y la Xunta de Galicia rechazan la impugnación. Consideran que el litoral no está definido en la legislación básica del Estado y nada impide a la Comunidad Autónoma de Galicia plasmar la definición del litoral y su extensión “a los efectos de esta ley” (art. 2.2 de la Ley del Parlamento de Galicia 4/2023), cuyo objeto se materializa con “en el marco de las competencias” atribuidas a Galicia por la CE y el EAG (arts. 1.1), “con pleno respeto a la legislación portuaria, del medio marino y de costas” (art. 2.4) y quedando fuera del ámbito de la ley los puertos del Estado (art. 2.5).</w:t>
      </w:r>
    </w:p>
    <w:p w14:paraId="4733E332" w14:textId="77777777" w:rsidR="009D7677" w:rsidRDefault="009D7677" w:rsidP="009D7677">
      <w:pPr>
        <w:pStyle w:val="TextoNormal"/>
      </w:pPr>
    </w:p>
    <w:p w14:paraId="12C003D2" w14:textId="77777777" w:rsidR="009D7677" w:rsidRDefault="009D7677" w:rsidP="009D7677">
      <w:pPr>
        <w:pStyle w:val="TextoNormal"/>
      </w:pPr>
      <w:r>
        <w:t xml:space="preserve">No comparten que la Ley del Parlamento de Galicia 4/2023 extienda el territorio autonómico al mar sobre el que incardine actuaciones de ordenación del territorio. La Xunta indica que la ley impugnada no declara —ni en su preámbulo, ni en su articulado— que el mar forme parte del territorio de la Comunidad Autónoma de Galicia o que en él se pretendan ejercer competencias de ordenación del litoral, aunque ambas partes indican que sobre el mismo pueda ejercer legítimamente otras competencias (STC 38/2002, FJ 6 y arts. 27.3, 27.9, 27.15, 28.5 y 29.4 EAG) —insistiéndose en la Ley del Parlamento de Galicia 4/2023— siempre con respeto al bloque de constitucionalidad (art. 2.3 de la Ley, que </w:t>
      </w:r>
      <w:r>
        <w:lastRenderedPageBreak/>
        <w:t>utiliza expresión similar a la empleada en los acuerdos interpretativos de las comisiones bilaterales entre el Estado y otras comunidades autónomas; y arts. 12.5, 23.1, 25.1, 32.2 c), 49.3, 48.1, 55.3, 58.7 y 64.3 de la ley controvertida, entre otros).</w:t>
      </w:r>
    </w:p>
    <w:p w14:paraId="40352F04" w14:textId="77777777" w:rsidR="009D7677" w:rsidRDefault="009D7677" w:rsidP="009D7677">
      <w:pPr>
        <w:pStyle w:val="TextoNormal"/>
      </w:pPr>
    </w:p>
    <w:p w14:paraId="3FE894B0" w14:textId="77777777" w:rsidR="009D7677" w:rsidRDefault="009D7677" w:rsidP="009D7677">
      <w:pPr>
        <w:pStyle w:val="TextoNormal"/>
      </w:pPr>
      <w:r>
        <w:t>(iii) Debemos desestimar la impugnación del art. 2.1 y 2 de la Ley del Parlamento de Galicia 4/2023. Los argumentos del escrito de impugnación no pueden ser compartidos. De un lado, los preceptos definen el litoral y su extensión a los efectos de la propia ley, pero no delimitan, como afirma el escrito de impugnación el dominio público marítimo-terrestre ni determinan las competencias que sobre el litoral se asumen por la Comunidad Autónoma de Galicia.</w:t>
      </w:r>
    </w:p>
    <w:p w14:paraId="18DD772F" w14:textId="77777777" w:rsidR="009D7677" w:rsidRDefault="009D7677" w:rsidP="009D7677">
      <w:pPr>
        <w:pStyle w:val="TextoNormal"/>
      </w:pPr>
    </w:p>
    <w:p w14:paraId="174F9392" w14:textId="77777777" w:rsidR="009D7677" w:rsidRDefault="009D7677" w:rsidP="009D7677">
      <w:pPr>
        <w:pStyle w:val="TextoNormal"/>
      </w:pPr>
      <w:r>
        <w:t>Debemos partir de que, sobre el litoral, entendido conforme a la definición efectuada por la Ley del Parlamento de Galicia 4/2023, concurren competencias estatales y autonómicas. Esto determina que puedan actuar distintas administraciones para diferentes funciones y competencias. Es cierto, que al determinar la extensión del litoral comprende en el mismo —“a los efectos de la presente ley”— la zona marítimo-terrestre, las playas y el mar territorial que forman parte del dominio público estatal (art. 132.2 CE). Ahora bien, ello no plantea —</w:t>
      </w:r>
      <w:r w:rsidRPr="009D7677">
        <w:rPr>
          <w:i/>
        </w:rPr>
        <w:t>a priori</w:t>
      </w:r>
      <w:r>
        <w:t>— problema de constitucionalidad alguno. En tal sentido, hemos recordado en el fundamento jurídico 5 A) que la condición de dominio público no “sirve para aislar una porción de territorio de su entorno, y considerarlo como una zona exenta de las competencias de los diversos entes públicos que las ostenten” [STC 103/1989, FJ 6 a)]. Es por ello por lo que la Ley del Parlamento de Galicia 4/2023 puede partir legítimamente de determinaciones previas al objeto de precisar el espacio sobre el que se ejercerán las competencias estatutariamente asumidas, sin que tal definición suponga, por si sola y sin otra circunstancia, vulneración alguna de competencias estatales, máxime cuando la Ley de costas, no contiene definición alguna de litoral.</w:t>
      </w:r>
    </w:p>
    <w:p w14:paraId="55056D77" w14:textId="77777777" w:rsidR="009D7677" w:rsidRDefault="009D7677" w:rsidP="009D7677">
      <w:pPr>
        <w:pStyle w:val="TextoNormal"/>
      </w:pPr>
    </w:p>
    <w:p w14:paraId="325C7893" w14:textId="77777777" w:rsidR="009D7677" w:rsidRDefault="009D7677" w:rsidP="009D7677">
      <w:pPr>
        <w:pStyle w:val="TextoNormal"/>
      </w:pPr>
      <w:r>
        <w:t>Ciertamente es labor de este tribunal garantizar que las definiciones empleadas no impliquen en la práctica una alteración del sistema de distribución de competencias, ya sea porque resulten completamente artificiales, no respetando la imagen que de los distintos conceptos existe en la conciencia social, ya sea porque a tales conceptos se anuden consecuencias no queridas por el constituyente (STC 40/1998, FJ 6). Pues bien, la definición del litoral y la determinación de su extensión, que contienen los apartados impugnados, no permiten advertir una alteración del sistema de distribución competencial ni se alejan del sentido en el que el término litoral es comúnmente utilizado. Esta conclusión en nada se ve desvirtuada por el hecho incuestionable de que el dominio público marítimo-terrestre se integra o forma parte del litoral.</w:t>
      </w:r>
    </w:p>
    <w:p w14:paraId="7854D3FB" w14:textId="77777777" w:rsidR="009D7677" w:rsidRDefault="009D7677" w:rsidP="009D7677">
      <w:pPr>
        <w:pStyle w:val="TextoNormal"/>
      </w:pPr>
    </w:p>
    <w:p w14:paraId="0683C345" w14:textId="77777777" w:rsidR="009D7677" w:rsidRDefault="009D7677" w:rsidP="009D7677">
      <w:pPr>
        <w:pStyle w:val="TextoNormal"/>
      </w:pPr>
      <w:r>
        <w:t>Por tanto, la impugnación de los apartados 1 y 2 del art. 2 de la Ley del Parlamento de Galicia 4/2023 debe ser desestimada.</w:t>
      </w:r>
    </w:p>
    <w:p w14:paraId="41476D92" w14:textId="77777777" w:rsidR="009D7677" w:rsidRDefault="009D7677" w:rsidP="009D7677">
      <w:pPr>
        <w:pStyle w:val="TextoNormal"/>
      </w:pPr>
    </w:p>
    <w:p w14:paraId="4A5DDCE0" w14:textId="77777777" w:rsidR="009D7677" w:rsidRDefault="009D7677" w:rsidP="009D7677">
      <w:pPr>
        <w:pStyle w:val="TextoNormal"/>
      </w:pPr>
      <w:r>
        <w:t>c) Artículos 22.1 y 2 a), b), c) y d); 23.2 d), g) e i); 24.3 c), e) y f); 25.1 a), b), c) y d), y, finalmente, del art. 27.3 c) de la Ley del Parlamento de Galicia 4/2023</w:t>
      </w:r>
    </w:p>
    <w:p w14:paraId="32A9A260" w14:textId="77777777" w:rsidR="009D7677" w:rsidRDefault="009D7677" w:rsidP="009D7677">
      <w:pPr>
        <w:pStyle w:val="TextoNormal"/>
      </w:pPr>
    </w:p>
    <w:p w14:paraId="5FEED0EF" w14:textId="77777777" w:rsidR="009D7677" w:rsidRDefault="009D7677" w:rsidP="009D7677">
      <w:pPr>
        <w:pStyle w:val="TextoNormal"/>
      </w:pPr>
      <w:r>
        <w:t xml:space="preserve">Los preceptos impugnados serán objeto de tratamiento conjunto por razones de coherencia sistemática al referirse todos ellos a instrumentos de ordenación específicos (la estrategia de economía azul de Galicia, las directrices de ordenación del litoral, el plan de ordenación costera, el plan de ordenación marina y los planes especiales de las playas) y </w:t>
      </w:r>
      <w:r>
        <w:lastRenderedPageBreak/>
        <w:t>ser similar la razón impugnatoria y los argumentos dados para la defensa de su constitucionalidad.</w:t>
      </w:r>
    </w:p>
    <w:p w14:paraId="08E78900" w14:textId="77777777" w:rsidR="009D7677" w:rsidRDefault="009D7677" w:rsidP="009D7677">
      <w:pPr>
        <w:pStyle w:val="TextoNormal"/>
      </w:pPr>
    </w:p>
    <w:p w14:paraId="16BA67AF" w14:textId="77777777" w:rsidR="009D7677" w:rsidRDefault="009D7677" w:rsidP="009D7677">
      <w:pPr>
        <w:pStyle w:val="TextoNormal"/>
      </w:pPr>
      <w:r>
        <w:t>El art. 22.1 y 2 a), b), c) y d) de la Ley del Parlamento de Galicia 4/2023 dispone que la administración general de la Comunidad Autónoma de Galicia elaborará una “estrategia de economía azul, de apoyo al crecimiento sostenible de los sectores productivos vinculados al mar y al aprovechamiento del potencial de los mares y océanos como motores de la economía” y a la fijación de sus objetivos generales de impulso, preservación, favorecimiento y promoción de determinadas actividades.</w:t>
      </w:r>
    </w:p>
    <w:p w14:paraId="0F3C9718" w14:textId="77777777" w:rsidR="009D7677" w:rsidRDefault="009D7677" w:rsidP="009D7677">
      <w:pPr>
        <w:pStyle w:val="TextoNormal"/>
      </w:pPr>
    </w:p>
    <w:p w14:paraId="5493EA70" w14:textId="77777777" w:rsidR="009D7677" w:rsidRDefault="009D7677" w:rsidP="009D7677">
      <w:pPr>
        <w:pStyle w:val="TextoNormal"/>
      </w:pPr>
      <w:r>
        <w:t>El art. 23.2 d), g) e i) de la Ley del Parlamento de Galicia 4/2023 establece determinaciones que deben contener las directrices de ordenación del litoral: “criterios para implantar las distintas actividades económicas y sociales” [letra d)] o “de determinación de la capacidad de carga y aforo en los diversos espacios del litoral” [letra g)] o “exigidos a las edificaciones e instalaciones permitidas en espacios sensibles del litoral” [letra i)].</w:t>
      </w:r>
    </w:p>
    <w:p w14:paraId="1061F7DA" w14:textId="77777777" w:rsidR="009D7677" w:rsidRDefault="009D7677" w:rsidP="009D7677">
      <w:pPr>
        <w:pStyle w:val="TextoNormal"/>
      </w:pPr>
    </w:p>
    <w:p w14:paraId="1AD5C92F" w14:textId="77777777" w:rsidR="009D7677" w:rsidRDefault="009D7677" w:rsidP="009D7677">
      <w:pPr>
        <w:pStyle w:val="TextoNormal"/>
      </w:pPr>
      <w:r>
        <w:t>El art. 24.3 c), e) y f) de la Ley del Parlamento de Galicia 4/2023 se refiere a distintas determinaciones que debe contener el plan de ordenación costera: “los mecanismos de gestión que han de impulsarse en cada una de las áreas litorales y las medidas de protección específicas que garanticen la preservación de sus funciones ambientales” [letra c)]; “la delimitación de los corredores ecológicos que permitan asegurar la conectividad ecosistémica entre espacios protegidos litorales y entre espacios protegidos del interior hacia el mar, así como las medidas concretas para su conservación y mejora” [letra e)]; “el desarrollo de los objetivos de ordenación asignados a cada área del litoral en la presente ley y la concreción de los usos y actividades permitidos, compatibles y prohibidos” [letra f)].</w:t>
      </w:r>
    </w:p>
    <w:p w14:paraId="3F3D38D3" w14:textId="77777777" w:rsidR="009D7677" w:rsidRDefault="009D7677" w:rsidP="009D7677">
      <w:pPr>
        <w:pStyle w:val="TextoNormal"/>
      </w:pPr>
    </w:p>
    <w:p w14:paraId="5CFCE4D2" w14:textId="77777777" w:rsidR="009D7677" w:rsidRDefault="009D7677" w:rsidP="009D7677">
      <w:pPr>
        <w:pStyle w:val="TextoNormal"/>
      </w:pPr>
      <w:r>
        <w:t>El 25.1 a), b), c) y d) de la Ley del Parlamento de Galicia 4/2023 contempla diversos objetivos a alcanzar a través del plan de ordenación marina: “fomentar el crecimiento de la economía del mar, el desarrollo del espacio marítimo y el aprovechamiento de sus recursos marinos sin menoscabo de la conservación, protección y mejora del medio ambiente, incluida la resistencia a los efectos del cambio climático” [letra a)]; “priorizar y garantizar dentro de la ordenación de los espacios marinos la pesca, el marisqueo, la miticultura y la recolección de algas, mediante la adopción de todas las medidas necesarias para el crecimiento de su potencialidad como actividad económica y sociocultural fundamental, apoyando su desarrollo sostenible por su condición de usos prioritarios y estratégicos” [letra b)]; “apoyar el desarrollo sostenible del sector energético, con respeto de la biodiversidad y la pesca, el marisqueo y la acuicultura” [letra c)]; e “impulsar el desarrollo sostenible del transporte marítimo, incluido el transporte de personas” [letra d)].</w:t>
      </w:r>
    </w:p>
    <w:p w14:paraId="6384F747" w14:textId="77777777" w:rsidR="009D7677" w:rsidRDefault="009D7677" w:rsidP="009D7677">
      <w:pPr>
        <w:pStyle w:val="TextoNormal"/>
      </w:pPr>
    </w:p>
    <w:p w14:paraId="7B7629D8" w14:textId="77777777" w:rsidR="009D7677" w:rsidRDefault="009D7677" w:rsidP="009D7677">
      <w:pPr>
        <w:pStyle w:val="TextoNormal"/>
      </w:pPr>
      <w:r>
        <w:t>Finalmente, el art. 27.3 c) de la Ley del Parlamento de Galicia 4/2023, indica que los planes especiales de las playas contendrán “las actuaciones y medidas que deberán impulsarse para ordenar los servicios de temporada de las playas, atendiendo a criterios de preservación de los valores ecosistémicos, para promover la accesibilidad universal y la definición de criterios de integración paisajística de las instalaciones admitidas”.</w:t>
      </w:r>
    </w:p>
    <w:p w14:paraId="767933A5" w14:textId="77777777" w:rsidR="009D7677" w:rsidRDefault="009D7677" w:rsidP="009D7677">
      <w:pPr>
        <w:pStyle w:val="TextoNormal"/>
      </w:pPr>
    </w:p>
    <w:p w14:paraId="70C67993" w14:textId="77777777" w:rsidR="009D7677" w:rsidRDefault="009D7677" w:rsidP="009D7677">
      <w:pPr>
        <w:pStyle w:val="TextoNormal"/>
      </w:pPr>
      <w:r>
        <w:t xml:space="preserve">(i) El abogado del Estado impugna tales preceptos porque invaden competencias del Estado en materia “pesca marítima” (art. 149.1.19 CE) —en el caso de los apartados impugnados del art. 22 y en el caso de las letras a) y b) del art. 25.1 de la Ley del Parlamento </w:t>
      </w:r>
      <w:r>
        <w:lastRenderedPageBreak/>
        <w:t>de Galicia 4/2023—, o derogan el régimen jurídico de la Ley de costas establecido por el Estado como titular del demanio —en el caso de las letras del art. 23.2, 24.3 y 27.3 c) de la Ley del Parlamento de Galicia 4/2023 impugnadas—, o regulan “el desarrollo sostenible del sector energético”, excluido por la STC 3/2014, de 16 de enero, FJ 5, —en el caso de la letra c) del art. 25.1 de la ley impugnada—, o, finalmente, socaban la competencia exclusiva del Estado en materia de marina mercante (art. 149.1.20 CE).</w:t>
      </w:r>
    </w:p>
    <w:p w14:paraId="04289706" w14:textId="77777777" w:rsidR="009D7677" w:rsidRDefault="009D7677" w:rsidP="009D7677">
      <w:pPr>
        <w:pStyle w:val="TextoNormal"/>
      </w:pPr>
    </w:p>
    <w:p w14:paraId="293E931F" w14:textId="77777777" w:rsidR="009D7677" w:rsidRDefault="009D7677" w:rsidP="009D7677">
      <w:pPr>
        <w:pStyle w:val="TextoNormal"/>
      </w:pPr>
      <w:r>
        <w:t>(ii) Como con mayor detalle se expone en los antecedentes, el Parlamento y la Xunta de Galicia se defienden frente a las referidas impugnaciones al entender que el recurrente plantea una argumentación limitada a mencionar la doctrina constitucional en general e incompleta, sin concretar en qué aspectos se incumple la distribución competencial. Cuestionan el carácter vago e impreciso de las impugnaciones. Lo impugnable no sería el marco general de referencia para elaborar los instrumentos de ordenación, sino las concretas directrices (STC 87/2019) o los concretos instrumentos aprobados, siempre que no “tengan cobijo en su acervo competencial”. Sera cuando se apruebe ese concreto instrumento cuando se podrá verificar el exceso competencial.</w:t>
      </w:r>
    </w:p>
    <w:p w14:paraId="4B24E2A9" w14:textId="77777777" w:rsidR="009D7677" w:rsidRDefault="009D7677" w:rsidP="009D7677">
      <w:pPr>
        <w:pStyle w:val="TextoNormal"/>
      </w:pPr>
    </w:p>
    <w:p w14:paraId="2ED29BF0" w14:textId="77777777" w:rsidR="009D7677" w:rsidRDefault="009D7677" w:rsidP="009D7677">
      <w:pPr>
        <w:pStyle w:val="TextoNormal"/>
      </w:pPr>
      <w:r>
        <w:t>(iii) Las impugnaciones deben ser desestimadas atendido el carácter abstracto del control de constitucionalidad que corresponde efectuar al enjuiciar los preceptos impugnados en el recurso de inconstitucionalidad.</w:t>
      </w:r>
    </w:p>
    <w:p w14:paraId="1C5EA377" w14:textId="77777777" w:rsidR="009D7677" w:rsidRDefault="009D7677" w:rsidP="009D7677">
      <w:pPr>
        <w:pStyle w:val="TextoNormal"/>
      </w:pPr>
    </w:p>
    <w:p w14:paraId="01467A6F" w14:textId="77777777" w:rsidR="009D7677" w:rsidRDefault="009D7677" w:rsidP="009D7677">
      <w:pPr>
        <w:pStyle w:val="TextoNormal"/>
      </w:pPr>
      <w:r>
        <w:t>El art. 22 de la Ley del Parlamento de Galicia 4/2023 se refiere a una futura elaboración de una “estrategia de economía azul”, de apoyo al crecimiento sostenible de los sectores productivos vinculados al mar y al aprovechamiento potencial de los mares y océanos como motores de la economía y fija unos objetivos genéricos que esa futura estrategia deberá seguir.</w:t>
      </w:r>
    </w:p>
    <w:p w14:paraId="5E8B6D20" w14:textId="77777777" w:rsidR="009D7677" w:rsidRDefault="009D7677" w:rsidP="009D7677">
      <w:pPr>
        <w:pStyle w:val="TextoNormal"/>
      </w:pPr>
    </w:p>
    <w:p w14:paraId="7B73D015" w14:textId="77777777" w:rsidR="009D7677" w:rsidRDefault="009D7677" w:rsidP="009D7677">
      <w:pPr>
        <w:pStyle w:val="TextoNormal"/>
      </w:pPr>
      <w:r>
        <w:t>Por otra parte, las directrices a las que alude el art. 23 de la Ley del Parlamento de Galicia 4/2023, son el marco general de referencia para elaborar los instrumentos de ordenación del litoral y para el planteamiento y ejecución de las políticas sectoriales sobre el mismo. Son orientaciones y pautas que deberán concretarse en los distintos planes que contempla el art. 21.1 de la ley enjuiciada, para conformar un único sistema integrado que se articula de acuerdo con los principios de competencia, especialidad y coordinación. Dichas directrices contendrán “al menos” —pues pueden contener otras—, las determinaciones previstas en el art. 23.2 letras a) a n) de la Ley, indicando de modo inequívoco el alcance, orientador o vinculante, para los planes o, en su caso, el carácter de normas de aplicación directa (art. 23.3 de la Ley del Parlamento de Galicia 4/2023).</w:t>
      </w:r>
    </w:p>
    <w:p w14:paraId="70A54520" w14:textId="77777777" w:rsidR="009D7677" w:rsidRDefault="009D7677" w:rsidP="009D7677">
      <w:pPr>
        <w:pStyle w:val="TextoNormal"/>
      </w:pPr>
    </w:p>
    <w:p w14:paraId="13BE8EE1" w14:textId="77777777" w:rsidR="009D7677" w:rsidRDefault="009D7677" w:rsidP="009D7677">
      <w:pPr>
        <w:pStyle w:val="TextoNormal"/>
      </w:pPr>
      <w:r>
        <w:t>El art. 24.3 de la Ley del Parlamento de Galicia 4/2023, también impugnado, contiene la previsión legal de que el plan de ordenación costera “al menos” deba contener: los mecanismos de gestión que han de impulsarse y las medidas de protección para garantizar funciones ambientales; o la delimitación de corredores para asegurar la conectividad ecosistémica; o, en fin, el desarrollo de los objetivos de ordenación y la concreción de los usos y actividades permitidos, compatibles y prohibidos.</w:t>
      </w:r>
    </w:p>
    <w:p w14:paraId="02C2B013" w14:textId="77777777" w:rsidR="009D7677" w:rsidRDefault="009D7677" w:rsidP="009D7677">
      <w:pPr>
        <w:pStyle w:val="TextoNormal"/>
      </w:pPr>
    </w:p>
    <w:p w14:paraId="1D487126" w14:textId="77777777" w:rsidR="009D7677" w:rsidRDefault="009D7677" w:rsidP="009D7677">
      <w:pPr>
        <w:pStyle w:val="TextoNormal"/>
      </w:pPr>
      <w:r>
        <w:t>El art. 25.1 a), b), c) y d) de la Ley del Parlamento de Galicia 4/2023 regula el plan de ordenación marina como instrumento básico de ordenación de los espacios marinos el litoral de Galicia y establece los fines que se pretende alcanzar con el mismo.</w:t>
      </w:r>
    </w:p>
    <w:p w14:paraId="76F7A476" w14:textId="77777777" w:rsidR="009D7677" w:rsidRDefault="009D7677" w:rsidP="009D7677">
      <w:pPr>
        <w:pStyle w:val="TextoNormal"/>
      </w:pPr>
    </w:p>
    <w:p w14:paraId="7941808C" w14:textId="77777777" w:rsidR="009D7677" w:rsidRDefault="009D7677" w:rsidP="009D7677">
      <w:pPr>
        <w:pStyle w:val="TextoNormal"/>
      </w:pPr>
      <w:r>
        <w:t>Y, finalmente el art. 27.3 c) de la Ley del Parlamento de Galicia 4/2023, se refiere a la determinación que debe contenerse en los planes especiales de las playas relativa a las “actuaciones y medidas que deberán impulsarse para ordenar los servicios de temporada de las playas”.</w:t>
      </w:r>
    </w:p>
    <w:p w14:paraId="1157A968" w14:textId="77777777" w:rsidR="009D7677" w:rsidRDefault="009D7677" w:rsidP="009D7677">
      <w:pPr>
        <w:pStyle w:val="TextoNormal"/>
      </w:pPr>
    </w:p>
    <w:p w14:paraId="396D69C5" w14:textId="77777777" w:rsidR="009D7677" w:rsidRDefault="009D7677" w:rsidP="009D7677">
      <w:pPr>
        <w:pStyle w:val="TextoNormal"/>
      </w:pPr>
      <w:r>
        <w:t>Debe indicarse, en primer lugar, que se trata de instrumentos previstos por la comunidad autónoma con base en su competencia en materia de ordenación del territorio. En este sentido, la mayor parte de ellos tienen la naturaleza jurídica de planes territoriales integrados o especiales o planes sectoriales, que constituyen uno de los instrumentos de ordenación previstos en los arts. 29 a 39 de la Ley del Parlamento de Galicia 1/2021, de 8 de enero, de ordenación del territorio de Galicia. Y, en segundo lugar, en todo caso las determinaciones que se contengan en tales instrumentos de ordenación específicos, como con carácter general todas las previsiones del título II en el que se incluyen los referidos artículos, “han de entenderse en el marco de la legislación básica del Estado y con respeto de las facultades que derivan de su titularidad sobre los bienes que integran el dominio público marítimo-terrestre”, como expresamente indica el art. 21.3 de la Ley del Parlamento de Galicia 4/2023.</w:t>
      </w:r>
    </w:p>
    <w:p w14:paraId="7826FA07" w14:textId="77777777" w:rsidR="009D7677" w:rsidRDefault="009D7677" w:rsidP="009D7677">
      <w:pPr>
        <w:pStyle w:val="TextoNormal"/>
      </w:pPr>
    </w:p>
    <w:p w14:paraId="2CEE9018" w14:textId="77777777" w:rsidR="009D7677" w:rsidRDefault="009D7677" w:rsidP="009D7677">
      <w:pPr>
        <w:pStyle w:val="TextoNormal"/>
      </w:pPr>
      <w:r>
        <w:t>Como hemos precisado, en el anterior fundamento 3 b), la naturaleza del control de constitucionalidad que debemos proyectar sobre las normas impugnadas, indicando que el carácter preventivo del recurso debe ser examinado en cada caso concreto. Pues bien, en relación con los referidos artículos se impugnan objetivos generales, criterios de contenido abierto, determinaciones genéricas y finalidades pretendidas por el instrumento de ordenación que a su vez integran el marco general de referencia a concretar por tales instrumentos de ordenación y planeamiento. Así centrada la cuestión, debemos recordar que incluso refiriéndonos a los planes previstos en las leyes autonómicas hemos afirmado que no procede anticipar juicios sobre su posible contenido, siempre que esos planes tengan cobijo en el acervo competencial de la comunidad autónoma (STC 87/2019, de 20 de julio, FJ 8).</w:t>
      </w:r>
    </w:p>
    <w:p w14:paraId="34EC648F" w14:textId="77777777" w:rsidR="009D7677" w:rsidRDefault="009D7677" w:rsidP="009D7677">
      <w:pPr>
        <w:pStyle w:val="TextoNormal"/>
      </w:pPr>
    </w:p>
    <w:p w14:paraId="4F965274" w14:textId="77777777" w:rsidR="009D7677" w:rsidRDefault="009D7677" w:rsidP="009D7677">
      <w:pPr>
        <w:pStyle w:val="TextoNormal"/>
      </w:pPr>
      <w:r>
        <w:t>Atendido el carácter abierto de las concretas previsiones impugnadas no procede un pronunciamiento preventivo sobre las mismas que se sustente en la mera afirmación de las facultades estatales relacionadas con la protección y defensa del demanio o de las competencias exclusivas del Estado. Estas y aquellas no impiden el ejercicio de las correspondientes competencias por la Comunidad Autónoma de Galicia, ni tan siquiera el escrito de impugnación efectúa razonamiento alguno sobre la inexistencia de soporte competencial autonómico, pues se limita a afirmar las facultades y competencias estatales sobre el demanio.</w:t>
      </w:r>
    </w:p>
    <w:p w14:paraId="175801AB" w14:textId="77777777" w:rsidR="009D7677" w:rsidRDefault="009D7677" w:rsidP="009D7677">
      <w:pPr>
        <w:pStyle w:val="TextoNormal"/>
      </w:pPr>
    </w:p>
    <w:p w14:paraId="649B6673" w14:textId="77777777" w:rsidR="009D7677" w:rsidRDefault="009D7677" w:rsidP="009D7677">
      <w:pPr>
        <w:pStyle w:val="TextoNormal"/>
      </w:pPr>
      <w:r>
        <w:t>A lo que cabe añadir que la propia Ley del Parlamento de Galicia 4/2023 subraya que las previsiones contenidas en los preceptos indicados “han de entenderse en el marco de la legislación básica del Estado y con respeto de las facultades que derivan de su titularidad sobre los bienes que integran el dominio público marítimo-terrestre” (art. 21.3).</w:t>
      </w:r>
    </w:p>
    <w:p w14:paraId="3F6A0B98" w14:textId="77777777" w:rsidR="009D7677" w:rsidRDefault="009D7677" w:rsidP="009D7677">
      <w:pPr>
        <w:pStyle w:val="TextoNormal"/>
      </w:pPr>
    </w:p>
    <w:p w14:paraId="0D33AF31" w14:textId="77777777" w:rsidR="009D7677" w:rsidRDefault="009D7677" w:rsidP="009D7677">
      <w:pPr>
        <w:pStyle w:val="TextoNormal"/>
      </w:pPr>
      <w:r>
        <w:t xml:space="preserve">Es por ello por lo que debemos recordar que “de ocasionarse aquellos otros supuestos en los que la aplicación de una norma produzca —y no que pueda producir— vulneración de la Constitución, el ordenamiento jurídico ofrece los cauces, ante la jurisdicción ordinaria o ante este tribunal, para evitar que tales situaciones se produzcan” (SSTC 77/1985, de </w:t>
      </w:r>
      <w:r>
        <w:lastRenderedPageBreak/>
        <w:t>27 de junio, FJ 4, y 172/1992, de 29 de octubre, FJ 2). Dicha vulneración no cabe entender que se produce por la exigencia de que las directrices contengan determinaciones referidas a criterios, previsiones, objetivos o finalidades de redactado genérico e impreciso que deberán ser concretados en los planes que a su vez serán precisados en las normas para su aplicación.</w:t>
      </w:r>
    </w:p>
    <w:p w14:paraId="7FF73069" w14:textId="77777777" w:rsidR="009D7677" w:rsidRDefault="009D7677" w:rsidP="009D7677">
      <w:pPr>
        <w:pStyle w:val="TextoNormal"/>
      </w:pPr>
    </w:p>
    <w:p w14:paraId="6E32ADC1" w14:textId="77777777" w:rsidR="009D7677" w:rsidRDefault="009D7677" w:rsidP="009D7677">
      <w:pPr>
        <w:pStyle w:val="TextoNormal"/>
      </w:pPr>
      <w:r>
        <w:t>Por tanto, las impugnaciones de los arts. 22.1 y 2 a), b), c) y d); 23.2 d), g) e i); 24.3 c), e) y f); 25.1 a), b), c) y d) y, finalmente, del art. 27.3 c) de la Ley del Parlamento de Galicia 4/2023, deben ser desestimadas.</w:t>
      </w:r>
    </w:p>
    <w:p w14:paraId="323DFB5D" w14:textId="77777777" w:rsidR="009D7677" w:rsidRDefault="009D7677" w:rsidP="009D7677">
      <w:pPr>
        <w:pStyle w:val="TextoNormal"/>
      </w:pPr>
    </w:p>
    <w:p w14:paraId="2DB84EBC" w14:textId="77777777" w:rsidR="009D7677" w:rsidRDefault="009D7677" w:rsidP="009D7677">
      <w:pPr>
        <w:pStyle w:val="TextoNormal"/>
      </w:pPr>
      <w:r>
        <w:t>d) Artículo 59.2, inciso “teniendo la obligación de asegurar en todos los instrumentos de ordenación marina del litoral previstos en este un régimen de zonificación y uso que garantice el acceso y la permanencia de las embarcaciones gallegas a los caladeros cuya regulación sea de su competencia”</w:t>
      </w:r>
    </w:p>
    <w:p w14:paraId="3437B54B" w14:textId="77777777" w:rsidR="009D7677" w:rsidRDefault="009D7677" w:rsidP="009D7677">
      <w:pPr>
        <w:pStyle w:val="TextoNormal"/>
      </w:pPr>
    </w:p>
    <w:p w14:paraId="38A071EA" w14:textId="77777777" w:rsidR="009D7677" w:rsidRDefault="009D7677" w:rsidP="009D7677">
      <w:pPr>
        <w:pStyle w:val="TextoNormal"/>
      </w:pPr>
      <w:r>
        <w:t>Indica el art. 59.2 de la Ley del Parlamento de Galicia 4/2023 lo siguiente:</w:t>
      </w:r>
    </w:p>
    <w:p w14:paraId="508633B4" w14:textId="77777777" w:rsidR="009D7677" w:rsidRDefault="009D7677" w:rsidP="009D7677">
      <w:pPr>
        <w:pStyle w:val="TextoNormal"/>
      </w:pPr>
    </w:p>
    <w:p w14:paraId="3AD62743" w14:textId="77777777" w:rsidR="009D7677" w:rsidRDefault="009D7677" w:rsidP="009D7677">
      <w:pPr>
        <w:pStyle w:val="TextoNormal"/>
      </w:pPr>
      <w:r>
        <w:t>“Artículo 59. Sostenibilidad económica y social del sector marítimo-pesquero y de la cadena mar-industria alimentaria.</w:t>
      </w:r>
    </w:p>
    <w:p w14:paraId="3EAAA3B1" w14:textId="77777777" w:rsidR="009D7677" w:rsidRDefault="009D7677" w:rsidP="009D7677">
      <w:pPr>
        <w:pStyle w:val="TextoNormal"/>
      </w:pPr>
    </w:p>
    <w:p w14:paraId="1D72406C" w14:textId="77777777" w:rsidR="009D7677" w:rsidRDefault="009D7677" w:rsidP="009D7677">
      <w:pPr>
        <w:pStyle w:val="TextoNormal"/>
      </w:pPr>
      <w:r>
        <w:t>[…]</w:t>
      </w:r>
    </w:p>
    <w:p w14:paraId="79904A79" w14:textId="77777777" w:rsidR="009D7677" w:rsidRDefault="009D7677" w:rsidP="009D7677">
      <w:pPr>
        <w:pStyle w:val="TextoNormal"/>
      </w:pPr>
    </w:p>
    <w:p w14:paraId="57299CF2" w14:textId="77777777" w:rsidR="009D7677" w:rsidRDefault="009D7677" w:rsidP="009D7677">
      <w:pPr>
        <w:pStyle w:val="TextoNormal"/>
      </w:pPr>
      <w:r>
        <w:t>2. La administración general de la Comunidad Autónoma de Galicia, a través de la presente ley, reconoce el uso pesquero, marisquero y acuícola como estratégico y prioritario para el desarrollo sostenible del litoral, teniendo la obligación de asegurar en todos los instrumentos de ordenación marina del litoral previstos en esta un régimen de zonificación y uso que garantice el acceso y la permanencia de las embarcaciones gallegas a los caladeros cuya regulación sea de su competencia.</w:t>
      </w:r>
    </w:p>
    <w:p w14:paraId="525D6054" w14:textId="77777777" w:rsidR="009D7677" w:rsidRDefault="009D7677" w:rsidP="009D7677">
      <w:pPr>
        <w:pStyle w:val="TextoNormal"/>
      </w:pPr>
    </w:p>
    <w:p w14:paraId="7B52122A" w14:textId="77777777" w:rsidR="009D7677" w:rsidRDefault="009D7677" w:rsidP="009D7677">
      <w:pPr>
        <w:pStyle w:val="TextoNormal"/>
      </w:pPr>
      <w:r>
        <w:t>Respecto a los caladeros sobre los que no se ostenten competencias, la Administración general de la Comunidad Autónoma de Galicia velará por la sostenibilidad del sector en los términos establecidos en el artículo 7</w:t>
      </w:r>
      <w:r w:rsidRPr="009D7677">
        <w:rPr>
          <w:i/>
        </w:rPr>
        <w:t>4 b</w:t>
      </w:r>
      <w:r>
        <w:t>is de la Ley 11/2008, de 3 de diciembre, de pesca de Galicia”.</w:t>
      </w:r>
    </w:p>
    <w:p w14:paraId="23CC8658" w14:textId="77777777" w:rsidR="009D7677" w:rsidRDefault="009D7677" w:rsidP="009D7677">
      <w:pPr>
        <w:pStyle w:val="TextoNormal"/>
      </w:pPr>
    </w:p>
    <w:p w14:paraId="45432958" w14:textId="77777777" w:rsidR="009D7677" w:rsidRDefault="009D7677" w:rsidP="009D7677">
      <w:pPr>
        <w:pStyle w:val="TextoNormal"/>
      </w:pPr>
      <w:r>
        <w:t>(i) La censura constitucional del inciso se argumenta en la competencia exclusiva del Estado en referencia a los instrumentos de ordenación marina del litoral, en la determinación de la obligación de los antedichos instrumentos de establecer un “régimen de zonificación y uso”, en los términos previstos en la Ley 41/2010, de 29 de diciembre y en sus reglamentos de desarrollo: el Real Decreto 363/2017, de 8 de abril, y el Real Decreto 150/2023, de 28 de febrero. La obligación que el precepto asigna al régimen de zonificación y uso de que garantice el acceso y la permanencia de las embarcaciones gallegas a los caladeros cuya regulación sea de su competencia, resulta inconstitucional en la medida en que parece establecer una diferenciación de acceso a los caladeros entre embarcaciones “gallegas” y el resto de las embarcaciones españolas y comunitarias, que no se justifique por razones vinculadas a la pesca o la conservación de los recursos pesqueros en aguas marítimas interiores, además de interferir con la competencia exclusiva del Estado sobre pesca en aguas exteriores, por las razones señaladas más arriba tanto en el apartado I.5 de este acuerdo, cuanto en la impugnación del artículo 22 de la Ley gallega.</w:t>
      </w:r>
    </w:p>
    <w:p w14:paraId="5F4D88FD" w14:textId="77777777" w:rsidR="009D7677" w:rsidRDefault="009D7677" w:rsidP="009D7677">
      <w:pPr>
        <w:pStyle w:val="TextoNormal"/>
      </w:pPr>
    </w:p>
    <w:p w14:paraId="5A790F18" w14:textId="77777777" w:rsidR="009D7677" w:rsidRDefault="009D7677" w:rsidP="009D7677">
      <w:pPr>
        <w:pStyle w:val="TextoNormal"/>
      </w:pPr>
      <w:r>
        <w:t>(ii) La Xunta de Galicia cuestiona la censura constitucional por basarse en la impugnación de los arts. 11.5 a), 21.1 d) y 23.2 m) de la Ley del Parlamento de Galicia 4/2023, que ya fue cuestionada por su falta de argumentación, pues ni tan siquiera se concretó el título competencial vulnerado o los preceptos de la Ley 41/2010 afectados. La impugnación parte de la tesis de que las facultades estatales son excluyentes de cualquier intervención autonómica. Nada impide que la comunidad autónoma elabore planes de ordenación marina en el ámbito de sus competencias. El objetivo respecto de la flota gallega no supone el establecimiento de diferencias frente a la flota no gallega, y, en todo caso, habrá que enjuiciar el concreto instrumento a fin de verificar si existe afectación a otras embarcaciones no gallegas.</w:t>
      </w:r>
    </w:p>
    <w:p w14:paraId="7BB16A69" w14:textId="77777777" w:rsidR="009D7677" w:rsidRDefault="009D7677" w:rsidP="009D7677">
      <w:pPr>
        <w:pStyle w:val="TextoNormal"/>
      </w:pPr>
    </w:p>
    <w:p w14:paraId="3BC1A4DF" w14:textId="77777777" w:rsidR="009D7677" w:rsidRDefault="009D7677" w:rsidP="009D7677">
      <w:pPr>
        <w:pStyle w:val="TextoNormal"/>
      </w:pPr>
      <w:r>
        <w:t>(iii) La impugnación debe ser estimada el art. 59.2 de la Ley del Parlamento de Galicia 4/2023 dispone que la administración de la Comunidad Autónoma de Galicia tiene la obligación de asegurar en los instrumentos de ordenación marina del litoral previstos en la ley ahora enjuiciada un régimen de “zonificación y uso” que garantice el acceso y permanencia de las embarcaciones “gallegas” a los caladeros cuya regulación sea de la competencia de la Comunidad Autónoma de Galicia. En defensa del precepto se indica que dicho objetivo no supone el establecimiento de diferencias frente a la flota no gallega. Sin embargo, asiste la razón al abogado del Estado cuando advierte un trato diferencial y privilegiado a las embarcaciones gallegas, respecto de las que debe velarse por asegurar y garantizar el acceso y permanencia a los caladeros frente a las restantes, respecto de las cuales los instrumentos de ordenación no tienen por qué asegurar dicho acceso y permanencia. Se trata de un precepto concreto y preciso cuya constitucionalidad no puede justificarse por su proyección al enjuiciamiento de futuras regulaciones.</w:t>
      </w:r>
    </w:p>
    <w:p w14:paraId="131E584E" w14:textId="77777777" w:rsidR="009D7677" w:rsidRDefault="009D7677" w:rsidP="009D7677">
      <w:pPr>
        <w:pStyle w:val="TextoNormal"/>
      </w:pPr>
    </w:p>
    <w:p w14:paraId="54D3AB36" w14:textId="77777777" w:rsidR="009D7677" w:rsidRDefault="009D7677" w:rsidP="009D7677">
      <w:pPr>
        <w:pStyle w:val="TextoNormal"/>
      </w:pPr>
      <w:r>
        <w:t>En este sentido, de acuerdo con el art. 139 CE “1. Todos los españoles tienen los mismos derechos y obligaciones en cualquier parte del territorio del Estado. 2. Ninguna autoridad podrá adoptar medidas que directa o indirectamente obstaculicen la libertad de circulación y establecimiento de las personas y la libre circulación de bienes en todo el territorio español”. Hemos dicho que este precepto prohíbe a las comunidades autónomas “discrimina[r] en favor de las empresas radicadas” en su territorio [STC 225/1993, de 8 de julio, FJ 6 A), sobre la Ley de las Cortes Valencianas de ordenación del comercio y superficies comerciales de 1986] o “establece[r] discriminación alguna entre los vecinos de los distintos lugares del territorio nacional” (STC 37/1981, de 16 de noviembre, FJ 2, sobre la Ley del Parlamento Vasco sobre centros de contratación de cargas en transporte terrestre de mercancías de 1981).</w:t>
      </w:r>
    </w:p>
    <w:p w14:paraId="058520ED" w14:textId="77777777" w:rsidR="009D7677" w:rsidRDefault="009D7677" w:rsidP="009D7677">
      <w:pPr>
        <w:pStyle w:val="TextoNormal"/>
      </w:pPr>
    </w:p>
    <w:p w14:paraId="52614202" w14:textId="77777777" w:rsidR="009D7677" w:rsidRDefault="009D7677" w:rsidP="009D7677">
      <w:pPr>
        <w:pStyle w:val="TextoNormal"/>
      </w:pPr>
      <w:r>
        <w:t xml:space="preserve">Este Tribunal Constitucional se ha pronunciado ya al respecto en diversas resoluciones, “en el sentido de considerar que de la Constitución se deriva la unicidad del orden económico nacional, que trae como consecuencia la existencia de un mercado único. Esta unidad de mercado supone, por lo menos, la libertad de circulación sin traba por todo el territorio nacional de bienes, capitales, servicios y mano de obra y la igualdad de las condiciones básicas de ejercicio de la actividad económica. Tal unidad, sin embargo, y como ha señalado también el Tribunal, no significa uniformidad, ya que la misma configuración del Estado español y la existencia de entidades con autonomía política, como son las comunidades autónomas, supone necesariamente una diversidad de regímenes jurídicos. La compatibilidad entre la unidad económica de la Nación y la diversidad jurídica que deriva de </w:t>
      </w:r>
      <w:r>
        <w:lastRenderedPageBreak/>
        <w:t>la autonomía ha de buscarse, pues, en un equilibrio entre ambos principios, equilibrio que, al menos, y en lo que aquí interesa, admite una pluralidad y diversidad de intervenciones de los poderes públicos en el ámbito económico, siempre que reúnan las varias características de que: La regulación autonómica se lleve a cabo dentro del ámbito de la competencia de la comunidad; que esa regulación en cuanto introductora de un régimen diverso del o de los existentes en el resto de la Nación, resulte proporcionada al objeto legítimo que se persigue, de manera que las diferencias y peculiaridades en ella previstas resulten adecuadas y justificadas por su fin, y, por último, que quede en todo caso a salvo la igualdad básica de todos los españoles” (STC 88/1986, de 1 de julio, FJ 6).</w:t>
      </w:r>
    </w:p>
    <w:p w14:paraId="1FE5C6D8" w14:textId="77777777" w:rsidR="009D7677" w:rsidRDefault="009D7677" w:rsidP="009D7677">
      <w:pPr>
        <w:pStyle w:val="TextoNormal"/>
      </w:pPr>
    </w:p>
    <w:p w14:paraId="7B077C12" w14:textId="77777777" w:rsidR="009D7677" w:rsidRDefault="009D7677" w:rsidP="009D7677">
      <w:pPr>
        <w:pStyle w:val="TextoNormal"/>
      </w:pPr>
      <w:r>
        <w:t>Pues bien, no es posible justificar un trato privilegiado de las embarcaciones gallegas frente al resto de embarcaciones con sustento en el ejercicio de las competencias asumidas por la Comunidad Autónoma de Galicia, por lo que debe el calificativo “gallegas” predicado de las embarcaciones debe ser declarado inconstitucional. Ahora bien, la impropiedad constitucional en la que ha incurrido el legislador autonómico al privilegiar a las embarcaciones gallegas frente a las restantes, no significa fatalmente la inconstitucionalidad de todo el precepto, pues al haber asumido la comunidad autónoma competencias en pesca, marisqueo y acuicultura, la pretensión de la norma de asegurar en los instrumentos de ordenación marina del litoral previstos en la Ley del Parlamento de Galicia 4/2023 un régimen de “zonificación y uso” que garantice el acceso y permanencia de las embarcaciones a los caladeros cuya regulación sea de su competencia no puede considerarse que invada competencia estatal alguna.</w:t>
      </w:r>
    </w:p>
    <w:p w14:paraId="69395F62" w14:textId="77777777" w:rsidR="009D7677" w:rsidRDefault="009D7677" w:rsidP="009D7677">
      <w:pPr>
        <w:pStyle w:val="TextoNormal"/>
      </w:pPr>
    </w:p>
    <w:p w14:paraId="1B00845C" w14:textId="590D2D08" w:rsidR="009D7677" w:rsidRDefault="009D7677" w:rsidP="009D7677">
      <w:pPr>
        <w:pStyle w:val="TextoNormal"/>
      </w:pPr>
      <w:r>
        <w:t>Por lo expuesto debe declararse inconstitucional y nula la mención a “gallegas” contenida en el art. 59.2 de la Ley del Parlamento de Galicia 4/2023.</w:t>
      </w:r>
    </w:p>
    <w:p w14:paraId="4237AD09" w14:textId="77777777" w:rsidR="009D7677" w:rsidRDefault="009D7677" w:rsidP="009D7677">
      <w:pPr>
        <w:pStyle w:val="TextoNormal"/>
      </w:pPr>
    </w:p>
    <w:p w14:paraId="607B09F3" w14:textId="77777777" w:rsidR="009D7677" w:rsidRDefault="009D7677" w:rsidP="009D7677">
      <w:pPr>
        <w:pStyle w:val="TextoNormal"/>
      </w:pPr>
      <w:r w:rsidRPr="009D7677">
        <w:rPr>
          <w:rStyle w:val="NumeroAFNegritaCaracter"/>
        </w:rPr>
        <w:t>8</w:t>
      </w:r>
      <w:r>
        <w:t xml:space="preserve">. </w:t>
      </w:r>
      <w:r w:rsidRPr="009D7677">
        <w:rPr>
          <w:i/>
        </w:rPr>
        <w:t>Examen de las impugnaciones de los arts. 29.1; 34.2 a) y b); 34.3, 35.2 a), b) y c); 36.2 a), b) y c); 40.2 y 3; 41.2 a), b), c) y d); 46.3 a) y b); 46.5; 48.3; 49.1, en el inciso “salvo que estén sujetos a declaración responsable de acuerdo con lo dispuesto en el apartado siguiente”; 49.2; 49.3; 49.4; 57.3; 58.3, segundo párrafo en el inciso final “[h]asta la celebración del convenio, corresponde a la persona titular del bien cumplir las obligaciones derivadas de la legislación de patrimonio cultural”; 60.3, y de la disposición final primera de la Ley del Parlamento de Galicia 4/2023, al referirse al régimen de los usos sobre el litoral</w:t>
      </w:r>
    </w:p>
    <w:p w14:paraId="1CF16BAC" w14:textId="77777777" w:rsidR="009D7677" w:rsidRDefault="009D7677" w:rsidP="009D7677">
      <w:pPr>
        <w:pStyle w:val="TextoNormal"/>
      </w:pPr>
    </w:p>
    <w:p w14:paraId="79C19A9F" w14:textId="77777777" w:rsidR="009D7677" w:rsidRDefault="009D7677" w:rsidP="009D7677">
      <w:pPr>
        <w:pStyle w:val="TextoNormal"/>
      </w:pPr>
      <w:r>
        <w:t>a) Art. 29.1 de la Ley del Parlamento de Galicia 4/2023</w:t>
      </w:r>
    </w:p>
    <w:p w14:paraId="5AC0FBAF" w14:textId="77777777" w:rsidR="009D7677" w:rsidRDefault="009D7677" w:rsidP="009D7677">
      <w:pPr>
        <w:pStyle w:val="TextoNormal"/>
      </w:pPr>
    </w:p>
    <w:p w14:paraId="497B1A10" w14:textId="77777777" w:rsidR="009D7677" w:rsidRDefault="009D7677" w:rsidP="009D7677">
      <w:pPr>
        <w:pStyle w:val="TextoNormal"/>
      </w:pPr>
      <w:r>
        <w:t>Dispone el art. 29.1 de la ley controvertida:</w:t>
      </w:r>
    </w:p>
    <w:p w14:paraId="2B259963" w14:textId="77777777" w:rsidR="009D7677" w:rsidRDefault="009D7677" w:rsidP="009D7677">
      <w:pPr>
        <w:pStyle w:val="TextoNormal"/>
      </w:pPr>
    </w:p>
    <w:p w14:paraId="617022D7" w14:textId="77777777" w:rsidR="009D7677" w:rsidRDefault="009D7677" w:rsidP="009D7677">
      <w:pPr>
        <w:pStyle w:val="TextoNormal"/>
      </w:pPr>
      <w:r>
        <w:t>“Artículo 29. Uso sostenible del litoral</w:t>
      </w:r>
    </w:p>
    <w:p w14:paraId="5859B99D" w14:textId="77777777" w:rsidR="009D7677" w:rsidRDefault="009D7677" w:rsidP="009D7677">
      <w:pPr>
        <w:pStyle w:val="TextoNormal"/>
      </w:pPr>
    </w:p>
    <w:p w14:paraId="51DF6D88" w14:textId="77777777" w:rsidR="009D7677" w:rsidRDefault="009D7677" w:rsidP="009D7677">
      <w:pPr>
        <w:pStyle w:val="TextoNormal"/>
      </w:pPr>
      <w:r>
        <w:t>1. El uso del litoral se realizará conforme al principio de desarrollo sostenible, de modo que se propicie el uso racional de los recursos naturales armonizando los requerimientos de la economía, la cohesión social, la igualdad de trato y oportunidades, la salud, la seguridad de las personas y la protección del medio ambiente”.</w:t>
      </w:r>
    </w:p>
    <w:p w14:paraId="722F84C6" w14:textId="77777777" w:rsidR="009D7677" w:rsidRDefault="009D7677" w:rsidP="009D7677">
      <w:pPr>
        <w:pStyle w:val="TextoNormal"/>
      </w:pPr>
    </w:p>
    <w:p w14:paraId="6A3CD7EF" w14:textId="77777777" w:rsidR="009D7677" w:rsidRDefault="009D7677" w:rsidP="009D7677">
      <w:pPr>
        <w:pStyle w:val="TextoNormal"/>
      </w:pPr>
      <w:r>
        <w:t xml:space="preserve">(i) Se impugna el precepto porque la competencia autonómica relativa a la ordenación territorial del demanio costero resulta acotada por el uso que el Estado haga de las que le </w:t>
      </w:r>
      <w:r>
        <w:lastRenderedPageBreak/>
        <w:t>incumben para alcanzar los fines que ampara el art. 45 CE. Se afirma que la protección que el Estado ejerce sobre el dominio público marítimo-terrestre deriva del artículo 132.2 CE y, en palabras del fundamento jurídico 1 D) de la STC 149/1991, se traduce en que “para servir a estas funciones el legislador estatal no sólo está facultado, sino obligado, a proteger el demanio marítimo-terrestre a fin de asegurar tanto el mantenimiento de su integridad física y jurídica, como su uso público y sus valores paisajísticos”. La amplia definición del concepto de litoral de la ley gallega implica que esta se proyecte sobre ámbitos sobre los que prevalece la competencia estatal para establecer el régimen jurídico y la legislación básica estatal en materia medio ambiental. De modo que al regular los principios rectores del dominio público marítimo-terrestre y del medio marino, sin tener competencia para ello, la comunidad autónoma se excede del marco programático que le atribuye el Consejo de Estado.</w:t>
      </w:r>
    </w:p>
    <w:p w14:paraId="74B4E3BA" w14:textId="77777777" w:rsidR="009D7677" w:rsidRDefault="009D7677" w:rsidP="009D7677">
      <w:pPr>
        <w:pStyle w:val="TextoNormal"/>
      </w:pPr>
    </w:p>
    <w:p w14:paraId="0DF5DEAB" w14:textId="77777777" w:rsidR="009D7677" w:rsidRDefault="009D7677" w:rsidP="009D7677">
      <w:pPr>
        <w:pStyle w:val="TextoNormal"/>
      </w:pPr>
      <w:r>
        <w:t>(ii) La Xunta de Galicia, en relación con la impugnación del art. 29.1, reprocha la impugnación directa del precepto sin instar la apertura de la comisión bilateral por revelar un entendimiento de las competencias sobre el dominio público marítimo-terrestre —y sobre el litoral— “de tal nivel que sorprende”. El propio Consejo de Estado advirtió de la inviabilidad de recurrir este artículo por ser programático y la propia impugnación reconoce en relación con el desarrollo sostenible que nada tiene que objetar al tratarse de un principio básico en el ejercicio de las competencias del art. 27.3 EAG. Siempre a efectos dialecticos sería posible una interpretación conforme (art. 1.1 de la Ley del Parlamento de Galicia 4/2023). Indica que se desconoce como anudar al litoral el principio de desarrollo sostenible es incompatible con el legítimo ejercicio de las facultades dominicales del Estado sobre el dominio público. Insiste en el contenido de la competencia relativa a la ordenación del territorio y del litoral (SSTC 149/1991 y 14/2004). Añade como títulos competenciales que también operan los previstos en el art. 27.30 y 27.24 EAG.</w:t>
      </w:r>
    </w:p>
    <w:p w14:paraId="450B577D" w14:textId="77777777" w:rsidR="009D7677" w:rsidRDefault="009D7677" w:rsidP="009D7677">
      <w:pPr>
        <w:pStyle w:val="TextoNormal"/>
      </w:pPr>
    </w:p>
    <w:p w14:paraId="50A0F453" w14:textId="77777777" w:rsidR="009D7677" w:rsidRDefault="009D7677" w:rsidP="009D7677">
      <w:pPr>
        <w:pStyle w:val="TextoNormal"/>
      </w:pPr>
      <w:r>
        <w:t>(iii) La impugnación debe ser desestimada atendido el carácter meramente programático del precepto orientado a ensalzar los valores que inspiran el principio de desarrollo sostenible, configurado este como un valor a tomar en consideración en relación con los usos y actividades del litoral y la asumida competencia por parte de la Comunidad Autónoma de Galicia en materia de ordenación del litoral. Dicha declaración programática, no desconoce la competencia estatal sobre el dominio público marítimo-terrestre o sobre la zona de especial protección, al no contener regulación alguna, por lo que la impugnación debe ser desestimada.</w:t>
      </w:r>
    </w:p>
    <w:p w14:paraId="64AA64B3" w14:textId="77777777" w:rsidR="009D7677" w:rsidRDefault="009D7677" w:rsidP="009D7677">
      <w:pPr>
        <w:pStyle w:val="TextoNormal"/>
      </w:pPr>
    </w:p>
    <w:p w14:paraId="50AD3470" w14:textId="77777777" w:rsidR="009D7677" w:rsidRDefault="009D7677" w:rsidP="009D7677">
      <w:pPr>
        <w:pStyle w:val="TextoNormal"/>
      </w:pPr>
      <w:r>
        <w:t>Se desestima la impugnación del art. 29.1 de la Ley del Parlamento de Galicia 4/2023.</w:t>
      </w:r>
    </w:p>
    <w:p w14:paraId="5D6CC50F" w14:textId="77777777" w:rsidR="009D7677" w:rsidRDefault="009D7677" w:rsidP="009D7677">
      <w:pPr>
        <w:pStyle w:val="TextoNormal"/>
      </w:pPr>
    </w:p>
    <w:p w14:paraId="537A4404" w14:textId="77777777" w:rsidR="009D7677" w:rsidRDefault="009D7677" w:rsidP="009D7677">
      <w:pPr>
        <w:pStyle w:val="TextoNormal"/>
      </w:pPr>
      <w:r>
        <w:t>b) Impugnación del art. 34.2 a) y b) y del art. 34.3</w:t>
      </w:r>
    </w:p>
    <w:p w14:paraId="791DBB77" w14:textId="77777777" w:rsidR="009D7677" w:rsidRDefault="009D7677" w:rsidP="009D7677">
      <w:pPr>
        <w:pStyle w:val="TextoNormal"/>
      </w:pPr>
    </w:p>
    <w:p w14:paraId="312C575F" w14:textId="77777777" w:rsidR="009D7677" w:rsidRDefault="009D7677" w:rsidP="009D7677">
      <w:pPr>
        <w:pStyle w:val="TextoNormal"/>
      </w:pPr>
      <w:r>
        <w:t>Del art. 34 de la Ley del Parlamento de Galicia 4/2023 se impugnan las letras a) y b) de su apartado 2 y el apartado 3, cuyo tenor literal es el que sigue:</w:t>
      </w:r>
    </w:p>
    <w:p w14:paraId="3A1E1CEB" w14:textId="77777777" w:rsidR="009D7677" w:rsidRDefault="009D7677" w:rsidP="009D7677">
      <w:pPr>
        <w:pStyle w:val="TextoNormal"/>
      </w:pPr>
    </w:p>
    <w:p w14:paraId="5FF93FEC" w14:textId="77777777" w:rsidR="009D7677" w:rsidRDefault="009D7677" w:rsidP="009D7677">
      <w:pPr>
        <w:pStyle w:val="TextoNormal"/>
      </w:pPr>
      <w:r>
        <w:t>“Artículo 34. Usos permitidos en el área de protección ambiental</w:t>
      </w:r>
    </w:p>
    <w:p w14:paraId="073F1A74" w14:textId="77777777" w:rsidR="009D7677" w:rsidRDefault="009D7677" w:rsidP="009D7677">
      <w:pPr>
        <w:pStyle w:val="TextoNormal"/>
      </w:pPr>
    </w:p>
    <w:p w14:paraId="0BBA4C3D" w14:textId="77777777" w:rsidR="009D7677" w:rsidRDefault="009D7677" w:rsidP="009D7677">
      <w:pPr>
        <w:pStyle w:val="TextoNormal"/>
      </w:pPr>
      <w:r>
        <w:t>1. En los términos establecidos en el artículo 31, los planes de ordenación del litoral dispondrán los usos y actividades permitidos al resultar acordes con los objetivos de ordenación señalados en el artículo 33.</w:t>
      </w:r>
    </w:p>
    <w:p w14:paraId="21ADF96B" w14:textId="77777777" w:rsidR="009D7677" w:rsidRDefault="009D7677" w:rsidP="009D7677">
      <w:pPr>
        <w:pStyle w:val="TextoNormal"/>
      </w:pPr>
    </w:p>
    <w:p w14:paraId="7F35430D" w14:textId="77777777" w:rsidR="009D7677" w:rsidRDefault="009D7677" w:rsidP="009D7677">
      <w:pPr>
        <w:pStyle w:val="TextoNormal"/>
      </w:pPr>
      <w:r>
        <w:t>2. En todo caso, podrán realizarse libremente los usos permitidos expresamente en la normativa de costas, medio marino y patrimonio natural y biodiversidad que resulte de aplicación al no causar afección sobre los valores que deben protegerse, y entre ellos los siguientes:</w:t>
      </w:r>
    </w:p>
    <w:p w14:paraId="56576BEA" w14:textId="77777777" w:rsidR="009D7677" w:rsidRDefault="009D7677" w:rsidP="009D7677">
      <w:pPr>
        <w:pStyle w:val="TextoNormal"/>
      </w:pPr>
    </w:p>
    <w:p w14:paraId="4B4647C2" w14:textId="77777777" w:rsidR="009D7677" w:rsidRDefault="009D7677" w:rsidP="009D7677">
      <w:pPr>
        <w:pStyle w:val="TextoNormal"/>
      </w:pPr>
      <w:r>
        <w:t>a) Los usos comunes generales del dominio público marítimo-terrestre recogidos en la normativa de costas, tales como pasear, estar, bañarse, navegar, realizar actividades náutico-deportivas y otros actos semejantes que no requieran obras e instalaciones de ningún tipo y que se realicen según lo dispuesto en su normativa específica.</w:t>
      </w:r>
    </w:p>
    <w:p w14:paraId="25CF68CD" w14:textId="77777777" w:rsidR="009D7677" w:rsidRDefault="009D7677" w:rsidP="009D7677">
      <w:pPr>
        <w:pStyle w:val="TextoNormal"/>
      </w:pPr>
    </w:p>
    <w:p w14:paraId="4F063BDD" w14:textId="77777777" w:rsidR="009D7677" w:rsidRDefault="009D7677" w:rsidP="009D7677">
      <w:pPr>
        <w:pStyle w:val="TextoNormal"/>
      </w:pPr>
      <w:r>
        <w:t>b) Los usos de carácter tradicional permitidos en la normativa del patrimonio natural y la biodiversidad, así como en los instrumentos de ordenación y gestión de los espacios naturales protegidos, al contribuir a la preservación de sus valores y recursos naturales y a la conservación de las relaciones y de los procesos, tanto naturales como socioeconómicos, que han ayudado a su formación y hacen posible su mantenimiento.</w:t>
      </w:r>
    </w:p>
    <w:p w14:paraId="773631BC" w14:textId="77777777" w:rsidR="009D7677" w:rsidRDefault="009D7677" w:rsidP="009D7677">
      <w:pPr>
        <w:pStyle w:val="TextoNormal"/>
      </w:pPr>
    </w:p>
    <w:p w14:paraId="55EBF5F6" w14:textId="77777777" w:rsidR="009D7677" w:rsidRDefault="009D7677" w:rsidP="009D7677">
      <w:pPr>
        <w:pStyle w:val="TextoNormal"/>
      </w:pPr>
      <w:r>
        <w:t>3. Asimismo, estarán permitidos los trabajos necesarios para las actuaciones asociadas a la prevención y extinción de incendios forestales, y entre ellas las necesarias para el mantenimiento de la red de fajas de gestión de biomasa previstas en la legislación sectorial correspondiente”.</w:t>
      </w:r>
    </w:p>
    <w:p w14:paraId="529DB8FC" w14:textId="77777777" w:rsidR="009D7677" w:rsidRDefault="009D7677" w:rsidP="009D7677">
      <w:pPr>
        <w:pStyle w:val="TextoNormal"/>
      </w:pPr>
    </w:p>
    <w:p w14:paraId="363F57BD" w14:textId="77777777" w:rsidR="009D7677" w:rsidRDefault="009D7677" w:rsidP="009D7677">
      <w:pPr>
        <w:pStyle w:val="TextoNormal"/>
      </w:pPr>
      <w:r>
        <w:t>(i) El recurso de inconstitucionalidad se impugnan las letras a) y b) de su apartado 2 y el apartado 3 del art. 34 de la Ley del Parlamento de Galicia 4/2023. La impugnación razona que en el dominio público marítimo-terrestre los usos posibles y prohibidos y las reglas para su utilización, se recogen en la legislación dictada por su titular, el Estado —en la Ley de costas y en el Reglamento general de esta ley— sin que sea posible que la Ley del Parlamento de Galicia 4/2023 sustituya, regule o reproduzca ese régimen. Lo mismo sucede con esa regulación en relación con las servidumbres del dominio público marítimo-terrestre, que admiten normas adicionales de protección que eleven la protección, pero no que la reduzcan.</w:t>
      </w:r>
    </w:p>
    <w:p w14:paraId="5970CCB9" w14:textId="77777777" w:rsidR="009D7677" w:rsidRDefault="009D7677" w:rsidP="009D7677">
      <w:pPr>
        <w:pStyle w:val="TextoNormal"/>
      </w:pPr>
    </w:p>
    <w:p w14:paraId="1F9281E5" w14:textId="77777777" w:rsidR="009D7677" w:rsidRDefault="009D7677" w:rsidP="009D7677">
      <w:pPr>
        <w:pStyle w:val="TextoNormal"/>
      </w:pPr>
      <w:r>
        <w:t>El precepto impugnado no reproduce de manera exacta el art. 31.1 LC, al omitir algunos usos (embarcar, desembarcar, varar, pescar, coger plantas y mariscos) e introducir otros (realizar actividades náutico-deportivas), además de omitir la referencia a la utilización libre, pública y gratuita para los usos comunes. Por otra parte, incluye usos distintos a los indicados en el art. 31.1 LC al referirse a “usos de carácter tradicional permitidos en la normativa de patrimonio natural y de la biodiversidad así como en los instrumentos de ordenación y gestión natural de los espacios naturales protegidos” o los referidos a “los trabajos para las actuaciones asociadas a la prevención y extinción de incendios forestales y, entre ellas, las necesarias para el mantenimiento de la red de fajas de gestión de biomasa previstas en la legislación sectorial correspondiente”.</w:t>
      </w:r>
    </w:p>
    <w:p w14:paraId="2A36765A" w14:textId="77777777" w:rsidR="009D7677" w:rsidRDefault="009D7677" w:rsidP="009D7677">
      <w:pPr>
        <w:pStyle w:val="TextoNormal"/>
      </w:pPr>
    </w:p>
    <w:p w14:paraId="3D28D9A2" w14:textId="77777777" w:rsidR="009D7677" w:rsidRDefault="009D7677" w:rsidP="009D7677">
      <w:pPr>
        <w:pStyle w:val="TextoNormal"/>
      </w:pPr>
      <w:r>
        <w:t>Añade que el art. 45 RGC dispone que actuaciones se pueden realizar, sin necesidad de autorización, en los terrenos afectados por la servidumbre de protección regulada por la normativa de costas. Y tanto el art. 25.2 LC y el 47.3 RGC exigen autorización para determinados usos forestales, como es la tala de árboles.</w:t>
      </w:r>
    </w:p>
    <w:p w14:paraId="0B4A1FE7" w14:textId="77777777" w:rsidR="009D7677" w:rsidRDefault="009D7677" w:rsidP="009D7677">
      <w:pPr>
        <w:pStyle w:val="TextoNormal"/>
      </w:pPr>
    </w:p>
    <w:p w14:paraId="6CE2E809" w14:textId="77777777" w:rsidR="009D7677" w:rsidRDefault="009D7677" w:rsidP="009D7677">
      <w:pPr>
        <w:pStyle w:val="TextoNormal"/>
      </w:pPr>
      <w:r>
        <w:lastRenderedPageBreak/>
        <w:t>(ii) La Xunta de Galicia cuyas alegaciones comprenden prácticamente a las razones esgrimidas por el Parlamento de Galicia, efectúa unas consideraciones previas y comunes a las impugnaciones de los artículos 34, 35, 36, 40 y 41 que han sido expuestas en el antecedente 5 C) y a las que nos remitimos y en las que defiende la constitucionalidad de los mismos por la voluntad de integración normativa —a lo que el Parlamento de Galicia añade la seguridad jurídica y la búsqueda de una mayor protección del espacio— y por el uso de cláusula de salvaguarda (art. 31.1 de la Ley del Parlamento de Galicia 4/2023) y de la de cierre de protección ambiental (art. 43 de la misma ley), así como por la habilitación derivada de los títulos competenciales previstos en los arts. 27.3 y 27.30 EAG.</w:t>
      </w:r>
    </w:p>
    <w:p w14:paraId="2C126FAC" w14:textId="77777777" w:rsidR="009D7677" w:rsidRDefault="009D7677" w:rsidP="009D7677">
      <w:pPr>
        <w:pStyle w:val="TextoNormal"/>
      </w:pPr>
    </w:p>
    <w:p w14:paraId="760A6133" w14:textId="77777777" w:rsidR="009D7677" w:rsidRDefault="009D7677" w:rsidP="009D7677">
      <w:pPr>
        <w:pStyle w:val="TextoNormal"/>
      </w:pPr>
      <w:r>
        <w:t>En relación con el art. 34.2 de la Ley del Parlamento de Galicia 4/2023 indica que la impugnación se limita a reproducir los artículos 24 y ss. LC, pero no señala la contradicción o exceso. Además, el art. 34.2 de la Ley del Parlamento de Galicia 4/2023 señala expresamente “[e]n todo caso, podrán realizarse libremente los usos permitidos expresamente en la normativa de costas, medio marino y patrimonio natural y biodiversidad que resulte de aplicación al no causar afección sobre los valores que deben protegerse”, sin que la omisión de alguna mención del art. 31.1 LC pueda ser vicio de inconstitucionalidad (STC 8/2012, FJ 5). Se ha pretendido recoger en un único texto legal los diversos usos, respetando el marco competencial, en el que la comunidad autónoma tiene competencia para ordenar usos, respetando los límites máximos y mínimos establecidos por el legislador estatal y la reiteración resulta imprescindible para lograr una ordenación y gestión integrada.</w:t>
      </w:r>
    </w:p>
    <w:p w14:paraId="3A2244E7" w14:textId="77777777" w:rsidR="009D7677" w:rsidRDefault="009D7677" w:rsidP="009D7677">
      <w:pPr>
        <w:pStyle w:val="TextoNormal"/>
      </w:pPr>
    </w:p>
    <w:p w14:paraId="02E8D943" w14:textId="77777777" w:rsidR="009D7677" w:rsidRDefault="009D7677" w:rsidP="009D7677">
      <w:pPr>
        <w:pStyle w:val="TextoNormal"/>
      </w:pPr>
      <w:r>
        <w:t>Critica que la impugnación del art. 34.3 de la Ley del Parlamento de Galicia 4/2023 —que permite trabajos necesarios para actuaciones asociadas a la prevención de incendios forestales—, se limite a señalar que se trata de usos distintos a los indicados en el art. 31.1 LC. Considera que dicha norma debe considerarse una norma adicional de protección —que no perjudica el dominio público marítimo-terrestre—, asociada a la prevención y extinción de incendios forestales, que se contempla en la Ley del Parlamento de Galicia 3/2007, de 9 de abril, de prevención y defensa contra los incendios forestales de Galicia.</w:t>
      </w:r>
    </w:p>
    <w:p w14:paraId="6A05B34A" w14:textId="77777777" w:rsidR="009D7677" w:rsidRDefault="009D7677" w:rsidP="009D7677">
      <w:pPr>
        <w:pStyle w:val="TextoNormal"/>
      </w:pPr>
    </w:p>
    <w:p w14:paraId="02EA1110" w14:textId="77777777" w:rsidR="009D7677" w:rsidRDefault="009D7677" w:rsidP="009D7677">
      <w:pPr>
        <w:pStyle w:val="TextoNormal"/>
      </w:pPr>
      <w:r>
        <w:t>(iii) Debemos desestimar la impugnación de las letras a) y b) del apartado 2 y el apartado 3 del art. 34 de la Ley del Parlamento de Galicia 4/2023.</w:t>
      </w:r>
    </w:p>
    <w:p w14:paraId="72DDEABB" w14:textId="77777777" w:rsidR="009D7677" w:rsidRDefault="009D7677" w:rsidP="009D7677">
      <w:pPr>
        <w:pStyle w:val="TextoNormal"/>
      </w:pPr>
    </w:p>
    <w:p w14:paraId="1D13C85C" w14:textId="77777777" w:rsidR="009D7677" w:rsidRDefault="009D7677" w:rsidP="009D7677">
      <w:pPr>
        <w:pStyle w:val="TextoNormal"/>
      </w:pPr>
      <w:r>
        <w:t>Con carácter previo es preciso efectuar algunas consideraciones generales que establezcan el contexto en el que debe ser examinado el artículo y que servirá también para resolver las impugnaciones de los arts. 34, 36, 40, 41 y 46.2 de la Ley del Parlamento de Galicia 4/2023, al que nos remitiremos cuando examinemos la impugnación de los mismos.</w:t>
      </w:r>
    </w:p>
    <w:p w14:paraId="0B9CA3C1" w14:textId="77777777" w:rsidR="009D7677" w:rsidRDefault="009D7677" w:rsidP="009D7677">
      <w:pPr>
        <w:pStyle w:val="TextoNormal"/>
      </w:pPr>
    </w:p>
    <w:p w14:paraId="3B0E8281" w14:textId="77777777" w:rsidR="009D7677" w:rsidRDefault="009D7677" w:rsidP="009D7677">
      <w:pPr>
        <w:pStyle w:val="TextoNormal"/>
      </w:pPr>
      <w:r>
        <w:t>La Ley del Parlamento de Galicia 4/2023 aspira a la ordenación y gestión integrada del litoral de Galicia, “en el marco de las competencias atribuidas a la Comunidad Autónoma de Galicia en la Constitución española y en el estatuto de autonomía” (art. 1.1). El litoral de Galicia, objeto de regulación, “se extiende hacia el interior, hasta el límite administrativo de los ayuntamientos costeros o, cuando lo supere, el límite interior de los espacios naturales que radiquen en ellos; y mar adentro, hasta el límite exterior del mar territorial” (art. 2.2), esto es no se detiene en el dominio público marítimo-terrestre y la zona de servidumbre de protección.</w:t>
      </w:r>
    </w:p>
    <w:p w14:paraId="4DE84020" w14:textId="77777777" w:rsidR="009D7677" w:rsidRDefault="009D7677" w:rsidP="009D7677">
      <w:pPr>
        <w:pStyle w:val="TextoNormal"/>
      </w:pPr>
    </w:p>
    <w:p w14:paraId="6E9271F6" w14:textId="77777777" w:rsidR="009D7677" w:rsidRDefault="009D7677" w:rsidP="009D7677">
      <w:pPr>
        <w:pStyle w:val="TextoNormal"/>
      </w:pPr>
      <w:r>
        <w:lastRenderedPageBreak/>
        <w:t>La Ley del Parlamento de Galicia 4/2023 distingue tres clases de espacios agrupados para su ordenación por áreas, en función de sus condiciones y de las acciones que corresponde emprender sobre ellos: área de protección ambiental, área de mejora ambiental y paisajística y área de reordenación. La ley regula los usos en cada una de las áreas en las que se zonifica el litoral, en función de su grado de adecuación a los objetivos de ordenación establecidos y lo hace “sin perjuicio de lo dispuesto en la normativa de costas y medio marino y del ejercicio por la Administración General del Estado de las facultades que le corresponden en su condición de titular del dominio público marítimo-terrestre” (art. 31 de la Ley del Parlamento de Galicia 4/2023).</w:t>
      </w:r>
    </w:p>
    <w:p w14:paraId="207B7488" w14:textId="77777777" w:rsidR="009D7677" w:rsidRDefault="009D7677" w:rsidP="009D7677">
      <w:pPr>
        <w:pStyle w:val="TextoNormal"/>
      </w:pPr>
    </w:p>
    <w:p w14:paraId="09EED9AB" w14:textId="77777777" w:rsidR="009D7677" w:rsidRDefault="009D7677" w:rsidP="009D7677">
      <w:pPr>
        <w:pStyle w:val="TextoNormal"/>
      </w:pPr>
      <w:r>
        <w:t>En lo que ahora interesa, a los efectos de delimitación de facultades y competencias, el área de protección ambiental comprende espacios de dominio público marítimo-terrestre, que mantengan ciertas características, el mar territorial y las aguas interiores y también terrenos correspondientes a la zona de servidumbre de protección (art. 32 de la Ley del Parlamento de Galicia 4/2023). El área de mejora ambiental y paisajística incluye bienes del dominio público marítimo-terrestre no incluidos en el área de protección ambiental, con alguna excepción, terrenos de la zona de servidumbre de protección y otros (art. 38). Y, finalmente el área de reordenación incluye los espacios no incluidos en el área de mejora ambiental y paisajística y área de protección ambiental y los comprendidos en la zona de servicio de los puertos autonómicos y en la zona de servidumbre de protección de veinte metros regulada en la disposición transitoria tercera LC (art. 44.2).</w:t>
      </w:r>
    </w:p>
    <w:p w14:paraId="33167C22" w14:textId="77777777" w:rsidR="009D7677" w:rsidRDefault="009D7677" w:rsidP="009D7677">
      <w:pPr>
        <w:pStyle w:val="TextoNormal"/>
      </w:pPr>
    </w:p>
    <w:p w14:paraId="68376C11" w14:textId="77777777" w:rsidR="009D7677" w:rsidRDefault="009D7677" w:rsidP="009D7677">
      <w:pPr>
        <w:pStyle w:val="TextoNormal"/>
      </w:pPr>
      <w:r>
        <w:t>Esta particular delimitación del litoral gallego no plantea problemática competencial alguna —de hecho, los arts. 30 y 31 de la Ley del Parlamento de Galicia 4/2023 no son objeto de impugnación—, la controversia se suscita en la regulación de los usos de cada una de las tres zonas y su compatibilidad con la previsión de usos, limitaciones y prohibiciones que rigen en el dominio público marítimo-terrestre y la zona de servidumbre de protección, establecida en la Ley de costas.</w:t>
      </w:r>
    </w:p>
    <w:p w14:paraId="0C09199E" w14:textId="77777777" w:rsidR="009D7677" w:rsidRDefault="009D7677" w:rsidP="009D7677">
      <w:pPr>
        <w:pStyle w:val="TextoNormal"/>
      </w:pPr>
    </w:p>
    <w:p w14:paraId="10F72562" w14:textId="77777777" w:rsidR="009D7677" w:rsidRDefault="009D7677" w:rsidP="009D7677">
      <w:pPr>
        <w:pStyle w:val="TextoNormal"/>
      </w:pPr>
      <w:r>
        <w:t>Debe indicarse, con carácter general, que el dominio público puede ser objeto de tres tipos de uso que se definen en el art. 85 de la Ley 3/2003, de 23 de noviembre, de patrimonio de las administraciones públicas. Son categorías generales de tipos de uso que luego se especifican o se concretan en las leyes especiales de cada tipo de bienes de dominio público (en este caso, el dominio público marítimo-terrestre y la zona de servidumbre de protección en la Ley de costas) y que se concretan en las tres siguientes:</w:t>
      </w:r>
    </w:p>
    <w:p w14:paraId="6B1FB1C2" w14:textId="77777777" w:rsidR="009D7677" w:rsidRDefault="009D7677" w:rsidP="009D7677">
      <w:pPr>
        <w:pStyle w:val="TextoNormal"/>
      </w:pPr>
    </w:p>
    <w:p w14:paraId="547B070B" w14:textId="77777777" w:rsidR="009D7677" w:rsidRDefault="009D7677" w:rsidP="009D7677">
      <w:pPr>
        <w:pStyle w:val="TextoNormal"/>
      </w:pPr>
      <w:r>
        <w:t>Uso común general, que no precisa título habilitante y es el que “corresponde por igual y de forma indistinta a todos los ciudadanos, de modo que el uso por unos no impide el de los demás interesados”.</w:t>
      </w:r>
    </w:p>
    <w:p w14:paraId="7AAF2726" w14:textId="77777777" w:rsidR="009D7677" w:rsidRDefault="009D7677" w:rsidP="009D7677">
      <w:pPr>
        <w:pStyle w:val="TextoNormal"/>
      </w:pPr>
    </w:p>
    <w:p w14:paraId="3D90B745" w14:textId="77777777" w:rsidR="009D7677" w:rsidRDefault="009D7677" w:rsidP="009D7677">
      <w:pPr>
        <w:pStyle w:val="TextoNormal"/>
      </w:pPr>
      <w:r>
        <w:t>Uso común especial, que requiere título habilitante —autorización o concesión según los casos— y es “el que, sin impedir el uso común, supone la concurrencia de circunstancias tales como la peligrosidad o intensidad del mismo, preferencia en casos de escasez, la obtención de una rentabilidad singular u otras semejantes, que determinan un exceso de utilización sobre el uso que corresponde a todos o un menoscabo de este”.</w:t>
      </w:r>
    </w:p>
    <w:p w14:paraId="1A5CD61F" w14:textId="77777777" w:rsidR="009D7677" w:rsidRDefault="009D7677" w:rsidP="009D7677">
      <w:pPr>
        <w:pStyle w:val="TextoNormal"/>
      </w:pPr>
    </w:p>
    <w:p w14:paraId="6A28E52D" w14:textId="77777777" w:rsidR="009D7677" w:rsidRDefault="009D7677" w:rsidP="009D7677">
      <w:pPr>
        <w:pStyle w:val="TextoNormal"/>
      </w:pPr>
      <w:r>
        <w:lastRenderedPageBreak/>
        <w:t>Y, finalmente, un uso privativo, que exige concesión, y es el que “determina la ocupación de una porción del dominio público, de modo que se limita o excluye la utilización del mismo por otros interesados”.</w:t>
      </w:r>
    </w:p>
    <w:p w14:paraId="41F470D5" w14:textId="77777777" w:rsidR="009D7677" w:rsidRDefault="009D7677" w:rsidP="009D7677">
      <w:pPr>
        <w:pStyle w:val="TextoNormal"/>
      </w:pPr>
    </w:p>
    <w:p w14:paraId="7DBE7E8A" w14:textId="77777777" w:rsidR="009D7677" w:rsidRDefault="009D7677" w:rsidP="009D7677">
      <w:pPr>
        <w:pStyle w:val="TextoNormal"/>
      </w:pPr>
      <w:r>
        <w:t>Partiendo de estas categorías generales la Ley de costas regula los usos del dominio público en los arts. 31 y 32. No se refiere expresamente a estas tres categorías definidas en la Ley de patrimonio de las administraciones públicas, pero las mismas están claramente identificadas. El uso común libre, público y gratuito, está definido en el art. 31.1 LC. El aprovechamiento especial o uso común especial, cuando “concurran circunstancias especiales de intensidad, peligrosidad o rentabilidad” o en todo caso, “requieran la ejecución de obras e instalaciones” está definido en el art. 31.2 LC y, finalmente el uso privativo, es decir, la ocupación se regula en el art. 32 LC, que “[ú]nicamente se podrá permitir la ocupación del dominio público marítimo-terrestre para aquellas actividades o instalaciones que, por su naturaleza, no puedan tener otra ubicación”. No cabe uso privativo del demanio, si la actividad o instalación, por su naturaleza, pueda realizarse fuera del mismo.</w:t>
      </w:r>
    </w:p>
    <w:p w14:paraId="54FD61C8" w14:textId="77777777" w:rsidR="009D7677" w:rsidRDefault="009D7677" w:rsidP="009D7677">
      <w:pPr>
        <w:pStyle w:val="TextoNormal"/>
      </w:pPr>
    </w:p>
    <w:p w14:paraId="7AD6940A" w14:textId="77777777" w:rsidR="009D7677" w:rsidRDefault="009D7677" w:rsidP="009D7677">
      <w:pPr>
        <w:pStyle w:val="TextoNormal"/>
      </w:pPr>
      <w:r>
        <w:t>Los arts. 34, 35, 36 y los arts. 40, 41 y 42 —este último no impugnado— de la Ley del Parlamento de Galicia 4/2023 identifican y regulan estos usos como permitidos —esto es, el uso común general—, compatibles —que comprenden tanto el uso común especial como el uso privativo—, y, finalmente prohibidos en relación respectivamente con el área de protección ambiental y el área de mejora ambiental y paisajística. Asimismo, el art. 46.2 y 3 regula los usos compatibles, así como los usos prohibidos en el área de reordenación que afectan tanto al dominio público marítimo-terrestre como a la zona de servidumbre de protección.</w:t>
      </w:r>
    </w:p>
    <w:p w14:paraId="5D153C6D" w14:textId="77777777" w:rsidR="009D7677" w:rsidRDefault="009D7677" w:rsidP="009D7677">
      <w:pPr>
        <w:pStyle w:val="TextoNormal"/>
      </w:pPr>
    </w:p>
    <w:p w14:paraId="614C212F" w14:textId="77777777" w:rsidR="009D7677" w:rsidRDefault="009D7677" w:rsidP="009D7677">
      <w:pPr>
        <w:pStyle w:val="TextoNormal"/>
      </w:pPr>
      <w:r>
        <w:t>En todo caso, conviene indicar que dicha regulación, contenida en el título III de la Ley del Parlamento de Galicia 4/2023, intitulado “Usos y actividades del litoral” (arts. 29 a 53), se inicia con el capítulo I “Disposiciones generales”, en el que se indica expresamente que “[l]a presente ley regula los usos en cada una de las áreas en las que se zonifica el litoral, en función de su grado de adecuación a los objetivos de ordenación establecidos y sin perjuicio de lo dispuesto en la normativa de costas y medio marino y del ejercicio por la Administración general del Estado de las facultades que le corresponden en su condición de titular del dominio público marítimo-terrestre” (art. 31). A lo que debe añadirse, que los capítulos II y III, relativos al área de protección ambiental y al área de mejora ambiental y paisajística, se cierran con los arts. 37 y 43, de idéntico tenor literal: “[s]i sobre un mismo espacio confluyen normas o planes de ordenación con regímenes de uso diversos, será de aplicación la regla que suponga mayor protección del espacio”.</w:t>
      </w:r>
    </w:p>
    <w:p w14:paraId="1E7B7323" w14:textId="77777777" w:rsidR="009D7677" w:rsidRDefault="009D7677" w:rsidP="009D7677">
      <w:pPr>
        <w:pStyle w:val="TextoNormal"/>
      </w:pPr>
    </w:p>
    <w:p w14:paraId="523B244E" w14:textId="77777777" w:rsidR="009D7677" w:rsidRDefault="009D7677" w:rsidP="009D7677">
      <w:pPr>
        <w:pStyle w:val="TextoNormal"/>
      </w:pPr>
      <w:r>
        <w:t xml:space="preserve">En este marco de consideraciones previas, conviene recordar que las facultades y competencias del Estado sobre el dominio público marítimo-terrestre y sobre los terrenos de especial protección han sido expuestas en el fundamento 5 B) anterior al que nos remitimos. Baste insistir ahora que en relación con el dominio público marítimo-terrestre el Estado tiene la facultad y la obligación de establecer el régimen jurídico de los bienes que lo integran, como necesidad jurídico-positiva constitucional, a fin de que su naturaleza y características no sean destruidas o alteradas y también para asegurar el libre acceso. Dichas finalidades pese a ser distintas están íntimamente conectadas, pues la decisión sobre los usos permitidos incidirá en la protección del demanio y la decisión sobre una mayor preservación del demanio afectará al libre acceso. Es el Estado quien no solo está facultado, </w:t>
      </w:r>
      <w:r>
        <w:lastRenderedPageBreak/>
        <w:t>sino que debe definir las utilizaciones del demanio y el uso que sus propietarios pueden hacer de los terrenos colindantes con él.</w:t>
      </w:r>
    </w:p>
    <w:p w14:paraId="2CE77CBF" w14:textId="77777777" w:rsidR="009D7677" w:rsidRDefault="009D7677" w:rsidP="009D7677">
      <w:pPr>
        <w:pStyle w:val="TextoNormal"/>
      </w:pPr>
    </w:p>
    <w:p w14:paraId="6199CD3F" w14:textId="77777777" w:rsidR="009D7677" w:rsidRDefault="009D7677" w:rsidP="009D7677">
      <w:pPr>
        <w:pStyle w:val="TextoNormal"/>
      </w:pPr>
      <w:r>
        <w:t>El ejercicio de esa facultad sobre el dominio público marítimo-terrestre no impide el ejercicio de las competencias de las distintas administraciones no titulares del demanio que incidan sobre el mismo, siempre que al hacerlo no contraríe o desvirtúe las medidas definidas por el Estado que actualmente se encuentran en la Ley de costas y en el Reglamento general de costas (STC 46/2007, FJ 12).</w:t>
      </w:r>
    </w:p>
    <w:p w14:paraId="659D029B" w14:textId="77777777" w:rsidR="009D7677" w:rsidRDefault="009D7677" w:rsidP="009D7677">
      <w:pPr>
        <w:pStyle w:val="TextoNormal"/>
      </w:pPr>
    </w:p>
    <w:p w14:paraId="59573249" w14:textId="77777777" w:rsidR="009D7677" w:rsidRDefault="009D7677" w:rsidP="009D7677">
      <w:pPr>
        <w:pStyle w:val="TextoNormal"/>
      </w:pPr>
      <w:r>
        <w:t>Ahora bien, “[e]n lo que toca a los terrenos colindantes es claro, sin embargo, que tal titularidad no existe y que la articulación entre la obligación estatal de proteger las características propias del dominio público marítimo-terrestre y asegurar su libre uso público ha de hacerse apoyándose en otras competencias reservadas al Estado en exclusiva por el art. 149.1 CE. Entre éstas, y aparte otras competencias sectoriales que legitiman la acción normativa e incluso ejecutiva del Estado en supuestos concretos (así las enunciadas en los párrafos 4, 8, 13, 20, 21 o 24 del citado art. 149.1 CE), son dos los títulos competenciales, por así decir generales, a los que se ha de acudir para resolver conforme a la Constitución el problema que plantea la antes mencionada articulación”, los previstos en el 149.1.1 y 23 CE [STC 149/1991, FJ 1 D)].</w:t>
      </w:r>
    </w:p>
    <w:p w14:paraId="5062C4D7" w14:textId="77777777" w:rsidR="009D7677" w:rsidRDefault="009D7677" w:rsidP="009D7677">
      <w:pPr>
        <w:pStyle w:val="TextoNormal"/>
      </w:pPr>
    </w:p>
    <w:p w14:paraId="6604D37A" w14:textId="77777777" w:rsidR="009D7677" w:rsidRDefault="009D7677" w:rsidP="009D7677">
      <w:pPr>
        <w:pStyle w:val="TextoNormal"/>
      </w:pPr>
      <w:r>
        <w:t>Atendido este último (art. 149.1.23 CE), debe indicarse que la protección de la naturaleza es la finalidad inmediata que persiguen las normas limitativas del uso de los terrenos colindantes y “es a partir de esa finalidad primaria como se han de articular, para respetar la delimitación competencial que impone el bloque de la constitucionalidad, la obligación que al legislador estatal impone el art. 132.2 de la CE y las competencias asumidas por las comunidades autónomas”, de modo que “en materia de medio ambiente el deber estatal de dejar un margen al desarrollo de la legislación básica por la normativa autonómica es menor que en otros ámbitos” [STC 149/1991, FJ 1 D)], pudiendo estas dictar únicamente normas adicionales de protección.</w:t>
      </w:r>
    </w:p>
    <w:p w14:paraId="2E129822" w14:textId="77777777" w:rsidR="009D7677" w:rsidRDefault="009D7677" w:rsidP="009D7677">
      <w:pPr>
        <w:pStyle w:val="TextoNormal"/>
      </w:pPr>
    </w:p>
    <w:p w14:paraId="7CAF8B46" w14:textId="77777777" w:rsidR="009D7677" w:rsidRDefault="009D7677" w:rsidP="009D7677">
      <w:pPr>
        <w:pStyle w:val="TextoNormal"/>
      </w:pPr>
      <w:r>
        <w:t>Expuestas estas consideraciones generales a las que nos remitiremos al resolver las impugnaciones de los arts. 36, 40, 41 y 46.2 de la Ley del Parlamento de Galicia 4/2023, estamos en condiciones de afirmar que la impugnación del art. 34.2 a) y b) de la misma ley, que determina los usos que en todo caso están permitidos en el área de protección ambiental no se extralimita en su competencia de ordenación de litoral.</w:t>
      </w:r>
    </w:p>
    <w:p w14:paraId="20A3A793" w14:textId="77777777" w:rsidR="009D7677" w:rsidRDefault="009D7677" w:rsidP="009D7677">
      <w:pPr>
        <w:pStyle w:val="TextoNormal"/>
      </w:pPr>
    </w:p>
    <w:p w14:paraId="431F1971" w14:textId="77777777" w:rsidR="009D7677" w:rsidRDefault="009D7677" w:rsidP="009D7677">
      <w:pPr>
        <w:pStyle w:val="TextoNormal"/>
      </w:pPr>
      <w:r>
        <w:t>En efecto, el art. 34.2 a) de la Ley del Parlamento de Galicia 4/2023 incluye dentro de los usos comunes generales del dominio público marítimo-terrestre “realizar actividades náutico-deportivas y otros actos semejantes”. Es cierto, como afirma el abogado del Estado, que dichas actividades “náutico-deportivas” no se encuentran entre las previstas en el art. 31.1 LC. También lo es que el precepto impugnado omite otros usos comunes, que el art. 31.1 LC y el art. 60.1 RGC sí incluyen: “embarcar y desembarcar, varar, pescar, coger plantas y mariscos”, y que no hace referencia alguna a la característica propia de tales usos, esto es, su libre utilización pública y gratuita y acordes a la naturaleza del dominio público marítimo-terrestre (art. 31.1 LC). Ahora bien, tales defectos de técnica legislativa no implican contradicción alguna con la normativa estatal.</w:t>
      </w:r>
    </w:p>
    <w:p w14:paraId="2EF817DE" w14:textId="77777777" w:rsidR="009D7677" w:rsidRDefault="009D7677" w:rsidP="009D7677">
      <w:pPr>
        <w:pStyle w:val="TextoNormal"/>
      </w:pPr>
    </w:p>
    <w:p w14:paraId="44B74870" w14:textId="77777777" w:rsidR="009D7677" w:rsidRDefault="009D7677" w:rsidP="009D7677">
      <w:pPr>
        <w:pStyle w:val="TextoNormal"/>
      </w:pPr>
      <w:r>
        <w:lastRenderedPageBreak/>
        <w:t>Por una parte, que el precepto considere a la actividad náutico-deportiva de uso común general, no implica que sí por sus concretas características y circunstancias tuviera una especial intensidad o peligrosidad, su realización se viera liberada de la necesaria intervención administrativa que exige el art. 31.2 LC [declarado constitucional por STC 149/1991, FJ 4 B) a)]. Los citados arts. 31 y 37 de la Ley del Parlamento de Galicia 4/2023 lo impiden al incluir respectivamente la referida cláusula de salvaguarda de las competencias estatales, “sin perjuicio de lo dispuesto en la normativa de costas” [cuya relevancia es tratada en la STC 116/2017, de 19 de octubre, FJ 3 d), parcialmente reproducida en el fundamento 3 d) anterior] y la cláusula mayor protección ambiental, por la que se aplica “la regla que suponga mayor protección del espacio”.</w:t>
      </w:r>
    </w:p>
    <w:p w14:paraId="57062E74" w14:textId="77777777" w:rsidR="009D7677" w:rsidRDefault="009D7677" w:rsidP="009D7677">
      <w:pPr>
        <w:pStyle w:val="TextoNormal"/>
      </w:pPr>
    </w:p>
    <w:p w14:paraId="2019A6A7" w14:textId="77777777" w:rsidR="009D7677" w:rsidRDefault="009D7677" w:rsidP="009D7677">
      <w:pPr>
        <w:pStyle w:val="TextoNormal"/>
      </w:pPr>
      <w:r>
        <w:t>A ello debe añadirse que el art. 31.1 LC califica de uso común general otros semejantes “que no requieran obras e instalaciones de ningún tipo” y en abstracto no parece que tales actividades náutico-deportivas las requieran.</w:t>
      </w:r>
    </w:p>
    <w:p w14:paraId="1252FFBE" w14:textId="77777777" w:rsidR="009D7677" w:rsidRDefault="009D7677" w:rsidP="009D7677">
      <w:pPr>
        <w:pStyle w:val="TextoNormal"/>
      </w:pPr>
    </w:p>
    <w:p w14:paraId="10F53339" w14:textId="77777777" w:rsidR="009D7677" w:rsidRDefault="009D7677" w:rsidP="009D7677">
      <w:pPr>
        <w:pStyle w:val="TextoNormal"/>
      </w:pPr>
      <w:r>
        <w:t>Baste destacar que el control que lleva a cabo el Tribunal Constitucional en los recursos de inconstitucionalidad “es un control de carácter abstracto de la norma impugnada, desvinculado de cualquier consideración concreta sobre su aplicación a un específico supuesto de hecho […] debiendo limitarnos a contrastar de manera abstracta el precepto recurrido y las normas y principios constitucionales que se estiman infringidos” [STC 185/2016, de 3 de noviembre, FJ 7 b)].</w:t>
      </w:r>
    </w:p>
    <w:p w14:paraId="7EDD7A37" w14:textId="77777777" w:rsidR="009D7677" w:rsidRDefault="009D7677" w:rsidP="009D7677">
      <w:pPr>
        <w:pStyle w:val="TextoNormal"/>
      </w:pPr>
    </w:p>
    <w:p w14:paraId="65643BC9" w14:textId="77777777" w:rsidR="009D7677" w:rsidRDefault="009D7677" w:rsidP="009D7677">
      <w:pPr>
        <w:pStyle w:val="TextoNormal"/>
      </w:pPr>
      <w:r>
        <w:t>Finalmente debe recordarse que las omisiones de previsiones estatales que puedan existir en la legislación autonómica no la vician de inconstitucionalidad, pues aquellas mantienen su vigencia con independencia de que sean recordadas o no por el legislador autonómico (STC 5/1982, FJ 2).</w:t>
      </w:r>
    </w:p>
    <w:p w14:paraId="7DEED128" w14:textId="77777777" w:rsidR="009D7677" w:rsidRDefault="009D7677" w:rsidP="009D7677">
      <w:pPr>
        <w:pStyle w:val="TextoNormal"/>
      </w:pPr>
    </w:p>
    <w:p w14:paraId="377E62B3" w14:textId="77777777" w:rsidR="009D7677" w:rsidRDefault="009D7677" w:rsidP="009D7677">
      <w:pPr>
        <w:pStyle w:val="TextoNormal"/>
      </w:pPr>
      <w:r>
        <w:t>En segundo lugar, estas mismas consideraciones las podemos proyectar para desestimar la impugnación en relación con el art. 34.2 b) de la Ley del Parlamento de Galicia 4/2023, cuando dicho precepto considera como usos permitidos a los de carácter tradicional permitidos en la normativa del patrimonio natural y la biodiversidad. El precepto cuestionado se está refiriendo a los usos contemplados en el art. 69.2 de la Ley del Parlamento de Galicia 5/2019, de 2 de agosto, del patrimonio natural y de la biodiversidad de Galicia. Idéntica conclusión se ha de alcanzar en relación con el art. 34.3 de la ley controvertida, que se refiere a los trabajos necesarios para las actuaciones asociadas a la prevención y extinción de incendios forestales, y entre ellas las necesarias para el mantenimiento de la red de fajas de gestión de biomasa, que necesariamente remite a la Ley del Parlamento de Galicia 3/2007, de 9 de abril, de prevención y defensa contra los incendios forestales de Galicia.</w:t>
      </w:r>
    </w:p>
    <w:p w14:paraId="5855FF9B" w14:textId="77777777" w:rsidR="009D7677" w:rsidRDefault="009D7677" w:rsidP="009D7677">
      <w:pPr>
        <w:pStyle w:val="TextoNormal"/>
      </w:pPr>
    </w:p>
    <w:p w14:paraId="7E5F92CD" w14:textId="77777777" w:rsidR="009D7677" w:rsidRDefault="009D7677" w:rsidP="009D7677">
      <w:pPr>
        <w:pStyle w:val="TextoNormal"/>
      </w:pPr>
      <w:r>
        <w:t xml:space="preserve">A ello debe añadirse que el área de protección ambiental comprende los espacios de dominio público marítimo-terrestre, que mantengan ciertas características, el mar territorial y las aguas interiores y también terrenos correspondientes a la zona de servidumbre de protección (art. 32 de la Ley del Parlamento de Galicia 4/2023). Los arts. 34.2 b) y 34.3 de la misma ley se limitan a identificar, de modo general y sin modificación alguna de la normativa de costas, el sistema normativo de referencia en esta área de protección ambiental, en aras a la pretendida gestión integrada del litoral, sin que, atendido el carácter abstracto del control de la norma en los recursos de inconstitucionalidad —conforme a lo indicado en el fundamento 3 b) de la presente sentencia—, se aprecie contradicción entre los </w:t>
      </w:r>
      <w:r>
        <w:lastRenderedPageBreak/>
        <w:t>usos de carácter tradicional o los trabajos necesarios para las actuaciones asociadas a la prevención y extinción de incendios de incendios y la Ley de costas.</w:t>
      </w:r>
    </w:p>
    <w:p w14:paraId="2F31A151" w14:textId="77777777" w:rsidR="009D7677" w:rsidRDefault="009D7677" w:rsidP="009D7677">
      <w:pPr>
        <w:pStyle w:val="TextoNormal"/>
      </w:pPr>
    </w:p>
    <w:p w14:paraId="7898FF5D" w14:textId="77777777" w:rsidR="009D7677" w:rsidRDefault="009D7677" w:rsidP="009D7677">
      <w:pPr>
        <w:pStyle w:val="TextoNormal"/>
      </w:pPr>
      <w:r>
        <w:t>Por tanto, la impugnación del art. 34.2 a) y b) y del art. 34.3 de la Ley del Parlamento de Galicia 4/2023 debe ser desestimada.</w:t>
      </w:r>
    </w:p>
    <w:p w14:paraId="59881DB1" w14:textId="77777777" w:rsidR="009D7677" w:rsidRDefault="009D7677" w:rsidP="009D7677">
      <w:pPr>
        <w:pStyle w:val="TextoNormal"/>
      </w:pPr>
    </w:p>
    <w:p w14:paraId="3F68DEE9" w14:textId="77777777" w:rsidR="009D7677" w:rsidRDefault="009D7677" w:rsidP="009D7677">
      <w:pPr>
        <w:pStyle w:val="TextoNormal"/>
      </w:pPr>
      <w:r>
        <w:t>c) Impugnación del art. 35.2 a) b) y c) de la Ley del Parlamento de Galicia 4/2023</w:t>
      </w:r>
    </w:p>
    <w:p w14:paraId="69FEC685" w14:textId="77777777" w:rsidR="009D7677" w:rsidRDefault="009D7677" w:rsidP="009D7677">
      <w:pPr>
        <w:pStyle w:val="TextoNormal"/>
      </w:pPr>
    </w:p>
    <w:p w14:paraId="03AD6F49" w14:textId="77777777" w:rsidR="009D7677" w:rsidRDefault="009D7677" w:rsidP="009D7677">
      <w:pPr>
        <w:pStyle w:val="TextoNormal"/>
      </w:pPr>
      <w:r>
        <w:t>El art. 35.2 a) b) y c) tiene el siguiente tenor literal:</w:t>
      </w:r>
    </w:p>
    <w:p w14:paraId="32515ADF" w14:textId="77777777" w:rsidR="009D7677" w:rsidRDefault="009D7677" w:rsidP="009D7677">
      <w:pPr>
        <w:pStyle w:val="TextoNormal"/>
      </w:pPr>
    </w:p>
    <w:p w14:paraId="10CA7658" w14:textId="77777777" w:rsidR="009D7677" w:rsidRDefault="009D7677" w:rsidP="009D7677">
      <w:pPr>
        <w:pStyle w:val="TextoNormal"/>
      </w:pPr>
      <w:r>
        <w:t>“Artículo 35. Usos compatibles en el área de protección ambiental</w:t>
      </w:r>
    </w:p>
    <w:p w14:paraId="7E9F34D2" w14:textId="77777777" w:rsidR="009D7677" w:rsidRDefault="009D7677" w:rsidP="009D7677">
      <w:pPr>
        <w:pStyle w:val="TextoNormal"/>
      </w:pPr>
    </w:p>
    <w:p w14:paraId="7E77402D" w14:textId="77777777" w:rsidR="009D7677" w:rsidRDefault="009D7677" w:rsidP="009D7677">
      <w:pPr>
        <w:pStyle w:val="TextoNormal"/>
      </w:pPr>
      <w:r>
        <w:t>1. En los términos establecidos en el artículo 31, los planes de ordenación del litoral dispondrán los usos y actividades compatibles con los objetivos de ordenación señalados en el artículo 33.</w:t>
      </w:r>
    </w:p>
    <w:p w14:paraId="76436EE1" w14:textId="77777777" w:rsidR="009D7677" w:rsidRDefault="009D7677" w:rsidP="009D7677">
      <w:pPr>
        <w:pStyle w:val="TextoNormal"/>
      </w:pPr>
    </w:p>
    <w:p w14:paraId="2CF1C9CC" w14:textId="77777777" w:rsidR="009D7677" w:rsidRDefault="009D7677" w:rsidP="009D7677">
      <w:pPr>
        <w:pStyle w:val="TextoNormal"/>
      </w:pPr>
      <w:r>
        <w:t>2. En todo caso, son usos compatibles y, por lo tanto, sujetos a intervención administrativa previa, los susceptibles de causar afección sobre los valores naturales de los espacios, y entre ellos los siguientes:</w:t>
      </w:r>
    </w:p>
    <w:p w14:paraId="2C1542F9" w14:textId="77777777" w:rsidR="009D7677" w:rsidRDefault="009D7677" w:rsidP="009D7677">
      <w:pPr>
        <w:pStyle w:val="TextoNormal"/>
      </w:pPr>
    </w:p>
    <w:p w14:paraId="34B38A68" w14:textId="77777777" w:rsidR="009D7677" w:rsidRDefault="009D7677" w:rsidP="009D7677">
      <w:pPr>
        <w:pStyle w:val="TextoNormal"/>
      </w:pPr>
      <w:r>
        <w:t>a) Los usos comunes especiales del dominio público marítimo-terrestre, es decir, los que, sin impedir el uso común, suponen la concurrencia de circunstancias tales como el peligro o la intensidad de este, la preferencia en casos de escasez, la obtención de una rentabilidad singular u otras semejantes, que determinan un exceso de utilización sobre el uso que corresponde a todos o un menoscabo de este, en los términos establecidos en la normativa de costas y medio marino.</w:t>
      </w:r>
    </w:p>
    <w:p w14:paraId="0C76C45B" w14:textId="77777777" w:rsidR="009D7677" w:rsidRDefault="009D7677" w:rsidP="009D7677">
      <w:pPr>
        <w:pStyle w:val="TextoNormal"/>
      </w:pPr>
    </w:p>
    <w:p w14:paraId="2331A752" w14:textId="77777777" w:rsidR="009D7677" w:rsidRDefault="009D7677" w:rsidP="009D7677">
      <w:pPr>
        <w:pStyle w:val="TextoNormal"/>
      </w:pPr>
      <w:r>
        <w:t>b) Los usos privativos del dominio público marítimo-terrestre, es decir, los que determinan la ocupación de una porción del dominio público de modo que se limita o excluye la utilización de este por otros interesados, en los términos establecidos en la normativa de costas y medio marino.</w:t>
      </w:r>
    </w:p>
    <w:p w14:paraId="0DEE7422" w14:textId="77777777" w:rsidR="009D7677" w:rsidRDefault="009D7677" w:rsidP="009D7677">
      <w:pPr>
        <w:pStyle w:val="TextoNormal"/>
      </w:pPr>
    </w:p>
    <w:p w14:paraId="79CDBDAD" w14:textId="77777777" w:rsidR="009D7677" w:rsidRDefault="009D7677" w:rsidP="009D7677">
      <w:pPr>
        <w:pStyle w:val="TextoNormal"/>
      </w:pPr>
      <w:r>
        <w:t>c) Los usos de los espacios naturales protegidos susceptibles de causar afección apreciable sobre los valores naturales que han justificado la declaración de espacio natural protegido, a tenor de lo establecido en la normativa del patrimonio natural y la biodiversidad, así como en los instrumentos de ordenación y gestión de los espacios”.</w:t>
      </w:r>
    </w:p>
    <w:p w14:paraId="4AEBD19A" w14:textId="77777777" w:rsidR="009D7677" w:rsidRDefault="009D7677" w:rsidP="009D7677">
      <w:pPr>
        <w:pStyle w:val="TextoNormal"/>
      </w:pPr>
    </w:p>
    <w:p w14:paraId="5B8E5685" w14:textId="77777777" w:rsidR="009D7677" w:rsidRDefault="009D7677" w:rsidP="009D7677">
      <w:pPr>
        <w:pStyle w:val="TextoNormal"/>
      </w:pPr>
      <w:r>
        <w:t>(i) Se impugna el art. 35 de la ley autonómica con el argumento que no le corresponde a la comunidad autónoma regular los usos autorizables en el dominio público marítimo-terrestre, ni siquiera reproducirlos literalmente en la norma autonómica, ni interpretar la legislación estatal. El precepto no reproduce de modo exacto el art. 31.2 LC e incluye usos distintos. Añade, que carece de competencias para el otorgamiento de títulos habilitantes.</w:t>
      </w:r>
    </w:p>
    <w:p w14:paraId="78D37CB4" w14:textId="77777777" w:rsidR="009D7677" w:rsidRDefault="009D7677" w:rsidP="009D7677">
      <w:pPr>
        <w:pStyle w:val="TextoNormal"/>
      </w:pPr>
    </w:p>
    <w:p w14:paraId="4A37626B" w14:textId="77777777" w:rsidR="009D7677" w:rsidRDefault="009D7677" w:rsidP="009D7677">
      <w:pPr>
        <w:pStyle w:val="TextoNormal"/>
      </w:pPr>
      <w:r>
        <w:t xml:space="preserve">(ii) El Parlamento y la Xunta de Galicia reiteran los mismos argumentos que referidos a la finalidad de la regulación han sido utilizados para oponerse a la impugnación del art. 35.2 de la Ley del Parlamento de Galicia 4/2023, e insisten en cuestionar la idea rectora que resulta del recurso, cual es que el Estado puede agotar —y agota— la regulación de la ordenación de los usos del dominio público marítimo-terrestre. Indica que los títulos que </w:t>
      </w:r>
      <w:r>
        <w:lastRenderedPageBreak/>
        <w:t>operan sobre la zona de servidumbre de protección son los previstos en los arts. 149.1.1 y 23 CE. Consideran que no se ha pretendido reproducir el art. 31.2 LC, sino identificar el tipo de utilización que, por ser susceptible de causar afección a los valores naturales de los espacios del área de protección ambiental, está sujeto a un título de intervención administrativa, así como dar seguridad jurídica a los destinatarios de la norma. En las letras a) y b) se añade “en los términos establecidos en la normativa de costas y del medio marino”. Acepta, a efectos dialecticos, que la técnica legislativa no pueda compartirse, pero difícilmente se puede considerar vulnerada la competencia del Estado. Afirma que no es correcto que se incluyen usos distintos a los previstos en la Ley de costas en el art. 35.2 c) de la Ley del Parlamento de Galicia 4/2023 al referirse a “usos de los espacios naturales protegidos susceptibles de causar una afección apreciable sobre los valores naturales”. Finalmente, en relación con el art. 35.3, en tanto que el reproche se remite a la posible inconstitucionalidad, posterga su defensa a la valoración del indicado capítulo.</w:t>
      </w:r>
    </w:p>
    <w:p w14:paraId="042ACDC0" w14:textId="77777777" w:rsidR="009D7677" w:rsidRDefault="009D7677" w:rsidP="009D7677">
      <w:pPr>
        <w:pStyle w:val="TextoNormal"/>
      </w:pPr>
    </w:p>
    <w:p w14:paraId="22BD91F3" w14:textId="77777777" w:rsidR="009D7677" w:rsidRDefault="009D7677" w:rsidP="009D7677">
      <w:pPr>
        <w:pStyle w:val="TextoNormal"/>
      </w:pPr>
      <w:r>
        <w:t>(iii) La impugnación del precepto del art. 35.2 a) b) y c) de la Ley del Parlamento de Galicia 4/2023 ha de ser desestimada. Debemos dar por reproducidas las consideraciones comunes efectuadas en relación con el art. 34.2 a) y b) y el art. 34.3 de esta misma ley.</w:t>
      </w:r>
    </w:p>
    <w:p w14:paraId="313B93E3" w14:textId="77777777" w:rsidR="009D7677" w:rsidRDefault="009D7677" w:rsidP="009D7677">
      <w:pPr>
        <w:pStyle w:val="TextoNormal"/>
      </w:pPr>
    </w:p>
    <w:p w14:paraId="19EF7113" w14:textId="77777777" w:rsidR="009D7677" w:rsidRDefault="009D7677" w:rsidP="009D7677">
      <w:pPr>
        <w:pStyle w:val="TextoNormal"/>
      </w:pPr>
      <w:r>
        <w:t>El art. 35.2 a) y b) contiene una definición del uso común especial y del uso privativo que aunque no es enteramente coincidente con el art. 31.2 LC, se ajusta al concepto general de aprovechamiento especial y uso privativo que recoge el art. 85.2 y 3 de la Ley de patrimonio de las administraciones públicas y añade además a tal definición, en sus incisos finales “en los términos establecidos en la normativa de costas y medio marino”.</w:t>
      </w:r>
    </w:p>
    <w:p w14:paraId="34D8832A" w14:textId="77777777" w:rsidR="009D7677" w:rsidRDefault="009D7677" w:rsidP="009D7677">
      <w:pPr>
        <w:pStyle w:val="TextoNormal"/>
      </w:pPr>
    </w:p>
    <w:p w14:paraId="04345D2E" w14:textId="77777777" w:rsidR="009D7677" w:rsidRDefault="009D7677" w:rsidP="009D7677">
      <w:pPr>
        <w:pStyle w:val="TextoNormal"/>
      </w:pPr>
      <w:r>
        <w:t>Es claro que las referencias del art. 35.2 a) de la Ley del Parlamento de Galicia 4/2023 a “preferencia en caso de escasez” o usos que, “sin impedir el uso común, suponen la concurrencia de circunstancias tales como […]” no se recogen en el art. 31.2 LC, sin embargo, como se ha indicado, las mismas no son del todo ajenas al entendimiento general que hay en nuestro ordenamiento jurídico-administrativo de lo que es el aprovechamiento especial (art. 85.2 de la Ley de patrimonio de las administraciones públicas) y al respeto a la normativa de costas a la que expresamente se remite.</w:t>
      </w:r>
    </w:p>
    <w:p w14:paraId="31C4C8E8" w14:textId="77777777" w:rsidR="009D7677" w:rsidRDefault="009D7677" w:rsidP="009D7677">
      <w:pPr>
        <w:pStyle w:val="TextoNormal"/>
      </w:pPr>
    </w:p>
    <w:p w14:paraId="7D6668CD" w14:textId="77777777" w:rsidR="009D7677" w:rsidRDefault="009D7677" w:rsidP="009D7677">
      <w:pPr>
        <w:pStyle w:val="TextoNormal"/>
      </w:pPr>
      <w:r>
        <w:t>Por otra parte el art. 35.2 b) de la Ley del Parlamento de Galicia 4/2023 considera uso compatible sujeto a intervención el uso privativo del dominio público marítimo-terrestre, sin referirse expresamente a la limitación prevista en el art. 32.1 LC por la que “[ú]nicamente se podrá permitir la ocupación del dominio público marítimo-terrestre para aquellas actividades o instalaciones que, por su naturaleza, no puedan tener otra ubicación”, sin embargo, la referencia en su inciso final “en los términos establecidos en la normativa de costas y medio marino”, evita cualquier eventual incumplimiento de Ley de costas.</w:t>
      </w:r>
    </w:p>
    <w:p w14:paraId="1EBF07A6" w14:textId="77777777" w:rsidR="009D7677" w:rsidRDefault="009D7677" w:rsidP="009D7677">
      <w:pPr>
        <w:pStyle w:val="TextoNormal"/>
      </w:pPr>
    </w:p>
    <w:p w14:paraId="2B43A0FA" w14:textId="77777777" w:rsidR="009D7677" w:rsidRDefault="009D7677" w:rsidP="009D7677">
      <w:pPr>
        <w:pStyle w:val="TextoNormal"/>
      </w:pPr>
      <w:r>
        <w:t xml:space="preserve">En relación con el art. 35.2 c) de la Ley del Parlamento de Galicia 4/2023, la consideración como uso compatible, sujeto a intervención administrativa previa, a los usos de los espacios naturales protegidos susceptibles de causar afección apreciable sobre los valores naturales que han justificado la declaración de espacio natural protegido, tampoco merece censura de inconstitucionalidad. El precepto remite al art. 70 de la referida Ley 5/2019, de 2 de agosto, del patrimonio natural y de la biodiversidad de Galicia y, en todo caso, los </w:t>
      </w:r>
      <w:r>
        <w:lastRenderedPageBreak/>
        <w:t>usos y actividades autorizables deberán ser concretados en los instrumentos de ordenación y gestión de los espacios naturales protegidos.</w:t>
      </w:r>
    </w:p>
    <w:p w14:paraId="388320B5" w14:textId="77777777" w:rsidR="009D7677" w:rsidRDefault="009D7677" w:rsidP="009D7677">
      <w:pPr>
        <w:pStyle w:val="TextoNormal"/>
      </w:pPr>
    </w:p>
    <w:p w14:paraId="066E2701" w14:textId="77777777" w:rsidR="009D7677" w:rsidRDefault="009D7677" w:rsidP="009D7677">
      <w:pPr>
        <w:pStyle w:val="TextoNormal"/>
      </w:pPr>
      <w:r>
        <w:t>En este sentido, debe añadirse que en relación con la impugnación de las letras a), b) y c) del art. 35.2 de la Ley del Parlamento de Galicia 4/2023, el enjuiciamiento que corresponde a este tribunal en los recursos de inconstitucionalidad debe ser abstracto y objetivo, pues la regla controvertida ha de ser enjuiciada en atención a su propio sentido, y no por las intenciones del legislador, su estrategia política o su propósito último [por todas, STC 139/2017, FJ 2 c)]. Además, el juicio de constitucionalidad que corresponde a este tribunal “no lo es de técnica legislativa” y “nada tiene que ver con su depuración técnica” (por todas, 126/2021, FJ 6). Y, tampoco procede anticipar juicios sobre el posible contenido de planes simplemente previstos en leyes autonómicas, (por todas, STC 65/2018, de 7 de junio, FFJJ 4 y 9). Dichas perspectivas de enjuiciamiento se tornan muy relevantes al enjuiciar el art. 35.2 a), b) y c) de la Ley del Parlamento de Galicia 4/2023, pues atendida la redacción del precepto y la necesaria remisión a una planificación posterior, la eventual incompatibilidad estará, en su caso, en la concreción que del mismo se efectúe en los planes de ordenación del litoral.</w:t>
      </w:r>
    </w:p>
    <w:p w14:paraId="4CD19ABF" w14:textId="77777777" w:rsidR="009D7677" w:rsidRDefault="009D7677" w:rsidP="009D7677">
      <w:pPr>
        <w:pStyle w:val="TextoNormal"/>
      </w:pPr>
    </w:p>
    <w:p w14:paraId="3DB95092" w14:textId="77777777" w:rsidR="009D7677" w:rsidRDefault="009D7677" w:rsidP="009D7677">
      <w:pPr>
        <w:pStyle w:val="TextoNormal"/>
      </w:pPr>
      <w:r>
        <w:t>Finalmente, debe insistirse en el contexto en que se enmarca dicha regulación, lo que obliga a tener en cuenta los citados arts. 31 y 37 de la Ley del Parlamento de Galicia 4/2023 que prevén la aplicación de “lo dispuesto en la normativa de costas” y de “la regla que suponga mayor protección del espacio”.</w:t>
      </w:r>
    </w:p>
    <w:p w14:paraId="14B00EA5" w14:textId="77777777" w:rsidR="009D7677" w:rsidRDefault="009D7677" w:rsidP="009D7677">
      <w:pPr>
        <w:pStyle w:val="TextoNormal"/>
      </w:pPr>
    </w:p>
    <w:p w14:paraId="1B196F2B" w14:textId="77777777" w:rsidR="009D7677" w:rsidRDefault="009D7677" w:rsidP="009D7677">
      <w:pPr>
        <w:pStyle w:val="TextoNormal"/>
      </w:pPr>
      <w:r>
        <w:t>Por tanto, la impugnación del art. 35.2 a) b) y c) de la Ley del Parlamento de Galicia 4/2023 debe ser desestimada.</w:t>
      </w:r>
    </w:p>
    <w:p w14:paraId="27CFE45C" w14:textId="77777777" w:rsidR="009D7677" w:rsidRDefault="009D7677" w:rsidP="009D7677">
      <w:pPr>
        <w:pStyle w:val="TextoNormal"/>
      </w:pPr>
    </w:p>
    <w:p w14:paraId="3DB2C2FC" w14:textId="77777777" w:rsidR="009D7677" w:rsidRDefault="009D7677" w:rsidP="009D7677">
      <w:pPr>
        <w:pStyle w:val="TextoNormal"/>
      </w:pPr>
      <w:r>
        <w:t>d) Art. 36.2 a), b) y c) de la Ley del Parlamento de Galicia 4/2023</w:t>
      </w:r>
    </w:p>
    <w:p w14:paraId="259822B6" w14:textId="77777777" w:rsidR="009D7677" w:rsidRDefault="009D7677" w:rsidP="009D7677">
      <w:pPr>
        <w:pStyle w:val="TextoNormal"/>
      </w:pPr>
    </w:p>
    <w:p w14:paraId="1EC95640" w14:textId="77777777" w:rsidR="009D7677" w:rsidRDefault="009D7677" w:rsidP="009D7677">
      <w:pPr>
        <w:pStyle w:val="TextoNormal"/>
      </w:pPr>
      <w:r>
        <w:t>El art. 36.2 a), b) y c) tiene el siguiente tenor literal:</w:t>
      </w:r>
    </w:p>
    <w:p w14:paraId="3E1A7EDC" w14:textId="77777777" w:rsidR="009D7677" w:rsidRDefault="009D7677" w:rsidP="009D7677">
      <w:pPr>
        <w:pStyle w:val="TextoNormal"/>
      </w:pPr>
    </w:p>
    <w:p w14:paraId="1C15209A" w14:textId="77777777" w:rsidR="009D7677" w:rsidRDefault="009D7677" w:rsidP="009D7677">
      <w:pPr>
        <w:pStyle w:val="TextoNormal"/>
      </w:pPr>
      <w:r>
        <w:t>“Artículo 36. Usos prohibidos en el área de protección ambiental</w:t>
      </w:r>
    </w:p>
    <w:p w14:paraId="4B52721D" w14:textId="77777777" w:rsidR="009D7677" w:rsidRDefault="009D7677" w:rsidP="009D7677">
      <w:pPr>
        <w:pStyle w:val="TextoNormal"/>
      </w:pPr>
    </w:p>
    <w:p w14:paraId="52B9A3F0" w14:textId="77777777" w:rsidR="009D7677" w:rsidRDefault="009D7677" w:rsidP="009D7677">
      <w:pPr>
        <w:pStyle w:val="TextoNormal"/>
      </w:pPr>
      <w:r>
        <w:t>1. En los términos establecidos en el artículo 31, los planes de ordenación del litoral establecerán los usos y actividades prohibidos en los espacios de esta área al ser incompatibles con los objetivos de ordenación recogidos en el artículo 33.</w:t>
      </w:r>
    </w:p>
    <w:p w14:paraId="5B6E891D" w14:textId="77777777" w:rsidR="009D7677" w:rsidRDefault="009D7677" w:rsidP="009D7677">
      <w:pPr>
        <w:pStyle w:val="TextoNormal"/>
      </w:pPr>
    </w:p>
    <w:p w14:paraId="4A95F770" w14:textId="77777777" w:rsidR="009D7677" w:rsidRDefault="009D7677" w:rsidP="009D7677">
      <w:pPr>
        <w:pStyle w:val="TextoNormal"/>
      </w:pPr>
      <w:r>
        <w:t>2. En todo caso, estarán prohibidos los usos que comprometan la integridad de los valores naturales que deben protegerse, y en particular los siguientes:</w:t>
      </w:r>
    </w:p>
    <w:p w14:paraId="69D463AE" w14:textId="77777777" w:rsidR="009D7677" w:rsidRDefault="009D7677" w:rsidP="009D7677">
      <w:pPr>
        <w:pStyle w:val="TextoNormal"/>
      </w:pPr>
    </w:p>
    <w:p w14:paraId="0D35F2D9" w14:textId="77777777" w:rsidR="009D7677" w:rsidRDefault="009D7677" w:rsidP="009D7677">
      <w:pPr>
        <w:pStyle w:val="TextoNormal"/>
      </w:pPr>
      <w:r>
        <w:t>a) La ocupación de terrenos del dominio público marítimo-terrestre con instalaciones fijas o no desmontables, salvo las que estén expresamente contempladas en el título IV de esta ley.</w:t>
      </w:r>
    </w:p>
    <w:p w14:paraId="6FEF787C" w14:textId="77777777" w:rsidR="009D7677" w:rsidRDefault="009D7677" w:rsidP="009D7677">
      <w:pPr>
        <w:pStyle w:val="TextoNormal"/>
      </w:pPr>
    </w:p>
    <w:p w14:paraId="58990C9E" w14:textId="77777777" w:rsidR="009D7677" w:rsidRDefault="009D7677" w:rsidP="009D7677">
      <w:pPr>
        <w:pStyle w:val="TextoNormal"/>
      </w:pPr>
      <w:r>
        <w:t>b) Los usos recogidos en el artículo 32.2 de la Ley 22/1998, de 28 de julio, de costas, cuando se trate de bienes de dominio público marítimo-terrestre.</w:t>
      </w:r>
    </w:p>
    <w:p w14:paraId="6967DEEB" w14:textId="77777777" w:rsidR="009D7677" w:rsidRDefault="009D7677" w:rsidP="009D7677">
      <w:pPr>
        <w:pStyle w:val="TextoNormal"/>
      </w:pPr>
    </w:p>
    <w:p w14:paraId="00AD7ECB" w14:textId="77777777" w:rsidR="009D7677" w:rsidRDefault="009D7677" w:rsidP="009D7677">
      <w:pPr>
        <w:pStyle w:val="TextoNormal"/>
      </w:pPr>
      <w:r>
        <w:t>c) Las actuaciones de transformación urbanística, salvo las dirigidas a la implantación de las dotaciones públicas estratégicas reguladas en el artículo 60”.</w:t>
      </w:r>
    </w:p>
    <w:p w14:paraId="00836E4A" w14:textId="77777777" w:rsidR="009D7677" w:rsidRDefault="009D7677" w:rsidP="009D7677">
      <w:pPr>
        <w:pStyle w:val="TextoNormal"/>
      </w:pPr>
    </w:p>
    <w:p w14:paraId="543CFAF5" w14:textId="77777777" w:rsidR="009D7677" w:rsidRDefault="009D7677" w:rsidP="009D7677">
      <w:pPr>
        <w:pStyle w:val="TextoNormal"/>
      </w:pPr>
      <w:r>
        <w:t>(i) El abogado del Estado, recuerda que el área de protección ambiental incluye bienes del dominio público marítimo-terrestre y de la zona de especial protección e indica por una parte que el precepto autonómico no alude a las prohibiciones del art. 25 LC respecto a la servidumbre de protección y por otra limita el alcance de la prohibición de las “actuaciones de transformación urbanísticas” al permitir la “implantación de dotaciones públicas estratégicas del artículo 60” que se refieren a algunos elementos que por su naturaleza pueden tener otra ubicación diferente y por tanto serían contrarios al artículo 25 LC. Además, el art. 44.6 LC no permite el emplazamiento de instalaciones de tratamiento de aguas residuales en la ribera de mar, ni en los primeros veinte metros desde la misma, ni tampoco la instalación de colectores paralelos a la costa en dichos espacios.</w:t>
      </w:r>
    </w:p>
    <w:p w14:paraId="08FD67BE" w14:textId="77777777" w:rsidR="009D7677" w:rsidRDefault="009D7677" w:rsidP="009D7677">
      <w:pPr>
        <w:pStyle w:val="TextoNormal"/>
      </w:pPr>
    </w:p>
    <w:p w14:paraId="61F6D95F" w14:textId="77777777" w:rsidR="009D7677" w:rsidRDefault="009D7677" w:rsidP="009D7677">
      <w:pPr>
        <w:pStyle w:val="TextoNormal"/>
      </w:pPr>
      <w:r>
        <w:t xml:space="preserve">(ii) En sus alegaciones la Xunta y el Parlamento, defienden la constitucionalidad con los mismos argumentos que en los dos preceptos anteriores (tener como finalidad dar seguridad jurídica, respetar la regulación de usos de la Ley de costas, sin introducir novedad alguna, encontrándose las únicas novedades amparadas en las competencias propias: ordenación y medio ambiente). Refiere que, como reconoce el escrito de impugnación, las comunidades autónomas pueden establecer normas adicionales de protección, por lo que se ignora la causa de inconstitucionalidad del precepto cuyo encabezamiento es precisamente “estarán prohibidos los usos que”, sin que se explique la incompatibilidad con la Ley de costas o la minoración de la protección alegada. Añade que si lo que se cuestiona son los “salvo las que estén expresamente contempladas en el título IV de esta ley” [letra a)] y “salvo las dirigidas a la implantación de las dotaciones públicas estratégicas reguladas en el artículo 60” [letra c)], debe ser impugnado el título IV o el artículo 60, pero no el precepto actual por el mero hecho de citarlos. Refiere que el art. 36.2 de la Ley del Parlamento de Galicia 4/2023 comienza con “[e]n todo caso” y serán los planes de ordenación del litoral (art. 36.1 de la Ley) los que establecerán los usos o actividades prohibidas y podrán ser impugnados. Cuestionan la posición contradictoria del abogado del Estado, que pese a criticar la </w:t>
      </w:r>
      <w:r w:rsidRPr="009D7677">
        <w:rPr>
          <w:i/>
        </w:rPr>
        <w:t>lex repetita</w:t>
      </w:r>
      <w:r>
        <w:t xml:space="preserve"> reprocha que no se incluyan en el art. 36 de la Ley del Parlamento de Galicia 4/2023 las prohibiciones que afectan a la servidumbre de protección que se contienen en el art. 25 LC e insiste en que las omisiones de previsiones de la ley estatal básica no son vicio de constitucionalidad.</w:t>
      </w:r>
    </w:p>
    <w:p w14:paraId="0BD86F3D" w14:textId="77777777" w:rsidR="009D7677" w:rsidRDefault="009D7677" w:rsidP="009D7677">
      <w:pPr>
        <w:pStyle w:val="TextoNormal"/>
      </w:pPr>
    </w:p>
    <w:p w14:paraId="2883D487" w14:textId="77777777" w:rsidR="009D7677" w:rsidRDefault="009D7677" w:rsidP="009D7677">
      <w:pPr>
        <w:pStyle w:val="TextoNormal"/>
      </w:pPr>
      <w:r>
        <w:t>Finalmente, en cuanto al cuestionamiento de la “la implantación de dotaciones públicas estratégicas del art. 60”, indica que dicho precepto parte del cumplimiento de todas las exigencias establecidas en la normativa de costas y a ellas se añaden otros condicionantes adicionales, al amparo de la competencia ambiental de desarrollo de la legislación básica y para el dictado de normas adicionales de protección.</w:t>
      </w:r>
    </w:p>
    <w:p w14:paraId="2BA9A4E0" w14:textId="77777777" w:rsidR="009D7677" w:rsidRDefault="009D7677" w:rsidP="009D7677">
      <w:pPr>
        <w:pStyle w:val="TextoNormal"/>
      </w:pPr>
    </w:p>
    <w:p w14:paraId="695B432E" w14:textId="77777777" w:rsidR="009D7677" w:rsidRDefault="009D7677" w:rsidP="009D7677">
      <w:pPr>
        <w:pStyle w:val="TextoNormal"/>
      </w:pPr>
      <w:r>
        <w:t>(iii) La impugnación del art. 36.2 a), b) y c) de la Ley del Parlamento de Galicia 4/2023 debe ser desestimada. Debemos dar por reproducidas las consideraciones comunes efectuadas en relación con el art. 34.2 a) y b) y el art. 34.3 de esta misma ley.</w:t>
      </w:r>
    </w:p>
    <w:p w14:paraId="786F338F" w14:textId="77777777" w:rsidR="009D7677" w:rsidRDefault="009D7677" w:rsidP="009D7677">
      <w:pPr>
        <w:pStyle w:val="TextoNormal"/>
      </w:pPr>
    </w:p>
    <w:p w14:paraId="20E6350B" w14:textId="77777777" w:rsidR="009D7677" w:rsidRDefault="009D7677" w:rsidP="009D7677">
      <w:pPr>
        <w:pStyle w:val="TextoNormal"/>
      </w:pPr>
      <w:r>
        <w:t>En el dominio público marítimo-terrestre es el Estado quien tiene la facultad exclusiva de establecer las limitaciones imprescindibles para garantizar la defensa y la protección integral [STC 46/2007, FJ 12, examinada en el fundamento jurídico 5 B) a)]. La Comunidad Autónoma de Galicia puede establecer más prohibiciones en aras a su competencia de ordenación (art. 27.3 EAG) siempre que no afecte al libre uso público previsto en la nor</w:t>
      </w:r>
      <w:r>
        <w:lastRenderedPageBreak/>
        <w:t>mativa de costas, pero no puede establecer menos prohibiciones que las previstas en la Ley de costas y en el Reglamento general de la Ley de costas, pues de hacerlo infringiría la facultad exclusiva del Estado de garantizar su defensa y protección integral.</w:t>
      </w:r>
    </w:p>
    <w:p w14:paraId="67B92B1D" w14:textId="77777777" w:rsidR="009D7677" w:rsidRDefault="009D7677" w:rsidP="009D7677">
      <w:pPr>
        <w:pStyle w:val="TextoNormal"/>
      </w:pPr>
    </w:p>
    <w:p w14:paraId="18E40714" w14:textId="77777777" w:rsidR="009D7677" w:rsidRDefault="009D7677" w:rsidP="009D7677">
      <w:pPr>
        <w:pStyle w:val="TextoNormal"/>
      </w:pPr>
      <w:r>
        <w:t>La letra a) de art. 36.2 excluye del uso prohibido la ocupación del dominio público marítimo-terrestre con instalaciones fijas o no desmontables, que estén expresamente contempladas en el título IV de la Ley del Parlamento de Galicia 4/2023. El título IV se refiere a las “actuaciones estratégicas para el desarrollo sostenible del litoral”. Se consideran como tales las que “en ejecución de una competencia de la Comunidad Autónoma de Galicia, tienen lugar en el litoral de Galicia y resultan esenciales para su desarrollo sostenible” (art. 54.1 de la Ley del Parlamento de Galicia 4/2023). Expresamente se declaran estratégicas las previstas en las letras a) a la f) del art. 54.2 de la Ley, esto es: “los establecimientos de la cadena mar-industria alimentaria”, “la creación de una red de sendas litorales”, “la creación de una red de establecimientos turísticos del litoral”, “las intervenciones sobre el patrimonio cultural litoral”, “la sostenibilidad económica y social del conjunto del sector pesquero y de la cadena mar-industria alimentaria”, “la implantación de dotaciones públicas esenciales para el abastecimiento de poblaciones y la recogida, almacenamiento, tratamiento y vertido de aguas residuales”.</w:t>
      </w:r>
    </w:p>
    <w:p w14:paraId="654EC7B9" w14:textId="77777777" w:rsidR="009D7677" w:rsidRDefault="009D7677" w:rsidP="009D7677">
      <w:pPr>
        <w:pStyle w:val="TextoNormal"/>
      </w:pPr>
    </w:p>
    <w:p w14:paraId="75510FA8" w14:textId="77777777" w:rsidR="009D7677" w:rsidRDefault="009D7677" w:rsidP="009D7677">
      <w:pPr>
        <w:pStyle w:val="TextoNormal"/>
      </w:pPr>
      <w:r>
        <w:t>Es de ver, que el precepto no recoge expresamente la limitación prevista en el art. 32.1 LC por la que “únicamente se podrá permitir la ocupación del dominio público marítimo-terrestre para aquellas actividades o instalaciones que, por su naturaleza, no puedan tener otra ubicación”, sin embargo dicha omisión no determina la inconstitucionalidad de la regulación, pues dicha limitación mantiene su plena vigencia con independencia de que sean recordadas o no por el legislador comunitario, cuya referencia a ellas sólo este carácter de recordatorio puede revestir (STC 5/1982, FJ 2). A ello debemos añadir que la regulación de los usos que se efectúa en letra a) de art. 36.2 de la Ley del Parlamento de Galicia 4/2023, debe entenderse “sin perjuicio de lo dispuesto en la normativa de costas y medio marino y del ejercicio por la administración general del Estado de las facultades que le corresponden en su condición de titular del dominio público marítimo-terrestre” (art. 31 de la Ley).</w:t>
      </w:r>
    </w:p>
    <w:p w14:paraId="47CA3603" w14:textId="77777777" w:rsidR="009D7677" w:rsidRDefault="009D7677" w:rsidP="009D7677">
      <w:pPr>
        <w:pStyle w:val="TextoNormal"/>
      </w:pPr>
    </w:p>
    <w:p w14:paraId="0276229A" w14:textId="77777777" w:rsidR="009D7677" w:rsidRDefault="009D7677" w:rsidP="009D7677">
      <w:pPr>
        <w:pStyle w:val="TextoNormal"/>
      </w:pPr>
      <w:r>
        <w:t xml:space="preserve">Por otra parte, la letra c) de art. 36.2, a </w:t>
      </w:r>
      <w:r w:rsidRPr="009D7677">
        <w:rPr>
          <w:i/>
        </w:rPr>
        <w:t>sensu contrario</w:t>
      </w:r>
      <w:r>
        <w:t>, excluye del uso prohibido las “actuaciones de transformación urbanística […] dirigidas a la implantación de las dotaciones públicas estratégicas reguladas en el artículo 60”. Sin embargo, dicha exclusión no socaba la regla general de prohibición prevista en el art. 32.1 LC —que solo permite las instalaciones que, por su naturaleza no puedan tener otra ubicación—, ni tampoco contraviene la prohibición prevista en el art. 25.1 LC relativa al vertido de agua residual sin depuración.</w:t>
      </w:r>
    </w:p>
    <w:p w14:paraId="4BAED054" w14:textId="77777777" w:rsidR="009D7677" w:rsidRDefault="009D7677" w:rsidP="009D7677">
      <w:pPr>
        <w:pStyle w:val="TextoNormal"/>
      </w:pPr>
    </w:p>
    <w:p w14:paraId="53F86972" w14:textId="77777777" w:rsidR="009D7677" w:rsidRDefault="009D7677" w:rsidP="009D7677">
      <w:pPr>
        <w:pStyle w:val="TextoNormal"/>
      </w:pPr>
      <w:r>
        <w:t xml:space="preserve">En primer lugar, porque el art. 60 de la Ley del Parlamento de Galicia 4/2023, al que se remite el art. 36.2 c) de esta ley, exige en la construcción de las infraestructuras hidráulicas para el abastecimiento de poblaciones y el saneamiento y depuración de aguas residuales, el cumplimiento “de las exigencias establecidas en la normativa de costas”, lo que comprende necesariamente las limitaciones y prohibiciones de los arts. 25.1 y 32.1 LC. Además, en relación con la concreta prohibición de vertidos de aguas residuales, el art. 60.1 en su literalidad se refiere a “la construcción de las infraestructuras hidráulicas para </w:t>
      </w:r>
      <w:r>
        <w:lastRenderedPageBreak/>
        <w:t>el abastecimiento de poblaciones y el saneamiento y depuración de aguas residuales” y no al vertido de las mismas.</w:t>
      </w:r>
    </w:p>
    <w:p w14:paraId="10397C36" w14:textId="77777777" w:rsidR="009D7677" w:rsidRDefault="009D7677" w:rsidP="009D7677">
      <w:pPr>
        <w:pStyle w:val="TextoNormal"/>
      </w:pPr>
    </w:p>
    <w:p w14:paraId="2842B8D7" w14:textId="77777777" w:rsidR="009D7677" w:rsidRDefault="009D7677" w:rsidP="009D7677">
      <w:pPr>
        <w:pStyle w:val="TextoNormal"/>
      </w:pPr>
      <w:r>
        <w:t>En relación con la previsión de la letra b) del art. 36.2 de la Ley del Parlamento de Galicia 4/2023 contiene una mera remisión a los usos prohibidos previstos en el art. 32.2 LC, que no puede considerarse que invada la facultad exclusiva del Estado sobre el demanio, sino que facilita el entendimiento e inteligibilidad a la Ley del Parlamento de Galicia 4/2023 (STC 47/2004, FJ 8).</w:t>
      </w:r>
    </w:p>
    <w:p w14:paraId="4FB88CF3" w14:textId="77777777" w:rsidR="009D7677" w:rsidRDefault="009D7677" w:rsidP="009D7677">
      <w:pPr>
        <w:pStyle w:val="TextoNormal"/>
      </w:pPr>
    </w:p>
    <w:p w14:paraId="18B56089" w14:textId="77777777" w:rsidR="009D7677" w:rsidRDefault="009D7677" w:rsidP="009D7677">
      <w:pPr>
        <w:pStyle w:val="TextoNormal"/>
      </w:pPr>
      <w:r>
        <w:t>Por tanto, la impugnación del art. 36.2 a), b) y c) de la Ley del Parlamento de Galicia 4/2023 debe ser desestimada.</w:t>
      </w:r>
    </w:p>
    <w:p w14:paraId="570FE512" w14:textId="77777777" w:rsidR="009D7677" w:rsidRDefault="009D7677" w:rsidP="009D7677">
      <w:pPr>
        <w:pStyle w:val="TextoNormal"/>
      </w:pPr>
    </w:p>
    <w:p w14:paraId="3148CD0C" w14:textId="77777777" w:rsidR="009D7677" w:rsidRDefault="009D7677" w:rsidP="009D7677">
      <w:pPr>
        <w:pStyle w:val="TextoNormal"/>
      </w:pPr>
      <w:r>
        <w:t>e) Art. 40.2 y 3 de la Ley del Parlamento de Galicia 4/2023</w:t>
      </w:r>
    </w:p>
    <w:p w14:paraId="7FA9A36A" w14:textId="77777777" w:rsidR="009D7677" w:rsidRDefault="009D7677" w:rsidP="009D7677">
      <w:pPr>
        <w:pStyle w:val="TextoNormal"/>
      </w:pPr>
    </w:p>
    <w:p w14:paraId="255D95ED" w14:textId="77777777" w:rsidR="009D7677" w:rsidRDefault="009D7677" w:rsidP="009D7677">
      <w:pPr>
        <w:pStyle w:val="TextoNormal"/>
      </w:pPr>
      <w:r>
        <w:t>El art. 40.2 y 3 tiene el siguiente tenor literal:</w:t>
      </w:r>
    </w:p>
    <w:p w14:paraId="4136D86E" w14:textId="77777777" w:rsidR="009D7677" w:rsidRDefault="009D7677" w:rsidP="009D7677">
      <w:pPr>
        <w:pStyle w:val="TextoNormal"/>
      </w:pPr>
    </w:p>
    <w:p w14:paraId="289D0749" w14:textId="77777777" w:rsidR="009D7677" w:rsidRDefault="009D7677" w:rsidP="009D7677">
      <w:pPr>
        <w:pStyle w:val="TextoNormal"/>
      </w:pPr>
      <w:r>
        <w:t>“Artículo 40. Usos permitidos en el área de mejora ambiental y paisajística</w:t>
      </w:r>
    </w:p>
    <w:p w14:paraId="01E921DC" w14:textId="77777777" w:rsidR="009D7677" w:rsidRDefault="009D7677" w:rsidP="009D7677">
      <w:pPr>
        <w:pStyle w:val="TextoNormal"/>
      </w:pPr>
    </w:p>
    <w:p w14:paraId="07B97211" w14:textId="77777777" w:rsidR="009D7677" w:rsidRDefault="009D7677" w:rsidP="009D7677">
      <w:pPr>
        <w:pStyle w:val="TextoNormal"/>
      </w:pPr>
      <w:r>
        <w:t>1. En los términos establecidos en el artículo 31, los planes de ordenación del litoral recogidos en esta ley dispondrán los usos y actividades permitidos al resultar acordes con los objetivos de ordenación señalados en el artículo 39.</w:t>
      </w:r>
    </w:p>
    <w:p w14:paraId="3C2CF910" w14:textId="77777777" w:rsidR="009D7677" w:rsidRDefault="009D7677" w:rsidP="009D7677">
      <w:pPr>
        <w:pStyle w:val="TextoNormal"/>
      </w:pPr>
    </w:p>
    <w:p w14:paraId="3735F020" w14:textId="77777777" w:rsidR="009D7677" w:rsidRDefault="009D7677" w:rsidP="009D7677">
      <w:pPr>
        <w:pStyle w:val="TextoNormal"/>
      </w:pPr>
      <w:r>
        <w:t>2. Además de los permitidos en el área de protección ambiental, podrán realizarse libremente los usos agrícolas, ganaderos y forestales propios de la naturaleza de suelo rústico para los que la normativa urbanística no exija la obtención de título habilitante.</w:t>
      </w:r>
    </w:p>
    <w:p w14:paraId="4AB74617" w14:textId="77777777" w:rsidR="009D7677" w:rsidRDefault="009D7677" w:rsidP="009D7677">
      <w:pPr>
        <w:pStyle w:val="TextoNormal"/>
      </w:pPr>
    </w:p>
    <w:p w14:paraId="1BAA3D2B" w14:textId="77777777" w:rsidR="009D7677" w:rsidRDefault="009D7677" w:rsidP="009D7677">
      <w:pPr>
        <w:pStyle w:val="TextoNormal"/>
      </w:pPr>
      <w:r>
        <w:t>3. Asimismo, estarán permitidos los trabajos necesarios para las actuaciones asociadas a la prevención y extinción de incendios forestales, y entre ellas las necesarias para el mantenimiento de la red de fajas de gestión de biomasa previstas en la legislación sectorial correspondiente”.</w:t>
      </w:r>
    </w:p>
    <w:p w14:paraId="35FBE6D0" w14:textId="77777777" w:rsidR="009D7677" w:rsidRDefault="009D7677" w:rsidP="009D7677">
      <w:pPr>
        <w:pStyle w:val="TextoNormal"/>
      </w:pPr>
    </w:p>
    <w:p w14:paraId="69C9D142" w14:textId="77777777" w:rsidR="009D7677" w:rsidRDefault="009D7677" w:rsidP="009D7677">
      <w:pPr>
        <w:pStyle w:val="TextoNormal"/>
      </w:pPr>
      <w:r>
        <w:t>(i) El abogado del Estado, refiere que el área de mejora ambiental y paisajística puede incluir bienes dominio público marítimo-terrestre y los terrenos afectados por la servidumbre de protección y tierra adentro espacios ajenos a la legislación de costas. Indica que no le corresponde a la comunidad autónoma regular los usos permitidos en el dominio público marítimo-terrestre, como tampoco puede reiterar esos usos recogidos en la legislación estatal. Añade que incluye usos distintos a los previstos en el art. 31.1 LC, como los usos agrícolas, ganadero y forestales. El art. 45 RGC ya dispone las actuaciones que se pueden realizar sin autorización en los terrenos afectados por la servidumbre de protección y el art. 25.2 LC determina las obras, instalaciones y actividades que solo se pueden permitir en esta zona y el art. 47.3 RGC exige autorización para determinados usos forestales, como es la tala de árboles.</w:t>
      </w:r>
    </w:p>
    <w:p w14:paraId="53CE1C9A" w14:textId="77777777" w:rsidR="009D7677" w:rsidRDefault="009D7677" w:rsidP="009D7677">
      <w:pPr>
        <w:pStyle w:val="TextoNormal"/>
      </w:pPr>
    </w:p>
    <w:p w14:paraId="593A4EFD" w14:textId="77777777" w:rsidR="009D7677" w:rsidRDefault="009D7677" w:rsidP="009D7677">
      <w:pPr>
        <w:pStyle w:val="TextoNormal"/>
      </w:pPr>
      <w:r>
        <w:t xml:space="preserve">(ii) De las alegaciones de la Xunta y el Parlamento de Cataluña, resulta la defensa de la constitucionalidad del art. 40.2 y 3 de la Ley del Parlamento de Galicia 4/2023. Recuerda que la ley autonómica es respetuosa con los limites mínimos y máximos establecidos en la Ley de costas. Cuando el precepto incluye usos distintos a “los usos agrícolas, ganaderos y forestales propios de la naturaleza del suelo rústico para los que la normativa urbanística </w:t>
      </w:r>
      <w:r>
        <w:lastRenderedPageBreak/>
        <w:t>no exija la obtención del título habilitante”, integra en la Ley del Parlamento de Galicia 4/2023 la normativa urbanística (arts. 31 a 37 de la Ley del Parlamento de Galicia 2/2016, de 10 de febrero, de suelo de Galicia). Sostiene que las actuaciones permitidas en el art. 40.3 de la ley impugnada, están asociadas a la prevención y extinción de incendios forestales que contempla la Ley del Parlamento de Galicia 3/2007, de 9 de abril de prevención de incendios forestales en Galicia.</w:t>
      </w:r>
    </w:p>
    <w:p w14:paraId="50E9D7EE" w14:textId="77777777" w:rsidR="009D7677" w:rsidRDefault="009D7677" w:rsidP="009D7677">
      <w:pPr>
        <w:pStyle w:val="TextoNormal"/>
      </w:pPr>
    </w:p>
    <w:p w14:paraId="4B37BE40" w14:textId="77777777" w:rsidR="009D7677" w:rsidRDefault="009D7677" w:rsidP="009D7677">
      <w:pPr>
        <w:pStyle w:val="TextoNormal"/>
      </w:pPr>
      <w:r>
        <w:t>(iii) Procede desestimar la impugnación del art. 40.2 y 3 de la Ley del Parlamento de Galicia 4/2023, debiendo a tal efecto dar por reproducidas las consideraciones generales efectuadas al examinar el art. 32, a las que añadiremos las siguientes precisiones. El área de mejora ambiental y paisajística se caracteriza por ser un espacio que conserva en gran medida sus valores ambientales, pues sin reunir las condiciones del área de protección ambiental, se mantienen mayoritariamente libres de procesos de degradación o los procesos de desnaturalización que han sufrido son al menos parcialmente reversibles.</w:t>
      </w:r>
    </w:p>
    <w:p w14:paraId="3D5E122B" w14:textId="77777777" w:rsidR="009D7677" w:rsidRDefault="009D7677" w:rsidP="009D7677">
      <w:pPr>
        <w:pStyle w:val="TextoNormal"/>
      </w:pPr>
    </w:p>
    <w:p w14:paraId="590F42C8" w14:textId="77777777" w:rsidR="009D7677" w:rsidRDefault="009D7677" w:rsidP="009D7677">
      <w:pPr>
        <w:pStyle w:val="TextoNormal"/>
      </w:pPr>
      <w:r>
        <w:t>En el área de mejora ambiental y paisajística, conforme al art. 38 de la Ley del Parlamento de Galicia 4/2023 se incluyen: los bienes de dominio público marítimo-terrestre no incluidos en un área de protección ambiental, con alguna excepción; los espacios contiguos a los del área de protección ambiental, por lo que comprendiendo el dominio público marítimo-terrestre y la zona de servidumbre de protección van más allá de esta al extenderse a la zona periférica de protección de los espacios naturales protegidos y que contribuyen a preservar los valores naturales del litoral y a prevenir o evitar impactos ecológicos o paisajísticos sobre ellos; los espacios de interés ambiental y paisajístico, no incluidos en el área de protección ambiental, que delimite el plan de ordenación costera; y, finalmente, los demás espacios que tienen la condición de suelo rústico.</w:t>
      </w:r>
    </w:p>
    <w:p w14:paraId="44720B98" w14:textId="77777777" w:rsidR="009D7677" w:rsidRDefault="009D7677" w:rsidP="009D7677">
      <w:pPr>
        <w:pStyle w:val="TextoNormal"/>
      </w:pPr>
    </w:p>
    <w:p w14:paraId="0F95D189" w14:textId="77777777" w:rsidR="009D7677" w:rsidRDefault="009D7677" w:rsidP="009D7677">
      <w:pPr>
        <w:pStyle w:val="TextoNormal"/>
      </w:pPr>
      <w:r>
        <w:t>Puede indicarse que el área de mejora ambiental y paisajística se extiende hacia el interior hasta el límite administrativo de los ayuntamientos costeros o, cuando lo supere, el límite interior de los espacios naturales que radiquen en ellos (art. 2.2 de la Ley del Parlamento de Galicia 4/2023).</w:t>
      </w:r>
    </w:p>
    <w:p w14:paraId="2D097CDA" w14:textId="77777777" w:rsidR="009D7677" w:rsidRDefault="009D7677" w:rsidP="009D7677">
      <w:pPr>
        <w:pStyle w:val="TextoNormal"/>
      </w:pPr>
    </w:p>
    <w:p w14:paraId="364B8077" w14:textId="77777777" w:rsidR="009D7677" w:rsidRDefault="009D7677" w:rsidP="009D7677">
      <w:pPr>
        <w:pStyle w:val="TextoNormal"/>
      </w:pPr>
      <w:r>
        <w:t>En primer lugar, el art. 40.2 de la Ley vincula los usos permitidos en el área de mejora ambiental y paisajística a los agrícolas, ganaderos y forestales propios de la naturaleza de suelo rústico para los que la normativa urbanística no exija la obtención de título habilitante (art. 40.2). Por ello debe acudirse a la Ley del Parlamento de Galicia 2/2016, de 10 de febrero, del suelo de Galicia, que distingue dentro del suelo rústico el de protección ordinaria y el de especial protección. Entendiéndose por este último los terrenos afectados por las legislaciones sectoriales de protección del dominio público marítimo-terrestre, hidráulico o de infraestructuras o por las de protección de los valores agrícolas, ganaderos, forestales, paisajísticos, ambientales, naturales o culturales (arts. 31.2 y 34 de la Ley de suelo de Galicia), en los que en todo caso es necesario obtener la autorización o informe favorable del órgano que ostente la competencia sectorial (art. 36.2 de la Ley de suelo de Galicia).</w:t>
      </w:r>
    </w:p>
    <w:p w14:paraId="5E112416" w14:textId="77777777" w:rsidR="009D7677" w:rsidRDefault="009D7677" w:rsidP="009D7677">
      <w:pPr>
        <w:pStyle w:val="TextoNormal"/>
      </w:pPr>
    </w:p>
    <w:p w14:paraId="14541023" w14:textId="77777777" w:rsidR="009D7677" w:rsidRDefault="009D7677" w:rsidP="009D7677">
      <w:pPr>
        <w:pStyle w:val="TextoNormal"/>
      </w:pPr>
      <w:r>
        <w:t xml:space="preserve">Los usos agrícolas, ganaderos y forestales propios de la naturaleza de suelo rústico para los que la normativa urbanística no exige la obtención de título habilitante no se refieren a los que puedan desarrollarse en el dominio público marítimo-terrestre. En todo caso, debe </w:t>
      </w:r>
      <w:r>
        <w:lastRenderedPageBreak/>
        <w:t>recordarse nuevamente que la regulación de la Ley del Parlamento de Galicia 4/2023 salvaguarda, cuando sea aplicable, la normativa de costas (art. 31 de la ley impugnada).</w:t>
      </w:r>
    </w:p>
    <w:p w14:paraId="11BA1370" w14:textId="77777777" w:rsidR="009D7677" w:rsidRDefault="009D7677" w:rsidP="009D7677">
      <w:pPr>
        <w:pStyle w:val="TextoNormal"/>
      </w:pPr>
    </w:p>
    <w:p w14:paraId="6914B53D" w14:textId="77777777" w:rsidR="009D7677" w:rsidRDefault="009D7677" w:rsidP="009D7677">
      <w:pPr>
        <w:pStyle w:val="TextoNormal"/>
      </w:pPr>
      <w:r>
        <w:t>En relación con el art. 40.3 de la Ley del Parlamento de Galicia 4/2023, bastará que nos remitamos a las razones por las que se ha desestimado la impugnación del art. 34.3 al tener el mismo contenido que este.</w:t>
      </w:r>
    </w:p>
    <w:p w14:paraId="0BF490ED" w14:textId="77777777" w:rsidR="009D7677" w:rsidRDefault="009D7677" w:rsidP="009D7677">
      <w:pPr>
        <w:pStyle w:val="TextoNormal"/>
      </w:pPr>
    </w:p>
    <w:p w14:paraId="046B0C7C" w14:textId="77777777" w:rsidR="009D7677" w:rsidRDefault="009D7677" w:rsidP="009D7677">
      <w:pPr>
        <w:pStyle w:val="TextoNormal"/>
      </w:pPr>
      <w:r>
        <w:t>Por tanto, la impugnación del art. 40.2 y 3 de la Ley del Parlamento de Galicia 4/2023 debe ser desestimada.</w:t>
      </w:r>
    </w:p>
    <w:p w14:paraId="0DEB5C4B" w14:textId="77777777" w:rsidR="009D7677" w:rsidRDefault="009D7677" w:rsidP="009D7677">
      <w:pPr>
        <w:pStyle w:val="TextoNormal"/>
      </w:pPr>
    </w:p>
    <w:p w14:paraId="3749EB90" w14:textId="77777777" w:rsidR="009D7677" w:rsidRDefault="009D7677" w:rsidP="009D7677">
      <w:pPr>
        <w:pStyle w:val="TextoNormal"/>
      </w:pPr>
      <w:r>
        <w:t>f) Art. 41.2 a), b), c) y d) de la Ley del Parlamento de Galicia 4/2023</w:t>
      </w:r>
    </w:p>
    <w:p w14:paraId="61B0B703" w14:textId="77777777" w:rsidR="009D7677" w:rsidRDefault="009D7677" w:rsidP="009D7677">
      <w:pPr>
        <w:pStyle w:val="TextoNormal"/>
      </w:pPr>
    </w:p>
    <w:p w14:paraId="2071D5BC" w14:textId="77777777" w:rsidR="009D7677" w:rsidRDefault="009D7677" w:rsidP="009D7677">
      <w:pPr>
        <w:pStyle w:val="TextoNormal"/>
      </w:pPr>
      <w:r>
        <w:t>El art. 41.2 a), b), c) y d) tiene el siguiente tenor literal:</w:t>
      </w:r>
    </w:p>
    <w:p w14:paraId="7879C0B4" w14:textId="77777777" w:rsidR="009D7677" w:rsidRDefault="009D7677" w:rsidP="009D7677">
      <w:pPr>
        <w:pStyle w:val="TextoNormal"/>
      </w:pPr>
    </w:p>
    <w:p w14:paraId="1F78AAAE" w14:textId="77777777" w:rsidR="009D7677" w:rsidRDefault="009D7677" w:rsidP="009D7677">
      <w:pPr>
        <w:pStyle w:val="TextoNormal"/>
      </w:pPr>
      <w:r>
        <w:t>“Artículo 41. Usos compatibles en el área de mejora ambiental y paisajística</w:t>
      </w:r>
    </w:p>
    <w:p w14:paraId="5AFD5851" w14:textId="77777777" w:rsidR="009D7677" w:rsidRDefault="009D7677" w:rsidP="009D7677">
      <w:pPr>
        <w:pStyle w:val="TextoNormal"/>
      </w:pPr>
    </w:p>
    <w:p w14:paraId="20C32014" w14:textId="77777777" w:rsidR="009D7677" w:rsidRDefault="009D7677" w:rsidP="009D7677">
      <w:pPr>
        <w:pStyle w:val="TextoNormal"/>
      </w:pPr>
      <w:r>
        <w:t>1. En los términos establecidos en el artículo 31, los planes de ordenación del litoral dispondrán los usos y actividades compatibles con los objetivos de ordenación señalados en el artículo 39.</w:t>
      </w:r>
    </w:p>
    <w:p w14:paraId="6DA6E2FA" w14:textId="77777777" w:rsidR="009D7677" w:rsidRDefault="009D7677" w:rsidP="009D7677">
      <w:pPr>
        <w:pStyle w:val="TextoNormal"/>
      </w:pPr>
    </w:p>
    <w:p w14:paraId="6A50D920" w14:textId="77777777" w:rsidR="009D7677" w:rsidRDefault="009D7677" w:rsidP="009D7677">
      <w:pPr>
        <w:pStyle w:val="TextoNormal"/>
      </w:pPr>
      <w:r>
        <w:t>2. En todo caso, son usos compatibles, y por lo tanto sujetos a la intervención administrativa previa, los susceptibles de causar afección sobre los valores ambientales y paisajísticos, y entre ellos los siguientes:</w:t>
      </w:r>
    </w:p>
    <w:p w14:paraId="25357989" w14:textId="77777777" w:rsidR="009D7677" w:rsidRDefault="009D7677" w:rsidP="009D7677">
      <w:pPr>
        <w:pStyle w:val="TextoNormal"/>
      </w:pPr>
    </w:p>
    <w:p w14:paraId="5F411B47" w14:textId="77777777" w:rsidR="009D7677" w:rsidRDefault="009D7677" w:rsidP="009D7677">
      <w:pPr>
        <w:pStyle w:val="TextoNormal"/>
      </w:pPr>
      <w:r>
        <w:t>a) Los usos comunes especiales y los usos privativos del dominio público marítimo-terrestre, descritos en el apartado 2 del artículo 35.</w:t>
      </w:r>
    </w:p>
    <w:p w14:paraId="7308C953" w14:textId="77777777" w:rsidR="009D7677" w:rsidRDefault="009D7677" w:rsidP="009D7677">
      <w:pPr>
        <w:pStyle w:val="TextoNormal"/>
      </w:pPr>
    </w:p>
    <w:p w14:paraId="6643EA12" w14:textId="77777777" w:rsidR="009D7677" w:rsidRDefault="009D7677" w:rsidP="009D7677">
      <w:pPr>
        <w:pStyle w:val="TextoNormal"/>
      </w:pPr>
      <w:r>
        <w:t>b) Los usos en la zona de servidumbre de protección del dominio público marítimo-terrestre, salvo los cultivos y las plantaciones, permitidos conforme a lo dispuesto en el artículo 40 y en la normativa de costas.</w:t>
      </w:r>
    </w:p>
    <w:p w14:paraId="446CE799" w14:textId="77777777" w:rsidR="009D7677" w:rsidRDefault="009D7677" w:rsidP="009D7677">
      <w:pPr>
        <w:pStyle w:val="TextoNormal"/>
      </w:pPr>
    </w:p>
    <w:p w14:paraId="44152575" w14:textId="77777777" w:rsidR="009D7677" w:rsidRDefault="009D7677" w:rsidP="009D7677">
      <w:pPr>
        <w:pStyle w:val="TextoNormal"/>
      </w:pPr>
      <w:r>
        <w:t>c) Los usos en las zonas periféricas de protección de los espacios naturales, cuando lo exija el plan de ordenación o de gestión del espacio protegido.</w:t>
      </w:r>
    </w:p>
    <w:p w14:paraId="2369CAD7" w14:textId="77777777" w:rsidR="009D7677" w:rsidRDefault="009D7677" w:rsidP="009D7677">
      <w:pPr>
        <w:pStyle w:val="TextoNormal"/>
      </w:pPr>
    </w:p>
    <w:p w14:paraId="4839A8BE" w14:textId="77777777" w:rsidR="009D7677" w:rsidRDefault="009D7677" w:rsidP="009D7677">
      <w:pPr>
        <w:pStyle w:val="TextoNormal"/>
      </w:pPr>
      <w:r>
        <w:t>d) Los usos de los espacios de especial interés ambiental y paisajístico, no incluidos en el área de protección ambiental, que delimite el plan de ordenación costera”.</w:t>
      </w:r>
    </w:p>
    <w:p w14:paraId="3A281C44" w14:textId="77777777" w:rsidR="009D7677" w:rsidRDefault="009D7677" w:rsidP="009D7677">
      <w:pPr>
        <w:pStyle w:val="TextoNormal"/>
      </w:pPr>
    </w:p>
    <w:p w14:paraId="3732B473" w14:textId="77777777" w:rsidR="009D7677" w:rsidRDefault="009D7677" w:rsidP="009D7677">
      <w:pPr>
        <w:pStyle w:val="TextoNormal"/>
      </w:pPr>
      <w:r>
        <w:t xml:space="preserve">(i) El abogado del Estado, recuerda que los usos compatibles con el área de mejora ambiental y paisajística pueden comprender bienes del dominio público marítimo-terrestre y terrenos afectados por la servidumbre de protección, así como espacios ajenos a la Ley de costas (art. 37 de la Ley del Parlamento de Galicia 4/2023) e indica que incurre en los mismos excesos que el art. 35 en tanto que no le corresponde a la comunidad autónoma regular los usos autorizables del dominio público marítimo-terrestre, ni reproducir la regulación estatal. Incluye algunos no previstos como posibles en la legislación estatal de costas, como son “[l]os usos en las zonas periféricas de protección de los espacios naturales, cuando lo exija el plan de ordenación o de gestión del espacio protegido” o “[l]os usos de espacios de especial interés ambiental y paisajístico, no incluidos en el área de protección ambiental, que delimite el Plan de ordenación costera”, lo que no puede ser admitido al no </w:t>
      </w:r>
      <w:r>
        <w:lastRenderedPageBreak/>
        <w:t>encajar en la Ley de costas. Añade que la Comunidad Autónoma de Galicia no es competente para el otorgamiento de los correspondientes títulos habilitantes para la ocupación del dominio público.</w:t>
      </w:r>
    </w:p>
    <w:p w14:paraId="7C652544" w14:textId="77777777" w:rsidR="009D7677" w:rsidRDefault="009D7677" w:rsidP="009D7677">
      <w:pPr>
        <w:pStyle w:val="TextoNormal"/>
      </w:pPr>
    </w:p>
    <w:p w14:paraId="21B19BCD" w14:textId="77777777" w:rsidR="009D7677" w:rsidRDefault="009D7677" w:rsidP="009D7677">
      <w:pPr>
        <w:pStyle w:val="TextoNormal"/>
      </w:pPr>
      <w:r>
        <w:t xml:space="preserve">(ii) La posición de la Xunta y del Parlamento de Galicia contraria a la inconstitucionalidad del precepto precisa que el área de mejora ambiental y paisajística comprende solo tierra y el área que menos afecta a la normativa costera en términos cuantitativos y la regulación se sustenta en las competencias propias de ordenación de litoral, para dictar normas adicionales de protección y en competencias urbanísticas. Se sustenta nuevamente en que la finalidad del precepto es dar seguridad jurídica y favorecer la ansiada gestión integral del litoral y por ello trae al texto los usos que, de modo disperso, se regulan sobre el área de mejora ambiental y paisajística, lo que justifica el uso de la </w:t>
      </w:r>
      <w:r w:rsidRPr="009D7677">
        <w:rPr>
          <w:i/>
        </w:rPr>
        <w:t>lex repetita</w:t>
      </w:r>
      <w:r>
        <w:t>. Las novedades introducidas se basan en competencias propias y la competencia del Estado sobre el dominio público marítimo-terrestre le faculta a establecer límites máximos y mínimos para garantiza el uso público del dominio público marítimo-terrestre y su conservación y protección. En la zona de protección operan las competencias de los arts. 149.1.1 y 23 CE. Se remite a los argumentos sobre los preceptos anteriores. Destaca ciertas imprecisiones en las que incurre el recurso y destaca que conforme a los arts. 37 y 43 de la Ley del Parlamento de Galicia 4/2023 si sobre un mismo espacio confluyen normas o instrumentos con regímenes de uso distinto, se aplicará la regla que suponga una mayor protección.</w:t>
      </w:r>
    </w:p>
    <w:p w14:paraId="258404E6" w14:textId="77777777" w:rsidR="009D7677" w:rsidRDefault="009D7677" w:rsidP="009D7677">
      <w:pPr>
        <w:pStyle w:val="TextoNormal"/>
      </w:pPr>
    </w:p>
    <w:p w14:paraId="653DC76B" w14:textId="77777777" w:rsidR="009D7677" w:rsidRDefault="009D7677" w:rsidP="009D7677">
      <w:pPr>
        <w:pStyle w:val="TextoNormal"/>
      </w:pPr>
      <w:r>
        <w:t>Añade que la denunciada inclusión de usos no previstos en la Ley de costas (art. 41.2 c) y d) de la Ley del Parlamento de Galicia 4/2023), omite que en las letras a) y b) se regulan los usos comunes especiales y los usos privativos sobre el dominio público marítimo-terrestre y los usos en la zona de servidumbre de protección. Fuera de estas zonas, que se regulan en la Ley de costas, se recogen como compatibles, sujetos a título de intervención, lo usos en las zonas periféricas de protección de espacios naturales y los espacios de especial interés paisajístico no incluidos en el área de protección ambiental.</w:t>
      </w:r>
    </w:p>
    <w:p w14:paraId="5413C8F5" w14:textId="77777777" w:rsidR="009D7677" w:rsidRDefault="009D7677" w:rsidP="009D7677">
      <w:pPr>
        <w:pStyle w:val="TextoNormal"/>
      </w:pPr>
    </w:p>
    <w:p w14:paraId="77B8F7EE" w14:textId="77777777" w:rsidR="009D7677" w:rsidRDefault="009D7677" w:rsidP="009D7677">
      <w:pPr>
        <w:pStyle w:val="TextoNormal"/>
      </w:pPr>
      <w:r>
        <w:t>En relación con el art. 40.3 de la Ley del Parlamento de Galicia 4/2023 en tanto que el reproche se remite a la posible inconstitucionalidad del capítulo V, posterga su defensa a la valoración del indicado capítulo.</w:t>
      </w:r>
    </w:p>
    <w:p w14:paraId="0DD88EBF" w14:textId="77777777" w:rsidR="009D7677" w:rsidRDefault="009D7677" w:rsidP="009D7677">
      <w:pPr>
        <w:pStyle w:val="TextoNormal"/>
      </w:pPr>
    </w:p>
    <w:p w14:paraId="6CAB8A8D" w14:textId="77777777" w:rsidR="009D7677" w:rsidRDefault="009D7677" w:rsidP="009D7677">
      <w:pPr>
        <w:pStyle w:val="TextoNormal"/>
      </w:pPr>
      <w:r>
        <w:t xml:space="preserve">(iii) Debemos desestimar la impugnación del art. 41.2 a), b), c) y d) de la Ley del Parlamento de Galicia 4/2023. En la medida en que el escrito del recurso impugna el art. 41.2 por los mismos excesos competenciales que el art. 35 de la Ley y con el mismo argumento, esto es que en las áreas de mejora ambiental y paisajística hay bienes del dominio público marítimo-terrestre, debe rechazarse la inconstitucionalidad de todas las quejas remitiéndonos a lo expuesto para descartar la inconstitucionalidad de los usos compatibles en el área de protección ambiental. Por tanto, concluir nuevamente que no existe contradicción con la normativa de costas porque la regulación de la Ley del Parlamento de Galicia 4/2023 es “sin perjuicio de lo dispuesto en la normativa de costas” (art. 31). Y, añadir además en relación con el art. 41.2 c) y d) de la Ley del Parlamento de Galicia 4/2023 que declaran compatibles los usos, cuando lo exija el plan de ordenación o de gestión del espacio protegido o lo delimite el plan de ordenación costera, por lo que en su caso deberá reaccionarse, frente a las vulneraciones de la Constitución que pudieran derivarse de las delimitaciones de los usos compatibles que prevean los referidos planes a través de las </w:t>
      </w:r>
      <w:r>
        <w:lastRenderedPageBreak/>
        <w:t>correspondientes vías que dispone el ordenamiento jurídico (SSTC 77/1985, FJ 4, y 172/1992, FJ 2).</w:t>
      </w:r>
    </w:p>
    <w:p w14:paraId="7157283E" w14:textId="77777777" w:rsidR="009D7677" w:rsidRDefault="009D7677" w:rsidP="009D7677">
      <w:pPr>
        <w:pStyle w:val="TextoNormal"/>
      </w:pPr>
    </w:p>
    <w:p w14:paraId="1EACB214" w14:textId="77777777" w:rsidR="009D7677" w:rsidRDefault="009D7677" w:rsidP="009D7677">
      <w:pPr>
        <w:pStyle w:val="TextoNormal"/>
      </w:pPr>
      <w:r>
        <w:t>Por tanto, se debe desestimar la impugnación del art. 41.2 a), b), c) y d) de la Ley del Parlamento de Galicia 4/2023.</w:t>
      </w:r>
    </w:p>
    <w:p w14:paraId="295B9EE7" w14:textId="77777777" w:rsidR="009D7677" w:rsidRDefault="009D7677" w:rsidP="009D7677">
      <w:pPr>
        <w:pStyle w:val="TextoNormal"/>
      </w:pPr>
    </w:p>
    <w:p w14:paraId="012F20A0" w14:textId="77777777" w:rsidR="009D7677" w:rsidRDefault="009D7677" w:rsidP="009D7677">
      <w:pPr>
        <w:pStyle w:val="TextoNormal"/>
      </w:pPr>
      <w:r>
        <w:t>g) El art. 46.3 a) y b) de la Ley del Parlamento de Galicia 4/2023</w:t>
      </w:r>
    </w:p>
    <w:p w14:paraId="00496FB2" w14:textId="77777777" w:rsidR="009D7677" w:rsidRDefault="009D7677" w:rsidP="009D7677">
      <w:pPr>
        <w:pStyle w:val="TextoNormal"/>
      </w:pPr>
    </w:p>
    <w:p w14:paraId="0F2BF0FF" w14:textId="77777777" w:rsidR="009D7677" w:rsidRDefault="009D7677" w:rsidP="009D7677">
      <w:pPr>
        <w:pStyle w:val="TextoNormal"/>
      </w:pPr>
      <w:r>
        <w:t>Dispone el art. 46.3 a) y b):</w:t>
      </w:r>
    </w:p>
    <w:p w14:paraId="75C36337" w14:textId="77777777" w:rsidR="009D7677" w:rsidRDefault="009D7677" w:rsidP="009D7677">
      <w:pPr>
        <w:pStyle w:val="TextoNormal"/>
      </w:pPr>
    </w:p>
    <w:p w14:paraId="2CA02C5F" w14:textId="77777777" w:rsidR="009D7677" w:rsidRDefault="009D7677" w:rsidP="009D7677">
      <w:pPr>
        <w:pStyle w:val="TextoNormal"/>
      </w:pPr>
      <w:r>
        <w:t>“Artículo 46. Usos en el área de reordenación</w:t>
      </w:r>
    </w:p>
    <w:p w14:paraId="179936B0" w14:textId="77777777" w:rsidR="009D7677" w:rsidRDefault="009D7677" w:rsidP="009D7677">
      <w:pPr>
        <w:pStyle w:val="TextoNormal"/>
      </w:pPr>
    </w:p>
    <w:p w14:paraId="36B0F9FF" w14:textId="77777777" w:rsidR="009D7677" w:rsidRDefault="009D7677" w:rsidP="009D7677">
      <w:pPr>
        <w:pStyle w:val="TextoNormal"/>
      </w:pPr>
      <w:r>
        <w:t>[…]</w:t>
      </w:r>
    </w:p>
    <w:p w14:paraId="6D9E4FFA" w14:textId="77777777" w:rsidR="009D7677" w:rsidRDefault="009D7677" w:rsidP="009D7677">
      <w:pPr>
        <w:pStyle w:val="TextoNormal"/>
      </w:pPr>
    </w:p>
    <w:p w14:paraId="5B028D11" w14:textId="77777777" w:rsidR="009D7677" w:rsidRDefault="009D7677" w:rsidP="009D7677">
      <w:pPr>
        <w:pStyle w:val="TextoNormal"/>
      </w:pPr>
      <w:r>
        <w:t>3. Están prohibidos:</w:t>
      </w:r>
    </w:p>
    <w:p w14:paraId="434AA978" w14:textId="77777777" w:rsidR="009D7677" w:rsidRDefault="009D7677" w:rsidP="009D7677">
      <w:pPr>
        <w:pStyle w:val="TextoNormal"/>
      </w:pPr>
    </w:p>
    <w:p w14:paraId="71F9063F" w14:textId="77777777" w:rsidR="009D7677" w:rsidRDefault="009D7677" w:rsidP="009D7677">
      <w:pPr>
        <w:pStyle w:val="TextoNormal"/>
      </w:pPr>
      <w:r>
        <w:t>a) Los usos recogidos en el artículo 32.2 de la Ley 22/1988, de 28 de julio, de costas, cuando se trate de bienes de dominio público marítimo-terrestre.</w:t>
      </w:r>
    </w:p>
    <w:p w14:paraId="12EED559" w14:textId="77777777" w:rsidR="009D7677" w:rsidRDefault="009D7677" w:rsidP="009D7677">
      <w:pPr>
        <w:pStyle w:val="TextoNormal"/>
      </w:pPr>
    </w:p>
    <w:p w14:paraId="4A0C2531" w14:textId="77777777" w:rsidR="009D7677" w:rsidRDefault="009D7677" w:rsidP="009D7677">
      <w:pPr>
        <w:pStyle w:val="TextoNormal"/>
      </w:pPr>
      <w:r>
        <w:t>b) Los usos recogidos en el artículo 25.1 de la Ley 22/1988, de 28 de julio, de costas, cuando se trate de espacios comprendidos en la zona de servidumbre de protección del dominio público marítimo-terrestre, salvo que se cumplan las condiciones establecidas en el apartado 3 de su disposición transitoria tercera”.</w:t>
      </w:r>
    </w:p>
    <w:p w14:paraId="242E5B30" w14:textId="77777777" w:rsidR="009D7677" w:rsidRDefault="009D7677" w:rsidP="009D7677">
      <w:pPr>
        <w:pStyle w:val="TextoNormal"/>
      </w:pPr>
    </w:p>
    <w:p w14:paraId="4774D970" w14:textId="77777777" w:rsidR="009D7677" w:rsidRDefault="009D7677" w:rsidP="009D7677">
      <w:pPr>
        <w:pStyle w:val="TextoNormal"/>
      </w:pPr>
      <w:r>
        <w:t>(i) El escrito de impugnación justifica la inconstitucionalidad del art. 46.3 a) y b) de la Ley del Parlamento de Galicia 4/2023 en que regula el régimen jurídico de dominio público marítimo-terrestre, al establecer los usos permitidos en el área de reordenación, la cual puede incluir espacios de dominio público marítimo-terrestre, como la zona de servicio de los puertos autonómicos y los terrenos afectados por la servidumbre de protección. Recuerda, que la zona de servicio de un puerto autonómico si bien no coincide con el dominio público marítimo-terrestre, si lo hace con la zona de servidumbre de protección de aquél, que incluye determinados bienes que tienen la consideración de dominio público marítimo-terrestre (art. 52.1 de la Ley del Parlamento de Galicia 6/2017, de 12 de diciembre, de puertos de Galicia) regulándose los usos permitidos y prohibiciones de dicha zona de servicio portuaria (art. 49 LC y arts. 105 RGC). A la zona de servicio del puerto no coincidente con el dominio público marítimo-terrestre, pero si con la servidumbre de protección de aquel, son de aplicación las limitaciones de uso que prevé el artículo 25 LC y concordantes del Reglamento general de la Ley de costas (STC 34/2014, de 27 de febrero, FJ 4).</w:t>
      </w:r>
    </w:p>
    <w:p w14:paraId="1FADD5AF" w14:textId="77777777" w:rsidR="009D7677" w:rsidRDefault="009D7677" w:rsidP="009D7677">
      <w:pPr>
        <w:pStyle w:val="TextoNormal"/>
      </w:pPr>
    </w:p>
    <w:p w14:paraId="167D8718" w14:textId="77777777" w:rsidR="009D7677" w:rsidRDefault="009D7677" w:rsidP="009D7677">
      <w:pPr>
        <w:pStyle w:val="TextoNormal"/>
      </w:pPr>
      <w:r>
        <w:t xml:space="preserve">(ii) La Xunta y del Parlamento de Galicia defienden la constitucionalidad del precepto, en tanto que más allá crítica al uso de la </w:t>
      </w:r>
      <w:r w:rsidRPr="009D7677">
        <w:rPr>
          <w:i/>
        </w:rPr>
        <w:t>lex repetita</w:t>
      </w:r>
      <w:r>
        <w:t>, el precepto se refiere a los usos prohibidos del art. 25 y 32 LC. No se puede considerar que la Ley de costas y el Reglamento general de la Ley de costas agotan el régimen jurídico del dominio público marítimo-terrestre, pues ello vaciaría la competencia autonómica (STC 34/2014).</w:t>
      </w:r>
    </w:p>
    <w:p w14:paraId="68FDB0C8" w14:textId="77777777" w:rsidR="009D7677" w:rsidRDefault="009D7677" w:rsidP="009D7677">
      <w:pPr>
        <w:pStyle w:val="TextoNormal"/>
      </w:pPr>
    </w:p>
    <w:p w14:paraId="35D2B00C" w14:textId="77777777" w:rsidR="009D7677" w:rsidRDefault="009D7677" w:rsidP="009D7677">
      <w:pPr>
        <w:pStyle w:val="TextoNormal"/>
      </w:pPr>
      <w:r>
        <w:t xml:space="preserve">(iii) La impugnación del art. 46.3 a) y b) de la Ley del Parlamento de Galicia 4/2023 debe ser desestimada. El escrito de impugnación no aporta razones concretas por las que la </w:t>
      </w:r>
      <w:r>
        <w:lastRenderedPageBreak/>
        <w:t xml:space="preserve">remisión a los usos prohibidos recogidos en el artículo 25.1 y 32.2 LC en relación con los bienes de dominio público marítimo-terrestre y de la zona de especial protección, deba ser considerada lesiva a las competencias estatales cuando la Comunidad Autónoma de Galicia tiene títulos competenciales que le habilitan para legislar sobre el dominio público marítimo-terrestre y la zona de especial protección y la remisión explicita puede dotar de sentido o inteligibilidad al texto normativo en los términos expuestos al tratar de la </w:t>
      </w:r>
      <w:r w:rsidRPr="009D7677">
        <w:rPr>
          <w:i/>
        </w:rPr>
        <w:t>lex repetita</w:t>
      </w:r>
      <w:r>
        <w:t xml:space="preserve"> en el fundamento 3 c) anterior. A mayor abundamiento debe indicarse que el recurso de inconstitucionalidad no ha impugnado similar redacción contenida en el art. 42.2 a) y b) de la ley controvertida en relación con los usos prohibidos en el área de mejora ambiental y paisajística.</w:t>
      </w:r>
    </w:p>
    <w:p w14:paraId="371F99F7" w14:textId="77777777" w:rsidR="009D7677" w:rsidRDefault="009D7677" w:rsidP="009D7677">
      <w:pPr>
        <w:pStyle w:val="TextoNormal"/>
      </w:pPr>
    </w:p>
    <w:p w14:paraId="22234722" w14:textId="77777777" w:rsidR="009D7677" w:rsidRDefault="009D7677" w:rsidP="009D7677">
      <w:pPr>
        <w:pStyle w:val="TextoNormal"/>
      </w:pPr>
      <w:r>
        <w:t>Procede desestimar la impugnación del art. 46.3 a) y b) de la Ley del Parlamento de Galicia 4/2023.</w:t>
      </w:r>
    </w:p>
    <w:p w14:paraId="682AC5F1" w14:textId="77777777" w:rsidR="009D7677" w:rsidRDefault="009D7677" w:rsidP="009D7677">
      <w:pPr>
        <w:pStyle w:val="TextoNormal"/>
      </w:pPr>
    </w:p>
    <w:p w14:paraId="1CD984DC" w14:textId="77777777" w:rsidR="009D7677" w:rsidRDefault="009D7677" w:rsidP="009D7677">
      <w:pPr>
        <w:pStyle w:val="TextoNormal"/>
      </w:pPr>
      <w:r>
        <w:t>h) Articulo 46.5 en el inciso “[l]os bienes cedidos serán destinados a fines de uso o servicio público”</w:t>
      </w:r>
    </w:p>
    <w:p w14:paraId="7C49129A" w14:textId="77777777" w:rsidR="009D7677" w:rsidRDefault="009D7677" w:rsidP="009D7677">
      <w:pPr>
        <w:pStyle w:val="TextoNormal"/>
      </w:pPr>
    </w:p>
    <w:p w14:paraId="44ADB493" w14:textId="77777777" w:rsidR="009D7677" w:rsidRDefault="009D7677" w:rsidP="009D7677">
      <w:pPr>
        <w:pStyle w:val="TextoNormal"/>
      </w:pPr>
      <w:r>
        <w:t>“Artículo 46. Usos en el área de reordenación</w:t>
      </w:r>
    </w:p>
    <w:p w14:paraId="1C6256B2" w14:textId="77777777" w:rsidR="009D7677" w:rsidRDefault="009D7677" w:rsidP="009D7677">
      <w:pPr>
        <w:pStyle w:val="TextoNormal"/>
      </w:pPr>
    </w:p>
    <w:p w14:paraId="5F088917" w14:textId="77777777" w:rsidR="009D7677" w:rsidRDefault="009D7677" w:rsidP="009D7677">
      <w:pPr>
        <w:pStyle w:val="TextoNormal"/>
      </w:pPr>
      <w:r>
        <w:t>[…]</w:t>
      </w:r>
    </w:p>
    <w:p w14:paraId="00EC1121" w14:textId="77777777" w:rsidR="009D7677" w:rsidRDefault="009D7677" w:rsidP="009D7677">
      <w:pPr>
        <w:pStyle w:val="TextoNormal"/>
      </w:pPr>
    </w:p>
    <w:p w14:paraId="3469DCC7" w14:textId="77777777" w:rsidR="009D7677" w:rsidRDefault="009D7677" w:rsidP="009D7677">
      <w:pPr>
        <w:pStyle w:val="TextoNormal"/>
      </w:pPr>
      <w:r>
        <w:t>5. La Administración autonómica o los ayuntamientos costeros promoverán procedimientos de desafectación de los espacios que resultasen innecesarios para el dominio público marítimo-terrestre o para los usos portuarios, con expresa solicitud de cesión gratuita de aquellos en favor de la Administración autonómica o de la entidad local. Los bienes cedidos serán destinados a fines de uso o servicio público”.</w:t>
      </w:r>
    </w:p>
    <w:p w14:paraId="4208BD7F" w14:textId="77777777" w:rsidR="009D7677" w:rsidRDefault="009D7677" w:rsidP="009D7677">
      <w:pPr>
        <w:pStyle w:val="TextoNormal"/>
      </w:pPr>
    </w:p>
    <w:p w14:paraId="4E73EA35" w14:textId="77777777" w:rsidR="009D7677" w:rsidRDefault="009D7677" w:rsidP="009D7677">
      <w:pPr>
        <w:pStyle w:val="TextoNormal"/>
      </w:pPr>
      <w:r>
        <w:t>(i) La impugnación del precepto dice literalmente “El inciso final del apartado 5 (‘Los bienes cedidos serán destinados a fines de uso o servicio público’), por tratarse de un aspecto de competencia regulatoria estatal en razón de la titularidad estatal del dominio público marítimo-terrestre al que se refiere la cesión en conexión con el resto de los apartados impugnados del artículo conforme a los argumentos previstos en las alegaciones precedentes”.</w:t>
      </w:r>
    </w:p>
    <w:p w14:paraId="4D5942CD" w14:textId="77777777" w:rsidR="009D7677" w:rsidRDefault="009D7677" w:rsidP="009D7677">
      <w:pPr>
        <w:pStyle w:val="TextoNormal"/>
      </w:pPr>
    </w:p>
    <w:p w14:paraId="2FCE3592" w14:textId="77777777" w:rsidR="009D7677" w:rsidRDefault="009D7677" w:rsidP="009D7677">
      <w:pPr>
        <w:pStyle w:val="TextoNormal"/>
      </w:pPr>
      <w:r>
        <w:t>(ii) La defensa del inciso que contempla el art. 46.5 —“[l]os bienes cedidos serán destinados a fines de uso o servicio público”—, parte de una referencia más extensa al precepto impugnado. El art. 46.5 de la Ley del Parlamento de Galicia 4/2023 establece que la administración autonómica o los ayuntamientos promoverán los procedimientos de desafectación de espacios que resulten innecesarios para el dominio público marítimo-terrestre o para los usos portuarios, con expresa solicitud de cesión gratuita de aquellos en favor de la administración autonómica o de la entidad local. Y se completa el apartado señalando que “[l]os bienes cedidos serán destinados a los fines de uso o servicio público”. Este último inciso es el que se impugna, pasando por alto que el destino se señala respecto de bienes cedidos que han sido previamente desafectados, por lo que ya no tienen la condición demanial. Nuevamente reprocha la ausencia de carga impugnativa, al basarse el cuestionamiento del precepto en la mera manifestación de la existencia de una “apropiación de la competencia exclusiva del Estado para regular el régimen jurídico del dominio público marítimo-terrestre porque es propietario demanial del mismo”.</w:t>
      </w:r>
    </w:p>
    <w:p w14:paraId="703CCF3A" w14:textId="77777777" w:rsidR="009D7677" w:rsidRDefault="009D7677" w:rsidP="009D7677">
      <w:pPr>
        <w:pStyle w:val="TextoNormal"/>
      </w:pPr>
    </w:p>
    <w:p w14:paraId="773DEEA9" w14:textId="77777777" w:rsidR="009D7677" w:rsidRDefault="009D7677" w:rsidP="009D7677">
      <w:pPr>
        <w:pStyle w:val="TextoNormal"/>
      </w:pPr>
      <w:r>
        <w:t>(iii) La genérica impugnación efectuada imposibilita conocer cuáles son las razones de la impugnación, en tanto que el inciso impugnado parte de la previa desafectación de los bienes cedidos. De este modo, tales bienes carecen de la condición demanial que determina la atribución de facultades al Estado por lo que las alegaciones del escrito de impugnación no permiten comprender cómo es posible la afectación al régimen jurídico del dominio público marítimo-terrestre.</w:t>
      </w:r>
    </w:p>
    <w:p w14:paraId="10B53B68" w14:textId="77777777" w:rsidR="009D7677" w:rsidRDefault="009D7677" w:rsidP="009D7677">
      <w:pPr>
        <w:pStyle w:val="TextoNormal"/>
      </w:pPr>
    </w:p>
    <w:p w14:paraId="184C9F4C" w14:textId="77777777" w:rsidR="009D7677" w:rsidRDefault="009D7677" w:rsidP="009D7677">
      <w:pPr>
        <w:pStyle w:val="TextoNormal"/>
      </w:pPr>
      <w:r>
        <w:t>La impugnación del inciso “[l]os bienes cedidos serán destinados a fines de uso o servicio público” del art. 46.5 de la Ley del Parlamento de Galicia 4/2023 debe ser desestimada.</w:t>
      </w:r>
    </w:p>
    <w:p w14:paraId="4D252B65" w14:textId="77777777" w:rsidR="009D7677" w:rsidRDefault="009D7677" w:rsidP="009D7677">
      <w:pPr>
        <w:pStyle w:val="TextoNormal"/>
      </w:pPr>
    </w:p>
    <w:p w14:paraId="1E77F7D7" w14:textId="77777777" w:rsidR="009D7677" w:rsidRDefault="009D7677" w:rsidP="009D7677">
      <w:pPr>
        <w:pStyle w:val="TextoNormal"/>
      </w:pPr>
      <w:r>
        <w:t>i) Art. 48.3 de la Ley del Parlamento de Galicia 4/2023</w:t>
      </w:r>
    </w:p>
    <w:p w14:paraId="6B63F97D" w14:textId="77777777" w:rsidR="009D7677" w:rsidRDefault="009D7677" w:rsidP="009D7677">
      <w:pPr>
        <w:pStyle w:val="TextoNormal"/>
      </w:pPr>
    </w:p>
    <w:p w14:paraId="1122DB68" w14:textId="77777777" w:rsidR="009D7677" w:rsidRDefault="009D7677" w:rsidP="009D7677">
      <w:pPr>
        <w:pStyle w:val="TextoNormal"/>
      </w:pPr>
      <w:r>
        <w:t>Dispone el art. 48.3 lo siguiente:</w:t>
      </w:r>
    </w:p>
    <w:p w14:paraId="3FEF033B" w14:textId="77777777" w:rsidR="009D7677" w:rsidRDefault="009D7677" w:rsidP="009D7677">
      <w:pPr>
        <w:pStyle w:val="TextoNormal"/>
      </w:pPr>
    </w:p>
    <w:p w14:paraId="0DB4D2DD" w14:textId="77777777" w:rsidR="009D7677" w:rsidRDefault="009D7677" w:rsidP="009D7677">
      <w:pPr>
        <w:pStyle w:val="TextoNormal"/>
      </w:pPr>
      <w:r>
        <w:t>“Artículo 48. Autorizaciones y concesiones del dominio público marítimo-terrestre</w:t>
      </w:r>
    </w:p>
    <w:p w14:paraId="39A6A4B1" w14:textId="77777777" w:rsidR="009D7677" w:rsidRDefault="009D7677" w:rsidP="009D7677">
      <w:pPr>
        <w:pStyle w:val="TextoNormal"/>
      </w:pPr>
    </w:p>
    <w:p w14:paraId="294140C0" w14:textId="77777777" w:rsidR="009D7677" w:rsidRDefault="009D7677" w:rsidP="009D7677">
      <w:pPr>
        <w:pStyle w:val="TextoNormal"/>
      </w:pPr>
      <w:r>
        <w:t>1. Respetando el régimen general establecido en la normativa de costas, las autorizaciones y concesiones del dominio público marítimo-terrestre serán otorgadas por las consejerías competentes en materia de ordenación del territorio o de mar, según proceda, en el momento en que se produzca el efectivo traspaso de funciones y servicios de la administración general del Estado a la Comunidad Autónoma de Galicia en materia de ordenación del litoral.</w:t>
      </w:r>
    </w:p>
    <w:p w14:paraId="7260EEB0" w14:textId="77777777" w:rsidR="009D7677" w:rsidRDefault="009D7677" w:rsidP="009D7677">
      <w:pPr>
        <w:pStyle w:val="TextoNormal"/>
      </w:pPr>
    </w:p>
    <w:p w14:paraId="1D9CA0C1" w14:textId="77777777" w:rsidR="009D7677" w:rsidRDefault="009D7677" w:rsidP="009D7677">
      <w:pPr>
        <w:pStyle w:val="TextoNormal"/>
      </w:pPr>
      <w:r>
        <w:t>2. En los espacios portuarios autonómicos corresponde otorgar las autorizaciones y concesiones del dominio público a la administración portuaria, que lo hará de conformidad con su normativa específica.</w:t>
      </w:r>
    </w:p>
    <w:p w14:paraId="689419EC" w14:textId="77777777" w:rsidR="009D7677" w:rsidRDefault="009D7677" w:rsidP="009D7677">
      <w:pPr>
        <w:pStyle w:val="TextoNormal"/>
      </w:pPr>
    </w:p>
    <w:p w14:paraId="4108DF6E" w14:textId="77777777" w:rsidR="009D7677" w:rsidRDefault="009D7677" w:rsidP="009D7677">
      <w:pPr>
        <w:pStyle w:val="TextoNormal"/>
      </w:pPr>
      <w:r>
        <w:t>3. En cumplimiento de la normativa de costas, podrá permitirse la ocupación del dominio público marítimo-terrestre únicamente para aquellas actividades o instalaciones que, por su naturaleza, no puedan tener otra ubicación, esto es, las que desempeñen una función o presten un servicio que, por sus características, requiera la ocupación del dominio público marítimo-terrestre.</w:t>
      </w:r>
    </w:p>
    <w:p w14:paraId="4C78E8BD" w14:textId="77777777" w:rsidR="009D7677" w:rsidRDefault="009D7677" w:rsidP="009D7677">
      <w:pPr>
        <w:pStyle w:val="TextoNormal"/>
      </w:pPr>
    </w:p>
    <w:p w14:paraId="61DC613E" w14:textId="77777777" w:rsidR="009D7677" w:rsidRDefault="009D7677" w:rsidP="009D7677">
      <w:pPr>
        <w:pStyle w:val="TextoNormal"/>
      </w:pPr>
      <w:r>
        <w:t>En particular, se entenderá que desempeñan una función o prestan un servicio que, por sus características, requiere la ocupación del dominio público marítimo-terrestre las siguientes:</w:t>
      </w:r>
    </w:p>
    <w:p w14:paraId="2450FC64" w14:textId="77777777" w:rsidR="009D7677" w:rsidRDefault="009D7677" w:rsidP="009D7677">
      <w:pPr>
        <w:pStyle w:val="TextoNormal"/>
      </w:pPr>
    </w:p>
    <w:p w14:paraId="6362CDA9" w14:textId="77777777" w:rsidR="009D7677" w:rsidRDefault="009D7677" w:rsidP="009D7677">
      <w:pPr>
        <w:pStyle w:val="TextoNormal"/>
      </w:pPr>
      <w:r>
        <w:t>a) Los establecimientos de la cadena mar-industria alimentaria, en los términos señalados en el artículo 55.</w:t>
      </w:r>
    </w:p>
    <w:p w14:paraId="107F929C" w14:textId="77777777" w:rsidR="009D7677" w:rsidRDefault="009D7677" w:rsidP="009D7677">
      <w:pPr>
        <w:pStyle w:val="TextoNormal"/>
      </w:pPr>
    </w:p>
    <w:p w14:paraId="1FFCD4AE" w14:textId="77777777" w:rsidR="009D7677" w:rsidRDefault="009D7677" w:rsidP="009D7677">
      <w:pPr>
        <w:pStyle w:val="TextoNormal"/>
      </w:pPr>
      <w:r>
        <w:t>b) Las dotaciones públicas esenciales para el abastecimiento de poblaciones y el saneamiento y depuración de las aguas residuales recogidas en el artículo 60.</w:t>
      </w:r>
    </w:p>
    <w:p w14:paraId="2EA71115" w14:textId="77777777" w:rsidR="009D7677" w:rsidRDefault="009D7677" w:rsidP="009D7677">
      <w:pPr>
        <w:pStyle w:val="TextoNormal"/>
      </w:pPr>
    </w:p>
    <w:p w14:paraId="5D6E37E8" w14:textId="77777777" w:rsidR="009D7677" w:rsidRDefault="009D7677" w:rsidP="009D7677">
      <w:pPr>
        <w:pStyle w:val="TextoNormal"/>
      </w:pPr>
      <w:r>
        <w:t>c) Las infraestructuras energéticas, preferentemente de energía renovable, que suministren electricidad o gas a las actividades o instalaciones legalmente establecidas en el dominio público marítimo-terrestre.</w:t>
      </w:r>
    </w:p>
    <w:p w14:paraId="514EFC6A" w14:textId="77777777" w:rsidR="009D7677" w:rsidRDefault="009D7677" w:rsidP="009D7677">
      <w:pPr>
        <w:pStyle w:val="TextoNormal"/>
      </w:pPr>
    </w:p>
    <w:p w14:paraId="2304BE4A" w14:textId="77777777" w:rsidR="009D7677" w:rsidRDefault="009D7677" w:rsidP="009D7677">
      <w:pPr>
        <w:pStyle w:val="TextoNormal"/>
      </w:pPr>
      <w:r>
        <w:t>d) Las instalaciones de generación eléctrica a partir de fuentes de energía renovables que tengan que ocupar el mar, así como sus instalaciones complementarias que requieran espacios de dominio público marítimo-terrestre en tierra.</w:t>
      </w:r>
    </w:p>
    <w:p w14:paraId="3CCB3ECF" w14:textId="77777777" w:rsidR="009D7677" w:rsidRDefault="009D7677" w:rsidP="009D7677">
      <w:pPr>
        <w:pStyle w:val="TextoNormal"/>
      </w:pPr>
    </w:p>
    <w:p w14:paraId="0632F0AA" w14:textId="77777777" w:rsidR="009D7677" w:rsidRDefault="009D7677" w:rsidP="009D7677">
      <w:pPr>
        <w:pStyle w:val="TextoNormal"/>
      </w:pPr>
      <w:r>
        <w:t>e) Las instalaciones náutico-deportivas necesarias para acoger la práctica de deportes náuticos.</w:t>
      </w:r>
    </w:p>
    <w:p w14:paraId="2B4F3E4A" w14:textId="77777777" w:rsidR="009D7677" w:rsidRDefault="009D7677" w:rsidP="009D7677">
      <w:pPr>
        <w:pStyle w:val="TextoNormal"/>
      </w:pPr>
    </w:p>
    <w:p w14:paraId="159B1EF9" w14:textId="77777777" w:rsidR="009D7677" w:rsidRDefault="009D7677" w:rsidP="009D7677">
      <w:pPr>
        <w:pStyle w:val="TextoNormal"/>
      </w:pPr>
      <w:r>
        <w:t>f) Las infraestructuras de soporte a las redes de comunicaciones electrónicas que presten servicio a las actividades o instalaciones legalmente establecidas en el dominio público marítimo-terrestre.</w:t>
      </w:r>
    </w:p>
    <w:p w14:paraId="45B2F386" w14:textId="77777777" w:rsidR="009D7677" w:rsidRDefault="009D7677" w:rsidP="009D7677">
      <w:pPr>
        <w:pStyle w:val="TextoNormal"/>
      </w:pPr>
    </w:p>
    <w:p w14:paraId="2599A065" w14:textId="77777777" w:rsidR="009D7677" w:rsidRDefault="009D7677" w:rsidP="009D7677">
      <w:pPr>
        <w:pStyle w:val="TextoNormal"/>
      </w:pPr>
      <w:r>
        <w:t>g) Las actividades e instalaciones de servicio público o al público que, por la configuración física del tramo de costa en el que resulte necesario su emplazamiento, no puedan situarse en los terrenos colindantes con dicho dominio, siempre que la documentación que se adjunte al proyecto de actividad o instalación acredite el cumplimiento de la normativa de costas e incluya un estudio de alternativas que justifique la ubicación escogida”.</w:t>
      </w:r>
    </w:p>
    <w:p w14:paraId="6A27F975" w14:textId="77777777" w:rsidR="009D7677" w:rsidRDefault="009D7677" w:rsidP="009D7677">
      <w:pPr>
        <w:pStyle w:val="TextoNormal"/>
      </w:pPr>
    </w:p>
    <w:p w14:paraId="5649B03F" w14:textId="77777777" w:rsidR="009D7677" w:rsidRDefault="009D7677" w:rsidP="009D7677">
      <w:pPr>
        <w:pStyle w:val="TextoNormal"/>
      </w:pPr>
      <w:r>
        <w:t>(i) Se impugna el art. 48.3 porque al prever los usos que considera autorizables en el dominio público marítimo-terrestre se extralimita en las competencias autonómicas, sin que la mera reproducción del precepto estatal evite el vicio de inconstitucionalidad. La impugnación refiere que el precepto establece una presunción legal sobre la necesidad de ocupación del dominio público marítimo-terrestre, pese a que muchas de las actividades o instalaciones se podrían ubicar fuera del dominio público marítimo-terrestre y tratarse de “actividades o instalaciones que la propia Ley de costas (de aplicación preferente e insoslayable) prohíbe expresamente en el dominio público marítimo terrestre (como sucede con las instalaciones de tratamiento de aguas residuales o los colectores paralelos a la costa)”.</w:t>
      </w:r>
    </w:p>
    <w:p w14:paraId="3C4D1219" w14:textId="77777777" w:rsidR="009D7677" w:rsidRDefault="009D7677" w:rsidP="009D7677">
      <w:pPr>
        <w:pStyle w:val="TextoNormal"/>
      </w:pPr>
    </w:p>
    <w:p w14:paraId="709B74BE" w14:textId="77777777" w:rsidR="009D7677" w:rsidRDefault="009D7677" w:rsidP="009D7677">
      <w:pPr>
        <w:pStyle w:val="TextoNormal"/>
      </w:pPr>
      <w:r>
        <w:t xml:space="preserve">(ii) Se defiende la constitucionalidad del art. 48.3 de la Ley del Parlamento de Galicia 4/2023, por una parte, mediante el reproche del escaso esfuerzo de concreción del recurrente —que no razona, ni desvirtúa la incompatibilidad de las letras a) a g) del art. 48.3 de la Ley— y por otra a través de afirmar las tantas veces referidas competencias de la Comunidad Autónoma de Galicia. Se refiere a los siete tipos de actividades o instalaciones que requieren la ocupación del dominio público marítimo-terrestre: la letra a) se refiere a actividades e instalaciones reguladas el art. 55 de la ley controvertida que para el Consejo de Estado no era contrario al art. 32 LC; la letra b) se refiere a activades reguladas en el art. 60 de la Ley del Parlamento de Galicia 4/2023, y debe estarse a lo que sobre el mismo se disponga; la letra c) se limita a favorecer el suministro energético a los establecimientos que ya ocupan legalmente el dominio público marítimo-terrestre; la letra d) recoge las instalaciones de generación de energía eléctrica a partir de fuentes renovables en el mar y sus correspondientes instalaciones auxiliares en tierra, que no son, desde luego, actividades e instalaciones que planteen dudas sobre la necesidad de ocupar espacios de dominio público marítimo-terrestre, a la vista de la presencia de ellas en los planes de ordenación del espacio marítimo aprobados por el Estado mediante Real Decreto 150/2023, de 28 de febrero, que declara numerosas “zonas de alto potencial para el desarrollo de la energía eólica marina”; la letra e) recoge las instalaciones náutico-deportivas necesarias para acoger la práctica de deportes náuticos, expresamente permitidos en dominio público marítimo-terrestre de conformidad con lo establecido en el art. 70 RGC; la letra f) como en la </w:t>
      </w:r>
      <w:r>
        <w:lastRenderedPageBreak/>
        <w:t>letra c), se trata de favorecer las redes de comunicación en los establecimientos que ya ocupan legalmente el dominio público marítimo-terrestre, sin que pueda siquiera intuirse de donde puede derivar la pretendida incompatibilidad con la normativa de costas; la letra g) recoge un supuesto regulado en la Ley de costas y en el art. 61.2.b RGC, pero se hace más exigente su implantación, añadiendo, por tanto, una norma adicional de protección, se incorpora la exigencia de que “siempre que la documentación que se adjunte al proyecto de actividad o instalación acredite el cumplimiento de la normativa de costas e incluya un estudio de alternativas que justifique la ubicación escogida”. No hay razón alguna para declarar la inconstitucionalidad de este apartado.</w:t>
      </w:r>
    </w:p>
    <w:p w14:paraId="5A645C1C" w14:textId="77777777" w:rsidR="009D7677" w:rsidRDefault="009D7677" w:rsidP="009D7677">
      <w:pPr>
        <w:pStyle w:val="TextoNormal"/>
      </w:pPr>
    </w:p>
    <w:p w14:paraId="0CEE04DC" w14:textId="77777777" w:rsidR="009D7677" w:rsidRDefault="009D7677" w:rsidP="009D7677">
      <w:pPr>
        <w:pStyle w:val="TextoNormal"/>
      </w:pPr>
      <w:r>
        <w:t>En defensa de la norma se indica que el art. 48.3 respeta el art. 32.1 de la Ley y el art. 61 del Reglamento, que establecen aquellos límites mínimos y máximos que corresponde establecer al Estado. En cualquier caso, y dicho todo lo anterior, si el Estado considerase que una determinada localización (no la norma que la recoge, que es genérica) incumple alguna de las exigencias de las normas por las que le corresponde velar como titular demanial, dispondrá de los instrumentos que le ofrece la propia Ley de costas para impedir dicho uso.</w:t>
      </w:r>
    </w:p>
    <w:p w14:paraId="20C19D02" w14:textId="77777777" w:rsidR="009D7677" w:rsidRDefault="009D7677" w:rsidP="009D7677">
      <w:pPr>
        <w:pStyle w:val="TextoNormal"/>
      </w:pPr>
    </w:p>
    <w:p w14:paraId="613EAE6C" w14:textId="77777777" w:rsidR="009D7677" w:rsidRDefault="009D7677" w:rsidP="009D7677">
      <w:pPr>
        <w:pStyle w:val="TextoNormal"/>
      </w:pPr>
      <w:r>
        <w:t>(iii) Ningún reproche de constitucionalidad se ha de hacer al párrafo primero del art. 48.3 de la Ley del Parlamento de Galicia 4/2023 en la medida en que, en los mismos términos que el art. 32.1 LC, limita la ocupación del dominio público marítimo-terrestre únicamente a “aquellas actividades o instalaciones que, por su naturaleza, no puedan tener otra ubicación”. Conclusión que no se ve desvirtuada por entender como tales las que “desempeñen una función o presten un servicio que, por sus características, requiera la ocupación del dominio público marítimo-terrestre”, pues en los mismos términos se expresa el art. 61.2 a) RGC que añade, además, las actividades o instalaciones “de servicio público o al público que, por la configuración física del tramo de costa en que resulte necesario su emplazamiento, no puedan ubicarse en los terrenos colindantes con dicho dominio” [art. 61.2 b) RGC]. Es evidente que la norma autonómica en nada altera la exigencia de limitar la ocupación del dominio público marítimo-terrestre a las actividades o instalaciones que no puedan tener otra ubicación —regla formulada en términos negativos— o que requieran la ocupación del dominio público marítimo-terrestre —regla formulada en términos positivos— bien porque desempeñan una función o presten un servicio que, por sus características, así lo requiera, bien por tratarse de actividades o instalaciones de servicio público o servicio al público.</w:t>
      </w:r>
    </w:p>
    <w:p w14:paraId="38D1F43A" w14:textId="77777777" w:rsidR="009D7677" w:rsidRDefault="009D7677" w:rsidP="009D7677">
      <w:pPr>
        <w:pStyle w:val="TextoNormal"/>
      </w:pPr>
    </w:p>
    <w:p w14:paraId="1EDA9BE5" w14:textId="77777777" w:rsidR="009D7677" w:rsidRDefault="009D7677" w:rsidP="009D7677">
      <w:pPr>
        <w:pStyle w:val="TextoNormal"/>
      </w:pPr>
      <w:r>
        <w:t>Por otra parte, el abogado del Estado reprocha al precepto establecer una presunción de legalidad sobre la necesidad de ocupación del dominio público marítimo-terrestre por parte de las actividades, instalaciones, dotaciones e infraestructuras que se enumeran en el párrafo segundo del art. 48.3 de la Ley del Parlamento de Galicia 4/2023. El cuestionado listado recoge, sin ánimo de exhaustividad, una serie de actividades o instalaciones que, en abstracto, pudieran cumplir las dos premisas exigidas por la normativa estatal de costas (art. 32.1 LC y art. 61 RGC). El hecho de que pudieran cumplir no significa que, en cada caso concreto, cumplan las exigencias de la normativa estatal y que, por tanto, deban ser autorizadas. Las facultades estatales como titular del dominio público marítimo-terrestre permanecen incólumes, como expresamente reconoce, por otra parte, el art. 31 de la Ley del Parlamento de Galicia 4/2023.</w:t>
      </w:r>
    </w:p>
    <w:p w14:paraId="3BE7F622" w14:textId="77777777" w:rsidR="009D7677" w:rsidRDefault="009D7677" w:rsidP="009D7677">
      <w:pPr>
        <w:pStyle w:val="TextoNormal"/>
      </w:pPr>
    </w:p>
    <w:p w14:paraId="6F686C47" w14:textId="77777777" w:rsidR="009D7677" w:rsidRDefault="009D7677" w:rsidP="009D7677">
      <w:pPr>
        <w:pStyle w:val="TextoNormal"/>
      </w:pPr>
      <w:r>
        <w:lastRenderedPageBreak/>
        <w:t>Procede desestimar la impugnación del art. 48.3 de la Ley del Parlamento de Galicia 4/2023.</w:t>
      </w:r>
    </w:p>
    <w:p w14:paraId="19E20951" w14:textId="77777777" w:rsidR="009D7677" w:rsidRDefault="009D7677" w:rsidP="009D7677">
      <w:pPr>
        <w:pStyle w:val="TextoNormal"/>
      </w:pPr>
    </w:p>
    <w:p w14:paraId="51528CFD" w14:textId="77777777" w:rsidR="009D7677" w:rsidRDefault="009D7677" w:rsidP="009D7677">
      <w:pPr>
        <w:pStyle w:val="TextoNormal"/>
      </w:pPr>
      <w:r>
        <w:t>j) Art. 49.1 (inciso “salvo que estén sujetos a declaración responsable de acuerdo con lo dispuesto en el apartado siguiente”) y apartados 2, 3 y 4</w:t>
      </w:r>
    </w:p>
    <w:p w14:paraId="44735D87" w14:textId="77777777" w:rsidR="009D7677" w:rsidRDefault="009D7677" w:rsidP="009D7677">
      <w:pPr>
        <w:pStyle w:val="TextoNormal"/>
      </w:pPr>
    </w:p>
    <w:p w14:paraId="29E9D57C" w14:textId="77777777" w:rsidR="009D7677" w:rsidRDefault="009D7677" w:rsidP="009D7677">
      <w:pPr>
        <w:pStyle w:val="TextoNormal"/>
      </w:pPr>
      <w:r>
        <w:t>Dispone el art. 49 de la Ley del Parlamento de Galicia 4/2023 lo siguiente:</w:t>
      </w:r>
    </w:p>
    <w:p w14:paraId="14D59401" w14:textId="77777777" w:rsidR="009D7677" w:rsidRDefault="009D7677" w:rsidP="009D7677">
      <w:pPr>
        <w:pStyle w:val="TextoNormal"/>
      </w:pPr>
    </w:p>
    <w:p w14:paraId="1F9AB107" w14:textId="77777777" w:rsidR="009D7677" w:rsidRDefault="009D7677" w:rsidP="009D7677">
      <w:pPr>
        <w:pStyle w:val="TextoNormal"/>
      </w:pPr>
      <w:r>
        <w:t>“Artículo 49. Autorización autonómica para usos en la zona de servidumbre de protección del dominio público marítimo-terrestre.</w:t>
      </w:r>
    </w:p>
    <w:p w14:paraId="1206B871" w14:textId="77777777" w:rsidR="009D7677" w:rsidRDefault="009D7677" w:rsidP="009D7677">
      <w:pPr>
        <w:pStyle w:val="TextoNormal"/>
      </w:pPr>
    </w:p>
    <w:p w14:paraId="69478694" w14:textId="77777777" w:rsidR="009D7677" w:rsidRDefault="009D7677" w:rsidP="009D7677">
      <w:pPr>
        <w:pStyle w:val="TextoNormal"/>
      </w:pPr>
      <w:r>
        <w:t>1. Los usos y actividades que pretendan llevarse a cabo en los espacios comprendidos en la zona de servidumbre de protección del dominio público marítimo-terrestre requerirán autorización previa autonómica otorgada por la consejería competente en materia urbanística, salvo que estén sujetos a declaración responsable de acuerdo con lo dispuesto en el apartado siguiente.</w:t>
      </w:r>
    </w:p>
    <w:p w14:paraId="1F75D983" w14:textId="77777777" w:rsidR="009D7677" w:rsidRDefault="009D7677" w:rsidP="009D7677">
      <w:pPr>
        <w:pStyle w:val="TextoNormal"/>
      </w:pPr>
    </w:p>
    <w:p w14:paraId="4E91EE43" w14:textId="77777777" w:rsidR="009D7677" w:rsidRDefault="009D7677" w:rsidP="009D7677">
      <w:pPr>
        <w:pStyle w:val="TextoNormal"/>
      </w:pPr>
      <w:r>
        <w:t>2. Están sujetas a declaración responsable las actuaciones que se proyecten sobre las obras, actividades e instalaciones legalmente implantadas en la zona de servidumbre de protección del dominio público marítimo-terrestre que no conlleven incremento de altura, superficie ocupada o volumetría existente ni cambio de uso.</w:t>
      </w:r>
    </w:p>
    <w:p w14:paraId="5B12BF84" w14:textId="77777777" w:rsidR="009D7677" w:rsidRDefault="009D7677" w:rsidP="009D7677">
      <w:pPr>
        <w:pStyle w:val="TextoNormal"/>
      </w:pPr>
    </w:p>
    <w:p w14:paraId="3AFE48DB" w14:textId="77777777" w:rsidR="009D7677" w:rsidRDefault="009D7677" w:rsidP="009D7677">
      <w:pPr>
        <w:pStyle w:val="TextoNormal"/>
      </w:pPr>
      <w:r>
        <w:t>3. Sin perjuicio de lo dispuesto en la normativa de costas y, en su caso, en los instrumentos de planificación de los espacios naturales protegidos, en los terrenos comprendidos en la zona de servidumbre de protección podrán realizarse obras, instalaciones y actividades que, por su naturaleza, no puedan tener otra ubicación, entre ellas las señaladas en el artículo 48.3.</w:t>
      </w:r>
    </w:p>
    <w:p w14:paraId="0662678D" w14:textId="77777777" w:rsidR="009D7677" w:rsidRDefault="009D7677" w:rsidP="009D7677">
      <w:pPr>
        <w:pStyle w:val="TextoNormal"/>
      </w:pPr>
    </w:p>
    <w:p w14:paraId="0056135F" w14:textId="77777777" w:rsidR="009D7677" w:rsidRDefault="009D7677" w:rsidP="009D7677">
      <w:pPr>
        <w:pStyle w:val="TextoNormal"/>
      </w:pPr>
      <w:r>
        <w:t>4. Asimismo, podrán realizarse en la zona de servidumbre de protección obras, instalaciones y actividades que presten servicios necesarios o convenientes para el uso del dominio público marítimo-terrestre, entre los cuales se encuentran los siguientes:</w:t>
      </w:r>
    </w:p>
    <w:p w14:paraId="6EFD85FF" w14:textId="77777777" w:rsidR="009D7677" w:rsidRDefault="009D7677" w:rsidP="009D7677">
      <w:pPr>
        <w:pStyle w:val="TextoNormal"/>
      </w:pPr>
    </w:p>
    <w:p w14:paraId="63320001" w14:textId="77777777" w:rsidR="009D7677" w:rsidRDefault="009D7677" w:rsidP="009D7677">
      <w:pPr>
        <w:pStyle w:val="TextoNormal"/>
      </w:pPr>
      <w:r>
        <w:t>a) Las instalaciones o actividades que favorezcan el uso común del dominio público marítimo-terrestre, singularmente de las playas, como los servicios de restauración, vigilancia y atención médica y los deportes náuticos.</w:t>
      </w:r>
    </w:p>
    <w:p w14:paraId="2AC488E8" w14:textId="77777777" w:rsidR="009D7677" w:rsidRDefault="009D7677" w:rsidP="009D7677">
      <w:pPr>
        <w:pStyle w:val="TextoNormal"/>
      </w:pPr>
    </w:p>
    <w:p w14:paraId="2F947B70" w14:textId="77777777" w:rsidR="009D7677" w:rsidRDefault="009D7677" w:rsidP="009D7677">
      <w:pPr>
        <w:pStyle w:val="TextoNormal"/>
      </w:pPr>
      <w:r>
        <w:t>b) Las instalaciones desmontables que permitan la celebración de espectáculos públicos y actividades recreativas de temporada.</w:t>
      </w:r>
    </w:p>
    <w:p w14:paraId="187D0EED" w14:textId="77777777" w:rsidR="009D7677" w:rsidRDefault="009D7677" w:rsidP="009D7677">
      <w:pPr>
        <w:pStyle w:val="TextoNormal"/>
      </w:pPr>
    </w:p>
    <w:p w14:paraId="3A970A2E" w14:textId="77777777" w:rsidR="009D7677" w:rsidRDefault="009D7677" w:rsidP="009D7677">
      <w:pPr>
        <w:pStyle w:val="TextoNormal"/>
      </w:pPr>
      <w:r>
        <w:t>c) Las instalaciones deportivas descubiertas.</w:t>
      </w:r>
    </w:p>
    <w:p w14:paraId="570243D6" w14:textId="77777777" w:rsidR="009D7677" w:rsidRDefault="009D7677" w:rsidP="009D7677">
      <w:pPr>
        <w:pStyle w:val="TextoNormal"/>
      </w:pPr>
    </w:p>
    <w:p w14:paraId="1EED3BCB" w14:textId="77777777" w:rsidR="009D7677" w:rsidRDefault="009D7677" w:rsidP="009D7677">
      <w:pPr>
        <w:pStyle w:val="TextoNormal"/>
      </w:pPr>
      <w:r>
        <w:t>d) Las acampadas o campamentos autorizados con instalaciones desmontables, en los términos que se determinen reglamentariamente y en la normativa sectorial que resulte de aplicación.</w:t>
      </w:r>
    </w:p>
    <w:p w14:paraId="55F4A6CC" w14:textId="77777777" w:rsidR="009D7677" w:rsidRDefault="009D7677" w:rsidP="009D7677">
      <w:pPr>
        <w:pStyle w:val="TextoNormal"/>
      </w:pPr>
    </w:p>
    <w:p w14:paraId="3067DD96" w14:textId="77777777" w:rsidR="009D7677" w:rsidRDefault="009D7677" w:rsidP="009D7677">
      <w:pPr>
        <w:pStyle w:val="TextoNormal"/>
      </w:pPr>
      <w:r>
        <w:t>e) Las obras e instalaciones que mejoren la eficiencia energética de edificaciones e instalaciones que ocupen legítimamente la servidumbre de protección o el dominio público marítimo-terrestre.</w:t>
      </w:r>
    </w:p>
    <w:p w14:paraId="46002FDD" w14:textId="77777777" w:rsidR="009D7677" w:rsidRDefault="009D7677" w:rsidP="009D7677">
      <w:pPr>
        <w:pStyle w:val="TextoNormal"/>
      </w:pPr>
    </w:p>
    <w:p w14:paraId="1A8FCAB9" w14:textId="77777777" w:rsidR="009D7677" w:rsidRDefault="009D7677" w:rsidP="009D7677">
      <w:pPr>
        <w:pStyle w:val="TextoNormal"/>
      </w:pPr>
      <w:r>
        <w:t>f) Las obras e instalaciones que ejecuten medidas de intervención y protección establecidas en un plan de acción del paisaje.</w:t>
      </w:r>
    </w:p>
    <w:p w14:paraId="35723861" w14:textId="77777777" w:rsidR="009D7677" w:rsidRDefault="009D7677" w:rsidP="009D7677">
      <w:pPr>
        <w:pStyle w:val="TextoNormal"/>
      </w:pPr>
    </w:p>
    <w:p w14:paraId="16F9FD18" w14:textId="77777777" w:rsidR="009D7677" w:rsidRDefault="009D7677" w:rsidP="009D7677">
      <w:pPr>
        <w:pStyle w:val="TextoNormal"/>
      </w:pPr>
      <w:r>
        <w:t>g) La actividad forestal necesaria para el mantenimiento por sus titulares de las masas forestales existentes.</w:t>
      </w:r>
    </w:p>
    <w:p w14:paraId="3BF06774" w14:textId="77777777" w:rsidR="009D7677" w:rsidRDefault="009D7677" w:rsidP="009D7677">
      <w:pPr>
        <w:pStyle w:val="TextoNormal"/>
      </w:pPr>
    </w:p>
    <w:p w14:paraId="30D31099" w14:textId="77777777" w:rsidR="009D7677" w:rsidRDefault="009D7677" w:rsidP="009D7677">
      <w:pPr>
        <w:pStyle w:val="TextoNormal"/>
      </w:pPr>
      <w:r>
        <w:t>h) Las actividades, instalaciones e infraestructuras vinculadas a la prevención y extinción de incendios forestales.</w:t>
      </w:r>
    </w:p>
    <w:p w14:paraId="5DD20B8E" w14:textId="77777777" w:rsidR="009D7677" w:rsidRDefault="009D7677" w:rsidP="009D7677">
      <w:pPr>
        <w:pStyle w:val="TextoNormal"/>
      </w:pPr>
    </w:p>
    <w:p w14:paraId="785EA82C" w14:textId="77777777" w:rsidR="009D7677" w:rsidRDefault="009D7677" w:rsidP="009D7677">
      <w:pPr>
        <w:pStyle w:val="TextoNormal"/>
      </w:pPr>
      <w:r>
        <w:t>i) Las obras, instalaciones y actividades necesarias para la ejecución de las actuaciones estratégicas recogidas en el título IV de esta ley.</w:t>
      </w:r>
    </w:p>
    <w:p w14:paraId="149DD476" w14:textId="77777777" w:rsidR="009D7677" w:rsidRDefault="009D7677" w:rsidP="009D7677">
      <w:pPr>
        <w:pStyle w:val="TextoNormal"/>
      </w:pPr>
    </w:p>
    <w:p w14:paraId="73992236" w14:textId="77777777" w:rsidR="009D7677" w:rsidRDefault="009D7677" w:rsidP="009D7677">
      <w:pPr>
        <w:pStyle w:val="TextoNormal"/>
      </w:pPr>
      <w:r>
        <w:t>En los demás casos, la necesidad o conveniencia será determinada por el órgano competente para autorizar los usos, debiendo quedar constancia de la justificación en la motivación de la resolución que se adopte”.</w:t>
      </w:r>
    </w:p>
    <w:p w14:paraId="41F45E47" w14:textId="77777777" w:rsidR="009D7677" w:rsidRDefault="009D7677" w:rsidP="009D7677">
      <w:pPr>
        <w:pStyle w:val="TextoNormal"/>
      </w:pPr>
    </w:p>
    <w:p w14:paraId="723BECAE" w14:textId="77777777" w:rsidR="009D7677" w:rsidRDefault="009D7677" w:rsidP="009D7677">
      <w:pPr>
        <w:pStyle w:val="TextoNormal"/>
      </w:pPr>
      <w:r>
        <w:t>(i) El art. 49.1 es cuestionado únicamente en lo que se refiere a su segundo inciso “salvo que estén sujetos a declaración responsable de acuerdo con lo dispuesto en el apartado siguiente” en conexión con el art. 49.2 de la Ley del Parlamento de Galicia 4/2023. Por otra parte, impugna íntegramente sus apartados 2, 3 y 4 a los que llama el inciso final del apartado 1 impugnado.</w:t>
      </w:r>
    </w:p>
    <w:p w14:paraId="45410016" w14:textId="77777777" w:rsidR="009D7677" w:rsidRDefault="009D7677" w:rsidP="009D7677">
      <w:pPr>
        <w:pStyle w:val="TextoNormal"/>
      </w:pPr>
    </w:p>
    <w:p w14:paraId="7FABCBAB" w14:textId="77777777" w:rsidR="009D7677" w:rsidRDefault="009D7677" w:rsidP="009D7677">
      <w:pPr>
        <w:pStyle w:val="TextoNormal"/>
      </w:pPr>
      <w:r>
        <w:t>Se impugna el apartado 2, junto con el mencionado inciso del apartado 1, al sustituir la autorización prevista en el art. 49 RGC por una declaración responsable al impedir que la Administración General del Estado emita el informe previo al inicio de la actividad con el contenido del art. 50 RGC. Establecer un concreto mecanismo de intervención administrativa forma parte de la competencia del Estado (art. 149.1.18 CE) para garantizar el tratamiento común de los titulares de derechos. (STC 57/2016, de 17 de marzo, FJ 4).</w:t>
      </w:r>
    </w:p>
    <w:p w14:paraId="3CAB3900" w14:textId="77777777" w:rsidR="009D7677" w:rsidRDefault="009D7677" w:rsidP="009D7677">
      <w:pPr>
        <w:pStyle w:val="TextoNormal"/>
      </w:pPr>
    </w:p>
    <w:p w14:paraId="2BFD5C11" w14:textId="77777777" w:rsidR="009D7677" w:rsidRDefault="009D7677" w:rsidP="009D7677">
      <w:pPr>
        <w:pStyle w:val="TextoNormal"/>
      </w:pPr>
      <w:r>
        <w:t>Por otra parte, los apartados 3 y 4 del art. 49 recogen una presunción legal de que determinadas obras, instalaciones y actividades, son susceptibles de desarrollarse en terrenos afectados por la servidumbre de costas, pese a que podrían tener una ubicación diferente, vulnerando la Ley de costas y los fines que la justifican al reducir la protección del litoral y contraviniendo el art. 25 LC. Este no contempla la posibilidad de ciertas instalaciones y prohíbe expresamente otras como las edificaciones destinadas a residencia o habitación o las instalaciones de tratamiento de aguas residuales y colectores paralelos en los primeros veinte metros desde la ribera del mar. Valorar la “conveniencia” a que alude el apartado 4, no podría tener más interpretación que la vinculación al propio uso del dominio público marítimo-terrestre, conforme al art. 25.2 LC. La legislación ambiental puede ser reforzada, pero no debilitada por la Comunidad Autónoma de Galicia (art. 149.1.23 CE). Las previsiones del art. 25 LC pretenden la protección integral espacial del demanio (STC 149/1991) y tiene carácter básico.</w:t>
      </w:r>
    </w:p>
    <w:p w14:paraId="72274631" w14:textId="77777777" w:rsidR="009D7677" w:rsidRDefault="009D7677" w:rsidP="009D7677">
      <w:pPr>
        <w:pStyle w:val="TextoNormal"/>
      </w:pPr>
    </w:p>
    <w:p w14:paraId="37343120" w14:textId="77777777" w:rsidR="009D7677" w:rsidRDefault="009D7677" w:rsidP="009D7677">
      <w:pPr>
        <w:pStyle w:val="TextoNormal"/>
      </w:pPr>
      <w:r>
        <w:t xml:space="preserve">(ii) La Xunta y el Parlamento de Galicia defienden la constitucionalidad de los preceptos impugnados, al considerar que la competencia para establecer títulos de intervención administrativa es autonómica, aunque puede ser condicionada por el Estado. El juicio de constitucionalidad obliga a contrastar el art. 49.2 de la Ley del Parlamento de Galicia </w:t>
      </w:r>
      <w:r>
        <w:lastRenderedPageBreak/>
        <w:t xml:space="preserve">4/2023 con la Ley de costas. Efectuado el contraste de ambos considera que la exigencia de declaración responsable en estos supuestos no afecta al art. 50 RGC ni rebaja la protección y es proporcionada en los mismos términos en que se justificó por el legislador estatal el art. 13 </w:t>
      </w:r>
      <w:r w:rsidRPr="009D7677">
        <w:rPr>
          <w:i/>
        </w:rPr>
        <w:t>bis</w:t>
      </w:r>
      <w:r>
        <w:t xml:space="preserve"> LC. Llama la atención que la comisión bilateral para resolver conflictos de la Ley 8/2020, de 30 de julio, de protección y ordenación del litoral en los arts. 18 y 30 recoge similar redacción y fueron considerados constitucionales. Propone finalmente una interpretación conforme, por la que se considere constitucional sin perjuicio del informe que corresponde emitir al Estado respecto a la servidumbre de tránsito, en el trámite correspondiente del título habilitante urbanístico.</w:t>
      </w:r>
    </w:p>
    <w:p w14:paraId="7CABE23B" w14:textId="77777777" w:rsidR="009D7677" w:rsidRDefault="009D7677" w:rsidP="009D7677">
      <w:pPr>
        <w:pStyle w:val="TextoNormal"/>
      </w:pPr>
    </w:p>
    <w:p w14:paraId="55899DD7" w14:textId="77777777" w:rsidR="009D7677" w:rsidRDefault="009D7677" w:rsidP="009D7677">
      <w:pPr>
        <w:pStyle w:val="TextoNormal"/>
      </w:pPr>
      <w:r>
        <w:t>En relación con el art. 49.3 y 4 de la Ley del Parlamento de Galicia 4/2023, considera que el recurrente equipara de modo equivocado el art. 25 y el 32 LC. El art. 25.2 LC no establece como límite las obras, instalaciones y actividades que por su naturaleza requieran la ocupación del dominio público marítimo-terrestre sino las que “presten servicios necesarios o convenientes para el uso del dominio público marítimo-terrestre”. Apela a la necesidad o conveniencia de modo disyuntivo, no acumulativo, lo que amplía el margen de actuación en esta zona y además recoge ejemplificativamente algunas de estas instalaciones y actividades, dejando abierta la relación. Por lo que es improcedente impugnar en bloque el art. 49.4 de la ley controvertida, sin justificar su innecesariedad o falta de conveniencia, sin que esa falta de argumentación pueda ser suplida.</w:t>
      </w:r>
    </w:p>
    <w:p w14:paraId="114A993C" w14:textId="77777777" w:rsidR="009D7677" w:rsidRDefault="009D7677" w:rsidP="009D7677">
      <w:pPr>
        <w:pStyle w:val="TextoNormal"/>
      </w:pPr>
    </w:p>
    <w:p w14:paraId="2F080E4E" w14:textId="77777777" w:rsidR="009D7677" w:rsidRDefault="009D7677" w:rsidP="009D7677">
      <w:pPr>
        <w:pStyle w:val="TextoNormal"/>
      </w:pPr>
      <w:r>
        <w:t>(iii) Debemos adelantar que las impugnaciones del inciso “salvo que estén sujetos a declaración responsable de acuerdo con lo dispuesto en el apartado siguiente” (art. 49.</w:t>
      </w:r>
      <w:r w:rsidRPr="009D7677">
        <w:rPr>
          <w:i/>
        </w:rPr>
        <w:t>1 in fi</w:t>
      </w:r>
      <w:r>
        <w:t>ne de la Ley del Parlamento de Galicia 4/2023) y del apartado 2 del art. 49 deben ser desestimadas.</w:t>
      </w:r>
    </w:p>
    <w:p w14:paraId="648DE4C8" w14:textId="77777777" w:rsidR="009D7677" w:rsidRDefault="009D7677" w:rsidP="009D7677">
      <w:pPr>
        <w:pStyle w:val="TextoNormal"/>
      </w:pPr>
    </w:p>
    <w:p w14:paraId="0DFC9B79" w14:textId="77777777" w:rsidR="009D7677" w:rsidRDefault="009D7677" w:rsidP="009D7677">
      <w:pPr>
        <w:pStyle w:val="TextoNormal"/>
      </w:pPr>
      <w:r>
        <w:t>Del indicado inciso del art. 49.1 juntamente con el art. 49.2 de la Ley del Parlamento de Galicia 4/2023, resulta la posibilidad de que los usos y actividades en la zona de especial protección del dominio público marítimo-terrestre queden exceptuados de la autorización previa y se sustituyan por la declaración responsable únicamente cuando se proyecten sobre sobre las obras, actividades e instalaciones legalmente implantadas en esa zona que no conlleven incremento de altura, superficie ocupada o volumetría existente ni cambio de uso. El precepto por tanto se circunscribe a las actuaciones que, recayendo sobre obras, actividades e instalaciones ya autorizadas, no conlleven incremento de la altura, de la superficie ocupada o de la volumetría existente, ni tampoco un cambio de uso. La expresión utilizada está en sintonía con la reforma operada en la Ley de costas por la Ley 2/2013, de 29 de mayo, y viene a actualizar la antigua referencia a las obras que consistían en pequeñas reparaciones que exija la higiene, ornato y conservación que se contenía en la letra b) del apartado 2, de la disposición transitoria cuarta antes de la modificación producida por la mencionada Ley 2/2013.</w:t>
      </w:r>
    </w:p>
    <w:p w14:paraId="2B1D60AF" w14:textId="77777777" w:rsidR="009D7677" w:rsidRDefault="009D7677" w:rsidP="009D7677">
      <w:pPr>
        <w:pStyle w:val="TextoNormal"/>
      </w:pPr>
    </w:p>
    <w:p w14:paraId="785E2E2C" w14:textId="77777777" w:rsidR="009D7677" w:rsidRDefault="009D7677" w:rsidP="009D7677">
      <w:pPr>
        <w:pStyle w:val="TextoNormal"/>
      </w:pPr>
      <w:r>
        <w:t>La Ley 2/2013 modifica el régimen de intervención administrativa sobre tales obras. Indica en su exposición de motivos que “[l]a principal novedad que se introduce respecto de la zona de servidumbre de protección es la dirigida a las edificaciones que legítimamente la ocupan, a cuyos titulares se les permitirá realizar las obras de reparación, mejora, modernización y consolidación, siempre que no impliquen un aumento de volumen, altura ni superficie. Sustituyendo la autorización administrativa autonómica por la declaración responsable. En la que tendrán que incluir, como ya se ha indicado, que tales obras cum</w:t>
      </w:r>
      <w:r>
        <w:lastRenderedPageBreak/>
        <w:t>plen con los requisitos de eficiencia energética y ahorro de agua”. A tal efecto la Ley 2/2013 por una parte introduce el art. 1</w:t>
      </w:r>
      <w:r w:rsidRPr="009D7677">
        <w:rPr>
          <w:i/>
        </w:rPr>
        <w:t>3 b</w:t>
      </w:r>
      <w:r>
        <w:t>is y por otra modifica las letras a), b) y c) del apartado 2 de la disposición transitoria cuarta y se añade un nuevo apartado 3.</w:t>
      </w:r>
    </w:p>
    <w:p w14:paraId="34DB627F" w14:textId="77777777" w:rsidR="009D7677" w:rsidRDefault="009D7677" w:rsidP="009D7677">
      <w:pPr>
        <w:pStyle w:val="TextoNormal"/>
      </w:pPr>
    </w:p>
    <w:p w14:paraId="27CFE2B8" w14:textId="77777777" w:rsidR="009D7677" w:rsidRDefault="009D7677" w:rsidP="009D7677">
      <w:pPr>
        <w:pStyle w:val="TextoNormal"/>
      </w:pPr>
      <w:r>
        <w:t xml:space="preserve">En el art. 13 </w:t>
      </w:r>
      <w:r w:rsidRPr="009D7677">
        <w:rPr>
          <w:i/>
        </w:rPr>
        <w:t>bis</w:t>
      </w:r>
      <w:r>
        <w:t xml:space="preserve"> se establece que las circunstancias para poder llevar a cabo tales obras “deberán acreditarse ante la administración autonómica, mediante una declaración responsable, de acuerdo con lo previsto en el artículo 71 </w:t>
      </w:r>
      <w:r w:rsidRPr="009D7677">
        <w:rPr>
          <w:i/>
        </w:rPr>
        <w:t>bis</w:t>
      </w:r>
      <w:r>
        <w:t xml:space="preserve"> de la Ley 30/1992, de 26 de noviembre, de régimen jurídico de las administraciones públicas y procedimiento administrativo común, con carácter previo a la autorización urbanística que proceda”, con informe previo favorable de la administración del Estado de que la servidumbre de tránsito queda garantizada. Y la disposición transitoria cuarta introduce también dicha declaración responsable, con idéntica exigencia de informe favorable, para las obras de reparación, mejora, consolidación y modernización siempre que no impliquen aumento de volumen, altura ni superficie de las construcciones existentes en el segundo párrafo de la letra b) del apartado 3 de la referida disposición transitoria.</w:t>
      </w:r>
    </w:p>
    <w:p w14:paraId="52B17C17" w14:textId="77777777" w:rsidR="009D7677" w:rsidRDefault="009D7677" w:rsidP="009D7677">
      <w:pPr>
        <w:pStyle w:val="TextoNormal"/>
      </w:pPr>
    </w:p>
    <w:p w14:paraId="7BB428D0" w14:textId="77777777" w:rsidR="009D7677" w:rsidRDefault="009D7677" w:rsidP="009D7677">
      <w:pPr>
        <w:pStyle w:val="TextoNormal"/>
      </w:pPr>
      <w:r>
        <w:t>Es por tanto claro que el precepto ni suprime la exigencia del previo informe favorable en los casos que se exigen por la Ley de costas, ni contraviene la legislación estatal que tras la Ley 2/2013 prevé la declaración responsable como mecanismo de intervención administrativa para tales actuaciones.</w:t>
      </w:r>
    </w:p>
    <w:p w14:paraId="01FDBEAE" w14:textId="77777777" w:rsidR="009D7677" w:rsidRDefault="009D7677" w:rsidP="009D7677">
      <w:pPr>
        <w:pStyle w:val="TextoNormal"/>
      </w:pPr>
    </w:p>
    <w:p w14:paraId="7D4995BA" w14:textId="77777777" w:rsidR="009D7677" w:rsidRDefault="009D7677" w:rsidP="009D7677">
      <w:pPr>
        <w:pStyle w:val="TextoNormal"/>
      </w:pPr>
      <w:r>
        <w:t>Por lo expuesto las impugnaciones de los incisos “salvo que estén sujetos a declaración responsable de acuerdo con lo dispuesto en el apartado siguiente” (art. 49.</w:t>
      </w:r>
      <w:r w:rsidRPr="009D7677">
        <w:rPr>
          <w:i/>
        </w:rPr>
        <w:t>1 in fi</w:t>
      </w:r>
      <w:r>
        <w:t>ne de la Ley del Parlamento de Galicia 4/2023) y el apartado 2 del art. 49 de la ley controvertida, deben ser desestimadas.</w:t>
      </w:r>
    </w:p>
    <w:p w14:paraId="68460DD8" w14:textId="77777777" w:rsidR="009D7677" w:rsidRDefault="009D7677" w:rsidP="009D7677">
      <w:pPr>
        <w:pStyle w:val="TextoNormal"/>
      </w:pPr>
    </w:p>
    <w:p w14:paraId="4248D465" w14:textId="77777777" w:rsidR="009D7677" w:rsidRDefault="009D7677" w:rsidP="009D7677">
      <w:pPr>
        <w:pStyle w:val="TextoNormal"/>
      </w:pPr>
      <w:r>
        <w:t>En segundo lugar, el art. 49.3 de la Ley del Parlamento de Galicia 4/2023 señala que en la zona de servidumbre de protección podrán realizarse obras, instalaciones y actividades que, por su naturaleza, no puedan tener otra ubicación, entre ellas las señaladas en el art. 48.3 de la ley autonómica, precepto este cuya constitucionalidad ha sido ya declarada en el apartado precedente. El razonamiento allí expuesto nos ha de llevar a idéntica conclusión, en la medida en que es parcialmente su soporte para determinar las obras, instalaciones y actividades que pueden realizarse; realización que siempre queda sujeta a la normativa de costas y a lo dispuesto, en su caso, en los instrumentos de planificación de los espacios naturales protegidos.</w:t>
      </w:r>
    </w:p>
    <w:p w14:paraId="148C13EE" w14:textId="77777777" w:rsidR="009D7677" w:rsidRDefault="009D7677" w:rsidP="009D7677">
      <w:pPr>
        <w:pStyle w:val="TextoNormal"/>
      </w:pPr>
    </w:p>
    <w:p w14:paraId="1F499E19" w14:textId="77777777" w:rsidR="009D7677" w:rsidRDefault="009D7677" w:rsidP="009D7677">
      <w:pPr>
        <w:pStyle w:val="TextoNormal"/>
      </w:pPr>
      <w:r>
        <w:t>Finalmente, el enjuiciamiento de la impugnación del art. 49.4 de la Ley del Parlamento de Galicia 4/2023 obliga a un razonamiento de mayor complejidad que tiene que ver con la finalidad de la servidumbre de especial protección y la interpretación que conforme a la misma debe efectuarse del art. 25.2 LC. Las limitaciones a la propiedad de los terrenos colindantes al dominio público marítimo-terrestre, tienen el carácter de regulación mínima y complementaria de la que dicten las comunidades autónomas en el ámbito de sus competencias. La Ley de costas se contrae a la definición de las condiciones básicas para el ejercicio de ese derecho en los mencionados terrenos, con la finalidad de asegurar la efectividad del derecho a disfrutar de un medio ambiente adecuado, así como el deber de conservarlo. En coherencia con ese objetivo de conservación de la integridad del dominio público, se configura la servidumbre de protección del citado dominio mediante la prohi</w:t>
      </w:r>
      <w:r>
        <w:lastRenderedPageBreak/>
        <w:t>bición general de determinadas actividades y, sobre todo, construcciones consideradas perjudiciales para su adecuada protección.</w:t>
      </w:r>
    </w:p>
    <w:p w14:paraId="2D9D3612" w14:textId="77777777" w:rsidR="009D7677" w:rsidRDefault="009D7677" w:rsidP="009D7677">
      <w:pPr>
        <w:pStyle w:val="TextoNormal"/>
      </w:pPr>
    </w:p>
    <w:p w14:paraId="4FED29A5" w14:textId="77777777" w:rsidR="009D7677" w:rsidRDefault="009D7677" w:rsidP="009D7677">
      <w:pPr>
        <w:pStyle w:val="TextoNormal"/>
      </w:pPr>
      <w:r>
        <w:t>Como dispone la exposición de motivos de la Ley de costas, resulta imprescindible la actuación sobre la franja colindante al dominio público marítimo-terrestre, “para evitar que la interrupción del transporte eólico de los áridos y el cierre de las perspectivas visuales para la construcción de edificaciones en pantalla, la propia sombra que proyectan los edificios sobre la ribera del mar, el vertido incontrolado y, en general, la incidencia negativa de la presión edificatoria y de los usos y actividades que ella genera sobre el medio natural puedan causar daños irreparables o de muy difícil y costosa reparación. La anchura de esta zona de servidumbre de protección ha de ser, lógicamente, convencional”, dentro de los márgenes previstos en el art. 23 LC, pues para asegurar su efectividad deberán tomarse en consideración las peculiaridades del tramo de costa de que se trate.</w:t>
      </w:r>
    </w:p>
    <w:p w14:paraId="7EEBD67C" w14:textId="77777777" w:rsidR="009D7677" w:rsidRDefault="009D7677" w:rsidP="009D7677">
      <w:pPr>
        <w:pStyle w:val="TextoNormal"/>
      </w:pPr>
    </w:p>
    <w:p w14:paraId="7D803F71" w14:textId="77777777" w:rsidR="009D7677" w:rsidRDefault="009D7677" w:rsidP="009D7677">
      <w:pPr>
        <w:pStyle w:val="TextoNormal"/>
      </w:pPr>
      <w:r>
        <w:t>El art. 25.2 LC dispone, con carácter ordinario, que solo se permitirán en esta zona las obras, instalaciones y actividades que, por su naturaleza, no puedan tener otra ubicación, como los establecimientos de cultivo marino o las salinas marítimas. Luego separado por la conjunción alternativa o disyuntiva “o”, se refiere a las obras, instalaciones y actividades que “presten servicios necesarios o convenientes para el uso del dominio público marítimo-terrestre”, y finalmente termina con la admisión de las instalaciones deportivas descubiertas. Para la ejecución de terraplenes, desmontes o tala de árboles se remite a las condiciones que se determinen reglamentariamente para garantizar la protección del dominio público.</w:t>
      </w:r>
    </w:p>
    <w:p w14:paraId="1E20CABF" w14:textId="77777777" w:rsidR="009D7677" w:rsidRDefault="009D7677" w:rsidP="009D7677">
      <w:pPr>
        <w:pStyle w:val="TextoNormal"/>
      </w:pPr>
    </w:p>
    <w:p w14:paraId="603A0523" w14:textId="77777777" w:rsidR="009D7677" w:rsidRDefault="009D7677" w:rsidP="009D7677">
      <w:pPr>
        <w:pStyle w:val="TextoNormal"/>
      </w:pPr>
      <w:r>
        <w:t>La cuestión que se suscita en este caso es si el listado ejemplificativo —“entre las cuales”— de obras, instalaciones y actividades que pueden realizarse en la zona de servidumbre de protección porque “presten servicios necesarios o convenientes para el uso del dominio público marítimo-terrestre” en los términos previstos por el art. 49.4 colisiona con lo dispuesto en el art. 25.2 LC e infringe de modo mediato la competencia del Estado prevista en el art. 149.1.23, por implicar una rebaja en el nivel de protección medioambiental. Nuestro razonamiento ha de ser el mismo que el ya expuesto al analizar el art. 48.3 de la Ley del Parlamento de Galicia 4/2023. El cuestionado listado recoge, sin ánimo de exhaustividad, una serie de obras, actividades o instalaciones que, en abstracto, pudieran cumplir la premisa exigida por la normativa estatal de costas: esto es, no están prohibidas (art. 25.1 LC) y sí están permitidas (art. 25.2 LC). El hecho de que pudieran cumplir no significa que, en cada caso concreto, cumplan con las exigencias de la normativa estatal y que, por tanto, deban ser autorizadas. Las facultades estatales como titular del dominio público marítimo-terrestre permanecen nuevamente incólumes, como expresamente reconoce, por otra parte, el art. 31 de la Ley del Parlamento de Galicia 4/2023.</w:t>
      </w:r>
    </w:p>
    <w:p w14:paraId="438004D6" w14:textId="77777777" w:rsidR="009D7677" w:rsidRDefault="009D7677" w:rsidP="009D7677">
      <w:pPr>
        <w:pStyle w:val="TextoNormal"/>
      </w:pPr>
    </w:p>
    <w:p w14:paraId="4113A576" w14:textId="77777777" w:rsidR="009D7677" w:rsidRDefault="009D7677" w:rsidP="009D7677">
      <w:pPr>
        <w:pStyle w:val="TextoNormal"/>
      </w:pPr>
      <w:r>
        <w:t>En conclusión, procede desestimar la impugnación del apartado 1 del art. 49 en el inciso “salvo que estén sujetos a declaración responsable de acuerdo con lo dispuesto en el apartado siguiente” y de los apartados 2, 3 y 4 del art. 49 de la Ley del Parlamento de Galicia 4/2023.</w:t>
      </w:r>
    </w:p>
    <w:p w14:paraId="329B7BB1" w14:textId="77777777" w:rsidR="009D7677" w:rsidRDefault="009D7677" w:rsidP="009D7677">
      <w:pPr>
        <w:pStyle w:val="TextoNormal"/>
      </w:pPr>
    </w:p>
    <w:p w14:paraId="1BED04F8" w14:textId="77777777" w:rsidR="009D7677" w:rsidRDefault="009D7677" w:rsidP="009D7677">
      <w:pPr>
        <w:pStyle w:val="TextoNormal"/>
      </w:pPr>
      <w:r>
        <w:t>k) Art. 57.3 de la Ley del Parlamento de Galicia 4/2023</w:t>
      </w:r>
    </w:p>
    <w:p w14:paraId="482E3ECE" w14:textId="77777777" w:rsidR="009D7677" w:rsidRDefault="009D7677" w:rsidP="009D7677">
      <w:pPr>
        <w:pStyle w:val="TextoNormal"/>
      </w:pPr>
    </w:p>
    <w:p w14:paraId="0ACBF4BF" w14:textId="77777777" w:rsidR="009D7677" w:rsidRDefault="009D7677" w:rsidP="009D7677">
      <w:pPr>
        <w:pStyle w:val="TextoNormal"/>
      </w:pPr>
      <w:r>
        <w:t>Dispone el art. 57.3 de la Ley del Parlamento de Galicia 4/2023:</w:t>
      </w:r>
    </w:p>
    <w:p w14:paraId="33F6D5B8" w14:textId="77777777" w:rsidR="009D7677" w:rsidRDefault="009D7677" w:rsidP="009D7677">
      <w:pPr>
        <w:pStyle w:val="TextoNormal"/>
      </w:pPr>
    </w:p>
    <w:p w14:paraId="68AAE9C0" w14:textId="77777777" w:rsidR="009D7677" w:rsidRDefault="009D7677" w:rsidP="009D7677">
      <w:pPr>
        <w:pStyle w:val="TextoNormal"/>
      </w:pPr>
      <w:r>
        <w:t>“Artículo 57. Red de establecimientos turísticos del litoral</w:t>
      </w:r>
    </w:p>
    <w:p w14:paraId="5AE11D37" w14:textId="77777777" w:rsidR="009D7677" w:rsidRDefault="009D7677" w:rsidP="009D7677">
      <w:pPr>
        <w:pStyle w:val="TextoNormal"/>
      </w:pPr>
    </w:p>
    <w:p w14:paraId="6A15CA77" w14:textId="77777777" w:rsidR="009D7677" w:rsidRDefault="009D7677" w:rsidP="009D7677">
      <w:pPr>
        <w:pStyle w:val="TextoNormal"/>
      </w:pPr>
      <w:r>
        <w:t>1. La administración general de la Comunidad Autónoma de Galicia, a través de la Agencia Turismo de Galicia, impulsará la creación de una red de establecimientos turísticos al servicio de un turismo de calidad, diversificado y desestacionalizado que favorezca el desarrollo sostenible del litoral.</w:t>
      </w:r>
    </w:p>
    <w:p w14:paraId="1D638F12" w14:textId="77777777" w:rsidR="009D7677" w:rsidRDefault="009D7677" w:rsidP="009D7677">
      <w:pPr>
        <w:pStyle w:val="TextoNormal"/>
      </w:pPr>
    </w:p>
    <w:p w14:paraId="107395D0" w14:textId="77777777" w:rsidR="009D7677" w:rsidRDefault="009D7677" w:rsidP="009D7677">
      <w:pPr>
        <w:pStyle w:val="TextoNormal"/>
      </w:pPr>
      <w:r>
        <w:t>2. La red de establecimientos turísticos se creará a partir de la recuperación o rehabilitación de edificaciones preexistentes, de especial valor arquitectónico, histórico o cultural de Galicia, situadas en el área de mejora ambiental y paisajística o, cuando lo permitan los planes de ordenación y gestión de los espacios naturales, en el área de protección ambiental.</w:t>
      </w:r>
    </w:p>
    <w:p w14:paraId="66F08748" w14:textId="77777777" w:rsidR="009D7677" w:rsidRDefault="009D7677" w:rsidP="009D7677">
      <w:pPr>
        <w:pStyle w:val="TextoNormal"/>
      </w:pPr>
    </w:p>
    <w:p w14:paraId="0710840C" w14:textId="77777777" w:rsidR="009D7677" w:rsidRDefault="009D7677" w:rsidP="009D7677">
      <w:pPr>
        <w:pStyle w:val="TextoNormal"/>
      </w:pPr>
      <w:r>
        <w:t>3. Podrán formar parte de la red los establecimientos ubicados en dominio público marítimo-terrestre o en zona de servidumbre de protección, siempre que se tratara de edificaciones previamente destinadas a residencia o habitación que viniesen ocupando legítimamente el espacio en aplicación del derecho transitorio de la Ley 22/1988, de 28 de julio, de costas”.</w:t>
      </w:r>
    </w:p>
    <w:p w14:paraId="500CE689" w14:textId="77777777" w:rsidR="009D7677" w:rsidRDefault="009D7677" w:rsidP="009D7677">
      <w:pPr>
        <w:pStyle w:val="TextoNormal"/>
      </w:pPr>
    </w:p>
    <w:p w14:paraId="51C1FBD1" w14:textId="77777777" w:rsidR="009D7677" w:rsidRDefault="009D7677" w:rsidP="009D7677">
      <w:pPr>
        <w:pStyle w:val="TextoNormal"/>
      </w:pPr>
      <w:r>
        <w:t>(i) El abogado del Estado indica que el art. 57.3 de la Ley del Parlamento de Galicia 4/2023 al incluir en la red de establecimientos turísticos a recuperar o rehabilitar los ubicados en el dominio público marítimo-terrestre o en su servidumbre de protección, siempre que se trate de edificaciones destinadas a residencia o habitación, desconoce la competencia exclusiva del Estado de establecer el régimen jurídico del dominio público marítimo-terrestre. Considera que contraviene la disposición transitoria primera de la Ley de costas, que permite la conversión de los derechos de propiedad previos en derechos de aprovechamiento concesional pero “respetando los usos y aprovechamientos existentes” o en los términos del art. 27.2 RGC, que tras las reforma operada por el Real Decreto 668/2022, de 1 de agosto, entiende por usos y aprovechamiento existentes los que “a la fecha de aprobación del deslinde se estuvieran llevando a cabo y fueran conformes a la legalidad vigente”. Por tanto, el art. 57.3 de la ley impugnada modifica el uso inicialmente previsto en la Ley de costas de “residencia o habitación” para permitir una explotación económica en términos turísticos, lo que supone un cambio a uso prohibido por los arts. 25 y 32 LC.</w:t>
      </w:r>
    </w:p>
    <w:p w14:paraId="343DADFF" w14:textId="77777777" w:rsidR="009D7677" w:rsidRDefault="009D7677" w:rsidP="009D7677">
      <w:pPr>
        <w:pStyle w:val="TextoNormal"/>
      </w:pPr>
    </w:p>
    <w:p w14:paraId="2B12557F" w14:textId="77777777" w:rsidR="009D7677" w:rsidRDefault="009D7677" w:rsidP="009D7677">
      <w:pPr>
        <w:pStyle w:val="TextoNormal"/>
      </w:pPr>
      <w:r>
        <w:t>(ii) En defensa de la constitucionalidad del precepto se indica que está limitado porque la creación de la red se condiciona a la aprobación por el Consello de la Xunta de las bases reguladoras de la red (art. 56.1 de la Ley del Parlamento de Galicia 4/2023) que especificarán las condiciones que deben reunir las edificaciones o los requisitos exigibles y su régimen de funcionamiento (art. 56.5). Por ello concluye que difícilmente pueden intuirse en el art. 57.3 los vicios que se alegan porque la red está por aprobarse. No se pretende vulnerar la Ley de costas, pues se refiere a edificaciones, ya destinadas a residencia o habitación, que dispongan de título legítimo de ocupación por aplicación del derecho transitorio de la Ley de costas. No se está modificando el uso el carácter de “residencia o habitación” es un concepto de la Ley de costas, que permite el uso residencia familiar y el turístico/hotelero (STS 29 de diciembre de 2016, recurso 3385-2015). No se trata de autorizar nuevos usos prohibidos en la Ley de costas, ni se desprotege el dominio público marí</w:t>
      </w:r>
      <w:r>
        <w:lastRenderedPageBreak/>
        <w:t>timo-terrestre, al no alterarse la edificabilidad y el número de usuarios. Es competencia gallega: “Veintiuno. La promoción y la ordenación del turismo dentro de la comunidad”, art. 27.21 EAG y el precepto no afecta a los permisos que debe obtener el establecimiento, mediante los cuales se ejercerán los controles por quien corresponda.</w:t>
      </w:r>
    </w:p>
    <w:p w14:paraId="72AF6C64" w14:textId="77777777" w:rsidR="009D7677" w:rsidRDefault="009D7677" w:rsidP="009D7677">
      <w:pPr>
        <w:pStyle w:val="TextoNormal"/>
      </w:pPr>
    </w:p>
    <w:p w14:paraId="5AEB32E5" w14:textId="77777777" w:rsidR="009D7677" w:rsidRDefault="009D7677" w:rsidP="009D7677">
      <w:pPr>
        <w:pStyle w:val="TextoNormal"/>
      </w:pPr>
      <w:r>
        <w:t>(iii) Como se ha señalado al exponer la posición de las partes [fundamento jurídico A) a)], el Real Decreto 668/2022, de 1 de agosto por el que se modifica el Reglamento general de la Ley de costas y al que alude el abogado del Estado en su impugnación, ha sido anulado por la STS 150/2024, de 31 de enero, por lo que no se puede servir como parámetro de control de la norma impugnada.</w:t>
      </w:r>
    </w:p>
    <w:p w14:paraId="5373FF8E" w14:textId="77777777" w:rsidR="009D7677" w:rsidRDefault="009D7677" w:rsidP="009D7677">
      <w:pPr>
        <w:pStyle w:val="TextoNormal"/>
      </w:pPr>
    </w:p>
    <w:p w14:paraId="0C1963FC" w14:textId="77777777" w:rsidR="009D7677" w:rsidRDefault="009D7677" w:rsidP="009D7677">
      <w:pPr>
        <w:pStyle w:val="TextoNormal"/>
      </w:pPr>
      <w:r>
        <w:t>El abogado del Estado cuestiona el art. 57.3 de la Ley del Parlamento de Galicia 4/2023 porque no respeta la disposición transitoria primera de la Ley de costas, al transformar el uso inicialmente previsto en la Ley de costas de “residencia o habitación” y permitir una explotación económica en términos turísticos. Para la Xunta de Galicia la explotación económica es irrelevante al no modificar el carácter de residencia o habitación del uso, encontrándose habilitada en virtud de la competencia asumida en el art. 27.21 EAG.</w:t>
      </w:r>
    </w:p>
    <w:p w14:paraId="137A8038" w14:textId="77777777" w:rsidR="009D7677" w:rsidRDefault="009D7677" w:rsidP="009D7677">
      <w:pPr>
        <w:pStyle w:val="TextoNormal"/>
      </w:pPr>
    </w:p>
    <w:p w14:paraId="00B310E7" w14:textId="77777777" w:rsidR="009D7677" w:rsidRDefault="009D7677" w:rsidP="009D7677">
      <w:pPr>
        <w:pStyle w:val="TextoNormal"/>
      </w:pPr>
      <w:r>
        <w:t>La solución de la controversia planteada exige, en primer lugar, verificar si, como sostiene el abogado del Estado, no se respeta la disposición transitoria primera de la Ley de costas al prever la norma autonómica un cambio de uso de las edificaciones preexistentes: el objetivo del precepto controvertido es que aquellos terrenos o espacios ubicados en el dominio público marítimo-terrestre cuyo uso y aprovechamiento existente en virtud de concesión fuera el de residencia o habitación pasen a formar parte de la red de alojamientos turísticos.</w:t>
      </w:r>
    </w:p>
    <w:p w14:paraId="30F08EE9" w14:textId="77777777" w:rsidR="009D7677" w:rsidRDefault="009D7677" w:rsidP="009D7677">
      <w:pPr>
        <w:pStyle w:val="TextoNormal"/>
      </w:pPr>
    </w:p>
    <w:p w14:paraId="6059F07F" w14:textId="77777777" w:rsidR="009D7677" w:rsidRDefault="009D7677" w:rsidP="009D7677">
      <w:pPr>
        <w:pStyle w:val="TextoNormal"/>
      </w:pPr>
      <w:r>
        <w:t>Es una obviedad que tanto en el dominio público marítimo-terrestre (art. 32.1 LC) como en la zona de servidumbre de protección [art. 25.1 a) LC] están prohibidas las edificaciones “destinadas a residencia o habitación”, edificaciones entre las que se incluyen las “hoteleras, cualquiera que sea su régimen de explotación” como precisa el art. 46 a) RGC. Esto significa que el uso residencial-turístico hotelero es uno de los prohibidos con la finalidad de preservar la integridad y naturaleza del dominio público marítimo-terrestre y, por extensión, de la zona de servidumbre de protección. Ello no significa, sin embargo, que en lo que se refiere a la zona de servidumbre de protección estén prohibidas otras modalidades de alojamiento turístico; en concreto, el mismo art. 46 a) RGC excepciona de la prohibición “los campamentos o campings debidamente autorizados con instalaciones desmontables”. Y, por otra parte, nada se dice de otras modalidades extra hoteleras como son los alojamientos de turismo rural, los apartamentos o las viviendas turísticas y de uso turístico, por citar algunas de las tipologías recogidas en el art. 55 de la Ley 7/2011, de 27 de octubre, del turismo de Galicia. En todo caso, en lo que aquí interesa, en la medida que el uso turístico-hotelero se incluye en la prohibición de uso residencial o habitacional cabe concluir que no es posible apreciar un cambio de uso desde la perspectiva de la disposición transitoria primera de la Ley de costas, pues en el uso residencial o habitacional se integra el uso de alojamiento turístico.</w:t>
      </w:r>
    </w:p>
    <w:p w14:paraId="5109C236" w14:textId="77777777" w:rsidR="009D7677" w:rsidRDefault="009D7677" w:rsidP="009D7677">
      <w:pPr>
        <w:pStyle w:val="TextoNormal"/>
      </w:pPr>
    </w:p>
    <w:p w14:paraId="6F404A9D" w14:textId="77777777" w:rsidR="009D7677" w:rsidRDefault="009D7677" w:rsidP="009D7677">
      <w:pPr>
        <w:pStyle w:val="TextoNormal"/>
      </w:pPr>
      <w:r>
        <w:t xml:space="preserve">Cuestión distinta es, en segundo lugar, que el uso residencial-turístico represente, en abstracto y por su propia naturaleza, un mayor grado de intensidad que colisione con el cumplimiento de la finalidad de la disposición transitoria primera de la Ley de costas y </w:t>
      </w:r>
      <w:r>
        <w:lastRenderedPageBreak/>
        <w:t>con las facultades del Estado de establecer el régimen jurídico del dominio público marítimo-terrestre a los efectos de garantizar su carácter público y conservar su integridad y características naturales (art. 132.2 CE), limitando o condicionando, igualmente, los usos en los terrenos colindantes integrados en la zona de servidumbre de protección (arts. 149.1.1 y 23 CE). En este sentido, una interpretación sistemática del art. 57 de la Ley del Parlamento de Galicia 4/2023 en su conjunto ofrece criterios que sirven para acotar o restringir los usos residenciales-turísticos que serían posibles a los efectos de integrar las edificaciones preexistentes en el dominio público marítimo-terrestre o en la zona de servidumbre de protección en una red de establecimientos turísticos del litoral, advirtiendo, en este momento, que dichos establecimientos turísticos no tienen que ser necesariamente hoteleros, pudiendo tener cabida en la red otras modalidades de más baja intensidad como son las del turismo rural o las viviendas turísticas unifamiliares.</w:t>
      </w:r>
    </w:p>
    <w:p w14:paraId="691C7F5B" w14:textId="77777777" w:rsidR="009D7677" w:rsidRDefault="009D7677" w:rsidP="009D7677">
      <w:pPr>
        <w:pStyle w:val="TextoNormal"/>
      </w:pPr>
    </w:p>
    <w:p w14:paraId="10F500DE" w14:textId="77777777" w:rsidR="009D7677" w:rsidRDefault="009D7677" w:rsidP="009D7677">
      <w:pPr>
        <w:pStyle w:val="TextoNormal"/>
      </w:pPr>
      <w:r>
        <w:t>La finalidad que persigue la Ley del Parlamento de Galicia 4/2023 es exclusivamente recuperar o rehabilitar edificaciones “de especial valor arquitectónico, histórico o cultural de Galicia” (art. 57.2), lo que ya de por sí restringe considerablemente el número de edificaciones que serían susceptibles de ser integradas en la red, pues el controvertido art. 57.3 solo podría referirse a edificaciones preexistentes que reúnan alguno de estos valores; valores que se habrán de concretar reglamentariamente por el Consello de la Xunta, a propuesta de la consejería competente, no en turismo, sino en materia de paisaje, lo que refuerza la componente medioambiental (art. 57.5 de la Ley del Parlamento de Galicia 4/2023). Además, en todo caso, las intervenciones de rehabilitación o recuperación están sujetas tanto a la normativa medioambiental —las directrices y los catálogos del paisaje— y a la de patrimonio cultural, lo que refuerza, aún más si cabe, el carácter singular de estas edificaciones (art. 57.4 de la ley autonómica impugnada). Y, por último, en la hipótesis de que estas edificaciones se encuentren dentro de un espacio natural protegido —integrado en un área de protección ambiental—, la intervención debe estar autorizada por los planes de ordenación y gestión de espacios naturales (art. 57.2), lo que subraya la importancia y prevalencia de la variable medioambiental.</w:t>
      </w:r>
    </w:p>
    <w:p w14:paraId="02CBA8F1" w14:textId="77777777" w:rsidR="009D7677" w:rsidRDefault="009D7677" w:rsidP="009D7677">
      <w:pPr>
        <w:pStyle w:val="TextoNormal"/>
      </w:pPr>
    </w:p>
    <w:p w14:paraId="64026764" w14:textId="77777777" w:rsidR="009D7677" w:rsidRDefault="009D7677" w:rsidP="009D7677">
      <w:pPr>
        <w:pStyle w:val="TextoNormal"/>
      </w:pPr>
      <w:r>
        <w:t>En suma, por lo expuesto y atendiendo al carácter abstracto del control de la norma en los recursos de inconstitucionalidad, la impugnación del art. 57.3 de la Ley del Parlamento de Galicia 4/2023 debe ser desestimada.</w:t>
      </w:r>
    </w:p>
    <w:p w14:paraId="3BE1B4C9" w14:textId="77777777" w:rsidR="009D7677" w:rsidRDefault="009D7677" w:rsidP="009D7677">
      <w:pPr>
        <w:pStyle w:val="TextoNormal"/>
      </w:pPr>
    </w:p>
    <w:p w14:paraId="01E1AFA6" w14:textId="77777777" w:rsidR="009D7677" w:rsidRDefault="009D7677" w:rsidP="009D7677">
      <w:pPr>
        <w:pStyle w:val="TextoNormal"/>
      </w:pPr>
      <w:r>
        <w:t>l) Art. 58.3 segundo párrafo final “[h]asta la celebración del convenio, corresponde a la persona titular del bien cumplir las obligaciones derivadas de la legislación de patrimonio cultural”</w:t>
      </w:r>
    </w:p>
    <w:p w14:paraId="34172332" w14:textId="77777777" w:rsidR="009D7677" w:rsidRDefault="009D7677" w:rsidP="009D7677">
      <w:pPr>
        <w:pStyle w:val="TextoNormal"/>
      </w:pPr>
    </w:p>
    <w:p w14:paraId="0C4664C6" w14:textId="77777777" w:rsidR="009D7677" w:rsidRDefault="009D7677" w:rsidP="009D7677">
      <w:pPr>
        <w:pStyle w:val="TextoNormal"/>
      </w:pPr>
      <w:r>
        <w:t>Dispone el art. 58.3 de la Ley del Parlamento de Galicia 4/2023:</w:t>
      </w:r>
    </w:p>
    <w:p w14:paraId="7CCFD623" w14:textId="77777777" w:rsidR="009D7677" w:rsidRDefault="009D7677" w:rsidP="009D7677">
      <w:pPr>
        <w:pStyle w:val="TextoNormal"/>
      </w:pPr>
    </w:p>
    <w:p w14:paraId="200AA7D9" w14:textId="77777777" w:rsidR="009D7677" w:rsidRDefault="009D7677" w:rsidP="009D7677">
      <w:pPr>
        <w:pStyle w:val="TextoNormal"/>
      </w:pPr>
      <w:r>
        <w:t>“Artículo 58. Intervenciones sobre el patrimonio cultural del litoral</w:t>
      </w:r>
    </w:p>
    <w:p w14:paraId="52AE7AA4" w14:textId="77777777" w:rsidR="009D7677" w:rsidRDefault="009D7677" w:rsidP="009D7677">
      <w:pPr>
        <w:pStyle w:val="TextoNormal"/>
      </w:pPr>
    </w:p>
    <w:p w14:paraId="49B65DBA" w14:textId="77777777" w:rsidR="009D7677" w:rsidRDefault="009D7677" w:rsidP="009D7677">
      <w:pPr>
        <w:pStyle w:val="TextoNormal"/>
      </w:pPr>
      <w:r>
        <w:t>[…]</w:t>
      </w:r>
    </w:p>
    <w:p w14:paraId="6D71A291" w14:textId="77777777" w:rsidR="009D7677" w:rsidRDefault="009D7677" w:rsidP="009D7677">
      <w:pPr>
        <w:pStyle w:val="TextoNormal"/>
      </w:pPr>
    </w:p>
    <w:p w14:paraId="1A6F0359" w14:textId="77777777" w:rsidR="009D7677" w:rsidRDefault="009D7677" w:rsidP="009D7677">
      <w:pPr>
        <w:pStyle w:val="TextoNormal"/>
      </w:pPr>
      <w:r>
        <w:t>3. Cuando los bienes de interés cultural o catalogados estén ubicados en el dominio público marítimo-terrestre, quien pretenda su uso privativo deberá obtener el título habilitante establecido en el artículo 48 de esta ley, el cual recogerá en su clausulado las obligaciones que la legislación de patrimonio cultural impone a los poseedores de los bienes.</w:t>
      </w:r>
    </w:p>
    <w:p w14:paraId="438E3FED" w14:textId="77777777" w:rsidR="009D7677" w:rsidRDefault="009D7677" w:rsidP="009D7677">
      <w:pPr>
        <w:pStyle w:val="TextoNormal"/>
      </w:pPr>
    </w:p>
    <w:p w14:paraId="57AE0D30" w14:textId="77777777" w:rsidR="009D7677" w:rsidRDefault="009D7677" w:rsidP="009D7677">
      <w:pPr>
        <w:pStyle w:val="TextoNormal"/>
      </w:pPr>
      <w:r>
        <w:t>No obstante, cuando la declaración o catalogación se promuevan sin existir manifestación de interés en el aprovechamiento privativo del bien, la consejería competente en materia de patrimonio cultural impulsará la celebración de un convenio de colaboración con la administración general del Estado, titular del bien, a los efectos de establecer un régimen concertado de protección. Hasta la celebración del convenio, corresponde a la persona titular del bien cumplir las obligaciones derivadas de la legislación de patrimonio cultural”.</w:t>
      </w:r>
    </w:p>
    <w:p w14:paraId="79A976C4" w14:textId="77777777" w:rsidR="009D7677" w:rsidRDefault="009D7677" w:rsidP="009D7677">
      <w:pPr>
        <w:pStyle w:val="TextoNormal"/>
      </w:pPr>
    </w:p>
    <w:p w14:paraId="31356B6C" w14:textId="77777777" w:rsidR="009D7677" w:rsidRDefault="009D7677" w:rsidP="009D7677">
      <w:pPr>
        <w:pStyle w:val="TextoNormal"/>
      </w:pPr>
      <w:r>
        <w:t>(i) El abogado del Estado impugna el precepto por contravenir el apartado 3 de la disposición adicional tercera del Reglamento general de costas, que atribuye el cumplimiento de las obligaciones de la legislación de patrimonio cultural a la administración promotora de la declaración responsable o de la catalogación del bien. Dicha disposición además de ser dictada en el ejercicio de la competencia estatal sobre el dominio público marítimo-terrestre (art. 132 CE y STC 149/1991), deriva de la competencia estatal exclusiva en la regulación del régimen jurídico básico en materia de contratos y concesiones administrativas del artículo 149.1.18 CE. Ello se deduce de la disposición final segunda de la Ley 2/2013, de 29 de mayo, de protección y uso sostenible del litoral por la que se modifica la Ley de costas de 1988, que introduce la vulnerada disposición adicional undécima de la Ley de costas, a su vez desarrollada por la disposición adicional tercera del Reglamento general de costas.</w:t>
      </w:r>
    </w:p>
    <w:p w14:paraId="289A9857" w14:textId="77777777" w:rsidR="009D7677" w:rsidRDefault="009D7677" w:rsidP="009D7677">
      <w:pPr>
        <w:pStyle w:val="TextoNormal"/>
      </w:pPr>
    </w:p>
    <w:p w14:paraId="65A2F4FF" w14:textId="77777777" w:rsidR="009D7677" w:rsidRDefault="009D7677" w:rsidP="009D7677">
      <w:pPr>
        <w:pStyle w:val="TextoNormal"/>
      </w:pPr>
      <w:r>
        <w:t>(ii) El Parlamento y la Xunta defienden la constitucionalidad del inciso impugnado al considerar que la STS de 28 de enero de 2004, recurso 6222-2000, nada tiene que ver con el inciso impugnado. Indica en relación con el inciso que el punto de partida es precisamente el contrario: dado que el Estado es el titular demanial de los bienes del patrimonio histórico enclavados en el dominio público marítimo-terrestre, se establece que ejerza como tal y, por tanto, asuma las obligaciones derivadas de dicho título hasta que se suscriba un convenio entre el Estado y la Comunidad Autónoma de Galicia que permita establecer un régimen concertado de protección. Esta declaración legal deriva de la legislación de patrimonio cultural, tanto estatal (art. 36.1 Ley de patrimonio histórico español) como autonómica (art. 32 Ley 5/2016, de 4 de mayo, del patrimonio cultural de Galicia).</w:t>
      </w:r>
    </w:p>
    <w:p w14:paraId="3D3A8347" w14:textId="77777777" w:rsidR="009D7677" w:rsidRDefault="009D7677" w:rsidP="009D7677">
      <w:pPr>
        <w:pStyle w:val="TextoNormal"/>
      </w:pPr>
    </w:p>
    <w:p w14:paraId="7F0E6E3A" w14:textId="77777777" w:rsidR="009D7677" w:rsidRDefault="009D7677" w:rsidP="009D7677">
      <w:pPr>
        <w:pStyle w:val="TextoNormal"/>
      </w:pPr>
      <w:r>
        <w:t>(iii) El art. 58.3 de la Ley del Parlamento de Galicia 4/2023, regula el régimen de cumplimiento de las obligaciones impuestas por la legislación de patrimonio cultural en relación con los bienes de interés cultural o catalogados ubicados en el dominio público marítimo-terrestre. Si el bien está en posesión de un concesionario, será este el responsable del cumplimiento de tales obligaciones, y si no hay concesionario, entonces lo que se prevé es que la consejería competente en materia de patrimonio cultural impulsará la celebración de un convenio de colaboración con la administración general del Estado, titular del bien, para establecer un régimen concertado de protección.</w:t>
      </w:r>
    </w:p>
    <w:p w14:paraId="233C7776" w14:textId="77777777" w:rsidR="009D7677" w:rsidRDefault="009D7677" w:rsidP="009D7677">
      <w:pPr>
        <w:pStyle w:val="TextoNormal"/>
      </w:pPr>
    </w:p>
    <w:p w14:paraId="0F12DB19" w14:textId="77777777" w:rsidR="009D7677" w:rsidRDefault="009D7677" w:rsidP="009D7677">
      <w:pPr>
        <w:pStyle w:val="TextoNormal"/>
      </w:pPr>
      <w:r>
        <w:t>La discrepancia deriva de quien debe ser el responsable de cumplir con las obligaciones que la legislación de patrimonio cultural impone, hasta que se celebre el convenio, si la persona titular del bien (art. 58.3 de la Ley del Parlamento de Galicia 4/2023) o la administración promotora de la declaración responsable (disposición adicional tercera, apartado 3 RGC). La Xunta no cuestiona que la indicada disposición adicional se haya dictado por el Estado con sustento en la competencia de legislación básica sobre contratos y concesio</w:t>
      </w:r>
      <w:r>
        <w:lastRenderedPageBreak/>
        <w:t>nes administrativas (art. 149.1.18 CE), sino que considera que legislación de patrimonio cultural, tanto estatal (art. 36.1 de la Ley de patrimonio histórico español) como autonómica (art. 32 Ley 5/2016, de 4 de mayo, del patrimonio cultural de Galicia), determinan que la responsabilidad corresponde al titular del bien.</w:t>
      </w:r>
    </w:p>
    <w:p w14:paraId="08DAAD3C" w14:textId="77777777" w:rsidR="009D7677" w:rsidRDefault="009D7677" w:rsidP="009D7677">
      <w:pPr>
        <w:pStyle w:val="TextoNormal"/>
      </w:pPr>
    </w:p>
    <w:p w14:paraId="1F590C14" w14:textId="77777777" w:rsidR="009D7677" w:rsidRDefault="009D7677" w:rsidP="009D7677">
      <w:pPr>
        <w:pStyle w:val="TextoNormal"/>
      </w:pPr>
      <w:r>
        <w:t xml:space="preserve">De acuerdo con la doctrina expuesta en el fundamento jurídico 5 B) a), corresponde al Estado, en cuanto titular de los bienes inmuebles situados en el dominio público marítimo-terrestre “adoptar todas las medidas que crea necesarias para preservar sus características propias”, en especial aquellas encaminadas a evitar que la naturaleza de dichos bienes fuera destruida o alterada [STC 149/1991, FJ 1 C)]. El Estado, en su condición de titular, está obligado a adoptar cuantas medidas sean precisas para preservar los bienes inmuebles situados en el dominio público marítimo-terrestre y ello con independencia de que dicho inmueble pudiera ser objeto de una declaración de interés cultural. En este sentido, atendiendo a las facultades que corresponden al Estado </w:t>
      </w:r>
      <w:r w:rsidRPr="009D7677">
        <w:rPr>
          <w:i/>
        </w:rPr>
        <w:t>ex</w:t>
      </w:r>
      <w:r>
        <w:t xml:space="preserve"> art. 132.2 CE, no se aprecia en qué medida trasladar, en ausencia de concesionario y en tanto se celebra el correspondiente convenio de colaboración, a la administración promotora de la declaración la responsabilidad de cumplir con las obligaciones impuestas por la legislación patrimonial contribuye a la preservación de la integridad del bien inmueble concernido. Y ello teniendo en cuenta que la legislación de patrimonio cultural, estatal y autonómica, establecen que la responsabilidad corresponde al titular del bien; legislación que, por otra parte, tiene carácter prevalente como dispone el no cuestionado art. 58.2 de la Ley del Parlamento de Galicia 4/2023.</w:t>
      </w:r>
    </w:p>
    <w:p w14:paraId="12885DC8" w14:textId="77777777" w:rsidR="009D7677" w:rsidRDefault="009D7677" w:rsidP="009D7677">
      <w:pPr>
        <w:pStyle w:val="TextoNormal"/>
      </w:pPr>
    </w:p>
    <w:p w14:paraId="5F0C6DB8" w14:textId="77777777" w:rsidR="009D7677" w:rsidRDefault="009D7677" w:rsidP="009D7677">
      <w:pPr>
        <w:pStyle w:val="TextoNormal"/>
      </w:pPr>
      <w:r>
        <w:t>La impugnación del inciso “[h]asta la celebración del convenio, corresponde a la persona titular del bien cumplir las obligaciones derivadas de la legislación de patrimonio cultural.”, del art. 58.3 de la Ley del Parlamento de Galicia 4/2023 debe ser desestimada.</w:t>
      </w:r>
    </w:p>
    <w:p w14:paraId="1D20CDD2" w14:textId="77777777" w:rsidR="009D7677" w:rsidRDefault="009D7677" w:rsidP="009D7677">
      <w:pPr>
        <w:pStyle w:val="TextoNormal"/>
      </w:pPr>
    </w:p>
    <w:p w14:paraId="142468AF" w14:textId="77777777" w:rsidR="009D7677" w:rsidRDefault="009D7677" w:rsidP="009D7677">
      <w:pPr>
        <w:pStyle w:val="TextoNormal"/>
      </w:pPr>
      <w:r>
        <w:t>m) Art. 60.3 de la Ley del Parlamento de Galicia 4/2023</w:t>
      </w:r>
    </w:p>
    <w:p w14:paraId="0C05DFA3" w14:textId="77777777" w:rsidR="009D7677" w:rsidRDefault="009D7677" w:rsidP="009D7677">
      <w:pPr>
        <w:pStyle w:val="TextoNormal"/>
      </w:pPr>
    </w:p>
    <w:p w14:paraId="1F756810" w14:textId="77777777" w:rsidR="009D7677" w:rsidRDefault="009D7677" w:rsidP="009D7677">
      <w:pPr>
        <w:pStyle w:val="TextoNormal"/>
      </w:pPr>
      <w:r>
        <w:t>Dispone el art. 60.3:</w:t>
      </w:r>
    </w:p>
    <w:p w14:paraId="2B036EB9" w14:textId="77777777" w:rsidR="009D7677" w:rsidRDefault="009D7677" w:rsidP="009D7677">
      <w:pPr>
        <w:pStyle w:val="TextoNormal"/>
      </w:pPr>
    </w:p>
    <w:p w14:paraId="68178A58" w14:textId="77777777" w:rsidR="009D7677" w:rsidRDefault="009D7677" w:rsidP="009D7677">
      <w:pPr>
        <w:pStyle w:val="TextoNormal"/>
      </w:pPr>
      <w:r>
        <w:t>“Artículo 60. Dotaciones públicas esenciales para el abastecimiento de poblaciones y el saneamiento y depuración de aguas residuales</w:t>
      </w:r>
    </w:p>
    <w:p w14:paraId="67A418B3" w14:textId="77777777" w:rsidR="009D7677" w:rsidRDefault="009D7677" w:rsidP="009D7677">
      <w:pPr>
        <w:pStyle w:val="TextoNormal"/>
      </w:pPr>
    </w:p>
    <w:p w14:paraId="4AB3FE8D" w14:textId="77777777" w:rsidR="009D7677" w:rsidRDefault="009D7677" w:rsidP="009D7677">
      <w:pPr>
        <w:pStyle w:val="TextoNormal"/>
      </w:pPr>
      <w:r>
        <w:t>[…].</w:t>
      </w:r>
    </w:p>
    <w:p w14:paraId="0EBB2664" w14:textId="77777777" w:rsidR="009D7677" w:rsidRDefault="009D7677" w:rsidP="009D7677">
      <w:pPr>
        <w:pStyle w:val="TextoNormal"/>
      </w:pPr>
    </w:p>
    <w:p w14:paraId="1901F9E0" w14:textId="77777777" w:rsidR="009D7677" w:rsidRDefault="009D7677" w:rsidP="009D7677">
      <w:pPr>
        <w:pStyle w:val="TextoNormal"/>
      </w:pPr>
      <w:r>
        <w:t>3. Los sistemas de recogida, almacenamiento, tratamiento y vertido en el dominio público marítimo-terrestre de aguas residuales podrán ocupar el dominio público marítimo-terrestre en los siguientes supuestos:</w:t>
      </w:r>
    </w:p>
    <w:p w14:paraId="380E0B04" w14:textId="77777777" w:rsidR="009D7677" w:rsidRDefault="009D7677" w:rsidP="009D7677">
      <w:pPr>
        <w:pStyle w:val="TextoNormal"/>
      </w:pPr>
    </w:p>
    <w:p w14:paraId="0027A77B" w14:textId="77777777" w:rsidR="009D7677" w:rsidRDefault="009D7677" w:rsidP="009D7677">
      <w:pPr>
        <w:pStyle w:val="TextoNormal"/>
      </w:pPr>
      <w:r>
        <w:t>a) Cuando dichos sistemas presten servicio a actividades o instalaciones que estén ubicadas en el dominio público marítimo-terrestre.</w:t>
      </w:r>
    </w:p>
    <w:p w14:paraId="10E74613" w14:textId="77777777" w:rsidR="009D7677" w:rsidRDefault="009D7677" w:rsidP="009D7677">
      <w:pPr>
        <w:pStyle w:val="TextoNormal"/>
      </w:pPr>
    </w:p>
    <w:p w14:paraId="682BE3B8" w14:textId="77777777" w:rsidR="009D7677" w:rsidRDefault="009D7677" w:rsidP="009D7677">
      <w:pPr>
        <w:pStyle w:val="TextoNormal"/>
      </w:pPr>
      <w:r>
        <w:t>b) Cuando dichos sistemas estén vinculados a servicios esenciales de depuración de núcleos de población situados en el litoral.</w:t>
      </w:r>
    </w:p>
    <w:p w14:paraId="08D32C44" w14:textId="77777777" w:rsidR="009D7677" w:rsidRDefault="009D7677" w:rsidP="009D7677">
      <w:pPr>
        <w:pStyle w:val="TextoNormal"/>
      </w:pPr>
    </w:p>
    <w:p w14:paraId="41939E4C" w14:textId="77777777" w:rsidR="009D7677" w:rsidRDefault="009D7677" w:rsidP="009D7677">
      <w:pPr>
        <w:pStyle w:val="TextoNormal"/>
      </w:pPr>
      <w:r>
        <w:t xml:space="preserve">En ambos casos, la documentación que se adjunte a los instrumentos de ordenación que recojan estas intervenciones o proyectos de obra que hayan de someterse a evaluación </w:t>
      </w:r>
      <w:r>
        <w:lastRenderedPageBreak/>
        <w:t>ambiental deberá incluir un estudio de alternativas que acredite la necesidad de ocupación del espacio”.</w:t>
      </w:r>
    </w:p>
    <w:p w14:paraId="686FEE76" w14:textId="77777777" w:rsidR="009D7677" w:rsidRDefault="009D7677" w:rsidP="009D7677">
      <w:pPr>
        <w:pStyle w:val="TextoNormal"/>
      </w:pPr>
    </w:p>
    <w:p w14:paraId="38CA2891" w14:textId="77777777" w:rsidR="009D7677" w:rsidRDefault="009D7677" w:rsidP="009D7677">
      <w:pPr>
        <w:pStyle w:val="TextoNormal"/>
      </w:pPr>
      <w:r>
        <w:t>(i) La inconstitucionalidad del art. 60.3 se sustenta por contravenir el art. 44.6 LC, dictado en virtud de la “competencia exclusiva [del Estado] para determinar el régimen jurídico del dominio público marítimo terrestre, así como respecto de sus servidumbres legale</w:t>
      </w:r>
      <w:r w:rsidRPr="009D7677">
        <w:rPr>
          <w:i/>
        </w:rPr>
        <w:t xml:space="preserve">s </w:t>
      </w:r>
      <w:r>
        <w:t>ex artículo 149.1.23 CE”, que no permite el emplazamiento de instalaciones de tratamiento de aguas residuales en la ribera de mar, ni en los primeros veinte metros desde la misma, ni tampoco la instalación de colectores paralelos a la costa en dichos espacios.</w:t>
      </w:r>
    </w:p>
    <w:p w14:paraId="43F2E7C4" w14:textId="77777777" w:rsidR="009D7677" w:rsidRDefault="009D7677" w:rsidP="009D7677">
      <w:pPr>
        <w:pStyle w:val="TextoNormal"/>
      </w:pPr>
    </w:p>
    <w:p w14:paraId="6E53EC88" w14:textId="77777777" w:rsidR="009D7677" w:rsidRDefault="009D7677" w:rsidP="009D7677">
      <w:pPr>
        <w:pStyle w:val="TextoNormal"/>
      </w:pPr>
      <w:r>
        <w:t>(ii) En defensa de la constitucionalidad del precepto se indica que el interés de la comunidad autónoma es completar la regulación estatal, para garantizar la existencia —solo cuando sea imprescindible— de estas instalaciones esenciales, por lo que se exige un aval técnico y para que las mismas queden integradas paisajísticamente en el entorno. En todo caso prevé una cláusula de salvaguarda, por la que las infraestructuras deberán cumplir la normativa básica de la Ley de costas (art. 149.1.23 CE), sin que el recurso argumente la contradicción entre la Ley del Parlamento de Galicia 4/2023 y la Ley de costas, dictada en desarrollo o como norma adicional de protección. El precepto impugnado no infringe el art. 44.6 LC, no solo porque parte del respeto a la Ley de costas, sino porque se trata de una norma adicional de protección (art. 149.1.23 CE) y es desarrollo legislativo de la legislación básica, admitida por la STC 102/1995, que modifica la STC 149/1991, FJ 1 D</w:t>
      </w:r>
      <w:r w:rsidRPr="009D7677">
        <w:rPr>
          <w:i/>
        </w:rPr>
        <w:t>) in fi</w:t>
      </w:r>
      <w:r>
        <w:t>ne. La exigencia de informe y la concreción de los casos en que pueden construirse fuera de la ribera del mar se establece con sustento en el art 27.30 EAG.</w:t>
      </w:r>
    </w:p>
    <w:p w14:paraId="1312C3B3" w14:textId="77777777" w:rsidR="009D7677" w:rsidRDefault="009D7677" w:rsidP="009D7677">
      <w:pPr>
        <w:pStyle w:val="TextoNormal"/>
      </w:pPr>
    </w:p>
    <w:p w14:paraId="0696FD37" w14:textId="77777777" w:rsidR="009D7677" w:rsidRDefault="009D7677" w:rsidP="009D7677">
      <w:pPr>
        <w:pStyle w:val="TextoNormal"/>
      </w:pPr>
      <w:r>
        <w:t>(iii) El art. 44.6 LC, cuya constitucionalidad fue afirmada por la STC 149/1991, FJ 3 D) c), contiene indicaciones que son, de una parte, sin duda, “criterios de ordenación que las comunidades autónomas deberán acoger en los correspondientes instrumentos, de la otra e inmediatamente, norma básica de protección del medio ambiente, cuya naturaleza de tal legitima el condicionamiento que impone a la competencia de las comunidades autónomas para la ordenación del territorio”. Dicho precepto establece que “las instalaciones de tratamiento de aguas residuales se emplazarán fuera de la ribera del mar y de los primeros veinte metros de la zona de servidumbre de protección. No se autorizará la instalación de colectores paralelos a la costa dentro de la ribera del mar. En los primeros veinte metros fuera de la ribera del mar se prohibirán los colectores paralelos”. Es por ello que la norma impugnada al permitir que los sistemas de recogida, almacenamiento, tratamiento y vertido de aguas residuales puedan ocupar el dominio público marítimo-terrestre contraviene art. 44.6 LC y de modo mediato el art. 132.2 CE, conforme a lo expuesto en el fundamento jurídico 5 A) y B) anterior, sin que al infringir una norma prohibitiva el precepto pueda ser considerado una norma adicional de protección (art. 149.1.23 CE y 27.30 EAG).</w:t>
      </w:r>
    </w:p>
    <w:p w14:paraId="77651A32" w14:textId="77777777" w:rsidR="009D7677" w:rsidRDefault="009D7677" w:rsidP="009D7677">
      <w:pPr>
        <w:pStyle w:val="TextoNormal"/>
      </w:pPr>
    </w:p>
    <w:p w14:paraId="45277412" w14:textId="77777777" w:rsidR="009D7677" w:rsidRDefault="009D7677" w:rsidP="009D7677">
      <w:pPr>
        <w:pStyle w:val="TextoNormal"/>
      </w:pPr>
      <w:r>
        <w:t>Se estima la impugnación del art. 60.3 de la Ley del Parlamento de Galicia 4/2023.</w:t>
      </w:r>
    </w:p>
    <w:p w14:paraId="366F5330" w14:textId="77777777" w:rsidR="009D7677" w:rsidRDefault="009D7677" w:rsidP="009D7677">
      <w:pPr>
        <w:pStyle w:val="TextoNormal"/>
      </w:pPr>
    </w:p>
    <w:p w14:paraId="44E76885" w14:textId="77777777" w:rsidR="009D7677" w:rsidRDefault="009D7677" w:rsidP="009D7677">
      <w:pPr>
        <w:pStyle w:val="TextoNormal"/>
      </w:pPr>
      <w:r>
        <w:t>n) La disposición final primera de la Ley del Parlamento de Galicia 4/2023</w:t>
      </w:r>
    </w:p>
    <w:p w14:paraId="5A4FC0CB" w14:textId="77777777" w:rsidR="009D7677" w:rsidRDefault="009D7677" w:rsidP="009D7677">
      <w:pPr>
        <w:pStyle w:val="TextoNormal"/>
      </w:pPr>
    </w:p>
    <w:p w14:paraId="1073EA27" w14:textId="77777777" w:rsidR="009D7677" w:rsidRDefault="009D7677" w:rsidP="009D7677">
      <w:pPr>
        <w:pStyle w:val="TextoNormal"/>
      </w:pPr>
      <w:r>
        <w:t>La disposición final primera de la ley controvertida tiene la siguiente redacción:</w:t>
      </w:r>
    </w:p>
    <w:p w14:paraId="465A03D6" w14:textId="77777777" w:rsidR="009D7677" w:rsidRDefault="009D7677" w:rsidP="009D7677">
      <w:pPr>
        <w:pStyle w:val="TextoNormal"/>
      </w:pPr>
    </w:p>
    <w:p w14:paraId="1533C90B" w14:textId="77777777" w:rsidR="009D7677" w:rsidRDefault="009D7677" w:rsidP="009D7677">
      <w:pPr>
        <w:pStyle w:val="TextoNormal"/>
      </w:pPr>
      <w:r>
        <w:t>“Disposición final primera. Modificación de la Ley 6/2017, de 12 de diciembre, de puertos de Galicia</w:t>
      </w:r>
    </w:p>
    <w:p w14:paraId="6911D432" w14:textId="77777777" w:rsidR="009D7677" w:rsidRDefault="009D7677" w:rsidP="009D7677">
      <w:pPr>
        <w:pStyle w:val="TextoNormal"/>
      </w:pPr>
    </w:p>
    <w:p w14:paraId="1D9B7422" w14:textId="77777777" w:rsidR="009D7677" w:rsidRDefault="009D7677" w:rsidP="009D7677">
      <w:pPr>
        <w:pStyle w:val="TextoNormal"/>
      </w:pPr>
      <w:r>
        <w:t>Se modifica el artículo 55 de la Ley 6/2017, de 12 de diciembre, de puertos de Galicia, quedando redactado como sigue:</w:t>
      </w:r>
    </w:p>
    <w:p w14:paraId="2703EC55" w14:textId="77777777" w:rsidR="009D7677" w:rsidRDefault="009D7677" w:rsidP="009D7677">
      <w:pPr>
        <w:pStyle w:val="TextoNormal"/>
      </w:pPr>
    </w:p>
    <w:p w14:paraId="58C388A3" w14:textId="77777777" w:rsidR="009D7677" w:rsidRDefault="009D7677" w:rsidP="009D7677">
      <w:pPr>
        <w:pStyle w:val="TextoNormal"/>
      </w:pPr>
      <w:r>
        <w:t>‘Artículo 55. Actividades, instalaciones y construcciones permitidas</w:t>
      </w:r>
    </w:p>
    <w:p w14:paraId="0905503D" w14:textId="77777777" w:rsidR="009D7677" w:rsidRDefault="009D7677" w:rsidP="009D7677">
      <w:pPr>
        <w:pStyle w:val="TextoNormal"/>
      </w:pPr>
    </w:p>
    <w:p w14:paraId="5426FD03" w14:textId="77777777" w:rsidR="009D7677" w:rsidRDefault="009D7677" w:rsidP="009D7677">
      <w:pPr>
        <w:pStyle w:val="TextoNormal"/>
      </w:pPr>
      <w:r>
        <w:t>1. En la zona de servicio portuaria solo se podrán llevar a cabo actividades, instalaciones y construcciones acordes con los usos portuarios y de señalización marítima, conforme a lo establecido en la presente ley, en la normativa estatal de aplicación y en las normas que la desarrollen.</w:t>
      </w:r>
    </w:p>
    <w:p w14:paraId="0A02B6FC" w14:textId="77777777" w:rsidR="009D7677" w:rsidRDefault="009D7677" w:rsidP="009D7677">
      <w:pPr>
        <w:pStyle w:val="TextoNormal"/>
      </w:pPr>
    </w:p>
    <w:p w14:paraId="224684F0" w14:textId="77777777" w:rsidR="009D7677" w:rsidRDefault="009D7677" w:rsidP="009D7677">
      <w:pPr>
        <w:pStyle w:val="TextoNormal"/>
      </w:pPr>
      <w:r>
        <w:t>2. A tal efecto, tienen la consideración de usos portuarios los siguientes:</w:t>
      </w:r>
    </w:p>
    <w:p w14:paraId="2C7113F2" w14:textId="77777777" w:rsidR="009D7677" w:rsidRDefault="009D7677" w:rsidP="009D7677">
      <w:pPr>
        <w:pStyle w:val="TextoNormal"/>
      </w:pPr>
    </w:p>
    <w:p w14:paraId="25720D9F" w14:textId="77777777" w:rsidR="009D7677" w:rsidRDefault="009D7677" w:rsidP="009D7677">
      <w:pPr>
        <w:pStyle w:val="TextoNormal"/>
      </w:pPr>
      <w:r>
        <w:t>a) El uso de infraestructura básica asignado a diques y caminos.</w:t>
      </w:r>
    </w:p>
    <w:p w14:paraId="318FCA11" w14:textId="77777777" w:rsidR="009D7677" w:rsidRDefault="009D7677" w:rsidP="009D7677">
      <w:pPr>
        <w:pStyle w:val="TextoNormal"/>
      </w:pPr>
    </w:p>
    <w:p w14:paraId="7C4AA73D" w14:textId="77777777" w:rsidR="009D7677" w:rsidRDefault="009D7677" w:rsidP="009D7677">
      <w:pPr>
        <w:pStyle w:val="TextoNormal"/>
      </w:pPr>
      <w:r>
        <w:t>b) Los usos comerciales, entre los cuales figuran los relacionados con el intercambio entre modos de transporte, los relativos al desarrollo de servicios portuarios y otras actividades portuarias comerciales.</w:t>
      </w:r>
    </w:p>
    <w:p w14:paraId="0A03E1EA" w14:textId="77777777" w:rsidR="009D7677" w:rsidRDefault="009D7677" w:rsidP="009D7677">
      <w:pPr>
        <w:pStyle w:val="TextoNormal"/>
      </w:pPr>
    </w:p>
    <w:p w14:paraId="3BAF79F6" w14:textId="77777777" w:rsidR="009D7677" w:rsidRDefault="009D7677" w:rsidP="009D7677">
      <w:pPr>
        <w:pStyle w:val="TextoNormal"/>
      </w:pPr>
      <w:r>
        <w:t>c) Los usos pesqueros, incluidos los referidos a la pesca, el marisqueo y la acuicultura.</w:t>
      </w:r>
    </w:p>
    <w:p w14:paraId="0E94317B" w14:textId="77777777" w:rsidR="009D7677" w:rsidRDefault="009D7677" w:rsidP="009D7677">
      <w:pPr>
        <w:pStyle w:val="TextoNormal"/>
      </w:pPr>
    </w:p>
    <w:p w14:paraId="7CE795B8" w14:textId="77777777" w:rsidR="009D7677" w:rsidRDefault="009D7677" w:rsidP="009D7677">
      <w:pPr>
        <w:pStyle w:val="TextoNormal"/>
      </w:pPr>
      <w:r>
        <w:t>d) Los usos náutico-deportivos.</w:t>
      </w:r>
    </w:p>
    <w:p w14:paraId="34F17C6B" w14:textId="77777777" w:rsidR="009D7677" w:rsidRDefault="009D7677" w:rsidP="009D7677">
      <w:pPr>
        <w:pStyle w:val="TextoNormal"/>
      </w:pPr>
    </w:p>
    <w:p w14:paraId="08F2CB5F" w14:textId="77777777" w:rsidR="009D7677" w:rsidRDefault="009D7677" w:rsidP="009D7677">
      <w:pPr>
        <w:pStyle w:val="TextoNormal"/>
      </w:pPr>
      <w:r>
        <w:t>e) Los usos complementarios o auxiliares de los anteriores, incluidos los relativos a actividades logísticas y de almacenaje, los relativos a la cadena mar-industria alimentaria y los que correspondan a empresas industriales o comerciales que justifiquen el emplazamiento en el puerto por su relación con el tráfico portuario, el volumen de los tráficos marítimos que generan o los servicios que prestan a las personas usuarias del puerto.</w:t>
      </w:r>
    </w:p>
    <w:p w14:paraId="2DC81F2A" w14:textId="77777777" w:rsidR="009D7677" w:rsidRDefault="009D7677" w:rsidP="009D7677">
      <w:pPr>
        <w:pStyle w:val="TextoNormal"/>
      </w:pPr>
    </w:p>
    <w:p w14:paraId="16506941" w14:textId="77777777" w:rsidR="009D7677" w:rsidRDefault="009D7677" w:rsidP="009D7677">
      <w:pPr>
        <w:pStyle w:val="TextoNormal"/>
      </w:pPr>
      <w:r>
        <w:t>f) Los usos necesarios para llevar a cabo el transporte de las personas usuarias del transporte marítimo, competencia de la comunidad autónoma.</w:t>
      </w:r>
    </w:p>
    <w:p w14:paraId="02372FED" w14:textId="77777777" w:rsidR="009D7677" w:rsidRDefault="009D7677" w:rsidP="009D7677">
      <w:pPr>
        <w:pStyle w:val="TextoNormal"/>
      </w:pPr>
    </w:p>
    <w:p w14:paraId="4C5ADB7F" w14:textId="77777777" w:rsidR="009D7677" w:rsidRDefault="009D7677" w:rsidP="009D7677">
      <w:pPr>
        <w:pStyle w:val="TextoNormal"/>
      </w:pPr>
      <w:r>
        <w:t>g) Los usos vinculados a la interacción puerto-ciudad, que cumplan la doble función de integrar el ámbito portuario en el ayuntamiento y la participación de la comunidad en el desarrollo portuario, a través de la implantación de usos y actividades que, sin alterar el desarrollo del puerto y las operaciones de tráfico portuario, mejoren la calidad de vida de la ciudadanía, entre ellos, la prestación de servicios sanitarios, asistenciales, docentes, culturales y deportivos, así como los destinados a la mejora de la conectividad del puerto con el entorno urbano.</w:t>
      </w:r>
    </w:p>
    <w:p w14:paraId="1D6E55C7" w14:textId="77777777" w:rsidR="009D7677" w:rsidRDefault="009D7677" w:rsidP="009D7677">
      <w:pPr>
        <w:pStyle w:val="TextoNormal"/>
      </w:pPr>
    </w:p>
    <w:p w14:paraId="3E29F3E7" w14:textId="77777777" w:rsidR="009D7677" w:rsidRDefault="009D7677" w:rsidP="009D7677">
      <w:pPr>
        <w:pStyle w:val="TextoNormal"/>
      </w:pPr>
      <w:r>
        <w:t>3. La gestión de los espacios portuarios vinculados a la interacción puerto-ciudad se regulará mediante fórmulas de colaboración interadministrativa, que deberán incluir, al menos, las competencias y financiación en materia de conservación y mantenimiento de espacios y servicios, el régimen de la responsabilidad derivada de acontecimientos ocurridos en el espacio o en relación con la prestación del servicio, y cualesquiera otras cuestiones que se consideren necesarias para facilitar la gestión eficaz de las administraciones implicadas y de los usuarios de los servicios.</w:t>
      </w:r>
    </w:p>
    <w:p w14:paraId="1CB65B26" w14:textId="77777777" w:rsidR="009D7677" w:rsidRDefault="009D7677" w:rsidP="009D7677">
      <w:pPr>
        <w:pStyle w:val="TextoNormal"/>
      </w:pPr>
    </w:p>
    <w:p w14:paraId="05625B43" w14:textId="77777777" w:rsidR="009D7677" w:rsidRDefault="009D7677" w:rsidP="009D7677">
      <w:pPr>
        <w:pStyle w:val="TextoNormal"/>
      </w:pPr>
      <w:r>
        <w:lastRenderedPageBreak/>
        <w:t>4. En los terrenos de la zona de servicio portuaria que no reúnan las características naturales de bienes de dominio público marítimo-terrestre definidos en el artículo 3 de la Ley 22/1988, de 28 de julio, de costas, podrán admitirse otros usos no estrictamente portuarios, tales como equipamientos culturales, recreativos, certámenes feriales, exposiciones y otras actividades comerciales e industriales no portuarias, siempre que resulten compatibles con los usos antes definidos, no se perjudique globalmente el desarrollo futuro del puerto y las operaciones de tráfico portuario y se ajusten a lo establecido en el plan urbanístico en vigor, así como a lo previsto en la normativa de costas en materia de protección del dominio público marítimo-terrestre adscrito”.</w:t>
      </w:r>
    </w:p>
    <w:p w14:paraId="0ECB60C4" w14:textId="77777777" w:rsidR="009D7677" w:rsidRDefault="009D7677" w:rsidP="009D7677">
      <w:pPr>
        <w:pStyle w:val="TextoNormal"/>
      </w:pPr>
    </w:p>
    <w:p w14:paraId="045765E0" w14:textId="77777777" w:rsidR="009D7677" w:rsidRDefault="009D7677" w:rsidP="009D7677">
      <w:pPr>
        <w:pStyle w:val="TextoNormal"/>
      </w:pPr>
      <w:r>
        <w:t xml:space="preserve">(i) El abogado del Estado indica que dicha disposición modifica el art. 55 de la Ley de puertos de Galicia, relativo a las “actividades, instalaciones y construcciones permitidas”, conforme a los usos portuarios, en la zona de servicios portuarios, e incluye algunas que no figuraban en la redacción originaria de dicho artículo. Destaca como “más relevante” la relativa a los apartados 2 e) y g). Indica que la adscripción de bienes del dominio público marítimo-terrestre a las comunidades autónomas, si bien no modifica la calificación jurídica del bien, comporta que es la comunidad autónoma a la que le corresponde su utilización y gestión adecuadas a su finalidad y son sujeción a las disposiciones pertinentes (art. 49 LC). En el art. 49.4 LC se establecen los usos permitidos con limitaciones y los prohibidos. Dicho precepto se desarrolla en el art. 105 RGC, añadiendo la superficie máxima que tales usos pueden tener y en el art. 106 RGC que exige para la delimitación de los usos el informe favorable de la Administración General del Estado. A ello se añade que la adscripción del bien a la comunidad autónoma no le libera de las limitaciones medioambientales derivadas del art. 45 y 149.1.23 CE. Como reconoce la STC 31/2010, FJ 92, el ejercicio de las funciones ejecutivas autonómicas “se somete al respeto del régimen general del dominio público, pues dicho régimen corresponde establecerlo al Estado, titular del demanio, con libertad de configuración”. En tal sentido, los arts. 25 y 32 LC, fueron declarados básicos por las SSTC 149/1991, FJ 3 y 4 y 34/2014, FJ </w:t>
      </w:r>
      <w:r w:rsidRPr="009D7677">
        <w:rPr>
          <w:i/>
        </w:rPr>
        <w:t>3 in fi</w:t>
      </w:r>
      <w:r>
        <w:t>ne, de modo que en la previsión de los usos portuarios no prevén “los relativos a la cadena mar-industria alimentaria” y “servicios sanitarios, asistenciales, docentes, culturales o deportivos”. Dicha previsión en la norma autonómica no tiene el carácter de norma adicional de protección, ni supone un desarrollo de la norma básica, por lo que contraviene el art. 149.1.23 CE.</w:t>
      </w:r>
    </w:p>
    <w:p w14:paraId="24ECBF38" w14:textId="77777777" w:rsidR="009D7677" w:rsidRDefault="009D7677" w:rsidP="009D7677">
      <w:pPr>
        <w:pStyle w:val="TextoNormal"/>
      </w:pPr>
    </w:p>
    <w:p w14:paraId="50C275B5" w14:textId="77777777" w:rsidR="009D7677" w:rsidRDefault="009D7677" w:rsidP="009D7677">
      <w:pPr>
        <w:pStyle w:val="TextoNormal"/>
      </w:pPr>
      <w:r>
        <w:t xml:space="preserve">(ii) La Xunta y el Parlamento de Galicia defienden la constitucionalidad de la disposición final primera. Se indica que únicamente se impugna el concreto inciso de la letra e) “los relativos a la cadena mar-industria alimentaria” y la letra g), del art. 55.2 de la Ley del Parlamento de Galicia 4/2023. La genérica invocación del art. 49 LC no es adecuada, pues el art. 55 de la Ley de puertos de Galicia se refiere a los puertos ya construidos y en funcionamiento, por lo que el contraste se debe producir únicamente con el apartado 4 del art. 49 LC y el art. 105 RGC, cuyo objeto regulador son los usos comerciales y de restauración en la zona de servicio portuaria (STC 28/2016). Indica que el art. 55 de la Ley de puertos de Galicia no regula los “usos comerciales y de restauración”, sino los “usos portuarios”. Y los “usos portuarios” tienen un régimen jurídico distinto que corresponde establecer al legislador autonómico (artículos 148.1.6 y 149.1.20 CE, 27.9 y 28.6 EAG). No es correcto el enfoque del recurrente cuando indica que “exceden de los usos previstos en los artículos 25 y 32 de la Ley de costas como posibles en un espacio portuario adscrito a la comunidad autónoma”. Dicho argumento, es contrario a la STC 34/2014 y es poco comprensible con la admisión del art. 49.4 LC de “usos comerciales y de restauración”, y las condiciones </w:t>
      </w:r>
      <w:r>
        <w:lastRenderedPageBreak/>
        <w:t>antes señaladas de no ocupar bienes de dominio público marítimo-terrestre que reúnan las características del art. 3 LC. Además, el acuerdo de la Comisión Bilateral de Cooperación Administración General del Estado-Comunidad Autónoma de Galicia de 11 de octubre de 2018, sobre los arts. 39, el 44 y el 52.1 de la Ley de puertos de Galicia no es contrario a la modificación del art. 55 de esta misma ley.</w:t>
      </w:r>
    </w:p>
    <w:p w14:paraId="2A6BF960" w14:textId="77777777" w:rsidR="009D7677" w:rsidRDefault="009D7677" w:rsidP="009D7677">
      <w:pPr>
        <w:pStyle w:val="TextoNormal"/>
      </w:pPr>
    </w:p>
    <w:p w14:paraId="41657C7D" w14:textId="77777777" w:rsidR="009D7677" w:rsidRDefault="009D7677" w:rsidP="009D7677">
      <w:pPr>
        <w:pStyle w:val="TextoNormal"/>
      </w:pPr>
      <w:r>
        <w:t>(iii) La disposición impugnada modifica la redacción originaria del art. 55 de la Ley de puertos de Galicia y especifica algunos usos portuarios que no se encontraban comprendidos en la norma en la redacción anterior a la reforma. Son los siguientes: “incluidos los referidos a la pesca, el marisqueo y la acuicultura” [art. 55.2 letra c)]; “los relativos a la cadena mar-industria alimentaria” [art. 55.2 letra e)]; y “[l]os usos vinculados a la interacción puerto-ciudad, que cumplan la doble función de integrar el ámbito portuario en el ayuntamiento y la participación de la comunidad en el desarrollo portuario, a través de la implantación de usos y actividades que, sin alterar el desarrollo del puerto y las operaciones de tráfico portuario, mejoren la calidad de vida de la ciudadanía, entre ellos, la prestación de servicios sanitarios, asistenciales, docentes, culturales y deportivos, así como los destinados a mejorar la conectividad del puerto con su entorno urbano” [art. 55.2 letra g)].</w:t>
      </w:r>
    </w:p>
    <w:p w14:paraId="6D04FBA5" w14:textId="77777777" w:rsidR="009D7677" w:rsidRDefault="009D7677" w:rsidP="009D7677">
      <w:pPr>
        <w:pStyle w:val="TextoNormal"/>
      </w:pPr>
    </w:p>
    <w:p w14:paraId="12233F25" w14:textId="77777777" w:rsidR="009D7677" w:rsidRDefault="009D7677" w:rsidP="009D7677">
      <w:pPr>
        <w:pStyle w:val="TextoNormal"/>
      </w:pPr>
      <w:r>
        <w:t>El abogado del Estado se refiere específicamente en su impugnación a los usos añadidos en las letras e) y g), por lo que a estos nos ceñiremos en el enjuiciamiento. Considera que tales preceptos incumplen las limitaciones que sobre el dominio público marítimo-terrestre imponen los arts. 25, 32, 49.4 LC y 105 RGC, 25 y 32 LC. Debemos dar por reproducida la STC 34/2014, cuyos fundamentos jurídicos 3 a 5 son aplicables para resolver el presente conflicto.</w:t>
      </w:r>
    </w:p>
    <w:p w14:paraId="687959F5" w14:textId="77777777" w:rsidR="009D7677" w:rsidRDefault="009D7677" w:rsidP="009D7677">
      <w:pPr>
        <w:pStyle w:val="TextoNormal"/>
      </w:pPr>
    </w:p>
    <w:p w14:paraId="313E7487" w14:textId="77777777" w:rsidR="009D7677" w:rsidRDefault="009D7677" w:rsidP="009D7677">
      <w:pPr>
        <w:pStyle w:val="TextoNormal"/>
      </w:pPr>
      <w:r>
        <w:t>El precepto establece que en zona de servicio portuaria se podrán llevar a cabo actividades, instalaciones y construcciones acordes con los usos portuarios, conforme a lo establecido en la Ley del Parlamento de Galicia 4/2023 y en la normativa estatal de aplicación. En concreto —en lo que se refiere a la impugnación— se podrán llevar a cabo las actividades, instalaciones y construcciones relativas a la “cadena mar-industria alimentaria” [art. 55.2 letra e)]; y “[l]os usos vinculados a la interacción puerto-ciudad, que cumplan la doble función de integrar el ámbito portuario en el ayuntamiento y la participación de la comunidad en el desarrollo portuario, a través de la implantación de usos y actividades que, sin alterar el desarrollo del puerto y las operaciones de tráfico portuario, mejoren la calidad de vida de la ciudadanía, entre ellos, la prestación de servicios sanitarios, asistenciales, docentes, culturales y deportivos, así como los destinados a mejorar la conectividad del puerto con su entorno urbano” [art. 55.2 letra g)].</w:t>
      </w:r>
    </w:p>
    <w:p w14:paraId="2DC46B36" w14:textId="77777777" w:rsidR="009D7677" w:rsidRDefault="009D7677" w:rsidP="009D7677">
      <w:pPr>
        <w:pStyle w:val="TextoNormal"/>
      </w:pPr>
    </w:p>
    <w:p w14:paraId="13788105" w14:textId="77777777" w:rsidR="009D7677" w:rsidRDefault="009D7677" w:rsidP="009D7677">
      <w:pPr>
        <w:pStyle w:val="TextoNormal"/>
      </w:pPr>
      <w:r>
        <w:t xml:space="preserve">Por su parte, de los arts. 25.1 y 32.2 LC resulta que quedarán expresamente excluidas las edificaciones destinadas a residencia o habitación; la construcción o modificación de vías de transporte interurbanas y las de intensidad de tráfico superior a la que se determine reglamentariamente, así como de sus áreas de servicio; las actividades que impliquen la destrucción de yacimientos de áridos naturales o no consolidados, entendiéndose por tales los lugares donde existen acumulaciones de materiales detríticos tipo arenas o gravas; el tendido aéreo de líneas eléctricas de alta tensión; el vertido de residuos sólidos, escombros y aguas residuales sin depuración y la publicidad a través de carteles o vallas o por medios acústicos o audiovisuales. Por otra parte, de los arts. 49.4 LC y 105.1 RGC resulta que en </w:t>
      </w:r>
      <w:r>
        <w:lastRenderedPageBreak/>
        <w:t>la zona de servicio portuaria se admiten “además de los usos necesarios para el desarrollo de la actividad portuaria, se podrán permitir usos comerciales y de restauración”.</w:t>
      </w:r>
    </w:p>
    <w:p w14:paraId="6C5A70C3" w14:textId="77777777" w:rsidR="009D7677" w:rsidRDefault="009D7677" w:rsidP="009D7677">
      <w:pPr>
        <w:pStyle w:val="TextoNormal"/>
      </w:pPr>
    </w:p>
    <w:p w14:paraId="572CCFE0" w14:textId="77777777" w:rsidR="009D7677" w:rsidRDefault="009D7677" w:rsidP="009D7677">
      <w:pPr>
        <w:pStyle w:val="TextoNormal"/>
      </w:pPr>
      <w:r>
        <w:t>A ello debe añadirse que de conformidad con el art. 55.1 de la Ley de puertos de Galicia las actividades, instalaciones y construcciones que podrán llevarse a cabo en la zona portuaria, deberán ser acordes con los usos portuarios de conformidad con la normativa estatal.</w:t>
      </w:r>
    </w:p>
    <w:p w14:paraId="5A958A75" w14:textId="77777777" w:rsidR="009D7677" w:rsidRDefault="009D7677" w:rsidP="009D7677">
      <w:pPr>
        <w:pStyle w:val="TextoNormal"/>
      </w:pPr>
    </w:p>
    <w:p w14:paraId="3D1ACDB1" w14:textId="77777777" w:rsidR="009D7677" w:rsidRDefault="009D7677" w:rsidP="009D7677">
      <w:pPr>
        <w:pStyle w:val="TextoNormal"/>
      </w:pPr>
      <w:r>
        <w:t>Expuesto lo anterior estamos en condiciones de desestimar la impugnación. En relación con la cadena mar-industria alimentaria debe entenderse por esta el conjunto de empresas y entidades que desarrollan actividades económicas propias del sector pesquero, marisquero y de la acuicultura, incluidas las actividades de extracción, cultivo, producción, manipulación, transformación y comercialización de los productos de la pesca, el marisqueo y la acuicultura. Dispone el art. 55.3 de la Ley de puertos de Galicia que los establecimientos de la cadena mar-industria deberán cumplir las exigencias establecidas en la normativa de costas, lo que remite necesariamente a lo dispuesto el 49.4 LC —en relación con los bienes de dominio público marítimo-terrestre adscritos, que no reúnan las características del art. 3 LC— y en relación con los que sí reúnan esas características, a los arts. 25 y 31 LC. De modo que no se pueden considerar que la regulación contraviene tales preceptos. Por otra parte, los usos portuarios que se mencionan en el art. 55.2 g) de la Ley de puertos de Galicia no aparecen prohibidos en el art. 25.2 LC y las actividades, instalaciones y construcciones acordes a los mismos deberán respetar las limitaciones y prohibiciones de la normativa de costas (art. 55.1 de la Ley de puertos de Galicia), por lo que tampoco pueden ser considerados inconstitucionales.</w:t>
      </w:r>
    </w:p>
    <w:p w14:paraId="0765C75B" w14:textId="77777777" w:rsidR="009D7677" w:rsidRDefault="009D7677" w:rsidP="009D7677">
      <w:pPr>
        <w:pStyle w:val="TextoNormal"/>
      </w:pPr>
    </w:p>
    <w:p w14:paraId="35EAE377" w14:textId="4A394032" w:rsidR="009D7677" w:rsidRDefault="009D7677" w:rsidP="009D7677">
      <w:pPr>
        <w:pStyle w:val="TextoNormal"/>
      </w:pPr>
      <w:r>
        <w:t>La impugnación de la disposición final primera de modificación de la Ley 6/2017, de 12 de diciembre, de puertos de Galicia, debe ser desestimada.</w:t>
      </w:r>
    </w:p>
    <w:p w14:paraId="44A54E27" w14:textId="77777777" w:rsidR="009D7677" w:rsidRDefault="009D7677" w:rsidP="009D7677">
      <w:pPr>
        <w:pStyle w:val="TextoNormal"/>
      </w:pPr>
    </w:p>
    <w:p w14:paraId="0DBFE36C" w14:textId="77777777" w:rsidR="009D7677" w:rsidRDefault="009D7677" w:rsidP="009D7677">
      <w:pPr>
        <w:pStyle w:val="TextoNormal"/>
      </w:pPr>
      <w:r w:rsidRPr="009D7677">
        <w:rPr>
          <w:rStyle w:val="NumeroAFNegritaCaracter"/>
        </w:rPr>
        <w:t>9</w:t>
      </w:r>
      <w:r>
        <w:t xml:space="preserve">. </w:t>
      </w:r>
      <w:r w:rsidRPr="009D7677">
        <w:rPr>
          <w:i/>
        </w:rPr>
        <w:t>Examen de la constitucionalidad de los artículos 12.5 y 64.3 de la Ley del Parlamento de Galicia</w:t>
      </w:r>
      <w:r>
        <w:t xml:space="preserve"> 4/2023</w:t>
      </w:r>
    </w:p>
    <w:p w14:paraId="114FEE58" w14:textId="77777777" w:rsidR="009D7677" w:rsidRDefault="009D7677" w:rsidP="009D7677">
      <w:pPr>
        <w:pStyle w:val="TextoNormal"/>
      </w:pPr>
    </w:p>
    <w:p w14:paraId="43AFADDB" w14:textId="77777777" w:rsidR="009D7677" w:rsidRDefault="009D7677" w:rsidP="009D7677">
      <w:pPr>
        <w:pStyle w:val="TextoNormal"/>
      </w:pPr>
      <w:r>
        <w:t>El abogado del Estado justifica genéricamente la inconstitucionalidad de los indicados preceptos por “extralimitación al extender las competencias autonómicas al mar territorial”.</w:t>
      </w:r>
    </w:p>
    <w:p w14:paraId="2D3B890A" w14:textId="77777777" w:rsidR="009D7677" w:rsidRDefault="009D7677" w:rsidP="009D7677">
      <w:pPr>
        <w:pStyle w:val="TextoNormal"/>
      </w:pPr>
    </w:p>
    <w:p w14:paraId="394E97AE" w14:textId="77777777" w:rsidR="009D7677" w:rsidRDefault="009D7677" w:rsidP="009D7677">
      <w:pPr>
        <w:pStyle w:val="TextoNormal"/>
      </w:pPr>
      <w:r>
        <w:t xml:space="preserve">Por su parte, la Xunta y el Parlamento de Galicia reconocen que el mar territorial no forma parte del territorio autonómico, ahora bien, ello no impide que sobre el mismo se puedan ejercer competencias autonómicas: cuando el Estatuto prevea expresamente que una competencia autonómica se proyecta sobre el mar, cuando la naturaleza de la competencia estatutariamente atribuida lo exija o lo implique, cuando el ejercicio extraterritorial resulte necesario o procedente para el ejercicio de la competencia autonómica, y, cuando en fin, entre el elemento terrestre y marítimo haya continuidad ecológica. Defienden con carácter general a constitucionalidad de los preceptos impugnados por el explícito respeto a las competencias del Estado que se refleja en el art. 2.3 de la Ley del Parlamento de Galicia 4/2023 en que se recoge un texto idéntico al acuerdo interpretativo adoptado en las comisiones bilaterales entre la Administración General del Estado y Cataluña o las Illes Balears, en relación con las Leyes 8/2020 y 3/2023 respectivamente, encontrándose referencias al respeto de las competencias del Estado en diversos preceptos (arts. 32.2 c), 58.7, </w:t>
      </w:r>
      <w:r>
        <w:lastRenderedPageBreak/>
        <w:t>12.5, 23.1, 25.1, 21.3, 46.1, 48.1, 49.3, 55.3 y 64.3 de la Ley del Parlamento de Galicia 4/2023).</w:t>
      </w:r>
    </w:p>
    <w:p w14:paraId="68DEB6F1" w14:textId="77777777" w:rsidR="009D7677" w:rsidRDefault="009D7677" w:rsidP="009D7677">
      <w:pPr>
        <w:pStyle w:val="TextoNormal"/>
      </w:pPr>
    </w:p>
    <w:p w14:paraId="4FB03925" w14:textId="77777777" w:rsidR="009D7677" w:rsidRDefault="009D7677" w:rsidP="009D7677">
      <w:pPr>
        <w:pStyle w:val="TextoNormal"/>
      </w:pPr>
      <w:r>
        <w:t>a) Art. 12.5 de la Ley del Parlamento de Galicia 4/2023</w:t>
      </w:r>
    </w:p>
    <w:p w14:paraId="5D41B8D2" w14:textId="77777777" w:rsidR="009D7677" w:rsidRDefault="009D7677" w:rsidP="009D7677">
      <w:pPr>
        <w:pStyle w:val="TextoNormal"/>
      </w:pPr>
    </w:p>
    <w:p w14:paraId="14785DC6" w14:textId="77777777" w:rsidR="009D7677" w:rsidRDefault="009D7677" w:rsidP="009D7677">
      <w:pPr>
        <w:pStyle w:val="TextoNormal"/>
      </w:pPr>
      <w:r>
        <w:t>Dispone el art. 12.5 de la ley controvertida:</w:t>
      </w:r>
    </w:p>
    <w:p w14:paraId="1845F29E" w14:textId="77777777" w:rsidR="009D7677" w:rsidRDefault="009D7677" w:rsidP="009D7677">
      <w:pPr>
        <w:pStyle w:val="TextoNormal"/>
      </w:pPr>
    </w:p>
    <w:p w14:paraId="0F24BEE5" w14:textId="77777777" w:rsidR="009D7677" w:rsidRDefault="009D7677" w:rsidP="009D7677">
      <w:pPr>
        <w:pStyle w:val="TextoNormal"/>
      </w:pPr>
      <w:r>
        <w:t>“5. Corresponderá al Instituto Tecnológico para el Control del Medio Marino, en el marco de las competencias de la comunidad autónoma, el control de la calidad del medio marino, y en particular el control del cumplimiento de los objetivos ambientales en las aguas costeras del litoral de Galicia”.</w:t>
      </w:r>
    </w:p>
    <w:p w14:paraId="3B28DCD9" w14:textId="77777777" w:rsidR="009D7677" w:rsidRDefault="009D7677" w:rsidP="009D7677">
      <w:pPr>
        <w:pStyle w:val="TextoNormal"/>
      </w:pPr>
    </w:p>
    <w:p w14:paraId="4C24F3B5" w14:textId="77777777" w:rsidR="009D7677" w:rsidRDefault="009D7677" w:rsidP="009D7677">
      <w:pPr>
        <w:pStyle w:val="TextoNormal"/>
      </w:pPr>
      <w:r>
        <w:t>(i) El abogado del Estado indica que la ordenación de litoral no se extiende a la calidad del medio marino y cuando alude a informes de compatibilidad lo hace en los mismos términos que la Ley 41/2010, de 29 de diciembre de protección del medio marino. En esta ley establece el régimen jurídico que rige para lograr y mantener el buen estado ambiental del medio marino y se dicta al amparo del art. 149.1.23 CE. La estrategia marina constituye uno de los instrumentos esenciales de la planificación y se prevé que las comunidades autónomas participen en todas las fases de elaboración y aplicación de las estrategias marinas, en la medida que afecten a sus competencias. Refiere que tampoco dicha norma encuentra amparo en el art 27.30 EAG. Señala que la competencia de la Comunidad Autónoma de Galicia en materia de medio ambiente solo se puede extender al mar cuando lo exijan excepcionalmente las características del espacio protegido cuando lo exija la continuidad y unidad del espacio (art. 6 de la Ley 42/2007, de 13 de diciembre).</w:t>
      </w:r>
    </w:p>
    <w:p w14:paraId="44650043" w14:textId="77777777" w:rsidR="009D7677" w:rsidRDefault="009D7677" w:rsidP="009D7677">
      <w:pPr>
        <w:pStyle w:val="TextoNormal"/>
      </w:pPr>
    </w:p>
    <w:p w14:paraId="593C7B1B" w14:textId="77777777" w:rsidR="009D7677" w:rsidRDefault="009D7677" w:rsidP="009D7677">
      <w:pPr>
        <w:pStyle w:val="TextoNormal"/>
      </w:pPr>
      <w:r>
        <w:t>(ii) La Xunta y el Parlamento de Galicia, como se ha expuesto en los antecedentes defienden la constitucionalidad de la norma. En las alegaciones se indica que se cuestiona dicho precepto, pero en realidad la impugnación se refiere al art. 64 de la Ley del Parlamento de Galicia 4/2023. El art. 12.5 de esta misma ley, no interfiere con informes, competencias o facultades estatales, no lo indica el impugnante. Un instituto gallego que controle la calidad del medio marino es una norma adicional de protección del medio ambiente. Se trae al precepto aspectos que no se contienen en su literalidad, en particular cuando se le atribuye la emisión de “un informe de compatibilidad con los objetivos de calidad y ambientales de las aguas de Galicia”. Se desconoce el artículo de la Ley 41/2010 que resulta vulnerado y se cuestiona, que pese a que dicha ley es norma básica (art. 149.1.23 CE) se le atribuya competencia exclusiva. Considera que el art. 12.5 de la Ley del Parlamento de Galicia 4/2023 hay que entenderlo en relación con el ejercicio de competencias que tiene Galicia (art. 2.3 de la misma ley), como norma adicional de protección del medio ambiente, que no interfiere con los controles del Estado. Las estrategias marinas aprobadas por el Estado no son excluyentes, ni determinan la inconstitucionalidad del precepto. Y el art. 6 de la Ley 42/2007, de 13 de diciembre posibilita normas adicionales de protección.</w:t>
      </w:r>
    </w:p>
    <w:p w14:paraId="727AC8F8" w14:textId="77777777" w:rsidR="009D7677" w:rsidRDefault="009D7677" w:rsidP="009D7677">
      <w:pPr>
        <w:pStyle w:val="TextoNormal"/>
      </w:pPr>
    </w:p>
    <w:p w14:paraId="64B6FAC7" w14:textId="77777777" w:rsidR="009D7677" w:rsidRDefault="009D7677" w:rsidP="009D7677">
      <w:pPr>
        <w:pStyle w:val="TextoNormal"/>
      </w:pPr>
      <w:r>
        <w:t>(iii) La impugnación debe ser desestimada. El precepto impugnado atribuye al Instituto Tecnológico para el Control del Medio Marino, el control de la calidad del medio marino, y en particular el control del cumplimiento de los objetivos ambientales en las aguas costeras del litoral de Galicia, en el marco de las competencias de la comunidad autónoma. Por tanto, la norma se incardina, atendido su contenido, en el ámbito de la protección me</w:t>
      </w:r>
      <w:r>
        <w:lastRenderedPageBreak/>
        <w:t>dioambiental de carácter preventivo, cuya finalidad es el control de la calidad de las aguas del litoral gallego. Por la finalidad del referido instituto nos encontramos ante un organismo de tutela ambiental preventiva tendente al cumplimiento de los objetivos ambientales, cuya competencia se encuadra en el art. 149.1.23 CE que atribuye al Estado la competencia para dictar la legislación básica sobre protección del medio ambiente, sin perjuicio de las facultades de las comunidades autónomas de establecer normas adicionales de protección y 27.30 EAG, por el que la Comunidad Autónoma de Galicia tiene competencia exclusiva en normas adicionales sobre protección del medio ambiente y del paisaje en los términos del art. 149.1.23 CE, correspondiéndole también las competencias ejecutivas (art. 37.3 EAG).</w:t>
      </w:r>
    </w:p>
    <w:p w14:paraId="01FFF161" w14:textId="77777777" w:rsidR="009D7677" w:rsidRDefault="009D7677" w:rsidP="009D7677">
      <w:pPr>
        <w:pStyle w:val="TextoNormal"/>
      </w:pPr>
    </w:p>
    <w:p w14:paraId="687F1B9A" w14:textId="77777777" w:rsidR="009D7677" w:rsidRDefault="009D7677" w:rsidP="009D7677">
      <w:pPr>
        <w:pStyle w:val="TextoNormal"/>
      </w:pPr>
      <w:r>
        <w:t>Es por ello por lo que la previsión de que el referido instituto tenga atribuido el control de la calidad de las aguas costeras del litoral gallego, en el ámbito de las competencias de la comunidad autónoma, no infringe la competencia del Estado en materia de medio ambiente (art. 149.1.23 CE) y tiene sustento en el art. 27.30 EAG y en la competencia de ordenación del litoral que comprende al menos la ribera del mar y sus zonas de protección e influencia (STC 149/1991, FJ 1).</w:t>
      </w:r>
    </w:p>
    <w:p w14:paraId="58994938" w14:textId="77777777" w:rsidR="009D7677" w:rsidRDefault="009D7677" w:rsidP="009D7677">
      <w:pPr>
        <w:pStyle w:val="TextoNormal"/>
      </w:pPr>
    </w:p>
    <w:p w14:paraId="4C97A43A" w14:textId="77777777" w:rsidR="009D7677" w:rsidRDefault="009D7677" w:rsidP="009D7677">
      <w:pPr>
        <w:pStyle w:val="TextoNormal"/>
      </w:pPr>
      <w:r>
        <w:t>La impugnación del art. 12.5 de la Ley del Parlamento de Galicia 4/2023 debe ser desestimada.</w:t>
      </w:r>
    </w:p>
    <w:p w14:paraId="18325BDA" w14:textId="77777777" w:rsidR="009D7677" w:rsidRDefault="009D7677" w:rsidP="009D7677">
      <w:pPr>
        <w:pStyle w:val="TextoNormal"/>
      </w:pPr>
    </w:p>
    <w:p w14:paraId="4BDA884A" w14:textId="77777777" w:rsidR="009D7677" w:rsidRDefault="009D7677" w:rsidP="009D7677">
      <w:pPr>
        <w:pStyle w:val="TextoNormal"/>
      </w:pPr>
      <w:r>
        <w:t>b) Artículo 64.3 de la Ley del Parlamento de Galicia 4/2023</w:t>
      </w:r>
    </w:p>
    <w:p w14:paraId="5DB6C008" w14:textId="77777777" w:rsidR="009D7677" w:rsidRDefault="009D7677" w:rsidP="009D7677">
      <w:pPr>
        <w:pStyle w:val="TextoNormal"/>
      </w:pPr>
    </w:p>
    <w:p w14:paraId="635CAED9" w14:textId="77777777" w:rsidR="009D7677" w:rsidRDefault="009D7677" w:rsidP="009D7677">
      <w:pPr>
        <w:pStyle w:val="TextoNormal"/>
      </w:pPr>
      <w:r>
        <w:t>“Artículo 64. Compatibilidad con los objetivos de calidad y ambientales de las aguas interiores y costeras del litoral de Galicia</w:t>
      </w:r>
    </w:p>
    <w:p w14:paraId="7D8A85B5" w14:textId="77777777" w:rsidR="009D7677" w:rsidRDefault="009D7677" w:rsidP="009D7677">
      <w:pPr>
        <w:pStyle w:val="TextoNormal"/>
      </w:pPr>
    </w:p>
    <w:p w14:paraId="02565B3B" w14:textId="77777777" w:rsidR="009D7677" w:rsidRDefault="009D7677" w:rsidP="009D7677">
      <w:pPr>
        <w:pStyle w:val="TextoNormal"/>
      </w:pPr>
      <w:r>
        <w:t>1. La administración general de la Comunidad Autónoma de Galicia y las entidades instrumentales del sector público autonómico con competencias sobre las aguas del litoral velarán por el mantenimiento de los objetivos de calidad y ambientales de las aguas interiores y costeras cuando puedan ser afectadas por vertidos o la realización de obras, instalaciones y actividades.</w:t>
      </w:r>
    </w:p>
    <w:p w14:paraId="22E83563" w14:textId="77777777" w:rsidR="009D7677" w:rsidRDefault="009D7677" w:rsidP="009D7677">
      <w:pPr>
        <w:pStyle w:val="TextoNormal"/>
      </w:pPr>
    </w:p>
    <w:p w14:paraId="565B690E" w14:textId="77777777" w:rsidR="009D7677" w:rsidRDefault="009D7677" w:rsidP="009D7677">
      <w:pPr>
        <w:pStyle w:val="TextoNormal"/>
      </w:pPr>
      <w:r>
        <w:t>2. Los objetivos de calidad y ambientales serán los determinados en la normativa de aguas de Galicia.</w:t>
      </w:r>
    </w:p>
    <w:p w14:paraId="4C6C8763" w14:textId="77777777" w:rsidR="009D7677" w:rsidRDefault="009D7677" w:rsidP="009D7677">
      <w:pPr>
        <w:pStyle w:val="TextoNormal"/>
      </w:pPr>
    </w:p>
    <w:p w14:paraId="6FBFC979" w14:textId="77777777" w:rsidR="009D7677" w:rsidRDefault="009D7677" w:rsidP="009D7677">
      <w:pPr>
        <w:pStyle w:val="TextoNormal"/>
      </w:pPr>
      <w:r>
        <w:t>3. Con respecto a lo dispuesto en la normativa de protección del medio marino, y además del control de los vertidos desde tierra al mar regulado en la normativa de aguas de Galicia y del cumplimiento de los objetivos establecidos en el Plan territorial de contingencias por contaminación marina accidental de Galicia, las actuaciones que pretendan llevarse a cabo en las aguas costeras que requieran la ejecución de obras e instalaciones, o la colocación o depósito de materiales sobre el fondo marino, deberán contar con un informe de compatibilidad con los objetivos de calidad y ambientales de las aguas de Galicia”.</w:t>
      </w:r>
    </w:p>
    <w:p w14:paraId="5F4E853E" w14:textId="77777777" w:rsidR="009D7677" w:rsidRDefault="009D7677" w:rsidP="009D7677">
      <w:pPr>
        <w:pStyle w:val="TextoNormal"/>
      </w:pPr>
    </w:p>
    <w:p w14:paraId="1BEC646B" w14:textId="77777777" w:rsidR="009D7677" w:rsidRDefault="009D7677" w:rsidP="009D7677">
      <w:pPr>
        <w:pStyle w:val="TextoNormal"/>
      </w:pPr>
      <w:r>
        <w:t xml:space="preserve">(i) El abogado del Estado. El art. 64.3 de la Ley prevé la emisión de un informe de compatibilidad con los objetivos de calidad y ambientales de las aguas de Galicia para las actuaciones que pretendan llevarse a cabo en las aguas costeras que requieran la ejecución de obras e instalaciones, o la colocación o depósito de materiales sobre el fondo marino. </w:t>
      </w:r>
      <w:r>
        <w:lastRenderedPageBreak/>
        <w:t xml:space="preserve">Las aguas costeras se extienden hasta una milla náutica mar adentro desde las líneas de base rectas, según el artículo 16 </w:t>
      </w:r>
      <w:r w:rsidRPr="009D7677">
        <w:rPr>
          <w:i/>
        </w:rPr>
        <w:t>bis</w:t>
      </w:r>
      <w:r>
        <w:t>.1 del texto refundido de la Ley de aguas, aprobado por el Real Decreto Legislativo 1/2001, de 20 de julio. Entiende el abogado del Estado que la ley no puede incluir, como competencia propia, la emisión de un informe similar al previsto en la normativa estatal, referido a aquellas actividades que requieran, bien la ejecución de obras o instalaciones en las aguas marinas, su lecho o su subsuelo, bien la colocación o depósito de materias sobre el fondo marino. Mediante dicha práctica, la Comunidad Autónoma de Galicia está sustituyendo la competencia exclusiva otorgada por la Ley 41/2010, de protección del medio marino, al Ministerio para la Transición Ecológica y el Reto Demográfico que incluye la competencia para la emisión del correspondiente informe de compatibilidad con la estrategia marina, siendo dicha ley básica en virtud del art. 149.1.23 CE.</w:t>
      </w:r>
    </w:p>
    <w:p w14:paraId="482E6900" w14:textId="77777777" w:rsidR="009D7677" w:rsidRDefault="009D7677" w:rsidP="009D7677">
      <w:pPr>
        <w:pStyle w:val="TextoNormal"/>
      </w:pPr>
    </w:p>
    <w:p w14:paraId="4FA7CF0D" w14:textId="77777777" w:rsidR="009D7677" w:rsidRDefault="009D7677" w:rsidP="009D7677">
      <w:pPr>
        <w:pStyle w:val="TextoNormal"/>
      </w:pPr>
      <w:r>
        <w:t>(ii) La Xunta y el Parlamento de Galicia, consideran que la regulación del informe de compatibilidad con los objetivos de calidad y ambientales de las aguas de Galicia, que prevé el impugnado art. 64.3 de la Ley del Parlamento de Galicia 4/2023, es respetuosa con el sistema de distribución de competencias al tratarse de una norma adicional de protección ambiental con una mención textual: “[c]on respecto a lo dispuesto en la normativa de protección del medio marino”. La habilitación competencial del precepto se recoge en la exposición de motivos y se encuentra en tratarse de una norma adicional de protección (art. 27.30 EAG). El encuadre de la materia en medio ambiente es afirmado en la impugnación al recoger el art. 149.1.23 CE. Al reconocer la impugnación que “la Comunidad Autónoma de Galicia es competente en las citadas aguas costeras de la Demarcación Hidrográfica Galicia Costa”, difícilmente puede ser entonces inconstitucional el apartado impugnado. Por otra parte, no se indica que precepto de la Ley 42/2007, de 13 de diciembre, del patrimonio natural y de la biodiversidad se vulnera. Dicha ley se sustenta la idea compartida por la de la Ley del Parlamento de Galicia 4/2023 de que la preservación del patrimonio natural es deber de todos los poderes, en sus respectivos ámbitos de competencia (art. 5 Ley 42/2007, de 13 de diciembre) y que las competencias del estado sobre el medio marino lo son “sin perjuicio de las competencias de las comunidades autónomas del litoral”. Es por ello que Galicia aprobó la Ley 5/2019, de 2 de agosto, del patrimonio natural y de la biodiversidad de Galicia cuyo art. 4 alude a las competencias autonómicas.</w:t>
      </w:r>
    </w:p>
    <w:p w14:paraId="046FC5AF" w14:textId="77777777" w:rsidR="009D7677" w:rsidRDefault="009D7677" w:rsidP="009D7677">
      <w:pPr>
        <w:pStyle w:val="TextoNormal"/>
      </w:pPr>
    </w:p>
    <w:p w14:paraId="4515F6FA" w14:textId="77777777" w:rsidR="009D7677" w:rsidRDefault="009D7677" w:rsidP="009D7677">
      <w:pPr>
        <w:pStyle w:val="TextoNormal"/>
      </w:pPr>
      <w:r>
        <w:t>Añade que al referirse el art. 64.3 de la Ley del Parlamento de Galicia 4/2023 a “aguas de Galicia”, el informe se daría en relación con las aguas donde la Comunidad Autónoma de Galicia puede realizar sus funciones. Insiste en la competencia del art. 27.30 EAG, en relación con el argumento del Estado de que en la Ley 41/2010, de 29 de diciembre, de protección del medio marino, se contiene idéntico informe. Para finalizar añade que la propia Ley 41/2010 parte de la singularidad de las “aguas costeras” y reconoce sobre ellas que existen otras normas y otros títulos en virtud de los cuales pueden regularse el objetivo de alcanzar el buen estado de dichas aguas.</w:t>
      </w:r>
    </w:p>
    <w:p w14:paraId="75963F21" w14:textId="77777777" w:rsidR="009D7677" w:rsidRDefault="009D7677" w:rsidP="009D7677">
      <w:pPr>
        <w:pStyle w:val="TextoNormal"/>
      </w:pPr>
    </w:p>
    <w:p w14:paraId="24DA870E" w14:textId="77777777" w:rsidR="009D7677" w:rsidRDefault="009D7677" w:rsidP="009D7677">
      <w:pPr>
        <w:pStyle w:val="TextoNormal"/>
      </w:pPr>
      <w:r>
        <w:t xml:space="preserve">(iii) La impugnación debe ser desestimada. El art. 64.3 de la Ley del Parlamento de Galicia 4/2023 prevé que las actuaciones que pretendan llevarse a cabo en las aguas costeras que requieran la ejecución de obras e instalaciones, o la colocación o depósito de materiales sobre el fondo marino, deberán contar con un informe de compatibilidad con los objetivos de calidad y ambientales de las aguas de Galicia. Las aguas costeras —definidas en el art. 2.3 de la Ley 9/2010, de 4 de noviembre, de aguas de Galicia y en el art. 16 </w:t>
      </w:r>
      <w:r w:rsidRPr="009D7677">
        <w:rPr>
          <w:i/>
        </w:rPr>
        <w:t>bis</w:t>
      </w:r>
      <w:r>
        <w:t xml:space="preserve"> del </w:t>
      </w:r>
      <w:r>
        <w:lastRenderedPageBreak/>
        <w:t>Real Decreto Legislativo 1/2001, de 20 de julio, por el que se aprueba el texto refundido de la Ley de aguas— que estén asociadas a la cuenca hidrográfica, formaran parte de la demarcación hidrográfica más próxima o apropiada.</w:t>
      </w:r>
    </w:p>
    <w:p w14:paraId="2339DC42" w14:textId="77777777" w:rsidR="009D7677" w:rsidRDefault="009D7677" w:rsidP="009D7677">
      <w:pPr>
        <w:pStyle w:val="TextoNormal"/>
      </w:pPr>
    </w:p>
    <w:p w14:paraId="56674899" w14:textId="77777777" w:rsidR="009D7677" w:rsidRDefault="009D7677" w:rsidP="009D7677">
      <w:pPr>
        <w:pStyle w:val="TextoNormal"/>
      </w:pPr>
      <w:r>
        <w:t>El propio recurso reconoce la competencia de la Comunidad Autónoma de Galicia sobre las aguas costeras de la Demarcación Hidrográfica Galicia Costa —y en tal sentido, por Real Decreto 48/2023, de 24 de enero, se aprueba el plan hidrológico de la Demarcación Hidrográfica de Galicia-Costa—. Pues bien, reconocida la competencia de la Comunidad Autónoma de Galicia sobre las aguas costeras debe recordarse que “[e]s sabido que la emisión de informes preceptivos por parte de la administración que ostenta competencias concurrentes con la administración actuante es legítima si se ciñen al ámbito de competencias de la primera y no impiden o perturban las competencias de la segunda (STC 40/1998, de 19 de febrero, FJ 34), pudiendo ser exigida por la legislación de aquélla (por todas, STC 46/2007, de 1 de marzo, FJ 10) y, por tanto, por el estatuto de autonomía” (STC 31/2010, FJ 85).</w:t>
      </w:r>
    </w:p>
    <w:p w14:paraId="1686CCAB" w14:textId="77777777" w:rsidR="009D7677" w:rsidRDefault="009D7677" w:rsidP="009D7677">
      <w:pPr>
        <w:pStyle w:val="TextoNormal"/>
      </w:pPr>
    </w:p>
    <w:p w14:paraId="58BE10BE" w14:textId="4C666E8C" w:rsidR="009D7677" w:rsidRDefault="009D7677" w:rsidP="009D7677">
      <w:pPr>
        <w:pStyle w:val="TextoNormal"/>
      </w:pPr>
      <w:r>
        <w:t>La impugnación del 64.3 de la Ley del Parlamento de Galicia 4/2023 debe ser desestimada.</w:t>
      </w:r>
    </w:p>
    <w:p w14:paraId="2AF35689" w14:textId="77777777" w:rsidR="009D7677" w:rsidRDefault="009D7677" w:rsidP="009D7677">
      <w:pPr>
        <w:pStyle w:val="TextoNormal"/>
      </w:pPr>
    </w:p>
    <w:p w14:paraId="07DABC07" w14:textId="77777777" w:rsidR="009D7677" w:rsidRDefault="009D7677" w:rsidP="009D7677">
      <w:pPr>
        <w:pStyle w:val="TextoNormal"/>
      </w:pPr>
      <w:r w:rsidRPr="009D7677">
        <w:rPr>
          <w:rStyle w:val="NumeroAFNegritaCaracter"/>
        </w:rPr>
        <w:t>10</w:t>
      </w:r>
      <w:r>
        <w:t xml:space="preserve">. </w:t>
      </w:r>
      <w:r w:rsidRPr="009D7677">
        <w:rPr>
          <w:i/>
        </w:rPr>
        <w:t>Enjuiciamiento de la inconstitucionalidad de los arts. 1.2 d); 3 a);11.4 b) y 5 b); 35.3; 41.3; 46.2; 48.1, 4 y 5; 52; 53.1, 3 y 4; 62.5, y disposición final quinta</w:t>
      </w:r>
    </w:p>
    <w:p w14:paraId="66BC7A7A" w14:textId="77777777" w:rsidR="009D7677" w:rsidRDefault="009D7677" w:rsidP="009D7677">
      <w:pPr>
        <w:pStyle w:val="TextoNormal"/>
      </w:pPr>
    </w:p>
    <w:p w14:paraId="262236EA" w14:textId="77777777" w:rsidR="009D7677" w:rsidRDefault="009D7677" w:rsidP="009D7677">
      <w:pPr>
        <w:pStyle w:val="TextoNormal"/>
      </w:pPr>
      <w:r>
        <w:t>El abogado del Estado justifica genéricamente la inconstitucionalidad de los indicados preceptos por “atribuirse la gestión de los títulos de ocupación del dominio público marítimo-terrestre sin tener competencia estatutaria” y expone la impugnación de los mismos respectivamente en los apartados C) y E) de su escrito de impugnación.</w:t>
      </w:r>
    </w:p>
    <w:p w14:paraId="134B52AF" w14:textId="77777777" w:rsidR="009D7677" w:rsidRDefault="009D7677" w:rsidP="009D7677">
      <w:pPr>
        <w:pStyle w:val="TextoNormal"/>
      </w:pPr>
    </w:p>
    <w:p w14:paraId="5FE19D57" w14:textId="77777777" w:rsidR="009D7677" w:rsidRDefault="009D7677" w:rsidP="009D7677">
      <w:pPr>
        <w:pStyle w:val="TextoNormal"/>
      </w:pPr>
      <w:r>
        <w:t>Por su parte la Xunta y el Parlamento de Galicia, como se ha expuesto, entienden que la de la Ley del Parlamento de Galicia 4/2023 respeta las limitaciones del dominio público marítimo-terrestre y que se dicta en el ejercicio de la competencia exclusiva de la Comunidad Autónoma de Galicia sobre “[o]rdenación del territorio y del litoral” (arts. 27.3 y 37.2 EAG). Dentro de dichos títulos se comprende la gestión de los títulos de uso y ocupación del dominio público marítimo-terrestre —como resultó de la STC 31/2010, FJ 92—. Refieren que la delimitación competencial en la “ordenación del litoral” efectuada por el Tribunal Constitucional debe aplicarse a todas las comunidades autónomas.</w:t>
      </w:r>
    </w:p>
    <w:p w14:paraId="49EDE46F" w14:textId="77777777" w:rsidR="009D7677" w:rsidRDefault="009D7677" w:rsidP="009D7677">
      <w:pPr>
        <w:pStyle w:val="TextoNormal"/>
      </w:pPr>
    </w:p>
    <w:p w14:paraId="522C7B5A" w14:textId="77777777" w:rsidR="009D7677" w:rsidRDefault="009D7677" w:rsidP="009D7677">
      <w:pPr>
        <w:pStyle w:val="TextoNormal"/>
      </w:pPr>
      <w:r>
        <w:t>A los efectos de su enjuiciamiento al fundarse las impugnaciones relativas a los arts. 1.2 d); 3 a);11.4 b) y 5 b); 35.3; 41.3; 46.2; 48.1, 4 y 5, y a la disposición final quinta en el inciso “salvo lo establecido en el artículo 48.1 con respecto al ejercicio de las competencias autonómicas para el otorgamiento de las autorizaciones y concesiones del dominio público marítimo-terrestre, cuya entrada en vigor queda supeditada a la publicación del real decreto de traspasos de funciones y servicios de la administración general del Estado a la Comunidad Autónoma de Galicia” de la Ley del Parlamento de Galicia 4/2023 en el mismo razonamiento, se resolverán conjuntamente al examinar la impugnación del art. 1.2 d) de esta misma ley.</w:t>
      </w:r>
    </w:p>
    <w:p w14:paraId="0054265D" w14:textId="77777777" w:rsidR="009D7677" w:rsidRDefault="009D7677" w:rsidP="009D7677">
      <w:pPr>
        <w:pStyle w:val="TextoNormal"/>
      </w:pPr>
    </w:p>
    <w:p w14:paraId="5812B8E1" w14:textId="77777777" w:rsidR="009D7677" w:rsidRDefault="009D7677" w:rsidP="009D7677">
      <w:pPr>
        <w:pStyle w:val="TextoNormal"/>
      </w:pPr>
      <w:r>
        <w:t>El resto de las impugnaciones referentes a los arts. 52; 53.1, 3 y 4, y 62.5 de la Ley del Parlamento de Galicia 4/2023, se tratarán individualmente.</w:t>
      </w:r>
    </w:p>
    <w:p w14:paraId="28E9B8BA" w14:textId="77777777" w:rsidR="009D7677" w:rsidRDefault="009D7677" w:rsidP="009D7677">
      <w:pPr>
        <w:pStyle w:val="TextoNormal"/>
      </w:pPr>
    </w:p>
    <w:p w14:paraId="76DFD006" w14:textId="77777777" w:rsidR="009D7677" w:rsidRDefault="009D7677" w:rsidP="009D7677">
      <w:pPr>
        <w:pStyle w:val="TextoNormal"/>
      </w:pPr>
      <w:r>
        <w:t>a) Art.1.2 d) de la Ley del Parlamento de Galicia 4/2023</w:t>
      </w:r>
    </w:p>
    <w:p w14:paraId="3F51B979" w14:textId="77777777" w:rsidR="009D7677" w:rsidRDefault="009D7677" w:rsidP="009D7677">
      <w:pPr>
        <w:pStyle w:val="TextoNormal"/>
      </w:pPr>
    </w:p>
    <w:p w14:paraId="11673AAC" w14:textId="77777777" w:rsidR="009D7677" w:rsidRDefault="009D7677" w:rsidP="009D7677">
      <w:pPr>
        <w:pStyle w:val="TextoNormal"/>
      </w:pPr>
      <w:r>
        <w:t>Del art. 1 de la Ley del Parlamento de Galicia 4/2023, además de impugnarse la letra g) de su apartado 2 —que ha sido desestimada en el fundamento 7 a)— se censura la letra d) cuyo tenor literal es el que sigue:</w:t>
      </w:r>
    </w:p>
    <w:p w14:paraId="545F09C5" w14:textId="77777777" w:rsidR="009D7677" w:rsidRDefault="009D7677" w:rsidP="009D7677">
      <w:pPr>
        <w:pStyle w:val="TextoNormal"/>
      </w:pPr>
    </w:p>
    <w:p w14:paraId="656A7E18" w14:textId="77777777" w:rsidR="009D7677" w:rsidRDefault="009D7677" w:rsidP="009D7677">
      <w:pPr>
        <w:pStyle w:val="TextoNormal"/>
      </w:pPr>
      <w:r>
        <w:t>“Artículo 1. Objeto de la ley</w:t>
      </w:r>
    </w:p>
    <w:p w14:paraId="2622CFA9" w14:textId="77777777" w:rsidR="009D7677" w:rsidRDefault="009D7677" w:rsidP="009D7677">
      <w:pPr>
        <w:pStyle w:val="TextoNormal"/>
      </w:pPr>
    </w:p>
    <w:p w14:paraId="147BF977" w14:textId="77777777" w:rsidR="009D7677" w:rsidRDefault="009D7677" w:rsidP="009D7677">
      <w:pPr>
        <w:pStyle w:val="TextoNormal"/>
      </w:pPr>
      <w:r>
        <w:t>1. La presente ley tiene por objeto la ordenación y gestión integrada del litoral de Galicia, en el marco de las competencias atribuidas a la Comunidad Autónoma de Galicia en la Constitución española y en el estatuto de autonomía.</w:t>
      </w:r>
    </w:p>
    <w:p w14:paraId="6477ADF0" w14:textId="77777777" w:rsidR="009D7677" w:rsidRDefault="009D7677" w:rsidP="009D7677">
      <w:pPr>
        <w:pStyle w:val="TextoNormal"/>
      </w:pPr>
    </w:p>
    <w:p w14:paraId="0AB91DA2" w14:textId="77777777" w:rsidR="009D7677" w:rsidRDefault="009D7677" w:rsidP="009D7677">
      <w:pPr>
        <w:pStyle w:val="TextoNormal"/>
      </w:pPr>
      <w:r>
        <w:t>2. La ordenación y gestión integrada del litoral comprende:</w:t>
      </w:r>
    </w:p>
    <w:p w14:paraId="2C7949CB" w14:textId="77777777" w:rsidR="009D7677" w:rsidRDefault="009D7677" w:rsidP="009D7677">
      <w:pPr>
        <w:pStyle w:val="TextoNormal"/>
      </w:pPr>
    </w:p>
    <w:p w14:paraId="520DBB9D" w14:textId="77777777" w:rsidR="009D7677" w:rsidRDefault="009D7677" w:rsidP="009D7677">
      <w:pPr>
        <w:pStyle w:val="TextoNormal"/>
      </w:pPr>
      <w:r>
        <w:t>[…]</w:t>
      </w:r>
    </w:p>
    <w:p w14:paraId="7367CB70" w14:textId="77777777" w:rsidR="009D7677" w:rsidRDefault="009D7677" w:rsidP="009D7677">
      <w:pPr>
        <w:pStyle w:val="TextoNormal"/>
      </w:pPr>
    </w:p>
    <w:p w14:paraId="14167BAE" w14:textId="77777777" w:rsidR="009D7677" w:rsidRDefault="009D7677" w:rsidP="009D7677">
      <w:pPr>
        <w:pStyle w:val="TextoNormal"/>
      </w:pPr>
      <w:r>
        <w:t>d) El otorgamiento y gestión, cuando proceda, de los títulos habilitantes para la utilización del litoral”.</w:t>
      </w:r>
    </w:p>
    <w:p w14:paraId="5EC01F78" w14:textId="77777777" w:rsidR="009D7677" w:rsidRDefault="009D7677" w:rsidP="009D7677">
      <w:pPr>
        <w:pStyle w:val="TextoNormal"/>
      </w:pPr>
    </w:p>
    <w:p w14:paraId="320BD719" w14:textId="77777777" w:rsidR="009D7677" w:rsidRDefault="009D7677" w:rsidP="009D7677">
      <w:pPr>
        <w:pStyle w:val="TextoNormal"/>
      </w:pPr>
      <w:r>
        <w:t>(i) El presidente del Gobierno considera que el art. 1.2 d) de la Ley del Parlamento de Galicia 4/2023 es inconstitucional, pues a diferencia de otras comunidades autónomas el otorgamiento de los títulos de ocupación del dominio público marítimo-terrestre no ha sido asumido en el EAG, correspondiendo la gestión del dominio público marítimo-terrestre al Estado [art. 110 b) LC].</w:t>
      </w:r>
    </w:p>
    <w:p w14:paraId="556A1D76" w14:textId="77777777" w:rsidR="009D7677" w:rsidRDefault="009D7677" w:rsidP="009D7677">
      <w:pPr>
        <w:pStyle w:val="TextoNormal"/>
      </w:pPr>
    </w:p>
    <w:p w14:paraId="5F24ABA5" w14:textId="77777777" w:rsidR="009D7677" w:rsidRDefault="009D7677" w:rsidP="009D7677">
      <w:pPr>
        <w:pStyle w:val="TextoNormal"/>
      </w:pPr>
      <w:r>
        <w:t>(ii) El Parlamento y la Xunta de Galicia afirman su competencia con sustento en la argumentación referida al art. 48.1 de la Ley del Parlamento de Galicia 4/2023, en virtud de la cual por la nueva doctrina constitucional sobre el reparto competencial en materia de gestión de títulos de ocupación (STC 18/2022), las funciones de otorgamiento y gestión no forman parte de las facultades del Estado, tratándose de funciones ejecutivas comprendidas en el art. 27.3 EAG. A lo que añaden que los títulos habilitantes para la utilización del litoral, no se agotan en los “títulos de ocupación”, como resulta del art. 47.2 de la ley controvertida, pues en el litoral —que es más que el dominio público marítimo-terrestre —, hay más títulos habilitantes de incuestionable competencia gallega. Por eso al introducir la expresión “cuando proceda”, se salva la constitucionalidad del precepto.</w:t>
      </w:r>
    </w:p>
    <w:p w14:paraId="6966F4E6" w14:textId="77777777" w:rsidR="009D7677" w:rsidRDefault="009D7677" w:rsidP="009D7677">
      <w:pPr>
        <w:pStyle w:val="TextoNormal"/>
      </w:pPr>
    </w:p>
    <w:p w14:paraId="7732DA6C" w14:textId="77777777" w:rsidR="009D7677" w:rsidRDefault="009D7677" w:rsidP="009D7677">
      <w:pPr>
        <w:pStyle w:val="TextoNormal"/>
      </w:pPr>
      <w:r>
        <w:t>(iii) En este punto, conviene que reiteremos lo expuesto en el fundamento jurídico 5 C), al repasar la evolución de la doctrina constitucional relativa a la gestión de los títulos de ocupación y que expongamos la doctrina que servirá de sustento para resolver el conflicto competencial sobre el que versan las restantes impugnaciones de este fundamento jurídico y a la que nos remitiremos al resolverlas.</w:t>
      </w:r>
    </w:p>
    <w:p w14:paraId="11D8B421" w14:textId="77777777" w:rsidR="009D7677" w:rsidRDefault="009D7677" w:rsidP="009D7677">
      <w:pPr>
        <w:pStyle w:val="TextoNormal"/>
      </w:pPr>
    </w:p>
    <w:p w14:paraId="71812769" w14:textId="77777777" w:rsidR="009D7677" w:rsidRDefault="009D7677" w:rsidP="009D7677">
      <w:pPr>
        <w:pStyle w:val="TextoNormal"/>
      </w:pPr>
      <w:r>
        <w:t xml:space="preserve">Como punto de partida debemos referirnos a la STC 31/2010, de 28 de junio, que al examinar la constitucionalidad del apartado 3 b) del art. 149 EAC —que comprende en la competencia exclusiva de ordenación del litoral una serie de competencias ejecutivas que se proyectan sobre el dominio público marítimo-terrestre—, indica que debe descartarse su inconstitucionalidad dado que el precepto “se limita a reconocer a la Generalitat las </w:t>
      </w:r>
      <w:r>
        <w:lastRenderedPageBreak/>
        <w:t>señaladas funciones ejecutivas de su competencia cuyo ejercicio expresamente se somete al respeto del régimen general del dominio público, lo que implica su plena sujeción a las potestades estatales, pues dicho régimen corresponde establecerlo al Estado, titular del demanio, con libertad de configuración.” (FJ 92).</w:t>
      </w:r>
    </w:p>
    <w:p w14:paraId="48C7BD1D" w14:textId="77777777" w:rsidR="009D7677" w:rsidRDefault="009D7677" w:rsidP="009D7677">
      <w:pPr>
        <w:pStyle w:val="TextoNormal"/>
      </w:pPr>
    </w:p>
    <w:p w14:paraId="1E61624C" w14:textId="77777777" w:rsidR="009D7677" w:rsidRDefault="009D7677" w:rsidP="009D7677">
      <w:pPr>
        <w:pStyle w:val="TextoNormal"/>
      </w:pPr>
      <w:r>
        <w:t>Precisamente, ya la STC 149/1991, había aventurado el fundamento de la competencia autonómica para el otorgamiento de títulos para la ocupación y uso privativos del dominio público en la competencia para la ordenación del territorio, incluido el litoral, al indicar que la capacidad de ordenación territorial condiciona el otorgamiento de los títulos que permitan su utilización privativa o su ocupación. Así señalamos que es “sobre todo, la competencia plena para la ordenación del territorio propio, incluido el litoral, la que más sólidamente puede fundamentar la oposición de las comunidades autónomas a la retención en manos de la administración del Estado, de las facultades relativas a la gestión del dominio público marítimo-terrestre, pues es incuestionable que, formando parte éste de aquel territorio, la capacidad para ordenarlo condiciona, de uno u otro modo, el otorgamiento de los títulos que permitan su utilización privativa o su ocupación” [FJ 4 A)].</w:t>
      </w:r>
    </w:p>
    <w:p w14:paraId="6452476E" w14:textId="77777777" w:rsidR="009D7677" w:rsidRDefault="009D7677" w:rsidP="009D7677">
      <w:pPr>
        <w:pStyle w:val="TextoNormal"/>
      </w:pPr>
    </w:p>
    <w:p w14:paraId="7DB09708" w14:textId="77777777" w:rsidR="009D7677" w:rsidRDefault="009D7677" w:rsidP="009D7677">
      <w:pPr>
        <w:pStyle w:val="TextoNormal"/>
      </w:pPr>
      <w:r>
        <w:t>Más recientemente, al resolver el recurso presentado por el Estado contra la Ley 8/2020, de 30 de julio, de protección y ordenación del litoral, de Cataluña, hemos indicado con referencia al art. 149.3 b) EAC, que la “competencia sobre la ‘gestión’ de los títulos de ocupación del dominio público marítimo terrestre se integra en la competencia más amplia de ordenación del litoral […] como apostilla la STC 31/2010, FJ 92, ‘dado que’ la Generalitat es competente en materia de ordenación del litoral, la gestión de los títulos no menoscaba la competencia del Estado sobre la protección del litoral derivada del art. 132.2 CE” [STC 18/2022, FJ 2 b)].</w:t>
      </w:r>
    </w:p>
    <w:p w14:paraId="3F806170" w14:textId="77777777" w:rsidR="009D7677" w:rsidRDefault="009D7677" w:rsidP="009D7677">
      <w:pPr>
        <w:pStyle w:val="TextoNormal"/>
      </w:pPr>
    </w:p>
    <w:p w14:paraId="7912970D" w14:textId="77777777" w:rsidR="009D7677" w:rsidRDefault="009D7677" w:rsidP="009D7677">
      <w:pPr>
        <w:pStyle w:val="TextoNormal"/>
      </w:pPr>
      <w:r>
        <w:t>De este modo debe entenderse que el art. 149.3 b) EAC cuando precisa que la competencia exclusiva de la Generalitat en materia de ordenación del litoral incluye en todo caso, “[l]a gestión de los títulos de ocupación y uso del dominio público marítimo terrestre, especialmente el otorgamiento de autorizaciones y concesiones” se limita a concretar una competencia propia, ya asumida antes de la reforma de 2006, pues no hubiera podido ser asumida si no formara parte de la ordenación del litoral, al no existir ley estatal por la que se le haya transferido o delegado dicha gestión conforme al art. 150.2 CE (STC 56/1990, de 29 de marzo, FJ 5).</w:t>
      </w:r>
    </w:p>
    <w:p w14:paraId="163C95D9" w14:textId="77777777" w:rsidR="009D7677" w:rsidRDefault="009D7677" w:rsidP="009D7677">
      <w:pPr>
        <w:pStyle w:val="TextoNormal"/>
      </w:pPr>
    </w:p>
    <w:p w14:paraId="7C34A950" w14:textId="77777777" w:rsidR="009D7677" w:rsidRDefault="009D7677" w:rsidP="009D7677">
      <w:pPr>
        <w:pStyle w:val="TextoNormal"/>
      </w:pPr>
      <w:r>
        <w:t>Es evidente que cuando en el art. 149.3 b) EAC se indica que la competencia exclusiva en materia de ordenación del litoral, “incluye en todo caso”, refiriéndose a la gestión de los títulos de ocupación y uso del dominio público marítimo terrestre, así como el otorgamiento de autorizaciones y concesiones, es expresiva de que el título de ordenación del litoral comprende y abarca la gestión de los títulos, sin que dicha gestión se configure como un título competencial autónomo y desconectado de la ordenación del litoral para la doctrina constitucional.</w:t>
      </w:r>
    </w:p>
    <w:p w14:paraId="22756374" w14:textId="77777777" w:rsidR="009D7677" w:rsidRDefault="009D7677" w:rsidP="009D7677">
      <w:pPr>
        <w:pStyle w:val="TextoNormal"/>
      </w:pPr>
    </w:p>
    <w:p w14:paraId="50966770" w14:textId="77777777" w:rsidR="009D7677" w:rsidRDefault="009D7677" w:rsidP="009D7677">
      <w:pPr>
        <w:pStyle w:val="TextoNormal"/>
      </w:pPr>
      <w:r>
        <w:t>Consiguientemente cuando en la STC 18/2022 avalamos la constitucionalidad del referido precepto, porque el mismo no invadía competencias estatales, modulamos así —definitivamente— nuestra doctrina, al entender que las funciones ejecutivas relativas a la gestión de títulos de utilización y ocupación del dominio público marítimo-terrestre no forman parte de competencias estatales por tener su encaje en la competencia sobre orde</w:t>
      </w:r>
      <w:r>
        <w:lastRenderedPageBreak/>
        <w:t>nación del litoral. Por tanto, la competencia estatal debe entenderse limitada a establecer el régimen jurídico del dominio público para atender a las finalidades que la legitiman, quedando sustraídas del mismo la facultad de otorgar las autorizaciones para la utilización y ocupación del demanio, al pertenecer dicha facultad de ejecución a la competencia exclusiva de ordenación del litoral, posicionamiento constitucional que es proyectable a las comunidades autónomas que tengan reconocida la competencia de ordenación del litoral en sus estatutos de autonomía.</w:t>
      </w:r>
    </w:p>
    <w:p w14:paraId="05ED1061" w14:textId="77777777" w:rsidR="009D7677" w:rsidRDefault="009D7677" w:rsidP="009D7677">
      <w:pPr>
        <w:pStyle w:val="TextoNormal"/>
      </w:pPr>
    </w:p>
    <w:p w14:paraId="42D67ADF" w14:textId="77777777" w:rsidR="009D7677" w:rsidRDefault="009D7677" w:rsidP="009D7677">
      <w:pPr>
        <w:pStyle w:val="TextoNormal"/>
      </w:pPr>
      <w:r>
        <w:t>Precisamente la Comunidad Autónoma de Galicia reconoce en el art. 27.3 EAG la competencia exclusiva en materia de ordenación del territorio y del litoral y en el art. 37.3 EAG se dispone que en las materias de su competencia exclusiva le corresponde a la Xunta la función ejecutiva.</w:t>
      </w:r>
    </w:p>
    <w:p w14:paraId="32AE4DCE" w14:textId="77777777" w:rsidR="009D7677" w:rsidRDefault="009D7677" w:rsidP="009D7677">
      <w:pPr>
        <w:pStyle w:val="TextoNormal"/>
      </w:pPr>
    </w:p>
    <w:p w14:paraId="64D82256" w14:textId="77777777" w:rsidR="009D7677" w:rsidRDefault="009D7677" w:rsidP="009D7677">
      <w:pPr>
        <w:pStyle w:val="TextoNormal"/>
      </w:pPr>
      <w:r>
        <w:t>Por lo tanto, la impugnación del art. 1.2 d) de la Ley del Parlamento de Galicia 4/2023 debe ser desestimada.</w:t>
      </w:r>
    </w:p>
    <w:p w14:paraId="64581A60" w14:textId="77777777" w:rsidR="009D7677" w:rsidRDefault="009D7677" w:rsidP="009D7677">
      <w:pPr>
        <w:pStyle w:val="TextoNormal"/>
      </w:pPr>
    </w:p>
    <w:p w14:paraId="1D1835E0" w14:textId="77777777" w:rsidR="009D7677" w:rsidRDefault="009D7677" w:rsidP="009D7677">
      <w:pPr>
        <w:pStyle w:val="TextoNormal"/>
      </w:pPr>
      <w:r>
        <w:t>Por las mimas razones, al sustentarse la impugnación en el mismo razonamiento —como ya se adelantó— deben ser desestimadas las impugnaciones de este mismo bloque que se corresponden con las recogidas en el antecedente 1, apartado E), letras b), c),d), e) e i) relativas a los arts. 3 a); 11.4 b) y 5 b); 35.3; 41.3; 46.2; 48.1, 4 y 5, y a la disposición final quinta en el inciso “salvo lo establecido en el artículo 48.1 con respecto al ejercicio de las competencias autonómicas para el otorgamiento de las autorizaciones y concesiones del dominio público marítimo-terrestre, cuya entrada en vigor queda supeditada a la publicación del real decreto de traspasos de funciones y servicios de la administración general del Estado a la Comunidad Autónoma de Galicia” de la Ley del Parlamento de Galicia 4/2023.</w:t>
      </w:r>
    </w:p>
    <w:p w14:paraId="1AEC113B" w14:textId="77777777" w:rsidR="009D7677" w:rsidRDefault="009D7677" w:rsidP="009D7677">
      <w:pPr>
        <w:pStyle w:val="TextoNormal"/>
      </w:pPr>
    </w:p>
    <w:p w14:paraId="43E30396" w14:textId="77777777" w:rsidR="009D7677" w:rsidRDefault="009D7677" w:rsidP="009D7677">
      <w:pPr>
        <w:pStyle w:val="TextoNormal"/>
      </w:pPr>
      <w:r>
        <w:t>b) Art. 52 de la Ley del Parlamento de Galicia 4/2023</w:t>
      </w:r>
    </w:p>
    <w:p w14:paraId="58FDEBFF" w14:textId="77777777" w:rsidR="009D7677" w:rsidRDefault="009D7677" w:rsidP="009D7677">
      <w:pPr>
        <w:pStyle w:val="TextoNormal"/>
      </w:pPr>
    </w:p>
    <w:p w14:paraId="3FF33E6F" w14:textId="77777777" w:rsidR="009D7677" w:rsidRDefault="009D7677" w:rsidP="009D7677">
      <w:pPr>
        <w:pStyle w:val="TextoNormal"/>
      </w:pPr>
      <w:r>
        <w:t>Dispone el art. 52 de la ley impugnada:</w:t>
      </w:r>
    </w:p>
    <w:p w14:paraId="63C481FA" w14:textId="77777777" w:rsidR="009D7677" w:rsidRDefault="009D7677" w:rsidP="009D7677">
      <w:pPr>
        <w:pStyle w:val="TextoNormal"/>
      </w:pPr>
    </w:p>
    <w:p w14:paraId="1F31D745" w14:textId="77777777" w:rsidR="009D7677" w:rsidRDefault="009D7677" w:rsidP="009D7677">
      <w:pPr>
        <w:pStyle w:val="TextoNormal"/>
      </w:pPr>
      <w:r>
        <w:t>“Artículo 52. Otros informes</w:t>
      </w:r>
    </w:p>
    <w:p w14:paraId="153A24BC" w14:textId="77777777" w:rsidR="009D7677" w:rsidRDefault="009D7677" w:rsidP="009D7677">
      <w:pPr>
        <w:pStyle w:val="TextoNormal"/>
      </w:pPr>
    </w:p>
    <w:p w14:paraId="5851FC3C" w14:textId="77777777" w:rsidR="009D7677" w:rsidRDefault="009D7677" w:rsidP="009D7677">
      <w:pPr>
        <w:pStyle w:val="TextoNormal"/>
      </w:pPr>
      <w:r>
        <w:t>En los procedimientos de otorgamiento de títulos de intervención se solicitarán, cuando proceda, los siguientes informes:</w:t>
      </w:r>
    </w:p>
    <w:p w14:paraId="167712B7" w14:textId="77777777" w:rsidR="009D7677" w:rsidRDefault="009D7677" w:rsidP="009D7677">
      <w:pPr>
        <w:pStyle w:val="TextoNormal"/>
      </w:pPr>
    </w:p>
    <w:p w14:paraId="65D2BCEF" w14:textId="77777777" w:rsidR="009D7677" w:rsidRDefault="009D7677" w:rsidP="009D7677">
      <w:pPr>
        <w:pStyle w:val="TextoNormal"/>
      </w:pPr>
      <w:r>
        <w:t>a) Si el uso requiere la ocupación de espacios de dominio público marítimo-terrestre con instalaciones fijas o no desmontables, un informe de resiliencia costera, con arreglo a lo dispuesto en el artículo 62.</w:t>
      </w:r>
    </w:p>
    <w:p w14:paraId="0422FD76" w14:textId="77777777" w:rsidR="009D7677" w:rsidRDefault="009D7677" w:rsidP="009D7677">
      <w:pPr>
        <w:pStyle w:val="TextoNormal"/>
      </w:pPr>
    </w:p>
    <w:p w14:paraId="1DC01EF3" w14:textId="77777777" w:rsidR="009D7677" w:rsidRDefault="009D7677" w:rsidP="009D7677">
      <w:pPr>
        <w:pStyle w:val="TextoNormal"/>
      </w:pPr>
      <w:r>
        <w:t>b) Si el uso es susceptible de provocar efectos económicos y sociales sobre los sectores productivos de Galicia o sus comunidades, el informe de impacto económico y social regulado en el artículo 63.</w:t>
      </w:r>
    </w:p>
    <w:p w14:paraId="5A6C735C" w14:textId="77777777" w:rsidR="009D7677" w:rsidRDefault="009D7677" w:rsidP="009D7677">
      <w:pPr>
        <w:pStyle w:val="TextoNormal"/>
      </w:pPr>
    </w:p>
    <w:p w14:paraId="0319B138" w14:textId="77777777" w:rsidR="009D7677" w:rsidRDefault="009D7677" w:rsidP="009D7677">
      <w:pPr>
        <w:pStyle w:val="TextoNormal"/>
      </w:pPr>
      <w:r>
        <w:t>c) Si el uso pretendido puede tener incidencia en los objetivos de calidad y ambientales de las aguas del litoral, un informe de compatibilidad, con arreglo a lo dispuesto en el artículo 64”.</w:t>
      </w:r>
    </w:p>
    <w:p w14:paraId="079A4F2B" w14:textId="77777777" w:rsidR="009D7677" w:rsidRDefault="009D7677" w:rsidP="009D7677">
      <w:pPr>
        <w:pStyle w:val="TextoNormal"/>
      </w:pPr>
    </w:p>
    <w:p w14:paraId="1969C113" w14:textId="77777777" w:rsidR="009D7677" w:rsidRDefault="009D7677" w:rsidP="009D7677">
      <w:pPr>
        <w:pStyle w:val="TextoNormal"/>
      </w:pPr>
      <w:r>
        <w:lastRenderedPageBreak/>
        <w:t>(i) El abogado del Estado, predica su inconstitucionalidad por conexión con los arts. 48 y 49 de la Ley del Parlamento de Galicia 4/2023. En concreto, considera que es contrario al art. 156 RGC que desarrolla el procedimiento de otorgamiento de autorizaciones o concesiones que sean competencia de las comunidades autónomas, sin que la comunidad autónoma pueda sustituir un procedimiento por otro, al carecer de competencia para ello.</w:t>
      </w:r>
    </w:p>
    <w:p w14:paraId="445F67CD" w14:textId="77777777" w:rsidR="009D7677" w:rsidRDefault="009D7677" w:rsidP="009D7677">
      <w:pPr>
        <w:pStyle w:val="TextoNormal"/>
      </w:pPr>
    </w:p>
    <w:p w14:paraId="2D2BA140" w14:textId="77777777" w:rsidR="009D7677" w:rsidRDefault="009D7677" w:rsidP="009D7677">
      <w:pPr>
        <w:pStyle w:val="TextoNormal"/>
      </w:pPr>
      <w:r>
        <w:t>(ii) La Xunta de Galicia considera que el debate de impugnación del art. 52 de la Ley del Parlamento de Galicia 4/2023 se conecta con el que resulte de los arts. 48 y 49 de la misma ley. En relación con la conexión con el art. 48, señala que los títulos de intervención de que trata el art. 52 van más allá el dominio público marítimo-terrestre, por lo que, aunque se estimara la inconstitucionalidad del art. 48, el art. 52 perviviría en relación con los otros títulos de intervención. Por otra parte, no existe conexión con el art. 49 en que únicamente se combate la declaración responsable y esta no afecta al art. 52. Añade que el art. 52 se refiere a informes regulados en los arts. 62 a 64 de la Ley del Parlamento de Galicia 4/2023 y concreta la limitada impugnación de dichos preceptos: articulo 62 sólo es impugnado por el apartado 5 en cuanto al inciso final: “[c]uando el otorgamiento del título de ocupación corresponda a la administración general de la Comunidad Autónoma de Galicia conforme a lo previsto en el artículo 48”; el art. 63 no es impugnado, y, el art. 64 únicamente en su apartado 3. Indica que el art. 52 de la Ley no contiene una regulación material y por ello debería decaer la impugnación. No se especifica la contradicción con el art. 156 RGC, solo se indica que no le corresponde a la comunidad autónoma suplantar ese procedimiento por uno propio. Considera que los informes otorgan una mayor protección ambiental (art. 27.30 EAG). En relación con la zona de servidumbre de protección no se cita precepto alguno y le corresponde a la Comunidad Autónoma de Galicia regular y tramitar el procedimiento conforme al art. 49 y 50 RGC. Todas las comunidades autónomas costeras han dictado normas de procedimiento para otorgar autorizaciones en la zona de servidumbre de protección. Por otra parte, no se recoge en la Ley del Parlamento de Galicia 4/2023 el carácter vinculante de ningún informe.</w:t>
      </w:r>
    </w:p>
    <w:p w14:paraId="0EC06C36" w14:textId="77777777" w:rsidR="009D7677" w:rsidRDefault="009D7677" w:rsidP="009D7677">
      <w:pPr>
        <w:pStyle w:val="TextoNormal"/>
      </w:pPr>
    </w:p>
    <w:p w14:paraId="3B72192F" w14:textId="77777777" w:rsidR="009D7677" w:rsidRDefault="009D7677" w:rsidP="009D7677">
      <w:pPr>
        <w:pStyle w:val="TextoNormal"/>
      </w:pPr>
      <w:r>
        <w:t>(iii) La impugnación debe ser desestimada. Hemos reconocido la competencia de la Comunidad Autónoma de Galicia sobre el otorgamiento de títulos habilitantes para la ocupación del demanio al descartar, entre otras, la inconstitucionalidad del art. 48 de la Ley del Parlamento de Galicia 4/2023 de modo que “[e]s sabido que la emisión de informes preceptivos por parte de la administración que ostenta competencias concurrentes con la administración actuante es legítima si se ciñen al ámbito de competencias de la primera y no impiden o perturban las competencias de la segunda (STC 40/1998, de 19 de febrero, FJ 34), pudiendo ser exigida por la legislación de aquélla (por todas, STC 46/2007, de 1 de marzo, FJ 10) y, por tanto, por el estatuto de autonomía.” (STC 31/2010, FJ 85). Pues bien, sobre el litoral de Galicia, además de la competencia de gestión de litoral, le compete a la Comunidad Autónoma de Galicia otras competencias concurrentes que amparan la emisión de los referidos informes que en modo alguno perturban las competencias del Estado sobre el dominio público marítimo-terrestre. No puede compartirse por tanto que la emisión de informes sustituya el procedimiento previsto en el art. 156 RGC ni lo contradiga, simplemente lo complementa con sustento en las competencias concurrentes que sobre el litoral ostenta la comunidad autónoma.</w:t>
      </w:r>
    </w:p>
    <w:p w14:paraId="75B6B2E4" w14:textId="77777777" w:rsidR="009D7677" w:rsidRDefault="009D7677" w:rsidP="009D7677">
      <w:pPr>
        <w:pStyle w:val="TextoNormal"/>
      </w:pPr>
    </w:p>
    <w:p w14:paraId="178284D3" w14:textId="77777777" w:rsidR="009D7677" w:rsidRDefault="009D7677" w:rsidP="009D7677">
      <w:pPr>
        <w:pStyle w:val="TextoNormal"/>
      </w:pPr>
      <w:r>
        <w:t>Por lo expuesto debe desestimarse la impugnación del art. 52 de la Ley del Parlamento de Galicia 4/2023.</w:t>
      </w:r>
    </w:p>
    <w:p w14:paraId="5EBA89D4" w14:textId="77777777" w:rsidR="009D7677" w:rsidRDefault="009D7677" w:rsidP="009D7677">
      <w:pPr>
        <w:pStyle w:val="TextoNormal"/>
      </w:pPr>
    </w:p>
    <w:p w14:paraId="67E1E0B2" w14:textId="77777777" w:rsidR="009D7677" w:rsidRDefault="009D7677" w:rsidP="009D7677">
      <w:pPr>
        <w:pStyle w:val="TextoNormal"/>
      </w:pPr>
      <w:r>
        <w:t>c) Artículo 53.1 inciso “todos los títulos de intervención requeridos por la normativa vigente” y apartados 3 y 4</w:t>
      </w:r>
    </w:p>
    <w:p w14:paraId="4B299CBD" w14:textId="77777777" w:rsidR="009D7677" w:rsidRDefault="009D7677" w:rsidP="009D7677">
      <w:pPr>
        <w:pStyle w:val="TextoNormal"/>
      </w:pPr>
    </w:p>
    <w:p w14:paraId="6B8E30E8" w14:textId="77777777" w:rsidR="009D7677" w:rsidRDefault="009D7677" w:rsidP="009D7677">
      <w:pPr>
        <w:pStyle w:val="TextoNormal"/>
      </w:pPr>
      <w:r>
        <w:t>Dispone el precepto impugnado que (en cursiva la parte impugnada):</w:t>
      </w:r>
    </w:p>
    <w:p w14:paraId="4D8E776A" w14:textId="77777777" w:rsidR="009D7677" w:rsidRDefault="009D7677" w:rsidP="009D7677">
      <w:pPr>
        <w:pStyle w:val="TextoNormal"/>
      </w:pPr>
    </w:p>
    <w:p w14:paraId="12D89223" w14:textId="77777777" w:rsidR="009D7677" w:rsidRDefault="009D7677" w:rsidP="009D7677">
      <w:pPr>
        <w:pStyle w:val="TextoNormal"/>
      </w:pPr>
      <w:r>
        <w:t>“Artículo 53. Procedimiento integrado.</w:t>
      </w:r>
    </w:p>
    <w:p w14:paraId="3B8FD07C" w14:textId="77777777" w:rsidR="009D7677" w:rsidRDefault="009D7677" w:rsidP="009D7677">
      <w:pPr>
        <w:pStyle w:val="TextoNormal"/>
      </w:pPr>
    </w:p>
    <w:p w14:paraId="0A74853D" w14:textId="77777777" w:rsidR="009D7677" w:rsidRDefault="009D7677" w:rsidP="009D7677">
      <w:pPr>
        <w:pStyle w:val="TextoNormal"/>
      </w:pPr>
      <w:r>
        <w:t>1. El ejercicio del uso pretendido podrá obtenerse previa tramitación de un único procedimiento, que integre, si resultara posible</w:t>
      </w:r>
      <w:r w:rsidRPr="009D7677">
        <w:rPr>
          <w:i/>
        </w:rPr>
        <w:t>, todos los títulos de intervención requeridos por la normativa vigen</w:t>
      </w:r>
      <w:r>
        <w:t>te.</w:t>
      </w:r>
    </w:p>
    <w:p w14:paraId="26D12535" w14:textId="77777777" w:rsidR="009D7677" w:rsidRDefault="009D7677" w:rsidP="009D7677">
      <w:pPr>
        <w:pStyle w:val="TextoNormal"/>
      </w:pPr>
    </w:p>
    <w:p w14:paraId="02EE716C" w14:textId="77777777" w:rsidR="009D7677" w:rsidRDefault="009D7677" w:rsidP="009D7677">
      <w:pPr>
        <w:pStyle w:val="TextoNormal"/>
      </w:pPr>
      <w:r>
        <w:t>A estos efectos, las autorizaciones autonómicas podrán sustituirse por la emisión de un informe preceptivo y vinculante.</w:t>
      </w:r>
    </w:p>
    <w:p w14:paraId="665CADB1" w14:textId="77777777" w:rsidR="009D7677" w:rsidRDefault="009D7677" w:rsidP="009D7677">
      <w:pPr>
        <w:pStyle w:val="TextoNormal"/>
      </w:pPr>
    </w:p>
    <w:p w14:paraId="556982BE" w14:textId="77777777" w:rsidR="009D7677" w:rsidRDefault="009D7677" w:rsidP="009D7677">
      <w:pPr>
        <w:pStyle w:val="TextoNormal"/>
      </w:pPr>
      <w:r>
        <w:t>2. En la instrucción del procedimiento deberán solicitarse todos los informes preceptivos exigidos por las normas sectoriales, de costas o de medio marino.</w:t>
      </w:r>
    </w:p>
    <w:p w14:paraId="0CF47A0F" w14:textId="77777777" w:rsidR="009D7677" w:rsidRDefault="009D7677" w:rsidP="009D7677">
      <w:pPr>
        <w:pStyle w:val="TextoNormal"/>
      </w:pPr>
    </w:p>
    <w:p w14:paraId="073186E8" w14:textId="77777777" w:rsidR="009D7677" w:rsidRPr="009D7677" w:rsidRDefault="009D7677" w:rsidP="009D7677">
      <w:pPr>
        <w:pStyle w:val="TextoNormal"/>
        <w:rPr>
          <w:i/>
        </w:rPr>
      </w:pPr>
      <w:r>
        <w:t xml:space="preserve">3. </w:t>
      </w:r>
      <w:r w:rsidRPr="009D7677">
        <w:rPr>
          <w:i/>
        </w:rPr>
        <w:t>La resolución por la que se otorgue el título deberá incluir al menos las condiciones derivadas de los informes preceptivos y vinculantes que se emitieron. Asimismo, debe quedar justificada la razón de la no inclusión de las condiciones derivadas de los informes no vinculantes que no se incorporen.</w:t>
      </w:r>
    </w:p>
    <w:p w14:paraId="37F088FE" w14:textId="77777777" w:rsidR="009D7677" w:rsidRPr="009D7677" w:rsidRDefault="009D7677" w:rsidP="009D7677">
      <w:pPr>
        <w:pStyle w:val="TextoNormal"/>
        <w:rPr>
          <w:i/>
        </w:rPr>
      </w:pPr>
    </w:p>
    <w:p w14:paraId="02EDFB74" w14:textId="77777777" w:rsidR="009D7677" w:rsidRDefault="009D7677" w:rsidP="009D7677">
      <w:pPr>
        <w:pStyle w:val="TextoNormal"/>
      </w:pPr>
      <w:r w:rsidRPr="009D7677">
        <w:rPr>
          <w:i/>
        </w:rPr>
        <w:t>4. Este procedimiento integrado será desarrollado reglamentariamente”.</w:t>
      </w:r>
    </w:p>
    <w:p w14:paraId="305EF2D1" w14:textId="77777777" w:rsidR="009D7677" w:rsidRDefault="009D7677" w:rsidP="009D7677">
      <w:pPr>
        <w:pStyle w:val="TextoNormal"/>
      </w:pPr>
    </w:p>
    <w:p w14:paraId="40A5B4FB" w14:textId="77777777" w:rsidR="009D7677" w:rsidRDefault="009D7677" w:rsidP="009D7677">
      <w:pPr>
        <w:pStyle w:val="TextoNormal"/>
      </w:pPr>
      <w:r>
        <w:t>(i) El abogado del Estado considera inconstitucional el art. 53.1, inciso “todos los títulos de intervención requeridos por la normativa vigente” y apartados 3 y 4. El art. 53 de la Ley del Parlamento de Galicia 4/2023 alude al procedimiento integrado a seguir cuando deban otorgarse varios títulos de intervención, habilitando a la propia administración autonómica a su desarrollo reglamentario. Este precepto es contrario a las competencias autonómicas al atribuirse la instrucción de todos los títulos de intervención (estatales, como se ha visto respecto de los del artículo 48) y autonómicos (apartado 1). El apartado 3 se inmiscuye en competencias ejecutivas estatales por conexión con el artículo 48 (concesiones). Respecto del apartado 4, el artículo 156 RGC ya desarrolla el procedimiento de otorgamiento de autorizaciones o concesiones de competencia de las comunidades autónomas que requieren concesión de ocupación de dominio público marítimo terrestre por la Administración General del Estado, sin que la comunidad autónoma sea competente para suplantar esas previsiones de la normativa estatal. Por otra parte, cuando la actividad propuesta en la servidumbre de protección requiera la utilización del dominio público marítimo terrestre, será necesario el otorgamiento del correspondiente título conforme a lo previsto en la Ley de costas y su reglamento, sin que corresponda, tampoco, a la comunidad autónoma regular procedimiento alguno, por carecer de competencia al respecto.</w:t>
      </w:r>
    </w:p>
    <w:p w14:paraId="5FA0949D" w14:textId="77777777" w:rsidR="009D7677" w:rsidRDefault="009D7677" w:rsidP="009D7677">
      <w:pPr>
        <w:pStyle w:val="TextoNormal"/>
      </w:pPr>
    </w:p>
    <w:p w14:paraId="533E24B1" w14:textId="77777777" w:rsidR="009D7677" w:rsidRDefault="009D7677" w:rsidP="009D7677">
      <w:pPr>
        <w:pStyle w:val="TextoNormal"/>
      </w:pPr>
      <w:r>
        <w:t xml:space="preserve">(ii) La defensa de la constitucionalidad del precepto se sustenta en los mismos argumentos por los que se afirma la competencia de la Comunidad Autónoma de Galicia sobre la gestión de los títulos de ocupación expuesta en relación con el art. 48 de la Ley del Parlamento de Galicia 4/2023, reiterando que hay más títulos de intervención que los referidos a la ocupación del dominio público marítimo-terrestre, por lo que el precepto debe </w:t>
      </w:r>
      <w:r>
        <w:lastRenderedPageBreak/>
        <w:t>pervivir, en su caso, respecto de los restantes. Considera que la impugnación del apartado 4, dependerá del contenido del reglamento que se apruebe. No se citan las competencias ejecutivas estatales que por conexión con el art. 48 de la ley impugnada resultan vulneradas. Aun cuando sea competencia de la Administración General del Estado el otorgamiento de títulos no debe rechazarse la integración de modo absoluto, pues el art. 222.4 RGC regula la emisión de un informe preceptivo y vinculante, por lo que en tal caso la integración sería posible sin vulnerar competencias ejecutivas del Estado. Frente a la pretendida competencia ejecutiva estatal en materia procedimental, cita la STC 55/2018.</w:t>
      </w:r>
    </w:p>
    <w:p w14:paraId="6937D829" w14:textId="77777777" w:rsidR="009D7677" w:rsidRDefault="009D7677" w:rsidP="009D7677">
      <w:pPr>
        <w:pStyle w:val="TextoNormal"/>
      </w:pPr>
    </w:p>
    <w:p w14:paraId="0BD60DBB" w14:textId="77777777" w:rsidR="009D7677" w:rsidRDefault="009D7677" w:rsidP="009D7677">
      <w:pPr>
        <w:pStyle w:val="TextoNormal"/>
      </w:pPr>
      <w:r>
        <w:t xml:space="preserve">(iii) La impugnación del precepto debe ser desestimada. Una vez afirmada la competencia de la Comunidad Autónoma de Galicia para la gestión de los títulos de ocupación del demanio al desestimar las impugnaciones de los arts. 3 a); 11.4 b) y 5 b); 35.3; 41.3; 46.2, y 48.1, 4 y 5 de la Ley del Parlamento de Galicia 4/2023, es conveniente remitirnos a la doctrina expuesta en la STC 55/2018, de 24 de mayo, FJ 4 y dar por reproducido su fundamento jurídico, por el que la competencia para establecer el régimen de los procedimientos administrativos especiales aplicable a las diversas formas de la actividad administrativa </w:t>
      </w:r>
      <w:r w:rsidRPr="009D7677">
        <w:rPr>
          <w:i/>
        </w:rPr>
        <w:t>ratione materiae</w:t>
      </w:r>
      <w:r>
        <w:t xml:space="preserve"> es conexa a las que, respectivamente, el Estado o las comunidades autónomas ostentan para la regulación del régimen sustantivo de cada actividad o servicio de la administración. Por ello, “en principio, ‘cuando la competencia legislativa sobre una materia ha sido atribuida a una comunidad autónoma, a ésta cumple también la aprobación de las normas de procedimiento administrativo destinadas a ejecutarla, si bien deberán respetarse en todo caso las reglas de procedimiento establecidas en la legislación del Estado dentro del ámbito de sus competencias’” [STC 33/2018, FJ 5 b), con cita de la STC 227/1988, FJ 32]. No obstante, las bases de una materia “pueden alcanzar algún aspecto de estos procedimientos especiales si imponen criterios directamente vinculados a los objetivos sustantivos” de esa legislación básica, “sin descender a la previsión de trámites de pura gestión; las normas ordinarias de tramitación no pueden considerarse básicas” [STC 54/2017, FJ 7 b), refiriéndose a la legislación básica, en general; y las SSTC 45/2015, FJ 6 c); 53/2017, de 17 de mayo, FFJJ 3 y 5 b), y 143/2017, FJ 23, refiriéndose a las “bases medioambientales”, en particular].</w:t>
      </w:r>
    </w:p>
    <w:p w14:paraId="096BBECE" w14:textId="77777777" w:rsidR="009D7677" w:rsidRDefault="009D7677" w:rsidP="009D7677">
      <w:pPr>
        <w:pStyle w:val="TextoNormal"/>
      </w:pPr>
    </w:p>
    <w:p w14:paraId="7930FC28" w14:textId="77777777" w:rsidR="009D7677" w:rsidRDefault="009D7677" w:rsidP="009D7677">
      <w:pPr>
        <w:pStyle w:val="TextoNormal"/>
      </w:pPr>
      <w:r>
        <w:t>El precepto no menoscaba las competencias estatal de establecer el régimen jurídico de todos los bienes que integran el dominio público marítimo-terrestre y consiguientemente para adoptar todas las medidas que crea necesarias para preservar sus características propias y velar para que no sean alteradas (art. 132.2 CE), pues en la instrucción del procedimiento deberán solicitarse todos los informes preceptivos exigidos por las normas sectoriales, de costas o de medio marino y en la resolución deben incluirse al menos las condiciones derivadas de los informes preceptivos y vinculantes que se emitieron, por lo que no quedan afectadas las reglas de procedimiento establecidas en la legislación estatal dentro del ámbito de su competencia.</w:t>
      </w:r>
    </w:p>
    <w:p w14:paraId="163CD788" w14:textId="77777777" w:rsidR="009D7677" w:rsidRDefault="009D7677" w:rsidP="009D7677">
      <w:pPr>
        <w:pStyle w:val="TextoNormal"/>
      </w:pPr>
    </w:p>
    <w:p w14:paraId="277CF05B" w14:textId="77777777" w:rsidR="009D7677" w:rsidRDefault="009D7677" w:rsidP="009D7677">
      <w:pPr>
        <w:pStyle w:val="TextoNormal"/>
      </w:pPr>
      <w:r>
        <w:t>A esa misma conclusión debemos llegar con relación a la posibilidad de desarrollo reglamentario sin que pueda anticiparse la impugnación y fundarse en hipotéticos o futuros menoscabos de las competencias estatales.</w:t>
      </w:r>
    </w:p>
    <w:p w14:paraId="2C48D5BA" w14:textId="77777777" w:rsidR="009D7677" w:rsidRDefault="009D7677" w:rsidP="009D7677">
      <w:pPr>
        <w:pStyle w:val="TextoNormal"/>
      </w:pPr>
    </w:p>
    <w:p w14:paraId="3089EEFE" w14:textId="77777777" w:rsidR="009D7677" w:rsidRDefault="009D7677" w:rsidP="009D7677">
      <w:pPr>
        <w:pStyle w:val="TextoNormal"/>
      </w:pPr>
      <w:r>
        <w:t>La impugnación del art. 53.1 inciso “todos los títulos de intervención requeridos por la normativa vigente” y de sus apartados 3 y 4 debe ser desestimada.</w:t>
      </w:r>
    </w:p>
    <w:p w14:paraId="0AAAB41D" w14:textId="77777777" w:rsidR="009D7677" w:rsidRDefault="009D7677" w:rsidP="009D7677">
      <w:pPr>
        <w:pStyle w:val="TextoNormal"/>
      </w:pPr>
    </w:p>
    <w:p w14:paraId="761FDDD1" w14:textId="77777777" w:rsidR="009D7677" w:rsidRDefault="009D7677" w:rsidP="009D7677">
      <w:pPr>
        <w:pStyle w:val="TextoNormal"/>
      </w:pPr>
      <w:r>
        <w:lastRenderedPageBreak/>
        <w:t>d) Art. 62.5, inciso final “[c]uando el otorgamiento del título de ocupación corresponda a la administración general de la Comunidad Autónoma de Galicia conforme a lo previsto en el artículo 48”</w:t>
      </w:r>
    </w:p>
    <w:p w14:paraId="3493C92F" w14:textId="77777777" w:rsidR="009D7677" w:rsidRDefault="009D7677" w:rsidP="009D7677">
      <w:pPr>
        <w:pStyle w:val="TextoNormal"/>
      </w:pPr>
    </w:p>
    <w:p w14:paraId="3F50ABF3" w14:textId="77777777" w:rsidR="009D7677" w:rsidRDefault="009D7677" w:rsidP="009D7677">
      <w:pPr>
        <w:pStyle w:val="TextoNormal"/>
      </w:pPr>
      <w:r>
        <w:t>Dispone el art. 62.5 de la Ley del Parlamento de Galicia 4/2023 (en cursiva el inciso impugnado):</w:t>
      </w:r>
    </w:p>
    <w:p w14:paraId="22F5467B" w14:textId="77777777" w:rsidR="009D7677" w:rsidRDefault="009D7677" w:rsidP="009D7677">
      <w:pPr>
        <w:pStyle w:val="TextoNormal"/>
      </w:pPr>
    </w:p>
    <w:p w14:paraId="1BBA4924" w14:textId="77777777" w:rsidR="009D7677" w:rsidRDefault="009D7677" w:rsidP="009D7677">
      <w:pPr>
        <w:pStyle w:val="TextoNormal"/>
      </w:pPr>
      <w:r>
        <w:t xml:space="preserve">“5. </w:t>
      </w:r>
      <w:r w:rsidRPr="009D7677">
        <w:rPr>
          <w:i/>
        </w:rPr>
        <w:t>Cuando el otorgamiento del título de ocupación corresponda a la administración general de la Comunidad Autónoma de Galicia conforme a lo previsto en el artículo</w:t>
      </w:r>
      <w:r>
        <w:t xml:space="preserve"> 48, y sin perjuicio de las prohibiciones de usos recogidas en la normativa de costas, el grado de resiliencia costera permitirá sujetar el uso pretendido sobre el litoral a condiciones, las cuales se incorporarán al clausulado del título”.</w:t>
      </w:r>
    </w:p>
    <w:p w14:paraId="6764001D" w14:textId="77777777" w:rsidR="009D7677" w:rsidRDefault="009D7677" w:rsidP="009D7677">
      <w:pPr>
        <w:pStyle w:val="TextoNormal"/>
      </w:pPr>
    </w:p>
    <w:p w14:paraId="1C9F2FC4" w14:textId="77777777" w:rsidR="009D7677" w:rsidRDefault="009D7677" w:rsidP="009D7677">
      <w:pPr>
        <w:pStyle w:val="TextoNormal"/>
      </w:pPr>
      <w:r>
        <w:t>(i) Por el abogado del Estado se impugna el art. 62,5, inciso inicial: “[c]uando el otorgamiento del título de ocupación corresponda a la administración general de la Comunidad Autónoma de Galicia conforme a lo previsto en el artículo 48”. Considera que como es incompetente para gestionar los títulos de ocupación del dominio público marítimo-terrestre lo es también para la elaboración de estudios sobre resiliencia del litoral ante los efectos del cambio climático.</w:t>
      </w:r>
    </w:p>
    <w:p w14:paraId="4B77038B" w14:textId="77777777" w:rsidR="009D7677" w:rsidRDefault="009D7677" w:rsidP="009D7677">
      <w:pPr>
        <w:pStyle w:val="TextoNormal"/>
      </w:pPr>
    </w:p>
    <w:p w14:paraId="281C4F35" w14:textId="77777777" w:rsidR="009D7677" w:rsidRDefault="009D7677" w:rsidP="009D7677">
      <w:pPr>
        <w:pStyle w:val="TextoNormal"/>
      </w:pPr>
      <w:r>
        <w:t>(ii) Considera que la impugnación del art. 62.5, inciso final “[c]uando el otorgamiento del título de ocupación corresponda a la administración general de la Comunidad Autónoma de Galicia conforme a lo previsto en el artículo 48”, con sustento en la emisión de un informe o de estudios que no se menciona en el inciso, imposibilita el debate de inconstitucionalidad. En todo caso, el grado de resiliencia costera está conectado con competencias derivadas del art. 27.30 EAG.</w:t>
      </w:r>
    </w:p>
    <w:p w14:paraId="5B3F280E" w14:textId="77777777" w:rsidR="009D7677" w:rsidRDefault="009D7677" w:rsidP="009D7677">
      <w:pPr>
        <w:pStyle w:val="TextoNormal"/>
      </w:pPr>
    </w:p>
    <w:p w14:paraId="0BEB7D59" w14:textId="77777777" w:rsidR="009D7677" w:rsidRDefault="009D7677" w:rsidP="009D7677">
      <w:pPr>
        <w:pStyle w:val="TextoNormal"/>
      </w:pPr>
      <w:r>
        <w:t>(iii) Ciertamente, la parte impugnada del apartado 5 del art. 62 no guarda relación con la elaboración de estudios para la resiliencia del litoral, sino que su sustento deriva de la impugnación del art. 48 de la Ley del Parlamento de Galicia 4/2023 que ha sido desestimada. En todo caso vinculada a esa desestimación y afirmada la competencia de la comunidad autónoma para la gestión de los títulos de ocupación del demanio, debemos remitirnos a lo expuesto sobre la competencia para la emisión de informes por parte de la administración que ostenta competencias concurrentes (SSTC 40/1998, FJ 34; 46/2007, FJ 10, y 31/2010, FJ 85).</w:t>
      </w:r>
    </w:p>
    <w:p w14:paraId="4C925072" w14:textId="77777777" w:rsidR="009D7677" w:rsidRDefault="009D7677" w:rsidP="009D7677">
      <w:pPr>
        <w:pStyle w:val="TextoNormal"/>
      </w:pPr>
    </w:p>
    <w:p w14:paraId="71B03270" w14:textId="3C5DFB65" w:rsidR="009D7677" w:rsidRDefault="009D7677" w:rsidP="009D7677">
      <w:pPr>
        <w:pStyle w:val="TextoNormal"/>
      </w:pPr>
      <w:r>
        <w:t>Por lo expuesto, la impugnación del art. 62.5, inciso final “[c]uando el otorgamiento del título de ocupación corresponda a la administración general de la Comunidad Autónoma de Galicia conforme a lo previsto en el artículo 48”, debe ser desestimada.</w:t>
      </w:r>
    </w:p>
    <w:p w14:paraId="28A773C3" w14:textId="77777777" w:rsidR="009D7677" w:rsidRDefault="009D7677" w:rsidP="009D7677">
      <w:pPr>
        <w:pStyle w:val="TextoNormal"/>
      </w:pPr>
    </w:p>
    <w:p w14:paraId="2E610C55" w14:textId="77777777" w:rsidR="009D7677" w:rsidRDefault="009D7677" w:rsidP="009D7677">
      <w:pPr>
        <w:pStyle w:val="TextoNormal"/>
      </w:pPr>
      <w:r w:rsidRPr="009D7677">
        <w:rPr>
          <w:rStyle w:val="NumeroAFNegritaCaracter"/>
        </w:rPr>
        <w:t>11</w:t>
      </w:r>
      <w:r>
        <w:t xml:space="preserve">. </w:t>
      </w:r>
      <w:r w:rsidRPr="009D7677">
        <w:rPr>
          <w:i/>
        </w:rPr>
        <w:t>Impugnación de los arts. 11.1, inciso “y la lucha contra la contaminación marina”; 12.2, y 55.2 de la Ley del Parlamento de Galicia</w:t>
      </w:r>
      <w:r>
        <w:t xml:space="preserve"> 4/2023</w:t>
      </w:r>
    </w:p>
    <w:p w14:paraId="40A73278" w14:textId="77777777" w:rsidR="009D7677" w:rsidRDefault="009D7677" w:rsidP="009D7677">
      <w:pPr>
        <w:pStyle w:val="TextoNormal"/>
      </w:pPr>
    </w:p>
    <w:p w14:paraId="0944A0D4" w14:textId="77777777" w:rsidR="009D7677" w:rsidRDefault="009D7677" w:rsidP="009D7677">
      <w:pPr>
        <w:pStyle w:val="TextoNormal"/>
      </w:pPr>
      <w:r>
        <w:t>a) El art. 11.1, inciso “y la lucha contra la contaminación marina”</w:t>
      </w:r>
    </w:p>
    <w:p w14:paraId="65F9215B" w14:textId="77777777" w:rsidR="009D7677" w:rsidRDefault="009D7677" w:rsidP="009D7677">
      <w:pPr>
        <w:pStyle w:val="TextoNormal"/>
      </w:pPr>
    </w:p>
    <w:p w14:paraId="11E71E5A" w14:textId="77777777" w:rsidR="009D7677" w:rsidRDefault="009D7677" w:rsidP="009D7677">
      <w:pPr>
        <w:pStyle w:val="TextoNormal"/>
      </w:pPr>
      <w:r>
        <w:t>Dispone el art. 11.1 de la Ley del Parlamento de Galicia 4/2023:</w:t>
      </w:r>
    </w:p>
    <w:p w14:paraId="66DAEF99" w14:textId="77777777" w:rsidR="009D7677" w:rsidRDefault="009D7677" w:rsidP="009D7677">
      <w:pPr>
        <w:pStyle w:val="TextoNormal"/>
      </w:pPr>
    </w:p>
    <w:p w14:paraId="00BBFC56" w14:textId="77777777" w:rsidR="009D7677" w:rsidRDefault="009D7677" w:rsidP="009D7677">
      <w:pPr>
        <w:pStyle w:val="TextoNormal"/>
      </w:pPr>
      <w:r>
        <w:lastRenderedPageBreak/>
        <w:t>“Artículo 11. Competencias de la administración general de la Comunidad Autónoma de Galicia</w:t>
      </w:r>
    </w:p>
    <w:p w14:paraId="1E62D548" w14:textId="77777777" w:rsidR="009D7677" w:rsidRDefault="009D7677" w:rsidP="009D7677">
      <w:pPr>
        <w:pStyle w:val="TextoNormal"/>
      </w:pPr>
    </w:p>
    <w:p w14:paraId="736C887C" w14:textId="77777777" w:rsidR="009D7677" w:rsidRDefault="009D7677" w:rsidP="009D7677">
      <w:pPr>
        <w:pStyle w:val="TextoNormal"/>
      </w:pPr>
      <w:r>
        <w:t>1. La Comunidad Autónoma de Galicia ejerce las competencias en materia de ordenación y gestión integrada del litoral a través de las consejerías que tienen atribuidas las competencias de medio ambiente; ordenación del territorio; mar, en particular la pesca en aguas interiores, el marisqueo y la acuicultura, la ordenación del sector pesquero, la planificación portuaria, el control de calidad de las aguas interiores y costeras y la lucha contra la contaminación marina; y, en la medida en que incidan sobre el litoral, la promoción del deporte y adecuada utilización del ocio, la ordenación del turismo y la protección del patrimonio histórico, artístico, arquitectónico y arqueológico de Galicia”.</w:t>
      </w:r>
    </w:p>
    <w:p w14:paraId="5B38B56E" w14:textId="77777777" w:rsidR="009D7677" w:rsidRDefault="009D7677" w:rsidP="009D7677">
      <w:pPr>
        <w:pStyle w:val="TextoNormal"/>
      </w:pPr>
    </w:p>
    <w:p w14:paraId="2CA99D0C" w14:textId="77777777" w:rsidR="009D7677" w:rsidRDefault="009D7677" w:rsidP="009D7677">
      <w:pPr>
        <w:pStyle w:val="TextoNormal"/>
      </w:pPr>
      <w:r>
        <w:t>(i) El escrito de impugnación cuestiona el precepto con la siguiente argumentación: “En cuanto se refiere a los vertidos mar-mar, en la medida en que no excluye las competencias sobre estos vertidos de la atribución competencial a la Xunta de Galicia de la lucha contra la contaminación marina, obviando la jurisprudencia constitucional en esta materia, y la inclusión de la misma en el concepto de marina mercante (STC 40/1988, FJ 50 y 52)”.</w:t>
      </w:r>
    </w:p>
    <w:p w14:paraId="077C5C16" w14:textId="77777777" w:rsidR="009D7677" w:rsidRDefault="009D7677" w:rsidP="009D7677">
      <w:pPr>
        <w:pStyle w:val="TextoNormal"/>
      </w:pPr>
    </w:p>
    <w:p w14:paraId="21FEE96D" w14:textId="77777777" w:rsidR="009D7677" w:rsidRDefault="009D7677" w:rsidP="009D7677">
      <w:pPr>
        <w:pStyle w:val="TextoNormal"/>
      </w:pPr>
      <w:r>
        <w:t>(ii) En las alegaciones se cuestiona la impugnación al indicar que la STC 149/1991, admitió competencia autonómica en vertidos al mar desde tierra, lo cual es contaminación marina, así lo admite la impugnación al entender que el único problema es que no hay la salvedad del vertido mar-mar. La STC 40/1998, consideró inconstitucionales preceptos de la Ley de puertos y de la marina mercante, precisamente porque no preveían intervención alguna de las comunidades autónomas en defensa de su competencia de protección de medio ambiente. También la STC 8/2012, FJ 5, ha indicado que la ley autonómica no queda viciada de inconstitucionalidad porque omita precisiones de carácter básico incluidas en la Ley general. En todo caso, cabría una interpretación conforme del precepto (STC 202/2003, de 17 de noviembre), más cuando el art. 1.1 de la Ley del Parlamento de Galicia 4/2023 indica que la ordenación y gestión integrada que pretende la ley lo es en el “marco de las competencias atribuidas a la Comunidad Autónoma de Galicia en la Constitución española y en el estatuto de autonomía”, lo que se reitera en el art. 11.1 de la ley controvertida. Es más, la referencia a que se trata de vertidos desde tierra ya se encuentra en el art. 64 de la ley autonómica, sin que sea preciso repetirlo otra vez y más en un artículo general. Por otra parte, la lucha contra la contaminación marina tiene otras derivas más allá del vertido.</w:t>
      </w:r>
    </w:p>
    <w:p w14:paraId="7FA5AEDA" w14:textId="77777777" w:rsidR="009D7677" w:rsidRDefault="009D7677" w:rsidP="009D7677">
      <w:pPr>
        <w:pStyle w:val="TextoNormal"/>
      </w:pPr>
    </w:p>
    <w:p w14:paraId="2F2A3062" w14:textId="77777777" w:rsidR="009D7677" w:rsidRDefault="009D7677" w:rsidP="009D7677">
      <w:pPr>
        <w:pStyle w:val="TextoNormal"/>
      </w:pPr>
      <w:r>
        <w:t>(iii) Debe desestimarse la impugnación. Es claro que “la competencia de las comunidades autónomas en materia de vertidos al mar se limita a los realizados desde tierra, y no a los que se llevan cabo desde el mar pues los preceptos estatutarios sobre la materia se refieren al mar territorial como lugar de recepción de los vertidos, no como origen de éstos [STC 149/1991, fundamento jurídico 7 A) h)]” (STC 40/1998, FJ 56). También lo es que por contaminación marina es la que comprende tanto los vertidos realizados desde el propio mar, que son competencia del Estado de los que se producen desde la tierra que serán competencia de las comunidades autónomas que las hayan asumido (arts. 27.30 y 29.4 EAG). Es por ello que al asumir por la Comunidad Autónoma de Galicia el ejercicio de las competencias en materia de la lucha contra la contaminación marina no desborda la competencia asumida por dicha comunidad relativa a vertidos industriales y contaminantes en las aguas territoriales del Estado correspondientes al litoral gallego. No esta demás recor</w:t>
      </w:r>
      <w:r>
        <w:lastRenderedPageBreak/>
        <w:t>dar que el objeto de la Ley del Parlamento de Galicia 4/2023 es la ordenación y gestión integrada del litoral de Galicia, en el marco de las competencias atribuidas a la Comunidad Autónoma de Galicia en la Constitución española y en el estatuto de autonomía (art.1.1 de la ley cuestionada).</w:t>
      </w:r>
    </w:p>
    <w:p w14:paraId="033E8CB1" w14:textId="77777777" w:rsidR="009D7677" w:rsidRDefault="009D7677" w:rsidP="009D7677">
      <w:pPr>
        <w:pStyle w:val="TextoNormal"/>
      </w:pPr>
    </w:p>
    <w:p w14:paraId="1ABE0447" w14:textId="77777777" w:rsidR="009D7677" w:rsidRDefault="009D7677" w:rsidP="009D7677">
      <w:pPr>
        <w:pStyle w:val="TextoNormal"/>
      </w:pPr>
      <w:r>
        <w:t>La impugnación del art. 11,1, inciso “y la lucha contra la contaminación marina” debe ser desestimada.</w:t>
      </w:r>
    </w:p>
    <w:p w14:paraId="2E8C9D23" w14:textId="77777777" w:rsidR="009D7677" w:rsidRDefault="009D7677" w:rsidP="009D7677">
      <w:pPr>
        <w:pStyle w:val="TextoNormal"/>
      </w:pPr>
    </w:p>
    <w:p w14:paraId="1ADDCC94" w14:textId="77777777" w:rsidR="009D7677" w:rsidRDefault="009D7677" w:rsidP="009D7677">
      <w:pPr>
        <w:pStyle w:val="TextoNormal"/>
      </w:pPr>
      <w:r>
        <w:t>b) Art. 12.2 de la Ley del Parlamento de Galicia 4/2023</w:t>
      </w:r>
    </w:p>
    <w:p w14:paraId="30843E37" w14:textId="77777777" w:rsidR="009D7677" w:rsidRDefault="009D7677" w:rsidP="009D7677">
      <w:pPr>
        <w:pStyle w:val="TextoNormal"/>
      </w:pPr>
    </w:p>
    <w:p w14:paraId="0A2E88C4" w14:textId="77777777" w:rsidR="009D7677" w:rsidRDefault="009D7677" w:rsidP="009D7677">
      <w:pPr>
        <w:pStyle w:val="TextoNormal"/>
      </w:pPr>
      <w:r>
        <w:t>“Artículo 12. Competencias de las entidades instrumentales del sector público autonómico.</w:t>
      </w:r>
    </w:p>
    <w:p w14:paraId="072F0C5B" w14:textId="77777777" w:rsidR="009D7677" w:rsidRDefault="009D7677" w:rsidP="009D7677">
      <w:pPr>
        <w:pStyle w:val="TextoNormal"/>
      </w:pPr>
    </w:p>
    <w:p w14:paraId="2F3A8F57" w14:textId="77777777" w:rsidR="009D7677" w:rsidRDefault="009D7677" w:rsidP="009D7677">
      <w:pPr>
        <w:pStyle w:val="TextoNormal"/>
      </w:pPr>
      <w:r>
        <w:t>[…]</w:t>
      </w:r>
    </w:p>
    <w:p w14:paraId="4C06ED9F" w14:textId="77777777" w:rsidR="009D7677" w:rsidRDefault="009D7677" w:rsidP="009D7677">
      <w:pPr>
        <w:pStyle w:val="TextoNormal"/>
      </w:pPr>
    </w:p>
    <w:p w14:paraId="38FCB96A" w14:textId="77777777" w:rsidR="009D7677" w:rsidRDefault="009D7677" w:rsidP="009D7677">
      <w:pPr>
        <w:pStyle w:val="TextoNormal"/>
      </w:pPr>
      <w:r>
        <w:t>2. Portos de Galicia impulsará el desarrollo sostenible del litoral a través de la implantación de establecimientos de la cadena mar-industria alimentaria en espacios portuarios de su competencia”.</w:t>
      </w:r>
    </w:p>
    <w:p w14:paraId="12F60F30" w14:textId="77777777" w:rsidR="009D7677" w:rsidRDefault="009D7677" w:rsidP="009D7677">
      <w:pPr>
        <w:pStyle w:val="TextoNormal"/>
      </w:pPr>
    </w:p>
    <w:p w14:paraId="6CBD8330" w14:textId="77777777" w:rsidR="009D7677" w:rsidRDefault="009D7677" w:rsidP="009D7677">
      <w:pPr>
        <w:pStyle w:val="TextoNormal"/>
      </w:pPr>
      <w:r>
        <w:t>(i) El abogado del Estado expone análogas razones a las que le sirvieron para impugnar la disposición final primera de modificación de la Ley 6/2017, de 12 de diciembre, de puertos de Galicia, en el sentido de que los usos portuarios deben respetar las limitaciones previstas en el art. 49.4 LC y con carácter general las establecidas para el dominio público marítimo-terrestre o en su caso, atendida la ubicación de la zona portuaria, en la zona de especial protección.</w:t>
      </w:r>
    </w:p>
    <w:p w14:paraId="74B4D665" w14:textId="77777777" w:rsidR="009D7677" w:rsidRDefault="009D7677" w:rsidP="009D7677">
      <w:pPr>
        <w:pStyle w:val="TextoNormal"/>
      </w:pPr>
    </w:p>
    <w:p w14:paraId="4906D555" w14:textId="77777777" w:rsidR="009D7677" w:rsidRDefault="009D7677" w:rsidP="009D7677">
      <w:pPr>
        <w:pStyle w:val="TextoNormal"/>
      </w:pPr>
      <w:r>
        <w:t>(ii) Por su parte la defensa de la constitucionalidad del precepto hace referencia a que el precepto solo expresa el deseo de que Portos de Galicia impulse el desarrollo sostenible del litoral, con mención de “a través de la implantación de establecimientos de la cadena mar-industria alimentaria en espacios portuarios de su competencia”, si el Estado considera que alguna concreta implantación vulnera la Ley de costas es allí donde debe actuar. La ubicación sistemática del precepto y su contenido no anticipan el régimen jurídico del dominio público marítimo-terrestre, pues la mención a “impulsar”, no permite el rechazo del precepto, más cuando la determinación de los usos deberá realizarse caso a caso. En todo caso se remite a lo señalado en relación con la disposición final primera de la de la Ley del Parlamento de Galicia 4/2023.</w:t>
      </w:r>
    </w:p>
    <w:p w14:paraId="0DB7AF9D" w14:textId="77777777" w:rsidR="009D7677" w:rsidRDefault="009D7677" w:rsidP="009D7677">
      <w:pPr>
        <w:pStyle w:val="TextoNormal"/>
      </w:pPr>
    </w:p>
    <w:p w14:paraId="08A88FD8" w14:textId="77777777" w:rsidR="009D7677" w:rsidRDefault="009D7677" w:rsidP="009D7677">
      <w:pPr>
        <w:pStyle w:val="TextoNormal"/>
      </w:pPr>
      <w:r>
        <w:t>(iii) Rechazada la inconstitucionalidad de la disposición final primera cuando se refería a los usos portuarios “relativos a la cadena mar-industria alimentaria” [art. 55.2, letra e)], la impugnación del art. 12.2 de la Ley del Parlamento de Galicia 4/2023 en la que se indica que la entidad Portos de Galicia impulsará el desarrollo sostenible del litoral a través de la implantación de establecimientos de la cadena mar-industria alimentaria en espacios portuarios de su competencia debe ser desestimada.</w:t>
      </w:r>
    </w:p>
    <w:p w14:paraId="1B185D0B" w14:textId="77777777" w:rsidR="009D7677" w:rsidRDefault="009D7677" w:rsidP="009D7677">
      <w:pPr>
        <w:pStyle w:val="TextoNormal"/>
      </w:pPr>
    </w:p>
    <w:p w14:paraId="4A249AF8" w14:textId="77777777" w:rsidR="009D7677" w:rsidRDefault="009D7677" w:rsidP="009D7677">
      <w:pPr>
        <w:pStyle w:val="TextoNormal"/>
      </w:pPr>
      <w:r>
        <w:t xml:space="preserve">En la letra m) del fundamento jurídico 8, tras exponer el contenido de los arts. 25.1, 32.1 y 49.4 LC indicamos que la referencia del art. 55.3 de la Ley de puertos de Galicia a que los establecimientos de la cadena mar-industria deberán cumplir las exigencias establecidas en la normativa de costas, remitía necesariamente a lo dispuesto en los art. 25, 32 </w:t>
      </w:r>
      <w:r>
        <w:lastRenderedPageBreak/>
        <w:t>y 49 LC, de modo que no se podía considerar que la regulación contraviniera tales preceptos y por tanto que fuera inconstitucional.</w:t>
      </w:r>
    </w:p>
    <w:p w14:paraId="0AC6C8CD" w14:textId="77777777" w:rsidR="009D7677" w:rsidRDefault="009D7677" w:rsidP="009D7677">
      <w:pPr>
        <w:pStyle w:val="TextoNormal"/>
      </w:pPr>
    </w:p>
    <w:p w14:paraId="089DC04F" w14:textId="77777777" w:rsidR="009D7677" w:rsidRDefault="009D7677" w:rsidP="009D7677">
      <w:pPr>
        <w:pStyle w:val="TextoNormal"/>
      </w:pPr>
      <w:r>
        <w:t>Tal argumentación, que sirve para desestimar la impugnación del art. 12.2 de la Ley del Parlamento de Galicia 4/2023, queda ahora reforzada si se toma en consideración que el propósito de implantar tales establecimientos desasido de cualquier otra precisión que implique un desconocimiento de la regulación estatal sobre el dominio público marítimo-terrestre, no puede determinar, atendido el control abstracto que nos compete, la inconstitucionalidad del precepto.</w:t>
      </w:r>
    </w:p>
    <w:p w14:paraId="1299AC13" w14:textId="77777777" w:rsidR="009D7677" w:rsidRDefault="009D7677" w:rsidP="009D7677">
      <w:pPr>
        <w:pStyle w:val="TextoNormal"/>
      </w:pPr>
    </w:p>
    <w:p w14:paraId="21723FCF" w14:textId="77777777" w:rsidR="009D7677" w:rsidRDefault="009D7677" w:rsidP="009D7677">
      <w:pPr>
        <w:pStyle w:val="TextoNormal"/>
      </w:pPr>
      <w:r>
        <w:t>Procede desestimar la impugnación del art. 12.2 de la Ley del Parlamento de Galicia 4/2023.</w:t>
      </w:r>
    </w:p>
    <w:p w14:paraId="15EAB25D" w14:textId="77777777" w:rsidR="009D7677" w:rsidRDefault="009D7677" w:rsidP="009D7677">
      <w:pPr>
        <w:pStyle w:val="TextoNormal"/>
      </w:pPr>
    </w:p>
    <w:p w14:paraId="296CAD6D" w14:textId="77777777" w:rsidR="009D7677" w:rsidRDefault="009D7677" w:rsidP="009D7677">
      <w:pPr>
        <w:pStyle w:val="TextoNormal"/>
      </w:pPr>
      <w:r>
        <w:t>c) Art. 55.2 de la Ley del Parlamento de Galicia 4/2023</w:t>
      </w:r>
    </w:p>
    <w:p w14:paraId="1DDB6C94" w14:textId="77777777" w:rsidR="009D7677" w:rsidRDefault="009D7677" w:rsidP="009D7677">
      <w:pPr>
        <w:pStyle w:val="TextoNormal"/>
      </w:pPr>
    </w:p>
    <w:p w14:paraId="2AE625C5" w14:textId="77777777" w:rsidR="009D7677" w:rsidRDefault="009D7677" w:rsidP="009D7677">
      <w:pPr>
        <w:pStyle w:val="TextoNormal"/>
      </w:pPr>
      <w:r>
        <w:t>Dispone el art. 55.2 de la Ley del Parlamento de Galicia 4/2023:</w:t>
      </w:r>
    </w:p>
    <w:p w14:paraId="75F55F15" w14:textId="77777777" w:rsidR="009D7677" w:rsidRDefault="009D7677" w:rsidP="009D7677">
      <w:pPr>
        <w:pStyle w:val="TextoNormal"/>
      </w:pPr>
    </w:p>
    <w:p w14:paraId="777311D1" w14:textId="77777777" w:rsidR="009D7677" w:rsidRDefault="009D7677" w:rsidP="009D7677">
      <w:pPr>
        <w:pStyle w:val="TextoNormal"/>
      </w:pPr>
      <w:r>
        <w:t>“Artículo 55. Usos de la cadena mar-industria alimentaria.</w:t>
      </w:r>
    </w:p>
    <w:p w14:paraId="76DBADBC" w14:textId="77777777" w:rsidR="009D7677" w:rsidRDefault="009D7677" w:rsidP="009D7677">
      <w:pPr>
        <w:pStyle w:val="TextoNormal"/>
      </w:pPr>
    </w:p>
    <w:p w14:paraId="28020625" w14:textId="77777777" w:rsidR="009D7677" w:rsidRDefault="009D7677" w:rsidP="009D7677">
      <w:pPr>
        <w:pStyle w:val="TextoNormal"/>
      </w:pPr>
      <w:r>
        <w:t>[…]</w:t>
      </w:r>
    </w:p>
    <w:p w14:paraId="0BC0BA3D" w14:textId="77777777" w:rsidR="009D7677" w:rsidRDefault="009D7677" w:rsidP="009D7677">
      <w:pPr>
        <w:pStyle w:val="TextoNormal"/>
      </w:pPr>
    </w:p>
    <w:p w14:paraId="06EEA896" w14:textId="77777777" w:rsidR="009D7677" w:rsidRDefault="009D7677" w:rsidP="009D7677">
      <w:pPr>
        <w:pStyle w:val="TextoNormal"/>
      </w:pPr>
      <w:r>
        <w:t>2. Los establecimientos de la cadena mar-industria alimentaria podrán ocupar terrenos de dominio público marítimo-terrestre o comprendidos en la zona de servidumbre de protección únicamente cuando requieran la captación y retorno de agua de mar para el desarrollo de sus procesos productivos o comerciales.</w:t>
      </w:r>
    </w:p>
    <w:p w14:paraId="2A4DC590" w14:textId="77777777" w:rsidR="009D7677" w:rsidRDefault="009D7677" w:rsidP="009D7677">
      <w:pPr>
        <w:pStyle w:val="TextoNormal"/>
      </w:pPr>
    </w:p>
    <w:p w14:paraId="2BE445F6" w14:textId="77777777" w:rsidR="009D7677" w:rsidRDefault="009D7677" w:rsidP="009D7677">
      <w:pPr>
        <w:pStyle w:val="TextoNormal"/>
      </w:pPr>
      <w:r>
        <w:t>Los terrenos de dominio público marítimo-terrestre del área de protección ambiental solo podrán ocuparse con las instalaciones necesarias para las tomas de agua, los tanques de cultivo y los establecimientos auxiliares a los aprovechamientos pesqueros, acuícolas y marisqueros tradicionales y de bajo impacto ambiental”.</w:t>
      </w:r>
    </w:p>
    <w:p w14:paraId="54B033FA" w14:textId="77777777" w:rsidR="009D7677" w:rsidRDefault="009D7677" w:rsidP="009D7677">
      <w:pPr>
        <w:pStyle w:val="TextoNormal"/>
      </w:pPr>
    </w:p>
    <w:p w14:paraId="066A1A9D" w14:textId="77777777" w:rsidR="009D7677" w:rsidRDefault="009D7677" w:rsidP="009D7677">
      <w:pPr>
        <w:pStyle w:val="TextoNormal"/>
      </w:pPr>
      <w:r>
        <w:t>(i) El abogado del Estado considera que el apartado impugnado establece la presunción de la necesidad de ocupación del dominio público marítimo terrestre o de la servidumbre de protección por los establecimientos de la cadena mar-industria alimentaria, extralimitándose pues no corresponde a la comunidad autónoma establecer el régimen jurídico del dominio público marítimo-terrestre, sino que le corresponde en exclusiva al Estado como titular demanial. En ejercicio de esta competencia, el art. 32 LC establece la regla básica que es desarrollada en el art. 61 RGC. De este modo la presunción legal de necesidad de ocupación de esos espacios por la totalidad de las instalaciones destinadas a esa actividad, sin ni siquiera atribuir al solicitante la carga de acreditar esa necesidad de ocupación vulnera la legislación básica de costas, con el consiguiente detrimento de la preservación de esa valiosa franja litoral.</w:t>
      </w:r>
    </w:p>
    <w:p w14:paraId="1C578FE9" w14:textId="77777777" w:rsidR="009D7677" w:rsidRDefault="009D7677" w:rsidP="009D7677">
      <w:pPr>
        <w:pStyle w:val="TextoNormal"/>
      </w:pPr>
    </w:p>
    <w:p w14:paraId="4074A889" w14:textId="77777777" w:rsidR="009D7677" w:rsidRDefault="009D7677" w:rsidP="009D7677">
      <w:pPr>
        <w:pStyle w:val="TextoNormal"/>
      </w:pPr>
      <w:r>
        <w:t xml:space="preserve">(ii) Las razones por las que se defiende la constitucionalidad del art. 55.2 de la Ley del Parlamento de Galicia 4/2023 consisten en la reiteración de la doctrina constitucional relativa a la interacción entre el título demanial del art. 132.2 CE y la competencia de ordenación del territorio [STC 149/1991, FFJJ 3 D) c) y 4 B) b)] y en destacar que los limites estatales han sido respetados pues el propio Consejo de Estado no vio en este precepto </w:t>
      </w:r>
      <w:r>
        <w:lastRenderedPageBreak/>
        <w:t>atisbo de inconstitucionalidad al limitar la actuación estratégica a los casos en que se requiera la captación y retorno de agua de mar para el desarrollo de los procesos productivos. Pero además se respetan las prohibiciones establecidas en los arts. 25.1 y 32.1 LC y además se ha introducido la cláusula de salvaguarda “[a]demás de las exigencias establecidas en la normativa de costas y de pesca de Galicia” al inicio de su apartado 3, lo que desde luego ampara ya una interpretación conforme de ser necesario llegar a ese punto. Añaden que operaría la competencia en materia de desarrollo de la legislación básica (STC 102/1995, que modificó la STC 149/1991) e indican que si algún concreto caso se entiende que sobrepasa la normativa estatal aplicable —“actividades e instalaciones que no pueden tener otra ubicación”— será ahí donde pueda surgir el debate. La jurisprudencia ordinaria ha declarado que estas actividades —establecimientos de la cadena mar-industria alimentaria—, se encuentran vinculadas al dominio público, que exige su ocupación en el desarrollo de la misma, no pudiendo tener otra ubicación por su naturaleza. El carácter necesario de la ocupación se completa con la previsión para el área de protección ambiental del art. 55.2 de la Ley del Parlamento de Galicia 4/2023.</w:t>
      </w:r>
    </w:p>
    <w:p w14:paraId="7FF3C433" w14:textId="77777777" w:rsidR="009D7677" w:rsidRDefault="009D7677" w:rsidP="009D7677">
      <w:pPr>
        <w:pStyle w:val="TextoNormal"/>
      </w:pPr>
    </w:p>
    <w:p w14:paraId="4E71EC98" w14:textId="77777777" w:rsidR="009D7677" w:rsidRDefault="009D7677" w:rsidP="009D7677">
      <w:pPr>
        <w:pStyle w:val="TextoNormal"/>
      </w:pPr>
      <w:r>
        <w:t xml:space="preserve">(iii) Los arts. 25.1 y 32 LC, fueron declarados básicos por las SSTC 149/1991, FFJJ 3 y 4, y 34/2014, FJ 3 </w:t>
      </w:r>
      <w:r w:rsidRPr="009D7677">
        <w:rPr>
          <w:i/>
        </w:rPr>
        <w:t>in fine</w:t>
      </w:r>
      <w:r>
        <w:t>. El art. 25.1 LC —aplicable a la zona de especial protección y también al dominio público marítimo-terrestre en virtud de lo dispuesto en el art. 32.2 LC—, establece una relación de usos prohibidos. El art. 32.1 LC contempla una cláusula general prohibitiva para el dominio público marítimo-terrestre: “Únicamente se podrá permitir la ocupación del dominio público marítimo-terrestre para aquellas actividades o instalaciones que, por su naturaleza, no puedan tener otra ubicación”. Y el art. 25.2 LC establece otra cláusula general prohibitiva, en este caso, para la zona de especial protección: “Con carácter ordinario, solo se permitirán en esta zona las obras, instalaciones y actividades que, por su naturaleza, no puedan tener otra ubicación, como los establecimientos de cultivo marino o las salinas marítimas, o aquellos que presten servicios necesarios o convenientes para el uso del dominio público marítimo-terrestre, así como las instalaciones deportivas descubiertas”. Ambos preceptos, el art. 25.1 y 2 LC, sustentan la prohibición general en que las actividades o instalaciones que “por su naturaleza” no puedan tener otra ubicación.</w:t>
      </w:r>
    </w:p>
    <w:p w14:paraId="07781B6B" w14:textId="77777777" w:rsidR="009D7677" w:rsidRDefault="009D7677" w:rsidP="009D7677">
      <w:pPr>
        <w:pStyle w:val="TextoNormal"/>
      </w:pPr>
    </w:p>
    <w:p w14:paraId="6FB282D3" w14:textId="77777777" w:rsidR="009D7677" w:rsidRDefault="009D7677" w:rsidP="009D7677">
      <w:pPr>
        <w:pStyle w:val="TextoNormal"/>
      </w:pPr>
      <w:r>
        <w:t>El legislador estatal ha optado por una regla prohibitiva para el dominio público marítimo-terrestre muy amplia que permite a modo de ejemplo los establecimientos de cultivo marino o las salinas marítimas. Dicha regla se relaja para la zona de especial protección al permitir las actividades o instalaciones que presten servicios necesarios o convenientes para el uso del dominio público marítimo-terrestre.</w:t>
      </w:r>
    </w:p>
    <w:p w14:paraId="1338AF7C" w14:textId="77777777" w:rsidR="009D7677" w:rsidRDefault="009D7677" w:rsidP="009D7677">
      <w:pPr>
        <w:pStyle w:val="TextoNormal"/>
      </w:pPr>
    </w:p>
    <w:p w14:paraId="428CA937" w14:textId="77777777" w:rsidR="009D7677" w:rsidRDefault="009D7677" w:rsidP="009D7677">
      <w:pPr>
        <w:pStyle w:val="TextoNormal"/>
      </w:pPr>
      <w:r>
        <w:t>El art. 55.2 de la Ley del Parlamento de Galicia 4/2023 se refiere a los establecimientos de la cadena mar-industria alimentaria e indica que podrán ocupar terrenos de dominio público marítimo-terrestre o comprendidos en la zona de servidumbre de protección “únicamente cuando requieran la captación y retorno de agua de mar para el desarrollo de sus procesos productivos o comerciales”. Dicha habilitación en ocasiones se corresponderá con la prohibición general de los arts. 25.1 y 2 y 32.1 LC y concordantes del Reglamento general de la Ley de costas, pero es posible que en otras ocasiones la desborde.</w:t>
      </w:r>
    </w:p>
    <w:p w14:paraId="45D3DAAC" w14:textId="77777777" w:rsidR="009D7677" w:rsidRDefault="009D7677" w:rsidP="009D7677">
      <w:pPr>
        <w:pStyle w:val="TextoNormal"/>
      </w:pPr>
    </w:p>
    <w:p w14:paraId="6A68A33B" w14:textId="77777777" w:rsidR="009D7677" w:rsidRDefault="009D7677" w:rsidP="009D7677">
      <w:pPr>
        <w:pStyle w:val="TextoNormal"/>
      </w:pPr>
      <w:r>
        <w:t xml:space="preserve">Es por ello que el precepto admite una interpretación conforme si se entiende que los establecimientos de la cadena mar-industria podrán ocupar terrenos de dominio público </w:t>
      </w:r>
      <w:r>
        <w:lastRenderedPageBreak/>
        <w:t>marítimo-terrestre o comprendidos en la zona de servidumbre de protección únicamente cuando requieran la captación y retorno de agua de mar para el desarrollo de sus procesos productivos o comerciales y por su naturaleza no puedan tener otra ubicación en el caso de que la ocupación sea tanto en terrenos del dominio público marítimo-terrestre como en la zona de servidumbre de protección, o, en este último caso, se podrá producir la ocupación cuando presten servicios necesarios o convenientes para el uso del dominio público marítimo-terrestre.</w:t>
      </w:r>
    </w:p>
    <w:p w14:paraId="19A2B335" w14:textId="77777777" w:rsidR="009D7677" w:rsidRDefault="009D7677" w:rsidP="009D7677">
      <w:pPr>
        <w:pStyle w:val="TextoNormal"/>
      </w:pPr>
    </w:p>
    <w:p w14:paraId="0CF5227F" w14:textId="11C1C270" w:rsidR="009D7677" w:rsidRDefault="009D7677" w:rsidP="009D7677">
      <w:pPr>
        <w:pStyle w:val="TextoNormal"/>
      </w:pPr>
      <w:r>
        <w:t>Interpretado en estos términos el art. 55.2 de la Ley del Parlamento de Galicia 4/2023 no es contrario a la Constitución, y así se dispondrá en el fallo.</w:t>
      </w:r>
    </w:p>
    <w:p w14:paraId="0F89C692" w14:textId="77777777" w:rsidR="009D7677" w:rsidRDefault="009D7677" w:rsidP="009D7677">
      <w:pPr>
        <w:pStyle w:val="TextoNormal"/>
      </w:pPr>
    </w:p>
    <w:p w14:paraId="2CFB2C4F" w14:textId="77777777" w:rsidR="009D7677" w:rsidRDefault="009D7677" w:rsidP="009D7677">
      <w:pPr>
        <w:pStyle w:val="TextoNormalCentrado"/>
        <w:keepNext/>
      </w:pPr>
      <w:r>
        <w:t>FALLO</w:t>
      </w:r>
    </w:p>
    <w:p w14:paraId="40C8A82C" w14:textId="6CE875C6" w:rsidR="009D7677" w:rsidRDefault="009D7677" w:rsidP="009D7677">
      <w:pPr>
        <w:pStyle w:val="TextoNormalCentrado"/>
        <w:keepNext/>
      </w:pPr>
    </w:p>
    <w:p w14:paraId="56CBF10A" w14:textId="77777777" w:rsidR="009D7677" w:rsidRDefault="009D7677" w:rsidP="009D7677">
      <w:pPr>
        <w:pStyle w:val="TextoNormal"/>
      </w:pPr>
      <w:r>
        <w:t>En atención a todo lo expuesto, el Tribunal Constitucional, por la autoridad que le confiere la Constitución de la Nación española, ha decidido estimar parcialmente el recurso de inconstitucionalidad planteado por el presidente del Gobierno contra la Ley del Parlamento de Galicia 4/2023, de 6 de julio, de ordenación y gestión integrada del litoral de Galicia y, en consecuencia, declarar que:</w:t>
      </w:r>
    </w:p>
    <w:p w14:paraId="1913C50D" w14:textId="77777777" w:rsidR="009D7677" w:rsidRDefault="009D7677" w:rsidP="009D7677">
      <w:pPr>
        <w:pStyle w:val="TextoNormal"/>
      </w:pPr>
    </w:p>
    <w:p w14:paraId="674F1307" w14:textId="77777777" w:rsidR="009D7677" w:rsidRDefault="009D7677" w:rsidP="009D7677">
      <w:pPr>
        <w:pStyle w:val="TextoNormal"/>
      </w:pPr>
      <w:r>
        <w:t>1º Son inconstitucionales y, por tanto, nulos: el apartado 3 del art. 60 y la expresión “gallegas” del apartado 2 del art. 59.2.</w:t>
      </w:r>
    </w:p>
    <w:p w14:paraId="2FCCBC33" w14:textId="77777777" w:rsidR="009D7677" w:rsidRDefault="009D7677" w:rsidP="009D7677">
      <w:pPr>
        <w:pStyle w:val="TextoNormal"/>
      </w:pPr>
    </w:p>
    <w:p w14:paraId="6B7F2FD7" w14:textId="77777777" w:rsidR="009D7677" w:rsidRDefault="009D7677" w:rsidP="009D7677">
      <w:pPr>
        <w:pStyle w:val="TextoNormal"/>
      </w:pPr>
      <w:r>
        <w:t>2º No es inconstitucional el primer párrafo del apartado 2 del art. 55 siempre que se interprete en los términos establecidos en la letra c) del fundamento jurídico 11.</w:t>
      </w:r>
    </w:p>
    <w:p w14:paraId="0BEC83E7" w14:textId="77777777" w:rsidR="009D7677" w:rsidRDefault="009D7677" w:rsidP="009D7677">
      <w:pPr>
        <w:pStyle w:val="TextoNormal"/>
      </w:pPr>
    </w:p>
    <w:p w14:paraId="04E39467" w14:textId="0B8CE0D4" w:rsidR="009D7677" w:rsidRDefault="009D7677" w:rsidP="009D7677">
      <w:pPr>
        <w:pStyle w:val="TextoNormal"/>
      </w:pPr>
      <w:r>
        <w:t>3º Desestimar el recurso de inconstitucionalidad en todo lo demás.</w:t>
      </w:r>
    </w:p>
    <w:p w14:paraId="499CCE38" w14:textId="77777777" w:rsidR="009D7677" w:rsidRDefault="009D7677" w:rsidP="009D7677">
      <w:pPr>
        <w:pStyle w:val="TextoNormal"/>
      </w:pPr>
    </w:p>
    <w:p w14:paraId="72B0FA82" w14:textId="77777777" w:rsidR="009D7677" w:rsidRDefault="009D7677" w:rsidP="009D7677">
      <w:pPr>
        <w:pStyle w:val="TextoNormal"/>
      </w:pPr>
      <w:r>
        <w:t>Publíquese esta sentencia en el “Boletín Oficial del Estado”.</w:t>
      </w:r>
    </w:p>
    <w:p w14:paraId="7F347A6F" w14:textId="77777777" w:rsidR="009D7677" w:rsidRDefault="009D7677" w:rsidP="009D7677">
      <w:pPr>
        <w:pStyle w:val="TextoNormal"/>
      </w:pPr>
      <w:r>
        <w:t>Dada en Madrid, a veintitrés de abril de dos mil veinticuatro.</w:t>
      </w:r>
    </w:p>
    <w:p w14:paraId="5989B3E3" w14:textId="0A872F76" w:rsidR="009D7677" w:rsidRDefault="009D7677" w:rsidP="009D7677">
      <w:pPr>
        <w:pStyle w:val="ParrafoNormal"/>
      </w:pPr>
    </w:p>
    <w:p w14:paraId="0ED96B33" w14:textId="77777777" w:rsidR="009D7677" w:rsidRDefault="009D7677" w:rsidP="009D7677">
      <w:pPr>
        <w:pStyle w:val="TextoNormalNegritaCentrado"/>
        <w:keepNext/>
      </w:pPr>
      <w:r>
        <w:t>Voto particular que formula la magistrada doña María Luisa Balaguer Callejón a la sentencia dictada en el recurso de inconstitucionalidad núm. 6521-2023</w:t>
      </w:r>
    </w:p>
    <w:p w14:paraId="4BA48C6A" w14:textId="02ABAB5B" w:rsidR="009D7677" w:rsidRDefault="009D7677" w:rsidP="009D7677">
      <w:pPr>
        <w:pStyle w:val="TextoNormalNegritaCentrado"/>
        <w:keepNext/>
      </w:pPr>
    </w:p>
    <w:p w14:paraId="42076DBC" w14:textId="77777777" w:rsidR="009D7677" w:rsidRDefault="009D7677" w:rsidP="009D7677">
      <w:pPr>
        <w:pStyle w:val="TextoNormal"/>
      </w:pPr>
      <w:r>
        <w:t>Con el mayor respeto al criterio reflejado en la sentencia a que se refiere el encabezamiento, formulo este voto, en ejercicio de la facultad prevista en el art. 90.2 LOTC, para plasmar mi discrepancia con los razonamientos que sustentan el pronunciamiento parcialmente estimatorio del recurso de inconstitucionalidad núm. 6521-2023.</w:t>
      </w:r>
    </w:p>
    <w:p w14:paraId="386F7943" w14:textId="77777777" w:rsidR="009D7677" w:rsidRDefault="009D7677" w:rsidP="009D7677">
      <w:pPr>
        <w:pStyle w:val="TextoNormal"/>
      </w:pPr>
    </w:p>
    <w:p w14:paraId="4DD89478" w14:textId="77777777" w:rsidR="009D7677" w:rsidRDefault="009D7677" w:rsidP="009D7677">
      <w:pPr>
        <w:pStyle w:val="TextoNormal"/>
      </w:pPr>
      <w:r>
        <w:t xml:space="preserve">1. Los motivos de mi posición contraria a la mayoría radican en que el Pleno ha optado por abordar el recurso perdiendo de vista la imprescindible función propedéutica de la jurisprudencia constitucional, cuestión esta a la que ya me referí en el voto particular a la STC 168/2021, de 5 de octubre. En todos los pronunciamientos que integran la jurisprudencia constitucional es fundamental mostrar a la sociedad, de forma clara y didáctica, qué tipo de razonamientos y valores son coherentes con el texto de la Constitución, que debe ir adecuándose por vía interpretativa a la realidad y circunstancias concretas del momento en que la exégesis se produce. Pero esa obligación de interpretación constitucional accesible </w:t>
      </w:r>
      <w:r>
        <w:lastRenderedPageBreak/>
        <w:t>y comprensible a la ciudadanía, se acentúa en relación con aquellos asuntos particularmente complejos y esencialmente trascendentes para la consolidación de una democracia avanzada y sostenible. La protección del medio ambiente y la responsabilidad para asegurar los derechos fundamentales de las generaciones futuras integran estas cuestiones básicas y subyacen en el recurso de inconstitucionalidad planteado por el presidente del Gobierno contra la Ley del Parlamento de Galicia 4/2023, de 6 de julio, de ordenación y gestión integrada del litoral de Galicia. Como también subyace al conflicto la tensión por los límites del autogobierno de la comunidad autónoma con más kilómetros de costa del Estado español.</w:t>
      </w:r>
    </w:p>
    <w:p w14:paraId="783C54A2" w14:textId="77777777" w:rsidR="009D7677" w:rsidRDefault="009D7677" w:rsidP="009D7677">
      <w:pPr>
        <w:pStyle w:val="TextoNormal"/>
      </w:pPr>
    </w:p>
    <w:p w14:paraId="5F0810CD" w14:textId="77777777" w:rsidR="009D7677" w:rsidRDefault="009D7677" w:rsidP="009D7677">
      <w:pPr>
        <w:pStyle w:val="TextoNormal"/>
      </w:pPr>
      <w:r>
        <w:t>Siendo un conflicto que se articula entre las pretensiones de autogobierno autonómico y la definición de los límites a dicho autogobierno desde una posición que se declara proteccionista del medio ambiente litoral, la sentencia debería haber articulado su respuesta desde esas mismas claves, explicitando qué principio o valor (autogobierno o protección del medio ambiente) debe ser prevalente en cada caso, en el supuesto de que se constatara que ambos son incompatibles respecto de la adopción de determinadas decisiones. Y, en el caso de no poder adelantarse por el Tribunal un juicio inequívoco sobre la resolución del eventual conflicto, por considerar este como un disenso teórico o preventivo, entonces la sentencia debería haber profundizado aún más en declaraciones interpretativas que marcasen claramente el eje de solución futura de los conflictos que surjan en la aplicación de la norma y que puedan poner en riesgo la protección del litoral.</w:t>
      </w:r>
    </w:p>
    <w:p w14:paraId="730B053D" w14:textId="77777777" w:rsidR="009D7677" w:rsidRDefault="009D7677" w:rsidP="009D7677">
      <w:pPr>
        <w:pStyle w:val="TextoNormal"/>
      </w:pPr>
    </w:p>
    <w:p w14:paraId="676FFEAC" w14:textId="77777777" w:rsidR="009D7677" w:rsidRDefault="009D7677" w:rsidP="009D7677">
      <w:pPr>
        <w:pStyle w:val="TextoNormal"/>
      </w:pPr>
      <w:r>
        <w:t xml:space="preserve">La sentencia, en cambio, puede generar una confusión hermenéutica que deriva de la propia opción legislativa autonómica —como luego explicaré— y que hubiera debido evitarse para sortear el riesgo de que las dudas interpretativas desemboquen en usos abusivos del patrimonio natural común que, </w:t>
      </w:r>
      <w:r w:rsidRPr="009D7677">
        <w:rPr>
          <w:i/>
        </w:rPr>
        <w:t>a posteriori</w:t>
      </w:r>
      <w:r>
        <w:t>, sean de difícil o incluso imposible reversión. La sola mención del paraje del Cabo de Gata en el que aún se alza la construcción del hotel de “El Algarrobico”, resulta suficientemente elocuente, así como la situación que se vive en espacios como el Mar Menor o las marismas de Doñana, por poner solo alguno de los muchos ejemplos posibles. Todos ellos aconsejan una mayor precaución a la hora de abordar cualquier examen sobre el eventual impacto de las decisiones del legislador sobre el entorno físico en el que se desarrolla nuestra vida y se ejercen nuestros derechos.</w:t>
      </w:r>
    </w:p>
    <w:p w14:paraId="1DA31551" w14:textId="77777777" w:rsidR="009D7677" w:rsidRDefault="009D7677" w:rsidP="009D7677">
      <w:pPr>
        <w:pStyle w:val="TextoNormal"/>
      </w:pPr>
    </w:p>
    <w:p w14:paraId="3F2AD604" w14:textId="77777777" w:rsidR="009D7677" w:rsidRDefault="009D7677" w:rsidP="009D7677">
      <w:pPr>
        <w:pStyle w:val="TextoNormal"/>
      </w:pPr>
      <w:r>
        <w:t>El pronunciamiento del Tribunal adolece de una defectuosa sistemática, a pesar del esfuerzo que por explicarla en varios fundamentos jurídicos (concretamente el primero y el cuarto). Hubiera sido preferible explicar menos la metodología de la sentencia y aplicar mejor una técnica adecuada a la resolución del conflicto de base competencial sometido a juicio. Los reenvíos internos de un fundamento a otro, la repetición de las posiciones de las partes respecto de la constitucionalidad de cada uno de los veintinueve preceptos impugnados, la consideración de los óbices procesales alegados una vez se ha entrado al análisis de fondo o la exposición de la jurisprudencia constitucional como presupuesto argumental totalmente desconectado del examen de constitucionalidad de cada precepto, dificultan la comprensión de la sentencia y no permiten observar adecuadamente en qué puntos el Tribunal está matizando su jurisprudencia previa o modificándola.</w:t>
      </w:r>
    </w:p>
    <w:p w14:paraId="4F5F6AEB" w14:textId="77777777" w:rsidR="009D7677" w:rsidRDefault="009D7677" w:rsidP="009D7677">
      <w:pPr>
        <w:pStyle w:val="TextoNormal"/>
      </w:pPr>
    </w:p>
    <w:p w14:paraId="67093C3F" w14:textId="77777777" w:rsidR="009D7677" w:rsidRDefault="009D7677" w:rsidP="009D7677">
      <w:pPr>
        <w:pStyle w:val="TextoNormal"/>
      </w:pPr>
      <w:r>
        <w:t xml:space="preserve">2. A mi juicio concurre un cambio de tendencia jurisprudencial evidente en lo que hace a la doctrina sobre el bloque de constitucionalidad en materia de gestión del litoral, y el Tribunal debería haber hecho expreso ese cambio que se materializa en el fundamento </w:t>
      </w:r>
      <w:r>
        <w:lastRenderedPageBreak/>
        <w:t>jurídico 5 C). Desde la STC 149/1991 se estableció que, independientemente de su reconocimiento estatutario expreso, las comunidades autónomas costeras competentes para la ordenación del territorio ostentaban asimismo la competencia para la ordenación del litoral o planificación del litoral [STC 149/1991, FJ 1 A)], quedando limitada dicha competencia en dos sentidos. De un lado quedaba restringida la competencia en el espacio propio del dominio público marítimo terrestre que es titularidad del Estado (</w:t>
      </w:r>
      <w:r w:rsidRPr="009D7677">
        <w:rPr>
          <w:i/>
        </w:rPr>
        <w:t>ex</w:t>
      </w:r>
      <w:r>
        <w:t xml:space="preserve"> art. 132.2 CE) y de otro quedaba limitada en los terrenos colindantes del dominio público marítimo terrestre (que ya no son propiedad del Estado) bajo el argumento del respeto a la igualdad básica en el ejercicio del derecho de las personas a disfrutar de un medio ambiente adecuado (arts. 149.1.1 y 45 CE) y del ejercicio de las competencias en materia de protección del medio ambiente que consagra el art. 149.1.23 CE [STC 149/1991, FJ 1 D)].</w:t>
      </w:r>
    </w:p>
    <w:p w14:paraId="3DF4A1CB" w14:textId="77777777" w:rsidR="009D7677" w:rsidRDefault="009D7677" w:rsidP="009D7677">
      <w:pPr>
        <w:pStyle w:val="TextoNormal"/>
      </w:pPr>
    </w:p>
    <w:p w14:paraId="68360E06" w14:textId="77777777" w:rsidR="009D7677" w:rsidRDefault="009D7677" w:rsidP="009D7677">
      <w:pPr>
        <w:pStyle w:val="TextoNormal"/>
      </w:pPr>
      <w:r>
        <w:t>En lo que hace a las facultades de ordenación o planificación del dominio público marítimo terrestre, el fundamento jurídico 4 A) de la referida sentencia descarta que el art. 132.2 CE, al afirmar la titularidad estatal del dominio público marítimo-terrestre, haga referencia sólo al nudo dominio, “dejando la disposición sobre el uso y aprovechamiento de esa zona a las administraciones territoriales, en la medida en la que sus competencias sectoriales se extendieran sobre ella”. Pero, al tiempo, admite que esta técnica (es decir la reserva del nudo dominio al Estado y el uso y aprovechamiento a las comunidades autónomas) es constitucionalmente posible, y ha sido utilizada por el legislador efectivamente “al recurrir a la figura de la adscripción en favor de competencias concretas de las comunidades autónomas […], pero esta posibilidad no es sino una de las opciones que el legislador puede seguir, no la consecuencia única y obligada del bloque de la constitucionalidad, con el que también es perfectamente compatible la retención, en manos de la administración estatal, de la gestión del dominio público del Estado”.</w:t>
      </w:r>
    </w:p>
    <w:p w14:paraId="2B9A52B5" w14:textId="77777777" w:rsidR="009D7677" w:rsidRDefault="009D7677" w:rsidP="009D7677">
      <w:pPr>
        <w:pStyle w:val="TextoNormal"/>
      </w:pPr>
    </w:p>
    <w:p w14:paraId="7268C0AC" w14:textId="77777777" w:rsidR="009D7677" w:rsidRDefault="009D7677" w:rsidP="009D7677">
      <w:pPr>
        <w:pStyle w:val="TextoNormal"/>
      </w:pPr>
      <w:r>
        <w:t>Es decir, la STC 149/1991 reconoce la posibilidad de que el bloque de la constitucionalidad reserve la gestión del dominio público del Estado al propio Estado o se la atribuya a las comunidades autónomas a través de la asunción estatutaria. En cambio, la sentencia ahora aprobada niega la necesaria intervención del legislador que presuponía la sentencia de 1991 y lo sostiene cuando reconoce que “las funciones ejecutivas relativas a la gestión de títulos de utilización y ocupación del dominio público marítimo-terrestre no forman parte de las competencias estatales al tener su encaje en la competencia sobre ordenación del litoral”. A pesar de que el Tribunal afirma que modula en este punto su jurisprudencia, a mi juicio no se trata de modulación alguna, sino de un cambio significativo que no puede sustentarse en las SSTC 31/2010 o 18/2022 que cita nuestro pronunciamiento, porque ambas se refieren a la gestión del litoral por la Comunidad Autónoma de Cataluña, dándose la circunstancia, que no concurre en el caso de Galicia, de que su estatuto de autonomía, como parte integrante del bloque de la constitucionalidad, había asumido expresamente la competencia ejecutiva en liza.</w:t>
      </w:r>
    </w:p>
    <w:p w14:paraId="21D3F461" w14:textId="77777777" w:rsidR="009D7677" w:rsidRDefault="009D7677" w:rsidP="009D7677">
      <w:pPr>
        <w:pStyle w:val="TextoNormal"/>
      </w:pPr>
    </w:p>
    <w:p w14:paraId="04BCEC49" w14:textId="77777777" w:rsidR="009D7677" w:rsidRDefault="009D7677" w:rsidP="009D7677">
      <w:pPr>
        <w:pStyle w:val="TextoNormal"/>
      </w:pPr>
      <w:r>
        <w:t>De este mero cambio jurisprudencial no puede deducirse automáticamente una revisión a la baja del estándar de protección del litoral, pero sí genera dudas sobre la integridad y suficiencia de un bloque de la constitucionalidad que no parece contemplar diferencias efectivas entre los estatutos de autonomía que han asumido expresamente y los que no, las facultades de gestión de títulos que actúan sobre el dominio público marítimo terrestre.</w:t>
      </w:r>
    </w:p>
    <w:p w14:paraId="3A98364D" w14:textId="77777777" w:rsidR="009D7677" w:rsidRDefault="009D7677" w:rsidP="009D7677">
      <w:pPr>
        <w:pStyle w:val="TextoNormal"/>
      </w:pPr>
    </w:p>
    <w:p w14:paraId="7DCBC497" w14:textId="77777777" w:rsidR="009D7677" w:rsidRDefault="009D7677" w:rsidP="009D7677">
      <w:pPr>
        <w:pStyle w:val="TextoNormal"/>
      </w:pPr>
      <w:r>
        <w:lastRenderedPageBreak/>
        <w:t>3. El otro eje argumental que me parece insuficiente es el que se desarrolla en el fundamento jurídico 8 de la sentencia referido, a grandes rasgos, a los usos posibles de los espacios comprendidos en el litoral, con el alcance que la propia ley impugnada atribuye a este término.</w:t>
      </w:r>
    </w:p>
    <w:p w14:paraId="2E923510" w14:textId="77777777" w:rsidR="009D7677" w:rsidRDefault="009D7677" w:rsidP="009D7677">
      <w:pPr>
        <w:pStyle w:val="TextoNormal"/>
      </w:pPr>
    </w:p>
    <w:p w14:paraId="464714A1" w14:textId="77777777" w:rsidR="009D7677" w:rsidRDefault="009D7677" w:rsidP="009D7677">
      <w:pPr>
        <w:pStyle w:val="TextoNormal"/>
      </w:pPr>
      <w:r>
        <w:t>Y aquí radica el problema conceptual de origen que la sentencia no resuelve. El litoral es, en una acepción coloquial, el espacio físico en el que se encuentran la tierra y el mar. Pero su definición jurídica es mucho más compleja y no se concreta ni en la legislación estatal, ni en la normativa internacional, ni en los documentos de la Unión Europea que pudieran servir de contexto normativo, de una forma inequívoca. La ley de costas de 1988 no define el litoral, sino la ribera del mar y las rías (que incluye la zona marítimo-terrestre y las playas), el mar territorial y las aguas interiores; mientras que la ley gallega 4/2023 define el litoral como “la franja de anchura variable, a ambos lados de la ribera del mar, en la que se produce la interacción entre la naturaleza, las comunidades humanas y las actividades socioeconómicas que se sustentan en la existencia o influencia del mar”. Obviamente, esta definición incluye la ribera del mar y por tanto la zona de dominio público marítimo terrestre de que es titular el Estado.</w:t>
      </w:r>
    </w:p>
    <w:p w14:paraId="0A6D34B7" w14:textId="77777777" w:rsidR="009D7677" w:rsidRDefault="009D7677" w:rsidP="009D7677">
      <w:pPr>
        <w:pStyle w:val="TextoNormal"/>
      </w:pPr>
    </w:p>
    <w:p w14:paraId="7DDF2804" w14:textId="77777777" w:rsidR="009D7677" w:rsidRDefault="009D7677" w:rsidP="009D7677">
      <w:pPr>
        <w:pStyle w:val="TextoNormal"/>
      </w:pPr>
      <w:r>
        <w:t>El legislador gallego opta, por tanto, por redefinir los espacios costeros con arreglo a una terminología propia y específica de la ley sometida a juicio de constitucionalidad lo que, en sí mismo, no es contrario al texto de la Constitución, que no se refiere en absoluto a la noción de “litoral”; pero si puede llegar a condicionar el alcance de los conceptos constitucionales contenidos en el art. 132.2 CE, máxime si se tiene presente que la zonificación del litoral prevista en el art. 30 de la Ley gallega, superpone nuevas categorías jurídicas que se proyectan sobre el dominio público marítimo terrestre y sobre la zona de servidumbre de protección, con el potencial de alterar el estatuto jurídico y de protección de ambos espacios previstos en la normativa estatal. La yuxtaposición de espacios dificulta la comprensión del alcance de los usos sobre dichos espacios y la sentencia debería haber aclarado, como premisa argumental, todos estos extremos. Podría decirse que hace un intento en este sentido, pero no creo que sea suficiente.</w:t>
      </w:r>
    </w:p>
    <w:p w14:paraId="5EFE4DA0" w14:textId="77777777" w:rsidR="009D7677" w:rsidRDefault="009D7677" w:rsidP="009D7677">
      <w:pPr>
        <w:pStyle w:val="TextoNormal"/>
      </w:pPr>
    </w:p>
    <w:p w14:paraId="37C556C3" w14:textId="77777777" w:rsidR="009D7677" w:rsidRDefault="009D7677" w:rsidP="009D7677">
      <w:pPr>
        <w:pStyle w:val="TextoNormal"/>
      </w:pPr>
      <w:r>
        <w:t>Desde esta exposición inicial sobre la superposición de las zonas del litoral previstas en la ley gallega y los espacios costeros de la costa en la normativa estatal, la sentencia hubiera debido sostener, como premisa de toda su argumentación sucesiva, que en ningún caso la normativa autonómica puede regular los usos en el espacio del dominio público marítimo terrestre, porque es competencia estatal, ni las previsiones que afecten a la servidumbre de protección pueden suponer una reducción del estándar de protección de los espacios previsto en la Ley de costas, porque ello equivaldría a un menoscabo de las competencias estatales previstas en el art. 149.1.1 CE en relación con el art. 45 CE, y en el art. 149.1.23 CE.</w:t>
      </w:r>
    </w:p>
    <w:p w14:paraId="5CFA0FD6" w14:textId="77777777" w:rsidR="009D7677" w:rsidRDefault="009D7677" w:rsidP="009D7677">
      <w:pPr>
        <w:pStyle w:val="TextoNormal"/>
      </w:pPr>
    </w:p>
    <w:p w14:paraId="198D766F" w14:textId="77777777" w:rsidR="009D7677" w:rsidRDefault="009D7677" w:rsidP="009D7677">
      <w:pPr>
        <w:pStyle w:val="TextoNormal"/>
      </w:pPr>
      <w:r>
        <w:t xml:space="preserve">La sentencia constata en varios pasajes los defectos de técnica legislativa de la Ley gallega del litoral, pero no deriva de esos defectos la intención del legislador gallego de alterar el modelo estatal de autorización de usos de la zona que abarca el dominio público marítimo terrestre. No obstante la innegable deferencia que muestra la sentencia hacia el legislador autonómico, hubiera sido más adecuado realizar una interpretación conforme de los preceptos de cuya aplicación específica y futura pudiera derivarse una equívoca extensión de los usos incompatible con las previsiones de la Ley de Costas que, en el punto </w:t>
      </w:r>
      <w:r>
        <w:lastRenderedPageBreak/>
        <w:t>relativo a los usos en el dominio público y en la zona de servidumbre de protección, debe ser considerada parámetro indirecto de constitucionalidad de la normativa autonómica.</w:t>
      </w:r>
    </w:p>
    <w:p w14:paraId="5B8F7AE6" w14:textId="77777777" w:rsidR="009D7677" w:rsidRDefault="009D7677" w:rsidP="009D7677">
      <w:pPr>
        <w:pStyle w:val="TextoNormal"/>
      </w:pPr>
    </w:p>
    <w:p w14:paraId="763E599F" w14:textId="77777777" w:rsidR="009D7677" w:rsidRDefault="009D7677" w:rsidP="009D7677">
      <w:pPr>
        <w:pStyle w:val="TextoNormal"/>
      </w:pPr>
      <w:r>
        <w:t>Por poner solo un ejemplo, el art. 34.2 b) de la Ley del Parlamento de Galicia 4/2023 se refiere a los usos permitidos en el área de protección ambiental, que puede incluir la zona de dominio público, aludiendo a “[l]os usos de carácter tradicional permitidos en la normativa del patrimonio natural y la biodiversidad”. Habida cuenta de la indefinición del término “tradicional” en la disposición legal a la que se hace el reenvío, la sentencia debería haber sostenido, expresamente, que dichos usos tradicionales, independientemente de cómo se definan, no serán posibles en ningún caso en el dominio público marítimo terrestre si suponen ocupación de dicho espacio y, por su naturaleza, pueden tener otra ubicación; y se verán limitados en la zona de servidumbre de protección en tanto provoquen un impacto medioambiental negativo. Por ejemplo, la explotación agrícola o forestal puede ser tenida por un uso tradicional, y en esa medida podría tenerse por permitida en la servidumbre de protección, pero la agricultura intensiva, que presenta mayor grado de impacto ambiental que la agricultura extensiva, puede tener efectos perniciosos sobre el paisaje o suponer el vertido de contaminantes a las aguas del mar o de las rías, por lo que su autorización podría quedar supeditada a las exigencias de la normativa estatal en la zona de servidumbre de protección. Seguramente estas cautelas podrían entenderse como implícitas en la normativa autonómica recurrida, en las cláusulas de salvaguarda que contienen los preceptos impugnados, pero si eso fuera efectivamente así, una interpretación conforme hubiera sido inocua y al menos habría despejado toda duda sobre la imposibilidad de rebajar, en cualquier circunstancia y respecto de cualquier uso, el estándar de protección medioambiental previsto en la Ley de costas para el dominio público y para la zona de servidumbre de protección.</w:t>
      </w:r>
    </w:p>
    <w:p w14:paraId="3411C2F7" w14:textId="77777777" w:rsidR="009D7677" w:rsidRDefault="009D7677" w:rsidP="009D7677">
      <w:pPr>
        <w:pStyle w:val="TextoNormal"/>
      </w:pPr>
    </w:p>
    <w:p w14:paraId="760F71B9" w14:textId="77777777" w:rsidR="009D7677" w:rsidRDefault="009D7677" w:rsidP="009D7677">
      <w:pPr>
        <w:pStyle w:val="TextoNormal"/>
      </w:pPr>
      <w:r>
        <w:t>En un contexto histórico en que no se puede negar la degradación ambiental del litoral español, y en que el cambio climático y sus efectos actuales ya permiten comprender que esa degradación se irá incrementando incluso sin mayor intervención humana y que el delineado de nuestras costas irá variando progresiva e inexorablemente, no es conveniente cualquier pronunciamiento del Tribunal Constitucional que permita albergar la más mínima duda sobre el compromiso con la preservación del medio ambiente, en defensa de los derechos básicos de las generaciones futuras, incluso aunque ese compromiso pueda entenderse en detrimento de la capacidad de autogobierno de las comunidades autónomas en la gestión de un litoral que no es exclusivamente suyo, sino del conjunto de la ciudadanía del Estado.</w:t>
      </w:r>
    </w:p>
    <w:p w14:paraId="699A5688" w14:textId="77777777" w:rsidR="009D7677" w:rsidRDefault="009D7677" w:rsidP="009D7677">
      <w:pPr>
        <w:pStyle w:val="TextoNormal"/>
      </w:pPr>
    </w:p>
    <w:p w14:paraId="6C4E03C5" w14:textId="77777777" w:rsidR="009D7677" w:rsidRDefault="009D7677" w:rsidP="009D7677">
      <w:pPr>
        <w:pStyle w:val="TextoNormal"/>
      </w:pPr>
      <w:r>
        <w:t>En este sentido emito mi voto particular.</w:t>
      </w:r>
    </w:p>
    <w:p w14:paraId="253FC101" w14:textId="77777777" w:rsidR="009D7677" w:rsidRDefault="009D7677" w:rsidP="009D7677">
      <w:pPr>
        <w:pStyle w:val="TextoNormal"/>
      </w:pPr>
    </w:p>
    <w:p w14:paraId="37844622" w14:textId="19DC1B55" w:rsidR="009D7677" w:rsidRDefault="009D7677" w:rsidP="009D7677">
      <w:pPr>
        <w:pStyle w:val="TextoNormal"/>
      </w:pPr>
      <w:r>
        <w:t>Madrid, a veintitrés de abril de dos mil veinticuatro.</w:t>
      </w:r>
    </w:p>
    <w:p w14:paraId="2E228770" w14:textId="7DB2988B" w:rsidR="009D7677" w:rsidRDefault="009D7677">
      <w:pPr>
        <w:spacing w:after="160" w:line="259" w:lineRule="auto"/>
        <w:rPr>
          <w:rFonts w:ascii="Times New Roman" w:eastAsia="Times New Roman" w:hAnsi="Times New Roman" w:cs="Times New Roman"/>
          <w:sz w:val="24"/>
          <w:szCs w:val="24"/>
          <w:lang w:eastAsia="es-ES"/>
        </w:rPr>
      </w:pPr>
      <w:r>
        <w:br w:type="page"/>
      </w:r>
    </w:p>
    <w:p w14:paraId="210F1E35" w14:textId="77777777" w:rsidR="009D7677" w:rsidRDefault="009D7677" w:rsidP="009D7677">
      <w:pPr>
        <w:pStyle w:val="TtuloResolucin"/>
      </w:pPr>
      <w:bookmarkStart w:id="71" w:name="SENTENCIA_2024_69"/>
      <w:r>
        <w:lastRenderedPageBreak/>
        <w:t>SENTENCIA 69/2024, de 24 de abril de 2024</w:t>
      </w:r>
    </w:p>
    <w:bookmarkEnd w:id="71"/>
    <w:p w14:paraId="2DE5163C" w14:textId="77777777" w:rsidR="009D7677" w:rsidRDefault="009D7677" w:rsidP="009D7677">
      <w:pPr>
        <w:pStyle w:val="TtuloResolucin"/>
      </w:pPr>
      <w:r>
        <w:t>Pleno</w:t>
      </w:r>
    </w:p>
    <w:p w14:paraId="7438AD12" w14:textId="77777777" w:rsidR="009D7677" w:rsidRDefault="009D7677" w:rsidP="009D7677">
      <w:pPr>
        <w:pStyle w:val="TtuloBOE"/>
      </w:pPr>
      <w:r>
        <w:t>(BOE núm. 131, de 30 de mayo de 2024)</w:t>
      </w:r>
    </w:p>
    <w:p w14:paraId="6FD09901" w14:textId="77777777" w:rsidR="009D7677" w:rsidRDefault="009D7677" w:rsidP="009D7677">
      <w:pPr>
        <w:pStyle w:val="TextoNormalCentrado"/>
      </w:pPr>
      <w:r>
        <w:t>ECLI:ES:TC:2024:69</w:t>
      </w:r>
    </w:p>
    <w:p w14:paraId="6E8D74D6" w14:textId="43C82217" w:rsidR="009D7677" w:rsidRDefault="009D7677" w:rsidP="009D7677">
      <w:pPr>
        <w:pStyle w:val="TextoNormalCentrado"/>
      </w:pPr>
    </w:p>
    <w:p w14:paraId="7A5CE0DA" w14:textId="77777777" w:rsidR="009D7677" w:rsidRDefault="009D7677" w:rsidP="009D7677">
      <w:pPr>
        <w:pStyle w:val="SntesisDescriptiva"/>
      </w:pPr>
      <w:r>
        <w:t>Cuestión de inconstitucionalidad 5206-2023. Planteada por la Sala de lo Contencioso-Administrativo del Tribunal Supremo en relación con el inciso “sin que en ningún caso pueda ser inferior a cinco mil euros” del artículo 17 bis.3 b) de la Ley Orgánica 8/2007, de 4 de julio, sobre financiación de los partidos políticos.</w:t>
      </w:r>
    </w:p>
    <w:p w14:paraId="39C2DE5B" w14:textId="3D3376AF" w:rsidR="009D7677" w:rsidRDefault="009D7677" w:rsidP="009D7677">
      <w:pPr>
        <w:pStyle w:val="SntesisDescriptiva"/>
      </w:pPr>
    </w:p>
    <w:p w14:paraId="2B36F5C4" w14:textId="77777777" w:rsidR="009D7677" w:rsidRDefault="009D7677" w:rsidP="009D7677">
      <w:pPr>
        <w:pStyle w:val="SntesisAnaltica"/>
      </w:pPr>
      <w:r>
        <w:t>Principio de legalidad sancionadora: nulidad del precepto legal que establece la sanción mínima por la comisión de la infracción de superación de los límites de gastos electorales; extensión de la declaración de inconstitucionalidad y nulidad a otros preceptos del mismo texto legal.</w:t>
      </w:r>
    </w:p>
    <w:p w14:paraId="73038994" w14:textId="4CD890C7" w:rsidR="009D7677" w:rsidRDefault="009D7677" w:rsidP="009D7677">
      <w:pPr>
        <w:pStyle w:val="SntesisAnaltica"/>
      </w:pPr>
    </w:p>
    <w:p w14:paraId="19825218" w14:textId="37942196" w:rsidR="009D7677" w:rsidRDefault="009D7677" w:rsidP="009D7677">
      <w:pPr>
        <w:pStyle w:val="Extracto"/>
      </w:pPr>
      <w:r>
        <w:t>1.</w:t>
      </w:r>
      <w:r>
        <w:tab/>
        <w:t>La Constitución no impone una exacta proporción entre el desvalor de la sanción y el desvalor del comportamiento prohibido, según un hipotético baremo preciso y prefijado (STC 74/2022) [FJ 3].</w:t>
      </w:r>
    </w:p>
    <w:p w14:paraId="5099C383" w14:textId="77777777" w:rsidR="009D7677" w:rsidRDefault="009D7677" w:rsidP="009D7677">
      <w:pPr>
        <w:pStyle w:val="Extracto"/>
      </w:pPr>
    </w:p>
    <w:p w14:paraId="13E86B9C" w14:textId="5F9DEA9B" w:rsidR="009D7677" w:rsidRDefault="009D7677" w:rsidP="009D7677">
      <w:pPr>
        <w:pStyle w:val="Extracto"/>
      </w:pPr>
      <w:r>
        <w:t>2.</w:t>
      </w:r>
      <w:r>
        <w:tab/>
        <w:t>El principio de proporcionalidad dará lugar a la censura de inconstitucionalidad cuando la norma produzca un patente derroche inútil de coacción que convierte la norma en arbitraria y que socava los principios elementales de justicia inherentes a la dignidad de la persona y al Estado de Derecho (STC 74/2022) [FJ 3].</w:t>
      </w:r>
    </w:p>
    <w:p w14:paraId="11715B25" w14:textId="77777777" w:rsidR="009D7677" w:rsidRDefault="009D7677" w:rsidP="009D7677">
      <w:pPr>
        <w:pStyle w:val="Extracto"/>
      </w:pPr>
    </w:p>
    <w:p w14:paraId="6B9EB447" w14:textId="66812C99" w:rsidR="009D7677" w:rsidRDefault="009D7677" w:rsidP="009D7677">
      <w:pPr>
        <w:pStyle w:val="Extracto"/>
      </w:pPr>
      <w:r>
        <w:t>3.</w:t>
      </w:r>
      <w:r>
        <w:tab/>
        <w:t>El control y supervisión de la financiación de los partidos políticos protege indirectamente el derecho de los ciudadanos a participar en los asuntos públicos (art. 23.1 CE) en condiciones de igualdad. Y el establecimiento de sanciones para prevenir y castigar los excesos de gasto electoral por encima de los límites señalados objetiva y equitativamente por el legislador tiene fundamento constitucional [FJ 4].</w:t>
      </w:r>
    </w:p>
    <w:p w14:paraId="76DDD1C1" w14:textId="77777777" w:rsidR="009D7677" w:rsidRDefault="009D7677" w:rsidP="009D7677">
      <w:pPr>
        <w:pStyle w:val="Extracto"/>
      </w:pPr>
    </w:p>
    <w:p w14:paraId="34C9D887" w14:textId="7B8B4963" w:rsidR="009D7677" w:rsidRDefault="009D7677" w:rsidP="009D7677">
      <w:pPr>
        <w:pStyle w:val="Extracto"/>
      </w:pPr>
      <w:r>
        <w:t>4.</w:t>
      </w:r>
      <w:r>
        <w:tab/>
        <w:t>Un elemento que permite apreciar la desproporción de una sanción en abstracto es que a la luz de datos empíricos no controvertidos resulte evidente la manifiesta suficiencia de un medio alternativo menos restrictivo para la consecución igualmente eficaz de las finalidades deseadas por el legislador (STC 74/2022) [FJ 5].</w:t>
      </w:r>
    </w:p>
    <w:p w14:paraId="5FD6CD94" w14:textId="77777777" w:rsidR="009D7677" w:rsidRDefault="009D7677" w:rsidP="009D7677">
      <w:pPr>
        <w:pStyle w:val="Extracto"/>
      </w:pPr>
    </w:p>
    <w:p w14:paraId="75AA80A7" w14:textId="6043CA8D" w:rsidR="009D7677" w:rsidRDefault="009D7677" w:rsidP="009D7677">
      <w:pPr>
        <w:pStyle w:val="Extracto"/>
      </w:pPr>
      <w:r>
        <w:t>5.</w:t>
      </w:r>
      <w:r>
        <w:tab/>
        <w:t>El carácter taxativo del límite mínimo de una sanción que impide cualquier modulación o individualización de sus efectos para adaptarlos a las circunstancias del caso concreto conduce a concluir que tal “límite mínimo” vulnera el art. 25.1, en relación con los arts. 6 y 23.1 CE y que procede declarar su inconstitucionalidad y nulidad con efectos generales conforme al art. 39.1 LOTC [FJ 5].</w:t>
      </w:r>
    </w:p>
    <w:p w14:paraId="5E156628" w14:textId="77777777" w:rsidR="009D7677" w:rsidRDefault="009D7677" w:rsidP="009D7677">
      <w:pPr>
        <w:pStyle w:val="Extracto"/>
      </w:pPr>
    </w:p>
    <w:p w14:paraId="053AD85D" w14:textId="1DFA9B7F" w:rsidR="009D7677" w:rsidRDefault="009D7677" w:rsidP="009D7677">
      <w:pPr>
        <w:pStyle w:val="Extracto"/>
      </w:pPr>
      <w:r>
        <w:t>6.</w:t>
      </w:r>
      <w:r>
        <w:tab/>
        <w:t>De conformidad con el art. 39.1 LOTC, cuando la sentencia declare la inconstitucionalidad, declarará igualmente la nulidad de los preceptos impugnados, así como, en su caso, la de aquellos otros de la misma ley, disposición o acto con fuerza de la los que deba extenderse por conexión o consecuencia [FJ 6].</w:t>
      </w:r>
    </w:p>
    <w:p w14:paraId="5F2FB43D" w14:textId="77777777" w:rsidR="009D7677" w:rsidRDefault="009D7677" w:rsidP="009D7677">
      <w:pPr>
        <w:pStyle w:val="Extracto"/>
      </w:pPr>
    </w:p>
    <w:p w14:paraId="79A2C2CD" w14:textId="77777777" w:rsidR="009D7677" w:rsidRDefault="009D7677" w:rsidP="009D7677">
      <w:pPr>
        <w:pStyle w:val="Extracto"/>
      </w:pPr>
    </w:p>
    <w:p w14:paraId="0BFE8527" w14:textId="77777777" w:rsidR="009D7677" w:rsidRDefault="009D7677" w:rsidP="009D7677">
      <w:pPr>
        <w:pStyle w:val="TextoNormal"/>
      </w:pPr>
      <w:r>
        <w:lastRenderedPageBreak/>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5F9C25BF" w14:textId="19AC8F34" w:rsidR="009D7677" w:rsidRDefault="009D7677" w:rsidP="009D7677">
      <w:pPr>
        <w:pStyle w:val="TextoNormal"/>
      </w:pPr>
    </w:p>
    <w:p w14:paraId="4F04A334" w14:textId="77777777" w:rsidR="009D7677" w:rsidRDefault="009D7677" w:rsidP="009D7677">
      <w:pPr>
        <w:pStyle w:val="TextoNormalCentrado"/>
        <w:keepNext/>
      </w:pPr>
      <w:r>
        <w:t>EN NOMBRE DEL REY</w:t>
      </w:r>
    </w:p>
    <w:p w14:paraId="4B49C7DB" w14:textId="6884F054" w:rsidR="009D7677" w:rsidRDefault="009D7677" w:rsidP="009D7677">
      <w:pPr>
        <w:pStyle w:val="TextoNormalCentrado"/>
        <w:keepNext/>
      </w:pPr>
    </w:p>
    <w:p w14:paraId="14325B2C" w14:textId="77777777" w:rsidR="009D7677" w:rsidRDefault="009D7677" w:rsidP="009D7677">
      <w:pPr>
        <w:pStyle w:val="TextoNormalCentrado"/>
        <w:keepNext/>
      </w:pPr>
    </w:p>
    <w:p w14:paraId="38AC6549" w14:textId="77777777" w:rsidR="009D7677" w:rsidRDefault="009D7677" w:rsidP="009D7677">
      <w:pPr>
        <w:pStyle w:val="TextoNormal"/>
      </w:pPr>
      <w:r>
        <w:t>la siguiente</w:t>
      </w:r>
    </w:p>
    <w:p w14:paraId="413E36F2" w14:textId="0ACEC01A" w:rsidR="009D7677" w:rsidRDefault="009D7677" w:rsidP="009D7677">
      <w:pPr>
        <w:pStyle w:val="TextoNormal"/>
      </w:pPr>
    </w:p>
    <w:p w14:paraId="53E350C7" w14:textId="77777777" w:rsidR="009D7677" w:rsidRDefault="009D7677" w:rsidP="009D7677">
      <w:pPr>
        <w:pStyle w:val="TextoNormalCentrado"/>
        <w:keepNext/>
      </w:pPr>
      <w:r>
        <w:t>SENTENCIA</w:t>
      </w:r>
    </w:p>
    <w:p w14:paraId="35FAAB41" w14:textId="6C88B70D" w:rsidR="009D7677" w:rsidRDefault="009D7677" w:rsidP="009D7677">
      <w:pPr>
        <w:pStyle w:val="TextoNormalCentrado"/>
        <w:keepNext/>
      </w:pPr>
    </w:p>
    <w:p w14:paraId="7E7752B9" w14:textId="77777777" w:rsidR="009D7677" w:rsidRDefault="009D7677" w:rsidP="009D7677">
      <w:pPr>
        <w:pStyle w:val="TextoNormal"/>
      </w:pPr>
      <w:r>
        <w:t>En la cuestión de inconstitucionalidad núm. 5206-2023, promovida por la Sala de lo Contencioso-Administrativo del Tribunal Supremo en relación con el inciso “sin que en ningún caso pueda ser inferior a cinco mil euros” del art. 17 bis.3 b) de la Ley Orgánica 8/2007, de 4 de julio, sobre financiación de los partidos políticos. Han comparecido el Congreso de los Diputados y el Senado. Han formulado alegaciones el fiscal general del Estado, el Gobierno de la Nación y el Partido Independiente de Torre Pacheco, representado por el procurador de los tribunales don Enrique de Antonio Viscor y asistido por el abogado don Andrés Galán Juan. Ha sido ponente el magistrado don Ricardo Enríquez Sancho.</w:t>
      </w:r>
    </w:p>
    <w:p w14:paraId="7E8CC60C" w14:textId="3D5EF204" w:rsidR="009D7677" w:rsidRDefault="009D7677" w:rsidP="009D7677">
      <w:pPr>
        <w:pStyle w:val="TextoNormal"/>
      </w:pPr>
    </w:p>
    <w:p w14:paraId="79721628" w14:textId="77777777" w:rsidR="009D7677" w:rsidRDefault="009D7677" w:rsidP="009D7677">
      <w:pPr>
        <w:pStyle w:val="TextoNormalNegritaCentrado"/>
        <w:keepNext/>
      </w:pPr>
      <w:r>
        <w:t>I. Antecedentes</w:t>
      </w:r>
    </w:p>
    <w:p w14:paraId="04E070CB" w14:textId="3153DDD6" w:rsidR="009D7677" w:rsidRDefault="009D7677" w:rsidP="009D7677">
      <w:pPr>
        <w:pStyle w:val="TextoNormalNegritaCentrado"/>
        <w:keepNext/>
      </w:pPr>
    </w:p>
    <w:p w14:paraId="0BC39F89" w14:textId="2D337C17" w:rsidR="009D7677" w:rsidRDefault="009D7677" w:rsidP="009D7677">
      <w:pPr>
        <w:pStyle w:val="TextoNormal"/>
      </w:pPr>
      <w:r w:rsidRPr="009D7677">
        <w:rPr>
          <w:rStyle w:val="NumeroAFNegritaCaracter"/>
        </w:rPr>
        <w:t>1</w:t>
      </w:r>
      <w:r>
        <w:t>. El día 25 de julio de 2023 tuvo entrada en el registro general de este tribunal oficio de la Sección Cuarta de Sala de lo Contencioso-Administrativo, del Tribunal Supremo, acompañando testimonio del recurso ordinario 1-2022 en que se dictó el auto de 11 de julio de 2023 por el que la Sección acuerda plantear cuestión de inconstitucionalidad en relación con el inciso citado en el encabezamiento.</w:t>
      </w:r>
    </w:p>
    <w:p w14:paraId="5AB6FC15" w14:textId="77777777" w:rsidR="009D7677" w:rsidRDefault="009D7677" w:rsidP="009D7677">
      <w:pPr>
        <w:pStyle w:val="TextoNormal"/>
      </w:pPr>
    </w:p>
    <w:p w14:paraId="48C8BD17" w14:textId="77777777" w:rsidR="009D7677" w:rsidRDefault="009D7677" w:rsidP="009D7677">
      <w:pPr>
        <w:pStyle w:val="TextoNormal"/>
      </w:pPr>
      <w:r w:rsidRPr="009D7677">
        <w:rPr>
          <w:rStyle w:val="NumeroAFNegritaCaracter"/>
        </w:rPr>
        <w:t>2</w:t>
      </w:r>
      <w:r>
        <w:t>. El mencionado auto trae causa de los siguientes antecedentes:</w:t>
      </w:r>
    </w:p>
    <w:p w14:paraId="3A0DF293" w14:textId="77777777" w:rsidR="009D7677" w:rsidRDefault="009D7677" w:rsidP="009D7677">
      <w:pPr>
        <w:pStyle w:val="TextoNormal"/>
      </w:pPr>
    </w:p>
    <w:p w14:paraId="72E30F39" w14:textId="77777777" w:rsidR="009D7677" w:rsidRDefault="009D7677" w:rsidP="009D7677">
      <w:pPr>
        <w:pStyle w:val="TextoNormal"/>
      </w:pPr>
      <w:r>
        <w:t xml:space="preserve">a) En las elecciones locales celebradas el 26 de mayo de 2019, la formación política Partido Independiente de Torre Pacheco presentó candidatura en este municipio. Presentada contabilidad electoral y tramitado el correspondiente procedimiento, el Tribunal de Cuentas acordó por resolución de 28 de octubre de 2021 imponer a la citada formación política “una sanción de cinco mil euros (5000 €), cuantía mínima que el artículo 17 </w:t>
      </w:r>
      <w:r w:rsidRPr="009D7677">
        <w:rPr>
          <w:i/>
        </w:rPr>
        <w:t>bis</w:t>
      </w:r>
      <w:r>
        <w:t>.3 b) prevé para las infracciones leves, por la infracción prevista en el artículo 17.4 b) de la Ley Orgánica sobre financiación de los partidos políticos, consistente en la superación del límite máximo de gastos establecido en el artículo 193.2 de la Ley Orgánica del régimen electoral general (LOREG) aplicable a la formación política en las referidas elecciones locales (3917,54 €), en 91,47 €, lo que ha supuesto un exceso de 2,33 por 100 sobre dicho límite”. En la fundamentación jurídica del acuerdo, el Tribunal de Cuentas razona que la atribución de responsabilidad a título de culpa sin intencionalidad, la inexistencia de con</w:t>
      </w:r>
      <w:r>
        <w:lastRenderedPageBreak/>
        <w:t xml:space="preserve">tinuidad en la conducta infractora y la naturaleza de los perjuicios causados —criterios todos ello señalados para la graduación de las sanciones en el art. 29.3 de la Ley 40/2015, de 1 de octubre, de régimen jurídico del sector público— deberían conducir a “la imposición de la sanción en su umbral inferior, esto es, proporcional al duplo del exceso de gasto producido”, es decir, de “182,94 €”; no obstante, por aplicación del último inciso del art. 17 </w:t>
      </w:r>
      <w:r w:rsidRPr="009D7677">
        <w:rPr>
          <w:i/>
        </w:rPr>
        <w:t>bis</w:t>
      </w:r>
      <w:r>
        <w:t>.3 b), la sanción debe ser de 5000 €.</w:t>
      </w:r>
    </w:p>
    <w:p w14:paraId="2BDB8530" w14:textId="77777777" w:rsidR="009D7677" w:rsidRDefault="009D7677" w:rsidP="009D7677">
      <w:pPr>
        <w:pStyle w:val="TextoNormal"/>
      </w:pPr>
    </w:p>
    <w:p w14:paraId="55969571" w14:textId="77777777" w:rsidR="009D7677" w:rsidRDefault="009D7677" w:rsidP="009D7677">
      <w:pPr>
        <w:pStyle w:val="TextoNormal"/>
      </w:pPr>
      <w:r>
        <w:t>b) Disconforme con la citada resolución, la formación política interesada interpuso recurso contencioso-administrativo ante la Sala de lo Contencioso-Administrativo del Tribunal Supremo, esgrimiendo sustancialmente tres argumentos. En primer lugar, que la resolución del Tribunal de Cuentas es nula por infringir los principios de legalidad y tipicidad al incluir el importe del IVA en el cómputo para determinar si se ha superado el límite de gastos electorales. En segundo lugar, que la resolución es nula porque el límite que se le impone por aplicación del artículo 193.2 LOREG vulnera los artículos 6 y 23.1 de la Constitución por beneficiar a los grandes partidos nacionales frente a los pequeños, como el recurrente. Y, en tercer lugar, solicita el planteamiento de una cuestión de inconstitucionalidad sobre el art. 193.2 LOREG por fijar el límite de gasto por habitante en 0,11 € para los partidos que concurren en una sola circunscripción, vulnerando así los derechos constitucionales de participación política derivados de los arts. 6 y 23.1 CE.</w:t>
      </w:r>
    </w:p>
    <w:p w14:paraId="6C1A73EB" w14:textId="77777777" w:rsidR="009D7677" w:rsidRDefault="009D7677" w:rsidP="009D7677">
      <w:pPr>
        <w:pStyle w:val="TextoNormal"/>
      </w:pPr>
    </w:p>
    <w:p w14:paraId="12D99036" w14:textId="77777777" w:rsidR="009D7677" w:rsidRDefault="009D7677" w:rsidP="009D7677">
      <w:pPr>
        <w:pStyle w:val="TextoNormal"/>
      </w:pPr>
      <w:r>
        <w:t>c) La abogada del Estado presentó contestación a la demanda limitándose a constatar que no han quedado desvirtuados los hechos acreditados en el expediente administrativo. “En todo caso” –—añadió— “en cumplimiento del principio de buena fe procesal, se debe concluir poniendo en conocimiento de la Sala que en recursos análogos al presente, en los que la parte recurrente ha solicitado el planteamiento de cuestión de constitucionalidad basada en la desproporción entre infracciones y sanciones derivada del artículo 17 de la Ley Orgánica 8/2007, de 4 de julio, sobre financiación de partidos políticos, esta Abogacía del Estado ha manifestado su parecer favorable, siguiendo el criterio sentado por la administración demandada que resulta del oficio de la señora presidenta del Tribunal de Cuentas, de fecha 20 de abril de 2022”.</w:t>
      </w:r>
    </w:p>
    <w:p w14:paraId="67B94D29" w14:textId="77777777" w:rsidR="009D7677" w:rsidRDefault="009D7677" w:rsidP="009D7677">
      <w:pPr>
        <w:pStyle w:val="TextoNormal"/>
      </w:pPr>
    </w:p>
    <w:p w14:paraId="765AC248" w14:textId="77777777" w:rsidR="009D7677" w:rsidRDefault="009D7677" w:rsidP="009D7677">
      <w:pPr>
        <w:pStyle w:val="TextoNormal"/>
      </w:pPr>
      <w:r>
        <w:t>En el citado oficio, acompañando a la contestación a la demanda, la presidenta del Tribunal de Cuentas informa de que “por acuerdo del Pleno de fecha 27 de julio de 2021, se decidió elevar una moción a las Cortes Generales recomendando la modificación de algunos aspectos del régimen sancionatorio previsto en la antes citada Ley sobre financiación de los partidos políticos, por entender que concurría una falta de proporcionalidad entre infracciones y sanciones”, y que por esta razón “se estima conveniente que la Abogacía del Estado en el Tribunal Supremo se manifieste, en los procesos en que intervenga sobre esta materia, a favor del planteamiento de una cuestión de inconstitucionalidad ante el Tribunal Constitucional respecto a la [citada] desproporción”.</w:t>
      </w:r>
    </w:p>
    <w:p w14:paraId="25F55DA8" w14:textId="77777777" w:rsidR="009D7677" w:rsidRDefault="009D7677" w:rsidP="009D7677">
      <w:pPr>
        <w:pStyle w:val="TextoNormal"/>
      </w:pPr>
    </w:p>
    <w:p w14:paraId="1C1738AF" w14:textId="77777777" w:rsidR="009D7677" w:rsidRDefault="009D7677" w:rsidP="009D7677">
      <w:pPr>
        <w:pStyle w:val="TextoNormal"/>
      </w:pPr>
      <w:r>
        <w:t>d) Practicada la prueba admitida y presentadas las conclusiones escritas por las partes, el día 1 de marzo de 2023 la Sección Cuarta de la Sala de lo Contencioso-Administrativo del Tribunal Supremo dictó providencia del siguiente tenor:</w:t>
      </w:r>
    </w:p>
    <w:p w14:paraId="3DFEA6D6" w14:textId="77777777" w:rsidR="009D7677" w:rsidRDefault="009D7677" w:rsidP="009D7677">
      <w:pPr>
        <w:pStyle w:val="TextoNormal"/>
      </w:pPr>
    </w:p>
    <w:p w14:paraId="04598E20" w14:textId="77777777" w:rsidR="009D7677" w:rsidRDefault="009D7677" w:rsidP="009D7677">
      <w:pPr>
        <w:pStyle w:val="TextoNormal"/>
      </w:pPr>
      <w:r>
        <w:t>“Dada cuenta; estando concluso el presente procedimiento y antes de proceder a su señalamiento para votación y fallo, óigase a las partes por plazo común de diez días sobre la incidencia que pudiera tener el pronunciamiento del Tribunal Constitucional sobre la cues</w:t>
      </w:r>
      <w:r>
        <w:lastRenderedPageBreak/>
        <w:t xml:space="preserve">tión de inconstitucionalidad planteada por este tribunal sobre el inciso ‘sin que en ningún caso pueda ser inferior a veinticinco mil euros’ del artículo 17 </w:t>
      </w:r>
      <w:r w:rsidRPr="009D7677">
        <w:rPr>
          <w:i/>
        </w:rPr>
        <w:t>bis</w:t>
      </w:r>
      <w:r>
        <w:t>.2 b) de la Ley orgánica 8/2007, de financiación de partidos políticos, en el recurso contencioso-administrativo 2-456-2021 y que ha quedado registrada con el núm. 1019-2023”.</w:t>
      </w:r>
    </w:p>
    <w:p w14:paraId="014750D3" w14:textId="77777777" w:rsidR="009D7677" w:rsidRDefault="009D7677" w:rsidP="009D7677">
      <w:pPr>
        <w:pStyle w:val="TextoNormal"/>
      </w:pPr>
    </w:p>
    <w:p w14:paraId="6F76C4D6" w14:textId="77777777" w:rsidR="009D7677" w:rsidRDefault="009D7677" w:rsidP="009D7677">
      <w:pPr>
        <w:pStyle w:val="TextoNormal"/>
      </w:pPr>
      <w:r>
        <w:t>e) Por escrito de 14 de marzo de 2023, la Abogacía del Estado puso de manifiesto que la cuestión de inconstitucionalidad planteada en ese otro recurso se refería a un precepto diferente al aplicable en el caso de autos, “por lo que la resolución de la cuestión de inconstitucionalidad planteada en el seno del recurso 456-2021 no tendría incidencia en el presente recurso”.</w:t>
      </w:r>
    </w:p>
    <w:p w14:paraId="17D99FCF" w14:textId="77777777" w:rsidR="009D7677" w:rsidRDefault="009D7677" w:rsidP="009D7677">
      <w:pPr>
        <w:pStyle w:val="TextoNormal"/>
      </w:pPr>
    </w:p>
    <w:p w14:paraId="53B37749" w14:textId="77777777" w:rsidR="009D7677" w:rsidRDefault="009D7677" w:rsidP="009D7677">
      <w:pPr>
        <w:pStyle w:val="TextoNormal"/>
      </w:pPr>
      <w:r>
        <w:t>f) La formación política recurrente presentó escrito de alegaciones de fecha 15 de marzo de 2023 en el que solicita la elevación de una nueva cuestión de inconstitucionalidad para la acumulación a la núm. 1019-2023, o, subsidiariamente, la suspensión del proceso hasta el pronunciamiento del Tribunal Constitucional en la cuestión de inconstitucionalidad 1019-2023. Adicionalmente, reitera su solicitud de planteamiento de cuestión de inconstitucionalidad en relación con el art. 193.2 LOREG.</w:t>
      </w:r>
    </w:p>
    <w:p w14:paraId="7E4FC01F" w14:textId="77777777" w:rsidR="009D7677" w:rsidRDefault="009D7677" w:rsidP="009D7677">
      <w:pPr>
        <w:pStyle w:val="TextoNormal"/>
      </w:pPr>
    </w:p>
    <w:p w14:paraId="62D59C22" w14:textId="77777777" w:rsidR="009D7677" w:rsidRDefault="009D7677" w:rsidP="009D7677">
      <w:pPr>
        <w:pStyle w:val="TextoNormal"/>
      </w:pPr>
      <w:r>
        <w:t>g) Por diligencia de ordenación de 29 de marzo de 2023 se tuvieron por recibidos los anteriores escritos y pasaron las actuaciones al magistrado ponente, y por providencia de 18 de mayo de 2023 se señaló para votación y fallo del recurso el día 6 de junio de 2023.</w:t>
      </w:r>
    </w:p>
    <w:p w14:paraId="51A9D2F3" w14:textId="77777777" w:rsidR="009D7677" w:rsidRDefault="009D7677" w:rsidP="009D7677">
      <w:pPr>
        <w:pStyle w:val="TextoNormal"/>
      </w:pPr>
    </w:p>
    <w:p w14:paraId="76CB3973" w14:textId="77777777" w:rsidR="009D7677" w:rsidRDefault="009D7677" w:rsidP="009D7677">
      <w:pPr>
        <w:pStyle w:val="TextoNormal"/>
      </w:pPr>
      <w:r>
        <w:t>h) El 13 de junio de 2023 el Tribunal dictó nueva providencia, con el siguiente tenor:</w:t>
      </w:r>
    </w:p>
    <w:p w14:paraId="45B1B4A8" w14:textId="77777777" w:rsidR="009D7677" w:rsidRDefault="009D7677" w:rsidP="009D7677">
      <w:pPr>
        <w:pStyle w:val="TextoNormal"/>
      </w:pPr>
    </w:p>
    <w:p w14:paraId="1885FA7B" w14:textId="77777777" w:rsidR="009D7677" w:rsidRDefault="009D7677" w:rsidP="009D7677">
      <w:pPr>
        <w:pStyle w:val="TextoNormal"/>
      </w:pPr>
      <w:r>
        <w:t xml:space="preserve">“Dada cuenta; visto el estado de las presentes actuaciones, a tenor de lo solicitado por el recurrente sobre el planteamiento de cuestión de inconstitucionalidad y la conformidad con dicha solicitud manifestada por el abogado del Estado en su escrito de contestación a la demanda, de conformidad con lo dispuesto en el artículo 35 de la Ley Orgánica 2/1979, de 3 de octubre, se abre un plazo común e improrrogable de diez días para que el Ministerio Fiscal pueda alegar lo que considere oportuno, y las partes procesales, si lo consideran conveniente, hacer alegaciones adicionales a las ya formuladas. En ambos casos sobre el planteamiento de cuestión de inconstitucionalidad basada en la falta de proporcionalidad de la sanción prevista en el artículo 17 </w:t>
      </w:r>
      <w:r w:rsidRPr="009D7677">
        <w:rPr>
          <w:i/>
        </w:rPr>
        <w:t>bis</w:t>
      </w:r>
      <w:r>
        <w:t>.3 b) de la Ley Orgánica 8/2007, de 4 de julio, sobre financiación de partidos políticos”.</w:t>
      </w:r>
    </w:p>
    <w:p w14:paraId="4563E84E" w14:textId="77777777" w:rsidR="009D7677" w:rsidRDefault="009D7677" w:rsidP="009D7677">
      <w:pPr>
        <w:pStyle w:val="TextoNormal"/>
      </w:pPr>
    </w:p>
    <w:p w14:paraId="4AA9E745" w14:textId="77777777" w:rsidR="009D7677" w:rsidRDefault="009D7677" w:rsidP="009D7677">
      <w:pPr>
        <w:pStyle w:val="TextoNormal"/>
      </w:pPr>
      <w:r>
        <w:t xml:space="preserve">i) Por escrito de 21 de junio de 2023, el Ministerio Fiscal presentó sus alegaciones, considerando que concurren los requisitos procesales para el planteamiento de cuestión de inconstitucionalidad en relación con el art. 17 </w:t>
      </w:r>
      <w:r w:rsidRPr="009D7677">
        <w:rPr>
          <w:i/>
        </w:rPr>
        <w:t>bis</w:t>
      </w:r>
      <w:r>
        <w:t xml:space="preserve">.3 b) (aplicabilidad y relevancia) “toda vez que es soporte normativo de la sanción impuesta” al recurrente. Y recordando la doctrina constitucional al respecto, considera, “de forma somera” toda vez que la formulación de la posición definitiva del Ministerio Fiscal corresponderá a la Fiscalía General del Estado de acuerdo con la Circular 2/1999, que el inciso cuestionado supera los dos primeros pasos del test de proporcionalidad (idoneidad y necesidad), pero “no parece superar” el tercer paso del juicio de proporcionalidad, el llamado test de proporcionalidad estricta. Concluye, en definitiva, que procede plantear cuestión de inconstitucionalidad respecto del art. 17 </w:t>
      </w:r>
      <w:r w:rsidRPr="009D7677">
        <w:rPr>
          <w:i/>
        </w:rPr>
        <w:t>bis</w:t>
      </w:r>
      <w:r>
        <w:t>.3 b) de la Ley Orgánica 8/2007.</w:t>
      </w:r>
    </w:p>
    <w:p w14:paraId="495D3F98" w14:textId="77777777" w:rsidR="009D7677" w:rsidRDefault="009D7677" w:rsidP="009D7677">
      <w:pPr>
        <w:pStyle w:val="TextoNormal"/>
      </w:pPr>
    </w:p>
    <w:p w14:paraId="75722117" w14:textId="77777777" w:rsidR="009D7677" w:rsidRDefault="009D7677" w:rsidP="009D7677">
      <w:pPr>
        <w:pStyle w:val="TextoNormal"/>
      </w:pPr>
      <w:r>
        <w:lastRenderedPageBreak/>
        <w:t>j) El recurrente presentó nuevas alegaciones solicitando también el planteamiento de cuestión de inconstitucionalidad respecto del nuevo precepto, por vulneración del principio de proporcionalidad establecido en el art. 25 CE.</w:t>
      </w:r>
    </w:p>
    <w:p w14:paraId="74E1A215" w14:textId="77777777" w:rsidR="009D7677" w:rsidRDefault="009D7677" w:rsidP="009D7677">
      <w:pPr>
        <w:pStyle w:val="TextoNormal"/>
      </w:pPr>
    </w:p>
    <w:p w14:paraId="27B972A9" w14:textId="09E92722" w:rsidR="009D7677" w:rsidRDefault="009D7677" w:rsidP="009D7677">
      <w:pPr>
        <w:pStyle w:val="TextoNormal"/>
      </w:pPr>
      <w:r>
        <w:t>k) Por diligencia de ordenación de 3 de julio de 2023 se tuvo por caducado en el trámite de estas segundas alegaciones al abogado del Estado.</w:t>
      </w:r>
    </w:p>
    <w:p w14:paraId="15D12983" w14:textId="77777777" w:rsidR="009D7677" w:rsidRDefault="009D7677" w:rsidP="009D7677">
      <w:pPr>
        <w:pStyle w:val="TextoNormal"/>
      </w:pPr>
    </w:p>
    <w:p w14:paraId="766C8A14" w14:textId="77777777" w:rsidR="009D7677" w:rsidRDefault="009D7677" w:rsidP="009D7677">
      <w:pPr>
        <w:pStyle w:val="TextoNormal"/>
      </w:pPr>
      <w:r w:rsidRPr="009D7677">
        <w:rPr>
          <w:rStyle w:val="NumeroAFNegritaCaracter"/>
        </w:rPr>
        <w:t>3</w:t>
      </w:r>
      <w:r>
        <w:t xml:space="preserve">. Por auto de 11 de julio de 2023 la Sección acordó plantear cuestión de inconstitucionalidad en relación con el inciso “sin que en ningún caso pueda ser inferior a cinco mil euros” del art. 17 </w:t>
      </w:r>
      <w:r w:rsidRPr="009D7677">
        <w:rPr>
          <w:i/>
        </w:rPr>
        <w:t>bis</w:t>
      </w:r>
      <w:r>
        <w:t>.3 b) de la Ley Orgánica 8/2007, de 4 de julio, sobre financiación de los partidos políticos.</w:t>
      </w:r>
    </w:p>
    <w:p w14:paraId="617E5A60" w14:textId="77777777" w:rsidR="009D7677" w:rsidRDefault="009D7677" w:rsidP="009D7677">
      <w:pPr>
        <w:pStyle w:val="TextoNormal"/>
      </w:pPr>
    </w:p>
    <w:p w14:paraId="0922FCB9" w14:textId="77777777" w:rsidR="009D7677" w:rsidRDefault="009D7677" w:rsidP="009D7677">
      <w:pPr>
        <w:pStyle w:val="TextoNormal"/>
      </w:pPr>
      <w:r>
        <w:t xml:space="preserve">El auto comienza recordando los antecedentes del caso. Recuerda también la cuestión de inconstitucionalidad planteada en el recurso 456-2021, que ha dado lugar a la cuestión núm. 1019-2023 ante este tribunal. En aquel auto ya se puso de manifiesto que varios apartados del art. 17 </w:t>
      </w:r>
      <w:r w:rsidRPr="009D7677">
        <w:rPr>
          <w:i/>
        </w:rPr>
        <w:t>bis</w:t>
      </w:r>
      <w:r>
        <w:t xml:space="preserve"> de la Ley Orgánica 8/2007 fijaban importes mínimos que podían ser contrarios a la Constitución. Uno de esos apartados era el entonces aplicable y relevante; otro es el aquí concernido y otro más es el aplicable en el recurso 172-2022 (que ha dado lugar a la cuestión de inconstitucionalidad núm. 5207-2023 ante este tribunal). Además, el oficio de la presidenta del Tribunal de Cuentas evidencia que el problema constitucional suscitado se plantea con relativa frecuencia, y no es un caso aislado.</w:t>
      </w:r>
    </w:p>
    <w:p w14:paraId="7C5F6EE2" w14:textId="77777777" w:rsidR="009D7677" w:rsidRDefault="009D7677" w:rsidP="009D7677">
      <w:pPr>
        <w:pStyle w:val="TextoNormal"/>
      </w:pPr>
    </w:p>
    <w:p w14:paraId="370B7733" w14:textId="77777777" w:rsidR="009D7677" w:rsidRDefault="009D7677" w:rsidP="009D7677">
      <w:pPr>
        <w:pStyle w:val="TextoNormal"/>
      </w:pPr>
      <w:r>
        <w:t>Reiterando los argumentos del auto de planteamiento de la cuestión de inconstitucionalidad anterior, el auto argumenta que el límite mínimo puede vulnerar el art. 25.1 CE (derecho a la legalidad penal), en conexión con el principio de proporcionalidad. Reconoce amplio margen de apreciación al legislador democrático al definir infracciones y sanciones, pero el Tribunal Constitucional ha señalado el tope de la proporcionalidad. Cita la STC 136/1999, de 20 de julio y el art. 49 de la Carta de los derechos fundamentales de la Unión Europea.</w:t>
      </w:r>
    </w:p>
    <w:p w14:paraId="725BB0FE" w14:textId="77777777" w:rsidR="009D7677" w:rsidRDefault="009D7677" w:rsidP="009D7677">
      <w:pPr>
        <w:pStyle w:val="TextoNormal"/>
      </w:pPr>
    </w:p>
    <w:p w14:paraId="11CA3D84" w14:textId="77777777" w:rsidR="009D7677" w:rsidRDefault="009D7677" w:rsidP="009D7677">
      <w:pPr>
        <w:pStyle w:val="TextoNormal"/>
      </w:pPr>
      <w:r>
        <w:t>Aunque la norma cuestionada no tipifica una pena sino una sanción administrativa, la doctrina constitucional ha extendido las garantías del citado art. 25 CE al derecho administrativo sancionador. El principio de proporcionalidad constituye uno de los pilares del derecho administrativo, nacional y supranacional. La noma cuestionada carece de justificación objetiva y es por ello “arbitraria” en el sentido del art. 9.3 CE.</w:t>
      </w:r>
    </w:p>
    <w:p w14:paraId="1551BB5B" w14:textId="77777777" w:rsidR="009D7677" w:rsidRDefault="009D7677" w:rsidP="009D7677">
      <w:pPr>
        <w:pStyle w:val="TextoNormal"/>
      </w:pPr>
    </w:p>
    <w:p w14:paraId="76CB1DC4" w14:textId="77777777" w:rsidR="009D7677" w:rsidRDefault="009D7677" w:rsidP="009D7677">
      <w:pPr>
        <w:pStyle w:val="TextoNormal"/>
      </w:pPr>
      <w:r>
        <w:t>En fin, le parece que la “manifiesta desproporción” se produce al ser superior el límite mínimo cuestionado (5000 €) al “total de lo gastado, con o sin exceso” por el partido sancionado.</w:t>
      </w:r>
    </w:p>
    <w:p w14:paraId="1D645339" w14:textId="77777777" w:rsidR="009D7677" w:rsidRDefault="009D7677" w:rsidP="009D7677">
      <w:pPr>
        <w:pStyle w:val="TextoNormal"/>
      </w:pPr>
    </w:p>
    <w:p w14:paraId="0D1D327B" w14:textId="77777777" w:rsidR="009D7677" w:rsidRDefault="009D7677" w:rsidP="009D7677">
      <w:pPr>
        <w:pStyle w:val="TextoNormal"/>
      </w:pPr>
      <w:r>
        <w:t>En cuanto al requisito de la relevancia, el límite mínimo cuestionado es aplicable al caso. La propia resolución sancionadora del Tribunal de Cuentas dice que, con arreglo al criterio general, la sanción hubiera debido ser de 182,94 € (el doble del exceso de gasto sancionado), pero que el inciso cuestionado le impide bajar de 5000 €.</w:t>
      </w:r>
    </w:p>
    <w:p w14:paraId="3D418730" w14:textId="77777777" w:rsidR="009D7677" w:rsidRDefault="009D7677" w:rsidP="009D7677">
      <w:pPr>
        <w:pStyle w:val="TextoNormal"/>
      </w:pPr>
    </w:p>
    <w:p w14:paraId="678B3D18" w14:textId="1A73523F" w:rsidR="009D7677" w:rsidRDefault="009D7677" w:rsidP="009D7677">
      <w:pPr>
        <w:pStyle w:val="TextoNormal"/>
      </w:pPr>
      <w:r>
        <w:t xml:space="preserve">A la aplicabilidad del inciso final del art. 17 </w:t>
      </w:r>
      <w:r w:rsidRPr="009D7677">
        <w:rPr>
          <w:i/>
        </w:rPr>
        <w:t>bis</w:t>
      </w:r>
      <w:r>
        <w:t xml:space="preserve">.3 b) cuestionado no se opone la alegación del recurrente sobre la inconstitucionalidad del art. 193.2 LOREG. Los argumentos de la parte no han convencido al Tribunal, y, aunque este precepto fuera inconstitucional, </w:t>
      </w:r>
      <w:r>
        <w:lastRenderedPageBreak/>
        <w:t xml:space="preserve">el resultado no sería la inaplicabilidad del art. 17 </w:t>
      </w:r>
      <w:r w:rsidRPr="009D7677">
        <w:rPr>
          <w:i/>
        </w:rPr>
        <w:t>bis</w:t>
      </w:r>
      <w:r>
        <w:t>.3 b), sino la necesidad de cuestionar también el citado art. 193.2.</w:t>
      </w:r>
    </w:p>
    <w:p w14:paraId="54C392BA" w14:textId="77777777" w:rsidR="009D7677" w:rsidRDefault="009D7677" w:rsidP="009D7677">
      <w:pPr>
        <w:pStyle w:val="TextoNormal"/>
      </w:pPr>
    </w:p>
    <w:p w14:paraId="65788500" w14:textId="3B1B2688" w:rsidR="009D7677" w:rsidRDefault="009D7677" w:rsidP="009D7677">
      <w:pPr>
        <w:pStyle w:val="TextoNormal"/>
      </w:pPr>
      <w:r w:rsidRPr="009D7677">
        <w:rPr>
          <w:rStyle w:val="NumeroAFNegritaCaracter"/>
        </w:rPr>
        <w:t>4</w:t>
      </w:r>
      <w:r>
        <w:t>. Por providencia de 12 de septiembre de 2023, el Pleno del Tribunal Constitucional acordó, a los efectos que determina el art. 37.1 de la Ley Orgánica del Tribunal Constitucional (LOTC), oír al fiscal general del Estado para que, en el plazo de diez días, alegue lo que considere conveniente acerca de la admisibilidad de la cuestión de inconstitucionalidad, en relación con el cumplimiento de los requisitos procesales (art. 35.2 LOTC).</w:t>
      </w:r>
    </w:p>
    <w:p w14:paraId="32944432" w14:textId="77777777" w:rsidR="009D7677" w:rsidRDefault="009D7677" w:rsidP="009D7677">
      <w:pPr>
        <w:pStyle w:val="TextoNormal"/>
      </w:pPr>
    </w:p>
    <w:p w14:paraId="136353A4" w14:textId="77777777" w:rsidR="009D7677" w:rsidRDefault="009D7677" w:rsidP="009D7677">
      <w:pPr>
        <w:pStyle w:val="TextoNormal"/>
      </w:pPr>
      <w:r w:rsidRPr="009D7677">
        <w:rPr>
          <w:rStyle w:val="NumeroAFNegritaCaracter"/>
        </w:rPr>
        <w:t>5</w:t>
      </w:r>
      <w:r>
        <w:t>. El fiscal general del Estado presentó sus alegaciones el 9 de octubre de 2023 interesando la inadmisión de la cuestión de inconstitucionalidad.</w:t>
      </w:r>
    </w:p>
    <w:p w14:paraId="7BC590FA" w14:textId="77777777" w:rsidR="009D7677" w:rsidRDefault="009D7677" w:rsidP="009D7677">
      <w:pPr>
        <w:pStyle w:val="TextoNormal"/>
      </w:pPr>
    </w:p>
    <w:p w14:paraId="78AB4D03" w14:textId="77777777" w:rsidR="009D7677" w:rsidRDefault="009D7677" w:rsidP="009D7677">
      <w:pPr>
        <w:pStyle w:val="TextoNormal"/>
      </w:pPr>
      <w:r>
        <w:t>a) Considera, en primer lugar, que el trámite de alegaciones del art. 35.2 LOTC no ha sido adecuadamente cumplimentado porque el abogado del Estado no tuvo la oportunidad de formular alegaciones al no constar que se le haya notificado la providencia de 13 de junio.</w:t>
      </w:r>
    </w:p>
    <w:p w14:paraId="1770CA7A" w14:textId="77777777" w:rsidR="009D7677" w:rsidRDefault="009D7677" w:rsidP="009D7677">
      <w:pPr>
        <w:pStyle w:val="TextoNormal"/>
      </w:pPr>
    </w:p>
    <w:p w14:paraId="2D84929C" w14:textId="77777777" w:rsidR="009D7677" w:rsidRDefault="009D7677" w:rsidP="009D7677">
      <w:pPr>
        <w:pStyle w:val="TextoNormal"/>
      </w:pPr>
      <w:r>
        <w:t>b) Añade, en segundo lugar, que el juicio de aplicabilidad está defectuosamente formulado por confusión en la selección de la norma aplicable, posiblemente derivada de una defectuosa técnica legislativa.</w:t>
      </w:r>
    </w:p>
    <w:p w14:paraId="5F50CF18" w14:textId="77777777" w:rsidR="009D7677" w:rsidRDefault="009D7677" w:rsidP="009D7677">
      <w:pPr>
        <w:pStyle w:val="TextoNormal"/>
      </w:pPr>
    </w:p>
    <w:p w14:paraId="0872171A" w14:textId="77777777" w:rsidR="009D7677" w:rsidRDefault="009D7677" w:rsidP="009D7677">
      <w:pPr>
        <w:pStyle w:val="TextoNormal"/>
      </w:pPr>
      <w:r>
        <w:t xml:space="preserve">El art. 17 </w:t>
      </w:r>
      <w:r w:rsidRPr="009D7677">
        <w:rPr>
          <w:i/>
        </w:rPr>
        <w:t>bis</w:t>
      </w:r>
      <w:r>
        <w:t>.3 de la Ley Orgánica sobre financiación de los partidos políticos regula las sanciones aplicables por la comisión de las infracciones “leves”. Su subapartado b), donde se encuentra el inciso cuestionado, tipifica la sanción a imponer como consecuencia de la comisión de “la infracción prevista en el artículo 17, apartado tres b)”. Pero este art. 17.3 b) regula las infracciones “graves”, no las “leves”, tipificadas en el art. 17.4.</w:t>
      </w:r>
    </w:p>
    <w:p w14:paraId="6D30EC93" w14:textId="77777777" w:rsidR="009D7677" w:rsidRDefault="009D7677" w:rsidP="009D7677">
      <w:pPr>
        <w:pStyle w:val="TextoNormal"/>
      </w:pPr>
    </w:p>
    <w:p w14:paraId="603DC71A" w14:textId="4E2E3649" w:rsidR="009D7677" w:rsidRDefault="009D7677" w:rsidP="009D7677">
      <w:pPr>
        <w:pStyle w:val="TextoNormal"/>
      </w:pPr>
      <w:r>
        <w:t xml:space="preserve">La resolución administrativa impugnada consideró a la formación política recurrente responsable de una infracción leve del art. 17.4 b), y sin embargo la sancionó con la multa del art. 17 </w:t>
      </w:r>
      <w:r w:rsidRPr="009D7677">
        <w:rPr>
          <w:i/>
        </w:rPr>
        <w:t>bis</w:t>
      </w:r>
      <w:r>
        <w:t>.3 b) prevista para la infracción “grave” del art. 17.3 b). En la medida en que el auto de planteamiento cuestiona la constitucionalidad de un precepto no indiscutiblemente aplicable al caso concreto, sin justificar, frente a la duda razonable de aplicabilidad que surge del texto de la ley, dicha aplicación, el juicio de aplicabilidad está mal formulado y la cuestión de inconstitucionalidad se formula de modo abstracto, por lo que debe ser inadmitida.</w:t>
      </w:r>
    </w:p>
    <w:p w14:paraId="4337F63C" w14:textId="77777777" w:rsidR="009D7677" w:rsidRDefault="009D7677" w:rsidP="009D7677">
      <w:pPr>
        <w:pStyle w:val="TextoNormal"/>
      </w:pPr>
    </w:p>
    <w:p w14:paraId="50E5C763" w14:textId="61A62C34" w:rsidR="009D7677" w:rsidRDefault="009D7677" w:rsidP="009D7677">
      <w:pPr>
        <w:pStyle w:val="TextoNormal"/>
      </w:pPr>
      <w:r w:rsidRPr="009D7677">
        <w:rPr>
          <w:rStyle w:val="NumeroAFNegritaCaracter"/>
        </w:rPr>
        <w:t>6</w:t>
      </w:r>
      <w:r>
        <w:t>. Por providencia de 21 de noviembre de 2023, el Pleno del Tribunal, a propuesta de la Sección Segunda, acordó tener por formuladas por el fiscal general del Estado las alegaciones interesadas por la providencia de 12 de septiembre, y admitir a trámite la cuestión de inconstitucionalidad; reservar para sí, de conformidad con el artículo 10.1 c) LOTC, el conocimiento de la cuestión; dar traslado de las actuaciones recibidas, conforme establece el art. 37.3 LOTC, al Congreso de los Diputados y al Senado, al Gobierno y al fiscal general del Estado, al objeto de que, en el improrrogable plazo de quince días, puedan personarse en el proceso y formular las alegaciones que estimasen convenientes; comunicar la admisión a trámite a la Sección Cuarta de la Sala de lo Contencioso-Administrativo del Tribunal Supremo a fin de que, de conformidad con lo dispuesto en el art. 35.3 LOTC, permanezca suspendido el proceso hasta que el Tribunal resuelva defini</w:t>
      </w:r>
      <w:r>
        <w:lastRenderedPageBreak/>
        <w:t>tivamente la cuestión; y publicar la incoación de la cuestión de inconstitucionalidad en el “Boletín Oficial del Estado”.</w:t>
      </w:r>
    </w:p>
    <w:p w14:paraId="32BAF7AA" w14:textId="77777777" w:rsidR="009D7677" w:rsidRDefault="009D7677" w:rsidP="009D7677">
      <w:pPr>
        <w:pStyle w:val="TextoNormal"/>
      </w:pPr>
    </w:p>
    <w:p w14:paraId="4B66D956" w14:textId="4E30A404" w:rsidR="009D7677" w:rsidRDefault="009D7677" w:rsidP="009D7677">
      <w:pPr>
        <w:pStyle w:val="TextoNormal"/>
      </w:pPr>
      <w:r w:rsidRPr="009D7677">
        <w:rPr>
          <w:rStyle w:val="NumeroAFNegritaCaracter"/>
        </w:rPr>
        <w:t>7</w:t>
      </w:r>
      <w:r>
        <w:t>. Por escritos registrados el 30 de noviembre y el 13 de diciembre de 2023 el Congreso de los Diputados y el Senado comunicaron los acuerdos adoptados por sus mesas sobre personación en el presente proceso constitucional y ofrecimiento de colaboración a los efectos del art. 88.1 LOTC.</w:t>
      </w:r>
    </w:p>
    <w:p w14:paraId="18B8E9C1" w14:textId="77777777" w:rsidR="009D7677" w:rsidRDefault="009D7677" w:rsidP="009D7677">
      <w:pPr>
        <w:pStyle w:val="TextoNormal"/>
      </w:pPr>
    </w:p>
    <w:p w14:paraId="6E492169" w14:textId="676374BE" w:rsidR="009D7677" w:rsidRDefault="009D7677" w:rsidP="009D7677">
      <w:pPr>
        <w:pStyle w:val="TextoNormal"/>
      </w:pPr>
      <w:r w:rsidRPr="009D7677">
        <w:rPr>
          <w:rStyle w:val="NumeroAFNegritaCaracter"/>
        </w:rPr>
        <w:t>8</w:t>
      </w:r>
      <w:r>
        <w:t>. Por escrito registrado el 13 de diciembre de 2023, el procurador don Enrique de Antonio Viscor, actuando en nombre y representación del Partido Independiente de Torre Pacheco, y en ejercicio del derecho reconocido en el art. 37.2 LOTC, se personó en la cuestión de inconstitucionalidad en su calidad de parte recurrente en el recurso contencioso-administrativo en el que se planteó la cuestión de inconstitucionalidad.</w:t>
      </w:r>
    </w:p>
    <w:p w14:paraId="42BD5AF2" w14:textId="77777777" w:rsidR="009D7677" w:rsidRDefault="009D7677" w:rsidP="009D7677">
      <w:pPr>
        <w:pStyle w:val="TextoNormal"/>
      </w:pPr>
    </w:p>
    <w:p w14:paraId="1F922399" w14:textId="446C5942" w:rsidR="009D7677" w:rsidRDefault="009D7677" w:rsidP="009D7677">
      <w:pPr>
        <w:pStyle w:val="TextoNormal"/>
      </w:pPr>
      <w:r w:rsidRPr="009D7677">
        <w:rPr>
          <w:rStyle w:val="NumeroAFNegritaCaracter"/>
        </w:rPr>
        <w:t>9</w:t>
      </w:r>
      <w:r>
        <w:t>. Por escrito registrado el 18 de diciembre siguiente, el abogado del Estado, en representación del Gobierno de la Nación, se personó en el procedimiento y solicitó que se dicte una resolución conforme a Derecho.</w:t>
      </w:r>
    </w:p>
    <w:p w14:paraId="6E8061E6" w14:textId="77777777" w:rsidR="009D7677" w:rsidRDefault="009D7677" w:rsidP="009D7677">
      <w:pPr>
        <w:pStyle w:val="TextoNormal"/>
      </w:pPr>
    </w:p>
    <w:p w14:paraId="470AD455" w14:textId="77777777" w:rsidR="009D7677" w:rsidRDefault="009D7677" w:rsidP="009D7677">
      <w:pPr>
        <w:pStyle w:val="TextoNormal"/>
      </w:pPr>
      <w:r w:rsidRPr="009D7677">
        <w:rPr>
          <w:rStyle w:val="NumeroAFNegritaCaracter"/>
        </w:rPr>
        <w:t>10</w:t>
      </w:r>
      <w:r>
        <w:t>. El fiscal general del Estado presentó nuevas alegaciones el 16 de enero de 2024, sin perjuicio de reiterar lo interesado en su anterior dictamen de 9 de octubre de 2023.</w:t>
      </w:r>
    </w:p>
    <w:p w14:paraId="310FDE47" w14:textId="77777777" w:rsidR="009D7677" w:rsidRDefault="009D7677" w:rsidP="009D7677">
      <w:pPr>
        <w:pStyle w:val="TextoNormal"/>
      </w:pPr>
    </w:p>
    <w:p w14:paraId="5BD29AF2" w14:textId="77777777" w:rsidR="009D7677" w:rsidRDefault="009D7677" w:rsidP="009D7677">
      <w:pPr>
        <w:pStyle w:val="TextoNormal"/>
      </w:pPr>
      <w:r>
        <w:t>Con cita de la STC 74/2022, de 14 de junio, FJ 3 B), recuerda que el principio de proporcionalidad es “inherente al principio de legalidad sancionadora” del art. 25.1 CE y por tanto “plenamente aplicable al ámbito sancionador administrativo” y exige un “equilibrio entre la gravedad de las infracciones y la intensidad de las consecuencias sancionadoras”, así como que “al fijar el alcance de la sanción se tengan en cuenta las circunstancias individuales del caso concretos”. Al amparo de esta doctrina, argumenta que el precepto cuestionado es contrario al principio de proporcionalidad porque el límite mínimo establecido por el legislador “impide adecuar la sanción a las circunstancias concurrentes del caso concreto”.</w:t>
      </w:r>
    </w:p>
    <w:p w14:paraId="42A97646" w14:textId="77777777" w:rsidR="009D7677" w:rsidRDefault="009D7677" w:rsidP="009D7677">
      <w:pPr>
        <w:pStyle w:val="TextoNormal"/>
      </w:pPr>
    </w:p>
    <w:p w14:paraId="76C93685" w14:textId="77777777" w:rsidR="009D7677" w:rsidRDefault="009D7677" w:rsidP="009D7677">
      <w:pPr>
        <w:pStyle w:val="TextoNormal"/>
      </w:pPr>
      <w:r>
        <w:t>Cita también el ATC 332/2005, de 13 de septiembre, FJ 4 a), según el cual el canon de proporcionalidad de penas y sanciones exige indagar, en primer lugar, si los bienes protegidos son “suficientemente relevantes”; en segundo lugar, si la pena o sanción es “idónea y necesaria para alcanzar los fines” indicados; y, finalmente, “si el precepto es desproporcionado desde la perspectiva de la comparación entre la entidad del delito y la entidad de la pena”. Bajo estas premisas examina el sistema sancionador de la Ley Orgánica sobre financiación de los partidos políticos, que persigue, según su exposición de motivos, un fin constitucionalmente legítimo como es la financiación equitativa de todas las formaciones políticas que concurren a un proceso electoral, y con ello el respeto al derecho fundamental de participación política del art. 23.1 CE. Sin embargo, aprecia en el inciso cuestionado un desequilibrio patente y excesivo o irrazonable entre la sanción y la finalidad de la norma. Al no permitir el límite mínimo cuestionado graduar o atemperar la sanción a casos de gastos electorales de escasa cuantía y por ello de mínima trascendencia para el bien jurídico protegido, desalienta el derecho de participación política del art. 23.1 CE y vulnera el valor justicia. Se produce, en definitiva, “un desequilibrio patente y excesivo o irrazonable entre la sanción y la finalidad de la norma” (STC 136/1999, FJ 23) o un “pa</w:t>
      </w:r>
      <w:r>
        <w:lastRenderedPageBreak/>
        <w:t>tente derroche inútil de coacción que convierte la norma en arbitraria y socava los principios elementales de justicia inherentes a la dignidad de la persona y al Estado de derecho” (STC 55/1996, de 28 de marzo, FFJJ 6 y ss).</w:t>
      </w:r>
    </w:p>
    <w:p w14:paraId="70F78215" w14:textId="77777777" w:rsidR="009D7677" w:rsidRDefault="009D7677" w:rsidP="009D7677">
      <w:pPr>
        <w:pStyle w:val="TextoNormal"/>
      </w:pPr>
    </w:p>
    <w:p w14:paraId="3F6A307A" w14:textId="77777777" w:rsidR="009D7677" w:rsidRDefault="009D7677" w:rsidP="009D7677">
      <w:pPr>
        <w:pStyle w:val="TextoNormal"/>
      </w:pPr>
      <w:r>
        <w:t>Aprecia, en definitiva, vulneración del principio de legalidad del art. 25.1 CE en relación con el principio de proporcionalidad, siendo al legislador al que corresponde establecer la sanción adecuada con el principio de proporcionalidad.</w:t>
      </w:r>
    </w:p>
    <w:p w14:paraId="121EB903" w14:textId="77777777" w:rsidR="009D7677" w:rsidRDefault="009D7677" w:rsidP="009D7677">
      <w:pPr>
        <w:pStyle w:val="TextoNormal"/>
      </w:pPr>
    </w:p>
    <w:p w14:paraId="6FA3B1D8" w14:textId="68ED206E" w:rsidR="009D7677" w:rsidRDefault="009D7677" w:rsidP="009D7677">
      <w:pPr>
        <w:pStyle w:val="TextoNormal"/>
      </w:pPr>
      <w:r>
        <w:t>Termina su escrito solicitando, con carácter principal, la inadmisión de la cuestión de inconstitucionalidad, en línea con lo solicitado en su primer escrito de alegaciones, y, subsidiariamente, la declaración de inconstitucionalidad del inciso cuestionado por vulneración del art. 25.1 CE, en relación con el principio de proporcionalidad.</w:t>
      </w:r>
    </w:p>
    <w:p w14:paraId="231FC10F" w14:textId="77777777" w:rsidR="009D7677" w:rsidRDefault="009D7677" w:rsidP="009D7677">
      <w:pPr>
        <w:pStyle w:val="TextoNormal"/>
      </w:pPr>
    </w:p>
    <w:p w14:paraId="2F76A06C" w14:textId="5F8E2550" w:rsidR="009D7677" w:rsidRDefault="009D7677" w:rsidP="009D7677">
      <w:pPr>
        <w:pStyle w:val="TextoNormal"/>
      </w:pPr>
      <w:r w:rsidRPr="009D7677">
        <w:rPr>
          <w:rStyle w:val="NumeroAFNegritaCaracter"/>
        </w:rPr>
        <w:t>11</w:t>
      </w:r>
      <w:r>
        <w:t>. Por escrito registrado el 30 de enero de 2024, el Partido Independiente de Torre Pacheco formuló alegaciones a la cuestión de inconstitucionalidad. Aprecia una absoluta falta de proporcionalidad entre el mínimo establecido en el inciso cuestionado (cinco mil €), el gasto total (4009,01 €) y el exceso (91,41 €) en que habría incurrido la formación política según la resolución sancionadora. El principio de proporcionalidad de las sanciones exige el necesario equilibrio entre la gravedad de la infracción y la intensidad de la sanción. Solicita, por ello, la declaración de inconstitucionalidad del inciso cuestionado.</w:t>
      </w:r>
    </w:p>
    <w:p w14:paraId="36413674" w14:textId="77777777" w:rsidR="009D7677" w:rsidRDefault="009D7677" w:rsidP="009D7677">
      <w:pPr>
        <w:pStyle w:val="TextoNormal"/>
      </w:pPr>
    </w:p>
    <w:p w14:paraId="7771E157" w14:textId="66DEB306" w:rsidR="009D7677" w:rsidRDefault="009D7677" w:rsidP="009D7677">
      <w:pPr>
        <w:pStyle w:val="TextoNormal"/>
      </w:pPr>
      <w:r w:rsidRPr="009D7677">
        <w:rPr>
          <w:rStyle w:val="NumeroAFNegritaCaracter"/>
        </w:rPr>
        <w:t>12</w:t>
      </w:r>
      <w:r>
        <w:t>. Mediante providencia de 23 de abril de 2024, se señaló para deliberación y votación de la presente sentencia el día 24 del mismo mes y año.</w:t>
      </w:r>
    </w:p>
    <w:p w14:paraId="3A5C2523" w14:textId="77777777" w:rsidR="009D7677" w:rsidRDefault="009D7677" w:rsidP="009D7677">
      <w:pPr>
        <w:pStyle w:val="TextoNormal"/>
      </w:pPr>
    </w:p>
    <w:p w14:paraId="51A7BC97" w14:textId="77777777" w:rsidR="009D7677" w:rsidRDefault="009D7677" w:rsidP="009D7677">
      <w:pPr>
        <w:pStyle w:val="TextoNormalNegritaCentrado"/>
        <w:keepNext/>
      </w:pPr>
      <w:r>
        <w:t>II. Fundamentos jurídicos</w:t>
      </w:r>
    </w:p>
    <w:p w14:paraId="15001D7C" w14:textId="4077DEB6" w:rsidR="009D7677" w:rsidRDefault="009D7677" w:rsidP="009D7677">
      <w:pPr>
        <w:pStyle w:val="TextoNormalNegritaCentrado"/>
        <w:keepNext/>
      </w:pPr>
    </w:p>
    <w:p w14:paraId="5F7A03C1" w14:textId="77777777" w:rsidR="009D7677" w:rsidRDefault="009D7677" w:rsidP="009D7677">
      <w:pPr>
        <w:pStyle w:val="TextoNormal"/>
      </w:pPr>
      <w:r w:rsidRPr="009D7677">
        <w:rPr>
          <w:rStyle w:val="NumeroAFNegritaCaracter"/>
        </w:rPr>
        <w:t>1</w:t>
      </w:r>
      <w:r>
        <w:t xml:space="preserve">. </w:t>
      </w:r>
      <w:r w:rsidRPr="009D7677">
        <w:rPr>
          <w:i/>
        </w:rPr>
        <w:t>Objeto del proceso</w:t>
      </w:r>
    </w:p>
    <w:p w14:paraId="76069E25" w14:textId="77777777" w:rsidR="009D7677" w:rsidRDefault="009D7677" w:rsidP="009D7677">
      <w:pPr>
        <w:pStyle w:val="TextoNormal"/>
      </w:pPr>
    </w:p>
    <w:p w14:paraId="794BC6D7" w14:textId="77777777" w:rsidR="009D7677" w:rsidRDefault="009D7677" w:rsidP="009D7677">
      <w:pPr>
        <w:pStyle w:val="TextoNormal"/>
      </w:pPr>
      <w:r>
        <w:t xml:space="preserve">La Sección Cuarta de la Sala Tercera, de lo Contencioso-Administrativo, del Tribunal Supremo promueve cuestión de inconstitucionalidad en relación con el inciso “sin que en ningún caso pueda ser inferior a cinco mil euros” del art. 17 </w:t>
      </w:r>
      <w:r w:rsidRPr="009D7677">
        <w:rPr>
          <w:i/>
        </w:rPr>
        <w:t>bis</w:t>
      </w:r>
      <w:r>
        <w:t>.3 b) de la Ley Orgánica 8/2007, de 4 de julio, sobre financiación de los partidos políticos.</w:t>
      </w:r>
    </w:p>
    <w:p w14:paraId="1571B9D4" w14:textId="77777777" w:rsidR="009D7677" w:rsidRDefault="009D7677" w:rsidP="009D7677">
      <w:pPr>
        <w:pStyle w:val="TextoNormal"/>
      </w:pPr>
    </w:p>
    <w:p w14:paraId="330C15B3" w14:textId="77777777" w:rsidR="009D7677" w:rsidRDefault="009D7677" w:rsidP="009D7677">
      <w:pPr>
        <w:pStyle w:val="TextoNormal"/>
      </w:pPr>
      <w:r>
        <w:t xml:space="preserve">Este art. 17 </w:t>
      </w:r>
      <w:r w:rsidRPr="009D7677">
        <w:rPr>
          <w:i/>
        </w:rPr>
        <w:t>bis</w:t>
      </w:r>
      <w:r>
        <w:t>.3 b) de la Ley Orgánica 8/2007 establece la sanción correspondiente a la infracción consistente en la superación por los partidos políticos, en más de un uno y hasta un tres por ciento, de los límites de gastos electorales previstos en la Ley Orgánica 5/1985, de 19 de junio, del Régimen Electoral General, señalando para ese tipo de conductas “una sanción cuyo importe irá del doble al quíntuplo del exceso del gasto producido, sin que en ningún caso pueda ser inferior a cinco mil euros”, inciso este último al que se ciñe la cuestión de inconstitucionalidad.</w:t>
      </w:r>
    </w:p>
    <w:p w14:paraId="065C8EFE" w14:textId="77777777" w:rsidR="009D7677" w:rsidRDefault="009D7677" w:rsidP="009D7677">
      <w:pPr>
        <w:pStyle w:val="TextoNormal"/>
      </w:pPr>
    </w:p>
    <w:p w14:paraId="510BC84A" w14:textId="77777777" w:rsidR="009D7677" w:rsidRDefault="009D7677" w:rsidP="009D7677">
      <w:pPr>
        <w:pStyle w:val="TextoNormal"/>
      </w:pPr>
      <w:r>
        <w:t xml:space="preserve">Por aplicación de este inciso, en su labor de fiscalización de las cuentas de partidos y formaciones políticas (art. 133 LOREG), el Tribunal de Cuentas impuso al Partido Independiente de Torre Pacheco una sanción de 5000 € por haber incurrido en un exceso de gasto de 91,47 € en las elecciones locales celebradas el 26 de mayo de 2019 en el citado municipio; exceso resultante de aplicar al límite legal de gastos de 3917,54 €, calculado conforme determina el art. 193.2 LOREG, el total de gastos de 4009,01 € realizados por la </w:t>
      </w:r>
      <w:r>
        <w:lastRenderedPageBreak/>
        <w:t xml:space="preserve">citada formación en el proceso electoral. Disconforme con esta sanción, el partido político interesado la recurrió ante el órgano judicial competente, la Sala de lo Contencioso-Administrativo del Tribunal Supremo (art. 18.9 de la Ley Orgánica 8/2007), que, antes de resolver el recurso, nos pregunta si esa cuantía mínima de la sanción que impide aplicar la multa proporcional del doble al quíntuplo del exceso de gasto de 91,47 € previsto con carácter general en el art. 17 </w:t>
      </w:r>
      <w:r w:rsidRPr="009D7677">
        <w:rPr>
          <w:i/>
        </w:rPr>
        <w:t>bis</w:t>
      </w:r>
      <w:r>
        <w:t>.3 b) de la Ley Orgánica 8/2007 es o no conforme con el principio de legalidad sancionadora del art. 25.1 CE, en conexión con el principio de proporcionalidad y de interdicción de la arbitrariedad (art. 9.3 CE).</w:t>
      </w:r>
    </w:p>
    <w:p w14:paraId="0CB08AE7" w14:textId="77777777" w:rsidR="009D7677" w:rsidRDefault="009D7677" w:rsidP="009D7677">
      <w:pPr>
        <w:pStyle w:val="TextoNormal"/>
      </w:pPr>
    </w:p>
    <w:p w14:paraId="3F8955AB" w14:textId="3DA58AD5" w:rsidR="009D7677" w:rsidRDefault="009D7677" w:rsidP="009D7677">
      <w:pPr>
        <w:pStyle w:val="TextoNormal"/>
      </w:pPr>
      <w:r>
        <w:t xml:space="preserve">El fiscal general del Estado solicita con carácter principal la inadmisión de la cuestión de inconstitucionalidad y, subsidiariamente, su estimación. El abogado del Estado apoya, indirectamente, la declaración de inconstitucionalidad. Al contestar el recurso contencioso-administrativo ante la Sala de lo Contencioso-Administrativo del Tribunal Supremo, se mostró conforme con el planteamiento de la cuestión de inconstitucionalidad en consideración a lo interesado por el Tribunal de Cuentas que, por su experiencia en el control de los gastos electorales y sanción de excesos, viene apreciando en sus informes y mociones “falta de proporcionalidad” en estos mínimos fijos establecidos en el régimen sancionador de la Ley Orgánica sobre financiación de los partidos políticos [véase el antecedente 2 c)]. Una vez planteada la cuestión de inconstitucionalidad, actuando ya en representación del Gobierno de la Nación (art. 37.3 LOTC), el abogado del Estado ha solicitado simplemente que se dicte una “resolución conforme a Derecho” (antecedente 9). Por último, apoya igualmente la declaración de inconstitucionalidad el Partido Independiente de Torre Pacheco, que, como parte en el proceso </w:t>
      </w:r>
      <w:r w:rsidRPr="009D7677">
        <w:rPr>
          <w:i/>
        </w:rPr>
        <w:t>a quo</w:t>
      </w:r>
      <w:r>
        <w:t>, ha comparecido y formulado alegaciones ante el Tribunal Constitucional en ejercicio del derecho que le confiere el art. 37.2 LOTC.</w:t>
      </w:r>
    </w:p>
    <w:p w14:paraId="2FF4293D" w14:textId="77777777" w:rsidR="009D7677" w:rsidRDefault="009D7677" w:rsidP="009D7677">
      <w:pPr>
        <w:pStyle w:val="TextoNormal"/>
      </w:pPr>
    </w:p>
    <w:p w14:paraId="6DC2DBF1" w14:textId="77777777" w:rsidR="009D7677" w:rsidRDefault="009D7677" w:rsidP="009D7677">
      <w:pPr>
        <w:pStyle w:val="TextoNormal"/>
      </w:pPr>
      <w:r w:rsidRPr="009D7677">
        <w:rPr>
          <w:rStyle w:val="NumeroAFNegritaCaracter"/>
        </w:rPr>
        <w:t>2</w:t>
      </w:r>
      <w:r>
        <w:t xml:space="preserve">. </w:t>
      </w:r>
      <w:r w:rsidRPr="009D7677">
        <w:rPr>
          <w:i/>
        </w:rPr>
        <w:t>Óbices procesales</w:t>
      </w:r>
    </w:p>
    <w:p w14:paraId="34F95A11" w14:textId="77777777" w:rsidR="009D7677" w:rsidRDefault="009D7677" w:rsidP="009D7677">
      <w:pPr>
        <w:pStyle w:val="TextoNormal"/>
      </w:pPr>
    </w:p>
    <w:p w14:paraId="0AE6E6F4" w14:textId="77777777" w:rsidR="009D7677" w:rsidRDefault="009D7677" w:rsidP="009D7677">
      <w:pPr>
        <w:pStyle w:val="TextoNormal"/>
      </w:pPr>
      <w:r>
        <w:t>El fiscal general del Estado ha solicitado de modo principal la inadmisión de la cuestión de inconstitucionalidad por dos defectos procesales.</w:t>
      </w:r>
    </w:p>
    <w:p w14:paraId="6BAF0B82" w14:textId="77777777" w:rsidR="009D7677" w:rsidRDefault="009D7677" w:rsidP="009D7677">
      <w:pPr>
        <w:pStyle w:val="TextoNormal"/>
      </w:pPr>
    </w:p>
    <w:p w14:paraId="1C0719D1" w14:textId="77777777" w:rsidR="009D7677" w:rsidRDefault="009D7677" w:rsidP="009D7677">
      <w:pPr>
        <w:pStyle w:val="TextoNormal"/>
      </w:pPr>
      <w:r>
        <w:t>a) En primer lugar, alega que la providencia de 13 de junio de 2023 por la que se dio segundo trámite de alegaciones a las partes sobre la pertinencia de plantear cuestión de inconstitucionalidad o sobre el fondo de esta una vez corregidos ciertos defectos advertidos en la primera providencia dictada con este propósito [antecedente 2 h)] no consta notificada al abogado del Estado. Por lo tanto, este no habría tenido oportunidad de formular alegaciones y el trámite de audiencia que impone el art. 35.2 LOTC habría sido cumplimentado de forma defectuosa.</w:t>
      </w:r>
    </w:p>
    <w:p w14:paraId="6D82DDAD" w14:textId="77777777" w:rsidR="009D7677" w:rsidRDefault="009D7677" w:rsidP="009D7677">
      <w:pPr>
        <w:pStyle w:val="TextoNormal"/>
      </w:pPr>
    </w:p>
    <w:p w14:paraId="1B128785" w14:textId="77777777" w:rsidR="009D7677" w:rsidRDefault="009D7677" w:rsidP="009D7677">
      <w:pPr>
        <w:pStyle w:val="TextoNormal"/>
      </w:pPr>
      <w:r>
        <w:t xml:space="preserve">La alegación no puede prosperar porque, como reconoce expresamente el fiscal, consta en las actuaciones remitidas en archivo digital un “recibí” del sistema Lexnet del día 15 de junio de 2023 firmado por el abogado del Estado de formato y contenido idéntico al resto de notificaciones practicadas a la misma parte a lo largo de todo el procedimiento </w:t>
      </w:r>
      <w:r w:rsidRPr="009D7677">
        <w:rPr>
          <w:i/>
        </w:rPr>
        <w:t>a quo</w:t>
      </w:r>
      <w:r>
        <w:t xml:space="preserve"> y que este cumplimentó sin incidencias (certificaciones de fechas 21 de enero, 2 y 30 de marzo y 4 y 14 de julio de 2023). Por lo tanto, del hecho de que el abogado del Estado no formulara esas segundas alegaciones y fuera declarado caducado en el trámite por la Sala promotora de la cuestión [antecedente 2 k)] no puede deducirse una incorrecta o inexistente notificación. Además, según el tenor literal de la providencia este segundo trámite era potestativo para las partes que ya habían formulado alegaciones en el primer trámite, como </w:t>
      </w:r>
      <w:r>
        <w:lastRenderedPageBreak/>
        <w:t>había hecho el abogado del Estado [antecedente 2 e)]. Y, por último, en sus alegaciones ante este tribunal (antecedente 9) el abogado del Estado no ha denunciado defecto alguno en esa comunicación.</w:t>
      </w:r>
    </w:p>
    <w:p w14:paraId="7941D576" w14:textId="77777777" w:rsidR="009D7677" w:rsidRDefault="009D7677" w:rsidP="009D7677">
      <w:pPr>
        <w:pStyle w:val="TextoNormal"/>
      </w:pPr>
    </w:p>
    <w:p w14:paraId="328CEF41" w14:textId="77777777" w:rsidR="009D7677" w:rsidRDefault="009D7677" w:rsidP="009D7677">
      <w:pPr>
        <w:pStyle w:val="TextoNormal"/>
      </w:pPr>
      <w:r>
        <w:t xml:space="preserve">b) En segundo lugar, el fiscal general del Estado considera incorrectamente formulados los juicios de aplicabilidad y relevancia porque el auto de planteamiento no incluye “alusión o motivación alguna” sobre un contexto normativo “confus[o] y difícilmente comprensible”. Se refiere, en particular, a los “patentes defectos de técnica legislativa” del art. 17 </w:t>
      </w:r>
      <w:r w:rsidRPr="009D7677">
        <w:rPr>
          <w:i/>
        </w:rPr>
        <w:t>bis</w:t>
      </w:r>
      <w:r>
        <w:t xml:space="preserve"> de la Ley Orgánica sobre financiación de los partidos políticos. Este artículo, en su apartado 3 b) cuestionado, aunque se refiere a las sanciones aplicables por la comisión de “infracciones leves”, alude luego a la “infracción prevista en el artículo 17, apartado tres b)”, siendo que este apartado “tres b)” del art. 17 contiene una infracción “grave”, no leve. El fiscal reconoce que en el caso </w:t>
      </w:r>
      <w:r w:rsidRPr="009D7677">
        <w:rPr>
          <w:i/>
        </w:rPr>
        <w:t>a quo</w:t>
      </w:r>
      <w:r>
        <w:t xml:space="preserve"> el Tribunal de Cuentas subsumió la conducta del partido recurrente en la infracción “leve” del art. 17.4 y le impuso la sanción del art. 17 </w:t>
      </w:r>
      <w:r w:rsidRPr="009D7677">
        <w:rPr>
          <w:i/>
        </w:rPr>
        <w:t>bis</w:t>
      </w:r>
      <w:r>
        <w:t xml:space="preserve">.3 b), aquí cuestionado. Sin embargo, el Tribunal Supremo “no cuestionó esta aplicación” del art. 17 </w:t>
      </w:r>
      <w:r w:rsidRPr="009D7677">
        <w:rPr>
          <w:i/>
        </w:rPr>
        <w:t>bis</w:t>
      </w:r>
      <w:r>
        <w:t>.3 b), cuando podría haber concluido que el precepto cuestionado no era “de aplicación” al caso.</w:t>
      </w:r>
    </w:p>
    <w:p w14:paraId="59004B05" w14:textId="77777777" w:rsidR="009D7677" w:rsidRDefault="009D7677" w:rsidP="009D7677">
      <w:pPr>
        <w:pStyle w:val="TextoNormal"/>
      </w:pPr>
    </w:p>
    <w:p w14:paraId="155F943F" w14:textId="77777777" w:rsidR="009D7677" w:rsidRDefault="009D7677" w:rsidP="009D7677">
      <w:pPr>
        <w:pStyle w:val="TextoNormal"/>
      </w:pPr>
      <w:r>
        <w:t>Repetidamente hemos señalado que el control que este tribunal efectúa sobre los denominados juicios de aplicabilidad y relevancia es un “control meramente externo” que no autoriza a “sustituir al órgano judicial en [su] determinación”, ya que esta es “una tarea propiamente jurisdiccional y por tanto reservada a aquel”. Por lo tanto, solamente procede tal revisión “en los supuestos en que de manera notoria, sin necesidad de examinar el fondo debatido y en aplicación de principios jurídicos básicos, se advierta que la argumentación judicial respecto a la aplicabilidad al caso del precepto legal cuestionado y su relevancia para el fallo resulta inconsistente o evidentemente errada, determinando en tal circunstancia la inadmisibilidad de la cuestión de inconstitucionalidad” (por todas, STC 7/2023, de 21 de febrero, FJ 2).</w:t>
      </w:r>
    </w:p>
    <w:p w14:paraId="0093608A" w14:textId="77777777" w:rsidR="009D7677" w:rsidRDefault="009D7677" w:rsidP="009D7677">
      <w:pPr>
        <w:pStyle w:val="TextoNormal"/>
      </w:pPr>
    </w:p>
    <w:p w14:paraId="26D74974" w14:textId="77777777" w:rsidR="009D7677" w:rsidRDefault="009D7677" w:rsidP="009D7677">
      <w:pPr>
        <w:pStyle w:val="TextoNormal"/>
      </w:pPr>
      <w:r>
        <w:t xml:space="preserve">En este caso, nadie cuestiona —tampoco el fiscal general— que el art. 17 </w:t>
      </w:r>
      <w:r w:rsidRPr="009D7677">
        <w:rPr>
          <w:i/>
        </w:rPr>
        <w:t>bis</w:t>
      </w:r>
      <w:r>
        <w:t xml:space="preserve">.3 b) objeto de esta cuestión de inconstitucionalidad contiene la sanción aplicada al Partido Independiente de Torre Pacheco. Por lo tanto, “la norma que se cuestiona es de directa aplicación, y de su constitucionalidad o no dependerá el resultado del procedimiento </w:t>
      </w:r>
      <w:r w:rsidRPr="009D7677">
        <w:rPr>
          <w:i/>
        </w:rPr>
        <w:t>a quo</w:t>
      </w:r>
      <w:r>
        <w:t xml:space="preserve">”, como sucedía en el caso de esta STC 7/2023, FJ 2, recién citada. No nos corresponde sustituir a las partes del proceso </w:t>
      </w:r>
      <w:r w:rsidRPr="009D7677">
        <w:rPr>
          <w:i/>
        </w:rPr>
        <w:t>a quo</w:t>
      </w:r>
      <w:r>
        <w:t xml:space="preserve"> ni al órgano promotor de una cuestión de inconstitucionalidad indicando por qué motivos adicionales y distintos el recurso podía haber sido resuelto. Es, además, evidente o “patente” —por emplear los términos del fiscal general— que la discordancia o incongruencia interna del art. 17 </w:t>
      </w:r>
      <w:r w:rsidRPr="009D7677">
        <w:rPr>
          <w:i/>
        </w:rPr>
        <w:t>bis</w:t>
      </w:r>
      <w:r>
        <w:t xml:space="preserve">.3 es fruto de un error. El precepto establece las sanciones que corresponden por la comisión de infracciones “leves”, pero luego se remite a las infracciones tipificadas en el art. 17 “apartado tres”, que tipifica las infracciones “graves”. Como necesariamente una de las dos remisiones debe ser incorrecta (o bien la referencia a las infracciones “leves” o bien la remisión al apartado “tres”, y no cuatro, del art. 17), y además las infracciones “graves” del art. 17.3 están castigadas con las sanciones previstas en el art. 17 </w:t>
      </w:r>
      <w:r w:rsidRPr="009D7677">
        <w:rPr>
          <w:i/>
        </w:rPr>
        <w:t>bis</w:t>
      </w:r>
      <w:r>
        <w:t xml:space="preserve">.2 (y las “muy graves”, a su vez, en el art. 17 </w:t>
      </w:r>
      <w:r w:rsidRPr="009D7677">
        <w:rPr>
          <w:i/>
        </w:rPr>
        <w:t>bis</w:t>
      </w:r>
      <w:r>
        <w:t xml:space="preserve">.1), los criterios de interpretación jurídica habituales del art. 3.1 del Código civil permiten concluir sin esfuerzo que en realidad el art. 17 </w:t>
      </w:r>
      <w:r w:rsidRPr="009D7677">
        <w:rPr>
          <w:i/>
        </w:rPr>
        <w:t>bis</w:t>
      </w:r>
      <w:r>
        <w:t xml:space="preserve">.3 b) alude a la sanción correspondiente a la infracción “leve” del art. 17.4 b), no “3.b)”. De lo contrario, las infracciones leves tipificadas en el art. 17.4 no tendrían sanción y las “graves” del art. 17.3 la tendrían </w:t>
      </w:r>
      <w:r>
        <w:lastRenderedPageBreak/>
        <w:t>por duplicado. Probablemente por esta razón ninguna de las partes ha puesto en entredicho la aplicación al caso del precepto cuestionado, que además viene siendo interpretado así de modo pacífico por el Tribunal de Cuentas encargado de su aplicación [véase más abajo en el fundamento jurídico 6 c) lo que este órgano explica en su moción de 27 de julio de 2021 sintetizando su “experiencia acumulada” en la aplicación de estos preceptos].</w:t>
      </w:r>
    </w:p>
    <w:p w14:paraId="57536092" w14:textId="77777777" w:rsidR="009D7677" w:rsidRDefault="009D7677" w:rsidP="009D7677">
      <w:pPr>
        <w:pStyle w:val="TextoNormal"/>
      </w:pPr>
    </w:p>
    <w:p w14:paraId="323F10A2" w14:textId="34ACB5EE" w:rsidR="009D7677" w:rsidRDefault="009D7677" w:rsidP="009D7677">
      <w:pPr>
        <w:pStyle w:val="TextoNormal"/>
      </w:pPr>
      <w:r>
        <w:t>En definitiva, por las razones dichas ninguno de los dos óbices planteados por el fiscal impide nuestro pronunciamiento sobre el fondo debatido.</w:t>
      </w:r>
    </w:p>
    <w:p w14:paraId="13DC9711" w14:textId="77777777" w:rsidR="009D7677" w:rsidRDefault="009D7677" w:rsidP="009D7677">
      <w:pPr>
        <w:pStyle w:val="TextoNormal"/>
      </w:pPr>
    </w:p>
    <w:p w14:paraId="61ACEFFA" w14:textId="77777777" w:rsidR="009D7677" w:rsidRDefault="009D7677" w:rsidP="009D7677">
      <w:pPr>
        <w:pStyle w:val="TextoNormal"/>
      </w:pPr>
      <w:r w:rsidRPr="009D7677">
        <w:rPr>
          <w:rStyle w:val="NumeroAFNegritaCaracter"/>
        </w:rPr>
        <w:t>3</w:t>
      </w:r>
      <w:r>
        <w:t xml:space="preserve">. </w:t>
      </w:r>
      <w:r w:rsidRPr="009D7677">
        <w:rPr>
          <w:i/>
        </w:rPr>
        <w:t>Doctrina constitucional sobre la proporcionalidad de las sanciones</w:t>
      </w:r>
    </w:p>
    <w:p w14:paraId="237F10F2" w14:textId="77777777" w:rsidR="009D7677" w:rsidRDefault="009D7677" w:rsidP="009D7677">
      <w:pPr>
        <w:pStyle w:val="TextoNormal"/>
      </w:pPr>
    </w:p>
    <w:p w14:paraId="43788E6A" w14:textId="77777777" w:rsidR="009D7677" w:rsidRDefault="009D7677" w:rsidP="009D7677">
      <w:pPr>
        <w:pStyle w:val="TextoNormal"/>
      </w:pPr>
      <w:r>
        <w:t>En la STC 74/2022, al resolver una cuestión de inconstitucionalidad planteada también por la Sala de lo Contencioso-Administrativo del Tribunal Supremo en relación con una sanción tributaria proporcional con un límite máximo que se consideraba igualmente desproporcionado y contrario al art. 25.1 CE hemos tenido ocasión de recordar nuestra doctrina sobre la proporcionalidad de las sanciones, “inherente al principio de legalidad sancionadora (art. 25.1 CE) y plenamente aplicable al ámbito sancionador administrativo” [FJ 3 B)].</w:t>
      </w:r>
    </w:p>
    <w:p w14:paraId="272358A8" w14:textId="77777777" w:rsidR="009D7677" w:rsidRDefault="009D7677" w:rsidP="009D7677">
      <w:pPr>
        <w:pStyle w:val="TextoNormal"/>
      </w:pPr>
    </w:p>
    <w:p w14:paraId="5E03AF89" w14:textId="77777777" w:rsidR="009D7677" w:rsidRDefault="009D7677" w:rsidP="009D7677">
      <w:pPr>
        <w:pStyle w:val="TextoNormal"/>
      </w:pPr>
      <w:r>
        <w:t>a) El “punto de partida” de este juicio de proporcionalidad, dijimos entonces, es el “amplio margen de libertad” que este tribunal debe reconocer al legislador en la configuración del sistema de infracciones y sanciones derivado de su “posición constitucional” y “legitimidad democrática”. El grado de desvalor de las infracciones y la magnitud de las sanciones que aquellas deben llevar aparejadas no es un juicio técnico de “mera ejecución o aplicación de la Constitución”, sino un “complejo juicio de oportunidad” y “político-criminal” en que intervienen estimaciones sobre la importancia absoluta y relativa de los bienes jurídicos merecedores de protección y sobre la medida adecuada de la reacción punitiva eficaz para cumplir con sus funciones de retribución, prevención especial y prevención general.</w:t>
      </w:r>
    </w:p>
    <w:p w14:paraId="042F3CF1" w14:textId="77777777" w:rsidR="009D7677" w:rsidRDefault="009D7677" w:rsidP="009D7677">
      <w:pPr>
        <w:pStyle w:val="TextoNormal"/>
      </w:pPr>
    </w:p>
    <w:p w14:paraId="50FEFB99" w14:textId="4B9C639A" w:rsidR="009D7677" w:rsidRDefault="009D7677" w:rsidP="009D7677">
      <w:pPr>
        <w:pStyle w:val="TextoNormal"/>
      </w:pPr>
      <w:r>
        <w:t>b) Por lo tanto, concluimos, la Constitución no impone “una exacta proporción entre el desvalor de la sanción y el desvalor del comportamiento prohibido, según un hipotético baremo preciso y prefijado”. El principio de proporcionalidad solo dará lugar a la censura de inconstitucionalidad cuando la norma “produzca un ‘patente derroche inútil de coacción que convierte la norma en arbitraria y que socava los principios elementales de justicia inherentes a la dignidad de la persona y al Estado de Derecho’”, o cuando “a la luz del razonamiento lógico, de datos empíricos no controvertidos y del conjunto de sanciones que el mismo legislador ha estimado necesarias para alcanzar fines de protección análogos, resulta evidente la manifiesta suficiencia de un medio alternativo menos restrictivo de derechos para la consecución igualmente eficaz de las finalidades deseadas por el legislador” [STC 74/2022, FJ 3 B), con cita de otras anteriores].</w:t>
      </w:r>
    </w:p>
    <w:p w14:paraId="7DD372D7" w14:textId="77777777" w:rsidR="009D7677" w:rsidRDefault="009D7677" w:rsidP="009D7677">
      <w:pPr>
        <w:pStyle w:val="TextoNormal"/>
      </w:pPr>
    </w:p>
    <w:p w14:paraId="5EF8DA11" w14:textId="77777777" w:rsidR="009D7677" w:rsidRDefault="009D7677" w:rsidP="009D7677">
      <w:pPr>
        <w:pStyle w:val="TextoNormal"/>
      </w:pPr>
      <w:r w:rsidRPr="009D7677">
        <w:rPr>
          <w:rStyle w:val="NumeroAFNegritaCaracter"/>
        </w:rPr>
        <w:t>4</w:t>
      </w:r>
      <w:r>
        <w:t xml:space="preserve">. </w:t>
      </w:r>
      <w:r w:rsidRPr="009D7677">
        <w:rPr>
          <w:i/>
        </w:rPr>
        <w:t>Constitucionalidad del bien jurídico protegido</w:t>
      </w:r>
    </w:p>
    <w:p w14:paraId="28BA07A7" w14:textId="77777777" w:rsidR="009D7677" w:rsidRDefault="009D7677" w:rsidP="009D7677">
      <w:pPr>
        <w:pStyle w:val="TextoNormal"/>
      </w:pPr>
    </w:p>
    <w:p w14:paraId="4524DB4E" w14:textId="77777777" w:rsidR="009D7677" w:rsidRDefault="009D7677" w:rsidP="009D7677">
      <w:pPr>
        <w:pStyle w:val="TextoNormal"/>
      </w:pPr>
      <w:r>
        <w:t xml:space="preserve">a) El juicio de constitucionalidad sobre la proporcionalidad de las sanciones debe partir de la comprobación de la constitucionalidad del bien jurídico protegido por el legislador en la tipificación de infracciones y sanciones [STC 74/2022, FJ 3 A), por referencia a las sanciones tributarias y su vinculación con el deber de contribuir al sostenimiento de los </w:t>
      </w:r>
      <w:r>
        <w:lastRenderedPageBreak/>
        <w:t>gastos públicos del art. 31.1 CE]. Porque, efectivamente, si una sanción persiguiera la preservación de bienes o intereses “constitucionalmente proscritos” o “socialmente irrelevantes”, la sanción podría considerarse directamente inconstitucional (entre otras, SSTC 161/1997, de 2 de octubre, FJ 10; 136/1999, de 20 de julio, FJ 23; 60/2010, de 7 de octubre, FJ 10, o 169/2021, de 6 de octubre, FJ 7, todas ellas en relación con sanciones penales, pero cuya doctrina es aplicable a las sanciones administrativas).</w:t>
      </w:r>
    </w:p>
    <w:p w14:paraId="7CB6BDE7" w14:textId="77777777" w:rsidR="009D7677" w:rsidRDefault="009D7677" w:rsidP="009D7677">
      <w:pPr>
        <w:pStyle w:val="TextoNormal"/>
      </w:pPr>
    </w:p>
    <w:p w14:paraId="57A4AF85" w14:textId="77777777" w:rsidR="009D7677" w:rsidRDefault="009D7677" w:rsidP="009D7677">
      <w:pPr>
        <w:pStyle w:val="TextoNormal"/>
      </w:pPr>
      <w:r>
        <w:t>b) Los partidos políticos son, según el art. 6 CE, cauce de “formación y manifestación de la voluntad popular” e “instrumento fundamental para la participación política”. Esta función de canalización de las opciones políticas de millones de ciudadanos para alcanzar el poder político en una sociedad democrática justifica la regulación y control público de su financiación.</w:t>
      </w:r>
    </w:p>
    <w:p w14:paraId="496B47DE" w14:textId="77777777" w:rsidR="009D7677" w:rsidRDefault="009D7677" w:rsidP="009D7677">
      <w:pPr>
        <w:pStyle w:val="TextoNormal"/>
      </w:pPr>
    </w:p>
    <w:p w14:paraId="0C73B421" w14:textId="77777777" w:rsidR="009D7677" w:rsidRDefault="009D7677" w:rsidP="009D7677">
      <w:pPr>
        <w:pStyle w:val="TextoNormal"/>
      </w:pPr>
      <w:r>
        <w:t>La exposición de motivos de la Ley Orgánica sobre financiación de los partidos políticos hace referencia a su opción por un sistema de financiación “mixto que recoja, por una parte, las aportaciones de la ciudadanía y, de otra, los recursos procedentes de los poderes públicos en proporción a su representatividad como medio de garantía de la independencia del sistema, pero también de su suficiencia”. Con un sistema de “liberalización total”, continúa el preámbulo, “siempre resultaría cuestionable la influencia que en una determinada decisión política hubiesen podido ejercer de las aportaciones procedentes de una determinada fuente de financiación”, quebrándose así “la función de los partidos políticos como instituciones que vehiculan la formación de la voluntad popular”. Consecuentemente, alude también a la necesidad de supervisar y eventualmente sancionar los incumplimientos del sistema de financiación, haciendo especial hincapié en “la aparición ante la opinión pública de posibles irregularidades vinculadas en algunos casos a la financiación de los partidos políticos” que ha generado “un amplio sentir” en la sociedad sobre la necesidad de un sistema de financiación dotado “de mayor transparencia y control” que el anterior de la Ley Orgánica 3/1987, que la Ley Orgánica sobre financiación de los partidos políticos deroga.</w:t>
      </w:r>
    </w:p>
    <w:p w14:paraId="0F3D5AD6" w14:textId="77777777" w:rsidR="009D7677" w:rsidRDefault="009D7677" w:rsidP="009D7677">
      <w:pPr>
        <w:pStyle w:val="TextoNormal"/>
      </w:pPr>
    </w:p>
    <w:p w14:paraId="228CB942" w14:textId="77777777" w:rsidR="009D7677" w:rsidRDefault="009D7677" w:rsidP="009D7677">
      <w:pPr>
        <w:pStyle w:val="TextoNormal"/>
      </w:pPr>
      <w:r>
        <w:t xml:space="preserve">El Tribunal Europeo de Derechos Humanos ha reconocido también la necesidad de “supervisar las actividades financieras de los partidos políticos en aras de la rendición de cuentas y la transparencia, que sirven para garantizar la confianza pública en el proceso político. Habida cuenta del papel primordial que desempeñan los partidos políticos en el buen funcionamiento de las democracias, puede considerarse que el público en general tiene interés en que sean objeto de control y de que se sancione cualquier gasto irregular, en particular en lo que respecta a los partidos políticos que reciben financiación pública” (STEDH de 26 de abril de 2016, asunto </w:t>
      </w:r>
      <w:r w:rsidRPr="009D7677">
        <w:rPr>
          <w:i/>
        </w:rPr>
        <w:t>Cumhuriyet Halk Partisi c. Turquía</w:t>
      </w:r>
      <w:r>
        <w:t>, § 69).</w:t>
      </w:r>
    </w:p>
    <w:p w14:paraId="5A649D94" w14:textId="77777777" w:rsidR="009D7677" w:rsidRDefault="009D7677" w:rsidP="009D7677">
      <w:pPr>
        <w:pStyle w:val="TextoNormal"/>
      </w:pPr>
    </w:p>
    <w:p w14:paraId="15EF846F" w14:textId="77777777" w:rsidR="009D7677" w:rsidRDefault="009D7677" w:rsidP="009D7677">
      <w:pPr>
        <w:pStyle w:val="TextoNormal"/>
      </w:pPr>
      <w:r>
        <w:t>A la postre, como señala el fiscal general del Estado en sus alegaciones, el control y supervisión de la financiación de los partidos políticos protege indirectamente el derecho de los ciudadanos a participar en los asuntos públicos (art. 23.1 CE) en condiciones de igualdad.</w:t>
      </w:r>
    </w:p>
    <w:p w14:paraId="586A155A" w14:textId="77777777" w:rsidR="009D7677" w:rsidRDefault="009D7677" w:rsidP="009D7677">
      <w:pPr>
        <w:pStyle w:val="TextoNormal"/>
      </w:pPr>
    </w:p>
    <w:p w14:paraId="25F5F796" w14:textId="4516CADF" w:rsidR="009D7677" w:rsidRDefault="009D7677" w:rsidP="009D7677">
      <w:pPr>
        <w:pStyle w:val="TextoNormal"/>
      </w:pPr>
      <w:r>
        <w:t>Así pues, podemos concluir que el establecimiento de sanciones para prevenir y castigar los excesos de gasto electoral por encima de los límites señalados objetiva y equitativamente por el legislador tiene fundamento constitucional.</w:t>
      </w:r>
    </w:p>
    <w:p w14:paraId="21544848" w14:textId="77777777" w:rsidR="009D7677" w:rsidRDefault="009D7677" w:rsidP="009D7677">
      <w:pPr>
        <w:pStyle w:val="TextoNormal"/>
      </w:pPr>
    </w:p>
    <w:p w14:paraId="0544BEF5" w14:textId="77777777" w:rsidR="009D7677" w:rsidRDefault="009D7677" w:rsidP="009D7677">
      <w:pPr>
        <w:pStyle w:val="TextoNormal"/>
      </w:pPr>
      <w:r w:rsidRPr="009D7677">
        <w:rPr>
          <w:rStyle w:val="NumeroAFNegritaCaracter"/>
        </w:rPr>
        <w:lastRenderedPageBreak/>
        <w:t>5</w:t>
      </w:r>
      <w:r>
        <w:t xml:space="preserve">. </w:t>
      </w:r>
      <w:r w:rsidRPr="009D7677">
        <w:rPr>
          <w:i/>
        </w:rPr>
        <w:t>Examen del inciso cuestionado: desproporcionalidad contraria al art. 25.1, en relación con los arts. 23.1 y 6 CE</w:t>
      </w:r>
    </w:p>
    <w:p w14:paraId="77F9A5BF" w14:textId="77777777" w:rsidR="009D7677" w:rsidRDefault="009D7677" w:rsidP="009D7677">
      <w:pPr>
        <w:pStyle w:val="TextoNormal"/>
      </w:pPr>
    </w:p>
    <w:p w14:paraId="22064319" w14:textId="77777777" w:rsidR="009D7677" w:rsidRDefault="009D7677" w:rsidP="009D7677">
      <w:pPr>
        <w:pStyle w:val="TextoNormal"/>
      </w:pPr>
      <w:r>
        <w:t>a) Ninguna de las partes comparecidas ha defendido la constitucionalidad del inciso cuestionado, aunque ello no condiciona ni vincula a este tribunal que solamente puede declarar la inconstitucionalidad de una norma con rango de ley cuando esta sea contraria a la Constitución o al bloque de la constitucionalidad (art. 27.1 LOTC). La conformidad o disconformidad de una ley con la Constitución no depende de las valoraciones de las partes.</w:t>
      </w:r>
    </w:p>
    <w:p w14:paraId="358B978F" w14:textId="77777777" w:rsidR="009D7677" w:rsidRDefault="009D7677" w:rsidP="009D7677">
      <w:pPr>
        <w:pStyle w:val="TextoNormal"/>
      </w:pPr>
    </w:p>
    <w:p w14:paraId="744DF7F0" w14:textId="77777777" w:rsidR="009D7677" w:rsidRDefault="009D7677" w:rsidP="009D7677">
      <w:pPr>
        <w:pStyle w:val="TextoNormal"/>
      </w:pPr>
      <w:r>
        <w:t>b) El interés en salvaguardar la equidad y transparencia del proceso electoral, la confianza pública en la legitimidad de su resultado y la independencia de los partidos políticos en su toma de decisiones justifica, como ya hemos dicho [</w:t>
      </w:r>
      <w:r w:rsidRPr="009D7677">
        <w:rPr>
          <w:i/>
        </w:rPr>
        <w:t>supra</w:t>
      </w:r>
      <w:r>
        <w:t xml:space="preserve">, FJ 4 b)], el control público de su financiación y la previsión de sanciones para el caso de incumplimiento de sus límites de gasto. Y puede justificar también la opción legislativa por el establecimiento de límites mínimos que superen, incluso ampliamente, el concreto exceso de gasto producido, como sucede en el caso </w:t>
      </w:r>
      <w:r w:rsidRPr="009D7677">
        <w:rPr>
          <w:i/>
        </w:rPr>
        <w:t>a quo</w:t>
      </w:r>
      <w:r>
        <w:t>.</w:t>
      </w:r>
    </w:p>
    <w:p w14:paraId="6ACB1084" w14:textId="77777777" w:rsidR="009D7677" w:rsidRDefault="009D7677" w:rsidP="009D7677">
      <w:pPr>
        <w:pStyle w:val="TextoNormal"/>
      </w:pPr>
    </w:p>
    <w:p w14:paraId="3F095FE5" w14:textId="77777777" w:rsidR="009D7677" w:rsidRDefault="009D7677" w:rsidP="009D7677">
      <w:pPr>
        <w:pStyle w:val="TextoNormal"/>
      </w:pPr>
      <w:r>
        <w:t>c) Dicho esto, uno de los elementos que según nuestra doctrina permite apreciar la desproporción de una sanción en abstracto es que a la luz “de datos empíricos no controvertidos” resulte “evidente la manifiesta suficiencia de un medio alternativo menos restrictivo” para la consecución igualmente eficaz de las finalidades deseadas por el legislador [STC 74/2022, FJ 3 B), citada en el FJ 3 b) de esta resolución].</w:t>
      </w:r>
    </w:p>
    <w:p w14:paraId="458A20A8" w14:textId="77777777" w:rsidR="009D7677" w:rsidRDefault="009D7677" w:rsidP="009D7677">
      <w:pPr>
        <w:pStyle w:val="TextoNormal"/>
      </w:pPr>
    </w:p>
    <w:p w14:paraId="091010E4" w14:textId="77777777" w:rsidR="009D7677" w:rsidRDefault="009D7677" w:rsidP="009D7677">
      <w:pPr>
        <w:pStyle w:val="TextoNormal"/>
      </w:pPr>
      <w:r>
        <w:t xml:space="preserve">En este punto, resulta de especial relevancia la valoración efectuada por el Tribunal de Cuentas como órgano encargado de aplicar las sanciones de la Ley Orgánica sobre financiación de los partidos políticos y dotado de garantías de imparcialidad e independencia (art. 136.3 CE). Según consta en las actuaciones, este órgano ha venido advirtiendo de la desproporción de las sanciones mínimas previstas en el art. 17 </w:t>
      </w:r>
      <w:r w:rsidRPr="009D7677">
        <w:rPr>
          <w:i/>
        </w:rPr>
        <w:t>bis</w:t>
      </w:r>
      <w:r>
        <w:t xml:space="preserve"> de la Ley Orgánica 8/2007 desde, al menos, julio de 2021.</w:t>
      </w:r>
    </w:p>
    <w:p w14:paraId="58D33FC4" w14:textId="77777777" w:rsidR="009D7677" w:rsidRDefault="009D7677" w:rsidP="009D7677">
      <w:pPr>
        <w:pStyle w:val="TextoNormal"/>
      </w:pPr>
    </w:p>
    <w:p w14:paraId="0708FBD0" w14:textId="77777777" w:rsidR="009D7677" w:rsidRDefault="009D7677" w:rsidP="009D7677">
      <w:pPr>
        <w:pStyle w:val="TextoNormal"/>
      </w:pPr>
      <w:r>
        <w:t xml:space="preserve">Efectivamente, el oficio de la presidenta de la institución que la abogada del Estado acompañó a su contestación a la demanda, fechado el 20 de abril de 2022 [antecedente 2 c)], alude a la moción núm. 1445 aprobada por el Pleno del Tribunal de Cuentas el 27 de julio de 2021 para proponer a las Cortes Generales la modificación de algunos aspectos de la Ley Orgánica sobre financiación de los partidos políticos (de libre acceso en https://www.tcu.es/repositorio/e574ac9d-93a7-4400-afa6-2653b0b634c4/I1445.pdf). Por lo que aquí interesa, la moción advierte de la desproporción que “en ocasiones” producen las sanciones mínimas del art. 17 </w:t>
      </w:r>
      <w:r w:rsidRPr="009D7677">
        <w:rPr>
          <w:i/>
        </w:rPr>
        <w:t>bis</w:t>
      </w:r>
      <w:r>
        <w:t xml:space="preserve"> “especialmente en el caso de formaciones políticas de escasa implantación para las que el límite de gasto no es muy elevado” por “presenta[r] candidatura en pocos municipios y de reducida población, especialmente en elecciones locales” (pág. 44). En estos casos, dice la moción, la aplicación de las sanciones mínimas “puede llevar incluso hasta la extinción de las formaciones afectadas” (</w:t>
      </w:r>
      <w:r w:rsidRPr="009D7677">
        <w:rPr>
          <w:i/>
        </w:rPr>
        <w:t>ibid</w:t>
      </w:r>
      <w:r>
        <w:t xml:space="preserve">.). La moción adjunta, además, un cuadro explicativo con ejemplos reales de sanciones de 50 000, 25 000 o 5000 € impuestas en aplicación de los correspondientes mínimos legales fijos previstos en los apartados 1, 2 y 3 del art. 17 </w:t>
      </w:r>
      <w:r w:rsidRPr="009D7677">
        <w:rPr>
          <w:i/>
        </w:rPr>
        <w:t>bis</w:t>
      </w:r>
      <w:r>
        <w:t xml:space="preserve"> por haber incurrido la formación política afectada en cada caso en excesos de gasto muy inferiores a esas cantidades, de entre 91,47 y 1493,75 €</w:t>
      </w:r>
      <w:r w:rsidRPr="009D7677">
        <w:rPr>
          <w:i/>
        </w:rPr>
        <w:t xml:space="preserve"> (ib</w:t>
      </w:r>
      <w:r>
        <w:t>id.).</w:t>
      </w:r>
    </w:p>
    <w:p w14:paraId="69DBE2A6" w14:textId="77777777" w:rsidR="009D7677" w:rsidRDefault="009D7677" w:rsidP="009D7677">
      <w:pPr>
        <w:pStyle w:val="TextoNormal"/>
      </w:pPr>
    </w:p>
    <w:p w14:paraId="4CF1E7ED" w14:textId="77777777" w:rsidR="009D7677" w:rsidRDefault="009D7677" w:rsidP="009D7677">
      <w:pPr>
        <w:pStyle w:val="TextoNormal"/>
      </w:pPr>
      <w:r>
        <w:t>La moción explica que esta desproporción es debida a la “insuficiencia del [límite máximo de gasto electoral] para el desarrollo de una campaña electoral” cuando de este tipo de formaciones de reducida implantación se trata (</w:t>
      </w:r>
      <w:r w:rsidRPr="009D7677">
        <w:rPr>
          <w:i/>
        </w:rPr>
        <w:t>ibid</w:t>
      </w:r>
      <w:r>
        <w:t>.). Ello es consecuencia de lo dispuesto en el art. 193.2 LOREG, que dice:</w:t>
      </w:r>
    </w:p>
    <w:p w14:paraId="05E43B86" w14:textId="77777777" w:rsidR="009D7677" w:rsidRDefault="009D7677" w:rsidP="009D7677">
      <w:pPr>
        <w:pStyle w:val="TextoNormal"/>
      </w:pPr>
    </w:p>
    <w:p w14:paraId="16C42B09" w14:textId="77777777" w:rsidR="009D7677" w:rsidRDefault="009D7677" w:rsidP="009D7677">
      <w:pPr>
        <w:pStyle w:val="TextoNormal"/>
      </w:pPr>
      <w:r>
        <w:t>“Para las elecciones municipales el límite de los gastos electorales será el que resulte de multiplicar por 0,11 € el número de habitantes correspondientes a las poblaciones de derecho de las circunscripciones donde presente sus candidaturas cada partido, federación, coalición o agrupación. Por cada provincia, aquellos que concurran a las elecciones en, al menos, el 50 por 100 de sus municipios, podrán gastar, además, otros 150 301,11 € por cada una de las provincias en las que cumplan la referida condición”.</w:t>
      </w:r>
    </w:p>
    <w:p w14:paraId="4FB65A34" w14:textId="77777777" w:rsidR="009D7677" w:rsidRDefault="009D7677" w:rsidP="009D7677">
      <w:pPr>
        <w:pStyle w:val="TextoNormal"/>
      </w:pPr>
    </w:p>
    <w:p w14:paraId="7CEC9FFB" w14:textId="77777777" w:rsidR="009D7677" w:rsidRDefault="009D7677" w:rsidP="009D7677">
      <w:pPr>
        <w:pStyle w:val="TextoNormal"/>
      </w:pPr>
      <w:r>
        <w:t>Tal como explica la moción, el límite de gasto que resulta de este precepto para formaciones políticas de “reducida” o “escasa implantación” que presentan candidatura en “un solo municipio de la provincia”, o “en pocas circunscripciones” y que no tienen por ello derecho al “complemento provincial” del segundo inciso del art. 193.2, “resulta manifiestamente insuficiente para el desarrollo de una mínima campaña electoral, y esto tiene especiales repercusiones en el ámbito sancionador en la medida en que dichas formaciones, al exceder fácilmente el límite máximo, incurren con facilidad en la consiguiente infracción sancionable en aplicación del artículo 17 de la Ley Orgánica sobre financiación de los partidos políticos y, con frecuencia, excediendo el mismo en un diez por ciento o más del límite, lo que constituye una infracción muy grave” (pág. 29).</w:t>
      </w:r>
    </w:p>
    <w:p w14:paraId="68714247" w14:textId="77777777" w:rsidR="009D7677" w:rsidRDefault="009D7677" w:rsidP="009D7677">
      <w:pPr>
        <w:pStyle w:val="TextoNormal"/>
      </w:pPr>
    </w:p>
    <w:p w14:paraId="3D9BB502" w14:textId="77777777" w:rsidR="009D7677" w:rsidRDefault="009D7677" w:rsidP="009D7677">
      <w:pPr>
        <w:pStyle w:val="TextoNormal"/>
      </w:pPr>
      <w:r>
        <w:t xml:space="preserve">Esta opinión, “basada en la experiencia acumulada” por el Tribunal de Cuentas en la “tramitación de numerosos expedientes sancionadores a formaciones políticas” (moción, pág. 6), emitida por un órgano cuyos miembros gozan de garantías independencia e inamovilidad (art. 136 CE), sustentada en datos empíricos y sostenida en el tiempo, permite descartar que la evidente desproporción entre la sanción y el exceso de gasto producida en el caso </w:t>
      </w:r>
      <w:r w:rsidRPr="009D7677">
        <w:rPr>
          <w:i/>
        </w:rPr>
        <w:t>a quo</w:t>
      </w:r>
      <w:r>
        <w:t xml:space="preserve"> constituya un “efecto excepcional, inevitable en el marco de la generalidad de la norma” (STC 26/2017, de 16 de febrero, FJ 4) o una consecuencia aislada derivada de la “conducta del sujeto infractor”, de su actuación procesal o del “normal desenvolvimiento del sistema de recursos judiciales”, o, en general, de “posibles errores” en la aplicación de la norma, singularidades todas ellas que no permiten extraer consecuencias en un proceso de control abstracto de constitucionalidad como es la cuestión de inconstitucionalidad, como ya advertimos en la STC 74/2022, FFJJ 4 e) y 5 d). De la valoración efectuada por el Tribunal de Cuentas se deduce claramente que esta desproporción de las sanciones “se produce en relación con supuestos generales perfectamente definibles como categoría conceptual”, por emplear los mismos términos de la STC 26/2017, FJ 4, antes citada, tomados a su vez de la STC 46/2000, de 14 de febrero, FJ 8, en cuyo caso sí pueden extraerse consecuencias en procesos de control de constitucionalidad de las leyes.</w:t>
      </w:r>
    </w:p>
    <w:p w14:paraId="428C0A8B" w14:textId="77777777" w:rsidR="009D7677" w:rsidRDefault="009D7677" w:rsidP="009D7677">
      <w:pPr>
        <w:pStyle w:val="TextoNormal"/>
      </w:pPr>
    </w:p>
    <w:p w14:paraId="486DC4B2" w14:textId="77777777" w:rsidR="009D7677" w:rsidRDefault="009D7677" w:rsidP="009D7677">
      <w:pPr>
        <w:pStyle w:val="TextoNormal"/>
      </w:pPr>
      <w:r>
        <w:t>d) Los antecedentes normativos demuestran, además, que se trata de un efecto inadvertido por el legislador. No consta, efectivamente, que estos supuestos generales perfectamente delimitables en los que las sanciones mínimas resultan desproporcionadas tengan relación alguna con el fin perseguido por el endurecimiento de las sanciones, que es el ya advertido de garantizar la función de los partidos como cauce de expresión de las preocu</w:t>
      </w:r>
      <w:r>
        <w:lastRenderedPageBreak/>
        <w:t>paciones sociales, la limpieza y equidad del proceso electoral y, en definitiva, la legitimidad de su resultado.</w:t>
      </w:r>
    </w:p>
    <w:p w14:paraId="7CAF9C99" w14:textId="77777777" w:rsidR="009D7677" w:rsidRDefault="009D7677" w:rsidP="009D7677">
      <w:pPr>
        <w:pStyle w:val="TextoNormal"/>
      </w:pPr>
    </w:p>
    <w:p w14:paraId="388EEA4D" w14:textId="77777777" w:rsidR="009D7677" w:rsidRDefault="009D7677" w:rsidP="009D7677">
      <w:pPr>
        <w:pStyle w:val="TextoNormal"/>
      </w:pPr>
      <w:r>
        <w:t xml:space="preserve">Las sanciones mínimas fijas del actual art. 17 </w:t>
      </w:r>
      <w:r w:rsidRPr="009D7677">
        <w:rPr>
          <w:i/>
        </w:rPr>
        <w:t>bis</w:t>
      </w:r>
      <w:r>
        <w:t xml:space="preserve"> de la Ley Orgánica 8/2007, y en concreto la de su apartado 3 b) aquí controvertido, fueron introducidas por la Ley Orgánica 3/2015, de 30 de marzo, de control de la actividad económico-financiera de los Partidos Políticos, por la que se modifican la Ley Orgánica 8/2007, de 4 de julio, sobre financiación de los Partidos Políticos, la Ley Orgánica 6/2002, de 27 de junio, de Partidos Políticos y la Ley Orgánica 2/1982, de 12 de mayo, del Tribunal de Cuentas. La exposición de motivos de esta Ley Orgánica 3/2015 alude al “sentir social y [a]l compromiso suscrito por la mayoría de los grupos parlamentarios en el Congreso de los Diputados durante el mes de febrero de 2013” como razón justificativa para la introducción de “nuevas medidas de vigilancia de la actividad económico-financiera de los partidos políticos, con la que se avance aún más en la transparencia y control al que han de estar sometidos”.</w:t>
      </w:r>
    </w:p>
    <w:p w14:paraId="109DE62A" w14:textId="77777777" w:rsidR="009D7677" w:rsidRDefault="009D7677" w:rsidP="009D7677">
      <w:pPr>
        <w:pStyle w:val="TextoNormal"/>
      </w:pPr>
    </w:p>
    <w:p w14:paraId="7147AB7A" w14:textId="77777777" w:rsidR="009D7677" w:rsidRDefault="009D7677" w:rsidP="009D7677">
      <w:pPr>
        <w:pStyle w:val="TextoNormal"/>
      </w:pPr>
      <w:r>
        <w:t>Esta referencia al compromiso de los partidos con representación en el Congreso debe entenderse hecha a la resolución sobre la “regeneración democrática y transparencia” y “lucha contra la corrupción” aprobada por el Congreso de los Diputados en su sesión del 26 de febrero de 2013 (“Diario de Sesiones del Congreso de los Diputados”, núm. 93, pág. 37). Esta resolución incluía la aprobación por el Gobierno de un proyecto de ley orgánica con el mismo título de la posterior Ley Orgánica 3/2015 (“Boletín Oficial de las Cortes Generales, Congreso de los Diputados”, serie D, núm. 232, 4 de marzo de 2013, pág. 130). Y, efectivamente, en su defensa del proyecto de ley que terminaría convirtiéndose en la Ley Orgánica 3/2015, el entonces presidente del Gobierno defendió la iniciativa como cumplimiento de ese compromiso (“Diario de Sesiones del Congreso de los Diputados”, núm. 245, de 27 de noviembre de 2014, pág. 9).</w:t>
      </w:r>
    </w:p>
    <w:p w14:paraId="06D2728A" w14:textId="77777777" w:rsidR="009D7677" w:rsidRDefault="009D7677" w:rsidP="009D7677">
      <w:pPr>
        <w:pStyle w:val="TextoNormal"/>
      </w:pPr>
    </w:p>
    <w:p w14:paraId="19FCDD33" w14:textId="77777777" w:rsidR="009D7677" w:rsidRDefault="009D7677" w:rsidP="009D7677">
      <w:pPr>
        <w:pStyle w:val="TextoNormal"/>
      </w:pPr>
      <w:r>
        <w:t xml:space="preserve">La realidad, sin embargo, es que al margen de los supuestos de partidos políticos de escasa representatividad y ámbito territorial reducido a los que hemos aludido en el anterior subapartado c) de este mismo fundamento jurídico, el inciso cuestionado no parece tener efecto práctico alguno. Al depender la infracción sancionada del límite de gastos de cada formación política y del porcentaje del exceso de gasto, las formaciones y partidos con límite de gasto elevado, bien por tener acceso al “complemento provincial” del art. 193.2 LOREG en las elecciones municipales, segundo inciso, bien por presentarse a las elecciones autonómicas, generales o europeas donde la circunscripción es más amplia, y por lo tanto el límite de gastos más alto, la sanción proporcional superará normalmente el límite mínimo de cinco mil euros, de modo que este resultará materialmente inaplicable. Así, por ejemplo, en las elecciones generales celebradas seis meses después de las locales por las que resultó sancionada la formación política recurrente en el proceso </w:t>
      </w:r>
      <w:r w:rsidRPr="009D7677">
        <w:rPr>
          <w:i/>
        </w:rPr>
        <w:t>a quo</w:t>
      </w:r>
      <w:r>
        <w:t xml:space="preserve"> (el 10 de noviembre de 2019), ninguna de las veintidós formaciones que presentaron candidatura excedió el límite de gastos electorales resultante de la Ley Orgánica del régimen electoral general (Informe de fiscalización del Tribunal de Cuentas núm. 1425, publicado en el “Boletín Oficial del Estado” núm. 197, de 18 de agosto de 2021, apartado V.III, pág. 101147). Por otra parte, el carácter taxativo del límite mínimo cuestionado impide cualquier modulación o individualización de sus efectos para adaptarlos a las circunstancias del caso concreto.</w:t>
      </w:r>
    </w:p>
    <w:p w14:paraId="74806380" w14:textId="77777777" w:rsidR="009D7677" w:rsidRDefault="009D7677" w:rsidP="009D7677">
      <w:pPr>
        <w:pStyle w:val="TextoNormal"/>
      </w:pPr>
    </w:p>
    <w:p w14:paraId="65FF5DEA" w14:textId="77777777" w:rsidR="009D7677" w:rsidRDefault="009D7677" w:rsidP="009D7677">
      <w:pPr>
        <w:pStyle w:val="TextoNormal"/>
      </w:pPr>
      <w:r>
        <w:lastRenderedPageBreak/>
        <w:t>Ello nos conduce a concluir que el inciso legal cuestionado vulnera el art. 25.1, en relación con los arts. 6 y 23.1 CE y que procede declarar su inconstitucionalidad y nulidad con efectos generales conforme al art. 39.1 LOTC.</w:t>
      </w:r>
    </w:p>
    <w:p w14:paraId="19187665" w14:textId="77777777" w:rsidR="009D7677" w:rsidRDefault="009D7677" w:rsidP="009D7677">
      <w:pPr>
        <w:pStyle w:val="TextoNormal"/>
      </w:pPr>
    </w:p>
    <w:p w14:paraId="106411EB" w14:textId="63BC81FD" w:rsidR="009D7677" w:rsidRDefault="009D7677" w:rsidP="009D7677">
      <w:pPr>
        <w:pStyle w:val="TextoNormal"/>
      </w:pPr>
      <w:r>
        <w:t>e) Lo anterior hace innecesario entrar en la posible vulneración del art. 9.3 CE igualmente aludida en el auto de planteamiento.</w:t>
      </w:r>
    </w:p>
    <w:p w14:paraId="422630C1" w14:textId="77777777" w:rsidR="009D7677" w:rsidRDefault="009D7677" w:rsidP="009D7677">
      <w:pPr>
        <w:pStyle w:val="TextoNormal"/>
      </w:pPr>
    </w:p>
    <w:p w14:paraId="1A44EBC8" w14:textId="77777777" w:rsidR="009D7677" w:rsidRDefault="009D7677" w:rsidP="009D7677">
      <w:pPr>
        <w:pStyle w:val="TextoNormal"/>
      </w:pPr>
      <w:r w:rsidRPr="009D7677">
        <w:rPr>
          <w:rStyle w:val="NumeroAFNegritaCaracter"/>
        </w:rPr>
        <w:t>6</w:t>
      </w:r>
      <w:r>
        <w:t xml:space="preserve">. </w:t>
      </w:r>
      <w:r w:rsidRPr="009D7677">
        <w:rPr>
          <w:i/>
        </w:rPr>
        <w:t>Extensión de la declaración de inconstitucionalidad a otros incisos del art</w:t>
      </w:r>
      <w:r>
        <w:t xml:space="preserve">. 17 bis </w:t>
      </w:r>
      <w:r w:rsidRPr="009D7677">
        <w:rPr>
          <w:i/>
        </w:rPr>
        <w:t>de la Ley Orgánica sobre financiación de los partidos políticos</w:t>
      </w:r>
    </w:p>
    <w:p w14:paraId="2A36952A" w14:textId="77777777" w:rsidR="009D7677" w:rsidRDefault="009D7677" w:rsidP="009D7677">
      <w:pPr>
        <w:pStyle w:val="TextoNormal"/>
      </w:pPr>
    </w:p>
    <w:p w14:paraId="3C30BC81" w14:textId="77777777" w:rsidR="009D7677" w:rsidRDefault="009D7677" w:rsidP="009D7677">
      <w:pPr>
        <w:pStyle w:val="TextoNormal"/>
      </w:pPr>
      <w:r>
        <w:t xml:space="preserve">Según el art. 39.1 LOTC “[c]uando la sentencia declare la inconstitucionalidad, declarará igualmente la nulidad de los preceptos impugnados, así como, en su caso, la de aquellos otros de la misma ley, disposición o acto con fuerza de la los que deba extenderse por conexión o consecuencia”. En este caso, el efecto desaliento sobre el ejercicio del derecho de participación política y la desproporción sancionadora que han determinado la declaración de inconstitucionalidad y nulidad del inciso cuestionado son igualmente predicables de otros incisos del art. 17 </w:t>
      </w:r>
      <w:r w:rsidRPr="009D7677">
        <w:rPr>
          <w:i/>
        </w:rPr>
        <w:t>bis</w:t>
      </w:r>
      <w:r>
        <w:t xml:space="preserve"> de la Ley Orgánica 8/2007, según la moción núm. 1445 del Tribunal de Cuentas aludida en el fundamento jurídico anterior y la experiencia de este tribunal.</w:t>
      </w:r>
    </w:p>
    <w:p w14:paraId="3CA269BD" w14:textId="77777777" w:rsidR="009D7677" w:rsidRDefault="009D7677" w:rsidP="009D7677">
      <w:pPr>
        <w:pStyle w:val="TextoNormal"/>
      </w:pPr>
    </w:p>
    <w:p w14:paraId="76CE39F7" w14:textId="77777777" w:rsidR="009D7677" w:rsidRDefault="009D7677" w:rsidP="009D7677">
      <w:pPr>
        <w:pStyle w:val="TextoNormal"/>
      </w:pPr>
      <w:r>
        <w:t xml:space="preserve">Efectivamente, en el ATC 526/2023, de 6 de noviembre, hemos inadmitido, por defectos procesales (art. 35.2 LOTC), una cuestión de inconstitucionalidad análoga a la presente (núm. 1019-2023) y a la que se remite el auto de planteamiento de esta segunda cuestión (véase el resumen del auto en el antecedente 3). En ese caso, la duda de constitucionalidad afectaba al inciso “sin que en ningún caso pueda ser inferior a veinticinco mil euros” del art. 17 </w:t>
      </w:r>
      <w:r w:rsidRPr="009D7677">
        <w:rPr>
          <w:i/>
        </w:rPr>
        <w:t>bis</w:t>
      </w:r>
      <w:r>
        <w:t xml:space="preserve">.2 b) de la Ley Orgánica 8/2007, que sanciona la misma infracción de superación del límite de gastos electorales establecido en la Ley Orgánica del régimen electoral general, pero en un porcentaje superior al señalado en el art. 17 </w:t>
      </w:r>
      <w:r w:rsidRPr="009D7677">
        <w:rPr>
          <w:i/>
        </w:rPr>
        <w:t>bis</w:t>
      </w:r>
      <w:r>
        <w:t xml:space="preserve">.3 b) objeto de la presente cuestión de inconstitucionalidad (de entre un 3 y un 10 por 100). Además, se encuentra pendiente de resolución una tercera cuestión de inconstitucionalidad, la núm. 5207-2023, de las mismas características, promovida en relación con un tercer inciso del art. 17 </w:t>
      </w:r>
      <w:r w:rsidRPr="009D7677">
        <w:rPr>
          <w:i/>
        </w:rPr>
        <w:t>bis</w:t>
      </w:r>
      <w:r>
        <w:t xml:space="preserve"> de la Ley Orgánica 8/2007de idéntica estructura: el párrafo final del apartado 1, que dice “[e]n ningún caso las sanciones previstas en los apartados a) y b) serán inferiores a cincuenta mil euros”, en la medida en que resulta de aplicación a la sanción del apartado b) prevista para el exceso de gastos electorales en un porcentaje superior al 10 por 100. En resumen, las tres cuestiones de inconstitucionalidad (esta que ahora resolvemos, núm. 5206-2023, y las núms. 1019-2023 y 5207-2023) han sido planteadas por el mismo órgano jurisdiccional ante tres sustratos fácticos prácticamente idénticos: en todos ellos formaciones políticas de escasa implantación territorial superaron el límite de gasto electoral previsto en la Ley Orgánica del régimen electoral general en las elecciones municipales a las que concurrían y fueron sancionadas con multas de 5000, 25 000 o 50 000 €, en función del porcentaje de ese exceso; y en los tres casos, con apoyo en la valoración del Tribunal de Cuentas, la Sala de lo Contencioso-Administrativo del Tribunal Supremo considera que esas sanciones mínimas pueden ser desproporcionadas por comparación con el exceso de gasto real producido por cada formación, de menos de cien euros en esta cuestión de inconstitucionalidad que ahora resolvemos que ha dado lugar a una sanción de cinco mil euros; de 1632,79 € en el caso de la cuestión de inconstitucionalidad núm. 1019-2023 que </w:t>
      </w:r>
      <w:r>
        <w:lastRenderedPageBreak/>
        <w:t>dio lugar a una multa de 25 000 €; y de 910,37 euros en el caso de la cuestión de inconstitucionalidad núm. 5207-2023 que dio lugar a una multa de 50 000 €.</w:t>
      </w:r>
    </w:p>
    <w:p w14:paraId="73B169E7" w14:textId="77777777" w:rsidR="009D7677" w:rsidRDefault="009D7677" w:rsidP="009D7677">
      <w:pPr>
        <w:pStyle w:val="TextoNormal"/>
      </w:pPr>
    </w:p>
    <w:p w14:paraId="1D470BFB" w14:textId="7982F096" w:rsidR="009D7677" w:rsidRDefault="009D7677" w:rsidP="009D7677">
      <w:pPr>
        <w:pStyle w:val="TextoNormal"/>
      </w:pPr>
      <w:r>
        <w:t xml:space="preserve">Comoquiera que los tres incisos cuestionados se encuentran recogidos en “la misma ley”, como exige el art. 39.1 LOTC (el art. 17 </w:t>
      </w:r>
      <w:r w:rsidRPr="009D7677">
        <w:rPr>
          <w:i/>
        </w:rPr>
        <w:t>bis</w:t>
      </w:r>
      <w:r>
        <w:t xml:space="preserve"> de la Ley Orgánica 8/2007, añadido por la Ley Orgánica 3/2015), y que los tres incisos tienen idéntica estructura al sancionar “la superación por los partidos políticos […] de los límites de gastos electorales previstos en la [Ley Orgánica del régimen electoral general], sin perjuicio de lo establecido en el artículo 134 de dicha ley” con una multa proporcional del doble al quíntuplo del exceso, para luego añadir que la multa “en ningún caso podrá ser inferior” a cincuenta mil, veinticinco mil o cinco mil euros, según el porcentaje del alza (de un 10 por 100 o más; de entre un 3 y un 10 por 100; o de entre un 1 y un 3 por 100, respectivamente), resulta pertinente, para garantizar la eficacia inmediata, directa y plena de los arts. 23.1 y 25.1 CE, extender “por conexión o consecuencia” (art. 39.1 LOTC) a estos otros incisos de los apartados 1 y 2 b) del art. 17 </w:t>
      </w:r>
      <w:r w:rsidRPr="009D7677">
        <w:rPr>
          <w:i/>
        </w:rPr>
        <w:t>bis</w:t>
      </w:r>
      <w:r>
        <w:t xml:space="preserve"> de la Ley Orgánica sobre financiación de los partidos políticos la misma declaración de inconstitucionalidad y nulidad que hemos efectuado respecto del apartado 3 b), que es el concretamente controvertido en esta cuestión de inconstitucionalidad.</w:t>
      </w:r>
    </w:p>
    <w:p w14:paraId="5AE0C5F8" w14:textId="77777777" w:rsidR="009D7677" w:rsidRDefault="009D7677" w:rsidP="009D7677">
      <w:pPr>
        <w:pStyle w:val="TextoNormal"/>
      </w:pPr>
    </w:p>
    <w:p w14:paraId="46D985E4" w14:textId="77777777" w:rsidR="009D7677" w:rsidRDefault="009D7677" w:rsidP="009D7677">
      <w:pPr>
        <w:pStyle w:val="TextoNormalCentrado"/>
        <w:keepNext/>
      </w:pPr>
      <w:r>
        <w:t>FALLO</w:t>
      </w:r>
    </w:p>
    <w:p w14:paraId="31267613" w14:textId="2B8C77B8" w:rsidR="009D7677" w:rsidRDefault="009D7677" w:rsidP="009D7677">
      <w:pPr>
        <w:pStyle w:val="TextoNormalCentrado"/>
        <w:keepNext/>
      </w:pPr>
    </w:p>
    <w:p w14:paraId="2BAF12AD" w14:textId="77777777" w:rsidR="009D7677" w:rsidRDefault="009D7677" w:rsidP="009D7677">
      <w:pPr>
        <w:pStyle w:val="TextoNormal"/>
      </w:pPr>
      <w:r>
        <w:t>En atención a todo lo expuesto, el Tribunal Constitucional, por la autoridad que le confiere la Constitución de la Nación española, ha decidido:</w:t>
      </w:r>
    </w:p>
    <w:p w14:paraId="33970AAA" w14:textId="77777777" w:rsidR="009D7677" w:rsidRDefault="009D7677" w:rsidP="009D7677">
      <w:pPr>
        <w:pStyle w:val="TextoNormal"/>
      </w:pPr>
    </w:p>
    <w:p w14:paraId="013E1A8F" w14:textId="77777777" w:rsidR="009D7677" w:rsidRDefault="009D7677" w:rsidP="009D7677">
      <w:pPr>
        <w:pStyle w:val="TextoNormal"/>
      </w:pPr>
      <w:r>
        <w:t xml:space="preserve">1º Estimar la presente cuestión de inconstitucionalidad núm. 5206-2023 y, en consecuencia, declarar inconstitucional y nulo el inciso “sin que en ningún caso pueda ser inferior a cinco mil euros” del art. 17 </w:t>
      </w:r>
      <w:r w:rsidRPr="009D7677">
        <w:rPr>
          <w:i/>
        </w:rPr>
        <w:t>bis</w:t>
      </w:r>
      <w:r>
        <w:t>.3 b) de la Ley Orgánica 8/2007, de 4 de julio, sobre financiación de los partidos políticos.</w:t>
      </w:r>
    </w:p>
    <w:p w14:paraId="41B95E9F" w14:textId="77777777" w:rsidR="009D7677" w:rsidRDefault="009D7677" w:rsidP="009D7677">
      <w:pPr>
        <w:pStyle w:val="TextoNormal"/>
      </w:pPr>
    </w:p>
    <w:p w14:paraId="12823228" w14:textId="16759AC2" w:rsidR="009D7677" w:rsidRDefault="009D7677" w:rsidP="009D7677">
      <w:pPr>
        <w:pStyle w:val="TextoNormal"/>
      </w:pPr>
      <w:r>
        <w:t xml:space="preserve">2º Extender, por conexión o consecuencia, esta misma declaración de inconstitucionalidad y nulidad a los incisos “en ningún caso las sanciones previstas en los apartados […] b) serán inferiores a cincuenta mil euros” del art. 17 </w:t>
      </w:r>
      <w:r w:rsidRPr="009D7677">
        <w:rPr>
          <w:i/>
        </w:rPr>
        <w:t>bis</w:t>
      </w:r>
      <w:r>
        <w:t xml:space="preserve">.1, y “sin que en ningún caso pueda ser inferior a veinticinco mil euros” del art. 17 </w:t>
      </w:r>
      <w:r w:rsidRPr="009D7677">
        <w:rPr>
          <w:i/>
        </w:rPr>
        <w:t>bis</w:t>
      </w:r>
      <w:r>
        <w:t>.2 b) de la misma Ley Orgánica 8/2007, de 4 de julio, sobre financiación de los partidos políticos.</w:t>
      </w:r>
    </w:p>
    <w:p w14:paraId="0A8C72D3" w14:textId="77777777" w:rsidR="009D7677" w:rsidRDefault="009D7677" w:rsidP="009D7677">
      <w:pPr>
        <w:pStyle w:val="TextoNormal"/>
      </w:pPr>
    </w:p>
    <w:p w14:paraId="233368F2" w14:textId="77777777" w:rsidR="009D7677" w:rsidRDefault="009D7677" w:rsidP="009D7677">
      <w:pPr>
        <w:pStyle w:val="TextoNormal"/>
      </w:pPr>
      <w:r>
        <w:t>Publíquese esta sentencia en el “Boletín Oficial del Estado”.</w:t>
      </w:r>
    </w:p>
    <w:p w14:paraId="7517F2EC" w14:textId="77777777" w:rsidR="009D7677" w:rsidRDefault="009D7677" w:rsidP="009D7677">
      <w:pPr>
        <w:pStyle w:val="TextoNormal"/>
      </w:pPr>
      <w:r>
        <w:t>Dada en Madrid, a veinticuatro de abril de dos mil veinticuatro.</w:t>
      </w:r>
    </w:p>
    <w:p w14:paraId="51BA79F5" w14:textId="79E57C53" w:rsidR="009D7677" w:rsidRDefault="009D7677">
      <w:pPr>
        <w:spacing w:after="160" w:line="259" w:lineRule="auto"/>
        <w:rPr>
          <w:rFonts w:ascii="Times New Roman" w:eastAsia="Times New Roman" w:hAnsi="Times New Roman" w:cs="Times New Roman"/>
          <w:sz w:val="24"/>
          <w:szCs w:val="24"/>
          <w:lang w:eastAsia="es-ES"/>
        </w:rPr>
      </w:pPr>
      <w:r>
        <w:br w:type="page"/>
      </w:r>
    </w:p>
    <w:p w14:paraId="5668AF03" w14:textId="77777777" w:rsidR="009D7677" w:rsidRDefault="009D7677" w:rsidP="009D7677">
      <w:pPr>
        <w:pStyle w:val="TtuloResolucin"/>
      </w:pPr>
      <w:bookmarkStart w:id="72" w:name="SENTENCIA_2024_70"/>
      <w:r>
        <w:lastRenderedPageBreak/>
        <w:t>SENTENCIA 70/2024, de 6 de mayo de 2024</w:t>
      </w:r>
    </w:p>
    <w:bookmarkEnd w:id="72"/>
    <w:p w14:paraId="4452212A" w14:textId="77777777" w:rsidR="009D7677" w:rsidRDefault="009D7677" w:rsidP="009D7677">
      <w:pPr>
        <w:pStyle w:val="TtuloResolucin"/>
      </w:pPr>
      <w:r>
        <w:t>Sala Segunda</w:t>
      </w:r>
    </w:p>
    <w:p w14:paraId="18B64E8D" w14:textId="77777777" w:rsidR="009D7677" w:rsidRDefault="009D7677" w:rsidP="009D7677">
      <w:pPr>
        <w:pStyle w:val="TtuloBOE"/>
      </w:pPr>
      <w:r>
        <w:t>(BOE núm. 140, de 10 de junio de 2024)</w:t>
      </w:r>
    </w:p>
    <w:p w14:paraId="58962114" w14:textId="77777777" w:rsidR="009D7677" w:rsidRDefault="009D7677" w:rsidP="009D7677">
      <w:pPr>
        <w:pStyle w:val="TextoNormalCentrado"/>
      </w:pPr>
      <w:r>
        <w:t>ECLI:ES:TC:2024:70</w:t>
      </w:r>
    </w:p>
    <w:p w14:paraId="309F58CA" w14:textId="6C1E119A" w:rsidR="009D7677" w:rsidRDefault="009D7677" w:rsidP="009D7677">
      <w:pPr>
        <w:pStyle w:val="TextoNormalCentrado"/>
      </w:pPr>
    </w:p>
    <w:p w14:paraId="09E145C2" w14:textId="77777777" w:rsidR="009D7677" w:rsidRDefault="009D7677" w:rsidP="009D7677">
      <w:pPr>
        <w:pStyle w:val="SntesisDescriptiva"/>
      </w:pPr>
      <w:r>
        <w:t>Recurso de amparo 4549-2022. Promovido por don Pablo López Maestre en relación con los autos de la Audiencia Provincial de Córdoba y un juzgado de lo penal de su capital que revocaron la suspensión de una pena privativa de libertad.</w:t>
      </w:r>
    </w:p>
    <w:p w14:paraId="1D5A06FF" w14:textId="21CB2899" w:rsidR="009D7677" w:rsidRDefault="009D7677" w:rsidP="009D7677">
      <w:pPr>
        <w:pStyle w:val="SntesisDescriptiva"/>
      </w:pPr>
    </w:p>
    <w:p w14:paraId="6007E22F" w14:textId="77777777" w:rsidR="009D7677" w:rsidRDefault="009D7677" w:rsidP="009D7677">
      <w:pPr>
        <w:pStyle w:val="SntesisAnaltica"/>
      </w:pPr>
      <w:r>
        <w:t>Vulneración del derecho a la tutela judicial efectiva en relación con el derecho a la libertad personal: revocación de la suspensión de una pena privativa de libertad al no haberse satisfecho la responsabilidad civil que no cumple las exigencias constitucionales de motivación (STC 32/2022).</w:t>
      </w:r>
    </w:p>
    <w:p w14:paraId="44AE1345" w14:textId="0102B5DF" w:rsidR="009D7677" w:rsidRDefault="009D7677" w:rsidP="009D7677">
      <w:pPr>
        <w:pStyle w:val="SntesisAnaltica"/>
      </w:pPr>
    </w:p>
    <w:p w14:paraId="6E80A14D" w14:textId="6F2A288B" w:rsidR="009D7677" w:rsidRDefault="009D7677" w:rsidP="009D7677">
      <w:pPr>
        <w:pStyle w:val="Extracto"/>
      </w:pPr>
      <w:r>
        <w:t>1.</w:t>
      </w:r>
      <w:r>
        <w:tab/>
        <w:t>Las resoluciones judiciales de revocación de la suspensión de la pena vulneran el derecho a la tutela judicial efectiva en relación con el derecho a la libertad personal si no cumplen con las exigencias de motivación específica o reforzada y de análisis de la capacidad económica del penado en el momento de acordar la revocación (STC 32/2022) [FJ 4].</w:t>
      </w:r>
    </w:p>
    <w:p w14:paraId="37C25C6F" w14:textId="77777777" w:rsidR="009D7677" w:rsidRDefault="009D7677" w:rsidP="009D7677">
      <w:pPr>
        <w:pStyle w:val="Extracto"/>
      </w:pPr>
    </w:p>
    <w:p w14:paraId="3C25228C" w14:textId="77777777" w:rsidR="009D7677" w:rsidRDefault="009D7677" w:rsidP="009D7677">
      <w:pPr>
        <w:pStyle w:val="Extracto"/>
      </w:pPr>
    </w:p>
    <w:p w14:paraId="22773ABD" w14:textId="77777777" w:rsidR="009D7677" w:rsidRDefault="009D7677" w:rsidP="009D7677">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7ACCD5FC" w14:textId="12A6C243" w:rsidR="009D7677" w:rsidRDefault="009D7677" w:rsidP="009D7677">
      <w:pPr>
        <w:pStyle w:val="TextoNormal"/>
      </w:pPr>
    </w:p>
    <w:p w14:paraId="20D8DB71" w14:textId="77777777" w:rsidR="009D7677" w:rsidRDefault="009D7677" w:rsidP="009D7677">
      <w:pPr>
        <w:pStyle w:val="TextoNormalCentrado"/>
        <w:keepNext/>
      </w:pPr>
      <w:r>
        <w:t>EN NOMBRE DEL REY</w:t>
      </w:r>
    </w:p>
    <w:p w14:paraId="383EC6CB" w14:textId="5B5D2ECA" w:rsidR="009D7677" w:rsidRDefault="009D7677" w:rsidP="009D7677">
      <w:pPr>
        <w:pStyle w:val="TextoNormalCentrado"/>
        <w:keepNext/>
      </w:pPr>
    </w:p>
    <w:p w14:paraId="28DA608E" w14:textId="77777777" w:rsidR="009D7677" w:rsidRDefault="009D7677" w:rsidP="009D7677">
      <w:pPr>
        <w:pStyle w:val="TextoNormalCentrado"/>
        <w:keepNext/>
      </w:pPr>
    </w:p>
    <w:p w14:paraId="6686E061" w14:textId="77777777" w:rsidR="009D7677" w:rsidRDefault="009D7677" w:rsidP="009D7677">
      <w:pPr>
        <w:pStyle w:val="TextoNormal"/>
      </w:pPr>
      <w:r>
        <w:t>la siguiente</w:t>
      </w:r>
    </w:p>
    <w:p w14:paraId="289577B5" w14:textId="091E3293" w:rsidR="009D7677" w:rsidRDefault="009D7677" w:rsidP="009D7677">
      <w:pPr>
        <w:pStyle w:val="TextoNormal"/>
      </w:pPr>
    </w:p>
    <w:p w14:paraId="24FE28F4" w14:textId="77777777" w:rsidR="009D7677" w:rsidRDefault="009D7677" w:rsidP="009D7677">
      <w:pPr>
        <w:pStyle w:val="TextoNormalCentrado"/>
        <w:keepNext/>
      </w:pPr>
      <w:r>
        <w:t>SENTENCIA</w:t>
      </w:r>
    </w:p>
    <w:p w14:paraId="31793740" w14:textId="124966EC" w:rsidR="009D7677" w:rsidRDefault="009D7677" w:rsidP="009D7677">
      <w:pPr>
        <w:pStyle w:val="TextoNormalCentrado"/>
        <w:keepNext/>
      </w:pPr>
    </w:p>
    <w:p w14:paraId="62971F66" w14:textId="77777777" w:rsidR="009D7677" w:rsidRDefault="009D7677" w:rsidP="009D7677">
      <w:pPr>
        <w:pStyle w:val="TextoNormal"/>
      </w:pPr>
      <w:r>
        <w:t>En el recurso de amparo núm. 4549-2022, promovido por don Pablo López Maestre, contra el auto de 20 de octubre de 2021 dictado por el Juzgado de lo Penal núm. 2 de Córdoba, que acordaba la revocación de la suspensión de la pena privativa de libertad impuesta al recurrente en sentencia de 9 de marzo de 2018 y contra el auto de 29 de marzo de 2022, dictado por la Sección Tercera de la Audiencia Provincial de Córdoba, desestimatorio del recurso de apelación interpuesto contra la anterior resolución, ambas dictados en la ejecutoria penal núm. 445-2018. Ha intervenido como parte personada doña Luisa Fernández Rodríguez. Ha actuado el Ministerio Fiscal. Ha sido ponente la magistrada doña Laura Díez Bueso.</w:t>
      </w:r>
    </w:p>
    <w:p w14:paraId="01C7E1C2" w14:textId="2D604DD8" w:rsidR="009D7677" w:rsidRDefault="009D7677" w:rsidP="009D7677">
      <w:pPr>
        <w:pStyle w:val="TextoNormal"/>
      </w:pPr>
    </w:p>
    <w:p w14:paraId="3AF42DF2" w14:textId="77777777" w:rsidR="009D7677" w:rsidRDefault="009D7677" w:rsidP="009D7677">
      <w:pPr>
        <w:pStyle w:val="TextoNormalNegritaCentrado"/>
        <w:keepNext/>
      </w:pPr>
      <w:r>
        <w:lastRenderedPageBreak/>
        <w:t>I. Antecedentes</w:t>
      </w:r>
    </w:p>
    <w:p w14:paraId="6D369412" w14:textId="61DB73BE" w:rsidR="009D7677" w:rsidRDefault="009D7677" w:rsidP="009D7677">
      <w:pPr>
        <w:pStyle w:val="TextoNormalNegritaCentrado"/>
        <w:keepNext/>
      </w:pPr>
    </w:p>
    <w:p w14:paraId="4A86CE04" w14:textId="28374839" w:rsidR="009D7677" w:rsidRDefault="009D7677" w:rsidP="009D7677">
      <w:pPr>
        <w:pStyle w:val="TextoNormal"/>
      </w:pPr>
      <w:r w:rsidRPr="009D7677">
        <w:rPr>
          <w:rStyle w:val="NumeroAFNegritaCaracter"/>
        </w:rPr>
        <w:t>1</w:t>
      </w:r>
      <w:r>
        <w:t>. Mediante escrito presentado en el registro general de este tribunal de 23 de junio de 2022, don Pablo López Maestre, abogado en ejercicio actuando en defensa de sus derechos e intereses propios, interpuso demanda de amparo contra las resoluciones arriba mencionadas.</w:t>
      </w:r>
    </w:p>
    <w:p w14:paraId="3977123B" w14:textId="77777777" w:rsidR="009D7677" w:rsidRDefault="009D7677" w:rsidP="009D7677">
      <w:pPr>
        <w:pStyle w:val="TextoNormal"/>
      </w:pPr>
    </w:p>
    <w:p w14:paraId="166598D6" w14:textId="77777777" w:rsidR="009D7677" w:rsidRDefault="009D7677" w:rsidP="009D7677">
      <w:pPr>
        <w:pStyle w:val="TextoNormal"/>
      </w:pPr>
      <w:r w:rsidRPr="009D7677">
        <w:rPr>
          <w:rStyle w:val="NumeroAFNegritaCaracter"/>
        </w:rPr>
        <w:t>2</w:t>
      </w:r>
      <w:r>
        <w:t>. Los hechos en los que tiene su origen el presente recurso y relevantes para su resolución son, en síntesis, los siguientes:</w:t>
      </w:r>
    </w:p>
    <w:p w14:paraId="210B8291" w14:textId="77777777" w:rsidR="009D7677" w:rsidRDefault="009D7677" w:rsidP="009D7677">
      <w:pPr>
        <w:pStyle w:val="TextoNormal"/>
      </w:pPr>
    </w:p>
    <w:p w14:paraId="16010145" w14:textId="77777777" w:rsidR="009D7677" w:rsidRDefault="009D7677" w:rsidP="009D7677">
      <w:pPr>
        <w:pStyle w:val="TextoNormal"/>
      </w:pPr>
      <w:r>
        <w:t>a) El demandante de amparo fue condenado en sentencia núm. 80/2018, de 9 de marzo, dictada por el Juzgado de lo Penal núm. 2 de Córdoba (procedimiento abreviado núm. 221-2017), como autor de un delito de abandono de familia, en su modalidad de impago de pensiones [art. 227 del Código penal (CP)] a la pena de seis meses de prisión, inhabilitación especial para el derecho de sufragio pasivo durante la condena, pago de las costas procesales y al abono de 10 080,16 € en concepto de responsabilidad civil. Esta sentencia fue declarada firme el 7 de septiembre de 2018.</w:t>
      </w:r>
    </w:p>
    <w:p w14:paraId="2115D616" w14:textId="77777777" w:rsidR="009D7677" w:rsidRDefault="009D7677" w:rsidP="009D7677">
      <w:pPr>
        <w:pStyle w:val="TextoNormal"/>
      </w:pPr>
    </w:p>
    <w:p w14:paraId="202A8EF4" w14:textId="77777777" w:rsidR="009D7677" w:rsidRDefault="009D7677" w:rsidP="009D7677">
      <w:pPr>
        <w:pStyle w:val="TextoNormal"/>
      </w:pPr>
      <w:r>
        <w:t>b) Por auto de 13 de marzo de 2019 y tras recabar la averiguación patrimonial del penado, el Juzgado de lo Penal núm. 2 de Córdoba (ejecutoria penal núm. 445-2018) acordó declarar la insolvencia del penado, así como denegar la concesión del beneficio de la suspensión de la pena por no haber satisfecho la responsabilidad civil “salvo pago al menos parcial de una quinta parte de la responsabilidad civil fijada en sentencia y asunción de un compromiso de pago de las que se vengan devengando en el futuro”. Esta resolución fue confirmada por la Sección Tercera de la Audiencia Provincial de Córdoba en virtud de auto de 30 de septiembre de 2019.</w:t>
      </w:r>
    </w:p>
    <w:p w14:paraId="6C0C0E86" w14:textId="77777777" w:rsidR="009D7677" w:rsidRDefault="009D7677" w:rsidP="009D7677">
      <w:pPr>
        <w:pStyle w:val="TextoNormal"/>
      </w:pPr>
    </w:p>
    <w:p w14:paraId="17C4D963" w14:textId="77777777" w:rsidR="009D7677" w:rsidRDefault="009D7677" w:rsidP="009D7677">
      <w:pPr>
        <w:pStyle w:val="TextoNormal"/>
      </w:pPr>
      <w:r>
        <w:t>c) Por auto de 11 de septiembre de 2020, el Juzgado de lo Penal núm. 2 de Córdoba, tras el abono por el demandante de 2060 € en concepto de responsabilidad civil, acordó concederle el beneficio de la suspensión de la pena privativa de libertad por un plazo de dos años sujeto a las siguientes condiciones:</w:t>
      </w:r>
    </w:p>
    <w:p w14:paraId="71710D1D" w14:textId="77777777" w:rsidR="009D7677" w:rsidRDefault="009D7677" w:rsidP="009D7677">
      <w:pPr>
        <w:pStyle w:val="TextoNormal"/>
      </w:pPr>
    </w:p>
    <w:p w14:paraId="03BE52E3" w14:textId="77777777" w:rsidR="009D7677" w:rsidRDefault="009D7677" w:rsidP="009D7677">
      <w:pPr>
        <w:pStyle w:val="TextoNormal"/>
      </w:pPr>
      <w:r>
        <w:t>“— Que el acusado no cometa delito alguno en el plazo referido, apercibiéndole de que de cometer algún delito durante el término de la suspensión se acordará el cumplimiento de la pena suspendida.</w:t>
      </w:r>
    </w:p>
    <w:p w14:paraId="0C5A0012" w14:textId="77777777" w:rsidR="009D7677" w:rsidRDefault="009D7677" w:rsidP="009D7677">
      <w:pPr>
        <w:pStyle w:val="TextoNormal"/>
      </w:pPr>
    </w:p>
    <w:p w14:paraId="1293704A" w14:textId="77777777" w:rsidR="009D7677" w:rsidRDefault="009D7677" w:rsidP="009D7677">
      <w:pPr>
        <w:pStyle w:val="TextoNormal"/>
      </w:pPr>
      <w:r>
        <w:t>— Que el acusado realice un primer pago de 2000 € en el plazo de los diez días desde la notificación de la presente resolución y a partir de ahí abone mensualmente 336 € hasta la completa satisfacción de la indemnización fijada en sentencia, apercibiéndole de que de no atender los referidos pagos se acordará el cumplimiento de la pena suspendida”.</w:t>
      </w:r>
    </w:p>
    <w:p w14:paraId="7D21EB14" w14:textId="77777777" w:rsidR="009D7677" w:rsidRDefault="009D7677" w:rsidP="009D7677">
      <w:pPr>
        <w:pStyle w:val="TextoNormal"/>
      </w:pPr>
    </w:p>
    <w:p w14:paraId="7DFA88B8" w14:textId="77777777" w:rsidR="009D7677" w:rsidRDefault="009D7677" w:rsidP="009D7677">
      <w:pPr>
        <w:pStyle w:val="TextoNormal"/>
      </w:pPr>
      <w:r>
        <w:t>d) El demandante de amparo interpuso recurso de reforma alegando la falta de capacidad económica para hacer frente al pago de la responsabilidad civil, que fue desestimado por auto de 14 de abril de 2021 dictado por el juzgado de lo penal por entender que el actor no había satisfecho el abono de la pensión de alimentos de sus propios hijos sin acreditar su falta de capacidad económica.</w:t>
      </w:r>
    </w:p>
    <w:p w14:paraId="533715A9" w14:textId="77777777" w:rsidR="009D7677" w:rsidRDefault="009D7677" w:rsidP="009D7677">
      <w:pPr>
        <w:pStyle w:val="TextoNormal"/>
      </w:pPr>
    </w:p>
    <w:p w14:paraId="1FDF6569" w14:textId="77777777" w:rsidR="009D7677" w:rsidRDefault="009D7677" w:rsidP="009D7677">
      <w:pPr>
        <w:pStyle w:val="TextoNormal"/>
      </w:pPr>
      <w:r>
        <w:lastRenderedPageBreak/>
        <w:t>e) Planteado recurso de apelación también fue desestimado por auto de 27 de mayo de 2021 por la audiencia provincial que confirmaba la argumentación del juzgado de instancia, subrayando su recelo y desconfianza acerca de la realidad de la situación patrimonial del recurrente “porque su actividad laboral está inmersa en la economía sumergida”.</w:t>
      </w:r>
    </w:p>
    <w:p w14:paraId="7CE45A2E" w14:textId="77777777" w:rsidR="009D7677" w:rsidRDefault="009D7677" w:rsidP="009D7677">
      <w:pPr>
        <w:pStyle w:val="TextoNormal"/>
      </w:pPr>
    </w:p>
    <w:p w14:paraId="557A1A9C" w14:textId="77777777" w:rsidR="009D7677" w:rsidRDefault="009D7677" w:rsidP="009D7677">
      <w:pPr>
        <w:pStyle w:val="TextoNormal"/>
      </w:pPr>
      <w:r>
        <w:t>f) En fecha 20 de octubre de 2021, constatado el impago de la responsabilidad civil y tras recabar la averiguación patrimonial del penado, el juzgado acordó revocar el beneficio de la suspensión de la pena de prisión concedido “salvo pago inmediato y completo de la responsabilidad civil”. De acuerdo con el razonamiento jurídico único de esta resolución:</w:t>
      </w:r>
    </w:p>
    <w:p w14:paraId="7F71B535" w14:textId="77777777" w:rsidR="009D7677" w:rsidRDefault="009D7677" w:rsidP="009D7677">
      <w:pPr>
        <w:pStyle w:val="TextoNormal"/>
      </w:pPr>
    </w:p>
    <w:p w14:paraId="7E91078A" w14:textId="77777777" w:rsidR="009D7677" w:rsidRDefault="009D7677" w:rsidP="009D7677">
      <w:pPr>
        <w:pStyle w:val="TextoNormal"/>
      </w:pPr>
      <w:r>
        <w:t>“El artículo 86.1 b) establece que el juez revocará la suspensión y ordenará la ejecución de la pena cuando el penado incumpla de forma grave o reiterada las prohibiciones o deberes que se le hubieran impuesto conforme al art. 83.</w:t>
      </w:r>
    </w:p>
    <w:p w14:paraId="22921A37" w14:textId="77777777" w:rsidR="009D7677" w:rsidRDefault="009D7677" w:rsidP="009D7677">
      <w:pPr>
        <w:pStyle w:val="TextoNormal"/>
      </w:pPr>
    </w:p>
    <w:p w14:paraId="683BEBB9" w14:textId="77777777" w:rsidR="009D7677" w:rsidRDefault="009D7677" w:rsidP="009D7677">
      <w:pPr>
        <w:pStyle w:val="TextoNormal"/>
      </w:pPr>
      <w:r>
        <w:t>En el presente supuesto el penado ha incumplido el compromiso de satisfacer la responsabilidad civil por lo que habiendo incumplido una de las condiciones principales para acceder a la suspensión de la pena procede revocar el beneficio con pérdida del aplazamiento dada la entidad de la pena impuesta”.</w:t>
      </w:r>
    </w:p>
    <w:p w14:paraId="6CBA47E2" w14:textId="77777777" w:rsidR="009D7677" w:rsidRDefault="009D7677" w:rsidP="009D7677">
      <w:pPr>
        <w:pStyle w:val="TextoNormal"/>
      </w:pPr>
    </w:p>
    <w:p w14:paraId="38CEE563" w14:textId="77777777" w:rsidR="009D7677" w:rsidRDefault="009D7677" w:rsidP="009D7677">
      <w:pPr>
        <w:pStyle w:val="TextoNormal"/>
      </w:pPr>
      <w:r>
        <w:t>g) Frente a esta resolución, el demandante de amparo interpuso recurso de apelación, alegando como único motivo que no había incumplido “de forma grave o reiterada las prohibiciones o deberes que se le hubieran impuesto conforme al art. 83 CP ya que no se puede incumplir lo que no se exige que se cumpla”.</w:t>
      </w:r>
    </w:p>
    <w:p w14:paraId="456F083B" w14:textId="77777777" w:rsidR="009D7677" w:rsidRDefault="009D7677" w:rsidP="009D7677">
      <w:pPr>
        <w:pStyle w:val="TextoNormal"/>
      </w:pPr>
    </w:p>
    <w:p w14:paraId="48E36446" w14:textId="77777777" w:rsidR="009D7677" w:rsidRDefault="009D7677" w:rsidP="009D7677">
      <w:pPr>
        <w:pStyle w:val="TextoNormal"/>
      </w:pPr>
      <w:r>
        <w:t>El Ministerio Fiscal y la acusación particular impugnaron el recurso interpuesto centrando sus escritos de oposición en la ausencia de pago de responsabilidad civil, sin aludir en momento alguno a la posible comisión de otro delito durante el plazo de suspensión.</w:t>
      </w:r>
    </w:p>
    <w:p w14:paraId="227A14FD" w14:textId="77777777" w:rsidR="009D7677" w:rsidRDefault="009D7677" w:rsidP="009D7677">
      <w:pPr>
        <w:pStyle w:val="TextoNormal"/>
      </w:pPr>
    </w:p>
    <w:p w14:paraId="41551551" w14:textId="77777777" w:rsidR="009D7677" w:rsidRDefault="009D7677" w:rsidP="009D7677">
      <w:pPr>
        <w:pStyle w:val="TextoNormal"/>
      </w:pPr>
      <w:r>
        <w:t>h) El recurso de apelación fue desestimado por auto núm. 249/2022, de 29 de marzo, dictado por la Sección núm. 3 de la Audiencia Provincial de Córdoba. Al efecto, se razona que, con posterioridad a la suspensión de la pena, el recurrente, que no ha afrontado el pago de la responsabilidad civil, volvió a cometer un delito de abandono de familia y, por lo tanto, la revocación de la suspensión resulta necesaria para la evitación de nuevos delitos.</w:t>
      </w:r>
    </w:p>
    <w:p w14:paraId="718B76EA" w14:textId="77777777" w:rsidR="009D7677" w:rsidRDefault="009D7677" w:rsidP="009D7677">
      <w:pPr>
        <w:pStyle w:val="TextoNormal"/>
      </w:pPr>
    </w:p>
    <w:p w14:paraId="226CBCCB" w14:textId="77777777" w:rsidR="009D7677" w:rsidRDefault="009D7677" w:rsidP="009D7677">
      <w:pPr>
        <w:pStyle w:val="TextoNormal"/>
      </w:pPr>
      <w:r>
        <w:t>i) Notificada esta resolución, el demandante de amparo planteó incidente de nulidad de actuaciones negando la comisión de delito alguno durante el plazo de suspensión. Además, el actor reiteraba que no se le había impuesto ninguna condición conforme al art. 83 CP; también alegaba la falta de capacidad económica para hacer frente al pago de la responsabilidad civil y denunciaba la falta de audiencia para resolver sobre la revocación de la suspensión de la pena (art. 86.4 CP).</w:t>
      </w:r>
    </w:p>
    <w:p w14:paraId="72B3394F" w14:textId="77777777" w:rsidR="009D7677" w:rsidRDefault="009D7677" w:rsidP="009D7677">
      <w:pPr>
        <w:pStyle w:val="TextoNormal"/>
      </w:pPr>
    </w:p>
    <w:p w14:paraId="1F4ABB00" w14:textId="6E831D01" w:rsidR="009D7677" w:rsidRDefault="009D7677" w:rsidP="009D7677">
      <w:pPr>
        <w:pStyle w:val="TextoNormal"/>
      </w:pPr>
      <w:r>
        <w:t>j) El incidente de nulidad de actuaciones fue rechazado por auto de 31 de mayo de 2022 dictado por la audiencia provincial con arreglo a la siguiente fundamentación: “El incidente de nulidad planteado al amparo del núm. 4 del art. 86 del CP, y a la luz de la doctrina constitucional al respecto establecido en sentencia de 7 de marzo [</w:t>
      </w:r>
      <w:r w:rsidRPr="009D7677">
        <w:rPr>
          <w:i/>
        </w:rPr>
        <w:t>sic</w:t>
      </w:r>
      <w:r>
        <w:t>], debería ser planteado ante el juzgado de lo penal, ya que no es propio del rollo de apelación”.</w:t>
      </w:r>
    </w:p>
    <w:p w14:paraId="168C2390" w14:textId="77777777" w:rsidR="009D7677" w:rsidRDefault="009D7677" w:rsidP="009D7677">
      <w:pPr>
        <w:pStyle w:val="TextoNormal"/>
      </w:pPr>
    </w:p>
    <w:p w14:paraId="759F749A" w14:textId="77777777" w:rsidR="009D7677" w:rsidRDefault="009D7677" w:rsidP="009D7677">
      <w:pPr>
        <w:pStyle w:val="TextoNormal"/>
      </w:pPr>
      <w:r w:rsidRPr="009D7677">
        <w:rPr>
          <w:rStyle w:val="NumeroAFNegritaCaracter"/>
        </w:rPr>
        <w:lastRenderedPageBreak/>
        <w:t>3</w:t>
      </w:r>
      <w:r>
        <w:t>. La demanda de amparo plantea las siguientes quejas constitucionales:</w:t>
      </w:r>
    </w:p>
    <w:p w14:paraId="71777610" w14:textId="77777777" w:rsidR="009D7677" w:rsidRDefault="009D7677" w:rsidP="009D7677">
      <w:pPr>
        <w:pStyle w:val="TextoNormal"/>
      </w:pPr>
    </w:p>
    <w:p w14:paraId="44D57D39" w14:textId="77777777" w:rsidR="009D7677" w:rsidRDefault="009D7677" w:rsidP="009D7677">
      <w:pPr>
        <w:pStyle w:val="TextoNormal"/>
      </w:pPr>
      <w:r>
        <w:t>(i) Vulneración del derecho a la tutela judicial efectiva (art. 24.1 CE) en relación con el derecho a obtener una resolución motivada fundada en Derecho (art. 120.3 CE) y el derecho fundamental a la libertad (art. 17.1 CE). Tras la cita de la doctrina constitucional en materia de motivación de resoluciones judiciales y error patente, el recurrente argumenta que el auto de 11 de septiembre de 2020, dictado por el juzgado de lo penal que acuerda la revocación del beneficio de la suspensión con arreglo al art. 86.1 b) CP por incumplimiento de las condiciones del art. 83 CP incurre en un error patente, al no haberse condicionado la suspensión de la pena a ninguno de los requisitos fijados en el mencionado precepto. Añade que, en todo caso, al carecer el penado de capacidad económica tal y como acredita la previa declaración de insolvencia, la revocación del beneficio de la suspensión por impago de la responsabilidad civil [es decir, con arreglo al art. 86.1 d) CP] contravendría la doctrina constitucional reflejada en la STC 32/2022, de 7 de marzo.</w:t>
      </w:r>
    </w:p>
    <w:p w14:paraId="08C45B43" w14:textId="77777777" w:rsidR="009D7677" w:rsidRDefault="009D7677" w:rsidP="009D7677">
      <w:pPr>
        <w:pStyle w:val="TextoNormal"/>
      </w:pPr>
    </w:p>
    <w:p w14:paraId="40CFC11E" w14:textId="77777777" w:rsidR="009D7677" w:rsidRDefault="009D7677" w:rsidP="009D7677">
      <w:pPr>
        <w:pStyle w:val="TextoNormal"/>
      </w:pPr>
      <w:r>
        <w:t xml:space="preserve">(ii) Vulneración del derecho a la tutela judicial efectiva con indefensión (art. 24.1 CE), a un proceso público con todas las garantías, a la presunción de inocencia (art. 24.2 CE) y del derecho fundamental a la libertad (art. 17.1 CE). El recurrente denuncia que el auto de 29 de marzo de 2022 dictado por la audiencia provincial introduce, </w:t>
      </w:r>
      <w:r w:rsidRPr="009D7677">
        <w:rPr>
          <w:i/>
        </w:rPr>
        <w:t>ex novo</w:t>
      </w:r>
      <w:r>
        <w:t>, como motivo de revocación de la suspensión de la pena, la comisión de un delito de abandono de familia durante el plazo de suspensión. De nuevo, con cita de la STC 32/2022 y constatada la inexistencia de condena alguna durante el plazo de suspensión, considera que la falta de motivación o irrazonabilidad de la resolución crea una clara indefensión al penado produciendo un evidente efecto negativo en su derecho a la libertad.</w:t>
      </w:r>
    </w:p>
    <w:p w14:paraId="490D2F38" w14:textId="77777777" w:rsidR="009D7677" w:rsidRDefault="009D7677" w:rsidP="009D7677">
      <w:pPr>
        <w:pStyle w:val="TextoNormal"/>
      </w:pPr>
    </w:p>
    <w:p w14:paraId="7E19BEFC" w14:textId="77777777" w:rsidR="009D7677" w:rsidRDefault="009D7677" w:rsidP="009D7677">
      <w:pPr>
        <w:pStyle w:val="TextoNormal"/>
      </w:pPr>
      <w:r>
        <w:t>(iii) La imputación de un delito inexistente al hoy demandante de amparo por parte de la audiencia provincial supone una vulneración, entre otros de los derechos a la tutela judicial efectiva y a la presunción de inocencia (art. 24.1 y 2 CE).</w:t>
      </w:r>
    </w:p>
    <w:p w14:paraId="49E649A2" w14:textId="77777777" w:rsidR="009D7677" w:rsidRDefault="009D7677" w:rsidP="009D7677">
      <w:pPr>
        <w:pStyle w:val="TextoNormal"/>
      </w:pPr>
    </w:p>
    <w:p w14:paraId="578554D5" w14:textId="7C405BA6" w:rsidR="009D7677" w:rsidRDefault="009D7677" w:rsidP="009D7677">
      <w:pPr>
        <w:pStyle w:val="TextoNormal"/>
      </w:pPr>
      <w:r>
        <w:t>Por todo ello, el actor solicita la estimación de su recurso e interesa la suspensión de la ejecución de la condena “con carácter de urgencia excepcional ya que ha sido requerido para el ingreso en prisión”.</w:t>
      </w:r>
    </w:p>
    <w:p w14:paraId="0D6904F2" w14:textId="77777777" w:rsidR="009D7677" w:rsidRDefault="009D7677" w:rsidP="009D7677">
      <w:pPr>
        <w:pStyle w:val="TextoNormal"/>
      </w:pPr>
    </w:p>
    <w:p w14:paraId="4CFD413B" w14:textId="164CF702" w:rsidR="009D7677" w:rsidRDefault="009D7677" w:rsidP="009D7677">
      <w:pPr>
        <w:pStyle w:val="TextoNormal"/>
      </w:pPr>
      <w:r w:rsidRPr="009D7677">
        <w:rPr>
          <w:rStyle w:val="NumeroAFNegritaCaracter"/>
        </w:rPr>
        <w:t>4</w:t>
      </w:r>
      <w:r>
        <w:t>. La Secretaría de Justicia de la Sección Cuarta, Sala Segunda, de este tribunal dictó diligencia de ordenación de 14 de julio de 2022 por la que acordó recabar copia de la hoja histórico penal actualizada del penado y recurrente don Pablo López Maestre que fue remitida el mismo día y en la que no consta condena del penado por la comisión de delito alguno durante el plazo de suspensión de la ejecución de la pena.</w:t>
      </w:r>
    </w:p>
    <w:p w14:paraId="7C319911" w14:textId="77777777" w:rsidR="009D7677" w:rsidRDefault="009D7677" w:rsidP="009D7677">
      <w:pPr>
        <w:pStyle w:val="TextoNormal"/>
      </w:pPr>
    </w:p>
    <w:p w14:paraId="044A509E" w14:textId="5698BD37" w:rsidR="009D7677" w:rsidRDefault="009D7677" w:rsidP="009D7677">
      <w:pPr>
        <w:pStyle w:val="TextoNormal"/>
      </w:pPr>
      <w:r w:rsidRPr="009D7677">
        <w:rPr>
          <w:rStyle w:val="NumeroAFNegritaCaracter"/>
        </w:rPr>
        <w:t>5</w:t>
      </w:r>
      <w:r>
        <w:t>. La Sección Cuarta de la Sala Segunda del Tribunal Constitucional dictó providencia el 20 de julio de 2022 por la que acordó admitir a trámite el recurso, “apreciando que concurre en el mismo una especial trascendencia constitucional [art. 50.1 de la Ley Orgánica del Tribunal Constitucional (LOTC)], porque el recurso puede dar ocasión al Tribunal para aclarar o cambiar su doctrina, como consecuencia de un proceso de reflexión interna [STC 155/2009, FJ 2 b)]”. Acordó dirigirse a la Sección Tercera de la Audiencia Provincial de Córdoba, para que remitiese, en plazo que no excediese de diez días testimonio de las actuaciones correspondientes al rollo de apelación núm. 1273-2021 y también al Juz</w:t>
      </w:r>
      <w:r>
        <w:lastRenderedPageBreak/>
        <w:t>gado de lo Penal núm. 2 de Córdoba a fin de que remitiese en el mismo plazo testimonio íntegro de lo actuado en la ejecutoria núm. 445-2018 y para que emplazase a quienes hubieran sido parte en el procedimiento, excepto la parte recurrente en amparo, en el plazo de diez días. Asimismo, y en respuesta a la petición cautelar, se acordó formar la oportuna pieza para la tramitación de la suspensión solicitada.</w:t>
      </w:r>
    </w:p>
    <w:p w14:paraId="5ABD270B" w14:textId="77777777" w:rsidR="009D7677" w:rsidRDefault="009D7677" w:rsidP="009D7677">
      <w:pPr>
        <w:pStyle w:val="TextoNormal"/>
      </w:pPr>
    </w:p>
    <w:p w14:paraId="1382A674" w14:textId="0B724029" w:rsidR="009D7677" w:rsidRDefault="009D7677" w:rsidP="009D7677">
      <w:pPr>
        <w:pStyle w:val="TextoNormal"/>
      </w:pPr>
      <w:r w:rsidRPr="009D7677">
        <w:rPr>
          <w:rStyle w:val="NumeroAFNegritaCaracter"/>
        </w:rPr>
        <w:t>6</w:t>
      </w:r>
      <w:r>
        <w:t>. Tras el trámite de alegaciones de las partes personadas y del fiscal, la Sala Segunda de este tribunal dictó ATC 123/2022, de 26 de septiembre, acordando conceder la medida cautelar solicitada y, en consecuencia, suspender la ejecución de la pena de seis meses de prisión impuesta al recurrente mientras se tramita el presente recurso de amparo.</w:t>
      </w:r>
    </w:p>
    <w:p w14:paraId="55142DDF" w14:textId="77777777" w:rsidR="009D7677" w:rsidRDefault="009D7677" w:rsidP="009D7677">
      <w:pPr>
        <w:pStyle w:val="TextoNormal"/>
      </w:pPr>
    </w:p>
    <w:p w14:paraId="1CF3D394" w14:textId="5187825E" w:rsidR="009D7677" w:rsidRDefault="009D7677" w:rsidP="009D7677">
      <w:pPr>
        <w:pStyle w:val="TextoNormal"/>
      </w:pPr>
      <w:r w:rsidRPr="009D7677">
        <w:rPr>
          <w:rStyle w:val="NumeroAFNegritaCaracter"/>
        </w:rPr>
        <w:t>7</w:t>
      </w:r>
      <w:r>
        <w:t>. Por escrito presentado en el registro de este tribunalel 22 de diciembre de 2022, doña Luisa Fernández Rodríguez, acusación particular en vía judicial, interesó se la tuviera por personada y solicitó se designase abogado y procurador del turno de oficio.</w:t>
      </w:r>
    </w:p>
    <w:p w14:paraId="008F782E" w14:textId="77777777" w:rsidR="009D7677" w:rsidRDefault="009D7677" w:rsidP="009D7677">
      <w:pPr>
        <w:pStyle w:val="TextoNormal"/>
      </w:pPr>
    </w:p>
    <w:p w14:paraId="3E0812B9" w14:textId="160BD943" w:rsidR="009D7677" w:rsidRDefault="009D7677" w:rsidP="009D7677">
      <w:pPr>
        <w:pStyle w:val="TextoNormal"/>
      </w:pPr>
      <w:r w:rsidRPr="009D7677">
        <w:rPr>
          <w:rStyle w:val="NumeroAFNegritaCaracter"/>
        </w:rPr>
        <w:t>8</w:t>
      </w:r>
      <w:r>
        <w:t>. Mediante diligencia de ordenación de 19 de enero de 2023, se acordó poner en conocimiento del Ministerio Fiscal y de las partes que en virtud del acuerdo adoptado por el Pleno del Tribunal Constitucional el día 17 de enero de 2023, publicado en el “Boletín Oficial del Estado” del siguiente 19 de enero, el presente recurso de amparo había sido turnado a la Sección Tercera del Tribunal Constitucional.</w:t>
      </w:r>
    </w:p>
    <w:p w14:paraId="46B77C57" w14:textId="77777777" w:rsidR="009D7677" w:rsidRDefault="009D7677" w:rsidP="009D7677">
      <w:pPr>
        <w:pStyle w:val="TextoNormal"/>
      </w:pPr>
    </w:p>
    <w:p w14:paraId="4D2CAA91" w14:textId="1C8C9D0D" w:rsidR="009D7677" w:rsidRDefault="009D7677" w:rsidP="009D7677">
      <w:pPr>
        <w:pStyle w:val="TextoNormal"/>
      </w:pPr>
      <w:r w:rsidRPr="009D7677">
        <w:rPr>
          <w:rStyle w:val="NumeroAFNegritaCaracter"/>
        </w:rPr>
        <w:t>9</w:t>
      </w:r>
      <w:r>
        <w:t>. Con fecha 21 de febrero de 2023, la Secretaría de Justicia de la Sala Segunda de este tribunal dictó diligencia de ordenación por la que, de un lado, acordó tener por personado al procurador de los tribunales don Mariano Cristóbal López en nombre y representación de doña Luisa Fernández Rodríguez asistida de la letrada doña Encarnación Sanjuan Arranz y, por otro lado, conforme a lo dispuesto en el art. 52.1 LOTC, acordó dar vista de las actuaciones por un plazo común de veinte días a las partes personadas y al Ministerio Fiscal.</w:t>
      </w:r>
    </w:p>
    <w:p w14:paraId="7A6C2869" w14:textId="77777777" w:rsidR="009D7677" w:rsidRDefault="009D7677" w:rsidP="009D7677">
      <w:pPr>
        <w:pStyle w:val="TextoNormal"/>
      </w:pPr>
    </w:p>
    <w:p w14:paraId="09DA3104" w14:textId="3A01D211" w:rsidR="009D7677" w:rsidRDefault="009D7677" w:rsidP="009D7677">
      <w:pPr>
        <w:pStyle w:val="TextoNormal"/>
      </w:pPr>
      <w:r w:rsidRPr="009D7677">
        <w:rPr>
          <w:rStyle w:val="NumeroAFNegritaCaracter"/>
        </w:rPr>
        <w:t>10</w:t>
      </w:r>
      <w:r>
        <w:t>. Doña Luisa Fernández Rodríguez, acusación particular en la causa, por escrito presentado en el registro de este tribunal el día 3 de marzo de 2023, interesó la estimación parcial del recurso de amparo en el sentido de dejar sin efecto los autos dictados por la Sección Tercera de la Audiencia Provincial de Córdoba que resuelve el incidente de nulidad y el recurso de apelación interpuesto por el demandante de amparo. En este sentido, solicitó acordar retrotraer las actuaciones al momento inmediatamente anterior a resolver el recurso de apelación interpuesto contra el auto de 20 de octubre de 2021 dictado por el Juzgado de lo Penal núm. 2 de Córdoba para que la misma sección con una nueva composición o distinta sección de la audiencia provincial resuelva el recurso de apelación interpuesto. Entiende la parte que el auto dictado por la Sección Tercera de la Audiencia Provincial de Córdoba vulnera el derecho a la tutela judicial efectiva del recurrente al fundamentar la desestimación del recurso en la comisión de un delito, hecho que no se encuentra acreditado en las actuaciones. Afirma además que, de esta vulneración se contagia el auto de la misma sección de la audiencia que resuelve el incidente de nulidad planteado por el penado.</w:t>
      </w:r>
    </w:p>
    <w:p w14:paraId="49612536" w14:textId="77777777" w:rsidR="009D7677" w:rsidRDefault="009D7677" w:rsidP="009D7677">
      <w:pPr>
        <w:pStyle w:val="TextoNormal"/>
      </w:pPr>
    </w:p>
    <w:p w14:paraId="54ECFAF9" w14:textId="77777777" w:rsidR="009D7677" w:rsidRDefault="009D7677" w:rsidP="009D7677">
      <w:pPr>
        <w:pStyle w:val="TextoNormal"/>
      </w:pPr>
      <w:r w:rsidRPr="009D7677">
        <w:rPr>
          <w:rStyle w:val="NumeroAFNegritaCaracter"/>
        </w:rPr>
        <w:lastRenderedPageBreak/>
        <w:t>11</w:t>
      </w:r>
      <w:r>
        <w:t>. La fiscal ante el Tribunal Constitucional, en su escrito presentado el 12 de abril de 2023, interesó la estimación del recurso de amparo y la anulación del auto dictado por el Juzgado de lo Penal núm 2 de Córdoba en fecha 20 de octubre de 2021 así como las posteriores resoluciones que traen causa del mismo.</w:t>
      </w:r>
    </w:p>
    <w:p w14:paraId="1A463DB8" w14:textId="77777777" w:rsidR="009D7677" w:rsidRDefault="009D7677" w:rsidP="009D7677">
      <w:pPr>
        <w:pStyle w:val="TextoNormal"/>
      </w:pPr>
    </w:p>
    <w:p w14:paraId="6BA336C8" w14:textId="77777777" w:rsidR="009D7677" w:rsidRDefault="009D7677" w:rsidP="009D7677">
      <w:pPr>
        <w:pStyle w:val="TextoNormal"/>
      </w:pPr>
      <w:r>
        <w:t xml:space="preserve">Luego de un resumen de los antecedentes del proceso </w:t>
      </w:r>
      <w:r w:rsidRPr="009D7677">
        <w:rPr>
          <w:i/>
        </w:rPr>
        <w:t>a quo</w:t>
      </w:r>
      <w:r>
        <w:t xml:space="preserve"> y expuestos los presupuestos procesales para la viabilidad del recurso, la fiscal ante el Tribunal Constitucional se remite a la doctrina constitucional acerca del deber de motivación de las resoluciones judiciales (con cita de la STC 144/2021, de 12 de julio, FJ 3, y del ATC 1/2023, de 4 de enero, FJ 3) y específicamente la aplicación de un canon reforzado de motivación cuando el derecho a la tutela judicial efectiva incide de alguna manera en la libertad como valor superior del ordenamiento jurídico (entre otras, SSTC 32/2022, de 7 de marzo; 104/2022, de 12 de septiembre, y 132/2022, de 24 de octubre).</w:t>
      </w:r>
    </w:p>
    <w:p w14:paraId="2677E96D" w14:textId="77777777" w:rsidR="009D7677" w:rsidRDefault="009D7677" w:rsidP="009D7677">
      <w:pPr>
        <w:pStyle w:val="TextoNormal"/>
      </w:pPr>
    </w:p>
    <w:p w14:paraId="1423B470" w14:textId="77777777" w:rsidR="009D7677" w:rsidRDefault="009D7677" w:rsidP="009D7677">
      <w:pPr>
        <w:pStyle w:val="TextoNormal"/>
      </w:pPr>
      <w:r>
        <w:t>Entrando en el fondo del asunto y de conformidad con la doctrina expuesta, según la fiscal, el auto de fecha 20 de octubre de 2021, que ordena la revocación del beneficio de la suspensión condicional previamente acordado, incumple el genérico deber de motivación al que deben atender todas las resoluciones judiciales puesto que anuda la consecuencia legal de la revocación a la aplicación de un precepto inadecuado. El auto incurre en irracionalidad o error patente al revocar el beneficio de la suspensión por incumplimiento de las condiciones previstas en el art. 83 CP [art. 86.1 b) CP], precepto que recoge una serie de deberes y prohibiciones, sin que al penado se le hubiera impuesto ninguna de estas. Además, esta resolución, que afecta directamente al derecho a la libertad del hoy demandante de amparo, no satisface en modo alguno el canon reforzado de motivación que de acuerdo con la doctrina constitucional debe darse en estos supuestos. Así, la resolución no hace referencia a la capacidad económica del penado ni contiene ninguna motivación destinada a justificar que la ausencia de pago obedece a una voluntad renuente del penado a dar la debida satisfacción a los perjudicados del delito como fundamento para la revocación del beneficio de la suspensión por falta de pago de la responsabilidad civil [art. 86.1 b) CP]. Todo ello pese a la declaración formal de insolvencia del penado y sus alegaciones a lo largo del proceso acerca de la falta de medios económicos para hacer frente a la responsabilidad civil.</w:t>
      </w:r>
    </w:p>
    <w:p w14:paraId="50CC5283" w14:textId="77777777" w:rsidR="009D7677" w:rsidRDefault="009D7677" w:rsidP="009D7677">
      <w:pPr>
        <w:pStyle w:val="TextoNormal"/>
      </w:pPr>
    </w:p>
    <w:p w14:paraId="00335BDE" w14:textId="6E250D33" w:rsidR="009D7677" w:rsidRDefault="009D7677" w:rsidP="009D7677">
      <w:pPr>
        <w:pStyle w:val="TextoNormal"/>
      </w:pPr>
      <w:r>
        <w:t xml:space="preserve">En virtud de lo expuesto, la fiscal considera que, con arreglo al principio de mayor retroacción, la nulidad radical del referido auto de 20 de octubre de 2021 dictado por el juzgado de lo penal haría decaer el auto dictado posteriormente por la audiencia provincial de fecha de 29 de marzo de 2022. En todo caso, la fiscal argumenta que también esta última resolución supone una nueva infracción del deber de motivación por asentar la decisión de confirmar la revocación de la suspensión del cumplimiento de la pena de prisión en una circunstancia inexistente e introducida </w:t>
      </w:r>
      <w:r w:rsidRPr="009D7677">
        <w:rPr>
          <w:i/>
        </w:rPr>
        <w:t>ex novo</w:t>
      </w:r>
      <w:r>
        <w:t xml:space="preserve"> como es la comisión de un delito durante el plazo de suspensión.</w:t>
      </w:r>
    </w:p>
    <w:p w14:paraId="061615B5" w14:textId="77777777" w:rsidR="009D7677" w:rsidRDefault="009D7677" w:rsidP="009D7677">
      <w:pPr>
        <w:pStyle w:val="TextoNormal"/>
      </w:pPr>
    </w:p>
    <w:p w14:paraId="22F01F03" w14:textId="70E27447" w:rsidR="009D7677" w:rsidRDefault="009D7677" w:rsidP="009D7677">
      <w:pPr>
        <w:pStyle w:val="TextoNormal"/>
      </w:pPr>
      <w:r w:rsidRPr="009D7677">
        <w:rPr>
          <w:rStyle w:val="NumeroAFNegritaCaracter"/>
        </w:rPr>
        <w:t>12</w:t>
      </w:r>
      <w:r>
        <w:t>. Por providencia de 3 de mayo de 2024, se señaló para deliberación y votación de la presente sentencia el día 6 del mismo mes y año.</w:t>
      </w:r>
    </w:p>
    <w:p w14:paraId="510DA329" w14:textId="77777777" w:rsidR="009D7677" w:rsidRDefault="009D7677" w:rsidP="009D7677">
      <w:pPr>
        <w:pStyle w:val="TextoNormal"/>
      </w:pPr>
    </w:p>
    <w:p w14:paraId="534254DC" w14:textId="77777777" w:rsidR="009D7677" w:rsidRDefault="009D7677" w:rsidP="009D7677">
      <w:pPr>
        <w:pStyle w:val="TextoNormalNegritaCentrado"/>
        <w:keepNext/>
      </w:pPr>
      <w:r>
        <w:lastRenderedPageBreak/>
        <w:t>II. Fundamentos jurídicos</w:t>
      </w:r>
    </w:p>
    <w:p w14:paraId="16648CBD" w14:textId="2A77DC11" w:rsidR="009D7677" w:rsidRDefault="009D7677" w:rsidP="009D7677">
      <w:pPr>
        <w:pStyle w:val="TextoNormalNegritaCentrado"/>
        <w:keepNext/>
      </w:pPr>
    </w:p>
    <w:p w14:paraId="4118D081" w14:textId="77777777" w:rsidR="009D7677" w:rsidRDefault="009D7677" w:rsidP="009D7677">
      <w:pPr>
        <w:pStyle w:val="TextoNormal"/>
      </w:pPr>
      <w:r w:rsidRPr="009D7677">
        <w:rPr>
          <w:rStyle w:val="NumeroAFNegritaCaracter"/>
        </w:rPr>
        <w:t>1</w:t>
      </w:r>
      <w:r>
        <w:t xml:space="preserve">. </w:t>
      </w:r>
      <w:r w:rsidRPr="009D7677">
        <w:rPr>
          <w:i/>
        </w:rPr>
        <w:t>Objeto del recurso y pretensiones de las partes</w:t>
      </w:r>
    </w:p>
    <w:p w14:paraId="5D21D542" w14:textId="77777777" w:rsidR="009D7677" w:rsidRDefault="009D7677" w:rsidP="009D7677">
      <w:pPr>
        <w:pStyle w:val="TextoNormal"/>
      </w:pPr>
    </w:p>
    <w:p w14:paraId="24F8B5E1" w14:textId="77777777" w:rsidR="009D7677" w:rsidRDefault="009D7677" w:rsidP="009D7677">
      <w:pPr>
        <w:pStyle w:val="TextoNormal"/>
      </w:pPr>
      <w:r>
        <w:t>El presente recurso tiene por objeto determinar si las resoluciones impugnadas en las que se acordó y confirmó la revocación del beneficio de la suspensión de la pena de seis meses de prisión impuesta al recurrente vulneraron su derecho a la tutela judicial efectiva (art. 24.1 CE) en relación con el derecho a la libertad personal (art. 17. 1 CE).</w:t>
      </w:r>
    </w:p>
    <w:p w14:paraId="0FB52067" w14:textId="77777777" w:rsidR="009D7677" w:rsidRDefault="009D7677" w:rsidP="009D7677">
      <w:pPr>
        <w:pStyle w:val="TextoNormal"/>
      </w:pPr>
    </w:p>
    <w:p w14:paraId="2260D395" w14:textId="77777777" w:rsidR="009D7677" w:rsidRDefault="009D7677" w:rsidP="009D7677">
      <w:pPr>
        <w:pStyle w:val="TextoNormal"/>
      </w:pPr>
      <w:r>
        <w:t>El recurrente considera que, tanto la resolución de 20 de octubre de 2021 dictada por el Juzgado de lo Penal núm. 2 de Córdoba, como el auto dictado por la Sección Tercera de la Audiencia Provincial de Córdoba confirmando esta decisión, incurren en un déficit de motivación al fundamentarse en error patente. La decisión inicial del juzgado de lo penal de revocar el beneficio de la suspensión de la pena se justifica en el incumplimiento de deberes o prohibiciones que, sin embargo, no le habían sido previamente impuestos y, por lo tanto, no le eran exigibles [art. 86.1 b) en relación con el art. 83 CP]. La confirmación de esta decisión por la audiencia provincial se asienta, además, sobre un nuevo motivo inexistente —la constatación de la comisión de un delito de abandono de familia durante el plazo de suspensión—. Según el recurrente, en cualquier caso y de acuerdo con la doctrina constitucional (STC 32/2022, de 7 de marzo), la acreditación de la falta de medios económicos suficientes para hacer frente al pago de la responsabilidad civil imposibilita la revocación del beneficio de la suspensión por este motivo. Por último, añade, sin ulterior desarrollo, que la imputación de un delito inexistente por parte de la audiencia provincial supondría una clara vulneración de las garantías procesales y del derecho a la presunción de inocencia (art. 24 CE).</w:t>
      </w:r>
    </w:p>
    <w:p w14:paraId="12FBC7BB" w14:textId="77777777" w:rsidR="009D7677" w:rsidRDefault="009D7677" w:rsidP="009D7677">
      <w:pPr>
        <w:pStyle w:val="TextoNormal"/>
      </w:pPr>
    </w:p>
    <w:p w14:paraId="13173C1C" w14:textId="77777777" w:rsidR="009D7677" w:rsidRDefault="009D7677" w:rsidP="009D7677">
      <w:pPr>
        <w:pStyle w:val="TextoNormal"/>
      </w:pPr>
      <w:r>
        <w:t>Doña Luisa Fernández Rodríguez, acusación particular en el procedimiento, solicita la estimación parcial del recurso por considerar que el auto dictado en grado de apelación es incongruente con el recurso interpuesto por el demandante de amparo y, además, no consta que este haya cometido delito alguno durante el plazo de suspensión. En este sentido, entiende que el incidente de nulidad de actuaciones planteado por el actor debió de ser estimado y, por ello, solicita la retroacción de las actuaciones al momento inmediatamente anterior al dictado del mismo.</w:t>
      </w:r>
    </w:p>
    <w:p w14:paraId="5BAE5504" w14:textId="77777777" w:rsidR="009D7677" w:rsidRDefault="009D7677" w:rsidP="009D7677">
      <w:pPr>
        <w:pStyle w:val="TextoNormal"/>
      </w:pPr>
    </w:p>
    <w:p w14:paraId="66D8D7FC" w14:textId="6A98E4B7" w:rsidR="009D7677" w:rsidRDefault="009D7677" w:rsidP="009D7677">
      <w:pPr>
        <w:pStyle w:val="TextoNormal"/>
      </w:pPr>
      <w:r>
        <w:t xml:space="preserve">La fiscal, por su parte, solicita la estimación íntegra del recurso. Argumenta que la primera resolución dictada por el juzgado de lo penal acordando la revocación de la suspensión de la pena incurre en error patente, pues no se impuso al penado deber o condición </w:t>
      </w:r>
      <w:r w:rsidRPr="009D7677">
        <w:rPr>
          <w:i/>
        </w:rPr>
        <w:t>ex</w:t>
      </w:r>
      <w:r>
        <w:t xml:space="preserve"> art. 86.1.b) CP en relación con el art. 83 CP, al margen de que esta resolución carece de motivación suficiente al revocar el beneficio de la suspensión por impago de la responsabilidad civil sin examinar su capacidad económica. Por lo demás, expone que, de acuerdo con el principio de mayor retroacción, la declaración de nulidad de esta resolución haría innecesario el pronunciamiento de este tribunal acerca de las quejas formuladas contra el auto dictado en segunda instancia, si bien este también vulnera el derecho a la tutela judicial efectiva en relación con el deber de motivación de las resoluciones judiciales, por fundamentar la revocación en un motivo nuevo e inexistente como es la comisión de un hecho delictivo.</w:t>
      </w:r>
    </w:p>
    <w:p w14:paraId="27236C69" w14:textId="77777777" w:rsidR="009D7677" w:rsidRDefault="009D7677" w:rsidP="009D7677">
      <w:pPr>
        <w:pStyle w:val="TextoNormal"/>
      </w:pPr>
    </w:p>
    <w:p w14:paraId="0A2100DD" w14:textId="77777777" w:rsidR="009D7677" w:rsidRDefault="009D7677" w:rsidP="009D7677">
      <w:pPr>
        <w:pStyle w:val="TextoNormal"/>
      </w:pPr>
      <w:r w:rsidRPr="009D7677">
        <w:rPr>
          <w:rStyle w:val="NumeroAFNegritaCaracter"/>
        </w:rPr>
        <w:lastRenderedPageBreak/>
        <w:t>2</w:t>
      </w:r>
      <w:r>
        <w:t xml:space="preserve">. </w:t>
      </w:r>
      <w:r w:rsidRPr="009D7677">
        <w:rPr>
          <w:i/>
        </w:rPr>
        <w:t>Orden de examen de las quejas</w:t>
      </w:r>
    </w:p>
    <w:p w14:paraId="17456875" w14:textId="77777777" w:rsidR="009D7677" w:rsidRDefault="009D7677" w:rsidP="009D7677">
      <w:pPr>
        <w:pStyle w:val="TextoNormal"/>
      </w:pPr>
    </w:p>
    <w:p w14:paraId="5A40CE8F" w14:textId="77777777" w:rsidR="009D7677" w:rsidRDefault="009D7677" w:rsidP="009D7677">
      <w:pPr>
        <w:pStyle w:val="TextoNormal"/>
      </w:pPr>
      <w:r>
        <w:t>Es jurisprudencia consolidada que corresponde a este tribunal determinar tanto el orden del examen de las quejas, como la necesidad o conveniencia de pronunciarse en sentencia sobre todas las lesiones de derechos constitucionales denunciadas, en el caso de que ya se haya apreciado la concurrencia de alguna de ellas (entre otras, SSTC 115/2002, de 20 de mayo, FJ 3; 65/2003, de 7 de abril, FJ 2; 78/2019, de 3 de junio, FJ 2, y 26/2020, de 24 de febrero, FJ 3).</w:t>
      </w:r>
    </w:p>
    <w:p w14:paraId="7420A00D" w14:textId="77777777" w:rsidR="009D7677" w:rsidRDefault="009D7677" w:rsidP="009D7677">
      <w:pPr>
        <w:pStyle w:val="TextoNormal"/>
      </w:pPr>
    </w:p>
    <w:p w14:paraId="27FC6532" w14:textId="685B3B41" w:rsidR="009D7677" w:rsidRDefault="009D7677" w:rsidP="009D7677">
      <w:pPr>
        <w:pStyle w:val="TextoNormal"/>
      </w:pPr>
      <w:r>
        <w:t>En el presente caso, el control constitucional de la posible vulneración del derecho a la tutela judicial efectiva (art. 24.1 CE) en relación con el derecho a la libertad (art. 17.1 CE) debe realizarse desde perspectivas diferentes por ser las posibles afectaciones de dichos derechos sustancialmente distintas y autónomas. Así, la decisión inicial de revocar el beneficio de la suspensión debe ser examinada en relación con el deber de motivación reforzada de las resoluciones que acuerdan la revocación de la suspensión por incumplimiento del pago de la responsabilidad civil, mientras que la resolución dictada en grado de apelación ha de analizarse partiendo de la doctrina del error patente con relevancia constitucional. De este modo, y para asegurar una efectiva reparación de las lesiones ocasionadas al recurrente, abordaremos primero la posible vulneración de derechos por la resolución dictada por el juzgado de lo penal y, en segundo lugar, el alcance de la queja formulada contra el auto dictado por la audiencia provincial.</w:t>
      </w:r>
    </w:p>
    <w:p w14:paraId="21AA3FBB" w14:textId="77777777" w:rsidR="009D7677" w:rsidRDefault="009D7677" w:rsidP="009D7677">
      <w:pPr>
        <w:pStyle w:val="TextoNormal"/>
      </w:pPr>
    </w:p>
    <w:p w14:paraId="694FAB96" w14:textId="77777777" w:rsidR="009D7677" w:rsidRDefault="009D7677" w:rsidP="009D7677">
      <w:pPr>
        <w:pStyle w:val="TextoNormal"/>
      </w:pPr>
      <w:r w:rsidRPr="009D7677">
        <w:rPr>
          <w:rStyle w:val="NumeroAFNegritaCaracter"/>
        </w:rPr>
        <w:t>3</w:t>
      </w:r>
      <w:r>
        <w:t xml:space="preserve">. </w:t>
      </w:r>
      <w:r w:rsidRPr="009D7677">
        <w:rPr>
          <w:i/>
        </w:rPr>
        <w:t>Doctrina constitucional aplicable</w:t>
      </w:r>
    </w:p>
    <w:p w14:paraId="4BF9ACA0" w14:textId="77777777" w:rsidR="009D7677" w:rsidRDefault="009D7677" w:rsidP="009D7677">
      <w:pPr>
        <w:pStyle w:val="TextoNormal"/>
      </w:pPr>
    </w:p>
    <w:p w14:paraId="340D2F3E" w14:textId="77777777" w:rsidR="009D7677" w:rsidRDefault="009D7677" w:rsidP="009D7677">
      <w:pPr>
        <w:pStyle w:val="TextoNormal"/>
      </w:pPr>
      <w:r>
        <w:t>Como se ha adelantado en el fundamento jurídico anterior, las quejas formuladas por el demandante de amparo requieren del examen, por un lado, de la doctrina del deber de motivación de las decisiones revocatorias de la suspensión en los supuestos de impago de la responsabilidad civil; y, por otro lado, del derecho a obtener una resolución motivada y fundada en Derecho en relación con el error patente con relevancia constitucional, como lo es el haber apreciado la comisión de un nuevo delito durante el transcurso del beneficio de la suspensión.</w:t>
      </w:r>
    </w:p>
    <w:p w14:paraId="63F87A12" w14:textId="77777777" w:rsidR="009D7677" w:rsidRDefault="009D7677" w:rsidP="009D7677">
      <w:pPr>
        <w:pStyle w:val="TextoNormal"/>
      </w:pPr>
    </w:p>
    <w:p w14:paraId="6947AF03" w14:textId="77777777" w:rsidR="009D7677" w:rsidRDefault="009D7677" w:rsidP="009D7677">
      <w:pPr>
        <w:pStyle w:val="TextoNormal"/>
      </w:pPr>
      <w:r>
        <w:t>a) Doctrina de la STC 32/2022, de 7 de marzo sobre el deber de motivación de las decisiones de revocación de la suspensión condicional de la ejecución de una pena privativa de libertad por impago de la responsabilidad civil</w:t>
      </w:r>
    </w:p>
    <w:p w14:paraId="127FF454" w14:textId="77777777" w:rsidR="009D7677" w:rsidRDefault="009D7677" w:rsidP="009D7677">
      <w:pPr>
        <w:pStyle w:val="TextoNormal"/>
      </w:pPr>
    </w:p>
    <w:p w14:paraId="202CED63" w14:textId="77777777" w:rsidR="009D7677" w:rsidRDefault="009D7677" w:rsidP="009D7677">
      <w:pPr>
        <w:pStyle w:val="TextoNormal"/>
      </w:pPr>
      <w:r>
        <w:t xml:space="preserve">Este tribunal ha afirmado la existencia de un canon reforzado de motivación cuando el derecho a la tutela judicial efectiva incide de alguna manera en la libertad como valor superior del ordenamiento jurídico. El deber reforzado de motivación en materia de suspensión de la ejecución de la pena privativa de libertad (extrapolable a los supuestos de revocación de la suspensión) se traduce en dos pautas: “(i) en sentido negativo, se ha rechazado reiteradamente que la simple referencia al carácter discrecional de la decisión del órgano judicial constituya motivación suficiente del ejercicio de dicha facultad; (ii) en sentido positivo, se ha especificado que el deber de fundamentación de estas resoluciones judiciales requiere la ponderación de las circunstancias individuales del penado, así como de los valores y bienes jurídicos comprometidos en la decisión, teniendo en cuenta la finalidad principal de la institución, la reeducación y reinserción social, y las otras finalidades, </w:t>
      </w:r>
      <w:r>
        <w:lastRenderedPageBreak/>
        <w:t>de prevención general, que legitiman la pena privativa de libertad” (STC 32/2022, de 7 de marzo, FJ 4, con cita de la STC 320/2006, de 15 de noviembre, FJ 4).</w:t>
      </w:r>
    </w:p>
    <w:p w14:paraId="503A069B" w14:textId="77777777" w:rsidR="009D7677" w:rsidRDefault="009D7677" w:rsidP="009D7677">
      <w:pPr>
        <w:pStyle w:val="TextoNormal"/>
      </w:pPr>
    </w:p>
    <w:p w14:paraId="6E020AE5" w14:textId="77777777" w:rsidR="009D7677" w:rsidRDefault="009D7677" w:rsidP="009D7677">
      <w:pPr>
        <w:pStyle w:val="TextoNormal"/>
      </w:pPr>
      <w:r>
        <w:t>Este tribunal, en su STC 32/2022, de 7 de marzo (posteriormente reiterada en las SSTC 184/2023, de 11 de diciembre, FJ 3, y 39/2024, de 11 de marzo, FJ 3), fijó doctrina acerca del deber de motivación en los casos de revocación de la suspensión de la pena privativa de libertad como consecuencia del impago de la responsabilidad civil, declarando que en estos supuestos, la efectiva capacidad económica para hacer frente al abono de las responsabilidades civiles, como factor de ponderación para la decisión de revocación de la suspensión, exige esperar del juez “un razonamiento con el máximo detalle que en función de las circunstancias del caso sea posible sobre la capacidad económica real del condenado que niega tenerla o haberla perdido” (STC 32/2022, de 7 de marzo, FJ 5).</w:t>
      </w:r>
    </w:p>
    <w:p w14:paraId="5496C62B" w14:textId="77777777" w:rsidR="009D7677" w:rsidRDefault="009D7677" w:rsidP="009D7677">
      <w:pPr>
        <w:pStyle w:val="TextoNormal"/>
      </w:pPr>
    </w:p>
    <w:p w14:paraId="5568EFDD" w14:textId="77777777" w:rsidR="009D7677" w:rsidRDefault="009D7677" w:rsidP="009D7677">
      <w:pPr>
        <w:pStyle w:val="TextoNormal"/>
      </w:pPr>
      <w:r>
        <w:t>Entonces subrayamos que, en ningún caso, la decisión revocatoria por falta de pago podrá adoptarse cuando dicho pago sea imposible. Por ello, corresponde al órgano judicial, en el momento de pronunciarse acerca de la revocación de la suspensión, valorar y justificar si la ausencia de pago de la responsabilidad civil obedece a una voluntad renuente del penado a dar la debida satisfacción a los perjudicados del delito o, por el contrario, responde a una imposibilidad material de hacer frente a sus obligaciones pecuniarias. En esta misma resolución recordamos que “[e]n especial, la motivación de las decisiones judiciales que revocan una suspensión deben tener presente esta regla en su examen de la concurrencia de los presupuestos legales de tal consecuencia, que a su vez la reflejan [art. 86.1 d) CP: ʻsalvo que careciera de capacidad económica para elloʼ], junto con la ponderación de los bienes y derechos en conflicto de conformidad con los fines constitucionalmente fijados de las penas privativas de libertad y la orientación a la reeducación y reinserción social inherente a la figura de la suspensión como alternativa a los efectos contrarios de las penas privativas de libertad cortas” (STC 32/2022, de 7 de marzo, FJ 4).</w:t>
      </w:r>
    </w:p>
    <w:p w14:paraId="254BE93B" w14:textId="77777777" w:rsidR="009D7677" w:rsidRDefault="009D7677" w:rsidP="009D7677">
      <w:pPr>
        <w:pStyle w:val="TextoNormal"/>
      </w:pPr>
    </w:p>
    <w:p w14:paraId="5350DEF3" w14:textId="77777777" w:rsidR="009D7677" w:rsidRDefault="009D7677" w:rsidP="009D7677">
      <w:pPr>
        <w:pStyle w:val="TextoNormal"/>
      </w:pPr>
      <w:r>
        <w:t>b) Doctrina sobre el error patente con relevancia constitucional</w:t>
      </w:r>
    </w:p>
    <w:p w14:paraId="0B5F5EFD" w14:textId="77777777" w:rsidR="009D7677" w:rsidRDefault="009D7677" w:rsidP="009D7677">
      <w:pPr>
        <w:pStyle w:val="TextoNormal"/>
      </w:pPr>
    </w:p>
    <w:p w14:paraId="206084D4" w14:textId="77777777" w:rsidR="009D7677" w:rsidRDefault="009D7677" w:rsidP="009D7677">
      <w:pPr>
        <w:pStyle w:val="TextoNormal"/>
      </w:pPr>
      <w:r>
        <w:t xml:space="preserve">En materia de error patente con relevancia constitucional hemos recordado en numerosas ocasiones que el derecho a la tutela judicial efectiva reconocido en el art. 24.1 CE garantiza el derecho a obtener de los órganos judiciales una resolución motivada que esté fundada en Derecho, “exigencia que no queda cumplida con la mera emisión de una declaración de voluntad en un sentido u otro, sino que debe ser consecuencia de una exégesis racional del ordenamiento jurídico”. No obstante, ello no garantiza la corrección jurídica de la interpretación y aplicación del Derecho llevada a cabo por los jueces y tribunales, pues no existe un pretendido derecho al acierto judicial en la selección, interpretación y aplicación de las normas (por todas STC 46/2020, de 15 de junio, FJ 3). También hemos dicho que el recurso de amparo no es cauce idóneo para corregir posibles errores en la selección, interpretación y aplicación del ordenamiento jurídico al caso, so pena de desvirtuar su naturaleza (STC 226/2000, de 2 de octubre, FJ 3). Sin embargo, el derecho alegado, sí conlleva la garantía de que el fundamento de la decisión sea la interpretación y aplicación no arbitraria de las normas que se consideren adecuadas al caso, pues tanto si la aplicación de la legalidad es fruto de un error patente, como si fuera arbitraria, manifiestamente irrazonada o irrazonable no podría considerarse fundada en Derecho, dado que la aplicación de la legalidad sería tan solo una mera apariencia (entre otras SSTC 87/2000, </w:t>
      </w:r>
      <w:r>
        <w:lastRenderedPageBreak/>
        <w:t>de 27 de marzo, FJ 3; 245/2005, de 10 de octubre, FJ 4; 40/2022, de 21 de marzo, FJ 7, y 91/2023 de 11 de septiembre, FJ 3).</w:t>
      </w:r>
    </w:p>
    <w:p w14:paraId="417D5F77" w14:textId="77777777" w:rsidR="009D7677" w:rsidRDefault="009D7677" w:rsidP="009D7677">
      <w:pPr>
        <w:pStyle w:val="TextoNormal"/>
      </w:pPr>
    </w:p>
    <w:p w14:paraId="2519137B" w14:textId="2687FAF3" w:rsidR="009D7677" w:rsidRDefault="009D7677" w:rsidP="009D7677">
      <w:pPr>
        <w:pStyle w:val="TextoNormal"/>
      </w:pPr>
      <w:r>
        <w:t>La relevancia constitucional del error se produce cuando la resolución judicial no se corresponde con la realidad por haber cometido el órgano judicial una equivocación manifiesta en la determinación y selección del presupuesto fáctico sobre el que se asiente su decisión, siempre que constituya su soporte único o básico. Para su control constitucional debe comprobarse que: (i) se trata exclusivamente de un error de hecho; (ii) es inmediatamente verificable de forma incontrovertible de las actuaciones judiciales; (iii) ha resultado determinante de la decisión adoptada; (iv) no es imputable a quien lo esgrime; y (v) le ha generado un perjuicio material en su posición jurídica (entre otras, SSTC 245/2005, de 10 de octubre, FJ 4; 148/2019, de 25 de noviembre, FJ 3, y 108/2022, de 26 de septiembre, FJ 5).</w:t>
      </w:r>
    </w:p>
    <w:p w14:paraId="71009B08" w14:textId="77777777" w:rsidR="009D7677" w:rsidRDefault="009D7677" w:rsidP="009D7677">
      <w:pPr>
        <w:pStyle w:val="TextoNormal"/>
      </w:pPr>
    </w:p>
    <w:p w14:paraId="69F3F46C" w14:textId="77777777" w:rsidR="009D7677" w:rsidRDefault="009D7677" w:rsidP="009D7677">
      <w:pPr>
        <w:pStyle w:val="TextoNormal"/>
      </w:pPr>
      <w:r w:rsidRPr="009D7677">
        <w:rPr>
          <w:rStyle w:val="NumeroAFNegritaCaracter"/>
        </w:rPr>
        <w:t>4</w:t>
      </w:r>
      <w:r>
        <w:t xml:space="preserve">. </w:t>
      </w:r>
      <w:r w:rsidRPr="009D7677">
        <w:rPr>
          <w:i/>
        </w:rPr>
        <w:t>Aplicación de la doctrina al caso</w:t>
      </w:r>
    </w:p>
    <w:p w14:paraId="1F40F9CE" w14:textId="77777777" w:rsidR="009D7677" w:rsidRDefault="009D7677" w:rsidP="009D7677">
      <w:pPr>
        <w:pStyle w:val="TextoNormal"/>
      </w:pPr>
    </w:p>
    <w:p w14:paraId="5887FC65" w14:textId="77777777" w:rsidR="009D7677" w:rsidRDefault="009D7677" w:rsidP="009D7677">
      <w:pPr>
        <w:pStyle w:val="TextoNormal"/>
      </w:pPr>
      <w:r>
        <w:t>A la luz de la doctrina referida y como se expone seguidamente, este tribunal considera que la justificación ofrecida por las resoluciones impugnadas no colma las exigencias de motivación requeridas para acordar la revocación de la suspensión de la pena de prisión.</w:t>
      </w:r>
    </w:p>
    <w:p w14:paraId="0864D0FF" w14:textId="77777777" w:rsidR="009D7677" w:rsidRDefault="009D7677" w:rsidP="009D7677">
      <w:pPr>
        <w:pStyle w:val="TextoNormal"/>
      </w:pPr>
    </w:p>
    <w:p w14:paraId="3DC49613" w14:textId="77777777" w:rsidR="009D7677" w:rsidRDefault="009D7677" w:rsidP="009D7677">
      <w:pPr>
        <w:pStyle w:val="TextoNormal"/>
      </w:pPr>
      <w:r>
        <w:t>A) Vulneraciones atribuidas al auto de 20 de octubre de 2021 dictado por el Juzgado de lo Penal núm. 2 de Córdoba</w:t>
      </w:r>
    </w:p>
    <w:p w14:paraId="4D589D9D" w14:textId="77777777" w:rsidR="009D7677" w:rsidRDefault="009D7677" w:rsidP="009D7677">
      <w:pPr>
        <w:pStyle w:val="TextoNormal"/>
      </w:pPr>
    </w:p>
    <w:p w14:paraId="79DB69F7" w14:textId="77777777" w:rsidR="009D7677" w:rsidRDefault="009D7677" w:rsidP="009D7677">
      <w:pPr>
        <w:pStyle w:val="TextoNormal"/>
      </w:pPr>
      <w:r>
        <w:t xml:space="preserve">El auto dictado por el juzgado de lo penal erró al vincular la decisión de revocación al art. 86.1 b) en relación con el art. 83 CP, precepto que fija reglas de conducta y deberes a cuyo cumplimiento puede condicionarse la suspensión de la pena “cuando ello resulte necesario para evitar la comisión de nuevos delitos sin que puedan imponerse deberes y obligaciones que resulten excesivos y desproporcionados”. La facultad de revocación del beneficio de la suspensión en supuestos de impago de la responsabilidad civil viene regulada en art. 86.1 d) CP cuando el penado “no dé cumplimiento al compromiso de pago de las responsabilidades civiles a que hubiera sido condenado, salvo que careciera de capacidad económica para ello”. A pesar de este error, del escueto contenido de la resolución impugnada resulta evidente que la </w:t>
      </w:r>
      <w:r w:rsidRPr="009D7677">
        <w:rPr>
          <w:i/>
        </w:rPr>
        <w:t>ratio decidendi</w:t>
      </w:r>
      <w:r>
        <w:t xml:space="preserve"> para acordar la revocación del beneficio de la suspensión es la falta de pago de la responsabilidad civil, por lo que la mera equivocación formal en la cita del precepto penal aplicable no debe entenderse como error patente determinante de la vulneración del derecho a la tutela judicial efectiva (entre otras STC 21/2008, de 31 de enero, FJ 2).</w:t>
      </w:r>
    </w:p>
    <w:p w14:paraId="66A70C74" w14:textId="77777777" w:rsidR="009D7677" w:rsidRDefault="009D7677" w:rsidP="009D7677">
      <w:pPr>
        <w:pStyle w:val="TextoNormal"/>
      </w:pPr>
    </w:p>
    <w:p w14:paraId="78C65337" w14:textId="77777777" w:rsidR="009D7677" w:rsidRDefault="009D7677" w:rsidP="009D7677">
      <w:pPr>
        <w:pStyle w:val="TextoNormal"/>
      </w:pPr>
      <w:r>
        <w:t xml:space="preserve">Sin embargo, el juzgado de lo penal, de forma automática, sin valorar ninguna de las circunstancias concurrentes del caso ni las personales del penado, acordó la revocación de la suspensión por el impago de la responsabilidad civil y lo hizo a pesar de la información obrante en la ejecutoria indicativa de la falta de capacidad económica del penado. Como quedó consignado con mayor detalle en los antecedentes, durante la tramitación de la ejecutoria, el penado fue declarado insolvente por auto de 13 de marzo de 2019; procedió al abono parcial de la responsabilidad civil (2060 €) y alegó en reiteradas ocasiones su falta de capacidad económica. Ninguno de estos extremos es ni tan siquiera mencionado en el auto que acuerda la revocación de la suspensión. Omitida toda valoración sobre la capacidad económica del penado, no se realiza ninguna indagación de las razones del impago del </w:t>
      </w:r>
      <w:r>
        <w:lastRenderedPageBreak/>
        <w:t>total de la responsabilidad civil. Por lo tanto, el auto impugnado no colma las exigencias de motivación recogidas por la doctrina constitucional relativas al papel de la capacidad económica del penado en las decisiones revocatorias por impago de la responsabilidad civil (STC 32/2022, de 7 de marzo).</w:t>
      </w:r>
    </w:p>
    <w:p w14:paraId="45879E8B" w14:textId="77777777" w:rsidR="009D7677" w:rsidRDefault="009D7677" w:rsidP="009D7677">
      <w:pPr>
        <w:pStyle w:val="TextoNormal"/>
      </w:pPr>
    </w:p>
    <w:p w14:paraId="53CC4782" w14:textId="77777777" w:rsidR="009D7677" w:rsidRDefault="009D7677" w:rsidP="009D7677">
      <w:pPr>
        <w:pStyle w:val="TextoNormal"/>
      </w:pPr>
      <w:r>
        <w:t>De acuerdo con lo expuesto, la referida resolución infringe el deber de motivación específica que la satisfacción del derecho a la tutela judicial efectiva (art 24.1 CE) exige cuando la decisión adoptada incide en el derecho a la libertad personal (art. 17.1 CE).</w:t>
      </w:r>
    </w:p>
    <w:p w14:paraId="5A5A19E5" w14:textId="77777777" w:rsidR="009D7677" w:rsidRDefault="009D7677" w:rsidP="009D7677">
      <w:pPr>
        <w:pStyle w:val="TextoNormal"/>
      </w:pPr>
    </w:p>
    <w:p w14:paraId="187D3C4E" w14:textId="77777777" w:rsidR="009D7677" w:rsidRDefault="009D7677" w:rsidP="009D7677">
      <w:pPr>
        <w:pStyle w:val="TextoNormal"/>
      </w:pPr>
      <w:r>
        <w:t>B) Lesiones imputadas al auto de 29 de marzo de 2022 dictado por la Sección Tercera de la Audiencia Provincial de Córdoba</w:t>
      </w:r>
    </w:p>
    <w:p w14:paraId="0600C8BD" w14:textId="77777777" w:rsidR="009D7677" w:rsidRDefault="009D7677" w:rsidP="009D7677">
      <w:pPr>
        <w:pStyle w:val="TextoNormal"/>
      </w:pPr>
    </w:p>
    <w:p w14:paraId="3BC32124" w14:textId="77777777" w:rsidR="009D7677" w:rsidRDefault="009D7677" w:rsidP="009D7677">
      <w:pPr>
        <w:pStyle w:val="TextoNormal"/>
      </w:pPr>
      <w:r>
        <w:t>La Audiencia Provincial de Córdoba confirmó la resolución dictada por el juzgado de lo penal en virtud de auto de 29 de marzo de 2022, argumentando que el penado —que no había satisfecho el pago de las responsabilidades civiles— habría cometido un nuevo delito de abandono de familia durante el plazo de la suspensión. Esta resolución incurrió en error patente, no colma la exigencia constitucional de motivación conforme con los arts. 24.1 y 17.1 CE y ha generado indefensión al recurrente por los siguientes motivos:</w:t>
      </w:r>
    </w:p>
    <w:p w14:paraId="40AD7702" w14:textId="77777777" w:rsidR="009D7677" w:rsidRDefault="009D7677" w:rsidP="009D7677">
      <w:pPr>
        <w:pStyle w:val="TextoNormal"/>
      </w:pPr>
    </w:p>
    <w:p w14:paraId="0B3F18D1" w14:textId="77777777" w:rsidR="009D7677" w:rsidRDefault="009D7677" w:rsidP="009D7677">
      <w:pPr>
        <w:pStyle w:val="TextoNormal"/>
      </w:pPr>
      <w:r>
        <w:t>a) En primer lugar, al resolver el recurso interpuesto contra el auto que adopta la decisión revocatoria por impago de la responsabilidad civil no suple, en modo alguno, el déficit de motivación de la resolución impugnada y reincide en la infracción del deber de motivación específica. En este sentido y al igual que la resolución inicial de revocación, se omite cualquier ponderación, o siquiera referencia de las circunstancias económicas y particulares del caso concreto para valorar la capacidad económica del penado, a efectos de poder hacer frente al abono de la responsabilidad.</w:t>
      </w:r>
    </w:p>
    <w:p w14:paraId="57670411" w14:textId="77777777" w:rsidR="009D7677" w:rsidRDefault="009D7677" w:rsidP="009D7677">
      <w:pPr>
        <w:pStyle w:val="TextoNormal"/>
      </w:pPr>
    </w:p>
    <w:p w14:paraId="79D6B2C3" w14:textId="77777777" w:rsidR="009D7677" w:rsidRDefault="009D7677" w:rsidP="009D7677">
      <w:pPr>
        <w:pStyle w:val="TextoNormal"/>
      </w:pPr>
      <w:r>
        <w:t>b) En segundo lugar, al resolver el recurso de apelación interpuesto por el demandante de amparo, el órgano judicial no resuelve el escueto y claro argumento expuesto por el recurrente: al no haberse impuesto ninguno de los deberes u obligaciones del art. 83 CP no puede revocarse el beneficio de la suspensión de la pena por un presunto incumplimiento de estos. La contestación de la audiencia pivota sobre un argumento absolutamente ajeno al debate procesal planteado: la comisión de un delito durante el plazo de suspensión de la pena. De este modo, la resolución dictada por la audiencia provincial incurre en lo que se conoce en la doctrina constitucional como incongruencia mixta (entre otras SSTC 152/2015, de 6 de julio, FJ 5). El órgano judicial no solo omite dar respuesta a la alegación de la parte, sino que fundamenta su resolución en un motivo ajeno al planteado y, como puede apreciarse, la desviación en la resolución del recurso de apelación es de tal naturaleza que supone una modificación sustancial de los términos discutidos (SSTC 136/1998, de 29 de junio, FFJJ 2 y 3, y 100/2000, de 10 de abril, FJ 5).</w:t>
      </w:r>
    </w:p>
    <w:p w14:paraId="3358F6E4" w14:textId="77777777" w:rsidR="009D7677" w:rsidRDefault="009D7677" w:rsidP="009D7677">
      <w:pPr>
        <w:pStyle w:val="TextoNormal"/>
      </w:pPr>
    </w:p>
    <w:p w14:paraId="4E3ED951" w14:textId="77777777" w:rsidR="009D7677" w:rsidRDefault="009D7677" w:rsidP="009D7677">
      <w:pPr>
        <w:pStyle w:val="TextoNormal"/>
      </w:pPr>
      <w:r>
        <w:t xml:space="preserve">c) La Audiencia Provincial relega a un segundo plano el impago de la responsabilidad civil como motivo de revocación de la suspensión de la pena y fundamenta su decisión en la apreciación de la comisión de un nuevo delito de impago de pensiones por el penado durante el plazo de la suspensión de la pena. Pero, de acuerdo con la hoja histórico penal del actor, no consta condena alguna durante el plazo de suspensión acordado. Por lo tanto, la decisión de confirmar la revocación de la decisión reposa sobre un error patente consistente en la atribución de comisión de un delito inexistente. Este error es inmediatamente </w:t>
      </w:r>
      <w:r>
        <w:lastRenderedPageBreak/>
        <w:t>verificable de forma incontrovertible a partir de las actuaciones judiciales y es determinante de la decisión adoptada, constituyendo el soporte único o básico (</w:t>
      </w:r>
      <w:r w:rsidRPr="009D7677">
        <w:rPr>
          <w:i/>
        </w:rPr>
        <w:t>ratio decidendi</w:t>
      </w:r>
      <w:r>
        <w:t>) de la resolución, de forma que no puede saberse cual hubiera sido el criterio del órgano judicial de no haber incurrido en dicho error. Además, el referido error de hecho no resulta en ningún caso imputable a quien lo esgrime y le ha generado un perjuicio material en su posición jurídica (por todas, la citada STC 108/2022, de 26 de septiembre, FJ 5).</w:t>
      </w:r>
    </w:p>
    <w:p w14:paraId="655A6B78" w14:textId="77777777" w:rsidR="009D7677" w:rsidRDefault="009D7677" w:rsidP="009D7677">
      <w:pPr>
        <w:pStyle w:val="TextoNormal"/>
      </w:pPr>
    </w:p>
    <w:p w14:paraId="0A312373" w14:textId="77777777" w:rsidR="009D7677" w:rsidRDefault="009D7677" w:rsidP="009D7677">
      <w:pPr>
        <w:pStyle w:val="TextoNormal"/>
      </w:pPr>
      <w:r>
        <w:t xml:space="preserve">d) Por último, se introduce, </w:t>
      </w:r>
      <w:r w:rsidRPr="009D7677">
        <w:rPr>
          <w:i/>
        </w:rPr>
        <w:t>ex novo</w:t>
      </w:r>
      <w:r>
        <w:t xml:space="preserve">, un motivo perjudicial —y erróneo— para confirmar la resolución dictada por el órgano </w:t>
      </w:r>
      <w:r w:rsidRPr="009D7677">
        <w:rPr>
          <w:i/>
        </w:rPr>
        <w:t>a quo</w:t>
      </w:r>
      <w:r>
        <w:t>. Si bien es cierto que su apreciación no implica un cambio de criterio en la decisión adoptada por el juzgado de revocar el beneficio de la suspensión de la pena impuesta, pasa a constituir el argumento nuclear para confirmar la revocación de la pena previamente acordada. Ni el recurrente en su escrito de apelación, ni el Ministerio Fiscal, ni la acusación particular al impugnar dicho recurso hicieron alusión alguna a la posible comisión de un delito de abandono de familia durante el plazo de suspensión de la pena. En consecuencia, el demandante de amparo no pudo cuestionar debidamente el hecho nuevo —además inexistente— ni su relevancia para adoptar una decisión que conlleva la privación de libertad. Nada se dijo al decidir inicialmente la revocación del beneficio de la suspensión y tampoco se hizo mención alguna en el recurso de apelación ni en los escritos de impugnación de este último.</w:t>
      </w:r>
    </w:p>
    <w:p w14:paraId="4B62F735" w14:textId="77777777" w:rsidR="009D7677" w:rsidRDefault="009D7677" w:rsidP="009D7677">
      <w:pPr>
        <w:pStyle w:val="TextoNormal"/>
      </w:pPr>
    </w:p>
    <w:p w14:paraId="586723F0" w14:textId="7660BB1B" w:rsidR="009D7677" w:rsidRDefault="009D7677" w:rsidP="009D7677">
      <w:pPr>
        <w:pStyle w:val="TextoNormal"/>
      </w:pPr>
      <w:r>
        <w:t>Por consiguiente, de conformidad con lo argumentado, entendemos que el auto dictado por la audiencia provincial también vulneró el exigido deber de motivación específica relativo al derecho a la tutela judicial efectiva (art 24.1 CE) en cuanto incide en el derecho a la libertad personal del recurrente (art. 17.1 CE).</w:t>
      </w:r>
    </w:p>
    <w:p w14:paraId="558D5BED" w14:textId="77777777" w:rsidR="009D7677" w:rsidRDefault="009D7677" w:rsidP="009D7677">
      <w:pPr>
        <w:pStyle w:val="TextoNormal"/>
      </w:pPr>
    </w:p>
    <w:p w14:paraId="0A7AAD5C" w14:textId="77777777" w:rsidR="009D7677" w:rsidRDefault="009D7677" w:rsidP="009D7677">
      <w:pPr>
        <w:pStyle w:val="TextoNormal"/>
      </w:pPr>
      <w:r w:rsidRPr="009D7677">
        <w:rPr>
          <w:rStyle w:val="NumeroAFNegritaCaracter"/>
        </w:rPr>
        <w:t>5</w:t>
      </w:r>
      <w:r>
        <w:t xml:space="preserve">. </w:t>
      </w:r>
      <w:r w:rsidRPr="009D7677">
        <w:rPr>
          <w:i/>
        </w:rPr>
        <w:t>Resolución del recurso: estimación y efectos</w:t>
      </w:r>
    </w:p>
    <w:p w14:paraId="43A84E8D" w14:textId="77777777" w:rsidR="009D7677" w:rsidRDefault="009D7677" w:rsidP="009D7677">
      <w:pPr>
        <w:pStyle w:val="TextoNormal"/>
      </w:pPr>
    </w:p>
    <w:p w14:paraId="4BF550EA" w14:textId="77777777" w:rsidR="009D7677" w:rsidRDefault="009D7677" w:rsidP="009D7677">
      <w:pPr>
        <w:pStyle w:val="TextoNormal"/>
      </w:pPr>
      <w:r>
        <w:t>De acuerdo con lo expuesto en el fundamento anterior, el recurso debe estimarse [art. 53 a) LOTC] y, conforme a lo dispuesto en el art. 55.1 LOTC, debe reconocerse la vulneración del derecho a la tutela judicial efectiva del recurrente (art. 24.1 CE) en relación con el derecho a la libertad (art. 17.1 CE), declarando la nulidad del auto de 20 de octubre de 2021 dictado por el Juzgado de lo Penal núm. 2 de Córdoba y de los autos de 29 de marzo y 31 de mayo de 2022 dictados por la Sección Tercera de la Audiencia Provincial de Córdoba.</w:t>
      </w:r>
    </w:p>
    <w:p w14:paraId="05E0C0D2" w14:textId="77777777" w:rsidR="009D7677" w:rsidRDefault="009D7677" w:rsidP="009D7677">
      <w:pPr>
        <w:pStyle w:val="TextoNormal"/>
      </w:pPr>
    </w:p>
    <w:p w14:paraId="1973A591" w14:textId="54DCC3B8" w:rsidR="009D7677" w:rsidRDefault="009D7677" w:rsidP="009D7677">
      <w:pPr>
        <w:pStyle w:val="TextoNormal"/>
      </w:pPr>
      <w:r>
        <w:t>En este caso, el restablecimiento del derecho no debe pasar por la retroacción del procedimiento para que el juzgado de lo penal dicte una nueva resolución, por haber transcurrido el plazo de suspensión inicialmente acordado. Así, para restablecer el derecho cuya vulneración ha sido reconocida, se anulan las resoluciones impugnadas y las actuaciones posteriores dirigidas a la ejecución de la pena de prisión.</w:t>
      </w:r>
    </w:p>
    <w:p w14:paraId="1289697E" w14:textId="77777777" w:rsidR="009D7677" w:rsidRDefault="009D7677" w:rsidP="009D7677">
      <w:pPr>
        <w:pStyle w:val="TextoNormal"/>
      </w:pPr>
    </w:p>
    <w:p w14:paraId="202B7F55" w14:textId="77777777" w:rsidR="009D7677" w:rsidRDefault="009D7677" w:rsidP="009D7677">
      <w:pPr>
        <w:pStyle w:val="TextoNormalCentrado"/>
        <w:keepNext/>
      </w:pPr>
      <w:r>
        <w:t>FALLO</w:t>
      </w:r>
    </w:p>
    <w:p w14:paraId="7D1BBAA9" w14:textId="2BD4DCE8" w:rsidR="009D7677" w:rsidRDefault="009D7677" w:rsidP="009D7677">
      <w:pPr>
        <w:pStyle w:val="TextoNormalCentrado"/>
        <w:keepNext/>
      </w:pPr>
    </w:p>
    <w:p w14:paraId="6ABE7EE6" w14:textId="77777777" w:rsidR="009D7677" w:rsidRDefault="009D7677" w:rsidP="009D7677">
      <w:pPr>
        <w:pStyle w:val="TextoNormal"/>
      </w:pPr>
      <w:r>
        <w:t>En atención a todo lo expuesto, el Tribunal Constitucional, por la autoridad que le confiere la Constitución de la Nación española, ha decidido estimar el recurso de amparo interpuesto por don Pablo López Maestre y, en su virtud:</w:t>
      </w:r>
    </w:p>
    <w:p w14:paraId="7AC8D73C" w14:textId="77777777" w:rsidR="009D7677" w:rsidRDefault="009D7677" w:rsidP="009D7677">
      <w:pPr>
        <w:pStyle w:val="TextoNormal"/>
      </w:pPr>
    </w:p>
    <w:p w14:paraId="4A68092B" w14:textId="77777777" w:rsidR="009D7677" w:rsidRDefault="009D7677" w:rsidP="009D7677">
      <w:pPr>
        <w:pStyle w:val="TextoNormal"/>
      </w:pPr>
      <w:r>
        <w:lastRenderedPageBreak/>
        <w:t>1º Declarar que ha sido vulnerado su derecho a la tutela judicial efectiva sin indefensión (art. 24.1 CE) en relación con el derecho a la libertad personal (art. 17.1 CE).</w:t>
      </w:r>
    </w:p>
    <w:p w14:paraId="42097459" w14:textId="77777777" w:rsidR="009D7677" w:rsidRDefault="009D7677" w:rsidP="009D7677">
      <w:pPr>
        <w:pStyle w:val="TextoNormal"/>
      </w:pPr>
    </w:p>
    <w:p w14:paraId="695965DE" w14:textId="44151FA0" w:rsidR="009D7677" w:rsidRDefault="009D7677" w:rsidP="009D7677">
      <w:pPr>
        <w:pStyle w:val="TextoNormal"/>
      </w:pPr>
      <w:r>
        <w:t>2º Restablecerlo en su derecho y, a tal fin, declarar la nulidad del auto de 20 de octubre de 2021 dictado por el Juzgado de lo Penal núm. 2 de Córdoba (ejecutoria penal núm. 445-2018) y de los autos de 29 de marzo y de 31 de mayo de 2022 dictados por la Sección Tercera de la Audiencia Provincial de Córdoba (rollo de apelación núm. 1273-2021) y de todas las actuaciones posteriores dirigidas a la ejecución de la pena de prisión impuesta al recurrente.</w:t>
      </w:r>
    </w:p>
    <w:p w14:paraId="1BDB7939" w14:textId="77777777" w:rsidR="009D7677" w:rsidRDefault="009D7677" w:rsidP="009D7677">
      <w:pPr>
        <w:pStyle w:val="TextoNormal"/>
      </w:pPr>
    </w:p>
    <w:p w14:paraId="06922917" w14:textId="77777777" w:rsidR="009D7677" w:rsidRDefault="009D7677" w:rsidP="009D7677">
      <w:pPr>
        <w:pStyle w:val="TextoNormal"/>
      </w:pPr>
      <w:r>
        <w:t>Publíquese esta sentencia en el “Boletín Oficial del Estado”.</w:t>
      </w:r>
    </w:p>
    <w:p w14:paraId="7CF42608" w14:textId="77777777" w:rsidR="009D7677" w:rsidRDefault="009D7677" w:rsidP="009D7677">
      <w:pPr>
        <w:pStyle w:val="TextoNormal"/>
      </w:pPr>
      <w:r>
        <w:t>Dada en Madrid, a seis de mayo de dos mil veinticuatro.</w:t>
      </w:r>
    </w:p>
    <w:p w14:paraId="3F54EEE3" w14:textId="385D4B8A" w:rsidR="009D7677" w:rsidRDefault="009D7677">
      <w:pPr>
        <w:spacing w:after="160" w:line="259" w:lineRule="auto"/>
        <w:rPr>
          <w:rFonts w:ascii="Times New Roman" w:eastAsia="Times New Roman" w:hAnsi="Times New Roman" w:cs="Times New Roman"/>
          <w:sz w:val="24"/>
          <w:szCs w:val="24"/>
          <w:lang w:eastAsia="es-ES"/>
        </w:rPr>
      </w:pPr>
      <w:r>
        <w:br w:type="page"/>
      </w:r>
    </w:p>
    <w:p w14:paraId="7C462966" w14:textId="77777777" w:rsidR="009D7677" w:rsidRDefault="009D7677" w:rsidP="009D7677">
      <w:pPr>
        <w:pStyle w:val="TtuloResolucin"/>
      </w:pPr>
      <w:bookmarkStart w:id="73" w:name="SENTENCIA_2024_71"/>
      <w:r>
        <w:lastRenderedPageBreak/>
        <w:t>SENTENCIA 71/2024, de 6 de mayo de 2024</w:t>
      </w:r>
    </w:p>
    <w:bookmarkEnd w:id="73"/>
    <w:p w14:paraId="79FEF594" w14:textId="77777777" w:rsidR="009D7677" w:rsidRDefault="009D7677" w:rsidP="009D7677">
      <w:pPr>
        <w:pStyle w:val="TtuloResolucin"/>
      </w:pPr>
      <w:r>
        <w:t>Sala Segunda</w:t>
      </w:r>
    </w:p>
    <w:p w14:paraId="741702F6" w14:textId="77777777" w:rsidR="009D7677" w:rsidRDefault="009D7677" w:rsidP="009D7677">
      <w:pPr>
        <w:pStyle w:val="TtuloBOE"/>
      </w:pPr>
      <w:r>
        <w:t>(BOE núm. 140, de 10 de junio de 2024)</w:t>
      </w:r>
    </w:p>
    <w:p w14:paraId="749D4694" w14:textId="77777777" w:rsidR="009D7677" w:rsidRDefault="009D7677" w:rsidP="009D7677">
      <w:pPr>
        <w:pStyle w:val="TextoNormalCentrado"/>
      </w:pPr>
      <w:r>
        <w:t>ECLI:ES:TC:2024:71</w:t>
      </w:r>
    </w:p>
    <w:p w14:paraId="002055D4" w14:textId="73894808" w:rsidR="009D7677" w:rsidRDefault="009D7677" w:rsidP="009D7677">
      <w:pPr>
        <w:pStyle w:val="TextoNormalCentrado"/>
      </w:pPr>
    </w:p>
    <w:p w14:paraId="403A5690" w14:textId="77777777" w:rsidR="009D7677" w:rsidRDefault="009D7677" w:rsidP="009D7677">
      <w:pPr>
        <w:pStyle w:val="SntesisDescriptiva"/>
      </w:pPr>
      <w:r>
        <w:t>Recurso de amparo 353-2023. Promovido por doña J.C.D.R., en relación con los autos dictados por la Audiencia Provincial de Las Palmas y un juzgado de primera instancia e instrucción de Santa María de Guía que acordaron la administración de la vacuna frente a la covid-19.</w:t>
      </w:r>
    </w:p>
    <w:p w14:paraId="089C527B" w14:textId="6E474BF8" w:rsidR="009D7677" w:rsidRDefault="009D7677" w:rsidP="009D7677">
      <w:pPr>
        <w:pStyle w:val="SntesisDescriptiva"/>
      </w:pPr>
    </w:p>
    <w:p w14:paraId="24FF2605" w14:textId="77777777" w:rsidR="009D7677" w:rsidRDefault="009D7677" w:rsidP="009D7677">
      <w:pPr>
        <w:pStyle w:val="SntesisAnaltica"/>
      </w:pPr>
      <w:r>
        <w:t>Supuesta vulneración de los derechos a la igualdad, integridad física e intimidad: resoluciones que realizaron una ponderación adecuada de los intereses de una persona vulnerable y proporcionada a sus necesidades atendiendo a las circunstancias concurrentes (STC 38/2023).</w:t>
      </w:r>
    </w:p>
    <w:p w14:paraId="0A1BD7B4" w14:textId="41B3ACF6" w:rsidR="009D7677" w:rsidRDefault="009D7677" w:rsidP="009D7677">
      <w:pPr>
        <w:pStyle w:val="SntesisAnaltica"/>
      </w:pPr>
    </w:p>
    <w:p w14:paraId="6CD63EE4" w14:textId="34FD4102" w:rsidR="009D7677" w:rsidRDefault="009D7677" w:rsidP="009D7677">
      <w:pPr>
        <w:pStyle w:val="Extracto"/>
      </w:pPr>
      <w:r>
        <w:t>1.</w:t>
      </w:r>
      <w:r>
        <w:tab/>
        <w:t xml:space="preserve">Son pautas de ponderación necesarias para determinar si se ha quebrantado el derecho a la integridad personal de una persona vulnerable, </w:t>
      </w:r>
      <w:r w:rsidRPr="009D7677">
        <w:rPr>
          <w:i/>
        </w:rPr>
        <w:t>ex</w:t>
      </w:r>
      <w:r>
        <w:t xml:space="preserve"> art. 15 CE:  (i) la autorización judicial cuenta con la habilitación legal que ofrece el art. 9.6 de la Ley 41/2002, de 14 de noviembre, básica reguladora de la autonomía del paciente y de derechos y obligaciones en materia de información y documentación clínica; y (ii) la decisión que se adopte ha de responder al fin estricto de proteger a la persona con discapacidad y adecuarse a dicho fin la ponderación de los beneficios y perjuicios, de modo que esté basada en argumentos que permitan considerar que el criterio adoptado es proporcionado a las necesidades de la persona con discapacidad, de acuerdo con las circunstancias concurrentes (STC 38/2023) [FJ Único].</w:t>
      </w:r>
    </w:p>
    <w:p w14:paraId="73123DFC" w14:textId="77777777" w:rsidR="009D7677" w:rsidRDefault="009D7677" w:rsidP="009D7677">
      <w:pPr>
        <w:pStyle w:val="Extracto"/>
      </w:pPr>
    </w:p>
    <w:p w14:paraId="5993CBBC" w14:textId="77777777" w:rsidR="009D7677" w:rsidRDefault="009D7677" w:rsidP="009D7677">
      <w:pPr>
        <w:pStyle w:val="Extracto"/>
      </w:pPr>
    </w:p>
    <w:p w14:paraId="7829732B" w14:textId="77777777" w:rsidR="009D7677" w:rsidRDefault="009D7677" w:rsidP="009D7677">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7AF11167" w14:textId="5D8CA882" w:rsidR="009D7677" w:rsidRDefault="009D7677" w:rsidP="009D7677">
      <w:pPr>
        <w:pStyle w:val="TextoNormal"/>
      </w:pPr>
    </w:p>
    <w:p w14:paraId="44DA33D7" w14:textId="77777777" w:rsidR="009D7677" w:rsidRDefault="009D7677" w:rsidP="009D7677">
      <w:pPr>
        <w:pStyle w:val="TextoNormalCentrado"/>
        <w:keepNext/>
      </w:pPr>
      <w:r>
        <w:t>EN NOMBRE DEL REY</w:t>
      </w:r>
    </w:p>
    <w:p w14:paraId="32C9B852" w14:textId="7FB10358" w:rsidR="009D7677" w:rsidRDefault="009D7677" w:rsidP="009D7677">
      <w:pPr>
        <w:pStyle w:val="TextoNormalCentrado"/>
        <w:keepNext/>
      </w:pPr>
    </w:p>
    <w:p w14:paraId="5EA21280" w14:textId="77777777" w:rsidR="009D7677" w:rsidRDefault="009D7677" w:rsidP="009D7677">
      <w:pPr>
        <w:pStyle w:val="TextoNormalCentrado"/>
        <w:keepNext/>
      </w:pPr>
    </w:p>
    <w:p w14:paraId="29FD0276" w14:textId="77777777" w:rsidR="009D7677" w:rsidRDefault="009D7677" w:rsidP="009D7677">
      <w:pPr>
        <w:pStyle w:val="TextoNormal"/>
      </w:pPr>
      <w:r>
        <w:t>la siguiente</w:t>
      </w:r>
    </w:p>
    <w:p w14:paraId="44C15308" w14:textId="479B4042" w:rsidR="009D7677" w:rsidRDefault="009D7677" w:rsidP="009D7677">
      <w:pPr>
        <w:pStyle w:val="TextoNormal"/>
      </w:pPr>
    </w:p>
    <w:p w14:paraId="0C5D2B3C" w14:textId="77777777" w:rsidR="009D7677" w:rsidRDefault="009D7677" w:rsidP="009D7677">
      <w:pPr>
        <w:pStyle w:val="TextoNormalCentrado"/>
        <w:keepNext/>
      </w:pPr>
      <w:r>
        <w:t>SENTENCIA</w:t>
      </w:r>
    </w:p>
    <w:p w14:paraId="0792C635" w14:textId="24CA9FB2" w:rsidR="009D7677" w:rsidRDefault="009D7677" w:rsidP="009D7677">
      <w:pPr>
        <w:pStyle w:val="TextoNormalCentrado"/>
        <w:keepNext/>
      </w:pPr>
    </w:p>
    <w:p w14:paraId="6D5F7336" w14:textId="77777777" w:rsidR="009D7677" w:rsidRDefault="009D7677" w:rsidP="009D7677">
      <w:pPr>
        <w:pStyle w:val="TextoNormal"/>
      </w:pPr>
      <w:r>
        <w:t xml:space="preserve">En el recurso de amparo núm. 353-2023, interpuesto por el procurador de los tribunales don Carmelo Pedro Ortiz Pérez en nombre y representación de doña J.C.D.R., y bajo la dirección letrada de doña Cristina Armas Suárez, contra el auto de 12 de mayo de 2022 del Juzgado de Primera Instancia e Instrucción núm. 2 de Santa María de Guía en el procedimiento de jurisdicción voluntaria núm. 469-2021, y contra el auto de la Sección Tercera de la Audiencia Provincial de Las Palmas dictado el 30 de noviembre de 2022 en el rollo </w:t>
      </w:r>
      <w:r>
        <w:lastRenderedPageBreak/>
        <w:t>de apelación núm. 1383-2022. Ha intervenido el Ministerio Fiscal. Ha sido ponente la magistrada doña Laura Díez Bueso.</w:t>
      </w:r>
    </w:p>
    <w:p w14:paraId="53DF36CF" w14:textId="22A9F66D" w:rsidR="009D7677" w:rsidRDefault="009D7677" w:rsidP="009D7677">
      <w:pPr>
        <w:pStyle w:val="TextoNormal"/>
      </w:pPr>
    </w:p>
    <w:p w14:paraId="30551E8F" w14:textId="77777777" w:rsidR="009D7677" w:rsidRDefault="009D7677" w:rsidP="009D7677">
      <w:pPr>
        <w:pStyle w:val="TextoNormalNegritaCentrado"/>
        <w:keepNext/>
      </w:pPr>
      <w:r>
        <w:t>I. Antecedentes</w:t>
      </w:r>
    </w:p>
    <w:p w14:paraId="33587AFE" w14:textId="647324BC" w:rsidR="009D7677" w:rsidRDefault="009D7677" w:rsidP="009D7677">
      <w:pPr>
        <w:pStyle w:val="TextoNormalNegritaCentrado"/>
        <w:keepNext/>
      </w:pPr>
    </w:p>
    <w:p w14:paraId="78445D0A" w14:textId="5F564EDA" w:rsidR="009D7677" w:rsidRDefault="009D7677" w:rsidP="009D7677">
      <w:pPr>
        <w:pStyle w:val="TextoNormal"/>
      </w:pPr>
      <w:r w:rsidRPr="009D7677">
        <w:rPr>
          <w:rStyle w:val="NumeroAFNegritaCaracter"/>
        </w:rPr>
        <w:t>1</w:t>
      </w:r>
      <w:r>
        <w:t>. Doña J.C.D.R., representada por el procurador de los tribunales don Carmelo Pedro Ortiz Pérez, ha interpuesto recurso de amparo contra las resoluciones reseñadas en el encabezamiento de la presente resolución mediante escrito presentado en el registro de este tribunal el día 20 de enero de 2023.</w:t>
      </w:r>
    </w:p>
    <w:p w14:paraId="007AFC46" w14:textId="77777777" w:rsidR="009D7677" w:rsidRDefault="009D7677" w:rsidP="009D7677">
      <w:pPr>
        <w:pStyle w:val="TextoNormal"/>
      </w:pPr>
    </w:p>
    <w:p w14:paraId="08A6E02C" w14:textId="77777777" w:rsidR="009D7677" w:rsidRDefault="009D7677" w:rsidP="009D7677">
      <w:pPr>
        <w:pStyle w:val="TextoNormal"/>
      </w:pPr>
      <w:r w:rsidRPr="009D7677">
        <w:rPr>
          <w:rStyle w:val="NumeroAFNegritaCaracter"/>
        </w:rPr>
        <w:t>2</w:t>
      </w:r>
      <w:r>
        <w:t>. Los hechos de los que trae causa la demanda de amparo son, en síntesis, los siguientes:</w:t>
      </w:r>
    </w:p>
    <w:p w14:paraId="6E776AB7" w14:textId="77777777" w:rsidR="009D7677" w:rsidRDefault="009D7677" w:rsidP="009D7677">
      <w:pPr>
        <w:pStyle w:val="TextoNormal"/>
      </w:pPr>
    </w:p>
    <w:p w14:paraId="325BF642" w14:textId="77777777" w:rsidR="009D7677" w:rsidRDefault="009D7677" w:rsidP="009D7677">
      <w:pPr>
        <w:pStyle w:val="TextoNormal"/>
      </w:pPr>
      <w:r>
        <w:t>a) El Ministerio Fiscal interesó la incoación de un procedimiento de jurisdicción voluntaria solicitando la autorización judicial para administrar la vacuna contra la covid-19 a doña M.P.T.D., al no poder decidir por sí misma como consecuencia de su discapacidad intelectual profunda, y ante la negativa de su madre y guardadora a su inoculación.</w:t>
      </w:r>
    </w:p>
    <w:p w14:paraId="4C1269CE" w14:textId="77777777" w:rsidR="009D7677" w:rsidRDefault="009D7677" w:rsidP="009D7677">
      <w:pPr>
        <w:pStyle w:val="TextoNormal"/>
      </w:pPr>
    </w:p>
    <w:p w14:paraId="2FCDA51F" w14:textId="77777777" w:rsidR="009D7677" w:rsidRDefault="009D7677" w:rsidP="009D7677">
      <w:pPr>
        <w:pStyle w:val="TextoNormal"/>
      </w:pPr>
      <w:r>
        <w:t>Consideraba en el escrito presentado que la vacuna se podía considerar un beneficio para su salud, sin que se tuviera conocimiento de reacciones adversas de gravedad en personas de igual patología, a lo que se añadía la circunstancia de que doña M.P.T.D., se encontraba ingresada en un centro, por lo que su falta de vacunación determinaba, como consecuencia de la normativa sanitaria anti covid, un menor desarrollo social, disminuyéndose su participación en actividades y su integración en el entorno comunitario en relación a los usuarios vacunados. Basaba su petición en los arts. 87 a 89 de la Ley 15/2015, de la jurisdicción voluntaria; los arts. 158 y 216 del Código civil (CC), y el art. 9, apartados 6 y 7, de la Ley 41/2002, básica de la autonomía del paciente, invocando asimismo los arts. 12, 17 y 25 de la Convención de Naciones Unidas sobre los derechos de las personas con discapacidad. Y apreciaba un conflicto de intereses entre la persona interesada y su guardadora de hecho por lo que entendía que, en aplicación del art. 299 CC y del art. 27 de la Ley 15/2015, habría de nombrarse un defensor judicial.</w:t>
      </w:r>
    </w:p>
    <w:p w14:paraId="7B0CBAF9" w14:textId="77777777" w:rsidR="009D7677" w:rsidRDefault="009D7677" w:rsidP="009D7677">
      <w:pPr>
        <w:pStyle w:val="TextoNormal"/>
      </w:pPr>
    </w:p>
    <w:p w14:paraId="1CE638B9" w14:textId="77777777" w:rsidR="009D7677" w:rsidRDefault="009D7677" w:rsidP="009D7677">
      <w:pPr>
        <w:pStyle w:val="TextoNormal"/>
      </w:pPr>
      <w:r>
        <w:t>b) Por decreto de 30 de junio de 2021, el Juzgado de Primera Instancia e Instrucción núm. 2 de Santa María de Guía acordó admitir la solicitud presentada por el Ministerio Fiscal y que se librase oficio al Colegio de Abogados de Las Palmas para la designación de defensor judicial para doña M.P.T.D., ante el conflicto de intereses con la persona que ejercía la guarda de hecho.</w:t>
      </w:r>
    </w:p>
    <w:p w14:paraId="6885446B" w14:textId="77777777" w:rsidR="009D7677" w:rsidRDefault="009D7677" w:rsidP="009D7677">
      <w:pPr>
        <w:pStyle w:val="TextoNormal"/>
      </w:pPr>
    </w:p>
    <w:p w14:paraId="278C1AD6" w14:textId="77777777" w:rsidR="009D7677" w:rsidRDefault="009D7677" w:rsidP="009D7677">
      <w:pPr>
        <w:pStyle w:val="TextoNormal"/>
      </w:pPr>
      <w:r>
        <w:t>c) Mediante decreto de 12 de julio de 2021 se nombró defensor judicial de doña M.P.T.D., y se convocó a las partes a una comparecencia, que se celebró finalmente el día 26 de abril de 2022, con citación del Ministerio Fiscal, de doña J.C.D.R., y del defensor judicial, así como de los doctores, el psicólogo y el terapeuta ocupacional del centro en el que se encontraba internada doña M.P.T.D., estos últimos a petición del fiscal. Previamente a la celebración de la vista se llevó a cabo el examen judicial de doña M.P.T.D., que tuvo lugar el 3 de marzo de 2022.</w:t>
      </w:r>
    </w:p>
    <w:p w14:paraId="0427B5BB" w14:textId="77777777" w:rsidR="009D7677" w:rsidRDefault="009D7677" w:rsidP="009D7677">
      <w:pPr>
        <w:pStyle w:val="TextoNormal"/>
      </w:pPr>
    </w:p>
    <w:p w14:paraId="0ACB701D" w14:textId="77777777" w:rsidR="009D7677" w:rsidRDefault="009D7677" w:rsidP="009D7677">
      <w:pPr>
        <w:pStyle w:val="TextoNormal"/>
      </w:pPr>
      <w:r>
        <w:lastRenderedPageBreak/>
        <w:t>d) Tras celebrarse la comparecencia, el juzgado dictó auto el 12 de mayo de 2022 acordando autorizar la administración de la vacuna contra la covid-19 a doña M.P.T.D., cuando la resolución fuera firme, debiendo efectuarse por personal sanitario especializado y bajo las precauciones que fueran necesarias.</w:t>
      </w:r>
    </w:p>
    <w:p w14:paraId="34E18035" w14:textId="77777777" w:rsidR="009D7677" w:rsidRDefault="009D7677" w:rsidP="009D7677">
      <w:pPr>
        <w:pStyle w:val="TextoNormal"/>
      </w:pPr>
    </w:p>
    <w:p w14:paraId="58EB8E24" w14:textId="77777777" w:rsidR="009D7677" w:rsidRDefault="009D7677" w:rsidP="009D7677">
      <w:pPr>
        <w:pStyle w:val="TextoNormal"/>
      </w:pPr>
      <w:r>
        <w:t>En relación con el consentimiento informado, el auto se remitía a los arts. 5 y 8 de la Ley 41/2002, básica de la autonomía del paciente, y señalaba que, conforme a lo dispuesto en los apartados 3 a 5 del art. 9 de la misma ley, la decisión debía adoptarse atendiendo al mayor beneficio para la vida o salud del paciente. Cuando se trata de una persona cuya capacidad haya sido o deba ser modificada judicialmente y está sometida a tutela o guarda de hecho, la protección de la salud es un deber de quien ejerce la protección y guarda, que debe ejercitarse en su beneficio y bajo la salvaguarda de la autoridad judicial. En este caso, apreció que doña M.P.T.D., no estaba capacitada para decidir por sí misma sobre la vacunación ni para comprender las consecuencias de la enfermedad o de la administración de la vacuna, oponiéndose tanto su madre como su hermana a la inoculación. Tal oposición se había basado en considerar que los efectos secundarios de la vacuna eran más perjudiciales que la enfermedad ocasionada por la covid-19, la falta de consentimiento informado por no haber prescripción médica y la falta de justificación desde el punto de vista médico o epidemiológico. Frente a ello, el órgano judicial apreció que la negativa a la vacunación había comportado que doña M.P.T.D., y otro residente, únicas personas del centro que no habían sido vacunadas, habían sido separados de los que sí estaban vacunados, de acuerdo con la obligación impuesta por la normativa existente. Tal aislamiento había supuesto un grave perjuicio para doña M.P.T.D., y su autonomía, y ello, según indicó el psicólogo del centro, había supuesto un deterioro cognitivo importante, mientras que la inoculación de la vacuna mejoraría las relaciones sociales y el estado de ánimo, opinión que era compartida por el terapeuta ocupacional del centro. Consideraba, por todo ello, el auto que la vacuna resultaría beneficiosa no solo para proteger a doña M.P.T.D., del virus, sino para mejorar su desarrollo y aumentar su autonomía.</w:t>
      </w:r>
    </w:p>
    <w:p w14:paraId="51A4A358" w14:textId="77777777" w:rsidR="009D7677" w:rsidRDefault="009D7677" w:rsidP="009D7677">
      <w:pPr>
        <w:pStyle w:val="TextoNormal"/>
      </w:pPr>
    </w:p>
    <w:p w14:paraId="53E5D2EA" w14:textId="77777777" w:rsidR="009D7677" w:rsidRDefault="009D7677" w:rsidP="009D7677">
      <w:pPr>
        <w:pStyle w:val="TextoNormal"/>
      </w:pPr>
      <w:r>
        <w:t>Frente a los argumentos de la madre en relación con los perjuicios de la vacuna para la salud de doña M.P.T.D., el auto ponía de relieve que los doctores habían declarado la ausencia de contraindicación que pudiera desaconsejar administrarle la vacuna, atendido su historial médico y los medicamentos que tenía prescritos, con los que no habría incompatibilidad, coincidiendo ambos profesionales en que los beneficios de la vacuna superaban considerablemente a los riesgos. En este sentido, se señalaba que los efectos secundarios podían ser leves, moderados o graves pero, en cualquier caso, el riesgo era inferior al que implicaría la no vacunación en cuanto pérdida de oportunidad para la protección de la salud de la persona interesada y, en caso de desarrollar la enfermedad grave por covid-19, una situación de riesgo efectivo.</w:t>
      </w:r>
    </w:p>
    <w:p w14:paraId="5487BB14" w14:textId="77777777" w:rsidR="009D7677" w:rsidRDefault="009D7677" w:rsidP="009D7677">
      <w:pPr>
        <w:pStyle w:val="TextoNormal"/>
      </w:pPr>
    </w:p>
    <w:p w14:paraId="7DBDEEB8" w14:textId="77777777" w:rsidR="009D7677" w:rsidRDefault="009D7677" w:rsidP="009D7677">
      <w:pPr>
        <w:pStyle w:val="TextoNormal"/>
      </w:pPr>
      <w:r>
        <w:t xml:space="preserve">Apreciaba, finalmente, el auto que en este caso no constaba prueba alguna de la voluntad de doña M.P.T.D., en contra de la vacunación, más allá de lo manifestado por la madre sobre una reacción adversa a la vacuna de la gripe, irrelevante en la determinación de la voluntad de la persona afectada, quien, a causa de su enfermedad, no había podido comprender el alcance de los efetos nocivos del virus, ni la grave situación de alarma creada, ni los beneficios de la vacunación o sus posibles efectos secundarios. No parecía razonable privarla de esta protección cuando, además, no existía contraindicación alguna. Señalaba, asimismo, que el defensor judicial se había adherido a la petición del fiscal y que la </w:t>
      </w:r>
      <w:r>
        <w:lastRenderedPageBreak/>
        <w:t>vacunación era una medida médico-sanitaria necesaria, tendente a proteger adecuadamente la salud de doña M.P.T.D., y que se configuraba como la única alternativa eficaz para la adecuada protección de su vida frente al riesgo real de desarrollar una enfermedad grave por covid-19 y para fomentar su autonomía, sociabilidad y estado de ánimo.</w:t>
      </w:r>
    </w:p>
    <w:p w14:paraId="04AA5525" w14:textId="77777777" w:rsidR="009D7677" w:rsidRDefault="009D7677" w:rsidP="009D7677">
      <w:pPr>
        <w:pStyle w:val="TextoNormal"/>
      </w:pPr>
    </w:p>
    <w:p w14:paraId="477C446B" w14:textId="77777777" w:rsidR="009D7677" w:rsidRDefault="009D7677" w:rsidP="009D7677">
      <w:pPr>
        <w:pStyle w:val="TextoNormal"/>
      </w:pPr>
      <w:r>
        <w:t>e) Doña J.C.D.R., presentó recurso de apelación alegando en su primer motivo que el auto de primera instancia vulneraba el derecho de igualdad y no discriminación (art. 14 CE) en relación con la Ley 8/2021, de 2 de junio, de apoyo a las personas con discapacidad, por ser la vacuna frente a la covid-19 un tratamiento médico en fase experimental de carácter voluntario para la población con efectos adversos que incluyen el fallecimiento y cuyos efectos a medio y largo plazo se desconocen, pero que se pretende aplicar de manera forzosa a una persona sana que no tiene plena capacidad para prestar su consentimiento, en contra de la voluntad de su madre y tutora, sin consentimiento informado veraz y sin que se acredite que el beneficio de la vacunación es superior al riesgo, más allá de meras recomendaciones genéricas. Se vulneraría también con ello el derecho a la vida y la integridad física. Invoca las SSTC 120/1990, de 27 de junio, y 37/2011, de 28 de marzo, considerando que no concurrían los requisitos exigidos por el Tribunal Constitucional para la administración forzosa de un medicamento. Al no existir tampoco un consentimiento voluntario para la vacunación, la decisión judicial vulneraría el derecho a la integridad personal, la dignidad y la libertad.</w:t>
      </w:r>
    </w:p>
    <w:p w14:paraId="5787A657" w14:textId="77777777" w:rsidR="009D7677" w:rsidRDefault="009D7677" w:rsidP="009D7677">
      <w:pPr>
        <w:pStyle w:val="TextoNormal"/>
      </w:pPr>
    </w:p>
    <w:p w14:paraId="0E8CAF7A" w14:textId="77777777" w:rsidR="009D7677" w:rsidRDefault="009D7677" w:rsidP="009D7677">
      <w:pPr>
        <w:pStyle w:val="TextoNormal"/>
      </w:pPr>
      <w:r>
        <w:t>En el segundo motivo alegó la vulneración del derecho a la integridad física y moral de la incapaz previsto en el art. 15 CE, por falta de consentimiento del representante de la incapaz. No se trataba en este caso de la administración de una vacuna, sino de una terapia génica en fase experimental, que no estaba aprobada sino sometida a una autorización condicional de comercialización, por lo que no se podía asegurar la eficacia y seguridad del fármaco. Ello requería extremar las precauciones de información para cumplir con el requisito de consentimiento informado, que en este caso no concurriría, y sin que pudiera suplirse por la autorización judicial.</w:t>
      </w:r>
    </w:p>
    <w:p w14:paraId="68FAFDEB" w14:textId="77777777" w:rsidR="009D7677" w:rsidRDefault="009D7677" w:rsidP="009D7677">
      <w:pPr>
        <w:pStyle w:val="TextoNormal"/>
      </w:pPr>
    </w:p>
    <w:p w14:paraId="185EB53A" w14:textId="77777777" w:rsidR="009D7677" w:rsidRDefault="009D7677" w:rsidP="009D7677">
      <w:pPr>
        <w:pStyle w:val="TextoNormal"/>
      </w:pPr>
      <w:r>
        <w:t>En el tercer motivo se invocaba la vulneración del derecho a la intimidad personal (art. 18.1 CE) como ámbito propio y reservado frente a la acción y conocimiento de los demás, y que confiere a la persona el poder jurídico de imponer a terceros el deber de abstenerse de toda intromisión en la esfera íntima y la prohibición de hacer uso de lo así conocido. La protección conferida por el art. 18.1 CE alcanza, entre otros componentes, a la intimidad corporal, que viene determinada por el criterio dominante en nuestra cultura sobre el recato corporal.</w:t>
      </w:r>
    </w:p>
    <w:p w14:paraId="3AE3F931" w14:textId="77777777" w:rsidR="009D7677" w:rsidRDefault="009D7677" w:rsidP="009D7677">
      <w:pPr>
        <w:pStyle w:val="TextoNormal"/>
      </w:pPr>
    </w:p>
    <w:p w14:paraId="42726050" w14:textId="77777777" w:rsidR="009D7677" w:rsidRDefault="009D7677" w:rsidP="009D7677">
      <w:pPr>
        <w:pStyle w:val="TextoNormal"/>
      </w:pPr>
      <w:r>
        <w:t>f) El fiscal presentó escrito oponiéndose al recurso de apelación y solicitando la confirmación del auto de primera instancia.</w:t>
      </w:r>
    </w:p>
    <w:p w14:paraId="5EB7F853" w14:textId="77777777" w:rsidR="009D7677" w:rsidRDefault="009D7677" w:rsidP="009D7677">
      <w:pPr>
        <w:pStyle w:val="TextoNormal"/>
      </w:pPr>
    </w:p>
    <w:p w14:paraId="04A466BE" w14:textId="77777777" w:rsidR="009D7677" w:rsidRDefault="009D7677" w:rsidP="009D7677">
      <w:pPr>
        <w:pStyle w:val="TextoNormal"/>
      </w:pPr>
      <w:r>
        <w:t xml:space="preserve">g) Doña M.P.T.D., a través de su defensor judicial, formuló oposición a la apelación considerando que no se habría vulnerado el art. 14 CE por no existir trato discriminatorio alguno por haberse instado un procedimiento de jurisdicción voluntaria con la finalidad de inocular la vacuna contra la covid-19, rigiéndose esta cuestión por los arts. 8 y 9 de la Ley 41/2002, básica de la autonomía del paciente. Afirmaba además que el tratamiento era beneficioso para la salud y la vida porque permitía inmunizar al paciente, por lo que se conseguía el fin perseguido y existía proporcionalidad entre el derecho y la situación de la </w:t>
      </w:r>
      <w:r>
        <w:lastRenderedPageBreak/>
        <w:t>paciente, dado que los beneficios de la inoculación superaban los perjuicios que pudiera conllevar; y se respetaba el derecho a la vida, la integridad, dignidad y libre determinación de la persona. Y negó, por otra parte, que estuviera viviendo en el domicilio de su madre, sino que estaba residiendo en un centro desde hacía años.</w:t>
      </w:r>
    </w:p>
    <w:p w14:paraId="32CB8003" w14:textId="77777777" w:rsidR="009D7677" w:rsidRDefault="009D7677" w:rsidP="009D7677">
      <w:pPr>
        <w:pStyle w:val="TextoNormal"/>
      </w:pPr>
    </w:p>
    <w:p w14:paraId="43B98CB7" w14:textId="77777777" w:rsidR="009D7677" w:rsidRDefault="009D7677" w:rsidP="009D7677">
      <w:pPr>
        <w:pStyle w:val="TextoNormal"/>
      </w:pPr>
      <w:r>
        <w:t>Tampoco entendía vulnerado el derecho a la integridad física y moral, pues la vacuna había sido respaldada por la Agencia Europea de Medicamentos y sus beneficios superaban con creces los posibles perjuicios. La autorización e información de la vacuna constaba por escrito, no siendo obligatorio entregar ningún documento por escrito, y quedó acreditado que se había proporcionado información verbal.</w:t>
      </w:r>
    </w:p>
    <w:p w14:paraId="10CA6E39" w14:textId="77777777" w:rsidR="009D7677" w:rsidRDefault="009D7677" w:rsidP="009D7677">
      <w:pPr>
        <w:pStyle w:val="TextoNormal"/>
      </w:pPr>
    </w:p>
    <w:p w14:paraId="34866E4F" w14:textId="77777777" w:rsidR="009D7677" w:rsidRDefault="009D7677" w:rsidP="009D7677">
      <w:pPr>
        <w:pStyle w:val="TextoNormal"/>
      </w:pPr>
      <w:r>
        <w:t>Finalmente, negaba que la autorización judicial pudiera vulnerar el derecho a la intimidad personal de doña M.P.T.D.</w:t>
      </w:r>
    </w:p>
    <w:p w14:paraId="29750AE8" w14:textId="77777777" w:rsidR="009D7677" w:rsidRDefault="009D7677" w:rsidP="009D7677">
      <w:pPr>
        <w:pStyle w:val="TextoNormal"/>
      </w:pPr>
    </w:p>
    <w:p w14:paraId="3EA28157" w14:textId="77777777" w:rsidR="009D7677" w:rsidRDefault="009D7677" w:rsidP="009D7677">
      <w:pPr>
        <w:pStyle w:val="TextoNormal"/>
      </w:pPr>
      <w:r>
        <w:t>h) La Sección Tercera de la Audiencia Provincial de Las Palmas dictó auto el 30 de noviembre de 2022 por el que desestimó el recurso de apelación.</w:t>
      </w:r>
    </w:p>
    <w:p w14:paraId="2E2048B6" w14:textId="77777777" w:rsidR="009D7677" w:rsidRDefault="009D7677" w:rsidP="009D7677">
      <w:pPr>
        <w:pStyle w:val="TextoNormal"/>
      </w:pPr>
    </w:p>
    <w:p w14:paraId="31B2F9F5" w14:textId="77777777" w:rsidR="009D7677" w:rsidRDefault="009D7677" w:rsidP="009D7677">
      <w:pPr>
        <w:pStyle w:val="TextoNormal"/>
      </w:pPr>
      <w:r>
        <w:t>Respecto de la alegada vulneración del art. 15 CE, el auto destaca que el medicamento había obtenido la autorización de la Agencia Española de Medicamentos, por lo que no cabía concluir que no fuera seguro o que fuera ineficaz, y aunque se había concedido una autorización de comercialización condicional, no se podía derivar de ello un peligro para la vida o integridad de las personas. En relación con el consentimiento informado por escrito al que aludía la recurrente, consideró que debía distinguirse entre la falta de información y la falta de consentimiento, y en este caso se había prestado un consentimiento negativo, lo que había determinado la aplicación de los arts. 8 y 9 de la Ley 41/2002. Y en cuanto a la información, apreció que tanto la relativa a los efectos positivos como a los negativos de la vacunación estaba en el debate público, por lo que era un hecho notorio, advirtiendo que en este caso la parte ya venía informada.</w:t>
      </w:r>
    </w:p>
    <w:p w14:paraId="469E18FE" w14:textId="77777777" w:rsidR="009D7677" w:rsidRDefault="009D7677" w:rsidP="009D7677">
      <w:pPr>
        <w:pStyle w:val="TextoNormal"/>
      </w:pPr>
    </w:p>
    <w:p w14:paraId="12326413" w14:textId="77777777" w:rsidR="009D7677" w:rsidRDefault="009D7677" w:rsidP="009D7677">
      <w:pPr>
        <w:pStyle w:val="TextoNormal"/>
      </w:pPr>
      <w:r>
        <w:t>En cuanto a la posible vulneración del art. 14 CE, no apreció qué relación podía tener el principio de igualdad con el desarrollo que la recurrente hacía en el motivo del recurso, siendo cierto, como alegaba, que la vacuna es voluntaria. Y señala que, en este caso, al no poder decidir la persona discapacitada, debía actuar su guardador de hecho teniendo en cuenta el mayor beneficio para la vida y salud de aquella. Pero al oponerse a la vacunación, actuó en contra de los intereses de la discapacitada, teniendo en cuenta su patología y la falta de contraindicación para la vacunación.</w:t>
      </w:r>
    </w:p>
    <w:p w14:paraId="579D3E88" w14:textId="77777777" w:rsidR="009D7677" w:rsidRDefault="009D7677" w:rsidP="009D7677">
      <w:pPr>
        <w:pStyle w:val="TextoNormal"/>
      </w:pPr>
    </w:p>
    <w:p w14:paraId="13E4E721" w14:textId="4674C118" w:rsidR="009D7677" w:rsidRDefault="009D7677" w:rsidP="009D7677">
      <w:pPr>
        <w:pStyle w:val="TextoNormal"/>
      </w:pPr>
      <w:r>
        <w:t>Finalmente, apreció que la inoculación de la vacuna no alteraba la intimidad corporal, por lo que no podía haber vulneración de la intimidad personal reconocida en el art. 18.1 CE.</w:t>
      </w:r>
    </w:p>
    <w:p w14:paraId="669FF68E" w14:textId="77777777" w:rsidR="009D7677" w:rsidRDefault="009D7677" w:rsidP="009D7677">
      <w:pPr>
        <w:pStyle w:val="TextoNormal"/>
      </w:pPr>
    </w:p>
    <w:p w14:paraId="111C6DDE" w14:textId="77777777" w:rsidR="009D7677" w:rsidRDefault="009D7677" w:rsidP="009D7677">
      <w:pPr>
        <w:pStyle w:val="TextoNormal"/>
      </w:pPr>
      <w:r w:rsidRPr="009D7677">
        <w:rPr>
          <w:rStyle w:val="NumeroAFNegritaCaracter"/>
        </w:rPr>
        <w:t>3</w:t>
      </w:r>
      <w:r>
        <w:t xml:space="preserve">. La recurrente alega en su demanda de amparo que se han vulnerado el derecho a la igualdad ante la ley y a no ser discriminado, el derecho a la integridad física y moral, el derecho a la intimidad (arts. 14, 15, 18.1 y 43 CE) y el deber de motivar las resoluciones judiciales (art. 24.1 CE). Considera que las resoluciones judiciales han autorizado la inoculación de un medicamento de terapia génica en fase experimental pese a su carácter voluntario para el resto de la población sin concurrir los requisitos establecidos por el Tribunal Constitucional para la administración forzosa de un fármaco y sin prescripción médica </w:t>
      </w:r>
      <w:r>
        <w:lastRenderedPageBreak/>
        <w:t>ni consentimiento informado y veraz conforme a la Ley 41/2002, de la autonomía del paciente, que requiere una motivación reforzada por afectar a un derecho fundamental. La autorización judicial se ha basado en meras creencias personales o suposiciones sobre los pretendidos beneficios de la mal llamada vacuna, sin aportar evidencia científica que acredite que el beneficio es superior a los riesgos o que existe un beneficio directo para doña M.P.T.D. Tratándose de una vacuna voluntaria, no puede obligarse a su administración. Y tampoco concurren las condiciones y requisitos para que pueda acordarse la medida de sometimiento a tratamiento ambulatorio no voluntario establecidos en las SSTC 120/1990, de 27 de junio, y 37/2011, de 28 de marzo. Afirma que el medicamento experimental no está cumpliendo con la finalidad inmunizadora pretendida y, a pesar de ello, los jueces siguen autorizando su administración creyendo en su bondad, pero sin que lo demuestre la evidencia científica.</w:t>
      </w:r>
    </w:p>
    <w:p w14:paraId="10337E33" w14:textId="77777777" w:rsidR="009D7677" w:rsidRDefault="009D7677" w:rsidP="009D7677">
      <w:pPr>
        <w:pStyle w:val="TextoNormal"/>
      </w:pPr>
    </w:p>
    <w:p w14:paraId="3702E65F" w14:textId="77777777" w:rsidR="009D7677" w:rsidRDefault="009D7677" w:rsidP="009D7677">
      <w:pPr>
        <w:pStyle w:val="TextoNormal"/>
      </w:pPr>
      <w:r>
        <w:t>A continuación, formula una referencia individualizada a varios de los derechos fundamentales que estima vulnerados, indicando lo siguiente:</w:t>
      </w:r>
    </w:p>
    <w:p w14:paraId="646FEEB9" w14:textId="77777777" w:rsidR="009D7677" w:rsidRDefault="009D7677" w:rsidP="009D7677">
      <w:pPr>
        <w:pStyle w:val="TextoNormal"/>
      </w:pPr>
    </w:p>
    <w:p w14:paraId="5F31EE89" w14:textId="77777777" w:rsidR="009D7677" w:rsidRDefault="009D7677" w:rsidP="009D7677">
      <w:pPr>
        <w:pStyle w:val="TextoNormal"/>
      </w:pPr>
      <w:r>
        <w:t xml:space="preserve">(i) El derecho a la integridad física y moral (art. 15 CE) se ha vulnerado por falta de consentimiento informado, que se exige en el art. 3 de la Carta de los derechos fundamentales de la Unión Europea y el art. 5 del Convenio de Oviedo, y que debe entenderse incluido en la noción de vida privada del art. 8.1 del Convenio europeo para la protección de los derechos humanos y de las libertades fundamentales, conforme a las SSTEDH de 24 de septiembre de 1992, asunto </w:t>
      </w:r>
      <w:r w:rsidRPr="009D7677">
        <w:rPr>
          <w:i/>
        </w:rPr>
        <w:t>Herczegfalvy c. Austria</w:t>
      </w:r>
      <w:r>
        <w:t xml:space="preserve">; 19 de febrero de 1998, asunto </w:t>
      </w:r>
      <w:r w:rsidRPr="009D7677">
        <w:rPr>
          <w:i/>
        </w:rPr>
        <w:t>Guerra y otros c. Italia</w:t>
      </w:r>
      <w:r>
        <w:t xml:space="preserve">; 29 de abril de 2002, asunto </w:t>
      </w:r>
      <w:r w:rsidRPr="009D7677">
        <w:rPr>
          <w:i/>
        </w:rPr>
        <w:t>Pretty c. Reino Unido</w:t>
      </w:r>
      <w:r>
        <w:t xml:space="preserve">, y 2 de junio de 2009, asunto </w:t>
      </w:r>
      <w:r w:rsidRPr="009D7677">
        <w:rPr>
          <w:i/>
        </w:rPr>
        <w:t>Codarcea c. Rumanía</w:t>
      </w:r>
      <w:r>
        <w:t>. Según establece la STC 37/2011, de 28 de marzo, el derecho fundamental a la integridad física y moral se vulnera cuando se impone a una persona asistencia médica en contra de su voluntad, y cualquier actuación que afecte a la integridad personal ha de ser consentida por el sujeto o estar constitucionalmente justificada, sin que pueda limitarse el derecho por una situación de enfermedad. Y para que haya vulneración del derecho fundamental, no es preciso que la lesión a la integridad física y moral se haya consumado, sino que basta con que exista un riesgo relevante de que la lesión pueda llegar a producirse y de que ese riesgo genere un peligro grave y cierto para la salud. Para el Tribunal Constitucional el consentimiento informado constituye un mecanismo de garantía para la efectividad del principio de autonomía de la voluntad del paciente, por lo que la información alcanza una relevancia constitucional que hace que su omisión o defectuosa realización pueda suponer una lesión del derecho fundamental. La privación de información equivale a una privación o limitación del derecho a consentir o rechazar una actuación médica determinada, inherente al derecho fundamental a la integridad física y moral.</w:t>
      </w:r>
    </w:p>
    <w:p w14:paraId="17FEA890" w14:textId="77777777" w:rsidR="009D7677" w:rsidRDefault="009D7677" w:rsidP="009D7677">
      <w:pPr>
        <w:pStyle w:val="TextoNormal"/>
      </w:pPr>
    </w:p>
    <w:p w14:paraId="4146FF82" w14:textId="77777777" w:rsidR="009D7677" w:rsidRDefault="009D7677" w:rsidP="009D7677">
      <w:pPr>
        <w:pStyle w:val="TextoNormal"/>
      </w:pPr>
      <w:r>
        <w:t xml:space="preserve">(ii) El derecho a la intimidad personal (art. 18.1 CE), como derivación del derecho a la dignidad de la persona (art. 10.1 CE), implica la existencia de un ámbito propio y reservado frente a la acción y conocimiento de los demás, necesario, según las pautas de nuestra cultura, para mantener una calidad mínima de vida humana (SSTC 231/1988, de 2 de diciembre, FJ 3; 197/1991, de 17 de octubre, FJ 3; 57/1994, de 28 de febrero, FJ 5; 143/1994, de 9 de mayo, FJ 6; 207/1996, de 16 de diciembre, FJ 3; 98/2000, de 10 de abril, FJ 5; 156/2001, de 2 de julio, FJ 4, o 127/2003, de 30 de junio, FJ 7, entre otras), y la persona puede imponer a terceros el deber de abstenerse de toda intromisión en la esfera íntima y la prohibición de hacer uso de lo así conocido. El art. 18.1 CE impide injerencias </w:t>
      </w:r>
      <w:r>
        <w:lastRenderedPageBreak/>
        <w:t>en la intimidad arbitrarias o ilegales y alcanza, entre otros componentes, a la integridad corporal, si bien el ámbito de intimidad corporal constitucionalmente protegido no coincide con la realidad física del cuerpo humano, porque no es una entidad física, sino cultural y determinada por el criterio dominante en nuestra cultura sobre el recato corporal.</w:t>
      </w:r>
    </w:p>
    <w:p w14:paraId="2DCC7D17" w14:textId="77777777" w:rsidR="009D7677" w:rsidRDefault="009D7677" w:rsidP="009D7677">
      <w:pPr>
        <w:pStyle w:val="TextoNormal"/>
      </w:pPr>
    </w:p>
    <w:p w14:paraId="4184BD65" w14:textId="0C24D095" w:rsidR="009D7677" w:rsidRDefault="009D7677" w:rsidP="009D7677">
      <w:pPr>
        <w:pStyle w:val="TextoNormal"/>
      </w:pPr>
      <w:r>
        <w:t>Por medio de otrosí, solicita la suspensión de la ejecución del auto controvertido, dictado por el Juzgado de Primera Instancia e Instrucción núm. 2 de Santa María de Guía en el procedimiento de jurisdicción voluntaria núm. 469-2021.</w:t>
      </w:r>
    </w:p>
    <w:p w14:paraId="0F1175FC" w14:textId="77777777" w:rsidR="009D7677" w:rsidRDefault="009D7677" w:rsidP="009D7677">
      <w:pPr>
        <w:pStyle w:val="TextoNormal"/>
      </w:pPr>
    </w:p>
    <w:p w14:paraId="63064312" w14:textId="77777777" w:rsidR="009D7677" w:rsidRDefault="009D7677" w:rsidP="009D7677">
      <w:pPr>
        <w:pStyle w:val="TextoNormal"/>
      </w:pPr>
      <w:r w:rsidRPr="009D7677">
        <w:rPr>
          <w:rStyle w:val="NumeroAFNegritaCaracter"/>
        </w:rPr>
        <w:t>4</w:t>
      </w:r>
      <w:r>
        <w:t>. Mediante providencia de 12 de septiembre de 2023, la Sección Tercera del Tribunal Constitucional acordó admitir a trámite el recurso de amparo porque el recurso plantea un problema o afecta a una faceta de un derecho fundamental sobre el que no hay doctrina de este tribunal [STC 155/2009, de 25 de junio, FJ 2 a)] y el asunto suscitado trasciende del caso concreto porque plantea una cuestión jurídica de relevante y general repercusión social o económica [STC 155/2009, FJ 2 g)].</w:t>
      </w:r>
    </w:p>
    <w:p w14:paraId="203794DF" w14:textId="77777777" w:rsidR="009D7677" w:rsidRDefault="009D7677" w:rsidP="009D7677">
      <w:pPr>
        <w:pStyle w:val="TextoNormal"/>
      </w:pPr>
    </w:p>
    <w:p w14:paraId="7FBDB1D8" w14:textId="1DC283E0" w:rsidR="009D7677" w:rsidRDefault="009D7677" w:rsidP="009D7677">
      <w:pPr>
        <w:pStyle w:val="TextoNormal"/>
      </w:pPr>
      <w:r>
        <w:t>En la misma providencia se acordó, en aplicación de lo dispuesto en el art. 51 de la Ley Orgánica del Tribunal Constitucional (LOTC), dirigir atenta comunicación a la Sección Tercera de la Audiencia Provincial de Las Palmas a fin de que, en plazo que no excediera de diez días, remitiera testimonio de las actuaciones correspondientes al rollo de apelación núm. 1383-2022, e, igualmente, al Juzgado de Primera Instancia e Instrucción núm. 2 de Santa María de Guía a fin de que, en plazo que no excediera de diez días, remitiera testimonio de las actuaciones correspondientes al procedimiento de jurisdicción voluntaria núm. 469-2021, debiendo previamente emplazarse, para que en el plazo de diez días pudieran comparecer, si lo desearan, en el recurso de amparo, a quienes hubieran sido parte en el procedimiento, excepto la parte recurrente en amparo.</w:t>
      </w:r>
    </w:p>
    <w:p w14:paraId="0EBD8949" w14:textId="77777777" w:rsidR="009D7677" w:rsidRDefault="009D7677" w:rsidP="009D7677">
      <w:pPr>
        <w:pStyle w:val="TextoNormal"/>
      </w:pPr>
    </w:p>
    <w:p w14:paraId="2C051AEA" w14:textId="5AE6550E" w:rsidR="009D7677" w:rsidRDefault="009D7677" w:rsidP="009D7677">
      <w:pPr>
        <w:pStyle w:val="TextoNormal"/>
      </w:pPr>
      <w:r w:rsidRPr="009D7677">
        <w:rPr>
          <w:rStyle w:val="NumeroAFNegritaCaracter"/>
        </w:rPr>
        <w:t>5</w:t>
      </w:r>
      <w:r>
        <w:t>. Asimismo, en la propia providencia de 12 de septiembre de 2023, a solicitud de la parte actora, se acordó la formación de pieza separada de suspensión, iniciándose su tramitación conforme al art. 56 LOTC.</w:t>
      </w:r>
    </w:p>
    <w:p w14:paraId="7D8BA39F" w14:textId="77777777" w:rsidR="009D7677" w:rsidRDefault="009D7677" w:rsidP="009D7677">
      <w:pPr>
        <w:pStyle w:val="TextoNormal"/>
      </w:pPr>
    </w:p>
    <w:p w14:paraId="3409EC7C" w14:textId="6014393E" w:rsidR="009D7677" w:rsidRDefault="009D7677" w:rsidP="009D7677">
      <w:pPr>
        <w:pStyle w:val="TextoNormal"/>
      </w:pPr>
      <w:r w:rsidRPr="009D7677">
        <w:rPr>
          <w:rStyle w:val="NumeroAFNegritaCaracter"/>
        </w:rPr>
        <w:t>6</w:t>
      </w:r>
      <w:r>
        <w:t>. Por diligencia de ordenación de 7 de noviembre de 2023 se acordó dar vista de las actuaciones recibidas a la parte recurrente y al Ministerio Fiscal por plazo común de veinte días, dentro de los cuales podrían formular las alegaciones que estimasen pertinentes, conforme determina el art. 52.1 LOTC.</w:t>
      </w:r>
    </w:p>
    <w:p w14:paraId="2347F5DE" w14:textId="77777777" w:rsidR="009D7677" w:rsidRDefault="009D7677" w:rsidP="009D7677">
      <w:pPr>
        <w:pStyle w:val="TextoNormal"/>
      </w:pPr>
    </w:p>
    <w:p w14:paraId="782A551B" w14:textId="77777777" w:rsidR="009D7677" w:rsidRDefault="009D7677" w:rsidP="009D7677">
      <w:pPr>
        <w:pStyle w:val="TextoNormal"/>
      </w:pPr>
      <w:r w:rsidRPr="009D7677">
        <w:rPr>
          <w:rStyle w:val="NumeroAFNegritaCaracter"/>
        </w:rPr>
        <w:t>7</w:t>
      </w:r>
      <w:r>
        <w:t>. El fiscal presentó sus alegaciones el día 12 de diciembre de 2023 en el registro de este tribunal interesando la desestimación del recurso de amparo.</w:t>
      </w:r>
    </w:p>
    <w:p w14:paraId="7C2707DE" w14:textId="77777777" w:rsidR="009D7677" w:rsidRDefault="009D7677" w:rsidP="009D7677">
      <w:pPr>
        <w:pStyle w:val="TextoNormal"/>
      </w:pPr>
    </w:p>
    <w:p w14:paraId="02CE9BE3" w14:textId="77777777" w:rsidR="009D7677" w:rsidRDefault="009D7677" w:rsidP="009D7677">
      <w:pPr>
        <w:pStyle w:val="TextoNormal"/>
      </w:pPr>
      <w:r>
        <w:t>Con apoyo en la STC 38/2023, de 20 de abril, FJ 3, entiende que debe descartarse la lesión de los derechos fundamentales invocados distintos del derecho a la integridad física del art. 15 CE, al considerarse tributarios de la vulneración de este último.</w:t>
      </w:r>
    </w:p>
    <w:p w14:paraId="4BD1DF09" w14:textId="77777777" w:rsidR="009D7677" w:rsidRDefault="009D7677" w:rsidP="009D7677">
      <w:pPr>
        <w:pStyle w:val="TextoNormal"/>
      </w:pPr>
    </w:p>
    <w:p w14:paraId="199349E7" w14:textId="77777777" w:rsidR="009D7677" w:rsidRDefault="009D7677" w:rsidP="009D7677">
      <w:pPr>
        <w:pStyle w:val="TextoNormal"/>
      </w:pPr>
      <w:r>
        <w:t xml:space="preserve">Respecto de la legitimación activa, y dado que la recurrente, madre de la discapacitada, actúa en nombre propio y no en nombre de aquella, observa que podrían plantearse algunas dudas de admisibilidad que debieran resolverse conforme al criterio mantenido en la citada STC 38/2023, FJ 2 b), en el sentido de considerar que la demandante de amparo </w:t>
      </w:r>
      <w:r>
        <w:lastRenderedPageBreak/>
        <w:t>ostenta un “interés legítimo”, atendida la amplitud y flexibilidad con que viene interpretando este concepto el Tribunal Constitucional y que comprende situaciones de vinculación familiar, ocurriendo en este caso que la madre ostenta la patria potestad prorrogada de la titular de los derechos fundamentales que se entienden vulnerados y ha sido parte en el proceso judicial en el que se cuestionaba su decisión contraria a la administración de la vacuna, adoptada en ejercicio de sus funciones representativas.</w:t>
      </w:r>
    </w:p>
    <w:p w14:paraId="4C20583D" w14:textId="77777777" w:rsidR="009D7677" w:rsidRDefault="009D7677" w:rsidP="009D7677">
      <w:pPr>
        <w:pStyle w:val="TextoNormal"/>
      </w:pPr>
    </w:p>
    <w:p w14:paraId="143BA4B5" w14:textId="77777777" w:rsidR="009D7677" w:rsidRDefault="009D7677" w:rsidP="009D7677">
      <w:pPr>
        <w:pStyle w:val="TextoNormal"/>
      </w:pPr>
      <w:r>
        <w:t>Y respecto de la alegada vulneración del derecho a la integridad física por la decisión judicial de autorizar la administración de la vacuna contra la covid-19, se remite a la STC 38/2023, FJ 4, con relación a los casos en que se haya acordado la vacunación de personas con discapacidad ingresadas en residencias en contra de la voluntad de guardadores o tutores en el sentido de considerar que esta actuación constituye una injerencia en el derecho fundamental a la integridad física de una persona, y la constitucionalidad de la administración no consentida de una vacuna queda supeditada al cumplimiento de los requisitos que, conforme a la doctrina del Tribunal Constitucional, rigen la restricción de derechos fundamentales sustantivos. En este sentido, la norma legal habilitante de la injerencia es la Ley 41/2002, de la autonomía del paciente, cuyos arts. 8 y 9 regulan el consentimiento informado. En particular, el art. 9.3 de la ley se refiere al caso en que el paciente tenga la capacidad modificada judicialmente, que es el supuesto en el que nos encontramos. En este caso, la intervención judicial debe tener un fin estrictamente tuitivo de los intereses de la persona afectada. Y el fundamento jurídico 6 de la STC 38/2023 establece los criterios de ponderación que deben contener las resoluciones judiciales, y que se concretan en que la persona haya podido manifestar su voluntad y, cuando esto no sea posible, la medida de apoyo debe atender de forma imparcial al interés de la persona afectada. La decisión adoptada debe, además, estar basada en argumentos que permitan considerar que el criterio adoptado es proporcionado a las necesidades de la persona discapacitada, de acuerdo con las circunstancias concurrentes.</w:t>
      </w:r>
    </w:p>
    <w:p w14:paraId="2C8CE8A7" w14:textId="77777777" w:rsidR="009D7677" w:rsidRDefault="009D7677" w:rsidP="009D7677">
      <w:pPr>
        <w:pStyle w:val="TextoNormal"/>
      </w:pPr>
    </w:p>
    <w:p w14:paraId="713C2C84" w14:textId="1AD7EFE4" w:rsidR="009D7677" w:rsidRDefault="009D7677" w:rsidP="009D7677">
      <w:pPr>
        <w:pStyle w:val="TextoNormal"/>
      </w:pPr>
      <w:r>
        <w:t xml:space="preserve">Aplicando esta doctrina al caso, el fiscal concluye que no se ha producido la vulneración del derecho fundamental a la integridad física de doña M.P.T.D., teniendo en cuenta su grave padecimiento, que afecta a su capacidad para decidir sobre la administración de la vacuna. Su madre y su hermana alegaban que los riesgos de la vacuna superan a los beneficios, pero el auto de instancia valora que los médicos que comparecieron en la vista informaron que no existía ninguna contraindicación que desaconsejara la inoculación y que los beneficios son considerablemente superiores para la salud que los eventuales efectos secundarios, de carácter leve y moderado. También valora la resolución judicial la declaración del psicólogo de la residencia en el sentido de que la falta de vacunación ha provocado el traslado a otro módulo, sin contacto con otros residentes ni participación en actividades, lo que ha conllevado un deterioro cognitivo importante. Asimismo, la terapeuta ocupacional de la residencia corroboró la pérdida de autonomía personal por esta circunstancia. Y, ponderando el interés y bienestar de la persona discapacitada, la resolución judicial de primera instancia autoriza la vacunación. La decisión es mantenida en apelación. Ambas resoluciones emplean los criterios de ponderación expuestos, ya que tienen una finalidad legítima que consiste en proteger los intereses de la persona vulnerable conforme a la legislación que las habilita para ello. Tales criterios son: a) la fiabilidad de la vacuna asociada a su aprobación por la Agencia Europea de Medicamentos y la Agencia Española de Medicamentos y Productos Sanitarios y su sometimiento a seguimiento permanente; b) la asimilación general de los márgenes de riesgo de la vacuna a los habituales en cualquier </w:t>
      </w:r>
      <w:r>
        <w:lastRenderedPageBreak/>
        <w:t>vacuna recomendada por las autoridades sanitarias; c) la existencia de un contexto de riesgo cualificado para la salud de la persona por vivir en una residencia de personas con discapacidad; d) la existencia de informes periciales sometidos a contradicción que acreditaban la inexistencia de contraindicaciones específicas para doña M.P.T.D.; e) la evidencia estadística de que “es mayor y más grave el riesgo de contraer la infección por coronavirus que la de padecer algún efecto secundario grave” por la vacuna; f) las consecuencias negativas de la falta de vacunación para la afectada en lo relativo al desenvolvimiento de su vida diaria, al limitar su capacidad de relación con terceros.</w:t>
      </w:r>
    </w:p>
    <w:p w14:paraId="3FBA92E3" w14:textId="77777777" w:rsidR="009D7677" w:rsidRDefault="009D7677" w:rsidP="009D7677">
      <w:pPr>
        <w:pStyle w:val="TextoNormal"/>
      </w:pPr>
    </w:p>
    <w:p w14:paraId="26903C0B" w14:textId="065C3476" w:rsidR="009D7677" w:rsidRDefault="009D7677" w:rsidP="009D7677">
      <w:pPr>
        <w:pStyle w:val="TextoNormal"/>
      </w:pPr>
      <w:r w:rsidRPr="009D7677">
        <w:rPr>
          <w:rStyle w:val="NumeroAFNegritaCaracter"/>
        </w:rPr>
        <w:t>8</w:t>
      </w:r>
      <w:r>
        <w:t>. Por providencia de 3 de mayo de 2024 se señaló para deliberación y votación de la presente sentencia el día 6 del mismo mes y año.</w:t>
      </w:r>
    </w:p>
    <w:p w14:paraId="55220802" w14:textId="77777777" w:rsidR="009D7677" w:rsidRDefault="009D7677" w:rsidP="009D7677">
      <w:pPr>
        <w:pStyle w:val="TextoNormal"/>
      </w:pPr>
    </w:p>
    <w:p w14:paraId="35581FF4" w14:textId="77777777" w:rsidR="009D7677" w:rsidRDefault="009D7677" w:rsidP="009D7677">
      <w:pPr>
        <w:pStyle w:val="TextoNormalNegritaCentrado"/>
        <w:keepNext/>
      </w:pPr>
      <w:r>
        <w:t>II. Fundamentos jurídicos</w:t>
      </w:r>
    </w:p>
    <w:p w14:paraId="55EAD748" w14:textId="2D51C750" w:rsidR="009D7677" w:rsidRDefault="009D7677" w:rsidP="009D7677">
      <w:pPr>
        <w:pStyle w:val="TextoNormalNegritaCentrado"/>
        <w:keepNext/>
      </w:pPr>
    </w:p>
    <w:p w14:paraId="2DE183CA" w14:textId="77777777" w:rsidR="009D7677" w:rsidRDefault="009D7677" w:rsidP="009D7677">
      <w:pPr>
        <w:pStyle w:val="TextoNormal"/>
      </w:pPr>
      <w:r w:rsidRPr="009D7677">
        <w:rPr>
          <w:rStyle w:val="TextoNormalNegritaCaracter"/>
        </w:rPr>
        <w:t xml:space="preserve">Único. </w:t>
      </w:r>
      <w:r w:rsidRPr="009D7677">
        <w:rPr>
          <w:i/>
        </w:rPr>
        <w:t>Aplicación de la doctrina de la STC 38/2023, de 20 de abril</w:t>
      </w:r>
    </w:p>
    <w:p w14:paraId="1FF2A7F6" w14:textId="77777777" w:rsidR="009D7677" w:rsidRDefault="009D7677" w:rsidP="009D7677">
      <w:pPr>
        <w:pStyle w:val="TextoNormal"/>
      </w:pPr>
    </w:p>
    <w:p w14:paraId="606E53AB" w14:textId="77777777" w:rsidR="009D7677" w:rsidRDefault="009D7677" w:rsidP="009D7677">
      <w:pPr>
        <w:pStyle w:val="TextoNormal"/>
      </w:pPr>
      <w:r>
        <w:t>a) El objeto de este recurso de amparo consiste en determinar si las resoluciones recurridas, que autorizaron la vacunación contra la covid-19 de doña M.P.T.D., ante la imposibilidad de esta para decidir por sí misma debido a su discapacidad intelectual profunda, y pese a la negativa de su madre y guardadora de hecho para que se le administrara la vacuna, han vulnerado el derecho a la igualdad ante la ley y a no ser discriminado (art. 14 CE), el derecho a la integridad física y moral (art. 15 CE), el derecho a la intimidad (art. 18.1 CE) como derivación del derecho a la dignidad de la persona (art. 10 CE) y el derecho a la tutela judicial efectiva (art. 24.1 CE) en relación con el deber de motivación de los autos recurridos.</w:t>
      </w:r>
    </w:p>
    <w:p w14:paraId="46667F43" w14:textId="77777777" w:rsidR="009D7677" w:rsidRDefault="009D7677" w:rsidP="009D7677">
      <w:pPr>
        <w:pStyle w:val="TextoNormal"/>
      </w:pPr>
    </w:p>
    <w:p w14:paraId="4AB18355" w14:textId="77777777" w:rsidR="009D7677" w:rsidRDefault="009D7677" w:rsidP="009D7677">
      <w:pPr>
        <w:pStyle w:val="TextoNormal"/>
      </w:pPr>
      <w:r>
        <w:t>b) Este tribunal, al amparo de lo establecido en el art. 86.3 LOTC y el art. 1 del acuerdo del Pleno de 23 de julio de 2015, por el que se regula la exclusión de los datos de identidad personal en la publicación de las resoluciones jurisdiccionales (“Boletín Oficial del Estado” núm. 178, de 27 de julio de 2015), en atención a que el objeto de controversia en este proceso constitucional versa sobre una persona que requiere un especial deber de tutela por su discapacidad, acuerda que en la presente resolución se identifique solo por sus iniciales a los intervinientes con la finalidad de preservar de modo efectivo el anonimato de dichas personas.</w:t>
      </w:r>
    </w:p>
    <w:p w14:paraId="309DB435" w14:textId="77777777" w:rsidR="009D7677" w:rsidRDefault="009D7677" w:rsidP="009D7677">
      <w:pPr>
        <w:pStyle w:val="TextoNormal"/>
      </w:pPr>
    </w:p>
    <w:p w14:paraId="0F330A57" w14:textId="77777777" w:rsidR="009D7677" w:rsidRDefault="009D7677" w:rsidP="009D7677">
      <w:pPr>
        <w:pStyle w:val="TextoNormal"/>
      </w:pPr>
      <w:r>
        <w:t>c) La cuestión constitucional suscitada se refiere a una persona con discapacidad, cuya protección se encuentra especialmente garantizada en el art. 49 de la Constitución, recientemente modificado. Concretamente, se trata de una cuestión que ya ha sido objeto de análisis por el Pleno de este tribunal en la STC 38/2023, de 20 de abril. En ella se enjuició si la autorización judicial para la vacunación contra la covid-19 de una persona mayor de edad, pero privada de la suficiente capacidad intelectual para poder emitir por sí misma el consentimiento informado y con la oposición del familiar que se había hecho cargo de su cuidado, podía o no vulnerar los derechos fundamentales de aquella, derechos que también se invocan en el presente recurso de amparo.</w:t>
      </w:r>
    </w:p>
    <w:p w14:paraId="57DB6696" w14:textId="77777777" w:rsidR="009D7677" w:rsidRDefault="009D7677" w:rsidP="009D7677">
      <w:pPr>
        <w:pStyle w:val="TextoNormal"/>
      </w:pPr>
    </w:p>
    <w:p w14:paraId="1579C195" w14:textId="77777777" w:rsidR="009D7677" w:rsidRDefault="009D7677" w:rsidP="009D7677">
      <w:pPr>
        <w:pStyle w:val="TextoNormal"/>
      </w:pPr>
      <w:r>
        <w:t xml:space="preserve">Al igual que sucedía en aquel caso, la recurrente, doña J.C.D.R., ha presentado la demanda de amparo actuando en su propio nombre y no en nombre de la persona afectada </w:t>
      </w:r>
      <w:r>
        <w:lastRenderedPageBreak/>
        <w:t>por la decisión judicial que autoriza la vacunación, es decir, su hija doña M.P.T.D., respecto de la que viene ejerciendo la guarda de hecho. No nos encontramos, por tanto, ante un recurso de amparo promovido por el representante legal en nombre del titular de los derechos fundamentales que se consideran vulnerados. Esta circunstancia obliga al Tribunal a revisar de oficio la legitimación para recurrir de doña J.C.D.R., remitiéndonos en este punto a los razonamientos contenidos en el fundamento jurídico 2 b) de la STC 38/2023, en el sentido de considerar que la demandante de amparo ostenta un “interés legítimo”, concepto que comprende las “situaciones de vinculación familiar” (STC 233/2005, de 26 de septiembre, FJ 9), sucediendo, además, que la recurrente ha sido parte en el proceso judicial, tal y como exigen los arts. 162.1 b) CE y 46.1 b) LOTC, en el que se cuestionaba, precisamente, su negativa a que le fuera inoculada la vacuna a su hija discapacitada.</w:t>
      </w:r>
    </w:p>
    <w:p w14:paraId="6A2DD245" w14:textId="77777777" w:rsidR="009D7677" w:rsidRDefault="009D7677" w:rsidP="009D7677">
      <w:pPr>
        <w:pStyle w:val="TextoNormal"/>
      </w:pPr>
    </w:p>
    <w:p w14:paraId="6D247E37" w14:textId="77777777" w:rsidR="009D7677" w:rsidRDefault="009D7677" w:rsidP="009D7677">
      <w:pPr>
        <w:pStyle w:val="TextoNormal"/>
      </w:pPr>
      <w:r>
        <w:t>d) En relación con los derechos fundamentales alegados en el recurso de amparo, y siguiendo los mismos motivos que se razonaron en la STC 38/2023, FJ 3, a los que nos remitimos ahora, hay que rechazar: (i) la invocación del art. 14 CE, ya que la demanda de amparo carece de un mínimo desarrollo argumental en relación con esta vulneración y la recurrente no llega a individualizar, en los términos exigidos en la doctrina de este tribunal, un término de comparación válido como fundamento de la existencia de discriminación; (ii) la invocación del art. 18.1 CE en relación con el art. 10 CE, pues ni de la finalidad de las resoluciones impugnadas ni de la zona del cuerpo sobre la que se materializa la injerencia se deriva afectación alguna del derecho fundamental a la intimidad; y (iii) la invocación del art. 24.1 CE en su vertiente de deber de motivación de las resoluciones judiciales, que presenta un mero carácter accesorio o de refuerzo, al ir anudada a la denuncia realizada respecto de los demás derechos fundamentales invocados, de modo que “carece […] de sustantividad propia y resulta puramente formal e instrumental respecto de la alegación fundamental referida a la lesión del derecho sustantivo” (por todas, STC 342/2006, de 11 de diciembre, FJ 2).</w:t>
      </w:r>
    </w:p>
    <w:p w14:paraId="3900869F" w14:textId="77777777" w:rsidR="009D7677" w:rsidRDefault="009D7677" w:rsidP="009D7677">
      <w:pPr>
        <w:pStyle w:val="TextoNormal"/>
      </w:pPr>
    </w:p>
    <w:p w14:paraId="45F14F02" w14:textId="77777777" w:rsidR="009D7677" w:rsidRDefault="009D7677" w:rsidP="009D7677">
      <w:pPr>
        <w:pStyle w:val="TextoNormal"/>
      </w:pPr>
      <w:r>
        <w:t>e) Respecto de la invocación del art. 15 CE, también en la citada STC 38/2023, FFJJ 4 a 6, se expusieron de manera pormenorizada las pautas de ponderación necesarias para determinar si ha resultado vulnerado en este tipo de supuestos el derecho a la integridad personal, debiendo destacarse a efectos de aplicación de la doctrina asentada que (i) la autorización judicial que aquí se enjuicia cuenta con la habilitación legal que ofrece el art. 9.6 de la Ley 41/2002, de 14 de noviembre, básica reguladora de la autonomía del paciente y de derechos y obligaciones en materia de información y documentación clínica, en cuanto precepto que tiene una estricta finalidad tuitiva de los intereses del paciente en un contexto de peligro para su salud y en una situación en la que la persona afectada no puede decidir por sí misma sobre el tratamiento médico prescrito (FJ 5); y (ii) la decisión que se adopte ha de responder al fin estricto de proteger a la persona con discapacidad y adecuarse a dicho fin la ponderación de los beneficios y perjuicios, de modo que esté basada en argumentos que permitan considerar que el criterio adoptado es proporcionado a las necesidades de la persona con discapacidad, de acuerdo con las circunstancias concurrentes (FJ 6).</w:t>
      </w:r>
    </w:p>
    <w:p w14:paraId="6773C908" w14:textId="77777777" w:rsidR="009D7677" w:rsidRDefault="009D7677" w:rsidP="009D7677">
      <w:pPr>
        <w:pStyle w:val="TextoNormal"/>
      </w:pPr>
    </w:p>
    <w:p w14:paraId="0BCBD1DB" w14:textId="77777777" w:rsidR="009D7677" w:rsidRDefault="009D7677" w:rsidP="009D7677">
      <w:pPr>
        <w:pStyle w:val="TextoNormal"/>
      </w:pPr>
      <w:r>
        <w:t>En atención a lo expuesto, en el presente caso, como también se concluyó en la citada STC 38/2023, FJ 7, este tribunal rechaza que se haya vulnerado el art. 15 CE en el sentido alegado en la demanda, una vez que se constata que (i) la decisión judicial parte de consi</w:t>
      </w:r>
      <w:r>
        <w:lastRenderedPageBreak/>
        <w:t>derar que doña M.P.T.D., carecía de capacidad para manifestar su voluntad acerca de la administración de la vacuna, atendido el déficit intelectual que padece; (ii) la negativa de su madre y guardadora de hecho a la vacunación se basaba en su propia valoración personal de los riesgos y beneficios que llevaba aparejada la inoculación de la vacuna; (iii) la decisión judicial no desbordó los límites de cobertura del precepto habilitante, al establecerse como premisa de la ponderación la protección de la salud del interesado; (iv) los criterios de ponderación empleados en las resoluciones judiciales responden a la finalidad legítima de proteger los intereses de la persona vulnerable, concretamente, que se trataba de un medicamento autorizado por las autoridades sanitarias, por lo que no cabía concluir que no fuera seguro o que fuera ineficaz; que conforme al criterio de los profesionales, los beneficios de la vacuna superan considerablemente a los riesgos; y que la vacunación permitiría fomentar la autonomía, sociabilidad y estado de ánimo de doña M.P.T.D., frente a los perjuicios que había conllevado para la afectada el aislamiento dentro del centro, concretados fundamentalmente en un deterioro cognitivo importante; y (v) la ausencia de contraindicación alguna para la vacunación de doña M.P.T.D.</w:t>
      </w:r>
    </w:p>
    <w:p w14:paraId="6AE56FB1" w14:textId="77777777" w:rsidR="009D7677" w:rsidRDefault="009D7677" w:rsidP="009D7677">
      <w:pPr>
        <w:pStyle w:val="TextoNormal"/>
      </w:pPr>
    </w:p>
    <w:p w14:paraId="4EF60DB1" w14:textId="7EFADB73" w:rsidR="009D7677" w:rsidRDefault="009D7677" w:rsidP="009D7677">
      <w:pPr>
        <w:pStyle w:val="TextoNormal"/>
      </w:pPr>
      <w:r>
        <w:t>Todo lo que se ha razonado conduce a la desestimación de la demanda presentada.</w:t>
      </w:r>
    </w:p>
    <w:p w14:paraId="3AC63143" w14:textId="77777777" w:rsidR="009D7677" w:rsidRDefault="009D7677" w:rsidP="009D7677">
      <w:pPr>
        <w:pStyle w:val="TextoNormal"/>
      </w:pPr>
    </w:p>
    <w:p w14:paraId="017F0457" w14:textId="77777777" w:rsidR="009D7677" w:rsidRDefault="009D7677" w:rsidP="009D7677">
      <w:pPr>
        <w:pStyle w:val="TextoNormalCentrado"/>
        <w:keepNext/>
      </w:pPr>
      <w:r>
        <w:t>FALLO</w:t>
      </w:r>
    </w:p>
    <w:p w14:paraId="5F2E4192" w14:textId="0C966A77" w:rsidR="009D7677" w:rsidRDefault="009D7677" w:rsidP="009D7677">
      <w:pPr>
        <w:pStyle w:val="TextoNormalCentrado"/>
        <w:keepNext/>
      </w:pPr>
    </w:p>
    <w:p w14:paraId="6DCC8249" w14:textId="59AF0961" w:rsidR="009D7677" w:rsidRDefault="009D7677" w:rsidP="009D7677">
      <w:pPr>
        <w:pStyle w:val="TextoNormal"/>
      </w:pPr>
      <w:r>
        <w:t>En atención a todo lo expuesto, el Tribunal Constitucional, por la autoridad que le confiere la Constitución de la Nación española, ha decidido desestimar el recurso de amparo presentado por doña J.C.D.R., y archivar su pieza separada de suspensión.</w:t>
      </w:r>
    </w:p>
    <w:p w14:paraId="5F8E5B86" w14:textId="77777777" w:rsidR="009D7677" w:rsidRDefault="009D7677" w:rsidP="009D7677">
      <w:pPr>
        <w:pStyle w:val="TextoNormal"/>
      </w:pPr>
    </w:p>
    <w:p w14:paraId="7C7C0563" w14:textId="77777777" w:rsidR="009D7677" w:rsidRDefault="009D7677" w:rsidP="009D7677">
      <w:pPr>
        <w:pStyle w:val="TextoNormal"/>
      </w:pPr>
      <w:r>
        <w:t>Publíquese esta sentencia en el “Boletín Oficial del Estado”.</w:t>
      </w:r>
    </w:p>
    <w:p w14:paraId="1F35A0A9" w14:textId="77777777" w:rsidR="009D7677" w:rsidRDefault="009D7677" w:rsidP="009D7677">
      <w:pPr>
        <w:pStyle w:val="TextoNormal"/>
      </w:pPr>
      <w:r>
        <w:t>Dada en Madrid, a seis de mayo de dos mil veinticuatro.</w:t>
      </w:r>
    </w:p>
    <w:p w14:paraId="199DB6D4" w14:textId="527B931E" w:rsidR="009D7677" w:rsidRDefault="009D7677">
      <w:pPr>
        <w:spacing w:after="160" w:line="259" w:lineRule="auto"/>
        <w:rPr>
          <w:rFonts w:ascii="Times New Roman" w:eastAsia="Times New Roman" w:hAnsi="Times New Roman" w:cs="Times New Roman"/>
          <w:sz w:val="24"/>
          <w:szCs w:val="24"/>
          <w:lang w:eastAsia="es-ES"/>
        </w:rPr>
      </w:pPr>
      <w:r>
        <w:br w:type="page"/>
      </w:r>
    </w:p>
    <w:p w14:paraId="5D9982EF" w14:textId="77777777" w:rsidR="009D7677" w:rsidRDefault="009D7677" w:rsidP="009D7677">
      <w:pPr>
        <w:pStyle w:val="TtuloResolucin"/>
      </w:pPr>
      <w:bookmarkStart w:id="74" w:name="SENTENCIA_2024_72"/>
      <w:r>
        <w:lastRenderedPageBreak/>
        <w:t>SENTENCIA 72/2024, de 7 de mayo de 2024</w:t>
      </w:r>
    </w:p>
    <w:bookmarkEnd w:id="74"/>
    <w:p w14:paraId="7CC30233" w14:textId="77777777" w:rsidR="009D7677" w:rsidRDefault="009D7677" w:rsidP="009D7677">
      <w:pPr>
        <w:pStyle w:val="TtuloResolucin"/>
      </w:pPr>
      <w:r>
        <w:t>Pleno</w:t>
      </w:r>
    </w:p>
    <w:p w14:paraId="3F515637" w14:textId="77777777" w:rsidR="009D7677" w:rsidRDefault="009D7677" w:rsidP="009D7677">
      <w:pPr>
        <w:pStyle w:val="TtuloBOE"/>
      </w:pPr>
      <w:r>
        <w:t>(BOE núm. 140, de 10 de junio de 2024)</w:t>
      </w:r>
    </w:p>
    <w:p w14:paraId="78920005" w14:textId="77777777" w:rsidR="009D7677" w:rsidRDefault="009D7677" w:rsidP="009D7677">
      <w:pPr>
        <w:pStyle w:val="TextoNormalCentrado"/>
      </w:pPr>
      <w:r>
        <w:t>ECLI:ES:TC:2024:72</w:t>
      </w:r>
    </w:p>
    <w:p w14:paraId="01E4BC18" w14:textId="3F108A2F" w:rsidR="009D7677" w:rsidRDefault="009D7677" w:rsidP="009D7677">
      <w:pPr>
        <w:pStyle w:val="TextoNormalCentrado"/>
      </w:pPr>
    </w:p>
    <w:p w14:paraId="4513E8E7" w14:textId="77777777" w:rsidR="009D7677" w:rsidRDefault="009D7677" w:rsidP="009D7677">
      <w:pPr>
        <w:pStyle w:val="SntesisDescriptiva"/>
      </w:pPr>
      <w:r>
        <w:t>Recurso de amparo 2228-2020. Promovido por don Cristóbal Francisco Ripollés Paús respecto de la sentencia de la Audiencia Provincial de Castellón que anuló la sentencia absolutoria previamente dictada por un juzgado de lo penal de su capital.</w:t>
      </w:r>
    </w:p>
    <w:p w14:paraId="13914BEF" w14:textId="481ABEBB" w:rsidR="009D7677" w:rsidRDefault="009D7677" w:rsidP="009D7677">
      <w:pPr>
        <w:pStyle w:val="SntesisDescriptiva"/>
      </w:pPr>
    </w:p>
    <w:p w14:paraId="3E0DC43A" w14:textId="77777777" w:rsidR="009D7677" w:rsidRDefault="009D7677" w:rsidP="009D7677">
      <w:pPr>
        <w:pStyle w:val="SntesisAnaltica"/>
      </w:pPr>
      <w:r>
        <w:t>Vulneración de los derechos a la tutela judicial efectiva (resolución fundada en derecho) y a la presunción de inocencia: revocación de la sentencia absolutoria basada en una discrepancia en la valoración de la prueba que supone una extralimitación de las facultades del tribunal de apelación. Voto particular.</w:t>
      </w:r>
    </w:p>
    <w:p w14:paraId="2853C30E" w14:textId="220F3FC2" w:rsidR="009D7677" w:rsidRDefault="009D7677" w:rsidP="009D7677">
      <w:pPr>
        <w:pStyle w:val="SntesisAnaltica"/>
      </w:pPr>
    </w:p>
    <w:p w14:paraId="2DA7A438" w14:textId="0CB4004D" w:rsidR="009D7677" w:rsidRDefault="009D7677" w:rsidP="009D7677">
      <w:pPr>
        <w:pStyle w:val="Extracto"/>
      </w:pPr>
      <w:r>
        <w:t>1.</w:t>
      </w:r>
      <w:r>
        <w:tab/>
        <w:t>En virtud de la garantía de la doble instancia penal o doble grado de jurisdicción, el tribunal superior debe controlar la corrección del juicio realizado en primera instancia, revisando la correcta aplicación de las reglas que han permitido la declaración de culpabilidad y la imposición de la pena en el caso concreto (SSTC 70/2002 o 136/2006) [FJ 4].</w:t>
      </w:r>
    </w:p>
    <w:p w14:paraId="681AA449" w14:textId="77777777" w:rsidR="009D7677" w:rsidRDefault="009D7677" w:rsidP="009D7677">
      <w:pPr>
        <w:pStyle w:val="Extracto"/>
      </w:pPr>
    </w:p>
    <w:p w14:paraId="4182A105" w14:textId="4B6823FE" w:rsidR="009D7677" w:rsidRDefault="009D7677" w:rsidP="009D7677">
      <w:pPr>
        <w:pStyle w:val="Extracto"/>
      </w:pPr>
      <w:r>
        <w:t>2.</w:t>
      </w:r>
      <w:r>
        <w:tab/>
        <w:t>Doctrina en materia de las posibilidades y límites de la revocación de sentencias absolutorias cuando se ha producido la vulneración de garantías constitucionales procesales de la parte acusadora [FJ 4].</w:t>
      </w:r>
    </w:p>
    <w:p w14:paraId="3F95FF52" w14:textId="77777777" w:rsidR="009D7677" w:rsidRDefault="009D7677" w:rsidP="009D7677">
      <w:pPr>
        <w:pStyle w:val="Extracto"/>
      </w:pPr>
    </w:p>
    <w:p w14:paraId="16450569" w14:textId="586D6A17" w:rsidR="009D7677" w:rsidRDefault="009D7677" w:rsidP="009D7677">
      <w:pPr>
        <w:pStyle w:val="Extracto"/>
      </w:pPr>
      <w:r>
        <w:t>3.</w:t>
      </w:r>
      <w:r>
        <w:tab/>
        <w:t>Para desarrollar la tarea de control de la racionalidad y suficiencia de la decisión absolutoria al amparo de una causa de recurso que permita controvertir el juicio fáctico de la instancia en que se basa la absolución, el juez de segundo grado debe acudir a la sentencia y no a las pruebas (STC 120/2009) [FJ 4].</w:t>
      </w:r>
    </w:p>
    <w:p w14:paraId="25A32F26" w14:textId="77777777" w:rsidR="009D7677" w:rsidRDefault="009D7677" w:rsidP="009D7677">
      <w:pPr>
        <w:pStyle w:val="Extracto"/>
      </w:pPr>
    </w:p>
    <w:p w14:paraId="47C483B8" w14:textId="24086ED3" w:rsidR="009D7677" w:rsidRDefault="009D7677" w:rsidP="009D7677">
      <w:pPr>
        <w:pStyle w:val="Extracto"/>
      </w:pPr>
      <w:r>
        <w:t>4.</w:t>
      </w:r>
      <w:r>
        <w:tab/>
        <w:t>El control que es posible en apelación para controvertir el juicio fáctico de una sentencia absolutoria no consiente el acceso a las fuentes de prueba para reevaluarlas dado que, en nuestro modelo de revisión, sería contrario a las garantías del juicio justo que no permiten, en ese contexto impugnatorio de las acusaciones, una valoración alternativa de las inferencias fácticas ni una reconstrucción del hecho probado [FJ 4].</w:t>
      </w:r>
    </w:p>
    <w:p w14:paraId="263CD3DE" w14:textId="77777777" w:rsidR="009D7677" w:rsidRDefault="009D7677" w:rsidP="009D7677">
      <w:pPr>
        <w:pStyle w:val="Extracto"/>
      </w:pPr>
    </w:p>
    <w:p w14:paraId="296AD14C" w14:textId="5FD5AEA1" w:rsidR="009D7677" w:rsidRDefault="009D7677" w:rsidP="009D7677">
      <w:pPr>
        <w:pStyle w:val="Extracto"/>
      </w:pPr>
      <w:r>
        <w:t>5.</w:t>
      </w:r>
      <w:r>
        <w:tab/>
        <w:t>Como reiteradamente ha destacado el Tribunal Europeo de Derechos Humanos, una resolución judicial vulnera formalmente el principio de presunción de inocencia cuando exterioriza una convicción sobre la culpabilidad del acusado absuelto (SSTEDH de 25 de marzo de 1983, asunto</w:t>
      </w:r>
      <w:r w:rsidRPr="009D7677">
        <w:rPr>
          <w:i/>
        </w:rPr>
        <w:t xml:space="preserve"> Minelli c. Suiza</w:t>
      </w:r>
      <w:r>
        <w:t xml:space="preserve">, § 37; de 28 de octubre de 2003, asunto </w:t>
      </w:r>
      <w:r w:rsidRPr="009D7677">
        <w:rPr>
          <w:i/>
        </w:rPr>
        <w:t>Baars c. Países Bajos</w:t>
      </w:r>
      <w:r>
        <w:t xml:space="preserve">, § 26; de 7 de enero de 2010, asunto </w:t>
      </w:r>
      <w:r w:rsidRPr="009D7677">
        <w:rPr>
          <w:i/>
        </w:rPr>
        <w:t>Petyo Petkov c. Bulgaria</w:t>
      </w:r>
      <w:r>
        <w:t xml:space="preserve">, § 90; de 13 de julio de 2010, asunto </w:t>
      </w:r>
      <w:r w:rsidRPr="009D7677">
        <w:rPr>
          <w:i/>
        </w:rPr>
        <w:t>Tendam c. España</w:t>
      </w:r>
      <w:r>
        <w:t xml:space="preserve">, § 35, y de 15 de enero de 2015, asunto </w:t>
      </w:r>
      <w:r w:rsidRPr="009D7677">
        <w:rPr>
          <w:i/>
        </w:rPr>
        <w:t>Cleve c. Alemania</w:t>
      </w:r>
      <w:r>
        <w:t>, § 53) [FJ 5].</w:t>
      </w:r>
    </w:p>
    <w:p w14:paraId="467E1C96" w14:textId="77777777" w:rsidR="009D7677" w:rsidRDefault="009D7677" w:rsidP="009D7677">
      <w:pPr>
        <w:pStyle w:val="Extracto"/>
      </w:pPr>
    </w:p>
    <w:p w14:paraId="0B06265A" w14:textId="61343FB1" w:rsidR="009D7677" w:rsidRDefault="009D7677" w:rsidP="009D7677">
      <w:pPr>
        <w:pStyle w:val="Extracto"/>
      </w:pPr>
      <w:r>
        <w:t>6.</w:t>
      </w:r>
      <w:r>
        <w:tab/>
        <w:t>La decisión de revocación y nulidad adoptado por el tribunal de apelación, que ordena la repetición del juicio ante un nuevo juzgador indicándole los criterios con los que ha de valorar las pruebas, vulnera el derecho a la tutela judicial efec</w:t>
      </w:r>
      <w:r>
        <w:lastRenderedPageBreak/>
        <w:t xml:space="preserve">tiva en relación con el derecho a la presunción de inocencia </w:t>
      </w:r>
      <w:r w:rsidRPr="009D7677">
        <w:rPr>
          <w:i/>
        </w:rPr>
        <w:t>ex</w:t>
      </w:r>
      <w:r>
        <w:t xml:space="preserve"> art. 24.2 CE [FJ 6].</w:t>
      </w:r>
    </w:p>
    <w:p w14:paraId="37EEB951" w14:textId="77777777" w:rsidR="009D7677" w:rsidRDefault="009D7677" w:rsidP="009D7677">
      <w:pPr>
        <w:pStyle w:val="Extracto"/>
      </w:pPr>
    </w:p>
    <w:p w14:paraId="58D42B57" w14:textId="77777777" w:rsidR="009D7677" w:rsidRDefault="009D7677" w:rsidP="009D7677">
      <w:pPr>
        <w:pStyle w:val="Extracto"/>
      </w:pPr>
    </w:p>
    <w:p w14:paraId="7DB1321F" w14:textId="77777777" w:rsidR="009D7677" w:rsidRDefault="009D7677" w:rsidP="009D7677">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4349D88D" w14:textId="02868537" w:rsidR="009D7677" w:rsidRDefault="009D7677" w:rsidP="009D7677">
      <w:pPr>
        <w:pStyle w:val="TextoNormal"/>
      </w:pPr>
    </w:p>
    <w:p w14:paraId="5EC05AF4" w14:textId="77777777" w:rsidR="009D7677" w:rsidRDefault="009D7677" w:rsidP="009D7677">
      <w:pPr>
        <w:pStyle w:val="TextoNormalCentrado"/>
        <w:keepNext/>
      </w:pPr>
      <w:r>
        <w:t>EN NOMBRE DEL REY</w:t>
      </w:r>
    </w:p>
    <w:p w14:paraId="51D9DC0C" w14:textId="2DDBA7C7" w:rsidR="009D7677" w:rsidRDefault="009D7677" w:rsidP="009D7677">
      <w:pPr>
        <w:pStyle w:val="TextoNormalCentrado"/>
        <w:keepNext/>
      </w:pPr>
    </w:p>
    <w:p w14:paraId="5F9228FE" w14:textId="77777777" w:rsidR="009D7677" w:rsidRDefault="009D7677" w:rsidP="009D7677">
      <w:pPr>
        <w:pStyle w:val="TextoNormalCentrado"/>
        <w:keepNext/>
      </w:pPr>
    </w:p>
    <w:p w14:paraId="11DA0880" w14:textId="77777777" w:rsidR="009D7677" w:rsidRDefault="009D7677" w:rsidP="009D7677">
      <w:pPr>
        <w:pStyle w:val="TextoNormal"/>
      </w:pPr>
      <w:r>
        <w:t>la siguiente</w:t>
      </w:r>
    </w:p>
    <w:p w14:paraId="15337272" w14:textId="71BA4445" w:rsidR="009D7677" w:rsidRDefault="009D7677" w:rsidP="009D7677">
      <w:pPr>
        <w:pStyle w:val="TextoNormal"/>
      </w:pPr>
    </w:p>
    <w:p w14:paraId="378A523B" w14:textId="77777777" w:rsidR="009D7677" w:rsidRDefault="009D7677" w:rsidP="009D7677">
      <w:pPr>
        <w:pStyle w:val="TextoNormalCentrado"/>
        <w:keepNext/>
      </w:pPr>
      <w:r>
        <w:t>SENTENCIA</w:t>
      </w:r>
    </w:p>
    <w:p w14:paraId="025F8487" w14:textId="256BE704" w:rsidR="009D7677" w:rsidRDefault="009D7677" w:rsidP="009D7677">
      <w:pPr>
        <w:pStyle w:val="TextoNormalCentrado"/>
        <w:keepNext/>
      </w:pPr>
    </w:p>
    <w:p w14:paraId="2D5E83BD" w14:textId="77777777" w:rsidR="009D7677" w:rsidRDefault="009D7677" w:rsidP="009D7677">
      <w:pPr>
        <w:pStyle w:val="TextoNormal"/>
      </w:pPr>
      <w:r>
        <w:t>En el recurso de amparo núm. 2228-2020, promovido por don Cristóbal Francisco Ripollés Paús, representado por la procuradora de los tribunales doña Eva María Pesudo Arenós y asistido por la abogada doña María de la Concepción Gregori Tena, contra la sentencia núm. 447/2019, de 20 de diciembre, dictada en apelación por la Sección Segunda de la Audiencia Provincial de Castellón, que acordó la nulidad de la sentencia absolutoria núm. 164/2018, de 29 de mayo de 2018, del Juzgado de lo Penal núm. 2 de Castellón. Ha intervenido el Ministerio Fiscal. Ha sido ponente el magistrado don Juan Carlos Campo Moreno.</w:t>
      </w:r>
    </w:p>
    <w:p w14:paraId="647832C4" w14:textId="17302740" w:rsidR="009D7677" w:rsidRDefault="009D7677" w:rsidP="009D7677">
      <w:pPr>
        <w:pStyle w:val="TextoNormal"/>
      </w:pPr>
    </w:p>
    <w:p w14:paraId="237E044C" w14:textId="77777777" w:rsidR="009D7677" w:rsidRDefault="009D7677" w:rsidP="009D7677">
      <w:pPr>
        <w:pStyle w:val="TextoNormalNegritaCentrado"/>
        <w:keepNext/>
      </w:pPr>
      <w:r>
        <w:t>I. Antecedentes</w:t>
      </w:r>
    </w:p>
    <w:p w14:paraId="078D938E" w14:textId="5D6269B4" w:rsidR="009D7677" w:rsidRDefault="009D7677" w:rsidP="009D7677">
      <w:pPr>
        <w:pStyle w:val="TextoNormalNegritaCentrado"/>
        <w:keepNext/>
      </w:pPr>
    </w:p>
    <w:p w14:paraId="21132647" w14:textId="5F840EE0" w:rsidR="009D7677" w:rsidRDefault="009D7677" w:rsidP="009D7677">
      <w:pPr>
        <w:pStyle w:val="TextoNormal"/>
      </w:pPr>
      <w:r w:rsidRPr="009D7677">
        <w:rPr>
          <w:rStyle w:val="NumeroAFNegritaCaracter"/>
        </w:rPr>
        <w:t>1</w:t>
      </w:r>
      <w:r>
        <w:t>. Mediante escrito registrado en este tribunal el 29 de mayo de 2020, la procuradora de los tribunales doña Eva María Pesudo Arenós, en nombre y representación de don Cristóbal Francisco Ripollés Paús, interpuso recurso de amparo contra la sentencia de apelación penal que ha sido mencionada en el encabezamiento de esta sentencia.</w:t>
      </w:r>
    </w:p>
    <w:p w14:paraId="4DAAEEB9" w14:textId="77777777" w:rsidR="009D7677" w:rsidRDefault="009D7677" w:rsidP="009D7677">
      <w:pPr>
        <w:pStyle w:val="TextoNormal"/>
      </w:pPr>
    </w:p>
    <w:p w14:paraId="5354CA6B" w14:textId="77777777" w:rsidR="009D7677" w:rsidRDefault="009D7677" w:rsidP="009D7677">
      <w:pPr>
        <w:pStyle w:val="TextoNormal"/>
      </w:pPr>
      <w:r w:rsidRPr="009D7677">
        <w:rPr>
          <w:rStyle w:val="NumeroAFNegritaCaracter"/>
        </w:rPr>
        <w:t>2</w:t>
      </w:r>
      <w:r>
        <w:t>. Son antecedentes procesales relevantes para su resolución, los siguientes:</w:t>
      </w:r>
    </w:p>
    <w:p w14:paraId="7D36F125" w14:textId="77777777" w:rsidR="009D7677" w:rsidRDefault="009D7677" w:rsidP="009D7677">
      <w:pPr>
        <w:pStyle w:val="TextoNormal"/>
      </w:pPr>
    </w:p>
    <w:p w14:paraId="25437A1E" w14:textId="77777777" w:rsidR="009D7677" w:rsidRDefault="009D7677" w:rsidP="009D7677">
      <w:pPr>
        <w:pStyle w:val="TextoNormal"/>
      </w:pPr>
      <w:r>
        <w:t>a) Con fecha 29 de mayo de 2018, el Juzgado de lo Penal núm. 2 de Castellón dictó sentencia núm. 164/2018 en el juicio oral núm. 347-2013, en la que absolvió al demandante de amparo del delito contra el medio ambiente [art. 325 del Código penal (CP)] del que había sido acusado por el Ministerio Fiscal, por la plataforma ciudadana “No a la contaminación” y por el Ayuntamiento de L’Alcora (Castellón), declarando de oficio las costas del procedimiento. En el apartado “hechos probados” de la decisión absolutoria figura el siguiente relato:</w:t>
      </w:r>
    </w:p>
    <w:p w14:paraId="1845F7DE" w14:textId="77777777" w:rsidR="009D7677" w:rsidRDefault="009D7677" w:rsidP="009D7677">
      <w:pPr>
        <w:pStyle w:val="TextoNormal"/>
      </w:pPr>
    </w:p>
    <w:p w14:paraId="70BF87AC" w14:textId="77777777" w:rsidR="009D7677" w:rsidRDefault="009D7677" w:rsidP="009D7677">
      <w:pPr>
        <w:pStyle w:val="TextoNormal"/>
      </w:pPr>
      <w:r>
        <w:lastRenderedPageBreak/>
        <w:t>“El acusado, Cristóbal Francisco Ripollés Paús, mayor de edad, en cuanto nacido el 10 de julio de 1941 (DNI 18.829.156-E), fue gerente de la empresa Esmaltes, S.A., desde 1965 hasta principios del año 2007.</w:t>
      </w:r>
    </w:p>
    <w:p w14:paraId="5BF2C99E" w14:textId="77777777" w:rsidR="009D7677" w:rsidRDefault="009D7677" w:rsidP="009D7677">
      <w:pPr>
        <w:pStyle w:val="TextoNormal"/>
      </w:pPr>
    </w:p>
    <w:p w14:paraId="1E7DB794" w14:textId="77777777" w:rsidR="009D7677" w:rsidRDefault="009D7677" w:rsidP="009D7677">
      <w:pPr>
        <w:pStyle w:val="TextoNormal"/>
      </w:pPr>
      <w:r>
        <w:t>La mercantil Esmaltes, S.A, sita en la carretera de Castellón-Teruel Km. 22,5 de la localidad de Alcora, en la zona conocida como triángulo cerámico de Castellón, se dedica a la producción de fritas en cuyo proceso productivo se utilizan mezclas de compuestos inorgánicos, para su fundición y posterior formación de la frita, formando durante dicho proceso gases y partículas que salen al exterior a través de las focos de emisión de la empresa, que son contaminantes y perjudiciales para la salud de las personas.</w:t>
      </w:r>
    </w:p>
    <w:p w14:paraId="6FF1716E" w14:textId="77777777" w:rsidR="009D7677" w:rsidRDefault="009D7677" w:rsidP="009D7677">
      <w:pPr>
        <w:pStyle w:val="TextoNormal"/>
      </w:pPr>
    </w:p>
    <w:p w14:paraId="03CCD5B1" w14:textId="77777777" w:rsidR="009D7677" w:rsidRDefault="009D7677" w:rsidP="009D7677">
      <w:pPr>
        <w:pStyle w:val="TextoNormal"/>
      </w:pPr>
      <w:r>
        <w:t>Como consecuencia del Plan de inspección medioambiental de la Conselleria de Medio Ambiente 2000-2001, el 25 de octubre de 2002, por el organismo de control autorizado SGS Tecnos, S.A., se realizó un control de las emisiones a la atmósfera de los hornos de fusión de fritas núm. 7 y núm. 11 con un resultado en este ultimo de emisiones en partículas superiores a los límites legales establecidos por Real Decreto 833/75 que desarrolla la Ley 38/72 y su modificaciones posteriores, por lo que a fecha 12 de diciembre de 2002 por la Conselleria de Medio Ambiente se procedió a la incoación del expediente sancionador núm. 148-2002, en el que por resolución de 8 de abril de 2013 se sancionó a la mercantil a la multa de 6010,12 €, considerando la infracción como leve.</w:t>
      </w:r>
    </w:p>
    <w:p w14:paraId="6AE356BD" w14:textId="77777777" w:rsidR="009D7677" w:rsidRDefault="009D7677" w:rsidP="009D7677">
      <w:pPr>
        <w:pStyle w:val="TextoNormal"/>
      </w:pPr>
    </w:p>
    <w:p w14:paraId="4C4E3BB0" w14:textId="77777777" w:rsidR="009D7677" w:rsidRDefault="009D7677" w:rsidP="009D7677">
      <w:pPr>
        <w:pStyle w:val="TextoNormal"/>
      </w:pPr>
      <w:r>
        <w:t>Asimismo y dentro del mismo plan referido y como consecuencia de la inspección de fecha 4 de noviembre de 2002, se procedió a la incoación de un nuevo expediente sancionador núm. 149-2002, por el que se sancionó a la empresa con una multa de 6160,37 €, por infracción grave, al constatarse que en los focos números 1 al 6 no existían orificios para la toma de muestras, constando en dicha resolución que, girada nueva inspección se comprobó que la mercantil había subsanado el problema.</w:t>
      </w:r>
    </w:p>
    <w:p w14:paraId="7A49128F" w14:textId="77777777" w:rsidR="009D7677" w:rsidRDefault="009D7677" w:rsidP="009D7677">
      <w:pPr>
        <w:pStyle w:val="TextoNormal"/>
      </w:pPr>
    </w:p>
    <w:p w14:paraId="25F88C1B" w14:textId="77777777" w:rsidR="009D7677" w:rsidRDefault="009D7677" w:rsidP="009D7677">
      <w:pPr>
        <w:pStyle w:val="TextoNormal"/>
      </w:pPr>
      <w:r>
        <w:t>El día 4 de septiembre de 2003, la Conselleria de Territorio y Vivienda y la Asociación Nacional de Fabricantes de Fritas, Esmaltes y Colores Cerámicos (ANFFEC) suscribieron un convenio, con la finalidad de promover la mejora del comportamiento ambiental de las instalaciones de fabricación de fritas, en particular, su adaptación progresiva, en los plazos previstos, a la Ley 16/2002, entre cuyas empresas asociadas estaba Esmaltes, S.A.</w:t>
      </w:r>
    </w:p>
    <w:p w14:paraId="356CD31E" w14:textId="77777777" w:rsidR="009D7677" w:rsidRDefault="009D7677" w:rsidP="009D7677">
      <w:pPr>
        <w:pStyle w:val="TextoNormal"/>
      </w:pPr>
    </w:p>
    <w:p w14:paraId="1F14456A" w14:textId="77777777" w:rsidR="009D7677" w:rsidRDefault="009D7677" w:rsidP="009D7677">
      <w:pPr>
        <w:pStyle w:val="TextoNormal"/>
      </w:pPr>
      <w:r>
        <w:t xml:space="preserve">Desde principios del año 2003, Esmaltes, S.A., inició el proceso de contratación e instalación de equipos de depuración de las emisiones contaminantes, finalizando la instalación de los mismos en el año 2005. </w:t>
      </w:r>
    </w:p>
    <w:p w14:paraId="104DCC84" w14:textId="77777777" w:rsidR="009D7677" w:rsidRDefault="009D7677" w:rsidP="009D7677">
      <w:pPr>
        <w:pStyle w:val="TextoNormal"/>
      </w:pPr>
    </w:p>
    <w:p w14:paraId="5D4329B9" w14:textId="77777777" w:rsidR="009D7677" w:rsidRDefault="009D7677" w:rsidP="009D7677">
      <w:pPr>
        <w:pStyle w:val="TextoNormal"/>
      </w:pPr>
      <w:r>
        <w:t>El día 7 de julio de 2005, dentro del plazo previsto en la disposición transitoria primera de la Ley 16/2002, de 1 de julio, de prevención y control intregrados de la contaminación, Esmaltes, S.A., presentó solicitud de autorización ambiental integrada ante la Conselleria de Territorio y Vivienda, acompañando a esa solicitud el informe urbanístico favorable emitido por el Ayuntamiento de Alcora (folio1009 vuelto de autos). Previos los trámites legales oportunos, dicha autorización le fue concedida en el mes de julio de 2007 (folios 1009 a 1020 de autos).</w:t>
      </w:r>
    </w:p>
    <w:p w14:paraId="696F5E8C" w14:textId="77777777" w:rsidR="009D7677" w:rsidRDefault="009D7677" w:rsidP="009D7677">
      <w:pPr>
        <w:pStyle w:val="TextoNormal"/>
      </w:pPr>
    </w:p>
    <w:p w14:paraId="383677D6" w14:textId="77777777" w:rsidR="009D7677" w:rsidRDefault="009D7677" w:rsidP="009D7677">
      <w:pPr>
        <w:pStyle w:val="TextoNormal"/>
      </w:pPr>
      <w:r>
        <w:lastRenderedPageBreak/>
        <w:t>No ha resultado acreditado que las emisiones efectuadas por la empresa Esmaltes, S.A., por su actividad a lo largo de los años, haya supuesto un riesgo grave para el equilibrio de los sistemas naturales o para la salud de las personas”.</w:t>
      </w:r>
    </w:p>
    <w:p w14:paraId="449C2ED4" w14:textId="77777777" w:rsidR="009D7677" w:rsidRDefault="009D7677" w:rsidP="009D7677">
      <w:pPr>
        <w:pStyle w:val="TextoNormal"/>
      </w:pPr>
    </w:p>
    <w:p w14:paraId="20462463" w14:textId="77777777" w:rsidR="009D7677" w:rsidRDefault="009D7677" w:rsidP="009D7677">
      <w:pPr>
        <w:pStyle w:val="TextoNormal"/>
      </w:pPr>
      <w:r>
        <w:t>b) Según se explica en la fundamentación jurídica de la sentencia de instancia, el relato fáctico es fruto del análisis probatorio, que se recoge en los fundamentos jurídicos primero y segundo, relativo a la prueba documental, testifical y pericial desarrollada en el acto del juicio oral. En síntesis, el órgano judicial expresa en ellos, en primer término, que “no queda acreditada una relación de causalidad directa entre las emisiones atmosféricas de la empresa Esmaltes, S.A., y los niveles de contaminación apreciados en la zona, ya que los niveles de inmisión de contaminantes pueden provenir de diferentes fuentes o focos, tanto antropogénicas como naturales, incluidas también las emisiones de otras empresas del mismo sector que existían en el lugar, y no se puede concretar el grado o porcentaje de responsabilidad que puede atribuirse a una empresa determinada” (FJ 2). Seguidamente, detalla el contenido de las distintas pruebas personales practicadas; en particular, de la declaración prestada por el acusado y de los testimonios que ofrecieron en el juicio oral diversos testigos y peritos, así como de los informes periciales emitidos, contrastando las conclusiones de estos informes con las explicaciones que proporcionaron los diferentes peritos al declarar en el juicio oral.</w:t>
      </w:r>
    </w:p>
    <w:p w14:paraId="0984A269" w14:textId="77777777" w:rsidR="009D7677" w:rsidRDefault="009D7677" w:rsidP="009D7677">
      <w:pPr>
        <w:pStyle w:val="TextoNormal"/>
      </w:pPr>
    </w:p>
    <w:p w14:paraId="12D9533D" w14:textId="77777777" w:rsidR="009D7677" w:rsidRDefault="009D7677" w:rsidP="009D7677">
      <w:pPr>
        <w:pStyle w:val="TextoNormal"/>
      </w:pPr>
      <w:r>
        <w:t xml:space="preserve">También se analiza en la sentencia la alegada culpabilidad del acusado, en su condición de gerente responsable de Esmaltes, S.A. La juzgadora infiere, con apoyo expreso en el principio </w:t>
      </w:r>
      <w:r w:rsidRPr="009D7677">
        <w:rPr>
          <w:i/>
        </w:rPr>
        <w:t>in dubio pro reo</w:t>
      </w:r>
      <w:r>
        <w:t>, que “no resulta acreditada la concurrencia de dolo, máxime teniendo en cuenta que tanto el convenio de la Generalitat, como la resolución por la que se otorga a Esmaltes, S.A., la autorización ambiental integrada, permitían a dicha industria niveles de emisión de partículas superiores a los detectados en las inspecciones que sustentan la acusación”. Estima, asimismo, que no se ha probado el elemento subjetivo del injusto, pues “se descarta que el acusado tuviera la voluntad de realizar la conducta típica, que quisiera cometer el delito, pues precisamente su actuar se dirige a solucionar los problemas detectados, debiéndose descartarse el dolo siquiera eventual, máxime cuando precisamente en delitos de esta naturaleza el dolo ha sido apreciado jurisprudencialmente a partir de actitudes de reiteración y persistencia en la actividad infractora de las que se deduce una decidida voluntad de no desistir de la situación de grave peligro creada (STS 52/2003, de 24 de febrero), situación que es precisamente la contraria a la que aquí se ha producido” (FJ 2).</w:t>
      </w:r>
    </w:p>
    <w:p w14:paraId="5A6C15F5" w14:textId="77777777" w:rsidR="009D7677" w:rsidRDefault="009D7677" w:rsidP="009D7677">
      <w:pPr>
        <w:pStyle w:val="TextoNormal"/>
      </w:pPr>
    </w:p>
    <w:p w14:paraId="2002BA11" w14:textId="77777777" w:rsidR="009D7677" w:rsidRDefault="009D7677" w:rsidP="009D7677">
      <w:pPr>
        <w:pStyle w:val="TextoNormal"/>
      </w:pPr>
      <w:r>
        <w:t>Al valorar la prueba, la juzgadora expresó sus conclusiones señalando:</w:t>
      </w:r>
    </w:p>
    <w:p w14:paraId="219641C7" w14:textId="77777777" w:rsidR="009D7677" w:rsidRDefault="009D7677" w:rsidP="009D7677">
      <w:pPr>
        <w:pStyle w:val="TextoNormal"/>
      </w:pPr>
    </w:p>
    <w:p w14:paraId="06F88FE3" w14:textId="77777777" w:rsidR="009D7677" w:rsidRDefault="009D7677" w:rsidP="009D7677">
      <w:pPr>
        <w:pStyle w:val="TextoNormal"/>
      </w:pPr>
      <w:r>
        <w:t>“Por lo tanto, la existencia de una normativa administrativa sancionadora aplicable a la materia hace que sea necesario perfilar los límites de ambos cuerpos normativos, reservándose la sanción penal para los supuestos más graves […]. La cuestión, por tanto, es determinar cuándo el ataque al bien jurídico protegido es grave […]. Finalmente, no debemos olvidar que el tipo del artículo 325 del CP requiere también la concurrencia del elemento subjetivo de injusto.</w:t>
      </w:r>
    </w:p>
    <w:p w14:paraId="13D58AD5" w14:textId="77777777" w:rsidR="009D7677" w:rsidRDefault="009D7677" w:rsidP="009D7677">
      <w:pPr>
        <w:pStyle w:val="TextoNormal"/>
      </w:pPr>
    </w:p>
    <w:p w14:paraId="4ADDD229" w14:textId="77777777" w:rsidR="009D7677" w:rsidRDefault="009D7677" w:rsidP="009D7677">
      <w:pPr>
        <w:pStyle w:val="TextoNormal"/>
      </w:pPr>
      <w:r>
        <w:t>[…]</w:t>
      </w:r>
    </w:p>
    <w:p w14:paraId="7BDD89A4" w14:textId="77777777" w:rsidR="009D7677" w:rsidRDefault="009D7677" w:rsidP="009D7677">
      <w:pPr>
        <w:pStyle w:val="TextoNormal"/>
      </w:pPr>
    </w:p>
    <w:p w14:paraId="28E29A0B" w14:textId="77777777" w:rsidR="009D7677" w:rsidRDefault="009D7677" w:rsidP="009D7677">
      <w:pPr>
        <w:pStyle w:val="TextoNormal"/>
      </w:pPr>
      <w:r>
        <w:lastRenderedPageBreak/>
        <w:t>Llegados a este punto, como ya se apuntaba por la defensa de Esmaltes, S.A., y por el Ministerio Fiscal en sus escritos de fecha l4 de marzo de 2011 y 19 de julio de 2011, y en los que ambos solicitaban el sobreseimiento de la causa, de los informes emitidos por el perito don [L.B.B.], (folios 1030 a|1048 y 1067 al 1069), ratificados en la vista, no queda acreditada una relación de causalidad directa entre las emisiones atmosféricas de la empresa Esmaltes, S.A., y los niveles de contaminación apreciados en la zona, ya que los niveles de emisión de contaminantes pueden provenir de diferentes fuentes o focos, tanto antropogénicas como naturales, incluidas también las emisiones de otras empresas del mismo sector que existían en el lugar, y no se puede concretar el grado o porcentaje de responsabilidad que puede atribuirse a una empresa determinada.</w:t>
      </w:r>
    </w:p>
    <w:p w14:paraId="5FF3C6EA" w14:textId="77777777" w:rsidR="009D7677" w:rsidRDefault="009D7677" w:rsidP="009D7677">
      <w:pPr>
        <w:pStyle w:val="TextoNormal"/>
      </w:pPr>
    </w:p>
    <w:p w14:paraId="2A5F0558" w14:textId="77777777" w:rsidR="009D7677" w:rsidRDefault="009D7677" w:rsidP="009D7677">
      <w:pPr>
        <w:pStyle w:val="TextoNormal"/>
      </w:pPr>
      <w:r>
        <w:t>Al respecto no se ha contado con un informe sobre emisiones por parte del Centro de Investigaciones Energéticas, Medioambientales y Tecnológicas (CIEMAT) dependiente del Ministerio de Ciencia y Tecnología, para la descripción cualitativa y cuantitativa de las emisiones de determinados focos, cuya práctica se acordó en instrucción (folio 372), y que como indicó el propio perito señor B, en su informe de 18 de septiembre de 2006 (folios 675 y 676 de la causa) era necesario para esclarecer el riesgo de perjuicio, y por tanto el grado de responsabilidad concreto de Esmaltes, S.A. Concluía dicho informe el perito, manifestando que ‘sin la obtención de datos fiables sobre las emisiones atmosféricas de las empresas investigadas no es posible establecer un dictamen sobre su riesgo de perjuicio, más aún si consideramos las múltiples irregularidades apreciadas durante la inspección administrativa realizada a cada empresa, especialmente en relación con la realización de los controles analíticos normativos (folio 676)’.</w:t>
      </w:r>
    </w:p>
    <w:p w14:paraId="7285FF72" w14:textId="77777777" w:rsidR="009D7677" w:rsidRDefault="009D7677" w:rsidP="009D7677">
      <w:pPr>
        <w:pStyle w:val="TextoNormal"/>
      </w:pPr>
    </w:p>
    <w:p w14:paraId="714F3C7C" w14:textId="77777777" w:rsidR="009D7677" w:rsidRDefault="009D7677" w:rsidP="009D7677">
      <w:pPr>
        <w:pStyle w:val="TextoNormal"/>
      </w:pPr>
      <w:r>
        <w:t>En el mismo sentido el perito don [J.C.L.], que entiende que las emisiones de las empresas de fritas no son homogéneas, pues dependen de los productos que se utilicen en cada momento, de la temperatura, del caudal, de la altura de la chimenea, etc., por lo que, es necesario caracterizar dichas emisiones, para conocer su valor toxicológico, y poder establecer la gravedad del daño o del riesgo de las mismas. Así, por ejemplo, ambos peritos admiten que la colemanita, que era una de las materias primas más contaminantes y habitualmente utilizadas en la fabricación de fritas, dejó de usarse en el año 2003, lo que significa que no se puede hablar de unas emisiones homogéneas a lo largo de todo el periodo investigado, pues la toxicidad depende, entre otros factores, de las materias primas utilizadas.</w:t>
      </w:r>
    </w:p>
    <w:p w14:paraId="5BBA796A" w14:textId="77777777" w:rsidR="009D7677" w:rsidRDefault="009D7677" w:rsidP="009D7677">
      <w:pPr>
        <w:pStyle w:val="TextoNormal"/>
      </w:pPr>
    </w:p>
    <w:p w14:paraId="0774E9DC" w14:textId="77777777" w:rsidR="009D7677" w:rsidRDefault="009D7677" w:rsidP="009D7677">
      <w:pPr>
        <w:pStyle w:val="TextoNormal"/>
      </w:pPr>
      <w:r>
        <w:t xml:space="preserve">A falta del informe de CIEMAT, en el caso que nos ocupa, el informe del perito señor [B.] se basa únicamente en unas mediciones realizadas por Novotec, sobre unas muestras obtenidas los días día 14 de junio de 2004. Dichas mediciones, han sido cuestionadas por las defensas, por no practicarse conforme a los protocolos y procedimiento establecido en la Orden del Ministerio de Industria de 18 de octubre de 1976, sobre prevención y corrección de la contaminación industrial de la atmósfera, vigente y de aplicación en el momento de su realización. Y en efecto, conforme a dicha normativa, los niveles de emisión debían verificarse con tres medidas como mínimo a lo largo de ocho horas, de una duración media cada una cada una de alrededor de una hora, previéndose, en el caso de rebasarse el nivel de tolerancia, que se prolongue durante una semana. Pero además, como es el caso, el art. 22 de la orden, regula la forma de efectuar las mediciones en caso de inspección por denuncia o cuando se presuma que pueda ser excesiva, es decir a efectos sancionadores. En estos casos, se prevé que la mediación se haga a razón de tres medidas como mínimo </w:t>
      </w:r>
      <w:r>
        <w:lastRenderedPageBreak/>
        <w:t>diarias, durante quince días estableciendo para el caso de rebasar el nivel de tolerancia, que se prolongue por otros quince días más, lo que no se ha producido en este caso.</w:t>
      </w:r>
    </w:p>
    <w:p w14:paraId="46C7E97D" w14:textId="77777777" w:rsidR="009D7677" w:rsidRDefault="009D7677" w:rsidP="009D7677">
      <w:pPr>
        <w:pStyle w:val="TextoNormal"/>
      </w:pPr>
    </w:p>
    <w:p w14:paraId="693D5642" w14:textId="77777777" w:rsidR="009D7677" w:rsidRDefault="009D7677" w:rsidP="009D7677">
      <w:pPr>
        <w:pStyle w:val="TextoNormal"/>
      </w:pPr>
      <w:r>
        <w:t>Pero, además, los propios resultados de Novotec se ponen en duda por los técnicos del servicio de prevención del ambiente atmosférico de la Consellería de Territorio y Vivienda, en el informe, emitido de fecha 1 de octubre de 2004 obrante en el expediente administrativo 1-2005, por no haberse interpretado correctamente el artículo 46.4 del Decreto 833/75 (folios 1697 y 1998).</w:t>
      </w:r>
    </w:p>
    <w:p w14:paraId="69BB2936" w14:textId="77777777" w:rsidR="009D7677" w:rsidRDefault="009D7677" w:rsidP="009D7677">
      <w:pPr>
        <w:pStyle w:val="TextoNormal"/>
      </w:pPr>
    </w:p>
    <w:p w14:paraId="5E753AA1" w14:textId="77777777" w:rsidR="009D7677" w:rsidRDefault="009D7677" w:rsidP="009D7677">
      <w:pPr>
        <w:pStyle w:val="TextoNormal"/>
      </w:pPr>
      <w:r>
        <w:t xml:space="preserve">Por otro lado, el informe de Novotec, en el que se basa el informe del perito señor [B.] y las acusaciones, se refiere también a los niveles de emisión de NOx (óxidos de nitrógeno), y dichos resultados se han tenido en cuenta por el perito a la hora de elaborar su dictamen sobre el perjuicio o peligro para el medio ambiente y las personas. Dichos óxidos de nitrógeno, según el perito afectan negativamente a la calidad de la atmósfera, a la formación de ozono y a las plantas. Sin embargo, en la fecha de dichas mediciones por parte de Novotec, la legislación vigente (Real Decreto 833/75) no contemplaba niveles máximos para las emisiones de NOx en el tipo de actividad desarrollada por la mercantil Esmaltes, S.A., para las que el anexo IV del referido decreto únicamente regula en sus apartados 11 y 11 </w:t>
      </w:r>
      <w:r w:rsidRPr="009D7677">
        <w:rPr>
          <w:i/>
        </w:rPr>
        <w:t>bis</w:t>
      </w:r>
      <w:r>
        <w:t xml:space="preserve"> para la actividad de fabricación de fritas, niveles máximos de partículas y flúor. Precisamente por ello, son estos parámetros (y no los niveles de NOx) los que se controlaron durante la inspección efectuada la Conselleria de Medi Ambient en Esmaltes, S.A., en fecha 25 de enero de 2002 (folios 305 y ss.). Por lo expuesto, las mediciones de NOx realizadas por Novotec tampoco pueden tenerse en consideración a los efectos que nos ocupan.</w:t>
      </w:r>
    </w:p>
    <w:p w14:paraId="7191D7E6" w14:textId="77777777" w:rsidR="009D7677" w:rsidRDefault="009D7677" w:rsidP="009D7677">
      <w:pPr>
        <w:pStyle w:val="TextoNormal"/>
      </w:pPr>
    </w:p>
    <w:p w14:paraId="7821436A" w14:textId="77777777" w:rsidR="009D7677" w:rsidRDefault="009D7677" w:rsidP="009D7677">
      <w:pPr>
        <w:pStyle w:val="TextoNormal"/>
      </w:pPr>
      <w:r>
        <w:t>Asimismo, las defensas cuestionan las mediciones de Novotec por no tratarse de una inspección oficial, dada la ausencia de la orden de la autoridad competente, en este caso el alcalde de L’Alcora, pues como se deprende del expediente (folios 1691 al 1696) tal orden no existe, apareciendo una nota al folio 1962, en la que se dice que la orden es tácita o verbal. Tampoco consta que dicha orden aparezca en el libro de órdenes del alcalde, ni se aporta certificación de que la misma se haya perdido. Finalmente, del contenido de las testificales de doña [M.P.G.P.] y don [J.A.A.M.], parece deprenderse que las mediciones se encargaron por la concejala de Medio Ambiente del Ayuntamiento de L’Alcora, a petición de la plataforma ‘No a la Contaminació’.</w:t>
      </w:r>
    </w:p>
    <w:p w14:paraId="1D61DA73" w14:textId="77777777" w:rsidR="009D7677" w:rsidRDefault="009D7677" w:rsidP="009D7677">
      <w:pPr>
        <w:pStyle w:val="TextoNormal"/>
      </w:pPr>
    </w:p>
    <w:p w14:paraId="0A5C18DC" w14:textId="77777777" w:rsidR="009D7677" w:rsidRDefault="009D7677" w:rsidP="009D7677">
      <w:pPr>
        <w:pStyle w:val="TextoNormal"/>
      </w:pPr>
      <w:r>
        <w:t>Todas estas circunstancias, impiden que las referidas mediciones de Novotec pueden tenerse en cuenta como prueba de cargo en este caso, máxime cuando las mismas no tendrían virtualidad en un procedimiento sancionador administrativo, en el que se parte de la premisa de que la normativa aplicable permite determinado nivel de emisiones contaminantes, por lo que si las mediciones no son correctas no se puede determinar que se superen los niveles permitidos administrativamente.</w:t>
      </w:r>
    </w:p>
    <w:p w14:paraId="4AA32BA6" w14:textId="77777777" w:rsidR="009D7677" w:rsidRDefault="009D7677" w:rsidP="009D7677">
      <w:pPr>
        <w:pStyle w:val="TextoNormal"/>
      </w:pPr>
    </w:p>
    <w:p w14:paraId="20BD0964" w14:textId="77777777" w:rsidR="009D7677" w:rsidRDefault="009D7677" w:rsidP="009D7677">
      <w:pPr>
        <w:pStyle w:val="TextoNormal"/>
      </w:pPr>
      <w:r>
        <w:t>En cualquier caso, se trata de unas mediciones puntuales, de las que no puede inferirse que la empresa emitiera contaminantes, de forma continuada, y durante varios años, en niveles superiores a los permitidos legalmente. Como se desprende de las periciales practicadas, las emisiones de las empresas de fritas no son homogéneas, por lo que no cabe extrapolar, como hacen las acusaciones, los resultados de las mediciones puntuales a todos los días de actividad de la empresa.</w:t>
      </w:r>
    </w:p>
    <w:p w14:paraId="0E954E5C" w14:textId="77777777" w:rsidR="009D7677" w:rsidRDefault="009D7677" w:rsidP="009D7677">
      <w:pPr>
        <w:pStyle w:val="TextoNormal"/>
      </w:pPr>
    </w:p>
    <w:p w14:paraId="3A03F891" w14:textId="77777777" w:rsidR="009D7677" w:rsidRDefault="009D7677" w:rsidP="009D7677">
      <w:pPr>
        <w:pStyle w:val="TextoNormal"/>
      </w:pPr>
      <w:r>
        <w:t>Finalmente, y abundando en la necesidad de acreditación del riesgo de perjuicio grave, que exigiría el tipo penal del artículo 325 del CP, debe concluirse que dicho perjuicio tampoco ha resultado acreditado de los informes sobre los valores históricos de calidad del aire de las estaciones de Onda, Vila-Real, Burriana, Castellón y L’Alcora, aportados por la Generalitat (folios 709 al 795), pues se concluye en dichos informes que, en general no se han superado los niveles de emisión contaminantes que establecía la legislación vigente. Huelga decir, que incluso en los episodios en que dichos valores se vieran superados, tampoco se podría atribuir dicha circunstancia precisamente a la mercantil Esmaltes, S.A., por cuanto los informes se refieren a una zona conocida como el ‘triángulo cerámico’, donde radican la mayoría de las industrias del sector.</w:t>
      </w:r>
    </w:p>
    <w:p w14:paraId="1A4E879B" w14:textId="77777777" w:rsidR="009D7677" w:rsidRDefault="009D7677" w:rsidP="009D7677">
      <w:pPr>
        <w:pStyle w:val="TextoNormal"/>
      </w:pPr>
    </w:p>
    <w:p w14:paraId="7A48522B" w14:textId="77777777" w:rsidR="009D7677" w:rsidRDefault="009D7677" w:rsidP="009D7677">
      <w:pPr>
        <w:pStyle w:val="TextoNormal"/>
      </w:pPr>
      <w:r>
        <w:t>En consecuencia, debe concluirse que no resulta acreditado que las emisiones concretas de la empresa Esmaltes, S.A., supusieran un riesgo o peligro suficientemente grave, para el equilibrio de los sistemas naturales o para la salud de las personas, como exige el tipo penal del artículo 325 del CP y la jurisprudencia que trascienda de los límites de la mera infracción administrativa”.</w:t>
      </w:r>
    </w:p>
    <w:p w14:paraId="6B09CBBD" w14:textId="77777777" w:rsidR="009D7677" w:rsidRDefault="009D7677" w:rsidP="009D7677">
      <w:pPr>
        <w:pStyle w:val="TextoNormal"/>
      </w:pPr>
    </w:p>
    <w:p w14:paraId="53F59025" w14:textId="77777777" w:rsidR="009D7677" w:rsidRDefault="009D7677" w:rsidP="009D7677">
      <w:pPr>
        <w:pStyle w:val="TextoNormal"/>
      </w:pPr>
      <w:r>
        <w:t>c) La decisión absolutoria fue recurrida en apelación por el Ministerio Fiscal, impugnación a la que se adhirió la acusación popular. Con apoyo en lo dispuesto en los artículos 790.2 y 792.2 de la Ley de enjuiciamiento criminal (LECrim), el recurso vino fundamentado en apreciar la existencia de un error en la valoración de la prueba que supondría la vulneración del derecho a la tutela judicial efectiva (art. 24.1 CE) de las partes acusadoras.</w:t>
      </w:r>
    </w:p>
    <w:p w14:paraId="52CB5DDD" w14:textId="77777777" w:rsidR="009D7677" w:rsidRDefault="009D7677" w:rsidP="009D7677">
      <w:pPr>
        <w:pStyle w:val="TextoNormal"/>
      </w:pPr>
    </w:p>
    <w:p w14:paraId="13403B0B" w14:textId="77777777" w:rsidR="009D7677" w:rsidRDefault="009D7677" w:rsidP="009D7677">
      <w:pPr>
        <w:pStyle w:val="TextoNormal"/>
      </w:pPr>
      <w:r>
        <w:t>Como punto de partida, el fiscal alegó “que la irracionalidad de la motivación de una sentencia, tanto en lo que se refiere al sustrato fáctico como al jurídico, incide directamente en el derecho a la tutela judicial efectiva, y que este puede ser invocado por el Ministerio Fiscal cuando su pretensión punitiva, dándose los presupuestos procesales para ello, no obtiene respuesta alguna del tribunal de instancia o bien la misma es arbitraria, irrazonable o absurda, vulnerándose de esta forma lo recogido en los arts. 24.1, 9.3 y 120.3, todos ellos de la Constitución Española en su vertiente de derecho a obtener una respuesta razonable con proscripción de toda arbitrariedad de los poderes públicos”.</w:t>
      </w:r>
    </w:p>
    <w:p w14:paraId="21995853" w14:textId="77777777" w:rsidR="009D7677" w:rsidRDefault="009D7677" w:rsidP="009D7677">
      <w:pPr>
        <w:pStyle w:val="TextoNormal"/>
      </w:pPr>
    </w:p>
    <w:p w14:paraId="6FF11D8B" w14:textId="77777777" w:rsidR="009D7677" w:rsidRDefault="009D7677" w:rsidP="009D7677">
      <w:pPr>
        <w:pStyle w:val="TextoNormal"/>
      </w:pPr>
      <w:r>
        <w:t>A continuación, tras invocar la doctrina jurisprudencial que estimó pertinente, razonó que el incumplimiento del deber de motivar las sentencias penales no implica que proceda “imponer al tribunal de la instancia una convicción que no obtuvo, ni sustituir la suya por otra fundada en pruebas que el tribunal de apelación no presenció sino que es la apreciación de la vulneración de la tutela judicial efectiva en la medida en que la irracionalidad valorativa en la sentencia es incompatible con los cánones de una motivación verdaderamente expresiva de una decisión no arbitraria. No es posible por esta vía que se dicte una sentencia condenatoria ni en casación ni a través del recurso de apelación, pero si es factible que en ambas instancias pueda anularse la sentencia y devolver el examen al tribunal de instancia a efectos de una valoración racional de las pruebas en general, cuando se aprecie un apartamiento irrazonado y arbitrario del resultado de una prueba en particular, o en general, de toda la actividad probatoria”. Añadiendo que “[l]a última reforma procesal ha establecido un cauce para impugnar una sentencia por error en la valoración de la prueba cuando esta no responda a unos parámetros razonables desde el punto de vista de la lógica y de los principios generales de la experiencia; la nueva regulación completa aque</w:t>
      </w:r>
      <w:r>
        <w:lastRenderedPageBreak/>
        <w:t>llos postulados jurisprudenciales al establecer en la ley procesal un cauce específico para lograr la nulidad determinando además su alcance (arts. 238.6 LOPJ [Ley Orgánica del Poder Judicial], 790.2 y 792.2 LECrim)”.</w:t>
      </w:r>
    </w:p>
    <w:p w14:paraId="02B42F9B" w14:textId="77777777" w:rsidR="009D7677" w:rsidRDefault="009D7677" w:rsidP="009D7677">
      <w:pPr>
        <w:pStyle w:val="TextoNormal"/>
      </w:pPr>
    </w:p>
    <w:p w14:paraId="5DC138A8" w14:textId="77777777" w:rsidR="009D7677" w:rsidRDefault="009D7677" w:rsidP="009D7677">
      <w:pPr>
        <w:pStyle w:val="TextoNormal"/>
      </w:pPr>
      <w:r>
        <w:t>Más adelante, censuró la valoración probatoria llevada a cabo por la juzgadora de instancia, a quien atribuye no haber realizado una ponderación conjunta ni haber valorado medios probatorios de gran relevancia, tales como las declaraciones prestadas por el testigo—perito doctor en ciencias geológicas, de la técnico de medio ambiente de la consejería, de un agente de la Guardia Civil y de las periciales emitidas por SGS Tecnos, S.A., Novotec, S.A., y un tercer perito, además de omitir cualquier valoración sobre la documental aportada a las actuaciones por la defensa y sobre el correo de ASCER (Asociación española de fabricantes de azulejos y pavimentos cerámicos).</w:t>
      </w:r>
    </w:p>
    <w:p w14:paraId="2C421E88" w14:textId="77777777" w:rsidR="009D7677" w:rsidRDefault="009D7677" w:rsidP="009D7677">
      <w:pPr>
        <w:pStyle w:val="TextoNormal"/>
      </w:pPr>
    </w:p>
    <w:p w14:paraId="6B5BF635" w14:textId="77777777" w:rsidR="009D7677" w:rsidRDefault="009D7677" w:rsidP="009D7677">
      <w:pPr>
        <w:pStyle w:val="TextoNormal"/>
      </w:pPr>
      <w:r>
        <w:t>Finalmente, expuso en su recurso que: “tal como establecía el auto de la Sección Segunda de la Audiencia Provincial de Castellón (folios 1274 a 1.284) revocando el auto de sobreseimiento provisional, para la existencia del tipo lo que se requiere probar es la existencia de las emisiones contaminantes, que las mismas se realizaron con infracción de la normativa administrativa medioambiental y por último que dichas emisiones puedan resultar gravemente peligrosas para el medio ambiente, sin que sea preciso para la existencia del tipo, el que en efecto lo hayan sido, al encontrarnos ante un delito de peligro y no de resultado. En conclusión la valoración probatoria se estima totalmente irracional e inmotivada por cuanto, partiendo en los hechos probados que desde principios del año 2003 Esmaltes, S.A., inició el proceso de contratación e instalación de equipos de depuración de las emisiones contaminantes, finalizando su instalación en el año 2005, una valoración conjunta de la prueba, incluyendo la prueba que no ha sido objeto de valoración permitiría acreditar el riesgo de perjuicio aludido por la Audiencia Provincial. Por esta razón, al estimar que la sentencia carece de racionalidad y que no ha valorado pruebas relevantes y por tanto que la motivación se puede estimar inexistente, se ha de conducir a la anulación de la sentencia y necesariamente la repetición del juicio ante tribunal distinto”.</w:t>
      </w:r>
    </w:p>
    <w:p w14:paraId="434FDB7F" w14:textId="77777777" w:rsidR="009D7677" w:rsidRDefault="009D7677" w:rsidP="009D7677">
      <w:pPr>
        <w:pStyle w:val="TextoNormal"/>
      </w:pPr>
    </w:p>
    <w:p w14:paraId="616EC2EB" w14:textId="77777777" w:rsidR="009D7677" w:rsidRDefault="009D7677" w:rsidP="009D7677">
      <w:pPr>
        <w:pStyle w:val="TextoNormal"/>
      </w:pPr>
      <w:r>
        <w:t>d) El demandante de amparo impugnó el recurso de apelación, alegando (i) que las previsiones procesales de la Ley 41/2015, de 5 de octubre, de modificación de la Ley de enjuiciamiento criminal para la agilización de la justicia penal y el fortalecimiento de las garantías procesales, no eran aplicables al caso dado que la causa se incoó antes de su entrada en vigor, por lo que no era posible decretar la nulidad de la sentencia en base a la presunta existencia de error en la valoración de la prueba; (ii) que conforme a la doctrina constitucional (STC 45/2005, de 28 de febrero), con anterioridad a la reforma procesal indicada solo cabría decretar la nulidad de la sentencia absolutoria por vulneración de derechos procesales garantizados en el art. 24 CE; pero la infracción de ese precepto no es identificable con la discrepancia respecto de la valoración probatoria realizada por el órgano judicial; y (iii) que la sentencia recurrida razona sobre todas y cada una de las pruebas practicadas, por lo que no ha omitido la ponderación de pruebas relevantes para pronunciarse sobre las contradictorias posiciones en litigio.</w:t>
      </w:r>
    </w:p>
    <w:p w14:paraId="21D121D3" w14:textId="77777777" w:rsidR="009D7677" w:rsidRDefault="009D7677" w:rsidP="009D7677">
      <w:pPr>
        <w:pStyle w:val="TextoNormal"/>
      </w:pPr>
    </w:p>
    <w:p w14:paraId="2CAAC063" w14:textId="77777777" w:rsidR="009D7677" w:rsidRDefault="009D7677" w:rsidP="009D7677">
      <w:pPr>
        <w:pStyle w:val="TextoNormal"/>
      </w:pPr>
      <w:r>
        <w:t>e) La Sección Segunda de la Audiencia Provincial de Castellón estimó el recurso de apelación interpuesto y declaró nula y sin efecto la sentencia de instancia, acordando la devolución de la causa al juzgado de lo penal de procedencia para que “por nuevo juzga</w:t>
      </w:r>
      <w:r>
        <w:lastRenderedPageBreak/>
        <w:t>dor se repita el juicio oral y se dicte nueva sentencia en la que se valoren todas las pruebas practicadas con los criterios expuestos”.</w:t>
      </w:r>
    </w:p>
    <w:p w14:paraId="6D1CDC05" w14:textId="77777777" w:rsidR="009D7677" w:rsidRDefault="009D7677" w:rsidP="009D7677">
      <w:pPr>
        <w:pStyle w:val="TextoNormal"/>
      </w:pPr>
    </w:p>
    <w:p w14:paraId="51743082" w14:textId="77777777" w:rsidR="009D7677" w:rsidRDefault="009D7677" w:rsidP="009D7677">
      <w:pPr>
        <w:pStyle w:val="TextoNormal"/>
      </w:pPr>
      <w:r>
        <w:t>(i) Como consideración previa, el órgano de apelación estimó que, al tratarse de una sentencia absolutoria de fecha posterior a la entrada en vigor de la Ley 41/2015, la tramitación de los recursos legalmente previstos en la misma se rige por sus previsiones, cualquiera que sea la fecha de incoación de la causa penal. Añadió que antes de la citada reforma, en la práctica judicial, en supuestos similares también se venía acordando la nulidad de las sentencias. Para la sala de apelación, ya antes de la citada reforma era posible solicitar la nulidad de los pronunciamientos de instancia, cualquiera que fuera su sentido, absolutorio o condenatorio, por apreciar el quebrantamiento de normas o garantías procesales, lo que era conteste con la regulación de la nulidad de pleno derecho de los actos procesales establecida en los arts. 238 y ss. de la Ley Orgánica del Poder Judicial. Para la Sala, es posible acordar la nulidad de una sentencia de instancia por apreciarse los vicios de motivación fáctica o jurídica alegados por el fiscal en su recurso para el caso de que la juzgadora haya valorado de forma insuficiente o irracional alguna de las pruebas que se han practicado, omitiendo pronunciarse sobre el resultados de las mismas, lo que impediría considerar que la decisión absolutoria fue fundada en Derecho, en los términos recogidos en el art. 24.1 de la Constitución, que consagra el derecho a la tutela judicial efectiva.</w:t>
      </w:r>
    </w:p>
    <w:p w14:paraId="4D6C567A" w14:textId="77777777" w:rsidR="009D7677" w:rsidRDefault="009D7677" w:rsidP="009D7677">
      <w:pPr>
        <w:pStyle w:val="TextoNormal"/>
      </w:pPr>
    </w:p>
    <w:p w14:paraId="05DEC0D8" w14:textId="77777777" w:rsidR="009D7677" w:rsidRDefault="009D7677" w:rsidP="009D7677">
      <w:pPr>
        <w:pStyle w:val="TextoNormal"/>
      </w:pPr>
      <w:r>
        <w:t>(ii) En relación con los hechos objeto de enjuiciamiento, la sentencia de apelación anticipa en el fundamento jurídico 2 su conclusión estimatoria del recurso, según la cual:</w:t>
      </w:r>
    </w:p>
    <w:p w14:paraId="7A64C676" w14:textId="77777777" w:rsidR="009D7677" w:rsidRDefault="009D7677" w:rsidP="009D7677">
      <w:pPr>
        <w:pStyle w:val="TextoNormal"/>
      </w:pPr>
    </w:p>
    <w:p w14:paraId="04CA9CBF" w14:textId="77777777" w:rsidR="009D7677" w:rsidRDefault="009D7677" w:rsidP="009D7677">
      <w:pPr>
        <w:pStyle w:val="TextoNormal"/>
      </w:pPr>
      <w:r>
        <w:t>“[A] la fecha en la que se producen los hechos que son objeto de enjuiciamiento, partiendo de una situación que, por ser elemental, no deja de ser tremendamente evidente ya que en el año 2002 y anteriormente, las chimeneas de la empresa en cuestión no disponían de ningún tipo de filtro y, por lo tanto, en aquella época, e incluso con posterioridad y hasta que se instalaron, la empresa emitía a la atmósfera todo lo que se quemaba, sin ningún tipo de depuración.</w:t>
      </w:r>
    </w:p>
    <w:p w14:paraId="560DA7EF" w14:textId="77777777" w:rsidR="009D7677" w:rsidRDefault="009D7677" w:rsidP="009D7677">
      <w:pPr>
        <w:pStyle w:val="TextoNormal"/>
      </w:pPr>
    </w:p>
    <w:p w14:paraId="20FD2FE3" w14:textId="77777777" w:rsidR="009D7677" w:rsidRDefault="009D7677" w:rsidP="009D7677">
      <w:pPr>
        <w:pStyle w:val="TextoNormal"/>
      </w:pPr>
      <w:r>
        <w:t>Y el informe pericial realizado por el laboratorio de ecotoxicología del Instituto de Medicina Legal de Valencia, es totalmente claro. Y por ello, siendo algo evidente, no deja[n] de ser sorprendentes algunos peritajes realizados, en los que se concluye que no existía ningún tipo de emisión de gases o particulares [</w:t>
      </w:r>
      <w:r w:rsidRPr="009D7677">
        <w:rPr>
          <w:i/>
        </w:rPr>
        <w:t>sic</w:t>
      </w:r>
      <w:r>
        <w:t xml:space="preserve">] por encima de los valores establecidos en aquellas épocas, y que no eran perjudiciales para la salud. </w:t>
      </w:r>
    </w:p>
    <w:p w14:paraId="509C1105" w14:textId="77777777" w:rsidR="009D7677" w:rsidRDefault="009D7677" w:rsidP="009D7677">
      <w:pPr>
        <w:pStyle w:val="TextoNormal"/>
      </w:pPr>
    </w:p>
    <w:p w14:paraId="09746F56" w14:textId="77777777" w:rsidR="009D7677" w:rsidRDefault="009D7677" w:rsidP="009D7677">
      <w:pPr>
        <w:pStyle w:val="TextoNormal"/>
      </w:pPr>
      <w:r>
        <w:t>Por todo ello debe estimarse el recurso, y declarar la nulidad del juicio para que por otro juzgador se valoren la totalidad de los hechos y la prueba practicada y se motive, y se proceda al dictado de una nueva sentencia en su caso”.</w:t>
      </w:r>
    </w:p>
    <w:p w14:paraId="7280903D" w14:textId="77777777" w:rsidR="009D7677" w:rsidRDefault="009D7677" w:rsidP="009D7677">
      <w:pPr>
        <w:pStyle w:val="TextoNormal"/>
      </w:pPr>
    </w:p>
    <w:p w14:paraId="52DB471A" w14:textId="77777777" w:rsidR="009D7677" w:rsidRDefault="009D7677" w:rsidP="009D7677">
      <w:pPr>
        <w:pStyle w:val="TextoNormal"/>
      </w:pPr>
      <w:r>
        <w:t>(iii) Para fundamentar su discrepancia con la valoración probatoria de instancia, el órgano de apelación expone en el fundamento jurídico 4 una “cronología de los hechos” de la que deduce la necesidad de celebrar nuevo juicio oral. A lo largo de dicha exposición se entremezclan aspectos fácticos con referencias a la normativa que se estima de aplicación; y se sintetiza y valora el contenido de diferentes documentos e informes periciales obrantes en las actuaciones. De dicha fundamentación, son relevantes, los siguientes pasajes, que se transcriben:</w:t>
      </w:r>
    </w:p>
    <w:p w14:paraId="5ADFD8DE" w14:textId="77777777" w:rsidR="009D7677" w:rsidRDefault="009D7677" w:rsidP="009D7677">
      <w:pPr>
        <w:pStyle w:val="TextoNormal"/>
      </w:pPr>
    </w:p>
    <w:p w14:paraId="7F734887" w14:textId="77777777" w:rsidR="009D7677" w:rsidRDefault="009D7677" w:rsidP="009D7677">
      <w:pPr>
        <w:pStyle w:val="TextoNormal"/>
      </w:pPr>
      <w:r>
        <w:lastRenderedPageBreak/>
        <w:t>“Esta Sala no aprecia ningún problema procesal para introducir dicha prueba en el debate y en el juicio oral [informe de control de emisiones realizado por Novotec, y un video con grabaciones, presentados el 20 de julio de 2004 y remitidos al juzgado instructor], ya que se trata de mediciones realizadas por la empresa Novotec, que las relaciona con los límites legales existentes. Dicha empresa constituye un organismo de control autorizado a través del cual la administración desarrolla su labor inspectora en materia medioambiental. La Oca fue contratada por el Ayuntamiento de Alcora para realizar mediciones en la empresa Esmaltes, S.A., dentro de sus competencias administrativas, y no puede dudarse de su objetividad, pues no se ha acreditado que la misma tenga interés alguno en la causa, ajeno al mero desempeño de sus funciones. La medición se desarrolló en fecha 13 de julio de 2004, y a partir de entonces Esmaltes, S.L., pudo aportar cualquier otra medición de emisiones, realizada por cualquier otra Oca existente y realizada en las mismas condiciones en las que se efectuó en fecha 2004. Las mediciones aportan unos datos, que deben ser valorados con el resto de las pruebas que se han practicado y con el resto de periciales, pudiendo la parte acusada haber hecho otras mediciones al respecto que pudieron haber sido realizadas por organismos colaboradores de la administración. Dichas mediciones y la prueba pericial realizada en su conjunto por Novotec aportada unos datos concretos y determinados, y se ha practicado en el plenario con la intervención de todas las partes y con todas las garantías necesarias. Se hicieron tres tomas de muestras en un periodo horario amplio, y no se trata de ver si las mediciones se realizaron en tiempos determinados o no, si pasaron ciertos minutos entre unas y otras, sino que se trata de unos datos más a valorar con otras mediciones, y con otras periciales. El control total y absoluto de las emisiones lo tenía la empresa Esmaltes, S.A., y la entrada en la misma y la producción en términos de normalidad, estaba en sus propias manos, y, en consecuencia, la toma de mediciones se presume realizada de forma acorde con la normativa medioambiental, y en caso de no haber sido así, pudo la empresa proponer otra prueba en aquella época o realizarla por sí misma. Ciertamente, no se ha producido ninguna infracción administrativa hasta el momento ocasionada por aquellas mediciones, porque está pendiente este procedimiento penal.</w:t>
      </w:r>
    </w:p>
    <w:p w14:paraId="4AE3D637" w14:textId="77777777" w:rsidR="009D7677" w:rsidRDefault="009D7677" w:rsidP="009D7677">
      <w:pPr>
        <w:pStyle w:val="TextoNormal"/>
      </w:pPr>
    </w:p>
    <w:p w14:paraId="5B40D78A" w14:textId="77777777" w:rsidR="009D7677" w:rsidRDefault="009D7677" w:rsidP="009D7677">
      <w:pPr>
        <w:pStyle w:val="TextoNormal"/>
      </w:pPr>
      <w:r>
        <w:t>Por todo lo dicho, la recogida de las muestras fue elaborado [</w:t>
      </w:r>
      <w:r w:rsidRPr="009D7677">
        <w:rPr>
          <w:i/>
        </w:rPr>
        <w:t>sic</w:t>
      </w:r>
      <w:r>
        <w:t>] en el marco de un procedimiento administrativo y a instancia del órgano de la administración pública con competencias para llevar a cabo la labor inspectora y controladora del cumplimiento de la normativa medioambiental aplicable. No había que avisar a la empresa, pero lógicamente sí estuvo presente en la toma de muestras, donde pudo realizar cualquier tipo de alegación o practicar otras pruebas complementarias en la misma forma que fue realizada por Novotec.</w:t>
      </w:r>
    </w:p>
    <w:p w14:paraId="60837FCE" w14:textId="77777777" w:rsidR="009D7677" w:rsidRDefault="009D7677" w:rsidP="009D7677">
      <w:pPr>
        <w:pStyle w:val="TextoNormal"/>
      </w:pPr>
    </w:p>
    <w:p w14:paraId="17038EDF" w14:textId="77777777" w:rsidR="009D7677" w:rsidRDefault="009D7677" w:rsidP="009D7677">
      <w:pPr>
        <w:pStyle w:val="TextoNormal"/>
      </w:pPr>
      <w:r>
        <w:t>Dichos resultados se aportaron a este procedimiento penal, por lo que consideramos que los mismos pueden ser valorados en la forma ya indicada”.</w:t>
      </w:r>
    </w:p>
    <w:p w14:paraId="79FFEE08" w14:textId="77777777" w:rsidR="009D7677" w:rsidRDefault="009D7677" w:rsidP="009D7677">
      <w:pPr>
        <w:pStyle w:val="TextoNormal"/>
      </w:pPr>
    </w:p>
    <w:p w14:paraId="58C130F0" w14:textId="77777777" w:rsidR="009D7677" w:rsidRDefault="009D7677" w:rsidP="009D7677">
      <w:pPr>
        <w:pStyle w:val="TextoNormal"/>
      </w:pPr>
      <w:r>
        <w:t>Sobre el informe del perito ecotoxicólogo del Instituto de Medicina Legal de Valencia, la Sal</w:t>
      </w:r>
      <w:r w:rsidRPr="009D7677">
        <w:rPr>
          <w:i/>
        </w:rPr>
        <w:t>a ad qu</w:t>
      </w:r>
      <w:r>
        <w:t>em formula las siguientes consideraciones:</w:t>
      </w:r>
    </w:p>
    <w:p w14:paraId="59F46677" w14:textId="77777777" w:rsidR="009D7677" w:rsidRDefault="009D7677" w:rsidP="009D7677">
      <w:pPr>
        <w:pStyle w:val="TextoNormal"/>
      </w:pPr>
    </w:p>
    <w:p w14:paraId="33ED8FA0" w14:textId="77777777" w:rsidR="009D7677" w:rsidRDefault="009D7677" w:rsidP="009D7677">
      <w:pPr>
        <w:pStyle w:val="TextoNormal"/>
      </w:pPr>
      <w:r>
        <w:t>“Es de destacar en esta causa el informe pericial realizado por el Instituto de Medicina Legal de Valencia, Sección de Biología, laboratorio de ecotoxicología y presentado en el juzgado en fecha 10 de junio de 2010 —folios número 1030 y siguientes de las actuacio</w:t>
      </w:r>
      <w:r>
        <w:lastRenderedPageBreak/>
        <w:t>nes. Dicho informe no se ha valorado correctamente por la juzgadora y no se ha puesto en consonancia con el resto de las pruebas que se han practicado.</w:t>
      </w:r>
    </w:p>
    <w:p w14:paraId="479DE7AC" w14:textId="77777777" w:rsidR="009D7677" w:rsidRDefault="009D7677" w:rsidP="009D7677">
      <w:pPr>
        <w:pStyle w:val="TextoNormal"/>
      </w:pPr>
    </w:p>
    <w:p w14:paraId="58B7BFBB" w14:textId="77777777" w:rsidR="009D7677" w:rsidRDefault="009D7677" w:rsidP="009D7677">
      <w:pPr>
        <w:pStyle w:val="TextoNormal"/>
      </w:pPr>
      <w:r>
        <w:t>[…]</w:t>
      </w:r>
    </w:p>
    <w:p w14:paraId="5F33EBC2" w14:textId="77777777" w:rsidR="009D7677" w:rsidRDefault="009D7677" w:rsidP="009D7677">
      <w:pPr>
        <w:pStyle w:val="TextoNormal"/>
      </w:pPr>
    </w:p>
    <w:p w14:paraId="74A8C797" w14:textId="77777777" w:rsidR="009D7677" w:rsidRDefault="009D7677" w:rsidP="009D7677">
      <w:pPr>
        <w:pStyle w:val="TextoNormal"/>
      </w:pPr>
      <w:r>
        <w:t>[C]omo conclusiones se establece en el informe al folio número 1048: ‘Primera: Derivado de la investigación realizada se han puesto de relieve diversas irregularidades administrativas relativas tanto al diseño estructural y a la gestión medioambiental de la empresa Esmaltes que conllevaron la realización de emisiones contaminantes de modo continuo y cuyas características cualitativas y cuantitativas estaban condicionadas únicamente por criterios de producción adoptados durante el periodo comprendido desde su apertura, en el año 1980 y la implantación de sistemas de filtración de sus emisiones atmosféricas a partir del año 2004.</w:t>
      </w:r>
    </w:p>
    <w:p w14:paraId="6BD1BE94" w14:textId="77777777" w:rsidR="009D7677" w:rsidRDefault="009D7677" w:rsidP="009D7677">
      <w:pPr>
        <w:pStyle w:val="TextoNormal"/>
      </w:pPr>
    </w:p>
    <w:p w14:paraId="069C0E75" w14:textId="77777777" w:rsidR="009D7677" w:rsidRDefault="009D7677" w:rsidP="009D7677">
      <w:pPr>
        <w:pStyle w:val="TextoNormal"/>
      </w:pPr>
      <w:r>
        <w:t>Segunda: La caracterización realizada a partir de las pruebas analíticas disponibles ha puesto de relieve que dichas emisiones, aún en las condiciones y limitaciones en que fueron realizadas, suponían la emisión a la atmósfera de concentraciones superiores a los límites estipulados a tal efecto en la legislación pertinente, especialmente para partículas, óxidos de nitrógeno y determinados metales.</w:t>
      </w:r>
    </w:p>
    <w:p w14:paraId="4AA77D89" w14:textId="77777777" w:rsidR="009D7677" w:rsidRDefault="009D7677" w:rsidP="009D7677">
      <w:pPr>
        <w:pStyle w:val="TextoNormal"/>
      </w:pPr>
    </w:p>
    <w:p w14:paraId="599B49D1" w14:textId="77777777" w:rsidR="009D7677" w:rsidRDefault="009D7677" w:rsidP="009D7677">
      <w:pPr>
        <w:pStyle w:val="TextoNormal"/>
      </w:pPr>
      <w:r>
        <w:t>Tercera: Las emisiones valoradas suponen una influencia relevante sobre las fuentes antropogénicas de contaminación enclavadas en el municipio de la Alcora dada su naturaleza, la ausencia de depuración, su carácter continuo y su magnitud.</w:t>
      </w:r>
    </w:p>
    <w:p w14:paraId="0300F77F" w14:textId="77777777" w:rsidR="009D7677" w:rsidRDefault="009D7677" w:rsidP="009D7677">
      <w:pPr>
        <w:pStyle w:val="TextoNormal"/>
      </w:pPr>
    </w:p>
    <w:p w14:paraId="34EBC7CC" w14:textId="77777777" w:rsidR="009D7677" w:rsidRDefault="009D7677" w:rsidP="009D7677">
      <w:pPr>
        <w:pStyle w:val="TextoNormal"/>
      </w:pPr>
      <w:r>
        <w:t>Cuarta: Dichas emisiones contaminantes eras susceptibles de ser minimizadas, condición preceptiva al inicio de la actividad, mediante la adopción de medidas estructurales y de gestión como las que se han ido implantando con posterioridad, siempre y cuando su gestión se realice correctamente, aspecto que no ha sido objeto de análisis dentro de este procedimiento penal.</w:t>
      </w:r>
    </w:p>
    <w:p w14:paraId="012BB940" w14:textId="77777777" w:rsidR="009D7677" w:rsidRDefault="009D7677" w:rsidP="009D7677">
      <w:pPr>
        <w:pStyle w:val="TextoNormal"/>
      </w:pPr>
    </w:p>
    <w:p w14:paraId="2975E449" w14:textId="77777777" w:rsidR="009D7677" w:rsidRDefault="009D7677" w:rsidP="009D7677">
      <w:pPr>
        <w:pStyle w:val="TextoNormal"/>
      </w:pPr>
      <w:r>
        <w:t>Quinta: Estas emisiones están consideradas como contaminantes atmosféricos, susceptibles de generar afecciones sobre diversos compartimentos del ecosistema, tales como las aguas superficiales o subterráneas y las formaciones vegetales y cultivos del territorio tal y como se describe en el cuerpo de este informe.</w:t>
      </w:r>
    </w:p>
    <w:p w14:paraId="2C7F8E07" w14:textId="77777777" w:rsidR="009D7677" w:rsidRDefault="009D7677" w:rsidP="009D7677">
      <w:pPr>
        <w:pStyle w:val="TextoNormal"/>
      </w:pPr>
    </w:p>
    <w:p w14:paraId="5356FD88" w14:textId="77777777" w:rsidR="009D7677" w:rsidRDefault="009D7677" w:rsidP="009D7677">
      <w:pPr>
        <w:pStyle w:val="TextoNormal"/>
      </w:pPr>
      <w:r>
        <w:t>Sexta: Igualmente las emisiones de contaminantes son susceptibles de generar diversos perjuicios de gravedad sobre la salud de las personas en función de la exposición, que puede verse incrementada por las peculiares características del emplazamiento, y la sensibilidad individual’.</w:t>
      </w:r>
    </w:p>
    <w:p w14:paraId="51BB02A4" w14:textId="77777777" w:rsidR="009D7677" w:rsidRDefault="009D7677" w:rsidP="009D7677">
      <w:pPr>
        <w:pStyle w:val="TextoNormal"/>
      </w:pPr>
    </w:p>
    <w:p w14:paraId="23CEDAB1" w14:textId="77777777" w:rsidR="009D7677" w:rsidRDefault="009D7677" w:rsidP="009D7677">
      <w:pPr>
        <w:pStyle w:val="TextoNormal"/>
      </w:pPr>
      <w:r>
        <w:t>En consecuencia, entendemos que este informe pericial reviste los caracteres de objetividad por su imparcialidad que debe revestir un informe pericial. No se entiende que la administración con competencia a estos efectos, no realizara con anterioridad a 2002 una actividad inspectora y fiscalizadora más determinante. La empresa Esmaltes, S.L., no llevaba los libros registros de forma correcta, y a pesar de tener anotaciones en los mismos con valores superiores a los establecidos, no fue objeto de corrección, y ello produjo la realización de emisiones contaminantes de un modo continuo y cuyas características cualitativas y cuantitativas estaban condicionadas únicamente por sus propios criterios de pro</w:t>
      </w:r>
      <w:r>
        <w:lastRenderedPageBreak/>
        <w:t>ducción adoptados durante el periodo comprendido desde su apertura, sobre el año 1980 y la implantación de sistemas de filtración de sus emisiones atmosféricas a partir del año 2004. Se desconoce que Ocas realizaron aquellas mediciones que constan en los libros registro de la empresa, pero de igual forma, los datos allí anotados y los datos obtenidos posteriormente con otras mediciones, acreditan que algunos de los valores de emisión eran superiores a los permitidos administrativamente. No se depuraba nada, por lo que la emisión era libre a la atmósfera, y se han aportado el resultado de algunas emisiones realizadas incluso en condiciones y limitaciones concretas, y que suponían la emisión a la atmósfera de concentraciones superiores a los límites estipulados a tal efecto en la legislación pertinente, especialmente para partículas, óxidos de nitrógeno —si bien luego respecto a este punto en concreto y solo respecto a él, se ha permitido unos mayores valores— y determinados metales.</w:t>
      </w:r>
    </w:p>
    <w:p w14:paraId="4ABEE377" w14:textId="77777777" w:rsidR="009D7677" w:rsidRDefault="009D7677" w:rsidP="009D7677">
      <w:pPr>
        <w:pStyle w:val="TextoNormal"/>
      </w:pPr>
    </w:p>
    <w:p w14:paraId="200C8A43" w14:textId="77777777" w:rsidR="009D7677" w:rsidRDefault="009D7677" w:rsidP="009D7677">
      <w:pPr>
        <w:pStyle w:val="TextoNormal"/>
      </w:pPr>
      <w:r>
        <w:t>En consecuencia, el informe realizado por don [L.B.] y ratificado en el acto del juicio oral establece la conexión de perjuicio que esa emisión ocasionaba, y que eran susceptibles de generar diversos perjuicios de gravedad sobre la salud de las personas en función de la exposición, cubriéndose el tipo, ocasionando un riesgo y un perjuicio serio y real, por lo que entendemos que la juzgadora no ha valorado de forma correcta este informe pericial. Y es a partir del momento en el que las empresas van adoptando una depuración de sus emisiones cuando la situación medio ambiental va mejorando en la zona, por lo que la relación entre efecto y causa se entiende producido”.</w:t>
      </w:r>
    </w:p>
    <w:p w14:paraId="35DAD3B8" w14:textId="77777777" w:rsidR="009D7677" w:rsidRDefault="009D7677" w:rsidP="009D7677">
      <w:pPr>
        <w:pStyle w:val="TextoNormal"/>
      </w:pPr>
    </w:p>
    <w:p w14:paraId="3875A049" w14:textId="77777777" w:rsidR="009D7677" w:rsidRDefault="009D7677" w:rsidP="009D7677">
      <w:pPr>
        <w:pStyle w:val="TextoNormal"/>
      </w:pPr>
      <w:r>
        <w:t>Sobre las pruebas periciales propuestas por la defensa, el tribunal de apelación expone el siguiente juicio crítico:</w:t>
      </w:r>
    </w:p>
    <w:p w14:paraId="0788CDD6" w14:textId="77777777" w:rsidR="009D7677" w:rsidRDefault="009D7677" w:rsidP="009D7677">
      <w:pPr>
        <w:pStyle w:val="TextoNormal"/>
      </w:pPr>
    </w:p>
    <w:p w14:paraId="40F61D54" w14:textId="77777777" w:rsidR="009D7677" w:rsidRDefault="009D7677" w:rsidP="009D7677">
      <w:pPr>
        <w:pStyle w:val="TextoNormal"/>
      </w:pPr>
      <w:r>
        <w:t xml:space="preserve">“En las actuaciones consta al folio número 1364 y siguientes del tomo III el informe pericial realizado por don [J.C.L.]. En dicho informe se establece como conclusiones: ‘Se ha dicho ya anteriormente, pero se repite otra vez: los datos de las tablas I y II y los del libro registro no demuestran lo dicho por el perito judicial de presencia con riesgo de partículas, óxidos de nitrógeno y metales sino todo lo contrario ya que los datos no son representativos pues no se cumplieron los protocolos técnicos vigentes en las fechas correspondientes, siendo por tanto no válidos para una valoración de impacto ambiental. </w:t>
      </w:r>
    </w:p>
    <w:p w14:paraId="0F4804A2" w14:textId="77777777" w:rsidR="009D7677" w:rsidRDefault="009D7677" w:rsidP="009D7677">
      <w:pPr>
        <w:pStyle w:val="TextoNormal"/>
      </w:pPr>
    </w:p>
    <w:p w14:paraId="71A3823D" w14:textId="77777777" w:rsidR="009D7677" w:rsidRDefault="009D7677" w:rsidP="009D7677">
      <w:pPr>
        <w:pStyle w:val="TextoNormal"/>
      </w:pPr>
      <w:r>
        <w:t>Además, faltan datos representativos de caudal global, composiciones, globales integradas, altura efectiva de la chimenea, modelo atmosférico a considerar, pruebas de lixiviación de las partículas emitidas, etc., para poder realizar un estudio de impacto ambiental y estimar los datos de inmisión que corresponderían a dicha emisión y su hipotética toxicidad’.</w:t>
      </w:r>
    </w:p>
    <w:p w14:paraId="26273228" w14:textId="77777777" w:rsidR="009D7677" w:rsidRDefault="009D7677" w:rsidP="009D7677">
      <w:pPr>
        <w:pStyle w:val="TextoNormal"/>
      </w:pPr>
    </w:p>
    <w:p w14:paraId="3DE49BA1" w14:textId="77777777" w:rsidR="009D7677" w:rsidRDefault="009D7677" w:rsidP="009D7677">
      <w:pPr>
        <w:pStyle w:val="TextoNormal"/>
      </w:pPr>
      <w:r>
        <w:t xml:space="preserve">Y se establecían también una conclusiones paralelas a las establecidas en el informe pericial: </w:t>
      </w:r>
    </w:p>
    <w:p w14:paraId="79826252" w14:textId="77777777" w:rsidR="009D7677" w:rsidRDefault="009D7677" w:rsidP="009D7677">
      <w:pPr>
        <w:pStyle w:val="TextoNormal"/>
      </w:pPr>
    </w:p>
    <w:p w14:paraId="33FD8325" w14:textId="77777777" w:rsidR="009D7677" w:rsidRDefault="009D7677" w:rsidP="009D7677">
      <w:pPr>
        <w:pStyle w:val="TextoNormal"/>
      </w:pPr>
      <w:r>
        <w:t>Primera: La investigación realizada pone de relieve la conclusión de que las irregularidades en los datos analíticos son la excepción y además no válidas respecto al protocolo técnico de obtención y que por tanto el diseño estructural como la gestión medioambiental han sido siempre correctos de acuerdo con las mejores técnicas disponibles de proceso y medioambientales antes y después de la implantación de sistemas de filtración.</w:t>
      </w:r>
    </w:p>
    <w:p w14:paraId="6128CEA0" w14:textId="77777777" w:rsidR="009D7677" w:rsidRDefault="009D7677" w:rsidP="009D7677">
      <w:pPr>
        <w:pStyle w:val="TextoNormal"/>
      </w:pPr>
    </w:p>
    <w:p w14:paraId="540FFBBA" w14:textId="77777777" w:rsidR="009D7677" w:rsidRDefault="009D7677" w:rsidP="009D7677">
      <w:pPr>
        <w:pStyle w:val="TextoNormal"/>
      </w:pPr>
      <w:r>
        <w:lastRenderedPageBreak/>
        <w:t>Segunda: Las pruebas analíticas ya discutidas en las páginas de este dictamen ponen de relieve en una valoración técnica global que las emisiones han sido correctas. Hay que recordar que los datos anómalos son totalmente descartables por no representativos de la situación global y no haberse cumplido el protocolo de obtención.</w:t>
      </w:r>
    </w:p>
    <w:p w14:paraId="194C7262" w14:textId="77777777" w:rsidR="009D7677" w:rsidRDefault="009D7677" w:rsidP="009D7677">
      <w:pPr>
        <w:pStyle w:val="TextoNormal"/>
      </w:pPr>
    </w:p>
    <w:p w14:paraId="2A12CE87" w14:textId="77777777" w:rsidR="009D7677" w:rsidRDefault="009D7677" w:rsidP="009D7677">
      <w:pPr>
        <w:pStyle w:val="TextoNormal"/>
      </w:pPr>
      <w:r>
        <w:t>Tercera: Las emisiones valoradas no suponen una influencia relevante sobre las fuentes antropogénicas de contaminación enclavadas en el municipio de La Alcora. No se puede hablar de influencia relevante (impacto ambiental) sin haber tenido en cuenta entre otros parámetros el caudal representativo de la emisión, las condiciones climatológicas, la altura efectiva de la chimenea, y datos analíticos de la emisión de la empresa que sean realmente representativos.</w:t>
      </w:r>
    </w:p>
    <w:p w14:paraId="78F9B4D1" w14:textId="77777777" w:rsidR="009D7677" w:rsidRDefault="009D7677" w:rsidP="009D7677">
      <w:pPr>
        <w:pStyle w:val="TextoNormal"/>
      </w:pPr>
    </w:p>
    <w:p w14:paraId="7B70605D" w14:textId="77777777" w:rsidR="009D7677" w:rsidRDefault="009D7677" w:rsidP="009D7677">
      <w:pPr>
        <w:pStyle w:val="TextoNormal"/>
      </w:pPr>
      <w:r>
        <w:t>Cuarta: Como se ha dicho antes los datos analíticos disponibles ponen de relieve que en todo momento ha habido un diseño estructural y una gestión medioambiental adecuada a las mejores técnicas disponibles. De todas maneras, en el informe se dice textualmente que este aspecto, no ha sido objeto de análisis dentro de este informe.</w:t>
      </w:r>
    </w:p>
    <w:p w14:paraId="7565D085" w14:textId="77777777" w:rsidR="009D7677" w:rsidRDefault="009D7677" w:rsidP="009D7677">
      <w:pPr>
        <w:pStyle w:val="TextoNormal"/>
      </w:pPr>
    </w:p>
    <w:p w14:paraId="78230874" w14:textId="77777777" w:rsidR="009D7677" w:rsidRDefault="009D7677" w:rsidP="009D7677">
      <w:pPr>
        <w:pStyle w:val="TextoNormal"/>
      </w:pPr>
      <w:r>
        <w:t>Quinta: La descripción que se hace en el cuerpo del informe es generalista, no corresponde a Esmaltes, S.A., y además falta en la redacción un condicionante que no ha sido demostrado: que los valores de inmisión que correspondan única y exclusivamente a Esmaltes, S.A., superen los valores autorizados.</w:t>
      </w:r>
    </w:p>
    <w:p w14:paraId="1D1C461E" w14:textId="77777777" w:rsidR="009D7677" w:rsidRDefault="009D7677" w:rsidP="009D7677">
      <w:pPr>
        <w:pStyle w:val="TextoNormal"/>
      </w:pPr>
    </w:p>
    <w:p w14:paraId="76F16324" w14:textId="77777777" w:rsidR="009D7677" w:rsidRDefault="009D7677" w:rsidP="009D7677">
      <w:pPr>
        <w:pStyle w:val="TextoNormal"/>
      </w:pPr>
      <w:r>
        <w:t>Sexta: Es una conclusión generalista sin ninguna referencia específica ni dato concreto referente a las emisiones de la empresa Esmaltes, S.A.</w:t>
      </w:r>
    </w:p>
    <w:p w14:paraId="221D0B02" w14:textId="77777777" w:rsidR="009D7677" w:rsidRDefault="009D7677" w:rsidP="009D7677">
      <w:pPr>
        <w:pStyle w:val="TextoNormal"/>
      </w:pPr>
    </w:p>
    <w:p w14:paraId="3F1FCA7A" w14:textId="77777777" w:rsidR="009D7677" w:rsidRDefault="009D7677" w:rsidP="009D7677">
      <w:pPr>
        <w:pStyle w:val="TextoNormal"/>
      </w:pPr>
      <w:r>
        <w:t>Dicho peritaje no aporta datos esenciales. Se trata de un contraperitaje realizado sobre el realizado por don [L.B.]. Este peritaje de don [L.B.] está basado en el riesgo de perjuicio y aporta bibliografía al respecto. Lo interesante hubiera sido en este supuesto hacer un peritaje sobre la emisión sin filtros ni depuración y en las mismas condiciones que las emisiones realizadas en los años 1980 a 2004 y con la producción de los mismos productos, puesto que así se hubiera acreditado la realidad de las emisiones realizadas.</w:t>
      </w:r>
    </w:p>
    <w:p w14:paraId="521E6F39" w14:textId="77777777" w:rsidR="009D7677" w:rsidRDefault="009D7677" w:rsidP="009D7677">
      <w:pPr>
        <w:pStyle w:val="TextoNormal"/>
      </w:pPr>
    </w:p>
    <w:p w14:paraId="38FC0255" w14:textId="77777777" w:rsidR="009D7677" w:rsidRDefault="009D7677" w:rsidP="009D7677">
      <w:pPr>
        <w:pStyle w:val="TextoNormal"/>
      </w:pPr>
      <w:r>
        <w:t>[…] Consta también en las actuaciones informe realizado por Env Serkual, S.L., por don [M.R.R.] —folios número 1421 y siguientes del tomo III—, en el que también se establecen como conclusiones: ‘Ninguno de los documentos obrantes en autos permite determinar que la contaminación en la zona es responsabilidad de Esmaltes, S.A. —Ninguno de los documentos obrantes en autos permite determinar la afección de ecosistemas o suelo por hipotéticas emisiones de metales o partículas de Esmaltes, S.A., la demandada. —No obra en autos documento alguno que permita establecer una relación causal entre las emisiones de Esmaltes y los niveles de inmisión (concentración) en la zona’.</w:t>
      </w:r>
    </w:p>
    <w:p w14:paraId="05C25A8B" w14:textId="77777777" w:rsidR="009D7677" w:rsidRDefault="009D7677" w:rsidP="009D7677">
      <w:pPr>
        <w:pStyle w:val="TextoNormal"/>
      </w:pPr>
    </w:p>
    <w:p w14:paraId="1E96F8DB" w14:textId="77777777" w:rsidR="009D7677" w:rsidRDefault="009D7677" w:rsidP="009D7677">
      <w:pPr>
        <w:pStyle w:val="TextoNormal"/>
      </w:pPr>
      <w:r>
        <w:t>Este informe se valora como el anterior. No se habla de los datos obrantes en el libro registro de la empresa, ni de la falta de control en los años que correspondía hacerlo, con inscripciones anteriores a la fecha de apertura del libro. Además de ello las mediciones del SGS son solo mediciones y no tiene por qué realizar conclusiones, y las mediciones de Novotec correspondían a una labor inspectora de la administración ordinaria, no por denuncia”.</w:t>
      </w:r>
    </w:p>
    <w:p w14:paraId="42B8FD1B" w14:textId="77777777" w:rsidR="009D7677" w:rsidRDefault="009D7677" w:rsidP="009D7677">
      <w:pPr>
        <w:pStyle w:val="TextoNormal"/>
      </w:pPr>
    </w:p>
    <w:p w14:paraId="58ECD680" w14:textId="77777777" w:rsidR="009D7677" w:rsidRDefault="009D7677" w:rsidP="009D7677">
      <w:pPr>
        <w:pStyle w:val="TextoNormal"/>
      </w:pPr>
      <w:r>
        <w:lastRenderedPageBreak/>
        <w:t>La resolución impugnada en amparo transcribe varios pasajes de las sentencias de 14 de julio de 2015 (rollo de apelación núm. 435-2015), de la Sección Primera de la Audiencia Provincial de Castellón, y de 30 de junio de 2016 (juicio oral núm. 171-2013), del Juzgado de lo Penal núm. 3 de Castellón, para concluir, en relación con la segunda:</w:t>
      </w:r>
    </w:p>
    <w:p w14:paraId="0C51EF9E" w14:textId="77777777" w:rsidR="009D7677" w:rsidRDefault="009D7677" w:rsidP="009D7677">
      <w:pPr>
        <w:pStyle w:val="TextoNormal"/>
      </w:pPr>
    </w:p>
    <w:p w14:paraId="6C330210" w14:textId="77777777" w:rsidR="009D7677" w:rsidRDefault="009D7677" w:rsidP="009D7677">
      <w:pPr>
        <w:pStyle w:val="TextoNormal"/>
      </w:pPr>
      <w:r>
        <w:t>“La anterior resolución valora un supuesto similar el presente que ahora se enjuicia, donde la empresa no tenía instalado un sistema de depuración, donde existían diversas irregularidades administrativas, donde los niveles de emisiones realizadas superaban a los permitidos y donde se hicieron valoraciones sobre mediciones realizadas en las condiciones existentes en el año 2002 y anteriores. En este supuesto se hicieron mediciones por los técnicos del CIEMAT (Centro de Investigaciones Energéticas Medioambientales y Tecnológicas), cuyos resultados teóricos son también trasladables a este procedimiento. En estas actuaciones el CIEMAT no hizo ningún peritaje, pero constan mediciones realizadas por SGR Tecnos, S.A., y Novotec, S.A., por lo que podría concluirse que se ha producido en este supuesto y se generó en la fecha de los hechos un peligro grave de daño al medio ambiente, por lo que no se tipifica en sentido propio un resultado concreto de peligro, y que las emisiones, crearon un grave riesgo objeto de sanción. En consecuencia, de acuerdo con lo establecido en el fundamento segundo de esta resolución, y a la vista del resultado de las anteriores pruebas expuestas y que no se han valorado correctamente en la instancia, concluimos y entendemos que la resolución dictada por el juzgado de lo penal no se ajusta a la lógica”.</w:t>
      </w:r>
    </w:p>
    <w:p w14:paraId="4FACB51A" w14:textId="77777777" w:rsidR="009D7677" w:rsidRDefault="009D7677" w:rsidP="009D7677">
      <w:pPr>
        <w:pStyle w:val="TextoNormal"/>
      </w:pPr>
    </w:p>
    <w:p w14:paraId="079FC3BF" w14:textId="77777777" w:rsidR="009D7677" w:rsidRDefault="009D7677" w:rsidP="009D7677">
      <w:pPr>
        <w:pStyle w:val="TextoNormal"/>
      </w:pPr>
      <w:r>
        <w:t>(iv) Finalmente, en la sentencia de apelación se hizo constar que podía ser impugnada mediante recurso de casación, al amparo del art. 847.1 b) LECrim, ante la Sala Segunda del Tribunal Supremo.</w:t>
      </w:r>
    </w:p>
    <w:p w14:paraId="095C0299" w14:textId="77777777" w:rsidR="009D7677" w:rsidRDefault="009D7677" w:rsidP="009D7677">
      <w:pPr>
        <w:pStyle w:val="TextoNormal"/>
      </w:pPr>
    </w:p>
    <w:p w14:paraId="41CB44C3" w14:textId="77777777" w:rsidR="009D7677" w:rsidRDefault="009D7677" w:rsidP="009D7677">
      <w:pPr>
        <w:pStyle w:val="TextoNormal"/>
      </w:pPr>
      <w:r>
        <w:t>f) Por escrito de 10 de enero de 2020, el demandante interesó que se aclarara la sentencia de apelación en un doble sentido: (i) para especificar si el nuevo juzgador que debe presidir el juicio oral y resolver la causa se encuentra vinculado por las valoraciones probatorias contenidas en la sentencia de apelación, tal y como indica el fallo; y (ii) para determinar si la sentencia de apelación era firme o, en cambio, si era recurrible en casación, dada la información que se indicaba en este último sentido (art. 248.4 LOPJ), pese a tratarse de un procedimiento incoado con anterioridad a la entrada en vigor de la reforma procesal de 2015.</w:t>
      </w:r>
    </w:p>
    <w:p w14:paraId="2C1907B5" w14:textId="77777777" w:rsidR="009D7677" w:rsidRDefault="009D7677" w:rsidP="009D7677">
      <w:pPr>
        <w:pStyle w:val="TextoNormal"/>
      </w:pPr>
    </w:p>
    <w:p w14:paraId="36519C5B" w14:textId="77777777" w:rsidR="009D7677" w:rsidRDefault="009D7677" w:rsidP="009D7677">
      <w:pPr>
        <w:pStyle w:val="TextoNormal"/>
      </w:pPr>
      <w:r>
        <w:t>g) Por auto de 24 de enero de 2020 la Audiencia Provincial aclaró su sentencia con la siguiente argumentación:</w:t>
      </w:r>
    </w:p>
    <w:p w14:paraId="29149828" w14:textId="77777777" w:rsidR="009D7677" w:rsidRDefault="009D7677" w:rsidP="009D7677">
      <w:pPr>
        <w:pStyle w:val="TextoNormal"/>
      </w:pPr>
    </w:p>
    <w:p w14:paraId="3EB65F4D" w14:textId="77777777" w:rsidR="009D7677" w:rsidRDefault="009D7677" w:rsidP="009D7677">
      <w:pPr>
        <w:pStyle w:val="TextoNormal"/>
      </w:pPr>
      <w:r>
        <w:t>“[N]o ha lugar a aclarar la sentencia puesto que la misma es clara en sus términos, dado que la resolución establece que por nuevo juzgador se repita el juicio oral y se dicte nueva sentencia en la que se valoren todas las pruebas practicadas con los criterios expuestos. Es decir, se debe valorar la prueba con los criterios que se habían expuesto y resolver de la forma que estime el juzgador que volverá a ver el juicio oral. Por ello, la resolución no merece aclaración.</w:t>
      </w:r>
    </w:p>
    <w:p w14:paraId="50983311" w14:textId="77777777" w:rsidR="009D7677" w:rsidRDefault="009D7677" w:rsidP="009D7677">
      <w:pPr>
        <w:pStyle w:val="TextoNormal"/>
      </w:pPr>
    </w:p>
    <w:p w14:paraId="630A24CA" w14:textId="77777777" w:rsidR="009D7677" w:rsidRDefault="009D7677" w:rsidP="009D7677">
      <w:pPr>
        <w:pStyle w:val="TextoNormal"/>
      </w:pPr>
      <w:r>
        <w:t xml:space="preserve">Y, en segundo lugar, ciertamente la sentencia establece que, contra la misma, cabe recurso de casación, sin embargo, ello no es así, tratándose de un error de transcripción. En </w:t>
      </w:r>
      <w:r>
        <w:lastRenderedPageBreak/>
        <w:t>primer lugar, el procedimiento fue anterior al 2015 y, en segundo lugar, contra este tipo de resolución no cabe interponer recurso de casación”.</w:t>
      </w:r>
    </w:p>
    <w:p w14:paraId="7E7EC55F" w14:textId="77777777" w:rsidR="009D7677" w:rsidRDefault="009D7677" w:rsidP="009D7677">
      <w:pPr>
        <w:pStyle w:val="TextoNormal"/>
      </w:pPr>
    </w:p>
    <w:p w14:paraId="20521CB7" w14:textId="77777777" w:rsidR="009D7677" w:rsidRDefault="009D7677" w:rsidP="009D7677">
      <w:pPr>
        <w:pStyle w:val="TextoNormal"/>
      </w:pPr>
      <w:r>
        <w:t>h) Mediante nuevo escrito, fechado el 4 de marzo de 2020, el demandante de amparo promovió un incidente de nulidad frente a la sentencia, en el que, en síntesis, alegó:</w:t>
      </w:r>
    </w:p>
    <w:p w14:paraId="500FCCD9" w14:textId="77777777" w:rsidR="009D7677" w:rsidRDefault="009D7677" w:rsidP="009D7677">
      <w:pPr>
        <w:pStyle w:val="TextoNormal"/>
      </w:pPr>
    </w:p>
    <w:p w14:paraId="38AE6879" w14:textId="77777777" w:rsidR="009D7677" w:rsidRDefault="009D7677" w:rsidP="009D7677">
      <w:pPr>
        <w:pStyle w:val="TextoNormal"/>
      </w:pPr>
      <w:r>
        <w:t>Primero: la vulneración del juez ordinario predeterminado por la ley (art. 24.2 CE), a la defensa y a un proceso público sin dilaciones indebidas y con todas las garantías, al aplicar lo dispuesto en el art 792.2 LECrim, en la redacción de la Ley 41/2015 de 5 de octubre, y del derecho a la tutela judicial efectiva sin indefensión (art. 24.1 CE). Afirma que la reforma procesal introducida en la Ley de enjuiciamiento criminal por la Ley 41/2015 no es aplicable al caso, pues su disposición transitoria única claramente establece su aplicación a los procesos incoados con posterioridad a su entrada en vigor, con dos únicas excepciones (arts. 324 y 954 LECrim) que no concurren en este supuesto. De ello deriva que, si el legislador hubiese querido que la nueva redacción de los arts. 790.2 y 792.2 LECrim fuese aplicable a los procesos incoados con anterioridad, lo habría dispuesto así expresamente.</w:t>
      </w:r>
    </w:p>
    <w:p w14:paraId="6839D5D6" w14:textId="77777777" w:rsidR="009D7677" w:rsidRDefault="009D7677" w:rsidP="009D7677">
      <w:pPr>
        <w:pStyle w:val="TextoNormal"/>
      </w:pPr>
    </w:p>
    <w:p w14:paraId="54655597" w14:textId="77777777" w:rsidR="009D7677" w:rsidRDefault="009D7677" w:rsidP="009D7677">
      <w:pPr>
        <w:pStyle w:val="TextoNormal"/>
      </w:pPr>
      <w:r>
        <w:t>De otra parte, señala que la Audiencia Provincial incurre en contradicción, pues con ocasión de la petición de aclaración vino a reconocer que no cabía interponer recurso de casación en este caso, siendo este el sentido en el que vienen pronunciándose el Tribunal Supremo y el Tribunal Constitucional (ATC 110/2018, de 16 de octubre). Añade que la celebración de un nuevo juicio incidiría negativamente en el derecho de defensa del impugnante, ya que la vista se celebró en varias sesiones y comparecieron numerosos testigos y peritos que conocen las preguntas que fueron formuladas por la defensa, de manera que la prevención del art. 704 LECrim carecería de todo sentido.</w:t>
      </w:r>
    </w:p>
    <w:p w14:paraId="380A7DC3" w14:textId="77777777" w:rsidR="009D7677" w:rsidRDefault="009D7677" w:rsidP="009D7677">
      <w:pPr>
        <w:pStyle w:val="TextoNormal"/>
      </w:pPr>
    </w:p>
    <w:p w14:paraId="576FDCA3" w14:textId="77777777" w:rsidR="009D7677" w:rsidRDefault="009D7677" w:rsidP="009D7677">
      <w:pPr>
        <w:pStyle w:val="TextoNormal"/>
      </w:pPr>
      <w:r>
        <w:t xml:space="preserve">Segundo: La sentencia de apelación habría infringido también las garantías procesales establecidas en el art. 24 de la Constitución. Se afirma que la decisión de apelación no se limita a realizar un análisis de la hipotética insuficiencia o falta de racionalidad de la motivación fáctica de instancia, del apartamiento de las máximas de experiencia o de la omisión de todo razonamiento sobre alguna o algunas de las pruebas practicadas que pudiera tener relevancia, conforme a lo establecido en los actuales arts. 790 y 792 LECrim. Por el contrario, el órgano de apelación ha examinado la mayoría de los medios de prueba practicados en el juicio oral y le indica al juez de lo penal, llamado a celebrar nuevo juicio, cómo debe valorarlos. Añade que no cabe convertir la tutela judicial efectiva de las acusaciones en una presunción de inocencia invertida, ni tampoco identificar la falta de racionalidad en la valoración probatoria con la sola discrepancia del acusador recurrente, pues para ello la inferencia ha de ser absolutamente irracional o absurda (SSTS 407/2017, de 6 de junio; 350/2015, de 6 de mayo, o 644/2016, de 14 de julio). Por todo lo expuesto, el demandante sostiene que la sentencia de apelación, en vez de concluir que la valoración probatoria acometida por el juez </w:t>
      </w:r>
      <w:r w:rsidRPr="009D7677">
        <w:rPr>
          <w:i/>
        </w:rPr>
        <w:t>a quo</w:t>
      </w:r>
      <w:r>
        <w:t xml:space="preserve"> sea inexistente, irracional o absurda, procede a analizar de forma intensa y exhaustiva medios de prueba cuya práctica no ha presenciado y ordena, además, que se repita el juicio oral ante un nuevo juzgador con el fin de que dicte sentencia en la que se valoren las pruebas practicadas “con los criterios expuestos” en la propia sentencia de apelación, comprometiendo de este modo su libertad de juicio, con quiebra de los derechos fundamentales reconocidos por el art. 24 CE.</w:t>
      </w:r>
    </w:p>
    <w:p w14:paraId="5F7D7C1A" w14:textId="77777777" w:rsidR="009D7677" w:rsidRDefault="009D7677" w:rsidP="009D7677">
      <w:pPr>
        <w:pStyle w:val="TextoNormal"/>
      </w:pPr>
    </w:p>
    <w:p w14:paraId="6C822589" w14:textId="77777777" w:rsidR="009D7677" w:rsidRDefault="009D7677" w:rsidP="009D7677">
      <w:pPr>
        <w:pStyle w:val="TextoNormal"/>
      </w:pPr>
      <w:r>
        <w:lastRenderedPageBreak/>
        <w:t>i) El incidente de nulidad fue inadmitido por providencia de 28 de abril de 2020, con apoyo en la siguiente argumentación:</w:t>
      </w:r>
    </w:p>
    <w:p w14:paraId="52DBDAED" w14:textId="77777777" w:rsidR="009D7677" w:rsidRDefault="009D7677" w:rsidP="009D7677">
      <w:pPr>
        <w:pStyle w:val="TextoNormal"/>
      </w:pPr>
    </w:p>
    <w:p w14:paraId="3BD9B66E" w14:textId="5A6D6D9A" w:rsidR="009D7677" w:rsidRDefault="009D7677" w:rsidP="009D7677">
      <w:pPr>
        <w:pStyle w:val="TextoNormal"/>
      </w:pPr>
      <w:r>
        <w:t>“[N]o cabe acordar la nulidad de la sentencia dictada por esta sala, ya que la misma es clara en cuanto a las valoraciones que se han realizado en la misma y que se complementan con el auto dictado posteriormente de aclaración, dado como se dice en el auto de fecha 24 de enero de 2020 será el juzgador ante el que se repita el juicio oral, el que deba valorar la prueba que se realice en su presencia en la forma que estime conveniente. La sentencia de esta sala valora las pruebas que se han practicado y ha expresado unos criterios en la valoración de las mismas, y el juzgador de lo penal que en su caso dicte nueva sentencia, no quiere decir que tenga que someterse a la valoración realizada por esta sala, sino que tiene libertad de criterio para su valoración. Esta sala tiene unos criterios que se han expuesto en la sentencia, y el juzgado de lo penal debe dictar sentencia valorando las pruebas que se practiquen de nuevo, lo que viene aclarado en el auto de fecha 24 de enero de 2020”.</w:t>
      </w:r>
    </w:p>
    <w:p w14:paraId="6A450D9E" w14:textId="77777777" w:rsidR="009D7677" w:rsidRDefault="009D7677" w:rsidP="009D7677">
      <w:pPr>
        <w:pStyle w:val="TextoNormal"/>
      </w:pPr>
    </w:p>
    <w:p w14:paraId="5F459643" w14:textId="77777777" w:rsidR="009D7677" w:rsidRDefault="009D7677" w:rsidP="009D7677">
      <w:pPr>
        <w:pStyle w:val="TextoNormal"/>
      </w:pPr>
      <w:r w:rsidRPr="009D7677">
        <w:rPr>
          <w:rStyle w:val="NumeroAFNegritaCaracter"/>
        </w:rPr>
        <w:t>3</w:t>
      </w:r>
      <w:r>
        <w:t>. En la demanda de amparo el recurrente interesa que se anule la sentencia dictada al resolver el recurso de apelación, después aclarada por auto de 24 de enero de 2020, y se acuerde la retroacción de actuaciones al momento anterior a su dictado. Con apoyo en los derechos a la tutela judicial efectiva, al proceso con todas las garantías, al juez imparcial predeterminado por la ley y a la presunción de inocencia (art. 24.1 y 2 CE), viene luego a diferenciar dos motivos de queja.</w:t>
      </w:r>
    </w:p>
    <w:p w14:paraId="71329E25" w14:textId="77777777" w:rsidR="009D7677" w:rsidRDefault="009D7677" w:rsidP="009D7677">
      <w:pPr>
        <w:pStyle w:val="TextoNormal"/>
      </w:pPr>
    </w:p>
    <w:p w14:paraId="44725A13" w14:textId="77777777" w:rsidR="009D7677" w:rsidRDefault="009D7677" w:rsidP="009D7677">
      <w:pPr>
        <w:pStyle w:val="TextoNormal"/>
      </w:pPr>
      <w:r>
        <w:t xml:space="preserve">a) En el primer motivo alega la vulneración del derecho a la tutela judicial efectiva (art. 24.1 CE), en la vertiente del derecho a obtener una respuesta razonable con proscripción de la indefensión; al juez ordinario predeterminado por la ley y a un proceso público sin dilaciones indebidas (art. 24.2 CE), en relación con los principios de legalidad y seguridad jurídica (art. 9.1 y 3 CE). Alega que la Sala </w:t>
      </w:r>
      <w:r w:rsidRPr="009D7677">
        <w:rPr>
          <w:i/>
        </w:rPr>
        <w:t>ad quem</w:t>
      </w:r>
      <w:r>
        <w:t xml:space="preserve"> contraviene lo establecido en la disposición transitoria única de la Ley 41/2015, al perfilar el ámbito del recurso de apelación con base en la actual redacción de los arts. 790.2, párrafo tercero, y 792.2 LECrim, particularmente, al ordenar la repetición del juicio ante diferente juzgador, mientras que aplica correctamente esa disposición transitoria al reconocer, en el auto de aclaración y en la providencia de inadmisión del incidente de nulidad, que contra la sentencia dictada al resolver el recurso de apelación no cabe recurso de casación porque el procedimiento es anterior a la entrada en vigor de la Ley 41/2015.</w:t>
      </w:r>
    </w:p>
    <w:p w14:paraId="1566B47B" w14:textId="77777777" w:rsidR="009D7677" w:rsidRDefault="009D7677" w:rsidP="009D7677">
      <w:pPr>
        <w:pStyle w:val="TextoNormal"/>
      </w:pPr>
    </w:p>
    <w:p w14:paraId="7B79B2D2" w14:textId="77777777" w:rsidR="009D7677" w:rsidRDefault="009D7677" w:rsidP="009D7677">
      <w:pPr>
        <w:pStyle w:val="TextoNormal"/>
      </w:pPr>
      <w:r>
        <w:t xml:space="preserve">Recuerda que este tribunal (ATC 110/2018, FJ 5) ha reconocido que la reforma procesal penal a que se ha hecho mención no es aplicable a los procedimientos incoados con anterioridad a su entrada en vigor. No obstante, el demandante es consciente de que con anterioridad a la reforma efectuada por la Ley 41/2015 era posible anular una sentencia absolutoria mediante la interposición del recurso de apelación. Sin embargo, no era legítimo que, por el hecho de considerar insuficientemente motivada la sentencia absolutoria, el órgano de apelación ordenara la repetición del juicio oral ante diferente juzgador, como así lo ha acordado la audiencia de Castellón, en este caso sin base legal, por lo que no solo se ha vulnerado el derecho del demandante a obtener una respuesta razonable en Derecho, sino también el derecho al juez ordinario predeterminado por la ley y a un proceso público con todas las garantías (art. 24.1 y 2 CE). Y al no respetar el contenido de la disposición transitoria única de la Ley 41/2015, la Sala </w:t>
      </w:r>
      <w:r w:rsidRPr="009D7677">
        <w:rPr>
          <w:i/>
        </w:rPr>
        <w:t>ad quem</w:t>
      </w:r>
      <w:r>
        <w:t xml:space="preserve"> infringe, asimismo, los principios de </w:t>
      </w:r>
      <w:r>
        <w:lastRenderedPageBreak/>
        <w:t>legalidad y seguridad jurídica (arts. 14 y 9.3 CE), dando aplicación retroactiva a una norma procesal desfavorable a los intereses del demandante en su condición de acusado.</w:t>
      </w:r>
    </w:p>
    <w:p w14:paraId="2BCC1C02" w14:textId="77777777" w:rsidR="009D7677" w:rsidRDefault="009D7677" w:rsidP="009D7677">
      <w:pPr>
        <w:pStyle w:val="TextoNormal"/>
      </w:pPr>
    </w:p>
    <w:p w14:paraId="5C21E64D" w14:textId="77777777" w:rsidR="009D7677" w:rsidRDefault="009D7677" w:rsidP="009D7677">
      <w:pPr>
        <w:pStyle w:val="TextoNormal"/>
      </w:pPr>
      <w:r>
        <w:t>b) El segundo motivo se sustenta en la vulneración de los derechos a la tutela judicial efectiva, al proceso público con todas las garantías, al juez imparcial y a la presunción de inocencia (art. 24.1 y 2). El recurrente trae a colación los límites constitucionales de la revisión de sentencias absolutorias en sede de apelación (SSTC 167/2002, de 18 de septiembre; 21/2009 y 24/2009, de 26 de enero, y 120/2013, de 20 de mayo, entre otras), doctrina que, según afirma, el propio Tribunal Supremo ha incorporado a su jurisprudencia para subrayar que solamente podrá anularse una sentencia absolutoria, por efecto de la tutela judicial efectiva, “cuando sea arbitraria, incurra en un error patente, carezca de motivación, introduzca una motivación extravagante o irracional, o realice una aplicación de la presunción de inocencia absolutamente al margen de sus contornos racionales”. En suma, no basta con la mera discrepancia con la valoración probatoria de instancia, sino que esta ha de ser absolutamente absurda o irracional, de suerte que el derecho a la tutela judicial efectiva que asiste a las acusaciones opere frente a la presunción de inocencia del acusado. La influencia de este criterio jurisprudencial se deja sentir en la reforma de los arts. 790 y 792 LECrim, de modo tal que para revocar una sentencia absolutoria es necesario que la valoración probatoria de instancia sea irracional, falte manifiestamente a las máximas de experiencia, omita un razonamiento relevante sobre la prueba practicada o acuerde la nulidad de una prueba de forma improcedente.</w:t>
      </w:r>
    </w:p>
    <w:p w14:paraId="0D8697CD" w14:textId="77777777" w:rsidR="009D7677" w:rsidRDefault="009D7677" w:rsidP="009D7677">
      <w:pPr>
        <w:pStyle w:val="TextoNormal"/>
      </w:pPr>
    </w:p>
    <w:p w14:paraId="20493594" w14:textId="77777777" w:rsidR="009D7677" w:rsidRDefault="009D7677" w:rsidP="009D7677">
      <w:pPr>
        <w:pStyle w:val="TextoNormal"/>
      </w:pPr>
      <w:r>
        <w:t xml:space="preserve">Para el demandante la sentencia de apelación sigue el camino inverso. Dedica un extenso fundamento jurídico cuarto al examen de la prueba practicada ante la juez </w:t>
      </w:r>
      <w:r w:rsidRPr="009D7677">
        <w:rPr>
          <w:i/>
        </w:rPr>
        <w:t>a quo</w:t>
      </w:r>
      <w:r>
        <w:t>, que analiza conforme a sus propios criterios; y con ese proceder, vulnera el derecho a la tutela judicial efectiva del demandante, pues para efectuar esa valoración sería necesario que el tribunal de apelación hubiera oído personalmente a los peritos, testigos y acusados que declararon en el acto del juicio oral. No obstante, al ser consciente de que no puede revocar la sentencia de instancia para dictar una condena (STC 167/2002), el órgano de apelación sostuvo que la valoración probatoria de instancia no se ajusta a la lógica, conclusión que encontramos reflejada en la sentencia. Pero lo que lleva a declarar la nulidad de la sentencia de primer grado, calificándola de “ilógica”, no es más que una discrepancia de criterio en el análisis del acervo probatorio.</w:t>
      </w:r>
    </w:p>
    <w:p w14:paraId="19CE1C21" w14:textId="77777777" w:rsidR="009D7677" w:rsidRDefault="009D7677" w:rsidP="009D7677">
      <w:pPr>
        <w:pStyle w:val="TextoNormal"/>
      </w:pPr>
    </w:p>
    <w:p w14:paraId="05DB404C" w14:textId="0A8F68F8" w:rsidR="009D7677" w:rsidRDefault="009D7677" w:rsidP="009D7677">
      <w:pPr>
        <w:pStyle w:val="TextoNormal"/>
      </w:pPr>
      <w:r>
        <w:t xml:space="preserve">Y añade que la resolución de apelación presenta otras dos irregularidades de calado constitucional: (i) por un lado, la Audiencia Provincial ordena la repetición del juicio oral ante un nuevo juzgador sin justificar mínimamente esta decisión, lo que de nuevo lesiona la tutela judicial efectiva del demandante, además de no ajustarse a lo dispuesto en los arts. 790 y 792.2 LECrim que imponen al tribunal de segunda instancia el deber de motivar tal decisión, si se opta por ella; (ii) por otro, que el fallo de la sentencia expresamente establece que por el nuevo juzgador se dicte sentencia “en la que se valoren todas las pruebas practicadas con los criterios expuestos”. Esto resulta aún más grave, pues el tribunal de apelación se inmiscuye en la independencia del futuro órgano </w:t>
      </w:r>
      <w:r w:rsidRPr="009D7677">
        <w:rPr>
          <w:i/>
        </w:rPr>
        <w:t>a quo</w:t>
      </w:r>
      <w:r>
        <w:t xml:space="preserve"> (art. 117 CE), fijándole los parámetros bajo los que debe valorar el acervo probatorio, en clara quiebra del derecho del recurrente a la presunción de inocencia, dados los términos del fundamento jurídico cuarto de la sentencia de apelación. Y lejos de rectificar y reparar esta interferencia, el auto de 24 de enero de 2020 la perpetúa al rechazar la aclaración interesada por la defensa del demandante en relación con este punto.</w:t>
      </w:r>
    </w:p>
    <w:p w14:paraId="25E47E69" w14:textId="77777777" w:rsidR="009D7677" w:rsidRDefault="009D7677" w:rsidP="009D7677">
      <w:pPr>
        <w:pStyle w:val="TextoNormal"/>
      </w:pPr>
    </w:p>
    <w:p w14:paraId="7DC2EE74" w14:textId="77777777" w:rsidR="009D7677" w:rsidRDefault="009D7677" w:rsidP="009D7677">
      <w:pPr>
        <w:pStyle w:val="TextoNormal"/>
      </w:pPr>
      <w:r w:rsidRPr="009D7677">
        <w:rPr>
          <w:rStyle w:val="NumeroAFNegritaCaracter"/>
        </w:rPr>
        <w:t>4</w:t>
      </w:r>
      <w:r>
        <w:t>. Por providencia de 25 de enero de 2021, la Sala Primera de este tribunal acordó admitir a trámite la demanda de amparo, al apreciar que presenta especial trascendencia constitucional [art. 50.1 de la Ley Orgánica del Tribunal Constitucional (LOTC)], por plantear un problema o afectar a una faceta de un derecho fundamental sobre el que no hay doctrina de este tribunal [STC 155/2009, de 25 de junio, FJ 2 a)]. En aplicación de lo dispuesto en el art. 51 LOTC, también acordó requerir de los órganos judiciales la remisión, en plazo que no excediera de diez días, de testimonio de las actuaciones, así como el emplazamiento de quienes hubieran sido parte en el procedimiento, a excepción del recurrente, para que pudiesen comparecer en el presente proceso de amparo.</w:t>
      </w:r>
    </w:p>
    <w:p w14:paraId="317DF933" w14:textId="77777777" w:rsidR="009D7677" w:rsidRDefault="009D7677" w:rsidP="009D7677">
      <w:pPr>
        <w:pStyle w:val="TextoNormal"/>
      </w:pPr>
    </w:p>
    <w:p w14:paraId="23BB5FC4" w14:textId="1E7FE006" w:rsidR="009D7677" w:rsidRDefault="009D7677" w:rsidP="009D7677">
      <w:pPr>
        <w:pStyle w:val="TextoNormal"/>
      </w:pPr>
      <w:r>
        <w:t>Por providencia de la misma fecha se acordó la formación de pieza separada para resolver la petición de suspensión del nuevo juicio oral, señalado para los días 22 y 23 de marzo de 2021. Por ATC 27/2021, de 15 de marzo, este tribunal accedió a la suspensión del referido juicio oral.</w:t>
      </w:r>
    </w:p>
    <w:p w14:paraId="7028C177" w14:textId="77777777" w:rsidR="009D7677" w:rsidRDefault="009D7677" w:rsidP="009D7677">
      <w:pPr>
        <w:pStyle w:val="TextoNormal"/>
      </w:pPr>
    </w:p>
    <w:p w14:paraId="2D82889F" w14:textId="7B57231F" w:rsidR="009D7677" w:rsidRDefault="009D7677" w:rsidP="009D7677">
      <w:pPr>
        <w:pStyle w:val="TextoNormal"/>
      </w:pPr>
      <w:r w:rsidRPr="009D7677">
        <w:rPr>
          <w:rStyle w:val="NumeroAFNegritaCaracter"/>
        </w:rPr>
        <w:t>5</w:t>
      </w:r>
      <w:r>
        <w:t>. Por diligencia de ordenación de 3 de junio de 2021, la secretaria de la Sala Primera de este tribunal acordó dar vista de todas las actuaciones, por un plazo común de veinte días, al Ministerio Fiscal y a la parte recurrente, para que, dentro de dicho término, puedan presentar las alegaciones que a su derecho convenga (art. 52 LOTC).</w:t>
      </w:r>
    </w:p>
    <w:p w14:paraId="58C86D15" w14:textId="77777777" w:rsidR="009D7677" w:rsidRDefault="009D7677" w:rsidP="009D7677">
      <w:pPr>
        <w:pStyle w:val="TextoNormal"/>
      </w:pPr>
    </w:p>
    <w:p w14:paraId="51821B0C" w14:textId="07548875" w:rsidR="009D7677" w:rsidRDefault="009D7677" w:rsidP="009D7677">
      <w:pPr>
        <w:pStyle w:val="TextoNormal"/>
      </w:pPr>
      <w:r w:rsidRPr="009D7677">
        <w:rPr>
          <w:rStyle w:val="NumeroAFNegritaCaracter"/>
        </w:rPr>
        <w:t>6</w:t>
      </w:r>
      <w:r>
        <w:t>. Mediante escrito registrado el 5 de julio de 2021, el demandante de amparo ratificó las alegaciones contenidas en la demanda, que reprodujo en similares términos.</w:t>
      </w:r>
    </w:p>
    <w:p w14:paraId="166886D2" w14:textId="77777777" w:rsidR="009D7677" w:rsidRDefault="009D7677" w:rsidP="009D7677">
      <w:pPr>
        <w:pStyle w:val="TextoNormal"/>
      </w:pPr>
    </w:p>
    <w:p w14:paraId="234520FB" w14:textId="77777777" w:rsidR="009D7677" w:rsidRDefault="009D7677" w:rsidP="009D7677">
      <w:pPr>
        <w:pStyle w:val="TextoNormal"/>
      </w:pPr>
      <w:r w:rsidRPr="009D7677">
        <w:rPr>
          <w:rStyle w:val="NumeroAFNegritaCaracter"/>
        </w:rPr>
        <w:t>7</w:t>
      </w:r>
      <w:r>
        <w:t>. El Ministerio Fiscal, en escrito registrado el 9 de julio de 2021 interesó que se otorgara el amparo, por entender vulnerado el derecho del demandante a la tutela judicial efectiva, vinculado al deber de motivación de las resoluciones judiciales (art. 24.1 CE), puesto en conexión con los derechos a un proceso con todas las garantías y a la presunción de inocencia (art. 24.2 CE).</w:t>
      </w:r>
    </w:p>
    <w:p w14:paraId="0E97F08B" w14:textId="77777777" w:rsidR="009D7677" w:rsidRDefault="009D7677" w:rsidP="009D7677">
      <w:pPr>
        <w:pStyle w:val="TextoNormal"/>
      </w:pPr>
    </w:p>
    <w:p w14:paraId="44BB880C" w14:textId="77777777" w:rsidR="009D7677" w:rsidRDefault="009D7677" w:rsidP="009D7677">
      <w:pPr>
        <w:pStyle w:val="TextoNormal"/>
      </w:pPr>
      <w:r>
        <w:t>En primer lugar, señala que la convicción absolutoria de la juez de lo penal es fruto, principalmente, de la confrontación de las distintas periciales obrantes en autos con las aclaraciones que, en relación con las mismas, aportaron en el acto del juicio oral cuantos peritos depusieron bajo su inmediación; y también estimó relevante que no se aportara ningún peritaje del CIEMAT. En segundo término, indica que la juzgadora consideró insuficientemente acreditado el elemento subjetivo del injusto, descartando que el comportamiento del acusado fuera doloso, siquiera a título eventual. En suma, para la juzgadora de instancia la prueba de cargo practicada era insuficiente para desvirtuar la presunción de inocencia.</w:t>
      </w:r>
    </w:p>
    <w:p w14:paraId="7D93F900" w14:textId="77777777" w:rsidR="009D7677" w:rsidRDefault="009D7677" w:rsidP="009D7677">
      <w:pPr>
        <w:pStyle w:val="TextoNormal"/>
      </w:pPr>
    </w:p>
    <w:p w14:paraId="23BBEC29" w14:textId="77777777" w:rsidR="009D7677" w:rsidRDefault="009D7677" w:rsidP="009D7677">
      <w:pPr>
        <w:pStyle w:val="TextoNormal"/>
      </w:pPr>
      <w:r>
        <w:t>Tras sintetizar lo argumentado y resuelto por el órgano de apelación, señala que son dos las cuestiones que se suscitan respecto de la petición de amparo: primero, si la sentencia de apelación encuentra cobertura en la redacción dada a los arts. 790.2.3 y 792.2 LECrim por la Ley 41/2015, de 5 de octubre; y segundo, si, en todo caso, el examen de la prueba realizado por la Audiencia Provincial —determinante de la estimación del recurso de apelación y la declaración de nulidad de la sentencia absolutoria—, a la que, como efecto, se anuda la orden de retroacción de actuaciones para la celebración de nuevo juicio ante dis</w:t>
      </w:r>
      <w:r>
        <w:lastRenderedPageBreak/>
        <w:t>tinto magistrado, con el añadido de que deberá valorar “todas las pruebas practicadas con los criterios expuestos” en la sentencia apelada— se acomodan tanto a la normativa aplicable como a la doctrina constitucional sobre la revisión de las sentencias absolutorias.</w:t>
      </w:r>
    </w:p>
    <w:p w14:paraId="1D476CA0" w14:textId="77777777" w:rsidR="009D7677" w:rsidRDefault="009D7677" w:rsidP="009D7677">
      <w:pPr>
        <w:pStyle w:val="TextoNormal"/>
      </w:pPr>
    </w:p>
    <w:p w14:paraId="421EB88A" w14:textId="77777777" w:rsidR="009D7677" w:rsidRDefault="009D7677" w:rsidP="009D7677">
      <w:pPr>
        <w:pStyle w:val="TextoNormal"/>
      </w:pPr>
      <w:r>
        <w:t>(i) Respecto de primer aspecto, expone que la Ley 41/2015 entró en vigor el 6 de diciembre de 2015, siendo pacífico el criterio del Tribunal Supremo que, al aplicar la disposición transitoria única de la indicada norma, entiende por “fecha de incoación del procedimiento” aquella en la que tiene lugar la apertura de las diligencias por el órgano judicial instructor, con independencia de las transformaciones que el procedimiento haya podido experimentar (ATS de 10 de mayo de 2018). Por tanto, no cabe hablar de retroactividad cuando la ley establece expresamente el alcance en el tiempo de la norma en cuestión, careciendo además de efecto retroactivo las leyes procesales (ATC 110/2018, FJ 5). En el presente caso, a resultas de la denuncia cursada por la Fiscalía de Castellón, el Juzgado de Instrucción núm. 3 de dicha ciudad incoó diligencias previas con fecha 11 de agosto de 2003, por lo que no resulta aplicable al caso la normativa incorporada por la referida reforma procesal.</w:t>
      </w:r>
    </w:p>
    <w:p w14:paraId="51CAD4D5" w14:textId="77777777" w:rsidR="009D7677" w:rsidRDefault="009D7677" w:rsidP="009D7677">
      <w:pPr>
        <w:pStyle w:val="TextoNormal"/>
      </w:pPr>
    </w:p>
    <w:p w14:paraId="74836FD3" w14:textId="77777777" w:rsidR="009D7677" w:rsidRDefault="009D7677" w:rsidP="009D7677">
      <w:pPr>
        <w:pStyle w:val="TextoNormal"/>
      </w:pPr>
      <w:r>
        <w:t>(ii) En segundo término, el fiscal sostiene que el ejercicio de acciones de nulidad por vía de recurso no resulta novedoso, pues también resultaba posible con la redacción procesal anterior. Dicho lo anterior, traslada al caso el canon constitucional sobre la anulación de sentencias absolutorias en materia penal, en las que se ordena una retroacción de actuaciones para la celebración de un nuevo juicio oral; y colige que esto solo puede acontecer cuando su sustanciación “haya adolecido de quiebras procesales esenciales causantes de indefensión en las partes acusadoras que hayan sido aducidas por estas en los pertinentes recursos” (STC 4/2004, de 14 de enero, FJ 3). A este respecto destaca “la notable diferencia que, desde la perspectiva de los derechos fundamentales en juego dentro del proceso penal, existe entre las partes según su posición de acusadoras o de acusadas” (STC 4/2004, FJ 4); de modo que no cabe retroacción de actuaciones para celebrar un nuevo juicio penal cuando se arroja sobre el reo la carga y gravamen de un nuevo enjuiciamiento que “no está destinado a corregir una vulneración en su contra de normas procesales con relevancia constitucional” (STC 4/2004, FJ 4). Ello no supone negar a las acusaciones la protección constitucional de las garantías reconocidas por el art. 24 CE, pues “ponderando, de una parte, la trascendencia constitucional de la sentencia penal absolutoria y el reforzado estatuto constitucional del acusado y, de otra, la necesidad de no excluir absolutamente de las garantías del art. 24 CE a la acusación particular, hemos concluido en la vulneración del derecho a la tutela judicial efectiva sin indefensión con el resultado de anular una resolución judicial penal materialmente absolutoria —el auto de archivo—, o una sentencia penal absolutoria, con orden de retroacción de actuaciones solo en caso de que se haya producido una quiebra de una regla esencial del proceso justo en perjuicio de la acusación, ya que el desarrollo de las actuaciones procesales sin las garantías consustanciales al proceso justo no permite hablar de proceso en sentido propio, ni puede permitir que la sentencia absolutoria adquiera el carácter de inatacable” (STC 4/2004, FJ 4).</w:t>
      </w:r>
    </w:p>
    <w:p w14:paraId="6B92579E" w14:textId="77777777" w:rsidR="009D7677" w:rsidRDefault="009D7677" w:rsidP="009D7677">
      <w:pPr>
        <w:pStyle w:val="TextoNormal"/>
      </w:pPr>
    </w:p>
    <w:p w14:paraId="44F0FB0C" w14:textId="77777777" w:rsidR="009D7677" w:rsidRDefault="009D7677" w:rsidP="009D7677">
      <w:pPr>
        <w:pStyle w:val="TextoNormal"/>
      </w:pPr>
      <w:r>
        <w:t xml:space="preserve">Añade que el recurso de apelación pivotó, en este caso, sobre el derecho a obtener una respuesta razonable con proscripción de toda arbitrariedad de los poderes públicos, al alegarse un error en la valoración de la prueba por la falta de atención a determinados medios probatorios que se entendían relevantes (en concreto, periciales y testificales, así como cierta documental), en función de lo cual se solicitaba la anulación de la sentencia y la </w:t>
      </w:r>
      <w:r>
        <w:lastRenderedPageBreak/>
        <w:t>repetición del juicio ante diferente juzgador. El recurso no se fundamentaba, pues, en quiebras procesales esenciales causantes de indefensión, sino en la inadecuada valoración de la prueba practicada. De ahí que, a juicio del fiscal, resulte que la pretensión revocatoria no contaba con la cobertura de los preceptos procesales reformados por la Ley 41/2015, pues sin la invocación de las garantías procesales que asisten a la acusación faltarían los presupuestos que posibilitan la eventual anulación de una sentencia absolutoria.</w:t>
      </w:r>
    </w:p>
    <w:p w14:paraId="6CF34729" w14:textId="77777777" w:rsidR="009D7677" w:rsidRDefault="009D7677" w:rsidP="009D7677">
      <w:pPr>
        <w:pStyle w:val="TextoNormal"/>
      </w:pPr>
    </w:p>
    <w:p w14:paraId="4148873D" w14:textId="77777777" w:rsidR="009D7677" w:rsidRDefault="009D7677" w:rsidP="009D7677">
      <w:pPr>
        <w:pStyle w:val="TextoNormal"/>
      </w:pPr>
      <w:r>
        <w:t>Sentado lo anterior resta por determinar si, desde la perspectiva constitucional, resultaba posible que la decisión revocatoria incluyera la referencia a que el nuevo juzgador dictara sentencia “en que se valoren todas las pruebas practicadas con los criterios expuestos”. Sobre ese particular, el fiscal lleva a cabo una sistematización del canon constitucional sobre la motivación de las sentencias absolutorias (STC 169/2004), sobre la asimetría entre las posiciones de acusación y defensa en cuanto a los derechos fundamentales en juego en el proceso penal (STC 141/2006, de 8 de mayo), sobre la presunción de inocencia (STC 141/2006) y sobre la interdicción de toda condena y/o agravación en segunda instancia de una sentencia absolutoria, que implique una nueva valoración o una reconsideración de la prueba personal que conduzca a establecer un juicio de culpabilidad sin disponer de la necesaria inmediación (SSTC 167/2002, de 18 de septiembre; 198/2002, de 28 de octubre; 4/2004, de 14 de enero; 360/2006, de 18 de diciembre, y 125/2017, de 13 de noviembre).</w:t>
      </w:r>
    </w:p>
    <w:p w14:paraId="3927DB88" w14:textId="77777777" w:rsidR="009D7677" w:rsidRDefault="009D7677" w:rsidP="009D7677">
      <w:pPr>
        <w:pStyle w:val="TextoNormal"/>
      </w:pPr>
    </w:p>
    <w:p w14:paraId="5BDAFD39" w14:textId="77777777" w:rsidR="009D7677" w:rsidRDefault="009D7677" w:rsidP="009D7677">
      <w:pPr>
        <w:pStyle w:val="TextoNormal"/>
      </w:pPr>
      <w:r>
        <w:t>Descendiendo al caso, subraya las reflexiones que en la sentencia de primer grado conducen a la conclusión absolutoria, que traen causa del examen de la prueba personal practicada a presencia de la juzgadora (en concreto, de las declaraciones del acusado y de los testigos-peritos), así como del análisis de las distintas periciales sobre el control de emisiones; entendiendo, además que, a falta de informe del CIEMAT, no queda acreditada una relación de causalidad entre las emisiones de la empresa gestionada por el acusado y los niveles de contaminación en la zona. También llama la atención sobre el hecho de que la sentencia de primer grado estime no acreditada la creación de un riesgo grave que resulte imputable al acusado, como ni que a este último le sea atribuible un comportamiento doloso, siquiera a título de dolo eventual.</w:t>
      </w:r>
    </w:p>
    <w:p w14:paraId="3155990B" w14:textId="77777777" w:rsidR="009D7677" w:rsidRDefault="009D7677" w:rsidP="009D7677">
      <w:pPr>
        <w:pStyle w:val="TextoNormal"/>
      </w:pPr>
    </w:p>
    <w:p w14:paraId="0D853ECB" w14:textId="77777777" w:rsidR="009D7677" w:rsidRDefault="009D7677" w:rsidP="009D7677">
      <w:pPr>
        <w:pStyle w:val="TextoNormal"/>
      </w:pPr>
      <w:r>
        <w:t>Por el contrario, la sentencia de apelación comienza por no aceptar la declaración de hechos probados y, a partir de la cronología que ella misma establece, analiza con detalle el informe del Instituto de Medicina Legal y otros informes periciales, al tiempo que resta importancia a otras periciales relevantes para la juzgadora de instancia. Lleva a cabo un detallado análisis de las pruebas personales sin disponer de inmediación y otorga clara prevalencia a un informe pericial (al elaborado por el Instituto de Medicina Legal de Valencia), en detrimento de otras dos periciales que cobraron relevancia en la sentencia apelada.</w:t>
      </w:r>
    </w:p>
    <w:p w14:paraId="1E24F43C" w14:textId="77777777" w:rsidR="009D7677" w:rsidRDefault="009D7677" w:rsidP="009D7677">
      <w:pPr>
        <w:pStyle w:val="TextoNormal"/>
      </w:pPr>
    </w:p>
    <w:p w14:paraId="11798529" w14:textId="77777777" w:rsidR="009D7677" w:rsidRDefault="009D7677" w:rsidP="009D7677">
      <w:pPr>
        <w:pStyle w:val="TextoNormal"/>
      </w:pPr>
      <w:r>
        <w:t>A la vista de lo expuesto, el fiscal niega que la sentencia absolutoria haya incurrido en insuficiencia y/o falta de racionalidad en la motivación probatoria de conjunto o en un apartamiento de las máximas de experiencia o contenga omisiones relevantes en materia de prueba, menos aún desde la perspectiva del control de motivación que cabe aplicar a las sentencias absolutorias. Sin embargo, la resolución revocatoria de la sentencia de instancia efectúa una revisión del juicio de inferencia que es más propio de las sentencias condenatorias, al excederse de los márgenes del control de razonabilidad de las sentencias absolu</w:t>
      </w:r>
      <w:r>
        <w:lastRenderedPageBreak/>
        <w:t>torias. Y al propio tiempo, verifica un análisis de la prueba personal que, sin llegar a ser contrario a las pautas de este tribunal sobre los principios de inmediación y contradicción (STC 167/2002 y posteriores), por no emitir finalmente un pronunciamiento de condena, sí adquiere relevancia en función del contenido del fallo, en el que consta la indicación al nuevo juzgador para que dicte nueva sentencia en la que “se valoren todas las pruebas practicadas con los criterios expuestos” en la sentencia de apelación, lo que estima contrario a la STC 112/2015, de 8 de junio.</w:t>
      </w:r>
    </w:p>
    <w:p w14:paraId="68E8844F" w14:textId="77777777" w:rsidR="009D7677" w:rsidRDefault="009D7677" w:rsidP="009D7677">
      <w:pPr>
        <w:pStyle w:val="TextoNormal"/>
      </w:pPr>
    </w:p>
    <w:p w14:paraId="46C7B82B" w14:textId="2CD87795" w:rsidR="009D7677" w:rsidRDefault="009D7677" w:rsidP="009D7677">
      <w:pPr>
        <w:pStyle w:val="TextoNormal"/>
      </w:pPr>
      <w:r>
        <w:t>Por todo lo expuesto, el fiscal estima lesionado el derecho a la tutela judicial efectiva del demandante, en relación con el derecho a un proceso con todas las garantías y a la presunción de inocencia (art. 24.1 y 2 CE), e interesa que, con estimación de la petición de amparo, se declare la nulidad de las tres resoluciones dictadas por la Sección Segunda de la Audiencia Provincial de Castellón (sentencia, auto y providencia).</w:t>
      </w:r>
    </w:p>
    <w:p w14:paraId="7DC86BA7" w14:textId="77777777" w:rsidR="009D7677" w:rsidRDefault="009D7677" w:rsidP="009D7677">
      <w:pPr>
        <w:pStyle w:val="TextoNormal"/>
      </w:pPr>
    </w:p>
    <w:p w14:paraId="2899EC14" w14:textId="5DB5514E" w:rsidR="009D7677" w:rsidRDefault="009D7677" w:rsidP="009D7677">
      <w:pPr>
        <w:pStyle w:val="TextoNormal"/>
      </w:pPr>
      <w:r w:rsidRPr="009D7677">
        <w:rPr>
          <w:rStyle w:val="NumeroAFNegritaCaracter"/>
        </w:rPr>
        <w:t>8</w:t>
      </w:r>
      <w:r>
        <w:t>. En cumplimiento de lo previsto en el acuerdo de 17 de enero de 2023 (publicado en el “Boletín Oficial del Estado” núm. 16, de 19 de enero de 2023) adoptado por el Pleno del Tribunal Constitucional tras su renovación, correspondió la ponencia del presente recurso al magistrado don Juan Carlos Campo Moreno, conforme al orden de antigüedad y mayor edad de los anteriores y de los nuevos integrantes del colegio de magistrados (art. 3.2) del citado acuerdo.</w:t>
      </w:r>
    </w:p>
    <w:p w14:paraId="77D11D70" w14:textId="77777777" w:rsidR="009D7677" w:rsidRDefault="009D7677" w:rsidP="009D7677">
      <w:pPr>
        <w:pStyle w:val="TextoNormal"/>
      </w:pPr>
    </w:p>
    <w:p w14:paraId="779D1CEB" w14:textId="0CDDEC02" w:rsidR="009D7677" w:rsidRDefault="009D7677" w:rsidP="009D7677">
      <w:pPr>
        <w:pStyle w:val="TextoNormal"/>
      </w:pPr>
      <w:r w:rsidRPr="009D7677">
        <w:rPr>
          <w:rStyle w:val="NumeroAFNegritaCaracter"/>
        </w:rPr>
        <w:t>9</w:t>
      </w:r>
      <w:r>
        <w:t>. Por providencia de 22 de febrero de 2024, la Sala Primera señaló para deliberación y votación de la presente sentencia el día 26 de febrero del mismo año. Tras su deliberación, la Sala acordó la avocación al Pleno del conocimiento del presente recurso; y por providencia de fecha 12 de marzo de 2024, se señaló para deliberación y votación de la presente sentencia ante el Pleno el día 12 de marzo de 2024. Por providencia de fecha 7 de mayo de 2024 se señaló ese mismo día para nueva deliberación y votación.</w:t>
      </w:r>
    </w:p>
    <w:p w14:paraId="63DA5674" w14:textId="77777777" w:rsidR="009D7677" w:rsidRDefault="009D7677" w:rsidP="009D7677">
      <w:pPr>
        <w:pStyle w:val="TextoNormal"/>
      </w:pPr>
    </w:p>
    <w:p w14:paraId="113BF80D" w14:textId="77777777" w:rsidR="009D7677" w:rsidRDefault="009D7677" w:rsidP="009D7677">
      <w:pPr>
        <w:pStyle w:val="TextoNormalNegritaCentrado"/>
        <w:keepNext/>
      </w:pPr>
      <w:r>
        <w:t>II. Fundamentos jurídicos</w:t>
      </w:r>
    </w:p>
    <w:p w14:paraId="39506501" w14:textId="5C3FA8CF" w:rsidR="009D7677" w:rsidRDefault="009D7677" w:rsidP="009D7677">
      <w:pPr>
        <w:pStyle w:val="TextoNormalNegritaCentrado"/>
        <w:keepNext/>
      </w:pPr>
    </w:p>
    <w:p w14:paraId="1843852E" w14:textId="77777777" w:rsidR="009D7677" w:rsidRDefault="009D7677" w:rsidP="009D7677">
      <w:pPr>
        <w:pStyle w:val="TextoNormal"/>
      </w:pPr>
      <w:r w:rsidRPr="009D7677">
        <w:rPr>
          <w:rStyle w:val="NumeroAFNegritaCaracter"/>
        </w:rPr>
        <w:t>1</w:t>
      </w:r>
      <w:r>
        <w:t xml:space="preserve">. </w:t>
      </w:r>
      <w:r w:rsidRPr="009D7677">
        <w:rPr>
          <w:i/>
        </w:rPr>
        <w:t>Objeto del recurso y pretensiones de las partes</w:t>
      </w:r>
    </w:p>
    <w:p w14:paraId="7C94957C" w14:textId="77777777" w:rsidR="009D7677" w:rsidRDefault="009D7677" w:rsidP="009D7677">
      <w:pPr>
        <w:pStyle w:val="TextoNormal"/>
      </w:pPr>
    </w:p>
    <w:p w14:paraId="1B694D02" w14:textId="77777777" w:rsidR="009D7677" w:rsidRDefault="009D7677" w:rsidP="009D7677">
      <w:pPr>
        <w:pStyle w:val="TextoNormal"/>
      </w:pPr>
      <w:r>
        <w:t>Se impugna en este recurso de amparo la sentencia núm. 447/2019, de 20 de diciembre, pronunciada por la Sección Segunda de la Audiencia Provincial de Castellón en el rollo de apelación núm. 821-2018. Dicha resolución revocó la sentencia absolutoria del Juzgado de lo Penal núm. 2 de Castellón, dictada en el juicio oral núm. 347-2013, y ordenó la devolución de la causa al órgano de procedencia para la repetición del juicio oral ante un nuevo juzgador. La impugnación se extiende al auto de 24 de enero de 2020, por el que la misma sección de la Audiencia Provincial desestimó parcialmente la petición de aclaración de la sentencia recaída en apelación; y a la providencia de 28 de abril de 2020, que inadmitió el incidente de nulidad de actuaciones promovido frente a la referida sentencia.</w:t>
      </w:r>
    </w:p>
    <w:p w14:paraId="16DAA8F5" w14:textId="77777777" w:rsidR="009D7677" w:rsidRDefault="009D7677" w:rsidP="009D7677">
      <w:pPr>
        <w:pStyle w:val="TextoNormal"/>
      </w:pPr>
    </w:p>
    <w:p w14:paraId="1DD6D805" w14:textId="77777777" w:rsidR="009D7677" w:rsidRDefault="009D7677" w:rsidP="009D7677">
      <w:pPr>
        <w:pStyle w:val="TextoNormal"/>
      </w:pPr>
      <w:r>
        <w:t>El demandante de amparo considera vulnerados sus derechos a la tutela judicial efectiva, a un proceso con todas las garantías, al juez imparcial predeterminado por la ley y a la presunción de inocencia (art. 24.1 y 2 CE). Tres son los motivos de amparo planteados en la demanda:</w:t>
      </w:r>
    </w:p>
    <w:p w14:paraId="21204ED3" w14:textId="77777777" w:rsidR="009D7677" w:rsidRDefault="009D7677" w:rsidP="009D7677">
      <w:pPr>
        <w:pStyle w:val="TextoNormal"/>
      </w:pPr>
    </w:p>
    <w:p w14:paraId="6826E8F6" w14:textId="77777777" w:rsidR="009D7677" w:rsidRDefault="009D7677" w:rsidP="009D7677">
      <w:pPr>
        <w:pStyle w:val="TextoNormal"/>
      </w:pPr>
      <w:r>
        <w:lastRenderedPageBreak/>
        <w:t>a) Afirma, en primer término, que para la resolución del recurso de apelación debieron ser aplicadas las previsiones sobre su alcance y límites establecidas en los arts. 790 y 792 LECrim, en la redacción previa a la establecida por la Ley 41/2015, de 5 de octubre, pues la causa penal en que fue acusado se incoó antes de entrar en vigor esta última. Por tanto, entiende que la Sección Segunda de la Audiencia Provincial de Castellón se excedió en las facultades revisoras que tenía legalmente atribuidas, pues no debió tomar en consideración ni aplicar las posibilidades de retroacción que otorga la actual redacción de estos preceptos.</w:t>
      </w:r>
    </w:p>
    <w:p w14:paraId="795B354C" w14:textId="77777777" w:rsidR="009D7677" w:rsidRDefault="009D7677" w:rsidP="009D7677">
      <w:pPr>
        <w:pStyle w:val="TextoNormal"/>
      </w:pPr>
    </w:p>
    <w:p w14:paraId="1CB8D3C9" w14:textId="77777777" w:rsidR="009D7677" w:rsidRDefault="009D7677" w:rsidP="009D7677">
      <w:pPr>
        <w:pStyle w:val="TextoNormal"/>
      </w:pPr>
      <w:r>
        <w:t>b) En un segundo motivo denuncia que el órgano de apelación rechazó indebidamente la conclusión probatoria en la que la magistrada de instancia sustentó su decisión absolutoria, reemplazándola por la suya propia mediante una apreciación completa de las distintas pruebas practicadas, en particular, de pruebas personales cuya valoración requiere inmediación y contradicción, lo que contravendría la doctrina constitucional (STC 167/2002 y posteriores).</w:t>
      </w:r>
    </w:p>
    <w:p w14:paraId="45EC4A36" w14:textId="77777777" w:rsidR="009D7677" w:rsidRDefault="009D7677" w:rsidP="009D7677">
      <w:pPr>
        <w:pStyle w:val="TextoNormal"/>
      </w:pPr>
    </w:p>
    <w:p w14:paraId="6CBCFA4D" w14:textId="77777777" w:rsidR="009D7677" w:rsidRDefault="009D7677" w:rsidP="009D7677">
      <w:pPr>
        <w:pStyle w:val="TextoNormal"/>
      </w:pPr>
      <w:r>
        <w:t>c) Por último, censura que el fallo de la sentencia dictada en apelación acordara de forma inmotivada la repetición del juicio oral ante un nuevo juzgador, indicándole además que, tras su celebración, debía dictar nueva sentencia tras valorar todas las pruebas practicadas con los criterios expuestos en la resolución revocatoria. Entiende el demandante que dicha indicación, que aparece en el fallo de apelación, compromete la imparcialidad del nuevo juzgador al que se retrotrae el enjuiciamiento de la causa.</w:t>
      </w:r>
    </w:p>
    <w:p w14:paraId="01ED81CA" w14:textId="77777777" w:rsidR="009D7677" w:rsidRDefault="009D7677" w:rsidP="009D7677">
      <w:pPr>
        <w:pStyle w:val="TextoNormal"/>
      </w:pPr>
    </w:p>
    <w:p w14:paraId="030FECB4" w14:textId="28111FB9" w:rsidR="009D7677" w:rsidRDefault="009D7677" w:rsidP="009D7677">
      <w:pPr>
        <w:pStyle w:val="TextoNormal"/>
      </w:pPr>
      <w:r>
        <w:t>El fiscal considera procedente otorgar parcialmente el amparo solicitado y declarar la nulidad de la sentencia de apelación recurrida, en cuanto ha vulnerado el derecho del demandante a la tutela judicial efectiva en relación con los derechos a un proceso con todas las garantías y a la presunción de inocencia. Según afirma: (i) el órgano judicial de apelación aplicó una facultad de anulación de la sentencia absolutoria de instancia que no le reconocía el ordenamiento procesal que estaba vigente en el momento de incoarse el proceso penal; (ii) efectuó una revisión de la sentencia de instancia con pautas que exceden de los cánones propios del derecho a la tutela judicial efectiva que asiste al acusador, dado que cuestionó la falta de convicción suficiente sobre la culpabilidad del acusado y la declarada (in)suficiencia incriminatoria de la prueba de cargo practicada; y (iii) sin inmediación, publicidad y contradicción, realizó una indebida valoración de pruebas personales practicadas en la instancia, indicando en el fallo —además— que el nuevo juzgador, al que se devuelven las actuaciones, debe dictar sentencia valorando la prueba conforme a los criterios indicados en la sentencia de apelación.</w:t>
      </w:r>
    </w:p>
    <w:p w14:paraId="360FB446" w14:textId="77777777" w:rsidR="009D7677" w:rsidRDefault="009D7677" w:rsidP="009D7677">
      <w:pPr>
        <w:pStyle w:val="TextoNormal"/>
      </w:pPr>
    </w:p>
    <w:p w14:paraId="7E260970" w14:textId="77777777" w:rsidR="009D7677" w:rsidRDefault="009D7677" w:rsidP="009D7677">
      <w:pPr>
        <w:pStyle w:val="TextoNormal"/>
      </w:pPr>
      <w:r w:rsidRPr="009D7677">
        <w:rPr>
          <w:rStyle w:val="NumeroAFNegritaCaracter"/>
        </w:rPr>
        <w:t>2</w:t>
      </w:r>
      <w:r>
        <w:t xml:space="preserve">. </w:t>
      </w:r>
      <w:r w:rsidRPr="009D7677">
        <w:rPr>
          <w:i/>
        </w:rPr>
        <w:t>Especial trascendencia constitucional de las pretensiones de amparo: orden de análisis</w:t>
      </w:r>
    </w:p>
    <w:p w14:paraId="36B746A6" w14:textId="77777777" w:rsidR="009D7677" w:rsidRDefault="009D7677" w:rsidP="009D7677">
      <w:pPr>
        <w:pStyle w:val="TextoNormal"/>
      </w:pPr>
    </w:p>
    <w:p w14:paraId="0FE3436B" w14:textId="77777777" w:rsidR="009D7677" w:rsidRDefault="009D7677" w:rsidP="009D7677">
      <w:pPr>
        <w:pStyle w:val="TextoNormal"/>
      </w:pPr>
      <w:r>
        <w:t>La decisión de admisión a trámite del recurso de amparo vino fundamentada en apreciar que afecta a una faceta de un derecho fundamental susceptible de amparo sobre el que no hay doctrina del Tribunal Constitucional [STC 155/2009, de 25 de junio, FJ 2 a)]. La anterior exposición sintética de las pretensiones de amparo, más extensamente desarrollada en los antecedentes de esta resolución, pone de relieve que en esta sede, y previamente ante la jurisdicción ordinaria, se plantea un debate no abordado en nuestra doctrina en torno al alcance de la facultad de impugnación de las sentencias penales absolutorias ba</w:t>
      </w:r>
      <w:r>
        <w:lastRenderedPageBreak/>
        <w:t>sadas en la existencia de duda razonable y también, en su caso, sobre la posibilidad de revocarlas, en atención a las posibilidades de impugnación que, en favor de los acusadores, se especifican en la nueva redacción de los artículos 790 y 792 de la Ley de enjuiciamiento criminal dada por la Ley 41/2015, de 5 de octubre, cuando la eventual impugnación, o la revocación, vienen fundamentadas en la discrepancia sobre el juicio fáctico que expresan.</w:t>
      </w:r>
    </w:p>
    <w:p w14:paraId="76EBD3EA" w14:textId="77777777" w:rsidR="009D7677" w:rsidRDefault="009D7677" w:rsidP="009D7677">
      <w:pPr>
        <w:pStyle w:val="TextoNormal"/>
      </w:pPr>
    </w:p>
    <w:p w14:paraId="1E700646" w14:textId="77777777" w:rsidR="009D7677" w:rsidRDefault="009D7677" w:rsidP="009D7677">
      <w:pPr>
        <w:pStyle w:val="TextoNormal"/>
      </w:pPr>
      <w:r>
        <w:t>La pretensión de amparo del recurrente, acusado y absuelto en primera instancia, se dirige contra el fundamento de la decisión revocatoria adoptada en apelación, que conlleva la anulación de la absolución, pero también cuestiona por un triple motivo los efectos que se anudan a dicha decisión de nulidad: debido a que (i) sin cobertura legal suficiente, obliga a repetir el juicio oral; (ii) ordena, sin motivación alguna, sustituir al juzgador de instancia por otro que habrá de presidir el nuevo juicio y dictar nueva sentencia; y, por último (iii) acuerda que el nuevo juzgador deberá valorar la prueba que se practique con los criterios expuestos en la sentencia de apelación.</w:t>
      </w:r>
    </w:p>
    <w:p w14:paraId="79552DFC" w14:textId="77777777" w:rsidR="009D7677" w:rsidRDefault="009D7677" w:rsidP="009D7677">
      <w:pPr>
        <w:pStyle w:val="TextoNormal"/>
      </w:pPr>
    </w:p>
    <w:p w14:paraId="3C054228" w14:textId="35EBDDD4" w:rsidR="009D7677" w:rsidRDefault="009D7677" w:rsidP="009D7677">
      <w:pPr>
        <w:pStyle w:val="TextoNormal"/>
      </w:pPr>
      <w:r>
        <w:t>A la vista de este planteamiento resulta necesario modificar el orden de análisis de las quejas, que no será el que sigue el recurrente en su demanda. Por razones de coherencia expositiva analizaremos en primer lugar las quejas relacionadas con los límites constitucionales de la posibilidad legal de revocar en apelación las sentencias penales absolutorias que vienen apoyadas en la apreciación de duda razonable sobre los hechos imputados, para analizar después, en su caso, la relevancia constitucional de los efectos que la sentencia de apelación impugnada ha anudado inmotivadamente a dicha nulidad.</w:t>
      </w:r>
    </w:p>
    <w:p w14:paraId="72732DC8" w14:textId="77777777" w:rsidR="009D7677" w:rsidRDefault="009D7677" w:rsidP="009D7677">
      <w:pPr>
        <w:pStyle w:val="TextoNormal"/>
      </w:pPr>
    </w:p>
    <w:p w14:paraId="03951379" w14:textId="77777777" w:rsidR="009D7677" w:rsidRDefault="009D7677" w:rsidP="009D7677">
      <w:pPr>
        <w:pStyle w:val="TextoNormal"/>
      </w:pPr>
      <w:r w:rsidRPr="009D7677">
        <w:rPr>
          <w:rStyle w:val="NumeroAFNegritaCaracter"/>
        </w:rPr>
        <w:t>3</w:t>
      </w:r>
      <w:r>
        <w:t xml:space="preserve">. </w:t>
      </w:r>
      <w:r w:rsidRPr="009D7677">
        <w:rPr>
          <w:i/>
        </w:rPr>
        <w:t>Consideración preliminar sobre el fundamento normativo de la posibilidad de revisar el juicio fáctico de las sentencias absolutorias</w:t>
      </w:r>
    </w:p>
    <w:p w14:paraId="169CCD81" w14:textId="77777777" w:rsidR="009D7677" w:rsidRDefault="009D7677" w:rsidP="009D7677">
      <w:pPr>
        <w:pStyle w:val="TextoNormal"/>
      </w:pPr>
    </w:p>
    <w:p w14:paraId="628F1C15" w14:textId="77777777" w:rsidR="009D7677" w:rsidRDefault="009D7677" w:rsidP="009D7677">
      <w:pPr>
        <w:pStyle w:val="TextoNormal"/>
      </w:pPr>
      <w:r>
        <w:t>Como hemos indicado, el recurrente cuestiona tanto la legalidad y el fundamento de la decisión revocatoria de apelación como los efectos que se anudan a la nulidad declarada.</w:t>
      </w:r>
    </w:p>
    <w:p w14:paraId="4299F52C" w14:textId="77777777" w:rsidR="009D7677" w:rsidRDefault="009D7677" w:rsidP="009D7677">
      <w:pPr>
        <w:pStyle w:val="TextoNormal"/>
      </w:pPr>
    </w:p>
    <w:p w14:paraId="79E076DB" w14:textId="77777777" w:rsidR="009D7677" w:rsidRDefault="009D7677" w:rsidP="009D7677">
      <w:pPr>
        <w:pStyle w:val="TextoNormal"/>
      </w:pPr>
      <w:r>
        <w:t>De los distintos argumentos utilizados para cuestionar la decisión de nulidad adoptada, hay algunos que no rebasan el plano del disenso en la interpretación de la legalidad ordinaria. En esa medida, por carecer de dimensión constitucional, dichas quejas, ya inicialmente, deben ser desestimadas.</w:t>
      </w:r>
    </w:p>
    <w:p w14:paraId="393588C4" w14:textId="77777777" w:rsidR="009D7677" w:rsidRDefault="009D7677" w:rsidP="009D7677">
      <w:pPr>
        <w:pStyle w:val="TextoNormal"/>
      </w:pPr>
    </w:p>
    <w:p w14:paraId="62540117" w14:textId="77777777" w:rsidR="009D7677" w:rsidRDefault="009D7677" w:rsidP="009D7677">
      <w:pPr>
        <w:pStyle w:val="TextoNormal"/>
      </w:pPr>
      <w:r>
        <w:t>Nos referimos al primer motivo de la demanda de amparo, en el que, por referencia a la aplicabilidad al caso de la Ley 41/2015, de 5 de octubre, de reforma de la Ley de enjuiciamiento criminal, se alega que la sentencia de apelación debe ser calificada como arbitraria o manifiestamente irrazonable (parámetros de control del derecho a la tutela judicial efectiva, en cuanto garantiza obtener una respuesta fundada en Derecho). Según se afirma, la revocación en apelación —con nulidad y retroacción de actuaciones a la instancia— vino justificada en este caso en la potestad de revisión del juicio fáctico de la sentencia absolutoria que expresamente introdujo la citada Ley 41/2015, al modificar la redacción de los arts. 790 y 792 LECrim. El recurrente considera que dicha regulación no es temporalmente aplicable al caso por haber sido incoada la causa penal antes de su entrada en vigor, lo que permite deducir que es una decisión arbitraria por venir fundamentada en una ley no aplicable.</w:t>
      </w:r>
    </w:p>
    <w:p w14:paraId="560A7187" w14:textId="77777777" w:rsidR="009D7677" w:rsidRDefault="009D7677" w:rsidP="009D7677">
      <w:pPr>
        <w:pStyle w:val="TextoNormal"/>
      </w:pPr>
    </w:p>
    <w:p w14:paraId="512DE4AA" w14:textId="77777777" w:rsidR="009D7677" w:rsidRDefault="009D7677" w:rsidP="009D7677">
      <w:pPr>
        <w:pStyle w:val="TextoNormal"/>
      </w:pPr>
      <w:r>
        <w:lastRenderedPageBreak/>
        <w:t>Así expuesto, no es posible compartir el presupuesto fáctico de la queja. Su análisis permite constatar que, en este aspecto, la sentencia de apelación incurre en contradicciones manifiestas, pues considera inicialmente aplicable a la resolución del recurso las previsiones de la Ley 41/2015, pero al aclarar la indicación de recursos, no considera aplicable la ley y excluye la posibilidad de casación. No obstante dicha contradicción, lo cierto es que la audiencia provincial no fundamenta exclusivamente su capacidad de revocación en las previsiones normativas de la citada ley, sino que expresamente argumenta que, con anterioridad a su vigencia, ya era posible acordar la nulidad con retroacción de las sentencias absolutorias en un supuesto como el que se le planteaba, esto es, cuando los acusadores (públicos o privados) fundamentan su impugnación en la vulneración de su derecho a la tutela judicial efectiva (art. 24.1 CE), afirmando la manifiesta irrazonabilidad de la valoración de la prueba expresada en su motivación por la juzgadora de instancia.</w:t>
      </w:r>
    </w:p>
    <w:p w14:paraId="635083A8" w14:textId="77777777" w:rsidR="009D7677" w:rsidRDefault="009D7677" w:rsidP="009D7677">
      <w:pPr>
        <w:pStyle w:val="TextoNormal"/>
      </w:pPr>
    </w:p>
    <w:p w14:paraId="701F8ED4" w14:textId="77777777" w:rsidR="009D7677" w:rsidRDefault="009D7677" w:rsidP="009D7677">
      <w:pPr>
        <w:pStyle w:val="TextoNormal"/>
      </w:pPr>
      <w:r>
        <w:t>Este razonamiento expreso es concorde con la reiterada doctrina constitucional que ha reconocido que, entre las exigencias constitucionales que derivan del ejercicio de la acción penal por los acusadores, se encuentra la de recibir una respuesta motivada y fundada en Derecho sobre la pretensión de condena (SSTC 31/1996, de 27 de febrero; 61/1997, de 20 de marzo; 116/1997, de 23 de junio; 215/1999, de 29 de noviembre; 169/2004, de 6 de octubre; 12/2006, de 16 de enero, o 112/2015, de 8 de junio, todas ellas anteriores a la entrada en vigor de la Ley 41/2015). Esta doctrina constitucional ha sido reiterada en las SSTC 26/2018, de 5 de marzo, y 1/2019, de 14 de enero, posteriores a la entrada en vigor de la citada ley. En tal medida, no cabe cuestionar en esta sede la posibilidad abstracta de revisión en apelación del juicio fáctico de la sentencia absolutoria de instancia por relación a la aplicabilidad o no al caso de las previsiones establecidas en la Ley 41/2015, pues resulta razonado, y concorde con la doctrina constitucional que seguidamente expondremos, admitir la posibilidad de impugnación y eventual revisión en apelación del juicio fáctico de las sentencias penales absolutorias con los efectos reparatorios que le sean inherentes, por ser esta una consecuencia que deriva del derecho a la tutela judicial efectiva de la parte acusadora, y no de la ley citada, que es solo una determinación normativa de aquel derecho.</w:t>
      </w:r>
    </w:p>
    <w:p w14:paraId="65758DA0" w14:textId="77777777" w:rsidR="009D7677" w:rsidRDefault="009D7677" w:rsidP="009D7677">
      <w:pPr>
        <w:pStyle w:val="TextoNormal"/>
      </w:pPr>
    </w:p>
    <w:p w14:paraId="636C1F64" w14:textId="77777777" w:rsidR="009D7677" w:rsidRDefault="009D7677" w:rsidP="009D7677">
      <w:pPr>
        <w:pStyle w:val="TextoNormal"/>
      </w:pPr>
      <w:r>
        <w:t>En definitiva, con independencia de que fuera o no aplicable al caso lo dispuesto en la redacción actual de los arts. 790.2 y 792.2 LECrim, cabe concluir que el tribunal de apelación estaba habilitado legalmente para revisar el fundamento fáctico de la decisión absolutoria pues, habiendo alegado el Ministerio Fiscal la existencia de error en la valoración de la prueba como motivo de apelación, revocó la sentencia apelada tras considerar indebida una valoración de la prueba que reputó insuficientemente motivada e ilógica, lo que equivale a afirmar que la juzgadora de instancia no había dado una respuesta fundada en Derecho a la pretensión acusatoria.</w:t>
      </w:r>
    </w:p>
    <w:p w14:paraId="1C2B1C3B" w14:textId="77777777" w:rsidR="009D7677" w:rsidRDefault="009D7677" w:rsidP="009D7677">
      <w:pPr>
        <w:pStyle w:val="TextoNormal"/>
      </w:pPr>
    </w:p>
    <w:p w14:paraId="5366697A" w14:textId="7DE94D70" w:rsidR="009D7677" w:rsidRDefault="009D7677" w:rsidP="009D7677">
      <w:pPr>
        <w:pStyle w:val="TextoNormal"/>
      </w:pPr>
      <w:r>
        <w:t xml:space="preserve">Cuestión distinta, que será analizada a continuación, es si la estimación del recurso del Ministerio Fiscal por parte del tribunal </w:t>
      </w:r>
      <w:r w:rsidRPr="009D7677">
        <w:rPr>
          <w:i/>
        </w:rPr>
        <w:t>ad quem</w:t>
      </w:r>
      <w:r>
        <w:t xml:space="preserve"> ha respetado los límites legales y constitucionales existentes, que, en este último caso, como es obvio, se proyectan sobre la situación normativa previa y posterior a la reforma de 2015.</w:t>
      </w:r>
    </w:p>
    <w:p w14:paraId="6C108C82" w14:textId="77777777" w:rsidR="009D7677" w:rsidRDefault="009D7677" w:rsidP="009D7677">
      <w:pPr>
        <w:pStyle w:val="TextoNormal"/>
      </w:pPr>
    </w:p>
    <w:p w14:paraId="00A133EF" w14:textId="77777777" w:rsidR="009D7677" w:rsidRDefault="009D7677" w:rsidP="009D7677">
      <w:pPr>
        <w:pStyle w:val="TextoNormal"/>
      </w:pPr>
      <w:r w:rsidRPr="009D7677">
        <w:rPr>
          <w:rStyle w:val="NumeroAFNegritaCaracter"/>
        </w:rPr>
        <w:t>4</w:t>
      </w:r>
      <w:r>
        <w:t xml:space="preserve">. </w:t>
      </w:r>
      <w:r w:rsidRPr="009D7677">
        <w:rPr>
          <w:i/>
        </w:rPr>
        <w:t>La asimétrica posición de las partes en el proceso penal: límites y consecuencias en el juicio de apelación</w:t>
      </w:r>
    </w:p>
    <w:p w14:paraId="3D183FB1" w14:textId="77777777" w:rsidR="009D7677" w:rsidRDefault="009D7677" w:rsidP="009D7677">
      <w:pPr>
        <w:pStyle w:val="TextoNormal"/>
      </w:pPr>
    </w:p>
    <w:p w14:paraId="1CFAB4F7" w14:textId="77777777" w:rsidR="009D7677" w:rsidRDefault="009D7677" w:rsidP="009D7677">
      <w:pPr>
        <w:pStyle w:val="TextoNormal"/>
      </w:pPr>
      <w:r>
        <w:lastRenderedPageBreak/>
        <w:t>En atención a lo expuesto, es motivo nuclear del recurso de amparo el cuestionamiento del alcance y límites de la revisión en apelación del juicio sobre los hechos que justificó en la instancia la sentencia que, apreciando duda razonable, absolvió al recurrente de la acusación por un delito contra los recursos naturales y el medio ambiente. Tanto el demandante como el Ministerio Fiscal aprecian que la sentencia de apelación rebasó sus facultades de control externo del juicio fáctico de instancia al fundamentar la estimación del recurso en una conclusión probatoria alternativa.</w:t>
      </w:r>
    </w:p>
    <w:p w14:paraId="02628269" w14:textId="77777777" w:rsidR="009D7677" w:rsidRDefault="009D7677" w:rsidP="009D7677">
      <w:pPr>
        <w:pStyle w:val="TextoNormal"/>
      </w:pPr>
    </w:p>
    <w:p w14:paraId="316EE340" w14:textId="77777777" w:rsidR="009D7677" w:rsidRDefault="009D7677" w:rsidP="009D7677">
      <w:pPr>
        <w:pStyle w:val="TextoNormal"/>
      </w:pPr>
      <w:r>
        <w:t>Expuesto el planteamiento de las partes, para facilitar su análisis de fondo es conveniente efectuar unas precisiones de partida dirigidas a definir los límites del objeto de este concreto proceso de amparo, así como a perfilar los criterios que debemos utilizar para la solución del caso.</w:t>
      </w:r>
    </w:p>
    <w:p w14:paraId="5159CF64" w14:textId="77777777" w:rsidR="009D7677" w:rsidRDefault="009D7677" w:rsidP="009D7677">
      <w:pPr>
        <w:pStyle w:val="TextoNormal"/>
      </w:pPr>
    </w:p>
    <w:p w14:paraId="6BDE4EAA" w14:textId="77777777" w:rsidR="009D7677" w:rsidRDefault="009D7677" w:rsidP="009D7677">
      <w:pPr>
        <w:pStyle w:val="TextoNormal"/>
      </w:pPr>
      <w:r>
        <w:t>Las consideraciones que siguen tienen que ver: (a) con la asimétrica posición de garantía de las partes en el proceso penal; (b) con la distinta exigencia de motivación de las decisiones penales, según sean absolutorias o condenatorias; (c) con el distinto fundamento de la posibilidad de recurrirlas en ambos casos; (d) con la posibilidad de revocación de sentencias absolutorias cuando se ha producido una vulneración de garantías constitucionales procesales de las acusaciones; (e) por último, dado que en los procesos de revisión de las sentencias penales (ya sea en apelación o casación), no se admite en nuestro ordenamiento jurídico de forma ilimitada ni la proposición de nuevas pruebas, ni su práctica en una nueva vista oral en presencia del acusado, a partir de la anterior exposición jurisprudencial y ponderando sus aspectos esenciales, procederemos a perfilar los criterios conforme a los cuales este tribunal debe afrontar la cuestión novedosa que plantea este recurso de amparo, que se refiere a determinar el alcance y límites constitucionales de la facultad de impugnación y revisión de las sentencias penales absolutorias basadas en la apreciación motivada de duda razonable y también, en su caso, sobre la posibilidad de revocarlas.</w:t>
      </w:r>
    </w:p>
    <w:p w14:paraId="2CBC7629" w14:textId="77777777" w:rsidR="009D7677" w:rsidRDefault="009D7677" w:rsidP="009D7677">
      <w:pPr>
        <w:pStyle w:val="TextoNormal"/>
      </w:pPr>
    </w:p>
    <w:p w14:paraId="427306D4" w14:textId="77777777" w:rsidR="009D7677" w:rsidRDefault="009D7677" w:rsidP="009D7677">
      <w:pPr>
        <w:pStyle w:val="TextoNormal"/>
      </w:pPr>
      <w:r>
        <w:t>a) La asimétrica posición de garantía de las partes en el proceso penal</w:t>
      </w:r>
    </w:p>
    <w:p w14:paraId="2C1EB906" w14:textId="77777777" w:rsidR="009D7677" w:rsidRDefault="009D7677" w:rsidP="009D7677">
      <w:pPr>
        <w:pStyle w:val="TextoNormal"/>
      </w:pPr>
    </w:p>
    <w:p w14:paraId="5A75FCAE" w14:textId="77777777" w:rsidR="009D7677" w:rsidRDefault="009D7677" w:rsidP="009D7677">
      <w:pPr>
        <w:pStyle w:val="TextoNormal"/>
      </w:pPr>
      <w:r>
        <w:t xml:space="preserve">En una reiterada doctrina constitucional, que se inicia en la STC 108/1983, de 29 de noviembre, FJ 2, este tribunal ha declarado que el art. 24.1 CE, en cuanto garantiza el derecho a la tutela judicial efectiva sin indefensión, en sus diversos contenidos, comprende en favor de los acusadores el derecho a la jurisdicción penal que, dentro del sistema plural instaurado en nuestro ordenamiento jurídico, en el que junto a la oficialidad de la acción encomendada al Ministerio Fiscal se establecen otras titularidades privadas, es caracterizado como un </w:t>
      </w:r>
      <w:r w:rsidRPr="009D7677">
        <w:rPr>
          <w:i/>
        </w:rPr>
        <w:t>ius ut procedatur</w:t>
      </w:r>
      <w:r>
        <w:t>, esto es, un derecho incondicionado a la apertura y plena sustanciación del proceso penal en los casos y conforme a las previsiones de la propia Ley de enjuiciamiento criminal. Hemos añadido que el desarrollo procesal del debate sobre la pretensión acusatoria debe desarrollarse en condiciones de igualdad, de modo que todos los intervinientes tengan plena capacidad de alegación y prueba (SSTC 138/1999, de 22 de julio, FJ 4, y 178/2001, de 17 de septiembre, FJ 3).</w:t>
      </w:r>
    </w:p>
    <w:p w14:paraId="66B1F69D" w14:textId="77777777" w:rsidR="009D7677" w:rsidRDefault="009D7677" w:rsidP="009D7677">
      <w:pPr>
        <w:pStyle w:val="TextoNormal"/>
      </w:pPr>
    </w:p>
    <w:p w14:paraId="65A23690" w14:textId="77777777" w:rsidR="009D7677" w:rsidRDefault="009D7677" w:rsidP="009D7677">
      <w:pPr>
        <w:pStyle w:val="TextoNormal"/>
      </w:pPr>
      <w:r>
        <w:t xml:space="preserve">No obstante, la estructura contradictoria del proceso penal no puede hacernos olvidar que, según se desarrolló en la STC 41/1997, de 10 de marzo, FJ 5, la acción penal se entabla para que, a través de la jurisdicción, el Estado ejerza la potestad punitiva. Esa característica otorga una configuración peculiar a ese </w:t>
      </w:r>
      <w:r w:rsidRPr="009D7677">
        <w:rPr>
          <w:i/>
        </w:rPr>
        <w:t>ius ut procedatur</w:t>
      </w:r>
      <w:r>
        <w:t xml:space="preserve"> en que la acción penal consiste, dado que “al proceso penal se acude postulando la actuación del poder del Estado </w:t>
      </w:r>
      <w:r>
        <w:lastRenderedPageBreak/>
        <w:t>en su forma más extrema —la pena criminal—, actuación que implica una profunda injerencia en la libertad del imputado y en el núcleo más ‘sagrado’ de sus derechos fundamentales”. Por eso, añadimos entonces que “cada una de sus fases —iniciación (STC 111/1995, FJ 3); imputación judicial (STC 153/1989, FJ 6); adopción de medidas cautelares (STC 108/1994, FJ 3); sentencia condenatoria (SSTC 31/1981, 229/1991 y 259/1994); derecho al recurso (STC 190/1994, FJ 2), etc.— se halla sometida a exigencias específicas que garantizan en cada estadio de desarrollo de la pretensión punitiva, e incluso antes de que el mismo proceso penal empiece (STC 109/1986, FJ 1), la presunción de inocencia y las demás garantías constitucionales del imputado”.</w:t>
      </w:r>
    </w:p>
    <w:p w14:paraId="6E25632E" w14:textId="77777777" w:rsidR="009D7677" w:rsidRDefault="009D7677" w:rsidP="009D7677">
      <w:pPr>
        <w:pStyle w:val="TextoNormal"/>
      </w:pPr>
    </w:p>
    <w:p w14:paraId="5BF061BA" w14:textId="77777777" w:rsidR="009D7677" w:rsidRDefault="009D7677" w:rsidP="009D7677">
      <w:pPr>
        <w:pStyle w:val="TextoNormal"/>
      </w:pPr>
      <w:r>
        <w:t>Por esta razón, por la trascendencia propia de la reacción penal y los distintos intereses que las partes defienden, las normas procesales y la propia Constitución definen una posición de garantía asimétrica para las personas acusadas y las partes acusadoras. Como señaló la STC 141/2006, de 8 de mayo “en cuanto que pueden sufrir la intervención punitiva del Estado, el imputado y acusado gozan de unas garantías constitucionales, procesales y sustantivas, diferentes y mayores que las de otros participantes en el proceso”; por ello, en múltiples ocasiones hemos destacado “la notable diferencia que, desde la perspectiva de los derechos fundamentales en juego dentro del proceso penal, existe entre las partes según su posición de acusadoras o de acusadas” (FJ 3).</w:t>
      </w:r>
    </w:p>
    <w:p w14:paraId="0A638F92" w14:textId="77777777" w:rsidR="009D7677" w:rsidRDefault="009D7677" w:rsidP="009D7677">
      <w:pPr>
        <w:pStyle w:val="TextoNormal"/>
      </w:pPr>
    </w:p>
    <w:p w14:paraId="305263C3" w14:textId="77777777" w:rsidR="009D7677" w:rsidRDefault="009D7677" w:rsidP="009D7677">
      <w:pPr>
        <w:pStyle w:val="TextoNormal"/>
      </w:pPr>
      <w:r>
        <w:t xml:space="preserve">Por lo tanto, que el debate procesal deba desarrollarse en condiciones de igualdad procesal y contradicción, de modo que todos los intervinientes tengan plena capacidad de alegación y prueba, y que por ello tanto acusador como acusado ostenten esta misma garantía, no comporta que sean iguales en garantías, pues ni son iguales los intereses que arriesgan en el proceso penal ni el mismo es prioritariamente un mecanismo de solución de un conflicto entre ambos, sino un mecanismo para la administración del </w:t>
      </w:r>
      <w:r w:rsidRPr="009D7677">
        <w:rPr>
          <w:i/>
        </w:rPr>
        <w:t>ius puniendi</w:t>
      </w:r>
      <w:r>
        <w:t xml:space="preserve"> del Estado, en el que “el ejercicio de la potestad punitiva constituye el objeto mismo del proceso” (STC 41/1997, de 10 de marzo, FJ 5, y 285/2005, de 7 de noviembre, FJ 4).</w:t>
      </w:r>
    </w:p>
    <w:p w14:paraId="58A2ECBA" w14:textId="77777777" w:rsidR="009D7677" w:rsidRDefault="009D7677" w:rsidP="009D7677">
      <w:pPr>
        <w:pStyle w:val="TextoNormal"/>
      </w:pPr>
    </w:p>
    <w:p w14:paraId="0A988A7F" w14:textId="77777777" w:rsidR="009D7677" w:rsidRDefault="009D7677" w:rsidP="009D7677">
      <w:pPr>
        <w:pStyle w:val="TextoNormal"/>
      </w:pPr>
      <w:r>
        <w:t>Para visualizar la plasmación constitucional de esta distinta posición procesal basta reparar en el contenido de garantía de los derechos a la presunción de inocencia, a ser informado de la acusación, a no declarar contra uno mismo, a no confesarse culpable, a la revisión de la condena por un tribunal superior, a no ser juzgado ni condenado dos veces por los mismos hechos o a la legalidad de las infracciones y sanciones; derechos de los que únicamente es titular el acusado. Esta diferencia, como expondremos más adelante, se extiende en ocasiones al contenido de las garantías y facultades que otros derechos fundamentales procesales atribuyen a las partes acusadoras.</w:t>
      </w:r>
    </w:p>
    <w:p w14:paraId="1055EA3F" w14:textId="77777777" w:rsidR="009D7677" w:rsidRDefault="009D7677" w:rsidP="009D7677">
      <w:pPr>
        <w:pStyle w:val="TextoNormal"/>
      </w:pPr>
    </w:p>
    <w:p w14:paraId="6EF0E084" w14:textId="77777777" w:rsidR="009D7677" w:rsidRDefault="009D7677" w:rsidP="009D7677">
      <w:pPr>
        <w:pStyle w:val="TextoNormal"/>
      </w:pPr>
      <w:r>
        <w:t>En definitiva, para quien es denunciado o acusado en un proceso penal, la presunción de inocencia, como regla de juicio, es la clave de bóveda de las garantías que definen su posición y le protegen frente a un castigo arbitrario (SSTC 41/1997 y 81/1998, de 2 de abril, FJ 3).</w:t>
      </w:r>
    </w:p>
    <w:p w14:paraId="64ACB262" w14:textId="77777777" w:rsidR="009D7677" w:rsidRDefault="009D7677" w:rsidP="009D7677">
      <w:pPr>
        <w:pStyle w:val="TextoNormal"/>
      </w:pPr>
    </w:p>
    <w:p w14:paraId="2D642A7C" w14:textId="77777777" w:rsidR="009D7677" w:rsidRDefault="009D7677" w:rsidP="009D7677">
      <w:pPr>
        <w:pStyle w:val="TextoNormal"/>
      </w:pPr>
      <w:r>
        <w:t xml:space="preserve">No obstante, este tribunal también ha afirmado en doctrina constante que el reconocimiento de dicho diferente estatus constitucional entre partes acusadas y acusadoras y el reconocimiento de la trascendencia constitucional de la sentencia penal absolutoria no supone negar a las partes acusadoras la protección constitucional que las garantías ancladas en el art. 24 CE brindan, pues esta norma “incorpora, también, el interés público, cuya </w:t>
      </w:r>
      <w:r>
        <w:lastRenderedPageBreak/>
        <w:t>relevancia constitucional no es posible, y ni siquiera deseable, desconocer en un juicio justo donde queden intactas tales garantías de todos sus partícipes” (SSTC 116/1997, de 23 de junio, FJ 5, y 34/2004, de 14 de enero, FJ 4). Por ello, hemos concluido que la vulneración del derecho a la tutela judicial efectiva sin indefensión del acusador puede conllevar, como resultado, la anulación de una resolución judicial penal materialmente absolutoria, ya sea el auto de archivo o la sentencia, con orden de retroacción de actuaciones, pero exclusivamente en el caso de que se haya producido “una quiebra de una regla esencial del proceso justo en perjuicio de la acusación, ya que el desarrollo de las actuaciones procesales sin las garantías consustanciales al proceso justo no permite hablar de proceso en sentido propio, ni puede permitir que la sentencia absolutoria adquiera el carácter de inatacable” (STC 4/2004, de 14 de enero, FJ 4).</w:t>
      </w:r>
    </w:p>
    <w:p w14:paraId="0A4A6086" w14:textId="77777777" w:rsidR="009D7677" w:rsidRDefault="009D7677" w:rsidP="009D7677">
      <w:pPr>
        <w:pStyle w:val="TextoNormal"/>
      </w:pPr>
    </w:p>
    <w:p w14:paraId="0C913D05" w14:textId="77777777" w:rsidR="009D7677" w:rsidRDefault="009D7677" w:rsidP="009D7677">
      <w:pPr>
        <w:pStyle w:val="TextoNormal"/>
      </w:pPr>
      <w:r>
        <w:t xml:space="preserve">Lo expuesto no significa que las partes acusadoras, pese al reconocimiento de diversas garantías instrumentales al servicio de la defensa de su derecho de acción penal, cuenten, a modo de garantía, con un derecho a obtener la condena del acusado. De forma expresiva hemos reiterado que no se les reconoce un derecho invertido a la presunción de inocencia o a la legalidad de las infracciones y sanciones. Esta posición aparece expuesta, entre otras muchas, en la STC 26/2018, de 5 de marzo, en cuanto señala que “en modo alguno puede confundirse el derecho a la jurisdicción penal para instar la aplicación del </w:t>
      </w:r>
      <w:r w:rsidRPr="009D7677">
        <w:rPr>
          <w:i/>
        </w:rPr>
        <w:t>ius puniendi</w:t>
      </w:r>
      <w:r>
        <w:t xml:space="preserve"> con el derecho material a penar, de exclusiva naturaleza pública y cuya titularidad corresponde al Estado”. Como ya hemos expuesto, el querellante o denunciante es mero titular de un </w:t>
      </w:r>
      <w:r w:rsidRPr="009D7677">
        <w:rPr>
          <w:i/>
        </w:rPr>
        <w:t>ius ut procedatur</w:t>
      </w:r>
      <w:r>
        <w:t xml:space="preserve"> y, como tal, ostenta el derecho a poner en marcha el proceso, a que el mismo se sustancie de conformidad con la ley y las reglas del proceso justo, y a obtener en él una respuesta fundada en Derecho sobre sus pretensiones (SSTC 120/2000, de 10 de mayo, FJ 4, o 12/2006, de 16 de enero, FJ 2).</w:t>
      </w:r>
    </w:p>
    <w:p w14:paraId="0907BBF5" w14:textId="77777777" w:rsidR="009D7677" w:rsidRDefault="009D7677" w:rsidP="009D7677">
      <w:pPr>
        <w:pStyle w:val="TextoNormal"/>
      </w:pPr>
    </w:p>
    <w:p w14:paraId="42CD59FA" w14:textId="77777777" w:rsidR="009D7677" w:rsidRDefault="009D7677" w:rsidP="009D7677">
      <w:pPr>
        <w:pStyle w:val="TextoNormal"/>
      </w:pPr>
      <w:r>
        <w:t>Dada su directa relación con la impugnación formalizada en el presente recurso de amparo, nos corresponde destacar a continuación cómo de la citada asimetría son expresivos los distintos contenidos de garantía que hemos reconocido tanto en relación con la obligación de motivar las sentencias penales, según sean absolutorias o condenatorias, como con el distinto fundamento y alcance del derecho a recurrirlas.</w:t>
      </w:r>
    </w:p>
    <w:p w14:paraId="68DE3A55" w14:textId="77777777" w:rsidR="009D7677" w:rsidRDefault="009D7677" w:rsidP="009D7677">
      <w:pPr>
        <w:pStyle w:val="TextoNormal"/>
      </w:pPr>
    </w:p>
    <w:p w14:paraId="70162935" w14:textId="77777777" w:rsidR="009D7677" w:rsidRDefault="009D7677" w:rsidP="009D7677">
      <w:pPr>
        <w:pStyle w:val="TextoNormal"/>
      </w:pPr>
      <w:r>
        <w:t>b) La exigencia de motivación de las sentencias penales</w:t>
      </w:r>
    </w:p>
    <w:p w14:paraId="0039CEB4" w14:textId="77777777" w:rsidR="009D7677" w:rsidRDefault="009D7677" w:rsidP="009D7677">
      <w:pPr>
        <w:pStyle w:val="TextoNormal"/>
      </w:pPr>
    </w:p>
    <w:p w14:paraId="28038B6B" w14:textId="77777777" w:rsidR="009D7677" w:rsidRDefault="009D7677" w:rsidP="009D7677">
      <w:pPr>
        <w:pStyle w:val="TextoNormal"/>
      </w:pPr>
      <w:r>
        <w:t>Dado que en el proceso penal la presunción de inocencia es una regla de juicio que garantiza el derecho del acusado a no sufrir una condena a menos que la culpabilidad haya quedado establecida más allá de toda duda razonable, en virtud de pruebas que puedan considerarse de cargo y obtenidas con todas las garantías (STC 81/1998, de 2 de abril, FJ 3), a las sentencias condenatorias se les exige una motivación reforzada y completa: tanto en lo que se refiere a su presupuesto fáctico (hechos que se declaran probados), como en el plano jurídico, al afirmar la subsunción de la conducta declarada probada en el tipo penal que justifica la pretensión acusatoria (juicio este último que se encuentra sometido a las reglas que definen el principio de legalidad de las infracciones y sanciones [art. 25.1 CE]).</w:t>
      </w:r>
    </w:p>
    <w:p w14:paraId="7AAD9F64" w14:textId="77777777" w:rsidR="009D7677" w:rsidRDefault="009D7677" w:rsidP="009D7677">
      <w:pPr>
        <w:pStyle w:val="TextoNormal"/>
      </w:pPr>
    </w:p>
    <w:p w14:paraId="739F9EB1" w14:textId="77777777" w:rsidR="009D7677" w:rsidRDefault="009D7677" w:rsidP="009D7677">
      <w:pPr>
        <w:pStyle w:val="TextoNormal"/>
      </w:pPr>
      <w:r>
        <w:t xml:space="preserve">(i) Como tuvimos ocasión de recordar en las SSTC 169/2004, de 6 de octubre, y 246/2004, de  20 de diciembre, la motivación de las sentencias penales es siempre exigible </w:t>
      </w:r>
      <w:r w:rsidRPr="009D7677">
        <w:rPr>
          <w:i/>
        </w:rPr>
        <w:t>ex</w:t>
      </w:r>
      <w:r>
        <w:t xml:space="preserve"> art. 120.3 CE, esto es, con independencia de su signo, condenatorio o absolutorio. No obstante, reiteramos entonces que en las sentencias condenatorias el canon de motivación </w:t>
      </w:r>
      <w:r>
        <w:lastRenderedPageBreak/>
        <w:t>es más riguroso que en las absolutorias pues, de acuerdo con una reiterada doctrina constitucional, cuando están en juego otros derechos fundamentales —y, entre ellos, cuando están en juego el derecho a la libertad y el de presunción de inocencia, como sucede en el proceso penal— la exigencia de motivación cobra particular intensidad y por ello hemos reforzado el parámetro de control utilizable para enjuiciar su suficiencia (SSTC 62/1996, de 15 de abril, FJ 2; 34/1997, de 25 de febrero, FJ 2; 157/1997, de 29 de septiembre, FJ 4; 200/1997, de 24 de noviembre, FJ 4; 116/1998, de 2 de junio, FJ 4; 2/1999, de 25 de enero, FJ 2; 147/1999, de 4 de agosto, FJ 3, y 109/2000, de 5 de mayo, FJ 2). Particularmente, en el plano fáctico, la sentencia penal condenatoria ha de exteriorizar en su razonamiento las pruebas relevantes tomadas en consideración y la existencia de una conexión fundada entre las pruebas y la declaración de hechos probados; conexión que debe ser aplicación razonada de las reglas de la lógica, ciencia y experiencia, de modo que sea posible realizar un juicio externo sobre las que llevan al juzgador a considerar alcanzada la convicción de culpabilidad más allá de toda duda razonable (STC 340/2006, de 11 de diciembre, FJ 4).</w:t>
      </w:r>
    </w:p>
    <w:p w14:paraId="581C8566" w14:textId="77777777" w:rsidR="009D7677" w:rsidRDefault="009D7677" w:rsidP="009D7677">
      <w:pPr>
        <w:pStyle w:val="TextoNormal"/>
      </w:pPr>
    </w:p>
    <w:p w14:paraId="4E878E40" w14:textId="77777777" w:rsidR="009D7677" w:rsidRDefault="009D7677" w:rsidP="009D7677">
      <w:pPr>
        <w:pStyle w:val="TextoNormal"/>
      </w:pPr>
      <w:r>
        <w:t>(ii) De manera distinta, al no estar en juego los mismos derechos fundamentales que en las condenatorias, la exigencia de motivación de las sentencias absolutorias se mueve en el plano general de cualesquiera otras. Lo expuesto no supone que en ellas pueda excluirse la exigencia general de motivación de los actos del poder público: una sentencia absolutoria no puede ser expresión del mero decisionismo judicial, sino que ha de dar cuenta del porqué de ella. Aun cuando no afectara a otros derechos fundamentales, como ocurre siempre en el caso paralelo de las sentencias condenatorias, la ausencia de motivación sería contraria al principio general de interdicción de la arbitrariedad del ejercicio del poder público. Esta exigencia de motivación fáctica es igualmente aplicable ya se aprecie inexistencia o insuficiencia de la prueba de cargo, o se concluya en la existencia de duda razonable acerca de la acreditación del presupuesto fáctico de la pretensión de condena. Así lo expusimos en la STC 112/2015, de 8 de junio, FJ 5, al señalar que la motivación del juicio fáctico de una sentencia absolutoria tiene una exigencia de menor contenido en cuanto que su razonamiento no se dirige a destruir la presunción inicial de inocencia sino a exteriorizar que la prueba practicada no la desvirtúa en absoluto o con suficiente intensidad. Con cita de las SSTC 158/2002, de 16 de septiembre, FJ 6; 30/2006, de 30 de enero, FJ 5; 82/2009, de 23 de marzo, FJ 6, y 107/2011, de 20 de junio, FJ 2, añadimos entonces que “la motivación de la resolución absolutoria habrá de expresar aquellos elementos y razones de juicio que permitan conocer cuáles han sido los criterios que la fundamentan, sin expresar un juicio fáctico o de subsunción que constituya una aplicación arbitraria de la legalidad, manifiestamente irrazonada o irrazonable, o incursa en un error patente, por la que la aplicación de la legalidad haya sido tan solo una mera apariencia”.</w:t>
      </w:r>
    </w:p>
    <w:p w14:paraId="772A790A" w14:textId="77777777" w:rsidR="009D7677" w:rsidRDefault="009D7677" w:rsidP="009D7677">
      <w:pPr>
        <w:pStyle w:val="TextoNormal"/>
      </w:pPr>
    </w:p>
    <w:p w14:paraId="47669998" w14:textId="77777777" w:rsidR="009D7677" w:rsidRDefault="009D7677" w:rsidP="009D7677">
      <w:pPr>
        <w:pStyle w:val="TextoNormal"/>
      </w:pPr>
      <w:r>
        <w:t>c) El fundamento de la pretensión de revisión de las sentencias penales dictadas en la instancia</w:t>
      </w:r>
    </w:p>
    <w:p w14:paraId="379D4149" w14:textId="77777777" w:rsidR="009D7677" w:rsidRDefault="009D7677" w:rsidP="009D7677">
      <w:pPr>
        <w:pStyle w:val="TextoNormal"/>
      </w:pPr>
    </w:p>
    <w:p w14:paraId="65297E6D" w14:textId="77777777" w:rsidR="009D7677" w:rsidRDefault="009D7677" w:rsidP="009D7677">
      <w:pPr>
        <w:pStyle w:val="TextoNormal"/>
      </w:pPr>
      <w:r>
        <w:t>Según sea su sentido condenatorio o absolutorio, la pretensión de revisar ante un tribunal superior una sentencia penal tiene también una diferente justificación. En tal medida, la pretensión de revisión tiene también distinto alcance y límites para acusados y acusadores.</w:t>
      </w:r>
    </w:p>
    <w:p w14:paraId="5C42D03C" w14:textId="77777777" w:rsidR="009D7677" w:rsidRDefault="009D7677" w:rsidP="009D7677">
      <w:pPr>
        <w:pStyle w:val="TextoNormal"/>
      </w:pPr>
    </w:p>
    <w:p w14:paraId="253818DF" w14:textId="77777777" w:rsidR="009D7677" w:rsidRDefault="009D7677" w:rsidP="009D7677">
      <w:pPr>
        <w:pStyle w:val="TextoNormal"/>
      </w:pPr>
      <w:r>
        <w:lastRenderedPageBreak/>
        <w:t>(i) Como hemos resumido en la reciente STC 43/2023, de 8 de mayo, FJ 3 B), debido a la racional exigencia de controlar la aplicación de las reglas del proceso justo mediante la revisión de la actividad jurisdiccional de primera instancia, el derecho a la revisión del fallo condenatorio y la pena impuesta mantiene un sólido fundamento constitucional en la idea de proceso justo.</w:t>
      </w:r>
    </w:p>
    <w:p w14:paraId="60A98D77" w14:textId="77777777" w:rsidR="009D7677" w:rsidRDefault="009D7677" w:rsidP="009D7677">
      <w:pPr>
        <w:pStyle w:val="TextoNormal"/>
      </w:pPr>
    </w:p>
    <w:p w14:paraId="750C70E4" w14:textId="77777777" w:rsidR="009D7677" w:rsidRDefault="009D7677" w:rsidP="009D7677">
      <w:pPr>
        <w:pStyle w:val="TextoNormal"/>
      </w:pPr>
      <w:r>
        <w:t xml:space="preserve">Así, debemos reiterar que solo el condenado en un proceso penal tiene reconocido el derecho fundamental a que la declaración de culpabilidad y la pena que le ha sido impuesta sean revisadas de manera efectiva por un tribunal superior. Este derecho viene reconocido desde 1966 en el art. 14.5 del Pacto internacional de derechos civiles y políticos (PIDCP), según el cual “[t]oda persona declarada culpable de un delito tendrá derecho a que el fallo condenatorio y la pena que se le haya impuesto sean sometidos a un tribunal superior, conforme a lo prescrito por la ley” y también en el art. 2 del Protocolo núm. 7 al Convenio europeo de derechos humanos (CEDH), conforme al cual “toda persona declarada culpable de una infracción penal por un tribunal tendrá derecho a hacer que la declaración de culpabilidad o la condena sea examinada por un órgano jurisdiccional superior”. Se trata de dos textos internacionales sobre derechos humanos que, por su valor hermenéutico, </w:t>
      </w:r>
      <w:r w:rsidRPr="009D7677">
        <w:rPr>
          <w:i/>
        </w:rPr>
        <w:t>ex</w:t>
      </w:r>
      <w:r>
        <w:t xml:space="preserve"> art. 10.2 CE, han permitido incorporar su contenido al elenco de garantías del proceso justo del art. 24.2 CE (por todas, SSTC 42/1982, de 5 de julio, FJ 3; 76/1982, de 14 de diciembre, FJ 5; 70/2002, de 3 de abril, FJ 7, y 116/2006, de 24 de abril, FJ 5).</w:t>
      </w:r>
    </w:p>
    <w:p w14:paraId="21656F50" w14:textId="77777777" w:rsidR="009D7677" w:rsidRDefault="009D7677" w:rsidP="009D7677">
      <w:pPr>
        <w:pStyle w:val="TextoNormal"/>
      </w:pPr>
    </w:p>
    <w:p w14:paraId="04C28B88" w14:textId="77777777" w:rsidR="009D7677" w:rsidRDefault="009D7677" w:rsidP="009D7677">
      <w:pPr>
        <w:pStyle w:val="TextoNormal"/>
      </w:pPr>
      <w:r>
        <w:t>En virtud de la garantía de la doble instancia penal o doble grado de jurisdicción, el tribunal superior debe controlar la corrección del juicio realizado en primera instancia, revisando la correcta aplicación de las reglas que han permitido la declaración de culpabilidad y la imposición de la pena en el caso concreto (SSTC 70/2002, de 3 de abril, FJ 7; 105/2003, de 2 de junio, FJ 2, y 136/2006, de 8 de mayo, FJ 3, entre otras).</w:t>
      </w:r>
    </w:p>
    <w:p w14:paraId="6FD42A6E" w14:textId="77777777" w:rsidR="009D7677" w:rsidRDefault="009D7677" w:rsidP="009D7677">
      <w:pPr>
        <w:pStyle w:val="TextoNormal"/>
      </w:pPr>
    </w:p>
    <w:p w14:paraId="0044520C" w14:textId="77777777" w:rsidR="009D7677" w:rsidRDefault="009D7677" w:rsidP="009D7677">
      <w:pPr>
        <w:pStyle w:val="TextoNormal"/>
      </w:pPr>
      <w:r>
        <w:t>Resulta relevante volver a destacar que, dada la regulación legislativa del recurso de apelación en nuestro ordenamiento jurídico, dicha revisión se realiza ordinariamente a partir de los mismos materiales de la primera instancia, pues solo de forma limitada cabe solicitar en el juicio de apelación la aportación o práctica de nuevos materiales probatorios (art. 790.3 LECrim). No obstante, pese a dicha configuración, que aleja al órgano de apelación del material probatorio, se trata de una posibilidad de revisión a través de la que pueden cuestionarse plenamente los pronunciamientos de hecho y de derecho de la sentencia condenatoria (STC 184/2013, de 4 de noviembre, FJ 7).</w:t>
      </w:r>
    </w:p>
    <w:p w14:paraId="67CD4731" w14:textId="77777777" w:rsidR="009D7677" w:rsidRDefault="009D7677" w:rsidP="009D7677">
      <w:pPr>
        <w:pStyle w:val="TextoNormal"/>
      </w:pPr>
    </w:p>
    <w:p w14:paraId="6DF68DFC" w14:textId="77777777" w:rsidR="009D7677" w:rsidRDefault="009D7677" w:rsidP="009D7677">
      <w:pPr>
        <w:pStyle w:val="TextoNormal"/>
      </w:pPr>
      <w:r>
        <w:t xml:space="preserve">(ii) Por el contrario, el Ministerio Fiscal, para el caso de que hubiere ejercido la acción pública, y la acusación particular o popular no son titulares del derecho al doble grado de jurisdicción (STC 33/1989, de 13 de febrero, FJ 4). Sin embargo, en cuanto lo son del derecho a la tutela judicial efectiva sin indefensión, tienen derecho a revisar el fallo de primera instancia con el alcance y por los motivos que derivan del modelo de revisión determinado legalmente. Los acusadores son titulares del derecho al recurso establecido por la ley, cuyo canon de enjuiciamiento es distinto al del derecho al doble grado de jurisdicción ya analizado. Este tribunal ha declarado reiteradamente que el derecho al recurso no es un derecho incondicionado que faculte la impugnación de cualquier decisión judicial por cualquier motivo; por ello, el legislador cuenta con una amplia libertad de configuración para establecer un tipo u otro de recurso y su alcance; aunque una vez reconocido en la ley, en su concreta configuración legal, es una vertiente del derecho constitucional a la </w:t>
      </w:r>
      <w:r>
        <w:lastRenderedPageBreak/>
        <w:t>tutela judicial efectiva, en cuanto garantiza el derecho de acceso a los recursos establecidos por la ley (SSTC 176/1990, de 12 de noviembre; 37/1995, de 7 de febrero, o 150/2004, de 20 de septiembre).</w:t>
      </w:r>
    </w:p>
    <w:p w14:paraId="11299DDB" w14:textId="77777777" w:rsidR="009D7677" w:rsidRDefault="009D7677" w:rsidP="009D7677">
      <w:pPr>
        <w:pStyle w:val="TextoNormal"/>
      </w:pPr>
    </w:p>
    <w:p w14:paraId="2AE381A8" w14:textId="77777777" w:rsidR="009D7677" w:rsidRDefault="009D7677" w:rsidP="009D7677">
      <w:pPr>
        <w:pStyle w:val="TextoNormal"/>
      </w:pPr>
      <w:r>
        <w:t xml:space="preserve">La posibilidad de recurso para la revisión de un fallo absolutorio a petición de la parte acusadora está reconocida en nuestro ordenamiento jurídico y es consecuencia lógica del sometimiento del </w:t>
      </w:r>
      <w:r w:rsidRPr="009D7677">
        <w:rPr>
          <w:i/>
        </w:rPr>
        <w:t>ius puniendi</w:t>
      </w:r>
      <w:r>
        <w:t xml:space="preserve"> a reglas procesales y sustantivas. En un Estado constitucional de Derecho, las decisiones penales se justifican por haber sido adoptadas de acuerdo con los procedimientos establecidos en la ley y ser respetuosas con el contenido de los derechos fundamentales. Por ello, una vez establecido legalmente el recurso que permite la revisión en segundo o posterior grado de una sentencia absolutoria (sea en apelación o casación), su régimen, en cuanto a su admisión y resolución se rige por el derecho a la tutela judicial efectiva garantizado en el art. 24.1 CE: es un derecho de configuración legal que, cuando se ejercita, exige también como respuesta una resolución fundada en Derecho sobre la pretensión impugnatoria ejercitada.</w:t>
      </w:r>
    </w:p>
    <w:p w14:paraId="7D63E354" w14:textId="77777777" w:rsidR="009D7677" w:rsidRDefault="009D7677" w:rsidP="009D7677">
      <w:pPr>
        <w:pStyle w:val="TextoNormal"/>
      </w:pPr>
    </w:p>
    <w:p w14:paraId="0C218EF3" w14:textId="77777777" w:rsidR="009D7677" w:rsidRDefault="009D7677" w:rsidP="009D7677">
      <w:pPr>
        <w:pStyle w:val="TextoNormal"/>
      </w:pPr>
      <w:r>
        <w:t>d) Posibilidades y límites de la revocación de sentencias absolutorias cuando se ha producido la vulneración de garantías constitucionales procesales de la parte acusadora</w:t>
      </w:r>
    </w:p>
    <w:p w14:paraId="02D737CD" w14:textId="77777777" w:rsidR="009D7677" w:rsidRDefault="009D7677" w:rsidP="009D7677">
      <w:pPr>
        <w:pStyle w:val="TextoNormal"/>
      </w:pPr>
    </w:p>
    <w:p w14:paraId="6ECAE330" w14:textId="77777777" w:rsidR="009D7677" w:rsidRDefault="009D7677" w:rsidP="009D7677">
      <w:pPr>
        <w:pStyle w:val="TextoNormal"/>
      </w:pPr>
      <w:r>
        <w:t>La jurisprudencia constitucional ha tenido ya ocasión de pronunciarse sobre las posibilidades y límites de la revocación de sentencias absolutorias en instancias de revisión en virtud de la capacidad impugnatoria de la valoración probatoria reconocida a las acusaciones. Con carácter general, los pronunciamientos de este tribunal en esta materia han estado vinculados con tres tipos de supuestos: (i) la revocación de sentencias absolutorias acompañada de un pronunciamiento condenatorio; (ii) la revocación de sentencias absolutorias por lesión de garantías procesales de las acusaciones; y (iii) la revocación de sentencias absolutorias de tribunales de jurado por defectuosa motivación del veredicto.</w:t>
      </w:r>
    </w:p>
    <w:p w14:paraId="1373D1F7" w14:textId="77777777" w:rsidR="009D7677" w:rsidRDefault="009D7677" w:rsidP="009D7677">
      <w:pPr>
        <w:pStyle w:val="TextoNormal"/>
      </w:pPr>
    </w:p>
    <w:p w14:paraId="3A11673C" w14:textId="77777777" w:rsidR="009D7677" w:rsidRDefault="009D7677" w:rsidP="009D7677">
      <w:pPr>
        <w:pStyle w:val="TextoNormal"/>
      </w:pPr>
      <w:r>
        <w:t>(i) Aunque solo desde la reforma operada en la Ley de enjuiciamiento criminal por la citada Ley 41/2015, de 5 de octubre, ha sido expresamente reconocida en su art. 792.2 la prohibición de condenar en apelación al encausado absuelto en primera instancia, o de agravar la condena previa como consecuencia de la apreciación de un error en la valoración de la prueba, dicha regla estaba vigente en nuestro ordenamiento jurídico desde la STC 167/2002, de 18 de septiembre (del Pleno).</w:t>
      </w:r>
    </w:p>
    <w:p w14:paraId="79D5B755" w14:textId="77777777" w:rsidR="009D7677" w:rsidRDefault="009D7677" w:rsidP="009D7677">
      <w:pPr>
        <w:pStyle w:val="TextoNormal"/>
      </w:pPr>
    </w:p>
    <w:p w14:paraId="4AFFC418" w14:textId="77777777" w:rsidR="009D7677" w:rsidRDefault="009D7677" w:rsidP="009D7677">
      <w:pPr>
        <w:pStyle w:val="TextoNormal"/>
      </w:pPr>
      <w:r>
        <w:t xml:space="preserve">Como con extenso pormenor se expone en la STC 88/2013, de 11 de abril, del Pleno, FFJJ 7 a 9, con el objetivo de adaptarse más estrictamente a las exigencias del Convenio europeo para la protección de los derechos humanos y las libertades fundamentales, fijó este tribunal una nueva interpretación del contenido del derecho a un proceso con todas las garantías, en favor del acusado. Más específicamente, la referencia fue entonces la jurisprudencia interpretativa del Tribunal Europeo de Derechos Humanos sobre el contenido del artículo 6.1 CEDH, tal y como en esta materia se venía estableciendo desde la STEDH de 26 de mayo de 1988 (caso </w:t>
      </w:r>
      <w:r w:rsidRPr="009D7677">
        <w:rPr>
          <w:i/>
        </w:rPr>
        <w:t>Ekbatani contra Suecia</w:t>
      </w:r>
      <w:r>
        <w:t>). Como dijimos, el tribunal europeo, partiendo de la idea de que “el proceso penal constituye un todo y la protección del artículo 6 [CEDH] no termina con el fallo de primera instancia”, había señalado que, conforme a su propia jurisprudencia, “el Estado que organiza tribunales de apelación o casación tiene el deber de asegurar a los justiciables […] las garantías fundamentales del citado precepto” (§ 24).</w:t>
      </w:r>
    </w:p>
    <w:p w14:paraId="53A94C54" w14:textId="77777777" w:rsidR="009D7677" w:rsidRDefault="009D7677" w:rsidP="009D7677">
      <w:pPr>
        <w:pStyle w:val="TextoNormal"/>
      </w:pPr>
    </w:p>
    <w:p w14:paraId="0913FDC2" w14:textId="77777777" w:rsidR="009D7677" w:rsidRDefault="009D7677" w:rsidP="009D7677">
      <w:pPr>
        <w:pStyle w:val="TextoNormal"/>
      </w:pPr>
      <w:r>
        <w:t>Asumiendo dicho contenido, este tribunal reiteró desde entonces que resulta contrario a un proceso con todas las garantías que, conociendo a través de recurso, un órgano judicial funde la condena de quien ha sido absuelto en la instancia, o agrave su situación, como consecuencia de una nueva fijación de los hechos probados que encuentre su origen en la reconsideración de pruebas —como es el caso de las declaraciones de testigos, peritos y acusados— cuya correcta y adecuada apreciación exija necesariamente que se practiquen en una vista pública, en presencia del órgano judicial que las valora y de forma contradictoria, esto es, en presencia y con la intervención del acusado.</w:t>
      </w:r>
    </w:p>
    <w:p w14:paraId="53A90635" w14:textId="77777777" w:rsidR="009D7677" w:rsidRDefault="009D7677" w:rsidP="009D7677">
      <w:pPr>
        <w:pStyle w:val="TextoNormal"/>
      </w:pPr>
    </w:p>
    <w:p w14:paraId="623EA7C6" w14:textId="77777777" w:rsidR="009D7677" w:rsidRDefault="009D7677" w:rsidP="009D7677">
      <w:pPr>
        <w:pStyle w:val="TextoNormal"/>
      </w:pPr>
      <w:r>
        <w:t>Dicho criterio inicial fue también aplicado a aquellas decisiones de revisión que, sin alterar el relato de hechos probados declarado en la instancia, fundamentaban la condena del acusado en la distinta apreciación de la concurrencia de elementos subjetivos del delito (aquellos que tienen que ver con la intención que guía a su autor o el grado de compromiso con la acción ejecutada que cabe reprocharle). En tales casos, el canon constitucional establecido conduce a apreciar la vulneración del derecho a un proceso con todas las garantías únicamente cuando, sin la celebración de vista pública y contradictoria, la diferencia de criterio se razona a partir del resultado de pruebas personales, quedando excluida la vulneración cuando procedía de pruebas documentales (SSTC 328/2006, de 20 de noviembre, y 91/2009, de 20 de abril). Posteriormente, a partir de la STC 184/2009, de 7 de septiembre, FJ 3, la doctrina constitucional inicial fue complementada con otra adicional relativa a la exigencia de garantizar al acusado la posibilidad de exponer su versión personal sobre su participación en los hechos que se le imputan ante el tribunal llamado a revisar la decisión absolutoria impugnada (STC 45/2011, de 11 de abril, FJ 3</w:t>
      </w:r>
      <w:r w:rsidRPr="009D7677">
        <w:rPr>
          <w:i/>
        </w:rPr>
        <w:t>, in fi</w:t>
      </w:r>
      <w:r>
        <w:t>ne).</w:t>
      </w:r>
    </w:p>
    <w:p w14:paraId="4AE198AE" w14:textId="77777777" w:rsidR="009D7677" w:rsidRDefault="009D7677" w:rsidP="009D7677">
      <w:pPr>
        <w:pStyle w:val="TextoNormal"/>
      </w:pPr>
    </w:p>
    <w:p w14:paraId="54DE1E8D" w14:textId="77777777" w:rsidR="009D7677" w:rsidRDefault="009D7677" w:rsidP="009D7677">
      <w:pPr>
        <w:pStyle w:val="TextoNormal"/>
      </w:pPr>
      <w:r>
        <w:t>La conjunción de ambas perspectivas define hoy parte del contenido del derecho a un proceso con todas las garantías que, en la segunda instancia penal, se reconoce al acusado. Según declaró el Pleno en la citada STC 88/2013, de 11 de abril, “de conformidad con la doctrina constitucional establecida en las SSTC 167/2002 y 184/2009, vulnera el derecho a un proceso con todas las garantías (art. 24.2 CE) que un órgano judicial, conociendo en vía de recurso, condene a quien había sido absuelto en la instancia o empeore su situación a partir de una nueva valoración de pruebas personales o de una reconsideración de los hechos estimados probados para establecer su culpabilidad, siempre que no haya celebrado una audiencia pública en que se desarrolle la necesaria actividad probatoria, con las garantías de publicidad, inmediación y contradicción que le son propias, y se dé al acusado la posibilidad de defenderse exponiendo su testimonio personal”.</w:t>
      </w:r>
    </w:p>
    <w:p w14:paraId="049C18D0" w14:textId="77777777" w:rsidR="009D7677" w:rsidRDefault="009D7677" w:rsidP="009D7677">
      <w:pPr>
        <w:pStyle w:val="TextoNormal"/>
      </w:pPr>
    </w:p>
    <w:p w14:paraId="5ED177CB" w14:textId="77777777" w:rsidR="009D7677" w:rsidRDefault="009D7677" w:rsidP="009D7677">
      <w:pPr>
        <w:pStyle w:val="TextoNormal"/>
      </w:pPr>
      <w:r>
        <w:t>(ii) Un segundo grupo de casos a los que se ha enfrentado la jurisprudencia constitucional viene representado por aquellos en los que la revocación de sentencias absolutorias trae causa de la vulneración de garantías procesales constitucionalmente reconocidas a la acusación, bien en el art. 24.2 CE, bien en la interdicción de la indefensión del art. 24.1 CE. La jurisprudencia constitucional al respecto aparece expuesta, entre otras, en las SSTC 4/2004, de 14 de enero, FJ 4; 23/2008, de 11 de febrero, FJ 3, y más recientemente resumida en la STC 9/2024, de 17 de enero, FJ 3 A) e) (i).</w:t>
      </w:r>
    </w:p>
    <w:p w14:paraId="468A81BF" w14:textId="77777777" w:rsidR="009D7677" w:rsidRDefault="009D7677" w:rsidP="009D7677">
      <w:pPr>
        <w:pStyle w:val="TextoNormal"/>
      </w:pPr>
    </w:p>
    <w:p w14:paraId="02E54E21" w14:textId="77777777" w:rsidR="009D7677" w:rsidRDefault="009D7677" w:rsidP="009D7677">
      <w:pPr>
        <w:pStyle w:val="TextoNormal"/>
      </w:pPr>
      <w:r>
        <w:t xml:space="preserve">Esta jurisprudencia se puede concretar destacando que resulta constitucionalmente admisible la anulación de una resolución judicial penal materialmente absolutoria en aquellos casos en los que se constate la quiebra de una regla esencial del proceso en perjuicio </w:t>
      </w:r>
      <w:r>
        <w:lastRenderedPageBreak/>
        <w:t>de la acusación ya que, en ese escenario, la ausencia de garantías no permite hablar de “proceso” en sentido propio, ni puede permitir tampoco que la sentencia absolutoria adquiera el carácter de inatacable en la medida en que ha sido dictada en el seno de un proceso penal sustanciado sobre un proceder lesivo de las más elementales garantías procesales de las partes.</w:t>
      </w:r>
    </w:p>
    <w:p w14:paraId="52620950" w14:textId="77777777" w:rsidR="009D7677" w:rsidRDefault="009D7677" w:rsidP="009D7677">
      <w:pPr>
        <w:pStyle w:val="TextoNormal"/>
      </w:pPr>
    </w:p>
    <w:p w14:paraId="6180AA0F" w14:textId="77777777" w:rsidR="009D7677" w:rsidRDefault="009D7677" w:rsidP="009D7677">
      <w:pPr>
        <w:pStyle w:val="TextoNormal"/>
      </w:pPr>
      <w:r>
        <w:t xml:space="preserve">Como se relacionaba a título de ejemplo en la ya citada STC 23/2008, en aplicación de esta doctrina no se ha objetado la constitucionalidad de la anulación de pronunciamientos absolutorios en supuestos como la inadmisión de una prueba de la acusación relevante y decisiva cerrándose la causa sin practicarla (STC 116/1997, de 23 de junio); por haberse negado el acceso a los recursos contra el archivo de la causa, habiendo mostrado el recurrente su voluntad inequívoca de personarse en el proceso penal (STC 16/2001, de 29 de enero); porque se sustanció el recurso de queja dando lugar al auto de sobreseimiento libre sin contradicción del querellante (STC 178/2001, de 17 de septiembre); por haberse sustanciado el recurso de apelación sin unir el escrito de impugnación de la acusación particular y, por tanto, sin que el órgano judicial lo tomara en consideración (STC 138/1999, de 22 de julio); por haberse producido una incongruencia </w:t>
      </w:r>
      <w:r w:rsidRPr="009D7677">
        <w:rPr>
          <w:i/>
        </w:rPr>
        <w:t>extra petitum</w:t>
      </w:r>
      <w:r>
        <w:t xml:space="preserve"> al introducirse en la sentencia un elemento que no había sido objeto de debate contradictorio (STC 215/1999, de 29 de noviembre); o por haber admitido el órgano de apelación la pretensión de legitimación del actor y entrar en el fondo sin juicio oral en el que las partes hubieran podido ejercer su derecho de defensa sobre la cuestión de fondo (STC 168/2001, de 16 de julio).</w:t>
      </w:r>
    </w:p>
    <w:p w14:paraId="1209BA7E" w14:textId="77777777" w:rsidR="009D7677" w:rsidRDefault="009D7677" w:rsidP="009D7677">
      <w:pPr>
        <w:pStyle w:val="TextoNormal"/>
      </w:pPr>
    </w:p>
    <w:p w14:paraId="07EA224B" w14:textId="77777777" w:rsidR="009D7677" w:rsidRDefault="009D7677" w:rsidP="009D7677">
      <w:pPr>
        <w:pStyle w:val="TextoNormal"/>
      </w:pPr>
      <w:r>
        <w:t>(iii) Un último grupo de casos lo constituye la revocación de sentencias absolutorias de tribunales de jurado por defectuosa motivación del veredicto. La jurisprudencia constitucional establecida al respecto se desarrolla en un contexto de especial singularidad como es el referido a las bases de la construcción del juicio fáctico y la declaración de culpabilidad por parte de un tribunal de jurado, lo que la condiciona y circunscribe intensamente. No obstante, las bases constitucionales sobre las que se ha configurado esa jurisprudencia resultan de utilidad para la finalidad ahora pretendida de perfilar los criterios conforme a los cuales la jurisprudencia constitucional debe afrontar la cuestión del alcance y límites constitucionales de la impugnación y revocabilidad de sentencias penales absolutorias con fundamento en discrepancias sobre el juicio fáctico o la existencia de duda razonable.</w:t>
      </w:r>
    </w:p>
    <w:p w14:paraId="71244478" w14:textId="77777777" w:rsidR="009D7677" w:rsidRDefault="009D7677" w:rsidP="009D7677">
      <w:pPr>
        <w:pStyle w:val="TextoNormal"/>
      </w:pPr>
    </w:p>
    <w:p w14:paraId="3BF02D76" w14:textId="77777777" w:rsidR="009D7677" w:rsidRDefault="009D7677" w:rsidP="009D7677">
      <w:pPr>
        <w:pStyle w:val="TextoNormal"/>
      </w:pPr>
      <w:r>
        <w:t>La jurisprudencia constitucional en la materia, con los precedentes de la ya establecida en las SSTC 169/2004, de 6 de octubre; 246/2004, de 20 de diciembre; 192/2005, de 18 de julio, o 115/2006, de 24 de abril, aparece resumida en la STC 112/2015, de 8 de junio, que incide en las siguientes consideraciones:</w:t>
      </w:r>
    </w:p>
    <w:p w14:paraId="6E6D0EC1" w14:textId="77777777" w:rsidR="009D7677" w:rsidRDefault="009D7677" w:rsidP="009D7677">
      <w:pPr>
        <w:pStyle w:val="TextoNormal"/>
      </w:pPr>
    </w:p>
    <w:p w14:paraId="71B8F416" w14:textId="77777777" w:rsidR="009D7677" w:rsidRDefault="009D7677" w:rsidP="009D7677">
      <w:pPr>
        <w:pStyle w:val="TextoNormal"/>
      </w:pPr>
      <w:r>
        <w:t>(a) Es constitucionalmente posible anular las resoluciones judiciales penales materialmente absolutorias en aquellos casos en los que se constate la quiebra de una regla esencial del proceso en perjuicio de la acusación (FJ 4).</w:t>
      </w:r>
    </w:p>
    <w:p w14:paraId="3C89CC96" w14:textId="77777777" w:rsidR="009D7677" w:rsidRDefault="009D7677" w:rsidP="009D7677">
      <w:pPr>
        <w:pStyle w:val="TextoNormal"/>
      </w:pPr>
    </w:p>
    <w:p w14:paraId="542E45D5" w14:textId="77777777" w:rsidR="009D7677" w:rsidRDefault="009D7677" w:rsidP="009D7677">
      <w:pPr>
        <w:pStyle w:val="TextoNormal"/>
      </w:pPr>
      <w:r>
        <w:t>(b) El derecho a la tutela judicial efectiva (art. 24.1 CE) incluye el derecho a obtener de los órganos judiciales una respuesta razonada, motivada, fundada en Derecho y congruente con las pretensiones oportunamente deducidas por las partes, lo que permite un control, desde el prisma de ese derecho, sobre si el veredicto o la resolución judicial que lo recoge son manifiestamente infundados, arbitrarios, irrazonables o irrazonados, o bien son fruto de un error patente que derive de las actuaciones (FJ 5).</w:t>
      </w:r>
    </w:p>
    <w:p w14:paraId="5B0FDD32" w14:textId="77777777" w:rsidR="009D7677" w:rsidRDefault="009D7677" w:rsidP="009D7677">
      <w:pPr>
        <w:pStyle w:val="TextoNormal"/>
      </w:pPr>
    </w:p>
    <w:p w14:paraId="72B5A05E" w14:textId="77777777" w:rsidR="009D7677" w:rsidRDefault="009D7677" w:rsidP="009D7677">
      <w:pPr>
        <w:pStyle w:val="TextoNormal"/>
      </w:pPr>
      <w:r>
        <w:t>(c) Es conforme con la Constitución que, en un procedimiento de revisión de una sentencia absolutoria pronunciada por un tribunal de jurado, esta sea revocada con fundamento en la existencia de una arbitrariedad en su motivación lesiva del derecho fundamental a la tutela judicial efectiva de las acusaciones (FJ 6). A esos efectos, el Pleno de este tribunal destacó en la citada STC 169/2004, que los defectos constitucionales de motivación suponen “en definitiva, la carencia de una de las garantías procesales que, de acuerdo con una consolidada doctrina constitucional, se integran en el derecho a la tutela judicial efectiva (art. 24.1 CE), en su vertiente de derecho a obtener una resolución razonablemente razonada y fundada en Derecho, que entronca de forma directa con el principio del Estado democrático de Derecho (art. 1 CE) y con una concepción de la legitimidad de la función jurisdiccional sustentada esencialmente en el carácter vinculante de la ley, cuya finalidad última es la interdicción de la arbitrariedad, mediante la introducción de un factor de racionalidad en el ejercicio del poder que, paralelamente, potencia el valor de la seguridad jurídica y constituye un instrumento que tiende a garantizar la posibilidad de control de las resoluciones por los tribunales superiores mediante los recursos que legalmente procedan (por todas, STC 221/2001, de 31 de octubre, FJ 6)” (FJ 4). De ese modo, en aplicación de esta jurisprudencia este tribunal ha confirmado en las citadas SSTC 169/2004, 246/2004, 192/2005 o 115/2006, la constitucionalidad de las decisiones judiciales dictadas en segundo grado que anulan sentencias absolutorias previas por defectuosa motivación en las actas de votación de los tribunales de jurado.</w:t>
      </w:r>
    </w:p>
    <w:p w14:paraId="7E2CCC41" w14:textId="77777777" w:rsidR="009D7677" w:rsidRDefault="009D7677" w:rsidP="009D7677">
      <w:pPr>
        <w:pStyle w:val="TextoNormal"/>
      </w:pPr>
    </w:p>
    <w:p w14:paraId="634CFDDC" w14:textId="77777777" w:rsidR="009D7677" w:rsidRDefault="009D7677" w:rsidP="009D7677">
      <w:pPr>
        <w:pStyle w:val="TextoNormal"/>
      </w:pPr>
      <w:r>
        <w:t>En atención a lo expuesto en los tres apartados anteriores, se constata que el fundamento esencial de la jurisprudencia constitucional en la materia es que una adecuada ponderación del elenco de garantías constitucionales de las que están revestidas las partes acusadas y acusadoras, partiendo de la ya señalada posición asimétrica de ambas, determina que la revocación de sentencias absolutorias solo resulta constitucionalmente justificada cuando concurran vulneraciones de las garantías constitucionales de las acusaciones que impidan considerar que el proceso se ha desarrollado conforme a reglas esenciales mínimas del procedimiento debido respecto de ellas. Esas garantías constitucionales son las referidas no solo a las que se derivan del derecho a un proceso con todas las garantías (art. 24.2 CE) o de la interdicción de la indefensión (art. 24.1 CE) sino también, en los términos expuestos, a las que se derivan de manera más genérica del derecho a la tutela judicial efectiva (art. 24.1 CE), incluyendo las referidas al deber constitucional de motivación, que excluye aquella que puede ser calificada como arbitraria, manifiestamente irrazonable o incursa en un error patente.</w:t>
      </w:r>
    </w:p>
    <w:p w14:paraId="5980B777" w14:textId="77777777" w:rsidR="009D7677" w:rsidRDefault="009D7677" w:rsidP="009D7677">
      <w:pPr>
        <w:pStyle w:val="TextoNormal"/>
      </w:pPr>
    </w:p>
    <w:p w14:paraId="12950C4A" w14:textId="77777777" w:rsidR="009D7677" w:rsidRDefault="009D7677" w:rsidP="009D7677">
      <w:pPr>
        <w:pStyle w:val="TextoNormal"/>
      </w:pPr>
      <w:r>
        <w:t>e) Determinación del alcance y límites constitucionales de la facultad de impugnación y revisión del juicio fáctico de las sentencias absolutorias que se basan en la apreciación de duda razonable</w:t>
      </w:r>
    </w:p>
    <w:p w14:paraId="1396FB51" w14:textId="77777777" w:rsidR="009D7677" w:rsidRDefault="009D7677" w:rsidP="009D7677">
      <w:pPr>
        <w:pStyle w:val="TextoNormal"/>
      </w:pPr>
    </w:p>
    <w:p w14:paraId="153C8D0F" w14:textId="77777777" w:rsidR="009D7677" w:rsidRDefault="009D7677" w:rsidP="009D7677">
      <w:pPr>
        <w:pStyle w:val="TextoNormal"/>
      </w:pPr>
      <w:r>
        <w:t>Una vez expuestas las consideraciones anteriores derivadas de la jurisprudencia constitucional más relevante en este caso, resulta necesario proyectarlas a las posibilidades de revocación de sentencias absolutorias con fundamento en la existencia de discrepancias sobre el juicio fáctico o la apreciación de duda razonable —esto es, valoración probatoria— establecido en la sentencia impugnada.</w:t>
      </w:r>
    </w:p>
    <w:p w14:paraId="3DDFD5BB" w14:textId="77777777" w:rsidR="009D7677" w:rsidRDefault="009D7677" w:rsidP="009D7677">
      <w:pPr>
        <w:pStyle w:val="TextoNormal"/>
      </w:pPr>
    </w:p>
    <w:p w14:paraId="0BBB9FBD" w14:textId="77777777" w:rsidR="009D7677" w:rsidRDefault="009D7677" w:rsidP="009D7677">
      <w:pPr>
        <w:pStyle w:val="TextoNormal"/>
      </w:pPr>
      <w:r>
        <w:lastRenderedPageBreak/>
        <w:t>A esos efectos, es necesario destacar que el modelo limitado de revisión en segundo grado que nuestro ordenamiento jurídico reconoce en favor de las partes acusadoras ha permitido siempre cuestionar en apelación el juicio fáctico de una sentencia absolutoria alegando la existencia de “error en la valoración de la prueba”. A través de este motivo, en atención a que la pretensión es la revocación de una sentencia absolutoria, ha sido y es posible denunciar la manifiesta irrazonabilidad de las conclusiones probatorias que han llevado a la absolución, en tanto que vulneración de una de las garantías constitucionales esenciales de las partes acusadoras reconocidas en el derecho a la tutela judicial efectiva (art. 24.1 CE). Sin embargo, no resulta posible, conforme a una interpretación constitucionalmente asumible de este motivo de recurso contra sentencias absolutorias, que a su amparo se vuelvan a valorar las pruebas practicadas en el juicio oral de instancia para, de ellas, extraer una conclusión probatoria alternativa que confronte y pretenda sustituir la alcanzada en la instancia. Dada su naturaleza, la revisión que es posible en segundo grado no se refiere a las pruebas en sí mismas, sino a la sentencia recurrida, y a la fundamentación de su valoración.</w:t>
      </w:r>
    </w:p>
    <w:p w14:paraId="6CE34620" w14:textId="77777777" w:rsidR="009D7677" w:rsidRDefault="009D7677" w:rsidP="009D7677">
      <w:pPr>
        <w:pStyle w:val="TextoNormal"/>
      </w:pPr>
    </w:p>
    <w:p w14:paraId="386CFA7D" w14:textId="77777777" w:rsidR="009D7677" w:rsidRDefault="009D7677" w:rsidP="009D7677">
      <w:pPr>
        <w:pStyle w:val="TextoNormal"/>
      </w:pPr>
      <w:r>
        <w:t>Por tanto, las posibilidades efectivas de revocación de una sentencia absolutoria al amparo de este motivo de recurso se limitan constitucionalmente a un control de razonabilidad cuyo objeto puede extenderse: (i) a la motivación o justificación de la conclusión probatoria, cuando resulte ausente, insuficiente o apoyada en un error de hecho patente que derive de las actuaciones; (ii) a la utilización de reglas de inferencia fáctica contrarias a la lógica, el conocimiento científico o las máximas de experiencia; (iii) a la omisión de razonamiento sobre pruebas practicadas que sean relevantes para el fallo; o finalmente (iv) a la previa decisión de excluirlas del acervo probatorio por considerarlas inválidas (contrarias a los principios de igualdad de armas y contradicción) o ilegítimas (por haberse declarado que fueron obtenidas como consecuencia de la vulneración directa o indirecta de derechos fundamentales sustantivos). Se trata, en última instancia, de criterios de control que son garantía frente a la arbitrariedad de la decisión judicial absolutoria lesiva de una garantía constitucional esencial de las acusaciones reconocida en el art. 24.1 CE, y que, sintetizando jurisprudencia anterior, han sido oportunamente recogidos en el art. 790.2 LECrim tras su reforma por la Ley 41/2015.</w:t>
      </w:r>
    </w:p>
    <w:p w14:paraId="6ACD7694" w14:textId="77777777" w:rsidR="009D7677" w:rsidRDefault="009D7677" w:rsidP="009D7677">
      <w:pPr>
        <w:pStyle w:val="TextoNormal"/>
      </w:pPr>
    </w:p>
    <w:p w14:paraId="6FB0EA37" w14:textId="77777777" w:rsidR="009D7677" w:rsidRDefault="009D7677" w:rsidP="009D7677">
      <w:pPr>
        <w:pStyle w:val="TextoNormal"/>
      </w:pPr>
      <w:r>
        <w:t>Atendiendo a los criterios expuestos, que son parámetro constitucional de control de las decisiones sobre el juicio fáctico de instancia adoptadas en apelación, es posible distinguir conceptualmente el juicio sobre el hecho y sobre la prueba, que realiza el juzgador de instancia, y la revisión de la racionalidad del juicio probatorio de instancia, que realiza el juez de segundo grado o de apelación, sin que pueda introducir hechos o establecer nuevas conclusiones probatorias.</w:t>
      </w:r>
    </w:p>
    <w:p w14:paraId="7E474CB5" w14:textId="77777777" w:rsidR="009D7677" w:rsidRDefault="009D7677" w:rsidP="009D7677">
      <w:pPr>
        <w:pStyle w:val="TextoNormal"/>
      </w:pPr>
    </w:p>
    <w:p w14:paraId="4B43F731" w14:textId="216E6308" w:rsidR="009D7677" w:rsidRDefault="009D7677" w:rsidP="009D7677">
      <w:pPr>
        <w:pStyle w:val="TextoNormal"/>
      </w:pPr>
      <w:r>
        <w:t xml:space="preserve">En conclusión, para desarrollar la tarea de control de la racionalidad y suficiencia de la decisión absolutoria al amparo de una causa de recurso que permita controvertir el juicio fáctico de la instancia en que se basa la absolución, el juez de segundo grado debe acudir a la sentencia y no a las pruebas: el vicio de justificación que posibilita la anulación de la sentencia absolutoria con fundamento en una eventual vulneración de la interdicción de la arbitrariedad como garantía constitucional esencial de las acusaciones reconocida en el art. 24.1 CE, debe emerger del texto de la decisión, confrontado con el desarrollo del juicio y la prueba documental que a él ha accedido, que siempre puede ser tomada en consideración a estos efectos (STC 120/2009, de 18 de mayo, FJ 4). Todo ello sin perjuicio de que </w:t>
      </w:r>
      <w:r>
        <w:lastRenderedPageBreak/>
        <w:t>las omisiones valorativas probatoriamente relevantes denunciadas por la acusación sean verificadas por el órgano revisor, en todo caso, sin prejuzgar el resultado de un nuevo enjuiciamiento. El control que es posible en apelación para controvertir el juicio fáctico de una sentencia absolutoria no consiente el acceso a las fuentes de prueba para reevaluarlas dado que, en nuestro modelo de revisión sería contrario a las garantías del juicio justo, que no permiten en ese contexto impugnatorio de las acusaciones una valoración alternativa de las inferencias fácticas ni una reconstrucción del hecho probado.</w:t>
      </w:r>
    </w:p>
    <w:p w14:paraId="1F0B3C5D" w14:textId="77777777" w:rsidR="009D7677" w:rsidRDefault="009D7677" w:rsidP="009D7677">
      <w:pPr>
        <w:pStyle w:val="TextoNormal"/>
      </w:pPr>
    </w:p>
    <w:p w14:paraId="600CA884" w14:textId="77777777" w:rsidR="009D7677" w:rsidRDefault="009D7677" w:rsidP="009D7677">
      <w:pPr>
        <w:pStyle w:val="TextoNormal"/>
      </w:pPr>
      <w:r w:rsidRPr="009D7677">
        <w:rPr>
          <w:rStyle w:val="NumeroAFNegritaCaracter"/>
        </w:rPr>
        <w:t>5</w:t>
      </w:r>
      <w:r>
        <w:t xml:space="preserve">. </w:t>
      </w:r>
      <w:r w:rsidRPr="009D7677">
        <w:rPr>
          <w:i/>
        </w:rPr>
        <w:t>El fundamento de la inicial decisión absolutoria y de la sentencia de apelación</w:t>
      </w:r>
    </w:p>
    <w:p w14:paraId="6AE04004" w14:textId="77777777" w:rsidR="009D7677" w:rsidRDefault="009D7677" w:rsidP="009D7677">
      <w:pPr>
        <w:pStyle w:val="TextoNormal"/>
      </w:pPr>
    </w:p>
    <w:p w14:paraId="10AB44FA" w14:textId="77777777" w:rsidR="009D7677" w:rsidRDefault="009D7677" w:rsidP="009D7677">
      <w:pPr>
        <w:pStyle w:val="TextoNormal"/>
      </w:pPr>
      <w:r>
        <w:t>Una vez expuestas las exigencias constitucionales y legales en juego, así como los límites y parámetros de control que presiden y delimitan la posibilidad de revisión del presupuesto fáctico de las decisiones penales absolutorias, nos corresponde abordar lo que constituye el núcleo principal de la controversia que el demandante suscita, en cuanto afirma que la Audiencia Provincial no se limitó, como debía, a revisar la sentencia recurrida desde el prisma de la coherencia interna, suficiencia y razonabilidad de la motivación probatoria, sino que, desbordando dicho límite, fue más allá y, justificó en sus propias inferencias y conclusiones probatorias la anulación de la sentencia absolutoria recurrida tras efectuar una indebida valoración propia de las pruebas practicadas en la instancia, cuestionando de este modo la apreciación fáctica de la juez de lo penal que le había llevado a absolver al acusado tras apreciar la existencia de duda razonable.</w:t>
      </w:r>
    </w:p>
    <w:p w14:paraId="3236FB69" w14:textId="77777777" w:rsidR="009D7677" w:rsidRDefault="009D7677" w:rsidP="009D7677">
      <w:pPr>
        <w:pStyle w:val="TextoNormal"/>
      </w:pPr>
    </w:p>
    <w:p w14:paraId="41186589" w14:textId="77777777" w:rsidR="009D7677" w:rsidRDefault="009D7677" w:rsidP="009D7677">
      <w:pPr>
        <w:pStyle w:val="TextoNormal"/>
      </w:pPr>
      <w:r>
        <w:t>El Ministerio Fiscal comparte en esta sede de amparo el parecer del demandante. En sus alegaciones afirma que, realmente, en el recurso de apelación el acusador denunció la inadecuada apreciación de la prueba practicada; y que la sentencia que resolvió dicho recurso se extralimitó del ámbito de control que es propio de las sentencias absolutorias, por llevar a cabo un examen completo del acervo probatorio, en el que predominaban de forma mayoritaria las pruebas periciales, singularmente, las contradictorias conclusiones expuestas por los expertos sobre la corrección e incidencia de los análisis de emisiones de gases practicados.</w:t>
      </w:r>
    </w:p>
    <w:p w14:paraId="64DB76E9" w14:textId="77777777" w:rsidR="009D7677" w:rsidRDefault="009D7677" w:rsidP="009D7677">
      <w:pPr>
        <w:pStyle w:val="TextoNormal"/>
      </w:pPr>
    </w:p>
    <w:p w14:paraId="1DEE370D" w14:textId="77777777" w:rsidR="009D7677" w:rsidRDefault="009D7677" w:rsidP="009D7677">
      <w:pPr>
        <w:pStyle w:val="TextoNormal"/>
      </w:pPr>
      <w:r>
        <w:t>Cabe reiterar que la impugnación y revisión del fallo absolutorio de instancia se apoyó en la previsión legal reguladora del recurso de apelación que, antes y después de la reforma por Ley 41/2015, permitía fundamentar la apelación en el “quebrantamiento de las normas y garantías procesales, error en la apreciación de las pruebas o infracción de normas del ordenamiento jurídico en las que se base la impugnación”. Tanto el análisis del recurso de apelación del Ministerio Fiscal, al que se adhirió la acusación particular, como el de la sentencia dictada en apelación, permiten constatar que fue la apreciación de un supuesto error en la apreciación de las pruebas lo que justificó la queja y la estimación del recurso de apelación, al cuestionar la suficiencia y contenido de la motivación de la decisión absolutoria revocada, con las consecuencias de anulación y retroacción que ya han sido descritas.</w:t>
      </w:r>
    </w:p>
    <w:p w14:paraId="054A00B6" w14:textId="77777777" w:rsidR="009D7677" w:rsidRDefault="009D7677" w:rsidP="009D7677">
      <w:pPr>
        <w:pStyle w:val="TextoNormal"/>
      </w:pPr>
    </w:p>
    <w:p w14:paraId="6F57049C" w14:textId="77777777" w:rsidR="009D7677" w:rsidRDefault="009D7677" w:rsidP="009D7677">
      <w:pPr>
        <w:pStyle w:val="TextoNormal"/>
      </w:pPr>
      <w:r>
        <w:t xml:space="preserve">De acuerdo con las premisas expuestas, la disyuntiva que ahora nos corresponde resolver consiste en determinar si, al discrepar de la decisión absolutoria de instancia, el órgano judicial provincial ha circunscrito su función revisora a supervisar externamente la suficiencia, coherencia y razonabilidad del discurso que une la actividad probatoria con el relato fáctico resultante, y de la duda expresada sobre la acreditación de los hechos de la </w:t>
      </w:r>
      <w:r>
        <w:lastRenderedPageBreak/>
        <w:t>acusación (STC 120/2009, FJ 4), o, en vez de ello, ha procedido a reevaluar con plenitud las pruebas practicadas en la instancia hasta el extremo de alcanzar conclusiones propias que difieren de las que se reflejan en la sentencia apelada y pretenden imponerse como fundamento de la revocación.</w:t>
      </w:r>
    </w:p>
    <w:p w14:paraId="7E98B8FC" w14:textId="77777777" w:rsidR="009D7677" w:rsidRDefault="009D7677" w:rsidP="009D7677">
      <w:pPr>
        <w:pStyle w:val="TextoNormal"/>
      </w:pPr>
    </w:p>
    <w:p w14:paraId="6FE30A72" w14:textId="77777777" w:rsidR="009D7677" w:rsidRDefault="009D7677" w:rsidP="009D7677">
      <w:pPr>
        <w:pStyle w:val="TextoNormal"/>
      </w:pPr>
      <w:r>
        <w:t>A) La sentencia dictada por la titular del Juzgado de lo Penal núm. 2 de Castellón asentó la decisión absolutoria, por lo que a la valoración de la prueba se refiere, en la no consideración de las mediciones de emisiones efectuadas en 2004 por Novotec, S.A., como prueba de cargo fiable, por los motivos reflejados en los antecedentes de esta resolución. Según se indica, esta circunstancia condiciona de manera crucial el contenido del informe elaborado por el laboratorio de ecotoxicología, puesto que el mismo se basa en las mediaciones antes referidas. También pone en valor el hecho de que no se haya elaborado un informe por el Centro de Investigaciones Energéticas, Medioambientales y Tecnológicas (CIEMAT), para la descripción cuantitativa y cualitativa de las emisiones de determinados focos puesto que, según señala, para los peritos señores B. y C. ese informe era necesario para esclarecer el riesgo de perjuicio y su gravedad. Por último, del material probatorio analizado infiere que no queda acreditado que las emisiones efectuadas por Esmaltes, S.A., originaran un riesgo o peligro suficientemente grave para el equilibrio de los sistemas naturales o para la salud humana, que exige el art. 325 CP, amén de no estimar acreditada la concurrencia de dolo, siquiera eventual, en la conducta del demandante de amparo.</w:t>
      </w:r>
    </w:p>
    <w:p w14:paraId="57DB10E8" w14:textId="77777777" w:rsidR="009D7677" w:rsidRDefault="009D7677" w:rsidP="009D7677">
      <w:pPr>
        <w:pStyle w:val="TextoNormal"/>
      </w:pPr>
    </w:p>
    <w:p w14:paraId="0A011FF7" w14:textId="77777777" w:rsidR="009D7677" w:rsidRDefault="009D7677" w:rsidP="009D7677">
      <w:pPr>
        <w:pStyle w:val="TextoNormal"/>
      </w:pPr>
      <w:r>
        <w:t>El análisis de la sentencia de instancia revisada en apelación permite apreciar que se trata de una decisión extensa y pormenorizadamente motivada en relación con todas las pruebas practicadas, cuyo sentido contradictorio justificó la duda razonable apreciada. La juzgadora expresa las pruebas que considera relevantes y los criterios por los que, ante las contradictorias conclusiones de los expertos sobre la fiabilidad y suficiencia de los análisis de emisiones e informes realizados, concluye en una decisión absolutoria que se apoya en la existencia de duda sobre la incidencia que tuvieron las emisiones de la factoría de Esmaltes, S.A., sobre los sistemas naturales o la salud de las personas. Por último, cabe destacar que, de la evaluación de su conducta, la juzgadora concluyó que el acusado, en su condición de gerente de Esmaltes, S.A., no actuó comprometido con la acción que se le imputa; es decir, no apreció la concurrencia del elemento subjetivo del tipo que la interpretación habitual del tipo penal exige.</w:t>
      </w:r>
    </w:p>
    <w:p w14:paraId="2DDBCBE0" w14:textId="77777777" w:rsidR="009D7677" w:rsidRDefault="009D7677" w:rsidP="009D7677">
      <w:pPr>
        <w:pStyle w:val="TextoNormal"/>
      </w:pPr>
    </w:p>
    <w:p w14:paraId="5235CF85" w14:textId="77777777" w:rsidR="009D7677" w:rsidRDefault="009D7677" w:rsidP="009D7677">
      <w:pPr>
        <w:pStyle w:val="TextoNormal"/>
      </w:pPr>
      <w:r>
        <w:t>B) Por su parte, la resolución de apelación recurrida en amparo no asume el relato fáctico de la sentencia dictada en la instancia en cuanto declara no acreditado “que las emisiones efectuadas por la empresa Esmaltes, S.A., por su actividad a lo largo de los años, haya supuesto un riesgo grave para el equilibrio de los sistemas naturales o para la salud de las personas”, y fundamenta la estimación del recurso de apelación en los siguientes motivos:</w:t>
      </w:r>
    </w:p>
    <w:p w14:paraId="0E335760" w14:textId="77777777" w:rsidR="009D7677" w:rsidRDefault="009D7677" w:rsidP="009D7677">
      <w:pPr>
        <w:pStyle w:val="TextoNormal"/>
      </w:pPr>
    </w:p>
    <w:p w14:paraId="08212CB8" w14:textId="77777777" w:rsidR="009D7677" w:rsidRDefault="009D7677" w:rsidP="009D7677">
      <w:pPr>
        <w:pStyle w:val="TextoNormal"/>
      </w:pPr>
      <w:r>
        <w:t>a) En el fundamento jurídico segundo ya anticipa, en dos ocasiones, que procede acordar la estimación del recurso de apelación. En primer lugar, cuando manifiesta constatar la viabilidad de ese recurso y de la acción de nulidad asentada en la vulneración del derecho a la tutela judicial efectiva “por vicios de motivación en la valoración de la prueba, dado que la juzgadora ha valorado de forma insuficiente y racional (</w:t>
      </w:r>
      <w:r w:rsidRPr="009D7677">
        <w:rPr>
          <w:i/>
        </w:rPr>
        <w:t>sic</w:t>
      </w:r>
      <w:r>
        <w:t xml:space="preserve">) algunas de las pruebas que se han practicado, omitiendo un resultado de las mismas que, por su evidencia y por </w:t>
      </w:r>
      <w:r>
        <w:lastRenderedPageBreak/>
        <w:t>su contenido, es tan manifiesto y grave, que la resolución adoptada finalmente carece de motivación suficiente y de un razonamiento lógico” (FJ 2). En segundo término, después de proclamar que el informe elaborado por el Laboratorio de Ecotoxicología del Instituto de Medicina Legal de Valencia es totalmente claro, y, por ello “no deja[n] de ser sorprendentes algunos peritajes realizados, en los que se concluye que no existía ningún tipo de emisión de gases o particulares por encima de los valores establecidos en aquellas épocas, y que no era perjudiciales para la salud.”. Concluye que “[p]or todo ello debe estimarse el recurso, y declarar la nulidad del juicio para que por otro juzgador se valoren la totalidad de los hechos y la prueba practicada y se motive, y se proceda al dictado de una nueva sentencia en su caso”.</w:t>
      </w:r>
    </w:p>
    <w:p w14:paraId="258F4202" w14:textId="77777777" w:rsidR="009D7677" w:rsidRDefault="009D7677" w:rsidP="009D7677">
      <w:pPr>
        <w:pStyle w:val="TextoNormal"/>
      </w:pPr>
    </w:p>
    <w:p w14:paraId="628F8932" w14:textId="77777777" w:rsidR="009D7677" w:rsidRDefault="009D7677" w:rsidP="009D7677">
      <w:pPr>
        <w:pStyle w:val="TextoNormal"/>
      </w:pPr>
      <w:r>
        <w:t xml:space="preserve">b) Tras realizar un análisis del tipo penal de aplicación al caso (fundamento jurídico tercero), a lo largo del fundamento jurídico cuarto el tribunal de apelación ofrece su propia cronología de los hechos acaecidos y examina el contenido de las distintas pruebas periciales, así como de los testimonios prestados ante el órgano </w:t>
      </w:r>
      <w:r w:rsidRPr="009D7677">
        <w:rPr>
          <w:i/>
        </w:rPr>
        <w:t>a quo</w:t>
      </w:r>
      <w:r>
        <w:t xml:space="preserve"> por diferentes peritos y testigos, así como de los documentos que consideró relevantes. En particular, resulta destacable el escrutinio que efectúa y las valoraciones que extrae de los siguientes medios probatorios:</w:t>
      </w:r>
    </w:p>
    <w:p w14:paraId="0A63A980" w14:textId="77777777" w:rsidR="009D7677" w:rsidRDefault="009D7677" w:rsidP="009D7677">
      <w:pPr>
        <w:pStyle w:val="TextoNormal"/>
      </w:pPr>
    </w:p>
    <w:p w14:paraId="7FCF80AB" w14:textId="77777777" w:rsidR="009D7677" w:rsidRDefault="009D7677" w:rsidP="009D7677">
      <w:pPr>
        <w:pStyle w:val="TextoNormal"/>
      </w:pPr>
      <w:r>
        <w:t>(i) Afirma que deben ser tenidos en cuenta los resultados que arrojan las mediciones efectuadas por la empresa Novotec y ser evaluados junto con las otras pruebas periciales.</w:t>
      </w:r>
    </w:p>
    <w:p w14:paraId="3EA34974" w14:textId="77777777" w:rsidR="009D7677" w:rsidRDefault="009D7677" w:rsidP="009D7677">
      <w:pPr>
        <w:pStyle w:val="TextoNormal"/>
      </w:pPr>
    </w:p>
    <w:p w14:paraId="7F4674AF" w14:textId="77777777" w:rsidR="009D7677" w:rsidRDefault="009D7677" w:rsidP="009D7677">
      <w:pPr>
        <w:pStyle w:val="TextoNormal"/>
      </w:pPr>
      <w:r>
        <w:t>(ii) Entiende que el informe pericial del laboratorio de ecotoxicología no ha sido valorado correctamente por la juzgadora de instancia (lo que se afirma en dos ocasiones). Refiere que dicho informe, de cuya imparcialidad y objetividad no cabe dudar, concluye que las emisiones de la empresa Esmaltes, S.A., eran susceptibles de generar perjuicios reales y de gravedad sobre la salud humana.</w:t>
      </w:r>
    </w:p>
    <w:p w14:paraId="4AB85750" w14:textId="77777777" w:rsidR="009D7677" w:rsidRDefault="009D7677" w:rsidP="009D7677">
      <w:pPr>
        <w:pStyle w:val="TextoNormal"/>
      </w:pPr>
    </w:p>
    <w:p w14:paraId="1E3C955C" w14:textId="77777777" w:rsidR="009D7677" w:rsidRDefault="009D7677" w:rsidP="009D7677">
      <w:pPr>
        <w:pStyle w:val="TextoNormal"/>
      </w:pPr>
      <w:r>
        <w:t>(iii) No confiere relevancia probatoria al informe de descargo elaborado por el señor C.L., que califica como mero “contraperitaje” que no aporta datos esenciales.</w:t>
      </w:r>
    </w:p>
    <w:p w14:paraId="06943D8A" w14:textId="77777777" w:rsidR="009D7677" w:rsidRDefault="009D7677" w:rsidP="009D7677">
      <w:pPr>
        <w:pStyle w:val="TextoNormal"/>
      </w:pPr>
    </w:p>
    <w:p w14:paraId="08D2E9A0" w14:textId="77777777" w:rsidR="009D7677" w:rsidRDefault="009D7677" w:rsidP="009D7677">
      <w:pPr>
        <w:pStyle w:val="TextoNormal"/>
      </w:pPr>
      <w:r>
        <w:t>(iv) Igual valoración le merece el informe elaborado por Env Serkual S.L., al referir que no tiene en cuenta “datos obrantes en el libro registro de la empresa, ni de la falta de control en los años que correspondía hacerlo, con inscripciones anteriores a la fecha de apertura del libro. Además de ello, las mediciones del SGS son solo mediciones y no tiene por qué realizar conclusiones, y las mediciones de Novotec correspondían a una labor inspectora de la administración ordinaria, no por denuncia”.</w:t>
      </w:r>
    </w:p>
    <w:p w14:paraId="62E83972" w14:textId="77777777" w:rsidR="009D7677" w:rsidRDefault="009D7677" w:rsidP="009D7677">
      <w:pPr>
        <w:pStyle w:val="TextoNormal"/>
      </w:pPr>
    </w:p>
    <w:p w14:paraId="5BFC567F" w14:textId="6FFCC461" w:rsidR="009D7677" w:rsidRDefault="009D7677" w:rsidP="009D7677">
      <w:pPr>
        <w:pStyle w:val="TextoNormal"/>
      </w:pPr>
      <w:r>
        <w:t>(v) Considera que ciertas mediciones y resultados obrantes en otros procedimientos judiciales son trasladables al caso enjuiciado. Sostiene que, a la fecha de los hechos, se generó “un peligro grave de daño al medio ambiente”. Y finalmente, en atención a lo establecido en el fundamento jurídico segundo y conforme a las anteriores pruebas, que entiende que no se han valorado correctamente en la instancia, concluye de manera categórica “que la resolución dictada por el juzgado de lo penal no se ajusta a la lógica”.</w:t>
      </w:r>
    </w:p>
    <w:p w14:paraId="50F449E8" w14:textId="77777777" w:rsidR="009D7677" w:rsidRDefault="009D7677" w:rsidP="009D7677">
      <w:pPr>
        <w:pStyle w:val="TextoNormal"/>
      </w:pPr>
    </w:p>
    <w:p w14:paraId="2499E835" w14:textId="77777777" w:rsidR="009D7677" w:rsidRDefault="009D7677" w:rsidP="009D7677">
      <w:pPr>
        <w:pStyle w:val="TextoNormal"/>
      </w:pPr>
      <w:r w:rsidRPr="009D7677">
        <w:rPr>
          <w:rStyle w:val="NumeroAFNegritaCaracter"/>
        </w:rPr>
        <w:t>6</w:t>
      </w:r>
      <w:r>
        <w:t xml:space="preserve">. </w:t>
      </w:r>
      <w:r w:rsidRPr="009D7677">
        <w:rPr>
          <w:i/>
        </w:rPr>
        <w:t>Aplicación al caso de la doctrina expuesta</w:t>
      </w:r>
    </w:p>
    <w:p w14:paraId="7761B0A1" w14:textId="77777777" w:rsidR="009D7677" w:rsidRDefault="009D7677" w:rsidP="009D7677">
      <w:pPr>
        <w:pStyle w:val="TextoNormal"/>
      </w:pPr>
    </w:p>
    <w:p w14:paraId="334654D8" w14:textId="77777777" w:rsidR="009D7677" w:rsidRDefault="009D7677" w:rsidP="009D7677">
      <w:pPr>
        <w:pStyle w:val="TextoNormal"/>
      </w:pPr>
      <w:r>
        <w:lastRenderedPageBreak/>
        <w:t>a) A la vista de los razonamientos expuestos en primera y segunda instancia, apreciamos que, al justificar en apelación la decisión revocatoria, mucho más allá de realizar un juicio externo sobre la coherencia y racionalidad del juicio fáctico que condujo a la absolución previa, la fundamentación a que se ha hecho referencia implica un posicionamiento propio del órgano de apelación en relación con el resultado de las pruebas practicadas en la instancia. A partir de sus criterios valorativos, el órgano de apelación considera ilógicos los opuestos que de forma razonada ha expuesto la juzgadora de instancia.</w:t>
      </w:r>
    </w:p>
    <w:p w14:paraId="0C37272F" w14:textId="77777777" w:rsidR="009D7677" w:rsidRDefault="009D7677" w:rsidP="009D7677">
      <w:pPr>
        <w:pStyle w:val="TextoNormal"/>
      </w:pPr>
    </w:p>
    <w:p w14:paraId="38FE2BB7" w14:textId="77777777" w:rsidR="009D7677" w:rsidRDefault="009D7677" w:rsidP="009D7677">
      <w:pPr>
        <w:pStyle w:val="TextoNormal"/>
      </w:pPr>
      <w:r>
        <w:t xml:space="preserve">Tanto el Ministerio Fiscal como el tribunal encargado de conocer del recurso de apelación enmarcaron el ámbito de la impugnación en la alegada existencia de un error en la valoración de la prueba, lo que legal y constitucionalmente delimitaba el alcance del objeto de enjuiciamiento. En su examen, la sentencia de apelación califica apodícticamente de ilógica e insuficiente la valoración de la prueba realizada en la instancia para señalar luego en distintos pasajes que determinadas pruebas relevantes no han sido evaluadas correctamente y reflejar la que se considera adecuada intelección de estas; e incluso, apuntar la concurrencia de los elementos del tipo penal objeto de enjuiciamiento, que infiere de determinadas pruebas periciales cuyo contenido sopesa en abierta discrepancia con el órgano </w:t>
      </w:r>
      <w:r w:rsidRPr="009D7677">
        <w:rPr>
          <w:i/>
        </w:rPr>
        <w:t>a quo</w:t>
      </w:r>
      <w:r>
        <w:t>.</w:t>
      </w:r>
    </w:p>
    <w:p w14:paraId="6DAF697C" w14:textId="77777777" w:rsidR="009D7677" w:rsidRDefault="009D7677" w:rsidP="009D7677">
      <w:pPr>
        <w:pStyle w:val="TextoNormal"/>
      </w:pPr>
    </w:p>
    <w:p w14:paraId="6BD2A9B6" w14:textId="77777777" w:rsidR="009D7677" w:rsidRDefault="009D7677" w:rsidP="009D7677">
      <w:pPr>
        <w:pStyle w:val="TextoNormal"/>
      </w:pPr>
      <w:r>
        <w:t>Así pues, si bien la sentencia impugnada en esta sede asevera que la evaluación probatoria analizada adolece de falta de lógica, en realidad no se limita a efectuar un juicio externo de control de la razonabilidad y alcance de la apreciación probatoria que sustenta la absolución pues para fundamentar la estimación del recurso, tras el pormenorizado análisis del acervo probatorio, expresa con rotundidad cuál es, según su criterio, el contenido acreditativo que debe atribuirse a determinadas pruebas y las conclusiones que de ellas deben extraerse. La sentencia de apelación no identifica pruebas que no hayan sido valoradas, sino que difiere del criterio de valoración expresado en la instancia. Tampoco cuestiona las inferencias fácticas, o la asunción de los criterios científicos expresados por los peritos que cuestionaron la relación causa-efecto entre las emisiones medidas y la contaminación atmosférica detectada. Ninguna prueba de las propuestas ha sido excluida de su práctica ni del acervo probatorio valorado en la instancia, por lo que cabe concluir que no se ha realizado en apelación un control externo sobre la fundamentación de la sentencia absolutoria, sino que se cuestionan sus conclusiones a partir de la valoración alternativa de la fiabilidad y capacidad incriminatoria de las pruebas practicadas.</w:t>
      </w:r>
    </w:p>
    <w:p w14:paraId="3786EEEA" w14:textId="77777777" w:rsidR="009D7677" w:rsidRDefault="009D7677" w:rsidP="009D7677">
      <w:pPr>
        <w:pStyle w:val="TextoNormal"/>
      </w:pPr>
    </w:p>
    <w:p w14:paraId="2ED78879" w14:textId="77777777" w:rsidR="009D7677" w:rsidRDefault="009D7677" w:rsidP="009D7677">
      <w:pPr>
        <w:pStyle w:val="TextoNormal"/>
      </w:pPr>
      <w:r>
        <w:t xml:space="preserve">En suma, apreciamos que el fundamento de la revocación se anuda, en esencia, a la discrepancia que el tribunal provincial exterioriza respecto de la valoración de las pruebas sujetas a examen. Tal nuevo criterio valorativo, que justificó la estimación del recurso de apelación con la correspondiente decisión de nulidad con retroacción de actuaciones, desborda los límites de las facultades de revisión del juicio de hecho que la propia ley atribuye al órgano de apelación, que, hemos de reiterar, viene delimitado en este aspecto constitucionalmente (y en la actualidad por el art. 790.2 LECrim) por el análisis de la racionalidad y suficiencia de la valoración probatoria realizada por el órgano </w:t>
      </w:r>
      <w:r w:rsidRPr="009D7677">
        <w:rPr>
          <w:i/>
        </w:rPr>
        <w:t>a quo</w:t>
      </w:r>
      <w:r>
        <w:t xml:space="preserve"> que exterioriza en su motivación. Esta extralimitación, que implica un control de las fuentes de prueba que las revalora indebidamente, permite apreciar ya, por esta primera razón, la manifiesta irrazonabilidad de la fundamentación de la sentencia impugnada, lo que justifica la queja del demandante en cuanto alega la vulneración de su derecho a recibir una respuesta fundada en Derecho, vertiente de garantía que forma parte del contenido de su derecho a ob</w:t>
      </w:r>
      <w:r>
        <w:lastRenderedPageBreak/>
        <w:t>tener la tutela judicial efectiva de su pretensión impugnatoria del recurso de apelación (art. 24.1 CE).</w:t>
      </w:r>
    </w:p>
    <w:p w14:paraId="6CE03FD3" w14:textId="77777777" w:rsidR="009D7677" w:rsidRDefault="009D7677" w:rsidP="009D7677">
      <w:pPr>
        <w:pStyle w:val="TextoNormal"/>
      </w:pPr>
    </w:p>
    <w:p w14:paraId="6EA5F814" w14:textId="77777777" w:rsidR="009D7677" w:rsidRDefault="009D7677" w:rsidP="009D7677">
      <w:pPr>
        <w:pStyle w:val="TextoNormal"/>
      </w:pPr>
      <w:r>
        <w:t xml:space="preserve">Al razonar de esta manera, el tribunal de apelación no solo cuestiona indebidamente la razonabilidad de la duda expresada por la juzgadora de instancia, como expondremos a continuación, sino que además, expresa razones que sugieren que considera culpable al acusado. Como reiteradamente ha destacado el Tribunal Europeo de Derechos Humanos, este razonamiento, y la forma de expresarlo, desconoce ya formalmente el principio de presunción de inocencia al exteriorizar una convicción sobre la culpabilidad del acusado absuelto (SSTEDH de 25 de marzo de 1983, asunto </w:t>
      </w:r>
      <w:r w:rsidRPr="009D7677">
        <w:rPr>
          <w:i/>
        </w:rPr>
        <w:t>Minelli c. Suiza</w:t>
      </w:r>
      <w:r>
        <w:t xml:space="preserve">, § 37; de 28 de octubre de 2003, asunto </w:t>
      </w:r>
      <w:r w:rsidRPr="009D7677">
        <w:rPr>
          <w:i/>
        </w:rPr>
        <w:t>Baars c. Países Bajos</w:t>
      </w:r>
      <w:r>
        <w:t xml:space="preserve">, § 26; de 7 de enero de 2010, asunto </w:t>
      </w:r>
      <w:r w:rsidRPr="009D7677">
        <w:rPr>
          <w:i/>
        </w:rPr>
        <w:t>Petyo Petkov c. Bulgaria</w:t>
      </w:r>
      <w:r>
        <w:t xml:space="preserve">, § 90; de 13 de julio de 2010, asunto </w:t>
      </w:r>
      <w:r w:rsidRPr="009D7677">
        <w:rPr>
          <w:i/>
        </w:rPr>
        <w:t>Tendam c. España</w:t>
      </w:r>
      <w:r>
        <w:t xml:space="preserve">, § 35, y de 15 de enero de 2015, asunto </w:t>
      </w:r>
      <w:r w:rsidRPr="009D7677">
        <w:rPr>
          <w:i/>
        </w:rPr>
        <w:t>Cleve c. Alemania</w:t>
      </w:r>
      <w:r>
        <w:t>, § 53).</w:t>
      </w:r>
    </w:p>
    <w:p w14:paraId="3D16CC09" w14:textId="77777777" w:rsidR="009D7677" w:rsidRDefault="009D7677" w:rsidP="009D7677">
      <w:pPr>
        <w:pStyle w:val="TextoNormal"/>
      </w:pPr>
    </w:p>
    <w:p w14:paraId="094542BF" w14:textId="77777777" w:rsidR="009D7677" w:rsidRDefault="009D7677" w:rsidP="009D7677">
      <w:pPr>
        <w:pStyle w:val="TextoNormal"/>
      </w:pPr>
      <w:r>
        <w:t>b) Resta por analizar, en cuanto al fundamento de la decisión de revocación y nulidad adoptado por el tribunal de apelación, la alegada vulneración del derecho a la presunción de inocencia (art. 24.2 CE).</w:t>
      </w:r>
    </w:p>
    <w:p w14:paraId="41B9D47E" w14:textId="77777777" w:rsidR="009D7677" w:rsidRDefault="009D7677" w:rsidP="009D7677">
      <w:pPr>
        <w:pStyle w:val="TextoNormal"/>
      </w:pPr>
    </w:p>
    <w:p w14:paraId="348E79DC" w14:textId="77777777" w:rsidR="009D7677" w:rsidRDefault="009D7677" w:rsidP="009D7677">
      <w:pPr>
        <w:pStyle w:val="TextoNormal"/>
      </w:pPr>
      <w:r>
        <w:t xml:space="preserve">El demandante asocia dicha vulneración a dos concretas consideraciones: (i) según la primera, el tribunal </w:t>
      </w:r>
      <w:r w:rsidRPr="009D7677">
        <w:rPr>
          <w:i/>
        </w:rPr>
        <w:t>ad quem</w:t>
      </w:r>
      <w:r>
        <w:t xml:space="preserve"> dedica su fundamento de derecho cuarto a analizar la prueba practicada ante la juez de lo penal en el acto del juicio oral y, tras hacerlo con sus propios criterios confronta su resultado incriminatorio con el absolutorio alcanzado en la instancia decidiendo “que esa valoración que no es la suya, por ese simple motivo, no se ajusta a la lógica[; y] en base a ello anula la sentencia”; (ii) según la segunda, ordena al nuevo juzgador al que retrotrae las actuaciones que valore las pruebas practicadas con los criterios alcanzados por el órgano de apelación. Además, cuando se le solicita en aclaración si el nuevo juzgador al que se retrotraen las actuaciones se encontraba vinculado por las valoraciones contenidas en la sentencia de apelación, como se expresaba en la parte dispositiva de la sentencia, denegó por el auto de 24 de enero de 2020 —que se reproduce en los antecedentes— la necesidad de aclaración, ratificando que las pruebas practicadas debían ser valoradas con los criterios expuestos en la sentencia. De ambos razonamientos, fundamentalmente del segundo, deduce el demandante que el órgano de apelación considera que el acusado debe ser condenado porque “lo que está haciendo es decirle al nuevo juez de lo penal que esas pruebas que aún no se han practicado deben valorarse de forma que se condene a mi representado, vulnerando de forma clara el derecho […] a la presunción de inocencia”. No obstante, no abordaremos esta segunda consideración por venir referida a los efectos asociados a la decisión de nulidad, y no a su fundamentación.</w:t>
      </w:r>
    </w:p>
    <w:p w14:paraId="7E948036" w14:textId="77777777" w:rsidR="009D7677" w:rsidRDefault="009D7677" w:rsidP="009D7677">
      <w:pPr>
        <w:pStyle w:val="TextoNormal"/>
      </w:pPr>
    </w:p>
    <w:p w14:paraId="1FC71247" w14:textId="77777777" w:rsidR="009D7677" w:rsidRDefault="009D7677" w:rsidP="009D7677">
      <w:pPr>
        <w:pStyle w:val="TextoNormal"/>
      </w:pPr>
      <w:r>
        <w:t>Resulta evidente que, en este caso, a diferencia de otros muchos supuestos enjuiciados por este tribunal, en los que la revocación de la sentencia absolutoria determinó la condena en segunda instancia de los demandantes, el tribunal provincial aquí concernido no ha dictado sentencia condenatoria ni ha agravado un fallo condenatorio precedente. Sin embargo, debemos convenir con el demandante en que el razonamiento que lleva a la revocación de la absolución, mediante una valoración alternativa de la prueba practicada en la instancia, supone de hecho un cuestionamiento directo de la justificación de la duda razonable sobre los hechos expresada motivadamente por la juez de instancia. La afirmación de duda razonable puede impugnarse, pero solo en la medida en que incurra en irrazonabilidad, arbitrariedad o error patente.</w:t>
      </w:r>
    </w:p>
    <w:p w14:paraId="46713EF1" w14:textId="77777777" w:rsidR="009D7677" w:rsidRDefault="009D7677" w:rsidP="009D7677">
      <w:pPr>
        <w:pStyle w:val="TextoNormal"/>
      </w:pPr>
    </w:p>
    <w:p w14:paraId="644D8398" w14:textId="77777777" w:rsidR="009D7677" w:rsidRDefault="009D7677" w:rsidP="009D7677">
      <w:pPr>
        <w:pStyle w:val="TextoNormal"/>
      </w:pPr>
      <w:r>
        <w:t>En tal medida, apreciamos que, en las circunstancias del caso aquí analizado, en el que el tribunal de apelación ordena la repetición del juicio ante un nuevo juzgador, indicándole los criterios con los que ha de valorar las pruebas, la ya reconocida vulneración del derecho a la tutela judicial efectiva mantiene una estrecha relación con el derecho a la presunción de inocencia del demandante de amparo, dado que la fundamentación de la decisión revocatoria no solo constituye una extralimitación de las facultades de apelación sino que tampoco es respetuosa con el contenido genuino del derecho a la presunción de inocencia, según el cual, para justificar la condena penal, la culpabilidad ha de ser probada de forma suficiente, más allá de toda duda razonable. Esta norma de enjuiciamiento sí fue tomada en consideración y observada por la juez de instancia, en tanto establece una regla que le obliga a absolver en caso de duda objetivamente razonada, manteniendo vigente de esta forma la presunción jurídica de inocencia del acusado al no haberse confirmado su culpabilidad mediante pruebas practicadas con todas las garantías.</w:t>
      </w:r>
    </w:p>
    <w:p w14:paraId="7C16FF7A" w14:textId="77777777" w:rsidR="009D7677" w:rsidRDefault="009D7677" w:rsidP="009D7677">
      <w:pPr>
        <w:pStyle w:val="TextoNormal"/>
      </w:pPr>
    </w:p>
    <w:p w14:paraId="6CE6150B" w14:textId="42B970A8" w:rsidR="009D7677" w:rsidRDefault="009D7677" w:rsidP="009D7677">
      <w:pPr>
        <w:pStyle w:val="TextoNormal"/>
      </w:pPr>
      <w:r>
        <w:t>El reconocimiento de las vulneraciones declaradas hace innecesario abordar las restantes quejas sobre las que pivota la demanda, bien por hallarse subsumidas en las que han sido ya estimadas, bien por encontrarse relacionadas con la triple decisión anudada a la nulidad de la sentencia absolutoria: la retroacción de actuaciones, la orden de repetición del juicio oral, y el cambio de juzgador, al que se indica que ha de valorar la prueba practicada conforme a los criterios del órgano de apelación. Apreciamos que mediante los efectos que a continuación se establecen, como consecuencia de las vulneraciones ya declaradas, se repara íntegramente al recurrente en sus derechos sin que sea preciso abordar el resto de los motivos de amparo o la adopción de medidas complementarias.</w:t>
      </w:r>
    </w:p>
    <w:p w14:paraId="77AFC03E" w14:textId="77777777" w:rsidR="009D7677" w:rsidRDefault="009D7677" w:rsidP="009D7677">
      <w:pPr>
        <w:pStyle w:val="TextoNormal"/>
      </w:pPr>
    </w:p>
    <w:p w14:paraId="49A99C42" w14:textId="77777777" w:rsidR="009D7677" w:rsidRDefault="009D7677" w:rsidP="009D7677">
      <w:pPr>
        <w:pStyle w:val="TextoNormal"/>
      </w:pPr>
      <w:r w:rsidRPr="009D7677">
        <w:rPr>
          <w:rStyle w:val="NumeroAFNegritaCaracter"/>
        </w:rPr>
        <w:t>7</w:t>
      </w:r>
      <w:r>
        <w:t xml:space="preserve">. </w:t>
      </w:r>
      <w:r w:rsidRPr="009D7677">
        <w:rPr>
          <w:i/>
        </w:rPr>
        <w:t>Efectos del amparo que se otorga</w:t>
      </w:r>
    </w:p>
    <w:p w14:paraId="456CA1BE" w14:textId="77777777" w:rsidR="009D7677" w:rsidRDefault="009D7677" w:rsidP="009D7677">
      <w:pPr>
        <w:pStyle w:val="TextoNormal"/>
      </w:pPr>
    </w:p>
    <w:p w14:paraId="435C217B" w14:textId="77777777" w:rsidR="009D7677" w:rsidRDefault="009D7677" w:rsidP="009D7677">
      <w:pPr>
        <w:pStyle w:val="TextoNormal"/>
      </w:pPr>
      <w:r>
        <w:t>La vulneración de los derechos del demandante a la tutela judicial efectiva y a la presunción de inocencia que ahora se reconoce (art. 24.1 y 2 CE) comporta la nulidad sin retroacción de actuaciones de la sentencia de apelación impugnada en esta sede, medida que debe también proyectarse al resto de resoluciones indicadas en la demanda que traen causa de aquella, lo que determina la firmeza de la sentencia absolutoria núm. 164/2018, de 29 de mayo, dictada por el Juzgado de lo Penal núm. 2 de Castellón.</w:t>
      </w:r>
    </w:p>
    <w:p w14:paraId="1FFDE192" w14:textId="77777777" w:rsidR="009D7677" w:rsidRDefault="009D7677" w:rsidP="009D7677">
      <w:pPr>
        <w:pStyle w:val="TextoNormal"/>
      </w:pPr>
    </w:p>
    <w:p w14:paraId="2BC26622" w14:textId="77777777" w:rsidR="009D7677" w:rsidRDefault="009D7677" w:rsidP="009D7677">
      <w:pPr>
        <w:pStyle w:val="TextoNormal"/>
      </w:pPr>
      <w:r>
        <w:t xml:space="preserve">A diferencia de otros casos analizados, las vulneraciones de derechos fundamentales que han sido declaradas en este supuesto radican en la propia sentencia de apelación, en su fundamentación y fallo, y no en un momento anterior que tenga que ver con el desarrollo de la causa penal. En la causa penal, durante su tramitación y desarrollo en primera y segunda instancia, fueron respetadas las garantías de un juicio justo, con plena posibilidad de participación, alegación y prueba en favor de las partes personadas. Se trata por tanto de un vicio </w:t>
      </w:r>
      <w:r w:rsidRPr="009D7677">
        <w:rPr>
          <w:i/>
        </w:rPr>
        <w:t>in iudicando</w:t>
      </w:r>
      <w:r>
        <w:t>, que ha sido protagonizado por el órgano de apelación, y no constituye un vicio de forma que pueda o deba subsanarse mediante la vuelta atrás del procedimiento que otorgue una nueva posibilidad de pronunciamiento sobre el recurso de apelación.</w:t>
      </w:r>
    </w:p>
    <w:p w14:paraId="106D636A" w14:textId="77777777" w:rsidR="009D7677" w:rsidRDefault="009D7677" w:rsidP="009D7677">
      <w:pPr>
        <w:pStyle w:val="TextoNormal"/>
      </w:pPr>
    </w:p>
    <w:p w14:paraId="69744864" w14:textId="77777777" w:rsidR="009D7677" w:rsidRDefault="009D7677" w:rsidP="009D7677">
      <w:pPr>
        <w:pStyle w:val="TextoNormal"/>
      </w:pPr>
      <w:r>
        <w:t>A lo expuesto hemos de añadir que, como hemos explicado, las vulneraciones reconocidas, mantienen una estrecha relación con una de las garantías que conforman el contenido del derecho a la presunción de inocencia, singularmente en cuanto cuestionan directa</w:t>
      </w:r>
      <w:r>
        <w:lastRenderedPageBreak/>
        <w:t>mente la duda razonable motivadamente expresada por la juzgadora de instancia (</w:t>
      </w:r>
      <w:r w:rsidRPr="009D7677">
        <w:rPr>
          <w:i/>
        </w:rPr>
        <w:t>in dubio pro reo</w:t>
      </w:r>
      <w:r>
        <w:t>).</w:t>
      </w:r>
    </w:p>
    <w:p w14:paraId="74EC97D5" w14:textId="77777777" w:rsidR="009D7677" w:rsidRDefault="009D7677" w:rsidP="009D7677">
      <w:pPr>
        <w:pStyle w:val="TextoNormal"/>
      </w:pPr>
    </w:p>
    <w:p w14:paraId="406B1F2F" w14:textId="77777777" w:rsidR="009D7677" w:rsidRDefault="009D7677" w:rsidP="009D7677">
      <w:pPr>
        <w:pStyle w:val="TextoNormal"/>
      </w:pPr>
      <w:r>
        <w:t xml:space="preserve">Las sentencias que vulneran la presunción de inocencia, en cualquiera de sus contenidos, expresan un juicio contrario al art. 24.2 CE que, por ello, deviene insubsanablemente nulo. No expresan un mero quebrantamiento de forma que haya de subsanarse, sino que integran un vicio </w:t>
      </w:r>
      <w:r w:rsidRPr="009D7677">
        <w:rPr>
          <w:i/>
        </w:rPr>
        <w:t>in iudicando</w:t>
      </w:r>
      <w:r>
        <w:t>, una infracción de ley que va más allá de una defectuosa o insuficiente motivación.</w:t>
      </w:r>
    </w:p>
    <w:p w14:paraId="2EF57C8E" w14:textId="77777777" w:rsidR="009D7677" w:rsidRDefault="009D7677" w:rsidP="009D7677">
      <w:pPr>
        <w:pStyle w:val="TextoNormal"/>
      </w:pPr>
    </w:p>
    <w:p w14:paraId="38B98D63" w14:textId="249B4B4E" w:rsidR="009D7677" w:rsidRDefault="009D7677" w:rsidP="009D7677">
      <w:pPr>
        <w:pStyle w:val="TextoNormal"/>
      </w:pPr>
      <w:r>
        <w:t>La naturaleza del proceso de amparo como última instancia nacional de protección de los derechos fundamentales, en este caso del acusado, impone que al fijar los efectos del amparo, atendidas las características de las infracciones de derechos fundamentales reconocidas, su reparación efectiva suponga anular la resolución que generó las vulneraciones declarando la firmeza de la sentencia de instancia que, de forma razonada, acordó la absolución del demandante, cerrando así el caso y restableciendo la presunción de inocencia del acusado.</w:t>
      </w:r>
    </w:p>
    <w:p w14:paraId="6D5CBC55" w14:textId="77777777" w:rsidR="009D7677" w:rsidRDefault="009D7677" w:rsidP="009D7677">
      <w:pPr>
        <w:pStyle w:val="TextoNormal"/>
      </w:pPr>
    </w:p>
    <w:p w14:paraId="02ACD668" w14:textId="77777777" w:rsidR="009D7677" w:rsidRDefault="009D7677" w:rsidP="009D7677">
      <w:pPr>
        <w:pStyle w:val="TextoNormalCentrado"/>
        <w:keepNext/>
      </w:pPr>
      <w:r>
        <w:t>FALLO</w:t>
      </w:r>
    </w:p>
    <w:p w14:paraId="5C0DD3A7" w14:textId="197D9AEB" w:rsidR="009D7677" w:rsidRDefault="009D7677" w:rsidP="009D7677">
      <w:pPr>
        <w:pStyle w:val="TextoNormalCentrado"/>
        <w:keepNext/>
      </w:pPr>
    </w:p>
    <w:p w14:paraId="266D8A68" w14:textId="77777777" w:rsidR="009D7677" w:rsidRDefault="009D7677" w:rsidP="009D7677">
      <w:pPr>
        <w:pStyle w:val="TextoNormal"/>
      </w:pPr>
      <w:r>
        <w:t>En atención a todo lo expuesto, el Tribunal Constitucional, por la autoridad que le confiere la Constitución de la Nación española, ha decidido estimar parcialmente el amparo solicitado por don Cristóbal Francisco Ripollés Paús y, en su virtud:</w:t>
      </w:r>
    </w:p>
    <w:p w14:paraId="28F6CA90" w14:textId="77777777" w:rsidR="009D7677" w:rsidRDefault="009D7677" w:rsidP="009D7677">
      <w:pPr>
        <w:pStyle w:val="TextoNormal"/>
      </w:pPr>
    </w:p>
    <w:p w14:paraId="72E80C5C" w14:textId="77777777" w:rsidR="009D7677" w:rsidRDefault="009D7677" w:rsidP="009D7677">
      <w:pPr>
        <w:pStyle w:val="TextoNormal"/>
      </w:pPr>
      <w:r>
        <w:t>1º Declarar que la sentencia dictada en apelación ha vulnerado sus derechos a la tutela judicial efectiva (art. 24.1 CE) y a la presunción de inocencia (art. 24.2 CE).</w:t>
      </w:r>
    </w:p>
    <w:p w14:paraId="694AADBD" w14:textId="77777777" w:rsidR="009D7677" w:rsidRDefault="009D7677" w:rsidP="009D7677">
      <w:pPr>
        <w:pStyle w:val="TextoNormal"/>
      </w:pPr>
    </w:p>
    <w:p w14:paraId="055A096D" w14:textId="19A73110" w:rsidR="009D7677" w:rsidRDefault="009D7677" w:rsidP="009D7677">
      <w:pPr>
        <w:pStyle w:val="TextoNormal"/>
      </w:pPr>
      <w:r>
        <w:t>2º Restablecerle en sus derechos y, a tal fin, declarar la nulidad de la sentencia de la Sección Segunda de la Audiencia Provincial de Castellón, de 20 de diciembre de 2019 (rollo de apelación núm. 821-2018); de la providencia de 28 de abril de 2020 que inadmitió el incidente de nulidad; y del auto de aclaración de 24 de enero de 2020; así como la firmeza de la sentencia absolutoria núm. 164/2018, de 29 de mayo de 2018, dictada por el Juzgado de lo Penal núm. 2 de Castellón.</w:t>
      </w:r>
    </w:p>
    <w:p w14:paraId="50CAAA66" w14:textId="77777777" w:rsidR="009D7677" w:rsidRDefault="009D7677" w:rsidP="009D7677">
      <w:pPr>
        <w:pStyle w:val="TextoNormal"/>
      </w:pPr>
    </w:p>
    <w:p w14:paraId="5EE510B7" w14:textId="77777777" w:rsidR="009D7677" w:rsidRDefault="009D7677" w:rsidP="009D7677">
      <w:pPr>
        <w:pStyle w:val="TextoNormal"/>
      </w:pPr>
      <w:r>
        <w:t>Publíquese esta sentencia en el “Boletín Oficial del Estado”.</w:t>
      </w:r>
    </w:p>
    <w:p w14:paraId="063A6640" w14:textId="77777777" w:rsidR="009D7677" w:rsidRDefault="009D7677" w:rsidP="009D7677">
      <w:pPr>
        <w:pStyle w:val="TextoNormal"/>
      </w:pPr>
      <w:r>
        <w:t>Dada en Madrid, a siete de mayo de dos mil veinticuatro.</w:t>
      </w:r>
    </w:p>
    <w:p w14:paraId="0573FE1C" w14:textId="14BF33FE" w:rsidR="009D7677" w:rsidRDefault="009D7677" w:rsidP="009D7677">
      <w:pPr>
        <w:pStyle w:val="ParrafoNormal"/>
      </w:pPr>
    </w:p>
    <w:p w14:paraId="6CBFCDAE" w14:textId="77777777" w:rsidR="009D7677" w:rsidRDefault="009D7677" w:rsidP="009D7677">
      <w:pPr>
        <w:pStyle w:val="TextoNormalNegritaCentrado"/>
        <w:keepNext/>
      </w:pPr>
      <w:r>
        <w:t>Voto particular que formula la magistrada doña Concepción Espejel Jorquera a la sentencia de fecha 7 de mayo de 2024, dictada en el recurso de amparo avocado núm. 2228-2020</w:t>
      </w:r>
    </w:p>
    <w:p w14:paraId="629355DE" w14:textId="4952136B" w:rsidR="009D7677" w:rsidRDefault="009D7677" w:rsidP="009D7677">
      <w:pPr>
        <w:pStyle w:val="TextoNormalNegritaCentrado"/>
        <w:keepNext/>
      </w:pPr>
    </w:p>
    <w:p w14:paraId="48900A2B" w14:textId="77777777" w:rsidR="009D7677" w:rsidRDefault="009D7677" w:rsidP="009D7677">
      <w:pPr>
        <w:pStyle w:val="TextoNormal"/>
      </w:pPr>
      <w:r>
        <w:t>Con el debido respeto a la decisión de mis compañeros magistrados y haciendo uso de la facultad conferida en el art. 90.2 de la Ley Orgánica del Tribunal Constitucional (LOTC), vengo a expresar mi criterio discrepante de la sentencia dictada en el recurso de amparo avocado núm. 2228-2020.</w:t>
      </w:r>
    </w:p>
    <w:p w14:paraId="16DEC0F8" w14:textId="77777777" w:rsidR="009D7677" w:rsidRDefault="009D7677" w:rsidP="009D7677">
      <w:pPr>
        <w:pStyle w:val="TextoNormal"/>
      </w:pPr>
    </w:p>
    <w:p w14:paraId="64427E4A" w14:textId="77777777" w:rsidR="009D7677" w:rsidRDefault="009D7677" w:rsidP="009D7677">
      <w:pPr>
        <w:pStyle w:val="TextoNormal"/>
      </w:pPr>
      <w:r>
        <w:t xml:space="preserve">Estoy conforme con la estimación del recurso de amparo por vulneración del derecho a la tutela judicial efectiva, en los términos en que se ha pronunciado el Tribunal, al haber </w:t>
      </w:r>
      <w:r>
        <w:lastRenderedPageBreak/>
        <w:t>procedido la Sala de apelación a efectuar sin inmediación una proscrita revaloración de pruebas personales practicadas en primera instancia por el juzgado de lo penal.</w:t>
      </w:r>
    </w:p>
    <w:p w14:paraId="572D89E5" w14:textId="77777777" w:rsidR="009D7677" w:rsidRDefault="009D7677" w:rsidP="009D7677">
      <w:pPr>
        <w:pStyle w:val="TextoNormal"/>
      </w:pPr>
    </w:p>
    <w:p w14:paraId="4757E7F6" w14:textId="77777777" w:rsidR="009D7677" w:rsidRDefault="009D7677" w:rsidP="009D7677">
      <w:pPr>
        <w:pStyle w:val="TextoNormal"/>
      </w:pPr>
      <w:r>
        <w:t>Discrepo, sin embargo, de la sentencia con base en las siguientes consideraciones:</w:t>
      </w:r>
    </w:p>
    <w:p w14:paraId="1F7341B7" w14:textId="77777777" w:rsidR="009D7677" w:rsidRDefault="009D7677" w:rsidP="009D7677">
      <w:pPr>
        <w:pStyle w:val="TextoNormal"/>
      </w:pPr>
    </w:p>
    <w:p w14:paraId="7486EE50" w14:textId="77777777" w:rsidR="009D7677" w:rsidRDefault="009D7677" w:rsidP="009D7677">
      <w:pPr>
        <w:pStyle w:val="TextoNormal"/>
      </w:pPr>
      <w:r>
        <w:t>1. Aplicación retroactiva del régimen del recurso de apelación penal instaurado por la Ley 41/2015, de 5 de octubre, de modificación de la Ley de enjuiciamiento criminal para la agilización de la justicia penal y el fortalecimiento de las garantías procesales</w:t>
      </w:r>
    </w:p>
    <w:p w14:paraId="539129C8" w14:textId="77777777" w:rsidR="009D7677" w:rsidRDefault="009D7677" w:rsidP="009D7677">
      <w:pPr>
        <w:pStyle w:val="TextoNormal"/>
      </w:pPr>
    </w:p>
    <w:p w14:paraId="361875D8" w14:textId="77777777" w:rsidR="009D7677" w:rsidRDefault="009D7677" w:rsidP="009D7677">
      <w:pPr>
        <w:pStyle w:val="TextoNormal"/>
      </w:pPr>
      <w:r>
        <w:t>En varios puntos de su fundamentación, la sentencia a la que formulo voto particular limita el ámbito del recurso de apelación de sentencias absolutorias a un mero “control externo sobre la fundamentación jurídica de la sentencia absolutoria”, limitación que extiende tanto a los procedimientos iniciados con posterioridad a la entrada en vigor de la citada Ley 41/2015, de 5 de octubre, a los que resulta aplicable el art. 790 LECrim en su actual redacción, como a los iniciados con anterioridad a dicha reforma, como es el caso de la causa en la que fue dictada la sentencia de apelación impugnada en el presente procedimiento de amparo.</w:t>
      </w:r>
    </w:p>
    <w:p w14:paraId="0439D410" w14:textId="77777777" w:rsidR="009D7677" w:rsidRDefault="009D7677" w:rsidP="009D7677">
      <w:pPr>
        <w:pStyle w:val="TextoNormal"/>
      </w:pPr>
    </w:p>
    <w:p w14:paraId="0913F3C4" w14:textId="77777777" w:rsidR="009D7677" w:rsidRDefault="009D7677" w:rsidP="009D7677">
      <w:pPr>
        <w:pStyle w:val="TextoNormal"/>
      </w:pPr>
      <w:r>
        <w:t>Llama la atención que se prescinda de la relevancia de la normativa procesal que resultaba aplicable a la causa en que se adoptó la resolución impugnada en el presente recurso de amparo, máxime cuando tanto la parte recurrente como el fiscal inciden en que la reforma operada por la Ley 41/2015 no es de aplicación al caso enjuiciado.</w:t>
      </w:r>
    </w:p>
    <w:p w14:paraId="5FFB5C14" w14:textId="77777777" w:rsidR="009D7677" w:rsidRDefault="009D7677" w:rsidP="009D7677">
      <w:pPr>
        <w:pStyle w:val="TextoNormal"/>
      </w:pPr>
    </w:p>
    <w:p w14:paraId="18C167B1" w14:textId="77777777" w:rsidR="009D7677" w:rsidRDefault="009D7677" w:rsidP="009D7677">
      <w:pPr>
        <w:pStyle w:val="TextoNormal"/>
      </w:pPr>
      <w:r>
        <w:t>Pese a ello, la sentencia extrae unas consecuencias de las que, como seguidamente expondré, discrepo parcialmente en cuanto suponen una limitación del alcance de la apelación penal, incluso en los supuestos de pruebas que no requieren de inmediación para su valoración, limitación que este tribunal no había efectuado bajo la vigencia de la normativa procesal anterior a la referida modificación legislativa y que, entiendo, tampoco son consecuencia obligada de la estricta aplicación de la nueva regulación, en la que no se debió de centrar el debate al no resultar aplicable retroactivamente a procedimientos iniciados antes de su entrada en vigor.</w:t>
      </w:r>
    </w:p>
    <w:p w14:paraId="5BE2222E" w14:textId="77777777" w:rsidR="009D7677" w:rsidRDefault="009D7677" w:rsidP="009D7677">
      <w:pPr>
        <w:pStyle w:val="TextoNormal"/>
      </w:pPr>
    </w:p>
    <w:p w14:paraId="2340F6D4" w14:textId="77777777" w:rsidR="009D7677" w:rsidRDefault="009D7677" w:rsidP="009D7677">
      <w:pPr>
        <w:pStyle w:val="TextoNormal"/>
      </w:pPr>
      <w:r>
        <w:t>Respecto a la relevancia de la determinación de la normativa procesal aplicable, procede recordar que el auto 110/2018, de 16 de octubre, del Pleno del Tribunal Constitucional, citado tanto por la parte recurrente como por el fiscal, inadmitió una cuestión de inconstitucionalidad formulada frente al párrafo segundo del art. 792.2 LECrim, en la redacción dada al mismo por el artículo único.8 de la Ley 41/2015, por incumplimiento del juicio de aplicabilidad, al plantearse en un procedimiento iniciado con anterioridad a la entrada en vigor de la referida ley. Señaló este tribunal que la disposición transitoria única.1 de dicha norma establece que “[e]sta ley se aplicará a los procedimientos penales incoados con posterioridad a su entrada en vigor”, y recordó que “la jurisprudencia pacífica de la Sala Segunda del Tribunal Supremo (máximo intérprete de la legalidad ordinaria: art. 123 CE) viene declarando que, a efectos de la mencionada disposición transitoria, se entiende por la fecha de ‘incoación del procedimiento’, aquella en la que tiene lugar la apertura de las diligencias por el órgano judicial instructor en el proceso abreviado”. Citó el auto de la Sala de lo Penal del Tribunal Supremo de 10 de mayo de 2018 cuando declara que “[p]ara concretar la fecha de incoación ha de atenderse a la de la causa, cualquiera que sea la modalidad procedimental a que se ajustase y con independencia de las eventuales transforma</w:t>
      </w:r>
      <w:r>
        <w:lastRenderedPageBreak/>
        <w:t>ciones de procedimiento que hayan podido producirse. El procedimiento abreviado no es un procedimiento distinto a las diligencias previas, sino en todo caso una denominación que abarca toda la secuencia desde la incoación de diligencias previas hasta la sentencia que le pone fin (título II del libro IV de la LECrim); y, dentro de ella, también, a la fase que se inicia cuando las diligencias previas culminan con el traslado a las acusaciones para que formulen su acusación o piden el sobreseimiento. El procedimiento es el mismo; como sigue siéndolo cuando se remite al juzgado de lo penal para enjuiciamiento o cuando se interpone recurso contra la sentencia. Por tanto, no puede atenderse al argumento de estar no a la fecha de incoación de las diligencias previas sino a la de los recursos, debiendo aplicarse el efecto retroactivo ya que favorece al reo [...] En consecuencia, no cabe hablar de retroactividad cuando la Ley establece expresamente el alcance en el tiempo de la norma en cuestión. Conviene recordar que las leyes procesales no son leyes penales, por lo que no es posible el efecto retroactivo de las mismas, sino que únicamente son aplicables a los procedimientos en vigor con arreglo a las circunstancias establecidas para el procedimiento aplicable”.</w:t>
      </w:r>
    </w:p>
    <w:p w14:paraId="440C568C" w14:textId="77777777" w:rsidR="009D7677" w:rsidRDefault="009D7677" w:rsidP="009D7677">
      <w:pPr>
        <w:pStyle w:val="TextoNormal"/>
      </w:pPr>
    </w:p>
    <w:p w14:paraId="6BF66C31" w14:textId="77777777" w:rsidR="009D7677" w:rsidRDefault="009D7677" w:rsidP="009D7677">
      <w:pPr>
        <w:pStyle w:val="TextoNormal"/>
      </w:pPr>
      <w:r>
        <w:t xml:space="preserve">El mencionado ATC 110/2018 puntualizó, finalmente, que quedaba extramuros de la cuestión de inconstitucionalidad el control de las eventuales vulneraciones de derechos fundamentales que se llegasen a atribuir por alguna de las partes del proceso </w:t>
      </w:r>
      <w:r w:rsidRPr="009D7677">
        <w:rPr>
          <w:i/>
        </w:rPr>
        <w:t>a quo</w:t>
      </w:r>
      <w:r>
        <w:t xml:space="preserve"> a la propia sentencia de apelación, que declaró la nulidad de la sentencia absolutoria dictada en primera instancia.</w:t>
      </w:r>
    </w:p>
    <w:p w14:paraId="38EC27D3" w14:textId="77777777" w:rsidR="009D7677" w:rsidRDefault="009D7677" w:rsidP="009D7677">
      <w:pPr>
        <w:pStyle w:val="TextoNormal"/>
      </w:pPr>
    </w:p>
    <w:p w14:paraId="0A60DB0C" w14:textId="77777777" w:rsidR="009D7677" w:rsidRDefault="009D7677" w:rsidP="009D7677">
      <w:pPr>
        <w:pStyle w:val="TextoNormal"/>
      </w:pPr>
      <w:r>
        <w:t>A este respecto, considero conveniente recordar que el recurso de amparo núm. 1466-2018, interpuesto por uno de los acusados contra la sentencia de apelación dictada en aquel caso y que acordó la retroacción de actuaciones, así como frente al posterior auto que rechazó el incidente de nulidad, fue en su momento inadmitido al apreciar que incurría en falta de especial transcendencia constitucional, al contrario del caso que nos ocupa, que, como seguidamente expondré, fue admitido por tratarse de una faceta de un derecho fundamental sobre la que no existe doctrina, vinculado en la sentencia a la modificación legislativa operada por Ley 41/2015 que, como he indicado, no era aplicable al caso.</w:t>
      </w:r>
    </w:p>
    <w:p w14:paraId="234AF650" w14:textId="77777777" w:rsidR="009D7677" w:rsidRDefault="009D7677" w:rsidP="009D7677">
      <w:pPr>
        <w:pStyle w:val="TextoNormal"/>
      </w:pPr>
    </w:p>
    <w:p w14:paraId="370E3AA6" w14:textId="77777777" w:rsidR="009D7677" w:rsidRDefault="009D7677" w:rsidP="009D7677">
      <w:pPr>
        <w:pStyle w:val="TextoNormal"/>
      </w:pPr>
      <w:r>
        <w:t>No comparto las consideraciones sobre las cuales se resta transcendencia a la inaplicabilidad de la norma modificada (también apuntada por el fiscal).</w:t>
      </w:r>
    </w:p>
    <w:p w14:paraId="0F191EE1" w14:textId="77777777" w:rsidR="009D7677" w:rsidRDefault="009D7677" w:rsidP="009D7677">
      <w:pPr>
        <w:pStyle w:val="TextoNormal"/>
      </w:pPr>
    </w:p>
    <w:p w14:paraId="64FB19E5" w14:textId="77777777" w:rsidR="009D7677" w:rsidRDefault="009D7677" w:rsidP="009D7677">
      <w:pPr>
        <w:pStyle w:val="TextoNormal"/>
      </w:pPr>
      <w:r>
        <w:t>Después de hacer cita de la reiterada doctrina constitucional que ha reconocido que, entre las exigencias constitucionales que derivan del ejercicio de la acción penal por los acusadores, se encuentra la de recibir una respuesta motivada y fundada en Derecho sobre la pretensión de condena, la sentencia puntualiza que “[e]n definitiva, con independencia de que fuera o no aplicable al caso lo dispuesto en la redacción actual de los arts. 790.2 y 792.2 LECrim, cabe concluir que el tribunal de apelación estaba habilitado legalmente para revisar el fundamento fáctico de la decisión absolutoria pues, habiendo alegado el Ministerio Fiscal la existencia de error en la valoración de la prueba como motivo de apelación, revocó la sentencia apelada tras considerar indebida una valoración de la prueba que reputó insuficientemente motivada e ilógica, lo que equivale a afirmar que la juzgadora de instancia no había dado una respuesta fundada en Derecho a la pretensión acusatoria”.</w:t>
      </w:r>
    </w:p>
    <w:p w14:paraId="4D95BFEC" w14:textId="77777777" w:rsidR="009D7677" w:rsidRDefault="009D7677" w:rsidP="009D7677">
      <w:pPr>
        <w:pStyle w:val="TextoNormal"/>
      </w:pPr>
    </w:p>
    <w:p w14:paraId="40971683" w14:textId="77777777" w:rsidR="009D7677" w:rsidRDefault="009D7677" w:rsidP="009D7677">
      <w:pPr>
        <w:pStyle w:val="TextoNormal"/>
      </w:pPr>
      <w:r>
        <w:lastRenderedPageBreak/>
        <w:t xml:space="preserve">Pero, seguidamente, se matiza que “[c]uestión distinta, que será analizada a continuación, es si la estimación del recurso del Ministerio Fiscal por parte del tribunal </w:t>
      </w:r>
      <w:r w:rsidRPr="009D7677">
        <w:rPr>
          <w:i/>
        </w:rPr>
        <w:t>ad quem</w:t>
      </w:r>
      <w:r>
        <w:t xml:space="preserve"> ha respetado los límites legales y constitucionales existentes, que, en este último caso, como es obvio, se proyectan sobre la situación normativa previa y posterior a la reforma de 2015”.</w:t>
      </w:r>
    </w:p>
    <w:p w14:paraId="75C7CE96" w14:textId="77777777" w:rsidR="009D7677" w:rsidRDefault="009D7677" w:rsidP="009D7677">
      <w:pPr>
        <w:pStyle w:val="TextoNormal"/>
      </w:pPr>
    </w:p>
    <w:p w14:paraId="71F56375" w14:textId="77777777" w:rsidR="009D7677" w:rsidRDefault="009D7677" w:rsidP="009D7677">
      <w:pPr>
        <w:pStyle w:val="TextoNormal"/>
      </w:pPr>
      <w:r>
        <w:t>De la forma expuesta, la sentencia viene a restar transcendencia al hecho incontrovertido de que la reforma operada por la Ley 41/2015 no es aplicable al caso examinado.</w:t>
      </w:r>
    </w:p>
    <w:p w14:paraId="7A1AC392" w14:textId="77777777" w:rsidR="009D7677" w:rsidRDefault="009D7677" w:rsidP="009D7677">
      <w:pPr>
        <w:pStyle w:val="TextoNormal"/>
      </w:pPr>
    </w:p>
    <w:p w14:paraId="34B12D38" w14:textId="77777777" w:rsidR="009D7677" w:rsidRDefault="009D7677" w:rsidP="009D7677">
      <w:pPr>
        <w:pStyle w:val="TextoNormal"/>
      </w:pPr>
      <w:r>
        <w:t>Discrepo de esta premisa, en primer término y como he indicado, debido a que la propia sentencia incardina la transcendencia constitucional del asunto en la inexistencia de doctrina en torno al alcance de la facultad de impugnación de las sentencias penales absolutorias basadas en la existencia de duda razonable y también, en su caso, sobre la posibilidad de revocarlas, en atención a las posibilidades de impugnación que, en favor de los acusadores, se especifican en la nueva redacción de los artículos 790 y 792 de la Ley de enjuiciamiento criminal dada por la Ley 41/2015, de 5 de octubre, cuando la eventual impugnación, o la revocación, vienen fundamentadas en la discrepancia sobre el juicio fáctico que expresan, preceptos que no son aplicables al caso examinado.</w:t>
      </w:r>
    </w:p>
    <w:p w14:paraId="57BF69FB" w14:textId="77777777" w:rsidR="009D7677" w:rsidRDefault="009D7677" w:rsidP="009D7677">
      <w:pPr>
        <w:pStyle w:val="TextoNormal"/>
      </w:pPr>
    </w:p>
    <w:p w14:paraId="2E21D71B" w14:textId="77777777" w:rsidR="009D7677" w:rsidRDefault="009D7677" w:rsidP="009D7677">
      <w:pPr>
        <w:pStyle w:val="TextoNormal"/>
      </w:pPr>
      <w:r>
        <w:t>Por otro lado, la propia sentencia, tras exponer que las acusaciones no son titulares del derecho al doble grado de jurisdicción (STC 33/1989, de 13 de febrero, FJ 4), puntualiza que “[s]in embargo, en cuanto lo son del derecho a la tutela judicial efectiva sin indefensión, tienen derecho a revisar el fallo de primera instancia con el alcance y por los motivos que derivan del modelo de revisión determinado legalmente”. Igualmente, tras afirmar que el legislador cuenta con una amplia libertad de configuración para establecer un tipo u otro de recurso y su alcance, añade que “aunque una vez reconocido en la ley, en su concreta configuración legal, es una vertiente del derecho constitucional a la tutela judicial efectiva, en cuanto garantiza el derecho de acceso a los recursos establecidos por la ley (SSTC 176/1990, de 12 de noviembre; 37/1995, de 7 de febrero, o 150/2004, de 20 de septiembre)”.</w:t>
      </w:r>
    </w:p>
    <w:p w14:paraId="0D016F98" w14:textId="77777777" w:rsidR="009D7677" w:rsidRDefault="009D7677" w:rsidP="009D7677">
      <w:pPr>
        <w:pStyle w:val="TextoNormal"/>
      </w:pPr>
    </w:p>
    <w:p w14:paraId="42DE1516" w14:textId="77777777" w:rsidR="009D7677" w:rsidRDefault="009D7677" w:rsidP="009D7677">
      <w:pPr>
        <w:pStyle w:val="TextoNormal"/>
      </w:pPr>
      <w:r>
        <w:t>En tales circunstancias, no puedo compartir que resulte irrelevante cuál fuera la concreta regulación legal del recurso de apelación cuando la acusación ejerció su derecho al mismo, ya que, como la propia sentencia también reconoce “[e]n un Estado constitucional de Derecho, las decisiones penales se justifican por haber sido adoptadas de acuerdo con los procedimientos establecidos en la ley y ser respetuosas con el contenido de los derechos fundamentales. Por ello, una vez establecido legalmente el recurso que permite la revisión en segundo o posterior grado de una sentencia absolutoria (sea en apelación o casación), su régimen, en cuanto a su admisión y resolución se rige por el derecho a la tutela judicial efectiva garantizado en el art. 24.1 CE: es un derecho de configuración legal que, cuando se ejercita, exige también como respuesta una resolución fundada en Derecho sobre la pretensión impugnatoria ejercitada”.</w:t>
      </w:r>
    </w:p>
    <w:p w14:paraId="7639B895" w14:textId="77777777" w:rsidR="009D7677" w:rsidRDefault="009D7677" w:rsidP="009D7677">
      <w:pPr>
        <w:pStyle w:val="TextoNormal"/>
      </w:pPr>
    </w:p>
    <w:p w14:paraId="16700ABE" w14:textId="77777777" w:rsidR="009D7677" w:rsidRDefault="009D7677" w:rsidP="009D7677">
      <w:pPr>
        <w:pStyle w:val="TextoNormal"/>
      </w:pPr>
      <w:r>
        <w:t>De modo que no cabe ignorar que los arts. 790 y 792 LECrim actualmente vigentes no resultan aplicables al caso enjuiciado y que la acusación en el proceso penal podía ejercer el derecho al recurso de conformidad con lo dispuesto en la anterior regulación contenida en el art. 790.2 LECrim, vigente en el momento de la incoación del procedimiento, precepto que no distinguía entre las sentencias condenatorias y las absolutorias y que estable</w:t>
      </w:r>
      <w:r>
        <w:lastRenderedPageBreak/>
        <w:t xml:space="preserve">cía, en lo que ahora interesa, que “[e]l escrito de formalización del recurso se presentará ante el órgano que dictó la resolución que se impugne, y en él se expondrán, ordenadamente, las alegaciones sobre el quebrantamiento de las normas y garantías procesales, error en la apreciación de las pruebas o infracción de normas del ordenamiento jurídico en que se base la impugnación”. Por su parte el art. 792 de la LECrim entonces aplicable no impedía la revocación de una sentencia absolutoria y que fuera dictado un pronunciamiento de condena por el tribunal </w:t>
      </w:r>
      <w:r w:rsidRPr="009D7677">
        <w:rPr>
          <w:i/>
        </w:rPr>
        <w:t>ad quem</w:t>
      </w:r>
      <w:r>
        <w:t>, posibilidad actualmente proscrita en el apartado 2 del art. 792, que únicamente permite la anulación de la sentencia en los términos y supuestos establecidos en el actual art. 790.2 LECrim.</w:t>
      </w:r>
    </w:p>
    <w:p w14:paraId="61896F93" w14:textId="77777777" w:rsidR="009D7677" w:rsidRDefault="009D7677" w:rsidP="009D7677">
      <w:pPr>
        <w:pStyle w:val="TextoNormal"/>
      </w:pPr>
    </w:p>
    <w:p w14:paraId="02C341FD" w14:textId="77777777" w:rsidR="009D7677" w:rsidRDefault="009D7677" w:rsidP="009D7677">
      <w:pPr>
        <w:pStyle w:val="TextoNormal"/>
      </w:pPr>
      <w:r>
        <w:t>Aunque, reitero, comparto la conclusión de que la sentencia de la audiencia vulneró el derecho a un procedimiento con todas las garantías del acusado absuelto, al haber reevaluado determinadas pruebas que requerían de contradicción e inmediación para ser valoradas, como sostienen tanto la parte recurrente como el fiscal, que centraron en ello sus impugnaciones, disiento de la absoluta falta de relevancia que otorga a la circunstancia de no resultar aplicable al caso la modificación legislativa en la que se centró la transcendencia constitucional del asunto, así como de las consecuencias constitucionales que la sentencia proyecta sin distinciones a los regímenes normativos previo y posterior a la reforma, máxime cuando tanto de la doctrina anterior como de la posterior a la misma, parte de la cual se cita en la propia sentencia, no resulta la limitación del alcance de la apelación penal, cuando se invoca error en la valoración de la prueba, a un mero juicio externo de los razonamientos de la sentencia, sin posibilidad alguna de control de las pruebas incluso en el supuesto de que estas no requieran inmediación y se haya cumplido la exigencia de audiencia al acusado en los términos exigidos por el Tribunal Europeo de Derechos Humanos y por este Tribunal Constitucional.</w:t>
      </w:r>
    </w:p>
    <w:p w14:paraId="4E62F8CE" w14:textId="77777777" w:rsidR="009D7677" w:rsidRDefault="009D7677" w:rsidP="009D7677">
      <w:pPr>
        <w:pStyle w:val="TextoNormal"/>
      </w:pPr>
    </w:p>
    <w:p w14:paraId="795F0B06" w14:textId="77777777" w:rsidR="009D7677" w:rsidRDefault="009D7677" w:rsidP="009D7677">
      <w:pPr>
        <w:pStyle w:val="TextoNormal"/>
      </w:pPr>
      <w:r>
        <w:t>2. Falta de exacta congruencia entre los términos planteados en el recurso de amparo y l</w:t>
      </w:r>
      <w:r w:rsidRPr="009D7677">
        <w:rPr>
          <w:i/>
        </w:rPr>
        <w:t>a ratio deciden</w:t>
      </w:r>
      <w:r>
        <w:t>di de la sentencia</w:t>
      </w:r>
    </w:p>
    <w:p w14:paraId="2B808CF9" w14:textId="77777777" w:rsidR="009D7677" w:rsidRDefault="009D7677" w:rsidP="009D7677">
      <w:pPr>
        <w:pStyle w:val="TextoNormal"/>
      </w:pPr>
    </w:p>
    <w:p w14:paraId="2E727FE9" w14:textId="77777777" w:rsidR="009D7677" w:rsidRDefault="009D7677" w:rsidP="009D7677">
      <w:pPr>
        <w:pStyle w:val="TextoNormal"/>
      </w:pPr>
      <w:r>
        <w:t>En este punto he de insistir en que el planteamiento del amparo efectuado por la parte recurrente y las alegaciones efectuadas al respecto por el Ministerio Fiscal no resultan coincidentes con las que dice planteadas la sentencia.</w:t>
      </w:r>
    </w:p>
    <w:p w14:paraId="52151EE9" w14:textId="77777777" w:rsidR="009D7677" w:rsidRDefault="009D7677" w:rsidP="009D7677">
      <w:pPr>
        <w:pStyle w:val="TextoNormal"/>
      </w:pPr>
    </w:p>
    <w:p w14:paraId="3B0F5F4C" w14:textId="77777777" w:rsidR="009D7677" w:rsidRDefault="009D7677" w:rsidP="009D7677">
      <w:pPr>
        <w:pStyle w:val="TextoNormal"/>
      </w:pPr>
      <w:r>
        <w:t>Al margen de que ambas partes coinciden en afirmar que la reforma de 2015 no es aplicable, las mismas centraron su impugnación en que el tribunal de apelación realizó una indebida valoración de pruebas personales sin inmediación, publicidad y contradicción.</w:t>
      </w:r>
    </w:p>
    <w:p w14:paraId="21E1B379" w14:textId="77777777" w:rsidR="009D7677" w:rsidRDefault="009D7677" w:rsidP="009D7677">
      <w:pPr>
        <w:pStyle w:val="TextoNormal"/>
      </w:pPr>
    </w:p>
    <w:p w14:paraId="2E56BCFA" w14:textId="77777777" w:rsidR="009D7677" w:rsidRDefault="009D7677" w:rsidP="009D7677">
      <w:pPr>
        <w:pStyle w:val="TextoNormal"/>
      </w:pPr>
      <w:r>
        <w:t>En el fundamento jurídico 4 titulado “La asimétrica posición de las partes en el proceso penal: límites y consecuencias del juicio de apelación”, se señala que “es motivo nuclear del recurso de amparo el cuestionamiento del alcance y límites de la revisión en apelación del juicio sobre los hechos que justificó en la instancia la sentencia que, apreciando duda razonable, absolvió al recurrente de la acusación por un delito contra los recursos naturales y el medio ambiente. Tanto el demandante como el Ministerio Fiscal aprecian que la sentencia de apelación rebasó sus facultades de control externo del juicio fáctico de instancia al fundamentar la estimación del recurso en una conclusión probatoria alternativa”.</w:t>
      </w:r>
    </w:p>
    <w:p w14:paraId="2235DC73" w14:textId="77777777" w:rsidR="009D7677" w:rsidRDefault="009D7677" w:rsidP="009D7677">
      <w:pPr>
        <w:pStyle w:val="TextoNormal"/>
      </w:pPr>
    </w:p>
    <w:p w14:paraId="0B129750" w14:textId="77777777" w:rsidR="009D7677" w:rsidRDefault="009D7677" w:rsidP="009D7677">
      <w:pPr>
        <w:pStyle w:val="TextoNormal"/>
      </w:pPr>
      <w:r>
        <w:t xml:space="preserve">Sin embargo, ni el demandante ni el fiscal atribuyeron al órgano </w:t>
      </w:r>
      <w:r w:rsidRPr="009D7677">
        <w:rPr>
          <w:i/>
        </w:rPr>
        <w:t>ad quem</w:t>
      </w:r>
      <w:r>
        <w:t xml:space="preserve"> una mera facultad de control externo del juicio fáctico ni tampoco invocaron la necesidad de “afrontar </w:t>
      </w:r>
      <w:r>
        <w:lastRenderedPageBreak/>
        <w:t>la cuestión novedosa que plantea este recurso de amparo, que se refiere a determinar el alcance y límites constitucionales de la facultad de impugnación y revisión de las sentencias penales absolutorias basadas en la apreciación motivada de duda razonable y también, en su caso, sobre la posibilidad de revocarlas”, a lo que también se alude en el mencionado fundamento jurídico 4.</w:t>
      </w:r>
    </w:p>
    <w:p w14:paraId="2F16CF47" w14:textId="77777777" w:rsidR="009D7677" w:rsidRDefault="009D7677" w:rsidP="009D7677">
      <w:pPr>
        <w:pStyle w:val="TextoNormal"/>
      </w:pPr>
    </w:p>
    <w:p w14:paraId="5ED8412F" w14:textId="77777777" w:rsidR="009D7677" w:rsidRDefault="009D7677" w:rsidP="009D7677">
      <w:pPr>
        <w:pStyle w:val="TextoNormal"/>
      </w:pPr>
      <w:r>
        <w:t>Como he expuesto precedentemente, en contra de lo afirmado en la sentencia, en el presente recurso de amparo la cuestión realmente planteada por el demandante no resultaba novedosa, pues había sido reiteradamente tratada en nuestra doctrina y la reforma operada mediante la Ley 41/2015 no resulta aplicable al caso enjuiciado, en lo que coincidían tanto el recurrente como el fiscal.</w:t>
      </w:r>
    </w:p>
    <w:p w14:paraId="059F0D73" w14:textId="77777777" w:rsidR="009D7677" w:rsidRDefault="009D7677" w:rsidP="009D7677">
      <w:pPr>
        <w:pStyle w:val="TextoNormal"/>
      </w:pPr>
    </w:p>
    <w:p w14:paraId="317323C4" w14:textId="77777777" w:rsidR="009D7677" w:rsidRDefault="009D7677" w:rsidP="009D7677">
      <w:pPr>
        <w:pStyle w:val="TextoNormal"/>
      </w:pPr>
      <w:r>
        <w:t>3. Limitación del ámbito del recurso de apelación de sentencias absolutorias a un “mero control externo” de la fundamentación de la sentencia, sin posibilidad alguna de examen de las pruebas cuando se alega error en su valoración. Contraste con la doctrina constitucional en materia de revocación de sentencias absolutorias en superior grado jurisdiccional</w:t>
      </w:r>
    </w:p>
    <w:p w14:paraId="2E8EADE1" w14:textId="77777777" w:rsidR="009D7677" w:rsidRDefault="009D7677" w:rsidP="009D7677">
      <w:pPr>
        <w:pStyle w:val="TextoNormal"/>
      </w:pPr>
    </w:p>
    <w:p w14:paraId="0A5D61E9" w14:textId="77777777" w:rsidR="009D7677" w:rsidRDefault="009D7677" w:rsidP="009D7677">
      <w:pPr>
        <w:pStyle w:val="TextoNormal"/>
      </w:pPr>
      <w:r>
        <w:t>Tampoco puedo compartir la siguiente afirmación contenida en la sentencia: “Aunque solo desde la reforma operada en la Ley de enjuiciamiento criminal por la citada Ley 41/2015, de 5 de octubre, ha sido expresamente reconocida en su art. 792.2 la prohibición de condenar en apelación al encausado absuelto en primera instancia, o de agravar la condena previa como consecuencia de la apreciación de un error en la valoración de la prueba, dicha regla estaba vigente en nuestro ordenamiento jurídico desde la STC 167/2002, de 18 de septiembre (del Pleno)”.</w:t>
      </w:r>
    </w:p>
    <w:p w14:paraId="7F21ED0B" w14:textId="77777777" w:rsidR="009D7677" w:rsidRDefault="009D7677" w:rsidP="009D7677">
      <w:pPr>
        <w:pStyle w:val="TextoNormal"/>
      </w:pPr>
    </w:p>
    <w:p w14:paraId="63592673" w14:textId="77777777" w:rsidR="009D7677" w:rsidRDefault="009D7677" w:rsidP="009D7677">
      <w:pPr>
        <w:pStyle w:val="TextoNormal"/>
      </w:pPr>
      <w:r>
        <w:t xml:space="preserve">La mencionada sentencia no prohibía en términos absolutos la condena en apelación de un absuelto en la instancia y, mucho menos, impedía cualquier valoración de la prueba por el órgano </w:t>
      </w:r>
      <w:r w:rsidRPr="009D7677">
        <w:rPr>
          <w:i/>
        </w:rPr>
        <w:t>ad quem</w:t>
      </w:r>
      <w:r>
        <w:t>, ni atribuía al mismo un mero control externo de la fundamentación de la sentencia recurrida.</w:t>
      </w:r>
    </w:p>
    <w:p w14:paraId="1DC8F630" w14:textId="77777777" w:rsidR="009D7677" w:rsidRDefault="009D7677" w:rsidP="009D7677">
      <w:pPr>
        <w:pStyle w:val="TextoNormal"/>
      </w:pPr>
    </w:p>
    <w:p w14:paraId="7563D20F" w14:textId="77777777" w:rsidR="009D7677" w:rsidRDefault="009D7677" w:rsidP="009D7677">
      <w:pPr>
        <w:pStyle w:val="TextoNormal"/>
      </w:pPr>
      <w:r>
        <w:t>En la STC 167/2002, de 18 septiembre, el Tribunal se planteó si en el contenido del derecho fundamental a un proceso con todas las garantías (art. 24.2 CE), entre las que se integran las exigencias de inmediación y contradicción, puede encontrarse un límite para la revisión de la valoración de la prueba por el órgano llamado a decidir el recurso de apelación, y si tal posible límite se respetó en un caso en el que se revisó la valoración de las declaraciones de los acusados no practicadas en presencia del tribunal de apelación, que otorgó mayor eficacia probatoria a las prestadas en fase de instrucción que a las practicadas en el plenario.</w:t>
      </w:r>
    </w:p>
    <w:p w14:paraId="3A744B75" w14:textId="77777777" w:rsidR="009D7677" w:rsidRDefault="009D7677" w:rsidP="009D7677">
      <w:pPr>
        <w:pStyle w:val="TextoNormal"/>
      </w:pPr>
    </w:p>
    <w:p w14:paraId="68543579" w14:textId="77777777" w:rsidR="009D7677" w:rsidRDefault="009D7677" w:rsidP="009D7677">
      <w:pPr>
        <w:pStyle w:val="TextoNormal"/>
      </w:pPr>
      <w:r>
        <w:t xml:space="preserve">Aquella sentencia puntualizó que “[p]ara la solución de tal problema constitucional no basta solo con que en la apelación el órgano </w:t>
      </w:r>
      <w:r w:rsidRPr="009D7677">
        <w:rPr>
          <w:i/>
        </w:rPr>
        <w:t>ad quem</w:t>
      </w:r>
      <w:r>
        <w:t xml:space="preserve"> haya respetado la literalidad del art. 795 LECrim, en el que se regula el recurso de apelación en el procedimiento abreviado, sino que es necesario en todo caso partir de una interpretación de dicho precepto conforme con la Constitución, hasta donde su sentido literal lo permita (y dejando aparte en caso contrario la posibilidad de planteamiento de la cuestión de inconstitucionalidad) para dar entrada en él a las exigencias del derecho fundamental a un proceso con todas las garantías”.</w:t>
      </w:r>
    </w:p>
    <w:p w14:paraId="30B35B59" w14:textId="77777777" w:rsidR="009D7677" w:rsidRDefault="009D7677" w:rsidP="009D7677">
      <w:pPr>
        <w:pStyle w:val="TextoNormal"/>
      </w:pPr>
    </w:p>
    <w:p w14:paraId="52E29CA4" w14:textId="77777777" w:rsidR="009D7677" w:rsidRDefault="009D7677" w:rsidP="009D7677">
      <w:pPr>
        <w:pStyle w:val="TextoNormal"/>
      </w:pPr>
      <w:r>
        <w:lastRenderedPageBreak/>
        <w:t>Efectivamente, la sentencia indicó que “[l]a dificultad que puede suscitar en el problema genéricamente enunciado relativo a la interpretación constitucionalmente conforme del art. 795 de la LECrim en relación con el art. 24.2 CE, no es evidentemente la misma en la aplicación de dicho art. 795 LECrim al caso actual, que la que pudiera suscitarse en el caso de sentencias condenatorias en primera instancia y en los recursos de apelación contra ellas, interpuestos, bien por la parte condenada postulando la absolución, bien por la acusadora pretendiendo una condena de mayor gravedad. Mas las dificultades de interpretación conforme en esos últimos casos no deben enturbiar el análisis de la solución a pronunciar en este, al que debemos ceñirnos estrictamente”.</w:t>
      </w:r>
    </w:p>
    <w:p w14:paraId="4C747E9A" w14:textId="77777777" w:rsidR="009D7677" w:rsidRDefault="009D7677" w:rsidP="009D7677">
      <w:pPr>
        <w:pStyle w:val="TextoNormal"/>
      </w:pPr>
    </w:p>
    <w:p w14:paraId="44E9A03C" w14:textId="77777777" w:rsidR="009D7677" w:rsidRDefault="009D7677" w:rsidP="009D7677">
      <w:pPr>
        <w:pStyle w:val="TextoNormal"/>
      </w:pPr>
      <w:r>
        <w:t xml:space="preserve">Sin embargo, la propia sentencia partió de la consideración de que “el recurso de apelación en el procedimiento penal abreviado, tal y como aparece configurado en nuestro ordenamiento, otorga plenas facultades o plena jurisdicción al tribunal </w:t>
      </w:r>
      <w:r w:rsidRPr="009D7677">
        <w:rPr>
          <w:i/>
        </w:rPr>
        <w:t>ad quem</w:t>
      </w:r>
      <w:r>
        <w:t xml:space="preserve"> para resolver cuantas cuestiones se planteen, sean de hecho o de Derecho. Su carácter, reiteradamente proclamado por este tribunal, de </w:t>
      </w:r>
      <w:r w:rsidRPr="009D7677">
        <w:rPr>
          <w:i/>
        </w:rPr>
        <w:t>novum iudicium</w:t>
      </w:r>
      <w:r>
        <w:t xml:space="preserve">, con el llamado efecto devolutivo, conlleva que el juzgador </w:t>
      </w:r>
      <w:r w:rsidRPr="009D7677">
        <w:rPr>
          <w:i/>
        </w:rPr>
        <w:t>ad quem</w:t>
      </w:r>
      <w:r>
        <w:t xml:space="preserve"> asuma la plena jurisdicción sobre el caso, en idéntica situación que el juez </w:t>
      </w:r>
      <w:r w:rsidRPr="009D7677">
        <w:rPr>
          <w:i/>
        </w:rPr>
        <w:t>a quo</w:t>
      </w:r>
      <w:r>
        <w:t xml:space="preserve">, no solo por lo que respecta a la subsunción de los hechos en la norma, sino también para la determinación de tales hechos a través de la valoración de la prueba, pudiendo revisar y corregir la ponderación llevada a cabo por el juez </w:t>
      </w:r>
      <w:r w:rsidRPr="009D7677">
        <w:rPr>
          <w:i/>
        </w:rPr>
        <w:t>a quo</w:t>
      </w:r>
      <w:r>
        <w:t xml:space="preserve"> (por todas, SSTC 172/1997, de 14 de octubre, FJ 4; 120/1999, de 28 de junio, FFJJ 3 y 5; ATC 220/1999, de 20 de septiembre)”. Es cierto que, conforme a la reiterada doctrina de este tribunal en la materia, la sentencia añadió categóricamente: “Pero en el ejercicio de las facultades que el art. 795 LECrim otorga al tribunal </w:t>
      </w:r>
      <w:r w:rsidRPr="009D7677">
        <w:rPr>
          <w:i/>
        </w:rPr>
        <w:t>ad quem</w:t>
      </w:r>
      <w:r>
        <w:t xml:space="preserve"> deben respetarse en todo caso las garantías constitucionales establecidas en el art. 24.2 CE”.</w:t>
      </w:r>
    </w:p>
    <w:p w14:paraId="24429445" w14:textId="77777777" w:rsidR="009D7677" w:rsidRDefault="009D7677" w:rsidP="009D7677">
      <w:pPr>
        <w:pStyle w:val="TextoNormal"/>
      </w:pPr>
    </w:p>
    <w:p w14:paraId="6A69707F" w14:textId="77777777" w:rsidR="009D7677" w:rsidRDefault="009D7677" w:rsidP="009D7677">
      <w:pPr>
        <w:pStyle w:val="TextoNormal"/>
      </w:pPr>
      <w:r>
        <w:t>Sobre esta base la sentencia concluyó que había resultado vulnerado el derecho a un proceso con todas las garantías, al haber procedido la audiencia provincial a revisar y corregir la valoración y ponderación que el juzgado de lo penal había efectuado de las declaraciones de los recurrentes en amparo, sin respetar los principios de inmediación y contradicción.</w:t>
      </w:r>
    </w:p>
    <w:p w14:paraId="26DC6787" w14:textId="77777777" w:rsidR="009D7677" w:rsidRDefault="009D7677" w:rsidP="009D7677">
      <w:pPr>
        <w:pStyle w:val="TextoNormal"/>
      </w:pPr>
    </w:p>
    <w:p w14:paraId="5CFCAA7F" w14:textId="77777777" w:rsidR="009D7677" w:rsidRDefault="009D7677" w:rsidP="009D7677">
      <w:pPr>
        <w:pStyle w:val="TextoNormal"/>
      </w:pPr>
      <w:r>
        <w:t>A la vista de la reiterada doctrina del Tribunal Europeo de Derechos Humanos, que la sentencia glosa, la misma declaró que “[e]n tales circunstancias es evidente que, de acuerdo con los criterios antes reseñados, el respeto a los principios de inmediación y contradicción, que forman parte del derecho a un proceso con todas las garantías, exigían que el tribunal de apelación hubiera oído personalmente a los demandantes de amparo, en orden a llevar a cabo aquella valoración y ponderación”. Finalmente, aclaró que la ausencia de solicitud de vista por las partes no podía considerarse decisiva, “ya que el art. 795.6 LECrim establece que la Audiencia podrá acordar la celebración de vista, citando a las partes, cuando estime que es necesario para la correcta formación de una convicción fundada (este sentido, en relación con un supuesto similar, STEDH de 8 de febrero de 2000, cas</w:t>
      </w:r>
      <w:r w:rsidRPr="009D7677">
        <w:rPr>
          <w:i/>
        </w:rPr>
        <w:t>o Cooke contra Austr</w:t>
      </w:r>
      <w:r>
        <w:t>ia, § 43)”.</w:t>
      </w:r>
    </w:p>
    <w:p w14:paraId="18042676" w14:textId="77777777" w:rsidR="009D7677" w:rsidRDefault="009D7677" w:rsidP="009D7677">
      <w:pPr>
        <w:pStyle w:val="TextoNormal"/>
      </w:pPr>
    </w:p>
    <w:p w14:paraId="5F5BC59A" w14:textId="77777777" w:rsidR="009D7677" w:rsidRDefault="009D7677" w:rsidP="009D7677">
      <w:pPr>
        <w:pStyle w:val="TextoNormal"/>
      </w:pPr>
      <w:r>
        <w:t>Considero, por tanto, que el presente recurso no era el más adecuado para abordar ese debate, dado que no es aplicable el reformado régimen jurídico de la apelación y, precisamente, su improcedente aplicación retroactiva es uno de los motivos en que se funda el recurso de amparo, aunque de su formulación no se derivan las consecuencias pretendidas por el recurrente, como pone de relieve la sentencia.</w:t>
      </w:r>
    </w:p>
    <w:p w14:paraId="66A299AA" w14:textId="77777777" w:rsidR="009D7677" w:rsidRDefault="009D7677" w:rsidP="009D7677">
      <w:pPr>
        <w:pStyle w:val="TextoNormal"/>
      </w:pPr>
    </w:p>
    <w:p w14:paraId="3FB2EE3D" w14:textId="77777777" w:rsidR="009D7677" w:rsidRDefault="009D7677" w:rsidP="009D7677">
      <w:pPr>
        <w:pStyle w:val="TextoNormal"/>
      </w:pPr>
      <w:r>
        <w:t>A este respecto procede recordar que la regulación del art. 795 LECrim, vigente desde el 1 marzo de 1989 hasta el 27 abril de 2003, analizado en la referida STC 167/2002, era sustancialmente coincidente con la contenida en los arts. 790 y 791 en la redacción vigente desde el 4 mayo de 2010 hasta el 5 diciembre de 2015. Entiendo, por ello, que las consideraciones relativas a la naturaleza del recurso de apelación efectuadas en la sentencia serían extrapolables al caso ahora enjuiciado, al que no resulta aplicable la modificación del año 2015.</w:t>
      </w:r>
    </w:p>
    <w:p w14:paraId="654A11A9" w14:textId="77777777" w:rsidR="009D7677" w:rsidRDefault="009D7677" w:rsidP="009D7677">
      <w:pPr>
        <w:pStyle w:val="TextoNormal"/>
      </w:pPr>
    </w:p>
    <w:p w14:paraId="3F7B731B" w14:textId="77777777" w:rsidR="009D7677" w:rsidRDefault="009D7677" w:rsidP="009D7677">
      <w:pPr>
        <w:pStyle w:val="TextoNormal"/>
      </w:pPr>
      <w:r>
        <w:t>De forma que la STC 167/2002 no impidió, como se indica en la resolución de la que discrepo, la condena en apelación de los absueltos en la instancia, sino únicamente la efectuada mediante una reevaluación de pruebas personales sin inmediación y contradicción y sin previa audiencia de los acusados.</w:t>
      </w:r>
    </w:p>
    <w:p w14:paraId="395DA206" w14:textId="77777777" w:rsidR="009D7677" w:rsidRDefault="009D7677" w:rsidP="009D7677">
      <w:pPr>
        <w:pStyle w:val="TextoNormal"/>
      </w:pPr>
    </w:p>
    <w:p w14:paraId="1FE70FEB" w14:textId="77777777" w:rsidR="009D7677" w:rsidRDefault="009D7677" w:rsidP="009D7677">
      <w:pPr>
        <w:pStyle w:val="TextoNormal"/>
      </w:pPr>
      <w:r>
        <w:t>Por otro lado, aquella sentencia no solo atribuyó al órgano de apelación un mero control externo de la motivación de la sentencia, sin posibilidad de examen alguno del material probatorio, sino que le reconoció plenas facultades para resolver cuestiones de hecho o de derecho, con el límite del debido respeto a los principios de inmediación y contradicción y necesaria audiencia de los acusados.</w:t>
      </w:r>
    </w:p>
    <w:p w14:paraId="70FC4F62" w14:textId="77777777" w:rsidR="009D7677" w:rsidRDefault="009D7677" w:rsidP="009D7677">
      <w:pPr>
        <w:pStyle w:val="TextoNormal"/>
      </w:pPr>
    </w:p>
    <w:p w14:paraId="22944FD4" w14:textId="77777777" w:rsidR="009D7677" w:rsidRDefault="009D7677" w:rsidP="009D7677">
      <w:pPr>
        <w:pStyle w:val="TextoNormal"/>
      </w:pPr>
      <w:r>
        <w:t>Como es sabido, esta doctrina ha sido reiterada en sentencias posteriores, entre otras, la STC 120/2009, de 18 mayo, que tras señalar que a diferencia de lo que ocurre respecto de las sentencias condenatorias “no existe propiamente un derecho derivado de la Constitución a disponer de un recurso contra las sentencias absolutorias, de modo que su establecimiento y regulación pertenecen al ámbito de libertad del legislador (en este sentido, por todas, SSTC 251/2000, de 30 de octubre, FJ 3; 71/2002, de 8 de abril, FJ 3, y 270/2005, de 24 de octubre, FJ 3)”,·añade que “también hemos reiterado que una vez que el legislador ha previsto un concreto recurso contra determinadas resoluciones judiciales, el derecho a disponer del citado recurso pasa a formar parte del derecho fundamental a la tutela judicial efectiva (art. 24.1 CE), incorporándose o integrándose en él, lo que es coherente con el carácter de este derecho fundamental como derecho de configuración legal (STC 115/2002, de 20 de mayo, FJ 5, y 270/2005, de 24 de octubre, FJ 3). Esta vertiente del art. 24.1 CE no constituye en puridad un derecho del ciudadano a que se establezca un recurso frente a las decisiones judiciales que le afecten, sino un derecho a que no se le prive de los recursos previstos por el ordenamiento jurídico (STC 69/2005, de 4 de abril, FJ 2)”.</w:t>
      </w:r>
    </w:p>
    <w:p w14:paraId="2D6B8973" w14:textId="77777777" w:rsidR="009D7677" w:rsidRDefault="009D7677" w:rsidP="009D7677">
      <w:pPr>
        <w:pStyle w:val="TextoNormal"/>
      </w:pPr>
    </w:p>
    <w:p w14:paraId="79C49883" w14:textId="77777777" w:rsidR="009D7677" w:rsidRDefault="009D7677" w:rsidP="009D7677">
      <w:pPr>
        <w:pStyle w:val="TextoNormal"/>
      </w:pPr>
      <w:r>
        <w:t>Seguidamente, la STC 120/2009 analiza los medios de impugnación de las sentencias absolutorias en los siguientes términos: “Pues bien, en nuestro ordenamiento procesal las sentencias absolutorias son susceptibles de impugnación a través de los recursos de apelación y casación, según los casos; y, deteniéndonos ahora en el recurso de apelación contra las sentencias dictadas por los jueces de lo penal, debemos destacar que el vigente art. 790.2 LECrim configura tres motivos de impugnación, que lo son comunes a las sentencias condenatorias y absolutorias: el quebrantamiento de las normas y garantías procesales, el error en la apreciación de las pruebas y la infracción de normas del ordenamiento jurídico”.</w:t>
      </w:r>
    </w:p>
    <w:p w14:paraId="71D5FCA6" w14:textId="77777777" w:rsidR="009D7677" w:rsidRDefault="009D7677" w:rsidP="009D7677">
      <w:pPr>
        <w:pStyle w:val="TextoNormal"/>
      </w:pPr>
    </w:p>
    <w:p w14:paraId="616A7A93" w14:textId="77777777" w:rsidR="009D7677" w:rsidRDefault="009D7677" w:rsidP="009D7677">
      <w:pPr>
        <w:pStyle w:val="TextoNormal"/>
      </w:pPr>
      <w:r>
        <w:t>Tras resaltar la relevancia del caso enjuiciado (la impugnación de una sentencia absolutoria a través de un recurso de apelación en el que se alegó la existencia de error en la va</w:t>
      </w:r>
      <w:r>
        <w:lastRenderedPageBreak/>
        <w:t xml:space="preserve">loración de la prueba, en particular de las pruebas de carácter personal practicadas en el juicio oral), la STC 120/2009, declaró la aplicabilidad al caso de la “la doctrina fijada a partir de la STC 167/2002, de 18 de septiembre, según la cual ‘en casos de apelación de sentencias absolutorias, cuando aquella se funda en la apreciación de la prueba, si en la apelación no se practican nuevas pruebas, no puede el tribunal </w:t>
      </w:r>
      <w:r w:rsidRPr="009D7677">
        <w:rPr>
          <w:i/>
        </w:rPr>
        <w:t>ad quem</w:t>
      </w:r>
      <w:r>
        <w:t xml:space="preserve"> revisar la valoración de las practicadas en la primera instancia, cuando por la índole de las mismas es exigible la inmediación y la contradicción’ (FJ 1 </w:t>
      </w:r>
      <w:r w:rsidRPr="009D7677">
        <w:rPr>
          <w:i/>
        </w:rPr>
        <w:t>in fine</w:t>
      </w:r>
      <w:r>
        <w:t>)”, y añadió que “[r]espetada esta limitación, que hemos vinculado al derecho a un proceso con todas las garantías (art. 24.2 CE), corresponde a los propios órganos judiciales interpretar las disposiciones de la Ley de enjuiciamiento criminal concernientes a la admisión de pruebas en la fase de apelación. En consecuencia, hemos aceptado —por ser respetuosa con la limitación constitucional a que nos referimos— aquella interpretación que entiende que con arreglo al art. 790.3 LECrim —y, anteriormente a su art. 795.3— solo podrán practicarse en apelación aquellas diligencias de prueba que no pudieron proponerse en la primera instancia, las propuestas que fueron indebidamente denegadas, siempre que hubiere formulado en su momento la oportuna reserva, y las admitidas que no fueron practicadas por causas que no sean imputables al apelante (STC 48/2008, de 11 de marzo, F. 3). Del mismo modo, hemos constatado como compatible con la referida limitación constitucional una interpretación que lleve a admitir la práctica en la segunda instancia de pruebas de carácter personal ya realizadas en la primera, cuando los recurrentes cuestionen los hechos declarados como probados (STC 167/2002, de 18 de septiembre, y las que siguen a la misma en este punto)”.</w:t>
      </w:r>
    </w:p>
    <w:p w14:paraId="4593E383" w14:textId="77777777" w:rsidR="009D7677" w:rsidRDefault="009D7677" w:rsidP="009D7677">
      <w:pPr>
        <w:pStyle w:val="TextoNormal"/>
      </w:pPr>
    </w:p>
    <w:p w14:paraId="3F3601A7" w14:textId="77777777" w:rsidR="009D7677" w:rsidRDefault="009D7677" w:rsidP="009D7677">
      <w:pPr>
        <w:pStyle w:val="TextoNormal"/>
      </w:pPr>
      <w:r>
        <w:t>Naturalmente —continúa la cita de la STC 120/2009—, “ello solo significa que ambas interpretaciones son compatibles con el art. 24.2 CE; pero más allá de este juicio de constitucionalidad corresponde a la jurisdicción ordinaria fijar cuál sea aquella que mejor se ajuste a las disposiciones de la Ley de enjuiciamiento criminal. Esto es, nuestro control a través del recurso de amparo se detiene en examinar si una determinada interpretación judicial de la legalidad ordinaria resulta respetuosa con la Constitución, pero la definitiva opción por cualquiera de las que resulten constitucionalmente admisibles compete en última instancia al Tribunal Supremo, al que el art. 123 CE confiere la condición de ‘órgano jurisdiccional superior en todos los órdenes, salvo lo dispuesto en materia de garantías constitucionales’ y que desarrolla su destacada función unificadora a través del recurso de casación”.</w:t>
      </w:r>
    </w:p>
    <w:p w14:paraId="55E1DA6C" w14:textId="77777777" w:rsidR="009D7677" w:rsidRDefault="009D7677" w:rsidP="009D7677">
      <w:pPr>
        <w:pStyle w:val="TextoNormal"/>
      </w:pPr>
    </w:p>
    <w:p w14:paraId="16C338A2" w14:textId="77777777" w:rsidR="009D7677" w:rsidRDefault="009D7677" w:rsidP="009D7677">
      <w:pPr>
        <w:pStyle w:val="TextoNormal"/>
      </w:pPr>
      <w:r>
        <w:t xml:space="preserve">Para concluir señalando que “en nuestro ordenamiento los tribunales de apelación están facultados no solo para revocar el pronunciamiento absolutorio del juez </w:t>
      </w:r>
      <w:r w:rsidRPr="009D7677">
        <w:rPr>
          <w:i/>
        </w:rPr>
        <w:t>a quo</w:t>
      </w:r>
      <w:r>
        <w:t xml:space="preserve"> sino también para sustituirlo por otro de signo condenatorio. Cuando ello tiene lugar, dos circunstancias cobran relevancia constitucional desde la perspectiva del presente proceso de amparo: una, que el tribunal de apelación va a ser el órgano judicial que por primera vez condene al acusado; y otra, que toda declaración de condena ha de sustentarse en una valoración directa de la actividad probatoria de cargo.</w:t>
      </w:r>
    </w:p>
    <w:p w14:paraId="3F0092A2" w14:textId="77777777" w:rsidR="009D7677" w:rsidRDefault="009D7677" w:rsidP="009D7677">
      <w:pPr>
        <w:pStyle w:val="TextoNormal"/>
      </w:pPr>
    </w:p>
    <w:p w14:paraId="478A7823" w14:textId="77777777" w:rsidR="009D7677" w:rsidRDefault="009D7677" w:rsidP="009D7677">
      <w:pPr>
        <w:pStyle w:val="TextoNormal"/>
      </w:pPr>
      <w:r>
        <w:t>De la conjunción de ambas facetas, la jurisprudencia del Tribunal Europeo de Derechos Humanos ha extraído como exigencia —que ha vinculado al art. 6.1 del Convenio europeo de derechos humanos— que si la instancia de apelación está llamada a conocer de un asunto en sus aspectos de hecho y de Derecho y a estudiar en su conjunto la cuestión de la culpabilidad o inocencia del acusado, no puede, por motivos de equidad del proceso, decidir esas cuestiones sin la apreciación de los testimonios presentados en persona por el pro</w:t>
      </w:r>
      <w:r>
        <w:lastRenderedPageBreak/>
        <w:t>pio acusado que sostenga que no ha cometido la acción considerada infracción penal; doctrina que ha sido acogida por este tribunal, de conformidad con el art. 10.2 CE, a partir de la STC 167/2002, de 18 de septiembre, vinculándola al derecho a un proceso con todas las garantías (art. 24.2 CE)”.</w:t>
      </w:r>
    </w:p>
    <w:p w14:paraId="0DD471ED" w14:textId="77777777" w:rsidR="009D7677" w:rsidRDefault="009D7677" w:rsidP="009D7677">
      <w:pPr>
        <w:pStyle w:val="TextoNormal"/>
      </w:pPr>
    </w:p>
    <w:p w14:paraId="1C2FF99F" w14:textId="77777777" w:rsidR="009D7677" w:rsidRDefault="009D7677" w:rsidP="009D7677">
      <w:pPr>
        <w:pStyle w:val="TextoNormal"/>
      </w:pPr>
      <w:r>
        <w:t xml:space="preserve">Por su parte, la STC 170/2005, de 20 de junio, FJ 2, señaló que “[a]sí centrado el debate procesal, hemos de recordar que el Pleno de este tribunal, en la sentencia 167/2002, de 18 de septiembre, FFJJ 9 y 10, ha precisado la doctrina en relación con la exigencia de respetar las garantías de publicidad, inmediación y contradicción en la valoración de las pruebas en la segunda instancia penal, adaptando la interpretación constitucional del derecho a un proceso con todas las garantías a las exigencias del art. 6.1 del Convenio europeo para la protección de los derechos humanos y las libertades públicas, en la interpretación que de él viene haciendo el Tribunal Europeo de Derechos Humanos. En concreto, la citada sentencia establece que en el ejercicio de las facultades que el art. 795 de la Ley de enjuiciamiento criminal (LECrim) otorga al tribunal </w:t>
      </w:r>
      <w:r w:rsidRPr="009D7677">
        <w:rPr>
          <w:i/>
        </w:rPr>
        <w:t>ad quem</w:t>
      </w:r>
      <w:r>
        <w:t xml:space="preserve"> en el recurso de apelación (que le atribuyen plena jurisdicción y desde luego le permiten revisar y corregir la valoración de la prueba llevada a cabo por el juez </w:t>
      </w:r>
      <w:r w:rsidRPr="009D7677">
        <w:rPr>
          <w:i/>
        </w:rPr>
        <w:t>a quo</w:t>
      </w:r>
      <w:r>
        <w:t xml:space="preserve"> y modificar los hechos probados) deben respetarse las garantías constitucionales del art. 24.2 CE, lo que se traduce en la exigencia de publicidad, inmediación y contradicción para proceder a una nueva valoración de la prueba en segunda instancia, si bien ello no implica en todo caso la necesidad de nueva práctica de pruebas o la celebración de vista pública en la segunda instancia, sino que ello dependerá de las circunstancias del caso y de la naturaleza de las cuestiones a juzgar”. La misma STC 170/2005, FJ 2, recuerda igualmente que “este tribunal también ha afirmado expresamente que existen otras pruebas, y en concreto la documental, cuya valoración sí es posible en segunda instancia sin necesidad de reproducción del debate procesal, porque, dada su naturaleza, no precisan de inmediación (SSTC 198/2002, de 28 de octubre, FJ 5; 230/2002, de 9 de diciembre, FJ 8; 119/2005, de 9 de mayo, FJ 2; AATC 220/1999, de 20 de septiembre, FJ 3; 80/2003, de 10 de marzo, FJ 1)”.</w:t>
      </w:r>
    </w:p>
    <w:p w14:paraId="36D062BD" w14:textId="77777777" w:rsidR="009D7677" w:rsidRDefault="009D7677" w:rsidP="009D7677">
      <w:pPr>
        <w:pStyle w:val="TextoNormal"/>
      </w:pPr>
    </w:p>
    <w:p w14:paraId="0AD64DF6" w14:textId="77777777" w:rsidR="009D7677" w:rsidRDefault="009D7677" w:rsidP="009D7677">
      <w:pPr>
        <w:pStyle w:val="TextoNormal"/>
      </w:pPr>
      <w:r>
        <w:t>En esta misma línea se han pronunciado, entre otras, las SSTC 126/2012, de 18 de junio, FJ 2; 22/2013, de 31 de enero, FJ 4; 43/2013, de 25 de febrero, FJ 5, y 146/2017, de 14 diciembre.</w:t>
      </w:r>
    </w:p>
    <w:p w14:paraId="0259A447" w14:textId="77777777" w:rsidR="009D7677" w:rsidRDefault="009D7677" w:rsidP="009D7677">
      <w:pPr>
        <w:pStyle w:val="TextoNormal"/>
      </w:pPr>
    </w:p>
    <w:p w14:paraId="454DF55B" w14:textId="77777777" w:rsidR="009D7677" w:rsidRDefault="009D7677" w:rsidP="009D7677">
      <w:pPr>
        <w:pStyle w:val="TextoNormal"/>
      </w:pPr>
      <w:r>
        <w:t>La mencionada STC 146/2017 también puntualizó que “en aplicación de esta doctrina constitucional, también se ha destacado que no cabrá efectuar ese reproche constitucional cuando la condena pronunciada en apelación o la agravación de la situación, a pesar de no haberse celebrado vista pública, tenga origen en una alteración fáctica que no resulta del análisis de medios probatorios que exijan presenciar su práctica para su valoración —como es el caso de pruebas documentales (así, STC 272/2005, de 24 de octubre, FJ 5, o 153/2011, de 17 de octubre, FJ 4), pruebas periciales documentadas (así, SSTC 143/2005, de 6 de junio, FJ 6, o 142/2011, de 26 de septiembre, FJ 3)—; o, también, cuando dicha alteración fáctica se derive de discrepancias con la valoración de pruebas indiciarias, de modo que el órgano judicial revisor se limite a rectificar la inferencia realizada por el de instancia, a partir de unos hechos que resultan acreditados en esta, argumentando que este proceso deductivo, en la medida en que se basa en reglas de experiencia no dependientes de la inmediación, es plenamente fiscalizable por los órganos que conocen del recurso sin merma de garantías constitucionales (así, SSTC 43/2007, de 26 de febrero, FJ 6, o 91/2009, de 20 de abril, FJ 4)”.</w:t>
      </w:r>
    </w:p>
    <w:p w14:paraId="228F51C9" w14:textId="77777777" w:rsidR="009D7677" w:rsidRDefault="009D7677" w:rsidP="009D7677">
      <w:pPr>
        <w:pStyle w:val="TextoNormal"/>
      </w:pPr>
    </w:p>
    <w:p w14:paraId="3652EF9E" w14:textId="77777777" w:rsidR="009D7677" w:rsidRDefault="009D7677" w:rsidP="009D7677">
      <w:pPr>
        <w:pStyle w:val="TextoNormal"/>
      </w:pPr>
      <w:r>
        <w:t>No cabe, por tanto, asumir que desde la STC 167/2002 no quepa la condena en apelación de un acusado absuelto por error en la valoración de la prueba.</w:t>
      </w:r>
    </w:p>
    <w:p w14:paraId="1623A5C4" w14:textId="77777777" w:rsidR="009D7677" w:rsidRDefault="009D7677" w:rsidP="009D7677">
      <w:pPr>
        <w:pStyle w:val="TextoNormal"/>
      </w:pPr>
    </w:p>
    <w:p w14:paraId="28F6362E" w14:textId="77777777" w:rsidR="009D7677" w:rsidRDefault="009D7677" w:rsidP="009D7677">
      <w:pPr>
        <w:pStyle w:val="TextoNormal"/>
      </w:pPr>
      <w:r>
        <w:t>En cuanto a la pretendida limitación de las facultades del órgano de apelación a un mero control externo de la sentencia, es de destacar que incluso la resolución de la que discrepo viene a reconocer la naturaleza ordinaria y alcance del recurso de apelación al señalar que “[r]esulta relevante volver a destacar que, dada la regulación legislativa del recurso de apelación en nuestro ordenamiento jurídico, dicha revisión se realiza ordinariamente a partir de los mismos materiales de la primera instancia, pues solo de forma limitada cabe solicitar en el juicio de apelación la aportación o práctica de nuevos materiales probatorios (art. 790.3 LECrim). No obstante, pese a dicha configuración, que aleja al órgano de apelación del material probatorio, se trata de una posibilidad de revisión a través de la que pueden cuestionarse plenamente los pronunciamientos de hecho y de Derecho de la sentencia condenatoria (STC 184/2013, de 4 de noviembre, FJ 7)”.</w:t>
      </w:r>
    </w:p>
    <w:p w14:paraId="183D6412" w14:textId="77777777" w:rsidR="009D7677" w:rsidRDefault="009D7677" w:rsidP="009D7677">
      <w:pPr>
        <w:pStyle w:val="TextoNormal"/>
      </w:pPr>
    </w:p>
    <w:p w14:paraId="0959BB49" w14:textId="77777777" w:rsidR="009D7677" w:rsidRDefault="009D7677" w:rsidP="009D7677">
      <w:pPr>
        <w:pStyle w:val="TextoNormal"/>
      </w:pPr>
      <w:r>
        <w:t>También la STC 43/2023, de 8 de mayo, citada en la sentencia de la que disiento, reconoce la naturaleza del recurso de apelación en su fundamento jurídico 3 b): “En virtud de la garantía de la doble instancia penal, el tribunal superior debe controlar la corrección del juicio realizado en primera instancia, revisando la correcta aplicación de las reglas que han permitido la declaración de culpabilidad y la imposición de la pena en el caso concreto (SSTC 70/2002, de 3 de abril, FJ 7; 105/2003, de 2 de junio, FJ 2, y 136/2006, de 8 de mayo, FJ 3, entre otras).</w:t>
      </w:r>
    </w:p>
    <w:p w14:paraId="11D1430D" w14:textId="77777777" w:rsidR="009D7677" w:rsidRDefault="009D7677" w:rsidP="009D7677">
      <w:pPr>
        <w:pStyle w:val="TextoNormal"/>
      </w:pPr>
    </w:p>
    <w:p w14:paraId="1E7E2560" w14:textId="77777777" w:rsidR="009D7677" w:rsidRDefault="009D7677" w:rsidP="009D7677">
      <w:pPr>
        <w:pStyle w:val="TextoNormal"/>
      </w:pPr>
      <w:r>
        <w:t>Dicha garantía equivale, por lo tanto, a la exigencia de un doble grado de jurisdicción, que conlleva un doble examen del objeto litigioso, que, en la configuración actual de nuestro ordenamiento procesal, supone la apertura de una nueva fase en el proceso, a través de un recurso ordinario como es el recurso de apelación, que resuelve nuevamente sobre los mismos materiales de la primera instancia, o sobre los nuevos materiales que se aporten por medio de las pruebas que se soliciten en el propio recurso de apelación, en los casos permitidos por la norma (art. 791.3 LECrim)”.</w:t>
      </w:r>
    </w:p>
    <w:p w14:paraId="2A994AF1" w14:textId="77777777" w:rsidR="009D7677" w:rsidRDefault="009D7677" w:rsidP="009D7677">
      <w:pPr>
        <w:pStyle w:val="TextoNormal"/>
      </w:pPr>
    </w:p>
    <w:p w14:paraId="5F320AA4" w14:textId="77777777" w:rsidR="009D7677" w:rsidRDefault="009D7677" w:rsidP="009D7677">
      <w:pPr>
        <w:pStyle w:val="TextoNormal"/>
      </w:pPr>
      <w:r>
        <w:t>Es cierto que dichas sentencias se dictaron en supuestos de apelación del condenado, pero el hecho de que la garantía del doble grado sea un derecho para los penados derivado del art. 14.5 PIDCP, es independiente de la configuración procesal de la apelación penal como recurso ordinario y de la extensión de l</w:t>
      </w:r>
      <w:r w:rsidRPr="009D7677">
        <w:rPr>
          <w:i/>
        </w:rPr>
        <w:t>a cognit</w:t>
      </w:r>
      <w:r>
        <w:t>io del tribunal de segunda instancia, que rige tanto para acusadores como a acusados.</w:t>
      </w:r>
    </w:p>
    <w:p w14:paraId="3040D77C" w14:textId="77777777" w:rsidR="009D7677" w:rsidRDefault="009D7677" w:rsidP="009D7677">
      <w:pPr>
        <w:pStyle w:val="TextoNormal"/>
      </w:pPr>
    </w:p>
    <w:p w14:paraId="62130DF4" w14:textId="77777777" w:rsidR="009D7677" w:rsidRDefault="009D7677" w:rsidP="009D7677">
      <w:pPr>
        <w:pStyle w:val="TextoNormal"/>
      </w:pPr>
      <w:r>
        <w:t xml:space="preserve">Cuestión distinta es la limitación de las posibilidades de revaloración de la prueba por el tribunal </w:t>
      </w:r>
      <w:r w:rsidRPr="009D7677">
        <w:rPr>
          <w:i/>
        </w:rPr>
        <w:t>ad quem</w:t>
      </w:r>
      <w:r>
        <w:t xml:space="preserve"> cuando la misma es de carácter personal e incluso la necesidad de que en el supuesto de prueba documental sea precisa la audiencia del acusado de conformidad con la doctrina del Tribunal Europeo de Derechos Humanos.</w:t>
      </w:r>
    </w:p>
    <w:p w14:paraId="19C6D00B" w14:textId="77777777" w:rsidR="009D7677" w:rsidRDefault="009D7677" w:rsidP="009D7677">
      <w:pPr>
        <w:pStyle w:val="TextoNormal"/>
      </w:pPr>
    </w:p>
    <w:p w14:paraId="65489E36" w14:textId="77777777" w:rsidR="009D7677" w:rsidRDefault="009D7677" w:rsidP="009D7677">
      <w:pPr>
        <w:pStyle w:val="TextoNormal"/>
      </w:pPr>
      <w:r>
        <w:t xml:space="preserve">Ello se infiere igualmente de la STC 120/2009, que analiza la impugnabilidad de las sentencias absolutorias y que señala que la interpretación del alcance de la normativa procesal que regula el recurso de apelación, es una cuestión de legalidad ordinaria en los siguientes términos: “nuestro control a través del recurso de amparo se detiene en examinar si una determinada interpretación judicial de la legalidad ordinaria resulta respetuosa con </w:t>
      </w:r>
      <w:r>
        <w:lastRenderedPageBreak/>
        <w:t>la Constitución, pero la definitiva opción por cualquiera de las que resulten constitucionalmente admisibles compete en última instancia al Tribunal Supremo, al que el art. 123 CE confiere la condición de ‘órgano jurisdiccional superior en todos los órdenes, salvo lo dispuesto en materia de garantías constitucionales’ y que desarrolla su destacada función unificadora a través del recurso de casación”.</w:t>
      </w:r>
    </w:p>
    <w:p w14:paraId="140FBF53" w14:textId="77777777" w:rsidR="009D7677" w:rsidRDefault="009D7677" w:rsidP="009D7677">
      <w:pPr>
        <w:pStyle w:val="TextoNormal"/>
      </w:pPr>
    </w:p>
    <w:p w14:paraId="6723F593" w14:textId="77777777" w:rsidR="009D7677" w:rsidRDefault="009D7677" w:rsidP="009D7677">
      <w:pPr>
        <w:pStyle w:val="TextoNormal"/>
      </w:pPr>
      <w:r>
        <w:t>Por todo ello, no puedo compartir las afirmaciones contenidas en el apartado rotulado “[d]eterminación del alcance y límites constitucionales de la facultad de impugnación y revisión del juicio fáctico de las sentencias absolutorias que se basan en la apreciación de duda razonable”, que va mucho mas allá de las garantían establecidas por este tribunal y por el Tribunal Europeo de Derechos Humanos.</w:t>
      </w:r>
    </w:p>
    <w:p w14:paraId="7B407CC5" w14:textId="77777777" w:rsidR="009D7677" w:rsidRDefault="009D7677" w:rsidP="009D7677">
      <w:pPr>
        <w:pStyle w:val="TextoNormal"/>
      </w:pPr>
    </w:p>
    <w:p w14:paraId="7EC0EFEC" w14:textId="77777777" w:rsidR="009D7677" w:rsidRDefault="009D7677" w:rsidP="009D7677">
      <w:pPr>
        <w:pStyle w:val="TextoNormal"/>
      </w:pPr>
      <w:r>
        <w:t>Tras enumerar las posibilidades efectivas de revocación de una sentencia absolutoria por error en la valoración de la prueba, recogiendo literalmente el actual contenido del artículo 790.2, tras la reforma operada por Ley 41/2015 —inaplicable el caso enjuiciado—, declara que el órgano de apelación únicamente puede revisar la racionalidad del juicio probatorio de instancia, sin posibilidad de introducir hechos o establecer nuevas conclusiones probatorias; concluyendo que el juez de segundo grado “debe acudir a la sentencia y no a las pruebas” y que “el control que es posible en apelación para controvertir el juicio fáctico de una sentencia absolutoria no consiente el acceso a las fuentes de prueba para evaluarlas, dado que nuestro modelo de revisión serían contrarios a las garantías del juicio justo”.</w:t>
      </w:r>
    </w:p>
    <w:p w14:paraId="6D7FBB63" w14:textId="77777777" w:rsidR="009D7677" w:rsidRDefault="009D7677" w:rsidP="009D7677">
      <w:pPr>
        <w:pStyle w:val="TextoNormal"/>
      </w:pPr>
    </w:p>
    <w:p w14:paraId="451806D9" w14:textId="77777777" w:rsidR="009D7677" w:rsidRDefault="009D7677" w:rsidP="009D7677">
      <w:pPr>
        <w:pStyle w:val="TextoNormal"/>
      </w:pPr>
      <w:r>
        <w:t xml:space="preserve">En mi opinión, el juicio de hecho que corresponde al tribunal de apelación, como tribunal de segunda instancia, va más allá del “juicio externo de control” sobre la razonabilidad en la valoración de la prueba efectuada por el órgano de primera instancia. En el sistema español de apelación penal, el recurso de apelación es un recurso ordinario caracterizado por ser una </w:t>
      </w:r>
      <w:r w:rsidRPr="009D7677">
        <w:rPr>
          <w:i/>
        </w:rPr>
        <w:t>revisio prioris instantiae</w:t>
      </w:r>
      <w:r>
        <w:t xml:space="preserve">, esto es, de control sobre lo resuelto en la primera instancia, y no un </w:t>
      </w:r>
      <w:r w:rsidRPr="009D7677">
        <w:rPr>
          <w:i/>
        </w:rPr>
        <w:t>novum iudicium</w:t>
      </w:r>
      <w:r>
        <w:t xml:space="preserve"> con repetición íntegra del juicio oral (STC 105/2014, de 23 de junio, FJ 3). Ello faculta al órgano </w:t>
      </w:r>
      <w:r w:rsidRPr="009D7677">
        <w:rPr>
          <w:i/>
        </w:rPr>
        <w:t>ad quem</w:t>
      </w:r>
      <w:r>
        <w:t xml:space="preserve"> para que efectúe una revisión integral tanto del juicio de hecho como de derecho formulados por el tribunal de primera instancia. Esta facultad revisora admite una nueva valoración de las pruebas no sujetas a inmediación e incluso de las practicadas en segunda instancia ante el órgano de apelación.</w:t>
      </w:r>
    </w:p>
    <w:p w14:paraId="2E2DE528" w14:textId="77777777" w:rsidR="009D7677" w:rsidRDefault="009D7677" w:rsidP="009D7677">
      <w:pPr>
        <w:pStyle w:val="TextoNormal"/>
      </w:pPr>
    </w:p>
    <w:p w14:paraId="07A0E842" w14:textId="77777777" w:rsidR="009D7677" w:rsidRDefault="009D7677" w:rsidP="009D7677">
      <w:pPr>
        <w:pStyle w:val="TextoNormal"/>
      </w:pPr>
      <w:r>
        <w:t xml:space="preserve">Aun cuando la reforma operada por la Ley 41/2015 no es aplicable al caso, dado que la sentencia de la que discrepo se centra en la misma para cercenar el alcance de la </w:t>
      </w:r>
      <w:r w:rsidRPr="009D7677">
        <w:rPr>
          <w:i/>
        </w:rPr>
        <w:t>cognitio</w:t>
      </w:r>
      <w:r>
        <w:t xml:space="preserve"> del órgano de apelación en los supuestos de absolución por duda razonable, considero conveniente señalar que aunque ciertamente la normativa actualmente vigente sí impide la condena en segunda instancia del acusado absuelto o la agravación en la misma del condenado por el órgano </w:t>
      </w:r>
      <w:r w:rsidRPr="009D7677">
        <w:rPr>
          <w:i/>
        </w:rPr>
        <w:t>a quo</w:t>
      </w:r>
      <w:r>
        <w:t xml:space="preserve"> y permite únicamente la declaración de nulidad, en los términos contemplados en el actual art. 790.2 LECrim, no cabe olvidar, de un lado, que las modificaciones operadas traen causa de la voluntad del legislador de adaptar la regulación a las exigencias constitucionales establecidas por este tribunal. Así lo señala el preámbulo de la norma en su apartado IV, en el que, tras recordar que “la ausencia de regulación procesal del recurso de apelación contra las sentencias dictadas por las audiencias provinciales y por la Sala de lo Penal de la Audiencia Nacional, previa celebración de juicio ante dichos órganos judiciales, mantiene una situación insatisfactoria que, al tener que compensarse con mayor flexibilidad en el entendimiento de los motivos del recurso de casación, </w:t>
      </w:r>
      <w:r>
        <w:lastRenderedPageBreak/>
        <w:t xml:space="preserve">desvirtúa la función del Tribunal Supremo como máximo intérprete de la ley penal”, añade que “[p]or ello, se procede a generalizar la segunda instancia, estableciendo la misma regulación actualmente prevista para la apelación de las sentencias dictadas por los juzgados de lo penal en el proceso abreviado, si bien adaptándola a las exigencias tanto constitucionales como europeas. Se ha considerado oportuno completar la regulación del recurso de apelación con nuevas previsiones legales relativas al error en la valoración de la prueba como fundamento del recurso y al contenido de la sentencia que el órgano </w:t>
      </w:r>
      <w:r w:rsidRPr="009D7677">
        <w:rPr>
          <w:i/>
        </w:rPr>
        <w:t>ad quem</w:t>
      </w:r>
      <w:r>
        <w:t xml:space="preserve"> podrá dictar en tales circunstancias, cuyo fin último es ajustar la reglamentación de esta materia a la doctrina constitucional y, en particular, a las exigencias que dimanan del principio de inmediación. En relación con lo primero, cuando la acusación alegue este motivo como base de su recurso ya fuera a fin de anular una sentencia absolutoria, ya para agravar las condiciones fijadas en una condenatoria, deberá justificar la insuficiencia o falta de racionalidad de la misma o su apartamiento manifiesto de las máximas de experiencia o la omisión de todo razonamiento sobre alguna de las pruebas practicadas, siempre que fueran relevantes, o cuya nulidad hubiera sido improcedentemente declarada. En esta tesitura, el tribunal de apelación verá limitadas sus facultades a declarar la nulidad de la sentencia cuando fuera procedente, fijando el alcance de esa declaración, esto es, si afecta exclusivamente a la resolución del órgano </w:t>
      </w:r>
      <w:r w:rsidRPr="009D7677">
        <w:rPr>
          <w:i/>
        </w:rPr>
        <w:t>a quo</w:t>
      </w:r>
      <w:r>
        <w:t xml:space="preserve"> o si ha de extenderse al juicio oral y, en este último caso, si debe darse una nueva composición a ese órgano al objeto de garantizar su imparcialidad”.</w:t>
      </w:r>
    </w:p>
    <w:p w14:paraId="2E720A45" w14:textId="77777777" w:rsidR="009D7677" w:rsidRDefault="009D7677" w:rsidP="009D7677">
      <w:pPr>
        <w:pStyle w:val="TextoNormal"/>
      </w:pPr>
    </w:p>
    <w:p w14:paraId="0491BAA3" w14:textId="77777777" w:rsidR="009D7677" w:rsidRDefault="009D7677" w:rsidP="009D7677">
      <w:pPr>
        <w:pStyle w:val="TextoNormal"/>
      </w:pPr>
      <w:r>
        <w:t xml:space="preserve">El preámbulo reitera que el “fin último es ajustar la reglamentación de esta materia a la doctrina constitucional y, en particular, a las exigencias que dimanan del principio de inmediación”, de manera que de la referida limitación de las facultades del tribunal de apelación a la declaración de nulidad de la sentencia cuando fuera procedente en los términos establecidos en la norma, no se infiere que el tribunal </w:t>
      </w:r>
      <w:r w:rsidRPr="009D7677">
        <w:rPr>
          <w:i/>
        </w:rPr>
        <w:t>ad quem</w:t>
      </w:r>
      <w:r>
        <w:t>, para acordar la nulidad en los casos previstos en la norma, se vea constreñido a efectuar un mero control externo de la fundamentación fáctica de la sentencia, sin posibilidad de examinar los medios de prueba practicados para comprobar los errores de hecho alegados, ni que tampoco pueda valorar por sí mismo la prueba documental, cuya valoración, obviamente, no requiere de inmediación y respecto de la cual la doctrina europea y este propio tribunal no han venido exigiendo más que la audiencia del acusado para que pueda dar las explicaciones oportunas sobre el contenido de los documentos.</w:t>
      </w:r>
    </w:p>
    <w:p w14:paraId="6BCAF15C" w14:textId="77777777" w:rsidR="009D7677" w:rsidRDefault="009D7677" w:rsidP="009D7677">
      <w:pPr>
        <w:pStyle w:val="TextoNormal"/>
      </w:pPr>
    </w:p>
    <w:p w14:paraId="1DB8319D" w14:textId="77777777" w:rsidR="009D7677" w:rsidRDefault="009D7677" w:rsidP="009D7677">
      <w:pPr>
        <w:pStyle w:val="TextoNormal"/>
      </w:pPr>
      <w:r>
        <w:t xml:space="preserve">Afirmar, como declara la sentencia de la que discrepo, que los tribunales de apelación se limitan a un “juicio externo de control” de la motivación de la sentencia impugnada, identifica su función de control a la que ejercen en su respectivo ámbito el tribunal de casación y este tribunal, y no tiene en consideración que, incluso en un recurso extraordinario como el de casación penal, hay un motivo por error en la apreciación de la prueba previsto en el art. 849.2 LECrim, en relación con el cual la doctrina de la Sala de lo Penal del Tribunal Supremo ha declarado reiteradamente que, respecto a la prueba documental, el Tribunal Supremo está en iguales condiciones que el tribunal que dictó la resolución recurrida. siempre que se cumplan las exigencias constitucionales impuestas por el principio de inmediación. Entre otras muchas, la STS 975/2022, de 19 diciembre, señala que “[e]l art. 849.2 LECrim habilita excepcionalmente al tribunal de casación para revisar la valoración de la prueba realizada por la sala de instancia sustituyéndola por la operada directamente por él”, ya que “[e]l documento está ahí: puede ser percibido en iguales condiciones </w:t>
      </w:r>
      <w:r>
        <w:lastRenderedPageBreak/>
        <w:t>por ambos órganos jurisdiccionales, el de instancia y el de casación. No padece la inmediación”.</w:t>
      </w:r>
    </w:p>
    <w:p w14:paraId="3C7C928D" w14:textId="77777777" w:rsidR="009D7677" w:rsidRDefault="009D7677" w:rsidP="009D7677">
      <w:pPr>
        <w:pStyle w:val="TextoNormal"/>
      </w:pPr>
    </w:p>
    <w:p w14:paraId="0C30805F" w14:textId="77777777" w:rsidR="009D7677" w:rsidRDefault="009D7677" w:rsidP="009D7677">
      <w:pPr>
        <w:pStyle w:val="TextoNormal"/>
      </w:pPr>
      <w:r>
        <w:t>Considero, en suma, que las limitaciones introducidas en la modificación legislativa, no aplicable al caso examinado, no comportan negar en el caso de sentencias absolutorias la naturaleza y alcance del recurso de apelación como recurso ordinario, siempre que se respeten las garantías constitucionales, fundamentalmente de inmediación, a las que el propio preámbulo alude como justificación de la modificación legislativa.</w:t>
      </w:r>
    </w:p>
    <w:p w14:paraId="5496E83E" w14:textId="77777777" w:rsidR="009D7677" w:rsidRDefault="009D7677" w:rsidP="009D7677">
      <w:pPr>
        <w:pStyle w:val="TextoNormal"/>
      </w:pPr>
    </w:p>
    <w:p w14:paraId="5B386943" w14:textId="77777777" w:rsidR="009D7677" w:rsidRDefault="009D7677" w:rsidP="009D7677">
      <w:pPr>
        <w:pStyle w:val="TextoNormal"/>
      </w:pPr>
      <w:r>
        <w:t>A lo que cabe añadir que la sentencia no tiene en consideración la necesidad de valoración de las pruebas practicadas en segunda instancia cuando proceda su admisión, lo cual estaba previsto tanto en la anterior regulación, como lo está en la actual (art. 790.3 LECrim) y que faculta a la acusación para proponerlas, con la subsiguiente posibilidad de acordar la celebración de vista, a la que sea citado el acusado, ya que “la audiencia del acusado se configura con un doble propósito: de un lado, atender al carácter de prueba personal del testimonio del acusado, que exige de inmediación para ser valorada y, de otro, garantizar el derecho a dirigirse al órgano judicial que va a decidir sobre su culpabilidad y a ser oído personalmente por este (SSTC 88/2013, FJ 9; 105/2016, FJ 5, y 125/2017, FJ 5)” (STC 149/2019, de 25 de noviembre, FJ 2).</w:t>
      </w:r>
    </w:p>
    <w:p w14:paraId="7525AEB5" w14:textId="77777777" w:rsidR="009D7677" w:rsidRDefault="009D7677" w:rsidP="009D7677">
      <w:pPr>
        <w:pStyle w:val="TextoNormal"/>
      </w:pPr>
    </w:p>
    <w:p w14:paraId="08510D73" w14:textId="77777777" w:rsidR="009D7677" w:rsidRDefault="009D7677" w:rsidP="009D7677">
      <w:pPr>
        <w:pStyle w:val="TextoNormal"/>
      </w:pPr>
      <w:r>
        <w:t>4. Sobre la declarada vulneración del derecho a la presunción de inocencia</w:t>
      </w:r>
    </w:p>
    <w:p w14:paraId="76A1434F" w14:textId="77777777" w:rsidR="009D7677" w:rsidRDefault="009D7677" w:rsidP="009D7677">
      <w:pPr>
        <w:pStyle w:val="TextoNormal"/>
      </w:pPr>
    </w:p>
    <w:p w14:paraId="15CE9573" w14:textId="77777777" w:rsidR="009D7677" w:rsidRDefault="009D7677" w:rsidP="009D7677">
      <w:pPr>
        <w:pStyle w:val="TextoNormal"/>
      </w:pPr>
      <w:r>
        <w:t>Discrepo de la sentencia que estima el amparo en que declara la vulneración no solo del derecho a la tutela judicial efectiva —pronunciamiento que, como he dicho, comparto— sino también por vulneración del derecho a la presunción de inocencia.</w:t>
      </w:r>
    </w:p>
    <w:p w14:paraId="3808783B" w14:textId="77777777" w:rsidR="009D7677" w:rsidRDefault="009D7677" w:rsidP="009D7677">
      <w:pPr>
        <w:pStyle w:val="TextoNormal"/>
      </w:pPr>
    </w:p>
    <w:p w14:paraId="3BB83B8F" w14:textId="77777777" w:rsidR="009D7677" w:rsidRDefault="009D7677" w:rsidP="009D7677">
      <w:pPr>
        <w:pStyle w:val="TextoNormal"/>
      </w:pPr>
      <w:r>
        <w:t xml:space="preserve">La sentencia comienza por exponer que “el demandante asocia dicha vulneración a dos concretas consideraciones: (i) según la primera, el tribunal </w:t>
      </w:r>
      <w:r w:rsidRPr="009D7677">
        <w:rPr>
          <w:i/>
        </w:rPr>
        <w:t>ad quem</w:t>
      </w:r>
      <w:r>
        <w:t xml:space="preserve"> dedica su fundamento de derecho cuarto a analizar la prueba practicada ante la juez de lo penal en el acto del juicio oral y, tras hacerlo con sus propios criterios confronta su resultado incriminatorio con el absolutorio alcanzado en la instancia decidiendo ‘que esa valoración que no es la suya, por ese simple motivo, no se ajusta a la lógica; y en base a ello anula la sentencia’; (ii) según la segunda, ordena al nuevo juzgador al que retrotrae las actuaciones que valore las pruebas practicada con los criterios alcanzados por el órgano de apelación. Además, cuando se le solicita en aclaración si el nuevo juzgador al que se retrotraen las actuaciones se encontraba vinculado por las valoraciones contenidas en la sentencia de apelación, como se expresaba en la parte dispositiva de la sentencia, denegó por el auto de 24 de enero de 2020 —que se reproduce en los antecedentes— la necesidad de aclaración, ratificando que las pruebas practicadas debían ser valoradas con los criterios expuestos en la sentencia. De ambos razonamientos, fundamentalmente del segundo, deduce el demandante que el órgano de apelación considera que el acusado debe ser condenado porque ‘lo que está haciendo es decirle al nuevo juez de lo penal que esas pruebas que aún no se han practicado deben valorarse de forma que se condene a mi representado, vulnerando de forma clara el derecho […] a la presunción de inocencia’”.</w:t>
      </w:r>
    </w:p>
    <w:p w14:paraId="7B2A205C" w14:textId="77777777" w:rsidR="009D7677" w:rsidRDefault="009D7677" w:rsidP="009D7677">
      <w:pPr>
        <w:pStyle w:val="TextoNormal"/>
      </w:pPr>
    </w:p>
    <w:p w14:paraId="21086AE4" w14:textId="77777777" w:rsidR="009D7677" w:rsidRDefault="009D7677" w:rsidP="009D7677">
      <w:pPr>
        <w:pStyle w:val="TextoNormal"/>
      </w:pPr>
      <w:r>
        <w:t xml:space="preserve">Seguidamente, tras reconocer que el tribunal provincial aquí concernido no ha dictado sentencia condenatoria ni ha agravado un fallo condenatorio precedente, añade la sentencia de la que discrepo que “[s]in embargo, debemos convenir con el demandante en que el </w:t>
      </w:r>
      <w:r>
        <w:lastRenderedPageBreak/>
        <w:t>razonamiento que lleva a la revocación de la absolución, mediante una valoración alternativa de la prueba practicada en la instancia, supone de hecho un cuestionamiento directo de la justificación de la duda razonable sobre los hechos expresada motivadamente por la juez de instancia. La afirmación de duda razonable puede impugnarse, pero solo en la medida en que incurra en irrazonabilidad, arbitrariedad o error patente”.</w:t>
      </w:r>
    </w:p>
    <w:p w14:paraId="2DD90C06" w14:textId="77777777" w:rsidR="009D7677" w:rsidRDefault="009D7677" w:rsidP="009D7677">
      <w:pPr>
        <w:pStyle w:val="TextoNormal"/>
      </w:pPr>
    </w:p>
    <w:p w14:paraId="491E9B23" w14:textId="77777777" w:rsidR="009D7677" w:rsidRDefault="009D7677" w:rsidP="009D7677">
      <w:pPr>
        <w:pStyle w:val="TextoNormal"/>
      </w:pPr>
      <w:r>
        <w:t>Continúa el razonamiento que “[e]n tal medida, apreciamos que, en las circunstancias del caso aquí analizado, en el que el tribunal de apelación ordena la repetición del juicio ante un nuevo juzgador, indicándole los criterios con los que ha de valorar las pruebas, la ya reconocida vulneración del derecho a la tutela judicial efectiva mantiene una estrecha relación con el derecho a la presunción de inocencia del demandante de amparo, dado que la fundamentación de la decisión revocatoria no solo constituye una extralimitación de las facultades de apelación sino que tampoco es respetuosa con el contenido genuino del derecho a la presunción de inocencia, según el cual, para justificar la condena penal, la culpabilidad ha de ser probada de forma suficiente, más allá de toda duda razonable. Esta norma de enjuiciamiento sí fue tomada en consideración y observada por la juez de instancia, en tanto establece una regla que le obliga a absolver en caso de duda objetivamente razonada, manteniendo vigente de esta forma la presunción jurídica de inocencia del acusado al no haberse confirmado su culpabilidad mediante pruebas practicadas con todas las garantías”.</w:t>
      </w:r>
    </w:p>
    <w:p w14:paraId="47ACF965" w14:textId="77777777" w:rsidR="009D7677" w:rsidRDefault="009D7677" w:rsidP="009D7677">
      <w:pPr>
        <w:pStyle w:val="TextoNormal"/>
      </w:pPr>
    </w:p>
    <w:p w14:paraId="3BF71BBF" w14:textId="77777777" w:rsidR="009D7677" w:rsidRDefault="009D7677" w:rsidP="009D7677">
      <w:pPr>
        <w:pStyle w:val="TextoNormal"/>
      </w:pPr>
      <w:r>
        <w:t>Al margen de que en estos argumentos, como en otros de la sentencia, se reconstruye lo realmente alegado por la parte, se silencia que, como consta en los antecedentes de la resolución, el incidente de nulidad planteado por el recurrente fue inadmitido por providencia de 28 de abril de 2020, con siguiente fundamento: “no cabe acordar la nulidad de la sentencia dictada por esta sala, ya que la misma es clara en cuanto a las valoraciones que se han realizado en la misma y que se complementan con el auto dictado posteriormente de aclaración, dado como se dice en el auto de fecha 24 de enero de 2020 será el juzgador ante el que se repita el juicio oral, el que deba valorar la prueba que se realice en su presencia en la forma que estime conveniente. La sentencia de esta sala valora las pruebas que se han practicado y ha expresado unos criterios en la valoración de las mismas, y el juzgador de lo penal que en su caso dicte nueva sentencia, no quiere decir que tenga que someterse a la valoración realizada por esta sala, sino que tiene libertad de criterio para su valoración”.</w:t>
      </w:r>
    </w:p>
    <w:p w14:paraId="4AC4D0FB" w14:textId="77777777" w:rsidR="009D7677" w:rsidRDefault="009D7677" w:rsidP="009D7677">
      <w:pPr>
        <w:pStyle w:val="TextoNormal"/>
      </w:pPr>
    </w:p>
    <w:p w14:paraId="219FC34E" w14:textId="77777777" w:rsidR="009D7677" w:rsidRDefault="009D7677" w:rsidP="009D7677">
      <w:pPr>
        <w:pStyle w:val="TextoNormal"/>
      </w:pPr>
      <w:r>
        <w:t>De modo que es evidente que la audiencia rectificó y vino a reconocer que el juez que repitiera el juicio debería valorar la prueba que se practicara en su presencia de la forma que estimara conveniente, sin someterse a la valoración realizada por la sala.</w:t>
      </w:r>
    </w:p>
    <w:p w14:paraId="6A2F1791" w14:textId="77777777" w:rsidR="009D7677" w:rsidRDefault="009D7677" w:rsidP="009D7677">
      <w:pPr>
        <w:pStyle w:val="TextoNormal"/>
      </w:pPr>
    </w:p>
    <w:p w14:paraId="487B22D3" w14:textId="77777777" w:rsidR="009D7677" w:rsidRDefault="009D7677" w:rsidP="009D7677">
      <w:pPr>
        <w:pStyle w:val="TextoNormal"/>
      </w:pPr>
      <w:r>
        <w:t>En cualquier caso, la indebida valoración por parte de la audiencia de pruebas en segunda instancia sin las garantías de inmediación, contradicción y audiencia del acusado absuelto, no permite el salto dialéctico que da la sentencia para concluir que la ya reconocida vulneración del derecho a la tutela judicial efectiva “mantiene una estrecha relación con el derecho a la presunción de inocencia del demandante de amparo, dado que la fundamentación de la decisión revocatoria no solo constituye una extralimitación de las facultades de apelación sino que tampoco es respetuosa con el contenido genuino del derecho a la presunción de inocencia, según el cual, para justificar la condena penal, la culpabilidad ha de ser probada de forma suficiente, más allá de toda duda razonable”.</w:t>
      </w:r>
    </w:p>
    <w:p w14:paraId="421B863D" w14:textId="77777777" w:rsidR="009D7677" w:rsidRDefault="009D7677" w:rsidP="009D7677">
      <w:pPr>
        <w:pStyle w:val="TextoNormal"/>
      </w:pPr>
    </w:p>
    <w:p w14:paraId="331AA479" w14:textId="77777777" w:rsidR="009D7677" w:rsidRDefault="009D7677" w:rsidP="009D7677">
      <w:pPr>
        <w:pStyle w:val="TextoNormal"/>
      </w:pPr>
      <w:r>
        <w:t>Este razonamiento choca con la evidencia, inexplicablemente sorteada en los fundamentos de la sentencia, de que la Audiencia, aun cuando fuera indebidamente, se limitó a declarar la nulidad de la sentencia y del juicio con retroacción de actuaciones, lo que evidencia la inexistencia de pronunciamiento condenatorio alguno, presupuesto inexcusable de la vulneración en el proceso penal del derecho a la presunción de inocencia.</w:t>
      </w:r>
    </w:p>
    <w:p w14:paraId="369ECBEB" w14:textId="77777777" w:rsidR="009D7677" w:rsidRDefault="009D7677" w:rsidP="009D7677">
      <w:pPr>
        <w:pStyle w:val="TextoNormal"/>
      </w:pPr>
    </w:p>
    <w:p w14:paraId="2C05E025" w14:textId="77777777" w:rsidR="009D7677" w:rsidRDefault="009D7677" w:rsidP="009D7677">
      <w:pPr>
        <w:pStyle w:val="TextoNormal"/>
      </w:pPr>
      <w:r>
        <w:t>Es constante la jurisprudencia constitucional que, en el ámbito del proceso penal, considera que la sentencia condenatoria es presupuesto de la posible vulneración del derecho a la presunción de inocencia. Entre las más recientes, la STC 8/2024, de 16 de enero, FJ 4 b) que señala que “con carácter general, el derecho a la presunción de inocencia se configura como el derecho a no ser condenado sin pruebas de cargo válidas, lo que exige una mínima actividad probatoria, realizada con las garantías necesarias, referida a todos los elementos esenciales del delito, y que de la misma quepa inferir razonablemente los hechos y la participación del acusado en los mismos”.</w:t>
      </w:r>
    </w:p>
    <w:p w14:paraId="2EC4BABD" w14:textId="77777777" w:rsidR="009D7677" w:rsidRDefault="009D7677" w:rsidP="009D7677">
      <w:pPr>
        <w:pStyle w:val="TextoNormal"/>
      </w:pPr>
    </w:p>
    <w:p w14:paraId="220F0B85" w14:textId="77777777" w:rsidR="009D7677" w:rsidRDefault="009D7677" w:rsidP="009D7677">
      <w:pPr>
        <w:pStyle w:val="TextoNormal"/>
      </w:pPr>
      <w:r>
        <w:t>La propia STC 112/2015, de 8 junio, citada en la sentencia de la que disiento declaró que “[e]n cualquier caso, cabe asimismo recordar que el derecho a la presunción de inocencia se configura, en su perspectiva constitucional, como el derecho a no ser condenado sin pruebas de cargo válidas, por lo que, para desplegar sus efectos, requiere un pronunciamiento de condena, inexistente en este caso. Solo desde una situación preliminar de condena cabe valorar si el derecho a la presunción de inocencia ha sido vulnerado, derecho que una consolidada doctrina de este tribunal (SSTC 107/2011, de 20 de junio FJ 4, o 68/2010, de 18 de octubre FJ 4, entre otras muchas) configura, en tanto que regla de juicio y con la perspectiva constitucional, como ՙel derecho a no ser condenado sin pruebas de cargo válidas, lo que implica que exista una mínima actividad probatoria realizada con las garantías necesarias, referida a todos los elementos esenciales del delito, y que de la misma quepa inferir razonablemente los hechos y la participación del acusado en los mismos՚”.</w:t>
      </w:r>
    </w:p>
    <w:p w14:paraId="5DA088FC" w14:textId="77777777" w:rsidR="009D7677" w:rsidRDefault="009D7677" w:rsidP="009D7677">
      <w:pPr>
        <w:pStyle w:val="TextoNormal"/>
      </w:pPr>
    </w:p>
    <w:p w14:paraId="6AEDF820" w14:textId="77777777" w:rsidR="009D7677" w:rsidRDefault="009D7677" w:rsidP="009D7677">
      <w:pPr>
        <w:pStyle w:val="TextoNormal"/>
      </w:pPr>
      <w:r>
        <w:t xml:space="preserve">Tampoco comparto que se traiga en apoyo de la pretendida vulneración de la presunción de inocencia la doctrina del Tribunal Europeo de Derechos Humanos citada en la sentencia, por haber exteriorizado la sentencia de la audiencia una convicción sobre la culpabilidad del acusado absuelto, a la que alude la STEDH de 15 de enero de 2015, asunto </w:t>
      </w:r>
      <w:r w:rsidRPr="009D7677">
        <w:rPr>
          <w:i/>
        </w:rPr>
        <w:t>Cleve c. Alemania</w:t>
      </w:r>
      <w:r>
        <w:t xml:space="preserve">, § 53, que cita otras anteriores SSTEDH de 25 de marzo de 1983, asunto </w:t>
      </w:r>
      <w:r w:rsidRPr="009D7677">
        <w:rPr>
          <w:i/>
        </w:rPr>
        <w:t>Minelli c. Suiza</w:t>
      </w:r>
      <w:r>
        <w:t xml:space="preserve">, § 37; de 28 de octubre de 2003, asunto </w:t>
      </w:r>
      <w:r w:rsidRPr="009D7677">
        <w:rPr>
          <w:i/>
        </w:rPr>
        <w:t>Baars c. Países Bajos</w:t>
      </w:r>
      <w:r>
        <w:t>, § 26; de 7 de enero de 2010, asunt</w:t>
      </w:r>
      <w:r w:rsidRPr="009D7677">
        <w:rPr>
          <w:i/>
        </w:rPr>
        <w:t>o Petyo Petkov c. Bulgar</w:t>
      </w:r>
      <w:r>
        <w:t>ia, § 90, y de 13 de julio de 2010, asunt</w:t>
      </w:r>
      <w:r w:rsidRPr="009D7677">
        <w:rPr>
          <w:i/>
        </w:rPr>
        <w:t>o Tendam c. Espa</w:t>
      </w:r>
      <w:r>
        <w:t>ña, § 35.</w:t>
      </w:r>
    </w:p>
    <w:p w14:paraId="3D6AFF2A" w14:textId="77777777" w:rsidR="009D7677" w:rsidRDefault="009D7677" w:rsidP="009D7677">
      <w:pPr>
        <w:pStyle w:val="TextoNormal"/>
      </w:pPr>
    </w:p>
    <w:p w14:paraId="6FCD0FDA" w14:textId="77777777" w:rsidR="009D7677" w:rsidRDefault="009D7677" w:rsidP="009D7677">
      <w:pPr>
        <w:pStyle w:val="TextoNormal"/>
      </w:pPr>
      <w:r>
        <w:t xml:space="preserve">A mi juicio es obvio que la dimensión procesal o formal de la presunción de inocencia (en sentido propio) no puede estar afectada en el presente caso, pues solo se produce en caso de sentencia condenatoria. Los pronunciamientos del Tribunal Europeo de Derechos Humanos citados, que la sentencia no analiza separadamente, sino que simplemente los extrae de la cita del citado parágrafo 53 de la STEDH dictada en el asunto </w:t>
      </w:r>
      <w:r w:rsidRPr="009D7677">
        <w:rPr>
          <w:i/>
        </w:rPr>
        <w:t>Cleve c. Alemania</w:t>
      </w:r>
      <w:r>
        <w:t xml:space="preserve">, se enmarcan en un caso en el que concurren importantes diferencias con el resuelto en la sentencia de la que discrepo. Así, esta STEDH tiene por objeto una sentencia absolutoria, mientras que la sentencia dictada en apelación impugnada en el recurso de amparo </w:t>
      </w:r>
      <w:r>
        <w:lastRenderedPageBreak/>
        <w:t>avocado que nos ocupa ni absuelve ni condena, sino que anula la sentencia absolutoria con retroacción de actuaciones a la primera instancia.</w:t>
      </w:r>
    </w:p>
    <w:p w14:paraId="1ACDB2FC" w14:textId="77777777" w:rsidR="009D7677" w:rsidRDefault="009D7677" w:rsidP="009D7677">
      <w:pPr>
        <w:pStyle w:val="TextoNormal"/>
      </w:pPr>
    </w:p>
    <w:p w14:paraId="7884CFC3" w14:textId="77777777" w:rsidR="009D7677" w:rsidRDefault="009D7677" w:rsidP="009D7677">
      <w:pPr>
        <w:pStyle w:val="TextoNormal"/>
      </w:pPr>
      <w:r>
        <w:t xml:space="preserve">En segundo lugar, la STEDH tiene por objeto una sentencia absolutoria firme con efecto de cosa juzgada material y la doctrina que contiene la STEDH es clara al respecto (§ 36): “Por lo tanto, el Tribunal considera que una vez que una absolución ha adquirido firmeza, ya sea una absolución que otorga al acusado el beneficio de la duda de conformidad con el artículo 6 § 2, la expresión de cualquier sospecha de culpabilidad, incluidas las expresadas en los motivos de la absolución, es incompatible con la presunción de inocencia (véase </w:t>
      </w:r>
      <w:r w:rsidRPr="009D7677">
        <w:rPr>
          <w:i/>
        </w:rPr>
        <w:t>Rushiti</w:t>
      </w:r>
      <w:r>
        <w:t xml:space="preserve">, antes citada, § 31; </w:t>
      </w:r>
      <w:r w:rsidRPr="009D7677">
        <w:rPr>
          <w:i/>
        </w:rPr>
        <w:t>Vostic v. Austria</w:t>
      </w:r>
      <w:r>
        <w:t xml:space="preserve">, núm. 38549/97, § 19, de 17 de octubre de 2002; </w:t>
      </w:r>
      <w:r w:rsidRPr="009D7677">
        <w:rPr>
          <w:i/>
        </w:rPr>
        <w:t>Vassilios Stavropoulos</w:t>
      </w:r>
      <w:r>
        <w:t xml:space="preserve">, antes citada, § 38; y </w:t>
      </w:r>
      <w:r w:rsidRPr="009D7677">
        <w:rPr>
          <w:i/>
        </w:rPr>
        <w:t>Tendam</w:t>
      </w:r>
      <w:r>
        <w:t xml:space="preserve">, antes citada, § 36, 39). La parte dispositiva de la sentencia absolutoria del acusado debe ser respetada por toda autoridad que se refiera, directa o indirectamente, a la responsabilidad penal del imputado (véase </w:t>
      </w:r>
      <w:r w:rsidRPr="009D7677">
        <w:rPr>
          <w:i/>
        </w:rPr>
        <w:t>Vassilios Stavropoulos</w:t>
      </w:r>
      <w:r>
        <w:t xml:space="preserve">, antes citada, § 39; </w:t>
      </w:r>
      <w:r w:rsidRPr="009D7677">
        <w:rPr>
          <w:i/>
        </w:rPr>
        <w:t>y Tend</w:t>
      </w:r>
      <w:r>
        <w:t>am, antes citada, § 37)”. El último párrafo citado revela que se alude al efecto positivo de la cosa juzgada material.</w:t>
      </w:r>
    </w:p>
    <w:p w14:paraId="58A799C3" w14:textId="77777777" w:rsidR="009D7677" w:rsidRDefault="009D7677" w:rsidP="009D7677">
      <w:pPr>
        <w:pStyle w:val="TextoNormal"/>
      </w:pPr>
    </w:p>
    <w:p w14:paraId="2F291011" w14:textId="77777777" w:rsidR="009D7677" w:rsidRDefault="009D7677" w:rsidP="009D7677">
      <w:pPr>
        <w:pStyle w:val="TextoNormal"/>
      </w:pPr>
      <w:r>
        <w:t>También es destacable en este punto el § 62: “la expresión de cualquier sospecha de culpabilidad, incluidas las expresadas en los motivos de la absolución, es incompatible con la presunción de inocencia después de la absolución definitiva del solicitante. Toda autoridad que se refiera, directa o indirectamente, a su responsabilidad penal por los delitos que se le imputan debe respetar la parte dispositiva de la sentencia del Tribunal Regional por la que se le absuelve (véase el apartado 3</w:t>
      </w:r>
      <w:r w:rsidRPr="009D7677">
        <w:rPr>
          <w:i/>
        </w:rPr>
        <w:t>6 sup</w:t>
      </w:r>
      <w:r>
        <w:t>ra)”.</w:t>
      </w:r>
    </w:p>
    <w:p w14:paraId="7CC39811" w14:textId="77777777" w:rsidR="009D7677" w:rsidRDefault="009D7677" w:rsidP="009D7677">
      <w:pPr>
        <w:pStyle w:val="TextoNormal"/>
      </w:pPr>
    </w:p>
    <w:p w14:paraId="572A60D5" w14:textId="77777777" w:rsidR="009D7677" w:rsidRDefault="009D7677" w:rsidP="009D7677">
      <w:pPr>
        <w:pStyle w:val="TextoNormal"/>
      </w:pPr>
      <w:r>
        <w:t>Aquí se evidencia que lo expuesto se refiere a un caso supuesto de absolución declarada firme, al contrario de la sentencia impugnada en amparo, que carece de los efectos positivo y negativo de la cosa juzgada material, al quedar el objeto del proceso imprejuzgado como consecuencia de la retroacción a la instanci</w:t>
      </w:r>
      <w:r w:rsidRPr="009D7677">
        <w:rPr>
          <w:i/>
        </w:rPr>
        <w:t>a a q</w:t>
      </w:r>
      <w:r>
        <w:t>uo.</w:t>
      </w:r>
    </w:p>
    <w:p w14:paraId="7C0C37DD" w14:textId="77777777" w:rsidR="009D7677" w:rsidRDefault="009D7677" w:rsidP="009D7677">
      <w:pPr>
        <w:pStyle w:val="TextoNormal"/>
      </w:pPr>
    </w:p>
    <w:p w14:paraId="1CC00ECD" w14:textId="77777777" w:rsidR="009D7677" w:rsidRDefault="009D7677" w:rsidP="009D7677">
      <w:pPr>
        <w:pStyle w:val="TextoNormal"/>
      </w:pPr>
      <w:r>
        <w:t>Por otro lado, la sentencia absolutoria que es objeto de la STEDH, contiene un pronunciamiento materialmente equiparable a una declaración de culpabilidad, contraria a la presunción de inocencia: la sentencia absolutoria del Tribunal Regional de Münster consideró que los delitos de los que se había acusado al demandante no habían sido probados con la certeza necesaria para una condena penal y, sin embargo, también declaró, en la misma sentencia “que el acusado efectivamente cometió agresiones sexuales a su hija en su automóvil”, afirmación que a juicio del Tribunal Europeo de Derechos Humanos no puede sino transmitir al lector de la sentencia que el demandante era de hecho culpable de haber abusado sexualmente de su hija.</w:t>
      </w:r>
    </w:p>
    <w:p w14:paraId="3F300874" w14:textId="77777777" w:rsidR="009D7677" w:rsidRDefault="009D7677" w:rsidP="009D7677">
      <w:pPr>
        <w:pStyle w:val="TextoNormal"/>
      </w:pPr>
    </w:p>
    <w:p w14:paraId="7EADC4D6" w14:textId="77777777" w:rsidR="009D7677" w:rsidRDefault="009D7677" w:rsidP="009D7677">
      <w:pPr>
        <w:pStyle w:val="TextoNormal"/>
      </w:pPr>
      <w:r>
        <w:t xml:space="preserve">Por el contrario, en la sentencia recurrida en el presente recurso de amparo no aparece ninguna declaración de culpabilidad igual, ni siquiera aproximada, a la examinada por el Tribunal Europeo de Derechos Humanos. La audiencia provincial declara, en síntesis, que ya que en el año 2002 y anteriormente, las chimeneas de la empresa en cuestión no disponían de ningún tipo de filtro y por lo tanto, en aquella época, e incluso con posterioridad y hasta que se instalaron, la empresa emitía a la atmósfera todo lo que se quemaba, sin ningún tipo de depuración. La sala expone su propia valoración de determinadas pruebas periciales, cuyo resultado la lleva a concluir que no se han valorado correctamente en la instancia y que la sentencia dictada por el juzgado de lo penal “no se ajusta a la lógica”, lo que determina la estimación del recurso y la declaración de nulidad del juicio para que por </w:t>
      </w:r>
      <w:r>
        <w:lastRenderedPageBreak/>
        <w:t>otro juzgador se valoren la totalidad de los hechos y la prueba practicada “y se motive, y se proceda al dictado de una nueva sentencia en su caso”, lo que ha determinado la estimación de la vulneración del derecho a la tutela judicial efectiva.</w:t>
      </w:r>
    </w:p>
    <w:p w14:paraId="272227B3" w14:textId="77777777" w:rsidR="009D7677" w:rsidRDefault="009D7677" w:rsidP="009D7677">
      <w:pPr>
        <w:pStyle w:val="TextoNormal"/>
      </w:pPr>
    </w:p>
    <w:p w14:paraId="30F2C669" w14:textId="77777777" w:rsidR="009D7677" w:rsidRDefault="009D7677" w:rsidP="009D7677">
      <w:pPr>
        <w:pStyle w:val="TextoNormal"/>
      </w:pPr>
      <w:r>
        <w:t>Pero la referida sentencia de apelación no efectúa declaración alguna sobre la autoría del posible delito cometido, ni tampoco se pronuncia sobre elemento culpabilísitico alguno que pueda interpretarse como una declaración de culpabilidad.</w:t>
      </w:r>
    </w:p>
    <w:p w14:paraId="16A695EC" w14:textId="77777777" w:rsidR="009D7677" w:rsidRDefault="009D7677" w:rsidP="009D7677">
      <w:pPr>
        <w:pStyle w:val="TextoNormal"/>
      </w:pPr>
    </w:p>
    <w:p w14:paraId="162BEB86" w14:textId="77777777" w:rsidR="009D7677" w:rsidRDefault="009D7677" w:rsidP="009D7677">
      <w:pPr>
        <w:pStyle w:val="TextoNormal"/>
      </w:pPr>
      <w:r>
        <w:t>Por consiguiente, en el caso enjuiciado en sede constitucional no se trata de que el mismo órgano judicial que absuelve al acusado sea el que en la misma resolución absolutoria haga manifestaciones equivalentes a una declaración de culpabilidad, sino de que el órgano de apelación se limita a revocar la sentencia absolutoria con retroacción de las actuaciones para la celebración de nuevo juicio o subsiguiente dictado de sentencia, sin que lo declarado por el órgano de apelación surta otros efectos que los propios de la cosa juzgada formal, al no pronunciarse definitivamente sobre el objeto del proceso en una sentencia firme con efecto de cosa juzgada material.</w:t>
      </w:r>
    </w:p>
    <w:p w14:paraId="001E5EC1" w14:textId="77777777" w:rsidR="009D7677" w:rsidRDefault="009D7677" w:rsidP="009D7677">
      <w:pPr>
        <w:pStyle w:val="TextoNormal"/>
      </w:pPr>
    </w:p>
    <w:p w14:paraId="031581EC" w14:textId="77777777" w:rsidR="009D7677" w:rsidRDefault="009D7677" w:rsidP="009D7677">
      <w:pPr>
        <w:pStyle w:val="TextoNormal"/>
      </w:pPr>
      <w:r>
        <w:t>5. Sobre el alcance del fallo estimatorio del recurso de amparo</w:t>
      </w:r>
    </w:p>
    <w:p w14:paraId="2B32E825" w14:textId="77777777" w:rsidR="009D7677" w:rsidRDefault="009D7677" w:rsidP="009D7677">
      <w:pPr>
        <w:pStyle w:val="TextoNormal"/>
      </w:pPr>
    </w:p>
    <w:p w14:paraId="2FCB1645" w14:textId="77777777" w:rsidR="009D7677" w:rsidRDefault="009D7677" w:rsidP="009D7677">
      <w:pPr>
        <w:pStyle w:val="TextoNormal"/>
      </w:pPr>
      <w:r>
        <w:t>Entiendo que al no haberse producido la vulneración de derechos fundamentales sustantivos ni del derecho a la presunción de inocencia, sino únicamente la del derecho a la tutela judicial efectiva, el efecto que habría de anudarse a la estimación del amparo y a la declaración de nulidad de la sentencia de apelación y de las resoluciones ulteriores, sería el de retroacción de actuaciones al tribunal de segunda instancia.</w:t>
      </w:r>
    </w:p>
    <w:p w14:paraId="4085CD73" w14:textId="77777777" w:rsidR="009D7677" w:rsidRDefault="009D7677" w:rsidP="009D7677">
      <w:pPr>
        <w:pStyle w:val="TextoNormal"/>
      </w:pPr>
    </w:p>
    <w:p w14:paraId="58CF466F" w14:textId="77777777" w:rsidR="009D7677" w:rsidRDefault="009D7677" w:rsidP="009D7677">
      <w:pPr>
        <w:pStyle w:val="TextoNormal"/>
      </w:pPr>
      <w:r>
        <w:t xml:space="preserve">Para justificar la declaración de firmeza de la sentencia absolutoria tras la anulación de la sentencia de apelación, sin retroacción de actuaciones, se afirma en la sentencia que “[s]e trata por tanto de un vicio </w:t>
      </w:r>
      <w:r w:rsidRPr="009D7677">
        <w:rPr>
          <w:i/>
        </w:rPr>
        <w:t>in iudicando</w:t>
      </w:r>
      <w:r>
        <w:t xml:space="preserve">, que ha sido protagonizado por el órgano de apelación, y no constituye un vicio de forma que pueda o deba subsanarse mediante la vuelta atrás del procedimiento que otorgue una nueva posibilidad de pronunciamiento sobre el recurso de apelación”. Entiendo que el borrador asimila los errores </w:t>
      </w:r>
      <w:r w:rsidRPr="009D7677">
        <w:rPr>
          <w:i/>
        </w:rPr>
        <w:t>in iudicando</w:t>
      </w:r>
      <w:r>
        <w:t xml:space="preserve"> con las vulneraciones no procesales cometidas en sentencia, es sabido que los errores procesales pueden producirse no solo </w:t>
      </w:r>
      <w:r w:rsidRPr="009D7677">
        <w:rPr>
          <w:i/>
        </w:rPr>
        <w:t>in procedendo</w:t>
      </w:r>
      <w:r>
        <w:t xml:space="preserve"> —durante la tramitación procesal— sino también </w:t>
      </w:r>
      <w:r w:rsidRPr="009D7677">
        <w:rPr>
          <w:i/>
        </w:rPr>
        <w:t>in iudicando</w:t>
      </w:r>
      <w:r>
        <w:t>, cuando el error procesal se manifiesta en la propia sentencia, en el momento de emitir la declaración de voluntad que constituye el fallo y la operación intelectual que lo precede. Es decir, errores al juzgar que pueden ser “materiales”, como los errores de hecho (en la valoración de la prueba) o de derecho (en la subsunción jurídica), pero también vicios procesales manifestados en la propia sentencia, como los defectos en la motivación o la incongruencia.</w:t>
      </w:r>
    </w:p>
    <w:p w14:paraId="5509ABF9" w14:textId="77777777" w:rsidR="009D7677" w:rsidRDefault="009D7677" w:rsidP="009D7677">
      <w:pPr>
        <w:pStyle w:val="TextoNormal"/>
      </w:pPr>
    </w:p>
    <w:p w14:paraId="0DE94ED8" w14:textId="77777777" w:rsidR="009D7677" w:rsidRDefault="009D7677" w:rsidP="009D7677">
      <w:pPr>
        <w:pStyle w:val="TextoNormal"/>
      </w:pPr>
      <w:r>
        <w:t>Por lo tanto, no cabe afirmar que lo que se atribuye a la sentencia impugnada en amparo “no constituye un vicio de forma”, sino que, por el contrario, es una infracción procesal al ser la consecuencia de la lesión de aquellas garantías procesales que impiden en vía de recurso emitir un juicio de hecho sin la práctica de prueba con todas las garantías (inmediación y contradicción) y, en todo caso, audiencia del acusado absuelto.</w:t>
      </w:r>
    </w:p>
    <w:p w14:paraId="0A1686DB" w14:textId="77777777" w:rsidR="009D7677" w:rsidRDefault="009D7677" w:rsidP="009D7677">
      <w:pPr>
        <w:pStyle w:val="TextoNormal"/>
      </w:pPr>
    </w:p>
    <w:p w14:paraId="3AE4F3B3" w14:textId="77777777" w:rsidR="009D7677" w:rsidRDefault="009D7677" w:rsidP="009D7677">
      <w:pPr>
        <w:pStyle w:val="TextoNormal"/>
      </w:pPr>
      <w:r>
        <w:t>Por estas razones, estimo que la vulneración del derecho a la tutela judicial efectiva debería haber determinado la declaración de nulidad de la sentencia impugnada con retroac</w:t>
      </w:r>
      <w:r>
        <w:lastRenderedPageBreak/>
        <w:t>ción de actuaciones a la sal</w:t>
      </w:r>
      <w:r w:rsidRPr="009D7677">
        <w:rPr>
          <w:i/>
        </w:rPr>
        <w:t>a a q</w:t>
      </w:r>
      <w:r>
        <w:t>uo, a fin de dictar una nueva sentencia que contuviere una motivación respetuosa con el citado derecho fundamental vulnerado.</w:t>
      </w:r>
    </w:p>
    <w:p w14:paraId="6CDF2D9D" w14:textId="77777777" w:rsidR="009D7677" w:rsidRDefault="009D7677" w:rsidP="009D7677">
      <w:pPr>
        <w:pStyle w:val="TextoNormal"/>
      </w:pPr>
    </w:p>
    <w:p w14:paraId="2C479852" w14:textId="77777777" w:rsidR="009D7677" w:rsidRDefault="009D7677" w:rsidP="009D7677">
      <w:pPr>
        <w:pStyle w:val="TextoNormal"/>
      </w:pPr>
      <w:r>
        <w:t>Con base en todo lo expuesto discrepo de la fundamentación y del fallo de la sentencia dictada en el recurso de amparo avocado núm. 2228-2020 y en tal sentido emito el presente voto particular.</w:t>
      </w:r>
    </w:p>
    <w:p w14:paraId="3157F5AB" w14:textId="77777777" w:rsidR="009D7677" w:rsidRDefault="009D7677" w:rsidP="009D7677">
      <w:pPr>
        <w:pStyle w:val="TextoNormal"/>
      </w:pPr>
    </w:p>
    <w:p w14:paraId="026336BC" w14:textId="16786BAD" w:rsidR="009D7677" w:rsidRDefault="009D7677" w:rsidP="009D7677">
      <w:pPr>
        <w:pStyle w:val="TextoNormal"/>
      </w:pPr>
      <w:r>
        <w:t>Madrid, a siete de mayo de dos mil veinticuatro.</w:t>
      </w:r>
    </w:p>
    <w:p w14:paraId="18A25454" w14:textId="2689E90B" w:rsidR="009D7677" w:rsidRDefault="009D7677">
      <w:pPr>
        <w:spacing w:after="160" w:line="259" w:lineRule="auto"/>
        <w:rPr>
          <w:rFonts w:ascii="Times New Roman" w:eastAsia="Times New Roman" w:hAnsi="Times New Roman" w:cs="Times New Roman"/>
          <w:sz w:val="24"/>
          <w:szCs w:val="24"/>
          <w:lang w:eastAsia="es-ES"/>
        </w:rPr>
      </w:pPr>
      <w:r>
        <w:br w:type="page"/>
      </w:r>
    </w:p>
    <w:p w14:paraId="16C3CAC3" w14:textId="77777777" w:rsidR="009D7677" w:rsidRDefault="009D7677" w:rsidP="009D7677">
      <w:pPr>
        <w:pStyle w:val="TtuloResolucin"/>
      </w:pPr>
      <w:bookmarkStart w:id="75" w:name="SENTENCIA_2024_73"/>
      <w:r>
        <w:lastRenderedPageBreak/>
        <w:t>SENTENCIA 73/2024, de 7 de mayo de 2024</w:t>
      </w:r>
    </w:p>
    <w:bookmarkEnd w:id="75"/>
    <w:p w14:paraId="13369EB0" w14:textId="77777777" w:rsidR="009D7677" w:rsidRDefault="009D7677" w:rsidP="009D7677">
      <w:pPr>
        <w:pStyle w:val="TtuloResolucin"/>
      </w:pPr>
      <w:r>
        <w:t>Pleno</w:t>
      </w:r>
    </w:p>
    <w:p w14:paraId="5CED2B84" w14:textId="77777777" w:rsidR="009D7677" w:rsidRDefault="009D7677" w:rsidP="009D7677">
      <w:pPr>
        <w:pStyle w:val="TtuloBOE"/>
      </w:pPr>
      <w:r>
        <w:t>(BOE núm. 140, de 10 de junio de 2024)</w:t>
      </w:r>
    </w:p>
    <w:p w14:paraId="6AB746B7" w14:textId="77777777" w:rsidR="009D7677" w:rsidRDefault="009D7677" w:rsidP="009D7677">
      <w:pPr>
        <w:pStyle w:val="TextoNormalCentrado"/>
      </w:pPr>
      <w:r>
        <w:t>ECLI:ES:TC:2024:73</w:t>
      </w:r>
    </w:p>
    <w:p w14:paraId="76428AFA" w14:textId="71DA9C9E" w:rsidR="009D7677" w:rsidRDefault="009D7677" w:rsidP="009D7677">
      <w:pPr>
        <w:pStyle w:val="TextoNormalCentrado"/>
      </w:pPr>
    </w:p>
    <w:p w14:paraId="3E4A7471" w14:textId="77777777" w:rsidR="009D7677" w:rsidRDefault="009D7677" w:rsidP="009D7677">
      <w:pPr>
        <w:pStyle w:val="SntesisDescriptiva"/>
      </w:pPr>
      <w:r>
        <w:t>Recurso de inconstitucionalidad 2192-2022. Interpuesto por más de cincuenta diputados del Grupo Parlamentario Vox en el Congreso en relación con la disposición final primera de la Ley 22/2021, de 28 de diciembre, de presupuestos generales del Estado para el año 2022.</w:t>
      </w:r>
    </w:p>
    <w:p w14:paraId="7249BAA3" w14:textId="75830457" w:rsidR="009D7677" w:rsidRDefault="009D7677" w:rsidP="009D7677">
      <w:pPr>
        <w:pStyle w:val="SntesisDescriptiva"/>
      </w:pPr>
    </w:p>
    <w:p w14:paraId="0F8733F8" w14:textId="77777777" w:rsidR="009D7677" w:rsidRDefault="009D7677" w:rsidP="009D7677">
      <w:pPr>
        <w:pStyle w:val="SntesisAnaltica"/>
      </w:pPr>
      <w:r>
        <w:t>Límites de las leyes de presupuestos: extinción del recurso de inconstitucionalidad por pérdida sobrevenida de su objeto al versar sobre el precepto legal anulado por la STC 67/2024, de 23 de abril.</w:t>
      </w:r>
    </w:p>
    <w:p w14:paraId="4732C4FA" w14:textId="01BB7514" w:rsidR="009D7677" w:rsidRDefault="009D7677" w:rsidP="009D7677">
      <w:pPr>
        <w:pStyle w:val="SntesisAnaltica"/>
      </w:pPr>
    </w:p>
    <w:p w14:paraId="2C9A8182" w14:textId="3E671A9D" w:rsidR="009D7677" w:rsidRDefault="009D7677" w:rsidP="009D7677">
      <w:pPr>
        <w:pStyle w:val="Extracto"/>
      </w:pPr>
      <w:r>
        <w:t>1.</w:t>
      </w:r>
      <w:r>
        <w:tab/>
        <w:t>La expulsión del ordenamiento jurídico -por la STC 67/2024- de la disposición impugnada determina la pérdida sobrevenida de objeto del presente recurso de inconstitucionalidad (SSTC 139/2011 o 124/2021)   [FJ 2]. [FJ 2].</w:t>
      </w:r>
    </w:p>
    <w:p w14:paraId="6068F171" w14:textId="77777777" w:rsidR="009D7677" w:rsidRDefault="009D7677" w:rsidP="009D7677">
      <w:pPr>
        <w:pStyle w:val="Extracto"/>
      </w:pPr>
    </w:p>
    <w:p w14:paraId="5FB1B314" w14:textId="77777777" w:rsidR="009D7677" w:rsidRDefault="009D7677" w:rsidP="009D7677">
      <w:pPr>
        <w:pStyle w:val="Extracto"/>
      </w:pPr>
    </w:p>
    <w:p w14:paraId="10F9DE2D" w14:textId="77777777" w:rsidR="009D7677" w:rsidRDefault="009D7677" w:rsidP="009D7677">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2F0ACB90" w14:textId="6C83A265" w:rsidR="009D7677" w:rsidRDefault="009D7677" w:rsidP="009D7677">
      <w:pPr>
        <w:pStyle w:val="TextoNormal"/>
      </w:pPr>
    </w:p>
    <w:p w14:paraId="79DA4E42" w14:textId="77777777" w:rsidR="009D7677" w:rsidRDefault="009D7677" w:rsidP="009D7677">
      <w:pPr>
        <w:pStyle w:val="TextoNormalCentrado"/>
        <w:keepNext/>
      </w:pPr>
      <w:r>
        <w:t>EN NOMBRE DEL REY</w:t>
      </w:r>
    </w:p>
    <w:p w14:paraId="7DFF4B91" w14:textId="4602F0BD" w:rsidR="009D7677" w:rsidRDefault="009D7677" w:rsidP="009D7677">
      <w:pPr>
        <w:pStyle w:val="TextoNormalCentrado"/>
        <w:keepNext/>
      </w:pPr>
    </w:p>
    <w:p w14:paraId="63CF1625" w14:textId="77777777" w:rsidR="009D7677" w:rsidRDefault="009D7677" w:rsidP="009D7677">
      <w:pPr>
        <w:pStyle w:val="TextoNormalCentrado"/>
        <w:keepNext/>
      </w:pPr>
    </w:p>
    <w:p w14:paraId="61F86356" w14:textId="77777777" w:rsidR="009D7677" w:rsidRDefault="009D7677" w:rsidP="009D7677">
      <w:pPr>
        <w:pStyle w:val="TextoNormal"/>
      </w:pPr>
      <w:r>
        <w:t>la siguiente</w:t>
      </w:r>
    </w:p>
    <w:p w14:paraId="32677366" w14:textId="45C2EC84" w:rsidR="009D7677" w:rsidRDefault="009D7677" w:rsidP="009D7677">
      <w:pPr>
        <w:pStyle w:val="TextoNormal"/>
      </w:pPr>
    </w:p>
    <w:p w14:paraId="784C8047" w14:textId="77777777" w:rsidR="009D7677" w:rsidRDefault="009D7677" w:rsidP="009D7677">
      <w:pPr>
        <w:pStyle w:val="TextoNormalCentrado"/>
        <w:keepNext/>
      </w:pPr>
      <w:r>
        <w:t>SENTENCIA</w:t>
      </w:r>
    </w:p>
    <w:p w14:paraId="1B33CFE3" w14:textId="2DBAF4C2" w:rsidR="009D7677" w:rsidRDefault="009D7677" w:rsidP="009D7677">
      <w:pPr>
        <w:pStyle w:val="TextoNormalCentrado"/>
        <w:keepNext/>
      </w:pPr>
    </w:p>
    <w:p w14:paraId="296CDF66" w14:textId="77777777" w:rsidR="009D7677" w:rsidRDefault="009D7677" w:rsidP="009D7677">
      <w:pPr>
        <w:pStyle w:val="TextoNormal"/>
      </w:pPr>
      <w:r>
        <w:t>En el recurso de inconstitucionalidad núm. 2192-2022, promovido por más de cincuenta diputados del Grupo Parlamentario Vox en el Congreso de los Diputados, contra la disposición final primera de la Ley 22/2021, de 28 de diciembre, de presupuestos generales del Estado para el año 2022. Han comparecido y formulado alegaciones, en la representación que ostentan, el abogado del Estado y el letrado del Gobierno Vasco. Ha sido ponente la magistrada doña Concepción Espejel Jorquera.</w:t>
      </w:r>
    </w:p>
    <w:p w14:paraId="6512AEDC" w14:textId="434E2EF9" w:rsidR="009D7677" w:rsidRDefault="009D7677" w:rsidP="009D7677">
      <w:pPr>
        <w:pStyle w:val="TextoNormal"/>
      </w:pPr>
    </w:p>
    <w:p w14:paraId="00388DB0" w14:textId="77777777" w:rsidR="009D7677" w:rsidRDefault="009D7677" w:rsidP="009D7677">
      <w:pPr>
        <w:pStyle w:val="TextoNormalNegritaCentrado"/>
        <w:keepNext/>
      </w:pPr>
      <w:r>
        <w:t>I. Antecedentes</w:t>
      </w:r>
    </w:p>
    <w:p w14:paraId="406BE851" w14:textId="06BC4891" w:rsidR="009D7677" w:rsidRDefault="009D7677" w:rsidP="009D7677">
      <w:pPr>
        <w:pStyle w:val="TextoNormalNegritaCentrado"/>
        <w:keepNext/>
      </w:pPr>
    </w:p>
    <w:p w14:paraId="38207EF3" w14:textId="77777777" w:rsidR="009D7677" w:rsidRDefault="009D7677" w:rsidP="009D7677">
      <w:pPr>
        <w:pStyle w:val="TextoNormal"/>
      </w:pPr>
      <w:r w:rsidRPr="009D7677">
        <w:rPr>
          <w:rStyle w:val="NumeroAFNegritaCaracter"/>
        </w:rPr>
        <w:t>1</w:t>
      </w:r>
      <w:r>
        <w:t xml:space="preserve">. Mediante escrito presentado en el registro de este Tribunal Constitucional el día 29 de marzo de 2022, más de cincuenta diputados del Grupo Parlamentario Vox en el Congreso de los Diputados interpusieron recurso de inconstitucionalidad contra la disposición final primera de la Ley 22/2021, de 28 de diciembre, de presupuestos generales del Estado </w:t>
      </w:r>
      <w:r>
        <w:lastRenderedPageBreak/>
        <w:t>para el año 2022, que modifica la Ley 7/1985, de 2 de abril, reguladora de las bases de régimen local (LBRL). Los motivos en los que se fundamenta el recurso de inconstitucionalidad son los que, sucintamente, se exponen a continuación:</w:t>
      </w:r>
    </w:p>
    <w:p w14:paraId="5CA0922E" w14:textId="77777777" w:rsidR="009D7677" w:rsidRDefault="009D7677" w:rsidP="009D7677">
      <w:pPr>
        <w:pStyle w:val="TextoNormal"/>
      </w:pPr>
    </w:p>
    <w:p w14:paraId="1334294D" w14:textId="77777777" w:rsidR="009D7677" w:rsidRDefault="009D7677" w:rsidP="009D7677">
      <w:pPr>
        <w:pStyle w:val="TextoNormal"/>
      </w:pPr>
      <w:r>
        <w:t>a) En primer lugar, la demanda aduce la vulneración de los límites materiales de la Ley de presupuestos generales del Estado (art. 134.2 CE) en relación con el principio de seguridad jurídica (art. 9.3 CE) en cuanto incluye en la ley de presupuestos una previsión que carece de la necesaria conexión directa e inmediata con el contenido necesario de los presupuestos.</w:t>
      </w:r>
    </w:p>
    <w:p w14:paraId="395BA5A4" w14:textId="77777777" w:rsidR="009D7677" w:rsidRDefault="009D7677" w:rsidP="009D7677">
      <w:pPr>
        <w:pStyle w:val="TextoNormal"/>
      </w:pPr>
    </w:p>
    <w:p w14:paraId="4758B9D2" w14:textId="77777777" w:rsidR="009D7677" w:rsidRDefault="009D7677" w:rsidP="009D7677">
      <w:pPr>
        <w:pStyle w:val="TextoNormal"/>
      </w:pPr>
      <w:r>
        <w:t>Tras reproducir parcialmente la STC 16/2022, de 8 de febrero, FJ 3, la demanda indica que, en principio, no pueden modificarse por la norma presupuestaria ni una disposición de carácter general, materia propia de la ley ordinaria (STC 65/1990, de 5 de abril, FJ 3), ni una norma típica de derecho codificado, ya que están excluidas del ámbito de las leyes de presupuestos. Hace referencia, asimismo, con cita de jurisprudencia constitucional, a la exigencia de que las disposiciones de carácter general guarden una relación directa e inmediata con las previsiones de ingresos y las habilitaciones de gastos o con los criterios de política económica o se dirijan a una mayor inteligencia o mejor ejecución del presupuesto. De acuerdo con dicha jurisprudencia, afirma la demanda que el Tribunal Constitucional declaró inconstitucional la reforma por la Ley de presupuestos generales del Estado de la Ley general tributaria (LGT), para incluir la autorización judicial de la entrada en el domicilio del deudor tributario (STC 76/1992, de 14 de mayo, FJ 4); así como los arts. 111.3 y 128.5 LGT, en la redacción dada por la Ley de presupuestos generales del Estado para el año 1992, que atribuyeron funciones de inspección a los órganos de recaudación (STC 195/1994, de 23 de junio); la disposición adicional octava de la Ley de presupuestos generales de la Comunidad Autónoma de Cantabria para el año 1993 que incorporó una regulación ordenadora del estatuto de la función pública regional (STC 130/1999, de 1 de julio, FJ 8); y la disposición adicional vigesimosexta de la Ley de presupuestos generales de la Comunidad Autónoma de Canarias para el año 1997 por establecer un supuesto de movilidad interadministrativa funcionarial (STC 274/2000, de 15 de noviembre, FJ 8). Seguidamente, la demanda expone la evolución de la normativa de los funcionarios de la administración local con habilitación de carácter nacional (STC 45/2017, de 27 de abril, FJ 3).</w:t>
      </w:r>
    </w:p>
    <w:p w14:paraId="18BE63DF" w14:textId="77777777" w:rsidR="009D7677" w:rsidRDefault="009D7677" w:rsidP="009D7677">
      <w:pPr>
        <w:pStyle w:val="TextoNormal"/>
      </w:pPr>
    </w:p>
    <w:p w14:paraId="2F19F123" w14:textId="77777777" w:rsidR="009D7677" w:rsidRDefault="009D7677" w:rsidP="009D7677">
      <w:pPr>
        <w:pStyle w:val="TextoNormal"/>
      </w:pPr>
      <w:r>
        <w:t xml:space="preserve">A juicio de los recurrentes, la disposición impugnada modifica con carácter permanente una disposición de carácter general recogida en derecho codificado, como es el art. 92 </w:t>
      </w:r>
      <w:r w:rsidRPr="009D7677">
        <w:rPr>
          <w:i/>
        </w:rPr>
        <w:t>bis</w:t>
      </w:r>
      <w:r>
        <w:t xml:space="preserve"> LBRL, para atribuir a la Comunidad Autónoma del País Vasco todas las facultades previstas en dicho artículo. Esta reforma carece de conexión con el contenido propio de la Ley de presupuestos generales del Estado. No forma parte del contenido propio o núcleo esencial del presupuesto, integrado por la previsión de ingresos y la habilitación de gastos para un ejercicio económico; pero tampoco tiene la imprescindible relación inmediata y directa con los ingresos y gastos del Estado ni resulta imprescindible para una mayor inteligencia o mejor ejecución del presupuesto.</w:t>
      </w:r>
    </w:p>
    <w:p w14:paraId="12566156" w14:textId="77777777" w:rsidR="009D7677" w:rsidRDefault="009D7677" w:rsidP="009D7677">
      <w:pPr>
        <w:pStyle w:val="TextoNormal"/>
      </w:pPr>
    </w:p>
    <w:p w14:paraId="5B918A02" w14:textId="77777777" w:rsidR="009D7677" w:rsidRDefault="009D7677" w:rsidP="009D7677">
      <w:pPr>
        <w:pStyle w:val="TextoNormal"/>
      </w:pPr>
      <w:r>
        <w:t xml:space="preserve">b) La disposición impugnada, vulnera también, según los diputados recurrentes, las competencias del Estado (art. 149.1.14 y 18 CE). El art. 92 </w:t>
      </w:r>
      <w:r w:rsidRPr="009D7677">
        <w:rPr>
          <w:i/>
        </w:rPr>
        <w:t>bis</w:t>
      </w:r>
      <w:r>
        <w:t xml:space="preserve"> LBRL establece el régimen de los funcionarios de la administración local con habilitación de carácter nacional, que la STC 45/2017 consideró que no desbordaba las competencias del Estado (art. 149.1.14 y 18 CE). Ponen de relieve que la citada sentencia declaró el carácter básico del régimen del </w:t>
      </w:r>
      <w:r>
        <w:lastRenderedPageBreak/>
        <w:t xml:space="preserve">art. 92 </w:t>
      </w:r>
      <w:r w:rsidRPr="009D7677">
        <w:rPr>
          <w:i/>
        </w:rPr>
        <w:t>bis</w:t>
      </w:r>
      <w:r>
        <w:t xml:space="preserve"> LBRL, y afirmó que no vulneraba ni la autonomía local, ni las competencias de ejecución en materia de régimen local.</w:t>
      </w:r>
    </w:p>
    <w:p w14:paraId="33E22FC0" w14:textId="77777777" w:rsidR="009D7677" w:rsidRDefault="009D7677" w:rsidP="009D7677">
      <w:pPr>
        <w:pStyle w:val="TextoNormal"/>
      </w:pPr>
    </w:p>
    <w:p w14:paraId="7C56D8C1" w14:textId="77777777" w:rsidR="009D7677" w:rsidRDefault="009D7677" w:rsidP="009D7677">
      <w:pPr>
        <w:pStyle w:val="TextoNormal"/>
      </w:pPr>
      <w:r>
        <w:t xml:space="preserve">Los recurrentes alegan que, conforme a la disposición impugnada, quedarían atribuidas a la Comunidad Autónoma del País Vasco todas las facultades previstas en el art. 92 </w:t>
      </w:r>
      <w:r w:rsidRPr="009D7677">
        <w:rPr>
          <w:i/>
        </w:rPr>
        <w:t>bis</w:t>
      </w:r>
      <w:r>
        <w:t xml:space="preserve"> LBRL respecto a dicho personal, que quedarían, además, sujetas a lo que establezca la normativa autonómica (y no la estatal). Esto supone que, más allá de la existencia de los propios funcionarios de la administración local con habilitación de carácter nacional, de sus competencias y de la existencia de tres subescalas (art. 92 </w:t>
      </w:r>
      <w:r w:rsidRPr="009D7677">
        <w:rPr>
          <w:i/>
        </w:rPr>
        <w:t>bis</w:t>
      </w:r>
      <w:r>
        <w:t>, apartados 1 y 2), todo lo demás quedaría atribuido a la Comunidad Autónoma del País Vasco, incluida la decisión de qué aspectos en relación con dichos funcionarios corresponde decidir a la corporación local en cuestión. Por lo tanto, la regulación recurrida vulnera los arts. 149.1.14 y 18 CE. A juicio de los recurrentes, de conformidad con la citada STC 45/2017, el Estado puede delimitar con mayor o menor intensidad las bases en materia de administración local y, por lo tanto, reconocer un mayor o menor espacio de potestades autonómicas sobre esa materia y, en concreto, sobre los funcionarios locales con habilitación nacional. Sin embargo, una vez fijado ese mínimo común denominador constituido por lo básico, ha de regir, como regla general, en todo el territorio nacional (citan la STC 31/2010, de 28 de junio, FJ 60).</w:t>
      </w:r>
    </w:p>
    <w:p w14:paraId="18E93ED4" w14:textId="77777777" w:rsidR="009D7677" w:rsidRDefault="009D7677" w:rsidP="009D7677">
      <w:pPr>
        <w:pStyle w:val="TextoNormal"/>
      </w:pPr>
    </w:p>
    <w:p w14:paraId="50B4B030" w14:textId="77777777" w:rsidR="009D7677" w:rsidRDefault="009D7677" w:rsidP="009D7677">
      <w:pPr>
        <w:pStyle w:val="TextoNormal"/>
      </w:pPr>
      <w:r>
        <w:t>A dicho respecto, aducen que la diferenciación prevista en la disposición impugnada no puede ampararse en la disposición adicional primera CE, sin perjuicio de lo afirmado en la STC 214/1989, de 21 de diciembre, FJ 26, puesto que, posteriormente, la jurisprudencia constitucional ha afirmado que no existen derechos históricos al margen de la propia Constitución y que, por ende, el estatuto de autonomía es el elemento decisivo para la actualización de los derechos históricos, siendo la experiencia histórica un simple elemento interpretativo del contenido estatutario (SSTC 140/1990, de 20 de septiembre; 148/2006, de 11 de mayo, y 195/2006, de 22 de junio), y que en caso de invocación de tales derechos se requiere la necesaria acreditación del ejercicio pretérito de una determinada facultad. Alegan los recurrentes que no hay ninguna evidencia de que el País Vasco haya ejercido competencias especialmente intensas respecto de los funcionarios locales con habilitación nacional y que la actualización estatutaria de su régimen histórico no presenta, en esta materia, particularidad alguna.</w:t>
      </w:r>
    </w:p>
    <w:p w14:paraId="028159EC" w14:textId="77777777" w:rsidR="009D7677" w:rsidRDefault="009D7677" w:rsidP="009D7677">
      <w:pPr>
        <w:pStyle w:val="TextoNormal"/>
      </w:pPr>
    </w:p>
    <w:p w14:paraId="2878B410" w14:textId="07F82E54" w:rsidR="009D7677" w:rsidRDefault="009D7677" w:rsidP="009D7677">
      <w:pPr>
        <w:pStyle w:val="TextoNormal"/>
      </w:pPr>
      <w:r>
        <w:t>Finalmente, alegan que la determinación de lo básico en este caso obedece a garantizar la independencia y profesionalidad de los funcionarios a los que se atribuye el sistema de controles internos de las corporaciones locales, evitando su politización, mediante el alejamiento de los niveles regional y local de determinadas decisiones que se consideran esenciales para asegurar los principios constitucionales de legalidad, eficiencia y economía, asignación equitativa de los recursos públicos, subordinación de la riqueza nacional al interés general, estabilidad presupuestaria y control. Para el aseguramiento de estos relevantes principios constitucionales y la garantía de un mínimo sustrato de igualdad en relación con esos funcionarios y con el tratamiento a los ciudadanos, el Estado ha considerado imprescindible mantener un determinado nivel de lo básico en todo el territorio nacional.</w:t>
      </w:r>
    </w:p>
    <w:p w14:paraId="04A28713" w14:textId="77777777" w:rsidR="009D7677" w:rsidRDefault="009D7677" w:rsidP="009D7677">
      <w:pPr>
        <w:pStyle w:val="TextoNormal"/>
      </w:pPr>
    </w:p>
    <w:p w14:paraId="19D00A67" w14:textId="03A6CBBC" w:rsidR="009D7677" w:rsidRDefault="009D7677" w:rsidP="009D7677">
      <w:pPr>
        <w:pStyle w:val="TextoNormal"/>
      </w:pPr>
      <w:r w:rsidRPr="009D7677">
        <w:rPr>
          <w:rStyle w:val="NumeroAFNegritaCaracter"/>
        </w:rPr>
        <w:t>2</w:t>
      </w:r>
      <w:r>
        <w:t xml:space="preserve">. Por providencia de 28 de abril de 2022, el Pleno del Tribunal Constitucional, a propuesta de la Sección Tercera, acordó admitir a trámite el recurso de inconstitucionalidad, </w:t>
      </w:r>
      <w:r>
        <w:lastRenderedPageBreak/>
        <w:t>dar traslado de la demanda y documentos presentados, conforme establece el artículo 34 de la Ley Orgánica del Tribunal Constitucional (LOTC), al Congreso de los Diputados y al Senado, por conducto de sus presidentes, y al Gobierno, a través de la ministra de Justicia, al objeto de que, en el plazo de quince días, pudieran personarse en el proceso y formular las alegaciones que estimaren convenientes; así como publicar la incoación del recurso en el “Boletín Oficial del Estado”.</w:t>
      </w:r>
    </w:p>
    <w:p w14:paraId="00006E78" w14:textId="77777777" w:rsidR="009D7677" w:rsidRDefault="009D7677" w:rsidP="009D7677">
      <w:pPr>
        <w:pStyle w:val="TextoNormal"/>
      </w:pPr>
    </w:p>
    <w:p w14:paraId="66CCB46F" w14:textId="37A0787D" w:rsidR="009D7677" w:rsidRDefault="009D7677" w:rsidP="009D7677">
      <w:pPr>
        <w:pStyle w:val="TextoNormal"/>
      </w:pPr>
      <w:r w:rsidRPr="009D7677">
        <w:rPr>
          <w:rStyle w:val="NumeroAFNegritaCaracter"/>
        </w:rPr>
        <w:t>3</w:t>
      </w:r>
      <w:r>
        <w:t>. Por escrito registrado en este tribunal el día 12 de mayo de 2022, la presidenta del Congreso de los Diputados comunicó que la mesa de la Cámara había acordado personarse en este procedimiento y ofrecer su colaboración a los efectos del art. 88.1 LOTC, y remitir lo actuado a la dirección de estudios, análisis y publicaciones y a la asesoría jurídica de la Secretaría General. A su vez, el presidente del Senado interesó, por escrito registrado asimismo con fecha 12 de mayo de 2022, que se tuviera por personada a dicha Cámara en este procedimiento y por ofrecida su colaboración a los efectos del art. 88.1 LOTC.</w:t>
      </w:r>
    </w:p>
    <w:p w14:paraId="547FF3B2" w14:textId="77777777" w:rsidR="009D7677" w:rsidRDefault="009D7677" w:rsidP="009D7677">
      <w:pPr>
        <w:pStyle w:val="TextoNormal"/>
      </w:pPr>
    </w:p>
    <w:p w14:paraId="7AC47216" w14:textId="77777777" w:rsidR="009D7677" w:rsidRDefault="009D7677" w:rsidP="009D7677">
      <w:pPr>
        <w:pStyle w:val="TextoNormal"/>
      </w:pPr>
      <w:r w:rsidRPr="009D7677">
        <w:rPr>
          <w:rStyle w:val="NumeroAFNegritaCaracter"/>
        </w:rPr>
        <w:t>4</w:t>
      </w:r>
      <w:r>
        <w:t>. Mediante escrito registrado en el Tribunal el día 17 de mayo de 2022, el letrado del Gobierno Vasco, en la representación que por su cargo ostenta, solicitó que, habiendo tenido conocimiento de la providencia de 28 de abril de 2022 por la que el Pleno del Tribunal Constitucional había acordado admitir a trámite el presente recurso de inconstitucionalidad, se tuviera por personado el Gobierno Vasco como coadyuvante del Gobierno de España y se acordara abrir el plazo para formular las correspondientes alegaciones, habida cuenta de que el recurso de inconstitucionalidad interpuesto afectaba de forma clara al ámbito de autonomía y régimen competencial de la Comunidad Autónoma del País Vasco.</w:t>
      </w:r>
    </w:p>
    <w:p w14:paraId="572ADCD7" w14:textId="77777777" w:rsidR="009D7677" w:rsidRDefault="009D7677" w:rsidP="009D7677">
      <w:pPr>
        <w:pStyle w:val="TextoNormal"/>
      </w:pPr>
    </w:p>
    <w:p w14:paraId="73399427" w14:textId="0E8DB051" w:rsidR="009D7677" w:rsidRDefault="009D7677" w:rsidP="009D7677">
      <w:pPr>
        <w:pStyle w:val="TextoNormal"/>
      </w:pPr>
      <w:r>
        <w:t>Tras dar traslado del escrito a la parte recurrente y al abogado del Estado para que, en el plazo de diez días, alegaran lo que estimaran conveniente al respecto, el Pleno del Tribunal Constitucional acordó, mediante providencia de 30 de junio de 2022, tener por personado al letrado del Gobierno Vasco, en calidad de coadyuvante del Gobierno de España, y otorgarle un plazo de quince días para formular las alegaciones que estimara necesarias en defensa de la constitucionalidad de la disposición final primera de la Ley 22/2021, de Presupuestos Generales del Estado para el año 2022.</w:t>
      </w:r>
    </w:p>
    <w:p w14:paraId="7BB25761" w14:textId="77777777" w:rsidR="009D7677" w:rsidRDefault="009D7677" w:rsidP="009D7677">
      <w:pPr>
        <w:pStyle w:val="TextoNormal"/>
      </w:pPr>
    </w:p>
    <w:p w14:paraId="6C1052AA" w14:textId="77777777" w:rsidR="009D7677" w:rsidRDefault="009D7677" w:rsidP="009D7677">
      <w:pPr>
        <w:pStyle w:val="TextoNormal"/>
      </w:pPr>
      <w:r w:rsidRPr="009D7677">
        <w:rPr>
          <w:rStyle w:val="NumeroAFNegritaCaracter"/>
        </w:rPr>
        <w:t>5</w:t>
      </w:r>
      <w:r>
        <w:t>. El abogado del Estado, en la representación que legalmente ostenta, por escrito registrado en este tribunal el 24 de mayo de 2022 manifestó que se personaba en nombre del Gobierno y solicitó que se acordara ampliar el plazo para formular alegaciones.</w:t>
      </w:r>
    </w:p>
    <w:p w14:paraId="3DC770CB" w14:textId="77777777" w:rsidR="009D7677" w:rsidRDefault="009D7677" w:rsidP="009D7677">
      <w:pPr>
        <w:pStyle w:val="TextoNormal"/>
      </w:pPr>
    </w:p>
    <w:p w14:paraId="3BC45FA9" w14:textId="273EE6FA" w:rsidR="009D7677" w:rsidRDefault="009D7677" w:rsidP="009D7677">
      <w:pPr>
        <w:pStyle w:val="TextoNormal"/>
      </w:pPr>
      <w:r>
        <w:t>Por diligencia de ordenación de la Secretaría de Justicia del Pleno de 25 de mayo de 2022 se tiene por personado al abogado del Estado y se prorroga en ocho días el plazo concedido por providencia de 28 de abril de 2022 para formular alegaciones.</w:t>
      </w:r>
    </w:p>
    <w:p w14:paraId="4ADA74F8" w14:textId="77777777" w:rsidR="009D7677" w:rsidRDefault="009D7677" w:rsidP="009D7677">
      <w:pPr>
        <w:pStyle w:val="TextoNormal"/>
      </w:pPr>
    </w:p>
    <w:p w14:paraId="06A285C8" w14:textId="77777777" w:rsidR="009D7677" w:rsidRDefault="009D7677" w:rsidP="009D7677">
      <w:pPr>
        <w:pStyle w:val="TextoNormal"/>
      </w:pPr>
      <w:r w:rsidRPr="009D7677">
        <w:rPr>
          <w:rStyle w:val="NumeroAFNegritaCaracter"/>
        </w:rPr>
        <w:t>6</w:t>
      </w:r>
      <w:r>
        <w:t>. Con fecha 6 de junio de 2022 tuvo entrada en el registro general de este tribunal el escrito de alegaciones del abogado del Estado interesando la desestimación del recurso de inconstitucionalidad.</w:t>
      </w:r>
    </w:p>
    <w:p w14:paraId="39F48966" w14:textId="77777777" w:rsidR="009D7677" w:rsidRDefault="009D7677" w:rsidP="009D7677">
      <w:pPr>
        <w:pStyle w:val="TextoNormal"/>
      </w:pPr>
    </w:p>
    <w:p w14:paraId="5AE332F0" w14:textId="77777777" w:rsidR="009D7677" w:rsidRDefault="009D7677" w:rsidP="009D7677">
      <w:pPr>
        <w:pStyle w:val="TextoNormal"/>
      </w:pPr>
      <w:r>
        <w:t xml:space="preserve">Tras recordar la doctrina constitucional relativa a los límites materiales de las leyes de presupuestos (cita las SSTC 123/2016, de 23 de junio, FJ 3, y 16/2022, FJ 3), así como a su naturaleza y vigencia temporal (STC 34/2005, de 17 de febrero, FJ 5), señala que la </w:t>
      </w:r>
      <w:r>
        <w:lastRenderedPageBreak/>
        <w:t>oferta de empleo público y la selección del personal funcionario de la administración local con habilitación nacional de régimen común es competencia del Estado. La norma cuestionada tiene como fin hacer posible la ejecución presupuestaria y la política económica del Gobierno, dotando de seguridad jurídica a la previsión de gasto público ligada a la oferta de empleo público y selección de este tipo de personal funcionario (dirigida a facilitar la reposición del personal al servicio de las administraciones públicas regulada por el art. 20 de la propia Ley 22/2021, de Presupuestos Generales del Estado para el año 2022) y evitando que dicha ejecución se vea limitada o impedida al clarificar las competencias de la Comunidad Autónoma del País Vasco sobre el particular, en aplicación de la citada tasa de reposición, y conciliar el enunciado del texto refundido de la Ley del estatuto básico del empleado público, aprobado por Real Decreto Legislativo 5/2015, de 30 de octubre, con el de la Ley reguladora de las bases de régimen local, en particular con su disposición adicional segunda.</w:t>
      </w:r>
    </w:p>
    <w:p w14:paraId="2189484D" w14:textId="77777777" w:rsidR="009D7677" w:rsidRDefault="009D7677" w:rsidP="009D7677">
      <w:pPr>
        <w:pStyle w:val="TextoNormal"/>
      </w:pPr>
    </w:p>
    <w:p w14:paraId="00C61B35" w14:textId="3896086F" w:rsidR="009D7677" w:rsidRDefault="009D7677" w:rsidP="009D7677">
      <w:pPr>
        <w:pStyle w:val="TextoNormal"/>
      </w:pPr>
      <w:r>
        <w:t>Concluye su escrito la abogacía del Estado señalando que, si bien conforme a la doctrina constitucional los derechos históricos no son títulos competenciales autónomos, la disposición adicional primera CE alcanza a proteger, como mínimo irreductible, un régimen de autogobierno territorial con el que quepa reconocer el régimen foral tradicional de los distintos territorios históricos (con cita expresa a tal efecto de las SSTC 214/1989, FJ 26; 233/1999, de 16 de diciembre, y 208/2012, de 14 de noviembre, FFJJ 3 y 4). La disposición final impugnada en el presente recurso atendería, en su opinión, al propio mandato constitucional al preservar la singularidad de ese régimen foral en materia organizativa local.</w:t>
      </w:r>
    </w:p>
    <w:p w14:paraId="0038A1AC" w14:textId="77777777" w:rsidR="009D7677" w:rsidRDefault="009D7677" w:rsidP="009D7677">
      <w:pPr>
        <w:pStyle w:val="TextoNormal"/>
      </w:pPr>
    </w:p>
    <w:p w14:paraId="23D38E12" w14:textId="77777777" w:rsidR="009D7677" w:rsidRDefault="009D7677" w:rsidP="009D7677">
      <w:pPr>
        <w:pStyle w:val="TextoNormal"/>
      </w:pPr>
      <w:r w:rsidRPr="009D7677">
        <w:rPr>
          <w:rStyle w:val="NumeroAFNegritaCaracter"/>
        </w:rPr>
        <w:t>7</w:t>
      </w:r>
      <w:r>
        <w:t>. Por escrito registrado en el Tribunal el día 7 de julio de 2022, el letrado del Gobierno Vasco, en nombre y representación de este, solicitó que se acordara ampliar el plazo concedido por providencia de 30 de junio de 2022 para formular alegaciones.</w:t>
      </w:r>
    </w:p>
    <w:p w14:paraId="7DFBBD21" w14:textId="77777777" w:rsidR="009D7677" w:rsidRDefault="009D7677" w:rsidP="009D7677">
      <w:pPr>
        <w:pStyle w:val="TextoNormal"/>
      </w:pPr>
    </w:p>
    <w:p w14:paraId="4A40F859" w14:textId="5F3D4095" w:rsidR="009D7677" w:rsidRDefault="009D7677" w:rsidP="009D7677">
      <w:pPr>
        <w:pStyle w:val="TextoNormal"/>
      </w:pPr>
      <w:r>
        <w:t>Por diligencia de ordenación del secretario de justicia del Pleno de 8 de julio de 2022 se acordó prorrogar dicho plazo en ocho días más.</w:t>
      </w:r>
    </w:p>
    <w:p w14:paraId="722090AE" w14:textId="77777777" w:rsidR="009D7677" w:rsidRDefault="009D7677" w:rsidP="009D7677">
      <w:pPr>
        <w:pStyle w:val="TextoNormal"/>
      </w:pPr>
    </w:p>
    <w:p w14:paraId="41ADCE7F" w14:textId="77777777" w:rsidR="009D7677" w:rsidRDefault="009D7677" w:rsidP="009D7677">
      <w:pPr>
        <w:pStyle w:val="TextoNormal"/>
      </w:pPr>
      <w:r w:rsidRPr="009D7677">
        <w:rPr>
          <w:rStyle w:val="NumeroAFNegritaCaracter"/>
        </w:rPr>
        <w:t>8</w:t>
      </w:r>
      <w:r>
        <w:t>. Mediante escrito registrado el 7 de septiembre de 2022, formula alegaciones la representación del Gobierno Vasco, interesando la desestimación del recurso de inconstitucionalidad.</w:t>
      </w:r>
    </w:p>
    <w:p w14:paraId="449D304C" w14:textId="77777777" w:rsidR="009D7677" w:rsidRDefault="009D7677" w:rsidP="009D7677">
      <w:pPr>
        <w:pStyle w:val="TextoNormal"/>
      </w:pPr>
    </w:p>
    <w:p w14:paraId="1D8CFFB7" w14:textId="77777777" w:rsidR="009D7677" w:rsidRDefault="009D7677" w:rsidP="009D7677">
      <w:pPr>
        <w:pStyle w:val="TextoNormal"/>
      </w:pPr>
      <w:r>
        <w:t>En primer lugar, se analiza la constitucionalidad de la disposición impugnada desde la perspectiva de su inclusión en una ley presupuestaria, partiendo de la consolidada doctrina constitucional sobre el contenido “esencial” y el “‘contenido eventual’, no necesario o no imprescindible” de las leyes de presupuestos, y los requisitos que han de concurrir para que la regulación por la ley de presupuestos de una materia que no forma parte del contenido esencial o necesario sea constitucionalmente legítima.</w:t>
      </w:r>
    </w:p>
    <w:p w14:paraId="7C588B86" w14:textId="77777777" w:rsidR="009D7677" w:rsidRDefault="009D7677" w:rsidP="009D7677">
      <w:pPr>
        <w:pStyle w:val="TextoNormal"/>
      </w:pPr>
    </w:p>
    <w:p w14:paraId="60AE0004" w14:textId="77777777" w:rsidR="009D7677" w:rsidRDefault="009D7677" w:rsidP="009D7677">
      <w:pPr>
        <w:pStyle w:val="TextoNormal"/>
      </w:pPr>
      <w:r>
        <w:t>Afirma la representación letrada del Gobierno Vasco que la norma cuestionada guarda una relación económica directa e inmediata con el contenido propio de las leyes presupuestarias desde las perspectivas, en primer lugar, de las retribuciones de los funcionarios a los que se refiere la disposición impugnada, que inciden sustancialmente en el capítulo de gastos de los presupuestos de las entidades locales; de su conexión con la ejecución, en segundo lugar, de las previsiones de la Ley 20/2021, de 28 de diciembre, de medidas ur</w:t>
      </w:r>
      <w:r>
        <w:lastRenderedPageBreak/>
        <w:t>gentes para la reducción de la temporalidad en el empleo público, en relación con los funcionarios de la administración local con habilitación nacional en el ámbito territorial de la Comunidad Autónoma del País Vasco; así como, por último, de la eventual repercusión económica de las responsabilidades que pudieran derivar de actuaciones administrativas irregulares que incumplieran el plazo máximo de permanencia de personal temporal.</w:t>
      </w:r>
    </w:p>
    <w:p w14:paraId="4E34A433" w14:textId="77777777" w:rsidR="009D7677" w:rsidRDefault="009D7677" w:rsidP="009D7677">
      <w:pPr>
        <w:pStyle w:val="TextoNormal"/>
      </w:pPr>
    </w:p>
    <w:p w14:paraId="412C939F" w14:textId="77777777" w:rsidR="009D7677" w:rsidRDefault="009D7677" w:rsidP="009D7677">
      <w:pPr>
        <w:pStyle w:val="TextoNormal"/>
      </w:pPr>
      <w:r>
        <w:t>En conclusión, la medida contenida en la disposición impugnada constituiría una opción legítima del legislador que, conforme a la doctrina constitucional, no desbordaría la específica función constitucional asignada a las leyes de presupuestos o su contenido material. Tampoco contravendría, por lo demás, su especialidad procedimental en tanto su incorporación a la ley no supone, en opinión del Gobierno Vasco, una restricción ilegítima del poder legislativo o una disminución de las facultades parlamentarias para su examen y enmienda.</w:t>
      </w:r>
    </w:p>
    <w:p w14:paraId="29F05206" w14:textId="77777777" w:rsidR="009D7677" w:rsidRDefault="009D7677" w:rsidP="009D7677">
      <w:pPr>
        <w:pStyle w:val="TextoNormal"/>
      </w:pPr>
    </w:p>
    <w:p w14:paraId="184D22A9" w14:textId="77777777" w:rsidR="009D7677" w:rsidRDefault="009D7677" w:rsidP="009D7677">
      <w:pPr>
        <w:pStyle w:val="TextoNormal"/>
      </w:pPr>
      <w:r>
        <w:t xml:space="preserve">Finalmente, sostiene que la disposición recurrida tampoco vulneraría el principio de seguridad jurídica (art. 9.3 CE), en tanto que resultaría conocida y comprensible, previsible en sus consecuencias y generadora de confianza en sus destinatarios, estableciendo la forma en que se aplicará en el ámbito de la Comunidad Autónoma del País Vasco la normativa reguladora de los funcionarios de la administración local con habilitación de carácter nacional prevista en el art. 92 </w:t>
      </w:r>
      <w:r w:rsidRPr="009D7677">
        <w:rPr>
          <w:i/>
        </w:rPr>
        <w:t>bis</w:t>
      </w:r>
      <w:r>
        <w:t xml:space="preserve"> LBRL y concordantes.</w:t>
      </w:r>
    </w:p>
    <w:p w14:paraId="03524841" w14:textId="77777777" w:rsidR="009D7677" w:rsidRDefault="009D7677" w:rsidP="009D7677">
      <w:pPr>
        <w:pStyle w:val="TextoNormal"/>
      </w:pPr>
    </w:p>
    <w:p w14:paraId="5B1B8A04" w14:textId="744CE710" w:rsidR="009D7677" w:rsidRDefault="009D7677" w:rsidP="009D7677">
      <w:pPr>
        <w:pStyle w:val="TextoNormal"/>
      </w:pPr>
      <w:r>
        <w:t>En segundo lugar, se examina la invocada vulneración del reparto competencial respecto de los funcionarios de la administración local con habilitación nacional. Tras un repaso de la doctrina constitucional sobre la distribución de competencias en materia de régimen local (art. 149.1.18 CE) y la singularidad de los derechos históricos de los territorios forales (disposición adicional primera CE), la representación del Gobierno Vasco se refiere a la especialidad y las particularidades históricas más sobresalientes del régimen funcionarial local en los territorios históricos vascos. Concluye de todo ello que la disposición recurrida no delega competencia alguna, sino que se limita a aclarar la redacción del precepto estatal modificado para especificar la singularidad foral que corresponde a la Comunidad Autónoma del País Vasco. Finalmente, se afirma que la propia evolución del régimen jurídico del personal funcionario de la administración local con habilitación de carácter nacional admitiría la asimetría regulatoria, con origen en la legislación básica estatal, entre comunidades autónomas de régimen foral y general, confirmando la constitucionalidad de la disposición final primera de la Ley 22/2021, de Presupuestos Generales del Estado para el año 2022.</w:t>
      </w:r>
    </w:p>
    <w:p w14:paraId="25463FC7" w14:textId="77777777" w:rsidR="009D7677" w:rsidRDefault="009D7677" w:rsidP="009D7677">
      <w:pPr>
        <w:pStyle w:val="TextoNormal"/>
      </w:pPr>
    </w:p>
    <w:p w14:paraId="6B417C85" w14:textId="368976F3" w:rsidR="009D7677" w:rsidRDefault="009D7677" w:rsidP="009D7677">
      <w:pPr>
        <w:pStyle w:val="TextoNormal"/>
      </w:pPr>
      <w:r w:rsidRPr="009D7677">
        <w:rPr>
          <w:rStyle w:val="NumeroAFNegritaCaracter"/>
        </w:rPr>
        <w:t>9</w:t>
      </w:r>
      <w:r>
        <w:t>. Con fecha 26 de enero de 2024 tuvo entrada en el registro general de este tribunal escrito de alegaciones complementarias del abogado del Estado. Comienza dando noticia de la reciente modificación del apartado 7 de la disposición adicional segunda de la LBRL por Real Decreto-ley 6/2023, de 19 de diciembre, por el que se aprueban medidas urgentes para la ejecución del plan de recuperación, transformación y resiliencia en materia de servicio público de justicia, función pública, régimen local y mecenazgo, convalidado con fecha 10 de enero de 2024 por el Congreso de los Diputados. A continuación, constata que la citada reforma dispone una previsión normativa igual a la impugnada en el presente recurso, a la que, en consecuencia, deroga. Con cita literal de la doctrina constitucional aplicable a las modificaciones normativas que afectan al objeto del recurso de inconstitucionalidad (STC 10/2023, de 23 de febrero, FJ 2) interesa que este tribunal tome en consi</w:t>
      </w:r>
      <w:r>
        <w:lastRenderedPageBreak/>
        <w:t>deración que el argumento esgrimido por los recurrentes acerca de la eventual infracción de los límites constitucionales de los contenidos de las leyes de presupuestos generales ha quedado por ello vacío de contenido.</w:t>
      </w:r>
    </w:p>
    <w:p w14:paraId="24262A0E" w14:textId="77777777" w:rsidR="009D7677" w:rsidRDefault="009D7677" w:rsidP="009D7677">
      <w:pPr>
        <w:pStyle w:val="TextoNormal"/>
      </w:pPr>
    </w:p>
    <w:p w14:paraId="09F99700" w14:textId="7794BDCA" w:rsidR="009D7677" w:rsidRDefault="009D7677" w:rsidP="009D7677">
      <w:pPr>
        <w:pStyle w:val="TextoNormal"/>
      </w:pPr>
      <w:r w:rsidRPr="009D7677">
        <w:rPr>
          <w:rStyle w:val="NumeroAFNegritaCaracter"/>
        </w:rPr>
        <w:t>10</w:t>
      </w:r>
      <w:r>
        <w:t>. Mediante escrito registrado en este tribunal el día 5 de febrero de 2024 el letrado del Gobierno Vasco se adhiere a las alegaciones complementarias del abogado del Estado, interesando que sean objeto de consideración al resolver la alegación de los recurrentes acerca de la posible vulneración del art. 134.2 CE, en relación con el principio de seguridad jurídica del art. 9.3 CE, toda vez que habría decaído de forma sobrevenida su objeto como consecuencia de la pérdida de vigencia y expulsión del ordenamiento jurídico de la disposición impugnada a causa de la modificación efectuada en la LBRL por el Real Decreto-ley 6/2023, de 19 de diciembre.</w:t>
      </w:r>
    </w:p>
    <w:p w14:paraId="1C90207C" w14:textId="77777777" w:rsidR="009D7677" w:rsidRDefault="009D7677" w:rsidP="009D7677">
      <w:pPr>
        <w:pStyle w:val="TextoNormal"/>
      </w:pPr>
    </w:p>
    <w:p w14:paraId="525E272A" w14:textId="011160F6" w:rsidR="009D7677" w:rsidRDefault="009D7677" w:rsidP="009D7677">
      <w:pPr>
        <w:pStyle w:val="TextoNormal"/>
      </w:pPr>
      <w:r w:rsidRPr="009D7677">
        <w:rPr>
          <w:rStyle w:val="NumeroAFNegritaCaracter"/>
        </w:rPr>
        <w:t>11</w:t>
      </w:r>
      <w:r>
        <w:t>. Por providencia de 7 de mayo de 2024 se señaló ese mismo día para deliberación y votación de la presente sentencia.</w:t>
      </w:r>
    </w:p>
    <w:p w14:paraId="2018F6E8" w14:textId="77777777" w:rsidR="009D7677" w:rsidRDefault="009D7677" w:rsidP="009D7677">
      <w:pPr>
        <w:pStyle w:val="TextoNormal"/>
      </w:pPr>
    </w:p>
    <w:p w14:paraId="48159480" w14:textId="77777777" w:rsidR="009D7677" w:rsidRDefault="009D7677" w:rsidP="009D7677">
      <w:pPr>
        <w:pStyle w:val="TextoNormalNegritaCentrado"/>
        <w:keepNext/>
      </w:pPr>
      <w:r>
        <w:t>II. Fundamentos jurídicos</w:t>
      </w:r>
    </w:p>
    <w:p w14:paraId="33674848" w14:textId="1C4CC45B" w:rsidR="009D7677" w:rsidRDefault="009D7677" w:rsidP="009D7677">
      <w:pPr>
        <w:pStyle w:val="TextoNormalNegritaCentrado"/>
        <w:keepNext/>
      </w:pPr>
    </w:p>
    <w:p w14:paraId="540A5492" w14:textId="77777777" w:rsidR="009D7677" w:rsidRDefault="009D7677" w:rsidP="009D7677">
      <w:pPr>
        <w:pStyle w:val="TextoNormal"/>
      </w:pPr>
      <w:r w:rsidRPr="009D7677">
        <w:rPr>
          <w:rStyle w:val="NumeroAFNegritaCaracter"/>
        </w:rPr>
        <w:t>1</w:t>
      </w:r>
      <w:r>
        <w:t xml:space="preserve">. </w:t>
      </w:r>
      <w:r w:rsidRPr="009D7677">
        <w:rPr>
          <w:i/>
        </w:rPr>
        <w:t>Objeto del recurso de inconstitucionalidad y posiciones de las partes</w:t>
      </w:r>
    </w:p>
    <w:p w14:paraId="6A2B6582" w14:textId="77777777" w:rsidR="009D7677" w:rsidRDefault="009D7677" w:rsidP="009D7677">
      <w:pPr>
        <w:pStyle w:val="TextoNormal"/>
      </w:pPr>
    </w:p>
    <w:p w14:paraId="025D14FF" w14:textId="77777777" w:rsidR="009D7677" w:rsidRDefault="009D7677" w:rsidP="009D7677">
      <w:pPr>
        <w:pStyle w:val="TextoNormal"/>
      </w:pPr>
      <w:r>
        <w:t>La presente sentencia resuelve el recurso de inconstitucionalidad interpuesto por más de cincuenta diputados del Grupo Parlamentario Vox en el Congreso de los Diputados contra la disposición final primera de la Ley 22/2021, de 28 de diciembre, de presupuestos generales del Estado para el año 2022, en cuanto da una nueva redacción al apartado séptimo de la disposición adicional segunda de la Ley 7/1985, de 2 de abril, reguladora de las bases del régimen local, que quedó redactado como sigue:</w:t>
      </w:r>
    </w:p>
    <w:p w14:paraId="0A2A9FF4" w14:textId="77777777" w:rsidR="009D7677" w:rsidRDefault="009D7677" w:rsidP="009D7677">
      <w:pPr>
        <w:pStyle w:val="TextoNormal"/>
      </w:pPr>
    </w:p>
    <w:p w14:paraId="61077EE8" w14:textId="77777777" w:rsidR="009D7677" w:rsidRDefault="009D7677" w:rsidP="009D7677">
      <w:pPr>
        <w:pStyle w:val="TextoNormal"/>
      </w:pPr>
      <w:r>
        <w:t>“En el ámbito de la Comunidad Autónoma del País Vasco, la normativa reguladora de los funcionarios de administración local con habilitación de carácter nacional prevista en el artículo 92.</w:t>
      </w:r>
      <w:r w:rsidRPr="009D7677">
        <w:rPr>
          <w:i/>
        </w:rPr>
        <w:t>bis</w:t>
      </w:r>
      <w:r>
        <w:t xml:space="preserve"> y concordantes de esta ley, se aplicará de conformidad con la disposición adicional primera de la Constitución, con el artículo 149.1.18 de la misma y con la Ley Orgánica 3/1979, de 18 de diciembre, por la que se aprueba el Estatuto de Autonomía para el País Vasco, teniendo en cuenta que todas las facultades previstas en el citado artículo 92.</w:t>
      </w:r>
      <w:r w:rsidRPr="009D7677">
        <w:rPr>
          <w:i/>
        </w:rPr>
        <w:t>bis</w:t>
      </w:r>
      <w:r>
        <w:t xml:space="preserve"> respecto a dicho personal serán asumidas en los términos que establezca la normativa autonómica, incluyendo entre las mismas la facultad de selección, la aprobación de la oferta pública de empleo para cubrir las vacantes existentes de las plazas correspondientes a las mismas en su ámbito territorial, convocar exclusivamente para su territorio los procesos de provisión para las plazas vacantes en el mismo, la facultad de nombramiento del personal funcionario en dichos procesos de provisión, la asignación del primer destino y las situaciones administrativas”.</w:t>
      </w:r>
    </w:p>
    <w:p w14:paraId="48A8092E" w14:textId="77777777" w:rsidR="009D7677" w:rsidRDefault="009D7677" w:rsidP="009D7677">
      <w:pPr>
        <w:pStyle w:val="TextoNormal"/>
      </w:pPr>
    </w:p>
    <w:p w14:paraId="02E292BE" w14:textId="77777777" w:rsidR="009D7677" w:rsidRDefault="009D7677" w:rsidP="009D7677">
      <w:pPr>
        <w:pStyle w:val="TextoNormal"/>
      </w:pPr>
      <w:r>
        <w:t xml:space="preserve">Los motivos de inconstitucionalidad aducidos en la demanda se concretan en la vulneración de los límites materiales de la Ley de presupuestos generales del Estado (art. 134.2 CE) en relación con el principio de seguridad jurídica (art. 9.3 CE) en cuanto incluye en la Ley de presupuestos generales del Estado una previsión que carece de la necesaria conexión directa e inmediata con el contenido necesario de los presupuestos. Asimismo, la demanda aduce la vulneración de las competencias del Estado (art. 149.1.14 y 18 CE), en </w:t>
      </w:r>
      <w:r>
        <w:lastRenderedPageBreak/>
        <w:t>relación con el régimen de los funcionarios de la administración local con habilitación de carácter nacional.</w:t>
      </w:r>
    </w:p>
    <w:p w14:paraId="0AB39C0D" w14:textId="77777777" w:rsidR="009D7677" w:rsidRDefault="009D7677" w:rsidP="009D7677">
      <w:pPr>
        <w:pStyle w:val="TextoNormal"/>
      </w:pPr>
    </w:p>
    <w:p w14:paraId="03DD2B5E" w14:textId="277661A3" w:rsidR="009D7677" w:rsidRDefault="009D7677" w:rsidP="009D7677">
      <w:pPr>
        <w:pStyle w:val="TextoNormal"/>
      </w:pPr>
      <w:r>
        <w:t>El abogado del Estado y los letrados del Gobierno Vasco han interesado la desestimación del recurso de inconstitucionalidad por entender que no concurre ninguna de las vulneraciones constitucionales que los recurrentes denuncian.</w:t>
      </w:r>
    </w:p>
    <w:p w14:paraId="3C20F365" w14:textId="77777777" w:rsidR="009D7677" w:rsidRDefault="009D7677" w:rsidP="009D7677">
      <w:pPr>
        <w:pStyle w:val="TextoNormal"/>
      </w:pPr>
    </w:p>
    <w:p w14:paraId="0C5C1F0C" w14:textId="77777777" w:rsidR="009D7677" w:rsidRDefault="009D7677" w:rsidP="009D7677">
      <w:pPr>
        <w:pStyle w:val="TextoNormal"/>
      </w:pPr>
      <w:r w:rsidRPr="009D7677">
        <w:rPr>
          <w:rStyle w:val="NumeroAFNegritaCaracter"/>
        </w:rPr>
        <w:t>2</w:t>
      </w:r>
      <w:r>
        <w:t xml:space="preserve">. </w:t>
      </w:r>
      <w:r w:rsidRPr="009D7677">
        <w:rPr>
          <w:i/>
        </w:rPr>
        <w:t>Pervivencia del recurso de inconstitucionalidad: extinción por pérdida sobrevenida de objeto</w:t>
      </w:r>
    </w:p>
    <w:p w14:paraId="704B68D9" w14:textId="77777777" w:rsidR="009D7677" w:rsidRDefault="009D7677" w:rsidP="009D7677">
      <w:pPr>
        <w:pStyle w:val="TextoNormal"/>
      </w:pPr>
    </w:p>
    <w:p w14:paraId="69D00B3E" w14:textId="77777777" w:rsidR="009D7677" w:rsidRDefault="009D7677" w:rsidP="009D7677">
      <w:pPr>
        <w:pStyle w:val="TextoNormal"/>
      </w:pPr>
      <w:r>
        <w:t>La disposición final primera de la Ley 22/2021, de 28 de diciembre, de Presupuestos Generales del Estado para el año 2022, ha sido ya objeto de examen en la STC 67/2024, de 23 de abril, resolutoria del recurso de inconstitucionalidad núm. 2059-2022, interpuesto por más de cincuenta diputados del Grupo Parlamentario Popular en el Congreso. La indicada sentencia cobra relevancia en este proceso ya que el presente recurso impugna la misma disposición final primera de la Ley 22/2021, de 28 de diciembre, de Presupuestos Generales del Estado para el año 2022, que la STC 67/2024 ha declarado ya inconstitucional y nula.</w:t>
      </w:r>
    </w:p>
    <w:p w14:paraId="226799BC" w14:textId="77777777" w:rsidR="009D7677" w:rsidRDefault="009D7677" w:rsidP="009D7677">
      <w:pPr>
        <w:pStyle w:val="TextoNormal"/>
      </w:pPr>
    </w:p>
    <w:p w14:paraId="704D3D58" w14:textId="4A15CFAB" w:rsidR="009D7677" w:rsidRDefault="009D7677" w:rsidP="009D7677">
      <w:pPr>
        <w:pStyle w:val="TextoNormal"/>
      </w:pPr>
      <w:r>
        <w:t>De acuerdo con la consolidada doctrina constitucional [por todas, STC 139/2011, de 14 de septiembre, FJ 3 b)], la expulsión del ordenamiento jurídico de esta disposición final primera de la Ley 22/2021, de 28 de diciembre, de Presupuestos Generales del Estado para el año 2022, por la STC 67/2024 determina la pérdida sobrevenida de objeto del presente recurso de inconstitucionalidad. Esta desaparición sobrevenida del objeto, aunque no está contemplada en el artículo 86.1 LOTC, es una de las causas de terminación extraordinaria de los distintos procesos constitucionales, incluidos los recursos de inconstitucionalidad (STC 124/2021, de 3 de junio, FJ 2).</w:t>
      </w:r>
    </w:p>
    <w:p w14:paraId="674A460D" w14:textId="77777777" w:rsidR="009D7677" w:rsidRDefault="009D7677" w:rsidP="009D7677">
      <w:pPr>
        <w:pStyle w:val="TextoNormal"/>
      </w:pPr>
    </w:p>
    <w:p w14:paraId="7E4F7BFC" w14:textId="77777777" w:rsidR="009D7677" w:rsidRDefault="009D7677" w:rsidP="009D7677">
      <w:pPr>
        <w:pStyle w:val="TextoNormalCentrado"/>
        <w:keepNext/>
      </w:pPr>
      <w:r>
        <w:t>FALLO</w:t>
      </w:r>
    </w:p>
    <w:p w14:paraId="4C506665" w14:textId="43751911" w:rsidR="009D7677" w:rsidRDefault="009D7677" w:rsidP="009D7677">
      <w:pPr>
        <w:pStyle w:val="TextoNormalCentrado"/>
        <w:keepNext/>
      </w:pPr>
    </w:p>
    <w:p w14:paraId="40A7B2A7" w14:textId="754BE503" w:rsidR="009D7677" w:rsidRDefault="009D7677" w:rsidP="009D7677">
      <w:pPr>
        <w:pStyle w:val="TextoNormal"/>
      </w:pPr>
      <w:r>
        <w:t>En atención a todo lo expuesto, el Tribunal Constitucional, por la autoridad que le confiere la Constitución de la Nación española, ha decidido declarar la extinción, por pérdida sobrevenida de objeto, del presente recurso de inconstitucionalidad interpuesto por más de cincuenta diputados del Grupo Parlamentario Vox en el Congreso contra la disposición final primera de la Ley 22/2021, de 28 de diciembre, de presupuestos generales del Estado para el año 2022.</w:t>
      </w:r>
    </w:p>
    <w:p w14:paraId="6605CD69" w14:textId="77777777" w:rsidR="009D7677" w:rsidRDefault="009D7677" w:rsidP="009D7677">
      <w:pPr>
        <w:pStyle w:val="TextoNormal"/>
      </w:pPr>
    </w:p>
    <w:p w14:paraId="0FD590B3" w14:textId="77777777" w:rsidR="009D7677" w:rsidRDefault="009D7677" w:rsidP="009D7677">
      <w:pPr>
        <w:pStyle w:val="TextoNormal"/>
      </w:pPr>
      <w:r>
        <w:t>Publíquese esta sentencia en el “Boletín Oficial del Estado”.</w:t>
      </w:r>
    </w:p>
    <w:p w14:paraId="637740D7" w14:textId="77777777" w:rsidR="009D7677" w:rsidRDefault="009D7677" w:rsidP="009D7677">
      <w:pPr>
        <w:pStyle w:val="TextoNormal"/>
      </w:pPr>
      <w:r>
        <w:t>Dada en Madrid, a siete de mayo de dos mil veinticuatro.</w:t>
      </w:r>
    </w:p>
    <w:p w14:paraId="0FEBAC16" w14:textId="5F3586DB" w:rsidR="009D7677" w:rsidRDefault="009D7677">
      <w:pPr>
        <w:spacing w:after="160" w:line="259" w:lineRule="auto"/>
        <w:rPr>
          <w:rFonts w:ascii="Times New Roman" w:eastAsia="Times New Roman" w:hAnsi="Times New Roman" w:cs="Times New Roman"/>
          <w:sz w:val="24"/>
          <w:szCs w:val="24"/>
          <w:lang w:eastAsia="es-ES"/>
        </w:rPr>
      </w:pPr>
      <w:r>
        <w:br w:type="page"/>
      </w:r>
    </w:p>
    <w:p w14:paraId="53E603C3" w14:textId="77777777" w:rsidR="009D7677" w:rsidRDefault="009D7677" w:rsidP="009D7677">
      <w:pPr>
        <w:pStyle w:val="TtuloResolucin"/>
      </w:pPr>
      <w:bookmarkStart w:id="76" w:name="SENTENCIA_2024_74"/>
      <w:r>
        <w:lastRenderedPageBreak/>
        <w:t>SENTENCIA 74/2024, de 7 de mayo de 2024</w:t>
      </w:r>
    </w:p>
    <w:bookmarkEnd w:id="76"/>
    <w:p w14:paraId="6E2CFEFE" w14:textId="77777777" w:rsidR="009D7677" w:rsidRDefault="009D7677" w:rsidP="009D7677">
      <w:pPr>
        <w:pStyle w:val="TtuloResolucin"/>
      </w:pPr>
      <w:r>
        <w:t>Pleno</w:t>
      </w:r>
    </w:p>
    <w:p w14:paraId="26159F1F" w14:textId="77777777" w:rsidR="009D7677" w:rsidRDefault="009D7677" w:rsidP="009D7677">
      <w:pPr>
        <w:pStyle w:val="TtuloBOE"/>
      </w:pPr>
      <w:r>
        <w:t>(BOE núm. 140, de 10 de junio de 2024)</w:t>
      </w:r>
    </w:p>
    <w:p w14:paraId="6E1FAB1A" w14:textId="77777777" w:rsidR="009D7677" w:rsidRDefault="009D7677" w:rsidP="009D7677">
      <w:pPr>
        <w:pStyle w:val="TextoNormalCentrado"/>
      </w:pPr>
      <w:r>
        <w:t>ECLI:ES:TC:2024:74</w:t>
      </w:r>
    </w:p>
    <w:p w14:paraId="045E36C1" w14:textId="2D67471B" w:rsidR="009D7677" w:rsidRDefault="009D7677" w:rsidP="009D7677">
      <w:pPr>
        <w:pStyle w:val="TextoNormalCentrado"/>
      </w:pPr>
    </w:p>
    <w:p w14:paraId="6084E8B6" w14:textId="77777777" w:rsidR="009D7677" w:rsidRDefault="009D7677" w:rsidP="009D7677">
      <w:pPr>
        <w:pStyle w:val="SntesisDescriptiva"/>
      </w:pPr>
      <w:r>
        <w:t>Cuestión de inconstitucionalidad 5207-2023. Planteada por la Sala de lo Contencioso-Administrativo del Tribunal Supremo, en relación con el art. 17 bis.1, último párrafo, de la Ley Orgánica 8/2007, de 4 de julio, sobre financiación de los partidos políticos.</w:t>
      </w:r>
    </w:p>
    <w:p w14:paraId="55880EEA" w14:textId="26B09D07" w:rsidR="009D7677" w:rsidRDefault="009D7677" w:rsidP="009D7677">
      <w:pPr>
        <w:pStyle w:val="SntesisDescriptiva"/>
      </w:pPr>
    </w:p>
    <w:p w14:paraId="3547A4F6" w14:textId="77777777" w:rsidR="009D7677" w:rsidRDefault="009D7677" w:rsidP="009D7677">
      <w:pPr>
        <w:pStyle w:val="SntesisAnaltica"/>
      </w:pPr>
      <w:r>
        <w:t>Principio de legalidad sancionadora: extinción de la cuestión de inconstitucionalidad por pérdida sobrevenida de su objeto al versar sobre el precepto legal anulado por la STC 69/2024, de 24 de abril.</w:t>
      </w:r>
    </w:p>
    <w:p w14:paraId="68814BF0" w14:textId="434B27EE" w:rsidR="009D7677" w:rsidRDefault="009D7677" w:rsidP="009D7677">
      <w:pPr>
        <w:pStyle w:val="SntesisAnaltica"/>
      </w:pPr>
    </w:p>
    <w:p w14:paraId="2CCE4ECB" w14:textId="01B179F2" w:rsidR="009D7677" w:rsidRDefault="009D7677" w:rsidP="009D7677">
      <w:pPr>
        <w:pStyle w:val="Extracto"/>
      </w:pPr>
      <w:r>
        <w:t>1.</w:t>
      </w:r>
      <w:r>
        <w:tab/>
        <w:t>La declaración de inconstitucionalidad y nulidad -por la STC 69/2024- del precepto cuestionado determina la pérdida sobrevenida de objeto de la presente cuestión de inconstitucionalidad (SSTC 60/2018 o 3/2023) [FJ 2].</w:t>
      </w:r>
    </w:p>
    <w:p w14:paraId="638FBABD" w14:textId="77777777" w:rsidR="009D7677" w:rsidRDefault="009D7677" w:rsidP="009D7677">
      <w:pPr>
        <w:pStyle w:val="Extracto"/>
      </w:pPr>
    </w:p>
    <w:p w14:paraId="290669C7" w14:textId="77777777" w:rsidR="009D7677" w:rsidRDefault="009D7677" w:rsidP="009D7677">
      <w:pPr>
        <w:pStyle w:val="Extracto"/>
      </w:pPr>
    </w:p>
    <w:p w14:paraId="5FD194C4" w14:textId="77777777" w:rsidR="009D7677" w:rsidRDefault="009D7677" w:rsidP="009D7677">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16A242CB" w14:textId="32E03EAF" w:rsidR="009D7677" w:rsidRDefault="009D7677" w:rsidP="009D7677">
      <w:pPr>
        <w:pStyle w:val="TextoNormal"/>
      </w:pPr>
    </w:p>
    <w:p w14:paraId="30FC9A06" w14:textId="77777777" w:rsidR="009D7677" w:rsidRDefault="009D7677" w:rsidP="009D7677">
      <w:pPr>
        <w:pStyle w:val="TextoNormalCentrado"/>
        <w:keepNext/>
      </w:pPr>
      <w:r>
        <w:t>EN NOMBRE DEL REY</w:t>
      </w:r>
    </w:p>
    <w:p w14:paraId="66780B5B" w14:textId="26589FF1" w:rsidR="009D7677" w:rsidRDefault="009D7677" w:rsidP="009D7677">
      <w:pPr>
        <w:pStyle w:val="TextoNormalCentrado"/>
        <w:keepNext/>
      </w:pPr>
    </w:p>
    <w:p w14:paraId="4FA8089F" w14:textId="77777777" w:rsidR="009D7677" w:rsidRDefault="009D7677" w:rsidP="009D7677">
      <w:pPr>
        <w:pStyle w:val="TextoNormalCentrado"/>
        <w:keepNext/>
      </w:pPr>
    </w:p>
    <w:p w14:paraId="37D34EBF" w14:textId="77777777" w:rsidR="009D7677" w:rsidRDefault="009D7677" w:rsidP="009D7677">
      <w:pPr>
        <w:pStyle w:val="TextoNormal"/>
      </w:pPr>
      <w:r>
        <w:t>la siguiente</w:t>
      </w:r>
    </w:p>
    <w:p w14:paraId="1EE5193C" w14:textId="5605CE97" w:rsidR="009D7677" w:rsidRDefault="009D7677" w:rsidP="009D7677">
      <w:pPr>
        <w:pStyle w:val="TextoNormal"/>
      </w:pPr>
    </w:p>
    <w:p w14:paraId="1565059E" w14:textId="77777777" w:rsidR="009D7677" w:rsidRDefault="009D7677" w:rsidP="009D7677">
      <w:pPr>
        <w:pStyle w:val="TextoNormalCentrado"/>
        <w:keepNext/>
      </w:pPr>
      <w:r>
        <w:t>SENTENCIA</w:t>
      </w:r>
    </w:p>
    <w:p w14:paraId="2C3AEE6D" w14:textId="6BD99639" w:rsidR="009D7677" w:rsidRDefault="009D7677" w:rsidP="009D7677">
      <w:pPr>
        <w:pStyle w:val="TextoNormalCentrado"/>
        <w:keepNext/>
      </w:pPr>
    </w:p>
    <w:p w14:paraId="26292743" w14:textId="77777777" w:rsidR="009D7677" w:rsidRDefault="009D7677" w:rsidP="009D7677">
      <w:pPr>
        <w:pStyle w:val="TextoNormal"/>
      </w:pPr>
      <w:r>
        <w:t>En la cuestión de inconstitucionalidad núm. 5207-2023, promovida por la Sala de lo Contencioso-Administrativo del Tribunal Supremo, en relación con el art. 17 bis.1, último párrafo, de la Ley Orgánica 8/2007, de 4 de julio, sobre financiación de los partidos políticos. Han comparecido el Congreso de los Diputados, el Senado y el Gobierno de la Nación. Ha formulado alegaciones el fiscal general del Estado. Ha sido ponente la magistrada doña Inmaculada Montalbán Huertas.</w:t>
      </w:r>
    </w:p>
    <w:p w14:paraId="07AD9FF7" w14:textId="3616DD00" w:rsidR="009D7677" w:rsidRDefault="009D7677" w:rsidP="009D7677">
      <w:pPr>
        <w:pStyle w:val="TextoNormal"/>
      </w:pPr>
    </w:p>
    <w:p w14:paraId="1DA1685B" w14:textId="77777777" w:rsidR="009D7677" w:rsidRDefault="009D7677" w:rsidP="009D7677">
      <w:pPr>
        <w:pStyle w:val="TextoNormalNegritaCentrado"/>
        <w:keepNext/>
      </w:pPr>
      <w:r>
        <w:t>I. Antecedentes</w:t>
      </w:r>
    </w:p>
    <w:p w14:paraId="4A5FE3FF" w14:textId="5BBA8587" w:rsidR="009D7677" w:rsidRDefault="009D7677" w:rsidP="009D7677">
      <w:pPr>
        <w:pStyle w:val="TextoNormalNegritaCentrado"/>
        <w:keepNext/>
      </w:pPr>
    </w:p>
    <w:p w14:paraId="79122D61" w14:textId="17746E21" w:rsidR="009D7677" w:rsidRDefault="009D7677" w:rsidP="009D7677">
      <w:pPr>
        <w:pStyle w:val="TextoNormal"/>
      </w:pPr>
      <w:r w:rsidRPr="009D7677">
        <w:rPr>
          <w:rStyle w:val="NumeroAFNegritaCaracter"/>
        </w:rPr>
        <w:t>1</w:t>
      </w:r>
      <w:r>
        <w:t>. El día 25 de julio de 2023 tuvo entrada en el registro general de este tribunal un oficio de la Sección Cuarta de Sala de lo Contencioso-Administrativo del Tribunal Supremo, acompañando el testimonio del recurso ordinario núm. 175-2022, junto con el auto de 11 de julio de 2023 por el que la Sección acordaba plantear una cuestión de inconstitucionalidad en relación con el precepto citado en el encabezamiento.</w:t>
      </w:r>
    </w:p>
    <w:p w14:paraId="0063D8E2" w14:textId="77777777" w:rsidR="009D7677" w:rsidRDefault="009D7677" w:rsidP="009D7677">
      <w:pPr>
        <w:pStyle w:val="TextoNormal"/>
      </w:pPr>
    </w:p>
    <w:p w14:paraId="1ACD7287" w14:textId="77777777" w:rsidR="009D7677" w:rsidRDefault="009D7677" w:rsidP="009D7677">
      <w:pPr>
        <w:pStyle w:val="TextoNormal"/>
      </w:pPr>
      <w:r w:rsidRPr="009D7677">
        <w:rPr>
          <w:rStyle w:val="NumeroAFNegritaCaracter"/>
        </w:rPr>
        <w:t>2</w:t>
      </w:r>
      <w:r>
        <w:t>. El mencionado auto trae causa de los siguientes antecedentes:</w:t>
      </w:r>
    </w:p>
    <w:p w14:paraId="23FCE8C9" w14:textId="77777777" w:rsidR="009D7677" w:rsidRDefault="009D7677" w:rsidP="009D7677">
      <w:pPr>
        <w:pStyle w:val="TextoNormal"/>
      </w:pPr>
    </w:p>
    <w:p w14:paraId="02B24C48" w14:textId="77777777" w:rsidR="009D7677" w:rsidRDefault="009D7677" w:rsidP="009D7677">
      <w:pPr>
        <w:pStyle w:val="TextoNormal"/>
      </w:pPr>
      <w:r>
        <w:t xml:space="preserve">a) La formación política Units per Carcaixent concurrió a las elecciones locales convocadas por Real Decreto 209/2019, de 1 de abril, celebradas el día 26 de mayo del mismo año, presentando candidatura únicamente en el municipio de Carcaixent (Valencia). Una vez celebrados los comicios, la citada formación remitió al Tribunal de Cuentas la contabilidad electoral, en cumplimiento de lo establecido en el art. 133.1 de la Ley Orgánica 5/1985, de 19 de junio, del régimen electoral general (LOREG). De la fiscalización de sus cuentas resultó que había realizado gastos electorales en concepto de publicidad exterior por encima del límite máximo establecido para este concepto por el art. 55.3 LOREG. El exceso computado ascendió a 910,37 €, lo que suponía un 202,61 por 100 del gasto máximo, cifrado en 449,33 €. Como consecuencia de ello, el Tribunal de Cuentas abrió un expediente sancionador y, después de los trámites oportunos, el 17 de enero de 2022 dictó una resolución en la que apreció la comisión de una infracción muy grave del art. 17.2 b) de la Ley Orgánica de financiación de los partidos políticos por la que correspondía imponer una sanción de 50 000 €, por aplicación de lo dispuesto en el art. 17 </w:t>
      </w:r>
      <w:r w:rsidRPr="009D7677">
        <w:rPr>
          <w:i/>
        </w:rPr>
        <w:t>bis</w:t>
      </w:r>
      <w:r>
        <w:t>.1, último párrafo, de la misma Ley Orgánica.</w:t>
      </w:r>
    </w:p>
    <w:p w14:paraId="61C2BFA1" w14:textId="77777777" w:rsidR="009D7677" w:rsidRDefault="009D7677" w:rsidP="009D7677">
      <w:pPr>
        <w:pStyle w:val="TextoNormal"/>
      </w:pPr>
    </w:p>
    <w:p w14:paraId="53E8B7BA" w14:textId="77777777" w:rsidR="009D7677" w:rsidRDefault="009D7677" w:rsidP="009D7677">
      <w:pPr>
        <w:pStyle w:val="TextoNormal"/>
      </w:pPr>
      <w:r>
        <w:t>b) Contra dicha resolución, la formación Units per Carcaixent interpuso un recurso contencioso-administrativo (núm. 175-2022) ante la Sala de lo Contencioso-Administrativo del Tribunal Supremo. En el escrito de demanda, presentado el 16 de mayo de 2022, alegaba que la sanción impuesta supone un detrimento patrimonial muy distinto en función de la capacidad económica del sancionado, lo que vulnera dicha capacidad, así como el principio de igualdad. Añade que también vulnera el principio de proporcionalidad del art. 25.1 CE, como ha reconocido el propio Tribunal de Cuentas, pues supone imponer la misma sanción sin tener en cuenta las circunstancias que concurren individualmente en cada uno de los supuestos que pueden darse en los procesos electorales ni las capacidades económicas de cada formación política.</w:t>
      </w:r>
    </w:p>
    <w:p w14:paraId="424F625B" w14:textId="77777777" w:rsidR="009D7677" w:rsidRDefault="009D7677" w:rsidP="009D7677">
      <w:pPr>
        <w:pStyle w:val="TextoNormal"/>
      </w:pPr>
    </w:p>
    <w:p w14:paraId="08871801" w14:textId="77777777" w:rsidR="009D7677" w:rsidRDefault="009D7677" w:rsidP="009D7677">
      <w:pPr>
        <w:pStyle w:val="TextoNormal"/>
      </w:pPr>
      <w:r>
        <w:t>c) La abogada del Estado presentó su escrito de contestación a la demanda el 8 de junio de 2022. En él anticipaba su conformidad con la solicitud de planteamiento de una cuestión de inconstitucionalidad por la posible desproporción entre la infracción y la sanción impuesta. Añadía que con ello seguía el criterio del oficio de la presidenta del Tribunal de Cuentas de 20 de abril de 2022, en el que se cita el acuerdo del Pleno de dicho organismo de 27 de julio de 2021, por el que se elevaba una moción a las Cortes Generales recomendando la modificación del régimen sancionador previsto en la Ley Orgánica 8/2007, moción que había reiterado el 27 de enero de 2022. El Tribunal de Cuentas —proseguía el oficio de su presidenta— comparte que hay falta de proporcionalidad entre las infracciones y las sanciones de la Ley Orgánica de financiación de los partidos políticos, en atención a lo cual solicitaba a la Abogacía del Estado que se manifestara a favor del planteamiento de la cuestión de inconstitucionalidad en los procesos en que interviniera.</w:t>
      </w:r>
    </w:p>
    <w:p w14:paraId="2F02A954" w14:textId="77777777" w:rsidR="009D7677" w:rsidRDefault="009D7677" w:rsidP="009D7677">
      <w:pPr>
        <w:pStyle w:val="TextoNormal"/>
      </w:pPr>
    </w:p>
    <w:p w14:paraId="4BE05E9A" w14:textId="77777777" w:rsidR="009D7677" w:rsidRDefault="009D7677" w:rsidP="009D7677">
      <w:pPr>
        <w:pStyle w:val="TextoNormal"/>
      </w:pPr>
      <w:r>
        <w:t>d) Una vez tramitado el procedimiento y conclusos los autos, estando pendiente de señalamiento y sentencia, se dictó providencia de 1 de marzo de 2023, en la que acordaba oír a las partes personadas, por plazo común de diez días:</w:t>
      </w:r>
    </w:p>
    <w:p w14:paraId="25B1064F" w14:textId="77777777" w:rsidR="009D7677" w:rsidRDefault="009D7677" w:rsidP="009D7677">
      <w:pPr>
        <w:pStyle w:val="TextoNormal"/>
      </w:pPr>
    </w:p>
    <w:p w14:paraId="214EA9DD" w14:textId="77777777" w:rsidR="009D7677" w:rsidRDefault="009D7677" w:rsidP="009D7677">
      <w:pPr>
        <w:pStyle w:val="TextoNormal"/>
      </w:pPr>
      <w:r>
        <w:lastRenderedPageBreak/>
        <w:t xml:space="preserve">“[S]obre la incidencia que pudiera tener el pronunciamiento del Tribunal Constitucional sobre la cuestión de inconstitucionalidad planteada por este tribunal sobre el inciso ‘sin que en ningún caso pueda ser inferior a veinticinco mil euros’ del art. 17 </w:t>
      </w:r>
      <w:r w:rsidRPr="009D7677">
        <w:rPr>
          <w:i/>
        </w:rPr>
        <w:t>bis</w:t>
      </w:r>
      <w:r>
        <w:t>.2 b) de la Ley Orgánica 8/2007, de financiación de partidos políticos, en el recurso contencioso-administrativo 2-456-2021 y que ha quedado registrada con núm. 1019-2023”.</w:t>
      </w:r>
    </w:p>
    <w:p w14:paraId="1BA9C27E" w14:textId="77777777" w:rsidR="009D7677" w:rsidRDefault="009D7677" w:rsidP="009D7677">
      <w:pPr>
        <w:pStyle w:val="TextoNormal"/>
      </w:pPr>
    </w:p>
    <w:p w14:paraId="36A7CF62" w14:textId="77777777" w:rsidR="009D7677" w:rsidRDefault="009D7677" w:rsidP="009D7677">
      <w:pPr>
        <w:pStyle w:val="TextoNormal"/>
      </w:pPr>
      <w:r>
        <w:t>La parte recurrente reiteró su solicitud de planteamiento de la cuestión de inconstitucionalidad. Por su parte, el abogado del Estado manifestó que la resolución de la cuestión de inconstitucionalidad planteada en el seno del recurso 456-2021 no tenía incidencia en el citado recurso.</w:t>
      </w:r>
    </w:p>
    <w:p w14:paraId="477C5E92" w14:textId="77777777" w:rsidR="009D7677" w:rsidRDefault="009D7677" w:rsidP="009D7677">
      <w:pPr>
        <w:pStyle w:val="TextoNormal"/>
      </w:pPr>
    </w:p>
    <w:p w14:paraId="315FF5D4" w14:textId="77777777" w:rsidR="009D7677" w:rsidRDefault="009D7677" w:rsidP="009D7677">
      <w:pPr>
        <w:pStyle w:val="TextoNormal"/>
      </w:pPr>
      <w:r>
        <w:t>e) Mediante una nueva providencia de 6 de junio de 2023, se acordó lo siguiente:</w:t>
      </w:r>
    </w:p>
    <w:p w14:paraId="7D0A5487" w14:textId="77777777" w:rsidR="009D7677" w:rsidRDefault="009D7677" w:rsidP="009D7677">
      <w:pPr>
        <w:pStyle w:val="TextoNormal"/>
      </w:pPr>
    </w:p>
    <w:p w14:paraId="2DC92D8A" w14:textId="77777777" w:rsidR="009D7677" w:rsidRDefault="009D7677" w:rsidP="009D7677">
      <w:pPr>
        <w:pStyle w:val="TextoNormal"/>
      </w:pPr>
      <w:r>
        <w:t xml:space="preserve">“[A] tenor de lo solicitado por el recurrente sobre el planteamiento de cuestión de inconstitucionalidad y la conformidad con dicha solicitud manifestada por el abogado del Estado en su escrito de contestación a la demanda, de conformidad con lo dispuesto en el artículo 35 LOTC, se abre un plazo común e improrrogable de diez días para que el Ministerio Fiscal pueda alegar lo que considere oportuno, y las partes procesales, si lo consideran conveniente, hacer alegaciones adicionales a las ya formuladas. En ambos casos sobre el planteamiento de cuestión de inconstitucionalidad basada en la falta de proporcionalidad de la sanción prevista en [el] artículo 17 </w:t>
      </w:r>
      <w:r w:rsidRPr="009D7677">
        <w:rPr>
          <w:i/>
        </w:rPr>
        <w:t>bis</w:t>
      </w:r>
      <w:r>
        <w:t xml:space="preserve">.1 </w:t>
      </w:r>
      <w:r w:rsidRPr="009D7677">
        <w:rPr>
          <w:i/>
        </w:rPr>
        <w:t>in fine</w:t>
      </w:r>
      <w:r>
        <w:t xml:space="preserve"> [de la Ley Orgánica 8/2007, de 4 de julio, sobre financiación de partidos políticos]”.</w:t>
      </w:r>
    </w:p>
    <w:p w14:paraId="7D15FC6F" w14:textId="77777777" w:rsidR="009D7677" w:rsidRDefault="009D7677" w:rsidP="009D7677">
      <w:pPr>
        <w:pStyle w:val="TextoNormal"/>
      </w:pPr>
    </w:p>
    <w:p w14:paraId="6D8F014C" w14:textId="77777777" w:rsidR="009D7677" w:rsidRDefault="009D7677" w:rsidP="009D7677">
      <w:pPr>
        <w:pStyle w:val="TextoNormal"/>
      </w:pPr>
      <w:r>
        <w:t>f) El día 20 de junio de 2023 el Ministerio Fiscal presentó un escrito en el que señalaba que el trámite de audiencia del art. 35.2 de la Ley Orgánica del Tribunal Constitucional (LOTC) se había cumplimentado correctamente porque se había efectuado (en la segunda providencia) por plazo común tanto a las partes como al Ministerio Fiscal, sin que hubiera dificultad alguna para comprender el alcance de las dudas de inconstitucionalidad planteadas.</w:t>
      </w:r>
    </w:p>
    <w:p w14:paraId="65F8E8C3" w14:textId="77777777" w:rsidR="009D7677" w:rsidRDefault="009D7677" w:rsidP="009D7677">
      <w:pPr>
        <w:pStyle w:val="TextoNormal"/>
      </w:pPr>
    </w:p>
    <w:p w14:paraId="6CCD3C5F" w14:textId="77777777" w:rsidR="009D7677" w:rsidRDefault="009D7677" w:rsidP="009D7677">
      <w:pPr>
        <w:pStyle w:val="TextoNormal"/>
      </w:pPr>
      <w:r>
        <w:t>A continuación, el fiscal exponía el régimen sancionador de la Ley Orgánica 8/2007, así como la doctrina constitucional sobre el principio de proporcionalidad, con cita de la STC 74/2022, de 14 de junio. Tras un somero análisis de la duda de constitucionalidad, sin perjuicio del criterio más desarrollado que pudiera fijar la Fiscalía General del Estado, de acuerdo con la Circular 2/1999, concluía que, por su severidad, la sanción aplicada puede desincentivar la presentación de candidaturas de ámbito territorial limitado y la rendición de la contabilidad electoral.</w:t>
      </w:r>
    </w:p>
    <w:p w14:paraId="3106F89C" w14:textId="77777777" w:rsidR="009D7677" w:rsidRDefault="009D7677" w:rsidP="009D7677">
      <w:pPr>
        <w:pStyle w:val="TextoNormal"/>
      </w:pPr>
    </w:p>
    <w:p w14:paraId="7FA06B0A" w14:textId="77777777" w:rsidR="009D7677" w:rsidRDefault="009D7677" w:rsidP="009D7677">
      <w:pPr>
        <w:pStyle w:val="TextoNormal"/>
      </w:pPr>
      <w:r>
        <w:t xml:space="preserve">Terminaba precisando que la duda debe ceñirse al mínimo de 50 000 € para la sanción aplicable conforme al art. 17 </w:t>
      </w:r>
      <w:r w:rsidRPr="009D7677">
        <w:rPr>
          <w:i/>
        </w:rPr>
        <w:t>bis</w:t>
      </w:r>
      <w:r>
        <w:t>.1 b) de la Ley Orgánica 8/2007 (exceder los gastos electorales máximos en más de un 10 por 100), al que se refiere el caso del proces</w:t>
      </w:r>
      <w:r w:rsidRPr="009D7677">
        <w:rPr>
          <w:i/>
        </w:rPr>
        <w:t>o a q</w:t>
      </w:r>
      <w:r>
        <w:t>uo.</w:t>
      </w:r>
    </w:p>
    <w:p w14:paraId="0CC885BD" w14:textId="77777777" w:rsidR="009D7677" w:rsidRDefault="009D7677" w:rsidP="009D7677">
      <w:pPr>
        <w:pStyle w:val="TextoNormal"/>
      </w:pPr>
    </w:p>
    <w:p w14:paraId="0E540844" w14:textId="03BF6AD9" w:rsidR="009D7677" w:rsidRDefault="009D7677" w:rsidP="009D7677">
      <w:pPr>
        <w:pStyle w:val="TextoNormal"/>
      </w:pPr>
      <w:r>
        <w:t>Ni la Abogacía del Estado ni la entidad recurrente presentaron nuevas alegaciones.</w:t>
      </w:r>
    </w:p>
    <w:p w14:paraId="06D8979A" w14:textId="77777777" w:rsidR="009D7677" w:rsidRDefault="009D7677" w:rsidP="009D7677">
      <w:pPr>
        <w:pStyle w:val="TextoNormal"/>
      </w:pPr>
    </w:p>
    <w:p w14:paraId="7E20C70D" w14:textId="77777777" w:rsidR="009D7677" w:rsidRDefault="009D7677" w:rsidP="009D7677">
      <w:pPr>
        <w:pStyle w:val="TextoNormal"/>
      </w:pPr>
      <w:r w:rsidRPr="009D7677">
        <w:rPr>
          <w:rStyle w:val="NumeroAFNegritaCaracter"/>
        </w:rPr>
        <w:t>3</w:t>
      </w:r>
      <w:r>
        <w:t xml:space="preserve">. Mediante auto de 11 de julio de 2023 la Sección Cuarta de la Sala de lo Contencioso-Administrativo del Tribunal Supremo planteó cuestión de inconstitucionalidad en relación al art. 17 </w:t>
      </w:r>
      <w:r w:rsidRPr="009D7677">
        <w:rPr>
          <w:i/>
        </w:rPr>
        <w:t>bis</w:t>
      </w:r>
      <w:r>
        <w:t xml:space="preserve">.1, último párrafo, de la Ley Orgánica 8/2007, según el cual “[e]n ningún </w:t>
      </w:r>
      <w:r>
        <w:lastRenderedPageBreak/>
        <w:t>caso las sanciones previstas en los apartados a) y b) serán inferiores a cincuenta mil euros”.</w:t>
      </w:r>
    </w:p>
    <w:p w14:paraId="58D8B9F3" w14:textId="77777777" w:rsidR="009D7677" w:rsidRDefault="009D7677" w:rsidP="009D7677">
      <w:pPr>
        <w:pStyle w:val="TextoNormal"/>
      </w:pPr>
    </w:p>
    <w:p w14:paraId="765764B4" w14:textId="77777777" w:rsidR="009D7677" w:rsidRDefault="009D7677" w:rsidP="009D7677">
      <w:pPr>
        <w:pStyle w:val="TextoNormal"/>
      </w:pPr>
      <w:r>
        <w:t xml:space="preserve">a) El órgano judicial comienza recordando los antecedentes del caso y señala que se enmarca en un grupo de recursos en los que se impugnan diversas resoluciones del Tribunal de Cuentas por las que se imponen diversas sanciones por exceder el límite máximo de gastos electorales en las elecciones locales celebradas el 26 de mayo de 2019. En dichos recursos se impugnan los límites mínimos absolutos y no graduables establecidos en varios apartados del art. 17 </w:t>
      </w:r>
      <w:r w:rsidRPr="009D7677">
        <w:rPr>
          <w:i/>
        </w:rPr>
        <w:t>bis</w:t>
      </w:r>
      <w:r>
        <w:t xml:space="preserve"> de la Ley Orgánica 8/2007.</w:t>
      </w:r>
    </w:p>
    <w:p w14:paraId="7286982C" w14:textId="77777777" w:rsidR="009D7677" w:rsidRDefault="009D7677" w:rsidP="009D7677">
      <w:pPr>
        <w:pStyle w:val="TextoNormal"/>
      </w:pPr>
    </w:p>
    <w:p w14:paraId="19E47E07" w14:textId="77777777" w:rsidR="009D7677" w:rsidRDefault="009D7677" w:rsidP="009D7677">
      <w:pPr>
        <w:pStyle w:val="TextoNormal"/>
      </w:pPr>
      <w:r>
        <w:t>b) A continuación, se remite a los argumentos expuestos en el auto de 25 de enero de 2023, por el que se planteó la cuestión de inconstitucionalidad núm. 1019-2023 en el recurso contencioso-administrativo núm. 456-2021, para justificar la desproporción de los citados importes mínimos. En dicha resolución ya se ponía de manifiesto que podían ser contrarios a la Constitución.</w:t>
      </w:r>
    </w:p>
    <w:p w14:paraId="019FF7FE" w14:textId="77777777" w:rsidR="009D7677" w:rsidRDefault="009D7677" w:rsidP="009D7677">
      <w:pPr>
        <w:pStyle w:val="TextoNormal"/>
      </w:pPr>
    </w:p>
    <w:p w14:paraId="16776ADB" w14:textId="77777777" w:rsidR="009D7677" w:rsidRDefault="009D7677" w:rsidP="009D7677">
      <w:pPr>
        <w:pStyle w:val="TextoNormal"/>
      </w:pPr>
      <w:r>
        <w:t xml:space="preserve">El auto detalla que el precepto concernido es el art. 17 </w:t>
      </w:r>
      <w:r w:rsidRPr="009D7677">
        <w:rPr>
          <w:i/>
        </w:rPr>
        <w:t>bis</w:t>
      </w:r>
      <w:r>
        <w:t>.1, último párrafo de la Ley Orgánica 8/2007, que establece un mínimo de 50 000 € para las sanciones aplicables a los supuestos a) y b) de dicho precepto. En concreto, aquí es aplicable la letra b), referida a “[l]a superación por los partidos políticos, en un diez por ciento o más, de los límites de gastos electorales previstos”, conducta sancionada con una multa pecuniaria proporcional del duplo al quíntuplo del exceso de gasto producido, sin que pueda ser inferior al mínimo señalado de 50 000 €. Esta sanción mínima ha sido la impuesta a Units per Carcaixent. Todo ello, sin perjuicio de que el Tribunal Constitucional pueda, si lo estima oportuno, extender su pronunciamiento al resto de supuestos análogos (art. 39.1 LOTC).</w:t>
      </w:r>
    </w:p>
    <w:p w14:paraId="23A0E4AC" w14:textId="77777777" w:rsidR="009D7677" w:rsidRDefault="009D7677" w:rsidP="009D7677">
      <w:pPr>
        <w:pStyle w:val="TextoNormal"/>
      </w:pPr>
    </w:p>
    <w:p w14:paraId="5B9AAE45" w14:textId="77777777" w:rsidR="009D7677" w:rsidRDefault="009D7677" w:rsidP="009D7677">
      <w:pPr>
        <w:pStyle w:val="TextoNormal"/>
      </w:pPr>
      <w:r>
        <w:t>La Sala añade que el problema constitucional suscitado no es esporádico ni aislado, como lo confirma el grupo de recursos existentes y el oficio de la presidenta del Tribunal de Cuentas de 20 de abril de 2022. Se remite a los argumentos del auto de la Sala de lo Contencioso-Administrativo del Tribunal Supremo de 25 de enero de 2023, en el que, partiendo del amplio margen de apreciación del legislador democrático para definir las infracciones y sanciones, subraya que opera el límite de la proporcionalidad, como señaló la STC 136/1999, de 20 de julio.</w:t>
      </w:r>
    </w:p>
    <w:p w14:paraId="59700CBB" w14:textId="77777777" w:rsidR="009D7677" w:rsidRDefault="009D7677" w:rsidP="009D7677">
      <w:pPr>
        <w:pStyle w:val="TextoNormal"/>
      </w:pPr>
    </w:p>
    <w:p w14:paraId="1C32E4AB" w14:textId="77777777" w:rsidR="009D7677" w:rsidRDefault="009D7677" w:rsidP="009D7677">
      <w:pPr>
        <w:pStyle w:val="TextoNormal"/>
      </w:pPr>
      <w:r>
        <w:t>Aunque la norma cuestionada no tipifica una pena sino una sanción administrativa, recuerda que la doctrina constitucional ha extendido las garantías del art. 25 CE al Derecho administrativo sancionador y enfatiza que el principio de proporcionalidad constituye uno de los pilares del Derecho administrativo, nacional y supranacional.</w:t>
      </w:r>
    </w:p>
    <w:p w14:paraId="7C5FD698" w14:textId="77777777" w:rsidR="009D7677" w:rsidRDefault="009D7677" w:rsidP="009D7677">
      <w:pPr>
        <w:pStyle w:val="TextoNormal"/>
      </w:pPr>
    </w:p>
    <w:p w14:paraId="2FF0F191" w14:textId="77777777" w:rsidR="009D7677" w:rsidRDefault="009D7677" w:rsidP="009D7677">
      <w:pPr>
        <w:pStyle w:val="TextoNormal"/>
      </w:pPr>
      <w:r>
        <w:t>En fin, para el órgano judicial la “manifiesta desproporción” se produce al ser muy superior el límite mínimo cuestionado (50 000 €) al total de lo gastado, con o sin exceso, por el partido sancionado.</w:t>
      </w:r>
    </w:p>
    <w:p w14:paraId="6D219DDD" w14:textId="77777777" w:rsidR="009D7677" w:rsidRDefault="009D7677" w:rsidP="009D7677">
      <w:pPr>
        <w:pStyle w:val="TextoNormal"/>
      </w:pPr>
    </w:p>
    <w:p w14:paraId="1667B357" w14:textId="77777777" w:rsidR="009D7677" w:rsidRDefault="009D7677" w:rsidP="009D7677">
      <w:pPr>
        <w:pStyle w:val="TextoNormal"/>
      </w:pPr>
      <w:r>
        <w:t>c) En cuanto a los juicios de aplicabilidad y relevancia, el auto indica que el límite mínimo de 50 000 € es aplicable al caso. A la infracción cometida por Units per Carcaixent le correspondía una multa pecuniaria proporcional del duplo al quíntuplo del exceso de gasto en que incurrió, que fue de 910,37 € (el límite de gasto era de 449,33 € y el realmen</w:t>
      </w:r>
      <w:r>
        <w:lastRenderedPageBreak/>
        <w:t xml:space="preserve">te efectuado fue de 1359,70 €), pero debe aplicarse el mínimo de 50 000 €, por mandato del art. 17 </w:t>
      </w:r>
      <w:r w:rsidRPr="009D7677">
        <w:rPr>
          <w:i/>
        </w:rPr>
        <w:t>bis</w:t>
      </w:r>
      <w:r>
        <w:t>.1, último párrafo, de la Ley Orgánica 8/2007.</w:t>
      </w:r>
    </w:p>
    <w:p w14:paraId="7BADACE8" w14:textId="77777777" w:rsidR="009D7677" w:rsidRDefault="009D7677" w:rsidP="009D7677">
      <w:pPr>
        <w:pStyle w:val="TextoNormal"/>
      </w:pPr>
    </w:p>
    <w:p w14:paraId="38B6C952" w14:textId="387117A9" w:rsidR="009D7677" w:rsidRDefault="009D7677" w:rsidP="009D7677">
      <w:pPr>
        <w:pStyle w:val="TextoNormal"/>
      </w:pPr>
      <w:r>
        <w:t>Según la Sala, el juicio de relevancia también se verifica pues la demandante solo cuestiona la desproporción de la sanción, de modo que si el precepto aplicado es inconstitucional, la demanda debe estimarse; y si no lo es, deberá desestimarse.</w:t>
      </w:r>
    </w:p>
    <w:p w14:paraId="1AC15376" w14:textId="77777777" w:rsidR="009D7677" w:rsidRDefault="009D7677" w:rsidP="009D7677">
      <w:pPr>
        <w:pStyle w:val="TextoNormal"/>
      </w:pPr>
    </w:p>
    <w:p w14:paraId="24897B0F" w14:textId="1674CEF2" w:rsidR="009D7677" w:rsidRDefault="009D7677" w:rsidP="009D7677">
      <w:pPr>
        <w:pStyle w:val="TextoNormal"/>
      </w:pPr>
      <w:r w:rsidRPr="009D7677">
        <w:rPr>
          <w:rStyle w:val="NumeroAFNegritaCaracter"/>
        </w:rPr>
        <w:t>4</w:t>
      </w:r>
      <w:r>
        <w:t>. Por providencia de 12 de diciembre de 2023, el Pleno del Tribunal, a propuesta de la Sección Tercera, acordó admitir a trámite la cuestión de inconstitucionalidad; reservar para sí su conocimiento, de conformidad con el art. 10.1 c) LOTC; dar traslado de las actuaciones recibidas, conforme establece el art. 37.3 LOTC, al Congreso de los Diputados y al Senado, al Gobierno y al fiscal general del Estado, al objeto de que, en el improrrogable plazo de quince días, pudieran personarse en el proceso y formular las alegaciones que estimasen convenientes; comunicar la admisión a trámite a la Sección Cuarta de la Sala de lo Contencioso-Administrativo del Tribunal Supremo a fin de que, de conformidad con lo dispuesto en el art. 35.3 LOTC, permanezca suspendido el proceso hasta que el Tribunal resuelva definitivamente la cuestión; y publicar su incoación en el “Boletín Oficial del Estado”.</w:t>
      </w:r>
    </w:p>
    <w:p w14:paraId="54073CB6" w14:textId="77777777" w:rsidR="009D7677" w:rsidRDefault="009D7677" w:rsidP="009D7677">
      <w:pPr>
        <w:pStyle w:val="TextoNormal"/>
      </w:pPr>
    </w:p>
    <w:p w14:paraId="018CD0DD" w14:textId="22BE00FE" w:rsidR="009D7677" w:rsidRDefault="009D7677" w:rsidP="009D7677">
      <w:pPr>
        <w:pStyle w:val="TextoNormal"/>
      </w:pPr>
      <w:r w:rsidRPr="009D7677">
        <w:rPr>
          <w:rStyle w:val="NumeroAFNegritaCaracter"/>
        </w:rPr>
        <w:t>5</w:t>
      </w:r>
      <w:r>
        <w:t>. Por escritos registrados el 21 de diciembre de 2023 y el 24 de enero de 2024 el Congreso de los Diputados y el Senado, respectivamente, comunicaron los acuerdos adoptados por sus mesas de personarse en el presente proceso constitucional y ofrecer su colaboración a los efectos del art. 88.1 LOTC.</w:t>
      </w:r>
    </w:p>
    <w:p w14:paraId="1551009D" w14:textId="77777777" w:rsidR="009D7677" w:rsidRDefault="009D7677" w:rsidP="009D7677">
      <w:pPr>
        <w:pStyle w:val="TextoNormal"/>
      </w:pPr>
    </w:p>
    <w:p w14:paraId="65B194E4" w14:textId="68A9E7D6" w:rsidR="009D7677" w:rsidRDefault="009D7677" w:rsidP="009D7677">
      <w:pPr>
        <w:pStyle w:val="TextoNormal"/>
      </w:pPr>
      <w:r w:rsidRPr="009D7677">
        <w:rPr>
          <w:rStyle w:val="NumeroAFNegritaCaracter"/>
        </w:rPr>
        <w:t>6</w:t>
      </w:r>
      <w:r>
        <w:t>. Por escrito registrado el 18 de enero de 2024, el abogado del Estado, en representación del Gobierno de la Nación, se personó en el procedimiento y solicitó que se dictase una resolución conforme a Derecho.</w:t>
      </w:r>
    </w:p>
    <w:p w14:paraId="1D4A6CA7" w14:textId="77777777" w:rsidR="009D7677" w:rsidRDefault="009D7677" w:rsidP="009D7677">
      <w:pPr>
        <w:pStyle w:val="TextoNormal"/>
      </w:pPr>
    </w:p>
    <w:p w14:paraId="5E01D133" w14:textId="77777777" w:rsidR="009D7677" w:rsidRDefault="009D7677" w:rsidP="009D7677">
      <w:pPr>
        <w:pStyle w:val="TextoNormal"/>
      </w:pPr>
      <w:r w:rsidRPr="009D7677">
        <w:rPr>
          <w:rStyle w:val="NumeroAFNegritaCaracter"/>
        </w:rPr>
        <w:t>7</w:t>
      </w:r>
      <w:r>
        <w:t>. El fiscal general del Estado presentó su escrito de alegaciones el 2 de febrero de 2024, exponiendo, en síntesis, lo siguiente:</w:t>
      </w:r>
    </w:p>
    <w:p w14:paraId="118AABDE" w14:textId="77777777" w:rsidR="009D7677" w:rsidRDefault="009D7677" w:rsidP="009D7677">
      <w:pPr>
        <w:pStyle w:val="TextoNormal"/>
      </w:pPr>
    </w:p>
    <w:p w14:paraId="736F31AD" w14:textId="77777777" w:rsidR="009D7677" w:rsidRDefault="009D7677" w:rsidP="009D7677">
      <w:pPr>
        <w:pStyle w:val="TextoNormal"/>
      </w:pPr>
      <w:r>
        <w:t xml:space="preserve">a) Con carácter previo a analizar el fondo de la cuestión, examina si el trámite de audiencia se ha realizado correctamente. Señala que en este caso se han dictado dos providencias de audiencia pues la primera presentaba un error que fue corregido por la segunda. Considera que el trámite del art. 35.2 LOTC ha sido cumplimentado debidamente pues las partes han tenido la oportunidad de formular alegaciones sobre la duda de constitucionalidad relativa a si el art. 17 </w:t>
      </w:r>
      <w:r w:rsidRPr="009D7677">
        <w:rPr>
          <w:i/>
        </w:rPr>
        <w:t>bis</w:t>
      </w:r>
      <w:r>
        <w:t>.1, párrafo final, vulnera el principio de legalidad del art. 25.1 CE, en la vertiente de la proporcionalidad de la sanción.</w:t>
      </w:r>
    </w:p>
    <w:p w14:paraId="03B6A645" w14:textId="77777777" w:rsidR="009D7677" w:rsidRDefault="009D7677" w:rsidP="009D7677">
      <w:pPr>
        <w:pStyle w:val="TextoNormal"/>
      </w:pPr>
    </w:p>
    <w:p w14:paraId="46D7FD4D" w14:textId="77777777" w:rsidR="009D7677" w:rsidRDefault="009D7677" w:rsidP="009D7677">
      <w:pPr>
        <w:pStyle w:val="TextoNormal"/>
      </w:pPr>
      <w:r>
        <w:t>Asimismo, observa que el órgano judicial ha indicado por qué la norma es aplicable al caso, vinculando la estimación de la demanda con el precepto de cuya constitucionalidad tiene dudas. Se exterioriza el nexo de causalidad o dependencia entre el fallo del proceso y la norma cuestionada. Por tanto, entiende que los juicios de aplicabilidad y relevancia se han realizado correctamente.</w:t>
      </w:r>
    </w:p>
    <w:p w14:paraId="6A9FB327" w14:textId="77777777" w:rsidR="009D7677" w:rsidRDefault="009D7677" w:rsidP="009D7677">
      <w:pPr>
        <w:pStyle w:val="TextoNormal"/>
      </w:pPr>
    </w:p>
    <w:p w14:paraId="4CF7CFD1" w14:textId="77777777" w:rsidR="009D7677" w:rsidRDefault="009D7677" w:rsidP="009D7677">
      <w:pPr>
        <w:pStyle w:val="TextoNormal"/>
      </w:pPr>
      <w:r>
        <w:t xml:space="preserve">b) Respecto del fondo de la cuestión, con cita de la STC 74/2022, de 14 de junio, FJ 3 B), el fiscal recuerda que el principio de proporcionalidad es “inherente al principio de </w:t>
      </w:r>
      <w:r>
        <w:lastRenderedPageBreak/>
        <w:t>legalidad sancionadora” del art. 25.1 CE y por tanto “plenamente aplicable al ámbito sancionador administrativo” y exige un “equilibrio entre la gravedad de las infracciones y la intensidad de las consecuencias sancionadoras”, así como que “al fijar el alcance de la sanción se tengan en cuenta las circunstancias individuales del caso concreto”. Al amparo de esta doctrina, argumenta que el precepto cuestionado es contrario al principio de proporcionalidad porque el límite mínimo establecido por el legislador “impide adecuar la sanción a las circunstancias concurrentes del caso concreto”.</w:t>
      </w:r>
    </w:p>
    <w:p w14:paraId="5DA5C3BC" w14:textId="77777777" w:rsidR="009D7677" w:rsidRDefault="009D7677" w:rsidP="009D7677">
      <w:pPr>
        <w:pStyle w:val="TextoNormal"/>
      </w:pPr>
    </w:p>
    <w:p w14:paraId="14BD801F" w14:textId="77777777" w:rsidR="009D7677" w:rsidRDefault="009D7677" w:rsidP="009D7677">
      <w:pPr>
        <w:pStyle w:val="TextoNormal"/>
      </w:pPr>
      <w:r>
        <w:t>Cita también el ATC 332/2005, de 13 de septiembre, FJ 4 a), según el cual el canon de proporcionalidad de las penas y sanciones exige indagar, en primer lugar, si los bienes protegidos son “suficientemente relevantes”; en segundo lugar, si la pena o sanción es “idónea y necesaria para alcanzar los fines” indicados; y, finalmente, “si el precepto es desproporcionado desde la perspectiva de la comparación entre la entidad del delito y la entidad de la pena”. Bajo estas premisas, examina el sistema sancionador de la Ley Orgánica 8/2007, que persigue, según su exposición de motivos, un fin constitucionalmente legítimo, como es la financiación equitativa de todas las formaciones políticas que concurren a un proceso electoral, y con ello el respeto al derecho fundamental de participación política del art. 23.1 CE.</w:t>
      </w:r>
    </w:p>
    <w:p w14:paraId="32CCE7F9" w14:textId="77777777" w:rsidR="009D7677" w:rsidRDefault="009D7677" w:rsidP="009D7677">
      <w:pPr>
        <w:pStyle w:val="TextoNormal"/>
      </w:pPr>
    </w:p>
    <w:p w14:paraId="641EE887" w14:textId="77777777" w:rsidR="009D7677" w:rsidRDefault="009D7677" w:rsidP="009D7677">
      <w:pPr>
        <w:pStyle w:val="TextoNormal"/>
      </w:pPr>
      <w:r>
        <w:t>Sin embargo, en el inciso cuestionado se produce un desequilibrio patente y excesivo entre la sanción y la finalidad de la norma. Al no permitir que la sanción se gradúe en caso de gastos electorales de escasa cuantía, y por ello de mínima trascendencia para el bien jurídico protegido, desalienta el derecho de participación política del art. 23.1 CE y vulnera el valor Justicia. Se produce, en definitiva, “un desequilibrio patente y excesivo o irrazonable entre la sanción y la finalidad de la norma” (STC 136/1999, FJ 23) o un “patente derroche inútil de coacción que convierte la norma en arbitraria y que socava los principios elementales de justicia inherentes a la dignidad de la persona y al Estado de Derecho” (STC 55/1996, de 28 de marzo, FFJJ 6 y ss.).</w:t>
      </w:r>
    </w:p>
    <w:p w14:paraId="663B35C7" w14:textId="77777777" w:rsidR="009D7677" w:rsidRDefault="009D7677" w:rsidP="009D7677">
      <w:pPr>
        <w:pStyle w:val="TextoNormal"/>
      </w:pPr>
    </w:p>
    <w:p w14:paraId="1AEBE8CF" w14:textId="5D67930B" w:rsidR="009D7677" w:rsidRDefault="009D7677" w:rsidP="009D7677">
      <w:pPr>
        <w:pStyle w:val="TextoNormal"/>
      </w:pPr>
      <w:r>
        <w:t xml:space="preserve">Por último, advierte que la redacción del párrafo último del art. 17 </w:t>
      </w:r>
      <w:r w:rsidRPr="009D7677">
        <w:rPr>
          <w:i/>
        </w:rPr>
        <w:t>bis</w:t>
      </w:r>
      <w:r>
        <w:t xml:space="preserve">.1 de la Ley Orgánica 8/2007 hace referencia a las sanciones previstas en los apartados a) y b) del precepto, pero en el proceso </w:t>
      </w:r>
      <w:r w:rsidRPr="009D7677">
        <w:rPr>
          <w:i/>
        </w:rPr>
        <w:t>a quo</w:t>
      </w:r>
      <w:r>
        <w:t xml:space="preserve"> la sanción se ha impuesto de conformidad con el apartado b). Por tanto, la inconstitucionalidad de la norma por vulneración del principio de legalidad del art. 25.1 CE debería quedar limitada a la supresión del inciso “y b)”.</w:t>
      </w:r>
    </w:p>
    <w:p w14:paraId="11A00BDB" w14:textId="77777777" w:rsidR="009D7677" w:rsidRDefault="009D7677" w:rsidP="009D7677">
      <w:pPr>
        <w:pStyle w:val="TextoNormal"/>
      </w:pPr>
    </w:p>
    <w:p w14:paraId="723C667F" w14:textId="12350A47" w:rsidR="009D7677" w:rsidRDefault="009D7677" w:rsidP="009D7677">
      <w:pPr>
        <w:pStyle w:val="TextoNormal"/>
      </w:pPr>
      <w:r w:rsidRPr="009D7677">
        <w:rPr>
          <w:rStyle w:val="NumeroAFNegritaCaracter"/>
        </w:rPr>
        <w:t>8</w:t>
      </w:r>
      <w:r>
        <w:t>. Mediante providencia de 7 de mayo de 2024 se señaló ese mismo día para deliberación y votación de la presente sentencia.</w:t>
      </w:r>
    </w:p>
    <w:p w14:paraId="56A77987" w14:textId="77777777" w:rsidR="009D7677" w:rsidRDefault="009D7677" w:rsidP="009D7677">
      <w:pPr>
        <w:pStyle w:val="TextoNormal"/>
      </w:pPr>
    </w:p>
    <w:p w14:paraId="2D1B93B0" w14:textId="77777777" w:rsidR="009D7677" w:rsidRDefault="009D7677" w:rsidP="009D7677">
      <w:pPr>
        <w:pStyle w:val="TextoNormalNegritaCentrado"/>
        <w:keepNext/>
      </w:pPr>
      <w:r>
        <w:t>II. Fundamentos jurídicos</w:t>
      </w:r>
    </w:p>
    <w:p w14:paraId="5379BAB9" w14:textId="7FFD2258" w:rsidR="009D7677" w:rsidRDefault="009D7677" w:rsidP="009D7677">
      <w:pPr>
        <w:pStyle w:val="TextoNormalNegritaCentrado"/>
        <w:keepNext/>
      </w:pPr>
    </w:p>
    <w:p w14:paraId="6CBB1FF8" w14:textId="77777777" w:rsidR="009D7677" w:rsidRDefault="009D7677" w:rsidP="009D7677">
      <w:pPr>
        <w:pStyle w:val="TextoNormal"/>
      </w:pPr>
      <w:r w:rsidRPr="009D7677">
        <w:rPr>
          <w:rStyle w:val="NumeroAFNegritaCaracter"/>
        </w:rPr>
        <w:t>1</w:t>
      </w:r>
      <w:r>
        <w:t xml:space="preserve">. </w:t>
      </w:r>
      <w:r w:rsidRPr="009D7677">
        <w:rPr>
          <w:i/>
        </w:rPr>
        <w:t>Objeto del proceso y posiciones de las partes</w:t>
      </w:r>
    </w:p>
    <w:p w14:paraId="12732458" w14:textId="77777777" w:rsidR="009D7677" w:rsidRDefault="009D7677" w:rsidP="009D7677">
      <w:pPr>
        <w:pStyle w:val="TextoNormal"/>
      </w:pPr>
    </w:p>
    <w:p w14:paraId="554A6938" w14:textId="77777777" w:rsidR="009D7677" w:rsidRDefault="009D7677" w:rsidP="009D7677">
      <w:pPr>
        <w:pStyle w:val="TextoNormal"/>
      </w:pPr>
      <w:r>
        <w:t xml:space="preserve">La Sección Cuarta de la Sala de lo Contencioso-Administrativo del Tribunal Supremo promueve una cuestión de inconstitucionalidad en relación con el art. 17 </w:t>
      </w:r>
      <w:r w:rsidRPr="009D7677">
        <w:rPr>
          <w:i/>
        </w:rPr>
        <w:t>bis</w:t>
      </w:r>
      <w:r>
        <w:t>.1, último párrafo, de la Ley Orgánica 8/2007, de 4 de julio, sobre financiación de los partidos políticos.</w:t>
      </w:r>
    </w:p>
    <w:p w14:paraId="561C1D51" w14:textId="77777777" w:rsidR="009D7677" w:rsidRDefault="009D7677" w:rsidP="009D7677">
      <w:pPr>
        <w:pStyle w:val="TextoNormal"/>
      </w:pPr>
    </w:p>
    <w:p w14:paraId="1C91EFC4" w14:textId="77777777" w:rsidR="009D7677" w:rsidRDefault="009D7677" w:rsidP="009D7677">
      <w:pPr>
        <w:pStyle w:val="TextoNormal"/>
      </w:pPr>
      <w:r>
        <w:lastRenderedPageBreak/>
        <w:t xml:space="preserve">a) El art. 17.2 de la Ley Orgánica 8/2007 tipifica como infracciones muy graves “[l]a aceptación de donaciones o aportaciones que contravengan las limitaciones o requisitos establecidos” [letra a)] y “[l]a superación por los partidos políticos, en un diez por ciento o más, de los límites de gastos electorales previstos” [letra b)]; conductas para las que el art. 17 </w:t>
      </w:r>
      <w:r w:rsidRPr="009D7677">
        <w:rPr>
          <w:i/>
        </w:rPr>
        <w:t>bis</w:t>
      </w:r>
      <w:r>
        <w:t>.1 de la Ley prevé las siguientes sanciones:</w:t>
      </w:r>
    </w:p>
    <w:p w14:paraId="37595C68" w14:textId="77777777" w:rsidR="009D7677" w:rsidRDefault="009D7677" w:rsidP="009D7677">
      <w:pPr>
        <w:pStyle w:val="TextoNormal"/>
      </w:pPr>
    </w:p>
    <w:p w14:paraId="62558F85" w14:textId="77777777" w:rsidR="009D7677" w:rsidRDefault="009D7677" w:rsidP="009D7677">
      <w:pPr>
        <w:pStyle w:val="TextoNormal"/>
      </w:pPr>
      <w:r>
        <w:t>“a) Por las infracciones previstas en el artículo 17 apartado dos a) una sanción cuyo importe irá del doble al quíntuplo de la cantidad que exceda del límite legalmente permitido, de la cantidad asumida por el tercero o de la cantidad condonada, según proceda.</w:t>
      </w:r>
    </w:p>
    <w:p w14:paraId="647A1E8E" w14:textId="77777777" w:rsidR="009D7677" w:rsidRDefault="009D7677" w:rsidP="009D7677">
      <w:pPr>
        <w:pStyle w:val="TextoNormal"/>
      </w:pPr>
    </w:p>
    <w:p w14:paraId="00FD6734" w14:textId="77777777" w:rsidR="009D7677" w:rsidRDefault="009D7677" w:rsidP="009D7677">
      <w:pPr>
        <w:pStyle w:val="TextoNormal"/>
      </w:pPr>
      <w:r>
        <w:t>b) Por las infracciones previstas en el artículo 17 apartado dos b), una multa pecuniaria proporcional del duplo al quíntuplo del exceso de gasto producido”.</w:t>
      </w:r>
    </w:p>
    <w:p w14:paraId="30FC8FED" w14:textId="77777777" w:rsidR="009D7677" w:rsidRDefault="009D7677" w:rsidP="009D7677">
      <w:pPr>
        <w:pStyle w:val="TextoNormal"/>
      </w:pPr>
    </w:p>
    <w:p w14:paraId="4A07F3C3" w14:textId="77777777" w:rsidR="009D7677" w:rsidRDefault="009D7677" w:rsidP="009D7677">
      <w:pPr>
        <w:pStyle w:val="TextoNormal"/>
      </w:pPr>
      <w:r>
        <w:t>El párrafo cuestionado añade a lo anterior que “[e]n ningún caso las sanciones previstas en los apartados a) y b) serán inferiores a cincuenta mil euros”.</w:t>
      </w:r>
    </w:p>
    <w:p w14:paraId="06441CEB" w14:textId="77777777" w:rsidR="009D7677" w:rsidRDefault="009D7677" w:rsidP="009D7677">
      <w:pPr>
        <w:pStyle w:val="TextoNormal"/>
      </w:pPr>
    </w:p>
    <w:p w14:paraId="0E7DFA69" w14:textId="77777777" w:rsidR="009D7677" w:rsidRDefault="009D7677" w:rsidP="009D7677">
      <w:pPr>
        <w:pStyle w:val="TextoNormal"/>
      </w:pPr>
      <w:r>
        <w:t>b) Según se ha expuesto detalladamente en los antecedentes, el órgano promotor de la cuestión considera que el importe mínimo de sanción de 50 000 € vulnera el principio de legalidad sancionadora del art. 25.1 CE, en conexión con el principio de proporcionalidad.</w:t>
      </w:r>
    </w:p>
    <w:p w14:paraId="174E4CD7" w14:textId="77777777" w:rsidR="009D7677" w:rsidRDefault="009D7677" w:rsidP="009D7677">
      <w:pPr>
        <w:pStyle w:val="TextoNormal"/>
      </w:pPr>
    </w:p>
    <w:p w14:paraId="77DD1EBA" w14:textId="77777777" w:rsidR="009D7677" w:rsidRDefault="009D7677" w:rsidP="009D7677">
      <w:pPr>
        <w:pStyle w:val="TextoNormal"/>
      </w:pPr>
      <w:r>
        <w:t xml:space="preserve">El fiscal general del Estado solicita la estimación de la cuestión, por apreciar en el importe mínimo cuestionado un desequilibrio patente y excesivo entre la sanción y la finalidad de la norma. No obstante, señala que el objeto de la cuestión debe ceñirse al inciso “y b)” del párrafo cuestionado, puesto que la sanción impuesta en el proceso </w:t>
      </w:r>
      <w:r w:rsidRPr="009D7677">
        <w:rPr>
          <w:i/>
        </w:rPr>
        <w:t>a quo</w:t>
      </w:r>
      <w:r>
        <w:t xml:space="preserve"> corresponde a dicha letra b) (por exceso de gastos electorales); no a la letra a) (aceptación de donaciones por encima de los límites establecidos).</w:t>
      </w:r>
    </w:p>
    <w:p w14:paraId="4628428A" w14:textId="77777777" w:rsidR="009D7677" w:rsidRDefault="009D7677" w:rsidP="009D7677">
      <w:pPr>
        <w:pStyle w:val="TextoNormal"/>
      </w:pPr>
    </w:p>
    <w:p w14:paraId="238477A4" w14:textId="77777777" w:rsidR="009D7677" w:rsidRDefault="009D7677" w:rsidP="009D7677">
      <w:pPr>
        <w:pStyle w:val="TextoNormal"/>
      </w:pPr>
      <w:r>
        <w:t>El abogado del Estado apoya indirectamente la declaración de inconstitucionalidad. Al contestar el recurso contencioso-administrativo ante la Sala de lo Contencioso-Administrativo del Tribunal Supremo se mostró conforme con el planteamiento de la cuestión, a la vista de lo interesado por el Tribunal de Cuentas que, por su experiencia en el control de los gastos electorales, viene apreciando en sus informes y mociones la falta de proporcionalidad de los mínimos establecidos en la Ley Orgánica 8/2007 [antecedente 2 c)]. Una vez planteada la cuestión de inconstitucionalidad, el abogado del Estado ha solicitado que se dicte una “resolución conforme a Derecho” (antecedente 6).</w:t>
      </w:r>
    </w:p>
    <w:p w14:paraId="7C305484" w14:textId="77777777" w:rsidR="009D7677" w:rsidRDefault="009D7677" w:rsidP="009D7677">
      <w:pPr>
        <w:pStyle w:val="TextoNormal"/>
      </w:pPr>
    </w:p>
    <w:p w14:paraId="357FAA81" w14:textId="77777777" w:rsidR="009D7677" w:rsidRDefault="009D7677" w:rsidP="009D7677">
      <w:pPr>
        <w:pStyle w:val="TextoNormal"/>
      </w:pPr>
      <w:r>
        <w:t xml:space="preserve">La formación política Units per Carcaixent, recurrente en el proceso </w:t>
      </w:r>
      <w:r w:rsidRPr="009D7677">
        <w:rPr>
          <w:i/>
        </w:rPr>
        <w:t>a quo</w:t>
      </w:r>
      <w:r>
        <w:t>, no ha comparecido en este proceso constitucional.</w:t>
      </w:r>
    </w:p>
    <w:p w14:paraId="54E3B5A1" w14:textId="77777777" w:rsidR="009D7677" w:rsidRDefault="009D7677" w:rsidP="009D7677">
      <w:pPr>
        <w:pStyle w:val="TextoNormal"/>
      </w:pPr>
    </w:p>
    <w:p w14:paraId="544B48E3" w14:textId="3529F5B7" w:rsidR="009D7677" w:rsidRDefault="009D7677" w:rsidP="009D7677">
      <w:pPr>
        <w:pStyle w:val="TextoNormal"/>
      </w:pPr>
      <w:r>
        <w:t xml:space="preserve">c) Tal y como indica el fiscal general del Estado, el objeto de la cuestión de inconstitucionalidad debe ser acotado. El párrafo cuestionado establece un importe mínimo de 50 000 € aplicable a las sanciones previstas en los apartados a) (para la “aceptación de donaciones o aportaciones que contravengan las limitaciones o requisitos establecidos”) y b) (para la “superación por los partidos políticos, en un diez por ciento o más, de los límites de gastos electorales”) del art. 17 </w:t>
      </w:r>
      <w:r w:rsidRPr="009D7677">
        <w:rPr>
          <w:i/>
        </w:rPr>
        <w:t>bis</w:t>
      </w:r>
      <w:r>
        <w:t xml:space="preserve">.1 de la Ley Orgánica 8/2007. La sanción controvertida en el proceso </w:t>
      </w:r>
      <w:r w:rsidRPr="009D7677">
        <w:rPr>
          <w:i/>
        </w:rPr>
        <w:t>a quo</w:t>
      </w:r>
      <w:r>
        <w:t xml:space="preserve"> se ha impuesto únicamente por haber incurrido en esta última conducta por lo que el objeto de la presente cuestión debe circunscribirse al mínimo previsto para ella —letra b)—, quedando excluida del objeto la letra a).</w:t>
      </w:r>
    </w:p>
    <w:p w14:paraId="7749D6F0" w14:textId="77777777" w:rsidR="009D7677" w:rsidRDefault="009D7677" w:rsidP="009D7677">
      <w:pPr>
        <w:pStyle w:val="TextoNormal"/>
      </w:pPr>
    </w:p>
    <w:p w14:paraId="2263FA96" w14:textId="77777777" w:rsidR="009D7677" w:rsidRDefault="009D7677" w:rsidP="009D7677">
      <w:pPr>
        <w:pStyle w:val="TextoNormal"/>
      </w:pPr>
      <w:r w:rsidRPr="009D7677">
        <w:rPr>
          <w:rStyle w:val="NumeroAFNegritaCaracter"/>
        </w:rPr>
        <w:t>2</w:t>
      </w:r>
      <w:r>
        <w:t xml:space="preserve">. </w:t>
      </w:r>
      <w:r w:rsidRPr="009D7677">
        <w:rPr>
          <w:i/>
        </w:rPr>
        <w:t>Pérdida de objeto de la cuestión de inconstitucionalidad</w:t>
      </w:r>
    </w:p>
    <w:p w14:paraId="06063B47" w14:textId="77777777" w:rsidR="009D7677" w:rsidRDefault="009D7677" w:rsidP="009D7677">
      <w:pPr>
        <w:pStyle w:val="TextoNormal"/>
      </w:pPr>
    </w:p>
    <w:p w14:paraId="28386C47" w14:textId="77777777" w:rsidR="009D7677" w:rsidRDefault="009D7677" w:rsidP="009D7677">
      <w:pPr>
        <w:pStyle w:val="TextoNormal"/>
      </w:pPr>
      <w:r>
        <w:t xml:space="preserve">La STC 69/2024, de 24 de abril, tras declarar inconstitucional y nulo el inciso “sin que en ningún caso pueda ser inferior a cinco mil euros” del art. 17 </w:t>
      </w:r>
      <w:r w:rsidRPr="009D7677">
        <w:rPr>
          <w:i/>
        </w:rPr>
        <w:t>bis</w:t>
      </w:r>
      <w:r>
        <w:t xml:space="preserve">.3 b) de la Ley Orgánica 8/2007, referido a la infracción por exceso de gastos electorales cuando es leve, ha extendido dicha declaración al resto de importes mínimos previstos para dicha acción cuando se califica de grave o muy grave. En concreto, ha declarado inconstitucional y nulo el inciso “y b)” del último párrafo del art. 17 </w:t>
      </w:r>
      <w:r w:rsidRPr="009D7677">
        <w:rPr>
          <w:i/>
        </w:rPr>
        <w:t>bis</w:t>
      </w:r>
      <w:r>
        <w:t>.1 de la Ley Orgánica 8/2007 que se cuestiona en el presente proceso, referido a las infracciones muy graves.</w:t>
      </w:r>
    </w:p>
    <w:p w14:paraId="3BE03495" w14:textId="77777777" w:rsidR="009D7677" w:rsidRDefault="009D7677" w:rsidP="009D7677">
      <w:pPr>
        <w:pStyle w:val="TextoNormal"/>
      </w:pPr>
    </w:p>
    <w:p w14:paraId="1716489D" w14:textId="291BF885" w:rsidR="009D7677" w:rsidRDefault="009D7677" w:rsidP="009D7677">
      <w:pPr>
        <w:pStyle w:val="TextoNormal"/>
      </w:pPr>
      <w:r>
        <w:t>Por consiguiente, al haber sido ya declarado inconstitucional y nulo el precepto cuestionado, conforme a la reiterada doctrina de este tribunal [entre otras, SSTC 60/2018, de 4 de junio, FJ 3; 153/2019, de 25 de noviembre, FJ único b); 138/2022, de 26 de octubre, FJ 2, y 3/2023, de 9 de febrero, FJ 2], la presente cuestión de inconstitucionalidad ha perdido su objeto.</w:t>
      </w:r>
    </w:p>
    <w:p w14:paraId="47D6316C" w14:textId="77777777" w:rsidR="009D7677" w:rsidRDefault="009D7677" w:rsidP="009D7677">
      <w:pPr>
        <w:pStyle w:val="TextoNormal"/>
      </w:pPr>
    </w:p>
    <w:p w14:paraId="71717AB5" w14:textId="77777777" w:rsidR="009D7677" w:rsidRDefault="009D7677" w:rsidP="009D7677">
      <w:pPr>
        <w:pStyle w:val="TextoNormalCentrado"/>
        <w:keepNext/>
      </w:pPr>
      <w:r>
        <w:t>FALLO</w:t>
      </w:r>
    </w:p>
    <w:p w14:paraId="5DAA18CC" w14:textId="61861F73" w:rsidR="009D7677" w:rsidRDefault="009D7677" w:rsidP="009D7677">
      <w:pPr>
        <w:pStyle w:val="TextoNormalCentrado"/>
        <w:keepNext/>
      </w:pPr>
    </w:p>
    <w:p w14:paraId="416A6C79" w14:textId="2AD041EA" w:rsidR="009D7677" w:rsidRDefault="009D7677" w:rsidP="009D7677">
      <w:pPr>
        <w:pStyle w:val="TextoNormal"/>
      </w:pPr>
      <w:r>
        <w:t>En atención a todo lo expuesto, el Tribunal Constitucional, por la autoridad que le confiere la Constitución de la Nación española, ha decidido declarar extinguida, por la pérdida sobrevenida de objeto, la presente cuestión de inconstitucionalidad.</w:t>
      </w:r>
    </w:p>
    <w:p w14:paraId="70D7CF48" w14:textId="77777777" w:rsidR="009D7677" w:rsidRDefault="009D7677" w:rsidP="009D7677">
      <w:pPr>
        <w:pStyle w:val="TextoNormal"/>
      </w:pPr>
    </w:p>
    <w:p w14:paraId="6AB1F9E8" w14:textId="77777777" w:rsidR="009D7677" w:rsidRDefault="009D7677" w:rsidP="009D7677">
      <w:pPr>
        <w:pStyle w:val="TextoNormal"/>
      </w:pPr>
      <w:r>
        <w:t>Publíquese esta sentencia en el “Boletín Oficial del Estado”.</w:t>
      </w:r>
    </w:p>
    <w:p w14:paraId="039C01CD" w14:textId="77777777" w:rsidR="009D7677" w:rsidRDefault="009D7677" w:rsidP="009D7677">
      <w:pPr>
        <w:pStyle w:val="TextoNormal"/>
      </w:pPr>
      <w:r>
        <w:t>Dada en Madrid, a siete de mayo de dos mil veinticuatro.</w:t>
      </w:r>
    </w:p>
    <w:p w14:paraId="2D49817E" w14:textId="77F99696" w:rsidR="009D7677" w:rsidRDefault="009D7677">
      <w:pPr>
        <w:spacing w:after="160" w:line="259" w:lineRule="auto"/>
        <w:rPr>
          <w:rFonts w:ascii="Times New Roman" w:eastAsia="Times New Roman" w:hAnsi="Times New Roman" w:cs="Times New Roman"/>
          <w:sz w:val="24"/>
          <w:szCs w:val="24"/>
          <w:lang w:eastAsia="es-ES"/>
        </w:rPr>
      </w:pPr>
      <w:r>
        <w:br w:type="page"/>
      </w:r>
    </w:p>
    <w:p w14:paraId="79A5490F" w14:textId="77777777" w:rsidR="009D7677" w:rsidRDefault="009D7677" w:rsidP="009D7677">
      <w:pPr>
        <w:pStyle w:val="TtuloResolucin"/>
      </w:pPr>
      <w:bookmarkStart w:id="77" w:name="SENTENCIA_2024_75"/>
      <w:r>
        <w:lastRenderedPageBreak/>
        <w:t>SENTENCIA 75/2024, de 8 de mayo de 2024</w:t>
      </w:r>
    </w:p>
    <w:bookmarkEnd w:id="77"/>
    <w:p w14:paraId="77079528" w14:textId="77777777" w:rsidR="009D7677" w:rsidRDefault="009D7677" w:rsidP="009D7677">
      <w:pPr>
        <w:pStyle w:val="TtuloResolucin"/>
      </w:pPr>
      <w:r>
        <w:t>Pleno</w:t>
      </w:r>
    </w:p>
    <w:p w14:paraId="1EA3A5D6" w14:textId="77777777" w:rsidR="009D7677" w:rsidRDefault="009D7677" w:rsidP="009D7677">
      <w:pPr>
        <w:pStyle w:val="TtuloBOE"/>
      </w:pPr>
      <w:r>
        <w:t>(BOE núm. 140, de 10 de junio de 2024)</w:t>
      </w:r>
    </w:p>
    <w:p w14:paraId="04D24AB7" w14:textId="77777777" w:rsidR="009D7677" w:rsidRDefault="009D7677" w:rsidP="009D7677">
      <w:pPr>
        <w:pStyle w:val="TextoNormalCentrado"/>
      </w:pPr>
      <w:r>
        <w:t>ECLI:ES:TC:2024:75</w:t>
      </w:r>
    </w:p>
    <w:p w14:paraId="1AC769CD" w14:textId="6F32A434" w:rsidR="009D7677" w:rsidRDefault="009D7677" w:rsidP="009D7677">
      <w:pPr>
        <w:pStyle w:val="TextoNormalCentrado"/>
      </w:pPr>
    </w:p>
    <w:p w14:paraId="48F76772" w14:textId="77777777" w:rsidR="009D7677" w:rsidRDefault="009D7677" w:rsidP="009D7677">
      <w:pPr>
        <w:pStyle w:val="SntesisDescriptiva"/>
      </w:pPr>
      <w:r>
        <w:t>Recurso de inconstitucionalidad 5041-2022. Interpuesto por más de cincuenta diputados del Grupo Parlamentario Vox en el Congreso respecto del artículo único de la Ley Orgánica 4/2022, de 12 de abril, por la que se modifica la Ley Orgánica 10/1995, de 23 de noviembre, del Código penal, para penalizar el acoso a las mujeres que acuden a clínicas para la interrupción voluntaria del embarazo.</w:t>
      </w:r>
    </w:p>
    <w:p w14:paraId="5BBE1520" w14:textId="1B73EA7C" w:rsidR="009D7677" w:rsidRDefault="009D7677" w:rsidP="009D7677">
      <w:pPr>
        <w:pStyle w:val="SntesisDescriptiva"/>
      </w:pPr>
    </w:p>
    <w:p w14:paraId="0CDB60B8" w14:textId="77777777" w:rsidR="009D7677" w:rsidRDefault="009D7677" w:rsidP="009D7677">
      <w:pPr>
        <w:pStyle w:val="SntesisAnaltica"/>
      </w:pPr>
      <w:r>
        <w:t>Principio de legalidad penal (taxatividad), libertades ideológicas y de expresión, derechos de igualdad, reunión y manifestación: penalización de la conducta consistente en la obstaculización del ejercicio del derecho a la interrupción voluntaria del embarazo, mediante actos molestos, ofensivos, intimidatorios o coactivos que no representa un sacrificio innecesario o desproporcionado de los derechos fundamentales concernidos. Votos particulares.</w:t>
      </w:r>
    </w:p>
    <w:p w14:paraId="5378CC87" w14:textId="4D6DEAF4" w:rsidR="009D7677" w:rsidRDefault="009D7677" w:rsidP="009D7677">
      <w:pPr>
        <w:pStyle w:val="SntesisAnaltica"/>
      </w:pPr>
    </w:p>
    <w:p w14:paraId="2C59472F" w14:textId="064CFB93" w:rsidR="009D7677" w:rsidRDefault="009D7677" w:rsidP="009D7677">
      <w:pPr>
        <w:pStyle w:val="Extracto"/>
      </w:pPr>
      <w:r>
        <w:t>1.</w:t>
      </w:r>
      <w:r>
        <w:tab/>
        <w:t>Nuestra jurisprudencia admite la compatibilidad entre el mandato de taxatividad y el empleo de conceptos jurídicos indeterminados o la utilización de un lenguaje relativamente vago y versátil, pues las normas son necesariamente abstractas y se remiten implícitamente a una realidad normativa subyacente y, dentro de ciertos límites (STC 111/1993), el propio legislador puede potenciar esa labilidad para facilitar la adaptación de la norma a la realidad (STC 129/2008), que en ocasiones presenta aspectos difíciles de prever (STC 146/2017 y 45/2022) [FJ 3].</w:t>
      </w:r>
    </w:p>
    <w:p w14:paraId="2867EE19" w14:textId="77777777" w:rsidR="009D7677" w:rsidRDefault="009D7677" w:rsidP="009D7677">
      <w:pPr>
        <w:pStyle w:val="Extracto"/>
      </w:pPr>
    </w:p>
    <w:p w14:paraId="691AD351" w14:textId="67DCC960" w:rsidR="009D7677" w:rsidRDefault="009D7677" w:rsidP="009D7677">
      <w:pPr>
        <w:pStyle w:val="Extracto"/>
      </w:pPr>
      <w:r>
        <w:t>2.</w:t>
      </w:r>
      <w:r>
        <w:tab/>
        <w:t>En un precepto penal, no cabe apreciar una eventual afectación de los derechos a las libertades ideológica y religiosa si, en los términos generales en los que está delimitada la conducta típica, no se constata su conexión con la persecución de ideas o posiciones ideológicas ni mucho menos de actos de culto o manifestaciones públicas de sentimientos religiosos; si lo que se sanciona son unas concretas conductas de acoso atentatorias a la libertad de terceros para el ejercicio de sus derechos y no la mera posición personal o su expresión fundamentada en razones ideológicas o religiosas sobre la interrupción voluntaria del embarazo [FJ 5].</w:t>
      </w:r>
    </w:p>
    <w:p w14:paraId="047FC677" w14:textId="77777777" w:rsidR="009D7677" w:rsidRDefault="009D7677" w:rsidP="009D7677">
      <w:pPr>
        <w:pStyle w:val="Extracto"/>
      </w:pPr>
    </w:p>
    <w:p w14:paraId="13CA9C9F" w14:textId="66550073" w:rsidR="009D7677" w:rsidRDefault="009D7677" w:rsidP="009D7677">
      <w:pPr>
        <w:pStyle w:val="Extracto"/>
      </w:pPr>
      <w:r>
        <w:t>3.</w:t>
      </w:r>
      <w:r>
        <w:tab/>
        <w:t>El delito de acoso para obstaculizar el ejercicio del derecho a la interrupción voluntaria del embarazo pretende la protección de un interés con cobertura constitucional suficiente, como es la garantía de la libertad de las mujeres para interrumpir de forma voluntaria su embarazo [FJ 5].</w:t>
      </w:r>
    </w:p>
    <w:p w14:paraId="0BA71E1E" w14:textId="77777777" w:rsidR="009D7677" w:rsidRDefault="009D7677" w:rsidP="009D7677">
      <w:pPr>
        <w:pStyle w:val="Extracto"/>
      </w:pPr>
    </w:p>
    <w:p w14:paraId="684DDF18" w14:textId="39B95373" w:rsidR="009D7677" w:rsidRDefault="009D7677" w:rsidP="009D7677">
      <w:pPr>
        <w:pStyle w:val="Extracto"/>
      </w:pPr>
      <w:r>
        <w:t>4.</w:t>
      </w:r>
      <w:r>
        <w:tab/>
        <w:t xml:space="preserve">Respetando un ámbito mínimo que garantice a la mujer un razonable ejercicio de sus derechos, corresponde al legislador determinar el modo en que han de limitarse los derechos constitucionales de la mujer con el fin de tutelar la vida prenatal, como bien constitucionalmente protegido, siempre teniendo en cuenta que todo acto o resolución que limite derechos fundamentales ha de asegurar que las medidas limitadoras sean necesarias para conseguir el fin perseguido (SSTC 69/1982 y 13/1985); y ha de atender a la proporcionalidad entre el sacrificio del </w:t>
      </w:r>
      <w:r>
        <w:lastRenderedPageBreak/>
        <w:t>derecho y la situación en la que se halla aquel a quien se le impone (STC 44/2023) [FJ 5].</w:t>
      </w:r>
    </w:p>
    <w:p w14:paraId="7CB479AE" w14:textId="77777777" w:rsidR="009D7677" w:rsidRDefault="009D7677" w:rsidP="009D7677">
      <w:pPr>
        <w:pStyle w:val="Extracto"/>
      </w:pPr>
    </w:p>
    <w:p w14:paraId="33E373C6" w14:textId="3FDF92DA" w:rsidR="009D7677" w:rsidRDefault="009D7677" w:rsidP="009D7677">
      <w:pPr>
        <w:pStyle w:val="Extracto"/>
      </w:pPr>
      <w:r>
        <w:t>5.</w:t>
      </w:r>
      <w:r>
        <w:tab/>
        <w:t>No puede estimarse constitucionalmente ilegítima la previsión normativa que contiene una adecuación a la reacción penal por el juego de eximentes o de circunstancias modificativas de la responsabilidad penal, en relación con la conducta típica y en relación con la pena prevista; y que, además, no produce, por su severidad, un sacrificio innecesario o desproporcionado del derecho a la libertad de expresión o del derecho de manifestación [FJ 5].</w:t>
      </w:r>
    </w:p>
    <w:p w14:paraId="5DBD940E" w14:textId="77777777" w:rsidR="009D7677" w:rsidRDefault="009D7677" w:rsidP="009D7677">
      <w:pPr>
        <w:pStyle w:val="Extracto"/>
      </w:pPr>
    </w:p>
    <w:p w14:paraId="25B85BFA" w14:textId="0DC39B8B" w:rsidR="009D7677" w:rsidRDefault="009D7677" w:rsidP="009D7677">
      <w:pPr>
        <w:pStyle w:val="Extracto"/>
      </w:pPr>
      <w:r>
        <w:t>6.</w:t>
      </w:r>
      <w:r>
        <w:tab/>
        <w:t>No siendo el derecho a la intimidad personal un derecho absoluto, puede ceder ante otros derechos y bienes constitucionalmente relevantes, siempre que la limitación que haya de experimentar esté fundada en una previsión legal que tenga justificación constitucional, se revele necesaria para lograr un fin legítimo, sea proporcionada para alcanzarlo y, además, sea respetuosa con el contenido esencial del derecho (STC 92/2023) [FJ 6].</w:t>
      </w:r>
    </w:p>
    <w:p w14:paraId="4BF27133" w14:textId="77777777" w:rsidR="009D7677" w:rsidRDefault="009D7677" w:rsidP="009D7677">
      <w:pPr>
        <w:pStyle w:val="Extracto"/>
      </w:pPr>
    </w:p>
    <w:p w14:paraId="6AFF9BB2" w14:textId="37CF55F3" w:rsidR="009D7677" w:rsidRDefault="009D7677" w:rsidP="009D7677">
      <w:pPr>
        <w:pStyle w:val="Extracto"/>
      </w:pPr>
      <w:r>
        <w:t>7.</w:t>
      </w:r>
      <w:r>
        <w:tab/>
        <w:t>En relación con la cuestión de la interacción entre el derecho a la intimidad y la investigación penal, entre los fines constitucionalmente legítimos que pueden permitir la injerencia en el derecho a la intimidad, se identifica el interés público propio de la investigación de un delito, y, más en concreto, la determinación de hechos relevantes para el proceso penal (SSTC 25/2005 o 92/2023) [FJ 6].</w:t>
      </w:r>
    </w:p>
    <w:p w14:paraId="1A26C6BF" w14:textId="77777777" w:rsidR="009D7677" w:rsidRDefault="009D7677" w:rsidP="009D7677">
      <w:pPr>
        <w:pStyle w:val="Extracto"/>
      </w:pPr>
    </w:p>
    <w:p w14:paraId="7F9FDD12" w14:textId="77777777" w:rsidR="009D7677" w:rsidRDefault="009D7677" w:rsidP="009D7677">
      <w:pPr>
        <w:pStyle w:val="Extracto"/>
      </w:pPr>
    </w:p>
    <w:p w14:paraId="606AD4A8" w14:textId="77777777" w:rsidR="009D7677" w:rsidRDefault="009D7677" w:rsidP="009D7677">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63B6E598" w14:textId="6FEFDFD5" w:rsidR="009D7677" w:rsidRDefault="009D7677" w:rsidP="009D7677">
      <w:pPr>
        <w:pStyle w:val="TextoNormal"/>
      </w:pPr>
    </w:p>
    <w:p w14:paraId="15E0F244" w14:textId="77777777" w:rsidR="009D7677" w:rsidRDefault="009D7677" w:rsidP="009D7677">
      <w:pPr>
        <w:pStyle w:val="TextoNormalCentrado"/>
        <w:keepNext/>
      </w:pPr>
      <w:r>
        <w:t>EN NOMBRE DEL REY</w:t>
      </w:r>
    </w:p>
    <w:p w14:paraId="00A843E0" w14:textId="5240AAB0" w:rsidR="009D7677" w:rsidRDefault="009D7677" w:rsidP="009D7677">
      <w:pPr>
        <w:pStyle w:val="TextoNormalCentrado"/>
        <w:keepNext/>
      </w:pPr>
    </w:p>
    <w:p w14:paraId="269E6B39" w14:textId="77777777" w:rsidR="009D7677" w:rsidRDefault="009D7677" w:rsidP="009D7677">
      <w:pPr>
        <w:pStyle w:val="TextoNormalCentrado"/>
        <w:keepNext/>
      </w:pPr>
    </w:p>
    <w:p w14:paraId="34D6A065" w14:textId="77777777" w:rsidR="009D7677" w:rsidRDefault="009D7677" w:rsidP="009D7677">
      <w:pPr>
        <w:pStyle w:val="TextoNormal"/>
      </w:pPr>
      <w:r>
        <w:t>la siguiente</w:t>
      </w:r>
    </w:p>
    <w:p w14:paraId="36DF47F4" w14:textId="2ED82380" w:rsidR="009D7677" w:rsidRDefault="009D7677" w:rsidP="009D7677">
      <w:pPr>
        <w:pStyle w:val="TextoNormal"/>
      </w:pPr>
    </w:p>
    <w:p w14:paraId="6A41D1D7" w14:textId="77777777" w:rsidR="009D7677" w:rsidRDefault="009D7677" w:rsidP="009D7677">
      <w:pPr>
        <w:pStyle w:val="TextoNormalCentrado"/>
        <w:keepNext/>
      </w:pPr>
      <w:r>
        <w:t>SENTENCIA</w:t>
      </w:r>
    </w:p>
    <w:p w14:paraId="37871268" w14:textId="53D9EC0F" w:rsidR="009D7677" w:rsidRDefault="009D7677" w:rsidP="009D7677">
      <w:pPr>
        <w:pStyle w:val="TextoNormalCentrado"/>
        <w:keepNext/>
      </w:pPr>
    </w:p>
    <w:p w14:paraId="51D7502B" w14:textId="77777777" w:rsidR="009D7677" w:rsidRDefault="009D7677" w:rsidP="009D7677">
      <w:pPr>
        <w:pStyle w:val="TextoNormal"/>
      </w:pPr>
      <w:r>
        <w:t>En el recurso de inconstitucionalidad núm. 5041-2022, interpuesto por cincuenta y un diputados y diputadas del Grupo Parlamentario Vox en el Congreso de los Diputados, contra el art. único de la Ley Orgánica 4/2022, de 12 de abril, por la que se modifica la Ley Orgánica 10/1995, de 23 de noviembre, del Código penal, para penalizar el acoso a las mujeres que acuden a clínicas para la interrupción voluntaria del embarazo. Se han personado el Senado y el Congreso de los Diputados a los efectos del art. 84 de la Ley Orgánica del Tribunal Constitucional (LOTC). Ha presentado alegaciones el abogado del Estado. Ha sido ponente la magistrada doña María Luisa Balaguer Callejón.</w:t>
      </w:r>
    </w:p>
    <w:p w14:paraId="6A406302" w14:textId="6AF84761" w:rsidR="009D7677" w:rsidRDefault="009D7677" w:rsidP="009D7677">
      <w:pPr>
        <w:pStyle w:val="TextoNormal"/>
      </w:pPr>
    </w:p>
    <w:p w14:paraId="3258D45E" w14:textId="77777777" w:rsidR="009D7677" w:rsidRDefault="009D7677" w:rsidP="009D7677">
      <w:pPr>
        <w:pStyle w:val="TextoNormalNegritaCentrado"/>
        <w:keepNext/>
      </w:pPr>
      <w:r>
        <w:lastRenderedPageBreak/>
        <w:t>I. Antecedentes</w:t>
      </w:r>
    </w:p>
    <w:p w14:paraId="7F826252" w14:textId="4802E6B0" w:rsidR="009D7677" w:rsidRDefault="009D7677" w:rsidP="009D7677">
      <w:pPr>
        <w:pStyle w:val="TextoNormalNegritaCentrado"/>
        <w:keepNext/>
      </w:pPr>
    </w:p>
    <w:p w14:paraId="0A98FE7C" w14:textId="77777777" w:rsidR="009D7677" w:rsidRDefault="009D7677" w:rsidP="009D7677">
      <w:pPr>
        <w:pStyle w:val="TextoNormal"/>
      </w:pPr>
      <w:r w:rsidRPr="009D7677">
        <w:rPr>
          <w:rStyle w:val="NumeroAFNegritaCaracter"/>
        </w:rPr>
        <w:t>1</w:t>
      </w:r>
      <w:r>
        <w:t>. Mediante escrito registrado en este tribunal el 11 de julio de 2022, don Antonio Ortega Fuentes, procurador de los tribunales, actuando como comisionado en nombre y representación de cincuenta y un diputados y diputadas del Grupo Parlamentario Vox en el Congreso de los Diputados, promueve recurso de inconstitucionalidad contra el art. único de la Ley Orgánica 4/2022, de 12 de abril, por la que se modifica la Ley Orgánica 10/1995, de 23 de noviembre, del Código penal, para penalizar el acoso a las mujeres que acuden a clínicas para la interrupción voluntaria del embarazo (“Boletín Oficial del Estado” núm. 88, de 13 de abril de 2022).</w:t>
      </w:r>
    </w:p>
    <w:p w14:paraId="64D5D9B1" w14:textId="77777777" w:rsidR="009D7677" w:rsidRDefault="009D7677" w:rsidP="009D7677">
      <w:pPr>
        <w:pStyle w:val="TextoNormal"/>
      </w:pPr>
    </w:p>
    <w:p w14:paraId="7D590AFC" w14:textId="77777777" w:rsidR="009D7677" w:rsidRDefault="009D7677" w:rsidP="009D7677">
      <w:pPr>
        <w:pStyle w:val="TextoNormal"/>
      </w:pPr>
      <w:r>
        <w:t xml:space="preserve">La disposición impugnada añade el art. 172 </w:t>
      </w:r>
      <w:r w:rsidRPr="009D7677">
        <w:rPr>
          <w:i/>
        </w:rPr>
        <w:t>quater</w:t>
      </w:r>
      <w:r>
        <w:t xml:space="preserve"> a la Ley Orgánica 10/1995, de 23 de noviembre, del Código penal, que tiene la siguiente redacción:</w:t>
      </w:r>
    </w:p>
    <w:p w14:paraId="2113FCE1" w14:textId="77777777" w:rsidR="009D7677" w:rsidRDefault="009D7677" w:rsidP="009D7677">
      <w:pPr>
        <w:pStyle w:val="TextoNormal"/>
      </w:pPr>
    </w:p>
    <w:p w14:paraId="4A432BEC" w14:textId="77777777" w:rsidR="009D7677" w:rsidRDefault="009D7677" w:rsidP="009D7677">
      <w:pPr>
        <w:pStyle w:val="TextoNormal"/>
      </w:pPr>
      <w:r>
        <w:t>“1. El que para obstaculizar el ejercicio del derecho a la interrupción voluntaria del embarazo acosare a una mujer mediante actos molestos, ofensivos, intimidatorios o coactivos que menoscaben su libertad, será castigado con la pena de prisión de tres meses a un año o de trabajos en beneficio de la comunidad de treinta y uno a ochenta días.</w:t>
      </w:r>
    </w:p>
    <w:p w14:paraId="1D0AA590" w14:textId="77777777" w:rsidR="009D7677" w:rsidRDefault="009D7677" w:rsidP="009D7677">
      <w:pPr>
        <w:pStyle w:val="TextoNormal"/>
      </w:pPr>
    </w:p>
    <w:p w14:paraId="24526862" w14:textId="77777777" w:rsidR="009D7677" w:rsidRDefault="009D7677" w:rsidP="009D7677">
      <w:pPr>
        <w:pStyle w:val="TextoNormal"/>
      </w:pPr>
      <w:r>
        <w:t>2. Las mismas penas se impondrán a quien, en la forma descrita en el apartado anterior, acosare a los trabajadores del ámbito sanitario en su ejercicio profesional o función pública y al personal facultativo o directivo de los centros habilitados para interrumpir el embarazo con el objetivo de obstaculizar el ejercicio de su profesión o cargo.</w:t>
      </w:r>
    </w:p>
    <w:p w14:paraId="7CC25B4C" w14:textId="77777777" w:rsidR="009D7677" w:rsidRDefault="009D7677" w:rsidP="009D7677">
      <w:pPr>
        <w:pStyle w:val="TextoNormal"/>
      </w:pPr>
    </w:p>
    <w:p w14:paraId="716DED34" w14:textId="77777777" w:rsidR="009D7677" w:rsidRDefault="009D7677" w:rsidP="009D7677">
      <w:pPr>
        <w:pStyle w:val="TextoNormal"/>
      </w:pPr>
      <w:r>
        <w:t>3. Atendidas la gravedad, las circunstancias personales del autor y las concurrentes en la realización del hecho, el tribunal podrá imponer, además, la prohibición de acudir a determinados lugares por tiempo de seis meses a tres años.</w:t>
      </w:r>
    </w:p>
    <w:p w14:paraId="123BFC24" w14:textId="77777777" w:rsidR="009D7677" w:rsidRDefault="009D7677" w:rsidP="009D7677">
      <w:pPr>
        <w:pStyle w:val="TextoNormal"/>
      </w:pPr>
    </w:p>
    <w:p w14:paraId="1670A324" w14:textId="77777777" w:rsidR="009D7677" w:rsidRDefault="009D7677" w:rsidP="009D7677">
      <w:pPr>
        <w:pStyle w:val="TextoNormal"/>
      </w:pPr>
      <w:r>
        <w:t>4. Las penas previstas en este artículo se impondrán sin perjuicio de las que pudieran corresponder a los delitos en que se hubieran concretado los actos de acoso.</w:t>
      </w:r>
    </w:p>
    <w:p w14:paraId="03599448" w14:textId="77777777" w:rsidR="009D7677" w:rsidRDefault="009D7677" w:rsidP="009D7677">
      <w:pPr>
        <w:pStyle w:val="TextoNormal"/>
      </w:pPr>
    </w:p>
    <w:p w14:paraId="511DCF27" w14:textId="1E9A3426" w:rsidR="009D7677" w:rsidRDefault="009D7677" w:rsidP="009D7677">
      <w:pPr>
        <w:pStyle w:val="TextoNormal"/>
      </w:pPr>
      <w:r>
        <w:t>5. En la persecución de los hechos descritos en este artículo no será necesaria la denuncia de la persona agraviada ni de su representación legal”.</w:t>
      </w:r>
    </w:p>
    <w:p w14:paraId="57C23AC0" w14:textId="77777777" w:rsidR="009D7677" w:rsidRDefault="009D7677" w:rsidP="009D7677">
      <w:pPr>
        <w:pStyle w:val="TextoNormal"/>
      </w:pPr>
    </w:p>
    <w:p w14:paraId="24C9F544" w14:textId="77777777" w:rsidR="009D7677" w:rsidRDefault="009D7677" w:rsidP="009D7677">
      <w:pPr>
        <w:pStyle w:val="TextoNormal"/>
      </w:pPr>
      <w:r w:rsidRPr="009D7677">
        <w:rPr>
          <w:rStyle w:val="NumeroAFNegritaCaracter"/>
        </w:rPr>
        <w:t>2</w:t>
      </w:r>
      <w:r>
        <w:t>. Las alegaciones que sustentan las dudas de constitucionalidad son, en síntesis, las siguientes:</w:t>
      </w:r>
    </w:p>
    <w:p w14:paraId="226F27B3" w14:textId="77777777" w:rsidR="009D7677" w:rsidRDefault="009D7677" w:rsidP="009D7677">
      <w:pPr>
        <w:pStyle w:val="TextoNormal"/>
      </w:pPr>
    </w:p>
    <w:p w14:paraId="0D0FE99D" w14:textId="77777777" w:rsidR="009D7677" w:rsidRDefault="009D7677" w:rsidP="009D7677">
      <w:pPr>
        <w:pStyle w:val="TextoNormal"/>
      </w:pPr>
      <w:r>
        <w:t xml:space="preserve">A) La norma impugnada vulnera el derecho a la legalidad penal [arts. 25.1 CE y 7 del Convenio Europeo de Derechos Humanos (CEDH)] por falta de taxatividad del tipo previsto en el nuevo art. 172 </w:t>
      </w:r>
      <w:r w:rsidRPr="009D7677">
        <w:rPr>
          <w:i/>
        </w:rPr>
        <w:t>quater</w:t>
      </w:r>
      <w:r>
        <w:t xml:space="preserve"> del Código penal (CP). Acudiendo a la cita del fundamento jurídico 12.1.3 de la STC 46/2022, de 24 de marzo, y del fundamento jurídico 2 de la STC 14/2021, de 28 de enero, la demanda recuerda la jurisprudencia constitucional en relación con el art. 25.1 CE, invocando en particular el principio de legalidad penal en la vertiente de la obligación de taxatividad de la norma penal. La síntesis de la doctrina expuesta, según la demanda, supone que el derecho a la legalidad penal comprende, junto a la garantía formal materializada en el rango exigible a la norma sancionadora, una garantía de carácter material vinculada a la exigencia de certeza y concreción del precepto penal, </w:t>
      </w:r>
      <w:r>
        <w:lastRenderedPageBreak/>
        <w:t xml:space="preserve">que conecta con la seguridad jurídica, de modo que no basta con que la norma con rango legal delimite el tipo delictivo, sino que este ha de quedar plasmado en el texto de la disposición con tal grado de concreción y precisión en la descripción de los elementos básicos de la figura delictiva, que permita a los ciudadanos conocer de antemano el ámbito de lo proscrito y prever así las consecuencias de sus acciones. El escrito de los recurrentes invoca en el mismo sentido la jurisprudencia del Tribunal Europeo de Derechos Humanos, en particular, las sentencias de 21 de octubre de 2013, asunto </w:t>
      </w:r>
      <w:r w:rsidRPr="009D7677">
        <w:rPr>
          <w:i/>
        </w:rPr>
        <w:t>del Río Prada c. España</w:t>
      </w:r>
      <w:r>
        <w:t xml:space="preserve">, y de 11 de abril de 2013, asunto </w:t>
      </w:r>
      <w:r w:rsidRPr="009D7677">
        <w:rPr>
          <w:i/>
        </w:rPr>
        <w:t>Vyerentsov c. Ucrania</w:t>
      </w:r>
      <w:r>
        <w:t>.</w:t>
      </w:r>
    </w:p>
    <w:p w14:paraId="30CFC619" w14:textId="77777777" w:rsidR="009D7677" w:rsidRDefault="009D7677" w:rsidP="009D7677">
      <w:pPr>
        <w:pStyle w:val="TextoNormal"/>
      </w:pPr>
    </w:p>
    <w:p w14:paraId="3BB4C096" w14:textId="77777777" w:rsidR="009D7677" w:rsidRDefault="009D7677" w:rsidP="009D7677">
      <w:pPr>
        <w:pStyle w:val="TextoNormal"/>
      </w:pPr>
      <w:r>
        <w:t xml:space="preserve">La denuncia de falta de taxatividad en este caso se articula en torno a dos argumentos esenciales: a) la constatación de una incongruencia entre la finalidad declarada en el preámbulo de la Ley Orgánica 4/2022 y el tipo delictivo descrito en el nuevo art. 172 </w:t>
      </w:r>
      <w:r w:rsidRPr="009D7677">
        <w:rPr>
          <w:i/>
        </w:rPr>
        <w:t>quater</w:t>
      </w:r>
      <w:r>
        <w:t xml:space="preserve"> CP, que vulnera el principio de seguridad jurídica (art. 9.3 CE); y b) la falta de calidad del art. único de la Ley Orgánica 4/2022, por cuanto trata de tipificar conductas delictivas incorporando conceptos jurídicos indeterminados —actos molestos, ofensivos— que vulneran la exigencia de </w:t>
      </w:r>
      <w:r w:rsidRPr="009D7677">
        <w:rPr>
          <w:i/>
        </w:rPr>
        <w:t>lex certa</w:t>
      </w:r>
      <w:r>
        <w:t xml:space="preserve"> que contiene el art. 25.1 CE.</w:t>
      </w:r>
    </w:p>
    <w:p w14:paraId="49B85F8A" w14:textId="77777777" w:rsidR="009D7677" w:rsidRDefault="009D7677" w:rsidP="009D7677">
      <w:pPr>
        <w:pStyle w:val="TextoNormal"/>
      </w:pPr>
    </w:p>
    <w:p w14:paraId="252243F9" w14:textId="77777777" w:rsidR="009D7677" w:rsidRDefault="009D7677" w:rsidP="009D7677">
      <w:pPr>
        <w:pStyle w:val="TextoNormal"/>
      </w:pPr>
      <w:r>
        <w:t xml:space="preserve">a) Respecto del primer argumento, los recurrentes explican que la finalidad declarada de la Ley Orgánica impugnada es proteger los centros sanitarios donde se practica la interrupción voluntaria del embarazo del acoso que sufren por parte de grupos organizados, creando zonas seguras para garantizar el acceso de las mujeres a dichos establecimientos y asegurando la discreción del entorno del centro sanitario. Ahora bien, esa finalidad, a la que el legislador orgánico vincula el tipo delictivo en el preámbulo de la Ley Orgánica 4/2022, contrasta con la amplitud que muestra la norma que no restringe la conducta típica a las manifestaciones en las inmediaciones de las clínicas. Por tanto, se constata una falta de vinculación entre la finalidad de la reforma y el tipo formulado efectivamente, porque la redacción del art. 172 </w:t>
      </w:r>
      <w:r w:rsidRPr="009D7677">
        <w:rPr>
          <w:i/>
        </w:rPr>
        <w:t>quater</w:t>
      </w:r>
      <w:r>
        <w:t xml:space="preserve"> CP: (i) prescinde de elementos que se revelan esenciales para atender a la finalidad que justifica su incorporación a la norma penal, expresa y reiterada en el preámbulo de la Ley Orgánica 4/2022; (ii) resulta tan difusa e imprecisa que permite apreciar la existencia de indicios delictivos en cualquier manifestación que pudiera celebrarse en contra de la interrupción voluntaria del embarazo, prescindiendo del lugar en el que aquella se lleve a cabo; y (iii) es tan general e imprecisa que aboca a una restricción injusta e injustificada en el ejercicio de libertades y derechos constitucionalmente protegidos, por cuanto el mero hecho de manifestarse contra la interrupción voluntaria del embarazo portando fotografías, fetos de juguete o realizando proclamas, encajaría en el tipo descrito por el art. 172 </w:t>
      </w:r>
      <w:r w:rsidRPr="009D7677">
        <w:rPr>
          <w:i/>
        </w:rPr>
        <w:t>quater</w:t>
      </w:r>
      <w:r>
        <w:t xml:space="preserve"> CP aunque la manifestación se desarrolle a kilómetros de cualquier tipo de centro sanitario.</w:t>
      </w:r>
    </w:p>
    <w:p w14:paraId="5D6703BD" w14:textId="77777777" w:rsidR="009D7677" w:rsidRDefault="009D7677" w:rsidP="009D7677">
      <w:pPr>
        <w:pStyle w:val="TextoNormal"/>
      </w:pPr>
    </w:p>
    <w:p w14:paraId="561E13D1" w14:textId="77777777" w:rsidR="009D7677" w:rsidRDefault="009D7677" w:rsidP="009D7677">
      <w:pPr>
        <w:pStyle w:val="TextoNormal"/>
      </w:pPr>
      <w:r>
        <w:t xml:space="preserve">La demanda resalta que careciendo el preámbulo de valor normativo (con cita del fundamento jurídico 7 de la STC 31/2010, de 28 de junio), no puede considerarse como elemento esencial del tipo, el hecho de que las conductas que describe se desarrollen en el entorno o las cercanías de algún centro sanitario de los que facilitan la interrupción voluntaria del embarazo y, consecuentemente, el delito de acoso tipificado en el art. 172 </w:t>
      </w:r>
      <w:r w:rsidRPr="009D7677">
        <w:rPr>
          <w:i/>
        </w:rPr>
        <w:t>quater</w:t>
      </w:r>
      <w:r>
        <w:t xml:space="preserve"> CP puede cometerse en cualquier lugar de territorio nacional, encajando en el tipo cualquier manifestación contra la interrupción voluntaria del embarazo por el mero hecho de que una mujer embarazada, que se plantee una interrupción voluntaria del embarazo, se acerque o pase por las inmediaciones del lugar en que se desarrolle y se sienta ofendida, molesta o incómoda.</w:t>
      </w:r>
    </w:p>
    <w:p w14:paraId="06390685" w14:textId="77777777" w:rsidR="009D7677" w:rsidRDefault="009D7677" w:rsidP="009D7677">
      <w:pPr>
        <w:pStyle w:val="TextoNormal"/>
      </w:pPr>
    </w:p>
    <w:p w14:paraId="253227E3" w14:textId="77777777" w:rsidR="009D7677" w:rsidRDefault="009D7677" w:rsidP="009D7677">
      <w:pPr>
        <w:pStyle w:val="TextoNormal"/>
      </w:pPr>
      <w:r>
        <w:t xml:space="preserve">b) Por lo que hace al reproche de falta de calidad normativa del artículo impugnado, al incorporar al tipo conceptos jurídicos indeterminados, que concreta en los elementos actos molestos y ofensivos, los recurrentes alegan que se convierte en conducta penal cualquier manifestación, celebrada en cualquier lugar, a la que pueda acudir una persona y expresar en ella su opinión contraria a la práctica de la interrupción voluntaria del embarazo, cuando esa actuación, expresión o declaración provoque desagrado, incomodidad, molestia o simple contrariedad en los sujetos pasivos del delito. La inconstitucional apertura del tipo penal descrito en el art. 172 </w:t>
      </w:r>
      <w:r w:rsidRPr="009D7677">
        <w:rPr>
          <w:i/>
        </w:rPr>
        <w:t>quater</w:t>
      </w:r>
      <w:r>
        <w:t xml:space="preserve"> CP permitirá al aplicador de la norma entender que las manifestaciones que una persona haga en contra de la interrupción voluntaria del embarazo se incluyan dentro del ámbito de este nuevo delito, permitiendo que se decida discrecionalmente qué conductas o declaraciones se consideran o no delictivas, y resultando para el destinatario de la norma absolutamente imprevisible saber cuándo sus manifestaciones o acciones van a ser consideradas como un delito de acoso.</w:t>
      </w:r>
    </w:p>
    <w:p w14:paraId="4230BEAD" w14:textId="77777777" w:rsidR="009D7677" w:rsidRDefault="009D7677" w:rsidP="009D7677">
      <w:pPr>
        <w:pStyle w:val="TextoNormal"/>
      </w:pPr>
    </w:p>
    <w:p w14:paraId="3D810656" w14:textId="77777777" w:rsidR="009D7677" w:rsidRDefault="009D7677" w:rsidP="009D7677">
      <w:pPr>
        <w:pStyle w:val="TextoNormal"/>
      </w:pPr>
      <w:r>
        <w:t>Si bien uno de los elementos de la conducta tipificada en el artículo impugnado es que con los actos de acoso molestos u ofensivos se menoscabe la libertad de la mujer para ejercer su derecho a la interrupción voluntaria del embarazo o se dificulte el ejercicio profesional de los trabajadores sanitarios de los centros médicos, la Ley Orgánica 4/2022 no concreta qué puede entenderse por molestia u ofensa. Se incorpora en el tipo una circunstancia puramente subjetiva para calificar como delito determinados actos, sin que tal valoración se atribuya exclusivamente a los ofendidos sino también a todos aquellos que deseen formular denuncia.</w:t>
      </w:r>
    </w:p>
    <w:p w14:paraId="4CA345BF" w14:textId="77777777" w:rsidR="009D7677" w:rsidRDefault="009D7677" w:rsidP="009D7677">
      <w:pPr>
        <w:pStyle w:val="TextoNormal"/>
      </w:pPr>
    </w:p>
    <w:p w14:paraId="14F1674A" w14:textId="77777777" w:rsidR="009D7677" w:rsidRDefault="009D7677" w:rsidP="009D7677">
      <w:pPr>
        <w:pStyle w:val="TextoNormal"/>
      </w:pPr>
      <w:r>
        <w:t xml:space="preserve">En síntesis, la generalidad e indefinición del tipo delictivo del art. 172 </w:t>
      </w:r>
      <w:r w:rsidRPr="009D7677">
        <w:rPr>
          <w:i/>
        </w:rPr>
        <w:t>quater</w:t>
      </w:r>
      <w:r>
        <w:t xml:space="preserve"> CP permite que encaje en el mismo cualquier manifestación o proclama que se realizara en contra de la interrupción voluntaria del embarazo, en cualquier parte del territorio nacional, cuando se consideren molestas para una mujer embarazada con propósito de practicar una interrupción voluntaria del embarazo o para un trabajador sanitario que ejerza su profesión en centros que practiquen la interrupción voluntaria del embarazo. Por tanto, la redacción del precepto cuestionado describe un delito que no resulta reconocible con un razonable grado de claridad, impidiendo a los ciudadanos conocer de antemano qué conductas son susceptibles de ser castigadas bajo su ámbito, y quebrantando la garantía de taxatividad que forma parte del derecho reconocido en el art. 25.1 CE.</w:t>
      </w:r>
    </w:p>
    <w:p w14:paraId="7F1ED2C7" w14:textId="77777777" w:rsidR="009D7677" w:rsidRDefault="009D7677" w:rsidP="009D7677">
      <w:pPr>
        <w:pStyle w:val="TextoNormal"/>
      </w:pPr>
    </w:p>
    <w:p w14:paraId="4ED22655" w14:textId="77777777" w:rsidR="009D7677" w:rsidRDefault="009D7677" w:rsidP="009D7677">
      <w:pPr>
        <w:pStyle w:val="TextoNormal"/>
      </w:pPr>
      <w:r>
        <w:t>B) La norma impugnada vulnera la libertad ideológica (art. 16 CE) y de expresión (art. 20 CE), y los derechos de reunión y manifestación (art. 21 CE) y a la igualdad (art. 14 CE). La razón es que el precepto penal impugnado incluye en ese indeterminado ámbito de lo típico conductas que constituyen expresión del normal ejercicio de derechos fundamentales, como la libertad de expresión, los derechos de reunión o manifestación, la libertad ideológica, religiosa y de culto.</w:t>
      </w:r>
    </w:p>
    <w:p w14:paraId="211C4BA8" w14:textId="77777777" w:rsidR="009D7677" w:rsidRDefault="009D7677" w:rsidP="009D7677">
      <w:pPr>
        <w:pStyle w:val="TextoNormal"/>
      </w:pPr>
    </w:p>
    <w:p w14:paraId="3F9CD5F7" w14:textId="77777777" w:rsidR="009D7677" w:rsidRDefault="009D7677" w:rsidP="009D7677">
      <w:pPr>
        <w:pStyle w:val="TextoNormal"/>
      </w:pPr>
      <w:r>
        <w:t>Entienden los recurrentes que expresarse, reunirse o manifestarse exteriorizando la oposición de una persona o grupo a la interrupción voluntaria del embarazo no es un acto ilícito sino normal ejercicio de los derechos fundamentales referidos. Del mismo modo que la ley penal o administrativa no sanciona los actos expresivos de la opinión o las manifestaciones favorables a la interrupción voluntaria del embarazo (en las que también se suele recurrir a iconos o proclamas), aunque puedan realizarse de manera que pueda perci</w:t>
      </w:r>
      <w:r>
        <w:lastRenderedPageBreak/>
        <w:t>birse como ofensiva o hiriente desde una determinada ideología o sensibilidad, no cabe penalizar ese mismo ejercicio cuando la opinión es contraria a la interrupción voluntaria del embarazo. En tal caso, el legislador penal estaría sancionando creencias, ideologías u opiniones, aunque estas se expresen pacífica y respetuosamente, y esta conclusión resulta intolerable en un Estado que se califica como democrático y de Derecho.</w:t>
      </w:r>
    </w:p>
    <w:p w14:paraId="07335294" w14:textId="77777777" w:rsidR="009D7677" w:rsidRDefault="009D7677" w:rsidP="009D7677">
      <w:pPr>
        <w:pStyle w:val="TextoNormal"/>
      </w:pPr>
    </w:p>
    <w:p w14:paraId="04B50FD8" w14:textId="77777777" w:rsidR="009D7677" w:rsidRDefault="009D7677" w:rsidP="009D7677">
      <w:pPr>
        <w:pStyle w:val="TextoNormal"/>
      </w:pPr>
      <w:r>
        <w:t xml:space="preserve">Con cita de las SSTC 185/2003, de 27 de octubre, FJ 5; 172/2020, de 19 de noviembre, FJ 6; 184/2021, de 28 de octubre, FJ 12.2.4, y 46/2022, FFJJ 12.2.3.2 y 12.3.3; y de las SSTEDH, de 8 de diciembre de 1999, asunto </w:t>
      </w:r>
      <w:r w:rsidRPr="009D7677">
        <w:rPr>
          <w:i/>
        </w:rPr>
        <w:t>Freedom y Democracy Party (ÖZDEP) c. Turquía</w:t>
      </w:r>
      <w:r>
        <w:t xml:space="preserve">, § 37; de 12 de abril de 2007, asunto </w:t>
      </w:r>
      <w:r w:rsidRPr="009D7677">
        <w:rPr>
          <w:i/>
        </w:rPr>
        <w:t>Ivanova c. Bulgaria</w:t>
      </w:r>
      <w:r>
        <w:t xml:space="preserve">, § 79; de 15 de marzo de 2011, asunto </w:t>
      </w:r>
      <w:r w:rsidRPr="009D7677">
        <w:rPr>
          <w:i/>
        </w:rPr>
        <w:t>Otegi Mondragón c. España</w:t>
      </w:r>
      <w:r>
        <w:t xml:space="preserve">, § 56; de 11 de abril de 2013, asunto </w:t>
      </w:r>
      <w:r w:rsidRPr="009D7677">
        <w:rPr>
          <w:i/>
        </w:rPr>
        <w:t>Vyerentsov c. Ucrania</w:t>
      </w:r>
      <w:r>
        <w:t xml:space="preserve">, § 51, y de 13 de marzo de 2018, asunto </w:t>
      </w:r>
      <w:r w:rsidRPr="009D7677">
        <w:rPr>
          <w:i/>
        </w:rPr>
        <w:t>Stern Taulats y Roura Capellera c. España</w:t>
      </w:r>
      <w:r>
        <w:t>, § 30, la demanda recuerda el alcance de los derechos a la reunión libre, pacífica y sin armas, a la libertad de expresión, a la exigencia de proporcionalidad de las restricciones al ejercicio de estos derechos y el efecto desaliento en el ejercicio de los derechos que pueden tener esas restricciones. Aplicando esta jurisprudencia al caso, los recurrentes sostienen que la vaga redacción conferida al artículo impugnado supone permitir que puedan ser condenados quienes actúen en el ejercicio legítimo de sus derechos fundamentales, no respetándose el principio de proporcionalidad y generándose un indeseable efecto disuasorio o desalentador de su ejercicio, dado que el tipo descrito abarca cualquier actuación susceptible de originar molestia o desagrado en las personas afectadas. Las personas que quisieran participar en alguna manifestación contraria a la práctica de la interrupción voluntaria del embarazo podrían retraerse en el ejercicio normal de su derecho por temor a incurrir en los tipos impugnados, máxime cuando cualquier persona puede formular denuncia contra ellas si las considera molestas u ofensivas para las mujeres que quieran ejercer su derecho a la interrupción voluntaria del embarazo o para los trabajadores de los centros habilitados para su práctica (art. 17</w:t>
      </w:r>
      <w:r w:rsidRPr="009D7677">
        <w:rPr>
          <w:i/>
        </w:rPr>
        <w:t>2 quat</w:t>
      </w:r>
      <w:r>
        <w:t>er.5 CP).</w:t>
      </w:r>
    </w:p>
    <w:p w14:paraId="3AA285F7" w14:textId="77777777" w:rsidR="009D7677" w:rsidRDefault="009D7677" w:rsidP="009D7677">
      <w:pPr>
        <w:pStyle w:val="TextoNormal"/>
      </w:pPr>
    </w:p>
    <w:p w14:paraId="5F69AD1A" w14:textId="77777777" w:rsidR="009D7677" w:rsidRDefault="009D7677" w:rsidP="009D7677">
      <w:pPr>
        <w:pStyle w:val="TextoNormal"/>
      </w:pPr>
      <w:r>
        <w:t>El Tribunal Europeo de Derechos Humanos ha considerado “groseramente desproporcionada” la previsión de penas privativas de libertad para sancionar el ejercicio de la libertad de expresión (y las libertades conexas de reunión y manifestación). En este sentido, solo ha aceptado estas penas en relación con excepcionales circunstancias como el discurso de odio o la incitación a la violencia. En el caso del tipo penal impugnado, para la imposición de la pena privativa de libertad no se exige que la persona que ejerce sus derechos de reunión y expresión incurra en violencia o en discurso del odio, bastando que los actos de ejercicio de derechos sean subjetivamente percibidos como actos molestos, ofensivos, intimidatorios o coactivos. Entienden los recurrentes que cualquier reunión o manifestación podría calificarse así, pero solo devendrán gravemente punibles, con penas privativas de libertad, cuando pretendan expresarse contra la interrupción voluntaria del embarazo, siendo esta consecuencia insoportable porque el legislador penal estaría sancionando una concreta ideología. De hecho, si se produjera la misma conducta en favor de la interrupción voluntaria del embarazo resultaría irrelevante penalmente.</w:t>
      </w:r>
    </w:p>
    <w:p w14:paraId="72384C26" w14:textId="77777777" w:rsidR="009D7677" w:rsidRDefault="009D7677" w:rsidP="009D7677">
      <w:pPr>
        <w:pStyle w:val="TextoNormal"/>
      </w:pPr>
    </w:p>
    <w:p w14:paraId="739B0098" w14:textId="77777777" w:rsidR="009D7677" w:rsidRDefault="009D7677" w:rsidP="009D7677">
      <w:pPr>
        <w:pStyle w:val="TextoNormal"/>
      </w:pPr>
      <w:r>
        <w:t xml:space="preserve">La demanda llama a recordar que el derecho a la interrupción voluntaria del embarazo tiene simple rango legal, estando pendiente un pronunciamiento constitucional sobre su configuración legal como derecho, ya que, hasta la vigente ley, la jurisprudencia constitucional únicamente había aceptado la despenalización de la interrupción voluntaria del embarazo en ciertos supuestos, calificando la vida del </w:t>
      </w:r>
      <w:r w:rsidRPr="009D7677">
        <w:rPr>
          <w:i/>
        </w:rPr>
        <w:t>nasciturus</w:t>
      </w:r>
      <w:r>
        <w:t xml:space="preserve"> como bien jurídico digno de </w:t>
      </w:r>
      <w:r>
        <w:lastRenderedPageBreak/>
        <w:t xml:space="preserve">protección constitucional susceptible de ceder en atención a otros derechos de la madre. Por lo tanto, desde un punto de vista constitucional y en la defensa del adecuado equilibrio entre la protección de la vida del </w:t>
      </w:r>
      <w:r w:rsidRPr="009D7677">
        <w:rPr>
          <w:i/>
        </w:rPr>
        <w:t>nasciturus</w:t>
      </w:r>
      <w:r>
        <w:t xml:space="preserve"> y los derechos de la madre, resulta igualmente legítimo, según los recurrentes, ejercer las libertades fundamentales de expresión, reunión y manifestación para la defensa de la vida del </w:t>
      </w:r>
      <w:r w:rsidRPr="009D7677">
        <w:rPr>
          <w:i/>
        </w:rPr>
        <w:t>nasciturus</w:t>
      </w:r>
      <w:r>
        <w:t>. La norma impugnada supone la intervención del legislador penal para reprimir una determinada opción intelectual, volitiva, ideológica o religiosa en clara vulneración de los arts. 20, 21 y 16 CE, así como del art. 14 CE, que prohíbe cualquier discriminación basada en condiciones como la opinión.</w:t>
      </w:r>
    </w:p>
    <w:p w14:paraId="7A8D09A6" w14:textId="77777777" w:rsidR="009D7677" w:rsidRDefault="009D7677" w:rsidP="009D7677">
      <w:pPr>
        <w:pStyle w:val="TextoNormal"/>
      </w:pPr>
    </w:p>
    <w:p w14:paraId="05071AC5" w14:textId="77777777" w:rsidR="009D7677" w:rsidRDefault="009D7677" w:rsidP="009D7677">
      <w:pPr>
        <w:pStyle w:val="TextoNormal"/>
      </w:pPr>
      <w:r>
        <w:t>C) La norma impugnada vulnera la dimensión externa del derecho a la libertad religiosa (art. 16 CE), que también recogen los arts. 2.1 de la Ley Orgánica 7/1980, de 5 de julio, de libertad religiosa (LOLR), y 9 CEDH. Esa dimensión externa se traduce en la posibilidad de ejercicio, inmune a toda coacción de los poderes públicos, de aquellas actividades que constituyen manifestaciones o expresiones del fenómeno religioso, entre las que los recurrentes incluyen reunirse o manifestarse públicamente con fines religiosos y asociarse para desarrollar comunitariamente sus actividades religiosas [art. 2.1 LOLR, letra d)]. Expresa la demanda que el precepto impugnado ampara la condena de quienes expresen sus ideas religiosas contrarias a la interrupción voluntaria del embarazo o se desplacen o asistan a lugares o ceremonias de culto para orar con la finalidad de que se ponga término a dicha práctica. Dado que las manifestaciones de las libertades religiosa y de culto tienen su límite en el mantenimiento del orden público protegido por la ley, los recurrentes afirman que dentro de tal límite dichas libertades resultan inmunes a toda coacción (art. 2.1 LOLR y STC 154/2002, de 18 de julio, FJ 6), de modo que sancionar como delito actos de oración que resulten molestos o incómodos, en cuanto entrañan un rechazo a la práctica de la interrupción voluntaria del embarazo, conlleva una coacción a las personas que expresan tal sentimiento religioso por mucho que sea contrario a los partidarios de aquella práctica.</w:t>
      </w:r>
    </w:p>
    <w:p w14:paraId="54477AAD" w14:textId="77777777" w:rsidR="009D7677" w:rsidRDefault="009D7677" w:rsidP="009D7677">
      <w:pPr>
        <w:pStyle w:val="TextoNormal"/>
      </w:pPr>
    </w:p>
    <w:p w14:paraId="2517B522" w14:textId="77777777" w:rsidR="009D7677" w:rsidRDefault="009D7677" w:rsidP="009D7677">
      <w:pPr>
        <w:pStyle w:val="TextoNormal"/>
      </w:pPr>
      <w:r>
        <w:t xml:space="preserve">D) La norma impugnada, en particular, el apartado 5 del art. 172 </w:t>
      </w:r>
      <w:r w:rsidRPr="009D7677">
        <w:rPr>
          <w:i/>
        </w:rPr>
        <w:t>quater</w:t>
      </w:r>
      <w:r>
        <w:t xml:space="preserve"> CP, vulnera el derecho a la intimidad de las víctimas del delito (art. 18.1 CE), en la medida en que prevé una persecución de oficio del delito que prescinde de la voluntad de unas eventuales víctimas que podrían preferir conservar su anonimato.</w:t>
      </w:r>
    </w:p>
    <w:p w14:paraId="41BB3EE7" w14:textId="77777777" w:rsidR="009D7677" w:rsidRDefault="009D7677" w:rsidP="009D7677">
      <w:pPr>
        <w:pStyle w:val="TextoNormal"/>
      </w:pPr>
    </w:p>
    <w:p w14:paraId="38D4A38A" w14:textId="0C4B8009" w:rsidR="009D7677" w:rsidRDefault="009D7677" w:rsidP="009D7677">
      <w:pPr>
        <w:pStyle w:val="TextoNormal"/>
      </w:pPr>
      <w:r>
        <w:t xml:space="preserve">Sostiene la demanda que resulta prioritario mantener la confidencialidad de las víctimas del delito previsto en el art. 172 </w:t>
      </w:r>
      <w:r w:rsidRPr="009D7677">
        <w:rPr>
          <w:i/>
        </w:rPr>
        <w:t>quater</w:t>
      </w:r>
      <w:r>
        <w:t xml:space="preserve"> CP, en particular, cuando la división ideológica que separa a partidarios y detractores de la interrupción voluntaria del embarazo sugiere la voluntad de muchas personas de preservar su opinión. Sin embargo, el legislador no garantiza esa intimidad al prever la persecución de oficio en el apartado 5 del nuevo art. 172 </w:t>
      </w:r>
      <w:r w:rsidRPr="009D7677">
        <w:rPr>
          <w:i/>
        </w:rPr>
        <w:t>quater</w:t>
      </w:r>
      <w:r>
        <w:t xml:space="preserve"> CP, previsión que consiente que para iniciar un proceso penal dirigido a investigar los hechos que pudieran afectar a tales mujeres o trabajadores, se prescinda de su misma voluntad, cuando esta es contraria, en la mayoría de los casos al inicio de un largo proceso penal y a la inevitable exposición pública asociada a aquel. Si el delito es perseguible de oficio, los funcionarios del Ministerio Fiscal tendrán la obligación de ejercitar todas las acciones penales que consideren procedentes, haya o no acusador particular en las causas, menos aquellas que el Código penal reserva exclusivamente a la querella privada (art. 105 de la Ley de enjuiciamiento criminal), desapoderando a la posible víctima de su derecho a la intimidad, y privándola de la facultad de renunciar a un proceso en el que, necesariamente, se va a ver involucrada.</w:t>
      </w:r>
    </w:p>
    <w:p w14:paraId="69D62CED" w14:textId="77777777" w:rsidR="009D7677" w:rsidRDefault="009D7677" w:rsidP="009D7677">
      <w:pPr>
        <w:pStyle w:val="TextoNormal"/>
      </w:pPr>
    </w:p>
    <w:p w14:paraId="3A458389" w14:textId="578EB70D" w:rsidR="009D7677" w:rsidRDefault="009D7677" w:rsidP="009D7677">
      <w:pPr>
        <w:pStyle w:val="TextoNormal"/>
      </w:pPr>
      <w:r w:rsidRPr="009D7677">
        <w:rPr>
          <w:rStyle w:val="NumeroAFNegritaCaracter"/>
        </w:rPr>
        <w:lastRenderedPageBreak/>
        <w:t>3</w:t>
      </w:r>
      <w:r>
        <w:t>. Por providencia de 29 de septiembre de 2022 el Pleno, a propuesta de la Sección Primera, acordó admitir a trámite este recurso de inconstitucionalidad; dar traslado de la demanda y documentos presentados al Congreso de los Diputados y al Senado por conducto de sus presidentes, al objeto de que en el plazo de quince días puedan personarse en el proceso y formular las alegaciones que estimen convenientes (art. 34 LOTC); y publicar la incoación del recurso en el “Boletín Oficial del Estado”, lo que se materializará en el “BOE” núm. 240, de 6 de octubre de 2022.</w:t>
      </w:r>
    </w:p>
    <w:p w14:paraId="49435658" w14:textId="77777777" w:rsidR="009D7677" w:rsidRDefault="009D7677" w:rsidP="009D7677">
      <w:pPr>
        <w:pStyle w:val="TextoNormal"/>
      </w:pPr>
    </w:p>
    <w:p w14:paraId="3684AB2F" w14:textId="3912CC0B" w:rsidR="009D7677" w:rsidRDefault="009D7677" w:rsidP="009D7677">
      <w:pPr>
        <w:pStyle w:val="TextoNormal"/>
      </w:pPr>
      <w:r w:rsidRPr="009D7677">
        <w:rPr>
          <w:rStyle w:val="NumeroAFNegritaCaracter"/>
        </w:rPr>
        <w:t>4</w:t>
      </w:r>
      <w:r>
        <w:t>. La presidenta del Congreso de los Diputados, mediante escrito registrado el día 6 de octubre de 2022, comunicó al Tribunal Constitucional el acuerdo de la mesa, fechado el 4 de octubre de 2022, de personarse en el procedimiento a los efectos del art. 88.1 LOTC.</w:t>
      </w:r>
    </w:p>
    <w:p w14:paraId="7C0DA260" w14:textId="77777777" w:rsidR="009D7677" w:rsidRDefault="009D7677" w:rsidP="009D7677">
      <w:pPr>
        <w:pStyle w:val="TextoNormal"/>
      </w:pPr>
    </w:p>
    <w:p w14:paraId="581A4FFF" w14:textId="1D82346A" w:rsidR="009D7677" w:rsidRDefault="009D7677" w:rsidP="009D7677">
      <w:pPr>
        <w:pStyle w:val="TextoNormal"/>
      </w:pPr>
      <w:r w:rsidRPr="009D7677">
        <w:rPr>
          <w:rStyle w:val="NumeroAFNegritaCaracter"/>
        </w:rPr>
        <w:t>5</w:t>
      </w:r>
      <w:r>
        <w:t>. Por su parte, el Senado, mediante escrito registrado el día 13 de octubre 2022, comunicó a través de su presidente el acuerdo del mismo día de la mesa de la Cámara, teniéndose por personada en el procedimiento, y ofreciendo su colaboración a los efectos de lo previsto en el art. 88.1 LOTC.</w:t>
      </w:r>
    </w:p>
    <w:p w14:paraId="4BBE99CB" w14:textId="77777777" w:rsidR="009D7677" w:rsidRDefault="009D7677" w:rsidP="009D7677">
      <w:pPr>
        <w:pStyle w:val="TextoNormal"/>
      </w:pPr>
    </w:p>
    <w:p w14:paraId="3EB14746" w14:textId="7CF2246B" w:rsidR="009D7677" w:rsidRDefault="009D7677" w:rsidP="009D7677">
      <w:pPr>
        <w:pStyle w:val="TextoNormal"/>
      </w:pPr>
      <w:r w:rsidRPr="009D7677">
        <w:rPr>
          <w:rStyle w:val="NumeroAFNegritaCaracter"/>
        </w:rPr>
        <w:t>6</w:t>
      </w:r>
      <w:r>
        <w:t>. La Abogacía del Estado, mediante escrito registrado el 21 de octubre de 2022, se personó en nombre del Gobierno, solicitando prórroga de ocho días adicionales para formular alegaciones. Mediante diligencia de ordenación del secretario de justicia del Pleno, fechada el 21 de octubre de 2022, se tiene por personado al abogado del Estado, concediéndole la prórroga solicitada.</w:t>
      </w:r>
    </w:p>
    <w:p w14:paraId="7B1ABC4F" w14:textId="77777777" w:rsidR="009D7677" w:rsidRDefault="009D7677" w:rsidP="009D7677">
      <w:pPr>
        <w:pStyle w:val="TextoNormal"/>
      </w:pPr>
    </w:p>
    <w:p w14:paraId="48753A29" w14:textId="77777777" w:rsidR="009D7677" w:rsidRDefault="009D7677" w:rsidP="009D7677">
      <w:pPr>
        <w:pStyle w:val="TextoNormal"/>
      </w:pPr>
      <w:r w:rsidRPr="009D7677">
        <w:rPr>
          <w:rStyle w:val="NumeroAFNegritaCaracter"/>
        </w:rPr>
        <w:t>7</w:t>
      </w:r>
      <w:r>
        <w:t>. Mediante escrito registrado el día 3 de noviembre de 2022, la Abogacía del Estado presentó su escrito de alegaciones.</w:t>
      </w:r>
    </w:p>
    <w:p w14:paraId="7704C076" w14:textId="77777777" w:rsidR="009D7677" w:rsidRDefault="009D7677" w:rsidP="009D7677">
      <w:pPr>
        <w:pStyle w:val="TextoNormal"/>
      </w:pPr>
    </w:p>
    <w:p w14:paraId="4BD7B4EC" w14:textId="77777777" w:rsidR="009D7677" w:rsidRDefault="009D7677" w:rsidP="009D7677">
      <w:pPr>
        <w:pStyle w:val="TextoNormal"/>
      </w:pPr>
      <w:r>
        <w:t xml:space="preserve">En primer término se centra el objeto del recurso de inconstitucionalidad afirmando que la demanda no desarrolla carga argumental alguna en relación con los apartados 3 y 4 del art. 172 </w:t>
      </w:r>
      <w:r w:rsidRPr="009D7677">
        <w:rPr>
          <w:i/>
        </w:rPr>
        <w:t>quater</w:t>
      </w:r>
      <w:r>
        <w:t xml:space="preserve"> CP impugnado, por lo que, de acuerdo con la doctrina del Tribunal Constitucional sobre la exigencia de una mínima argumentación para el examen de preceptos impugnados a través de un recurso de inconstitucionalidad, debieran excluirse los apartados citados del objeto del procedimiento [con cita de las SSTC 82/2020, de 15 de julio, FJ 2 a), y 68/2021, de 18 de marzo, FJ 2 b)]. Por tanto, el recurso se centraría en los tipos delictivos recogidos en los apartados 1 y 2 del art. 172 </w:t>
      </w:r>
      <w:r w:rsidRPr="009D7677">
        <w:rPr>
          <w:i/>
        </w:rPr>
        <w:t>quater</w:t>
      </w:r>
      <w:r>
        <w:t xml:space="preserve"> CP y en el apartado 5.</w:t>
      </w:r>
    </w:p>
    <w:p w14:paraId="3DDD1362" w14:textId="77777777" w:rsidR="009D7677" w:rsidRDefault="009D7677" w:rsidP="009D7677">
      <w:pPr>
        <w:pStyle w:val="TextoNormal"/>
      </w:pPr>
    </w:p>
    <w:p w14:paraId="6925CB33" w14:textId="77777777" w:rsidR="009D7677" w:rsidRDefault="009D7677" w:rsidP="009D7677">
      <w:pPr>
        <w:pStyle w:val="TextoNormal"/>
      </w:pPr>
      <w:r>
        <w:t xml:space="preserve">Como argumento general se rechaza la denunciada vulneración del derecho a la legalidad penal (arts. 25.1 CE y 7 CEDH) por falta de taxatividad del tipo penal impugnado. El abogado del Estado entiende que, aunque la exposición de motivos de la norma se refiera al acoso que sufren las mujeres en el entorno de clínicas que practican la interrupción voluntaria del embarazo, nada impide que ese mismo acoso se pueda producir en cualquier otro lugar, como frente al domicilio de la víctima, en su lugar de trabajo o virtualmente, circunstancias estas que justifican que el tipo penal no esté limitado al entorno físico de dichas clínicas, sino que se refiera a la conducta de acoso con intención de obstaculizar el ejercicio del derecho, independientemente de donde se produzca. También se descartan los argumentos referidos a la limitación del ejercicio de otros derechos fundamentales porque, sin perjuicio del valor interpretativo del preámbulo, la solución del recurso debe depender exclusivamente del articulado de la ley y se constata que el art. 172 </w:t>
      </w:r>
      <w:r w:rsidRPr="009D7677">
        <w:rPr>
          <w:i/>
        </w:rPr>
        <w:t>quater</w:t>
      </w:r>
      <w:r>
        <w:t xml:space="preserve"> CP prevé tipos </w:t>
      </w:r>
      <w:r>
        <w:lastRenderedPageBreak/>
        <w:t>penales que castigan conductas que no tienen que ver con el ejercicio de los derechos invocados.</w:t>
      </w:r>
    </w:p>
    <w:p w14:paraId="6A1C0AAB" w14:textId="77777777" w:rsidR="009D7677" w:rsidRDefault="009D7677" w:rsidP="009D7677">
      <w:pPr>
        <w:pStyle w:val="TextoNormal"/>
      </w:pPr>
    </w:p>
    <w:p w14:paraId="12780C07" w14:textId="77777777" w:rsidR="009D7677" w:rsidRDefault="009D7677" w:rsidP="009D7677">
      <w:pPr>
        <w:pStyle w:val="TextoNormal"/>
      </w:pPr>
      <w:r>
        <w:t>Este precepto regula el delito de acoso para obstaculizar el derecho a la interrupción voluntaria del embarazo, siendo una modalidad impropia de coacciones que no requiere el uso de la violencia, pero supone un atentado contra la libertad, de modo que el bien jurídico protegido es la libertad personal, como en el resto de los delitos del título VI, habiendo sido reconocido de este modo por la exposición de motivos. Además, el precepto castiga con la misma pena la modalidad de acoso sobre una mujer para impedirle ejercer la interrupción voluntaria del embarazo (apartado primero) y sobre directivos, facultativos y demás personal de los centros habilitados para llevar a cabo la interrupción voluntaria del embarazo, con el objetivo de obstaculizar el ejercicio de su trabajo (apartado segundo). El delito se configura como un delito de resultado cortado, en el que se requiere que el autor persiga un determinado resultado pero que se consuma desde que se realiza la conducta previa encaminada a conseguir ese resultado, aunque no se produzca efectivamente la obstaculización del ejercicio del derecho. Objetivamente la conducta típica consiste en acosar mediante actos molestos, ofensivos, intimidatorios o coactivos que menoscaben la libertad, y subjetivamente se requiere que el autor actúe con dolo y pretenda con el acoso obstaculizar la interrupción voluntaria del embarazo.</w:t>
      </w:r>
    </w:p>
    <w:p w14:paraId="0E258371" w14:textId="77777777" w:rsidR="009D7677" w:rsidRDefault="009D7677" w:rsidP="009D7677">
      <w:pPr>
        <w:pStyle w:val="TextoNormal"/>
      </w:pPr>
    </w:p>
    <w:p w14:paraId="36A0F25B" w14:textId="77777777" w:rsidR="009D7677" w:rsidRDefault="009D7677" w:rsidP="009D7677">
      <w:pPr>
        <w:pStyle w:val="TextoNormal"/>
      </w:pPr>
      <w:r>
        <w:t xml:space="preserve">Una vez descrito el tipo, los sujetos activo y pasivo, y otras formas de acoso penalizadas también en el Código penal, la Abogacía del Estado descarta la falta de taxatividad del art. 172 </w:t>
      </w:r>
      <w:r w:rsidRPr="009D7677">
        <w:rPr>
          <w:i/>
        </w:rPr>
        <w:t>quater</w:t>
      </w:r>
      <w:r>
        <w:t xml:space="preserve"> CP afirmando que la conducta prohibida puede ser menos grave que la de coaccionar de manera violenta, pero no por ello resulta menos precisa, en cuanto que acosar define la realización de actos que resultan hostiles, incluyendo actos que hostiguen, importunen, humillen o intimiden, presuponiendo una cierta insistencia, y que producen o tienen intención de producir un determinado resultado. En el caso del art. 172 </w:t>
      </w:r>
      <w:r w:rsidRPr="009D7677">
        <w:rPr>
          <w:i/>
        </w:rPr>
        <w:t>quater</w:t>
      </w:r>
      <w:r>
        <w:t xml:space="preserve"> CP, además, se precisa el alcance de la conducta típica consistente en acosar por cuatro vías: (1) actos molestos, ofensivos, intimidatorios o coactivos; (2) actos que menoscaben efectivamente la libertad de la víctima; (3) actos dirigidos a sujetos muy limitados, vinculándolos a un contexto muy concreto y (4) actos que se lleven a cabo con el propósito de obstaculizar la interrupción voluntaria del embarazo.</w:t>
      </w:r>
    </w:p>
    <w:p w14:paraId="23F13D40" w14:textId="77777777" w:rsidR="009D7677" w:rsidRDefault="009D7677" w:rsidP="009D7677">
      <w:pPr>
        <w:pStyle w:val="TextoNormal"/>
      </w:pPr>
    </w:p>
    <w:p w14:paraId="2CF58423" w14:textId="77777777" w:rsidR="009D7677" w:rsidRDefault="009D7677" w:rsidP="009D7677">
      <w:pPr>
        <w:pStyle w:val="TextoNormal"/>
      </w:pPr>
      <w:r>
        <w:t>A partir de estas consideraciones, el abogado del Estado, presenta sus argumentos de oposición a la demanda del recurso de inconstitucionalidad organizándolos en los tres siguientes bloques:</w:t>
      </w:r>
    </w:p>
    <w:p w14:paraId="2AFC1B14" w14:textId="77777777" w:rsidR="009D7677" w:rsidRDefault="009D7677" w:rsidP="009D7677">
      <w:pPr>
        <w:pStyle w:val="TextoNormal"/>
      </w:pPr>
    </w:p>
    <w:p w14:paraId="126F14D4" w14:textId="77777777" w:rsidR="009D7677" w:rsidRDefault="009D7677" w:rsidP="009D7677">
      <w:pPr>
        <w:pStyle w:val="TextoNormal"/>
      </w:pPr>
      <w:r>
        <w:t xml:space="preserve">a) En relación con la vulneración del derecho a la legalidad penal por falta de taxatividad de los delitos contenidos en los apartados 1 y 2 del art. 172 </w:t>
      </w:r>
      <w:r w:rsidRPr="009D7677">
        <w:rPr>
          <w:i/>
        </w:rPr>
        <w:t>quater</w:t>
      </w:r>
      <w:r>
        <w:t xml:space="preserve"> CP, la Abogacía del Estado sostiene que la conducta tipificada queda suficientemente definida al emplear un verbo típico, como es el de acosar, que tiene un significado claro y que se utiliza también en otros delitos del Código penal. Además, el delito del art. 172 </w:t>
      </w:r>
      <w:r w:rsidRPr="009D7677">
        <w:rPr>
          <w:i/>
        </w:rPr>
        <w:t>quater</w:t>
      </w:r>
      <w:r>
        <w:t xml:space="preserve"> CP indica la clase de actos que pueden producir el acoso en una diferente graduación, el resultado que debe producirse, la finalidad específica que se persigue y las personas sobre las que recae la conducta, por lo que se identifica claramente el hecho que se ha decidido sancionar. La falta de exigencia de que el delito se cometa en un espacio determinado no permite deducir que la conducta típica esté indefinida o sea indeterminada, como no lo está en el caso de otros muchos delitos que no establecen un concreto lugar de comisión. Los elementos </w:t>
      </w:r>
      <w:r>
        <w:lastRenderedPageBreak/>
        <w:t>que definen la conducta típica son elementos objetivos que no dependen de la sola percepción subjetiva de la víctima del delito. Por tanto, a la vista de la descripción del tipo, de sus elementos objetivos y subjetivos, se deduce que existe la certeza necesaria para entender cumplido el requisito de taxatividad y de calidad de la ley.</w:t>
      </w:r>
    </w:p>
    <w:p w14:paraId="7EAF95CD" w14:textId="77777777" w:rsidR="009D7677" w:rsidRDefault="009D7677" w:rsidP="009D7677">
      <w:pPr>
        <w:pStyle w:val="TextoNormal"/>
      </w:pPr>
    </w:p>
    <w:p w14:paraId="6D39C3A4" w14:textId="77777777" w:rsidR="009D7677" w:rsidRDefault="009D7677" w:rsidP="009D7677">
      <w:pPr>
        <w:pStyle w:val="TextoNormal"/>
      </w:pPr>
      <w:r>
        <w:t xml:space="preserve">b) Respecto de la denunciada vulneración de las libertades ideológica y religiosa (art. 16 CE) y de expresión (art. 20 CE), y de los derechos de reunión y manifestación (art. 21 CE) y a la igualdad (art. 14 CE), la Abogacía del Estado considera que el precepto recurrido no castiga la expresión de ideas, opiniones o creencias, ni siquiera cuando se realizan ante las personas que van a participar en la interrupción voluntaria del embarazo o en el lugar en que se va a llevar a cabo su práctica. El mero acto de proferir opiniones o expresiones no da lugar a la comisión del delito, salvo que con ello se llegue a acosar y menoscabar la libertad de las personas, lo que conlleva la identidad objetiva de que tales expresiones condicionan la libertad de actuación de quienes van a participar en la interrupción voluntaria del embarazo. Por tanto, el tipo penal no persigue la expresión de opiniones o creencias ni se limitan los derechos mencionados. Por esa razón decaería también la invocación del art. 14 CE, denunciando el tratamiento diferenciado de los actos típicos en función del contenido de las opiniones o ideologías expresadas, porque el delito del art. 172 </w:t>
      </w:r>
      <w:r w:rsidRPr="009D7677">
        <w:rPr>
          <w:i/>
        </w:rPr>
        <w:t>quater</w:t>
      </w:r>
      <w:r>
        <w:t xml:space="preserve"> CP no establece discriminación entre quienes se manifiesten a favor y quienes se manifiesten en contra de la interrupción voluntaria del embarazo. Como argumento de cierre, el abogado del Estado sostiene que el ejercicio del derecho a la libertad de expresión de un ciudadano, en modo alguno justifica el atentado contra la libertad personal de otro mediante el acoso, siendo inoportuna la cita de la jurisprudencia del Tribunal Europeo de Derechos Humanos que realiza la demanda, al corresponder a supuestos de hecho totalmente distintos.</w:t>
      </w:r>
    </w:p>
    <w:p w14:paraId="6F2B1574" w14:textId="77777777" w:rsidR="009D7677" w:rsidRDefault="009D7677" w:rsidP="009D7677">
      <w:pPr>
        <w:pStyle w:val="TextoNormal"/>
      </w:pPr>
    </w:p>
    <w:p w14:paraId="6B1CADDE" w14:textId="77777777" w:rsidR="009D7677" w:rsidRDefault="009D7677" w:rsidP="009D7677">
      <w:pPr>
        <w:pStyle w:val="TextoNormal"/>
      </w:pPr>
      <w:r>
        <w:t xml:space="preserve">c) Por último, y en relación con la vulneración del derecho a la intimidad personal del art. 18.1 CE por el apartado 5 del art. 172 </w:t>
      </w:r>
      <w:r w:rsidRPr="009D7677">
        <w:rPr>
          <w:i/>
        </w:rPr>
        <w:t>quater</w:t>
      </w:r>
      <w:r>
        <w:t xml:space="preserve"> CP, esta parte sostiene que la existencia de delitos cuya perseguibilidad está condicionada a la decisión de la víctima constituye la excepción y no la regla general que opera en el derecho penal. La decisión legislativa de optar por una u otra forma de perseguibilidad no es una cuestión constitucionalmente predeterminada, por lo que carece de fundamento la argumentación relativa a la posible vulneración del derecho a la intimidad, que los recurrentes confunden con la victimización secundaria que podría producirse como consecuencia de la publicidad del proceso. Este riesgo entra dentro de los que valora el legislador y la opción legislativa de no condicionar la perseguibilidad de un delito a la voluntad de la víctima es plenamente legítima, que en ningún caso supone atentar contra su derecho a la intimidad.</w:t>
      </w:r>
    </w:p>
    <w:p w14:paraId="318A835B" w14:textId="77777777" w:rsidR="009D7677" w:rsidRDefault="009D7677" w:rsidP="009D7677">
      <w:pPr>
        <w:pStyle w:val="TextoNormal"/>
      </w:pPr>
    </w:p>
    <w:p w14:paraId="4AC5D50C" w14:textId="714D5887" w:rsidR="009D7677" w:rsidRDefault="009D7677" w:rsidP="009D7677">
      <w:pPr>
        <w:pStyle w:val="TextoNormal"/>
      </w:pPr>
      <w:r>
        <w:t>Además, en este caso se justifica la persecución de oficio porque la interrupción voluntaria del embarazo está sujeta a un vivo debate público, razón por la que muchas mujeres podrían optar por no formular denuncia frente a quienes, mediante el acoso, trataron de obstaculizar su derecho a interrumpir su embarazo, por temor a exponer su propia intimidad. En esta situación el Estado podría optar entre configurar el delito como delito privado, facilitando que el temor favorezca la impunidad, o garantizar el libre ejercicio del derecho, protegiendo a las víctimas de los actos de acoso a que se ven sometidas. La opción adoptada por el legislador es constitucionalmente legítima, existiendo un interés público en la persecución penal de estos delitos con fines de prevención general, debiendo estable</w:t>
      </w:r>
      <w:r>
        <w:lastRenderedPageBreak/>
        <w:t>cerse otros medios de protección para salvaguardar la intimidad de las íntimas en el curso del proceso penal.</w:t>
      </w:r>
    </w:p>
    <w:p w14:paraId="1B15DB39" w14:textId="77777777" w:rsidR="009D7677" w:rsidRDefault="009D7677" w:rsidP="009D7677">
      <w:pPr>
        <w:pStyle w:val="TextoNormal"/>
      </w:pPr>
    </w:p>
    <w:p w14:paraId="69524225" w14:textId="13C06427" w:rsidR="009D7677" w:rsidRDefault="009D7677" w:rsidP="009D7677">
      <w:pPr>
        <w:pStyle w:val="TextoNormal"/>
      </w:pPr>
      <w:r w:rsidRPr="009D7677">
        <w:rPr>
          <w:rStyle w:val="NumeroAFNegritaCaracter"/>
        </w:rPr>
        <w:t>8</w:t>
      </w:r>
      <w:r>
        <w:t>. Por providencia de 7 de mayo de 2024, se señaló para deliberación y votación de la presente sentencia el día 8 del mismo mes y año.</w:t>
      </w:r>
    </w:p>
    <w:p w14:paraId="5CD0674C" w14:textId="77777777" w:rsidR="009D7677" w:rsidRDefault="009D7677" w:rsidP="009D7677">
      <w:pPr>
        <w:pStyle w:val="TextoNormal"/>
      </w:pPr>
    </w:p>
    <w:p w14:paraId="07B3A052" w14:textId="77777777" w:rsidR="009D7677" w:rsidRDefault="009D7677" w:rsidP="009D7677">
      <w:pPr>
        <w:pStyle w:val="TextoNormalNegritaCentrado"/>
        <w:keepNext/>
      </w:pPr>
      <w:r>
        <w:t>II. Fundamentos jurídicos</w:t>
      </w:r>
    </w:p>
    <w:p w14:paraId="228EBF77" w14:textId="59540794" w:rsidR="009D7677" w:rsidRDefault="009D7677" w:rsidP="009D7677">
      <w:pPr>
        <w:pStyle w:val="TextoNormalNegritaCentrado"/>
        <w:keepNext/>
      </w:pPr>
    </w:p>
    <w:p w14:paraId="7DD6A5A5" w14:textId="77777777" w:rsidR="009D7677" w:rsidRDefault="009D7677" w:rsidP="009D7677">
      <w:pPr>
        <w:pStyle w:val="TextoNormal"/>
      </w:pPr>
      <w:r w:rsidRPr="009D7677">
        <w:rPr>
          <w:rStyle w:val="NumeroAFNegritaCaracter"/>
        </w:rPr>
        <w:t>1</w:t>
      </w:r>
      <w:r>
        <w:t xml:space="preserve">. </w:t>
      </w:r>
      <w:r w:rsidRPr="009D7677">
        <w:rPr>
          <w:i/>
        </w:rPr>
        <w:t>Objeto del recurso de inconstitucionalidad y síntesis de las posiciones de las partes</w:t>
      </w:r>
    </w:p>
    <w:p w14:paraId="70F804FB" w14:textId="77777777" w:rsidR="009D7677" w:rsidRDefault="009D7677" w:rsidP="009D7677">
      <w:pPr>
        <w:pStyle w:val="TextoNormal"/>
      </w:pPr>
    </w:p>
    <w:p w14:paraId="2F2F57A5" w14:textId="77777777" w:rsidR="009D7677" w:rsidRDefault="009D7677" w:rsidP="009D7677">
      <w:pPr>
        <w:pStyle w:val="TextoNormal"/>
      </w:pPr>
      <w:r>
        <w:t xml:space="preserve">a) El presente recurso de inconstitucionalidad, planteado a instancia de más de cincuenta diputados y diputadas del Grupo Parlamentario Vox en el Congreso, tiene por objeto el artículo único de la Ley Orgánica 4/2022, de 12 de abril, por la que se modifica la Ley Orgánica 10/1995, de 23 de noviembre, del Código penal, para penalizar el acoso a las mujeres que acuden a clínicas para la interrupción voluntaria del embarazo. Este artículo único añade el art. 172 </w:t>
      </w:r>
      <w:r w:rsidRPr="009D7677">
        <w:rPr>
          <w:i/>
        </w:rPr>
        <w:t>quater</w:t>
      </w:r>
      <w:r>
        <w:t xml:space="preserve"> al Código penal, con la siguiente redacción:</w:t>
      </w:r>
    </w:p>
    <w:p w14:paraId="6FA872C3" w14:textId="77777777" w:rsidR="009D7677" w:rsidRDefault="009D7677" w:rsidP="009D7677">
      <w:pPr>
        <w:pStyle w:val="TextoNormal"/>
      </w:pPr>
    </w:p>
    <w:p w14:paraId="0129BDF2" w14:textId="77777777" w:rsidR="009D7677" w:rsidRDefault="009D7677" w:rsidP="009D7677">
      <w:pPr>
        <w:pStyle w:val="TextoNormal"/>
      </w:pPr>
      <w:r>
        <w:t>“1. El que para obstaculizar el ejercicio del derecho a la interrupción voluntaria del embarazo acosare a una mujer mediante actos molestos, ofensivos, intimidatorios o coactivos que menoscaben su libertad, será castigado con la pena de prisión de tres meses a un año o de trabajos en beneficio de la comunidad de treinta y uno a ochenta días.</w:t>
      </w:r>
    </w:p>
    <w:p w14:paraId="7DE3ADBD" w14:textId="77777777" w:rsidR="009D7677" w:rsidRDefault="009D7677" w:rsidP="009D7677">
      <w:pPr>
        <w:pStyle w:val="TextoNormal"/>
      </w:pPr>
    </w:p>
    <w:p w14:paraId="4A62566B" w14:textId="77777777" w:rsidR="009D7677" w:rsidRDefault="009D7677" w:rsidP="009D7677">
      <w:pPr>
        <w:pStyle w:val="TextoNormal"/>
      </w:pPr>
      <w:r>
        <w:t>2. Las mismas penas se impondrán a quien, en la forma descrita en el apartado anterior, acosare a los trabajadores del ámbito sanitario en su ejercicio profesional o función pública y al personal facultativo o directivo de los centros habilitados para interrumpir el embarazo con el objetivo de obstaculizar el ejercicio de su profesión o cargo.</w:t>
      </w:r>
    </w:p>
    <w:p w14:paraId="6A418823" w14:textId="77777777" w:rsidR="009D7677" w:rsidRDefault="009D7677" w:rsidP="009D7677">
      <w:pPr>
        <w:pStyle w:val="TextoNormal"/>
      </w:pPr>
    </w:p>
    <w:p w14:paraId="4E180902" w14:textId="77777777" w:rsidR="009D7677" w:rsidRDefault="009D7677" w:rsidP="009D7677">
      <w:pPr>
        <w:pStyle w:val="TextoNormal"/>
      </w:pPr>
      <w:r>
        <w:t>3. Atendidas la gravedad, las circunstancias personales del autor y las concurrentes en la realización del hecho, el tribunal podrá imponer, además, la prohibición de acudir a determinados lugares por tiempo de seis meses a tres años.</w:t>
      </w:r>
    </w:p>
    <w:p w14:paraId="281A3679" w14:textId="77777777" w:rsidR="009D7677" w:rsidRDefault="009D7677" w:rsidP="009D7677">
      <w:pPr>
        <w:pStyle w:val="TextoNormal"/>
      </w:pPr>
    </w:p>
    <w:p w14:paraId="2AAEABFF" w14:textId="77777777" w:rsidR="009D7677" w:rsidRDefault="009D7677" w:rsidP="009D7677">
      <w:pPr>
        <w:pStyle w:val="TextoNormal"/>
      </w:pPr>
      <w:r>
        <w:t>4. Las penas previstas en este artículo se impondrán sin perjuicio de las que pudieran corresponder a los delitos en que se hubieran concretado los actos de acoso.</w:t>
      </w:r>
    </w:p>
    <w:p w14:paraId="1AB78C4B" w14:textId="77777777" w:rsidR="009D7677" w:rsidRDefault="009D7677" w:rsidP="009D7677">
      <w:pPr>
        <w:pStyle w:val="TextoNormal"/>
      </w:pPr>
    </w:p>
    <w:p w14:paraId="5C229000" w14:textId="77777777" w:rsidR="009D7677" w:rsidRDefault="009D7677" w:rsidP="009D7677">
      <w:pPr>
        <w:pStyle w:val="TextoNormal"/>
      </w:pPr>
      <w:r>
        <w:t>5. En la persecución de los hechos descritos en este artículo no será necesaria la denuncia de la persona agraviada ni de su representación legal”.</w:t>
      </w:r>
    </w:p>
    <w:p w14:paraId="261305A7" w14:textId="77777777" w:rsidR="009D7677" w:rsidRDefault="009D7677" w:rsidP="009D7677">
      <w:pPr>
        <w:pStyle w:val="TextoNormal"/>
      </w:pPr>
    </w:p>
    <w:p w14:paraId="35FDE751" w14:textId="77777777" w:rsidR="009D7677" w:rsidRDefault="009D7677" w:rsidP="009D7677">
      <w:pPr>
        <w:pStyle w:val="TextoNormal"/>
      </w:pPr>
      <w:r>
        <w:t xml:space="preserve">b) Los recurrentes denuncian: (i) la infracción del principio de legalidad penal (arts. 25.1 CE y 7 CEDH), por falta de taxatividad del tipo previsto en el nuevo art. 172 </w:t>
      </w:r>
      <w:r w:rsidRPr="009D7677">
        <w:rPr>
          <w:i/>
        </w:rPr>
        <w:t>quater</w:t>
      </w:r>
      <w:r>
        <w:t xml:space="preserve"> CP, vinculándose tal denuncia a (1) la constatación de la incongruencia entre la finalidad de la norma declarada en el preámbulo de la Ley Orgánica 4/2022, y el tipo delictivo descrito en el nuevo art. 172 </w:t>
      </w:r>
      <w:r w:rsidRPr="009D7677">
        <w:rPr>
          <w:i/>
        </w:rPr>
        <w:t>quater</w:t>
      </w:r>
      <w:r>
        <w:t xml:space="preserve"> CP, así como a (2) la falta de calidad normativa del precepto impugnado, por cuanto trata de tipificar conductas delictivas incorporando conceptos jurídicos indeterminados, que concreta en los elementos actos molestos y ofensivos, que vulneran la exigencia de </w:t>
      </w:r>
      <w:r w:rsidRPr="009D7677">
        <w:rPr>
          <w:i/>
        </w:rPr>
        <w:t>lex certa</w:t>
      </w:r>
      <w:r>
        <w:t xml:space="preserve"> que contiene el art. 25.1 CE. En asociación con la falta de taxatividad los recurrentes alegan también: (ii) la lesión de la libertad ideológica (art. 16 CE), la libertad religiosa en su dimensión externa (art. 16.1 CE), la libertad de </w:t>
      </w:r>
      <w:r>
        <w:lastRenderedPageBreak/>
        <w:t xml:space="preserve">expresión (art. 20 CE), los derechos de reunión y manifestación (art. 21 CE) y el derecho a la igualdad (art. 14 CE). La razón es que el precepto penal impugnado, por su indeterminación, podría incluir como típicas conductas constitutivas del ejercicio normal de estos derechos, introduciendo un sesgo diferenciador no justificado al sancionar el ejercicio de los derechos en virtud de la posición ideológica (en este caso contraria a la interrupción voluntaria del embarazo) defendida por quienes actúan de forma típica. También se sostiene que (iii) el precepto puede entenderse como una limitación del ejercicio de la libertad religiosa inmune a todo acto de coacción de los poderes públicos (art. 16 CE), en tanto ampara la condena de quienes expresen sus ideas religiosas contrarias a la interrupción voluntaria del embarazo, o se desplacen o asistan a lugares o ceremonias de culto para orar con la finalidad de que se ponga término a dicha práctica. Por último, se denuncia que (iv) el apartado 5 del art. 172 </w:t>
      </w:r>
      <w:r w:rsidRPr="009D7677">
        <w:rPr>
          <w:i/>
        </w:rPr>
        <w:t>quater</w:t>
      </w:r>
      <w:r>
        <w:t xml:space="preserve"> CP, vulnera el derecho a la intimidad de las víctimas del delito (art. 18.1 CE), en la medida en que prevé una persecución de oficio del delito que prescinde de la voluntad de las eventuales víctimas.</w:t>
      </w:r>
    </w:p>
    <w:p w14:paraId="595F0D38" w14:textId="77777777" w:rsidR="009D7677" w:rsidRDefault="009D7677" w:rsidP="009D7677">
      <w:pPr>
        <w:pStyle w:val="TextoNormal"/>
      </w:pPr>
    </w:p>
    <w:p w14:paraId="0FC550C5" w14:textId="0A3D77A4" w:rsidR="009D7677" w:rsidRDefault="009D7677" w:rsidP="009D7677">
      <w:pPr>
        <w:pStyle w:val="TextoNormal"/>
      </w:pPr>
      <w:r>
        <w:t xml:space="preserve">Por su parte, la Abogacía del Estado, que entiende que debieran quedar fuera del objeto del pronunciamiento los apartados 3 y 4 del art. 172 </w:t>
      </w:r>
      <w:r w:rsidRPr="009D7677">
        <w:rPr>
          <w:i/>
        </w:rPr>
        <w:t>quater</w:t>
      </w:r>
      <w:r>
        <w:t xml:space="preserve"> CP, solicita la desestimación de la totalidad de los motivos de inconstitucionalidad contenidos en el recurso. (i) En relación con la vulneración del art. 25.1 CE, sostiene que la conducta tipificada queda suficientemente definida al emplearse el verbo acosar que tiene un significado claro, establecer la clase de actos que pueden producir el acoso en una diferente graduación, el resultado que debe producirse, la finalidad específica que se persigue y las personas sobre las que recae la conducta. Considera esta parte que la indefinición respecto del espacio en que debe producirse la conducta típica no deviene en indeterminación del tipo. (ii) Respecto de la denunciada vulneración de las libertades ideológica y religiosa (art. 16 CE) y de expresión (art. 20 CE), y de los derechos de reunión y manifestación (art. 21 CE) y a la igualdad (art. 14 CE), la Abogacía del Estado considera que el precepto recurrido no castiga la expresión de ideas, opiniones o creencias, por lo que no limita el ejercicio de tales derechos. Y, por último, (iii) en relación con la eventual vulneración del art. 18 CE por el apartado 5 del art. 172 </w:t>
      </w:r>
      <w:r w:rsidRPr="009D7677">
        <w:rPr>
          <w:i/>
        </w:rPr>
        <w:t>quater</w:t>
      </w:r>
      <w:r>
        <w:t xml:space="preserve"> CP, la Abogacía del Estado distingue entre victimización secundaria en el seno del procedimiento penal y vulneración del derecho a la intimidad, entendiendo que el riesgo de que esté afectado es asumido por el legislador cuando opta por la perseguibilidad de oficio, que no es contraria por ello a la Constitución.</w:t>
      </w:r>
    </w:p>
    <w:p w14:paraId="35A87498" w14:textId="77777777" w:rsidR="009D7677" w:rsidRDefault="009D7677" w:rsidP="009D7677">
      <w:pPr>
        <w:pStyle w:val="TextoNormal"/>
      </w:pPr>
    </w:p>
    <w:p w14:paraId="597C9F79" w14:textId="77777777" w:rsidR="009D7677" w:rsidRDefault="009D7677" w:rsidP="009D7677">
      <w:pPr>
        <w:pStyle w:val="TextoNormal"/>
      </w:pPr>
      <w:r w:rsidRPr="009D7677">
        <w:rPr>
          <w:rStyle w:val="NumeroAFNegritaCaracter"/>
        </w:rPr>
        <w:t>2</w:t>
      </w:r>
      <w:r>
        <w:t xml:space="preserve">. </w:t>
      </w:r>
      <w:r w:rsidRPr="009D7677">
        <w:rPr>
          <w:i/>
        </w:rPr>
        <w:t>Delimitación del objeto del recurso de inconstitucionalidad</w:t>
      </w:r>
    </w:p>
    <w:p w14:paraId="7509DCD9" w14:textId="77777777" w:rsidR="009D7677" w:rsidRDefault="009D7677" w:rsidP="009D7677">
      <w:pPr>
        <w:pStyle w:val="TextoNormal"/>
      </w:pPr>
    </w:p>
    <w:p w14:paraId="7A30F465" w14:textId="77777777" w:rsidR="009D7677" w:rsidRDefault="009D7677" w:rsidP="009D7677">
      <w:pPr>
        <w:pStyle w:val="TextoNormal"/>
      </w:pPr>
      <w:r>
        <w:t xml:space="preserve">La Abogacía del Estado propone una delimitación del objeto del pronunciamiento alegando que la demanda no desarrolla carga argumental alguna respecto de las causas de inconstitucionalidad de los apartados 3 y 4 del art. 172 </w:t>
      </w:r>
      <w:r w:rsidRPr="009D7677">
        <w:rPr>
          <w:i/>
        </w:rPr>
        <w:t>quater</w:t>
      </w:r>
      <w:r>
        <w:t xml:space="preserve"> CP impugnado. Siguiendo la doctrina del Tribunal Constitucional sobre la exigencia de una mínima argumentación para el examen de preceptos impugnados a través de un recurso de inconstitucionalidad, entiende el abogado del Estado que debieran excluirse los apartados citados del objeto del procedimiento.</w:t>
      </w:r>
    </w:p>
    <w:p w14:paraId="42772BF8" w14:textId="77777777" w:rsidR="009D7677" w:rsidRDefault="009D7677" w:rsidP="009D7677">
      <w:pPr>
        <w:pStyle w:val="TextoNormal"/>
      </w:pPr>
    </w:p>
    <w:p w14:paraId="0A8F02F9" w14:textId="77777777" w:rsidR="009D7677" w:rsidRDefault="009D7677" w:rsidP="009D7677">
      <w:pPr>
        <w:pStyle w:val="TextoNormal"/>
      </w:pPr>
      <w:r>
        <w:t>El apartado tercero del precepto añade la pena específica de alejamiento y prohibición de acudir a determinados lugares por tiempo de seis meses a tres años, mientras que el apartado 4 admite la existencia del concurso con otros delitos que se puedan cometer mientras se desarrollan los actos de acoso y, efectivamente, nada se argumenta en la de</w:t>
      </w:r>
      <w:r>
        <w:lastRenderedPageBreak/>
        <w:t>manda respecto de la inconstitucionalidad de la regulación específica de la pena de alejamiento o del concurso. Pero ello no es motivo para excluir ambos apartados del presente pronunciamiento.</w:t>
      </w:r>
    </w:p>
    <w:p w14:paraId="450651B4" w14:textId="77777777" w:rsidR="009D7677" w:rsidRDefault="009D7677" w:rsidP="009D7677">
      <w:pPr>
        <w:pStyle w:val="TextoNormal"/>
      </w:pPr>
    </w:p>
    <w:p w14:paraId="2F7116B4" w14:textId="77777777" w:rsidR="009D7677" w:rsidRDefault="009D7677" w:rsidP="009D7677">
      <w:pPr>
        <w:pStyle w:val="TextoNormal"/>
      </w:pPr>
      <w:r>
        <w:t>La jurisprudencia constitucional sobre la carga de alegar que se exige a los recurrentes en el proceso de control abstracto de constitucionalidad de las normas articulado a través del recurso de inconstitucionalidad, o a los órganos judiciales que interponen una cuestión de inconstitucionalidad y que se traduce, en este último caso, en la necesidad de formular un adecuado juicio de aplicabilidad y relevancia y una expresión argumentada y completa de la duda de constitucionalidad, tiene como única finalidad asegurar el respeto al principio de justicia rogada que preside la jurisdicción constitucional. El Tribunal Constitucional no puede reconstruir las demandas, ni utilizar sus facultades de control sobre el proceso constitucional para modificar su objeto o para ampliarlo, asumiendo un control de constitucionalidad general y prospectivo de la norma que no ha sido previsto en la Constitución.</w:t>
      </w:r>
    </w:p>
    <w:p w14:paraId="07BCA38F" w14:textId="77777777" w:rsidR="009D7677" w:rsidRDefault="009D7677" w:rsidP="009D7677">
      <w:pPr>
        <w:pStyle w:val="TextoNormal"/>
      </w:pPr>
    </w:p>
    <w:p w14:paraId="39A336D1" w14:textId="77777777" w:rsidR="009D7677" w:rsidRDefault="009D7677" w:rsidP="009D7677">
      <w:pPr>
        <w:pStyle w:val="TextoNormal"/>
      </w:pPr>
      <w:r>
        <w:t>Por esa razón, se ha venido estableciendo que el suplico “es la parte decisiva para reconocer y concretar el objeto de todo recurso” (STC 195/1998, de 1 de octubre, FJ 1) por lo que el examen de constitucionalidad debe contraerse a las disposiciones que en él se contienen haciendo una interpretación no rigorista de tal condición [en este sentido, por todas, SSTC 178/1989, de 2 de noviembre, FJ 9; 214/1994, de 14 de julio, FJ 3; 68/1996, de 4 de abril, FJ 1; 118/1996, de 27 de junio, FJ 23; 14/2019, de 31 de enero FJ 2 b), y 83/2020, de 15 de julio, FJ 2]. Y, adicionalmente, se ha afirmado que no es suficiente una mera invocación formal de los preceptos impugnados en la demanda (en el suplico o en el cuerpo de la misma), sino que es preciso una argumentación específica que fundamente la presunta contradicción de aquellos con la Constitución (por todas, SSTC 214/1994, FJ 3; 195/1998, FJ 1, y 83/2020, FJ 2).</w:t>
      </w:r>
    </w:p>
    <w:p w14:paraId="0FAA17C3" w14:textId="77777777" w:rsidR="009D7677" w:rsidRDefault="009D7677" w:rsidP="009D7677">
      <w:pPr>
        <w:pStyle w:val="TextoNormal"/>
      </w:pPr>
    </w:p>
    <w:p w14:paraId="445753EB" w14:textId="77777777" w:rsidR="009D7677" w:rsidRDefault="009D7677" w:rsidP="009D7677">
      <w:pPr>
        <w:pStyle w:val="TextoNormal"/>
      </w:pPr>
      <w:r>
        <w:t>Ahora bien, la exigencia de que la impugnación de las normas vaya acompañada de la preceptiva fundamentación y precisión, de modo que las partes en el proceso constitucional puedan ejercer adecuadamente su derecho de defensa y el Tribunal Constitucional pueda conocer las razones por las que los recurrentes entienden que las disposiciones impugnadas transgreden el orden constitucional (por todas, SSTC 11/1981, de 8 de abril, FJ 3; 36/1994, de 10 de febrero, FJ 1; 43/1996, de 14 de marzo, FJ 3; 61/1997, de 20 de marzo, FJ 13; 118/1998, de 4 de junio, FJ 4, y 124/2023, de 26 de septiembre, FJ 2), no puede entenderse como un requisito formal de rígida aplicación, que transforme la petición de una mínima diligencia procesal a las partes en una exigencia de exhaustividad innecesaria y enervante.</w:t>
      </w:r>
    </w:p>
    <w:p w14:paraId="2C91D9A9" w14:textId="77777777" w:rsidR="009D7677" w:rsidRDefault="009D7677" w:rsidP="009D7677">
      <w:pPr>
        <w:pStyle w:val="TextoNormal"/>
      </w:pPr>
    </w:p>
    <w:p w14:paraId="6A493A12" w14:textId="77777777" w:rsidR="009D7677" w:rsidRDefault="009D7677" w:rsidP="009D7677">
      <w:pPr>
        <w:pStyle w:val="TextoNormal"/>
      </w:pPr>
      <w:r>
        <w:t xml:space="preserve">En el suplico del recurso de inconstitucionalidad que ahora nos ocupa se establece claramente que la norma impugnada es la totalidad del artículo único de la Ley Orgánica 4/2022, de 12 de abril, que añade el art. 172 </w:t>
      </w:r>
      <w:r w:rsidRPr="009D7677">
        <w:rPr>
          <w:i/>
        </w:rPr>
        <w:t>quater</w:t>
      </w:r>
      <w:r>
        <w:t xml:space="preserve"> al Código penal. También se hace referencia, en el cuerpo de la demanda, a la totalidad de ese precepto cuando se cuestiona su ajuste con los preceptos constitucionales invocados como parámetro de control. Ciertamente, como dice el abogado del Estado, no se desarrolla una argumentación propia destinada a exponer por qué la previsión de la pena de alejamiento o la regulación del concurso transgreden el orden constitucional, pero de las razones esgrimidas en la demanda se deduce con claridad que los recurrentes cuestionan la regulación del tipo penal en su conjun</w:t>
      </w:r>
      <w:r>
        <w:lastRenderedPageBreak/>
        <w:t xml:space="preserve">to por falta de taxatividad y por suponer un límite constitucionalmente inadmisible del ejercicio de determinados derechos fundamentales, pudiendo entenderse que tal queja abarca a la creación de un tipo penal cuya existencia es requisito </w:t>
      </w:r>
      <w:r w:rsidRPr="009D7677">
        <w:rPr>
          <w:i/>
        </w:rPr>
        <w:t>sine qua non</w:t>
      </w:r>
      <w:r>
        <w:t xml:space="preserve"> para hablar sucesivamente de la imposición de la pena de alejamiento, en su caso, o de la eventual existencia del concurso con otros delitos. No tendría excesivo sentido, en un supuesto de declaración de inconstitucionalidad del precepto, mantener la vigencia de dos apartados que, en cualquier caso, devendrían en inaplicables si desapareciese el tipo penal que actúa como presupuesto de su aplicación.</w:t>
      </w:r>
    </w:p>
    <w:p w14:paraId="0CA529B1" w14:textId="77777777" w:rsidR="009D7677" w:rsidRDefault="009D7677" w:rsidP="009D7677">
      <w:pPr>
        <w:pStyle w:val="TextoNormal"/>
      </w:pPr>
    </w:p>
    <w:p w14:paraId="0D67ECFF" w14:textId="77777777" w:rsidR="009D7677" w:rsidRDefault="009D7677" w:rsidP="009D7677">
      <w:pPr>
        <w:pStyle w:val="TextoNormal"/>
      </w:pPr>
      <w:r>
        <w:t xml:space="preserve">Ciertamente, “la presunción de constitucionalidad de normas con rango de ley no puede desvirtuarse sin un mínimo de argumentación y no caben impugnaciones globales y carentes de una razón suficientemente desarrollada” (así, por ejemplo, SSTC 233/1999, de 16 de diciembre, FJ 2, o 124/2023, FJ 2), pero en un supuesto como el que ahora nos ocupa, es fácil deducir que la constitucionalidad de las normas accesorias va asociada a la de las disposiciones principales, que son las que prevén la tipificación de la conducta punible. Es decir, la eficacia normativa de la ordenación legal resulta del precepto en su conjunto, que es la norma que ha sido formalmente impugnada. De hecho, si los recurrentes no hubieran incluido los apartados 3 y 4 del art. 172 </w:t>
      </w:r>
      <w:r w:rsidRPr="009D7677">
        <w:rPr>
          <w:i/>
        </w:rPr>
        <w:t>quater</w:t>
      </w:r>
      <w:r>
        <w:t xml:space="preserve"> CP en el suplico o en el cuerpo de la demanda, tras una eventual declaración de inconstitucionalidad, este tribunal hubiera debido plantearse, al ser una prerrogativa propia (SSTC 49/2018, de 10 de mayo, FJ 2, y 72/2021, de 18 de marzo, FJ 2), la declaración de inconstitucionalidad por conexión o consecuencia de estos apartados (STC 109/2021, de 13 de mayo, FJ 2), en aplicación de lo previsto en el art. 39.1 LOTC.</w:t>
      </w:r>
    </w:p>
    <w:p w14:paraId="5E65A09D" w14:textId="77777777" w:rsidR="009D7677" w:rsidRDefault="009D7677" w:rsidP="009D7677">
      <w:pPr>
        <w:pStyle w:val="TextoNormal"/>
      </w:pPr>
    </w:p>
    <w:p w14:paraId="4949BF17" w14:textId="6264C4FC" w:rsidR="009D7677" w:rsidRDefault="009D7677" w:rsidP="009D7677">
      <w:pPr>
        <w:pStyle w:val="TextoNormal"/>
      </w:pPr>
      <w:r>
        <w:t xml:space="preserve">Por tanto, el objeto del recurso no se restringe en virtud de la alegación de la Abogacía del Estado, sino que se considera impugnada la totalidad del art. 172 </w:t>
      </w:r>
      <w:r w:rsidRPr="009D7677">
        <w:rPr>
          <w:i/>
        </w:rPr>
        <w:t>quater</w:t>
      </w:r>
      <w:r>
        <w:t xml:space="preserve"> CP, y sobre su redacción íntegra versará el presente pronunciamiento.</w:t>
      </w:r>
    </w:p>
    <w:p w14:paraId="6513ECCD" w14:textId="77777777" w:rsidR="009D7677" w:rsidRDefault="009D7677" w:rsidP="009D7677">
      <w:pPr>
        <w:pStyle w:val="TextoNormal"/>
      </w:pPr>
    </w:p>
    <w:p w14:paraId="3D3600D7" w14:textId="77777777" w:rsidR="009D7677" w:rsidRDefault="009D7677" w:rsidP="009D7677">
      <w:pPr>
        <w:pStyle w:val="TextoNormal"/>
      </w:pPr>
      <w:r w:rsidRPr="009D7677">
        <w:rPr>
          <w:rStyle w:val="NumeroAFNegritaCaracter"/>
        </w:rPr>
        <w:t>3</w:t>
      </w:r>
      <w:r>
        <w:t xml:space="preserve">. </w:t>
      </w:r>
      <w:r w:rsidRPr="009D7677">
        <w:rPr>
          <w:i/>
        </w:rPr>
        <w:t>Jurisprudencia constitucional sobre el principio de taxatividad (art. 25.1 CE</w:t>
      </w:r>
      <w:r>
        <w:t>)</w:t>
      </w:r>
    </w:p>
    <w:p w14:paraId="19C3F3D8" w14:textId="77777777" w:rsidR="009D7677" w:rsidRDefault="009D7677" w:rsidP="009D7677">
      <w:pPr>
        <w:pStyle w:val="TextoNormal"/>
      </w:pPr>
    </w:p>
    <w:p w14:paraId="5B8F1560" w14:textId="77777777" w:rsidR="009D7677" w:rsidRDefault="009D7677" w:rsidP="009D7677">
      <w:pPr>
        <w:pStyle w:val="TextoNormal"/>
      </w:pPr>
      <w:r>
        <w:t xml:space="preserve">Los diputados y diputadas que interponen el presente recurso de inconstitucionalidad, tal y como ha sido expuesto en los antecedentes, consideran que el art. 172 </w:t>
      </w:r>
      <w:r w:rsidRPr="009D7677">
        <w:rPr>
          <w:i/>
        </w:rPr>
        <w:t>quater</w:t>
      </w:r>
      <w:r>
        <w:t xml:space="preserve"> CP, que tipifica el delito de acoso para obstaculizar el ejercicio del derecho a la interrupción voluntaria del embarazo, podría vulnerar los principios de legalidad penal (art. 25.1 CE) y de seguridad jurídica (art. 9.3 CE), por cuanto el precepto impugnado adolece de falta de taxatividad, lo que acarrea déficits de certeza y previsibilidad.</w:t>
      </w:r>
    </w:p>
    <w:p w14:paraId="341D557E" w14:textId="77777777" w:rsidR="009D7677" w:rsidRDefault="009D7677" w:rsidP="009D7677">
      <w:pPr>
        <w:pStyle w:val="TextoNormal"/>
      </w:pPr>
    </w:p>
    <w:p w14:paraId="15B34EE2" w14:textId="77777777" w:rsidR="009D7677" w:rsidRDefault="009D7677" w:rsidP="009D7677">
      <w:pPr>
        <w:pStyle w:val="TextoNormal"/>
      </w:pPr>
      <w:r>
        <w:t xml:space="preserve">Antes de sintetizar la jurisprudencia constitucional sobre la cuestión es preciso reconducir la queja sobre la vulneración del principio de seguridad jurídica a la relativa a la infracción del principio de legalidad penal. Conforme se sostuvo en la STC 136/2011, de 13 de septiembre, la seguridad jurídica “ha de entenderse como la certeza sobre el ordenamiento jurídico aplicable y los intereses jurídicamente tutelados (STC 15/1986, de 31 de enero, FJ 1), como la expectativa razonablemente fundada del ciudadano en cuál ha de ser la actuación del poder en la aplicación del Derecho (STC 36/1991, de 14 de febrero, FJ 5), o como la claridad del legislador y no la confusión normativa (STC 46/1990, de 15 de marzo, FJ 4). De tal modo, que si en el ordenamiento jurídico en que se insertan las normas, teniendo en cuenta las reglas de interpretación admisibles en Derecho, el contenido o las omisiones de un texto normativo produjeran confusión o dudas que generaran en sus </w:t>
      </w:r>
      <w:r>
        <w:lastRenderedPageBreak/>
        <w:t>destinatarios una incertidumbre razonablemente insuperable acerca de la conducta exigible para su cumplimiento o sobre la previsibilidad de sus efectos, podría concluirse que la norma infringe el principio de seguridad jurídica” (FJ 9 y jurisprudencia allí citada).</w:t>
      </w:r>
    </w:p>
    <w:p w14:paraId="030B7242" w14:textId="77777777" w:rsidR="009D7677" w:rsidRDefault="009D7677" w:rsidP="009D7677">
      <w:pPr>
        <w:pStyle w:val="TextoNormal"/>
      </w:pPr>
    </w:p>
    <w:p w14:paraId="7B0160D1" w14:textId="77777777" w:rsidR="009D7677" w:rsidRDefault="009D7677" w:rsidP="009D7677">
      <w:pPr>
        <w:pStyle w:val="TextoNormal"/>
      </w:pPr>
      <w:r>
        <w:t>Pero cuando la queja relativa a la falta de certeza o claridad de una norma, o la falta de expectativa razonablemente fundada del ciudadano en la actuación del poder público a la hora de aplicar dicha norma, se refiere a la aplicación de una disposición penal o administrativa sancionadora, esto es, cuando se alega la falta de predeterminación normativa de infracciones y sanciones, entonces la denuncia de vulneración de la seguridad jurídica (art. 9.3 CE) se debe subsumir en la vulneración más específica del principio de legalidad penal proclamado en el art. 25.1 CE (por todas, STC 14/2021, FJ 2).</w:t>
      </w:r>
    </w:p>
    <w:p w14:paraId="483A577E" w14:textId="77777777" w:rsidR="009D7677" w:rsidRDefault="009D7677" w:rsidP="009D7677">
      <w:pPr>
        <w:pStyle w:val="TextoNormal"/>
      </w:pPr>
    </w:p>
    <w:p w14:paraId="1A60F439" w14:textId="77777777" w:rsidR="009D7677" w:rsidRDefault="009D7677" w:rsidP="009D7677">
      <w:pPr>
        <w:pStyle w:val="TextoNormal"/>
      </w:pPr>
      <w:r>
        <w:t xml:space="preserve">Pues bien, refiriéndose al contenido del art. 25.1 CE, desde la STC 42/1987, de 7 de abril, el Tribunal ha venido manteniendo que el derecho incorporado en este precepto incorpora la regla </w:t>
      </w:r>
      <w:r w:rsidRPr="009D7677">
        <w:rPr>
          <w:i/>
        </w:rPr>
        <w:t>nullum crimen nulla poena sine lege</w:t>
      </w:r>
      <w:r>
        <w:t>, a la que se asocia desde una perspectiva formal, de un lado, la garantía de predeterminación normativa de las conductas ilícitas y de las sanciones correspondientes y, de otro, el rango necesario de las normas tipificadoras de tales conductas y reguladoras de las sanciones aparejadas a su comisión (en este sentido, por todas, STC 100/2003, de 2 de junio, FJ 3, y jurisprudencia allí citada). A la exigencia de ley (</w:t>
      </w:r>
      <w:r w:rsidRPr="009D7677">
        <w:rPr>
          <w:i/>
        </w:rPr>
        <w:t>lex scripta</w:t>
      </w:r>
      <w:r>
        <w:t>), se une la de que la ley sea anterior al hecho sancionado (</w:t>
      </w:r>
      <w:r w:rsidRPr="009D7677">
        <w:rPr>
          <w:i/>
        </w:rPr>
        <w:t>lex praevia</w:t>
      </w:r>
      <w:r>
        <w:t>), y que describa un supuesto de hecho estrictamente determinado (</w:t>
      </w:r>
      <w:r w:rsidRPr="009D7677">
        <w:rPr>
          <w:i/>
        </w:rPr>
        <w:t>lex certa</w:t>
      </w:r>
      <w:r>
        <w:t>). Y es esta última dimensión del principio de legalidad la que centra las quejas contenidas en el recurso de inconstitucionalidad, por lo que nos detendremos exclusivamente en ella.</w:t>
      </w:r>
    </w:p>
    <w:p w14:paraId="6F9C12BC" w14:textId="77777777" w:rsidR="009D7677" w:rsidRDefault="009D7677" w:rsidP="009D7677">
      <w:pPr>
        <w:pStyle w:val="TextoNormal"/>
      </w:pPr>
    </w:p>
    <w:p w14:paraId="529A939F" w14:textId="77777777" w:rsidR="009D7677" w:rsidRDefault="009D7677" w:rsidP="009D7677">
      <w:pPr>
        <w:pStyle w:val="TextoNormal"/>
      </w:pPr>
      <w:r>
        <w:t xml:space="preserve">El mandato de taxatividad o de </w:t>
      </w:r>
      <w:r w:rsidRPr="009D7677">
        <w:rPr>
          <w:i/>
        </w:rPr>
        <w:t>lex certa</w:t>
      </w:r>
      <w:r>
        <w:t>, “se traduce en la exigencia de predeterminación normativa de las conductas punibles y de sus correspondientes sanciones” (entre otras, SSTC 142/1999, de 22 de julio, FJ 3; 123/2001, de 4 de junio, FJ 11, o 47/2022, de 24 de marzo, FJ 8; en términos similares, STC 170/2002, de 30 de septiembre, FJ 12). Así definido, el mandato de taxatividad se considera como una garantía de la denominada vertiente subjetiva de la seguridad jurídica (según la expresión utilizada en las SSTC 273/2000, de 15 de noviembre, FJ 11, y 196/2002, de 28 de octubre, FJ 5), lo que justifica que, como hemos expresado previamente, la queja relativa a la infracción del art. 9.3 CE quede, en este caso, subsumida en la vulneración específica del art. 25.1 CE.</w:t>
      </w:r>
    </w:p>
    <w:p w14:paraId="13AC7FB8" w14:textId="77777777" w:rsidR="009D7677" w:rsidRDefault="009D7677" w:rsidP="009D7677">
      <w:pPr>
        <w:pStyle w:val="TextoNormal"/>
      </w:pPr>
    </w:p>
    <w:p w14:paraId="66F28CED" w14:textId="77777777" w:rsidR="009D7677" w:rsidRDefault="009D7677" w:rsidP="009D7677">
      <w:pPr>
        <w:pStyle w:val="TextoNormal"/>
      </w:pPr>
      <w:r>
        <w:t xml:space="preserve">Para ajustarse al mandato constitucionalidad de taxatividad, “el legislador ha de operar con tipos; es decir, con una descripción estereotipada de las acciones y omisiones incriminadas, con indicación de las simétricas penas o sanciones (SSTC 120/1994, de 25 de abril, y 34/1996, de 11 de marzo), lo que exige una concreción y precisión de los elementos básicos de la correspondiente figura delictiva; resultando desconocida esta exigencia cuando se establece un supuesto de hecho tan extensamente delimitado que no permite deducir siquiera qué clase de conductas pueden llegar a ser sancionadas (STC 306/1994, de 14 de noviembre)” [STC 133/2021, de 24 de junio, FJ 6 B) b)]. La garantía de esta vertiente subjetiva de la seguridad jurídica, hace recaer por tanto sobre el legislador el deber de configurar las leyes sancionadoras de forma concreta, precisa, clara e inteligible, de modo que “los ciudadanos puedan conocer de antemano el ámbito de lo proscrito y prever, así, las consecuencias de sus acciones” [SSTC 242/2005, de 10 de octubre, FJ 2; 162/2008, de 15 de diciembre, FJ 1; 81/2009, de 23 de marzo, FJ 4; 135/2010, de 2 de diciembre, FJ 4; </w:t>
      </w:r>
      <w:r>
        <w:lastRenderedPageBreak/>
        <w:t>169/2021, de 6 de octubre, FJ 9, y 54/2023, de 22 de mayo, FJ 3 b)]. Esta garantía conlleva la inadmisibilidad de “formulaciones tan abiertas por su amplitud, vaguedad o indefinición, que la efectividad dependa de una decisión prácticamente libre y arbitraria del intérprete y juzgador” (SSTC 34/1996, FJ 5; 104/2009, de 4 de mayo, FJ 2, o 145/2013, de 11 de julio, FJ 4).</w:t>
      </w:r>
    </w:p>
    <w:p w14:paraId="05AF8318" w14:textId="77777777" w:rsidR="009D7677" w:rsidRDefault="009D7677" w:rsidP="009D7677">
      <w:pPr>
        <w:pStyle w:val="TextoNormal"/>
      </w:pPr>
    </w:p>
    <w:p w14:paraId="6E060D12" w14:textId="77777777" w:rsidR="009D7677" w:rsidRDefault="009D7677" w:rsidP="009D7677">
      <w:pPr>
        <w:pStyle w:val="TextoNormal"/>
      </w:pPr>
      <w:r>
        <w:t xml:space="preserve">Por tanto, en el ámbito normativo, que es el que nos ocupa en el presente proceso constitucional porque lo que se cuestiona es la actividad del legislador, la garantía de certeza puede “resultar vulnerada por la insuficiente determinación </w:t>
      </w:r>
      <w:r w:rsidRPr="009D7677">
        <w:rPr>
          <w:i/>
        </w:rPr>
        <w:t>ex ante</w:t>
      </w:r>
      <w:r>
        <w:t xml:space="preserve"> de la conducta sancionable, como defecto inmanente a la redacción legal del precepto sancionador objeto de escrutinio; vulneración que afectaría a la calidad de la ley, esto es, a la accesibilidad y previsibilidad del alcance de la norma en el ámbito penal o sancionador (SSTC 184/2003, de 23 de octubre, FJ 3, y 261/2015, de 14 de diciembre, FJ 5)” [STC 42/2022, de 21 de marzo, FJ 3 A) a)].</w:t>
      </w:r>
    </w:p>
    <w:p w14:paraId="4D0D5E89" w14:textId="77777777" w:rsidR="009D7677" w:rsidRDefault="009D7677" w:rsidP="009D7677">
      <w:pPr>
        <w:pStyle w:val="TextoNormal"/>
      </w:pPr>
    </w:p>
    <w:p w14:paraId="1CA928FD" w14:textId="1431325C" w:rsidR="009D7677" w:rsidRDefault="009D7677" w:rsidP="009D7677">
      <w:pPr>
        <w:pStyle w:val="TextoNormal"/>
      </w:pPr>
      <w:r>
        <w:t>Dicho lo anterior, nuestra jurisprudencia también admite la compatibilidad entre el mandato de taxatividad y el empleo de conceptos jurídicos indeterminados o la utilización de un lenguaje relativamente vago y versátil, «pues las “‘normas son necesariamente abstractas y se remiten implícitamente a una realidad normativa subyacente, y dentro de ciertos límites (por todas, STC 111/1993, de 25 de marzo), el propio legislador puede potenciar esa labilidad para facilitar la adaptación de la norma a la realidad’ (STC 129/2008, de 27 de octubre, FJ 3), que en ocasiones presenta aspectos difíciles de prever” [STC 146/2017, FJ 3 a)]» (STC 45/2022, de 23 de marzo, FJ 14).</w:t>
      </w:r>
    </w:p>
    <w:p w14:paraId="60C2C90E" w14:textId="77777777" w:rsidR="009D7677" w:rsidRDefault="009D7677" w:rsidP="009D7677">
      <w:pPr>
        <w:pStyle w:val="TextoNormal"/>
      </w:pPr>
    </w:p>
    <w:p w14:paraId="14F7AD89" w14:textId="77777777" w:rsidR="009D7677" w:rsidRDefault="009D7677" w:rsidP="009D7677">
      <w:pPr>
        <w:pStyle w:val="TextoNormal"/>
      </w:pPr>
      <w:r w:rsidRPr="009D7677">
        <w:rPr>
          <w:rStyle w:val="NumeroAFNegritaCaracter"/>
        </w:rPr>
        <w:t>4</w:t>
      </w:r>
      <w:r>
        <w:t xml:space="preserve">. </w:t>
      </w:r>
      <w:r w:rsidRPr="009D7677">
        <w:rPr>
          <w:i/>
        </w:rPr>
        <w:t>Aplicación de la jurisprudencia constitucional sobre el principio de taxatividad al control del art</w:t>
      </w:r>
      <w:r>
        <w:t xml:space="preserve">. 172 quater </w:t>
      </w:r>
      <w:r w:rsidRPr="009D7677">
        <w:rPr>
          <w:i/>
        </w:rPr>
        <w:t>CP</w:t>
      </w:r>
    </w:p>
    <w:p w14:paraId="4CA3FDD2" w14:textId="77777777" w:rsidR="009D7677" w:rsidRDefault="009D7677" w:rsidP="009D7677">
      <w:pPr>
        <w:pStyle w:val="TextoNormal"/>
      </w:pPr>
    </w:p>
    <w:p w14:paraId="69549B0F" w14:textId="77777777" w:rsidR="009D7677" w:rsidRDefault="009D7677" w:rsidP="009D7677">
      <w:pPr>
        <w:pStyle w:val="TextoNormal"/>
      </w:pPr>
      <w:r>
        <w:t xml:space="preserve">a) El recurso de inconstitucionalidad desarrolla un primer argumento para sustentar la invocación del art. 25.1 CE en el que se alude a una suerte de incongruencia entre la finalidad de la norma declarada en el preámbulo de la Ley Orgánica 4/2022, y el tipo delictivo descrito en el nuevo art. 172 </w:t>
      </w:r>
      <w:r w:rsidRPr="009D7677">
        <w:rPr>
          <w:i/>
        </w:rPr>
        <w:t>quater</w:t>
      </w:r>
      <w:r>
        <w:t xml:space="preserve"> CP, considerando que si la finalidad de la Ley Orgánica 4/2022 es sancionar las conductas desarrolladas en el entorno físico de las clínicas en las que se practican interrupciones voluntarias del embarazo, esa finalidad no encuentra reflejo exacto en el tipo contenido en el art. 172 </w:t>
      </w:r>
      <w:r w:rsidRPr="009D7677">
        <w:rPr>
          <w:i/>
        </w:rPr>
        <w:t>quater</w:t>
      </w:r>
      <w:r>
        <w:t xml:space="preserve"> CP.</w:t>
      </w:r>
    </w:p>
    <w:p w14:paraId="7EDE5141" w14:textId="77777777" w:rsidR="009D7677" w:rsidRDefault="009D7677" w:rsidP="009D7677">
      <w:pPr>
        <w:pStyle w:val="TextoNormal"/>
      </w:pPr>
    </w:p>
    <w:p w14:paraId="5C21EAC0" w14:textId="77777777" w:rsidR="009D7677" w:rsidRDefault="009D7677" w:rsidP="009D7677">
      <w:pPr>
        <w:pStyle w:val="TextoNormal"/>
      </w:pPr>
      <w:r>
        <w:t>Nuestra jurisprudencia sostiene de manera constante e incontrovertida que los preámbulos o las exposiciones de motivos de las leyes carecen de valor normativo y no pueden ser objeto directo de un recurso de inconstitucionalidad [SSTC 36/1981, de 12 de noviembre, FJ 7; 150/1990, de 4 de octubre, FJ 2; 173/1998, de 23 de julio, FJ 4; 116/1999, de 17 de junio, FJ 2; 99/2012, de 8 de mayo; 104/2015, de 28 de mayo, FJ 3; 114/2017, de 17 de octubre, FJ 2 A) b); 51/2019, de 11 de abril, FJ 2; 158/2019, de 12 de diciembre, FJ 4; 81/2020, de 15 de julio, FJ 12; 131/2020, de 22 de septiembre, FJ 6 a); 37/2021, de 18 de febrero, FJ 2 a), y 9/2023, de 22 de febrero, FJ 2 a)]. Cosa distinta es que en algunos casos los conceptos y categorías que se contienen en el preámbulo de una ley se proyecten sobre su articulado posterior, pudiendo contener elementos interpretativos que puedan incidir en la parte dispositiva de la ley [STC 51/2019, FJ 2 a), en el mismo sentido SSTC 36/1981, FJ 7; 31/2010, FJ 7, y ATC 95/2021, de 7 de octubre, FJ único]. Pero esto no sucede en el supuesto que nos ocupa. Como afirmamos en la STC 49/2008, de 9 de abril, “las afirma</w:t>
      </w:r>
      <w:r>
        <w:lastRenderedPageBreak/>
        <w:t>ciones más o menos explícitas sobre los motivos que han llevado al legislador a aprobar los preceptos impugnados, sobre su incapacidad de expresarlos y su voluntad de ocultarlos no pueden formar parte de un debate procesal que se desarrolla en esta sede y que tiene por objeto normas y no intenciones” (FJ 5).</w:t>
      </w:r>
    </w:p>
    <w:p w14:paraId="1DD188EF" w14:textId="77777777" w:rsidR="009D7677" w:rsidRDefault="009D7677" w:rsidP="009D7677">
      <w:pPr>
        <w:pStyle w:val="TextoNormal"/>
      </w:pPr>
    </w:p>
    <w:p w14:paraId="6D21C7DE" w14:textId="77777777" w:rsidR="009D7677" w:rsidRDefault="009D7677" w:rsidP="009D7677">
      <w:pPr>
        <w:pStyle w:val="TextoNormal"/>
      </w:pPr>
      <w:r>
        <w:t xml:space="preserve">Quizá los motivos expresados por el legislador para especificar el contexto justificativo de la aprobación de la norma penal no coinciden de manera total o exclusiva con la descripción de la conducta típica, que no queda limitada al entorno geográfico donde se sitúe una clínica de salud sexual y reproductiva. De ello no se deriva necesariamente que el precepto no sea taxativo, o que las afirmaciones de la exposición de motivos deban necesariamente integrar la comprensión del tipo penal cuyo contenido normativo queda concretado por los elementos incorporados al art. 172 </w:t>
      </w:r>
      <w:r w:rsidRPr="009D7677">
        <w:rPr>
          <w:i/>
        </w:rPr>
        <w:t>quater</w:t>
      </w:r>
      <w:r>
        <w:t xml:space="preserve"> CP. Por tanto, respecto de esta cuestión debe rechazarse la invocación del principio de taxatividad.</w:t>
      </w:r>
    </w:p>
    <w:p w14:paraId="6E5F9427" w14:textId="77777777" w:rsidR="009D7677" w:rsidRDefault="009D7677" w:rsidP="009D7677">
      <w:pPr>
        <w:pStyle w:val="TextoNormal"/>
      </w:pPr>
    </w:p>
    <w:p w14:paraId="7905EC98" w14:textId="77777777" w:rsidR="009D7677" w:rsidRDefault="009D7677" w:rsidP="009D7677">
      <w:pPr>
        <w:pStyle w:val="TextoNormal"/>
      </w:pPr>
      <w:r>
        <w:t xml:space="preserve">b) El recurso de inconstitucionalidad fundamenta también la invocación del art. 25.1 CE afirmando la falta de calidad normativa del precepto impugnado “por cuanto trata de tipificar conductas delictivas incorporando conceptos jurídicos indeterminados —actos molestos, ofensivos— que vulneran la exigencia de </w:t>
      </w:r>
      <w:r w:rsidRPr="009D7677">
        <w:rPr>
          <w:i/>
        </w:rPr>
        <w:t>lex certa</w:t>
      </w:r>
      <w:r>
        <w:t xml:space="preserve"> que contiene el art. 25.1 CE”. A ese respecto, incide en que se omite cualquier precisión que permita la concreción de lo que puede entenderse por molestia u ofensa, desconociéndose el nivel de sensibilidad que cada mujer o trabajador afectado puede tener para recibir un consejo o comentario contrario a la interrupción voluntaria del embarazo sin resultar molesto u ofensivo y llegar en tal caso a ser constitutivo de la conducta infractora, instituyéndose una circunstancia puramente subjetiva.</w:t>
      </w:r>
    </w:p>
    <w:p w14:paraId="40ED07F2" w14:textId="77777777" w:rsidR="009D7677" w:rsidRDefault="009D7677" w:rsidP="009D7677">
      <w:pPr>
        <w:pStyle w:val="TextoNormal"/>
      </w:pPr>
    </w:p>
    <w:p w14:paraId="06991574" w14:textId="77777777" w:rsidR="009D7677" w:rsidRDefault="009D7677" w:rsidP="009D7677">
      <w:pPr>
        <w:pStyle w:val="TextoNormal"/>
      </w:pPr>
      <w:r>
        <w:t xml:space="preserve">En este sentido, no se puede ignorar que en la Recomendación general núm. 35 sobre la violencia por razón de género contra la mujer, por la que se actualiza la Recomendación general núm. 19 del Comité para la eliminación de la discriminación contra la mujer, se pone de manifiesto que el “abuso y el maltrato de las mujeres y las niñas que buscan información sobre salud, bienes y servicios sexuales y reproductivos, son formas de violencia por razón de género que, según las circunstancias, pueden constituir tortura o trato cruel, inhumano o degradante”. Y, una vez regulado el derecho a la interrupción voluntaria del embarazo por la Ley Orgánica 2/2010, de 3 de marzo, de salud sexual y reproductiva y de la interrupción voluntaria del embarazo (modificada por la Ley Orgánica 1/2023, de 28 de febrero) se constata que desaparecidas las barreras legales al ejercicio del derecho a la interrupción voluntaria del embarazo, los obstáculos se vienen planteando, bien por una inadecuada consideración de la objeción de conciencia a practicar interrupciones voluntarias del embarazo, entendida como excepción a una obligación legal (SSTC 44/2023, de 9 de mayo, FJ 9, y 78/2023, de 3 de julio, FJ 6), o bien por la presión ejercida por quienes se oponen a esta práctica integrada en el concepto amplio del derecho a la salud sexual y reproductiva de las mujeres. Ambas consideraciones dan un contexto explicativo a la tipificación de las conductas sancionadas en el art. 172 </w:t>
      </w:r>
      <w:r w:rsidRPr="009D7677">
        <w:rPr>
          <w:i/>
        </w:rPr>
        <w:t>quater</w:t>
      </w:r>
      <w:r>
        <w:t xml:space="preserve"> CP.</w:t>
      </w:r>
    </w:p>
    <w:p w14:paraId="4C833ECF" w14:textId="77777777" w:rsidR="009D7677" w:rsidRDefault="009D7677" w:rsidP="009D7677">
      <w:pPr>
        <w:pStyle w:val="TextoNormal"/>
      </w:pPr>
    </w:p>
    <w:p w14:paraId="2F6AE1D2" w14:textId="77777777" w:rsidR="009D7677" w:rsidRDefault="009D7677" w:rsidP="009D7677">
      <w:pPr>
        <w:pStyle w:val="TextoNormal"/>
      </w:pPr>
      <w:r>
        <w:t xml:space="preserve">Pues bien, en relación con el argumento relativo a la infracción del art. 25.1 CE, se constata que el art. 172 </w:t>
      </w:r>
      <w:r w:rsidRPr="009D7677">
        <w:rPr>
          <w:i/>
        </w:rPr>
        <w:t>quater</w:t>
      </w:r>
      <w:r>
        <w:t xml:space="preserve"> CP, en sus apartados 1 y 2, configura la conducta infractora a través del verbo rector “acosar”, que queda limitado, en cuanto a los medios comisivos del acoso, a que se ejecuta mediante “actos molestos, ofensivos, intimidatorios o coactivos” y, en cuanto al resultado, a que dichos medios comisivos menoscaben la libertad del </w:t>
      </w:r>
      <w:r>
        <w:lastRenderedPageBreak/>
        <w:t>sujeto pasivo. Toda esta conducta, por otro lado, se ha de desarrollar con la finalidad, para el caso del sujeto pasivo mujer embarazada, de “obstaculizar el ejercicio del derecho a la interrupción voluntaria del embarazo” y, para los trabajadores del ámbito sanitario y el personal facultativo o directivo de los centros habilitados para la interrupción voluntaria del embarazo, de “obstaculizar el ejercicio de su profesión o cargo”.</w:t>
      </w:r>
    </w:p>
    <w:p w14:paraId="0D45DA5C" w14:textId="77777777" w:rsidR="009D7677" w:rsidRDefault="009D7677" w:rsidP="009D7677">
      <w:pPr>
        <w:pStyle w:val="TextoNormal"/>
      </w:pPr>
    </w:p>
    <w:p w14:paraId="79DB27D6" w14:textId="77777777" w:rsidR="009D7677" w:rsidRDefault="009D7677" w:rsidP="009D7677">
      <w:pPr>
        <w:pStyle w:val="TextoNormal"/>
      </w:pPr>
      <w:r>
        <w:t xml:space="preserve">Los dos elementos incorporados al art. 172 </w:t>
      </w:r>
      <w:r w:rsidRPr="009D7677">
        <w:rPr>
          <w:i/>
        </w:rPr>
        <w:t>quater</w:t>
      </w:r>
      <w:r>
        <w:t xml:space="preserve"> CP que los recurrentes consideran excesivamente vagos y, por ello, imprevisibles para los destinatarios de la norma penal y de los operadores jurídicos encargados de su aplicación —actos molestos y ofensivos— no puede considerarse, ni en abstracto, ni en el contexto del precepto penal en el que se incorporan, que carezcan de la necesaria precisión exigida por el principio de taxatividad, ni tampoco que impongan una interpretación exclusivamente subjetiva que imposibilite una concreción objetiva de las conductas a sancionar.</w:t>
      </w:r>
    </w:p>
    <w:p w14:paraId="3A4F5FFA" w14:textId="77777777" w:rsidR="009D7677" w:rsidRDefault="009D7677" w:rsidP="009D7677">
      <w:pPr>
        <w:pStyle w:val="TextoNormal"/>
      </w:pPr>
    </w:p>
    <w:p w14:paraId="06F6AE09" w14:textId="77777777" w:rsidR="009D7677" w:rsidRDefault="009D7677" w:rsidP="009D7677">
      <w:pPr>
        <w:pStyle w:val="TextoNormal"/>
      </w:pPr>
      <w:r>
        <w:t xml:space="preserve">El verbo típico rector de la conducta del precepto impugnado no es la ejecución, entre otros, de actos molestos u ofensivos, sino la acción de acosar. La conducta de acoso, que es sobre la que radica la ilicitud de hecho aparece de manera profusa en distintos ilícitos del Código penal (así, por ejemplo, en los arts. 172 </w:t>
      </w:r>
      <w:r w:rsidRPr="009D7677">
        <w:rPr>
          <w:i/>
        </w:rPr>
        <w:t>ter</w:t>
      </w:r>
      <w:r>
        <w:t>; 173.1, párrafo tercero; o 184 CP) y ha generado una numerosa jurisprudencia respecto de su ámbito de comprensión. Este es un primer elemento que permite excluir los riesgos de vaguedad o subjetivización en la aprehensión del ámbito de aplicación de este delito tanto por parte de los potenciales sujetos activos como de los operadores jurídicos encargados de su aplicación.</w:t>
      </w:r>
    </w:p>
    <w:p w14:paraId="6B841E53" w14:textId="77777777" w:rsidR="009D7677" w:rsidRDefault="009D7677" w:rsidP="009D7677">
      <w:pPr>
        <w:pStyle w:val="TextoNormal"/>
      </w:pPr>
    </w:p>
    <w:p w14:paraId="76B62A42" w14:textId="77777777" w:rsidR="009D7677" w:rsidRDefault="009D7677" w:rsidP="009D7677">
      <w:pPr>
        <w:pStyle w:val="TextoNormal"/>
      </w:pPr>
      <w:r>
        <w:t>Por otro lado, asumiendo que los actos molestos y ofensivos no son sino medios comisivos típicos de la conducta de acoso, el elemento “acto molesto” queda perfectamente delimitado y definido en el lenguaje común en tanto que, si bien la primera acepción del verbo molestar en el diccionario de la Real Academia Española es “[c]ausar fastidio o malestar a alguien”; su segunda acepción es “[i]mpedir u obstaculizar algo”. De ese modo, es concreta como un elemento del tipo en plena coherencia con la finalidad, también incorporada al tipo, de que esa conducta se desarrolle “para obstaculizar” el ejercicio del derecho a la interrupción voluntaria del embarazo, en el caso del sujeto pasivo mujer embarazada, o en el del sujeto pasivo del profesional sanitario que actúa en el ejercicio de su profesión. Lo mismo puede afirmarse del elemento “actos ofensivos”, ya que la primera acepción en el lenguaje común del verbo ofender es “[h]umillar o herir el amor propio o la dignidad de alguien, o ponerlo en evidencia con palabras o con hechos”. En este caso, además, se constata que conductas tipificadas con derivados del verbo ofender están incorporadas al vigente Código penal tanto en los arts. 524 y 525 CP —en los que se sancionan los delitos contra los sentimientos religiosos— como en el art. 543 CP —en el que se tipifica el delito de ofensas y ultrajes a España y sus símbolos—. De ese modo, tratándose de un concepto cuyo uso jurídico-penal ya está incorporado en los citados preceptos desde la redacción originaria del Código penal por la Ley Orgánica 10/1995, de 23 de noviembre, y que, además, ha dado lugar a una interpretación jurisprudencial por parte de la jurisdicción ordinaria, no cabe afirmar que su ámbito de comprensión pudiera resultar imprevisible en el contexto del artículo ahora impugnado.</w:t>
      </w:r>
    </w:p>
    <w:p w14:paraId="5F990C37" w14:textId="77777777" w:rsidR="009D7677" w:rsidRDefault="009D7677" w:rsidP="009D7677">
      <w:pPr>
        <w:pStyle w:val="TextoNormal"/>
      </w:pPr>
    </w:p>
    <w:p w14:paraId="312173E8" w14:textId="77777777" w:rsidR="009D7677" w:rsidRDefault="009D7677" w:rsidP="009D7677">
      <w:pPr>
        <w:pStyle w:val="TextoNormal"/>
      </w:pPr>
      <w:r>
        <w:t xml:space="preserve">Además, a los efectos de valorar una eventual imprevisibilidad en la comprensión de los elementos del tipo “actos molestos y ofensivos” y, una interpretación subjetivizante, debe tenerse en cuenta que estos elementos aparecen, por un lado, integrados con otros </w:t>
      </w:r>
      <w:r>
        <w:lastRenderedPageBreak/>
        <w:t>medios comisivos como la intimidación y las coacciones y, por otro, vienen acompañados de la precisión de que dichos actos tienen que menoscabar la libertad del sujeto pasivo. Esta contextualización, acompañada de la finalidad típica de que se trata de una conducta de acoso para obstaculizar el ejercicio de determinados derechos, permiten un adecuado entendimiento de la expresión “actos molestos y ofensivos” por parte de los destinatarios y de los operadores jurídicos, parificados no solo con la intensidad lesiva del resto de medios comisivos en relación con el derecho a la libertad, sino con su efectivo menoscabo mediante la obstaculización al ejercicio de concretos derechos. Esta circunstancia también es un elemento relevante para descartar las imputaciones de falta de taxatividad alegada por los recurrentes.</w:t>
      </w:r>
    </w:p>
    <w:p w14:paraId="1F5DE38A" w14:textId="77777777" w:rsidR="009D7677" w:rsidRDefault="009D7677" w:rsidP="009D7677">
      <w:pPr>
        <w:pStyle w:val="TextoNormal"/>
      </w:pPr>
    </w:p>
    <w:p w14:paraId="698B067A" w14:textId="4DFAF0B4" w:rsidR="009D7677" w:rsidRDefault="009D7677" w:rsidP="009D7677">
      <w:pPr>
        <w:pStyle w:val="TextoNormal"/>
      </w:pPr>
      <w:r>
        <w:t xml:space="preserve">De lo expuesto se concluye que los riesgos de aplicación del precepto impugnado por los recurrentes a conductas como meras sugerencias o comentarios contrarios a la interrupción voluntaria del embarazo no forman parte de una normal comprensión del ámbito de aplicación del art. 172 </w:t>
      </w:r>
      <w:r w:rsidRPr="009D7677">
        <w:rPr>
          <w:i/>
        </w:rPr>
        <w:t>quater</w:t>
      </w:r>
      <w:r>
        <w:t xml:space="preserve"> CP. Por tanto, será en el ámbito aplicativo concreto de este precepto por parte de los órganos judiciales, y no en el de su concreción legislativa, que es el objeto de análisis del presente proceso constitucional, en el que, en su caso, habrá que controlar, incluso por la vía del procedimiento de amparo ante este tribunal, cualquier eventual interpretación imprevisible de dicho precepto.</w:t>
      </w:r>
    </w:p>
    <w:p w14:paraId="6D97714E" w14:textId="77777777" w:rsidR="009D7677" w:rsidRDefault="009D7677" w:rsidP="009D7677">
      <w:pPr>
        <w:pStyle w:val="TextoNormal"/>
      </w:pPr>
    </w:p>
    <w:p w14:paraId="60D48411" w14:textId="77777777" w:rsidR="009D7677" w:rsidRDefault="009D7677" w:rsidP="009D7677">
      <w:pPr>
        <w:pStyle w:val="TextoNormal"/>
      </w:pPr>
      <w:r w:rsidRPr="009D7677">
        <w:rPr>
          <w:rStyle w:val="NumeroAFNegritaCaracter"/>
        </w:rPr>
        <w:t>5</w:t>
      </w:r>
      <w:r>
        <w:t xml:space="preserve">. </w:t>
      </w:r>
      <w:r w:rsidRPr="009D7677">
        <w:rPr>
          <w:i/>
        </w:rPr>
        <w:t>Jurisprudencia constitucional sobre la limitación penal al ejercicio de derechos fundamentales</w:t>
      </w:r>
      <w:r>
        <w:t xml:space="preserve"> </w:t>
      </w:r>
      <w:r w:rsidRPr="009D7677">
        <w:rPr>
          <w:i/>
        </w:rPr>
        <w:t>y su aplicación al art</w:t>
      </w:r>
      <w:r>
        <w:t xml:space="preserve">. 172 quater </w:t>
      </w:r>
      <w:r w:rsidRPr="009D7677">
        <w:rPr>
          <w:i/>
        </w:rPr>
        <w:t>CP</w:t>
      </w:r>
    </w:p>
    <w:p w14:paraId="250FCF7A" w14:textId="77777777" w:rsidR="009D7677" w:rsidRDefault="009D7677" w:rsidP="009D7677">
      <w:pPr>
        <w:pStyle w:val="TextoNormal"/>
      </w:pPr>
    </w:p>
    <w:p w14:paraId="12533D98" w14:textId="77777777" w:rsidR="009D7677" w:rsidRDefault="009D7677" w:rsidP="009D7677">
      <w:pPr>
        <w:pStyle w:val="TextoNormal"/>
      </w:pPr>
      <w:r>
        <w:t xml:space="preserve">a) El recurso de inconstitucionalidad considera que la persecución de las conductas tipificadas en el art. 172 </w:t>
      </w:r>
      <w:r w:rsidRPr="009D7677">
        <w:rPr>
          <w:i/>
        </w:rPr>
        <w:t>quater</w:t>
      </w:r>
      <w:r>
        <w:t xml:space="preserve"> CP supone una lesión de las libertades ideológica y religiosa (art. 16 CE), la libertad de expresión (art. 20 CE), los derechos de reunión y manifestación (art. 21 CE) y el derecho a la igualdad (art. 14 CE). Estas invocaciones se justifican en que el precepto impugnado sanciona conductas que constituyen la simple expresión del normal ejercicio de estos derechos fundamentales generando con ello un efecto disuasorio; a lo que añade el escrito de interposición del recurso, respecto de la invocación del derecho a la igualdad, que no se sancionan los actos expresivos de la opinión o las manifestaciones favorables al ejercicio del derecho a la interrupción voluntaria del embarazo, por lo que el legislador penal está sancionando creencias, ideologías u opiniones, aunque estas se expresen pacífica y respetuosamente.</w:t>
      </w:r>
    </w:p>
    <w:p w14:paraId="14EC9C74" w14:textId="77777777" w:rsidR="009D7677" w:rsidRDefault="009D7677" w:rsidP="009D7677">
      <w:pPr>
        <w:pStyle w:val="TextoNormal"/>
      </w:pPr>
    </w:p>
    <w:p w14:paraId="4F54AF66" w14:textId="77777777" w:rsidR="009D7677" w:rsidRDefault="009D7677" w:rsidP="009D7677">
      <w:pPr>
        <w:pStyle w:val="TextoNormal"/>
      </w:pPr>
      <w:r>
        <w:t xml:space="preserve">A los efectos de clarificar esta plural invocación de derechos fundamentales, es preciso señalar que, tal y como alegan los recurrentes y será desarrollado posteriormente, el tipo y la sanción penal solo pueden estimarse constitucionalmente legítimos si no han producido, por su severidad, un sacrificio innecesario o desproporcionado en la libertad que limitan, o un efecto desalentador del ejercicio de los derechos fundamentales implicados en la conducta sancionada. En atención a ello, resulta posible admitir que el tipo penal impugnado puede llegar a limitar actitudes o acciones de protesta frente al ejercicio ajeno del derecho a la interrupción voluntaria del embarazo o puede afectar a la expresión de ideas y opiniones contrarias a ese ejercicio, de modo tal que el tipo afectaría a los derechos de reunión y manifestación (art. 21 CE) o al derecho a la libertad de expresión (art. 20 CE). Por el contrario, no cabe apreciar una eventual afectación por parte del precepto impugnado de los derechos a las libertades ideológica y religiosa. En los términos generales en los que está delimitada la conducta típica no se constata su conexión con la persecución de ideas o </w:t>
      </w:r>
      <w:r>
        <w:lastRenderedPageBreak/>
        <w:t>posiciones ideológicas ni mucho menos de actos de culto o manifestaciones públicas de sentimientos religiosos, ya que lo sancionado son unas concretas conductas de acoso atentatorias a la libertad de terceros para el ejercicio de sus derechos y no la mera posición personal o su expresión fundamentada en razones ideológicas o religiosas sobre la interrupción voluntaria del embarazo. Por otro lado, la justificación de la invocación del derecho a la igualdad (art. 14 CE) pone de manifiesto que se trata de una invocación que es totalmente instrumental de la de los arts. 20 y 21 CE, por lo que no tiene entidad autónoma suficiente como para precisar de un pronunciamiento específico de este tribunal.</w:t>
      </w:r>
    </w:p>
    <w:p w14:paraId="7F57F88D" w14:textId="77777777" w:rsidR="009D7677" w:rsidRDefault="009D7677" w:rsidP="009D7677">
      <w:pPr>
        <w:pStyle w:val="TextoNormal"/>
      </w:pPr>
    </w:p>
    <w:p w14:paraId="2A1B9F39" w14:textId="77777777" w:rsidR="009D7677" w:rsidRDefault="009D7677" w:rsidP="009D7677">
      <w:pPr>
        <w:pStyle w:val="TextoNormal"/>
      </w:pPr>
      <w:r>
        <w:t>Por tanto, el análisis de la presente impugnación ha de quedar limitado a las invocaciones de los derechos a la libertad de expresión (art. 20 CE) y de reunión (art. 21 CE), que, atendiendo a lo expuesto en el propio escrito de planteamiento del recurso de inconstitucionalidad, van a recibir un tratamiento conjunto, especialmente tomando en consideración que la invocación del primero se hace, precisamente, como norma especial por configurarse como una manifestación colectiva de la libertad de expresión.</w:t>
      </w:r>
    </w:p>
    <w:p w14:paraId="2FA1C7C5" w14:textId="77777777" w:rsidR="009D7677" w:rsidRDefault="009D7677" w:rsidP="009D7677">
      <w:pPr>
        <w:pStyle w:val="TextoNormal"/>
      </w:pPr>
    </w:p>
    <w:p w14:paraId="686B132E" w14:textId="77777777" w:rsidR="009D7677" w:rsidRDefault="009D7677" w:rsidP="009D7677">
      <w:pPr>
        <w:pStyle w:val="TextoNormal"/>
      </w:pPr>
      <w:r>
        <w:t>La jurisprudencia constitucional ha reiterado que, al igual que la libertad de expresión, el derecho de reunión y el de manifestación son libertades políticas básicas sobre las que se asienta nuestro orden político (art. 10.1 CE), ya que están intensamente vinculados con el pluralismo político y con la idea misma de la democracia, directa y representativa. Por lo que se refiere al derecho de reunión, el art. 21 CE reconoce y protege el derecho de reunión pacífica, de modo que se descarta de su ámbito de protección no solo el uso de armas sino también aquellas reuniones o manifestaciones en las que sus organizadores o participantes tengan intenciones violentas, pretendan inducir a otros a ejercer la violencia o socaven de cualquier otra manera los fundamentos de una sociedad democrática. Además, el contenido de estos derechos puede verse modulado por los límites a su ejercicio que forzosamente impone la protección de otros bienes o derechos constitucionales, como son aquellos que vienen impuestos por la necesidad de evitar que un ejercicio extralimitado del derecho pueda entrar en colisión con otros valores constitucionales. Estos límites, en cualquier caso, han de ser necesarios para conseguir el fin perseguido, debiendo atender a la proporcionalidad entre el sacrificio del derecho y la situación en la que se halla aquel a quien se impone y, en todo caso, deben respetar su contenido esencial (así, por ejemplo, SSTC 122/2021, de 2 de junio, FJ 9.3, o 46/2022, FJ 12.2.3.2).</w:t>
      </w:r>
    </w:p>
    <w:p w14:paraId="182A4669" w14:textId="77777777" w:rsidR="009D7677" w:rsidRDefault="009D7677" w:rsidP="009D7677">
      <w:pPr>
        <w:pStyle w:val="TextoNormal"/>
      </w:pPr>
    </w:p>
    <w:p w14:paraId="7E3694F7" w14:textId="77777777" w:rsidR="009D7677" w:rsidRDefault="009D7677" w:rsidP="009D7677">
      <w:pPr>
        <w:pStyle w:val="TextoNormal"/>
      </w:pPr>
      <w:r>
        <w:t>En atención a lo expuesto, el análisis que debe formular la jurisdicción constitucional, en un marco, como el que nos ocupa, de control de constitucionalidad abstracto de una norma penal, radica en identificar si la disposición impugnada vulnera el principio de proporcionalidad en la medida en que se produce una desproporción entre el fin perseguido y los medios empleados para conseguirlo, derivándose de esa falta de proporción un sacrificio excesivo e innecesario de los derechos que la Constitución garantiza, bien porque resulta innecesaria una reacción de tipo penal o bien por ser excesiva la cuantía o extensión de la pena en relación con la entidad del delito (STC 136/1999, de 20 de julio, FJ 22).</w:t>
      </w:r>
    </w:p>
    <w:p w14:paraId="39B80477" w14:textId="77777777" w:rsidR="009D7677" w:rsidRDefault="009D7677" w:rsidP="009D7677">
      <w:pPr>
        <w:pStyle w:val="TextoNormal"/>
      </w:pPr>
    </w:p>
    <w:p w14:paraId="7188856E" w14:textId="77777777" w:rsidR="009D7677" w:rsidRDefault="009D7677" w:rsidP="009D7677">
      <w:pPr>
        <w:pStyle w:val="TextoNormal"/>
      </w:pPr>
      <w:r>
        <w:t xml:space="preserve">El juicio de proporcionalidad al que nos referimos, respecto de los límites penales al ejercicio de determinados derechos fundamentales, debe partir, como sostiene nuestra jurisprudencia previa, de un escrupuloso respeto a la “potestad exclusiva del legislador para configurar los bienes penalmente protegidos, los comportamientos penalmente reprensibles, el tipo y la cuantía de las sanciones penales, y la proporción entre las conductas que </w:t>
      </w:r>
      <w:r>
        <w:lastRenderedPageBreak/>
        <w:t>pretende evitar y las penas con las que intenta conseguirlo. En el ejercicio de dicha potestad el legislador goza, dentro de los límites establecidos en la Constitución, de un amplio margen de libertad que deriva de su posición constitucional y, en última instancia, de su específica legitimidad democrática [...]. De ahí que, en concreto, la relación de proporción que deba guardar un comportamiento penalmente típico con la sanción que se le asigna será el fruto de un complejo juicio de oportunidad que no supone una mera ejecución o aplicación de la Constitución, y para el que ha de atender no solo al fin esencial y directo de protección al que responde la norma, sino también a otros fines legítimos que pueda perseguir con la pena y a las diversas formas en que esta opera, y que podrían catalogarse como sus funciones o fines inmediatos a las diversas formas en que la conminación abstracta de la pena y su aplicación influyen en el comportamiento de los destinatarios de la norma —intimidación, eliminación de la venganza privada, consolidación de las convicciones éticas generales, refuerzo del sentimiento de fidelidad al ordenamiento, resocialización, etc.— y que se clasifican doctrinalmente bajo las denominaciones de prevención general y de prevención especial. Estos efectos de la pena dependen a su vez de factores tales como la gravedad del comportamiento que se pretende disuadir, las posibilidades fácticas de su detección y sanción y las percepciones sociales relativas a la adecuación entre delito y pena” (así, por ejemplo, SSTC 136/1999, FJ 23, o 91/2021, de 22 de abril, FJ 11.1).</w:t>
      </w:r>
    </w:p>
    <w:p w14:paraId="7C341137" w14:textId="77777777" w:rsidR="009D7677" w:rsidRDefault="009D7677" w:rsidP="009D7677">
      <w:pPr>
        <w:pStyle w:val="TextoNormal"/>
      </w:pPr>
    </w:p>
    <w:p w14:paraId="0BDD807B" w14:textId="77777777" w:rsidR="009D7677" w:rsidRDefault="009D7677" w:rsidP="009D7677">
      <w:pPr>
        <w:pStyle w:val="TextoNormal"/>
      </w:pPr>
      <w:r>
        <w:t>Por tanto, en esta sede debemos limitarnos “a verificar que la norma penal no produzca un patente derroche inútil de coacción que convierte la norma en arbitraria y que socava los principios elementales de justicia inherentes a la dignidad de la persona y al Estado de Derecho o una actividad pública arbitraria y no respetuosa con la dignidad de la persona y, con ello, de los derechos y libertades fundamentales de la misma. Así, desde la perspectiva constitucional, solo cabrá calificar la reacción penal como estrictamente desproporcionada cuando concurra un desequilibrio patente y excesivo o irrazonable entre la sanción y la finalidad de la norma a partir de las pautas axiológicas constitucionalmente indiscutibles y de su concreción en la propia actividad legislativa” (STC 8/2024, de 16 de enero, FJ 6). Para ello debemos atender al conjunto de intereses protegidos por la norma impugnada o a si los fines inmediatos y mediatos tutelados por esta son suficientemente relevantes, ya que, como ha reiterado la jurisprudencia constitucional, “para determinar si el legislador ha incurrido en un exceso manifiesto en el rigor de las penas al introducir un sacrificio innecesario o desproporcionado, debemos indagar, en primer lugar, si el bien jurídico protegido por la norma cuestionada o, mejor, si los fines inmediatos y mediatos de protección de la misma, son suficientemente relevantes, puesto que la vulneración de la proporcionalidad podría declararse ya en un primer momento del análisis ‘si el sacrificio de la libertad que impone la norma persigue la prevención de bienes o intereses no solo, por supuesto, constitucionalmente proscritos, sino ya, también, socialmente irrelevantes’ (STC 55/1996, de 28 de marzo, FJ 7; en el mismo sentido, STC 111/1993, FJ 9). En segundo lugar deberá indagarse si la medida era idónea y necesaria para alcanzar los fines de protección que constituyen el objetivo del precepto en cuestión. Y, finalmente, si el precepto es desproporcionado desde la perspectiva de la comparación entre la entidad del delito y la entidad de la pena” (así, por ejemplo, SSTC 136/1999, FJ 23, o 91/2021, FJ 11.1).</w:t>
      </w:r>
    </w:p>
    <w:p w14:paraId="6C3539E2" w14:textId="77777777" w:rsidR="009D7677" w:rsidRDefault="009D7677" w:rsidP="009D7677">
      <w:pPr>
        <w:pStyle w:val="TextoNormal"/>
      </w:pPr>
    </w:p>
    <w:p w14:paraId="39B2291A" w14:textId="77777777" w:rsidR="009D7677" w:rsidRDefault="009D7677" w:rsidP="009D7677">
      <w:pPr>
        <w:pStyle w:val="TextoNormal"/>
      </w:pPr>
      <w:r>
        <w:t xml:space="preserve">b) Dentro del marco general descrito, podemos concretar que el delito de acoso para obstaculizar el ejercicio del derecho a la interrupción voluntaria del embarazo tipificado en el art. 172 </w:t>
      </w:r>
      <w:r w:rsidRPr="009D7677">
        <w:rPr>
          <w:i/>
        </w:rPr>
        <w:t>quater</w:t>
      </w:r>
      <w:r>
        <w:t xml:space="preserve"> CP pretende la protección de un interés con cobertura constitucional </w:t>
      </w:r>
      <w:r>
        <w:lastRenderedPageBreak/>
        <w:t>suficiente, como es la garantía de la libertad de las mujeres para interrumpir de forma voluntaria su embarazo. Tal y como se estableció en la STC 44/2023, “[l]a interrupción voluntaria del embarazo, en cuanto presupone la libertad de la mujer para la adopción de una decisión vital de la máxima trascendencia, goza de una primera protección constitucional a través del reconocimiento de la libertad como valor superior del ordenamiento jurídico (art. 1.1 CE) y de los principios de dignidad y libre desarrollo de su personalidad, que constituyen ‘el fundamento del orden político y la paz social’ (art. 10.1 CE)” [FJ 3 A)]. Sobre la base de la libertad y la dignidad, la jurisprudencia constitucional reciente asume que “la decisión acerca de continuar adelante con el embarazo, con las consecuencias que ello implica en todos los órdenes de la vida de la mujer —físico, psicológico, social y jurídico— enlaza de forma directa con su dignidad y el libre desarrollo de su personalidad, en cuanto afecta a la libertad de procreación de la mujer y condiciona indiscutiblemente su proyecto de vida. De acuerdo con ello, el legislador no puede dejar de inspirarse en el respeto a la dignidad de la mujer y al ‘libre desarrollo de la personalidad’ al regular la interrupción voluntaria del embarazo. En particular, dichos principios resultarían con toda evidencia ignorados si se impusiera a la mujer gestante, en términos absolutos, la culminación del propio embarazo y el consiguiente alumbramiento” [STC 44/2023, FJ 3 A)]. Y, junto a la dignidad, y el libre desarrollo de la personalidad, la decisión de la mujer de interrumpir su embarazo se encuentra amparada “en el art. 15 CE, que garantiza el derecho fundamental a la integridad física y moral” [STC 44/2023, FJ 3 B)]. En suma, “el respeto al derecho fundamental de la mujer a la integridad física y moral (art. 15 CE), en conexión con su dignidad y el libre desarrollo de su personalidad (art. 10.1 CE), exigen del legislador el reconocimiento de un ámbito de libertad en el que la mujer pueda adoptar razonablemente, de forma autónoma y sin coerción de ningún tipo, la decisión que considere más adecuada en cuanto a la continuación o no de la gestación. Respetando ese ámbito mínimo que garantice a la mujer un razonable ejercicio de sus derechos, corresponde al legislador determinar el modo en que han de limitarse los derechos constitucionales de la mujer con el fin de tutelar la vida prenatal, como bien constitucionalmente protegido, siempre teniendo en cuenta que todo acto o resolución que limite derechos fundamentales ha de asegurar que las medidas limitadoras sean necesarias para conseguir el fin perseguido (SSTC 69/1982, de 23 de noviembre, FJ 5, y 13/1985, de 31 de enero, FJ 2), ha de atender a la proporcionalidad entre el sacrificio del derecho y la situación en la que se halla aquel a quien se le impone” [STC 44/2023, FJ 3 D)].</w:t>
      </w:r>
    </w:p>
    <w:p w14:paraId="5A40C416" w14:textId="77777777" w:rsidR="009D7677" w:rsidRDefault="009D7677" w:rsidP="009D7677">
      <w:pPr>
        <w:pStyle w:val="TextoNormal"/>
      </w:pPr>
    </w:p>
    <w:p w14:paraId="76621F8B" w14:textId="77777777" w:rsidR="009D7677" w:rsidRDefault="009D7677" w:rsidP="009D7677">
      <w:pPr>
        <w:pStyle w:val="TextoNormal"/>
      </w:pPr>
      <w:r>
        <w:t>En el fundamento transcrito se presenta claramente como interés a proteger y garantizar el reconocimiento, por parte del legislador, de un ámbito de libertad en el que la mujer pueda adoptar de forma autónoma “y sin coerción de ningún tipo” la decisión de ejercer su derecho a la interrupción voluntaria del embarazo o de no hacerlo. Y resulta obvio que tal garantía normativa se puede alcanzar no solo desde el desarrollo de un modelo de despenalización, más o menos amplio, de la interrupción voluntaria del embarazo, sino también desde la tipificación de conductas limitativas de la libre decisión de ejercer el derecho a la interrupción voluntaria del embarazo, supuesto este en el que se encuadraría el tipo penal sometido en el presente proceso a juicio de constitucionalidad.</w:t>
      </w:r>
    </w:p>
    <w:p w14:paraId="7DA3C4B4" w14:textId="77777777" w:rsidR="009D7677" w:rsidRDefault="009D7677" w:rsidP="009D7677">
      <w:pPr>
        <w:pStyle w:val="TextoNormal"/>
      </w:pPr>
    </w:p>
    <w:p w14:paraId="00B1E7ED" w14:textId="77777777" w:rsidR="009D7677" w:rsidRDefault="009D7677" w:rsidP="009D7677">
      <w:pPr>
        <w:pStyle w:val="TextoNormal"/>
      </w:pPr>
      <w:r>
        <w:t xml:space="preserve">Por tanto, el conjunto de intereses con relevancia constitucional protegido por el art. 172 </w:t>
      </w:r>
      <w:r w:rsidRPr="009D7677">
        <w:rPr>
          <w:i/>
        </w:rPr>
        <w:t>quater</w:t>
      </w:r>
      <w:r>
        <w:t xml:space="preserve"> CP ni está constitucionalmente proscrito, ni es socialmente irrelevante, pues conecta con el pleno desarrollo del principio de igualdad entre hombres y mujeres a través de la garantía plena de los derechos sexuales y reproductivos de estas últimas, en conexión </w:t>
      </w:r>
      <w:r>
        <w:lastRenderedPageBreak/>
        <w:t>con su derecho a la salud (art. 43 CE) y su integridad física y moral (art. 15 CE). Pero, además, está conectado con el ejercicio de derechos fundamentales por parte de los sujetos pasivos del tipo penal. En definitiva, el legislador penal ha identificado un problema social, el acoso a los profesionales sanitarios que realizan interrupciones voluntarias del embarazo y a las mujeres que acuden a esos establecimientos para ejercer su derecho a la salud sexual y reproductiva, y ha previsto unas consecuencias punitivas para corregir ese problema social en la medida en que ello sirva como instrumento idóneo y necesario para la protección y garantía de intereses con relevancia constitucional.</w:t>
      </w:r>
    </w:p>
    <w:p w14:paraId="61073EB0" w14:textId="77777777" w:rsidR="009D7677" w:rsidRDefault="009D7677" w:rsidP="009D7677">
      <w:pPr>
        <w:pStyle w:val="TextoNormal"/>
      </w:pPr>
    </w:p>
    <w:p w14:paraId="1F2DE5A0" w14:textId="77777777" w:rsidR="009D7677" w:rsidRDefault="009D7677" w:rsidP="009D7677">
      <w:pPr>
        <w:pStyle w:val="TextoNormal"/>
      </w:pPr>
      <w:r>
        <w:t>Por lo que hace al establecimiento —cualitativo y cuantitativo— de las consecuencias jurídicas previstas para el delito de acoso para obstaculizar el ejercicio del derecho a la interrupción voluntaria del embarazo tampoco pueden ser consideradas como desproporcionadas habida cuenta de la naturaleza y extensión de las penas previstas y del hecho de que el legislador ha configurado este delito incluyendo previsiones legales que permiten atemperar la sanción penal para adecuar su cuantificación a la singularidad de cada conducta enjuiciada.</w:t>
      </w:r>
    </w:p>
    <w:p w14:paraId="2138CBE1" w14:textId="77777777" w:rsidR="009D7677" w:rsidRDefault="009D7677" w:rsidP="009D7677">
      <w:pPr>
        <w:pStyle w:val="TextoNormal"/>
      </w:pPr>
    </w:p>
    <w:p w14:paraId="6955AAF9" w14:textId="77777777" w:rsidR="009D7677" w:rsidRDefault="009D7677" w:rsidP="009D7677">
      <w:pPr>
        <w:pStyle w:val="TextoNormal"/>
      </w:pPr>
      <w:r>
        <w:t xml:space="preserve">Se constata que el tipo penal básico tiene un marco penal de tres meses a un año de prisión o de trabajos en beneficio de la comunidad de treinta y uno a ochenta días (art. 172 </w:t>
      </w:r>
      <w:r w:rsidRPr="009D7677">
        <w:rPr>
          <w:i/>
        </w:rPr>
        <w:t>quater</w:t>
      </w:r>
      <w:r>
        <w:t xml:space="preserve">, apartados 1 y 2, CP). También establece la posibilidad de que se imponga la pena de prohibición de acudir a determinados lugares, por tiempo de seis meses a tres años, en aquellos supuestos en los que el órgano judicial lo considere oportuno, atendidas la gravedad, las circunstancias personales del autor y las concurrentes en la realización del hecho (art. 172 </w:t>
      </w:r>
      <w:r w:rsidRPr="009D7677">
        <w:rPr>
          <w:i/>
        </w:rPr>
        <w:t>quater</w:t>
      </w:r>
      <w:r>
        <w:t xml:space="preserve">, apartado 3, CP). Estas previsiones suponen: (i) que este ilícito se ha configurado, en los términos del art. 33.3 CP, como un delito menos grave; (ii) que la extensión de la pena de prisión prevista en este artículo (tres meses a un año), incluso dentro de su categorización como pena menos grave, se ha establecido en una franja muy inferior a dicha calificación como menos grave, que se reserva para las penas de prisión de tres meses a cinco años [art. 33.3 a) CP]. Lo mismo sucede con la extensión de las penas previstas en este precepto de trabajos en beneficio de la comunidad (treinta y un días a ochenta días), y de prohibición de acudir a determinados lugares (seis meses a tres años) en relación con su calificación como penas menos graves, que se reserva para las extensiones de treinta y un días a un año [art. 33.3 l) CP] y de seis meses a cinco años [art. 33.3 g) CP], respectivamente; (iii) que no resulta obligada ni indefectible la imposición de una pena de prisión, en tanto que se da a los órganos judiciales la alternativa de imponer la sanción de trabajos en beneficio de la comunidad; (iv) que tampoco resulta obligada ni indefectible la ejecución de una eventual pena de prisión a imponer, ya que siempre podría ser objeto, en cualquiera de sus extensiones, de suspensión en atención a la previsión del art. 80 CP; y (v) que la sanción de prohibición de acudir a determinados lugares tampoco es obligada ni indefectible, en tanto que se establece en el art. 172 </w:t>
      </w:r>
      <w:r w:rsidRPr="009D7677">
        <w:rPr>
          <w:i/>
        </w:rPr>
        <w:t>quater</w:t>
      </w:r>
      <w:r>
        <w:t>, apartado 3, CP como una potestad al utilizarse la fórmula “podrá imponer”.</w:t>
      </w:r>
    </w:p>
    <w:p w14:paraId="39405B0A" w14:textId="77777777" w:rsidR="009D7677" w:rsidRDefault="009D7677" w:rsidP="009D7677">
      <w:pPr>
        <w:pStyle w:val="TextoNormal"/>
      </w:pPr>
    </w:p>
    <w:p w14:paraId="6500F63C" w14:textId="77777777" w:rsidR="009D7677" w:rsidRDefault="009D7677" w:rsidP="009D7677">
      <w:pPr>
        <w:pStyle w:val="TextoNormal"/>
      </w:pPr>
      <w:r>
        <w:t xml:space="preserve">Por otra parte, y ya en los supuestos en los que pudieran quedar concernidas conductas en las que estuvieran eventualmente afectados los derechos a la libertad de expresión o de reunión pacífica, también se constata la posibilidad de adecuar la reacción penal por la eventual comisión de este delito a través del juego de las eximentes o de las circunstancias modificativas de la responsabilidad penal como pueden ser la eximente completa o incompleta del ejercicio de un derecho (art. 20.7 CP y art. 21.1, en relación con el art. 20.7 </w:t>
      </w:r>
      <w:r>
        <w:lastRenderedPageBreak/>
        <w:t>CP) o la atenuante de analógica significación a la anterior (art. 21.7, en relación con los arts. 21.1 y 20.7 CP). En estos últimos casos, los arts. 68 y 66.1.2 CP posibilitan modulaciones de la respuesta penal inferiores en uno o dos grados.</w:t>
      </w:r>
    </w:p>
    <w:p w14:paraId="3EF5AD86" w14:textId="77777777" w:rsidR="009D7677" w:rsidRDefault="009D7677" w:rsidP="009D7677">
      <w:pPr>
        <w:pStyle w:val="TextoNormal"/>
      </w:pPr>
    </w:p>
    <w:p w14:paraId="4263B8C9" w14:textId="2C8F2452" w:rsidR="009D7677" w:rsidRDefault="009D7677" w:rsidP="009D7677">
      <w:pPr>
        <w:pStyle w:val="TextoNormal"/>
      </w:pPr>
      <w:r>
        <w:t xml:space="preserve">En definitiva, de la doctrina expuesta en este fundamento jurídico, referida a la tutela de los derechos fundamentales frente a la intervención penal, se sigue que el art. 172 </w:t>
      </w:r>
      <w:r w:rsidRPr="009D7677">
        <w:rPr>
          <w:i/>
        </w:rPr>
        <w:t>quater</w:t>
      </w:r>
      <w:r>
        <w:t xml:space="preserve"> del Código penal no puede estimarse constitucionalmente ilegítimo porque la previsión que contiene, en relación con la conducta típica y en relación con la pena prevista, no ha producido, por su severidad, un sacrificio innecesario o desproporcionado del derecho a la libertad de expresión o del derecho de manifestación.</w:t>
      </w:r>
    </w:p>
    <w:p w14:paraId="32E61EE1" w14:textId="77777777" w:rsidR="009D7677" w:rsidRDefault="009D7677" w:rsidP="009D7677">
      <w:pPr>
        <w:pStyle w:val="TextoNormal"/>
      </w:pPr>
    </w:p>
    <w:p w14:paraId="1EBAE2E0" w14:textId="77777777" w:rsidR="009D7677" w:rsidRDefault="009D7677" w:rsidP="009D7677">
      <w:pPr>
        <w:pStyle w:val="TextoNormal"/>
      </w:pPr>
      <w:r w:rsidRPr="009D7677">
        <w:rPr>
          <w:rStyle w:val="NumeroAFNegritaCaracter"/>
        </w:rPr>
        <w:t>6</w:t>
      </w:r>
      <w:r>
        <w:t xml:space="preserve">. </w:t>
      </w:r>
      <w:r w:rsidRPr="009D7677">
        <w:rPr>
          <w:i/>
        </w:rPr>
        <w:t>Jurisprudencia constitucional sobre el derecho a la intimidad en el marco del proceso penal y su aplicación al art</w:t>
      </w:r>
      <w:r>
        <w:t xml:space="preserve">. 172 quater, </w:t>
      </w:r>
      <w:r w:rsidRPr="009D7677">
        <w:rPr>
          <w:i/>
        </w:rPr>
        <w:t>apartado 5, CP</w:t>
      </w:r>
    </w:p>
    <w:p w14:paraId="1380E227" w14:textId="77777777" w:rsidR="009D7677" w:rsidRDefault="009D7677" w:rsidP="009D7677">
      <w:pPr>
        <w:pStyle w:val="TextoNormal"/>
      </w:pPr>
    </w:p>
    <w:p w14:paraId="4470C554" w14:textId="77777777" w:rsidR="009D7677" w:rsidRDefault="009D7677" w:rsidP="009D7677">
      <w:pPr>
        <w:pStyle w:val="TextoNormal"/>
      </w:pPr>
      <w:r>
        <w:t xml:space="preserve">a) El recurso de inconstitucionalidad denuncia, por último, que el art. 172 </w:t>
      </w:r>
      <w:r w:rsidRPr="009D7677">
        <w:rPr>
          <w:i/>
        </w:rPr>
        <w:t>quater</w:t>
      </w:r>
      <w:r>
        <w:t>, apartado 5, CP, vulnera el derecho a la intimidad de las víctimas del delito (art. 18.1 CE), en la medida en que prevé una persecución de oficio del delito que prescinde de la voluntad de las eventuales víctimas.</w:t>
      </w:r>
    </w:p>
    <w:p w14:paraId="31A380DD" w14:textId="77777777" w:rsidR="009D7677" w:rsidRDefault="009D7677" w:rsidP="009D7677">
      <w:pPr>
        <w:pStyle w:val="TextoNormal"/>
      </w:pPr>
    </w:p>
    <w:p w14:paraId="1E76413A" w14:textId="77777777" w:rsidR="009D7677" w:rsidRDefault="009D7677" w:rsidP="009D7677">
      <w:pPr>
        <w:pStyle w:val="TextoNormal"/>
      </w:pPr>
      <w:r>
        <w:t>En relación con la cuestión de la interacción entre el derecho a la intimidad y la investigación penal, la STC 92/2023, de 11 de septiembre, resuelve la fricción entre ambos cuando se trata de la titularidad del derecho a la intimidad por parte de la persona investigada. En ese sentido, la sentencia reconoce que, no siendo el derecho a la intimidad personal un derecho absoluto, puede ceder ante otros derechos y bienes constitucionalmente relevantes, siempre que la limitación que haya de experimentar esté fundada en una previsión legal que tenga justificación constitucional, se revele necesaria para lograr un fin legítimo, sea proporcionada para alcanzarlo y, además, sea respetuosa con el contenido esencial del derecho (STC 92/2023, FJ 7, y jurisprudencia allí citada). Seguidamente, entre los fines constitucionalmente legítimos que pueden permitir la injerencia en el derecho a la intimidad, se identifica “el interés público propio de la investigación de un delito, y, más en concreto, la determinación de hechos relevantes para el proceso penal” (STC 92/2023, FJ 7, con cita de las SSTC 25/2005, de 14 de febrero, FJ 6; 206/2007, de 24 de septiembre, FJ 6, y 173/2011, de 7 de noviembre, FJ 2). Y se insiste diciendo que “la persecución y castigo del delito constituye un bien digno de protección constitucional, a través del cual se defienden otros como la paz social y la seguridad ciudadana, bienes igualmente reconocidos en los arts. 10.1 y 104.1 CE [SSTC 127/2000, de 16 de mayo, FJ 3 a); 292/2000, de 30 de noviembre, FJ 9, y 14/2003, de 28 de enero, FJ 3]”.</w:t>
      </w:r>
    </w:p>
    <w:p w14:paraId="59190C90" w14:textId="77777777" w:rsidR="009D7677" w:rsidRDefault="009D7677" w:rsidP="009D7677">
      <w:pPr>
        <w:pStyle w:val="TextoNormal"/>
      </w:pPr>
    </w:p>
    <w:p w14:paraId="3F6EF7E6" w14:textId="77777777" w:rsidR="009D7677" w:rsidRDefault="009D7677" w:rsidP="009D7677">
      <w:pPr>
        <w:pStyle w:val="TextoNormal"/>
      </w:pPr>
      <w:r>
        <w:t xml:space="preserve">b) Las consideraciones expuestas son perfectamente trasladables al derecho a la intimidad cuando su titular es la víctima del delito, como es el supuesto que ahora nos ocupa, de modo que si bien la persecución de oficio del comportamiento punible en este caso puede suponer, eventualmente, una incidencia en el derecho a la intimidad de la víctima que, por la razón que sea, ha decidido no denunciar y, por tanto, no exponer esa esfera de sus vivencias en torno a la decisión de ejercer su derecho a la interrupción voluntaria del embarazo, ese sacrificio se justifica por el interés público propio de la investigación del delito y porque el libre ejercicio del derecho a la interrupción voluntaria del embarazo no tiene una dimensión estrictamente privada sino también una proyección general relacionada con la garantía, como ya se ha expuesto, al igual disfrute, entre hombres y mujeres, del derecho a </w:t>
      </w:r>
      <w:r>
        <w:lastRenderedPageBreak/>
        <w:t>la salud sexual y reproductiva, en un contexto social en el que el ejercicio de este derecho por las mujeres aún experimenta dificultades estructurales. La previsión impugnada, al establecer una persecución de oficio de este delito, contiene una medida idónea y necesaria para los fines que persigue, en el sentido de que es instrumentalmente apta para evitar una desprotección del interés público en la persecución y sanción de este tipo de conductas, no resultando evidente la existencia de medidas menos restrictivas del derecho a la intimidad personal para la consecución igualmente eficaz de las finalidades deseadas por el legislador.</w:t>
      </w:r>
    </w:p>
    <w:p w14:paraId="04D3101C" w14:textId="77777777" w:rsidR="009D7677" w:rsidRDefault="009D7677" w:rsidP="009D7677">
      <w:pPr>
        <w:pStyle w:val="TextoNormal"/>
      </w:pPr>
    </w:p>
    <w:p w14:paraId="7707206D" w14:textId="77777777" w:rsidR="009D7677" w:rsidRDefault="009D7677" w:rsidP="009D7677">
      <w:pPr>
        <w:pStyle w:val="TextoNormal"/>
      </w:pPr>
      <w:r>
        <w:t>Por último se aprecia que esta norma resulta proporcionada en sentido estricto, ya que no concurre un desequilibrio patente y excesivo o irrazonable entre el alcance de la incidencia en el derecho a la intimidad de las eventuales víctimas, de un lado, y el grado de satisfacción de los fines perseguidos con ella por el legislador, por otro. A esos efectos, cabe destacar que el propio ordenamiento, a pesar de dar prevalencia al interés público en la persecución de ciertas conductas ilícitas frente a la eventual voluntad de la víctima de mantener en su ámbito de intimidad la circunstancia de haber sido el posible sujeto pasivo de un delito, establece elementos de protección específicos, entre los que cabe destacar, por ejemplo, el art. 22 de la Ley 4/2015, de 27 de abril, del estatuto de la víctima del delito, en el que se impone a todos aquellos que de cualquier modo intervengan o participen en el proceso penal la adopción, de acuerdo con lo dispuesto en la ley, de las medidas necesarias para proteger la intimidad de todas las víctimas y de sus familiares, que aparecen desarrolladas en la normativa procesal.</w:t>
      </w:r>
    </w:p>
    <w:p w14:paraId="63F7AA41" w14:textId="77777777" w:rsidR="009D7677" w:rsidRDefault="009D7677" w:rsidP="009D7677">
      <w:pPr>
        <w:pStyle w:val="TextoNormal"/>
      </w:pPr>
    </w:p>
    <w:p w14:paraId="1FB52DF8" w14:textId="7E2B69D4" w:rsidR="009D7677" w:rsidRDefault="009D7677" w:rsidP="009D7677">
      <w:pPr>
        <w:pStyle w:val="TextoNormal"/>
      </w:pPr>
      <w:r>
        <w:t xml:space="preserve">Por tanto, la previsión contenida en el apartado 5 del art. 172 </w:t>
      </w:r>
      <w:r w:rsidRPr="009D7677">
        <w:rPr>
          <w:i/>
        </w:rPr>
        <w:t>quater</w:t>
      </w:r>
      <w:r>
        <w:t xml:space="preserve"> CP, no puede tenerse por inconstitucional por suponer una restricción desproporcionada del derecho a la intimidad personal o familiar de una persona.</w:t>
      </w:r>
    </w:p>
    <w:p w14:paraId="11512D9E" w14:textId="77777777" w:rsidR="009D7677" w:rsidRDefault="009D7677" w:rsidP="009D7677">
      <w:pPr>
        <w:pStyle w:val="TextoNormal"/>
      </w:pPr>
    </w:p>
    <w:p w14:paraId="148E256C" w14:textId="77777777" w:rsidR="009D7677" w:rsidRDefault="009D7677" w:rsidP="009D7677">
      <w:pPr>
        <w:pStyle w:val="TextoNormalCentrado"/>
        <w:keepNext/>
      </w:pPr>
      <w:r>
        <w:t>FALLO</w:t>
      </w:r>
    </w:p>
    <w:p w14:paraId="77303CD4" w14:textId="109A8FDF" w:rsidR="009D7677" w:rsidRDefault="009D7677" w:rsidP="009D7677">
      <w:pPr>
        <w:pStyle w:val="TextoNormalCentrado"/>
        <w:keepNext/>
      </w:pPr>
    </w:p>
    <w:p w14:paraId="1A99A90E" w14:textId="17A5E781" w:rsidR="009D7677" w:rsidRDefault="009D7677" w:rsidP="009D7677">
      <w:pPr>
        <w:pStyle w:val="TextoNormal"/>
      </w:pPr>
      <w:r>
        <w:t>En atención a todo lo expuesto, el Tribunal Constitucional, por la autoridad que le confiere la Constitución de la Nación española, ha decidido desestimar íntegramente el recurso de inconstitucionalidad interpuesto por cincuenta y un diputados y diputadas del Grupo Parlamentario Vox en el Congreso de los Diputados, contra el artículo único de la Ley Orgánica 4/2022, de 12 de abril, por la que se modifica la Ley Orgánica 10/1995, de 23 de noviembre, del Código penal, para penalizar el acoso a las mujeres que acuden a clínicas para la interrupción voluntaria del embarazo.</w:t>
      </w:r>
    </w:p>
    <w:p w14:paraId="1ECDEA5B" w14:textId="77777777" w:rsidR="009D7677" w:rsidRDefault="009D7677" w:rsidP="009D7677">
      <w:pPr>
        <w:pStyle w:val="TextoNormal"/>
      </w:pPr>
    </w:p>
    <w:p w14:paraId="320F7A3E" w14:textId="77777777" w:rsidR="009D7677" w:rsidRDefault="009D7677" w:rsidP="009D7677">
      <w:pPr>
        <w:pStyle w:val="TextoNormal"/>
      </w:pPr>
      <w:r>
        <w:t>Publíquese esta sentencia en el “Boletín Oficial del Estado”.</w:t>
      </w:r>
    </w:p>
    <w:p w14:paraId="7835F350" w14:textId="77777777" w:rsidR="009D7677" w:rsidRDefault="009D7677" w:rsidP="009D7677">
      <w:pPr>
        <w:pStyle w:val="TextoNormal"/>
      </w:pPr>
      <w:r>
        <w:t>Dada en Madrid, a ocho de mayo de dos mil veinticuatro.</w:t>
      </w:r>
    </w:p>
    <w:p w14:paraId="288EE9D0" w14:textId="16D15852" w:rsidR="009D7677" w:rsidRDefault="009D7677" w:rsidP="009D7677">
      <w:pPr>
        <w:pStyle w:val="ParrafoNormal"/>
      </w:pPr>
    </w:p>
    <w:p w14:paraId="5C97B7DE" w14:textId="77777777" w:rsidR="009D7677" w:rsidRDefault="009D7677" w:rsidP="009D7677">
      <w:pPr>
        <w:pStyle w:val="TextoNormalNegritaCentrado"/>
        <w:keepNext/>
      </w:pPr>
      <w:r>
        <w:t>Voto particular que formula el magistrado don Ricardo Enríquez Sancho a la sentencia dictada en el recurso de inconstitucionalidad núm. 5041-2022</w:t>
      </w:r>
    </w:p>
    <w:p w14:paraId="783A079E" w14:textId="65432963" w:rsidR="009D7677" w:rsidRDefault="009D7677" w:rsidP="009D7677">
      <w:pPr>
        <w:pStyle w:val="TextoNormalNegritaCentrado"/>
        <w:keepNext/>
      </w:pPr>
    </w:p>
    <w:p w14:paraId="56F31451" w14:textId="77777777" w:rsidR="009D7677" w:rsidRDefault="009D7677" w:rsidP="009D7677">
      <w:pPr>
        <w:pStyle w:val="TextoNormal"/>
      </w:pPr>
      <w:r>
        <w:t>En el ejercicio de la facultad que me confiere el artículo 90.2 LOTC, y con el respeto que siempre me merecen las opiniones de mis compañeros, formulo el presente voto particular para poner de manifiesto mi discrepancia con la fundamentación jurídica de la sentencia (no con el fallo desestimatorio, que comparto).</w:t>
      </w:r>
    </w:p>
    <w:p w14:paraId="4FA81BC1" w14:textId="77777777" w:rsidR="009D7677" w:rsidRDefault="009D7677" w:rsidP="009D7677">
      <w:pPr>
        <w:pStyle w:val="TextoNormal"/>
      </w:pPr>
    </w:p>
    <w:p w14:paraId="7EC38C14" w14:textId="77777777" w:rsidR="009D7677" w:rsidRDefault="009D7677" w:rsidP="009D7677">
      <w:pPr>
        <w:pStyle w:val="TextoNormal"/>
      </w:pPr>
      <w:r>
        <w:t>1. Considero, en primer lugar, que el objeto del recurso está mal delimitado. La sentencia desestima en su fundamento jurídico 2 la solicitud de inadmisión parcial del recurso formulada por el abogado del Estado respecto de los apartados 3 y 4 del precepto impugnado por falta de carga alegatoria específica contra ellos. Reconoce que “efectivamente, nada se argumenta en la demanda respecto” de estos dos apartados, pero termina desestimando la solicitud de inadmisión por dos motivos: porque el suplico se dirige contra el precepto en su totalidad y porque, si el recurrente no hubiera impugnado esos dos apartados, el Tribunal debería anularlos igualmente “por conexión o consecuencia” si considerara inconstitucional el delito tipificado en el apartado 1 contra el que los recurrentes concentran sus argumentos, por exigencia del art. 39.1 LOTC.</w:t>
      </w:r>
    </w:p>
    <w:p w14:paraId="291DB9BD" w14:textId="77777777" w:rsidR="009D7677" w:rsidRDefault="009D7677" w:rsidP="009D7677">
      <w:pPr>
        <w:pStyle w:val="TextoNormal"/>
      </w:pPr>
    </w:p>
    <w:p w14:paraId="517D973D" w14:textId="77777777" w:rsidR="009D7677" w:rsidRDefault="009D7677" w:rsidP="009D7677">
      <w:pPr>
        <w:pStyle w:val="TextoNormal"/>
      </w:pPr>
      <w:r>
        <w:t>Con este modo de razonar, la sentencia mezcla y confunde tres cosas distintas:</w:t>
      </w:r>
    </w:p>
    <w:p w14:paraId="141C57EF" w14:textId="77777777" w:rsidR="009D7677" w:rsidRDefault="009D7677" w:rsidP="009D7677">
      <w:pPr>
        <w:pStyle w:val="TextoNormal"/>
      </w:pPr>
    </w:p>
    <w:p w14:paraId="6BBDA556" w14:textId="77777777" w:rsidR="009D7677" w:rsidRDefault="009D7677" w:rsidP="009D7677">
      <w:pPr>
        <w:pStyle w:val="TextoNormal"/>
      </w:pPr>
      <w:r>
        <w:t>(i) El objeto del proceso, que queda delimitado por la petición del recurrente, y, por tanto, por el suplico de su escrito de interposición, ya que el Tribunal no puede pronunciarse sobre la constitucionalidad de preceptos cuya declaración de inconstitucionalidad no se le ha solicitado.</w:t>
      </w:r>
    </w:p>
    <w:p w14:paraId="7F7EFBB6" w14:textId="77777777" w:rsidR="009D7677" w:rsidRDefault="009D7677" w:rsidP="009D7677">
      <w:pPr>
        <w:pStyle w:val="TextoNormal"/>
      </w:pPr>
    </w:p>
    <w:p w14:paraId="5EDDFE7B" w14:textId="77777777" w:rsidR="009D7677" w:rsidRDefault="009D7677" w:rsidP="009D7677">
      <w:pPr>
        <w:pStyle w:val="TextoNormal"/>
      </w:pPr>
      <w:r>
        <w:t>(ii) La carga alegatoria, que exige a la parte recurrente no solo recurrir una norma sino ofrecer en el cuerpo de su escrito los motivos y argumentos por los cuales solicita su declaración de inconstitucionalidad, sobre los que este tribunal debe pronunciarse.</w:t>
      </w:r>
    </w:p>
    <w:p w14:paraId="7D7936EB" w14:textId="77777777" w:rsidR="009D7677" w:rsidRDefault="009D7677" w:rsidP="009D7677">
      <w:pPr>
        <w:pStyle w:val="TextoNormal"/>
      </w:pPr>
    </w:p>
    <w:p w14:paraId="6BD7DCCE" w14:textId="77777777" w:rsidR="009D7677" w:rsidRDefault="009D7677" w:rsidP="009D7677">
      <w:pPr>
        <w:pStyle w:val="TextoNormal"/>
      </w:pPr>
      <w:r>
        <w:t>(iii) Y la “prerrogativa propia” del Tribunal —como la llama, correctamente, la sentencia— de extender la declaración de inconstitucionalidad “por conexión o consecuencia” a preceptos no impugnados.</w:t>
      </w:r>
    </w:p>
    <w:p w14:paraId="2AC3B32C" w14:textId="77777777" w:rsidR="009D7677" w:rsidRDefault="009D7677" w:rsidP="009D7677">
      <w:pPr>
        <w:pStyle w:val="TextoNormal"/>
      </w:pPr>
    </w:p>
    <w:p w14:paraId="3E37BECB" w14:textId="77777777" w:rsidR="009D7677" w:rsidRDefault="009D7677" w:rsidP="009D7677">
      <w:pPr>
        <w:pStyle w:val="TextoNormal"/>
      </w:pPr>
      <w:r>
        <w:t>Las dos primeras cargas procesales están formuladas con la debida separación en el art. 85.1 LOTC, que dice que “[l]a iniciación de un proceso constitucional deberá hacerse por escrito fundado [regla (ii)] en el que se fijará con precisión y claridad lo que se pida” [regla (i)]. Y la prerrogativa señalada como (iii) lo está en el art. 39.1 LOTC: “[c]uando la sentencia declare la inconstitucionalidad, declarará igualmente la nulidad de los preceptos impugnados, así como, en su caso, la de aquellos otros de la misma ley, disposición o acto con fuerza de ley a los que deba extenderse por conexión o consecuencia”.</w:t>
      </w:r>
    </w:p>
    <w:p w14:paraId="26D365CF" w14:textId="77777777" w:rsidR="009D7677" w:rsidRDefault="009D7677" w:rsidP="009D7677">
      <w:pPr>
        <w:pStyle w:val="TextoNormal"/>
      </w:pPr>
    </w:p>
    <w:p w14:paraId="7F014024" w14:textId="77777777" w:rsidR="009D7677" w:rsidRDefault="009D7677" w:rsidP="009D7677">
      <w:pPr>
        <w:pStyle w:val="TextoNormal"/>
      </w:pPr>
      <w:r>
        <w:t>El reconocimiento expreso en la sentencia de que el escrito de interposición no ofrece argumentos sobre la inconstitucionalidad de los apartados 3 y 4 obligaba a desestimar directamente el recurso contra ellos en aplicación de la segunda regla (carga alegatoria), con independencia del juego de las otras dos. Y, en particular, con independencia de que la eventual inconstitucionalidad del delito (apartado 1) hubiese de arrastrar consigo por evidentes razones de orden lógico (</w:t>
      </w:r>
      <w:r w:rsidRPr="009D7677">
        <w:rPr>
          <w:i/>
        </w:rPr>
        <w:t>acccesorium sequitur principale</w:t>
      </w:r>
      <w:r>
        <w:t>) la de su pena de alejamiento (apartado 3) y sus reglas sobre concurso de delitos (apartado 4).</w:t>
      </w:r>
    </w:p>
    <w:p w14:paraId="10B784A1" w14:textId="77777777" w:rsidR="009D7677" w:rsidRDefault="009D7677" w:rsidP="009D7677">
      <w:pPr>
        <w:pStyle w:val="TextoNormal"/>
      </w:pPr>
    </w:p>
    <w:p w14:paraId="5D5779FC" w14:textId="77777777" w:rsidR="009D7677" w:rsidRDefault="009D7677" w:rsidP="009D7677">
      <w:pPr>
        <w:pStyle w:val="TextoNormal"/>
      </w:pPr>
      <w:r>
        <w:t>2. El fondo del asunto me parece igualmente mal resuelto. La constitucionalidad del nuevo delito tipificado en la ley recurrida de acosar a una mujer con el ánimo de obstaculizar su derecho a la interrupción voluntaria del embarazo se hace depender de su carácter “idóneo y necesario” [fundamento jurídico 5 b)] para la protección del “derecho funda</w:t>
      </w:r>
      <w:r>
        <w:lastRenderedPageBreak/>
        <w:t>mental” de la mujer a un “ámbito de libertad” para decidir “de forma autónoma” sobre esa intervención afirmado en la STC 44/2023.</w:t>
      </w:r>
    </w:p>
    <w:p w14:paraId="277BD2DC" w14:textId="77777777" w:rsidR="009D7677" w:rsidRDefault="009D7677" w:rsidP="009D7677">
      <w:pPr>
        <w:pStyle w:val="TextoNormal"/>
      </w:pPr>
    </w:p>
    <w:p w14:paraId="5F5F0DE7" w14:textId="77777777" w:rsidR="009D7677" w:rsidRDefault="009D7677" w:rsidP="009D7677">
      <w:pPr>
        <w:pStyle w:val="TextoNormal"/>
      </w:pPr>
      <w:r>
        <w:t>Por las razones que ya expuse junto con otros magistrados en el voto particular formulado a esa STC 44/2023, considero que ese “derecho fundamental” no existe en el texto de la Constitución española de 1978. El derecho a la integridad física del art. 15 CE —de donde aquella sentencia lo deriva— es un derecho de resistencia que faculta a su titular a negarse a soportar intervenciones no autorizadas sobre su propio cuerpo (desde tocamientos hasta esterilizaciones o abortos), salvo las que pueda habilitar el legislador por motivos constitucionalmente admisibles como pueden ser intervenciones quirúrgicas para salvar la vida de quien no puede prestar ese consentimiento o cacheos superficiales por razones de seguridad y prevención o persecución de delitos. La importancia vital de una intervención no justifica que se le dé la vuelta a este art. 15 para convertir ese derecho de resistencia en un derecho “fundamental” de prestación a que el poder público practique a su titular una intervención concreta y deseada por este. La Constitución dice lo que dice y los juristas debemos atenernos a su texto, siendo tarea de ciudadanos y políticos modificarla como ha hecho Francia, por ejemplo, mediante la Ley Constitucional núm. 2024-200, de 8 de marzo de 2024, relativa a la libertad de recurrir a la interrupción voluntaria del embarazo. Mientras ello no suceda, el sistema de plazos es una alternativa a disposición del legislador democrático permitida por la Constitución de 1978, no una imposición de esta. Y así lo demuestra el hecho de que desde 1985 hasta 2010 estuviera vigente el modelo alternativo de indicaciones, que la STC 53/1985, de 11 de abril, avalara la constitucionalidad de este sistema y que la Ley Orgánica 2/2010 que aprobó el sistema de plazos ni siquiera pretendiera estar desarrollando un supuesto “derecho fundamental”.</w:t>
      </w:r>
    </w:p>
    <w:p w14:paraId="4A4EDD00" w14:textId="77777777" w:rsidR="009D7677" w:rsidRDefault="009D7677" w:rsidP="009D7677">
      <w:pPr>
        <w:pStyle w:val="TextoNormal"/>
      </w:pPr>
    </w:p>
    <w:p w14:paraId="6BDEC6D6" w14:textId="77777777" w:rsidR="009D7677" w:rsidRDefault="009D7677" w:rsidP="009D7677">
      <w:pPr>
        <w:pStyle w:val="TextoNormal"/>
      </w:pPr>
      <w:r>
        <w:t xml:space="preserve">El ansia de los partidarios de la doctrina del “derecho fundamental” al aborto libre por mostrar su utilidad les lleva a reiterarla en cuanto tienen ocasión. Ya lo hicieron en la STC 78/2023, y ya advertí en mi voto particular a esa sentencia que era una mención innecesaria y distorsionadora para los efectos pretendidos. No hacía falta basarse en ese derecho fundamental para estimar aquel recurso de amparo. Y este mismo exceso innecesario se repite nuevamente aquí, pues no era necesario —ni relevante— encontrar un derecho fundamental para declarar constitucional el nuevo art. 172 </w:t>
      </w:r>
      <w:r w:rsidRPr="009D7677">
        <w:rPr>
          <w:i/>
        </w:rPr>
        <w:t>quater</w:t>
      </w:r>
      <w:r>
        <w:t xml:space="preserve"> del Código penal.</w:t>
      </w:r>
    </w:p>
    <w:p w14:paraId="0D78CC52" w14:textId="77777777" w:rsidR="009D7677" w:rsidRDefault="009D7677" w:rsidP="009D7677">
      <w:pPr>
        <w:pStyle w:val="TextoNormal"/>
      </w:pPr>
    </w:p>
    <w:p w14:paraId="6587FEA4" w14:textId="77777777" w:rsidR="009D7677" w:rsidRDefault="009D7677" w:rsidP="009D7677">
      <w:pPr>
        <w:pStyle w:val="TextoNormal"/>
      </w:pPr>
      <w:r>
        <w:t xml:space="preserve">El Derecho penal no está circunscrito a la protección del ejercicio de derechos fundamentales. No existe un derecho fundamental a ir al cine o al teatro, pero quien impida a otro hacerlo incurrirá en un delito de coacciones del art. 172.1 del Código penal, que castiga a quien “sin estar legítimamente autorizado, impidiere a otro con violencia hacer lo que la ley no prohíbe, o le compeliere a efectuar lo que no quiere, sea justo o injusto” (exigencia de “violencia” que la jurisprudencia ha extendido a la intimidación e incluso a la fuerza en las cosas: por ejemplo, STS, Sala de lo Penal, de 21 de julio de 2023, recurso núm. 5251-2021, FJ 4, por citar una reciente). Dentro de su margen de apreciación, el legislador es libre para seleccionar ciertas manifestaciones concretas de esa conducta atentatoria contra el </w:t>
      </w:r>
      <w:r w:rsidRPr="009D7677">
        <w:rPr>
          <w:i/>
        </w:rPr>
        <w:t>agere licere</w:t>
      </w:r>
      <w:r>
        <w:t xml:space="preserve"> (por su contenido, por su contexto, o por cualquier otra circunstancia) y asociar a esta subcategoría una sanción diferente y más ajustada a sus valoraciones, siempre que lo haga de manera no arbitraria ni irrazonable y que no incurra en un “patente derroche inútil de coacción”, que es nuestro canon tradicional de control de constitucionalidad de las penas y sanciones aplicado hace solo unos días en la STC 69/2024, de 24 de abril, y del que la mayoría se aparta sin explicación.</w:t>
      </w:r>
    </w:p>
    <w:p w14:paraId="27D0AECB" w14:textId="77777777" w:rsidR="009D7677" w:rsidRDefault="009D7677" w:rsidP="009D7677">
      <w:pPr>
        <w:pStyle w:val="TextoNormal"/>
      </w:pPr>
    </w:p>
    <w:p w14:paraId="65AA887F" w14:textId="77777777" w:rsidR="009D7677" w:rsidRDefault="009D7677" w:rsidP="009D7677">
      <w:pPr>
        <w:pStyle w:val="TextoNormal"/>
      </w:pPr>
      <w:r>
        <w:t xml:space="preserve">El art. 172 </w:t>
      </w:r>
      <w:r w:rsidRPr="009D7677">
        <w:rPr>
          <w:i/>
        </w:rPr>
        <w:t>quater</w:t>
      </w:r>
      <w:r>
        <w:t xml:space="preserve"> se mantiene dentro de esos márgenes. Y desde luego no vulnera los derechos de libertad de expresión o manifestación, que es lo que denunciaban los recurrentes, porque no castiga la discrepancia. Los casos límite en que “actos molestos, ofensivos, intimidatorios o coactivos” que bajo determinadas condiciones castiga el nuevo tipo penal pudieran considerarse amparados en el ejercicio de esos u otros derechos fundamentales podrán resolverse con los mecanismos ordinarios de interpretación jurídica. Bastaba con este sencillo razonamiento para desestimar. Es todo más simple de lo que quiere hacer ver la mayoría.</w:t>
      </w:r>
    </w:p>
    <w:p w14:paraId="63FDDC08" w14:textId="77777777" w:rsidR="009D7677" w:rsidRDefault="009D7677" w:rsidP="009D7677">
      <w:pPr>
        <w:pStyle w:val="TextoNormal"/>
      </w:pPr>
    </w:p>
    <w:p w14:paraId="0F18DC9E" w14:textId="77777777" w:rsidR="009D7677" w:rsidRDefault="009D7677" w:rsidP="009D7677">
      <w:pPr>
        <w:pStyle w:val="TextoNormal"/>
      </w:pPr>
      <w:r>
        <w:t xml:space="preserve">En definitiva, el art. 172 </w:t>
      </w:r>
      <w:r w:rsidRPr="009D7677">
        <w:rPr>
          <w:i/>
        </w:rPr>
        <w:t>quater</w:t>
      </w:r>
      <w:r>
        <w:t xml:space="preserve"> es constitucional aun cuando no exista el “derecho fundamental” al aborto libre en plazo, y el alumbramiento de este derecho en la STC 44/2023 nada aporta a este debate.</w:t>
      </w:r>
    </w:p>
    <w:p w14:paraId="3753B683" w14:textId="77777777" w:rsidR="009D7677" w:rsidRDefault="009D7677" w:rsidP="009D7677">
      <w:pPr>
        <w:pStyle w:val="TextoNormal"/>
      </w:pPr>
    </w:p>
    <w:p w14:paraId="59BE1450" w14:textId="77777777" w:rsidR="009D7677" w:rsidRDefault="009D7677" w:rsidP="009D7677">
      <w:pPr>
        <w:pStyle w:val="TextoNormal"/>
      </w:pPr>
      <w:r>
        <w:t>3. La tendencia de la mayoría a convertir opciones legítimas en imperativos constitucionales se hace más visible en el fundamento jurídico 6. Los recurrentes denunciaban la vulneración del derecho a la intimidad de las víctimas del nuevo delito (es decir, las mujeres embarazadas que son acosadas para tratar de impedir su interrupción voluntaria del embarazo) por la configuración del nuevo delito como un delito público perseguible de oficio que no toma en consideración la voluntad de aquellas, que podrían valorar más preciadamente su privacidad y tranquilidad que la persecución penal de quienes las acosaron.</w:t>
      </w:r>
    </w:p>
    <w:p w14:paraId="5D3F5BF4" w14:textId="77777777" w:rsidR="009D7677" w:rsidRDefault="009D7677" w:rsidP="009D7677">
      <w:pPr>
        <w:pStyle w:val="TextoNormal"/>
      </w:pPr>
    </w:p>
    <w:p w14:paraId="17AA59E9" w14:textId="77777777" w:rsidR="009D7677" w:rsidRDefault="009D7677" w:rsidP="009D7677">
      <w:pPr>
        <w:pStyle w:val="TextoNormal"/>
      </w:pPr>
      <w:r>
        <w:t>En lugar de argumentar simplemente que esta segunda opción no es imperativa según la Constitución, que opta por un sistema de acusación pública (</w:t>
      </w:r>
      <w:r w:rsidRPr="009D7677">
        <w:rPr>
          <w:i/>
        </w:rPr>
        <w:t>cfr</w:t>
      </w:r>
      <w:r>
        <w:t>. arts. 124 y 125), y que por tanto el margen de apreciación del legislador le permite otorgar preferencia al interés público en la persecución de este tipo de delitos por legítimas razones de oportunidad que este tribunal no debe enjuiciar ni suplantar, la sentencia se afana en demostrar el acierto y bondad de la nueva regulación. Aplicando el juicio de proporcionalidad en tres pasos concluye que el carácter público del delito es una “garantía” del “libre ejercicio del derecho a la interrupción voluntaria del embarazo” “idónea y necesaria” por no existir “medidas menos restrictivas del derecho a la intimidad personal” sacrificada y además “proporcionada en sentido estricto” por compensar los fines perseguidos por el legislador el aludido sacrificio. De modo que, si mis compañeros se creen sus propios argumentos, con esta sentencia no solo han declarado constitucional el carácter público de este nuevo delito, con lo que estoy de acuerdo, sino que además han declarado también implícitamente inconstitucional su alternativa, es decir, la posible toma en consideración de la voluntad de la víctima, que, sin embargo, se toma en consideración para delitos tan graves como el de practicar la reproducción asistida a una mujer sin su consentimiento (art. 161.2 CP) o los de agresión y acoso sexuales (art. 191 CP). Si el carácter público del delito es la alternativa idónea, menos restrictiva y además proporcionada en sentido estricto para proteger el “libre ejercicio” de la decisión de abortar —dotada, además, desde la STC 44/2023 de rango de “derecho fundamental”— forzoso será concluir que el eventual carácter privado o semiprivado del delito no protege adecuadamente ese derecho.</w:t>
      </w:r>
    </w:p>
    <w:p w14:paraId="4B6967E4" w14:textId="77777777" w:rsidR="009D7677" w:rsidRDefault="009D7677" w:rsidP="009D7677">
      <w:pPr>
        <w:pStyle w:val="TextoNormal"/>
      </w:pPr>
    </w:p>
    <w:p w14:paraId="61E101BF" w14:textId="77777777" w:rsidR="009D7677" w:rsidRDefault="009D7677" w:rsidP="009D7677">
      <w:pPr>
        <w:pStyle w:val="TextoNormal"/>
      </w:pPr>
      <w:r>
        <w:t xml:space="preserve">Tal como acabo de exponer, para llegar a su conclusión la sentencia parte de una aplicación del principio de proporcionalidad al control abstracto de constitucionalidad de las leyes que desborda la obligada restricción que desde sus primeras resoluciones este tribunal viene imponiéndose, hasta poder llegar a convertirlo de hecho en colegislador. Porque </w:t>
      </w:r>
      <w:r>
        <w:lastRenderedPageBreak/>
        <w:t>si, como dice la sentencia, la decisión del legislador es no solo necesaria sino que no existen alternativas menos restrictivas eso significa que nos atribuimos la facultad de adentrarnos en una valoraciones que corresponden al legislador y que si en este caso coinciden con él en otro pudieran discrepar, con la lógica consecuencia de que serían las valoraciones de este tribunal las que habrían de prevalecer.</w:t>
      </w:r>
    </w:p>
    <w:p w14:paraId="5B5774A4" w14:textId="77777777" w:rsidR="009D7677" w:rsidRDefault="009D7677" w:rsidP="009D7677">
      <w:pPr>
        <w:pStyle w:val="TextoNormal"/>
      </w:pPr>
    </w:p>
    <w:p w14:paraId="0D7F6AE1" w14:textId="77777777" w:rsidR="009D7677" w:rsidRDefault="009D7677" w:rsidP="009D7677">
      <w:pPr>
        <w:pStyle w:val="TextoNormal"/>
      </w:pPr>
      <w:r>
        <w:t>Y en este sentido de considerar incorrecta y peligrosa la “doctrina” constitucional derivada de esta sentencia (art. 40.2 LOTC), sin discrepar de su fallo, emito este voto particular.</w:t>
      </w:r>
    </w:p>
    <w:p w14:paraId="21E90895" w14:textId="77777777" w:rsidR="009D7677" w:rsidRDefault="009D7677" w:rsidP="009D7677">
      <w:pPr>
        <w:pStyle w:val="TextoNormal"/>
      </w:pPr>
    </w:p>
    <w:p w14:paraId="23BD6592" w14:textId="03FAFD19" w:rsidR="009D7677" w:rsidRDefault="009D7677" w:rsidP="009D7677">
      <w:pPr>
        <w:pStyle w:val="TextoNormal"/>
      </w:pPr>
      <w:r>
        <w:t>Madrid, a nueve de mayo de dos mil veinticuatro.</w:t>
      </w:r>
    </w:p>
    <w:p w14:paraId="0DE790E5" w14:textId="77777777" w:rsidR="009D7677" w:rsidRDefault="009D7677" w:rsidP="009D7677">
      <w:pPr>
        <w:pStyle w:val="TextoNormal"/>
      </w:pPr>
    </w:p>
    <w:p w14:paraId="7C207A2E" w14:textId="77777777" w:rsidR="009D7677" w:rsidRDefault="009D7677" w:rsidP="009D7677">
      <w:pPr>
        <w:pStyle w:val="TextoNormalNegritaCentrado"/>
        <w:keepNext/>
      </w:pPr>
      <w:r>
        <w:t>Voto particular que formulan el magistrado don Enrique Arnaldo Alcubilla y la magistrada doña Concepción Espejel Jorquera a la sentencia dictada por el Pleno con fecha 8 de mayo de 2024 en el recurso de inconstitucionalidad núm. 5041-2022</w:t>
      </w:r>
    </w:p>
    <w:p w14:paraId="4890B7A9" w14:textId="72E2A6A8" w:rsidR="009D7677" w:rsidRDefault="009D7677" w:rsidP="009D7677">
      <w:pPr>
        <w:pStyle w:val="TextoNormalNegritaCentrado"/>
        <w:keepNext/>
      </w:pPr>
    </w:p>
    <w:p w14:paraId="735EC110" w14:textId="77777777" w:rsidR="009D7677" w:rsidRDefault="009D7677" w:rsidP="009D7677">
      <w:pPr>
        <w:pStyle w:val="TextoNormal"/>
      </w:pPr>
      <w:r>
        <w:t>Con el debido respeto a la decisión de nuestros compañeros magistrados y haciendo uso de la facultad conferida en el art. 90.2 LOTC, venimos a expresar nuestro criterio discrepante con la decisión de desestimación del recurso de inconstitucionalidad núm. 5041-2022, interpuesto contra el artículo único de la Ley Orgánica 4/2022, de 12 de abril, por la que se modifica la Ley Orgánica 10/1995, de 23 de noviembre, del Código penal, para penalizar el acoso a las mujeres que acuden a clínicas para la interrupción voluntaria del embarazo. Los motivos de nuestra discrepancia son los siguientes:</w:t>
      </w:r>
    </w:p>
    <w:p w14:paraId="41FC7E94" w14:textId="77777777" w:rsidR="009D7677" w:rsidRDefault="009D7677" w:rsidP="009D7677">
      <w:pPr>
        <w:pStyle w:val="TextoNormal"/>
      </w:pPr>
    </w:p>
    <w:p w14:paraId="651B1A3F" w14:textId="77777777" w:rsidR="009D7677" w:rsidRDefault="009D7677" w:rsidP="009D7677">
      <w:pPr>
        <w:pStyle w:val="TextoNormal"/>
      </w:pPr>
      <w:r>
        <w:t xml:space="preserve">1. </w:t>
      </w:r>
      <w:r w:rsidRPr="009D7677">
        <w:rPr>
          <w:i/>
        </w:rPr>
        <w:t>Sobre la opción penal por el principio de intervención máxima</w:t>
      </w:r>
    </w:p>
    <w:p w14:paraId="0C215876" w14:textId="77777777" w:rsidR="009D7677" w:rsidRDefault="009D7677" w:rsidP="009D7677">
      <w:pPr>
        <w:pStyle w:val="TextoNormal"/>
      </w:pPr>
    </w:p>
    <w:p w14:paraId="68D3BC11" w14:textId="77777777" w:rsidR="009D7677" w:rsidRDefault="009D7677" w:rsidP="009D7677">
      <w:pPr>
        <w:pStyle w:val="TextoNormal"/>
      </w:pPr>
      <w:r>
        <w:t>Como es sabido el principio rector de la política criminal en el Estado social y democrático de Derecho (art. 1.1 CE) es el que se define como de intervención mínima. La respuesta penal se configura como última ratio, como último remedio a adoptar cuando no puede vislumbrarse otro medio menos invasivo, cuando puede demostrarse que el orden jurídico no puede ser preservado y restaurado eficazmente mediante otras soluciones menos drásticas y traumáticas que la sanción penal. Hemos empezado definiendo el principio de intervención mínima como de política criminal, sin perjuicio de lo cual los tribunales de justicia recurren con no poca frecuencia al mismo para reforzar la fundamentación de sus sentencias, muy señaladamente las absolutorias. Ello significa que el principio de intervención mínima del Derecho penal no solamente es un principio de la política criminal del Estado social y democrático de Derecho, sino un principio implícito en el valor libertad, que proclama el propio art. 1.1 CE como valor superior del ordenamiento jurídico, en su doble dimensión de ausencia de impedimento o constreñimientos para el desenvolvimiento y actuación de las personas (libertad en sentido negativo o libertad de autonomía) y de facultad de alcanzar las metas u objetivos que las mismas trazan, esto es, de ser sus propios dueños, como decía Isaiah Berlín (libertad en sentido positivo).</w:t>
      </w:r>
    </w:p>
    <w:p w14:paraId="1EAE5FCA" w14:textId="77777777" w:rsidR="009D7677" w:rsidRDefault="009D7677" w:rsidP="009D7677">
      <w:pPr>
        <w:pStyle w:val="TextoNormal"/>
      </w:pPr>
    </w:p>
    <w:p w14:paraId="13143596" w14:textId="77777777" w:rsidR="009D7677" w:rsidRDefault="009D7677" w:rsidP="009D7677">
      <w:pPr>
        <w:pStyle w:val="TextoNormal"/>
      </w:pPr>
      <w:r>
        <w:t xml:space="preserve">Pues bien, la ley orgánica sometida a enjuiciamiento, que contiene un único precepto, mediante el que se añade el art. 172 </w:t>
      </w:r>
      <w:r w:rsidRPr="009D7677">
        <w:rPr>
          <w:i/>
        </w:rPr>
        <w:t>quater</w:t>
      </w:r>
      <w:r>
        <w:t xml:space="preserve"> al Código penal, es una meridiana expresión del criterio contrario, es decir, el de intervención máxima o expansionismo desbordante </w:t>
      </w:r>
      <w:r>
        <w:lastRenderedPageBreak/>
        <w:t>del Derecho penal, decididamente contrario al valor libertad que es exigencia indispensable, imprescindible, en el Estado democrático. Y lo es por las razones que vamos a desarrollar en los apartados siguientes de este voto particular, si bien hemos de adelantar —para concluir este introito— que el preámbulo de una reforma penal debería ser el instrumento en el que el legislador debe concretar las razones sustantivas y de fondo a que tal reforma responde, con más detenimiento cuando, como este caso, de la tipificación de un nuevo delito se trate. Pues bien, la lectura del preámbulo de la ley orgánica enjuiciada provoca una notable frustración, pues se limita a constatar las peticiones e informes de una asociación privada, que proporciona los datos que provocan la respuesta penal y a concluir en la necesidad de establecer una “zona de exclusión”. Ninguna reflexión desde el Derecho constitucional cabe vislumbrar en el preámbulo; como tampoco ninguna consideración de Derecho penal ni de política criminal.</w:t>
      </w:r>
    </w:p>
    <w:p w14:paraId="2010787E" w14:textId="77777777" w:rsidR="009D7677" w:rsidRDefault="009D7677" w:rsidP="009D7677">
      <w:pPr>
        <w:pStyle w:val="TextoNormal"/>
      </w:pPr>
    </w:p>
    <w:p w14:paraId="0680DBE7" w14:textId="77777777" w:rsidR="009D7677" w:rsidRDefault="009D7677" w:rsidP="009D7677">
      <w:pPr>
        <w:pStyle w:val="TextoNormal"/>
      </w:pPr>
      <w:r>
        <w:t xml:space="preserve">2. </w:t>
      </w:r>
      <w:r w:rsidRPr="009D7677">
        <w:rPr>
          <w:i/>
        </w:rPr>
        <w:t>Sobre la vulneración del principio de legalidad penal (art. 25.1 CE), por falta de la necesaria taxatividad en la descripción del nuevo tipo penal</w:t>
      </w:r>
    </w:p>
    <w:p w14:paraId="25833977" w14:textId="77777777" w:rsidR="009D7677" w:rsidRDefault="009D7677" w:rsidP="009D7677">
      <w:pPr>
        <w:pStyle w:val="TextoNormal"/>
      </w:pPr>
    </w:p>
    <w:p w14:paraId="5810223C" w14:textId="77777777" w:rsidR="009D7677" w:rsidRDefault="009D7677" w:rsidP="009D7677">
      <w:pPr>
        <w:pStyle w:val="TextoNormal"/>
      </w:pPr>
      <w:r>
        <w:t xml:space="preserve">Como se expone con el suficiente detalle en la sentencia de la que discrepamos [antecedente 2 y fundamento jurídico 1 b)], uno de los motivos de inconstitucionalidad alegados por los recurrentes consiste en la falta de la debida taxatividad del nuevo tipo penal descrito en el art. 172 </w:t>
      </w:r>
      <w:r w:rsidRPr="009D7677">
        <w:rPr>
          <w:i/>
        </w:rPr>
        <w:t>quater</w:t>
      </w:r>
      <w:r>
        <w:t xml:space="preserve"> CP, introducido por la ley objeto de impugnación. Más en concreto, consideran que las expresiones actos “molestos” y “ofensivos” adolecen de una indeterminación contraria al mandato de taxatividad o de </w:t>
      </w:r>
      <w:r w:rsidRPr="009D7677">
        <w:rPr>
          <w:i/>
        </w:rPr>
        <w:t>lex certa</w:t>
      </w:r>
      <w:r>
        <w:t>, que afecta a la calidad de la norma hasta el punto de impedir el conocimiento de la propia conducta sancionada, cuya aplicación devendría imprevisible.</w:t>
      </w:r>
    </w:p>
    <w:p w14:paraId="1E04D1E5" w14:textId="77777777" w:rsidR="009D7677" w:rsidRDefault="009D7677" w:rsidP="009D7677">
      <w:pPr>
        <w:pStyle w:val="TextoNormal"/>
      </w:pPr>
    </w:p>
    <w:p w14:paraId="3342ECD5" w14:textId="77777777" w:rsidR="009D7677" w:rsidRDefault="009D7677" w:rsidP="009D7677">
      <w:pPr>
        <w:pStyle w:val="TextoNormal"/>
      </w:pPr>
      <w:r>
        <w:t>La sentencia rechaza esta impugnación. Y acude para ello a entender que el “verbo típico rector” de la conducta es “acosar” y no “molestar” u “ofender, verbos de los que ofrece la definición de la RAE a la utilización de estas fórmulas en otros tipos delictivos, así como a la necesaria contextualización con la finalidad de la conducta, con las otras formas comisivas y con el resultado producido. Discrepamos de este razonamiento.</w:t>
      </w:r>
    </w:p>
    <w:p w14:paraId="59950794" w14:textId="77777777" w:rsidR="009D7677" w:rsidRDefault="009D7677" w:rsidP="009D7677">
      <w:pPr>
        <w:pStyle w:val="TextoNormal"/>
      </w:pPr>
    </w:p>
    <w:p w14:paraId="307927BA" w14:textId="77777777" w:rsidR="009D7677" w:rsidRDefault="009D7677" w:rsidP="009D7677">
      <w:pPr>
        <w:pStyle w:val="TextoNormal"/>
      </w:pPr>
      <w:r>
        <w:t>La sentencia recuerda con acierto la doctrina de este tribunal sobre el principio de taxatividad (fundamento jurídico 3) pero yerra al aplicar el nuevo tipo penal, que no cumple con las exigencias constitucionales derivadas de esa jurisprudencia. En particular, en lo relativo a la conducta denominada “actos molestos”.</w:t>
      </w:r>
    </w:p>
    <w:p w14:paraId="1AF2A83B" w14:textId="77777777" w:rsidR="009D7677" w:rsidRDefault="009D7677" w:rsidP="009D7677">
      <w:pPr>
        <w:pStyle w:val="TextoNormal"/>
      </w:pPr>
    </w:p>
    <w:p w14:paraId="1CB93E60" w14:textId="77777777" w:rsidR="009D7677" w:rsidRDefault="009D7677" w:rsidP="009D7677">
      <w:pPr>
        <w:pStyle w:val="TextoNormal"/>
      </w:pPr>
      <w:r>
        <w:t xml:space="preserve">En efecto, lo primero que conviene señalar es que nuestro Código penal no recoge una definición en abstracto del “acoso”, que pueda deslindarse de las concretas formas comisivas tipificadas por el legislador. Es decir, el acoso se define en cada tipo delictivo mediante la descripción de unas concretas conductas que, en tal sentido, delimitan lo que deba entenderse por acoso a tales efectos. La sentencia pasa por alto este hecho que es determinante, es decir, parte de un presupuesto general y abstracto y no vinculado a la concreta realidad lo que es un paso que encierra un riesgo no desdeñable cuando del Derecho penal hablamos. Así sucede en los tres ejemplos citados en la sentencia. El art. 172 </w:t>
      </w:r>
      <w:r w:rsidRPr="009D7677">
        <w:rPr>
          <w:i/>
        </w:rPr>
        <w:t>ter</w:t>
      </w:r>
      <w:r>
        <w:t xml:space="preserve"> 1 CP define el acoso mediante una sucesiva descripción de distintos elementos que, de forma detallada, se contienen en el propio precepto. En primer lugar, ha de tratarse de alguna de las conductas recogidas en los cuatro apartados de ese artículo (resumidamente: acechanza, contacto, uso indebido de datos, y atentados contra la libertad o el patrimonio). Estas con</w:t>
      </w:r>
      <w:r>
        <w:lastRenderedPageBreak/>
        <w:t xml:space="preserve">ductas, además, habrán de llevarse a cabo “de forma insistente y reiterada”, de manera que “altere el normal desarrollo de [la] vida cotidiana” de la víctima. El art. 173.1, párrafo tercero CP describe, a su vez, el “grave acoso” como “actos hostiles o humillantes” que, “sin llegar a constituir trato degradante”, se realicen en un determinado contexto (“cualquier relación laboral o funcionarial”) y “prevaliéndose de [una] relación de superioridad”. Por su parte, el art. 184 CP define el “acoso sexual” como la solicitud de “favores de naturaleza sexual”, en un contexto de “relación laboral, docente, de prestación de servicios o análoga”, siempre que sea “continuada o habitual” y que “con tal comportamiento provocare a la víctima una situación objetiva y gravemente intimidatoria, hostil o humillante”. El art. 172 </w:t>
      </w:r>
      <w:r w:rsidRPr="009D7677">
        <w:rPr>
          <w:i/>
        </w:rPr>
        <w:t>quater</w:t>
      </w:r>
      <w:r>
        <w:t xml:space="preserve"> CP responde a este esquema, pero sin la riqueza de matices y elementos que configuran el resto de las conductas comparadas y que contribuyen a su debida objetivación. En lo que ahora interesa destacar, el nuevo tipo penal sanciona al que “acosare […] mediante actos molestos, ofensivos, intimidatorios o coactivos”. El acoso queda así definido a estos efectos por la remisión a unas concretas conductas que incluyen los “actos molestos”. Por lo tanto, la delimitación de lo que deba entenderse por actos molestos no puede hacerse, como hace la ponencia, por remisión al concepto de acoso porque, precisamente, el acoso está definido, a su vez, por los actos molestos.</w:t>
      </w:r>
    </w:p>
    <w:p w14:paraId="0F696C76" w14:textId="77777777" w:rsidR="009D7677" w:rsidRDefault="009D7677" w:rsidP="009D7677">
      <w:pPr>
        <w:pStyle w:val="TextoNormal"/>
      </w:pPr>
    </w:p>
    <w:p w14:paraId="64286645" w14:textId="77777777" w:rsidR="009D7677" w:rsidRDefault="009D7677" w:rsidP="009D7677">
      <w:pPr>
        <w:pStyle w:val="TextoNormal"/>
      </w:pPr>
      <w:r>
        <w:t>En segundo lugar, la ponencia es consciente de que el diccionario de la RAE contiene una primera acepción del verbo “molestar”, consistente en “[c]ausar fastidio o malestar a alguien”, que no responde a un elemental contenido lesivo que justifique la intervención del Derecho penal. Por ello se remite a su segunda acepción, definiendo así la conducta como “[i]mpedir u obstaculizar algo”. Sin embargo, no puede obviarse que esta descripción coincide —en esencia— con el delito de coacciones, tal y como es definido en el art. 172 CP (“impidiere a otro” o “le compeliere a efectuar lo que no quiere”), aunque con la significativa diferencia de que las coacciones requieren “violencia”, lo que no se exige en el nuevo tipo impugnado. En todo caso, no parece razonable interpretar los “actos molestos” por remisión a una conducta coactiva, cuando esta ya viene específicamente integrada como una de las formas comisivas del nuevo tipo penal ahora analizado, entre otras cosas porque el propio tipo penal se encuentra ubicado sistemáticamente dentro del capítulo III del título VI del libro II del Código penal, dedicado precisamente a las coacciones.</w:t>
      </w:r>
    </w:p>
    <w:p w14:paraId="77DE5820" w14:textId="77777777" w:rsidR="009D7677" w:rsidRDefault="009D7677" w:rsidP="009D7677">
      <w:pPr>
        <w:pStyle w:val="TextoNormal"/>
      </w:pPr>
    </w:p>
    <w:p w14:paraId="25FE2549" w14:textId="77777777" w:rsidR="009D7677" w:rsidRDefault="009D7677" w:rsidP="009D7677">
      <w:pPr>
        <w:pStyle w:val="TextoNormal"/>
      </w:pPr>
      <w:r>
        <w:t xml:space="preserve">En tercer lugar, la contextualización de la conducta descrita no permite superar las dificultades interpretativas de lo que deba entenderse como “actos molestos”. Como señala la propia sentencia, el tipo penal aparece definido por una conjunción de elementos integrados por una conducta —ya reseñada— llevada a cabo con una determinada finalidad (“obstaculizar el ejercicio” de un “derecho”, “profesión” o “cargo”) y que provoca un concreto resultado (“menoscabar la libertad”, aunque con el matiz que luego se señalará). Todos ellos han de quedar acreditados para que pueda hablarse de conducta delictiva. Sin embargo, el problema ahora planteado consiste en definir la conducta descrita como “actos molestos”. Y, para ello, no son suficientes la finalidad y el resultado. Es decir, el acto puede ser molesto o no, con independencia del resultado producido o de la finalidad pretendida. Lo contrario supone confundir el desvalor de la acción con el desvalor del resultado o con el elemento subjetivo del tipo. Dicho de otra forma, el acto no puede definirse como molesto solo cuando se comete con una determinada finalidad y provoca un resultado concreto, porque si el acto, como tal, no es molesto, la conducta sería atípica, con independencia de su finalidad y del resultado producido. Además, el precepto analizado contiene dos modalidades delictivas que presentan una distinción sustancial. El acoso a la mujer, </w:t>
      </w:r>
      <w:r>
        <w:lastRenderedPageBreak/>
        <w:t>recogido en el apartado 1, se configura como un delito de resultado, al exigir que los actos “menoscaben su libertad”; mientras que el acoso a los trabajadores sanitarios y al personal facultativo o directivo de los centros, descrito en el apartado 2, se tipifica como un delito de mera actividad, al no exigir un concreto resultado lesivo, dado que basta con realizar la conducta “con el objetivo de obstaculizar el ejercicio” de la profesión o cargo, es decir, con independencia de que ese ejercicio se vea o no efectivamente obstaculizado. Por lo tanto, al menos en esta segunda modalidad, la definición del acto molesto no puede contextualizarse en función de un resultado no exigido por el tipo penal.</w:t>
      </w:r>
    </w:p>
    <w:p w14:paraId="0752BB3E" w14:textId="77777777" w:rsidR="009D7677" w:rsidRDefault="009D7677" w:rsidP="009D7677">
      <w:pPr>
        <w:pStyle w:val="TextoNormal"/>
      </w:pPr>
    </w:p>
    <w:p w14:paraId="28E59E1C" w14:textId="77777777" w:rsidR="009D7677" w:rsidRDefault="009D7677" w:rsidP="009D7677">
      <w:pPr>
        <w:pStyle w:val="TextoNormal"/>
      </w:pPr>
      <w:r>
        <w:t xml:space="preserve">En cuarto lugar, como ya se anticipó, tampoco puede obviarse la escasa aptitud lesiva atribuible a lo que, en un entendimiento común, puede ser considerado como una molestia (definida por la RAE como “fastidio” o “malestar”). Como ya hemos señalado, pero ahora recordando la propia doctrina del Tribunal, el principio de intervención mínima implica que “la intromisión del Derecho penal debe quedar reducida al mínimo indispensable para el control social. De modo tal que la sanción punitiva, como mecanismo de satisfacción o respuesta, se presenta como </w:t>
      </w:r>
      <w:r w:rsidRPr="009D7677">
        <w:rPr>
          <w:i/>
        </w:rPr>
        <w:t>ultima ratio</w:t>
      </w:r>
      <w:r>
        <w:t>, reservada para aquellos casos de mayor gravedad” [STC 25/2022, de 23 de febrero, FJ 7.2 E)]. Por ello, solo deben ser objeto de protección mediante el Derecho penal aquellos bienes jurídicos de especial relevancia social y solo respecto de aquellas conductas más graves susceptibles de lesionar o poner en riesgo esos bienes jurídicos. Atribuir una sanción penal a una conducta “molesta”, no parece que se corresponda con un elemental principio de lesividad, puesto que difícilmente esa conducta contiene una aptitud o idoneidad para provocar el resultado de menoscabar la libertad ajena, ni siquiera para poner en peligro ese bien jurídico protegido. De hecho, no se tiene constancia de la utilización de una expresión semejante en cualquier otro precepto penal. Desde luego, no en las otras formas de acoso descritas en el Código penal, recogidas en la sentencia.</w:t>
      </w:r>
    </w:p>
    <w:p w14:paraId="7B0CD93C" w14:textId="77777777" w:rsidR="009D7677" w:rsidRDefault="009D7677" w:rsidP="009D7677">
      <w:pPr>
        <w:pStyle w:val="TextoNormal"/>
      </w:pPr>
    </w:p>
    <w:p w14:paraId="427A4AB0" w14:textId="77777777" w:rsidR="009D7677" w:rsidRDefault="009D7677" w:rsidP="009D7677">
      <w:pPr>
        <w:pStyle w:val="TextoNormal"/>
      </w:pPr>
      <w:r>
        <w:t>Especial gravedad reviste el hecho de que la propia sentencia sea consciente de los riesgos que, “en el ámbito aplicativo concreto” por parte de los órganos judiciales, “habrá que controlar, incluso por la vía del procedimiento de amparo”, ante “cualquier eventual interpretación imprevisible” del precepto. Pero no anuda esos riesgos a la propia deficiencia normativa —que es la pretensión planteada por los recurrentes, que queda así sin una respuesta fundada, a nuestro juicio y que no es cuestión de mera técnica legislativa—, limitándose la resolución en este punto a descartar algunos de los riesgos expuestos en la demanda que, claramente, deben quedar fuera de un entendimiento cabal del tipo penal, como las “meras sugerencias o comentarios contrarios” a la interrupción voluntaria del embarazo. Sin embargo, la sentencia no puede descartar que la descripción del tipo penal pueda abarcar otras conductas que se sitúen en una escala intermedia —es decir, que no sean “meras sugerencias o comentarios” ni actos “intimidatorios o coactivos”—, existiendo así un riesgo de sanción de acciones que, objetivamente, puedan ser consideradas como inocuas en otro contexto, pero que se convierten en delictivas en función de un criterio subjetivo como es la eventual molestia que puedan causar a la víctima.</w:t>
      </w:r>
    </w:p>
    <w:p w14:paraId="7AA07D4F" w14:textId="77777777" w:rsidR="009D7677" w:rsidRDefault="009D7677" w:rsidP="009D7677">
      <w:pPr>
        <w:pStyle w:val="TextoNormal"/>
      </w:pPr>
    </w:p>
    <w:p w14:paraId="6B479F96" w14:textId="77777777" w:rsidR="009D7677" w:rsidRDefault="009D7677" w:rsidP="009D7677">
      <w:pPr>
        <w:pStyle w:val="TextoNormal"/>
      </w:pPr>
      <w:r>
        <w:t xml:space="preserve">3. </w:t>
      </w:r>
      <w:r w:rsidRPr="009D7677">
        <w:rPr>
          <w:i/>
        </w:rPr>
        <w:t>A modo de conclusión sobre el carácter excesivamente abierto y escasamente taxativo del novedoso tipo del art</w:t>
      </w:r>
      <w:r>
        <w:t>. 172 quate</w:t>
      </w:r>
      <w:r w:rsidRPr="009D7677">
        <w:rPr>
          <w:i/>
        </w:rPr>
        <w:t xml:space="preserve">r </w:t>
      </w:r>
      <w:r>
        <w:t>CP</w:t>
      </w:r>
    </w:p>
    <w:p w14:paraId="75F11C6A" w14:textId="77777777" w:rsidR="009D7677" w:rsidRDefault="009D7677" w:rsidP="009D7677">
      <w:pPr>
        <w:pStyle w:val="TextoNormal"/>
      </w:pPr>
    </w:p>
    <w:p w14:paraId="49FC3CB0" w14:textId="77777777" w:rsidR="009D7677" w:rsidRDefault="009D7677" w:rsidP="009D7677">
      <w:pPr>
        <w:pStyle w:val="TextoNormal"/>
      </w:pPr>
      <w:r>
        <w:t xml:space="preserve">La propia autoconfesión de los riesgos interpretativos refuerza la idea de entender el novedoso art. 172 </w:t>
      </w:r>
      <w:r w:rsidRPr="009D7677">
        <w:rPr>
          <w:i/>
        </w:rPr>
        <w:t>quater</w:t>
      </w:r>
      <w:r>
        <w:t xml:space="preserve"> CP, introducido por el artículo único de la Ley Orgánica 4/2022, </w:t>
      </w:r>
      <w:r>
        <w:lastRenderedPageBreak/>
        <w:t>como uno de los preceptos más controvertidos del Código penal. Lo es porque su contenido jurídico es sumamente abierto. Recordemos que castiga con pena de hasta un año de prisión a quien “acosare” con “actos molestos, ofensivos, intimidatorios o coactivos” a una mujer (o a los trabajadores del centro sanitario en que se practiquen abortos), “para obstaculizar el ejercicio del derecho a la interrupción voluntaria del embarazo”. Este tipo resulta excesivamente abierto y por ello escasamente taxativo, pudiendo incluir un abanico de actuaciones amplio y dispar, que no son violentas, ni de hostigamiento, y que tampoco tienen por qué conseguir la modificación deseada de la conducta de otro (que no se lleve a cabo la interrupción voluntaria del embarazo). Basta que se trate de “actos molestos u ofensivos” y que su resultado sea el “menoscabo” de la libertad ajena, de modo que igual desvalor tendría realizar cualquiera de esas acciones mediante actos violentos, vejatorios, amenazantes o coactivos, que con simples actos “molestos” u “ofensivos” (el propio preámbulo de la Ley Orgánica 4/2022 alude expresamente, para ilustrar las conductas que se pretenden reprimir, a los que realizan los “grupos organizados” que “abordan a las mujeres con fotografías, fetos de juguete y proclamas contra el aborto antes de que entren en la clínica”. Por cierto, el preámbulo incluye una referencia a una recomendación carente de todo valor normativo y la sentencia la reproduce acríticamente, aun cuando no puede servir de parámetro de constitucionalidad).</w:t>
      </w:r>
    </w:p>
    <w:p w14:paraId="611753DB" w14:textId="77777777" w:rsidR="009D7677" w:rsidRDefault="009D7677" w:rsidP="009D7677">
      <w:pPr>
        <w:pStyle w:val="TextoNormal"/>
      </w:pPr>
    </w:p>
    <w:p w14:paraId="5E99FAB0" w14:textId="77777777" w:rsidR="009D7677" w:rsidRDefault="009D7677" w:rsidP="009D7677">
      <w:pPr>
        <w:pStyle w:val="TextoNormal"/>
      </w:pPr>
      <w:r>
        <w:t xml:space="preserve">Por todo ello, ante la notoria inconcreción de lo que deba entenderse como “actos molestos” u “ofensivos” y la consiguiente imprevisibilidad del alcance de la conducta sancionada, la sentencia debió estimar el recurso en este punto, declarando la inconstitucionalidad de la expresiones “molestos y ofensivos” contenida en el art. 172, </w:t>
      </w:r>
      <w:r w:rsidRPr="009D7677">
        <w:rPr>
          <w:i/>
        </w:rPr>
        <w:t>quater</w:t>
      </w:r>
      <w:r>
        <w:t>, apartado 1 CP, dado que las conductas descritas no colman los requisitos de taxatividad exigibles a la norma penal desde la perspectiva del principio de legalidad penal reconocido en el art. 25.1 CE.</w:t>
      </w:r>
    </w:p>
    <w:p w14:paraId="483781DB" w14:textId="77777777" w:rsidR="009D7677" w:rsidRDefault="009D7677" w:rsidP="009D7677">
      <w:pPr>
        <w:pStyle w:val="TextoNormal"/>
      </w:pPr>
    </w:p>
    <w:p w14:paraId="25840639" w14:textId="77777777" w:rsidR="009D7677" w:rsidRDefault="009D7677" w:rsidP="009D7677">
      <w:pPr>
        <w:pStyle w:val="TextoNormal"/>
      </w:pPr>
      <w:r>
        <w:t>En el mejor de los casos, la sentencia podría haber declarado la constitucionalidad del precepto impugnado siempre que fuera interpretado en el sentido de que cualquiera de los medios comisivos, incluidos los “actos molestos u ofensivos”, debían presentar una “intensidad lesiva” semejante entre sí, no solo en relación con el derecho a la libertad, sino con su efectivo menoscabo mediante la obstaculización al ejercicio de concretos derechos. De esta forma, solo podrían ser sancionadas aquellas conductas que, por su gravedad intrínseca, fueran susceptibles de lesionar o poner en riesgo el bien jurídico protegido, gravedad que, por otra parte, se infiere de los tipos penales de acoso a los que se refiere la propia sentencia. Lógicamente, ello hubiera exigido elaborar lo que se conoce como una sentencia interpretativa, recogiendo en el fallo un entendimiento del precepto que validara su constitucionalidad.</w:t>
      </w:r>
    </w:p>
    <w:p w14:paraId="0229E0D3" w14:textId="77777777" w:rsidR="009D7677" w:rsidRDefault="009D7677" w:rsidP="009D7677">
      <w:pPr>
        <w:pStyle w:val="TextoNormal"/>
      </w:pPr>
    </w:p>
    <w:p w14:paraId="1EC07282" w14:textId="77777777" w:rsidR="009D7677" w:rsidRDefault="009D7677" w:rsidP="009D7677">
      <w:pPr>
        <w:pStyle w:val="TextoNormal"/>
      </w:pPr>
      <w:r>
        <w:t xml:space="preserve">4. </w:t>
      </w:r>
      <w:r w:rsidRPr="009D7677">
        <w:rPr>
          <w:i/>
        </w:rPr>
        <w:t>Sobre la limitación de los derechos a la libertad ideológica (art. 16 CE), a la libertad de expresión (art. 20 CE), y a los derechos de reunión y manifestación (art. 21 CE). Y sobre la omisión de la jurisprudencia del Tribunal Europeo de Derechos Humanos en relación con tales derechos y libertades</w:t>
      </w:r>
    </w:p>
    <w:p w14:paraId="054EB34A" w14:textId="77777777" w:rsidR="009D7677" w:rsidRDefault="009D7677" w:rsidP="009D7677">
      <w:pPr>
        <w:pStyle w:val="TextoNormal"/>
      </w:pPr>
    </w:p>
    <w:p w14:paraId="26F2663C" w14:textId="77777777" w:rsidR="009D7677" w:rsidRDefault="009D7677" w:rsidP="009D7677">
      <w:pPr>
        <w:pStyle w:val="TextoNormal"/>
      </w:pPr>
      <w:r>
        <w:t xml:space="preserve">Como recoge la sentencia [antecedente 2 y fundamento jurídico 1 b)], la demanda asocia la falta de taxatividad del tipo penal con la lesión de los derechos y libertades reseñadas. La indeterminación de la conducta típica podría abarcar la sanción del ejercicio normal de esos derechos, incluyendo la dimensión externa de la libertad religiosa y la libertad </w:t>
      </w:r>
      <w:r>
        <w:lastRenderedPageBreak/>
        <w:t>de culto. Los recurrentes consideran que la tipificación penal de conductas indeterminadas que puedan ser la expresión del ejercicio legítimo de un derecho fundamental provoca un efecto desaliento para su ejercicio, además de resultar desproporcionada la imposición de una pena privativa de libertad.</w:t>
      </w:r>
    </w:p>
    <w:p w14:paraId="4EADA8CA" w14:textId="77777777" w:rsidR="009D7677" w:rsidRDefault="009D7677" w:rsidP="009D7677">
      <w:pPr>
        <w:pStyle w:val="TextoNormal"/>
      </w:pPr>
    </w:p>
    <w:p w14:paraId="6F8AA133" w14:textId="77777777" w:rsidR="009D7677" w:rsidRDefault="009D7677" w:rsidP="009D7677">
      <w:pPr>
        <w:pStyle w:val="TextoNormal"/>
      </w:pPr>
      <w:r>
        <w:t>La sentencia descarta estos motivos de impugnación. Por un lado, se niega toda afectación a las libertadas ideológicas y religiosas, dado que “no se constata” la conexión del tipo penal “con la persecución de ideas o posiciones ideológicas ni mucho menos de actos de culto o manifestaciones públicas de sentimientos religiosos”. Por otro, admite la posibilidad de que el tipo penal impugnado pueda llegar a “limitar actitudes o acciones de protesta […] o […] la expresión de ideas y opiniones contrarias” al ejercicio de la interrupción voluntaria del embarazo, pero, tras reseñar la doctrina de este tribunal sobre los derechos a la libertad de expresión y de reunión, así como sobre la eventual limitación penal al ejercicio de derechos fundamentales, la sentencia rechaza la pretensión de los recurrentes. Discrepamos de esta conclusión.</w:t>
      </w:r>
    </w:p>
    <w:p w14:paraId="0CA4C0E5" w14:textId="77777777" w:rsidR="009D7677" w:rsidRDefault="009D7677" w:rsidP="009D7677">
      <w:pPr>
        <w:pStyle w:val="TextoNormal"/>
      </w:pPr>
    </w:p>
    <w:p w14:paraId="7130F4D5" w14:textId="77777777" w:rsidR="009D7677" w:rsidRDefault="009D7677" w:rsidP="009D7677">
      <w:pPr>
        <w:pStyle w:val="TextoNormal"/>
      </w:pPr>
      <w:r>
        <w:t>En efecto, no podemos compartir el aserto de la sentencia según el cual las conductas tipificadas en el nuevo delito no afectan a los derechos a la libertades ideológica y religiosa. La propia sentencia constata que el legislador “ha identificado un problema social” y, precisamente abundando en esa línea, no puede negarse una realidad, también constatable, de que las conductas ahora tipificadas se enmarcan, en ocasiones, en contextos de debate público y social concurrentes con manifestaciones de la libertad ideológica y religiosa, que en este caso aparecen estrechamente conectadas con el ejercicio de la libertad de expresión y del derecho de reunión.</w:t>
      </w:r>
    </w:p>
    <w:p w14:paraId="31D67C50" w14:textId="77777777" w:rsidR="009D7677" w:rsidRDefault="009D7677" w:rsidP="009D7677">
      <w:pPr>
        <w:pStyle w:val="TextoNormal"/>
      </w:pPr>
    </w:p>
    <w:p w14:paraId="5E42EF6F" w14:textId="77777777" w:rsidR="009D7677" w:rsidRDefault="009D7677" w:rsidP="009D7677">
      <w:pPr>
        <w:pStyle w:val="TextoNormal"/>
      </w:pPr>
      <w:r>
        <w:t xml:space="preserve">Llama poderosamente la atención que la sentencia omita cualquier referencia a la doctrina del Tribunal Europeo de Derechos Humanos sobre los derechos invocados. Como es conocido, la relación entre los derechos a la libertad de expresión (como género) y de reunión (como especie), determina la necesidad de una apreciación conjunta cuando la finalidad del ejercicio del derecho de reunión (art. 11 CEDH) es la expresión de opiniones (art. 10 CEDH), tal y como se establece, entre otras, en la STEDH (Gran Sala) de 15 de octubre de 2015, asunto </w:t>
      </w:r>
      <w:r w:rsidRPr="009D7677">
        <w:rPr>
          <w:i/>
        </w:rPr>
        <w:t>Kudrevičius y otros c. Lituania</w:t>
      </w:r>
      <w:r>
        <w:t xml:space="preserve">, § 85 y 86. Unos derechos que permiten la expresión no solo de ideas u opiniones acogidas con favor o consideradas inofensivas o indiferentes, sino también para aquellas que contrarían, chocan o inquietan al Estado o a una parte cualquiera de la población (STEDH de 24 de febrero de 1997, asunto </w:t>
      </w:r>
      <w:r w:rsidRPr="009D7677">
        <w:rPr>
          <w:i/>
        </w:rPr>
        <w:t>de Haes y Gijsels c. Bélgica</w:t>
      </w:r>
      <w:r>
        <w:t xml:space="preserve">, § 49). En esta línea, la imposición de una pena de prisión por una infracción cometida en el marco del debate político solo es compatible con la libertad de expresión en unas circunstancias excepcionales, siendo el elemento esencial a considerar el hecho de que el discurso incite al uso de la violencia o que constituya un discurso de odio (STEDH de 13 de marzo de 2018, asunto </w:t>
      </w:r>
      <w:r w:rsidRPr="009D7677">
        <w:rPr>
          <w:i/>
        </w:rPr>
        <w:t>Stern Taulats y Roura Capellera c. España</w:t>
      </w:r>
      <w:r>
        <w:t xml:space="preserve">, § 34). También destaca el Tribunal Europeo de Derechos Humanos que existen obligaciones positivas de los Estados para asegurar el disfrute efectivo de estos derechos que, en el caso particular de la libertad de reunión, no puede interpretarse restrictivamente, protegiendo tanto las reuniones privadas como las reuniones en lugares públicos, así como los encuentros estáticos y dinámicos (STEDH de 20 de febrero de 2003, asunto </w:t>
      </w:r>
      <w:r w:rsidRPr="009D7677">
        <w:rPr>
          <w:i/>
        </w:rPr>
        <w:t>Djavit An c. Turquía</w:t>
      </w:r>
      <w:r>
        <w:t xml:space="preserve">, § 56 y 57); aunque impliquen las inevitables perturbaciones derivadas de su celebración pacífica en la vía pública, que han de ser toleradas (SSTEDH </w:t>
      </w:r>
      <w:r>
        <w:lastRenderedPageBreak/>
        <w:t xml:space="preserve">de 17 de julio de 2007, asunto </w:t>
      </w:r>
      <w:r w:rsidRPr="009D7677">
        <w:rPr>
          <w:i/>
        </w:rPr>
        <w:t>Bukta y otros c. Hungría</w:t>
      </w:r>
      <w:r>
        <w:t>, § 37, y de 27 de noviembre de 2012, asunt</w:t>
      </w:r>
      <w:r w:rsidRPr="009D7677">
        <w:rPr>
          <w:i/>
        </w:rPr>
        <w:t>o Disk y Kesk c. Turqu</w:t>
      </w:r>
      <w:r>
        <w:t>ía, § 29).</w:t>
      </w:r>
    </w:p>
    <w:p w14:paraId="1684A9A7" w14:textId="77777777" w:rsidR="009D7677" w:rsidRDefault="009D7677" w:rsidP="009D7677">
      <w:pPr>
        <w:pStyle w:val="TextoNormal"/>
      </w:pPr>
    </w:p>
    <w:p w14:paraId="11F3B200" w14:textId="77777777" w:rsidR="009D7677" w:rsidRDefault="009D7677" w:rsidP="009D7677">
      <w:pPr>
        <w:pStyle w:val="TextoNormal"/>
      </w:pPr>
      <w:r>
        <w:t>En fin, entendemos que, atendida la jurisprudencia constitucional y la del Tribunal Europeo de Derechos Humanos, la regulación impugnada constituye un claro supuesto de reacción penal excesiva que puede producir efectos disuasorios o de desaliento sobre el ejercicio legítimo de los derechos fundamentales, por cuanto los límites penales están imprecisamente establecidos, ante el temor de que cualquier extralimitación sea severamente sancionada (por todas, STC 136/1999, FJ 20). Doctrina que también resulta aplicable a aquellos casos en los que, a pesar de que el comportamiento no resulte pleno y escrupulosamente ajustado a las condiciones y límites del derecho fundamental, se aprecie inequívocamente que el acto se encuadra en su contenido y finalidad y, por tanto, en la razón de ser de su consagración constitucional. En este caso, la gravedad que representa la sanción penal supondría una vulneración del derecho, al implicar un sacrificio desproporcionado e innecesario de los derechos fundamentales en juego que podría tener un efecto disuasorio o desalentador de su ejercicio (STC 62/2019, de 7 de mayo, FJ 7, por todas). A esta cuestión nos referiremos seguidamente.</w:t>
      </w:r>
    </w:p>
    <w:p w14:paraId="215F8AE2" w14:textId="77777777" w:rsidR="009D7677" w:rsidRDefault="009D7677" w:rsidP="009D7677">
      <w:pPr>
        <w:pStyle w:val="TextoNormal"/>
      </w:pPr>
    </w:p>
    <w:p w14:paraId="1A95429E" w14:textId="77777777" w:rsidR="009D7677" w:rsidRDefault="009D7677" w:rsidP="009D7677">
      <w:pPr>
        <w:pStyle w:val="TextoNormal"/>
      </w:pPr>
      <w:r>
        <w:t xml:space="preserve">5. </w:t>
      </w:r>
      <w:r w:rsidRPr="009D7677">
        <w:rPr>
          <w:i/>
        </w:rPr>
        <w:t>Sobre la falta de proporcionalidad: un ejemplo de patente derroche de coacción</w:t>
      </w:r>
    </w:p>
    <w:p w14:paraId="2DE625A9" w14:textId="77777777" w:rsidR="009D7677" w:rsidRDefault="009D7677" w:rsidP="009D7677">
      <w:pPr>
        <w:pStyle w:val="TextoNormal"/>
      </w:pPr>
    </w:p>
    <w:p w14:paraId="0FB22661" w14:textId="77777777" w:rsidR="009D7677" w:rsidRDefault="009D7677" w:rsidP="009D7677">
      <w:pPr>
        <w:pStyle w:val="TextoNormal"/>
      </w:pPr>
      <w:r>
        <w:t>La sentencia descarta que estemos en presencia de una desproporción entre el fin perseguido y los medios empleados para conseguirlo, o de un sacrificio excesivo e innecesario, o de un patente derroche inútil de coacción normativa.</w:t>
      </w:r>
    </w:p>
    <w:p w14:paraId="305911DF" w14:textId="77777777" w:rsidR="009D7677" w:rsidRDefault="009D7677" w:rsidP="009D7677">
      <w:pPr>
        <w:pStyle w:val="TextoNormal"/>
      </w:pPr>
    </w:p>
    <w:p w14:paraId="75206D8B" w14:textId="77777777" w:rsidR="009D7677" w:rsidRDefault="009D7677" w:rsidP="009D7677">
      <w:pPr>
        <w:pStyle w:val="TextoNormal"/>
      </w:pPr>
      <w:r>
        <w:t>Desde la perspectiva axiológica, la sentencia señala que la norma pretende proteger un “interés con cobertura constitucional suficiente, como es la garantía de la libertad de las mujeres para interrumpir de forma voluntaria su embarazo”, con expresa remisión a la STC 44/2023, FJ 3, apartados A), B) y D); calificándolo reiteradamente como derecho fundamental.</w:t>
      </w:r>
    </w:p>
    <w:p w14:paraId="371FEF08" w14:textId="77777777" w:rsidR="009D7677" w:rsidRDefault="009D7677" w:rsidP="009D7677">
      <w:pPr>
        <w:pStyle w:val="TextoNormal"/>
      </w:pPr>
    </w:p>
    <w:p w14:paraId="29138C08" w14:textId="77777777" w:rsidR="009D7677" w:rsidRDefault="009D7677" w:rsidP="009D7677">
      <w:pPr>
        <w:pStyle w:val="TextoNormal"/>
      </w:pPr>
      <w:r>
        <w:t xml:space="preserve">Ello nos obliga a remitirnos a lo expuesto en nuestros votos particulares a la STC 44/2023, en los que consideramos que el Tribunal excedió las competencias que le correspondían al resolver ese recurso de inconstitucionalidad y que, en vez de limitarse a examinar si la norma cuestionada resultaba conforme a la Constitución, vino a crear </w:t>
      </w:r>
      <w:r w:rsidRPr="009D7677">
        <w:rPr>
          <w:i/>
        </w:rPr>
        <w:t>ex novo</w:t>
      </w:r>
      <w:r>
        <w:t xml:space="preserve"> lo que denominó derecho de la mujer a la autodeterminación respecto a la interrupción voluntaria del embarazo, que construyó, de un lado, a partir del art. 10.1 CE y, de otro, en el art. 15 CE; aludiendo, finalmente, a que una limitación de dicho derecho comportaría una discriminación de la mujer que vulneraría el art. 14 CE. Como indicamos en los votos particulares, se desbordó en dicha sentencia el alcance del enjuiciamiento que corresponde al Tribunal Constitucional, al que se refirió, entre otras, la STC 11/1981, en cuyo fundamento jurídico 7 se afirmó que “[l]a Constitución es un marco de coincidencias suficientemente amplio como para que dentro de él quepan opciones políticas de muy diferente signo”, siempre que no la contradigan.</w:t>
      </w:r>
    </w:p>
    <w:p w14:paraId="23BE873B" w14:textId="77777777" w:rsidR="009D7677" w:rsidRDefault="009D7677" w:rsidP="009D7677">
      <w:pPr>
        <w:pStyle w:val="TextoNormal"/>
      </w:pPr>
    </w:p>
    <w:p w14:paraId="10E5B46F" w14:textId="77777777" w:rsidR="009D7677" w:rsidRDefault="009D7677" w:rsidP="009D7677">
      <w:pPr>
        <w:pStyle w:val="TextoNormal"/>
      </w:pPr>
      <w:r>
        <w:t>La STC 44/2023 desbordó los límites de enjuiciamiento del Tribunal Constitucional precedentemente expuestos y, en vez de limitarse a analizar si la opción legislativa se acomodaba o no a la Constitución, acabó creando un pseudoderecho fundamental de la mujer a la autodeterminación para la interrupción del embarazo, no recogido en la Consti</w:t>
      </w:r>
      <w:r>
        <w:lastRenderedPageBreak/>
        <w:t>tución, cuya creación, obviamente, compete al poder constituyente y no a este tribunal, lo que condujo a imponer el modelo recogido en la Ley Orgánica 2/2010 como el único modelo constitucional posible.</w:t>
      </w:r>
    </w:p>
    <w:p w14:paraId="7981132C" w14:textId="77777777" w:rsidR="009D7677" w:rsidRDefault="009D7677" w:rsidP="009D7677">
      <w:pPr>
        <w:pStyle w:val="TextoNormal"/>
      </w:pPr>
    </w:p>
    <w:p w14:paraId="43A2C9DF" w14:textId="77777777" w:rsidR="009D7677" w:rsidRDefault="009D7677" w:rsidP="009D7677">
      <w:pPr>
        <w:pStyle w:val="TextoNormal"/>
      </w:pPr>
      <w:r>
        <w:t>Dicho desbordamiento se reitera en la sentencia a la que ahora formulamos voto particular, que considera nuevamente el derecho a la interrupción voluntaria del embarazo como un derecho fundamental, tesis de la que nuevamente discrepamos, ya que el referido derecho a la interrupción del embarazo es de configuración legal, por lo que no puede equiparse a otros derechos que sí tienen la consideración de derechos fundamentales, entre los que se encuentran los que se invocan como cercenados en el presente recurso de inconstitucionalidad.</w:t>
      </w:r>
    </w:p>
    <w:p w14:paraId="181B2F73" w14:textId="77777777" w:rsidR="009D7677" w:rsidRDefault="009D7677" w:rsidP="009D7677">
      <w:pPr>
        <w:pStyle w:val="TextoNormal"/>
      </w:pPr>
    </w:p>
    <w:p w14:paraId="4131FACC" w14:textId="77777777" w:rsidR="009D7677" w:rsidRDefault="009D7677" w:rsidP="009D7677">
      <w:pPr>
        <w:pStyle w:val="TextoNormal"/>
      </w:pPr>
      <w:r>
        <w:t>No discutimos que la norma penal deba proteger la libre determinación de cualquier persona. De hecho, esa protección ya existe mediante la figura del delito de coacciones (art. 172 CP), pero no podemos compartir que la ponderación de los bienes, derechos o intereses en presencia que se efectúa en la sentencia de la que discrepamos pueda hacerse partiendo de la consideración de la interrupción voluntaria del embarazo como un derecho fundamental, porque no lo es.</w:t>
      </w:r>
    </w:p>
    <w:p w14:paraId="0A154905" w14:textId="77777777" w:rsidR="009D7677" w:rsidRDefault="009D7677" w:rsidP="009D7677">
      <w:pPr>
        <w:pStyle w:val="TextoNormal"/>
      </w:pPr>
    </w:p>
    <w:p w14:paraId="6B4936C2" w14:textId="77777777" w:rsidR="009D7677" w:rsidRDefault="009D7677" w:rsidP="009D7677">
      <w:pPr>
        <w:pStyle w:val="TextoNormal"/>
      </w:pPr>
      <w:r>
        <w:t>Por otro lado, desde la perspectiva penológica, la sentencia resalta, en esencia, que las penas previstas se encuentran en una franja muy inferior dentro de la horquilla que permite considerar este delito como menos grave (</w:t>
      </w:r>
      <w:r w:rsidRPr="009D7677">
        <w:rPr>
          <w:i/>
        </w:rPr>
        <w:t>ex</w:t>
      </w:r>
      <w:r>
        <w:t xml:space="preserve"> art. 33.3 CP); y que la pena privativa de libertad no resulta de obligada imposición ni ejecución, sin perjuicio de que, además, se pueda atemperar la sanción a través de la apreciación de la eximente o atenuante de ejercicio legítimo de un derecho (arts. 20.7, 21.1. y 21.7 CP). Una vez más, discrepamos de la posición mayoritaria.</w:t>
      </w:r>
    </w:p>
    <w:p w14:paraId="49E826CE" w14:textId="77777777" w:rsidR="009D7677" w:rsidRDefault="009D7677" w:rsidP="009D7677">
      <w:pPr>
        <w:pStyle w:val="TextoNormal"/>
      </w:pPr>
    </w:p>
    <w:p w14:paraId="52DF3632" w14:textId="77777777" w:rsidR="009D7677" w:rsidRDefault="009D7677" w:rsidP="009D7677">
      <w:pPr>
        <w:pStyle w:val="TextoNormal"/>
      </w:pPr>
      <w:r>
        <w:t xml:space="preserve">De entrada, no se ha tenido en cuenta que la redacción del apartado 4 de este art. 172 </w:t>
      </w:r>
      <w:r w:rsidRPr="009D7677">
        <w:rPr>
          <w:i/>
        </w:rPr>
        <w:t>quater</w:t>
      </w:r>
      <w:r>
        <w:t xml:space="preserve"> CP describe lo que se conoce como un concurso real, es decir, que se impondrán acumulativamente las penas señaladas al delito de acoso, así como las previstas para los eventuales delitos en los que, en su caso, se hubieran concretado los actos de acoso. En el supuesto del delito de coacciones, la consideración del derecho a interrumpir voluntariamente el embarazo como un derecho fundamental puede tener implicaciones penológicas ante la eventual concurrencia del subtipo agravado del delito de coacción (art. 172.1, párrafo segundo CP) y la consiguiente imposición de la pena en su mitad superior (de un año, nueve meses y un día a tres años de prisión, en su caso). Además, la eventual concurrencia de una eximente o atenuante genérica no guarda relación con el objeto de este recurso, que no plantea cuestión alguna sobre las circunstancias modificativas de la responsabilidad criminal ni sobre las reglas para la individualización y aplicación de las penas, sino que se centra en un problema de taxatividad en la tipificación delictiva y de proporcionalidad de la pena señalada al tipo delictivo de nueva creación. Y, precisamente, sobre este último aspecto la sentencia no contiene referencia alguna a la doctrina del Tribunal Europeo de Derechos Humanos sobre la desproporción de la pena de prisión para sancionar conductas cometidas en el marco del ejercicio de derechos fundamentales como la libertad de expresión, incluso en los supuestos en que la privación de libertad no venga impuesta como pena principal, sino como sustitutoria de una multa (ver, en tal sentido, la STEDH de 20 de noviembre de 2018, asunto </w:t>
      </w:r>
      <w:r w:rsidRPr="009D7677">
        <w:rPr>
          <w:i/>
        </w:rPr>
        <w:t>Toranzo Gómez c. España</w:t>
      </w:r>
      <w:r>
        <w:t xml:space="preserve">, § 62 a 68). Hemos de insistir en que, a nuestro juicio, es evidente la desproporción que se produce por la </w:t>
      </w:r>
      <w:r>
        <w:lastRenderedPageBreak/>
        <w:t>previsión de una pena de prisión como sanción frente a unos actos que, objetivamente, serían “molestos” u “ofensivos”.</w:t>
      </w:r>
    </w:p>
    <w:p w14:paraId="200A2EB9" w14:textId="77777777" w:rsidR="009D7677" w:rsidRDefault="009D7677" w:rsidP="009D7677">
      <w:pPr>
        <w:pStyle w:val="TextoNormal"/>
      </w:pPr>
    </w:p>
    <w:p w14:paraId="6C9BE390" w14:textId="77777777" w:rsidR="009D7677" w:rsidRDefault="009D7677" w:rsidP="009D7677">
      <w:pPr>
        <w:pStyle w:val="TextoNormal"/>
      </w:pPr>
      <w:r>
        <w:t>La protección a las mujeres y a los trabajadores sanitarios que tratan de realizar un comportamiento amparado por la ley no puede pasar ni por el cercenamiento de los derechos fundamentales y las libertades públicas de quienes protestan públicamente contra el aborto de manera pacífica (aunque sus actuaciones puedan considerarse “molestas” u “ofensivas” por quienes se ven obligados a soportarlas), ni por reprimir el posible exceso, no violento, en el ejercicio de esos derechos y libertades con la amenaza de la imposición de penas privativas de libertad.</w:t>
      </w:r>
    </w:p>
    <w:p w14:paraId="4E186D27" w14:textId="77777777" w:rsidR="009D7677" w:rsidRDefault="009D7677" w:rsidP="009D7677">
      <w:pPr>
        <w:pStyle w:val="TextoNormal"/>
      </w:pPr>
    </w:p>
    <w:p w14:paraId="2041EF65" w14:textId="77777777" w:rsidR="009D7677" w:rsidRDefault="009D7677" w:rsidP="009D7677">
      <w:pPr>
        <w:pStyle w:val="TextoNormal"/>
      </w:pPr>
      <w:r>
        <w:t xml:space="preserve">En suma, el art. 172 </w:t>
      </w:r>
      <w:r w:rsidRPr="009D7677">
        <w:rPr>
          <w:i/>
        </w:rPr>
        <w:t>quater</w:t>
      </w:r>
      <w:r>
        <w:t xml:space="preserve"> CP, introducido por el artículo único de la Ley Orgánica 4/2022, debió ser declarado inconstitucional y nulo porque supone una limitación de las libertades ideológica, religiosa y de expresión [arts. 16.1 CE y 20.1 a) CE], así como del derecho de reunión (art. 21 CE) que debe entenderse como excesiva y desproporcionada, en la medida en que provoca un claro efecto disuasorio en el ejercicio de esos derechos y libertades públicas al poner en marcha el delicado instrumento del </w:t>
      </w:r>
      <w:r w:rsidRPr="009D7677">
        <w:rPr>
          <w:i/>
        </w:rPr>
        <w:t>ius puniendi</w:t>
      </w:r>
      <w:r>
        <w:t xml:space="preserve"> del Estado, que debe someterse al principio de última intervención, produciendo un patente derroche inútil de coacción que convierte la norma penal en arbitraria y socava los principios elementales de justicia inherentes a la dignidad de la persona y al Estado de Derecho.</w:t>
      </w:r>
    </w:p>
    <w:p w14:paraId="6D0B302A" w14:textId="77777777" w:rsidR="009D7677" w:rsidRDefault="009D7677" w:rsidP="009D7677">
      <w:pPr>
        <w:pStyle w:val="TextoNormal"/>
      </w:pPr>
    </w:p>
    <w:p w14:paraId="42B5019C" w14:textId="6143A32F" w:rsidR="009D7677" w:rsidRDefault="009D7677" w:rsidP="009D7677">
      <w:pPr>
        <w:pStyle w:val="TextoNormal"/>
      </w:pPr>
      <w:r>
        <w:t>Madrid, a ocho de mayo de dos mil veinticuatro.</w:t>
      </w:r>
    </w:p>
    <w:p w14:paraId="4F57B5D1" w14:textId="77777777" w:rsidR="009D7677" w:rsidRDefault="009D7677" w:rsidP="009D7677">
      <w:pPr>
        <w:pStyle w:val="TextoNormal"/>
      </w:pPr>
    </w:p>
    <w:p w14:paraId="28CFA7C8" w14:textId="77777777" w:rsidR="009D7677" w:rsidRDefault="009D7677" w:rsidP="009D7677">
      <w:pPr>
        <w:pStyle w:val="TextoNormalNegritaCentrado"/>
        <w:keepNext/>
      </w:pPr>
      <w:r>
        <w:t>Voto particular que formula el magistrado don César Tolosa Tribiño a la sentencia dictada en el recurso de inconstitucionalidad núm. 5041-2022</w:t>
      </w:r>
    </w:p>
    <w:p w14:paraId="228E506D" w14:textId="48B026DC" w:rsidR="009D7677" w:rsidRDefault="009D7677" w:rsidP="009D7677">
      <w:pPr>
        <w:pStyle w:val="TextoNormalNegritaCentrado"/>
        <w:keepNext/>
      </w:pPr>
    </w:p>
    <w:p w14:paraId="4152BC2D" w14:textId="77777777" w:rsidR="009D7677" w:rsidRDefault="009D7677" w:rsidP="009D7677">
      <w:pPr>
        <w:pStyle w:val="TextoNormal"/>
      </w:pPr>
      <w:r>
        <w:t>En el ejercicio de la facultad conferida por el art. 90.2 LOTC formulo, con el mayor respeto a la decisión de la mayoría, el presente voto particular expresando mi discrepancia respecto a la argumentación y el fallo de esta sentencia, a fin de ser coherente con la posición mantenida durante su deliberación en el Pleno.</w:t>
      </w:r>
    </w:p>
    <w:p w14:paraId="79DA95C2" w14:textId="77777777" w:rsidR="009D7677" w:rsidRDefault="009D7677" w:rsidP="009D7677">
      <w:pPr>
        <w:pStyle w:val="TextoNormal"/>
      </w:pPr>
    </w:p>
    <w:p w14:paraId="1C4F8770" w14:textId="77777777" w:rsidR="009D7677" w:rsidRDefault="009D7677" w:rsidP="009D7677">
      <w:pPr>
        <w:pStyle w:val="TextoNormal"/>
      </w:pPr>
      <w:r>
        <w:t>En consecuencia y dada la coincidencia con la posición mantenida por el magistrado don Ricardo Enríquez Sancho, hago mía la argumentación recogida en el voto particular firmado por el mismo, al que me adhiero.</w:t>
      </w:r>
    </w:p>
    <w:p w14:paraId="7EF12C11" w14:textId="77777777" w:rsidR="009D7677" w:rsidRDefault="009D7677" w:rsidP="009D7677">
      <w:pPr>
        <w:pStyle w:val="TextoNormal"/>
      </w:pPr>
    </w:p>
    <w:p w14:paraId="62373661" w14:textId="0534725A" w:rsidR="009D7677" w:rsidRDefault="009D7677" w:rsidP="009D7677">
      <w:pPr>
        <w:pStyle w:val="TextoNormal"/>
      </w:pPr>
      <w:r>
        <w:t>Madrid, a nueve de mayo de dos mil veinticuatro.</w:t>
      </w:r>
    </w:p>
    <w:p w14:paraId="3547820D" w14:textId="1354FBC6" w:rsidR="009D7677" w:rsidRDefault="009D7677">
      <w:pPr>
        <w:spacing w:after="160" w:line="259" w:lineRule="auto"/>
        <w:rPr>
          <w:rFonts w:ascii="Times New Roman" w:eastAsia="Times New Roman" w:hAnsi="Times New Roman" w:cs="Times New Roman"/>
          <w:sz w:val="24"/>
          <w:szCs w:val="24"/>
          <w:lang w:eastAsia="es-ES"/>
        </w:rPr>
      </w:pPr>
      <w:r>
        <w:br w:type="page"/>
      </w:r>
    </w:p>
    <w:p w14:paraId="71B9BF36" w14:textId="77777777" w:rsidR="009D7677" w:rsidRDefault="009D7677" w:rsidP="009D7677">
      <w:pPr>
        <w:pStyle w:val="TtuloResolucin"/>
      </w:pPr>
      <w:bookmarkStart w:id="78" w:name="SENTENCIA_2024_76"/>
      <w:r>
        <w:lastRenderedPageBreak/>
        <w:t>SENTENCIA 76/2024, de 8 de mayo de 2024</w:t>
      </w:r>
    </w:p>
    <w:bookmarkEnd w:id="78"/>
    <w:p w14:paraId="3A682C0E" w14:textId="77777777" w:rsidR="009D7677" w:rsidRDefault="009D7677" w:rsidP="009D7677">
      <w:pPr>
        <w:pStyle w:val="TtuloResolucin"/>
      </w:pPr>
      <w:r>
        <w:t>Pleno</w:t>
      </w:r>
    </w:p>
    <w:p w14:paraId="34CC68E4" w14:textId="77777777" w:rsidR="009D7677" w:rsidRDefault="009D7677" w:rsidP="009D7677">
      <w:pPr>
        <w:pStyle w:val="TtuloBOE"/>
      </w:pPr>
      <w:r>
        <w:t>(BOE núm. 140, de 10 de junio de 2024)</w:t>
      </w:r>
    </w:p>
    <w:p w14:paraId="31B9011E" w14:textId="77777777" w:rsidR="009D7677" w:rsidRDefault="009D7677" w:rsidP="009D7677">
      <w:pPr>
        <w:pStyle w:val="TextoNormalCentrado"/>
      </w:pPr>
      <w:r>
        <w:t>ECLI:ES:TC:2024:76</w:t>
      </w:r>
    </w:p>
    <w:p w14:paraId="6AFEAEF4" w14:textId="478AC51F" w:rsidR="009D7677" w:rsidRDefault="009D7677" w:rsidP="009D7677">
      <w:pPr>
        <w:pStyle w:val="TextoNormalCentrado"/>
      </w:pPr>
    </w:p>
    <w:p w14:paraId="51469BE5" w14:textId="77777777" w:rsidR="009D7677" w:rsidRDefault="009D7677" w:rsidP="009D7677">
      <w:pPr>
        <w:pStyle w:val="SntesisDescriptiva"/>
      </w:pPr>
      <w:r>
        <w:t>Recurso de inconstitucionalidad 6243-2023. Interpuesto por el presidente del Gobierno en relación con diversos preceptos de la Ley del Parlamento de Galicia 7/2022, de 27 de diciembre, de medidas fiscales y administrativas.</w:t>
      </w:r>
    </w:p>
    <w:p w14:paraId="007CA821" w14:textId="494AAFC9" w:rsidR="009D7677" w:rsidRDefault="009D7677" w:rsidP="009D7677">
      <w:pPr>
        <w:pStyle w:val="SntesisDescriptiva"/>
      </w:pPr>
    </w:p>
    <w:p w14:paraId="4263EFA1" w14:textId="77777777" w:rsidR="009D7677" w:rsidRDefault="009D7677" w:rsidP="009D7677">
      <w:pPr>
        <w:pStyle w:val="SntesisAnaltica"/>
      </w:pPr>
      <w:r>
        <w:t>Competencias sobre dominio público, protección del medio ambiente y ordenación del territorio: nulidad de los preceptos legales autonómicos que establecen en quince años el plazo de caducidad de la acción para imponer la reposición de la legalidad en la zona de servidumbre de protección del dominio público marítimo-terrestre y fijan el día de inicio del cómputo de dicho plazo; extensión, por conexión o consecuencia, de los efectos de la sentencia a otros preceptos de la misma ley. Voto particular.</w:t>
      </w:r>
    </w:p>
    <w:p w14:paraId="69C1F94B" w14:textId="0F1C0E79" w:rsidR="009D7677" w:rsidRDefault="009D7677" w:rsidP="009D7677">
      <w:pPr>
        <w:pStyle w:val="SntesisAnaltica"/>
      </w:pPr>
    </w:p>
    <w:p w14:paraId="083049FD" w14:textId="0BB79235" w:rsidR="009D7677" w:rsidRDefault="009D7677" w:rsidP="009D7677">
      <w:pPr>
        <w:pStyle w:val="Extracto"/>
      </w:pPr>
      <w:r>
        <w:t>1.</w:t>
      </w:r>
      <w:r>
        <w:tab/>
        <w:t xml:space="preserve">El Estado ejerce una competencia propia, </w:t>
      </w:r>
      <w:r w:rsidRPr="009D7677">
        <w:rPr>
          <w:i/>
        </w:rPr>
        <w:t>ex</w:t>
      </w:r>
      <w:r>
        <w:t xml:space="preserve"> art. 149.1.23 CE, y, de forma conexa,</w:t>
      </w:r>
      <w:r w:rsidRPr="009D7677">
        <w:rPr>
          <w:i/>
        </w:rPr>
        <w:t xml:space="preserve"> ex </w:t>
      </w:r>
      <w:r>
        <w:t>art. 149.1.1 CE, para establecer y precisar el alcance y contenido de  servidumbres y limitaciones en los terrenos colindantes con el dominio público marítimo-terrestre —y, entre ellas, la servidumbre de protección—, a fin de garantizar la protección y defensa de sus condiciones medioambientales; y ello sin perjuicio alguno de las competencias autonómicas para la ordenación del territorio y el urbanismo. Lo que sirve tanto para el régimen establecido con vocación de futuro en la legislación de costas como para el régimen transitorio (STC 87/2012) [FJ 3].</w:t>
      </w:r>
    </w:p>
    <w:p w14:paraId="2CCBEC80" w14:textId="77777777" w:rsidR="009D7677" w:rsidRDefault="009D7677" w:rsidP="009D7677">
      <w:pPr>
        <w:pStyle w:val="Extracto"/>
      </w:pPr>
    </w:p>
    <w:p w14:paraId="0153F12A" w14:textId="0C5790D5" w:rsidR="009D7677" w:rsidRDefault="009D7677" w:rsidP="009D7677">
      <w:pPr>
        <w:pStyle w:val="Extracto"/>
      </w:pPr>
      <w:r>
        <w:t>2.</w:t>
      </w:r>
      <w:r>
        <w:tab/>
        <w:t>Las servidumbres serán imprescriptibles en todo caso, por lo que esta imprescriptibilidad se aplica también a la servidumbre de protección (STC 149/1991) [FJ 4].</w:t>
      </w:r>
    </w:p>
    <w:p w14:paraId="60B33B8C" w14:textId="77777777" w:rsidR="009D7677" w:rsidRDefault="009D7677" w:rsidP="009D7677">
      <w:pPr>
        <w:pStyle w:val="Extracto"/>
      </w:pPr>
    </w:p>
    <w:p w14:paraId="4477BA74" w14:textId="5E65664D" w:rsidR="009D7677" w:rsidRDefault="009D7677" w:rsidP="009D7677">
      <w:pPr>
        <w:pStyle w:val="Extracto"/>
      </w:pPr>
      <w:r>
        <w:t>3.</w:t>
      </w:r>
      <w:r>
        <w:tab/>
        <w:t xml:space="preserve">En virtud de la doctrina sobre la </w:t>
      </w:r>
      <w:r w:rsidRPr="009D7677">
        <w:rPr>
          <w:i/>
        </w:rPr>
        <w:t xml:space="preserve">lex repetita </w:t>
      </w:r>
      <w:r>
        <w:t>al legislador autonómico le está prohibido reproducir la legislación estatal que responde a sus competencias exclusivas. Y, con mayor razón, le está vedado parafrasear, completar, alterar, desarrollar, o de cualquiera otra manera directa o indirecta incidir en la regulación de materias que no forman parte de su acervo competencial (SSTC 54/2018 o 13/2019) [FJ 5].</w:t>
      </w:r>
    </w:p>
    <w:p w14:paraId="29AA1BF0" w14:textId="77777777" w:rsidR="009D7677" w:rsidRDefault="009D7677" w:rsidP="009D7677">
      <w:pPr>
        <w:pStyle w:val="Extracto"/>
      </w:pPr>
    </w:p>
    <w:p w14:paraId="299C1D41" w14:textId="5B6B62D0" w:rsidR="009D7677" w:rsidRDefault="009D7677" w:rsidP="009D7677">
      <w:pPr>
        <w:pStyle w:val="Extracto"/>
      </w:pPr>
      <w:r>
        <w:t>4.</w:t>
      </w:r>
      <w:r>
        <w:tab/>
        <w:t xml:space="preserve">Para que una </w:t>
      </w:r>
      <w:r w:rsidRPr="009D7677">
        <w:rPr>
          <w:i/>
        </w:rPr>
        <w:t xml:space="preserve">lex repetita </w:t>
      </w:r>
      <w:r>
        <w:t>pueda ser admisible desde el punto de vista constitucional, deberá dar satisfacción a dos condiciones: que la reproducción de las bases estatales tenga como finalidad hacer más comprensible el desarrollo normativo que realiza la comunidad autónoma en ejercicio de sus competencias propias; y que la reproducción de la normativa básica sea fiel y no incurra en alteraciones más o menos subrepticias de la misma (STC 51/2019) [FJ 5].</w:t>
      </w:r>
    </w:p>
    <w:p w14:paraId="32172659" w14:textId="77777777" w:rsidR="009D7677" w:rsidRDefault="009D7677" w:rsidP="009D7677">
      <w:pPr>
        <w:pStyle w:val="Extracto"/>
      </w:pPr>
    </w:p>
    <w:p w14:paraId="17CFDF40" w14:textId="77777777" w:rsidR="009D7677" w:rsidRDefault="009D7677" w:rsidP="009D7677">
      <w:pPr>
        <w:pStyle w:val="Extracto"/>
      </w:pPr>
    </w:p>
    <w:p w14:paraId="022D61B5" w14:textId="77777777" w:rsidR="009D7677" w:rsidRDefault="009D7677" w:rsidP="009D7677">
      <w:pPr>
        <w:pStyle w:val="TextoNormal"/>
      </w:pPr>
      <w:r>
        <w:t xml:space="preserve">El Pleno del Tribunal Constitucional, compuesto por el magistrado don Cándido Conde-Pumpido Tourón, presidente, y las magistradas y magistrados doña Inmaculada Montalbán Huertas, don Ricardo Enríquez Sancho, doña María Luisa Balaguer Callejón, don </w:t>
      </w:r>
      <w:r>
        <w:lastRenderedPageBreak/>
        <w:t>Ramón Sáez Valcárcel, don Enrique Arnaldo Alcubilla, doña Concepción Espejel Jorquera, doña María Luisa Segoviano Astaburuaga, don César Tolosa Tribiño, don Juan Carlos Campo Moreno y doña Laura Díez Bueso, ha pronunciado</w:t>
      </w:r>
    </w:p>
    <w:p w14:paraId="4F1347D7" w14:textId="7805662A" w:rsidR="009D7677" w:rsidRDefault="009D7677" w:rsidP="009D7677">
      <w:pPr>
        <w:pStyle w:val="TextoNormal"/>
      </w:pPr>
    </w:p>
    <w:p w14:paraId="39A35AA5" w14:textId="77777777" w:rsidR="009D7677" w:rsidRDefault="009D7677" w:rsidP="009D7677">
      <w:pPr>
        <w:pStyle w:val="TextoNormalCentrado"/>
        <w:keepNext/>
      </w:pPr>
      <w:r>
        <w:t>EN NOMBRE DEL REY</w:t>
      </w:r>
    </w:p>
    <w:p w14:paraId="7FF42545" w14:textId="5446C293" w:rsidR="009D7677" w:rsidRDefault="009D7677" w:rsidP="009D7677">
      <w:pPr>
        <w:pStyle w:val="TextoNormalCentrado"/>
        <w:keepNext/>
      </w:pPr>
    </w:p>
    <w:p w14:paraId="0882A76F" w14:textId="77777777" w:rsidR="009D7677" w:rsidRDefault="009D7677" w:rsidP="009D7677">
      <w:pPr>
        <w:pStyle w:val="TextoNormalCentrado"/>
        <w:keepNext/>
      </w:pPr>
    </w:p>
    <w:p w14:paraId="7A6A4808" w14:textId="77777777" w:rsidR="009D7677" w:rsidRDefault="009D7677" w:rsidP="009D7677">
      <w:pPr>
        <w:pStyle w:val="TextoNormal"/>
      </w:pPr>
      <w:r>
        <w:t>la siguiente</w:t>
      </w:r>
    </w:p>
    <w:p w14:paraId="7D795010" w14:textId="3201641C" w:rsidR="009D7677" w:rsidRDefault="009D7677" w:rsidP="009D7677">
      <w:pPr>
        <w:pStyle w:val="TextoNormal"/>
      </w:pPr>
    </w:p>
    <w:p w14:paraId="071C35BA" w14:textId="77777777" w:rsidR="009D7677" w:rsidRDefault="009D7677" w:rsidP="009D7677">
      <w:pPr>
        <w:pStyle w:val="TextoNormalCentrado"/>
        <w:keepNext/>
      </w:pPr>
      <w:r>
        <w:t>SENTENCIA</w:t>
      </w:r>
    </w:p>
    <w:p w14:paraId="3B2D83DA" w14:textId="5C280A33" w:rsidR="009D7677" w:rsidRDefault="009D7677" w:rsidP="009D7677">
      <w:pPr>
        <w:pStyle w:val="TextoNormalCentrado"/>
        <w:keepNext/>
      </w:pPr>
    </w:p>
    <w:p w14:paraId="6DFBAA67" w14:textId="77777777" w:rsidR="009D7677" w:rsidRDefault="009D7677" w:rsidP="009D7677">
      <w:pPr>
        <w:pStyle w:val="TextoNormal"/>
      </w:pPr>
      <w:r>
        <w:t>En el recurso de inconstitucionalidad núm. 6243-2023, interpuesto por el presidente del Gobierno contra los arts. 10 y 11 y la disposición transitoria primera de la Ley del Parlamento de Galicia 7/2022, de 27 de diciembre, de medidas fiscales y administrativas. Han comparecido y formulado alegaciones la Xunta de Galicia y el Parlamento de Galicia. Ha sido ponente la magistrada doña Laura Díez Bueso.</w:t>
      </w:r>
    </w:p>
    <w:p w14:paraId="2B2051AE" w14:textId="6514E756" w:rsidR="009D7677" w:rsidRDefault="009D7677" w:rsidP="009D7677">
      <w:pPr>
        <w:pStyle w:val="TextoNormal"/>
      </w:pPr>
    </w:p>
    <w:p w14:paraId="625105A8" w14:textId="77777777" w:rsidR="009D7677" w:rsidRDefault="009D7677" w:rsidP="009D7677">
      <w:pPr>
        <w:pStyle w:val="TextoNormalNegritaCentrado"/>
        <w:keepNext/>
      </w:pPr>
      <w:r>
        <w:t>I. Antecedentes</w:t>
      </w:r>
    </w:p>
    <w:p w14:paraId="6C4C590A" w14:textId="4800D0A4" w:rsidR="009D7677" w:rsidRDefault="009D7677" w:rsidP="009D7677">
      <w:pPr>
        <w:pStyle w:val="TextoNormalNegritaCentrado"/>
        <w:keepNext/>
      </w:pPr>
    </w:p>
    <w:p w14:paraId="020549BB" w14:textId="77777777" w:rsidR="009D7677" w:rsidRDefault="009D7677" w:rsidP="009D7677">
      <w:pPr>
        <w:pStyle w:val="TextoNormal"/>
      </w:pPr>
      <w:r w:rsidRPr="009D7677">
        <w:rPr>
          <w:rStyle w:val="NumeroAFNegritaCaracter"/>
        </w:rPr>
        <w:t>1</w:t>
      </w:r>
      <w:r>
        <w:t>. Mediante escrito presentado en el registro de este Tribunal Constitucional el día 28 de septiembre de 2023, la abogada del Estado, en representación del presidente del Gobierno, interpuso recurso de inconstitucionalidad contra los arts. 10 y 11 y la disposición transitoria primera de la Ley del Parlamento de Galicia 7/2022, de 27 de diciembre, de medidas fiscales y administrativas.</w:t>
      </w:r>
    </w:p>
    <w:p w14:paraId="756C7637" w14:textId="77777777" w:rsidR="009D7677" w:rsidRDefault="009D7677" w:rsidP="009D7677">
      <w:pPr>
        <w:pStyle w:val="TextoNormal"/>
      </w:pPr>
    </w:p>
    <w:p w14:paraId="69349E29" w14:textId="77777777" w:rsidR="009D7677" w:rsidRDefault="009D7677" w:rsidP="009D7677">
      <w:pPr>
        <w:pStyle w:val="TextoNormal"/>
      </w:pPr>
      <w:r>
        <w:t>La abogada del Estado invocó el art. 161.2 CE a fin de que se produjera la suspensión de las disposiciones impugnadas.</w:t>
      </w:r>
    </w:p>
    <w:p w14:paraId="1A3A5522" w14:textId="77777777" w:rsidR="009D7677" w:rsidRDefault="009D7677" w:rsidP="009D7677">
      <w:pPr>
        <w:pStyle w:val="TextoNormal"/>
      </w:pPr>
    </w:p>
    <w:p w14:paraId="6EB4EBA6" w14:textId="77777777" w:rsidR="009D7677" w:rsidRDefault="009D7677" w:rsidP="009D7677">
      <w:pPr>
        <w:pStyle w:val="TextoNormal"/>
      </w:pPr>
      <w:r>
        <w:t>La demanda comienza afirmando que el art. 132.2 CE atribuye al Estado la titularidad del dominio público marítimo-terrestre y que, si bien ello no implica atribución de ningún título competencial, ni altera la distribución de competencias estatales y autonómicas, sí habilita al Estado como titular de dicho demanio para regular su régimen jurídico y para establecer la legislación básica en materia de protección del medio ambiente litoral (art. 149.1.23 CE), incidiendo en el ejercicio de las competencias autonómicas en materia de ordenación del territorio —incluido el litoral— y urbanismo y de protección del medio ambiente. Además, afirma que también corresponde al Estado el dictado de la legislación básica que, en materia de protección del medio ambiente litoral y marino, regule las condiciones de uso y aprovechamiento de los terrenos colindantes con el dominio público marítimo-terrestre, lo que comprende la regulación de sus servidumbres. Cita las SSTC 149/1991, de 4 de julio; 162/2012, de 20 de septiembre; 34/2014, de 27 de febrero, y 28/2016, de 18 de febrero, entre otras.</w:t>
      </w:r>
    </w:p>
    <w:p w14:paraId="6550025B" w14:textId="77777777" w:rsidR="009D7677" w:rsidRDefault="009D7677" w:rsidP="009D7677">
      <w:pPr>
        <w:pStyle w:val="TextoNormal"/>
      </w:pPr>
    </w:p>
    <w:p w14:paraId="7E4DFE0A" w14:textId="77777777" w:rsidR="009D7677" w:rsidRDefault="009D7677" w:rsidP="009D7677">
      <w:pPr>
        <w:pStyle w:val="TextoNormal"/>
      </w:pPr>
      <w:r>
        <w:t>Expuestas estas consideraciones generales sobre los títulos competenciales, la demanda aborda los motivos de impugnación dirigidos respecto de cada uno de los preceptos impugnados.</w:t>
      </w:r>
    </w:p>
    <w:p w14:paraId="5A213C7D" w14:textId="77777777" w:rsidR="009D7677" w:rsidRDefault="009D7677" w:rsidP="009D7677">
      <w:pPr>
        <w:pStyle w:val="TextoNormal"/>
      </w:pPr>
    </w:p>
    <w:p w14:paraId="45019DD0" w14:textId="77777777" w:rsidR="009D7677" w:rsidRDefault="009D7677" w:rsidP="009D7677">
      <w:pPr>
        <w:pStyle w:val="TextoNormal"/>
      </w:pPr>
      <w:r>
        <w:lastRenderedPageBreak/>
        <w:t>a) En relación con el art. 10, sostiene que el establecimiento por la normativa autonómica de un plazo de quince años para el ejercicio de la acción para imponer obligación de restitución de las cosas y reposición a su estado anterior en el caso de obras y actuaciones contrarias a lo dispuesto en la legislación en materia de costas realizadas en la zona de servidumbre de protección del dominio público marítimo-terrestre resulta inconstitucional por vulnerar la legislación básica estatal.</w:t>
      </w:r>
    </w:p>
    <w:p w14:paraId="064468BD" w14:textId="77777777" w:rsidR="009D7677" w:rsidRDefault="009D7677" w:rsidP="009D7677">
      <w:pPr>
        <w:pStyle w:val="TextoNormal"/>
      </w:pPr>
    </w:p>
    <w:p w14:paraId="3FFF1F52" w14:textId="77777777" w:rsidR="009D7677" w:rsidRDefault="009D7677" w:rsidP="009D7677">
      <w:pPr>
        <w:pStyle w:val="TextoNormal"/>
      </w:pPr>
      <w:r>
        <w:t>Tras exponer el régimen jurídico que estima de aplicación y, en concreto, tras afirmar el carácter imprescriptible “en todo caso” de las servidumbres, conforme a lo dispuesto en el art. 21 de la Ley 22/1988, de 28 de julio, de costas (LC), pone de manifiesto que no existe plazo para incoar un expediente de reposición de la legalidad sobre la zona de servidumbre de protección. La abogada del Estado razona que la obligación de restitución y reposición de las cosas a su estado anterior es imprescriptible como lo es, por mandato legal, la propia servidumbre, sin que la Ley de costas se haya visto alterada en este punto por la reforma operada por la Ley 2/2013, de 29 de mayo. Cita en apoyo de sus pretensiones las sentencias de la Sala de lo Contencioso-Administrativo del Tribunal Supremo de 11 de julio de 2018 y de 2 de diciembre de 2020.</w:t>
      </w:r>
    </w:p>
    <w:p w14:paraId="677D3934" w14:textId="77777777" w:rsidR="009D7677" w:rsidRDefault="009D7677" w:rsidP="009D7677">
      <w:pPr>
        <w:pStyle w:val="TextoNormal"/>
      </w:pPr>
    </w:p>
    <w:p w14:paraId="6A837A55" w14:textId="77777777" w:rsidR="009D7677" w:rsidRDefault="009D7677" w:rsidP="009D7677">
      <w:pPr>
        <w:pStyle w:val="TextoNormal"/>
      </w:pPr>
      <w:r>
        <w:t>Por ello, estima que el art. 10 resulta contrario al orden constitucional de distribución de competencias, al establecer la Comunidad Autónoma de Galicia un plazo de prescripción de la acción para imponer la reposición de la legalidad en la zona de servidumbre de protección de costas, en contra de la Ley de costas, que no prevé limitación de plazo para su ejercicio. Por su identidad y conexión con el art. 10, resultaría igualmente inconstitucional el apartado 1 de la disposición transitoria primera.</w:t>
      </w:r>
    </w:p>
    <w:p w14:paraId="7D123251" w14:textId="77777777" w:rsidR="009D7677" w:rsidRDefault="009D7677" w:rsidP="009D7677">
      <w:pPr>
        <w:pStyle w:val="TextoNormal"/>
      </w:pPr>
    </w:p>
    <w:p w14:paraId="35CA8D23" w14:textId="77777777" w:rsidR="009D7677" w:rsidRDefault="009D7677" w:rsidP="009D7677">
      <w:pPr>
        <w:pStyle w:val="TextoNormal"/>
      </w:pPr>
      <w:r>
        <w:t>b) En cuanto al art. 11, el recurso de inconstitucionalidad se fundamenta en que la norma autonómica impugnada extiende más allá de sus propios términos la regla del art. 95.1 LC, en virtud de la cual la obligación de restitución de las cosas y reposición a su estado anterior prescribe a los quince años desde que la administración acuerde su imposición. En concreto, el art. 11 establece que esta regla de cómputo del plazo de prescripción es “igualmente aplicable a los supuestos en que se interponga recurso administrativo frente al acto y la administración incumpla su obligación de resolver el recurso en los plazos legalmente previstos”.</w:t>
      </w:r>
    </w:p>
    <w:p w14:paraId="1A5ADB45" w14:textId="77777777" w:rsidR="009D7677" w:rsidRDefault="009D7677" w:rsidP="009D7677">
      <w:pPr>
        <w:pStyle w:val="TextoNormal"/>
      </w:pPr>
    </w:p>
    <w:p w14:paraId="13F4F484" w14:textId="77777777" w:rsidR="009D7677" w:rsidRDefault="009D7677" w:rsidP="009D7677">
      <w:pPr>
        <w:pStyle w:val="TextoNormal"/>
      </w:pPr>
      <w:r>
        <w:t>Sostiene que la regulación realizada por el art. 11, en la medida en que no puede considerarse una norma adicional de protección, implica en realidad el ejercicio de una potestad de desarrollo normativo que ni el art. 149.1.23 CE, ni el art. 27.30 del Estatuto de Autonomía para Galicia, aprobado por Ley Orgánica 1/1981, de 6 de abril, confieren a dicha comunidad autónoma en relación con la protección de las zonas de servidumbre de protección del dominio público marítimo-terrestre.</w:t>
      </w:r>
    </w:p>
    <w:p w14:paraId="598F1A84" w14:textId="77777777" w:rsidR="009D7677" w:rsidRDefault="009D7677" w:rsidP="009D7677">
      <w:pPr>
        <w:pStyle w:val="TextoNormal"/>
      </w:pPr>
    </w:p>
    <w:p w14:paraId="415186D8" w14:textId="77777777" w:rsidR="009D7677" w:rsidRDefault="009D7677" w:rsidP="009D7677">
      <w:pPr>
        <w:pStyle w:val="TextoNormal"/>
      </w:pPr>
      <w:r>
        <w:t xml:space="preserve">Además, tras invocar la doctrina constitucional relativa a las </w:t>
      </w:r>
      <w:r w:rsidRPr="009D7677">
        <w:rPr>
          <w:i/>
        </w:rPr>
        <w:t>leges repetitae</w:t>
      </w:r>
      <w:r>
        <w:t xml:space="preserve"> (SSTC 54/2018, de 24 de mayo, y 51/2019, de 11 de abril), considera que el precepto autonómico impugnado no cumple el requisito formal de hacer más comprensible el desarrollo normativo que realiza la comunidad autónoma en ejercicio de sus competencias propias, ni el requisito material de que la reproducción de la normativa básica sea fiel y no incurra en alteraciones más o menos subrepticias de la misma.</w:t>
      </w:r>
    </w:p>
    <w:p w14:paraId="211A1527" w14:textId="77777777" w:rsidR="009D7677" w:rsidRDefault="009D7677" w:rsidP="009D7677">
      <w:pPr>
        <w:pStyle w:val="TextoNormal"/>
      </w:pPr>
    </w:p>
    <w:p w14:paraId="3E65CAA5" w14:textId="1EAFE2E3" w:rsidR="009D7677" w:rsidRDefault="009D7677" w:rsidP="009D7677">
      <w:pPr>
        <w:pStyle w:val="TextoNormal"/>
      </w:pPr>
      <w:r>
        <w:lastRenderedPageBreak/>
        <w:t>Por todo ello, considera que el art. 11 es inconstitucional. Por su identidad y conexión con el art. 11, resultaría igualmente inconstitucional el apartado segundo de la disposición transitoria primera.</w:t>
      </w:r>
    </w:p>
    <w:p w14:paraId="7D0907E8" w14:textId="77777777" w:rsidR="009D7677" w:rsidRDefault="009D7677" w:rsidP="009D7677">
      <w:pPr>
        <w:pStyle w:val="TextoNormal"/>
      </w:pPr>
    </w:p>
    <w:p w14:paraId="217FBD9F" w14:textId="31E74CB1" w:rsidR="009D7677" w:rsidRDefault="009D7677" w:rsidP="009D7677">
      <w:pPr>
        <w:pStyle w:val="TextoNormal"/>
      </w:pPr>
      <w:r w:rsidRPr="009D7677">
        <w:rPr>
          <w:rStyle w:val="NumeroAFNegritaCaracter"/>
        </w:rPr>
        <w:t>2</w:t>
      </w:r>
      <w:r>
        <w:t>. Por providencia de 24 de octubre de 2023 el Pleno del Tribunal Constitucional acordó admitir a trámite el recurso de inconstitucionalidad; dar traslado de la demanda y documentos presentados, conforme establece el art. 34 de la Ley Orgánica del Tribunal Constitucional (LOTC), al Congreso de los Diputados y al Senado, por conducto de sus presidentes, así como al Parlamento de Galicia y a la Xunta de Galicia, por conducto de sus presidentes, al objeto de que en el plazo de quince días, puedan personarse en el proceso y formular las alegaciones que estimaren convenientes; tener por invocado por el presidente del Gobierno el art. 161.2 de la Constitución, lo que, a su tenor y conforme dispone el art. 30 LOTC, produce la suspensión de la vigencia y aplicación del inciso impugnado desde la fecha de la interposición del recurso —28 de septiembre de 2023— para las partes del proceso y desde el día en que aparezca publicada la suspensión en el “Boletín Oficial del Estado” para los terceros, lo que se comunicaría a los presidentes del Parlamento de Galicia y de la Xunta de Galicia; y publicar la incoación del recurso en el “Boletín Oficial del Estado” y en el “Diario Oficial de Galicia”.</w:t>
      </w:r>
    </w:p>
    <w:p w14:paraId="7223B31D" w14:textId="77777777" w:rsidR="009D7677" w:rsidRDefault="009D7677" w:rsidP="009D7677">
      <w:pPr>
        <w:pStyle w:val="TextoNormal"/>
      </w:pPr>
    </w:p>
    <w:p w14:paraId="0AA61C8C" w14:textId="21A1DFF5" w:rsidR="009D7677" w:rsidRDefault="009D7677" w:rsidP="009D7677">
      <w:pPr>
        <w:pStyle w:val="TextoNormal"/>
      </w:pPr>
      <w:r w:rsidRPr="009D7677">
        <w:rPr>
          <w:rStyle w:val="NumeroAFNegritaCaracter"/>
        </w:rPr>
        <w:t>3</w:t>
      </w:r>
      <w:r>
        <w:t>. Por escrito presentado en este tribunal el día 6 de noviembre de 2023, el presidente del Senado comunica el acuerdo de la mesa de la Cámara de personarse en el procedimiento, ofreciendo su colaboración a los efectos del artículo 88.1 LOTC.</w:t>
      </w:r>
    </w:p>
    <w:p w14:paraId="1EE57E33" w14:textId="77777777" w:rsidR="009D7677" w:rsidRDefault="009D7677" w:rsidP="009D7677">
      <w:pPr>
        <w:pStyle w:val="TextoNormal"/>
      </w:pPr>
    </w:p>
    <w:p w14:paraId="2B2F4196" w14:textId="4EF3D89B" w:rsidR="009D7677" w:rsidRDefault="009D7677" w:rsidP="009D7677">
      <w:pPr>
        <w:pStyle w:val="TextoNormal"/>
      </w:pPr>
      <w:r w:rsidRPr="009D7677">
        <w:rPr>
          <w:rStyle w:val="NumeroAFNegritaCaracter"/>
        </w:rPr>
        <w:t>4</w:t>
      </w:r>
      <w:r>
        <w:t>. La misma comunicación fue realizada por la presidenta del Congreso de los Diputados mediante escrito registrado el 8 de noviembre de 2023.</w:t>
      </w:r>
    </w:p>
    <w:p w14:paraId="7D2F49B1" w14:textId="77777777" w:rsidR="009D7677" w:rsidRDefault="009D7677" w:rsidP="009D7677">
      <w:pPr>
        <w:pStyle w:val="TextoNormal"/>
      </w:pPr>
    </w:p>
    <w:p w14:paraId="7D62C844" w14:textId="51A9D755" w:rsidR="009D7677" w:rsidRDefault="009D7677" w:rsidP="009D7677">
      <w:pPr>
        <w:pStyle w:val="TextoNormal"/>
      </w:pPr>
      <w:r w:rsidRPr="009D7677">
        <w:rPr>
          <w:rStyle w:val="NumeroAFNegritaCaracter"/>
        </w:rPr>
        <w:t>5</w:t>
      </w:r>
      <w:r>
        <w:t>. Mediante escrito registrado el 10 de noviembre de 2023, el letrado de la Xunta de Galicia se personó en el procedimiento, solicitando la prórroga del plazo para formular alegaciones por el máximo legal del plazo concedido.</w:t>
      </w:r>
    </w:p>
    <w:p w14:paraId="2AAA3312" w14:textId="77777777" w:rsidR="009D7677" w:rsidRDefault="009D7677" w:rsidP="009D7677">
      <w:pPr>
        <w:pStyle w:val="TextoNormal"/>
      </w:pPr>
    </w:p>
    <w:p w14:paraId="6EB07180" w14:textId="01FF2946" w:rsidR="009D7677" w:rsidRDefault="009D7677" w:rsidP="009D7677">
      <w:pPr>
        <w:pStyle w:val="TextoNormal"/>
      </w:pPr>
      <w:r w:rsidRPr="009D7677">
        <w:rPr>
          <w:rStyle w:val="NumeroAFNegritaCaracter"/>
        </w:rPr>
        <w:t>6</w:t>
      </w:r>
      <w:r>
        <w:t>. Por diligencia de ordenación de 13 de noviembre de 2023, se tuvo por personado al letrado de la Xunta de Galicia y se acordó prorrogar en ocho días el plazo concedido para formular alegaciones.</w:t>
      </w:r>
    </w:p>
    <w:p w14:paraId="6DF36FF8" w14:textId="77777777" w:rsidR="009D7677" w:rsidRDefault="009D7677" w:rsidP="009D7677">
      <w:pPr>
        <w:pStyle w:val="TextoNormal"/>
      </w:pPr>
    </w:p>
    <w:p w14:paraId="48CC1AEE" w14:textId="77777777" w:rsidR="009D7677" w:rsidRDefault="009D7677" w:rsidP="009D7677">
      <w:pPr>
        <w:pStyle w:val="TextoNormal"/>
      </w:pPr>
      <w:r w:rsidRPr="009D7677">
        <w:rPr>
          <w:rStyle w:val="NumeroAFNegritaCaracter"/>
        </w:rPr>
        <w:t>7</w:t>
      </w:r>
      <w:r>
        <w:t>. Mediante escrito presentado el 14 de noviembre de 2023, el Parlamento de Galicia, representado y defendido por los letrados de sus servicios jurídicos, se personó en el procedimiento y formuló alegaciones en relación con el recurso de inconstitucionalidad, solicitando su desestimación.</w:t>
      </w:r>
    </w:p>
    <w:p w14:paraId="6CC2B9A4" w14:textId="77777777" w:rsidR="009D7677" w:rsidRDefault="009D7677" w:rsidP="009D7677">
      <w:pPr>
        <w:pStyle w:val="TextoNormal"/>
      </w:pPr>
    </w:p>
    <w:p w14:paraId="182BFC18" w14:textId="77777777" w:rsidR="009D7677" w:rsidRDefault="009D7677" w:rsidP="009D7677">
      <w:pPr>
        <w:pStyle w:val="TextoNormal"/>
      </w:pPr>
      <w:r>
        <w:t xml:space="preserve">a) Se opone a la impugnación del art. 10 afirmando que la finalidad perseguida por esta regulación es conseguir una mayor seguridad jurídica. Sostiene que esta medida se enmarca en la competencia de la Comunidad Autónoma de Galicia para el establecimiento de normas adicionales de protección del medio ambiente y del paisaje, sin perjuicio de lo previsto en el art. 149.1.23 CE (art. 27.30 del Estatuto de Autonomía) y en las competencias en materia de ordenación del territorio y del litoral, urbanismo y vivienda (art. 27.3 del Estatuto de Autonomía). Razona que se trata de un caso de concurrencia competencial, </w:t>
      </w:r>
      <w:r>
        <w:lastRenderedPageBreak/>
        <w:t>pues sobre un mismo ámbito físico convergen actos competenciales producidos por el Estado y la comunidad autónoma derivados del ejercicio de las citadas competencias, los cuales recaen sobre el mismo objeto material formado por la franja de terreno de propiedad privada sobre el que existe una servidumbre legal de protección del dominio público marítimo-terrestre establecida en la Ley de costas.</w:t>
      </w:r>
    </w:p>
    <w:p w14:paraId="54E5106D" w14:textId="77777777" w:rsidR="009D7677" w:rsidRDefault="009D7677" w:rsidP="009D7677">
      <w:pPr>
        <w:pStyle w:val="TextoNormal"/>
      </w:pPr>
    </w:p>
    <w:p w14:paraId="14BF013C" w14:textId="77777777" w:rsidR="009D7677" w:rsidRDefault="009D7677" w:rsidP="009D7677">
      <w:pPr>
        <w:pStyle w:val="TextoNormal"/>
      </w:pPr>
      <w:r>
        <w:t>Después de citar extensamente los antecedentes normativos de la regulación autonómica sobre el litoral gallego, así como hacer referencia a la Ley del Parlamento de Galicia 4/2023, de 6 de julio, de ordenación y gestión integrada del litoral de Galicia (objeto del recurso de inconstitucionalidad núm. 6521-2023, promovido por el presidente del Gobierno), pone de relieve que la servidumbre legal de protección del dominio público marítimo-terrestre no puede impedir que una comunidad autónoma ejerza sus competencias sobre ese ámbito territorial.</w:t>
      </w:r>
    </w:p>
    <w:p w14:paraId="382CB701" w14:textId="77777777" w:rsidR="009D7677" w:rsidRDefault="009D7677" w:rsidP="009D7677">
      <w:pPr>
        <w:pStyle w:val="TextoNormal"/>
      </w:pPr>
    </w:p>
    <w:p w14:paraId="3B6F3CF5" w14:textId="77777777" w:rsidR="009D7677" w:rsidRDefault="009D7677" w:rsidP="009D7677">
      <w:pPr>
        <w:pStyle w:val="TextoNormal"/>
      </w:pPr>
      <w:r>
        <w:t>A su juicio, el art. 10 establece un plazo de caducidad que el legislador autonómico, en el ejercicio de sus competencias, ha previsto por razones de seguridad jurídica. De no establecerse ningún plazo —continúa diciendo— se crearía una situación de inseguridad jurídica y se propiciaría la arbitrariedad de la administración si el tiempo para adoptar el acuerdo de imposición de la obligación indicada quedara indefinidamente abierto.</w:t>
      </w:r>
    </w:p>
    <w:p w14:paraId="65C8F549" w14:textId="77777777" w:rsidR="009D7677" w:rsidRDefault="009D7677" w:rsidP="009D7677">
      <w:pPr>
        <w:pStyle w:val="TextoNormal"/>
      </w:pPr>
    </w:p>
    <w:p w14:paraId="13366305" w14:textId="77777777" w:rsidR="009D7677" w:rsidRDefault="009D7677" w:rsidP="009D7677">
      <w:pPr>
        <w:pStyle w:val="TextoNormal"/>
      </w:pPr>
      <w:r>
        <w:t>Concluye el motivo señalando que, en resumidas cuentas, hay un plazo de prescripción de las infracciones y sanciones por obras ilegales en zona de servidumbre (título V de la Ley de costas), un plazo de prescripción de la obligación de reposición (art. 95 LC y art. 11 de la Ley del Parlamento de Galicia 7/2022) y un plazo de caducidad para el ejercicio de la competencia autonómica para imponer la obligación de reposición (art. 10 de la Ley autonómica controvertida).</w:t>
      </w:r>
    </w:p>
    <w:p w14:paraId="0687400E" w14:textId="77777777" w:rsidR="009D7677" w:rsidRDefault="009D7677" w:rsidP="009D7677">
      <w:pPr>
        <w:pStyle w:val="TextoNormal"/>
      </w:pPr>
    </w:p>
    <w:p w14:paraId="1A77DC63" w14:textId="77777777" w:rsidR="009D7677" w:rsidRDefault="009D7677" w:rsidP="009D7677">
      <w:pPr>
        <w:pStyle w:val="TextoNormal"/>
      </w:pPr>
      <w:r>
        <w:t>b) En cuanto al art. 11, se remite a lo ya dicho respecto del art. 10 y, en relación con el cuestionamiento del “uso de la técnica reduplicativa”, se opone razonando que, cuando se regula una materia de competencia compartida, la regulación ha de ser completa para facilitar su comprensión y, consecuentemente, garantizar la seguridad jurídica.</w:t>
      </w:r>
    </w:p>
    <w:p w14:paraId="76B1028D" w14:textId="77777777" w:rsidR="009D7677" w:rsidRDefault="009D7677" w:rsidP="009D7677">
      <w:pPr>
        <w:pStyle w:val="TextoNormal"/>
      </w:pPr>
    </w:p>
    <w:p w14:paraId="657066C0" w14:textId="77777777" w:rsidR="009D7677" w:rsidRDefault="009D7677" w:rsidP="009D7677">
      <w:pPr>
        <w:pStyle w:val="TextoNormal"/>
      </w:pPr>
      <w:r>
        <w:t>Considera que los términos en que está redactado este artículo son compatibles con lo regulado en el art. 95 LC.</w:t>
      </w:r>
    </w:p>
    <w:p w14:paraId="640AED43" w14:textId="77777777" w:rsidR="009D7677" w:rsidRDefault="009D7677" w:rsidP="009D7677">
      <w:pPr>
        <w:pStyle w:val="TextoNormal"/>
      </w:pPr>
    </w:p>
    <w:p w14:paraId="4B694C87" w14:textId="4DAEE6FF" w:rsidR="009D7677" w:rsidRDefault="009D7677" w:rsidP="009D7677">
      <w:pPr>
        <w:pStyle w:val="TextoNormal"/>
      </w:pPr>
      <w:r>
        <w:t>c) Por último, en relación con la disposición transitoria primera, afirma su constitucionalidad, remitiéndose a los razonamientos ya expuestos.</w:t>
      </w:r>
    </w:p>
    <w:p w14:paraId="4A0CB5E8" w14:textId="77777777" w:rsidR="009D7677" w:rsidRDefault="009D7677" w:rsidP="009D7677">
      <w:pPr>
        <w:pStyle w:val="TextoNormal"/>
      </w:pPr>
    </w:p>
    <w:p w14:paraId="76C4A6A6" w14:textId="77777777" w:rsidR="009D7677" w:rsidRDefault="009D7677" w:rsidP="009D7677">
      <w:pPr>
        <w:pStyle w:val="TextoNormal"/>
      </w:pPr>
      <w:r w:rsidRPr="009D7677">
        <w:rPr>
          <w:rStyle w:val="NumeroAFNegritaCaracter"/>
        </w:rPr>
        <w:t>8</w:t>
      </w:r>
      <w:r>
        <w:t>. El letrado de la Xunta de Galicia formuló sus alegaciones por escrito registrado el día 5 de diciembre de 2023, en las que interesa la desestimación del recurso de inconstitucionalidad.</w:t>
      </w:r>
    </w:p>
    <w:p w14:paraId="600B837D" w14:textId="77777777" w:rsidR="009D7677" w:rsidRDefault="009D7677" w:rsidP="009D7677">
      <w:pPr>
        <w:pStyle w:val="TextoNormal"/>
      </w:pPr>
    </w:p>
    <w:p w14:paraId="424C6B83" w14:textId="77777777" w:rsidR="009D7677" w:rsidRDefault="009D7677" w:rsidP="009D7677">
      <w:pPr>
        <w:pStyle w:val="TextoNormal"/>
      </w:pPr>
      <w:r>
        <w:t xml:space="preserve">a) Con carácter preliminar, efectúa tres consideraciones: (i) que toda la posición estatal pivota sobre la premisa de que la Ley de costas no prevé limitación de plazo para el ejercicio de la acción de reposición de la legalidad en zona de servidumbre de protección; (ii) que, aunque el recurso de inconstitucionalidad solo se fundamenta en los arts. 132 y 149.1.23 CE, estima preciso pronunciarse también en relación con otros preceptos constitucionales, como el art. 149.1.1 CE; y (iii) que, aunque el recurso se dirige formalmente </w:t>
      </w:r>
      <w:r>
        <w:lastRenderedPageBreak/>
        <w:t>contra los arts. 10 y 11 y la disposición transitoria primera de la Ley del Parlamento de Galicia 7/2022, en realidad solo se cuestionan el párrafo primero del apartado 1 del art. 10 y el inciso final del art. 11, mientras que la disposición transitoria primera solo se impugna por conexión con aquellos, precisión que estima importante “para ser consciente de los únicos debates posibles y, de ser el caso [de la] máxima anulación que cabe respeto a los preceptos recurridos”.</w:t>
      </w:r>
    </w:p>
    <w:p w14:paraId="187E04DD" w14:textId="77777777" w:rsidR="009D7677" w:rsidRDefault="009D7677" w:rsidP="009D7677">
      <w:pPr>
        <w:pStyle w:val="TextoNormal"/>
      </w:pPr>
    </w:p>
    <w:p w14:paraId="59ED8E79" w14:textId="77777777" w:rsidR="009D7677" w:rsidRDefault="009D7677" w:rsidP="009D7677">
      <w:pPr>
        <w:pStyle w:val="TextoNormal"/>
      </w:pPr>
      <w:r>
        <w:t>b) Expone que la Ley de costas, en su redacción originaria, establecía expresamente en el art. 92, dentro del capítulo I del título V, relativo a las infracciones, que la restitución de las cosas y su reposición al estado anterior podía exigirse “cualquiera que fuera el tiempo transcurrido”, mientras que el art. 95.1, dentro del capítulo II del título V, relativo a las sanciones, no hacía referencia a ningún plazo de prescripción.</w:t>
      </w:r>
    </w:p>
    <w:p w14:paraId="7FB55D82" w14:textId="77777777" w:rsidR="009D7677" w:rsidRDefault="009D7677" w:rsidP="009D7677">
      <w:pPr>
        <w:pStyle w:val="TextoNormal"/>
      </w:pPr>
    </w:p>
    <w:p w14:paraId="26ACE67B" w14:textId="77777777" w:rsidR="009D7677" w:rsidRDefault="009D7677" w:rsidP="009D7677">
      <w:pPr>
        <w:pStyle w:val="TextoNormal"/>
      </w:pPr>
      <w:r>
        <w:t>Afirma que la situación cambia con la reforma operada por la Ley 2/2013, de 29 de mayo, tras la cual el art. 92 LC ha dejado de establecer que las facultades de imponer la restitución de la legalidad no están sujetas a plazo. Por su parte, al art. 95.1 LC se le añadió un nuevo párrafo segundo en virtud del cual la obligación de restitución de las cosas y su reposición al estado anterior “prescribirá a los quince años desde que la administración acuerde su imposición”. Este precepto se ciñe a prever un plazo de prescripción para cuando ya se ha impuesto la obligación de restituir la legalidad, pero no dispone nada sobre el plazo respecto al procedimiento destinado a establecer esta obligación.</w:t>
      </w:r>
    </w:p>
    <w:p w14:paraId="33B4B2C8" w14:textId="77777777" w:rsidR="009D7677" w:rsidRDefault="009D7677" w:rsidP="009D7677">
      <w:pPr>
        <w:pStyle w:val="TextoNormal"/>
      </w:pPr>
    </w:p>
    <w:p w14:paraId="7C0323A5" w14:textId="77777777" w:rsidR="009D7677" w:rsidRDefault="009D7677" w:rsidP="009D7677">
      <w:pPr>
        <w:pStyle w:val="TextoNormal"/>
      </w:pPr>
      <w:r>
        <w:t xml:space="preserve">c) A continuación, se refiere al art. 21 LC que dispone que “las servidumbres serán imprescriptibles en todo caso”. Estima que se trata de una declaración general dirigida a que no puedan prevalecer plazos prescriptivos de adquisición o de otro tipo de carácter civil sobre la zona de servidumbre de costas. Por ello, la STC 149/1991 encuadró esta previsión dentro de las competencias del Estado sobre legislación procesal y civil (arts. 149.1, 6 y 8 CE) y no dentro de la competencia estatal </w:t>
      </w:r>
      <w:r w:rsidRPr="009D7677">
        <w:rPr>
          <w:i/>
        </w:rPr>
        <w:t>ex</w:t>
      </w:r>
      <w:r>
        <w:t xml:space="preserve"> art. 149.1.23 CE.</w:t>
      </w:r>
    </w:p>
    <w:p w14:paraId="5BB3A127" w14:textId="77777777" w:rsidR="009D7677" w:rsidRDefault="009D7677" w:rsidP="009D7677">
      <w:pPr>
        <w:pStyle w:val="TextoNormal"/>
      </w:pPr>
    </w:p>
    <w:p w14:paraId="16CDD183" w14:textId="77777777" w:rsidR="009D7677" w:rsidRDefault="009D7677" w:rsidP="009D7677">
      <w:pPr>
        <w:pStyle w:val="TextoNormal"/>
      </w:pPr>
      <w:r>
        <w:t>Considera que debe distinguirse entre la prescripción adquisitiva y la prescripción extintiva porque, a su juicio, es compatible que la potestad de restitución de la legalidad caduque trascurrido un cierto tiempo y, a pesar de ello, el titular del terreno no adquiera el pleno dominio, en el sentido de dominio no limitado por la servidumbre. En consecuencia, afirma que de la previsión del art. 21 LC, de que la zona de servidumbre de protección de costas es imprescriptible, no se puede desprender que la potestad de restitución de legalidad no quede sujeta a plazo para su incoación. Podría pensarse que esta distinción es artificial y que si caduca la potestad de restitución de la legalidad se produce un efecto idéntico a que el propietario adquiera por el transcurso del tiempo las facultades dominicales afectadas por la limitación pero ello no ocurre porque el art. 10.2 de la Ley del Parlamento de Galicia 7/2022 determina que las obras ilegales, aunque no puedan ser removidas, queden en una situación especial, similar a la de fuera de ordenación.</w:t>
      </w:r>
    </w:p>
    <w:p w14:paraId="1037CAFA" w14:textId="77777777" w:rsidR="009D7677" w:rsidRDefault="009D7677" w:rsidP="009D7677">
      <w:pPr>
        <w:pStyle w:val="TextoNormal"/>
      </w:pPr>
    </w:p>
    <w:p w14:paraId="0A239B7C" w14:textId="77777777" w:rsidR="009D7677" w:rsidRDefault="009D7677" w:rsidP="009D7677">
      <w:pPr>
        <w:pStyle w:val="TextoNormal"/>
      </w:pPr>
      <w:r>
        <w:t>Por su parte, también alude a la disposición transitoria cuarta LC, citada en el recurso de inconstitucionalidad, para afirmar que no es aplicable a la presente controversia porque regula una cuestión de Derecho transitorio para ordenar el paso de la regulación de la Ley de costas de 1969 a la de 1988, que solo toca tangencialmente la protección de la legalidad en la zona de servidumbre de protección que no existía antes de 1988 y que en nada afecta al plazo para ejercer la acción de restablecimiento de la legalidad alterada.</w:t>
      </w:r>
    </w:p>
    <w:p w14:paraId="7EC57F05" w14:textId="77777777" w:rsidR="009D7677" w:rsidRDefault="009D7677" w:rsidP="009D7677">
      <w:pPr>
        <w:pStyle w:val="TextoNormal"/>
      </w:pPr>
    </w:p>
    <w:p w14:paraId="1D34F135" w14:textId="77777777" w:rsidR="009D7677" w:rsidRDefault="009D7677" w:rsidP="009D7677">
      <w:pPr>
        <w:pStyle w:val="TextoNormal"/>
      </w:pPr>
      <w:r>
        <w:t>d) Se refiere a las SSTS de 11 de julio de 2018 (recurso de casación núm. 953-2017) y de 2 de diciembre de 2020 (recurso de casación núm. 7404-2019), citadas en el recurso de inconstitucionalidad. Sostiene que tales sentencias se limitaron a integrar una laguna en el ordenamiento jurídico porque, desde 2013, la legislación básica de costas ha dejado de regular la cuestión del plazo para incoar un procedimiento de restitución de la legalidad. Afirma que, tras la Ley del Parlamento de Galicia 7/2022, ya no existe una laguna en el ordenamiento jurídico, sino que la ley autonómica llena un espacio normativo que la ley básica no ha ocupado. La doctrina jurisprudencial que surgió como una integración de una laguna del ordenamiento ya no es aplicable, una vez que la misma ha desaparecido.</w:t>
      </w:r>
    </w:p>
    <w:p w14:paraId="58786255" w14:textId="77777777" w:rsidR="009D7677" w:rsidRDefault="009D7677" w:rsidP="009D7677">
      <w:pPr>
        <w:pStyle w:val="TextoNormal"/>
      </w:pPr>
    </w:p>
    <w:p w14:paraId="0F629556" w14:textId="77777777" w:rsidR="009D7677" w:rsidRDefault="009D7677" w:rsidP="009D7677">
      <w:pPr>
        <w:pStyle w:val="TextoNormal"/>
      </w:pPr>
      <w:r>
        <w:t>e) Con base en la STC 149/1991, explica que las competencias que puede tener el Estado sobre la regulación de la servidumbre de protección de costas deben residenciarse en el art. 149.1.23 CE, esto es, en la competencia básica en materia de medioambiente. En materia de medioambiente, el deber estatal de dejar un margen al desarrollo de la legislación básica por la normativa autonómica, aun siendo menor que en otros ámbitos, no puede llegar a tal grado de detalle que no permita desarrollo legislativo alguno por parte de las comunidades autónomas (STC 102/1995, de 26 de junio).</w:t>
      </w:r>
    </w:p>
    <w:p w14:paraId="47D4F75E" w14:textId="77777777" w:rsidR="009D7677" w:rsidRDefault="009D7677" w:rsidP="009D7677">
      <w:pPr>
        <w:pStyle w:val="TextoNormal"/>
      </w:pPr>
    </w:p>
    <w:p w14:paraId="6FBD1C68" w14:textId="77777777" w:rsidR="009D7677" w:rsidRDefault="009D7677" w:rsidP="009D7677">
      <w:pPr>
        <w:pStyle w:val="TextoNormal"/>
      </w:pPr>
      <w:r>
        <w:t xml:space="preserve">Apunta que la Comunidad Autónoma de Galicia regula donde el legislador estatal no lo hace. El vacío en la Ley de costas significa que para el legislador estatal esa cuestión no forma parte de las normas mínimas de protección del medio ambiente. El legislador autonómico de desarrollo solo puede tener como límite lo que explícitamente se recoja en la legislación estatal. En este sentido, continúa afirmando que el hecho de que la ordenación de la zona de servidumbre de protección tenga una función ambiental de protección de la costa no determina que, con base en el art. 149.1.23 CE, se convierta en una materia reservada </w:t>
      </w:r>
      <w:r w:rsidRPr="009D7677">
        <w:rPr>
          <w:i/>
        </w:rPr>
        <w:t>a priori</w:t>
      </w:r>
      <w:r>
        <w:t xml:space="preserve"> al Estado. El Estado puede establecer reglas básicas sobre la zona de servidumbre pero, en la medida en que no lo haga, la ley autonómica tiene franco ese espacio normativo, siempre que tenga competencia propia para incidir en él, como puede ser la competencia de desarrollo de las bases ambientales, pero también competencia sobre otros sectores materiales (urbanismo, ordenación del territorio y del litoral). Tras aludir a la “variabilidad de las bases”, considera que el Estado puede recuperar este espacio normativo, pero hasta el momento no lo ha hecho.</w:t>
      </w:r>
    </w:p>
    <w:p w14:paraId="6D898CEF" w14:textId="77777777" w:rsidR="009D7677" w:rsidRDefault="009D7677" w:rsidP="009D7677">
      <w:pPr>
        <w:pStyle w:val="TextoNormal"/>
      </w:pPr>
    </w:p>
    <w:p w14:paraId="65977512" w14:textId="77777777" w:rsidR="009D7677" w:rsidRDefault="009D7677" w:rsidP="009D7677">
      <w:pPr>
        <w:pStyle w:val="TextoNormal"/>
      </w:pPr>
      <w:r>
        <w:t>f) Continúa explicando que la norma impugnada se dicta con la finalidad de conseguir una mayor seguridad jurídica (art. 9.3 CE) y ello porque: (i) dados los medios actuales, la falta de ejercicio administrativo durante quince años no parece una situación de fácil aparición en un estado normal de suceder las cosas; (ii) la Ley impugnada instaura un plazo muy amplio y coherente con el previsto en el art. 95.1 LC; y (iii) estamos ante una actuación administrativa de incidencia negativa o de afectación negativa a los ciudadanos. Además, afirma la preocupación del legislador gallego por que el transcurso del plazo no implique desprotección para el medioambiente, razón por la cual las edificaciones ilegales quedan sujetas a un régimen similar al de fuera de ordenación. Finalmente cita una serie de ejemplos en otra normativa sectorial, tanto estatal como autonómica, en los que la acción de restitución de la legalidad está sujeta a un plazo de prescripción.</w:t>
      </w:r>
    </w:p>
    <w:p w14:paraId="22980897" w14:textId="77777777" w:rsidR="009D7677" w:rsidRDefault="009D7677" w:rsidP="009D7677">
      <w:pPr>
        <w:pStyle w:val="TextoNormal"/>
      </w:pPr>
    </w:p>
    <w:p w14:paraId="65BE71AA" w14:textId="77777777" w:rsidR="009D7677" w:rsidRDefault="009D7677" w:rsidP="009D7677">
      <w:pPr>
        <w:pStyle w:val="TextoNormal"/>
      </w:pPr>
      <w:r>
        <w:t xml:space="preserve">g) Concluye la argumentación dirigida a la defensa de la constitucionalidad del art. 10 sosteniendo que el Estado no puede invocar, en este caso, el título competencial recogido </w:t>
      </w:r>
      <w:r>
        <w:lastRenderedPageBreak/>
        <w:t>en el art. 149.1.1 CE. La previsión del art. 10 de la Ley del Parlamento de Galicia 7/2022 introduce diversidad regulatoria en la delimitación de la propiedad de los terrenos colindantes con las costas, pero lo hace en el ejercicio legítimo de las competencias legislativas gallegas.</w:t>
      </w:r>
    </w:p>
    <w:p w14:paraId="75EAC182" w14:textId="77777777" w:rsidR="009D7677" w:rsidRDefault="009D7677" w:rsidP="009D7677">
      <w:pPr>
        <w:pStyle w:val="TextoNormal"/>
      </w:pPr>
    </w:p>
    <w:p w14:paraId="1CB0195A" w14:textId="77777777" w:rsidR="009D7677" w:rsidRDefault="009D7677" w:rsidP="009D7677">
      <w:pPr>
        <w:pStyle w:val="TextoNormal"/>
      </w:pPr>
      <w:r>
        <w:t>h) En relación con el art. 11 afirma que el precepto cuestionado no produce una merma en la protección del medioambiente y que el recurso de inconstitucionalidad obvia que en la zona de servidumbre de protección de costas las comunidades autónomas pueden intervenir no solo en el ejercicio de su competencia para dictar normas adicionales de protección, sino también en virtud de sus competencias en materia de urbanismo, ordenación del territorio y del litoral.</w:t>
      </w:r>
    </w:p>
    <w:p w14:paraId="0669BAEB" w14:textId="77777777" w:rsidR="009D7677" w:rsidRDefault="009D7677" w:rsidP="009D7677">
      <w:pPr>
        <w:pStyle w:val="TextoNormal"/>
      </w:pPr>
    </w:p>
    <w:p w14:paraId="6798C900" w14:textId="77777777" w:rsidR="009D7677" w:rsidRDefault="009D7677" w:rsidP="009D7677">
      <w:pPr>
        <w:pStyle w:val="TextoNormal"/>
      </w:pPr>
      <w:r>
        <w:t xml:space="preserve">En relación con la doctrina de las </w:t>
      </w:r>
      <w:r w:rsidRPr="009D7677">
        <w:rPr>
          <w:i/>
        </w:rPr>
        <w:t>leges repetitae</w:t>
      </w:r>
      <w:r>
        <w:t>, invocada en el recurso de inconstitucionalidad, viene a señalar que la misma admite excepciones en los casos en que la reiteración sea necesaria para la comprensión del precepto. Considera que el criterio seguido en el art. 11 no solo respeta la Ley de costas, sino que reafirma el criterio que esta sienta porque da coherencia a la regulación para que se entienda.</w:t>
      </w:r>
    </w:p>
    <w:p w14:paraId="72F27E0F" w14:textId="77777777" w:rsidR="009D7677" w:rsidRDefault="009D7677" w:rsidP="009D7677">
      <w:pPr>
        <w:pStyle w:val="TextoNormal"/>
      </w:pPr>
    </w:p>
    <w:p w14:paraId="1B2E13CD" w14:textId="78475985" w:rsidR="009D7677" w:rsidRDefault="009D7677" w:rsidP="009D7677">
      <w:pPr>
        <w:pStyle w:val="TextoNormal"/>
      </w:pPr>
      <w:r>
        <w:t>i) Finalmente, en cuanto a la disposición transitoria primera, dado que solo se impugna por conexión con los arts. 10 y 11, se remite a lo ya dicho en cuanto a estos.</w:t>
      </w:r>
    </w:p>
    <w:p w14:paraId="5DE5AE79" w14:textId="77777777" w:rsidR="009D7677" w:rsidRDefault="009D7677" w:rsidP="009D7677">
      <w:pPr>
        <w:pStyle w:val="TextoNormal"/>
      </w:pPr>
    </w:p>
    <w:p w14:paraId="2C5D4691" w14:textId="01B5549B" w:rsidR="009D7677" w:rsidRDefault="009D7677" w:rsidP="009D7677">
      <w:pPr>
        <w:pStyle w:val="TextoNormal"/>
      </w:pPr>
      <w:r w:rsidRPr="009D7677">
        <w:rPr>
          <w:rStyle w:val="NumeroAFNegritaCaracter"/>
        </w:rPr>
        <w:t>9</w:t>
      </w:r>
      <w:r>
        <w:t>. Por diligencia de ordenación del secretario de justicia del Pleno de 12 de diciembre de 2023 se acordó que, próximo a finalizar el plazo de los cinco meses que señala el art. 161.2 CE desde que se produjo la suspensión de los preceptos recurridos, se oyese a las partes personadas para que, en el plazo de cinco días, expusiesen lo que considerasen pertinente acerca del mantenimiento o levantamiento de dicha suspensión.</w:t>
      </w:r>
    </w:p>
    <w:p w14:paraId="30F9847A" w14:textId="77777777" w:rsidR="009D7677" w:rsidRDefault="009D7677" w:rsidP="009D7677">
      <w:pPr>
        <w:pStyle w:val="TextoNormal"/>
      </w:pPr>
    </w:p>
    <w:p w14:paraId="38BA0C5D" w14:textId="54791C55" w:rsidR="009D7677" w:rsidRDefault="009D7677" w:rsidP="009D7677">
      <w:pPr>
        <w:pStyle w:val="TextoNormal"/>
      </w:pPr>
      <w:r w:rsidRPr="009D7677">
        <w:rPr>
          <w:rStyle w:val="NumeroAFNegritaCaracter"/>
        </w:rPr>
        <w:t>10</w:t>
      </w:r>
      <w:r>
        <w:t>. El letrado de la Xunta de Galicia interesó el levantamiento de la suspensión mediante escrito registrado el 18 de diciembre de 2023.</w:t>
      </w:r>
    </w:p>
    <w:p w14:paraId="61FEED0E" w14:textId="77777777" w:rsidR="009D7677" w:rsidRDefault="009D7677" w:rsidP="009D7677">
      <w:pPr>
        <w:pStyle w:val="TextoNormal"/>
      </w:pPr>
    </w:p>
    <w:p w14:paraId="23771492" w14:textId="2A5CE1BC" w:rsidR="009D7677" w:rsidRDefault="009D7677" w:rsidP="009D7677">
      <w:pPr>
        <w:pStyle w:val="TextoNormal"/>
      </w:pPr>
      <w:r w:rsidRPr="009D7677">
        <w:rPr>
          <w:rStyle w:val="NumeroAFNegritaCaracter"/>
        </w:rPr>
        <w:t>11</w:t>
      </w:r>
      <w:r>
        <w:t>. El abogado del Estado solicitó el mantenimiento de la suspensión inicialmente acordada, mediante escrito presentado el 19 de diciembre de 2023.</w:t>
      </w:r>
    </w:p>
    <w:p w14:paraId="3EE4E111" w14:textId="77777777" w:rsidR="009D7677" w:rsidRDefault="009D7677" w:rsidP="009D7677">
      <w:pPr>
        <w:pStyle w:val="TextoNormal"/>
      </w:pPr>
    </w:p>
    <w:p w14:paraId="7305A8D9" w14:textId="3B2B7CDA" w:rsidR="009D7677" w:rsidRDefault="009D7677" w:rsidP="009D7677">
      <w:pPr>
        <w:pStyle w:val="TextoNormal"/>
      </w:pPr>
      <w:r w:rsidRPr="009D7677">
        <w:rPr>
          <w:rStyle w:val="NumeroAFNegritaCaracter"/>
        </w:rPr>
        <w:t>12</w:t>
      </w:r>
      <w:r>
        <w:t>. Por escrito presentado el 9 de enero de 2024, los letrados del Parlamento de Galicia solicitaron el levantamiento de la suspensión.</w:t>
      </w:r>
    </w:p>
    <w:p w14:paraId="4D76756D" w14:textId="77777777" w:rsidR="009D7677" w:rsidRDefault="009D7677" w:rsidP="009D7677">
      <w:pPr>
        <w:pStyle w:val="TextoNormal"/>
      </w:pPr>
    </w:p>
    <w:p w14:paraId="5DD7AA8B" w14:textId="363C3FAB" w:rsidR="009D7677" w:rsidRDefault="009D7677" w:rsidP="009D7677">
      <w:pPr>
        <w:pStyle w:val="TextoNormal"/>
      </w:pPr>
      <w:r w:rsidRPr="009D7677">
        <w:rPr>
          <w:rStyle w:val="NumeroAFNegritaCaracter"/>
        </w:rPr>
        <w:t>13</w:t>
      </w:r>
      <w:r>
        <w:t>. En el ATC 21/2024, de 27 de febrero, el Pleno acordó mantener la suspensión del párrafo primero del apartado 1 del art. 10 y del apartado 1 de la disposición transitoria primera de la Ley del Parlamento de de Galicia 7/2022, de 27 de diciembre, de medidas fiscales y administrativas, así como levantar la suspensión del resto de preceptos impugnados en el presente recurso de inconstitucionalidad.</w:t>
      </w:r>
    </w:p>
    <w:p w14:paraId="3F3CD7AD" w14:textId="77777777" w:rsidR="009D7677" w:rsidRDefault="009D7677" w:rsidP="009D7677">
      <w:pPr>
        <w:pStyle w:val="TextoNormal"/>
      </w:pPr>
    </w:p>
    <w:p w14:paraId="354061AD" w14:textId="01F00D22" w:rsidR="009D7677" w:rsidRDefault="009D7677" w:rsidP="009D7677">
      <w:pPr>
        <w:pStyle w:val="TextoNormal"/>
      </w:pPr>
      <w:r w:rsidRPr="009D7677">
        <w:rPr>
          <w:rStyle w:val="NumeroAFNegritaCaracter"/>
        </w:rPr>
        <w:t>14</w:t>
      </w:r>
      <w:r>
        <w:t>. Por diligencia del secretario de justicia del Pleno de 11 de marzo de 2024, se declaró el proceso concluso y pendiente para deliberación y votación de la sentencia, sin perjuicio de lo dispuesto en el art. 84 LOTC.</w:t>
      </w:r>
    </w:p>
    <w:p w14:paraId="04F8804B" w14:textId="77777777" w:rsidR="009D7677" w:rsidRDefault="009D7677" w:rsidP="009D7677">
      <w:pPr>
        <w:pStyle w:val="TextoNormal"/>
      </w:pPr>
    </w:p>
    <w:p w14:paraId="5B5F9A2D" w14:textId="7DAA8995" w:rsidR="009D7677" w:rsidRDefault="009D7677" w:rsidP="009D7677">
      <w:pPr>
        <w:pStyle w:val="TextoNormal"/>
      </w:pPr>
      <w:r w:rsidRPr="009D7677">
        <w:rPr>
          <w:rStyle w:val="NumeroAFNegritaCaracter"/>
        </w:rPr>
        <w:lastRenderedPageBreak/>
        <w:t>15</w:t>
      </w:r>
      <w:r>
        <w:t>. Por providencia de 7 de mayo de 2024, se señaló para deliberación y votación de la presente sentencia el día 8 del mismo mes y año.</w:t>
      </w:r>
    </w:p>
    <w:p w14:paraId="005D2D97" w14:textId="77777777" w:rsidR="009D7677" w:rsidRDefault="009D7677" w:rsidP="009D7677">
      <w:pPr>
        <w:pStyle w:val="TextoNormal"/>
      </w:pPr>
    </w:p>
    <w:p w14:paraId="437463A8" w14:textId="77777777" w:rsidR="009D7677" w:rsidRDefault="009D7677" w:rsidP="009D7677">
      <w:pPr>
        <w:pStyle w:val="TextoNormalNegritaCentrado"/>
        <w:keepNext/>
      </w:pPr>
      <w:r>
        <w:t>II. Fundamentos jurídicos</w:t>
      </w:r>
    </w:p>
    <w:p w14:paraId="5BAE88B7" w14:textId="51BFBAF6" w:rsidR="009D7677" w:rsidRDefault="009D7677" w:rsidP="009D7677">
      <w:pPr>
        <w:pStyle w:val="TextoNormalNegritaCentrado"/>
        <w:keepNext/>
      </w:pPr>
    </w:p>
    <w:p w14:paraId="39CF34F2" w14:textId="77777777" w:rsidR="009D7677" w:rsidRDefault="009D7677" w:rsidP="009D7677">
      <w:pPr>
        <w:pStyle w:val="TextoNormal"/>
      </w:pPr>
      <w:r w:rsidRPr="009D7677">
        <w:rPr>
          <w:rStyle w:val="NumeroAFNegritaCaracter"/>
        </w:rPr>
        <w:t>1</w:t>
      </w:r>
      <w:r>
        <w:t xml:space="preserve">. </w:t>
      </w:r>
      <w:r w:rsidRPr="009D7677">
        <w:rPr>
          <w:i/>
        </w:rPr>
        <w:t>Objeto del recurso y posiciones de las partes</w:t>
      </w:r>
    </w:p>
    <w:p w14:paraId="6E776563" w14:textId="77777777" w:rsidR="009D7677" w:rsidRDefault="009D7677" w:rsidP="009D7677">
      <w:pPr>
        <w:pStyle w:val="TextoNormal"/>
      </w:pPr>
    </w:p>
    <w:p w14:paraId="2E8747F4" w14:textId="77777777" w:rsidR="009D7677" w:rsidRDefault="009D7677" w:rsidP="009D7677">
      <w:pPr>
        <w:pStyle w:val="TextoNormal"/>
      </w:pPr>
      <w:r>
        <w:t>a) El presente recurso de inconstitucionalidad, núm. 6243-2023, interpuesto por el presidente del Gobierno, tiene por objeto los arts. 10 y 11 y la disposición transitoria primera de la Ley del Parlamento de Galicia 7/2022, de 27 de diciembre, de medidas fiscales y administrativas.</w:t>
      </w:r>
    </w:p>
    <w:p w14:paraId="31093186" w14:textId="77777777" w:rsidR="009D7677" w:rsidRDefault="009D7677" w:rsidP="009D7677">
      <w:pPr>
        <w:pStyle w:val="TextoNormal"/>
      </w:pPr>
    </w:p>
    <w:p w14:paraId="2E7435A8" w14:textId="77777777" w:rsidR="009D7677" w:rsidRDefault="009D7677" w:rsidP="009D7677">
      <w:pPr>
        <w:pStyle w:val="TextoNormal"/>
      </w:pPr>
      <w:r>
        <w:t>El art. 10 de la Ley del Parlamento de Galicia 7/2022 dispone:</w:t>
      </w:r>
    </w:p>
    <w:p w14:paraId="6CDF2091" w14:textId="77777777" w:rsidR="009D7677" w:rsidRDefault="009D7677" w:rsidP="009D7677">
      <w:pPr>
        <w:pStyle w:val="TextoNormal"/>
      </w:pPr>
    </w:p>
    <w:p w14:paraId="1592FA0E" w14:textId="77777777" w:rsidR="009D7677" w:rsidRDefault="009D7677" w:rsidP="009D7677">
      <w:pPr>
        <w:pStyle w:val="TextoNormal"/>
      </w:pPr>
      <w:r>
        <w:t>“Artículo 10. Ejercicio de las competencias de la Comunidad Autónoma de Galicia para la reposición de la legalidad en la zona de servidumbre de protección del dominio público marítimo-terrestre</w:t>
      </w:r>
    </w:p>
    <w:p w14:paraId="1B528585" w14:textId="77777777" w:rsidR="009D7677" w:rsidRDefault="009D7677" w:rsidP="009D7677">
      <w:pPr>
        <w:pStyle w:val="TextoNormal"/>
      </w:pPr>
    </w:p>
    <w:p w14:paraId="6E9C91B6" w14:textId="77777777" w:rsidR="009D7677" w:rsidRDefault="009D7677" w:rsidP="009D7677">
      <w:pPr>
        <w:pStyle w:val="TextoNormal"/>
      </w:pPr>
      <w:r>
        <w:t>1. El ejercicio de las competencias que corresponden a la Comunidad Autónoma de Galicia para imponer la obligación de restitución de las cosas y reposición a su estado anterior, con la indemnización de los daños irreparables y pérdidas causadas, en el caso de obras y actuaciones contrarias a lo dispuesto en la legislación en materia de costas realizadas en la zona de servidumbre de protección del dominio público marítimo-terrestre, deberá producirse dentro de un plazo de quince años, a contar desde la terminación de las obras o actuaciones contrarias a la legalidad.</w:t>
      </w:r>
    </w:p>
    <w:p w14:paraId="10FCCF44" w14:textId="77777777" w:rsidR="009D7677" w:rsidRDefault="009D7677" w:rsidP="009D7677">
      <w:pPr>
        <w:pStyle w:val="TextoNormal"/>
      </w:pPr>
    </w:p>
    <w:p w14:paraId="02FBA91E" w14:textId="77777777" w:rsidR="009D7677" w:rsidRDefault="009D7677" w:rsidP="009D7677">
      <w:pPr>
        <w:pStyle w:val="TextoNormal"/>
      </w:pPr>
      <w:r>
        <w:t>Se tomará como fecha de terminación de las obras o actuaciones realizadas la que resulte de su efectiva comprobación por la administración actuante, salvo que quede debidamente probada la terminación de las mismas en otra fecha distinta por cualquier medio de prueba admitido en derecho.</w:t>
      </w:r>
    </w:p>
    <w:p w14:paraId="370F1BF7" w14:textId="77777777" w:rsidR="009D7677" w:rsidRDefault="009D7677" w:rsidP="009D7677">
      <w:pPr>
        <w:pStyle w:val="TextoNormal"/>
      </w:pPr>
    </w:p>
    <w:p w14:paraId="0FD0BE61" w14:textId="77777777" w:rsidR="009D7677" w:rsidRDefault="009D7677" w:rsidP="009D7677">
      <w:pPr>
        <w:pStyle w:val="TextoNormal"/>
      </w:pPr>
      <w:r>
        <w:t>2. Transcurrido el plazo para imponer la obligación de restitución de las cosas y reposición a su estado anterior establecido en el número anterior sin que se haya impuesto dicha obligación, solo se podrán realizar, previa solicitud de autorización del órgano autonómico competente en materia de zona de servidumbre de protección, las obras imprescindibles para la conservación y el mantenimiento del uso preexistente, sin que puedan incrementar el valor expropiatorio.</w:t>
      </w:r>
    </w:p>
    <w:p w14:paraId="49FA82D0" w14:textId="77777777" w:rsidR="009D7677" w:rsidRDefault="009D7677" w:rsidP="009D7677">
      <w:pPr>
        <w:pStyle w:val="TextoNormal"/>
      </w:pPr>
    </w:p>
    <w:p w14:paraId="2AD136FC" w14:textId="77777777" w:rsidR="009D7677" w:rsidRDefault="009D7677" w:rsidP="009D7677">
      <w:pPr>
        <w:pStyle w:val="TextoNormal"/>
      </w:pPr>
      <w:r>
        <w:t>3. A los efectos de lo dispuesto en el número 1, se considerarán finalizadas aquellas construcciones que aparezcan reflejadas en las fotografías del vuelo de costas 1989-1991, recogidas en el Plan nacional de ortofotografía aérea histórico”.</w:t>
      </w:r>
    </w:p>
    <w:p w14:paraId="5D05159A" w14:textId="77777777" w:rsidR="009D7677" w:rsidRDefault="009D7677" w:rsidP="009D7677">
      <w:pPr>
        <w:pStyle w:val="TextoNormal"/>
      </w:pPr>
    </w:p>
    <w:p w14:paraId="41A23E28" w14:textId="77777777" w:rsidR="009D7677" w:rsidRDefault="009D7677" w:rsidP="009D7677">
      <w:pPr>
        <w:pStyle w:val="TextoNormal"/>
      </w:pPr>
      <w:r>
        <w:t>El art. 11 de la Ley del Parlamento de Galicia 7/2022 establece:</w:t>
      </w:r>
    </w:p>
    <w:p w14:paraId="4E96BAE8" w14:textId="77777777" w:rsidR="009D7677" w:rsidRDefault="009D7677" w:rsidP="009D7677">
      <w:pPr>
        <w:pStyle w:val="TextoNormal"/>
      </w:pPr>
    </w:p>
    <w:p w14:paraId="2734D412" w14:textId="77777777" w:rsidR="009D7677" w:rsidRDefault="009D7677" w:rsidP="009D7677">
      <w:pPr>
        <w:pStyle w:val="TextoNormal"/>
      </w:pPr>
      <w:r>
        <w:t>“Artículo 11. Prescripción de la obligación de restitución o reposición de la legalidad por infracciones reguladas en la normativa en materia de costas cometidas en la zona de servidumbre de protección del dominio público marítimo-terrestre</w:t>
      </w:r>
    </w:p>
    <w:p w14:paraId="310C677E" w14:textId="77777777" w:rsidR="009D7677" w:rsidRDefault="009D7677" w:rsidP="009D7677">
      <w:pPr>
        <w:pStyle w:val="TextoNormal"/>
      </w:pPr>
    </w:p>
    <w:p w14:paraId="70A30F95" w14:textId="77777777" w:rsidR="009D7677" w:rsidRDefault="009D7677" w:rsidP="009D7677">
      <w:pPr>
        <w:pStyle w:val="TextoNormal"/>
      </w:pPr>
      <w:r>
        <w:t>El plazo de prescripción de quince años previsto en el párrafo segundo del apartado 1 del artículo 95 de la Ley 22/1988, de 28 de julio, de costas, en cuanto a la restitución de las cosas y reposición a su estado anterior, por infracciones en la zona de servidumbre de protección del dominio público marítimo-terrestre, comenzará a computarse desde el dictado del acto por el que la administración acuerde su imposición. Esta regla será igualmente aplicable a los supuestos en que se interponga recurso administrativo frente al acto y la Administración incumpla su obligación de resolver el recurso en los plazos legalmente previstos”.</w:t>
      </w:r>
    </w:p>
    <w:p w14:paraId="3476082F" w14:textId="77777777" w:rsidR="009D7677" w:rsidRDefault="009D7677" w:rsidP="009D7677">
      <w:pPr>
        <w:pStyle w:val="TextoNormal"/>
      </w:pPr>
    </w:p>
    <w:p w14:paraId="30ED2928" w14:textId="77777777" w:rsidR="009D7677" w:rsidRDefault="009D7677" w:rsidP="009D7677">
      <w:pPr>
        <w:pStyle w:val="TextoNormal"/>
      </w:pPr>
      <w:r>
        <w:t>Por último, la disposición transitoria primera tiene el siguiente tenor literal:</w:t>
      </w:r>
    </w:p>
    <w:p w14:paraId="53B4ABBF" w14:textId="77777777" w:rsidR="009D7677" w:rsidRDefault="009D7677" w:rsidP="009D7677">
      <w:pPr>
        <w:pStyle w:val="TextoNormal"/>
      </w:pPr>
    </w:p>
    <w:p w14:paraId="28EA5E96" w14:textId="77777777" w:rsidR="009D7677" w:rsidRDefault="009D7677" w:rsidP="009D7677">
      <w:pPr>
        <w:pStyle w:val="TextoNormal"/>
      </w:pPr>
      <w:r>
        <w:t>“Disposición transitoria primera. Aplicación de las previsiones de esta ley en cuanto a la restitución o reposición de la legalidad por infracciones reguladas en la normativa en materia de costas cometidas en la zona de servidumbre de protección del dominio público marítimo-terrestre</w:t>
      </w:r>
    </w:p>
    <w:p w14:paraId="7F0A5DF6" w14:textId="77777777" w:rsidR="009D7677" w:rsidRDefault="009D7677" w:rsidP="009D7677">
      <w:pPr>
        <w:pStyle w:val="TextoNormal"/>
      </w:pPr>
    </w:p>
    <w:p w14:paraId="12CF1459" w14:textId="77777777" w:rsidR="009D7677" w:rsidRDefault="009D7677" w:rsidP="009D7677">
      <w:pPr>
        <w:pStyle w:val="TextoNormal"/>
      </w:pPr>
      <w:r>
        <w:t>1. Lo dispuesto en el artículo 10 será aplicable a las obras, actuaciones y construcciones existentes en el momento de la entrada en vigor de esta ley.</w:t>
      </w:r>
    </w:p>
    <w:p w14:paraId="621B5DD6" w14:textId="77777777" w:rsidR="009D7677" w:rsidRDefault="009D7677" w:rsidP="009D7677">
      <w:pPr>
        <w:pStyle w:val="TextoNormal"/>
      </w:pPr>
    </w:p>
    <w:p w14:paraId="46DFA2BF" w14:textId="77777777" w:rsidR="009D7677" w:rsidRDefault="009D7677" w:rsidP="009D7677">
      <w:pPr>
        <w:pStyle w:val="TextoNormal"/>
      </w:pPr>
      <w:r>
        <w:t>2. Lo dispuesto en el artículo 11 será aplicable a los procedimientos de restitución o reposición de la legalidad pendientes de ejecución en el momento de la entrada en vigor de esta ley”.</w:t>
      </w:r>
    </w:p>
    <w:p w14:paraId="3CB1C7BF" w14:textId="77777777" w:rsidR="009D7677" w:rsidRDefault="009D7677" w:rsidP="009D7677">
      <w:pPr>
        <w:pStyle w:val="TextoNormal"/>
      </w:pPr>
    </w:p>
    <w:p w14:paraId="01093095" w14:textId="77777777" w:rsidR="009D7677" w:rsidRDefault="009D7677" w:rsidP="009D7677">
      <w:pPr>
        <w:pStyle w:val="TextoNormal"/>
      </w:pPr>
      <w:r>
        <w:t xml:space="preserve">b) En el recurso de inconstitucionalidad, de carácter exclusivamente competencial, se denuncia la invasión de las competencias estatales </w:t>
      </w:r>
      <w:r w:rsidRPr="009D7677">
        <w:rPr>
          <w:i/>
        </w:rPr>
        <w:t>ex</w:t>
      </w:r>
      <w:r>
        <w:t xml:space="preserve"> art. 149.1.23 CE, en relación con la regulación de los terrenos colindantes con el dominio público marítimo-terrestre. En concreto, se impugnan: (i) el art. 10 por haber establecido un plazo de prescripción de quince años para la acción de restitución de las cosas y su reposición al estado anterior en zona de servidumbre de protección de costas, supuesto para el que la Ley de costas no prevé limitación de plazo para su ejercicio; (ii) el art. 11 por no constituir una “norma adicional de protección” y por incurrir en una vulneración de la doctrina constitucional relativa a las </w:t>
      </w:r>
      <w:r w:rsidRPr="009D7677">
        <w:rPr>
          <w:i/>
        </w:rPr>
        <w:t>leges repetitae</w:t>
      </w:r>
      <w:r>
        <w:t>; y (iii) la disposición transitoria primera, apartados 1 y 2, por su conexión respectivamente con los anteriores preceptos recurridos.</w:t>
      </w:r>
    </w:p>
    <w:p w14:paraId="10FEB8F6" w14:textId="77777777" w:rsidR="009D7677" w:rsidRDefault="009D7677" w:rsidP="009D7677">
      <w:pPr>
        <w:pStyle w:val="TextoNormal"/>
      </w:pPr>
    </w:p>
    <w:p w14:paraId="58A15F39" w14:textId="4D61085E" w:rsidR="009D7677" w:rsidRDefault="009D7677" w:rsidP="009D7677">
      <w:pPr>
        <w:pStyle w:val="TextoNormal"/>
      </w:pPr>
      <w:r>
        <w:t xml:space="preserve">De contrario, como ha quedado expuesto más extensamente en el relato de antecedentes, los letrados del Parlamento y de la Xunta de Galicia defienden la constitucionalidad de los preceptos impugnados alegando, en síntesis: (i) que la regulación contenida en el art. 10 pretende conseguir una mayor seguridad jurídica y se dicta al amparo de las competencias de la Comunidad Autónoma de Galicia para el establecimiento de normas adicionales de protección del medio ambiente y del paisaje, sin perjuicio de lo previsto en el art. 149.1.23 CE (art. 27.30 del Estatuto de Autonomía) y en las competencias en materia de ordenación del territorio y del litoral, urbanismo y vivienda (art. 27.3 del Estatuto de Autonomía); (ii) que el art. 10 constituye un desarrollo legislativo por parte de la Comunidad Autónoma de Galicia de una cuestión sobre la que no existe previsión alguna en la legislación básica estatal; (iii) que el art. 11 no vulnera la doctrina constitucional relativa a las </w:t>
      </w:r>
      <w:r w:rsidRPr="009D7677">
        <w:rPr>
          <w:i/>
        </w:rPr>
        <w:t>leges repetitae</w:t>
      </w:r>
      <w:r>
        <w:t xml:space="preserve"> porque no contradice la Ley de costas, sino que persigue facilitar la comprensión del precepto.</w:t>
      </w:r>
    </w:p>
    <w:p w14:paraId="5252D6A3" w14:textId="77777777" w:rsidR="009D7677" w:rsidRDefault="009D7677" w:rsidP="009D7677">
      <w:pPr>
        <w:pStyle w:val="TextoNormal"/>
      </w:pPr>
    </w:p>
    <w:p w14:paraId="00244446" w14:textId="77777777" w:rsidR="009D7677" w:rsidRDefault="009D7677" w:rsidP="009D7677">
      <w:pPr>
        <w:pStyle w:val="TextoNormal"/>
      </w:pPr>
      <w:r w:rsidRPr="009D7677">
        <w:rPr>
          <w:rStyle w:val="NumeroAFNegritaCaracter"/>
        </w:rPr>
        <w:t>2</w:t>
      </w:r>
      <w:r>
        <w:t xml:space="preserve">. </w:t>
      </w:r>
      <w:r w:rsidRPr="009D7677">
        <w:rPr>
          <w:i/>
        </w:rPr>
        <w:t>Consideraciones previas: delimitación del objeto de enjuiciamiento</w:t>
      </w:r>
    </w:p>
    <w:p w14:paraId="0027A3F4" w14:textId="77777777" w:rsidR="009D7677" w:rsidRDefault="009D7677" w:rsidP="009D7677">
      <w:pPr>
        <w:pStyle w:val="TextoNormal"/>
      </w:pPr>
    </w:p>
    <w:p w14:paraId="52311B15" w14:textId="77777777" w:rsidR="009D7677" w:rsidRDefault="009D7677" w:rsidP="009D7677">
      <w:pPr>
        <w:pStyle w:val="TextoNormal"/>
      </w:pPr>
      <w:r>
        <w:t>Antes de abordar el examen de los concretos motivos de inconstitucionalidad esgrimidos en el recurso, procede realizar algunas consideraciones preliminares en orden a delimitar el objeto del enjuiciamiento constitucional.</w:t>
      </w:r>
    </w:p>
    <w:p w14:paraId="40DAC585" w14:textId="77777777" w:rsidR="009D7677" w:rsidRDefault="009D7677" w:rsidP="009D7677">
      <w:pPr>
        <w:pStyle w:val="TextoNormal"/>
      </w:pPr>
    </w:p>
    <w:p w14:paraId="08F8A58A" w14:textId="77777777" w:rsidR="009D7677" w:rsidRDefault="009D7677" w:rsidP="009D7677">
      <w:pPr>
        <w:pStyle w:val="TextoNormal"/>
      </w:pPr>
      <w:r>
        <w:t>a) El recurso de inconstitucionalidad no pretende la declaración de inconstitucionalidad de los apartados 1 y 2 de la disposición transitoria primera de forma autónoma, sino únicamente por su conexión, respectivamente, con los arts. 10 y 11, objeto de impugnación.</w:t>
      </w:r>
    </w:p>
    <w:p w14:paraId="234D557E" w14:textId="77777777" w:rsidR="009D7677" w:rsidRDefault="009D7677" w:rsidP="009D7677">
      <w:pPr>
        <w:pStyle w:val="TextoNormal"/>
      </w:pPr>
    </w:p>
    <w:p w14:paraId="0F7DD979" w14:textId="77777777" w:rsidR="009D7677" w:rsidRDefault="009D7677" w:rsidP="009D7677">
      <w:pPr>
        <w:pStyle w:val="TextoNormal"/>
      </w:pPr>
      <w:r>
        <w:t>Este tribunal tiene declarado que “[c]iertamente, cabe extender los pronunciamientos de nulidad e inconstitucionalidad a preceptos no impugnados (art. 39.1 LOTC), pero ello es prerrogativa de este tribunal sin que pueda ser objeto de pretensión de parte (por todas, SSTC 81/2003, de 30 de abril, FJ 7, y 126/2008, de 27 de octubre, FJ 1)” (STC 68/2018, de 21 de junio, FJ 2). Por lo tanto, sin perjuicio de que, llegado el caso, este tribunal pueda hacer uso de la facultad prevista en el art. 39.1 LOTC, la disposición transitoria primera debe quedar fuera de nuestro enjuiciamiento.</w:t>
      </w:r>
    </w:p>
    <w:p w14:paraId="01A2E522" w14:textId="77777777" w:rsidR="009D7677" w:rsidRDefault="009D7677" w:rsidP="009D7677">
      <w:pPr>
        <w:pStyle w:val="TextoNormal"/>
      </w:pPr>
    </w:p>
    <w:p w14:paraId="49AC7A00" w14:textId="77777777" w:rsidR="009D7677" w:rsidRDefault="009D7677" w:rsidP="009D7677">
      <w:pPr>
        <w:pStyle w:val="TextoNormal"/>
      </w:pPr>
      <w:r>
        <w:t>b) El letrado de la Xunta de Galicia ha puesto de manifiesto que, aunque el recurso se dirige formalmente contra los arts. 10 y 11 de la Ley del Parlamento de Galicia 7/2022, el recurso debe quedar limitado únicamente al párrafo primero del apartado 1 del art. 10 y al inciso final del art. 11, que es a los únicos a los que se refieren los motivos de impugnación desarrollados en el recurso de inconstitucionalidad.</w:t>
      </w:r>
    </w:p>
    <w:p w14:paraId="0CCABA6D" w14:textId="77777777" w:rsidR="009D7677" w:rsidRDefault="009D7677" w:rsidP="009D7677">
      <w:pPr>
        <w:pStyle w:val="TextoNormal"/>
      </w:pPr>
    </w:p>
    <w:p w14:paraId="4756B85F" w14:textId="77777777" w:rsidR="009D7677" w:rsidRDefault="009D7677" w:rsidP="009D7677">
      <w:pPr>
        <w:pStyle w:val="TextoNormal"/>
      </w:pPr>
      <w:r>
        <w:t>(i) A este respecto, la STC 68/2021, de 18 de marzo, FJ 2 B), con cita de la STC 87/2017, de 4 de julio, FJ 2, señaló que “nuestro pronunciamiento debe centrarse en los aspectos señalados en la demanda ‘sin que este tribunal pueda entrar en aquellos sobre los que el recurso, no solo carece de una argumentación suficiente que permita desvirtuar la presunción de validez de las leyes aprobadas’ (STC 237/2007, de 8 de noviembre, FJ 3), sino que, además, ‘exceden de la pretensión planteada’ (STC 8/2013, de 17 de enero, FJ 2). En efecto, ‘cuando lo que está en juego es la depuración del ordenamiento jurídico, es carga de los recurrentes no solo la de abrir la vía para que el tribunal pueda pronunciarse, sino también la de colaborar con la justicia del tribunal en un pormenorizado análisis de las graves cuestiones que se suscitan. Es justo, pues, hablar […] de una carga del recurrente y en los casos en que aquella no se observe, de una falta de diligencia procesalmente exigible, que es la diligencia de ofrecer la fundamentación que razonablemente es de esperar (STC 11/1981, de 8 de abril, FJ 3, reiterada en las SSTC 43/1996, de 14 de marzo, FJ 3; 36/1994, de 10 de febrero, FJ 1, y 61/1997, de 20 de marzo, FJ 13). Ello supone que no debe estimarse una pretensión que solo descansa en la mera aseveración genérica, huérfana de toda argumentación, de una supuesta afectación de títulos competenciales’ [STC 22/2012, de 16 de febrero, FJ 2 b)]”. Por esta razón y de la misma manera, este tribunal ha venido advirtiendo aquellos casos en los que “recurriéndose formalmente el precepto entero, la impugnación, en realidad, no se extiende a la totalidad del precepto legal, sino que se limita a algunos de sus apartados, párrafos o incisos” [por todas, STC 25/2024, de 13 de febrero, FJ 2 c)].</w:t>
      </w:r>
    </w:p>
    <w:p w14:paraId="490A110A" w14:textId="77777777" w:rsidR="009D7677" w:rsidRDefault="009D7677" w:rsidP="009D7677">
      <w:pPr>
        <w:pStyle w:val="TextoNormal"/>
      </w:pPr>
    </w:p>
    <w:p w14:paraId="4AD84E53" w14:textId="77777777" w:rsidR="009D7677" w:rsidRDefault="009D7677" w:rsidP="009D7677">
      <w:pPr>
        <w:pStyle w:val="TextoNormal"/>
      </w:pPr>
      <w:r>
        <w:lastRenderedPageBreak/>
        <w:t>(ii) En relación con el art. 10, como advierte el letrado de la Xunta de Galicia, aunque el recurso de inconstitucionalidad se dirige formalmente contra el precepto en su totalidad, la argumentación del motivo de impugnación únicamente se dirige contra “el establecimiento por la comunidad autónoma gallega […] de un plazo de prescripción de la acción para imponer la reposición de la legalidad en la zona de servidumbre de protección”. Esta previsión se encuentra contenida en el párrafo primero del art. 10.1. Nada se razona específicamente respecto de la fijación de la fecha de terminación de las obras a los efectos del cómputo del controvertido plazo de prescripción (párrafo segundo del art. 10.1 y art. 10.3) ni de la determinación del régimen jurídico a que quedan sujetas las obras ilegalmente ejecutadas en la zona de servidumbre de protección una vez transcurrido el plazo de prescripción (art. 10.2), razón por la cual nuestro enjuiciamiento ha de limitarse a lo dispuesto en el párrafo primero del art. 10.1.</w:t>
      </w:r>
    </w:p>
    <w:p w14:paraId="5C10E008" w14:textId="77777777" w:rsidR="009D7677" w:rsidRDefault="009D7677" w:rsidP="009D7677">
      <w:pPr>
        <w:pStyle w:val="TextoNormal"/>
      </w:pPr>
    </w:p>
    <w:p w14:paraId="77C97D9F" w14:textId="1EE71717" w:rsidR="009D7677" w:rsidRDefault="009D7677" w:rsidP="009D7677">
      <w:pPr>
        <w:pStyle w:val="TextoNormal"/>
      </w:pPr>
      <w:r>
        <w:t>(iii) Por el contrario, por lo que hace al art. 11, este tribunal no comparte la tesis del letrado de la Xunta de Galicia. Como ha quedado expuesto, el art. 11 se impugna, entre otras razones, por reproducir de manera improcedente el contenido del art. 95.1 LC, invadiendo supuestamente las competencias estatales. De concurrir esta circunstancia, afectaría a la redacción del precepto entero y no únicamente al inciso final del mismo. En consecuencia, nuestro examen ha de extenderse al art. 11 en su totalidad.</w:t>
      </w:r>
    </w:p>
    <w:p w14:paraId="5F448DEB" w14:textId="77777777" w:rsidR="009D7677" w:rsidRDefault="009D7677" w:rsidP="009D7677">
      <w:pPr>
        <w:pStyle w:val="TextoNormal"/>
      </w:pPr>
    </w:p>
    <w:p w14:paraId="63DB3A3F" w14:textId="77777777" w:rsidR="009D7677" w:rsidRDefault="009D7677" w:rsidP="009D7677">
      <w:pPr>
        <w:pStyle w:val="TextoNormal"/>
      </w:pPr>
      <w:r w:rsidRPr="009D7677">
        <w:rPr>
          <w:rStyle w:val="NumeroAFNegritaCaracter"/>
        </w:rPr>
        <w:t>3</w:t>
      </w:r>
      <w:r>
        <w:t xml:space="preserve">. </w:t>
      </w:r>
      <w:r w:rsidRPr="009D7677">
        <w:rPr>
          <w:i/>
        </w:rPr>
        <w:t>Encuadre material y distribución competencial: la distribución de competencias sobre la zona de servidumbre de protección del dominio público marítimo-terrestre</w:t>
      </w:r>
    </w:p>
    <w:p w14:paraId="4D5781E2" w14:textId="77777777" w:rsidR="009D7677" w:rsidRDefault="009D7677" w:rsidP="009D7677">
      <w:pPr>
        <w:pStyle w:val="TextoNormal"/>
      </w:pPr>
    </w:p>
    <w:p w14:paraId="070D68D0" w14:textId="77777777" w:rsidR="009D7677" w:rsidRDefault="009D7677" w:rsidP="009D7677">
      <w:pPr>
        <w:pStyle w:val="TextoNormal"/>
      </w:pPr>
      <w:r>
        <w:t>La controversia planteada en este proceso es exclusivamente competencial, por lo que debe comenzar por determinar la materia en la que se encuadra y cómo se distribuyen las competencias sobre ella.</w:t>
      </w:r>
    </w:p>
    <w:p w14:paraId="0513748D" w14:textId="77777777" w:rsidR="009D7677" w:rsidRDefault="009D7677" w:rsidP="009D7677">
      <w:pPr>
        <w:pStyle w:val="TextoNormal"/>
      </w:pPr>
    </w:p>
    <w:p w14:paraId="74579FA5" w14:textId="77777777" w:rsidR="009D7677" w:rsidRDefault="009D7677" w:rsidP="009D7677">
      <w:pPr>
        <w:pStyle w:val="TextoNormal"/>
      </w:pPr>
      <w:r>
        <w:t>En este sentido, debe recordarse que el encuadramiento competencial ha de efectuarse atendiendo al específico contenido, sentido y finalidad de la norma examinada [SSTC 26/2016, de 18 de febrero, FJ 6; 21/2017, de 2 de febrero, FJ 2, y 19/2024, de 31 de enero, FJ 3 a)], sin que el Tribunal esté vinculado por las incardinaciones competenciales contenidas en las normas sometidas a su enjuiciamiento, ni tampoco por el encuadramiento competencial que realicen las partes en el proceso [SSTC 18/2016, de 4 de febrero, FJ 10; 133/2022, de 25 de octubre, FJ 3, y 19/2024, FJ 3 a)].</w:t>
      </w:r>
    </w:p>
    <w:p w14:paraId="3C387EB0" w14:textId="77777777" w:rsidR="009D7677" w:rsidRDefault="009D7677" w:rsidP="009D7677">
      <w:pPr>
        <w:pStyle w:val="TextoNormal"/>
      </w:pPr>
    </w:p>
    <w:p w14:paraId="3043D7C8" w14:textId="77777777" w:rsidR="009D7677" w:rsidRDefault="009D7677" w:rsidP="009D7677">
      <w:pPr>
        <w:pStyle w:val="TextoNormal"/>
      </w:pPr>
      <w:r>
        <w:t>a) El art. 10.1, párrafo primero, establece el plazo para imponer la obligación de restitución de las cosas y reposición a su estado anterior en el caso de obras y actuaciones contrarias a lo dispuesto en la legislación en materia de costas realizadas en la zona de servidumbre de protección del dominio público marítimo-terrestre. Por su parte, el art. 11 regula el plazo dentro del cual puede exigirse el cumplimiento de dicha obligación, una vez que la misma ya ha sido declarada en virtud de resolución administrativa. Se trata de preceptos que regulan cuestiones distintas —la imposición de la obligación de reposición de la legalidad y la exigibilidad de su cumplimiento o su ejecución una vez impuesta— pero indudablemente relacionadas entre sí, puesto que en ambos casos nos encontramos ante disposiciones que se refieren a los mecanismos previstos para asegurar la efectividad y el cumplimiento de las limitaciones de uso y las prohibiciones a que la legislación de costas, a través de la figura de la servidumbre de protección, sujeta los terrenos de propiedad privada colindantes con el dominio público marítimo-terrestre.</w:t>
      </w:r>
    </w:p>
    <w:p w14:paraId="396B8C37" w14:textId="77777777" w:rsidR="009D7677" w:rsidRDefault="009D7677" w:rsidP="009D7677">
      <w:pPr>
        <w:pStyle w:val="TextoNormal"/>
      </w:pPr>
    </w:p>
    <w:p w14:paraId="75183446" w14:textId="77777777" w:rsidR="009D7677" w:rsidRDefault="009D7677" w:rsidP="009D7677">
      <w:pPr>
        <w:pStyle w:val="TextoNormal"/>
      </w:pPr>
      <w:r>
        <w:t>b) Este tribunal ha tenido ocasión de pronunciarse acerca de la distribución competencial entre el Estado y las comunidades autónomas sobre la zona de servidumbre de protección del dominio público marítimo-terrestre.</w:t>
      </w:r>
    </w:p>
    <w:p w14:paraId="065629CE" w14:textId="77777777" w:rsidR="009D7677" w:rsidRDefault="009D7677" w:rsidP="009D7677">
      <w:pPr>
        <w:pStyle w:val="TextoNormal"/>
      </w:pPr>
    </w:p>
    <w:p w14:paraId="10D335CE" w14:textId="77777777" w:rsidR="009D7677" w:rsidRDefault="009D7677" w:rsidP="009D7677">
      <w:pPr>
        <w:pStyle w:val="TextoNormal"/>
      </w:pPr>
      <w:r>
        <w:t>En particular, en la STC 87/2012, de 18 de abril, FJ 4, con cita de la STC 149/1991, de 4 de julio, FFJJ 1 d) y 3 b), este tribunal explicó que el legislador estatal viene obligado a “proteger el demanio marítimo-terrestre, a fin de asegurar tanto el mantenimiento de su integridad física y jurídica, como su uso público y sus valores paisajísticos (tal y como exigiría el propio art. 45 CE). Y ello en el bien entendido de que tales finalidades no pueden alcanzarse sin limitar o condicionar de algún modo las utilizaciones del propio demanio, así como el uso que de los terrenos colindantes con él puedan hacer sus propietarios”. Continuó razonando este tribunal que esta operación consistente en la limitación de los usos de los terrenos colindantes con el dominio público marítimo-terrestre “supone, sin duda, incidir sobre la competencia autonómica para la ordenación del territorio, incidencia cuya legitimidad solo puede deducirse, en lo que hace a los terrenos colindantes, de unos títulos estatales distintos al que se deriva de la propia titularidad estatal del demanio: el contenido en el art. 149.1.1 CE y el que se extrae de la regla 23 del mismo artículo. El primero faculta al Estado para regular las condiciones básicas de la propiedad sobre los terrenos colindantes con la zona marítimo-terrestre, asegurando la igualdad básica de todos los españoles en el ejercicio de un derecho que se ve inevitablemente condicionado por la imposición de servidumbres o limitaciones para asegurar la integridad física y la accesibilidad de la zona marítimo-terrestre, sin que, por ello, se excluya la posibilidad de que, a través de los correspondientes instrumentos de ordenación, las comunidades autónomas condicionen adicionalmente el uso que a esos terrenos puede darse. El segundo, derivado del art. 149.1.23 CE, permite al Estado establecer limitaciones en el uso de los terrenos colindantes con el demanio marítimo-terrestre como contenido de la legislación básica sobre medio ambiente por él aprobada, sin perjuicio de que las comunidades autónomas puedan aprobar normas adicionales de protección”. Señalado esto, continuamos afirmando entonces que “es evidente que la protección de los bienes que integran este dominio, la preservación de sus características propias y el aseguramiento del libre acceso público a ellas no puede alcanzarse si no es dictando una legislación básica para la protección del medio ambiente y limitando, de uno u otro modo, la libre disponibilidad sobre los terrenos colindantes, una limitación que, por lo demás, solo el Estado puede imponer de modo general (art. 149.1.8 CE), garantizando al tiempo la igualdad básica de todos los españoles que posean fundos en esos terrenos”.</w:t>
      </w:r>
    </w:p>
    <w:p w14:paraId="204C58B6" w14:textId="77777777" w:rsidR="009D7677" w:rsidRDefault="009D7677" w:rsidP="009D7677">
      <w:pPr>
        <w:pStyle w:val="TextoNormal"/>
      </w:pPr>
    </w:p>
    <w:p w14:paraId="4AF58476" w14:textId="77777777" w:rsidR="009D7677" w:rsidRDefault="009D7677" w:rsidP="009D7677">
      <w:pPr>
        <w:pStyle w:val="TextoNormal"/>
      </w:pPr>
      <w:r>
        <w:t xml:space="preserve">Sobre la base de este planteamiento, concluyó la referida STC 87/2012, FJ 4, que “[n]o existe, en definitiva, duda alguna, a la luz de la doctrina constitucional recién glosada, de que el Estado ejerce una competencia propia, </w:t>
      </w:r>
      <w:r w:rsidRPr="009D7677">
        <w:rPr>
          <w:i/>
        </w:rPr>
        <w:t>ex</w:t>
      </w:r>
      <w:r>
        <w:t xml:space="preserve"> art. 149.1.23 CE, y, de forma conexa, </w:t>
      </w:r>
      <w:r w:rsidRPr="009D7677">
        <w:rPr>
          <w:i/>
        </w:rPr>
        <w:t>ex</w:t>
      </w:r>
      <w:r>
        <w:t xml:space="preserve"> art. 149.1.1 CE, para establecer servidumbres y limitaciones en los terrenos colindantes con el dominio público marítimo-terrestre —y, entre ellas, la servidumbre de protección— a los efectos de garantizar la protección y defensa de sus condiciones medioambientales, y ello sin perjuicio alguno de las competencias autonómicas para la ordenación del territorio y el urbanismo, que no se ven desconocidas por aquella regulación. Lo que sirve tanto para el régimen establecido con vocación de futuro en la legislación de costas como para el régimen transitorio. En estos términos, solo al Estado compete, en efecto, el establecimiento de tales servidumbres y limitaciones y, por ende, la precisión de su alcance y con</w:t>
      </w:r>
      <w:r>
        <w:lastRenderedPageBreak/>
        <w:t>tenido”. Esta conclusión, calificada entonces como “crucial” por este tribunal, vino a reiterarse en la STC 137/2012, de 19 de junio, FJ 2.</w:t>
      </w:r>
    </w:p>
    <w:p w14:paraId="17B63146" w14:textId="77777777" w:rsidR="009D7677" w:rsidRDefault="009D7677" w:rsidP="009D7677">
      <w:pPr>
        <w:pStyle w:val="TextoNormal"/>
      </w:pPr>
    </w:p>
    <w:p w14:paraId="3C66CF7C" w14:textId="438CF9B6" w:rsidR="009D7677" w:rsidRDefault="009D7677" w:rsidP="009D7677">
      <w:pPr>
        <w:pStyle w:val="TextoNormal"/>
      </w:pPr>
      <w:r>
        <w:t>A partir de estas premisas se han de analizar los preceptos impugnados.</w:t>
      </w:r>
    </w:p>
    <w:p w14:paraId="4FAD0627" w14:textId="77777777" w:rsidR="009D7677" w:rsidRDefault="009D7677" w:rsidP="009D7677">
      <w:pPr>
        <w:pStyle w:val="TextoNormal"/>
      </w:pPr>
    </w:p>
    <w:p w14:paraId="2FE24B67" w14:textId="77777777" w:rsidR="009D7677" w:rsidRDefault="009D7677" w:rsidP="009D7677">
      <w:pPr>
        <w:pStyle w:val="TextoNormal"/>
      </w:pPr>
      <w:r w:rsidRPr="009D7677">
        <w:rPr>
          <w:rStyle w:val="NumeroAFNegritaCaracter"/>
        </w:rPr>
        <w:t>4</w:t>
      </w:r>
      <w:r>
        <w:t xml:space="preserve">. </w:t>
      </w:r>
      <w:r w:rsidRPr="009D7677">
        <w:rPr>
          <w:i/>
        </w:rPr>
        <w:t>Examen de la impugnación del art. 10.1, párrafo primero, de la Ley del Parlamento de Galicia 7/2022: estimación</w:t>
      </w:r>
    </w:p>
    <w:p w14:paraId="45D4C26F" w14:textId="77777777" w:rsidR="009D7677" w:rsidRDefault="009D7677" w:rsidP="009D7677">
      <w:pPr>
        <w:pStyle w:val="TextoNormal"/>
      </w:pPr>
    </w:p>
    <w:p w14:paraId="5375E6B8" w14:textId="77777777" w:rsidR="009D7677" w:rsidRDefault="009D7677" w:rsidP="009D7677">
      <w:pPr>
        <w:pStyle w:val="TextoNormal"/>
      </w:pPr>
      <w:r>
        <w:t>El primero de los preceptos impugnados establece que la acción de la administración competente para imponer la obligación de restitución de las cosas y reposición a su estado anterior frente a las obras y actuaciones ilegales realizadas en la zona de servidumbre de protección del dominio público marítimo-terrestre está sujeta a un plazo de quince años, a contar desde la terminación de las obras o actuaciones contrarias a la legalidad.</w:t>
      </w:r>
    </w:p>
    <w:p w14:paraId="23BF8E73" w14:textId="77777777" w:rsidR="009D7677" w:rsidRDefault="009D7677" w:rsidP="009D7677">
      <w:pPr>
        <w:pStyle w:val="TextoNormal"/>
      </w:pPr>
    </w:p>
    <w:p w14:paraId="551A1AA9" w14:textId="77777777" w:rsidR="009D7677" w:rsidRDefault="009D7677" w:rsidP="009D7677">
      <w:pPr>
        <w:pStyle w:val="TextoNormal"/>
      </w:pPr>
      <w:r>
        <w:t>Como acaba de exponerse en el fundamento jurídico precedente, solo al Estado compete el establecimiento de las servidumbres y limitaciones sobre los terrenos colindantes con el dominio público marítimo-terrestre —en este caso, a través de la delimitación de la zona de servidumbre de protección—, así como precisar su alcance y contenido. Por tanto, la cuestión que aquí ha de dilucidarse es si el apartado controvertido ha venido a establecer una regla que incide sobre la determinación del alcance y contenido de la referida servidumbre de protección, invadiendo con ello la competencia estatal.</w:t>
      </w:r>
    </w:p>
    <w:p w14:paraId="22C22AE6" w14:textId="77777777" w:rsidR="009D7677" w:rsidRDefault="009D7677" w:rsidP="009D7677">
      <w:pPr>
        <w:pStyle w:val="TextoNormal"/>
      </w:pPr>
    </w:p>
    <w:p w14:paraId="149C6900" w14:textId="77777777" w:rsidR="009D7677" w:rsidRDefault="009D7677" w:rsidP="009D7677">
      <w:pPr>
        <w:pStyle w:val="TextoNormal"/>
      </w:pPr>
      <w:r>
        <w:t>Dentro del alcance y contenido de la zona de servidumbre de protección deben entenderse comprendidas, tanto la delimitación de su extensión territorial (art. 23 LC) y de su contenido material concretado en las limitaciones de uso y las prohibiciones que pesan sobre la misma (arts. 24, 25 y 26 LC), como la vigencia o la eficacia temporal de tales limitaciones y prohibiciones y, con ello, la regulación del plazo de que disponen las autoridades competentes para exigir el cumplimiento y efectividad de las mismas.</w:t>
      </w:r>
    </w:p>
    <w:p w14:paraId="5264DDB0" w14:textId="77777777" w:rsidR="009D7677" w:rsidRDefault="009D7677" w:rsidP="009D7677">
      <w:pPr>
        <w:pStyle w:val="TextoNormal"/>
      </w:pPr>
    </w:p>
    <w:p w14:paraId="3F251544" w14:textId="77777777" w:rsidR="009D7677" w:rsidRDefault="009D7677" w:rsidP="009D7677">
      <w:pPr>
        <w:pStyle w:val="TextoNormal"/>
      </w:pPr>
      <w:r>
        <w:t>En este sentido, es cierto que la Ley de costas, tras la reforma operada por la Ley 2/2013, de 29 de mayo, de protección y uso sostenible del litoral y de modificación de la Ley 22/1988, de 28 de julio, de costas, ya no prevé expresamente que la restitución de las cosas y su reposición a su estado anterior pueda exigirse “cualquiera que sea el tiempo transcurrido”, como señalaba en su redacción originaria el art. 92 LC. No obstante, ello en modo alguno ha alterado la regulación de tales obligaciones, puesto que la Ley de costas sigue sin someter su declaración a ningún plazo.</w:t>
      </w:r>
    </w:p>
    <w:p w14:paraId="7B619EC5" w14:textId="77777777" w:rsidR="009D7677" w:rsidRDefault="009D7677" w:rsidP="009D7677">
      <w:pPr>
        <w:pStyle w:val="TextoNormal"/>
      </w:pPr>
    </w:p>
    <w:p w14:paraId="3C1100CD" w14:textId="77777777" w:rsidR="009D7677" w:rsidRDefault="009D7677" w:rsidP="009D7677">
      <w:pPr>
        <w:pStyle w:val="TextoNormal"/>
      </w:pPr>
      <w:r>
        <w:t xml:space="preserve">En efecto, en la actualidad el art. 92 LC regula los plazos de prescripción de las infracciones y de las sanciones previstas en la normativa de costas, pero ya no hace referencia alguna a esta obligación de reposición de la legalidad. Dicha obligación ya solo se contempla en el art. 95.1 LC, cuyo primer párrafo, que es el relevante a estos efectos, mantiene intacta su redacción originaria y es claro a la hora de desvincular la obligación de restitución de las cosas a su estado anterior de las consecuencias punitivas anudadas a la infracción, toda vez que la obligación de reposición de las cosas a la legalidad rige y puede imponerse “[s]in perjuicio de la sanción penal o administrativa que se imponga”. La consecuencia de todo ello es que el art. 95.1 LC ni imponía, antes de la reforma operada por la Ley 2/2013, ni impone ahora, tras dicha modificación normativa, plazo alguno para la imposición de tales obligaciones. Así lo ha entendido también la jurisprudencia de la Sala de </w:t>
      </w:r>
      <w:r>
        <w:lastRenderedPageBreak/>
        <w:t>lo Contencioso-Administrativo del Tribunal Supremo (por todas, SSTS núm. 1194/2018, de 11 de julio, recurso de casación núm. 953-2017, y núm. 1645/2020, de 2 de diciembre, recurso de casación núm. 7404-2019), invocada oportunamente en el recurso de inconstitucionalidad.</w:t>
      </w:r>
    </w:p>
    <w:p w14:paraId="2637381E" w14:textId="77777777" w:rsidR="009D7677" w:rsidRDefault="009D7677" w:rsidP="009D7677">
      <w:pPr>
        <w:pStyle w:val="TextoNormal"/>
      </w:pPr>
    </w:p>
    <w:p w14:paraId="6016F122" w14:textId="77777777" w:rsidR="009D7677" w:rsidRDefault="009D7677" w:rsidP="009D7677">
      <w:pPr>
        <w:pStyle w:val="TextoNormal"/>
      </w:pPr>
      <w:r>
        <w:t xml:space="preserve">Por otra parte, no puede este tribunal dejar de recordar que el art. 21.1 </w:t>
      </w:r>
      <w:r w:rsidRPr="009D7677">
        <w:rPr>
          <w:i/>
        </w:rPr>
        <w:t>in fine</w:t>
      </w:r>
      <w:r>
        <w:t xml:space="preserve"> LC, declarado básico en la STC 149/1991, FJ 3 B) a), establece que las servidumbres “serán imprescriptibles en todo caso”. Esta regla, por su ubicación sistemática, resulta aplicable a todas las servidumbres previstas en el título II de la Ley de costas y, dentro de estas, en lo que aquí interesa, también a la servidumbre de protección.</w:t>
      </w:r>
    </w:p>
    <w:p w14:paraId="4DB9F259" w14:textId="77777777" w:rsidR="009D7677" w:rsidRDefault="009D7677" w:rsidP="009D7677">
      <w:pPr>
        <w:pStyle w:val="TextoNormal"/>
      </w:pPr>
    </w:p>
    <w:p w14:paraId="26911C24" w14:textId="77777777" w:rsidR="009D7677" w:rsidRDefault="009D7677" w:rsidP="009D7677">
      <w:pPr>
        <w:pStyle w:val="TextoNormal"/>
      </w:pPr>
      <w:r>
        <w:t xml:space="preserve">El precepto autonómico, al regular un plazo cuya expiración impide a las autoridades competentes imponer la reposición de la legalidad en relación con las obras y actuaciones contrarias a las limitaciones y prohibiciones que rigen en la zona de servidumbre de protección, contraviene la regla de imprescriptibilidad prevista en el art. 21.1 LC, al permitir que, por el transcurso del tiempo, pierdan su eficacia y obligatoriedad las limitaciones que, para el uso y la ocupación de los terrenos colindantes con el dominio público marítimo-terrestre, se derivan de la regulación de la servidumbre de continua referencia. De esta manera, producida la prescripción de la potestad administrativa para imponer la obligación de reposición de la legalidad, los titulares de los terrenos colindantes con el dominio público marítimo-terrestre pasarían a poder ejercer su derecho de propiedad sobre los mismos como si estuvieran libres del gravamen que constituye la sujeción al régimen jurídico de la servidumbre de protección, generándose un efecto que en poco o en nada se diferencia del que obtendrían en el caso de ser posible —en ausencia de la regla del art. 21.1 </w:t>
      </w:r>
      <w:r w:rsidRPr="009D7677">
        <w:rPr>
          <w:i/>
        </w:rPr>
        <w:t>in fine</w:t>
      </w:r>
      <w:r>
        <w:t xml:space="preserve"> LC— la extinción de la servidumbre por prescripción derivada del no uso de la misma durante un determinado período de tiempo.</w:t>
      </w:r>
    </w:p>
    <w:p w14:paraId="72CDB47B" w14:textId="77777777" w:rsidR="009D7677" w:rsidRDefault="009D7677" w:rsidP="009D7677">
      <w:pPr>
        <w:pStyle w:val="TextoNormal"/>
      </w:pPr>
    </w:p>
    <w:p w14:paraId="2E50FC14" w14:textId="77777777" w:rsidR="009D7677" w:rsidRDefault="009D7677" w:rsidP="009D7677">
      <w:pPr>
        <w:pStyle w:val="TextoNormal"/>
      </w:pPr>
      <w:r>
        <w:t xml:space="preserve">Frente a ello, no puede aducirse que el precepto impugnado pueda hallar cobertura en la competencia autonómica para dictar normas adicionales sobre protección del medio ambiente (art. 27.30 del Estatuto de Autonomía para Galicia). La regulación de un plazo para el ejercicio de las acciones dirigidas a hacer valer las normas reguladoras de la servidumbre de protección más reducido que el que resulta de las previsiones de la legislación básica estatal, que no sujeta la acción para la reposición de la legalidad a plazo alguno, no otorga una mayor protección a los intereses medioambientales y paisajísticos del dominio público marítimo-terrestre, a cuya preservación se ordena precisamente la servidumbre de protección (art. 20 LC). Por el contrario, esta previsión supone una merma del régimen legal de protección de la zona de servidumbre, al introducir </w:t>
      </w:r>
      <w:r w:rsidRPr="009D7677">
        <w:rPr>
          <w:i/>
        </w:rPr>
        <w:t>ex novo</w:t>
      </w:r>
      <w:r>
        <w:t xml:space="preserve"> una regla cuya aplicación puede llegar a producir el efecto de impedir la actuación de la administración frente a obras y actuaciones ilegalmente ejecutadas sobre la referida franja de terreno.</w:t>
      </w:r>
    </w:p>
    <w:p w14:paraId="756B5153" w14:textId="77777777" w:rsidR="009D7677" w:rsidRDefault="009D7677" w:rsidP="009D7677">
      <w:pPr>
        <w:pStyle w:val="TextoNormal"/>
      </w:pPr>
    </w:p>
    <w:p w14:paraId="6DF70CF2" w14:textId="77777777" w:rsidR="009D7677" w:rsidRDefault="009D7677" w:rsidP="009D7677">
      <w:pPr>
        <w:pStyle w:val="TextoNormal"/>
      </w:pPr>
      <w:r>
        <w:t>Finalmente, carecen de virtualidad para enervar las consideraciones precedentes las alegaciones efectuadas por las representaciones procesales del Parlamento y de la Xunta de Galicia, que sostienen que el precepto impugnado tiene por finalidad garantizar la seguridad jurídica de los propietarios de los bienes inmuebles ubicados en la zona de servidumbre de protección, toda vez que el presente recurso de inconstitucionalidad únicamente tiene por objeto determinar si el precepto autonómico controvertido se ajusta al régimen constitucional de distribución de competencias.</w:t>
      </w:r>
    </w:p>
    <w:p w14:paraId="7B92C8AE" w14:textId="77777777" w:rsidR="009D7677" w:rsidRDefault="009D7677" w:rsidP="009D7677">
      <w:pPr>
        <w:pStyle w:val="TextoNormal"/>
      </w:pPr>
    </w:p>
    <w:p w14:paraId="7F942A70" w14:textId="77777777" w:rsidR="009D7677" w:rsidRDefault="009D7677" w:rsidP="009D7677">
      <w:pPr>
        <w:pStyle w:val="TextoNormal"/>
      </w:pPr>
      <w:r>
        <w:lastRenderedPageBreak/>
        <w:t>Por las razones expuestas, procede estimar la impugnación y, en consecuencia, declarar la inconstitucionalidad y nulidad del art. 10.1, primer párrafo, de la Ley del Parlamento de Galicia 7/2022, por infringir el orden constitucional de distribución de competencias.</w:t>
      </w:r>
    </w:p>
    <w:p w14:paraId="43137514" w14:textId="77777777" w:rsidR="009D7677" w:rsidRDefault="009D7677" w:rsidP="009D7677">
      <w:pPr>
        <w:pStyle w:val="TextoNormal"/>
      </w:pPr>
    </w:p>
    <w:p w14:paraId="7E68D470" w14:textId="6A72D7E9" w:rsidR="009D7677" w:rsidRDefault="009D7677" w:rsidP="009D7677">
      <w:pPr>
        <w:pStyle w:val="TextoNormal"/>
      </w:pPr>
      <w:r>
        <w:t>Una vez declarada la inconstitucionalidad del art. 10.1, primer párrafo, de la Ley 7/2022, al amparo de la prerrogativa prevista en el art. 39.1 LOTC igualmente han de declararse inconstitucionales por conexión los arts. 10.1, segundo párrafo, 10.2 y 10.3 y el apartado 1 de la disposición transitoria primera de la misma ley autonómica. Ello ha de ser así porque, una vez declarada la inconstitucionalidad y nulidad de la regulación autonómica de un plazo para el ejercicio de la acción de reposición de la legalidad en la zona de servidumbre de protección del dominio público marítimo-terrestre, quedan despojados de sentido y de finalidad práctica las disposiciones que en dichos artículos se contienen relativas a las reglas para determinar la fecha de terminación de las obras a los efectos del cómputo del plazo (art. 10.1, párrafo segundo, y art. 10.3), el régimen jurídico a que quedan sujetas las obras ilegalmente ejecutadas en la zona de servidumbre de protección una vez transcurrido dicho plazo (art. 10.2) y la aplicación retroactiva de lo previsto en el art. 10 a las obras, actuaciones y construcciones existentes en el momento de la entrada en vigor de la Ley del Parlamento de Galicia 7/2022 (disposición transitoria primera, apartado 1).</w:t>
      </w:r>
    </w:p>
    <w:p w14:paraId="59D33A12" w14:textId="77777777" w:rsidR="009D7677" w:rsidRDefault="009D7677" w:rsidP="009D7677">
      <w:pPr>
        <w:pStyle w:val="TextoNormal"/>
      </w:pPr>
    </w:p>
    <w:p w14:paraId="44648A7B" w14:textId="77777777" w:rsidR="009D7677" w:rsidRDefault="009D7677" w:rsidP="009D7677">
      <w:pPr>
        <w:pStyle w:val="TextoNormal"/>
      </w:pPr>
      <w:r w:rsidRPr="009D7677">
        <w:rPr>
          <w:rStyle w:val="NumeroAFNegritaCaracter"/>
        </w:rPr>
        <w:t>5</w:t>
      </w:r>
      <w:r>
        <w:t xml:space="preserve">. </w:t>
      </w:r>
      <w:r w:rsidRPr="009D7677">
        <w:rPr>
          <w:i/>
        </w:rPr>
        <w:t>Examen de la impugnación del art. 11 de la Ley del Parlamento de Galicia 7/2022: estimación</w:t>
      </w:r>
    </w:p>
    <w:p w14:paraId="7D878245" w14:textId="77777777" w:rsidR="009D7677" w:rsidRDefault="009D7677" w:rsidP="009D7677">
      <w:pPr>
        <w:pStyle w:val="TextoNormal"/>
      </w:pPr>
    </w:p>
    <w:p w14:paraId="1E6043AA" w14:textId="77777777" w:rsidR="009D7677" w:rsidRDefault="009D7677" w:rsidP="009D7677">
      <w:pPr>
        <w:pStyle w:val="TextoNormal"/>
      </w:pPr>
      <w:r>
        <w:t>a) Como con más detalle ha quedado expuesto en los antecedentes, el art. 11 de la Ley del Parlamento de Galicia 7/2022 se impugna, esencialmente, por reproducir lo dispuesto en el art. 95.1 LC, careciendo la comunidad autónoma de competencia para ello. A dicho motivo de impugnación se oponen las representaciones procesales del Parlamento y de la Xunta de Galicia, alegando que la reiteración de la norma estatal sirve para dar coherencia y facilitar la comprensión del precepto autonómico y que, en todo caso, no contradice sino que reafirma el criterio seguido en la Ley de costas.</w:t>
      </w:r>
    </w:p>
    <w:p w14:paraId="0F25D000" w14:textId="77777777" w:rsidR="009D7677" w:rsidRDefault="009D7677" w:rsidP="009D7677">
      <w:pPr>
        <w:pStyle w:val="TextoNormal"/>
      </w:pPr>
    </w:p>
    <w:p w14:paraId="34933C8B" w14:textId="77777777" w:rsidR="009D7677" w:rsidRDefault="009D7677" w:rsidP="009D7677">
      <w:pPr>
        <w:pStyle w:val="TextoNormal"/>
      </w:pPr>
      <w:r>
        <w:t xml:space="preserve">b) La doctrina constitucional de la </w:t>
      </w:r>
      <w:r w:rsidRPr="009D7677">
        <w:rPr>
          <w:i/>
        </w:rPr>
        <w:t>lex repetita</w:t>
      </w:r>
      <w:r>
        <w:t xml:space="preserve"> distingue dos supuestos de reiteración autonómica de normas estatales en función de la exclusividad o no de la competencia estatal sobre la materia de la norma transcrita, que han quedado expuestos en la STC 65/2020, de 18 de junio, FJ 8 D) a):</w:t>
      </w:r>
    </w:p>
    <w:p w14:paraId="344F6F94" w14:textId="77777777" w:rsidR="009D7677" w:rsidRDefault="009D7677" w:rsidP="009D7677">
      <w:pPr>
        <w:pStyle w:val="TextoNormal"/>
      </w:pPr>
    </w:p>
    <w:p w14:paraId="0862DBE5" w14:textId="77777777" w:rsidR="009D7677" w:rsidRDefault="009D7677" w:rsidP="009D7677">
      <w:pPr>
        <w:pStyle w:val="TextoNormal"/>
      </w:pPr>
      <w:r>
        <w:t>(i) En el primer supuesto, en el que la reproducción se concreta en normas relativas a materias en las que la comunidad autónoma carece de competencias, “la falta de habilitación autonómica debe conducirnos”, como regla general, “a declarar la inconstitucionalidad de la norma que transcribe la norma estatal, salvo supuestos excepcionales, como el aludido en la STC 47/2004, de 25 de marzo”, sobre repetición de normas estatales procesales [art. 149.1.6 CE; por todas, SSTC 341/2005, de 21 de diciembre, FJ 9, y 51/2019, de 11 de abril, FJ 6 a)].</w:t>
      </w:r>
    </w:p>
    <w:p w14:paraId="6B9E7E9C" w14:textId="77777777" w:rsidR="009D7677" w:rsidRDefault="009D7677" w:rsidP="009D7677">
      <w:pPr>
        <w:pStyle w:val="TextoNormal"/>
      </w:pPr>
    </w:p>
    <w:p w14:paraId="263C05EE" w14:textId="77777777" w:rsidR="009D7677" w:rsidRDefault="009D7677" w:rsidP="009D7677">
      <w:pPr>
        <w:pStyle w:val="TextoNormal"/>
      </w:pPr>
      <w:r>
        <w:t xml:space="preserve">Un precepto autonómico será inconstitucional por invasión competencial siempre que regule cuestiones que le están vedadas, con independencia de la compatibilidad o incompatibilidad entre la regulación autonómica controvertida y la dictada por el Estado, dado que en virtud de la doctrina sobre la </w:t>
      </w:r>
      <w:r w:rsidRPr="009D7677">
        <w:rPr>
          <w:i/>
        </w:rPr>
        <w:t>lex repetita</w:t>
      </w:r>
      <w:r>
        <w:t xml:space="preserve"> al legislador autonómico le está prohibido </w:t>
      </w:r>
      <w:r>
        <w:lastRenderedPageBreak/>
        <w:t>reproducir la legislación estatal que responde a sus competencias exclusivas. “Y, con mayor razón, le está vedado parafrasear, completar, alterar, desarrollar, o de cualquiera otra manera directa o indirecta incidir en la regulación de materias que no forman parte de su acervo competencial” [por todas, SSTC 54/2018, de 24 de mayo, FJ 6 c), y 13/2019, de 31 de enero, FJ 2]. Así lo ha declarado este tribunal en materias de inequívoca competencia exclusiva estatal: (i) sobre legislación civil (art. 149.1.6 CE), tanto en supuestos en que las comunidades autónomas carecen de Derecho civil foral [SSTC 150/1998, de 2 de julio, FJ 4, o 341/2005, de 21 de diciembre, FJ 10 d)] como en supuestos relativos a las materias que “en todo caso” competen en exclusiva al Estado [SSTC 71/1982, de 30 de noviembre, FJ 19; 14/1986, de 31 de enero, FFJJ 5 y 6, y 61/1992, de 23 de abril, FJ 4 b)]; (ii) sobre legislación penal del art. 149.1.6 CE (STC 162/1996, de 17 de octubre, FJ 3); (iii) sobre legislación laboral del art. 149.1.7 CE (STC 159/2016, de 22 de septiembre, FFJJ 3 y 4); y (iv) sobre seguridad pública del art. 149.1.29 CE (STC 172/2013, de 10 de octubre, FJ 5).</w:t>
      </w:r>
    </w:p>
    <w:p w14:paraId="3D0D7492" w14:textId="77777777" w:rsidR="009D7677" w:rsidRDefault="009D7677" w:rsidP="009D7677">
      <w:pPr>
        <w:pStyle w:val="TextoNormal"/>
      </w:pPr>
    </w:p>
    <w:p w14:paraId="37E1F8F3" w14:textId="77777777" w:rsidR="009D7677" w:rsidRDefault="009D7677" w:rsidP="009D7677">
      <w:pPr>
        <w:pStyle w:val="TextoNormal"/>
      </w:pPr>
      <w:r>
        <w:t xml:space="preserve">(ii) El segundo supuesto de </w:t>
      </w:r>
      <w:r w:rsidRPr="009D7677">
        <w:rPr>
          <w:i/>
        </w:rPr>
        <w:t>lex repetita</w:t>
      </w:r>
      <w:r>
        <w:t xml:space="preserve"> que distingue la doctrina constitucional (STC 341/2005, FJ 9) se produce cuando la norma reproducida y la que reproduce se encuadran en una materia sobre la que ostentan competencias tanto el Estado como la comunidad autónoma, generalmente preceptos básicos estatales reproducidos por normas autonómicas. En este supuesto “la consecuencia no será siempre la inconstitucionalidad, sino que habrá que estar a los efectos que tal reproducción pueda producir en el caso concreto” (FJ 9). Así, según sintetiza la STC 51/2019, tal reiteración, para ser admisible desde el punto de vista constitucional, deberá dar satisfacción a dos condiciones: que la reproducción de las bases estatales tenga como finalidad hacer más comprensible el desarrollo normativo que realiza la comunidad autónoma en ejercicio de sus competencias propias y que la reproducción de la normativa básica sea fiel y no incurra en alteraciones más o menos subrepticias de la misma [FJ 6 a)].</w:t>
      </w:r>
    </w:p>
    <w:p w14:paraId="06F1EF54" w14:textId="77777777" w:rsidR="009D7677" w:rsidRDefault="009D7677" w:rsidP="009D7677">
      <w:pPr>
        <w:pStyle w:val="TextoNormal"/>
      </w:pPr>
    </w:p>
    <w:p w14:paraId="4782684C" w14:textId="77777777" w:rsidR="009D7677" w:rsidRDefault="009D7677" w:rsidP="009D7677">
      <w:pPr>
        <w:pStyle w:val="TextoNormal"/>
      </w:pPr>
      <w:r>
        <w:t>c) De acuerdo con el encuadramiento competencial de la materia a la que se refiere el precepto impugnado (</w:t>
      </w:r>
      <w:r w:rsidRPr="009D7677">
        <w:rPr>
          <w:i/>
        </w:rPr>
        <w:t>supra</w:t>
      </w:r>
      <w:r>
        <w:t>, FJ 3), es claro que nos encontramos en el segundo de los supuestos definidos por la doctrina constitucional, toda vez que el Estado, al establecer las limitaciones y servidumbres en los terrenos colindantes con el dominio público marítimo-terrestre y precisar su alcance y contenido, ejerce su competencia para dictar la legislación básica sobre protección del medio ambiente (art. 149.1.23 CE), sin perjuicio de la competencia autonómica para dictar normas adicionales de protección del medioambiente (arts. 149.1.23 CE y 27.30 del Estatuto de Autonomía para Galicia).</w:t>
      </w:r>
    </w:p>
    <w:p w14:paraId="11876E8C" w14:textId="77777777" w:rsidR="009D7677" w:rsidRDefault="009D7677" w:rsidP="009D7677">
      <w:pPr>
        <w:pStyle w:val="TextoNormal"/>
      </w:pPr>
    </w:p>
    <w:p w14:paraId="755FEADC" w14:textId="77777777" w:rsidR="009D7677" w:rsidRDefault="009D7677" w:rsidP="009D7677">
      <w:pPr>
        <w:pStyle w:val="TextoNormal"/>
      </w:pPr>
      <w:r>
        <w:t>Sentado lo anterior, este tribunal estima que, en el caso del art. 11 de la Ley del Parlamento de Galicia 7/2022, no se dan las circunstancias para que la reproducción de la normativa estatal básica por parte del precepto autonómico pueda considerarse constitucionalmente admisible con arreglo a la doctrina expuesta, y ello por las razones siguientes.</w:t>
      </w:r>
    </w:p>
    <w:p w14:paraId="59412AFE" w14:textId="77777777" w:rsidR="009D7677" w:rsidRDefault="009D7677" w:rsidP="009D7677">
      <w:pPr>
        <w:pStyle w:val="TextoNormal"/>
      </w:pPr>
    </w:p>
    <w:p w14:paraId="0F1CF9C4" w14:textId="77777777" w:rsidR="009D7677" w:rsidRDefault="009D7677" w:rsidP="009D7677">
      <w:pPr>
        <w:pStyle w:val="TextoNormal"/>
      </w:pPr>
      <w:r>
        <w:t>(i) Frente a las alegaciones del Parlamento y de la Xunta de Galicia, no puede sostenerse que la reproducción en el precepto autonómico impugnado del contenido de la regla prevista en el art. 95.1, segundo párrafo, LC tenga por objetivo facilitar la mejor comprensión del desarrollo normativo efectuado por el legislador autonómico. La simple lectura del precepto impugnado pone de manifiesto que su contenido se limita a la regulación de la prescripción de la obligación de restitución o reposición de la legalidad en los casos en los que las infracciones de la normativa de costas se hubieran cometido en la zona de ser</w:t>
      </w:r>
      <w:r>
        <w:lastRenderedPageBreak/>
        <w:t>vidumbre de protección, cuestión esta de carácter básico y que compete regular al legislador estatal, sin que ni en el precepto impugnado ni en el resto de disposiciones contenidas en la Ley impugnada se haya introducido norma adicional alguna de protección del medio ambiente o de ordenación del territorio litoral para cuyo entendimiento fuera imprescindible la reiteración de la legislación estatal. En suma, la norma impugnada incumple el primero de los requisitos antes aludidos, toda vez que no tiene la finalidad instrumental o auxiliar de dotar de sentido o inteligibilidad al texto aprobado por el Parlamento de Galicia.</w:t>
      </w:r>
    </w:p>
    <w:p w14:paraId="4187862F" w14:textId="77777777" w:rsidR="009D7677" w:rsidRDefault="009D7677" w:rsidP="009D7677">
      <w:pPr>
        <w:pStyle w:val="TextoNormal"/>
      </w:pPr>
    </w:p>
    <w:p w14:paraId="470FA9E9" w14:textId="77777777" w:rsidR="009D7677" w:rsidRDefault="009D7677" w:rsidP="009D7677">
      <w:pPr>
        <w:pStyle w:val="TextoNormal"/>
      </w:pPr>
      <w:r>
        <w:t>(ii) Por otro lado, no puede dejar de ponerse de manifiesto que el art. 11 de la Ley del Parlamento de Galicia 7/2022 no efectúa una reproducción fiel de la legislación básica estatal. Antes al contrario, el precepto recurrido viene a completar la regla recogida en el art. 95.1 LC, concretando su aplicación a un supuesto no previsto expresamente en la normativa estatal —el caso en que el interesado interponga recurso en vía administrativa y la administración no dicte la resolución dentro del plazo legalmente establecido—. Con este modo de proceder, el legislador autonómico ha introducido una regla interpretativa de la legislación básica que no se corresponde con la única interpretación posible del art. 95.1 LC, ni tampoco es la que necesariamente se deriva de su tenor, sin que, más allá de esta consideración, corresponda a este tribunal inmiscuirse en la solución de problemas de legalidad ordinaria [STC 70/2018, FJ 10 (ii)].</w:t>
      </w:r>
    </w:p>
    <w:p w14:paraId="075CCC4C" w14:textId="77777777" w:rsidR="009D7677" w:rsidRDefault="009D7677" w:rsidP="009D7677">
      <w:pPr>
        <w:pStyle w:val="TextoNormal"/>
      </w:pPr>
    </w:p>
    <w:p w14:paraId="04090C4C" w14:textId="77777777" w:rsidR="009D7677" w:rsidRDefault="009D7677" w:rsidP="009D7677">
      <w:pPr>
        <w:pStyle w:val="TextoNormal"/>
      </w:pPr>
      <w:r>
        <w:t>Por lo expuesto, procede declarar la inconstitucionalidad y nulidad del precepto impugnado.</w:t>
      </w:r>
    </w:p>
    <w:p w14:paraId="5510EF11" w14:textId="77777777" w:rsidR="009D7677" w:rsidRDefault="009D7677" w:rsidP="009D7677">
      <w:pPr>
        <w:pStyle w:val="TextoNormal"/>
      </w:pPr>
    </w:p>
    <w:p w14:paraId="7D25618E" w14:textId="1FE94DC0" w:rsidR="009D7677" w:rsidRDefault="009D7677" w:rsidP="009D7677">
      <w:pPr>
        <w:pStyle w:val="TextoNormal"/>
      </w:pPr>
      <w:r>
        <w:t>d) Por último, de acuerdo con el art. 39.1 LOTC, por conexión con el art. 11, procede igualmente extender la declaración de inconstitucionalidad al apartado 2 de la disposición transitoria primera de la misma Ley pues tal previsión, en virtud de la cual lo dispuesto en el art. 11 resultaría también de aplicación a los procedimientos pendientes de ejecución en el momento de la entrada en vigor de la Ley del Parlamento de Galicia 7/2022, queda desprovista de contenido y utilidad práctica una vez declarada la inconstitucionalidad del precepto al que se efectúa la remisión.</w:t>
      </w:r>
    </w:p>
    <w:p w14:paraId="6214365E" w14:textId="77777777" w:rsidR="009D7677" w:rsidRDefault="009D7677" w:rsidP="009D7677">
      <w:pPr>
        <w:pStyle w:val="TextoNormal"/>
      </w:pPr>
    </w:p>
    <w:p w14:paraId="31A78384" w14:textId="77777777" w:rsidR="009D7677" w:rsidRDefault="009D7677" w:rsidP="009D7677">
      <w:pPr>
        <w:pStyle w:val="TextoNormal"/>
      </w:pPr>
      <w:r w:rsidRPr="009D7677">
        <w:rPr>
          <w:rStyle w:val="NumeroAFNegritaCaracter"/>
        </w:rPr>
        <w:t>6</w:t>
      </w:r>
      <w:r>
        <w:t xml:space="preserve">. </w:t>
      </w:r>
      <w:r w:rsidRPr="009D7677">
        <w:rPr>
          <w:i/>
        </w:rPr>
        <w:t>Conclusión</w:t>
      </w:r>
    </w:p>
    <w:p w14:paraId="31094DDD" w14:textId="77777777" w:rsidR="009D7677" w:rsidRDefault="009D7677" w:rsidP="009D7677">
      <w:pPr>
        <w:pStyle w:val="TextoNormal"/>
      </w:pPr>
    </w:p>
    <w:p w14:paraId="2D84F9D0" w14:textId="1AA7D03F" w:rsidR="009D7677" w:rsidRDefault="009D7677" w:rsidP="009D7677">
      <w:pPr>
        <w:pStyle w:val="TextoNormal"/>
      </w:pPr>
      <w:r>
        <w:t>De acuerdo con lo expuesto en los anteriores fundamentos jurídicos, este tribunal considera: (i) que los arts. 10.1, párrafo primero, y 11 de la Ley del Parlamento de Galicia 7/2022, son inconstitucionales y nulos por vulnerar el orden constitucional de distribución de competencias; y (ii) que esta declaración de inconstitucionalidad debe extenderse, por conexión o consecuencia, a los arts. 10.1, párrafo segundo, 10.2 y 10.3, así como a la disposición transitoria primera de la misma Ley.</w:t>
      </w:r>
    </w:p>
    <w:p w14:paraId="421A340E" w14:textId="77777777" w:rsidR="009D7677" w:rsidRDefault="009D7677" w:rsidP="009D7677">
      <w:pPr>
        <w:pStyle w:val="TextoNormal"/>
      </w:pPr>
    </w:p>
    <w:p w14:paraId="13C1285E" w14:textId="77777777" w:rsidR="009D7677" w:rsidRDefault="009D7677" w:rsidP="009D7677">
      <w:pPr>
        <w:pStyle w:val="TextoNormalCentrado"/>
        <w:keepNext/>
      </w:pPr>
      <w:r>
        <w:t>FALLO</w:t>
      </w:r>
    </w:p>
    <w:p w14:paraId="323C16E0" w14:textId="46465895" w:rsidR="009D7677" w:rsidRDefault="009D7677" w:rsidP="009D7677">
      <w:pPr>
        <w:pStyle w:val="TextoNormalCentrado"/>
        <w:keepNext/>
      </w:pPr>
    </w:p>
    <w:p w14:paraId="301647A9" w14:textId="77777777" w:rsidR="009D7677" w:rsidRDefault="009D7677" w:rsidP="009D7677">
      <w:pPr>
        <w:pStyle w:val="TextoNormal"/>
      </w:pPr>
      <w:r>
        <w:t>En atención a todo lo expuesto, el Tribunal Constitucional, por la autoridad que le confiere la Constitución de la Nación española, ha decidido estimar el presente recurso de inconstitucionalidad promovido por el presidente del Gobierno y, en consecuencia:</w:t>
      </w:r>
    </w:p>
    <w:p w14:paraId="4C2F6E23" w14:textId="77777777" w:rsidR="009D7677" w:rsidRDefault="009D7677" w:rsidP="009D7677">
      <w:pPr>
        <w:pStyle w:val="TextoNormal"/>
      </w:pPr>
    </w:p>
    <w:p w14:paraId="08564826" w14:textId="77777777" w:rsidR="009D7677" w:rsidRDefault="009D7677" w:rsidP="009D7677">
      <w:pPr>
        <w:pStyle w:val="TextoNormal"/>
      </w:pPr>
      <w:r>
        <w:lastRenderedPageBreak/>
        <w:t>1º Declarar inconstitucionales y nulos los arts. 10.1, primer párrafo, y 11 de la Ley del Parlamento de Galicia 7/2022, de 27 de diciembre, de medidas fiscales y administrativas.</w:t>
      </w:r>
    </w:p>
    <w:p w14:paraId="2320AF87" w14:textId="77777777" w:rsidR="009D7677" w:rsidRDefault="009D7677" w:rsidP="009D7677">
      <w:pPr>
        <w:pStyle w:val="TextoNormal"/>
      </w:pPr>
    </w:p>
    <w:p w14:paraId="4668E1D8" w14:textId="23A5F631" w:rsidR="009D7677" w:rsidRDefault="009D7677" w:rsidP="009D7677">
      <w:pPr>
        <w:pStyle w:val="TextoNormal"/>
      </w:pPr>
      <w:r>
        <w:t>2º Extender, por conexión o consecuencia, esta misma declaración de inconstitucionalidad y nulidad a los arts. 10.1, párrafo segundo, 10.2 y 10.3 y a la disposición transitoria primera de la misma Ley del Parlamento de Galicia 7/2022, de 27 de diciembre, de medidas fiscales y administrativas.</w:t>
      </w:r>
    </w:p>
    <w:p w14:paraId="7D4EA806" w14:textId="77777777" w:rsidR="009D7677" w:rsidRDefault="009D7677" w:rsidP="009D7677">
      <w:pPr>
        <w:pStyle w:val="TextoNormal"/>
      </w:pPr>
    </w:p>
    <w:p w14:paraId="3399E724" w14:textId="77777777" w:rsidR="009D7677" w:rsidRDefault="009D7677" w:rsidP="009D7677">
      <w:pPr>
        <w:pStyle w:val="TextoNormal"/>
      </w:pPr>
      <w:r>
        <w:t>Publíquese esta sentencia en el “Boletín Oficial del Estado”.</w:t>
      </w:r>
    </w:p>
    <w:p w14:paraId="1E02009D" w14:textId="77777777" w:rsidR="009D7677" w:rsidRDefault="009D7677" w:rsidP="009D7677">
      <w:pPr>
        <w:pStyle w:val="TextoNormal"/>
      </w:pPr>
      <w:r>
        <w:t>Dada en Madrid, a ocho de mayo de dos mil veinticuatro.</w:t>
      </w:r>
    </w:p>
    <w:p w14:paraId="4C9FF124" w14:textId="32450C9F" w:rsidR="009D7677" w:rsidRDefault="009D7677" w:rsidP="009D7677">
      <w:pPr>
        <w:pStyle w:val="ParrafoNormal"/>
      </w:pPr>
    </w:p>
    <w:p w14:paraId="451B05C0" w14:textId="77777777" w:rsidR="009D7677" w:rsidRDefault="009D7677" w:rsidP="009D7677">
      <w:pPr>
        <w:pStyle w:val="TextoNormalNegritaCentrado"/>
        <w:keepNext/>
      </w:pPr>
      <w:r>
        <w:t>Voto particular que formula el magistrado don Enrique Arnaldo Alcubilla a la sentencia del Pleno que estima el recurso de inconstitucionalidad núm. 6243-2023</w:t>
      </w:r>
    </w:p>
    <w:p w14:paraId="46B62725" w14:textId="550893CD" w:rsidR="009D7677" w:rsidRDefault="009D7677" w:rsidP="009D7677">
      <w:pPr>
        <w:pStyle w:val="TextoNormalNegritaCentrado"/>
        <w:keepNext/>
      </w:pPr>
    </w:p>
    <w:p w14:paraId="4F6A1253" w14:textId="77777777" w:rsidR="009D7677" w:rsidRDefault="009D7677" w:rsidP="009D7677">
      <w:pPr>
        <w:pStyle w:val="TextoNormal"/>
      </w:pPr>
      <w:r>
        <w:t>En el ejercicio de la facultad que me confiere el art. 90.2 de la Ley Orgánica del Tribunal Constitucional (LOTC) y con respeto a la opinión de mis compañeros formulo este voto particular a la sentencia que estima el recurso de inconstitucionalidad interpuesto por el presidente del Gobierno contra los arts. 10 y 11 y la disposición transitoria primera de la Ley del Parlamento de Galicia 7/2022, de 27 de diciembre, por las razones ya defendidas en su momento durante la deliberación y en los términos que expongo a continuación.</w:t>
      </w:r>
    </w:p>
    <w:p w14:paraId="4EB5E752" w14:textId="77777777" w:rsidR="009D7677" w:rsidRDefault="009D7677" w:rsidP="009D7677">
      <w:pPr>
        <w:pStyle w:val="TextoNormal"/>
      </w:pPr>
    </w:p>
    <w:p w14:paraId="202C4448" w14:textId="77777777" w:rsidR="009D7677" w:rsidRDefault="009D7677" w:rsidP="009D7677">
      <w:pPr>
        <w:pStyle w:val="TextoNormal"/>
      </w:pPr>
      <w:r>
        <w:t xml:space="preserve">1. </w:t>
      </w:r>
      <w:r w:rsidRPr="009D7677">
        <w:rPr>
          <w:i/>
        </w:rPr>
        <w:t>Sobre el plazo establecido en el art. 10 de la Ley del Parlamento de Galicia 7/2022</w:t>
      </w:r>
    </w:p>
    <w:p w14:paraId="2097B2D4" w14:textId="77777777" w:rsidR="009D7677" w:rsidRDefault="009D7677" w:rsidP="009D7677">
      <w:pPr>
        <w:pStyle w:val="TextoNormal"/>
      </w:pPr>
    </w:p>
    <w:p w14:paraId="04A35363" w14:textId="77777777" w:rsidR="009D7677" w:rsidRDefault="009D7677" w:rsidP="009D7677">
      <w:pPr>
        <w:pStyle w:val="TextoNormal"/>
      </w:pPr>
      <w:r>
        <w:t>El art. 10.1 de la Ley del Parlamento de Galicia 7/2022 estableció en quince años el plazo de que dispone la administración para imponer al infractor la obligación de restituir a su estado anterior obras y actuaciones ilegales realizadas en la zona de servidumbre de protección del dominio público marítimo-terrestre, a contar desde la terminación de las obras o actuaciones contrarias a la legalidad.</w:t>
      </w:r>
    </w:p>
    <w:p w14:paraId="2D207172" w14:textId="77777777" w:rsidR="009D7677" w:rsidRDefault="009D7677" w:rsidP="009D7677">
      <w:pPr>
        <w:pStyle w:val="TextoNormal"/>
      </w:pPr>
    </w:p>
    <w:p w14:paraId="49652C47" w14:textId="77777777" w:rsidR="009D7677" w:rsidRDefault="009D7677" w:rsidP="009D7677">
      <w:pPr>
        <w:pStyle w:val="TextoNormal"/>
      </w:pPr>
      <w:r>
        <w:t>La sentencia de la que disiento declara la inconstitucionalidad de esta previsión por entender (fundamento jurídico 4) que esta acción de la administración no está sujeta a ningún plazo en la Ley estatal de costas, ley de carácter básico a la que corresponde establecer las limitaciones de uso en los terrenos colindantes con el dominio público marítimo-terrestre, así como precisar su contenido y alcance (art. 149.1.23 CE), por lo que la ley autonómica, al reducir el plazo de ejercicio de esa acción a quince años, contraviene la regla estatal básica de imprescriptibilidad. Por conexión (art. 39.1 LOTC), la sentencia declara también inconstitucionales y nulos el resto de los apartados del art. 10 de la Ley del Parlamento de Galicia 7/2022, así como el apartado 1 de su disposición transitoria primera.</w:t>
      </w:r>
    </w:p>
    <w:p w14:paraId="161B6289" w14:textId="77777777" w:rsidR="009D7677" w:rsidRDefault="009D7677" w:rsidP="009D7677">
      <w:pPr>
        <w:pStyle w:val="TextoNormal"/>
      </w:pPr>
    </w:p>
    <w:p w14:paraId="41AF4C52" w14:textId="77777777" w:rsidR="009D7677" w:rsidRDefault="009D7677" w:rsidP="009D7677">
      <w:pPr>
        <w:pStyle w:val="TextoNormal"/>
      </w:pPr>
      <w:r>
        <w:t>Pues bien, no me resultan convincentes los razonamientos en los que la sentencia sustenta su apreciación de que el art. 10.1 de la Ley del Parlamento de Galicia 7/2022 (y por conexión el apartado 1 de su disposición transitoria primera) es inconstitucional.</w:t>
      </w:r>
    </w:p>
    <w:p w14:paraId="60205631" w14:textId="77777777" w:rsidR="009D7677" w:rsidRDefault="009D7677" w:rsidP="009D7677">
      <w:pPr>
        <w:pStyle w:val="TextoNormal"/>
      </w:pPr>
    </w:p>
    <w:p w14:paraId="197F2249" w14:textId="77777777" w:rsidR="009D7677" w:rsidRDefault="009D7677" w:rsidP="009D7677">
      <w:pPr>
        <w:pStyle w:val="TextoNormal"/>
      </w:pPr>
      <w:r>
        <w:t xml:space="preserve">Conviene tener presente, en primer lugar, que la regla de imprescriptibilidad para el ejercicio de la competencia administrativa de imposición de la obligación de restitución de </w:t>
      </w:r>
      <w:r>
        <w:lastRenderedPageBreak/>
        <w:t>las cosas y reposición a su estado anterior, contenida en el art. 92.1 de la Ley de costas (norma que después de establecer los plazos de prescripción de las infracciones graves y leves, añadía que “[n]o obstante, se exigirá la restitución de las cosas y su reposición a su estado anterior, cualquiera que sea el tiempo transcurrido”), desapareció tras la modificación de ese precepto por la Ley 2/2013, de 29 de mayo.</w:t>
      </w:r>
    </w:p>
    <w:p w14:paraId="38731CEF" w14:textId="77777777" w:rsidR="009D7677" w:rsidRDefault="009D7677" w:rsidP="009D7677">
      <w:pPr>
        <w:pStyle w:val="TextoNormal"/>
      </w:pPr>
    </w:p>
    <w:p w14:paraId="789C04B3" w14:textId="77777777" w:rsidR="009D7677" w:rsidRDefault="009D7677" w:rsidP="009D7677">
      <w:pPr>
        <w:pStyle w:val="TextoNormal"/>
      </w:pPr>
      <w:r>
        <w:t>Esta reforma de 2013 modifica también el art. 95.1 de la Ley de costas, para añadir un inciso en el que se precisa que la obligación del infractor de restitución de las cosas y reposición a su estado anterior “prescribirá a los quince años desde que la administración acuerde su imposición”. Repárese en que lo que aquí se regula (como en el art. 11 de la Ley del Parlamento de Galicia 7/2022) es el plazo de prescripción de la obligación del infractor de restituir a su estado anterior obras y actuaciones ilegales realizadas en la zona de servidumbre de protección de costa, pero no el plazo de que dispone la administración para imponer al infractor esa obligación de restitución y reposición, plazo que el art. 10.1 de la Ley del Parlamento de Galicia 7/2022 fijó en quince años, a contar desde la terminación de las obras o actuaciones contrarias a la legalidad.</w:t>
      </w:r>
    </w:p>
    <w:p w14:paraId="3F2A4CEB" w14:textId="77777777" w:rsidR="009D7677" w:rsidRDefault="009D7677" w:rsidP="009D7677">
      <w:pPr>
        <w:pStyle w:val="TextoNormal"/>
      </w:pPr>
    </w:p>
    <w:p w14:paraId="1185A720" w14:textId="77777777" w:rsidR="009D7677" w:rsidRDefault="009D7677" w:rsidP="009D7677">
      <w:pPr>
        <w:pStyle w:val="TextoNormal"/>
      </w:pPr>
      <w:r>
        <w:t>Para que esta previsión del art. 10.1 de la Ley del Parlamento de Galicia 7/2022 pudiera reputarse inconstitucional por ser contraria a una norma básica estatal sería preciso que esta estableciera, bien la imprescriptibilidad para el ejercicio de la competencia administrativa de imposición de la obligación de restitución de las cosas y reposición a su estado anterior, bien un plazo superior al fijado en la ley autonómica. La sentencia de la que discrepo afirma que es así, porque la Ley de costas, tras la reforma de 2013, sigue manteniendo la regla de la imprescriptibilidad, pero tal aserto es infundado.</w:t>
      </w:r>
    </w:p>
    <w:p w14:paraId="121926C2" w14:textId="77777777" w:rsidR="009D7677" w:rsidRDefault="009D7677" w:rsidP="009D7677">
      <w:pPr>
        <w:pStyle w:val="TextoNormal"/>
      </w:pPr>
    </w:p>
    <w:p w14:paraId="60C7A987" w14:textId="77777777" w:rsidR="009D7677" w:rsidRDefault="009D7677" w:rsidP="009D7677">
      <w:pPr>
        <w:pStyle w:val="TextoNormal"/>
      </w:pPr>
      <w:r>
        <w:t xml:space="preserve">Como se ha dicho, esa regla de imprescriptibilidad, establecida de manera clara e inequívoca en la redacción original del art. 92.1 de la Ley de costas (“se exigirá la restitución de las cosas y su reposición a su estado anterior, cualquiera que sea el tiempo transcurrido”) desaparece tras la reforma de este precepto por la Ley 2/2013, y esa supresión no puede ser pasada por alto. Aunque el legislador no haya explicitado en el preámbulo de la Ley 2/2013 cuál sea la razón de ese concreto cambio normativo, lo cierto es que en el propio preámbulo encontramos una “pista” sobre los motivos de esa modificación, pues al inicio del apartado III, al referirse a que la reforma acometida “pretende dotar a las relaciones jurídicas que se dan en el litoral de una mayor seguridad jurídica”, pues “[s]u ausencia ha generado problemas que van más allá de los estrictamente jurídicos, y que han provocado desconfianza y desconcierto”, se hace expresa referencia al informe </w:t>
      </w:r>
      <w:r w:rsidRPr="009D7677">
        <w:rPr>
          <w:i/>
        </w:rPr>
        <w:t>Auken</w:t>
      </w:r>
      <w:r>
        <w:t xml:space="preserve"> del Parlamento Europeo, de 20 de febrero de 2009, en cuyo apartado 22 se insta a las autoridades españolas “a que revisen urgentemente y, en su caso, modifiquen la Ley de costas a fin de proteger los derechos de los legítimos propietarios de viviendas y de aquellos que poseen pequeñas parcelas en zonas de la costa que no tienen un impacto negativo sobre el medio ambiente costero”. Conviene tener presente que el informe </w:t>
      </w:r>
      <w:r w:rsidRPr="009D7677">
        <w:rPr>
          <w:i/>
        </w:rPr>
        <w:t>Auken</w:t>
      </w:r>
      <w:r>
        <w:t xml:space="preserve"> es el resultado de los trabajos realizados durante varios años en la Comisión de Peticiones del Parlamento Europeo a partir de las quejas y peticiones formuladas por ciudadanos europeos propietarios de viviendas y parcelas en las costas españolas que consideraban que la Ley de costas de 1988 afectaba de manera desproporcionada a sus legítimos derechos de propiedad, como se recuerda en el informe de 19 de septiembre de 2013 realizado por el grupo de trabajo de dicha comisión sobre los derechos de propiedad y la Ley de costas de 1988 en España, elaborado tras la visita que realizaron miembros de ese grupo de trabajo a España en </w:t>
      </w:r>
      <w:r>
        <w:lastRenderedPageBreak/>
        <w:t>marzo de 2013 (cuando estaba en fase de tramitación la reforma de la Ley de costas, aprobada por la citada Ley 2/2013, de 29 de mayo).</w:t>
      </w:r>
    </w:p>
    <w:p w14:paraId="5E039E9F" w14:textId="77777777" w:rsidR="009D7677" w:rsidRDefault="009D7677" w:rsidP="009D7677">
      <w:pPr>
        <w:pStyle w:val="TextoNormal"/>
      </w:pPr>
    </w:p>
    <w:p w14:paraId="00522F44" w14:textId="77777777" w:rsidR="009D7677" w:rsidRDefault="009D7677" w:rsidP="009D7677">
      <w:pPr>
        <w:pStyle w:val="TextoNormal"/>
      </w:pPr>
      <w:r>
        <w:t>Teniendo en cuenta que la reforma legal de 2013 pretende dotar de mayor seguridad jurídica a los propietarios de viviendas y parcelas en las costas españolas, según lo requerido por el Parlamento Europeo, no creo que pueda interpretarse, como hace la sentencia, que la previsión de imprescriptibilidad —que ha desaparecido del art. 92.1 de la Ley de costas— siga existiendo tras la reforma, a partir de otro precepto (el art. 95.1 de la Ley de costas) que se refiere a una cuestión totalmente diferente. Una cosa es el ejercicio de la competencia por la administración para obligar al infractor a la restitución de las cosas y reposición a su estado original (antes prevista en el art. 92.1 de la Ley de costas como no sujeta a plazo) y otra distinta la obligación del infractor de proceder a esa restitución y reposición una vez que la administración acuerda imponerle dicha obligación (sujeta a un plazo de quince años desde ese acuerdo, según el art. 95.1 de la Ley de costas en su actual redacción).</w:t>
      </w:r>
    </w:p>
    <w:p w14:paraId="5479A846" w14:textId="77777777" w:rsidR="009D7677" w:rsidRDefault="009D7677" w:rsidP="009D7677">
      <w:pPr>
        <w:pStyle w:val="TextoNormal"/>
      </w:pPr>
    </w:p>
    <w:p w14:paraId="596803F3" w14:textId="77777777" w:rsidR="009D7677" w:rsidRDefault="009D7677" w:rsidP="009D7677">
      <w:pPr>
        <w:pStyle w:val="TextoNormal"/>
      </w:pPr>
      <w:r>
        <w:t>La sentencia acude al argumento de autoridad para apuntalar su extravagante interpretación de los arts. 92.1 y 95.1 de la Ley de costas, en la redacción resultante de la Ley 2/2013, según la cual, pese a que la ley estatal tras esa reforma ya no hace referencia alguna a la imprescriptibilidad para la imposición por la administración de la obligación de restitución de las cosas y reposición a su estado anterior, ha de entenderse que nada ha cambiado, de suerte que no existe plazo alguno para la imposición de tal obligación al infractor de la legalidad. En efecto, se afirma en la sentencia que así lo ha entendido la jurisprudencia de la Sala de lo Contencioso-Administrativo del Tribunal Supremo, que expresamente cita, y con la que se infiere concuerda. Pues bien, con independencia de lo que esa jurisprudencia, sentada en aplicación de la legalidad ordinaria (art. 117.3 CE), pueda haber dicho sobre la interpretación de los arts. 92.1 y 95.1 de la Ley de costas en su redacción actual, me parece de rigor recordar que tal interpretación no vincula a este tribunal ni puede, por consiguiente, erigirse en canon de control constitucional a la hora de enjuiciar si la norma autonómica impugnada en este recurso incurre o no en contradicción insalvable con una norma básica con la que ha de confrontarse.</w:t>
      </w:r>
    </w:p>
    <w:p w14:paraId="04E50B9A" w14:textId="77777777" w:rsidR="009D7677" w:rsidRDefault="009D7677" w:rsidP="009D7677">
      <w:pPr>
        <w:pStyle w:val="TextoNormal"/>
      </w:pPr>
    </w:p>
    <w:p w14:paraId="6158877F" w14:textId="77777777" w:rsidR="009D7677" w:rsidRDefault="009D7677" w:rsidP="009D7677">
      <w:pPr>
        <w:pStyle w:val="TextoNormal"/>
      </w:pPr>
      <w:r>
        <w:t>Tampoco me parece convincente acudir, como se hace en la sentencia, para intentar reforzar su interpretación de que, pese a la reforma de 2013, la administración puede en cualquier momento obligar a la restitución y reposición de las cosas a su estado anterior, a la regla de imprescriptibilidad de las servidumbres prevista en el art. 21.1 de la Ley de costas. No creo que sea necesario un gran esfuerzo de comprensión para entender que una cosa es la imprescriptibilidad de las servidumbres a las que pueden estar sujetos los terrenos colindantes con el dominio público marítimo-terrestre (art. 21.1 de la Ley de costas) y otra distinta el plazo al que pueda estar sujeto el ejercicio de la competencia por la administración para imponer al infractor la obligación de restituir y reponer las cosas a su estado original (que el art. 10.1 de la Ley del Parlamento de Galicia 7/2022 fijó en quince años, después de que la previsión de imprescriptibilidad que el art. 92.1 de la Ley de costas contenía en su redacción original fuese suprimida por la Ley 2/2013).</w:t>
      </w:r>
    </w:p>
    <w:p w14:paraId="38875462" w14:textId="77777777" w:rsidR="009D7677" w:rsidRDefault="009D7677" w:rsidP="009D7677">
      <w:pPr>
        <w:pStyle w:val="TextoNormal"/>
      </w:pPr>
    </w:p>
    <w:p w14:paraId="1EC0B10F" w14:textId="77777777" w:rsidR="009D7677" w:rsidRDefault="009D7677" w:rsidP="009D7677">
      <w:pPr>
        <w:pStyle w:val="TextoNormal"/>
      </w:pPr>
      <w:r>
        <w:t>Por tanto, de la regla de imprescriptibilidad de las servidumbres (art. 21.1 de la Ley de costas) no cabe inferir que la Ley de costas, en su actual redacción, sigue estableciendo, con carácter básico, que el ejercicio de la competencia administrativa para imponer al in</w:t>
      </w:r>
      <w:r>
        <w:lastRenderedPageBreak/>
        <w:t>fractor la obligación de restituir y reponer las cosas a su estado original no queda sujeta a plazo alguno. Menos aún cabe sostener, como pretende la sentencia, que el art. 10.1 de la Ley del Parlamento de Galicia 7/2022 contraviene la regla de imprescriptibilidad del art. 21.1 de la Ley de costas (que se presupone norma básica). No es cierto que si se produjera conforme a lo previsto en la norma autonómica la prescripción de la potestad administrativa de imponer la obligación de restitución y reposición de las cosas los titulares de los terrenos colindantes con el dominio público marítimo-terrestre pasarían a poder ejercer su derecho de propiedad sobre esos terrenos como si estuvieran libres del gravamen que constituye la sujeción al régimen de la servidumbre de protección. La sujeción de los terrenos a la servidumbre seguirá existiendo a pesar de que haya prescrito esa potestad administrativa, como lo demuestra lo dispuesto en el art. 10.2 de la Ley del Parlamento de Galicia 7/2022, que sujeta esos terrenos a un régimen limitativo similar al que en el ámbito urbanístico se prevé para los terrenos calificados como “fuera de ordenación” y al que establece la disposición transitoria cuarta, apartado 2 c) de la Ley de costas para los situados en zona de servidumbre de protección antes de la entrada en vigor de esta ley y que no cumplieran con sus prohibiciones y limitaciones (régimen transitorio de la ley estatal que, por otra parte, es menos restrictivo que el que establece la norma autonómica). No es cierto, en suma, que el art. 10 de la Ley del Parlamento de Galicia 7/2022 suponga una merma del régimen jurídico de protección de la zona de servidumbre del dominio público marítimo-terrestre establecido por la legislación estatal básica.</w:t>
      </w:r>
    </w:p>
    <w:p w14:paraId="209320FA" w14:textId="77777777" w:rsidR="009D7677" w:rsidRDefault="009D7677" w:rsidP="009D7677">
      <w:pPr>
        <w:pStyle w:val="TextoNormal"/>
      </w:pPr>
    </w:p>
    <w:p w14:paraId="032448FF" w14:textId="77777777" w:rsidR="009D7677" w:rsidRDefault="009D7677" w:rsidP="009D7677">
      <w:pPr>
        <w:pStyle w:val="TextoNormal"/>
      </w:pPr>
      <w:r>
        <w:t>En definitiva, a mi modo de ver, la interpretación de lo dispuesto en los arts. 92.1 y 95.1 de la Ley de costas más acorde con el principio de seguridad jurídica (art. 9.3 CE), al que responde la reforma de esa ley acometida por la Ley 2/2013 (según se afirma expresamente en su preámbulo, en los términos que ya hemos visto) y con el orden constitucional de distribución de competencias, así como la más respetuosa con la presunción de constitucionalidad de las leyes (que también rige para las leyes autonómicas, como la impugnada en este recurso), vendría a ser que la administración competente podrá imponer al infractor la obligación de restitución y reposición de las cosas a su estado original siempre que no hayan transcurrido los plazos de prescripción de las infracciones administrativas (o en su caso de los delitos) que se hubiesen cometido (plazos que para las infracciones administrativas fija el art. 92.1 de la Ley de costas); establecida dentro de esos plazos por la administración esa obligación en la resolución correspondiente, comienza el plazo para su cumplimiento por el infractor, que prescribe a los quince años (art. 95.1 de la Ley de costas). Y ello sin perjuicio, claro está, de la sujeción del terreno en cuestión, en su caso, a la servidumbre a que pudiera estar sujeto, por ser esta imprescriptible (art. 21.1 de la Ley de costas), aunque la administración no impusiera a su titular la obligación de restitución y reposición (o no la impusiera dentro de plazo), o si, impuesta esa obligación, se produjera la prescripción de su cumplimiento.</w:t>
      </w:r>
    </w:p>
    <w:p w14:paraId="0685D678" w14:textId="77777777" w:rsidR="009D7677" w:rsidRDefault="009D7677" w:rsidP="009D7677">
      <w:pPr>
        <w:pStyle w:val="TextoNormal"/>
      </w:pPr>
    </w:p>
    <w:p w14:paraId="3845DDAB" w14:textId="77777777" w:rsidR="009D7677" w:rsidRDefault="009D7677" w:rsidP="009D7677">
      <w:pPr>
        <w:pStyle w:val="TextoNormal"/>
      </w:pPr>
      <w:r>
        <w:t xml:space="preserve">Si así se entiende, como creo que debe hacerse, la regulación estatal (que presuponemos básica) con la que ha de hacerse el contraste de la norma autonómica impugnada (pues lo que planteaba el recurso del presidente del Gobierno es un problema de inconstitucionalidad mediata), se llegaría a la conclusión de que el régimen jurídico establecido en el art. 10 de la Ley del Parlamento de Galicia 7/2022 no contraviene el orden constitucional de distribución de competencias en esta materia, pues halla cobertura en la competencia de la Comunidad Autónoma de Galicia para dictar normas adicionales sobre protección del medio ambiente (art. 27.30 del Estatuto de Autonomía para Galicia). En efecto, lo </w:t>
      </w:r>
      <w:r>
        <w:lastRenderedPageBreak/>
        <w:t>que ha hecho el legislador autonómico es ampliar el plazo durante el cual la administración podría imponer al infractor la obligación de restitución y reposición respecto del que resulta de la vigente legislación básica de costas, pues ese plazo quedaría establecido en quince años a contar desde la terminación de las obras o actuaciones contrarias a la legalidad (art. 10.1 de la Ley del Parlamento de Galicia 7/2022), frente a los plazos de prescripción notablemente más breves que establece el art. 92.1 de la Ley de costas para las infracciones, a las que se encuentra anudada la facultad administrativa de imponer la obligación de restitución y reposición, según hemos razonado. Conforme al régimen jurídico resultante de los preceptos impugnados de la Ley del Parlamento de Galicia 7/2022, desde la fecha de terminación de las obras o actuaciones contrarias a la legalidad en la zona de servidumbre de protección comenzará para la administración el plazo de caducidad de quince años de que dispone para imponer al infractor la obligación de restitución y reposición de las cosas a su estado original (art. 10.1), superior al que resulta de la recta interpretación de la norma básica, y desde la fecha de la resolución administrativa que acuerde la imposición de esa obligación comenzará para el infractor el plazo de quince años para cumplirla (art. 11.1, concordante con lo establecido en el art. 95.1 de la Ley de costas, y sobre el que luego volveremos).</w:t>
      </w:r>
    </w:p>
    <w:p w14:paraId="554D3BB8" w14:textId="77777777" w:rsidR="009D7677" w:rsidRDefault="009D7677" w:rsidP="009D7677">
      <w:pPr>
        <w:pStyle w:val="TextoNormal"/>
      </w:pPr>
    </w:p>
    <w:p w14:paraId="54935663" w14:textId="77777777" w:rsidR="009D7677" w:rsidRDefault="009D7677" w:rsidP="009D7677">
      <w:pPr>
        <w:pStyle w:val="TextoNormal"/>
      </w:pPr>
      <w:r>
        <w:t>En conclusión, considero que el art. 10 de la Ley del Parlamento de Galicia 7/2022 no contradice la norma estatal básica y encuentra cobertura en la competencia autonómica para dictar normas adicionales sobre protección medioambiental, en un ámbito de competencia legislativa compartida, lo que debió conducir a desestimar la impugnación de ese precepto.</w:t>
      </w:r>
    </w:p>
    <w:p w14:paraId="6A1E5576" w14:textId="77777777" w:rsidR="009D7677" w:rsidRDefault="009D7677" w:rsidP="009D7677">
      <w:pPr>
        <w:pStyle w:val="TextoNormal"/>
      </w:pPr>
    </w:p>
    <w:p w14:paraId="20F2600E" w14:textId="77777777" w:rsidR="009D7677" w:rsidRDefault="009D7677" w:rsidP="009D7677">
      <w:pPr>
        <w:pStyle w:val="TextoNormal"/>
      </w:pPr>
      <w:r>
        <w:t xml:space="preserve">2. </w:t>
      </w:r>
      <w:r w:rsidRPr="009D7677">
        <w:rPr>
          <w:i/>
        </w:rPr>
        <w:t>Sobre el carácter de</w:t>
      </w:r>
      <w:r>
        <w:t xml:space="preserve"> lex repetita </w:t>
      </w:r>
      <w:r w:rsidRPr="009D7677">
        <w:rPr>
          <w:i/>
        </w:rPr>
        <w:t>del art. 11 de la Ley del Parlamento de Galicia 7/2022</w:t>
      </w:r>
    </w:p>
    <w:p w14:paraId="134AE738" w14:textId="77777777" w:rsidR="009D7677" w:rsidRDefault="009D7677" w:rsidP="009D7677">
      <w:pPr>
        <w:pStyle w:val="TextoNormal"/>
      </w:pPr>
    </w:p>
    <w:p w14:paraId="72848FF3" w14:textId="77777777" w:rsidR="009D7677" w:rsidRDefault="009D7677" w:rsidP="009D7677">
      <w:pPr>
        <w:pStyle w:val="TextoNormal"/>
      </w:pPr>
      <w:r>
        <w:t>El art. 11 de la Ley del Parlamento de Galicia 7/2022 establece que el plazo de prescripción, de quince años, de la obligación de restitución y reposición de las cosas a su estado original, previsto en el art. 95.1 de la Ley de costas, comenzará a contarse desde que la administración dicte la resolución acordando imponer al infractor de la legalidad esa obligación, regla que será aplicable igualmente cuando aquel interponga recurso administrativo contra esa resolución y la administración incumpla su deber de resolverlo en los plazos legalmente previstos.</w:t>
      </w:r>
    </w:p>
    <w:p w14:paraId="4662984D" w14:textId="77777777" w:rsidR="009D7677" w:rsidRDefault="009D7677" w:rsidP="009D7677">
      <w:pPr>
        <w:pStyle w:val="TextoNormal"/>
      </w:pPr>
    </w:p>
    <w:p w14:paraId="16A5A144" w14:textId="77777777" w:rsidR="009D7677" w:rsidRDefault="009D7677" w:rsidP="009D7677">
      <w:pPr>
        <w:pStyle w:val="TextoNormal"/>
      </w:pPr>
      <w:r>
        <w:t xml:space="preserve">La sentencia (fundamento jurídico 5) declara inconstitucional y nulo el art. 11 de la Ley del Parlamento de Galicia 7/2022 por entender que reproduce el contenido del art. 95.1 de la Ley de costas sin cumplir con los requisitos exigidos para ello por la doctrina constitucional sobre la </w:t>
      </w:r>
      <w:r w:rsidRPr="009D7677">
        <w:rPr>
          <w:i/>
        </w:rPr>
        <w:t>lex repetita</w:t>
      </w:r>
      <w:r>
        <w:t>, ya que considera que esa reproducción de una norma básica, en un ámbito de competencia legislativa compartida como el medio ambiente, no contribuye a hacer más comprensible el desarrollo normativo que realiza la comunidad autónoma en ejercicio de sus competencias propias. Por conexión (art. 39.1 LOTC), la sentencia declara también inconstitucional y nulo el apartado 2 de la disposición transitoria primera de la Ley del Parlamento de Galicia 7/2022.</w:t>
      </w:r>
    </w:p>
    <w:p w14:paraId="0AEAC7EF" w14:textId="77777777" w:rsidR="009D7677" w:rsidRDefault="009D7677" w:rsidP="009D7677">
      <w:pPr>
        <w:pStyle w:val="TextoNormal"/>
      </w:pPr>
    </w:p>
    <w:p w14:paraId="0135E54E" w14:textId="77777777" w:rsidR="009D7677" w:rsidRDefault="009D7677" w:rsidP="009D7677">
      <w:pPr>
        <w:pStyle w:val="TextoNormal"/>
      </w:pPr>
      <w:r>
        <w:t xml:space="preserve">Las razones de la sentencia para entender que el art. 11 de la Ley del Parlamento de Galicia 7/2022 constituye un supuesto de </w:t>
      </w:r>
      <w:r w:rsidRPr="009D7677">
        <w:rPr>
          <w:i/>
        </w:rPr>
        <w:t>lex repetita</w:t>
      </w:r>
      <w:r>
        <w:t xml:space="preserve"> inconstitucional son que la reproducción de la norma básica no tiene la finalidad instrumental o auxiliar de dotar de sentido </w:t>
      </w:r>
      <w:r>
        <w:lastRenderedPageBreak/>
        <w:t>o inteligibilidad a la norma autonómica de desarrollo, y que esta no efectúa una reproducción fiel de la norma básica. Ninguna de estas razones me resulta convincente.</w:t>
      </w:r>
    </w:p>
    <w:p w14:paraId="2B3B344E" w14:textId="77777777" w:rsidR="009D7677" w:rsidRDefault="009D7677" w:rsidP="009D7677">
      <w:pPr>
        <w:pStyle w:val="TextoNormal"/>
      </w:pPr>
    </w:p>
    <w:p w14:paraId="712612E0" w14:textId="77777777" w:rsidR="009D7677" w:rsidRDefault="009D7677" w:rsidP="009D7677">
      <w:pPr>
        <w:pStyle w:val="TextoNormal"/>
      </w:pPr>
      <w:r>
        <w:t xml:space="preserve">La reproducción del art. 95.1 de la Ley de costas en el art. 11 de la Ley del Parlamento de Galicia 7/2022 sirve al legislador autonómico para proporcionar el contexto normativo en el que opera lo único que resulta novedoso en el precepto impugnado: la determinación de que el régimen jurídico estatal se aplica también al caso que expresamente incluye la norma autonómica y no prevé la norma básica, esto es, que el plazo de prescripción de quince años desde que la administración acuerde la imposición de la obligación de restitución y reposición se aplica asimismo cuando el interesado interponga recurso en vía administrativa y la administración no lo resuelva dentro del plazo legalmente establecido, es decir, opta por el silencio. Siendo esto así, habría que concluir, me parece, que la reproducción del art. 95.1 de la Ley de costas por parte de la ley autonómica sí tiene por finalidad dotar de sentido y hacer más comprensible el desarrollo normativo que realiza el legislador autonómico en el ejercicio de sus competencias, por lo que se acomodaría a la doctrina constitucional sobre la </w:t>
      </w:r>
      <w:r w:rsidRPr="009D7677">
        <w:rPr>
          <w:i/>
        </w:rPr>
        <w:t>lex repetita</w:t>
      </w:r>
      <w:r>
        <w:t xml:space="preserve"> en el supuesto de que la norma reproducida y la que reproduce se encuadran en una materia sobre la que ostentan competencias tanto el Estado como la comunidad autónoma (por todas, SSTC 341/2005, de 21 de diciembre, FJ 9; 51/2019, de 11 de abril, FJ 6, y 65/2020, de 18 de junio, FJ 8).</w:t>
      </w:r>
    </w:p>
    <w:p w14:paraId="426069EE" w14:textId="77777777" w:rsidR="009D7677" w:rsidRDefault="009D7677" w:rsidP="009D7677">
      <w:pPr>
        <w:pStyle w:val="TextoNormal"/>
      </w:pPr>
    </w:p>
    <w:p w14:paraId="61FC5480" w14:textId="77777777" w:rsidR="009D7677" w:rsidRDefault="009D7677" w:rsidP="009D7677">
      <w:pPr>
        <w:pStyle w:val="TextoNormal"/>
      </w:pPr>
      <w:r>
        <w:t xml:space="preserve">En conclusión, considero que debió apreciarse que el art. 11 de la Ley del Parlamento de Galicia 7/2022 constituye un supuesto de </w:t>
      </w:r>
      <w:r w:rsidRPr="009D7677">
        <w:rPr>
          <w:i/>
        </w:rPr>
        <w:t>lex repetita</w:t>
      </w:r>
      <w:r>
        <w:t xml:space="preserve"> admisible conforme a la doctrina constitucional, lo que habría conducido a desestimar también la impugnación de ese precepto.</w:t>
      </w:r>
    </w:p>
    <w:p w14:paraId="1E701BDD" w14:textId="77777777" w:rsidR="009D7677" w:rsidRDefault="009D7677" w:rsidP="009D7677">
      <w:pPr>
        <w:pStyle w:val="TextoNormal"/>
      </w:pPr>
    </w:p>
    <w:p w14:paraId="03F4B045" w14:textId="18055C4A" w:rsidR="009D7677" w:rsidRDefault="009D7677" w:rsidP="009D7677">
      <w:pPr>
        <w:pStyle w:val="TextoNormal"/>
      </w:pPr>
      <w:r>
        <w:t>Madrid, a diez de mayo de dos mil veinticuatro.</w:t>
      </w:r>
    </w:p>
    <w:p w14:paraId="70D92DB6" w14:textId="56BB8D7C" w:rsidR="009D7677" w:rsidRDefault="009D7677">
      <w:pPr>
        <w:spacing w:after="160" w:line="259" w:lineRule="auto"/>
        <w:rPr>
          <w:rFonts w:ascii="Times New Roman" w:eastAsia="Times New Roman" w:hAnsi="Times New Roman" w:cs="Times New Roman"/>
          <w:sz w:val="24"/>
          <w:szCs w:val="24"/>
          <w:lang w:eastAsia="es-ES"/>
        </w:rPr>
      </w:pPr>
      <w:r>
        <w:br w:type="page"/>
      </w:r>
    </w:p>
    <w:p w14:paraId="223941D6" w14:textId="77777777" w:rsidR="009D7677" w:rsidRDefault="009D7677" w:rsidP="009D7677">
      <w:pPr>
        <w:pStyle w:val="TtuloResolucin"/>
      </w:pPr>
      <w:bookmarkStart w:id="79" w:name="SENTENCIA_2024_77"/>
      <w:r>
        <w:lastRenderedPageBreak/>
        <w:t>SENTENCIA 77/2024, de 20 de mayo de 2024</w:t>
      </w:r>
    </w:p>
    <w:bookmarkEnd w:id="79"/>
    <w:p w14:paraId="5B008996" w14:textId="77777777" w:rsidR="009D7677" w:rsidRDefault="009D7677" w:rsidP="009D7677">
      <w:pPr>
        <w:pStyle w:val="TtuloResolucin"/>
      </w:pPr>
      <w:r>
        <w:t>Sala Segunda</w:t>
      </w:r>
    </w:p>
    <w:p w14:paraId="7FB10FB2" w14:textId="77777777" w:rsidR="009D7677" w:rsidRDefault="009D7677" w:rsidP="009D7677">
      <w:pPr>
        <w:pStyle w:val="TtuloBOE"/>
      </w:pPr>
      <w:r>
        <w:t>(BOE núm. 152, de 24 de junio de 2024)</w:t>
      </w:r>
    </w:p>
    <w:p w14:paraId="5B6AE22C" w14:textId="77777777" w:rsidR="009D7677" w:rsidRDefault="009D7677" w:rsidP="009D7677">
      <w:pPr>
        <w:pStyle w:val="TextoNormalCentrado"/>
      </w:pPr>
      <w:r>
        <w:t>ECLI:ES:TC:2024:77</w:t>
      </w:r>
    </w:p>
    <w:p w14:paraId="062EE54C" w14:textId="501F4A1C" w:rsidR="009D7677" w:rsidRDefault="009D7677" w:rsidP="009D7677">
      <w:pPr>
        <w:pStyle w:val="TextoNormalCentrado"/>
      </w:pPr>
    </w:p>
    <w:p w14:paraId="704250B1" w14:textId="77777777" w:rsidR="009D7677" w:rsidRDefault="009D7677" w:rsidP="009D7677">
      <w:pPr>
        <w:pStyle w:val="SntesisDescriptiva"/>
      </w:pPr>
      <w:r>
        <w:t>Recurso de amparo 6446-2022. Promovido por don Urbano Cepas Fernández y la mercantil Servicios Generales Constructivos 2020, S.L., respecto de la sentencia de la Audiencia Provincial de Jaén que anuló la sentencia absolutoria previamente dictada por un juzgado de lo penal de su capital.</w:t>
      </w:r>
    </w:p>
    <w:p w14:paraId="3AFEE7D9" w14:textId="0F69FE02" w:rsidR="009D7677" w:rsidRDefault="009D7677" w:rsidP="009D7677">
      <w:pPr>
        <w:pStyle w:val="SntesisDescriptiva"/>
      </w:pPr>
    </w:p>
    <w:p w14:paraId="0E6912B9" w14:textId="77777777" w:rsidR="009D7677" w:rsidRDefault="009D7677" w:rsidP="009D7677">
      <w:pPr>
        <w:pStyle w:val="SntesisAnaltica"/>
      </w:pPr>
      <w:r>
        <w:t>Vulneración del derecho a la tutela judicial efectiva (resolución fundada en Derecho): revocación de la sentencia absolutoria basada en una discrepancia en la valoración de la prueba que supone una extralimitación de las facultades del tribunal de apelación (STC 72/2024).</w:t>
      </w:r>
    </w:p>
    <w:p w14:paraId="2DB12698" w14:textId="40F4E7B0" w:rsidR="009D7677" w:rsidRDefault="009D7677" w:rsidP="009D7677">
      <w:pPr>
        <w:pStyle w:val="SntesisAnaltica"/>
      </w:pPr>
    </w:p>
    <w:p w14:paraId="1228CD2B" w14:textId="1F85A3FF" w:rsidR="009D7677" w:rsidRDefault="009D7677" w:rsidP="009D7677">
      <w:pPr>
        <w:pStyle w:val="Extracto"/>
      </w:pPr>
      <w:r>
        <w:t>1.</w:t>
      </w:r>
      <w:r>
        <w:tab/>
        <w:t>El control que es posible en apelación para controvertir el juicio fáctico de una sentencia absolutoria no consiente el acceso a las fuentes de prueba para reevaluarlas dado que, en nuestro modelo de revisión, sería contrario a las garantías del juicio justo que no permiten, en ese contexto impugnatorio de las acusaciones, una valoración alternativa de las inferencias fácticas ni una reconstrucción del hecho probado (STC 72/2024) [FJ 4].</w:t>
      </w:r>
    </w:p>
    <w:p w14:paraId="12E637D2" w14:textId="77777777" w:rsidR="009D7677" w:rsidRDefault="009D7677" w:rsidP="009D7677">
      <w:pPr>
        <w:pStyle w:val="Extracto"/>
      </w:pPr>
    </w:p>
    <w:p w14:paraId="6021D14B" w14:textId="77777777" w:rsidR="009D7677" w:rsidRDefault="009D7677" w:rsidP="009D7677">
      <w:pPr>
        <w:pStyle w:val="Extracto"/>
      </w:pPr>
    </w:p>
    <w:p w14:paraId="36E4E1AE" w14:textId="77777777" w:rsidR="009D7677" w:rsidRDefault="009D7677" w:rsidP="009D7677">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y don César Tolosa Tribiño, ha pronunciado</w:t>
      </w:r>
    </w:p>
    <w:p w14:paraId="6B2802B7" w14:textId="22B939A3" w:rsidR="009D7677" w:rsidRDefault="009D7677" w:rsidP="009D7677">
      <w:pPr>
        <w:pStyle w:val="TextoNormal"/>
      </w:pPr>
    </w:p>
    <w:p w14:paraId="73B8CF3E" w14:textId="77777777" w:rsidR="009D7677" w:rsidRDefault="009D7677" w:rsidP="009D7677">
      <w:pPr>
        <w:pStyle w:val="TextoNormalCentrado"/>
        <w:keepNext/>
      </w:pPr>
      <w:r>
        <w:t>EN NOMBRE DEL REY</w:t>
      </w:r>
    </w:p>
    <w:p w14:paraId="4E47963E" w14:textId="2B5B96E6" w:rsidR="009D7677" w:rsidRDefault="009D7677" w:rsidP="009D7677">
      <w:pPr>
        <w:pStyle w:val="TextoNormalCentrado"/>
        <w:keepNext/>
      </w:pPr>
    </w:p>
    <w:p w14:paraId="7BDB2064" w14:textId="77777777" w:rsidR="009D7677" w:rsidRDefault="009D7677" w:rsidP="009D7677">
      <w:pPr>
        <w:pStyle w:val="TextoNormalCentrado"/>
        <w:keepNext/>
      </w:pPr>
    </w:p>
    <w:p w14:paraId="327421DE" w14:textId="77777777" w:rsidR="009D7677" w:rsidRDefault="009D7677" w:rsidP="009D7677">
      <w:pPr>
        <w:pStyle w:val="TextoNormal"/>
      </w:pPr>
      <w:r>
        <w:t>la siguiente</w:t>
      </w:r>
    </w:p>
    <w:p w14:paraId="433DACBB" w14:textId="301861FE" w:rsidR="009D7677" w:rsidRDefault="009D7677" w:rsidP="009D7677">
      <w:pPr>
        <w:pStyle w:val="TextoNormal"/>
      </w:pPr>
    </w:p>
    <w:p w14:paraId="3F56DF44" w14:textId="77777777" w:rsidR="009D7677" w:rsidRDefault="009D7677" w:rsidP="009D7677">
      <w:pPr>
        <w:pStyle w:val="TextoNormalCentrado"/>
        <w:keepNext/>
      </w:pPr>
      <w:r>
        <w:t>SENTENCIA</w:t>
      </w:r>
    </w:p>
    <w:p w14:paraId="670A048B" w14:textId="065D2B68" w:rsidR="009D7677" w:rsidRDefault="009D7677" w:rsidP="009D7677">
      <w:pPr>
        <w:pStyle w:val="TextoNormalCentrado"/>
        <w:keepNext/>
      </w:pPr>
    </w:p>
    <w:p w14:paraId="358C7067" w14:textId="77777777" w:rsidR="009D7677" w:rsidRDefault="009D7677" w:rsidP="009D7677">
      <w:pPr>
        <w:pStyle w:val="TextoNormal"/>
      </w:pPr>
      <w:r>
        <w:t>En el recurso de amparo núm. 6446-2022, promovido por don Urbano Cepas Fernández y la entidad Servicios Generales Constructivos 2020, S.L., representados por la procuradora de los tribunales doña Cristina Palma Martínez y asistidos por el abogado don Diego José Ortega García, contra la sentencia de la Sección Segunda de la Audiencia Provincial de Jaén núm. 167/2022, de 12 de julio, que estimó parcialmente el recurso de apelación y anuló la sentencia núm. 204/2022, de 21 de abril, del Juzgado de lo Penal núm. 4 de Jaén, que había absuelto al demandante de amparo de los delitos de los que había sido acusado, y contra la providencia de 20 de septiembre de 2022, dictada por la misma Sección, que inadmitió a trámite el posterior incidente de nulidad de actuaciones. Han intervenido el Ministerio Fiscal y doña Antonia Cruz Cruz, representada por el procurador de los tribunales don Antonio Luis Roncero Contreras y asistida por el abogado don José María Palmero y Carrero. Ha sido ponente el magistrado don César Tolosa Tribiño.</w:t>
      </w:r>
    </w:p>
    <w:p w14:paraId="0B959D4F" w14:textId="24A6FEDF" w:rsidR="009D7677" w:rsidRDefault="009D7677" w:rsidP="009D7677">
      <w:pPr>
        <w:pStyle w:val="TextoNormal"/>
      </w:pPr>
    </w:p>
    <w:p w14:paraId="29492B0E" w14:textId="77777777" w:rsidR="009D7677" w:rsidRDefault="009D7677" w:rsidP="009D7677">
      <w:pPr>
        <w:pStyle w:val="TextoNormalNegritaCentrado"/>
        <w:keepNext/>
      </w:pPr>
      <w:r>
        <w:t>I. Antecedentes</w:t>
      </w:r>
    </w:p>
    <w:p w14:paraId="7866677E" w14:textId="0B9D36BA" w:rsidR="009D7677" w:rsidRDefault="009D7677" w:rsidP="009D7677">
      <w:pPr>
        <w:pStyle w:val="TextoNormalNegritaCentrado"/>
        <w:keepNext/>
      </w:pPr>
    </w:p>
    <w:p w14:paraId="7D10BFD8" w14:textId="43DED657" w:rsidR="009D7677" w:rsidRDefault="009D7677" w:rsidP="009D7677">
      <w:pPr>
        <w:pStyle w:val="TextoNormal"/>
      </w:pPr>
      <w:r w:rsidRPr="009D7677">
        <w:rPr>
          <w:rStyle w:val="NumeroAFNegritaCaracter"/>
        </w:rPr>
        <w:t>1</w:t>
      </w:r>
      <w:r>
        <w:t>. Por escrito registrado en este tribunal el 30 de septiembre de 2022, doña Cristina Palma Martínez en nombre y representación de don Urbano Cepas Fernández y de la entidad Servicios Generales Constructivos 2020, S.L., formuló demanda de amparo contra la sentencia y la providencia dictadas por la Sección Segunda de la Audiencia Provincial de Jaén mencionadas en el encabezamiento.</w:t>
      </w:r>
    </w:p>
    <w:p w14:paraId="414599F1" w14:textId="77777777" w:rsidR="009D7677" w:rsidRDefault="009D7677" w:rsidP="009D7677">
      <w:pPr>
        <w:pStyle w:val="TextoNormal"/>
      </w:pPr>
    </w:p>
    <w:p w14:paraId="11F7F85C" w14:textId="77777777" w:rsidR="009D7677" w:rsidRDefault="009D7677" w:rsidP="009D7677">
      <w:pPr>
        <w:pStyle w:val="TextoNormal"/>
      </w:pPr>
      <w:r w:rsidRPr="009D7677">
        <w:rPr>
          <w:rStyle w:val="NumeroAFNegritaCaracter"/>
        </w:rPr>
        <w:t>2</w:t>
      </w:r>
      <w:r>
        <w:t>. Los hechos relevantes para la resolución del presente recurso de amparo son, en síntesis, los que a continuación se relatan:</w:t>
      </w:r>
    </w:p>
    <w:p w14:paraId="179B71C1" w14:textId="77777777" w:rsidR="009D7677" w:rsidRDefault="009D7677" w:rsidP="009D7677">
      <w:pPr>
        <w:pStyle w:val="TextoNormal"/>
      </w:pPr>
    </w:p>
    <w:p w14:paraId="5BEE6072" w14:textId="77777777" w:rsidR="009D7677" w:rsidRDefault="009D7677" w:rsidP="009D7677">
      <w:pPr>
        <w:pStyle w:val="TextoNormal"/>
      </w:pPr>
      <w:r>
        <w:t>a) El Juzgado de lo Penal núm. 4 de Jaén dictó la sentencia núm. 204/2022, de 21 de abril —en los autos de juicio oral núm. 301-2021—, en la que absolvió a don Urbano Cepas Fernández de los delitos contra los derechos de los trabajadores y de homicidio imprudente, lo que afectaba a la mercantil Servicios Generales Constructivos 2020, S.L., como responsable civil subsidiaria.</w:t>
      </w:r>
    </w:p>
    <w:p w14:paraId="340C04AC" w14:textId="77777777" w:rsidR="009D7677" w:rsidRDefault="009D7677" w:rsidP="009D7677">
      <w:pPr>
        <w:pStyle w:val="TextoNormal"/>
      </w:pPr>
    </w:p>
    <w:p w14:paraId="47B75144" w14:textId="77777777" w:rsidR="009D7677" w:rsidRDefault="009D7677" w:rsidP="009D7677">
      <w:pPr>
        <w:pStyle w:val="TextoNormal"/>
      </w:pPr>
      <w:r>
        <w:t>En dicha sentencia se declara probado que:</w:t>
      </w:r>
    </w:p>
    <w:p w14:paraId="70A6F8F6" w14:textId="77777777" w:rsidR="009D7677" w:rsidRDefault="009D7677" w:rsidP="009D7677">
      <w:pPr>
        <w:pStyle w:val="TextoNormal"/>
      </w:pPr>
    </w:p>
    <w:p w14:paraId="3F6607CB" w14:textId="77777777" w:rsidR="009D7677" w:rsidRDefault="009D7677" w:rsidP="009D7677">
      <w:pPr>
        <w:pStyle w:val="TextoNormal"/>
      </w:pPr>
      <w:r>
        <w:t>“Sobre las 17:00 horas del día 9 de julio de 2019, don Andrés Lozano Pérez, que prestaba sus servicios como encargado y recurso preventivo de la empresa Servicios Generales Constructivos 2020, S.L., empresa dedicada a la construcción de edificios residenciales y de la que es administrador don Urbano Cepas Fernández, se encontraba realizando labores propias de su trabajo en el tejado del Colegio Nuestra Señora de los Dolores de Pozo Alcón. Cuando se disponía a realizar trabajos de complemento de la línea de vida que estaba casi concluida, cayó al suelo y falleció.</w:t>
      </w:r>
    </w:p>
    <w:p w14:paraId="3A964E33" w14:textId="77777777" w:rsidR="009D7677" w:rsidRDefault="009D7677" w:rsidP="009D7677">
      <w:pPr>
        <w:pStyle w:val="TextoNormal"/>
      </w:pPr>
    </w:p>
    <w:p w14:paraId="71DACF02" w14:textId="77777777" w:rsidR="009D7677" w:rsidRDefault="009D7677" w:rsidP="009D7677">
      <w:pPr>
        <w:pStyle w:val="TextoNormal"/>
      </w:pPr>
      <w:r>
        <w:t>En el momento del accidente, el trabajador no portaba arnés de seguridad ni casco, a pesar de que la empresa había proporcionado dichos elementos que habían sido dejados voluntariamente en la furgoneta de la empresa.</w:t>
      </w:r>
    </w:p>
    <w:p w14:paraId="46CD57BA" w14:textId="77777777" w:rsidR="009D7677" w:rsidRDefault="009D7677" w:rsidP="009D7677">
      <w:pPr>
        <w:pStyle w:val="TextoNormal"/>
      </w:pPr>
    </w:p>
    <w:p w14:paraId="4E998B8F" w14:textId="77777777" w:rsidR="009D7677" w:rsidRDefault="009D7677" w:rsidP="009D7677">
      <w:pPr>
        <w:pStyle w:val="TextoNormal"/>
      </w:pPr>
      <w:r>
        <w:t>En el momento del accidente, ya se había terminado de colocar una plataforma o andamio europeo, estaba parcialmente colocada la línea de vida y se había empezado a colocar una valla alrededor del perímetro de la cubierta desde la que cayó el trabajador.</w:t>
      </w:r>
    </w:p>
    <w:p w14:paraId="5436667A" w14:textId="77777777" w:rsidR="009D7677" w:rsidRDefault="009D7677" w:rsidP="009D7677">
      <w:pPr>
        <w:pStyle w:val="TextoNormal"/>
      </w:pPr>
    </w:p>
    <w:p w14:paraId="060A0873" w14:textId="77777777" w:rsidR="009D7677" w:rsidRDefault="009D7677" w:rsidP="009D7677">
      <w:pPr>
        <w:pStyle w:val="TextoNormal"/>
      </w:pPr>
      <w:r>
        <w:t>No se había firmado el acta de replanteo y la administración competente no había autorizado el inicio de las obras; sí se había presentado el plan de seguridad por parte de la empresa y dicho plan había sido informado favorablemente por el encargado de ello antes del siniestro y fue aprobado la misma mañana del accidente.</w:t>
      </w:r>
    </w:p>
    <w:p w14:paraId="01AF0784" w14:textId="77777777" w:rsidR="009D7677" w:rsidRDefault="009D7677" w:rsidP="009D7677">
      <w:pPr>
        <w:pStyle w:val="TextoNormal"/>
      </w:pPr>
    </w:p>
    <w:p w14:paraId="7AD3275F" w14:textId="77777777" w:rsidR="009D7677" w:rsidRDefault="009D7677" w:rsidP="009D7677">
      <w:pPr>
        <w:pStyle w:val="TextoNormal"/>
      </w:pPr>
      <w:r>
        <w:t>Los trabajos se realizaban fuera del horario laboral que por convenio colectivo es de 7:00 a 14:00 horas en los meses estivales.</w:t>
      </w:r>
    </w:p>
    <w:p w14:paraId="6A533731" w14:textId="77777777" w:rsidR="009D7677" w:rsidRDefault="009D7677" w:rsidP="009D7677">
      <w:pPr>
        <w:pStyle w:val="TextoNormal"/>
      </w:pPr>
    </w:p>
    <w:p w14:paraId="6921CE2A" w14:textId="77777777" w:rsidR="009D7677" w:rsidRDefault="009D7677" w:rsidP="009D7677">
      <w:pPr>
        <w:pStyle w:val="TextoNormal"/>
      </w:pPr>
      <w:r>
        <w:t>El empresario no supervisaba de manera personal el uso de equipos de protección individual por parte de los trabajadores.</w:t>
      </w:r>
    </w:p>
    <w:p w14:paraId="7E56FAE4" w14:textId="77777777" w:rsidR="009D7677" w:rsidRDefault="009D7677" w:rsidP="009D7677">
      <w:pPr>
        <w:pStyle w:val="TextoNormal"/>
      </w:pPr>
    </w:p>
    <w:p w14:paraId="032BE104" w14:textId="77777777" w:rsidR="009D7677" w:rsidRDefault="009D7677" w:rsidP="009D7677">
      <w:pPr>
        <w:pStyle w:val="TextoNormal"/>
      </w:pPr>
      <w:r>
        <w:lastRenderedPageBreak/>
        <w:t>La empresa tenía seguro de responsabilidad civil concertado con Allianz, póliza núm. 031691681, habiendo abonado dicha entidad ya la cantidad de 150 000 €”.</w:t>
      </w:r>
    </w:p>
    <w:p w14:paraId="2BE329DC" w14:textId="77777777" w:rsidR="009D7677" w:rsidRDefault="009D7677" w:rsidP="009D7677">
      <w:pPr>
        <w:pStyle w:val="TextoNormal"/>
      </w:pPr>
    </w:p>
    <w:p w14:paraId="08C8C2A6" w14:textId="77777777" w:rsidR="009D7677" w:rsidRDefault="009D7677" w:rsidP="009D7677">
      <w:pPr>
        <w:pStyle w:val="TextoNormal"/>
      </w:pPr>
      <w:r>
        <w:t>La sentencia dedica su fundamento de Derecho segundo a identificar las fuentes de prueba del relato de hechos probados. Considera que la labor que realizaba el fallecido en el momento de la caída y los hechos del quinto apartado resultan del informe del inspector de Trabajo y Seguridad Social y de la declaración testifical prestada por su compañero de trabajo. Los hechos del segundo párrafo resultan de la declaración de ese mismo testigo y de las fotografías obtenidas por la policía judicial. La terminación del andamio europeo, el estado en que se encontraba colocada la línea de vida y la valla alrededor del perímetro de la cubierta resultaron probados por el acta del inspector, ratificada y ampliada en el acto de la vista. Los datos del cuarto párrafo se acreditan por las declaraciones de diversos técnicos. La ausencia de supervisión por el empresario la consideró acreditada por todas las declaraciones prestadas.</w:t>
      </w:r>
    </w:p>
    <w:p w14:paraId="698E4005" w14:textId="77777777" w:rsidR="009D7677" w:rsidRDefault="009D7677" w:rsidP="009D7677">
      <w:pPr>
        <w:pStyle w:val="TextoNormal"/>
      </w:pPr>
    </w:p>
    <w:p w14:paraId="6EEFCAF2" w14:textId="77777777" w:rsidR="009D7677" w:rsidRDefault="009D7677" w:rsidP="009D7677">
      <w:pPr>
        <w:pStyle w:val="TextoNormal"/>
      </w:pPr>
      <w:r>
        <w:t>La sentencia considera que el delito previsto en el art. 316 del Código penal (CP), es una norma penal en blanco que remite genéricamente a las normas de prevención de riesgos laborales. Descarta que la ausencia de firma en el acta de replanteo o de autorización del inicio de la obra sea una infracción de normas administrativas y a tal efecto se apoya en que el inspector de Trabajo y Seguridad Social no constató en su acta de inspección estas circunstancias como motivo de sanción en el ámbito laboral. A esa misma conclusión llega en relación con la realización del trabajo fuera del horario establecido por la normativa en la materia. Aunque tales extremos infringieran la normativa de prevención de riesgos laborales señala que no queda acreditado la relación con el accidente y la trágica caída.</w:t>
      </w:r>
    </w:p>
    <w:p w14:paraId="1F9FB650" w14:textId="77777777" w:rsidR="009D7677" w:rsidRDefault="009D7677" w:rsidP="009D7677">
      <w:pPr>
        <w:pStyle w:val="TextoNormal"/>
      </w:pPr>
    </w:p>
    <w:p w14:paraId="00DF459D" w14:textId="77777777" w:rsidR="009D7677" w:rsidRDefault="009D7677" w:rsidP="009D7677">
      <w:pPr>
        <w:pStyle w:val="TextoNormal"/>
      </w:pPr>
      <w:r>
        <w:t>La resolución razona que el coordinador de seguridad y encargado del cumplimiento de las medidas por parte de la empresa informó favorablemente el plan de seguridad para la realización de las labores en el tejado del colegio. Dicho plan tenía varias fases: colocación de un andamio europeo, luego un punto fijo de anclaje, después de una línea de vida, seguidamente una barandilla una vez retirada las tejas. Por tanto, el riesgo estaba previsto, el andamio se había colocado y estaba muy avanzada la instalación de la línea de vida, pero el fallecido —que era el encargado de la obra y recurso preventivo de la empresa—, no utilizó el arnés que tenía a su disposición.</w:t>
      </w:r>
    </w:p>
    <w:p w14:paraId="5985425B" w14:textId="77777777" w:rsidR="009D7677" w:rsidRDefault="009D7677" w:rsidP="009D7677">
      <w:pPr>
        <w:pStyle w:val="TextoNormal"/>
      </w:pPr>
    </w:p>
    <w:p w14:paraId="30303251" w14:textId="77777777" w:rsidR="009D7677" w:rsidRDefault="009D7677" w:rsidP="009D7677">
      <w:pPr>
        <w:pStyle w:val="TextoNormal"/>
      </w:pPr>
      <w:r>
        <w:t>Considera que el inspector confirmó que la plataforma de trabajo estaba ya instalada, al igual que estaban instalándose (aún no concluidas) tanto la línea de vida como la barandilla alrededor de todo el tejado.</w:t>
      </w:r>
    </w:p>
    <w:p w14:paraId="5F552613" w14:textId="77777777" w:rsidR="009D7677" w:rsidRDefault="009D7677" w:rsidP="009D7677">
      <w:pPr>
        <w:pStyle w:val="TextoNormal"/>
      </w:pPr>
    </w:p>
    <w:p w14:paraId="581A4933" w14:textId="77777777" w:rsidR="009D7677" w:rsidRDefault="009D7677" w:rsidP="009D7677">
      <w:pPr>
        <w:pStyle w:val="TextoNormal"/>
      </w:pPr>
      <w:r>
        <w:t>Añade:</w:t>
      </w:r>
    </w:p>
    <w:p w14:paraId="08BD53D5" w14:textId="77777777" w:rsidR="009D7677" w:rsidRDefault="009D7677" w:rsidP="009D7677">
      <w:pPr>
        <w:pStyle w:val="TextoNormal"/>
      </w:pPr>
    </w:p>
    <w:p w14:paraId="05F4C075" w14:textId="77777777" w:rsidR="009D7677" w:rsidRDefault="009D7677" w:rsidP="009D7677">
      <w:pPr>
        <w:pStyle w:val="TextoNormal"/>
      </w:pPr>
      <w:r>
        <w:t xml:space="preserve">“Por lo que respecta a la barandilla que se estaba colocando alrededor del tejado, en las fotografías 7, 8 y 10 (folios 11 a 13 del atestado), a pesar de que el inspector de trabajo en el acto de la vista manifestó que la misma debe estar colocada antes de retirar las tejas, lo cierto y verdad es que si analizamos las citadas fotografías, podemos llegar a la conclusión de que para anclar dicha barandilla al tejado, resulta imprescindible que las tejas hayan sido eliminadas, al menos en la parte que sobresale del forjado del edificio; en cualquier caso, durante el tiempo en el que se tarda en colocar la barandilla, y puesto que la misma </w:t>
      </w:r>
      <w:r>
        <w:lastRenderedPageBreak/>
        <w:t>no se coloca en un instante, por fuerza tiene que haber un espacio temporal en el que no todo el tejado esté rodeado por esa barandilla; y para eso se coloca, en primer lugar, un anclaje y a continuación una línea de vida, para evitar los riesgos inherentes a operaciones como las de colocar la barandilla.</w:t>
      </w:r>
    </w:p>
    <w:p w14:paraId="0E0BFE31" w14:textId="77777777" w:rsidR="009D7677" w:rsidRDefault="009D7677" w:rsidP="009D7677">
      <w:pPr>
        <w:pStyle w:val="TextoNormal"/>
      </w:pPr>
    </w:p>
    <w:p w14:paraId="290EF982" w14:textId="77777777" w:rsidR="009D7677" w:rsidRDefault="009D7677" w:rsidP="009D7677">
      <w:pPr>
        <w:pStyle w:val="TextoNormal"/>
      </w:pPr>
      <w:r>
        <w:t>Es decir, por muy eficiente que sea la colocación de la barandilla, entiende este juzgador que forzosamente debe haber un periodo de tiempo en el que la misma no esté colocada en su integridad; y para limitar al máximo los riesgos se realiza la línea de vida, tal y como estaba contemplado en el plan de seguridad y tal y como se llevó a cabo por la empresa, sin que la línea de vida cumpliera su objetivo al no colocarse el fallecido el arnés facilitado por la empresa”.</w:t>
      </w:r>
    </w:p>
    <w:p w14:paraId="52A40FA0" w14:textId="77777777" w:rsidR="009D7677" w:rsidRDefault="009D7677" w:rsidP="009D7677">
      <w:pPr>
        <w:pStyle w:val="TextoNormal"/>
      </w:pPr>
    </w:p>
    <w:p w14:paraId="64615FE6" w14:textId="77777777" w:rsidR="009D7677" w:rsidRDefault="009D7677" w:rsidP="009D7677">
      <w:pPr>
        <w:pStyle w:val="TextoNormal"/>
      </w:pPr>
      <w:r>
        <w:t>Destaca que la obligación del empresario es nombrar un responsable de la actividad preventiva y el acusado había designado precisamente al fallecido y si bien no consta que el empresario llevara un seguimiento continuo de las actividades preventivas, era inviable que, además del recurso preventivo, en un centro de trabajo con tan escaso número de trabajadores haya, además, una persona que controle al recurso preventivo (que vigile al vigilante). Por tanto, aun entendiendo que la ausencia de este seguimiento continuo pueda ser sancionado desde el punto de vista administrativo o laboral, considera que el derecho penal no debe extenderse hasta este punto.</w:t>
      </w:r>
    </w:p>
    <w:p w14:paraId="15FA3797" w14:textId="77777777" w:rsidR="009D7677" w:rsidRDefault="009D7677" w:rsidP="009D7677">
      <w:pPr>
        <w:pStyle w:val="TextoNormal"/>
      </w:pPr>
    </w:p>
    <w:p w14:paraId="37AE53F3" w14:textId="77777777" w:rsidR="009D7677" w:rsidRDefault="009D7677" w:rsidP="009D7677">
      <w:pPr>
        <w:pStyle w:val="TextoNormal"/>
      </w:pPr>
      <w:r>
        <w:t>b) El Ministerio Fiscal interpuso frente a dicha sentencia recurso de apelación en el que alegaba la indebida inaplicación de los arts. 316 y 142.1 CP, en relación con el art. 8.3 CP, así como error en la apreciación de la prueba, solicitaba la anulación de la resolución recurrida y que se dictara otra por la que se condenara al acusado como autor de un delito contra los derechos de los trabajadores del art. 316 CP y de un delito de homicidio imprudente del art. 142.1 CP, por los hechos del día 9 de julio de 2019.</w:t>
      </w:r>
    </w:p>
    <w:p w14:paraId="2132D23B" w14:textId="77777777" w:rsidR="009D7677" w:rsidRDefault="009D7677" w:rsidP="009D7677">
      <w:pPr>
        <w:pStyle w:val="TextoNormal"/>
      </w:pPr>
    </w:p>
    <w:p w14:paraId="29C494A7" w14:textId="77777777" w:rsidR="009D7677" w:rsidRDefault="009D7677" w:rsidP="009D7677">
      <w:pPr>
        <w:pStyle w:val="TextoNormal"/>
      </w:pPr>
      <w:r>
        <w:t>Destaca el fiscal que en los hechos probados se indica que el trabajador estaba trabajando fuera del horario laboral correspondiente, sin contar con las medidas de protección adecuadas y sin que tampoco se vigilara por el empresario-acusado el uso del equipo de protección individual por parte de los trabajadores. A continuación, señala que pese a tales hechos probados, en los fundamentos de Derecho cuarto y quinto afirma que no existe prueba de tales hechos. Señala, que la responsabilidad del empresario no cesa al proporcionar a sus trabajadores equipos de protección individual, sino que le corresponde velar por el uso efectivo de los mismos.</w:t>
      </w:r>
    </w:p>
    <w:p w14:paraId="6E6030AC" w14:textId="77777777" w:rsidR="009D7677" w:rsidRDefault="009D7677" w:rsidP="009D7677">
      <w:pPr>
        <w:pStyle w:val="TextoNormal"/>
      </w:pPr>
    </w:p>
    <w:p w14:paraId="34F4E057" w14:textId="77777777" w:rsidR="009D7677" w:rsidRDefault="009D7677" w:rsidP="009D7677">
      <w:pPr>
        <w:pStyle w:val="TextoNormal"/>
      </w:pPr>
      <w:r>
        <w:t>c) Así mismo interpuso recurso de apelación la representación procesal de la acusación particular, en el que también solicitaba la condena por los delitos por los que el empresario había sido acusado y a su vez, en el ámbito de la responsabilidad civil, pedía que se condenara al acusado al pago de 300 000 €, con los intereses legales, descontando la cantidad ya recibida a cuenta, de 150 000 € que había sido abonada por la aseguradora Allianz. Alternativamente, interesaba que se anulara la sentencia y se devolvieran las actuaciones al juzgado de lo penal “concretando si la nulidad ha de extenderse al juicio oral y decretando, en virtud del principio de imparcialidad, la formación de una nueva composición del órgano de primera instancia”, según los arts. 790 y 792.2 de la Ley de enjuiciamiento criminal (LECrim), y que se dicte nueva sentencia por el referido juzgado de lo penal.</w:t>
      </w:r>
    </w:p>
    <w:p w14:paraId="49A754E7" w14:textId="77777777" w:rsidR="009D7677" w:rsidRDefault="009D7677" w:rsidP="009D7677">
      <w:pPr>
        <w:pStyle w:val="TextoNormal"/>
      </w:pPr>
    </w:p>
    <w:p w14:paraId="171DABE7" w14:textId="77777777" w:rsidR="009D7677" w:rsidRDefault="009D7677" w:rsidP="009D7677">
      <w:pPr>
        <w:pStyle w:val="TextoNormal"/>
      </w:pPr>
      <w:r>
        <w:lastRenderedPageBreak/>
        <w:t>El recurso de apelación se basaba en la concurrencia de los supuestos previstos en el art. 790.2 LECrim, al entender que se ha producido una indebida e incorrecta valoración de lo acreditado en la vista del juicio oral y de las normas legales sustantivas, planteando como motivos de apelación “la concurrencia de los siguientes elementos: 1) Insuficiencia o falta de racionalidad en la motivación fáctica; 2) apartamiento manifiesto de las máximas de experiencia; 3) omisión de todo razonamiento sobre alguna o algunas de las pruebas practicadas que pudieran tener relevancia”.</w:t>
      </w:r>
    </w:p>
    <w:p w14:paraId="279CB92C" w14:textId="77777777" w:rsidR="009D7677" w:rsidRDefault="009D7677" w:rsidP="009D7677">
      <w:pPr>
        <w:pStyle w:val="TextoNormal"/>
      </w:pPr>
    </w:p>
    <w:p w14:paraId="42B9B166" w14:textId="77777777" w:rsidR="009D7677" w:rsidRDefault="009D7677" w:rsidP="009D7677">
      <w:pPr>
        <w:pStyle w:val="TextoNormal"/>
      </w:pPr>
      <w:r>
        <w:t>Con base en los propios hechos declarados probados en la sentencia recurrida indicaba que debe concluirse que se dan los elementos del tipo legalmente establecido para condenar al acusado.</w:t>
      </w:r>
    </w:p>
    <w:p w14:paraId="2D53C5B3" w14:textId="77777777" w:rsidR="009D7677" w:rsidRDefault="009D7677" w:rsidP="009D7677">
      <w:pPr>
        <w:pStyle w:val="TextoNormal"/>
      </w:pPr>
    </w:p>
    <w:p w14:paraId="2F8F7A51" w14:textId="77777777" w:rsidR="009D7677" w:rsidRDefault="009D7677" w:rsidP="009D7677">
      <w:pPr>
        <w:pStyle w:val="TextoNormal"/>
      </w:pPr>
      <w:r>
        <w:t>Añadía que existe un error en la valoración de los hechos probados al considerar que la decisión de iniciar las obras por parte del acusado sin que la administración competente hubiera autorizado el inicio de las mismas supuso una falta de diligencia palmaria del empresario, al no haberse realizado la reunión previa para coordinar las actuaciones a realizar en materia de seguridad y salud.</w:t>
      </w:r>
    </w:p>
    <w:p w14:paraId="73BC7202" w14:textId="77777777" w:rsidR="009D7677" w:rsidRDefault="009D7677" w:rsidP="009D7677">
      <w:pPr>
        <w:pStyle w:val="TextoNormal"/>
      </w:pPr>
    </w:p>
    <w:p w14:paraId="3418C502" w14:textId="77777777" w:rsidR="009D7677" w:rsidRDefault="009D7677" w:rsidP="009D7677">
      <w:pPr>
        <w:pStyle w:val="TextoNormal"/>
      </w:pPr>
      <w:r>
        <w:t>Justificaba la existencia del riesgo para los trabajadores tanto en el acta de infracción de 25 de marzo de 2020 de la Inspección Provincial de Trabajo y Seguridad Social de Jaén, en cuya página 5 se detalla como causa del accidente la “ausencia de protección colectiva en la totalidad de la cubierta y ausencia de protección individual en la tarea concreta de aseguramiento de la línea de vida”, como en la declaración del inspector de Trabajo y Seguridad Social que ratificó el acta de inspección e indicó que el recurso preventivo es también un trabajador y por tanto el empresario tiene que velar por la seguridad del mismo, y que el trabajador tiene que estar protegido con un equipo de protección individual o con protección colectiva y no tenía ninguno, ni el equipo de protección individual ni la protección colectiva. En la zona en la que cayó el trabajador no había protección colectiva. Destaca a tal efecto el valor probatorio del acta del inspector de Trabajo y Seguridad Social.</w:t>
      </w:r>
    </w:p>
    <w:p w14:paraId="0B3AEC57" w14:textId="77777777" w:rsidR="009D7677" w:rsidRDefault="009D7677" w:rsidP="009D7677">
      <w:pPr>
        <w:pStyle w:val="TextoNormal"/>
      </w:pPr>
    </w:p>
    <w:p w14:paraId="1D1EE7B2" w14:textId="77777777" w:rsidR="009D7677" w:rsidRDefault="009D7677" w:rsidP="009D7677">
      <w:pPr>
        <w:pStyle w:val="TextoNormal"/>
      </w:pPr>
      <w:r>
        <w:t>d) La representación procesal del acusado presentó escrito de impugnación de los recursos de apelación interpuestos por el Ministerio Fiscal y la acusación particular, en el que solicitaba la desestimación de los recursos y la confirmación de la sentencia recurrida.</w:t>
      </w:r>
    </w:p>
    <w:p w14:paraId="5AF7ED03" w14:textId="77777777" w:rsidR="009D7677" w:rsidRDefault="009D7677" w:rsidP="009D7677">
      <w:pPr>
        <w:pStyle w:val="TextoNormal"/>
      </w:pPr>
    </w:p>
    <w:p w14:paraId="746E28BB" w14:textId="77777777" w:rsidR="009D7677" w:rsidRDefault="009D7677" w:rsidP="009D7677">
      <w:pPr>
        <w:pStyle w:val="TextoNormal"/>
      </w:pPr>
      <w:r>
        <w:t>e) La Sección Segunda de la Audiencia Provincial de Jaén dictó la sentencia núm. 167/2022, de 12 de julio, en la que estimó los recursos de apelación —rollo de apelación núm. 545-2022— y declaró la nulidad de la sentencia dictada el día 21 de abril de 2022, por el Juzgado de lo Penal núm. 4 de Jaén, “extendiéndose esa nulidad al acto del juicio al ser necesario, para preservar el principio de imparcialidad, que se celebre un nuevo juicio con otro magistrado/a”.</w:t>
      </w:r>
    </w:p>
    <w:p w14:paraId="22C94A28" w14:textId="77777777" w:rsidR="009D7677" w:rsidRDefault="009D7677" w:rsidP="009D7677">
      <w:pPr>
        <w:pStyle w:val="TextoNormal"/>
      </w:pPr>
    </w:p>
    <w:p w14:paraId="5144F499" w14:textId="77777777" w:rsidR="009D7677" w:rsidRDefault="009D7677" w:rsidP="009D7677">
      <w:pPr>
        <w:pStyle w:val="TextoNormal"/>
      </w:pPr>
      <w:r>
        <w:t xml:space="preserve">La sentencia reproduce en su argumentación los apartados 2 y 3 del art. 792 LECrim e indica que la posibilidad de agravación de las sentencias absolutorias ha sufrido importantes limitaciones a raíz de la reforma operada por la Ley 41/2015, de 5 de octubre, para la agilización de la justicia penal y el fortalecimiento de las garantías procesales. Sostiene que el citado precepto debe ser interpretado en el sentido de que el ámbito que queda reservado al tribunal de apelación para poder condenar al acusado absuelto —o agravar la condena impuesta— no es el propio de la valoración probatoria, limitando de este modo el </w:t>
      </w:r>
      <w:r>
        <w:lastRenderedPageBreak/>
        <w:t>examen revisor a cuestiones de tipicidad con escrupuloso respeto al principio de intangibilidad de los hechos probados.</w:t>
      </w:r>
    </w:p>
    <w:p w14:paraId="0AE7F4A9" w14:textId="77777777" w:rsidR="009D7677" w:rsidRDefault="009D7677" w:rsidP="009D7677">
      <w:pPr>
        <w:pStyle w:val="TextoNormal"/>
      </w:pPr>
    </w:p>
    <w:p w14:paraId="328DCFAB" w14:textId="77777777" w:rsidR="009D7677" w:rsidRDefault="009D7677" w:rsidP="009D7677">
      <w:pPr>
        <w:pStyle w:val="TextoNormal"/>
      </w:pPr>
      <w:r>
        <w:t>Añade que queda a salvo, para los supuestos de palmaria infracción de las normas del ordenamiento jurídico, la vía de la anulación de la sentencia absolutoria, para lo cual ha de tenerse presente, primero, que la anulación ha de ser solicitada en el recurso tal como se impone en el artículo 240, párrafo último, de la Ley Orgánica del Poder Judicial (LOPJ), y, la segunda, su carácter tasado (art. 238 LOPJ) y excepcional. Así, resulta del art. 790.2 LECrim, al que se remite el art. 792.2 de la misma ley, del que resulta la exigencia de justificar, en los supuestos en que se alegue error en la valoración de la prueba para pedir la anulación de la sentencia absolutoria, “la insuficiencia o la falta de racionalidad en la motivación fáctica, el apartamiento manifiesto de las máximas de experiencia o la omisión de todo razonamiento sobre alguna o algunas de las pruebas practicadas que pudieran tener relevancia o cuya nulidad haya sido improcedentemente declarada”.</w:t>
      </w:r>
    </w:p>
    <w:p w14:paraId="0340800D" w14:textId="77777777" w:rsidR="009D7677" w:rsidRDefault="009D7677" w:rsidP="009D7677">
      <w:pPr>
        <w:pStyle w:val="TextoNormal"/>
      </w:pPr>
    </w:p>
    <w:p w14:paraId="475D6DA4" w14:textId="77777777" w:rsidR="009D7677" w:rsidRDefault="009D7677" w:rsidP="009D7677">
      <w:pPr>
        <w:pStyle w:val="TextoNormal"/>
      </w:pPr>
      <w:r>
        <w:t>Tras ello indica lo siguiente:</w:t>
      </w:r>
    </w:p>
    <w:p w14:paraId="5D2F6C17" w14:textId="77777777" w:rsidR="009D7677" w:rsidRDefault="009D7677" w:rsidP="009D7677">
      <w:pPr>
        <w:pStyle w:val="TextoNormal"/>
      </w:pPr>
    </w:p>
    <w:p w14:paraId="3EA7F97B" w14:textId="77777777" w:rsidR="009D7677" w:rsidRDefault="009D7677" w:rsidP="009D7677">
      <w:pPr>
        <w:pStyle w:val="TextoNormal"/>
      </w:pPr>
      <w:r>
        <w:t>“Ahora bien, este tribunal considera que no se ha valorado correctamente la prueba documental referida al acta de infracción de fecha 25 de marzo de 2020, que obra a los folios 73 a 77 de las actuaciones. En efecto, en esa acta de infracción, firmada por el inspector de Trabajo y de la Seguridad Social, don Julián Casado Rodríguez, aparece lo siguiente:</w:t>
      </w:r>
    </w:p>
    <w:p w14:paraId="15785445" w14:textId="77777777" w:rsidR="009D7677" w:rsidRDefault="009D7677" w:rsidP="009D7677">
      <w:pPr>
        <w:pStyle w:val="TextoNormal"/>
      </w:pPr>
    </w:p>
    <w:p w14:paraId="5D49FB13" w14:textId="77777777" w:rsidR="009D7677" w:rsidRDefault="009D7677" w:rsidP="009D7677">
      <w:pPr>
        <w:pStyle w:val="TextoNormal"/>
      </w:pPr>
      <w:r>
        <w:t>El plan de seguridad y salud de la obra (junio de 2019), está redactado por don Urbano Cepas Fernández, en representación de la empresa constructora, siendo el encargado de seguridad y recurso preventivo don Andrés Lozano Pérez (el fallecido).</w:t>
      </w:r>
    </w:p>
    <w:p w14:paraId="66F5E476" w14:textId="77777777" w:rsidR="009D7677" w:rsidRDefault="009D7677" w:rsidP="009D7677">
      <w:pPr>
        <w:pStyle w:val="TextoNormal"/>
      </w:pPr>
    </w:p>
    <w:p w14:paraId="6F9C7EEE" w14:textId="77777777" w:rsidR="009D7677" w:rsidRDefault="009D7677" w:rsidP="009D7677">
      <w:pPr>
        <w:pStyle w:val="TextoNormal"/>
      </w:pPr>
      <w:r>
        <w:t>Tras la descripción del trabajo realizado y las circunstancias del accidente, se establecen como causas: ausencia de protección colectiva en la totalidad de la cubierta y ausencia de protección individual en la tarea concreta de aseguramiento de la línea de vida.</w:t>
      </w:r>
    </w:p>
    <w:p w14:paraId="60EC8767" w14:textId="77777777" w:rsidR="009D7677" w:rsidRDefault="009D7677" w:rsidP="009D7677">
      <w:pPr>
        <w:pStyle w:val="TextoNormal"/>
      </w:pPr>
    </w:p>
    <w:p w14:paraId="07E199D2" w14:textId="77777777" w:rsidR="009D7677" w:rsidRDefault="009D7677" w:rsidP="009D7677">
      <w:pPr>
        <w:pStyle w:val="TextoNormal"/>
      </w:pPr>
      <w:r>
        <w:t>No se tuvo conocimiento del inicio efectivo de las obras, a pesar de ser práctica habitual que la ejecución del contrato comience con la firma del acta de comprobación de replanteo e inicio de obra; no teniéndose en momento alguno autorización por parte de ningún técnico de la gerencia el inicio efectivo de las obras ni los trabajos en la cubierta.</w:t>
      </w:r>
    </w:p>
    <w:p w14:paraId="6E7FC76F" w14:textId="77777777" w:rsidR="009D7677" w:rsidRDefault="009D7677" w:rsidP="009D7677">
      <w:pPr>
        <w:pStyle w:val="TextoNormal"/>
      </w:pPr>
    </w:p>
    <w:p w14:paraId="0A170E3D" w14:textId="77777777" w:rsidR="009D7677" w:rsidRDefault="009D7677" w:rsidP="009D7677">
      <w:pPr>
        <w:pStyle w:val="TextoNormal"/>
      </w:pPr>
      <w:r>
        <w:t>Se expone también por el inspector que el día 9 de julio de 2019 en la referida actividad de construcción, participaba don Andrés Lozano Pérez, quien prestaba servicios para la empresa Servicios Generales Constructivos 2020, S.L., como encargado y recurso preventivo de la obra. Sobre las 17:00 horas del citado día 9 de julio de 2019, don Andrés presente en la cubierta del edificio del colegio, a dos aguas, que presenta unas dimensiones de 8,5 metros de anchura total y 34 metros de longitud y 6 metros de altura, todo aproximadamente, cayó al vacío e impactó a nivel del suelo, ante la ausencia de protección colectiva de la zona por la que cayó, y de protección individual.</w:t>
      </w:r>
    </w:p>
    <w:p w14:paraId="11DBE9FF" w14:textId="77777777" w:rsidR="009D7677" w:rsidRDefault="009D7677" w:rsidP="009D7677">
      <w:pPr>
        <w:pStyle w:val="TextoNormal"/>
      </w:pPr>
    </w:p>
    <w:p w14:paraId="1DB5978B" w14:textId="77777777" w:rsidR="009D7677" w:rsidRDefault="009D7677" w:rsidP="009D7677">
      <w:pPr>
        <w:pStyle w:val="TextoNormal"/>
      </w:pPr>
      <w:r>
        <w:t xml:space="preserve">Igualmente se hace constar que, según el calendario laboral para el año 2019, y para la construcción en la provincia de Jaén, el horario de trabajo era de 7:00 a 14:00 horas con carácter obligatorio, teniendo lugar el accidente el 9 de julio de 2019 a las 17:00 horas, encontrándose presentes dos trabajadores en la cubierta en el momento del accidente y que </w:t>
      </w:r>
      <w:r>
        <w:lastRenderedPageBreak/>
        <w:t>incumplían dicho horario. También se indica que la empresa, en los trabajos en el tejado afectado, no adoptó las medidas de protección colectiva necesarias, en atención a la altura, inclinación o posible carácter o estado resbaladizo para evitar caídas de los trabajadores [...], que no se ha velado por la utilización de los equipos de protección individual, y que no se ha cumplido con la obligación de realizar el seguimiento del plan de seguridad y salud en el trabajo, con el alcance y contenido establecidos en la normativa de prevención de riesgos laborales.</w:t>
      </w:r>
    </w:p>
    <w:p w14:paraId="7E28143D" w14:textId="77777777" w:rsidR="009D7677" w:rsidRDefault="009D7677" w:rsidP="009D7677">
      <w:pPr>
        <w:pStyle w:val="TextoNormal"/>
      </w:pPr>
    </w:p>
    <w:p w14:paraId="40D63699" w14:textId="77777777" w:rsidR="009D7677" w:rsidRDefault="009D7677" w:rsidP="009D7677">
      <w:pPr>
        <w:pStyle w:val="TextoNormal"/>
      </w:pPr>
      <w:r>
        <w:t>En consecuencia, este tribunal considera que concurren los presupuestos legales establecidos en el art. 790.2, último párrafo, de la Ley de enjuiciamiento criminal, para declarar la anulación de la sentencia absolutoria, ya que se aprecia insuficiencia o falta de racionalidad en la motivación fáctica, así como la omisión de razonamiento sobre la referida prueba documental, que puede tener relevancia en el pleito.</w:t>
      </w:r>
    </w:p>
    <w:p w14:paraId="1FC005E2" w14:textId="77777777" w:rsidR="009D7677" w:rsidRDefault="009D7677" w:rsidP="009D7677">
      <w:pPr>
        <w:pStyle w:val="TextoNormal"/>
      </w:pPr>
    </w:p>
    <w:p w14:paraId="7A94C87D" w14:textId="77777777" w:rsidR="009D7677" w:rsidRDefault="009D7677" w:rsidP="009D7677">
      <w:pPr>
        <w:pStyle w:val="TextoNormal"/>
      </w:pPr>
      <w:r>
        <w:t>Por lo expuesto, se estiman los recursos de apelación promovidos por el Ministerio Fiscal y la acusación particular ejercida por doña Antonia Cruz Cruz, declarando la anulación de la sentencia recurrida, en cuyo caso y, conforme al art. 792.2 LECrim se devolverán las actuaciones al Juzgado de lo Penal núm. 4 de Jaén, para que por una nueva composición del órgano de primera instancia se dicte sentencia tras la celebración de un nuevo juicio”.</w:t>
      </w:r>
    </w:p>
    <w:p w14:paraId="77C9E818" w14:textId="77777777" w:rsidR="009D7677" w:rsidRDefault="009D7677" w:rsidP="009D7677">
      <w:pPr>
        <w:pStyle w:val="TextoNormal"/>
      </w:pPr>
    </w:p>
    <w:p w14:paraId="129B18DB" w14:textId="77777777" w:rsidR="009D7677" w:rsidRDefault="009D7677" w:rsidP="009D7677">
      <w:pPr>
        <w:pStyle w:val="TextoNormal"/>
      </w:pPr>
      <w:r>
        <w:t xml:space="preserve">f) La representación de los recurrentes en amparo interpuso incidente de nulidad de actuaciones contra la anterior sentencia en el que alegaba la vulneración del derecho a un proceso con todas las garantías (art. 24.2 CE): (i) por haber otorgado al acta de la Inspección de Trabajo y Seguridad Social el valor exclusivo de prueba documental; (ii) por revocar una sentencia penal absolutoria y habilitar la posibilidad de un nuevo enjuiciamiento con infracción del </w:t>
      </w:r>
      <w:r w:rsidRPr="009D7677">
        <w:rPr>
          <w:i/>
        </w:rPr>
        <w:t>non bis in idem</w:t>
      </w:r>
      <w:r>
        <w:t xml:space="preserve"> procesal; y (iii) la vulneración del derecho a la tutela judicial efectiva del art. 24.1 CE, por partir de la premisa errónea de la falta de valoración por la sentencia anulada del acta de la Inspección de Trabajo y Seguridad Social, sin precisar la insuficiencia o falta de racionalidad en la motivación, llegando sin desarrollo argumental a conclusiones que no descansan en las razones de nulidad aducidas en la misma.</w:t>
      </w:r>
    </w:p>
    <w:p w14:paraId="40EA52E8" w14:textId="77777777" w:rsidR="009D7677" w:rsidRDefault="009D7677" w:rsidP="009D7677">
      <w:pPr>
        <w:pStyle w:val="TextoNormal"/>
      </w:pPr>
    </w:p>
    <w:p w14:paraId="09FB8090" w14:textId="42E07CFF" w:rsidR="009D7677" w:rsidRDefault="009D7677" w:rsidP="009D7677">
      <w:pPr>
        <w:pStyle w:val="TextoNormal"/>
      </w:pPr>
      <w:r>
        <w:t>g) Por providencia de 20 de septiembre de 2022, la Sección Segunda de la Audiencia Provincial de Jaén inadmitió a trámite el incidente de nulidad de actuaciones al considerar que lo que se efectúa en el incidente es una réplica a los razonamientos jurídicos de la sentencia, “lo que desde luego es absolutamente impropio del ámbito de tal incidente”.</w:t>
      </w:r>
    </w:p>
    <w:p w14:paraId="54D04F5C" w14:textId="77777777" w:rsidR="009D7677" w:rsidRDefault="009D7677" w:rsidP="009D7677">
      <w:pPr>
        <w:pStyle w:val="TextoNormal"/>
      </w:pPr>
    </w:p>
    <w:p w14:paraId="01BB5EF6" w14:textId="77777777" w:rsidR="009D7677" w:rsidRDefault="009D7677" w:rsidP="009D7677">
      <w:pPr>
        <w:pStyle w:val="TextoNormal"/>
      </w:pPr>
      <w:r w:rsidRPr="009D7677">
        <w:rPr>
          <w:rStyle w:val="NumeroAFNegritaCaracter"/>
        </w:rPr>
        <w:t>3</w:t>
      </w:r>
      <w:r>
        <w:t>. En la demanda de amparo se impugna la sentencia dictada por la Sección Segunda de la Audiencia Provincial de Jaén y la providencia por la que se inadmite el incidente de nulidad de actuaciones. Para los recurrentes, la sentencia ha vulnerado el derecho a un proceso con todas las garantías (art. 24.2 CE) —o a un proceso equitativo y justo (art. 6 del Convenio europeo para la protección de los derechos humanos y de las libertades fundamentales)— en relación con el derecho a la tutela judicial efectiva (art. 24.1 CE).</w:t>
      </w:r>
    </w:p>
    <w:p w14:paraId="299E5351" w14:textId="77777777" w:rsidR="009D7677" w:rsidRDefault="009D7677" w:rsidP="009D7677">
      <w:pPr>
        <w:pStyle w:val="TextoNormal"/>
      </w:pPr>
    </w:p>
    <w:p w14:paraId="25A52208" w14:textId="77777777" w:rsidR="009D7677" w:rsidRDefault="009D7677" w:rsidP="009D7677">
      <w:pPr>
        <w:pStyle w:val="TextoNormal"/>
      </w:pPr>
      <w:r>
        <w:t>a) En primer lugar, consideran que la sentencia impugnada vulneró el derecho a un juicio con todas las garantías establecido en el artículo 24.2 CE, como son los principios de inmediación y contradicción.</w:t>
      </w:r>
    </w:p>
    <w:p w14:paraId="5B01683D" w14:textId="77777777" w:rsidR="009D7677" w:rsidRDefault="009D7677" w:rsidP="009D7677">
      <w:pPr>
        <w:pStyle w:val="TextoNormal"/>
      </w:pPr>
    </w:p>
    <w:p w14:paraId="60B79688" w14:textId="77777777" w:rsidR="009D7677" w:rsidRDefault="009D7677" w:rsidP="009D7677">
      <w:pPr>
        <w:pStyle w:val="TextoNormal"/>
      </w:pPr>
      <w:r>
        <w:lastRenderedPageBreak/>
        <w:t>Argumentan que el juicio anulado se celebró bajo los principios de oralidad, publicidad, inmediación y contradicción y que la sentencia anulada se sustenta en la prueba practicada en el mismo y para valorar esa prueba en apelación es necesario la celebración de vista pública en segunda instancia. Afirman, con referencia a la declaración del inspector de Trabajo y Seguridad Social, que su declaración como testigo-perito o testigo es prueba personal por lo que el tribunal de apelación, al no presenciarla, carece de la inmediación y de los elementos que esta impone en la valoración de la prueba. Añade que el acta y la declaración de su autor en el plenario, solo son un medio de prueba que debe de ponerse en relación con los demás y no goza de la prevalencia que le otorga la sentencia de la Audiencia.</w:t>
      </w:r>
    </w:p>
    <w:p w14:paraId="4C0F120E" w14:textId="77777777" w:rsidR="009D7677" w:rsidRDefault="009D7677" w:rsidP="009D7677">
      <w:pPr>
        <w:pStyle w:val="TextoNormal"/>
      </w:pPr>
    </w:p>
    <w:p w14:paraId="2E5AAFD8" w14:textId="77777777" w:rsidR="009D7677" w:rsidRDefault="009D7677" w:rsidP="009D7677">
      <w:pPr>
        <w:pStyle w:val="TextoNormal"/>
      </w:pPr>
      <w:r>
        <w:t>b) En segundo lugar, reprochan a la sentencia de la Audiencia que vulnere el derecho a un proceso con todas las garantías (art. 24.2 CE), en lo que al derecho de no ser sometido a un proceso penal en más de una ocasión por los mismos hechos, por anular la sentencia de instancia y ordenar la celebración de nuevo juicio por un magistrado distinto, pese a que ninguna de las partes invocó frente a la sentencia de instancia infracción de norma procesal alguna causante de indefensión. Indican que la propia acusación particular en el recurso de apelación llega a reconocer que el acta de la inspección fue objeto de “ratificación en el plenario sometido a contradicción mediante las preguntas formuladas por las partes, sus respuestas y aclaraciones”. Señalan que los hechos probados fueron aceptados por las acusaciones, que no se denunció infracción procesal alguna, por lo que un nuevo juicio vulnera el derecho a un proceso con todas las garantías.</w:t>
      </w:r>
    </w:p>
    <w:p w14:paraId="1853BD5C" w14:textId="77777777" w:rsidR="009D7677" w:rsidRDefault="009D7677" w:rsidP="009D7677">
      <w:pPr>
        <w:pStyle w:val="TextoNormal"/>
      </w:pPr>
    </w:p>
    <w:p w14:paraId="00CD66F7" w14:textId="77777777" w:rsidR="009D7677" w:rsidRDefault="009D7677" w:rsidP="009D7677">
      <w:pPr>
        <w:pStyle w:val="TextoNormal"/>
      </w:pPr>
      <w:r>
        <w:t>c) Los recurrentes añaden que la sentencia de la Audiencia Provincial no contiene un razonamiento que justifique el reproche relativo a la incorrecta valoración del acta de inspección, solo se indica que dicha prueba documental ha sido omitida en el razonamiento de la sentencia de instancia, lo que —a juicio de los recurrentes— no se corresponde con la realidad, atendidos los fundamentos de Derecho segundo, cuarto, quinto y sexto de la sentencia dictada por el juzgado de lo penal, que reproduce parcialmente. Atendido el contenido de tales fundamentos concluyen que la motivación de la sentencia anulada es patente, a diferencia de la sentencia de la Audiencia Provincial que se limitan a decir que no se ha valorado suficientemente, sin mayor especificación el acta de inspección. Insisten en que los recurrentes admitieron en el recurso de apelación la declaración de hechos probados, pues no se solicitó adición o supresión alguna.</w:t>
      </w:r>
    </w:p>
    <w:p w14:paraId="399FB96F" w14:textId="77777777" w:rsidR="009D7677" w:rsidRDefault="009D7677" w:rsidP="009D7677">
      <w:pPr>
        <w:pStyle w:val="TextoNormal"/>
      </w:pPr>
    </w:p>
    <w:p w14:paraId="1CB1F23C" w14:textId="77777777" w:rsidR="009D7677" w:rsidRDefault="009D7677" w:rsidP="009D7677">
      <w:pPr>
        <w:pStyle w:val="TextoNormal"/>
      </w:pPr>
      <w:r>
        <w:t>d) Finalmente, refieren que la providencia vulneró el derecho a la tutela judicial efectiva (art. 24.1 CE) en la vertiente del derecho de acceso a los recursos, al incurrir en irrazonabilidad pues no se ajusta el razonamiento a los hechos del procedimiento.</w:t>
      </w:r>
    </w:p>
    <w:p w14:paraId="1F047C17" w14:textId="77777777" w:rsidR="009D7677" w:rsidRDefault="009D7677" w:rsidP="009D7677">
      <w:pPr>
        <w:pStyle w:val="TextoNormal"/>
      </w:pPr>
    </w:p>
    <w:p w14:paraId="3BEDED78" w14:textId="0A6F6710" w:rsidR="009D7677" w:rsidRDefault="009D7677" w:rsidP="009D7677">
      <w:pPr>
        <w:pStyle w:val="TextoNormal"/>
      </w:pPr>
      <w:r>
        <w:t>Por todo ello, se solicita que se anule la sentencia dictada por la Sección Segunda de la Audiencia Provincial de Jaén, para que se dicte otra acorde con los derechos invocados o para que se declare firme la de primera instancia. Subsidiariamente solicita que se anule la providencia de inadmisión del incidente de nulidad de actuaciones y se acuerde que se tramite el mismo y se resuelvan las cuestiones planteadas.</w:t>
      </w:r>
    </w:p>
    <w:p w14:paraId="79819D62" w14:textId="77777777" w:rsidR="009D7677" w:rsidRDefault="009D7677" w:rsidP="009D7677">
      <w:pPr>
        <w:pStyle w:val="TextoNormal"/>
      </w:pPr>
    </w:p>
    <w:p w14:paraId="4B7701DB" w14:textId="1408126D" w:rsidR="009D7677" w:rsidRDefault="009D7677" w:rsidP="009D7677">
      <w:pPr>
        <w:pStyle w:val="TextoNormal"/>
      </w:pPr>
      <w:r w:rsidRPr="009D7677">
        <w:rPr>
          <w:rStyle w:val="NumeroAFNegritaCaracter"/>
        </w:rPr>
        <w:t>4</w:t>
      </w:r>
      <w:r>
        <w:t xml:space="preserve">. Por providencia de 2 de diciembre de 2022, la Sección Tercera de este tribunal acordó admitir a trámite el recurso de amparo al apreciar que concurría en el mismo una especial trascendencia constitucional [art. 50.1 de la Ley Orgánica del Tribunal Constitucional </w:t>
      </w:r>
      <w:r>
        <w:lastRenderedPageBreak/>
        <w:t>(LOTC)] por plantear un problema o afectar a una faceta de un derecho fundamental sobre la que no había doctrina de este tribunal [STC 155/2009, de 25 de junio, FJ 2 a)] y, a tenor de lo dispuesto en el art. 51 LOTC, solicitar a la Sección Segunda de la Audiencia Provincial y al Juzgado de lo Penal núm. 4 de Jaén que remitieran el testimonio de las actuaciones correspondientes, acordando, la misma providencia, a instancia de los recurrentes, la suspensión cautelar de la celebración del juicio señalado en el Juzgado de lo Penal núm. 4 de Jaén para el día 5 de diciembre de 2022. Dicha suspensión fue ratificada por ATC 26/2023, de 6 de febrero.</w:t>
      </w:r>
    </w:p>
    <w:p w14:paraId="621C0B5D" w14:textId="77777777" w:rsidR="009D7677" w:rsidRDefault="009D7677" w:rsidP="009D7677">
      <w:pPr>
        <w:pStyle w:val="TextoNormal"/>
      </w:pPr>
    </w:p>
    <w:p w14:paraId="63A1FCB4" w14:textId="38679D1B" w:rsidR="009D7677" w:rsidRDefault="009D7677" w:rsidP="009D7677">
      <w:pPr>
        <w:pStyle w:val="TextoNormal"/>
      </w:pPr>
      <w:r w:rsidRPr="009D7677">
        <w:rPr>
          <w:rStyle w:val="NumeroAFNegritaCaracter"/>
        </w:rPr>
        <w:t>5</w:t>
      </w:r>
      <w:r>
        <w:t>. Por diligencia de ordenación de 20 de febrero de 2023 de la Secretaría de Justicia de la Sala Segunda de este tribunal se tuvo por personado al procurador de los tribunales don Antonio Luis Roncero Contreras en nombre y representación de doña Antonia Cruz Cruz y a tenor de lo dispuesto en el art. 52 LOTC se dio plazo común de veinte días a las partes personadas y al Ministerio Fiscal, para que dentro de dicho término efectuaran las alegaciones que estimaran pertinentes.</w:t>
      </w:r>
    </w:p>
    <w:p w14:paraId="5AD28746" w14:textId="77777777" w:rsidR="009D7677" w:rsidRDefault="009D7677" w:rsidP="009D7677">
      <w:pPr>
        <w:pStyle w:val="TextoNormal"/>
      </w:pPr>
    </w:p>
    <w:p w14:paraId="637D8D53" w14:textId="77777777" w:rsidR="009D7677" w:rsidRDefault="009D7677" w:rsidP="009D7677">
      <w:pPr>
        <w:pStyle w:val="TextoNormal"/>
      </w:pPr>
      <w:r w:rsidRPr="009D7677">
        <w:rPr>
          <w:rStyle w:val="NumeroAFNegritaCaracter"/>
        </w:rPr>
        <w:t>6</w:t>
      </w:r>
      <w:r>
        <w:t>. Mediante escrito registrado en este tribunal el 8 de marzo de 2023, la representación de doña Antonia Cruz Cruz presentó sus alegaciones e interesó la desestimación de la demanda y la confirmación de las resoluciones impugnadas.</w:t>
      </w:r>
    </w:p>
    <w:p w14:paraId="380183A2" w14:textId="77777777" w:rsidR="009D7677" w:rsidRDefault="009D7677" w:rsidP="009D7677">
      <w:pPr>
        <w:pStyle w:val="TextoNormal"/>
      </w:pPr>
    </w:p>
    <w:p w14:paraId="7E649B6F" w14:textId="77777777" w:rsidR="009D7677" w:rsidRDefault="009D7677" w:rsidP="009D7677">
      <w:pPr>
        <w:pStyle w:val="TextoNormal"/>
      </w:pPr>
      <w:r>
        <w:t>Razona, que lo pretendido por los recurrentes es que el Tribunal Constitucional entre a conocer los hechos que dieron lugar al procedimiento judicial, lo que le está expresamente vedado por el art. 44.1 b) LOTC.</w:t>
      </w:r>
    </w:p>
    <w:p w14:paraId="016C503E" w14:textId="77777777" w:rsidR="009D7677" w:rsidRDefault="009D7677" w:rsidP="009D7677">
      <w:pPr>
        <w:pStyle w:val="TextoNormal"/>
      </w:pPr>
    </w:p>
    <w:p w14:paraId="0BB6FCC0" w14:textId="77777777" w:rsidR="009D7677" w:rsidRDefault="009D7677" w:rsidP="009D7677">
      <w:pPr>
        <w:pStyle w:val="TextoNormal"/>
      </w:pPr>
      <w:r>
        <w:t>Destaca que tras la reforma operada por la Ley 41/2015, de 5 de octubre, y, concretamente del art. 792.2 LECrim, se reconoce la posibilidad, mediante el recurso de apelación, de anulación de la sentencia absolutoria. Afirma que la sentencia de la Audiencia Provincial, con sustento en dicho precepto, afirmó que se había omitido el razonamiento sobre la prueba documental consistente en el acta de infracción de 25 de marzo de 2020, en la que el inspector de Trabajo y de Seguridad Social, establece como causas del accidente: “[a]usencia de protección colectiva en la totalidad de la cubierta y ausencia de protección individual en la tarea concreta de aseguramiento de la línea de vida”. Añade que la empresa, no adoptó las medidas de protección necesarias, en atención a la altura, inclinación o posible carácter o estado resbaladizo para evitar caídas de los trabajadores, que no se ha velado por la utilización de los equipos de protección individual y que no se ha cumplido con la obligación de realizar el seguimiento del plan de seguridad y salud en el trabajo, con el alcance y contenido establecidos en la normativa de prevención de riesgos laborales.</w:t>
      </w:r>
    </w:p>
    <w:p w14:paraId="728074F6" w14:textId="77777777" w:rsidR="009D7677" w:rsidRDefault="009D7677" w:rsidP="009D7677">
      <w:pPr>
        <w:pStyle w:val="TextoNormal"/>
      </w:pPr>
    </w:p>
    <w:p w14:paraId="5C3902BD" w14:textId="77777777" w:rsidR="009D7677" w:rsidRDefault="009D7677" w:rsidP="009D7677">
      <w:pPr>
        <w:pStyle w:val="TextoNormal"/>
      </w:pPr>
      <w:r>
        <w:t xml:space="preserve">Añade que el fallo de la Audiencia Provincial no tiene carácter condenatorio, por lo que no puede incurrir en la vulneración del principio </w:t>
      </w:r>
      <w:r w:rsidRPr="009D7677">
        <w:rPr>
          <w:i/>
        </w:rPr>
        <w:t>ne bis in idem</w:t>
      </w:r>
      <w:r>
        <w:t xml:space="preserve"> y acuerda el enjuiciamiento por una composición distinta para evitar una posible contaminación y garantizar así la imparcialidad y objetividad judicial.</w:t>
      </w:r>
    </w:p>
    <w:p w14:paraId="16DE9FE0" w14:textId="77777777" w:rsidR="009D7677" w:rsidRDefault="009D7677" w:rsidP="009D7677">
      <w:pPr>
        <w:pStyle w:val="TextoNormal"/>
      </w:pPr>
    </w:p>
    <w:p w14:paraId="5F5BC3C5" w14:textId="4D4FE4B1" w:rsidR="009D7677" w:rsidRDefault="009D7677" w:rsidP="009D7677">
      <w:pPr>
        <w:pStyle w:val="TextoNormal"/>
      </w:pPr>
      <w:r>
        <w:t>Finalmente, refiere que la inadmisión del incidente de nulidad de actuaciones fue acertada, atendida la jurisprudencia del Tribunal Supremo.</w:t>
      </w:r>
    </w:p>
    <w:p w14:paraId="1A60A9C1" w14:textId="77777777" w:rsidR="009D7677" w:rsidRDefault="009D7677" w:rsidP="009D7677">
      <w:pPr>
        <w:pStyle w:val="TextoNormal"/>
      </w:pPr>
    </w:p>
    <w:p w14:paraId="531B08C8" w14:textId="4F2CC549" w:rsidR="009D7677" w:rsidRDefault="009D7677" w:rsidP="009D7677">
      <w:pPr>
        <w:pStyle w:val="TextoNormal"/>
      </w:pPr>
      <w:r w:rsidRPr="009D7677">
        <w:rPr>
          <w:rStyle w:val="NumeroAFNegritaCaracter"/>
        </w:rPr>
        <w:lastRenderedPageBreak/>
        <w:t>7</w:t>
      </w:r>
      <w:r>
        <w:t>. Por escrito registrado en este tribunal el 21 de marzo de 2023, la representación de los recurrentes en amparo dio por reproducidas las alegaciones expuestas en la demanda de amparo, reiterando sus argumentos.</w:t>
      </w:r>
    </w:p>
    <w:p w14:paraId="2CFF4DD8" w14:textId="77777777" w:rsidR="009D7677" w:rsidRDefault="009D7677" w:rsidP="009D7677">
      <w:pPr>
        <w:pStyle w:val="TextoNormal"/>
      </w:pPr>
    </w:p>
    <w:p w14:paraId="757FAF7D" w14:textId="77777777" w:rsidR="009D7677" w:rsidRDefault="009D7677" w:rsidP="009D7677">
      <w:pPr>
        <w:pStyle w:val="TextoNormal"/>
      </w:pPr>
      <w:r w:rsidRPr="009D7677">
        <w:rPr>
          <w:rStyle w:val="NumeroAFNegritaCaracter"/>
        </w:rPr>
        <w:t>8</w:t>
      </w:r>
      <w:r>
        <w:t>. El Ministerio Fiscal presentó sus alegaciones el 31 de marzo de 2023 y solicitó que se dicte sentencia en la que se estime parcialmente el recurso de amparo, se reconozca vulnerado el derecho a un proceso con todas las garantías y se anulen la sentencia y la providencia dictadas por la Sección Segunda de la Audiencia Provincial de Jaén, para que se dicte otra respetuosa con el derecho fundamental reconocido.</w:t>
      </w:r>
    </w:p>
    <w:p w14:paraId="41A171A1" w14:textId="77777777" w:rsidR="009D7677" w:rsidRDefault="009D7677" w:rsidP="009D7677">
      <w:pPr>
        <w:pStyle w:val="TextoNormal"/>
      </w:pPr>
    </w:p>
    <w:p w14:paraId="2E30AAC9" w14:textId="77777777" w:rsidR="009D7677" w:rsidRDefault="009D7677" w:rsidP="009D7677">
      <w:pPr>
        <w:pStyle w:val="TextoNormal"/>
      </w:pPr>
      <w:r>
        <w:t>El fiscal recoge de modo pormenorizado los antecedentes de los que trae causa la demanda de amparo, su objeto y el contenido de las vulneraciones invocadas. Descarta la concurrencia de defecto procesal alguno vinculado al agotamiento de la vía judicial previa y glosa la doctrina del Tribunal Constitucional relativa al diferente régimen de impugnación de las sentencias penales, según sean absolutorias o de condena, con sustento en la STC 120/2009, de 18 de mayo. Expone los motivos en los que puede sustentarse el recurso de apelación conforme al art. 790.2 LECrim y las consecuencias que lleva aparejada la anulación de la sentencia dictada atendida la literalidad del art. 792.2 LECrim y la interpretación que de tales preceptos efectuó la Circular de la Fiscalía General del Estado 1/2018, de 1 de junio, sobre algunas cuestiones que suscita la nueva regulación de la segunda instancia en materia penal.</w:t>
      </w:r>
    </w:p>
    <w:p w14:paraId="5F0A015B" w14:textId="77777777" w:rsidR="009D7677" w:rsidRDefault="009D7677" w:rsidP="009D7677">
      <w:pPr>
        <w:pStyle w:val="TextoNormal"/>
      </w:pPr>
    </w:p>
    <w:p w14:paraId="196C27E9" w14:textId="77777777" w:rsidR="009D7677" w:rsidRDefault="009D7677" w:rsidP="009D7677">
      <w:pPr>
        <w:pStyle w:val="TextoNormal"/>
      </w:pPr>
      <w:r>
        <w:t xml:space="preserve">Entiende que conforme a la circular, el tenor del art. 792 LECrim admite que no siempre sea necesaria la repetición del juicio oral y que, aun cuando sea precisa esa repetición, pueda realizarse con la misma o con diferente composición. Pese a que el precepto no establece los parámetros que deben tomarse en consideración para decantarse por una u otra solución, la circular considera que cuando la causa de la anulación es la omisión de razonamientos sobre pruebas practicadas que pudieran tener relevancia o cuya nulidad haya sido improcedentemente declarada, habrá que entender como regla general que no es necesario repetir el juicio oral, ni consiguientemente una nueva composición del órgano de primera instancia, pues el vicio únicamente es </w:t>
      </w:r>
      <w:r w:rsidRPr="009D7677">
        <w:rPr>
          <w:i/>
        </w:rPr>
        <w:t>in iudicando</w:t>
      </w:r>
      <w:r>
        <w:t xml:space="preserve"> y tales infracciones no implican </w:t>
      </w:r>
      <w:r w:rsidRPr="009D7677">
        <w:rPr>
          <w:i/>
        </w:rPr>
        <w:t>per se</w:t>
      </w:r>
      <w:r>
        <w:t xml:space="preserve"> compromiso para la imparcialidad del juzgador. En cambio, cuando se anula la sentencia por considerar irracionales las inferencias del tribunal </w:t>
      </w:r>
      <w:r w:rsidRPr="009D7677">
        <w:rPr>
          <w:i/>
        </w:rPr>
        <w:t>a quo</w:t>
      </w:r>
      <w:r>
        <w:t>, parecería lógico interesar una nueva celebración del juicio con nuevos magistrados.</w:t>
      </w:r>
    </w:p>
    <w:p w14:paraId="74EEF746" w14:textId="77777777" w:rsidR="009D7677" w:rsidRDefault="009D7677" w:rsidP="009D7677">
      <w:pPr>
        <w:pStyle w:val="TextoNormal"/>
      </w:pPr>
    </w:p>
    <w:p w14:paraId="2EE5668D" w14:textId="77777777" w:rsidR="009D7677" w:rsidRDefault="009D7677" w:rsidP="009D7677">
      <w:pPr>
        <w:pStyle w:val="TextoNormal"/>
      </w:pPr>
      <w:r>
        <w:t xml:space="preserve">A continuación, examina el contenido de los recursos de apelación interpuestos por el Ministerio Fiscal y por la acusación particular y el razonamiento seguido por la Sección Segunda de la Audiencia Provincial de Jaén para estimar el recurso de apelación. Refiere que la sentencia se ajustó a las prescripciones de los arts. 790.2 y 792.2 LECrim, al apreciar en la sentencia recurrida un error en la apreciación de la prueba (apartado primero del art. 790.2 LECrim) por insuficiencia o falta de racionalidad en la motivación fáctica (apartado primero del art. 792.2 LECrim), y, dado que no podía condenar al absuelto, procedió a anular la sentencia de instancia (apartado segundo del art. 792.2 LECrim) y devolver las actuaciones al órgano que dictó la resolución recurrida, concretando que la nulidad debía extenderse al juicio oral, para que el órgano de primera instancia procediera a un nuevo enjuiciamiento de la causa, con una nueva composición, en atención al principio de imparcialidad. Entiende que la actuación de la Sección Segunda de la Audiencia Provincial de </w:t>
      </w:r>
      <w:r>
        <w:lastRenderedPageBreak/>
        <w:t>Jaén se movió dentro de los parámetros legalmente establecidos y se guio por criterios jurídicos comúnmente aceptados.</w:t>
      </w:r>
    </w:p>
    <w:p w14:paraId="48347215" w14:textId="77777777" w:rsidR="009D7677" w:rsidRDefault="009D7677" w:rsidP="009D7677">
      <w:pPr>
        <w:pStyle w:val="TextoNormal"/>
      </w:pPr>
    </w:p>
    <w:p w14:paraId="334F0D90" w14:textId="77777777" w:rsidR="009D7677" w:rsidRDefault="009D7677" w:rsidP="009D7677">
      <w:pPr>
        <w:pStyle w:val="TextoNormal"/>
      </w:pPr>
      <w:r>
        <w:t xml:space="preserve">Para el fiscal el problema que se plantea es si dicha sentencia, a pesar de todo, pudo lesionar el derecho invocado por la parte demandante en su segundo motivo de amparo, esto es, la vulneración del derecho a la tutela judicial efectiva (art. 24.1 CE) y del derecho a un proceso con todas las garantías (art. 24.2 CE) de los recurrentes al desconocer la garantía del </w:t>
      </w:r>
      <w:r w:rsidRPr="009D7677">
        <w:rPr>
          <w:i/>
        </w:rPr>
        <w:t>ne bis in idem</w:t>
      </w:r>
      <w:r>
        <w:t xml:space="preserve"> procesal y al disponer la celebración de un nuevo juicio oral presidido por un magistrado distinto. Es en este punto en el que el fiscal trae a colación las SSTC 1/2019, de 14 de enero, FJ 3, y 4/2004, de 14 de enero, concretamente su fundamento jurídico 4, sobre la diferencia que existe entre la acusación y los acusados, desde la perspectiva de los derechos fundamentales y su proyección en relación con los efectos de la interdicción del </w:t>
      </w:r>
      <w:r w:rsidRPr="009D7677">
        <w:rPr>
          <w:i/>
        </w:rPr>
        <w:t>bis in idem</w:t>
      </w:r>
      <w:r>
        <w:t>.</w:t>
      </w:r>
    </w:p>
    <w:p w14:paraId="6800BDF7" w14:textId="77777777" w:rsidR="009D7677" w:rsidRDefault="009D7677" w:rsidP="009D7677">
      <w:pPr>
        <w:pStyle w:val="TextoNormal"/>
      </w:pPr>
    </w:p>
    <w:p w14:paraId="19E97B9B" w14:textId="77777777" w:rsidR="009D7677" w:rsidRDefault="009D7677" w:rsidP="009D7677">
      <w:pPr>
        <w:pStyle w:val="TextoNormal"/>
      </w:pPr>
      <w:r>
        <w:t xml:space="preserve">Llegados a este punto el fiscal sostiene que la sentencia no podía ordenar la retroacción de actuaciones para celebrar un nuevo juicio, pues no se produjo infracción procesal causante de indefensión, ni tan siquiera la misma fue denunciada, lo que debe llevar a estimar vulnerado el derecho fundamental a un proceso con todas las garantías al haberse desconocido por la sentencia dictada por la Sección Segunda de la Audiencia Provincial de Jaén la garantía del </w:t>
      </w:r>
      <w:r w:rsidRPr="009D7677">
        <w:rPr>
          <w:i/>
        </w:rPr>
        <w:t>ne bis in idem</w:t>
      </w:r>
      <w:r>
        <w:t xml:space="preserve"> procesal, sin que sea preciso entrar a examinar la vulneración atribuida a la providencia dictada por el mismo órgano judicial.</w:t>
      </w:r>
    </w:p>
    <w:p w14:paraId="4C103F77" w14:textId="77777777" w:rsidR="009D7677" w:rsidRDefault="009D7677" w:rsidP="009D7677">
      <w:pPr>
        <w:pStyle w:val="TextoNormal"/>
      </w:pPr>
    </w:p>
    <w:p w14:paraId="74BACE84" w14:textId="1238B985" w:rsidR="009D7677" w:rsidRDefault="009D7677" w:rsidP="009D7677">
      <w:pPr>
        <w:pStyle w:val="TextoNormal"/>
      </w:pPr>
      <w:r>
        <w:t>Finalmente descarta el resto de las lesiones atribuidas a la sentencia de la Audiencia Provincial, pues la sentencia motivó en su segundo fundamento las razones por las que entendía incorrecta la valoración efectuada por el juez de lo penal del acta de infracción de la Inspección de Trabajo y Seguridad Social y dedujo la existencia de una insuficiencia y falta de racionalidad de la motivación fáctica de la sentencia de instancia. Por otra parte, considera que debe descartarse que la Audiencia Provincial tuviera que practicar la prueba testifical-pericial del funcionario de la Inspección de Trabajo y Seguridad social que extendió el acta de inspección, al no ser necesario para apreciar la “insuficiencia o falta de racionalidad” en la motivación fáctica. Por último, descarta la vulneración del derecho a la presunción de inocencia por no haberse anulado la sentencia pese a que no se habían impugnado los hechos probados de la misma, pues en la actual configuración del recurso de apelación únicamente es posible la impugnación de los hechos probados mediante el cuestionamiento de la suficiencia, insuficiencia, la racionalidad o irracionalidad de la motivación fáctica que lleva a dicho relato.</w:t>
      </w:r>
    </w:p>
    <w:p w14:paraId="03CABE44" w14:textId="77777777" w:rsidR="009D7677" w:rsidRDefault="009D7677" w:rsidP="009D7677">
      <w:pPr>
        <w:pStyle w:val="TextoNormal"/>
      </w:pPr>
    </w:p>
    <w:p w14:paraId="44B7211B" w14:textId="407DD550" w:rsidR="009D7677" w:rsidRDefault="009D7677" w:rsidP="009D7677">
      <w:pPr>
        <w:pStyle w:val="TextoNormal"/>
      </w:pPr>
      <w:r w:rsidRPr="009D7677">
        <w:rPr>
          <w:rStyle w:val="NumeroAFNegritaCaracter"/>
        </w:rPr>
        <w:t>9</w:t>
      </w:r>
      <w:r>
        <w:t>. Por providencia de 16 de mayo de 2024, se señaló para deliberación y fallo de esta sentencia el día 20 del mismo mes y año.</w:t>
      </w:r>
    </w:p>
    <w:p w14:paraId="13E46EAD" w14:textId="77777777" w:rsidR="009D7677" w:rsidRDefault="009D7677" w:rsidP="009D7677">
      <w:pPr>
        <w:pStyle w:val="TextoNormal"/>
      </w:pPr>
    </w:p>
    <w:p w14:paraId="34156EF7" w14:textId="77777777" w:rsidR="009D7677" w:rsidRDefault="009D7677" w:rsidP="009D7677">
      <w:pPr>
        <w:pStyle w:val="TextoNormalNegritaCentrado"/>
        <w:keepNext/>
      </w:pPr>
      <w:r>
        <w:t>II. Fundamentos jurídicos</w:t>
      </w:r>
    </w:p>
    <w:p w14:paraId="0935628B" w14:textId="60122B56" w:rsidR="009D7677" w:rsidRDefault="009D7677" w:rsidP="009D7677">
      <w:pPr>
        <w:pStyle w:val="TextoNormalNegritaCentrado"/>
        <w:keepNext/>
      </w:pPr>
    </w:p>
    <w:p w14:paraId="58103D38" w14:textId="77777777" w:rsidR="009D7677" w:rsidRDefault="009D7677" w:rsidP="009D7677">
      <w:pPr>
        <w:pStyle w:val="TextoNormal"/>
      </w:pPr>
      <w:r w:rsidRPr="009D7677">
        <w:rPr>
          <w:rStyle w:val="NumeroAFNegritaCaracter"/>
        </w:rPr>
        <w:t>1</w:t>
      </w:r>
      <w:r>
        <w:t xml:space="preserve">. </w:t>
      </w:r>
      <w:r w:rsidRPr="009D7677">
        <w:rPr>
          <w:i/>
        </w:rPr>
        <w:t>Objeto de la demanda de amparo</w:t>
      </w:r>
    </w:p>
    <w:p w14:paraId="3EED7A8E" w14:textId="77777777" w:rsidR="009D7677" w:rsidRDefault="009D7677" w:rsidP="009D7677">
      <w:pPr>
        <w:pStyle w:val="TextoNormal"/>
      </w:pPr>
    </w:p>
    <w:p w14:paraId="10C809D8" w14:textId="77777777" w:rsidR="009D7677" w:rsidRDefault="009D7677" w:rsidP="009D7677">
      <w:pPr>
        <w:pStyle w:val="TextoNormal"/>
      </w:pPr>
      <w:r>
        <w:t xml:space="preserve">A) La presente demanda de amparo se dirige contra la sentencia dictada por la Sección Segunda de la Audiencia Provincial de Jaén de 12 de julio de 2022 que anuló, al estimar parcialmente el recurso de apelación, la sentencia dictada por el Juzgado de lo Penal núm. </w:t>
      </w:r>
      <w:r>
        <w:lastRenderedPageBreak/>
        <w:t>4 de Jaén, que había absuelto al acusado y consiguientemente exonerado al responsable civil subsidiario, y acordó además la retroacción de actuaciones y la celebración de nueva vista oral por un magistrado distinto del que había juzgado los hechos en la primera instancia. También se dirige el recurso de amparo contra la providencia de esa misma sección dictada el 20 de septiembre de 2022, por la que se inadmitió el incidente de nulidad de actuaciones interpuesto frente a la referida sentencia.</w:t>
      </w:r>
    </w:p>
    <w:p w14:paraId="3D011CA4" w14:textId="77777777" w:rsidR="009D7677" w:rsidRDefault="009D7677" w:rsidP="009D7677">
      <w:pPr>
        <w:pStyle w:val="TextoNormal"/>
      </w:pPr>
    </w:p>
    <w:p w14:paraId="1769C497" w14:textId="77777777" w:rsidR="009D7677" w:rsidRDefault="009D7677" w:rsidP="009D7677">
      <w:pPr>
        <w:pStyle w:val="TextoNormal"/>
      </w:pPr>
      <w:r>
        <w:t>Como se ha expuesto, los demandantes consideran vulnerados sus derechos a la tutela judicial efectiva, a un proceso con todas la garantías y a la presunción de inocencia (art. 24.1 y 2 CE). Cuatro son los motivos de amparo planteados en la demanda:</w:t>
      </w:r>
    </w:p>
    <w:p w14:paraId="6C986ED8" w14:textId="77777777" w:rsidR="009D7677" w:rsidRDefault="009D7677" w:rsidP="009D7677">
      <w:pPr>
        <w:pStyle w:val="TextoNormal"/>
      </w:pPr>
    </w:p>
    <w:p w14:paraId="2FF71560" w14:textId="77777777" w:rsidR="009D7677" w:rsidRDefault="009D7677" w:rsidP="009D7677">
      <w:pPr>
        <w:pStyle w:val="TextoNormal"/>
      </w:pPr>
      <w:r>
        <w:t>a) La vulneración de su derecho a un proceso con todas las garantías (art. 24.2 CE), por haber anulado la sentencia dictada por el juzgado de lo penal sin haber practicado con inmediación la declaración del testigo-perito pese a su naturaleza de prueba personal.</w:t>
      </w:r>
    </w:p>
    <w:p w14:paraId="3BFFD7F7" w14:textId="77777777" w:rsidR="009D7677" w:rsidRDefault="009D7677" w:rsidP="009D7677">
      <w:pPr>
        <w:pStyle w:val="TextoNormal"/>
      </w:pPr>
    </w:p>
    <w:p w14:paraId="14DB9422" w14:textId="77777777" w:rsidR="009D7677" w:rsidRDefault="009D7677" w:rsidP="009D7677">
      <w:pPr>
        <w:pStyle w:val="TextoNormal"/>
      </w:pPr>
      <w:r>
        <w:t xml:space="preserve">b) La vulneración del derecho a un proceso con todas las garantías (art. 24.2 CE), por la infracción del principio </w:t>
      </w:r>
      <w:r w:rsidRPr="009D7677">
        <w:rPr>
          <w:i/>
        </w:rPr>
        <w:t>ne bis in idem</w:t>
      </w:r>
      <w:r>
        <w:t>, al ordenar la celebración de un nuevo juicio, sin que se invocara por las partes la infracción de norma procesal causante de indefensión y pese a que quienes interpusieron el recurso de apelación aceptaron los hechos probados.</w:t>
      </w:r>
    </w:p>
    <w:p w14:paraId="0019CB0B" w14:textId="77777777" w:rsidR="009D7677" w:rsidRDefault="009D7677" w:rsidP="009D7677">
      <w:pPr>
        <w:pStyle w:val="TextoNormal"/>
      </w:pPr>
    </w:p>
    <w:p w14:paraId="3B08C56E" w14:textId="77777777" w:rsidR="009D7677" w:rsidRDefault="009D7677" w:rsidP="009D7677">
      <w:pPr>
        <w:pStyle w:val="TextoNormal"/>
      </w:pPr>
      <w:r>
        <w:t>c) La vulneración de su derecho a la tutela judicial efectiva sin indefensión y del derecho a la presunción de inocencia (arts. 24.1 y 24.2 CE) por falta de motivación del pronunciamiento relativo a la incorrecta valoración del acta de inspección, al considerar, en este punto, que también se produce una lesión del derecho a la presunción de inocencia al no haberse cuestionado los hechos probados.</w:t>
      </w:r>
    </w:p>
    <w:p w14:paraId="1E5A916C" w14:textId="77777777" w:rsidR="009D7677" w:rsidRDefault="009D7677" w:rsidP="009D7677">
      <w:pPr>
        <w:pStyle w:val="TextoNormal"/>
      </w:pPr>
    </w:p>
    <w:p w14:paraId="21AB3026" w14:textId="77777777" w:rsidR="009D7677" w:rsidRDefault="009D7677" w:rsidP="009D7677">
      <w:pPr>
        <w:pStyle w:val="TextoNormal"/>
      </w:pPr>
      <w:r>
        <w:t>d) Finalmente los recurrentes atribuyen a la providencia de esa misma sección, la vulneración del derecho de acceso al recurso por la indebida inadmisión del incidente de nulidad interpuesto.</w:t>
      </w:r>
    </w:p>
    <w:p w14:paraId="528DC3ED" w14:textId="77777777" w:rsidR="009D7677" w:rsidRDefault="009D7677" w:rsidP="009D7677">
      <w:pPr>
        <w:pStyle w:val="TextoNormal"/>
      </w:pPr>
    </w:p>
    <w:p w14:paraId="154690D7" w14:textId="77777777" w:rsidR="009D7677" w:rsidRDefault="009D7677" w:rsidP="009D7677">
      <w:pPr>
        <w:pStyle w:val="TextoNormal"/>
      </w:pPr>
      <w:r>
        <w:t>B) Por su parte, la representación de doña Antonia Cruz Cruz solicita la desestimación de la demanda de amparo al no concurrir las vulneraciones denunciadas.</w:t>
      </w:r>
    </w:p>
    <w:p w14:paraId="63D6A03C" w14:textId="77777777" w:rsidR="009D7677" w:rsidRDefault="009D7677" w:rsidP="009D7677">
      <w:pPr>
        <w:pStyle w:val="TextoNormal"/>
      </w:pPr>
    </w:p>
    <w:p w14:paraId="4944EFD4" w14:textId="27A11839" w:rsidR="009D7677" w:rsidRDefault="009D7677" w:rsidP="009D7677">
      <w:pPr>
        <w:pStyle w:val="TextoNormal"/>
      </w:pPr>
      <w:r>
        <w:t xml:space="preserve">El Ministerio Fiscal entiende que debe estimarse parcialmente el recurso de amparo al considerar que la sentencia ha desconocido la garantía del </w:t>
      </w:r>
      <w:r w:rsidRPr="009D7677">
        <w:rPr>
          <w:i/>
        </w:rPr>
        <w:t>ne bis in idem</w:t>
      </w:r>
      <w:r>
        <w:t xml:space="preserve"> procesal por disponer la celebración de un nuevo juicio oral por un magistrado distinto, pese a que no se quebrantaron garantías procesales que hubieran ocasionado indefensión. Consiguientemente no entra a examinar la vulneración atribuida a la providencia que inadmite el incidente de nulidad. Ahora bien, el resto de las vulneraciones denunciadas, a juicio del Ministerio Fiscal, deben ser desestimadas al ajustarse el proceder de la Audiencia Provincial a los parámetros legalmente establecidos, tanto en lo que se refiere a la motivación de la infracción apreciada, como a la exigencia de la práctica de la prueba testifical-pericial en segunda instancia y a la lesión del derecho a la presunción de inocencia.</w:t>
      </w:r>
    </w:p>
    <w:p w14:paraId="0EFC4630" w14:textId="77777777" w:rsidR="009D7677" w:rsidRDefault="009D7677" w:rsidP="009D7677">
      <w:pPr>
        <w:pStyle w:val="TextoNormal"/>
      </w:pPr>
    </w:p>
    <w:p w14:paraId="6E64D082" w14:textId="77777777" w:rsidR="009D7677" w:rsidRDefault="009D7677" w:rsidP="009D7677">
      <w:pPr>
        <w:pStyle w:val="TextoNormal"/>
      </w:pPr>
      <w:r w:rsidRPr="009D7677">
        <w:rPr>
          <w:rStyle w:val="NumeroAFNegritaCaracter"/>
        </w:rPr>
        <w:t>2</w:t>
      </w:r>
      <w:r>
        <w:t xml:space="preserve">. </w:t>
      </w:r>
      <w:r w:rsidRPr="009D7677">
        <w:rPr>
          <w:i/>
        </w:rPr>
        <w:t>Orden de las quejas</w:t>
      </w:r>
    </w:p>
    <w:p w14:paraId="11FD570F" w14:textId="77777777" w:rsidR="009D7677" w:rsidRDefault="009D7677" w:rsidP="009D7677">
      <w:pPr>
        <w:pStyle w:val="TextoNormal"/>
      </w:pPr>
    </w:p>
    <w:p w14:paraId="7ACDBC89" w14:textId="77777777" w:rsidR="009D7677" w:rsidRDefault="009D7677" w:rsidP="009D7677">
      <w:pPr>
        <w:pStyle w:val="TextoNormal"/>
      </w:pPr>
      <w:r>
        <w:t xml:space="preserve">Con carácter previo al examen de las vulneraciones aducidas resulta pertinente señalar que según constante jurisprudencia de este tribunal, el análisis de las quejas de amparo ha </w:t>
      </w:r>
      <w:r>
        <w:lastRenderedPageBreak/>
        <w:t>de iniciarse dando preferencia a aquellas de las que podría derivarse una retroacción de actuaciones y, dentro de ellas, a las que, por determinar la retroacción a un momento anterior, hagan innecesario un pronunciamiento sobre las restantes (SSTC 90/2010, de 15 de noviembre, FJ 2; 25/2012, de 27 de febrero, FJ 2; 41/2020, de 9 de marzo, FJ 2, y, recientemente 92/2023, de 11 de septiembre), lo que conduce a dar prioridad al examen de las distintas infracciones que se atribuyen a la sentencia de la Sección Segunda de la Audiencia Provincial de Jaén, pues de estimarse alguna de ellas haría innecesario el examen de la vulneración que se atribuye a la providencia dictada por dicho órgano judicial.</w:t>
      </w:r>
    </w:p>
    <w:p w14:paraId="019CA1C8" w14:textId="77777777" w:rsidR="009D7677" w:rsidRDefault="009D7677" w:rsidP="009D7677">
      <w:pPr>
        <w:pStyle w:val="TextoNormal"/>
      </w:pPr>
    </w:p>
    <w:p w14:paraId="227B92C3" w14:textId="5287CAD4" w:rsidR="009D7677" w:rsidRDefault="009D7677" w:rsidP="009D7677">
      <w:pPr>
        <w:pStyle w:val="TextoNormal"/>
      </w:pPr>
      <w:r>
        <w:t>Dentro de estas examinaremos en primer lugar la vulneración de su derecho a la tutela judicial efectiva sin indefensión y del derecho a la presunción de inocencia (arts. 24.1 y 24.2 CE), pues en caso de apreciarse la lesión de este último el vicio sería insubsanable y no admitiría retroacción.</w:t>
      </w:r>
    </w:p>
    <w:p w14:paraId="5ECFC99F" w14:textId="77777777" w:rsidR="009D7677" w:rsidRDefault="009D7677" w:rsidP="009D7677">
      <w:pPr>
        <w:pStyle w:val="TextoNormal"/>
      </w:pPr>
    </w:p>
    <w:p w14:paraId="32A8533A" w14:textId="77777777" w:rsidR="009D7677" w:rsidRDefault="009D7677" w:rsidP="009D7677">
      <w:pPr>
        <w:pStyle w:val="TextoNormal"/>
      </w:pPr>
      <w:r w:rsidRPr="009D7677">
        <w:rPr>
          <w:rStyle w:val="NumeroAFNegritaCaracter"/>
        </w:rPr>
        <w:t>3</w:t>
      </w:r>
      <w:r>
        <w:t xml:space="preserve">. </w:t>
      </w:r>
      <w:r w:rsidRPr="009D7677">
        <w:rPr>
          <w:i/>
        </w:rPr>
        <w:t>Vulneración del derecho a la tutela judicial efectiva (art. 24.1 CE) y del derecho a la presunción de inocencia (art. 24.2 CE)</w:t>
      </w:r>
    </w:p>
    <w:p w14:paraId="1C149326" w14:textId="77777777" w:rsidR="009D7677" w:rsidRDefault="009D7677" w:rsidP="009D7677">
      <w:pPr>
        <w:pStyle w:val="TextoNormal"/>
      </w:pPr>
    </w:p>
    <w:p w14:paraId="1658AD7C" w14:textId="77777777" w:rsidR="009D7677" w:rsidRDefault="009D7677" w:rsidP="009D7677">
      <w:pPr>
        <w:pStyle w:val="TextoNormal"/>
      </w:pPr>
      <w:r>
        <w:t xml:space="preserve">a) </w:t>
      </w:r>
      <w:r w:rsidRPr="009D7677">
        <w:rPr>
          <w:i/>
        </w:rPr>
        <w:t>Posición de las partes</w:t>
      </w:r>
    </w:p>
    <w:p w14:paraId="32CB893B" w14:textId="77777777" w:rsidR="009D7677" w:rsidRDefault="009D7677" w:rsidP="009D7677">
      <w:pPr>
        <w:pStyle w:val="TextoNormal"/>
      </w:pPr>
    </w:p>
    <w:p w14:paraId="0092312B" w14:textId="77777777" w:rsidR="009D7677" w:rsidRDefault="009D7677" w:rsidP="009D7677">
      <w:pPr>
        <w:pStyle w:val="TextoNormal"/>
      </w:pPr>
      <w:r>
        <w:t>Los recurrentes consideran que la sentencia dictada por la Sección Segunda de la Audiencia Provincial de Jaén vulnera el derecho a la tutela judicial efectiva y a la presunción de inocencia (art. 24.1 y 2 CE) al haberse admitido por las acusaciones en el recurso de apelación la declaración de los hechos probados, respecto de los cuales no se solicitó adición o supresión alguna y al no contener la sentencia impugnada razonamiento que justifique que por parte del juzgado de lo penal se valoró incorrectamente el acta de inspección.</w:t>
      </w:r>
    </w:p>
    <w:p w14:paraId="3670322A" w14:textId="77777777" w:rsidR="009D7677" w:rsidRDefault="009D7677" w:rsidP="009D7677">
      <w:pPr>
        <w:pStyle w:val="TextoNormal"/>
      </w:pPr>
    </w:p>
    <w:p w14:paraId="1C9E774A" w14:textId="77777777" w:rsidR="009D7677" w:rsidRDefault="009D7677" w:rsidP="009D7677">
      <w:pPr>
        <w:pStyle w:val="TextoNormal"/>
      </w:pPr>
      <w:r>
        <w:t xml:space="preserve">Por su parte, tanto la representación de la acusación particular como el Ministerio Fiscal rechazan que se hayan producido tales vulneraciones, al entender que la sentencia impugnada expresa el razonamiento por el que considera que determinados aspectos de la prueba documental consistente en el acta de infracción de 25 de marzo de 2020 fueron omitidos en el razonamiento seguido por el tribunal </w:t>
      </w:r>
      <w:r w:rsidRPr="009D7677">
        <w:rPr>
          <w:i/>
        </w:rPr>
        <w:t>a quo</w:t>
      </w:r>
      <w:r>
        <w:t>.</w:t>
      </w:r>
    </w:p>
    <w:p w14:paraId="3B857AA3" w14:textId="77777777" w:rsidR="009D7677" w:rsidRDefault="009D7677" w:rsidP="009D7677">
      <w:pPr>
        <w:pStyle w:val="TextoNormal"/>
      </w:pPr>
    </w:p>
    <w:p w14:paraId="299545A0" w14:textId="77777777" w:rsidR="009D7677" w:rsidRDefault="009D7677" w:rsidP="009D7677">
      <w:pPr>
        <w:pStyle w:val="TextoNormal"/>
      </w:pPr>
      <w:r>
        <w:t>Conviene precisar que el derecho a la presunción de inocencia (art. 24.2 CE) no fue invocado en el incidente de nulidad de actuaciones planteado [art. 44.1 c) LOTC], por lo que procede descartar su enjuiciamiento.</w:t>
      </w:r>
    </w:p>
    <w:p w14:paraId="3F06A315" w14:textId="77777777" w:rsidR="009D7677" w:rsidRDefault="009D7677" w:rsidP="009D7677">
      <w:pPr>
        <w:pStyle w:val="TextoNormal"/>
      </w:pPr>
    </w:p>
    <w:p w14:paraId="4EBFF1FD" w14:textId="77777777" w:rsidR="009D7677" w:rsidRDefault="009D7677" w:rsidP="009D7677">
      <w:pPr>
        <w:pStyle w:val="TextoNormal"/>
      </w:pPr>
      <w:r>
        <w:t xml:space="preserve">b) </w:t>
      </w:r>
      <w:r w:rsidRPr="009D7677">
        <w:rPr>
          <w:i/>
        </w:rPr>
        <w:t>Motivos invocados en los recursos de apelación interpuestos</w:t>
      </w:r>
    </w:p>
    <w:p w14:paraId="61808124" w14:textId="77777777" w:rsidR="009D7677" w:rsidRDefault="009D7677" w:rsidP="009D7677">
      <w:pPr>
        <w:pStyle w:val="TextoNormal"/>
      </w:pPr>
    </w:p>
    <w:p w14:paraId="2F681310" w14:textId="77777777" w:rsidR="009D7677" w:rsidRDefault="009D7677" w:rsidP="009D7677">
      <w:pPr>
        <w:pStyle w:val="TextoNormal"/>
      </w:pPr>
      <w:r>
        <w:t>Por lo expuesto debemos examinar exclusivamente la vulneración del derecho a la tutela judicial efectiva (art. 24.1 CE) que el recurrente atribuye a la sentencia de la Audiencia Provincial, por haber procedido a efectuar una revisión de la valoración de la prueba practicada ante el juzgado de lo penal, a pesar de que la acusación pública y particular aceptaron en el recurso de apelación los hechos probados de la sentencia y por haber incurrido en falta de motivación al efectuar dicha revisión.</w:t>
      </w:r>
    </w:p>
    <w:p w14:paraId="6CB6BE22" w14:textId="77777777" w:rsidR="009D7677" w:rsidRDefault="009D7677" w:rsidP="009D7677">
      <w:pPr>
        <w:pStyle w:val="TextoNormal"/>
      </w:pPr>
    </w:p>
    <w:p w14:paraId="42792203" w14:textId="77777777" w:rsidR="009D7677" w:rsidRDefault="009D7677" w:rsidP="009D7677">
      <w:pPr>
        <w:pStyle w:val="TextoNormal"/>
      </w:pPr>
      <w:r>
        <w:t xml:space="preserve">El examen de la queja debe llevar a determinar cuál fue el contenido de los recursos de apelación interpuestos contra la sentencia del Juzgado de lo Penal núm. 4 de Jaén a fin de </w:t>
      </w:r>
      <w:r>
        <w:lastRenderedPageBreak/>
        <w:t>poder determinar si la respuesta dada por la sentencia dictada por la Audiencia Provincial vulneró el derecho a la tutela judicial efectiva del recurrente.</w:t>
      </w:r>
    </w:p>
    <w:p w14:paraId="6793B256" w14:textId="77777777" w:rsidR="009D7677" w:rsidRDefault="009D7677" w:rsidP="009D7677">
      <w:pPr>
        <w:pStyle w:val="TextoNormal"/>
      </w:pPr>
    </w:p>
    <w:p w14:paraId="0AA1B1C8" w14:textId="77777777" w:rsidR="009D7677" w:rsidRDefault="009D7677" w:rsidP="009D7677">
      <w:pPr>
        <w:pStyle w:val="TextoNormal"/>
      </w:pPr>
      <w:r>
        <w:t>Como ha quedado expuesto en los antecedentes, el Ministerio Fiscal interpuso recurso de apelación por la indebida inaplicación de los arts. 316 y 142.1 del Código penal (CP), en relación con el art. 8.3 CP, así como por error en la apreciación de la prueba y es por ello que no solicitó la devolución de las actuaciones al juzgado de lo penal para que se dictara otra sentencia (párrafo segundo del art. 790.2 LECrim), sino que interesó que la Audiencia Provincial condenara al acusado absuelto como autor de un delito contra los derechos de los trabajadores y de un delito de homicidio imprudente.</w:t>
      </w:r>
    </w:p>
    <w:p w14:paraId="1876221B" w14:textId="77777777" w:rsidR="009D7677" w:rsidRDefault="009D7677" w:rsidP="009D7677">
      <w:pPr>
        <w:pStyle w:val="TextoNormal"/>
      </w:pPr>
    </w:p>
    <w:p w14:paraId="3CD06007" w14:textId="082196B1" w:rsidR="009D7677" w:rsidRDefault="009D7677" w:rsidP="009D7677">
      <w:pPr>
        <w:pStyle w:val="TextoNormal"/>
      </w:pPr>
      <w:r>
        <w:t>Por su parte, la acusación particular en el recurso de apelación interpuesto también solicitó la condena por los delitos por los que el empresario había sido absuelto y afirmó no discutir los hechos declarados probados, sino que los mismos hubieran dado lugar a una sentencia absolutoria. Entendió que se daban los elementos del tipo legalmente establecido para condenar al acusado. Añadió, de modo inespecífico y ambiguo, sin conectar con alguno de los supuestos del párrafo tercero del art. 790.2 LECrim, que se había producido una incorrecta e indebida valoración de lo acreditado en el juicio oral, si bien, a renglón seguido, sustentaba el recurso en los hechos declarados probados y discrepaba de la valoración jurídica de los mismos.</w:t>
      </w:r>
    </w:p>
    <w:p w14:paraId="619B8EDF" w14:textId="77777777" w:rsidR="009D7677" w:rsidRDefault="009D7677" w:rsidP="009D7677">
      <w:pPr>
        <w:pStyle w:val="TextoNormal"/>
      </w:pPr>
    </w:p>
    <w:p w14:paraId="556216BE" w14:textId="77777777" w:rsidR="009D7677" w:rsidRDefault="009D7677" w:rsidP="009D7677">
      <w:pPr>
        <w:pStyle w:val="TextoNormal"/>
      </w:pPr>
      <w:r w:rsidRPr="009D7677">
        <w:rPr>
          <w:rStyle w:val="NumeroAFNegritaCaracter"/>
        </w:rPr>
        <w:t>4</w:t>
      </w:r>
      <w:r>
        <w:t xml:space="preserve">. </w:t>
      </w:r>
      <w:r w:rsidRPr="009D7677">
        <w:rPr>
          <w:i/>
        </w:rPr>
        <w:t>Estimación de la vulneración del derecho a la tutela judicial efectiva</w:t>
      </w:r>
    </w:p>
    <w:p w14:paraId="7AA3942F" w14:textId="77777777" w:rsidR="009D7677" w:rsidRDefault="009D7677" w:rsidP="009D7677">
      <w:pPr>
        <w:pStyle w:val="TextoNormal"/>
      </w:pPr>
    </w:p>
    <w:p w14:paraId="52AACCC7" w14:textId="77777777" w:rsidR="009D7677" w:rsidRDefault="009D7677" w:rsidP="009D7677">
      <w:pPr>
        <w:pStyle w:val="TextoNormal"/>
      </w:pPr>
      <w:r>
        <w:t>Debe tomarse en consideración que cuando se interpusieron los recursos de apelación por el Ministerio Fiscal y la acusación particular ya había entrado en vigor la modificación de los arts. 790 y 792 LECrim realizada por la Ley 41/2015, de 5 de octubre, para la agilización de la justicia penal y el fortalecimiento de las garantías procesales, tal y como por otra parte constata la argumentación de la Audiencia Provincial.</w:t>
      </w:r>
    </w:p>
    <w:p w14:paraId="037D35C7" w14:textId="77777777" w:rsidR="009D7677" w:rsidRDefault="009D7677" w:rsidP="009D7677">
      <w:pPr>
        <w:pStyle w:val="TextoNormal"/>
      </w:pPr>
    </w:p>
    <w:p w14:paraId="132ADEA8" w14:textId="77777777" w:rsidR="009D7677" w:rsidRDefault="009D7677" w:rsidP="009D7677">
      <w:pPr>
        <w:pStyle w:val="TextoNormal"/>
      </w:pPr>
      <w:r>
        <w:t>En efecto, la sentencia dictada por la Sección Segunda de la Audiencia Provincial de Jaén se hizo eco de la regulación del art. 790.2 LECrim al que remite el art. 792.2 de la misma ley tras la reforma operada por la Ley 41/2015, que encorseta las posibilidades de revisión probatoria. Conforme a tales preceptos reconoció el carácter excepcional de la anulación de la sentencia absolutoria e incluso reprodujo los supuestos que contempla el art. 790.2 LECrim y que posibilitan dicha anulación: insuficiencia o falta de racionalidad en la motivación fáctica, apartamiento manifiesto de las máximas de experiencia o la omisión de todo razonamiento sobre alguna o algunas de las pruebas practicadas que pudieran tener relevancia o cuya nulidad haya sido improcedentemente declarada.</w:t>
      </w:r>
    </w:p>
    <w:p w14:paraId="6DDD31DF" w14:textId="77777777" w:rsidR="009D7677" w:rsidRDefault="009D7677" w:rsidP="009D7677">
      <w:pPr>
        <w:pStyle w:val="TextoNormal"/>
      </w:pPr>
    </w:p>
    <w:p w14:paraId="5D7017E5" w14:textId="77777777" w:rsidR="009D7677" w:rsidRDefault="009D7677" w:rsidP="009D7677">
      <w:pPr>
        <w:pStyle w:val="TextoNormal"/>
      </w:pPr>
      <w:r>
        <w:t>Pese a lo cual, desbordando el estrecho marco del recurso de apelación, fundamentó la revocación en que “este tribunal considera que no se ha valorado correctamente la prueba documental referida al acta” firmada por el inspector de Trabajo y de Seguridad Social. A tal fin glosó su contenido —que ya aparecía reflejado en los hechos probados— y concluyó indicando, sin mayor argumentación, que “[e]n consecuencia […] se aprecia insuficiencia o falta de racionalidad en la motivación fáctica, así como la omisión de razonamiento sobre la referida prueba documental, que puede tener relevancia en el pleito”.</w:t>
      </w:r>
    </w:p>
    <w:p w14:paraId="4253554B" w14:textId="77777777" w:rsidR="009D7677" w:rsidRDefault="009D7677" w:rsidP="009D7677">
      <w:pPr>
        <w:pStyle w:val="TextoNormal"/>
      </w:pPr>
    </w:p>
    <w:p w14:paraId="284F6D61" w14:textId="77777777" w:rsidR="009D7677" w:rsidRDefault="009D7677" w:rsidP="009D7677">
      <w:pPr>
        <w:pStyle w:val="TextoNormal"/>
      </w:pPr>
      <w:r>
        <w:lastRenderedPageBreak/>
        <w:t>Con dicha argumentación, la Audiencia Provincial no solo rebasó los límites en que se encuadran las posibilidades revisoras de la valoración probatoria (art. 790.2 LECrim) [STC 72/2024, de 7 de mayo, FJ 4 d) (i)] sino que desbordó el objeto de la controversia delimitada por los recursos de apelación, esto es si los hechos probados eran constitutivos de los delitos por los que se acusaba al ahora recurrente en amparo.</w:t>
      </w:r>
    </w:p>
    <w:p w14:paraId="1CB374AE" w14:textId="77777777" w:rsidR="009D7677" w:rsidRDefault="009D7677" w:rsidP="009D7677">
      <w:pPr>
        <w:pStyle w:val="TextoNormal"/>
      </w:pPr>
    </w:p>
    <w:p w14:paraId="33385ED8" w14:textId="77777777" w:rsidR="009D7677" w:rsidRDefault="009D7677" w:rsidP="009D7677">
      <w:pPr>
        <w:pStyle w:val="TextoNormal"/>
      </w:pPr>
      <w:r>
        <w:t xml:space="preserve">Conviene indicar que en el ámbito del recurso de apelación también opera la exigencia de salvaguardar plenamente el principio de contradicción. En un recurso planteado por las acusaciones, la capacidad del tribunal </w:t>
      </w:r>
      <w:r w:rsidRPr="009D7677">
        <w:rPr>
          <w:i/>
        </w:rPr>
        <w:t>ad quem</w:t>
      </w:r>
      <w:r>
        <w:t xml:space="preserve"> de elaborar su discurso al margen o más allá de la exposición realizada por quien recurre ha de tener como límite la salvaguarda del principio de contradicción. No es posible suplir los razonamientos del recurrente ni reconstruir su argumentación. “El principio de contradicción exige que los tribunales no basen sus decisiones en cuestiones de hecho o de derecho que no hayan sido debatidas durante el procedimiento” (STEDH de 5 de septiembre de 2013, asunto </w:t>
      </w:r>
      <w:r w:rsidRPr="009D7677">
        <w:rPr>
          <w:i/>
        </w:rPr>
        <w:t>Čepek c. República Checa</w:t>
      </w:r>
      <w:r>
        <w:t>, § 48).</w:t>
      </w:r>
    </w:p>
    <w:p w14:paraId="2849E531" w14:textId="77777777" w:rsidR="009D7677" w:rsidRDefault="009D7677" w:rsidP="009D7677">
      <w:pPr>
        <w:pStyle w:val="TextoNormal"/>
      </w:pPr>
    </w:p>
    <w:p w14:paraId="017178AC" w14:textId="77777777" w:rsidR="009D7677" w:rsidRDefault="009D7677" w:rsidP="009D7677">
      <w:pPr>
        <w:pStyle w:val="TextoNormal"/>
      </w:pPr>
      <w:r>
        <w:t>Repetidamente ha declarado este tribunal que la incongruencia puede constituir una violación del derecho a la tutela judicial efectiva (art. 24.1 CE) cuando la desviación que implica es de tal naturaleza que supone una completa modificación de los términos en que se produjo el debate procesal (STC 34/1985, de 7 de marzo, FJ 4). En tales casos, entraña una vulneración del principio de contradicción constitutiva de una efectiva denegación del derecho a la tutela judicial efectiva (STC 125/1993, de 19 de abril, FJ 3), al suponer una completa modificación de los términos en que discurrió la controversia procesal, sustrayéndose a las partes el verdadero debate contradictorio y pronunciándose un fallo o parte dispositiva no ajustado a las recíprocas pretensiones de aquellas.</w:t>
      </w:r>
    </w:p>
    <w:p w14:paraId="1E27182A" w14:textId="77777777" w:rsidR="009D7677" w:rsidRDefault="009D7677" w:rsidP="009D7677">
      <w:pPr>
        <w:pStyle w:val="TextoNormal"/>
      </w:pPr>
    </w:p>
    <w:p w14:paraId="0601BCBB" w14:textId="77777777" w:rsidR="009D7677" w:rsidRDefault="009D7677" w:rsidP="009D7677">
      <w:pPr>
        <w:pStyle w:val="TextoNormal"/>
      </w:pPr>
      <w:r>
        <w:t>Como se ha detallado, la acusación pública y particular aceptaron los hechos probados y discreparon de las consecuencias jurídicas y valoraciones vinculadas a los mismos. Solo de modo genérico y con cierta ambigüedad, pero ausente de todo desarrollo argumental, la acusación particular afirmó que se había producido una incorrecta e indebida valoración de lo acreditado en el juicio oral, pero sin controvertir la valoración de la prueba y sin justificar la concurrencia de los angostos motivos revisorios que prevé la ley procesal (art. 790.2 LECrim) que posibilitan la anulación de la sentencia absolutoria y la devolución de las actuaciones al órgano que la dictó.</w:t>
      </w:r>
    </w:p>
    <w:p w14:paraId="49B125DB" w14:textId="77777777" w:rsidR="009D7677" w:rsidRDefault="009D7677" w:rsidP="009D7677">
      <w:pPr>
        <w:pStyle w:val="TextoNormal"/>
      </w:pPr>
    </w:p>
    <w:p w14:paraId="5EF98076" w14:textId="77777777" w:rsidR="009D7677" w:rsidRDefault="009D7677" w:rsidP="009D7677">
      <w:pPr>
        <w:pStyle w:val="TextoNormal"/>
      </w:pPr>
      <w:r>
        <w:t>Pese a que las acusaciones habían delimitado el debate en tales términos, la Sección Segunda de la Audiencia Provincial de Jaén tras aludir inicialmente a que por el juzgado de lo penal “no se ha valorado correctamente la prueba documental referida al acta de infracción”, aprecia sin más la “insuficiencia o falta de racionalidad en la motivación fáctica, así como la omisión de razonamiento sobre la referida prueba documental” mezclando de modo indiferenciado, sin mayor explicación, los tres aspectos (insuficiencia, falta de racionalidad de la motivación y omisión se razonamiento), pese a tener una dispar e incluso incompatible razón de ser. Esto es, indica sin más la concurrencia de prácticamente todos los supuestos que posibilitan conforme al art. 790.2 LECrim la anulación de la sentencia absolutoria por error en la valoración de la prueba, pese a que los recurrentes no habían justificado su concurrencia y tampoco habían controvertido los hechos probados de la sentencia del juzgado de lo penal.</w:t>
      </w:r>
    </w:p>
    <w:p w14:paraId="45F9B537" w14:textId="77777777" w:rsidR="009D7677" w:rsidRDefault="009D7677" w:rsidP="009D7677">
      <w:pPr>
        <w:pStyle w:val="TextoNormal"/>
      </w:pPr>
    </w:p>
    <w:p w14:paraId="73421E5F" w14:textId="77777777" w:rsidR="009D7677" w:rsidRDefault="009D7677" w:rsidP="009D7677">
      <w:pPr>
        <w:pStyle w:val="TextoNormal"/>
      </w:pPr>
      <w:r>
        <w:lastRenderedPageBreak/>
        <w:t>Por otra parte, a mayor abundamiento, conviene también dar la razón al recurrente acerca de la ausencia de motivación en que incurre la sentencia impugnada cuando acuerda revocar la sentencia absolutoria dictada por el juzgado de lo penal. En tal sentido, la sentencia de la Audiencia Provincial no indica qué hechos acreditados por el dictamen no son recogidos en los hechos probados o cuya valoración fue omitida.</w:t>
      </w:r>
    </w:p>
    <w:p w14:paraId="2F2FE1CC" w14:textId="77777777" w:rsidR="009D7677" w:rsidRDefault="009D7677" w:rsidP="009D7677">
      <w:pPr>
        <w:pStyle w:val="TextoNormal"/>
      </w:pPr>
    </w:p>
    <w:p w14:paraId="0E00BAA7" w14:textId="77777777" w:rsidR="009D7677" w:rsidRDefault="009D7677" w:rsidP="009D7677">
      <w:pPr>
        <w:pStyle w:val="TextoNormal"/>
      </w:pPr>
      <w:r>
        <w:t xml:space="preserve">De este modo, contrastados los datos del acta de inspección a que alude el tribunal </w:t>
      </w:r>
      <w:r w:rsidRPr="009D7677">
        <w:rPr>
          <w:i/>
        </w:rPr>
        <w:t>ad quem</w:t>
      </w:r>
      <w:r>
        <w:t xml:space="preserve"> con los hechos probados y con la valoración de la prueba efectuada por el juzgado de lo penal, se observa que todos los extremos que se constatan en el acta fueron tomados en consideración en la sentencia del juzgado de lo penal: (i) en los hechos probados se constata, en correlación con el acta de inspección, que faltaba la protección colectiva de la totalidad de la cubierta, si bien el órgano judicial en la fundamentación, con base en las fotografías, discrepa de la apreciación del inspector e indica que no era posible anclar la barandilla hasta que no se retiraran todas las tejas; (ii) también se recoge en los hechos probados la ausencia de protección individual en el aseguramiento de la línea de vida y además que el empresario no supervisaba personalmente el uso de los equipos de protección individual, si bien el juzgado de lo penal exonera al empresario al argumentar que en la obra existía un responsable de seguridad —el fallecido— y al considerar que era inviable que el empresario pudiera llevar un seguimiento y una vigilancia continuada de la obra; (iii) también se recoge en los hechos probados que no se había firmado el acta de replanteo, que los trabajos se realizaban fuera del horario, pero se razona que tales aspectos pueden incumplir la normativa de prevención de riesgos laborales, pero no resulta acreditado que los mismos fueran la causa del accidente y de la trágica caída.</w:t>
      </w:r>
    </w:p>
    <w:p w14:paraId="5FB15454" w14:textId="77777777" w:rsidR="009D7677" w:rsidRDefault="009D7677" w:rsidP="009D7677">
      <w:pPr>
        <w:pStyle w:val="TextoNormal"/>
      </w:pPr>
    </w:p>
    <w:p w14:paraId="2C1C4ACC" w14:textId="77777777" w:rsidR="009D7677" w:rsidRDefault="009D7677" w:rsidP="009D7677">
      <w:pPr>
        <w:pStyle w:val="TextoNormal"/>
      </w:pPr>
      <w:r>
        <w:t>En suma, la sentencia impugnada desbordó el marco fijado en los recursos de apelación que se había concretado en si los hechos probados eran constitutivos de delito. Y, por otra parte, afirmó la concurrencia de motivos de anulación de la sentencia de distinta naturaleza e incluso incompatibles entre sí —insuficiencia de la motivación fáctica, falta de racionalidad de la motivación fáctica y omisión de razonamiento sobre la prueba documental—, sin motivar, en modo alguno, las razones por las que la valoración probatoria era merecedora de tales reproches, y con ello vulneró nuevamente el derecho a la tutela judicial efectiva, esta vez, en su vertiente de derecho a la obtención de una resolución motivada (art. 24.1 CE).</w:t>
      </w:r>
    </w:p>
    <w:p w14:paraId="26A2D599" w14:textId="77777777" w:rsidR="009D7677" w:rsidRDefault="009D7677" w:rsidP="009D7677">
      <w:pPr>
        <w:pStyle w:val="TextoNormal"/>
      </w:pPr>
    </w:p>
    <w:p w14:paraId="4734C18C" w14:textId="4CE34470" w:rsidR="009D7677" w:rsidRDefault="009D7677" w:rsidP="009D7677">
      <w:pPr>
        <w:pStyle w:val="TextoNormal"/>
      </w:pPr>
      <w:r>
        <w:t>Estimado este motivo, no es preciso entrar a examinar las restantes vulneraciones planteadas y de conformidad con el criterio adoptado por el Pleno en la STC 72/2024, FJ 7, al fijar los efectos del amparo, anular la sentencia de la Sección Segunda de la Audiencia Provincial de Jaén núm. 167/2022, de 12 de julio, y la providencia de 20 de septiembre de 2022, dictada por la misma sección que inadmitió a trámite el posterior incidente de nulidad de actuaciones y declarar la firmeza de la sentencia de instancia que, de forma razonada, acordó la absolución del demandante.</w:t>
      </w:r>
    </w:p>
    <w:p w14:paraId="3E3C2EB9" w14:textId="77777777" w:rsidR="009D7677" w:rsidRDefault="009D7677" w:rsidP="009D7677">
      <w:pPr>
        <w:pStyle w:val="TextoNormal"/>
      </w:pPr>
    </w:p>
    <w:p w14:paraId="32F819E3" w14:textId="77777777" w:rsidR="009D7677" w:rsidRDefault="009D7677" w:rsidP="009D7677">
      <w:pPr>
        <w:pStyle w:val="TextoNormalCentrado"/>
        <w:keepNext/>
      </w:pPr>
      <w:r>
        <w:t>FALLO</w:t>
      </w:r>
    </w:p>
    <w:p w14:paraId="1DA8ADF4" w14:textId="6B262F79" w:rsidR="009D7677" w:rsidRDefault="009D7677" w:rsidP="009D7677">
      <w:pPr>
        <w:pStyle w:val="TextoNormalCentrado"/>
        <w:keepNext/>
      </w:pPr>
    </w:p>
    <w:p w14:paraId="1440BFA8" w14:textId="77777777" w:rsidR="009D7677" w:rsidRDefault="009D7677" w:rsidP="009D7677">
      <w:pPr>
        <w:pStyle w:val="TextoNormal"/>
      </w:pPr>
      <w:r>
        <w:t>En atención a todo lo expuesto, el Tribunal Constitucional, por la autoridad que le confiere la Constitución de la Nación española, ha decidido estimar parcialmente el recurso de amparo interpuesto por don Urbano Cepas Fernández y la entidad Servicios Generales Constructivos 2020, S.L., y, en su virtud:</w:t>
      </w:r>
    </w:p>
    <w:p w14:paraId="4B634AC1" w14:textId="77777777" w:rsidR="009D7677" w:rsidRDefault="009D7677" w:rsidP="009D7677">
      <w:pPr>
        <w:pStyle w:val="TextoNormal"/>
      </w:pPr>
    </w:p>
    <w:p w14:paraId="5F5E8264" w14:textId="77777777" w:rsidR="009D7677" w:rsidRDefault="009D7677" w:rsidP="009D7677">
      <w:pPr>
        <w:pStyle w:val="TextoNormal"/>
      </w:pPr>
      <w:r>
        <w:t>1º Reconocer que ha sido vulnerado su derecho a la tutela judicial efectiva (art. 24.1 CE).</w:t>
      </w:r>
    </w:p>
    <w:p w14:paraId="3DFF1251" w14:textId="77777777" w:rsidR="009D7677" w:rsidRDefault="009D7677" w:rsidP="009D7677">
      <w:pPr>
        <w:pStyle w:val="TextoNormal"/>
      </w:pPr>
    </w:p>
    <w:p w14:paraId="429B09CD" w14:textId="004655FA" w:rsidR="009D7677" w:rsidRDefault="009D7677" w:rsidP="009D7677">
      <w:pPr>
        <w:pStyle w:val="TextoNormal"/>
      </w:pPr>
      <w:r>
        <w:t>2º Restablecerlo en su derecho y, a tal fin, declarar la nulidad de la sentencia de la Sección Segunda de la Audiencia Provincial de Jaén de 12 de julio de 2022 —rollo de apelación núm. 545-2022— y de la providencia de 20 de septiembre de 2022 dictada por esa misma sección y declarar la firmeza de la sentencia núm. 204/2022, de 21 de abril, dictada en los autos de juicio oral núm. 301-2021 por el Juzgado de lo Penal núm. 4 de Jaén.</w:t>
      </w:r>
    </w:p>
    <w:p w14:paraId="7CB55DB8" w14:textId="77777777" w:rsidR="009D7677" w:rsidRDefault="009D7677" w:rsidP="009D7677">
      <w:pPr>
        <w:pStyle w:val="TextoNormal"/>
      </w:pPr>
    </w:p>
    <w:p w14:paraId="16864D21" w14:textId="77777777" w:rsidR="009D7677" w:rsidRDefault="009D7677" w:rsidP="009D7677">
      <w:pPr>
        <w:pStyle w:val="TextoNormal"/>
      </w:pPr>
      <w:r>
        <w:t>Publíquese esta sentencia en el “Boletín Oficial del Estado”.</w:t>
      </w:r>
    </w:p>
    <w:p w14:paraId="58486D4A" w14:textId="77777777" w:rsidR="009D7677" w:rsidRDefault="009D7677" w:rsidP="009D7677">
      <w:pPr>
        <w:pStyle w:val="TextoNormal"/>
      </w:pPr>
      <w:r>
        <w:t>Dada en Madrid, a veinte de mayo de dos mil veinticuatro.</w:t>
      </w:r>
    </w:p>
    <w:p w14:paraId="1E9A5B52" w14:textId="22AE08D2" w:rsidR="009D7677" w:rsidRDefault="009D7677">
      <w:pPr>
        <w:spacing w:after="160" w:line="259" w:lineRule="auto"/>
        <w:rPr>
          <w:rFonts w:ascii="Times New Roman" w:eastAsia="Times New Roman" w:hAnsi="Times New Roman" w:cs="Times New Roman"/>
          <w:sz w:val="24"/>
          <w:szCs w:val="24"/>
          <w:lang w:eastAsia="es-ES"/>
        </w:rPr>
      </w:pPr>
      <w:r>
        <w:br w:type="page"/>
      </w:r>
    </w:p>
    <w:p w14:paraId="317E2F9A" w14:textId="77777777" w:rsidR="009D7677" w:rsidRDefault="009D7677" w:rsidP="009D7677">
      <w:pPr>
        <w:pStyle w:val="TtuloResolucin"/>
      </w:pPr>
      <w:bookmarkStart w:id="80" w:name="SENTENCIA_2024_78"/>
      <w:r>
        <w:lastRenderedPageBreak/>
        <w:t>SENTENCIA 78/2024, de 20 de mayo de 2024</w:t>
      </w:r>
    </w:p>
    <w:bookmarkEnd w:id="80"/>
    <w:p w14:paraId="712F1885" w14:textId="77777777" w:rsidR="009D7677" w:rsidRDefault="009D7677" w:rsidP="009D7677">
      <w:pPr>
        <w:pStyle w:val="TtuloResolucin"/>
      </w:pPr>
      <w:r>
        <w:t>Sala Primera</w:t>
      </w:r>
    </w:p>
    <w:p w14:paraId="6A85B279" w14:textId="77777777" w:rsidR="009D7677" w:rsidRDefault="009D7677" w:rsidP="009D7677">
      <w:pPr>
        <w:pStyle w:val="TtuloBOE"/>
      </w:pPr>
      <w:r>
        <w:t>(BOE núm. 152, de 24 de junio de 2024)</w:t>
      </w:r>
    </w:p>
    <w:p w14:paraId="56B10A14" w14:textId="77777777" w:rsidR="009D7677" w:rsidRDefault="009D7677" w:rsidP="009D7677">
      <w:pPr>
        <w:pStyle w:val="TextoNormalCentrado"/>
      </w:pPr>
      <w:r>
        <w:t>ECLI:ES:TC:2024:78</w:t>
      </w:r>
    </w:p>
    <w:p w14:paraId="37B1CB03" w14:textId="3AC5F0BB" w:rsidR="009D7677" w:rsidRDefault="009D7677" w:rsidP="009D7677">
      <w:pPr>
        <w:pStyle w:val="TextoNormalCentrado"/>
      </w:pPr>
    </w:p>
    <w:p w14:paraId="6FA366D7" w14:textId="77777777" w:rsidR="009D7677" w:rsidRDefault="009D7677" w:rsidP="009D7677">
      <w:pPr>
        <w:pStyle w:val="SntesisDescriptiva"/>
      </w:pPr>
      <w:r>
        <w:t>Recurso de amparo 3790-2023. Promovido por doña Glenda Suyapa Dormes Medina con respecto a los autos de la Audiencia Provincial de Madrid y un juzgado de lo penal de su capital que revocaron la suspensión de una pena privativa de libertad.</w:t>
      </w:r>
    </w:p>
    <w:p w14:paraId="183AE94E" w14:textId="27151A6C" w:rsidR="009D7677" w:rsidRDefault="009D7677" w:rsidP="009D7677">
      <w:pPr>
        <w:pStyle w:val="SntesisDescriptiva"/>
      </w:pPr>
    </w:p>
    <w:p w14:paraId="5F4BC1BA" w14:textId="77777777" w:rsidR="009D7677" w:rsidRDefault="009D7677" w:rsidP="009D7677">
      <w:pPr>
        <w:pStyle w:val="SntesisAnaltica"/>
      </w:pPr>
      <w:r>
        <w:t>Vulneración del derecho a la tutela judicial efectiva en relación con el derecho a la libertad personal: revocación de la suspensión de una pena privativa de libertad al no haberse satisfecho la responsabilidad civil que no cumple las exigencias constitucionales de motivación (STC 32/2022).</w:t>
      </w:r>
    </w:p>
    <w:p w14:paraId="418D4895" w14:textId="2BC5D366" w:rsidR="009D7677" w:rsidRDefault="009D7677" w:rsidP="009D7677">
      <w:pPr>
        <w:pStyle w:val="SntesisAnaltica"/>
      </w:pPr>
    </w:p>
    <w:p w14:paraId="4013926F" w14:textId="0666FEC7" w:rsidR="009D7677" w:rsidRDefault="009D7677" w:rsidP="009D7677">
      <w:pPr>
        <w:pStyle w:val="Extracto"/>
      </w:pPr>
      <w:r>
        <w:t>1.</w:t>
      </w:r>
      <w:r>
        <w:tab/>
        <w:t>Las resoluciones judiciales de revocación de la suspensión de la pena vulneran el derecho a la tutela judicial efectiva en relación con el derecho a la libertad personal si no cumplen con las exigencias de motivación específica o reforzada y de análisis de la capacidad económica del penado en el momento de acordar la revocación (STC 32/2022) [FJ Único].</w:t>
      </w:r>
    </w:p>
    <w:p w14:paraId="5B1D1D7B" w14:textId="77777777" w:rsidR="009D7677" w:rsidRDefault="009D7677" w:rsidP="009D7677">
      <w:pPr>
        <w:pStyle w:val="Extracto"/>
      </w:pPr>
    </w:p>
    <w:p w14:paraId="45789318" w14:textId="77777777" w:rsidR="009D7677" w:rsidRDefault="009D7677" w:rsidP="009D7677">
      <w:pPr>
        <w:pStyle w:val="Extracto"/>
      </w:pPr>
    </w:p>
    <w:p w14:paraId="1DEBDEA5" w14:textId="77777777" w:rsidR="009D7677" w:rsidRDefault="009D7677" w:rsidP="009D7677">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1CECA3A0" w14:textId="72DCDBDF" w:rsidR="009D7677" w:rsidRDefault="009D7677" w:rsidP="009D7677">
      <w:pPr>
        <w:pStyle w:val="TextoNormal"/>
      </w:pPr>
    </w:p>
    <w:p w14:paraId="06E8D218" w14:textId="77777777" w:rsidR="009D7677" w:rsidRDefault="009D7677" w:rsidP="009D7677">
      <w:pPr>
        <w:pStyle w:val="TextoNormalCentrado"/>
        <w:keepNext/>
      </w:pPr>
      <w:r>
        <w:t>EN NOMBRE DEL REY</w:t>
      </w:r>
    </w:p>
    <w:p w14:paraId="06242EC2" w14:textId="35227B81" w:rsidR="009D7677" w:rsidRDefault="009D7677" w:rsidP="009D7677">
      <w:pPr>
        <w:pStyle w:val="TextoNormalCentrado"/>
        <w:keepNext/>
      </w:pPr>
    </w:p>
    <w:p w14:paraId="57026626" w14:textId="77777777" w:rsidR="009D7677" w:rsidRDefault="009D7677" w:rsidP="009D7677">
      <w:pPr>
        <w:pStyle w:val="TextoNormalCentrado"/>
        <w:keepNext/>
      </w:pPr>
    </w:p>
    <w:p w14:paraId="60E2EFF6" w14:textId="77777777" w:rsidR="009D7677" w:rsidRDefault="009D7677" w:rsidP="009D7677">
      <w:pPr>
        <w:pStyle w:val="TextoNormal"/>
      </w:pPr>
      <w:r>
        <w:t>la siguiente</w:t>
      </w:r>
    </w:p>
    <w:p w14:paraId="25A696E3" w14:textId="02F73618" w:rsidR="009D7677" w:rsidRDefault="009D7677" w:rsidP="009D7677">
      <w:pPr>
        <w:pStyle w:val="TextoNormal"/>
      </w:pPr>
    </w:p>
    <w:p w14:paraId="7FAAE981" w14:textId="77777777" w:rsidR="009D7677" w:rsidRDefault="009D7677" w:rsidP="009D7677">
      <w:pPr>
        <w:pStyle w:val="TextoNormalCentrado"/>
        <w:keepNext/>
      </w:pPr>
      <w:r>
        <w:t>SENTENCIA</w:t>
      </w:r>
    </w:p>
    <w:p w14:paraId="51E4433C" w14:textId="3CF4353B" w:rsidR="009D7677" w:rsidRDefault="009D7677" w:rsidP="009D7677">
      <w:pPr>
        <w:pStyle w:val="TextoNormalCentrado"/>
        <w:keepNext/>
      </w:pPr>
    </w:p>
    <w:p w14:paraId="76721A94" w14:textId="77777777" w:rsidR="009D7677" w:rsidRDefault="009D7677" w:rsidP="009D7677">
      <w:pPr>
        <w:pStyle w:val="TextoNormal"/>
      </w:pPr>
      <w:r>
        <w:t>En el recurso de amparo núm. 3790-2023, promovido por doña Glenda Suyapa Dormes Medina, contra el auto de la Sección Sexta de la Audiencia Provincial de Madrid núm. 454/2023, de 31 de mayo de 2023, por el que se desestima el recurso de apelación núm. 619-2023 interpuesto contra el auto del Juzgado de lo Penal núm. 12 de Madrid de 30 de marzo de 2023, por el que se desestima el recurso de reforma interpuesto contra el auto de 9 de febrero de 2023, pronunciado en la ejecutoria núm. 462-2020. Ha intervenido el Ministerio Fiscal. Ha sido ponente la magistrada doña María Luisa Segoviano Astaburuaga.</w:t>
      </w:r>
    </w:p>
    <w:p w14:paraId="04E23F92" w14:textId="2566DE7D" w:rsidR="009D7677" w:rsidRDefault="009D7677" w:rsidP="009D7677">
      <w:pPr>
        <w:pStyle w:val="TextoNormal"/>
      </w:pPr>
    </w:p>
    <w:p w14:paraId="43493CE4" w14:textId="77777777" w:rsidR="009D7677" w:rsidRDefault="009D7677" w:rsidP="009D7677">
      <w:pPr>
        <w:pStyle w:val="TextoNormalNegritaCentrado"/>
        <w:keepNext/>
      </w:pPr>
      <w:r>
        <w:t>I. Antecedentes</w:t>
      </w:r>
    </w:p>
    <w:p w14:paraId="640B74D8" w14:textId="268E7C74" w:rsidR="009D7677" w:rsidRDefault="009D7677" w:rsidP="009D7677">
      <w:pPr>
        <w:pStyle w:val="TextoNormalNegritaCentrado"/>
        <w:keepNext/>
      </w:pPr>
    </w:p>
    <w:p w14:paraId="3B046CE0" w14:textId="0D2B391B" w:rsidR="009D7677" w:rsidRDefault="009D7677" w:rsidP="009D7677">
      <w:pPr>
        <w:pStyle w:val="TextoNormal"/>
      </w:pPr>
      <w:r w:rsidRPr="009D7677">
        <w:rPr>
          <w:rStyle w:val="NumeroAFNegritaCaracter"/>
        </w:rPr>
        <w:t>1</w:t>
      </w:r>
      <w:r>
        <w:t>. Doña Glenda Suyapa Dormes Medina, representada por la procuradora de los tribunales doña Isabel Monfort Sáez, bajo la dirección del letrado don Iván Andrés Mata Lousa, interpuso recurso de amparo contra las resoluciones judiciales mencionadas en el enca</w:t>
      </w:r>
      <w:r>
        <w:lastRenderedPageBreak/>
        <w:t>bezamiento de esta sentencia en las que se acuerda y confirma la revocación de la suspensión de la ejecución de una pena de prisión mediante escrito registrado en el Tribunal el 5 de junio de 2023.</w:t>
      </w:r>
    </w:p>
    <w:p w14:paraId="31D13A1C" w14:textId="77777777" w:rsidR="009D7677" w:rsidRDefault="009D7677" w:rsidP="009D7677">
      <w:pPr>
        <w:pStyle w:val="TextoNormal"/>
      </w:pPr>
    </w:p>
    <w:p w14:paraId="3BF8F8FF" w14:textId="77777777" w:rsidR="009D7677" w:rsidRDefault="009D7677" w:rsidP="009D7677">
      <w:pPr>
        <w:pStyle w:val="TextoNormal"/>
      </w:pPr>
      <w:r w:rsidRPr="009D7677">
        <w:rPr>
          <w:rStyle w:val="NumeroAFNegritaCaracter"/>
        </w:rPr>
        <w:t>2</w:t>
      </w:r>
      <w:r>
        <w:t>. El recurso tiene su origen en los siguientes antecedentes:</w:t>
      </w:r>
    </w:p>
    <w:p w14:paraId="7CB0383C" w14:textId="77777777" w:rsidR="009D7677" w:rsidRDefault="009D7677" w:rsidP="009D7677">
      <w:pPr>
        <w:pStyle w:val="TextoNormal"/>
      </w:pPr>
    </w:p>
    <w:p w14:paraId="7F097BEE" w14:textId="77777777" w:rsidR="009D7677" w:rsidRDefault="009D7677" w:rsidP="009D7677">
      <w:pPr>
        <w:pStyle w:val="TextoNormal"/>
      </w:pPr>
      <w:r>
        <w:t>a) La demandante fue condenada en firme por sentencia de la Sección Sexta de la Audiencia Provincial de Madrid núm. 692-2019, de 20 de noviembre, pronunciada en el rollo de apelación núm. 1370-2019, como autora de un delito continuado de estafa, con la atenuante de dilaciones indebidas y la agravante de abuso de confianza, a la pena de prisión de un año, nueve meses y un día, accesorias legales, costas y al pago de 17 600 € en concepto de responsabilidad civil.</w:t>
      </w:r>
    </w:p>
    <w:p w14:paraId="3722CE29" w14:textId="77777777" w:rsidR="009D7677" w:rsidRDefault="009D7677" w:rsidP="009D7677">
      <w:pPr>
        <w:pStyle w:val="TextoNormal"/>
      </w:pPr>
    </w:p>
    <w:p w14:paraId="7CB53325" w14:textId="77777777" w:rsidR="009D7677" w:rsidRDefault="009D7677" w:rsidP="009D7677">
      <w:pPr>
        <w:pStyle w:val="TextoNormal"/>
      </w:pPr>
      <w:r>
        <w:t>El Juzgado de lo Penal núm. 12 de Madrid, por auto de 26 de enero de 2021, pronunciado en la ejecutoria núm. 462-2020, acordó la suspensión de la ejecución de la pena de prisión impuesta durante un plazo de dos años con las condiciones de que en dicho plazo no se cometiera delito alguno y que se abonara fraccionadamente la responsabilidad civil adeudada a razón de 720 € a ingresar en los diez primeros días del mes.</w:t>
      </w:r>
    </w:p>
    <w:p w14:paraId="6E959F84" w14:textId="77777777" w:rsidR="009D7677" w:rsidRDefault="009D7677" w:rsidP="009D7677">
      <w:pPr>
        <w:pStyle w:val="TextoNormal"/>
      </w:pPr>
    </w:p>
    <w:p w14:paraId="2A8E0A62" w14:textId="77777777" w:rsidR="009D7677" w:rsidRDefault="009D7677" w:rsidP="009D7677">
      <w:pPr>
        <w:pStyle w:val="TextoNormal"/>
      </w:pPr>
      <w:r>
        <w:t>b) La letrada de la administración de justicia del Juzgado de lo Penal núm. 12 Madrid, por diligencia de ordenación de 11 de noviembre de 2022, acordó dar audiencia a la demandante a los efectos de la posible revocación de la suspensión, “comprobado el impago de la responsabilidad civil”.</w:t>
      </w:r>
    </w:p>
    <w:p w14:paraId="43882BD3" w14:textId="77777777" w:rsidR="009D7677" w:rsidRDefault="009D7677" w:rsidP="009D7677">
      <w:pPr>
        <w:pStyle w:val="TextoNormal"/>
      </w:pPr>
    </w:p>
    <w:p w14:paraId="1C5F0986" w14:textId="77777777" w:rsidR="009D7677" w:rsidRDefault="009D7677" w:rsidP="009D7677">
      <w:pPr>
        <w:pStyle w:val="TextoNormal"/>
      </w:pPr>
      <w:r>
        <w:t>La demandante formuló alegaciones por escrito de 15 de noviembre de 2022 solicitando que no se revocara la suspensión con fundamento en su “precarísima situación económica, sin trabajo, sin ningún otro tipo de ingreso o bienes susceptibles de embargo y viviendo de la caridad”, pidiendo que esta circunstancia fuera verificada mediante averiguación judicial de su situación patrimonial, al amparo de la obligación establecida en la STC 32/2022, de 7 de marzo.</w:t>
      </w:r>
    </w:p>
    <w:p w14:paraId="7DFF5165" w14:textId="77777777" w:rsidR="009D7677" w:rsidRDefault="009D7677" w:rsidP="009D7677">
      <w:pPr>
        <w:pStyle w:val="TextoNormal"/>
      </w:pPr>
    </w:p>
    <w:p w14:paraId="501C34BB" w14:textId="77777777" w:rsidR="009D7677" w:rsidRDefault="009D7677" w:rsidP="009D7677">
      <w:pPr>
        <w:pStyle w:val="TextoNormal"/>
      </w:pPr>
      <w:r>
        <w:t>La letrada de la administración de justicia, por diligencia de ordenación de 21 de noviembre de 2022, acordó recabar averiguación patrimonial de la demandante y pasar las actuaciones al Ministerio Fiscal para informe sobre revocación de la suspensión. En la ejecutoria no consta ninguna actuación en relación con la averiguación patrimonial; instando el Ministerio Fiscal, por escrito de 30 de enero de 2023, la revocación de la suspensión con fundamento en que el compromiso de pago “realizado en su día fue en fraude de ley”, habiéndolo incumplido totalmente.</w:t>
      </w:r>
    </w:p>
    <w:p w14:paraId="0E4778DF" w14:textId="77777777" w:rsidR="009D7677" w:rsidRDefault="009D7677" w:rsidP="009D7677">
      <w:pPr>
        <w:pStyle w:val="TextoNormal"/>
      </w:pPr>
    </w:p>
    <w:p w14:paraId="50EEFB65" w14:textId="77777777" w:rsidR="009D7677" w:rsidRDefault="009D7677" w:rsidP="009D7677">
      <w:pPr>
        <w:pStyle w:val="TextoNormal"/>
      </w:pPr>
      <w:r>
        <w:t>c) El Juzgado de lo Penal núm. 12 de Madrid, por auto de 9 de febrero de 2023, acordó revocar la suspensión de la ejecución de la pena de prisión, ordenando su cumplimiento, con fundamento en que se había acreditado el incumplimiento de la condición del pago fraccionado de la responsabilidad “no habiendo demostrado más esfuerzo por cumplir en sus obligaciones que un mínimo ingreso de 300 € pese al tiempo transcurrido y las facilidades dadas”.</w:t>
      </w:r>
    </w:p>
    <w:p w14:paraId="5EF00C2F" w14:textId="77777777" w:rsidR="009D7677" w:rsidRDefault="009D7677" w:rsidP="009D7677">
      <w:pPr>
        <w:pStyle w:val="TextoNormal"/>
      </w:pPr>
    </w:p>
    <w:p w14:paraId="25B779BD" w14:textId="77777777" w:rsidR="009D7677" w:rsidRDefault="009D7677" w:rsidP="009D7677">
      <w:pPr>
        <w:pStyle w:val="TextoNormal"/>
      </w:pPr>
      <w:r>
        <w:t>La demandante de amparo interpuso recurso de reforma insistiendo en su falta de capacidad de hacer frente al pago acordado y reiterando la petición de que se hiciera una averi</w:t>
      </w:r>
      <w:r>
        <w:lastRenderedPageBreak/>
        <w:t>guación judicial sobre su situación patrimonial de conformidad con la STC 32/2022, de 7 de marzo.</w:t>
      </w:r>
    </w:p>
    <w:p w14:paraId="69D58D26" w14:textId="77777777" w:rsidR="009D7677" w:rsidRDefault="009D7677" w:rsidP="009D7677">
      <w:pPr>
        <w:pStyle w:val="TextoNormal"/>
      </w:pPr>
    </w:p>
    <w:p w14:paraId="3103AC01" w14:textId="77777777" w:rsidR="009D7677" w:rsidRDefault="009D7677" w:rsidP="009D7677">
      <w:pPr>
        <w:pStyle w:val="TextoNormal"/>
      </w:pPr>
      <w:r>
        <w:t>d) El Juzgado de lo Penal núm. 12 de Madrid, por auto de 30 de marzo de 2023, acordó desestimar el recurso de reforma argumentando, respecto de la situación de insolvencia que se alega para no haber hecho frente al pago de las responsabilidades civiles, que (i) “[p]or lo actuado se observa que las circunstancias ya eran las mismas desde la sentencia, sin contrato laboral, con ausencia de bienes a su nombre, datos que ya la penada conocía bien y debió de tener en cuenta cuando hizo el ofrecimiento fraccionado y se obligó a cumplirlo” (fundamento de Derecho primero); (ii) “la excepción legal ‘salvo que careciera de capacidad económica para ello’ debe ser interpretada en el sentido de que solo puede evitarse la revocación de la suspensión por impago si el penado demuestra que el impedimento económico es posterior al compromiso de pago”; y (iii) se interpreta que la demandante “asumió artificiosamente el compromiso de pago con el fin inmediato de obtener la suspensión, pero con la intención última de eludir su obligación de reparar el daño y burlar las condiciones que justificaba la concesión del beneficio, alegando y solicitando en el recurso que se oficie al punto neutro judicial a fin de acreditar la insolvencia del penado datos y circunstancias no sobrevenidas sin[o] plenamente conocidas por la penada cuando en sentencia y posteriormente en ejecución se comprometió al abono de la responsabilidad civil, siendo inocua a este respecto la declaración de insolvencia” (fundamento de Derecho segundo).</w:t>
      </w:r>
    </w:p>
    <w:p w14:paraId="5ECED50D" w14:textId="77777777" w:rsidR="009D7677" w:rsidRDefault="009D7677" w:rsidP="009D7677">
      <w:pPr>
        <w:pStyle w:val="TextoNormal"/>
      </w:pPr>
    </w:p>
    <w:p w14:paraId="3C06E2EE" w14:textId="77777777" w:rsidR="009D7677" w:rsidRDefault="009D7677" w:rsidP="009D7677">
      <w:pPr>
        <w:pStyle w:val="TextoNormal"/>
      </w:pPr>
      <w:r>
        <w:t>La demandante de amparo interpuso recurso de apelación con fundamento en que (i) tiene una precaria situación económica, que es la que le ha impedido hacer frente al pago comprometido; (ii) su voluntad de pago inicial era y sigue siendo real, no pudiendo presumirse una voluntad fraudulenta; (iii) la jurisprudencia constitucional en la STC 32/2022, de 7 de marzo, ha establecido que no puede fundarse la revocación de la suspensión en el mero incumplimiento del pago sin atender a su real situación económica; y (iv) en diversas ocasiones en el procedimiento se ha instado la averiguación judicial sobre su situación económica sin que se hubiera atendido a dicha petición.</w:t>
      </w:r>
    </w:p>
    <w:p w14:paraId="01B776FD" w14:textId="77777777" w:rsidR="009D7677" w:rsidRDefault="009D7677" w:rsidP="009D7677">
      <w:pPr>
        <w:pStyle w:val="TextoNormal"/>
      </w:pPr>
    </w:p>
    <w:p w14:paraId="506D49CD" w14:textId="5EE99719" w:rsidR="009D7677" w:rsidRDefault="009D7677" w:rsidP="009D7677">
      <w:pPr>
        <w:pStyle w:val="TextoNormal"/>
      </w:pPr>
      <w:r>
        <w:t>e) La Sección Sexta de la Audiencia Provincial de Madrid, por auto núm. 454/2023, de 31 de mayo, pronunciado en el rollo de apelación núm. 619-2023, desestimó el recurso interpuesto argumentado, tras transcribir el art. 86 Código penal (CP), que la demandante ha abonado solo la cantidad de 300 € del total de la responsabilidad civil sin mostrar “la más mínima voluntad de cumplir con su compromiso”; incidiendo en que “es obvio que el abono de la responsabilidad civil que le fue impuesta a la penada y su compromiso de pago para beneficiarse de [la] suspensión de la pena privativa de libertad, fue condición ‘</w:t>
      </w:r>
      <w:r w:rsidRPr="009D7677">
        <w:rPr>
          <w:i/>
        </w:rPr>
        <w:t>sine quae non</w:t>
      </w:r>
      <w:r>
        <w:t>’ para acordarla de modo tal que, su incumplimiento, conlleva indefectiblemente a revocar la suspensión que le fue otorgada tal y como establece el artículo 86.1 del Código penal” (razonamiento jurídico segundo).</w:t>
      </w:r>
    </w:p>
    <w:p w14:paraId="095F39C6" w14:textId="77777777" w:rsidR="009D7677" w:rsidRDefault="009D7677" w:rsidP="009D7677">
      <w:pPr>
        <w:pStyle w:val="TextoNormal"/>
      </w:pPr>
    </w:p>
    <w:p w14:paraId="2DF77639" w14:textId="77777777" w:rsidR="009D7677" w:rsidRDefault="009D7677" w:rsidP="009D7677">
      <w:pPr>
        <w:pStyle w:val="TextoNormal"/>
      </w:pPr>
      <w:r w:rsidRPr="009D7677">
        <w:rPr>
          <w:rStyle w:val="NumeroAFNegritaCaracter"/>
        </w:rPr>
        <w:t>3</w:t>
      </w:r>
      <w:r>
        <w:t>. La demandante de amparo solicita que se estime el recurso declarando que se ha vulnerado su derecho a la tutela judicial efectiva (art. 24.1 CE), en relación con los derechos a la libertad (art. 17.1 CE) y a un proceso con todas las garantías (24.2 CE), para cuyo restablecimiento considera necesario anular las resoluciones impugnadas con retroacción de actuaciones para que se pronuncia otra respetuosa con el derecho fundamental reconocido.</w:t>
      </w:r>
    </w:p>
    <w:p w14:paraId="71682F31" w14:textId="77777777" w:rsidR="009D7677" w:rsidRDefault="009D7677" w:rsidP="009D7677">
      <w:pPr>
        <w:pStyle w:val="TextoNormal"/>
      </w:pPr>
    </w:p>
    <w:p w14:paraId="723E5DB7" w14:textId="77777777" w:rsidR="009D7677" w:rsidRDefault="009D7677" w:rsidP="009D7677">
      <w:pPr>
        <w:pStyle w:val="TextoNormal"/>
      </w:pPr>
      <w:r>
        <w:t>La demandante de amparo fundamenta la invocación de este derecho en que las resoluciones judiciales impugnadas, en contravención con la jurisprudencia constitucional en la materia, han decidido la revocación automática de la suspensión de la pena privativa de la libertad impuesta con la mera verificación del incumplimiento de la condición del plan de pagos de la responsabilidad civil acordado sin atender las reiteradas peticiones de que se hiciera una averiguación patrimonial sobre la capacidad económica de la recurrente antes de tomar esa decisión ni, por tanto, exponer las razones sobre la eventual relevancia de su incapacidad económica de hacer frente a ese compromiso.</w:t>
      </w:r>
    </w:p>
    <w:p w14:paraId="14FAC050" w14:textId="77777777" w:rsidR="009D7677" w:rsidRDefault="009D7677" w:rsidP="009D7677">
      <w:pPr>
        <w:pStyle w:val="TextoNormal"/>
      </w:pPr>
    </w:p>
    <w:p w14:paraId="7231B9EF" w14:textId="77E27865" w:rsidR="009D7677" w:rsidRDefault="009D7677" w:rsidP="009D7677">
      <w:pPr>
        <w:pStyle w:val="TextoNormal"/>
      </w:pPr>
      <w:r>
        <w:t>La demandante de amparo alega que el recurso tiene especial trascendencia constitucional por la negativa manifiesta de los órganos judiciales de acatar la jurisprudencia constitucional en la materia, que fue reiteradamente invocada, pero desatendida, en la vía judicial.</w:t>
      </w:r>
    </w:p>
    <w:p w14:paraId="7A40D2F0" w14:textId="77777777" w:rsidR="009D7677" w:rsidRDefault="009D7677" w:rsidP="009D7677">
      <w:pPr>
        <w:pStyle w:val="TextoNormal"/>
      </w:pPr>
    </w:p>
    <w:p w14:paraId="47058512" w14:textId="47B21816" w:rsidR="009D7677" w:rsidRDefault="009D7677" w:rsidP="009D7677">
      <w:pPr>
        <w:pStyle w:val="TextoNormal"/>
      </w:pPr>
      <w:r w:rsidRPr="009D7677">
        <w:rPr>
          <w:rStyle w:val="NumeroAFNegritaCaracter"/>
        </w:rPr>
        <w:t>4</w:t>
      </w:r>
      <w:r>
        <w:t>. La Sección Primera del Tribunal, por providencia de 15 de enero de 2024, acordó la admisión a trámite de la demanda de amparo, apreciando que concurre en el mismo una especial trascendencia constitucional como consecuencia de que el órgano judicial pudiera haber incurrido en una negativa manifiesta del deber de acatamiento de la doctrina de este tribunal [STC 155/2009, de 25 de junio, FJ 2 f)]; dirigir atenta comunicación a los órganos judiciales para la remisión de testimonio de las actuaciones y emplazamiento de quienes hubieran sido parte en el procedimiento para que puedan comparecer en el recurso de amparo; y la formación de pieza separada para sustanciar el incidente de suspensión, que fue resuelto por ATC 19/2024, de 26 de febrero.</w:t>
      </w:r>
    </w:p>
    <w:p w14:paraId="054B7816" w14:textId="77777777" w:rsidR="009D7677" w:rsidRDefault="009D7677" w:rsidP="009D7677">
      <w:pPr>
        <w:pStyle w:val="TextoNormal"/>
      </w:pPr>
    </w:p>
    <w:p w14:paraId="39DACEA9" w14:textId="49E5F917" w:rsidR="009D7677" w:rsidRDefault="009D7677" w:rsidP="009D7677">
      <w:pPr>
        <w:pStyle w:val="TextoNormal"/>
      </w:pPr>
      <w:r w:rsidRPr="009D7677">
        <w:rPr>
          <w:rStyle w:val="NumeroAFNegritaCaracter"/>
        </w:rPr>
        <w:t>5</w:t>
      </w:r>
      <w:r>
        <w:t>. La Secretaría de Justicia de la Sala Primera del Tribunal, por diligencia de ordenación de 3 de abril de 2024, tuvo por recibido el testimonio de las actuaciones y acordó dar vista de estas al demandante de amparo y al Ministerio Fiscal, por plazo común de veinte días, a fin de que, conforme con lo previsto en el art. 52 de la Ley Orgánica del Tribunal Constitucional, pudieran presentar alegaciones.</w:t>
      </w:r>
    </w:p>
    <w:p w14:paraId="734E0E92" w14:textId="77777777" w:rsidR="009D7677" w:rsidRDefault="009D7677" w:rsidP="009D7677">
      <w:pPr>
        <w:pStyle w:val="TextoNormal"/>
      </w:pPr>
    </w:p>
    <w:p w14:paraId="6C785BE1" w14:textId="77777777" w:rsidR="009D7677" w:rsidRDefault="009D7677" w:rsidP="009D7677">
      <w:pPr>
        <w:pStyle w:val="TextoNormal"/>
      </w:pPr>
      <w:r w:rsidRPr="009D7677">
        <w:rPr>
          <w:rStyle w:val="NumeroAFNegritaCaracter"/>
        </w:rPr>
        <w:t>6</w:t>
      </w:r>
      <w:r>
        <w:t>. El Ministerio Fiscal, mediante escrito registrado el 26 de abril de 2024, presentó alegaciones interesando la estimación del amparo por vulneración del derecho a la tutela judicial efectiva (art. 24.1 CE), en relación con el derecho a la libertad (art. 17.1 CE), para cuyo restablecimiento insta la nulidad de las resoluciones judiciales impugnadas y de todas las actuaciones posteriores dirigidas a la ejecución de la pena de prisión impuesta a la recurrente, sin necesidad de retroacción de las actuaciones al verificarse que, igual que sucedía en el asunto enjuiciado en la STC 184/2023, de 11 de noviembre, la decisión de revocación se adoptó transcurrido ya el plazo de suspensión otorgado.</w:t>
      </w:r>
    </w:p>
    <w:p w14:paraId="54A301A4" w14:textId="77777777" w:rsidR="009D7677" w:rsidRDefault="009D7677" w:rsidP="009D7677">
      <w:pPr>
        <w:pStyle w:val="TextoNormal"/>
      </w:pPr>
    </w:p>
    <w:p w14:paraId="3DEC6119" w14:textId="6E432CF1" w:rsidR="009D7677" w:rsidRDefault="009D7677" w:rsidP="009D7677">
      <w:pPr>
        <w:pStyle w:val="TextoNormal"/>
      </w:pPr>
      <w:r>
        <w:t xml:space="preserve">El Ministerio Fiscal argumenta que concurre la vulneración aducida por la demandante de amparo ya que, en contravención de la jurisprudencia constitucional establecida en la STC 32/2022, de 7 de marzo, reiterada en posteriores resoluciones, se constata en este caso que la decisión judicial de revocar la suspensión de la ejecución de la pena de libertad que había sido concedida a la demandante de amparo se ha fundamentado exclusivamente en el incumplimiento del plan de pagos de la responsabilidad civil impuesta sin analizar ni motivar de modo específico la capacidad económica de pago referida al momento de </w:t>
      </w:r>
      <w:r>
        <w:lastRenderedPageBreak/>
        <w:t>adoptar la decisión revocatoria para ponderar si existía una situación de imposibilidad que lo impida.</w:t>
      </w:r>
    </w:p>
    <w:p w14:paraId="41A62269" w14:textId="77777777" w:rsidR="009D7677" w:rsidRDefault="009D7677" w:rsidP="009D7677">
      <w:pPr>
        <w:pStyle w:val="TextoNormal"/>
      </w:pPr>
    </w:p>
    <w:p w14:paraId="40326B44" w14:textId="6949ED5C" w:rsidR="009D7677" w:rsidRDefault="009D7677" w:rsidP="009D7677">
      <w:pPr>
        <w:pStyle w:val="TextoNormal"/>
      </w:pPr>
      <w:r w:rsidRPr="009D7677">
        <w:rPr>
          <w:rStyle w:val="NumeroAFNegritaCaracter"/>
        </w:rPr>
        <w:t>7</w:t>
      </w:r>
      <w:r>
        <w:t>. La demandante de amparo, mediante escrito registrado el 4 de abril de 2024, presentó sus alegaciones dando por reproducido lo expuesto en su escrito de demanda.</w:t>
      </w:r>
    </w:p>
    <w:p w14:paraId="0004A270" w14:textId="77777777" w:rsidR="009D7677" w:rsidRDefault="009D7677" w:rsidP="009D7677">
      <w:pPr>
        <w:pStyle w:val="TextoNormal"/>
      </w:pPr>
    </w:p>
    <w:p w14:paraId="238DCE00" w14:textId="1224A0C8" w:rsidR="009D7677" w:rsidRDefault="009D7677" w:rsidP="009D7677">
      <w:pPr>
        <w:pStyle w:val="TextoNormal"/>
      </w:pPr>
      <w:r w:rsidRPr="009D7677">
        <w:rPr>
          <w:rStyle w:val="NumeroAFNegritaCaracter"/>
        </w:rPr>
        <w:t>8</w:t>
      </w:r>
      <w:r>
        <w:t>. Por providencia de 20 de mayo de 2024 se señaló ese mismo día para deliberación y votación de la presente sentencia.</w:t>
      </w:r>
    </w:p>
    <w:p w14:paraId="799433A8" w14:textId="77777777" w:rsidR="009D7677" w:rsidRDefault="009D7677" w:rsidP="009D7677">
      <w:pPr>
        <w:pStyle w:val="TextoNormal"/>
      </w:pPr>
    </w:p>
    <w:p w14:paraId="39F56F16" w14:textId="77777777" w:rsidR="009D7677" w:rsidRDefault="009D7677" w:rsidP="009D7677">
      <w:pPr>
        <w:pStyle w:val="TextoNormalNegritaCentrado"/>
        <w:keepNext/>
      </w:pPr>
      <w:r>
        <w:t>II. Fundamentos jurídicos</w:t>
      </w:r>
    </w:p>
    <w:p w14:paraId="0D1E4523" w14:textId="5D4EFAB9" w:rsidR="009D7677" w:rsidRDefault="009D7677" w:rsidP="009D7677">
      <w:pPr>
        <w:pStyle w:val="TextoNormalNegritaCentrado"/>
        <w:keepNext/>
      </w:pPr>
    </w:p>
    <w:p w14:paraId="32FC3B1E" w14:textId="77777777" w:rsidR="009D7677" w:rsidRDefault="009D7677" w:rsidP="009D7677">
      <w:pPr>
        <w:pStyle w:val="TextoNormal"/>
      </w:pPr>
      <w:r w:rsidRPr="009D7677">
        <w:rPr>
          <w:rStyle w:val="TextoNormalNegritaCaracter"/>
        </w:rPr>
        <w:t xml:space="preserve">Único. </w:t>
      </w:r>
      <w:r w:rsidRPr="009D7677">
        <w:rPr>
          <w:i/>
        </w:rPr>
        <w:t>Aplicación de la jurisprudencia de la STC 32/2022, de 7 de marzo</w:t>
      </w:r>
    </w:p>
    <w:p w14:paraId="446DB9E1" w14:textId="77777777" w:rsidR="009D7677" w:rsidRDefault="009D7677" w:rsidP="009D7677">
      <w:pPr>
        <w:pStyle w:val="TextoNormal"/>
      </w:pPr>
    </w:p>
    <w:p w14:paraId="760A26E2" w14:textId="77777777" w:rsidR="009D7677" w:rsidRDefault="009D7677" w:rsidP="009D7677">
      <w:pPr>
        <w:pStyle w:val="TextoNormal"/>
      </w:pPr>
      <w:r>
        <w:t>a) El objeto del presente recurso de amparo es determinar si vulneran el derecho a la tutela judicial efectiva (art. 24.1 CE), en relación con el derecho a la libertad (art. 17.1 CE), las resoluciones judiciales impugnadas en las que se acordó y confirmó la revocación de la suspensión de la ejecución de la pena de prisión impuesta a la demandante de amparo con fundamento en el mero incumplimiento de la condición del pago fraccionado de la responsabilidad civil acordada, pero sin desarrollar ninguna actividad para verificar la real situación económica de la demandante en aquel momento, ni ponderar si era la causante del impago, con el argumento de que resultaba innecesario porque dicha situación no era sobrevenida al compromiso de pago sino que había sido asumida artificiosamente con la intención última de eludirla.</w:t>
      </w:r>
    </w:p>
    <w:p w14:paraId="755586E0" w14:textId="77777777" w:rsidR="009D7677" w:rsidRDefault="009D7677" w:rsidP="009D7677">
      <w:pPr>
        <w:pStyle w:val="TextoNormal"/>
      </w:pPr>
    </w:p>
    <w:p w14:paraId="10129DAB" w14:textId="77777777" w:rsidR="009D7677" w:rsidRDefault="009D7677" w:rsidP="009D7677">
      <w:pPr>
        <w:pStyle w:val="TextoNormal"/>
      </w:pPr>
      <w:r>
        <w:t>b) El recurso fue admitido a trámite por apreciarse que concurre la causa de especial transcendencia constitucional consistente en que pudiera haberse incurrido en una negativa manifiesta del deber de acatamiento de la doctrina de este tribunal [STC 155/2009, FJ 2 f)], al constatar el Tribunal que (i) la demandante hizo invocación de manera reiterada en la vía judicial de la jurisprudencia establecida en la STC 32/2022, de 7 de marzo, para que se iniciara una investigación judicial sobre su situación económica para ponderar dicha circunstancia como justificativa del impago de la responsabilidad civil impuesta; y (ii) se desatendió esa petición por los órganos judiciales eludiendo cualquier consideración respecto de lo establecido en dicha jurisprudencia constitucional. Ello constituye un supuesto de lo que el Tribunal viene considerando una negativa manifiesta implícita [así, por ejemplo, SSTC 106/2017, de 18 de septiembre, FFJJ 2 y 3; 32/2020, de 24 de febrero, FJ 2 c); 187/2020, de 14 de diciembre, FJ 2, o 132/2022, de 24 de octubre, FJ 2].</w:t>
      </w:r>
    </w:p>
    <w:p w14:paraId="2A9A0C38" w14:textId="77777777" w:rsidR="009D7677" w:rsidRDefault="009D7677" w:rsidP="009D7677">
      <w:pPr>
        <w:pStyle w:val="TextoNormal"/>
      </w:pPr>
    </w:p>
    <w:p w14:paraId="79401A93" w14:textId="77777777" w:rsidR="009D7677" w:rsidRDefault="009D7677" w:rsidP="009D7677">
      <w:pPr>
        <w:pStyle w:val="TextoNormal"/>
      </w:pPr>
      <w:r>
        <w:t xml:space="preserve">c) La cuestión planteada en este recurso ya ha sido objeto de pronunciamiento por este tribunal en la STC 32/2022, de 7 de marzo, aplicada después en las SSTC 184/2023, de 11 de diciembre, y 39/2024, de 11 de marzo. En la citada STC 32/2022, el Tribunal ha establecido que el derecho a la tutela judicial efectiva (art. 24.1 CE), en relación con el derecho a la libertad (art. 17.1 CE), impone que la decisión judicial de revocación de la suspensión de la ejecución de una pena privativa de libertad, cuando se fundamenta en el incumplimiento de la condición de satisfacer la responsabilidad civil derivada del delito para obtener dicha suspensión, se debe adoptar analizando de modo específico la capacidad económica del penado referida al momento de adoptar la decisión revocatoria, debiendo </w:t>
      </w:r>
      <w:r>
        <w:lastRenderedPageBreak/>
        <w:t>razonarse sobre el carácter injustificado del impago o sobre si existe una situación de imposibilidad material que lo impida, en cuyo caso no procederá la revocación (FJ 4).</w:t>
      </w:r>
    </w:p>
    <w:p w14:paraId="13CA7F60" w14:textId="77777777" w:rsidR="009D7677" w:rsidRDefault="009D7677" w:rsidP="009D7677">
      <w:pPr>
        <w:pStyle w:val="TextoNormal"/>
      </w:pPr>
    </w:p>
    <w:p w14:paraId="5BF9E1CD" w14:textId="77777777" w:rsidR="009D7677" w:rsidRDefault="009D7677" w:rsidP="009D7677">
      <w:pPr>
        <w:pStyle w:val="TextoNormal"/>
      </w:pPr>
      <w:r>
        <w:t>A ello ha añadido el Tribunal que no resulta constitucionalmente admisible para fundamentar la revocación el razonamiento conforme al cual “la existencia de un compromiso inicial que se ha incumplido absolutamente [permite inferir] que, dado que no se ha acreditado un cambio de circunstancias, ese compromiso se asumió torticeramente y nunca hubo voluntad de cumplir ni un mínimo interés por reparar el daño causado”, ya que “[a]unque no sea irrazonable considerar un indicio de la capacidad económica la asunción por el condenado de un concreto plan de pagos al tiempo de acordar la suspensión, ese indicio resulta insuficiente cuando se trata de verificar la existencia efectiva de dicho poder de pago como condición para revocar. Ciertamente, el art. 80.2.3 CP exige al penado ‘asumir el compromiso de satisfacer las responsabilidades civiles de acuerdo a su capacidad económica’, pero el plan de pago pudo asumirse, por ejemplo, en una confianza razonable de venir a mejor fortuna o de recibir ayuda externa —de la familia o de los amigos— para hacer frente a la deuda, confianza que luego se ha visto defraudada. Se trata de un indicio no concluyente de la real capacidad económica del sujeto incumplidor que alega carecer de ella, como es el caso, si no viene acompañado de otros que apuntalen la conclusión sobre la efectiva solvencia. A la postre, conformarse con una motivación que pivota fundamentalmente sobre ese indicio frente a lo alegado en contra por el condenado conduce a la ausencia de un examen de la efectiva capacidad económica del sujeto, como ha ocurrido en el asunto de fondo, de modo que la revocación se apoya en una presunción de capacidad y no en la concurrencia de la misma como exige el art. 86.1 d) CP y el entendimiento constitucional de la suspensión” (STC 32/2022, FJ 4).</w:t>
      </w:r>
    </w:p>
    <w:p w14:paraId="073A2FF3" w14:textId="77777777" w:rsidR="009D7677" w:rsidRDefault="009D7677" w:rsidP="009D7677">
      <w:pPr>
        <w:pStyle w:val="TextoNormal"/>
      </w:pPr>
    </w:p>
    <w:p w14:paraId="2B05BDE7" w14:textId="77777777" w:rsidR="009D7677" w:rsidRDefault="009D7677" w:rsidP="009D7677">
      <w:pPr>
        <w:pStyle w:val="TextoNormal"/>
      </w:pPr>
      <w:r>
        <w:t>d) El Tribunal concluye que las resoluciones impugnadas han vulnerado el derecho a la tutela judicial efectiva (art. 24.1 CE), en relación con el derecho a la libertad (art. 17.1 CE), al constatar que en el presente caso, en contravención de la jurisprudencia constitucional expuesta, la revocación de la suspensión de la ejecución de la pena privativa de libertad (i) se fundamentó exclusivamente en el incumplimiento de la condición del pago fraccionado de la responsabilidad civil impuesta y (ii) se adoptó sin que, a pesar de la petición reiterada en ese sentido, se procediera a analizar de modo específico la capacidad económica de la demandante en el momento de adoptar esa decisión revocatoria para ponderar el eventual carácter injustificado del impago o sobre si existía una situación de imposibilidad material que lo impidiera, con el solo argumento, ya expresamente desautorizado por la jurisprudencia constitucional, de que ello era innecesario porque la demandante asumió artificiosamente el compromiso de pago con el fin inmediato de obtener la suspensión, pero con la intención última de eludir su obligación. Se resuelve acordando suspender la ejecución de la pena.</w:t>
      </w:r>
    </w:p>
    <w:p w14:paraId="0BDD9E04" w14:textId="77777777" w:rsidR="009D7677" w:rsidRDefault="009D7677" w:rsidP="009D7677">
      <w:pPr>
        <w:pStyle w:val="TextoNormal"/>
      </w:pPr>
    </w:p>
    <w:p w14:paraId="6D045CF0" w14:textId="47F7D948" w:rsidR="009D7677" w:rsidRDefault="009D7677" w:rsidP="009D7677">
      <w:pPr>
        <w:pStyle w:val="TextoNormal"/>
      </w:pPr>
      <w:r>
        <w:t>El restablecimiento de los derechos que el Tribunal considera vulnerados determina la anulación de las resoluciones impugnadas y de todas las actuaciones posteriores dirigidas a la ejecución de la pena de prisión impuesta a la demandante de amparo. Sin embargo, no resulta preciso, como ya se estableció en las citadas SSTC 184/2023, FJ 5, y 39/2024, FJ 5, la retroacción de actuaciones al constatarse que la inicial decisión judicial de revocación fue adoptada el 9 de febrero de 2023 cuando ya había transcurrido el plazo de suspensión de dos años desde su concesión por auto de 26 de enero de 2021.</w:t>
      </w:r>
    </w:p>
    <w:p w14:paraId="5922BC4C" w14:textId="77777777" w:rsidR="009D7677" w:rsidRDefault="009D7677" w:rsidP="009D7677">
      <w:pPr>
        <w:pStyle w:val="TextoNormal"/>
      </w:pPr>
    </w:p>
    <w:p w14:paraId="6DE65753" w14:textId="77777777" w:rsidR="009D7677" w:rsidRDefault="009D7677" w:rsidP="009D7677">
      <w:pPr>
        <w:pStyle w:val="TextoNormalCentrado"/>
        <w:keepNext/>
      </w:pPr>
      <w:r>
        <w:lastRenderedPageBreak/>
        <w:t>FALLO</w:t>
      </w:r>
    </w:p>
    <w:p w14:paraId="74D486DD" w14:textId="1846C453" w:rsidR="009D7677" w:rsidRDefault="009D7677" w:rsidP="009D7677">
      <w:pPr>
        <w:pStyle w:val="TextoNormalCentrado"/>
        <w:keepNext/>
      </w:pPr>
    </w:p>
    <w:p w14:paraId="5EA4E8DE" w14:textId="77777777" w:rsidR="009D7677" w:rsidRDefault="009D7677" w:rsidP="009D7677">
      <w:pPr>
        <w:pStyle w:val="TextoNormal"/>
      </w:pPr>
      <w:r>
        <w:t>En atención a todo lo expuesto, el Tribunal Constitucional, por la autoridad que le confiere la Constitución de la Nación española, ha decidido estimar el recurso de amparo interpuesto por doña Glenda Suyapa Dormes Medina y, en su virtud:</w:t>
      </w:r>
    </w:p>
    <w:p w14:paraId="7DC85088" w14:textId="77777777" w:rsidR="009D7677" w:rsidRDefault="009D7677" w:rsidP="009D7677">
      <w:pPr>
        <w:pStyle w:val="TextoNormal"/>
      </w:pPr>
    </w:p>
    <w:p w14:paraId="016857EA" w14:textId="77777777" w:rsidR="009D7677" w:rsidRDefault="009D7677" w:rsidP="009D7677">
      <w:pPr>
        <w:pStyle w:val="TextoNormal"/>
      </w:pPr>
      <w:r>
        <w:t>1º Declarar que ha sido vulnerado su derecho fundamental a la tutela judicial efectiva (art. 24.1 CE), en relación con el derecho a la libertad personal (art. 17.1 CE).</w:t>
      </w:r>
    </w:p>
    <w:p w14:paraId="1DC1B4D8" w14:textId="77777777" w:rsidR="009D7677" w:rsidRDefault="009D7677" w:rsidP="009D7677">
      <w:pPr>
        <w:pStyle w:val="TextoNormal"/>
      </w:pPr>
    </w:p>
    <w:p w14:paraId="254D1699" w14:textId="6C8E4B6A" w:rsidR="009D7677" w:rsidRDefault="009D7677" w:rsidP="009D7677">
      <w:pPr>
        <w:pStyle w:val="TextoNormal"/>
      </w:pPr>
      <w:r>
        <w:t>2º Restablecerla en su derecho y, a tal fin, declarar la nulidad de los autos del Juzgado de lo Penal núm. 12 de Madrid de 9 de febrero y de 30 de marzo de 2023, pronunciados en la ejecutoria núm. 462-2020; y el auto de la Sección Sexta de la Audiencia Provincial de Madrid núm. 454/2023, de 31 de mayo de 2023, pronunciado en el rollo de apelación núm. 619-2023, y de todas las actuaciones posteriores dirigidas a la ejecución de la pena de prisión impuesta a la demandante de amparo.</w:t>
      </w:r>
    </w:p>
    <w:p w14:paraId="78702125" w14:textId="77777777" w:rsidR="009D7677" w:rsidRDefault="009D7677" w:rsidP="009D7677">
      <w:pPr>
        <w:pStyle w:val="TextoNormal"/>
      </w:pPr>
    </w:p>
    <w:p w14:paraId="04AA0CE0" w14:textId="77777777" w:rsidR="009D7677" w:rsidRDefault="009D7677" w:rsidP="009D7677">
      <w:pPr>
        <w:pStyle w:val="TextoNormal"/>
      </w:pPr>
      <w:r>
        <w:t>Publíquese esta sentencia en el “Boletín Oficial del Estado”.</w:t>
      </w:r>
    </w:p>
    <w:p w14:paraId="0085079B" w14:textId="77777777" w:rsidR="009D7677" w:rsidRDefault="009D7677" w:rsidP="009D7677">
      <w:pPr>
        <w:pStyle w:val="TextoNormal"/>
      </w:pPr>
      <w:r>
        <w:t>Dada en Madrid, a veinte de mayo de dos mil veinticuatro.</w:t>
      </w:r>
    </w:p>
    <w:p w14:paraId="2376AF08" w14:textId="1B258E8D" w:rsidR="009D7677" w:rsidRDefault="009D7677">
      <w:pPr>
        <w:spacing w:after="160" w:line="259" w:lineRule="auto"/>
        <w:rPr>
          <w:rFonts w:ascii="Times New Roman" w:eastAsia="Times New Roman" w:hAnsi="Times New Roman" w:cs="Times New Roman"/>
          <w:sz w:val="24"/>
          <w:szCs w:val="24"/>
          <w:lang w:eastAsia="es-ES"/>
        </w:rPr>
      </w:pPr>
      <w:r>
        <w:br w:type="page"/>
      </w:r>
    </w:p>
    <w:p w14:paraId="2C39ABCC" w14:textId="77777777" w:rsidR="009D7677" w:rsidRDefault="009D7677" w:rsidP="009D7677">
      <w:pPr>
        <w:pStyle w:val="TtuloResolucin"/>
      </w:pPr>
      <w:bookmarkStart w:id="81" w:name="SENTENCIA_2024_79"/>
      <w:r>
        <w:lastRenderedPageBreak/>
        <w:t>SENTENCIA 79/2024, de 21 de mayo de 2024</w:t>
      </w:r>
    </w:p>
    <w:bookmarkEnd w:id="81"/>
    <w:p w14:paraId="61372B86" w14:textId="77777777" w:rsidR="009D7677" w:rsidRDefault="009D7677" w:rsidP="009D7677">
      <w:pPr>
        <w:pStyle w:val="TtuloResolucin"/>
      </w:pPr>
      <w:r>
        <w:t>Pleno</w:t>
      </w:r>
    </w:p>
    <w:p w14:paraId="398DE408" w14:textId="77777777" w:rsidR="009D7677" w:rsidRDefault="009D7677" w:rsidP="009D7677">
      <w:pPr>
        <w:pStyle w:val="TtuloBOE"/>
      </w:pPr>
      <w:r>
        <w:t>(BOE núm. 152, de 24 de junio de 2024)</w:t>
      </w:r>
    </w:p>
    <w:p w14:paraId="577CC551" w14:textId="77777777" w:rsidR="009D7677" w:rsidRDefault="009D7677" w:rsidP="009D7677">
      <w:pPr>
        <w:pStyle w:val="TextoNormalCentrado"/>
      </w:pPr>
      <w:r>
        <w:t>ECLI:ES:TC:2024:79</w:t>
      </w:r>
    </w:p>
    <w:p w14:paraId="0F4B4941" w14:textId="564606B9" w:rsidR="009D7677" w:rsidRDefault="009D7677" w:rsidP="009D7677">
      <w:pPr>
        <w:pStyle w:val="TextoNormalCentrado"/>
      </w:pPr>
    </w:p>
    <w:p w14:paraId="44FFB4FC" w14:textId="77777777" w:rsidR="009D7677" w:rsidRDefault="009D7677" w:rsidP="009D7677">
      <w:pPr>
        <w:pStyle w:val="SntesisDescriptiva"/>
      </w:pPr>
      <w:r>
        <w:t>Recurso de inconstitucionalidad 5491-2023. Interpuesto por el Consejo de Gobierno de la Junta de Andalucía en relación con diversos preceptos de la Ley 12/2023, de 24 de mayo, por el derecho a la vivienda.</w:t>
      </w:r>
    </w:p>
    <w:p w14:paraId="0029B19B" w14:textId="5A8F42BA" w:rsidR="009D7677" w:rsidRDefault="009D7677" w:rsidP="009D7677">
      <w:pPr>
        <w:pStyle w:val="SntesisDescriptiva"/>
      </w:pPr>
    </w:p>
    <w:p w14:paraId="68A0990F" w14:textId="77777777" w:rsidR="009D7677" w:rsidRDefault="009D7677" w:rsidP="009D7677">
      <w:pPr>
        <w:pStyle w:val="SntesisAnaltica"/>
      </w:pPr>
      <w:r>
        <w:t>Competencias sobre vivienda, urbanismo, ordenación del territorio, régimen local y servicios sociales; condiciones básicas de igualdad: nulidad total o parcial de los preceptos legales que regulan el régimen de viviendas protegidas, las obligaciones de colaboración de grandes tenedores en zonas de mercado residencial tensionado, finalidad y financiación de los parques públicos de vivienda y el régimen transitorio de las viviendas de protección pública previamente calificadas. Voto particular.</w:t>
      </w:r>
    </w:p>
    <w:p w14:paraId="5452D81A" w14:textId="7183CEC7" w:rsidR="009D7677" w:rsidRDefault="009D7677" w:rsidP="009D7677">
      <w:pPr>
        <w:pStyle w:val="SntesisAnaltica"/>
      </w:pPr>
    </w:p>
    <w:p w14:paraId="1487F993" w14:textId="68195B3C" w:rsidR="009D7677" w:rsidRDefault="009D7677" w:rsidP="009D7677">
      <w:pPr>
        <w:pStyle w:val="Extracto"/>
      </w:pPr>
      <w:r>
        <w:t>1.</w:t>
      </w:r>
      <w:r>
        <w:tab/>
        <w:t xml:space="preserve">Las comunidades autónomas ostentan competencias sobre la concreción de la función social de la propiedad privada de la vivienda como legisladores sectoriales de la materia, pues se trata de una competencia autonómica ampliamente ejercida. Pero esto no puede impedir que el Estado ejerza también su competencia, </w:t>
      </w:r>
      <w:r w:rsidRPr="009D7677">
        <w:rPr>
          <w:i/>
        </w:rPr>
        <w:t>ex</w:t>
      </w:r>
      <w:r>
        <w:t xml:space="preserve"> art. 149.1.1 CE (STC 57/2022) [FJ 3].</w:t>
      </w:r>
    </w:p>
    <w:p w14:paraId="0DECB527" w14:textId="77777777" w:rsidR="009D7677" w:rsidRDefault="009D7677" w:rsidP="009D7677">
      <w:pPr>
        <w:pStyle w:val="Extracto"/>
      </w:pPr>
    </w:p>
    <w:p w14:paraId="6B361C2C" w14:textId="5E4ED2BB" w:rsidR="009D7677" w:rsidRDefault="009D7677" w:rsidP="009D7677">
      <w:pPr>
        <w:pStyle w:val="Extracto"/>
      </w:pPr>
      <w:r>
        <w:t>2.</w:t>
      </w:r>
      <w:r>
        <w:tab/>
        <w:t>El legislador estatal tiene competencia para regular el cuadro de derechos y deberes de los propietarios de suelo, para garantizar la igualdad en las condiciones de ejercicio del derecho de propiedad urbana y el cumplimiento de los deberes inherentes a la función social, con los límites que derivan del necesario respeto a las competencias autonómicas (STC 16/2021) [FJ 3].</w:t>
      </w:r>
    </w:p>
    <w:p w14:paraId="78715B6A" w14:textId="77777777" w:rsidR="009D7677" w:rsidRDefault="009D7677" w:rsidP="009D7677">
      <w:pPr>
        <w:pStyle w:val="Extracto"/>
      </w:pPr>
    </w:p>
    <w:p w14:paraId="6128A9E7" w14:textId="700AFC26" w:rsidR="009D7677" w:rsidRDefault="009D7677" w:rsidP="009D7677">
      <w:pPr>
        <w:pStyle w:val="Extracto"/>
      </w:pPr>
      <w:r>
        <w:t>3.</w:t>
      </w:r>
      <w:r>
        <w:tab/>
        <w:t>Nada impide que las comunidades autónomas aprueben normas atinentes al régimen jurídico del derecho a la vivienda, respetando las condiciones básicas estatales (STC 61/1997) [FJ 4].</w:t>
      </w:r>
    </w:p>
    <w:p w14:paraId="4F546B75" w14:textId="77777777" w:rsidR="009D7677" w:rsidRDefault="009D7677" w:rsidP="009D7677">
      <w:pPr>
        <w:pStyle w:val="Extracto"/>
      </w:pPr>
    </w:p>
    <w:p w14:paraId="68CE6073" w14:textId="35EDDF7B" w:rsidR="009D7677" w:rsidRDefault="009D7677" w:rsidP="009D7677">
      <w:pPr>
        <w:pStyle w:val="Extracto"/>
      </w:pPr>
      <w:r>
        <w:t>4.</w:t>
      </w:r>
      <w:r>
        <w:tab/>
        <w:t xml:space="preserve">Las comunidades autónomas tienen en su mano la declaración de las zonas de mercado residencial tensionado, con la obligación de observar, en caso de optar por ellas, las garantías de su régimen jurídico. Debiendo contarse, en todo caso, con las soluciones normativas determinadas por el Estado, como expresión de la competencia sobre las bases y coordinación de la planificación general de la actividad económica que le corresponde </w:t>
      </w:r>
      <w:r w:rsidRPr="009D7677">
        <w:rPr>
          <w:i/>
        </w:rPr>
        <w:t>ex</w:t>
      </w:r>
      <w:r>
        <w:t xml:space="preserve"> art. 149.1.13 CE (STC 93/2015) [FJ 5].</w:t>
      </w:r>
    </w:p>
    <w:p w14:paraId="701C6AC8" w14:textId="77777777" w:rsidR="009D7677" w:rsidRDefault="009D7677" w:rsidP="009D7677">
      <w:pPr>
        <w:pStyle w:val="Extracto"/>
      </w:pPr>
    </w:p>
    <w:p w14:paraId="6E4B4850" w14:textId="4C73C0D2" w:rsidR="009D7677" w:rsidRDefault="009D7677" w:rsidP="009D7677">
      <w:pPr>
        <w:pStyle w:val="Extracto"/>
      </w:pPr>
      <w:r>
        <w:t>5.</w:t>
      </w:r>
      <w:r>
        <w:tab/>
        <w:t xml:space="preserve">La definición de “gran tenedor” como la persona física o jurídica que sea titular de más de diez inmuebles urbanos de uso residencial o una superficie construida de más de 1500 m2 de uso residencial, excluyendo en todo caso garajes y trasteros, o en entornos de mercado residencial tensionado los titulares de cinco o más inmuebles urbanos de uso residencial, resulta imprescindible para asegurar las condiciones básicas del ejercicio del derecho a la vivienda y de propiedad sobre ella, enmarcándose en el ejercicio de la competencia que corresponde al Estado </w:t>
      </w:r>
      <w:r w:rsidRPr="009D7677">
        <w:rPr>
          <w:i/>
        </w:rPr>
        <w:t>ex</w:t>
      </w:r>
      <w:r>
        <w:t xml:space="preserve"> art. 149.1.1 CE. Ello no obsta a las comunidades autónomas que puedan esta</w:t>
      </w:r>
      <w:r>
        <w:lastRenderedPageBreak/>
        <w:t>blecer definiciones en el ámbito competencial que les es propio, para el desarrollo de sus políticas en materia de vivienda [FJ 6].</w:t>
      </w:r>
    </w:p>
    <w:p w14:paraId="4C749114" w14:textId="77777777" w:rsidR="009D7677" w:rsidRDefault="009D7677" w:rsidP="009D7677">
      <w:pPr>
        <w:pStyle w:val="Extracto"/>
      </w:pPr>
    </w:p>
    <w:p w14:paraId="11089B0F" w14:textId="0BAF7F9B" w:rsidR="009D7677" w:rsidRDefault="009D7677" w:rsidP="009D7677">
      <w:pPr>
        <w:pStyle w:val="Extracto"/>
      </w:pPr>
      <w:r>
        <w:t>6.</w:t>
      </w:r>
      <w:r>
        <w:tab/>
        <w:t>Corresponde a la comunidad autónoma decidir si desea intensificar las obligaciones de información de los grandes tenedores respecto a las viviendas que se encuentran en zonas específicas, y debe corresponderle también decidir qué información requerir en su caso respecto a su uso y destino; por lo que las previsiones normativas estatales referidas a la obligación de información con respecto a las viviendas de titularidad del gran tenedor en la zona de mercado residencial tensionado no encuentran cobertura en el art. 149.1.1 CE; y tampoco, por su naturaleza no económica (STC 21/1999), en el art. 149.1.13 CE [FJ 6].</w:t>
      </w:r>
    </w:p>
    <w:p w14:paraId="4D66647F" w14:textId="77777777" w:rsidR="009D7677" w:rsidRDefault="009D7677" w:rsidP="009D7677">
      <w:pPr>
        <w:pStyle w:val="Extracto"/>
      </w:pPr>
    </w:p>
    <w:p w14:paraId="2DACE3BB" w14:textId="02C47155" w:rsidR="009D7677" w:rsidRDefault="009D7677" w:rsidP="009D7677">
      <w:pPr>
        <w:pStyle w:val="Extracto"/>
      </w:pPr>
      <w:r>
        <w:t>7.</w:t>
      </w:r>
      <w:r>
        <w:tab/>
        <w:t>Suponen un legítimo ejercicio de la competencia estatal del art. 149.1.1 CE en conexión con el art. 33.2 CE (STC 16/2021), tanto la regulación de derechos y deberes de los propietarios de viviendas para garantizar la igualdad en las condiciones de ejercicio del derecho y el cumplimiento de los deberes inherentes a su función social, como, en el caso concreto de las viviendas ubicadas en zonas tensionadas, el deber de cumplir las obligaciones de colaboración con la Administración competente y suministrarle información [FJ 6].</w:t>
      </w:r>
    </w:p>
    <w:p w14:paraId="3B9C4981" w14:textId="77777777" w:rsidR="009D7677" w:rsidRDefault="009D7677" w:rsidP="009D7677">
      <w:pPr>
        <w:pStyle w:val="Extracto"/>
      </w:pPr>
    </w:p>
    <w:p w14:paraId="5F9DBC39" w14:textId="696F3C03" w:rsidR="009D7677" w:rsidRDefault="009D7677" w:rsidP="009D7677">
      <w:pPr>
        <w:pStyle w:val="Extracto"/>
      </w:pPr>
      <w:r>
        <w:t>8.</w:t>
      </w:r>
      <w:r>
        <w:tab/>
        <w:t xml:space="preserve">Las definiciones normativas relativas al régimen de la vivienda protegida, establecidas a efectos de su regulación, estableciendo diversas modalidades de vivienda protegida, sobre las que después se articulan las políticas de planificación y programación públicas, suponen un ejercicio legítimo de la competencia estatal </w:t>
      </w:r>
      <w:r w:rsidRPr="009D7677">
        <w:rPr>
          <w:i/>
        </w:rPr>
        <w:t>ex</w:t>
      </w:r>
      <w:r>
        <w:t xml:space="preserve"> art. 149.1.1 CE que en ningún momento supone una normación completa y acabada de la materia (STC 65/2020) [FJ 7].</w:t>
      </w:r>
    </w:p>
    <w:p w14:paraId="17254F26" w14:textId="77777777" w:rsidR="009D7677" w:rsidRDefault="009D7677" w:rsidP="009D7677">
      <w:pPr>
        <w:pStyle w:val="Extracto"/>
      </w:pPr>
    </w:p>
    <w:p w14:paraId="55E9423D" w14:textId="1FCA9096" w:rsidR="009D7677" w:rsidRDefault="009D7677" w:rsidP="009D7677">
      <w:pPr>
        <w:pStyle w:val="Extracto"/>
      </w:pPr>
      <w:r>
        <w:t>9.</w:t>
      </w:r>
      <w:r>
        <w:tab/>
        <w:t>La regla de supletoriedad del art. 149.3 CE no supone título competencial alguno para el Estado y éste no puede dictar normas con el único propósito de crear Derecho supletorio del de las comunidades autónomas en materias que sean de la exclusiva competencia de éstas (STC 147/1991), ni siquiera cuando tenga alguna competencia en la materia (SSTC 118/1996, 109/2004 o 139/2011) [FJ 7].</w:t>
      </w:r>
    </w:p>
    <w:p w14:paraId="22DCDAF0" w14:textId="77777777" w:rsidR="009D7677" w:rsidRDefault="009D7677" w:rsidP="009D7677">
      <w:pPr>
        <w:pStyle w:val="Extracto"/>
      </w:pPr>
    </w:p>
    <w:p w14:paraId="4C2640DB" w14:textId="7292DE35" w:rsidR="009D7677" w:rsidRDefault="009D7677" w:rsidP="009D7677">
      <w:pPr>
        <w:pStyle w:val="Extracto"/>
      </w:pPr>
      <w:r>
        <w:t>10.</w:t>
      </w:r>
      <w:r>
        <w:tab/>
        <w:t>Sobre la base de las competencias estatales previstas en el art. 149.1.1 y 13 CE, es constitucional la posibilidad de que el legislador estatal fije porcentajes de reserva para viviendas con régimen de protección (STC 141/2014) [FJ 7].</w:t>
      </w:r>
    </w:p>
    <w:p w14:paraId="11AAE15B" w14:textId="77777777" w:rsidR="009D7677" w:rsidRDefault="009D7677" w:rsidP="009D7677">
      <w:pPr>
        <w:pStyle w:val="Extracto"/>
      </w:pPr>
    </w:p>
    <w:p w14:paraId="44B549CF" w14:textId="15A79A33" w:rsidR="009D7677" w:rsidRDefault="009D7677" w:rsidP="009D7677">
      <w:pPr>
        <w:pStyle w:val="Extracto"/>
      </w:pPr>
      <w:r>
        <w:t>11.</w:t>
      </w:r>
      <w:r>
        <w:tab/>
        <w:t>El listado de tipos de vivienda que integran los parques públicos de vivienda, al dar una determinada naturaleza a cierto patrimonio de otras administraciones que éstas no pueden variar, debe reputarse inconstitucional (STC 61/1997), dado que en nada contribuye al ejercicio en condiciones básicas de igualdad del derecho a la vivienda de quienes tienen más dificultades de acceso a ésta; ni tal medida tiene dimensión económica, lo que descarta la aplicabilidad del art. 149.1.13 CE (STC 21/1999). Su carácter taxativo, al establecer unos mínimos sin excepciones, excluye toda consideración como Derecho supletorio y exime por tanto de entrar a regularse por parte de las Comunidades autónomas [FJ 8].</w:t>
      </w:r>
    </w:p>
    <w:p w14:paraId="18CB058C" w14:textId="77777777" w:rsidR="009D7677" w:rsidRDefault="009D7677" w:rsidP="009D7677">
      <w:pPr>
        <w:pStyle w:val="Extracto"/>
      </w:pPr>
    </w:p>
    <w:p w14:paraId="0E699394" w14:textId="1270F143" w:rsidR="009D7677" w:rsidRDefault="009D7677" w:rsidP="009D7677">
      <w:pPr>
        <w:pStyle w:val="Extracto"/>
      </w:pPr>
      <w:r>
        <w:lastRenderedPageBreak/>
        <w:t>12.</w:t>
      </w:r>
      <w:r>
        <w:tab/>
        <w:t>La previsión de la afectación finalista de ingresos procedentes de las sanciones impuestas por el incumplimiento de la función social de la propiedad de la vivienda y de los ingresos procedentes de la gestión de esos bienes, y no solo de su enajenación, supone un exceso competencial por parte del Estado, contrario al principio de autonomía financiera a que el art. 156.1 CE vincula el desarrollo y ejecución de las competencias autonómicas (STC 87/2019) [FJ 8].</w:t>
      </w:r>
    </w:p>
    <w:p w14:paraId="7D288755" w14:textId="77777777" w:rsidR="009D7677" w:rsidRDefault="009D7677" w:rsidP="009D7677">
      <w:pPr>
        <w:pStyle w:val="Extracto"/>
      </w:pPr>
    </w:p>
    <w:p w14:paraId="2D0BF55D" w14:textId="67B5B36E" w:rsidR="009D7677" w:rsidRDefault="009D7677" w:rsidP="009D7677">
      <w:pPr>
        <w:pStyle w:val="Extracto"/>
      </w:pPr>
      <w:r>
        <w:t>13.</w:t>
      </w:r>
      <w:r>
        <w:tab/>
        <w:t>Las previsiones normativas que establecen las condiciones básicas necesarias para garantizar la igualdad en el ejercicio del derecho a la vivienda, sin suponer una normación completa y acabada del mismo (STC 65/2020) no vulneran las competencias autonómicas [FJ 8].</w:t>
      </w:r>
    </w:p>
    <w:p w14:paraId="70AF05B8" w14:textId="77777777" w:rsidR="009D7677" w:rsidRDefault="009D7677" w:rsidP="009D7677">
      <w:pPr>
        <w:pStyle w:val="Extracto"/>
      </w:pPr>
    </w:p>
    <w:p w14:paraId="65F6FD5A" w14:textId="0CC69BE9" w:rsidR="009D7677" w:rsidRDefault="009D7677" w:rsidP="009D7677">
      <w:pPr>
        <w:pStyle w:val="Extracto"/>
      </w:pPr>
      <w:r>
        <w:t>14.</w:t>
      </w:r>
      <w:r>
        <w:tab/>
        <w:t xml:space="preserve">El elemento de la duración y prórrogas del contrato de arrendamiento de vivienda son cuestiones que competen al legislador estatal </w:t>
      </w:r>
      <w:r w:rsidRPr="009D7677">
        <w:rPr>
          <w:i/>
        </w:rPr>
        <w:t>ex</w:t>
      </w:r>
      <w:r>
        <w:t xml:space="preserve"> art. 149.1.8 CE por ser, como la regulación de las reglas para la determinación de la renta, aspectos esenciales del régimen obligacional de los contratos de arrendamiento de viviendas que, en su condición de bases de las obligaciones contractuales, deben ser comunes y, por tanto, establecidas por el Estado [FJ 9].</w:t>
      </w:r>
    </w:p>
    <w:p w14:paraId="5C66D674" w14:textId="77777777" w:rsidR="009D7677" w:rsidRDefault="009D7677" w:rsidP="009D7677">
      <w:pPr>
        <w:pStyle w:val="Extracto"/>
      </w:pPr>
    </w:p>
    <w:p w14:paraId="196BCD27" w14:textId="33AB9B25" w:rsidR="009D7677" w:rsidRDefault="009D7677" w:rsidP="009D7677">
      <w:pPr>
        <w:pStyle w:val="Extracto"/>
      </w:pPr>
      <w:r>
        <w:t>15.</w:t>
      </w:r>
      <w:r>
        <w:tab/>
        <w:t>No supone un exceso competencial que se incluya en la Ley de arrendamientos urbanos la identificación del instrumento que habrá de acreditar la situación de vulnerabilidad social y económica que puede dar lugar al derecho a una prórroga extraordinaria obligatoria en favor del arrendatario [FJ 9].</w:t>
      </w:r>
    </w:p>
    <w:p w14:paraId="122F9402" w14:textId="77777777" w:rsidR="009D7677" w:rsidRDefault="009D7677" w:rsidP="009D7677">
      <w:pPr>
        <w:pStyle w:val="Extracto"/>
      </w:pPr>
    </w:p>
    <w:p w14:paraId="2EF72160" w14:textId="72950B2E" w:rsidR="009D7677" w:rsidRDefault="009D7677" w:rsidP="009D7677">
      <w:pPr>
        <w:pStyle w:val="Extracto"/>
      </w:pPr>
      <w:r>
        <w:t>16.</w:t>
      </w:r>
      <w:r>
        <w:tab/>
        <w:t>En nada afecta al ejercicio de las competencias autonómicas la previsión de que el sistema estatal de índices de referencia del precio del alquiler de vivienda se realice por ámbitos territoriales. Que para ello hayan de considerarse los sistemas, datos y metodologías desarrollados por las comunidades autónomas y que tenga que asegurarse, por tanto, la coordinación técnica no impide que las comunidades autónomas puedan definir su propio índice de referencia, para el ejercicio de sus competencias y a los efectos de diseñar sus propias políticas y programas públicos de vivienda [FJ 9].</w:t>
      </w:r>
    </w:p>
    <w:p w14:paraId="1752BD31" w14:textId="77777777" w:rsidR="009D7677" w:rsidRDefault="009D7677" w:rsidP="009D7677">
      <w:pPr>
        <w:pStyle w:val="Extracto"/>
      </w:pPr>
    </w:p>
    <w:p w14:paraId="56F91181" w14:textId="77777777" w:rsidR="009D7677" w:rsidRDefault="009D7677" w:rsidP="009D7677">
      <w:pPr>
        <w:pStyle w:val="Extracto"/>
      </w:pPr>
    </w:p>
    <w:p w14:paraId="0BFD42E9" w14:textId="77777777" w:rsidR="009D7677" w:rsidRDefault="009D7677" w:rsidP="009D7677">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don Juan Carlos Campo Moreno, ha pronunciado</w:t>
      </w:r>
    </w:p>
    <w:p w14:paraId="159A07A5" w14:textId="6D87C0D3" w:rsidR="009D7677" w:rsidRDefault="009D7677" w:rsidP="009D7677">
      <w:pPr>
        <w:pStyle w:val="TextoNormal"/>
      </w:pPr>
    </w:p>
    <w:p w14:paraId="3BFAC7D5" w14:textId="77777777" w:rsidR="009D7677" w:rsidRDefault="009D7677" w:rsidP="009D7677">
      <w:pPr>
        <w:pStyle w:val="TextoNormalCentrado"/>
        <w:keepNext/>
      </w:pPr>
      <w:r>
        <w:t>EN NOMBRE DEL REY</w:t>
      </w:r>
    </w:p>
    <w:p w14:paraId="0A77B044" w14:textId="2CB1CC63" w:rsidR="009D7677" w:rsidRDefault="009D7677" w:rsidP="009D7677">
      <w:pPr>
        <w:pStyle w:val="TextoNormalCentrado"/>
        <w:keepNext/>
      </w:pPr>
    </w:p>
    <w:p w14:paraId="5653BB69" w14:textId="77777777" w:rsidR="009D7677" w:rsidRDefault="009D7677" w:rsidP="009D7677">
      <w:pPr>
        <w:pStyle w:val="TextoNormalCentrado"/>
        <w:keepNext/>
      </w:pPr>
    </w:p>
    <w:p w14:paraId="041D2DB3" w14:textId="77777777" w:rsidR="009D7677" w:rsidRDefault="009D7677" w:rsidP="009D7677">
      <w:pPr>
        <w:pStyle w:val="TextoNormal"/>
      </w:pPr>
      <w:r>
        <w:t>la siguiente</w:t>
      </w:r>
    </w:p>
    <w:p w14:paraId="5BA2872D" w14:textId="0528AA62" w:rsidR="009D7677" w:rsidRDefault="009D7677" w:rsidP="009D7677">
      <w:pPr>
        <w:pStyle w:val="TextoNormal"/>
      </w:pPr>
    </w:p>
    <w:p w14:paraId="3E8238F6" w14:textId="77777777" w:rsidR="009D7677" w:rsidRDefault="009D7677" w:rsidP="009D7677">
      <w:pPr>
        <w:pStyle w:val="TextoNormalCentrado"/>
        <w:keepNext/>
      </w:pPr>
      <w:r>
        <w:lastRenderedPageBreak/>
        <w:t>SENTENCIA</w:t>
      </w:r>
    </w:p>
    <w:p w14:paraId="3CCB5F76" w14:textId="611A06C2" w:rsidR="009D7677" w:rsidRDefault="009D7677" w:rsidP="009D7677">
      <w:pPr>
        <w:pStyle w:val="TextoNormalCentrado"/>
        <w:keepNext/>
      </w:pPr>
    </w:p>
    <w:p w14:paraId="65A5CCAD" w14:textId="77777777" w:rsidR="009D7677" w:rsidRDefault="009D7677" w:rsidP="009D7677">
      <w:pPr>
        <w:pStyle w:val="TextoNormal"/>
      </w:pPr>
      <w:r>
        <w:t>En el recurso de inconstitucionalidad núm. 5491-2023, promovido por el Consejo de Gobierno de la Comunidad Autónoma de Andalucía contra los arts. 3 f), g) y k); 8 a) y c); 9 e); 11.1 e); 15.1 e); 16; 18, apartados 2, 3 y 4; 19 apartado 1, inciso segundo, y apartado 3; 27 apartado 1, párrafo tercero, y apartado 3; 28; 29; 32; 33; 34; 35 y 36; disposición adicional tercera; disposición transitoria primera; disposición final primera, apartados uno, tres y seis, y disposición final cuarta de la Ley 12/2023, de 24 de mayo, por el derecho a la vivienda. Han comparecido el Senado, el Congreso de los Diputados y el Gobierno de la Nación, habiendo formulado alegaciones este último. Ha sido ponente la magistrada doña María Luisa Segoviano Astaburuaga.</w:t>
      </w:r>
    </w:p>
    <w:p w14:paraId="22BA77C0" w14:textId="2E469A9A" w:rsidR="009D7677" w:rsidRDefault="009D7677" w:rsidP="009D7677">
      <w:pPr>
        <w:pStyle w:val="TextoNormal"/>
      </w:pPr>
    </w:p>
    <w:p w14:paraId="349ACB90" w14:textId="77777777" w:rsidR="009D7677" w:rsidRDefault="009D7677" w:rsidP="009D7677">
      <w:pPr>
        <w:pStyle w:val="TextoNormalNegritaCentrado"/>
        <w:keepNext/>
      </w:pPr>
      <w:r>
        <w:t>I. Antecedentes</w:t>
      </w:r>
    </w:p>
    <w:p w14:paraId="753359B3" w14:textId="4E0518F2" w:rsidR="009D7677" w:rsidRDefault="009D7677" w:rsidP="009D7677">
      <w:pPr>
        <w:pStyle w:val="TextoNormalNegritaCentrado"/>
        <w:keepNext/>
      </w:pPr>
    </w:p>
    <w:p w14:paraId="09EB0E16" w14:textId="5BC667B2" w:rsidR="009D7677" w:rsidRDefault="009D7677" w:rsidP="009D7677">
      <w:pPr>
        <w:pStyle w:val="TextoNormal"/>
      </w:pPr>
      <w:r w:rsidRPr="009D7677">
        <w:rPr>
          <w:rStyle w:val="NumeroAFNegritaCaracter"/>
        </w:rPr>
        <w:t>1</w:t>
      </w:r>
      <w:r>
        <w:t>. El 11 de agosto de 2023 tuvo entrada en el registro de este tribunal el recurso de inconstitucionalidad promovido por el Consejo de Gobierno de la Comunidad Autónoma de Andalucía contra los arts. 3 f), g) y k); 8 a) y c); 9 e); 11.1 e); 15.1 e); 16; 18, apartados 2, 3 y 4; 19 apartado 1, inciso segundo, y apartado 3; 27 apartado 1, párrafo tercero, y apartado 3; 28; 29; 32; 33; 34; 35 y 36; disposición adicional tercera; disposición transitoria primera; disposición final primera, apartados uno, tres y seis, y la disposición final cuarta de la Ley 12/2023, de 24 de mayo, por el derecho a la vivienda. La citada Ley fue publicada en el “Boletín Oficial del Estado” núm. 124, de 25 de mayo de 2023.</w:t>
      </w:r>
    </w:p>
    <w:p w14:paraId="38E9AB42" w14:textId="77777777" w:rsidR="009D7677" w:rsidRDefault="009D7677" w:rsidP="009D7677">
      <w:pPr>
        <w:pStyle w:val="TextoNormal"/>
      </w:pPr>
    </w:p>
    <w:p w14:paraId="233C77BB" w14:textId="77777777" w:rsidR="009D7677" w:rsidRDefault="009D7677" w:rsidP="009D7677">
      <w:pPr>
        <w:pStyle w:val="TextoNormal"/>
      </w:pPr>
      <w:r w:rsidRPr="009D7677">
        <w:rPr>
          <w:rStyle w:val="NumeroAFNegritaCaracter"/>
        </w:rPr>
        <w:t>2</w:t>
      </w:r>
      <w:r>
        <w:t>. Los motivos del recurso son sustancialmente de índole competencial, afirmando la demanda que se vulneran las competencias exclusivas de la Comunidad Autónoma de Andalucía en materia de vivienda, urbanismo, ordenación del territorio, régimen local y servicios sociales, así como el principio de seguridad jurídica que recoge el art. 9.3 CE.</w:t>
      </w:r>
    </w:p>
    <w:p w14:paraId="1E80D17D" w14:textId="77777777" w:rsidR="009D7677" w:rsidRDefault="009D7677" w:rsidP="009D7677">
      <w:pPr>
        <w:pStyle w:val="TextoNormal"/>
      </w:pPr>
    </w:p>
    <w:p w14:paraId="310BACD3" w14:textId="77777777" w:rsidR="009D7677" w:rsidRDefault="009D7677" w:rsidP="009D7677">
      <w:pPr>
        <w:pStyle w:val="TextoNormal"/>
      </w:pPr>
      <w:r>
        <w:t>Tras efectuar unas consideraciones generales sobre lo que se sostiene es una pretensión del Estado de establecer Derecho supletorio, recordar que el art. 47 CE no atribuye al Estado competencia alguna en materia de vivienda y sostener que los preceptos que se impugnan no pueden tener encaje en las competencias estatales del art. 149.1.1 y 13 CE, se exponen dieciséis motivos de impugnación. A continuación, se sintetizan las tachas de inconstitucionalidad contempladas en la demanda, siguiendo la estructura y argumentación de esta:</w:t>
      </w:r>
    </w:p>
    <w:p w14:paraId="04BC7FCD" w14:textId="77777777" w:rsidR="009D7677" w:rsidRDefault="009D7677" w:rsidP="009D7677">
      <w:pPr>
        <w:pStyle w:val="TextoNormal"/>
      </w:pPr>
    </w:p>
    <w:p w14:paraId="20F52071" w14:textId="77777777" w:rsidR="009D7677" w:rsidRDefault="009D7677" w:rsidP="009D7677">
      <w:pPr>
        <w:pStyle w:val="TextoNormal"/>
      </w:pPr>
      <w:r>
        <w:t xml:space="preserve">a) </w:t>
      </w:r>
      <w:r w:rsidRPr="009D7677">
        <w:rPr>
          <w:i/>
        </w:rPr>
        <w:t>De los arts. 3 f), g) y k) por carecer el Estado de competencias para crear Derecho supletorio o regular las consecuencias de la aplicación de este y por invadir las competencias autonómicas en materia de vivienda, además de vulnerar el principio constitucional de seguridad jurídica</w:t>
      </w:r>
    </w:p>
    <w:p w14:paraId="1546185D" w14:textId="77777777" w:rsidR="009D7677" w:rsidRDefault="009D7677" w:rsidP="009D7677">
      <w:pPr>
        <w:pStyle w:val="TextoNormal"/>
      </w:pPr>
    </w:p>
    <w:p w14:paraId="1C619451" w14:textId="77777777" w:rsidR="009D7677" w:rsidRDefault="009D7677" w:rsidP="009D7677">
      <w:pPr>
        <w:pStyle w:val="TextoNormal"/>
      </w:pPr>
      <w:r>
        <w:t xml:space="preserve">Esos incisos establecen una serie de definiciones (vivienda protegida, vivienda asequible incentivada y gran tenedor) “en tanto no entren en contradicción con las reguladas por las administraciones competentes en materia de vivienda, en cuyo caso, y a los efectos de su regulación, prevalecerán aquellas” pretendiendo así un Derecho supletorio </w:t>
      </w:r>
      <w:r w:rsidRPr="009D7677">
        <w:rPr>
          <w:i/>
        </w:rPr>
        <w:t>sui generis</w:t>
      </w:r>
      <w:r>
        <w:t xml:space="preserve"> que se incrusta como un cuerpo extraño en la regulación autonómica de vivienda, desconociendo absolutamente que la cláusula de supletoriedad del Derecho estatal no constituye </w:t>
      </w:r>
      <w:r>
        <w:lastRenderedPageBreak/>
        <w:t xml:space="preserve">título atributivo de competencia y no genera sus efectos en la fase de producción del Derecho, sino de su aplicación. Ello supone un reconocimiento implícito de que no se está haciendo uso de las competencias estatales </w:t>
      </w:r>
      <w:r w:rsidRPr="009D7677">
        <w:rPr>
          <w:i/>
        </w:rPr>
        <w:t>ex</w:t>
      </w:r>
      <w:r>
        <w:t xml:space="preserve"> art. 149.1.1 y 13 CE pues en tal caso la definición regiría siempre, con independencia de la contradicción con el Derecho autonómico.</w:t>
      </w:r>
    </w:p>
    <w:p w14:paraId="6580978F" w14:textId="77777777" w:rsidR="009D7677" w:rsidRDefault="009D7677" w:rsidP="009D7677">
      <w:pPr>
        <w:pStyle w:val="TextoNormal"/>
      </w:pPr>
    </w:p>
    <w:p w14:paraId="27AA2137" w14:textId="77777777" w:rsidR="009D7677" w:rsidRDefault="009D7677" w:rsidP="009D7677">
      <w:pPr>
        <w:pStyle w:val="TextoNormal"/>
      </w:pPr>
      <w:r>
        <w:t>En todo caso, se vulneraría la competencia exclusiva que el art. 56.1 del Estatuto de Autonomía para Andalucía (EAAnd) atribuye sobre vivienda por la formulación de una política estatal propia y minuciosa en la materia que nada tiene que ver con los títulos competenciales que se invocan en la Ley.</w:t>
      </w:r>
    </w:p>
    <w:p w14:paraId="6BE3CB00" w14:textId="77777777" w:rsidR="009D7677" w:rsidRDefault="009D7677" w:rsidP="009D7677">
      <w:pPr>
        <w:pStyle w:val="TextoNormal"/>
      </w:pPr>
    </w:p>
    <w:p w14:paraId="2A9495D9" w14:textId="77777777" w:rsidR="009D7677" w:rsidRDefault="009D7677" w:rsidP="009D7677">
      <w:pPr>
        <w:pStyle w:val="TextoNormal"/>
      </w:pPr>
      <w:r>
        <w:t>Finalmente, se denuncia una vulneración del principio de seguridad jurídica porque la singular complementariedad-supletoriedad que el legislador estatal impone en estos preceptos aboca al operador jurídico a un esfuerzo imposible de análisis e interpretación.</w:t>
      </w:r>
    </w:p>
    <w:p w14:paraId="0284B80E" w14:textId="77777777" w:rsidR="009D7677" w:rsidRDefault="009D7677" w:rsidP="009D7677">
      <w:pPr>
        <w:pStyle w:val="TextoNormal"/>
      </w:pPr>
    </w:p>
    <w:p w14:paraId="62329ED4" w14:textId="77777777" w:rsidR="009D7677" w:rsidRDefault="009D7677" w:rsidP="009D7677">
      <w:pPr>
        <w:pStyle w:val="TextoNormal"/>
      </w:pPr>
      <w:r>
        <w:t xml:space="preserve">b) </w:t>
      </w:r>
      <w:r w:rsidRPr="009D7677">
        <w:rPr>
          <w:i/>
        </w:rPr>
        <w:t>Del art. 8 a) y c) por vulnerar el art. 56.1 del Estatuto de Autonomía para Andalucía</w:t>
      </w:r>
    </w:p>
    <w:p w14:paraId="7466354A" w14:textId="77777777" w:rsidR="009D7677" w:rsidRDefault="009D7677" w:rsidP="009D7677">
      <w:pPr>
        <w:pStyle w:val="TextoNormal"/>
      </w:pPr>
    </w:p>
    <w:p w14:paraId="0327B407" w14:textId="77777777" w:rsidR="009D7677" w:rsidRDefault="009D7677" w:rsidP="009D7677">
      <w:pPr>
        <w:pStyle w:val="TextoNormal"/>
      </w:pPr>
      <w:r>
        <w:t>Se impugna la previsión de la Ley que dispone que todos los ciudadanos tienen derecho a disfrutar de una vivienda digna y adecuada en los términos dispuestos por ella porque supone atribuirse una regulación exclusiva del derecho a la vivienda que no resulta del art. 47 CE, dado que este contiene un mandato a los poderes públicos que, ante todo, atañe a las comunidades autónomas; ni del art. 149.1.1 CE, porque reduce el contenido del derecho de los españoles a lo que disponga la ley estatal, excluyendo lo que hayan regulado las comunidades autónomas; ni del art. 149.1.13 CE, porque no existe relación con cuestiones económicas.</w:t>
      </w:r>
    </w:p>
    <w:p w14:paraId="10857B05" w14:textId="77777777" w:rsidR="009D7677" w:rsidRDefault="009D7677" w:rsidP="009D7677">
      <w:pPr>
        <w:pStyle w:val="TextoNormal"/>
      </w:pPr>
    </w:p>
    <w:p w14:paraId="7D36DB19" w14:textId="77777777" w:rsidR="009D7677" w:rsidRDefault="009D7677" w:rsidP="009D7677">
      <w:pPr>
        <w:pStyle w:val="TextoNormal"/>
      </w:pPr>
      <w:r>
        <w:t>Se combate también la previsión que dispone el derecho de la ciudadanía a solicitar la inscripción en los registros de demandantes de vivienda protegida cuando el Estado no tiene competencia para ello, pues la regulación es competencia exclusiva de la Comunidad Autónoma.</w:t>
      </w:r>
    </w:p>
    <w:p w14:paraId="2208AFAE" w14:textId="77777777" w:rsidR="009D7677" w:rsidRDefault="009D7677" w:rsidP="009D7677">
      <w:pPr>
        <w:pStyle w:val="TextoNormal"/>
      </w:pPr>
    </w:p>
    <w:p w14:paraId="6D889C64" w14:textId="77777777" w:rsidR="009D7677" w:rsidRDefault="009D7677" w:rsidP="009D7677">
      <w:pPr>
        <w:pStyle w:val="TextoNormal"/>
      </w:pPr>
      <w:r>
        <w:t xml:space="preserve">c) </w:t>
      </w:r>
      <w:r w:rsidRPr="009D7677">
        <w:rPr>
          <w:i/>
        </w:rPr>
        <w:t>Del art. 9 e) por ser contrario al art. 56.1 del Estatuto de Autonomía para Andalucía</w:t>
      </w:r>
    </w:p>
    <w:p w14:paraId="58453C0E" w14:textId="77777777" w:rsidR="009D7677" w:rsidRDefault="009D7677" w:rsidP="009D7677">
      <w:pPr>
        <w:pStyle w:val="TextoNormal"/>
      </w:pPr>
    </w:p>
    <w:p w14:paraId="1A590009" w14:textId="77777777" w:rsidR="009D7677" w:rsidRDefault="009D7677" w:rsidP="009D7677">
      <w:pPr>
        <w:pStyle w:val="TextoNormal"/>
      </w:pPr>
      <w:r>
        <w:t xml:space="preserve">Se cuestiona el establecimiento del deber de todos los ciudadanos, en relación con el parque público de vivienda, de atender a su especial importancia como instrumento de acción en favor del derecho a la vivienda y velar por su adecuado mantenimiento y conservación, para que pueda servir a los hogares con mayores dificultades porque se sostiene que está regulando un aspecto sustantivo del régimen jurídico de los parques públicos de vivienda que corresponde a la Comunidad Autónoma. Además, no puede entenderse cubierto </w:t>
      </w:r>
      <w:r w:rsidRPr="009D7677">
        <w:rPr>
          <w:i/>
        </w:rPr>
        <w:t>ex</w:t>
      </w:r>
      <w:r>
        <w:t xml:space="preserve"> art. 149.1.1 CE, por el carácter evanescente e imperfecto de la supuesta obligación que establece, o art. 149.1.13 CE, por carencia de contenido económico.</w:t>
      </w:r>
    </w:p>
    <w:p w14:paraId="696B72E0" w14:textId="77777777" w:rsidR="009D7677" w:rsidRDefault="009D7677" w:rsidP="009D7677">
      <w:pPr>
        <w:pStyle w:val="TextoNormal"/>
      </w:pPr>
    </w:p>
    <w:p w14:paraId="0A149A36" w14:textId="77777777" w:rsidR="009D7677" w:rsidRDefault="009D7677" w:rsidP="009D7677">
      <w:pPr>
        <w:pStyle w:val="TextoNormal"/>
      </w:pPr>
      <w:r>
        <w:t xml:space="preserve">d) </w:t>
      </w:r>
      <w:r w:rsidRPr="009D7677">
        <w:rPr>
          <w:i/>
        </w:rPr>
        <w:t>Del art. 11.1 e) por vulnerar el art. 56.1 del Estatuto de Autonomía para Andalucía</w:t>
      </w:r>
    </w:p>
    <w:p w14:paraId="0C43430B" w14:textId="77777777" w:rsidR="009D7677" w:rsidRDefault="009D7677" w:rsidP="009D7677">
      <w:pPr>
        <w:pStyle w:val="TextoNormal"/>
      </w:pPr>
    </w:p>
    <w:p w14:paraId="59DF048B" w14:textId="77777777" w:rsidR="009D7677" w:rsidRDefault="009D7677" w:rsidP="009D7677">
      <w:pPr>
        <w:pStyle w:val="TextoNormal"/>
      </w:pPr>
      <w:r>
        <w:t xml:space="preserve">Se impugna la previsión de la Ley que incluye en el contenido del derecho de propiedad de la vivienda el deber de colaborar con la administración competente y suministrarle información de acuerdo con lo dispuesto en el título II de la propia norma, porque regula obligaciones de naturaleza jurídico-pública que incumben al titular de la competencia sectorial (la Comunidad Autónoma) y que no pueden entenderse amparadas por el título </w:t>
      </w:r>
      <w:r>
        <w:lastRenderedPageBreak/>
        <w:t>competencial que da formalmente cobertura a este artículo según la disposición final séptima de la Ley (art. 149.1.8 CE).</w:t>
      </w:r>
    </w:p>
    <w:p w14:paraId="29CD5CAE" w14:textId="77777777" w:rsidR="009D7677" w:rsidRDefault="009D7677" w:rsidP="009D7677">
      <w:pPr>
        <w:pStyle w:val="TextoNormal"/>
      </w:pPr>
    </w:p>
    <w:p w14:paraId="32B58FF0" w14:textId="77777777" w:rsidR="009D7677" w:rsidRDefault="009D7677" w:rsidP="009D7677">
      <w:pPr>
        <w:pStyle w:val="TextoNormal"/>
      </w:pPr>
      <w:r>
        <w:t xml:space="preserve">e) </w:t>
      </w:r>
      <w:r w:rsidRPr="009D7677">
        <w:rPr>
          <w:i/>
        </w:rPr>
        <w:t>Del art. 15.1 e) por vulnerar las competencias autonómicas en materia de vivienda, urbanismo y ordenación del territorio</w:t>
      </w:r>
    </w:p>
    <w:p w14:paraId="4666186C" w14:textId="77777777" w:rsidR="009D7677" w:rsidRDefault="009D7677" w:rsidP="009D7677">
      <w:pPr>
        <w:pStyle w:val="TextoNormal"/>
      </w:pPr>
    </w:p>
    <w:p w14:paraId="53738441" w14:textId="77777777" w:rsidR="009D7677" w:rsidRDefault="009D7677" w:rsidP="009D7677">
      <w:pPr>
        <w:pStyle w:val="TextoNormal"/>
      </w:pPr>
      <w:r>
        <w:t xml:space="preserve">El inciso recurrido dispone la obligación de que los instrumentos de ordenación territorial y urbanística fijen un determinado destino para el suelo procedente de las cesiones obligatorias y gratuitas que los promotores deben entregar a la administración urbanística con destino al patrimonio público de suelo en el caso de los municipios donde se hayan declarado ámbitos de mercado residencial tensionado. Se impugna porque establece una regulación imperativa y acabada que no deja margen alguno a las competencias autonómicas invadiendo, además de las competencias exclusivas </w:t>
      </w:r>
      <w:r w:rsidRPr="009D7677">
        <w:rPr>
          <w:i/>
        </w:rPr>
        <w:t>ex</w:t>
      </w:r>
      <w:r>
        <w:t xml:space="preserve"> art. 56.1 EAAnd, las propias de los arts. 56.3 y 56.5 de la misma norma (que se refieren, respectivamente, a urbanismo y ordenación del territorio).</w:t>
      </w:r>
    </w:p>
    <w:p w14:paraId="15DB3EB7" w14:textId="77777777" w:rsidR="009D7677" w:rsidRDefault="009D7677" w:rsidP="009D7677">
      <w:pPr>
        <w:pStyle w:val="TextoNormal"/>
      </w:pPr>
    </w:p>
    <w:p w14:paraId="4A496E74" w14:textId="77777777" w:rsidR="009D7677" w:rsidRDefault="009D7677" w:rsidP="009D7677">
      <w:pPr>
        <w:pStyle w:val="TextoNormal"/>
      </w:pPr>
      <w:r>
        <w:t xml:space="preserve">Se insiste de nuevo en que tal regulación, que ciega la posibilidad de que las comunidades autónomas establezcan otras opciones, es muestra de que no se están estableciendo condiciones generales de garantía de la igualdad </w:t>
      </w:r>
      <w:r w:rsidRPr="009D7677">
        <w:rPr>
          <w:i/>
        </w:rPr>
        <w:t>ex</w:t>
      </w:r>
      <w:r>
        <w:t xml:space="preserve"> art. 149.1.1 CE, sino una política propia en materia de vivienda. Tampoco existe cobertura del art. 149.1.13 CE porque no estamos ante una medida que tenga incidencia directa y significativa sobre la actividad económica general.</w:t>
      </w:r>
    </w:p>
    <w:p w14:paraId="0E1AD85E" w14:textId="77777777" w:rsidR="009D7677" w:rsidRDefault="009D7677" w:rsidP="009D7677">
      <w:pPr>
        <w:pStyle w:val="TextoNormal"/>
      </w:pPr>
    </w:p>
    <w:p w14:paraId="0B053A79" w14:textId="77777777" w:rsidR="009D7677" w:rsidRDefault="009D7677" w:rsidP="009D7677">
      <w:pPr>
        <w:pStyle w:val="TextoNormal"/>
      </w:pPr>
      <w:r>
        <w:t xml:space="preserve">f) </w:t>
      </w:r>
      <w:r w:rsidRPr="009D7677">
        <w:rPr>
          <w:i/>
        </w:rPr>
        <w:t>Del art. 16 por vulnerar la doctrina constitucional en materia de supletoriedad y por ser contrario al art. 56.1 del Estatuto de Autonomía para Andalucía</w:t>
      </w:r>
    </w:p>
    <w:p w14:paraId="52B5D52B" w14:textId="77777777" w:rsidR="009D7677" w:rsidRDefault="009D7677" w:rsidP="009D7677">
      <w:pPr>
        <w:pStyle w:val="TextoNormal"/>
      </w:pPr>
    </w:p>
    <w:p w14:paraId="511597A8" w14:textId="77777777" w:rsidR="009D7677" w:rsidRDefault="009D7677" w:rsidP="009D7677">
      <w:pPr>
        <w:pStyle w:val="TextoNormal"/>
      </w:pPr>
      <w:r>
        <w:t xml:space="preserve">La demanda impugna la regulación que el art. 16 de la Ley 12/2023 realiza sobre vivienda protegida con el argumento, ya empleado anteriormente, de la búsqueda de una supletoriedad </w:t>
      </w:r>
      <w:r w:rsidRPr="009D7677">
        <w:rPr>
          <w:i/>
        </w:rPr>
        <w:t>sui generis</w:t>
      </w:r>
      <w:r>
        <w:t xml:space="preserve"> que además en este caso actuaría también frente a la normativa municipal, por los propios términos del artículo. Esto no solo supone reconocer implícitamente que no se están aplicando los títulos competenciales que formalmente se invocan (art. 149.1.1 y 13 CE) sino también formular una política en materia de vivienda de detalle excesivo.</w:t>
      </w:r>
    </w:p>
    <w:p w14:paraId="5FB5C0AA" w14:textId="77777777" w:rsidR="009D7677" w:rsidRDefault="009D7677" w:rsidP="009D7677">
      <w:pPr>
        <w:pStyle w:val="TextoNormal"/>
      </w:pPr>
    </w:p>
    <w:p w14:paraId="727700D4" w14:textId="77777777" w:rsidR="009D7677" w:rsidRDefault="009D7677" w:rsidP="009D7677">
      <w:pPr>
        <w:pStyle w:val="TextoNormal"/>
      </w:pPr>
      <w:r>
        <w:t>Al comienzo de este motivo de impugnación se invoca también una vulneración del principio de seguridad jurídica, que luego sin embargo no se desarrolla.</w:t>
      </w:r>
    </w:p>
    <w:p w14:paraId="57F7BEAE" w14:textId="77777777" w:rsidR="009D7677" w:rsidRDefault="009D7677" w:rsidP="009D7677">
      <w:pPr>
        <w:pStyle w:val="TextoNormal"/>
      </w:pPr>
    </w:p>
    <w:p w14:paraId="7DE28096" w14:textId="77777777" w:rsidR="009D7677" w:rsidRDefault="009D7677" w:rsidP="009D7677">
      <w:pPr>
        <w:pStyle w:val="TextoNormal"/>
      </w:pPr>
      <w:r>
        <w:t xml:space="preserve">g) </w:t>
      </w:r>
      <w:r w:rsidRPr="009D7677">
        <w:rPr>
          <w:i/>
        </w:rPr>
        <w:t>Del art. 18, apartados 2, 3 y 4 por vulnerar el art. 56.1 del Estatuto de Autonomía para Andalucía</w:t>
      </w:r>
    </w:p>
    <w:p w14:paraId="4738D5F8" w14:textId="77777777" w:rsidR="009D7677" w:rsidRDefault="009D7677" w:rsidP="009D7677">
      <w:pPr>
        <w:pStyle w:val="TextoNormal"/>
      </w:pPr>
    </w:p>
    <w:p w14:paraId="2C780639" w14:textId="77777777" w:rsidR="009D7677" w:rsidRDefault="009D7677" w:rsidP="009D7677">
      <w:pPr>
        <w:pStyle w:val="TextoNormal"/>
      </w:pPr>
      <w:r>
        <w:t>Los preceptos impugnados regulan los trámites esenciales para la declaración de zonas de mercado residencial tensionado. La demanda colige que, tratándose de procedimientos autonómicos para el ejercicio de competencias autonómicas, la regulación exhaustiva es especialmente invasiva y supone, “tal vez por desconfianza”, establecer una suerte de tutela o control de oportunidad totalmente injustificados. Y todo ello sin que, una vez más, esa regulación pueda ampararse en los títulos que se invocan por el legislador estatal.</w:t>
      </w:r>
    </w:p>
    <w:p w14:paraId="1EBD5E4B" w14:textId="77777777" w:rsidR="009D7677" w:rsidRDefault="009D7677" w:rsidP="009D7677">
      <w:pPr>
        <w:pStyle w:val="TextoNormal"/>
      </w:pPr>
    </w:p>
    <w:p w14:paraId="2592CCDB" w14:textId="77777777" w:rsidR="009D7677" w:rsidRDefault="009D7677" w:rsidP="009D7677">
      <w:pPr>
        <w:pStyle w:val="TextoNormal"/>
      </w:pPr>
      <w:r>
        <w:lastRenderedPageBreak/>
        <w:t xml:space="preserve">h) </w:t>
      </w:r>
      <w:r w:rsidRPr="009D7677">
        <w:rPr>
          <w:i/>
        </w:rPr>
        <w:t>Del art. 19 apartado 1, inciso segundo, y apartado 3 por vulnerar el art. 56.1 del Estatuto de Autonomía para Andalucía</w:t>
      </w:r>
    </w:p>
    <w:p w14:paraId="562D0EA6" w14:textId="77777777" w:rsidR="009D7677" w:rsidRDefault="009D7677" w:rsidP="009D7677">
      <w:pPr>
        <w:pStyle w:val="TextoNormal"/>
      </w:pPr>
    </w:p>
    <w:p w14:paraId="55B01682" w14:textId="77777777" w:rsidR="009D7677" w:rsidRDefault="009D7677" w:rsidP="009D7677">
      <w:pPr>
        <w:pStyle w:val="TextoNormal"/>
      </w:pPr>
      <w:r>
        <w:t>Se impugna la previsión de que las administraciones competentes puedan exigir a los grandes tenedores en zonas de mercado tensionado el cumplimiento de las obligaciones de colaboración y de suministro de la información que se detallan porque se vulnera la competencia exclusiva de la Comunidad Autónoma en materia de vivienda. La previsión, vuelve a razonarse, no resulta incardinable en los títulos del art. 149.1.1 y 13 CE.</w:t>
      </w:r>
    </w:p>
    <w:p w14:paraId="77F6564A" w14:textId="77777777" w:rsidR="009D7677" w:rsidRDefault="009D7677" w:rsidP="009D7677">
      <w:pPr>
        <w:pStyle w:val="TextoNormal"/>
      </w:pPr>
    </w:p>
    <w:p w14:paraId="74F1B348" w14:textId="77777777" w:rsidR="009D7677" w:rsidRDefault="009D7677" w:rsidP="009D7677">
      <w:pPr>
        <w:pStyle w:val="TextoNormal"/>
      </w:pPr>
      <w:r>
        <w:t xml:space="preserve">i) </w:t>
      </w:r>
      <w:r w:rsidRPr="009D7677">
        <w:rPr>
          <w:i/>
        </w:rPr>
        <w:t>Del art. 27 apartado 1, párrafo tercero, y apartado 3 por vulnerar el artículo 56.1 del Estatuto de Autonomía para Andalucía</w:t>
      </w:r>
    </w:p>
    <w:p w14:paraId="4BA47CCA" w14:textId="77777777" w:rsidR="009D7677" w:rsidRDefault="009D7677" w:rsidP="009D7677">
      <w:pPr>
        <w:pStyle w:val="TextoNormal"/>
      </w:pPr>
    </w:p>
    <w:p w14:paraId="0AA48CE8" w14:textId="77777777" w:rsidR="009D7677" w:rsidRDefault="009D7677" w:rsidP="009D7677">
      <w:pPr>
        <w:pStyle w:val="TextoNormal"/>
      </w:pPr>
      <w:r>
        <w:t>El art. 27 de la Ley 12/2023 es el primero dedicado a los parques públicos de vivienda. La demanda impugna, en primer lugar, la previsión que dispone que estos “podrán estar integrados al menos por [cinco categorías de vivienda]” porque supone una obligación concreta que impone la política de vivienda que pretende el Estado sobre la de la Comunidad Autónoma. En segundo lugar, se recurre la afección de los ingresos procedentes de ciertas sanciones a estos parques porque supone impedir a la Comunidad Autónoma afectarlos a finalidades diferentes de interés público y, por tanto, formular respecto a aquellos una política propia en materia de vivienda.</w:t>
      </w:r>
    </w:p>
    <w:p w14:paraId="500D9D41" w14:textId="77777777" w:rsidR="009D7677" w:rsidRDefault="009D7677" w:rsidP="009D7677">
      <w:pPr>
        <w:pStyle w:val="TextoNormal"/>
      </w:pPr>
    </w:p>
    <w:p w14:paraId="6C0160B4" w14:textId="77777777" w:rsidR="009D7677" w:rsidRDefault="009D7677" w:rsidP="009D7677">
      <w:pPr>
        <w:pStyle w:val="TextoNormal"/>
      </w:pPr>
      <w:r>
        <w:t>En ambos casos, se insiste, la regulación estatal carece de título competencial habilitante. En relación con las afecciones, se subraya que se trata de unos ingresos por naturaleza escasos (por tanto sin incidencia económica significativa), accesorios y simbólicos (sin virtualidad entonces para garantizar la igualdad de los españoles).</w:t>
      </w:r>
    </w:p>
    <w:p w14:paraId="54D35929" w14:textId="77777777" w:rsidR="009D7677" w:rsidRDefault="009D7677" w:rsidP="009D7677">
      <w:pPr>
        <w:pStyle w:val="TextoNormal"/>
      </w:pPr>
    </w:p>
    <w:p w14:paraId="4CB101BC" w14:textId="77777777" w:rsidR="009D7677" w:rsidRDefault="009D7677" w:rsidP="009D7677">
      <w:pPr>
        <w:pStyle w:val="TextoNormal"/>
      </w:pPr>
      <w:r>
        <w:t xml:space="preserve">j) </w:t>
      </w:r>
      <w:r w:rsidRPr="009D7677">
        <w:rPr>
          <w:i/>
        </w:rPr>
        <w:t>Del art. 28 por vulnerar los arts</w:t>
      </w:r>
      <w:r>
        <w:t xml:space="preserve">. 56.1 </w:t>
      </w:r>
      <w:r w:rsidRPr="009D7677">
        <w:rPr>
          <w:i/>
        </w:rPr>
        <w:t>y 5 y 60.1 b) del Estatuto de Autonomía para Andalucía</w:t>
      </w:r>
    </w:p>
    <w:p w14:paraId="35519358" w14:textId="77777777" w:rsidR="009D7677" w:rsidRDefault="009D7677" w:rsidP="009D7677">
      <w:pPr>
        <w:pStyle w:val="TextoNormal"/>
      </w:pPr>
    </w:p>
    <w:p w14:paraId="1574C81A" w14:textId="77777777" w:rsidR="009D7677" w:rsidRDefault="009D7677" w:rsidP="009D7677">
      <w:pPr>
        <w:pStyle w:val="TextoNormal"/>
      </w:pPr>
      <w:r>
        <w:t xml:space="preserve">Se aborda, en primer lugar, la regulación legal de los criterios orientadores en la gestión de los parques públicos de vivienda porque, frente a anteriores supuestos, (i) no se autoatribuye carácter supletorio ni se prevé su desplazamiento ante una regulación autonómica incompatible y (ii) no se limita a establecer una regulación en materia de vivienda destinada a las comunidades autónomas, sino que incluye también a las entidades locales. Esto último supone para el recurrente una vulneración de la competencia exclusiva que la Comunidad Autónoma de Andalucía tiene para determinar las competencias y las potestades propias de los municipios y demás entes locales </w:t>
      </w:r>
      <w:r w:rsidRPr="009D7677">
        <w:rPr>
          <w:i/>
        </w:rPr>
        <w:t>ex</w:t>
      </w:r>
      <w:r>
        <w:t xml:space="preserve"> art. 60.1 b) EAAnd. Además, la regulación que allí se dispone es imperativa, lo que supone vulneración del art. 56.1 EAAnd, y tan detallada que no se justifica en los títulos competenciales del art. 149.1.1 y 13 CE. También se impugna (iii) la previsión de que “deberá prestarse especial atención a las particularidades de cada entorno territorial”, en particular porque es contrario a la competencia exclusiva en materia de ordenación del territorio (art. 56.5 EAAnd) que el legislador estatal establezca un mandato de alcance territorial a la Comunidad Autónoma, una vez más sin amparo en el art. 149.1.1 o 13 CE.</w:t>
      </w:r>
    </w:p>
    <w:p w14:paraId="31C11125" w14:textId="77777777" w:rsidR="009D7677" w:rsidRDefault="009D7677" w:rsidP="009D7677">
      <w:pPr>
        <w:pStyle w:val="TextoNormal"/>
      </w:pPr>
    </w:p>
    <w:p w14:paraId="38EA1FB7" w14:textId="77777777" w:rsidR="009D7677" w:rsidRDefault="009D7677" w:rsidP="009D7677">
      <w:pPr>
        <w:pStyle w:val="TextoNormal"/>
      </w:pPr>
      <w:r>
        <w:t xml:space="preserve">k) </w:t>
      </w:r>
      <w:r w:rsidRPr="009D7677">
        <w:rPr>
          <w:i/>
        </w:rPr>
        <w:t>Del art. 29 por vulnerar los arts. 56.1 y 60 del Estatuto de Autonomía para Andalucía</w:t>
      </w:r>
    </w:p>
    <w:p w14:paraId="1C94A34F" w14:textId="77777777" w:rsidR="009D7677" w:rsidRDefault="009D7677" w:rsidP="009D7677">
      <w:pPr>
        <w:pStyle w:val="TextoNormal"/>
      </w:pPr>
    </w:p>
    <w:p w14:paraId="4370E686" w14:textId="77777777" w:rsidR="009D7677" w:rsidRDefault="009D7677" w:rsidP="009D7677">
      <w:pPr>
        <w:pStyle w:val="TextoNormal"/>
      </w:pPr>
      <w:r>
        <w:lastRenderedPageBreak/>
        <w:t>Se recurre la regulación legal del destino de los parques públicos de vivienda por suponer un vaciamiento de la competencia autonómica en la materia, desconociendo además la potestad de autoorganización de la Comunidad Autónoma. Adicionalmente, en la medida en que atribuye competencias a los municipios al respecto, se vulnera también el art. 60.1 b) EAAnd.</w:t>
      </w:r>
    </w:p>
    <w:p w14:paraId="437B8DDB" w14:textId="77777777" w:rsidR="009D7677" w:rsidRDefault="009D7677" w:rsidP="009D7677">
      <w:pPr>
        <w:pStyle w:val="TextoNormal"/>
      </w:pPr>
    </w:p>
    <w:p w14:paraId="27F39172" w14:textId="77777777" w:rsidR="009D7677" w:rsidRDefault="009D7677" w:rsidP="009D7677">
      <w:pPr>
        <w:pStyle w:val="TextoNormal"/>
      </w:pPr>
      <w:r>
        <w:t xml:space="preserve">l) </w:t>
      </w:r>
      <w:r w:rsidRPr="009D7677">
        <w:rPr>
          <w:i/>
        </w:rPr>
        <w:t>De los art. 32 a 36 de la Ley por vulnerar el artículo 56.1 del Estatuto de Autonomía para Andalucía</w:t>
      </w:r>
    </w:p>
    <w:p w14:paraId="4164AD35" w14:textId="77777777" w:rsidR="009D7677" w:rsidRDefault="009D7677" w:rsidP="009D7677">
      <w:pPr>
        <w:pStyle w:val="TextoNormal"/>
      </w:pPr>
    </w:p>
    <w:p w14:paraId="0A5C774C" w14:textId="77777777" w:rsidR="009D7677" w:rsidRDefault="009D7677" w:rsidP="009D7677">
      <w:pPr>
        <w:pStyle w:val="TextoNormal"/>
      </w:pPr>
      <w:r>
        <w:t>Se refutan las obligaciones dispuestas en esos artículos sobre información y transparencia en materia de vivienda porque suponen una centralización de la gestión en que parece subyacer una cierta desconfianza hacia las comunidades autónomas, lo que no es título competencial, ni puede entenderse amparado por los propios del art. 149.1.1, 13 u 8 CE (siendo este último al que la Ley remite según sus propios términos).</w:t>
      </w:r>
    </w:p>
    <w:p w14:paraId="379D516C" w14:textId="77777777" w:rsidR="009D7677" w:rsidRDefault="009D7677" w:rsidP="009D7677">
      <w:pPr>
        <w:pStyle w:val="TextoNormal"/>
      </w:pPr>
    </w:p>
    <w:p w14:paraId="7F74E8E7" w14:textId="77777777" w:rsidR="009D7677" w:rsidRDefault="009D7677" w:rsidP="009D7677">
      <w:pPr>
        <w:pStyle w:val="TextoNormal"/>
      </w:pPr>
      <w:r>
        <w:t xml:space="preserve">m) </w:t>
      </w:r>
      <w:r w:rsidRPr="009D7677">
        <w:rPr>
          <w:i/>
        </w:rPr>
        <w:t>De la disposición adicional tercera por vulneración del art. 56.1 del Estatuto de Autonomía para Andalucía</w:t>
      </w:r>
    </w:p>
    <w:p w14:paraId="05FE0F5C" w14:textId="77777777" w:rsidR="009D7677" w:rsidRDefault="009D7677" w:rsidP="009D7677">
      <w:pPr>
        <w:pStyle w:val="TextoNormal"/>
      </w:pPr>
    </w:p>
    <w:p w14:paraId="363B926E" w14:textId="77777777" w:rsidR="009D7677" w:rsidRDefault="009D7677" w:rsidP="009D7677">
      <w:pPr>
        <w:pStyle w:val="TextoNormal"/>
      </w:pPr>
      <w:r>
        <w:t>La disposición impugnada prevé la revisión de los criterios para la identificación de zonas de mercado residencial tensionado previstas en el art. 18.3 a los tres años desde la entrada en vigor de la Ley. La demanda defiende la inconstitucionalidad de esta disposición por las mismas razones que se predicaban del artículo a que se remite.</w:t>
      </w:r>
    </w:p>
    <w:p w14:paraId="4AE4A575" w14:textId="77777777" w:rsidR="009D7677" w:rsidRDefault="009D7677" w:rsidP="009D7677">
      <w:pPr>
        <w:pStyle w:val="TextoNormal"/>
      </w:pPr>
    </w:p>
    <w:p w14:paraId="2F145C7C" w14:textId="77777777" w:rsidR="009D7677" w:rsidRDefault="009D7677" w:rsidP="009D7677">
      <w:pPr>
        <w:pStyle w:val="TextoNormal"/>
      </w:pPr>
      <w:r>
        <w:t xml:space="preserve">n) </w:t>
      </w:r>
      <w:r w:rsidRPr="009D7677">
        <w:rPr>
          <w:i/>
        </w:rPr>
        <w:t>De la disposición transitoria primera por vulnerar el art. 56.1 del Estatuto de Autonomía para Andalucía</w:t>
      </w:r>
    </w:p>
    <w:p w14:paraId="42350F61" w14:textId="77777777" w:rsidR="009D7677" w:rsidRDefault="009D7677" w:rsidP="009D7677">
      <w:pPr>
        <w:pStyle w:val="TextoNormal"/>
      </w:pPr>
    </w:p>
    <w:p w14:paraId="298CAA66" w14:textId="77777777" w:rsidR="009D7677" w:rsidRDefault="009D7677" w:rsidP="009D7677">
      <w:pPr>
        <w:pStyle w:val="TextoNormal"/>
      </w:pPr>
      <w:r>
        <w:t>La disposición prevé que las viviendas que, a la entrada en vigor de la Ley, estuvieran calificadas definitivamente con algún régimen de protección pública se regirán por lo dispuesto en dicho régimen, mientras que las que formen parte de un parque público de vivienda se regirán por lo dispuesto en esta Ley y en las disposiciones que lo regulen en la legislación en materia de vivienda, urbanismo y ordenación del territorio. La demanda, sin mayor desarrollo argumental, sostiene que existe vulneración del referido art. 56.1 EAAnd.</w:t>
      </w:r>
    </w:p>
    <w:p w14:paraId="6D3C5B55" w14:textId="77777777" w:rsidR="009D7677" w:rsidRDefault="009D7677" w:rsidP="009D7677">
      <w:pPr>
        <w:pStyle w:val="TextoNormal"/>
      </w:pPr>
    </w:p>
    <w:p w14:paraId="5E5DF278" w14:textId="77777777" w:rsidR="009D7677" w:rsidRDefault="009D7677" w:rsidP="009D7677">
      <w:pPr>
        <w:pStyle w:val="TextoNormal"/>
      </w:pPr>
      <w:r>
        <w:t xml:space="preserve">ñ) </w:t>
      </w:r>
      <w:r w:rsidRPr="009D7677">
        <w:rPr>
          <w:i/>
        </w:rPr>
        <w:t>De la disposición final primera en sus apartados uno, tres y seis por vulnerar los arts. 56.1 y 61.1 del Estatuto de Autonomía para Andalucía</w:t>
      </w:r>
    </w:p>
    <w:p w14:paraId="0A5BD700" w14:textId="77777777" w:rsidR="009D7677" w:rsidRDefault="009D7677" w:rsidP="009D7677">
      <w:pPr>
        <w:pStyle w:val="TextoNormal"/>
      </w:pPr>
    </w:p>
    <w:p w14:paraId="5FE6F82A" w14:textId="77777777" w:rsidR="009D7677" w:rsidRDefault="009D7677" w:rsidP="009D7677">
      <w:pPr>
        <w:pStyle w:val="TextoNormal"/>
      </w:pPr>
      <w:r>
        <w:t>La disposición controvertida establece diferentes modificaciones de la Ley 29/1994, de 24 de noviembre, de arrendamientos urbanos (LAU) que, en lo que aquí se impugna, afectan a la prórroga del contrato y a la determinación de la renta, en caso de grandes tenedores y zonas de mercado tensionado, con remisión a la regulación de estos en la Ley 12/2023 y con la previsión de una “coordinación técnica” de unos índices de referencia por ámbitos territoriales. La demanda combate el amparo de esta regulación en el título que la Ley invoca expresamente (art. 149.1.8 CE) porque entiende que no se está regulando la vertiente individual de los derechos y deberes de las partes de un negocio civil, sino la vertiente institucional de los derechos. Esto, sostiene, corresponde a la administración autonómica, como competente en materia de vivienda porque en otro caso el Estado diseña una política estatal propia sin título habilitante e invadiendo la competencia que corres</w:t>
      </w:r>
      <w:r>
        <w:lastRenderedPageBreak/>
        <w:t xml:space="preserve">ponde a la Comunidad Autónoma </w:t>
      </w:r>
      <w:r w:rsidRPr="009D7677">
        <w:rPr>
          <w:i/>
        </w:rPr>
        <w:t>ex</w:t>
      </w:r>
      <w:r>
        <w:t xml:space="preserve"> art. 56.1 EAAnd. Se combate la previsión de la coordinación técnica porque, además de no tener naturaleza de legislación civil, supone atribuir al Estado un medio de control de la actividad de las comunidades autónomas que no resulta de sus competencias.</w:t>
      </w:r>
    </w:p>
    <w:p w14:paraId="21E55A67" w14:textId="77777777" w:rsidR="009D7677" w:rsidRDefault="009D7677" w:rsidP="009D7677">
      <w:pPr>
        <w:pStyle w:val="TextoNormal"/>
      </w:pPr>
    </w:p>
    <w:p w14:paraId="0263727E" w14:textId="77777777" w:rsidR="009D7677" w:rsidRDefault="009D7677" w:rsidP="009D7677">
      <w:pPr>
        <w:pStyle w:val="TextoNormal"/>
      </w:pPr>
      <w:r>
        <w:t>Analizando con más detalle las modificaciones previstas, se concluye igualmente la vulneración de la competencia autonómica exclusiva en materia de servicios sociales (art. 61.1 EAAnd) porque, al regular una prórroga extraordinaria, la Ley establece además el modo en que debe acreditarse la situación de vulnerabilidad en que trae causa, despreciando la posibilidad de que las comunidades autónomas puedan establecer medios diferentes de acreditación.</w:t>
      </w:r>
    </w:p>
    <w:p w14:paraId="7DF4D70B" w14:textId="77777777" w:rsidR="009D7677" w:rsidRDefault="009D7677" w:rsidP="009D7677">
      <w:pPr>
        <w:pStyle w:val="TextoNormal"/>
      </w:pPr>
    </w:p>
    <w:p w14:paraId="2C02BEDC" w14:textId="77777777" w:rsidR="009D7677" w:rsidRDefault="009D7677" w:rsidP="009D7677">
      <w:pPr>
        <w:pStyle w:val="TextoNormal"/>
      </w:pPr>
      <w:r>
        <w:t xml:space="preserve">o) </w:t>
      </w:r>
      <w:r w:rsidRPr="009D7677">
        <w:rPr>
          <w:i/>
        </w:rPr>
        <w:t>De la disposición final cuarta por vulnerar los arts. 56.3 y 5 del Estatuto de Autonomía para Andalucía, así como el art. 9.3 CE</w:t>
      </w:r>
    </w:p>
    <w:p w14:paraId="1DC0CB55" w14:textId="77777777" w:rsidR="009D7677" w:rsidRDefault="009D7677" w:rsidP="009D7677">
      <w:pPr>
        <w:pStyle w:val="TextoNormal"/>
      </w:pPr>
    </w:p>
    <w:p w14:paraId="377BEA45" w14:textId="77777777" w:rsidR="009D7677" w:rsidRDefault="009D7677" w:rsidP="009D7677">
      <w:pPr>
        <w:pStyle w:val="TextoNormal"/>
      </w:pPr>
      <w:r>
        <w:t>Se impugna la modificación del art. 20.1 b) del texto refundido de la Ley de suelo y rehabilitación urbana, aprobado por el Real Decreto Legislativo 7/2015, de 30 de octubre (TRLSRU), que la Ley 12/2023 acomete para elevar el porcentaje de edificabilidad que ha de reservarse para viviendas sujetas a algún régimen de protección pública. Se argumenta que el porcentaje es excesivo y condiciona en exceso las competencias urbanísticas de las comunidades autónomas y los municipios. En particular, respecto a la elevación del 10 al 20 por 100 en suelo ya urbanizado sujeto a actuaciones de reforma o renovación de la urbanización, se indica que la subida hace materialmente inviable el ejercicio de las competencias urbanísticas.</w:t>
      </w:r>
    </w:p>
    <w:p w14:paraId="0527C733" w14:textId="77777777" w:rsidR="009D7677" w:rsidRDefault="009D7677" w:rsidP="009D7677">
      <w:pPr>
        <w:pStyle w:val="TextoNormal"/>
      </w:pPr>
    </w:p>
    <w:p w14:paraId="1AD9C819" w14:textId="59ACEEC6" w:rsidR="009D7677" w:rsidRDefault="009D7677" w:rsidP="009D7677">
      <w:pPr>
        <w:pStyle w:val="TextoNormal"/>
      </w:pPr>
      <w:r>
        <w:t>Además, se critica que la disposición recurrida nada prevea sobre planeamiento en tramitación e instrumentos vigentes, lo que genera una situación de inseguridad jurídica virtualmente insostenible y de consecuencias imprevisibles.</w:t>
      </w:r>
    </w:p>
    <w:p w14:paraId="7449D306" w14:textId="77777777" w:rsidR="009D7677" w:rsidRDefault="009D7677" w:rsidP="009D7677">
      <w:pPr>
        <w:pStyle w:val="TextoNormal"/>
      </w:pPr>
    </w:p>
    <w:p w14:paraId="37DF1ED2" w14:textId="7B0A3BD9" w:rsidR="009D7677" w:rsidRDefault="009D7677" w:rsidP="009D7677">
      <w:pPr>
        <w:pStyle w:val="TextoNormal"/>
      </w:pPr>
      <w:r w:rsidRPr="009D7677">
        <w:rPr>
          <w:rStyle w:val="NumeroAFNegritaCaracter"/>
        </w:rPr>
        <w:t>3</w:t>
      </w:r>
      <w:r>
        <w:t>. Por providencia de 26 de septiembre de 2023, a propuesta de la Sección Primera, el Pleno acordó admitir a trámite el recurso y dar traslado de la demanda y los documentos presentados, conforme establece el art. 34 de la Ley Orgánica del Tribunal Constitucional (LOTC), al Congreso de los Diputados y al Senado, por conducto de sus presidencias, y al Gobierno, a través de la ministra de Justicia, al objeto de que, en el plazo de quince días, pudieran personarse en el procedimiento y formular alegaciones. Asimismo, se acordó publicar la incoación del procedimiento en el “Boletín Oficial del Estado”, lo que se verificó en el núm. 236, de 3 de octubre de 2023.</w:t>
      </w:r>
    </w:p>
    <w:p w14:paraId="69FE0E3D" w14:textId="77777777" w:rsidR="009D7677" w:rsidRDefault="009D7677" w:rsidP="009D7677">
      <w:pPr>
        <w:pStyle w:val="TextoNormal"/>
      </w:pPr>
    </w:p>
    <w:p w14:paraId="739252E1" w14:textId="5D46E64B" w:rsidR="009D7677" w:rsidRDefault="009D7677" w:rsidP="009D7677">
      <w:pPr>
        <w:pStyle w:val="TextoNormal"/>
      </w:pPr>
      <w:r w:rsidRPr="009D7677">
        <w:rPr>
          <w:rStyle w:val="NumeroAFNegritaCaracter"/>
        </w:rPr>
        <w:t>4</w:t>
      </w:r>
      <w:r>
        <w:t>. Mediante escrito registrado el 5 de octubre de 2023, la presidenta del Congreso de los Diputados comunicó el acuerdo de la mesa de la Cámara por el que se persona en el proceso y ofrece su colaboración a los efectos del art. 88.1 LOTC. Lo mismo hizo el presidente del Senado, por escrito que tuvo entrada en este tribunal el mismo día.</w:t>
      </w:r>
    </w:p>
    <w:p w14:paraId="36709A9F" w14:textId="77777777" w:rsidR="009D7677" w:rsidRDefault="009D7677" w:rsidP="009D7677">
      <w:pPr>
        <w:pStyle w:val="TextoNormal"/>
      </w:pPr>
    </w:p>
    <w:p w14:paraId="2B713476" w14:textId="754874DE" w:rsidR="009D7677" w:rsidRDefault="009D7677" w:rsidP="009D7677">
      <w:pPr>
        <w:pStyle w:val="TextoNormal"/>
      </w:pPr>
      <w:r w:rsidRPr="009D7677">
        <w:rPr>
          <w:rStyle w:val="NumeroAFNegritaCaracter"/>
        </w:rPr>
        <w:t>5</w:t>
      </w:r>
      <w:r>
        <w:t>. El abogado del Estado se personó en el proceso mediante escrito registrado el día 18 de octubre de 2023, solicitando una prórroga del plazo inicialmente concedido para formular alegaciones. La prórroga le fue concedida por diligencia de ordenación de la Secretaría de Justicia del Pleno de 18 de octubre de 2023.</w:t>
      </w:r>
    </w:p>
    <w:p w14:paraId="772E354A" w14:textId="77777777" w:rsidR="009D7677" w:rsidRDefault="009D7677" w:rsidP="009D7677">
      <w:pPr>
        <w:pStyle w:val="TextoNormal"/>
      </w:pPr>
    </w:p>
    <w:p w14:paraId="4518A7CD" w14:textId="77777777" w:rsidR="009D7677" w:rsidRDefault="009D7677" w:rsidP="009D7677">
      <w:pPr>
        <w:pStyle w:val="TextoNormal"/>
      </w:pPr>
      <w:r w:rsidRPr="009D7677">
        <w:rPr>
          <w:rStyle w:val="NumeroAFNegritaCaracter"/>
        </w:rPr>
        <w:t>6</w:t>
      </w:r>
      <w:r>
        <w:t>. En el escrito de alegaciones del abogado del Estado, registrado en el tribunal el 31 de octubre de 2023, se solicita la íntegra desestimación del recurso por los motivos que sucintamente se exponen a continuación:</w:t>
      </w:r>
    </w:p>
    <w:p w14:paraId="7DAC5E54" w14:textId="77777777" w:rsidR="009D7677" w:rsidRDefault="009D7677" w:rsidP="009D7677">
      <w:pPr>
        <w:pStyle w:val="TextoNormal"/>
      </w:pPr>
    </w:p>
    <w:p w14:paraId="0B3664F0" w14:textId="77777777" w:rsidR="009D7677" w:rsidRDefault="009D7677" w:rsidP="009D7677">
      <w:pPr>
        <w:pStyle w:val="TextoNormal"/>
      </w:pPr>
      <w:r>
        <w:t>A) Consideraciones previas de carácter general</w:t>
      </w:r>
    </w:p>
    <w:p w14:paraId="458A5D96" w14:textId="77777777" w:rsidR="009D7677" w:rsidRDefault="009D7677" w:rsidP="009D7677">
      <w:pPr>
        <w:pStyle w:val="TextoNormal"/>
      </w:pPr>
    </w:p>
    <w:p w14:paraId="5DB588CD" w14:textId="77777777" w:rsidR="009D7677" w:rsidRDefault="009D7677" w:rsidP="009D7677">
      <w:pPr>
        <w:pStyle w:val="TextoNormal"/>
      </w:pPr>
      <w:r>
        <w:t>La Abogacía del Estado dedica las primeras alegaciones de su escrito a formular un conjunto de consideraciones generales sobre el objeto del recurso, el encuadramiento competencial y la doctrina del Tribunal Constitucional, así como a subrayar los objetivos de la Ley, cuestionar lo que se entiende es una petición de principio errónea de la Comunidad Autónoma y denunciar el incumplimiento de la carga de argumentar en lo que respecta a “muchos” de los preceptos impugnados.</w:t>
      </w:r>
    </w:p>
    <w:p w14:paraId="03437855" w14:textId="77777777" w:rsidR="009D7677" w:rsidRDefault="009D7677" w:rsidP="009D7677">
      <w:pPr>
        <w:pStyle w:val="TextoNormal"/>
      </w:pPr>
    </w:p>
    <w:p w14:paraId="788A9FFF" w14:textId="77777777" w:rsidR="009D7677" w:rsidRDefault="009D7677" w:rsidP="009D7677">
      <w:pPr>
        <w:pStyle w:val="TextoNormal"/>
      </w:pPr>
      <w:r>
        <w:t>De forma sintética, las alegaciones son las siguientes:</w:t>
      </w:r>
    </w:p>
    <w:p w14:paraId="311740AF" w14:textId="77777777" w:rsidR="009D7677" w:rsidRDefault="009D7677" w:rsidP="009D7677">
      <w:pPr>
        <w:pStyle w:val="TextoNormal"/>
      </w:pPr>
    </w:p>
    <w:p w14:paraId="64FBA4A1" w14:textId="77777777" w:rsidR="009D7677" w:rsidRDefault="009D7677" w:rsidP="009D7677">
      <w:pPr>
        <w:pStyle w:val="TextoNormal"/>
      </w:pPr>
      <w:r>
        <w:t>a) El recurso tiene por objeto varios preceptos de la Ley 12/2023, de 24 de mayo, por el derecho a la vivienda, que tiene por objetivos: (i) establecer una regulación básica de los derechos y deberes de los ciudadanos en relación con la vivienda, así como de los asociados a la propiedad de vivienda, aplicable a todo el territorio nacional; (ii) facilitar el acceso a una vivienda digna y adecuada a las personas que tienen dificultades para ello en condiciones de mercado, prestando especial atención a jóvenes y colectivos vulnerables y favoreciendo la existencia de una oferta a precios asequibles y adaptada a las realidades de los ámbitos urbanos y rurales; (iii) dotar de instrumentos efectivos para asegurar la funcionalidad, la seguridad, la accesibilidad universal y la habitabilidad de las viviendas, garantizando así la dignidad y la salud de las personas que las habitan; (iv) definir los aspectos fundamentales de la planificación y programación estatales en materia de vivienda, con objeto de favorecer el ejercicio del derecho constitucional en todo el territorio; (v) regular el régimen jurídico básico de los parques públicos de vivienda, asegurando su desarrollo, protección y eficiencia para atender a aquellos sectores de la población con mayores dificultades de acceso; (vi) favorecer el desarrollo de tipologías de vivienda adecuadas a las diferentes formas de convivencia y de habitación, favoreciendo la adaptación a las dinámicas y actuales exigencias de los hogares, y (vii) mejorar la protección en las operaciones de compra y arrendamiento de vivienda, introduciendo unos mínimos de información necesaria para dar seguridad y garantías en el proceso. Estas finalidades se concretan, sostiene el abogado del Estado, en previsiones normativas amparadas en los títulos competenciales que corresponden al Estado y, dado que el recurso tiene un eminente carácter competencial, el abogado del Estado aborda, en primer lugar, las competencias que concurren en el caso.</w:t>
      </w:r>
    </w:p>
    <w:p w14:paraId="63A4EEAB" w14:textId="77777777" w:rsidR="009D7677" w:rsidRDefault="009D7677" w:rsidP="009D7677">
      <w:pPr>
        <w:pStyle w:val="TextoNormal"/>
      </w:pPr>
    </w:p>
    <w:p w14:paraId="7D7240FB" w14:textId="77777777" w:rsidR="009D7677" w:rsidRDefault="009D7677" w:rsidP="009D7677">
      <w:pPr>
        <w:pStyle w:val="TextoNormal"/>
      </w:pPr>
      <w:r>
        <w:t>b) La Comunidad Autónoma esgrime su competencia exclusiva en materia de vivienda, asumida conforme al art. 148.1.3 CE, y que ampara que pueda formular completos programas normativos de la acción pública en la materia, a diferencia del Estado, que solo puede incidir en la materia a través de títulos competenciales diversos y con distinto alcance. Sin embargo, se dice, todos están abocados a articular sus actuaciones de acuerdo con el principio de cooperación de modo que puedan desplegarse en un marco normativo coherente, estable y seguro que haga posible la realidad del derecho reconocido en el art. 47 CE.</w:t>
      </w:r>
    </w:p>
    <w:p w14:paraId="1681DEFF" w14:textId="77777777" w:rsidR="009D7677" w:rsidRDefault="009D7677" w:rsidP="009D7677">
      <w:pPr>
        <w:pStyle w:val="TextoNormal"/>
      </w:pPr>
    </w:p>
    <w:p w14:paraId="42E79B0B" w14:textId="77777777" w:rsidR="009D7677" w:rsidRDefault="009D7677" w:rsidP="009D7677">
      <w:pPr>
        <w:pStyle w:val="TextoNormal"/>
      </w:pPr>
      <w:r>
        <w:t>Se resalta, como recuerda el preámbulo de la Ley 12/2023, que el Tribunal Constitucional ha formulado una suerte de reproche al legislador estatal al poner en evidencia la inexistencia de una regulación estatal sobre vivienda que pudiera servir como parámetro de constitucionalidad para la elevada producción normativa autonómica en la materia y se citan las SSTC 16/2018, de 22 de febrero, FJ 8 a); 32/2018, de 12 de abril; 43/2018, de 26 de abril, y 80/2018, de 5 de julio.</w:t>
      </w:r>
    </w:p>
    <w:p w14:paraId="3F370011" w14:textId="77777777" w:rsidR="009D7677" w:rsidRDefault="009D7677" w:rsidP="009D7677">
      <w:pPr>
        <w:pStyle w:val="TextoNormal"/>
      </w:pPr>
    </w:p>
    <w:p w14:paraId="24BA7B12" w14:textId="77777777" w:rsidR="009D7677" w:rsidRDefault="009D7677" w:rsidP="009D7677">
      <w:pPr>
        <w:pStyle w:val="TextoNormal"/>
      </w:pPr>
      <w:r>
        <w:t>Se expone, a continuación, la doctrina constitucional sobre la naturaleza del art. 47 CE (STC 32/2019, de 28 de febrero, FJ 6), sobre el título competencial del art. 149.1.1 CE [reproduciendo extractos de las SSTC 37/1987, de 26 de marzo; 61/1997, de 20 de marzo; 173/1998, de 23 de julio, FJ 9; 178/2004, de 21 de octubre, FJ 7; 33/2014, de 27 de febrero, FJ 4 b); 16/2018, de 22 de febrero, y 37/2022, de 10 de marzo, FJ 4] y del art. 149.1.13 CE (con referencia a las SSTC 152/1988, de 20 de julio; 93/2015, de 14 de mayo, y 100/2020, de 22 de julio), llamando la atención sobre la incidencia de la política de vivienda en la actividad económica. Se recuerda que el deber impuesto por el art. 47 CE atañe a todos los poderes públicos, también por tanto al Estado en el ejercicio de sus competencias. Se subraya igualmente que el derecho constitucional a la vivienda incide en el goce del contenido de otros derechos constitucionales, algunos de ellos fundamentales, como los que se recogen en los arts. 15, 18, 33.2, 43 o 45 CE. Todos ellos guardan una relación estrecha con los valores de la calidad de vida y del libre desarrollo de la personalidad en sociedad (art. 10 CE). Lo anterior modula tanto el derecho de propiedad como la libertad de empresa cuando operan en el sector de la vivienda, desde el punto de vista de la función social y el interés general, sobre el trasfondo de la igualdad, en particular de quienes están en situación de especial desventaja.</w:t>
      </w:r>
    </w:p>
    <w:p w14:paraId="03FFA9BA" w14:textId="77777777" w:rsidR="009D7677" w:rsidRDefault="009D7677" w:rsidP="009D7677">
      <w:pPr>
        <w:pStyle w:val="TextoNormal"/>
      </w:pPr>
    </w:p>
    <w:p w14:paraId="798E7717" w14:textId="77777777" w:rsidR="009D7677" w:rsidRDefault="009D7677" w:rsidP="009D7677">
      <w:pPr>
        <w:pStyle w:val="TextoNormal"/>
      </w:pPr>
      <w:r>
        <w:t>c) Las alegaciones del abogado del Estado se ocupan después de la materia urbanismo, (referenciando la doctrina de la STC 143/2017, de 14 de diciembre) y del resto de títulos competenciales en que se apoya la Ley 12/2023 de conformidad con su disposición final séptima (art. 149.1.8, 6 y 14 CE). A la vista de la jurisprudencia que se cita, se considera que la Ley no incurre en invasión de las competencias autonómicas en materia de política de vivienda. Su función, se resalta, es establecer las condiciones básicas del ejercicio de los derechos constitucionales mencionados, especialmente el derecho a la propiedad y a la vivienda, vinculado a la planificación de la actividad económica y a la vertiente social del derecho de propiedad.</w:t>
      </w:r>
    </w:p>
    <w:p w14:paraId="4898BA74" w14:textId="77777777" w:rsidR="009D7677" w:rsidRDefault="009D7677" w:rsidP="009D7677">
      <w:pPr>
        <w:pStyle w:val="TextoNormal"/>
      </w:pPr>
    </w:p>
    <w:p w14:paraId="7E92EF58" w14:textId="77777777" w:rsidR="009D7677" w:rsidRDefault="009D7677" w:rsidP="009D7677">
      <w:pPr>
        <w:pStyle w:val="TextoNormal"/>
      </w:pPr>
      <w:r>
        <w:t>d) Este apartado de las alegaciones concluye con una reflexión respecto a la presunta aplicación de la cláusula de supletoriedad. Básicamente, se niega que la Ley pretenda dictar derecho supletorio. Es ejercicio de legítimas competencias, que habilitan al Estado a regular aspectos relativos a las materias de vivienda, urbanismo y ordenación del territorio.</w:t>
      </w:r>
    </w:p>
    <w:p w14:paraId="00824399" w14:textId="77777777" w:rsidR="009D7677" w:rsidRDefault="009D7677" w:rsidP="009D7677">
      <w:pPr>
        <w:pStyle w:val="TextoNormal"/>
      </w:pPr>
    </w:p>
    <w:p w14:paraId="511138B2" w14:textId="77777777" w:rsidR="009D7677" w:rsidRDefault="009D7677" w:rsidP="009D7677">
      <w:pPr>
        <w:pStyle w:val="TextoNormal"/>
      </w:pPr>
      <w:r>
        <w:t>B) Alegaciones individuales a las tachas de inconstitucionalidad que la demanda imputa a cada uno de los preceptos impugnados</w:t>
      </w:r>
    </w:p>
    <w:p w14:paraId="7EF2D1C0" w14:textId="77777777" w:rsidR="009D7677" w:rsidRDefault="009D7677" w:rsidP="009D7677">
      <w:pPr>
        <w:pStyle w:val="TextoNormal"/>
      </w:pPr>
    </w:p>
    <w:p w14:paraId="0ED3B244" w14:textId="77777777" w:rsidR="009D7677" w:rsidRDefault="009D7677" w:rsidP="009D7677">
      <w:pPr>
        <w:pStyle w:val="TextoNormal"/>
      </w:pPr>
      <w:r>
        <w:t xml:space="preserve">a) </w:t>
      </w:r>
      <w:r w:rsidRPr="009D7677">
        <w:rPr>
          <w:i/>
        </w:rPr>
        <w:t>Impugnación de los arts. 3 f), g) y k)</w:t>
      </w:r>
    </w:p>
    <w:p w14:paraId="17920D38" w14:textId="77777777" w:rsidR="009D7677" w:rsidRDefault="009D7677" w:rsidP="009D7677">
      <w:pPr>
        <w:pStyle w:val="TextoNormal"/>
      </w:pPr>
    </w:p>
    <w:p w14:paraId="082F2FF7" w14:textId="77777777" w:rsidR="009D7677" w:rsidRDefault="009D7677" w:rsidP="009D7677">
      <w:pPr>
        <w:pStyle w:val="TextoNormal"/>
      </w:pPr>
      <w:r>
        <w:lastRenderedPageBreak/>
        <w:t>Haciendo referencia a la introducción de sus alegaciones, el abogado del Estado niega que estos preceptos supongan dictar Derecho supletorio. Su sentido, se dice, es respetar las definiciones establecidas por las leyes autonómicas introduciendo en el ordenamiento jurídico nuevas definiciones a los efectos de lo dispuesto en la propia Ley 12/2023. Resalta que la demanda no impugna todas las definiciones que se enmarcan en el art. 3, solo las de ciertos apartados, y respecto a estas no se impugna su contenido, sino que se contesta que el Estado pueda formularlas.</w:t>
      </w:r>
    </w:p>
    <w:p w14:paraId="327754A2" w14:textId="77777777" w:rsidR="009D7677" w:rsidRDefault="009D7677" w:rsidP="009D7677">
      <w:pPr>
        <w:pStyle w:val="TextoNormal"/>
      </w:pPr>
    </w:p>
    <w:p w14:paraId="72A86AE1" w14:textId="77777777" w:rsidR="009D7677" w:rsidRDefault="009D7677" w:rsidP="009D7677">
      <w:pPr>
        <w:pStyle w:val="TextoNormal"/>
      </w:pPr>
      <w:r>
        <w:t>Y puede, sostiene la Abogacía del Estado, porque se dictan al amparo del art. 149.1.1 CE. Las definiciones de vivienda protegida [art. 3 f) de la Ley] y vivienda asequible incentivada [art. 3 g)] son condición imprescindible para la aplicación de la Ley, con efectos claros en el ámbito de la función social de la propiedad. Respecto a la segunda de las definiciones, cabe que el Estado la establezca también con fundamento en el art. 149.1.13 CE, en cuanto es evidente el impacto en el sector económico en el mercado inmobiliario. La impugnación de la definición de gran tenedor [art. 3 k)] se juzga sin la carga argumental, mínima y necesaria (algo también predicable de la queja fundada sobre el principio de seguridad jurídica), pero aun así se combate porque la definición de gran tenedor es igualmente capital en la aplicación de la Ley y en la esfera del art. 149.1.1 CE.</w:t>
      </w:r>
    </w:p>
    <w:p w14:paraId="5CFBC26E" w14:textId="77777777" w:rsidR="009D7677" w:rsidRDefault="009D7677" w:rsidP="009D7677">
      <w:pPr>
        <w:pStyle w:val="TextoNormal"/>
      </w:pPr>
    </w:p>
    <w:p w14:paraId="71982C21" w14:textId="77777777" w:rsidR="009D7677" w:rsidRDefault="009D7677" w:rsidP="009D7677">
      <w:pPr>
        <w:pStyle w:val="TextoNormal"/>
      </w:pPr>
      <w:r>
        <w:t xml:space="preserve">b) </w:t>
      </w:r>
      <w:r w:rsidRPr="009D7677">
        <w:rPr>
          <w:i/>
        </w:rPr>
        <w:t>Impugnación del art. 8 a) y c)</w:t>
      </w:r>
    </w:p>
    <w:p w14:paraId="73512F73" w14:textId="77777777" w:rsidR="009D7677" w:rsidRDefault="009D7677" w:rsidP="009D7677">
      <w:pPr>
        <w:pStyle w:val="TextoNormal"/>
      </w:pPr>
    </w:p>
    <w:p w14:paraId="36C0890B" w14:textId="77777777" w:rsidR="009D7677" w:rsidRDefault="009D7677" w:rsidP="009D7677">
      <w:pPr>
        <w:pStyle w:val="TextoNormal"/>
      </w:pPr>
      <w:r>
        <w:t>La Abogacía del Estado rechaza los motivos de impugnación respecto del art. 8 a) porque (i) no supone atribuir al Estado la regulación exclusiva del derecho a la vivienda, antes bien, lo que allí se dispone es en el ámbito de “los términos dispuestos en esta Ley”; (ii) se formula el derecho, que es una condición básica que garantiza la igualdad en el ejercicio del derecho de los ciudadanos a una vivienda digna y adecuada; (iii) se dicta en aplicación de la competencia estatal del art. 149.1.1 CE, y (iv) no contiene una fórmula novedosa y se cita el art. 5 TRLSRU, que no ha sido tachado de inconstitucional.</w:t>
      </w:r>
    </w:p>
    <w:p w14:paraId="6B9685B6" w14:textId="77777777" w:rsidR="009D7677" w:rsidRDefault="009D7677" w:rsidP="009D7677">
      <w:pPr>
        <w:pStyle w:val="TextoNormal"/>
      </w:pPr>
    </w:p>
    <w:p w14:paraId="704A4D2D" w14:textId="77777777" w:rsidR="009D7677" w:rsidRDefault="009D7677" w:rsidP="009D7677">
      <w:pPr>
        <w:pStyle w:val="TextoNormal"/>
      </w:pPr>
      <w:r>
        <w:t>Respecto del art. 8 c), se niega igualmente la vulneración de las competencias autonómicas porque (i) establece una condición básica para el ejercicio del derecho a la vivienda y (ii) tiene asimismo una vertiente económica (como reconoció la STC 112/2013, de 9 de mayo, FJ 4).</w:t>
      </w:r>
    </w:p>
    <w:p w14:paraId="56A33A20" w14:textId="77777777" w:rsidR="009D7677" w:rsidRDefault="009D7677" w:rsidP="009D7677">
      <w:pPr>
        <w:pStyle w:val="TextoNormal"/>
      </w:pPr>
    </w:p>
    <w:p w14:paraId="5E8CD00E" w14:textId="77777777" w:rsidR="009D7677" w:rsidRDefault="009D7677" w:rsidP="009D7677">
      <w:pPr>
        <w:pStyle w:val="TextoNormal"/>
      </w:pPr>
      <w:r>
        <w:t>c</w:t>
      </w:r>
      <w:r w:rsidRPr="009D7677">
        <w:rPr>
          <w:i/>
        </w:rPr>
        <w:t xml:space="preserve">) Impugnación del art. 9 </w:t>
      </w:r>
      <w:r>
        <w:t>e)</w:t>
      </w:r>
    </w:p>
    <w:p w14:paraId="0A9B04E9" w14:textId="77777777" w:rsidR="009D7677" w:rsidRDefault="009D7677" w:rsidP="009D7677">
      <w:pPr>
        <w:pStyle w:val="TextoNormal"/>
      </w:pPr>
    </w:p>
    <w:p w14:paraId="4549382F" w14:textId="77777777" w:rsidR="009D7677" w:rsidRDefault="009D7677" w:rsidP="009D7677">
      <w:pPr>
        <w:pStyle w:val="TextoNormal"/>
      </w:pPr>
      <w:r>
        <w:t>Se rechaza que en este precepto se acometa la regulación de un aspecto sustantivo del régimen jurídico de los parques públicos de vivienda porque en realidad, como el art. 8 de la Ley, se enmarca en el estatuto básico del ciudadano, operando dentro del art. 149.1.1 CE.</w:t>
      </w:r>
    </w:p>
    <w:p w14:paraId="1F566E5E" w14:textId="77777777" w:rsidR="009D7677" w:rsidRDefault="009D7677" w:rsidP="009D7677">
      <w:pPr>
        <w:pStyle w:val="TextoNormal"/>
      </w:pPr>
    </w:p>
    <w:p w14:paraId="6B8B7A7E" w14:textId="77777777" w:rsidR="009D7677" w:rsidRDefault="009D7677" w:rsidP="009D7677">
      <w:pPr>
        <w:pStyle w:val="TextoNormal"/>
      </w:pPr>
      <w:r>
        <w:t>d</w:t>
      </w:r>
      <w:r w:rsidRPr="009D7677">
        <w:rPr>
          <w:i/>
        </w:rPr>
        <w:t xml:space="preserve">) Impugnación del art. 11.1 </w:t>
      </w:r>
      <w:r>
        <w:t>e)</w:t>
      </w:r>
    </w:p>
    <w:p w14:paraId="1BB729B6" w14:textId="77777777" w:rsidR="009D7677" w:rsidRDefault="009D7677" w:rsidP="009D7677">
      <w:pPr>
        <w:pStyle w:val="TextoNormal"/>
      </w:pPr>
    </w:p>
    <w:p w14:paraId="15BE3787" w14:textId="77777777" w:rsidR="009D7677" w:rsidRDefault="009D7677" w:rsidP="009D7677">
      <w:pPr>
        <w:pStyle w:val="TextoNormal"/>
      </w:pPr>
      <w:r>
        <w:t>La Abogacía del Estado considera que establecer esta disposición corresponde al Estado al amparo del art. 149.1.1 CE (aunque no esté mencionado como fundamento de este artículo en la disposición final séptima de la Ley) en relación con la función social del derecho de propiedad y el art. 149.1.8 CE.</w:t>
      </w:r>
    </w:p>
    <w:p w14:paraId="66EBBC1F" w14:textId="77777777" w:rsidR="009D7677" w:rsidRDefault="009D7677" w:rsidP="009D7677">
      <w:pPr>
        <w:pStyle w:val="TextoNormal"/>
      </w:pPr>
    </w:p>
    <w:p w14:paraId="2AE66792" w14:textId="77777777" w:rsidR="009D7677" w:rsidRDefault="009D7677" w:rsidP="009D7677">
      <w:pPr>
        <w:pStyle w:val="TextoNormal"/>
      </w:pPr>
      <w:r>
        <w:lastRenderedPageBreak/>
        <w:t>No se discute que sobre la concreción de la función social tenga competencias la Comunidad Autónoma, pero ello no impide que el Estado pueda, al amparo de las suyas, establecer un estatuto de la función social de la propiedad como condición básica de su ejercicio para garantizar la igualdad de los españoles.</w:t>
      </w:r>
    </w:p>
    <w:p w14:paraId="3E2693C2" w14:textId="77777777" w:rsidR="009D7677" w:rsidRDefault="009D7677" w:rsidP="009D7677">
      <w:pPr>
        <w:pStyle w:val="TextoNormal"/>
      </w:pPr>
    </w:p>
    <w:p w14:paraId="266B5941" w14:textId="77777777" w:rsidR="009D7677" w:rsidRDefault="009D7677" w:rsidP="009D7677">
      <w:pPr>
        <w:pStyle w:val="TextoNormal"/>
      </w:pPr>
      <w:r>
        <w:t>e</w:t>
      </w:r>
      <w:r w:rsidRPr="009D7677">
        <w:rPr>
          <w:i/>
        </w:rPr>
        <w:t xml:space="preserve">) Impugnación del art. 15.1 </w:t>
      </w:r>
      <w:r>
        <w:t>e)</w:t>
      </w:r>
    </w:p>
    <w:p w14:paraId="1C9308A5" w14:textId="77777777" w:rsidR="009D7677" w:rsidRDefault="009D7677" w:rsidP="009D7677">
      <w:pPr>
        <w:pStyle w:val="TextoNormal"/>
      </w:pPr>
    </w:p>
    <w:p w14:paraId="25DE5256" w14:textId="77777777" w:rsidR="009D7677" w:rsidRDefault="009D7677" w:rsidP="009D7677">
      <w:pPr>
        <w:pStyle w:val="TextoNormal"/>
      </w:pPr>
      <w:r>
        <w:t>Tras situar el precepto como complementario a la regulación de los criterios básicos de utilización del suelo del art. 20.1 b) TRLSRU, se extracta la doctrina que validó su constitucionalidad [STC 141/2018, de 20 de diciembre, FJ 8 A) b)] para justificar después que las concreciones que acomete la Ley 12/2023 se integran dentro de las competencias estatales, dejando margen de actuación a las comunidades autónomas.</w:t>
      </w:r>
    </w:p>
    <w:p w14:paraId="5053D087" w14:textId="77777777" w:rsidR="009D7677" w:rsidRDefault="009D7677" w:rsidP="009D7677">
      <w:pPr>
        <w:pStyle w:val="TextoNormal"/>
      </w:pPr>
    </w:p>
    <w:p w14:paraId="07B6AFBE" w14:textId="77777777" w:rsidR="009D7677" w:rsidRDefault="009D7677" w:rsidP="009D7677">
      <w:pPr>
        <w:pStyle w:val="TextoNormal"/>
      </w:pPr>
      <w:r>
        <w:t>La Abogacía del Estado resalta que la previsión legal tiene su justificación clara en zonas en que se declara existente un especial riesgo de oferta insuficiente, que tal declaración se realiza por la comunidad autónoma de forma justificada y sujeta a plazo. Por ello, la obligación de destinar el suelo a un determinado fin que regula el art. 15.1 e) de la Ley 12/2023, que además admite sustitución en ciertos casos, no es una imposición que suponga extralimitación competencial.</w:t>
      </w:r>
    </w:p>
    <w:p w14:paraId="155356C2" w14:textId="77777777" w:rsidR="009D7677" w:rsidRDefault="009D7677" w:rsidP="009D7677">
      <w:pPr>
        <w:pStyle w:val="TextoNormal"/>
      </w:pPr>
    </w:p>
    <w:p w14:paraId="1F6B0C91" w14:textId="77777777" w:rsidR="009D7677" w:rsidRDefault="009D7677" w:rsidP="009D7677">
      <w:pPr>
        <w:pStyle w:val="TextoNormal"/>
      </w:pPr>
      <w:r>
        <w:t>f</w:t>
      </w:r>
      <w:r w:rsidRPr="009D7677">
        <w:rPr>
          <w:i/>
        </w:rPr>
        <w:t xml:space="preserve">) Impugnación del art. </w:t>
      </w:r>
      <w:r>
        <w:t>16</w:t>
      </w:r>
    </w:p>
    <w:p w14:paraId="3E885586" w14:textId="77777777" w:rsidR="009D7677" w:rsidRDefault="009D7677" w:rsidP="009D7677">
      <w:pPr>
        <w:pStyle w:val="TextoNormal"/>
      </w:pPr>
    </w:p>
    <w:p w14:paraId="2479B6EE" w14:textId="77777777" w:rsidR="009D7677" w:rsidRDefault="009D7677" w:rsidP="009D7677">
      <w:pPr>
        <w:pStyle w:val="TextoNormal"/>
      </w:pPr>
      <w:r>
        <w:t>Las alegaciones ubican la interpretación de la previsión legal como directrices que el Estado puede emitir en el marco de la planificación económica debido a su incidencia en el mercado de vivienda en atención a las necesidades de la sociedad en este momento histórico. El carácter “básico” de la normativa contenida en el art. 16 de la Ley 12/2023 se considera validado por la doctrina contenida en las SSTC 112/2013, FJ 5, y 141/2014, de 11 de septiembre, y se razona que el artículo impugnado fija unos principios de actuación en materia de vivienda protegida que no excluyen un amplio campo de decisión por parte de las comunidades autónomas.</w:t>
      </w:r>
    </w:p>
    <w:p w14:paraId="72FFD209" w14:textId="77777777" w:rsidR="009D7677" w:rsidRDefault="009D7677" w:rsidP="009D7677">
      <w:pPr>
        <w:pStyle w:val="TextoNormal"/>
      </w:pPr>
    </w:p>
    <w:p w14:paraId="6857205B" w14:textId="77777777" w:rsidR="009D7677" w:rsidRDefault="009D7677" w:rsidP="009D7677">
      <w:pPr>
        <w:pStyle w:val="TextoNormal"/>
      </w:pPr>
      <w:r>
        <w:t>g</w:t>
      </w:r>
      <w:r w:rsidRPr="009D7677">
        <w:rPr>
          <w:i/>
        </w:rPr>
        <w:t>) Impugnación del art. 18, apartados 2, 3 y</w:t>
      </w:r>
      <w:r>
        <w:t xml:space="preserve"> 4</w:t>
      </w:r>
    </w:p>
    <w:p w14:paraId="048E6F14" w14:textId="77777777" w:rsidR="009D7677" w:rsidRDefault="009D7677" w:rsidP="009D7677">
      <w:pPr>
        <w:pStyle w:val="TextoNormal"/>
      </w:pPr>
    </w:p>
    <w:p w14:paraId="3E94078A" w14:textId="77777777" w:rsidR="009D7677" w:rsidRDefault="009D7677" w:rsidP="009D7677">
      <w:pPr>
        <w:pStyle w:val="TextoNormal"/>
      </w:pPr>
      <w:r>
        <w:t>Se rebate que la finalidad de los apartados impugnados sea diseñar un completo procedimiento para la declaración de zonas de mercado residencial tensionado porque (i) se trata de reglas determinadas “a los efectos de la aplicación de las medidas específicas contempladas en esta ley” (entre ellas, las medidas estatales previstas en el apartado 5) y (ii) no son solo medidas procedimentales, también sustantivas.</w:t>
      </w:r>
    </w:p>
    <w:p w14:paraId="11EECD3D" w14:textId="77777777" w:rsidR="009D7677" w:rsidRDefault="009D7677" w:rsidP="009D7677">
      <w:pPr>
        <w:pStyle w:val="TextoNormal"/>
      </w:pPr>
    </w:p>
    <w:p w14:paraId="5E617979" w14:textId="77777777" w:rsidR="009D7677" w:rsidRDefault="009D7677" w:rsidP="009D7677">
      <w:pPr>
        <w:pStyle w:val="TextoNormal"/>
      </w:pPr>
      <w:r>
        <w:t>No se cuestiona la competencia autonómica sobre procedimiento administrativo, pero se trata de reglas en todo caso básicas, que permiten ulterior desarrollo autonómico, que se refieren a una de las técnicas fundamentales de la Ley para la adecuada protección del derecho a la vivienda (las zonas de mercado residencial tensionado) y que, además, afectan a un conjunto de deberes de carácter civil y procesal, siendo coherentes con la efectividad de la declaración de estas zonas. Forman pues parte de la competencia estata</w:t>
      </w:r>
      <w:r w:rsidRPr="009D7677">
        <w:rPr>
          <w:i/>
        </w:rPr>
        <w:t xml:space="preserve">l </w:t>
      </w:r>
      <w:r>
        <w:t>ex art. 149.1.1 y 13 CE.</w:t>
      </w:r>
    </w:p>
    <w:p w14:paraId="6A79A684" w14:textId="77777777" w:rsidR="009D7677" w:rsidRDefault="009D7677" w:rsidP="009D7677">
      <w:pPr>
        <w:pStyle w:val="TextoNormal"/>
      </w:pPr>
    </w:p>
    <w:p w14:paraId="133BF68E" w14:textId="77777777" w:rsidR="009D7677" w:rsidRDefault="009D7677" w:rsidP="009D7677">
      <w:pPr>
        <w:pStyle w:val="TextoNormal"/>
      </w:pPr>
      <w:r>
        <w:t xml:space="preserve">h) </w:t>
      </w:r>
      <w:r w:rsidRPr="009D7677">
        <w:rPr>
          <w:i/>
        </w:rPr>
        <w:t>Impugnación del art. 19 apartado 1, inciso segundo, y apartado 3</w:t>
      </w:r>
    </w:p>
    <w:p w14:paraId="6D412B1E" w14:textId="77777777" w:rsidR="009D7677" w:rsidRDefault="009D7677" w:rsidP="009D7677">
      <w:pPr>
        <w:pStyle w:val="TextoNormal"/>
      </w:pPr>
    </w:p>
    <w:p w14:paraId="7124E083" w14:textId="77777777" w:rsidR="009D7677" w:rsidRDefault="009D7677" w:rsidP="009D7677">
      <w:pPr>
        <w:pStyle w:val="TextoNormal"/>
      </w:pPr>
      <w:r>
        <w:t>La Abogacía del Estado entiende que es incoherente la impugnación del inciso segundo del art. 19.1 y no la del inciso primero, cuya obligación es la que se viene a concretar, siempre a los efectos de la Ley. En todo caso se entiende que forma parte de las condiciones básicas, cuyo establecimiento compete al Estado, para que se garantice la efectividad de la declaración de las zonas de mercado residencial tensionado. Lo mismo se predica respecto del art. 19.3, que establece el procedimiento para ejercer el deber del art. 19.1 de la Ley.</w:t>
      </w:r>
    </w:p>
    <w:p w14:paraId="7C79437D" w14:textId="77777777" w:rsidR="009D7677" w:rsidRDefault="009D7677" w:rsidP="009D7677">
      <w:pPr>
        <w:pStyle w:val="TextoNormal"/>
      </w:pPr>
    </w:p>
    <w:p w14:paraId="68BE1281" w14:textId="77777777" w:rsidR="009D7677" w:rsidRDefault="009D7677" w:rsidP="009D7677">
      <w:pPr>
        <w:pStyle w:val="TextoNormal"/>
      </w:pPr>
      <w:r>
        <w:t xml:space="preserve">i) </w:t>
      </w:r>
      <w:r w:rsidRPr="009D7677">
        <w:rPr>
          <w:i/>
        </w:rPr>
        <w:t>Impugnación del art. 27 apartado 1, párrafo tercero, y apartado 3</w:t>
      </w:r>
    </w:p>
    <w:p w14:paraId="3D352BEA" w14:textId="77777777" w:rsidR="009D7677" w:rsidRDefault="009D7677" w:rsidP="009D7677">
      <w:pPr>
        <w:pStyle w:val="TextoNormal"/>
      </w:pPr>
    </w:p>
    <w:p w14:paraId="317BEC0D" w14:textId="77777777" w:rsidR="009D7677" w:rsidRDefault="009D7677" w:rsidP="009D7677">
      <w:pPr>
        <w:pStyle w:val="TextoNormal"/>
      </w:pPr>
      <w:r>
        <w:t>Tras poner en relación el establecimiento de un régimen de parques públicos de vivienda con el preámbulo de la Ley, se concluye que todo el art. 27.1 es expresión del art. 149.1.1 y 13 CE. En relación con el último párrafo, que es el impugnado en la demanda, se indica que delimita el contenido mínimo imperativo de esos parques, lo que supone que es una norma uniformadora; no obstante, otorga un ámbito de actuación normativa a las comunidades autónomas mediante la expresión “al menos”.</w:t>
      </w:r>
    </w:p>
    <w:p w14:paraId="09399D31" w14:textId="77777777" w:rsidR="009D7677" w:rsidRDefault="009D7677" w:rsidP="009D7677">
      <w:pPr>
        <w:pStyle w:val="TextoNormal"/>
      </w:pPr>
    </w:p>
    <w:p w14:paraId="37C5B599" w14:textId="77777777" w:rsidR="009D7677" w:rsidRDefault="009D7677" w:rsidP="009D7677">
      <w:pPr>
        <w:pStyle w:val="TextoNormal"/>
      </w:pPr>
      <w:r>
        <w:t>Respecto al art. 27.3, se dice que nada puede objetarse a que la Ley otorgue un destino finalista a los ingresos procedentes de sanciones impuestas por el incumplimiento de la función social de la propiedad de la vivienda, así como a los ingresos procedentes de la gestión y enajenación de los bienes patrimoniales que formen parte del parque público de vivienda, cuando los ingresos procedan de viviendas promovidas por planes del Estado. En las de carácter autonómico no se incide en su titularidad, solo en la finalidad. Deben destinarse a los parques públicos de vivienda para garantizar su sostenibilidad.</w:t>
      </w:r>
    </w:p>
    <w:p w14:paraId="11CA7130" w14:textId="77777777" w:rsidR="009D7677" w:rsidRDefault="009D7677" w:rsidP="009D7677">
      <w:pPr>
        <w:pStyle w:val="TextoNormal"/>
      </w:pPr>
    </w:p>
    <w:p w14:paraId="20D838BC" w14:textId="77777777" w:rsidR="009D7677" w:rsidRDefault="009D7677" w:rsidP="009D7677">
      <w:pPr>
        <w:pStyle w:val="TextoNormal"/>
      </w:pPr>
      <w:r>
        <w:t>j</w:t>
      </w:r>
      <w:r w:rsidRPr="009D7677">
        <w:rPr>
          <w:i/>
        </w:rPr>
        <w:t xml:space="preserve">) Impugnación del art. </w:t>
      </w:r>
      <w:r>
        <w:t>28</w:t>
      </w:r>
    </w:p>
    <w:p w14:paraId="4024D6FA" w14:textId="77777777" w:rsidR="009D7677" w:rsidRDefault="009D7677" w:rsidP="009D7677">
      <w:pPr>
        <w:pStyle w:val="TextoNormal"/>
      </w:pPr>
    </w:p>
    <w:p w14:paraId="6795F2FB" w14:textId="77777777" w:rsidR="009D7677" w:rsidRDefault="009D7677" w:rsidP="009D7677">
      <w:pPr>
        <w:pStyle w:val="TextoNormal"/>
      </w:pPr>
      <w:r>
        <w:t>El abogado del Estado contextualiza este artículo en relación con el precedente para sostener que merece su mismo tratamiento competencial. Sobre el contenido y el carácter imperativo del precepto, se dice que es una condición básica para el ejercicio de los derechos vinculados con la vivienda siguiendo una opción legítima del legislador que se ampara en el art. 149.1.1 CE (SSTC 152/1988, FJ 1, y 21/1999, de 25 de febrero, FJ 5) y en el art. 149.1.13 CE (como de contrario se razonó en las SSTC 61/1997, FJ 36, y 141/2014).</w:t>
      </w:r>
    </w:p>
    <w:p w14:paraId="157F7AA8" w14:textId="77777777" w:rsidR="009D7677" w:rsidRDefault="009D7677" w:rsidP="009D7677">
      <w:pPr>
        <w:pStyle w:val="TextoNormal"/>
      </w:pPr>
    </w:p>
    <w:p w14:paraId="3C6E82A5" w14:textId="77777777" w:rsidR="009D7677" w:rsidRDefault="009D7677" w:rsidP="009D7677">
      <w:pPr>
        <w:pStyle w:val="TextoNormal"/>
      </w:pPr>
      <w:r>
        <w:t>Por otro lado, la obligación de atención a las particularidades de cada entorno territorial es también una condición básica que en nada invade las competencias autonómicas, al establecer un principio a aplicar en todo el territorio nacional.</w:t>
      </w:r>
    </w:p>
    <w:p w14:paraId="12082757" w14:textId="77777777" w:rsidR="009D7677" w:rsidRDefault="009D7677" w:rsidP="009D7677">
      <w:pPr>
        <w:pStyle w:val="TextoNormal"/>
      </w:pPr>
    </w:p>
    <w:p w14:paraId="0D80AA18" w14:textId="77777777" w:rsidR="009D7677" w:rsidRDefault="009D7677" w:rsidP="009D7677">
      <w:pPr>
        <w:pStyle w:val="TextoNormal"/>
      </w:pPr>
      <w:r>
        <w:t>k</w:t>
      </w:r>
      <w:r w:rsidRPr="009D7677">
        <w:rPr>
          <w:i/>
        </w:rPr>
        <w:t xml:space="preserve">) Impugnación del art. </w:t>
      </w:r>
      <w:r>
        <w:t>29</w:t>
      </w:r>
    </w:p>
    <w:p w14:paraId="4AF18D43" w14:textId="77777777" w:rsidR="009D7677" w:rsidRDefault="009D7677" w:rsidP="009D7677">
      <w:pPr>
        <w:pStyle w:val="TextoNormal"/>
      </w:pPr>
    </w:p>
    <w:p w14:paraId="0ADFDBA2" w14:textId="77777777" w:rsidR="009D7677" w:rsidRDefault="009D7677" w:rsidP="009D7677">
      <w:pPr>
        <w:pStyle w:val="TextoNormal"/>
      </w:pPr>
      <w:r>
        <w:t>La argumentación de la demanda se considera en este punto tan sucinta que concurre el vicio de faltar al mínimo esfuerzo necesario para justificar su inconstitucionalidad. Afirmado esto, no obstante, se alega que, por las dos razones de reiterada cita, el precepto forma parte del ámbito competencial estatal.</w:t>
      </w:r>
    </w:p>
    <w:p w14:paraId="25B7A87A" w14:textId="77777777" w:rsidR="009D7677" w:rsidRDefault="009D7677" w:rsidP="009D7677">
      <w:pPr>
        <w:pStyle w:val="TextoNormal"/>
      </w:pPr>
    </w:p>
    <w:p w14:paraId="2C08A283" w14:textId="77777777" w:rsidR="009D7677" w:rsidRDefault="009D7677" w:rsidP="009D7677">
      <w:pPr>
        <w:pStyle w:val="TextoNormal"/>
      </w:pPr>
      <w:r>
        <w:t xml:space="preserve">El abogado del Estado afirma no entender la razón, que la demanda tampoco identifica, por la que el contenido del artículo no sea una condición básica que debe imperar en el </w:t>
      </w:r>
      <w:r>
        <w:lastRenderedPageBreak/>
        <w:t>destino de los parques públicos de vivienda, las formas y requisitos orientadores para su disfrute, o la previsión de que se evalúen los mismos, cuando se hace además con remisión expresa en cuanto a su ejecución al desarrollo autonómico y local.</w:t>
      </w:r>
    </w:p>
    <w:p w14:paraId="17DDD686" w14:textId="77777777" w:rsidR="009D7677" w:rsidRDefault="009D7677" w:rsidP="009D7677">
      <w:pPr>
        <w:pStyle w:val="TextoNormal"/>
      </w:pPr>
    </w:p>
    <w:p w14:paraId="04F2BA62" w14:textId="77777777" w:rsidR="009D7677" w:rsidRDefault="009D7677" w:rsidP="009D7677">
      <w:pPr>
        <w:pStyle w:val="TextoNormal"/>
      </w:pPr>
      <w:r>
        <w:t>l</w:t>
      </w:r>
      <w:r w:rsidRPr="009D7677">
        <w:rPr>
          <w:i/>
        </w:rPr>
        <w:t xml:space="preserve">) Impugnación de los arts. 32 a </w:t>
      </w:r>
      <w:r>
        <w:t>36</w:t>
      </w:r>
    </w:p>
    <w:p w14:paraId="61F0E28C" w14:textId="77777777" w:rsidR="009D7677" w:rsidRDefault="009D7677" w:rsidP="009D7677">
      <w:pPr>
        <w:pStyle w:val="TextoNormal"/>
      </w:pPr>
    </w:p>
    <w:p w14:paraId="7DBAF296" w14:textId="77777777" w:rsidR="009D7677" w:rsidRDefault="009D7677" w:rsidP="009D7677">
      <w:pPr>
        <w:pStyle w:val="TextoNormal"/>
      </w:pPr>
      <w:r>
        <w:t>Aquí también se reprocha a la demanda falta de fundamentación de la inconstitucionalidad que se denuncia. Se alega además que el art. 32 de la Ley 12/2023 se refiere a patrimonio público estatal, por lo que en ningún caso se afectan las competencias autonómicas. El resto de artículos no suponen que el Estado asuma competencias ejecutivas de las comunidades autónomas, sino que recopila y ofrece la información obtenida y proporcionada en la forma que el precepto diseña y habilita, sin tratarse de registros constitutivos de relaciones jurídicas.</w:t>
      </w:r>
    </w:p>
    <w:p w14:paraId="050918E2" w14:textId="77777777" w:rsidR="009D7677" w:rsidRDefault="009D7677" w:rsidP="009D7677">
      <w:pPr>
        <w:pStyle w:val="TextoNormal"/>
      </w:pPr>
    </w:p>
    <w:p w14:paraId="74CC02D3" w14:textId="77777777" w:rsidR="009D7677" w:rsidRDefault="009D7677" w:rsidP="009D7677">
      <w:pPr>
        <w:pStyle w:val="TextoNormal"/>
      </w:pPr>
      <w:r>
        <w:t>m</w:t>
      </w:r>
      <w:r w:rsidRPr="009D7677">
        <w:rPr>
          <w:i/>
        </w:rPr>
        <w:t>) Impugnación de la disposición adicional terce</w:t>
      </w:r>
      <w:r>
        <w:t>ra</w:t>
      </w:r>
    </w:p>
    <w:p w14:paraId="6AD4ABFD" w14:textId="77777777" w:rsidR="009D7677" w:rsidRDefault="009D7677" w:rsidP="009D7677">
      <w:pPr>
        <w:pStyle w:val="TextoNormal"/>
      </w:pPr>
    </w:p>
    <w:p w14:paraId="7E44739F" w14:textId="77777777" w:rsidR="009D7677" w:rsidRDefault="009D7677" w:rsidP="009D7677">
      <w:pPr>
        <w:pStyle w:val="TextoNormal"/>
      </w:pPr>
      <w:r>
        <w:t>En la medida en que esta disposición conecta con el contenido del art. 18.3 y la demanda se limitó a ponerlo así de manifiesto, las alegaciones de la Abogacía del Estado también se remiten a lo argumentado respecto a ese precepto.</w:t>
      </w:r>
    </w:p>
    <w:p w14:paraId="65B293A9" w14:textId="77777777" w:rsidR="009D7677" w:rsidRDefault="009D7677" w:rsidP="009D7677">
      <w:pPr>
        <w:pStyle w:val="TextoNormal"/>
      </w:pPr>
    </w:p>
    <w:p w14:paraId="7FD39A37" w14:textId="77777777" w:rsidR="009D7677" w:rsidRDefault="009D7677" w:rsidP="009D7677">
      <w:pPr>
        <w:pStyle w:val="TextoNormal"/>
      </w:pPr>
      <w:r>
        <w:t>n</w:t>
      </w:r>
      <w:r w:rsidRPr="009D7677">
        <w:rPr>
          <w:i/>
        </w:rPr>
        <w:t>) Impugnación de la disposición transitoria prime</w:t>
      </w:r>
      <w:r>
        <w:t>ra</w:t>
      </w:r>
    </w:p>
    <w:p w14:paraId="17144158" w14:textId="77777777" w:rsidR="009D7677" w:rsidRDefault="009D7677" w:rsidP="009D7677">
      <w:pPr>
        <w:pStyle w:val="TextoNormal"/>
      </w:pPr>
    </w:p>
    <w:p w14:paraId="605741D7" w14:textId="77777777" w:rsidR="009D7677" w:rsidRDefault="009D7677" w:rsidP="009D7677">
      <w:pPr>
        <w:pStyle w:val="TextoNormal"/>
      </w:pPr>
      <w:r>
        <w:t>En relación con la calificación de viviendas sujetas a un régimen de protección pública, las alegaciones del abogado del Estado se remiten a lo establecido al analizar el art. 15 de la Ley, con el que el precepto guarda clara relación.</w:t>
      </w:r>
    </w:p>
    <w:p w14:paraId="39E5C7F7" w14:textId="77777777" w:rsidR="009D7677" w:rsidRDefault="009D7677" w:rsidP="009D7677">
      <w:pPr>
        <w:pStyle w:val="TextoNormal"/>
      </w:pPr>
    </w:p>
    <w:p w14:paraId="4143F480" w14:textId="77777777" w:rsidR="009D7677" w:rsidRDefault="009D7677" w:rsidP="009D7677">
      <w:pPr>
        <w:pStyle w:val="TextoNormal"/>
      </w:pPr>
      <w:r>
        <w:t>Respecto al régimen de viviendas que forman parte de un parque público de vivienda, se sostiene que la disposición no supone la asunción por parte del Estado de su régimen jurídico, sino nuevamente solo del régimen “a los efectos de esta Ley”, sobre el que ya se han ocupado otros puntos de las alegaciones.</w:t>
      </w:r>
    </w:p>
    <w:p w14:paraId="2AE188FF" w14:textId="77777777" w:rsidR="009D7677" w:rsidRDefault="009D7677" w:rsidP="009D7677">
      <w:pPr>
        <w:pStyle w:val="TextoNormal"/>
      </w:pPr>
    </w:p>
    <w:p w14:paraId="33D5A585" w14:textId="77777777" w:rsidR="009D7677" w:rsidRDefault="009D7677" w:rsidP="009D7677">
      <w:pPr>
        <w:pStyle w:val="TextoNormal"/>
      </w:pPr>
      <w:r>
        <w:t>ñ</w:t>
      </w:r>
      <w:r w:rsidRPr="009D7677">
        <w:rPr>
          <w:i/>
        </w:rPr>
        <w:t>) Impugnación de la disposición final primera, apartados uno, tres y se</w:t>
      </w:r>
      <w:r>
        <w:t>is</w:t>
      </w:r>
    </w:p>
    <w:p w14:paraId="5D6E975D" w14:textId="77777777" w:rsidR="009D7677" w:rsidRDefault="009D7677" w:rsidP="009D7677">
      <w:pPr>
        <w:pStyle w:val="TextoNormal"/>
      </w:pPr>
    </w:p>
    <w:p w14:paraId="5FD35791" w14:textId="77777777" w:rsidR="009D7677" w:rsidRDefault="009D7677" w:rsidP="009D7677">
      <w:pPr>
        <w:pStyle w:val="TextoNormal"/>
      </w:pPr>
      <w:r>
        <w:t xml:space="preserve">La Abogacía del Estado explica que la Ley de arrendamientos urbanos, al menos en lo que se refiere a determinación de precio y duración del contrato de arrendamiento urbano (y seguramente también en otras medidas tuitivas de la posición de las partes), se dicta al amparo de la competencia para establecer las bases de las obligaciones contractuales que corresponde al Estado </w:t>
      </w:r>
      <w:r w:rsidRPr="009D7677">
        <w:rPr>
          <w:i/>
        </w:rPr>
        <w:t>ex</w:t>
      </w:r>
      <w:r>
        <w:t xml:space="preserve"> art. 149.1.8 CE (en cuanto vinculadas con el orden público económico, como sentó la STC 132/2019, de 13 de noviembre) y ese mismo título competencial subyace a la modificación que introduce en esta materia la Ley 12/2023. Se resalta que el régimen que supone, y que favorece la posición del arrendatario en la relación contractual, no supone un cambio de esencia o una incompatibilidad con la naturaleza de la institución propia del arrendamiento.</w:t>
      </w:r>
    </w:p>
    <w:p w14:paraId="4A30DA51" w14:textId="77777777" w:rsidR="009D7677" w:rsidRDefault="009D7677" w:rsidP="009D7677">
      <w:pPr>
        <w:pStyle w:val="TextoNormal"/>
      </w:pPr>
    </w:p>
    <w:p w14:paraId="5E29E839" w14:textId="77777777" w:rsidR="009D7677" w:rsidRDefault="009D7677" w:rsidP="009D7677">
      <w:pPr>
        <w:pStyle w:val="TextoNormal"/>
      </w:pPr>
      <w:r>
        <w:t xml:space="preserve">No hay ejercicio </w:t>
      </w:r>
      <w:r w:rsidRPr="009D7677">
        <w:rPr>
          <w:i/>
        </w:rPr>
        <w:t>ultra vires</w:t>
      </w:r>
      <w:r>
        <w:t xml:space="preserve"> de la competencia estatal sobre legislación civil porque las modificaciones que la Ley 12/2023 introduce en la Ley de arrendamientos urbanos conectan directamente con la regulación de la libertad de pactos que, con sus eventuales modificaciones o modulaciones, tiene atribuida el Estado vía art. 149.1.8 CE (SSTC 89/1994, de </w:t>
      </w:r>
      <w:r>
        <w:lastRenderedPageBreak/>
        <w:t>17 de marzo; 37/2022, de 10 de marzo, y 57/2022, de 7 de abril, FJ 4). No hay una regulación pública institucional del contrato de arrendamiento y no se entra dentro de las competencias autonómicas (aspectos de control administrativo) porque tienen por objeto el régimen de las obligaciones de naturaleza civil contractual entre las partes.</w:t>
      </w:r>
    </w:p>
    <w:p w14:paraId="1572AE18" w14:textId="77777777" w:rsidR="009D7677" w:rsidRDefault="009D7677" w:rsidP="009D7677">
      <w:pPr>
        <w:pStyle w:val="TextoNormal"/>
      </w:pPr>
    </w:p>
    <w:p w14:paraId="55E75434" w14:textId="77777777" w:rsidR="009D7677" w:rsidRDefault="009D7677" w:rsidP="009D7677">
      <w:pPr>
        <w:pStyle w:val="TextoNormal"/>
      </w:pPr>
      <w:r>
        <w:t>Se rebate el argumento de la demanda porque no es solamente la función social de la propiedad o la materialización de la garantía del derecho a la vivienda lo que fundamenta la competencia estatal.</w:t>
      </w:r>
    </w:p>
    <w:p w14:paraId="6929C52A" w14:textId="77777777" w:rsidR="009D7677" w:rsidRDefault="009D7677" w:rsidP="009D7677">
      <w:pPr>
        <w:pStyle w:val="TextoNormal"/>
      </w:pPr>
    </w:p>
    <w:p w14:paraId="2F3DA689" w14:textId="77777777" w:rsidR="009D7677" w:rsidRDefault="009D7677" w:rsidP="009D7677">
      <w:pPr>
        <w:pStyle w:val="TextoNormal"/>
      </w:pPr>
      <w:r>
        <w:t>o</w:t>
      </w:r>
      <w:r w:rsidRPr="009D7677">
        <w:rPr>
          <w:i/>
        </w:rPr>
        <w:t>) Impugnación de la disposición final cuar</w:t>
      </w:r>
      <w:r>
        <w:t>ta</w:t>
      </w:r>
    </w:p>
    <w:p w14:paraId="5D35D826" w14:textId="77777777" w:rsidR="009D7677" w:rsidRDefault="009D7677" w:rsidP="009D7677">
      <w:pPr>
        <w:pStyle w:val="TextoNormal"/>
      </w:pPr>
    </w:p>
    <w:p w14:paraId="6C5192E7" w14:textId="77777777" w:rsidR="009D7677" w:rsidRDefault="009D7677" w:rsidP="009D7677">
      <w:pPr>
        <w:pStyle w:val="TextoNormal"/>
      </w:pPr>
      <w:r>
        <w:t>Tras criticar, nuevamente, la débil carga argumentativa de la demanda en relación con esta impugnación, el abogado del Estado se remite a lo sentado en la STC 141/2014, que validó la fijación de los porcentajes que ahora se modifican dentro del ámbito del art. 149.1.13 CE. La elevación se justifica de la forma que se ha venido exponiendo ya en las alegaciones.</w:t>
      </w:r>
    </w:p>
    <w:p w14:paraId="3BBC4C38" w14:textId="77777777" w:rsidR="009D7677" w:rsidRDefault="009D7677" w:rsidP="009D7677">
      <w:pPr>
        <w:pStyle w:val="TextoNormal"/>
      </w:pPr>
    </w:p>
    <w:p w14:paraId="3F86AE0D" w14:textId="1E420DA3" w:rsidR="009D7677" w:rsidRDefault="009D7677" w:rsidP="009D7677">
      <w:pPr>
        <w:pStyle w:val="TextoNormal"/>
      </w:pPr>
      <w:r>
        <w:t>Respecto a la queja de que no aclarar si este precepto se aplica a los planeamientos vigentes o en tramitación supone una vulneración del art. 9.3 CE, se pone de manifiesto que la cuestión está resuelta por la disposición transitoria primera del texto refundido de la Ley de suelo y rehabilitación urbana.</w:t>
      </w:r>
    </w:p>
    <w:p w14:paraId="324F332E" w14:textId="77777777" w:rsidR="009D7677" w:rsidRDefault="009D7677" w:rsidP="009D7677">
      <w:pPr>
        <w:pStyle w:val="TextoNormal"/>
      </w:pPr>
    </w:p>
    <w:p w14:paraId="662CBA53" w14:textId="5CF4DD7D" w:rsidR="009D7677" w:rsidRDefault="009D7677" w:rsidP="009D7677">
      <w:pPr>
        <w:pStyle w:val="TextoNormal"/>
      </w:pPr>
      <w:r w:rsidRPr="009D7677">
        <w:rPr>
          <w:rStyle w:val="NumeroAFNegritaCaracter"/>
        </w:rPr>
        <w:t>7</w:t>
      </w:r>
      <w:r>
        <w:t>. Mediante providencia de 21 de mayo de 2024 se señaló ese mismo día para deliberación y votación de la presente sentencia.</w:t>
      </w:r>
    </w:p>
    <w:p w14:paraId="4E82131E" w14:textId="77777777" w:rsidR="009D7677" w:rsidRDefault="009D7677" w:rsidP="009D7677">
      <w:pPr>
        <w:pStyle w:val="TextoNormal"/>
      </w:pPr>
    </w:p>
    <w:p w14:paraId="0312C704" w14:textId="77777777" w:rsidR="009D7677" w:rsidRDefault="009D7677" w:rsidP="009D7677">
      <w:pPr>
        <w:pStyle w:val="TextoNormalNegritaCentrado"/>
        <w:keepNext/>
      </w:pPr>
      <w:r>
        <w:t>II. Fundamentos jurídicos</w:t>
      </w:r>
    </w:p>
    <w:p w14:paraId="5C0FEE72" w14:textId="6A3B615B" w:rsidR="009D7677" w:rsidRDefault="009D7677" w:rsidP="009D7677">
      <w:pPr>
        <w:pStyle w:val="TextoNormalNegritaCentrado"/>
        <w:keepNext/>
      </w:pPr>
    </w:p>
    <w:p w14:paraId="2701A045" w14:textId="77777777" w:rsidR="009D7677" w:rsidRDefault="009D7677" w:rsidP="009D7677">
      <w:pPr>
        <w:pStyle w:val="TextoNormal"/>
      </w:pPr>
      <w:r w:rsidRPr="009D7677">
        <w:rPr>
          <w:rStyle w:val="NumeroAFNegritaCaracter"/>
        </w:rPr>
        <w:t>1</w:t>
      </w:r>
      <w:r>
        <w:t xml:space="preserve">. </w:t>
      </w:r>
      <w:r w:rsidRPr="009D7677">
        <w:rPr>
          <w:i/>
        </w:rPr>
        <w:t>Objeto del recurso y posición de las partes</w:t>
      </w:r>
    </w:p>
    <w:p w14:paraId="15903810" w14:textId="77777777" w:rsidR="009D7677" w:rsidRDefault="009D7677" w:rsidP="009D7677">
      <w:pPr>
        <w:pStyle w:val="TextoNormal"/>
      </w:pPr>
    </w:p>
    <w:p w14:paraId="768F2155" w14:textId="48AAA4E2" w:rsidR="009D7677" w:rsidRDefault="009D7677" w:rsidP="009D7677">
      <w:pPr>
        <w:pStyle w:val="TextoNormal"/>
      </w:pPr>
      <w:r>
        <w:t>El presente recurso de inconstitucionalidad se interpone por el Consejo de Gobierno de la Comunidad Autónoma de Andalucía, contra varios preceptos de la Ley 12/2023, de 24 de mayo, por el derecho a la vivienda, por (i) no ajustarse a las competencias que corresponden al legislador estatal, invadiendo las autonómicas en materia de vivienda, urbanismo, ordenación del territorio, régimen local y/o servicios sociales, según el caso; (ii) en relación con lo anterior, pretender en ocasiones crear Derecho supletorio o regular las consecuencias de la aplicación de este, y (iii) en concreto respecto a ciertos preceptos, vulnerar el principio de seguridad jurídica (art. 9.3 CE). La Abogacía del Estado se opone al mismo por las razones que constan en los antecedentes, solicitando la íntegra desestimación del recurso.</w:t>
      </w:r>
    </w:p>
    <w:p w14:paraId="5161D734" w14:textId="77777777" w:rsidR="009D7677" w:rsidRDefault="009D7677" w:rsidP="009D7677">
      <w:pPr>
        <w:pStyle w:val="TextoNormal"/>
      </w:pPr>
    </w:p>
    <w:p w14:paraId="5683C477" w14:textId="77777777" w:rsidR="009D7677" w:rsidRDefault="009D7677" w:rsidP="009D7677">
      <w:pPr>
        <w:pStyle w:val="TextoNormal"/>
      </w:pPr>
      <w:r w:rsidRPr="009D7677">
        <w:rPr>
          <w:rStyle w:val="NumeroAFNegritaCaracter"/>
        </w:rPr>
        <w:t>2</w:t>
      </w:r>
      <w:r>
        <w:t xml:space="preserve">. </w:t>
      </w:r>
      <w:r w:rsidRPr="009D7677">
        <w:rPr>
          <w:i/>
        </w:rPr>
        <w:t>Consideraciones previas y orden de examen</w:t>
      </w:r>
    </w:p>
    <w:p w14:paraId="73A0037C" w14:textId="77777777" w:rsidR="009D7677" w:rsidRDefault="009D7677" w:rsidP="009D7677">
      <w:pPr>
        <w:pStyle w:val="TextoNormal"/>
      </w:pPr>
    </w:p>
    <w:p w14:paraId="4CBDAE0D" w14:textId="77777777" w:rsidR="009D7677" w:rsidRDefault="009D7677" w:rsidP="009D7677">
      <w:pPr>
        <w:pStyle w:val="TextoNormal"/>
      </w:pPr>
      <w:r>
        <w:t>A) Pervivencia del objeto del recurso</w:t>
      </w:r>
    </w:p>
    <w:p w14:paraId="3C65148C" w14:textId="77777777" w:rsidR="009D7677" w:rsidRDefault="009D7677" w:rsidP="009D7677">
      <w:pPr>
        <w:pStyle w:val="TextoNormal"/>
      </w:pPr>
    </w:p>
    <w:p w14:paraId="736EF82C" w14:textId="77777777" w:rsidR="009D7677" w:rsidRDefault="009D7677" w:rsidP="009D7677">
      <w:pPr>
        <w:pStyle w:val="TextoNormal"/>
      </w:pPr>
      <w:r>
        <w:t>Desde su aprobación, la Ley 12/2023 solo ha sufrido modificaciones en su disposición transitoria tercera, que en nada afectan al objeto del presente recurso.</w:t>
      </w:r>
    </w:p>
    <w:p w14:paraId="6C8B8631" w14:textId="77777777" w:rsidR="009D7677" w:rsidRDefault="009D7677" w:rsidP="009D7677">
      <w:pPr>
        <w:pStyle w:val="TextoNormal"/>
      </w:pPr>
    </w:p>
    <w:p w14:paraId="70B37F4C" w14:textId="77777777" w:rsidR="009D7677" w:rsidRDefault="009D7677" w:rsidP="009D7677">
      <w:pPr>
        <w:pStyle w:val="TextoNormal"/>
      </w:pPr>
      <w:r>
        <w:lastRenderedPageBreak/>
        <w:t>B) Delimitación de la controversia</w:t>
      </w:r>
    </w:p>
    <w:p w14:paraId="52C23E73" w14:textId="77777777" w:rsidR="009D7677" w:rsidRDefault="009D7677" w:rsidP="009D7677">
      <w:pPr>
        <w:pStyle w:val="TextoNormal"/>
      </w:pPr>
    </w:p>
    <w:p w14:paraId="02689AC2" w14:textId="77777777" w:rsidR="009D7677" w:rsidRDefault="009D7677" w:rsidP="009D7677">
      <w:pPr>
        <w:pStyle w:val="TextoNormal"/>
      </w:pPr>
      <w:r>
        <w:t>El abogado del Estado formula una alegación global al contenido de la demanda oponiendo la excepción del incumplimiento de la carga argumental en “muchos” de los preceptos impugnados, que luego concreta como se ha expuesto en los antecedentes de esta sentencia, sin que ello obste, según allí se ha visto, a que combata los argumentos del recurso. Por esto mismo no puede dársele la razón con carácter general. No es tanto que no se realice esfuerzo argumental por parte del recurrente, sino que los argumentos esgrimidos son sustancialmente los mismos. En relación con casi todas las quejas, la carga alegatoria es suficiente, tanto para que la contraparte pueda defenderse adecuadamente, y así lo ha hecho en sus alegaciones, como para que este tribunal cuente con los debidos elementos para pronunciarse. Hay sin embargo dos aspectos que merecen consideración separada y solución distinta.</w:t>
      </w:r>
    </w:p>
    <w:p w14:paraId="2F930E35" w14:textId="77777777" w:rsidR="009D7677" w:rsidRDefault="009D7677" w:rsidP="009D7677">
      <w:pPr>
        <w:pStyle w:val="TextoNormal"/>
      </w:pPr>
    </w:p>
    <w:p w14:paraId="18BD9E9F" w14:textId="77777777" w:rsidR="009D7677" w:rsidRDefault="009D7677" w:rsidP="009D7677">
      <w:pPr>
        <w:pStyle w:val="TextoNormal"/>
      </w:pPr>
      <w:r>
        <w:t>a) Respecto a la queja que concierne a los art. 32 a 36 de la Ley, que integran el capítulo II de su título IV y someten al Estado a una serie de obligaciones de información y transparencia en cumplimiento del principio de colaboración y cooperación, el recurso de inconstitucionalidad se limita a realizar un reproche conjunto y genérico, afirmando que esos preceptos reservan al Estado “competencias ejecutivas en materia de vivienda” y que la “centralización en la que parece subyacer una cierta desconfianza hacia la publicidad que puedan efectuar las comunidades autónomas en legítimo ejercicio de su competencia [no] puede fundarse en los principios de colaboración y cooperación con cuya invocación comienzan todos y cada uno de estos artículos”.</w:t>
      </w:r>
    </w:p>
    <w:p w14:paraId="2EE67A9A" w14:textId="77777777" w:rsidR="009D7677" w:rsidRDefault="009D7677" w:rsidP="009D7677">
      <w:pPr>
        <w:pStyle w:val="TextoNormal"/>
      </w:pPr>
    </w:p>
    <w:p w14:paraId="04B4C030" w14:textId="77777777" w:rsidR="009D7677" w:rsidRDefault="009D7677" w:rsidP="009D7677">
      <w:pPr>
        <w:pStyle w:val="TextoNormal"/>
      </w:pPr>
      <w:r>
        <w:t>Tal como señala la Abogacía del Estado, la demandante incurre aquí en una casi absoluta falta de fundamentación. Es doctrina reiterada de este tribunal que “la presunción de constitucionalidad de normas con rango de ley no puede desvirtuarse sin un mínimo de argumentación y no caben impugnaciones globales y carentes de una razón suficientemente desarrollada” [por todas, STC 90/2022, FJ 1 b)]. Ciertamente “es carga de los recurrentes no solo la de abrir la vía para que el Tribunal pueda pronunciarse, sino también la de colaborar con la justicia del Tribunal en un pormenorizado análisis de las graves cuestiones que se suscitan. Es justo, pues, hablar […] de una carga del recurrente y en los casos en que aquella no se observe, de una falta de diligencia procesalmente exigible, que es la diligencia de ofrecer la fundamentación que razonablemente es de esperar (STC 11/1981, de 8 de abril, FJ 3, reiterada en las SSTC 43/1996, de 14 de marzo, FJ 3; 36/1994, de 10 de febrero, FJ 1, y 61/1997, de 20 de marzo, FJ 13)” (STC 86/2017, de 4 de julio, FJ 2). Por ello, los arts. 32 a 36 de la Ley 12/2023 quedan fuera del objeto de análisis de esta sentencia.</w:t>
      </w:r>
    </w:p>
    <w:p w14:paraId="4B36DC4C" w14:textId="77777777" w:rsidR="009D7677" w:rsidRDefault="009D7677" w:rsidP="009D7677">
      <w:pPr>
        <w:pStyle w:val="TextoNormal"/>
      </w:pPr>
    </w:p>
    <w:p w14:paraId="1EF1629C" w14:textId="77777777" w:rsidR="009D7677" w:rsidRDefault="009D7677" w:rsidP="009D7677">
      <w:pPr>
        <w:pStyle w:val="TextoNormal"/>
      </w:pPr>
      <w:r>
        <w:t xml:space="preserve">b) Además de las cuestiones competenciales, el recurrente incluye, en tres de sus dieciséis motivos específicos de impugnación, una queja relativa a la vulneración del principio de seguridad jurídica. En relación con este, hemos señalado ya que la seguridad jurídica debe ser entendida como la certeza de la norma que hace previsibles los resultados de su aplicación. Desde un plano objetivo, presupone la certeza sobre el ordenamiento jurídico aplicable y los intereses jurídicamente tutelados (STC 15/1986, de 31 de enero, FJ 1); desde una perspectiva subjetiva, remite a la expectativa razonablemente fundada del ciudadano acerca de cuál ha de ser la actuación del poder en la aplicación del Derecho (STC 36/1991, de 14 de febrero, FJ 5). Tal sería el canon desde el que tendría que analizarse su </w:t>
      </w:r>
      <w:r>
        <w:lastRenderedPageBreak/>
        <w:t>juego. Ahora bien, la argumentación del recurrente en relación con el art. 9.3 CE es llamativamente exigua, siendo necesario aplicar de nuevo la doctrina sobre la carga alegatoria.</w:t>
      </w:r>
    </w:p>
    <w:p w14:paraId="72560A58" w14:textId="77777777" w:rsidR="009D7677" w:rsidRDefault="009D7677" w:rsidP="009D7677">
      <w:pPr>
        <w:pStyle w:val="TextoNormal"/>
      </w:pPr>
    </w:p>
    <w:p w14:paraId="0D8F2A83" w14:textId="77777777" w:rsidR="009D7677" w:rsidRDefault="009D7677" w:rsidP="009D7677">
      <w:pPr>
        <w:pStyle w:val="TextoNormal"/>
      </w:pPr>
      <w:r>
        <w:t>La demanda se limita a indicar, en primer lugar, que “la regulación del artículo 3” de la Ley 12/2023 (aunque en realidad solo combate tres de las definiciones allí contenidas y no su conjunto) “supone una vulneración del principio de seguridad jurídica […] al restar previsibilidad al ordenamiento jurídico” por lo que entiende es una singular complementariedad-supletoriedad, argumento al que parece anudar la inseguridad jurídica y que sí tiene su propio desarrollo argumental. En segundo lugar, al identificar en el encabezado del apartado el motivo de impugnación del art. 16 se hace una mención al art. 9.3 CE que sin embargo luego no se desarrolla; parece un error, pues el contenido de esa impugnación se refiere, una vez más, a la pretendida supletoriedad del Derecho estatal. Finalmente, se señala, respecto a la disposición final cuarta de la Ley 12/2023, que la no previsión de un régimen de transitoriedad en ella crea “una situación de inseguridad jurídica virtualmente insostenible y de consecuencias imprevisibles y vulnerando el principio de seguridad jurídica”. Tal y como señala el abogado del Estado, ese régimen transitorio no es sin embargo objeto del precepto impugnado y debe buscarse en las disposiciones correspondientes de la normativa a la que se refiere.</w:t>
      </w:r>
    </w:p>
    <w:p w14:paraId="714EC7E7" w14:textId="77777777" w:rsidR="009D7677" w:rsidRDefault="009D7677" w:rsidP="009D7677">
      <w:pPr>
        <w:pStyle w:val="TextoNormal"/>
      </w:pPr>
    </w:p>
    <w:p w14:paraId="5EC3685B" w14:textId="77777777" w:rsidR="009D7677" w:rsidRDefault="009D7677" w:rsidP="009D7677">
      <w:pPr>
        <w:pStyle w:val="TextoNormal"/>
      </w:pPr>
      <w:r>
        <w:t>En defecto del levantamiento de la debida carga argumentativa, y dado que no corresponde a este tribunal reconstruir de oficio las demandas (por todas, STC 37/2022, de 10 de marzo, FJ 6), ha de prevalecer la presunción de constitucionalidad de las normas con rango de ley, que no puede desvirtuarse sin una argumentación suficiente (así, por ejemplo, SSTC 43/1996, de 14 de marzo, FJ 5; 233/1999, de 16 de diciembre, FJ 2; 248/2007, de 13 de diciembre, FJ 1; 87/2017, de 4 de julio, FJ 2, y 142/2018, de 20 de diciembre, FJ 2). Este tribunal no entrará a analizar por ello las quejas relativas al eventual quebranto de la seguridad jurídica.</w:t>
      </w:r>
    </w:p>
    <w:p w14:paraId="28229DEE" w14:textId="77777777" w:rsidR="009D7677" w:rsidRDefault="009D7677" w:rsidP="009D7677">
      <w:pPr>
        <w:pStyle w:val="TextoNormal"/>
      </w:pPr>
    </w:p>
    <w:p w14:paraId="635B1529" w14:textId="77777777" w:rsidR="009D7677" w:rsidRDefault="009D7677" w:rsidP="009D7677">
      <w:pPr>
        <w:pStyle w:val="TextoNormal"/>
      </w:pPr>
      <w:r>
        <w:t>C) Orden de examen</w:t>
      </w:r>
    </w:p>
    <w:p w14:paraId="312EE54B" w14:textId="77777777" w:rsidR="009D7677" w:rsidRDefault="009D7677" w:rsidP="009D7677">
      <w:pPr>
        <w:pStyle w:val="TextoNormal"/>
      </w:pPr>
    </w:p>
    <w:p w14:paraId="644293C5" w14:textId="77777777" w:rsidR="009D7677" w:rsidRDefault="009D7677" w:rsidP="009D7677">
      <w:pPr>
        <w:pStyle w:val="TextoNormal"/>
      </w:pPr>
      <w:r>
        <w:t>a) El recurso es sustancialmente de índole competencial y las partes coinciden en los títulos que consideran de aplicación para su resolución, discrepando únicamente en si la regulación los excede o no. Esto es lo que deberá discernir la presente sentencia y lo que se concluya será determinante para resolver las quejas relativas al abuso de la cláusula de supletoriedad del art. 149.3 CE, que decaerá automáticamente de entender que el legislador estatal hace un uso adecuado de títulos competenciales propios y específicos.</w:t>
      </w:r>
    </w:p>
    <w:p w14:paraId="51CE79C7" w14:textId="77777777" w:rsidR="009D7677" w:rsidRDefault="009D7677" w:rsidP="009D7677">
      <w:pPr>
        <w:pStyle w:val="TextoNormal"/>
      </w:pPr>
    </w:p>
    <w:p w14:paraId="1E74B9E4" w14:textId="77777777" w:rsidR="009D7677" w:rsidRDefault="009D7677" w:rsidP="009D7677">
      <w:pPr>
        <w:pStyle w:val="TextoNormal"/>
      </w:pPr>
      <w:r>
        <w:t>De acuerdo con la evolución de la doctrina constitucional, el art. 149.3 CE no es una norma competencial y no puede considerarse como una cláusula universal atributiva de competencias para legislar sobre cualesquiera materias a favor del Estado, por lo que las normas que el Estado dictase con el único propósito de crear Derecho supletorio del de las comunidades autónomas, en materias que sean de la exclusiva competencia de estas, estarían viciadas de incompetencia (por todas, STC 53/2017, de 11 de mayo, FJ 18). Esta doctrina veda, en principio, toda posible intervención normativa del Estado más allá de sus títulos competenciales, pero obviamente no tiene juego cuando se ejercitan estos correctamente, que es lo que se examinará en primer lugar, entrando en el análisis de la admisibilidad de un Derecho estatal meramente supletorio solo en el caso de los preceptos im</w:t>
      </w:r>
      <w:r>
        <w:lastRenderedPageBreak/>
        <w:t>pugnados que se entiendan carentes de título competencial que los legitime y que quepa entender que pretenden acogerse al art. 149.3 CE.</w:t>
      </w:r>
    </w:p>
    <w:p w14:paraId="0D4D6903" w14:textId="77777777" w:rsidR="009D7677" w:rsidRDefault="009D7677" w:rsidP="009D7677">
      <w:pPr>
        <w:pStyle w:val="TextoNormal"/>
      </w:pPr>
    </w:p>
    <w:p w14:paraId="3C4DBAC4" w14:textId="77777777" w:rsidR="009D7677" w:rsidRDefault="009D7677" w:rsidP="009D7677">
      <w:pPr>
        <w:pStyle w:val="TextoNormal"/>
      </w:pPr>
      <w:r>
        <w:t>b) Como ha quedado expuesto en los antecedentes, los motivos de impugnación del recurso son cuantitativamente numerosos pues, aunque las quejas son en gran medida coincidentes, se fragmentan al seguir en su exposición el orden numeral del articulado y disposiciones de la Ley. Es posible agruparlas en torno a las cuestiones materiales de la regulación a que se refieren y tal será la sistemática de examen, teniendo en cuenta que este tribunal puede siempre ordenar el discurso de la resolución según su mejor criterio (STC 183/2021, de 27 de octubre, FJ 2, por todas). Se abordarán así, por este orden, las quejas relativas (i) al estatuto básico del ciudadano; (ii) las zonas de mercado residencial tensionado; (iii) el estatuto básico de la propiedad, y en particular de grandes tenedores; (iv) la vivienda protegida; (v) los parques públicos de vivienda, y (vi) el régimen de arrendamientos.</w:t>
      </w:r>
    </w:p>
    <w:p w14:paraId="3CDE5191" w14:textId="77777777" w:rsidR="009D7677" w:rsidRDefault="009D7677" w:rsidP="009D7677">
      <w:pPr>
        <w:pStyle w:val="TextoNormal"/>
      </w:pPr>
    </w:p>
    <w:p w14:paraId="0BC9C367" w14:textId="75EBA0A3" w:rsidR="009D7677" w:rsidRDefault="009D7677" w:rsidP="009D7677">
      <w:pPr>
        <w:pStyle w:val="TextoNormal"/>
      </w:pPr>
      <w:r>
        <w:t>Antes de abordar el enjuiciamiento y teniendo en cuenta que, aunque en el escrito de demanda se invocan puntual y complementariamente otros títulos competenciales, el principal argumento es la invasión estatal de las competencias autonómicas en materia de vivienda, se resume la doctrina constitucional sobre el reparto competencial en este ámbito.</w:t>
      </w:r>
    </w:p>
    <w:p w14:paraId="6F71A5B9" w14:textId="77777777" w:rsidR="009D7677" w:rsidRDefault="009D7677" w:rsidP="009D7677">
      <w:pPr>
        <w:pStyle w:val="TextoNormal"/>
      </w:pPr>
    </w:p>
    <w:p w14:paraId="7B634F7E" w14:textId="77777777" w:rsidR="009D7677" w:rsidRDefault="009D7677" w:rsidP="009D7677">
      <w:pPr>
        <w:pStyle w:val="TextoNormal"/>
      </w:pPr>
      <w:r w:rsidRPr="009D7677">
        <w:rPr>
          <w:rStyle w:val="NumeroAFNegritaCaracter"/>
        </w:rPr>
        <w:t>3</w:t>
      </w:r>
      <w:r>
        <w:t xml:space="preserve">. </w:t>
      </w:r>
      <w:r w:rsidRPr="009D7677">
        <w:rPr>
          <w:i/>
        </w:rPr>
        <w:t>Doctrina constitucional sobre la vivienda y las competencias estatales y autonómicas en dicha materia</w:t>
      </w:r>
    </w:p>
    <w:p w14:paraId="55BD8204" w14:textId="77777777" w:rsidR="009D7677" w:rsidRDefault="009D7677" w:rsidP="009D7677">
      <w:pPr>
        <w:pStyle w:val="TextoNormal"/>
      </w:pPr>
    </w:p>
    <w:p w14:paraId="747E967C" w14:textId="77777777" w:rsidR="009D7677" w:rsidRDefault="009D7677" w:rsidP="009D7677">
      <w:pPr>
        <w:pStyle w:val="TextoNormal"/>
      </w:pPr>
      <w:r>
        <w:t>A) Según doctrina constitucional consolidada (por todas, STC 59/1995, de 17 de marzo, FJ 3), la vivienda “puede recaer bajo distintos títulos competenciales estatales o autonómicos dependiendo de cuál sea el enfoque y cuáles los instrumentos regulatorios utilizados en cada caso por el legislador. Dicha complejidad competencial es consecuencia de las distintas dimensiones constitucionales que presenta la vivienda (‘económica’ y ‘social’, STC 152/1988, de 20 de julio, FJ 2)” [STC 37/2022, de 10 de marzo, FJ 4 a)].</w:t>
      </w:r>
    </w:p>
    <w:p w14:paraId="7CF1A2DB" w14:textId="77777777" w:rsidR="009D7677" w:rsidRDefault="009D7677" w:rsidP="009D7677">
      <w:pPr>
        <w:pStyle w:val="TextoNormal"/>
      </w:pPr>
    </w:p>
    <w:p w14:paraId="71D60095" w14:textId="77777777" w:rsidR="009D7677" w:rsidRDefault="009D7677" w:rsidP="009D7677">
      <w:pPr>
        <w:pStyle w:val="TextoNormal"/>
      </w:pPr>
      <w:r>
        <w:t>Por otra parte, hemos afirmado reiteradamente que el art. 47 CE no reconoce un derecho fundamental a la vivienda, ni constituye un título competencial autónomo en favor del Estado, “sino que enuncia, [como consecuencia de su ubicación constitucional] ‘un mandato o directriz constitucional que ha de informar la actuación de todos los poderes públicos’ (art. 53.3 CE) en el ejercicio de sus respectivas competencias” (STC 32/2019, de 28 de febrero, FJ 6, con cita de otras muchas).</w:t>
      </w:r>
    </w:p>
    <w:p w14:paraId="153369A1" w14:textId="77777777" w:rsidR="009D7677" w:rsidRDefault="009D7677" w:rsidP="009D7677">
      <w:pPr>
        <w:pStyle w:val="TextoNormal"/>
      </w:pPr>
    </w:p>
    <w:p w14:paraId="573E5C1C" w14:textId="77777777" w:rsidR="009D7677" w:rsidRDefault="009D7677" w:rsidP="009D7677">
      <w:pPr>
        <w:pStyle w:val="TextoNormal"/>
      </w:pPr>
      <w:r>
        <w:t>El art. 148.1.3 CE establece que las comunidades autónomas pueden asumir competencias en materia de ordenación del territorio, urbanismo y vivienda y, al amparo de esta habilitación, todas las comunidades autónomas han asumido competencias exclusivas en estas materias. En relación con la vivienda, “[e]sta competencia faculta a las instituciones de la Comunidad Autónoma para desarrollar una política propia en dicha materia” (STC 152/1988, de 20 de julio, FJ 2).</w:t>
      </w:r>
    </w:p>
    <w:p w14:paraId="28784ABE" w14:textId="77777777" w:rsidR="009D7677" w:rsidRDefault="009D7677" w:rsidP="009D7677">
      <w:pPr>
        <w:pStyle w:val="TextoNormal"/>
      </w:pPr>
    </w:p>
    <w:p w14:paraId="32BFCCC1" w14:textId="77777777" w:rsidR="009D7677" w:rsidRDefault="009D7677" w:rsidP="009D7677">
      <w:pPr>
        <w:pStyle w:val="TextoNormal"/>
      </w:pPr>
      <w:r>
        <w:t xml:space="preserve">En el caso de la Comunidad Autónoma de Andalucía, ha asumido la competencia en materia de vivienda en virtud de lo establecido en el art. 56.1 de su Estatuto de Autonomía (EAAnd), según el cual “[c]orresponde a la Comunidad Autónoma la competencia exclusiva en materia de vivienda, que incluye en todo caso: a) La planificación, la ordenación, </w:t>
      </w:r>
      <w:r>
        <w:lastRenderedPageBreak/>
        <w:t>la gestión, la inspección y el control de la vivienda; el establecimiento de prioridades y objetivos de la actividad de fomento de las administraciones públicas de Andalucía en materia de vivienda y la adopción de las medidas necesarias para su alcance; la promoción pública de viviendas; las normas técnicas, la inspección y el control sobre la calidad de la construcción; el control de condiciones de infraestructuras y de normas técnicas de habitabilidad de las viviendas; la innovación tecnológica y la sostenibilidad aplicable a las viviendas; y la normativa sobre conservación y mantenimiento de las viviendas y su aplicación. b) La regulación administrativa del comercio referido a viviendas y el establecimiento de medidas de protección y disciplinarias en este ámbito”.</w:t>
      </w:r>
    </w:p>
    <w:p w14:paraId="4F23299A" w14:textId="77777777" w:rsidR="009D7677" w:rsidRDefault="009D7677" w:rsidP="009D7677">
      <w:pPr>
        <w:pStyle w:val="TextoNormal"/>
      </w:pPr>
    </w:p>
    <w:p w14:paraId="2236F4B0" w14:textId="77777777" w:rsidR="009D7677" w:rsidRDefault="009D7677" w:rsidP="009D7677">
      <w:pPr>
        <w:pStyle w:val="TextoNormal"/>
      </w:pPr>
      <w:r>
        <w:t>Ahora bien, a pesar de que el Estatuto de Autonomía atribuya carácter “exclusivo” a la competencia autonómica en materia de vivienda, ello no significa que la misma no pueda verse limitada por las competencias del Estado. Así lo hemos puesto de manifiesto en un buen número de pronunciamientos, pudiendo destacarse, en el caso de la comunidad autónoma andaluza, las SSTC 93/2015, de 14 de mayo (relativa al recurso de inconstitucionalidad interpuesto contra diversos preceptos del Decreto-ley de la Junta de Andalucía 6/2013, de 9 de abril, de medidas para asegurar el cumplimiento de la función social de la vivienda) y 32/2018, de 12 de abril (sobre el recurso de inconstitucionalidad promovido contra la Ley del Parlamento de Andalucía 4/2013, de 1 de octubre, de medidas para asegurar el cumplimiento de la función social de la vivienda).</w:t>
      </w:r>
    </w:p>
    <w:p w14:paraId="4435C378" w14:textId="77777777" w:rsidR="009D7677" w:rsidRDefault="009D7677" w:rsidP="009D7677">
      <w:pPr>
        <w:pStyle w:val="TextoNormal"/>
      </w:pPr>
    </w:p>
    <w:p w14:paraId="2778F084" w14:textId="77777777" w:rsidR="009D7677" w:rsidRDefault="009D7677" w:rsidP="009D7677">
      <w:pPr>
        <w:pStyle w:val="TextoNormal"/>
      </w:pPr>
      <w:r>
        <w:t>B) Resulta necesario, por tanto, tener en cuenta cómo se proyectan sobre la competencia exclusiva autonómica los títulos competenciales estatales a que responden los preceptos de la Ley aquí impugnados según su disposición final séptima. Tales títulos son, con carácter general, los que se enuncian en el art. 149.1.1 y 13 CE y, además, el art. 149.1.8 CE en relación con las vertientes de la función social de la propiedad de la vivienda al combatir el art. 11.1 e) y la disposición final primera de la Ley, tal como pasamos a exponer.</w:t>
      </w:r>
    </w:p>
    <w:p w14:paraId="23443F1D" w14:textId="77777777" w:rsidR="009D7677" w:rsidRDefault="009D7677" w:rsidP="009D7677">
      <w:pPr>
        <w:pStyle w:val="TextoNormal"/>
      </w:pPr>
    </w:p>
    <w:p w14:paraId="60F25D4E" w14:textId="77777777" w:rsidR="009D7677" w:rsidRDefault="009D7677" w:rsidP="009D7677">
      <w:pPr>
        <w:pStyle w:val="TextoNormal"/>
      </w:pPr>
      <w:r>
        <w:t xml:space="preserve">a) Con carácter general, hemos señalado que el título competencial del art. 149.1.1 CE ha de ser objeto de un uso prudente para evitar que con ocasión de garantizar la igualdad en el ejercicio de derechos se produzca una alteración del sistema constitucional de reparto de competencias. Es, por ello, que hemos venido subrayando (por todas, STC 18/2017, de 2 de febrero, FJ 4), «el carácter finalista de esta competencia transversal, al servicio de la garantía de la igualdad, que por tanto no impone la uniformidad en la regulación de derechos y deberes constitucionales (STC 37/1987, de 26 de marzo, FJ 3), ni se extiende materialmente a la ordenación de los sectores de actividad en los que esos derechos se ejercen, pero que sí permite fijar el régimen detallado en toda su extensión de esas determinadas condiciones básicas que se identifiquen como necesarias [STC 61/1997, de 20 de marzo, FJ 7 b), reiterada en muchas sentencias posteriores]. En esa línea, el art. 149.1.1 CE más que establecer una reserva material exclusiva a favor del Estado, lo que le permite es introducir condicionamientos normativos vinculantes para las comunidades autónomas en aras de asegurar la igualdad sustancial de derechos y deberes de todos los españoles. Además, en cuanto a la extensión de la regulación de un derecho que puede introducir el Estado </w:t>
      </w:r>
      <w:r w:rsidRPr="009D7677">
        <w:rPr>
          <w:i/>
        </w:rPr>
        <w:t>ex</w:t>
      </w:r>
      <w:r>
        <w:t xml:space="preserve"> art. 149.1.1 CE ya precisaba la STC 207/2013, de 5 de diciembre, FJ 5, que ese “título competencial no solo se proyecta sobre las condiciones básicas ‘que afectan a su contenido primario’, a sus ‘posiciones jurídicas fundamentales’, sino también sobre los ‘criterios que guardan una relación necesaria e inmediata con aquellas’, que sean ‘absolu</w:t>
      </w:r>
      <w:r>
        <w:lastRenderedPageBreak/>
        <w:t>tamente necesarios para asegurar la igualdad en el ejercicio del derecho’ (SSTC 184/2012, de 17 de octubre, FJ 4, y 3/2013, de 17 de enero, FJ 8), tales como el ‘ámbito material sobre el que recaen las facultades que integran el derecho’, las ‘condiciones básicas en que ha de ejercerse un derecho’ o ‘el marco organizativo que posibilita el ejercicio mismo del derecho’ (STC 61/1997, de 20 de marzo, FJ 8), teniendo a tal fin el legislador estatal ‘un cierto margen de apreciación en cuanto a la fijación inicial de las condiciones que, por su carácter de básicas, deben ser objeto de ordenación uniforme en todo el territorio nacional’ (STC 154/1988, de 21 de julio, FJ 3)”».</w:t>
      </w:r>
    </w:p>
    <w:p w14:paraId="0AC090BE" w14:textId="77777777" w:rsidR="009D7677" w:rsidRDefault="009D7677" w:rsidP="009D7677">
      <w:pPr>
        <w:pStyle w:val="TextoNormal"/>
      </w:pPr>
    </w:p>
    <w:p w14:paraId="7570E55B" w14:textId="77777777" w:rsidR="009D7677" w:rsidRDefault="009D7677" w:rsidP="009D7677">
      <w:pPr>
        <w:pStyle w:val="TextoNormal"/>
      </w:pPr>
      <w:r>
        <w:t>La doctrina constitucional permite reconocer las posibilidades del legislador estatal de incidir en la vivienda desde la óptica del art. 149.1.1 CE, si bien hasta ahora estas no se habían materializado. Así, al controlar la legislación autonómica en la materia, hemos dicho que “[n]o habiendo el legislador estatal ejercido la habilitación que el artículo 149.1.1 CE le otorga, resulta necesario afirmar que el legislador autonómico en materia de vivienda, en el momento en que realizamos este enjuiciamiento, no encuentra límites desde esta perspectiva constitucional” [STC 16/2018, de 22 de febrero, FJ 8 a)]. Esta doctrina se ha reiterado después en las SSTC 32/2018, de 12 de abril, FJ 8; 43/2018, de 26 de abril, FJ 5, u 80/2018, de 5 de julio, FJ 4. Estos pronunciamientos, no obstante, son indirectos y se han dado en el marco de análisis muy específicos, sobre la regulación que afectaba a la propiedad del suelo.</w:t>
      </w:r>
    </w:p>
    <w:p w14:paraId="51ADBFE2" w14:textId="77777777" w:rsidR="009D7677" w:rsidRDefault="009D7677" w:rsidP="009D7677">
      <w:pPr>
        <w:pStyle w:val="TextoNormal"/>
      </w:pPr>
    </w:p>
    <w:p w14:paraId="0CB28A18" w14:textId="77777777" w:rsidR="009D7677" w:rsidRDefault="009D7677" w:rsidP="009D7677">
      <w:pPr>
        <w:pStyle w:val="TextoNormal"/>
      </w:pPr>
      <w:r>
        <w:t xml:space="preserve">Esa situación de no ejercicio de las competencias estatales, manifestada en los pronunciamientos reseñados, finalizó con la aprobación de la Ley 12/2023. Según identifica su preámbulo, el Estado aborda esta tarea legislativa </w:t>
      </w:r>
      <w:r w:rsidRPr="009D7677">
        <w:rPr>
          <w:i/>
        </w:rPr>
        <w:t>ex</w:t>
      </w:r>
      <w:r>
        <w:t xml:space="preserve"> art. 149.1.1 CE para regular las condiciones básicas que garanticen la igualdad de todos los españoles en el ejercicio de los derechos y en el cumplimiento de los deberes constitucionales, en relación con diferentes derechos constitucionales: el derecho de propiedad de la vivienda, el ejercicio del derecho constitucional a disfrutar de una vivienda digna y adecuada y los derechos a la intimidad y la inviolabilidad del domicilio. Cosa distinta es, lógicamente, la de determinar hasta dónde puede llegarse, teniendo en cuenta que la competencia estatal sobre la regulación de las “condiciones básicas” que garanticen la igualdad en el ejercicio de derechos y en el cumplimiento de deberes constitucionales, a su vez, “se limita al establecimiento de las condiciones básicas imprescindibles o necesarias para garantizar la igualdad, por lo que su regulación no puede suponer una normación completa y acabada del derecho o deber de que se trate” [STC 65/2020, de 18 de junio, FJ 7 E) (iv)]. Dirimir esos límites respecto de las quejas formuladas en el escrito de demanda es el objeto de esta sentencia que, como la Ley 12/2023, tiene carácter pionero, pues a pesar de la amplia doctrina que ha sentado ya este tribunal </w:t>
      </w:r>
      <w:r w:rsidRPr="009D7677">
        <w:rPr>
          <w:i/>
        </w:rPr>
        <w:t>ex</w:t>
      </w:r>
      <w:r>
        <w:t xml:space="preserve"> art. 149.1.1 CE, ese título “tiene, sin duda, un carácter específico y autónomo, en cuanto que le atribuye al Estado ciertas facultades según el derecho constitucional de que se trate (SSTC 37/1987, fundamento jurídico 9; 149/1991, fundamento jurídico 8; 154/1988, fundamento jurídico 3; 75/1990 y 86/1990, fundamento jurídico 2; 82/1986, fundamento jurídico 4; 52/1988, fundamento jurídico 4; 87/1985, fundamento jurídico 8 […])” [STC 61/1997, de 20 de marzo, FJ 9 a)].</w:t>
      </w:r>
    </w:p>
    <w:p w14:paraId="18E26B24" w14:textId="77777777" w:rsidR="009D7677" w:rsidRDefault="009D7677" w:rsidP="009D7677">
      <w:pPr>
        <w:pStyle w:val="TextoNormal"/>
      </w:pPr>
    </w:p>
    <w:p w14:paraId="2A4B9A44" w14:textId="77777777" w:rsidR="009D7677" w:rsidRDefault="009D7677" w:rsidP="009D7677">
      <w:pPr>
        <w:pStyle w:val="TextoNormal"/>
      </w:pPr>
      <w:r>
        <w:t>Ante esta situación, y teniendo en cuenta los preceptos impugnados en el presente recurso, hemos de hacer las siguientes consideraciones:</w:t>
      </w:r>
    </w:p>
    <w:p w14:paraId="4691FA21" w14:textId="77777777" w:rsidR="009D7677" w:rsidRDefault="009D7677" w:rsidP="009D7677">
      <w:pPr>
        <w:pStyle w:val="TextoNormal"/>
      </w:pPr>
    </w:p>
    <w:p w14:paraId="1642CA14" w14:textId="77777777" w:rsidR="009D7677" w:rsidRDefault="009D7677" w:rsidP="009D7677">
      <w:pPr>
        <w:pStyle w:val="TextoNormal"/>
      </w:pPr>
      <w:r>
        <w:lastRenderedPageBreak/>
        <w:t>(i) Este tribunal ya ha tenido ocasión de pronunciarse respecto a la aplicación del art. 149.1.1 CE en relación con el ejercicio del derecho de propiedad sobre la vivienda (art. 33.1 CE) y en el cumplimiento de los deberes constitucionales que correspondan por su función social (art. 33.2 CE). Esto es importante porque “aunque pudiera entenderse que el art. 149.1.1 de la Constitución permite al Estado atraer a su ámbito competencial una potestad normativa en relación con la función social de la propiedad sobre cualquier tipo de bienes y en virtud de cualesquiera intereses de carácter público, aun aquellos cuya definición y gestión no le está ya encomendada, de ello no cabría concluir sino que el Estado podría regular las condiciones básicas que garanticen una igualdad de trato —asimismo básica o esencial— de todos los españoles en el ejercicio (y en el contenido) de sus derechos de propiedad. Pero ello sin perjuicio de que las comunidades autónomas puedan dotarse, en el ámbito de sus respectivas competencias, de una legislación propia” (STC 37/1987, de 26 de marzo, FJ 9).</w:t>
      </w:r>
    </w:p>
    <w:p w14:paraId="444E8986" w14:textId="77777777" w:rsidR="009D7677" w:rsidRDefault="009D7677" w:rsidP="009D7677">
      <w:pPr>
        <w:pStyle w:val="TextoNormal"/>
      </w:pPr>
    </w:p>
    <w:p w14:paraId="015A74FC" w14:textId="77777777" w:rsidR="009D7677" w:rsidRDefault="009D7677" w:rsidP="009D7677">
      <w:pPr>
        <w:pStyle w:val="TextoNormal"/>
      </w:pPr>
      <w:r>
        <w:t xml:space="preserve">Que las comunidades autónomas ostentan competencias sobre la concreción de la función social de la propiedad privada de la vivienda como legisladores sectoriales de la materia es algo que han reconocido, entre otras muchas, la STC 57/2022, de 7 de abril, y las allí citadas, pues se trata de una competencia autonómica ampliamente ejercida. Pero esto no puede impedir que el Estado ejerza también su competencia, </w:t>
      </w:r>
      <w:r w:rsidRPr="009D7677">
        <w:rPr>
          <w:i/>
        </w:rPr>
        <w:t>ex</w:t>
      </w:r>
      <w:r>
        <w:t xml:space="preserve"> art. 149.1.1 CE. Para el ámbito de la vivienda, hasta ahora no lo había hecho, pero sí en otros. Así, la competencia del legislador estatal para regular el cuadro de derechos y deberes de los propietarios de suelo, para “garantizar la igualdad en las condiciones de ejercicio del derecho de propiedad urbana y en el cumplimiento de los deberes inherentes a la función social” resultó avalada en la STC 16/2021, de 28 de enero, FJ 8, evidentemente con los límites que derivan del necesario respeto a las competencias autonómicas.</w:t>
      </w:r>
    </w:p>
    <w:p w14:paraId="5AD907D4" w14:textId="77777777" w:rsidR="009D7677" w:rsidRDefault="009D7677" w:rsidP="009D7677">
      <w:pPr>
        <w:pStyle w:val="TextoNormal"/>
      </w:pPr>
    </w:p>
    <w:p w14:paraId="46A2F353" w14:textId="77777777" w:rsidR="009D7677" w:rsidRDefault="009D7677" w:rsidP="009D7677">
      <w:pPr>
        <w:pStyle w:val="TextoNormal"/>
      </w:pPr>
      <w:r>
        <w:t>(ii) Que sobre el art. 47 CE cabe proyectar el art. 149.1.1 CE es algo que hasta ahora no habíamos reconocido de forma abierta, por falta de oportunidad, habiéndose limitado nuestra doctrina a resaltar su contenido de principio rector y no de derecho fundamental (lo que por ejemplo llevó a descartar la contravención del mandato del art. 10.2 CE en la STC 32/2019, de 28 de febrero, FJ 6). Ahora bien, que el art. 47 CE no contenga un derecho fundamental ni un título competencial, o que constituya un principio rector de la política social y económica, no es óbice para que al mismo tiempo se despliegue como derecho constitucional, con sus vertientes competenciales. En tal sentido, se ha de observar que este tribunal, al enjuiciar la constitucionalidad de prestaciones y actuaciones previstas en la Ley de presupuestos generales del Estado para la realización de acciones sociales dirigidas a favorecer la inclusión social de las personas mayores, de las personas inmigrantes y de las personas con discapacidad (STC 33/2014, de 27 de febrero, FJ 4), y de normas reguladoras de prestaciones del sistema de atención a la dependencia [STC 18/2016, de 4 de febrero, FJ 7 b)] ha afirmado que “[e]s, por tanto, posible promover, a través de la competencia reconocida al Estado en el art. 149.1.1 CE, mandatos, no ya genéricos sino específicos, recogidos en la Constitución como son los establecidos en el art. 50 CE, en relación con las personas mayores, o en el art. 49 CE, en relación con las personas discapacitadas; toda vez que se debe entender que los principios rectores de la política social y económica del capítulo III del título I de la Constitución (entre los que se cuentan los recogidos en los citados art. 49 y 50 CE) pueden ponerse en conexión directa con la regla competencia</w:t>
      </w:r>
      <w:r w:rsidRPr="009D7677">
        <w:rPr>
          <w:i/>
        </w:rPr>
        <w:t xml:space="preserve">l </w:t>
      </w:r>
      <w:r>
        <w:t>ex art. 149.1.1 CE”.</w:t>
      </w:r>
    </w:p>
    <w:p w14:paraId="44CF6F1A" w14:textId="77777777" w:rsidR="009D7677" w:rsidRDefault="009D7677" w:rsidP="009D7677">
      <w:pPr>
        <w:pStyle w:val="TextoNormal"/>
      </w:pPr>
    </w:p>
    <w:p w14:paraId="5E831472" w14:textId="77777777" w:rsidR="009D7677" w:rsidRDefault="009D7677" w:rsidP="009D7677">
      <w:pPr>
        <w:pStyle w:val="TextoNormal"/>
      </w:pPr>
      <w:r>
        <w:lastRenderedPageBreak/>
        <w:t>Por otra parte, ya la STC 7/2010, de 27 de abril, analizó en su FJ 7 la posible vulneración del art. 47 CE por la norma autonómica enjuiciada, advirtiendo “que el principio rector previsto en el art. 47 CE […] constituye un mandato o directriz constitucional que ha de informar la actuación de todos los poderes públicos (administración general del Estado, comunidades autónomas y corporaciones locales) en el ejercicio de sus respectivas competencias, a fin de promover las condiciones necesarias para que todo español pueda disfrutar de una vivienda digna y adecuada (STC 152/1988, de 20 de julio, FJ 2)”. No obstante, la queja fue desestimada ante la insuficiencia de la argumentación desarrollada por los recurrentes, de cuyo planteamiento no se seguía “la consecuencia de que se ponga en riesgo el derecho de los ciudadanos a acceder al disfrute de una vivienda digna y adecuada en la Comunidad Valenciana, lo que conduce, en definitiva, a descartar la pretendida lesión del art. 47 CE”.</w:t>
      </w:r>
    </w:p>
    <w:p w14:paraId="518303B8" w14:textId="77777777" w:rsidR="009D7677" w:rsidRDefault="009D7677" w:rsidP="009D7677">
      <w:pPr>
        <w:pStyle w:val="TextoNormal"/>
      </w:pPr>
    </w:p>
    <w:p w14:paraId="58876174" w14:textId="77777777" w:rsidR="009D7677" w:rsidRDefault="009D7677" w:rsidP="009D7677">
      <w:pPr>
        <w:pStyle w:val="TextoNormal"/>
      </w:pPr>
      <w:r>
        <w:t>Los compromisos internacionales de España en materia de derechos humanos refrendan la existencia de un derecho a la vivienda, reconocido también en varios estatutos de autonomía y cuya efectividad es precisamente lo que se encomienda a todos los poderes públicos en el art. 47 CE. La inexistencia de una regulación estatal sobre condiciones básicas para la igualdad en el ejercicio de este derecho constitucional explica su falta de consideración aplicativa en nuestra doctrina, habiendo sido suficiente el canon del art. 149.1.1 CE en relación con otros derechos, o el del art. 149.1.13 CE. A este se recondujeron en su momento, de forma categórica, las SSTC 152/1988, de 20 de julio, FJ 2, y 59/1995, de 17 de marzo, FJ 3, pero no puede obviarse que fueron dictadas en el marco de sendos conflictos de competencia respecto a la financiación del Estado, que es la vía por la que el Estado había incidido en la materia hasta el momento.</w:t>
      </w:r>
    </w:p>
    <w:p w14:paraId="450ECFE9" w14:textId="77777777" w:rsidR="009D7677" w:rsidRDefault="009D7677" w:rsidP="009D7677">
      <w:pPr>
        <w:pStyle w:val="TextoNormal"/>
      </w:pPr>
    </w:p>
    <w:p w14:paraId="6D0D45B2" w14:textId="77777777" w:rsidR="009D7677" w:rsidRDefault="009D7677" w:rsidP="009D7677">
      <w:pPr>
        <w:pStyle w:val="TextoNormal"/>
      </w:pPr>
      <w:r>
        <w:t xml:space="preserve">(iii) Respecto al alcance de las “condiciones básicas”, ya hemos señalado que “no es sinónimo de ‘legislación básica’, ‘bases’ o ‘normas básicas’. El art. 149.1.1 CE, en efecto, no ha atribuido al Estado la fijación de las bases sobre los derechos y libertades constitucionales, sino solo el establecimiento —eso sí, entero— de aquellas condiciones básicas que tiendan a garantizar la igualdad. Y si bien es cierto que su regulación no puede suponer una normación completa y acabada del derecho y deber de que se trate y, en consecuencia, es claro que las comunidades autónomas, en la medida en que tengan competencias sobre la materia, podrán siempre aprobar normas atinentes al régimen jurídico de ese derecho —como en el caso de la propiedad del suelo—, no lo es menos, sin embargo, que la competencia </w:t>
      </w:r>
      <w:r w:rsidRPr="009D7677">
        <w:rPr>
          <w:i/>
        </w:rPr>
        <w:t>ex</w:t>
      </w:r>
      <w:r>
        <w:t xml:space="preserve"> art. 149.1.1 CE no se mueve en la lógica de las bases estatales-legislación autonómica de desarrollo. En otras palabras, el Estado tiene la competencia exclusiva para incidir sobre los derechos y deberes constitucionales desde una concreta perspectiva, la de la garantía de la igualdad en las posiciones jurídicas fundamentales, dimensión que no es, en rigor, susceptible de desarrollo como si de unas bases se tratara; será luego el legislador competente, estatal y autonómico, el que respetando tales condiciones básicas establezca su régimen jurídico, de acuerdo con el orden constitucional de competencias” [STC 61/1997, de 20 de marzo, FJ 7 a)].</w:t>
      </w:r>
    </w:p>
    <w:p w14:paraId="3F3A24E6" w14:textId="77777777" w:rsidR="009D7677" w:rsidRDefault="009D7677" w:rsidP="009D7677">
      <w:pPr>
        <w:pStyle w:val="TextoNormal"/>
      </w:pPr>
    </w:p>
    <w:p w14:paraId="3812FA23" w14:textId="77777777" w:rsidR="009D7677" w:rsidRDefault="009D7677" w:rsidP="009D7677">
      <w:pPr>
        <w:pStyle w:val="TextoNormal"/>
      </w:pPr>
      <w:r>
        <w:t>Por tanto, desde la perspectiva del art. 149.1.1 CE y del reparto competencial en la materia, lo que aquí debe examinarse es si la medida en cuestión contribuye teleológicamente a la igualdad, sin invadir competencias ajenas porque proceda a la “normación completa” de un derecho como el relativo a la vivienda, materia que es de competencia exclusiva de la Comunidad Autónoma.</w:t>
      </w:r>
    </w:p>
    <w:p w14:paraId="2BC948C8" w14:textId="77777777" w:rsidR="009D7677" w:rsidRDefault="009D7677" w:rsidP="009D7677">
      <w:pPr>
        <w:pStyle w:val="TextoNormal"/>
      </w:pPr>
    </w:p>
    <w:p w14:paraId="267D19BF" w14:textId="77777777" w:rsidR="009D7677" w:rsidRDefault="009D7677" w:rsidP="009D7677">
      <w:pPr>
        <w:pStyle w:val="TextoNormal"/>
      </w:pPr>
      <w:r>
        <w:t xml:space="preserve">b) La competencia estatal </w:t>
      </w:r>
      <w:r w:rsidRPr="009D7677">
        <w:rPr>
          <w:i/>
        </w:rPr>
        <w:t>ex</w:t>
      </w:r>
      <w:r>
        <w:t xml:space="preserve"> art. 149.1.13 es «“[U]na regla de carácter transversal en el orden económico que responde a la ‘necesaria coherencia de la política económica’ y que ‘exige decisiones unitarias que aseguren un tratamiento uniforme de determinados problemas en orden a la consecución de dichos objetivos y evite que, dada la interdependencia de las actuaciones llevadas a cabo en las distintas partes del territorio, se produzcan resultados disfuncionales y disgregadores’ (STC 186/1988, FJ 2)”. Esta doctrina se reitera, entre otras, en las SSTC 141/2014, de 11 de septiembre, FJ 5; 147/2017, de 14 de diciembre, FJ 2, y 15/2018, de 22 de febrero, FJ 5» [STC 100/2020, de 22 de julio, FJ 3 B) b)].</w:t>
      </w:r>
    </w:p>
    <w:p w14:paraId="587A1EE4" w14:textId="77777777" w:rsidR="009D7677" w:rsidRDefault="009D7677" w:rsidP="009D7677">
      <w:pPr>
        <w:pStyle w:val="TextoNormal"/>
      </w:pPr>
    </w:p>
    <w:p w14:paraId="7E73588A" w14:textId="77777777" w:rsidR="009D7677" w:rsidRDefault="009D7677" w:rsidP="009D7677">
      <w:pPr>
        <w:pStyle w:val="TextoNormal"/>
      </w:pPr>
      <w:r>
        <w:t>Es doctrina consolidada de este tribunal, recordada por ejemplo en la STC 15/2018, de 22 de febrero, FJ 5, y otras que allí se señalan, que “esta competencia estatal alcanza, además, no solo a las bases, sino también a la coordinación, correspondiéndole al Estado ‘una facultad que presupone lógicamente la existencia de competencias autonómicas […] que deben ser respetadas, y con la que se persigue, en esencia, la integración de las diversas partes del sistema en el conjunto del mismo mediante la adopción por el Estado de medios y sistemas de relación, bien tras la correspondiente intervención económica, bien incluso de carácter preventivo, para asegurar la información recíproca, la homogeneidad técnica en ciertos aspectos y la acción conjunta de las autoridades estatales y autonómicas en el ejercicio de sus respectivas competencias’ (por todas, STC 197/1996, de 28 de noviembre, FJ 4)”. Allí también se matiza que “no toda medida, por el mero hecho de tener incidencia económica, puede incardinarse en este título, siendo necesario que tenga ‘una incidencia directa y significativa sobre la actividad económica general, pues de no ser así se vaciaría de contenido una materia y un título competencial más específico’ (STC 21/1999, de 25 de febrero, FJ 5, entre otras muchas)”.</w:t>
      </w:r>
    </w:p>
    <w:p w14:paraId="0C5C1DE4" w14:textId="77777777" w:rsidR="009D7677" w:rsidRDefault="009D7677" w:rsidP="009D7677">
      <w:pPr>
        <w:pStyle w:val="TextoNormal"/>
      </w:pPr>
    </w:p>
    <w:p w14:paraId="58A29C9C" w14:textId="77777777" w:rsidR="009D7677" w:rsidRDefault="009D7677" w:rsidP="009D7677">
      <w:pPr>
        <w:pStyle w:val="TextoNormal"/>
      </w:pPr>
      <w:r>
        <w:t>Desde la STC 152/1988, de 20 de julio, que avaló la competencia estatal para aprobar planes de vivienda al amparo del art. 149.1.13 CE, ha quedado claro que el mismo “es también aplicable al sector de la vivienda […] dada su muy estrecha relación con la política económica general, en razón de la incidencia que el impulso de la construcción tiene como factor del desarrollo económico y, en especial, como elemento generador de empleo” (FJ 2). Ha sido, por ello, un título competencial de invocación constante en el control de la legislación autonómica sobre vivienda, dado que “es un subsector importante de la economía, admitiéndose como constitucionalmente legítimo que, aun cuando la competencia en materia de vivienda corresponda a las comunidades autónomas, el Estado señale, si lo considera necesario, ciertas líneas directrices de la ordenación de este segmento de la economía” (STC 93/2015, de 14 de mayo, FJ 17, con cita de otras muchas).</w:t>
      </w:r>
    </w:p>
    <w:p w14:paraId="60E35F94" w14:textId="77777777" w:rsidR="009D7677" w:rsidRDefault="009D7677" w:rsidP="009D7677">
      <w:pPr>
        <w:pStyle w:val="TextoNormal"/>
      </w:pPr>
    </w:p>
    <w:p w14:paraId="24074658" w14:textId="77777777" w:rsidR="009D7677" w:rsidRDefault="009D7677" w:rsidP="009D7677">
      <w:pPr>
        <w:pStyle w:val="TextoNormal"/>
      </w:pPr>
      <w:r>
        <w:t>Este título permite definir “la extensión de la intervención pública de protección de personas en situación de vulnerabilidad que considera compatible con el adecuado funcionamiento del mercado hipotecario y, a la vez, […] impide que las comunidades autónomas en ejercicio de sus competencias propias adopten disposiciones que, con este mismo propósito de tutela, afecten de un modo más intenso a dicho mercado” (SSTC 93/2015, FJ 17, y STC 16/2018, FJ 12) y que avala que el legislador estatal adopte “como expresión de las bases de la planificación económica que le competen una solución normativa determinada” (STC 93/2015, FJ 18).</w:t>
      </w:r>
    </w:p>
    <w:p w14:paraId="32D6D7D2" w14:textId="77777777" w:rsidR="009D7677" w:rsidRDefault="009D7677" w:rsidP="009D7677">
      <w:pPr>
        <w:pStyle w:val="TextoNormal"/>
      </w:pPr>
    </w:p>
    <w:p w14:paraId="222C3BF0" w14:textId="77777777" w:rsidR="009D7677" w:rsidRDefault="009D7677" w:rsidP="009D7677">
      <w:pPr>
        <w:pStyle w:val="TextoNormal"/>
      </w:pPr>
      <w:r>
        <w:lastRenderedPageBreak/>
        <w:t>c) Dos de las quejas subsistentes para estudio del recurso de inconstitucionalidad se formulan contra preceptos que, según la disposición final séptima de la Ley 12/2023, se dictan amparados en la competencia que el art. 149.1.8 CE atribuye al Estado en materia de legislación civil. En relación con este título competencial, la doctrina constitucional ha sentado que para medir las competencias y delimitar el concepto hay que atender a las instituciones reguladas más que a las técnicas utilizadas para ello. Ni pertenece al Derecho civil todo lo regulado en las normas civiles, ni las instituciones civiles están contenidas exclusivamente en las leyes civiles. Este tribunal ya se ha pronunciado acerca de en qué medida la disciplina normativa del derecho de propiedad privada se incardina en el título competencial “legislación civil” que atribuye al Estado el art. 149.1.8 CE. La STC 37/1987, en su FJ 8, distinguió dentro de él una vertiente individual y otra institucional y precisó que “el derecho a la propiedad privada que la Constitución reconoce y protege tiene una vertiente institucional, precisamente derivada de la función social que cada categoría o tipo de bienes sobre los que se ejerce el señorío dominical está llamado a cumplir […]. Como es lógico, esta delimitación no se opera ya solo en la legislación civil, sino también en aquellas otras leyes que cuidan principalmente de los intereses públicos a los que se vincula la propiedad privada”.</w:t>
      </w:r>
    </w:p>
    <w:p w14:paraId="367BDEE1" w14:textId="77777777" w:rsidR="009D7677" w:rsidRDefault="009D7677" w:rsidP="009D7677">
      <w:pPr>
        <w:pStyle w:val="TextoNormal"/>
      </w:pPr>
    </w:p>
    <w:p w14:paraId="4257B244" w14:textId="77777777" w:rsidR="009D7677" w:rsidRDefault="009D7677" w:rsidP="009D7677">
      <w:pPr>
        <w:pStyle w:val="TextoNormal"/>
      </w:pPr>
      <w:r>
        <w:t xml:space="preserve">En concreto en el ámbito de la vivienda esta doctrina lleva a que “la regulación de la dimensión institucional del derecho de propiedad privada, dado que no puede desligarse de la regulación de los concretos intereses generales que la justifican, incumbe al titular de la competencia sectorial para tutelar tales intereses y no al que lo es en materia de legislación civil </w:t>
      </w:r>
      <w:r w:rsidRPr="009D7677">
        <w:rPr>
          <w:i/>
        </w:rPr>
        <w:t>ex</w:t>
      </w:r>
      <w:r>
        <w:t xml:space="preserve"> artículo 149.1.8 CE” [STC 16/2018, de 22 de febrero, FJ 8 b)].</w:t>
      </w:r>
    </w:p>
    <w:p w14:paraId="7FEDD96D" w14:textId="77777777" w:rsidR="009D7677" w:rsidRDefault="009D7677" w:rsidP="009D7677">
      <w:pPr>
        <w:pStyle w:val="TextoNormal"/>
      </w:pPr>
    </w:p>
    <w:p w14:paraId="01E00425" w14:textId="173CC09F" w:rsidR="009D7677" w:rsidRDefault="009D7677" w:rsidP="009D7677">
      <w:pPr>
        <w:pStyle w:val="TextoNormal"/>
      </w:pPr>
      <w:r>
        <w:t xml:space="preserve">Por otro lado, hay que tener en cuenta que el art. 149.1.8 CE reserva en todo caso al Estado la materia “bases de las obligaciones contractuales” que, conforme a nuestra doctrina, comprende las reglas que incidan directamente en la organización económica, en las relaciones </w:t>
      </w:r>
      <w:r w:rsidRPr="009D7677">
        <w:rPr>
          <w:i/>
        </w:rPr>
        <w:t>inter partes</w:t>
      </w:r>
      <w:r>
        <w:t xml:space="preserve"> y en la economía interna de los contratos, comprobando, por ejemplo, si se respetan directrices básicas tales como el principio de la iniciativa privada y la libertad de contratación, la conmutatividad del comercio jurídico, la buena fe en las relaciones económicas, la seguridad del tráfico jurídico o si el tipo contractual se ajusta al esquema establecido en la norma estatal (SSTC 132/2019, de 13 de noviembre, FJ 6; 157/2021, de 16 de septiembre, FJ 9, o 37/2022, de 10 de marzo, FJ 4).</w:t>
      </w:r>
    </w:p>
    <w:p w14:paraId="3E530440" w14:textId="77777777" w:rsidR="009D7677" w:rsidRDefault="009D7677" w:rsidP="009D7677">
      <w:pPr>
        <w:pStyle w:val="TextoNormal"/>
      </w:pPr>
    </w:p>
    <w:p w14:paraId="1B2A76CE" w14:textId="77777777" w:rsidR="009D7677" w:rsidRDefault="009D7677" w:rsidP="009D7677">
      <w:pPr>
        <w:pStyle w:val="TextoNormal"/>
      </w:pPr>
      <w:r w:rsidRPr="009D7677">
        <w:rPr>
          <w:rStyle w:val="NumeroAFNegritaCaracter"/>
        </w:rPr>
        <w:t>4</w:t>
      </w:r>
      <w:r>
        <w:t xml:space="preserve">. </w:t>
      </w:r>
      <w:r w:rsidRPr="009D7677">
        <w:rPr>
          <w:i/>
        </w:rPr>
        <w:t>Impugnaciones relativas al estatuto básico del ciudadano</w:t>
      </w:r>
    </w:p>
    <w:p w14:paraId="28E8206B" w14:textId="77777777" w:rsidR="009D7677" w:rsidRDefault="009D7677" w:rsidP="009D7677">
      <w:pPr>
        <w:pStyle w:val="TextoNormal"/>
      </w:pPr>
    </w:p>
    <w:p w14:paraId="1889DA88" w14:textId="77777777" w:rsidR="009D7677" w:rsidRDefault="009D7677" w:rsidP="009D7677">
      <w:pPr>
        <w:pStyle w:val="TextoNormal"/>
      </w:pPr>
      <w:r>
        <w:t>A) Objeto y posiciones de las partes</w:t>
      </w:r>
    </w:p>
    <w:p w14:paraId="0E5C2928" w14:textId="77777777" w:rsidR="009D7677" w:rsidRDefault="009D7677" w:rsidP="009D7677">
      <w:pPr>
        <w:pStyle w:val="TextoNormal"/>
      </w:pPr>
    </w:p>
    <w:p w14:paraId="07F6E685" w14:textId="77777777" w:rsidR="009D7677" w:rsidRDefault="009D7677" w:rsidP="009D7677">
      <w:pPr>
        <w:pStyle w:val="TextoNormal"/>
      </w:pPr>
      <w:r>
        <w:t>Un primer bloque de pretensiones es el que la demanda dirige contra los arts. 8 a) y c) y 9 e) de la Ley 12/2023, donde se regulan distintos derechos y deberes del ciudadano en relación con la vivienda. Los referidos preceptos establecen lo siguiente:</w:t>
      </w:r>
    </w:p>
    <w:p w14:paraId="71DD719B" w14:textId="77777777" w:rsidR="009D7677" w:rsidRDefault="009D7677" w:rsidP="009D7677">
      <w:pPr>
        <w:pStyle w:val="TextoNormal"/>
      </w:pPr>
    </w:p>
    <w:p w14:paraId="0B45A1D3" w14:textId="77777777" w:rsidR="009D7677" w:rsidRDefault="009D7677" w:rsidP="009D7677">
      <w:pPr>
        <w:pStyle w:val="TextoNormal"/>
      </w:pPr>
      <w:r>
        <w:t>“Artículo 8. Derechos del ciudadano en relación con la vivienda</w:t>
      </w:r>
    </w:p>
    <w:p w14:paraId="6D3969AB" w14:textId="77777777" w:rsidR="009D7677" w:rsidRDefault="009D7677" w:rsidP="009D7677">
      <w:pPr>
        <w:pStyle w:val="TextoNormal"/>
      </w:pPr>
    </w:p>
    <w:p w14:paraId="2E350197" w14:textId="77777777" w:rsidR="009D7677" w:rsidRDefault="009D7677" w:rsidP="009D7677">
      <w:pPr>
        <w:pStyle w:val="TextoNormal"/>
      </w:pPr>
      <w:r>
        <w:t>Todos los ciudadanos tienen derecho a:</w:t>
      </w:r>
    </w:p>
    <w:p w14:paraId="60935B17" w14:textId="77777777" w:rsidR="009D7677" w:rsidRDefault="009D7677" w:rsidP="009D7677">
      <w:pPr>
        <w:pStyle w:val="TextoNormal"/>
      </w:pPr>
    </w:p>
    <w:p w14:paraId="0DBB71B7" w14:textId="77777777" w:rsidR="009D7677" w:rsidRDefault="009D7677" w:rsidP="009D7677">
      <w:pPr>
        <w:pStyle w:val="TextoNormal"/>
      </w:pPr>
      <w:r>
        <w:lastRenderedPageBreak/>
        <w:t>a) Disfrutar de una vivienda digna y adecuada, en los términos dispuestos por esta ley, ya sea en régimen de propiedad, de arrendamiento, de cesión de uso, o de cualquier otro régimen legal de tenencia.</w:t>
      </w:r>
    </w:p>
    <w:p w14:paraId="65F4D050" w14:textId="77777777" w:rsidR="009D7677" w:rsidRDefault="009D7677" w:rsidP="009D7677">
      <w:pPr>
        <w:pStyle w:val="TextoNormal"/>
      </w:pPr>
    </w:p>
    <w:p w14:paraId="21865223" w14:textId="77777777" w:rsidR="009D7677" w:rsidRDefault="009D7677" w:rsidP="009D7677">
      <w:pPr>
        <w:pStyle w:val="TextoNormal"/>
      </w:pPr>
      <w:r>
        <w:t>[…]</w:t>
      </w:r>
    </w:p>
    <w:p w14:paraId="4AAFB9FB" w14:textId="77777777" w:rsidR="009D7677" w:rsidRDefault="009D7677" w:rsidP="009D7677">
      <w:pPr>
        <w:pStyle w:val="TextoNormal"/>
      </w:pPr>
    </w:p>
    <w:p w14:paraId="43A16355" w14:textId="77777777" w:rsidR="009D7677" w:rsidRDefault="009D7677" w:rsidP="009D7677">
      <w:pPr>
        <w:pStyle w:val="TextoNormal"/>
      </w:pPr>
      <w:r>
        <w:t>c) Solicitar la inscripción en los registros de demandantes de vivienda protegida constituidos al efecto por las administraciones públicas competentes en la materia, y en los diferentes programas, prestaciones, ayudas y recursos públicos para el acceso a la vivienda, en función de su situación social y económica, así como de sus circunstancias personales y familiares”.</w:t>
      </w:r>
    </w:p>
    <w:p w14:paraId="5A7A750D" w14:textId="77777777" w:rsidR="009D7677" w:rsidRDefault="009D7677" w:rsidP="009D7677">
      <w:pPr>
        <w:pStyle w:val="TextoNormal"/>
      </w:pPr>
    </w:p>
    <w:p w14:paraId="626ABB4A" w14:textId="77777777" w:rsidR="009D7677" w:rsidRDefault="009D7677" w:rsidP="009D7677">
      <w:pPr>
        <w:pStyle w:val="TextoNormal"/>
      </w:pPr>
      <w:r>
        <w:t>“Artículo 9. Deberes del ciudadano en relación con la vivienda</w:t>
      </w:r>
    </w:p>
    <w:p w14:paraId="194AB761" w14:textId="77777777" w:rsidR="009D7677" w:rsidRDefault="009D7677" w:rsidP="009D7677">
      <w:pPr>
        <w:pStyle w:val="TextoNormal"/>
      </w:pPr>
    </w:p>
    <w:p w14:paraId="0E6EA580" w14:textId="77777777" w:rsidR="009D7677" w:rsidRDefault="009D7677" w:rsidP="009D7677">
      <w:pPr>
        <w:pStyle w:val="TextoNormal"/>
      </w:pPr>
      <w:r>
        <w:t>Todos los ciudadanos tienen el deber de:</w:t>
      </w:r>
    </w:p>
    <w:p w14:paraId="4EE968FF" w14:textId="77777777" w:rsidR="009D7677" w:rsidRDefault="009D7677" w:rsidP="009D7677">
      <w:pPr>
        <w:pStyle w:val="TextoNormal"/>
      </w:pPr>
    </w:p>
    <w:p w14:paraId="6E3F2733" w14:textId="77777777" w:rsidR="009D7677" w:rsidRDefault="009D7677" w:rsidP="009D7677">
      <w:pPr>
        <w:pStyle w:val="TextoNormal"/>
      </w:pPr>
      <w:r>
        <w:t>[…]</w:t>
      </w:r>
    </w:p>
    <w:p w14:paraId="4822248C" w14:textId="77777777" w:rsidR="009D7677" w:rsidRDefault="009D7677" w:rsidP="009D7677">
      <w:pPr>
        <w:pStyle w:val="TextoNormal"/>
      </w:pPr>
    </w:p>
    <w:p w14:paraId="501531C5" w14:textId="77777777" w:rsidR="009D7677" w:rsidRDefault="009D7677" w:rsidP="009D7677">
      <w:pPr>
        <w:pStyle w:val="TextoNormal"/>
      </w:pPr>
      <w:r>
        <w:t>e) En relación con el parque público de vivienda, atender a su especial importancia como instrumento de acción en favor del derecho a la vivienda y velar por su adecuado mantenimiento y conservación, para que pueda servir a los hogares con mayores dificultades”.</w:t>
      </w:r>
    </w:p>
    <w:p w14:paraId="583D6585" w14:textId="77777777" w:rsidR="009D7677" w:rsidRDefault="009D7677" w:rsidP="009D7677">
      <w:pPr>
        <w:pStyle w:val="TextoNormal"/>
      </w:pPr>
    </w:p>
    <w:p w14:paraId="5AD442C8" w14:textId="77777777" w:rsidR="009D7677" w:rsidRDefault="009D7677" w:rsidP="009D7677">
      <w:pPr>
        <w:pStyle w:val="TextoNormal"/>
      </w:pPr>
      <w:r>
        <w:t>El recurrente sostiene que los incisos indicados son inconstitucionales por vulnerar la competencia autonómica que corresponde a Andalucía en virtud de lo establecido en el art. 56.1 EAAnd. En realidad, ninguna de las quejas identifica qué dimensión de las competencias autonómicas que allí se prevén se vería indebidamente limitada por los preceptos impugnados, que cuestiona, con escuetas afirmaciones, por suponer a su juicio un abuso en el ejercicio de los títulos competenciales de los apartados 1 y 13 del art. 149.1 CE.</w:t>
      </w:r>
    </w:p>
    <w:p w14:paraId="1A8C1B2C" w14:textId="77777777" w:rsidR="009D7677" w:rsidRDefault="009D7677" w:rsidP="009D7677">
      <w:pPr>
        <w:pStyle w:val="TextoNormal"/>
      </w:pPr>
    </w:p>
    <w:p w14:paraId="2C7DD078" w14:textId="77777777" w:rsidR="009D7677" w:rsidRDefault="009D7677" w:rsidP="009D7677">
      <w:pPr>
        <w:pStyle w:val="TextoNormal"/>
      </w:pPr>
      <w:r>
        <w:t>El abogado del Estado rechaza todos los motivos de impugnación aduciendo que (i) el art. 8 a), al circunscribirse a los términos de la Ley, se ajusta al ámbito de la competencia estatal, que es la del art. 149.1.1 CE, como condición básica que garantiza la igualdad en el ejercicio del derecho de los ciudadanos a una vivienda digna y adecuada, siguiendo una fórmula que no es novedosa, pues el art. 5 TRLSRU ya configura un contenido del derecho a una vivienda digna, adecuada y accesible; (ii) el art. 8 c) responde a los títulos competenciales del art. 149.1.1, pero también del art. 149.1.13 CE, como reconoció la STC 112/2014, FJ 4, y (iii) el art. 9 e) oper</w:t>
      </w:r>
      <w:r w:rsidRPr="009D7677">
        <w:rPr>
          <w:i/>
        </w:rPr>
        <w:t xml:space="preserve">a </w:t>
      </w:r>
      <w:r>
        <w:t>ex art. 149.1.1 CE.</w:t>
      </w:r>
    </w:p>
    <w:p w14:paraId="065072A7" w14:textId="77777777" w:rsidR="009D7677" w:rsidRDefault="009D7677" w:rsidP="009D7677">
      <w:pPr>
        <w:pStyle w:val="TextoNormal"/>
      </w:pPr>
    </w:p>
    <w:p w14:paraId="7832370F" w14:textId="77777777" w:rsidR="009D7677" w:rsidRDefault="009D7677" w:rsidP="009D7677">
      <w:pPr>
        <w:pStyle w:val="TextoNormal"/>
      </w:pPr>
      <w:r>
        <w:t>B) Enjuiciamiento</w:t>
      </w:r>
    </w:p>
    <w:p w14:paraId="2DAA6F12" w14:textId="77777777" w:rsidR="009D7677" w:rsidRDefault="009D7677" w:rsidP="009D7677">
      <w:pPr>
        <w:pStyle w:val="TextoNormal"/>
      </w:pPr>
    </w:p>
    <w:p w14:paraId="0F7087D0" w14:textId="77777777" w:rsidR="009D7677" w:rsidRDefault="009D7677" w:rsidP="009D7677">
      <w:pPr>
        <w:pStyle w:val="TextoNormal"/>
      </w:pPr>
      <w:r>
        <w:t>a) El art. 8 a) atribuye, en primer lugar, a todos los ciudadanos el derecho a disfrutar de una vivienda digna y adecuada “en los términos dispuestos por esta ley”. Este es el inciso controvertido y de la dicción del precepto se aprecia que el acotamiento no se refiere a los atributos de dignidad o adecuación de la vivienda, que cuentan con una definición en la misma Ley 12/2023 en el art. 3 c), que no ha sido objeto de recurso y que vendría a completar lo dispuesto en el vigente art. 5 a) TRLSRU. Lo que la Ley reconoce en sus propios términos es el alcance de la dimensión del derecho de la que se ocupa y nada puede objetarse al respecto, pues ello supone una lógica adecuación del contenido de la Ley a su fina</w:t>
      </w:r>
      <w:r>
        <w:lastRenderedPageBreak/>
        <w:t>lidad, que es establecer la regulación de las condiciones básicas que garanticen la igualdad de todos los españoles en el ejercicio de este derecho. Esto no supone, en contra de lo que sostiene el recurrente, que la regulación estatal esté agotando el contenido del derecho a la vivienda, pues se limita a regular las condiciones básicas de su ejercicio y a establecer el mínimo común que se deberá respetar a futuro. En ningún momento se excluye, impide o limita la regulación que, respetando esas condiciones básicas, puedan establecer —o hayan establecido ya— las comunidades autónomas para cumplir con el mandato que también a ellas dirige el art. 47 CE. Debe por tanto desestimarse esta queja, por no suponer una normación completa y acabada [STC 65/2020, de 18 de junio, FJ 7 E) (iv)].</w:t>
      </w:r>
    </w:p>
    <w:p w14:paraId="689ED8FE" w14:textId="77777777" w:rsidR="009D7677" w:rsidRDefault="009D7677" w:rsidP="009D7677">
      <w:pPr>
        <w:pStyle w:val="TextoNormal"/>
      </w:pPr>
    </w:p>
    <w:p w14:paraId="3568AD8D" w14:textId="77777777" w:rsidR="009D7677" w:rsidRDefault="009D7677" w:rsidP="009D7677">
      <w:pPr>
        <w:pStyle w:val="TextoNormal"/>
      </w:pPr>
      <w:r>
        <w:t xml:space="preserve">b) El art. 8 c) de la Ley 12/2023, por su parte, enuncia el derecho de todos los ciudadanos a solicitar la inscripción, cuando corresponda en función de sus circunstancias, en los registros que las administraciones competentes constituyan para los demandantes de vivienda protegida y en los diferentes programas, prestaciones, ayudas y recursos para el acceso a la misma. Más allá de esta previsión, genérica y sujeta a desarrollo por parte de las comunidades autónomas, el precepto no acomete ninguna regulación de tales registros, programas o ayudas, por lo que tampoco se alcanza a ver invasión competencial posible. La constitucionalidad de la inscripción obligatoria de los demandantes de vivienda y financiación en un registro público fue avalada por este tribunal al enjuiciar el Real Decreto 2066/2008, de 12 de diciembre, por el que se regula el plan estatal de vivienda y rehabilitación 2009-2012, en la STC 112/2013, de 9 de mayo. Pese a lo que pueda parecer, el derecho que ahora reconoce la Ley 12/2023 no es el envés de aquella obligación, que estaba ligada al “eficaz cumplimiento de los objetivos estatales perseguidos con la concesión de ayudas económicas para la promoción de viviendas y su adquisición ya que a través de dicho registro se trata de asegurar el destino de las cantidades aportadas” y que resultaba válida porque suponía establecer “un requisito que deben cumplir los solicitantes, y es doctrina reiterada por este tribunal que los requisitos para acceder a las ayudas constituyen uno de los aspectos centrales de toda regulación subvencional que se orientan a garantizar igual trato a todos los interesados en el territorio nacional” (FJ 4). Aquí, de lo que se trata es de establecer una condición básica </w:t>
      </w:r>
      <w:r w:rsidRPr="009D7677">
        <w:rPr>
          <w:i/>
        </w:rPr>
        <w:t>ex</w:t>
      </w:r>
      <w:r>
        <w:t xml:space="preserve"> art. 149.1.1 CE para garantizar la igualdad en el ejercicio del derecho a una vivienda digna. Así incardinado el precepto, y dado que no hay imposición alguna sobre el funcionamiento o el régimen jurídico de esos registros, no existe invasión de la competencia autonómica en materia de vivienda.</w:t>
      </w:r>
    </w:p>
    <w:p w14:paraId="47FA64DE" w14:textId="77777777" w:rsidR="009D7677" w:rsidRDefault="009D7677" w:rsidP="009D7677">
      <w:pPr>
        <w:pStyle w:val="TextoNormal"/>
      </w:pPr>
    </w:p>
    <w:p w14:paraId="707C2880" w14:textId="77777777" w:rsidR="009D7677" w:rsidRDefault="009D7677" w:rsidP="009D7677">
      <w:pPr>
        <w:pStyle w:val="TextoNormal"/>
      </w:pPr>
      <w:r>
        <w:t xml:space="preserve">c) Finalmente, procede destacar que el reproche que el recurso contiene al art. 9 e) de la Ley 12/2023 adolece de cierta contradicción lógica pues se afirma que regula un “aspecto sustantivo del régimen jurídico de los parques públicos de vivienda” pero que al mismo tiempo contiene una “supuesta obligación” de “naturaleza evanescente e imperfecta”, que se refleja en los verbos que utiliza (“velar”, “atender”). Ciertamente, los parques públicos de vivienda son un elemento típico de las políticas en la materia. En la Ley 12/2023 se identifican, según el primer inciso del art. 27.1, que no ha sido recurrido, con la “finalidad [de] contribuir al buen funcionamiento del mercado de la vivienda y servir de instrumento a las distintas administraciones públicas competentes en materia de vivienda para hacer efectivo el derecho a una vivienda digna y adecuada de los sectores de la población que tienen más dificultades de acceso en el mercado”. La obligación ahora examinada está en lógica consonancia con ese enfoque, desde la perspectiva del art. 149.1.1 CE, imponiendo a todos los ciudadanos —y no solo a los propietarios— la obligación de respetar tal finalidad. No puede, en consonancia, aceptarse tampoco la queja respecto de este precepto, que </w:t>
      </w:r>
      <w:r>
        <w:lastRenderedPageBreak/>
        <w:t>en nada impide que las comunidades autónomas aprueben normas atinentes al régimen jurídico del derecho a la vivienda, respetando las condiciones básicas establecidas en la Ley 12/2023 [STC 61/1997, de 20 de marzo, FJ 7 a)].</w:t>
      </w:r>
    </w:p>
    <w:p w14:paraId="0F932A6F" w14:textId="77777777" w:rsidR="009D7677" w:rsidRDefault="009D7677" w:rsidP="009D7677">
      <w:pPr>
        <w:pStyle w:val="TextoNormal"/>
      </w:pPr>
    </w:p>
    <w:p w14:paraId="7D8C8499" w14:textId="1BCFA12B" w:rsidR="009D7677" w:rsidRDefault="009D7677" w:rsidP="009D7677">
      <w:pPr>
        <w:pStyle w:val="TextoNormal"/>
      </w:pPr>
      <w:r>
        <w:t>En conclusión, los arts. 8 a) y c) y 9 e) de la Ley 12/2023 no invaden las competencias autonómicas en materia de vivienda.</w:t>
      </w:r>
    </w:p>
    <w:p w14:paraId="0A39CA2B" w14:textId="77777777" w:rsidR="009D7677" w:rsidRDefault="009D7677" w:rsidP="009D7677">
      <w:pPr>
        <w:pStyle w:val="TextoNormal"/>
      </w:pPr>
    </w:p>
    <w:p w14:paraId="61123E92" w14:textId="77777777" w:rsidR="009D7677" w:rsidRDefault="009D7677" w:rsidP="009D7677">
      <w:pPr>
        <w:pStyle w:val="TextoNormal"/>
      </w:pPr>
      <w:r w:rsidRPr="009D7677">
        <w:rPr>
          <w:rStyle w:val="NumeroAFNegritaCaracter"/>
        </w:rPr>
        <w:t>5</w:t>
      </w:r>
      <w:r>
        <w:t xml:space="preserve">. </w:t>
      </w:r>
      <w:r w:rsidRPr="009D7677">
        <w:rPr>
          <w:i/>
        </w:rPr>
        <w:t>Impugnaciones vinculadas con las zonas de mercado residencial tensionado</w:t>
      </w:r>
    </w:p>
    <w:p w14:paraId="124F6915" w14:textId="77777777" w:rsidR="009D7677" w:rsidRDefault="009D7677" w:rsidP="009D7677">
      <w:pPr>
        <w:pStyle w:val="TextoNormal"/>
      </w:pPr>
    </w:p>
    <w:p w14:paraId="22AA9AB0" w14:textId="77777777" w:rsidR="009D7677" w:rsidRDefault="009D7677" w:rsidP="009D7677">
      <w:pPr>
        <w:pStyle w:val="TextoNormal"/>
      </w:pPr>
      <w:r>
        <w:t>A) Objeto y posiciones de las partes</w:t>
      </w:r>
    </w:p>
    <w:p w14:paraId="5AB397EA" w14:textId="77777777" w:rsidR="009D7677" w:rsidRDefault="009D7677" w:rsidP="009D7677">
      <w:pPr>
        <w:pStyle w:val="TextoNormal"/>
      </w:pPr>
    </w:p>
    <w:p w14:paraId="3339D363" w14:textId="77777777" w:rsidR="009D7677" w:rsidRDefault="009D7677" w:rsidP="009D7677">
      <w:pPr>
        <w:pStyle w:val="TextoNormal"/>
      </w:pPr>
      <w:r>
        <w:t>El siguiente bloque puede configurarse con las vulneraciones constitucionales que se imputan a los arts. 15.1 e) y 18, apartados 2, 3 y 4 y a la disposición adicional tercera. Los referidos preceptos establecen lo siguiente:</w:t>
      </w:r>
    </w:p>
    <w:p w14:paraId="645F65A8" w14:textId="77777777" w:rsidR="009D7677" w:rsidRDefault="009D7677" w:rsidP="009D7677">
      <w:pPr>
        <w:pStyle w:val="TextoNormal"/>
      </w:pPr>
    </w:p>
    <w:p w14:paraId="3598C954" w14:textId="77777777" w:rsidR="009D7677" w:rsidRDefault="009D7677" w:rsidP="009D7677">
      <w:pPr>
        <w:pStyle w:val="TextoNormal"/>
      </w:pPr>
      <w:r>
        <w:t>“Artículo 15. Derecho de acceso a la vivienda y ordenación territorial y urbanística</w:t>
      </w:r>
    </w:p>
    <w:p w14:paraId="12B1D177" w14:textId="77777777" w:rsidR="009D7677" w:rsidRDefault="009D7677" w:rsidP="009D7677">
      <w:pPr>
        <w:pStyle w:val="TextoNormal"/>
      </w:pPr>
    </w:p>
    <w:p w14:paraId="3CB00E2A" w14:textId="77777777" w:rsidR="009D7677" w:rsidRDefault="009D7677" w:rsidP="009D7677">
      <w:pPr>
        <w:pStyle w:val="TextoNormal"/>
      </w:pPr>
      <w:r>
        <w:t>1. Para asegurar la efectividad de las condiciones básicas de igualdad en el ejercicio de los pertinentes derechos establecidos por esta ley, y en el marco de lo dispuesto en el texto refundido de la Ley de suelo y rehabilitación urbana aprobado por Real Decreto Legislativo 7/2015, de 30 de octubre, se establecen los siguientes criterios básicos en el ámbito de la ordenación territorial y urbanística:</w:t>
      </w:r>
    </w:p>
    <w:p w14:paraId="59E62D55" w14:textId="77777777" w:rsidR="009D7677" w:rsidRDefault="009D7677" w:rsidP="009D7677">
      <w:pPr>
        <w:pStyle w:val="TextoNormal"/>
      </w:pPr>
    </w:p>
    <w:p w14:paraId="593405CC" w14:textId="77777777" w:rsidR="009D7677" w:rsidRDefault="009D7677" w:rsidP="009D7677">
      <w:pPr>
        <w:pStyle w:val="TextoNormal"/>
      </w:pPr>
      <w:r>
        <w:t>[…]</w:t>
      </w:r>
    </w:p>
    <w:p w14:paraId="19F475D9" w14:textId="77777777" w:rsidR="009D7677" w:rsidRDefault="009D7677" w:rsidP="009D7677">
      <w:pPr>
        <w:pStyle w:val="TextoNormal"/>
      </w:pPr>
    </w:p>
    <w:p w14:paraId="022D819B" w14:textId="77777777" w:rsidR="009D7677" w:rsidRDefault="009D7677" w:rsidP="009D7677">
      <w:pPr>
        <w:pStyle w:val="TextoNormal"/>
      </w:pPr>
      <w:r>
        <w:t>e) Con la finalidad de garantizar el derecho de acceso a la vivienda en los municipios en los que se hayan declarado uno o más ámbitos como zonas de mercado residencial tensionado, de acuerdo con el procedimiento establecido en el artículo 18.2 de esta ley, el suelo obtenido en cumplimiento del deber regulado por la letra b) del apartado 1 del artículo 18 del texto refundido de la Ley de suelo y rehabilitación urbana, aprobado por Real Decreto Legislativo 7/2015, de 30 de octubre, deberá destinarse necesariamente a la construcción y gestión de viviendas sociales o dotacionales, y no podrá sustituirse por ningún otro uso público o de interés social ni por otras formas de cumplimiento del deber, salvo que se acredite la necesidad de destinarlo a otros usos de interés social”.</w:t>
      </w:r>
    </w:p>
    <w:p w14:paraId="5715CCF2" w14:textId="77777777" w:rsidR="009D7677" w:rsidRDefault="009D7677" w:rsidP="009D7677">
      <w:pPr>
        <w:pStyle w:val="TextoNormal"/>
      </w:pPr>
    </w:p>
    <w:p w14:paraId="744D18A9" w14:textId="77777777" w:rsidR="009D7677" w:rsidRDefault="009D7677" w:rsidP="009D7677">
      <w:pPr>
        <w:pStyle w:val="TextoNormal"/>
      </w:pPr>
      <w:r>
        <w:t>“Artículo 18. Declaración de zonas de mercado residencial tensionado</w:t>
      </w:r>
    </w:p>
    <w:p w14:paraId="478B6D67" w14:textId="77777777" w:rsidR="009D7677" w:rsidRDefault="009D7677" w:rsidP="009D7677">
      <w:pPr>
        <w:pStyle w:val="TextoNormal"/>
      </w:pPr>
    </w:p>
    <w:p w14:paraId="17B45DAD" w14:textId="77777777" w:rsidR="009D7677" w:rsidRDefault="009D7677" w:rsidP="009D7677">
      <w:pPr>
        <w:pStyle w:val="TextoNormal"/>
      </w:pPr>
      <w:r>
        <w:t>[…]</w:t>
      </w:r>
    </w:p>
    <w:p w14:paraId="5C7AC313" w14:textId="77777777" w:rsidR="009D7677" w:rsidRDefault="009D7677" w:rsidP="009D7677">
      <w:pPr>
        <w:pStyle w:val="TextoNormal"/>
      </w:pPr>
    </w:p>
    <w:p w14:paraId="1C038034" w14:textId="77777777" w:rsidR="009D7677" w:rsidRDefault="009D7677" w:rsidP="009D7677">
      <w:pPr>
        <w:pStyle w:val="TextoNormal"/>
      </w:pPr>
      <w:r>
        <w:t>2. Sin perjuicio de lo anterior, y a los efectos de la aplicación de las medidas específicas contempladas en esta ley, la declaración de zonas de mercado residencial tensionado deberá realizarse por la administración competente en materia de vivienda de conformidad con las siguientes reglas:</w:t>
      </w:r>
    </w:p>
    <w:p w14:paraId="130410DB" w14:textId="77777777" w:rsidR="009D7677" w:rsidRDefault="009D7677" w:rsidP="009D7677">
      <w:pPr>
        <w:pStyle w:val="TextoNormal"/>
      </w:pPr>
    </w:p>
    <w:p w14:paraId="243A2042" w14:textId="77777777" w:rsidR="009D7677" w:rsidRDefault="009D7677" w:rsidP="009D7677">
      <w:pPr>
        <w:pStyle w:val="TextoNormal"/>
      </w:pPr>
      <w:r>
        <w:t>a) La declaración deberá ir precedida de un procedimiento preparatorio dirigido a la obtención de información relacionada con la situación del mercado residencial en la zona, incluyendo los indicadores de los precios en alquiler y venta de diferentes tipos de viviendas y su evolución en el tiempo; los indicadores de nivel de renta disponible de los hoga</w:t>
      </w:r>
      <w:r>
        <w:lastRenderedPageBreak/>
        <w:t>res residentes y su evolución en el tiempo que, junto con los precios de vivienda, permitan medir la evolución del esfuerzo económico que tienen que realizar los hogares para disponer de una vivienda digna y adecuada. A tal efecto, se podrá tener en cuenta en lo relativo a la distribución de los precios de venta, los ámbitos territoriales homogéneos de los mapas de valores de uso residencial que elabore la Dirección General del Catastro del Ministerio de Hacienda y Función Pública, en el marco de sus informes anuales del mercado inmobiliario, de conformidad con la disposición final tercera del texto refundido de la Ley del Catastro Inmobiliario, aprobado por Real Decreto Legislativo 1/2004, de 5 de marzo.</w:t>
      </w:r>
    </w:p>
    <w:p w14:paraId="09BDBAC5" w14:textId="77777777" w:rsidR="009D7677" w:rsidRDefault="009D7677" w:rsidP="009D7677">
      <w:pPr>
        <w:pStyle w:val="TextoNormal"/>
      </w:pPr>
    </w:p>
    <w:p w14:paraId="26EEFDE5" w14:textId="77777777" w:rsidR="009D7677" w:rsidRDefault="009D7677" w:rsidP="009D7677">
      <w:pPr>
        <w:pStyle w:val="TextoNormal"/>
      </w:pPr>
      <w:r>
        <w:t>b) La declaración de un ámbito territorial como zona de mercado residencial tensionado implicará la realización de un trámite de información en el que deberá ponerse a disposición pública la información sobre la que se basa tal declaración, incluyendo los estudios de distribución espacial de la población y hogares, su estructura y dinámica, así como la zonificación por oferta, precios y tipos de viviendas, o cualquier otro estudio que permita evidenciar o prevenir desequilibrios y procesos de segregación socio espacial en detrimento de la cohesión social y territorial.</w:t>
      </w:r>
    </w:p>
    <w:p w14:paraId="3F933901" w14:textId="77777777" w:rsidR="009D7677" w:rsidRDefault="009D7677" w:rsidP="009D7677">
      <w:pPr>
        <w:pStyle w:val="TextoNormal"/>
      </w:pPr>
    </w:p>
    <w:p w14:paraId="743C2F4A" w14:textId="77777777" w:rsidR="009D7677" w:rsidRDefault="009D7677" w:rsidP="009D7677">
      <w:pPr>
        <w:pStyle w:val="TextoNormal"/>
      </w:pPr>
      <w:r>
        <w:t>c) La resolución del procedimiento de delimitación por parte de la administración competente en materia de vivienda deberá motivarse en deficiencias o insuficiencias del mercado de vivienda en la zona, en cualquiera de sus modalidades, para atender adecuadamente la demanda de vivienda habitual y, en todo caso, a precio razonable según la situación socioeconómica de la población residente y las dinámicas demográficas, así como las particularidades y características de cada ámbito territorial. La referida resolución deberá ser comunicada a la Secretaría General de Agenda Urbana y Vivienda del Ministerio de Transportes, Movilidad y Agenda Urbana.</w:t>
      </w:r>
    </w:p>
    <w:p w14:paraId="491480FA" w14:textId="77777777" w:rsidR="009D7677" w:rsidRDefault="009D7677" w:rsidP="009D7677">
      <w:pPr>
        <w:pStyle w:val="TextoNormal"/>
      </w:pPr>
    </w:p>
    <w:p w14:paraId="42DFC8E4" w14:textId="77777777" w:rsidR="009D7677" w:rsidRDefault="009D7677" w:rsidP="009D7677">
      <w:pPr>
        <w:pStyle w:val="TextoNormal"/>
      </w:pPr>
      <w:r>
        <w:t>d) La vigencia de la declaración de un ámbito territorial como zona de mercado residencial tensionado será de tres años, pudiendo prorrogarse anualmente siguiendo el mismo procedimiento, cuando subsistan las circunstancias que motivaron tal declaración y previa justificación de las medidas y acciones públicas adoptadas para revertir o mejorar la situación desde la anterior declaración. Para la aplicación de las medidas contenidas en esta ley, con carácter trimestral el Ministerio de Transportes, Movilidad y Agenda Urbana aprobará una resolución que recoja la relación de zonas de mercado residencial tensionado que hayan sido declaradas en virtud del procedimiento establecido en este artículo.</w:t>
      </w:r>
    </w:p>
    <w:p w14:paraId="67BE7BD1" w14:textId="77777777" w:rsidR="009D7677" w:rsidRDefault="009D7677" w:rsidP="009D7677">
      <w:pPr>
        <w:pStyle w:val="TextoNormal"/>
      </w:pPr>
    </w:p>
    <w:p w14:paraId="386BB74F" w14:textId="77777777" w:rsidR="009D7677" w:rsidRDefault="009D7677" w:rsidP="009D7677">
      <w:pPr>
        <w:pStyle w:val="TextoNormal"/>
      </w:pPr>
      <w:r>
        <w:t>3. La declaración de una zona de mercado residencial tensionado establecida en el apartado anterior requerirá la elaboración de una memoria que justifique, a través de datos objetivos y fundamentada en la existencia de un especial riesgo de abastecimiento insuficiente de vivienda para la población residente, incluyendo las dinámicas de formación de nuevos hogares, en condiciones que la hagan asequible, por producirse una de las circunstancias siguientes:</w:t>
      </w:r>
    </w:p>
    <w:p w14:paraId="78BEE09D" w14:textId="77777777" w:rsidR="009D7677" w:rsidRDefault="009D7677" w:rsidP="009D7677">
      <w:pPr>
        <w:pStyle w:val="TextoNormal"/>
      </w:pPr>
    </w:p>
    <w:p w14:paraId="50177911" w14:textId="77777777" w:rsidR="009D7677" w:rsidRDefault="009D7677" w:rsidP="009D7677">
      <w:pPr>
        <w:pStyle w:val="TextoNormal"/>
      </w:pPr>
      <w:r>
        <w:t>a) Que la carga media del coste de la hipoteca o del alquiler en el presupuesto personal o de la unidad de convivencia, más los gastos y suministros básicos, supere el treinta por ciento de los ingresos medios o de la renta media de los hogares.</w:t>
      </w:r>
    </w:p>
    <w:p w14:paraId="36D736C3" w14:textId="77777777" w:rsidR="009D7677" w:rsidRDefault="009D7677" w:rsidP="009D7677">
      <w:pPr>
        <w:pStyle w:val="TextoNormal"/>
      </w:pPr>
    </w:p>
    <w:p w14:paraId="595F18B5" w14:textId="77777777" w:rsidR="009D7677" w:rsidRDefault="009D7677" w:rsidP="009D7677">
      <w:pPr>
        <w:pStyle w:val="TextoNormal"/>
      </w:pPr>
      <w:r>
        <w:t>b) Que el precio de compra o alquiler de la vivienda haya experimentado en los cinco años anteriores a la declaración como área de mercado de vivienda tensionado, un porcen</w:t>
      </w:r>
      <w:r>
        <w:lastRenderedPageBreak/>
        <w:t>taje de crecimiento acumulado al menos tres puntos porcentuales superior al porcentaje de crecimiento acumulado del índice de precios de consumo de la comunidad autónoma correspondiente.</w:t>
      </w:r>
    </w:p>
    <w:p w14:paraId="303A634E" w14:textId="77777777" w:rsidR="009D7677" w:rsidRDefault="009D7677" w:rsidP="009D7677">
      <w:pPr>
        <w:pStyle w:val="TextoNormal"/>
      </w:pPr>
    </w:p>
    <w:p w14:paraId="37C038EE" w14:textId="77777777" w:rsidR="009D7677" w:rsidRDefault="009D7677" w:rsidP="009D7677">
      <w:pPr>
        <w:pStyle w:val="TextoNormal"/>
      </w:pPr>
      <w:r>
        <w:t>4. La declaración, de acuerdo con este procedimiento, de un ámbito territorial como zona de mercado residencial tensionado conllevará la redacción, por parte de la administración competente, de un plan específico que propondrá las medidas necesarias para la corrección de los desequilibrios evidenciados en su declaración, así como su calendario de desarrollo”.</w:t>
      </w:r>
    </w:p>
    <w:p w14:paraId="22CB933B" w14:textId="77777777" w:rsidR="009D7677" w:rsidRDefault="009D7677" w:rsidP="009D7677">
      <w:pPr>
        <w:pStyle w:val="TextoNormal"/>
      </w:pPr>
    </w:p>
    <w:p w14:paraId="6FF31CC5" w14:textId="77777777" w:rsidR="009D7677" w:rsidRDefault="009D7677" w:rsidP="009D7677">
      <w:pPr>
        <w:pStyle w:val="TextoNormal"/>
      </w:pPr>
      <w:r>
        <w:t>“Disposición adicional tercera. Revisión de los criterios para la identificación de zonas de mercado residencial tensionado</w:t>
      </w:r>
    </w:p>
    <w:p w14:paraId="0C6F40C5" w14:textId="77777777" w:rsidR="009D7677" w:rsidRDefault="009D7677" w:rsidP="009D7677">
      <w:pPr>
        <w:pStyle w:val="TextoNormal"/>
      </w:pPr>
    </w:p>
    <w:p w14:paraId="7F198C55" w14:textId="77777777" w:rsidR="009D7677" w:rsidRDefault="009D7677" w:rsidP="009D7677">
      <w:pPr>
        <w:pStyle w:val="TextoNormal"/>
      </w:pPr>
      <w:r>
        <w:t>Las circunstancias establecidas en el artículo 18.3 para la identificación de zonas de mercado residencial tensionado serán objeto de revisión a los tres años desde la entrada en vigor de la ley, para adecuarlos a la realidad y evolución del mercado residencial, sobre la base de la cooperación con las administraciones competentes en materia de vivienda”.</w:t>
      </w:r>
    </w:p>
    <w:p w14:paraId="6055C9B7" w14:textId="77777777" w:rsidR="009D7677" w:rsidRDefault="009D7677" w:rsidP="009D7677">
      <w:pPr>
        <w:pStyle w:val="TextoNormal"/>
      </w:pPr>
    </w:p>
    <w:p w14:paraId="09090138" w14:textId="77777777" w:rsidR="009D7677" w:rsidRDefault="009D7677" w:rsidP="009D7677">
      <w:pPr>
        <w:pStyle w:val="TextoNormal"/>
      </w:pPr>
      <w:r>
        <w:t>Las quejas aquí agrupadas se refieren a una de las técnicas fundamentales de la Ley 12/2023: la declaración de zonas de mercado residencial tensionado, que luego se ve reflejada a lo largo del articulado, con medidas concretas, no todas impugnadas en este recurso, que descansan sobre esa declaración y que resultan dictadas al amparo de competencias estatales como las del art. 149.1.8 y 14 CE.</w:t>
      </w:r>
    </w:p>
    <w:p w14:paraId="0E3CC2EA" w14:textId="77777777" w:rsidR="009D7677" w:rsidRDefault="009D7677" w:rsidP="009D7677">
      <w:pPr>
        <w:pStyle w:val="TextoNormal"/>
      </w:pPr>
    </w:p>
    <w:p w14:paraId="4E4177BB" w14:textId="77777777" w:rsidR="009D7677" w:rsidRDefault="009D7677" w:rsidP="009D7677">
      <w:pPr>
        <w:pStyle w:val="TextoNormal"/>
      </w:pPr>
      <w:r>
        <w:t>El Consejo de Gobierno de Andalucía argumenta, por un lado, que la regulación del art. 18 de la Ley es excesivamente detallada, agotando la materia y excediéndose de las bases que perfilan las competencias estatales (art. 149.1.1 y 13 CE). Por otro lado, igual vicio de exceso competencial se imputa al art. 15.1 e), porque establece una regulación imperativa y acabada que no deja margen alguno a las competencias autonómicas para decidir, en este caso, los términos concretos de las cesiones obligatorias y gratuitas que la Ley de suelo y rehabilitación urbana impone a los promotores con destino al patrimonio público de suelo de la Administración urbanística.</w:t>
      </w:r>
    </w:p>
    <w:p w14:paraId="1A9E0140" w14:textId="77777777" w:rsidR="009D7677" w:rsidRDefault="009D7677" w:rsidP="009D7677">
      <w:pPr>
        <w:pStyle w:val="TextoNormal"/>
      </w:pPr>
    </w:p>
    <w:p w14:paraId="7238364D" w14:textId="77777777" w:rsidR="009D7677" w:rsidRDefault="009D7677" w:rsidP="009D7677">
      <w:pPr>
        <w:pStyle w:val="TextoNormal"/>
      </w:pPr>
      <w:r>
        <w:t>El abogado del Estado rechaza todos los motivos de impugnación sosteniendo, en síntesis, que los preceptos impugnados dejan margen de actuación suficiente a las comunidades autónomas y que el legislador estatal no se ha extralimitado del ámbito del art. 149.1.1 y 13 CE.</w:t>
      </w:r>
    </w:p>
    <w:p w14:paraId="0F96D6CE" w14:textId="77777777" w:rsidR="009D7677" w:rsidRDefault="009D7677" w:rsidP="009D7677">
      <w:pPr>
        <w:pStyle w:val="TextoNormal"/>
      </w:pPr>
    </w:p>
    <w:p w14:paraId="35949845" w14:textId="77777777" w:rsidR="009D7677" w:rsidRDefault="009D7677" w:rsidP="009D7677">
      <w:pPr>
        <w:pStyle w:val="TextoNormal"/>
      </w:pPr>
      <w:r>
        <w:t>B) Enjuiciamiento</w:t>
      </w:r>
    </w:p>
    <w:p w14:paraId="0F6BF74E" w14:textId="77777777" w:rsidR="009D7677" w:rsidRDefault="009D7677" w:rsidP="009D7677">
      <w:pPr>
        <w:pStyle w:val="TextoNormal"/>
      </w:pPr>
    </w:p>
    <w:p w14:paraId="49A1FB82" w14:textId="77777777" w:rsidR="009D7677" w:rsidRDefault="009D7677" w:rsidP="009D7677">
      <w:pPr>
        <w:pStyle w:val="TextoNormal"/>
      </w:pPr>
      <w:r>
        <w:t xml:space="preserve">A efectos de delimitar el objeto de impugnación de este fundamento jurídico, es importante comenzar destacando que el recurrente no combate en ningún momento el art. 18.1 de la Ley 12/2023, que es nuclear para entender el sentido y finalidad de las zonas de mercado residencial tensionado. Ese precepto deja en manos de las administraciones competentes en materia de vivienda la declaración de estas zonas (“podrán”) y matiza que, de hacerse, procederá “a los efectos de orientar las actuaciones públicas en materia de vivienda en aquellos ámbitos territoriales en los que exista un especial riesgo de oferta insuficiente de vivienda para la población, en condiciones que la hagan asequible para su acceso </w:t>
      </w:r>
      <w:r>
        <w:lastRenderedPageBreak/>
        <w:t>en el mercado, de acuerdo con las diferentes necesidades territoriales”. El mismo precepto dispone también que esa declaración discurrirá “de acuerdo con los criterios y procedimientos establecidos en su normativa reguladora y en el ámbito de sus respectivas competencias”.</w:t>
      </w:r>
    </w:p>
    <w:p w14:paraId="6F64C0C6" w14:textId="77777777" w:rsidR="009D7677" w:rsidRDefault="009D7677" w:rsidP="009D7677">
      <w:pPr>
        <w:pStyle w:val="TextoNormal"/>
      </w:pPr>
    </w:p>
    <w:p w14:paraId="47B44305" w14:textId="77777777" w:rsidR="009D7677" w:rsidRDefault="009D7677" w:rsidP="009D7677">
      <w:pPr>
        <w:pStyle w:val="TextoNormal"/>
      </w:pPr>
      <w:r>
        <w:t>a) La demanda se dirige, en primer lugar, contra las reglas que, a continuación, el art. 18.2 establece como imperativas de la declaración (“deberá”) y, en segundo lugar, contra los criterios que para su identificación fija después el art. 18.3 (con posibilidad de revisión tras el lapso previsto en la disposición adicional tercera). Pero todo ello se prevé, en el art. 18.2, “[s]in perjuicio de lo anterior [referencia que no puede entenderse sino al art. 18.1], y a los efectos de la aplicación de las medidas específicas contempladas en esta ley”. Esas medidas incluyen especialidades en el régimen de arrendamientos urbanos, que serán consideradas en el análisis de otros motivos de impugnación que hemos aglutinado conforme a la sistemática ya descrita, y los incentivos fiscales aplicables en el impuesto sobre la renta de las personas físicas de la disposición final segunda de la Ley 12/2023, no impugnada, y que solo al Estado puede corresponder competencialment</w:t>
      </w:r>
      <w:r w:rsidRPr="009D7677">
        <w:rPr>
          <w:i/>
        </w:rPr>
        <w:t xml:space="preserve">e </w:t>
      </w:r>
      <w:r>
        <w:t>ex art. 149.1.14 CE.</w:t>
      </w:r>
    </w:p>
    <w:p w14:paraId="520017E2" w14:textId="77777777" w:rsidR="009D7677" w:rsidRDefault="009D7677" w:rsidP="009D7677">
      <w:pPr>
        <w:pStyle w:val="TextoNormal"/>
      </w:pPr>
    </w:p>
    <w:p w14:paraId="2FA8922E" w14:textId="77777777" w:rsidR="009D7677" w:rsidRDefault="009D7677" w:rsidP="009D7677">
      <w:pPr>
        <w:pStyle w:val="TextoNormal"/>
      </w:pPr>
      <w:r>
        <w:t>Tales cautelas son suficientes para rechazar la extralimitación competencial sostenida por el recurrente, pues en nada se ve afectada, sino que, al contrario, queda salvada expresamente la competencia autonómica para prever requisitos procedimentales propios, adicionales, para la declaración de estas zonas, a las que también podrán vincularse medidas particulares diversas a las de la ley estatal con criterios de identificación propios, o para regular, desde luego, declaraciones zonales diferentes.</w:t>
      </w:r>
    </w:p>
    <w:p w14:paraId="2B08AD85" w14:textId="77777777" w:rsidR="009D7677" w:rsidRDefault="009D7677" w:rsidP="009D7677">
      <w:pPr>
        <w:pStyle w:val="TextoNormal"/>
      </w:pPr>
    </w:p>
    <w:p w14:paraId="54291AAC" w14:textId="77777777" w:rsidR="009D7677" w:rsidRDefault="009D7677" w:rsidP="009D7677">
      <w:pPr>
        <w:pStyle w:val="TextoNormal"/>
      </w:pPr>
      <w:r>
        <w:t xml:space="preserve">El legislador estatal construye sobre las zonas de mercado residencial tensionado, entendidas en el sentido del art. 18.1 de la Ley, gran parte de su opción legislativa para la protección del derecho a la vivienda que le compete y resulta, en consecuencia, incardinable dentro de la competencia del art. 149.1.1 CE, y de las otras que en cada caso respalden las medidas concretas que de la declaración de la zona dependen, que diseñe un procedimiento con criterios de identificación sustantivos concretos y pautas procedimentales comunes (también </w:t>
      </w:r>
      <w:r w:rsidRPr="009D7677">
        <w:rPr>
          <w:i/>
        </w:rPr>
        <w:t>ex</w:t>
      </w:r>
      <w:r>
        <w:t xml:space="preserve"> art. 149.1.18 CE, de conformidad con lo dispuesto en la STC 55/2018, de 24 de mayo, por todas), que admiten desarrollo ulterior por parte de las comunidades autónomas y que estas son libres de aplicar o no. Con ello no sufre el carácter vinculante que nuestra doctrina exige en el ejercicio del art. 149.1.1 CE, pues la Ley 12/2023 establece un régimen jurídico indisponible en caso de ser activado. El Estado incide sobre los derechos y deberes constitucionales desde la concreta perspectiva de la garantía de la igualdad en las posiciones jurídicas fundamentales y será luego el legislador autonómico el que, respetando tales condiciones básicas, establezca en cada caso como corresponda los detalles de su régimen jurídico [STC 61/1997, de 20 de marzo, FJ 7 a)].</w:t>
      </w:r>
    </w:p>
    <w:p w14:paraId="05CBF22A" w14:textId="77777777" w:rsidR="009D7677" w:rsidRDefault="009D7677" w:rsidP="009D7677">
      <w:pPr>
        <w:pStyle w:val="TextoNormal"/>
      </w:pPr>
    </w:p>
    <w:p w14:paraId="2D70EC14" w14:textId="77777777" w:rsidR="009D7677" w:rsidRDefault="009D7677" w:rsidP="009D7677">
      <w:pPr>
        <w:pStyle w:val="TextoNormal"/>
      </w:pPr>
      <w:r>
        <w:t xml:space="preserve">b) De la misma manera, es asimismo infundada la extralimitación competencial del art. 18.4 pues, conforme a él, el plan específico de medidas de corrección que ha de seguir a la declaración de la zona tensionada será redactado por la administración competente, quien “propondrá las medidas necesarias para la corrección de los desequilibrios evidenciados en su declaración, así como su calendario de desarrollo”. Nada predetermina el precepto sobre el tipo de plan, las medidas o su contenido, lo que salvaguarda el ejercicio de las competencias autonómicas pues, desde luego, no se agota la materia (STC 65/2020, de 18 de junio, FJ 7). La previsión de medidas de corrección es coherente con la finalidad de la </w:t>
      </w:r>
      <w:r>
        <w:lastRenderedPageBreak/>
        <w:t>declaración de las zonas de mercado residencial tensionado en el art. 18.1 (orientar las actuaciones públicas para hacer la oferta de vivienda en el mercado asequible a la población) y por tanto supone ejercicio legítimo de la competencia del art. 149.1.1 CE.</w:t>
      </w:r>
    </w:p>
    <w:p w14:paraId="667B862E" w14:textId="77777777" w:rsidR="009D7677" w:rsidRDefault="009D7677" w:rsidP="009D7677">
      <w:pPr>
        <w:pStyle w:val="TextoNormal"/>
      </w:pPr>
    </w:p>
    <w:p w14:paraId="72F696B8" w14:textId="77777777" w:rsidR="009D7677" w:rsidRDefault="009D7677" w:rsidP="009D7677">
      <w:pPr>
        <w:pStyle w:val="TextoNormal"/>
      </w:pPr>
      <w:r>
        <w:t>c) Una de las consecuencias que la Ley 12/2023 anuda a la declaración de zonas de mercado residencial tensionado, de acuerdo con el procedimiento y los criterios indicados, es en el art. 15.1 e) que el suelo que en el municipio sea cedido por promotores y constructores de acuerdo con el art. 18.1 b) TRLSRU se destine “necesariamente a la construcción y gestión de viviendas sociales o dotacionales”, con la única excepción de que “se acredite la necesidad de destinarlo a otros usos de interés social”.</w:t>
      </w:r>
    </w:p>
    <w:p w14:paraId="3A145E61" w14:textId="77777777" w:rsidR="009D7677" w:rsidRDefault="009D7677" w:rsidP="009D7677">
      <w:pPr>
        <w:pStyle w:val="TextoNormal"/>
      </w:pPr>
    </w:p>
    <w:p w14:paraId="76771EE3" w14:textId="77777777" w:rsidR="009D7677" w:rsidRDefault="009D7677" w:rsidP="009D7677">
      <w:pPr>
        <w:pStyle w:val="TextoNormal"/>
      </w:pPr>
      <w:r>
        <w:t>Este tribunal ya ha declarado la constitucionalidad de previsiones legales estatales que imponen a otras administraciones establecer ciertas reservas de suelo en pro de vivienda con algún tipo de intervención pública. Así, en relación a la actividad de planificación y a la regulación del art. 10 b) de la Ley 8/2007, de 28 de mayo, de suelo (luego sustituido por el art. 20.1 b) TRLSRU), se consideró que este tipo de medidas encuentran cobertura en el art. 149.1.13 CE, por tener una incidencia clara en la actividad económica como “líneas directrices, criterios globales de ordenación y acciones y medidas singulares necesarias para alcanzar los fines propuestos dentro de la ordenación” de la vivienda como sector económico [STC 141/2014, de 11 de septiembre, FJ 8 A) b)].</w:t>
      </w:r>
    </w:p>
    <w:p w14:paraId="4C65951B" w14:textId="77777777" w:rsidR="009D7677" w:rsidRDefault="009D7677" w:rsidP="009D7677">
      <w:pPr>
        <w:pStyle w:val="TextoNormal"/>
      </w:pPr>
    </w:p>
    <w:p w14:paraId="5D6C1142" w14:textId="77777777" w:rsidR="009D7677" w:rsidRDefault="009D7677" w:rsidP="009D7677">
      <w:pPr>
        <w:pStyle w:val="TextoNormal"/>
      </w:pPr>
      <w:r>
        <w:t>Esta doctrina es aplicable aquí, respecto a la forma concreta en que deben integrarse en el patrimonio público de suelo las cesiones que derivan de la promoción y la edificación subsiguiente a la planificación (art. 18 TRLSRU). Lo que el precepto impugnado impone es, en principio, una vinculación de todo ese suelo a determinadas actuaciones públicas relacionadas con la vivienda asequible. Pero lo hace admitiendo su posible excepción, sin prefijar la acreditación de esta con un detalle excesivo. No puede obviarse, además, que lo anterior se aplica solo cuando en el ámbito del municipio se haya declarado una o varias zonas de mercado residencial tensionado; declaración que, como acaba de verse, es siempre voluntaria para las comunidades autónomas (art. 18.1 de la misma Ley 12/2023).</w:t>
      </w:r>
    </w:p>
    <w:p w14:paraId="2475BF01" w14:textId="77777777" w:rsidR="009D7677" w:rsidRDefault="009D7677" w:rsidP="009D7677">
      <w:pPr>
        <w:pStyle w:val="TextoNormal"/>
      </w:pPr>
    </w:p>
    <w:p w14:paraId="7D190E88" w14:textId="77777777" w:rsidR="009D7677" w:rsidRDefault="009D7677" w:rsidP="009D7677">
      <w:pPr>
        <w:pStyle w:val="TextoNormal"/>
      </w:pPr>
      <w:r>
        <w:t>En esos términos, la misma doctrina de la STC 141/2014 permite descartar el exceso competencial del Estado y concluir que el art. 15.1 e) de la Ley 12/2023 no excede del alcance legítimo de las bases del art. 149.1.13 CE, ni vulnera o vacía de contenido las competencias en materia de vivienda y urbanismo de las comunidades autónomas. Son estas quienes tienen en su mano la declaración de las zonas de mercado residencial tensionado, con la obligación de observar, en caso de optar por ellas, las garantías de su régimen jurídico. Este cuenta con una solución normativa determinada por el Estado, en la que se incluye el precepto aquí analizado, como expresión de la competencia que le correspond</w:t>
      </w:r>
      <w:r w:rsidRPr="009D7677">
        <w:rPr>
          <w:i/>
        </w:rPr>
        <w:t xml:space="preserve">e </w:t>
      </w:r>
      <w:r>
        <w:t>ex art. 149.1.13 CE (STC 93/2015, de 14 de mayo, FJ 18).</w:t>
      </w:r>
    </w:p>
    <w:p w14:paraId="118791A2" w14:textId="77777777" w:rsidR="009D7677" w:rsidRDefault="009D7677" w:rsidP="009D7677">
      <w:pPr>
        <w:pStyle w:val="TextoNormal"/>
      </w:pPr>
    </w:p>
    <w:p w14:paraId="2F8BE130" w14:textId="18EAB0D9" w:rsidR="009D7677" w:rsidRDefault="009D7677" w:rsidP="009D7677">
      <w:pPr>
        <w:pStyle w:val="TextoNormal"/>
      </w:pPr>
      <w:r>
        <w:t>Por lo tanto, deben rechazarse las quejas de exceso competencial dirigidas contra los arts. 15.1 e) y 18, apartados 2, 3 y 4 y contra la disposición adicional tercera.</w:t>
      </w:r>
    </w:p>
    <w:p w14:paraId="543579F1" w14:textId="77777777" w:rsidR="009D7677" w:rsidRDefault="009D7677" w:rsidP="009D7677">
      <w:pPr>
        <w:pStyle w:val="TextoNormal"/>
      </w:pPr>
    </w:p>
    <w:p w14:paraId="30A0F311" w14:textId="77777777" w:rsidR="009D7677" w:rsidRDefault="009D7677" w:rsidP="009D7677">
      <w:pPr>
        <w:pStyle w:val="TextoNormal"/>
      </w:pPr>
      <w:r w:rsidRPr="009D7677">
        <w:rPr>
          <w:rStyle w:val="NumeroAFNegritaCaracter"/>
        </w:rPr>
        <w:t>6</w:t>
      </w:r>
      <w:r>
        <w:t xml:space="preserve">. </w:t>
      </w:r>
      <w:r w:rsidRPr="009D7677">
        <w:rPr>
          <w:i/>
        </w:rPr>
        <w:t>Impugnaciones que atañen al estatuto básico de la propiedad de viviendas y en particular al régimen de los grandes tenedores</w:t>
      </w:r>
    </w:p>
    <w:p w14:paraId="0516E095" w14:textId="77777777" w:rsidR="009D7677" w:rsidRDefault="009D7677" w:rsidP="009D7677">
      <w:pPr>
        <w:pStyle w:val="TextoNormal"/>
      </w:pPr>
    </w:p>
    <w:p w14:paraId="2A0FD012" w14:textId="77777777" w:rsidR="009D7677" w:rsidRDefault="009D7677" w:rsidP="009D7677">
      <w:pPr>
        <w:pStyle w:val="TextoNormal"/>
      </w:pPr>
      <w:r>
        <w:t>A) Objeto y posiciones de las partes</w:t>
      </w:r>
    </w:p>
    <w:p w14:paraId="2086924B" w14:textId="77777777" w:rsidR="009D7677" w:rsidRDefault="009D7677" w:rsidP="009D7677">
      <w:pPr>
        <w:pStyle w:val="TextoNormal"/>
      </w:pPr>
    </w:p>
    <w:p w14:paraId="743A786A" w14:textId="77777777" w:rsidR="009D7677" w:rsidRDefault="009D7677" w:rsidP="009D7677">
      <w:pPr>
        <w:pStyle w:val="TextoNormal"/>
      </w:pPr>
      <w:r>
        <w:t>Se incluyen aquí las quejas formuladas a los arts. 3 k), 11.1 e) y 19 apartado 1, inciso segundo, y apartado 3 de la Ley 12/2023. Su contenido es el que sigue:</w:t>
      </w:r>
    </w:p>
    <w:p w14:paraId="32259047" w14:textId="77777777" w:rsidR="009D7677" w:rsidRDefault="009D7677" w:rsidP="009D7677">
      <w:pPr>
        <w:pStyle w:val="TextoNormal"/>
      </w:pPr>
    </w:p>
    <w:p w14:paraId="77D36200" w14:textId="77777777" w:rsidR="009D7677" w:rsidRDefault="009D7677" w:rsidP="009D7677">
      <w:pPr>
        <w:pStyle w:val="TextoNormal"/>
      </w:pPr>
      <w:r>
        <w:t>“Artículo 3. Definiciones</w:t>
      </w:r>
    </w:p>
    <w:p w14:paraId="1EA11455" w14:textId="77777777" w:rsidR="009D7677" w:rsidRDefault="009D7677" w:rsidP="009D7677">
      <w:pPr>
        <w:pStyle w:val="TextoNormal"/>
      </w:pPr>
    </w:p>
    <w:p w14:paraId="17D76B1F" w14:textId="77777777" w:rsidR="009D7677" w:rsidRDefault="009D7677" w:rsidP="009D7677">
      <w:pPr>
        <w:pStyle w:val="TextoNormal"/>
      </w:pPr>
      <w:r>
        <w:t>A los efectos de lo dispuesto en esta ley, y en tanto no entren en contradicción con las reguladas por las administraciones competentes en materia de vivienda, en cuyo caso, y a los efectos de su regulación, prevalecerán aquellas, se establecen las siguientes definiciones:</w:t>
      </w:r>
    </w:p>
    <w:p w14:paraId="1BB09370" w14:textId="77777777" w:rsidR="009D7677" w:rsidRDefault="009D7677" w:rsidP="009D7677">
      <w:pPr>
        <w:pStyle w:val="TextoNormal"/>
      </w:pPr>
    </w:p>
    <w:p w14:paraId="1CF6CCF3" w14:textId="77777777" w:rsidR="009D7677" w:rsidRDefault="009D7677" w:rsidP="009D7677">
      <w:pPr>
        <w:pStyle w:val="TextoNormal"/>
      </w:pPr>
      <w:r>
        <w:t>[…]</w:t>
      </w:r>
    </w:p>
    <w:p w14:paraId="6DC5665E" w14:textId="77777777" w:rsidR="009D7677" w:rsidRDefault="009D7677" w:rsidP="009D7677">
      <w:pPr>
        <w:pStyle w:val="TextoNormal"/>
      </w:pPr>
    </w:p>
    <w:p w14:paraId="4055A997" w14:textId="77777777" w:rsidR="009D7677" w:rsidRDefault="009D7677" w:rsidP="009D7677">
      <w:pPr>
        <w:pStyle w:val="TextoNormal"/>
      </w:pPr>
      <w:r>
        <w:t>k) Gran tenedor: a los efectos de lo establecido en esta ley, la persona física o jurídica que sea titular de más de diez inmuebles urbanos de uso residencial o una superficie construida de más de 1500 m2 de uso residencial, excluyendo en todo caso garajes y trasteros. Esta definición podrá ser particularizada en la declaración de entornos de mercado residencial tensionado hasta aquellos titulares de cinco o más inmuebles urbanos de uso residencial ubicados en dicho ámbito, cuando así sea motivado por la comunidad autónoma en la correspondiente memoria justificativa”.</w:t>
      </w:r>
    </w:p>
    <w:p w14:paraId="12810919" w14:textId="77777777" w:rsidR="009D7677" w:rsidRDefault="009D7677" w:rsidP="009D7677">
      <w:pPr>
        <w:pStyle w:val="TextoNormal"/>
      </w:pPr>
    </w:p>
    <w:p w14:paraId="35A012E1" w14:textId="77777777" w:rsidR="009D7677" w:rsidRDefault="009D7677" w:rsidP="009D7677">
      <w:pPr>
        <w:pStyle w:val="TextoNormal"/>
      </w:pPr>
      <w:r>
        <w:t>“Artículo 11. Contenido del derecho de propiedad de la vivienda: deberes y cargas</w:t>
      </w:r>
    </w:p>
    <w:p w14:paraId="19C5775D" w14:textId="77777777" w:rsidR="009D7677" w:rsidRDefault="009D7677" w:rsidP="009D7677">
      <w:pPr>
        <w:pStyle w:val="TextoNormal"/>
      </w:pPr>
    </w:p>
    <w:p w14:paraId="0F7A5212" w14:textId="77777777" w:rsidR="009D7677" w:rsidRDefault="009D7677" w:rsidP="009D7677">
      <w:pPr>
        <w:pStyle w:val="TextoNormal"/>
      </w:pPr>
      <w:r>
        <w:t>1. Además de los deberes establecidos en la legislación estatal de suelo en función de la situación básica de los terrenos en los que se sitúe la vivienda, de conformidad con la legislación en materia de ordenación territorial y urbanística de aplicación, el derecho de propiedad de la vivienda queda delimitado por su función social y comprende los siguientes deberes:</w:t>
      </w:r>
    </w:p>
    <w:p w14:paraId="5AA32F0A" w14:textId="77777777" w:rsidR="009D7677" w:rsidRDefault="009D7677" w:rsidP="009D7677">
      <w:pPr>
        <w:pStyle w:val="TextoNormal"/>
      </w:pPr>
    </w:p>
    <w:p w14:paraId="486C0C74" w14:textId="77777777" w:rsidR="009D7677" w:rsidRDefault="009D7677" w:rsidP="009D7677">
      <w:pPr>
        <w:pStyle w:val="TextoNormal"/>
      </w:pPr>
      <w:r>
        <w:t>[…]</w:t>
      </w:r>
    </w:p>
    <w:p w14:paraId="064E191F" w14:textId="77777777" w:rsidR="009D7677" w:rsidRDefault="009D7677" w:rsidP="009D7677">
      <w:pPr>
        <w:pStyle w:val="TextoNormal"/>
      </w:pPr>
    </w:p>
    <w:p w14:paraId="71B91A39" w14:textId="77777777" w:rsidR="009D7677" w:rsidRDefault="009D7677" w:rsidP="009D7677">
      <w:pPr>
        <w:pStyle w:val="TextoNormal"/>
      </w:pPr>
      <w:r>
        <w:t>e) En caso de que la vivienda se ubique en una zona de mercado residencial tensionado, cumplir las obligaciones de colaboración con la administración competente y suministro de información en los términos establecidos en el título II de esta ley”.</w:t>
      </w:r>
    </w:p>
    <w:p w14:paraId="79771176" w14:textId="77777777" w:rsidR="009D7677" w:rsidRDefault="009D7677" w:rsidP="009D7677">
      <w:pPr>
        <w:pStyle w:val="TextoNormal"/>
      </w:pPr>
    </w:p>
    <w:p w14:paraId="46573818" w14:textId="77777777" w:rsidR="009D7677" w:rsidRDefault="009D7677" w:rsidP="009D7677">
      <w:pPr>
        <w:pStyle w:val="TextoNormal"/>
      </w:pPr>
      <w:r>
        <w:t>“Artículo 19. Colaboración y suministro de información de los grandes tenedores en zonas de mercado residencial tensionado</w:t>
      </w:r>
    </w:p>
    <w:p w14:paraId="4AC5FFFF" w14:textId="77777777" w:rsidR="009D7677" w:rsidRDefault="009D7677" w:rsidP="009D7677">
      <w:pPr>
        <w:pStyle w:val="TextoNormal"/>
      </w:pPr>
    </w:p>
    <w:p w14:paraId="4F72F262" w14:textId="77777777" w:rsidR="009D7677" w:rsidRDefault="009D7677" w:rsidP="009D7677">
      <w:pPr>
        <w:pStyle w:val="TextoNormal"/>
      </w:pPr>
      <w:r>
        <w:t>1. […] A tal efecto, las administraciones públicas competentes en materia de vivienda podrán exigir a los grandes tenedores de vivienda en las zonas de mercado residencial tensionado declaradas según lo previsto en el apartado 2 del artículo anterior, el cumplimiento de la obligación de colaboración y suministro de información sobre el uso y destino de las viviendas de su titularidad que se encuentren en tales zonas de mercado residencial tensionado.</w:t>
      </w:r>
    </w:p>
    <w:p w14:paraId="5650285E" w14:textId="77777777" w:rsidR="009D7677" w:rsidRDefault="009D7677" w:rsidP="009D7677">
      <w:pPr>
        <w:pStyle w:val="TextoNormal"/>
      </w:pPr>
    </w:p>
    <w:p w14:paraId="40F233CB" w14:textId="77777777" w:rsidR="009D7677" w:rsidRDefault="009D7677" w:rsidP="009D7677">
      <w:pPr>
        <w:pStyle w:val="TextoNormal"/>
      </w:pPr>
      <w:r>
        <w:t>[…]</w:t>
      </w:r>
    </w:p>
    <w:p w14:paraId="41718216" w14:textId="77777777" w:rsidR="009D7677" w:rsidRDefault="009D7677" w:rsidP="009D7677">
      <w:pPr>
        <w:pStyle w:val="TextoNormal"/>
      </w:pPr>
    </w:p>
    <w:p w14:paraId="1856CC7B" w14:textId="77777777" w:rsidR="009D7677" w:rsidRDefault="009D7677" w:rsidP="009D7677">
      <w:pPr>
        <w:pStyle w:val="TextoNormal"/>
      </w:pPr>
      <w:r>
        <w:lastRenderedPageBreak/>
        <w:t>3. La información a aportar se referirá al año natural anterior, a requerimiento de las administraciones públicas competentes en materia de vivienda, debiendo comunicarse en un plazo máximo de tres meses desde el referido requerimiento, que incluirá, con respecto a las viviendas de titularidad del gran tenedor en la zona de mercado residencial tensionado, al menos, los siguientes datos:</w:t>
      </w:r>
    </w:p>
    <w:p w14:paraId="79A37764" w14:textId="77777777" w:rsidR="009D7677" w:rsidRDefault="009D7677" w:rsidP="009D7677">
      <w:pPr>
        <w:pStyle w:val="TextoNormal"/>
      </w:pPr>
    </w:p>
    <w:p w14:paraId="746D13CC" w14:textId="77777777" w:rsidR="009D7677" w:rsidRDefault="009D7677" w:rsidP="009D7677">
      <w:pPr>
        <w:pStyle w:val="TextoNormal"/>
      </w:pPr>
      <w:r>
        <w:t>a) Los datos identificativos de la vivienda y el edificio en que se ubica, incluyendo la dirección postal, año de construcción y, en su caso, año y tipo de reforma, superficie construida de uso privativo por usos, referencia catastral y calificación energética.</w:t>
      </w:r>
    </w:p>
    <w:p w14:paraId="0F88C0B5" w14:textId="77777777" w:rsidR="009D7677" w:rsidRDefault="009D7677" w:rsidP="009D7677">
      <w:pPr>
        <w:pStyle w:val="TextoNormal"/>
      </w:pPr>
    </w:p>
    <w:p w14:paraId="4D6508EB" w14:textId="77777777" w:rsidR="009D7677" w:rsidRDefault="009D7677" w:rsidP="009D7677">
      <w:pPr>
        <w:pStyle w:val="TextoNormal"/>
      </w:pPr>
      <w:r>
        <w:t>b) Régimen de utilización efectiva de la vivienda, en el contexto de los de usos previstos en los instrumentos de ordenación territorial y urbanística.</w:t>
      </w:r>
    </w:p>
    <w:p w14:paraId="73D32130" w14:textId="77777777" w:rsidR="009D7677" w:rsidRDefault="009D7677" w:rsidP="009D7677">
      <w:pPr>
        <w:pStyle w:val="TextoNormal"/>
      </w:pPr>
    </w:p>
    <w:p w14:paraId="170A878D" w14:textId="77777777" w:rsidR="009D7677" w:rsidRDefault="009D7677" w:rsidP="009D7677">
      <w:pPr>
        <w:pStyle w:val="TextoNormal"/>
      </w:pPr>
      <w:r>
        <w:t>c) Justificación del cumplimiento de los deberes asociados a la propiedad de vivienda, establecidos en el artículo 11 de esta ley”.</w:t>
      </w:r>
    </w:p>
    <w:p w14:paraId="1525C1AE" w14:textId="77777777" w:rsidR="009D7677" w:rsidRDefault="009D7677" w:rsidP="009D7677">
      <w:pPr>
        <w:pStyle w:val="TextoNormal"/>
      </w:pPr>
    </w:p>
    <w:p w14:paraId="0A014B53" w14:textId="77777777" w:rsidR="009D7677" w:rsidRDefault="009D7677" w:rsidP="009D7677">
      <w:pPr>
        <w:pStyle w:val="TextoNormal"/>
      </w:pPr>
      <w:r>
        <w:t>Una vez más, el recurso sostiene la extralimitación competencial del legislador estatal al aprobar los preceptos que se impugnan.</w:t>
      </w:r>
    </w:p>
    <w:p w14:paraId="714BFE22" w14:textId="77777777" w:rsidR="009D7677" w:rsidRDefault="009D7677" w:rsidP="009D7677">
      <w:pPr>
        <w:pStyle w:val="TextoNormal"/>
      </w:pPr>
    </w:p>
    <w:p w14:paraId="711B2993" w14:textId="77777777" w:rsidR="009D7677" w:rsidRDefault="009D7677" w:rsidP="009D7677">
      <w:pPr>
        <w:pStyle w:val="TextoNormal"/>
      </w:pPr>
      <w:r>
        <w:t>El art. 3 de la Ley 12/2023 dispone una serie de definiciones conceptuales que operan “[a] los efectos de lo dispuesto en esta ley, y en tanto no entren en contradicción con las reguladas por las administraciones competentes en materia de vivienda”. El recurrente alega que ello sería inconstitucional porque el Estado busca formular una política propia y minuciosa en materia de vivienda, sin conexión competencial real con los títulos que invoca. Se aprecia, por tanto, que en realidad no se discute solo sobre la definición concreta, por más que se esté impugnando una en particular (y otras dos de las que nos ocuparemos en el fundamento siguiente) sino, primeramente, la capacidad del legislador estatal para formularlas al amparo de sus competencias. Ya sobre la definición de gran tenedor, el recurrente afirma que la creación de la figura es demasiado detallista, desconociendo que las comunidades autónomas pueden recurrir a otros mecanismos para propiciar el acceso a viviendas asequibles y que son las competentes para regular el contenido de la figura de gran tenedor si deciden crearla. Que lo haga el Estado nada aporta, a su juicio, al ejercicio del derecho a la vivienda en condiciones de igualdad.</w:t>
      </w:r>
    </w:p>
    <w:p w14:paraId="1ABF5C3C" w14:textId="77777777" w:rsidR="009D7677" w:rsidRDefault="009D7677" w:rsidP="009D7677">
      <w:pPr>
        <w:pStyle w:val="TextoNormal"/>
      </w:pPr>
    </w:p>
    <w:p w14:paraId="0F00E678" w14:textId="77777777" w:rsidR="009D7677" w:rsidRDefault="009D7677" w:rsidP="009D7677">
      <w:pPr>
        <w:pStyle w:val="TextoNormal"/>
      </w:pPr>
      <w:r>
        <w:t>Se tiene en cuenta específicamente que, según el tenor de la propia Ley 12/2023, el art. 11 se ampara en la competencia que el art. 149.1.8 CE atribuye al Estado en materia de legislación civil, pero, según entiende el recurrente, lo regulado en el art. 11.1 e) no se refiere a la vertiente individual del derecho de propiedad privada, sino a la institucional y por tanto compete al legislador sectorial.</w:t>
      </w:r>
    </w:p>
    <w:p w14:paraId="0EDCCB46" w14:textId="77777777" w:rsidR="009D7677" w:rsidRDefault="009D7677" w:rsidP="009D7677">
      <w:pPr>
        <w:pStyle w:val="TextoNormal"/>
      </w:pPr>
    </w:p>
    <w:p w14:paraId="7F85A243" w14:textId="77777777" w:rsidR="009D7677" w:rsidRDefault="009D7677" w:rsidP="009D7677">
      <w:pPr>
        <w:pStyle w:val="TextoNormal"/>
      </w:pPr>
      <w:r>
        <w:t>El abogado del Estado defiende el ejercicio de las competencias estatales en el marco constitucional y, en relación en particular con el art. 11.1 e), sostiene el legítimo ejercicio de las competencias que le corresponden para establecer las condiciones básicas para el ejercicio del derecho de propiedad en la vertiente relativa a la delimitación de su función social, aunque el art. 149.1.1 CE no esté mencionado entre los que dan cobertura a este precepto en la disposición final séptima de la Ley.</w:t>
      </w:r>
    </w:p>
    <w:p w14:paraId="0409BFAE" w14:textId="77777777" w:rsidR="009D7677" w:rsidRDefault="009D7677" w:rsidP="009D7677">
      <w:pPr>
        <w:pStyle w:val="TextoNormal"/>
      </w:pPr>
    </w:p>
    <w:p w14:paraId="11CE063E" w14:textId="77777777" w:rsidR="009D7677" w:rsidRDefault="009D7677" w:rsidP="009D7677">
      <w:pPr>
        <w:pStyle w:val="TextoNormal"/>
      </w:pPr>
      <w:r>
        <w:lastRenderedPageBreak/>
        <w:t>Las tres impugnaciones agrupadas en este fundamento jurídico pivotan sobre dos conceptos fundamentales de la Ley 12/2023: uno, las zonas de mercado residencial tensionado, sobre las que versaba el fundamento jurídico anterior; otro, el régimen de los grandes tenedores de vivienda. El art. 3 k) define esta categoría de sujetos y el art. 19 los somete a ciertas obligaciones de colaboración y suministro de información. El art. 11.1 e), por su parte, extiende esas obligaciones a cualquier propietario de viviendas, por una causa objetiva: que las mismas se ubiquen en zonas declaradas como de mercado residencial tensionado. Analizaremos seguidamente las quejas contra estos preceptos en este mismo orden.</w:t>
      </w:r>
    </w:p>
    <w:p w14:paraId="4602C142" w14:textId="77777777" w:rsidR="009D7677" w:rsidRDefault="009D7677" w:rsidP="009D7677">
      <w:pPr>
        <w:pStyle w:val="TextoNormal"/>
      </w:pPr>
    </w:p>
    <w:p w14:paraId="50462B11" w14:textId="77777777" w:rsidR="009D7677" w:rsidRDefault="009D7677" w:rsidP="009D7677">
      <w:pPr>
        <w:pStyle w:val="TextoNormal"/>
      </w:pPr>
      <w:r>
        <w:t>B) Enjuiciamiento</w:t>
      </w:r>
    </w:p>
    <w:p w14:paraId="2197C806" w14:textId="77777777" w:rsidR="009D7677" w:rsidRDefault="009D7677" w:rsidP="009D7677">
      <w:pPr>
        <w:pStyle w:val="TextoNormal"/>
      </w:pPr>
    </w:p>
    <w:p w14:paraId="1799B68B" w14:textId="77777777" w:rsidR="009D7677" w:rsidRDefault="009D7677" w:rsidP="009D7677">
      <w:pPr>
        <w:pStyle w:val="TextoNormal"/>
      </w:pPr>
      <w:r>
        <w:t xml:space="preserve">a) La definición de gran tenedor es vital para la aplicación de la Ley en cuanto constituye una categoría sobre la que se fundamentan otros preceptos legales, no todos impugnados en la demanda (así, las disposiciones finales quinta y sexta, que modifican la Ley de enjuiciamiento civil y el Real Decreto-ley 6/2022, de 29 de marzo, por el que se adoptan medidas urgentes en el marco del Plan Nacional de respuesta a las consecuencias económicas y sociales de la guerra en Ucrania, respectivamente). Este tribunal entiende que, en los términos del art. 3 y teniendo en cuenta el conjunto de la Ley, la definición de gran tenedor de la letra k) resulta imprescindible para asegurar las condiciones básicas del ejercicio del derecho a la vivienda y de propiedad sobre ella, enmarcándose en el ejercicio de la competencia que corresponde al Estado </w:t>
      </w:r>
      <w:r w:rsidRPr="009D7677">
        <w:rPr>
          <w:i/>
        </w:rPr>
        <w:t>ex</w:t>
      </w:r>
      <w:r>
        <w:t xml:space="preserve"> art. 149.1.1 CE. Sin ella no pueden comprenderse determinadas obligaciones que se imponen en razón de la función social a ciertos propietarios de viviendas, ni las medidas que se establecen en relación con las notificaciones de lanzamiento, la admisibilidad de acciones de recuperación posesoria, la subasta de bienes o las limitaciones extraordinarias de actualización de la renta de ciertos contratos de arrendamiento. Ninguna de estas medidas, que descansan explícitamente sobre la definición del art. 3 k), ha sido impugnada por el recurrente.</w:t>
      </w:r>
    </w:p>
    <w:p w14:paraId="3E5B28EA" w14:textId="77777777" w:rsidR="009D7677" w:rsidRDefault="009D7677" w:rsidP="009D7677">
      <w:pPr>
        <w:pStyle w:val="TextoNormal"/>
      </w:pPr>
    </w:p>
    <w:p w14:paraId="0B9E4D21" w14:textId="77777777" w:rsidR="009D7677" w:rsidRDefault="009D7677" w:rsidP="009D7677">
      <w:pPr>
        <w:pStyle w:val="TextoNormal"/>
      </w:pPr>
      <w:r>
        <w:t>Que exista una definición de gran tenedor de vivienda en la Ley 12/2023 en nada obsta que las comunidades autónomas puedan establecer definiciones similares o divergentes en su ámbito, para el desarrollo de sus políticas propias en materia de vivienda. Es muestra de ello lo dispuesto en el art. 19.2 de la Ley, tampoco impugnado en el recurso, que reconoce expresamente que, en las zonas de mercado tensionado, la consideración de gran tenedor tendrá que ser definida en la memoria que acompañe la propuesta de declaración de la zona y podrá incorporar criterios adicionales a los del art. 3 k) acordes a las características de esta o a la normativa autonómica. La regulación impugnada está, pues, muy lejos de cercenar el desarrollo de una política autonómica propia en materia de vivienda, que es lo que les corresponde a las comunidades autónomas al asumir las competencias a que se refiere el art. 148.1.3 CE (STC 152/1988, de 20 de julio, FJ 2).</w:t>
      </w:r>
    </w:p>
    <w:p w14:paraId="03735E02" w14:textId="77777777" w:rsidR="009D7677" w:rsidRDefault="009D7677" w:rsidP="009D7677">
      <w:pPr>
        <w:pStyle w:val="TextoNormal"/>
      </w:pPr>
    </w:p>
    <w:p w14:paraId="25684246" w14:textId="77777777" w:rsidR="009D7677" w:rsidRDefault="009D7677" w:rsidP="009D7677">
      <w:pPr>
        <w:pStyle w:val="TextoNormal"/>
      </w:pPr>
      <w:r>
        <w:t xml:space="preserve">b) El art. 19.1 de la Ley prevé una obligación inicial de los grandes tenedores de colaborar con las administraciones competentes en materia de vivienda. Tal obligación no es impugnada en la demanda. Esta combate únicamente el inciso siguiente, que habilita a las comunidades autónomas para intensificar esta obligación en las zonas de mercado residencial tensionado (requiriendo información sobre uso y destino de sus viviendas allí situadas), y el art. 19.3, que concreta, por un lado, cuestiones de forma sobre la información que los grandes tenedores tendrán que aportar a requerimiento de las administraciones competentes para cumplir con la obligación general (el momento temporal que debe cubrir </w:t>
      </w:r>
      <w:r>
        <w:lastRenderedPageBreak/>
        <w:t>y el plazo de respuesta) y, por otro, los datos que como mínimo deberán comunicarse cuando las viviendas se encuentren en una zona de mercado residencial tensionado (obligación intensificada).</w:t>
      </w:r>
    </w:p>
    <w:p w14:paraId="7EB879BE" w14:textId="77777777" w:rsidR="009D7677" w:rsidRDefault="009D7677" w:rsidP="009D7677">
      <w:pPr>
        <w:pStyle w:val="TextoNormal"/>
      </w:pPr>
    </w:p>
    <w:p w14:paraId="2AED9791" w14:textId="77777777" w:rsidR="009D7677" w:rsidRDefault="009D7677" w:rsidP="009D7677">
      <w:pPr>
        <w:pStyle w:val="TextoNormal"/>
      </w:pPr>
      <w:r>
        <w:t>Dado que no se impugna la obligación general de los grandes tenedores de colaborar con las administraciones públicas, resulta incoherente impugnar la regulación estatal mínima común para el cumplimiento de esta. Tanto el marco temporal de la información a requerir, como el plazo de respuesta que prevé el art. 19.3 de la Ley sirven para garantizar la igualdad en las condiciones básicas en que habrá de cumplirse aquella obligación general en todo el territorio.</w:t>
      </w:r>
    </w:p>
    <w:p w14:paraId="5CE5E130" w14:textId="77777777" w:rsidR="009D7677" w:rsidRDefault="009D7677" w:rsidP="009D7677">
      <w:pPr>
        <w:pStyle w:val="TextoNormal"/>
      </w:pPr>
    </w:p>
    <w:p w14:paraId="78984BAD" w14:textId="77777777" w:rsidR="009D7677" w:rsidRDefault="009D7677" w:rsidP="009D7677">
      <w:pPr>
        <w:pStyle w:val="TextoNormal"/>
      </w:pPr>
      <w:r>
        <w:t>Que, en el caso de viviendas que se sitúan en zonas de mercado residencial tensionado y que pertenecen a grandes tenedores, se puedan exigir obligaciones de información más intensas, como dispone el final del art. 19.1 de la Ley que la demanda combate, no resulta un exceso competencial. En nada invade ese inciso las competencias autonómicas pues no se establece allí disposición obligatoria alguna. En cambio, la regulación de la información mínima que, en caso de ejercitar esa posibilidad, tendría que requerirse y que realiza al final del art. 19.3 [a), b) y c)] sí es una concreción excesiva. Puesto que corresponde a la comunidad autónoma decidir si desea intensificar las obligaciones de información de los grandes tenedores respecto a las viviendas que se encuentran en zonas específicas, debe corresponderle también decidir qué información requerir en su caso respecto a su uso y destino, de conformidad con lo dispuesto en el art. 19.1, y máxime cuando, de acuerdo con el art. 19.4, la información sirve para establecer, en caso de quererlo así, fórmulas de colaboración con los propietarios.</w:t>
      </w:r>
    </w:p>
    <w:p w14:paraId="544FB516" w14:textId="77777777" w:rsidR="009D7677" w:rsidRDefault="009D7677" w:rsidP="009D7677">
      <w:pPr>
        <w:pStyle w:val="TextoNormal"/>
      </w:pPr>
    </w:p>
    <w:p w14:paraId="1543D8FD" w14:textId="77777777" w:rsidR="009D7677" w:rsidRDefault="009D7677" w:rsidP="009D7677">
      <w:pPr>
        <w:pStyle w:val="TextoNormal"/>
      </w:pPr>
      <w:r>
        <w:t>Por lo anterior, las previsiones del art. 19.3 de la Ley que se refieren a la información que como mínimo ha de incluir la obligación que configura el artículo con respecto a las viviendas de titularidad del gran tenedor en la zona de mercado residencial tensionado no encuentran cobertura en el art. 149.1.1 CE y tampoco, por su naturaleza no económica (STC 21/1999, de 25 de febrero, FJ 5) en el art. 149.1.13 CE, debiendo declararse inconstitucionales y nulas.</w:t>
      </w:r>
    </w:p>
    <w:p w14:paraId="72273603" w14:textId="77777777" w:rsidR="009D7677" w:rsidRDefault="009D7677" w:rsidP="009D7677">
      <w:pPr>
        <w:pStyle w:val="TextoNormal"/>
      </w:pPr>
    </w:p>
    <w:p w14:paraId="611E457A" w14:textId="77777777" w:rsidR="009D7677" w:rsidRDefault="009D7677" w:rsidP="009D7677">
      <w:pPr>
        <w:pStyle w:val="TextoNormal"/>
      </w:pPr>
      <w:r>
        <w:t>c) Este tribunal no alberga duda de que, como se afirma en el escrito de demanda, el contenido y finalidad del art. 11.1 e) de la Ley 12/2023 lo sitúan, de acuerdo con la doctrina sentada ya desde la STC 37/1987 y sintetizada en el fundamento jurídico 3 B) c) de esta sentencia, extramuros de la materia “legislación civil”. Ciertamente, regula cuestiones jurídico-públicas referidas a la llamada vertiente institucional del derecho de propiedad. Ello es notorio por el mismo tenor de la redacción con que se abre el art. 11.1, que precisamente enumera una serie de deberes comprendidos en la delimitación del derecho de propiedad por su función social. Entre ellos, el recurrente solo impugna el contenido de la letra e), por lo que en realidad no está cuestionando la competencia del legislador estatal para regular esta materia con carácter general, sino el concreto deber que se establece en el inciso controvertido, que supone extender a los propietarios de viviendas ubicadas en una zona de mercado residencial tensionado las obligaciones de colaboración y suministro de información que se regulan para los grandes tenedores en el título II de la misma Ley 12/2023 y, en concreto, en el art. 19, que acaba de analizarse.</w:t>
      </w:r>
    </w:p>
    <w:p w14:paraId="2DDAC740" w14:textId="77777777" w:rsidR="009D7677" w:rsidRDefault="009D7677" w:rsidP="009D7677">
      <w:pPr>
        <w:pStyle w:val="TextoNormal"/>
      </w:pPr>
    </w:p>
    <w:p w14:paraId="1581BA7A" w14:textId="77777777" w:rsidR="009D7677" w:rsidRDefault="009D7677" w:rsidP="009D7677">
      <w:pPr>
        <w:pStyle w:val="TextoNormal"/>
      </w:pPr>
      <w:r>
        <w:lastRenderedPageBreak/>
        <w:t>Lo anterior no es óbice para que este tribunal analice la cobertura competencial del precepto y, desechada la aplicabilidad del art. 149.1.8 CE, nos corresponde la identificación final del título competencial concreto que pudiera ofrecer cobertura a los preceptos impugnados, sin que estemos en ello vinculados “por ‘las incardinaciones competenciales contenidas en las normas sometidas a su enjuiciamiento’ (STC 144/1985, de 25 de abril, FJ 1), ni tampoco ‘por el encuadramiento competencial que realicen las partes en el proceso’ (por todas, STC 74/2014, de 8 de mayo)” (STC 18/2016, de 4 de febrero, FJ 10). Tal tarea, como ha recordado la STC 132/2019, de 13 de noviembre, FJ 4, “ha de efectuarse atendiendo al específico contenido, sentido y finalidad de la normativa impugnada [SSTC 26/2016, de 18 de febrero, FJ 6; 21/2017, de 2 de febrero, FJ 2, y 100/2017, FJ 5 b)]”.</w:t>
      </w:r>
    </w:p>
    <w:p w14:paraId="7DA21F5D" w14:textId="77777777" w:rsidR="009D7677" w:rsidRDefault="009D7677" w:rsidP="009D7677">
      <w:pPr>
        <w:pStyle w:val="TextoNormal"/>
      </w:pPr>
    </w:p>
    <w:p w14:paraId="1122EE49" w14:textId="77777777" w:rsidR="009D7677" w:rsidRDefault="009D7677" w:rsidP="009D7677">
      <w:pPr>
        <w:pStyle w:val="TextoNormal"/>
      </w:pPr>
      <w:r>
        <w:t>En este punto debe acogerse la argumentación del abogado del Estado, pues la finalidad y el contenido del art. 11.1 de la Ley 12/2023 son los de regular el cuadro de derechos y deberes de los propietarios de viviendas para garantizar la igualdad en las condiciones de ejercicio del derecho y el cumplimiento de los deberes inherentes a su función social y, en el caso concreto del inciso e) respecto a las que, por estar ubicadas en ciertas zonas, tienen el régimen al que, desde otra perspectiva, se refería el fundamento jurídico previo de esta sentencia. De acuerdo con lo sentado allí y aplicando la doctrina que para la propiedad de suelo urbano en general estableció la STC 16/2021, FJ 8, el deber que ese precepto impone no puede considerarse un exceso. Se trata, por tanto, de un legítimo ejercicio de la competencia estatal del art. 149.1.1 CE en conexión con el art. 33.2 CE.</w:t>
      </w:r>
    </w:p>
    <w:p w14:paraId="44D360AC" w14:textId="77777777" w:rsidR="009D7677" w:rsidRDefault="009D7677" w:rsidP="009D7677">
      <w:pPr>
        <w:pStyle w:val="TextoNormal"/>
      </w:pPr>
    </w:p>
    <w:p w14:paraId="1F848E24" w14:textId="44C54170" w:rsidR="009D7677" w:rsidRDefault="009D7677" w:rsidP="009D7677">
      <w:pPr>
        <w:pStyle w:val="TextoNormal"/>
      </w:pPr>
      <w:r>
        <w:t>Por consiguiente, se rechazan las tachas de inconstitucionalidad dirigidas contra los arts. 3 k), 11.1 e) y 19 apartado 1, inciso segundo, de la Ley 12/2023. En cambio, debe declararse inconstitucional y nulo, por suponer un exceso competencial, el contenido del art. 19.3 a partir del inciso “que incluirá, con respecto a las viviendas de titularidad del gran tenedor en la zona de mercado residencial tensionado, al menos, los siguientes datos”.</w:t>
      </w:r>
    </w:p>
    <w:p w14:paraId="799D11E9" w14:textId="77777777" w:rsidR="009D7677" w:rsidRDefault="009D7677" w:rsidP="009D7677">
      <w:pPr>
        <w:pStyle w:val="TextoNormal"/>
      </w:pPr>
    </w:p>
    <w:p w14:paraId="6C317793" w14:textId="77777777" w:rsidR="009D7677" w:rsidRDefault="009D7677" w:rsidP="009D7677">
      <w:pPr>
        <w:pStyle w:val="TextoNormal"/>
      </w:pPr>
      <w:r w:rsidRPr="009D7677">
        <w:rPr>
          <w:rStyle w:val="NumeroAFNegritaCaracter"/>
        </w:rPr>
        <w:t>7</w:t>
      </w:r>
      <w:r>
        <w:t xml:space="preserve">. </w:t>
      </w:r>
      <w:r w:rsidRPr="009D7677">
        <w:rPr>
          <w:i/>
        </w:rPr>
        <w:t>Impugnaciones vinculadas con el régimen de la vivienda protegida</w:t>
      </w:r>
    </w:p>
    <w:p w14:paraId="66E190C9" w14:textId="77777777" w:rsidR="009D7677" w:rsidRDefault="009D7677" w:rsidP="009D7677">
      <w:pPr>
        <w:pStyle w:val="TextoNormal"/>
      </w:pPr>
    </w:p>
    <w:p w14:paraId="1C25ED84" w14:textId="77777777" w:rsidR="009D7677" w:rsidRDefault="009D7677" w:rsidP="009D7677">
      <w:pPr>
        <w:pStyle w:val="TextoNormal"/>
      </w:pPr>
      <w:r>
        <w:t>A) Objeto y posiciones de las partes</w:t>
      </w:r>
    </w:p>
    <w:p w14:paraId="3508D057" w14:textId="77777777" w:rsidR="009D7677" w:rsidRDefault="009D7677" w:rsidP="009D7677">
      <w:pPr>
        <w:pStyle w:val="TextoNormal"/>
      </w:pPr>
    </w:p>
    <w:p w14:paraId="0DB32832" w14:textId="77777777" w:rsidR="009D7677" w:rsidRDefault="009D7677" w:rsidP="009D7677">
      <w:pPr>
        <w:pStyle w:val="TextoNormal"/>
      </w:pPr>
      <w:r>
        <w:t>Procede analizar ahora las quejas que el recurrente formula a los art. 3 f) y g), 16, disposición transitoria primera y disposición final cuarta de la Ley 12/2023, que se ocupan de la vivienda protegida y cuyo tenor es:</w:t>
      </w:r>
    </w:p>
    <w:p w14:paraId="507D6888" w14:textId="77777777" w:rsidR="009D7677" w:rsidRDefault="009D7677" w:rsidP="009D7677">
      <w:pPr>
        <w:pStyle w:val="TextoNormal"/>
      </w:pPr>
    </w:p>
    <w:p w14:paraId="46B8E795" w14:textId="77777777" w:rsidR="009D7677" w:rsidRDefault="009D7677" w:rsidP="009D7677">
      <w:pPr>
        <w:pStyle w:val="TextoNormal"/>
      </w:pPr>
      <w:r>
        <w:t>“Artículo 3. Definiciones</w:t>
      </w:r>
    </w:p>
    <w:p w14:paraId="12B5EFE4" w14:textId="77777777" w:rsidR="009D7677" w:rsidRDefault="009D7677" w:rsidP="009D7677">
      <w:pPr>
        <w:pStyle w:val="TextoNormal"/>
      </w:pPr>
    </w:p>
    <w:p w14:paraId="7636B63C" w14:textId="77777777" w:rsidR="009D7677" w:rsidRDefault="009D7677" w:rsidP="009D7677">
      <w:pPr>
        <w:pStyle w:val="TextoNormal"/>
      </w:pPr>
      <w:r>
        <w:t>A los efectos de lo dispuesto en esta ley, y en tanto no entren en contradicción con las reguladas por las administraciones competentes en materia de vivienda, en cuyo caso, y a los efectos de su regulación, prevalecerán aquellas, se establecen las siguientes definiciones:</w:t>
      </w:r>
    </w:p>
    <w:p w14:paraId="32567D19" w14:textId="77777777" w:rsidR="009D7677" w:rsidRDefault="009D7677" w:rsidP="009D7677">
      <w:pPr>
        <w:pStyle w:val="TextoNormal"/>
      </w:pPr>
    </w:p>
    <w:p w14:paraId="0A7FA655" w14:textId="77777777" w:rsidR="009D7677" w:rsidRDefault="009D7677" w:rsidP="009D7677">
      <w:pPr>
        <w:pStyle w:val="TextoNormal"/>
      </w:pPr>
      <w:r>
        <w:t>[…]</w:t>
      </w:r>
    </w:p>
    <w:p w14:paraId="0F665EBE" w14:textId="77777777" w:rsidR="009D7677" w:rsidRDefault="009D7677" w:rsidP="009D7677">
      <w:pPr>
        <w:pStyle w:val="TextoNormal"/>
      </w:pPr>
    </w:p>
    <w:p w14:paraId="39C83F8D" w14:textId="77777777" w:rsidR="009D7677" w:rsidRDefault="009D7677" w:rsidP="009D7677">
      <w:pPr>
        <w:pStyle w:val="TextoNormal"/>
      </w:pPr>
      <w:r>
        <w:t xml:space="preserve">f) Vivienda protegida: la vivienda sometida a un régimen especial para destinarla a residencia habitual de personas con dificultades de acceso al mercado de vivienda, tanto en </w:t>
      </w:r>
      <w:r>
        <w:lastRenderedPageBreak/>
        <w:t>ámbitos urbanos y metropolitanos, como en el medio rural. A los efectos de esta ley, se establecen las siguientes modalidades: vivienda social, o vivienda de precio limitado.</w:t>
      </w:r>
    </w:p>
    <w:p w14:paraId="390F4A58" w14:textId="77777777" w:rsidR="009D7677" w:rsidRDefault="009D7677" w:rsidP="009D7677">
      <w:pPr>
        <w:pStyle w:val="TextoNormal"/>
      </w:pPr>
    </w:p>
    <w:p w14:paraId="12EDF7F9" w14:textId="77777777" w:rsidR="009D7677" w:rsidRDefault="009D7677" w:rsidP="009D7677">
      <w:pPr>
        <w:pStyle w:val="TextoNormal"/>
      </w:pPr>
      <w:r>
        <w:t>1.º Vivienda social: la vivienda de titularidad pública destinada al alquiler, cesión o cualquier otra fórmula de tenencia temporal sujeta a limitaciones de renta o de venta y destinada a personas u hogares con dificultades para acceder a una vivienda en el mercado. También será considerada vivienda social aquella cuyo suelo sea de titularidad pública sobre el que se haya constituido derecho de superficie, concesión administrativa o negocio jurídico equivalente.</w:t>
      </w:r>
    </w:p>
    <w:p w14:paraId="405B4D57" w14:textId="77777777" w:rsidR="009D7677" w:rsidRDefault="009D7677" w:rsidP="009D7677">
      <w:pPr>
        <w:pStyle w:val="TextoNormal"/>
      </w:pPr>
    </w:p>
    <w:p w14:paraId="6AC1044E" w14:textId="77777777" w:rsidR="009D7677" w:rsidRDefault="009D7677" w:rsidP="009D7677">
      <w:pPr>
        <w:pStyle w:val="TextoNormal"/>
      </w:pPr>
      <w:r>
        <w:t>La vivienda social podrá desarrollarse sobre terrenos calificados urbanísticamente como dotacionales públicos o estar comprendida en edificaciones o locales destinados a equipamientos de titularidad pública y afectos al servicio público.</w:t>
      </w:r>
    </w:p>
    <w:p w14:paraId="69D67E05" w14:textId="77777777" w:rsidR="009D7677" w:rsidRDefault="009D7677" w:rsidP="009D7677">
      <w:pPr>
        <w:pStyle w:val="TextoNormal"/>
      </w:pPr>
    </w:p>
    <w:p w14:paraId="34C23336" w14:textId="77777777" w:rsidR="009D7677" w:rsidRDefault="009D7677" w:rsidP="009D7677">
      <w:pPr>
        <w:pStyle w:val="TextoNormal"/>
      </w:pPr>
      <w:r>
        <w:t>La vivienda social podrá gestionarse de manera directa por las administraciones públicas o entidades dependientes, por entidades sin ánimo de lucro con fines sociales vinculados a la vivienda, o a través de fórmulas de colaboración público-privada, que sean compatibles con el carácter de la misma.</w:t>
      </w:r>
    </w:p>
    <w:p w14:paraId="67086D85" w14:textId="77777777" w:rsidR="009D7677" w:rsidRDefault="009D7677" w:rsidP="009D7677">
      <w:pPr>
        <w:pStyle w:val="TextoNormal"/>
      </w:pPr>
    </w:p>
    <w:p w14:paraId="415FCDF4" w14:textId="77777777" w:rsidR="009D7677" w:rsidRDefault="009D7677" w:rsidP="009D7677">
      <w:pPr>
        <w:pStyle w:val="TextoNormal"/>
      </w:pPr>
      <w:r>
        <w:t>Podrá tener la consideración de vivienda social de emergencia aquella vivienda social que esté destinada a atender situaciones de emergencia, ofreciendo solución habitacional a corto plazo y de forma temporal, con carácter universal y hasta que se provea de una vivienda alternativa permanente, a personas y familias en situación de pérdida o imposibilidad para acceder a una vivienda adecuada, independientemente de las condiciones documentales y administrativas de las personas afectadas.</w:t>
      </w:r>
    </w:p>
    <w:p w14:paraId="53097B3C" w14:textId="77777777" w:rsidR="009D7677" w:rsidRDefault="009D7677" w:rsidP="009D7677">
      <w:pPr>
        <w:pStyle w:val="TextoNormal"/>
      </w:pPr>
    </w:p>
    <w:p w14:paraId="2CD70AAF" w14:textId="77777777" w:rsidR="009D7677" w:rsidRDefault="009D7677" w:rsidP="009D7677">
      <w:pPr>
        <w:pStyle w:val="TextoNormal"/>
      </w:pPr>
      <w:r>
        <w:t>2.º Vivienda protegida de precio limitado: la vivienda de titularidad pública o privada, excluida la social o dotacional pública, sujeta a limitaciones de precios de renta y todos los demás requisitos que se establezcan legal o reglamentariamente y destinada a satisfacer la necesidad de vivienda permanente de personas u hogares que tengan dificultades de acceder a la vivienda en el mercado. La vivienda de precio limitado será calificada como tal con arreglo al procedimiento establecido por la administración pública competente.</w:t>
      </w:r>
    </w:p>
    <w:p w14:paraId="30BB87CE" w14:textId="77777777" w:rsidR="009D7677" w:rsidRDefault="009D7677" w:rsidP="009D7677">
      <w:pPr>
        <w:pStyle w:val="TextoNormal"/>
      </w:pPr>
    </w:p>
    <w:p w14:paraId="6E89C95A" w14:textId="77777777" w:rsidR="009D7677" w:rsidRDefault="009D7677" w:rsidP="009D7677">
      <w:pPr>
        <w:pStyle w:val="TextoNormal"/>
      </w:pPr>
      <w:r>
        <w:t>g) Vivienda asequible incentivada: a los efectos de lo dispuesto en esta ley, se considerará como aquella vivienda de titularidad privada, incluidas las entidades del tercer sector y de la economía social, a cuyo titular la administración competente otorga beneficios de carácter urbanístico, fiscal, o de cualquier otro tipo, a cambio de destinarlas a residencia habitual en régimen de alquiler, o de cualquier otra fórmula de tenencia temporal, de personas cuyo nivel de ingresos no les permite acceder a una vivienda a precio de mercado. Los beneficios públicos que se asignen a estas viviendas estarán vinculados a las limitaciones de uso, temporales y de precios máximos que, en cada caso, determine la administración competente”.</w:t>
      </w:r>
    </w:p>
    <w:p w14:paraId="5C880933" w14:textId="77777777" w:rsidR="009D7677" w:rsidRDefault="009D7677" w:rsidP="009D7677">
      <w:pPr>
        <w:pStyle w:val="TextoNormal"/>
      </w:pPr>
    </w:p>
    <w:p w14:paraId="4B58406E" w14:textId="77777777" w:rsidR="009D7677" w:rsidRDefault="009D7677" w:rsidP="009D7677">
      <w:pPr>
        <w:pStyle w:val="TextoNormal"/>
      </w:pPr>
      <w:r>
        <w:t>“Artículo 16. Vivienda protegida</w:t>
      </w:r>
    </w:p>
    <w:p w14:paraId="5D831C16" w14:textId="77777777" w:rsidR="009D7677" w:rsidRDefault="009D7677" w:rsidP="009D7677">
      <w:pPr>
        <w:pStyle w:val="TextoNormal"/>
      </w:pPr>
    </w:p>
    <w:p w14:paraId="1451E0BA" w14:textId="77777777" w:rsidR="009D7677" w:rsidRDefault="009D7677" w:rsidP="009D7677">
      <w:pPr>
        <w:pStyle w:val="TextoNormal"/>
      </w:pPr>
      <w:r>
        <w:t>1. Sin perjuicio de las condiciones y requisitos establecidos por la legislación y normativa de ámbito autonómico o municipal, que tendrán en todo caso carácter prevalente, la vivienda protegida se regirá por los siguientes principios:</w:t>
      </w:r>
    </w:p>
    <w:p w14:paraId="0546E509" w14:textId="77777777" w:rsidR="009D7677" w:rsidRDefault="009D7677" w:rsidP="009D7677">
      <w:pPr>
        <w:pStyle w:val="TextoNormal"/>
      </w:pPr>
    </w:p>
    <w:p w14:paraId="576A8F7E" w14:textId="77777777" w:rsidR="009D7677" w:rsidRDefault="009D7677" w:rsidP="009D7677">
      <w:pPr>
        <w:pStyle w:val="TextoNormal"/>
      </w:pPr>
      <w:r>
        <w:t>a) La vivienda debe destinarse exclusivamente a residencia habitual y estar ocupada durante los períodos de tiempo establecidos como mínimos en la legislación y normativa de aplicación.</w:t>
      </w:r>
    </w:p>
    <w:p w14:paraId="2E56846B" w14:textId="77777777" w:rsidR="009D7677" w:rsidRDefault="009D7677" w:rsidP="009D7677">
      <w:pPr>
        <w:pStyle w:val="TextoNormal"/>
      </w:pPr>
    </w:p>
    <w:p w14:paraId="0C715EE9" w14:textId="77777777" w:rsidR="009D7677" w:rsidRDefault="009D7677" w:rsidP="009D7677">
      <w:pPr>
        <w:pStyle w:val="TextoNormal"/>
      </w:pPr>
      <w:r>
        <w:t>b) La adjudicación de la vivienda deberá seguir un procedimiento que asegure la transparencia, con sujeción a criterios objetivos que aseguren la pública concurrencia y den prioridad a las personas o grupos de personas demandantes que se encuentren inscritas en los registros públicos que se constituyan por parte de las administraciones públicas con competencias en materia de vivienda, teniendo en cuenta el orden establecido en los mencionados registros públicos.</w:t>
      </w:r>
    </w:p>
    <w:p w14:paraId="292EA8EC" w14:textId="77777777" w:rsidR="009D7677" w:rsidRDefault="009D7677" w:rsidP="009D7677">
      <w:pPr>
        <w:pStyle w:val="TextoNormal"/>
      </w:pPr>
    </w:p>
    <w:p w14:paraId="41F98D67" w14:textId="77777777" w:rsidR="009D7677" w:rsidRDefault="009D7677" w:rsidP="009D7677">
      <w:pPr>
        <w:pStyle w:val="TextoNormal"/>
      </w:pPr>
      <w:r>
        <w:t>c) Las personas adjudicatarias de viviendas protegidas no podrán:</w:t>
      </w:r>
    </w:p>
    <w:p w14:paraId="666F564C" w14:textId="77777777" w:rsidR="009D7677" w:rsidRDefault="009D7677" w:rsidP="009D7677">
      <w:pPr>
        <w:pStyle w:val="TextoNormal"/>
      </w:pPr>
    </w:p>
    <w:p w14:paraId="5DDE18E7" w14:textId="77777777" w:rsidR="009D7677" w:rsidRDefault="009D7677" w:rsidP="009D7677">
      <w:pPr>
        <w:pStyle w:val="TextoNormal"/>
      </w:pPr>
      <w:r>
        <w:t>1.º Ser titulares del pleno dominio o de un derecho real de uso o disfrute de ninguna otra vivienda, salvo inadecuación sobrevenida de la vivienda que ocupen a sus circunstancias personales o familiares u otras circunstancias objetivas debidamente acreditadas.</w:t>
      </w:r>
    </w:p>
    <w:p w14:paraId="1C447EF8" w14:textId="77777777" w:rsidR="009D7677" w:rsidRDefault="009D7677" w:rsidP="009D7677">
      <w:pPr>
        <w:pStyle w:val="TextoNormal"/>
      </w:pPr>
    </w:p>
    <w:p w14:paraId="1C3DAC16" w14:textId="77777777" w:rsidR="009D7677" w:rsidRDefault="009D7677" w:rsidP="009D7677">
      <w:pPr>
        <w:pStyle w:val="TextoNormal"/>
      </w:pPr>
      <w:r>
        <w:t>2.º Superar el nivel de ingresos máximo, en función de las características de la unidad de convivencia, que haya establecido la normativa reguladora.</w:t>
      </w:r>
    </w:p>
    <w:p w14:paraId="5955AF13" w14:textId="77777777" w:rsidR="009D7677" w:rsidRDefault="009D7677" w:rsidP="009D7677">
      <w:pPr>
        <w:pStyle w:val="TextoNormal"/>
      </w:pPr>
    </w:p>
    <w:p w14:paraId="58DC0B8E" w14:textId="77777777" w:rsidR="009D7677" w:rsidRDefault="009D7677" w:rsidP="009D7677">
      <w:pPr>
        <w:pStyle w:val="TextoNormal"/>
      </w:pPr>
      <w:r>
        <w:t>d) Las viviendas protegidas que se promuevan sobre suelos cuyo destino sea el de viviendas sometidas a algún régimen de protección pública en cumplimiento de lo establecido por la letra b) del apartado 1 del artículo 20, del texto refundido de la Ley de suelo y rehabilitación urbana, aprobado por Real Decreto Legislativo 7/2015, de 30 de octubre, estarán sometidas a un régimen de protección pública permanente que excluya la descalificación, en tanto se mantenga la calificación de dicho suelo.</w:t>
      </w:r>
    </w:p>
    <w:p w14:paraId="763E3C67" w14:textId="77777777" w:rsidR="009D7677" w:rsidRDefault="009D7677" w:rsidP="009D7677">
      <w:pPr>
        <w:pStyle w:val="TextoNormal"/>
      </w:pPr>
    </w:p>
    <w:p w14:paraId="21582D8E" w14:textId="77777777" w:rsidR="009D7677" w:rsidRDefault="009D7677" w:rsidP="009D7677">
      <w:pPr>
        <w:pStyle w:val="TextoNormal"/>
      </w:pPr>
      <w:r>
        <w:t>En el resto de supuestos, las viviendas protegidas estarán sometidas a un régimen de protección pública permanente con las salvedades que excepcionalmente pueda prever la normativa autonómica en caso de que exista causa justificada debidamente motivada para su descalificación o para el establecimiento de un plazo de calificación con la fijación del número de años de esta, que como mínimo deberá ser de 30 años.</w:t>
      </w:r>
    </w:p>
    <w:p w14:paraId="5E7F2011" w14:textId="77777777" w:rsidR="009D7677" w:rsidRDefault="009D7677" w:rsidP="009D7677">
      <w:pPr>
        <w:pStyle w:val="TextoNormal"/>
      </w:pPr>
    </w:p>
    <w:p w14:paraId="0FF5B9FE" w14:textId="77777777" w:rsidR="009D7677" w:rsidRDefault="009D7677" w:rsidP="009D7677">
      <w:pPr>
        <w:pStyle w:val="TextoNormal"/>
      </w:pPr>
      <w:r>
        <w:t>En tal supuesto, podrá establecerse la devolución de todas o parte de las ayudas percibidas en caso de enajenación de la vivienda con posterioridad a su descalificación, conforme se establezca en su normativa reguladora.</w:t>
      </w:r>
    </w:p>
    <w:p w14:paraId="7CBF5E8D" w14:textId="77777777" w:rsidR="009D7677" w:rsidRDefault="009D7677" w:rsidP="009D7677">
      <w:pPr>
        <w:pStyle w:val="TextoNormal"/>
      </w:pPr>
    </w:p>
    <w:p w14:paraId="0A5E3547" w14:textId="77777777" w:rsidR="009D7677" w:rsidRDefault="009D7677" w:rsidP="009D7677">
      <w:pPr>
        <w:pStyle w:val="TextoNormal"/>
      </w:pPr>
      <w:r>
        <w:t>En todo caso, se considerará causa justificada a los efectos anteriores, la promoción de viviendas protegidas en suelos cuya calificación urbanística no impusiera dicho destino y no hubiesen contado con ayudas públicas para su promoción.</w:t>
      </w:r>
    </w:p>
    <w:p w14:paraId="285780ED" w14:textId="77777777" w:rsidR="009D7677" w:rsidRDefault="009D7677" w:rsidP="009D7677">
      <w:pPr>
        <w:pStyle w:val="TextoNormal"/>
      </w:pPr>
    </w:p>
    <w:p w14:paraId="157BE3F2" w14:textId="77777777" w:rsidR="009D7677" w:rsidRDefault="009D7677" w:rsidP="009D7677">
      <w:pPr>
        <w:pStyle w:val="TextoNormal"/>
      </w:pPr>
      <w:r>
        <w:t>e) Su venta o alquiler estarán sujetos a la previa autorización de la comunidad autónoma mientras la vivienda siga sujeta al régimen de protección pública que corresponda y solo podrá otorgarse tal autorización en favor de personas que cumplan los requisitos previstos en la normativa correspondiente para acceder a una vivienda protegida, cuando cumplan las siguientes condiciones:</w:t>
      </w:r>
    </w:p>
    <w:p w14:paraId="74968B0A" w14:textId="77777777" w:rsidR="009D7677" w:rsidRDefault="009D7677" w:rsidP="009D7677">
      <w:pPr>
        <w:pStyle w:val="TextoNormal"/>
      </w:pPr>
    </w:p>
    <w:p w14:paraId="2D04C84C" w14:textId="77777777" w:rsidR="009D7677" w:rsidRDefault="009D7677" w:rsidP="009D7677">
      <w:pPr>
        <w:pStyle w:val="TextoNormal"/>
      </w:pPr>
      <w:r>
        <w:lastRenderedPageBreak/>
        <w:t>1.º Se efectúe prioritariamente a favor de personas o grupos de personas demandantes inscritas en los registros públicos previstos al efecto por la normativa autonómica o municipal, teniendo en cuenta el orden establecido en los mencionados registros públicos.</w:t>
      </w:r>
    </w:p>
    <w:p w14:paraId="230A4DF8" w14:textId="77777777" w:rsidR="009D7677" w:rsidRDefault="009D7677" w:rsidP="009D7677">
      <w:pPr>
        <w:pStyle w:val="TextoNormal"/>
      </w:pPr>
    </w:p>
    <w:p w14:paraId="790AF683" w14:textId="77777777" w:rsidR="009D7677" w:rsidRDefault="009D7677" w:rsidP="009D7677">
      <w:pPr>
        <w:pStyle w:val="TextoNormal"/>
      </w:pPr>
      <w:r>
        <w:t>2.º El precio de la venta o el alquiler no rebase el máximo establecido al efecto.</w:t>
      </w:r>
    </w:p>
    <w:p w14:paraId="771F77C5" w14:textId="77777777" w:rsidR="009D7677" w:rsidRDefault="009D7677" w:rsidP="009D7677">
      <w:pPr>
        <w:pStyle w:val="TextoNormal"/>
      </w:pPr>
    </w:p>
    <w:p w14:paraId="37F971F4" w14:textId="77777777" w:rsidR="009D7677" w:rsidRDefault="009D7677" w:rsidP="009D7677">
      <w:pPr>
        <w:pStyle w:val="TextoNormal"/>
      </w:pPr>
      <w:r>
        <w:t>La administración podrá ejercer, dentro del plazo no mayor al del máximo legal para el otorgamiento de la autorización, los derechos de tanteo o de adquisición preferente y dentro de otro plazo igual tras dicho otorgamiento, los derechos de retracto o de adquisición preferente que establezca, en su caso, la legislación autonómica aplicable.</w:t>
      </w:r>
    </w:p>
    <w:p w14:paraId="3C26BA94" w14:textId="77777777" w:rsidR="009D7677" w:rsidRDefault="009D7677" w:rsidP="009D7677">
      <w:pPr>
        <w:pStyle w:val="TextoNormal"/>
      </w:pPr>
    </w:p>
    <w:p w14:paraId="41126354" w14:textId="77777777" w:rsidR="009D7677" w:rsidRDefault="009D7677" w:rsidP="009D7677">
      <w:pPr>
        <w:pStyle w:val="TextoNormal"/>
      </w:pPr>
      <w:r>
        <w:t>2. Las administraciones competentes podrán arbitrar los mecanismos necesarios para alcanzar las condiciones señaladas en el apartado anterior, pudiendo articularse a través de protocolos y convenios específicos con notarios y registradores de la propiedad”.</w:t>
      </w:r>
    </w:p>
    <w:p w14:paraId="43E3242F" w14:textId="77777777" w:rsidR="009D7677" w:rsidRDefault="009D7677" w:rsidP="009D7677">
      <w:pPr>
        <w:pStyle w:val="TextoNormal"/>
      </w:pPr>
    </w:p>
    <w:p w14:paraId="3800E8A1" w14:textId="77777777" w:rsidR="009D7677" w:rsidRDefault="009D7677" w:rsidP="009D7677">
      <w:pPr>
        <w:pStyle w:val="TextoNormal"/>
      </w:pPr>
      <w:r>
        <w:t>“Disposición transitoria primera. Viviendas calificadas con algún régimen de protección pública con anterioridad a la entrada en vigor de la ley</w:t>
      </w:r>
    </w:p>
    <w:p w14:paraId="2E609C2F" w14:textId="77777777" w:rsidR="009D7677" w:rsidRDefault="009D7677" w:rsidP="009D7677">
      <w:pPr>
        <w:pStyle w:val="TextoNormal"/>
      </w:pPr>
    </w:p>
    <w:p w14:paraId="7DAA281B" w14:textId="77777777" w:rsidR="009D7677" w:rsidRDefault="009D7677" w:rsidP="009D7677">
      <w:pPr>
        <w:pStyle w:val="TextoNormal"/>
      </w:pPr>
      <w:r>
        <w:t>Las viviendas que, a la entrada en vigor de esta ley, estuvieran calificadas definitivamente con algún régimen de protección pública, se regirán por lo dispuesto en dicho régimen, de conformidad con lo establecido en la legislación y normativa de aplicación.</w:t>
      </w:r>
    </w:p>
    <w:p w14:paraId="17D7E37B" w14:textId="77777777" w:rsidR="009D7677" w:rsidRDefault="009D7677" w:rsidP="009D7677">
      <w:pPr>
        <w:pStyle w:val="TextoNormal"/>
      </w:pPr>
    </w:p>
    <w:p w14:paraId="08BA5C57" w14:textId="77777777" w:rsidR="009D7677" w:rsidRDefault="009D7677" w:rsidP="009D7677">
      <w:pPr>
        <w:pStyle w:val="TextoNormal"/>
      </w:pPr>
      <w:r>
        <w:t>Las viviendas que formen parte de un parque público de vivienda se regirán por lo dispuesto en esta ley y en las disposiciones que lo regulen en la legislación en materia de vivienda, urbanismo y ordenación del territorio”.</w:t>
      </w:r>
    </w:p>
    <w:p w14:paraId="5ACF8FA0" w14:textId="77777777" w:rsidR="009D7677" w:rsidRDefault="009D7677" w:rsidP="009D7677">
      <w:pPr>
        <w:pStyle w:val="TextoNormal"/>
      </w:pPr>
    </w:p>
    <w:p w14:paraId="2C1524E2" w14:textId="77777777" w:rsidR="009D7677" w:rsidRDefault="009D7677" w:rsidP="009D7677">
      <w:pPr>
        <w:pStyle w:val="TextoNormal"/>
      </w:pPr>
      <w:r>
        <w:t>“Disposición final cuarta. Modificación del texto refundido de la Ley de suelo y rehabilitación urbana, aprobado por Real Decreto Legislativo 7/2015, de 30 de octubre</w:t>
      </w:r>
    </w:p>
    <w:p w14:paraId="7C6A0646" w14:textId="77777777" w:rsidR="009D7677" w:rsidRDefault="009D7677" w:rsidP="009D7677">
      <w:pPr>
        <w:pStyle w:val="TextoNormal"/>
      </w:pPr>
    </w:p>
    <w:p w14:paraId="5EBA39AA" w14:textId="77777777" w:rsidR="009D7677" w:rsidRDefault="009D7677" w:rsidP="009D7677">
      <w:pPr>
        <w:pStyle w:val="TextoNormal"/>
      </w:pPr>
      <w:r>
        <w:t>El texto refundido de la Ley de suelo y rehabilitación urbana, aprobado por Real Decreto Legislativo 7/2015, de 30 de octubre, queda modificado como sigue:</w:t>
      </w:r>
    </w:p>
    <w:p w14:paraId="10C98C6A" w14:textId="77777777" w:rsidR="009D7677" w:rsidRDefault="009D7677" w:rsidP="009D7677">
      <w:pPr>
        <w:pStyle w:val="TextoNormal"/>
      </w:pPr>
    </w:p>
    <w:p w14:paraId="21F17AD9" w14:textId="77777777" w:rsidR="009D7677" w:rsidRDefault="009D7677" w:rsidP="009D7677">
      <w:pPr>
        <w:pStyle w:val="TextoNormal"/>
      </w:pPr>
      <w:r>
        <w:t>Se modifica la letra b) del apartado 1 del artículo 20, que queda redactada del siguiente modo:</w:t>
      </w:r>
    </w:p>
    <w:p w14:paraId="297A3115" w14:textId="77777777" w:rsidR="009D7677" w:rsidRDefault="009D7677" w:rsidP="009D7677">
      <w:pPr>
        <w:pStyle w:val="TextoNormal"/>
      </w:pPr>
    </w:p>
    <w:p w14:paraId="3EEFCBB2" w14:textId="77777777" w:rsidR="009D7677" w:rsidRDefault="009D7677" w:rsidP="009D7677">
      <w:pPr>
        <w:pStyle w:val="TextoNormal"/>
      </w:pPr>
      <w:r>
        <w:t>‘b) Destinar suelo adecuado y suficiente para usos productivos y para uso residencial, con reserva en todo caso de una parte proporcionada a vivienda sujeta a un régimen de protección pública que, al menos, permita establecer su precio máximo en venta, alquiler u otras formas de acceso a la vivienda, como el derecho de superficie o la concesión administrativa.</w:t>
      </w:r>
    </w:p>
    <w:p w14:paraId="3D7423D2" w14:textId="77777777" w:rsidR="009D7677" w:rsidRDefault="009D7677" w:rsidP="009D7677">
      <w:pPr>
        <w:pStyle w:val="TextoNormal"/>
      </w:pPr>
    </w:p>
    <w:p w14:paraId="47D03552" w14:textId="77777777" w:rsidR="009D7677" w:rsidRDefault="009D7677" w:rsidP="009D7677">
      <w:pPr>
        <w:pStyle w:val="TextoNormal"/>
      </w:pPr>
      <w:r>
        <w:t>Esta reserva será determinada por la legislación sobre ordenación territorial y urbanística o, de conformidad con ella, por los instrumentos de ordenación, garantizará una distribución de su localización respetuosa con el principio de cohesión social y comprenderá, como mínimo, los terrenos necesarios para realizar el 40 por ciento de la edificabilidad residencial prevista por la ordenación urbanística en el suelo rural que vaya a ser incluido en actuaciones de nueva urbanización y el 20 por ciento en el suelo urbanizado que deba someterse a actuaciones de reforma o renovación de la urbanización.</w:t>
      </w:r>
    </w:p>
    <w:p w14:paraId="5075844B" w14:textId="77777777" w:rsidR="009D7677" w:rsidRDefault="009D7677" w:rsidP="009D7677">
      <w:pPr>
        <w:pStyle w:val="TextoNormal"/>
      </w:pPr>
    </w:p>
    <w:p w14:paraId="548C7501" w14:textId="77777777" w:rsidR="009D7677" w:rsidRDefault="009D7677" w:rsidP="009D7677">
      <w:pPr>
        <w:pStyle w:val="TextoNormal"/>
      </w:pPr>
      <w:r>
        <w:t>No obstante, dicha legislación podrá también fijar o permitir excepcionalmente una reserva inferior o eximirlas para determinados municipios o actuaciones, siempre que, cuando se trate de actuaciones de nueva urbanización, se garantice en el instrumento de ordenación el cumplimiento íntegro de la reserva dentro de su ámbito territorial de aplicación y una distribución de su localización respetuosa con el principio de cohesión social’”.</w:t>
      </w:r>
    </w:p>
    <w:p w14:paraId="3D708E50" w14:textId="77777777" w:rsidR="009D7677" w:rsidRDefault="009D7677" w:rsidP="009D7677">
      <w:pPr>
        <w:pStyle w:val="TextoNormal"/>
      </w:pPr>
    </w:p>
    <w:p w14:paraId="06F433C4" w14:textId="77777777" w:rsidR="009D7677" w:rsidRDefault="009D7677" w:rsidP="009D7677">
      <w:pPr>
        <w:pStyle w:val="TextoNormal"/>
      </w:pPr>
      <w:r>
        <w:t>Una vez más, la demanda vuelve a sostener el exceso competencial por parte del legislador estatal, que vendría a imponer con las definiciones impugnadas, el art. 16 y la disposición transitoria primera una política propia y acabada en materia de vivienda. Se destaca en particular que la legislación andaluza vigente ya cuenta con una regulación propia tanto del régimen de protección y calificación de las viviendas protegidas, como de su adjudicación. La reforma del texto refundido de la Ley de suelo y rehabilitación urbana se combate por el recurrente pese a ser consciente de que el precepto que se modifica ha sido declarado constitucional por parte de este tribunal, porque procede a una elevación que entiende excesiva de las reservas de suelo para tales viviendas.</w:t>
      </w:r>
    </w:p>
    <w:p w14:paraId="0416FE8B" w14:textId="77777777" w:rsidR="009D7677" w:rsidRDefault="009D7677" w:rsidP="009D7677">
      <w:pPr>
        <w:pStyle w:val="TextoNormal"/>
      </w:pPr>
    </w:p>
    <w:p w14:paraId="38DA7E78" w14:textId="77777777" w:rsidR="009D7677" w:rsidRDefault="009D7677" w:rsidP="009D7677">
      <w:pPr>
        <w:pStyle w:val="TextoNormal"/>
      </w:pPr>
      <w:r>
        <w:t>El abogado del Estado defiende el ajuste del legislador a sus títulos competenciales, negando cualquier invasión competencial, porque los preceptos dejan amplio campo de actuación a las comunidades autónomas.</w:t>
      </w:r>
    </w:p>
    <w:p w14:paraId="7F15A0C9" w14:textId="77777777" w:rsidR="009D7677" w:rsidRDefault="009D7677" w:rsidP="009D7677">
      <w:pPr>
        <w:pStyle w:val="TextoNormal"/>
      </w:pPr>
    </w:p>
    <w:p w14:paraId="7E54CC62" w14:textId="77777777" w:rsidR="009D7677" w:rsidRDefault="009D7677" w:rsidP="009D7677">
      <w:pPr>
        <w:pStyle w:val="TextoNormal"/>
      </w:pPr>
      <w:r>
        <w:t>B) Enjuiciamiento</w:t>
      </w:r>
    </w:p>
    <w:p w14:paraId="0EE5F547" w14:textId="77777777" w:rsidR="009D7677" w:rsidRDefault="009D7677" w:rsidP="009D7677">
      <w:pPr>
        <w:pStyle w:val="TextoNormal"/>
      </w:pPr>
    </w:p>
    <w:p w14:paraId="034D7ED9" w14:textId="77777777" w:rsidR="009D7677" w:rsidRDefault="009D7677" w:rsidP="009D7677">
      <w:pPr>
        <w:pStyle w:val="TextoNormal"/>
      </w:pPr>
      <w:r>
        <w:t xml:space="preserve">a) Como ya se destacó en el fundamento jurídico 6 B) a) de esta sentencia, las definiciones del artículo 3 de la Ley 12/2023 se establecen a efectos de lo dispuesto en ella y de su regulación. Tal cautela se refuerza cuando en la letra f) se establecen dos modalidades de vivienda protegida (social, que puede ser o no de emergencia, y de precio limitado) y la letra g) se refiere a la vivienda asequible incentivada. Son categorías sobre las que la Ley articula las políticas de planificación y programación públicas y su existencia es lo que determina la aplicación de medidas como, entre otras, las contenidas en los arts. 18.6 o 25, o en la disposición final segunda, ninguna de ellas impugnada en la demanda y que promueve el Estado. Se trata por tanto de un ejercicio legítimo de la competencia estatal </w:t>
      </w:r>
      <w:r w:rsidRPr="009D7677">
        <w:rPr>
          <w:i/>
        </w:rPr>
        <w:t>ex</w:t>
      </w:r>
      <w:r>
        <w:t xml:space="preserve"> art. 149.1.1 CE que en ningún momento supone una normación completa y acabada de la materia (STC 65/2020, de 18 de junio, FJ 7).</w:t>
      </w:r>
    </w:p>
    <w:p w14:paraId="7E63C903" w14:textId="77777777" w:rsidR="009D7677" w:rsidRDefault="009D7677" w:rsidP="009D7677">
      <w:pPr>
        <w:pStyle w:val="TextoNormal"/>
      </w:pPr>
    </w:p>
    <w:p w14:paraId="4B29D9D2" w14:textId="77777777" w:rsidR="009D7677" w:rsidRDefault="009D7677" w:rsidP="009D7677">
      <w:pPr>
        <w:pStyle w:val="TextoNormal"/>
      </w:pPr>
      <w:r>
        <w:t>b) La Ley 12/2023 establece también una serie de medidas de régimen jurídico que para la categoría de viviendas protegidas se recogen en el art. 16 y en la disposición transitoria primera.</w:t>
      </w:r>
    </w:p>
    <w:p w14:paraId="5DFD9372" w14:textId="77777777" w:rsidR="009D7677" w:rsidRDefault="009D7677" w:rsidP="009D7677">
      <w:pPr>
        <w:pStyle w:val="TextoNormal"/>
      </w:pPr>
    </w:p>
    <w:p w14:paraId="7ECF6B8C" w14:textId="77777777" w:rsidR="009D7677" w:rsidRDefault="009D7677" w:rsidP="009D7677">
      <w:pPr>
        <w:pStyle w:val="TextoNormal"/>
      </w:pPr>
      <w:r>
        <w:t>(i) El art. 16.1 afirma configurar una serie de principios para regir la vivienda protegida, sin perjuicio de lo que se establezca en la normativa autonómica y local, de la que se salvaguarda el carácter prevalente. Sin embargo, lo que allí se dispone tiene un nivel de detalle impropio del ejercicio de títulos competenciales transversales como son los de los apartados 1 y 13 del art. 149.1 CE, y supone una invasión de la competencia autonómica exclusiva para legislar en materia de vivienda. En efecto, se regula la finalidad exclusiva de la vivienda, requisitos negativos imperativos de las personas adjudicatarias, el carácter permanente de la protección de la vivienda cuando se promueva sobre determinado tipo de suelo y no inferior a treinta años en el resto de los supuestos, o las condiciones en que po</w:t>
      </w:r>
      <w:r>
        <w:lastRenderedPageBreak/>
        <w:t>drá darse la autorización de venta o alquiler sobre la misma. Son disposiciones inconstitucionales porque pese a la atribución competencial formal, en realidad establecen un régimen llamado a aplicarse de forma supletoria, determinando el precepto cómo han de relacionarse el ordenamiento estatal y los autonómicos.</w:t>
      </w:r>
    </w:p>
    <w:p w14:paraId="072AA4AB" w14:textId="77777777" w:rsidR="009D7677" w:rsidRDefault="009D7677" w:rsidP="009D7677">
      <w:pPr>
        <w:pStyle w:val="TextoNormal"/>
      </w:pPr>
    </w:p>
    <w:p w14:paraId="1A53F550" w14:textId="77777777" w:rsidR="009D7677" w:rsidRDefault="009D7677" w:rsidP="009D7677">
      <w:pPr>
        <w:pStyle w:val="TextoNormal"/>
      </w:pPr>
      <w:r>
        <w:t>El art. 16.1 debe declararse inconstitucional y nulo, pues la regla de supletoriedad del art. 149.3 CE no supone título competencial alguno para el Estado y este no puede dictar normas con el único propósito de crear Derecho supletorio del de las comunidades autónomas en materias que sean de la exclusiva competencia de estas (STC 147/1991, de 4 de julio, FJ 7), ni siquiera cuando tenga alguna competencia en la materia (STC 118/1996, de 27 de junio, doctrina reiterada en las SSTC 109/2004, de 30 de junio, FJ 8, y 139/2011, de 14 de septiembre, FJ 4, entre otras).</w:t>
      </w:r>
    </w:p>
    <w:p w14:paraId="14B19702" w14:textId="77777777" w:rsidR="009D7677" w:rsidRDefault="009D7677" w:rsidP="009D7677">
      <w:pPr>
        <w:pStyle w:val="TextoNormal"/>
      </w:pPr>
    </w:p>
    <w:p w14:paraId="47C7BFDD" w14:textId="77777777" w:rsidR="009D7677" w:rsidRDefault="009D7677" w:rsidP="009D7677">
      <w:pPr>
        <w:pStyle w:val="TextoNormal"/>
      </w:pPr>
      <w:r>
        <w:t>La inconstitucionalidad afecta también al art. 16.2, cuyo único contenido se refiere a la forma de alcanzar las condiciones señaladas en el art. 16.1.</w:t>
      </w:r>
    </w:p>
    <w:p w14:paraId="2394BEFA" w14:textId="77777777" w:rsidR="009D7677" w:rsidRDefault="009D7677" w:rsidP="009D7677">
      <w:pPr>
        <w:pStyle w:val="TextoNormal"/>
      </w:pPr>
    </w:p>
    <w:p w14:paraId="38B8BD25" w14:textId="77777777" w:rsidR="009D7677" w:rsidRDefault="009D7677" w:rsidP="009D7677">
      <w:pPr>
        <w:pStyle w:val="TextoNormal"/>
      </w:pPr>
      <w:r>
        <w:t>(ii) La declaración de inconstitucionalidad debe extenderse, igualmente, al primer párrafo de la disposición transitoria primera, dedicado a determinar el régimen (denominación que emplea el propio legislador y que evidencia la amplitud de su regulación) de las viviendas que ya estuvieran calificadas definitivamente como protegidas a la entrada en vigor de la Ley, porque la única finalidad de ese precepto es</w:t>
      </w:r>
      <w:r w:rsidRPr="009D7677">
        <w:rPr>
          <w:i/>
        </w:rPr>
        <w:t>, sensu contrar</w:t>
      </w:r>
      <w:r>
        <w:t>io, someter a la Ley 12/2023 las viviendas que aún no lo estuvieran.</w:t>
      </w:r>
    </w:p>
    <w:p w14:paraId="18E9EDE5" w14:textId="77777777" w:rsidR="009D7677" w:rsidRDefault="009D7677" w:rsidP="009D7677">
      <w:pPr>
        <w:pStyle w:val="TextoNormal"/>
      </w:pPr>
    </w:p>
    <w:p w14:paraId="04A056F8" w14:textId="77777777" w:rsidR="009D7677" w:rsidRDefault="009D7677" w:rsidP="009D7677">
      <w:pPr>
        <w:pStyle w:val="TextoNormal"/>
      </w:pPr>
      <w:r>
        <w:t>El segundo párrafo de esa disposición transitoria se refiere a las viviendas (habrá que entender implícitamente que las protegidas con anterioridad a la entrada en vigor de la Ley, por la conexión lógica con el párrafo previo) que formen parte de un parque público de vivienda y, aunque esto será objeto de análisis en el fundamento jurídico siguiente, la nulidad del primer párrafo arrastra ya la del segundo, al perderse el carácter de régimen transitorio pues el segundo párrafo, tomado de forma aislada, queda en una mera afirmación general de régimen jurídico sin referencia temporal ni conexión con el objeto de la disposición según su título.</w:t>
      </w:r>
    </w:p>
    <w:p w14:paraId="0C10FD01" w14:textId="77777777" w:rsidR="009D7677" w:rsidRDefault="009D7677" w:rsidP="009D7677">
      <w:pPr>
        <w:pStyle w:val="TextoNormal"/>
      </w:pPr>
    </w:p>
    <w:p w14:paraId="51EA38EF" w14:textId="77777777" w:rsidR="009D7677" w:rsidRDefault="009D7677" w:rsidP="009D7677">
      <w:pPr>
        <w:pStyle w:val="TextoNormal"/>
      </w:pPr>
      <w:r>
        <w:t xml:space="preserve">c) La disposición final cuarta de la Ley 12/2023 modifica, incrementándolos, los porcentajes mínimos fijados en el art. 20.1 b) TRLSRU. Como en su momento concluyó el dictamen 609/2023 del Consejo Consultivo de Andalucía, esa elevación (del 30 por 100 al 40 por 100 en unos casos y del 10 por 100 al 20 por 100 en otros) reduce más el margen de maniobra disponible para las comunidades autónomas y las entidades locales, pero respetando esos mínimos sigue siendo posible desarrollar un modelo urbanístico propio. Como se ha visto en el fundamento jurídico 5 E) c) de esta sentencia, la posibilidad de que el legislador estatal fije este tipo de porcentajes de reserva para viviendas con régimen de protección fue declarada constitucional por este tribunal en la STC 141/2014, de 11 de septiembre, sobre la base de las competencias estatales previstas en el art. 149.1.1 y 13 CE. Esa sentencia validó unos determinados porcentajes que luego se modificaron con la normativa que ahora vuelve a modificarse, en un porcentaje que este tribunal entiende proporcionado y coherente con la finalidad de la Ley 12/2023. La mera elevación cuantitativa, en los términos en que se realiza, no puede, sin otra argumentación, llevar a que se acoja la inconstitucionalidad pretendida y, por tanto, los mismos títulos competenciales </w:t>
      </w:r>
      <w:r>
        <w:lastRenderedPageBreak/>
        <w:t>respaldan el precepto impugnado, pues se incide, pero no se excluye, la adopción de una política autonómica propia (STC 152/1988, de 20 de julio, FJ 2).</w:t>
      </w:r>
    </w:p>
    <w:p w14:paraId="3B422EED" w14:textId="77777777" w:rsidR="009D7677" w:rsidRDefault="009D7677" w:rsidP="009D7677">
      <w:pPr>
        <w:pStyle w:val="TextoNormal"/>
      </w:pPr>
    </w:p>
    <w:p w14:paraId="381F9DCA" w14:textId="60319C33" w:rsidR="009D7677" w:rsidRDefault="009D7677" w:rsidP="009D7677">
      <w:pPr>
        <w:pStyle w:val="TextoNormal"/>
      </w:pPr>
      <w:r>
        <w:t>De acuerdo con lo expuesto, deben declararse conformes con el sistema constitucional de reparto competencial los arts. 3 f) y g) y la disposición final cuarta de la Ley 12/2023. Por el contrario, son inconstitucionales y nulos el art. 16 y la disposición transitoria primera.</w:t>
      </w:r>
    </w:p>
    <w:p w14:paraId="0B317DDA" w14:textId="77777777" w:rsidR="009D7677" w:rsidRDefault="009D7677" w:rsidP="009D7677">
      <w:pPr>
        <w:pStyle w:val="TextoNormal"/>
      </w:pPr>
    </w:p>
    <w:p w14:paraId="256F1238" w14:textId="77777777" w:rsidR="009D7677" w:rsidRDefault="009D7677" w:rsidP="009D7677">
      <w:pPr>
        <w:pStyle w:val="TextoNormal"/>
      </w:pPr>
      <w:r w:rsidRPr="009D7677">
        <w:rPr>
          <w:rStyle w:val="NumeroAFNegritaCaracter"/>
        </w:rPr>
        <w:t>8</w:t>
      </w:r>
      <w:r>
        <w:t xml:space="preserve">. </w:t>
      </w:r>
      <w:r w:rsidRPr="009D7677">
        <w:rPr>
          <w:i/>
        </w:rPr>
        <w:t>Impugnaciones vinculadas con la configuración de los parques públicos de vivienda</w:t>
      </w:r>
    </w:p>
    <w:p w14:paraId="6A4252F8" w14:textId="77777777" w:rsidR="009D7677" w:rsidRDefault="009D7677" w:rsidP="009D7677">
      <w:pPr>
        <w:pStyle w:val="TextoNormal"/>
      </w:pPr>
    </w:p>
    <w:p w14:paraId="000A6638" w14:textId="77777777" w:rsidR="009D7677" w:rsidRDefault="009D7677" w:rsidP="009D7677">
      <w:pPr>
        <w:pStyle w:val="TextoNormal"/>
      </w:pPr>
      <w:r>
        <w:t>A) Objeto y posiciones de las partes</w:t>
      </w:r>
    </w:p>
    <w:p w14:paraId="612B0CCF" w14:textId="77777777" w:rsidR="009D7677" w:rsidRDefault="009D7677" w:rsidP="009D7677">
      <w:pPr>
        <w:pStyle w:val="TextoNormal"/>
      </w:pPr>
    </w:p>
    <w:p w14:paraId="2045DC53" w14:textId="77777777" w:rsidR="009D7677" w:rsidRDefault="009D7677" w:rsidP="009D7677">
      <w:pPr>
        <w:pStyle w:val="TextoNormal"/>
      </w:pPr>
      <w:r>
        <w:t>Otro bloque puede configurarse con las vulneraciones constitucionales que se imputan a los arts. 27 apartado 1, párrafo tercero, y apartado 3, 28 y 29 de la Ley, sobre los parques públicos de vivienda. Los referidos preceptos establecen lo siguiente:</w:t>
      </w:r>
    </w:p>
    <w:p w14:paraId="3FD4E199" w14:textId="77777777" w:rsidR="009D7677" w:rsidRDefault="009D7677" w:rsidP="009D7677">
      <w:pPr>
        <w:pStyle w:val="TextoNormal"/>
      </w:pPr>
    </w:p>
    <w:p w14:paraId="6ABA7981" w14:textId="77777777" w:rsidR="009D7677" w:rsidRDefault="009D7677" w:rsidP="009D7677">
      <w:pPr>
        <w:pStyle w:val="TextoNormal"/>
      </w:pPr>
      <w:r>
        <w:t>“Artículo 27. Concepto, finalidad y financiación</w:t>
      </w:r>
    </w:p>
    <w:p w14:paraId="7DA68853" w14:textId="77777777" w:rsidR="009D7677" w:rsidRDefault="009D7677" w:rsidP="009D7677">
      <w:pPr>
        <w:pStyle w:val="TextoNormal"/>
      </w:pPr>
    </w:p>
    <w:p w14:paraId="49E4E677" w14:textId="77777777" w:rsidR="009D7677" w:rsidRDefault="009D7677" w:rsidP="009D7677">
      <w:pPr>
        <w:pStyle w:val="TextoNormal"/>
      </w:pPr>
      <w:r>
        <w:t>1. […]</w:t>
      </w:r>
    </w:p>
    <w:p w14:paraId="21D214E6" w14:textId="77777777" w:rsidR="009D7677" w:rsidRDefault="009D7677" w:rsidP="009D7677">
      <w:pPr>
        <w:pStyle w:val="TextoNormal"/>
      </w:pPr>
    </w:p>
    <w:p w14:paraId="488D658C" w14:textId="77777777" w:rsidR="009D7677" w:rsidRDefault="009D7677" w:rsidP="009D7677">
      <w:pPr>
        <w:pStyle w:val="TextoNormal"/>
      </w:pPr>
      <w:r>
        <w:t>Los parques públicos de vivienda, regulados específicamente por la legislación autonómica en materia de vivienda, urbanismo y ordenación del territorio, podrán estar integrados al menos por:</w:t>
      </w:r>
    </w:p>
    <w:p w14:paraId="2FAA6AC8" w14:textId="77777777" w:rsidR="009D7677" w:rsidRDefault="009D7677" w:rsidP="009D7677">
      <w:pPr>
        <w:pStyle w:val="TextoNormal"/>
      </w:pPr>
    </w:p>
    <w:p w14:paraId="25097EEB" w14:textId="77777777" w:rsidR="009D7677" w:rsidRDefault="009D7677" w:rsidP="009D7677">
      <w:pPr>
        <w:pStyle w:val="TextoNormal"/>
      </w:pPr>
      <w:r>
        <w:t>a) Las viviendas dotacionales públicas.</w:t>
      </w:r>
    </w:p>
    <w:p w14:paraId="3399E62C" w14:textId="77777777" w:rsidR="009D7677" w:rsidRDefault="009D7677" w:rsidP="009D7677">
      <w:pPr>
        <w:pStyle w:val="TextoNormal"/>
      </w:pPr>
    </w:p>
    <w:p w14:paraId="18F4511C" w14:textId="77777777" w:rsidR="009D7677" w:rsidRDefault="009D7677" w:rsidP="009D7677">
      <w:pPr>
        <w:pStyle w:val="TextoNormal"/>
      </w:pPr>
      <w:r>
        <w:t>b) Las viviendas sociales y protegidas construidas sobre suelo de titularidad pública, así como las que lo hayan sido en ejercicio del derecho de superficie, usufructo o cesión de uso y para alquiler con opción a compra, durante el tiempo en el que no se active la correspondiente opción.</w:t>
      </w:r>
    </w:p>
    <w:p w14:paraId="5AFB440D" w14:textId="77777777" w:rsidR="009D7677" w:rsidRDefault="009D7677" w:rsidP="009D7677">
      <w:pPr>
        <w:pStyle w:val="TextoNormal"/>
      </w:pPr>
    </w:p>
    <w:p w14:paraId="6D5ECA51" w14:textId="77777777" w:rsidR="009D7677" w:rsidRDefault="009D7677" w:rsidP="009D7677">
      <w:pPr>
        <w:pStyle w:val="TextoNormal"/>
      </w:pPr>
      <w:r>
        <w:t>c) Las viviendas sociales adquiridas por las administraciones públicas en ejercicio de los derechos de tanteo y retracto, de conformidad con lo que disponga la legislación aplicable y las adquiridas a través de esos mismos derechos, en casos de ejecución hipotecaria o dación en pago de vivienda habitual de colectivos en situación de vulnerabilidad o en exclusión social, tal y como prevé la legislación autonómica.</w:t>
      </w:r>
    </w:p>
    <w:p w14:paraId="3E83092F" w14:textId="77777777" w:rsidR="009D7677" w:rsidRDefault="009D7677" w:rsidP="009D7677">
      <w:pPr>
        <w:pStyle w:val="TextoNormal"/>
      </w:pPr>
    </w:p>
    <w:p w14:paraId="354ECB5F" w14:textId="77777777" w:rsidR="009D7677" w:rsidRDefault="009D7677" w:rsidP="009D7677">
      <w:pPr>
        <w:pStyle w:val="TextoNormal"/>
      </w:pPr>
      <w:r>
        <w:t>d) Las viviendas sociales adquiridas por las administraciones públicas en actuaciones de regeneración o de renovación urbanas, incluyendo las integradas en complejos inmobiliarios, tanto de forma gratuita en virtud del cumplimiento de los deberes y cargas urbanísticos correspondientes, como onerosa.</w:t>
      </w:r>
    </w:p>
    <w:p w14:paraId="70AD6082" w14:textId="77777777" w:rsidR="009D7677" w:rsidRDefault="009D7677" w:rsidP="009D7677">
      <w:pPr>
        <w:pStyle w:val="TextoNormal"/>
      </w:pPr>
    </w:p>
    <w:p w14:paraId="69F8E2D3" w14:textId="77777777" w:rsidR="009D7677" w:rsidRDefault="009D7677" w:rsidP="009D7677">
      <w:pPr>
        <w:pStyle w:val="TextoNormal"/>
      </w:pPr>
      <w:r>
        <w:t>e) Cualquier otra vivienda social adquirida por las administraciones públicas con competencias en materia de vivienda, o cedida a las mismas.</w:t>
      </w:r>
    </w:p>
    <w:p w14:paraId="28FE138C" w14:textId="77777777" w:rsidR="009D7677" w:rsidRDefault="009D7677" w:rsidP="009D7677">
      <w:pPr>
        <w:pStyle w:val="TextoNormal"/>
      </w:pPr>
    </w:p>
    <w:p w14:paraId="67BC09C1" w14:textId="77777777" w:rsidR="009D7677" w:rsidRDefault="009D7677" w:rsidP="009D7677">
      <w:pPr>
        <w:pStyle w:val="TextoNormal"/>
      </w:pPr>
      <w:r>
        <w:t>[…]</w:t>
      </w:r>
    </w:p>
    <w:p w14:paraId="2E02C957" w14:textId="77777777" w:rsidR="009D7677" w:rsidRDefault="009D7677" w:rsidP="009D7677">
      <w:pPr>
        <w:pStyle w:val="TextoNormal"/>
      </w:pPr>
    </w:p>
    <w:p w14:paraId="40C40C2A" w14:textId="77777777" w:rsidR="009D7677" w:rsidRDefault="009D7677" w:rsidP="009D7677">
      <w:pPr>
        <w:pStyle w:val="TextoNormal"/>
      </w:pPr>
      <w:r>
        <w:lastRenderedPageBreak/>
        <w:t>3. Los ingresos procedentes de las sanciones impuestas por el incumplimiento de la función social de la propiedad de la vivienda, así como los ingresos procedentes de la gestión y, en su caso, enajenación de bienes patrimoniales que formen parte del parque público de vivienda deberán destinarse a la creación, ampliación, rehabilitación o mejora de los parques públicos de vivienda, en los términos establecidos en la legislación y normativa que los regule”.</w:t>
      </w:r>
    </w:p>
    <w:p w14:paraId="51AE8060" w14:textId="77777777" w:rsidR="009D7677" w:rsidRDefault="009D7677" w:rsidP="009D7677">
      <w:pPr>
        <w:pStyle w:val="TextoNormal"/>
      </w:pPr>
    </w:p>
    <w:p w14:paraId="52589DF9" w14:textId="77777777" w:rsidR="009D7677" w:rsidRDefault="009D7677" w:rsidP="009D7677">
      <w:pPr>
        <w:pStyle w:val="TextoNormal"/>
      </w:pPr>
      <w:r>
        <w:t>“Artículo 28. Criterios orientadores en la gestión de los parques públicos de vivienda</w:t>
      </w:r>
    </w:p>
    <w:p w14:paraId="24F2BD51" w14:textId="77777777" w:rsidR="009D7677" w:rsidRDefault="009D7677" w:rsidP="009D7677">
      <w:pPr>
        <w:pStyle w:val="TextoNormal"/>
      </w:pPr>
    </w:p>
    <w:p w14:paraId="631C08CA" w14:textId="77777777" w:rsidR="009D7677" w:rsidRDefault="009D7677" w:rsidP="009D7677">
      <w:pPr>
        <w:pStyle w:val="TextoNormal"/>
      </w:pPr>
      <w:r>
        <w:t>1. Para la gestión de los parques públicos de vivienda y el cumplimiento de sus finalidades, las administraciones públicas competentes en materia de vivienda y sus entes adscritos o dependientes, de conformidad con lo dispuesto en su legislación y normativa de aplicación, y sin perjuicio de los criterios específicos que esta establezca, podrán:</w:t>
      </w:r>
    </w:p>
    <w:p w14:paraId="60A4C96E" w14:textId="77777777" w:rsidR="009D7677" w:rsidRDefault="009D7677" w:rsidP="009D7677">
      <w:pPr>
        <w:pStyle w:val="TextoNormal"/>
      </w:pPr>
    </w:p>
    <w:p w14:paraId="317F1CFC" w14:textId="77777777" w:rsidR="009D7677" w:rsidRDefault="009D7677" w:rsidP="009D7677">
      <w:pPr>
        <w:pStyle w:val="TextoNormal"/>
      </w:pPr>
      <w:r>
        <w:t>a) Crear, ampliar y gestionar, directa o indirectamente y sobre los suelos de su titularidad, incluidos los obtenidos para dotaciones públicas, parques públicos de vivienda, llevando a cabo, cuando proceda, la urbanización de los terrenos de conformidad con la ordenación territorial y urbanística.</w:t>
      </w:r>
    </w:p>
    <w:p w14:paraId="149C96CD" w14:textId="77777777" w:rsidR="009D7677" w:rsidRDefault="009D7677" w:rsidP="009D7677">
      <w:pPr>
        <w:pStyle w:val="TextoNormal"/>
      </w:pPr>
    </w:p>
    <w:p w14:paraId="4906E628" w14:textId="77777777" w:rsidR="009D7677" w:rsidRDefault="009D7677" w:rsidP="009D7677">
      <w:pPr>
        <w:pStyle w:val="TextoNormal"/>
      </w:pPr>
      <w:r>
        <w:t>b) Otorgar derechos de superficie o concesiones administrativas a terceros para que edifiquen, rehabiliten y/o gestionen viviendas del parque público, siempre que quede garantizada la titularidad pública del suelo, mediante los correspondientes procedimientos que garanticen la transparencia y pública concurrencia en la concesión de estos derechos.</w:t>
      </w:r>
    </w:p>
    <w:p w14:paraId="46C30A98" w14:textId="77777777" w:rsidR="009D7677" w:rsidRDefault="009D7677" w:rsidP="009D7677">
      <w:pPr>
        <w:pStyle w:val="TextoNormal"/>
      </w:pPr>
    </w:p>
    <w:p w14:paraId="78E28570" w14:textId="77777777" w:rsidR="009D7677" w:rsidRDefault="009D7677" w:rsidP="009D7677">
      <w:pPr>
        <w:pStyle w:val="TextoNormal"/>
      </w:pPr>
      <w:r>
        <w:t>c) Asignar recursos públicos a entidades sin ánimo de lucro con la finalidad de hacer más eficiente y próxima la gestión de las viviendas de los parques públicos, siempre que dicha gestión quede reservada a tales entidades o a la administración territorial o ente instrumental correspondiente y que la asignación se realice acorde con los objetivos de cobertura del derecho a la vivienda y de conformidad con la normativa reguladora.</w:t>
      </w:r>
    </w:p>
    <w:p w14:paraId="3F634CAE" w14:textId="77777777" w:rsidR="009D7677" w:rsidRDefault="009D7677" w:rsidP="009D7677">
      <w:pPr>
        <w:pStyle w:val="TextoNormal"/>
      </w:pPr>
    </w:p>
    <w:p w14:paraId="2B626C60" w14:textId="77777777" w:rsidR="009D7677" w:rsidRDefault="009D7677" w:rsidP="009D7677">
      <w:pPr>
        <w:pStyle w:val="TextoNormal"/>
      </w:pPr>
      <w:r>
        <w:t>d) Enajenar los bienes patrimoniales integrantes de los parques públicos de vivienda, mediante los procedimientos admitidos por la legislación aplicable, únicamente a otras administraciones públicas, sus entes instrumentales o a personas jurídicas sin ánimo de lucro, dedicadas a la gestión de vivienda con fines sociales, y mediante la obligación por parte del nuevo o nuevos titulares, de atenerse a las condiciones, plazos y rentas máximas establecidos, subrogándose en sus derechos y obligaciones.</w:t>
      </w:r>
    </w:p>
    <w:p w14:paraId="4C6DDC5C" w14:textId="77777777" w:rsidR="009D7677" w:rsidRDefault="009D7677" w:rsidP="009D7677">
      <w:pPr>
        <w:pStyle w:val="TextoNormal"/>
      </w:pPr>
    </w:p>
    <w:p w14:paraId="75542F51" w14:textId="77777777" w:rsidR="009D7677" w:rsidRDefault="009D7677" w:rsidP="009D7677">
      <w:pPr>
        <w:pStyle w:val="TextoNormal"/>
      </w:pPr>
      <w:r>
        <w:t>2. En el desarrollo de las actuaciones previstas en el apartado anterior deberá prestarse especial atención a las particularidades de cada entorno territorial, con objeto de llevar a cabo el tipo de gestión y actuaciones más acordes a las características sociales, económicas y territoriales de la demanda”.</w:t>
      </w:r>
    </w:p>
    <w:p w14:paraId="034AA700" w14:textId="77777777" w:rsidR="009D7677" w:rsidRDefault="009D7677" w:rsidP="009D7677">
      <w:pPr>
        <w:pStyle w:val="TextoNormal"/>
      </w:pPr>
    </w:p>
    <w:p w14:paraId="1DA65AF4" w14:textId="77777777" w:rsidR="009D7677" w:rsidRDefault="009D7677" w:rsidP="009D7677">
      <w:pPr>
        <w:pStyle w:val="TextoNormal"/>
      </w:pPr>
      <w:r>
        <w:t>“Artículo 29. Destino de los parques públicos de vivienda</w:t>
      </w:r>
    </w:p>
    <w:p w14:paraId="0C681431" w14:textId="77777777" w:rsidR="009D7677" w:rsidRDefault="009D7677" w:rsidP="009D7677">
      <w:pPr>
        <w:pStyle w:val="TextoNormal"/>
      </w:pPr>
    </w:p>
    <w:p w14:paraId="243E27C5" w14:textId="77777777" w:rsidR="009D7677" w:rsidRDefault="009D7677" w:rsidP="009D7677">
      <w:pPr>
        <w:pStyle w:val="TextoNormal"/>
      </w:pPr>
      <w:r>
        <w:t xml:space="preserve">1. Las viviendas integrantes de los parques públicos de vivienda tienen como destino, de conformidad con lo dispuesto en la legislación específica y demás normativa de aplicación, la garantía del derecho de acceso a la vivienda de las personas y hogares con mayores dificultades para acceder a una vivienda en el mercado, en razón de sus circunstancias </w:t>
      </w:r>
      <w:r>
        <w:lastRenderedPageBreak/>
        <w:t>sociales y económicas, atendiendo a factores específicos de vulnerabilidad como la presencia de menores de edad en el hogar o unidad de convivencia, así como a las características y particularidades del ámbito territorial.</w:t>
      </w:r>
    </w:p>
    <w:p w14:paraId="3052D612" w14:textId="77777777" w:rsidR="009D7677" w:rsidRDefault="009D7677" w:rsidP="009D7677">
      <w:pPr>
        <w:pStyle w:val="TextoNormal"/>
      </w:pPr>
    </w:p>
    <w:p w14:paraId="004F0591" w14:textId="77777777" w:rsidR="009D7677" w:rsidRDefault="009D7677" w:rsidP="009D7677">
      <w:pPr>
        <w:pStyle w:val="TextoNormal"/>
      </w:pPr>
      <w:r>
        <w:t>2. La ocupación y el disfrute de las viviendas que formen parte de parques públicos pueden producirse, de acuerdo con la correspondiente legislación y normativa de aplicación, en régimen de alquiler, cesión de uso, o cualesquiera otras formas legales de tenencia temporal en las condiciones de renta y con los requisitos que establezcan las respectivas administraciones públicas en función de la demanda existente, las condiciones socioeconómicas de las personas, familias y unidades de convivencia destinatarias y las características del mercado de vivienda, incorporando criterios de inclusión, cohesión social y asequibilidad.</w:t>
      </w:r>
    </w:p>
    <w:p w14:paraId="6074060F" w14:textId="77777777" w:rsidR="009D7677" w:rsidRDefault="009D7677" w:rsidP="009D7677">
      <w:pPr>
        <w:pStyle w:val="TextoNormal"/>
      </w:pPr>
    </w:p>
    <w:p w14:paraId="6F87567B" w14:textId="77777777" w:rsidR="009D7677" w:rsidRDefault="009D7677" w:rsidP="009D7677">
      <w:pPr>
        <w:pStyle w:val="TextoNormal"/>
      </w:pPr>
      <w:r>
        <w:t>3. Corresponde a las administraciones públicas competentes en materia de vivienda el desarrollo de sistemas de evaluación del cumplimiento de dichos requisitos de los parques públicos de vivienda de acuerdo con lo previsto en la legislación y normativa de aplicación, con el fin de garantizar el uso eficiente de los recursos públicos y la corresponsabilidad de los ocupantes de la vivienda”.</w:t>
      </w:r>
    </w:p>
    <w:p w14:paraId="416CE327" w14:textId="77777777" w:rsidR="009D7677" w:rsidRDefault="009D7677" w:rsidP="009D7677">
      <w:pPr>
        <w:pStyle w:val="TextoNormal"/>
      </w:pPr>
    </w:p>
    <w:p w14:paraId="68E0A99D" w14:textId="77777777" w:rsidR="009D7677" w:rsidRDefault="009D7677" w:rsidP="009D7677">
      <w:pPr>
        <w:pStyle w:val="TextoNormal"/>
      </w:pPr>
      <w:r>
        <w:t>El recurrente impugna determinados aspectos del régimen legal de los parques públicos de vivienda, que constituyen, de conformidad con el preámbulo de la Ley 12/2023, una de sus “apuestas más significativas”. Se reprocha en todos los casos exceso competencial porque se entiende que la Ley estatal establece una regulación imperativa y acabada que no deja margen alguno a las competencias autonómicas en materia de vivienda, urbanismo, ordenación del territorio o régimen local, según el caso.</w:t>
      </w:r>
    </w:p>
    <w:p w14:paraId="2DB4672C" w14:textId="77777777" w:rsidR="009D7677" w:rsidRDefault="009D7677" w:rsidP="009D7677">
      <w:pPr>
        <w:pStyle w:val="TextoNormal"/>
      </w:pPr>
    </w:p>
    <w:p w14:paraId="661DE7B0" w14:textId="77777777" w:rsidR="009D7677" w:rsidRDefault="009D7677" w:rsidP="009D7677">
      <w:pPr>
        <w:pStyle w:val="TextoNormal"/>
      </w:pPr>
      <w:r>
        <w:t>La extralimitación competencial se niega por parte de la Abogacía del Estado porque la regulación legal deja siempre margen de actuación suficiente a las comunidades autónomas.</w:t>
      </w:r>
    </w:p>
    <w:p w14:paraId="67723A9B" w14:textId="77777777" w:rsidR="009D7677" w:rsidRDefault="009D7677" w:rsidP="009D7677">
      <w:pPr>
        <w:pStyle w:val="TextoNormal"/>
      </w:pPr>
    </w:p>
    <w:p w14:paraId="291F8984" w14:textId="77777777" w:rsidR="009D7677" w:rsidRDefault="009D7677" w:rsidP="009D7677">
      <w:pPr>
        <w:pStyle w:val="TextoNormal"/>
      </w:pPr>
      <w:r>
        <w:t>B) Enjuiciamiento</w:t>
      </w:r>
    </w:p>
    <w:p w14:paraId="15A57900" w14:textId="77777777" w:rsidR="009D7677" w:rsidRDefault="009D7677" w:rsidP="009D7677">
      <w:pPr>
        <w:pStyle w:val="TextoNormal"/>
      </w:pPr>
    </w:p>
    <w:p w14:paraId="223BA375" w14:textId="77777777" w:rsidR="009D7677" w:rsidRDefault="009D7677" w:rsidP="009D7677">
      <w:pPr>
        <w:pStyle w:val="TextoNormal"/>
      </w:pPr>
      <w:r>
        <w:t xml:space="preserve">a) El art. 27 de la Ley 12/2023 tiene por objeto, conforme a su título, el concepto, finalidad y financiación de los parques públicos de vivienda. Sin embargo, el artículo no ofrece una definición de estos pues, tras hacer unas consideraciones generales en los dos primeros párrafos de su apartado primero sobre los fines de esta figura y su tratamiento en los planes estatales de vivienda, que el recurrente no combate, se reconoce de forma expresa que están “regulados específicamente por la legislación autonómica en materia de vivienda, urbanismo y ordenación del territorio”. Pese a ello, inmediatamente después, se listan varias categorías de viviendas públicas que deben componerlo en todo caso (“podrán estar integrados al menos por”). El precepto incurre en un exceso cuando determina la composición mínima de esos parques públicos de vivienda para todas las administraciones, al afectar determinados tipos de vivienda de titularidad autonómica o local (dotacional, social o protegida) a la finalidad para la que crea la categoría de los parques públicos de vivienda. Se trata de una medida de detalle excesivo y que no puede garantizar un mínimo uniforme en las condiciones de ejercicio del derecho a la vivienda, ya que en nada afecta a la existencia ni a la dotación efectiva de tales parques, lo que excluye su cobertura por el art. 149.1.1 CE. De lo primero parece ser consciente el propio legislador estatal </w:t>
      </w:r>
      <w:r>
        <w:lastRenderedPageBreak/>
        <w:t>cuando redacta el encabezado del párrafo en términos potestativos; lo segundo es obvio, pues el número de viviendas dotacionales o la construcción/adquisición de viviendas públicas protegidas y sociales, a que el listado se refiere, depende del ejercicio de la política en la materia.</w:t>
      </w:r>
    </w:p>
    <w:p w14:paraId="7775D4B7" w14:textId="77777777" w:rsidR="009D7677" w:rsidRDefault="009D7677" w:rsidP="009D7677">
      <w:pPr>
        <w:pStyle w:val="TextoNormal"/>
      </w:pPr>
    </w:p>
    <w:p w14:paraId="76A03FFF" w14:textId="77777777" w:rsidR="009D7677" w:rsidRDefault="009D7677" w:rsidP="009D7677">
      <w:pPr>
        <w:pStyle w:val="TextoNormal"/>
      </w:pPr>
      <w:r>
        <w:t>Sin enjuiciar la conveniencia o idoneidad de que esos tipos de vivienda se integren en los parques públicos de vivienda, el listado del párrafo tercero del art. 27.1 de la Ley 12/2023 refleja una técnica propia del ejercicio de competencias de legislación básica, al dar una determinada naturaleza a cierto patrimonio de otras administraciones que estas no pueden variar, solo extender a otros de sus bienes. Debe entonces reputarse inconstitucional [STC 61/1997, de 20 de marzo, FJ 7 a)] puesto que, además, en nada contribuye, como acaba de razonarse, al ejercicio en condiciones básicas de igualdad del derecho a la vivienda de quienes tienen más dificultades de acceso a esta en el mercado. Por eso último, la medida tampoco tiene una dimensión económica, lo que lleva a descartar igualmente la aplicabilidad del art. 149.1.13 CE (STC 21/1999, de 25 de febrero, FJ 5). Su carácter taxativo, al establecer unos mínimos sin excepciones, excluye toda consideración como Derecho supletorio y exime por tanto de entrar en ese aspecto.</w:t>
      </w:r>
    </w:p>
    <w:p w14:paraId="064BEB08" w14:textId="77777777" w:rsidR="009D7677" w:rsidRDefault="009D7677" w:rsidP="009D7677">
      <w:pPr>
        <w:pStyle w:val="TextoNormal"/>
      </w:pPr>
    </w:p>
    <w:p w14:paraId="51D311B1" w14:textId="77777777" w:rsidR="009D7677" w:rsidRDefault="009D7677" w:rsidP="009D7677">
      <w:pPr>
        <w:pStyle w:val="TextoNormal"/>
      </w:pPr>
      <w:r>
        <w:t>b) Taxativo es también el art. 27.3, que afecta imperativamente determinados ingresos de las administraciones públicas relacionados con la función social de la propiedad y la gestión de los parques públicos de vivienda a la creación, ampliación, rehabilitación o mejora de estos.</w:t>
      </w:r>
    </w:p>
    <w:p w14:paraId="1574A6C2" w14:textId="77777777" w:rsidR="009D7677" w:rsidRDefault="009D7677" w:rsidP="009D7677">
      <w:pPr>
        <w:pStyle w:val="TextoNormal"/>
      </w:pPr>
    </w:p>
    <w:p w14:paraId="6FA075F9" w14:textId="77777777" w:rsidR="009D7677" w:rsidRDefault="009D7677" w:rsidP="009D7677">
      <w:pPr>
        <w:pStyle w:val="TextoNormal"/>
      </w:pPr>
      <w:r>
        <w:t>En relación con los patrimonios públicos de suelo, el art. 51.2 TRLSRU contiene una regla de garantía o aseguramiento de la suerte de los bienes que lo integran similar a la que nos ocupa. El contenido de ese precepto fue declarado constitucional, en la STC 141/2014, de 11 de septiembre, al analizar el artículo entonces vigente, con el mismo tenor en el Real Decreto Legislativo 2/2008, de 20 de junio. Entendimos allí la regulación del destino de estos bienes como una materia de competencia estatal ejercida al amparo del art. 149.1.13 CE [FJ 11 A)]. Ahora bien, el precepto aquí impugnado va mucho más allá, al prever además la afectación finalista de ingresos procedentes de las sanciones impuestas por el incumplimiento de la función social de la propiedad de la vivienda y de los ingresos procedentes de la gestión de esos bienes, y no solo de su enajenación. Ello supone un exceso competencial, que resulta contrario al principio de autonomía financiera a que el art. 156.1 CE vincula el desarrollo y ejecución de las competencias autonómicas. En este sentido ya hemos dicho que existe un “señorío” sobre los recursos propios, también en las comunidades autónomas, que “obliga, desde perspectiva contraria, a abstenerse de efectuar ‘actos de disposición’ o ‘afirmaciones competenciales’ sobre recursos ajenos” (STC 87/2019, de 20 de junio, FJ 15). Por tanto, el art. 27.3 es también inconstitucional.</w:t>
      </w:r>
    </w:p>
    <w:p w14:paraId="5AB5919F" w14:textId="77777777" w:rsidR="009D7677" w:rsidRDefault="009D7677" w:rsidP="009D7677">
      <w:pPr>
        <w:pStyle w:val="TextoNormal"/>
      </w:pPr>
    </w:p>
    <w:p w14:paraId="287229F9" w14:textId="77777777" w:rsidR="009D7677" w:rsidRDefault="009D7677" w:rsidP="009D7677">
      <w:pPr>
        <w:pStyle w:val="TextoNormal"/>
      </w:pPr>
      <w:r>
        <w:t xml:space="preserve">c) El art. 28.1 de la Ley 12/2023, por su parte, regula unos criterios orientadores en la gestión de los meritados parques dirigidos a las administraciones competentes en materia de vivienda y sus entes adscritos o dependientes, que se establece “de conformidad con lo dispuesto en su legislación y normativa de aplicación, y sin perjuicio de los criterios específicos que esta establezca”. La previsión responde a la competencia estatal </w:t>
      </w:r>
      <w:r w:rsidRPr="009D7677">
        <w:rPr>
          <w:i/>
        </w:rPr>
        <w:t>ex</w:t>
      </w:r>
      <w:r>
        <w:t xml:space="preserve"> art. 149.1.1 CE por las mismas razones que acaban de exponerse, teniendo en cuenta, asimismo, que comprende medidas vinculantes no desplazables, como la limitación de los titulares en favor de quienes se podrán enajenar los bienes patrimoniales integrantes de los parques </w:t>
      </w:r>
      <w:r>
        <w:lastRenderedPageBreak/>
        <w:t>públicos de vivienda. No se trata, además, de medidas uniformes, pues el art. 28.2 prevé que al desarrollar esas actuaciones deba prestarse especial atención a las peculiaridades de cada entorno, para actuar de la forma más acorde a las características de la demanda, sin que pueda verse en ello afección posible a las competencias autonómicas en materia de ordenación territorial o régimen local, que en nada se agotan (STC 152/1988, de 20 de julio, FJ 2).</w:t>
      </w:r>
    </w:p>
    <w:p w14:paraId="0A0566E1" w14:textId="77777777" w:rsidR="009D7677" w:rsidRDefault="009D7677" w:rsidP="009D7677">
      <w:pPr>
        <w:pStyle w:val="TextoNormal"/>
      </w:pPr>
    </w:p>
    <w:p w14:paraId="7BDBF3DB" w14:textId="77777777" w:rsidR="009D7677" w:rsidRDefault="009D7677" w:rsidP="009D7677">
      <w:pPr>
        <w:pStyle w:val="TextoNormal"/>
      </w:pPr>
      <w:r>
        <w:t xml:space="preserve">d) El legítimo ejercicio de la competencia estatal </w:t>
      </w:r>
      <w:r w:rsidRPr="009D7677">
        <w:rPr>
          <w:i/>
        </w:rPr>
        <w:t>ex</w:t>
      </w:r>
      <w:r>
        <w:t xml:space="preserve"> art. 149.1.1 CE es, finalmente, predicable del art. 29, que desarrolla el destino de los parques públicos de vivienda indicado en el primer párrafo del art. 27.1 de la misma Ley “de conformidad con lo dispuesto en la legislación específica y demás normativa de aplicación” (art. 29.1), lo que supone su directa aplicación en esos términos y excluye la supletoriedad. Igual fórmula se repite al indicar las formas en que “pueden” producirse su ocupación y disfrute (art. 29.2), encomendando también con la misma cautela a las administraciones competentes en materia de vivienda el desarrollo de los sistemas de evaluación de los requisitos para ello (art. 29.3). De nuevo, se trata de una previsión que establece las condiciones básicas necesarias para garantizar la igualdad en el ejercicio del derecho a la vivienda, sin suponer una normación completa y acabada del mismo (STC 65/2020, de 18 de junio, FJ 7), por lo que no vulnera las competencias autonómicas.</w:t>
      </w:r>
    </w:p>
    <w:p w14:paraId="352D56C3" w14:textId="77777777" w:rsidR="009D7677" w:rsidRDefault="009D7677" w:rsidP="009D7677">
      <w:pPr>
        <w:pStyle w:val="TextoNormal"/>
      </w:pPr>
    </w:p>
    <w:p w14:paraId="4F660460" w14:textId="1AC799AC" w:rsidR="009D7677" w:rsidRDefault="009D7677" w:rsidP="009D7677">
      <w:pPr>
        <w:pStyle w:val="TextoNormal"/>
      </w:pPr>
      <w:r>
        <w:t>En conclusión, deben declararse nulos e inconstitucionales, por exceso competencial, el tercer párrafo del art. 27.1 y el art. 27.3. Se rechazan las quejas formuladas respecto al art. 28 y el art. 29, que suponen legítimo ejercicio de las competencias que corresponden al Estado en función del art. 149.1.1 CE.</w:t>
      </w:r>
    </w:p>
    <w:p w14:paraId="3797277F" w14:textId="77777777" w:rsidR="009D7677" w:rsidRDefault="009D7677" w:rsidP="009D7677">
      <w:pPr>
        <w:pStyle w:val="TextoNormal"/>
      </w:pPr>
    </w:p>
    <w:p w14:paraId="0742CFBB" w14:textId="77777777" w:rsidR="009D7677" w:rsidRDefault="009D7677" w:rsidP="009D7677">
      <w:pPr>
        <w:pStyle w:val="TextoNormal"/>
      </w:pPr>
      <w:r w:rsidRPr="009D7677">
        <w:rPr>
          <w:rStyle w:val="NumeroAFNegritaCaracter"/>
        </w:rPr>
        <w:t>9</w:t>
      </w:r>
      <w:r>
        <w:t xml:space="preserve">. </w:t>
      </w:r>
      <w:r w:rsidRPr="009D7677">
        <w:rPr>
          <w:i/>
        </w:rPr>
        <w:t>Impugnaciones relativas al régimen de arrendamientos urbanos</w:t>
      </w:r>
    </w:p>
    <w:p w14:paraId="7C96BEF3" w14:textId="77777777" w:rsidR="009D7677" w:rsidRDefault="009D7677" w:rsidP="009D7677">
      <w:pPr>
        <w:pStyle w:val="TextoNormal"/>
      </w:pPr>
    </w:p>
    <w:p w14:paraId="303C32C2" w14:textId="77777777" w:rsidR="009D7677" w:rsidRDefault="009D7677" w:rsidP="009D7677">
      <w:pPr>
        <w:pStyle w:val="TextoNormal"/>
      </w:pPr>
      <w:r>
        <w:t>A) Objeto y posiciones de las partes</w:t>
      </w:r>
    </w:p>
    <w:p w14:paraId="51214C3E" w14:textId="77777777" w:rsidR="009D7677" w:rsidRDefault="009D7677" w:rsidP="009D7677">
      <w:pPr>
        <w:pStyle w:val="TextoNormal"/>
      </w:pPr>
    </w:p>
    <w:p w14:paraId="2E01B463" w14:textId="77777777" w:rsidR="009D7677" w:rsidRDefault="009D7677" w:rsidP="009D7677">
      <w:pPr>
        <w:pStyle w:val="TextoNormal"/>
      </w:pPr>
      <w:r>
        <w:t>Finalmente, se estudia la queja de inconstitucionalidad que se dirige en el recurso contra la disposición final primera en sus apartados uno, tres y seis, la cual dispone:</w:t>
      </w:r>
    </w:p>
    <w:p w14:paraId="38ABCE58" w14:textId="77777777" w:rsidR="009D7677" w:rsidRDefault="009D7677" w:rsidP="009D7677">
      <w:pPr>
        <w:pStyle w:val="TextoNormal"/>
      </w:pPr>
    </w:p>
    <w:p w14:paraId="5645B8A6" w14:textId="77777777" w:rsidR="009D7677" w:rsidRDefault="009D7677" w:rsidP="009D7677">
      <w:pPr>
        <w:pStyle w:val="TextoNormal"/>
      </w:pPr>
      <w:r>
        <w:t>“Disposición final primera. Medidas de contención de precios en la regulación de los contratos de arrendamiento de vivienda</w:t>
      </w:r>
    </w:p>
    <w:p w14:paraId="1228C263" w14:textId="77777777" w:rsidR="009D7677" w:rsidRDefault="009D7677" w:rsidP="009D7677">
      <w:pPr>
        <w:pStyle w:val="TextoNormal"/>
      </w:pPr>
    </w:p>
    <w:p w14:paraId="2471F7E9" w14:textId="77777777" w:rsidR="009D7677" w:rsidRDefault="009D7677" w:rsidP="009D7677">
      <w:pPr>
        <w:pStyle w:val="TextoNormal"/>
      </w:pPr>
      <w:r>
        <w:t>La Ley 29/1994, de 24 de noviembre, de arrendamientos urbanos, queda modificada como sigue:</w:t>
      </w:r>
    </w:p>
    <w:p w14:paraId="19E3A6B1" w14:textId="77777777" w:rsidR="009D7677" w:rsidRDefault="009D7677" w:rsidP="009D7677">
      <w:pPr>
        <w:pStyle w:val="TextoNormal"/>
      </w:pPr>
    </w:p>
    <w:p w14:paraId="7C0AD446" w14:textId="77777777" w:rsidR="009D7677" w:rsidRDefault="009D7677" w:rsidP="009D7677">
      <w:pPr>
        <w:pStyle w:val="TextoNormal"/>
      </w:pPr>
      <w:r>
        <w:t>Uno. El artículo 10 queda redactado en los siguientes términos:</w:t>
      </w:r>
    </w:p>
    <w:p w14:paraId="7DF818E7" w14:textId="77777777" w:rsidR="009D7677" w:rsidRDefault="009D7677" w:rsidP="009D7677">
      <w:pPr>
        <w:pStyle w:val="TextoNormal"/>
      </w:pPr>
    </w:p>
    <w:p w14:paraId="068B52A1" w14:textId="77777777" w:rsidR="009D7677" w:rsidRDefault="009D7677" w:rsidP="009D7677">
      <w:pPr>
        <w:pStyle w:val="TextoNormal"/>
      </w:pPr>
      <w:r>
        <w:t>‘Artículo 10. Prórroga del contrato</w:t>
      </w:r>
    </w:p>
    <w:p w14:paraId="1D9AE9D8" w14:textId="77777777" w:rsidR="009D7677" w:rsidRDefault="009D7677" w:rsidP="009D7677">
      <w:pPr>
        <w:pStyle w:val="TextoNormal"/>
      </w:pPr>
    </w:p>
    <w:p w14:paraId="2B967E00" w14:textId="77777777" w:rsidR="009D7677" w:rsidRDefault="009D7677" w:rsidP="009D7677">
      <w:pPr>
        <w:pStyle w:val="TextoNormal"/>
      </w:pPr>
      <w:r>
        <w:t xml:space="preserve">1. Si llegada la fecha de vencimiento del contrato, o de cualquiera de sus prórrogas, una vez transcurridos como mínimo cinco años de duración de aquel, o siete años si el arrendador fuese persona jurídica, ninguna de las partes hubiese notificado a la otra, al menos con cuatro meses de antelación a aquella fecha en el caso del arrendador y al menos con dos meses de antelación en el caso del arrendatario, su voluntad de no renovarlo, el contrato se prorrogará obligatoriamente por plazos anuales hasta un máximo de tres años más, </w:t>
      </w:r>
      <w:r>
        <w:lastRenderedPageBreak/>
        <w:t>salvo que el arrendatario manifieste al arrendador con un mes de antelación a la fecha de terminación de cualquiera de las anualidades, su voluntad de no renovar el contrato.</w:t>
      </w:r>
    </w:p>
    <w:p w14:paraId="2D9BA883" w14:textId="77777777" w:rsidR="009D7677" w:rsidRDefault="009D7677" w:rsidP="009D7677">
      <w:pPr>
        <w:pStyle w:val="TextoNormal"/>
      </w:pPr>
    </w:p>
    <w:p w14:paraId="42B1ED81" w14:textId="77777777" w:rsidR="009D7677" w:rsidRDefault="009D7677" w:rsidP="009D7677">
      <w:pPr>
        <w:pStyle w:val="TextoNormal"/>
      </w:pPr>
      <w:r>
        <w:t>2. En los contratos de arrendamiento de vivienda habitual sujetos a la presente ley en los que finalice el periodo de prórroga obligatoria previsto en el artículo 9.1, o el periodo de prórroga tácita previsto en el artículo 10.1, podrá aplicarse, previa solicitud del arrendatario, una prórroga extraordinaria del plazo del contrato de arrendamiento por un periodo máximo de un año, durante el cual se seguirá aplicando los términos y condiciones establecidos para el contrato en vigor. Esta solicitud de prórroga extraordinaria requerirá la acreditación por parte del arrendatario de una situación de vulnerabilidad social y económica sobre la base de un informe o certificado emitido en el último año por los servicios sociales de ámbito municipal o autonómico y deberá ser aceptada obligatoriamente por el arrendador cuando este sea un gran tenedor de vivienda de acuerdo con la definición establecida en la Ley 12/2023, de 24 de mayo, por el derecho a la vivienda, salvo que se hubiese suscrito entre las partes un nuevo contrato de arrendamiento.</w:t>
      </w:r>
    </w:p>
    <w:p w14:paraId="4AE26458" w14:textId="77777777" w:rsidR="009D7677" w:rsidRDefault="009D7677" w:rsidP="009D7677">
      <w:pPr>
        <w:pStyle w:val="TextoNormal"/>
      </w:pPr>
    </w:p>
    <w:p w14:paraId="50501CFE" w14:textId="77777777" w:rsidR="009D7677" w:rsidRDefault="009D7677" w:rsidP="009D7677">
      <w:pPr>
        <w:pStyle w:val="TextoNormal"/>
      </w:pPr>
      <w:r>
        <w:t>3. En los contratos de arrendamiento de vivienda habitual sujetos a la presente ley, en los que el inmueble se ubique en una zona de mercado residencial tensionado y dentro del periodo de vigencia de la declaración de la referida zona en los términos dispuestos en la legislación estatal en materia de vivienda, finalice el periodo de prórroga obligatoria previsto en el artículo 9.1 de esta ley o el periodo de prórroga tácita previsto en el apartado anterior, previa solicitud del arrendatario, podrá prorrogarse de manera extraordinaria el contrato de arrendamiento por plazos anuales, por un periodo máximo de tres años, durante los cuales se seguirán aplicando los términos y condiciones establecidos para el contrato en vigor. Esta solicitud de prórroga extraordinaria deberá ser aceptada obligatoriamente por el arrendador, salvo que se hayan fijado otros términos o condiciones por acuerdo entre las partes, se haya suscrito un nuevo contrato de arrendamiento con las limitaciones en la renta que en su caso procedan por aplicación de lo dispuesto en los apartados 6 y 7 del artículo 17 de esta ley, o en el caso de que el arrendador haya comunicado en los plazos y condiciones establecidos en el artículo 9.3 de esta ley, la necesidad de ocupar la vivienda arrendada para destinarla a vivienda permanente para sí o sus familiares en primer grado de consanguinidad o por adopción o para su cónyuge en los supuestos de sentencia firme de separación, divorcio o nulidad matrimonial.</w:t>
      </w:r>
    </w:p>
    <w:p w14:paraId="26703F15" w14:textId="77777777" w:rsidR="009D7677" w:rsidRDefault="009D7677" w:rsidP="009D7677">
      <w:pPr>
        <w:pStyle w:val="TextoNormal"/>
      </w:pPr>
    </w:p>
    <w:p w14:paraId="5C6FF2A5" w14:textId="77777777" w:rsidR="009D7677" w:rsidRDefault="009D7677" w:rsidP="009D7677">
      <w:pPr>
        <w:pStyle w:val="TextoNormal"/>
      </w:pPr>
      <w:r>
        <w:t>4. Al contrato prorrogado, le seguirá siendo de aplicación el régimen legal y convencional al que estuviera sometido’.</w:t>
      </w:r>
    </w:p>
    <w:p w14:paraId="55BBD619" w14:textId="77777777" w:rsidR="009D7677" w:rsidRDefault="009D7677" w:rsidP="009D7677">
      <w:pPr>
        <w:pStyle w:val="TextoNormal"/>
      </w:pPr>
    </w:p>
    <w:p w14:paraId="1256BE56" w14:textId="77777777" w:rsidR="009D7677" w:rsidRDefault="009D7677" w:rsidP="009D7677">
      <w:pPr>
        <w:pStyle w:val="TextoNormal"/>
      </w:pPr>
      <w:r>
        <w:t>[…]</w:t>
      </w:r>
    </w:p>
    <w:p w14:paraId="71725804" w14:textId="77777777" w:rsidR="009D7677" w:rsidRDefault="009D7677" w:rsidP="009D7677">
      <w:pPr>
        <w:pStyle w:val="TextoNormal"/>
      </w:pPr>
    </w:p>
    <w:p w14:paraId="150DDF83" w14:textId="77777777" w:rsidR="009D7677" w:rsidRDefault="009D7677" w:rsidP="009D7677">
      <w:pPr>
        <w:pStyle w:val="TextoNormal"/>
      </w:pPr>
      <w:r>
        <w:t>Tres. Se añaden dos nuevos apartados 6 y 7 en el artículo 17, redactados en los siguientes términos:</w:t>
      </w:r>
    </w:p>
    <w:p w14:paraId="69BF6CAA" w14:textId="77777777" w:rsidR="009D7677" w:rsidRDefault="009D7677" w:rsidP="009D7677">
      <w:pPr>
        <w:pStyle w:val="TextoNormal"/>
      </w:pPr>
    </w:p>
    <w:p w14:paraId="1CDDEB8C" w14:textId="77777777" w:rsidR="009D7677" w:rsidRDefault="009D7677" w:rsidP="009D7677">
      <w:pPr>
        <w:pStyle w:val="TextoNormal"/>
      </w:pPr>
      <w:r>
        <w:t xml:space="preserve">‘6. En los contratos de arrendamiento de vivienda sujetos a la presente ley en los que el inmueble se ubique en una zona de mercado residencial tensionado dentro del periodo de vigencia de la declaración de la referida zona en los términos dispuestos en la Ley 12/2023, de 24 de mayo, por el derecho a la vivienda, la renta pactada al inicio del nuevo contrato no podrá exceder de la última renta de contrato de arrendamiento de vivienda habitual que hubiese estado vigente en los últimos cinco años en la misma vivienda, una </w:t>
      </w:r>
      <w:r>
        <w:lastRenderedPageBreak/>
        <w:t>vez aplicada la cláusula de actualización anual de la renta del contrato anterior, sin que se puedan fijar nuevas condiciones que establezcan la repercusión al arrendatario de cuotas o gastos que no estuviesen recogidas en el contrato anterior.</w:t>
      </w:r>
    </w:p>
    <w:p w14:paraId="4C9E65A3" w14:textId="77777777" w:rsidR="009D7677" w:rsidRDefault="009D7677" w:rsidP="009D7677">
      <w:pPr>
        <w:pStyle w:val="TextoNormal"/>
      </w:pPr>
    </w:p>
    <w:p w14:paraId="6DF4A386" w14:textId="77777777" w:rsidR="009D7677" w:rsidRDefault="009D7677" w:rsidP="009D7677">
      <w:pPr>
        <w:pStyle w:val="TextoNormal"/>
      </w:pPr>
      <w:r>
        <w:t>Únicamente podrá incrementarse, más allá de lo que proceda de la aplicación de la cláusula de actualización anual de la renta del contrato anterior, en un máximo del 10 por ciento sobre la última renta de contrato de arrendamiento de vivienda habitual que hubiese estado vigente en los últimos cinco años en la misma vivienda, cuando se acredite alguno de los siguientes supuestos:</w:t>
      </w:r>
    </w:p>
    <w:p w14:paraId="695D1F79" w14:textId="77777777" w:rsidR="009D7677" w:rsidRDefault="009D7677" w:rsidP="009D7677">
      <w:pPr>
        <w:pStyle w:val="TextoNormal"/>
      </w:pPr>
    </w:p>
    <w:p w14:paraId="573C2DAA" w14:textId="77777777" w:rsidR="009D7677" w:rsidRDefault="009D7677" w:rsidP="009D7677">
      <w:pPr>
        <w:pStyle w:val="TextoNormal"/>
      </w:pPr>
      <w:r>
        <w:t>a) Cuando la vivienda hubiera sido objeto de una actuación de rehabilitación en los términos previstos en el apartado 1 del artículo 41 del Reglamento del impuesto sobre la renta de las personas físicas, que hubiera finalizado en los dos años anteriores a la fecha de la celebración del nuevo contrato de arrendamiento.</w:t>
      </w:r>
    </w:p>
    <w:p w14:paraId="29BA1A26" w14:textId="77777777" w:rsidR="009D7677" w:rsidRDefault="009D7677" w:rsidP="009D7677">
      <w:pPr>
        <w:pStyle w:val="TextoNormal"/>
      </w:pPr>
    </w:p>
    <w:p w14:paraId="00ED02B4" w14:textId="77777777" w:rsidR="009D7677" w:rsidRDefault="009D7677" w:rsidP="009D7677">
      <w:pPr>
        <w:pStyle w:val="TextoNormal"/>
      </w:pPr>
      <w:r>
        <w:t>b) Cuando en los dos años anteriores a la fecha de la celebración del nuevo contrato de arrendamiento se hubieran finalizado actuaciones de rehabilitación o mejora de la vivienda en la que se haya acreditado un ahorro de energía primaria no renovable del 30 por ciento, a través de sendos certificados de eficiencia energética de la vivienda, uno posterior a la actuación y otro anterior que se hubiese registrado como máximo dos años antes de la fecha de la referida actuación.</w:t>
      </w:r>
    </w:p>
    <w:p w14:paraId="0CE43904" w14:textId="77777777" w:rsidR="009D7677" w:rsidRDefault="009D7677" w:rsidP="009D7677">
      <w:pPr>
        <w:pStyle w:val="TextoNormal"/>
      </w:pPr>
    </w:p>
    <w:p w14:paraId="5C9A7F1E" w14:textId="77777777" w:rsidR="009D7677" w:rsidRDefault="009D7677" w:rsidP="009D7677">
      <w:pPr>
        <w:pStyle w:val="TextoNormal"/>
      </w:pPr>
      <w:r>
        <w:t>c) Cuando en los dos años anteriores a la fecha de la celebración del nuevo contrato de arrendamiento se hubieran finalizado actuaciones de mejora de la accesibilidad, debidamente acreditadas.</w:t>
      </w:r>
    </w:p>
    <w:p w14:paraId="0A057E52" w14:textId="77777777" w:rsidR="009D7677" w:rsidRDefault="009D7677" w:rsidP="009D7677">
      <w:pPr>
        <w:pStyle w:val="TextoNormal"/>
      </w:pPr>
    </w:p>
    <w:p w14:paraId="22279A9B" w14:textId="77777777" w:rsidR="009D7677" w:rsidRDefault="009D7677" w:rsidP="009D7677">
      <w:pPr>
        <w:pStyle w:val="TextoNormal"/>
      </w:pPr>
      <w:r>
        <w:t>d) Cuando el contrato de arrendamiento se firme por un periodo de diez o más años, o bien, se establezca un derecho de prórroga al que pueda acogerse voluntariamente el arrendatario, que le permita de manera potestativa prorrogar el contrato en los mismos términos y condiciones durante un periodo de diez o más años.</w:t>
      </w:r>
    </w:p>
    <w:p w14:paraId="43187232" w14:textId="77777777" w:rsidR="009D7677" w:rsidRDefault="009D7677" w:rsidP="009D7677">
      <w:pPr>
        <w:pStyle w:val="TextoNormal"/>
      </w:pPr>
    </w:p>
    <w:p w14:paraId="1F7782FB" w14:textId="77777777" w:rsidR="009D7677" w:rsidRDefault="009D7677" w:rsidP="009D7677">
      <w:pPr>
        <w:pStyle w:val="TextoNormal"/>
      </w:pPr>
      <w:r>
        <w:t>7. Sin perjuicio de lo dispuesto en el apartado anterior, en los contratos de arrendamiento de vivienda sujetos a la presente ley en los que el arrendador sea un gran tenedor de vivienda de acuerdo con la definición establecida en la Ley 12/2023, de 24 de mayo, por el derecho a la vivienda, y en los que el inmueble se ubique en una zona de mercado residencial tensionado dentro del periodo de vigencia de la declaración de la referida zona en los términos dispuestos en la referida Ley 12/2023, de 24 de mayo, por el derecho a la vivienda, la renta pactada al inicio del nuevo contrato no podrá exceder del límite máximo del precio aplicable conforme al sistema de índices de precios de referencia atendiendo a las condiciones y características de la vivienda arrendada y del edificio en que se ubique, pudiendo desarrollarse reglamentariamente las bases metodológicas de dicho sistema y los protocolos de colaboración e intercambio de datos con los sistemas de información estatales y autonómicos de aplicación.</w:t>
      </w:r>
    </w:p>
    <w:p w14:paraId="6407D0F3" w14:textId="77777777" w:rsidR="009D7677" w:rsidRDefault="009D7677" w:rsidP="009D7677">
      <w:pPr>
        <w:pStyle w:val="TextoNormal"/>
      </w:pPr>
    </w:p>
    <w:p w14:paraId="75DB3D29" w14:textId="77777777" w:rsidR="009D7677" w:rsidRDefault="009D7677" w:rsidP="009D7677">
      <w:pPr>
        <w:pStyle w:val="TextoNormal"/>
      </w:pPr>
      <w:r>
        <w:t>Esta misma limitación se aplicará a los contratos de arrendamiento de vivienda en los que el inmueble se ubique en una zona de mercado residencial tensionado dentro del periodo de vigencia de la declaración de la referida zona en los términos dispuestos en la referida Ley 12/2023, de 24 de mayo, por el derecho a la vivienda, y sobre el que no hu</w:t>
      </w:r>
      <w:r>
        <w:lastRenderedPageBreak/>
        <w:t>biese estado vigente ningún contrato de arrendamiento de vivienda vigente en los últimos cinco años, siempre que así se recoja en la resolución del Ministerio de Transportes, Movilidad y Agenda Urbana, al haberse justificado dicha aplicación en la declaración de la zona de mercado residencial tensionado’.</w:t>
      </w:r>
    </w:p>
    <w:p w14:paraId="30898896" w14:textId="77777777" w:rsidR="009D7677" w:rsidRDefault="009D7677" w:rsidP="009D7677">
      <w:pPr>
        <w:pStyle w:val="TextoNormal"/>
      </w:pPr>
    </w:p>
    <w:p w14:paraId="515AEB1B" w14:textId="77777777" w:rsidR="009D7677" w:rsidRDefault="009D7677" w:rsidP="009D7677">
      <w:pPr>
        <w:pStyle w:val="TextoNormal"/>
      </w:pPr>
      <w:r>
        <w:t>[…]</w:t>
      </w:r>
    </w:p>
    <w:p w14:paraId="45A7374E" w14:textId="77777777" w:rsidR="009D7677" w:rsidRDefault="009D7677" w:rsidP="009D7677">
      <w:pPr>
        <w:pStyle w:val="TextoNormal"/>
      </w:pPr>
    </w:p>
    <w:p w14:paraId="469247AC" w14:textId="77777777" w:rsidR="009D7677" w:rsidRDefault="009D7677" w:rsidP="009D7677">
      <w:pPr>
        <w:pStyle w:val="TextoNormal"/>
      </w:pPr>
      <w:r>
        <w:t>Seis. Se añade una disposición transitoria séptima, redactada de la siguiente forma:</w:t>
      </w:r>
    </w:p>
    <w:p w14:paraId="13C46539" w14:textId="77777777" w:rsidR="009D7677" w:rsidRDefault="009D7677" w:rsidP="009D7677">
      <w:pPr>
        <w:pStyle w:val="TextoNormal"/>
      </w:pPr>
    </w:p>
    <w:p w14:paraId="7B728553" w14:textId="77777777" w:rsidR="009D7677" w:rsidRDefault="009D7677" w:rsidP="009D7677">
      <w:pPr>
        <w:pStyle w:val="TextoNormal"/>
      </w:pPr>
      <w:r>
        <w:t>‘Disposición transitoria séptima. Aplicación de las medidas en zonas tensionadas</w:t>
      </w:r>
    </w:p>
    <w:p w14:paraId="6CAF21D7" w14:textId="77777777" w:rsidR="009D7677" w:rsidRDefault="009D7677" w:rsidP="009D7677">
      <w:pPr>
        <w:pStyle w:val="TextoNormal"/>
      </w:pPr>
    </w:p>
    <w:p w14:paraId="0B9BF134" w14:textId="77777777" w:rsidR="009D7677" w:rsidRDefault="009D7677" w:rsidP="009D7677">
      <w:pPr>
        <w:pStyle w:val="TextoNormal"/>
      </w:pPr>
      <w:r>
        <w:t>1. La regulación establecida en el apartado 7 del artículo 17 se aplicará a los contratos que se formalicen desde la entrada en vigor de la Ley 12/2023, de 24 de mayo, por el derecho a la vivienda, y una vez se encuentre aprobado el referido sistema de índices de precios de referencia, de acuerdo con lo previsto en la disposición adicional primera de la Ley 12/2023, de 24 de mayo, por el derecho a la vivienda y lo establecido en la disposición adicional segunda del Real Decreto-ley 7/2019, de 1 de marzo, de medidas urgentes en materia de vivienda y alquiler.</w:t>
      </w:r>
    </w:p>
    <w:p w14:paraId="0981281E" w14:textId="77777777" w:rsidR="009D7677" w:rsidRDefault="009D7677" w:rsidP="009D7677">
      <w:pPr>
        <w:pStyle w:val="TextoNormal"/>
      </w:pPr>
    </w:p>
    <w:p w14:paraId="15B8FEC1" w14:textId="77777777" w:rsidR="009D7677" w:rsidRDefault="009D7677" w:rsidP="009D7677">
      <w:pPr>
        <w:pStyle w:val="TextoNormal"/>
      </w:pPr>
      <w:r>
        <w:t>2. La resolución del departamento ministerial competente en materia de vivienda que apruebe el referido sistema de índices de precios de referencia se realizará por ámbitos territoriales, considerando las bases de datos, sistemas y metodologías desarrolladas por las distintas comunidades autónomas y asegurando en todo caso la coordinación técnica’”.</w:t>
      </w:r>
    </w:p>
    <w:p w14:paraId="4AB002E1" w14:textId="77777777" w:rsidR="009D7677" w:rsidRDefault="009D7677" w:rsidP="009D7677">
      <w:pPr>
        <w:pStyle w:val="TextoNormal"/>
      </w:pPr>
    </w:p>
    <w:p w14:paraId="22BCA935" w14:textId="77777777" w:rsidR="009D7677" w:rsidRDefault="009D7677" w:rsidP="009D7677">
      <w:pPr>
        <w:pStyle w:val="TextoNormal"/>
      </w:pPr>
      <w:r>
        <w:t>Para el recurrente la regulación que acaba de transcribirse y que modifica la Ley 29/1994, de 24 de noviembre, de arrendamientos urbanos, no es legislación civil sino regulación de la vertiente institucional de los derechos de propiedad y de vivienda, disponiendo además una versión acabada de estos, por lo que invade las competencias autonómicas. Además, entrando más en detalle, entiende que las competencias autonómicas se vulneran cada vez que, para referirse a los conceptos que marcan un régimen especial de prórrogas del contrato o topes de precio, el legislador se remite únicamente a la forma en que la Ley 12/2023 regula la categoría de gran tenedor, la zona de mercado residencial tensionado y su plazo de vigencia o el sistema estatal de índices de precios de referencia. También se combate que, en la previsión de la aprobación de este sistema, por resolución ministerial, se disponga expresamente una garantía de coordinación técnica y que se llegue a precisar con detalle el rol de los servicios sociales.</w:t>
      </w:r>
    </w:p>
    <w:p w14:paraId="2AE59A14" w14:textId="77777777" w:rsidR="009D7677" w:rsidRDefault="009D7677" w:rsidP="009D7677">
      <w:pPr>
        <w:pStyle w:val="TextoNormal"/>
      </w:pPr>
    </w:p>
    <w:p w14:paraId="07F01326" w14:textId="77777777" w:rsidR="009D7677" w:rsidRDefault="009D7677" w:rsidP="009D7677">
      <w:pPr>
        <w:pStyle w:val="TextoNormal"/>
      </w:pPr>
      <w:r>
        <w:t>La Abogacía del Estado sostiene, en cambio, que la regulación, que se refiere a precio y duración del contrato de arrendamiento de vivienda, aumentando la protección de ciertos arrendatarios, pero sin cambiar la esencia o la naturaleza del arrendamiento, es materia que encaja en las “bases de las obligaciones contractuales” a que se refiere el art. 149.1.8 CE, que le da plena cobertura.</w:t>
      </w:r>
    </w:p>
    <w:p w14:paraId="538F0937" w14:textId="77777777" w:rsidR="009D7677" w:rsidRDefault="009D7677" w:rsidP="009D7677">
      <w:pPr>
        <w:pStyle w:val="TextoNormal"/>
      </w:pPr>
    </w:p>
    <w:p w14:paraId="7E555FEA" w14:textId="77777777" w:rsidR="009D7677" w:rsidRDefault="009D7677" w:rsidP="009D7677">
      <w:pPr>
        <w:pStyle w:val="TextoNormal"/>
      </w:pPr>
      <w:r>
        <w:t>B) Enjuiciamiento</w:t>
      </w:r>
    </w:p>
    <w:p w14:paraId="38B9FC17" w14:textId="77777777" w:rsidR="009D7677" w:rsidRDefault="009D7677" w:rsidP="009D7677">
      <w:pPr>
        <w:pStyle w:val="TextoNormal"/>
      </w:pPr>
    </w:p>
    <w:p w14:paraId="2D2ED69C" w14:textId="77777777" w:rsidR="009D7677" w:rsidRDefault="009D7677" w:rsidP="009D7677">
      <w:pPr>
        <w:pStyle w:val="TextoNormal"/>
      </w:pPr>
      <w:r>
        <w:t>a) Además de la doctrina extractada en el fundamento jurídico 3 B) c) de esta sentencia, debe destacarse que este tribunal ha sentado ya que, en virtud del art. 149.1.8 CE, es el Estado “el competente para fijar legalmente el principio de libertad de pactos en el esta</w:t>
      </w:r>
      <w:r>
        <w:lastRenderedPageBreak/>
        <w:t>blecimiento de la renta del contrato de alquiler de vivienda, así como para, en su caso, determinar sus eventuales modificaciones o modulaciones en atención al designio del legislador estatal respecto a la necesidad de ajustar o no el funcionamiento del mercado inmobiliario en atención a lo dispuesto en el art. 47 CE o en otros preceptos constitucionales. Cabe recordar al respecto que, como dijimos en la STC 89/1994, de 17 de marzo, FFJJ 5 y 8, la paridad contractual entre arrendadores y arrendatarios puede ser sometida a modulaciones fundadas en una finalidad tuitiva de intereses que se consideren necesitados de una especial protección —concretamente, los de los arrendatarios ante la situación del mercado inmobiliario—, como muestra la historia de la regulación de los arrendamientos urbanos en nuestro país” [STC 37/2022, de 10 de marzo, FJ 4 c)].</w:t>
      </w:r>
    </w:p>
    <w:p w14:paraId="0E0309C7" w14:textId="77777777" w:rsidR="009D7677" w:rsidRDefault="009D7677" w:rsidP="009D7677">
      <w:pPr>
        <w:pStyle w:val="TextoNormal"/>
      </w:pPr>
    </w:p>
    <w:p w14:paraId="73064D99" w14:textId="77777777" w:rsidR="009D7677" w:rsidRDefault="009D7677" w:rsidP="009D7677">
      <w:pPr>
        <w:pStyle w:val="TextoNormal"/>
      </w:pPr>
      <w:r>
        <w:t xml:space="preserve">Lo mismo puede afirmarse sobre el elemento de la duración y prórrogas del contrato, que es tan nuclear en el arrendamiento de vivienda como la renta, y al que nuestra legislación histórica ha aplicado de diferentes formas la misma técnica de establecer modulaciones tuitivas sobre la libertad de pactos. Hasta ahora, en la doctrina constitucional, estas medidas han sido analizadas en clave de contenido sustantivo y no competencial (STC 89/1994, de 17 de marzo), pero este tribunal no alberga dudas de que su determinación es cuestión que compete al legislador estatal </w:t>
      </w:r>
      <w:r w:rsidRPr="009D7677">
        <w:rPr>
          <w:i/>
        </w:rPr>
        <w:t>ex</w:t>
      </w:r>
      <w:r>
        <w:t xml:space="preserve"> art. 149.1.8 CE por ser, como la regulación de las reglas para la determinación de la renta, aspectos esenciales del régimen obligacional de los contratos de arrendamiento de viviendas que, en su condición de bases de las obligaciones contractuales, deben ser comunes y, por tanto, establecidas por el Estado.</w:t>
      </w:r>
    </w:p>
    <w:p w14:paraId="3323A1F2" w14:textId="77777777" w:rsidR="009D7677" w:rsidRDefault="009D7677" w:rsidP="009D7677">
      <w:pPr>
        <w:pStyle w:val="TextoNormal"/>
      </w:pPr>
    </w:p>
    <w:p w14:paraId="6A6B783D" w14:textId="77777777" w:rsidR="009D7677" w:rsidRDefault="009D7677" w:rsidP="009D7677">
      <w:pPr>
        <w:pStyle w:val="TextoNormal"/>
      </w:pPr>
      <w:r>
        <w:t>b) Cuestión diferente son los límites constitucionales de alcance material a que queda sujeto el legislador estatal al ejercer esa competencia, que aquí no han sido cuestionados. Los preceptos de la disposición impugnada se limitan a establecer, en el régimen contractual del arrendamiento de viviendas, una modulación de la libertad de rentas (nuevos arts. 17.6 y 17.7 LAU) y de la duración del contrato (nueva redacción del art. 10 LAU) que se vinculan a la concurrencia de figuras que la Ley 12/2023 establece como claves en materia de vivienda (grandes tenedores y zonas tensionadas), así como las reglas para la aplicación temporal de estas medidas, que se hace depender a su vez de la aprobación del sistema de índices previsto en la disposición adicional segunda del Real Decreto-ley 7/2019, de 1 de marzo, de medidas urgentes en materia de vivienda y alquiler (primer apartado de la nueva disposición transitoria séptima LAU). Esto se ha producido en virtud de la Resolución de 14 de marzo de 2024, de la Secretaría de Estado de Vivienda y Agenda Urbana, publicada en el “Boletín Oficial del Estado” del día siguiente.</w:t>
      </w:r>
    </w:p>
    <w:p w14:paraId="2968AE1B" w14:textId="77777777" w:rsidR="009D7677" w:rsidRDefault="009D7677" w:rsidP="009D7677">
      <w:pPr>
        <w:pStyle w:val="TextoNormal"/>
      </w:pPr>
    </w:p>
    <w:p w14:paraId="6F2A9FD0" w14:textId="77777777" w:rsidR="009D7677" w:rsidRDefault="009D7677" w:rsidP="009D7677">
      <w:pPr>
        <w:pStyle w:val="TextoNormal"/>
      </w:pPr>
      <w:r>
        <w:t>El hecho de que la aplicación de esas innovaciones a un contrato concreto se relacione con figuras propias de la función social del derecho de propiedad o del derecho a la vivienda, donde por cierto el Estado también tiene competencias para la determinación de las condiciones básicas que garanticen su ejercicio, no hace perder a estas medidas su naturaleza de legislación civil. Las autorreferencias exclusivas que esta normativa prevé, a la hora de remitirse a las circunstancias que determinarán la aplicación de las modulaciones, tampoco pueden considerarse invasivas de las competencias autonómicas, pues corresponde a las facultades del legislador determinar a qué desea vincular la aplicación del régimen que diseña. Que este dependa de que el arrendatario sea un gran tenedor o que la vivienda se encuentre en una zona declarada como de mercado residencial tensionado, en los exclusivos términos de la Ley 12/2023 y sin considerar eventuales figuras similares creadas por la legislación autonómica, en nada afecta a las competencias de las comunida</w:t>
      </w:r>
      <w:r>
        <w:lastRenderedPageBreak/>
        <w:t>des autónomas, que podrán seguir creando figuras análogas, a las que no les serán aplicables esas modulaciones por designio expreso del legislador estatal, que no impone por ello las suyas a las comunidades autónomas.</w:t>
      </w:r>
    </w:p>
    <w:p w14:paraId="6604EE78" w14:textId="77777777" w:rsidR="009D7677" w:rsidRDefault="009D7677" w:rsidP="009D7677">
      <w:pPr>
        <w:pStyle w:val="TextoNormal"/>
      </w:pPr>
    </w:p>
    <w:p w14:paraId="5B61E8BB" w14:textId="77777777" w:rsidR="009D7677" w:rsidRDefault="009D7677" w:rsidP="009D7677">
      <w:pPr>
        <w:pStyle w:val="TextoNormal"/>
      </w:pPr>
      <w:r>
        <w:t>Tampoco supone un exceso competencial que se incluya en la Ley de arrendamientos urbanos, en la forma en que se hace, la identificación del instrumento que habrá de acreditar la situación de vulnerabilidad social y económica que puede dar lugar al derecho a una prórroga extraordinaria obligatoria en favor del arrendatario. Que tal deba ser un informe o certificado emitido en el último año por los servicios sociales municipales o autonómicos en nada condiciona, como es evidente, el ejercicio de esas competencias sectoriales.</w:t>
      </w:r>
    </w:p>
    <w:p w14:paraId="2B83BA3F" w14:textId="77777777" w:rsidR="009D7677" w:rsidRDefault="009D7677" w:rsidP="009D7677">
      <w:pPr>
        <w:pStyle w:val="TextoNormal"/>
      </w:pPr>
    </w:p>
    <w:p w14:paraId="43A81367" w14:textId="77777777" w:rsidR="009D7677" w:rsidRDefault="009D7677" w:rsidP="009D7677">
      <w:pPr>
        <w:pStyle w:val="TextoNormal"/>
      </w:pPr>
      <w:r>
        <w:t>c) Un examen separado merece el segundo apartado de la nueva disposición transitoria séptima LAU que se añade por el apartado seis de la disposición final primera de la ley impugnada. Ese apartado se refiere en realidad a la forma en que tendrá que aprobarse el sistema de índices de precios de referencia que la Ley 12/2023 cita en su disposición adicional primera y cuya creación se funda en el Real Decreto-ley 7/2019. La disposición adicional primera de la Ley 12/2023 regula, en concreto, una base de datos de contratos de arrendamiento de vivienda con el objeto de incrementar la información disponible para el desarrollo del meritado sistema de índices, y el recurrente nada discute al respecto. Tampoco puede recurrir ahora la regulación del sistema estatal efectuada por el Real Decreto-ley 7/2019; lo que combate es la previsión de que la resolución ministerial que efectivamente lo apruebe se realice por ámbitos territoriales, asegurando la coordinación técnica ya que debe considerar las bases de datos, sistemas y metodologías autonómicas. Ciertamente, y como sostiene el recurrente, la determinación de esas reglas no tiene naturaleza civil, siendo evidente que no conecta con el resto de las previsiones de la Ley de arrendamientos urbanos en la que la Ley 12/2023 las inserta; pero de ello no cabe derivar sin más su inconstitucionalidad, dada la existencia de conexión con el derecho a la vivienda y encaje en el art. 149.1.13 CE, que es el fundamento competencial de la disposición del Real Decreto-ley 7/2019 que crea el sistema estatal de índices de referencia.</w:t>
      </w:r>
    </w:p>
    <w:p w14:paraId="07EC5444" w14:textId="77777777" w:rsidR="009D7677" w:rsidRDefault="009D7677" w:rsidP="009D7677">
      <w:pPr>
        <w:pStyle w:val="TextoNormal"/>
      </w:pPr>
    </w:p>
    <w:p w14:paraId="56AE2C82" w14:textId="77777777" w:rsidR="009D7677" w:rsidRDefault="009D7677" w:rsidP="009D7677">
      <w:pPr>
        <w:pStyle w:val="TextoNormal"/>
      </w:pPr>
      <w:r>
        <w:t>La previsión no merece reproche competencial alguno, pues en nada afecta al ejercicio de las competencias autonómicas la previsión de que el sistema estatal de índices de referencia del precio del alquiler de vivienda se realice por ámbitos territoriales, que es la única novedad. Que para ello hayan de considerarse los sistemas, datos y metodologías desarrollados por las comunidades autónomas y que tenga que asegurarse, por tanto, la coordinación técnica no impide, al contrario de lo que sostiene el recurrente, que las comunidades autónomas puedan definir su propio índice de referencia, para el ejercicio de sus competencias y a los efectos de diseñar sus propias políticas y programas públicos de vivienda. Esto, además, está expresamente consagrado en el segundo apartado de la disposición adicional segunda del Real Decreto-ley 7/2019, que no se modifica.</w:t>
      </w:r>
    </w:p>
    <w:p w14:paraId="3DB6D32E" w14:textId="77777777" w:rsidR="009D7677" w:rsidRDefault="009D7677" w:rsidP="009D7677">
      <w:pPr>
        <w:pStyle w:val="TextoNormal"/>
      </w:pPr>
    </w:p>
    <w:p w14:paraId="07D3A26D" w14:textId="3CBD4DE9" w:rsidR="009D7677" w:rsidRDefault="009D7677" w:rsidP="009D7677">
      <w:pPr>
        <w:pStyle w:val="TextoNormal"/>
      </w:pPr>
      <w:r>
        <w:t xml:space="preserve">En conclusión, los preceptos impugnados de la disposición final primera de la Ley 12/2023 están legítimamente dictados al amparo de la competencia estatal </w:t>
      </w:r>
      <w:r w:rsidRPr="009D7677">
        <w:rPr>
          <w:i/>
        </w:rPr>
        <w:t>ex</w:t>
      </w:r>
      <w:r>
        <w:t xml:space="preserve"> art. 149.1.8 CE, salvo el segundo apartado de la nueva disposición transitoria séptima LAU, que se añade por el apartado seis de la disposición final primera de la ley impugnada, que responde al ejercicio de la competencia del art. 149.1.13 CE, por lo que procede desestimar la impugnación.</w:t>
      </w:r>
    </w:p>
    <w:p w14:paraId="7679A1D2" w14:textId="77777777" w:rsidR="009D7677" w:rsidRDefault="009D7677" w:rsidP="009D7677">
      <w:pPr>
        <w:pStyle w:val="TextoNormal"/>
      </w:pPr>
    </w:p>
    <w:p w14:paraId="398E43CB" w14:textId="77777777" w:rsidR="009D7677" w:rsidRDefault="009D7677" w:rsidP="009D7677">
      <w:pPr>
        <w:pStyle w:val="TextoNormalCentrado"/>
        <w:keepNext/>
      </w:pPr>
      <w:r>
        <w:lastRenderedPageBreak/>
        <w:t>FALLO</w:t>
      </w:r>
    </w:p>
    <w:p w14:paraId="049BF2B7" w14:textId="6DBAFD24" w:rsidR="009D7677" w:rsidRDefault="009D7677" w:rsidP="009D7677">
      <w:pPr>
        <w:pStyle w:val="TextoNormalCentrado"/>
        <w:keepNext/>
      </w:pPr>
    </w:p>
    <w:p w14:paraId="1749E01B" w14:textId="77777777" w:rsidR="009D7677" w:rsidRDefault="009D7677" w:rsidP="009D7677">
      <w:pPr>
        <w:pStyle w:val="TextoNormal"/>
      </w:pPr>
      <w:r>
        <w:t>En atención a todo lo expuesto, el Tribunal Constitucional, por la autoridad que le confiere la Constitución de la Nación española, ha decidido estimar parcialmente el recurso de inconstitucionalidad interpuesto por el Consejo de Gobierno de la Comunidad Autónoma de Andalucía contra la Ley 12/2023, de 24 de mayo, por el derecho a la vivienda, y, en consecuencia:</w:t>
      </w:r>
    </w:p>
    <w:p w14:paraId="61A87104" w14:textId="77777777" w:rsidR="009D7677" w:rsidRDefault="009D7677" w:rsidP="009D7677">
      <w:pPr>
        <w:pStyle w:val="TextoNormal"/>
      </w:pPr>
    </w:p>
    <w:p w14:paraId="0F7C4CFF" w14:textId="77777777" w:rsidR="009D7677" w:rsidRDefault="009D7677" w:rsidP="009D7677">
      <w:pPr>
        <w:pStyle w:val="TextoNormal"/>
      </w:pPr>
      <w:r>
        <w:t>1º Declarar inconstitucionales y nulos el art. 16; el contenido del art. 19.3 a partir del inciso “que incluirá, con respecto a las viviendas de titularidad del gran tenedor en la zona de mercado residencial tensionado, al menos, los siguientes datos”; el tercer párrafo del art. 27.1; el art. 27.3, y la disposición transitoria primera de la Ley 12/2023, de 24 de mayo, por el derecho a la vivienda.</w:t>
      </w:r>
    </w:p>
    <w:p w14:paraId="2AE06524" w14:textId="77777777" w:rsidR="009D7677" w:rsidRDefault="009D7677" w:rsidP="009D7677">
      <w:pPr>
        <w:pStyle w:val="TextoNormal"/>
      </w:pPr>
    </w:p>
    <w:p w14:paraId="6F57B805" w14:textId="7D94E593" w:rsidR="009D7677" w:rsidRDefault="009D7677" w:rsidP="009D7677">
      <w:pPr>
        <w:pStyle w:val="TextoNormal"/>
      </w:pPr>
      <w:r>
        <w:t>2º Desestimar el recurso en todo lo demás.</w:t>
      </w:r>
    </w:p>
    <w:p w14:paraId="0A45567A" w14:textId="77777777" w:rsidR="009D7677" w:rsidRDefault="009D7677" w:rsidP="009D7677">
      <w:pPr>
        <w:pStyle w:val="TextoNormal"/>
      </w:pPr>
    </w:p>
    <w:p w14:paraId="0234D0E2" w14:textId="77777777" w:rsidR="009D7677" w:rsidRDefault="009D7677" w:rsidP="009D7677">
      <w:pPr>
        <w:pStyle w:val="TextoNormal"/>
      </w:pPr>
      <w:r>
        <w:t>Publíquese esta sentencia en el “Boletín Oficial del Estado”.</w:t>
      </w:r>
    </w:p>
    <w:p w14:paraId="4EC30F1E" w14:textId="77777777" w:rsidR="009D7677" w:rsidRDefault="009D7677" w:rsidP="009D7677">
      <w:pPr>
        <w:pStyle w:val="TextoNormal"/>
      </w:pPr>
      <w:r>
        <w:t>Dada en Madrid, a veintiuno de mayo de dos mil veinticuatro.</w:t>
      </w:r>
    </w:p>
    <w:p w14:paraId="7B9FA1A1" w14:textId="3F3E294C" w:rsidR="009D7677" w:rsidRDefault="009D7677" w:rsidP="009D7677">
      <w:pPr>
        <w:pStyle w:val="ParrafoNormal"/>
      </w:pPr>
    </w:p>
    <w:p w14:paraId="3A5669E7" w14:textId="77777777" w:rsidR="009D7677" w:rsidRDefault="009D7677" w:rsidP="009D7677">
      <w:pPr>
        <w:pStyle w:val="TextoNormalNegritaCentrado"/>
        <w:keepNext/>
      </w:pPr>
      <w:r>
        <w:t>Voto particular que formulan los magistrados don Ricardo Enríquez Sancho, don Enrique Arnaldo Alcubilla, doña Concepción Espejel Jorquera y don César Tolosa Tribiño a la sentencia dictada en el recurso de inconstitucionalidad núm. 5491-2023</w:t>
      </w:r>
    </w:p>
    <w:p w14:paraId="06CAD4A3" w14:textId="2E4C25E4" w:rsidR="009D7677" w:rsidRDefault="009D7677" w:rsidP="009D7677">
      <w:pPr>
        <w:pStyle w:val="TextoNormalNegritaCentrado"/>
        <w:keepNext/>
      </w:pPr>
    </w:p>
    <w:p w14:paraId="7645E774" w14:textId="77777777" w:rsidR="009D7677" w:rsidRDefault="009D7677" w:rsidP="009D7677">
      <w:pPr>
        <w:pStyle w:val="TextoNormal"/>
      </w:pPr>
      <w:r>
        <w:t>Con el máximo respeto y consideración al parecer mayoritario del Pleno, formulamos el presente voto particular para exponer las razones por las que disentimos de la fundamentación jurídica y el fallo de la sentencia aprobada.</w:t>
      </w:r>
    </w:p>
    <w:p w14:paraId="481A465B" w14:textId="77777777" w:rsidR="009D7677" w:rsidRDefault="009D7677" w:rsidP="009D7677">
      <w:pPr>
        <w:pStyle w:val="TextoNormal"/>
      </w:pPr>
    </w:p>
    <w:p w14:paraId="092AA238" w14:textId="77777777" w:rsidR="009D7677" w:rsidRDefault="009D7677" w:rsidP="009D7677">
      <w:pPr>
        <w:pStyle w:val="TextoNormal"/>
      </w:pPr>
      <w:r>
        <w:t>En Derecho, las cosas son lo que son, y no lo que su autor dice que sean. Y la Ley 12/2023, por el derecho a la vivienda, no es una ley que regule las condiciones básicas que garanticen la igualdad de todos los españoles en el ejercicio del derecho a la vivienda, que es la competencia estatal del art. 149.1.1 CE, en relación con el art. 47, que invoca el legislador (disposición final séptima) y asume acríticamente la mayoría (fundamento jurídico 3 de la sentencia). La Ley 12/2023 es, en realidad, una ley básica de vivienda, que es algo muy distinto y que el Estado no puede aprobar por ser la “vivienda” una competencia exclusiva de las comunidades autónomas según la Constitución (art. 148.1.3) y todos los estatutos de autonomía.</w:t>
      </w:r>
    </w:p>
    <w:p w14:paraId="1B7E4C0B" w14:textId="77777777" w:rsidR="009D7677" w:rsidRDefault="009D7677" w:rsidP="009D7677">
      <w:pPr>
        <w:pStyle w:val="TextoNormal"/>
      </w:pPr>
    </w:p>
    <w:p w14:paraId="7B6917FE" w14:textId="77777777" w:rsidR="009D7677" w:rsidRDefault="009D7677" w:rsidP="009D7677">
      <w:pPr>
        <w:pStyle w:val="TextoNormal"/>
      </w:pPr>
      <w:r>
        <w:t xml:space="preserve">1. </w:t>
      </w:r>
      <w:r w:rsidRPr="009D7677">
        <w:rPr>
          <w:i/>
        </w:rPr>
        <w:t>Competencia del art. 149.1.1 CE: regulación de “derechos”</w:t>
      </w:r>
    </w:p>
    <w:p w14:paraId="369DECA7" w14:textId="77777777" w:rsidR="009D7677" w:rsidRDefault="009D7677" w:rsidP="009D7677">
      <w:pPr>
        <w:pStyle w:val="TextoNormal"/>
      </w:pPr>
    </w:p>
    <w:p w14:paraId="4894FB56" w14:textId="77777777" w:rsidR="009D7677" w:rsidRDefault="009D7677" w:rsidP="009D7677">
      <w:pPr>
        <w:pStyle w:val="TextoNormal"/>
      </w:pPr>
      <w:r>
        <w:t>El art. 149.1.1 CE atribuye al Estado competencia para “[l]a regulación de las condiciones básicas que garanticen la igualdad de todos los españoles en el ejercicio de los derechos y en el cumplimiento de los deberes constitucionales”, lo que, puesto en relación con el art. 47 CE, que establece en su primer inciso que “[t]odos los españoles tienen derecho a disfrutar de una vivienda digna y adecuada”, permite al Estado dictar una ley para regular las condiciones básicas que garanticen la igualdad de todos los españoles en el ejercicio de ese derecho constitucional.</w:t>
      </w:r>
    </w:p>
    <w:p w14:paraId="06AB3D31" w14:textId="77777777" w:rsidR="009D7677" w:rsidRDefault="009D7677" w:rsidP="009D7677">
      <w:pPr>
        <w:pStyle w:val="TextoNormal"/>
      </w:pPr>
    </w:p>
    <w:p w14:paraId="2F24D82F" w14:textId="77777777" w:rsidR="009D7677" w:rsidRDefault="009D7677" w:rsidP="009D7677">
      <w:pPr>
        <w:pStyle w:val="TextoNormal"/>
      </w:pPr>
      <w:r>
        <w:t>Ahora bien, esta competencia no permite al Estado establecer una “regulación homogénea de los aspectos más esenciales de las políticas de vivienda”, que es lo que hace la ley recurrida según manifiesta su propio preámbulo (apartado III, primer párrafo). La “vivienda” es una competencia exclusiva o “plena” de las comunidades autónomas, como también admite el preámbulo de la ley (apartado II, primer párrafo). Por tanto, el Estado no puede aprobar las bases sobre la materia, como sí puede hacerlo sobre otros derechos constitucionales como la educación (arts. 27 y 149.1.30), la protección de la salud (arts. 43 y 149.1.16) o el medio ambiente (arts. 45 y 149.1.23). Según nuestra doctrina, la expresión “condiciones básicas” que emplea el art. 149.1.1 CE “no es sinónimo de ‘legislación básica’, ‘bases’ o ‘normas básicas’” que emplean esos otros subapartados del art. 149.1; en el art. 149.1.1 “las condiciones básicas que garanticen la igualdad se predican de los derechos y deberes constitucionales en sí mismos considerados, no de los sectores materiales en los que estos se insertan” (STC 61/1997, de 20 de marzo, FJ 7).</w:t>
      </w:r>
    </w:p>
    <w:p w14:paraId="422EEB22" w14:textId="77777777" w:rsidR="009D7677" w:rsidRDefault="009D7677" w:rsidP="009D7677">
      <w:pPr>
        <w:pStyle w:val="TextoNormal"/>
      </w:pPr>
    </w:p>
    <w:p w14:paraId="16265239" w14:textId="77777777" w:rsidR="009D7677" w:rsidRDefault="009D7677" w:rsidP="009D7677">
      <w:pPr>
        <w:pStyle w:val="TextoNormal"/>
      </w:pPr>
      <w:r>
        <w:t>El contenido de la competencia del art. 149.1.1 CE es diferente: permite al Estado establecer el “contenido primario […] del derecho, […] las posiciones jurídicas fundamentales (facultades elementales, límites esenciales, deberes fundamentales, prestaciones básicas, ciertas premisas o presupuestos previos...)” (STC 61/1997, FJ 8, reiterada luego en múltiples ocasiones, por ejemplo, en la STC 36/2022, de 10 de marzo, FJ 4). Un contenido “que no es, en rigor, susceptible de desarrollo como si de unas bases se tratara” (STC 61/1997, FJ 7).</w:t>
      </w:r>
    </w:p>
    <w:p w14:paraId="78296784" w14:textId="77777777" w:rsidR="009D7677" w:rsidRDefault="009D7677" w:rsidP="009D7677">
      <w:pPr>
        <w:pStyle w:val="TextoNormal"/>
      </w:pPr>
    </w:p>
    <w:p w14:paraId="1404B334" w14:textId="77777777" w:rsidR="009D7677" w:rsidRDefault="009D7677" w:rsidP="009D7677">
      <w:pPr>
        <w:pStyle w:val="TextoNormal"/>
      </w:pPr>
      <w:r>
        <w:t>Además, para evitar que este título competencial pueda vaciar las competencias autonómicas hemos dicho que “el art. 149.1.1 CE solo presta cobertura a aquellas condiciones que guarden una estrecha relación, directa e inmediata, con los derechos que la Constitución reconoce. De lo contrario, dada la fuerza expansiva de los derechos y la función fundamentadora de todo el ordenamiento jurídico que estos tienen atribuida (art. 10.1 CE), quedaría desbordado el ámbito y sentido del art. 149.1.1 CE, que no puede operar como una especie de título horizontal, capaz de introducirse en cualquier materia o sector del ordenamiento por el mero hecho de que pudieran ser reconducibles, siquiera sea remotamente, hacia un derecho o deber constitucional” (STC 61/1997, FJ 7). “La función que al Estado encomienda el art. 149.1.1 CE ha de desarrollarse sin desconocer el régimen competencial diseñado en el resto del precepto y en los estatutos de autonomía y sin que el Estado pueda asumir funciones que, más que garantizar condiciones básicas de igualdad, ampararían la infracción del orden constitucional de competencias” (STC 61/1997, FJ 9).</w:t>
      </w:r>
    </w:p>
    <w:p w14:paraId="382C836D" w14:textId="77777777" w:rsidR="009D7677" w:rsidRDefault="009D7677" w:rsidP="009D7677">
      <w:pPr>
        <w:pStyle w:val="TextoNormal"/>
      </w:pPr>
    </w:p>
    <w:p w14:paraId="7D3095CE" w14:textId="77777777" w:rsidR="009D7677" w:rsidRDefault="009D7677" w:rsidP="009D7677">
      <w:pPr>
        <w:pStyle w:val="TextoNormal"/>
      </w:pPr>
      <w:r>
        <w:t xml:space="preserve">2. </w:t>
      </w:r>
      <w:r w:rsidRPr="009D7677">
        <w:rPr>
          <w:i/>
        </w:rPr>
        <w:t>Interpretación de la mayoría: el art. 149.1.1 como habilitación para que el Estado dicte la legislación básica sobre vivienda</w:t>
      </w:r>
    </w:p>
    <w:p w14:paraId="522A06C6" w14:textId="77777777" w:rsidR="009D7677" w:rsidRDefault="009D7677" w:rsidP="009D7677">
      <w:pPr>
        <w:pStyle w:val="TextoNormal"/>
      </w:pPr>
    </w:p>
    <w:p w14:paraId="4888F8CB" w14:textId="77777777" w:rsidR="009D7677" w:rsidRDefault="009D7677" w:rsidP="009D7677">
      <w:pPr>
        <w:pStyle w:val="TextoNormal"/>
      </w:pPr>
      <w:r>
        <w:t>La Ley 12/2023 no regula “derechos”, “facultades”, ni “posiciones jurídicas fundamentales” de los ciudadanos, ni tampoco “condiciones que guarden una estrecha relación, directa e inmediata” con el derecho a la vivienda del art. 47 CE. La Ley 12/2023 regula potestades administrativas (“las administraciones […] podrán”, “las políticas en materia de vivienda tendrán especialmente en cuenta”, etc.) que solo lejanamente fructificarán en un auténtico “derecho a la vivienda” de alguna persona o familia. Persigue, en una palabra, establecer un modelo acabado de política de vivienda que reduce a las comunidades autó</w:t>
      </w:r>
      <w:r>
        <w:lastRenderedPageBreak/>
        <w:t>nomas, titulares de la competencia exclusiva sobre la materia, a un papel netamente subordinado a las decisiones estatales.</w:t>
      </w:r>
    </w:p>
    <w:p w14:paraId="024E8310" w14:textId="77777777" w:rsidR="009D7677" w:rsidRDefault="009D7677" w:rsidP="009D7677">
      <w:pPr>
        <w:pStyle w:val="TextoNormal"/>
      </w:pPr>
    </w:p>
    <w:p w14:paraId="0DEF21D1" w14:textId="77777777" w:rsidR="009D7677" w:rsidRDefault="009D7677" w:rsidP="009D7677">
      <w:pPr>
        <w:pStyle w:val="TextoNormal"/>
      </w:pPr>
      <w:r>
        <w:t xml:space="preserve">Este es el contenido típico de las “bases” que puede fijar el Estado en materias de competencia compartida, como las antes citadas del art. 149.1, núms. 16, 23 o 30, no de la regulación de las condiciones básicas que garanticen la igualdad de los españoles en el ejercicio de derechos constitucionales del art. 149.1.1 CE. Efectivamente, según nuestra doctrina, mediante las “bases” el Estado debe garantizar “un común denominador normativo dirigido a asegurar, de manera unitaria y en condiciones de igualdad, los intereses generales a partir del cual pueda cada comunidad autónoma, en defensa de sus propios intereses, introducir las peculiaridades que estime convenientes” (recientemente, STC 116/2022, de 27 de septiembre, FJ 3, con cita de otras anteriores). En cambio, cuando de competencias exclusivas se trata, </w:t>
      </w:r>
      <w:r w:rsidRPr="009D7677">
        <w:rPr>
          <w:i/>
        </w:rPr>
        <w:t>toda</w:t>
      </w:r>
      <w:r>
        <w:t xml:space="preserve"> la legislación sobre la materia corresponde a quien la Constitución declara competente, sea el Estado o las comunidades autónomas. El otro, por loables que sean sus propósitos, no puede legislar sobre ello. El Estado no puede aprobar una ley de “vivienda” por la misma razón que las comunidades autónomas no pueden aprobar una ley de “extranjería”: porque la Constitución sitúa la responsabilidad en otro lugar (art. 149.1.2 CE).</w:t>
      </w:r>
    </w:p>
    <w:p w14:paraId="1E719588" w14:textId="77777777" w:rsidR="009D7677" w:rsidRDefault="009D7677" w:rsidP="009D7677">
      <w:pPr>
        <w:pStyle w:val="TextoNormal"/>
      </w:pPr>
    </w:p>
    <w:p w14:paraId="7895348C" w14:textId="77777777" w:rsidR="009D7677" w:rsidRDefault="009D7677" w:rsidP="009D7677">
      <w:pPr>
        <w:pStyle w:val="TextoNormal"/>
      </w:pPr>
      <w:r>
        <w:t>Esto no significa que el Estado esté completamente inerme ni que los problemas de vivienda de los españoles le deban ser ajenos. El art. 47 CE informa la actuación de todos los poderes públicos, y por tanto también del Estado, a los que señala una política orientada a que los españoles puedan “disfrutar de una vivienda digna y adecuada”. Pero esta política deben desarrollarla los poderes públicos a través de sus competencias, no usurpando las ajenas. Como hemos reiterado “el art. 47 CE no constituye por sí mismo un título competencial autónomo en favor del Estado, sino un mandato o directriz que ha de informar la actuación de todos los poderes públicos (art. 53.3 CE), de modo que su consecución ha de instrumentarse ‘a través de’, no ‘a pesar de’ los sistemas de distribución de competencias” (STC 61/1997, de 20 de marzo, FJ 24, citando la STC 152/1988, de 20 de julio, FJ 2).</w:t>
      </w:r>
    </w:p>
    <w:p w14:paraId="1ED20190" w14:textId="77777777" w:rsidR="009D7677" w:rsidRDefault="009D7677" w:rsidP="009D7677">
      <w:pPr>
        <w:pStyle w:val="TextoNormal"/>
      </w:pPr>
    </w:p>
    <w:p w14:paraId="5467D205" w14:textId="77777777" w:rsidR="009D7677" w:rsidRDefault="009D7677" w:rsidP="009D7677">
      <w:pPr>
        <w:pStyle w:val="TextoNormal"/>
      </w:pPr>
      <w:r>
        <w:t>Así, por ejemplo, y sin ánimo de exhaustividad, hemos reconocido que al amparo de su competencia sobre ordenación de la economía (art. 149.1.13 CE) el Estado puede financiar la construcción de vivienda pública (STC 152/1988, de 20 de julio), imponer a los propietarios de suelo la cesión de parte del mismo para su construcción (STC 141/2014, de 11 de septiembre, FJ 8) o suspender lanzamientos de deudores hipotecarios (STC 5/2019, de 17 de enero, FJ 4). También puede, al amparo de su competencia sobre legislación civil (art. 149.1.8 CE), regular el alquiler y por tanto sus plazos, rentas y condiciones (STC 37/2022, de 10 de marzo). Y finalmente su competencia sobre legislación procesal (art. 149.1.6 CE) le permite también establecer los requisitos para los lanzamientos y desahucios judiciales (SSTC 21/2019, de 14 de febrero, FJ 6, y 28/2022, de 24 de febrero).</w:t>
      </w:r>
    </w:p>
    <w:p w14:paraId="0E0F8D8F" w14:textId="77777777" w:rsidR="009D7677" w:rsidRDefault="009D7677" w:rsidP="009D7677">
      <w:pPr>
        <w:pStyle w:val="TextoNormal"/>
      </w:pPr>
    </w:p>
    <w:p w14:paraId="382BC31A" w14:textId="77777777" w:rsidR="009D7677" w:rsidRDefault="009D7677" w:rsidP="009D7677">
      <w:pPr>
        <w:pStyle w:val="TextoNormal"/>
      </w:pPr>
      <w:r>
        <w:t>Son todas normas y actuaciones del Estado orientadas a la garantía de una vivienda digna y adecuada que encuentran acomodo en sus títulos competenciales. Pero ningún título competencial, tampoco el del art. 149.1.1 CE, permite al Estado aprobar una ley de vivienda común para toda España, que es lo que hace la Ley recurrida.</w:t>
      </w:r>
    </w:p>
    <w:p w14:paraId="51B50D62" w14:textId="77777777" w:rsidR="009D7677" w:rsidRDefault="009D7677" w:rsidP="009D7677">
      <w:pPr>
        <w:pStyle w:val="TextoNormal"/>
      </w:pPr>
    </w:p>
    <w:p w14:paraId="0EE4555A" w14:textId="77777777" w:rsidR="009D7677" w:rsidRDefault="009D7677" w:rsidP="009D7677">
      <w:pPr>
        <w:pStyle w:val="TextoNormal"/>
      </w:pPr>
      <w:r>
        <w:t xml:space="preserve">3. </w:t>
      </w:r>
      <w:r w:rsidRPr="009D7677">
        <w:rPr>
          <w:i/>
        </w:rPr>
        <w:t>Canon aplicado: el exceso de detalle</w:t>
      </w:r>
    </w:p>
    <w:p w14:paraId="045D0691" w14:textId="77777777" w:rsidR="009D7677" w:rsidRDefault="009D7677" w:rsidP="009D7677">
      <w:pPr>
        <w:pStyle w:val="TextoNormal"/>
      </w:pPr>
    </w:p>
    <w:p w14:paraId="731FE51D" w14:textId="77777777" w:rsidR="009D7677" w:rsidRDefault="009D7677" w:rsidP="009D7677">
      <w:pPr>
        <w:pStyle w:val="TextoNormal"/>
      </w:pPr>
      <w:r>
        <w:t>El legislador estatal es perfectamente consciente de que está regulando una materia vedada, de competencia exclusiva de las comunidades autónomas. Por eso siembra la Ley 12/2023 de cláusulas de salvaguarda de las normas autonómicas, como la de reconocer su carácter prevalente (arts. 3 y 16) o las de “sin perjuicio” (art. 17) o “de conformidad” (arts. 28 y 29) con lo establecido en esa normativa, autonómica y en ocasiones también “municipal” (art. 16).</w:t>
      </w:r>
    </w:p>
    <w:p w14:paraId="4F0964C0" w14:textId="77777777" w:rsidR="009D7677" w:rsidRDefault="009D7677" w:rsidP="009D7677">
      <w:pPr>
        <w:pStyle w:val="TextoNormal"/>
      </w:pPr>
    </w:p>
    <w:p w14:paraId="4D3B84FA" w14:textId="77777777" w:rsidR="009D7677" w:rsidRDefault="009D7677" w:rsidP="009D7677">
      <w:pPr>
        <w:pStyle w:val="TextoNormal"/>
      </w:pPr>
      <w:r>
        <w:t>La sentencia también reconoce implícitamente esta invasión competencial pues, aunque dice basarse en el art. 149.1.1 CE, termina aplicando el canon propio de las bases-desarrollo, es decir, el de la prohibición de agotar la materia, y anula por este motivo —por contener una regulación excesivamente detallada— los arts. 16.3, 19.3 y 27.1, tercer párrafo, y la disposición transitoria primera de la Ley.</w:t>
      </w:r>
    </w:p>
    <w:p w14:paraId="06D1BE2C" w14:textId="77777777" w:rsidR="009D7677" w:rsidRDefault="009D7677" w:rsidP="009D7677">
      <w:pPr>
        <w:pStyle w:val="TextoNormal"/>
      </w:pPr>
    </w:p>
    <w:p w14:paraId="3CCC0797" w14:textId="77777777" w:rsidR="009D7677" w:rsidRDefault="009D7677" w:rsidP="009D7677">
      <w:pPr>
        <w:pStyle w:val="TextoNormal"/>
      </w:pPr>
      <w:r>
        <w:t xml:space="preserve">Efectivamente, según nuestra doctrina tradicional, en materias de competencia compartida el Estado al establecer las bases “no puede hacerlo con un grado tal de detalle y de forma tan acabada o completa que prácticamente impida la adopción por parte de las comunidades autónomas de políticas propias en la materia mediante el ejercicio de sus competencias de desarrollo legislativo” (por todas, STC 116/2022, de 27 de septiembre, FJ 3, con cita de otras anteriores). Sin embargo, en contra de lo que entiende la mayoría, la competencia “exclusiva” (STC 61/1997, FJ 7) del art. 149.1.1 CE no solo permite, sino que </w:t>
      </w:r>
      <w:r w:rsidRPr="009D7677">
        <w:rPr>
          <w:i/>
        </w:rPr>
        <w:t>exige</w:t>
      </w:r>
      <w:r>
        <w:t xml:space="preserve"> una regulación estatal uniforme y detallada, pues de otro modo no hay garantía de igualdad entre españoles, y “no debe olvidarse que la ‘igualdad de todos los españoles’ representa el elemento teleológico o finalista del título competencial que aquí se considera, el único que justifica y ampara el ejercicio de la competencia estatal”</w:t>
      </w:r>
      <w:r w:rsidRPr="009D7677">
        <w:rPr>
          <w:i/>
        </w:rPr>
        <w:t xml:space="preserve"> (ibid</w:t>
      </w:r>
      <w:r>
        <w:t>em).</w:t>
      </w:r>
    </w:p>
    <w:p w14:paraId="503A2E2E" w14:textId="77777777" w:rsidR="009D7677" w:rsidRDefault="009D7677" w:rsidP="009D7677">
      <w:pPr>
        <w:pStyle w:val="TextoNormal"/>
      </w:pPr>
    </w:p>
    <w:p w14:paraId="7BAF1849" w14:textId="77777777" w:rsidR="009D7677" w:rsidRDefault="009D7677" w:rsidP="009D7677">
      <w:pPr>
        <w:pStyle w:val="TextoNormal"/>
      </w:pPr>
      <w:r>
        <w:t>Ilustra perfectamente este punto la pormenorizada y exhaustiva regulación de los derechos y obligaciones de los propietarios de suelo y de los empresarios en el proceso urbanizador realizada por todas las leyes estatales de suelo desde la STC 61/1997, fundamental en esta materia. Según estableció esa sentencia, al ser el “urbanismo” una competencia exclusiva de las comunidades autónomas conforme al art. 148.1.3 CE y los estatutos de autonomía, el Estado no puede legislar sobre la materia, ni siquiera con carácter supletorio (STC 61/1997, FJ 12), pudiendo tan solo regular al amparo del art. 149.1.1. CE las condiciones que garanticen la igualdad de los españoles en el ejercicio de los derechos constitucionales de propiedad (art. 33 CE) y libre empresa (art. 38). Las sucesivas leyes estatales del suelo aprobadas desde entonces, invariablemente confirmadas por este tribunal (SSTC 164/2001, de 11 de julio; 141/2014, de 11 de septiembre; 143/2017, de 14 de diciembre, y 75/2018, de 5 de julio), han establecido una enumeración detallada e íntegra de las facultades y deberes urbanísticos de los propietarios y los empresarios, sin dejar margen alguno para que las comunidades autónomas puedan completar y mucho menos desplazar esa regulación (véanse en la actualidad los arts. 7 a 19 del vigente texto refundido de la Ley de suelo, aprobado por Real Decreto Legislativo 7/2015, de 30 de octubre).</w:t>
      </w:r>
    </w:p>
    <w:p w14:paraId="4919F979" w14:textId="77777777" w:rsidR="009D7677" w:rsidRDefault="009D7677" w:rsidP="009D7677">
      <w:pPr>
        <w:pStyle w:val="TextoNormal"/>
      </w:pPr>
    </w:p>
    <w:p w14:paraId="0145B00D" w14:textId="77777777" w:rsidR="009D7677" w:rsidRDefault="009D7677" w:rsidP="009D7677">
      <w:pPr>
        <w:pStyle w:val="TextoNormal"/>
      </w:pPr>
      <w:r>
        <w:t xml:space="preserve">Esta necesidad de regulación uniforme y detallada no cambia cuando la competencia del art. 149.1.1 CE se proyecta sobre los “principios rectores de la política social y económica”, como es el derecho a la vivienda (art. 47). Lo demuestran las mismas SSTC 33/2014, de 27 de febrero, FJ 4, y 18/2016, de 4 de febrero, FJ 7 b), que cita la sentencia </w:t>
      </w:r>
      <w:r>
        <w:lastRenderedPageBreak/>
        <w:t>[fundamento jurídico 3 B) a) (ii)] para justificar la proyección del art. 149.1.1 CE sobre los “principios rectores”.</w:t>
      </w:r>
    </w:p>
    <w:p w14:paraId="5CEEA881" w14:textId="77777777" w:rsidR="009D7677" w:rsidRDefault="009D7677" w:rsidP="009D7677">
      <w:pPr>
        <w:pStyle w:val="TextoNormal"/>
      </w:pPr>
    </w:p>
    <w:p w14:paraId="712C2BDE" w14:textId="77777777" w:rsidR="009D7677" w:rsidRDefault="009D7677" w:rsidP="009D7677">
      <w:pPr>
        <w:pStyle w:val="TextoNormal"/>
      </w:pPr>
      <w:r>
        <w:t xml:space="preserve">La STC 33/2014, FJ 4, reconoció efectivamente que la competencia del art. 149.1.1 CE puede proyectarse sobre los “principios rectores” del capítulo III del título I CE (arts. 39 a 52), y no solo sobre los “derechos y deberes” constitucionales del capítulo II (arts. 14 a 38). Pero hizo esta afirmación en un contexto diferente y específico, el de la acción subvencional o </w:t>
      </w:r>
      <w:r w:rsidRPr="009D7677">
        <w:rPr>
          <w:i/>
        </w:rPr>
        <w:t>spending power</w:t>
      </w:r>
      <w:r>
        <w:t xml:space="preserve"> del Estado, un ámbito en el cual el Tribunal ha reconocido que “el Estado siempre podrá, en uso de su soberanía financiera (de gasto, en este caso), asignar fondos públicos a unas finalidades u otras” (STC 13/1992, de 6 de febrero, FJ 7, citada en la STC 33/2014, FJ 4). Pero este poder de gasto no implica que el Estado pueda regular cómo deben ejercerse potestades y competencias ajenas con total independencia de su financiación. Además, la STC 33/2014 terminó anulando las dos partidas presupuestarias que el Estado pretendía amparar en el art. 149.1.1 CE, en relación con los arts. 49 y 50, por ser el fin a que se destinaban esas partidas “asistencia social”, de competencia autonómica (art. 148.1.20 CE). Así que el precedente tiene escaso o nulo valor a estos efectos.</w:t>
      </w:r>
    </w:p>
    <w:p w14:paraId="65DA1002" w14:textId="77777777" w:rsidR="009D7677" w:rsidRDefault="009D7677" w:rsidP="009D7677">
      <w:pPr>
        <w:pStyle w:val="TextoNormal"/>
      </w:pPr>
    </w:p>
    <w:p w14:paraId="0B1F057A" w14:textId="77777777" w:rsidR="009D7677" w:rsidRDefault="009D7677" w:rsidP="009D7677">
      <w:pPr>
        <w:pStyle w:val="TextoNormal"/>
      </w:pPr>
      <w:r>
        <w:t>La STC 18/2016 sí apreció un ejercicio legítimo de la competencia estatal del art. 149.1.1 CE, en relación con los arts. 49 y 50 CE, pero lo hizo en relación con una ley (la Ley 39/2006, de atención a la dependencia) en la que el Estado regula con minuciosidad y detalle auténticos “derechos” y “prestaciones” judicialmente exigibles por sus “titulares” (art. 5) que además financia. Así lo explica la propia STC 18/2016: “[l]a Ley 39/2006 establece un nivel mínimo de protección, definido y garantizado financieramente por la administración general del Estado en los términos del artículo 9, para lo que destina la pertinente dotación presupuestaria en la ley anual de presupuestos (art. 32.2 y disposición adicional primera)”, es decir, “configura un derecho subjetivo de los beneficiarios” a acceder a las “prestaciones del sistema de atención a la dependencia [que] pueden tener naturaleza de servicios o de prestaciones económicas y se describen en los arts. 15 a 25 de la Ley 39/2006” [STC 18/2016, FJ 7 a)]. Precisamente por eso “la fijación de los criterios mínimos que deben regir el reconocimiento del derecho y la valoración de la dependencia encajan en el concepto condiciones básicas al que se refiere el art. 149.1.1 CE, por tratarse de una delimitación del marco organizativo que posibilita el ejercicio mismo del derecho” [STC 18/2016, FJ 8 b)].</w:t>
      </w:r>
    </w:p>
    <w:p w14:paraId="6D4FCD8B" w14:textId="77777777" w:rsidR="009D7677" w:rsidRDefault="009D7677" w:rsidP="009D7677">
      <w:pPr>
        <w:pStyle w:val="TextoNormal"/>
      </w:pPr>
    </w:p>
    <w:p w14:paraId="2C883E5A" w14:textId="77777777" w:rsidR="009D7677" w:rsidRDefault="009D7677" w:rsidP="009D7677">
      <w:pPr>
        <w:pStyle w:val="TextoNormal"/>
      </w:pPr>
      <w:r>
        <w:t>A diferencia de la ley de dependencia, la ley de vivienda ni regula ni garantiza financieramente ningún “derecho subjetivo” judicialmente exigible, ni “posibilita” su “ejercicio”. Regula potestades administrativas ajenas y cómo deben ejercerlas sus titulares, que son las comunidades autónomas. Por lo tanto, nada de lo dicho en esa STC 18/2016 puede servir para avalar la Ley 12/2023. De hecho, el resultado de la STC 18/2016 fue desestimar el recurso interpuesto por el Gobierno de Cataluña denunciando el exceso de detalle y la vulneración de sus competencias por la Ley 39/2006. La mayoría invierte así el sentido de la cita, que pasa de avalar regulaciones uniformes y detalladas a prohibirlas, con grave quebranto de nuestra doctrina.</w:t>
      </w:r>
    </w:p>
    <w:p w14:paraId="2AFBC808" w14:textId="77777777" w:rsidR="009D7677" w:rsidRDefault="009D7677" w:rsidP="009D7677">
      <w:pPr>
        <w:pStyle w:val="TextoNormal"/>
      </w:pPr>
    </w:p>
    <w:p w14:paraId="5A6D6539" w14:textId="77777777" w:rsidR="009D7677" w:rsidRDefault="009D7677" w:rsidP="009D7677">
      <w:pPr>
        <w:pStyle w:val="TextoNormal"/>
      </w:pPr>
      <w:r>
        <w:t>4</w:t>
      </w:r>
      <w:r w:rsidRPr="009D7677">
        <w:rPr>
          <w:i/>
        </w:rPr>
        <w:t>. Resolución del recur</w:t>
      </w:r>
      <w:r>
        <w:t>so</w:t>
      </w:r>
    </w:p>
    <w:p w14:paraId="3E8A7E24" w14:textId="77777777" w:rsidR="009D7677" w:rsidRDefault="009D7677" w:rsidP="009D7677">
      <w:pPr>
        <w:pStyle w:val="TextoNormal"/>
      </w:pPr>
    </w:p>
    <w:p w14:paraId="02F54F78" w14:textId="77777777" w:rsidR="009D7677" w:rsidRDefault="009D7677" w:rsidP="009D7677">
      <w:pPr>
        <w:pStyle w:val="TextoNormal"/>
      </w:pPr>
      <w:r>
        <w:lastRenderedPageBreak/>
        <w:t>La proyección de las consideraciones anteriores sobre los preceptos impugnados conduce a resultados diferentes a los de la mayoría.</w:t>
      </w:r>
    </w:p>
    <w:p w14:paraId="6070D17B" w14:textId="77777777" w:rsidR="009D7677" w:rsidRDefault="009D7677" w:rsidP="009D7677">
      <w:pPr>
        <w:pStyle w:val="TextoNormal"/>
      </w:pPr>
    </w:p>
    <w:p w14:paraId="66EC5D9E" w14:textId="77777777" w:rsidR="009D7677" w:rsidRDefault="009D7677" w:rsidP="009D7677">
      <w:pPr>
        <w:pStyle w:val="TextoNormal"/>
      </w:pPr>
      <w:r>
        <w:t xml:space="preserve">Esta discrepancia no afecta a la desestimación del recurso contra los arts. 15.1 e) y la disposición final cuarta, sobre la cesión obligatoria de suelo para construcción de vivienda protegida, y contra la disposición final primera que modifica la Ley de arrendamientos urbanos. En ambos casos la sentencia aplica correctamente precedentes anteriores del Tribunal (STC 141/2014 y STC 37/2022, respectivamente) que permiten al Estado acometer estas regulaciones </w:t>
      </w:r>
      <w:r w:rsidRPr="009D7677">
        <w:rPr>
          <w:i/>
        </w:rPr>
        <w:t>al amparo de títulos competenciales diferentes del art</w:t>
      </w:r>
      <w:r>
        <w:t>. 149.1, en concreto mediante el ejercicio de sus competencias de los núms. 13 (economía) y 8 (legislación civil) del art. 149.1 CE, respectivamente. También estamos de acuerdo con la vulneración de la autonomía política y financiera de las comunidades autónomas apreciada respecto del art. 27.3, que obliga a estas a destinar sus ingresos a los fines que el Estado le impone.</w:t>
      </w:r>
    </w:p>
    <w:p w14:paraId="16CB4406" w14:textId="77777777" w:rsidR="009D7677" w:rsidRDefault="009D7677" w:rsidP="009D7677">
      <w:pPr>
        <w:pStyle w:val="TextoNormal"/>
      </w:pPr>
    </w:p>
    <w:p w14:paraId="299A22AB" w14:textId="77777777" w:rsidR="009D7677" w:rsidRDefault="009D7677" w:rsidP="009D7677">
      <w:pPr>
        <w:pStyle w:val="TextoNormal"/>
      </w:pPr>
      <w:r>
        <w:t>Pero no podemos aceptar el encuadramiento del resto de preceptos impugnados en el art. 149.1.1 CE. A nuestro juicio, diversas circunstancias lo impiden.</w:t>
      </w:r>
    </w:p>
    <w:p w14:paraId="7C2FF05D" w14:textId="77777777" w:rsidR="009D7677" w:rsidRDefault="009D7677" w:rsidP="009D7677">
      <w:pPr>
        <w:pStyle w:val="TextoNormal"/>
      </w:pPr>
    </w:p>
    <w:p w14:paraId="62D1CCB9" w14:textId="77777777" w:rsidR="009D7677" w:rsidRDefault="009D7677" w:rsidP="009D7677">
      <w:pPr>
        <w:pStyle w:val="TextoNormal"/>
      </w:pPr>
      <w:r>
        <w:t>a) Las definiciones de “vivienda protegida”, “vivienda asequible” y “gran tenedor” del art. 3, letras f), g) y k), son inconstitucionales por las mismas razones que la sentencia aplica (correctamente) al art. 16, es decir, por su carácter supletorio en una materia de competencia autonómica (vivienda) que el Estado no puede regular supletoriamente (SSTC 118/1996, de 27 de junio, FJ 6, y 61/1997, FJ 12). Esto es lo que hace el art. 3 que, al igual que hace el art. 16, reconoce que las definiciones que puedan establecer las comunidades autónomas “prevalecerán” sobre las de la ley estatal.</w:t>
      </w:r>
    </w:p>
    <w:p w14:paraId="2DFE8501" w14:textId="77777777" w:rsidR="009D7677" w:rsidRDefault="009D7677" w:rsidP="009D7677">
      <w:pPr>
        <w:pStyle w:val="TextoNormal"/>
      </w:pPr>
    </w:p>
    <w:p w14:paraId="3174216A" w14:textId="77777777" w:rsidR="009D7677" w:rsidRDefault="009D7677" w:rsidP="009D7677">
      <w:pPr>
        <w:pStyle w:val="TextoNormal"/>
      </w:pPr>
      <w:r>
        <w:t>b) El art. 18, apartados 2, 3 y 4, también regula una institución propia de las políticas de vivienda, la declaración de zonas de mercado residencial tensionado, y lo hace con carácter vinculante, es decir, sin permitir a las comunidades autónomas establecer criterios diferentes para efectuar esa declaración “a los efectos de la aplicación de las medidas específicas contempladas en esta ley” (art. 18.2). Si el Estado no puede legislar supletoriamente sobre materias de competencia autonómica como la vivienda, menos aún puede hacerlo con carácter vinculante. La clave es el encuadramiento competencial en materia de vivienda, que nadie ha cuestionado.</w:t>
      </w:r>
    </w:p>
    <w:p w14:paraId="66680F3D" w14:textId="77777777" w:rsidR="009D7677" w:rsidRDefault="009D7677" w:rsidP="009D7677">
      <w:pPr>
        <w:pStyle w:val="TextoNormal"/>
      </w:pPr>
    </w:p>
    <w:p w14:paraId="0B2E9C29" w14:textId="77777777" w:rsidR="009D7677" w:rsidRDefault="009D7677" w:rsidP="009D7677">
      <w:pPr>
        <w:pStyle w:val="TextoNormal"/>
      </w:pPr>
      <w:r>
        <w:t>Siendo esto así, el art. 149.1.1 CE tampoco permite dar cobertura a esa regulación. El art. 18.2 encomienda la declaración de zona de mercado residencial tensionado a “la administración competente en materia de vivienda”, es decir, a las comunidades autónomas, a las que deja libertad para efectuar (o no) esta declaración cuando concurran las circunstancias descritas en los apartados 2 c) y 3. Al tratarse de una facultad de utilización potestativa, este art. 18 no garantiza la “igualdad de todos los españoles”, que es la única finalidad que legitima el empleo de este art. 149.1.1 CE.</w:t>
      </w:r>
    </w:p>
    <w:p w14:paraId="551ADBE7" w14:textId="77777777" w:rsidR="009D7677" w:rsidRDefault="009D7677" w:rsidP="009D7677">
      <w:pPr>
        <w:pStyle w:val="TextoNormal"/>
      </w:pPr>
    </w:p>
    <w:p w14:paraId="39D49E7B" w14:textId="77777777" w:rsidR="009D7677" w:rsidRDefault="009D7677" w:rsidP="009D7677">
      <w:pPr>
        <w:pStyle w:val="TextoNormal"/>
      </w:pPr>
      <w:r>
        <w:t>Por último, aunque obviáramos lo anterior y aceptáramos a efectos dialécticos la posición de la mayoría, es decir, el correcto uso del art. 149.1.1 CE por parte del Estado, no se entiende cómo el art. 16 es inconstitucional y este art. 18, apartados 2, 3 y 4, mucho más minucioso y detallado, no lo es.</w:t>
      </w:r>
    </w:p>
    <w:p w14:paraId="5E39CB8A" w14:textId="77777777" w:rsidR="009D7677" w:rsidRDefault="009D7677" w:rsidP="009D7677">
      <w:pPr>
        <w:pStyle w:val="TextoNormal"/>
      </w:pPr>
    </w:p>
    <w:p w14:paraId="03B9E8E7" w14:textId="77777777" w:rsidR="009D7677" w:rsidRDefault="009D7677" w:rsidP="009D7677">
      <w:pPr>
        <w:pStyle w:val="TextoNormal"/>
      </w:pPr>
      <w:r>
        <w:lastRenderedPageBreak/>
        <w:t>c) Incurren en esta misma vulneración competencial los arts. 11.1 e) y 19.1 y 3. La sentencia anula solamente este último por su “concreción excesiva” [FJ 6 B) b)], canon que, como queda dicho más arriba, no compartimos. En realidad, los tres preceptos, que imponen a los propietarios la obligación de suministrar información, debieron ser anulados por tratarse de normas de “vivienda” de competencia exclusiva de las comunidades autónomas, tal y como resulta de nuestra doctrina, en particular de la STC 16/2021, de 28 de enero, FJ 9 d):</w:t>
      </w:r>
    </w:p>
    <w:p w14:paraId="43DFA867" w14:textId="77777777" w:rsidR="009D7677" w:rsidRDefault="009D7677" w:rsidP="009D7677">
      <w:pPr>
        <w:pStyle w:val="TextoNormal"/>
      </w:pPr>
    </w:p>
    <w:p w14:paraId="515F69F6" w14:textId="77777777" w:rsidR="009D7677" w:rsidRDefault="009D7677" w:rsidP="009D7677">
      <w:pPr>
        <w:pStyle w:val="TextoNormal"/>
      </w:pPr>
      <w:r>
        <w:t>“[L]a competencia en materia de vivienda de la Generalitat de Cataluña (art. 137 EAC) y el derecho de acceso a la vivienda del art. 47 CE legitiman al legislador catalán para establecer el registro de viviendas vacías […] y recabar de este modo los datos que sean necesarios para el ejercicio de la competencia y adecuados para las legítimas finalidades previstas por ella (STC 254/1993, de 20 de julio, FJ 7, con cita de otras)”.</w:t>
      </w:r>
    </w:p>
    <w:p w14:paraId="0B68D026" w14:textId="77777777" w:rsidR="009D7677" w:rsidRDefault="009D7677" w:rsidP="009D7677">
      <w:pPr>
        <w:pStyle w:val="TextoNormal"/>
      </w:pPr>
    </w:p>
    <w:p w14:paraId="3BB9A2CA" w14:textId="77777777" w:rsidR="009D7677" w:rsidRDefault="009D7677" w:rsidP="009D7677">
      <w:pPr>
        <w:pStyle w:val="TextoNormal"/>
      </w:pPr>
      <w:r>
        <w:t>d) La regulación de los “parques públicos de vivienda” de los arts. 27 a 29 debió ser también anulada, y no solo el párrafo tercero del art. 27.1 por aplicación del impropio canon del exceso de detalle [FJ 8 B) a)].</w:t>
      </w:r>
    </w:p>
    <w:p w14:paraId="2E973E2F" w14:textId="77777777" w:rsidR="009D7677" w:rsidRDefault="009D7677" w:rsidP="009D7677">
      <w:pPr>
        <w:pStyle w:val="TextoNormal"/>
      </w:pPr>
    </w:p>
    <w:p w14:paraId="342B8AE9" w14:textId="77777777" w:rsidR="009D7677" w:rsidRDefault="009D7677" w:rsidP="009D7677">
      <w:pPr>
        <w:pStyle w:val="TextoNormal"/>
      </w:pPr>
      <w:r>
        <w:t>Desde la STC 61/1997, FJ 36, hemos establecido que los patrimonios públicos de suelo son una institución urbanística que el Estado no puede regular. La Ley 12/2023 confirma este encuadramiento ya que asume que esos patrimonios deben ser “regulados específicamente por la legislación autonómica en materia de vivienda, urbanismo y ordenación del territorio” (art. 27.1). Y los “criterios orientadores” sobre su gestión y “destino” que establece en los dos artículos siguientes solo rigen “de conformidad” o “de acuerdo” con lo establecido en esa normativa reguladora, según cláusula que repiten el art. 28.1 y los tres apartados del art. 29.</w:t>
      </w:r>
    </w:p>
    <w:p w14:paraId="1F47A6E6" w14:textId="77777777" w:rsidR="009D7677" w:rsidRDefault="009D7677" w:rsidP="009D7677">
      <w:pPr>
        <w:pStyle w:val="TextoNormal"/>
      </w:pPr>
    </w:p>
    <w:p w14:paraId="148AFE1B" w14:textId="77777777" w:rsidR="009D7677" w:rsidRDefault="009D7677" w:rsidP="009D7677">
      <w:pPr>
        <w:pStyle w:val="TextoNormal"/>
      </w:pPr>
      <w:r>
        <w:t>En consecuencia, los arts. 27 a 29 deberían haberse declarado inconstitucionales por ser normas de “vivienda, urbanismo y ordenación del territorio” de competencia autonómica (art. 148.1.3 CE y art. 27.1 de la Ley recurrida) que el Estado no puede aprobar con carácter supletorio. Y aunque se consideren preceptos “vinculantes” o de “directa aplicación”, como hace la sentencia [FJ 8 B) c) y d)], no pueden ampararse en el art. 149.1.1 CE por regular potestades administrativas, no derechos subjetivos.</w:t>
      </w:r>
    </w:p>
    <w:p w14:paraId="2E930328" w14:textId="77777777" w:rsidR="009D7677" w:rsidRDefault="009D7677" w:rsidP="009D7677">
      <w:pPr>
        <w:pStyle w:val="TextoNormal"/>
      </w:pPr>
    </w:p>
    <w:p w14:paraId="6E28E5DB" w14:textId="77777777" w:rsidR="009D7677" w:rsidRDefault="009D7677" w:rsidP="009D7677">
      <w:pPr>
        <w:pStyle w:val="TextoNormal"/>
      </w:pPr>
      <w:r>
        <w:t>e) Por último, son también normas de vivienda y de aplicación condicionada, que por tanto no garantizan la igualdad de los españoles, el derecho de los ciudadanos a solicitar la inscripción en los registros “constituidos al efecto por las administraciones públicas competentes en la materia” [art. 8 c)] y el deber general de velar por el mantenimiento y conservación del “parque público de vivienda” [art. 9 e)] que como queda dicho corresponde establecer y regular a cada comunidad autónoma (art. 27.1). Los dos preceptos, en suma, establecen garantías de instituciones que la Ley 12/2023 ni crea ni obliga a crear, sino que dependen por entero del ejercicio voluntario por las comunidades autónomas de sus competencias en materia de vivienda, de modo que además de tener carácter supletorio, no garantizan la igualdad de los españoles que exige el válido ejercicio del art. 149.1.1 CE.</w:t>
      </w:r>
    </w:p>
    <w:p w14:paraId="51554C58" w14:textId="77777777" w:rsidR="009D7677" w:rsidRDefault="009D7677" w:rsidP="009D7677">
      <w:pPr>
        <w:pStyle w:val="TextoNormal"/>
      </w:pPr>
    </w:p>
    <w:p w14:paraId="5D953F22" w14:textId="77777777" w:rsidR="009D7677" w:rsidRDefault="009D7677" w:rsidP="009D7677">
      <w:pPr>
        <w:pStyle w:val="TextoNormal"/>
      </w:pPr>
      <w:r>
        <w:t>5</w:t>
      </w:r>
      <w:r w:rsidRPr="009D7677">
        <w:rPr>
          <w:i/>
        </w:rPr>
        <w:t>. Conclusi</w:t>
      </w:r>
      <w:r>
        <w:t>ón</w:t>
      </w:r>
    </w:p>
    <w:p w14:paraId="4613E084" w14:textId="77777777" w:rsidR="009D7677" w:rsidRDefault="009D7677" w:rsidP="009D7677">
      <w:pPr>
        <w:pStyle w:val="TextoNormal"/>
      </w:pPr>
    </w:p>
    <w:p w14:paraId="05BD7601" w14:textId="77777777" w:rsidR="009D7677" w:rsidRDefault="009D7677" w:rsidP="009D7677">
      <w:pPr>
        <w:pStyle w:val="TextoNormal"/>
      </w:pPr>
      <w:r>
        <w:lastRenderedPageBreak/>
        <w:t>En definitiva, el contenido de la Ley 12/2023 no permite considerar esta ley una regulación de las condiciones básicas que garanticen la igualdad de todos los españoles en el ejercicio del derecho a la vivienda (art. 149.1.1 CE, en relación con el art. 47), como ha entendido la mayoría. La posibilidad de que el art. 149.1.1 CE se proyecte sobre “principios rectores” del capítulo III del título I CE (arts. 39 a 52) y no solo sobre “derechos” constitucionales del capítulo II (arts. 14 a 38), reconocida en las SSTC 33/2014 y 16/2018, no permite convertir esa regulación de “derechos” en una regulación de potestades y políticas más propia de una norma básica en materias de competencia compartida o incluso de una ley supletoria sobre una materia de competencia exclusiva de las comunidades autónomas como es la vivienda.</w:t>
      </w:r>
    </w:p>
    <w:p w14:paraId="4135B890" w14:textId="77777777" w:rsidR="009D7677" w:rsidRDefault="009D7677" w:rsidP="009D7677">
      <w:pPr>
        <w:pStyle w:val="TextoNormal"/>
      </w:pPr>
    </w:p>
    <w:p w14:paraId="07A00E5E" w14:textId="77777777" w:rsidR="009D7677" w:rsidRDefault="009D7677" w:rsidP="009D7677">
      <w:pPr>
        <w:pStyle w:val="TextoNormal"/>
      </w:pPr>
      <w:r>
        <w:t>La mayor parte de los preceptos de la Ley 12/2023 —salvo los antes citados art. 15.1 e) y disposiciones finales primera y cuarta— contienen normas de urbanismo y vivienda encuadrables en el art. 148.1.3 CE, y no regulan el “contenido primario del derecho”, “facultades” o “posiciones jurídicas fundamentales” de los ciudadanos que “guarden una estrecha relación, directa e inmediata” con el derecho que el legislador trata de garantizar, como impone nuestra doctrina sobre el art. 149.1.1 CE que la sentencia dice aplicar.</w:t>
      </w:r>
    </w:p>
    <w:p w14:paraId="051041D0" w14:textId="77777777" w:rsidR="009D7677" w:rsidRDefault="009D7677" w:rsidP="009D7677">
      <w:pPr>
        <w:pStyle w:val="TextoNormal"/>
      </w:pPr>
    </w:p>
    <w:p w14:paraId="74938BEA" w14:textId="77777777" w:rsidR="009D7677" w:rsidRDefault="009D7677" w:rsidP="009D7677">
      <w:pPr>
        <w:pStyle w:val="TextoNormal"/>
      </w:pPr>
      <w:r>
        <w:t>Por tal motivo, debieron ser declarados contrarios al orden constitucional de distribución de competencias.</w:t>
      </w:r>
    </w:p>
    <w:p w14:paraId="494310E2" w14:textId="77777777" w:rsidR="009D7677" w:rsidRDefault="009D7677" w:rsidP="009D7677">
      <w:pPr>
        <w:pStyle w:val="TextoNormal"/>
      </w:pPr>
    </w:p>
    <w:p w14:paraId="6AC173C4" w14:textId="77777777" w:rsidR="009D7677" w:rsidRDefault="009D7677" w:rsidP="009D7677">
      <w:pPr>
        <w:pStyle w:val="TextoNormal"/>
      </w:pPr>
      <w:r>
        <w:t>Y en este sentido emitimos nuestro voto particular.</w:t>
      </w:r>
    </w:p>
    <w:p w14:paraId="32D2C78F" w14:textId="77777777" w:rsidR="009D7677" w:rsidRDefault="009D7677" w:rsidP="009D7677">
      <w:pPr>
        <w:pStyle w:val="TextoNormal"/>
      </w:pPr>
    </w:p>
    <w:p w14:paraId="0C7E1773" w14:textId="5B3E93D6" w:rsidR="009D7677" w:rsidRDefault="009D7677" w:rsidP="009D7677">
      <w:pPr>
        <w:pStyle w:val="TextoNormal"/>
      </w:pPr>
      <w:r>
        <w:t>Madrid, a veintitrés de mayo de dos mil veinticuatro.</w:t>
      </w:r>
    </w:p>
    <w:p w14:paraId="2AE4B9F2" w14:textId="23BE4C63" w:rsidR="009D7677" w:rsidRDefault="009D7677">
      <w:pPr>
        <w:spacing w:after="160" w:line="259" w:lineRule="auto"/>
        <w:rPr>
          <w:rFonts w:ascii="Times New Roman" w:eastAsia="Times New Roman" w:hAnsi="Times New Roman" w:cs="Times New Roman"/>
          <w:sz w:val="24"/>
          <w:szCs w:val="24"/>
          <w:lang w:eastAsia="es-ES"/>
        </w:rPr>
      </w:pPr>
      <w:r>
        <w:br w:type="page"/>
      </w:r>
    </w:p>
    <w:p w14:paraId="62480022" w14:textId="77777777" w:rsidR="009D7677" w:rsidRDefault="009D7677" w:rsidP="009D7677">
      <w:pPr>
        <w:pStyle w:val="TtuloResolucin"/>
      </w:pPr>
      <w:bookmarkStart w:id="82" w:name="SENTENCIA_2024_80"/>
      <w:r>
        <w:lastRenderedPageBreak/>
        <w:t>SENTENCIA 80/2024, de 3 de junio de 2024</w:t>
      </w:r>
    </w:p>
    <w:bookmarkEnd w:id="82"/>
    <w:p w14:paraId="6164FBB8" w14:textId="77777777" w:rsidR="009D7677" w:rsidRDefault="009D7677" w:rsidP="009D7677">
      <w:pPr>
        <w:pStyle w:val="TtuloResolucin"/>
      </w:pPr>
      <w:r>
        <w:t>Sala Primera</w:t>
      </w:r>
    </w:p>
    <w:p w14:paraId="4E9FC66C" w14:textId="77777777" w:rsidR="009D7677" w:rsidRDefault="009D7677" w:rsidP="009D7677">
      <w:pPr>
        <w:pStyle w:val="TtuloBOE"/>
      </w:pPr>
      <w:r>
        <w:t>(BOE núm. 164, de 8 de julio de 2024)</w:t>
      </w:r>
    </w:p>
    <w:p w14:paraId="6663F25C" w14:textId="77777777" w:rsidR="009D7677" w:rsidRDefault="009D7677" w:rsidP="009D7677">
      <w:pPr>
        <w:pStyle w:val="TextoNormalCentrado"/>
      </w:pPr>
      <w:r>
        <w:t>ECLI:ES:TC:2024:80</w:t>
      </w:r>
    </w:p>
    <w:p w14:paraId="30F989E6" w14:textId="702C1664" w:rsidR="009D7677" w:rsidRDefault="009D7677" w:rsidP="009D7677">
      <w:pPr>
        <w:pStyle w:val="TextoNormalCentrado"/>
      </w:pPr>
    </w:p>
    <w:p w14:paraId="18C3B495" w14:textId="77777777" w:rsidR="009D7677" w:rsidRDefault="009D7677" w:rsidP="009D7677">
      <w:pPr>
        <w:pStyle w:val="SntesisDescriptiva"/>
      </w:pPr>
      <w:r>
        <w:t>Recurso de amparo 3308-2020. Promovido por don Antonio José Moreno Nieves en relación con la sentencia de la Sala de lo Penal del Tribunal Supremo que le condenó, en casación, por diversos delitos.</w:t>
      </w:r>
    </w:p>
    <w:p w14:paraId="7ADD7CE9" w14:textId="1E0DF6D9" w:rsidR="009D7677" w:rsidRDefault="009D7677" w:rsidP="009D7677">
      <w:pPr>
        <w:pStyle w:val="SntesisDescriptiva"/>
      </w:pPr>
    </w:p>
    <w:p w14:paraId="6EE131B5" w14:textId="77777777" w:rsidR="009D7677" w:rsidRDefault="009D7677" w:rsidP="009D7677">
      <w:pPr>
        <w:pStyle w:val="SntesisAnaltica"/>
      </w:pPr>
      <w:r>
        <w:t>Vulneración de los derechos a un proceso con todas las garantías (doble instancia penal) y a la presunción de inocencia: condena en casación que prescinde del examen directo de los testimonios personales y del propio acusado y que no puede ser objeto de revisión.</w:t>
      </w:r>
    </w:p>
    <w:p w14:paraId="58AFAF44" w14:textId="48DA043B" w:rsidR="009D7677" w:rsidRDefault="009D7677" w:rsidP="009D7677">
      <w:pPr>
        <w:pStyle w:val="SntesisAnaltica"/>
      </w:pPr>
    </w:p>
    <w:p w14:paraId="642E8E19" w14:textId="62EB25B8" w:rsidR="009D7677" w:rsidRDefault="009D7677" w:rsidP="009D7677">
      <w:pPr>
        <w:pStyle w:val="Extracto"/>
      </w:pPr>
      <w:r>
        <w:t>1.</w:t>
      </w:r>
      <w:r>
        <w:tab/>
        <w:t>La declaración de la víctima, por su posición privilegiada como testigo directo de los hechos, puede erigirse en prueba de cargo, aunque tenga la condición procesal de parte, y servir para fundar la convicción judicial, en particular cuando se trata de hechos que ocurren en un entorno de privacidad, pero ello no significa que goce de prevalencia alguna (STC 87/2020) [FJ 4].</w:t>
      </w:r>
    </w:p>
    <w:p w14:paraId="5CA947E3" w14:textId="77777777" w:rsidR="009D7677" w:rsidRDefault="009D7677" w:rsidP="009D7677">
      <w:pPr>
        <w:pStyle w:val="Extracto"/>
      </w:pPr>
    </w:p>
    <w:p w14:paraId="243B9D71" w14:textId="73E1A920" w:rsidR="009D7677" w:rsidRDefault="009D7677" w:rsidP="009D7677">
      <w:pPr>
        <w:pStyle w:val="Extracto"/>
      </w:pPr>
      <w:r>
        <w:t>2.</w:t>
      </w:r>
      <w:r>
        <w:tab/>
        <w:t>Además de las exigencias formales de motivación, existe la necesidad material de que el conjunto de la prueba conduzca de manera concluyente a un juicio positivo del fundamento de la pretensión acusatoria en su vertiente fáctica, pues la presunción de inocencia opera, en el ámbito de la jurisdicción ordinaria, como el derecho del acusado a no sufrir una condena a menos que la culpabilidad haya quedado establecida más allá de toda duda razonable (STC 81/1998) [FJ 4].</w:t>
      </w:r>
    </w:p>
    <w:p w14:paraId="40CC515E" w14:textId="77777777" w:rsidR="009D7677" w:rsidRDefault="009D7677" w:rsidP="009D7677">
      <w:pPr>
        <w:pStyle w:val="Extracto"/>
      </w:pPr>
    </w:p>
    <w:p w14:paraId="1A8E8902" w14:textId="0A012D15" w:rsidR="009D7677" w:rsidRDefault="009D7677" w:rsidP="009D7677">
      <w:pPr>
        <w:pStyle w:val="Extracto"/>
      </w:pPr>
      <w:r>
        <w:t>3.</w:t>
      </w:r>
      <w:r>
        <w:tab/>
        <w:t>Vulnera el derecho a un proceso con todas las garantías que un órgano judicial, conociendo a través de recurso, condene a quien había sido absuelto en la instancia o empeore su situación a partir de una nueva valoración de pruebas personales o de una reconsideración de los hechos estimados probados para establecer su culpabilidad, cuando no se celebre una audiencia pública en la que se desarrolle la necesaria actividad probatoria con las garantías de publicidad, inmediación y contradicción que le son propias y se dé al acusado la posibilidad de defenderse exponiendo su testimonio personal [FJ 5].</w:t>
      </w:r>
    </w:p>
    <w:p w14:paraId="196142A0" w14:textId="77777777" w:rsidR="009D7677" w:rsidRDefault="009D7677" w:rsidP="009D7677">
      <w:pPr>
        <w:pStyle w:val="Extracto"/>
      </w:pPr>
    </w:p>
    <w:p w14:paraId="646097EA" w14:textId="6357A856" w:rsidR="009D7677" w:rsidRDefault="009D7677" w:rsidP="009D7677">
      <w:pPr>
        <w:pStyle w:val="Extracto"/>
      </w:pPr>
      <w:r>
        <w:t>4.</w:t>
      </w:r>
      <w:r>
        <w:tab/>
        <w:t>No vulnera el derecho a un proceso con todas las garantías que la condena o la agravación de la situación, a pesar de no haberse celebrado vista pública, tenga origen en una controversia estrictamente jurídica entre los órganos judiciales de primera y segunda instancia en la que no estén implicadas las garantías de publicidad, inmediación y contradicción y para cuya resolución no resulte necesario oír al acusado [FJ 5].</w:t>
      </w:r>
    </w:p>
    <w:p w14:paraId="54E521B4" w14:textId="77777777" w:rsidR="009D7677" w:rsidRDefault="009D7677" w:rsidP="009D7677">
      <w:pPr>
        <w:pStyle w:val="Extracto"/>
      </w:pPr>
    </w:p>
    <w:p w14:paraId="5511775A" w14:textId="59520910" w:rsidR="009D7677" w:rsidRDefault="009D7677" w:rsidP="009D7677">
      <w:pPr>
        <w:pStyle w:val="Extracto"/>
      </w:pPr>
      <w:r>
        <w:t>5.</w:t>
      </w:r>
      <w:r>
        <w:tab/>
        <w:t xml:space="preserve">En los casos en que se verifique una valoración de pruebas personales sin la debida inmediación, en la medida en que se trata de la valoración de pruebas practicadas sin las debidas garantías, resultará también afectado el derecho a la presunción de inocencia cuando se ponga de manifiesto que dichas pruebas son las únicas tomadas en cuenta por la resolución impugnada o cuando, a partir de su propia motivación, se constate que eran esenciales para llegar a la conclusión </w:t>
      </w:r>
      <w:r>
        <w:lastRenderedPageBreak/>
        <w:t>fáctica incriminatoria, de modo que con su exclusión la inferencia de dicha conclusión se convierta en ilógica o no concluyente a partir de los presupuestos de la propia sentencia (SSTC STC 167/2002 o 144/2012) [FJ 5].</w:t>
      </w:r>
    </w:p>
    <w:p w14:paraId="1EC10DB1" w14:textId="77777777" w:rsidR="009D7677" w:rsidRDefault="009D7677" w:rsidP="009D7677">
      <w:pPr>
        <w:pStyle w:val="Extracto"/>
      </w:pPr>
    </w:p>
    <w:p w14:paraId="2D178AEB" w14:textId="5EC8FB0D" w:rsidR="009D7677" w:rsidRDefault="009D7677" w:rsidP="009D7677">
      <w:pPr>
        <w:pStyle w:val="Extracto"/>
      </w:pPr>
      <w:r>
        <w:t>6.</w:t>
      </w:r>
      <w:r>
        <w:tab/>
        <w:t xml:space="preserve">La jurisprudencia del Tribunal Europeo de Derechos Humanos ha establecido que la audiencia del acusado y la directa apreciación de los testimonios personales son exigencias inherentes al juicio justo también en el último grado jurisdiccional, cuando el tribunal de casación es llamado a pronunciarse sobre la culpabilidad o inocencia de aquel en revisión del juicio verificado en las instancias anteriores (SSTEDH de 17 de diciembre de 2013, asunto </w:t>
      </w:r>
      <w:r w:rsidRPr="009D7677">
        <w:rPr>
          <w:i/>
        </w:rPr>
        <w:t>Ion Tudor c. Rumanía</w:t>
      </w:r>
      <w:r>
        <w:t xml:space="preserve">, de 4 de junio de 2013, asunto </w:t>
      </w:r>
      <w:r w:rsidRPr="009D7677">
        <w:rPr>
          <w:i/>
        </w:rPr>
        <w:t>Hanu c. Rumanía,</w:t>
      </w:r>
      <w:r>
        <w:t xml:space="preserve"> y de 10 de abril de 2012, asunto </w:t>
      </w:r>
      <w:r w:rsidRPr="009D7677">
        <w:rPr>
          <w:i/>
        </w:rPr>
        <w:t>Popa y Tanasescu c. Rumanía</w:t>
      </w:r>
      <w:r>
        <w:t>) [FJ 5].</w:t>
      </w:r>
    </w:p>
    <w:p w14:paraId="346DAEE8" w14:textId="77777777" w:rsidR="009D7677" w:rsidRDefault="009D7677" w:rsidP="009D7677">
      <w:pPr>
        <w:pStyle w:val="Extracto"/>
      </w:pPr>
    </w:p>
    <w:p w14:paraId="020C5EF2" w14:textId="2182C1CC" w:rsidR="009D7677" w:rsidRDefault="009D7677" w:rsidP="009D7677">
      <w:pPr>
        <w:pStyle w:val="Extracto"/>
      </w:pPr>
      <w:r>
        <w:t>7.</w:t>
      </w:r>
      <w:r>
        <w:tab/>
        <w:t>Un renovado juicio de culpabilidad efectuado por el tribunal de casación que pretenda fundarse en la apreciación de la prueba efectuada por el tribunal de primera instancia resulta inconciliable con las exigencias del proceso justo y la proscripción de la indefensión, al ser la apreciación de la prueba, la audiencia del acusado y la ulterior formación del juicio de culpabilidad, momentos del desempeño de la función jurisdiccional subjetivamente indisociables [FJ 5].</w:t>
      </w:r>
    </w:p>
    <w:p w14:paraId="3D14C81B" w14:textId="77777777" w:rsidR="009D7677" w:rsidRDefault="009D7677" w:rsidP="009D7677">
      <w:pPr>
        <w:pStyle w:val="Extracto"/>
      </w:pPr>
    </w:p>
    <w:p w14:paraId="74F2A57C" w14:textId="77777777" w:rsidR="009D7677" w:rsidRDefault="009D7677" w:rsidP="009D7677">
      <w:pPr>
        <w:pStyle w:val="Extracto"/>
      </w:pPr>
    </w:p>
    <w:p w14:paraId="7F1CDDCA" w14:textId="77777777" w:rsidR="009D7677" w:rsidRDefault="009D7677" w:rsidP="009D7677">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37107647" w14:textId="591E6BDD" w:rsidR="009D7677" w:rsidRDefault="009D7677" w:rsidP="009D7677">
      <w:pPr>
        <w:pStyle w:val="TextoNormal"/>
      </w:pPr>
    </w:p>
    <w:p w14:paraId="18E5AF7D" w14:textId="77777777" w:rsidR="009D7677" w:rsidRDefault="009D7677" w:rsidP="009D7677">
      <w:pPr>
        <w:pStyle w:val="TextoNormalCentrado"/>
        <w:keepNext/>
      </w:pPr>
      <w:r>
        <w:t>EN NOMBRE DEL REY</w:t>
      </w:r>
    </w:p>
    <w:p w14:paraId="319F198E" w14:textId="3FA43082" w:rsidR="009D7677" w:rsidRDefault="009D7677" w:rsidP="009D7677">
      <w:pPr>
        <w:pStyle w:val="TextoNormalCentrado"/>
        <w:keepNext/>
      </w:pPr>
    </w:p>
    <w:p w14:paraId="5231B3B6" w14:textId="77777777" w:rsidR="009D7677" w:rsidRDefault="009D7677" w:rsidP="009D7677">
      <w:pPr>
        <w:pStyle w:val="TextoNormalCentrado"/>
        <w:keepNext/>
      </w:pPr>
    </w:p>
    <w:p w14:paraId="1E3B6637" w14:textId="77777777" w:rsidR="009D7677" w:rsidRDefault="009D7677" w:rsidP="009D7677">
      <w:pPr>
        <w:pStyle w:val="TextoNormal"/>
      </w:pPr>
      <w:r>
        <w:t>la siguiente</w:t>
      </w:r>
    </w:p>
    <w:p w14:paraId="40DDEA6C" w14:textId="1C770D06" w:rsidR="009D7677" w:rsidRDefault="009D7677" w:rsidP="009D7677">
      <w:pPr>
        <w:pStyle w:val="TextoNormal"/>
      </w:pPr>
    </w:p>
    <w:p w14:paraId="203682F8" w14:textId="77777777" w:rsidR="009D7677" w:rsidRDefault="009D7677" w:rsidP="009D7677">
      <w:pPr>
        <w:pStyle w:val="TextoNormalCentrado"/>
        <w:keepNext/>
      </w:pPr>
      <w:r>
        <w:t>SENTENCIA</w:t>
      </w:r>
    </w:p>
    <w:p w14:paraId="57FFF529" w14:textId="116D111F" w:rsidR="009D7677" w:rsidRDefault="009D7677" w:rsidP="009D7677">
      <w:pPr>
        <w:pStyle w:val="TextoNormalCentrado"/>
        <w:keepNext/>
      </w:pPr>
    </w:p>
    <w:p w14:paraId="1B051906" w14:textId="77777777" w:rsidR="009D7677" w:rsidRDefault="009D7677" w:rsidP="009D7677">
      <w:pPr>
        <w:pStyle w:val="TextoNormal"/>
      </w:pPr>
      <w:r>
        <w:t xml:space="preserve">En el recurso de amparo núm. 3308-2020, promovido por don Antonio José Moreno Nieves, representado por el procurador de los tribunales don Joaquín Fanjul de Antonio y asistido por el abogado don Juan Ignacio Pajares Muñoz, contra la sentencia núm. 555/2019, de 13 de noviembre, de la Sala de lo Penal del Tribunal Supremo, dictada en el recurso de casación núm. 1631-2018, que casó y anuló la sentencia de 3 de mayo de 2018 de la Sala de lo Civil y Penal del Tribunal Superior de Justicia de Extremadura que absolvió al actor tras estimar el recurso de apelación núm. 7-2018 que había interpuesto contra la sentencia de 7 de febrero de 2018 de la Sección Tercera de la Audiencia Provincial de Badajoz, dictada en el juicio oral núm. 46-2017, que le había condenado como autor de un delito de agresión sexual, un delito de lesiones leves y un delito de daños leves. El recurso se dirige también contra la segunda sentencia casacional, que condenó al demandante en los mismos términos de la Audiencia Provincial, y contra el auto de 19 de febrero de 2020 que desestimó el incidente de nulidad de actuaciones promovido frente a las sentencias de </w:t>
      </w:r>
      <w:r>
        <w:lastRenderedPageBreak/>
        <w:t>casación. Ha intervenido el Ministerio Fiscal. Ha sido ponente el presidente, don Cándido Conde-Pumpido Tourón.</w:t>
      </w:r>
    </w:p>
    <w:p w14:paraId="35876859" w14:textId="3B432C3E" w:rsidR="009D7677" w:rsidRDefault="009D7677" w:rsidP="009D7677">
      <w:pPr>
        <w:pStyle w:val="TextoNormal"/>
      </w:pPr>
    </w:p>
    <w:p w14:paraId="47FE3231" w14:textId="77777777" w:rsidR="009D7677" w:rsidRDefault="009D7677" w:rsidP="009D7677">
      <w:pPr>
        <w:pStyle w:val="TextoNormalNegritaCentrado"/>
        <w:keepNext/>
      </w:pPr>
      <w:r>
        <w:t>I. Antecedentes</w:t>
      </w:r>
    </w:p>
    <w:p w14:paraId="2816B377" w14:textId="09EF9A46" w:rsidR="009D7677" w:rsidRDefault="009D7677" w:rsidP="009D7677">
      <w:pPr>
        <w:pStyle w:val="TextoNormalNegritaCentrado"/>
        <w:keepNext/>
      </w:pPr>
    </w:p>
    <w:p w14:paraId="0008A554" w14:textId="38A4CA82" w:rsidR="009D7677" w:rsidRDefault="009D7677" w:rsidP="009D7677">
      <w:pPr>
        <w:pStyle w:val="TextoNormal"/>
      </w:pPr>
      <w:r w:rsidRPr="009D7677">
        <w:rPr>
          <w:rStyle w:val="NumeroAFNegritaCaracter"/>
        </w:rPr>
        <w:t>1</w:t>
      </w:r>
      <w:r>
        <w:t>. Mediante escrito que tuvo entrada en este tribunal el 16 de julio de 2020, el procurador de los tribunales don Joaquín Fanjul de Antonio, en nombre y representación de don Antonio José Moreno Nieves, interpuso recurso de amparo contra las sentencias y el auto dictados por el Tribunal Supremo en el recurso de casación núm. 1631-2018 que se mencionan en el encabezamiento de esta sentencia.</w:t>
      </w:r>
    </w:p>
    <w:p w14:paraId="1813D9D4" w14:textId="77777777" w:rsidR="009D7677" w:rsidRDefault="009D7677" w:rsidP="009D7677">
      <w:pPr>
        <w:pStyle w:val="TextoNormal"/>
      </w:pPr>
    </w:p>
    <w:p w14:paraId="1BAC469A" w14:textId="77777777" w:rsidR="009D7677" w:rsidRDefault="009D7677" w:rsidP="009D7677">
      <w:pPr>
        <w:pStyle w:val="TextoNormal"/>
      </w:pPr>
      <w:r w:rsidRPr="009D7677">
        <w:rPr>
          <w:rStyle w:val="NumeroAFNegritaCaracter"/>
        </w:rPr>
        <w:t>2</w:t>
      </w:r>
      <w:r>
        <w:t>. Los hechos en que se sustenta la demanda son, sucintamente expuestos, los siguientes:</w:t>
      </w:r>
    </w:p>
    <w:p w14:paraId="6ECD3168" w14:textId="77777777" w:rsidR="009D7677" w:rsidRDefault="009D7677" w:rsidP="009D7677">
      <w:pPr>
        <w:pStyle w:val="TextoNormal"/>
      </w:pPr>
    </w:p>
    <w:p w14:paraId="171D1B89" w14:textId="77777777" w:rsidR="009D7677" w:rsidRDefault="009D7677" w:rsidP="009D7677">
      <w:pPr>
        <w:pStyle w:val="TextoNormal"/>
      </w:pPr>
      <w:r>
        <w:t>a) La Sección Tercera de la Audiencia Provincial de Badajoz, con sede en Mérida, dictó la sentencia núm. 18/2018, de 7 de febrero, en el juicio oral núm. 46-2017, dimanante del procedimiento abreviado núm. 90-2017 del Juzgado de Instrucción núm. 4 de Mérida, por la que condenó al demandante de amparo como autor de un delito de agresión sexual del art. 178 del Código penal (CP) a la pena de dos años de prisión, con accesoria de inhabilitación especial para el derecho de sufragio pasivo durante el tiempo de la condena, así como por la comisión de un delito leve de lesiones del art. 147.2 CP y de un delito leve de daños del art. 263.1, párrafo segundo CP a sendas penas de dos meses de multa con una cuota diaria de diez euros, con la consiguiente responsabilidad personal subsidiaria y a pagar en concepto de indemnización a la víctima las cantidades de 560 € por lesiones, 2000 € por daños morales, y las que resultaren en ejecución de sentencia de la nueva valoración que hiciera el médico forense de las secuelas psíquicas y la tasación de los daños sufridos en su teléfono móvil. La sentencia le absolvía de los delitos de detención ilegal y amenazas que le imputaba la acusación particular.</w:t>
      </w:r>
    </w:p>
    <w:p w14:paraId="2DAB1970" w14:textId="77777777" w:rsidR="009D7677" w:rsidRDefault="009D7677" w:rsidP="009D7677">
      <w:pPr>
        <w:pStyle w:val="TextoNormal"/>
      </w:pPr>
    </w:p>
    <w:p w14:paraId="2D4C9845" w14:textId="77777777" w:rsidR="009D7677" w:rsidRDefault="009D7677" w:rsidP="009D7677">
      <w:pPr>
        <w:pStyle w:val="TextoNormal"/>
      </w:pPr>
      <w:r>
        <w:t>La sentencia declaró probado lo siguiente:</w:t>
      </w:r>
    </w:p>
    <w:p w14:paraId="67962F48" w14:textId="77777777" w:rsidR="009D7677" w:rsidRDefault="009D7677" w:rsidP="009D7677">
      <w:pPr>
        <w:pStyle w:val="TextoNormal"/>
      </w:pPr>
    </w:p>
    <w:p w14:paraId="0225DCBF" w14:textId="77777777" w:rsidR="009D7677" w:rsidRDefault="009D7677" w:rsidP="009D7677">
      <w:pPr>
        <w:pStyle w:val="TextoNormal"/>
      </w:pPr>
      <w:r>
        <w:t>“El día 3 de septiembre de 2016, sobre las 14:00 horas, el acusado Antonio José Moreno Nieves, mayor de edad y sin antecedentes penales, en unión de M.F.H., decidieron contratar por teléfono los servicios sexuales de la denunciante V.G.L. Para ello, M.F.H., llamó por teléfono a la indicada obteniendo su teléfono de una página de servicios de este tipo, concertando con ella un servicio de 100 € de una hora en la habitación […] del hotel […] de Mérida, sin advertirle que estaría presente el acusado. Cuando V.G.L., llega a la habitación del hotel se encuentra con que hay un segundo varón en la terraza, por lo que V.G.L., se niega a realizar el contacto sexual ya que era con un solo varón, a lo que Antonio José Moreno Nieves le indica que solo quiere mirar, y ante la negativa de V.G.L., manifiesta que, ‘tú no sabes quién soy yo, soy una persona importante’ y le indica en tono amenazante que tiene que cumplir lo acordado y la agarra fuertemente por los brazos y golpea en la espalda ante la intención de la denunciante de marcharse de la habitación y para evitar que lo hiciera.</w:t>
      </w:r>
    </w:p>
    <w:p w14:paraId="61184641" w14:textId="77777777" w:rsidR="009D7677" w:rsidRDefault="009D7677" w:rsidP="009D7677">
      <w:pPr>
        <w:pStyle w:val="TextoNormal"/>
      </w:pPr>
    </w:p>
    <w:p w14:paraId="34CECB68" w14:textId="77777777" w:rsidR="009D7677" w:rsidRDefault="009D7677" w:rsidP="009D7677">
      <w:pPr>
        <w:pStyle w:val="TextoNormal"/>
      </w:pPr>
      <w:r>
        <w:lastRenderedPageBreak/>
        <w:t>Ante esta situación, V.G.L., le pide un café al acusado y cuando este sube con la bebida le ve como se introduce en el baño y echa algo en la bebida, circunstancia que es recriminada por V.G.L., negando Antonio haber echado ninguna sustancia.</w:t>
      </w:r>
    </w:p>
    <w:p w14:paraId="4493F6E8" w14:textId="77777777" w:rsidR="009D7677" w:rsidRDefault="009D7677" w:rsidP="009D7677">
      <w:pPr>
        <w:pStyle w:val="TextoNormal"/>
      </w:pPr>
    </w:p>
    <w:p w14:paraId="23235822" w14:textId="77777777" w:rsidR="009D7677" w:rsidRDefault="009D7677" w:rsidP="009D7677">
      <w:pPr>
        <w:pStyle w:val="TextoNormal"/>
      </w:pPr>
      <w:r>
        <w:t>V.G.L., con la finalidad de terminar cuanto antes lo que consideraba una situación violenta y estresante acepta mantener relaciones sexuales completas con M.F.H., comprobando como desde la puerta del baño entreabierta el acusado grababa con su teléfono móvil el acto, motivo por el que le suplica que no lo haga y ante la negativa de Antonio decide recoger sus cosas y marcharse del lugar, momento en el que el acusado coge a V.G.L., le empieza, con una finalidad lúbrica, a manosear sus pechos y le pone la mano en su vagina al tiempo que le dice, ‘con esto que tengo, te la meto por el culo y te la saco por la boca, puta’.</w:t>
      </w:r>
    </w:p>
    <w:p w14:paraId="701DB867" w14:textId="77777777" w:rsidR="009D7677" w:rsidRDefault="009D7677" w:rsidP="009D7677">
      <w:pPr>
        <w:pStyle w:val="TextoNormal"/>
      </w:pPr>
    </w:p>
    <w:p w14:paraId="1E93F6AD" w14:textId="77777777" w:rsidR="009D7677" w:rsidRDefault="009D7677" w:rsidP="009D7677">
      <w:pPr>
        <w:pStyle w:val="TextoNormal"/>
      </w:pPr>
      <w:r>
        <w:t>V.G.L., vio como en varias ocasiones el acusado metía la mano en una bolsa de plástico que contenía un polvo blanco y se lo llevaba a la boca.</w:t>
      </w:r>
    </w:p>
    <w:p w14:paraId="7E0FF7C9" w14:textId="77777777" w:rsidR="009D7677" w:rsidRDefault="009D7677" w:rsidP="009D7677">
      <w:pPr>
        <w:pStyle w:val="TextoNormal"/>
      </w:pPr>
    </w:p>
    <w:p w14:paraId="32CC8716" w14:textId="77777777" w:rsidR="009D7677" w:rsidRDefault="009D7677" w:rsidP="009D7677">
      <w:pPr>
        <w:pStyle w:val="TextoNormal"/>
      </w:pPr>
      <w:r>
        <w:t>En plena discusión cuando V.G.L., pretendía marcharse de la habitación, Antonio José Moreno cogió el teléfono de V.G.L., un IPhone 5, y lo tiró al suelo, rompiendo su pantalla, lo que no impidió que esta lo cogiera y llamara a una amiga demandando auxilio.</w:t>
      </w:r>
    </w:p>
    <w:p w14:paraId="7061B1B4" w14:textId="77777777" w:rsidR="009D7677" w:rsidRDefault="009D7677" w:rsidP="009D7677">
      <w:pPr>
        <w:pStyle w:val="TextoNormal"/>
      </w:pPr>
    </w:p>
    <w:p w14:paraId="3F4A4A09" w14:textId="77777777" w:rsidR="009D7677" w:rsidRDefault="009D7677" w:rsidP="009D7677">
      <w:pPr>
        <w:pStyle w:val="TextoNormal"/>
      </w:pPr>
      <w:r>
        <w:t>Al querer coger las llaves de su vehículo para marcharse no las encontró en su bolso, apareciendo en unos minutos debajo de una de las almohadas.</w:t>
      </w:r>
    </w:p>
    <w:p w14:paraId="4B264051" w14:textId="77777777" w:rsidR="009D7677" w:rsidRDefault="009D7677" w:rsidP="009D7677">
      <w:pPr>
        <w:pStyle w:val="TextoNormal"/>
      </w:pPr>
    </w:p>
    <w:p w14:paraId="28517C3F" w14:textId="77777777" w:rsidR="009D7677" w:rsidRDefault="009D7677" w:rsidP="009D7677">
      <w:pPr>
        <w:pStyle w:val="TextoNormal"/>
      </w:pPr>
      <w:r>
        <w:t>Cuando V.G.L., consiguió salir de la habitación, bajó a recepción donde pidió ayuda y llamó al 112, personándose una dotación de la Policía Nacional.</w:t>
      </w:r>
    </w:p>
    <w:p w14:paraId="126E35A8" w14:textId="77777777" w:rsidR="009D7677" w:rsidRDefault="009D7677" w:rsidP="009D7677">
      <w:pPr>
        <w:pStyle w:val="TextoNormal"/>
      </w:pPr>
    </w:p>
    <w:p w14:paraId="1BBE15F6" w14:textId="77777777" w:rsidR="009D7677" w:rsidRDefault="009D7677" w:rsidP="009D7677">
      <w:pPr>
        <w:pStyle w:val="TextoNormal"/>
      </w:pPr>
      <w:r>
        <w:t>El café ha sido analizado por la Comisaría General de la Policía Científica y contenía 1,6 gramos de alcohol por litro.</w:t>
      </w:r>
    </w:p>
    <w:p w14:paraId="213F7248" w14:textId="77777777" w:rsidR="009D7677" w:rsidRDefault="009D7677" w:rsidP="009D7677">
      <w:pPr>
        <w:pStyle w:val="TextoNormal"/>
      </w:pPr>
    </w:p>
    <w:p w14:paraId="6F0245D9" w14:textId="77777777" w:rsidR="009D7677" w:rsidRDefault="009D7677" w:rsidP="009D7677">
      <w:pPr>
        <w:pStyle w:val="TextoNormal"/>
      </w:pPr>
      <w:r>
        <w:t>No ha sido posible desbloquear el teléfono móvil del acusado para comprobar la grabación que realizó del acto sexual de la denunciante con M.F.H.</w:t>
      </w:r>
    </w:p>
    <w:p w14:paraId="0C9BAE31" w14:textId="77777777" w:rsidR="009D7677" w:rsidRDefault="009D7677" w:rsidP="009D7677">
      <w:pPr>
        <w:pStyle w:val="TextoNormal"/>
      </w:pPr>
    </w:p>
    <w:p w14:paraId="683FDA72" w14:textId="77777777" w:rsidR="009D7677" w:rsidRDefault="009D7677" w:rsidP="009D7677">
      <w:pPr>
        <w:pStyle w:val="TextoNormal"/>
      </w:pPr>
      <w:r>
        <w:t>Como consecuencia de estos hechos, V.G.L., compareció esa misma tarde en los servicios de urgencia del Hospital de Mérida donde se aprecia un hematoma en la zona subescapular izquierda y dolor a la palpación en brazo derecho y zona posterior muslo izquierdo. Según informe forense las lesiones tardaron en curar sin secuelas diez días, dos de los cuales fueron impeditivos para sus ocupaciones habituales.</w:t>
      </w:r>
    </w:p>
    <w:p w14:paraId="0E83DE40" w14:textId="77777777" w:rsidR="009D7677" w:rsidRDefault="009D7677" w:rsidP="009D7677">
      <w:pPr>
        <w:pStyle w:val="TextoNormal"/>
      </w:pPr>
    </w:p>
    <w:p w14:paraId="223CF1CC" w14:textId="77777777" w:rsidR="009D7677" w:rsidRDefault="009D7677" w:rsidP="009D7677">
      <w:pPr>
        <w:pStyle w:val="TextoNormal"/>
      </w:pPr>
      <w:r>
        <w:t>Desde aquella fecha ha seguido tratamiento psicológico y desde octubre de 2017 tratamiento psiquiátrico por trastorno mixto ansioso-depresivo.</w:t>
      </w:r>
    </w:p>
    <w:p w14:paraId="1923E506" w14:textId="77777777" w:rsidR="009D7677" w:rsidRDefault="009D7677" w:rsidP="009D7677">
      <w:pPr>
        <w:pStyle w:val="TextoNormal"/>
      </w:pPr>
    </w:p>
    <w:p w14:paraId="5D8E4560" w14:textId="77777777" w:rsidR="009D7677" w:rsidRDefault="009D7677" w:rsidP="009D7677">
      <w:pPr>
        <w:pStyle w:val="TextoNormal"/>
      </w:pPr>
      <w:r>
        <w:t>Los daños en el celular no han sido tasados”.</w:t>
      </w:r>
    </w:p>
    <w:p w14:paraId="7AB0B396" w14:textId="77777777" w:rsidR="009D7677" w:rsidRDefault="009D7677" w:rsidP="009D7677">
      <w:pPr>
        <w:pStyle w:val="TextoNormal"/>
      </w:pPr>
    </w:p>
    <w:p w14:paraId="0B5A2AB3" w14:textId="77777777" w:rsidR="009D7677" w:rsidRDefault="009D7677" w:rsidP="009D7677">
      <w:pPr>
        <w:pStyle w:val="TextoNormal"/>
      </w:pPr>
      <w:r>
        <w:t xml:space="preserve">b) El demandante interpuso recurso de apelación en el que hizo valer la vulneración de su derecho a la presunción de inocencia (art. 24.2 CE), así como error en la valoración de la prueba e infracción del principio </w:t>
      </w:r>
      <w:r w:rsidRPr="009D7677">
        <w:rPr>
          <w:i/>
        </w:rPr>
        <w:t>in dubio pro reo</w:t>
      </w:r>
      <w:r>
        <w:t xml:space="preserve">, porque (i) no se valoró la prueba de descargo, particularmente la declaración prestada en el juicio por don M.F.H., testigo directo de los hechos; y (ii) no existió prueba de cargo suficiente para sustentar válidamente </w:t>
      </w:r>
      <w:r>
        <w:lastRenderedPageBreak/>
        <w:t>su condena, exponiendo las razones por las que, a su juicio, la credibilidad y verosimilitud del testimonio de la denunciante eran cuestionables.</w:t>
      </w:r>
    </w:p>
    <w:p w14:paraId="24F3A825" w14:textId="77777777" w:rsidR="009D7677" w:rsidRDefault="009D7677" w:rsidP="009D7677">
      <w:pPr>
        <w:pStyle w:val="TextoNormal"/>
      </w:pPr>
    </w:p>
    <w:p w14:paraId="004153F5" w14:textId="77777777" w:rsidR="009D7677" w:rsidRDefault="009D7677" w:rsidP="009D7677">
      <w:pPr>
        <w:pStyle w:val="TextoNormal"/>
      </w:pPr>
      <w:r>
        <w:t>La Sala de lo Civil y Penal del Tribunal Superior de Justicia de Extremadura dictó sentencia el 3 de mayo de 2018 por la que estimó el recurso de apelación y absolvió al recurrente. En su antecedente de hecho séptimo modifica el relato de hechos probados, que quedan redactados en estos términos:</w:t>
      </w:r>
    </w:p>
    <w:p w14:paraId="2C4BCE44" w14:textId="77777777" w:rsidR="009D7677" w:rsidRDefault="009D7677" w:rsidP="009D7677">
      <w:pPr>
        <w:pStyle w:val="TextoNormal"/>
      </w:pPr>
    </w:p>
    <w:p w14:paraId="2A07D546" w14:textId="77777777" w:rsidR="009D7677" w:rsidRDefault="009D7677" w:rsidP="009D7677">
      <w:pPr>
        <w:pStyle w:val="TextoNormal"/>
      </w:pPr>
      <w:r>
        <w:t>“Sobre las 14 horas del día 3 de Septiembre de 2016, el acusado Antonio José Moreno Nieves, mayor de edad y sin antecedentes penales, de común acuerdo con su amigo M.F.H., decidieron contratar por teléfono los servicios sexuales de la denunciante V.G.L., para lo cual este último llamó a la indicada obteniendo el número de teléfono de una de las páginas de la prensa para servicios de este tipo, concertando con la misma un servicio por 100 €, por una hora, a desarrollar en la habitación número […] del Hotel […] de Mérida, sin advertirle M.F.H., que también estaría Antonio José, por lo que ante su presencia, aunque en un principio quiso marcharse, al final se queda, bajando Antonio José a la cafetería a por un café para V.G.L., comprobando cuando regresa que ya están esta y M.F.H., en la cama realizando el acto sexual. Entonces Antonio José empezó a grabar con su teléfono móvil desde el baño con la puerta entreabierta, lo que generó un fuerte enfado y que sufriera un estado de nervios la denunciante, borrándose lo que se había grabado, de cuyo contenido, pues, no se hizo uso posteriormente.</w:t>
      </w:r>
    </w:p>
    <w:p w14:paraId="1CBAC28D" w14:textId="77777777" w:rsidR="009D7677" w:rsidRDefault="009D7677" w:rsidP="009D7677">
      <w:pPr>
        <w:pStyle w:val="TextoNormal"/>
      </w:pPr>
    </w:p>
    <w:p w14:paraId="3D1894D2" w14:textId="77777777" w:rsidR="009D7677" w:rsidRDefault="009D7677" w:rsidP="009D7677">
      <w:pPr>
        <w:pStyle w:val="TextoNormal"/>
      </w:pPr>
      <w:r>
        <w:t>A continuación, V.G.L., se marcha y desde recepción llaman a la Policía Nacional que personada levantó el correspondiente atestado, siendo reconocida por el médico de guardia de urgencia en el Hospital de Mérida, a quien no refiere agresión sexual alguna, que le aprecia hematoma en zona subescapular izquierda y a quien refiere dolor a la palpación en brazo derecho y zona posterior del muslo izquierdo. El mismo médico del servicio de urgencias, que corroboró el médico forense, refiere un diagnóstico de fobia social a V.G.L., que comportaba un trastorno con tratamiento con lorazepam y escitalopram, patología que no consta haya afectado o influido en todo lo sucedido.</w:t>
      </w:r>
    </w:p>
    <w:p w14:paraId="198E4EA7" w14:textId="77777777" w:rsidR="009D7677" w:rsidRDefault="009D7677" w:rsidP="009D7677">
      <w:pPr>
        <w:pStyle w:val="TextoNormal"/>
      </w:pPr>
    </w:p>
    <w:p w14:paraId="0241BBC7" w14:textId="77777777" w:rsidR="009D7677" w:rsidRDefault="009D7677" w:rsidP="009D7677">
      <w:pPr>
        <w:pStyle w:val="TextoNormal"/>
      </w:pPr>
      <w:r>
        <w:t>El análisis efectuado en el resto del café que Antonio José llevó a V.G.L., como dijimos anteriormente, llevado a cabo por la Comisaría General de la Policía Científica, arrojó un resultado ínfimo de alcohol de 1,6 gramos por litro. No consta acreditado como pudo llegar al café el alcohol detectado”.</w:t>
      </w:r>
    </w:p>
    <w:p w14:paraId="19422F8C" w14:textId="77777777" w:rsidR="009D7677" w:rsidRDefault="009D7677" w:rsidP="009D7677">
      <w:pPr>
        <w:pStyle w:val="TextoNormal"/>
      </w:pPr>
    </w:p>
    <w:p w14:paraId="4A44ED84" w14:textId="77777777" w:rsidR="009D7677" w:rsidRDefault="009D7677" w:rsidP="009D7677">
      <w:pPr>
        <w:pStyle w:val="TextoNormal"/>
      </w:pPr>
      <w:r>
        <w:t>La sentencia de apelación rechaza los fundamentos de la condena porque la sentencia apelada en ningún momento valoró el testimonio de don M.F.H., pese a haber sido testigo presencial y directo de los hechos. Este testigo coincidió con el demandante en que ni insultó ni golpeó a doña V.G.L., como tampoco la obligó a mantener relaciones sexuales forzadas, apuntando que lo que provocó el enfado y fuerte nerviosismo de ella fue la grabación. Y dicha grabación no pudo ser obtenida por la policía al haber sido borrada, sin que conste que se hiciera posteriormente ningún uso inconsentido de la misma (FJ 3).</w:t>
      </w:r>
    </w:p>
    <w:p w14:paraId="542DED7A" w14:textId="77777777" w:rsidR="009D7677" w:rsidRDefault="009D7677" w:rsidP="009D7677">
      <w:pPr>
        <w:pStyle w:val="TextoNormal"/>
      </w:pPr>
    </w:p>
    <w:p w14:paraId="673919F6" w14:textId="77777777" w:rsidR="009D7677" w:rsidRDefault="009D7677" w:rsidP="009D7677">
      <w:pPr>
        <w:pStyle w:val="TextoNormal"/>
      </w:pPr>
      <w:r>
        <w:t xml:space="preserve">La sentencia de apelación sopesa, por otro lado, el testimonio de la denunciante, de cuya versión afirma que “no ha sido la misma a lo largo del procedimiento, con notables diferencias en sus manifestaciones inicialmente en su denuncia y las prestadas en el juicio </w:t>
      </w:r>
      <w:r>
        <w:lastRenderedPageBreak/>
        <w:t>oral, así las zonas de su cuerpo tocadas por el acusado, el momento y la forma en que las llevó a cabo, si hubo agresión y cuando se produjo” (FJ 4).</w:t>
      </w:r>
    </w:p>
    <w:p w14:paraId="3CA8449A" w14:textId="77777777" w:rsidR="009D7677" w:rsidRDefault="009D7677" w:rsidP="009D7677">
      <w:pPr>
        <w:pStyle w:val="TextoNormal"/>
      </w:pPr>
    </w:p>
    <w:p w14:paraId="0F068F29" w14:textId="77777777" w:rsidR="009D7677" w:rsidRDefault="009D7677" w:rsidP="009D7677">
      <w:pPr>
        <w:pStyle w:val="TextoNormal"/>
      </w:pPr>
      <w:r>
        <w:t>Conviene el tribunal de apelación con la defensa en que el relato de la denunciante acerca de lo sucedido resultaba “incoherente e inconsistente, con evidentes e importantes contradicciones que consideramos insuficientes para enervar la presunción de inocencia, faltando una persistencia sostenible en la incriminación, sobre todo cuando la tesis exculpatoria tiene su apoyo en las declaraciones del testigo M.F.H., cuyo valor probatorio debe primar en este caso, al no concurrir móviles o circunstancias espurias o interesadas que las desvirtúen seriamente” (FJ 4).</w:t>
      </w:r>
    </w:p>
    <w:p w14:paraId="11F92A79" w14:textId="77777777" w:rsidR="009D7677" w:rsidRDefault="009D7677" w:rsidP="009D7677">
      <w:pPr>
        <w:pStyle w:val="TextoNormal"/>
      </w:pPr>
    </w:p>
    <w:p w14:paraId="6A6D3B01" w14:textId="77777777" w:rsidR="009D7677" w:rsidRDefault="009D7677" w:rsidP="009D7677">
      <w:pPr>
        <w:pStyle w:val="TextoNormal"/>
      </w:pPr>
      <w:r>
        <w:t>Observa, asimismo, en las declaraciones inculpatorias de la denunciante elementos que permitían dudar de su íntegra veracidad; tampoco considera probado que “el acusado agrediese a la denunciante y le produjese lesiones leves, con el hematoma detectado por el médico, ni tampoco se causasen por el acusado unos daños en el teléfono móvil de la víctima que nadie ha corroborado y que por supuesto nadie ha visto ni han sido objeto de una seria tasación pericial” (FJ 4).</w:t>
      </w:r>
    </w:p>
    <w:p w14:paraId="1830D7C5" w14:textId="77777777" w:rsidR="009D7677" w:rsidRDefault="009D7677" w:rsidP="009D7677">
      <w:pPr>
        <w:pStyle w:val="TextoNormal"/>
      </w:pPr>
    </w:p>
    <w:p w14:paraId="2796CF56" w14:textId="77777777" w:rsidR="009D7677" w:rsidRDefault="009D7677" w:rsidP="009D7677">
      <w:pPr>
        <w:pStyle w:val="TextoNormal"/>
      </w:pPr>
      <w:r>
        <w:t>c) Contra la sentencia de apelación anunciaron recurso de casación el Ministerio Fiscal y la acusación particular; el de esta última fue declarado desierto por decreto de 5 de septiembre de 2018 de la Sección Primera de la Sala de lo Penal del Tribunal Supremo por incurrir en defectos de representación que no fueron subsanados en el plazo concedido para ello.</w:t>
      </w:r>
    </w:p>
    <w:p w14:paraId="229C2856" w14:textId="77777777" w:rsidR="009D7677" w:rsidRDefault="009D7677" w:rsidP="009D7677">
      <w:pPr>
        <w:pStyle w:val="TextoNormal"/>
      </w:pPr>
    </w:p>
    <w:p w14:paraId="2EE8F2BF" w14:textId="77777777" w:rsidR="009D7677" w:rsidRDefault="009D7677" w:rsidP="009D7677">
      <w:pPr>
        <w:pStyle w:val="TextoNormal"/>
      </w:pPr>
      <w:r>
        <w:t>El fiscal interpuso recurso de casación articulado en dos motivos: (i) el de infracción de preceptos constitucionales [arts. 5.4 de la Ley Orgánica del Poder Judicial (LOPJ) y 852 de la Ley de enjuiciamiento criminal (LECrim)] por vulneración del derecho a la tutela judicial efectiva (art. 24.1 CE) y a un proceso con garantías (art. 24.2 CE), fundado en que el tribunal de apelación excedió sus competencias en materia de revisión de la actividad probatoria del órgano de enjuiciamiento, y vulneró el principio de libre valoración de la prueba (art. 741 LECrim) que correspondía a este, al no haberse limitado a verificar un control de la razonabilidad de la valoración de la prueba, sino una nueva y distinta valoración de la misma, sin contar con la necesaria inmediación; y (ii) por infracción de ley (art. 849.1 LECrim) por indebida inaplicación de los arts. 178, 147.2 y 263.1, párrafo segundo CP como consecuencia de no haberse mantenido los hechos en la sentencia de apelación en los términos en que fueron declarados probados en la sentencia de primer grado.</w:t>
      </w:r>
    </w:p>
    <w:p w14:paraId="7B14A320" w14:textId="77777777" w:rsidR="009D7677" w:rsidRDefault="009D7677" w:rsidP="009D7677">
      <w:pPr>
        <w:pStyle w:val="TextoNormal"/>
      </w:pPr>
    </w:p>
    <w:p w14:paraId="638C50D7" w14:textId="77777777" w:rsidR="009D7677" w:rsidRDefault="009D7677" w:rsidP="009D7677">
      <w:pPr>
        <w:pStyle w:val="TextoNormal"/>
      </w:pPr>
      <w:r>
        <w:t>La Sala de lo Penal del Tribunal Supremo dictó la sentencia núm. 555/2019, de 13 de noviembre (recurso de casación núm. 1631-2018) por la que casó y anuló la sentencia de apelación, retomando en sus propios términos la condena de primera instancia.</w:t>
      </w:r>
    </w:p>
    <w:p w14:paraId="1DA6F7B0" w14:textId="77777777" w:rsidR="009D7677" w:rsidRDefault="009D7677" w:rsidP="009D7677">
      <w:pPr>
        <w:pStyle w:val="TextoNormal"/>
      </w:pPr>
    </w:p>
    <w:p w14:paraId="3E270392" w14:textId="77777777" w:rsidR="009D7677" w:rsidRDefault="009D7677" w:rsidP="009D7677">
      <w:pPr>
        <w:pStyle w:val="TextoNormal"/>
      </w:pPr>
      <w:r>
        <w:t xml:space="preserve">Al desarrollar los argumentos que le llevan a dar la razón al Ministerio Fiscal, el tribunal de casación recuerda la jurisprudencia ligada a los límites de la apelación como segunda instancia no plena (SSTS 945/2013, de 16 de diciembre; 32/2012, de 25 de enero, o 1215/2011, de 15 de noviembre); particularmente, en lo que afecta a la revisión de la convicción probatoria de instancia en materia de prueba personal. Tiene, asimismo, en cuenta los criterios instaurados por el Tribunal Constitucional (STC 167/2002, de 18 de septiembre, y posteriores) en lo atinente al grado de control que procede efectuar en vía de recurso </w:t>
      </w:r>
      <w:r>
        <w:lastRenderedPageBreak/>
        <w:t>cuando se dirimen cuestiones de hecho relacionadas con la apreciación de pruebas personales, de modo tal que deviene vulnerado el derecho al proceso con todas las garantías cuando el órgano de apelación, sin respetar los principios de inmediación y contradicción, revisa y corrige la ponderación de la prueba personal llevada a cabo por el órgano bajo el que se practicó, reinterpretando con ello prueba no practicada en su presencia. La sentencia casacional retoma, al efecto, lo expuesto en la STS 216/2019, de 24 de abril,  en cuanto al valor de la inmediación en la prueba personal sobre “lo que se dice y cómo se dice, no solo por su contenido literal, sino por su expresión gestual y por el contexto de su declaración” (FJ 1.2).</w:t>
      </w:r>
    </w:p>
    <w:p w14:paraId="71C83E5E" w14:textId="77777777" w:rsidR="009D7677" w:rsidRDefault="009D7677" w:rsidP="009D7677">
      <w:pPr>
        <w:pStyle w:val="TextoNormal"/>
      </w:pPr>
    </w:p>
    <w:p w14:paraId="42F73E76" w14:textId="77777777" w:rsidR="009D7677" w:rsidRDefault="009D7677" w:rsidP="009D7677">
      <w:pPr>
        <w:pStyle w:val="TextoNormal"/>
      </w:pPr>
      <w:r>
        <w:t xml:space="preserve">Descendiendo luego al caso, el Tribunal Supremo conviene con la acusación en que el órgano de apelación excedió sus funciones al basar la absolución en unas dudas injustificadas e inmotivadas sobre la credibilidad que la víctima había merecido previamente al órgano </w:t>
      </w:r>
      <w:r w:rsidRPr="009D7677">
        <w:rPr>
          <w:i/>
        </w:rPr>
        <w:t>a quo</w:t>
      </w:r>
      <w:r>
        <w:t>, dando prevalencia a su testimonio sobre el del también testigo presencial don M.F.H. Aun cuando admite que la sentencia de primer grado apenas se pronuncia sobre esta prueba de descargo, considera “evidente que no presta valor probatorio a su testimonio según el cual no se produjo ninguno de los hechos en que se asienta la condena del acusado”. Para el Tribunal Supremo no hacía falta una motivación expresa sobre ello, al resultar obvio que el órgano encargado del enjuiciamiento no había considerado creíble la declaración de este testigo, desestimando tácitamente su contenido. Por otro lado, considera cuestionable la credibilidad subjetiva que la sentencia de apelación confiere al testigo en cuestión, ya que además de ser amigo del acusado se vio directamente implicado en los hechos. En clave de credibilidad objetiva, yerra al negar incluso la agresión física a la denunciante, pese a venir constatada por el parte médico extendido de inmediato.</w:t>
      </w:r>
    </w:p>
    <w:p w14:paraId="5AFC16F2" w14:textId="77777777" w:rsidR="009D7677" w:rsidRDefault="009D7677" w:rsidP="009D7677">
      <w:pPr>
        <w:pStyle w:val="TextoNormal"/>
      </w:pPr>
    </w:p>
    <w:p w14:paraId="7B9A7562" w14:textId="77777777" w:rsidR="009D7677" w:rsidRDefault="009D7677" w:rsidP="009D7677">
      <w:pPr>
        <w:pStyle w:val="TextoNormal"/>
      </w:pPr>
      <w:r>
        <w:t xml:space="preserve">En definitiva, “no es posible revocar una sentencia condenatoria en la que el tribunal de apelación reconoce que existe válida prueba de cargo, alegando una supuesta, inexistente y en cualquier caso injustificada motivación ilógica e irracional, dudando de la credibilidad de la víctima por unas pretendidas contradicciones que ni siquiera se especifican, y sustentando la absolución del acusado en lo declarado por un amigo suyo directamente implicado en los hechos, y desconociendo la existencia de otras muchas pruebas objetivas de cargo de naturaleza testifical, documental e incluso pericial; y todo ello cuando el órgano </w:t>
      </w:r>
      <w:r w:rsidRPr="009D7677">
        <w:rPr>
          <w:i/>
        </w:rPr>
        <w:t>ad quem</w:t>
      </w:r>
      <w:r>
        <w:t xml:space="preserve"> no ha presenciado la prueba desarrollada ante el órgano de enjuiciamiento” (FJ 1. 2).</w:t>
      </w:r>
    </w:p>
    <w:p w14:paraId="6F84E476" w14:textId="77777777" w:rsidR="009D7677" w:rsidRDefault="009D7677" w:rsidP="009D7677">
      <w:pPr>
        <w:pStyle w:val="TextoNormal"/>
      </w:pPr>
    </w:p>
    <w:p w14:paraId="02101236" w14:textId="77777777" w:rsidR="009D7677" w:rsidRDefault="009D7677" w:rsidP="009D7677">
      <w:pPr>
        <w:pStyle w:val="TextoNormal"/>
      </w:pPr>
      <w:r>
        <w:t>Finalmente, en cuanto a las facultades de las que se dispone en el ámbito casacional para dejar sin efecto la absolución decidida en apelación, la sentencia trae a colación lo expuesto en la STS 217/2019, de 25 de abril, en el sentido de que “[e]l respeto a los principios de inmediación, contradicción y publicidad, y también el de defensa, impide que los órganos de revisión modifiquen la valoración de tales pruebas sin haberlas practicado de forma directa y personal en la instancia de revisión. Pero el escenario de la casación es distinto cuando lo que se modifica es la absolución de la sentencia del tribunal de apelación, que es quien revoca la condenatoria del órgano de enjuiciamiento ante quien se practicó la prueba, provocando el regreso al mantenimiento de los hechos probados” (FJ 1.4).</w:t>
      </w:r>
    </w:p>
    <w:p w14:paraId="71F8C7C5" w14:textId="77777777" w:rsidR="009D7677" w:rsidRDefault="009D7677" w:rsidP="009D7677">
      <w:pPr>
        <w:pStyle w:val="TextoNormal"/>
      </w:pPr>
    </w:p>
    <w:p w14:paraId="51A38C16" w14:textId="77777777" w:rsidR="009D7677" w:rsidRDefault="009D7677" w:rsidP="009D7677">
      <w:pPr>
        <w:pStyle w:val="TextoNormal"/>
      </w:pPr>
      <w:r>
        <w:t xml:space="preserve">En suma, expone el Tribunal Supremo que la rehabilitación en sede casacional de una previa condena luego suprimida o atenuada en apelación no tropieza con obstáculo alguno derivado de la jurisprudencia constitucional y del Tribunal Europeo de Derechos Humanos, pues en semejante supuesto “no nos enfrentamos a una decisión de condena que </w:t>
      </w:r>
      <w:r>
        <w:lastRenderedPageBreak/>
        <w:t xml:space="preserve">adoptaría </w:t>
      </w:r>
      <w:r w:rsidRPr="009D7677">
        <w:rPr>
          <w:i/>
        </w:rPr>
        <w:t>ex novo</w:t>
      </w:r>
      <w:r>
        <w:t xml:space="preserve"> esta Sala Segunda por vía de recurso”, dado que no se trata de verificar un nuevo juicio sobre la prueba, sino de comprobar, luego de examinar las razones dadas por el tribunal de apelación para atenuar el pronunciamiento condenatorio, si se ajustó a las facultades que incumben al recurso de apelación (FJ 1.4, por referencia a las SSTS 299/2013, de 27 de febrero; 119/2018, de 13 de marzo; 707/2018, de 15 de enero, y 216/2019, de 24 de abril).</w:t>
      </w:r>
    </w:p>
    <w:p w14:paraId="2207F1A6" w14:textId="77777777" w:rsidR="009D7677" w:rsidRDefault="009D7677" w:rsidP="009D7677">
      <w:pPr>
        <w:pStyle w:val="TextoNormal"/>
      </w:pPr>
    </w:p>
    <w:p w14:paraId="5AEB2F93" w14:textId="77777777" w:rsidR="009D7677" w:rsidRDefault="009D7677" w:rsidP="009D7677">
      <w:pPr>
        <w:pStyle w:val="TextoNormal"/>
      </w:pPr>
      <w:r>
        <w:t>La reposición a la condición de penado deriva, en suma, de la inicial sentencia y de la consideración como incorrecta de su revocación en apelación (FJ 1.4, por referencia a las SSTS 1385/2011, de 22 de diciembre; 615/2013, de 11 de julio; 555/2014, de 10 de julio, y 44/2018, de 25 de enero).</w:t>
      </w:r>
    </w:p>
    <w:p w14:paraId="3DB01016" w14:textId="77777777" w:rsidR="009D7677" w:rsidRDefault="009D7677" w:rsidP="009D7677">
      <w:pPr>
        <w:pStyle w:val="TextoNormal"/>
      </w:pPr>
    </w:p>
    <w:p w14:paraId="5D259C94" w14:textId="77777777" w:rsidR="009D7677" w:rsidRDefault="009D7677" w:rsidP="009D7677">
      <w:pPr>
        <w:pStyle w:val="TextoNormal"/>
      </w:pPr>
      <w:r>
        <w:t>d) El demandante promovió incidente de nulidad de actuaciones al amparo de los arts. 241.1 LOPJ y 228 de la Ley de enjuiciamiento civil, para denunciar que la sentencia de casación le había ocasionado la vulneración de los siguientes derechos fundamentales:</w:t>
      </w:r>
    </w:p>
    <w:p w14:paraId="79667BC1" w14:textId="77777777" w:rsidR="009D7677" w:rsidRDefault="009D7677" w:rsidP="009D7677">
      <w:pPr>
        <w:pStyle w:val="TextoNormal"/>
      </w:pPr>
    </w:p>
    <w:p w14:paraId="32BA887F" w14:textId="77777777" w:rsidR="009D7677" w:rsidRDefault="009D7677" w:rsidP="009D7677">
      <w:pPr>
        <w:pStyle w:val="TextoNormal"/>
      </w:pPr>
      <w:r>
        <w:t>(i) del derecho a un proceso con todas las garantías (art. 24.2 CE), en la vertiente de derecho a la doble instancia penal, al negar al tribunal de apelación las facultades de revisión del juicio de hecho en que se funda la condena que le viene reconociendo tanto la doctrina constitucional (SSTC 184/2013, de 4 de noviembre, y 55/2015, de 16 de marzo) como la propia jurisprudencia del Tribunal Supremo (STS 216/2019, de 24 de abril);</w:t>
      </w:r>
    </w:p>
    <w:p w14:paraId="34A7E661" w14:textId="77777777" w:rsidR="009D7677" w:rsidRDefault="009D7677" w:rsidP="009D7677">
      <w:pPr>
        <w:pStyle w:val="TextoNormal"/>
      </w:pPr>
    </w:p>
    <w:p w14:paraId="14A58F19" w14:textId="77777777" w:rsidR="009D7677" w:rsidRDefault="009D7677" w:rsidP="009D7677">
      <w:pPr>
        <w:pStyle w:val="TextoNormal"/>
      </w:pPr>
      <w:r>
        <w:t>(ii) del derecho a la tutela judicial efectiva (art. 24.1 CE) por limitar arbitrariamente las facultades que la ley otorga al tribunal de segunda instancia, tratándose de un recurso de apelación por error en la valoración de la prueba interpuesto contra una sentencia condenatoria en un procedimiento abreviado (art. 790.2 LECrim);</w:t>
      </w:r>
    </w:p>
    <w:p w14:paraId="032D69E6" w14:textId="77777777" w:rsidR="009D7677" w:rsidRDefault="009D7677" w:rsidP="009D7677">
      <w:pPr>
        <w:pStyle w:val="TextoNormal"/>
      </w:pPr>
    </w:p>
    <w:p w14:paraId="24FBA5F5" w14:textId="77777777" w:rsidR="009D7677" w:rsidRDefault="009D7677" w:rsidP="009D7677">
      <w:pPr>
        <w:pStyle w:val="TextoNormal"/>
      </w:pPr>
      <w:r>
        <w:t>(iii) de los derechos a la tutela judicial efectiva (art. 24.1 CE) y a un proceso con todas las garantías (art. 24.2 CE) al limitar arbitrariamente las facultades del tribunal de apelación, que se limitó a controlar si se había producido la vulneración del derecho a la presunción de inocencia del condenado, esto es, la suficiencia de la prueba y la estructura racional de su proceso valorativo, considerando la prueba del testigo directo, que había sido omitida total y absolutamente por la Audiencia Provincial, y aplicando al testimonio de la víctima los parámetros fijados por el Tribunal Supremo (credibilidad subjetiva, credibilidad objetiva y persistencia en la incriminación);</w:t>
      </w:r>
    </w:p>
    <w:p w14:paraId="40F1DB4F" w14:textId="77777777" w:rsidR="009D7677" w:rsidRDefault="009D7677" w:rsidP="009D7677">
      <w:pPr>
        <w:pStyle w:val="TextoNormal"/>
      </w:pPr>
    </w:p>
    <w:p w14:paraId="06313F47" w14:textId="77777777" w:rsidR="009D7677" w:rsidRDefault="009D7677" w:rsidP="009D7677">
      <w:pPr>
        <w:pStyle w:val="TextoNormal"/>
      </w:pPr>
      <w:r>
        <w:t>(iv) del derecho a la tutela judicial efectiva del condenado (art. 24.1 CE) al estimar la vulneración del derecho a la tutela judicial efectiva de la acusación, incurriendo en la paradoja de ampliar las facultades revisoras en un recurso de casación, que es extraordinario, a costa de limitar las facultades revisoras del recurso de apelación, que es un recurso ordinario, y al hipertrofiar el alcance del derecho a la tutela judicial efectiva de la acusación en detrimento del derecho a la presunción de inocencia del acusado, reconociendo a la acusación una suerte de derecho a la presunción de inocencia invertida cuya existencia ha negado el propio Tribunal Supremo en otras ocasiones (STS 1043/2012, de 21 de noviembre);</w:t>
      </w:r>
    </w:p>
    <w:p w14:paraId="2216A156" w14:textId="77777777" w:rsidR="009D7677" w:rsidRDefault="009D7677" w:rsidP="009D7677">
      <w:pPr>
        <w:pStyle w:val="TextoNormal"/>
      </w:pPr>
    </w:p>
    <w:p w14:paraId="58943EA7" w14:textId="77777777" w:rsidR="009D7677" w:rsidRDefault="009D7677" w:rsidP="009D7677">
      <w:pPr>
        <w:pStyle w:val="TextoNormal"/>
      </w:pPr>
      <w:r>
        <w:t xml:space="preserve">(v) de los derechos a la tutela judicial efectiva (art. 24.1 CE), a la presunción de inocencia y a un proceso con todas las garantías (art. 24.2 CE), porque el Tribunal Supremo, utilizando la coartada de la vulneración del derecho a la tutela judicial efectiva de la </w:t>
      </w:r>
      <w:r>
        <w:lastRenderedPageBreak/>
        <w:t>acusación, procede a valorar la prueba de descargo que fue omitida por la Audiencia Provincial, para condenar al demandante, de modo que no rehabilita la sentencia condenatoria, sino que la sana, incurriendo en la paradoja de que niega que se pueda valorar la prueba en apelación, pero procede a valorarla en casación;</w:t>
      </w:r>
    </w:p>
    <w:p w14:paraId="5B49CCFD" w14:textId="77777777" w:rsidR="009D7677" w:rsidRDefault="009D7677" w:rsidP="009D7677">
      <w:pPr>
        <w:pStyle w:val="TextoNormal"/>
      </w:pPr>
    </w:p>
    <w:p w14:paraId="3CA4F4D3" w14:textId="77777777" w:rsidR="009D7677" w:rsidRDefault="009D7677" w:rsidP="009D7677">
      <w:pPr>
        <w:pStyle w:val="TextoNormal"/>
      </w:pPr>
      <w:r>
        <w:t>(vi) de los derechos a la tutela judicial efectiva (art. 24.1 CE) y a la presunción de inocencia (art. 24.2 CE) pues condena al demandante sobre la base de que el tribunal de apelación no justificó suficientemente la absolución; y</w:t>
      </w:r>
    </w:p>
    <w:p w14:paraId="058B21C7" w14:textId="77777777" w:rsidR="009D7677" w:rsidRDefault="009D7677" w:rsidP="009D7677">
      <w:pPr>
        <w:pStyle w:val="TextoNormal"/>
      </w:pPr>
    </w:p>
    <w:p w14:paraId="30D3296A" w14:textId="77777777" w:rsidR="009D7677" w:rsidRDefault="009D7677" w:rsidP="009D7677">
      <w:pPr>
        <w:pStyle w:val="TextoNormal"/>
      </w:pPr>
      <w:r>
        <w:t>(vii) de los derechos a la tutela judicial efectiva (art. 24.1 CE) y a la presunción de inocencia (art. 24.2 CE) porque al casar la sentencia de apelación, que era absolutoria, y revivir la sentencia condenatoria de primera instancia, se han dejado sin respuesta los motivos del recurso de apelación que el demandante interpuso contra esta última.</w:t>
      </w:r>
    </w:p>
    <w:p w14:paraId="079186E4" w14:textId="77777777" w:rsidR="009D7677" w:rsidRDefault="009D7677" w:rsidP="009D7677">
      <w:pPr>
        <w:pStyle w:val="TextoNormal"/>
      </w:pPr>
    </w:p>
    <w:p w14:paraId="0C12333B" w14:textId="3D2E6CD5" w:rsidR="009D7677" w:rsidRDefault="009D7677" w:rsidP="009D7677">
      <w:pPr>
        <w:pStyle w:val="TextoNormal"/>
      </w:pPr>
      <w:r>
        <w:t>La Sala de lo Penal del Tribunal Supremo, tras admitir a trámite el escrito y dar traslado al fiscal, que formuló alegaciones interesando su desestimación, dictó auto el 19 de febrero de 2020 por el que desestimó el incidente al entender que lo alegado carecía de cabida en el mismo, exponiéndose meras discrepancias con la fundamentación jurídica de su sentencia que no evidenciarían sino vulneraciones inexistentes, al cuestionar las facultades que la ley otorga a los órganos judiciales intervinientes en el procedimiento, incluido el propio Tribunal Supremo.</w:t>
      </w:r>
    </w:p>
    <w:p w14:paraId="01304541" w14:textId="77777777" w:rsidR="009D7677" w:rsidRDefault="009D7677" w:rsidP="009D7677">
      <w:pPr>
        <w:pStyle w:val="TextoNormal"/>
      </w:pPr>
    </w:p>
    <w:p w14:paraId="19629827" w14:textId="77777777" w:rsidR="009D7677" w:rsidRDefault="009D7677" w:rsidP="009D7677">
      <w:pPr>
        <w:pStyle w:val="TextoNormal"/>
      </w:pPr>
      <w:r w:rsidRPr="009D7677">
        <w:rPr>
          <w:rStyle w:val="NumeroAFNegritaCaracter"/>
        </w:rPr>
        <w:t>3</w:t>
      </w:r>
      <w:r>
        <w:t>. La demanda impugna las resoluciones dictadas en casación, e insta del Tribunal Constitucional que declare su nulidad, por los motivos de amparo que a continuación se sintetizan:</w:t>
      </w:r>
    </w:p>
    <w:p w14:paraId="56473305" w14:textId="77777777" w:rsidR="009D7677" w:rsidRDefault="009D7677" w:rsidP="009D7677">
      <w:pPr>
        <w:pStyle w:val="TextoNormal"/>
      </w:pPr>
    </w:p>
    <w:p w14:paraId="0B70D6FB" w14:textId="77777777" w:rsidR="009D7677" w:rsidRDefault="009D7677" w:rsidP="009D7677">
      <w:pPr>
        <w:pStyle w:val="TextoNormal"/>
      </w:pPr>
      <w:r>
        <w:t>Motivo primero: Vulneración del derecho a un proceso con todas las garantías (art. 24.2 CE) en su vertiente de derecho del condenado a la doble instancia penal.</w:t>
      </w:r>
    </w:p>
    <w:p w14:paraId="67E61AEF" w14:textId="77777777" w:rsidR="009D7677" w:rsidRDefault="009D7677" w:rsidP="009D7677">
      <w:pPr>
        <w:pStyle w:val="TextoNormal"/>
      </w:pPr>
    </w:p>
    <w:p w14:paraId="7CB0F143" w14:textId="77777777" w:rsidR="009D7677" w:rsidRDefault="009D7677" w:rsidP="009D7677">
      <w:pPr>
        <w:pStyle w:val="TextoNormal"/>
      </w:pPr>
      <w:r>
        <w:t>Aduce que el Tribunal Supremo, al negar que el tribunal de apelación tenga plenas facultades para la revisión de los hechos declarados probados en primera instancia, “priva de verdadera efectividad al recurso de apelación, impidiendo una verdadera revisión de las sentencias condenatorias”. Este criterio contradice la doctrina constitucional, que distingue las facultades del tribunal de apelación según sea la acusación o la defensa quien interponga el recurso: cita la STC 184/2013, de 4 de noviembre, FJ 7, que establece que en casos de condena en primera instancia no se pueden argüir las garantías procesales del art. 24.2 CE para impedir el derecho del penado a la revisión del fallo condenatorio y la pena por un tribunal superior, esto es, el derecho a un recurso efectivo y a la segunda instancia penal. En el mismo sentido, cita también la STC 55/2015, de 16 de marzo.</w:t>
      </w:r>
    </w:p>
    <w:p w14:paraId="33C5990A" w14:textId="77777777" w:rsidR="009D7677" w:rsidRDefault="009D7677" w:rsidP="009D7677">
      <w:pPr>
        <w:pStyle w:val="TextoNormal"/>
      </w:pPr>
    </w:p>
    <w:p w14:paraId="76211545" w14:textId="77777777" w:rsidR="009D7677" w:rsidRDefault="009D7677" w:rsidP="009D7677">
      <w:pPr>
        <w:pStyle w:val="TextoNormal"/>
      </w:pPr>
      <w:r>
        <w:t>Aduce que en el presente caso el Tribunal Superior de Justicia no se extralimitó en sus funciones, porque le correspondía controlar si se había vulnerado el derecho a la presunción de inocencia del demandante, y entrar a valorar la prueba de descargo que el tribunal de primera instancia había preterido de forma absoluta.</w:t>
      </w:r>
    </w:p>
    <w:p w14:paraId="3F04F743" w14:textId="77777777" w:rsidR="009D7677" w:rsidRDefault="009D7677" w:rsidP="009D7677">
      <w:pPr>
        <w:pStyle w:val="TextoNormal"/>
      </w:pPr>
    </w:p>
    <w:p w14:paraId="46217D85" w14:textId="77777777" w:rsidR="009D7677" w:rsidRDefault="009D7677" w:rsidP="009D7677">
      <w:pPr>
        <w:pStyle w:val="TextoNormal"/>
      </w:pPr>
      <w:r>
        <w:t>Concluye que es un argumento constitucionalmente inadmisible para justificar la condena del demandante en casación la afirmación de que el tribunal de apelación no tenía facultades para revisar los hechos.</w:t>
      </w:r>
    </w:p>
    <w:p w14:paraId="62B24102" w14:textId="77777777" w:rsidR="009D7677" w:rsidRDefault="009D7677" w:rsidP="009D7677">
      <w:pPr>
        <w:pStyle w:val="TextoNormal"/>
      </w:pPr>
    </w:p>
    <w:p w14:paraId="6F63EEF1" w14:textId="77777777" w:rsidR="009D7677" w:rsidRDefault="009D7677" w:rsidP="009D7677">
      <w:pPr>
        <w:pStyle w:val="TextoNormal"/>
      </w:pPr>
      <w:r>
        <w:t>Motivo segundo: Vulneración del derecho a la tutela judicial efectiva (art. 24.1 CE) en su vertiente de interdicción de la arbitrariedad de las resoluciones judiciales.</w:t>
      </w:r>
    </w:p>
    <w:p w14:paraId="13FCAA8E" w14:textId="77777777" w:rsidR="009D7677" w:rsidRDefault="009D7677" w:rsidP="009D7677">
      <w:pPr>
        <w:pStyle w:val="TextoNormal"/>
      </w:pPr>
    </w:p>
    <w:p w14:paraId="178A8248" w14:textId="77777777" w:rsidR="009D7677" w:rsidRDefault="009D7677" w:rsidP="009D7677">
      <w:pPr>
        <w:pStyle w:val="TextoNormal"/>
      </w:pPr>
      <w:r>
        <w:t xml:space="preserve">Aduce que negar al tribunal de apelación sus facultades de revisión fáctica cuando quien recurre es el condenado supone incurrir en una forma de argumentación arbitraria, pues tal negativa no se cohonesta ni con la regulación legal del recurso de apelación en el procedimiento abreviado, art. 790.2 LECrim, especialmente tras su reforma por la Ley 41/2015, de 5 de octubre, ni con las exigencias del derecho del penado a que su condena pueda verse revisada por un tribunal superior. Trae a colación, en este punto, la interpretación que de la norma procesal verifica la Circular de la Fiscalía General del Estado núm. 1/2018, conforme a la cual el tribunal </w:t>
      </w:r>
      <w:r w:rsidRPr="009D7677">
        <w:rPr>
          <w:i/>
        </w:rPr>
        <w:t>ad quem</w:t>
      </w:r>
      <w:r>
        <w:t xml:space="preserve"> en estos casos “puede sustituir la valoración de la prueba realizada por el tribunal </w:t>
      </w:r>
      <w:r w:rsidRPr="009D7677">
        <w:rPr>
          <w:i/>
        </w:rPr>
        <w:t>a quo</w:t>
      </w:r>
      <w:r>
        <w:t xml:space="preserve"> sin estar sujeto al principio de inmediación”.</w:t>
      </w:r>
    </w:p>
    <w:p w14:paraId="2C9C2084" w14:textId="77777777" w:rsidR="009D7677" w:rsidRDefault="009D7677" w:rsidP="009D7677">
      <w:pPr>
        <w:pStyle w:val="TextoNormal"/>
      </w:pPr>
    </w:p>
    <w:p w14:paraId="145C1347" w14:textId="77777777" w:rsidR="009D7677" w:rsidRDefault="009D7677" w:rsidP="009D7677">
      <w:pPr>
        <w:pStyle w:val="TextoNormal"/>
      </w:pPr>
      <w:r>
        <w:t>Motivo tercero: Vulneración de los derechos a la tutela judicial efectiva (art. 24.1 CE) y a un proceso con todas las garantías (art. 24.2 CE) por haberse limitado de forma arbitraria las facultades del tribunal de apelación, que no sobrepasó su función de controlar si se vulneró el derecho a la presunción de inocencia.</w:t>
      </w:r>
    </w:p>
    <w:p w14:paraId="0C0A3789" w14:textId="77777777" w:rsidR="009D7677" w:rsidRDefault="009D7677" w:rsidP="009D7677">
      <w:pPr>
        <w:pStyle w:val="TextoNormal"/>
      </w:pPr>
    </w:p>
    <w:p w14:paraId="7EC60259" w14:textId="77777777" w:rsidR="009D7677" w:rsidRDefault="009D7677" w:rsidP="009D7677">
      <w:pPr>
        <w:pStyle w:val="TextoNormal"/>
      </w:pPr>
      <w:r>
        <w:t>Aduce que el Tribunal Supremo incurre nuevamente en arbitrariedad al calificar de irracional la sentencia dictada en apelación, que se limitó a desempeñar su legítima función de control de la posible vulneración del derecho a la presunción de inocencia, limitándose a valorar la declaración de un testigo directo, que fue omitida total y absolutamente por el tribunal de primera instancia, y a examinar el testimonio de la mujer denunciante siguiendo los parámetros fijados por el propio Tribunal Supremo de credibilidad subjetiva y objetiva y de persistencia en la incriminación.</w:t>
      </w:r>
    </w:p>
    <w:p w14:paraId="13346BD9" w14:textId="77777777" w:rsidR="009D7677" w:rsidRDefault="009D7677" w:rsidP="009D7677">
      <w:pPr>
        <w:pStyle w:val="TextoNormal"/>
      </w:pPr>
    </w:p>
    <w:p w14:paraId="760B191A" w14:textId="77777777" w:rsidR="009D7677" w:rsidRDefault="009D7677" w:rsidP="009D7677">
      <w:pPr>
        <w:pStyle w:val="TextoNormal"/>
      </w:pPr>
      <w:r>
        <w:t>Concluye afirmando que “[c]uando la prueba de cargo es fundamentalmente la declaración de la víctima, su credibilidad es un apartado difícil de valorar por el tribunal de revisión que no ha presenciado esa prueba, pero sí puede apreciar la suficiencia de la misma y el sentido de cargo que tiene, así como la racionalidad de la convicción manifestada por el tribunal sentenciador de instancia”.</w:t>
      </w:r>
    </w:p>
    <w:p w14:paraId="7AAEB5D3" w14:textId="77777777" w:rsidR="009D7677" w:rsidRDefault="009D7677" w:rsidP="009D7677">
      <w:pPr>
        <w:pStyle w:val="TextoNormal"/>
      </w:pPr>
    </w:p>
    <w:p w14:paraId="66509503" w14:textId="77777777" w:rsidR="009D7677" w:rsidRDefault="009D7677" w:rsidP="009D7677">
      <w:pPr>
        <w:pStyle w:val="TextoNormal"/>
      </w:pPr>
      <w:r>
        <w:t>Motivo cuarto: Vulneración del derecho a la tutela judicial efectiva del condenado (art. 24.1 CE) por haberse estimado la vulneración del derecho a la tutela judicial efectiva de la acusación.</w:t>
      </w:r>
    </w:p>
    <w:p w14:paraId="6944F618" w14:textId="77777777" w:rsidR="009D7677" w:rsidRDefault="009D7677" w:rsidP="009D7677">
      <w:pPr>
        <w:pStyle w:val="TextoNormal"/>
      </w:pPr>
    </w:p>
    <w:p w14:paraId="6455296D" w14:textId="77777777" w:rsidR="009D7677" w:rsidRDefault="009D7677" w:rsidP="009D7677">
      <w:pPr>
        <w:pStyle w:val="TextoNormal"/>
      </w:pPr>
      <w:r>
        <w:t>Aduce que el Tribunal Supremo en este caso ha hipertrofiado el derecho a la tutela judicial efectiva de la acusación en detrimento de los derechos constitucionales del acusado, contrariando de este modo tanto la doctrina constitucional (cita la STC 41/1997, de 10 de marzo), como la propia jurisprudencia del Tribunal Supremo (cita las SSTS 631/2014, de 29 de septiembre, y 1043/2012, de 21 de noviembre, que a su vez cita las SSTS 1273/2000, de 14 de julio; 577/2005, de 4 de mayo, y 1022/2007, de 5 de diciembre) que niegan que la Constitución reconozca ningún derecho a obtener condenas penales, o un principio de legalidad invertida, o una presunción de inocencia invertida.</w:t>
      </w:r>
    </w:p>
    <w:p w14:paraId="0A4376CA" w14:textId="77777777" w:rsidR="009D7677" w:rsidRDefault="009D7677" w:rsidP="009D7677">
      <w:pPr>
        <w:pStyle w:val="TextoNormal"/>
      </w:pPr>
    </w:p>
    <w:p w14:paraId="5E727D0C" w14:textId="77777777" w:rsidR="009D7677" w:rsidRDefault="009D7677" w:rsidP="009D7677">
      <w:pPr>
        <w:pStyle w:val="TextoNormal"/>
      </w:pPr>
      <w:r>
        <w:lastRenderedPageBreak/>
        <w:t>La consecuencia paradójica del planteamiento plasmado en la sentencia impugnada es que se amplían las facultades revisoras en casación, que es el recurso extraordinario, restringiendo las facultades revisoras en apelación, que es el recurso ordinario, lo que para el demandante constituye un sinsentido.</w:t>
      </w:r>
    </w:p>
    <w:p w14:paraId="0ED8B673" w14:textId="77777777" w:rsidR="009D7677" w:rsidRDefault="009D7677" w:rsidP="009D7677">
      <w:pPr>
        <w:pStyle w:val="TextoNormal"/>
      </w:pPr>
    </w:p>
    <w:p w14:paraId="5449FB4F" w14:textId="77777777" w:rsidR="009D7677" w:rsidRDefault="009D7677" w:rsidP="009D7677">
      <w:pPr>
        <w:pStyle w:val="TextoNormal"/>
      </w:pPr>
      <w:r>
        <w:t>Finaliza el motivo afirmando que “la tutela judicial efectiva lo que ampara es una resolución motivada y fundada en derecho, que no sea arbitraria ni incurra en error patente, pero no se puede estimar simplemente porque se discrepe del resultado de la resolución recurrida” y recurre a nueva cita de la Circular de la Fiscalía General del Estado 1/2018: “En relación con el derecho a la tutela judicial efectiva, el Tribunal Constitucional y el Tribunal Supremo han declarado que ‘tan solo podrá considerarse que la resolución judicial impugnada vulnera el derecho a la tutela judicial efectiva cuando el razonamiento que la funda incurra en tal grado de arbitrariedad, irrazonabilidad o error que, por su evidencia y contenido, sean tan manifiestos y graves que para cualquier observador resulte patente que la resolución de hecho carece de toda motivación o razonamiento’ (vid. SSTC 256/2000, de 30 de octubre; 81/2001, de 26 de marzo; 214/2007, de 8 de octubre; 38/211, de 28 de marzo)”.</w:t>
      </w:r>
    </w:p>
    <w:p w14:paraId="30D1E975" w14:textId="77777777" w:rsidR="009D7677" w:rsidRDefault="009D7677" w:rsidP="009D7677">
      <w:pPr>
        <w:pStyle w:val="TextoNormal"/>
      </w:pPr>
    </w:p>
    <w:p w14:paraId="7EBA38AE" w14:textId="77777777" w:rsidR="009D7677" w:rsidRDefault="009D7677" w:rsidP="009D7677">
      <w:pPr>
        <w:pStyle w:val="TextoNormal"/>
      </w:pPr>
      <w:r>
        <w:t>Motivo quinto: Vulneración del derecho a la tutela judicial efectiva (art. 24.1 CE), del derecho a la presunción de inocencia (art. 24.2 CE) y a un proceso con todas las garantías (art. 24.2 CE) porque el Tribunal Supremo valoró la prueba que fue omitida por la Audiencia Provincial como justificación para condenar.</w:t>
      </w:r>
    </w:p>
    <w:p w14:paraId="0AC81B26" w14:textId="77777777" w:rsidR="009D7677" w:rsidRDefault="009D7677" w:rsidP="009D7677">
      <w:pPr>
        <w:pStyle w:val="TextoNormal"/>
      </w:pPr>
    </w:p>
    <w:p w14:paraId="75FF884A" w14:textId="77777777" w:rsidR="009D7677" w:rsidRDefault="009D7677" w:rsidP="009D7677">
      <w:pPr>
        <w:pStyle w:val="TextoNormal"/>
      </w:pPr>
      <w:r>
        <w:t>Alega que el Tribunal Supremo, al rehabilitar la condena dictada por la Audiencia Provincial, vulneró los derechos constitucionales del demandante, pues, de un lado, considera que la Audiencia Provincial desestimó tácitamente el valor probatorio del testigo directo de los hechos, cuando lo cierto es que dicha prueba no fue valorada en la sentencia de primera instancia, lo que representó la vulneración del derecho a la tutela judicial efectiva del demandante y de su derecho a la presunción de inocencia (cita la STC 61/2019, de 6 de mayo), y, de otro lado, el Tribunal Supremo se permite valorar en casación dicha prueba para revocar la sentencia absolutoria de apelación y condenar al demandante.</w:t>
      </w:r>
    </w:p>
    <w:p w14:paraId="4C01F834" w14:textId="77777777" w:rsidR="009D7677" w:rsidRDefault="009D7677" w:rsidP="009D7677">
      <w:pPr>
        <w:pStyle w:val="TextoNormal"/>
      </w:pPr>
    </w:p>
    <w:p w14:paraId="7C3DC037" w14:textId="77777777" w:rsidR="009D7677" w:rsidRDefault="009D7677" w:rsidP="009D7677">
      <w:pPr>
        <w:pStyle w:val="TextoNormal"/>
      </w:pPr>
      <w:r>
        <w:t>Concluye que no nos encontramos ante una mera rehabilitación de la condena de primera instancia, sino ante una sanación de la sentencia de primera instancia, valorando la prueba.</w:t>
      </w:r>
    </w:p>
    <w:p w14:paraId="7A7D96CA" w14:textId="77777777" w:rsidR="009D7677" w:rsidRDefault="009D7677" w:rsidP="009D7677">
      <w:pPr>
        <w:pStyle w:val="TextoNormal"/>
      </w:pPr>
    </w:p>
    <w:p w14:paraId="325E5B3E" w14:textId="77777777" w:rsidR="009D7677" w:rsidRDefault="009D7677" w:rsidP="009D7677">
      <w:pPr>
        <w:pStyle w:val="TextoNormal"/>
      </w:pPr>
      <w:r>
        <w:t>Motivo sexto: Vulneración del derecho a la tutela judicial efectiva (art. 24.1 CE) y a la presunción de inocencia (art. 24.2 CE).</w:t>
      </w:r>
    </w:p>
    <w:p w14:paraId="514D1BCC" w14:textId="77777777" w:rsidR="009D7677" w:rsidRDefault="009D7677" w:rsidP="009D7677">
      <w:pPr>
        <w:pStyle w:val="TextoNormal"/>
      </w:pPr>
    </w:p>
    <w:p w14:paraId="1D570C3F" w14:textId="77777777" w:rsidR="009D7677" w:rsidRDefault="009D7677" w:rsidP="009D7677">
      <w:pPr>
        <w:pStyle w:val="TextoNormal"/>
      </w:pPr>
      <w:r>
        <w:t>La sentencia de casación condenó al demandante porque el Tribunal Superior de Justicia no justificó debidamente su absolución, lo que supone un ataque frontal a su derecho a la presunción de inocencia. Se pregunta si el Tribunal Supremo puede limitarse a sostener que como no está suficientemente motivada la absolución hay que rehabilitar, sin más, la condena de primera instancia. También se pregunta cuál es, entonces, la labor del tribunal de apelación.</w:t>
      </w:r>
    </w:p>
    <w:p w14:paraId="0149EC91" w14:textId="77777777" w:rsidR="009D7677" w:rsidRDefault="009D7677" w:rsidP="009D7677">
      <w:pPr>
        <w:pStyle w:val="TextoNormal"/>
      </w:pPr>
    </w:p>
    <w:p w14:paraId="6D87A70B" w14:textId="77777777" w:rsidR="009D7677" w:rsidRDefault="009D7677" w:rsidP="009D7677">
      <w:pPr>
        <w:pStyle w:val="TextoNormal"/>
      </w:pPr>
      <w:r>
        <w:lastRenderedPageBreak/>
        <w:t>Concluye que la supuesta falta de motivación suficiente de la absolución no debería conducir a la condena del acusado, sino a la retroacción de actuaciones para que el tribunal de apelación dicte una nueva sentencia debidamente motivada.</w:t>
      </w:r>
    </w:p>
    <w:p w14:paraId="570F2EEE" w14:textId="77777777" w:rsidR="009D7677" w:rsidRDefault="009D7677" w:rsidP="009D7677">
      <w:pPr>
        <w:pStyle w:val="TextoNormal"/>
      </w:pPr>
    </w:p>
    <w:p w14:paraId="181F3B77" w14:textId="77777777" w:rsidR="009D7677" w:rsidRDefault="009D7677" w:rsidP="009D7677">
      <w:pPr>
        <w:pStyle w:val="TextoNormal"/>
      </w:pPr>
      <w:r>
        <w:t>Motivo séptimo: Vulneración del derecho a la tutela judicial efectiva (art. 24.1 CE) y a la presunción de inocencia (art. 24.2 CE) por falta de respuesta a los motivos del recurso de apelación del demandante.</w:t>
      </w:r>
    </w:p>
    <w:p w14:paraId="053561E2" w14:textId="77777777" w:rsidR="009D7677" w:rsidRDefault="009D7677" w:rsidP="009D7677">
      <w:pPr>
        <w:pStyle w:val="TextoNormal"/>
      </w:pPr>
    </w:p>
    <w:p w14:paraId="4ACC0D38" w14:textId="77777777" w:rsidR="009D7677" w:rsidRDefault="009D7677" w:rsidP="009D7677">
      <w:pPr>
        <w:pStyle w:val="TextoNormal"/>
      </w:pPr>
      <w:r>
        <w:t>Alega que la rehabilitación en casación de la sentencia condenatoria vulnera igualmente los derechos fundamentales del acusado porque al eliminar la sentencia de apelación, quedan sin respuesta los motivos del recurso de apelación que interpuso contra la misma en los que sostenía la absolución, sobre los que el Tribunal Supremo debería pronunciarse de forma motivada y razonada. Añade que el Tribunal Supremo debería haberle dado, además, alguna intervención al acusado, pues está revocando una sentencia absolutoria convirtiéndola en condenatoria, sin oírle previamente.</w:t>
      </w:r>
    </w:p>
    <w:p w14:paraId="2C0DD4E7" w14:textId="77777777" w:rsidR="009D7677" w:rsidRDefault="009D7677" w:rsidP="009D7677">
      <w:pPr>
        <w:pStyle w:val="TextoNormal"/>
      </w:pPr>
    </w:p>
    <w:p w14:paraId="549AD51B" w14:textId="0E578731" w:rsidR="009D7677" w:rsidRDefault="009D7677" w:rsidP="009D7677">
      <w:pPr>
        <w:pStyle w:val="TextoNormal"/>
      </w:pPr>
      <w:r>
        <w:t>En el suplico de la demanda de amparo se solicita la nulidad de la sentencia del Tribunal Supremo de 13 de noviembre de 2019, y de su auto de 19 de febrero de 2020, para que se mantenga la absolución acordada por el Tribunal Superior de Justicia. Subsidiariamente, solicita que, pare el caso de que se considere que la absolución acordada por este tribunal no estaba suficientemente motivada, se retrotraigan las actuaciones al momento anterior a su dictado para que se dicte otra debidamente motivada.</w:t>
      </w:r>
    </w:p>
    <w:p w14:paraId="0462BF1C" w14:textId="77777777" w:rsidR="009D7677" w:rsidRDefault="009D7677" w:rsidP="009D7677">
      <w:pPr>
        <w:pStyle w:val="TextoNormal"/>
      </w:pPr>
    </w:p>
    <w:p w14:paraId="2F011F27" w14:textId="77777777" w:rsidR="009D7677" w:rsidRDefault="009D7677" w:rsidP="009D7677">
      <w:pPr>
        <w:pStyle w:val="TextoNormal"/>
      </w:pPr>
      <w:r w:rsidRPr="009D7677">
        <w:rPr>
          <w:rStyle w:val="NumeroAFNegritaCaracter"/>
        </w:rPr>
        <w:t>4</w:t>
      </w:r>
      <w:r>
        <w:t>. Por providencia de 25 de enero de 2021 la Sección Tercera de este tribunal acordó admitir a trámite la demanda de amparo, apreciando que concurre en la misma una especial trascendencia constitucional [art. 50.1 de la Ley Orgánica del Tribunal Constitucional (LOTC)] toda vez que el recurso puede dar ocasión al Tribunal para aclarar o cambiar su doctrina, como consecuencia de cambios normativos relevantes para la configuración del contenido del derecho fundamental [STC 155/2009, de 25 de junio, FJ 2 b)].</w:t>
      </w:r>
    </w:p>
    <w:p w14:paraId="11B23A4D" w14:textId="77777777" w:rsidR="009D7677" w:rsidRDefault="009D7677" w:rsidP="009D7677">
      <w:pPr>
        <w:pStyle w:val="TextoNormal"/>
      </w:pPr>
    </w:p>
    <w:p w14:paraId="49D7F0BD" w14:textId="6FF5E350" w:rsidR="009D7677" w:rsidRDefault="009D7677" w:rsidP="009D7677">
      <w:pPr>
        <w:pStyle w:val="TextoNormal"/>
      </w:pPr>
      <w:r>
        <w:t>En aplicación de lo dispuesto en el art. 51 LOTC, se acordó dirigir atenta comunicación al Tribunal Superior de Justicia de Extremadura, Sala de lo Civil y Penal de Cáceres, a fin de que, en plazo que no exceda de diez días, remitiera certificación o fotocopia adverada de las actuaciones correspondientes a la apelación 7-2018, y a la Audiencia Provincial de Badajoz, Sección Tercera, con sede en Mérida, a fin de que, en plazo que no exceda de diez días, remitiera certificación o fotocopia adverada de las actuaciones correspondientes al juicio oral 46-2017, en el que se dictó sentencia 18/2018 el 7 de febrero de 2018; debiendo previamente emplazarse, para que en el plazo de diez días pudieran comparecer, si lo desearan, en el recurso de amparo a quienes hubieran sido parte en el procedimiento, excepto la parte recurrente en amparo.</w:t>
      </w:r>
    </w:p>
    <w:p w14:paraId="768764A3" w14:textId="77777777" w:rsidR="009D7677" w:rsidRDefault="009D7677" w:rsidP="009D7677">
      <w:pPr>
        <w:pStyle w:val="TextoNormal"/>
      </w:pPr>
    </w:p>
    <w:p w14:paraId="3140E810" w14:textId="77777777" w:rsidR="009D7677" w:rsidRDefault="009D7677" w:rsidP="009D7677">
      <w:pPr>
        <w:pStyle w:val="TextoNormal"/>
      </w:pPr>
      <w:r w:rsidRPr="009D7677">
        <w:rPr>
          <w:rStyle w:val="NumeroAFNegritaCaracter"/>
        </w:rPr>
        <w:t>5</w:t>
      </w:r>
      <w:r>
        <w:t>. El 19 de febrero de 2021 se recibió en este tribunal fotocopia adverada de las actuaciones correspondientes al recurso de apelación núm. 7-2018 remitida por la Sala de lo Civil y Penal del Tribunal Superior de Justicia de Extremadura y el 13 de mayo de 2021 copia adverada de las actuaciones correspondientes al procedimiento abreviado, juicio oral núm. 46-2017, remitida por la Sección Tercera de la Audiencia Provincial de Mérida, haciendo constar la letrada de la administración de justicia de dicha sección que las partes fueron emplazadas el 6 de mayo de 2021.</w:t>
      </w:r>
    </w:p>
    <w:p w14:paraId="61566E34" w14:textId="77777777" w:rsidR="009D7677" w:rsidRDefault="009D7677" w:rsidP="009D7677">
      <w:pPr>
        <w:pStyle w:val="TextoNormal"/>
      </w:pPr>
    </w:p>
    <w:p w14:paraId="25196DA9" w14:textId="502408D4" w:rsidR="009D7677" w:rsidRDefault="009D7677" w:rsidP="009D7677">
      <w:pPr>
        <w:pStyle w:val="TextoNormal"/>
      </w:pPr>
      <w:r>
        <w:t>Por diligencia de ordenación de 9 de junio de 2021 el secretario de justicia de la Sección Tercera de este tribunal acordó dar vista de las actuaciones recibidas a la parte recurrente y al Ministerio Fiscal por plazo común de veinte días, para que formularan alegaciones conforme determina el art. 52.1 LOTC.</w:t>
      </w:r>
    </w:p>
    <w:p w14:paraId="1A033A79" w14:textId="77777777" w:rsidR="009D7677" w:rsidRDefault="009D7677" w:rsidP="009D7677">
      <w:pPr>
        <w:pStyle w:val="TextoNormal"/>
      </w:pPr>
    </w:p>
    <w:p w14:paraId="1DC21991" w14:textId="3A5B956F" w:rsidR="009D7677" w:rsidRDefault="009D7677" w:rsidP="009D7677">
      <w:pPr>
        <w:pStyle w:val="TextoNormal"/>
      </w:pPr>
      <w:r w:rsidRPr="009D7677">
        <w:rPr>
          <w:rStyle w:val="NumeroAFNegritaCaracter"/>
        </w:rPr>
        <w:t>6</w:t>
      </w:r>
      <w:r>
        <w:t>. Mediante escrito registrado el 14 de julio de 2021 el recurrente en amparo se ratificó en las alegaciones contenidas en la demanda, remitiéndose expresamente a su contenido.</w:t>
      </w:r>
    </w:p>
    <w:p w14:paraId="6FB83ED0" w14:textId="77777777" w:rsidR="009D7677" w:rsidRDefault="009D7677" w:rsidP="009D7677">
      <w:pPr>
        <w:pStyle w:val="TextoNormal"/>
      </w:pPr>
    </w:p>
    <w:p w14:paraId="3E5BC9D8" w14:textId="77777777" w:rsidR="009D7677" w:rsidRDefault="009D7677" w:rsidP="009D7677">
      <w:pPr>
        <w:pStyle w:val="TextoNormal"/>
      </w:pPr>
      <w:r w:rsidRPr="009D7677">
        <w:rPr>
          <w:rStyle w:val="NumeroAFNegritaCaracter"/>
        </w:rPr>
        <w:t>7</w:t>
      </w:r>
      <w:r>
        <w:t>. El Ministerio Fiscal, en escrito registrado el 22 de julio de 2021, presentó alegaciones en las que interesó que se otorgara el amparo al entender vulnerados los derechos del demandante a la presunción de inocencia y a un proceso con todas las garantías, como consecuencia de la infracción de las garantías de inmediación y defensa contradictoria (art. 24.2 CE).</w:t>
      </w:r>
    </w:p>
    <w:p w14:paraId="5F186AB8" w14:textId="77777777" w:rsidR="009D7677" w:rsidRDefault="009D7677" w:rsidP="009D7677">
      <w:pPr>
        <w:pStyle w:val="TextoNormal"/>
      </w:pPr>
    </w:p>
    <w:p w14:paraId="216E9F12" w14:textId="77777777" w:rsidR="009D7677" w:rsidRDefault="009D7677" w:rsidP="009D7677">
      <w:pPr>
        <w:pStyle w:val="TextoNormal"/>
      </w:pPr>
      <w:r>
        <w:t>Reconoce el fiscal que los límites aplicables a la revisión de las sentencias absolutorias en el ámbito de la apelación penal son objeto de una intensa polémica doctrinal, que se extiende a la práctica judicial. Con apoyo en la Circular 1/2018, de 1 de junio, de la Fiscalía General del Estado, y tras recordar las diferentes posiciones sobre la proyección de la garantía de la inmediación al control ejercido por el órgano de apelación respecto de la prueba practicada en primera instancia, considera que en este caso lo relevante es examinar si a la luz de la doctrina constitucional aplicable cabe estimar lesionado alguno de los derechos fundamentales que invoca el demandante. No es, en cambio, competencia del Tribunal Constitucional interpretar las normas procesales que rigen la prueba, dado que el Tribunal ni ha venido a cuestionar, por insuficiente, el ámbito de la apelación penal en nuestro ordenamiento jurídico, ni a discutirlo por excesivo, sino únicamente a exigir que en su desarrollo se observen las garantías constitucionales. De este modo, partiendo del canon apuntado en las SSTC 16/2011, de 28 de febrero;13/2014, 14/2014, 15/2014 y 16/2014, todas de 30 de enero, y 55/2015, de 16 de marzo, el derecho a la doble instancia penal garantiza el derecho a que un tribunal superior controle la corrección del juicio realizado en primera instancia, revisando la concreta aplicación de las reglas que han permitido la declaración de culpabilidad y la imposición de la pena en el caso concreto.</w:t>
      </w:r>
    </w:p>
    <w:p w14:paraId="49B31A53" w14:textId="77777777" w:rsidR="009D7677" w:rsidRDefault="009D7677" w:rsidP="009D7677">
      <w:pPr>
        <w:pStyle w:val="TextoNormal"/>
      </w:pPr>
    </w:p>
    <w:p w14:paraId="25206B4B" w14:textId="77777777" w:rsidR="009D7677" w:rsidRDefault="009D7677" w:rsidP="009D7677">
      <w:pPr>
        <w:pStyle w:val="TextoNormal"/>
      </w:pPr>
      <w:r>
        <w:t xml:space="preserve">Recuerda también que la inmediación y la contradicción, junto con la audiencia personal, son garantías vinculadas a los derechos de defensa y a la presunción de inocencia, cuya exigencia en la segunda instancia a través de la celebración de una vista se fundamenta en la particular protección constitucional de quien, como acusado, es sometido al </w:t>
      </w:r>
      <w:r w:rsidRPr="009D7677">
        <w:rPr>
          <w:i/>
        </w:rPr>
        <w:t>ius puniendi</w:t>
      </w:r>
      <w:r>
        <w:t xml:space="preserve"> del Estado. En concreto, la STC 167/2002 situó en el acusado la titularidad de la garantía de inmediación para la valoración de pruebas personales, asimetría que se justifica desde la trascendencia de sus intereses en juego (SSTC 41/1997, y 88/2003, de 19 de mayo; ATC 467/2006, de 20 de diciembre). Ello explica que toda condena articulada sobre pruebas personales deba fundamentarse en una actividad probatoria que el órgano judicial haya examinado directa y personalmente en un debate público, en el que se respete la posibilidad de contradicción (SSTC 88/2013, de 11 de abril; 146/2017, de 14 de diciembre, o 1/2020, de 14 de enero; entre las más recientes, SSTC 78/2019, de 3 de junio; 35/2020, de 25 de febrero; 18/2021 y 22/2021, ambas de 15 de febrero, y 133/2021, de 24 de junio). Como complemento de las garantías del acusado en la segunda instancia, y de conformidad con la doctrina del Tribunal Europeo de Derechos Humanos, en aquellos </w:t>
      </w:r>
      <w:r>
        <w:lastRenderedPageBreak/>
        <w:t>casos en que se condene en segunda instancia revocando una previa absolución, o bien se agraven sus consecuencias, debe igualmente atenderse a la eventual exigencia de la audiencia personal del acusado como garantía específica vinculada al derecho de defensa (STC 184/2009, de 7 de septiembre).</w:t>
      </w:r>
    </w:p>
    <w:p w14:paraId="6CCDC847" w14:textId="77777777" w:rsidR="009D7677" w:rsidRDefault="009D7677" w:rsidP="009D7677">
      <w:pPr>
        <w:pStyle w:val="TextoNormal"/>
      </w:pPr>
    </w:p>
    <w:p w14:paraId="51951CBD" w14:textId="77777777" w:rsidR="009D7677" w:rsidRDefault="009D7677" w:rsidP="009D7677">
      <w:pPr>
        <w:pStyle w:val="TextoNormal"/>
      </w:pPr>
      <w:r>
        <w:t>Refleja después el fiscal, con cita de la STC 22/2021, los supuestos en los que no cabrá efectuar ese reproche constitucional: así, cuando la condena pronunciada en apelación o la agravación de la situación, a pesar de no haberse celebrado vista pública, tenga su origen en una alteración fáctica que no resulte del análisis de medios probatorios cuya valoración exija presenciar su práctica, como es el caso de pruebas documentales (SSTC 272/2005, de 24 de octubre, o 153/2011, de 17 de octubre), pruebas periciales documentadas (SSTC 143/2005, de 6 de junio, o 142/2011, de 26 de septiembre) o cuando dicha alteración derive de discrepancias con la valoración de pruebas indiciarias, de modo que en su función revisora el órgano judicial se limite a rectificar la inferencia de instancia a partir de los hechos; también cuando la condena o la agravación en vía de recurso, aun no habiéndose celebrado vista pública, no derive de una alteración del sustrato fáctico sobre el que se asienta la sentencia de instancia, sino sobre cuestiones estrictamente jurídicas.</w:t>
      </w:r>
    </w:p>
    <w:p w14:paraId="1FAEFD67" w14:textId="77777777" w:rsidR="009D7677" w:rsidRDefault="009D7677" w:rsidP="009D7677">
      <w:pPr>
        <w:pStyle w:val="TextoNormal"/>
      </w:pPr>
    </w:p>
    <w:p w14:paraId="58DD9053" w14:textId="77777777" w:rsidR="009D7677" w:rsidRDefault="009D7677" w:rsidP="009D7677">
      <w:pPr>
        <w:pStyle w:val="TextoNormal"/>
      </w:pPr>
      <w:r>
        <w:t>A través de la STC 133/2021, de 24 de junio, que a su vez reproduce lo expuesto en las SSTC 18/2021 y 22/2021, el fiscal resume los aspectos más relevantes de los márgenes de la revisión, en los siguientes términos: (i) vulnera el derecho a un proceso con todas las garantías (art. 24.2 CE) que un órgano judicial, conociendo a través de recurso, condene a quien había sido absuelto en la instancia o empeore su situación a partir de una nueva valoración de pruebas personales o de una reconsideración de los hechos estimados probados para establecer su culpabilidad, siempre que no haya celebrado una audiencia pública en la que se desarrolle la necesaria actividad probatoria con las garantías de publicidad, inmediación y contradicción que le son propias y se dé al acusado la posibilidad de defenderse exponiendo su testimonio personal; (ii) no cabe efectuar este reproche constitucional cuando la condena o la agravación de la situación, a pesar de no haberse celebrado vista pública, tenga su origen en una controversia estrictamente jurídica entre los órganos judiciales de primera y segunda instancia en la que no estén implicadas las garantías de publicidad, inmediación y contradicción y para cuya resolución no resulte necesario oír al acusado, pues ninguna incidencia podría tener la audiencia en la decisión que pudiera adoptarse y la posición de la parte puede entenderse debidamente garantizada por la presencia de su abogado.</w:t>
      </w:r>
    </w:p>
    <w:p w14:paraId="7CCF1ED5" w14:textId="77777777" w:rsidR="009D7677" w:rsidRDefault="009D7677" w:rsidP="009D7677">
      <w:pPr>
        <w:pStyle w:val="TextoNormal"/>
      </w:pPr>
    </w:p>
    <w:p w14:paraId="11051C03" w14:textId="77777777" w:rsidR="009D7677" w:rsidRDefault="009D7677" w:rsidP="009D7677">
      <w:pPr>
        <w:pStyle w:val="TextoNormal"/>
      </w:pPr>
      <w:r>
        <w:t xml:space="preserve">En definitiva, lo que la Constitución proscribe es la revocación de una absolución o, en general, una revisión </w:t>
      </w:r>
      <w:r w:rsidRPr="009D7677">
        <w:rPr>
          <w:i/>
        </w:rPr>
        <w:t>in peius</w:t>
      </w:r>
      <w:r>
        <w:t xml:space="preserve"> de la decisión de primera instancia sin respetar las garantías de inmediación y defensa contradictoria (STC 22/2021); pero nada se dice en relación con la garantía de inmediación en los supuestos de dictado de una sentencia absolutoria que revoque otra previamente condenatoria.</w:t>
      </w:r>
    </w:p>
    <w:p w14:paraId="6C80D0B6" w14:textId="77777777" w:rsidR="009D7677" w:rsidRDefault="009D7677" w:rsidP="009D7677">
      <w:pPr>
        <w:pStyle w:val="TextoNormal"/>
      </w:pPr>
    </w:p>
    <w:p w14:paraId="4593E144" w14:textId="77777777" w:rsidR="009D7677" w:rsidRDefault="009D7677" w:rsidP="009D7677">
      <w:pPr>
        <w:pStyle w:val="TextoNormal"/>
      </w:pPr>
      <w:r>
        <w:t xml:space="preserve">Descendiendo al caso, el fiscal pone de relieve que no estamos ante un supuesto en el que el órgano de apelación haya revocado una sentencia absolutoria o empeorado la decisión de primer grado en perjuicio del encausado, sino que el demandante interesa la nulidad de una decisión casacional que, revocando la sentencia absolutoria recaída en la instancia inmediatamente anterior, directamente recupera la condena de primer grado. Incide en que la estimación del recurso de apelación, promovido por el acusado, tuvo su apoyo en </w:t>
      </w:r>
      <w:r>
        <w:lastRenderedPageBreak/>
        <w:t xml:space="preserve">la absoluta ausencia de valoración del testimonio prestado por el acusado y por un testigo directo de los hechos, así como en el cuestionamiento de la credibilidad que había merecido el testimonio de la denunciante. Dispuso el tribunal de apelación un error en la valoración de la prueba, con infracción del principio </w:t>
      </w:r>
      <w:r w:rsidRPr="009D7677">
        <w:rPr>
          <w:i/>
        </w:rPr>
        <w:t>in dubio pro reo</w:t>
      </w:r>
      <w:r>
        <w:t>, desde la revisión de la sentencia apelada bajo un control externo del razonamiento lógico seguido y de la estructura racional del discurso valorativo de la prueba. Así las cosas, destaca el fiscal que este tribunal no ha vedado hasta el momento un proceder como el llevado a cabo en el presente caso por el órgano de apelación y, por el contrario, sí viene considerando contrario al derecho a la presunción de inocencia que una sentencia condenatoria omita reflexionar sobre la versión del inculpado o sobre una prueba de descargo.</w:t>
      </w:r>
    </w:p>
    <w:p w14:paraId="093DE7CE" w14:textId="77777777" w:rsidR="009D7677" w:rsidRDefault="009D7677" w:rsidP="009D7677">
      <w:pPr>
        <w:pStyle w:val="TextoNormal"/>
      </w:pPr>
    </w:p>
    <w:p w14:paraId="62D66438" w14:textId="77777777" w:rsidR="009D7677" w:rsidRDefault="009D7677" w:rsidP="009D7677">
      <w:pPr>
        <w:pStyle w:val="TextoNormal"/>
      </w:pPr>
      <w:r>
        <w:t xml:space="preserve">La Ley 41/2015, de 5 de octubre, de modificación de la Ley de enjuiciamiento criminal para la agilización de la justicia penal y el fortalecimiento de las garantías procesales, generalizó la segunda instancia en el proceso penal, en desarrollo del art. 14.5 del Pacto internacional de derechos civiles y políticos (PIDCP). Uno de los objetivos de esta reforma fue, precisamente, reforzar los derechos y garantías del sometido al proceso penal, por lo que entiende el fiscal que desde la perspectiva constitucional no parece que deban propiciarse entendimientos que limiten en exceso la revisión de las sentencias condenatorias, máxime teniendo en cuenta que: (i) es incuestionable que el derecho a la doble instancia comporta el derecho a que un tribunal superior controle la adecuación a la lógica del juicio realizado en primera instancia, revisando la correcta aplicación de las reglas que permitieron la declaración de culpabilidad y, en particular entre estas, las que inspiran la presunción de inocencia y las reglas de inferencia que permiten considerar un hecho como probado; (ii) corresponde al acusado la titularidad de la garantía de inmediación para la valoración de las pruebas personales; y (iii) dicha garantía está vinculada a los derechos de defensa y presunción de inocencia, cuya exigencia en la segunda instancia a través de la celebración, en su caso, de una vista se fundamenta en la particular protección constitucional de quien, como acusado, es sometido al </w:t>
      </w:r>
      <w:r w:rsidRPr="009D7677">
        <w:rPr>
          <w:i/>
        </w:rPr>
        <w:t>ius puniendi</w:t>
      </w:r>
      <w:r>
        <w:t>.</w:t>
      </w:r>
    </w:p>
    <w:p w14:paraId="1A134520" w14:textId="77777777" w:rsidR="009D7677" w:rsidRDefault="009D7677" w:rsidP="009D7677">
      <w:pPr>
        <w:pStyle w:val="TextoNormal"/>
      </w:pPr>
    </w:p>
    <w:p w14:paraId="308281B0" w14:textId="77777777" w:rsidR="009D7677" w:rsidRDefault="009D7677" w:rsidP="009D7677">
      <w:pPr>
        <w:pStyle w:val="TextoNormal"/>
      </w:pPr>
      <w:r>
        <w:t xml:space="preserve">En nuestro caso, en el recurso de apelación se denunció un defectuoso examen de la prueba por el órgano de primer grado al haberse pasado por alto la versión del acusado, como también de un testigo directo de los hechos, sin dar razón de ello. Así las cosas, correspondía al órgano de apelación verificar si por el de primera instancia se había preterido infundadamente prueba de descargo cuyo análisis devenía necesario desde la perspectiva de la presunción de inocencia. Para el fiscal, así cabe calificar la prueba omitida en este caso, al no resultar intrínsecamente inverosímil el relato ofrecido por el acusado. El Tribunal Superior de Justicia se enfrentaba, pues, a una omisión relevante sobre la prueba de descargo en el juicio de instancia, lo cual desautorizaba —si no invalidaba— la trabazón argumental del juicio de culpabilidad. Aunque la sentencia de apelación pueda resultar cuestionable desde la perspectiva de la jurisprudencia del Tribunal Supremo, no es esta la resolución traída en amparo por el demandante, en defensa de sus garantías constitucionales en el proceso, sino la sentencia casacional, la cual vino a ofrecer su propia explicación del silencio del que adolecía la sentencia de primer grado en el sentido de afirmar que se produjo una desestimación tácita de estos testimonios de descargo, restándoles todo valor probatorio. Considera el fiscal que este actuar implica renovar la originaria vulneración del derecho a la presunción de inocencia del acusado del que adolecería la sentencia de primer grado. La sentencia casacional no se detiene en este punto, sino que viene luego a pronunciarse sobre la credibilidad del testigo de descargo, que reevalúa y después rechaza. </w:t>
      </w:r>
      <w:r>
        <w:lastRenderedPageBreak/>
        <w:t xml:space="preserve">Para el fiscal, se incurre aquí en un problema de alcance constitucional, a tenor también de la jurisprudencia del Tribunal Europeo de Derechos Humanos (SSTEDH de 26 de mayo, asunto </w:t>
      </w:r>
      <w:r w:rsidRPr="009D7677">
        <w:rPr>
          <w:i/>
        </w:rPr>
        <w:t>Ekbatani c. Suecia</w:t>
      </w:r>
      <w:r>
        <w:t xml:space="preserve">, o de 27 de junio de 2000, asunto </w:t>
      </w:r>
      <w:r w:rsidRPr="009D7677">
        <w:rPr>
          <w:i/>
        </w:rPr>
        <w:t>Constantinescu c. Rumanía</w:t>
      </w:r>
      <w:r>
        <w:t>, entre otros), pues la sentencia de casación revisa peyorativamente la sentencia absolutoria precedente valorando una prueba de fuente personal (manifestaciones del testigo de descargo) sin disponer de la inmediación necesaria y, por ende, en quiebra de los derechos de defensa y a un proceso con todas las garantías.</w:t>
      </w:r>
    </w:p>
    <w:p w14:paraId="75A96F19" w14:textId="77777777" w:rsidR="009D7677" w:rsidRDefault="009D7677" w:rsidP="009D7677">
      <w:pPr>
        <w:pStyle w:val="TextoNormal"/>
      </w:pPr>
    </w:p>
    <w:p w14:paraId="6291BD09" w14:textId="77777777" w:rsidR="009D7677" w:rsidRDefault="009D7677" w:rsidP="009D7677">
      <w:pPr>
        <w:pStyle w:val="TextoNormal"/>
      </w:pPr>
      <w:r>
        <w:t xml:space="preserve">Disiente el fiscal de que la rehabilitación de una condena suprimida o atenuada en apelación se acomode a la doctrina constitucional y a la jurisprudencia del Tribunal Europeo de Derechos Humanos por no implicar una condena </w:t>
      </w:r>
      <w:r w:rsidRPr="009D7677">
        <w:rPr>
          <w:i/>
        </w:rPr>
        <w:t>ex novo</w:t>
      </w:r>
      <w:r>
        <w:t xml:space="preserve"> en segunda instancia, como afirma la sentencia casacional. Para el fiscal, las pautas constitucionalmente aplicables no permiten hacer distingos de este género, pues rehabilitar una sentencia condenatoria ya de por sí vulneradora del derecho a la presunción de inocencia (al no valorarse en ella la prueba de descargo ni darse razón de su rechazo) implica reeditar la vulneración de primer grado. En suma, desde la óptica constitucional, para cubrir un déficit de motivación relevante se completa en sede casacional aquella primera sentencia con una nueva valoración de la prueba personal de descargo preterida, sin disponer de la inmediación necesaria. Indica el fiscal que la sentencia de apelación valoró la credibilidad de la denunciante en sentido diametralmente opuesto a la sentencia de primer grado; pero incide en que la revisión de las sentencias condenatorias no está sometida a las mismas garantías que la de las absolutorias —ni en sede de apelación, ni en sede de casación—, dada la asimetría entre las garantías del acusado y de otros participantes en el proceso (STC 141/2006, de 8 de mayo).</w:t>
      </w:r>
    </w:p>
    <w:p w14:paraId="0ECCC14A" w14:textId="77777777" w:rsidR="009D7677" w:rsidRDefault="009D7677" w:rsidP="009D7677">
      <w:pPr>
        <w:pStyle w:val="TextoNormal"/>
      </w:pPr>
    </w:p>
    <w:p w14:paraId="3AAB613F" w14:textId="77777777" w:rsidR="009D7677" w:rsidRDefault="009D7677" w:rsidP="009D7677">
      <w:pPr>
        <w:pStyle w:val="TextoNormal"/>
      </w:pPr>
      <w:r>
        <w:t>En consecuencia, aunque en este caso ciertas afirmaciones de las sentencias de primera y segunda instancia puedan adolecer de falta de lógica, lo relevante desde la actual perspectiva constitucional es que se produjo una vulneración primaria del derecho a la presunción de inocencia que vino a subsanar la sentencia de segunda instancia y que acabó por agravar la sentencia de casación, impugnada en este amparo.</w:t>
      </w:r>
    </w:p>
    <w:p w14:paraId="360B0C05" w14:textId="77777777" w:rsidR="009D7677" w:rsidRDefault="009D7677" w:rsidP="009D7677">
      <w:pPr>
        <w:pStyle w:val="TextoNormal"/>
      </w:pPr>
    </w:p>
    <w:p w14:paraId="087C5894" w14:textId="7EDEF97E" w:rsidR="009D7677" w:rsidRDefault="009D7677" w:rsidP="009D7677">
      <w:pPr>
        <w:pStyle w:val="TextoNormal"/>
      </w:pPr>
      <w:r>
        <w:t>Tales deficiencias no fueron reparadas con ocasión del incidente de nulidad, al resultar rechazado por auto de 19 de febrero de 2020. Todo lo cual debe conducir a estimar la demanda y amparar al recurrente al haberse vulnerado los derechos fundamentales antes indicados.</w:t>
      </w:r>
    </w:p>
    <w:p w14:paraId="321C51B1" w14:textId="77777777" w:rsidR="009D7677" w:rsidRDefault="009D7677" w:rsidP="009D7677">
      <w:pPr>
        <w:pStyle w:val="TextoNormal"/>
      </w:pPr>
    </w:p>
    <w:p w14:paraId="7C41B6EF" w14:textId="151C7005" w:rsidR="009D7677" w:rsidRDefault="009D7677" w:rsidP="009D7677">
      <w:pPr>
        <w:pStyle w:val="TextoNormal"/>
      </w:pPr>
      <w:r w:rsidRPr="009D7677">
        <w:rPr>
          <w:rStyle w:val="NumeroAFNegritaCaracter"/>
        </w:rPr>
        <w:t>8</w:t>
      </w:r>
      <w:r>
        <w:t>. Por diligencia de ordenación del secretario de justicia de la Sala Primera de este tribunal de 30 de enero de 2023, se comunicó a las partes que en virtud del acuerdo adoptado por el Pleno del Tribunal Constitucional el día 17 de enero de 2023, publicado en el “Boletín Oficial del Estado” de 19 de enero de 2023, el presente recurso de amparo había sido turnado a la Sala Primera del Tribunal Constitucional.</w:t>
      </w:r>
    </w:p>
    <w:p w14:paraId="0EFA001F" w14:textId="77777777" w:rsidR="009D7677" w:rsidRDefault="009D7677" w:rsidP="009D7677">
      <w:pPr>
        <w:pStyle w:val="TextoNormal"/>
      </w:pPr>
    </w:p>
    <w:p w14:paraId="59570ABE" w14:textId="625A3794" w:rsidR="009D7677" w:rsidRDefault="009D7677" w:rsidP="009D7677">
      <w:pPr>
        <w:pStyle w:val="TextoNormal"/>
      </w:pPr>
      <w:r w:rsidRPr="009D7677">
        <w:rPr>
          <w:rStyle w:val="NumeroAFNegritaCaracter"/>
        </w:rPr>
        <w:t>9</w:t>
      </w:r>
      <w:r>
        <w:t xml:space="preserve">. Por diligencia de ordenación de 1 de junio de 2023, se acordó remitir oficio al Tribunal Supremo para interesar la remisión de las actuaciones correspondientes al recurso de casación núm. 1631-2018. El 20 de junio de 2023 se recibió en este tribunal testimonio de las referidas actuaciones. Por diligencia de ordenación de 21 de junio de 2023 se dio traslado de las mismas a las partes por término de cinco días para que pudieran alegar lo que a su derecho conviniera. Por escrito presentado el 29 de junio de 2023 la representación </w:t>
      </w:r>
      <w:r>
        <w:lastRenderedPageBreak/>
        <w:t>procesal del demandante manifestó que el testimonio no estaba completo. Por diligencia de ordenación de 30 de junio de 2023 se tuvo por recibido el anterior escrito y visto su contenido se puso en conocimiento de dicha parte que puestos en contacto telefónico con el Tribunal Supremo se comunicó por este que en el original de las actuaciones consta lo mismo que en el testimonio y que algunas páginas no constaban escaneadas, por lo que se procedería a subsanar dicho error. Por escrito presentado el 12 de julio de 2023 el Ministerio Fiscal se afirmó y ratificó en su anterior escrito de alegaciones, sin que tuviera nada que añadir a la vista del testimonio remitido por el Tribunal Supremo.</w:t>
      </w:r>
    </w:p>
    <w:p w14:paraId="08407000" w14:textId="77777777" w:rsidR="009D7677" w:rsidRDefault="009D7677" w:rsidP="009D7677">
      <w:pPr>
        <w:pStyle w:val="TextoNormal"/>
      </w:pPr>
    </w:p>
    <w:p w14:paraId="6D03A318" w14:textId="641DB382" w:rsidR="009D7677" w:rsidRDefault="009D7677" w:rsidP="009D7677">
      <w:pPr>
        <w:pStyle w:val="TextoNormal"/>
      </w:pPr>
      <w:r w:rsidRPr="009D7677">
        <w:rPr>
          <w:rStyle w:val="NumeroAFNegritaCaracter"/>
        </w:rPr>
        <w:t>10</w:t>
      </w:r>
      <w:r>
        <w:t>. Por escrito presentado el 25 de octubre de 2023 el procurador del demandante de amparo solicitó que se le comunicaran las razones de la demora que se estaba produciendo en la resolución del presente recurso de amparo, que se le diera traslado de las alegaciones efectuadas por el Ministerio Fiscal y que se procediese a la anonimización del nombre y apellidos de su mandante para salvaguardar su derecho a la intimidad. Por diligencia de ordenación de 26 de octubre de 2023 se tuvo por recibido el escrito y se hizo saber a dicho procurador que tenía acceso a los escritos y documentos a través de la sede electrónica de este tribunal.</w:t>
      </w:r>
    </w:p>
    <w:p w14:paraId="5C1219BD" w14:textId="77777777" w:rsidR="009D7677" w:rsidRDefault="009D7677" w:rsidP="009D7677">
      <w:pPr>
        <w:pStyle w:val="TextoNormal"/>
      </w:pPr>
    </w:p>
    <w:p w14:paraId="636FDB5C" w14:textId="6FA7EBB8" w:rsidR="009D7677" w:rsidRDefault="009D7677" w:rsidP="009D7677">
      <w:pPr>
        <w:pStyle w:val="TextoNormal"/>
      </w:pPr>
      <w:r w:rsidRPr="009D7677">
        <w:rPr>
          <w:rStyle w:val="NumeroAFNegritaCaracter"/>
        </w:rPr>
        <w:t>11</w:t>
      </w:r>
      <w:r>
        <w:t>. Por diligencia de ordenación de 19 de enero de 2024, la Secretaría de Justicia de la Sala Primera de este tribunal recabó de la Audiencia Provincial de Badajoz que remitiese justificación documental del emplazamiento ante este tribunal de doña V.G.L., dado que no obraba en actuaciones. En cumplimiento de lo solicitado, la Audiencia Provincial remitió un acta de comparecencia fechada el 18 de mayo de 2021 en la que doña V.G.L., se dio por emplazada y solicitó la designación de abogado y procurador de oficio, sin que conste que dicha solicitud fuera respondida o tramitada. Por tal motivo, por diligencia de ordenación de 24 de enero de 2024 se concedió a doña V.G.L., un plazo de diez días para que pudiese cursar su solicitud por la vía correcta, esto es, dirigiéndola al servicio de orientación jurídica del Colegio de Abogados de Madrid, directamente, o a través del juzgado decano de su domicilio, con copia a este tribunal y con advertencia de que en el caso de no atender al requerimiento se la tendría por no personada. El requerimiento le fue notificado personalmente el día 20 de marzo de 2024 por el servicio común de actos de comunicación y embargos de Mérida. Por diligencia de ordenación de 9 de abril de 2024 la Secretaría de Justicia dejó constancia de que se había cumplido el plazo sin haberse dado cumplimiento al requerimiento efectuado.</w:t>
      </w:r>
    </w:p>
    <w:p w14:paraId="72F25659" w14:textId="77777777" w:rsidR="009D7677" w:rsidRDefault="009D7677" w:rsidP="009D7677">
      <w:pPr>
        <w:pStyle w:val="TextoNormal"/>
      </w:pPr>
    </w:p>
    <w:p w14:paraId="2E825161" w14:textId="5878C7E9" w:rsidR="009D7677" w:rsidRDefault="009D7677" w:rsidP="009D7677">
      <w:pPr>
        <w:pStyle w:val="TextoNormal"/>
      </w:pPr>
      <w:r w:rsidRPr="009D7677">
        <w:rPr>
          <w:rStyle w:val="NumeroAFNegritaCaracter"/>
        </w:rPr>
        <w:t>12</w:t>
      </w:r>
      <w:r>
        <w:t>. Mediante providencia de 3 de junio de 2024 se señaló ese mismo día para deliberación y votación de la presente sentencia.</w:t>
      </w:r>
    </w:p>
    <w:p w14:paraId="2D3F9A7F" w14:textId="77777777" w:rsidR="009D7677" w:rsidRDefault="009D7677" w:rsidP="009D7677">
      <w:pPr>
        <w:pStyle w:val="TextoNormal"/>
      </w:pPr>
    </w:p>
    <w:p w14:paraId="1B43891B" w14:textId="77777777" w:rsidR="009D7677" w:rsidRDefault="009D7677" w:rsidP="009D7677">
      <w:pPr>
        <w:pStyle w:val="TextoNormalNegritaCentrado"/>
        <w:keepNext/>
      </w:pPr>
      <w:r>
        <w:t>II. Fundamentos jurídicos</w:t>
      </w:r>
    </w:p>
    <w:p w14:paraId="10B287CF" w14:textId="2C10CADF" w:rsidR="009D7677" w:rsidRDefault="009D7677" w:rsidP="009D7677">
      <w:pPr>
        <w:pStyle w:val="TextoNormalNegritaCentrado"/>
        <w:keepNext/>
      </w:pPr>
    </w:p>
    <w:p w14:paraId="4359E01B" w14:textId="77777777" w:rsidR="009D7677" w:rsidRDefault="009D7677" w:rsidP="009D7677">
      <w:pPr>
        <w:pStyle w:val="TextoNormal"/>
      </w:pPr>
      <w:r w:rsidRPr="009D7677">
        <w:rPr>
          <w:rStyle w:val="NumeroAFNegritaCaracter"/>
        </w:rPr>
        <w:t>1</w:t>
      </w:r>
      <w:r>
        <w:t xml:space="preserve">. </w:t>
      </w:r>
      <w:r w:rsidRPr="009D7677">
        <w:rPr>
          <w:i/>
        </w:rPr>
        <w:t>Objeto del recurso</w:t>
      </w:r>
    </w:p>
    <w:p w14:paraId="4EB91D28" w14:textId="77777777" w:rsidR="009D7677" w:rsidRDefault="009D7677" w:rsidP="009D7677">
      <w:pPr>
        <w:pStyle w:val="TextoNormal"/>
      </w:pPr>
    </w:p>
    <w:p w14:paraId="7478838F" w14:textId="77777777" w:rsidR="009D7677" w:rsidRDefault="009D7677" w:rsidP="009D7677">
      <w:pPr>
        <w:pStyle w:val="TextoNormal"/>
      </w:pPr>
      <w:r>
        <w:t xml:space="preserve">La demanda de amparo se dirige contra la sentencia núm. 555/2019, de 13 de noviembre de la Sala de lo Penal del Tribunal Supremo que, estimando el recurso de casación interpuesto por el Ministerio Fiscal, en el que invocó como motivos de casación los de infracción de preceptos constitucionales (arts. 5.4 LOPJ y 852 LECrim) por vulneración </w:t>
      </w:r>
      <w:r>
        <w:lastRenderedPageBreak/>
        <w:t>de su derecho a la tutela judicial efectiva (art. 24.1 CE) y a un proceso con todas las garantías (art. 24.2 CE), e infracción de ley (art. 849.1 LECrim) por inaplicación indebida de los arts. 178, 147.2 y 263.1, párrafo segundo CP, casó la sentencia núm. 3/2018, de 3 de mayo de la Sala de lo Civil y Penal del Tribunal Superior de Justicia de Extremadura, que había absuelto al demandante como consecuencia de la estimación del recurso de apelación interpuesto por este contra la sentencia núm. 18/2018, de 7 de febrero, de la Sección Tercera de la Audiencia Provincial de Cáceres, que le había condenado como autor de un delito de agresión sexual, un delito leve de lesiones y un delito leve de daños. También se dirige contra el auto de 19 de febrero de 2019 de la Sala de lo Penal del Tribunal Supremo, que rechazó el incidente de nulidad promovido frente a la indicada sentencia de casación.</w:t>
      </w:r>
    </w:p>
    <w:p w14:paraId="3B7AD820" w14:textId="77777777" w:rsidR="009D7677" w:rsidRDefault="009D7677" w:rsidP="009D7677">
      <w:pPr>
        <w:pStyle w:val="TextoNormal"/>
      </w:pPr>
    </w:p>
    <w:p w14:paraId="6F319F92" w14:textId="77777777" w:rsidR="009D7677" w:rsidRDefault="009D7677" w:rsidP="009D7677">
      <w:pPr>
        <w:pStyle w:val="TextoNormal"/>
      </w:pPr>
      <w:r>
        <w:t xml:space="preserve">La demanda de amparo denuncia que el Tribunal Supremo, a través de esas resoluciones, vulneró los derechos fundamentales del actor a la tutela judicial efectiva, a un proceso con todas las garantías y a la presunción de inocencia (art. 24.1 y 2 CE): alega que el Tribunal Supremo impone unos límites a la revisión en apelación de las sentencias condenatorias penales que imposibilitan el control pleno de la prueba del que dé cuenta la sentencia de primer grado, contrariando así la naturaleza y el sentido constitucional de la doble instancia penal (STC 184/2013); que el Alto Tribunal analizó además prueba personal sin respetar la garantía de la audiencia al reo, incurriendo así en el mismo exceso de funciones que reprocha a la sentencia de apelación revocada, con el agravante de que en su caso ese exceso alcanza la subsanación de los fallos de la sentencia de primer grado, de la que recupera el fallo condenatorio; que es incomprensible que la decisión casacional sostenga que, en el ámbito de un recurso penal ordinario, los tribunales de apelación carezcan de competencias para examinar prueba personal, incluso en el caso de alcanzar una convicción absolutoria y, sin embargo, en el ámbito de un recurso extraordinario, como es la casación, vea factible sanar el déficit motivacional del que pueda adolecer la sentencia de primer grado, complementando un insuficiente o anómalo estudio de la prueba de descargo; además, el Tribunal Supremo, al anular la sentencia de apelación y recuperar, sin solución de continuidad, la condena de primera instancia, en lugar de ordenar una retroacción de actuaciones, habría venido a sanar la lesión primigenia de su derecho a la presunción de inocencia y al propio tiempo, habría privado al demandante de su derecho a un recurso efectivo (doble instancia), deviniendo incontestados </w:t>
      </w:r>
      <w:r w:rsidRPr="009D7677">
        <w:rPr>
          <w:i/>
        </w:rPr>
        <w:t>de facto</w:t>
      </w:r>
      <w:r>
        <w:t xml:space="preserve"> los motivos de su recurso de apelación.</w:t>
      </w:r>
    </w:p>
    <w:p w14:paraId="33EE4260" w14:textId="77777777" w:rsidR="009D7677" w:rsidRDefault="009D7677" w:rsidP="009D7677">
      <w:pPr>
        <w:pStyle w:val="TextoNormal"/>
      </w:pPr>
    </w:p>
    <w:p w14:paraId="0B833F43" w14:textId="7EA39F94" w:rsidR="009D7677" w:rsidRDefault="009D7677" w:rsidP="009D7677">
      <w:pPr>
        <w:pStyle w:val="TextoNormal"/>
      </w:pPr>
      <w:r>
        <w:t>El fiscal ante el Tribunal Constitucional interesa que se otorgue el amparo. Conviene con el demandante en que el Tribunal Supremo ha vulnerado sus derechos a la presunción de inocencia y al proceso con todas las garantías como consecuencia de la infracción de las garantías de inmediación y defensa contradictoria (art. 24.2 CE) porque ha revisado de una forma peyorativa para el reo los argumentos de la sentencia de apelación dedicados al estudio de la prueba personal, supliendo las deficiencias de la sentencia de primer grado mediante unas precisiones que hubieran requerido de la inmediación y por ello quebrantando las garantías procesales de aquel; ofrece, además, su propia explicación sobre el significado que cabría atribuir al silencio en que incurre la sentencia de primer grado en relación con lo declarado por el propio acusado y por el testigo de descargo que corrobora su versión, siendo estos testimonios relevantes en términos de condena (presunción de inocencia); la vulneración de los derechos del demandante se perpetúa con la posterior desestimación del incidente de nulidad.</w:t>
      </w:r>
    </w:p>
    <w:p w14:paraId="0C7960B9" w14:textId="77777777" w:rsidR="009D7677" w:rsidRDefault="009D7677" w:rsidP="009D7677">
      <w:pPr>
        <w:pStyle w:val="TextoNormal"/>
      </w:pPr>
    </w:p>
    <w:p w14:paraId="4C657C12" w14:textId="77777777" w:rsidR="009D7677" w:rsidRDefault="009D7677" w:rsidP="009D7677">
      <w:pPr>
        <w:pStyle w:val="TextoNormal"/>
      </w:pPr>
      <w:r w:rsidRPr="009D7677">
        <w:rPr>
          <w:rStyle w:val="NumeroAFNegritaCaracter"/>
        </w:rPr>
        <w:lastRenderedPageBreak/>
        <w:t>2</w:t>
      </w:r>
      <w:r>
        <w:t xml:space="preserve">. </w:t>
      </w:r>
      <w:r w:rsidRPr="009D7677">
        <w:rPr>
          <w:i/>
        </w:rPr>
        <w:t>Especial trascendencia constitucional</w:t>
      </w:r>
    </w:p>
    <w:p w14:paraId="2BF72513" w14:textId="77777777" w:rsidR="009D7677" w:rsidRDefault="009D7677" w:rsidP="009D7677">
      <w:pPr>
        <w:pStyle w:val="TextoNormal"/>
      </w:pPr>
    </w:p>
    <w:p w14:paraId="0AA52B44" w14:textId="77777777" w:rsidR="009D7677" w:rsidRDefault="009D7677" w:rsidP="009D7677">
      <w:pPr>
        <w:pStyle w:val="TextoNormal"/>
      </w:pPr>
      <w:r>
        <w:t>Como se expuso en la providencia de admisión del recurso de amparo, dictada por la Sección Tercera del Tribunal Constitucional el día 25 de enero de 2021, concurren en este caso razones que justifican un pronunciamiento de fondo, al dar ocasión para aclarar o cambiar la doctrina de este tribunal como consecuencia de cambios normativos relevantes para la configuración del contenido del derecho fundamental [STC 155/2009, FJ 2 b)].</w:t>
      </w:r>
    </w:p>
    <w:p w14:paraId="3AAFE19D" w14:textId="77777777" w:rsidR="009D7677" w:rsidRDefault="009D7677" w:rsidP="009D7677">
      <w:pPr>
        <w:pStyle w:val="TextoNormal"/>
      </w:pPr>
    </w:p>
    <w:p w14:paraId="3D2D5D2A" w14:textId="77777777" w:rsidR="009D7677" w:rsidRDefault="009D7677" w:rsidP="009D7677">
      <w:pPr>
        <w:pStyle w:val="TextoNormal"/>
      </w:pPr>
      <w:r>
        <w:t>Se refiere a los cambios operados en el procedimiento penal por la Ley 41/2015, de 5 de octubre, de modificación de la Ley de enjuiciamiento criminal para la agilización de la justicia penal y el fortalecimiento de las garantías procesales, que extiende el recurso de apelación a las sentencias dictadas por las audiencias provinciales y secciones de la Sala de lo Penal de la Audiencia Nacional, tras el enjuiciamiento de las causas en dichos órganos, que ha producido como consecuencia colateral que el recurso de casación haya recuperado su prístino sentido de instrumento de naturaleza nomofiláctica, enderezado a su finalidad primordial de asegurar la homogeneidad en la interpretación de las normas penales por parte de los órganos judiciales en todo el territorio nacional.</w:t>
      </w:r>
    </w:p>
    <w:p w14:paraId="2F3D841D" w14:textId="77777777" w:rsidR="009D7677" w:rsidRDefault="009D7677" w:rsidP="009D7677">
      <w:pPr>
        <w:pStyle w:val="TextoNormal"/>
      </w:pPr>
    </w:p>
    <w:p w14:paraId="7FA60BC5" w14:textId="00A26A64" w:rsidR="009D7677" w:rsidRDefault="009D7677" w:rsidP="009D7677">
      <w:pPr>
        <w:pStyle w:val="TextoNormal"/>
      </w:pPr>
      <w:r>
        <w:t>Generalizada en nuestro ordenamiento procesal la doble instancia penal, este tribunal debe centrarse ahora en las dudas y problemas que se suscitan en torno al control verificable en sede casacional de la sentencia de apelación en la que, sustanciado el doble grado de la jurisdicción penal o derecho del penado a impetrar de un tribunal superior la revisión de su condena, se ha producido un fallo absolutorio —o reductor de la misma— y a los reparos que igualmente suscita la posible reviviscencia de la condena dictada en la primera instancia como consecuencia de la anulación de la sentencia intermedia dictada en apelación.</w:t>
      </w:r>
    </w:p>
    <w:p w14:paraId="0E8E16EB" w14:textId="77777777" w:rsidR="009D7677" w:rsidRDefault="009D7677" w:rsidP="009D7677">
      <w:pPr>
        <w:pStyle w:val="TextoNormal"/>
      </w:pPr>
    </w:p>
    <w:p w14:paraId="1AB2FC1E" w14:textId="77777777" w:rsidR="009D7677" w:rsidRDefault="009D7677" w:rsidP="009D7677">
      <w:pPr>
        <w:pStyle w:val="TextoNormal"/>
      </w:pPr>
      <w:r w:rsidRPr="009D7677">
        <w:rPr>
          <w:rStyle w:val="NumeroAFNegritaCaracter"/>
        </w:rPr>
        <w:t>3</w:t>
      </w:r>
      <w:r>
        <w:t xml:space="preserve">. </w:t>
      </w:r>
      <w:r w:rsidRPr="009D7677">
        <w:rPr>
          <w:i/>
        </w:rPr>
        <w:t>Consideraciones previas</w:t>
      </w:r>
    </w:p>
    <w:p w14:paraId="1DAD6B4A" w14:textId="77777777" w:rsidR="009D7677" w:rsidRDefault="009D7677" w:rsidP="009D7677">
      <w:pPr>
        <w:pStyle w:val="TextoNormal"/>
      </w:pPr>
    </w:p>
    <w:p w14:paraId="26AEEB67" w14:textId="77777777" w:rsidR="009D7677" w:rsidRDefault="009D7677" w:rsidP="009D7677">
      <w:pPr>
        <w:pStyle w:val="TextoNormal"/>
      </w:pPr>
      <w:r>
        <w:t>a) Sobre la exclusión de datos personales</w:t>
      </w:r>
    </w:p>
    <w:p w14:paraId="7DE38AD6" w14:textId="77777777" w:rsidR="009D7677" w:rsidRDefault="009D7677" w:rsidP="009D7677">
      <w:pPr>
        <w:pStyle w:val="TextoNormal"/>
      </w:pPr>
    </w:p>
    <w:p w14:paraId="77964AD0" w14:textId="77777777" w:rsidR="009D7677" w:rsidRDefault="009D7677" w:rsidP="009D7677">
      <w:pPr>
        <w:pStyle w:val="TextoNormal"/>
      </w:pPr>
      <w:r>
        <w:t>El procurador del actor ha solicitado, mediante escrito presentado el 25 de octubre de 2023, que no se incluyan en las resoluciones ulteriores que adopte este tribunal el nombre y apellidos de su mandante.</w:t>
      </w:r>
    </w:p>
    <w:p w14:paraId="145196F5" w14:textId="77777777" w:rsidR="009D7677" w:rsidRDefault="009D7677" w:rsidP="009D7677">
      <w:pPr>
        <w:pStyle w:val="TextoNormal"/>
      </w:pPr>
    </w:p>
    <w:p w14:paraId="2BCB7966" w14:textId="77777777" w:rsidR="009D7677" w:rsidRDefault="009D7677" w:rsidP="009D7677">
      <w:pPr>
        <w:pStyle w:val="TextoNormal"/>
      </w:pPr>
      <w:r>
        <w:t>Este tribunal ha sostenido, al aplicar lo dispuesto en el artículo 164 CE y concordantes relativo a la publicidad de las resoluciones de la jurisdicción constitucional, “que la exigencia constitucional de máxima difusión y publicidad de las mismas se refiere a las resoluciones íntegras (STC 114/2006, de 5 de abril, FFJJ 6 y 7), y, por tanto, a la completa identificación de quienes hayan sido parte en el proceso constitucional respectivo. Esta difusión íntegra ‘permite asegurar intereses de indudable relevancia constitucional, como son, ante todo, la constancia del imparcial ejercicio de la jurisdicción constitucional y el derecho de todos a ser informados de las circunstancias, también las personales, de los casos que por su trascendencia acceden, precisamente, a esta jurisdicción; y ello sin olvidar que, en no pocos supuestos, el conocimiento de tales circunstancias será necesario para la correcta intelección de la aplicación, en el caso, de la propia doctrina constitucional’ (STC 114/2006, FJ 6)” (STC 58/2018, de 4 de junio, FJ 2).</w:t>
      </w:r>
    </w:p>
    <w:p w14:paraId="038D5DBD" w14:textId="77777777" w:rsidR="009D7677" w:rsidRDefault="009D7677" w:rsidP="009D7677">
      <w:pPr>
        <w:pStyle w:val="TextoNormal"/>
      </w:pPr>
    </w:p>
    <w:p w14:paraId="3B4382EA" w14:textId="77777777" w:rsidR="009D7677" w:rsidRDefault="009D7677" w:rsidP="009D7677">
      <w:pPr>
        <w:pStyle w:val="TextoNormal"/>
      </w:pPr>
      <w:r>
        <w:lastRenderedPageBreak/>
        <w:t>La exigencia de publicidad no tiene carácter absoluto y puede ser excepcionada en supuestos de prevalencia de otros derechos fundamentales y garantías constitucionales con los que entre en conflicto, lo que debe ser ponderado en cada caso (STC 114/2006, de 5 de abril, FJ 7) y ha sido concretado, en relación con la protección de los derechos reconocidos en el artículo 18.4 CE, en el artículo 86.3 LOTC, en la redacción dada por la Ley Orgánica 6/2007, de 24 de mayo.</w:t>
      </w:r>
    </w:p>
    <w:p w14:paraId="76A27B1C" w14:textId="77777777" w:rsidR="009D7677" w:rsidRDefault="009D7677" w:rsidP="009D7677">
      <w:pPr>
        <w:pStyle w:val="TextoNormal"/>
      </w:pPr>
    </w:p>
    <w:p w14:paraId="501ADAD7" w14:textId="77777777" w:rsidR="009D7677" w:rsidRDefault="009D7677" w:rsidP="009D7677">
      <w:pPr>
        <w:pStyle w:val="TextoNormal"/>
      </w:pPr>
      <w:r>
        <w:t>En el acuerdo adoptado por el Pleno de este tribunal el 23 de julio de 2015, por el que se regula la exclusión de los datos de identidad personal en la publicación de las resoluciones jurisdiccionales (“Boletín Oficial del Estado” núm. 178, de 27 de julio de 2015) establecimos que (i) el Tribunal preservará de oficio el anonimato de los menores y personas que requieran un especial deber de tutela, de las víctimas de delitos de cuya difusión se deriven especiales perjuicios y de las personas que no estén constituidas en parte en el proceso constitucional (art. 1); y (ii) podrá excepcionar, de oficio o a instancia de parte, la exigencia constitucional de publicidad de sus resoluciones, en lo relativo a los datos de identidad y situación personal de las partes intervinientes en el proceso cuando, a partir de la ponderación de circunstancias debidamente acreditadas concurrentes en el caso, la estime justificada por resultar prevalente el derecho a la intimidad u otros intereses constitucionales (art. 2). Para preservar el anonimato de las personas concernidas por la publicación de las resoluciones del Tribunal Constitucional, se sustituirá su identidad por las iniciales correspondientes y se omitirán los demás datos que permitan su identificación (art. 3).</w:t>
      </w:r>
    </w:p>
    <w:p w14:paraId="0734C293" w14:textId="77777777" w:rsidR="009D7677" w:rsidRDefault="009D7677" w:rsidP="009D7677">
      <w:pPr>
        <w:pStyle w:val="TextoNormal"/>
      </w:pPr>
    </w:p>
    <w:p w14:paraId="20DFE318" w14:textId="77777777" w:rsidR="009D7677" w:rsidRDefault="009D7677" w:rsidP="009D7677">
      <w:pPr>
        <w:pStyle w:val="TextoNormal"/>
      </w:pPr>
      <w:r>
        <w:t>Este tribunal ha adoptado en numerosas ocasiones medidas de oficio dirigidas a preservar la identidad de personas que requieren un especial deber de tutela, entendiendo por tales los menores de edad [SSTC 41/2009, de 9 de febrero, FJ 1; 57/2013, de 11 de marzo, FJ 1; 9/2015, de 2 de febrero, FJ 1; 144/2021, de 12 de julio, FJ 1, b), o 187/2023, de 11 de diciembre, FJ 1, entre otras muchas] y las personas con discapacidad [SSTC 141/2012, de 2 de julio; 31/2017, de 27 de febrero, FJ 1; 85/2017, de 3 de julio, FJ 1; 3/2018, de 22 de enero, FJ 1; 84/2018, de 16 de julio; 38/2023, de 20 de abril, FJ 2 a), o 74/2023, de 19 de junio, FJ único]. También ha excluido los datos personales en otros contextos (interrupción voluntaria del embarazo, internamiento involuntario de una mujer embarazada: SSTC 11/2023, de 23 de febrero, FJ 2, y 78/2023, 3 de julio, FJ 2) o, sencillamente, en casos en que la publicidad era inconciliable con la reparación pretendida en el recurso de amparo (derecho al olvido: STC 58/2018, de 4 de junio, FJ 2).</w:t>
      </w:r>
    </w:p>
    <w:p w14:paraId="54969097" w14:textId="77777777" w:rsidR="009D7677" w:rsidRDefault="009D7677" w:rsidP="009D7677">
      <w:pPr>
        <w:pStyle w:val="TextoNormal"/>
      </w:pPr>
    </w:p>
    <w:p w14:paraId="77A8D2B1" w14:textId="77777777" w:rsidR="009D7677" w:rsidRDefault="009D7677" w:rsidP="009D7677">
      <w:pPr>
        <w:pStyle w:val="TextoNormal"/>
      </w:pPr>
      <w:r>
        <w:t>Al hilo de lo solicitado por el actor en este procedimiento, hemos de señalar, en primer lugar, que se trata de una pretensión que no cumple el requisito temporal del art. 2.2 del ya citado acuerdo del Pleno, que establece que “si una parte estimase necesario que en un asunto sometido al conocimiento del Tribunal no se divulgue públicamente su identidad o situación personal, deberá solicitarlo en el momento de formular la demanda o en el de su personación, exponiendo los motivos de su petición”. El escrito iniciador del presente procedimiento constitucional no recoge ninguna solicitud de ocultación del nombre y apellidos del demandante, lo que ha determinado que el Ministerio Fiscal no haya podido analizar su petición en el escrito de alegaciones.</w:t>
      </w:r>
    </w:p>
    <w:p w14:paraId="1A7B1C19" w14:textId="77777777" w:rsidR="009D7677" w:rsidRDefault="009D7677" w:rsidP="009D7677">
      <w:pPr>
        <w:pStyle w:val="TextoNormal"/>
      </w:pPr>
    </w:p>
    <w:p w14:paraId="7F5A5B65" w14:textId="77777777" w:rsidR="009D7677" w:rsidRDefault="009D7677" w:rsidP="009D7677">
      <w:pPr>
        <w:pStyle w:val="TextoNormal"/>
      </w:pPr>
      <w:r>
        <w:t>Tampoco se satisface la exigencia de exteriorizar las razones en las que se funda tal pretensión, pues se limita a afirmar que es preciso anonimizar los datos del actor para pre</w:t>
      </w:r>
      <w:r>
        <w:lastRenderedPageBreak/>
        <w:t>servar su intimidad, sin un desarrollo argumental concreto, lo que nos lleva a inferir que la genuina razón por la que se solicita el oscurecimiento de sus datos de filiación estriba en evitar el desprestigio que conlleva el público conocimiento de su condena por un delito de agresión sexual, lo que lleva implícita la tácita invocación de la supuesta afectación de su derecho al honor (art. 18.1 CE).</w:t>
      </w:r>
    </w:p>
    <w:p w14:paraId="3A7CC563" w14:textId="77777777" w:rsidR="009D7677" w:rsidRDefault="009D7677" w:rsidP="009D7677">
      <w:pPr>
        <w:pStyle w:val="TextoNormal"/>
      </w:pPr>
    </w:p>
    <w:p w14:paraId="48561311" w14:textId="77777777" w:rsidR="009D7677" w:rsidRDefault="009D7677" w:rsidP="009D7677">
      <w:pPr>
        <w:pStyle w:val="TextoNormal"/>
      </w:pPr>
      <w:r>
        <w:t>Entrando en el fondo de lo solicitado, no hay razones para excepcionar la norma constitucional que establece la máxima publicidad de las resoluciones de este tribunal (art. 164.1 CE) en un caso como el presente, en el que se da la circunstancia de que el recurrente en amparo era mayor de edad en el momento en que supuestamente cometió los hechos punibles, y en que fue condenado, absuelto y vuelto a condenar en los sucesivos grados del procedimiento antecedente, teniendo asimismo presente que, conforme dijimos en el ATC 516/2004, de 20 de diciembre, FJ 2, “[p]or lo que respecta a los aducidos motivos de afectación al prestigio y dignidad personal y profesional del recurrente, derivado de que se conociera el hecho de haber sido objeto de procedimiento penal, basta recordar, para confirmar su rechazo, que este tribunal ha reiterado que la imposición, como tal, de penas o sanciones disciplinarias no vulneren el derecho al honor (STC 227/1992, 14 de diciembre, FJ 4) y que el honor no constituye ni puede constituir obstáculo alguno para que, a través de expedientes administrativos o procesos judiciales se pongan en cuestión las conductas sospechosas de haber incurrido en ilicitud (STC 50/1983, de 14 de junio, FJ 3)”.</w:t>
      </w:r>
    </w:p>
    <w:p w14:paraId="3FA44A43" w14:textId="77777777" w:rsidR="009D7677" w:rsidRDefault="009D7677" w:rsidP="009D7677">
      <w:pPr>
        <w:pStyle w:val="TextoNormal"/>
      </w:pPr>
    </w:p>
    <w:p w14:paraId="02FC7700" w14:textId="77777777" w:rsidR="009D7677" w:rsidRDefault="009D7677" w:rsidP="009D7677">
      <w:pPr>
        <w:pStyle w:val="TextoNormal"/>
      </w:pPr>
      <w:r>
        <w:t>Diverso tratamiento merece, en cambio, la víctima del delito, cuyo anonimato debe ser preservado de oficio por este tribunal, partiendo de que el acto de agresión sexual puede ser contado entre los “delitos de cuya difusión se deriven especiales perjuicios”, a los que se refiere el art. 1 del acuerdo de 23 de julio de 2015, en línea con los precedentes en los que este tribunal ha decidido preservar la identidad de las personas que han sufrido este tipo de conductas (SSTC 185/2002, de 14 de octubre; 127/2003, de 30 de junio, o 246/2007, de 10 de diciembre).</w:t>
      </w:r>
    </w:p>
    <w:p w14:paraId="5617D35B" w14:textId="77777777" w:rsidR="009D7677" w:rsidRDefault="009D7677" w:rsidP="009D7677">
      <w:pPr>
        <w:pStyle w:val="TextoNormal"/>
      </w:pPr>
    </w:p>
    <w:p w14:paraId="20C1A9D2" w14:textId="77777777" w:rsidR="009D7677" w:rsidRDefault="009D7677" w:rsidP="009D7677">
      <w:pPr>
        <w:pStyle w:val="TextoNormal"/>
      </w:pPr>
      <w:r>
        <w:t>Procede, en consecuencia, desestimar la solicitud de anonimización deducida por el actor, sin perjuicio de adoptar de oficio la medida de excluir de la presente resolución judicial los datos personales de la mujer que denunció el delito y se personó como acusación particular, que será designada por sus iniciales, con el fin de evitar los perjuicios que previsiblemente se le derivarían de la difusión de determinadas circunstancias y detalles de los hechos enjuiciados, cuya acreditación es objeto de controversia en el presente procedimiento constitucional de amparo, como lo fue objeto en el procedimiento penal antecedente, y cuya reproducción en la presente sentencia no podemos, por tal motivo, soslayar.</w:t>
      </w:r>
    </w:p>
    <w:p w14:paraId="531B1D69" w14:textId="77777777" w:rsidR="009D7677" w:rsidRDefault="009D7677" w:rsidP="009D7677">
      <w:pPr>
        <w:pStyle w:val="TextoNormal"/>
      </w:pPr>
    </w:p>
    <w:p w14:paraId="1C3FC5E2" w14:textId="77777777" w:rsidR="009D7677" w:rsidRDefault="009D7677" w:rsidP="009D7677">
      <w:pPr>
        <w:pStyle w:val="TextoNormal"/>
      </w:pPr>
      <w:r>
        <w:t>También se considera procedente reservar los datos de los testigos que no fueron parte en el proceso.</w:t>
      </w:r>
    </w:p>
    <w:p w14:paraId="239A67FB" w14:textId="77777777" w:rsidR="009D7677" w:rsidRDefault="009D7677" w:rsidP="009D7677">
      <w:pPr>
        <w:pStyle w:val="TextoNormal"/>
      </w:pPr>
    </w:p>
    <w:p w14:paraId="425ED3DD" w14:textId="77777777" w:rsidR="009D7677" w:rsidRDefault="009D7677" w:rsidP="009D7677">
      <w:pPr>
        <w:pStyle w:val="TextoNormal"/>
      </w:pPr>
      <w:r>
        <w:t>b) Ordenación sistemática de los motivos de amparo</w:t>
      </w:r>
    </w:p>
    <w:p w14:paraId="5A33D042" w14:textId="77777777" w:rsidR="009D7677" w:rsidRDefault="009D7677" w:rsidP="009D7677">
      <w:pPr>
        <w:pStyle w:val="TextoNormal"/>
      </w:pPr>
    </w:p>
    <w:p w14:paraId="18566995" w14:textId="77777777" w:rsidR="009D7677" w:rsidRDefault="009D7677" w:rsidP="009D7677">
      <w:pPr>
        <w:pStyle w:val="TextoNormal"/>
      </w:pPr>
      <w:r>
        <w:t>Por razones de claridad expositiva y adecuada ordenación sistemática de los plurales motivos de amparo esgrimidos en el escrito iniciador, es oportuno precisar, con carácter preliminar, el doble eje argumental sobre el que fundan la impugnación de las resoluciones dictadas en casación:</w:t>
      </w:r>
    </w:p>
    <w:p w14:paraId="687BA585" w14:textId="77777777" w:rsidR="009D7677" w:rsidRDefault="009D7677" w:rsidP="009D7677">
      <w:pPr>
        <w:pStyle w:val="TextoNormal"/>
      </w:pPr>
    </w:p>
    <w:p w14:paraId="3F110BB9" w14:textId="77777777" w:rsidR="009D7677" w:rsidRDefault="009D7677" w:rsidP="009D7677">
      <w:pPr>
        <w:pStyle w:val="TextoNormal"/>
      </w:pPr>
      <w:r>
        <w:lastRenderedPageBreak/>
        <w:t>(i) El Tribunal Supremo casa y anula la sentencia de apelación partiendo de una visión hipertrofiada del derecho a la tutela judicial efectiva de las acusaciones, lo que redunda en perjuicio y detrimento de la efectividad del derecho del demandante al doble grado de jurisdicción penal (art. 24.2 CE).</w:t>
      </w:r>
    </w:p>
    <w:p w14:paraId="4DC297A9" w14:textId="77777777" w:rsidR="009D7677" w:rsidRDefault="009D7677" w:rsidP="009D7677">
      <w:pPr>
        <w:pStyle w:val="TextoNormal"/>
      </w:pPr>
    </w:p>
    <w:p w14:paraId="688B10A6" w14:textId="77777777" w:rsidR="009D7677" w:rsidRDefault="009D7677" w:rsidP="009D7677">
      <w:pPr>
        <w:pStyle w:val="TextoNormal"/>
      </w:pPr>
      <w:r>
        <w:t>Se denuncia que la sentencia casacional reprocha a la sentencia de apelación haber incurrido en una extralimitación de sus atribuciones que realmente no se produjo, pues para obtener tal conclusión tergiversa el sentido y la finalidad de unas garantías procesales, como la garantía de inmediación, cuyo objeto es proteger al acusado, no a la acusación, negándole al tribunal de apelación las facultades revisoras de la prueba y limitando de este modo la efectividad del derecho del condenado a la doble instancia penal hasta el punto de hacerlo ilusorio (motivos primero y tercero de la demanda), al tiempo que incurre en un tipo de razonamiento que vulnera su derecho a la tutela judicial efectiva al entrar en contradicción con valores y principios constitucionales (motivos segundo, tercero y cuarto).</w:t>
      </w:r>
    </w:p>
    <w:p w14:paraId="41B01B9F" w14:textId="77777777" w:rsidR="009D7677" w:rsidRDefault="009D7677" w:rsidP="009D7677">
      <w:pPr>
        <w:pStyle w:val="TextoNormal"/>
      </w:pPr>
    </w:p>
    <w:p w14:paraId="2381DA08" w14:textId="77777777" w:rsidR="009D7677" w:rsidRDefault="009D7677" w:rsidP="009D7677">
      <w:pPr>
        <w:pStyle w:val="TextoNormal"/>
      </w:pPr>
      <w:r>
        <w:t>(ii) Seguidamente, el Tribunal Supremo opta por condenar al demandante, en lugar de ordenar la retroacción de actuaciones, desconociendo así los límites que la doctrina constitucional impone a la condena en segunda instancia del previamente absuelto, pues para mutar su absolución en condena verificó una nueva valoración de la prueba, sin contar para ello con la necesaria inmediación, y con vulneración de sus derechos a la presunción de inocencia y a un proceso con todas las garantías (motivo quinto). También se argumenta que al optar por rehabilitar la condena dictada en primera instancia, en lugar de acordar la retroacción de las actuaciones al órgano judicial de segunda instancia para que dictara una nueva resolución motivada del recurso de apelación, dejó sin respuesta los motivos que esgrimió en el mismo, lo que vulneró sus derechos a la tutela judicial efectiva y a la presunción de inocencia (motivos sexto y séptimo).</w:t>
      </w:r>
    </w:p>
    <w:p w14:paraId="66E41A3C" w14:textId="77777777" w:rsidR="009D7677" w:rsidRDefault="009D7677" w:rsidP="009D7677">
      <w:pPr>
        <w:pStyle w:val="TextoNormal"/>
      </w:pPr>
    </w:p>
    <w:p w14:paraId="550AAAEB" w14:textId="31B33947" w:rsidR="009D7677" w:rsidRDefault="009D7677" w:rsidP="009D7677">
      <w:pPr>
        <w:pStyle w:val="TextoNormal"/>
      </w:pPr>
      <w:r>
        <w:t>El primer eje argumental impone una reflexión sobre el modo constitucionalmente correcto de realizar la composición de los derechos e intereses constitucionalmente relevantes de las partes acusadoras y acusadas, cuando confluyen en una segunda instancia penal cuyo objeto es revisar la condena dictada en primera instancia. El segundo eje argumental demanda una adaptación de la doctrina constitucional sobre condena en segunda instancia a la singularidad del presente caso, en que la condena en casación es subsiguiente a una absolución en apelación derivada de la revisión de una condena en primera instancia. Examinaremos ambas cuestiones en los dos fundamentos siguientes.</w:t>
      </w:r>
    </w:p>
    <w:p w14:paraId="4C7888FD" w14:textId="77777777" w:rsidR="009D7677" w:rsidRDefault="009D7677" w:rsidP="009D7677">
      <w:pPr>
        <w:pStyle w:val="TextoNormal"/>
      </w:pPr>
    </w:p>
    <w:p w14:paraId="2A51BBA9" w14:textId="77777777" w:rsidR="009D7677" w:rsidRDefault="009D7677" w:rsidP="009D7677">
      <w:pPr>
        <w:pStyle w:val="TextoNormal"/>
      </w:pPr>
      <w:r w:rsidRPr="009D7677">
        <w:rPr>
          <w:rStyle w:val="NumeroAFNegritaCaracter"/>
        </w:rPr>
        <w:t>4</w:t>
      </w:r>
      <w:r>
        <w:t xml:space="preserve">. </w:t>
      </w:r>
      <w:r w:rsidRPr="009D7677">
        <w:rPr>
          <w:i/>
        </w:rPr>
        <w:t>Criterios constitucionales para la revisión en apelación de una sentencia condenatoria</w:t>
      </w:r>
    </w:p>
    <w:p w14:paraId="37618C8A" w14:textId="77777777" w:rsidR="009D7677" w:rsidRDefault="009D7677" w:rsidP="009D7677">
      <w:pPr>
        <w:pStyle w:val="TextoNormal"/>
      </w:pPr>
    </w:p>
    <w:p w14:paraId="5FE4A8E6" w14:textId="77777777" w:rsidR="009D7677" w:rsidRDefault="009D7677" w:rsidP="009D7677">
      <w:pPr>
        <w:pStyle w:val="TextoNormal"/>
      </w:pPr>
      <w:r>
        <w:t>Para responder al primer eje argumental del recurso de amparo habremos de perfilar y esclarecer el canon de control aplicable a la revisión en segunda instancia de una sentencia condenatoria, con el objeto de determinar si el tribunal que ejerce dicha función revisora ha podido incurrir en un exceso de jurisdicción, lo que nos llevará a analizar de manera comprensiva la regulación legal del recurso de apelación, el estatuto constitucional de las partes procesales, y su diversa proyección sobre el control de las sentencias absolutorias y condenatorias.</w:t>
      </w:r>
    </w:p>
    <w:p w14:paraId="78269837" w14:textId="77777777" w:rsidR="009D7677" w:rsidRDefault="009D7677" w:rsidP="009D7677">
      <w:pPr>
        <w:pStyle w:val="TextoNormal"/>
      </w:pPr>
    </w:p>
    <w:p w14:paraId="567BEFB3" w14:textId="77777777" w:rsidR="009D7677" w:rsidRDefault="009D7677" w:rsidP="009D7677">
      <w:pPr>
        <w:pStyle w:val="TextoNormal"/>
      </w:pPr>
      <w:r>
        <w:t>A) Marco regulador del recurso de apelación</w:t>
      </w:r>
    </w:p>
    <w:p w14:paraId="137F7DB8" w14:textId="77777777" w:rsidR="009D7677" w:rsidRDefault="009D7677" w:rsidP="009D7677">
      <w:pPr>
        <w:pStyle w:val="TextoNormal"/>
      </w:pPr>
    </w:p>
    <w:p w14:paraId="41E96A65" w14:textId="77777777" w:rsidR="009D7677" w:rsidRDefault="009D7677" w:rsidP="009D7677">
      <w:pPr>
        <w:pStyle w:val="TextoNormal"/>
      </w:pPr>
      <w:r>
        <w:t>El modelo vigente de recurso de apelación penal quedó definitivamente configurado en la Ley 41/2015, de 5 de octubre, con los siguientes rasgos:</w:t>
      </w:r>
    </w:p>
    <w:p w14:paraId="44A75FAC" w14:textId="77777777" w:rsidR="009D7677" w:rsidRDefault="009D7677" w:rsidP="009D7677">
      <w:pPr>
        <w:pStyle w:val="TextoNormal"/>
      </w:pPr>
    </w:p>
    <w:p w14:paraId="0C1E9BA7" w14:textId="77777777" w:rsidR="009D7677" w:rsidRDefault="009D7677" w:rsidP="009D7677">
      <w:pPr>
        <w:pStyle w:val="TextoNormal"/>
      </w:pPr>
      <w:r>
        <w:t>a) Se generaliza la doble instancia penal con el declarado propósito de realizar de forma efectiva el derecho reconocido en el art. 14.5 PIDCP a “toda persona declarada culpable de un delito […] a que el fallo condenatorio y la pena que se le haya impuesto sean sometidos a un tribunal superior, conforme a lo prescrito por la ley”; para ello se dotó de contenido procesal a la reforma orgánica judicial operada por la Ley Orgánica 19/2003, de 23 de diciembre, de modificación de la Ley Orgánica del Poder Judicial (LOPJ), que anticipó la incorporación del recurso de apelación como medio impugnatorio ordinario ejercitable frente a las sentencias pronunciadas por las audiencias provinciales y las secciones de la Sala de lo Penal de la Audiencia Nacional tras haber celebrado juicio oral.</w:t>
      </w:r>
    </w:p>
    <w:p w14:paraId="546C1002" w14:textId="77777777" w:rsidR="009D7677" w:rsidRDefault="009D7677" w:rsidP="009D7677">
      <w:pPr>
        <w:pStyle w:val="TextoNormal"/>
      </w:pPr>
    </w:p>
    <w:p w14:paraId="5EE236B4" w14:textId="77777777" w:rsidR="009D7677" w:rsidRDefault="009D7677" w:rsidP="009D7677">
      <w:pPr>
        <w:pStyle w:val="TextoNormal"/>
      </w:pPr>
      <w:r>
        <w:t>b) Se finiquita una situación insatisfactoria en la que la ausencia de apelación se trató de compensar con una mayor flexibilidad en el entendimiento de los motivos del recurso de casación, lo que hasta cierto punto había contribuido a desvirtuar la genuina función del Tribunal Supremo como máximo intérprete de la ley penal, como se reconoce en el apartado IV del preámbulo de la Ley 41/2015. Este contexto fue el que motivó que la doctrina constitucional avalara una interpretación de los motivos de casación en el sentido más favorable a la efectividad del derecho al doble grado de jurisdicción (SSTC 42/1982, de 5 de julio, FJ 3; 76/1982, de 14 de diciembre, FJ 5; 140/1985, de 21 de octubre, FJ 2; 30/1986, de 20 de febrero, FJ 2; 133/2000, de 16 de mayo, FJ 3, y 64/2001, de 17 de marzo, FJ 5, entre otras muchas), para conseguir el reconocimiento de la asimilación funcional entre el recurso de casación y el derecho a la doble instancia penal (STC 70/2002, de 3 de abril, FJ 7, y las citadas en la misma) que permitiera realizar los estándares exigidos por los órganos internacionales de garantía de derechos humanos, singularmente, los de la Comisión de Derechos Humanos de Naciones Unidas en relación con el art. 14.5 PIDCP. La función de revisión de la condena en sede casacional deviene, obviamente, redundante desde el momento en que el penado tiene a su disposición el recurso ordinario de apelación para impetrarla.</w:t>
      </w:r>
    </w:p>
    <w:p w14:paraId="306792EE" w14:textId="77777777" w:rsidR="009D7677" w:rsidRDefault="009D7677" w:rsidP="009D7677">
      <w:pPr>
        <w:pStyle w:val="TextoNormal"/>
      </w:pPr>
    </w:p>
    <w:p w14:paraId="5812332D" w14:textId="77777777" w:rsidR="009D7677" w:rsidRDefault="009D7677" w:rsidP="009D7677">
      <w:pPr>
        <w:pStyle w:val="TextoNormal"/>
      </w:pPr>
      <w:r>
        <w:t xml:space="preserve">c) El recurso de apelación del procedimiento abreviado se convierte, como consecuencia de la remisión que el art. 846 </w:t>
      </w:r>
      <w:r w:rsidRPr="009D7677">
        <w:rPr>
          <w:i/>
        </w:rPr>
        <w:t>ter</w:t>
      </w:r>
      <w:r>
        <w:t xml:space="preserve"> 3 LECrim hace en bloque a los arts. 790 a 792 LECrim, en el modelo o recurso tipo en el procedimiento ordinario y en el abreviado, diferenciándose del procedimiento ante el Tribunal del Jurado, en el que el recurso de apelación presenta ciertas singularidades [art. 846 </w:t>
      </w:r>
      <w:r w:rsidRPr="009D7677">
        <w:rPr>
          <w:i/>
        </w:rPr>
        <w:t>bis</w:t>
      </w:r>
      <w:r>
        <w:t xml:space="preserve"> c) LECrim] que responden a la necesidad de preservar el principio constitucional de participación de los ciudadanos en la administración de justicia a través de dicha institución (art. 125 CE).</w:t>
      </w:r>
    </w:p>
    <w:p w14:paraId="7F5F6754" w14:textId="77777777" w:rsidR="009D7677" w:rsidRDefault="009D7677" w:rsidP="009D7677">
      <w:pPr>
        <w:pStyle w:val="TextoNormal"/>
      </w:pPr>
    </w:p>
    <w:p w14:paraId="69B5389E" w14:textId="77777777" w:rsidR="009D7677" w:rsidRDefault="009D7677" w:rsidP="009D7677">
      <w:pPr>
        <w:pStyle w:val="TextoNormal"/>
      </w:pPr>
      <w:r>
        <w:t xml:space="preserve">d) El recurso de apelación adquiere naturaleza extraordinaria cuando es la acusación quien lo interpone contra una sentencia absolutoria o con el objetivo de agravar la condena, lo que se justifica en el apartado IV del preámbulo de la Ley 41/2015 con estas razones: “Se ha considerado oportuno completar la regulación del recurso de apelación con nuevas previsiones legales relativas al error en la valoración de la prueba como fundamento del recurso y al contenido de la sentencia que el órgano </w:t>
      </w:r>
      <w:r w:rsidRPr="009D7677">
        <w:rPr>
          <w:i/>
        </w:rPr>
        <w:t>ad quem</w:t>
      </w:r>
      <w:r>
        <w:t xml:space="preserve"> podrá dictar en tales circunstancias, cuyo fin último es ajustar la reglamentación de esta materia a la doctrina constitucional y, en particular, a las exigencias que dimanan del principio de inmediación. </w:t>
      </w:r>
      <w:r>
        <w:lastRenderedPageBreak/>
        <w:t xml:space="preserve">En relación con lo primero, cuando la acusación alegue este motivo como base de su recurso ya fuera a fin de anular una sentencia absolutoria, ya para agravar las condiciones fijadas en una condenatoria, deberá justificar la insuficiencia o falta de racionalidad de la misma o su apartamiento manifiesto de las máximas de experiencia o la omisión de todo razonamiento sobre alguna de las pruebas practicadas, siempre que fueran relevantes, o cuya nulidad hubiera sido improcedentemente declarada. En esta tesitura, el tribunal de apelación verá limitadas sus facultades a declarar la nulidad de la sentencia cuando fuera procedente, fijando el alcance de esa declaración, esto es, si afecta exclusivamente a la resolución del órgano </w:t>
      </w:r>
      <w:r w:rsidRPr="009D7677">
        <w:rPr>
          <w:i/>
        </w:rPr>
        <w:t>a quo</w:t>
      </w:r>
      <w:r>
        <w:t xml:space="preserve"> o si ha de extenderse al juicio oral y, en este último caso, si debe darse una nueva composición a ese órgano al objeto de garantizar su imparcialidad”.</w:t>
      </w:r>
    </w:p>
    <w:p w14:paraId="76872780" w14:textId="77777777" w:rsidR="009D7677" w:rsidRDefault="009D7677" w:rsidP="009D7677">
      <w:pPr>
        <w:pStyle w:val="TextoNormal"/>
      </w:pPr>
    </w:p>
    <w:p w14:paraId="35F3DBD5" w14:textId="77777777" w:rsidR="009D7677" w:rsidRDefault="009D7677" w:rsidP="009D7677">
      <w:pPr>
        <w:pStyle w:val="TextoNormal"/>
      </w:pPr>
      <w:r>
        <w:t>Esta concepción se plasma en el art. 790.2, párrafo tercero LECrim, que dice: “Cuando la acusación alegue error en la valoración de la prueba para pedir la anulación de la sentencia absolutoria o el agravamiento de la condenatoria, será preciso que se justifique la insuficiencia o la falta de racionalidad en la motivación fáctica, el apartamiento manifiesto de las máximas de experiencia o la omisión de todo razonamiento sobre alguna o algunas de las pruebas practicadas que pudieran tener relevancia o cuya nulidad haya sido improcedentemente declarada”.</w:t>
      </w:r>
    </w:p>
    <w:p w14:paraId="6838AB79" w14:textId="77777777" w:rsidR="009D7677" w:rsidRDefault="009D7677" w:rsidP="009D7677">
      <w:pPr>
        <w:pStyle w:val="TextoNormal"/>
      </w:pPr>
    </w:p>
    <w:p w14:paraId="2A86C47B" w14:textId="77777777" w:rsidR="009D7677" w:rsidRDefault="009D7677" w:rsidP="009D7677">
      <w:pPr>
        <w:pStyle w:val="TextoNormal"/>
      </w:pPr>
      <w:r>
        <w:t>Igualmente en el art. 792.2 LECrim que dice: “La sentencia de apelación no podrá condenar al encausado que resultó absuelto en primera instancia ni agravar la sentencia condenatoria que le hubiera sido impuesta por error en la apreciación de las pruebas en los términos previstos en el tercer párrafo del artículo 790.2”.</w:t>
      </w:r>
    </w:p>
    <w:p w14:paraId="36592D62" w14:textId="77777777" w:rsidR="009D7677" w:rsidRDefault="009D7677" w:rsidP="009D7677">
      <w:pPr>
        <w:pStyle w:val="TextoNormal"/>
      </w:pPr>
    </w:p>
    <w:p w14:paraId="2295059E" w14:textId="77777777" w:rsidR="009D7677" w:rsidRDefault="009D7677" w:rsidP="009D7677">
      <w:pPr>
        <w:pStyle w:val="TextoNormal"/>
      </w:pPr>
      <w:r>
        <w:t>Los motivos de revisión en apelación de la sentencia absolutoria establecidos en el art. 790.2, párrafo tercero LECrim se focalizan en “la insuficiencia o la falta de racionalidad en la motivación fáctica, el apartamiento manifiesto de las máximas de experiencia o la omisión de todo razonamiento sobre alguna o algunas de las pruebas practicadas que pudieran tener relevancia o cuya nulidad haya sido improcedentemente declarada”, lo que reduce su efecto devolutivo a la depuración de déficits del razonamiento judicial constitutivos de flagrantes vulneraciones del derecho fundamental de la acusación a la tutela judicial efectiva (art. 24.1 CE).</w:t>
      </w:r>
    </w:p>
    <w:p w14:paraId="44379178" w14:textId="77777777" w:rsidR="009D7677" w:rsidRDefault="009D7677" w:rsidP="009D7677">
      <w:pPr>
        <w:pStyle w:val="TextoNormal"/>
      </w:pPr>
    </w:p>
    <w:p w14:paraId="1D14F6A1" w14:textId="77777777" w:rsidR="009D7677" w:rsidRDefault="009D7677" w:rsidP="009D7677">
      <w:pPr>
        <w:pStyle w:val="TextoNormal"/>
      </w:pPr>
      <w:r>
        <w:t>En este sentido, la reciente STC 72/2024, de 7 de mayo, FJ 4 e), ha especificado que el canon de control de una sentencia absolutoria queda constitucionalmente limitado “a un control de razonabilidad cuyo objeto puede extenderse: (i) a la motivación o justificación de la conclusión probatoria; cuando resulte ausente, insuficiente o apoyada en un error de hecho patente que derive de las actuaciones; (ii) a la utilización de reglas de inferencia fáctica contrarias a la lógica, el conocimiento científico o las máximas de experiencia; (iii) a la omisión de razonamiento sobre pruebas practicadas que sean relevantes para el fallo; o finalmente (iv) a la previa decisión de excluirlas del acervo probatorio por considerarlas inválidas (contrarias a los principios de igualdad de armas y contradicción) o ilegítimas (por haberse declarado que fueron obtenidas como consecuencia de la vulneración directa o indirecta de derechos fundamentales sustantivos)”.</w:t>
      </w:r>
    </w:p>
    <w:p w14:paraId="4A72E5D2" w14:textId="77777777" w:rsidR="009D7677" w:rsidRDefault="009D7677" w:rsidP="009D7677">
      <w:pPr>
        <w:pStyle w:val="TextoNormal"/>
      </w:pPr>
    </w:p>
    <w:p w14:paraId="7AF766E5" w14:textId="77777777" w:rsidR="009D7677" w:rsidRDefault="009D7677" w:rsidP="009D7677">
      <w:pPr>
        <w:pStyle w:val="TextoNormal"/>
      </w:pPr>
      <w:r>
        <w:t xml:space="preserve">El recurso de apelación contra una sentencia condenatoria, por el contrario, aparece exento de restricciones normativas, gozando de un efecto devolutivo pleno que la propia </w:t>
      </w:r>
      <w:r>
        <w:lastRenderedPageBreak/>
        <w:t>jurisprudencia de la Sala Segunda del Tribunal Supremo, en concordancia con la doctrina de este tribunal, ha reconocido.</w:t>
      </w:r>
    </w:p>
    <w:p w14:paraId="4D837B93" w14:textId="77777777" w:rsidR="009D7677" w:rsidRDefault="009D7677" w:rsidP="009D7677">
      <w:pPr>
        <w:pStyle w:val="TextoNormal"/>
      </w:pPr>
    </w:p>
    <w:p w14:paraId="58DCCE01" w14:textId="77777777" w:rsidR="009D7677" w:rsidRDefault="009D7677" w:rsidP="009D7677">
      <w:pPr>
        <w:pStyle w:val="TextoNormal"/>
      </w:pPr>
      <w:r>
        <w:t>En efecto, la STS 136/2022, de 17 de febrero (Roj: STS 680/2022 - ECLI:ES:TS:2022:680) considera que desde la reforma procesal del año 2015, que ha generalizado la segunda instancia penal, se ha hecho necesario, para dotar de coherencia sistemática y funcional al sistema de recursos en el proceso penal, delimitar los respectivos contornos devolutivos del recurso de apelación y, por su influjo, del recurso de casación, señalando que el contenido devolutivo del recurso de apelación varía esencialmente en atención al tipo de sentencia, absolutoria o condenatoria, contra la que se interpone, “[h]asta el punto de poder afirmarse, sin riesgo a equívoco, que coexisten dos submodelos de apelación con más diferencias que elementos comunes”.</w:t>
      </w:r>
    </w:p>
    <w:p w14:paraId="581EDC1D" w14:textId="77777777" w:rsidR="009D7677" w:rsidRDefault="009D7677" w:rsidP="009D7677">
      <w:pPr>
        <w:pStyle w:val="TextoNormal"/>
      </w:pPr>
    </w:p>
    <w:p w14:paraId="4D02B099" w14:textId="77777777" w:rsidR="009D7677" w:rsidRDefault="009D7677" w:rsidP="009D7677">
      <w:pPr>
        <w:pStyle w:val="TextoNormal"/>
      </w:pPr>
      <w:r>
        <w:t>Si lo que se recurre en apelación es una sentencia absolutoria el control “se desplaza del juicio de adecuación de la valoración probatoria al juicio de validez del razonamiento probatorio empleado por el tribunal de instancia. Lo que se traduce en un notable estrechamiento del espacio de intervención del tribunal de segunda instancia. Este solo puede declarar la nulidad de la sentencia por falta de validez de las razones probatorias ofrecidas por el tribunal de instancia en dos supuestos: uno, si no se ha valorado de manera completa toda la información probatoria significativa producida en el plenario, privando, por ello, de la consistencia interna exigible a la decisión adoptada. Y, el otro, cuando los estándares utilizados para la valoración de la información probatoria sean irracionales”. De ahí que el control de racionalidad de las decisiones absolutorias por parte de los tribunales superiores deba hacerse “no desde posiciones subrogadas, de sustitución de un discurso racional por otro que se estima más convincente o más adecuado, sino mediante la aplicación de un estándar autorrestrictivo o de racionalidad sustancial mínima”.</w:t>
      </w:r>
    </w:p>
    <w:p w14:paraId="0811AEAA" w14:textId="77777777" w:rsidR="009D7677" w:rsidRDefault="009D7677" w:rsidP="009D7677">
      <w:pPr>
        <w:pStyle w:val="TextoNormal"/>
      </w:pPr>
    </w:p>
    <w:p w14:paraId="481FF553" w14:textId="77777777" w:rsidR="009D7677" w:rsidRDefault="009D7677" w:rsidP="009D7677">
      <w:pPr>
        <w:pStyle w:val="TextoNormal"/>
      </w:pPr>
      <w:r>
        <w:t xml:space="preserve">En cambio, cuando la apelación se interpone contra una sentencia de condena, el tribunal </w:t>
      </w:r>
      <w:r w:rsidRPr="009D7677">
        <w:rPr>
          <w:i/>
        </w:rPr>
        <w:t>ad quem</w:t>
      </w:r>
      <w:r>
        <w:t xml:space="preserve"> dispone de plenas facultades revisoras porque en ese caso “[e]l efecto devolutivo transfiere también la potestad de revisar no solo el razonamiento probatorio sobre el que el tribunal de instancia funda la declaración de condena, como sostiene el apelante, sino también la de valorar todas las informaciones probatorias resultantes del juicio plenario celebrado en la instancia, determinando su suficiencia, o no, para enervar la presunción de inocencia”. La apelación plenamente devolutiva “es garantía no solo del derecho al recurso sino también de la protección eficaz de la presunción de inocencia de la persona condenada. Esta tiene derecho a que un tribunal superior revise las bases fácticas y normativas de la condena sufrida en la instancia” (FFJJ 4 a 6). Estos criterios se reiteran en las SSTS 570/2022, de 8 de junio, y 514/2023, de 28 de junio.</w:t>
      </w:r>
    </w:p>
    <w:p w14:paraId="38CEDCD5" w14:textId="77777777" w:rsidR="009D7677" w:rsidRDefault="009D7677" w:rsidP="009D7677">
      <w:pPr>
        <w:pStyle w:val="TextoNormal"/>
      </w:pPr>
    </w:p>
    <w:p w14:paraId="2B8EFF70" w14:textId="77777777" w:rsidR="009D7677" w:rsidRDefault="009D7677" w:rsidP="009D7677">
      <w:pPr>
        <w:pStyle w:val="TextoNormal"/>
      </w:pPr>
      <w:r>
        <w:t>Esta distinción obedece al diferente estatuto constitucional que tienen en el proceso penal acusación y acusado.</w:t>
      </w:r>
    </w:p>
    <w:p w14:paraId="5D556D6F" w14:textId="77777777" w:rsidR="009D7677" w:rsidRDefault="009D7677" w:rsidP="009D7677">
      <w:pPr>
        <w:pStyle w:val="TextoNormal"/>
      </w:pPr>
    </w:p>
    <w:p w14:paraId="0557746C" w14:textId="77777777" w:rsidR="009D7677" w:rsidRDefault="009D7677" w:rsidP="009D7677">
      <w:pPr>
        <w:pStyle w:val="TextoNormal"/>
      </w:pPr>
      <w:r>
        <w:t>B) Incidencia del diferente estatuto constitucional de las partes en la revisión en apelación de las sentencias condenatorias y absolutorias</w:t>
      </w:r>
    </w:p>
    <w:p w14:paraId="09A90683" w14:textId="77777777" w:rsidR="009D7677" w:rsidRDefault="009D7677" w:rsidP="009D7677">
      <w:pPr>
        <w:pStyle w:val="TextoNormal"/>
      </w:pPr>
    </w:p>
    <w:p w14:paraId="01E89745" w14:textId="77777777" w:rsidR="009D7677" w:rsidRDefault="009D7677" w:rsidP="009D7677">
      <w:pPr>
        <w:pStyle w:val="TextoNormal"/>
      </w:pPr>
      <w:r>
        <w:t>En la STC 72/2024, de 7 de mayo, FJ 4 c), se ha recordado el diferente fundamento impugnatorio de las sentencias, según sean condenatorias o absolutorias, destacando que “el derecho a la revisión del fallo condenatorio y la pena impuesta mantiene un sólido funda</w:t>
      </w:r>
      <w:r>
        <w:lastRenderedPageBreak/>
        <w:t xml:space="preserve">mento constitucional en la idea de proceso justo”, a diferencia de lo que ocurre con el fiscal que ejerce la acusación pública y las acusaciones particulares y populares, que no son titulares del derecho al doble grado de jurisdicción, sino del derecho de acceso al recurso “con el alcance y por los motivos que derivan del modelo de revisión determinado legalmente”, lo que “no es un derecho incondicionado que faculte la impugnación de cualquier decisión judicial por cualquier motivo”, siendo la posibilidad de recurso para la revisión de un fallo absolutorio la “consecuencia lógica del sometimiento del </w:t>
      </w:r>
      <w:r w:rsidRPr="009D7677">
        <w:rPr>
          <w:i/>
        </w:rPr>
        <w:t>ius puniendi</w:t>
      </w:r>
      <w:r>
        <w:t xml:space="preserve"> a reglas procesales y sustantivas” por lo que “una vez establecido legalmente el recurso que permite la revisión en segundo o posterior grado de una sentencia absolutoria (sea en apelación o casación), su régimen, en cuanto a su admisión y resolución se rige por el derecho a la tutela judicial efectiva garantizado en el art. 24.1 CE: es un derecho de configuración legal que, cuando se ejercita, exige también como respuesta una resolución fundada en Derecho sobre la pretensión impugnatoria ejercitada”.</w:t>
      </w:r>
    </w:p>
    <w:p w14:paraId="3BE55064" w14:textId="77777777" w:rsidR="009D7677" w:rsidRDefault="009D7677" w:rsidP="009D7677">
      <w:pPr>
        <w:pStyle w:val="TextoNormal"/>
      </w:pPr>
    </w:p>
    <w:p w14:paraId="50F4903C" w14:textId="77777777" w:rsidR="009D7677" w:rsidRDefault="009D7677" w:rsidP="009D7677">
      <w:pPr>
        <w:pStyle w:val="TextoNormal"/>
      </w:pPr>
      <w:r>
        <w:t xml:space="preserve">En efecto, se ha de recordar que el recurso de apelación, cuando se interpone por el penado para impugnar su condena, es la vía específicamente habilitada por el legislador para asegurar la efectividad de una garantía esencial reconocida al condenado en textos internacionales sobre derechos humanos, en particular en los art. 14.5 PIDCP y art. 2 del Protocolo núm. 7 al Convenio europeo de derechos humanos (CEDH) “que por su valor hermenéutico, </w:t>
      </w:r>
      <w:r w:rsidRPr="009D7677">
        <w:rPr>
          <w:i/>
        </w:rPr>
        <w:t>ex</w:t>
      </w:r>
      <w:r>
        <w:t xml:space="preserve"> art. 10.2 CE, han permitido incorporar su contenido al elenco de garantías del proceso justo del art. 24.2 CE (por todas, SSTC 42/1982, de 5 de julio, FJ 3; 76/1982, de 14 de diciembre, FJ 5; 70/2002, de 3 de abril, FJ 7, y 116/2006, de 24 de abril, FJ 5)”, en cuya virtud “el tribunal superior debe controlar la corrección del juicio realizado en primera instancia, revisando la correcta aplicación de las reglas que han permitido la declaración de culpabilidad y la imposición de la pena en el caso concreto (SSTC 70/2002, de 3 de abril, FJ 7; 105/2003, de 2 de junio, FJ 2, y 136/2006, de 8 de mayo, FJ 3, entre otras)” y que equivale “a la exigencia de un doble grado de jurisdicción, que conlleva un doble examen del objeto litigioso, que, en la configuración actual de nuestro ordenamiento procesal, supone la apertura de una nueva fase en el proceso, a través de un recurso ordinario como es el recurso de apelación, que resuelve nuevamente sobre los mismos materiales de la primera instancia, o sobre los nuevos materiales que se aporten por medio de las pruebas que se soliciten en el propio recurso de apelación, en los casos permitidos por la norma (art. 791.3 LECrim)” [STC 43/2023, de 8 de mayo, FJ 3 B) a)].</w:t>
      </w:r>
    </w:p>
    <w:p w14:paraId="3E9E2686" w14:textId="77777777" w:rsidR="009D7677" w:rsidRDefault="009D7677" w:rsidP="009D7677">
      <w:pPr>
        <w:pStyle w:val="TextoNormal"/>
      </w:pPr>
    </w:p>
    <w:p w14:paraId="26643BA1" w14:textId="77777777" w:rsidR="009D7677" w:rsidRDefault="009D7677" w:rsidP="009D7677">
      <w:pPr>
        <w:pStyle w:val="TextoNormal"/>
      </w:pPr>
      <w:r>
        <w:t xml:space="preserve">El canon de valoración requerido para comprobar si ha existido vulneración de esta garantía “no se ciñe al que deviene aplicable para el derecho al recurso, sino que incluye también la utilización del principio </w:t>
      </w:r>
      <w:r w:rsidRPr="009D7677">
        <w:rPr>
          <w:i/>
        </w:rPr>
        <w:t>pro actione</w:t>
      </w:r>
      <w:r>
        <w:t xml:space="preserve">, propio del derecho de acceso a la jurisdicción, como recuerda la STC 3/2021, de 25 de enero, FJ 3 b): ‘Este derecho, en tanto que garantía constitucionalizada, tiene en el ámbito sancionador y respecto de sentencias condenatorias un diferente alcance que el derecho al recurso en otros órdenes jurisdiccionales no sancionatorios, siendo más cercano al derecho de acceso a la jurisdicción en la medida en que incluye también la utilización del principio </w:t>
      </w:r>
      <w:r w:rsidRPr="009D7677">
        <w:rPr>
          <w:i/>
        </w:rPr>
        <w:t>pro actione</w:t>
      </w:r>
      <w:r>
        <w:t xml:space="preserve">. De ese modo, también en este ámbito quedan constitucionalmente proscritas aquellas decisiones judiciales impeditivas de una efectiva revisión de una declaración de culpabilidad que por su rigorismo, por su formalismo excesivo o por cualquier otra razón revelen una clara desproporción entre los fines que se intentan preservar y los intereses que se sacrifican o que supongan interpretaciones o aplicaciones de las reglas disciplinadoras de los requisitos y formas de las secuencias procesales en sentidos que, aunque puedan aparecer acomodados al tenor literal </w:t>
      </w:r>
      <w:r>
        <w:lastRenderedPageBreak/>
        <w:t>del texto en que se encierra la norma, son contrarios al espíritu y a la finalidad de esta’”</w:t>
      </w:r>
      <w:r w:rsidRPr="009D7677">
        <w:rPr>
          <w:i/>
        </w:rPr>
        <w:t xml:space="preserve"> (ibid</w:t>
      </w:r>
      <w:r>
        <w:t>em).</w:t>
      </w:r>
    </w:p>
    <w:p w14:paraId="1A143929" w14:textId="77777777" w:rsidR="009D7677" w:rsidRDefault="009D7677" w:rsidP="009D7677">
      <w:pPr>
        <w:pStyle w:val="TextoNormal"/>
      </w:pPr>
    </w:p>
    <w:p w14:paraId="4DC9E299" w14:textId="77777777" w:rsidR="009D7677" w:rsidRDefault="009D7677" w:rsidP="009D7677">
      <w:pPr>
        <w:pStyle w:val="TextoNormal"/>
      </w:pPr>
      <w:r>
        <w:t>Se da además la circunstancia de que la sentencia de casación que se impugna en el presente recurso de amparo utiliza como argumento decisorio que el Tribunal Superior de Justicia infringió el principio de inmediación porque alteró el relato fáctico de la sentencia de la Audiencia Provincial sin haber tenido contacto inmediato con las pruebas de naturaleza personal, lo que nos obliga a discernir el sentido y alcance que cabe otorgar a dicho principio conforme a nuestros precedentes.</w:t>
      </w:r>
    </w:p>
    <w:p w14:paraId="05980BAD" w14:textId="77777777" w:rsidR="009D7677" w:rsidRDefault="009D7677" w:rsidP="009D7677">
      <w:pPr>
        <w:pStyle w:val="TextoNormal"/>
      </w:pPr>
    </w:p>
    <w:p w14:paraId="018EA4BC" w14:textId="77777777" w:rsidR="009D7677" w:rsidRDefault="009D7677" w:rsidP="009D7677">
      <w:pPr>
        <w:pStyle w:val="TextoNormal"/>
      </w:pPr>
      <w:r>
        <w:t xml:space="preserve">Este tribunal no ha vedado al tribunal de segunda instancia que valore la prueba cuando es llamado a revisar sentencias condenatorias, pues ello conlleva que el juzgador </w:t>
      </w:r>
      <w:r w:rsidRPr="009D7677">
        <w:rPr>
          <w:i/>
        </w:rPr>
        <w:t>ad quem</w:t>
      </w:r>
      <w:r>
        <w:t xml:space="preserve"> asuma la plena jurisdicción sobre el caso, en idéntica situación que el juez </w:t>
      </w:r>
      <w:r w:rsidRPr="009D7677">
        <w:rPr>
          <w:i/>
        </w:rPr>
        <w:t>a quo</w:t>
      </w:r>
      <w:r>
        <w:t xml:space="preserve">, no solo por lo que respecta a la subsunción de los hechos en la norma, sino también para la determinación de tales hechos a través de la valoración de la prueba, pudiendo revisar y corregir la ponderación llevada a cabo por el juez </w:t>
      </w:r>
      <w:r w:rsidRPr="009D7677">
        <w:rPr>
          <w:i/>
        </w:rPr>
        <w:t>a quo</w:t>
      </w:r>
      <w:r>
        <w:t xml:space="preserve">. El hecho de que el tribunal </w:t>
      </w:r>
      <w:r w:rsidRPr="009D7677">
        <w:rPr>
          <w:i/>
        </w:rPr>
        <w:t>ad quem</w:t>
      </w:r>
      <w:r>
        <w:t xml:space="preserve"> deba respetar las garantías constitucionales establecidas en el art. 24.2 CE no puede argüirse para coartar el derecho a la revisión del fallo condenatorio y la pena por un tribunal superior, pues negarse a ello “como ocurrió sobre la base de una errónea apreciación de la doctrina de nuestra STC 167/2002”, no solo representa un déficit de motivación e incongruencia con las pretensiones deducidas en el recurso, sino además, como consecuencia, la vulneración del derecho a un proceso con todas las garantías (art. 24.2 CE) por privarse al recurrente de su derecho a la revisión de la sentencia condenatoria (STC 184/2013, de 4 de noviembre, FJ 7).</w:t>
      </w:r>
    </w:p>
    <w:p w14:paraId="6E78215E" w14:textId="77777777" w:rsidR="009D7677" w:rsidRDefault="009D7677" w:rsidP="009D7677">
      <w:pPr>
        <w:pStyle w:val="TextoNormal"/>
      </w:pPr>
    </w:p>
    <w:p w14:paraId="3CBB2BDE" w14:textId="77777777" w:rsidR="009D7677" w:rsidRDefault="009D7677" w:rsidP="009D7677">
      <w:pPr>
        <w:pStyle w:val="TextoNormal"/>
      </w:pPr>
      <w:r>
        <w:t xml:space="preserve">En nuestra doctrina hemos insistido en que el imputado y acusado gozan de unas garantías constitucionales, procesales y sustantivas, diferentes y mayores que las de otros participantes en el proceso, asimetría plenamente justificada por la trascendencia de sus intereses en juego, pues al proceso penal se acude postulando la actuación del poder del Estado en su forma más extrema —la pena criminal— que implica una profunda injerencia en la libertad del imputado y en el núcleo más sagrado de sus derechos fundamentales y que encuentra plasmación, entre otros, en el derecho a la revisión de la condena, por lo que la obligación de que el debate procesal se desarrolle en condiciones de igualdad, y de que se asegure tanto al acusador como al acusado plena capacidad de alegación y prueba, no comporta que sean iguales en garantías, pues ni son iguales los intereses que arriesgan en el proceso penal ni el mismo es prioritariamente un mecanismo de solución de un conflicto entre ambos, sino un mecanismo para la administración del </w:t>
      </w:r>
      <w:r w:rsidRPr="009D7677">
        <w:rPr>
          <w:i/>
        </w:rPr>
        <w:t>ius puniendi</w:t>
      </w:r>
      <w:r>
        <w:t xml:space="preserve"> del Estado, en el que el ejercicio de la potestad punitiva constituye el objeto mismo del proceso. (STC 141/2006, de 8 de mayo, FJ 3; asimismo, SSTC 41/1997, de 10 de marzo, FJ 5; 88/2003, de 19 de mayo, FJ 7; 285/2005, de 7 de noviembre, FJ 4).</w:t>
      </w:r>
    </w:p>
    <w:p w14:paraId="4364B479" w14:textId="77777777" w:rsidR="009D7677" w:rsidRDefault="009D7677" w:rsidP="009D7677">
      <w:pPr>
        <w:pStyle w:val="TextoNormal"/>
      </w:pPr>
    </w:p>
    <w:p w14:paraId="52BD0BE9" w14:textId="77777777" w:rsidR="009D7677" w:rsidRDefault="009D7677" w:rsidP="009D7677">
      <w:pPr>
        <w:pStyle w:val="TextoNormal"/>
      </w:pPr>
      <w:r>
        <w:t xml:space="preserve">Este tribunal entiende que el derecho a la presunción de inocencia constituye uno de los principios cardinales del derecho penal contemporáneo, en sus facetas sustantiva y formal, que sirve de base a todo el procedimiento criminal y condiciona su estructura, por cuanto beneficia únicamente al acusado y le otorga toda una serie de garantías específicas en cada estadio de desarrollo del proceso, lo que conduce a que “al igual que no existe ‘un principio de legalidad invertido’, que otorgue al acusador un derecho a la condena penal cuando concurran sus presupuestos legales (STC 41/1997, de 10 de marzo, FJ 4), tampoco existe </w:t>
      </w:r>
      <w:r>
        <w:lastRenderedPageBreak/>
        <w:t>una especie de ‘derecho a la presunción de inocencia invertido’, de titularidad del acusador, que exija la constatación de una conducta delictiva cuando la misma sea la consecuencia más razonable de las pruebas practicadas”. El derecho a la condena penal no forma parte del contenido de derecho fundamental alguno, pues la potestad punitiva nace de la ley, no de la Constitución, y esta no consagra un “principio de legalidad invertido”, esto es, un derecho fundamental de la víctima a obtener la condena penal de otro, aunque haya vulnerado sus derechos fundamentales, pues estos son derechos de libertad, e introducir la pretensión punitiva supondría alterar radicalmente su sentido (STC 41/1997, de 10 de marzo, FFJJ 4 y 5, y ATC 365/2008, de 17 de noviembre, FJ 3; en el mismo sentido, SSTC 218/1997, de 4 de diciembre, FJ 2; 16/2001, de 29 de enero, FJ 4; 81/2002, de 22 de abril, FJ 2; 21/2005, de 1 de febrero, FJ 4, y 176/2006, de 5 de junio, FJ 2).</w:t>
      </w:r>
    </w:p>
    <w:p w14:paraId="52B61455" w14:textId="77777777" w:rsidR="009D7677" w:rsidRDefault="009D7677" w:rsidP="009D7677">
      <w:pPr>
        <w:pStyle w:val="TextoNormal"/>
      </w:pPr>
    </w:p>
    <w:p w14:paraId="016510C9" w14:textId="77777777" w:rsidR="009D7677" w:rsidRDefault="009D7677" w:rsidP="009D7677">
      <w:pPr>
        <w:pStyle w:val="TextoNormal"/>
      </w:pPr>
      <w:r>
        <w:t xml:space="preserve">En lo que se refiere a las garantías de inmediación y contradicción, constituyen, junto con la audiencia personal del acusado, como elementos de su particular protección constitucional, principios esenciales de una correcta valoración de la prueba, vinculadas a su derecho de defensa y la presunción de inocencia, vigentes igualmente en la segunda instancia, que, sin embargo, no pueden ser invocadas por la parte acusadora para solicitar la celebración de vista ante el órgano </w:t>
      </w:r>
      <w:r w:rsidRPr="009D7677">
        <w:rPr>
          <w:i/>
        </w:rPr>
        <w:t>ad quem</w:t>
      </w:r>
      <w:r>
        <w:t>, o para con posterioridad denunciar su denegación (SSTC 141/2006, de 8 de mayo, FJ 3; 48/2008, de 11 de marzo, FJ 4; 141/2006, de 8 de mayo, FJ 3; 201/2012, de 12 de noviembre, FJ 4, y ATC 467/2006, de 20 de diciembre, FJ 3).</w:t>
      </w:r>
    </w:p>
    <w:p w14:paraId="79EF94B6" w14:textId="77777777" w:rsidR="009D7677" w:rsidRDefault="009D7677" w:rsidP="009D7677">
      <w:pPr>
        <w:pStyle w:val="TextoNormal"/>
      </w:pPr>
    </w:p>
    <w:p w14:paraId="68BE3C47" w14:textId="77777777" w:rsidR="009D7677" w:rsidRDefault="009D7677" w:rsidP="009D7677">
      <w:pPr>
        <w:pStyle w:val="TextoNormal"/>
      </w:pPr>
      <w:r>
        <w:t xml:space="preserve">En definitiva, el principio de inmediación asegura que el tribunal de enjuiciamiento pronuncie su decisión tras haber mantenido un contacto directo con el material probatorio, exigencia inherente al juicio justo (art. 24.2 CE) que no garantiza, sin embargo, la corrección y razonabilidad del juicio fáctico que realice, ni mucho menos el acierto epistémico y la inamovilidad del resultado que alcance. Resulta además incongruente, en términos constitucionales, que se atribuya al principio de inmediación, que es una garantía instrumental del derecho de defensa del acusado y, por ende, de su derecho a la presunción de inocencia, un efecto limitador del doble examen de la causa, contenido indisponible del derecho fundamental a un proceso con todas las garantías reconocido a todo condenado en el art. 24.2 CE, en conexión con el art. 14.5 PIDCP, y de la propia jurisdicción del tribunal </w:t>
      </w:r>
      <w:r w:rsidRPr="009D7677">
        <w:rPr>
          <w:i/>
        </w:rPr>
        <w:t>ad quem</w:t>
      </w:r>
      <w:r>
        <w:t xml:space="preserve"> (art. 117.3 CE) llamado a realizarlo en el seno de un recurso de apelación caracterizado en la ley por su pleno efecto devolutivo.</w:t>
      </w:r>
    </w:p>
    <w:p w14:paraId="64D02768" w14:textId="77777777" w:rsidR="009D7677" w:rsidRDefault="009D7677" w:rsidP="009D7677">
      <w:pPr>
        <w:pStyle w:val="TextoNormal"/>
      </w:pPr>
    </w:p>
    <w:p w14:paraId="48EB760E" w14:textId="77777777" w:rsidR="009D7677" w:rsidRDefault="009D7677" w:rsidP="009D7677">
      <w:pPr>
        <w:pStyle w:val="TextoNormal"/>
      </w:pPr>
      <w:r>
        <w:t>C) Canon de revisión en apelación de la sentencia condenatoria</w:t>
      </w:r>
    </w:p>
    <w:p w14:paraId="4757337A" w14:textId="77777777" w:rsidR="009D7677" w:rsidRDefault="009D7677" w:rsidP="009D7677">
      <w:pPr>
        <w:pStyle w:val="TextoNormal"/>
      </w:pPr>
    </w:p>
    <w:p w14:paraId="117A42CD" w14:textId="77777777" w:rsidR="009D7677" w:rsidRDefault="009D7677" w:rsidP="009D7677">
      <w:pPr>
        <w:pStyle w:val="TextoNormal"/>
      </w:pPr>
      <w:r>
        <w:t>La asimetría de la posición constitucional de acusador y acusado, cuyo desequilibrio en favor de este halla justificación, como ya hemos señalado, en la trascendencia de los intereses personales que arriesga, y la inexistencia de un principio de legalidad invertido, imponen a la resolución judicial que declara enervado el principio de presunción de inocencia un rigor motivacional que trasciende la necesidad de una “respuesta razonable y fundada en Derecho” susceptible de satisfacer las exigencias del derecho a la tutela judicial efectiva de las acusaciones (STC 120/2000, de 10 de mayo, FJ 4). El canon de motivación que deriva de la primacía del principio de presunción de inocencia en la ordenación general del proceso penal se traduce en la doctrina constitucional en el doble parámetro de motivación y suficiencia de la prueba.</w:t>
      </w:r>
    </w:p>
    <w:p w14:paraId="28A48984" w14:textId="77777777" w:rsidR="009D7677" w:rsidRDefault="009D7677" w:rsidP="009D7677">
      <w:pPr>
        <w:pStyle w:val="TextoNormal"/>
      </w:pPr>
    </w:p>
    <w:p w14:paraId="2539DEDB" w14:textId="77777777" w:rsidR="009D7677" w:rsidRDefault="009D7677" w:rsidP="009D7677">
      <w:pPr>
        <w:pStyle w:val="TextoNormal"/>
      </w:pPr>
      <w:r>
        <w:lastRenderedPageBreak/>
        <w:t xml:space="preserve">La motivación de las sentencias penales es siempre exigible </w:t>
      </w:r>
      <w:r w:rsidRPr="009D7677">
        <w:rPr>
          <w:i/>
        </w:rPr>
        <w:t>ex</w:t>
      </w:r>
      <w:r>
        <w:t xml:space="preserve"> art. 120.3 CE, esto es, con independencia de su signo, condenatorio o absolutorio. En las sentencias condenatorias, no obstante, el canon de motivación es más riguroso que en las absolutorias pues, de acuerdo con una reiterada doctrina constitucional, cuando están en juego otros derechos fundamentales —y, entre ellos, cuando están en juego el derecho a la libertad y el de presunción de inocencia, como sucede en el proceso penal— la exigencia de motivación cobra particular intensidad lo que conduce a reforzar el parámetro de control utilizable para enjuiciar su suficiencia. Particularmente, en el plano fáctico, la sentencia penal condenatoria ha de exteriorizar en su razonamiento las pruebas relevantes tomadas en consideración y la existencia de una conexión fundada entre las pruebas y la declaración de hechos probados; conexión que debe ser aplicación razonada de las reglas de la lógica, ciencia y experiencia, de modo que sea posible realizar un juicio externo sobre las que llevan al juzgador a considerar alcanzada la convicción de culpabilidad más allá de toda razonable [por todas, STC 72/2024, de 7 de mayo, FJ 4 b)].</w:t>
      </w:r>
    </w:p>
    <w:p w14:paraId="54990830" w14:textId="77777777" w:rsidR="009D7677" w:rsidRDefault="009D7677" w:rsidP="009D7677">
      <w:pPr>
        <w:pStyle w:val="TextoNormal"/>
      </w:pPr>
    </w:p>
    <w:p w14:paraId="7E72746F" w14:textId="77777777" w:rsidR="009D7677" w:rsidRDefault="009D7677" w:rsidP="009D7677">
      <w:pPr>
        <w:pStyle w:val="TextoNormal"/>
      </w:pPr>
      <w:r>
        <w:t xml:space="preserve">Es condición necesaria de la legitimidad constitucional de la sentencia condenatoria, en primer lugar, que explicite las razones que llevan a establecer un nexo de conexión entre la prueba practicada y los hechos que declara probados y que someta la valoración de la prueba a las reglas de la lógica y de la experiencia, pues la presunción de inocencia no solo se vulnera cuando no haya pruebas de cargo válidas o cuando por ilógico o insuficiente no sea razonable el </w:t>
      </w:r>
      <w:r w:rsidRPr="009D7677">
        <w:rPr>
          <w:i/>
        </w:rPr>
        <w:t>iter</w:t>
      </w:r>
      <w:r>
        <w:t xml:space="preserve"> discursivo que conduce de la prueba al hecho probado, sino también, con carácter previo a este supuesto, en los supuestos de falta de motivación del resultado de la valoración de las pruebas (SSTC 111/1999, de 14 de junio, FJ 2, y 145/2005, de 6 de junio, FJ 6). De ahí que la omisión de valoración de pruebas de descargo relevantes pueda constituir un defecto estructural de la motivación judicial determinante de la invalidez del juicio fáctico (STC 61/2019, de 6 de mayo, FJ 4).</w:t>
      </w:r>
    </w:p>
    <w:p w14:paraId="2ED97623" w14:textId="77777777" w:rsidR="009D7677" w:rsidRDefault="009D7677" w:rsidP="009D7677">
      <w:pPr>
        <w:pStyle w:val="TextoNormal"/>
      </w:pPr>
    </w:p>
    <w:p w14:paraId="4A5823FC" w14:textId="77777777" w:rsidR="009D7677" w:rsidRDefault="009D7677" w:rsidP="009D7677">
      <w:pPr>
        <w:pStyle w:val="TextoNormal"/>
      </w:pPr>
      <w:r>
        <w:t>La declaración de la víctima, por su posición privilegiada como testigo directo de los hechos, puede erigirse en prueba de cargo, aunque tenga la condición procesal de parte, y servir para fundar la convicción judicial, en particular cuando se trata de hechos que ocurrieron en un entorno de privacidad, pero ello no significa que “goce de prevalencia alguna” [STC 87/2020, de 20 de julio, FJ 3 C) c)].</w:t>
      </w:r>
    </w:p>
    <w:p w14:paraId="102A30DF" w14:textId="77777777" w:rsidR="009D7677" w:rsidRDefault="009D7677" w:rsidP="009D7677">
      <w:pPr>
        <w:pStyle w:val="TextoNormal"/>
      </w:pPr>
    </w:p>
    <w:p w14:paraId="06A81EA1" w14:textId="6BD1E270" w:rsidR="009D7677" w:rsidRDefault="009D7677" w:rsidP="009D7677">
      <w:pPr>
        <w:pStyle w:val="TextoNormal"/>
      </w:pPr>
      <w:r>
        <w:t>A las ya reseñadas exigencias formales de motivación de la sentencia se agrega la necesidad material de que el conjunto de la prueba conduzca de manera concluyente a un juicio positivo del fundamento de la pretensión acusatoria en su vertiente fáctica, pues la presunción de inocencia “opera, en el ámbito de la jurisdicción ordinaria, como el derecho del acusado a no sufrir una condena a menos que la culpabilidad haya quedado establecida más allá de toda duda razonable” (STC 81/1998, de 2 de abril, FJ 3), lo que significa que el órgano judicial no debe otorgar prioridad a la tesis acusatoria cuando exista una versión alternativa de los hechos, ofrecida por la defensa o emanada de su propia interna reflexión, que presente un grado de verosimilitud susceptible de generar una duda razonable, justificada y no arbitraria.</w:t>
      </w:r>
    </w:p>
    <w:p w14:paraId="18584D8B" w14:textId="77777777" w:rsidR="009D7677" w:rsidRDefault="009D7677" w:rsidP="009D7677">
      <w:pPr>
        <w:pStyle w:val="TextoNormal"/>
      </w:pPr>
    </w:p>
    <w:p w14:paraId="41672E95" w14:textId="77777777" w:rsidR="009D7677" w:rsidRDefault="009D7677" w:rsidP="009D7677">
      <w:pPr>
        <w:pStyle w:val="TextoNormal"/>
      </w:pPr>
      <w:r w:rsidRPr="009D7677">
        <w:rPr>
          <w:rStyle w:val="NumeroAFNegritaCaracter"/>
        </w:rPr>
        <w:t>5</w:t>
      </w:r>
      <w:r>
        <w:t xml:space="preserve">. </w:t>
      </w:r>
      <w:r w:rsidRPr="009D7677">
        <w:rPr>
          <w:i/>
        </w:rPr>
        <w:t>Adaptación de la doctrina constitucional sobre condena en segunda instancia a la revisión en casación de la sentencia de apelación</w:t>
      </w:r>
    </w:p>
    <w:p w14:paraId="0AC859F0" w14:textId="77777777" w:rsidR="009D7677" w:rsidRDefault="009D7677" w:rsidP="009D7677">
      <w:pPr>
        <w:pStyle w:val="TextoNormal"/>
      </w:pPr>
    </w:p>
    <w:p w14:paraId="797ABB03" w14:textId="77777777" w:rsidR="009D7677" w:rsidRDefault="009D7677" w:rsidP="009D7677">
      <w:pPr>
        <w:pStyle w:val="TextoNormal"/>
      </w:pPr>
      <w:r>
        <w:lastRenderedPageBreak/>
        <w:t>El segundo eje argumental del recurso de amparo nos obliga, como hemos indicado en su momento, a proyectar la doctrina constitucional sobre condena en segunda instancia a un caso en que la condena en casación es subsiguiente a una absolución en apelación derivada de la revisión de una condena en primera instancia.</w:t>
      </w:r>
    </w:p>
    <w:p w14:paraId="6DAFC910" w14:textId="77777777" w:rsidR="009D7677" w:rsidRDefault="009D7677" w:rsidP="009D7677">
      <w:pPr>
        <w:pStyle w:val="TextoNormal"/>
      </w:pPr>
    </w:p>
    <w:p w14:paraId="5FE2DABC" w14:textId="77777777" w:rsidR="009D7677" w:rsidRDefault="009D7677" w:rsidP="009D7677">
      <w:pPr>
        <w:pStyle w:val="TextoNormal"/>
      </w:pPr>
      <w:r>
        <w:t>Es doctrina constitucional consolidada que el respeto a los principios de publicidad, inmediación y contradicción, que forman parte del contenido del derecho a un proceso con todas las garantías (art. 24.2 CE), impone inexorablemente que toda condena articulada sobre pruebas personales se fundamente en una actividad probatoria que el órgano judicial haya examinado directa y personalmente en un debate público en el que se respete la posibilidad de contradicción, y que en estos casos se debe igualmente atender a la exigencia de la audiencia personal del acusado como garantía específica vinculada al derecho de defensa (art. 24.2 CE), quedando fijados los márgenes de la revisión en estos términos: (i) vulnera el derecho a un proceso con todas las garantías (art. 24.2 CE) que un órgano judicial, conociendo a través de recurso, condene a quien había sido absuelto en la instancia o empeore su situación a partir de una nueva valoración de pruebas personales o de una reconsideración de los hechos estimados probados para establecer su culpabilidad, siempre que no haya celebrado una audiencia pública en la que se desarrolle la necesaria actividad probatoria con las garantías de publicidad, inmediación y contradicción que le son propias y se dé al acusado la posibilidad de defenderse exponiendo su testimonio personal; (ii) no cabe efectuar este reproche constitucional cuando la condena o la agravación de la situación, a pesar de no haberse celebrado vista pública, tenga origen en una controversia estrictamente jurídica entre los órganos judiciales de primera y segunda instancia en la que no estén implicadas las garantías de publicidad, inmediación y contradicción y para cuya resolución no resulte necesario oír al acusado. Ninguna incidencia podría tener la audiencia en la decisión que pudiera adoptarse y la posición de la parte puede entenderse debidamente garantizada por la presencia de su abogado [SSTC 184/2009, de 7 de septiembre, FJ 3; 35/2020, de 25 de febrero, FJ 2; 18/2021, de 15 de febrero, FJ 3, y 133/2021, de 24 de junio, FJ 8 B)].</w:t>
      </w:r>
    </w:p>
    <w:p w14:paraId="79D2898C" w14:textId="77777777" w:rsidR="009D7677" w:rsidRDefault="009D7677" w:rsidP="009D7677">
      <w:pPr>
        <w:pStyle w:val="TextoNormal"/>
      </w:pPr>
    </w:p>
    <w:p w14:paraId="2F1D3D8E" w14:textId="77777777" w:rsidR="009D7677" w:rsidRDefault="009D7677" w:rsidP="009D7677">
      <w:pPr>
        <w:pStyle w:val="TextoNormal"/>
      </w:pPr>
      <w:r>
        <w:t xml:space="preserve">También puede verse afectado el derecho a la presunción de inocencia (art. 24.2 CE) pues este tribunal ha dicho reiteradamente, con base en la doctrina establecida en la STC 167/2002, de 18 de septiembre, que “en los casos en que se verifique una valoración de pruebas personales sin la debida inmediación, en la medida en que se trata de la valoración de pruebas practicadas sin las debidas garantías, resultará también afectado el derecho a la presunción de inocencia cuando se ponga de manifiesto que dichas pruebas son las únicas tomadas en cuenta por la resolución impugnada o cuando, a partir de su propia motivación, se constate que eran esenciales para llegar a la conclusión fáctica incriminatoria, de modo que con su exclusión la inferencia de dicha conclusión se convierta en ilógica o no concluyente a partir de los presupuestos de la propia sentencia (así, SSTC 30/2010, de 17 de mayo, FJ 5; 135/2011, de 12 de septiembre, FJ 4, y 144/2012, de 2 de julio, FJ 6)”, de manera que “cuando quede plenamente acreditado con la lectura de las resoluciones judiciales que la condena se ha basado de manera exclusiva o esencial en la valoración o reconsideración de pruebas practicadas sin las debidas garantías también deberá estimarse vulnerado el derecho a la presunción de inocencia, ya que en tales casos el efecto de exclusión de la valoración judicial de dichas pruebas pondría ya de manifiesto que la inferencia sobre la conclusión condenatoria sería ilógica o no concluyente, consumando de esa manera la lesión del derecho a la presunción de inocencia. De ese modo, en tales casos la </w:t>
      </w:r>
      <w:r>
        <w:lastRenderedPageBreak/>
        <w:t>vulneración consecutiva de los derechos a un proceso con todas las garantías y a la presunción de inocencia determinaría la anulación de la sentencia condenatoria sin retroacción de actuaciones” (STC 88/2013, de 11 de abril, FJ 12).</w:t>
      </w:r>
    </w:p>
    <w:p w14:paraId="1D2DB75E" w14:textId="77777777" w:rsidR="009D7677" w:rsidRDefault="009D7677" w:rsidP="009D7677">
      <w:pPr>
        <w:pStyle w:val="TextoNormal"/>
      </w:pPr>
    </w:p>
    <w:p w14:paraId="2A7A4AFC" w14:textId="77777777" w:rsidR="009D7677" w:rsidRDefault="009D7677" w:rsidP="009D7677">
      <w:pPr>
        <w:pStyle w:val="TextoNormal"/>
      </w:pPr>
      <w:r>
        <w:t xml:space="preserve">Por otra parte, la jurisprudencia del Tribunal Europeo de Derechos Humanos ha establecido, específicamente, que la audiencia del acusado y la directa apreciación de los testimonios personales son exigencias inherentes al juicio justo (art. 6.1 CEDH) también en el último grado jurisdiccional, cuando el tribunal de casación es llamado a pronunciarse sobre la culpabilidad o inocencia de aquel en revisión del juicio verificado en las instancias anteriores [SSTEDH de 17 de diciembre de 2013, asunto </w:t>
      </w:r>
      <w:r w:rsidRPr="009D7677">
        <w:rPr>
          <w:i/>
        </w:rPr>
        <w:t>Ion Tudor c. Rumanía</w:t>
      </w:r>
      <w:r>
        <w:t xml:space="preserve">, § 25 a 29; de 4 de junio de 2013, asunto </w:t>
      </w:r>
      <w:r w:rsidRPr="009D7677">
        <w:rPr>
          <w:i/>
        </w:rPr>
        <w:t>Hanu c. Rumanía</w:t>
      </w:r>
      <w:r>
        <w:t xml:space="preserve">, y de 10 de abril de 2012, asunto </w:t>
      </w:r>
      <w:r w:rsidRPr="009D7677">
        <w:rPr>
          <w:i/>
        </w:rPr>
        <w:t>Popa y Tanasescu c. Rumanía</w:t>
      </w:r>
      <w:r>
        <w:t>].</w:t>
      </w:r>
    </w:p>
    <w:p w14:paraId="57089AEE" w14:textId="77777777" w:rsidR="009D7677" w:rsidRDefault="009D7677" w:rsidP="009D7677">
      <w:pPr>
        <w:pStyle w:val="TextoNormal"/>
      </w:pPr>
    </w:p>
    <w:p w14:paraId="2299933A" w14:textId="77777777" w:rsidR="009D7677" w:rsidRDefault="009D7677" w:rsidP="009D7677">
      <w:pPr>
        <w:pStyle w:val="TextoNormal"/>
      </w:pPr>
      <w:r>
        <w:t xml:space="preserve">El asunto </w:t>
      </w:r>
      <w:r w:rsidRPr="009D7677">
        <w:rPr>
          <w:i/>
        </w:rPr>
        <w:t>Ion Tudor c. Rumanía</w:t>
      </w:r>
      <w:r>
        <w:t xml:space="preserve"> es especialmente ilustrativo porque el Tribunal Europeo de Derechos Humanos declaró que la sentencia condenatoria dictada por el tribunal de casación (</w:t>
      </w:r>
      <w:r w:rsidRPr="009D7677">
        <w:rPr>
          <w:i/>
        </w:rPr>
        <w:t>High Court of Cassation and Justice</w:t>
      </w:r>
      <w:r>
        <w:t>), tras haberse producido la absolución del acusado en apelación (</w:t>
      </w:r>
      <w:r w:rsidRPr="009D7677">
        <w:rPr>
          <w:i/>
        </w:rPr>
        <w:t>Court of Appeal</w:t>
      </w:r>
      <w:r>
        <w:t>), como consecuencia de la revisión de la valoración de la prueba que había efectuado el tribunal de primera instancia (</w:t>
      </w:r>
      <w:r w:rsidRPr="009D7677">
        <w:rPr>
          <w:i/>
        </w:rPr>
        <w:t>County Court</w:t>
      </w:r>
      <w:r>
        <w:t>) en su sentencia condenatoria, vulneró su derecho a un juicio justo (art. 6.1 CEDH) porque dirimió aspectos fácticos y jurídicos —se debatía en particular la suficiencia del testimonio incriminatorio prestado por un coacusado en fase de investigación, que se retractó en el plenario, reconocida en la primera instancia y rechazada en la segunda— que por su relativa complejidad no podían ser valorados adecuadamente sin haber oído directamente las declaraciones del acusado y de los testigos (§ 28).</w:t>
      </w:r>
    </w:p>
    <w:p w14:paraId="5D132F65" w14:textId="77777777" w:rsidR="009D7677" w:rsidRDefault="009D7677" w:rsidP="009D7677">
      <w:pPr>
        <w:pStyle w:val="TextoNormal"/>
      </w:pPr>
    </w:p>
    <w:p w14:paraId="33B409D1" w14:textId="024E6C79" w:rsidR="009D7677" w:rsidRDefault="009D7677" w:rsidP="009D7677">
      <w:pPr>
        <w:pStyle w:val="TextoNormal"/>
      </w:pPr>
      <w:r>
        <w:t xml:space="preserve">En síntesis, un renovado juicio de culpabilidad efectuado por el tribunal de casación que pretenda fundarse en la apreciación de la prueba efectuada por el tribunal de primera instancia resultará inconciliable con las exigencias del proceso justo y la proscripción de la indefensión, </w:t>
      </w:r>
      <w:r w:rsidRPr="009D7677">
        <w:rPr>
          <w:i/>
        </w:rPr>
        <w:t>ex</w:t>
      </w:r>
      <w:r>
        <w:t xml:space="preserve"> art. 24.1 y 2 CE, al ser la apreciación de la prueba, la audiencia del acusado y la ulterior formación del juicio de culpabilidad, momentos del desempeño de la función jurisdiccional subjetivamente indisociables.</w:t>
      </w:r>
    </w:p>
    <w:p w14:paraId="519F881C" w14:textId="77777777" w:rsidR="009D7677" w:rsidRDefault="009D7677" w:rsidP="009D7677">
      <w:pPr>
        <w:pStyle w:val="TextoNormal"/>
      </w:pPr>
    </w:p>
    <w:p w14:paraId="520B6B29" w14:textId="77777777" w:rsidR="009D7677" w:rsidRDefault="009D7677" w:rsidP="009D7677">
      <w:pPr>
        <w:pStyle w:val="TextoNormal"/>
      </w:pPr>
      <w:r w:rsidRPr="009D7677">
        <w:rPr>
          <w:rStyle w:val="NumeroAFNegritaCaracter"/>
        </w:rPr>
        <w:t>6</w:t>
      </w:r>
      <w:r>
        <w:t xml:space="preserve">. </w:t>
      </w:r>
      <w:r w:rsidRPr="009D7677">
        <w:rPr>
          <w:i/>
        </w:rPr>
        <w:t>Enjuiciamiento del caso</w:t>
      </w:r>
    </w:p>
    <w:p w14:paraId="7290B1C2" w14:textId="77777777" w:rsidR="009D7677" w:rsidRDefault="009D7677" w:rsidP="009D7677">
      <w:pPr>
        <w:pStyle w:val="TextoNormal"/>
      </w:pPr>
    </w:p>
    <w:p w14:paraId="04DED925" w14:textId="77777777" w:rsidR="009D7677" w:rsidRDefault="009D7677" w:rsidP="009D7677">
      <w:pPr>
        <w:pStyle w:val="TextoNormal"/>
      </w:pPr>
      <w:r>
        <w:t>A) La sentencia de 13 de noviembre de 2019 de la Sala de lo Penal del Tribunal Supremo, objeto de impugnación en el presente recurso de amparo, casa y anula la sentencia del Tribunal Superior de Justicia de Extremadura, que absolvió en segunda instancia al demandante, porque entendía que su alejamiento de las fuentes de prueba de naturaleza personal practicadas en el plenario se alzaba como un obstáculo para modificar el relato de hechos probados de la sentencia condenatoria dictada por la Sección Tercera de la Audiencia Provincial de Badajoz y porque incurrió en arbitrariedad en la valoración de la prueba, dando a entender que negó por razones meramente subjetivas credibilidad a la denunciante para otorgársela al testigo directo. Este planteamiento exige verificar un somero examen de los razonamientos fácticos desarrollados en primera y segunda instancia.</w:t>
      </w:r>
    </w:p>
    <w:p w14:paraId="63521126" w14:textId="77777777" w:rsidR="009D7677" w:rsidRDefault="009D7677" w:rsidP="009D7677">
      <w:pPr>
        <w:pStyle w:val="TextoNormal"/>
      </w:pPr>
    </w:p>
    <w:p w14:paraId="4FCA93DF" w14:textId="77777777" w:rsidR="009D7677" w:rsidRDefault="009D7677" w:rsidP="009D7677">
      <w:pPr>
        <w:pStyle w:val="TextoNormal"/>
      </w:pPr>
      <w:r>
        <w:t xml:space="preserve">a) La Audiencia Provincial, tras celebrar juicio oral el día 30 de enero de 2018, dictó la sentencia núm. 18/2018, de 7 de febrero, por la que condenó al demandante por un delito </w:t>
      </w:r>
      <w:r>
        <w:lastRenderedPageBreak/>
        <w:t>de agresión sexual (art. 178 CP), un delito leve de lesiones (art. 147.2 CP) y otro delito leve de daños (art. 263.1, párrafo segundo CP).</w:t>
      </w:r>
    </w:p>
    <w:p w14:paraId="3B945143" w14:textId="77777777" w:rsidR="009D7677" w:rsidRDefault="009D7677" w:rsidP="009D7677">
      <w:pPr>
        <w:pStyle w:val="TextoNormal"/>
      </w:pPr>
    </w:p>
    <w:p w14:paraId="51DE17A0" w14:textId="77777777" w:rsidR="009D7677" w:rsidRDefault="009D7677" w:rsidP="009D7677">
      <w:pPr>
        <w:pStyle w:val="TextoNormal"/>
      </w:pPr>
      <w:r>
        <w:t>Se funda en el relato de hechos probados que reproducimos en su literalidad en el antecedente de hecho 2 a) de esta sentencia, que, en síntesis, afirma que el día 3 de septiembre de 2016, sobre las 14:00 horas, doña V.G.L., que había concertado la prestación de servicios sexuales con un varón, don M.F.H., cuando acudió a la habitación del hotel donde se había citado, se encontró con que en la misma había otro varón —el ahora demandante de amparo— que pretendía presenciar el acto sexual, a lo que se opuso inicialmente la mujer. El actor le exigió el cumplimiento de lo acordado, agarrándola fuertemente de los brazos y golpeándola en la espalda. La mujer mantuvo relaciones sexuales con don M.F.H., y cuando ya abandonaba la habitación, el actor, con finalidad lúbrica, le manoseó los pechos y le puso la mano en la zona genital, iniciándose una discusión entre ambos en el curso de la cual el actor cogió el teléfono de la mujer y lo tiró al suelo, rompiéndose la pantalla. Tras salir de la habitación, doña V.G.L., llamó por teléfono a una amiga, bajó a la recepción del hotel y llamó al 112, personándose en el lugar una dotación de la Policía Nacional. Esa misma tarde compareció en los servicios de urgencia del Hospital de Mérida, donde se le apreció un hematoma en la zona subescapular izquierda, y dolor a la palpación en el brazo derecho y zona posterior del muslo izquierdo, lesiones que según informe médico forense tardaron en curar sin secuelas diez días, de los cuales dos fueron impeditivos de sus ocupaciones habituales; desde la fecha de los hechos ha seguido tratamiento psicológico, y desde el mes de octubre de 2017 tratamiento psiquiátrico por trastorno mixto ansioso-depresivo; no se tasaron los daños del teléfono móvil.</w:t>
      </w:r>
    </w:p>
    <w:p w14:paraId="598405C4" w14:textId="77777777" w:rsidR="009D7677" w:rsidRDefault="009D7677" w:rsidP="009D7677">
      <w:pPr>
        <w:pStyle w:val="TextoNormal"/>
      </w:pPr>
    </w:p>
    <w:p w14:paraId="729DECEE" w14:textId="77777777" w:rsidR="009D7677" w:rsidRDefault="009D7677" w:rsidP="009D7677">
      <w:pPr>
        <w:pStyle w:val="TextoNormal"/>
      </w:pPr>
      <w:r>
        <w:t xml:space="preserve">La Audiencia Provincial alcanzó estas conclusiones fácticas a partir del testimonio prestado por la denunciante en el acto de juicio oral, testimonio que calificó de “muy creíble”, dado que no tenía ninguna relación previa con el acusado y que relató los hechos de manera similar a como lo hizo ante la Policía y el juez de instrucción, “con las lógicas omisiones y contradicciones propias de un relato pasado, pero vivido”; testimonio que considera corroborado por el del agente policial que se personó en el hotel a raíz de la llamada que hizo al 112, a quien contó lo sucedido, y por el de la recepcionista del mismo, que manifestó que la denunciante le dijo que algo había sucedido en la habitación con dos hombres, aunque no recordaba las palabras exactas; también por el mensaje de </w:t>
      </w:r>
      <w:r w:rsidRPr="009D7677">
        <w:rPr>
          <w:i/>
        </w:rPr>
        <w:t>Whatsapp</w:t>
      </w:r>
      <w:r>
        <w:t xml:space="preserve"> que remitió a una amiga en el que decía “me tienen retenida, no me quieren devolver las llaves del coche” y por el testimonio de un varón, antigua pareja sentimental de la denunciante, que se personó en el lugar tras ser avisado por dicha amiga, y que dijo que doña V.G.L., le había contado que la habían retenido, grabado, quitado las llaves del coche y golpeado.</w:t>
      </w:r>
    </w:p>
    <w:p w14:paraId="5C563002" w14:textId="77777777" w:rsidR="009D7677" w:rsidRDefault="009D7677" w:rsidP="009D7677">
      <w:pPr>
        <w:pStyle w:val="TextoNormal"/>
      </w:pPr>
    </w:p>
    <w:p w14:paraId="31EA40C5" w14:textId="77777777" w:rsidR="009D7677" w:rsidRDefault="009D7677" w:rsidP="009D7677">
      <w:pPr>
        <w:pStyle w:val="TextoNormal"/>
      </w:pPr>
      <w:r>
        <w:t>El tribunal considera corroborado el testimonio de la mujer por el informe del servicio de urgencias del Hospital de Mérida, extendido a las 18:40 horas del día de los hechos, en el que se hace constar en el apartado de anamnesis: “paciente de treinta y seis años que acude a urgencias refiriendo haber sufrido agresión por el acompañante de una persona que había requerido sus servicios personales en un hotel”, el parte judicial expedido por el mismo médico de urgencias en el que hace constar: “al llegar al hotel […], según refiere la paciente, se encuentra a una persona que la ha requerido para servicios sexuales. Hay un acompañante que al querer presenciar la escena y ella negarse, la ha agredido” y el informe médico forense ratificado en el acto de juicio oral.</w:t>
      </w:r>
    </w:p>
    <w:p w14:paraId="263FE506" w14:textId="77777777" w:rsidR="009D7677" w:rsidRDefault="009D7677" w:rsidP="009D7677">
      <w:pPr>
        <w:pStyle w:val="TextoNormal"/>
      </w:pPr>
    </w:p>
    <w:p w14:paraId="27AC3808" w14:textId="77777777" w:rsidR="009D7677" w:rsidRDefault="009D7677" w:rsidP="009D7677">
      <w:pPr>
        <w:pStyle w:val="TextoNormal"/>
      </w:pPr>
      <w:r>
        <w:t>La Audiencia Provincial argumenta que aunque la víctima no relató al médico de guardia que hubiera sido objeto de actos de contenido sexual, ello no era decisivo “porque es posible que al no pasar de unos tocamientos en pechos y parte vaginal, no le diera la importancia que tiene e incidiera más en la agresión física de la que fue objeto”; considera importante, en cambio, que el acusado negara que el café que le subió a la denunciante a la habitación en un momento de los hechos, llevara alguna sustancia, “lo que es incierto, como lo acredita el informe de la policía científica a los folios 91 y ss. y admitió que consumió cocaína, lo que coincide con el relato de la víctima sobre la bolsa con polvos blancos, reconociendo su amigo y persona que había contratado los servicios de V.G.L., M.F.H., que Antonio grabó el acto sexual y que cuando estuvo con ella, desnuda, no le vio ningún hematoma”.</w:t>
      </w:r>
    </w:p>
    <w:p w14:paraId="153D6BDC" w14:textId="77777777" w:rsidR="009D7677" w:rsidRDefault="009D7677" w:rsidP="009D7677">
      <w:pPr>
        <w:pStyle w:val="TextoNormal"/>
      </w:pPr>
    </w:p>
    <w:p w14:paraId="710715E5" w14:textId="77777777" w:rsidR="009D7677" w:rsidRDefault="009D7677" w:rsidP="009D7677">
      <w:pPr>
        <w:pStyle w:val="TextoNormal"/>
      </w:pPr>
      <w:r>
        <w:t>b) La Sala de lo Civil y Penal del Tribunal Superior de Justicia de Extremadura, tras celebrar vista el día 26 de abril de 2018, con presencia e intervención del fiscal y de los letrados de las partes, dictó la sentencia núm. 3/2018, de 3 de mayo, por la que estimó el recurso de apelación interpuesto por el condenado invocando el motivo de error en la valoración de la prueba y vulneración del derecho a la presunción de inocencia, revocó la sentencia de la Audiencia Provincial y absolvió al recurrente.</w:t>
      </w:r>
    </w:p>
    <w:p w14:paraId="22B6BD38" w14:textId="77777777" w:rsidR="009D7677" w:rsidRDefault="009D7677" w:rsidP="009D7677">
      <w:pPr>
        <w:pStyle w:val="TextoNormal"/>
      </w:pPr>
    </w:p>
    <w:p w14:paraId="4C204A72" w14:textId="77777777" w:rsidR="009D7677" w:rsidRDefault="009D7677" w:rsidP="009D7677">
      <w:pPr>
        <w:pStyle w:val="TextoNormal"/>
      </w:pPr>
      <w:r>
        <w:t>La sentencia de apelación modificó el relato de hechos probados en los términos que se reproducen en su literalidad en el antecedente de hecho 2 b) de esta resolución; en síntesis, declara probado que sobre las 14:00 horas del día 3 de septiembre de 2016, el demandante, de común acuerdo con su amigo don M.F.H., decidieron contratar los servicios sexuales de doña V.G.L., para lo cual don M.F.H., llamó a la mujer concertando el servicio a desarrollar en una habitación de un hotel de Mérida, sin advertirla de que iba a estar también el demandante, por lo que la mujer al llegar a la habitación y advertir la presencia de este quiso marcharse, aunque al final se quedó, bajando el demandante a la cafetería del hotel a por un café para doña V.G.L., de modo que cuando regresó doña V.G.L., y don M.F.H., estaban ya en la cama realizando el acto sexual. El demandante empezó entonces a grabar con su teléfono móvil desde el baño, con la puerta entreabierta, lo que generó un fuerte enfado en la mujer y que sufriera un estado de nervios, borrándose lo que se había grabado. A continuación doña V.G.L., se marchó y desde la recepción llamaron a la Policía Nacional que personada en el lugar levantó el correspondiente atestado, siendo reconocida la mujer por el médico de guardia de urgencias del Hospital de Mérida, a quien no refirió agresión sexual alguna, que le apreció hematoma en zona subescapular izquierda, y a quien refirió dolor en la palpación en brazo derecho y zona posterior del muslo izquierdo; el mismo médico de urgencias, lo que corroboró el médico forense, refiere un diagnóstico a doña V.G.L., de fobia social, lo que comportaba tratamiento con lorazepam y escitalopram, patología que no consta haya afectado o influido en todo lo sucedido. El análisis efectuado en el café que el demandante llevó a doña V.G.L., arrojó un resultado ínfimo de alcohol de 1,6 gramos por litro, sin que conste acreditado como llegó el alcohol detectado al café.</w:t>
      </w:r>
    </w:p>
    <w:p w14:paraId="37612850" w14:textId="77777777" w:rsidR="009D7677" w:rsidRDefault="009D7677" w:rsidP="009D7677">
      <w:pPr>
        <w:pStyle w:val="TextoNormal"/>
      </w:pPr>
    </w:p>
    <w:p w14:paraId="6DC694E3" w14:textId="77777777" w:rsidR="009D7677" w:rsidRDefault="009D7677" w:rsidP="009D7677">
      <w:pPr>
        <w:pStyle w:val="TextoNormal"/>
      </w:pPr>
      <w:r>
        <w:t xml:space="preserve">En sus fundamentos de derecho la sentencia se refiere a los parámetros fijados por la jurisprudencia de la Sala de lo Penal del Tribunal Supremo para la revisión integral de una sentencia condenatoria cuando se denuncia la vulneración del derecho a la presunción de inocencia (que exista prueba de cargo suficiente, constitucionalmente obtenida, legalmente </w:t>
      </w:r>
      <w:r>
        <w:lastRenderedPageBreak/>
        <w:t>practicada y valorada de forma racional), parámetros que garantizan al condenado “el ejercicio de su derecho internacionalmente reconocido a la revisión de la sentencia condenatoria por un tribunal superior (art. 14.5 del Pacto internacional de derechos civiles y políticos)”, destacando que la Sala Segunda del Tribunal Supremo “ha venido manteniendo que el juicio sobre la prueba producida en el juicio oral es revisable en casación (y con mayor motivo en un recurso de apelación como el que ahora nos ocupa, añadimos nosotros) en lo que concierne a su estructura racional, o lo que es igual, dicho de otra manera, en lo que respecta a la observación por parte del tribunal de instancia de las reglas de la lógica, los principios de la experiencia y los conocimientos científicos”.</w:t>
      </w:r>
    </w:p>
    <w:p w14:paraId="2BF8D15A" w14:textId="77777777" w:rsidR="009D7677" w:rsidRDefault="009D7677" w:rsidP="009D7677">
      <w:pPr>
        <w:pStyle w:val="TextoNormal"/>
      </w:pPr>
    </w:p>
    <w:p w14:paraId="12C4292C" w14:textId="77777777" w:rsidR="009D7677" w:rsidRDefault="009D7677" w:rsidP="009D7677">
      <w:pPr>
        <w:pStyle w:val="TextoNormal"/>
      </w:pPr>
      <w:r>
        <w:t>Apunta seguidamente que tanto el Tribunal Supremo como el Tribunal Constitucional han reconocido en sus respectivos pronunciamientos que el testimonio de la víctima puede ser prueba de cargo suficiente para enervar la presunción de inocencia del acusado, y que su credibilidad la debe valorar en principio el órgano de enjuiciamiento, mientras que a los tribunales de apelación y casación compete controlar la estructura racional de dicha valoración, habiendo establecido el Tribunal Supremo como notas o parámetros a considerar los de credibilidad subjetiva, credibilidad objetiva y persistencia en la incriminación.</w:t>
      </w:r>
    </w:p>
    <w:p w14:paraId="73EDAC24" w14:textId="77777777" w:rsidR="009D7677" w:rsidRDefault="009D7677" w:rsidP="009D7677">
      <w:pPr>
        <w:pStyle w:val="TextoNormal"/>
      </w:pPr>
    </w:p>
    <w:p w14:paraId="290D19EF" w14:textId="77777777" w:rsidR="009D7677" w:rsidRDefault="009D7677" w:rsidP="009D7677">
      <w:pPr>
        <w:pStyle w:val="TextoNormal"/>
      </w:pPr>
      <w:r>
        <w:t xml:space="preserve">La sentencia afirma que en este caso se dispone no solo del testimonio incriminatorio de la víctima, y de los testigos de referencia o indirectos, que fueron tenidos en consideración por el tribunal de primera instancia, sino también “lo que es más importante de un solo testigo directo, M.F.H., que, en todo momento, desde que llegó la denunciante a la habitación del hotel, estuvo presente y pudo ver todo el desarrollo de los hechos, sin que, de forma sorprendente, la sentencia impugnada haga una valoración de sus manifestaciones, totalmente ignoradas (solo se le menciona en el fundamento de derecho segundo, párrafo penúltimo </w:t>
      </w:r>
      <w:r w:rsidRPr="009D7677">
        <w:rPr>
          <w:i/>
        </w:rPr>
        <w:t>in fine</w:t>
      </w:r>
      <w:r>
        <w:t>, cuando se afirma que dijo que Antonio grabó el acto sexual y que cuando él estaba con V.G.L., desnuda, no le vio ningún hematoma)” máxime, añade, cuando la jurisprudencia constitucional y del Tribunal Supremo ha declarado que la prueba testifical indirecta, aunque pueda servir para fundar la condena, no puede llegar a desplazar o sustituir totalmente a la prueba testifical directa; reprocha por ello al tribunal de primera instancia no haber valorado este testimonio directo ni haber justificado tal proceder:</w:t>
      </w:r>
    </w:p>
    <w:p w14:paraId="429710E3" w14:textId="77777777" w:rsidR="009D7677" w:rsidRDefault="009D7677" w:rsidP="009D7677">
      <w:pPr>
        <w:pStyle w:val="TextoNormal"/>
      </w:pPr>
    </w:p>
    <w:p w14:paraId="4D707448" w14:textId="77777777" w:rsidR="009D7677" w:rsidRDefault="009D7677" w:rsidP="009D7677">
      <w:pPr>
        <w:pStyle w:val="TextoNormal"/>
      </w:pPr>
      <w:r>
        <w:t>“Así, dicho testigo directo y presencial, que fue quien contrató los servicios de la víctima, a quien llamó por teléfono, corrobora que el acusado-condenado ni insultó ni golpeó a V.G.L., ni le quitó las llaves, ni fue obligada a mantener relaciones sexuales forzadas, y que lo que provocó el enfado y fuerte nerviosismo de esta, fue la grabación que llevó a cabo Antonio José de las relaciones sexuales consentidas en el momento que las llevaban a cabo, que por cierto la Policía no pudo descargar posteriormente porque según dice el testigo fueron borradas delante de la denunciante, sin que conste que se hiciese un uso posterior indebido por inconsentido de dicha grabación” (FJ 3).</w:t>
      </w:r>
    </w:p>
    <w:p w14:paraId="542C7055" w14:textId="77777777" w:rsidR="009D7677" w:rsidRDefault="009D7677" w:rsidP="009D7677">
      <w:pPr>
        <w:pStyle w:val="TextoNormal"/>
      </w:pPr>
    </w:p>
    <w:p w14:paraId="115FDB13" w14:textId="77777777" w:rsidR="009D7677" w:rsidRDefault="009D7677" w:rsidP="009D7677">
      <w:pPr>
        <w:pStyle w:val="TextoNormal"/>
      </w:pPr>
      <w:r>
        <w:t xml:space="preserve">También dice que la declaración de la víctima no fue la misma a lo largo del procedimiento, “con notables diferencias en sus manifestaciones inicialmente en su denuncia y las prestadas en el acto del juicio, así las zonas de su cuerpo tocadas por el acusado, el momento y la forma en que las llevó a cabo, si hubo agresión y cuando se produjo”; aprecia “un relato de hechos incoherente e inconsistente, con evidentes e importantes contradicciones que consideramos insuficientes para enervar la presunción de inocencia, faltando </w:t>
      </w:r>
      <w:r>
        <w:lastRenderedPageBreak/>
        <w:t>una persistencia sostenible en la incriminación, sobre todo cuando la tesis exculpatoria tiene su apoyo en las declaraciones del testigo M.F.H., cuyo valor probatorio debe primar en este caso, al no concurrir móviles o circunstancias espurias o interesadas que las desvirtúen seriamente”.</w:t>
      </w:r>
    </w:p>
    <w:p w14:paraId="0B25194E" w14:textId="77777777" w:rsidR="009D7677" w:rsidRDefault="009D7677" w:rsidP="009D7677">
      <w:pPr>
        <w:pStyle w:val="TextoNormal"/>
      </w:pPr>
    </w:p>
    <w:p w14:paraId="24CFF984" w14:textId="77777777" w:rsidR="009D7677" w:rsidRDefault="009D7677" w:rsidP="009D7677">
      <w:pPr>
        <w:pStyle w:val="TextoNormal"/>
      </w:pPr>
      <w:r>
        <w:t>Concluye diciendo que los anteriormente mencionados parámetros de control, en tanto que constituyen una garantía del derecho constitucional a la presunción de inocencia, deben conducir a la absolución del recurrente porque “si bien se dispone de prueba de cargo, válidamente obtenida y practicada, su valoración en la sentencia impugnada, por las razones que hemos dejado expuestas, no se ajustan a las reglas de la lógica ni a las máximas de experiencia, ni a criterios jurisprudenciales, que, por ello, además, comportan y traen a nuestra convicción serias dudas sobre la íntegra veracidad de las declaraciones inculpatorias de la víctima en cuanto a la agresión sexual denunciada, sin que, por lo demás, conste probado que el acusado agrediese a la denunciante y le produjese lesiones leves, con el hematoma detectado por el médico, ni tampoco se causasen por el acusado unos daños en el teléfono móvil de la víctima que nadie ha corroborado y que por supuesto nadie ha visto ni han sido objeto de una seria tasación pericial” (FJ 4).</w:t>
      </w:r>
    </w:p>
    <w:p w14:paraId="04031E57" w14:textId="77777777" w:rsidR="009D7677" w:rsidRDefault="009D7677" w:rsidP="009D7677">
      <w:pPr>
        <w:pStyle w:val="TextoNormal"/>
      </w:pPr>
    </w:p>
    <w:p w14:paraId="1DB371CD" w14:textId="77777777" w:rsidR="009D7677" w:rsidRDefault="009D7677" w:rsidP="009D7677">
      <w:pPr>
        <w:pStyle w:val="TextoNormal"/>
      </w:pPr>
      <w:r>
        <w:t>B) A la vista de estos antecedentes, y de la doctrina constitucional y europea expuesta en el fundamento precedente, hemos de concluir lo siguiente:</w:t>
      </w:r>
    </w:p>
    <w:p w14:paraId="0AF2885F" w14:textId="77777777" w:rsidR="009D7677" w:rsidRDefault="009D7677" w:rsidP="009D7677">
      <w:pPr>
        <w:pStyle w:val="TextoNormal"/>
      </w:pPr>
    </w:p>
    <w:p w14:paraId="54EA5F1E" w14:textId="77777777" w:rsidR="009D7677" w:rsidRDefault="009D7677" w:rsidP="009D7677">
      <w:pPr>
        <w:pStyle w:val="TextoNormal"/>
      </w:pPr>
      <w:r>
        <w:t>a) La sentencia de 13 de noviembre de 2019 de la Sala de lo Penal del Tribunal Supremo, al argumentar que la falta de contacto directo del Tribunal Superior de Justicia con las fuentes de prueba de naturaleza personal constituía un impedimento para que pudiera modificar el relato de hechos probados que había sido fijado en la sentencia condenatoria dictada por la Audiencia Provincial, estableció un límite a la función revisora de la condena que compete a los tribunales de apelación que, además de haber sido expresamente desautorizado por este tribunal en la STC 184/2013, de 4 de noviembre, FJ 7, que reconoce pleno efecto devolutivo al recurso de apelación contra una sentencia condenatoria, subvierte los genuinos fundamentos constitucionales del principio de inmediación, que este tribunal concibe como garantía del derecho del acusado a defenderse eficazmente y a ser presumido inocente, no del acierto en la valoración de la prueba (STC 201/2012, de 12 de noviembre, FJ 4, y ATC 467/2006, de 20 de diciembre, FJ 3). Este modo de argumentar expande desproporcionadamente el derecho a la tutela judicial efectiva de las acusaciones (art. 24.1 CE) en detrimento del derecho del penado a obtener la revisión de su condena (art. 24.2 CE).</w:t>
      </w:r>
    </w:p>
    <w:p w14:paraId="180CBA94" w14:textId="77777777" w:rsidR="009D7677" w:rsidRDefault="009D7677" w:rsidP="009D7677">
      <w:pPr>
        <w:pStyle w:val="TextoNormal"/>
      </w:pPr>
    </w:p>
    <w:p w14:paraId="730E299B" w14:textId="77777777" w:rsidR="009D7677" w:rsidRDefault="009D7677" w:rsidP="009D7677">
      <w:pPr>
        <w:pStyle w:val="TextoNormal"/>
      </w:pPr>
      <w:r>
        <w:t xml:space="preserve">b) El Tribunal Superior de Justicia de Extremadura no excedió el ámbito de sus facultades de revisión de la condena, pues en su resolución justifica y razona los motivos que le llevan a concluir que la prueba practicada en el acto de juicio oral, aun siendo válida y, en principio, de signo incriminatorio, no proporcionaba la certeza necesaria sobre cuál fue el curso real de los acontecimientos en lo relativo a la realización por el demandante de amparo de los actos de violencia física y sexual que constituían el núcleo de la acusación en su vertiente fáctica, destacando particularmente: (i) la falta de completitud de la valoración de la prueba efectuada en la sentencia de primera instancia, al no tomar en consideración la declaración prestada en el plenario por don M.F.H., único testigo directo de los hechos, que proporcionó una versión alternativa de los mismos favorable al acusado y que no resultaba intrínsecamente inverosímil, lo que, conforme a la doctrina citada </w:t>
      </w:r>
      <w:r w:rsidRPr="009D7677">
        <w:rPr>
          <w:i/>
        </w:rPr>
        <w:t>supra</w:t>
      </w:r>
      <w:r>
        <w:t xml:space="preserve"> constituye </w:t>
      </w:r>
      <w:r>
        <w:lastRenderedPageBreak/>
        <w:t>un relevante déficit de motivación (STC 61/2019, de 6 de mayo, FJ 4) susceptible de vulnerar el derecho a la presunción de inocencia del acusado por conducir a un resultado inconcluyente; y, asimismo, (ii) algunas inconsistencias observadas en el testimonio de la víctima al contrastar lo que manifestó en la denuncia y en el plenario.</w:t>
      </w:r>
    </w:p>
    <w:p w14:paraId="38F55A2A" w14:textId="77777777" w:rsidR="009D7677" w:rsidRDefault="009D7677" w:rsidP="009D7677">
      <w:pPr>
        <w:pStyle w:val="TextoNormal"/>
      </w:pPr>
    </w:p>
    <w:p w14:paraId="46A2C491" w14:textId="77777777" w:rsidR="009D7677" w:rsidRDefault="009D7677" w:rsidP="009D7677">
      <w:pPr>
        <w:pStyle w:val="TextoNormal"/>
      </w:pPr>
      <w:r>
        <w:t>Se nos revela, por lo tanto, como fundamento absolutorio la existencia de una duda razonable, justificada y no arbitraria, intrínsecamente incompatible, por elementales exigencias del principio de presunción de inocencia, con la condena del acusado.</w:t>
      </w:r>
    </w:p>
    <w:p w14:paraId="72D53C65" w14:textId="77777777" w:rsidR="009D7677" w:rsidRDefault="009D7677" w:rsidP="009D7677">
      <w:pPr>
        <w:pStyle w:val="TextoNormal"/>
      </w:pPr>
    </w:p>
    <w:p w14:paraId="0E1ACE13" w14:textId="77777777" w:rsidR="009D7677" w:rsidRDefault="009D7677" w:rsidP="009D7677">
      <w:pPr>
        <w:pStyle w:val="TextoNormal"/>
      </w:pPr>
      <w:r>
        <w:t>c) El Tribunal Supremo, tras casar y anular la sentencia de apelación, termina condenando de propia mano al actor, cercenando de este modo de forma definitiva e irrevocable toda posibilidad de revisión de la condena. Y aunque la sentencia casacional trata de justificar esta decisión con el argumento de que se limita a convalidar la condena impuesta por la Audiencia Provincial, lo cierto es que, como pone de manifiesto el fiscal en su escrito de alegaciones, lo hace supliendo el déficit motivacional de dicha sentencia, procediendo a valorar y desechar la credibilidad del testimonio de don M.F.H. Se trata, por lo tanto, de una nueva sentencia condenatoria, independiente de la sentencia de primera instancia, que perdió su eficacia jurídica al ser revocada en apelación: la tesis de su supuesta reviviscencia en sede casacional resulta, además de artificiosa, igualmente inconciliable con la doctrina del Tribunal Europeo de Derechos Humanos, que, a la luz de las exigencias del juicio justo proclamadas en el art. 6.1 CEDH, desautoriza toda mutación de una absolución en condena que se pretenda llevar a cabo sin el examen directo de los testimonios personales y del propio acusado por el tribunal de instancia o grado superior que la acuerda, o el mero intento de fundar la condena en la valoración de la prueba efectuada en instancia anterior por el tribunal cuya decisión fue ulteriormente revocada.</w:t>
      </w:r>
    </w:p>
    <w:p w14:paraId="5017D8FA" w14:textId="77777777" w:rsidR="009D7677" w:rsidRDefault="009D7677" w:rsidP="009D7677">
      <w:pPr>
        <w:pStyle w:val="TextoNormal"/>
      </w:pPr>
    </w:p>
    <w:p w14:paraId="250CB899" w14:textId="77777777" w:rsidR="009D7677" w:rsidRDefault="009D7677" w:rsidP="009D7677">
      <w:pPr>
        <w:pStyle w:val="TextoNormal"/>
      </w:pPr>
      <w:r>
        <w:t>Las sentencias dictadas en casación han vulnerado, por lo dicho, el derecho del demandante de amparo a un proceso con todas las garantías, en su vertiente de derecho a obtener la revisión de su condena por un tribunal superior (art. 24.2 CE en relación con el art. 14.5 PIDCP) y el derecho a la presunción de inocencia (art. 24.2 CE), vulneraciones que fueron denunciadas por el actor en el incidente de nulidad de actuaciones y que no se vieron reparadas en el auto de 19 de febrero de 2020, que desestimó el incidente con la apodíctica afirmación de que se trataba de vulneraciones inexistentes.</w:t>
      </w:r>
    </w:p>
    <w:p w14:paraId="07EE15C2" w14:textId="77777777" w:rsidR="009D7677" w:rsidRDefault="009D7677" w:rsidP="009D7677">
      <w:pPr>
        <w:pStyle w:val="TextoNormal"/>
      </w:pPr>
    </w:p>
    <w:p w14:paraId="508A87EA" w14:textId="1278D0F4" w:rsidR="009D7677" w:rsidRDefault="009D7677" w:rsidP="009D7677">
      <w:pPr>
        <w:pStyle w:val="TextoNormal"/>
      </w:pPr>
      <w:r>
        <w:t>C) La consecuencia asociada a la vulneración de estos derechos fundamentales no puede ser otra que la nulidad de la primera y segunda sentencia casacional, y del posterior auto desestimatorio del incidente de nulidad de actuaciones, con el consiguiente restablecimiento de la sentencia absolutoria dictada en apelación por el Tribunal Superior de Justicia de Extremadura, que ha de prevalecer una vez que este tribunal ha podido constatar que la misma no incurre en vicio constitucional invalidante.</w:t>
      </w:r>
    </w:p>
    <w:p w14:paraId="2D18C47B" w14:textId="77777777" w:rsidR="009D7677" w:rsidRDefault="009D7677" w:rsidP="009D7677">
      <w:pPr>
        <w:pStyle w:val="TextoNormal"/>
      </w:pPr>
    </w:p>
    <w:p w14:paraId="600C3749" w14:textId="77777777" w:rsidR="009D7677" w:rsidRDefault="009D7677" w:rsidP="009D7677">
      <w:pPr>
        <w:pStyle w:val="TextoNormalCentrado"/>
        <w:keepNext/>
      </w:pPr>
      <w:r>
        <w:t>FALLO</w:t>
      </w:r>
    </w:p>
    <w:p w14:paraId="02BC4740" w14:textId="0C0612CF" w:rsidR="009D7677" w:rsidRDefault="009D7677" w:rsidP="009D7677">
      <w:pPr>
        <w:pStyle w:val="TextoNormalCentrado"/>
        <w:keepNext/>
      </w:pPr>
    </w:p>
    <w:p w14:paraId="642090B4" w14:textId="77777777" w:rsidR="009D7677" w:rsidRDefault="009D7677" w:rsidP="009D7677">
      <w:pPr>
        <w:pStyle w:val="TextoNormal"/>
      </w:pPr>
      <w:r>
        <w:t>En atención a todo lo expuesto, el Tribunal Constitucional, por la autoridad que le confiere la Constitución de la Nación española, ha decidido estimar el recurso de amparo interpuesto por don Antonio José Moreno Nieves y, en su virtud:</w:t>
      </w:r>
    </w:p>
    <w:p w14:paraId="7AE2B30A" w14:textId="77777777" w:rsidR="009D7677" w:rsidRDefault="009D7677" w:rsidP="009D7677">
      <w:pPr>
        <w:pStyle w:val="TextoNormal"/>
      </w:pPr>
    </w:p>
    <w:p w14:paraId="781486DF" w14:textId="77777777" w:rsidR="009D7677" w:rsidRDefault="009D7677" w:rsidP="009D7677">
      <w:pPr>
        <w:pStyle w:val="TextoNormal"/>
      </w:pPr>
      <w:r>
        <w:lastRenderedPageBreak/>
        <w:t>1º Declarar que ha sido vulnerado su derecho a un proceso con todas las garantías en su vertiente de derecho a la doble instancia penal (art. 24.2 CE en conexión con el art. 14.5 PIDCP) y su derecho a la presunción de inocencia (art. 24.2 CE).</w:t>
      </w:r>
    </w:p>
    <w:p w14:paraId="48E798D4" w14:textId="77777777" w:rsidR="009D7677" w:rsidRDefault="009D7677" w:rsidP="009D7677">
      <w:pPr>
        <w:pStyle w:val="TextoNormal"/>
      </w:pPr>
    </w:p>
    <w:p w14:paraId="688AB570" w14:textId="3C8BEE38" w:rsidR="009D7677" w:rsidRDefault="009D7677" w:rsidP="009D7677">
      <w:pPr>
        <w:pStyle w:val="TextoNormal"/>
      </w:pPr>
      <w:r>
        <w:t>2º Restablecerle en su derecho y, a tal fin, declarar la nulidad de la sentencia núm. 555/2019, de 13 de noviembre de 2019, de la Sala de lo Penal del Tribunal Supremo, y del auto del mismo tribunal de 19 de febrero de 2020.</w:t>
      </w:r>
    </w:p>
    <w:p w14:paraId="04B8738F" w14:textId="77777777" w:rsidR="009D7677" w:rsidRDefault="009D7677" w:rsidP="009D7677">
      <w:pPr>
        <w:pStyle w:val="TextoNormal"/>
      </w:pPr>
    </w:p>
    <w:p w14:paraId="566BF0F9" w14:textId="77777777" w:rsidR="009D7677" w:rsidRDefault="009D7677" w:rsidP="009D7677">
      <w:pPr>
        <w:pStyle w:val="TextoNormal"/>
      </w:pPr>
      <w:r>
        <w:t>Publíquese esta sentencia en el “Boletín Oficial del Estado”.</w:t>
      </w:r>
    </w:p>
    <w:p w14:paraId="0A6E5C6C" w14:textId="77777777" w:rsidR="009D7677" w:rsidRDefault="009D7677" w:rsidP="009D7677">
      <w:pPr>
        <w:pStyle w:val="TextoNormal"/>
      </w:pPr>
      <w:r>
        <w:t>Dada en Madrid, a tres de junio de dos mil veinticuatro.</w:t>
      </w:r>
    </w:p>
    <w:p w14:paraId="0C90B01F" w14:textId="25C145BE" w:rsidR="009D7677" w:rsidRDefault="009D7677">
      <w:pPr>
        <w:spacing w:after="160" w:line="259" w:lineRule="auto"/>
        <w:rPr>
          <w:rFonts w:ascii="Times New Roman" w:eastAsia="Times New Roman" w:hAnsi="Times New Roman" w:cs="Times New Roman"/>
          <w:sz w:val="24"/>
          <w:szCs w:val="24"/>
          <w:lang w:eastAsia="es-ES"/>
        </w:rPr>
      </w:pPr>
      <w:r>
        <w:br w:type="page"/>
      </w:r>
    </w:p>
    <w:p w14:paraId="5FA1C72E" w14:textId="77777777" w:rsidR="009D7677" w:rsidRDefault="009D7677" w:rsidP="009D7677">
      <w:pPr>
        <w:pStyle w:val="TtuloResolucin"/>
      </w:pPr>
      <w:bookmarkStart w:id="83" w:name="SENTENCIA_2024_81"/>
      <w:r>
        <w:lastRenderedPageBreak/>
        <w:t>SENTENCIA 81/2024, de 3 de junio de 2024</w:t>
      </w:r>
    </w:p>
    <w:bookmarkEnd w:id="83"/>
    <w:p w14:paraId="75CEA13B" w14:textId="77777777" w:rsidR="009D7677" w:rsidRDefault="009D7677" w:rsidP="009D7677">
      <w:pPr>
        <w:pStyle w:val="TtuloResolucin"/>
      </w:pPr>
      <w:r>
        <w:t>Sala Segunda</w:t>
      </w:r>
    </w:p>
    <w:p w14:paraId="77690C26" w14:textId="77777777" w:rsidR="009D7677" w:rsidRDefault="009D7677" w:rsidP="009D7677">
      <w:pPr>
        <w:pStyle w:val="TtuloBOE"/>
      </w:pPr>
      <w:r>
        <w:t>(BOE núm. 164, de 8 de julio de 2024)</w:t>
      </w:r>
    </w:p>
    <w:p w14:paraId="3FD52E15" w14:textId="77777777" w:rsidR="009D7677" w:rsidRDefault="009D7677" w:rsidP="009D7677">
      <w:pPr>
        <w:pStyle w:val="TextoNormalCentrado"/>
      </w:pPr>
      <w:r>
        <w:t>ECLI:ES:TC:2024:81</w:t>
      </w:r>
    </w:p>
    <w:p w14:paraId="77BD3560" w14:textId="30B58C54" w:rsidR="009D7677" w:rsidRDefault="009D7677" w:rsidP="009D7677">
      <w:pPr>
        <w:pStyle w:val="TextoNormalCentrado"/>
      </w:pPr>
    </w:p>
    <w:p w14:paraId="3B63784E" w14:textId="77777777" w:rsidR="009D7677" w:rsidRDefault="009D7677" w:rsidP="009D7677">
      <w:pPr>
        <w:pStyle w:val="SntesisDescriptiva"/>
      </w:pPr>
      <w:r>
        <w:t>Recurso de amparo 3819-2020. Promovido por doña Lucía López Lozano en relación con la sentencia dictada por la Sala de lo Social del Tribunal Superior de Justicia de Andalucía, con sede en Sevilla, que desestimó, en suplicación, su demanda en procedimiento de despido.</w:t>
      </w:r>
    </w:p>
    <w:p w14:paraId="5A3F40C9" w14:textId="2B857EF0" w:rsidR="009D7677" w:rsidRDefault="009D7677" w:rsidP="009D7677">
      <w:pPr>
        <w:pStyle w:val="SntesisDescriptiva"/>
      </w:pPr>
    </w:p>
    <w:p w14:paraId="51F608CE" w14:textId="77777777" w:rsidR="009D7677" w:rsidRDefault="009D7677" w:rsidP="009D7677">
      <w:pPr>
        <w:pStyle w:val="SntesisAnaltica"/>
      </w:pPr>
      <w:r>
        <w:t>Supuesta vulneración del derecho a no padecer discriminación: inexistencia de prueba indiciaria de discriminación por identidad de género como causa de extinción de la relación laboral (STC 67/2022).</w:t>
      </w:r>
    </w:p>
    <w:p w14:paraId="1D305EFF" w14:textId="63B92CBC" w:rsidR="009D7677" w:rsidRDefault="009D7677" w:rsidP="009D7677">
      <w:pPr>
        <w:pStyle w:val="SntesisAnaltica"/>
      </w:pPr>
    </w:p>
    <w:p w14:paraId="70D3022F" w14:textId="460695A3" w:rsidR="009D7677" w:rsidRDefault="009D7677" w:rsidP="009D7677">
      <w:pPr>
        <w:pStyle w:val="Extracto"/>
      </w:pPr>
      <w:r>
        <w:t>1.</w:t>
      </w:r>
      <w:r>
        <w:tab/>
        <w:t>La interdicción de comportamientos discriminatorios que contiene la cláusula del segundo inciso del art. 14 CE no implica el establecimiento de una lista cerrada de supuestos de discriminación (STC 75/1983); pero sí representa una explícita interdicción de determinadas diferencias históricamente muy arraigadas y que han situado, tanto por la acción de los poderes públicos como por la práctica social, a sectores de la población en posiciones, no sólo desventajosas, sino contrarias a la dignidad de la persona que reconoce el art. 10.1 CE (SSTC 128/1987 o 67/2022) [FJ 3].</w:t>
      </w:r>
    </w:p>
    <w:p w14:paraId="011380FD" w14:textId="77777777" w:rsidR="009D7677" w:rsidRDefault="009D7677" w:rsidP="009D7677">
      <w:pPr>
        <w:pStyle w:val="Extracto"/>
      </w:pPr>
    </w:p>
    <w:p w14:paraId="3C7CBD92" w14:textId="370C9E79" w:rsidR="009D7677" w:rsidRDefault="009D7677" w:rsidP="009D7677">
      <w:pPr>
        <w:pStyle w:val="Extracto"/>
      </w:pPr>
      <w:r>
        <w:t>2.</w:t>
      </w:r>
      <w:r>
        <w:tab/>
        <w:t>La condición de transexual, si bien no aparece expresamente mencionada en el art. 14 CE como uno de los concretos supuestos en que queda prohibido un trato discriminatorio, es indudablemente una circunstancia incluida en la cláusula (SSTC 176/2008 o 67/2022) [FJ 3].</w:t>
      </w:r>
    </w:p>
    <w:p w14:paraId="76A7AA08" w14:textId="77777777" w:rsidR="009D7677" w:rsidRDefault="009D7677" w:rsidP="009D7677">
      <w:pPr>
        <w:pStyle w:val="Extracto"/>
      </w:pPr>
    </w:p>
    <w:p w14:paraId="546D73D9" w14:textId="1B5DA9CE" w:rsidR="009D7677" w:rsidRDefault="009D7677" w:rsidP="009D7677">
      <w:pPr>
        <w:pStyle w:val="Extracto"/>
      </w:pPr>
      <w:r>
        <w:t>3.</w:t>
      </w:r>
      <w:r>
        <w:tab/>
        <w:t xml:space="preserve">El Tribunal Europeo de Derechos Humanos interpreta la cláusula antidiscriminatoria del art. 14 CEDH y su Protocolo núm. 12 como una cláusula abierta que permite la inclusión de la identidad de género entre las características protegidas (SSTEDH de 16 de julio de 2014, asunto </w:t>
      </w:r>
      <w:r w:rsidRPr="009D7677">
        <w:rPr>
          <w:i/>
        </w:rPr>
        <w:t>Hämäläinen c. Finlandia</w:t>
      </w:r>
      <w:r>
        <w:t xml:space="preserve">, § 109, y de 12 de mayo de 2015, asunto </w:t>
      </w:r>
      <w:r w:rsidRPr="009D7677">
        <w:rPr>
          <w:i/>
        </w:rPr>
        <w:t>Identoba y otros c. Georgia</w:t>
      </w:r>
      <w:r>
        <w:t>, § 96). (67/2022) [FJ 3].</w:t>
      </w:r>
    </w:p>
    <w:p w14:paraId="2DECC6F2" w14:textId="77777777" w:rsidR="009D7677" w:rsidRDefault="009D7677" w:rsidP="009D7677">
      <w:pPr>
        <w:pStyle w:val="Extracto"/>
      </w:pPr>
    </w:p>
    <w:p w14:paraId="5DEEB693" w14:textId="6FC107D7" w:rsidR="009D7677" w:rsidRDefault="009D7677" w:rsidP="009D7677">
      <w:pPr>
        <w:pStyle w:val="Extracto"/>
      </w:pPr>
      <w:r>
        <w:t>4.</w:t>
      </w:r>
      <w:r>
        <w:tab/>
        <w:t>En materia de flexibilización de la carga de la prueba de la discriminación, la jurisprudencia constitucional sobre la vulneración del art. 14 CE en el marco de las relaciones laborales y el reparto de la carga de la prueba pueden ser aplicadas cuando la causa sospechosa de haber provocado una actuación discriminatoria por parte del empleador tenga que ver con la identidad de género del trabajador (SSTC 38/1981 o 67/2022) [FJ 3].</w:t>
      </w:r>
    </w:p>
    <w:p w14:paraId="2AA0BEAC" w14:textId="77777777" w:rsidR="009D7677" w:rsidRDefault="009D7677" w:rsidP="009D7677">
      <w:pPr>
        <w:pStyle w:val="Extracto"/>
      </w:pPr>
    </w:p>
    <w:p w14:paraId="17A20F41" w14:textId="3F2FE7B0" w:rsidR="009D7677" w:rsidRDefault="009D7677" w:rsidP="009D7677">
      <w:pPr>
        <w:pStyle w:val="Extracto"/>
      </w:pPr>
      <w:r>
        <w:t>5.</w:t>
      </w:r>
      <w:r>
        <w:tab/>
        <w:t>Se activa el principio de inversión de la carga de la prueba si existen indicios de que la característica o condición que concurre en la persona empleada ha sido el detonante causal de su despido [FJ 4].</w:t>
      </w:r>
    </w:p>
    <w:p w14:paraId="1B3078B0" w14:textId="77777777" w:rsidR="009D7677" w:rsidRDefault="009D7677" w:rsidP="009D7677">
      <w:pPr>
        <w:pStyle w:val="Extracto"/>
      </w:pPr>
    </w:p>
    <w:p w14:paraId="6FBB282F" w14:textId="28AA060F" w:rsidR="009D7677" w:rsidRDefault="009D7677" w:rsidP="009D7677">
      <w:pPr>
        <w:pStyle w:val="Extracto"/>
      </w:pPr>
      <w:r>
        <w:t>6.</w:t>
      </w:r>
      <w:r>
        <w:tab/>
        <w:t>Si la parte empleada aporta un indicio razonable de que el acto empresarial lesiona su derecho fundamental, recaerá sobre la parte demandada -parte empleadora- la carga de probar que su actuación tuvo causas reales absolutamente ex</w:t>
      </w:r>
      <w:r>
        <w:lastRenderedPageBreak/>
        <w:t>trañas a la pretendida vulneración, así como que tenían entidad suficiente para justificar la decisión adoptada [FJ 4].</w:t>
      </w:r>
    </w:p>
    <w:p w14:paraId="169668D7" w14:textId="77777777" w:rsidR="009D7677" w:rsidRDefault="009D7677" w:rsidP="009D7677">
      <w:pPr>
        <w:pStyle w:val="Extracto"/>
      </w:pPr>
    </w:p>
    <w:p w14:paraId="05A05C82" w14:textId="7409AC15" w:rsidR="009D7677" w:rsidRDefault="009D7677" w:rsidP="009D7677">
      <w:pPr>
        <w:pStyle w:val="Extracto"/>
      </w:pPr>
      <w:r>
        <w:t>7.</w:t>
      </w:r>
      <w:r>
        <w:tab/>
        <w:t>La mera alegación de la vulneración constitucional o una retórica invocación del factor protegido no constituyen indicio de discriminación, sino que es necesario un hecho o conjunto de hechos que permita deducir la posibilidad de lesión [FJ 3].</w:t>
      </w:r>
    </w:p>
    <w:p w14:paraId="68B1DEFC" w14:textId="77777777" w:rsidR="009D7677" w:rsidRDefault="009D7677" w:rsidP="009D7677">
      <w:pPr>
        <w:pStyle w:val="Extracto"/>
      </w:pPr>
    </w:p>
    <w:p w14:paraId="283A090B" w14:textId="77777777" w:rsidR="009D7677" w:rsidRDefault="009D7677" w:rsidP="009D7677">
      <w:pPr>
        <w:pStyle w:val="Extracto"/>
      </w:pPr>
    </w:p>
    <w:p w14:paraId="60B666B5" w14:textId="77777777" w:rsidR="009D7677" w:rsidRDefault="009D7677" w:rsidP="009D7677">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36093666" w14:textId="218AB109" w:rsidR="009D7677" w:rsidRDefault="009D7677" w:rsidP="009D7677">
      <w:pPr>
        <w:pStyle w:val="TextoNormal"/>
      </w:pPr>
    </w:p>
    <w:p w14:paraId="47CDD6B2" w14:textId="77777777" w:rsidR="009D7677" w:rsidRDefault="009D7677" w:rsidP="009D7677">
      <w:pPr>
        <w:pStyle w:val="TextoNormalCentrado"/>
        <w:keepNext/>
      </w:pPr>
      <w:r>
        <w:t>EN NOMBRE DEL REY</w:t>
      </w:r>
    </w:p>
    <w:p w14:paraId="6D60F777" w14:textId="3C0285A5" w:rsidR="009D7677" w:rsidRDefault="009D7677" w:rsidP="009D7677">
      <w:pPr>
        <w:pStyle w:val="TextoNormalCentrado"/>
        <w:keepNext/>
      </w:pPr>
    </w:p>
    <w:p w14:paraId="55E71276" w14:textId="77777777" w:rsidR="009D7677" w:rsidRDefault="009D7677" w:rsidP="009D7677">
      <w:pPr>
        <w:pStyle w:val="TextoNormalCentrado"/>
        <w:keepNext/>
      </w:pPr>
    </w:p>
    <w:p w14:paraId="096C7800" w14:textId="77777777" w:rsidR="009D7677" w:rsidRDefault="009D7677" w:rsidP="009D7677">
      <w:pPr>
        <w:pStyle w:val="TextoNormal"/>
      </w:pPr>
      <w:r>
        <w:t>la siguiente</w:t>
      </w:r>
    </w:p>
    <w:p w14:paraId="517BC2E3" w14:textId="13F06C03" w:rsidR="009D7677" w:rsidRDefault="009D7677" w:rsidP="009D7677">
      <w:pPr>
        <w:pStyle w:val="TextoNormal"/>
      </w:pPr>
    </w:p>
    <w:p w14:paraId="6A050473" w14:textId="77777777" w:rsidR="009D7677" w:rsidRDefault="009D7677" w:rsidP="009D7677">
      <w:pPr>
        <w:pStyle w:val="TextoNormalCentrado"/>
        <w:keepNext/>
      </w:pPr>
      <w:r>
        <w:t>SENTENCIA</w:t>
      </w:r>
    </w:p>
    <w:p w14:paraId="07C9B99D" w14:textId="60E2708F" w:rsidR="009D7677" w:rsidRDefault="009D7677" w:rsidP="009D7677">
      <w:pPr>
        <w:pStyle w:val="TextoNormalCentrado"/>
        <w:keepNext/>
      </w:pPr>
    </w:p>
    <w:p w14:paraId="08F33EA8" w14:textId="77777777" w:rsidR="009D7677" w:rsidRDefault="009D7677" w:rsidP="009D7677">
      <w:pPr>
        <w:pStyle w:val="TextoNormal"/>
      </w:pPr>
      <w:r>
        <w:t>En el recurso de amparo núm. 3819-2020, promovido por doña Lucía López Lozano, representada por la procuradora de los tribunales doña Valentina López Valero y defendida por el letrado don Valentín J. Aguilar Villuendas, contra la sentencia dictada por la Sala de lo Social del Tribunal Superior de Justicia de Andalucía, con sede en Sevilla, el 24 de junio de 2020, que estima el recurso de suplicación núm. 241-2019, interpuesto por la Consejería de Cultura, Turismo y Deporte de la Junta de Andalucía contra la sentencia dictada por el Juzgado de lo Social núm. 4 de Córdoba el 31 de julio de 2018 en procedimiento de despido núm. 867-2018. Ha intervenido el Ministerio Fiscal. Se ha personado y formulado alegaciones la Junta de Andalucía. Ha sido ponente el magistrado don César Tolosa Tribiño.</w:t>
      </w:r>
    </w:p>
    <w:p w14:paraId="5C830DF9" w14:textId="7CCABE4B" w:rsidR="009D7677" w:rsidRDefault="009D7677" w:rsidP="009D7677">
      <w:pPr>
        <w:pStyle w:val="TextoNormal"/>
      </w:pPr>
    </w:p>
    <w:p w14:paraId="593651CB" w14:textId="77777777" w:rsidR="009D7677" w:rsidRDefault="009D7677" w:rsidP="009D7677">
      <w:pPr>
        <w:pStyle w:val="TextoNormalNegritaCentrado"/>
        <w:keepNext/>
      </w:pPr>
      <w:r>
        <w:t>I. Antecedentes</w:t>
      </w:r>
    </w:p>
    <w:p w14:paraId="1A0DDCFE" w14:textId="20E3AB7B" w:rsidR="009D7677" w:rsidRDefault="009D7677" w:rsidP="009D7677">
      <w:pPr>
        <w:pStyle w:val="TextoNormalNegritaCentrado"/>
        <w:keepNext/>
      </w:pPr>
    </w:p>
    <w:p w14:paraId="1AF1C43D" w14:textId="15EC0B32" w:rsidR="009D7677" w:rsidRDefault="009D7677" w:rsidP="009D7677">
      <w:pPr>
        <w:pStyle w:val="TextoNormal"/>
      </w:pPr>
      <w:r w:rsidRPr="009D7677">
        <w:rPr>
          <w:rStyle w:val="NumeroAFNegritaCaracter"/>
        </w:rPr>
        <w:t>1</w:t>
      </w:r>
      <w:r>
        <w:t>. El día 10 de noviembre de 2020, previo nombramiento de la procuradora de los tribunales del turno de oficio, doña Lucía López Lozano presentó en el registro general del Tribunal Constitucional demanda de amparo contra las resoluciones judiciales a las que se ha hecho mención en el encabezamiento de esta sentencia.</w:t>
      </w:r>
    </w:p>
    <w:p w14:paraId="1F829D45" w14:textId="77777777" w:rsidR="009D7677" w:rsidRDefault="009D7677" w:rsidP="009D7677">
      <w:pPr>
        <w:pStyle w:val="TextoNormal"/>
      </w:pPr>
    </w:p>
    <w:p w14:paraId="4038F860" w14:textId="77777777" w:rsidR="009D7677" w:rsidRDefault="009D7677" w:rsidP="009D7677">
      <w:pPr>
        <w:pStyle w:val="TextoNormal"/>
      </w:pPr>
      <w:r w:rsidRPr="009D7677">
        <w:rPr>
          <w:rStyle w:val="NumeroAFNegritaCaracter"/>
        </w:rPr>
        <w:t>2</w:t>
      </w:r>
      <w:r>
        <w:t>. Los hechos en los que se funda el presente proceso de amparo, tal y como se derivan de los hechos declarados probados en las resoluciones de instancia, son, sucintamente expuestos, los siguientes:</w:t>
      </w:r>
    </w:p>
    <w:p w14:paraId="02718609" w14:textId="77777777" w:rsidR="009D7677" w:rsidRDefault="009D7677" w:rsidP="009D7677">
      <w:pPr>
        <w:pStyle w:val="TextoNormal"/>
      </w:pPr>
    </w:p>
    <w:p w14:paraId="6562F308" w14:textId="77777777" w:rsidR="009D7677" w:rsidRDefault="009D7677" w:rsidP="009D7677">
      <w:pPr>
        <w:pStyle w:val="TextoNormal"/>
      </w:pPr>
      <w:r>
        <w:t xml:space="preserve">a) La recurrente en amparo, con contrato de trabajo temporal de interinidad suscrito el 9 de agosto de 2007, comenzó a prestar servicios, desde el 3 de septiembre de 2007, para la </w:t>
      </w:r>
      <w:r>
        <w:lastRenderedPageBreak/>
        <w:t>Consejería de Cultura, Deporte y Turismo de la Junta de Andalucía, con destino en el Museo Arqueológico de Córdoba.</w:t>
      </w:r>
    </w:p>
    <w:p w14:paraId="7D1A75EA" w14:textId="77777777" w:rsidR="009D7677" w:rsidRDefault="009D7677" w:rsidP="009D7677">
      <w:pPr>
        <w:pStyle w:val="TextoNormal"/>
      </w:pPr>
    </w:p>
    <w:p w14:paraId="443D7FFE" w14:textId="77777777" w:rsidR="009D7677" w:rsidRDefault="009D7677" w:rsidP="009D7677">
      <w:pPr>
        <w:pStyle w:val="TextoNormal"/>
      </w:pPr>
      <w:r>
        <w:t>Tenía reconocida la categoría profesional de encargada de control y atención al público, grupo III del VI Convenio colectivo del personal laboral de la Administración de la Junta de Andalucía.</w:t>
      </w:r>
    </w:p>
    <w:p w14:paraId="46DC48C5" w14:textId="77777777" w:rsidR="009D7677" w:rsidRDefault="009D7677" w:rsidP="009D7677">
      <w:pPr>
        <w:pStyle w:val="TextoNormal"/>
      </w:pPr>
    </w:p>
    <w:p w14:paraId="66658181" w14:textId="77777777" w:rsidR="009D7677" w:rsidRDefault="009D7677" w:rsidP="009D7677">
      <w:pPr>
        <w:pStyle w:val="TextoNormal"/>
      </w:pPr>
      <w:r>
        <w:t>Existía otro puesto de encargado de control y atención al público ocupado por A.F.R., vinculado a la misma administración por un contrato de relevo, a tiempo parcial, por la jubilación parcial de doña. E.P.R., y con vigencia desde el 1 de junio de 2014 al 1 de junio de 2018.</w:t>
      </w:r>
    </w:p>
    <w:p w14:paraId="55D4996F" w14:textId="77777777" w:rsidR="009D7677" w:rsidRDefault="009D7677" w:rsidP="009D7677">
      <w:pPr>
        <w:pStyle w:val="TextoNormal"/>
      </w:pPr>
    </w:p>
    <w:p w14:paraId="62B73F77" w14:textId="77777777" w:rsidR="009D7677" w:rsidRDefault="009D7677" w:rsidP="009D7677">
      <w:pPr>
        <w:pStyle w:val="TextoNormal"/>
      </w:pPr>
      <w:r>
        <w:t>b) La duración del contrato de la recurrente en amparo era hasta que el puesto fuera cubierto a través de los procedimientos establecidos en la Ley del Parlamento de Andalucía 6/1985, de 28 de noviembre, de ordenación de la función pública de la Junta de Andalucía y el vigente convenio colectivo aplicable y, en todo caso, mientras el servicio fuera necesario o finalizara la obra para la que fue contratada.</w:t>
      </w:r>
    </w:p>
    <w:p w14:paraId="52B1AA42" w14:textId="77777777" w:rsidR="009D7677" w:rsidRDefault="009D7677" w:rsidP="009D7677">
      <w:pPr>
        <w:pStyle w:val="TextoNormal"/>
      </w:pPr>
    </w:p>
    <w:p w14:paraId="32A4ADFA" w14:textId="77777777" w:rsidR="009D7677" w:rsidRDefault="009D7677" w:rsidP="009D7677">
      <w:pPr>
        <w:pStyle w:val="TextoNormal"/>
      </w:pPr>
      <w:r>
        <w:t>c) La demandante de amparo fue intervenida quirúrgicamente en la columna y le fue reconocida una discapacidad del 36 por 100. Dicha intervención dio lugar a que efectuara una solicitud de adecuación de su puesto de trabajo cuyo devenir se expone a continuación:</w:t>
      </w:r>
    </w:p>
    <w:p w14:paraId="5A6C96F1" w14:textId="77777777" w:rsidR="009D7677" w:rsidRDefault="009D7677" w:rsidP="009D7677">
      <w:pPr>
        <w:pStyle w:val="TextoNormal"/>
      </w:pPr>
    </w:p>
    <w:p w14:paraId="2E3ECD85" w14:textId="77777777" w:rsidR="009D7677" w:rsidRDefault="009D7677" w:rsidP="009D7677">
      <w:pPr>
        <w:pStyle w:val="TextoNormal"/>
      </w:pPr>
      <w:r>
        <w:t>(i) El 15 de septiembre de 2014 presentó a la dirección del Museo Arqueológico de Córdoba escrito exponiendo que había sido intervenida quirúrgicamente en la columna, que tiene reconocido un 36 por 100 de discapacidad y que por ello solicitaba que se le adecuara el puesto de trabajo con sillón ergonómico acorde a una artrodesis lumbosacra.</w:t>
      </w:r>
    </w:p>
    <w:p w14:paraId="7378CB85" w14:textId="77777777" w:rsidR="009D7677" w:rsidRDefault="009D7677" w:rsidP="009D7677">
      <w:pPr>
        <w:pStyle w:val="TextoNormal"/>
      </w:pPr>
    </w:p>
    <w:p w14:paraId="6535A4A0" w14:textId="77777777" w:rsidR="009D7677" w:rsidRDefault="009D7677" w:rsidP="009D7677">
      <w:pPr>
        <w:pStyle w:val="TextoNormal"/>
      </w:pPr>
      <w:r>
        <w:t>(ii) El 16 de diciembre de 2015 la recurrente dirigió un escrito al jefe de servicios de instituciones y programas culturales de la Delegación de Cultura, Turismo y Deporte en Córdoba, en el que insistía en la solicitud del sillón. Explica que pidió un sillón ergonómico a la dirección del museo y que, ante la falta de respuesta, efectuó la solicitud al área de vigilancia de la salud del centro de prevención de riesgos laborales de Córdoba. Señala que dicho organismo concluyó la procedencia de “sentarse en una silla firme con un respaldar recto y apoyabrazos”. Añade que en junio de 2015 el técnico evaluador le informó telefónicamente que el sillón ergonómico estaba comprado. Apunta que, una vez recibido el sillón, la directora del museo acordó su devolución al proveedor para su cambio de color al no ser corporativo (negro en lugar de naranja). Y señala que a fecha de la solicitud aún no tiene el sillón.</w:t>
      </w:r>
    </w:p>
    <w:p w14:paraId="60C20A9A" w14:textId="77777777" w:rsidR="009D7677" w:rsidRDefault="009D7677" w:rsidP="009D7677">
      <w:pPr>
        <w:pStyle w:val="TextoNormal"/>
      </w:pPr>
    </w:p>
    <w:p w14:paraId="24A951D4" w14:textId="77777777" w:rsidR="009D7677" w:rsidRDefault="009D7677" w:rsidP="009D7677">
      <w:pPr>
        <w:pStyle w:val="TextoNormal"/>
      </w:pPr>
      <w:r>
        <w:t>(iii) El 28 de enero de 2016 por parte de la Consejería se remitió la evaluación de su puesto de trabajo y las medidas preventivas a adoptar, consistentes en que sería necesario proporcionar una “silla ergonómica adaptada a las características anatómicas del trabajador/a que dispusiera además de respaldo y reposabrazos” y que sería además recomendable “disponer de un atril o porta documentos situado junto a la pantalla”.</w:t>
      </w:r>
    </w:p>
    <w:p w14:paraId="50BA5792" w14:textId="77777777" w:rsidR="009D7677" w:rsidRDefault="009D7677" w:rsidP="009D7677">
      <w:pPr>
        <w:pStyle w:val="TextoNormal"/>
      </w:pPr>
    </w:p>
    <w:p w14:paraId="7A4ADD6B" w14:textId="77777777" w:rsidR="009D7677" w:rsidRDefault="009D7677" w:rsidP="009D7677">
      <w:pPr>
        <w:pStyle w:val="TextoNormal"/>
      </w:pPr>
      <w:r>
        <w:t>(iv) Finalmente, la silla fue entregada en el mes de febrero o marzo de 2016.</w:t>
      </w:r>
    </w:p>
    <w:p w14:paraId="6F9DA356" w14:textId="77777777" w:rsidR="009D7677" w:rsidRDefault="009D7677" w:rsidP="009D7677">
      <w:pPr>
        <w:pStyle w:val="TextoNormal"/>
      </w:pPr>
    </w:p>
    <w:p w14:paraId="66C944A8" w14:textId="77777777" w:rsidR="009D7677" w:rsidRDefault="009D7677" w:rsidP="009D7677">
      <w:pPr>
        <w:pStyle w:val="TextoNormal"/>
      </w:pPr>
      <w:r>
        <w:lastRenderedPageBreak/>
        <w:t>(v) A otros compañeros que también necesitaron una silla ergonómica se les había facilitado en unos tres o cuatro meses desde su solicitud, e incluso se les había permitido usarla siendo la servida de otro color distinto (rojo, en vez de naranja).</w:t>
      </w:r>
    </w:p>
    <w:p w14:paraId="297AD0DE" w14:textId="77777777" w:rsidR="009D7677" w:rsidRDefault="009D7677" w:rsidP="009D7677">
      <w:pPr>
        <w:pStyle w:val="TextoNormal"/>
      </w:pPr>
    </w:p>
    <w:p w14:paraId="3E40DAE1" w14:textId="77777777" w:rsidR="009D7677" w:rsidRDefault="009D7677" w:rsidP="009D7677">
      <w:pPr>
        <w:pStyle w:val="TextoNormal"/>
      </w:pPr>
      <w:r>
        <w:t>d) En fecha que no consta, la recurrente inició un proceso de transición de género que tuvo incidencia en su relación laboral:</w:t>
      </w:r>
    </w:p>
    <w:p w14:paraId="4B06A6BB" w14:textId="77777777" w:rsidR="009D7677" w:rsidRDefault="009D7677" w:rsidP="009D7677">
      <w:pPr>
        <w:pStyle w:val="TextoNormal"/>
      </w:pPr>
    </w:p>
    <w:p w14:paraId="45ECCE3D" w14:textId="77777777" w:rsidR="009D7677" w:rsidRDefault="009D7677" w:rsidP="009D7677">
      <w:pPr>
        <w:pStyle w:val="TextoNormal"/>
      </w:pPr>
      <w:r>
        <w:t>(i) La recurrente había prestado servicios en el mostrador de entrada del museo y de atención a los visitantes en la taquilla, aunque, al igual que hacían otros compañeros, también controlaba el patio e informaba a los visitantes y, si era necesario, hacía visitas guiadas, aunque no formaban parte del contenido del puesto ocupado por la demandante de amparo y solo de modo puntual y en casos de falta de personal las había realizado. Coincidiendo con su proceso de transición de género no se le permitió hacer visitas guiadas y talleres de niños, así como estar en el patio controlando y ayudando a los visitantes, encomendándosele únicamente la expedición de billetes de entrada.</w:t>
      </w:r>
    </w:p>
    <w:p w14:paraId="20FE89FA" w14:textId="77777777" w:rsidR="009D7677" w:rsidRDefault="009D7677" w:rsidP="009D7677">
      <w:pPr>
        <w:pStyle w:val="TextoNormal"/>
      </w:pPr>
    </w:p>
    <w:p w14:paraId="6D594DC3" w14:textId="77777777" w:rsidR="009D7677" w:rsidRDefault="009D7677" w:rsidP="009D7677">
      <w:pPr>
        <w:pStyle w:val="TextoNormal"/>
      </w:pPr>
      <w:r>
        <w:t>(ii) La demandante de amparo, en fecha que no consta, pidió en su centro de trabajo que se le llamara Lucía. Hubo compañeros que así lo hicieron pero otros, entre ellos la directora, le dijeron que no lo harían mientras no constase el cambio de nombre en su documentación.</w:t>
      </w:r>
    </w:p>
    <w:p w14:paraId="79A3A3CF" w14:textId="77777777" w:rsidR="009D7677" w:rsidRDefault="009D7677" w:rsidP="009D7677">
      <w:pPr>
        <w:pStyle w:val="TextoNormal"/>
      </w:pPr>
    </w:p>
    <w:p w14:paraId="2CD17BE7" w14:textId="77777777" w:rsidR="009D7677" w:rsidRDefault="009D7677" w:rsidP="009D7677">
      <w:pPr>
        <w:pStyle w:val="TextoNormal"/>
      </w:pPr>
      <w:r>
        <w:t>(iii) Ante dicha situación, el 18 de febrero de 2016 dirigió idéntico escrito a la Delegación Territorial de la Consejería de Cultura, Turismo y Deporte y a la directora del Museo Arqueológico de Córdoba. La recurrente, con sustento en la Ley 2/2014, de 8 de julio, integral para la no discriminación por motivos de identidad de género y reconocimiento de los derechos de las personas transexuales de Andalucía, solicitó el reconocimiento de su identidad de género y ser tratada conforme a la misma y, en particular, ser identificada como Lucía en los instrumentos que acrediten su identidad en el ámbito de la administración de la Junta de Andalucía y ser tratada de acuerdo con su identidad por el personal del museo.</w:t>
      </w:r>
    </w:p>
    <w:p w14:paraId="2385FBB8" w14:textId="77777777" w:rsidR="009D7677" w:rsidRDefault="009D7677" w:rsidP="009D7677">
      <w:pPr>
        <w:pStyle w:val="TextoNormal"/>
      </w:pPr>
    </w:p>
    <w:p w14:paraId="7848BFC6" w14:textId="77777777" w:rsidR="009D7677" w:rsidRDefault="009D7677" w:rsidP="009D7677">
      <w:pPr>
        <w:pStyle w:val="TextoNormal"/>
      </w:pPr>
      <w:r>
        <w:t>(iv) El 26 de febrero de 2016, la directora del Museo Arqueológico emitió por correo electrónico un comunicado, dando traslado a todo el personal de lo siguiente:</w:t>
      </w:r>
    </w:p>
    <w:p w14:paraId="72B1E5C2" w14:textId="77777777" w:rsidR="009D7677" w:rsidRDefault="009D7677" w:rsidP="009D7677">
      <w:pPr>
        <w:pStyle w:val="TextoNormal"/>
      </w:pPr>
    </w:p>
    <w:p w14:paraId="306615F7" w14:textId="77777777" w:rsidR="009D7677" w:rsidRDefault="009D7677" w:rsidP="009D7677">
      <w:pPr>
        <w:pStyle w:val="TextoNormal"/>
      </w:pPr>
      <w:r>
        <w:t>“Tanto por solicitud de la persona interesada como por comunicación de la Delegación Territorial, se informa que la identidad de género libremente determinada por J.M. López Lozano (Lucía) es que se le identifique por el nombre de Lucía, lo que se traslada para conocimiento de todo el personal, al objeto de que nuestra compañera sea identificada por el citado nombre de Lucía y, consecuentemente, tratada de acuerdo con su identidad de género”.</w:t>
      </w:r>
    </w:p>
    <w:p w14:paraId="6982120E" w14:textId="77777777" w:rsidR="009D7677" w:rsidRDefault="009D7677" w:rsidP="009D7677">
      <w:pPr>
        <w:pStyle w:val="TextoNormal"/>
      </w:pPr>
    </w:p>
    <w:p w14:paraId="098CC61B" w14:textId="77777777" w:rsidR="009D7677" w:rsidRDefault="009D7677" w:rsidP="009D7677">
      <w:pPr>
        <w:pStyle w:val="TextoNormal"/>
      </w:pPr>
      <w:r>
        <w:t>e) Por resolución de 12 de julio de 2016 [publicada en el “Boletín Oficial de la Junta de Andalucía” (en adelante “BOJA”) núm. 140, de 22 de julio de 2016], de la Dirección General de Recursos Humanos y Función Pública de la Consejería de Hacienda y Administración Pública de la Junta de Andalucía, se convocó y reguló el concurso de traslados, inicial y a resultas, entre el personal laboral de carácter fijo o fijo discontinuo incluido en el ámbito de aplicación del convenio colectivo del personal laboral al servicio de la administración de la Junta de Andalucía.</w:t>
      </w:r>
    </w:p>
    <w:p w14:paraId="129EADD1" w14:textId="77777777" w:rsidR="009D7677" w:rsidRDefault="009D7677" w:rsidP="009D7677">
      <w:pPr>
        <w:pStyle w:val="TextoNormal"/>
      </w:pPr>
    </w:p>
    <w:p w14:paraId="4A65D517" w14:textId="77777777" w:rsidR="009D7677" w:rsidRDefault="009D7677" w:rsidP="009D7677">
      <w:pPr>
        <w:pStyle w:val="TextoNormal"/>
      </w:pPr>
      <w:r>
        <w:t>f) Cuatro meses después, el 24 de noviembre de 2016, la recurrente, con la finalidad de permanecer en su puesto de trabajo, presentó escrito en la Delegación Provincial de Córdoba de la Consejería de Cultura por el que solicitó que se le reconociera el carácter indefinido de la relación laboral. A finales de diciembre de 2016 interpuso demanda, con idéntica pretensión, que fue desestimada por el Juzgado de lo Social núm. 2 de Córdoba, por sentencia de 28 de julio de 2017.</w:t>
      </w:r>
    </w:p>
    <w:p w14:paraId="6096B0A6" w14:textId="77777777" w:rsidR="009D7677" w:rsidRDefault="009D7677" w:rsidP="009D7677">
      <w:pPr>
        <w:pStyle w:val="TextoNormal"/>
      </w:pPr>
    </w:p>
    <w:p w14:paraId="6B90AEC0" w14:textId="77777777" w:rsidR="009D7677" w:rsidRDefault="009D7677" w:rsidP="009D7677">
      <w:pPr>
        <w:pStyle w:val="TextoNormal"/>
      </w:pPr>
      <w:r>
        <w:t>g) Unos días antes de dictarse la sentencia, se había publicado la resolución de 2 de mayo de 2017, de la Dirección General de Recursos Humanos y Función Pública de la Consejería de Hacienda y Administración Pública de la Junta de Andalucía, por la que se aprobó e hizo pública la resolución definitiva correspondiente al concurso de traslados entre el personal laboral de carácter fijo o fijo discontinuo incluido en el ámbito de aplicación del convenio colectivo del personal laboral al servicio de la Administración de la Junta de Andalucía, convocado por resolución de 12 de julio de 2016. El puesto de la recurrente se encontraba afectado por el concurso de traslados y se había adjudicado a otra trabajadora.</w:t>
      </w:r>
    </w:p>
    <w:p w14:paraId="42A21D49" w14:textId="77777777" w:rsidR="009D7677" w:rsidRDefault="009D7677" w:rsidP="009D7677">
      <w:pPr>
        <w:pStyle w:val="TextoNormal"/>
      </w:pPr>
    </w:p>
    <w:p w14:paraId="110317D9" w14:textId="77777777" w:rsidR="009D7677" w:rsidRDefault="009D7677" w:rsidP="009D7677">
      <w:pPr>
        <w:pStyle w:val="TextoNormal"/>
      </w:pPr>
      <w:r>
        <w:t>h) El 8 de junio de 2017 se notificó a la demandante de amparo la siguiente carta: “Por resolución de 2 de mayo de 2017 de la Dirección General de Recursos Humanos y Función Pública, se aprueba y se hace pública la resolución definitiva correspondiente al concurso de traslados entre el personal laboral fijo o fijo discontinuo incluido en el ámbito de aplicación del convenio colectivo del personal laboral al servicio de la Administración de la Junta de Andalucía, convocado por resolución de 12 de julio de 2016, en dicha resolución se establece que la extinción de los contratos de aquellos trabajadores temporales que ocupen puestos adjudicados en el presente concurso de traslados, se producirá con efectos del día 30 de junio de 2017. A tales efectos se adjunta preaviso de extinción de su relación laboral”.</w:t>
      </w:r>
    </w:p>
    <w:p w14:paraId="7F129A4A" w14:textId="77777777" w:rsidR="009D7677" w:rsidRDefault="009D7677" w:rsidP="009D7677">
      <w:pPr>
        <w:pStyle w:val="TextoNormal"/>
      </w:pPr>
    </w:p>
    <w:p w14:paraId="7D98F435" w14:textId="77777777" w:rsidR="009D7677" w:rsidRDefault="009D7677" w:rsidP="009D7677">
      <w:pPr>
        <w:pStyle w:val="TextoNormal"/>
      </w:pPr>
      <w:r>
        <w:t>i) El 11 de julio de 2017, doña Lucía López Lozano interpuso demanda por despido, que fue turnada al Juzgado de lo Social núm. 4 de Córdoba, en la que pretendía la declaración de nulidad del despido al traer causa de la discriminación por su condición de transexual y la reclamación efectuada a la empleadora de que se declarase el carácter indefinido de su relación laboral, por lo que se le conculca la garantía de indemnidad (arts. 14 y 24.1 CE). Subsidiariamente solicitaba que se declarara la improcedencia del despido por carecer el contrato y el cese de soporte legal.</w:t>
      </w:r>
    </w:p>
    <w:p w14:paraId="240BCC0C" w14:textId="77777777" w:rsidR="009D7677" w:rsidRDefault="009D7677" w:rsidP="009D7677">
      <w:pPr>
        <w:pStyle w:val="TextoNormal"/>
      </w:pPr>
    </w:p>
    <w:p w14:paraId="27582E0B" w14:textId="77777777" w:rsidR="009D7677" w:rsidRDefault="009D7677" w:rsidP="009D7677">
      <w:pPr>
        <w:pStyle w:val="TextoNormal"/>
      </w:pPr>
      <w:r>
        <w:t>La demandante de amparo argumentaba haber pedido explicaciones desde que conoció la finalización de su contrato y cese en relación a que, tratándose de un código multipuesto (en el que se asignan dos puestos de trabajo con el mismo código) fuera ella la cesada y no quien ocupaba el otro puesto, cuando su compañera tenía menos antigüedad, citándose en la demanda la sentencia del Tribunal de Justicia de la Unión Europea, Sala Segunda, de 19 de abril de 2020, en el sentido de que “una denegación total de acceso a la información por una parte demandada pued[e] constituir uno de los factores que se deben tener en cuenta en el contexto de la acreditación de los hechos que permiten presumir la existencia de una discriminación directa o indirecta”.</w:t>
      </w:r>
    </w:p>
    <w:p w14:paraId="6685C406" w14:textId="77777777" w:rsidR="009D7677" w:rsidRDefault="009D7677" w:rsidP="009D7677">
      <w:pPr>
        <w:pStyle w:val="TextoNormal"/>
      </w:pPr>
    </w:p>
    <w:p w14:paraId="08990D1F" w14:textId="77777777" w:rsidR="009D7677" w:rsidRDefault="009D7677" w:rsidP="009D7677">
      <w:pPr>
        <w:pStyle w:val="TextoNormal"/>
      </w:pPr>
      <w:r>
        <w:lastRenderedPageBreak/>
        <w:t>Por su parte, la administración se opuso a la demanda. Rechazó la existencia de discriminación y de la vulneración de la garantía de indemnidad. Afirmó que el cese se debió a la resolución de 2 de mayo de 2017 del concurso de traslados en el que estaban incluidas todas las plazas ocupadas provisionalmente. El código de la plaza que ocupaba la demandante respondía a un multipuesto (dos plazas) debiendo ser desplazada la señora López Lozano porque la otra empleada tenía un contrato de relevo, vinculándose su cese al trabajador jubilado parcialmente al que sustituía. La administración se opuso también a la calificación de improcedencia.</w:t>
      </w:r>
    </w:p>
    <w:p w14:paraId="77B73565" w14:textId="77777777" w:rsidR="009D7677" w:rsidRDefault="009D7677" w:rsidP="009D7677">
      <w:pPr>
        <w:pStyle w:val="TextoNormal"/>
      </w:pPr>
    </w:p>
    <w:p w14:paraId="07D4405C" w14:textId="77777777" w:rsidR="009D7677" w:rsidRDefault="009D7677" w:rsidP="009D7677">
      <w:pPr>
        <w:pStyle w:val="TextoNormal"/>
      </w:pPr>
      <w:r>
        <w:t>j) Por sentencia de 31 de julio de 2018 dictada por el Juzgado de lo Social núm. 4 de Córdoba se desestimó la pretensión de nulidad y se declaró la improcedencia del cese de la señora López Lozano con las consecuencias legales derivadas de la misma.</w:t>
      </w:r>
    </w:p>
    <w:p w14:paraId="787633BF" w14:textId="77777777" w:rsidR="009D7677" w:rsidRDefault="009D7677" w:rsidP="009D7677">
      <w:pPr>
        <w:pStyle w:val="TextoNormal"/>
      </w:pPr>
    </w:p>
    <w:p w14:paraId="3FF83532" w14:textId="77777777" w:rsidR="009D7677" w:rsidRDefault="009D7677" w:rsidP="009D7677">
      <w:pPr>
        <w:pStyle w:val="TextoNormal"/>
      </w:pPr>
      <w:r>
        <w:t>Se descartó que el móvil del despido fuera discriminatorio por su condición de transexual y tampoco apreció lesión de la garantía de indemnidad, ya que concluye que nada tuvo que ver la resolución del cese con las reclamaciones de la trabajadora, dependiendo la convocatoria del concurso de traslados de la Administración General de la Junta de Andalucía y no de la dirección del Museo. Razonó que las reclamaciones relativas a la entrega de un sillón ergonómico y a ser tratada por su nombre fueron satisfechas por la Junta de Andalucía relativamente pronto. Tampoco apreció discriminación en relación con otro trabajador ya que este ocupaba la plaza con un contrato de relevo, sustituyendo al relevista, y no fue incluida dicha plaza en el concurso de traslados por su especificidad.</w:t>
      </w:r>
    </w:p>
    <w:p w14:paraId="7A9A8BFF" w14:textId="77777777" w:rsidR="009D7677" w:rsidRDefault="009D7677" w:rsidP="009D7677">
      <w:pPr>
        <w:pStyle w:val="TextoNormal"/>
      </w:pPr>
    </w:p>
    <w:p w14:paraId="3EB73A56" w14:textId="77777777" w:rsidR="009D7677" w:rsidRDefault="009D7677" w:rsidP="009D7677">
      <w:pPr>
        <w:pStyle w:val="TextoNormal"/>
      </w:pPr>
      <w:r>
        <w:t>k) Interpuesto recurso de suplicación tanto por la trabajadora como por la Consejería de Cultura, Turismo y Deporte de la Junta de Andalucía fue resuelto por sentencia de la Sala de lo Social del Tribunal Superior de Justicia de Andalucía de 24 de junio de 2020.</w:t>
      </w:r>
    </w:p>
    <w:p w14:paraId="107F1AC9" w14:textId="77777777" w:rsidR="009D7677" w:rsidRDefault="009D7677" w:rsidP="009D7677">
      <w:pPr>
        <w:pStyle w:val="TextoNormal"/>
      </w:pPr>
    </w:p>
    <w:p w14:paraId="302CE23C" w14:textId="4F6AB3E6" w:rsidR="009D7677" w:rsidRDefault="009D7677" w:rsidP="009D7677">
      <w:pPr>
        <w:pStyle w:val="TextoNormal"/>
      </w:pPr>
      <w:r>
        <w:t>La sentencia desestimó el recurso de suplicación de la trabajadora, estimó el recurso interpuesto por la empleadora y consiguientemente rechazó la improcedencia del despido. Confirmó la inexistencia de nulidad por las siguientes razones: (i) El cese de la trabajadora se había producido por la cobertura en forma reglamentaria de la plaza. La convocatoria del concurso es de fecha 12 de julio de 2016, por tanto, bastante antes de la presentación del escrito reclamando la declaración del carácter indefinido de su relación laboral, que no tiene lugar hasta finales del mes de noviembre de 2016. (ii) No se aprecian notas discriminatorias en la conducta de la directora del museo ni de los compañeros que se negaron a llamarla por su nombre femenino hasta que constara documentalmente el cambio de sexo, lo que se corrigió en febrero de 2016, ni tampoco en las incidencias por el retraso en la puesta a disposición del sillón ergonómico. De ambos motivos no se desprende de forma lógica y razonable la existencia de un móvil discriminatorio en la decisión de la administración de convocar la plaza que ocupaba la trabajadora incluyéndola en el concurso, que además afecta a cientos de puestos en el ámbito de la Junta de Andalucía.</w:t>
      </w:r>
    </w:p>
    <w:p w14:paraId="32D7C2FB" w14:textId="77777777" w:rsidR="009D7677" w:rsidRDefault="009D7677" w:rsidP="009D7677">
      <w:pPr>
        <w:pStyle w:val="TextoNormal"/>
      </w:pPr>
    </w:p>
    <w:p w14:paraId="55FDCB68" w14:textId="77777777" w:rsidR="009D7677" w:rsidRDefault="009D7677" w:rsidP="009D7677">
      <w:pPr>
        <w:pStyle w:val="TextoNormal"/>
      </w:pPr>
      <w:r w:rsidRPr="009D7677">
        <w:rPr>
          <w:rStyle w:val="NumeroAFNegritaCaracter"/>
        </w:rPr>
        <w:t>3</w:t>
      </w:r>
      <w:r>
        <w:t>. En la demanda de amparo se impugnan la sentencia de la Sala de lo Social del Tribunal Superior de Justicia de Andalucía, de 24 de junio de 2020, y la del Juzgado de lo Social núm. 4 de Córdoba, de 31 de julio de 2018, al no estimar la nulidad del despido. La demandante entiende que se ha vulnerado el derecho a la igualdad en conexión con el derecho a la tutela judicial efectiva en su vertiente de garantía de indemnidad (arts. 14 y 24.1 CE).</w:t>
      </w:r>
    </w:p>
    <w:p w14:paraId="04642375" w14:textId="77777777" w:rsidR="009D7677" w:rsidRDefault="009D7677" w:rsidP="009D7677">
      <w:pPr>
        <w:pStyle w:val="TextoNormal"/>
      </w:pPr>
    </w:p>
    <w:p w14:paraId="2E591C12" w14:textId="77777777" w:rsidR="009D7677" w:rsidRDefault="009D7677" w:rsidP="009D7677">
      <w:pPr>
        <w:pStyle w:val="TextoNormal"/>
      </w:pPr>
      <w:r>
        <w:t>a) En primer lugar considera que se ha producido una vulneración del derecho a la igualdad y a la no discriminación (art. 14 CE) en relación con el art. 10.1 CE. Tras efectuar algunas consideraciones sobre el contenido y alcance del art. 14 CE, afirma que existen indicios de discriminación. De modo genérico se refiere a “todos los impedimentos y situaciones que vivió la recurrente” que producen una inversión de la carga de la prueba que obliga al empleador a demostrar que los hechos denunciados no lesionaron derechos y fueron ajenos a todo propósito atentatorio contra el derecho fundamental indicado.</w:t>
      </w:r>
    </w:p>
    <w:p w14:paraId="4BA2E728" w14:textId="77777777" w:rsidR="009D7677" w:rsidRDefault="009D7677" w:rsidP="009D7677">
      <w:pPr>
        <w:pStyle w:val="TextoNormal"/>
      </w:pPr>
    </w:p>
    <w:p w14:paraId="18D84C9B" w14:textId="77777777" w:rsidR="009D7677" w:rsidRDefault="009D7677" w:rsidP="009D7677">
      <w:pPr>
        <w:pStyle w:val="TextoNormal"/>
      </w:pPr>
      <w:r>
        <w:t>Sostiene que el “principio de prueba” consta en la sentencia del juzgado de lo social, en la que específicamente se señala, con relación a su transexualidad que “el trato recibido en su centro de trabajo, efectivamente, ha sido inadecuado debido a tal circunstancia personal”. De ese modo, queda acreditado que la recurrente ha sufrido un trato discriminatorio en su empresa anterior a la decisión de elegir específicamente su plaza (y no otras idénticas) para vincularla al concurso convocado y provocar así el cese de su relación laboral.</w:t>
      </w:r>
    </w:p>
    <w:p w14:paraId="34F6576E" w14:textId="77777777" w:rsidR="009D7677" w:rsidRDefault="009D7677" w:rsidP="009D7677">
      <w:pPr>
        <w:pStyle w:val="TextoNormal"/>
      </w:pPr>
    </w:p>
    <w:p w14:paraId="42088724" w14:textId="77777777" w:rsidR="009D7677" w:rsidRDefault="009D7677" w:rsidP="009D7677">
      <w:pPr>
        <w:pStyle w:val="TextoNormal"/>
      </w:pPr>
      <w:r>
        <w:t>En efecto, en el relato de hechos de las sentencias recurridas consta que los cambios en la situación laboral de la recurrente coincidieron con el momento de su cambio de asignación de sexo. En ese momento, entre otras cosas, se le prohíbe realizar visitas guiadas con niños, se quiere dificultar su visibilidad por parte del público que accede al museo y se la somete a persecución por parte de su superior jerárquico.</w:t>
      </w:r>
    </w:p>
    <w:p w14:paraId="031F7105" w14:textId="77777777" w:rsidR="009D7677" w:rsidRDefault="009D7677" w:rsidP="009D7677">
      <w:pPr>
        <w:pStyle w:val="TextoNormal"/>
      </w:pPr>
    </w:p>
    <w:p w14:paraId="47F66D03" w14:textId="77777777" w:rsidR="009D7677" w:rsidRDefault="009D7677" w:rsidP="009D7677">
      <w:pPr>
        <w:pStyle w:val="TextoNormal"/>
      </w:pPr>
      <w:r>
        <w:t>Una vez efectuada la aportación de una justificación objetiva y razonable, la justificación requerida debía versar específicamente sobre la causa por la que a la convocatoria de concurso de traslados se vincula, entre diversos puestos de trabajo, el suyo en concreto. No es suficiente que se tratara de una posibilidad legalmente atribuida a la administración, sino que era necesario demostrar que se adoptó por razones objetivas y no a causa de sus opciones de identidad sexual.</w:t>
      </w:r>
    </w:p>
    <w:p w14:paraId="2AC02772" w14:textId="77777777" w:rsidR="009D7677" w:rsidRDefault="009D7677" w:rsidP="009D7677">
      <w:pPr>
        <w:pStyle w:val="TextoNormal"/>
      </w:pPr>
    </w:p>
    <w:p w14:paraId="58B1E348" w14:textId="77777777" w:rsidR="009D7677" w:rsidRDefault="009D7677" w:rsidP="009D7677">
      <w:pPr>
        <w:pStyle w:val="TextoNormal"/>
      </w:pPr>
      <w:r>
        <w:t>Afirma que la administración demandada podría haber aportado en los distintos procedimientos judiciales pruebas que acreditasen, por ejemplo, el procedimiento para la selección de las plazas ofertadas, el papel que tuvo cada organismo en ello, incluyendo a la dirección del centro (para demostrar que la inclusión de su plaza en la convocatoria no respondió específicamente a su persecución por parte de esta), la documentación administrativa generada en el citado procedimiento, la realización de propuestas de selección de plazas, el número de plazas sacadas a concurso sobre el total existente o la justificación que motivaba sacar esta plaza en ese momento concreto. Ninguno de dichos elementos fue objeto de prueba o alegación, limitándose la administración a argumentar la legalidad de la convocatoria.</w:t>
      </w:r>
    </w:p>
    <w:p w14:paraId="4E11AE35" w14:textId="77777777" w:rsidR="009D7677" w:rsidRDefault="009D7677" w:rsidP="009D7677">
      <w:pPr>
        <w:pStyle w:val="TextoNormal"/>
      </w:pPr>
    </w:p>
    <w:p w14:paraId="6B751E75" w14:textId="1606562E" w:rsidR="009D7677" w:rsidRDefault="009D7677" w:rsidP="009D7677">
      <w:pPr>
        <w:pStyle w:val="TextoNormal"/>
      </w:pPr>
      <w:r>
        <w:t>b) Vulneración del derecho a la tutela judicial efectiva (art. 24.1 CE) en su vertiente de la garantía de indemnidad. La demandante de amparo entiende que las reclamaciones verbales y por escrito en las que sustenta la vulneración son: (i) el escrito de 14 de diciembre de 2011, en el que pidió realizar el servicio de guía que venía prestando hasta entonces; (ii) los escritos de 15 de septiembre de 2014, en que solicitó la adecuación del puesto de trabajo proporcionándola una silla ergonómica, y de 16 de diciembre de 2015, en que se reitera dicha petición; y (iii) el escrito de 18 de febrero de 2016, en el que se reitera la petición de reconocimiento de su identidad de género.</w:t>
      </w:r>
    </w:p>
    <w:p w14:paraId="7B456C19" w14:textId="77777777" w:rsidR="009D7677" w:rsidRDefault="009D7677" w:rsidP="009D7677">
      <w:pPr>
        <w:pStyle w:val="TextoNormal"/>
      </w:pPr>
    </w:p>
    <w:p w14:paraId="0B74494E" w14:textId="12DA24E2" w:rsidR="009D7677" w:rsidRDefault="009D7677" w:rsidP="009D7677">
      <w:pPr>
        <w:pStyle w:val="TextoNormal"/>
      </w:pPr>
      <w:r w:rsidRPr="009D7677">
        <w:rPr>
          <w:rStyle w:val="NumeroAFNegritaCaracter"/>
        </w:rPr>
        <w:t>4</w:t>
      </w:r>
      <w:r>
        <w:t>. La Sección Tercera del Tribunal Constitucional, el 4 de octubre de 2021, dictó providencia en la que acordó admitir el recurso de amparo a trámite, apreciando especial trascendencia constitucional [art. 50.1 de la Ley Orgánica del Tribunal Constitucional (LOTC)], porque el recurso plantea un problema o afecta a una faceta de un derecho fundamental sobre el que no hay doctrina de este tribunal [STC 155/2009, de 25 de junio, FJ 2 a)]. Además, acordó pedir certificación o fotocopia adverada de las actuaciones de las que trae causa el recurso a la Sala de lo Social del Tribunal Superior de Justicia de Andalucía, sede de Sevilla; y dirigir atenta comunicación al Juzgado de lo Social núm. 4 de Córdoba para que emplazara a quienes fueron parte en el procedimiento, excepto a la parte actora, para que en el plazo de diez días pudieran comparecer, si así lo deseaban, en el proceso de amparo.</w:t>
      </w:r>
    </w:p>
    <w:p w14:paraId="1B5F6594" w14:textId="77777777" w:rsidR="009D7677" w:rsidRDefault="009D7677" w:rsidP="009D7677">
      <w:pPr>
        <w:pStyle w:val="TextoNormal"/>
      </w:pPr>
    </w:p>
    <w:p w14:paraId="4B14E329" w14:textId="77777777" w:rsidR="009D7677" w:rsidRDefault="009D7677" w:rsidP="009D7677">
      <w:pPr>
        <w:pStyle w:val="TextoNormal"/>
      </w:pPr>
      <w:r w:rsidRPr="009D7677">
        <w:rPr>
          <w:rStyle w:val="NumeroAFNegritaCaracter"/>
        </w:rPr>
        <w:t>5</w:t>
      </w:r>
      <w:r>
        <w:t>. Mediante escrito registrado el 20 de diciembre de 2021, la letrada de la Junta de Andalucía solicitó que se desestimara la demanda de amparo.</w:t>
      </w:r>
    </w:p>
    <w:p w14:paraId="00642C17" w14:textId="77777777" w:rsidR="009D7677" w:rsidRDefault="009D7677" w:rsidP="009D7677">
      <w:pPr>
        <w:pStyle w:val="TextoNormal"/>
      </w:pPr>
    </w:p>
    <w:p w14:paraId="1F98F372" w14:textId="77777777" w:rsidR="009D7677" w:rsidRDefault="009D7677" w:rsidP="009D7677">
      <w:pPr>
        <w:pStyle w:val="TextoNormal"/>
      </w:pPr>
      <w:r>
        <w:t>a) En primer lugar, rechaza que la demanda de amparo tenga especial trascendencia constitucional al haberse pronunciado el Tribunal sobre la inclusión en el art. 14 CE de la discriminación por identidad de género, lo que debe llevar a la desestimación del recurso de amparo formulado.</w:t>
      </w:r>
    </w:p>
    <w:p w14:paraId="68BE2908" w14:textId="77777777" w:rsidR="009D7677" w:rsidRDefault="009D7677" w:rsidP="009D7677">
      <w:pPr>
        <w:pStyle w:val="TextoNormal"/>
      </w:pPr>
    </w:p>
    <w:p w14:paraId="3670144A" w14:textId="77777777" w:rsidR="009D7677" w:rsidRDefault="009D7677" w:rsidP="009D7677">
      <w:pPr>
        <w:pStyle w:val="TextoNormal"/>
      </w:pPr>
      <w:r>
        <w:t>b) Por otra parte, considera que no se ha producido la vulneración de los derechos fundamentales invocados. No cabe afirmar que el cese haya sido motivado por una actuación discriminatoria por razón de identidad de género.</w:t>
      </w:r>
    </w:p>
    <w:p w14:paraId="67FF5D3B" w14:textId="77777777" w:rsidR="009D7677" w:rsidRDefault="009D7677" w:rsidP="009D7677">
      <w:pPr>
        <w:pStyle w:val="TextoNormal"/>
      </w:pPr>
    </w:p>
    <w:p w14:paraId="29409D45" w14:textId="77777777" w:rsidR="009D7677" w:rsidRDefault="009D7677" w:rsidP="009D7677">
      <w:pPr>
        <w:pStyle w:val="TextoNormal"/>
      </w:pPr>
      <w:r>
        <w:t>La recurrente estaba vinculada con la Consejería de Cultura y Deporte en base a un contrato de interinidad por vacante, en ningún caso su ocupación podía ser indefinida, por lo que la relación laboral estaba abocada a su finalización tras la tramitación del correspondiente procedimiento selectivo una vez cubierta la plaza. Y ese proceso, en el que se incluyó la plaza ocupada por la recurrente, fue convocado por resolución de 12 de julio de 2016. Se trata de una convocatoria a nivel general de la administración de la Junta de Andalucía, por lo que la decisión de convocar el concurso e incluir la plaza en la que cesa la recurrente tras su cobertura excede del ámbito del centro de trabajo de la demandante e incluso de la consejería a la que dicho centro —el Museo Arqueológico de Córdoba— pertenece, pues incluía multitud de plazas ocupadas provisionalmente en toda la administración de la comunidad autónoma.</w:t>
      </w:r>
    </w:p>
    <w:p w14:paraId="1AA5F5E4" w14:textId="77777777" w:rsidR="009D7677" w:rsidRDefault="009D7677" w:rsidP="009D7677">
      <w:pPr>
        <w:pStyle w:val="TextoNormal"/>
      </w:pPr>
    </w:p>
    <w:p w14:paraId="2531FCA0" w14:textId="77777777" w:rsidR="009D7677" w:rsidRDefault="009D7677" w:rsidP="009D7677">
      <w:pPr>
        <w:pStyle w:val="TextoNormal"/>
      </w:pPr>
      <w:r>
        <w:t>En consecuencia, afirma que no puede entenderse que la convocatoria o la inclusión de su plaza respondan a razones discriminatorias. Por otra parte, advierte que la convocatoria del concurso de traslados se hace mediante una resolución de fecha anterior a la reclamación de la demandante, que presenta escrito de reclamación previa solicitando el carácter indefinido de su relación laboral cuando ya tiene conocimiento de la convocatoria pública de la plaza ocupada. Es imposible por tanto establecer conexión alguna entre la convocatoria de la plaza y la reclamación formulada, ni apreciar que aquella constituye una supuesta represalia de la empleadora tras la reclamación formulada por la recurrente en noviembre de 2016. La resolución de la convocatoria del concurso de traslados tiene fecha de 12 de julio de 2016.</w:t>
      </w:r>
    </w:p>
    <w:p w14:paraId="09D6EA74" w14:textId="77777777" w:rsidR="009D7677" w:rsidRDefault="009D7677" w:rsidP="009D7677">
      <w:pPr>
        <w:pStyle w:val="TextoNormal"/>
      </w:pPr>
    </w:p>
    <w:p w14:paraId="0B0A0BE2" w14:textId="77777777" w:rsidR="009D7677" w:rsidRDefault="009D7677" w:rsidP="009D7677">
      <w:pPr>
        <w:pStyle w:val="TextoNormal"/>
      </w:pPr>
      <w:r>
        <w:lastRenderedPageBreak/>
        <w:t>Recalca la letrada en sus argumentaciones que tanto la convocatoria de la plaza como el cese en ella de la demandante en amparo se producen por resoluciones que afectan por igual a la totalidad del personal laboral de la administración de la Junta de Andalucía, sin que se pueda apreciar ningún atisbo de discriminación. Así lo entendieron las sentencias dictadas en el procedimiento de despido. Ninguna tacha de vulneración de derechos fundamentales puede afirmarse atendiendo a los hechos declarados probados en estas sentencias, que vinculan al Tribunal conforme a lo dispuesto en el art. 44.1 b) LOTC.</w:t>
      </w:r>
    </w:p>
    <w:p w14:paraId="303BDC6E" w14:textId="77777777" w:rsidR="009D7677" w:rsidRDefault="009D7677" w:rsidP="009D7677">
      <w:pPr>
        <w:pStyle w:val="TextoNormal"/>
      </w:pPr>
    </w:p>
    <w:p w14:paraId="25D4D507" w14:textId="77777777" w:rsidR="009D7677" w:rsidRDefault="009D7677" w:rsidP="009D7677">
      <w:pPr>
        <w:pStyle w:val="TextoNormal"/>
      </w:pPr>
      <w:r>
        <w:t>En relación con la plaza que ocupa otro empleado con el mismo código que la de la demandante, y que no fue incluida en el concurso, alega la letrada de la Junta de Andalucía que no puede ser indicio de discriminación por razón de la identidad de género de la recurrente, debiéndose la no inclusión a razones objetivas y siendo plenamente legal, como ha quedado acreditado en el procedimiento de despido. El trabajador estaba vinculado con un contrato laboral de relevo a tiempo parcial, debido a la jubilación parcial de una trabajadora fija, cuya duración era desde el 1 de junio de 2014 hasta el 1 de febrero de 2018, en consecuencia, hasta una fecha posterior a la convocatoria del concurso de traslados. Además, añade, ocupaba una plaza de funcionaria jubilada a tiempo parcial, por lo que no es posible ofertarla en el concurso de traslados.</w:t>
      </w:r>
    </w:p>
    <w:p w14:paraId="3AAEE591" w14:textId="77777777" w:rsidR="009D7677" w:rsidRDefault="009D7677" w:rsidP="009D7677">
      <w:pPr>
        <w:pStyle w:val="TextoNormal"/>
      </w:pPr>
    </w:p>
    <w:p w14:paraId="0A05BD23" w14:textId="77777777" w:rsidR="009D7677" w:rsidRDefault="009D7677" w:rsidP="009D7677">
      <w:pPr>
        <w:pStyle w:val="TextoNormal"/>
      </w:pPr>
      <w:r>
        <w:t>Acerca de lo resuelto en relación con el vigilante de seguridad, la empleadora acreditó que se anuló su cese, ya que se dotó la plaza de vigilante de seguridad dejando sin dotar una plaza vacante de limpiadora del Museo Arqueológico de Córdoba. Así consta en los hechos probados de las resoluciones recurridas.</w:t>
      </w:r>
    </w:p>
    <w:p w14:paraId="3630F3C3" w14:textId="77777777" w:rsidR="009D7677" w:rsidRDefault="009D7677" w:rsidP="009D7677">
      <w:pPr>
        <w:pStyle w:val="TextoNormal"/>
      </w:pPr>
    </w:p>
    <w:p w14:paraId="51F9781C" w14:textId="77777777" w:rsidR="009D7677" w:rsidRDefault="009D7677" w:rsidP="009D7677">
      <w:pPr>
        <w:pStyle w:val="TextoNormal"/>
      </w:pPr>
      <w:r>
        <w:t>Concluye que la recurrente no es la única trabajadora cesada en el Museo Arqueológico de Córdoba a resultas del concurso, entendiendo desvirtuado que el cese de aquella en su puesto de trabajo responda a ningún atisbo de discriminación por razón de su identidad de género. Por el contrario, responde a razones de estricta legalidad, habiendo sido cubierta la plaza por otra persona participante en el concurso, resuelto el 2 de mayo de 2017, habiéndose aplicado dicho cese a todo el personal temporal de la Junta de Andalucía cuyas plazas fueron ocupadas por personal laboral fijo o fijo discontinuo.</w:t>
      </w:r>
    </w:p>
    <w:p w14:paraId="09CE80A7" w14:textId="77777777" w:rsidR="009D7677" w:rsidRDefault="009D7677" w:rsidP="009D7677">
      <w:pPr>
        <w:pStyle w:val="TextoNormal"/>
      </w:pPr>
    </w:p>
    <w:p w14:paraId="72B518A3" w14:textId="77777777" w:rsidR="009D7677" w:rsidRDefault="009D7677" w:rsidP="009D7677">
      <w:pPr>
        <w:pStyle w:val="TextoNormal"/>
      </w:pPr>
      <w:r>
        <w:t>c) En cuanto a las actuaciones discriminatorias que alega haber sufrido la recurrente, se acreditó que no respondieron a ningún móvil discriminatorio, sino únicamente a la aplicación del resultado del concurso convocado entre el personal laboral de toda la administración de la Junta de Andalucía.</w:t>
      </w:r>
    </w:p>
    <w:p w14:paraId="2D5BB331" w14:textId="77777777" w:rsidR="009D7677" w:rsidRDefault="009D7677" w:rsidP="009D7677">
      <w:pPr>
        <w:pStyle w:val="TextoNormal"/>
      </w:pPr>
    </w:p>
    <w:p w14:paraId="03C251DF" w14:textId="77777777" w:rsidR="009D7677" w:rsidRDefault="009D7677" w:rsidP="009D7677">
      <w:pPr>
        <w:pStyle w:val="TextoNormal"/>
      </w:pPr>
      <w:r>
        <w:t>En relación con las tres circunstancias constitutivas de discriminación que la recurrente denuncia, indica: (i) la realización de visitas guiadas y los talleres para niños no formaban parte del contenido o tareas del puesto de trabajo ocupado por la recurrente y si los había realizado antes lo hizo de forma puntual o por falta de personal; (ii) la negativa inicial a dirigirse con nombre femenino por parte de la directora del centro y sus compañeros de trabajo fue resuelta tan pronto como realizó la solicitud por escrito presentado el 18 de febrero de 2016. Dicha solicitud fue resuelta en sentido favorable a lo solicitado por la recurrente por resolución de 26 de febrero de 2016, tras una reunión con la afectada y representantes de los trabajadores con la dirección del centro; y (iii), por último, la tardía entrega de la silla ergonómica fue resuelta tan pronto como existió dotación presupuestaria.</w:t>
      </w:r>
    </w:p>
    <w:p w14:paraId="2CE69E3F" w14:textId="77777777" w:rsidR="009D7677" w:rsidRDefault="009D7677" w:rsidP="009D7677">
      <w:pPr>
        <w:pStyle w:val="TextoNormal"/>
      </w:pPr>
    </w:p>
    <w:p w14:paraId="26FA7F3C" w14:textId="77777777" w:rsidR="009D7677" w:rsidRDefault="009D7677" w:rsidP="009D7677">
      <w:pPr>
        <w:pStyle w:val="TextoNormal"/>
      </w:pPr>
      <w:r>
        <w:t>Se afirma por la letrada que estas actuaciones han sido totalmente ajenas al cese de la demandante en la plaza que ocupaba hasta la resolución del concurso.</w:t>
      </w:r>
    </w:p>
    <w:p w14:paraId="76A687FA" w14:textId="77777777" w:rsidR="009D7677" w:rsidRDefault="009D7677" w:rsidP="009D7677">
      <w:pPr>
        <w:pStyle w:val="TextoNormal"/>
      </w:pPr>
    </w:p>
    <w:p w14:paraId="6A6B6885" w14:textId="6DBB786E" w:rsidR="009D7677" w:rsidRDefault="009D7677" w:rsidP="009D7677">
      <w:pPr>
        <w:pStyle w:val="TextoNormal"/>
      </w:pPr>
      <w:r>
        <w:t>d) Por último, alega que no cabe apreciar vulneración del derecho a la tutela judicial efectiva en la vertiente de garantía de indemnidad pues, como ha quedado acreditado, no ha supuesto una represalia por la reclamación de sus derechos.</w:t>
      </w:r>
    </w:p>
    <w:p w14:paraId="6A53FF86" w14:textId="77777777" w:rsidR="009D7677" w:rsidRDefault="009D7677" w:rsidP="009D7677">
      <w:pPr>
        <w:pStyle w:val="TextoNormal"/>
      </w:pPr>
    </w:p>
    <w:p w14:paraId="6C163ECD" w14:textId="77777777" w:rsidR="009D7677" w:rsidRDefault="009D7677" w:rsidP="009D7677">
      <w:pPr>
        <w:pStyle w:val="TextoNormal"/>
      </w:pPr>
      <w:r w:rsidRPr="009D7677">
        <w:rPr>
          <w:rStyle w:val="NumeroAFNegritaCaracter"/>
        </w:rPr>
        <w:t>6</w:t>
      </w:r>
      <w:r>
        <w:t>. Mediante escrito registrado el 22 de diciembre de 2021, el fiscal ante el Tribunal Constitucional presentó sus alegaciones interesando la estimación del recurso de amparo por vulneración del derecho de igualdad en su vertiente especifica de prohibición de discriminación por razón de condición personal, identidad de género, del art. 14 CE, y solicita que se declare la nulidad de las resoluciones judiciales impugnadas y del despido, con los efectos legalmente previstos.</w:t>
      </w:r>
    </w:p>
    <w:p w14:paraId="7E28B78C" w14:textId="77777777" w:rsidR="009D7677" w:rsidRDefault="009D7677" w:rsidP="009D7677">
      <w:pPr>
        <w:pStyle w:val="TextoNormal"/>
      </w:pPr>
    </w:p>
    <w:p w14:paraId="02D7C545" w14:textId="77777777" w:rsidR="009D7677" w:rsidRDefault="009D7677" w:rsidP="009D7677">
      <w:pPr>
        <w:pStyle w:val="TextoNormal"/>
      </w:pPr>
      <w:r>
        <w:t>a) Entiende la demandante que las resoluciones recurridas vulneran el derecho a la tutela judicial efectiva del art. 24.1 CE en relación con la garantía de indemnidad, al considerar que el despido es una represalia del empresario en respuesta a las reclamaciones de la recurrente, apuntando indicios de que está motivado por su transexualidad.</w:t>
      </w:r>
    </w:p>
    <w:p w14:paraId="6291A141" w14:textId="77777777" w:rsidR="009D7677" w:rsidRDefault="009D7677" w:rsidP="009D7677">
      <w:pPr>
        <w:pStyle w:val="TextoNormal"/>
      </w:pPr>
    </w:p>
    <w:p w14:paraId="45137688" w14:textId="77777777" w:rsidR="009D7677" w:rsidRDefault="009D7677" w:rsidP="009D7677">
      <w:pPr>
        <w:pStyle w:val="TextoNormal"/>
      </w:pPr>
      <w:r>
        <w:t>Considera sin embargo el fiscal que la queja relativa a la vulneración del derecho a la tutela judicial efectiva en la vertiente de la garantía de indemnidad carece de sustantividad propia y resulta puramente formal e instrumental respecto de la referida al derecho a no ser discriminado, no citando el recurrente qué resoluciones judiciales o resolución concreta impugna por la vulneración del derecho del art. 24.1 CE. La queja se subsume en el art. 14 CE al no estimar la nulidad del despido reparando la vulneración del derecho a la no discriminación que imputa al cese acordado por la empleadora.</w:t>
      </w:r>
    </w:p>
    <w:p w14:paraId="0690173F" w14:textId="77777777" w:rsidR="009D7677" w:rsidRDefault="009D7677" w:rsidP="009D7677">
      <w:pPr>
        <w:pStyle w:val="TextoNormal"/>
      </w:pPr>
    </w:p>
    <w:p w14:paraId="74CC0631" w14:textId="77777777" w:rsidR="009D7677" w:rsidRDefault="009D7677" w:rsidP="009D7677">
      <w:pPr>
        <w:pStyle w:val="TextoNormal"/>
      </w:pPr>
      <w:r>
        <w:t>b) El fiscal entiende que es de aplicación la doctrina recogida en la STC 104/2019, de 16 de septiembre, FJ 4, sobre el cumplimiento del requisito procesal de agotar la vía judicial previa, y considera que se ha dado el debido cumplimiento. No se interpuso recurso de casación en unificación de doctrina contra la sentencia de la Sala de suplicación, y advierte que por las circunstancias del caso es prácticamente imposible encontrar una sentencia contradictoria que invocar en los términos de identidad exigidos por la Sala de lo Social del Tribunal Supremo. Y, siendo inviable cumplir uno de los requisitos para su admisión conforme a la normativa procesal, no es exigible agotar todos los recursos imaginables, sino solo aquellos cuya procedencia se desprenda de modo claro y terminante del tenor de las previsiones legales. Aprecia que la recurrente ha cumplido el requisito de agotar la vía judicial previa, y ello al margen de que en la demanda se afirme que no cabía recurso alguno por haber transcurrido el tiempo máximo establecido para interponer el recurso de casación.</w:t>
      </w:r>
    </w:p>
    <w:p w14:paraId="445F0EB3" w14:textId="77777777" w:rsidR="009D7677" w:rsidRDefault="009D7677" w:rsidP="009D7677">
      <w:pPr>
        <w:pStyle w:val="TextoNormal"/>
      </w:pPr>
    </w:p>
    <w:p w14:paraId="3BF2D750" w14:textId="77777777" w:rsidR="009D7677" w:rsidRDefault="009D7677" w:rsidP="009D7677">
      <w:pPr>
        <w:pStyle w:val="TextoNormal"/>
      </w:pPr>
      <w:r>
        <w:t xml:space="preserve">c) En relación a la doctrina constitucional, señala en primer lugar que la exigencia del canon de constitucionalidad es más estricto y exige un mayor rigor ante razones concretas o específicas de discriminación, siendo que “en tales supuestos la carga de demostrar el carácter justificado de la diferenciación recae sobre quien asume la defensa de la misma y se torna aún más rigurosa que en aquellos casos que quedan genéricamente dentro de la cláusula general de igualdad del art. 14 CE” [STC 200/2001, de 4 de octubre, FJ 4 b)]. La </w:t>
      </w:r>
      <w:r>
        <w:lastRenderedPageBreak/>
        <w:t>STC 172/2021, de 7 de octubre, FJ 3 A), con cita de la STC 91/2019, de 3 de julio, FJ 4 b) afirma en los siguientes términos que “[l]a virtualidad del art. 14 CE no se agota […] con la proclamación del derecho a la igualdad con la que se inicia su contenido, sino que a continuación el precepto constitucional se refiere a la prohibición de una serie de motivos o razones concretos de discriminación. Esta referencia expresa a tales motivos o razones de discriminación no implica el establecimiento de una lista cerrada de supuestos de discriminación (STC 75/1983, de 3 de agosto, FJ 6), pero sí representa una explícita interdicción de determinadas diferencias históricamente muy arraigadas y que han situado, tanto por la acción de los poderes públicos como por la práctica social, a sectores de la población en posiciones, no solo desventajosas, sino contrarias a la dignidad de la persona que reconoce el art. 10.1 CE (SSTC 128/1987, de 16 de julio, FJ 5; 166/1988, de 26 de septiembre, FJ 2, y 145/1991, de 1 de julio, FJ 2)”.</w:t>
      </w:r>
    </w:p>
    <w:p w14:paraId="65032C3C" w14:textId="77777777" w:rsidR="009D7677" w:rsidRDefault="009D7677" w:rsidP="009D7677">
      <w:pPr>
        <w:pStyle w:val="TextoNormal"/>
      </w:pPr>
    </w:p>
    <w:p w14:paraId="6EF55CA2" w14:textId="77777777" w:rsidR="009D7677" w:rsidRDefault="009D7677" w:rsidP="009D7677">
      <w:pPr>
        <w:pStyle w:val="TextoNormal"/>
      </w:pPr>
      <w:r>
        <w:t>El fiscal dice que es irrelevante la voluntad de discriminar debiéndose analizar de forma objetiva la actuación del empleador, independientemente de la voluntad lesiva o motivación discriminatoria [STC 108/2019, de 30 de septiembre, FJ 4 c)]. Añade que la discriminación relativa al segundo inciso del art. 14 CE no requiere necesariamente de un término de comparación, por más que pueda concretarse en desigualdades de trato que pueden ser objeto de contraste o necesitar de este para ser apreciadas [cita la STC 172/2021, de 7 de octubre, FJ 3 A)].</w:t>
      </w:r>
    </w:p>
    <w:p w14:paraId="633FC540" w14:textId="77777777" w:rsidR="009D7677" w:rsidRDefault="009D7677" w:rsidP="009D7677">
      <w:pPr>
        <w:pStyle w:val="TextoNormal"/>
      </w:pPr>
    </w:p>
    <w:p w14:paraId="7BF2EDD8" w14:textId="77777777" w:rsidR="009D7677" w:rsidRDefault="009D7677" w:rsidP="009D7677">
      <w:pPr>
        <w:pStyle w:val="TextoNormal"/>
      </w:pPr>
      <w:r>
        <w:t>Considera aplicable a la discriminación por razón de género la doctrina constitucional sobre discriminación por sexo y en concreto en materia laboral (STC 214/2006, de 3 de julio, FJ 3, y por todas las SSTC 66/2014, de 5 de mayo, FJ 2; 2/2017, de 16 de enero, FJ 5, y 108/2019, de 30 de septiembre). Pese a que no es un supuesto expresamente citado en el art. 14 CE, es sin duda una circunstancia incluida en la cláusula “cualquier otra condición o circunstancia personal o social” a la que se refiere la interdicción de la discriminación.</w:t>
      </w:r>
    </w:p>
    <w:p w14:paraId="32B5858B" w14:textId="77777777" w:rsidR="009D7677" w:rsidRDefault="009D7677" w:rsidP="009D7677">
      <w:pPr>
        <w:pStyle w:val="TextoNormal"/>
      </w:pPr>
    </w:p>
    <w:p w14:paraId="6CE7FD09" w14:textId="77777777" w:rsidR="009D7677" w:rsidRDefault="009D7677" w:rsidP="009D7677">
      <w:pPr>
        <w:pStyle w:val="TextoNormal"/>
      </w:pPr>
      <w:r>
        <w:t xml:space="preserve">Por un lado, porque la condición de transexual comparte con el resto de supuestos citados en el art. 14 CE el hecho de ser una diferencia históricamente arraigada situando a los transexuales en posiciones desventajosas y contrarias a la dignidad de la persona que reconoce el art. 10.1 CE por los profundos prejuicios arraigados normativa y socialmente contra estas personas; y por otro, por el examen de la normativa que debe servir de fuente interpretativa del art. 14 CE </w:t>
      </w:r>
      <w:r w:rsidRPr="009D7677">
        <w:rPr>
          <w:i/>
        </w:rPr>
        <w:t>ex</w:t>
      </w:r>
      <w:r>
        <w:t xml:space="preserve"> art. 10.2 CE, como los tratados internacionales ratificados por España. Así el art. 21.1 de la Carta de los derechos fundamentales de la Unión Europea, de 7 de diciembre de 2000, vinculante en la Unión Europea con la entrada en vigor del Tratado de Lisboa el 1 de diciembre de 2009, que contempla de forma explícita que la orientación sexual es una de las razones en que queda prohibido ejercer cualquier tipo de discriminación. Por último, refiere la doctrina del Tribunal Europeo de Derechos Humanos, dejando sentado que la orientación sexual es un concepto incluido en el art. 14 del Convenio europeo de derechos humanos.</w:t>
      </w:r>
    </w:p>
    <w:p w14:paraId="185AD1A9" w14:textId="77777777" w:rsidR="009D7677" w:rsidRDefault="009D7677" w:rsidP="009D7677">
      <w:pPr>
        <w:pStyle w:val="TextoNormal"/>
      </w:pPr>
    </w:p>
    <w:p w14:paraId="7507D7EB" w14:textId="77777777" w:rsidR="009D7677" w:rsidRDefault="009D7677" w:rsidP="009D7677">
      <w:pPr>
        <w:pStyle w:val="TextoNormal"/>
      </w:pPr>
      <w:r>
        <w:t xml:space="preserve">En relación con los supuestos de despido por vulneración de derechos fundamentales, en lo referente a la inversión de la carga de la prueba, y con cita de las SSTC 104/2014, de 23 de junio, FJ 7, y 183/2015, de 10 de septiembre, FJ 4, afirma que el trabajador debe aportar indicios de la vulneración del derecho fundamental y, apreciados, se invierte la carga de la prueba correspondiendo a la empleadora acreditar que el motivo para despedir </w:t>
      </w:r>
      <w:r>
        <w:lastRenderedPageBreak/>
        <w:t>al empleado no ha tenido nada que ver con el derecho fundamental que se estima vulnerado. Y el indicio no solo es alegar sobre la vulneración constitucional, sino aportar un principio de prueba o prueba verosímil dirigida a poner de manifiesto lo que se denuncia que incumbe al trabajador denunciante.</w:t>
      </w:r>
    </w:p>
    <w:p w14:paraId="36F082F7" w14:textId="77777777" w:rsidR="009D7677" w:rsidRDefault="009D7677" w:rsidP="009D7677">
      <w:pPr>
        <w:pStyle w:val="TextoNormal"/>
      </w:pPr>
    </w:p>
    <w:p w14:paraId="7E89E77A" w14:textId="77777777" w:rsidR="009D7677" w:rsidRDefault="009D7677" w:rsidP="009D7677">
      <w:pPr>
        <w:pStyle w:val="TextoNormal"/>
      </w:pPr>
      <w:r>
        <w:t>Se refiere a la doctrina sobre la vinculación del Tribunal Constitucional a los hechos declarados probados en las sentencias impugnadas, a su intangibilidad. El Tribunal Constitucional no puede revisar la valoración de la prueba efectuada por los jueces y tribunales ordinarios [art. 44.1 b) LOTC], sin que ello obste a que se pueda alcanzar una interpretación propia del relato factico, conforme a los derechos y valores constitucionales.</w:t>
      </w:r>
    </w:p>
    <w:p w14:paraId="1AE5E58A" w14:textId="77777777" w:rsidR="009D7677" w:rsidRDefault="009D7677" w:rsidP="009D7677">
      <w:pPr>
        <w:pStyle w:val="TextoNormal"/>
      </w:pPr>
    </w:p>
    <w:p w14:paraId="549DF718" w14:textId="77777777" w:rsidR="009D7677" w:rsidRDefault="009D7677" w:rsidP="009D7677">
      <w:pPr>
        <w:pStyle w:val="TextoNormal"/>
      </w:pPr>
      <w:r>
        <w:t>d) Aplicando al caso la doctrina constitucional, alega que la recurrente afirma haber sufrido trato peyorativo por su condición de transexual, circunstancia incluida en la prohibición de discriminación del art. 14 CE; y si es esta la verdadera causa supone la vulneración del derecho fundamental de no discriminación deviniendo nulo el despido.</w:t>
      </w:r>
    </w:p>
    <w:p w14:paraId="3B95CFA2" w14:textId="77777777" w:rsidR="009D7677" w:rsidRDefault="009D7677" w:rsidP="009D7677">
      <w:pPr>
        <w:pStyle w:val="TextoNormal"/>
      </w:pPr>
    </w:p>
    <w:p w14:paraId="5613FB72" w14:textId="77777777" w:rsidR="009D7677" w:rsidRDefault="009D7677" w:rsidP="009D7677">
      <w:pPr>
        <w:pStyle w:val="TextoNormal"/>
      </w:pPr>
      <w:r>
        <w:t>En relación con la inversión de la carga de la prueba plantea el problema de que ni la sentencia del juzgado de lo social ni la de suplicación hacen un análisis por separado de las dos fases de la valoración de la prueba.</w:t>
      </w:r>
    </w:p>
    <w:p w14:paraId="025E0A8E" w14:textId="77777777" w:rsidR="009D7677" w:rsidRDefault="009D7677" w:rsidP="009D7677">
      <w:pPr>
        <w:pStyle w:val="TextoNormal"/>
      </w:pPr>
    </w:p>
    <w:p w14:paraId="65ABF69A" w14:textId="77777777" w:rsidR="009D7677" w:rsidRDefault="009D7677" w:rsidP="009D7677">
      <w:pPr>
        <w:pStyle w:val="TextoNormal"/>
      </w:pPr>
      <w:r>
        <w:t>Afirma que el juzgado de lo social no analiza la cuestión desde el punto de vista de la doctrina constitucional de la discriminación en el ámbito laboral al no hacer referencia a la inversión de la carga de la prueba, y ello porque, pese a que reconoce la existencia de indicios al considerar probado un trato perjudicial sufrido por la demandante, tampoco recoge el indicio claro sobre cómo es la relación temporal de la inclusión de la plaza de la recurrente en el concurso de traslados cuando llevaba diez años de interina. Entiende que no se ha realizado una valoración adecuada de la dimensión constitucional de la cuestión planteada, ni por la sentencia de instancia ni por la sentencia del Tribunal Superior de Justicia, al no analizar la cuestión con el parámetro constitucional de la inversión de la carga de la prueba y no decir de forma expresa si los indicios son suficientes para invertir la carga de la prueba.</w:t>
      </w:r>
    </w:p>
    <w:p w14:paraId="23AE3A27" w14:textId="77777777" w:rsidR="009D7677" w:rsidRDefault="009D7677" w:rsidP="009D7677">
      <w:pPr>
        <w:pStyle w:val="TextoNormal"/>
      </w:pPr>
    </w:p>
    <w:p w14:paraId="10EDAD19" w14:textId="77777777" w:rsidR="009D7677" w:rsidRDefault="009D7677" w:rsidP="009D7677">
      <w:pPr>
        <w:pStyle w:val="TextoNormal"/>
      </w:pPr>
      <w:r>
        <w:t>Refiere que la sentencia de suplicación ha utilizado argumentos de legalidad ordinaria, cuando se trata de la vulneración del derecho a no ser discriminado, y no justifica el momento de convocar esa plaza, pues entiende que no está suficientemente justificado en relación con la otra plaza de encargado de atención al público. Recuerda que no se exige por la doctrina constitucional la intencionalidad discriminatoria para que exista infracción del art. 14 CE, como parece considerar la sentencia, que utiliza argumentaciones similares a las del juzgado de lo social.</w:t>
      </w:r>
    </w:p>
    <w:p w14:paraId="386BB277" w14:textId="77777777" w:rsidR="009D7677" w:rsidRDefault="009D7677" w:rsidP="009D7677">
      <w:pPr>
        <w:pStyle w:val="TextoNormal"/>
      </w:pPr>
    </w:p>
    <w:p w14:paraId="1CA0EA76" w14:textId="145D9C22" w:rsidR="009D7677" w:rsidRDefault="009D7677" w:rsidP="009D7677">
      <w:pPr>
        <w:pStyle w:val="TextoNormal"/>
      </w:pPr>
      <w:r>
        <w:t>Concluye que, existiendo indicios de vulneración del derecho fundamental para invertir la carga de la prueba, la administración tenía posibilidades de acreditar que el motivo del cese no tuvo nada que ver con el derecho fundamental que se estima vulnerado, y no lo hizo. Por ello las sentencias impugnadas incurren en la infracción constitucional, al no realizar una valoración adecuada de la dimensión constitucional de la cuestión planteada no aplicando la doctrina sobre la inversión de la carga de la prueba. Finalmente, interesa el dictado de una sentencia por este Tribunal que estime el recurso de amparo.</w:t>
      </w:r>
    </w:p>
    <w:p w14:paraId="134E27BC" w14:textId="77777777" w:rsidR="009D7677" w:rsidRDefault="009D7677" w:rsidP="009D7677">
      <w:pPr>
        <w:pStyle w:val="TextoNormal"/>
      </w:pPr>
    </w:p>
    <w:p w14:paraId="7CA4525A" w14:textId="46F83630" w:rsidR="009D7677" w:rsidRDefault="009D7677" w:rsidP="009D7677">
      <w:pPr>
        <w:pStyle w:val="TextoNormal"/>
      </w:pPr>
      <w:r w:rsidRPr="009D7677">
        <w:rPr>
          <w:rStyle w:val="NumeroAFNegritaCaracter"/>
        </w:rPr>
        <w:lastRenderedPageBreak/>
        <w:t>7</w:t>
      </w:r>
      <w:r>
        <w:t>. Por providencia de 30 de mayo de 2024, se señaló para deliberación y votación de la presente sentencia el día 3 de junio del mismo año.</w:t>
      </w:r>
    </w:p>
    <w:p w14:paraId="2F5FC7D8" w14:textId="77777777" w:rsidR="009D7677" w:rsidRDefault="009D7677" w:rsidP="009D7677">
      <w:pPr>
        <w:pStyle w:val="TextoNormal"/>
      </w:pPr>
    </w:p>
    <w:p w14:paraId="3A177243" w14:textId="77777777" w:rsidR="009D7677" w:rsidRDefault="009D7677" w:rsidP="009D7677">
      <w:pPr>
        <w:pStyle w:val="TextoNormalNegritaCentrado"/>
        <w:keepNext/>
      </w:pPr>
      <w:r>
        <w:t>II. Fundamentos jurídicos</w:t>
      </w:r>
    </w:p>
    <w:p w14:paraId="0F311F30" w14:textId="6A8637CC" w:rsidR="009D7677" w:rsidRDefault="009D7677" w:rsidP="009D7677">
      <w:pPr>
        <w:pStyle w:val="TextoNormalNegritaCentrado"/>
        <w:keepNext/>
      </w:pPr>
    </w:p>
    <w:p w14:paraId="15439D0B" w14:textId="77777777" w:rsidR="009D7677" w:rsidRDefault="009D7677" w:rsidP="009D7677">
      <w:pPr>
        <w:pStyle w:val="TextoNormal"/>
      </w:pPr>
      <w:r w:rsidRPr="009D7677">
        <w:rPr>
          <w:rStyle w:val="NumeroAFNegritaCaracter"/>
        </w:rPr>
        <w:t>1</w:t>
      </w:r>
      <w:r>
        <w:t xml:space="preserve">. </w:t>
      </w:r>
      <w:r w:rsidRPr="009D7677">
        <w:rPr>
          <w:i/>
        </w:rPr>
        <w:t>Pretensiones de las partes y delimitación del objeto del recurso</w:t>
      </w:r>
    </w:p>
    <w:p w14:paraId="5437F346" w14:textId="77777777" w:rsidR="009D7677" w:rsidRDefault="009D7677" w:rsidP="009D7677">
      <w:pPr>
        <w:pStyle w:val="TextoNormal"/>
      </w:pPr>
    </w:p>
    <w:p w14:paraId="6DEE7648" w14:textId="77777777" w:rsidR="009D7677" w:rsidRDefault="009D7677" w:rsidP="009D7677">
      <w:pPr>
        <w:pStyle w:val="TextoNormal"/>
      </w:pPr>
      <w:r>
        <w:t>El recurso de amparo impugna la sentencia del Juzgado de lo Social núm. 4 de Córdoba de 31 de julio de 2018 y la sentencia de la Sala de lo Social del Tribunal Superior de Justicia de Andalucía, sede de Sevilla, de 24 de junio de 2020 al entender que vulneraron el derecho de la recurrente a no ser discriminada por razón de su identidad de género y el derecho a la tutela judicial efectiva en su vertiente de garantía de indemnidad (arts. 14 y 24.1 CE).</w:t>
      </w:r>
    </w:p>
    <w:p w14:paraId="5FCAAD73" w14:textId="77777777" w:rsidR="009D7677" w:rsidRDefault="009D7677" w:rsidP="009D7677">
      <w:pPr>
        <w:pStyle w:val="TextoNormal"/>
      </w:pPr>
    </w:p>
    <w:p w14:paraId="062B72C6" w14:textId="77777777" w:rsidR="009D7677" w:rsidRDefault="009D7677" w:rsidP="009D7677">
      <w:pPr>
        <w:pStyle w:val="TextoNormal"/>
      </w:pPr>
      <w:r>
        <w:t>La recurrente de amparo considera que la decisión de extinguir la relación laboral tuvo su origen en la discriminación a la que fue sometida por razón de su identidad de género y de las reclamaciones que efectuó como consecuencia de aquella. Dicha discriminación se manifestó durante su relación laboral en: (i) el retraso en la tramitación de una solicitud de adecuación de su puesto de trabajo mediante la adquisición de una silla ergonómica; (ii) que desde que empezó el proceso de transición de género se limitaran sus funciones a la expedición de billetes de entrada, no siéndole permitido estar en el patio controlando y ayudando a los visitantes; y (iii) en las dificultades que le puso la directora del museo cuando reclamó ser tratada conforme a la identidad de género reconocida y en particular ser identificada como Lucía en los instrumentos que acreditaran su identidad en el ámbito de la administración.</w:t>
      </w:r>
    </w:p>
    <w:p w14:paraId="3D8B04D3" w14:textId="77777777" w:rsidR="009D7677" w:rsidRDefault="009D7677" w:rsidP="009D7677">
      <w:pPr>
        <w:pStyle w:val="TextoNormal"/>
      </w:pPr>
    </w:p>
    <w:p w14:paraId="32C635C5" w14:textId="77777777" w:rsidR="009D7677" w:rsidRDefault="009D7677" w:rsidP="009D7677">
      <w:pPr>
        <w:pStyle w:val="TextoNormal"/>
      </w:pPr>
      <w:r>
        <w:t>Por las razones que han sido expuestas, la Junta de Andalucía solicita que se desestime la demanda de amparo, por carecer de especial trascendencia constitucional y por la inexistencia de las vulneraciones invocadas. Por su parte, el Ministerio Fiscal entiende que el amparo debe ser otorgado al no haber reconocido los órganos judiciales la nulidad del despido por discriminación.</w:t>
      </w:r>
    </w:p>
    <w:p w14:paraId="7F6D1DB2" w14:textId="77777777" w:rsidR="009D7677" w:rsidRDefault="009D7677" w:rsidP="009D7677">
      <w:pPr>
        <w:pStyle w:val="TextoNormal"/>
      </w:pPr>
    </w:p>
    <w:p w14:paraId="009A28CF" w14:textId="17267A93" w:rsidR="009D7677" w:rsidRDefault="009D7677" w:rsidP="009D7677">
      <w:pPr>
        <w:pStyle w:val="TextoNormal"/>
      </w:pPr>
      <w:r>
        <w:t>Atendido el planteamiento de la demanda, conforme a lo indicado por el Ministerio Fiscal, la queja relativa a la vulneración del derecho a la tutela judicial efectiva en la vertiente de la garantía de indemnidad (art. 24.1 CE) carece de sustantividad propia y resulta puramente formal e instrumental respecto de la referida al derecho a no ser discriminada por su identidad de género, por lo que debe entenderse subsumida en el art. 14 CE.</w:t>
      </w:r>
    </w:p>
    <w:p w14:paraId="3BEBEBAD" w14:textId="77777777" w:rsidR="009D7677" w:rsidRDefault="009D7677" w:rsidP="009D7677">
      <w:pPr>
        <w:pStyle w:val="TextoNormal"/>
      </w:pPr>
    </w:p>
    <w:p w14:paraId="530E1FB0" w14:textId="77777777" w:rsidR="009D7677" w:rsidRDefault="009D7677" w:rsidP="009D7677">
      <w:pPr>
        <w:pStyle w:val="TextoNormal"/>
      </w:pPr>
      <w:r w:rsidRPr="009D7677">
        <w:rPr>
          <w:rStyle w:val="NumeroAFNegritaCaracter"/>
        </w:rPr>
        <w:t>2</w:t>
      </w:r>
      <w:r>
        <w:t xml:space="preserve">. </w:t>
      </w:r>
      <w:r w:rsidRPr="009D7677">
        <w:rPr>
          <w:i/>
        </w:rPr>
        <w:t>Sobre la especial trascendencia constitucional del recurso de amparo</w:t>
      </w:r>
    </w:p>
    <w:p w14:paraId="0E471690" w14:textId="77777777" w:rsidR="009D7677" w:rsidRDefault="009D7677" w:rsidP="009D7677">
      <w:pPr>
        <w:pStyle w:val="TextoNormal"/>
      </w:pPr>
    </w:p>
    <w:p w14:paraId="5AC55658" w14:textId="77777777" w:rsidR="009D7677" w:rsidRDefault="009D7677" w:rsidP="009D7677">
      <w:pPr>
        <w:pStyle w:val="TextoNormal"/>
      </w:pPr>
      <w:r>
        <w:t>La Junta de Andalucía solicita la desestimación de la demanda al carecer la misma de la especial trascendencia constitucional alegada en el recurso de amparo, pues entiende que no concurren los motivos invocados por la parte recurrente para sustentarla.</w:t>
      </w:r>
    </w:p>
    <w:p w14:paraId="70939FCD" w14:textId="77777777" w:rsidR="009D7677" w:rsidRDefault="009D7677" w:rsidP="009D7677">
      <w:pPr>
        <w:pStyle w:val="TextoNormal"/>
      </w:pPr>
    </w:p>
    <w:p w14:paraId="232D0C0A" w14:textId="77777777" w:rsidR="009D7677" w:rsidRDefault="009D7677" w:rsidP="009D7677">
      <w:pPr>
        <w:pStyle w:val="TextoNormal"/>
      </w:pPr>
      <w:r>
        <w:t>Como hemos tenido oportunidad de reiterar recientemente “la especial trascendencia constitucional del recurso de amparo constituye un requisito sustantivo que es objeto de valoración por este tribunal en el trámite de admisión del recurso. En consecuencia, co</w:t>
      </w:r>
      <w:r>
        <w:lastRenderedPageBreak/>
        <w:t>rresponde únicamente al Tribunal Constitucional apreciar en cada caso, al decidir sobre la admisión a trámite de la demanda de amparo, si concurre o no ese requisito material, esto es, si el contenido del recurso justifica una decisión sobre el fondo, atendiendo a los criterios establecidos en el art. 50.1 b) LOTC” (STC 21/2024, de 12 de febrero, FJ 2).</w:t>
      </w:r>
    </w:p>
    <w:p w14:paraId="5EE09886" w14:textId="77777777" w:rsidR="009D7677" w:rsidRDefault="009D7677" w:rsidP="009D7677">
      <w:pPr>
        <w:pStyle w:val="TextoNormal"/>
      </w:pPr>
    </w:p>
    <w:p w14:paraId="451F9C58" w14:textId="765578C2" w:rsidR="009D7677" w:rsidRDefault="009D7677" w:rsidP="009D7677">
      <w:pPr>
        <w:pStyle w:val="TextoNormal"/>
      </w:pPr>
      <w:r>
        <w:t>En el presente caso, el Tribunal entendió en la providencia de 4 de octubre de 2021 que concurría la causa de especial trascendencia constitucional prevista en el fundamento jurídico 2 a) de la STC 155/2009, de 25 de junio, esto es, que el recurso plantea un problema o afecta a una faceta de un derecho fundamental sobre el que no hay doctrina de este tribunal. No advertimos que concurran razones para revisar ahora esa apreciación.</w:t>
      </w:r>
    </w:p>
    <w:p w14:paraId="40A1000C" w14:textId="77777777" w:rsidR="009D7677" w:rsidRDefault="009D7677" w:rsidP="009D7677">
      <w:pPr>
        <w:pStyle w:val="TextoNormal"/>
      </w:pPr>
    </w:p>
    <w:p w14:paraId="4A48C37B" w14:textId="77777777" w:rsidR="009D7677" w:rsidRDefault="009D7677" w:rsidP="009D7677">
      <w:pPr>
        <w:pStyle w:val="TextoNormal"/>
      </w:pPr>
      <w:r w:rsidRPr="009D7677">
        <w:rPr>
          <w:rStyle w:val="NumeroAFNegritaCaracter"/>
        </w:rPr>
        <w:t>3</w:t>
      </w:r>
      <w:r>
        <w:t xml:space="preserve">. </w:t>
      </w:r>
      <w:r w:rsidRPr="009D7677">
        <w:rPr>
          <w:i/>
        </w:rPr>
        <w:t>La identidad de género como causa de discriminación prohibida: su proyección en el ámbito laboral</w:t>
      </w:r>
    </w:p>
    <w:p w14:paraId="22A7E4F5" w14:textId="77777777" w:rsidR="009D7677" w:rsidRDefault="009D7677" w:rsidP="009D7677">
      <w:pPr>
        <w:pStyle w:val="TextoNormal"/>
      </w:pPr>
    </w:p>
    <w:p w14:paraId="5EB98FA4" w14:textId="77777777" w:rsidR="009D7677" w:rsidRDefault="009D7677" w:rsidP="009D7677">
      <w:pPr>
        <w:pStyle w:val="TextoNormal"/>
      </w:pPr>
      <w:r>
        <w:t>En la STC 67/2022, de 2 de junio, dictada por el Pleno de este tribunal y a cuya fundamentación nos remitimos, tuvimos ocasión de abordar extensamente la problemática relativa a la inclusión de la identidad de género entre las circunstancias prohibidas en el art. 14 CE y su proyección en el ámbito de las relaciones laborales (FFJJ 4 y 5).</w:t>
      </w:r>
    </w:p>
    <w:p w14:paraId="17528196" w14:textId="77777777" w:rsidR="009D7677" w:rsidRDefault="009D7677" w:rsidP="009D7677">
      <w:pPr>
        <w:pStyle w:val="TextoNormal"/>
      </w:pPr>
    </w:p>
    <w:p w14:paraId="32EC5897" w14:textId="77777777" w:rsidR="009D7677" w:rsidRDefault="009D7677" w:rsidP="009D7677">
      <w:pPr>
        <w:pStyle w:val="TextoNormal"/>
      </w:pPr>
      <w:r>
        <w:t>a) En concreto, en su fundamento jurídico 4 señalamos, con cita de otras sentencias, que la interdicción de comportamientos discriminatorios que contiene la cláusula del segundo inciso del art. 14 CE “‘no implica el establecimiento de una lista cerrada de supuestos de discriminación (STC 75/1983, de 3 de agosto, FJ 6), pero sí representa una explícita interdicción de determinadas diferencias históricamente muy arraigadas y que han situado, tanto por la acción de los poderes públicos como por la práctica social, a sectores de la población en posiciones, no solo desventajosas, sino contrarias a la dignidad de la persona que reconoce el art. 10.1 CE (SSTC 128/1987, de 16 de julio, FJ 5; 166/1988, de 26 de septiembre, FJ 2; 145/1991, de 1 de julio, FJ 2)’ [STC 63/2011, de 16 de mayo, FJ 3 b)]”. De este modo, es claro que “la condición de transexual, si bien no aparece expresamente mencionada en el art. 14 CE como uno de los concretos supuestos en que queda prohibido un trato discriminatorio, es indudablemente una circunstancia incluida en la cláusula” (STC 176/2008, de 22 de diciembre, FJ 4).</w:t>
      </w:r>
    </w:p>
    <w:p w14:paraId="5A375947" w14:textId="77777777" w:rsidR="009D7677" w:rsidRDefault="009D7677" w:rsidP="009D7677">
      <w:pPr>
        <w:pStyle w:val="TextoNormal"/>
      </w:pPr>
    </w:p>
    <w:p w14:paraId="0F085AAF" w14:textId="77777777" w:rsidR="009D7677" w:rsidRDefault="009D7677" w:rsidP="009D7677">
      <w:pPr>
        <w:pStyle w:val="TextoNormal"/>
      </w:pPr>
      <w:r>
        <w:t xml:space="preserve">Añadimos que también el Tribunal Europeo de Derechos Humanos interpreta la cláusula antidiscriminatoria del art. 14 CEDH y su Protocolo núm. 12 como una cláusula abierta que permite la inclusión de la identidad de género entre las características protegidas (SSTEDH de 16 de julio de 2014, asunto </w:t>
      </w:r>
      <w:r w:rsidRPr="009D7677">
        <w:rPr>
          <w:i/>
        </w:rPr>
        <w:t>Hämäläinen c. Finlandia</w:t>
      </w:r>
      <w:r>
        <w:t xml:space="preserve">, § 109, y de 12 de mayo de 2015, asunto </w:t>
      </w:r>
      <w:r w:rsidRPr="009D7677">
        <w:rPr>
          <w:i/>
        </w:rPr>
        <w:t>Identoba y otros c. Georgia</w:t>
      </w:r>
      <w:r>
        <w:t>, § 96).</w:t>
      </w:r>
    </w:p>
    <w:p w14:paraId="5D618765" w14:textId="77777777" w:rsidR="009D7677" w:rsidRDefault="009D7677" w:rsidP="009D7677">
      <w:pPr>
        <w:pStyle w:val="TextoNormal"/>
      </w:pPr>
    </w:p>
    <w:p w14:paraId="0541CB8C" w14:textId="77777777" w:rsidR="009D7677" w:rsidRDefault="009D7677" w:rsidP="009D7677">
      <w:pPr>
        <w:pStyle w:val="TextoNormal"/>
      </w:pPr>
      <w:r>
        <w:t>b) Por otra parte, en el fundamento jurídico 5 de la citada sentencia, consideramos que la “jurisprudencia constitucional sobre la vulneración del art. 14 CE en el marco de las relaciones laborales y el reparto de la carga de la prueba en estos supuestos, puede ser aplicada cuando la causa sospechosa de haber provocado una actuación discriminatoria por parte del empleador tenga que ver con la identidad de género del trabajador, proyectando a este ámbito la doctrina iniciada en la STC 38/1981, de 23 de noviembre, sobre flexibilización de la carga de la prueba de la discriminación”.</w:t>
      </w:r>
    </w:p>
    <w:p w14:paraId="1C31BAB1" w14:textId="77777777" w:rsidR="009D7677" w:rsidRDefault="009D7677" w:rsidP="009D7677">
      <w:pPr>
        <w:pStyle w:val="TextoNormal"/>
      </w:pPr>
    </w:p>
    <w:p w14:paraId="3782238E" w14:textId="09A22799" w:rsidR="009D7677" w:rsidRDefault="009D7677" w:rsidP="009D7677">
      <w:pPr>
        <w:pStyle w:val="TextoNormal"/>
      </w:pPr>
      <w:r>
        <w:lastRenderedPageBreak/>
        <w:t>En tal sentido, recordamos que la mera alegación de la vulneración constitucional o una retórica invocación del factor protegido no constituyen indicio de discriminación, sino que es necesario un hecho o conjunto de hechos que permita deducir la posibilidad de lesión. “Solo una vez cumplido este primer e inexcusable deber, recaerá sobre la parte demandada la carga de probar que su actuación tuvo causas reales absolutamente extrañas a la pretendida vulneración, indiciariamente probada, así como que tenían entidad suficiente para justificar la decisión adoptada al margen del derecho fundamental alegado” (STC 104/2014, de 23 de junio, FJ 7), incluso si dicha intencionalidad discriminatoria no existe, si los incumplimientos que la recurrente atribuye al empleador “representan objetivamente actos contrarios a la prohibición de discriminación” (STC 233/2007, de 5 de noviembre, FJ 4).</w:t>
      </w:r>
    </w:p>
    <w:p w14:paraId="1F97FD6B" w14:textId="77777777" w:rsidR="009D7677" w:rsidRDefault="009D7677" w:rsidP="009D7677">
      <w:pPr>
        <w:pStyle w:val="TextoNormal"/>
      </w:pPr>
    </w:p>
    <w:p w14:paraId="4001F4AF" w14:textId="77777777" w:rsidR="009D7677" w:rsidRDefault="009D7677" w:rsidP="009D7677">
      <w:pPr>
        <w:pStyle w:val="TextoNormal"/>
      </w:pPr>
      <w:r w:rsidRPr="009D7677">
        <w:rPr>
          <w:rStyle w:val="NumeroAFNegritaCaracter"/>
        </w:rPr>
        <w:t>4</w:t>
      </w:r>
      <w:r>
        <w:t xml:space="preserve">. </w:t>
      </w:r>
      <w:r w:rsidRPr="009D7677">
        <w:rPr>
          <w:i/>
        </w:rPr>
        <w:t>La proyección al caso de la doctrina expuesta</w:t>
      </w:r>
    </w:p>
    <w:p w14:paraId="01B0C77F" w14:textId="77777777" w:rsidR="009D7677" w:rsidRDefault="009D7677" w:rsidP="009D7677">
      <w:pPr>
        <w:pStyle w:val="TextoNormal"/>
      </w:pPr>
    </w:p>
    <w:p w14:paraId="446E3AC1" w14:textId="77777777" w:rsidR="009D7677" w:rsidRDefault="009D7677" w:rsidP="009D7677">
      <w:pPr>
        <w:pStyle w:val="TextoNormal"/>
      </w:pPr>
      <w:r>
        <w:t>Debemos atender al método de análisis seguido en la sentencia del Pleno citada (STC 67/2022, FJ 6) a fin de enjuiciar la existencia de la vulneración denunciada. De este modo, comenzaremos por examinar si se activa el principio de inversión de la carga de la prueba, esto es, si existen indicios de que la característica o condición que concurre en la persona de la recurrente en amparo ha sido el detonante causal del despido. Y, en segundo lugar, cuando la empleada aporte un indicio razonable de que el acto empresarial lesiona su derecho fundamental, recaerá sobre la parte demandada la carga de probar que su actuación tuvo causas reales absolutamente extrañas a la pretendida vulneración, así como que tenían entidad suficiente para justificar la decisión adoptada.</w:t>
      </w:r>
    </w:p>
    <w:p w14:paraId="0E4439F4" w14:textId="77777777" w:rsidR="009D7677" w:rsidRDefault="009D7677" w:rsidP="009D7677">
      <w:pPr>
        <w:pStyle w:val="TextoNormal"/>
      </w:pPr>
    </w:p>
    <w:p w14:paraId="65D438A3" w14:textId="77777777" w:rsidR="009D7677" w:rsidRDefault="009D7677" w:rsidP="009D7677">
      <w:pPr>
        <w:pStyle w:val="TextoNormal"/>
      </w:pPr>
      <w:r>
        <w:t xml:space="preserve">a) </w:t>
      </w:r>
      <w:r w:rsidRPr="009D7677">
        <w:rPr>
          <w:i/>
        </w:rPr>
        <w:t>Sobre la inversión de la carga de la prueba</w:t>
      </w:r>
    </w:p>
    <w:p w14:paraId="6A85DD76" w14:textId="77777777" w:rsidR="009D7677" w:rsidRDefault="009D7677" w:rsidP="009D7677">
      <w:pPr>
        <w:pStyle w:val="TextoNormal"/>
      </w:pPr>
    </w:p>
    <w:p w14:paraId="1A5F8414" w14:textId="77777777" w:rsidR="009D7677" w:rsidRDefault="009D7677" w:rsidP="009D7677">
      <w:pPr>
        <w:pStyle w:val="TextoNormal"/>
      </w:pPr>
      <w:r>
        <w:t>El soporte sobre el que debemos examinar la vulneración invocada —que no aparece controvertido por las partes— es el ejercicio por la trabajadora de sus derechos a la autodeterminación de género, lo que hace referencia a una de las circunstancias personales que, como hemos afirmado, activan la cláusula antidiscriminatoria del art. 14 CE. Asentada esta circunstancia debemos verificar si existen indicios —y esto es lo controvertido— que generen “una razonable sospecha, apariencia o presunción” de que dicha circunstancia personal ha sido el detonante de la decisión empresarial, en este caso de la extinción de la relación laboral que vinculaba a la recurrente con el Museo Arqueológico de Córdoba. De ser así le “incumbe al empresario acreditar que su decisión obedece a motivos razonables y ajenos a todo propósito atentatorio del derecho de que se trate” (STC 17/2007, de 12 de febrero, FJ 3).</w:t>
      </w:r>
    </w:p>
    <w:p w14:paraId="79E6B6C1" w14:textId="77777777" w:rsidR="009D7677" w:rsidRDefault="009D7677" w:rsidP="009D7677">
      <w:pPr>
        <w:pStyle w:val="TextoNormal"/>
      </w:pPr>
    </w:p>
    <w:p w14:paraId="3A99805A" w14:textId="77777777" w:rsidR="009D7677" w:rsidRDefault="009D7677" w:rsidP="009D7677">
      <w:pPr>
        <w:pStyle w:val="TextoNormal"/>
      </w:pPr>
      <w:r>
        <w:t>Examinaremos a continuación si tales indicios o sospechas razonables han sido acreditadas:</w:t>
      </w:r>
    </w:p>
    <w:p w14:paraId="30150A1F" w14:textId="77777777" w:rsidR="009D7677" w:rsidRDefault="009D7677" w:rsidP="009D7677">
      <w:pPr>
        <w:pStyle w:val="TextoNormal"/>
      </w:pPr>
    </w:p>
    <w:p w14:paraId="2B71B8D5" w14:textId="77777777" w:rsidR="009D7677" w:rsidRDefault="009D7677" w:rsidP="009D7677">
      <w:pPr>
        <w:pStyle w:val="TextoNormal"/>
      </w:pPr>
      <w:r>
        <w:t>(i) Podemos afirmar que el indicio o sospecha exigido para activar la inversión de la carga probatoria pudo existir al generarse cierta conflictividad en las relaciones laborales entre la recurrente de amparo y la dirección del Museo Arqueológico en lo relativo a su petición de ser identificada con el nombre de Lucía.</w:t>
      </w:r>
    </w:p>
    <w:p w14:paraId="7542E6D8" w14:textId="77777777" w:rsidR="009D7677" w:rsidRDefault="009D7677" w:rsidP="009D7677">
      <w:pPr>
        <w:pStyle w:val="TextoNormal"/>
      </w:pPr>
    </w:p>
    <w:p w14:paraId="2821F3A3" w14:textId="77777777" w:rsidR="009D7677" w:rsidRDefault="009D7677" w:rsidP="009D7677">
      <w:pPr>
        <w:pStyle w:val="TextoNormal"/>
      </w:pPr>
      <w:r>
        <w:t xml:space="preserve">Resulta de los antecedentes expuestos que existió una inicial petición verbal de la demandante a la directora y empleados del museo de ser identificada de modo consecuente </w:t>
      </w:r>
      <w:r>
        <w:lastRenderedPageBreak/>
        <w:t>con la identidad de género manifestada y que inicialmente dicha solicitud no fue atendida y generó algún desencuentro con los demás trabajadores y con la directora.</w:t>
      </w:r>
    </w:p>
    <w:p w14:paraId="5FF90358" w14:textId="77777777" w:rsidR="009D7677" w:rsidRDefault="009D7677" w:rsidP="009D7677">
      <w:pPr>
        <w:pStyle w:val="TextoNormal"/>
      </w:pPr>
    </w:p>
    <w:p w14:paraId="5A14A417" w14:textId="77777777" w:rsidR="009D7677" w:rsidRDefault="009D7677" w:rsidP="009D7677">
      <w:pPr>
        <w:pStyle w:val="TextoNormal"/>
      </w:pPr>
      <w:r>
        <w:t>Si bien consta también que efectuó una reclamación formal el 18 de febrero de 2016 a la Delegación Territorial de la Consejería de Cultura, Turismo y Deporte y conjuntamente a la directora del Museo Arqueológico de Córdoba y tuvo una rápida respuesta de los organismos implicados, primeramente, de la Delegación. Tan es así que apenas unos días después —en concreto el 26 de febrero de 2016— la directora del museo remitió un correo a todos los empleados del museo en el que se indicaba que tanto por comunicación de la Delegación Territorial como por la solicitud de la persona interesada, se informaba que la identidad de género libremente determinada por J.M. López Lozano (Lucía) es que se le identifique con el nombre de Lucía, lo que se trasladaba para conocimiento de todo el personal, al objeto de que fuera identificada con el citado nombre de Lucía y, consecuentemente, tratada de acuerdo con su identidad de género. Del mismo modo se cambió su identidad en los registros de la administración.</w:t>
      </w:r>
    </w:p>
    <w:p w14:paraId="32060801" w14:textId="77777777" w:rsidR="009D7677" w:rsidRDefault="009D7677" w:rsidP="009D7677">
      <w:pPr>
        <w:pStyle w:val="TextoNormal"/>
      </w:pPr>
    </w:p>
    <w:p w14:paraId="3FAFBA7A" w14:textId="77777777" w:rsidR="009D7677" w:rsidRDefault="009D7677" w:rsidP="009D7677">
      <w:pPr>
        <w:pStyle w:val="TextoNormal"/>
      </w:pPr>
      <w:r>
        <w:t>Ciertamente, la circunstancia de tener que acudir a la Delegación Territorial de la que depende la directora a fin de doblegar la inicial resistencia de esta a que la trabajadora fuera tratada conforme a su nueva identidad de género, pudiera ser considerada inicialmente como un indicio o sospecha de que la extinción de su relación laboral pudo tener su origen en el desencuentro ocasionado por el ejercicio del derecho de la demandante de amparo a reclamar el reconocimiento de su identidad de género.</w:t>
      </w:r>
    </w:p>
    <w:p w14:paraId="19010BD3" w14:textId="77777777" w:rsidR="009D7677" w:rsidRDefault="009D7677" w:rsidP="009D7677">
      <w:pPr>
        <w:pStyle w:val="TextoNormal"/>
      </w:pPr>
    </w:p>
    <w:p w14:paraId="55F5A64B" w14:textId="77777777" w:rsidR="009D7677" w:rsidRDefault="009D7677" w:rsidP="009D7677">
      <w:pPr>
        <w:pStyle w:val="TextoNormal"/>
      </w:pPr>
      <w:r>
        <w:t>(ii) Ahora bien, no puede considerare un indicio de discriminación por identidad de género el retraso en la respuesta a la solicitud de adaptación del puesto de trabajo mediante la adquisición de un sillón ergonómico acorde a la patología que sufría. Dicha solicitud se efectuó mucho tiempo antes de manifestar su cambio de identidad, en concreto el 15 de septiembre de 2014.</w:t>
      </w:r>
    </w:p>
    <w:p w14:paraId="3DF79D01" w14:textId="77777777" w:rsidR="009D7677" w:rsidRDefault="009D7677" w:rsidP="009D7677">
      <w:pPr>
        <w:pStyle w:val="TextoNormal"/>
      </w:pPr>
    </w:p>
    <w:p w14:paraId="3DD30E85" w14:textId="77777777" w:rsidR="009D7677" w:rsidRDefault="009D7677" w:rsidP="009D7677">
      <w:pPr>
        <w:pStyle w:val="TextoNormal"/>
      </w:pPr>
      <w:r>
        <w:t>Precisamente, fue coincidiendo con el cambio de identidad —a finales del año 2016— cuando insistió en su solicitud, esta vez dirigiéndose al jefe de servicios de instituciones y programas culturales de la Delegación de Cultura, Turismo y Deportes en Córdoba, y se adquirió el sillón en el promedio temporal de tres a cuatro meses en que se atendieron solicitudes similares de otros compañeros de la demandante. Por tanto, la demora en la adquisición del sillón aparece desconectada de su manifestación de identidad de género, sin que pueda servir como indicio o sospecha razonable de discriminación.</w:t>
      </w:r>
    </w:p>
    <w:p w14:paraId="22610E93" w14:textId="77777777" w:rsidR="009D7677" w:rsidRDefault="009D7677" w:rsidP="009D7677">
      <w:pPr>
        <w:pStyle w:val="TextoNormal"/>
      </w:pPr>
    </w:p>
    <w:p w14:paraId="3B7076FB" w14:textId="77777777" w:rsidR="009D7677" w:rsidRDefault="009D7677" w:rsidP="009D7677">
      <w:pPr>
        <w:pStyle w:val="TextoNormal"/>
      </w:pPr>
      <w:r>
        <w:t>(iii) Tampoco puede considerarse un elemento indiciario de discriminación que no le permitieran realizar visitas guidas ni talleres para niños pues, tal y como se alegó por la Junta de Andalucía y no fue desmentido por la recurrente, las visitas y talleres no formaban parte del contenido del puesto ocupado por la demandante en amparo y solo de modo puntual y en casos de falta de personal los había realizado.</w:t>
      </w:r>
    </w:p>
    <w:p w14:paraId="35A2E26C" w14:textId="77777777" w:rsidR="009D7677" w:rsidRDefault="009D7677" w:rsidP="009D7677">
      <w:pPr>
        <w:pStyle w:val="TextoNormal"/>
      </w:pPr>
    </w:p>
    <w:p w14:paraId="3F5365B7" w14:textId="77777777" w:rsidR="009D7677" w:rsidRDefault="009D7677" w:rsidP="009D7677">
      <w:pPr>
        <w:pStyle w:val="TextoNormal"/>
      </w:pPr>
      <w:r>
        <w:t>En todo caso serían indicios de discriminación en la relación laboral pero no en su extinción.</w:t>
      </w:r>
    </w:p>
    <w:p w14:paraId="14DCBC7C" w14:textId="77777777" w:rsidR="009D7677" w:rsidRDefault="009D7677" w:rsidP="009D7677">
      <w:pPr>
        <w:pStyle w:val="TextoNormal"/>
      </w:pPr>
    </w:p>
    <w:p w14:paraId="39910497" w14:textId="77777777" w:rsidR="009D7677" w:rsidRDefault="009D7677" w:rsidP="009D7677">
      <w:pPr>
        <w:pStyle w:val="TextoNormal"/>
      </w:pPr>
      <w:r>
        <w:t xml:space="preserve">b) </w:t>
      </w:r>
      <w:r w:rsidRPr="009D7677">
        <w:rPr>
          <w:i/>
        </w:rPr>
        <w:t>Sobre la prueba en contrario</w:t>
      </w:r>
    </w:p>
    <w:p w14:paraId="77CF0D2A" w14:textId="77777777" w:rsidR="009D7677" w:rsidRDefault="009D7677" w:rsidP="009D7677">
      <w:pPr>
        <w:pStyle w:val="TextoNormal"/>
      </w:pPr>
    </w:p>
    <w:p w14:paraId="69522A40" w14:textId="77777777" w:rsidR="009D7677" w:rsidRDefault="009D7677" w:rsidP="009D7677">
      <w:pPr>
        <w:pStyle w:val="TextoNormal"/>
      </w:pPr>
      <w:r>
        <w:lastRenderedPageBreak/>
        <w:t>Como tuvimos ocasión de señalar en la tantas veces referida STC 67/2022, FJ 6 b), activado el principio de inversión de la carga de la prueba, “nuestro enjuiciamiento no puede limitarse a comprobar si el órgano judicial efectuó una interpretación del derecho en juego que no fue irrazonable, ni arbitraria, ni manifiestamente errónea, ya que aquí el canon de enjuiciamiento no es el del art. 24 CE sino el del derecho fundamental sustantivo cuestionado, es decir, el derecho fundamental a la no discriminación por razón de identidad de género (</w:t>
      </w:r>
      <w:r w:rsidRPr="009D7677">
        <w:rPr>
          <w:i/>
        </w:rPr>
        <w:t>mutatis mutandis</w:t>
      </w:r>
      <w:r>
        <w:t>, para los supuestos de alegación de discriminación por razón de sexo véanse las SSTC 175/2005, de 4 de julio, FJ 5, y 342/2006, de 11 de diciembre, FJ 5)”.</w:t>
      </w:r>
    </w:p>
    <w:p w14:paraId="77F265FB" w14:textId="77777777" w:rsidR="009D7677" w:rsidRDefault="009D7677" w:rsidP="009D7677">
      <w:pPr>
        <w:pStyle w:val="TextoNormal"/>
      </w:pPr>
    </w:p>
    <w:p w14:paraId="058BD6CD" w14:textId="77777777" w:rsidR="009D7677" w:rsidRDefault="009D7677" w:rsidP="009D7677">
      <w:pPr>
        <w:pStyle w:val="TextoNormal"/>
      </w:pPr>
      <w:r>
        <w:t>Ahora bien, dicho canon de enjuiciamiento se proyectará sobre “los hechos probados, conforme a la sujeción prescrita en el art. 44.1 b) LOTC, lo que no impide, según establecimos en las SSTC 224/1999, de 13 de diciembre; 136/2001, de 18 de junio, o 17/2003, de 30 de enero, que podamos alcanzar una interpretación propia del relato fáctico conforme a los derechos y valores constitucionales en presencia” (STC 41/2006, de 13 de febrero, FJ 4).</w:t>
      </w:r>
    </w:p>
    <w:p w14:paraId="303A3A12" w14:textId="77777777" w:rsidR="009D7677" w:rsidRDefault="009D7677" w:rsidP="009D7677">
      <w:pPr>
        <w:pStyle w:val="TextoNormal"/>
      </w:pPr>
    </w:p>
    <w:p w14:paraId="0523B084" w14:textId="77777777" w:rsidR="009D7677" w:rsidRDefault="009D7677" w:rsidP="009D7677">
      <w:pPr>
        <w:pStyle w:val="TextoNormal"/>
      </w:pPr>
      <w:r>
        <w:t>Se ha declarado por las sentencias de instancia que se descarta que el móvil del cese fuera discriminatorio. Esto es, se rechaza que la extinción de la relación laboral estuviera vinculada a los iniciales desencuentros ocasionados con la directora del Museo Arqueológico como consecuencia del ejercicio por la trabajadora de su derecho a la identidad de género. En tal sentido, se argumenta que la directora del museo nada tuvo que ver en la resolución de cese al obedecer la misma a la convocatoria y resolución del concurso de traslados efectuado por la Administración General de la Junta de Andalucía y no por la dirección del Museo. Debe indicarse que la recurrente, ni en la demanda de despido ni en el recurso de suplicación, proyectó sobre la Junta de Andalucía discriminación alguna en la selección de las plazas ofertadas en el concurso de traslados. Es más, de los hechos probados resulta que, tras el escrito dirigido por la demandante el 18 de febrero de 2016 a la Delegación Territorial de la Consejería de Cultura, Turismo y Deporte por el que solicitó el reconocimiento de su identidad de género, esta estimó su solicitud apenas transcurridos cinco días hábiles. Por tanto, ningún atisbo de discriminación se puede observar en la referida Delegación y menos aún en los órganos centrales de la Junta de Andalucía, atendida la rápida aceptación de la pretensión de la recurrente y la inmediata adopción de medidas para el reconocimiento de la identidad de género manifestada.</w:t>
      </w:r>
    </w:p>
    <w:p w14:paraId="7849C1D7" w14:textId="77777777" w:rsidR="009D7677" w:rsidRDefault="009D7677" w:rsidP="009D7677">
      <w:pPr>
        <w:pStyle w:val="TextoNormal"/>
      </w:pPr>
    </w:p>
    <w:p w14:paraId="2416BF14" w14:textId="77777777" w:rsidR="009D7677" w:rsidRDefault="009D7677" w:rsidP="009D7677">
      <w:pPr>
        <w:pStyle w:val="TextoNormal"/>
      </w:pPr>
      <w:r>
        <w:t>Por otra parte, conviene destacar que la extinción de la relación laboral tuvo un origen completamente desvinculado de cualquier conflictividad derivada del ejercicio por la recurrente de su derecho a la identidad de género. En efecto, la causa del cese fue la convocatoria, por resolución de 12 de julio de 2016 de la Dirección General de Recursos Humanos y Función Pública de la Consejería de Hacienda y Administración Pública de la Junta de Andalucía, del concurso de traslados, inicial y a resultas, entre el personal laboral de carácter fijo o fijo discontinuo incluido en el ámbito de aplicación del convenio colectivo del personal laboral al servicio de la Administración de la Junta de Andalucía.</w:t>
      </w:r>
    </w:p>
    <w:p w14:paraId="6738FF68" w14:textId="77777777" w:rsidR="009D7677" w:rsidRDefault="009D7677" w:rsidP="009D7677">
      <w:pPr>
        <w:pStyle w:val="TextoNormal"/>
      </w:pPr>
    </w:p>
    <w:p w14:paraId="47A77204" w14:textId="77777777" w:rsidR="009D7677" w:rsidRDefault="009D7677" w:rsidP="009D7677">
      <w:pPr>
        <w:pStyle w:val="TextoNormal"/>
      </w:pPr>
      <w:r>
        <w:t xml:space="preserve">Debe indicarse que, tras dicha convocatoria, la demandante no cuestionó que la inclusión de su plaza en el concurso tuviera por causa discriminación por su identidad de género —tampoco lo hizo en la demanda de despido de la que trae causa el presente recurso de </w:t>
      </w:r>
      <w:r>
        <w:lastRenderedPageBreak/>
        <w:t>amparo— sino que interpuso una demanda ante la jurisdicción social reclamando el carácter indefinido de su relación laboral que no fue estimada.</w:t>
      </w:r>
    </w:p>
    <w:p w14:paraId="5CACA38E" w14:textId="77777777" w:rsidR="009D7677" w:rsidRDefault="009D7677" w:rsidP="009D7677">
      <w:pPr>
        <w:pStyle w:val="TextoNormal"/>
      </w:pPr>
    </w:p>
    <w:p w14:paraId="781AAE7A" w14:textId="77777777" w:rsidR="009D7677" w:rsidRDefault="009D7677" w:rsidP="009D7677">
      <w:pPr>
        <w:pStyle w:val="TextoNormal"/>
      </w:pPr>
      <w:r>
        <w:t>La referida convocatoria de traslado entre el personal fijo o fijo discontinuo fue adoptada con sustento en la Ley del Parlamento de Andalucía 6/1985, de 28 de noviembre, de ordenación de la función pública de la Junta de Andalucía, su ámbito de aplicación era todo el territorio de la Comunidad Autónoma y afectó a aquellos puestos de trabajo que debiendo ser desempeñados por funcionarios estaban ocupados con carácter provisional por interinos. La demandante de amparo, como otros empleados del museo cuya plaza fue ofertada en el concurso, tenía un contrato de trabajo temporal de interinidad, esto es, ocupaba con carácter temporal un puesto de trabajo que podía ser desempeñado por funcionarios (art. 16.2 de la Ley 6/1985). Atendida su condición de interina debía ser cesada en el momento de la toma de posesión del titular ordinario (art. 29.3 de la Ley 6/1985), como así fue.</w:t>
      </w:r>
    </w:p>
    <w:p w14:paraId="693B0795" w14:textId="77777777" w:rsidR="009D7677" w:rsidRDefault="009D7677" w:rsidP="009D7677">
      <w:pPr>
        <w:pStyle w:val="TextoNormal"/>
      </w:pPr>
    </w:p>
    <w:p w14:paraId="34617414" w14:textId="77777777" w:rsidR="009D7677" w:rsidRDefault="009D7677" w:rsidP="009D7677">
      <w:pPr>
        <w:pStyle w:val="TextoNormal"/>
      </w:pPr>
      <w:r>
        <w:t>El concurso de traslados se ajustó a las previsiones del art. 20 del VI Convenio colectivo del personal laboral al servicio de la Administración de la Junta de Andalucía, cuyo ámbito funcional se extiende a toda la actividad propia de la administración de la Junta de Andalucía, realizada en todos sus centros y dependencias, organismos autónomos y servicios de ella dependientes. En concreto, en su art. 20 prevé que los puestos de trabajo adscritos al personal laboral que se encuentren vacantes y presupuestariamente dotados se proveerán por el procedimiento de concurso de traslados, por el cual el personal fijo o fijo discontinuo opta a su cobertura.</w:t>
      </w:r>
    </w:p>
    <w:p w14:paraId="65B2CEB3" w14:textId="77777777" w:rsidR="009D7677" w:rsidRDefault="009D7677" w:rsidP="009D7677">
      <w:pPr>
        <w:pStyle w:val="TextoNormal"/>
      </w:pPr>
    </w:p>
    <w:p w14:paraId="155AD31A" w14:textId="77777777" w:rsidR="009D7677" w:rsidRDefault="009D7677" w:rsidP="009D7677">
      <w:pPr>
        <w:pStyle w:val="TextoNormal"/>
      </w:pPr>
      <w:r>
        <w:t>En suma, la causa del cese de la recurrente no tuvo que ver con los desencuentros iniciales con la directora del museo sobre el reconocimiento de su identidad de género, sino con la resolución del concurso de traslados convocado por la Dirección General de Recursos Humanos y Función Pública de la Consejería de Hacienda y Administración Pública de la Junta de Andalucía, que afectó a las plazas vacantes de dicha Comunidad Autónoma en cumplimiento de las previsiones del convenio colectivo del personal laboral al servicio de la Administración de la Junta de Andalucía aprobado años antes.</w:t>
      </w:r>
    </w:p>
    <w:p w14:paraId="25DB328A" w14:textId="77777777" w:rsidR="009D7677" w:rsidRDefault="009D7677" w:rsidP="009D7677">
      <w:pPr>
        <w:pStyle w:val="TextoNormal"/>
      </w:pPr>
    </w:p>
    <w:p w14:paraId="02937659" w14:textId="463B8B02" w:rsidR="009D7677" w:rsidRDefault="009D7677" w:rsidP="009D7677">
      <w:pPr>
        <w:pStyle w:val="TextoNormal"/>
      </w:pPr>
      <w:r>
        <w:t>Debemos rechazar, por tanto, que la extinción de la relación laboral de interinidad de doña Lucía López Lozano se haya debido a la vulneración del art. 14 CE, en su vertiente de la interdicción de discriminación de las personas por razón de su identidad de género.</w:t>
      </w:r>
    </w:p>
    <w:p w14:paraId="30572F95" w14:textId="77777777" w:rsidR="009D7677" w:rsidRDefault="009D7677" w:rsidP="009D7677">
      <w:pPr>
        <w:pStyle w:val="TextoNormal"/>
      </w:pPr>
    </w:p>
    <w:p w14:paraId="2F232EA4" w14:textId="77777777" w:rsidR="009D7677" w:rsidRDefault="009D7677" w:rsidP="009D7677">
      <w:pPr>
        <w:pStyle w:val="TextoNormalCentrado"/>
        <w:keepNext/>
      </w:pPr>
      <w:r>
        <w:t>FALLO</w:t>
      </w:r>
    </w:p>
    <w:p w14:paraId="139772B7" w14:textId="34189BF1" w:rsidR="009D7677" w:rsidRDefault="009D7677" w:rsidP="009D7677">
      <w:pPr>
        <w:pStyle w:val="TextoNormalCentrado"/>
        <w:keepNext/>
      </w:pPr>
    </w:p>
    <w:p w14:paraId="76C8525D" w14:textId="7E0CB663" w:rsidR="009D7677" w:rsidRDefault="009D7677" w:rsidP="009D7677">
      <w:pPr>
        <w:pStyle w:val="TextoNormal"/>
      </w:pPr>
      <w:r>
        <w:t>En atención a todo lo expuesto, el Tribunal Constitucional, por la autoridad que le confiere la Constitución de la Nación española, ha decidido desestimar el presente recurso de amparo interpuesto por doña Lucía López Lozano.</w:t>
      </w:r>
    </w:p>
    <w:p w14:paraId="3AB462B6" w14:textId="77777777" w:rsidR="009D7677" w:rsidRDefault="009D7677" w:rsidP="009D7677">
      <w:pPr>
        <w:pStyle w:val="TextoNormal"/>
      </w:pPr>
    </w:p>
    <w:p w14:paraId="49C2D4D0" w14:textId="77777777" w:rsidR="009D7677" w:rsidRDefault="009D7677" w:rsidP="009D7677">
      <w:pPr>
        <w:pStyle w:val="TextoNormal"/>
      </w:pPr>
      <w:r>
        <w:t>Publíquese esta sentencia en el “Boletín Oficial del Estado”.</w:t>
      </w:r>
    </w:p>
    <w:p w14:paraId="71A78B51" w14:textId="77777777" w:rsidR="009D7677" w:rsidRDefault="009D7677" w:rsidP="009D7677">
      <w:pPr>
        <w:pStyle w:val="TextoNormal"/>
      </w:pPr>
      <w:r>
        <w:t>Dada en Madrid, a tres de junio de dos mil veinticuatro.</w:t>
      </w:r>
    </w:p>
    <w:p w14:paraId="5036BC95" w14:textId="5EED922B" w:rsidR="009D7677" w:rsidRDefault="009D7677">
      <w:pPr>
        <w:spacing w:after="160" w:line="259" w:lineRule="auto"/>
        <w:rPr>
          <w:rFonts w:ascii="Times New Roman" w:eastAsia="Times New Roman" w:hAnsi="Times New Roman" w:cs="Times New Roman"/>
          <w:sz w:val="24"/>
          <w:szCs w:val="24"/>
          <w:lang w:eastAsia="es-ES"/>
        </w:rPr>
      </w:pPr>
      <w:r>
        <w:br w:type="page"/>
      </w:r>
    </w:p>
    <w:p w14:paraId="08CB8EF1" w14:textId="77777777" w:rsidR="009D7677" w:rsidRDefault="009D7677" w:rsidP="009D7677">
      <w:pPr>
        <w:pStyle w:val="TtuloResolucin"/>
      </w:pPr>
      <w:bookmarkStart w:id="84" w:name="SENTENCIA_2024_82"/>
      <w:r>
        <w:lastRenderedPageBreak/>
        <w:t>SENTENCIA 82/2024, de 3 de junio de 2024</w:t>
      </w:r>
    </w:p>
    <w:bookmarkEnd w:id="84"/>
    <w:p w14:paraId="54D5E4E9" w14:textId="77777777" w:rsidR="009D7677" w:rsidRDefault="009D7677" w:rsidP="009D7677">
      <w:pPr>
        <w:pStyle w:val="TtuloResolucin"/>
      </w:pPr>
      <w:r>
        <w:t>Sala Segunda</w:t>
      </w:r>
    </w:p>
    <w:p w14:paraId="4A39B5AC" w14:textId="77777777" w:rsidR="009D7677" w:rsidRDefault="009D7677" w:rsidP="009D7677">
      <w:pPr>
        <w:pStyle w:val="TtuloBOE"/>
      </w:pPr>
      <w:r>
        <w:t>(BOE núm. 164, de 8 de julio de 2024)</w:t>
      </w:r>
    </w:p>
    <w:p w14:paraId="6AC5B081" w14:textId="77777777" w:rsidR="009D7677" w:rsidRDefault="009D7677" w:rsidP="009D7677">
      <w:pPr>
        <w:pStyle w:val="TextoNormalCentrado"/>
      </w:pPr>
      <w:r>
        <w:t>ECLI:ES:TC:2024:82</w:t>
      </w:r>
    </w:p>
    <w:p w14:paraId="212A9AD1" w14:textId="7A8210A6" w:rsidR="009D7677" w:rsidRDefault="009D7677" w:rsidP="009D7677">
      <w:pPr>
        <w:pStyle w:val="TextoNormalCentrado"/>
      </w:pPr>
    </w:p>
    <w:p w14:paraId="531BFF37" w14:textId="77777777" w:rsidR="009D7677" w:rsidRDefault="009D7677" w:rsidP="009D7677">
      <w:pPr>
        <w:pStyle w:val="SntesisDescriptiva"/>
      </w:pPr>
      <w:r>
        <w:t>Recurso de amparo 7937-2021. Promovido por don G.O.C., y doña A.R.M.M., en relación con los autos dictados por un juzgado de primera instancia de Murcia en procedimiento de adopción de un menor.</w:t>
      </w:r>
    </w:p>
    <w:p w14:paraId="489070ED" w14:textId="6848FCED" w:rsidR="009D7677" w:rsidRDefault="009D7677" w:rsidP="009D7677">
      <w:pPr>
        <w:pStyle w:val="SntesisDescriptiva"/>
      </w:pPr>
    </w:p>
    <w:p w14:paraId="4FA15CC0" w14:textId="77777777" w:rsidR="009D7677" w:rsidRDefault="009D7677" w:rsidP="009D7677">
      <w:pPr>
        <w:pStyle w:val="SntesisAnaltica"/>
      </w:pPr>
      <w:r>
        <w:t>Vulneración del derecho a la tutela judicial efectiva: resoluciones judiciales que impiden la intervención de los abuelos en el procedimiento de adopción y que descartan la alternativa del acogimiento en familia extensa.</w:t>
      </w:r>
    </w:p>
    <w:p w14:paraId="45AFA84D" w14:textId="7ED86B82" w:rsidR="009D7677" w:rsidRDefault="009D7677" w:rsidP="009D7677">
      <w:pPr>
        <w:pStyle w:val="SntesisAnaltica"/>
      </w:pPr>
    </w:p>
    <w:p w14:paraId="3749D92A" w14:textId="271CF155" w:rsidR="009D7677" w:rsidRDefault="009D7677" w:rsidP="009D7677">
      <w:pPr>
        <w:pStyle w:val="Extracto"/>
      </w:pPr>
      <w:r>
        <w:t>1.</w:t>
      </w:r>
      <w:r>
        <w:tab/>
        <w:t>Los poderes públicos deben procurar la satisfacción del interés del menor incluso si ello significa atemperar la rigidez de algunas normas procesales o sacrificar los legítimos intereses y perspectivas de terceros [FJ 2].</w:t>
      </w:r>
    </w:p>
    <w:p w14:paraId="1FB1FA4C" w14:textId="77777777" w:rsidR="009D7677" w:rsidRDefault="009D7677" w:rsidP="009D7677">
      <w:pPr>
        <w:pStyle w:val="Extracto"/>
      </w:pPr>
    </w:p>
    <w:p w14:paraId="57BA1DEF" w14:textId="235CF29E" w:rsidR="009D7677" w:rsidRDefault="009D7677" w:rsidP="009D7677">
      <w:pPr>
        <w:pStyle w:val="Extracto"/>
      </w:pPr>
      <w:r>
        <w:t>2.</w:t>
      </w:r>
      <w:r>
        <w:tab/>
        <w:t xml:space="preserve">Cuando está en juego el interés de los menores, sus derechos exceden del ámbito estrictamente privado y pasan a tener una consideración más cercana a los elementos de </w:t>
      </w:r>
      <w:r w:rsidRPr="009D7677">
        <w:rPr>
          <w:i/>
        </w:rPr>
        <w:t xml:space="preserve">ius cogens </w:t>
      </w:r>
      <w:r>
        <w:t>que concurren en los procedimientos judiciales relativos a la familia, a partir de que el art. 39.2 CE sanciona una protección integral de los hijos por parte de los poderes públicos (SSTC 120/1984 o 5/2023) [FJ 2].</w:t>
      </w:r>
    </w:p>
    <w:p w14:paraId="51851FCD" w14:textId="77777777" w:rsidR="009D7677" w:rsidRDefault="009D7677" w:rsidP="009D7677">
      <w:pPr>
        <w:pStyle w:val="Extracto"/>
      </w:pPr>
    </w:p>
    <w:p w14:paraId="5C4BEC5F" w14:textId="132D0B70" w:rsidR="009D7677" w:rsidRDefault="009D7677" w:rsidP="009D7677">
      <w:pPr>
        <w:pStyle w:val="Extracto"/>
      </w:pPr>
      <w:r>
        <w:t>3.</w:t>
      </w:r>
      <w:r>
        <w:tab/>
        <w:t xml:space="preserve">Salvo en los casos en que la familia haya demostrado ser particularmente inadecuada y ello pueda perjudicar la salud y el desarrollo del niño, cortar los lazos del niño con su familia significa separar a un niño de sus raíces, lo que solo puede hacerse en circunstancias excepcionales; debe hacerse todo lo posible para preservar las relaciones personales y, si procede,  ‘reconstruir’ la familia (STEDH de 30 de noviembre de 2021, asunto </w:t>
      </w:r>
      <w:r w:rsidRPr="009D7677">
        <w:rPr>
          <w:i/>
        </w:rPr>
        <w:t>T.A. y otros c. Mol</w:t>
      </w:r>
      <w:r>
        <w:t>davia) [FJ 2].</w:t>
      </w:r>
    </w:p>
    <w:p w14:paraId="5B17FBA2" w14:textId="77777777" w:rsidR="009D7677" w:rsidRDefault="009D7677" w:rsidP="009D7677">
      <w:pPr>
        <w:pStyle w:val="Extracto"/>
      </w:pPr>
    </w:p>
    <w:p w14:paraId="7C21ECF7" w14:textId="4DB8A2AE" w:rsidR="009D7677" w:rsidRDefault="009D7677" w:rsidP="009D7677">
      <w:pPr>
        <w:pStyle w:val="Extracto"/>
      </w:pPr>
      <w:r>
        <w:t>4.</w:t>
      </w:r>
      <w:r>
        <w:tab/>
        <w:t xml:space="preserve">En determinados casos, el TEDH ha sostenido que la protección otorgada a los abuelos no disminuía por la presencia de los padres ejerciendo la patria potestad, llegando a considerar en tales casos que la relación entre la abuela y su nieta es, en principio, de la misma naturaleza que las demás relaciones familiares protegidas por el artículo 8 del Convenio, basándose en que se había desarrollado un estrecho vínculo interpersonal de la nieta con la abuela, quien se había comportado en todos los aspectos como su madre. (STEDH de 14 de enero de 2021, asunto </w:t>
      </w:r>
      <w:r w:rsidRPr="009D7677">
        <w:rPr>
          <w:i/>
        </w:rPr>
        <w:t>Terna c. Italia</w:t>
      </w:r>
      <w:r>
        <w:t>) [FJ 3].</w:t>
      </w:r>
    </w:p>
    <w:p w14:paraId="727F1491" w14:textId="77777777" w:rsidR="009D7677" w:rsidRDefault="009D7677" w:rsidP="009D7677">
      <w:pPr>
        <w:pStyle w:val="Extracto"/>
      </w:pPr>
    </w:p>
    <w:p w14:paraId="3DD6BED2" w14:textId="6544BDAC" w:rsidR="009D7677" w:rsidRDefault="009D7677" w:rsidP="009D7677">
      <w:pPr>
        <w:pStyle w:val="Extracto"/>
      </w:pPr>
      <w:r>
        <w:t>5.</w:t>
      </w:r>
      <w:r>
        <w:tab/>
        <w:t>La Convención de las Naciones Unidas sobre los derechos del niño de 20 de noviembre de 1989 prevé que, en cualquier procedimiento entablado con ocasión de la separación del niño de sus padres, se ofrecerá a todas las partes interesadas la posibilidad de participar en él y de dar a conocer sus opiniones (SSTC 124/2002 o 58/2008) [FJ 2].</w:t>
      </w:r>
    </w:p>
    <w:p w14:paraId="7AC736C9" w14:textId="77777777" w:rsidR="009D7677" w:rsidRDefault="009D7677" w:rsidP="009D7677">
      <w:pPr>
        <w:pStyle w:val="Extracto"/>
      </w:pPr>
    </w:p>
    <w:p w14:paraId="21B85B71" w14:textId="575A9D22" w:rsidR="009D7677" w:rsidRDefault="009D7677" w:rsidP="009D7677">
      <w:pPr>
        <w:pStyle w:val="Extracto"/>
      </w:pPr>
      <w:r>
        <w:t>6.</w:t>
      </w:r>
      <w:r>
        <w:tab/>
        <w:t xml:space="preserve">El proceder de las autoridades, atendidos los distintos procedimientos en curso, debe aplicar la exigencia constitucional de flexibilizar las rigideces procesales en aras a la protección del menor (STC 141/2000); y ponderar todos los intereses en </w:t>
      </w:r>
      <w:r>
        <w:lastRenderedPageBreak/>
        <w:t>presencia (STC 120/1984), sin sujetarse de modo inflexible a la ausencia de legitimación y negando a los abuelos del menor, que reclaman el acogimiento familiar, la posibilidad de intervenir y de ser oídos en el procedimiento [FJ 3].</w:t>
      </w:r>
    </w:p>
    <w:p w14:paraId="3B00680D" w14:textId="77777777" w:rsidR="009D7677" w:rsidRDefault="009D7677" w:rsidP="009D7677">
      <w:pPr>
        <w:pStyle w:val="Extracto"/>
      </w:pPr>
    </w:p>
    <w:p w14:paraId="5621354F" w14:textId="4C47AE7C" w:rsidR="009D7677" w:rsidRDefault="009D7677" w:rsidP="009D7677">
      <w:pPr>
        <w:pStyle w:val="Extracto"/>
      </w:pPr>
      <w:r>
        <w:t>7.</w:t>
      </w:r>
      <w:r>
        <w:tab/>
        <w:t>Vulnera el derecho a la tutela judicial efectiva en su vertiente de derecho a obtener una resolución fundada en derecho (art. 24.1 CE) en relación con la obligación de proteger el interés superior del menor (art. 39.1 CE), la resolución judicial que no pondere todas las circunstancias relevantes antes de decidir sobre la adopción de una persona menor de edad [FJ 3].</w:t>
      </w:r>
    </w:p>
    <w:p w14:paraId="43E1B0A9" w14:textId="77777777" w:rsidR="009D7677" w:rsidRDefault="009D7677" w:rsidP="009D7677">
      <w:pPr>
        <w:pStyle w:val="Extracto"/>
      </w:pPr>
    </w:p>
    <w:p w14:paraId="5CC863D9" w14:textId="77777777" w:rsidR="009D7677" w:rsidRDefault="009D7677" w:rsidP="009D7677">
      <w:pPr>
        <w:pStyle w:val="Extracto"/>
      </w:pPr>
    </w:p>
    <w:p w14:paraId="0F2B95AA" w14:textId="77777777" w:rsidR="009D7677" w:rsidRDefault="009D7677" w:rsidP="009D7677">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608C1BED" w14:textId="109715CA" w:rsidR="009D7677" w:rsidRDefault="009D7677" w:rsidP="009D7677">
      <w:pPr>
        <w:pStyle w:val="TextoNormal"/>
      </w:pPr>
    </w:p>
    <w:p w14:paraId="66D9C614" w14:textId="77777777" w:rsidR="009D7677" w:rsidRDefault="009D7677" w:rsidP="009D7677">
      <w:pPr>
        <w:pStyle w:val="TextoNormalCentrado"/>
        <w:keepNext/>
      </w:pPr>
      <w:r>
        <w:t>EN NOMBRE DEL REY</w:t>
      </w:r>
    </w:p>
    <w:p w14:paraId="642552A4" w14:textId="06E052EB" w:rsidR="009D7677" w:rsidRDefault="009D7677" w:rsidP="009D7677">
      <w:pPr>
        <w:pStyle w:val="TextoNormalCentrado"/>
        <w:keepNext/>
      </w:pPr>
    </w:p>
    <w:p w14:paraId="0F71E31C" w14:textId="77777777" w:rsidR="009D7677" w:rsidRDefault="009D7677" w:rsidP="009D7677">
      <w:pPr>
        <w:pStyle w:val="TextoNormalCentrado"/>
        <w:keepNext/>
      </w:pPr>
    </w:p>
    <w:p w14:paraId="57740E65" w14:textId="77777777" w:rsidR="009D7677" w:rsidRDefault="009D7677" w:rsidP="009D7677">
      <w:pPr>
        <w:pStyle w:val="TextoNormal"/>
      </w:pPr>
      <w:r>
        <w:t>la siguiente</w:t>
      </w:r>
    </w:p>
    <w:p w14:paraId="0F67A4F7" w14:textId="16305686" w:rsidR="009D7677" w:rsidRDefault="009D7677" w:rsidP="009D7677">
      <w:pPr>
        <w:pStyle w:val="TextoNormal"/>
      </w:pPr>
    </w:p>
    <w:p w14:paraId="70DAB324" w14:textId="77777777" w:rsidR="009D7677" w:rsidRDefault="009D7677" w:rsidP="009D7677">
      <w:pPr>
        <w:pStyle w:val="TextoNormalCentrado"/>
        <w:keepNext/>
      </w:pPr>
      <w:r>
        <w:t>SENTENCIA</w:t>
      </w:r>
    </w:p>
    <w:p w14:paraId="26A3F7F2" w14:textId="7B6BC7BE" w:rsidR="009D7677" w:rsidRDefault="009D7677" w:rsidP="009D7677">
      <w:pPr>
        <w:pStyle w:val="TextoNormalCentrado"/>
        <w:keepNext/>
      </w:pPr>
    </w:p>
    <w:p w14:paraId="251B0B66" w14:textId="77777777" w:rsidR="009D7677" w:rsidRDefault="009D7677" w:rsidP="009D7677">
      <w:pPr>
        <w:pStyle w:val="TextoNormal"/>
      </w:pPr>
      <w:r>
        <w:t>En el recurso de amparo núm. 7937-2021, promovido por don G.O.C., y doña A.R.M.M., representados por el procurador de los tribunales don Alejandro Valera Cobacho y asistidos de la letrada doña Margarita López Anadón, contra el auto del Juzgado de Primera Instancia núm. 9 de Murcia, de fecha 25 de octubre de 2021, que desestimó el incidente de nulidad de actuaciones interpuesto frente al auto de 18 febrero de 2021, en el que se acuerda la adopción del menor I.O.S., propuesta por la Dirección General de Familias y Protección de Menores de la Comunidad Autónoma de la Región de Murcia. Ha intervenido la Comunidad Autónoma de la Región de Murcia, representada por el letrado don Diego Pérez Frutos, así como el Ministerio Fiscal. Ha sido ponente el magistrado don César Tolosa Tribiño.</w:t>
      </w:r>
    </w:p>
    <w:p w14:paraId="6674C203" w14:textId="4EC2E013" w:rsidR="009D7677" w:rsidRDefault="009D7677" w:rsidP="009D7677">
      <w:pPr>
        <w:pStyle w:val="TextoNormal"/>
      </w:pPr>
    </w:p>
    <w:p w14:paraId="2E038172" w14:textId="77777777" w:rsidR="009D7677" w:rsidRDefault="009D7677" w:rsidP="009D7677">
      <w:pPr>
        <w:pStyle w:val="TextoNormalNegritaCentrado"/>
        <w:keepNext/>
      </w:pPr>
      <w:r>
        <w:t>I. Antecedentes</w:t>
      </w:r>
    </w:p>
    <w:p w14:paraId="4D269BCE" w14:textId="5D33F9D0" w:rsidR="009D7677" w:rsidRDefault="009D7677" w:rsidP="009D7677">
      <w:pPr>
        <w:pStyle w:val="TextoNormalNegritaCentrado"/>
        <w:keepNext/>
      </w:pPr>
    </w:p>
    <w:p w14:paraId="2ED9C27A" w14:textId="5ABF3AD2" w:rsidR="009D7677" w:rsidRDefault="009D7677" w:rsidP="009D7677">
      <w:pPr>
        <w:pStyle w:val="TextoNormal"/>
      </w:pPr>
      <w:r w:rsidRPr="009D7677">
        <w:rPr>
          <w:rStyle w:val="NumeroAFNegritaCaracter"/>
        </w:rPr>
        <w:t>1</w:t>
      </w:r>
      <w:r>
        <w:t>. Mediante escrito presentado en el registro general de este tribunal el día 14 de diciembre de 2021, el procurador de los tribunales don Alejandro Valera Cobacho, en la representación indicada, interpuso demanda de amparo contra la resolución judicial señalada en el encabezamiento de esta sentencia.</w:t>
      </w:r>
    </w:p>
    <w:p w14:paraId="466FE811" w14:textId="77777777" w:rsidR="009D7677" w:rsidRDefault="009D7677" w:rsidP="009D7677">
      <w:pPr>
        <w:pStyle w:val="TextoNormal"/>
      </w:pPr>
    </w:p>
    <w:p w14:paraId="3C87B188" w14:textId="77777777" w:rsidR="009D7677" w:rsidRDefault="009D7677" w:rsidP="009D7677">
      <w:pPr>
        <w:pStyle w:val="TextoNormal"/>
      </w:pPr>
      <w:r w:rsidRPr="009D7677">
        <w:rPr>
          <w:rStyle w:val="NumeroAFNegritaCaracter"/>
        </w:rPr>
        <w:t>2</w:t>
      </w:r>
      <w:r>
        <w:t>. Los hechos relevantes para resolver el presente recurso de amparo son, sucintamente expuestos, los siguientes:</w:t>
      </w:r>
    </w:p>
    <w:p w14:paraId="27F3ACA1" w14:textId="77777777" w:rsidR="009D7677" w:rsidRDefault="009D7677" w:rsidP="009D7677">
      <w:pPr>
        <w:pStyle w:val="TextoNormal"/>
      </w:pPr>
    </w:p>
    <w:p w14:paraId="736483EC" w14:textId="77777777" w:rsidR="009D7677" w:rsidRDefault="009D7677" w:rsidP="009D7677">
      <w:pPr>
        <w:pStyle w:val="TextoNormal"/>
      </w:pPr>
      <w:r>
        <w:t xml:space="preserve">A) Doña H.A.O.M., hija de los demandantes de amparo, falleció el 24 de marzo de 2020, siendo madre de tres hijos menores de edad: I.B.O., el hijo mayor, respecto del cual </w:t>
      </w:r>
      <w:r>
        <w:lastRenderedPageBreak/>
        <w:t>tenía la custodia compartida que, ejercía en el domicilio de los abuelos maternos; B.K.O., su segunda hija, nacida el 7 de julio de 2015, que tras nacer convivía con su madre y con los abuelos maternos en el domicilio familiar; e I.O.S., el hijo menor, nacido el 4 de abril de 2017, en cuyo embarazo y tras el nacimiento fue asistido por la Fundación Madrina, pasando posteriormente a vivir en el domicilio familiar con los abuelos, hasta que suspendió la patria potestad de la madre.</w:t>
      </w:r>
    </w:p>
    <w:p w14:paraId="36603F48" w14:textId="77777777" w:rsidR="009D7677" w:rsidRDefault="009D7677" w:rsidP="009D7677">
      <w:pPr>
        <w:pStyle w:val="TextoNormal"/>
      </w:pPr>
    </w:p>
    <w:p w14:paraId="0ABDB893" w14:textId="77777777" w:rsidR="009D7677" w:rsidRDefault="009D7677" w:rsidP="009D7677">
      <w:pPr>
        <w:pStyle w:val="TextoNormal"/>
      </w:pPr>
      <w:r>
        <w:t>En relación con el menor I.O.S., se siguieron, al menos, tres procedimientos civiles, ante tres juzgados distintos: el procedimiento núm. 1229-2018 —en el que la madre y los abuelos se opusieron a la suspensión de la patria potestad—; el procedimiento núm. 1328-2019 —en el que los abuelos se opusieron respecto de la decisión denegatoria del acogimiento familiar y del régimen de visitas—, tramitados respectivamente ante los Juzgados de Primera Instancia núm. 15 y 3 de Murcia; y, el procedimiento de adopción núm. 685-2020, del que conoció el Juzgado de Primera Instancia núm. 9 de Murcia, del que trae causa el presente recurso de amparo.</w:t>
      </w:r>
    </w:p>
    <w:p w14:paraId="677784EC" w14:textId="77777777" w:rsidR="009D7677" w:rsidRDefault="009D7677" w:rsidP="009D7677">
      <w:pPr>
        <w:pStyle w:val="TextoNormal"/>
      </w:pPr>
    </w:p>
    <w:p w14:paraId="1E9BF8B5" w14:textId="77777777" w:rsidR="009D7677" w:rsidRDefault="009D7677" w:rsidP="009D7677">
      <w:pPr>
        <w:pStyle w:val="TextoNormal"/>
      </w:pPr>
      <w:r>
        <w:t>De los procedimientos civiles que afectaron al menor I.O.S., se da cuenta a continuación.</w:t>
      </w:r>
    </w:p>
    <w:p w14:paraId="1A7270D4" w14:textId="77777777" w:rsidR="009D7677" w:rsidRDefault="009D7677" w:rsidP="009D7677">
      <w:pPr>
        <w:pStyle w:val="TextoNormal"/>
      </w:pPr>
    </w:p>
    <w:p w14:paraId="78508548" w14:textId="77777777" w:rsidR="009D7677" w:rsidRDefault="009D7677" w:rsidP="009D7677">
      <w:pPr>
        <w:pStyle w:val="TextoNormal"/>
      </w:pPr>
      <w:r>
        <w:t>B) El primer procedimiento que se tramitó respecto del menor I.O.S., fue el procedimiento de medidas de protección de menores núm. 1229-2018, ante el Juzgado de Primera Instancia núm. 15 de Murcia. El itinerario administrativo y judicial del mismo fue el siguiente:</w:t>
      </w:r>
    </w:p>
    <w:p w14:paraId="1EE80CF6" w14:textId="77777777" w:rsidR="009D7677" w:rsidRDefault="009D7677" w:rsidP="009D7677">
      <w:pPr>
        <w:pStyle w:val="TextoNormal"/>
      </w:pPr>
    </w:p>
    <w:p w14:paraId="33510AE1" w14:textId="77777777" w:rsidR="009D7677" w:rsidRDefault="009D7677" w:rsidP="009D7677">
      <w:pPr>
        <w:pStyle w:val="TextoNormal"/>
      </w:pPr>
      <w:r>
        <w:t>a) Por resolución administrativa de 17 de mayo 2018, dictada por la Dirección General de Familias y Políticas Sociales de la Consejería de Familia e Igualdad de Oportunidades de la Región de Murcia, se acordó asumir la tutela del menor I.O.S., al apreciar una situación de desamparo, lo que conllevó la suspensión de la patria potestad.</w:t>
      </w:r>
    </w:p>
    <w:p w14:paraId="7A1220E0" w14:textId="77777777" w:rsidR="009D7677" w:rsidRDefault="009D7677" w:rsidP="009D7677">
      <w:pPr>
        <w:pStyle w:val="TextoNormal"/>
      </w:pPr>
    </w:p>
    <w:p w14:paraId="7730A225" w14:textId="77777777" w:rsidR="009D7677" w:rsidRDefault="009D7677" w:rsidP="009D7677">
      <w:pPr>
        <w:pStyle w:val="TextoNormal"/>
      </w:pPr>
      <w:r>
        <w:t>b) En el procedimiento judicial en el que se impugnó dicha resolución, se tuvo por personados y partes a la madre y a los abuelos maternos, pero tras conocerse el fallecimiento de la madre, se dictó el auto núm. 311/2020, de 14 de octubre, en el que se acordó la finalización del procedimiento por falta de legitimación activa de los abuelos para sostener la pretensión de la demanda interpuesta por la madre. Dicha resolución fue recurrida en apelación y desestimada por el auto de la Sección Cuarta de la Audiencia Provincial de Murcia de 11 de enero de 2024.</w:t>
      </w:r>
    </w:p>
    <w:p w14:paraId="0A44F42D" w14:textId="77777777" w:rsidR="009D7677" w:rsidRDefault="009D7677" w:rsidP="009D7677">
      <w:pPr>
        <w:pStyle w:val="TextoNormal"/>
      </w:pPr>
    </w:p>
    <w:p w14:paraId="71A60805" w14:textId="77777777" w:rsidR="009D7677" w:rsidRDefault="009D7677" w:rsidP="009D7677">
      <w:pPr>
        <w:pStyle w:val="TextoNormal"/>
      </w:pPr>
      <w:r>
        <w:t>C) En segundo lugar contra la resolución administrativa que denegó el acogimiento del menor I.O.S., por los abuelos, se siguió el procedimiento de medidas de protección de menores núm. 1328-2019, del que conoció el Juzgado de Primera Instancia núm. 3 de Murcia.</w:t>
      </w:r>
    </w:p>
    <w:p w14:paraId="3EEDAF4A" w14:textId="77777777" w:rsidR="009D7677" w:rsidRDefault="009D7677" w:rsidP="009D7677">
      <w:pPr>
        <w:pStyle w:val="TextoNormal"/>
      </w:pPr>
    </w:p>
    <w:p w14:paraId="784477FD" w14:textId="77777777" w:rsidR="009D7677" w:rsidRDefault="009D7677" w:rsidP="009D7677">
      <w:pPr>
        <w:pStyle w:val="TextoNormal"/>
      </w:pPr>
      <w:r>
        <w:t>La celebración de la vista señalada el 31 de mayo de 2021 fue suspendida al tener conocimiento el órgano judicial de que se había aprobado la adopción del menor I.O.S., por el Juzgado de Primera Instancia núm. 9 de Murcia. Consta en ese procedimiento providencia de 7 de junio de 2021, en la que se indica:</w:t>
      </w:r>
    </w:p>
    <w:p w14:paraId="4CA6A9C4" w14:textId="77777777" w:rsidR="009D7677" w:rsidRDefault="009D7677" w:rsidP="009D7677">
      <w:pPr>
        <w:pStyle w:val="TextoNormal"/>
      </w:pPr>
    </w:p>
    <w:p w14:paraId="7BB17EE6" w14:textId="77777777" w:rsidR="009D7677" w:rsidRDefault="009D7677" w:rsidP="009D7677">
      <w:pPr>
        <w:pStyle w:val="TextoNormal"/>
      </w:pPr>
      <w:r>
        <w:lastRenderedPageBreak/>
        <w:t>“Dada cuenta, habiéndose acordado en sala la suspensión de la vista señalada en tanto se resuelva el incidente de nulidad que van a interponer el Ministerio Fiscal y la parte actora en el expediente de adopción 685-20 del Juzgado de Primera Instancia núm. 9 y el 378-19 del Juzgado de Primera Instancia núm. 3 de Murcia, remítanse los autos al SCOP [servicio común de ordenación del procedimiento] y verificado se acordará lo procedente”.</w:t>
      </w:r>
    </w:p>
    <w:p w14:paraId="31F28789" w14:textId="77777777" w:rsidR="009D7677" w:rsidRDefault="009D7677" w:rsidP="009D7677">
      <w:pPr>
        <w:pStyle w:val="TextoNormal"/>
      </w:pPr>
    </w:p>
    <w:p w14:paraId="1B4F1C86" w14:textId="77777777" w:rsidR="009D7677" w:rsidRDefault="009D7677" w:rsidP="009D7677">
      <w:pPr>
        <w:pStyle w:val="TextoNormal"/>
      </w:pPr>
      <w:r>
        <w:t>D) Finalmente, en el procedimiento de adopción núm. 685-2020, del que conoció el Juzgado de Primera Instancia núm. 9 de Murcia, se dictaron las dos resoluciones impugnadas en el recurso de amparo. El itinerario administrativo y judicial que finalizó con la aprobación de la adopción del menor I.O.S., propuesta por la entidad pública, fue el siguiente:</w:t>
      </w:r>
    </w:p>
    <w:p w14:paraId="0FF5F9E6" w14:textId="77777777" w:rsidR="009D7677" w:rsidRDefault="009D7677" w:rsidP="009D7677">
      <w:pPr>
        <w:pStyle w:val="TextoNormal"/>
      </w:pPr>
    </w:p>
    <w:p w14:paraId="14C7B71F" w14:textId="77777777" w:rsidR="009D7677" w:rsidRDefault="009D7677" w:rsidP="009D7677">
      <w:pPr>
        <w:pStyle w:val="TextoNormal"/>
      </w:pPr>
      <w:r>
        <w:t>a) Por la Dirección General de Familias y Protección de Menores, el 20 de julio de 2020, se formuló propuesta de adopción del menor I.O.S.</w:t>
      </w:r>
    </w:p>
    <w:p w14:paraId="50FF595B" w14:textId="77777777" w:rsidR="009D7677" w:rsidRDefault="009D7677" w:rsidP="009D7677">
      <w:pPr>
        <w:pStyle w:val="TextoNormal"/>
      </w:pPr>
    </w:p>
    <w:p w14:paraId="44EF275D" w14:textId="77777777" w:rsidR="009D7677" w:rsidRDefault="009D7677" w:rsidP="009D7677">
      <w:pPr>
        <w:pStyle w:val="TextoNormal"/>
      </w:pPr>
      <w:r>
        <w:t>Consta en el testimonio remitido que el 17 de mayo de 2018 se había asumido la tutela del menor I.O.S., y que por resolución de 25 de septiembre de 2019 se acordó la delegación de guarda con fines de adopción.</w:t>
      </w:r>
    </w:p>
    <w:p w14:paraId="37350510" w14:textId="77777777" w:rsidR="009D7677" w:rsidRDefault="009D7677" w:rsidP="009D7677">
      <w:pPr>
        <w:pStyle w:val="TextoNormal"/>
      </w:pPr>
    </w:p>
    <w:p w14:paraId="6BC6038D" w14:textId="77777777" w:rsidR="009D7677" w:rsidRDefault="009D7677" w:rsidP="009D7677">
      <w:pPr>
        <w:pStyle w:val="TextoNormal"/>
      </w:pPr>
      <w:r>
        <w:t>b) La propuesta fue admitida a trámite por decreto del letrado de la administración de justicia del indicado juzgado de 16 de octubre de 2020.</w:t>
      </w:r>
    </w:p>
    <w:p w14:paraId="132C9E84" w14:textId="77777777" w:rsidR="009D7677" w:rsidRDefault="009D7677" w:rsidP="009D7677">
      <w:pPr>
        <w:pStyle w:val="TextoNormal"/>
      </w:pPr>
    </w:p>
    <w:p w14:paraId="0E47BEAE" w14:textId="77777777" w:rsidR="009D7677" w:rsidRDefault="009D7677" w:rsidP="009D7677">
      <w:pPr>
        <w:pStyle w:val="TextoNormal"/>
      </w:pPr>
      <w:r>
        <w:t>c) En fecha 3 de diciembre de 2020 prestaron su consentimiento los adoptantes don A.C.G., y don J.J.F.F., y el 11 de enero de 2021 prestó su asentimiento a la adopción don A.S.M., padre del menor. La madre había fallecido el 24 de marzo de 2020.</w:t>
      </w:r>
    </w:p>
    <w:p w14:paraId="277AE1C9" w14:textId="77777777" w:rsidR="009D7677" w:rsidRDefault="009D7677" w:rsidP="009D7677">
      <w:pPr>
        <w:pStyle w:val="TextoNormal"/>
      </w:pPr>
    </w:p>
    <w:p w14:paraId="299F7C06" w14:textId="77777777" w:rsidR="009D7677" w:rsidRDefault="009D7677" w:rsidP="009D7677">
      <w:pPr>
        <w:pStyle w:val="TextoNormal"/>
      </w:pPr>
      <w:r>
        <w:t>d) Por auto de 18 de febrero de 2021, se acordó la adopción del menor I.O.S., por la familia propuesta por la entidad pública. En los antecedentes se recoge que los adoptantes consintieron y que el padre asintió a la adopción, así como consta la existencia de un informe favorable del Ministerio Fiscal y que se habían llevado “a cabo todas las actuaciones con la conveniente reserva y habiéndose practicado las diligencias pertinentes, de conformidad con los artículos 39.1 y 39.2 de la Ley 15/2015 de 2 de julio, de la jurisdicción voluntaria, a efectos de asegurar que la presente adopción se realiza en interés del adoptando”.</w:t>
      </w:r>
    </w:p>
    <w:p w14:paraId="673A310D" w14:textId="77777777" w:rsidR="009D7677" w:rsidRDefault="009D7677" w:rsidP="009D7677">
      <w:pPr>
        <w:pStyle w:val="TextoNormal"/>
      </w:pPr>
    </w:p>
    <w:p w14:paraId="0ADE874F" w14:textId="77777777" w:rsidR="009D7677" w:rsidRDefault="009D7677" w:rsidP="009D7677">
      <w:pPr>
        <w:pStyle w:val="TextoNormal"/>
      </w:pPr>
      <w:r>
        <w:t>La fundamentación del auto, sin ninguna referencia al caso planteado, reproduce los arts. 175, 177, y 180 del Código civil (en adelante, CC) y 38.3 de la Ley 15/2015, de 2 de julio, de jurisdicción voluntaria, y finalmente indica que no ha lugar a efectuar pronunciamiento en materia de costas procesales.</w:t>
      </w:r>
    </w:p>
    <w:p w14:paraId="24D69A43" w14:textId="77777777" w:rsidR="009D7677" w:rsidRDefault="009D7677" w:rsidP="009D7677">
      <w:pPr>
        <w:pStyle w:val="TextoNormal"/>
      </w:pPr>
    </w:p>
    <w:p w14:paraId="7ED04460" w14:textId="77777777" w:rsidR="009D7677" w:rsidRDefault="009D7677" w:rsidP="009D7677">
      <w:pPr>
        <w:pStyle w:val="TextoNormal"/>
      </w:pPr>
      <w:r>
        <w:t>e) Mediante escrito de fecha 30 de junio de 2021, la representación de los demandantes de amparo presentó solicitud de nulidad del procedimiento de adopción, y, en todo caso, del auto de 1 de marzo de 2020 (se refiere al de 18 de febrero de 2021) por el que se acuerda la adopción del nieto de los recurrentes.</w:t>
      </w:r>
    </w:p>
    <w:p w14:paraId="150C44FA" w14:textId="77777777" w:rsidR="009D7677" w:rsidRDefault="009D7677" w:rsidP="009D7677">
      <w:pPr>
        <w:pStyle w:val="TextoNormal"/>
      </w:pPr>
    </w:p>
    <w:p w14:paraId="06E2111E" w14:textId="77777777" w:rsidR="009D7677" w:rsidRDefault="009D7677" w:rsidP="009D7677">
      <w:pPr>
        <w:pStyle w:val="TextoNormal"/>
      </w:pPr>
      <w:r>
        <w:t xml:space="preserve">El escrito indica que han tenido conocimiento del proceso de adopción de su nieto I.O.S., en el procedimiento de oposición de medidas de protección sobre menor núm. 1328-2019, que se tramitaba en el Juzgado de Primera Instancia núm. 3 de Murcia, en el </w:t>
      </w:r>
      <w:r>
        <w:lastRenderedPageBreak/>
        <w:t>que los abuelos maternos se oponían a la denegación a los mismos del acogimiento en familia extensa de su nieto I.O.S. Considera que debieron ser llamados al expediente de adopción como parte legítima dada su intervención en los procedimientos de protección de los menores I.O.S. (núm. 1328-2019) y B.K.O. (núm. 1694-2019).</w:t>
      </w:r>
    </w:p>
    <w:p w14:paraId="79A4E51F" w14:textId="77777777" w:rsidR="009D7677" w:rsidRDefault="009D7677" w:rsidP="009D7677">
      <w:pPr>
        <w:pStyle w:val="TextoNormal"/>
      </w:pPr>
    </w:p>
    <w:p w14:paraId="27784FB5" w14:textId="77777777" w:rsidR="009D7677" w:rsidRDefault="009D7677" w:rsidP="009D7677">
      <w:pPr>
        <w:pStyle w:val="TextoNormal"/>
      </w:pPr>
      <w:r>
        <w:t>Los recurrentes afirman que la madre del menor I.O.S., falleció el 24 de marzo de 2020, no ha sido citada, ni oída en el procedimiento de adopción, como tampoco tuvo efectividad la citación iniciada en el expediente de adopción relativo a su otra nieta B.K.O., inicialmente por hallarse enferma como alertó y comunicó el abuelo ahora recurrente y posteriormente a consecuencia de su muerte.</w:t>
      </w:r>
    </w:p>
    <w:p w14:paraId="22FBB35B" w14:textId="77777777" w:rsidR="009D7677" w:rsidRDefault="009D7677" w:rsidP="009D7677">
      <w:pPr>
        <w:pStyle w:val="TextoNormal"/>
      </w:pPr>
    </w:p>
    <w:p w14:paraId="35520791" w14:textId="77777777" w:rsidR="009D7677" w:rsidRDefault="009D7677" w:rsidP="009D7677">
      <w:pPr>
        <w:pStyle w:val="TextoNormal"/>
      </w:pPr>
      <w:r>
        <w:t>Refieren, que dichas circunstancias —de enfermedad primero y de fallecimiento después— fueron aprovechadas para acelerar la adopción del nieto y dejar de lado el procedimiento de oposición a la denegación del acogimiento familiar extenso instado por los abuelos en relación con el menor I.O.S.</w:t>
      </w:r>
    </w:p>
    <w:p w14:paraId="3E96D87D" w14:textId="77777777" w:rsidR="009D7677" w:rsidRDefault="009D7677" w:rsidP="009D7677">
      <w:pPr>
        <w:pStyle w:val="TextoNormal"/>
      </w:pPr>
    </w:p>
    <w:p w14:paraId="61A36F36" w14:textId="77777777" w:rsidR="009D7677" w:rsidRDefault="009D7677" w:rsidP="009D7677">
      <w:pPr>
        <w:pStyle w:val="TextoNormal"/>
      </w:pPr>
      <w:r>
        <w:t>Los demandantes de amparo añaden que los abuelos se han visto privados de poder intervenir o solicitar su personación como parte legítima en el procedimiento de adopción, negándoles, por tanto, la posibilidad de que se hubiera acordado una adopción abierta. Sostienen que la entidad pública ha suspendido de palabra las visitas que el menor venía disfrutando, junto con su hermana en virtud de la sentencia recaída en el procedimiento de oposición a medidas de menores núm. 1694-2019 seguido en relación con la menor B.K.O.</w:t>
      </w:r>
    </w:p>
    <w:p w14:paraId="350F1CC6" w14:textId="77777777" w:rsidR="009D7677" w:rsidRDefault="009D7677" w:rsidP="009D7677">
      <w:pPr>
        <w:pStyle w:val="TextoNormal"/>
      </w:pPr>
    </w:p>
    <w:p w14:paraId="4A86A42C" w14:textId="77777777" w:rsidR="009D7677" w:rsidRDefault="009D7677" w:rsidP="009D7677">
      <w:pPr>
        <w:pStyle w:val="TextoNormal"/>
      </w:pPr>
      <w:r>
        <w:t>Los demandantes cuestionan el desamparo del menor I.O.S., acordado por la entidad pública que fue objeto del procedimiento núm. 1229-2018 en el Juzgado de Primera Instancia núm. 15, en el que se dispuso el archivo frente al que se interpuso recurso de apelación pendiente de resolver.</w:t>
      </w:r>
    </w:p>
    <w:p w14:paraId="1D79628C" w14:textId="77777777" w:rsidR="009D7677" w:rsidRDefault="009D7677" w:rsidP="009D7677">
      <w:pPr>
        <w:pStyle w:val="TextoNormal"/>
      </w:pPr>
    </w:p>
    <w:p w14:paraId="55D58114" w14:textId="77777777" w:rsidR="009D7677" w:rsidRDefault="009D7677" w:rsidP="009D7677">
      <w:pPr>
        <w:pStyle w:val="TextoNormal"/>
      </w:pPr>
      <w:r>
        <w:t>Finalmente, por otrosí, solicitan que se deje en suspenso el auto de adopción y que se ordene la continuación de las visitas de ambos menores establecida en la sentencia de 31 de julio de 2019, conforme al interés superior de los menores I.O.S., y B.K.O., que se encuentran con la misma familia y hasta que se resuelva el incidente de nulidad y en todo caso hasta que se resuelvan los recursos pendientes.</w:t>
      </w:r>
    </w:p>
    <w:p w14:paraId="0CC8886B" w14:textId="77777777" w:rsidR="009D7677" w:rsidRDefault="009D7677" w:rsidP="009D7677">
      <w:pPr>
        <w:pStyle w:val="TextoNormal"/>
      </w:pPr>
    </w:p>
    <w:p w14:paraId="1821DDC4" w14:textId="77777777" w:rsidR="009D7677" w:rsidRDefault="009D7677" w:rsidP="009D7677">
      <w:pPr>
        <w:pStyle w:val="TextoNormal"/>
      </w:pPr>
      <w:r>
        <w:t>Por último refieren —acompañando copia del poder— que su hija siempre solicitó que fueran los abuelos maternos quienes se hicieran cargo de sus hijos y por tal motivo otorgó poder especial ante notario el 22 de febrero de 2018 a los demandantes de amparo para decidir sobre el menor I.O.S., y tomar cualquier decisión relativa a su persona en cualquier ámbito, representarlo a él y a sus bienes, ejerciendo su cuidado, desarrollo y educación, adoptando todas las decisiones que consideraran precisas, así como para comparecer ante cualquier organismo y ejercitar las facultades conferidas.</w:t>
      </w:r>
    </w:p>
    <w:p w14:paraId="0E876C20" w14:textId="77777777" w:rsidR="009D7677" w:rsidRDefault="009D7677" w:rsidP="009D7677">
      <w:pPr>
        <w:pStyle w:val="TextoNormal"/>
      </w:pPr>
    </w:p>
    <w:p w14:paraId="3149A3E5" w14:textId="77777777" w:rsidR="009D7677" w:rsidRDefault="009D7677" w:rsidP="009D7677">
      <w:pPr>
        <w:pStyle w:val="TextoNormal"/>
      </w:pPr>
      <w:r>
        <w:t>f) Por providencia de 20 de septiembre de 2021, en virtud de lo establecido en el art. 227.1 de la Ley de enjuiciamiento civil (LEC en adelante), se acordó oír al Ministerio Fiscal y a la Dirección General de Familias por plazo común de cinco días acerca de la nulidad solicitada.</w:t>
      </w:r>
    </w:p>
    <w:p w14:paraId="25596582" w14:textId="77777777" w:rsidR="009D7677" w:rsidRDefault="009D7677" w:rsidP="009D7677">
      <w:pPr>
        <w:pStyle w:val="TextoNormal"/>
      </w:pPr>
    </w:p>
    <w:p w14:paraId="132FBF0E" w14:textId="77777777" w:rsidR="009D7677" w:rsidRDefault="009D7677" w:rsidP="009D7677">
      <w:pPr>
        <w:pStyle w:val="TextoNormal"/>
      </w:pPr>
      <w:r>
        <w:lastRenderedPageBreak/>
        <w:t>g) La letrada de la Comunidad Autónoma de la Región de Murcia presentó escrito el 28 de septiembre de 2021 en el que solicitaba la desestimación de la nulidad de actuaciones.</w:t>
      </w:r>
    </w:p>
    <w:p w14:paraId="7521E3C6" w14:textId="77777777" w:rsidR="009D7677" w:rsidRDefault="009D7677" w:rsidP="009D7677">
      <w:pPr>
        <w:pStyle w:val="TextoNormal"/>
      </w:pPr>
    </w:p>
    <w:p w14:paraId="17CC03DE" w14:textId="77777777" w:rsidR="009D7677" w:rsidRDefault="009D7677" w:rsidP="009D7677">
      <w:pPr>
        <w:pStyle w:val="TextoNormal"/>
      </w:pPr>
      <w:r>
        <w:t>Razona que en la propuesta de adopción dirigida al Juzgado de Primera Instancia núm. 9 de Murcia se hizo constar la existencia de los cinco procedimientos referidos. Considera que siendo firme la adopción, la comunidad autónoma no ostenta capacidad de disposición, concurriendo falta de legitimación, pues son los padres adoptivos los que tienen capacidad pasiva plena. Los abuelos carecen de legitimación activa para participar en el procedimiento de adopción que pretenden anular conforme al art. 177 CC.</w:t>
      </w:r>
    </w:p>
    <w:p w14:paraId="592222FA" w14:textId="77777777" w:rsidR="009D7677" w:rsidRDefault="009D7677" w:rsidP="009D7677">
      <w:pPr>
        <w:pStyle w:val="TextoNormal"/>
      </w:pPr>
    </w:p>
    <w:p w14:paraId="038CDDE6" w14:textId="77777777" w:rsidR="009D7677" w:rsidRDefault="009D7677" w:rsidP="009D7677">
      <w:pPr>
        <w:pStyle w:val="TextoNormal"/>
      </w:pPr>
      <w:r>
        <w:t>La entidad añade que el propio Juzgado de Primera Instancia núm. 15 de Murcia, archivó el procedimiento por falta de legitimación activa de los abuelos para oponerse a la decisión de suspensión de la patria potestad de la madre. Indica que en el procedimiento de oposición de medidas de menores núm. 1694-2017, el Juzgado de Primera Instancia núm. 3 de Murcia, había desestimado la solicitud de acogimiento familiar de los abuelos, decisión confirmada por sentencia de la Audiencia Provincial. Considera que debe primar el interés del menor, sin que este deba esperar indefinidamente a que los abuelos sigan recorriendo instancias y obstaculizando la integración plena en la familia seleccionada.</w:t>
      </w:r>
    </w:p>
    <w:p w14:paraId="25D6D9C8" w14:textId="77777777" w:rsidR="009D7677" w:rsidRDefault="009D7677" w:rsidP="009D7677">
      <w:pPr>
        <w:pStyle w:val="TextoNormal"/>
      </w:pPr>
    </w:p>
    <w:p w14:paraId="0B9514CB" w14:textId="77777777" w:rsidR="009D7677" w:rsidRDefault="009D7677" w:rsidP="009D7677">
      <w:pPr>
        <w:pStyle w:val="TextoNormal"/>
      </w:pPr>
      <w:r>
        <w:t>h) Por su parte el Ministerio Fiscal por escrito de 6 de octubre de 2021 manifestó que “se opone a la nulidad planteada haciendo suyos los planteamientos de la Dirección General de Familia”.</w:t>
      </w:r>
    </w:p>
    <w:p w14:paraId="73417DDA" w14:textId="77777777" w:rsidR="009D7677" w:rsidRDefault="009D7677" w:rsidP="009D7677">
      <w:pPr>
        <w:pStyle w:val="TextoNormal"/>
      </w:pPr>
    </w:p>
    <w:p w14:paraId="24D1641C" w14:textId="77777777" w:rsidR="009D7677" w:rsidRDefault="009D7677" w:rsidP="009D7677">
      <w:pPr>
        <w:pStyle w:val="TextoNormal"/>
      </w:pPr>
      <w:r>
        <w:t>i) Finalmente por auto de 25 de octubre de 2021, que es el que se impugna en el recurso de amparo, el Juzgado de Primera Instancia núm. 9 de Murcia desestimó el incidente de nulidad.</w:t>
      </w:r>
    </w:p>
    <w:p w14:paraId="0DC763E0" w14:textId="77777777" w:rsidR="009D7677" w:rsidRDefault="009D7677" w:rsidP="009D7677">
      <w:pPr>
        <w:pStyle w:val="TextoNormal"/>
      </w:pPr>
    </w:p>
    <w:p w14:paraId="3E1390B6" w14:textId="77777777" w:rsidR="009D7677" w:rsidRDefault="009D7677" w:rsidP="009D7677">
      <w:pPr>
        <w:pStyle w:val="TextoNormal"/>
      </w:pPr>
      <w:r>
        <w:t>Tras reproducir el art. 228 LEC indica:</w:t>
      </w:r>
    </w:p>
    <w:p w14:paraId="08C38171" w14:textId="77777777" w:rsidR="009D7677" w:rsidRDefault="009D7677" w:rsidP="009D7677">
      <w:pPr>
        <w:pStyle w:val="TextoNormal"/>
      </w:pPr>
    </w:p>
    <w:p w14:paraId="3F95029B" w14:textId="2B83B9F5" w:rsidR="009D7677" w:rsidRDefault="009D7677" w:rsidP="009D7677">
      <w:pPr>
        <w:pStyle w:val="TextoNormal"/>
      </w:pPr>
      <w:r>
        <w:t>“En el presente caso no procede la estimación de la nulidad alegada por cuanto no se ha producido vulneración de derecho alguno ni se ha alegado en tal sentido por la parte recurrente en nulidad la cual además carece de legitimación activa en el procedimiento de adopción del que alegan la nulidad, y lo que pretende es la paralización del procedimiento de adopción a la espera de las resoluciones judiciales pendientes de dictarse en los procedimientos en los que si tienen legitimación, no siendo ello posible por cuanto el procedimiento de adopción se han tenido en cuenta todos esos procedimientos (OMM 1229-2018, OMM 1328-2019, ADOPCIÓN 378-2019, OMM 1694-2017 Y PMA 1229-2018) habiendo el Juzgado de Primera instancia núm. 3 de Murcia fallado en contra del acogimiento familiar instado por los abuelos lo cual fue ratificado por la Audiencia Provincial de Murcia en sentencia de fecha 9 de Julio de 2020 y no pudiendo olvidar la naturaleza de este procedimiento que tiene un carácter preferente en su tramitación conforme al artículo 34 de la Ley de jurisdicción voluntaria, no habiéndose justificado en el presente caso ninguna vulneración procedimental ni de derecho fundamental que justifique la pretensión de revisión y reversión del procedimiento”.</w:t>
      </w:r>
    </w:p>
    <w:p w14:paraId="48F74ADF" w14:textId="77777777" w:rsidR="009D7677" w:rsidRDefault="009D7677" w:rsidP="009D7677">
      <w:pPr>
        <w:pStyle w:val="TextoNormal"/>
      </w:pPr>
    </w:p>
    <w:p w14:paraId="5A589C8B" w14:textId="77777777" w:rsidR="009D7677" w:rsidRDefault="009D7677" w:rsidP="009D7677">
      <w:pPr>
        <w:pStyle w:val="TextoNormal"/>
      </w:pPr>
      <w:r w:rsidRPr="009D7677">
        <w:rPr>
          <w:rStyle w:val="NumeroAFNegritaCaracter"/>
        </w:rPr>
        <w:t>3</w:t>
      </w:r>
      <w:r>
        <w:t xml:space="preserve">. La demanda de amparo se interpone contra el auto de 25 de octubre de 2021 dictado por el Juzgado de Primera Instancia núm. 9 de Murcia en el procedimiento de adopción </w:t>
      </w:r>
      <w:r>
        <w:lastRenderedPageBreak/>
        <w:t>núm. 685-2020 del menor I.O.S., y en la pieza de incidente de nulidad de actuaciones registrada con el mismo número.</w:t>
      </w:r>
    </w:p>
    <w:p w14:paraId="37F643BD" w14:textId="77777777" w:rsidR="009D7677" w:rsidRDefault="009D7677" w:rsidP="009D7677">
      <w:pPr>
        <w:pStyle w:val="TextoNormal"/>
      </w:pPr>
    </w:p>
    <w:p w14:paraId="5613D52C" w14:textId="77777777" w:rsidR="009D7677" w:rsidRDefault="009D7677" w:rsidP="009D7677">
      <w:pPr>
        <w:pStyle w:val="TextoNormal"/>
      </w:pPr>
      <w:r>
        <w:t>En su fundamentación reiteran los argumentos expuestos en el incidente de nulidad de actuaciones. En tal sentido, refieren que la adopción se ha resuelto a pesar de encontrarse en tramitación los procedimientos de oposición a medidas de menores frente a las resoluciones administrativas que les denegaron el acogimiento familiar de sus nietos, núm. 1328-2019 —en cuya vista tuvo conocimiento de la resolución de adopción del menor I.O.S.— y núm. 1694-2017 en que recayó la sentencia núm. 644/2020, de 9 de julio, dictada por la Sección Cuarta de la Audiencia Provincial de Murcia, que no era firme, al encontrarse admitido el recurso de casación.</w:t>
      </w:r>
    </w:p>
    <w:p w14:paraId="7B81DB8B" w14:textId="77777777" w:rsidR="009D7677" w:rsidRDefault="009D7677" w:rsidP="009D7677">
      <w:pPr>
        <w:pStyle w:val="TextoNormal"/>
      </w:pPr>
    </w:p>
    <w:p w14:paraId="02C603D2" w14:textId="77777777" w:rsidR="009D7677" w:rsidRDefault="009D7677" w:rsidP="009D7677">
      <w:pPr>
        <w:pStyle w:val="TextoNormal"/>
      </w:pPr>
      <w:r>
        <w:t>Consideran que la entidad pública al conocer el fallecimiento de la madre aprovechó para “acelerar” la adopción del nieto de los demandantes, ignorando los procedimientos en curso. Los demandantes se han visto privados de intervenir y solicitar la personación como parte legítima e interventores en dicho procedimiento. Se les ha negado la posibilidad de una adopción abierta, pretendiendo la entidad pública desentenderse del todo alegando que como el menor está adoptado nada tienen que ver y habiéndose suspendido igualmente las visitas que venía disfrutando con su hermana, en virtud de la sentencia 644/2020, de 9 de julio.</w:t>
      </w:r>
    </w:p>
    <w:p w14:paraId="209549EB" w14:textId="77777777" w:rsidR="009D7677" w:rsidRDefault="009D7677" w:rsidP="009D7677">
      <w:pPr>
        <w:pStyle w:val="TextoNormal"/>
      </w:pPr>
    </w:p>
    <w:p w14:paraId="27EDB21E" w14:textId="77777777" w:rsidR="009D7677" w:rsidRDefault="009D7677" w:rsidP="009D7677">
      <w:pPr>
        <w:pStyle w:val="TextoNormal"/>
      </w:pPr>
      <w:r>
        <w:t>Atribuye el suicidio de su hija a la pérdida de toda esperanza por la actuación de la entidad pública al haber suspendido las visitas con sus dos hijos y a que su hijo I.O.S., había sido dado en guarda con fines de adopción. Cuestiona la actuación de la entidad pública en el procedimiento núm. 1229-2018 que terminó archivándose por la muerte de su hija mediante auto de 14 de octubre de 2020, que se encuentra pendiente de recurso de apelación ante la Sección Cuarta de la Audiencia Provincial de Murcia.</w:t>
      </w:r>
    </w:p>
    <w:p w14:paraId="23FEC776" w14:textId="77777777" w:rsidR="009D7677" w:rsidRDefault="009D7677" w:rsidP="009D7677">
      <w:pPr>
        <w:pStyle w:val="TextoNormal"/>
      </w:pPr>
    </w:p>
    <w:p w14:paraId="284C0EA9" w14:textId="77777777" w:rsidR="009D7677" w:rsidRDefault="009D7677" w:rsidP="009D7677">
      <w:pPr>
        <w:pStyle w:val="TextoNormal"/>
      </w:pPr>
      <w:r>
        <w:t>En definitiva, sostiene que no era posible dictar la adopción sin que los procedimientos pendientes hubieran alcanzado firmeza, e insiste en que desde la adopción le han sido suspendidas las visitas, produciéndose un perjuicio irreparable consistente en el desarraigo de ambos menores.</w:t>
      </w:r>
    </w:p>
    <w:p w14:paraId="5D9E12C1" w14:textId="77777777" w:rsidR="009D7677" w:rsidRDefault="009D7677" w:rsidP="009D7677">
      <w:pPr>
        <w:pStyle w:val="TextoNormal"/>
      </w:pPr>
    </w:p>
    <w:p w14:paraId="6ADF4ADD" w14:textId="43336AA1" w:rsidR="009D7677" w:rsidRDefault="009D7677" w:rsidP="009D7677">
      <w:pPr>
        <w:pStyle w:val="TextoNormal"/>
      </w:pPr>
      <w:r>
        <w:t>Finalmente, si bien había identificado como vulnerado el derecho a la tutela judicial efectiva por vulneración del derecho al juez ordinario predeterminado por la ley y como manifestación del derecho a un juicio justo (arts. 24.1 y 2 CE y 6 CEDH), en el suplico de la demanda solicita que se declare “vulnerado el derecho de los recurrentes a la tutela judicial efectiva, y declarar dicho auto nulo retrotrayéndose las actuaciones y se dicte resolución por la que se acuerde la admisión a trámite de dicho incidente de nulidad respecto de la adopción del nieto de mis representados”.</w:t>
      </w:r>
    </w:p>
    <w:p w14:paraId="41560A6F" w14:textId="77777777" w:rsidR="009D7677" w:rsidRDefault="009D7677" w:rsidP="009D7677">
      <w:pPr>
        <w:pStyle w:val="TextoNormal"/>
      </w:pPr>
    </w:p>
    <w:p w14:paraId="1A0D665E" w14:textId="2B761D86" w:rsidR="009D7677" w:rsidRDefault="009D7677" w:rsidP="009D7677">
      <w:pPr>
        <w:pStyle w:val="TextoNormal"/>
      </w:pPr>
      <w:r w:rsidRPr="009D7677">
        <w:rPr>
          <w:rStyle w:val="NumeroAFNegritaCaracter"/>
        </w:rPr>
        <w:t>4</w:t>
      </w:r>
      <w:r>
        <w:t>. Mediante providencia de 6 de febrero de 2023 la Sección Tercera de la Sala Segunda de este tribunal acordó admitir a trámite el presente recurso, toda vez que podía dar ocasión al Tribunal para aclarar o cambiar su doctrina, como consecuencia de cambios normativos relevantes para la configuración del contenido del derecho fundamental [STC 155/2009, FJ 2 b)] y, constando ya en el presente recurso testimonio del procedimiento de adopción 685-2020, de conformidad con lo dispuesto en el art. 51 de la Ley Orgánica de este tribunal, dirigir atenta comunicación al Juzgado de Primera Instancia núm. 9 de Mur</w:t>
      </w:r>
      <w:r>
        <w:lastRenderedPageBreak/>
        <w:t>cia para que, en término de diez días, remitiese certificación o copia adverada de las actuaciones judiciales de las que este recurso de amparo trae causa, debiéndose emplazar a quienes hubieran sido parte en el proceso judicial previo, salvo a la demandante de amparo, para que en el término de diez días pudieran comparecer en este recurso si lo estimaran conveniente.</w:t>
      </w:r>
    </w:p>
    <w:p w14:paraId="4E7187EC" w14:textId="77777777" w:rsidR="009D7677" w:rsidRDefault="009D7677" w:rsidP="009D7677">
      <w:pPr>
        <w:pStyle w:val="TextoNormal"/>
      </w:pPr>
    </w:p>
    <w:p w14:paraId="4317E4AA" w14:textId="5446374E" w:rsidR="009D7677" w:rsidRDefault="009D7677" w:rsidP="009D7677">
      <w:pPr>
        <w:pStyle w:val="TextoNormal"/>
      </w:pPr>
      <w:r w:rsidRPr="009D7677">
        <w:rPr>
          <w:rStyle w:val="NumeroAFNegritaCaracter"/>
        </w:rPr>
        <w:t>5</w:t>
      </w:r>
      <w:r>
        <w:t>. Solicitada la personación el 18 de julio de 2023 por la Comunidad Autónoma de Murcia, por diligencia de ordenación del secretario de justicia de 30 de noviembre de 2023 se acordó tener por personado al procurador don Jesús López Gracia en nombre y representación de la Comunidad Autónoma de la Región de Murcia, así como, de conformidad con lo dispuesto en el art. 52 de la Ley Orgánica del Tribunal Constitucional (en adelante LOTC), dar traslado de las actuaciones al Ministerio Fiscal y a las demás partes personadas por término de veinte días, dentro de los cuales podrían formular las alegaciones que estimasen oportunas.</w:t>
      </w:r>
    </w:p>
    <w:p w14:paraId="26439256" w14:textId="77777777" w:rsidR="009D7677" w:rsidRDefault="009D7677" w:rsidP="009D7677">
      <w:pPr>
        <w:pStyle w:val="TextoNormal"/>
      </w:pPr>
    </w:p>
    <w:p w14:paraId="42E2A4E4" w14:textId="77777777" w:rsidR="009D7677" w:rsidRDefault="009D7677" w:rsidP="009D7677">
      <w:pPr>
        <w:pStyle w:val="TextoNormal"/>
      </w:pPr>
      <w:r w:rsidRPr="009D7677">
        <w:rPr>
          <w:rStyle w:val="NumeroAFNegritaCaracter"/>
        </w:rPr>
        <w:t>6</w:t>
      </w:r>
      <w:r>
        <w:t>. Mediante escrito presentado en el registro general de este tribunal el día 16 de enero de 2024 el letrado de la Comunidad Autónoma de la Región de Murcia formuló alegaciones en las que solicitaba la desestimación de la demanda de amparo.</w:t>
      </w:r>
    </w:p>
    <w:p w14:paraId="27C2ED58" w14:textId="77777777" w:rsidR="009D7677" w:rsidRDefault="009D7677" w:rsidP="009D7677">
      <w:pPr>
        <w:pStyle w:val="TextoNormal"/>
      </w:pPr>
    </w:p>
    <w:p w14:paraId="754C52E8" w14:textId="77777777" w:rsidR="009D7677" w:rsidRDefault="009D7677" w:rsidP="009D7677">
      <w:pPr>
        <w:pStyle w:val="TextoNormal"/>
      </w:pPr>
      <w:r>
        <w:t>Indica que los recurrentes fundamentan su demanda de amparo en que debía haberse esperado a la resolución de los procedimientos de oposición de medidas de oposición de menores con núm.1694-2019 y 1229-2019 antes de resolver el procedimiento de adopción.</w:t>
      </w:r>
    </w:p>
    <w:p w14:paraId="3192222C" w14:textId="77777777" w:rsidR="009D7677" w:rsidRDefault="009D7677" w:rsidP="009D7677">
      <w:pPr>
        <w:pStyle w:val="TextoNormal"/>
      </w:pPr>
    </w:p>
    <w:p w14:paraId="2B1CE561" w14:textId="77777777" w:rsidR="009D7677" w:rsidRDefault="009D7677" w:rsidP="009D7677">
      <w:pPr>
        <w:pStyle w:val="TextoNormal"/>
      </w:pPr>
      <w:r>
        <w:t>Refiere que el procedimiento núm. 1694-2019 ha finalizado definitivamente pues la sentencia de la Sección Cuarta de la Audiencia Provincial de Murcia que desestimó el recurso de apelación contra la sentencia del Juzgado de Primera Instancia núm. 3 de Murcia, ha sido a su vez confirmada por la sentencia núm. 147/2022, de 23 de febrero, del Tribunal Supremo, que reafirma los argumentos dados en las anteriores instancias.</w:t>
      </w:r>
    </w:p>
    <w:p w14:paraId="0953F00B" w14:textId="77777777" w:rsidR="009D7677" w:rsidRDefault="009D7677" w:rsidP="009D7677">
      <w:pPr>
        <w:pStyle w:val="TextoNormal"/>
      </w:pPr>
    </w:p>
    <w:p w14:paraId="05D8C779" w14:textId="77777777" w:rsidR="009D7677" w:rsidRDefault="009D7677" w:rsidP="009D7677">
      <w:pPr>
        <w:pStyle w:val="TextoNormal"/>
      </w:pPr>
      <w:r>
        <w:t>Por su parte, el procedimiento núm. 1229-2018, se encuentra pendiente de resolución por la Sección Cuarta de la Audiencia Provincial de Murcia, habiendo señalado la deliberación, votación y fallo para el pasado 10 de enero de 2024.</w:t>
      </w:r>
    </w:p>
    <w:p w14:paraId="25AC0160" w14:textId="77777777" w:rsidR="009D7677" w:rsidRDefault="009D7677" w:rsidP="009D7677">
      <w:pPr>
        <w:pStyle w:val="TextoNormal"/>
      </w:pPr>
    </w:p>
    <w:p w14:paraId="51C87954" w14:textId="77777777" w:rsidR="009D7677" w:rsidRDefault="009D7677" w:rsidP="009D7677">
      <w:pPr>
        <w:pStyle w:val="TextoNormal"/>
      </w:pPr>
      <w:r>
        <w:t>Sostiene que no existe vulneración alguna, al margen de la práctica resolución de los dos procedimientos indicados, pues en la propuesta de adopción dirigida al Juzgado de Primera Instancia núm. 9 de Murcia, ya se hizo constar por la entidad pública la existencia de los procedimientos con núm. 1229-2018, 1328-2019, 378-2019, 1694-2017 y 1229-2018 ante los distintos juzgados de primera instancia de Murcia. Añade que la adopción fue informada favorablemente por el Ministerio Fiscal, habiéndose respetado en el procedimiento las exigencias legales. Refiere que los abuelos carecen de legitimación activa para participar en el procedimiento de adopción núm. 685-2020, conforme a lo dispuesto en el art. 177 CC.</w:t>
      </w:r>
    </w:p>
    <w:p w14:paraId="375E151F" w14:textId="77777777" w:rsidR="009D7677" w:rsidRDefault="009D7677" w:rsidP="009D7677">
      <w:pPr>
        <w:pStyle w:val="TextoNormal"/>
      </w:pPr>
    </w:p>
    <w:p w14:paraId="1CC316AE" w14:textId="21550640" w:rsidR="009D7677" w:rsidRDefault="009D7677" w:rsidP="009D7677">
      <w:pPr>
        <w:pStyle w:val="TextoNormal"/>
      </w:pPr>
      <w:r>
        <w:t>Afirma que la resolución que establece una visita semanal de los abuelos con su nieta favorece el contacto con el nieto y enfatiza que es el interés superior del menor el que ha de guiar de forma exclusiva la decisión a adoptar.</w:t>
      </w:r>
    </w:p>
    <w:p w14:paraId="2FA08463" w14:textId="77777777" w:rsidR="009D7677" w:rsidRDefault="009D7677" w:rsidP="009D7677">
      <w:pPr>
        <w:pStyle w:val="TextoNormal"/>
      </w:pPr>
    </w:p>
    <w:p w14:paraId="74CFFDBF" w14:textId="77777777" w:rsidR="009D7677" w:rsidRDefault="009D7677" w:rsidP="009D7677">
      <w:pPr>
        <w:pStyle w:val="TextoNormal"/>
      </w:pPr>
      <w:r w:rsidRPr="009D7677">
        <w:rPr>
          <w:rStyle w:val="NumeroAFNegritaCaracter"/>
        </w:rPr>
        <w:lastRenderedPageBreak/>
        <w:t>7</w:t>
      </w:r>
      <w:r>
        <w:t>. La representación de los demandantes de amparo presentó escrito de alegaciones el 19 de enero de 2024. En él cuestionan la tramitación de los dos procedimientos de adopción seguidos en los que no tuvieron la posibilidad de intervenir ni los recurrentes ni la madre, atribuyendo a la entidad pública una clara voluntad de ocultación de su tramitación. Insisten en que fue en el procedimiento de oposición a la medida en que se les denegaba el acogimiento familiar cuando tuvieron conocimiento de la adopción. Recuerda la vinculación de los menores con sus abuelos y la continuidad en el cumplimiento completo de las visitas que se les programó.</w:t>
      </w:r>
    </w:p>
    <w:p w14:paraId="2C243AEF" w14:textId="77777777" w:rsidR="009D7677" w:rsidRDefault="009D7677" w:rsidP="009D7677">
      <w:pPr>
        <w:pStyle w:val="TextoNormal"/>
      </w:pPr>
    </w:p>
    <w:p w14:paraId="557890EE" w14:textId="77777777" w:rsidR="009D7677" w:rsidRDefault="009D7677" w:rsidP="009D7677">
      <w:pPr>
        <w:pStyle w:val="TextoNormal"/>
      </w:pPr>
      <w:r>
        <w:t>Refieren que únicamente han tenido el apoyo del Ministerio Fiscal en el procedimiento de oposición a medidas de menores núm. 1694-2019 para que se les concediera el acogimiento familiar y se duelen en la tardanza en la resolución del procedimiento núm. 1229-2019.</w:t>
      </w:r>
    </w:p>
    <w:p w14:paraId="3C46AB49" w14:textId="77777777" w:rsidR="009D7677" w:rsidRDefault="009D7677" w:rsidP="009D7677">
      <w:pPr>
        <w:pStyle w:val="TextoNormal"/>
      </w:pPr>
    </w:p>
    <w:p w14:paraId="6F153105" w14:textId="7E25DC2B" w:rsidR="009D7677" w:rsidRDefault="009D7677" w:rsidP="009D7677">
      <w:pPr>
        <w:pStyle w:val="TextoNormal"/>
      </w:pPr>
      <w:r>
        <w:t>Finalmente insisten en la solicitud de nulidad del proceso de adopción del menor I.O.S.</w:t>
      </w:r>
    </w:p>
    <w:p w14:paraId="761CE580" w14:textId="77777777" w:rsidR="009D7677" w:rsidRDefault="009D7677" w:rsidP="009D7677">
      <w:pPr>
        <w:pStyle w:val="TextoNormal"/>
      </w:pPr>
    </w:p>
    <w:p w14:paraId="495159EA" w14:textId="77777777" w:rsidR="009D7677" w:rsidRDefault="009D7677" w:rsidP="009D7677">
      <w:pPr>
        <w:pStyle w:val="TextoNormal"/>
      </w:pPr>
      <w:r w:rsidRPr="009D7677">
        <w:rPr>
          <w:rStyle w:val="NumeroAFNegritaCaracter"/>
        </w:rPr>
        <w:t>8</w:t>
      </w:r>
      <w:r>
        <w:t>. El Ministerio Fiscal, una vez atendida su solicitud de que se incorporara el testimonio de la pieza separada de nulidad, mediante escrito presentado el 12 de febrero de 2024, solicitó que se dictara sentencia otorgando el amparo y que se reconociera vulnerado el derecho fundamental a la tutela judicial efectiva (art. 24.1 CE) desde la perspectiva de ausencia de motivación suficiente en las resoluciones en relación con la protección del interés superior del menor y que conforme al art. 39 CE, “[d]eclarar la nulidad de las resoluciones recurridas y retrotraer el procedimiento al momento previo a su dictado”.</w:t>
      </w:r>
    </w:p>
    <w:p w14:paraId="1CE87066" w14:textId="77777777" w:rsidR="009D7677" w:rsidRDefault="009D7677" w:rsidP="009D7677">
      <w:pPr>
        <w:pStyle w:val="TextoNormal"/>
      </w:pPr>
    </w:p>
    <w:p w14:paraId="613B2A9B" w14:textId="77777777" w:rsidR="009D7677" w:rsidRDefault="009D7677" w:rsidP="009D7677">
      <w:pPr>
        <w:pStyle w:val="TextoNormal"/>
      </w:pPr>
      <w:r>
        <w:t>El Ministerio Fiscal se refiere a los diversos procedimientos relacionados en los anteriores antecedentes. Descarta que concurran obstáculos procesales que impidan la admisión de la demanda, si bien considera que las invocaciones relativas al derecho al juez ordinario predeterminado por la ley (art. 24.2 CE) y la infracción de los art. 15 y 18 CE al justificar la especial trascendencia, ausentes de desarrollo argumental, al no ser denunciadas en el procedimiento judicial imposibilita que sean examinadas.</w:t>
      </w:r>
    </w:p>
    <w:p w14:paraId="32CEA59A" w14:textId="77777777" w:rsidR="009D7677" w:rsidRDefault="009D7677" w:rsidP="009D7677">
      <w:pPr>
        <w:pStyle w:val="TextoNormal"/>
      </w:pPr>
    </w:p>
    <w:p w14:paraId="283C9FDE" w14:textId="77777777" w:rsidR="009D7677" w:rsidRDefault="009D7677" w:rsidP="009D7677">
      <w:pPr>
        <w:pStyle w:val="TextoNormal"/>
      </w:pPr>
      <w:r>
        <w:t>Reconoce la legitimación de los recurrentes conforme a los arts. 162.1 b) CE y 46 LOTC, al entender que los demandantes consideran que el procedimiento ha desconocido su interés en continuar su relación con su nieto, sea como acogedores, sea través del establecimiento de un régimen de visitas, posibilidad “que quedaría definitivamente impedida en el caso de que se considere correctamente acordada la adopción”.</w:t>
      </w:r>
    </w:p>
    <w:p w14:paraId="4C1F97CA" w14:textId="77777777" w:rsidR="009D7677" w:rsidRDefault="009D7677" w:rsidP="009D7677">
      <w:pPr>
        <w:pStyle w:val="TextoNormal"/>
      </w:pPr>
    </w:p>
    <w:p w14:paraId="2B318D63" w14:textId="77777777" w:rsidR="009D7677" w:rsidRDefault="009D7677" w:rsidP="009D7677">
      <w:pPr>
        <w:pStyle w:val="TextoNormal"/>
      </w:pPr>
      <w:r>
        <w:t>A continuación, aborda el fondo de la pretensión planteada por los recurrentes. Reproduce los arts. 160.1 y 2 CC y destaca que el art. 172 CC al regular la situación de desamparo de los menores, establece las medidas que se pueden adoptar por la entidad pública, entre las que está la “propuesta de adopción cuando exista un pronóstico fundado de imposibilidad definitiva de retorno a la familia de origen” y en el apartado tercero, dispone que la entidad pública “de oficio o a instancia del Ministerio Fiscal o de persona o entidad interesada” podrá revocar la declaración de desamparo y decidir el retorno del menor con su familia.</w:t>
      </w:r>
    </w:p>
    <w:p w14:paraId="41044637" w14:textId="77777777" w:rsidR="009D7677" w:rsidRDefault="009D7677" w:rsidP="009D7677">
      <w:pPr>
        <w:pStyle w:val="TextoNormal"/>
      </w:pPr>
    </w:p>
    <w:p w14:paraId="582C0FA2" w14:textId="77777777" w:rsidR="009D7677" w:rsidRDefault="009D7677" w:rsidP="009D7677">
      <w:pPr>
        <w:pStyle w:val="TextoNormal"/>
      </w:pPr>
      <w:r>
        <w:t xml:space="preserve">Respecto de la medida de guarda, el art. 172 </w:t>
      </w:r>
      <w:r w:rsidRPr="009D7677">
        <w:rPr>
          <w:i/>
        </w:rPr>
        <w:t>ter</w:t>
      </w:r>
      <w:r>
        <w:t xml:space="preserve"> CC prioriza el acogimiento familiar, al indicar que “se buscara siempre el interés del menor y se priorizará, cuando no sea contra</w:t>
      </w:r>
      <w:r>
        <w:lastRenderedPageBreak/>
        <w:t xml:space="preserve">rio a ese interés, su reintegración en la propia familia y que la guarda de los hermanos se confíe a una misma institución o persona para que permanezcan unidos”. Por su parte, el art. 173 </w:t>
      </w:r>
      <w:r w:rsidRPr="009D7677">
        <w:rPr>
          <w:i/>
        </w:rPr>
        <w:t>bis</w:t>
      </w:r>
      <w:r>
        <w:t xml:space="preserve"> CC establece que el acogimiento familiar “podrá tener lugar en la propia familia extensa del menor o en familia ajena”.</w:t>
      </w:r>
    </w:p>
    <w:p w14:paraId="6D1A3E74" w14:textId="77777777" w:rsidR="009D7677" w:rsidRDefault="009D7677" w:rsidP="009D7677">
      <w:pPr>
        <w:pStyle w:val="TextoNormal"/>
      </w:pPr>
    </w:p>
    <w:p w14:paraId="44CF74FD" w14:textId="77777777" w:rsidR="009D7677" w:rsidRDefault="009D7677" w:rsidP="009D7677">
      <w:pPr>
        <w:pStyle w:val="TextoNormal"/>
      </w:pPr>
      <w:r>
        <w:t xml:space="preserve">En relación con la adopción, se regula en los arts. 175 y siguientes CC, destaca el art. 176 </w:t>
      </w:r>
      <w:r w:rsidRPr="009D7677">
        <w:rPr>
          <w:i/>
        </w:rPr>
        <w:t>bis</w:t>
      </w:r>
      <w:r>
        <w:t xml:space="preserve"> CC, que regula la guarda del menor declarado en situación de desamparo con fines de adopción, estableciéndose que, “[s]alvo que convenga otra cosa al interés del menor, la entidad pública procederá a suspender el régimen de visitas y relaciones con la familia de origen cuando se inicie el periodo de convivencia preadoptiva a que se refiere el apartado anterior, excepto en los casos previstos en el artículo 178.4”. Este precepto prevé el mantenimiento de alguna forma de relación o contacto entre el menor, los miembros de la familia de origen que se considera y la adoptiva, favoreciéndose la relación con los hermanos biológicos, para ello es preciso que en la declaración de idoneidad de las personas que van a adoptar se haga constar que aceptan la adopción de un menor que vaya a mantener la relación con la familia de origen.</w:t>
      </w:r>
    </w:p>
    <w:p w14:paraId="3ED67C28" w14:textId="77777777" w:rsidR="009D7677" w:rsidRDefault="009D7677" w:rsidP="009D7677">
      <w:pPr>
        <w:pStyle w:val="TextoNormal"/>
      </w:pPr>
    </w:p>
    <w:p w14:paraId="57BF5804" w14:textId="77777777" w:rsidR="009D7677" w:rsidRDefault="009D7677" w:rsidP="009D7677">
      <w:pPr>
        <w:pStyle w:val="TextoNormal"/>
      </w:pPr>
      <w:r>
        <w:t>A continuación, examina el contenido del art. 2 de la Ley Orgánica 1/1996, de protección jurídica del menor, que considera primordial el derecho del menor a que su interés superior sea valorado y considerado primordial que todas las acciones y decisiones que le conciernan, en el ámbito público y privado.</w:t>
      </w:r>
    </w:p>
    <w:p w14:paraId="42434B42" w14:textId="77777777" w:rsidR="009D7677" w:rsidRDefault="009D7677" w:rsidP="009D7677">
      <w:pPr>
        <w:pStyle w:val="TextoNormal"/>
      </w:pPr>
    </w:p>
    <w:p w14:paraId="005D7BD7" w14:textId="77777777" w:rsidR="009D7677" w:rsidRDefault="009D7677" w:rsidP="009D7677">
      <w:pPr>
        <w:pStyle w:val="TextoNormal"/>
      </w:pPr>
      <w:r>
        <w:t xml:space="preserve">Destaca la doctrina constitucional sobre la motivación de las resoluciones judiciales y la consideración del interés superior del menor, con referencia a las SSTC 178/2020, de 14 de diciembre; 81/2021, de 19 de abril, FJ 2; 144/2021, de 12 de julio, y 5/2023, de 20 de febrero, FJ 3, en la que se indica que “[c]uando está en juego el interés de los menores, sus derechos exceden del ámbito estrictamente privado y pasan a tener una consideración más cercana a los elementos de </w:t>
      </w:r>
      <w:r w:rsidRPr="009D7677">
        <w:rPr>
          <w:i/>
        </w:rPr>
        <w:t>ius cogens</w:t>
      </w:r>
      <w:r>
        <w:t xml:space="preserve"> que la STC 120/1984, de 10 de diciembre, FJ 2, reconoce que concurren en los procedimientos judiciales relativos a la familia, a partir de que el art. 39.2 CE sanciona una protección integral de los hijos por parte de los poderes públicos”.</w:t>
      </w:r>
    </w:p>
    <w:p w14:paraId="3615689E" w14:textId="77777777" w:rsidR="009D7677" w:rsidRDefault="009D7677" w:rsidP="009D7677">
      <w:pPr>
        <w:pStyle w:val="TextoNormal"/>
      </w:pPr>
    </w:p>
    <w:p w14:paraId="2BB9D512" w14:textId="77777777" w:rsidR="009D7677" w:rsidRDefault="009D7677" w:rsidP="009D7677">
      <w:pPr>
        <w:pStyle w:val="TextoNormal"/>
      </w:pPr>
      <w:r>
        <w:t>Apunta asimismo la doctrina del Tribunal Constitucional elaborada sobre el derecho a la tutela judicial efectiva en los supuestos de procedimientos de oposición a la declaración de desamparo, acogimiento y adopción, en consideración a que se encuentran en juego intereses de suma relevancia tanto de los menores afectados por la medida, como de sus padres, y de las personas que pretenden la adopción. Dicha doctrina se compendia en la STC 58/2008, de 28 de abril, FJ 2. Destaca que la decisión a adoptar, precisamente por la flexibilidad con la que el legislador regula este tipo de procesos, ha de atender especialmente a las circunstancias concretas del caso y a la relación que los distintos procedimientos (declaración de desamparo, tutela automática de la entidad pública de protección de los menores, constitución de los diversos tipos de acogimiento, adopción, así como las correspondientes impugnaciones judiciales de estos) guardan entre sí por referirse a un mismo menor y, con frecuencia, a sus progenitores biológicos y a los adoptantes o posibles adoptantes.</w:t>
      </w:r>
    </w:p>
    <w:p w14:paraId="2C1DA8AD" w14:textId="77777777" w:rsidR="009D7677" w:rsidRDefault="009D7677" w:rsidP="009D7677">
      <w:pPr>
        <w:pStyle w:val="TextoNormal"/>
      </w:pPr>
    </w:p>
    <w:p w14:paraId="690151FA" w14:textId="77777777" w:rsidR="009D7677" w:rsidRDefault="009D7677" w:rsidP="009D7677">
      <w:pPr>
        <w:pStyle w:val="TextoNormal"/>
      </w:pPr>
      <w:r>
        <w:t xml:space="preserve">Glosa la doctrina del Tribunal Europeo de Derechos Humanos en relación con el respeto a la vida privada y familiar, recordando que la retirada de la tutela de los menores no </w:t>
      </w:r>
      <w:r>
        <w:lastRenderedPageBreak/>
        <w:t>pone fin a la vida familiar y debe estar debidamente justificada, gozando las autoridades de libertad para evaluar la necesidad de hacerse cargo de un menor, siendo necesario un control más estricto sobre las restricciones adicionales, como las impuestas sobre el derecho de visitas.</w:t>
      </w:r>
    </w:p>
    <w:p w14:paraId="4FA9BC7A" w14:textId="77777777" w:rsidR="009D7677" w:rsidRDefault="009D7677" w:rsidP="009D7677">
      <w:pPr>
        <w:pStyle w:val="TextoNormal"/>
      </w:pPr>
    </w:p>
    <w:p w14:paraId="3E75A17E" w14:textId="77777777" w:rsidR="009D7677" w:rsidRDefault="009D7677" w:rsidP="009D7677">
      <w:pPr>
        <w:pStyle w:val="TextoNormal"/>
      </w:pPr>
      <w:r>
        <w:t xml:space="preserve">En los casos en que las autoridades deciden reemplazar la medida de acogimiento por una más radical, indica que “tales medidas solo deben aplicarse en circunstancias excepcionales y solo pueden justificarse por un requisito primordial concerniente al interés superior del menor” (STEDH de 30 de octubre de 2018, asunto </w:t>
      </w:r>
      <w:r w:rsidRPr="009D7677">
        <w:rPr>
          <w:i/>
        </w:rPr>
        <w:t>S.S. c. Eslovenia</w:t>
      </w:r>
      <w:r>
        <w:t>). La doctrina del Tribunal se extiende a otras relaciones familiares, en las que se pone de relieve la diferente protección que se otorga a los progenitores respecto de las relaciones con el resto de la familia extensa. El Tribunal ha declarado que la vida familiar abarca los lazos entre parientes cercanos, entre los que se encuentran los abuelos con sus nietos o nietas, ya que pueden jugar un papel importante en la vida familiar. Sin embargo, normalmente, la relación entre abuelos y nietos, por su propia naturaleza requiere un menor grado de protección que la de los progenitores con sus hijos.</w:t>
      </w:r>
    </w:p>
    <w:p w14:paraId="2EBF3886" w14:textId="77777777" w:rsidR="009D7677" w:rsidRDefault="009D7677" w:rsidP="009D7677">
      <w:pPr>
        <w:pStyle w:val="TextoNormal"/>
      </w:pPr>
    </w:p>
    <w:p w14:paraId="2C3C9231" w14:textId="77777777" w:rsidR="009D7677" w:rsidRDefault="009D7677" w:rsidP="009D7677">
      <w:pPr>
        <w:pStyle w:val="TextoNormal"/>
      </w:pPr>
      <w:r>
        <w:t>Finalmente examina la motivación del auto impugnado. Considera que el mismo carece de la motivación reforzada que requiere toda resolución que resuelva sobre las medidas adoptadas respecto de los menores de edad conforme a la doctrina y normativa expuesta. Considera que ninguna referencia se contiene en dicho auto al procedimiento núm. 1229-2018, en el que se acordó el archivo por auto de 14 de octubre de 2020 por el fallecimiento de la madre. Como tampoco se efectúa referencia al procedimiento núm. 1328-2019, del que conocía el Juzgado de Primera Instancia núm. 3 de Murcia, que fue suspendido en el acto de la vista al tomar conocimiento de que se había acordado la adopción del menor. De modo que la decisión sobre el acogimiento familiar de los abuelos depende de la validez de la adopción.</w:t>
      </w:r>
    </w:p>
    <w:p w14:paraId="5275D01C" w14:textId="77777777" w:rsidR="009D7677" w:rsidRDefault="009D7677" w:rsidP="009D7677">
      <w:pPr>
        <w:pStyle w:val="TextoNormal"/>
      </w:pPr>
    </w:p>
    <w:p w14:paraId="144CF8D8" w14:textId="77777777" w:rsidR="009D7677" w:rsidRDefault="009D7677" w:rsidP="009D7677">
      <w:pPr>
        <w:pStyle w:val="TextoNormal"/>
      </w:pPr>
      <w:r>
        <w:t>Hace constar que en el caso de la hermana del menor, en que concurren circunstancias semejantes, la pendencia del procedimiento de oposición de medidas núm. 1694-2017, que se encontraba a la espera de la resolución del recurso de casación presentado contra la sentencia de la Audiencia Provincial, justificó la estimación del incidente de nulidad de actuaciones presentado tanto por el Ministerio Fiscal como los abuelos de la menor en el procedimiento de adopción núm. 378-2019, de los que conoció el Juzgado de Primera Instancia núm. 3 de Murcia.</w:t>
      </w:r>
    </w:p>
    <w:p w14:paraId="75274B65" w14:textId="77777777" w:rsidR="009D7677" w:rsidRDefault="009D7677" w:rsidP="009D7677">
      <w:pPr>
        <w:pStyle w:val="TextoNormal"/>
      </w:pPr>
    </w:p>
    <w:p w14:paraId="4B1ED1F8" w14:textId="77777777" w:rsidR="009D7677" w:rsidRDefault="009D7677" w:rsidP="009D7677">
      <w:pPr>
        <w:pStyle w:val="TextoNormal"/>
      </w:pPr>
      <w:r>
        <w:t>Destaca que los demandantes han acudido a la jurisdicción en todos los procedimientos en los que se les concede legitimación para oponerse a las diferentes resoluciones dictadas por las entidad pública respecto de las medidas de protección acordadas sobre su nieto y que contaban para ello con el poder especial otorgado por la madre mientras ostentaba la patria potestad, lo que es indicio de la voluntad de la madre sobre el cuidado y atención del menor en el caso de no poder continuar ella ejerciéndolo.</w:t>
      </w:r>
    </w:p>
    <w:p w14:paraId="11CBA3D4" w14:textId="77777777" w:rsidR="009D7677" w:rsidRDefault="009D7677" w:rsidP="009D7677">
      <w:pPr>
        <w:pStyle w:val="TextoNormal"/>
      </w:pPr>
    </w:p>
    <w:p w14:paraId="25A499CC" w14:textId="13F16F60" w:rsidR="009D7677" w:rsidRDefault="009D7677" w:rsidP="009D7677">
      <w:pPr>
        <w:pStyle w:val="TextoNormal"/>
      </w:pPr>
      <w:r>
        <w:t>En conclusión, considera que debe estimarse el amparo y lógicamente extender la nulidad a la resolución que acuerda la adopción de 18 de febrero de 2021, por haber acordado la misma sin haberse resuelto definitivamente las demandas de oposición a las medidas acordadas por la entidad pública. Cuál deba ser el interés superior del menor deberá ser valorado por los órganos jurisdiccionales en los procedimientos pendientes y, necesaria</w:t>
      </w:r>
      <w:r>
        <w:lastRenderedPageBreak/>
        <w:t>mente, atender a las circunstancias que concurran en el momento en que deban adoptarse las resoluciones, cuestión que queda fuera del ámbito del recurso de amparo.</w:t>
      </w:r>
    </w:p>
    <w:p w14:paraId="353C2AE4" w14:textId="77777777" w:rsidR="009D7677" w:rsidRDefault="009D7677" w:rsidP="009D7677">
      <w:pPr>
        <w:pStyle w:val="TextoNormal"/>
      </w:pPr>
    </w:p>
    <w:p w14:paraId="7F6BA9D2" w14:textId="605ED9AB" w:rsidR="009D7677" w:rsidRDefault="009D7677" w:rsidP="009D7677">
      <w:pPr>
        <w:pStyle w:val="TextoNormal"/>
      </w:pPr>
      <w:r w:rsidRPr="009D7677">
        <w:rPr>
          <w:rStyle w:val="NumeroAFNegritaCaracter"/>
        </w:rPr>
        <w:t>9</w:t>
      </w:r>
      <w:r>
        <w:t>. El 19 de febrero de 2024 se extendió por el secretario de justicia diligencia de constancia por la que el recurso de amparo quedaba pendiente de deliberación cuando por turno corresponda.</w:t>
      </w:r>
    </w:p>
    <w:p w14:paraId="48D16261" w14:textId="77777777" w:rsidR="009D7677" w:rsidRDefault="009D7677" w:rsidP="009D7677">
      <w:pPr>
        <w:pStyle w:val="TextoNormal"/>
      </w:pPr>
    </w:p>
    <w:p w14:paraId="6599ECBF" w14:textId="5D1C366C" w:rsidR="009D7677" w:rsidRDefault="009D7677" w:rsidP="009D7677">
      <w:pPr>
        <w:pStyle w:val="TextoNormal"/>
      </w:pPr>
      <w:r w:rsidRPr="009D7677">
        <w:rPr>
          <w:rStyle w:val="NumeroAFNegritaCaracter"/>
        </w:rPr>
        <w:t>10</w:t>
      </w:r>
      <w:r>
        <w:t>. Por providencia de 30 de mayo de 2024 se señaló para votación y fallo el día 3 de junio del mismo año.</w:t>
      </w:r>
    </w:p>
    <w:p w14:paraId="00F2C7AB" w14:textId="77777777" w:rsidR="009D7677" w:rsidRDefault="009D7677" w:rsidP="009D7677">
      <w:pPr>
        <w:pStyle w:val="TextoNormal"/>
      </w:pPr>
    </w:p>
    <w:p w14:paraId="40FEE956" w14:textId="77777777" w:rsidR="009D7677" w:rsidRDefault="009D7677" w:rsidP="009D7677">
      <w:pPr>
        <w:pStyle w:val="TextoNormalNegritaCentrado"/>
        <w:keepNext/>
      </w:pPr>
      <w:r>
        <w:t>II. Fundamentos jurídicos</w:t>
      </w:r>
    </w:p>
    <w:p w14:paraId="1C138EF5" w14:textId="35600DD1" w:rsidR="009D7677" w:rsidRDefault="009D7677" w:rsidP="009D7677">
      <w:pPr>
        <w:pStyle w:val="TextoNormalNegritaCentrado"/>
        <w:keepNext/>
      </w:pPr>
    </w:p>
    <w:p w14:paraId="7C5C68CE" w14:textId="77777777" w:rsidR="009D7677" w:rsidRDefault="009D7677" w:rsidP="009D7677">
      <w:pPr>
        <w:pStyle w:val="TextoNormal"/>
      </w:pPr>
      <w:r w:rsidRPr="009D7677">
        <w:rPr>
          <w:rStyle w:val="NumeroAFNegritaCaracter"/>
        </w:rPr>
        <w:t>1</w:t>
      </w:r>
      <w:r>
        <w:t xml:space="preserve">. </w:t>
      </w:r>
      <w:r w:rsidRPr="009D7677">
        <w:rPr>
          <w:i/>
        </w:rPr>
        <w:t>Objeto del procedimiento y pretensiones de las partes</w:t>
      </w:r>
    </w:p>
    <w:p w14:paraId="71A4C56E" w14:textId="77777777" w:rsidR="009D7677" w:rsidRDefault="009D7677" w:rsidP="009D7677">
      <w:pPr>
        <w:pStyle w:val="TextoNormal"/>
      </w:pPr>
    </w:p>
    <w:p w14:paraId="22285740" w14:textId="77777777" w:rsidR="009D7677" w:rsidRDefault="009D7677" w:rsidP="009D7677">
      <w:pPr>
        <w:pStyle w:val="TextoNormal"/>
      </w:pPr>
      <w:r>
        <w:t>a) Con carácter previo, con el fin de preservar la intimidad del menor y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del 27 de julio de 2015), debe indicarse que la presente sentencia no incluye la identificación de los tres menores ni, a estos mismos efectos, la de los ascendientes y adoptantes que aparecen mencionados en las actuaciones [STC 141/2012, de 2 de julio, FJ 8; en el mismo sentido, SSTC 182/2015, de 7 de septiembre; 13/2016, de 1 de febrero, FJ 1; 22/2016, de 15 de febrero, FJ 1; 34/2016, de 29 de febrero, FJ 1; 50/2016, de 14 de marzo, FJ 1, y 132/2016, de 18 de julio, FJ 1 c)].</w:t>
      </w:r>
    </w:p>
    <w:p w14:paraId="468646D3" w14:textId="77777777" w:rsidR="009D7677" w:rsidRDefault="009D7677" w:rsidP="009D7677">
      <w:pPr>
        <w:pStyle w:val="TextoNormal"/>
      </w:pPr>
    </w:p>
    <w:p w14:paraId="39FED7FE" w14:textId="77777777" w:rsidR="009D7677" w:rsidRDefault="009D7677" w:rsidP="009D7677">
      <w:pPr>
        <w:pStyle w:val="TextoNormal"/>
      </w:pPr>
      <w:r>
        <w:t>De este modo los recurrentes en amparo, abuelos del menor, aparecerán identificados como don G.O.C., y doña A.R.M.M., la madre del menor como doña H.A.O.M., los tres nietos de mayor a menor como I.B.O., B.K.O., e I.O.S., y los adoptantes como don A.C.G y don J.J.F.F.</w:t>
      </w:r>
    </w:p>
    <w:p w14:paraId="1E4CA72E" w14:textId="77777777" w:rsidR="009D7677" w:rsidRDefault="009D7677" w:rsidP="009D7677">
      <w:pPr>
        <w:pStyle w:val="TextoNormal"/>
      </w:pPr>
    </w:p>
    <w:p w14:paraId="4F1E0ED0" w14:textId="77777777" w:rsidR="009D7677" w:rsidRDefault="009D7677" w:rsidP="009D7677">
      <w:pPr>
        <w:pStyle w:val="TextoNormal"/>
      </w:pPr>
      <w:r>
        <w:t>b) El objeto del presente recurso se concreta en determinar si la decisión de acordar la adopción del menor I.O.S., propuesta por la Dirección General de Familias y Protección del Menor mediante el auto de 18 de febrero de 2021 dictado por el Juzgado de Primera Instancia núm. 9 de Murcia y la posterior decisión de desestimar el incidente de nulidad de actuaciones interpuesto por auto de 25 de octubre de 2021 de ese mismo juzgado, han vulnerado el derecho a la tutela judicial efectiva (art. 24.1 CE) en relación a la protección del interés superior del menor (art. 39.1 CE).</w:t>
      </w:r>
    </w:p>
    <w:p w14:paraId="46CF2D2C" w14:textId="77777777" w:rsidR="009D7677" w:rsidRDefault="009D7677" w:rsidP="009D7677">
      <w:pPr>
        <w:pStyle w:val="TextoNormal"/>
      </w:pPr>
    </w:p>
    <w:p w14:paraId="7340882C" w14:textId="77777777" w:rsidR="009D7677" w:rsidRDefault="009D7677" w:rsidP="009D7677">
      <w:pPr>
        <w:pStyle w:val="TextoNormal"/>
      </w:pPr>
      <w:r>
        <w:t>c) Como ha quedado expuesto en los antecedentes los demandantes de amparo, abuelos del menor, sostienen la existencia de la vulneración con sustento en que la adopción fue aprobada sin valorar las circunstancias concurrentes, concretamente la existencia de procedimientos de oposición a resoluciones dictadas en materia de protección del menor, en los que los abuelos reclamaban el acogimiento familiar tanto del nieto I.O.S., como de la nieta B.K.O.</w:t>
      </w:r>
    </w:p>
    <w:p w14:paraId="713D00FB" w14:textId="77777777" w:rsidR="009D7677" w:rsidRDefault="009D7677" w:rsidP="009D7677">
      <w:pPr>
        <w:pStyle w:val="TextoNormal"/>
      </w:pPr>
    </w:p>
    <w:p w14:paraId="52F6D5FC" w14:textId="77777777" w:rsidR="009D7677" w:rsidRDefault="009D7677" w:rsidP="009D7677">
      <w:pPr>
        <w:pStyle w:val="TextoNormal"/>
      </w:pPr>
      <w:r>
        <w:t>Apoya su pretensión el Ministerio Fiscal, quien considera que las resoluciones no cumplieron con la exigencia de motivación reforzada exigida al encontrarse afectados los in</w:t>
      </w:r>
      <w:r>
        <w:lastRenderedPageBreak/>
        <w:t>tereses de los menores de edad, pues no valoraron los procedimientos por los que los abuelos reclamaban el acogimiento familiar y se oponían a la tutela provisional asumida por la administración a diferencia de lo acordado en el procedimiento de adopción núm. 378-2019.</w:t>
      </w:r>
    </w:p>
    <w:p w14:paraId="4B817AA0" w14:textId="77777777" w:rsidR="009D7677" w:rsidRDefault="009D7677" w:rsidP="009D7677">
      <w:pPr>
        <w:pStyle w:val="TextoNormal"/>
      </w:pPr>
    </w:p>
    <w:p w14:paraId="2D4B4039" w14:textId="55C19957" w:rsidR="009D7677" w:rsidRDefault="009D7677" w:rsidP="009D7677">
      <w:pPr>
        <w:pStyle w:val="TextoNormal"/>
      </w:pPr>
      <w:r>
        <w:t>Por último, el letrado de la comunidad autónoma se opone al otorgamiento del amparo al considerar que no existe vulneración alguna porque en la propuesta de adopción se hizo constar por la entidad pública los diversos procedimientos pendientes e indica que los abuelos carecen de legitimación para participar en el procedimiento de adopción.</w:t>
      </w:r>
    </w:p>
    <w:p w14:paraId="35F995E8" w14:textId="77777777" w:rsidR="009D7677" w:rsidRDefault="009D7677" w:rsidP="009D7677">
      <w:pPr>
        <w:pStyle w:val="TextoNormal"/>
      </w:pPr>
    </w:p>
    <w:p w14:paraId="41B80D1B" w14:textId="77777777" w:rsidR="009D7677" w:rsidRDefault="009D7677" w:rsidP="009D7677">
      <w:pPr>
        <w:pStyle w:val="TextoNormal"/>
      </w:pPr>
      <w:r w:rsidRPr="009D7677">
        <w:rPr>
          <w:rStyle w:val="NumeroAFNegritaCaracter"/>
        </w:rPr>
        <w:t>2</w:t>
      </w:r>
      <w:r>
        <w:t xml:space="preserve">. </w:t>
      </w:r>
      <w:r w:rsidRPr="009D7677">
        <w:rPr>
          <w:i/>
        </w:rPr>
        <w:t>Los intereses constitucionalmente relevantes que deben tomarse en consideración en el procedimiento de adopción del menor I.O.S.</w:t>
      </w:r>
    </w:p>
    <w:p w14:paraId="1DD87535" w14:textId="77777777" w:rsidR="009D7677" w:rsidRDefault="009D7677" w:rsidP="009D7677">
      <w:pPr>
        <w:pStyle w:val="TextoNormal"/>
      </w:pPr>
    </w:p>
    <w:p w14:paraId="2A18C38D" w14:textId="77777777" w:rsidR="009D7677" w:rsidRDefault="009D7677" w:rsidP="009D7677">
      <w:pPr>
        <w:pStyle w:val="TextoNormal"/>
      </w:pPr>
      <w:r>
        <w:t>Atendida la complejidad procesal de la situación que examinó la jurisdicción ordinaria en la que ante tres juzgados distintos se solaparon junto con el procedimiento de adopción —en el que no se dio la posibilidad de intervención a los abuelos— otros dos procedimientos en los que los abuelos respectivamente se opusieron a la suspensión de la patria potestad y a la decisión denegatoria del acogimiento familiar y del régimen de visitas y los intereses de la máxima relevancia que se encontraban concernidos, es preciso recordar la doctrina de este tribunal que debía tomarse en consideración antes de resolver el procedimiento de adopción, poniendo de relieve la doctrina del Tribunal Europeo de Derechos Humanos.</w:t>
      </w:r>
    </w:p>
    <w:p w14:paraId="51B8BC83" w14:textId="77777777" w:rsidR="009D7677" w:rsidRDefault="009D7677" w:rsidP="009D7677">
      <w:pPr>
        <w:pStyle w:val="TextoNormal"/>
      </w:pPr>
    </w:p>
    <w:p w14:paraId="136F8E60" w14:textId="77777777" w:rsidR="009D7677" w:rsidRDefault="009D7677" w:rsidP="009D7677">
      <w:pPr>
        <w:pStyle w:val="TextoNormal"/>
      </w:pPr>
      <w:r>
        <w:t>a) Este tribunal tiene una asentada doctrina acerca de la flexibilización de las rigideces procesales y la ampliación de las facultades de los órganos judiciales en los procesos afectantes al Derecho de familia vinculada a la necesidad de que todos los poderes públicos cumplan el mandato dirigido a ellos en el art. 39 CE, muy en particular, en su apartado cuarto, en tanto que configura el estatuto jurídico del menor como una norma de orden público, de inexcusable observancia por los poderes públicos (STC 141/2000, de 29 de mayo, FJ 5).</w:t>
      </w:r>
    </w:p>
    <w:p w14:paraId="09822BCB" w14:textId="77777777" w:rsidR="009D7677" w:rsidRDefault="009D7677" w:rsidP="009D7677">
      <w:pPr>
        <w:pStyle w:val="TextoNormal"/>
      </w:pPr>
    </w:p>
    <w:p w14:paraId="6377BB55" w14:textId="77777777" w:rsidR="009D7677" w:rsidRDefault="009D7677" w:rsidP="009D7677">
      <w:pPr>
        <w:pStyle w:val="TextoNormal"/>
      </w:pPr>
      <w:r>
        <w:t xml:space="preserve">De este modo, los poderes públicos deben procurar la satisfacción del interés del menor incluso si ello significa atemperar la rigidez de algunas normas procesales o sacrificar los legítimos intereses y perspectivas de terceros. Hemos recordado que “[c]uando está en juego el interés de los menores, sus derechos exceden del ámbito estrictamente privado y pasan a tener una consideración más cercana a los elementos de </w:t>
      </w:r>
      <w:r w:rsidRPr="009D7677">
        <w:rPr>
          <w:i/>
        </w:rPr>
        <w:t>ius cogens</w:t>
      </w:r>
      <w:r>
        <w:t xml:space="preserve"> que la STC 120/1984, de 10 de diciembre, FJ 2, reconoce que concurren en los procedimientos judiciales relativos a la familia, a partir de que el art. 39.2 CE sanciona una protección integral de los hijos por parte de los poderes públicos” [SSTC 185/2012, de 17 de octubre, FJ 4; 106/2022, de 13 de septiembre, FJ 2 B), y 5/2023, de 20 de febrero, FJ 3].</w:t>
      </w:r>
    </w:p>
    <w:p w14:paraId="48043940" w14:textId="77777777" w:rsidR="009D7677" w:rsidRDefault="009D7677" w:rsidP="009D7677">
      <w:pPr>
        <w:pStyle w:val="TextoNormal"/>
      </w:pPr>
    </w:p>
    <w:p w14:paraId="30B03F10" w14:textId="77777777" w:rsidR="009D7677" w:rsidRDefault="009D7677" w:rsidP="009D7677">
      <w:pPr>
        <w:pStyle w:val="TextoNormal"/>
      </w:pPr>
      <w:r>
        <w:t xml:space="preserve">En tal sentido, específicamente en relación con el desarrollo de procedimientos de oposición a la declaración de desamparo, de acogimiento y de adopción, este tribunal ha destacado que “en este tipo de procesos civiles se encuentran en juego derechos e intereses legítimos de extraordinaria importancia [tanto] los del menor, como los de sus padres biológicos y los de las restantes personas implicadas en la situación, [que] son intereses y derechos de la mayor importancia en el orden personal y familiar, que obligan a rodear de </w:t>
      </w:r>
      <w:r>
        <w:lastRenderedPageBreak/>
        <w:t>las mayores garantías los actos judiciales que les atañen” (STC 114/1997, de 16 de junio, FJ 6; en el mismo sentido STC 298/1993, de 18 de octubre, FJ 3).</w:t>
      </w:r>
    </w:p>
    <w:p w14:paraId="0C2ABB23" w14:textId="77777777" w:rsidR="009D7677" w:rsidRDefault="009D7677" w:rsidP="009D7677">
      <w:pPr>
        <w:pStyle w:val="TextoNormal"/>
      </w:pPr>
    </w:p>
    <w:p w14:paraId="428F8861" w14:textId="77777777" w:rsidR="009D7677" w:rsidRDefault="009D7677" w:rsidP="009D7677">
      <w:pPr>
        <w:pStyle w:val="TextoNormal"/>
      </w:pPr>
      <w:r>
        <w:t>Así hemos afirmado que “dada la extraordinaria importancia que revisten los intereses y derechos en juego en este tipo de procesos, se ofrezca realmente en ellos una amplia ocasión de alegaciones a quienes ostentan intereses legítimos en la decisión a tomar, así como para aportar documentos y todo tipo de justificaciones, atendiendo a un menor rigor formal y a la exclusión de preclusividad” (SSTC 187/1996, de 25 de noviembre, FJ 2; 124/2002, de 20 de mayo, FJ 4; 75/2005, de 4 de abril, FJ 3, y 58/2008, de 28 de abril, FJ 2). De modo grafico hemos indicado en esos mismos fundamentos en relación con tales procedimientos que “lo trascendental en ellos no es tanto su modo como el resultado”.</w:t>
      </w:r>
    </w:p>
    <w:p w14:paraId="34F72526" w14:textId="77777777" w:rsidR="009D7677" w:rsidRDefault="009D7677" w:rsidP="009D7677">
      <w:pPr>
        <w:pStyle w:val="TextoNormal"/>
      </w:pPr>
    </w:p>
    <w:p w14:paraId="6312C9DD" w14:textId="77777777" w:rsidR="009D7677" w:rsidRDefault="009D7677" w:rsidP="009D7677">
      <w:pPr>
        <w:pStyle w:val="TextoNormal"/>
      </w:pPr>
      <w:r>
        <w:t>No puede dejar de traerse a colación la Convención de las Naciones Unidas sobre los derechos del niño de 20 de noviembre de 1989, ratificada por España el día 30 de noviembre de 1990, que prevé que en cualquier procedimiento entablado con ocasión de la separación del niño de sus padres “se ofrecerá a todas las partes interesadas la posibilidad de participar en él y de dar a conocer sus opiniones” (art. 9.2; SSTC 124/2002, FJ 4; 75/2005, FJ 3, y 58/2008, FJ 2).</w:t>
      </w:r>
    </w:p>
    <w:p w14:paraId="6DBC3AA8" w14:textId="77777777" w:rsidR="009D7677" w:rsidRDefault="009D7677" w:rsidP="009D7677">
      <w:pPr>
        <w:pStyle w:val="TextoNormal"/>
      </w:pPr>
    </w:p>
    <w:p w14:paraId="4E41BB19" w14:textId="77777777" w:rsidR="009D7677" w:rsidRDefault="009D7677" w:rsidP="009D7677">
      <w:pPr>
        <w:pStyle w:val="TextoNormal"/>
      </w:pPr>
      <w:r>
        <w:t>Finalmente, en esa misma línea argumental hemos destacado que la función encomendada en estos casos al juez no es solo la de juzgar y ejecutar lo juzgado (art. 117.3 CE), sino que, al ser concebida en el marco de la jurisdicción voluntaria, ha de incluirse, de acuerdo con el art. 117.4 CE, aquellas funciones que la ley les atribuya expresamente en garantía de cualquier derecho (STC 93/1983, de 8 de noviembre, FJ 3).</w:t>
      </w:r>
    </w:p>
    <w:p w14:paraId="67D3737A" w14:textId="77777777" w:rsidR="009D7677" w:rsidRDefault="009D7677" w:rsidP="009D7677">
      <w:pPr>
        <w:pStyle w:val="TextoNormal"/>
      </w:pPr>
    </w:p>
    <w:p w14:paraId="3ACCFCC9" w14:textId="77777777" w:rsidR="009D7677" w:rsidRDefault="009D7677" w:rsidP="009D7677">
      <w:pPr>
        <w:pStyle w:val="TextoNormal"/>
      </w:pPr>
      <w:r>
        <w:t xml:space="preserve">En tal sentido, los procedimientos de oposición a la declaración de desamparo, de acogimiento y de adopción, como hemos tenido ocasión de declarar, dado su carácter instrumental al servicio del Derecho de familia (STC 4/2001, de 15 de enero, FJ 4), que no se configuran como un simple conflicto entre pretensiones privadas que ha de ser decidido jurisdiccionalmente como si de un conflicto más de Derecho privado se tratara, sino que en relación con tales procedimientos se amplían </w:t>
      </w:r>
      <w:r w:rsidRPr="009D7677">
        <w:rPr>
          <w:i/>
        </w:rPr>
        <w:t>ex lege</w:t>
      </w:r>
      <w:r>
        <w:t xml:space="preserve"> las facultades del juez en garantía de los intereses que han de ser tutelados, entre los que ocupa una posición prevalente, como ya se ha señalado, el interés superior del menor (por todas, STC 58/2008, FJ 2).</w:t>
      </w:r>
    </w:p>
    <w:p w14:paraId="5DE890FE" w14:textId="77777777" w:rsidR="009D7677" w:rsidRDefault="009D7677" w:rsidP="009D7677">
      <w:pPr>
        <w:pStyle w:val="TextoNormal"/>
      </w:pPr>
    </w:p>
    <w:p w14:paraId="119DA4FE" w14:textId="77777777" w:rsidR="009D7677" w:rsidRDefault="009D7677" w:rsidP="009D7677">
      <w:pPr>
        <w:pStyle w:val="TextoNormal"/>
      </w:pPr>
      <w:r>
        <w:t>b) También hemos advertido entre otras en la STC 64/2019, de 9 de mayo, FJ 4, que “[e]l interés superior del menor es la consideración primordial a la que deben atender todas las medidas concernientes a los menores ‘que tomen las instituciones públicas o privadas de bienestar social, los tribunales, las autoridades administrativas o los órganos legislativos’, según el art. 3.1 de la Convención de las Naciones Unidas sobre los derechos del niño […]. Como detalla la observación general núm. 14, de 29 de mayo de 2013, del Comité de Naciones Unidas de Derechos del Niño, el citado precepto enuncia uno de los cuatro principios generales de la Convención en lo que respecta a la interpretación y aplicación de todos los derechos del niño, a aplicar como un concepto dinámico que debe evaluarse adecuadamente en cada contexto”. Podríamos afirmar que no basta procurar el interés del menor, sino que, atendido el contexto, dicho interés debe ser bien preservado, ya que en ocasiones soluciones aparentemente simples acaban por generar problemas complejos de difícil solución.</w:t>
      </w:r>
    </w:p>
    <w:p w14:paraId="16CE04CA" w14:textId="77777777" w:rsidR="009D7677" w:rsidRDefault="009D7677" w:rsidP="009D7677">
      <w:pPr>
        <w:pStyle w:val="TextoNormal"/>
      </w:pPr>
    </w:p>
    <w:p w14:paraId="5DF3154C" w14:textId="77777777" w:rsidR="009D7677" w:rsidRDefault="009D7677" w:rsidP="009D7677">
      <w:pPr>
        <w:pStyle w:val="TextoNormal"/>
      </w:pPr>
      <w:r>
        <w:lastRenderedPageBreak/>
        <w:t xml:space="preserve">c) El último de los aspectos al que nos debemos referir, que ha sido destacado de modo completo por el Ministerio Fiscal en sus alegaciones, es el criterio del retorno del menor con su familia de origen como principio rector que inspira la legislación positiva. Se puede afirmar que concurre en las autoridades públicas “[e]l deber positivo de adoptar medidas para facilitar la reagrupación familiar tan pronto como sea razonablemente posible empezará a pesar sobre las autoridades competentes con fuerza progresivamente creciente a partir del inicio del periodo de guarda, siempre que se sopese con el deber de considerar el interés superior del niño” (STEDH 30 de octubre de 2018, asunto </w:t>
      </w:r>
      <w:r w:rsidRPr="009D7677">
        <w:rPr>
          <w:i/>
        </w:rPr>
        <w:t>S.S. c. Eslovenia</w:t>
      </w:r>
      <w:r>
        <w:t xml:space="preserve"> § 85). De modo que “en caso de imposición de la tutela pública restringiendo la vida familiar, las autoridades tienen el deber positivo de tomar medidas para facilitar la reunificación familiar tan pronto como sea razonablemente posible” (STEDH de 10 de septiembre de 2019, asunto </w:t>
      </w:r>
      <w:r w:rsidRPr="009D7677">
        <w:rPr>
          <w:i/>
        </w:rPr>
        <w:t>Strand Lobben y otros c. Noruega</w:t>
      </w:r>
      <w:r>
        <w:t>, § 205).</w:t>
      </w:r>
    </w:p>
    <w:p w14:paraId="717931E5" w14:textId="77777777" w:rsidR="009D7677" w:rsidRDefault="009D7677" w:rsidP="009D7677">
      <w:pPr>
        <w:pStyle w:val="TextoNormal"/>
      </w:pPr>
    </w:p>
    <w:p w14:paraId="581FC418" w14:textId="7E07BB3A" w:rsidR="009D7677" w:rsidRDefault="009D7677" w:rsidP="009D7677">
      <w:pPr>
        <w:pStyle w:val="TextoNormal"/>
      </w:pPr>
      <w:r>
        <w:t xml:space="preserve">Refiere la STEDH de 30 de noviembre de 2021, asunto </w:t>
      </w:r>
      <w:r w:rsidRPr="009D7677">
        <w:rPr>
          <w:i/>
        </w:rPr>
        <w:t>T.A. y otros c. Moldavia</w:t>
      </w:r>
      <w:r>
        <w:t xml:space="preserve">, que actualmente existe un amplio consenso en que el interés del menor dicta “que deben mantenerse los vínculos del niño con su familia, salvo en los casos en que la familia haya demostrado ser </w:t>
      </w:r>
      <w:r w:rsidRPr="009D7677">
        <w:rPr>
          <w:i/>
        </w:rPr>
        <w:t>particularmente inadecuada</w:t>
      </w:r>
      <w:r>
        <w:t xml:space="preserve"> y ello pueda perjudicar la salud y el desarrollo del niño […]. Cortar esos lazos significa separar a un niño de sus raíces, lo que solo puede hacerse en circunstancias excepcionales […] debe hacerse todo lo posible para preservar las relaciones personales y, si procede y cuando proceda, ‘reconstruir’ la familia” [§ 49]. Reitera que puede haber “vida familiar” en el sentido del artículo 8 del Convenio “entre abuelos y nietos cuando existan vínculos familiares suficientemente estrechos entre ellos” [§ 50]. Dicha relación “es diferente en naturaleza y grado” [§ 50] que la existente entre padres e hijos y por su propia naturaleza, “generalmente exige un menor grado de protección” [§ 50]. En otros casos (STEDH de 14 de enero de 2021, asunto </w:t>
      </w:r>
      <w:r w:rsidRPr="009D7677">
        <w:rPr>
          <w:i/>
        </w:rPr>
        <w:t>Terna c. Italia</w:t>
      </w:r>
      <w:r>
        <w:t>) “el Tribunal ha sostenido que la protección otorgada a los abuelos no disminuía por la presencia de los padres ejerciendo la patria potestad” [§ 64], llegando a considerar en tales casos que la relación entre la abuela y su nieta “es, en principio, de la misma naturaleza que las demás relaciones familiares protegidas por el artículo 8 del Convenio” [§ 64], basándose en que se había desarrollado un estrecho vínculo interpersonal de la nieta con la abuela, quien se había comportado en todos los aspectos como su madre.</w:t>
      </w:r>
    </w:p>
    <w:p w14:paraId="56098A13" w14:textId="77777777" w:rsidR="009D7677" w:rsidRDefault="009D7677" w:rsidP="009D7677">
      <w:pPr>
        <w:pStyle w:val="TextoNormal"/>
      </w:pPr>
    </w:p>
    <w:p w14:paraId="137038A4" w14:textId="77777777" w:rsidR="009D7677" w:rsidRDefault="009D7677" w:rsidP="009D7677">
      <w:pPr>
        <w:pStyle w:val="TextoNormal"/>
      </w:pPr>
      <w:r w:rsidRPr="009D7677">
        <w:rPr>
          <w:rStyle w:val="NumeroAFNegritaCaracter"/>
        </w:rPr>
        <w:t>3</w:t>
      </w:r>
      <w:r>
        <w:t xml:space="preserve">. </w:t>
      </w:r>
      <w:r w:rsidRPr="009D7677">
        <w:rPr>
          <w:i/>
        </w:rPr>
        <w:t>Aplicación de la doctrina al caso concreto. Estimación de la demanda de amparo</w:t>
      </w:r>
    </w:p>
    <w:p w14:paraId="67692D4B" w14:textId="77777777" w:rsidR="009D7677" w:rsidRDefault="009D7677" w:rsidP="009D7677">
      <w:pPr>
        <w:pStyle w:val="TextoNormal"/>
      </w:pPr>
    </w:p>
    <w:p w14:paraId="79D0F4BE" w14:textId="77777777" w:rsidR="009D7677" w:rsidRDefault="009D7677" w:rsidP="009D7677">
      <w:pPr>
        <w:pStyle w:val="TextoNormal"/>
      </w:pPr>
      <w:r>
        <w:t>Es preciso efectuar una valoración del procedimiento de adopción seguido en relación con el menor I.O.S., que finalizó con el auto de 18 de febrero de 2018 dictado por el Juzgado de Primera Instancia núm. 9 de Murcia por el que se acordó su adopción con la familia propuesta por la administración y la posterior desestimación del incidente de nulidad de actuaciones.</w:t>
      </w:r>
    </w:p>
    <w:p w14:paraId="15531733" w14:textId="77777777" w:rsidR="009D7677" w:rsidRDefault="009D7677" w:rsidP="009D7677">
      <w:pPr>
        <w:pStyle w:val="TextoNormal"/>
      </w:pPr>
    </w:p>
    <w:p w14:paraId="7EDAC8C7" w14:textId="77777777" w:rsidR="009D7677" w:rsidRDefault="009D7677" w:rsidP="009D7677">
      <w:pPr>
        <w:pStyle w:val="TextoNormal"/>
      </w:pPr>
      <w:r>
        <w:t>Podemos adelantar que su examen permite advertir —como afirma la fiscal— que no se observaron, por la entidad pública primero y por el referido juzgado después, las exigencias derivadas de la doctrina de este tribunal y del Tribunal Europeo de Derechos Humanos anteriormente expuestas.</w:t>
      </w:r>
    </w:p>
    <w:p w14:paraId="2B35384D" w14:textId="77777777" w:rsidR="009D7677" w:rsidRDefault="009D7677" w:rsidP="009D7677">
      <w:pPr>
        <w:pStyle w:val="TextoNormal"/>
      </w:pPr>
    </w:p>
    <w:p w14:paraId="1F74525D" w14:textId="77777777" w:rsidR="009D7677" w:rsidRDefault="009D7677" w:rsidP="009D7677">
      <w:pPr>
        <w:pStyle w:val="TextoNormal"/>
      </w:pPr>
      <w:r>
        <w:t xml:space="preserve">a) Las autoridades que intervinieron no garantizaron la participación de los abuelos en el procedimiento de adopción pese a la trascendencia de la decisión adoptada, atendida no solo la extraordinaria importancia de los intereses afectados, sino el interés legítimo que </w:t>
      </w:r>
      <w:r>
        <w:lastRenderedPageBreak/>
        <w:t>los abuelos ostentaban en la decisión que se iba a tomar a la vista de las concretas circunstancias del caso: esto es, la pendencia de dos expedientes de jurisdicción voluntaria en los que estaban personados como parte los recurrentes de amparo y cuya pretensión era inicialmente recuperar la patria potestad del menor I.O.S., que había sido suspendida por la Dirección General de Familias y Políticas Sociales de la Consejería de Familia e Igualdad de Oportunidades de la Región de Murcia y posteriormente que se les concediera a los abuelos el acogimiento del menor I.O.S., en familia extensa.</w:t>
      </w:r>
    </w:p>
    <w:p w14:paraId="2A3BC4D9" w14:textId="77777777" w:rsidR="009D7677" w:rsidRDefault="009D7677" w:rsidP="009D7677">
      <w:pPr>
        <w:pStyle w:val="TextoNormal"/>
      </w:pPr>
    </w:p>
    <w:p w14:paraId="4E14A085" w14:textId="77777777" w:rsidR="009D7677" w:rsidRDefault="009D7677" w:rsidP="009D7677">
      <w:pPr>
        <w:pStyle w:val="TextoNormal"/>
      </w:pPr>
      <w:r>
        <w:t>Las resoluciones no tomaron en consideración a los efectos de escuchar a los recurrentes, ni la existencia de un poder especial otorgado por la madre en que manifestaba la voluntad de que fueran los demandantes de amparo los que se encargaran de la custodia de los menores en caso de incapacidad de la misma (art. 249 CC), ni la posterior imposibilidad de esta de intervenir tras su muerte.</w:t>
      </w:r>
    </w:p>
    <w:p w14:paraId="3EDCF719" w14:textId="77777777" w:rsidR="009D7677" w:rsidRDefault="009D7677" w:rsidP="009D7677">
      <w:pPr>
        <w:pStyle w:val="TextoNormal"/>
      </w:pPr>
    </w:p>
    <w:p w14:paraId="2B405BB2" w14:textId="77777777" w:rsidR="009D7677" w:rsidRDefault="009D7677" w:rsidP="009D7677">
      <w:pPr>
        <w:pStyle w:val="TextoNormal"/>
      </w:pPr>
      <w:r>
        <w:t>La propuesta de adopción y las resoluciones judiciales impugnadas tampoco valoraron, a los efectos de que los recurrentes pudieran defender sus pretensiones y el interés del menor en el procedimiento de adopción, la pendencia de los indicados expedientes de jurisdicción voluntaria instados por los recurrentes. En tales expedientes se cuestionaba precisamente la validez de las decisiones de la entidad pública que fueron el origen del procedimiento de adopción, por las que se apreció el desamparo del menor y se denegó a los recurrentes el acogimiento del mismo.</w:t>
      </w:r>
    </w:p>
    <w:p w14:paraId="306A51D3" w14:textId="77777777" w:rsidR="009D7677" w:rsidRDefault="009D7677" w:rsidP="009D7677">
      <w:pPr>
        <w:pStyle w:val="TextoNormal"/>
      </w:pPr>
    </w:p>
    <w:p w14:paraId="0B4C2A6E" w14:textId="77777777" w:rsidR="009D7677" w:rsidRDefault="009D7677" w:rsidP="009D7677">
      <w:pPr>
        <w:pStyle w:val="TextoNormal"/>
      </w:pPr>
      <w:r>
        <w:t>El órgano judicial al negarles la participación en el procedimiento de adopción no ponderó el incontestable, persistente y desatendido interés de los recurrentes de hacerse cargo de sus nietos, del que era buena muestra el contacto regular que mantenían a través del régimen de visitas fijado por resolución judicial, la pluralidad de procedimientos en curso —de los que el órgano judicial era conocedor— desconociendo la doctrina anteriormente expuesta (por todas, STC 58/2008, FJ 2).</w:t>
      </w:r>
    </w:p>
    <w:p w14:paraId="3C1E693A" w14:textId="77777777" w:rsidR="009D7677" w:rsidRDefault="009D7677" w:rsidP="009D7677">
      <w:pPr>
        <w:pStyle w:val="TextoNormal"/>
      </w:pPr>
    </w:p>
    <w:p w14:paraId="47FCFEC3" w14:textId="77777777" w:rsidR="009D7677" w:rsidRDefault="009D7677" w:rsidP="009D7677">
      <w:pPr>
        <w:pStyle w:val="TextoNormal"/>
      </w:pPr>
      <w:r>
        <w:t>El proceder de las autoridades, atendidos los distintos procedimientos en curso, desconoció la exigencia constitucional de flexibilizar las rigideces procesales en aras a la protección del menor (STC 141/2000, FJ 5) y de ponderar los extraordinarios intereses en presencia (STC 120/1984, FJ 2) y se sujetó de modo inflexible, para negarles la posibilidad de intervenir y de ser oídos en el procedimiento, a la ausencia de legitimación legalmente prevista.</w:t>
      </w:r>
    </w:p>
    <w:p w14:paraId="09DFBEE2" w14:textId="77777777" w:rsidR="009D7677" w:rsidRDefault="009D7677" w:rsidP="009D7677">
      <w:pPr>
        <w:pStyle w:val="TextoNormal"/>
      </w:pPr>
    </w:p>
    <w:p w14:paraId="63733512" w14:textId="77777777" w:rsidR="009D7677" w:rsidRDefault="009D7677" w:rsidP="009D7677">
      <w:pPr>
        <w:pStyle w:val="TextoNormal"/>
      </w:pPr>
      <w:r>
        <w:t>Finalmente, la actuación del órgano judicial tuvo su expresa manifestación lesiva del derecho a la tutela judicial efectiva, en su vertiente de derecho de acceso a la jurisdicción (art. 24.1 CE), en el auto de 25 de octubre de 2021, dictado por el Juzgado de Primera Instancia núm. 9 de Murcia. Dicho auto, pese al evidente interés legítimo y directo que tenían los demandantes en el resultado del procedimiento, y a la pendencia de dos procedimientos en que reclamaban el acogimiento del menor I.O.S., desestimó el incidente de nulidad y negó a los recurrentes “legitimación activa en el procedimiento de adopción” atribuyéndoles la intención de “paralización del procedimiento de adopción”.</w:t>
      </w:r>
    </w:p>
    <w:p w14:paraId="6F4C7AD1" w14:textId="77777777" w:rsidR="009D7677" w:rsidRDefault="009D7677" w:rsidP="009D7677">
      <w:pPr>
        <w:pStyle w:val="TextoNormal"/>
      </w:pPr>
    </w:p>
    <w:p w14:paraId="069B1759" w14:textId="77777777" w:rsidR="009D7677" w:rsidRDefault="009D7677" w:rsidP="009D7677">
      <w:pPr>
        <w:pStyle w:val="TextoNormal"/>
      </w:pPr>
      <w:r>
        <w:t xml:space="preserve">b) Por otra parte, la resolución judicial aceptó acríticamente sin motivación alguna, la propuesta de adopción formulada por la Dirección General de Familias y Protección de Menores. Ni por parte de la administración ni por el órgano judicial se valoró ninguno de </w:t>
      </w:r>
      <w:r>
        <w:lastRenderedPageBreak/>
        <w:t>los aspectos relevantes a los efectos de posibilitar la reintegración del menor en la propia familia de origen.</w:t>
      </w:r>
    </w:p>
    <w:p w14:paraId="2BA594A1" w14:textId="77777777" w:rsidR="009D7677" w:rsidRDefault="009D7677" w:rsidP="009D7677">
      <w:pPr>
        <w:pStyle w:val="TextoNormal"/>
      </w:pPr>
    </w:p>
    <w:p w14:paraId="1B13822A" w14:textId="77777777" w:rsidR="009D7677" w:rsidRDefault="009D7677" w:rsidP="009D7677">
      <w:pPr>
        <w:pStyle w:val="TextoNormal"/>
      </w:pPr>
      <w:r>
        <w:t xml:space="preserve">La entidad pública, al proponer la adopción y desechar el retorno a la familia de origen y el juzgado al aprobar la adopción propuesta, no ponderaron el dictamen emitido por la psicóloga y trabajadora social en el que se referían a las incuestionables capacidades de los abuelos para la crianza de los nietos al no existir elementos que interfieran en las mismas, dada su situación social, laboral y familiar estable, “además de ser solventes económicamente”. Esto es, pese a que no concurrían circunstancias particularmente inadecuadas que pudieran perjudicar la salud y el desarrollo del niño, se desechó la alternativa de conceder el acogimiento familiar en familia extensa, esto es, en favor de los abuelos, evitando cortar los lazos que significa separar al niño de sus raíces (SSTEDH de 30 de noviembre de 2021, asunto </w:t>
      </w:r>
      <w:r w:rsidRPr="009D7677">
        <w:rPr>
          <w:i/>
        </w:rPr>
        <w:t>T.A. y otros c. Moldavia</w:t>
      </w:r>
      <w:r>
        <w:t xml:space="preserve">, § 50, y de 14 de enero de 2021, asunto </w:t>
      </w:r>
      <w:r w:rsidRPr="009D7677">
        <w:rPr>
          <w:i/>
        </w:rPr>
        <w:t>Terna c. Italia</w:t>
      </w:r>
      <w:r>
        <w:t>, § 64).</w:t>
      </w:r>
    </w:p>
    <w:p w14:paraId="69EBD785" w14:textId="77777777" w:rsidR="009D7677" w:rsidRDefault="009D7677" w:rsidP="009D7677">
      <w:pPr>
        <w:pStyle w:val="TextoNormal"/>
      </w:pPr>
    </w:p>
    <w:p w14:paraId="559C4CAE" w14:textId="25D12BC2" w:rsidR="009D7677" w:rsidRDefault="009D7677" w:rsidP="009D7677">
      <w:pPr>
        <w:pStyle w:val="TextoNormal"/>
      </w:pPr>
      <w:r>
        <w:t>En fin, ninguna de las circunstancias señaladas fue ponderada en la resolución estereotipada de 18 de febrero de 2021 dictada por el Juzgado de Primera Instancia núm. 9 de Murcia, por la que se acordó la adopción del menor I.O.S., por la familia propuesta por la entidad pública. Es por ello por lo que también se vulneró el derecho a la tutela judicial efectiva de los demandantes, ahora en su vertiente de derecho a obtener una resolución fundada en derecho (art. 24.1 CE) en relación con la obligación de proteger el interés superior del menor (art. 39.1 CE).</w:t>
      </w:r>
    </w:p>
    <w:p w14:paraId="601150C0" w14:textId="77777777" w:rsidR="009D7677" w:rsidRDefault="009D7677" w:rsidP="009D7677">
      <w:pPr>
        <w:pStyle w:val="TextoNormal"/>
      </w:pPr>
    </w:p>
    <w:p w14:paraId="54C9D7DF" w14:textId="77777777" w:rsidR="009D7677" w:rsidRDefault="009D7677" w:rsidP="009D7677">
      <w:pPr>
        <w:pStyle w:val="TextoNormal"/>
      </w:pPr>
      <w:r w:rsidRPr="009D7677">
        <w:rPr>
          <w:rStyle w:val="NumeroAFNegritaCaracter"/>
        </w:rPr>
        <w:t>4</w:t>
      </w:r>
      <w:r>
        <w:t xml:space="preserve">. </w:t>
      </w:r>
      <w:r w:rsidRPr="009D7677">
        <w:rPr>
          <w:i/>
        </w:rPr>
        <w:t>Alcance del amparo otorgado</w:t>
      </w:r>
    </w:p>
    <w:p w14:paraId="59E9CD1D" w14:textId="77777777" w:rsidR="009D7677" w:rsidRDefault="009D7677" w:rsidP="009D7677">
      <w:pPr>
        <w:pStyle w:val="TextoNormal"/>
      </w:pPr>
    </w:p>
    <w:p w14:paraId="02E84242" w14:textId="77777777" w:rsidR="009D7677" w:rsidRDefault="009D7677" w:rsidP="009D7677">
      <w:pPr>
        <w:pStyle w:val="TextoNormal"/>
      </w:pPr>
      <w:r>
        <w:t>En suma, conforme a lo informado por el Ministerio Fiscal, procede estimar la demanda de amparo y declarar vulnerado el derecho a la tutela judicial efectiva (art. 24.1 CE) y, anular el auto 25 de octubre de 2021, dictado por el Juzgado de Primera Instancia núm. 9 de Murcia en el procedimiento de adopción y en la pieza de nulidad núm. 685-2020.</w:t>
      </w:r>
    </w:p>
    <w:p w14:paraId="4B79C4D3" w14:textId="77777777" w:rsidR="009D7677" w:rsidRDefault="009D7677" w:rsidP="009D7677">
      <w:pPr>
        <w:pStyle w:val="TextoNormal"/>
      </w:pPr>
    </w:p>
    <w:p w14:paraId="6BA9A265" w14:textId="77777777" w:rsidR="009D7677" w:rsidRDefault="009D7677" w:rsidP="009D7677">
      <w:pPr>
        <w:pStyle w:val="TextoNormal"/>
      </w:pPr>
      <w:r>
        <w:t>Resta tan solo precisar el alcance del amparo que se otorga, cuestión de la máxima importancia dados los muy relevantes intereses en presencia, singularmente los del menor adoptado (art. 39 CE), pero también los de los demás afectados por la relación de filiación ya constituida.</w:t>
      </w:r>
    </w:p>
    <w:p w14:paraId="40275E03" w14:textId="77777777" w:rsidR="009D7677" w:rsidRDefault="009D7677" w:rsidP="009D7677">
      <w:pPr>
        <w:pStyle w:val="TextoNormal"/>
      </w:pPr>
    </w:p>
    <w:p w14:paraId="0EA34D17" w14:textId="4D13FE8B" w:rsidR="009D7677" w:rsidRDefault="009D7677" w:rsidP="009D7677">
      <w:pPr>
        <w:pStyle w:val="TextoNormal"/>
      </w:pPr>
      <w:r>
        <w:t>Atendido el tiempo transcurrido, el restablecimiento de los demandantes en la integridad de su derecho exige que, con mantenimiento de la situación fáctica actual del menor concernido, se anule el referido auto con retroacción de actuaciones al momento inmediatamente anterior a su dictado para que el órgano judicial conforme a la doctrina expuesta, adopte las medidas necesarias para preservar los intereses del menor, valore las circunstancias concurrentes y dicte la resolución que proceda con pleno respeto al derecho fundamental vulnerado.</w:t>
      </w:r>
    </w:p>
    <w:p w14:paraId="3FB2D54B" w14:textId="77777777" w:rsidR="009D7677" w:rsidRDefault="009D7677" w:rsidP="009D7677">
      <w:pPr>
        <w:pStyle w:val="TextoNormal"/>
      </w:pPr>
    </w:p>
    <w:p w14:paraId="3288A214" w14:textId="77777777" w:rsidR="009D7677" w:rsidRDefault="009D7677" w:rsidP="009D7677">
      <w:pPr>
        <w:pStyle w:val="TextoNormalCentrado"/>
        <w:keepNext/>
      </w:pPr>
      <w:r>
        <w:t>FALLO</w:t>
      </w:r>
    </w:p>
    <w:p w14:paraId="7BC7F6F4" w14:textId="4159F13E" w:rsidR="009D7677" w:rsidRDefault="009D7677" w:rsidP="009D7677">
      <w:pPr>
        <w:pStyle w:val="TextoNormalCentrado"/>
        <w:keepNext/>
      </w:pPr>
    </w:p>
    <w:p w14:paraId="580FCAD1" w14:textId="77777777" w:rsidR="009D7677" w:rsidRDefault="009D7677" w:rsidP="009D7677">
      <w:pPr>
        <w:pStyle w:val="TextoNormal"/>
      </w:pPr>
      <w:r>
        <w:t>En atención a todo lo expuesto, el Tribunal Constitucional, por la autoridad que le confiere la Constitución de la Nación española, ha decidido:</w:t>
      </w:r>
    </w:p>
    <w:p w14:paraId="0DF6B49F" w14:textId="77777777" w:rsidR="009D7677" w:rsidRDefault="009D7677" w:rsidP="009D7677">
      <w:pPr>
        <w:pStyle w:val="TextoNormal"/>
      </w:pPr>
    </w:p>
    <w:p w14:paraId="4C71AD00" w14:textId="77777777" w:rsidR="009D7677" w:rsidRDefault="009D7677" w:rsidP="009D7677">
      <w:pPr>
        <w:pStyle w:val="TextoNormal"/>
      </w:pPr>
      <w:r>
        <w:t>1º Declarar vulnerado el derecho a la tutela judicial efectiva (art. 24.1 CE) de los demandantes de amparo.</w:t>
      </w:r>
    </w:p>
    <w:p w14:paraId="5B77FA3E" w14:textId="77777777" w:rsidR="009D7677" w:rsidRDefault="009D7677" w:rsidP="009D7677">
      <w:pPr>
        <w:pStyle w:val="TextoNormal"/>
      </w:pPr>
    </w:p>
    <w:p w14:paraId="2B3DE75A" w14:textId="285407AA" w:rsidR="009D7677" w:rsidRDefault="009D7677" w:rsidP="009D7677">
      <w:pPr>
        <w:pStyle w:val="TextoNormal"/>
      </w:pPr>
      <w:r>
        <w:t>2º Restablecerlos en la integridad de su derecho y, a tal fin, con mantenimiento de la situación fáctica del menor concernido anular el auto de 25 de octubre de 2021, dictado por el Juzgado de Primera Instancia núm. 9 de Murcia en el procedimiento de adopción y en la pieza de nulidad núm. 685-2020, con retroacción de actuaciones al momento inmediatamente anterior a su dictado para que dicte la resolución que proceda con pleno respeto al derecho fundamental vulnerado.</w:t>
      </w:r>
    </w:p>
    <w:p w14:paraId="100E58BB" w14:textId="77777777" w:rsidR="009D7677" w:rsidRDefault="009D7677" w:rsidP="009D7677">
      <w:pPr>
        <w:pStyle w:val="TextoNormal"/>
      </w:pPr>
    </w:p>
    <w:p w14:paraId="1A225FE3" w14:textId="77777777" w:rsidR="009D7677" w:rsidRDefault="009D7677" w:rsidP="009D7677">
      <w:pPr>
        <w:pStyle w:val="TextoNormal"/>
      </w:pPr>
      <w:r>
        <w:t>Publíquese esta sentencia en el “Boletín Oficial del Estado”.</w:t>
      </w:r>
    </w:p>
    <w:p w14:paraId="34C2CF90" w14:textId="77777777" w:rsidR="009D7677" w:rsidRDefault="009D7677" w:rsidP="009D7677">
      <w:pPr>
        <w:pStyle w:val="TextoNormal"/>
      </w:pPr>
      <w:r>
        <w:t>Dada en Madrid, a tres de junio de dos mil veinticuatro.</w:t>
      </w:r>
    </w:p>
    <w:p w14:paraId="422EF82B" w14:textId="1EF37226" w:rsidR="009D7677" w:rsidRDefault="009D7677">
      <w:pPr>
        <w:spacing w:after="160" w:line="259" w:lineRule="auto"/>
        <w:rPr>
          <w:rFonts w:ascii="Times New Roman" w:eastAsia="Times New Roman" w:hAnsi="Times New Roman" w:cs="Times New Roman"/>
          <w:sz w:val="24"/>
          <w:szCs w:val="24"/>
          <w:lang w:eastAsia="es-ES"/>
        </w:rPr>
      </w:pPr>
      <w:r>
        <w:br w:type="page"/>
      </w:r>
    </w:p>
    <w:p w14:paraId="1F51C4B9" w14:textId="77777777" w:rsidR="009D7677" w:rsidRDefault="009D7677" w:rsidP="009D7677">
      <w:pPr>
        <w:pStyle w:val="TtuloResolucin"/>
      </w:pPr>
      <w:bookmarkStart w:id="85" w:name="SENTENCIA_2024_83"/>
      <w:r>
        <w:lastRenderedPageBreak/>
        <w:t>SENTENCIA 83/2024, de 3 de junio de 2024</w:t>
      </w:r>
    </w:p>
    <w:bookmarkEnd w:id="85"/>
    <w:p w14:paraId="1F39FC63" w14:textId="77777777" w:rsidR="009D7677" w:rsidRDefault="009D7677" w:rsidP="009D7677">
      <w:pPr>
        <w:pStyle w:val="TtuloResolucin"/>
      </w:pPr>
      <w:r>
        <w:t>Sala Segunda</w:t>
      </w:r>
    </w:p>
    <w:p w14:paraId="30DEBD64" w14:textId="77777777" w:rsidR="009D7677" w:rsidRDefault="009D7677" w:rsidP="009D7677">
      <w:pPr>
        <w:pStyle w:val="TtuloBOE"/>
      </w:pPr>
      <w:r>
        <w:t>(BOE núm. 164, de 8 de julio de 2024)</w:t>
      </w:r>
    </w:p>
    <w:p w14:paraId="02C8F417" w14:textId="77777777" w:rsidR="009D7677" w:rsidRDefault="009D7677" w:rsidP="009D7677">
      <w:pPr>
        <w:pStyle w:val="TextoNormalCentrado"/>
      </w:pPr>
      <w:r>
        <w:t>ECLI:ES:TC:2024:83</w:t>
      </w:r>
    </w:p>
    <w:p w14:paraId="6534F645" w14:textId="3BD8AF46" w:rsidR="009D7677" w:rsidRDefault="009D7677" w:rsidP="009D7677">
      <w:pPr>
        <w:pStyle w:val="TextoNormalCentrado"/>
      </w:pPr>
    </w:p>
    <w:p w14:paraId="43583590" w14:textId="77777777" w:rsidR="009D7677" w:rsidRDefault="009D7677" w:rsidP="009D7677">
      <w:pPr>
        <w:pStyle w:val="SntesisDescriptiva"/>
      </w:pPr>
      <w:r>
        <w:t>Recurso de amparo 605-2023. Promovido por doña L.C.R., respecto de los autos dictados por la Audiencia Provincial de Ávila y un juzgado de primera instancia e instrucción de Piedrahita que acordaron la administración de la vacuna frente a la covid-19.</w:t>
      </w:r>
    </w:p>
    <w:p w14:paraId="0780E19D" w14:textId="765C05D2" w:rsidR="009D7677" w:rsidRDefault="009D7677" w:rsidP="009D7677">
      <w:pPr>
        <w:pStyle w:val="SntesisDescriptiva"/>
      </w:pPr>
    </w:p>
    <w:p w14:paraId="76752F71" w14:textId="77777777" w:rsidR="009D7677" w:rsidRDefault="009D7677" w:rsidP="009D7677">
      <w:pPr>
        <w:pStyle w:val="SntesisAnaltica"/>
      </w:pPr>
      <w:r>
        <w:t>Supuesta vulneración de los derechos a la integridad física y a la tutela judicial efectiva: STC 148/2023 [resoluciones judiciales que realizaron una ponderación adecuada de los intereses de una persona menor de edad (STC 38/2023)].</w:t>
      </w:r>
    </w:p>
    <w:p w14:paraId="7FE6889D" w14:textId="4A13D8E9" w:rsidR="009D7677" w:rsidRDefault="009D7677" w:rsidP="009D7677">
      <w:pPr>
        <w:pStyle w:val="SntesisAnaltica"/>
      </w:pPr>
    </w:p>
    <w:p w14:paraId="6D8E31E0" w14:textId="6F48E968" w:rsidR="009D7677" w:rsidRDefault="009D7677" w:rsidP="009D7677">
      <w:pPr>
        <w:pStyle w:val="Extracto"/>
      </w:pPr>
      <w:r>
        <w:t>1.</w:t>
      </w:r>
      <w:r>
        <w:tab/>
        <w:t xml:space="preserve">La capacidad general de autodeterminación de las personas menores de edad, en relación con las actuaciones médicas que les afectan, encuentra su límite en la protección de su interés superior, que se impone como obligación a los progenitores, en cuanto titulares de la patria potestad o autoridad familiar, y a todos los poderes públicos, incluida la autoridad judicial (STC 148/2023) </w:t>
      </w:r>
    </w:p>
    <w:p w14:paraId="3E94D72F" w14:textId="77777777" w:rsidR="009D7677" w:rsidRDefault="009D7677" w:rsidP="009D7677">
      <w:pPr>
        <w:pStyle w:val="Extracto"/>
      </w:pPr>
    </w:p>
    <w:p w14:paraId="53FEE3FF" w14:textId="122CFDAE" w:rsidR="009D7677" w:rsidRDefault="009D7677" w:rsidP="009D7677">
      <w:pPr>
        <w:pStyle w:val="Extracto"/>
      </w:pPr>
      <w:r>
        <w:t>2.</w:t>
      </w:r>
      <w:r>
        <w:tab/>
        <w:t xml:space="preserve">La decisión de los representantes legales relativa al otorgamiento o no del consentimiento informado por representación deberá atender a la protección del derecho a la vida, supervivencia y desarrollo del menor y la satisfacción de sus necesidades básicas, tanto materiales, físicas y educativas como emocionales y afectivas [art. 2.2, letra a) de la Ley Orgánica 1/1996]; y es preciso buscar el mayor beneficio para la vida o salud del paciente menor de edad (STC 148/2023) </w:t>
      </w:r>
    </w:p>
    <w:p w14:paraId="7AAB2E5D" w14:textId="77777777" w:rsidR="009D7677" w:rsidRDefault="009D7677" w:rsidP="009D7677">
      <w:pPr>
        <w:pStyle w:val="Extracto"/>
      </w:pPr>
    </w:p>
    <w:p w14:paraId="74040CFC" w14:textId="77777777" w:rsidR="009D7677" w:rsidRDefault="009D7677" w:rsidP="009D7677">
      <w:pPr>
        <w:pStyle w:val="Extracto"/>
      </w:pPr>
    </w:p>
    <w:p w14:paraId="78426A3E" w14:textId="77777777" w:rsidR="009D7677" w:rsidRDefault="009D7677" w:rsidP="009D7677">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0DBB38BE" w14:textId="615AECFC" w:rsidR="009D7677" w:rsidRDefault="009D7677" w:rsidP="009D7677">
      <w:pPr>
        <w:pStyle w:val="TextoNormal"/>
      </w:pPr>
    </w:p>
    <w:p w14:paraId="5B3AED09" w14:textId="77777777" w:rsidR="009D7677" w:rsidRDefault="009D7677" w:rsidP="009D7677">
      <w:pPr>
        <w:pStyle w:val="TextoNormalCentrado"/>
        <w:keepNext/>
      </w:pPr>
      <w:r>
        <w:t>EN NOMBRE DEL REY</w:t>
      </w:r>
    </w:p>
    <w:p w14:paraId="67F9D16F" w14:textId="75E487CE" w:rsidR="009D7677" w:rsidRDefault="009D7677" w:rsidP="009D7677">
      <w:pPr>
        <w:pStyle w:val="TextoNormalCentrado"/>
        <w:keepNext/>
      </w:pPr>
    </w:p>
    <w:p w14:paraId="00591C3A" w14:textId="77777777" w:rsidR="009D7677" w:rsidRDefault="009D7677" w:rsidP="009D7677">
      <w:pPr>
        <w:pStyle w:val="TextoNormalCentrado"/>
        <w:keepNext/>
      </w:pPr>
    </w:p>
    <w:p w14:paraId="3AA6A64B" w14:textId="77777777" w:rsidR="009D7677" w:rsidRDefault="009D7677" w:rsidP="009D7677">
      <w:pPr>
        <w:pStyle w:val="TextoNormal"/>
      </w:pPr>
      <w:r>
        <w:t>la siguiente</w:t>
      </w:r>
    </w:p>
    <w:p w14:paraId="0E52D3E3" w14:textId="1A97550D" w:rsidR="009D7677" w:rsidRDefault="009D7677" w:rsidP="009D7677">
      <w:pPr>
        <w:pStyle w:val="TextoNormal"/>
      </w:pPr>
    </w:p>
    <w:p w14:paraId="0A589638" w14:textId="77777777" w:rsidR="009D7677" w:rsidRDefault="009D7677" w:rsidP="009D7677">
      <w:pPr>
        <w:pStyle w:val="TextoNormalCentrado"/>
        <w:keepNext/>
      </w:pPr>
      <w:r>
        <w:t>SENTENCIA</w:t>
      </w:r>
    </w:p>
    <w:p w14:paraId="094B568C" w14:textId="2A43E944" w:rsidR="009D7677" w:rsidRDefault="009D7677" w:rsidP="009D7677">
      <w:pPr>
        <w:pStyle w:val="TextoNormalCentrado"/>
        <w:keepNext/>
      </w:pPr>
    </w:p>
    <w:p w14:paraId="31AB9AEF" w14:textId="77777777" w:rsidR="009D7677" w:rsidRDefault="009D7677" w:rsidP="009D7677">
      <w:pPr>
        <w:pStyle w:val="TextoNormal"/>
      </w:pPr>
      <w:r>
        <w:t xml:space="preserve">En el recurso de amparo núm. 605-2023, interpuesto por la procuradora de los tribunales doña María Cristina Sosa González en nombre y representación de doña L.C.R., bajo la dirección técnica de la letrada doña Cristina Rosa Armas Suárez, contra el auto dictado por el Juzgado de Primera Instancia e Instrucción núm. 1 de Piedrahita el 17 de mayo de 2022 en el procedimiento de intervención judicial por desacuerdo en el ejercicio de la patria potestad núm. 260-2021, y contra el auto de 26 de enero de 2023, dictado por la Sección Primera de la Audiencia Provincial de Ávila en el rollo de apelación núm. 288-2022, </w:t>
      </w:r>
      <w:r>
        <w:lastRenderedPageBreak/>
        <w:t>confirmatorio del anterior. Ha intervenido el Ministerio Fiscal. Se ha personado sin formular alegaciones don A.L.H. Ha sido ponente la magistrada doña Laura Díez Bueso.</w:t>
      </w:r>
    </w:p>
    <w:p w14:paraId="3FE03175" w14:textId="759A0B2C" w:rsidR="009D7677" w:rsidRDefault="009D7677" w:rsidP="009D7677">
      <w:pPr>
        <w:pStyle w:val="TextoNormal"/>
      </w:pPr>
    </w:p>
    <w:p w14:paraId="0ECF9691" w14:textId="77777777" w:rsidR="009D7677" w:rsidRDefault="009D7677" w:rsidP="009D7677">
      <w:pPr>
        <w:pStyle w:val="TextoNormalNegritaCentrado"/>
        <w:keepNext/>
      </w:pPr>
      <w:r>
        <w:t>I. Antecedentes</w:t>
      </w:r>
    </w:p>
    <w:p w14:paraId="03F56D8B" w14:textId="79781521" w:rsidR="009D7677" w:rsidRDefault="009D7677" w:rsidP="009D7677">
      <w:pPr>
        <w:pStyle w:val="TextoNormalNegritaCentrado"/>
        <w:keepNext/>
      </w:pPr>
    </w:p>
    <w:p w14:paraId="7CEA0C4E" w14:textId="6CCAFF0E" w:rsidR="009D7677" w:rsidRDefault="009D7677" w:rsidP="009D7677">
      <w:pPr>
        <w:pStyle w:val="TextoNormal"/>
      </w:pPr>
      <w:r w:rsidRPr="009D7677">
        <w:rPr>
          <w:rStyle w:val="NumeroAFNegritaCaracter"/>
        </w:rPr>
        <w:t>1</w:t>
      </w:r>
      <w:r>
        <w:t>. Doña L.C.R., representada por la procuradora de los tribunales doña María Cristina Sosa González, ha interpuesto recurso de amparo contra las resoluciones indicadas en el encabezamiento de esta sentencia mediante escrito presentado en el registro de este tribunal el día 31 de enero de 2023.</w:t>
      </w:r>
    </w:p>
    <w:p w14:paraId="346B7D2F" w14:textId="77777777" w:rsidR="009D7677" w:rsidRDefault="009D7677" w:rsidP="009D7677">
      <w:pPr>
        <w:pStyle w:val="TextoNormal"/>
      </w:pPr>
    </w:p>
    <w:p w14:paraId="0D717E8A" w14:textId="77777777" w:rsidR="009D7677" w:rsidRDefault="009D7677" w:rsidP="009D7677">
      <w:pPr>
        <w:pStyle w:val="TextoNormal"/>
      </w:pPr>
      <w:r w:rsidRPr="009D7677">
        <w:rPr>
          <w:rStyle w:val="NumeroAFNegritaCaracter"/>
        </w:rPr>
        <w:t>2</w:t>
      </w:r>
      <w:r>
        <w:t>. Los hechos de los que trae causa la demanda de amparo son, en síntesis, los siguientes:</w:t>
      </w:r>
    </w:p>
    <w:p w14:paraId="43CC88DB" w14:textId="77777777" w:rsidR="009D7677" w:rsidRDefault="009D7677" w:rsidP="009D7677">
      <w:pPr>
        <w:pStyle w:val="TextoNormal"/>
      </w:pPr>
    </w:p>
    <w:p w14:paraId="43E1EDE7" w14:textId="77777777" w:rsidR="009D7677" w:rsidRDefault="009D7677" w:rsidP="009D7677">
      <w:pPr>
        <w:pStyle w:val="TextoNormal"/>
      </w:pPr>
      <w:r>
        <w:t>a) Don A.L.H., presentó escrito solicitando la intervención judicial por desacuerdo en el ejercicio de la patria potestad frente a doña L.C.R., ante la negativa de esta para que se suministrara la vacuna contra la covid-19 al hijo común de ambos, que en aquel momento contaba con cinco años de edad. Basaba su petición en considerar que, conforme a la recomendación de las autoridades sanitarias para la inoculación de la vacuna, esta resulta beneficiosa para el menor y la sociedad, y se evitaría una posible discriminación de su hijo respecto de sus compañeros.</w:t>
      </w:r>
    </w:p>
    <w:p w14:paraId="739926B2" w14:textId="77777777" w:rsidR="009D7677" w:rsidRDefault="009D7677" w:rsidP="009D7677">
      <w:pPr>
        <w:pStyle w:val="TextoNormal"/>
      </w:pPr>
    </w:p>
    <w:p w14:paraId="095E348E" w14:textId="77777777" w:rsidR="009D7677" w:rsidRDefault="009D7677" w:rsidP="009D7677">
      <w:pPr>
        <w:pStyle w:val="TextoNormal"/>
      </w:pPr>
      <w:r>
        <w:t>b) Por decreto de 9 de febrero de 2022 se admitió a trámite la solicitud presentada.</w:t>
      </w:r>
    </w:p>
    <w:p w14:paraId="368E08C5" w14:textId="77777777" w:rsidR="009D7677" w:rsidRDefault="009D7677" w:rsidP="009D7677">
      <w:pPr>
        <w:pStyle w:val="TextoNormal"/>
      </w:pPr>
    </w:p>
    <w:p w14:paraId="52091FD3" w14:textId="77777777" w:rsidR="009D7677" w:rsidRDefault="009D7677" w:rsidP="009D7677">
      <w:pPr>
        <w:pStyle w:val="TextoNormal"/>
      </w:pPr>
      <w:r>
        <w:t>c) Doña L.C.R., presentó escrito oponiéndose a lo solicitado por los riesgos que comportarían las vacunas, por lo que su inoculación no sería beneficiosa para el menor, y al ser una vacuna voluntaria, la decisión no podría basarse en la discriminación ni en los beneficios para la sociedad. Sostenía en su escrito que no había evidencia médica-científica que justificase la inoculación de los medicamentos de terapia génica para covid-19 en menores de edad, teniendo en cuenta que la tasa de mortalidad y de hospitalización por la enfermedad en menores era muy baja. Añadía que se trataba de un medicamento en fase experimental que no había sido aprobado, sino que estaba sujeto a autorización condicional de comercialización, debiendo esperar a los resultados de los seguimientos y estudios para comprobar la eficacia y seguridad del fármaco. Y en la ponderación de riesgos y beneficios, consideraba que los efectos adversos de las vacunas superaban a sus ventajas. Tampoco consideraba justificada la vacunación si se tenía en cuenta la situación epidemiológica en ese momento, pues los datos de la enfermedad habían empeorado desde que se inició la campaña de vacunación. Alegaba, por otra parte, la vulneración del derecho a la integridad física y moral (art. 15 CE) por falta de consentimiento informado por escrito y falta de prescripción médica, en relación con la Ley 41/2002, de 14 de noviembre, básica reguladora de la autonomía del paciente y de derechos y obligaciones en materia de información y documentación clínica.</w:t>
      </w:r>
    </w:p>
    <w:p w14:paraId="5A434105" w14:textId="77777777" w:rsidR="009D7677" w:rsidRDefault="009D7677" w:rsidP="009D7677">
      <w:pPr>
        <w:pStyle w:val="TextoNormal"/>
      </w:pPr>
    </w:p>
    <w:p w14:paraId="3520F0C6" w14:textId="77777777" w:rsidR="009D7677" w:rsidRDefault="009D7677" w:rsidP="009D7677">
      <w:pPr>
        <w:pStyle w:val="TextoNormal"/>
      </w:pPr>
      <w:r>
        <w:t>d) Mediante providencia de 3 de marzo de 2022 se convocó a ambos progenitores y al Ministerio Fiscal a una comparecencia el día 22 de marzo de 2022. El 10 de marzo de 2022 se dictó nueva providencia que dejó sin efecto el señalamiento anterior y estableció como nueva fecha para la comparecencia el 27 de abril de 2022.</w:t>
      </w:r>
    </w:p>
    <w:p w14:paraId="61E2B2AD" w14:textId="77777777" w:rsidR="009D7677" w:rsidRDefault="009D7677" w:rsidP="009D7677">
      <w:pPr>
        <w:pStyle w:val="TextoNormal"/>
      </w:pPr>
    </w:p>
    <w:p w14:paraId="19C02466" w14:textId="77777777" w:rsidR="009D7677" w:rsidRDefault="009D7677" w:rsidP="009D7677">
      <w:pPr>
        <w:pStyle w:val="TextoNormal"/>
      </w:pPr>
      <w:r>
        <w:lastRenderedPageBreak/>
        <w:t>e) El Juzgado de Primera Instancia e Instrucción núm. 1 de Piedrahita dictó auto el 17 de mayo de 2022 acordando no estimar la petición de la madre de no autorizar la vacunación contra la covid-19 y atribuir la facultad de decidir sobre la misma a don A.L.H., debiendo efectuarse a la firmeza de esta resolución por personal sanitario especializado y bajo las precauciones especiales de empleo y administración que le son propias.</w:t>
      </w:r>
    </w:p>
    <w:p w14:paraId="0D431F21" w14:textId="77777777" w:rsidR="009D7677" w:rsidRDefault="009D7677" w:rsidP="009D7677">
      <w:pPr>
        <w:pStyle w:val="TextoNormal"/>
      </w:pPr>
    </w:p>
    <w:p w14:paraId="4786D253" w14:textId="77777777" w:rsidR="009D7677" w:rsidRDefault="009D7677" w:rsidP="009D7677">
      <w:pPr>
        <w:pStyle w:val="TextoNormal"/>
      </w:pPr>
      <w:r>
        <w:t xml:space="preserve">El órgano judicial basó su decisión en la recomendación de la Asociación Española de Pediatría, la eficacia de las vacunas y los escasos efectos secundarios, y la valoración de la Agencia Europea de Medicamentos conforme a la cual los beneficios de las vacunas superaban a los riesgos. Y señaló que, aunque los expertos científicos habían reconocido ciertos perjuicios derivados de la vacunación, como puso de relieve doña L.C.R., los efectos secundarios eran menores y en muy pocos casos graves, considerando que el menor en este caso estaría en el grupo mayoritario. A ello se añadía que el riesgo de contagio también existía para los menores, donde se habían llegado a producir efectos graves como consecuencia de la covid-19 cuando no estaban vacunados, mientras que los efectos del contagio en niños vacunados eran menores. Indicaba, por otra parte, que la postura de doña L.C.R., se había basado en información suministrada por medios de comunicación, que carece de valor científico; y consideraba también esta resolución que, además del beneficio que comportaba la vacuna para el menor, conllevaba también un beneficio social y evitaría la exclusión social. Esta decisión se apoyaba asimismo en el informe del médico forense que insistía en la recomendación de la vacunación de menores realizada por la Asociación Española de Pediatría y en la STEDH (Gran Sala) de 8 de abril de 2021, asunto </w:t>
      </w:r>
      <w:r w:rsidRPr="009D7677">
        <w:rPr>
          <w:i/>
        </w:rPr>
        <w:t>Vavřička y otros c. la República Checa</w:t>
      </w:r>
      <w:r>
        <w:t>, que permite la implantación de medidas de protección poblacionales frente a los riesgos de debilitamiento de la estrategia de inmunidad de grupo.</w:t>
      </w:r>
    </w:p>
    <w:p w14:paraId="157ED90B" w14:textId="77777777" w:rsidR="009D7677" w:rsidRDefault="009D7677" w:rsidP="009D7677">
      <w:pPr>
        <w:pStyle w:val="TextoNormal"/>
      </w:pPr>
    </w:p>
    <w:p w14:paraId="7D0E187F" w14:textId="77777777" w:rsidR="009D7677" w:rsidRDefault="009D7677" w:rsidP="009D7677">
      <w:pPr>
        <w:pStyle w:val="TextoNormal"/>
      </w:pPr>
      <w:r>
        <w:t>f) El 24 de mayo de 2022 se dictó auto de rectificación del auto anterior en el sentido de corregir el nombre de la madre del menor, consignado en el fallo.</w:t>
      </w:r>
    </w:p>
    <w:p w14:paraId="38ACA4CC" w14:textId="77777777" w:rsidR="009D7677" w:rsidRDefault="009D7677" w:rsidP="009D7677">
      <w:pPr>
        <w:pStyle w:val="TextoNormal"/>
      </w:pPr>
    </w:p>
    <w:p w14:paraId="056E30B5" w14:textId="77777777" w:rsidR="009D7677" w:rsidRDefault="009D7677" w:rsidP="009D7677">
      <w:pPr>
        <w:pStyle w:val="TextoNormal"/>
      </w:pPr>
      <w:r>
        <w:t>g) Mediante auto de 30 de mayo de 2022 se acordó nueva rectificación del primer auto, a petición de doña L.C.R., en el sentido de suprimir la referencia relativa a que ella había reconocido que su hijo, que había recibido la primera dosis de la vacuna, no sufrió ningún efecto secundario, solo dolor en el brazo.</w:t>
      </w:r>
    </w:p>
    <w:p w14:paraId="51796195" w14:textId="77777777" w:rsidR="009D7677" w:rsidRDefault="009D7677" w:rsidP="009D7677">
      <w:pPr>
        <w:pStyle w:val="TextoNormal"/>
      </w:pPr>
    </w:p>
    <w:p w14:paraId="3FEE2D20" w14:textId="77777777" w:rsidR="009D7677" w:rsidRDefault="009D7677" w:rsidP="009D7677">
      <w:pPr>
        <w:pStyle w:val="TextoNormal"/>
      </w:pPr>
      <w:r>
        <w:t>h) Doña L.C.R., presentó recurso de apelación en el que alegaba, en su primer motivo, la vulneración de los artículos 216, 217 y 218 de la Ley de enjuiciamiento civil, en relación con el artículo 24 CE, la vulneración del principio de justicia rogada y la falta de valoración de la prueba aportada por la recurrente. Consideraba que la fundamentación ofrecida por el juez adolecía de motivación aparente por déficit valorativo, teniendo en cuenta los abundantes datos científicos y fuentes oficiales aportados con el escrito de oposición, y siendo prácticamente nula la prueba aportada por el padre. En el segundo motivo invocaba la vulneración del art. 15 CE por falta de consentimiento informado de los progenitores en relación con la Ley 41/2002, de autonomía del paciente, teniendo en cuenta que se trataba de un medicamento en fase de ensayo clínico, por lo que deberían extremarse las precauciones. Invocó también el Convenio para la protección de los derechos humanos y la dignidad del ser humano con respecto a las aplicaciones de la biología y la medicina, hecho en Oviedo el 4 de abril de 1997 y la STC 37/2011, de 28 de marzo.</w:t>
      </w:r>
    </w:p>
    <w:p w14:paraId="2D0EB815" w14:textId="77777777" w:rsidR="009D7677" w:rsidRDefault="009D7677" w:rsidP="009D7677">
      <w:pPr>
        <w:pStyle w:val="TextoNormal"/>
      </w:pPr>
    </w:p>
    <w:p w14:paraId="539086C9" w14:textId="77777777" w:rsidR="009D7677" w:rsidRDefault="009D7677" w:rsidP="009D7677">
      <w:pPr>
        <w:pStyle w:val="TextoNormal"/>
      </w:pPr>
      <w:r>
        <w:lastRenderedPageBreak/>
        <w:t>i) Don A.L.H., formuló oposición al recurso de apelación. En su escrito consideraba que la apelante pretendía sustituir la valoración de la prueba realizada por el juez de instancia por una valoración sesgada, parcial y poco creíble. Se trataba de un menor aquejado de problemas respiratorios, por lo que la vacunación no solo era aconsejable, sino necesaria, sin que existieran contraindicaciones. No consideraba aplicables las alegaciones de la recurrente sobre el consentimiento informado porque no se trataba de una persona mayor de edad, sino un menor de edad cuya patria potestad era ejercida conjuntamente por ambos progenitores, entre los que existía una discrepancia, sin que pudiera apreciarse falta de motivación en relación con la exploración del menor, ya que bastaba con el simple traslado del resultado de la misma, como hizo el juzgador. Y tampoco procedía aceptar como prueba las resoluciones de otros juzgados, que eran una excepción a la regla general y se referían a casos específicos y no al menor que nos ocupa.</w:t>
      </w:r>
    </w:p>
    <w:p w14:paraId="26FAD553" w14:textId="77777777" w:rsidR="009D7677" w:rsidRDefault="009D7677" w:rsidP="009D7677">
      <w:pPr>
        <w:pStyle w:val="TextoNormal"/>
      </w:pPr>
    </w:p>
    <w:p w14:paraId="31BCFD2B" w14:textId="77777777" w:rsidR="009D7677" w:rsidRDefault="009D7677" w:rsidP="009D7677">
      <w:pPr>
        <w:pStyle w:val="TextoNormal"/>
      </w:pPr>
      <w:r>
        <w:t>j) El Ministerio Fiscal se opuso al recurso de apelación interesando su desestimación y la confirmación del auto recurrido por considerarlo conforme a derecho y a las reglas de valoración de la prueba, en interés exclusivo del menor.</w:t>
      </w:r>
    </w:p>
    <w:p w14:paraId="227A668E" w14:textId="77777777" w:rsidR="009D7677" w:rsidRDefault="009D7677" w:rsidP="009D7677">
      <w:pPr>
        <w:pStyle w:val="TextoNormal"/>
      </w:pPr>
    </w:p>
    <w:p w14:paraId="0C730C95" w14:textId="77777777" w:rsidR="009D7677" w:rsidRDefault="009D7677" w:rsidP="009D7677">
      <w:pPr>
        <w:pStyle w:val="TextoNormal"/>
      </w:pPr>
      <w:r>
        <w:t>k) La Sección Primera de la Audiencia Provincial de Ávila dictó auto el 26 de enero de 2023 por el que desestimó el recurso de apelación.</w:t>
      </w:r>
    </w:p>
    <w:p w14:paraId="52CD71DA" w14:textId="77777777" w:rsidR="009D7677" w:rsidRDefault="009D7677" w:rsidP="009D7677">
      <w:pPr>
        <w:pStyle w:val="TextoNormal"/>
      </w:pPr>
    </w:p>
    <w:p w14:paraId="1980048F" w14:textId="77777777" w:rsidR="009D7677" w:rsidRDefault="009D7677" w:rsidP="009D7677">
      <w:pPr>
        <w:pStyle w:val="TextoNormal"/>
      </w:pPr>
      <w:r>
        <w:t>Respecto del primer motivo del recurso, no consideró que se hubiera producido la vulneración denunciada porque en este caso la cuestión sometida a decisión judicial afectaba de manera directa a un menor, cuyo interés superior debía ser atendido y salvaguardado como principio general del derecho positivizado en el art. 2 de la Ley Orgánica 1/1996, de 15 de enero, de protección jurídica del menor, de modificación parcial del Código civil y de la Ley de enjuiciamiento civil, de manera que el órgano judicial no estaba ceñido a lo pedido y aportado por las partes, ni al momento en que se hacía, pudiendo acordar incluso de oficio la práctica de prueba que resultase de utilidad para resolver la controversia. Y consideró que la resolución recurrida estaba suficientemente motivada porque, aunque acudía a fuentes externas de conocimiento científico que en su mayor parte no aparecían en las actuaciones ni estaban avaladas por la prueba pericial, ponderaba de manera adecuada el interés superior del menor, sin que resultase esencial que no hubiera valorado suficientemente las afirmaciones de la recurrente porque carecían de respaldo pericial alguno. En su lugar, se había tenido en cuenta un informe pericial emitido por el médico forense y, además, no había contraindicación médica alguna para vacunar al menor.</w:t>
      </w:r>
    </w:p>
    <w:p w14:paraId="108C1279" w14:textId="77777777" w:rsidR="009D7677" w:rsidRDefault="009D7677" w:rsidP="009D7677">
      <w:pPr>
        <w:pStyle w:val="TextoNormal"/>
      </w:pPr>
    </w:p>
    <w:p w14:paraId="2BCA7D5D" w14:textId="557221DF" w:rsidR="009D7677" w:rsidRDefault="009D7677" w:rsidP="009D7677">
      <w:pPr>
        <w:pStyle w:val="TextoNormal"/>
      </w:pPr>
      <w:r>
        <w:t xml:space="preserve">Tampoco se acogió el segundo motivo de apelación. Destacaba que, aunque no se trataba de una vacuna obligatoria, su administración resultaba beneficiosa, según resultaba de la experiencia y vacunación general de la población, atajando la propagación del virus, evitando el contagio y protegiendo a la población de las graves consecuencias de la enfermedad, y había permitido la normalización de la vida cotidiana. Invocó asimismo el auto de la Audiencia Provincial de Sevilla de 4 de julio de 2022, que resolvía con apoyo en la STEDH (Gran Sala) de 8 de abril de 2021, asunto </w:t>
      </w:r>
      <w:r w:rsidRPr="009D7677">
        <w:rPr>
          <w:i/>
        </w:rPr>
        <w:t>Vavřička y otros c. República Checa</w:t>
      </w:r>
      <w:r>
        <w:t>, que consideró la vacunación obligatoria una injerencia en el respeto a la vida privada que resultaba lícita por perseguir un fin legítimo, como era proteger la salud y los derechos de los demás. Y respecto de la falta de consentimiento informado, destacó que junto con la demanda se aportó la hoja de información que se ofrecía a los representantes legales de los menores entre cinco y once años a fin de que prestasen, si ese era su deseo, el consenti</w:t>
      </w:r>
      <w:r>
        <w:lastRenderedPageBreak/>
        <w:t>miento informado a la vacunación del menor contra la covid-19, elaborada por la Dirección General de Salud Pública dependiente de la Consejería de Sanidad de la Junta de Castilla y León, en la que se expresaban los beneficios y las reacciones adversas de aquella vacunación. Y consideró que esta información era suficiente para que los padres pudieran prestar un consentimiento informado si decidían consentir la vacunación en representación de sus hijos menores de edad.</w:t>
      </w:r>
    </w:p>
    <w:p w14:paraId="5212AE19" w14:textId="77777777" w:rsidR="009D7677" w:rsidRDefault="009D7677" w:rsidP="009D7677">
      <w:pPr>
        <w:pStyle w:val="TextoNormal"/>
      </w:pPr>
    </w:p>
    <w:p w14:paraId="1C3CCC77" w14:textId="77777777" w:rsidR="009D7677" w:rsidRDefault="009D7677" w:rsidP="009D7677">
      <w:pPr>
        <w:pStyle w:val="TextoNormal"/>
      </w:pPr>
      <w:r w:rsidRPr="009D7677">
        <w:rPr>
          <w:rStyle w:val="NumeroAFNegritaCaracter"/>
        </w:rPr>
        <w:t>3</w:t>
      </w:r>
      <w:r>
        <w:t>. La recurrente denuncia que se le han vulnerado los siguientes derechos fundamentales:</w:t>
      </w:r>
    </w:p>
    <w:p w14:paraId="3FB92613" w14:textId="77777777" w:rsidR="009D7677" w:rsidRDefault="009D7677" w:rsidP="009D7677">
      <w:pPr>
        <w:pStyle w:val="TextoNormal"/>
      </w:pPr>
    </w:p>
    <w:p w14:paraId="7EBC0E09" w14:textId="77777777" w:rsidR="009D7677" w:rsidRDefault="009D7677" w:rsidP="009D7677">
      <w:pPr>
        <w:pStyle w:val="TextoNormal"/>
      </w:pPr>
      <w:r>
        <w:t>(i) Vulneración del derecho a la integridad física y moral (art. 15 CE) de los progenitores y del hijo menor de edad por falta de consentimiento informado por escrito ante la administración de un fármaco en fase III de ensayo clínico hasta 2023, cuya relación riesgo-beneficio en menores de edad no es clara. Invoca la Ley 41/2002, básica de autonomía del paciente, el art. 3 de la Carta de los derechos fundamentales de la Unión Europea, el art. 5 del Convenio de Oviedo y el art. 8.1 del Convenio europeo para la protección de los derechos humanos y de las libertades fundamentales, así como la STC 37/2011, y la jurisprudencia constitucional que allí se cita.</w:t>
      </w:r>
    </w:p>
    <w:p w14:paraId="5A2F2AA3" w14:textId="77777777" w:rsidR="009D7677" w:rsidRDefault="009D7677" w:rsidP="009D7677">
      <w:pPr>
        <w:pStyle w:val="TextoNormal"/>
      </w:pPr>
    </w:p>
    <w:p w14:paraId="4468B8B7" w14:textId="77777777" w:rsidR="009D7677" w:rsidRDefault="009D7677" w:rsidP="009D7677">
      <w:pPr>
        <w:pStyle w:val="TextoNormal"/>
      </w:pPr>
      <w:r>
        <w:t>(ii) Vulneración del derecho a la tutela judicial efectiva (art. 24.1 CE) y del derecho a un proceso con todas las garantías (art. 24.2 CE) en relación con el principio de justicia rogada, el principio de carga de la prueba, la falta de motivación y el derecho a un juez imparcial. El razonamiento alcanzado por el órgano judicial no se basa en evidencia científica ni en los datos oficiales aportados por las partes, sino en sus propias creencias personales, avaladas principalmente por las declaraciones emitidas por un experto, pero que no fueron aportadas por las partes, en contra de los datos proporcionados por los organismos oficiales y la entidad Pfizer, y a pesar del riesgo de sufrir miocarditis o pericarditis tras la vacunación, con vulneración del derecho a un juez imparcial.</w:t>
      </w:r>
    </w:p>
    <w:p w14:paraId="4200D805" w14:textId="77777777" w:rsidR="009D7677" w:rsidRDefault="009D7677" w:rsidP="009D7677">
      <w:pPr>
        <w:pStyle w:val="TextoNormal"/>
      </w:pPr>
    </w:p>
    <w:p w14:paraId="556843CB" w14:textId="77777777" w:rsidR="009D7677" w:rsidRDefault="009D7677" w:rsidP="009D7677">
      <w:pPr>
        <w:pStyle w:val="TextoNormal"/>
      </w:pPr>
      <w:r>
        <w:t>En el suplico de la demanda se solicita, además, que se declare que no ha lugar al procedimiento de jurisdicción voluntaria para la inoculación de un fármaco en fase de ensayo clínico al menor sin la concurrencia del debido consentimiento informado por escrito a los progenitores y al menor.</w:t>
      </w:r>
    </w:p>
    <w:p w14:paraId="6B64588D" w14:textId="77777777" w:rsidR="009D7677" w:rsidRDefault="009D7677" w:rsidP="009D7677">
      <w:pPr>
        <w:pStyle w:val="TextoNormal"/>
      </w:pPr>
    </w:p>
    <w:p w14:paraId="7521574F" w14:textId="12338A13" w:rsidR="009D7677" w:rsidRDefault="009D7677" w:rsidP="009D7677">
      <w:pPr>
        <w:pStyle w:val="TextoNormal"/>
      </w:pPr>
      <w:r>
        <w:t>Por medio de otrosí se solicita la suspensión de la ejecución del auto de 17 de mayo de 2022 del Juzgado de Primera Instancia e Instrucción núm. 1 de Piedrahita, ratificado por el auto de 26 de enero de 2023 de la Sección Primera de la Audiencia Provincial de Ávila.</w:t>
      </w:r>
    </w:p>
    <w:p w14:paraId="0D721EF0" w14:textId="77777777" w:rsidR="009D7677" w:rsidRDefault="009D7677" w:rsidP="009D7677">
      <w:pPr>
        <w:pStyle w:val="TextoNormal"/>
      </w:pPr>
    </w:p>
    <w:p w14:paraId="55269F14" w14:textId="77777777" w:rsidR="009D7677" w:rsidRDefault="009D7677" w:rsidP="009D7677">
      <w:pPr>
        <w:pStyle w:val="TextoNormal"/>
      </w:pPr>
      <w:r w:rsidRPr="009D7677">
        <w:rPr>
          <w:rStyle w:val="NumeroAFNegritaCaracter"/>
        </w:rPr>
        <w:t>4</w:t>
      </w:r>
      <w:r>
        <w:t>. Mediante providencia de 25 de septiembre de 2023, la Sección Tercera del Tribunal Constitucional acordó admitir a trámite el recurso de amparo apreciando que concurre en el mismo una especial trascendencia constitucional [art. 50.1 de la Ley Orgánica del Tribunal Constitucional (LOTC)] porque el asunto suscitado trasciende del caso concreto y porque plantea una cuestión jurídica de relevante y general repercusión social o económica [STC 155/2009, de 25 de junio, FJ 2 g)].</w:t>
      </w:r>
    </w:p>
    <w:p w14:paraId="4A28E4B2" w14:textId="77777777" w:rsidR="009D7677" w:rsidRDefault="009D7677" w:rsidP="009D7677">
      <w:pPr>
        <w:pStyle w:val="TextoNormal"/>
      </w:pPr>
    </w:p>
    <w:p w14:paraId="6622F7AD" w14:textId="3107FC99" w:rsidR="009D7677" w:rsidRDefault="009D7677" w:rsidP="009D7677">
      <w:pPr>
        <w:pStyle w:val="TextoNormal"/>
      </w:pPr>
      <w:r>
        <w:t xml:space="preserve">En la misma providencia se acordó, en aplicación de lo dispuesto en el art. 51 LOTC, dirigir atenta comunicación a la Sección Primera de la Audiencia Provincial de Ávila a fin de que, en plazo no superior a diez días, remitiera certificación o fotocopia adverada de las </w:t>
      </w:r>
      <w:r>
        <w:lastRenderedPageBreak/>
        <w:t>actuaciones correspondientes al recurso de apelación núm. 288-2022, e, igualmente, al Juzgado de Primera Instancia e Instrucción núm. 1 de Piedrahita a fin de que, en plazo que no excediera de diez días, remitiera certificación o fotocopia adverada de las actuaciones correspondientes al procedimiento de jurisdicción voluntaria núm. 260-2021, debiendo emplazar previamente, para que en el plazo de diez días pudieran comparecer, si lo desearan, en el recurso de amparo, a quienes hubieran sido parte en el procedimiento, excepto la parte recurrente en amparo.</w:t>
      </w:r>
    </w:p>
    <w:p w14:paraId="2E44EFED" w14:textId="77777777" w:rsidR="009D7677" w:rsidRDefault="009D7677" w:rsidP="009D7677">
      <w:pPr>
        <w:pStyle w:val="TextoNormal"/>
      </w:pPr>
    </w:p>
    <w:p w14:paraId="311DD024" w14:textId="5FC6B4FE" w:rsidR="009D7677" w:rsidRDefault="009D7677" w:rsidP="009D7677">
      <w:pPr>
        <w:pStyle w:val="TextoNormal"/>
      </w:pPr>
      <w:r w:rsidRPr="009D7677">
        <w:rPr>
          <w:rStyle w:val="NumeroAFNegritaCaracter"/>
        </w:rPr>
        <w:t>5</w:t>
      </w:r>
      <w:r>
        <w:t>. Mediante providencia de 25 de septiembre de 2023 se acordó, a solicitud de la parte actora, la formación de pieza separada de suspensión, iniciándose su tramitación conforme al art. 56 LOTC.</w:t>
      </w:r>
    </w:p>
    <w:p w14:paraId="3CDA6437" w14:textId="77777777" w:rsidR="009D7677" w:rsidRDefault="009D7677" w:rsidP="009D7677">
      <w:pPr>
        <w:pStyle w:val="TextoNormal"/>
      </w:pPr>
    </w:p>
    <w:p w14:paraId="3460B3E2" w14:textId="786777C0" w:rsidR="009D7677" w:rsidRDefault="009D7677" w:rsidP="009D7677">
      <w:pPr>
        <w:pStyle w:val="TextoNormal"/>
      </w:pPr>
      <w:r w:rsidRPr="009D7677">
        <w:rPr>
          <w:rStyle w:val="NumeroAFNegritaCaracter"/>
        </w:rPr>
        <w:t>6</w:t>
      </w:r>
      <w:r>
        <w:t>. Por diligencia de ordenación de 22 de marzo de 2024 se tuvo por personada y parte en el procedimiento a la procuradora doña Esperanza Tabanera Tejedor en nombre y representación de don A.L.H., y se acordó dar vista de las actuaciones recibidas a las partes personadas y al Ministerio Fiscal por plazo común de veinte días, dentro de los cuales podrían presentar las alegaciones que estimasen pertinentes, conforme determina el art. 52.1 LOTC.</w:t>
      </w:r>
    </w:p>
    <w:p w14:paraId="5FD0781D" w14:textId="77777777" w:rsidR="009D7677" w:rsidRDefault="009D7677" w:rsidP="009D7677">
      <w:pPr>
        <w:pStyle w:val="TextoNormal"/>
      </w:pPr>
    </w:p>
    <w:p w14:paraId="2A4BA831" w14:textId="5C0C61BE" w:rsidR="009D7677" w:rsidRDefault="009D7677" w:rsidP="009D7677">
      <w:pPr>
        <w:pStyle w:val="TextoNormal"/>
      </w:pPr>
      <w:r w:rsidRPr="009D7677">
        <w:rPr>
          <w:rStyle w:val="NumeroAFNegritaCaracter"/>
        </w:rPr>
        <w:t>7</w:t>
      </w:r>
      <w:r>
        <w:t>. El fiscal presentó escrito de alegaciones ante el Tribunal Constitucional solicitando la desestimación del recurso de amparo. Siguiendo lo establecido en la STC 148/2023, de 6 de noviembre, considera que ante la absoluta falta de argumentación en la demanda de amparo acerca de la vulneración del art. 24.2 CE, procede dar respuesta únicamente a los dos motivos desarrollados. A la luz de la STC 148/2023 y las sentencias dictadas con posterioridad a ella que aplican la doctrina constitucional establecida en aquel pronunciamiento, considera que no se ha vulnerado el derecho a la integridad física y moral (art. 15 CE) ni el derecho a la tutela judicial efectiva (art. 24.1 CE) porque se cumple el presupuesto básico que establece el art. 9.3 c) de la Ley 41/2002 para que pueda acudirse al consentimiento por representación, es decir, que el menor, dada su edad, carecía de la capacidad emocional e intelectual necesarias para comprender el alcance de la intervención, y los padres contaban con la información adecuada para la prestación del consentimiento desde un momento incluso anterior al inicio del procedimiento de jurisdicción voluntaria, por lo que no cabe apreciar la ausencia de consentimiento informado. Y la motivación de las resoluciones, extensa y suficiente, tuvo como fundamento esencial la protección del interés superior del menor en relación con la protección de su salud, teniendo en cuenta la recomendación de las autoridades sanitarias a favor de la vacunación.</w:t>
      </w:r>
    </w:p>
    <w:p w14:paraId="6843CE52" w14:textId="77777777" w:rsidR="009D7677" w:rsidRDefault="009D7677" w:rsidP="009D7677">
      <w:pPr>
        <w:pStyle w:val="TextoNormal"/>
      </w:pPr>
    </w:p>
    <w:p w14:paraId="4E553571" w14:textId="35F0144E" w:rsidR="009D7677" w:rsidRDefault="009D7677" w:rsidP="009D7677">
      <w:pPr>
        <w:pStyle w:val="TextoNormal"/>
      </w:pPr>
      <w:r w:rsidRPr="009D7677">
        <w:rPr>
          <w:rStyle w:val="NumeroAFNegritaCaracter"/>
        </w:rPr>
        <w:t>8</w:t>
      </w:r>
      <w:r>
        <w:t>. Por providencia de 30 de mayo de 2024 se señaló para deliberación y votación de la presente sentencia el día 3 de junio del mismo año.</w:t>
      </w:r>
    </w:p>
    <w:p w14:paraId="1BF123B2" w14:textId="77777777" w:rsidR="009D7677" w:rsidRDefault="009D7677" w:rsidP="009D7677">
      <w:pPr>
        <w:pStyle w:val="TextoNormal"/>
      </w:pPr>
    </w:p>
    <w:p w14:paraId="200594FC" w14:textId="77777777" w:rsidR="009D7677" w:rsidRDefault="009D7677" w:rsidP="009D7677">
      <w:pPr>
        <w:pStyle w:val="TextoNormalNegritaCentrado"/>
        <w:keepNext/>
      </w:pPr>
      <w:r>
        <w:t>II. Fundamentos jurídicos</w:t>
      </w:r>
    </w:p>
    <w:p w14:paraId="651C0E20" w14:textId="0056E115" w:rsidR="009D7677" w:rsidRDefault="009D7677" w:rsidP="009D7677">
      <w:pPr>
        <w:pStyle w:val="TextoNormalNegritaCentrado"/>
        <w:keepNext/>
      </w:pPr>
    </w:p>
    <w:p w14:paraId="18C5E56A" w14:textId="77777777" w:rsidR="009D7677" w:rsidRDefault="009D7677" w:rsidP="009D7677">
      <w:pPr>
        <w:pStyle w:val="TextoNormal"/>
      </w:pPr>
      <w:r w:rsidRPr="009D7677">
        <w:rPr>
          <w:rStyle w:val="NumeroAFNegritaCaracter"/>
        </w:rPr>
        <w:t>1</w:t>
      </w:r>
      <w:r>
        <w:t xml:space="preserve">. </w:t>
      </w:r>
      <w:r w:rsidRPr="009D7677">
        <w:rPr>
          <w:i/>
        </w:rPr>
        <w:t>Objeto del recurso</w:t>
      </w:r>
    </w:p>
    <w:p w14:paraId="1EB69A18" w14:textId="77777777" w:rsidR="009D7677" w:rsidRDefault="009D7677" w:rsidP="009D7677">
      <w:pPr>
        <w:pStyle w:val="TextoNormal"/>
      </w:pPr>
    </w:p>
    <w:p w14:paraId="7FAA588C" w14:textId="77777777" w:rsidR="009D7677" w:rsidRDefault="009D7677" w:rsidP="009D7677">
      <w:pPr>
        <w:pStyle w:val="TextoNormal"/>
      </w:pPr>
      <w:r>
        <w:t>El presente recurso de amparo se dirige contra el auto de 17 de mayo de 2022 dictado por el Juzgado de Primera Instancia e Instrucción núm. 1 de Piedrahita en el procedimien</w:t>
      </w:r>
      <w:r>
        <w:lastRenderedPageBreak/>
        <w:t>to de intervención judicial por desacuerdo en el ejercicio de la patria potestad núm. 260-2021, que atribuyó a don A.L.H., la facultad de decidir sobre la administración de la vacuna contra la covid-19 al hijo menor de edad, y contra el auto de 26 de enero de 2023 dictado por la Sección Primera de la Audiencia Provincial de Ávila, en el rollo de apelación núm. 288-2022, confirmatorio del anterior.</w:t>
      </w:r>
    </w:p>
    <w:p w14:paraId="27B711B4" w14:textId="77777777" w:rsidR="009D7677" w:rsidRDefault="009D7677" w:rsidP="009D7677">
      <w:pPr>
        <w:pStyle w:val="TextoNormal"/>
      </w:pPr>
    </w:p>
    <w:p w14:paraId="2E8B8437" w14:textId="24B8FC5B" w:rsidR="009D7677" w:rsidRDefault="009D7677" w:rsidP="009D7677">
      <w:pPr>
        <w:pStyle w:val="TextoNormal"/>
      </w:pPr>
      <w:r>
        <w:t>Dada la naturaleza de los hechos, debe señalarse que,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 27 de julio de 2015), la presente sentencia y demás actuaciones del proceso no incluyen la identificación completa de la persona menor de edad afectada ni la de sus parientes inmediatos que aparecen mencionados en las actuaciones, con el fin de proteger la intimidad de aquella.</w:t>
      </w:r>
    </w:p>
    <w:p w14:paraId="47F9F0DB" w14:textId="77777777" w:rsidR="009D7677" w:rsidRDefault="009D7677" w:rsidP="009D7677">
      <w:pPr>
        <w:pStyle w:val="TextoNormal"/>
      </w:pPr>
    </w:p>
    <w:p w14:paraId="5D3683F7" w14:textId="77777777" w:rsidR="009D7677" w:rsidRDefault="009D7677" w:rsidP="009D7677">
      <w:pPr>
        <w:pStyle w:val="TextoNormal"/>
      </w:pPr>
      <w:r w:rsidRPr="009D7677">
        <w:rPr>
          <w:rStyle w:val="NumeroAFNegritaCaracter"/>
        </w:rPr>
        <w:t>2</w:t>
      </w:r>
      <w:r>
        <w:t xml:space="preserve">. </w:t>
      </w:r>
      <w:r w:rsidRPr="009D7677">
        <w:rPr>
          <w:i/>
        </w:rPr>
        <w:t>Cuestiones previas y delimitación de los derechos fundamentales concernidos</w:t>
      </w:r>
    </w:p>
    <w:p w14:paraId="0F834BDA" w14:textId="77777777" w:rsidR="009D7677" w:rsidRDefault="009D7677" w:rsidP="009D7677">
      <w:pPr>
        <w:pStyle w:val="TextoNormal"/>
      </w:pPr>
    </w:p>
    <w:p w14:paraId="47D6E37C" w14:textId="77777777" w:rsidR="009D7677" w:rsidRDefault="009D7677" w:rsidP="009D7677">
      <w:pPr>
        <w:pStyle w:val="TextoNormal"/>
      </w:pPr>
      <w:r>
        <w:t>Con carácter previo al examen de las cuestiones de fondo planteadas en la demanda de amparo, deben hacerse las siguientes precisiones:</w:t>
      </w:r>
    </w:p>
    <w:p w14:paraId="09CA0C50" w14:textId="77777777" w:rsidR="009D7677" w:rsidRDefault="009D7677" w:rsidP="009D7677">
      <w:pPr>
        <w:pStyle w:val="TextoNormal"/>
      </w:pPr>
    </w:p>
    <w:p w14:paraId="11FDAB44" w14:textId="77777777" w:rsidR="009D7677" w:rsidRDefault="009D7677" w:rsidP="009D7677">
      <w:pPr>
        <w:pStyle w:val="TextoNormal"/>
      </w:pPr>
      <w:r>
        <w:t>a) Debe rechazarse la alegación de inadecuación del procedimiento de jurisdicción voluntaria por los motivos indicados en la STC 148/2023, FJ 2 b).</w:t>
      </w:r>
    </w:p>
    <w:p w14:paraId="555EC51B" w14:textId="77777777" w:rsidR="009D7677" w:rsidRDefault="009D7677" w:rsidP="009D7677">
      <w:pPr>
        <w:pStyle w:val="TextoNormal"/>
      </w:pPr>
    </w:p>
    <w:p w14:paraId="5A96F454" w14:textId="343440DF" w:rsidR="009D7677" w:rsidRDefault="009D7677" w:rsidP="009D7677">
      <w:pPr>
        <w:pStyle w:val="TextoNormal"/>
      </w:pPr>
      <w:r>
        <w:t>b) La demanda alega, como núcleo central de su pretensión, la vulneración del derecho a la integridad personal reconocido en el art. 15 CE, de modo que las quejas planteadas bajo la cobertura del art. 24.1 y 2 CE en relación con el principio de justicia rogada, el principio de carga de la prueba, la falta de motivación de la resolución judicial y el derecho a un juez imparcial, deben calificarse de instrumentales en relación con la queja de vulneración del derecho a la integridad personal.</w:t>
      </w:r>
    </w:p>
    <w:p w14:paraId="2521A17F" w14:textId="77777777" w:rsidR="009D7677" w:rsidRDefault="009D7677" w:rsidP="009D7677">
      <w:pPr>
        <w:pStyle w:val="TextoNormal"/>
      </w:pPr>
    </w:p>
    <w:p w14:paraId="1ED5C601" w14:textId="77777777" w:rsidR="009D7677" w:rsidRDefault="009D7677" w:rsidP="009D7677">
      <w:pPr>
        <w:pStyle w:val="TextoNormal"/>
      </w:pPr>
      <w:r w:rsidRPr="009D7677">
        <w:rPr>
          <w:rStyle w:val="NumeroAFNegritaCaracter"/>
        </w:rPr>
        <w:t>3</w:t>
      </w:r>
      <w:r>
        <w:t xml:space="preserve">. </w:t>
      </w:r>
      <w:r w:rsidRPr="009D7677">
        <w:rPr>
          <w:i/>
        </w:rPr>
        <w:t>Aplicación de la doctrina constitucional expuesta en la STC 148/2023, de 6 de noviembre</w:t>
      </w:r>
    </w:p>
    <w:p w14:paraId="1ED15E34" w14:textId="77777777" w:rsidR="009D7677" w:rsidRDefault="009D7677" w:rsidP="009D7677">
      <w:pPr>
        <w:pStyle w:val="TextoNormal"/>
      </w:pPr>
    </w:p>
    <w:p w14:paraId="259DFD6D" w14:textId="77777777" w:rsidR="009D7677" w:rsidRDefault="009D7677" w:rsidP="009D7677">
      <w:pPr>
        <w:pStyle w:val="TextoNormal"/>
      </w:pPr>
      <w:r>
        <w:t>La cuestión constitucional suscitada en este recurso en relación con el derecho fundamental a la integridad física y moral (art. 15 CE) es la misma que ya ha sido objeto de análisis por el Pleno de este tribunal en la STC 148/2023, en cuyos fundamentos jurídicos 4 y 5 se expusieron de manera pormenorizada las pautas de ponderación necesarias para determinar si en este tipo de supuestos se ha vulnerado el derecho a la integridad personal, centrando la cuestión en que la administración de la vacuna, a falta de consentimiento libre, válido e informado de la persona afectada, precisa para su constitucionalidad el cumplimiento de los requisitos generales que, de acuerdo con nuestra doctrina, rigen la restricción de los derechos fundamentales sustantivos.</w:t>
      </w:r>
    </w:p>
    <w:p w14:paraId="34C0A953" w14:textId="77777777" w:rsidR="009D7677" w:rsidRDefault="009D7677" w:rsidP="009D7677">
      <w:pPr>
        <w:pStyle w:val="TextoNormal"/>
      </w:pPr>
    </w:p>
    <w:p w14:paraId="47DF579E" w14:textId="67565DED" w:rsidR="009D7677" w:rsidRDefault="009D7677" w:rsidP="009D7677">
      <w:pPr>
        <w:pStyle w:val="TextoNormal"/>
      </w:pPr>
      <w:r>
        <w:t xml:space="preserve">En atención a lo expuesto, en este caso, como también se concluyó en la STC 148/2023, FJ 5, el Tribunal rechaza que se haya vulnerado el art. 15 CE al constatarse que (i) se cumple el presupuesto básico que el art. 9.3, letra c) de la Ley 41/2002 establece para que pueda acudirse al consentimiento por representación —otorgado por los progenitores de común acuerdo o por la autoridad judicial en caso de desacuerdo— porque, en este caso, el menor, de cinco años de edad al tiempo de iniciarse el procedimiento, carecía </w:t>
      </w:r>
      <w:r>
        <w:lastRenderedPageBreak/>
        <w:t>de la capacidad emocional e intelectual necesarias para comprender el alcance de la intervención; y los padres contaban con la información adecuada para la prestación del consentimiento desde un momento anterior incluso a la iniciación del procedimiento de jurisdicción voluntaria, por lo que no cabe apreciar la ausencia de consentimiento informado; y (ii) la motivación de las resoluciones judiciales tuvo como fundamento esencial la protección del interés superior del menor en relación con la protección de su salud, teniendo en cuenta la recomendación de las autoridades sanitarias, que se mostraban a favor de la vacunación de menores haciendo una ponderación de riesgos y beneficios de la vacuna, que el órgano judicial no estima desvirtuadas por los informes aportados por el recurrente.</w:t>
      </w:r>
    </w:p>
    <w:p w14:paraId="72FA0BFE" w14:textId="77777777" w:rsidR="009D7677" w:rsidRDefault="009D7677" w:rsidP="009D7677">
      <w:pPr>
        <w:pStyle w:val="TextoNormal"/>
      </w:pPr>
    </w:p>
    <w:p w14:paraId="21AE1F81" w14:textId="77777777" w:rsidR="009D7677" w:rsidRDefault="009D7677" w:rsidP="009D7677">
      <w:pPr>
        <w:pStyle w:val="TextoNormalCentrado"/>
        <w:keepNext/>
      </w:pPr>
      <w:r>
        <w:t>FALLO</w:t>
      </w:r>
    </w:p>
    <w:p w14:paraId="264F8F23" w14:textId="5533075B" w:rsidR="009D7677" w:rsidRDefault="009D7677" w:rsidP="009D7677">
      <w:pPr>
        <w:pStyle w:val="TextoNormalCentrado"/>
        <w:keepNext/>
      </w:pPr>
    </w:p>
    <w:p w14:paraId="4C3F4CB4" w14:textId="336E8077" w:rsidR="009D7677" w:rsidRDefault="009D7677" w:rsidP="009D7677">
      <w:pPr>
        <w:pStyle w:val="TextoNormal"/>
      </w:pPr>
      <w:r>
        <w:t>En atención a todo lo expuesto, el Tribunal Constitucional, por la autoridad que le confiere la Constitución de la Nación española, ha decidido desestimar el recurso de amparo interpuesto por doña L.C.R., y archivar su pieza separada de suspensión.</w:t>
      </w:r>
    </w:p>
    <w:p w14:paraId="76F0940C" w14:textId="77777777" w:rsidR="009D7677" w:rsidRDefault="009D7677" w:rsidP="009D7677">
      <w:pPr>
        <w:pStyle w:val="TextoNormal"/>
      </w:pPr>
    </w:p>
    <w:p w14:paraId="2AD44C51" w14:textId="77777777" w:rsidR="009D7677" w:rsidRDefault="009D7677" w:rsidP="009D7677">
      <w:pPr>
        <w:pStyle w:val="TextoNormal"/>
      </w:pPr>
      <w:r>
        <w:t>Publíquese esta sentencia en el “Boletín Oficial del Estado”.</w:t>
      </w:r>
    </w:p>
    <w:p w14:paraId="3593A4C5" w14:textId="77777777" w:rsidR="009D7677" w:rsidRDefault="009D7677" w:rsidP="009D7677">
      <w:pPr>
        <w:pStyle w:val="TextoNormal"/>
      </w:pPr>
      <w:r>
        <w:t>Dada en Madrid, a tres de junio de dos mil veinticuatro.</w:t>
      </w:r>
    </w:p>
    <w:p w14:paraId="2ED762C2" w14:textId="17F480C6" w:rsidR="009D7677" w:rsidRDefault="009D7677">
      <w:pPr>
        <w:spacing w:after="160" w:line="259" w:lineRule="auto"/>
        <w:rPr>
          <w:rFonts w:ascii="Times New Roman" w:eastAsia="Times New Roman" w:hAnsi="Times New Roman" w:cs="Times New Roman"/>
          <w:sz w:val="24"/>
          <w:szCs w:val="24"/>
          <w:lang w:eastAsia="es-ES"/>
        </w:rPr>
      </w:pPr>
      <w:r>
        <w:br w:type="page"/>
      </w:r>
    </w:p>
    <w:p w14:paraId="6396F42D" w14:textId="77777777" w:rsidR="009D7677" w:rsidRDefault="009D7677" w:rsidP="009D7677">
      <w:pPr>
        <w:pStyle w:val="TtuloResolucin"/>
      </w:pPr>
      <w:bookmarkStart w:id="86" w:name="SENTENCIA_2024_84"/>
      <w:r>
        <w:lastRenderedPageBreak/>
        <w:t>SENTENCIA 84/2024, de 3 de junio de 2024</w:t>
      </w:r>
    </w:p>
    <w:bookmarkEnd w:id="86"/>
    <w:p w14:paraId="356A34BE" w14:textId="77777777" w:rsidR="009D7677" w:rsidRDefault="009D7677" w:rsidP="009D7677">
      <w:pPr>
        <w:pStyle w:val="TtuloResolucin"/>
      </w:pPr>
      <w:r>
        <w:t>Sala Primera</w:t>
      </w:r>
    </w:p>
    <w:p w14:paraId="2C43CEFD" w14:textId="77777777" w:rsidR="009D7677" w:rsidRDefault="009D7677" w:rsidP="009D7677">
      <w:pPr>
        <w:pStyle w:val="TtuloBOE"/>
      </w:pPr>
      <w:r>
        <w:t>(BOE núm. 164, de 8 de julio de 2024)</w:t>
      </w:r>
    </w:p>
    <w:p w14:paraId="244F2F4D" w14:textId="77777777" w:rsidR="009D7677" w:rsidRDefault="009D7677" w:rsidP="009D7677">
      <w:pPr>
        <w:pStyle w:val="TextoNormalCentrado"/>
      </w:pPr>
      <w:r>
        <w:t>ECLI:ES:TC:2024:84</w:t>
      </w:r>
    </w:p>
    <w:p w14:paraId="039ADD92" w14:textId="6732D62B" w:rsidR="009D7677" w:rsidRDefault="009D7677" w:rsidP="009D7677">
      <w:pPr>
        <w:pStyle w:val="TextoNormalCentrado"/>
      </w:pPr>
    </w:p>
    <w:p w14:paraId="2D77E2C5" w14:textId="77777777" w:rsidR="009D7677" w:rsidRDefault="009D7677" w:rsidP="009D7677">
      <w:pPr>
        <w:pStyle w:val="SntesisDescriptiva"/>
      </w:pPr>
      <w:r>
        <w:t>Recurso de amparo 665-2023. Promovido por don José Antonio Aragonés Font respecto de las resoluciones dictadas por un juzgado de primera instancia de Alicante en juicio verbal de desahucio arrendaticio.</w:t>
      </w:r>
    </w:p>
    <w:p w14:paraId="1EB25B61" w14:textId="3B685B00" w:rsidR="009D7677" w:rsidRDefault="009D7677" w:rsidP="009D7677">
      <w:pPr>
        <w:pStyle w:val="SntesisDescriptiva"/>
      </w:pPr>
    </w:p>
    <w:p w14:paraId="63D9A8BB" w14:textId="77777777" w:rsidR="009D7677" w:rsidRDefault="009D7677" w:rsidP="009D7677">
      <w:pPr>
        <w:pStyle w:val="SntesisAnaltica"/>
      </w:pPr>
      <w:r>
        <w:t>Vulneración del derecho a la tutela judicial sin indefensión: emplazamiento mediante edictos del demandado sin agotar las posibilidades de notificación personal (STC 30/2014).</w:t>
      </w:r>
    </w:p>
    <w:p w14:paraId="1363C257" w14:textId="75233C9F" w:rsidR="009D7677" w:rsidRDefault="009D7677" w:rsidP="009D7677">
      <w:pPr>
        <w:pStyle w:val="SntesisAnaltica"/>
      </w:pPr>
    </w:p>
    <w:p w14:paraId="5E3EB699" w14:textId="5C219354" w:rsidR="009D7677" w:rsidRDefault="009D7677" w:rsidP="009D7677">
      <w:pPr>
        <w:pStyle w:val="Extracto"/>
      </w:pPr>
      <w:r>
        <w:t>1.</w:t>
      </w:r>
      <w:r>
        <w:tab/>
        <w:t>Se aplica la doctrina relativa a la vulneración de la tutela judicial efectiva, toda vez que el órgano judicial acude a la comunicación edictal sin haber agotado previamente las posibilidades razonables de averiguación del domicilio real del recurrente para proceder a la notificación personal, por alguno de los medios que brindan los arts. 155.3 y 156 LEC (STC 30/2014) [FJ 2].</w:t>
      </w:r>
    </w:p>
    <w:p w14:paraId="07D5A47C" w14:textId="77777777" w:rsidR="009D7677" w:rsidRDefault="009D7677" w:rsidP="009D7677">
      <w:pPr>
        <w:pStyle w:val="Extracto"/>
      </w:pPr>
    </w:p>
    <w:p w14:paraId="54F1CA04" w14:textId="77777777" w:rsidR="009D7677" w:rsidRDefault="009D7677" w:rsidP="009D7677">
      <w:pPr>
        <w:pStyle w:val="Extracto"/>
      </w:pPr>
    </w:p>
    <w:p w14:paraId="48B91511" w14:textId="77777777" w:rsidR="009D7677" w:rsidRDefault="009D7677" w:rsidP="009D7677">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5BBDE51C" w14:textId="0FABB12F" w:rsidR="009D7677" w:rsidRDefault="009D7677" w:rsidP="009D7677">
      <w:pPr>
        <w:pStyle w:val="TextoNormal"/>
      </w:pPr>
    </w:p>
    <w:p w14:paraId="0AD40CA2" w14:textId="77777777" w:rsidR="009D7677" w:rsidRDefault="009D7677" w:rsidP="009D7677">
      <w:pPr>
        <w:pStyle w:val="TextoNormalCentrado"/>
        <w:keepNext/>
      </w:pPr>
      <w:r>
        <w:t>EN NOMBRE DEL REY</w:t>
      </w:r>
    </w:p>
    <w:p w14:paraId="2CF74FAD" w14:textId="26B863A9" w:rsidR="009D7677" w:rsidRDefault="009D7677" w:rsidP="009D7677">
      <w:pPr>
        <w:pStyle w:val="TextoNormalCentrado"/>
        <w:keepNext/>
      </w:pPr>
    </w:p>
    <w:p w14:paraId="7945006C" w14:textId="77777777" w:rsidR="009D7677" w:rsidRDefault="009D7677" w:rsidP="009D7677">
      <w:pPr>
        <w:pStyle w:val="TextoNormalCentrado"/>
        <w:keepNext/>
      </w:pPr>
    </w:p>
    <w:p w14:paraId="25392316" w14:textId="77777777" w:rsidR="009D7677" w:rsidRDefault="009D7677" w:rsidP="009D7677">
      <w:pPr>
        <w:pStyle w:val="TextoNormal"/>
      </w:pPr>
      <w:r>
        <w:t>la siguiente</w:t>
      </w:r>
    </w:p>
    <w:p w14:paraId="36E54B58" w14:textId="158833D5" w:rsidR="009D7677" w:rsidRDefault="009D7677" w:rsidP="009D7677">
      <w:pPr>
        <w:pStyle w:val="TextoNormal"/>
      </w:pPr>
    </w:p>
    <w:p w14:paraId="21F0E4EB" w14:textId="77777777" w:rsidR="009D7677" w:rsidRDefault="009D7677" w:rsidP="009D7677">
      <w:pPr>
        <w:pStyle w:val="TextoNormalCentrado"/>
        <w:keepNext/>
      </w:pPr>
      <w:r>
        <w:t>SENTENCIA</w:t>
      </w:r>
    </w:p>
    <w:p w14:paraId="3DD832D7" w14:textId="2A232937" w:rsidR="009D7677" w:rsidRDefault="009D7677" w:rsidP="009D7677">
      <w:pPr>
        <w:pStyle w:val="TextoNormalCentrado"/>
        <w:keepNext/>
      </w:pPr>
    </w:p>
    <w:p w14:paraId="03313E2B" w14:textId="77777777" w:rsidR="009D7677" w:rsidRDefault="009D7677" w:rsidP="009D7677">
      <w:pPr>
        <w:pStyle w:val="TextoNormal"/>
      </w:pPr>
      <w:r>
        <w:t>En el recurso de amparo núm. 665-2023, promovido por don José Antonio Aragonés Font, contra el auto del Juzgado de Primera Instancia núm. 9 de Alicante de 15 de diciembre de 2022, que acordó no haber lugar a la nulidad de actuaciones instada por el recurrente en juicio verbal de desahucio arrendaticio. Ha actuado como parte personada doña Ionica Oana Mitran. Ha intervenido el Ministerio Fiscal. Ha sido ponente el magistrado don Ricardo Enríquez Sancho.</w:t>
      </w:r>
    </w:p>
    <w:p w14:paraId="3C9ED56F" w14:textId="1C04E77C" w:rsidR="009D7677" w:rsidRDefault="009D7677" w:rsidP="009D7677">
      <w:pPr>
        <w:pStyle w:val="TextoNormal"/>
      </w:pPr>
    </w:p>
    <w:p w14:paraId="3C22B497" w14:textId="77777777" w:rsidR="009D7677" w:rsidRDefault="009D7677" w:rsidP="009D7677">
      <w:pPr>
        <w:pStyle w:val="TextoNormalNegritaCentrado"/>
        <w:keepNext/>
      </w:pPr>
      <w:r>
        <w:t>I. Antecedentes</w:t>
      </w:r>
    </w:p>
    <w:p w14:paraId="7BA437CA" w14:textId="65FD2935" w:rsidR="009D7677" w:rsidRDefault="009D7677" w:rsidP="009D7677">
      <w:pPr>
        <w:pStyle w:val="TextoNormalNegritaCentrado"/>
        <w:keepNext/>
      </w:pPr>
    </w:p>
    <w:p w14:paraId="0A32346F" w14:textId="2F9EC3DC" w:rsidR="009D7677" w:rsidRDefault="009D7677" w:rsidP="009D7677">
      <w:pPr>
        <w:pStyle w:val="TextoNormal"/>
      </w:pPr>
      <w:r w:rsidRPr="009D7677">
        <w:rPr>
          <w:rStyle w:val="NumeroAFNegritaCaracter"/>
        </w:rPr>
        <w:t>1</w:t>
      </w:r>
      <w:r>
        <w:t>. Mediante escrito presentado en el registro general de este tribunal el 2 de febrero de 2023, el procurador de los tribunales don José Noguera Chaparro, actuando en nombre y representación de don José Antonio Aragonés Font, bajo la defensa letrada de doña Rafaela Escudero Martínez, formuló demanda de amparo contra la resolución arriba mencionada.</w:t>
      </w:r>
    </w:p>
    <w:p w14:paraId="5A8D9F63" w14:textId="77777777" w:rsidR="009D7677" w:rsidRDefault="009D7677" w:rsidP="009D7677">
      <w:pPr>
        <w:pStyle w:val="TextoNormal"/>
      </w:pPr>
    </w:p>
    <w:p w14:paraId="16FD0534" w14:textId="77777777" w:rsidR="009D7677" w:rsidRDefault="009D7677" w:rsidP="009D7677">
      <w:pPr>
        <w:pStyle w:val="TextoNormal"/>
      </w:pPr>
      <w:r w:rsidRPr="009D7677">
        <w:rPr>
          <w:rStyle w:val="NumeroAFNegritaCaracter"/>
        </w:rPr>
        <w:t>2</w:t>
      </w:r>
      <w:r>
        <w:t>. Los hechos con relevancia para la resolución del presente recurso de amparo y a los que se refiere la demanda presentada, son los siguientes:</w:t>
      </w:r>
    </w:p>
    <w:p w14:paraId="117510FF" w14:textId="77777777" w:rsidR="009D7677" w:rsidRDefault="009D7677" w:rsidP="009D7677">
      <w:pPr>
        <w:pStyle w:val="TextoNormal"/>
      </w:pPr>
    </w:p>
    <w:p w14:paraId="282753EB" w14:textId="77777777" w:rsidR="009D7677" w:rsidRDefault="009D7677" w:rsidP="009D7677">
      <w:pPr>
        <w:pStyle w:val="TextoNormal"/>
      </w:pPr>
      <w:r>
        <w:t>a) Don José Javier Torregrosa Vicedo formalizó contra doña Ionica Oana Mitran y contra el aquí recurrente en amparo, demanda de reclamación de rentas y desahucio por resolución de contrato de arrendamiento de la vivienda sita en el pasaje Leonardo da Vinci, 2º izda. de Alicante, por falta de pago de las rentas debidas, dando lugar a la apertura del procedimiento de juicio verbal de desahucio por falta de pago núm. 2054-2020, del Juzgado de Primera Instancia núm. 9 de Alicante.</w:t>
      </w:r>
    </w:p>
    <w:p w14:paraId="199D0846" w14:textId="77777777" w:rsidR="009D7677" w:rsidRDefault="009D7677" w:rsidP="009D7677">
      <w:pPr>
        <w:pStyle w:val="TextoNormal"/>
      </w:pPr>
    </w:p>
    <w:p w14:paraId="76E88A1F" w14:textId="77777777" w:rsidR="009D7677" w:rsidRDefault="009D7677" w:rsidP="009D7677">
      <w:pPr>
        <w:pStyle w:val="TextoNormal"/>
      </w:pPr>
      <w:r>
        <w:t>La citación de los demandados se llevó a cabo por el servicio común de notificaciones y embargos (SCNE) de Alicante en la vivienda arrendada, domicilio designado por el arrendador en su demanda. La citación a doña Ionica Oana Mitran fue positiva, no así la del recurrente en amparo. Con relación a don José Antonio Aragonés Font se extendió una diligencia de citación negativa el 25 de enero de 2021, en la que se recoge la manifestación de doña Ionica Oana Mitran que refiere que el recurrente y ella, “ya no son pareja y ya no viven juntos”.</w:t>
      </w:r>
    </w:p>
    <w:p w14:paraId="0DEC63E2" w14:textId="77777777" w:rsidR="009D7677" w:rsidRDefault="009D7677" w:rsidP="009D7677">
      <w:pPr>
        <w:pStyle w:val="TextoNormal"/>
      </w:pPr>
    </w:p>
    <w:p w14:paraId="72FA178F" w14:textId="77777777" w:rsidR="009D7677" w:rsidRDefault="009D7677" w:rsidP="009D7677">
      <w:pPr>
        <w:pStyle w:val="TextoNormal"/>
      </w:pPr>
      <w:r>
        <w:t>b) Tras esta diligencia negativa, el letrado de la administración de justicia dictó diligencia de ordenación de 28 de enero de 2021, por la que resolvió que:</w:t>
      </w:r>
    </w:p>
    <w:p w14:paraId="2134DD79" w14:textId="77777777" w:rsidR="009D7677" w:rsidRDefault="009D7677" w:rsidP="009D7677">
      <w:pPr>
        <w:pStyle w:val="TextoNormal"/>
      </w:pPr>
    </w:p>
    <w:p w14:paraId="0A732222" w14:textId="77777777" w:rsidR="009D7677" w:rsidRDefault="009D7677" w:rsidP="009D7677">
      <w:pPr>
        <w:pStyle w:val="TextoNormal"/>
      </w:pPr>
      <w:r>
        <w:t>“Habiendo resultado negativa la diligencia del SCNE en cuanto al demandado, señor Aragonés Font, y de conformidad con lo establecido en los artículos 156.4 y 164 de la LEC acuerdo:</w:t>
      </w:r>
    </w:p>
    <w:p w14:paraId="24DDE35D" w14:textId="77777777" w:rsidR="009D7677" w:rsidRDefault="009D7677" w:rsidP="009D7677">
      <w:pPr>
        <w:pStyle w:val="TextoNormal"/>
      </w:pPr>
    </w:p>
    <w:p w14:paraId="727873F5" w14:textId="77777777" w:rsidR="009D7677" w:rsidRDefault="009D7677" w:rsidP="009D7677">
      <w:pPr>
        <w:pStyle w:val="TextoNormal"/>
      </w:pPr>
      <w:r>
        <w:t>1.- Notificar y citar a la parte demandada señor Aragonés Font por medio de edicto, que se fijará en el tablón de anuncios de este juzgado 10 días”.</w:t>
      </w:r>
    </w:p>
    <w:p w14:paraId="77742CD3" w14:textId="77777777" w:rsidR="009D7677" w:rsidRDefault="009D7677" w:rsidP="009D7677">
      <w:pPr>
        <w:pStyle w:val="TextoNormal"/>
      </w:pPr>
    </w:p>
    <w:p w14:paraId="2C1DA56A" w14:textId="77777777" w:rsidR="009D7677" w:rsidRDefault="009D7677" w:rsidP="009D7677">
      <w:pPr>
        <w:pStyle w:val="TextoNormal"/>
      </w:pPr>
      <w:r>
        <w:t>c) Efectuada al recurrente en amparo la notificación por edicto y al haberse personado y opuesto la otra arrendataria, por diligencia de ordenación del letrado de la administración de justicia de 10 de junio de 2021 se acordó citar a las partes a una vista fijada para el 25 de noviembre de 2021, a la que no compareció el recurrente.</w:t>
      </w:r>
    </w:p>
    <w:p w14:paraId="58818CE7" w14:textId="77777777" w:rsidR="009D7677" w:rsidRDefault="009D7677" w:rsidP="009D7677">
      <w:pPr>
        <w:pStyle w:val="TextoNormal"/>
      </w:pPr>
    </w:p>
    <w:p w14:paraId="47FAC102" w14:textId="77777777" w:rsidR="009D7677" w:rsidRDefault="009D7677" w:rsidP="009D7677">
      <w:pPr>
        <w:pStyle w:val="TextoNormal"/>
      </w:pPr>
      <w:r>
        <w:t>d) Celebrada la vista, el mismo día se dictó sentencia estimatoria de la demanda interpuesta contra doña Ionica y el recurrente, declarando la resolución del contrato de arrendamiento suscrito y condenando a los demandados a desalojar la vivienda bajo apercibimiento de lanzamiento, así como al abono de la cantidad de cinco mil seiscientos tres euros (5603 €), más las rentas que se devengasen hasta la entrega de la posesión efectiva de la finca.</w:t>
      </w:r>
    </w:p>
    <w:p w14:paraId="0425B7C9" w14:textId="77777777" w:rsidR="009D7677" w:rsidRDefault="009D7677" w:rsidP="009D7677">
      <w:pPr>
        <w:pStyle w:val="TextoNormal"/>
      </w:pPr>
    </w:p>
    <w:p w14:paraId="12D0E2C7" w14:textId="77777777" w:rsidR="009D7677" w:rsidRDefault="009D7677" w:rsidP="009D7677">
      <w:pPr>
        <w:pStyle w:val="TextoNormal"/>
      </w:pPr>
      <w:r>
        <w:t>La sentencia fue notificada al recurrente por edicto publicado en el “Boletín Oficial del Estado” de 2 de diciembre de 2021. Una vez declarada firme, por diligencia de ordenación del letrado de la administración de justicia de 25 de enero de 2022, se acordó la remisión de testimonio de dicha sentencia para abrir la ejecución.</w:t>
      </w:r>
    </w:p>
    <w:p w14:paraId="671BB8DF" w14:textId="77777777" w:rsidR="009D7677" w:rsidRDefault="009D7677" w:rsidP="009D7677">
      <w:pPr>
        <w:pStyle w:val="TextoNormal"/>
      </w:pPr>
    </w:p>
    <w:p w14:paraId="1DF1F83F" w14:textId="77777777" w:rsidR="009D7677" w:rsidRDefault="009D7677" w:rsidP="009D7677">
      <w:pPr>
        <w:pStyle w:val="TextoNormal"/>
      </w:pPr>
      <w:r>
        <w:t xml:space="preserve">e) La pieza de ejecución, que fue registrada con el núm. 227-2022, se despachó por auto del mismo juzgado de 28 de marzo de 2022, notificado al recurrente en amparo junto </w:t>
      </w:r>
      <w:r>
        <w:lastRenderedPageBreak/>
        <w:t>con la demanda ejecutiva y el decreto de medidas de apremio, por edicto publicado en el “BOE” de 5 de abril de 2022.</w:t>
      </w:r>
    </w:p>
    <w:p w14:paraId="6F0F59B9" w14:textId="77777777" w:rsidR="009D7677" w:rsidRDefault="009D7677" w:rsidP="009D7677">
      <w:pPr>
        <w:pStyle w:val="TextoNormal"/>
      </w:pPr>
    </w:p>
    <w:p w14:paraId="6E9F6517" w14:textId="77777777" w:rsidR="009D7677" w:rsidRDefault="009D7677" w:rsidP="009D7677">
      <w:pPr>
        <w:pStyle w:val="TextoNormal"/>
      </w:pPr>
      <w:r>
        <w:t>En este procedimiento de ejecución, el 7 de septiembre de 2022 se dictó por el letrado de la administración de justicia un decreto de mejora de embargo de la parte proporcional del sueldo y demás emolumentos que pudiera percibir el recurrente de la mercantil Máquinas de Venta, S.L., donde presta sus servicios.</w:t>
      </w:r>
    </w:p>
    <w:p w14:paraId="42F30B63" w14:textId="77777777" w:rsidR="009D7677" w:rsidRDefault="009D7677" w:rsidP="009D7677">
      <w:pPr>
        <w:pStyle w:val="TextoNormal"/>
      </w:pPr>
    </w:p>
    <w:p w14:paraId="4301FE80" w14:textId="77777777" w:rsidR="009D7677" w:rsidRDefault="009D7677" w:rsidP="009D7677">
      <w:pPr>
        <w:pStyle w:val="TextoNormal"/>
      </w:pPr>
      <w:r>
        <w:t>f) El recurrente se personó en el trámite de ejecución el 5 de octubre de 2022 y el 3 de noviembre del mismo año formuló incidente de nulidad de actuaciones, aduciendo que se había acordado la notificación por edicto de la demanda de ejecución y la documentación aneja, cuando en el trámite de averiguación patrimonial obrante en autos se habían obtenido dos domicilios del recurrente.</w:t>
      </w:r>
    </w:p>
    <w:p w14:paraId="4CD27EFC" w14:textId="77777777" w:rsidR="009D7677" w:rsidRDefault="009D7677" w:rsidP="009D7677">
      <w:pPr>
        <w:pStyle w:val="TextoNormal"/>
      </w:pPr>
    </w:p>
    <w:p w14:paraId="677FAB76" w14:textId="77777777" w:rsidR="009D7677" w:rsidRDefault="009D7677" w:rsidP="009D7677">
      <w:pPr>
        <w:pStyle w:val="TextoNormal"/>
      </w:pPr>
      <w:r>
        <w:t>Este incidente de nulidad fue estimado mediante auto del juzgado de primera instancia de 15 de mayo de 2023, por el que se complementó y varió la resolución inicial de 14 de febrero de 2023 que primeramente había desestimado la nulidad, acordándose la retroacción de las actuaciones de ejecución. El auto de 15 de mayo de 2023 reconoció que tras las medidas de averiguación patrimonial se habían conocido dos posibles domicilios del recurrente y que no se había intentado en los mismos la notificación personal de la demanda de ejecución.</w:t>
      </w:r>
    </w:p>
    <w:p w14:paraId="1CB6D9B2" w14:textId="77777777" w:rsidR="009D7677" w:rsidRDefault="009D7677" w:rsidP="009D7677">
      <w:pPr>
        <w:pStyle w:val="TextoNormal"/>
      </w:pPr>
    </w:p>
    <w:p w14:paraId="5BFBC89F" w14:textId="77777777" w:rsidR="009D7677" w:rsidRDefault="009D7677" w:rsidP="009D7677">
      <w:pPr>
        <w:pStyle w:val="TextoNormal"/>
      </w:pPr>
      <w:r>
        <w:t>g) En este mismo procedimiento de ejecución núm. 227-2022, tras la retroacción de actuaciones, el recurrente planteó incidente de oposición a la ejecución, en el que invocó la nulidad del título ejecutivo (sentencia firme de desahucio) por incumplimiento de las normas procesales que regulan la notificación y el emplazamiento en el proceso declarativo. Fue desestimado por auto del órgano judicial de 18 de septiembre de 2023, que ordenó seguir adelante con la ejecución despachada. El auto argumentó que la sentencia que se dictó se ajustaba a la regulación existente para los emplazamientos en el juicio verbal de desahucio.</w:t>
      </w:r>
    </w:p>
    <w:p w14:paraId="3CA224F0" w14:textId="77777777" w:rsidR="009D7677" w:rsidRDefault="009D7677" w:rsidP="009D7677">
      <w:pPr>
        <w:pStyle w:val="TextoNormal"/>
      </w:pPr>
    </w:p>
    <w:p w14:paraId="747EF30C" w14:textId="77777777" w:rsidR="009D7677" w:rsidRDefault="009D7677" w:rsidP="009D7677">
      <w:pPr>
        <w:pStyle w:val="TextoNormal"/>
      </w:pPr>
      <w:r>
        <w:t xml:space="preserve">h) En el procedimiento declarativo de desahucio, en la misma fecha en la que se presentó el incidente de nulidad del procedimiento de ejecución al que hemos hecho referencia, el recurrente presentó otro incidente de nulidad de las actuaciones, por falta de diligencia del órgano judicial, por incumplimiento de las normas de la Ley de enjuiciamiento civil (LEC) sobre el emplazamiento de las partes; de la jurisprudencia europea (citando la STEDH de 15 de diciembre de 2020, asunto </w:t>
      </w:r>
      <w:r w:rsidRPr="009D7677">
        <w:rPr>
          <w:i/>
        </w:rPr>
        <w:t>Karesvaara y Njie c. España</w:t>
      </w:r>
      <w:r>
        <w:t xml:space="preserve">) y la de este tribunal (con cita de las SSTC 181/2015, de 7 de septiembre; 137/2017, de 27 de noviembre, y 62/2022, de 9 de mayo), al no haber agotado todas las posibilidades de averiguación de su domicilio. El escrito explica que, tras la diligencia negativa de notificación al recurrente en el inmueble arrendado, el juzgado </w:t>
      </w:r>
      <w:r w:rsidRPr="009D7677">
        <w:rPr>
          <w:i/>
        </w:rPr>
        <w:t>a quo</w:t>
      </w:r>
      <w:r>
        <w:t xml:space="preserve"> no requirió a la parte demandante en la instancia para que indicara otro posible domicilio del demandado; no intentó ponerse en contacto con él a través de la dirección de correo electrónico que aparecía en el contrato de arrendamiento y tampoco realizó una averiguación domiciliaria por medio del punto neutro judicial. Alega el recurrente que tuvo conocimiento del procedimiento, así como de su ejecución, cuando recibió la notificación del embargo sobre su cuenta bancaria y el oficio remitido a la mercantil en la que trabaja por cuenta ajena, para el embargo de la parte proporcional de su salario.</w:t>
      </w:r>
    </w:p>
    <w:p w14:paraId="20D861E3" w14:textId="77777777" w:rsidR="009D7677" w:rsidRDefault="009D7677" w:rsidP="009D7677">
      <w:pPr>
        <w:pStyle w:val="TextoNormal"/>
      </w:pPr>
    </w:p>
    <w:p w14:paraId="0AF408C6" w14:textId="77777777" w:rsidR="009D7677" w:rsidRDefault="009D7677" w:rsidP="009D7677">
      <w:pPr>
        <w:pStyle w:val="TextoNormal"/>
      </w:pPr>
      <w:r>
        <w:t xml:space="preserve">i) El juzgado </w:t>
      </w:r>
      <w:r w:rsidRPr="009D7677">
        <w:rPr>
          <w:i/>
        </w:rPr>
        <w:t>a quo</w:t>
      </w:r>
      <w:r>
        <w:t>, tras la tramitación del incidente de nulidad en el procedimiento declarativo de desahucio, dictó auto el 15 de diciembre de 2022, en sentido desestimatorio. Después de extractar el art. 155 apartado 4 y el art. 164 apartado 4 LEC, al que por error identifica con el art. 440.3 de la misma ley, razona en el fundamento cuarto (al que, también por error, identifica como segundo) lo siguiente:</w:t>
      </w:r>
    </w:p>
    <w:p w14:paraId="7D8AC48E" w14:textId="77777777" w:rsidR="009D7677" w:rsidRDefault="009D7677" w:rsidP="009D7677">
      <w:pPr>
        <w:pStyle w:val="TextoNormal"/>
      </w:pPr>
    </w:p>
    <w:p w14:paraId="65278AD0" w14:textId="77777777" w:rsidR="009D7677" w:rsidRDefault="009D7677" w:rsidP="009D7677">
      <w:pPr>
        <w:pStyle w:val="TextoNormal"/>
      </w:pPr>
      <w:r>
        <w:t>“Partiendo del contenido de los preceptos antes transcritos y analizado el curso del procedimiento se advierte que se ha intentado la notificación del señor Aragonés en el domicilio de la vivienda objeto del arrendamiento.</w:t>
      </w:r>
    </w:p>
    <w:p w14:paraId="19F2BBFC" w14:textId="77777777" w:rsidR="009D7677" w:rsidRDefault="009D7677" w:rsidP="009D7677">
      <w:pPr>
        <w:pStyle w:val="TextoNormal"/>
      </w:pPr>
    </w:p>
    <w:p w14:paraId="2A7CE00E" w14:textId="77777777" w:rsidR="009D7677" w:rsidRDefault="009D7677" w:rsidP="009D7677">
      <w:pPr>
        <w:pStyle w:val="TextoNormal"/>
      </w:pPr>
      <w:r>
        <w:t>El 25 de enero de 2021, el servicio común de notificaciones y embargos, intenta efectuar la notificación y citación del señor Aragonés en la vivienda indicando la codemandada que ‘ya no son pareja y ya no viven juntos’.</w:t>
      </w:r>
    </w:p>
    <w:p w14:paraId="5401CAC3" w14:textId="77777777" w:rsidR="009D7677" w:rsidRDefault="009D7677" w:rsidP="009D7677">
      <w:pPr>
        <w:pStyle w:val="TextoNormal"/>
      </w:pPr>
    </w:p>
    <w:p w14:paraId="5A5008EB" w14:textId="365460FF" w:rsidR="009D7677" w:rsidRDefault="009D7677" w:rsidP="009D7677">
      <w:pPr>
        <w:pStyle w:val="TextoNormal"/>
      </w:pPr>
      <w:r>
        <w:t>No se ha acreditado que el señor Aragonés comunicara a la parte actora cualquier cambio de domicilio a efectos de notificaciones. Motivo por el cual, la actuación desarrollada por el Juzgado de acudir a la vía edictal sin efectuar consulta al punto neutro judicial es ajustada al contenido de la LEC [Ley de enjuiciamiento civil]. Lo que determina que la nulidad invocada no pueda prosperar”.</w:t>
      </w:r>
    </w:p>
    <w:p w14:paraId="20EC8F5F" w14:textId="77777777" w:rsidR="009D7677" w:rsidRDefault="009D7677" w:rsidP="009D7677">
      <w:pPr>
        <w:pStyle w:val="TextoNormal"/>
      </w:pPr>
    </w:p>
    <w:p w14:paraId="1D9456A4" w14:textId="77777777" w:rsidR="009D7677" w:rsidRDefault="009D7677" w:rsidP="009D7677">
      <w:pPr>
        <w:pStyle w:val="TextoNormal"/>
      </w:pPr>
      <w:r w:rsidRPr="009D7677">
        <w:rPr>
          <w:rStyle w:val="NumeroAFNegritaCaracter"/>
        </w:rPr>
        <w:t>3</w:t>
      </w:r>
      <w:r>
        <w:t>. La demanda de amparo impugna el auto dictado por el juzgado encargado del procedimiento de desahucio, de 15 de diciembre de 2022, desestimatorio de la nulidad de actuaciones. Denuncia la vulneración del derecho a la tutela judicial efectiva sin indefensión (art. 24.1 CE), el derecho a un proceso judicial con todas las garantías (art. 24.2 CE), así como el artículo 6 del Convenio europeo de derechos humanos (CEDH), en relación con los artículos 155, 156, 164 y 166 LEC, al infringir el órgano judicial las normas procesales que regulan la notificación y emplazamiento de las partes, la jurisprudencia constitucional que los interpreta y la jurisprudencia europea.</w:t>
      </w:r>
    </w:p>
    <w:p w14:paraId="672D5ADA" w14:textId="77777777" w:rsidR="009D7677" w:rsidRDefault="009D7677" w:rsidP="009D7677">
      <w:pPr>
        <w:pStyle w:val="TextoNormal"/>
      </w:pPr>
    </w:p>
    <w:p w14:paraId="3FBEA7C5" w14:textId="77777777" w:rsidR="009D7677" w:rsidRDefault="009D7677" w:rsidP="009D7677">
      <w:pPr>
        <w:pStyle w:val="TextoNormal"/>
      </w:pPr>
      <w:r>
        <w:t>En línea con lo expuesto en el incidente de nulidad, señala que el órgano judicial acudió de manera indebida a la notificación edictal, después de que el SCNE extendiera una diligencia de notificación negativa para el juicio de desahucio en el domicilio arrendado (pasaje Leonardo da Vinci 2 de Alicante), haciendo constar expresamente que el recurrente ya no vivía allí. Argumenta que se ha producido una total falta de diligencia por parte del juzgado al acordar directamente la citación mediante edictos, sin que previamente se hubiese requerido al demandante de instancia para que pudiera indicar otro posible domicilio de aquel, ni se intentara la comunicación a través de la dirección de correo electrónico que constaba en el contrato, ni tampoco se instara la averiguación del domicilio a través del punto neutro judicial.</w:t>
      </w:r>
    </w:p>
    <w:p w14:paraId="299CF4B5" w14:textId="77777777" w:rsidR="009D7677" w:rsidRDefault="009D7677" w:rsidP="009D7677">
      <w:pPr>
        <w:pStyle w:val="TextoNormal"/>
      </w:pPr>
    </w:p>
    <w:p w14:paraId="045672A2" w14:textId="77777777" w:rsidR="009D7677" w:rsidRDefault="009D7677" w:rsidP="009D7677">
      <w:pPr>
        <w:pStyle w:val="TextoNormal"/>
      </w:pPr>
      <w:r>
        <w:t xml:space="preserve">Invoca como doctrina infringida las SSTC 30/2014, de 24 de febrero; 94/2021, de 10 de mayo; 54/2022, de 4 de abril; 62/2022, y 139/2022, de 14 de noviembre, en orden a la necesidad de realizar una interpretación </w:t>
      </w:r>
      <w:r w:rsidRPr="009D7677">
        <w:rPr>
          <w:i/>
        </w:rPr>
        <w:t>secundum constitutionem</w:t>
      </w:r>
      <w:r>
        <w:t xml:space="preserve"> del art. 164 LEC y, consecuencia de ello, la obligación de que el órgano judicial agote todas las gestiones previstas en el art. 155.3 LEC para la averiguación del domicilio del demandado antes de acudir a la citación edictal. También invoca la STEDH de 15 de diciembre de 2020, asunto </w:t>
      </w:r>
      <w:r w:rsidRPr="009D7677">
        <w:rPr>
          <w:i/>
        </w:rPr>
        <w:t>Karesvaara y Njie c. España</w:t>
      </w:r>
      <w:r>
        <w:t xml:space="preserve">, que declaró la vulneración del art. 6 CEDH, por la actuación de </w:t>
      </w:r>
      <w:r>
        <w:lastRenderedPageBreak/>
        <w:t>un juzgado de primera instancia que acordó la notificación por edictos de una demanda de desahucio sin que se hubieran agotado las posibilidades de localización de los demandados.</w:t>
      </w:r>
    </w:p>
    <w:p w14:paraId="3E62A888" w14:textId="77777777" w:rsidR="009D7677" w:rsidRDefault="009D7677" w:rsidP="009D7677">
      <w:pPr>
        <w:pStyle w:val="TextoNormal"/>
      </w:pPr>
    </w:p>
    <w:p w14:paraId="23F5B363" w14:textId="69FBE35C" w:rsidR="009D7677" w:rsidRDefault="009D7677" w:rsidP="009D7677">
      <w:pPr>
        <w:pStyle w:val="TextoNormal"/>
      </w:pPr>
      <w:r>
        <w:t>En el suplico de la demanda, se solicita de este tribunal el dictado de sentencia estimatoria del amparo que declare la nulidad del auto de 15 de diciembre de 2022 dictado por el Juzgado de Primera Instancia núm. 9 de Alicante; se retrotraiga el procedimiento de desahucio al momento inmediatamente anterior al dictado de la diligencia de ordenación de 28 de enero de 2021 (por error alude al 25 de enero), para que se le emplace en forma y, como consecuencia de lo anterior, se acuerde también la nulidad del procedimiento de ejecución derivado de la sentencia de desahucio, tramitado ante el mismo juzgado.</w:t>
      </w:r>
    </w:p>
    <w:p w14:paraId="780F2BEC" w14:textId="77777777" w:rsidR="009D7677" w:rsidRDefault="009D7677" w:rsidP="009D7677">
      <w:pPr>
        <w:pStyle w:val="TextoNormal"/>
      </w:pPr>
    </w:p>
    <w:p w14:paraId="6632A02F" w14:textId="77777777" w:rsidR="009D7677" w:rsidRDefault="009D7677" w:rsidP="009D7677">
      <w:pPr>
        <w:pStyle w:val="TextoNormal"/>
      </w:pPr>
      <w:r w:rsidRPr="009D7677">
        <w:rPr>
          <w:rStyle w:val="NumeroAFNegritaCaracter"/>
        </w:rPr>
        <w:t>4</w:t>
      </w:r>
      <w:r>
        <w:t>. La Sección Segunda de este Tribunal Constitucional dictó providencia el 11 de septiembre de 2023 del siguiente tenor:</w:t>
      </w:r>
    </w:p>
    <w:p w14:paraId="68909815" w14:textId="77777777" w:rsidR="009D7677" w:rsidRDefault="009D7677" w:rsidP="009D7677">
      <w:pPr>
        <w:pStyle w:val="TextoNormal"/>
      </w:pPr>
    </w:p>
    <w:p w14:paraId="5161A654" w14:textId="77777777" w:rsidR="009D7677" w:rsidRDefault="009D7677" w:rsidP="009D7677">
      <w:pPr>
        <w:pStyle w:val="TextoNormal"/>
      </w:pPr>
      <w:r>
        <w:t>“La Sección ha examinado el recurso de amparo y ha acordado admitirlo a trámite, apreciando que concurre en el mismo una especial trascendencia constitucional (art. 50.1 LOTC) como consecuencia de que el Órgano judicial pudiera haber incurrido en una negativa manifiesta del deber de acatamiento de la doctrina de este tribunal [STC 155/2009, FJ 2 f)].</w:t>
      </w:r>
    </w:p>
    <w:p w14:paraId="1516EDDB" w14:textId="77777777" w:rsidR="009D7677" w:rsidRDefault="009D7677" w:rsidP="009D7677">
      <w:pPr>
        <w:pStyle w:val="TextoNormal"/>
      </w:pPr>
    </w:p>
    <w:p w14:paraId="35C80E78" w14:textId="454BB3C9" w:rsidR="009D7677" w:rsidRDefault="009D7677" w:rsidP="009D7677">
      <w:pPr>
        <w:pStyle w:val="TextoNormal"/>
      </w:pPr>
      <w:r>
        <w:t>Por ello, en aplicación de lo dispuesto en el art. 51 LOTC, diríjase atenta comunicación al Juzgado de Primera Instancia núm. 9 de Alicante a fin de que, en plazo que no exceda de diez días, remita certificación o fotocopia adverada de las actuaciones correspondientes al juicio verbal por desahucio y reclamación de rentas núm. 2054-2020 y procedimiento de ejecución núm. 227-2022, debiendo previamente emplazarse, para que en el plazo de diez días puedan comparecer, si lo desean, en el recurso de amparo a quienes hubieran sido parte en el procedimiento, excepto la parte recurrente en amparo”.</w:t>
      </w:r>
    </w:p>
    <w:p w14:paraId="33EB4430" w14:textId="77777777" w:rsidR="009D7677" w:rsidRDefault="009D7677" w:rsidP="009D7677">
      <w:pPr>
        <w:pStyle w:val="TextoNormal"/>
      </w:pPr>
    </w:p>
    <w:p w14:paraId="1BF67814" w14:textId="233B8EC6" w:rsidR="009D7677" w:rsidRDefault="009D7677" w:rsidP="009D7677">
      <w:pPr>
        <w:pStyle w:val="TextoNormal"/>
      </w:pPr>
      <w:r w:rsidRPr="009D7677">
        <w:rPr>
          <w:rStyle w:val="NumeroAFNegritaCaracter"/>
        </w:rPr>
        <w:t>5</w:t>
      </w:r>
      <w:r>
        <w:t xml:space="preserve">. El día 23 de noviembre de 2023, se presentó escrito por el procurador de los tribunales don José Manuel Gutiérrez Martín designado por el turno de asistencia jurídica gratuita del Ilustre Colegio de Procuradores de Alicante, en representación de doña Ionica Oana Mitran. En este escrito, el procurador solicitó que, habiendo transcurrido la presente </w:t>
      </w:r>
      <w:r w:rsidRPr="009D7677">
        <w:rPr>
          <w:i/>
        </w:rPr>
        <w:t>litis</w:t>
      </w:r>
      <w:r>
        <w:t xml:space="preserve"> en Alicante y siendo beneficiaria su representada del beneficio de asistencia jurídica gratuita, se librase oficio al Ilustre Colegio de Procuradores de Madrid al efecto del nombramiento a doña Ionica de nuevo procurador o procuradora de oficio.</w:t>
      </w:r>
    </w:p>
    <w:p w14:paraId="575BA6A4" w14:textId="77777777" w:rsidR="009D7677" w:rsidRDefault="009D7677" w:rsidP="009D7677">
      <w:pPr>
        <w:pStyle w:val="TextoNormal"/>
      </w:pPr>
    </w:p>
    <w:p w14:paraId="232FA979" w14:textId="7224EEB7" w:rsidR="009D7677" w:rsidRDefault="009D7677" w:rsidP="009D7677">
      <w:pPr>
        <w:pStyle w:val="TextoNormal"/>
      </w:pPr>
      <w:r w:rsidRPr="009D7677">
        <w:rPr>
          <w:rStyle w:val="NumeroAFNegritaCaracter"/>
        </w:rPr>
        <w:t>6</w:t>
      </w:r>
      <w:r>
        <w:t>. Por diligencia de ordenación de 24 de noviembre de 2023 de la Secretaría de Justicia de la Sección Segunda de este tribunal, se proveyó el escrito del procurador don José Manuel Gutiérrez Martín y se acordó librar oficio al Ilustre Colegio de Procuradores de Madrid a fin de que procedieran a la designación de procurador del turno de oficio para doña Ionica.</w:t>
      </w:r>
    </w:p>
    <w:p w14:paraId="6B993C14" w14:textId="77777777" w:rsidR="009D7677" w:rsidRDefault="009D7677" w:rsidP="009D7677">
      <w:pPr>
        <w:pStyle w:val="TextoNormal"/>
      </w:pPr>
    </w:p>
    <w:p w14:paraId="30D4A75F" w14:textId="77798D5A" w:rsidR="009D7677" w:rsidRDefault="009D7677" w:rsidP="009D7677">
      <w:pPr>
        <w:pStyle w:val="TextoNormal"/>
      </w:pPr>
      <w:r w:rsidRPr="009D7677">
        <w:rPr>
          <w:rStyle w:val="NumeroAFNegritaCaracter"/>
        </w:rPr>
        <w:t>7</w:t>
      </w:r>
      <w:r>
        <w:t>. Mediante nueva diligencia de ordenación de 15 de diciembre de 2023, la Secretaría de Justicia de la Sección Segunda de este tribunal tuvo por personada a la procuradora doña María Mercedes Ruiz-Gopegui González, designada por el turno de asistencia jurídica gratuita del Ilustre Colegio de Procuradores de Madrid, para actuar en nombre y repre</w:t>
      </w:r>
      <w:r>
        <w:lastRenderedPageBreak/>
        <w:t>sentación de doña Ionica Oana Mitran y acordó conceder a las partes personadas y al Ministerio Fiscal un plazo común de veinte días, a fin de que pudieran formular alegaciones conforme determina el art. 52.1 LOTC.</w:t>
      </w:r>
    </w:p>
    <w:p w14:paraId="1DF90A2C" w14:textId="77777777" w:rsidR="009D7677" w:rsidRDefault="009D7677" w:rsidP="009D7677">
      <w:pPr>
        <w:pStyle w:val="TextoNormal"/>
      </w:pPr>
    </w:p>
    <w:p w14:paraId="2C2D1703" w14:textId="573D8B78" w:rsidR="009D7677" w:rsidRDefault="009D7677" w:rsidP="009D7677">
      <w:pPr>
        <w:pStyle w:val="TextoNormal"/>
      </w:pPr>
      <w:r w:rsidRPr="009D7677">
        <w:rPr>
          <w:rStyle w:val="NumeroAFNegritaCaracter"/>
        </w:rPr>
        <w:t>8</w:t>
      </w:r>
      <w:r>
        <w:t>. La representación procesal de doña Ionica Oana Mitran presentó su escrito el día 24 de enero de 2024, por el que se opuso a la estimación del recurso de amparo. Argumenta que conforme a los artículos 155 y 164.4 LEC (por error se refiere al art. 440.3 LEC), los actos de comunicación deben efectuarse en la vivienda o local arrendado y del examen de las actuaciones se evidencia que por el juzgado de primera instancia se intentó la notificación del recurrente en el domicilio de la vivienda objeto del arrendamiento, siendo esta diligencia negativa porque la señora Mitran, que ocupa la vivienda, y el citado recurrente ya no eran pareja y no vivían juntos. Añade que este último no ha acreditado que comunicara al arrendador, ni a ella misma, el nuevo domicilio a efecto de notificaciones. De esta forma, concluye, lo que pretende el recurrente con esta demanda de amparo es eludir sus obligaciones arrendaticias.</w:t>
      </w:r>
    </w:p>
    <w:p w14:paraId="2DA36F34" w14:textId="77777777" w:rsidR="009D7677" w:rsidRDefault="009D7677" w:rsidP="009D7677">
      <w:pPr>
        <w:pStyle w:val="TextoNormal"/>
      </w:pPr>
    </w:p>
    <w:p w14:paraId="3B607080" w14:textId="77777777" w:rsidR="009D7677" w:rsidRDefault="009D7677" w:rsidP="009D7677">
      <w:pPr>
        <w:pStyle w:val="TextoNormal"/>
      </w:pPr>
      <w:r w:rsidRPr="009D7677">
        <w:rPr>
          <w:rStyle w:val="NumeroAFNegritaCaracter"/>
        </w:rPr>
        <w:t>9</w:t>
      </w:r>
      <w:r>
        <w:t>. La fiscal ante este Tribunal Constitucional presentó escrito de alegaciones el 14 de febrero de 2024, por el que interesó de este tribunal que se dictase sentencia otorgando el amparo solicitado por vulneración del derecho a la tutela judicial efectiva sin indefensión, con nulidad del auto de 15 de diciembre de 2022 por el que se rechaza la nulidad de actuaciones planteada en el juicio verbal núm. 2054-2020 del Juzgado de Primera Instancia núm. 9 de Alicante, y la retroacción de actuaciones al momento del dictado del decreto de admisión a trámite de la demanda, de fecha 13 de enero de 2021, “debiendo llevarse a cabo el emplazamiento de la parte demandada de forma que resulte respetuosa con el derecho fundamental reconocido”.</w:t>
      </w:r>
    </w:p>
    <w:p w14:paraId="1968A6DD" w14:textId="77777777" w:rsidR="009D7677" w:rsidRDefault="009D7677" w:rsidP="009D7677">
      <w:pPr>
        <w:pStyle w:val="TextoNormal"/>
      </w:pPr>
    </w:p>
    <w:p w14:paraId="6738FE39" w14:textId="77777777" w:rsidR="009D7677" w:rsidRDefault="009D7677" w:rsidP="009D7677">
      <w:pPr>
        <w:pStyle w:val="TextoNormal"/>
      </w:pPr>
      <w:r>
        <w:t xml:space="preserve">Luego de resumir los hechos relevantes del caso, el derecho fundamental que se alega como lesionado (derecho a la tutela judicial efectiva sin indefensión, art. 24.1 CE, y derecho a un proceso con todas las garantías, art. 24.2 CE) y la regulación legal aplicable, el escrito de alegaciones de la fiscal afirma que este Tribunal Constitucional tiene fijada una consolidada doctrina sobre el derecho a la tutela judicial efectiva en su manifestación de acceso al proceso, en relación con los actos de comunicación, citando la STC 136/2014, de 8 de septiembre, de la que reproduce parte de su fundamento jurídico 2; y sobre la vulneración del derecho a la tutela judicial efectiva sin indefensión por haber acudido el órgano judicial al emplazamiento edictal sin haber agotado previamente los mecanismos previstos en la Ley de enjuiciamiento civil, citando la STC 137/2017, que se refiere expresamente a esta cuestión en los procedimientos sobre desahucio arrendaticio. Reproduce parte del fundamento jurídico 6 de la citada sentencia, cuando afirma que a la aplicación de esta doctrina no cabe contraponer la normativa introducida por las reformas realizadas por las leyes 37/2011, de 10 de octubre, y 4/2013, de 4 de junio, destinadas a promover la agilización procesal y la flexibilización y fomento del mercado de alquiler de viviendas. Cita también la STC 62/2022, que en su fundamento jurídico 2, reitera esta doctrina. Por último, en relación con la aplicación del art. 6 CEDH, se refiere a la STEDH dictada en el asunto </w:t>
      </w:r>
      <w:r w:rsidRPr="009D7677">
        <w:rPr>
          <w:i/>
        </w:rPr>
        <w:t>Karesvaara y Njie c. España</w:t>
      </w:r>
      <w:r>
        <w:t xml:space="preserve">, el 15 de diciembre de 2020, resolución también citada, precisa la fiscal, por el demandante de amparo en su escrito de nulidad de actuaciones, por cuanto contempla un supuesto de hecho semejante al del presente recurso de amparo, al tratarse de un procedimiento de desahucio en el que los demandantes en el proceso </w:t>
      </w:r>
      <w:r w:rsidRPr="009D7677">
        <w:rPr>
          <w:i/>
        </w:rPr>
        <w:t xml:space="preserve">a </w:t>
      </w:r>
      <w:r w:rsidRPr="009D7677">
        <w:rPr>
          <w:i/>
        </w:rPr>
        <w:lastRenderedPageBreak/>
        <w:t>quo</w:t>
      </w:r>
      <w:r>
        <w:t xml:space="preserve"> del que conoció el Tribunal Europeo de Derechos Humanos fueron citados por edictos tras el intento de notificación en la vivienda arrendada.</w:t>
      </w:r>
    </w:p>
    <w:p w14:paraId="42351550" w14:textId="77777777" w:rsidR="009D7677" w:rsidRDefault="009D7677" w:rsidP="009D7677">
      <w:pPr>
        <w:pStyle w:val="TextoNormal"/>
      </w:pPr>
    </w:p>
    <w:p w14:paraId="1F702A7B" w14:textId="77777777" w:rsidR="009D7677" w:rsidRDefault="009D7677" w:rsidP="009D7677">
      <w:pPr>
        <w:pStyle w:val="TextoNormal"/>
      </w:pPr>
      <w:r>
        <w:t>Trasladada esa doctrina al caso concreto, concluye la fiscal que el juzgado omitió cualquier intento de averiguación de un domicilio del recurrente en el que efectuar su emplazamiento válido pues, de la única diligencia de notificación efectuada, resultó debidamente acreditado que la vivienda objeto del arrendamiento no era ya su domicilio, pasando a la inmediata notificación por edictos sin que se efectuara consulta alguna al punto neutro judicial, o bien se requiriera al demandante de instancia la indicación de otro posible domicilio del recurrente, o se intentara contactar con él mediante la dirección de correo electrónico que figuraba en el contrato de arrendamiento. Añade que ninguna dificultad habría existido para la averiguación del domicilio, teniendo en cuenta que en el subsiguiente procedimiento de ejecución núm. 227-2022, derivado de la sentencia dictada en el juicio de desahucio, el mismo juzgado, a los efectos de averiguación patrimonial del recurrente, procedió a efectuar una consulta al punto neutro judicial que arrojó como resultado la obtención de otros dos posibles domicilios de aquel, y el de la empresa donde presta sus servicios, de modo que se pudo ordenar el embargo de sus cuentas y la retención de parte de su salario, medidas que, además, propiciaron que el demandante de amparo tuviera conocimiento del procedimiento de ejecución que se había dirigido contra él.</w:t>
      </w:r>
    </w:p>
    <w:p w14:paraId="6AEB4EC2" w14:textId="77777777" w:rsidR="009D7677" w:rsidRDefault="009D7677" w:rsidP="009D7677">
      <w:pPr>
        <w:pStyle w:val="TextoNormal"/>
      </w:pPr>
    </w:p>
    <w:p w14:paraId="4F79A74C" w14:textId="13E17382" w:rsidR="009D7677" w:rsidRDefault="009D7677" w:rsidP="009D7677">
      <w:pPr>
        <w:pStyle w:val="TextoNormal"/>
      </w:pPr>
      <w:r>
        <w:t xml:space="preserve">Según el escrito de la fiscal, este proceder del juzgado, a la luz de la doctrina de este tribunal, “contraviene la interpretación </w:t>
      </w:r>
      <w:r w:rsidRPr="009D7677">
        <w:rPr>
          <w:i/>
        </w:rPr>
        <w:t>secundum constitutionem</w:t>
      </w:r>
      <w:r>
        <w:t xml:space="preserve"> que cabe efectuar de la normativa que regula los actos de comunicación en la Ley de enjuiciamiento civil, integrando las específicas medidas que se establecen en las reformas de agilización procesal para el procedimiento de desahucio, con las ineludibles exigencias de agotamiento de las posibilidades de comunicación eficaz que, en aras de preservar la posibilidad del ejercicio de una adecuada defensa, deben desplegar los juzgados”.</w:t>
      </w:r>
    </w:p>
    <w:p w14:paraId="18828176" w14:textId="77777777" w:rsidR="009D7677" w:rsidRDefault="009D7677" w:rsidP="009D7677">
      <w:pPr>
        <w:pStyle w:val="TextoNormal"/>
      </w:pPr>
    </w:p>
    <w:p w14:paraId="4F6C58BE" w14:textId="1D010AFA" w:rsidR="009D7677" w:rsidRDefault="009D7677" w:rsidP="009D7677">
      <w:pPr>
        <w:pStyle w:val="TextoNormal"/>
      </w:pPr>
      <w:r w:rsidRPr="009D7677">
        <w:rPr>
          <w:rStyle w:val="NumeroAFNegritaCaracter"/>
        </w:rPr>
        <w:t>10</w:t>
      </w:r>
      <w:r>
        <w:t>. La Secretaría de Justicia de la Sección Segunda de este tribunal dictó diligencia de 15 de febrero de 2024 haciendo constar la recepción del escrito de alegaciones del Ministerio Fiscal y de la procuradora doña Mercedes Ruiz-Gopegui González en nombre y representación de doña Ionica Oana Mitran; así como la preclusión del plazo otorgado al recurrente sin que este presentara alegaciones, quedando concluso el procedimiento.</w:t>
      </w:r>
    </w:p>
    <w:p w14:paraId="6FD444DD" w14:textId="77777777" w:rsidR="009D7677" w:rsidRDefault="009D7677" w:rsidP="009D7677">
      <w:pPr>
        <w:pStyle w:val="TextoNormal"/>
      </w:pPr>
    </w:p>
    <w:p w14:paraId="1154ACA1" w14:textId="786F5009" w:rsidR="009D7677" w:rsidRDefault="009D7677" w:rsidP="009D7677">
      <w:pPr>
        <w:pStyle w:val="TextoNormal"/>
      </w:pPr>
      <w:r w:rsidRPr="009D7677">
        <w:rPr>
          <w:rStyle w:val="NumeroAFNegritaCaracter"/>
        </w:rPr>
        <w:t>11</w:t>
      </w:r>
      <w:r>
        <w:t>. Mediante providencia de 3 de junio de 2024, se señaló ese mismo día para deliberación y votación de la presente sentencia.</w:t>
      </w:r>
    </w:p>
    <w:p w14:paraId="7DD31AC5" w14:textId="77777777" w:rsidR="009D7677" w:rsidRDefault="009D7677" w:rsidP="009D7677">
      <w:pPr>
        <w:pStyle w:val="TextoNormal"/>
      </w:pPr>
    </w:p>
    <w:p w14:paraId="1D3FF2AD" w14:textId="77777777" w:rsidR="009D7677" w:rsidRDefault="009D7677" w:rsidP="009D7677">
      <w:pPr>
        <w:pStyle w:val="TextoNormalNegritaCentrado"/>
        <w:keepNext/>
      </w:pPr>
      <w:r>
        <w:t>II. Fundamentos jurídicos</w:t>
      </w:r>
    </w:p>
    <w:p w14:paraId="53A839C2" w14:textId="77BCB385" w:rsidR="009D7677" w:rsidRDefault="009D7677" w:rsidP="009D7677">
      <w:pPr>
        <w:pStyle w:val="TextoNormalNegritaCentrado"/>
        <w:keepNext/>
      </w:pPr>
    </w:p>
    <w:p w14:paraId="7A3F3929" w14:textId="77777777" w:rsidR="009D7677" w:rsidRDefault="009D7677" w:rsidP="009D7677">
      <w:pPr>
        <w:pStyle w:val="TextoNormal"/>
      </w:pPr>
      <w:r w:rsidRPr="009D7677">
        <w:rPr>
          <w:rStyle w:val="NumeroAFNegritaCaracter"/>
        </w:rPr>
        <w:t>1</w:t>
      </w:r>
      <w:r>
        <w:t xml:space="preserve">. </w:t>
      </w:r>
      <w:r w:rsidRPr="009D7677">
        <w:rPr>
          <w:i/>
        </w:rPr>
        <w:t>Objeto del proceso</w:t>
      </w:r>
    </w:p>
    <w:p w14:paraId="748FCD0A" w14:textId="77777777" w:rsidR="009D7677" w:rsidRDefault="009D7677" w:rsidP="009D7677">
      <w:pPr>
        <w:pStyle w:val="TextoNormal"/>
      </w:pPr>
    </w:p>
    <w:p w14:paraId="57791230" w14:textId="77777777" w:rsidR="009D7677" w:rsidRDefault="009D7677" w:rsidP="009D7677">
      <w:pPr>
        <w:pStyle w:val="TextoNormal"/>
      </w:pPr>
      <w:r>
        <w:t>a) Se formula demanda de amparo contra el auto del Juzgado de Primera Instancia núm. 9 de Alicante, de 15 de diciembre de 2022, que desestimó el incidente de nulidad de actuaciones promovido por el aquí recurrente, quien fue uno de los demandados en el juicio verbal de reclamación de rentas y extinción de contrato de arrendamiento con desahucio de la finca arrendada (procedimiento núm. 2054-2020).</w:t>
      </w:r>
    </w:p>
    <w:p w14:paraId="69B0D295" w14:textId="77777777" w:rsidR="009D7677" w:rsidRDefault="009D7677" w:rsidP="009D7677">
      <w:pPr>
        <w:pStyle w:val="TextoNormal"/>
      </w:pPr>
    </w:p>
    <w:p w14:paraId="7FBFD0CF" w14:textId="77777777" w:rsidR="009D7677" w:rsidRDefault="009D7677" w:rsidP="009D7677">
      <w:pPr>
        <w:pStyle w:val="TextoNormal"/>
      </w:pPr>
      <w:r>
        <w:lastRenderedPageBreak/>
        <w:t>Frente a dicha resolución judicial alega indefensión (art. 24.1 CE) y vulneración del derecho a un proceso judicial con todas las garantías (art. 24.2 CE), al haber sido emplazado por medio de edictos tras el intento fallido de notificación en la vivienda arrendada, sin que el juzgado hubiera realizado otra diligencia de localización. Como se ha expuesto en los antecedentes, el recurrente afirma que solo ha tenido conocimiento del procedimiento de desahucio cuando este ya había finalizado e instado en su contra la ejecución de la condena dineraria por las rentas devengadas, en concreto en el momento que le notifican el embargo de una cuenta corriente de la que es titular, así como de la parte proporcional de su sueldo.</w:t>
      </w:r>
    </w:p>
    <w:p w14:paraId="1D897C2A" w14:textId="77777777" w:rsidR="009D7677" w:rsidRDefault="009D7677" w:rsidP="009D7677">
      <w:pPr>
        <w:pStyle w:val="TextoNormal"/>
      </w:pPr>
    </w:p>
    <w:p w14:paraId="3B8B4D6D" w14:textId="77777777" w:rsidR="009D7677" w:rsidRDefault="009D7677" w:rsidP="009D7677">
      <w:pPr>
        <w:pStyle w:val="TextoNormal"/>
      </w:pPr>
      <w:r>
        <w:t>La pretensión de la demanda es apoyada por la fiscal ante este tribunal en su escrito de alegaciones, solicitando el otorgamiento del amparo al incumplir el órgano judicial con el deber de agotar las gestiones para el emplazamiento personal del demandado aquí recurrente. La representación procesal de doña Ionica Oana Mitran se ha opuesto a la estimación del recurso.</w:t>
      </w:r>
    </w:p>
    <w:p w14:paraId="5631D39D" w14:textId="77777777" w:rsidR="009D7677" w:rsidRDefault="009D7677" w:rsidP="009D7677">
      <w:pPr>
        <w:pStyle w:val="TextoNormal"/>
      </w:pPr>
    </w:p>
    <w:p w14:paraId="5A7707D0" w14:textId="77777777" w:rsidR="009D7677" w:rsidRDefault="009D7677" w:rsidP="009D7677">
      <w:pPr>
        <w:pStyle w:val="TextoNormal"/>
      </w:pPr>
      <w:r>
        <w:t>b) Así planteado el debate, debe advertirse que el mismo día en que el recurrente interpuso el incidente de nulidad en el juicio verbal de desahucio, también formuló otro incidente de nulidad frente a las actuaciones de ejecución de la sentencia de desahucio, por el que interesó su retroacción hasta el auto de 28 de marzo de 2022 que acordó la orden de ejecución y que fue notificada por edictos. Este incidente, que aún no se había resuelto cuando se presentó la demanda de amparo, fue finalmente estimado porque el órgano judicial había acordado la notificación edictal del auto que despachó ejecución sin intentar su notificación personal en los domicilios del ejecutado que se obtuvieron tras la consulta al punto neutro judicial para la averiguación de bienes. Tras la retroacción de actuaciones, el recurrente de amparo formuló incidente de oposición a la ejecución en el que invocó la nulidad del título ejecutivo, pretensión que fue desestimada por auto de 18 de septiembre 2023, que ordenó seguir adelante con la ejecución al considerar que la sentencia de desahucio se ajustaba a las reglas para los emplazamientos de ese tipo de juicios, por lo que no era nula.</w:t>
      </w:r>
    </w:p>
    <w:p w14:paraId="2609D37A" w14:textId="77777777" w:rsidR="009D7677" w:rsidRDefault="009D7677" w:rsidP="009D7677">
      <w:pPr>
        <w:pStyle w:val="TextoNormal"/>
      </w:pPr>
    </w:p>
    <w:p w14:paraId="2FE09B89" w14:textId="67074B49" w:rsidR="009D7677" w:rsidRDefault="009D7677" w:rsidP="009D7677">
      <w:pPr>
        <w:pStyle w:val="TextoNormal"/>
      </w:pPr>
      <w:r>
        <w:t>En cualquier caso, como hemos declarado, entre otras, en la STC 82/2021, de 19 de abril, FFJJ 1 y 2 c), y en el fallo, dada la conexión causal directa entre el procedimiento de ejecución y el procedimiento declarativo en el que se dictó la resolución que sirve de título de ejecución, los efectos de la estimación de la presente demanda de amparo alcanzarían a la ejecución posterior, sin necesidad de haber tenido que formalizar un recurso de amparo independiente contra lo actuado en este otro procedimiento.</w:t>
      </w:r>
    </w:p>
    <w:p w14:paraId="3A82B5AD" w14:textId="77777777" w:rsidR="009D7677" w:rsidRDefault="009D7677" w:rsidP="009D7677">
      <w:pPr>
        <w:pStyle w:val="TextoNormal"/>
      </w:pPr>
    </w:p>
    <w:p w14:paraId="0831E87E" w14:textId="77777777" w:rsidR="009D7677" w:rsidRDefault="009D7677" w:rsidP="009D7677">
      <w:pPr>
        <w:pStyle w:val="TextoNormal"/>
      </w:pPr>
      <w:r w:rsidRPr="009D7677">
        <w:rPr>
          <w:rStyle w:val="NumeroAFNegritaCaracter"/>
        </w:rPr>
        <w:t>2</w:t>
      </w:r>
      <w:r>
        <w:t xml:space="preserve">. </w:t>
      </w:r>
      <w:r w:rsidRPr="009D7677">
        <w:rPr>
          <w:i/>
        </w:rPr>
        <w:t>Aplicación de la doctrina de la STC 30/2014</w:t>
      </w:r>
    </w:p>
    <w:p w14:paraId="0649E4BC" w14:textId="77777777" w:rsidR="009D7677" w:rsidRDefault="009D7677" w:rsidP="009D7677">
      <w:pPr>
        <w:pStyle w:val="TextoNormal"/>
      </w:pPr>
    </w:p>
    <w:p w14:paraId="23A38289" w14:textId="77777777" w:rsidR="009D7677" w:rsidRDefault="009D7677" w:rsidP="009D7677">
      <w:pPr>
        <w:pStyle w:val="TextoNormal"/>
      </w:pPr>
      <w:r>
        <w:t>a) Con relación al problema jurídico constitucional que aquí se suscita, este tribunal ha declarado en la STC 82/2021, FJ 2, y reiterado en la STC 97/2021, de 10 de mayo, FJ 2, lo siguiente:</w:t>
      </w:r>
    </w:p>
    <w:p w14:paraId="16D271B7" w14:textId="77777777" w:rsidR="009D7677" w:rsidRDefault="009D7677" w:rsidP="009D7677">
      <w:pPr>
        <w:pStyle w:val="TextoNormal"/>
      </w:pPr>
    </w:p>
    <w:p w14:paraId="136A73F7" w14:textId="77777777" w:rsidR="009D7677" w:rsidRDefault="009D7677" w:rsidP="009D7677">
      <w:pPr>
        <w:pStyle w:val="TextoNormal"/>
      </w:pPr>
      <w:r>
        <w:t xml:space="preserve">“Tanto la Ley 13/2009, de 3 de noviembre, de reforma de la legislación procesal para la implantación de la nueva oficina judicial, que modificó el art. 686 LEC introduciendo un párrafo tercero, como la Ley 19/2009, de 23 de noviembre, de medidas de fomento y agilización procesal del alquiler y de la eficiencia energética de los edificios, que modificó el </w:t>
      </w:r>
      <w:r>
        <w:lastRenderedPageBreak/>
        <w:t>art. 164 LEC introduciendo un párrafo cuarto, previeron como medidas para la agilización de los procesos ejecutivos hipotecarios y declarativos de desahucio de arrendamiento, respectivamente, que bastaría el intento fallido de emplazamiento del ejecutado o demandado en el domicilio fijado a tales efectos en el contrato correspondiente o en su caso el informado de manera fehaciente con posterioridad por aquel, para dar por agotado este trámite y pasar a la vía de los edictos, sin tener que realizar las gestiones que para su efectiva localización ordena el art. 155.3 LEC en diversos registros públicos.</w:t>
      </w:r>
    </w:p>
    <w:p w14:paraId="016D360C" w14:textId="77777777" w:rsidR="009D7677" w:rsidRDefault="009D7677" w:rsidP="009D7677">
      <w:pPr>
        <w:pStyle w:val="TextoNormal"/>
      </w:pPr>
    </w:p>
    <w:p w14:paraId="2E354B3F" w14:textId="77777777" w:rsidR="009D7677" w:rsidRDefault="009D7677" w:rsidP="009D7677">
      <w:pPr>
        <w:pStyle w:val="TextoNormal"/>
      </w:pPr>
      <w:r>
        <w:t xml:space="preserve">Contra la aplicación literal de estos preceptos y sus consecuencias en orden a causar indefensión, sin embargo, se pronunció este Tribunal Constitucional tanto en la STC 122/2013, de 20 de mayo, respecto del art. 686.3 LEC, como poco tiempo después en la STC 30/2014, de 24 de febrero, respecto del art. 164 LEC; proclamando en ambos casos el deber judicial de realizar una interpretación </w:t>
      </w:r>
      <w:r w:rsidRPr="009D7677">
        <w:rPr>
          <w:i/>
        </w:rPr>
        <w:t>secundum constitutionem</w:t>
      </w:r>
      <w:r>
        <w:t xml:space="preserve"> de tales normas, lo que comporta que ante el resultado infructuoso del intento de emplazamiento en el domicilio señalado en el contrato, el órgano judicial ha de agotar las gestiones previstas en el art. 155.3 LEC para localizar al ejecutado o demandado, antes de acudir a los edictos, instrumento este que tiene siempre un carácter subsidiario”.</w:t>
      </w:r>
    </w:p>
    <w:p w14:paraId="52AEA1B2" w14:textId="77777777" w:rsidR="009D7677" w:rsidRDefault="009D7677" w:rsidP="009D7677">
      <w:pPr>
        <w:pStyle w:val="TextoNormal"/>
      </w:pPr>
    </w:p>
    <w:p w14:paraId="29A16784" w14:textId="77777777" w:rsidR="009D7677" w:rsidRDefault="009D7677" w:rsidP="009D7677">
      <w:pPr>
        <w:pStyle w:val="TextoNormal"/>
      </w:pPr>
      <w:r>
        <w:t>Esta misma STC 82/2021 declaró que si bien el art. 686.3 LEC, con relación al procedimiento de ejecución hipotecaria, fue modificado por la Ley 19/2015, de 13 de julio, de medidas de reforma administrativa en el ámbito de la administración de justicia y del registro civil, al establecer la obligación de que la oficina judicial realice “las averiguaciones pertinentes para determinar el domicilio del deudor” antes de acudir a la comunicación edictal; por el contrario, y sin que se alcancen a entender las razones de ello, el legislador ha mantenido la misma dicción del art. 164 párrafo cuarto LEC, según la cual:</w:t>
      </w:r>
    </w:p>
    <w:p w14:paraId="7A66B654" w14:textId="77777777" w:rsidR="009D7677" w:rsidRDefault="009D7677" w:rsidP="009D7677">
      <w:pPr>
        <w:pStyle w:val="TextoNormal"/>
      </w:pPr>
    </w:p>
    <w:p w14:paraId="54379BEF" w14:textId="77777777" w:rsidR="009D7677" w:rsidRDefault="009D7677" w:rsidP="009D7677">
      <w:pPr>
        <w:pStyle w:val="TextoNormal"/>
      </w:pPr>
      <w:r>
        <w:t>“En los procesos de desahucio de finca urbana o rústica por falta de pago de rentas o cantidades debidas o por expiración legal o contractual del plazo y en los procesos de reclamación de estas rentas o cantidades debidas, cuando no pudiere hallarse al arrendatario ni efectuarle la comunicación al arrendatario en los domicilios designados en el párrafo segundo del apartado 3 del artículo 155, ni hubiese comunicado de forma fehaciente con posterioridad al contrato un nuevo domicilio al arrendador, al que este no se hubiese opuesto, se procederá, sin más trámites, a fijar la cédula de citación o requerimiento en el tablón de anuncios de la oficina judicial”.</w:t>
      </w:r>
    </w:p>
    <w:p w14:paraId="0A6F1AAC" w14:textId="77777777" w:rsidR="009D7677" w:rsidRDefault="009D7677" w:rsidP="009D7677">
      <w:pPr>
        <w:pStyle w:val="TextoNormal"/>
      </w:pPr>
    </w:p>
    <w:p w14:paraId="154B0405" w14:textId="77777777" w:rsidR="009D7677" w:rsidRDefault="009D7677" w:rsidP="009D7677">
      <w:pPr>
        <w:pStyle w:val="TextoNormal"/>
      </w:pPr>
      <w:r>
        <w:t>El art. 155.3 párrafo segundo se refiere a su vez al domicilio que las partes hayan acordado en el contrato de arrendamiento a efecto de notificaciones, y solo a falta de tal indicación expresa, añade, tal domicilio “será, a todos los efectos, el de la vivienda o local arrendado”.</w:t>
      </w:r>
    </w:p>
    <w:p w14:paraId="02E165B1" w14:textId="77777777" w:rsidR="009D7677" w:rsidRDefault="009D7677" w:rsidP="009D7677">
      <w:pPr>
        <w:pStyle w:val="TextoNormal"/>
      </w:pPr>
    </w:p>
    <w:p w14:paraId="51DC1451" w14:textId="77777777" w:rsidR="009D7677" w:rsidRDefault="009D7677" w:rsidP="009D7677">
      <w:pPr>
        <w:pStyle w:val="TextoNormal"/>
      </w:pPr>
      <w:r>
        <w:t xml:space="preserve">Aunque no se aplica a este caso por razones temporales, el reciente Real Decreto-ley 6/2023, de 19 de diciembre, por el que se aprueban medidas urgentes para la ejecución del plan de recuperación, transformación y resiliencia en materia de servicio público de justicia, función pública, régimen local y mecenazgo, que ha entrado en vigor el 20 de marzo de 2024, sigue manteniendo la misma redacción de la norma pese a modificar el art. 164 LEC. El artículo 103.30 de este real decreto-ley ha suprimido el párrafo segundo del precepto, referido a la publicación del edicto en los boletines y diarios de difusión, de forma </w:t>
      </w:r>
      <w:r>
        <w:lastRenderedPageBreak/>
        <w:t>que la redacción extractada que, reiteramos, se mantiene, ha pasado a ser el párrafo tercero del precepto.</w:t>
      </w:r>
    </w:p>
    <w:p w14:paraId="55CCD96D" w14:textId="77777777" w:rsidR="009D7677" w:rsidRDefault="009D7677" w:rsidP="009D7677">
      <w:pPr>
        <w:pStyle w:val="TextoNormal"/>
      </w:pPr>
    </w:p>
    <w:p w14:paraId="29435317" w14:textId="77777777" w:rsidR="009D7677" w:rsidRDefault="009D7677" w:rsidP="009D7677">
      <w:pPr>
        <w:pStyle w:val="TextoNormal"/>
      </w:pPr>
      <w:r>
        <w:t>b) En lo que interesa destacar, la reciente sentencia STC 27/2023, de 17 de abril, FJ 2, ha recordado la doctrina de la STC 30/2014, con relación al deber de los órganos judiciales de agotar racionalmente los medios de averiguación del domicilio del demandado a los efectos de su emplazamiento personal en los procesos de desahucio arrendaticio, antes de acudir a la notificación por edictos. Esta sentencia declara:</w:t>
      </w:r>
    </w:p>
    <w:p w14:paraId="5F20DCBA" w14:textId="77777777" w:rsidR="009D7677" w:rsidRDefault="009D7677" w:rsidP="009D7677">
      <w:pPr>
        <w:pStyle w:val="TextoNormal"/>
      </w:pPr>
    </w:p>
    <w:p w14:paraId="46AFFADF" w14:textId="77777777" w:rsidR="009D7677" w:rsidRDefault="009D7677" w:rsidP="009D7677">
      <w:pPr>
        <w:pStyle w:val="TextoNormal"/>
      </w:pPr>
      <w:r>
        <w:t>“Respecto de los procesos de reclamación de rentas y de los desahucios arrendaticios, como es el caso que ha dado origen a este recurso de amparo, hay que tener en cuenta también la doctrina que venimos reiterando desde la STC 30/2014, de 24 de febrero, FJ 5, respecto de lo dispuesto en el párrafo cuarto del art. 164 LEC. Conforme a este precepto, es posible acudir a la notificación por edictos cuando no se haya podido realizar la notificación al arrendatario en los domicilios designados en el párrafo segundo del apartado 3 del art. 155 LEC, esto es, el domicilio a efectos de notificaciones que se indique en el contrato de arrendamiento o el domicilio del inmueble arrendado, ni hubiese comunicado el arrendatario de forma fehaciente con posterioridad al contrato un nuevo domicilio al arrendador, al que este no se hubiese opuesto.</w:t>
      </w:r>
    </w:p>
    <w:p w14:paraId="4CCB641B" w14:textId="77777777" w:rsidR="009D7677" w:rsidRDefault="009D7677" w:rsidP="009D7677">
      <w:pPr>
        <w:pStyle w:val="TextoNormal"/>
      </w:pPr>
    </w:p>
    <w:p w14:paraId="22B20C61" w14:textId="77777777" w:rsidR="009D7677" w:rsidRDefault="009D7677" w:rsidP="009D7677">
      <w:pPr>
        <w:pStyle w:val="TextoNormal"/>
      </w:pPr>
      <w:r>
        <w:t>A pesar de la literalidad de la norma, indicamos en aquella sentencia que en un supuesto de desahucio por falta de pago la diligencia del órgano judicial ‘requiere la concurrencia de dos elementos: uno, el agotamiento previo de los medios de comunicación ordinarios; y dos, la convicción del órgano judicial de que, al ser desconocido el domicilio o ignorado el paradero del interesado, resultan inviables o inútiles los otros medios de comunicación procesal. Como hemos destacado en la STC 176/2009, de 16 de julio, FJ 2, los órganos judiciales, para el cumplimiento de este deber, deben agotar todas las posibilidades que racionalmente se les ofrezcan, específicamente las que figuran en los arts. 155 y 156 de la Ley de enjuiciamiento civil de 2000, donde se especifican algunas de esas fuentes de búsqueda para alcanzar el emplazamiento personal de la parte’. Esta doctrina se ha mantenido invariable con posterioridad, y así puede verse recogida en otras sentencias de este tribunal como las SSTC 181/2015, de 7 de septiembre, FJ 5; 62/2020, de 15 de junio, FJ 3; 82/2021 de 19 de abril, FJ 2 a); 97/2021, de 10 de mayo, FJ 2; 54/2022, de 4 de abril, FJ 2; 62/2022, de 9 de mayo, FJ 2; 73/2022, de 13 de junio, FJ 2, y 139/2022, de 14 de noviembre, FJ 2”.</w:t>
      </w:r>
    </w:p>
    <w:p w14:paraId="26F50F9D" w14:textId="77777777" w:rsidR="009D7677" w:rsidRDefault="009D7677" w:rsidP="009D7677">
      <w:pPr>
        <w:pStyle w:val="TextoNormal"/>
      </w:pPr>
    </w:p>
    <w:p w14:paraId="4238B744" w14:textId="77777777" w:rsidR="009D7677" w:rsidRDefault="009D7677" w:rsidP="009D7677">
      <w:pPr>
        <w:pStyle w:val="TextoNormal"/>
      </w:pPr>
      <w:r>
        <w:t xml:space="preserve">c) Además de la doctrina transcrita, el escrito de demanda invoca en su apoyo, y también el escrito de alegaciones de la fiscal, la STEDH de 15 de diciembre de 2020, asunto </w:t>
      </w:r>
      <w:r w:rsidRPr="009D7677">
        <w:rPr>
          <w:i/>
        </w:rPr>
        <w:t>Karesvaara y Njie c. España</w:t>
      </w:r>
      <w:r>
        <w:t xml:space="preserve">, que estimó la denuncia de vulneración del art. 6 CEDH, (derecho a un proceso equitativo), con ocasión de un juicio de desahucio ante un juzgado de primera instancia en España en el que, tras la citación negativa del demandado en el inmueble arrendado, el juzgado acudió directamente a la citación por edictos. El Tribunal Europeo de Derechos Humanos (§ 54 a 58 de la sentencia) no consideró que las autoridades nacionales hubieran tomado las medidas que podrían haberse esperado legítima y razonablemente, sin ningún intento adicional de notificación personal, y reconoció expresamente que tal proceder no se ajustaba a las obligaciones que le incumben al juzgado de primera instancia en virtud de los artículos 155 y 156 LEC, en la interpretación dada por este Tribunal Constitucional. El Tribunal Europeo de Derechos Humanos destaca que tal </w:t>
      </w:r>
      <w:r>
        <w:lastRenderedPageBreak/>
        <w:t>labor no parecía muy compleja, ya que, como ocurre en el presente supuesto litigioso, en el posterior procedimiento de ejecución se localizaron rápidamente los bienes de los demandantes, así como domicilios alternativos.</w:t>
      </w:r>
    </w:p>
    <w:p w14:paraId="46BE3EBA" w14:textId="77777777" w:rsidR="009D7677" w:rsidRDefault="009D7677" w:rsidP="009D7677">
      <w:pPr>
        <w:pStyle w:val="TextoNormal"/>
      </w:pPr>
    </w:p>
    <w:p w14:paraId="65A21001" w14:textId="77777777" w:rsidR="009D7677" w:rsidRDefault="009D7677" w:rsidP="009D7677">
      <w:pPr>
        <w:pStyle w:val="TextoNormal"/>
      </w:pPr>
      <w:r>
        <w:t>La STEDH (§ 57 y 58) concluye que con tal proceder el órgano judicial no fue diligente en notificar a los demandantes el procedimiento de desahucio y que no se les dio a estos una oportunidad razonable de tomar parte en dicho proceso, sin que, además, se encontrara prueba alguna en el expediente que pudiera demostrar que los reclamantes hubieran sido informados por cualquier medio de su existencia y de la que se pudiera deducir su renuncia al derecho a la tutela judicial efectiva.</w:t>
      </w:r>
    </w:p>
    <w:p w14:paraId="413AB146" w14:textId="77777777" w:rsidR="009D7677" w:rsidRDefault="009D7677" w:rsidP="009D7677">
      <w:pPr>
        <w:pStyle w:val="TextoNormal"/>
      </w:pPr>
    </w:p>
    <w:p w14:paraId="06180767" w14:textId="77777777" w:rsidR="009D7677" w:rsidRDefault="009D7677" w:rsidP="009D7677">
      <w:pPr>
        <w:pStyle w:val="TextoNormal"/>
      </w:pPr>
      <w:r>
        <w:t>d) Pues bien, la aplicación de la doctrina que se ha expuesto conduce a la estimación de la presente demanda de amparo.</w:t>
      </w:r>
    </w:p>
    <w:p w14:paraId="62000A67" w14:textId="77777777" w:rsidR="009D7677" w:rsidRDefault="009D7677" w:rsidP="009D7677">
      <w:pPr>
        <w:pStyle w:val="TextoNormal"/>
      </w:pPr>
    </w:p>
    <w:p w14:paraId="38AB8827" w14:textId="77777777" w:rsidR="009D7677" w:rsidRDefault="009D7677" w:rsidP="009D7677">
      <w:pPr>
        <w:pStyle w:val="TextoNormal"/>
      </w:pPr>
      <w:r>
        <w:t xml:space="preserve">(i) De un lado, se constata que el juzgado </w:t>
      </w:r>
      <w:r w:rsidRPr="009D7677">
        <w:rPr>
          <w:i/>
        </w:rPr>
        <w:t>a quo</w:t>
      </w:r>
      <w:r>
        <w:t xml:space="preserve"> se limitó a intentar la citación del demandado en el domicilio de la vivienda objeto de la acción de desahucio, que se corresponde con el designado en el contrato a efectos de notificaciones. En la diligencia de citación negativa de 25 de enero de 2021, se recoge la manifestación de la otra arrendataria que declara expresamente que el demandante ya no vivía en ese domicilio. Seguidamente y sin más trámite, el órgano judicial acudió a la citación edictal. En el auto que aquí se impugna, el órgano de instancia razona que actuó conforme a las exigencias legales —art. 164 LEC—, pese a que el recurrente, en su escrito de nulidad, hizo cumplida cita de la reiterada doctrina constitucional y del Tribunal Europeo de Derechos Humanos que, como se ha expuesto, no releva al órgano judicial en estos procesos verbales del intento de averiguación del domicilio real del demandado por alguno de los medios que brindan los arts. 155.3 y 156 LEC. Doctrina que, al margen de tal invocación, obviamente el juez tenía el deber de conocer.</w:t>
      </w:r>
    </w:p>
    <w:p w14:paraId="4EE6F80E" w14:textId="77777777" w:rsidR="009D7677" w:rsidRDefault="009D7677" w:rsidP="009D7677">
      <w:pPr>
        <w:pStyle w:val="TextoNormal"/>
      </w:pPr>
    </w:p>
    <w:p w14:paraId="1ECE8D75" w14:textId="77777777" w:rsidR="009D7677" w:rsidRDefault="009D7677" w:rsidP="009D7677">
      <w:pPr>
        <w:pStyle w:val="TextoNormal"/>
      </w:pPr>
      <w:r>
        <w:t>(ii) De otro lado, como se afirma en el escrito de alegaciones de la fiscal, resulta que la localización del recurrente resultaba sin duda factible, tanto porque en el propio contrato de arrendamiento constaba su dirección de correo electrónico como medio para facilitar las comunicaciones relacionadas con el contrato, sin que, a pesar de ello, se haya acreditado la utilización de esta vía para contactar con el recurrente; como porque una consulta al punto neutro judicial habría deparado un resultado positivo, como efectivamente sucedió cuando el juzgado utilizó esta vía para la averiguación patrimonial de bienes en el procedimiento de ejecución que se abrió con posterioridad, a través del cual se obtuvo tanto el domicilio de una empresa donde presta sus servicios profesionales, como otros posibles domicilios personales en Alicante y Elche.</w:t>
      </w:r>
    </w:p>
    <w:p w14:paraId="557478FD" w14:textId="77777777" w:rsidR="009D7677" w:rsidRDefault="009D7677" w:rsidP="009D7677">
      <w:pPr>
        <w:pStyle w:val="TextoNormal"/>
      </w:pPr>
    </w:p>
    <w:p w14:paraId="583E3ACF" w14:textId="77777777" w:rsidR="009D7677" w:rsidRDefault="009D7677" w:rsidP="009D7677">
      <w:pPr>
        <w:pStyle w:val="TextoNormal"/>
      </w:pPr>
      <w:r>
        <w:t>(iii) Finalmente no se desprende de las actuaciones ningún dato que permita deducir que el recurrente podría haber tenido conocimiento extraprocesal del juicio de desahucio, lo que conforme a nuestra reiterada doctrina habría eliminado la situación de indefensión [SSTC 20/2021, de 15 de febrero, FJ 2 a), y 139/2022, FJ 2 a), entre otras]. En este aspecto, la propia representación de doña Ionica Oana Mitran, en sus alegaciones ante la demanda de amparo, reconoció que el recurrente abandonó el que había sido el domicilio conjunto de la pareja sin que por aquel le informase de su actual paradero.</w:t>
      </w:r>
    </w:p>
    <w:p w14:paraId="7FF079D5" w14:textId="77777777" w:rsidR="009D7677" w:rsidRDefault="009D7677" w:rsidP="009D7677">
      <w:pPr>
        <w:pStyle w:val="TextoNormal"/>
      </w:pPr>
    </w:p>
    <w:p w14:paraId="33780CE8" w14:textId="59AEADFB" w:rsidR="009D7677" w:rsidRDefault="009D7677" w:rsidP="009D7677">
      <w:pPr>
        <w:pStyle w:val="TextoNormal"/>
      </w:pPr>
      <w:r>
        <w:lastRenderedPageBreak/>
        <w:t xml:space="preserve">Con su actuación, en definitiva, el juzgado </w:t>
      </w:r>
      <w:r w:rsidRPr="009D7677">
        <w:rPr>
          <w:i/>
        </w:rPr>
        <w:t>a quo</w:t>
      </w:r>
      <w:r>
        <w:t xml:space="preserve"> causó indefensión al demandado aquí recurrente, siguiéndose a sus espaldas el procedimiento declarativo y dictándose sentencia estimatoria de la acción de desahucio, lesión que luego no se ha reparado en el incidente de nulidad. Procede por tanto que con estimación de la demanda se acuerde el amparo que se solicita, con nulidad tanto del auto de 15 de diciembre de 2022 como de la diligencia de ordenación de 28 de enero de 2021, que ordenó la citación edictal del recurrente, así como la nulidad de todo lo actuado con posterioridad a recaer esa misma diligencia, incluyendo la nulidad del posterior proceso de ejecución judicial núm. 227-2022. Con retroacción del procedimiento declarativo núm. 2054-2020 al momento inmediatamente anterior de la citada diligencia de 28 de enero de 2021, a fin de que en su lugar se pronuncie otra resolución que resulte respetuosa del derecho fundamental vulnerado.</w:t>
      </w:r>
    </w:p>
    <w:p w14:paraId="6EDA319B" w14:textId="77777777" w:rsidR="009D7677" w:rsidRDefault="009D7677" w:rsidP="009D7677">
      <w:pPr>
        <w:pStyle w:val="TextoNormal"/>
      </w:pPr>
    </w:p>
    <w:p w14:paraId="292AD05C" w14:textId="77777777" w:rsidR="009D7677" w:rsidRDefault="009D7677" w:rsidP="009D7677">
      <w:pPr>
        <w:pStyle w:val="TextoNormalCentrado"/>
        <w:keepNext/>
      </w:pPr>
      <w:r>
        <w:t>FALLO</w:t>
      </w:r>
    </w:p>
    <w:p w14:paraId="03945EAC" w14:textId="6E00A0EF" w:rsidR="009D7677" w:rsidRDefault="009D7677" w:rsidP="009D7677">
      <w:pPr>
        <w:pStyle w:val="TextoNormalCentrado"/>
        <w:keepNext/>
      </w:pPr>
    </w:p>
    <w:p w14:paraId="0A8C417F" w14:textId="77777777" w:rsidR="009D7677" w:rsidRDefault="009D7677" w:rsidP="009D7677">
      <w:pPr>
        <w:pStyle w:val="TextoNormal"/>
      </w:pPr>
      <w:r>
        <w:t>En atención a todo lo expuesto, el Tribunal Constitucional, por la autoridad que le confiere la Constitución de la Nación española, ha decidido:</w:t>
      </w:r>
    </w:p>
    <w:p w14:paraId="7EB18EE5" w14:textId="77777777" w:rsidR="009D7677" w:rsidRDefault="009D7677" w:rsidP="009D7677">
      <w:pPr>
        <w:pStyle w:val="TextoNormal"/>
      </w:pPr>
    </w:p>
    <w:p w14:paraId="523B78FC" w14:textId="77777777" w:rsidR="009D7677" w:rsidRDefault="009D7677" w:rsidP="009D7677">
      <w:pPr>
        <w:pStyle w:val="TextoNormal"/>
      </w:pPr>
      <w:r>
        <w:t>1º Estimar la demanda presentada por don José Antonio Aragonés Font, por vulneración de su derecho fundamental a la tutela judicial efectiva sin padecer indefensión (art. 24.1 CE); con reconocimiento de tal derecho.</w:t>
      </w:r>
    </w:p>
    <w:p w14:paraId="01355BB5" w14:textId="77777777" w:rsidR="009D7677" w:rsidRDefault="009D7677" w:rsidP="009D7677">
      <w:pPr>
        <w:pStyle w:val="TextoNormal"/>
      </w:pPr>
    </w:p>
    <w:p w14:paraId="4E11E462" w14:textId="77777777" w:rsidR="009D7677" w:rsidRDefault="009D7677" w:rsidP="009D7677">
      <w:pPr>
        <w:pStyle w:val="TextoNormal"/>
      </w:pPr>
      <w:r>
        <w:t>2º Declarar la nulidad: (i) del auto del Juzgado de Primera Instancia núm. 9 de Alicante, de 15 de diciembre de 2022, dictado en el juicio verbal de desahucio y reclamación de rentas núm. 2054-2020; (ii) de la diligencia de ordenación de 28 de enero de 2021 dictada en el mismo procedimiento; y (iii) de todas las actuaciones realizadas desde el dictado de dicha diligencia de ordenación en aquel juicio verbal, así como la nulidad de todo el proceso de ejecución judicial núm. 227-2022.</w:t>
      </w:r>
    </w:p>
    <w:p w14:paraId="2AD6E711" w14:textId="77777777" w:rsidR="009D7677" w:rsidRDefault="009D7677" w:rsidP="009D7677">
      <w:pPr>
        <w:pStyle w:val="TextoNormal"/>
      </w:pPr>
    </w:p>
    <w:p w14:paraId="091A69BD" w14:textId="58754D26" w:rsidR="009D7677" w:rsidRDefault="009D7677" w:rsidP="009D7677">
      <w:pPr>
        <w:pStyle w:val="TextoNormal"/>
      </w:pPr>
      <w:r>
        <w:t>3º Retrotraer el procedimiento verbal núm. 2054-2020 a la fecha inmediatamente anterior a la de dictarse la diligencia de ordenación de 28 de enero de 2021 que acordó la notificación por edictos, a fin de que en su lugar se dicte otra resolución que resulte respetuosa del derecho fundamental vulnerado.</w:t>
      </w:r>
    </w:p>
    <w:p w14:paraId="32A47D8C" w14:textId="77777777" w:rsidR="009D7677" w:rsidRDefault="009D7677" w:rsidP="009D7677">
      <w:pPr>
        <w:pStyle w:val="TextoNormal"/>
      </w:pPr>
    </w:p>
    <w:p w14:paraId="54A31C56" w14:textId="77777777" w:rsidR="009D7677" w:rsidRDefault="009D7677" w:rsidP="009D7677">
      <w:pPr>
        <w:pStyle w:val="TextoNormal"/>
      </w:pPr>
      <w:r>
        <w:t>Publíquese esta sentencia en el “Boletín Oficial del Estado”.</w:t>
      </w:r>
    </w:p>
    <w:p w14:paraId="0A0C329B" w14:textId="77777777" w:rsidR="009D7677" w:rsidRDefault="009D7677" w:rsidP="009D7677">
      <w:pPr>
        <w:pStyle w:val="TextoNormal"/>
      </w:pPr>
      <w:r>
        <w:t>Dada en Madrid, a tres de junio de dos mil veinticuatro.</w:t>
      </w:r>
    </w:p>
    <w:p w14:paraId="7E7EB037" w14:textId="5D3B2484" w:rsidR="009D7677" w:rsidRDefault="009D7677">
      <w:pPr>
        <w:spacing w:after="160" w:line="259" w:lineRule="auto"/>
        <w:rPr>
          <w:rFonts w:ascii="Times New Roman" w:eastAsia="Times New Roman" w:hAnsi="Times New Roman" w:cs="Times New Roman"/>
          <w:sz w:val="24"/>
          <w:szCs w:val="24"/>
          <w:lang w:eastAsia="es-ES"/>
        </w:rPr>
      </w:pPr>
      <w:r>
        <w:br w:type="page"/>
      </w:r>
    </w:p>
    <w:p w14:paraId="5C3F4424" w14:textId="77777777" w:rsidR="009D7677" w:rsidRDefault="009D7677" w:rsidP="009D7677">
      <w:pPr>
        <w:pStyle w:val="TtuloResolucin"/>
      </w:pPr>
      <w:bookmarkStart w:id="87" w:name="SENTENCIA_2024_85"/>
      <w:r>
        <w:lastRenderedPageBreak/>
        <w:t>SENTENCIA 85/2024, de 3 de junio de 2024</w:t>
      </w:r>
    </w:p>
    <w:bookmarkEnd w:id="87"/>
    <w:p w14:paraId="04CEEC7D" w14:textId="77777777" w:rsidR="009D7677" w:rsidRDefault="009D7677" w:rsidP="009D7677">
      <w:pPr>
        <w:pStyle w:val="TtuloResolucin"/>
      </w:pPr>
      <w:r>
        <w:t>Sala Primera</w:t>
      </w:r>
    </w:p>
    <w:p w14:paraId="24D31284" w14:textId="77777777" w:rsidR="009D7677" w:rsidRDefault="009D7677" w:rsidP="009D7677">
      <w:pPr>
        <w:pStyle w:val="TtuloBOE"/>
      </w:pPr>
      <w:r>
        <w:t>(BOE núm. 164, de 8 de julio de 2024)</w:t>
      </w:r>
    </w:p>
    <w:p w14:paraId="39646406" w14:textId="77777777" w:rsidR="009D7677" w:rsidRDefault="009D7677" w:rsidP="009D7677">
      <w:pPr>
        <w:pStyle w:val="TextoNormalCentrado"/>
      </w:pPr>
      <w:r>
        <w:t>ECLI:ES:TC:2024:85</w:t>
      </w:r>
    </w:p>
    <w:p w14:paraId="75CD0C02" w14:textId="5652967F" w:rsidR="009D7677" w:rsidRDefault="009D7677" w:rsidP="009D7677">
      <w:pPr>
        <w:pStyle w:val="TextoNormalCentrado"/>
      </w:pPr>
    </w:p>
    <w:p w14:paraId="5FDE1000" w14:textId="77777777" w:rsidR="009D7677" w:rsidRDefault="009D7677" w:rsidP="009D7677">
      <w:pPr>
        <w:pStyle w:val="SntesisDescriptiva"/>
      </w:pPr>
      <w:r>
        <w:t>Recurso de amparo 1467-2023. Promovido por don Antonio Abellán Vicente en relación con el auto denegando su solicitud de habeas corpus dictado por un juzgado de instrucción de Madrid.</w:t>
      </w:r>
    </w:p>
    <w:p w14:paraId="3011ADBA" w14:textId="31428466" w:rsidR="009D7677" w:rsidRDefault="009D7677" w:rsidP="009D7677">
      <w:pPr>
        <w:pStyle w:val="SntesisDescriptiva"/>
      </w:pPr>
    </w:p>
    <w:p w14:paraId="20A14667" w14:textId="77777777" w:rsidR="009D7677" w:rsidRDefault="009D7677" w:rsidP="009D7677">
      <w:pPr>
        <w:pStyle w:val="SntesisAnaltica"/>
      </w:pPr>
      <w:r>
        <w:t>Vulneración del derecho a la libertad personal (control judicial de la detención): denegación por improcedente de una petición de habeas corpus decretada por razones de fondo sin audiencia del solicitante (STC 73/2021).</w:t>
      </w:r>
    </w:p>
    <w:p w14:paraId="252DBCB6" w14:textId="66AD479D" w:rsidR="009D7677" w:rsidRDefault="009D7677" w:rsidP="009D7677">
      <w:pPr>
        <w:pStyle w:val="SntesisAnaltica"/>
      </w:pPr>
    </w:p>
    <w:p w14:paraId="32FA1133" w14:textId="4D4807CC" w:rsidR="009D7677" w:rsidRDefault="009D7677" w:rsidP="009D7677">
      <w:pPr>
        <w:pStyle w:val="Extracto"/>
      </w:pPr>
      <w:r>
        <w:t>1.</w:t>
      </w:r>
      <w:r>
        <w:tab/>
        <w:t>Vulnera el art. 17.4 CE, por ausencia de la debida motivación, la resolución judicial que,</w:t>
      </w:r>
      <w:r w:rsidRPr="009D7677">
        <w:rPr>
          <w:i/>
        </w:rPr>
        <w:t xml:space="preserve"> a limine </w:t>
      </w:r>
      <w:r>
        <w:t>y por razones de fondo, deniega la incoación del procedimiento de habeas corpus; la mencionada resolución judicial debe dictarse después de sustanciado el procedimiento y oído el detenido, con intervención del Ministerio Fiscal (STC 73/2021) [FFJJ 2 y 3].</w:t>
      </w:r>
    </w:p>
    <w:p w14:paraId="01C220BC" w14:textId="77777777" w:rsidR="009D7677" w:rsidRDefault="009D7677" w:rsidP="009D7677">
      <w:pPr>
        <w:pStyle w:val="Extracto"/>
      </w:pPr>
    </w:p>
    <w:p w14:paraId="1D64FDE4" w14:textId="77777777" w:rsidR="009D7677" w:rsidRDefault="009D7677" w:rsidP="009D7677">
      <w:pPr>
        <w:pStyle w:val="Extracto"/>
      </w:pPr>
    </w:p>
    <w:p w14:paraId="2AE26C1C" w14:textId="77777777" w:rsidR="009D7677" w:rsidRDefault="009D7677" w:rsidP="009D7677">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580F7705" w14:textId="4FF95298" w:rsidR="009D7677" w:rsidRDefault="009D7677" w:rsidP="009D7677">
      <w:pPr>
        <w:pStyle w:val="TextoNormal"/>
      </w:pPr>
    </w:p>
    <w:p w14:paraId="20D92EE0" w14:textId="77777777" w:rsidR="009D7677" w:rsidRDefault="009D7677" w:rsidP="009D7677">
      <w:pPr>
        <w:pStyle w:val="TextoNormalCentrado"/>
        <w:keepNext/>
      </w:pPr>
      <w:r>
        <w:t>EN NOMBRE DEL REY</w:t>
      </w:r>
    </w:p>
    <w:p w14:paraId="6A6C861C" w14:textId="6061BE94" w:rsidR="009D7677" w:rsidRDefault="009D7677" w:rsidP="009D7677">
      <w:pPr>
        <w:pStyle w:val="TextoNormalCentrado"/>
        <w:keepNext/>
      </w:pPr>
    </w:p>
    <w:p w14:paraId="4F105207" w14:textId="77777777" w:rsidR="009D7677" w:rsidRDefault="009D7677" w:rsidP="009D7677">
      <w:pPr>
        <w:pStyle w:val="TextoNormalCentrado"/>
        <w:keepNext/>
      </w:pPr>
    </w:p>
    <w:p w14:paraId="7B08A923" w14:textId="77777777" w:rsidR="009D7677" w:rsidRDefault="009D7677" w:rsidP="009D7677">
      <w:pPr>
        <w:pStyle w:val="TextoNormal"/>
      </w:pPr>
      <w:r>
        <w:t>la siguiente</w:t>
      </w:r>
    </w:p>
    <w:p w14:paraId="499790F6" w14:textId="56A109FA" w:rsidR="009D7677" w:rsidRDefault="009D7677" w:rsidP="009D7677">
      <w:pPr>
        <w:pStyle w:val="TextoNormal"/>
      </w:pPr>
    </w:p>
    <w:p w14:paraId="2464CCA6" w14:textId="77777777" w:rsidR="009D7677" w:rsidRDefault="009D7677" w:rsidP="009D7677">
      <w:pPr>
        <w:pStyle w:val="TextoNormalCentrado"/>
        <w:keepNext/>
      </w:pPr>
      <w:r>
        <w:t>SENTENCIA</w:t>
      </w:r>
    </w:p>
    <w:p w14:paraId="00150C65" w14:textId="4289328B" w:rsidR="009D7677" w:rsidRDefault="009D7677" w:rsidP="009D7677">
      <w:pPr>
        <w:pStyle w:val="TextoNormalCentrado"/>
        <w:keepNext/>
      </w:pPr>
    </w:p>
    <w:p w14:paraId="0C6E4A0F" w14:textId="77777777" w:rsidR="009D7677" w:rsidRDefault="009D7677" w:rsidP="009D7677">
      <w:pPr>
        <w:pStyle w:val="TextoNormal"/>
      </w:pPr>
      <w:r>
        <w:t>En el recurso de amparo núm. 1467-2023, promovido por don Antonio Abellán Vicente, representado por el procurador de los tribunales don Pelayo Alejandro del Valle Alonso, bajo la dirección letrada de doña Mónica Gil Rodríguez, contra el auto del Juzgado de Instrucción núm. 44 de Madrid, en funciones de guardia, de fecha 21 de enero de 2023, dictado en el procedimiento de habeas corpus núm. 186-2023, por el que se denegó la solicitud de habeas corpus. Ha intervenido el Ministerio Fiscal. Ha sido ponente el presidente, don Cándido Conde-Pumpido Tourón.</w:t>
      </w:r>
    </w:p>
    <w:p w14:paraId="7DB14E3F" w14:textId="292BB292" w:rsidR="009D7677" w:rsidRDefault="009D7677" w:rsidP="009D7677">
      <w:pPr>
        <w:pStyle w:val="TextoNormal"/>
      </w:pPr>
    </w:p>
    <w:p w14:paraId="2DBE4B20" w14:textId="77777777" w:rsidR="009D7677" w:rsidRDefault="009D7677" w:rsidP="009D7677">
      <w:pPr>
        <w:pStyle w:val="TextoNormalNegritaCentrado"/>
        <w:keepNext/>
      </w:pPr>
      <w:r>
        <w:t>I. Antecedentes</w:t>
      </w:r>
    </w:p>
    <w:p w14:paraId="10C0E32A" w14:textId="52D76EB1" w:rsidR="009D7677" w:rsidRDefault="009D7677" w:rsidP="009D7677">
      <w:pPr>
        <w:pStyle w:val="TextoNormalNegritaCentrado"/>
        <w:keepNext/>
      </w:pPr>
    </w:p>
    <w:p w14:paraId="758B32A9" w14:textId="020F6582" w:rsidR="009D7677" w:rsidRDefault="009D7677" w:rsidP="009D7677">
      <w:pPr>
        <w:pStyle w:val="TextoNormal"/>
      </w:pPr>
      <w:r w:rsidRPr="009D7677">
        <w:rPr>
          <w:rStyle w:val="NumeroAFNegritaCaracter"/>
        </w:rPr>
        <w:t>1</w:t>
      </w:r>
      <w:r>
        <w:t xml:space="preserve">. Mediante escrito que tuvo entrada en el registro de este tribunal el día 6 de marzo de 2023, el procurador de los tribunales don Pelayo Alejandro del Valle Alonso, en nombre y representación de don Antonio Abellán Vicente, bajo la dirección letrada de doña Mónica </w:t>
      </w:r>
      <w:r>
        <w:lastRenderedPageBreak/>
        <w:t>Gil Rodríguez, interpuso recurso de amparo contra la resolución judicial citada en el encabezamiento.</w:t>
      </w:r>
    </w:p>
    <w:p w14:paraId="10966DA0" w14:textId="77777777" w:rsidR="009D7677" w:rsidRDefault="009D7677" w:rsidP="009D7677">
      <w:pPr>
        <w:pStyle w:val="TextoNormal"/>
      </w:pPr>
    </w:p>
    <w:p w14:paraId="306B8798" w14:textId="77777777" w:rsidR="009D7677" w:rsidRDefault="009D7677" w:rsidP="009D7677">
      <w:pPr>
        <w:pStyle w:val="TextoNormal"/>
      </w:pPr>
      <w:r w:rsidRPr="009D7677">
        <w:rPr>
          <w:rStyle w:val="NumeroAFNegritaCaracter"/>
        </w:rPr>
        <w:t>2</w:t>
      </w:r>
      <w:r>
        <w:t>. Los antecedentes procesales relevantes son los siguientes:</w:t>
      </w:r>
    </w:p>
    <w:p w14:paraId="60E1CE6A" w14:textId="77777777" w:rsidR="009D7677" w:rsidRDefault="009D7677" w:rsidP="009D7677">
      <w:pPr>
        <w:pStyle w:val="TextoNormal"/>
      </w:pPr>
    </w:p>
    <w:p w14:paraId="5602A5D3" w14:textId="77777777" w:rsidR="009D7677" w:rsidRDefault="009D7677" w:rsidP="009D7677">
      <w:pPr>
        <w:pStyle w:val="TextoNormal"/>
      </w:pPr>
      <w:r>
        <w:t>a) En fecha 21 de enero de 2023, sobre las 7:20 horas, el demandante de amparo fue detenido por agentes del Cuerpo Nacional de Policía por su supuesta participación en una reyerta habida, según el atestado, entre dos grupos de personas en uno de los cuales se integraba el demandante de amparo. Los agentes actuantes le detuvieron cuando, según aquellos, trataba de huir del lugar de los hechos, momento en el que fue informado de forma verbal de sus derechos (art. 520 de la Ley de enjuiciamiento criminal: LECrim).</w:t>
      </w:r>
    </w:p>
    <w:p w14:paraId="2EFB2A68" w14:textId="77777777" w:rsidR="009D7677" w:rsidRDefault="009D7677" w:rsidP="009D7677">
      <w:pPr>
        <w:pStyle w:val="TextoNormal"/>
      </w:pPr>
    </w:p>
    <w:p w14:paraId="42279FED" w14:textId="77777777" w:rsidR="009D7677" w:rsidRDefault="009D7677" w:rsidP="009D7677">
      <w:pPr>
        <w:pStyle w:val="TextoNormal"/>
      </w:pPr>
      <w:r>
        <w:t>b) A las 8:37 horas, los agentes actuantes redactaron el “Acta de detención e información de derechos y de los elementos esenciales de las actuaciones para impugnar la detención” en la que consta que el demandado manifestó, entre otras cuestiones, su deseo de recibir asistencia jurídica de letrado de oficio.</w:t>
      </w:r>
    </w:p>
    <w:p w14:paraId="7E84EC89" w14:textId="77777777" w:rsidR="009D7677" w:rsidRDefault="009D7677" w:rsidP="009D7677">
      <w:pPr>
        <w:pStyle w:val="TextoNormal"/>
      </w:pPr>
    </w:p>
    <w:p w14:paraId="13A70073" w14:textId="77777777" w:rsidR="009D7677" w:rsidRDefault="009D7677" w:rsidP="009D7677">
      <w:pPr>
        <w:pStyle w:val="TextoNormal"/>
      </w:pPr>
      <w:r>
        <w:t xml:space="preserve">c) Sobre las 16:40 horas la letrada del actor presentó ante el “Juzgado de instrucción en funciones de guardia que por turno corresponda” escrito por el que instó la urgente incoación del procedimiento de </w:t>
      </w:r>
      <w:r w:rsidRPr="009D7677">
        <w:rPr>
          <w:i/>
        </w:rPr>
        <w:t>habeas corpus</w:t>
      </w:r>
      <w:r>
        <w:t xml:space="preserve"> con el fin de que el demandante fuese presentado de forma inmediata ante la autoridad judicial.</w:t>
      </w:r>
    </w:p>
    <w:p w14:paraId="1FA66141" w14:textId="77777777" w:rsidR="009D7677" w:rsidRDefault="009D7677" w:rsidP="009D7677">
      <w:pPr>
        <w:pStyle w:val="TextoNormal"/>
      </w:pPr>
    </w:p>
    <w:p w14:paraId="7175476E" w14:textId="77777777" w:rsidR="009D7677" w:rsidRDefault="009D7677" w:rsidP="009D7677">
      <w:pPr>
        <w:pStyle w:val="TextoNormal"/>
      </w:pPr>
      <w:r>
        <w:t xml:space="preserve">En dicho escrito ofreció un breve relato de los hechos que dieron lugar a la detención de su representado y concluyó que dicha detención tuvo lugar de forma ilegal, dado que “[c]onforme a la redacción del propio atestado policial se observa que [la detención] tiene encaje en el art. 1 a) de la LOHC [Ley Orgánica 6/1984, de 24 de mayo, reguladora del procedimiento de </w:t>
      </w:r>
      <w:r w:rsidRPr="009D7677">
        <w:rPr>
          <w:i/>
        </w:rPr>
        <w:t>habeas corpus</w:t>
      </w:r>
      <w:r>
        <w:t>], de conformidad con los artículos 17.3 CE, 24.2 CE, 492 LECrim, al haberse practicado […] sin que concurran los supuestos legales establecidos para” ello.</w:t>
      </w:r>
    </w:p>
    <w:p w14:paraId="764403F0" w14:textId="77777777" w:rsidR="009D7677" w:rsidRDefault="009D7677" w:rsidP="009D7677">
      <w:pPr>
        <w:pStyle w:val="TextoNormal"/>
      </w:pPr>
    </w:p>
    <w:p w14:paraId="01EEA63B" w14:textId="77777777" w:rsidR="009D7677" w:rsidRDefault="009D7677" w:rsidP="009D7677">
      <w:pPr>
        <w:pStyle w:val="TextoNormal"/>
      </w:pPr>
      <w:r>
        <w:t xml:space="preserve">Asimismo, relacionó diferente jurisprudencia de este tribunal relativa al derecho a la libertad en relación con el control judicial de la detención a través del procedimiento de </w:t>
      </w:r>
      <w:r w:rsidRPr="009D7677">
        <w:rPr>
          <w:i/>
        </w:rPr>
        <w:t>habeas corpus</w:t>
      </w:r>
      <w:r>
        <w:t xml:space="preserve"> (entre otras, SSTC 35/2008, de 25 de febrero y 95/2012, de 7 de mayo).</w:t>
      </w:r>
    </w:p>
    <w:p w14:paraId="356CDD4D" w14:textId="77777777" w:rsidR="009D7677" w:rsidRDefault="009D7677" w:rsidP="009D7677">
      <w:pPr>
        <w:pStyle w:val="TextoNormal"/>
      </w:pPr>
    </w:p>
    <w:p w14:paraId="767B944E" w14:textId="77777777" w:rsidR="009D7677" w:rsidRDefault="009D7677" w:rsidP="009D7677">
      <w:pPr>
        <w:pStyle w:val="TextoNormal"/>
      </w:pPr>
      <w:r>
        <w:t xml:space="preserve">d) A las 16:41 horas el letrado de la administración de justicia del Juzgado de Instrucción núm. 44 de Madrid dictó diligencia de ordenación dejando constancia de la solicitud de incoación de </w:t>
      </w:r>
      <w:r w:rsidRPr="009D7677">
        <w:rPr>
          <w:i/>
        </w:rPr>
        <w:t>habeas corpus</w:t>
      </w:r>
      <w:r>
        <w:t xml:space="preserve"> y, asimismo, dictó oficio dirigido a la comisaría de Usera (</w:t>
      </w:r>
      <w:r w:rsidRPr="009D7677">
        <w:rPr>
          <w:i/>
        </w:rPr>
        <w:t>sic</w:t>
      </w:r>
      <w:r>
        <w:t>) a fin de que se remitiese con la máxima urgencia posible copia íntegra del atestado 2459-2023.</w:t>
      </w:r>
    </w:p>
    <w:p w14:paraId="4AC15842" w14:textId="77777777" w:rsidR="009D7677" w:rsidRDefault="009D7677" w:rsidP="009D7677">
      <w:pPr>
        <w:pStyle w:val="TextoNormal"/>
      </w:pPr>
    </w:p>
    <w:p w14:paraId="6B84D61C" w14:textId="77777777" w:rsidR="009D7677" w:rsidRDefault="009D7677" w:rsidP="009D7677">
      <w:pPr>
        <w:pStyle w:val="TextoNormal"/>
      </w:pPr>
      <w:r>
        <w:t>e) Por providencia de igual fecha, el juez de instrucción acordó dar traslado al Ministerio Fiscal a fin de que emitiese el informe al que se refiere el art. 6 LOHC.</w:t>
      </w:r>
    </w:p>
    <w:p w14:paraId="24D6E736" w14:textId="77777777" w:rsidR="009D7677" w:rsidRDefault="009D7677" w:rsidP="009D7677">
      <w:pPr>
        <w:pStyle w:val="TextoNormal"/>
      </w:pPr>
    </w:p>
    <w:p w14:paraId="0E76A9D8" w14:textId="77777777" w:rsidR="009D7677" w:rsidRDefault="009D7677" w:rsidP="009D7677">
      <w:pPr>
        <w:pStyle w:val="TextoNormal"/>
      </w:pPr>
      <w:r>
        <w:t>El Ministerio Fiscal, asimismo en fecha 21 de enero de 2023, emitió el correspondiente informe en el que interesó “la denegación del procedimiento instado por D. Antonio Abellán Vicente al amparo del Artículo 6.1 de la Ley 6/84 al ser conforme a derecho la detención del solicitante, por cuanto se ha producido y practicado como consecuencia de la existencia de indicios en la participación de la detenido (</w:t>
      </w:r>
      <w:r w:rsidRPr="009D7677">
        <w:rPr>
          <w:i/>
        </w:rPr>
        <w:t>sic</w:t>
      </w:r>
      <w:r>
        <w:t xml:space="preserve">), en los hechos del día 21 de </w:t>
      </w:r>
      <w:r>
        <w:lastRenderedPageBreak/>
        <w:t>enero de 2023, que, en principio, parece revestir los caracteres de un delito de riña tumultuaria (art. 154 [del Código penal]) sin perjuicio de una ulterior calificación, que se han respetado las formalidades legalmente previstas para la detención, constando en el atestado haberle informado previamente del motivo de la misma y derechos que le asisten, que aún no han concluido las diligencias policiales y tampoco han (</w:t>
      </w:r>
      <w:r w:rsidRPr="009D7677">
        <w:rPr>
          <w:i/>
        </w:rPr>
        <w:t>sic</w:t>
      </w:r>
      <w:r>
        <w:t>) transcurrido el tiempo máximo legal de detención previsto por la legislación, no concurre ninguno de los supuestos detención ilegal previstos en el artículo 1 de la Ley Orgánica 6/1984”.</w:t>
      </w:r>
    </w:p>
    <w:p w14:paraId="39564475" w14:textId="77777777" w:rsidR="009D7677" w:rsidRDefault="009D7677" w:rsidP="009D7677">
      <w:pPr>
        <w:pStyle w:val="TextoNormal"/>
      </w:pPr>
    </w:p>
    <w:p w14:paraId="3557A055" w14:textId="77777777" w:rsidR="009D7677" w:rsidRDefault="009D7677" w:rsidP="009D7677">
      <w:pPr>
        <w:pStyle w:val="TextoNormal"/>
      </w:pPr>
      <w:r>
        <w:t>Concluyó el informe con la afirmación de que, por lo expuesto, “procede desestimar la solicitud realizada, declarando ser conforme a derecho la privación de libertad y las circunstancias en que se está realizando, y acordando el archivo de las presentes actuaciones”.</w:t>
      </w:r>
    </w:p>
    <w:p w14:paraId="3187EF52" w14:textId="77777777" w:rsidR="009D7677" w:rsidRDefault="009D7677" w:rsidP="009D7677">
      <w:pPr>
        <w:pStyle w:val="TextoNormal"/>
      </w:pPr>
    </w:p>
    <w:p w14:paraId="3C7E68FE" w14:textId="77777777" w:rsidR="009D7677" w:rsidRDefault="009D7677" w:rsidP="009D7677">
      <w:pPr>
        <w:pStyle w:val="TextoNormal"/>
      </w:pPr>
      <w:r>
        <w:t>f) A continuación, el Juzgado de Instrucción núm. 44 de Madrid, en funciones de guardia, dictó auto por el que estimó “procedente denegar la solicitud d</w:t>
      </w:r>
      <w:r w:rsidRPr="009D7677">
        <w:rPr>
          <w:i/>
        </w:rPr>
        <w:t>e habeas corp</w:t>
      </w:r>
      <w:r>
        <w:t>us”.</w:t>
      </w:r>
    </w:p>
    <w:p w14:paraId="731AADD0" w14:textId="77777777" w:rsidR="009D7677" w:rsidRDefault="009D7677" w:rsidP="009D7677">
      <w:pPr>
        <w:pStyle w:val="TextoNormal"/>
      </w:pPr>
    </w:p>
    <w:p w14:paraId="4039B02F" w14:textId="77777777" w:rsidR="009D7677" w:rsidRDefault="009D7677" w:rsidP="009D7677">
      <w:pPr>
        <w:pStyle w:val="TextoNormal"/>
      </w:pPr>
      <w:r>
        <w:t>En los antecedentes fácticos de dicha resolución se afirma que “A las 16:41 horas del día de hoy se ha recibido en este Juzgado en funciones de guardia de diligencias, solicitud d</w:t>
      </w:r>
      <w:r w:rsidRPr="009D7677">
        <w:rPr>
          <w:i/>
        </w:rPr>
        <w:t>e habeas corp</w:t>
      </w:r>
      <w:r>
        <w:t>us […].</w:t>
      </w:r>
    </w:p>
    <w:p w14:paraId="38CAAEB3" w14:textId="77777777" w:rsidR="009D7677" w:rsidRDefault="009D7677" w:rsidP="009D7677">
      <w:pPr>
        <w:pStyle w:val="TextoNormal"/>
      </w:pPr>
    </w:p>
    <w:p w14:paraId="4C9C2072" w14:textId="77777777" w:rsidR="009D7677" w:rsidRDefault="009D7677" w:rsidP="009D7677">
      <w:pPr>
        <w:pStyle w:val="TextoNormal"/>
      </w:pPr>
      <w:r>
        <w:t>Como consecuencia de dicha solicitud se ha solicitado la remisión de copia de las actuaciones policiales que se hayan llevado a cabo referidas al citado detenido, habiéndose emitido informe el Ministerio Fiscal en el que se considera procedente desestimar lo solicitado al valorarse conforme a derecho la privación de libertad y las circunstancias en que se está realizando”.</w:t>
      </w:r>
    </w:p>
    <w:p w14:paraId="30D38038" w14:textId="77777777" w:rsidR="009D7677" w:rsidRDefault="009D7677" w:rsidP="009D7677">
      <w:pPr>
        <w:pStyle w:val="TextoNormal"/>
      </w:pPr>
    </w:p>
    <w:p w14:paraId="13E4CB83" w14:textId="77777777" w:rsidR="009D7677" w:rsidRDefault="009D7677" w:rsidP="009D7677">
      <w:pPr>
        <w:pStyle w:val="TextoNormal"/>
      </w:pPr>
      <w:r>
        <w:t>Y en su fundamentación jurídica, después de citar la normativa vigente (Ley Orgánica 6/1984, de 24 de mayo), la STC 98/1986, de 10 de julio, y de consignar el art. 1 de aquella ley, afirmó que “[n]o puede obviarse que de la intervención recogida en el atestado 2459-2023 de la comisaría del Cuerpo Nacional de Policía de Usera se inicia por una llamada al 091 alertando de una agresión en la que podría encontrarse alguna mujer como implicada en el Paseo Talleres 8 de Madrid, constatando los policías a su llegada la existencia de un número elevado de personas, de un varón con medio cuerpo dentro de un contenedor de reciclaje de vidrio sacando botellas de cristal de su interior y que pasaba las mismas a un grupo de jóvenes vestidos de oscuro y encapuchados, que las lanzaban a otro grupo de mujeres y hombres, y que trataron de dispersarse del lugar a la llegada de los policías. Consta de la documentación policial aportada que al menos una de esas personas estaba lesionada, refiriéndose además por parte de los agentes que todos los que consiguieron ser interceptados profirieron contra ellos palabras ofensivas e intimidatorias.</w:t>
      </w:r>
    </w:p>
    <w:p w14:paraId="3F7BA705" w14:textId="77777777" w:rsidR="009D7677" w:rsidRDefault="009D7677" w:rsidP="009D7677">
      <w:pPr>
        <w:pStyle w:val="TextoNormal"/>
      </w:pPr>
    </w:p>
    <w:p w14:paraId="6B55E0D1" w14:textId="77777777" w:rsidR="009D7677" w:rsidRDefault="009D7677" w:rsidP="009D7677">
      <w:pPr>
        <w:pStyle w:val="TextoNormal"/>
      </w:pPr>
      <w:r>
        <w:t>De tal relato solo puede concluirse que la actuación policial no pudo ser otra que la de proceder a la detención de aquellos varones que fueron interceptados, entre ellos Antonio Abellán Vicente, al concurrir sobrados motivos para atribuirle un delito de riña tumultuaria del art. 154 siguientes del Código penal.</w:t>
      </w:r>
    </w:p>
    <w:p w14:paraId="5619C7E0" w14:textId="77777777" w:rsidR="009D7677" w:rsidRDefault="009D7677" w:rsidP="009D7677">
      <w:pPr>
        <w:pStyle w:val="TextoNormal"/>
      </w:pPr>
    </w:p>
    <w:p w14:paraId="4C99BDEE" w14:textId="77777777" w:rsidR="009D7677" w:rsidRDefault="009D7677" w:rsidP="009D7677">
      <w:pPr>
        <w:pStyle w:val="TextoNormal"/>
      </w:pPr>
      <w:r>
        <w:t xml:space="preserve">Por lo demás, no consta que la detención se haya prolongado en el tiempo por encima de los plazos legalmente establecidos al efecto —dado que la actuación policial ha comenzado en la mañana de hoy, en concreto a las 7:20 horas—, siendo precisa la realización de </w:t>
      </w:r>
      <w:r>
        <w:lastRenderedPageBreak/>
        <w:t>las gestiones y comprobaciones policiales y no habiéndose producido vulneración de los derechos que la Constitución y las leyes reconocen a toda persona detenida (cfr. artículo 17, párrafos 2 y 3, del texto constitucional, en relación con los artículos 118, 520 y concordantes de la Ley de enjuiciamiento criminal). Consta que a las 8:37 minutos el detenido Sr. Abellán Vicente fue informado de los motivos de su detención, de todos sus derechos, se avisó al familiar que él dispuso y le fue nombrada abogada.</w:t>
      </w:r>
    </w:p>
    <w:p w14:paraId="57D3B18A" w14:textId="77777777" w:rsidR="009D7677" w:rsidRDefault="009D7677" w:rsidP="009D7677">
      <w:pPr>
        <w:pStyle w:val="TextoNormal"/>
      </w:pPr>
    </w:p>
    <w:p w14:paraId="267F766B" w14:textId="77777777" w:rsidR="009D7677" w:rsidRDefault="009D7677" w:rsidP="009D7677">
      <w:pPr>
        <w:pStyle w:val="TextoNormal"/>
      </w:pPr>
      <w:r>
        <w:t xml:space="preserve">Por ello, y en aplicación de lo establecido en el artículo 8 de la Ley Orgánica 6/84, citada, procede denegar la solicitud de </w:t>
      </w:r>
      <w:r w:rsidRPr="009D7677">
        <w:rPr>
          <w:i/>
        </w:rPr>
        <w:t>habeas corpus</w:t>
      </w:r>
      <w:r>
        <w:t xml:space="preserve"> de referencia, por improcedente, archivando seguidamente las presentes actuaciones”.</w:t>
      </w:r>
    </w:p>
    <w:p w14:paraId="1AF1087A" w14:textId="77777777" w:rsidR="009D7677" w:rsidRDefault="009D7677" w:rsidP="009D7677">
      <w:pPr>
        <w:pStyle w:val="TextoNormal"/>
      </w:pPr>
    </w:p>
    <w:p w14:paraId="4F9140F0" w14:textId="1FF2DC01" w:rsidR="009D7677" w:rsidRDefault="009D7677" w:rsidP="009D7677">
      <w:pPr>
        <w:pStyle w:val="TextoNormal"/>
      </w:pPr>
      <w:r>
        <w:t>g) Dicho auto fue notificado al detenido y a su letrada el mismo día 21 de enero de 2023.</w:t>
      </w:r>
    </w:p>
    <w:p w14:paraId="5E874AFF" w14:textId="77777777" w:rsidR="009D7677" w:rsidRDefault="009D7677" w:rsidP="009D7677">
      <w:pPr>
        <w:pStyle w:val="TextoNormal"/>
      </w:pPr>
    </w:p>
    <w:p w14:paraId="7A799D15" w14:textId="77777777" w:rsidR="009D7677" w:rsidRDefault="009D7677" w:rsidP="009D7677">
      <w:pPr>
        <w:pStyle w:val="TextoNormal"/>
      </w:pPr>
      <w:r w:rsidRPr="009D7677">
        <w:rPr>
          <w:rStyle w:val="NumeroAFNegritaCaracter"/>
        </w:rPr>
        <w:t>3</w:t>
      </w:r>
      <w:r>
        <w:t>. En la demanda de amparo, el recurrente denunció, de forma nominal y “en conexión directa con el derecho fundamental a una tutela judicial efectiva (art. 24.1 CE) y [con los arts.] 520 y 524 LECrim, que establecen los supuestos en los que puede llevarse a cabo una detención”, la vulneración de los siguientes derechos fundamentales:</w:t>
      </w:r>
    </w:p>
    <w:p w14:paraId="6A271C1F" w14:textId="77777777" w:rsidR="009D7677" w:rsidRDefault="009D7677" w:rsidP="009D7677">
      <w:pPr>
        <w:pStyle w:val="TextoNormal"/>
      </w:pPr>
    </w:p>
    <w:p w14:paraId="2A0AC38D" w14:textId="77777777" w:rsidR="009D7677" w:rsidRDefault="009D7677" w:rsidP="009D7677">
      <w:pPr>
        <w:pStyle w:val="TextoNormal"/>
      </w:pPr>
      <w:r>
        <w:t>a) Vulneración del derecho a la libertad (art. 17.1 CE) habiendo sido privado de la misma fuera de los casos y forma previstos en la ley.</w:t>
      </w:r>
    </w:p>
    <w:p w14:paraId="73024242" w14:textId="77777777" w:rsidR="009D7677" w:rsidRDefault="009D7677" w:rsidP="009D7677">
      <w:pPr>
        <w:pStyle w:val="TextoNormal"/>
      </w:pPr>
    </w:p>
    <w:p w14:paraId="127E116C" w14:textId="77777777" w:rsidR="009D7677" w:rsidRDefault="009D7677" w:rsidP="009D7677">
      <w:pPr>
        <w:pStyle w:val="TextoNormal"/>
      </w:pPr>
      <w:r>
        <w:t xml:space="preserve">b) Vulneración del derecho a la impugnación de la legalidad de la detención y al control judicial de la privación de libertad (art. 17.4 CE), al haber incumplido las normas procesales que rigen en la tramitación del </w:t>
      </w:r>
      <w:r w:rsidRPr="009D7677">
        <w:rPr>
          <w:i/>
        </w:rPr>
        <w:t>habeas corpus</w:t>
      </w:r>
      <w:r>
        <w:t>.</w:t>
      </w:r>
    </w:p>
    <w:p w14:paraId="03505B17" w14:textId="77777777" w:rsidR="009D7677" w:rsidRDefault="009D7677" w:rsidP="009D7677">
      <w:pPr>
        <w:pStyle w:val="TextoNormal"/>
      </w:pPr>
    </w:p>
    <w:p w14:paraId="21E872CC" w14:textId="77777777" w:rsidR="009D7677" w:rsidRDefault="009D7677" w:rsidP="009D7677">
      <w:pPr>
        <w:pStyle w:val="TextoNormal"/>
      </w:pPr>
      <w:r>
        <w:t xml:space="preserve">c) Vulneración del derecho a la asistencia letrada al detenido (art. 17.3 CE) al no haberse permitido celebrar la comparecencia del </w:t>
      </w:r>
      <w:r w:rsidRPr="009D7677">
        <w:rPr>
          <w:i/>
        </w:rPr>
        <w:t>habeas corpus</w:t>
      </w:r>
      <w:r>
        <w:t>.</w:t>
      </w:r>
    </w:p>
    <w:p w14:paraId="3037D9FE" w14:textId="77777777" w:rsidR="009D7677" w:rsidRDefault="009D7677" w:rsidP="009D7677">
      <w:pPr>
        <w:pStyle w:val="TextoNormal"/>
      </w:pPr>
    </w:p>
    <w:p w14:paraId="3EFF7CB3" w14:textId="77777777" w:rsidR="009D7677" w:rsidRDefault="009D7677" w:rsidP="009D7677">
      <w:pPr>
        <w:pStyle w:val="TextoNormal"/>
      </w:pPr>
      <w:r>
        <w:t xml:space="preserve">d) Vulneración del derecho de defensa y a la tutela judicial efectiva en su vertiente del derecho a una resolución fundada en derecho, por la respuesta dada en el auto que desestimó, </w:t>
      </w:r>
      <w:r w:rsidRPr="009D7677">
        <w:rPr>
          <w:i/>
        </w:rPr>
        <w:t>a limine</w:t>
      </w:r>
      <w:r>
        <w:t xml:space="preserve">, el </w:t>
      </w:r>
      <w:r w:rsidRPr="009D7677">
        <w:rPr>
          <w:i/>
        </w:rPr>
        <w:t>habeas corpus</w:t>
      </w:r>
      <w:r>
        <w:t xml:space="preserve"> (art. 24.2 CE).</w:t>
      </w:r>
    </w:p>
    <w:p w14:paraId="7643C2CF" w14:textId="77777777" w:rsidR="009D7677" w:rsidRDefault="009D7677" w:rsidP="009D7677">
      <w:pPr>
        <w:pStyle w:val="TextoNormal"/>
      </w:pPr>
    </w:p>
    <w:p w14:paraId="30BB38FC" w14:textId="77777777" w:rsidR="009D7677" w:rsidRDefault="009D7677" w:rsidP="009D7677">
      <w:pPr>
        <w:pStyle w:val="TextoNormal"/>
      </w:pPr>
      <w:r>
        <w:t>Como fundamentación común a todas las denuncias de vulneración expuestas, el demandante denunció, en síntesis, la ilegitimidad de la detención practicada por la policía, de conformidad con el art. 1 a) LOHC y con los artículos 17 CE y 490 y 492 LECrim, “al haberse practicado […] sin que concurran los supuestos legales establecidos para su detención, [por lo que] esta debería considerarse ilegítima por no haber motivos para ello, [deduciéndose esto] de la propia literalidad de la diligencia de manifestaciones del atestado policial”.</w:t>
      </w:r>
    </w:p>
    <w:p w14:paraId="408BA683" w14:textId="77777777" w:rsidR="009D7677" w:rsidRDefault="009D7677" w:rsidP="009D7677">
      <w:pPr>
        <w:pStyle w:val="TextoNormal"/>
      </w:pPr>
    </w:p>
    <w:p w14:paraId="65FA4989" w14:textId="683CFFB1" w:rsidR="009D7677" w:rsidRDefault="009D7677" w:rsidP="009D7677">
      <w:pPr>
        <w:pStyle w:val="TextoNormal"/>
      </w:pPr>
      <w:r>
        <w:t>Por último, el demandante, como demostración de la ilegalidad de la detención afirma que el Juzgado de Instrucción núm. 51 de Madrid, que resultó competente para la instrucción de la causa, dictó auto de sobreseimiento provisional de las diligencias previas núm. 168-2023, por considerar que no estaba debidamente justificada la comisión del delito que se le atribuyó.</w:t>
      </w:r>
    </w:p>
    <w:p w14:paraId="76987644" w14:textId="77777777" w:rsidR="009D7677" w:rsidRDefault="009D7677" w:rsidP="009D7677">
      <w:pPr>
        <w:pStyle w:val="TextoNormal"/>
      </w:pPr>
    </w:p>
    <w:p w14:paraId="13E1021C" w14:textId="77777777" w:rsidR="009D7677" w:rsidRDefault="009D7677" w:rsidP="009D7677">
      <w:pPr>
        <w:pStyle w:val="TextoNormal"/>
      </w:pPr>
      <w:r w:rsidRPr="009D7677">
        <w:rPr>
          <w:rStyle w:val="NumeroAFNegritaCaracter"/>
        </w:rPr>
        <w:lastRenderedPageBreak/>
        <w:t>4</w:t>
      </w:r>
      <w:r>
        <w:t>. Por providencia de fecha 15 de enero de 2024, la Sección Primera de este tribunal acordó admitir a trámite el recurso de amparo, al apreciar que concurre en el mismo una especial trascendencia constitucional (art. 50.1 LOTC) porque el recurso plantea un problema o afecta a una faceta de un derecho fundamental sobre el que no hay doctrina de este tribunal [STC 155/2009, de 25 de junio, FJ 2 a)], así como, porque el asunto suscitado trasciende del caso concreto porque plantea una cuestión jurídica de relevante y general repercusión social o económica [STC 155/2009, FJ 2 g)].</w:t>
      </w:r>
    </w:p>
    <w:p w14:paraId="2E8A6584" w14:textId="77777777" w:rsidR="009D7677" w:rsidRDefault="009D7677" w:rsidP="009D7677">
      <w:pPr>
        <w:pStyle w:val="TextoNormal"/>
      </w:pPr>
    </w:p>
    <w:p w14:paraId="1A01D271" w14:textId="1EA12FA5" w:rsidR="009D7677" w:rsidRDefault="009D7677" w:rsidP="009D7677">
      <w:pPr>
        <w:pStyle w:val="TextoNormal"/>
      </w:pPr>
      <w:r>
        <w:t xml:space="preserve">En aplicación de lo dispuesto en el art. 51 de la Ley Orgánica del Tribunal Constitucional (LOTC), se acordó dirigir atenta comunicación al Juzgado de Instrucción núm.44 de Madrid, a fin de que, en plazo que no exceda de diez días, remitiese certificación o fotocopia adverada de las actuaciones correspondientes al procedimiento de </w:t>
      </w:r>
      <w:r w:rsidRPr="009D7677">
        <w:rPr>
          <w:i/>
        </w:rPr>
        <w:t>habeas corpus</w:t>
      </w:r>
      <w:r>
        <w:t xml:space="preserve"> núm. 186-2023; debiendo previamente emplazarse, para que en el plazo de diez días pudiesen comparecer, si lo deseaban, en el recurso de amparo a quienes hubieran sido parte en el procedimiento, excepto la parte recurrente en amparo.</w:t>
      </w:r>
    </w:p>
    <w:p w14:paraId="2620F825" w14:textId="77777777" w:rsidR="009D7677" w:rsidRDefault="009D7677" w:rsidP="009D7677">
      <w:pPr>
        <w:pStyle w:val="TextoNormal"/>
      </w:pPr>
    </w:p>
    <w:p w14:paraId="7760AB9F" w14:textId="1E45F141" w:rsidR="009D7677" w:rsidRDefault="009D7677" w:rsidP="009D7677">
      <w:pPr>
        <w:pStyle w:val="TextoNormal"/>
      </w:pPr>
      <w:r w:rsidRPr="009D7677">
        <w:rPr>
          <w:rStyle w:val="NumeroAFNegritaCaracter"/>
        </w:rPr>
        <w:t>5</w:t>
      </w:r>
      <w:r>
        <w:t>. Por diligencia de ordenación de la secretaría de la Sala Primera de este tribunal, de fecha 15 de febrero de 2024, en virtud de lo dispuesto en el art. 52 LOTC, se acordó dar vista de todas las actuaciones, por un plazo común de veinte días, al Ministerio Fiscal y a las partes personadas, para que, dentro de dicho término, pudieran presentar las alegaciones que a su derecho convinieran.</w:t>
      </w:r>
    </w:p>
    <w:p w14:paraId="7FDCD29E" w14:textId="77777777" w:rsidR="009D7677" w:rsidRDefault="009D7677" w:rsidP="009D7677">
      <w:pPr>
        <w:pStyle w:val="TextoNormal"/>
      </w:pPr>
    </w:p>
    <w:p w14:paraId="7FF4BEB1" w14:textId="6B449006" w:rsidR="009D7677" w:rsidRDefault="009D7677" w:rsidP="009D7677">
      <w:pPr>
        <w:pStyle w:val="TextoNormal"/>
      </w:pPr>
      <w:r w:rsidRPr="009D7677">
        <w:rPr>
          <w:rStyle w:val="NumeroAFNegritaCaracter"/>
        </w:rPr>
        <w:t>6</w:t>
      </w:r>
      <w:r>
        <w:t>. El 12 de marzo de 2024 el demandante presentó escrito de alegaciones en el que ratificó íntegramente lo interesado en el escrito de demanda.</w:t>
      </w:r>
    </w:p>
    <w:p w14:paraId="42944BD6" w14:textId="77777777" w:rsidR="009D7677" w:rsidRDefault="009D7677" w:rsidP="009D7677">
      <w:pPr>
        <w:pStyle w:val="TextoNormal"/>
      </w:pPr>
    </w:p>
    <w:p w14:paraId="233934C9" w14:textId="77777777" w:rsidR="009D7677" w:rsidRDefault="009D7677" w:rsidP="009D7677">
      <w:pPr>
        <w:pStyle w:val="TextoNormal"/>
      </w:pPr>
      <w:r w:rsidRPr="009D7677">
        <w:rPr>
          <w:rStyle w:val="NumeroAFNegritaCaracter"/>
        </w:rPr>
        <w:t>7</w:t>
      </w:r>
      <w:r>
        <w:t xml:space="preserve">. El 20 de marzo de 2024 presentó sus alegaciones la fiscal ante el Tribunal Constitucional en las que interesó la estimación del recurso de amparo. Tras compendiar los antecedentes que consideró de interés y sintetizar las pretensiones formuladas en el escrito de demanda, afirmó que la respuesta que debe darse a todas las quejas expresadas debe reconducirse a la denuncia de la vulneración del derecho fundamental a la libertad personal, pues la esencia de la solicitud de amparo es el control de la privación de libertad causada por una detención que se considera ilegal y que no ha sido objeto de reparación judicial a través del instrumento especialmente destinado para ello, que es el procedimiento de </w:t>
      </w:r>
      <w:r w:rsidRPr="009D7677">
        <w:rPr>
          <w:i/>
        </w:rPr>
        <w:t>habeas corpus</w:t>
      </w:r>
      <w:r>
        <w:t>, conforme a lo previsto en el artículo 17.1 y 4 CE. A tal efecto, relacionó la jurisprudencia del Tribunal Constitucional que estima aplicable (en concreto, SSTC 73/2021, de 18 de marzo, 22/2022, de 21 de febrero, FFJJ 1 y 2; 49/2022, de 4 de abril, FJ 5, y 103/2022, de 12 de septiembre, FJ 2, entre otras y con cita de otras muchas).</w:t>
      </w:r>
    </w:p>
    <w:p w14:paraId="0832C941" w14:textId="77777777" w:rsidR="009D7677" w:rsidRDefault="009D7677" w:rsidP="009D7677">
      <w:pPr>
        <w:pStyle w:val="TextoNormal"/>
      </w:pPr>
    </w:p>
    <w:p w14:paraId="068C42E7" w14:textId="77777777" w:rsidR="009D7677" w:rsidRDefault="009D7677" w:rsidP="009D7677">
      <w:pPr>
        <w:pStyle w:val="TextoNormal"/>
      </w:pPr>
      <w:r>
        <w:t xml:space="preserve">En este sentido, afirma que deben rechazarse tanto la denuncia de vulneración del derecho a la asistencia letrada vinculada a la falta de práctica de la comparecencia a la que se refiere la Ley Orgánica de regulación del procedimiento de </w:t>
      </w:r>
      <w:r w:rsidRPr="009D7677">
        <w:rPr>
          <w:i/>
        </w:rPr>
        <w:t>habeas corpus</w:t>
      </w:r>
      <w:r>
        <w:t xml:space="preserve">, como la denuncia de vulneración del derecho de defensa vinculado con el derecho a la tutela judicial del art. 24.2 CE, de conformidad con la doctrina de este tribunal que relaciona, pues considera que el detenido contó con una adecuada defensa (que incluso instó el procedimiento de </w:t>
      </w:r>
      <w:r w:rsidRPr="009D7677">
        <w:rPr>
          <w:i/>
        </w:rPr>
        <w:t>habeas corpus</w:t>
      </w:r>
      <w:r>
        <w:t xml:space="preserve"> en su representación) y que las denuncias expuestas carecen de sustantividad propia, por lo que deben resolverse desde el prisma de la garantía del derecho a la libertad.</w:t>
      </w:r>
    </w:p>
    <w:p w14:paraId="6ECD8323" w14:textId="77777777" w:rsidR="009D7677" w:rsidRDefault="009D7677" w:rsidP="009D7677">
      <w:pPr>
        <w:pStyle w:val="TextoNormal"/>
      </w:pPr>
    </w:p>
    <w:p w14:paraId="107374D1" w14:textId="77777777" w:rsidR="009D7677" w:rsidRDefault="009D7677" w:rsidP="009D7677">
      <w:pPr>
        <w:pStyle w:val="TextoNormal"/>
      </w:pPr>
      <w:r>
        <w:t xml:space="preserve">Sostiene que la especialidad que concurre en el presente recurso es que, “sin haberse rechazado de manera expresa la incoación del procedimiento de </w:t>
      </w:r>
      <w:r w:rsidRPr="009D7677">
        <w:rPr>
          <w:i/>
        </w:rPr>
        <w:t>habeas corpus</w:t>
      </w:r>
      <w:r>
        <w:t xml:space="preserve"> se ha resuelto desestimando la solicitud por razones de fondo, consistentes en la no inclusión de la detención de que ha sido objeto el solicitante en alguno de los supuestos previstos en el artículo 1 de la LOHC, prescindiendo por completo del trámite del procedimiento”.</w:t>
      </w:r>
    </w:p>
    <w:p w14:paraId="3780D650" w14:textId="77777777" w:rsidR="009D7677" w:rsidRDefault="009D7677" w:rsidP="009D7677">
      <w:pPr>
        <w:pStyle w:val="TextoNormal"/>
      </w:pPr>
    </w:p>
    <w:p w14:paraId="5A58D005" w14:textId="77777777" w:rsidR="009D7677" w:rsidRDefault="009D7677" w:rsidP="009D7677">
      <w:pPr>
        <w:pStyle w:val="TextoNormal"/>
      </w:pPr>
      <w:r>
        <w:t xml:space="preserve">En este sentido y por remisión al contenido del auto impugnado, destaca que el juzgado de instrucción al invocar el art. 8 LOHC como justificativo de su decisión de denegación del </w:t>
      </w:r>
      <w:r w:rsidRPr="009D7677">
        <w:rPr>
          <w:i/>
        </w:rPr>
        <w:t>habeas corpus</w:t>
      </w:r>
      <w:r>
        <w:t>, entró a conocer del fondo del asunto sin haber practicado las actuaciones procesales a las que se refiere el art. 7 LOHC, es decir, “sin la puesta a disposición y audiencia del detenido, ni de su letrada, sin dar oportunidad para la proposición y práctica de pruebas, ni recabar el informe del Ministerio Fiscal, distinto del previsto en el art. 6, que es previo a la admisión a trámite”.</w:t>
      </w:r>
    </w:p>
    <w:p w14:paraId="26F22E5E" w14:textId="77777777" w:rsidR="009D7677" w:rsidRDefault="009D7677" w:rsidP="009D7677">
      <w:pPr>
        <w:pStyle w:val="TextoNormal"/>
      </w:pPr>
    </w:p>
    <w:p w14:paraId="3390051A" w14:textId="77777777" w:rsidR="009D7677" w:rsidRDefault="009D7677" w:rsidP="009D7677">
      <w:pPr>
        <w:pStyle w:val="TextoNormal"/>
      </w:pPr>
      <w:r>
        <w:t>Concluye, por tanto, que “nos encontramos ante un supuesto en [el] que, sin haber dictado auto de incoación del procedimiento, pero tampoco haberla denegado, se ha entrado a resolver sobre el fondo. De esta manera, la solución a la que se ha llegado en la práctica resulta idéntica a los supuestos de falta de admisión a trámite por motivos de fondo y se estima plenamente aplicable la doctrina constitucional dictada para estos supuestos”.</w:t>
      </w:r>
    </w:p>
    <w:p w14:paraId="72F0C45E" w14:textId="77777777" w:rsidR="009D7677" w:rsidRDefault="009D7677" w:rsidP="009D7677">
      <w:pPr>
        <w:pStyle w:val="TextoNormal"/>
      </w:pPr>
    </w:p>
    <w:p w14:paraId="1E5E26C8" w14:textId="77777777" w:rsidR="009D7677" w:rsidRDefault="009D7677" w:rsidP="009D7677">
      <w:pPr>
        <w:pStyle w:val="TextoNormal"/>
      </w:pPr>
      <w:r>
        <w:t xml:space="preserve">En cuanto a los efectos de la estimación del amparo, advierte que no es precisa la retroacción de actuaciones al carecer de eficacia por haber cesado la situación de privación de libertad a cuyo control de legalidad está orientado el procedimiento de </w:t>
      </w:r>
      <w:r w:rsidRPr="009D7677">
        <w:rPr>
          <w:i/>
        </w:rPr>
        <w:t>habeas corpus</w:t>
      </w:r>
      <w:r>
        <w:t xml:space="preserve"> (así; SSTC 204/2015, de 5 de octubre, FJ 5; 72/2019, de 20 de mayo, FJ 3, y 73/2021, de 18 de marzo, FJ 5), por lo que interesa que se dicte sentencia “en los términos que se solicitan en el presente escrito de alegaciones, con los siguientes pronunciamientos:  </w:t>
      </w:r>
    </w:p>
    <w:p w14:paraId="04814B9A" w14:textId="77777777" w:rsidR="009D7677" w:rsidRDefault="009D7677" w:rsidP="009D7677">
      <w:pPr>
        <w:pStyle w:val="TextoNormal"/>
      </w:pPr>
    </w:p>
    <w:p w14:paraId="1D888A65" w14:textId="77777777" w:rsidR="009D7677" w:rsidRDefault="009D7677" w:rsidP="009D7677">
      <w:pPr>
        <w:pStyle w:val="TextoNormal"/>
      </w:pPr>
      <w:r>
        <w:t>1º.- Otorgar el amparo solicitado y, en consecuencia:</w:t>
      </w:r>
    </w:p>
    <w:p w14:paraId="0D885313" w14:textId="77777777" w:rsidR="009D7677" w:rsidRDefault="009D7677" w:rsidP="009D7677">
      <w:pPr>
        <w:pStyle w:val="TextoNormal"/>
      </w:pPr>
    </w:p>
    <w:p w14:paraId="742F1B7F" w14:textId="77777777" w:rsidR="009D7677" w:rsidRDefault="009D7677" w:rsidP="009D7677">
      <w:pPr>
        <w:pStyle w:val="TextoNormal"/>
      </w:pPr>
      <w:r>
        <w:t xml:space="preserve">2º.- Reconocer que se ha vulnerado su derecho fundamental a la libertad personal y a su garantía mediante el procedimiento de </w:t>
      </w:r>
      <w:r w:rsidRPr="009D7677">
        <w:rPr>
          <w:i/>
        </w:rPr>
        <w:t>habeas corpus</w:t>
      </w:r>
      <w:r>
        <w:t xml:space="preserve"> conforme a lo previsto en el artículo 17.1 y 4 CE.</w:t>
      </w:r>
    </w:p>
    <w:p w14:paraId="5C5390DD" w14:textId="77777777" w:rsidR="009D7677" w:rsidRDefault="009D7677" w:rsidP="009D7677">
      <w:pPr>
        <w:pStyle w:val="TextoNormal"/>
      </w:pPr>
    </w:p>
    <w:p w14:paraId="5CD97FA7" w14:textId="70B6B4CC" w:rsidR="009D7677" w:rsidRDefault="009D7677" w:rsidP="009D7677">
      <w:pPr>
        <w:pStyle w:val="TextoNormal"/>
      </w:pPr>
      <w:r>
        <w:t>3º.- Declarar la nulidad del auto de fecha 21 de enero de 2023 sin que proceda la retroacción de las actuaciones”.</w:t>
      </w:r>
    </w:p>
    <w:p w14:paraId="1E3E2044" w14:textId="77777777" w:rsidR="009D7677" w:rsidRDefault="009D7677" w:rsidP="009D7677">
      <w:pPr>
        <w:pStyle w:val="TextoNormal"/>
      </w:pPr>
    </w:p>
    <w:p w14:paraId="55D73C8B" w14:textId="3D3A8D4B" w:rsidR="009D7677" w:rsidRDefault="009D7677" w:rsidP="009D7677">
      <w:pPr>
        <w:pStyle w:val="TextoNormal"/>
      </w:pPr>
      <w:r w:rsidRPr="009D7677">
        <w:rPr>
          <w:rStyle w:val="NumeroAFNegritaCaracter"/>
        </w:rPr>
        <w:t>8</w:t>
      </w:r>
      <w:r>
        <w:t>. Mediante providencia de 3 de junio de 2024 se señaló ese mismo día para deliberación y votación de la presente sentencia.</w:t>
      </w:r>
    </w:p>
    <w:p w14:paraId="04D0BEBD" w14:textId="77777777" w:rsidR="009D7677" w:rsidRDefault="009D7677" w:rsidP="009D7677">
      <w:pPr>
        <w:pStyle w:val="TextoNormal"/>
      </w:pPr>
    </w:p>
    <w:p w14:paraId="641EC1B8" w14:textId="77777777" w:rsidR="009D7677" w:rsidRDefault="009D7677" w:rsidP="009D7677">
      <w:pPr>
        <w:pStyle w:val="TextoNormalNegritaCentrado"/>
        <w:keepNext/>
      </w:pPr>
      <w:r>
        <w:t>II. Fundamentos jurídicos</w:t>
      </w:r>
    </w:p>
    <w:p w14:paraId="36FFA144" w14:textId="07DA7DF5" w:rsidR="009D7677" w:rsidRDefault="009D7677" w:rsidP="009D7677">
      <w:pPr>
        <w:pStyle w:val="TextoNormalNegritaCentrado"/>
        <w:keepNext/>
      </w:pPr>
    </w:p>
    <w:p w14:paraId="6F5ABAA6" w14:textId="77777777" w:rsidR="009D7677" w:rsidRDefault="009D7677" w:rsidP="009D7677">
      <w:pPr>
        <w:pStyle w:val="TextoNormal"/>
      </w:pPr>
      <w:r w:rsidRPr="009D7677">
        <w:rPr>
          <w:rStyle w:val="NumeroAFNegritaCaracter"/>
        </w:rPr>
        <w:t>1</w:t>
      </w:r>
      <w:r>
        <w:t xml:space="preserve">. </w:t>
      </w:r>
      <w:r w:rsidRPr="009D7677">
        <w:rPr>
          <w:i/>
        </w:rPr>
        <w:t>Objeto del recurso de amparo, pretensiones de las partes y especial trascendencia constitucional</w:t>
      </w:r>
    </w:p>
    <w:p w14:paraId="449FCEC5" w14:textId="77777777" w:rsidR="009D7677" w:rsidRDefault="009D7677" w:rsidP="009D7677">
      <w:pPr>
        <w:pStyle w:val="TextoNormal"/>
      </w:pPr>
    </w:p>
    <w:p w14:paraId="6C1C9D23" w14:textId="77777777" w:rsidR="009D7677" w:rsidRDefault="009D7677" w:rsidP="009D7677">
      <w:pPr>
        <w:pStyle w:val="TextoNormal"/>
      </w:pPr>
      <w:r>
        <w:t xml:space="preserve">a) Objeto del recurso de amparo. El presente recurso de amparo se dirige contra el auto del Juzgado de Instrucción núm. 44 de Madrid, en funciones de guardia, de fecha 21 de </w:t>
      </w:r>
      <w:r>
        <w:lastRenderedPageBreak/>
        <w:t xml:space="preserve">enero de 2023, dictado en el procedimiento de </w:t>
      </w:r>
      <w:r w:rsidRPr="009D7677">
        <w:rPr>
          <w:i/>
        </w:rPr>
        <w:t>habeas corpus</w:t>
      </w:r>
      <w:r>
        <w:t xml:space="preserve"> núm. 186-2023, por el que se estimó procedente denegar la solicitud de </w:t>
      </w:r>
      <w:r w:rsidRPr="009D7677">
        <w:rPr>
          <w:i/>
        </w:rPr>
        <w:t>habeas corpus</w:t>
      </w:r>
      <w:r>
        <w:t>.</w:t>
      </w:r>
    </w:p>
    <w:p w14:paraId="47CCFD81" w14:textId="77777777" w:rsidR="009D7677" w:rsidRDefault="009D7677" w:rsidP="009D7677">
      <w:pPr>
        <w:pStyle w:val="TextoNormal"/>
      </w:pPr>
    </w:p>
    <w:p w14:paraId="39130FC0" w14:textId="77777777" w:rsidR="009D7677" w:rsidRDefault="009D7677" w:rsidP="009D7677">
      <w:pPr>
        <w:pStyle w:val="TextoNormal"/>
      </w:pPr>
      <w:r>
        <w:t xml:space="preserve">b) Pretensiones de las partes. El demandante de amparo, como se ha anticipado, denuncia la vulneración (i) del derecho a la libertad (art. 17.1 CE) al haber sido privado de ella fuera de los casos y forma previstos en la ley; (ii) del derecho a la impugnación de la legalidad de la detención y al control judicial de la privación de libertad (art. 17.4 CE), al haberse incumplido las normas procesales que rigen en la tramitación del </w:t>
      </w:r>
      <w:r w:rsidRPr="009D7677">
        <w:rPr>
          <w:i/>
        </w:rPr>
        <w:t>habeas corpus</w:t>
      </w:r>
      <w:r>
        <w:t xml:space="preserve">; (iii) del derecho a la asistencia letrada al detenido (art. 17.3 CE) al no haberse permitido celebrar la comparecencia del </w:t>
      </w:r>
      <w:r w:rsidRPr="009D7677">
        <w:rPr>
          <w:i/>
        </w:rPr>
        <w:t>habeas corpus</w:t>
      </w:r>
      <w:r>
        <w:t xml:space="preserve">; y (iv) del derecho de defensa (24.2 CE), a la tutela judicial efectiva y en su vertiente del derecho a una resolución fundada en Derecho, por la respuesta dada en el auto que desestimó, </w:t>
      </w:r>
      <w:r w:rsidRPr="009D7677">
        <w:rPr>
          <w:i/>
        </w:rPr>
        <w:t>a limine</w:t>
      </w:r>
      <w:r>
        <w:t xml:space="preserve">, el </w:t>
      </w:r>
      <w:r w:rsidRPr="009D7677">
        <w:rPr>
          <w:i/>
        </w:rPr>
        <w:t>habeas corpus</w:t>
      </w:r>
      <w:r>
        <w:t xml:space="preserve"> (art. 24.2 CE).</w:t>
      </w:r>
    </w:p>
    <w:p w14:paraId="39B51EBA" w14:textId="77777777" w:rsidR="009D7677" w:rsidRDefault="009D7677" w:rsidP="009D7677">
      <w:pPr>
        <w:pStyle w:val="TextoNormal"/>
      </w:pPr>
    </w:p>
    <w:p w14:paraId="09DFEFC8" w14:textId="77777777" w:rsidR="009D7677" w:rsidRDefault="009D7677" w:rsidP="009D7677">
      <w:pPr>
        <w:pStyle w:val="TextoNormal"/>
      </w:pPr>
      <w:r>
        <w:t>Por su parte, la fiscal ante el Tribunal Constitucional interesó la estimación del recurso de amparo, en los términos expuestos en los antecedentes de esta sentencia.</w:t>
      </w:r>
    </w:p>
    <w:p w14:paraId="341B1021" w14:textId="77777777" w:rsidR="009D7677" w:rsidRDefault="009D7677" w:rsidP="009D7677">
      <w:pPr>
        <w:pStyle w:val="TextoNormal"/>
      </w:pPr>
    </w:p>
    <w:p w14:paraId="086068DB" w14:textId="77777777" w:rsidR="009D7677" w:rsidRDefault="009D7677" w:rsidP="009D7677">
      <w:pPr>
        <w:pStyle w:val="TextoNormal"/>
      </w:pPr>
      <w:r>
        <w:t xml:space="preserve">c) Especial trascendencia constitucional. Las exigencias de certeza y buena administración de justicia (STEDH de 20 de enero de 2015, asunto </w:t>
      </w:r>
      <w:r w:rsidRPr="009D7677">
        <w:rPr>
          <w:i/>
        </w:rPr>
        <w:t>Arribas Antón c. España</w:t>
      </w:r>
      <w:r>
        <w:t>, § 46) obligan a explicitar el cumplimiento del requisito sustantivo de la especial trascendencia constitucional (art. 50.1 LOTC) en el presente recurso de amparo, a fin de hacer reconocibles los criterios empleados al efecto por este tribunal para su admisión a trámite. Debe recordarse en este sentido que se decidió admitir este recurso (providencia de 17 de abril de 2023) al apreciar que concurre en el mismo una especial trascendencia constitucional, porque el recurso plantea un problema o afecta a una faceta de un derecho fundamental sobre el que no hay doctrina de este tribunal [STC 155/2009, FJ 2 a)], así como, porque el asunto suscitado trasciende del caso concreto porque plantea una cuestión jurídica de relevante y general repercusión social o económica [STC 155/2009, FJ 2 g)].</w:t>
      </w:r>
    </w:p>
    <w:p w14:paraId="175E8675" w14:textId="77777777" w:rsidR="009D7677" w:rsidRDefault="009D7677" w:rsidP="009D7677">
      <w:pPr>
        <w:pStyle w:val="TextoNormal"/>
      </w:pPr>
    </w:p>
    <w:p w14:paraId="568E10AA" w14:textId="201175F6" w:rsidR="009D7677" w:rsidRDefault="009D7677" w:rsidP="009D7677">
      <w:pPr>
        <w:pStyle w:val="TextoNormal"/>
      </w:pPr>
      <w:r>
        <w:t xml:space="preserve">En este sentido, se estima que el recurso plantea un problema o afecta a una faceta de un derecho fundamental sobre el que no hay doctrina de este tribunal [STC 155/2009, FJ 2 a)] consistente en determinar si es respetuoso con el derecho a la libertad personal del detenido en su vertiente del derecho al control judicial de la detención (art. 17.1 y 4 CE) la posibilidad de incoar el procedimiento de </w:t>
      </w:r>
      <w:r w:rsidRPr="009D7677">
        <w:rPr>
          <w:i/>
        </w:rPr>
        <w:t>habeas corpus</w:t>
      </w:r>
      <w:r>
        <w:t xml:space="preserve"> para, a continuación y sin agotar el procedimiento previsto al efecto en el art. 7 LOHC, denegar la solicitud de </w:t>
      </w:r>
      <w:r w:rsidRPr="009D7677">
        <w:rPr>
          <w:i/>
        </w:rPr>
        <w:t>habeas corpus</w:t>
      </w:r>
      <w:r>
        <w:t xml:space="preserve"> por cuestiones de fondo.</w:t>
      </w:r>
    </w:p>
    <w:p w14:paraId="34C6B014" w14:textId="77777777" w:rsidR="009D7677" w:rsidRDefault="009D7677" w:rsidP="009D7677">
      <w:pPr>
        <w:pStyle w:val="TextoNormal"/>
      </w:pPr>
    </w:p>
    <w:p w14:paraId="658A7F86" w14:textId="77777777" w:rsidR="009D7677" w:rsidRDefault="009D7677" w:rsidP="009D7677">
      <w:pPr>
        <w:pStyle w:val="TextoNormal"/>
      </w:pPr>
      <w:r w:rsidRPr="009D7677">
        <w:rPr>
          <w:rStyle w:val="NumeroAFNegritaCaracter"/>
        </w:rPr>
        <w:t>2</w:t>
      </w:r>
      <w:r>
        <w:t xml:space="preserve">. </w:t>
      </w:r>
      <w:r w:rsidRPr="009D7677">
        <w:rPr>
          <w:i/>
        </w:rPr>
        <w:t>Doctrina constitucional sobre la institución del</w:t>
      </w:r>
      <w:r>
        <w:t xml:space="preserve"> habeas corpus. </w:t>
      </w:r>
      <w:r w:rsidRPr="009D7677">
        <w:rPr>
          <w:i/>
        </w:rPr>
        <w:t>Prohibición de inadmisión</w:t>
      </w:r>
      <w:r>
        <w:t xml:space="preserve"> a limine </w:t>
      </w:r>
      <w:r w:rsidRPr="009D7677">
        <w:rPr>
          <w:i/>
        </w:rPr>
        <w:t>de la solicitud</w:t>
      </w:r>
    </w:p>
    <w:p w14:paraId="1495855C" w14:textId="77777777" w:rsidR="009D7677" w:rsidRDefault="009D7677" w:rsidP="009D7677">
      <w:pPr>
        <w:pStyle w:val="TextoNormal"/>
      </w:pPr>
    </w:p>
    <w:p w14:paraId="20DBC20E" w14:textId="77777777" w:rsidR="009D7677" w:rsidRDefault="009D7677" w:rsidP="009D7677">
      <w:pPr>
        <w:pStyle w:val="TextoNormal"/>
      </w:pPr>
      <w:r>
        <w:t xml:space="preserve">La especial trascendencia constitucional apreciada en el recurso, así como la plural denuncia de vulneración de los derechos fundamentales del demandante, supuestamente acaecidas al albur de la solicitud de </w:t>
      </w:r>
      <w:r w:rsidRPr="009D7677">
        <w:rPr>
          <w:i/>
        </w:rPr>
        <w:t>habeas corpus</w:t>
      </w:r>
      <w:r>
        <w:t xml:space="preserve"> que nos ocupa, invitan a exponer la principal doctrina constitucional relativa a la institución del </w:t>
      </w:r>
      <w:r w:rsidRPr="009D7677">
        <w:rPr>
          <w:i/>
        </w:rPr>
        <w:t>habeas corpus</w:t>
      </w:r>
      <w:r>
        <w:t>.</w:t>
      </w:r>
    </w:p>
    <w:p w14:paraId="6A451758" w14:textId="77777777" w:rsidR="009D7677" w:rsidRDefault="009D7677" w:rsidP="009D7677">
      <w:pPr>
        <w:pStyle w:val="TextoNormal"/>
      </w:pPr>
    </w:p>
    <w:p w14:paraId="034BFAD2" w14:textId="77777777" w:rsidR="009D7677" w:rsidRDefault="009D7677" w:rsidP="009D7677">
      <w:pPr>
        <w:pStyle w:val="TextoNormal"/>
      </w:pPr>
      <w:r>
        <w:t xml:space="preserve">a) Naturaleza y finalidad de la institución del </w:t>
      </w:r>
      <w:r w:rsidRPr="009D7677">
        <w:rPr>
          <w:i/>
        </w:rPr>
        <w:t>habeas corpus</w:t>
      </w:r>
    </w:p>
    <w:p w14:paraId="3CA31BF2" w14:textId="77777777" w:rsidR="009D7677" w:rsidRDefault="009D7677" w:rsidP="009D7677">
      <w:pPr>
        <w:pStyle w:val="TextoNormal"/>
      </w:pPr>
    </w:p>
    <w:p w14:paraId="11FDBBC7" w14:textId="77777777" w:rsidR="009D7677" w:rsidRDefault="009D7677" w:rsidP="009D7677">
      <w:pPr>
        <w:pStyle w:val="TextoNormal"/>
      </w:pPr>
      <w:r>
        <w:t xml:space="preserve">Al respecto, hemos dicho en STC 73/2021, de 18 de marzo, FJ 2, que la Constitución, en su artículo 17, “después de reconocer el derecho a la libertad personal, establece un </w:t>
      </w:r>
      <w:r>
        <w:lastRenderedPageBreak/>
        <w:t xml:space="preserve">sistema de garantías destinado a preservar su efectividad. Destaca entre ellas, por su relevancia, la del procedimiento de </w:t>
      </w:r>
      <w:r w:rsidRPr="009D7677">
        <w:rPr>
          <w:i/>
        </w:rPr>
        <w:t>habeas corpus</w:t>
      </w:r>
      <w:r>
        <w:t xml:space="preserve">, en cuanto instrumento procesal específicamente destinado a su defensa y protección. Tampoco debemos dejar de advertir, por su obviedad, que, como tal garantía del derecho a la libertad, este procedimiento aparece incluido en el propio precepto constitucional de referencia. Así, ‘el constituyente quiso que la libertad del art. 17 CE fuera el único derecho fundamental que contuviera una garantía adicional, única y específica en el marco de los derechos fundamentales reconocidos por nuestra Constitución, consistente en un mecanismo </w:t>
      </w:r>
      <w:r w:rsidRPr="009D7677">
        <w:rPr>
          <w:i/>
        </w:rPr>
        <w:t>ad hoc</w:t>
      </w:r>
      <w:r>
        <w:t xml:space="preserve"> para evitar y hacer cesar de manera inmediata las vulneraciones del derecho mediante la puesta a disposición ante el órgano judicial de la persona privada de libertad’ (STC 208/2000, de 24 de julio, FJ 3)”.</w:t>
      </w:r>
    </w:p>
    <w:p w14:paraId="40E0E3E7" w14:textId="77777777" w:rsidR="009D7677" w:rsidRDefault="009D7677" w:rsidP="009D7677">
      <w:pPr>
        <w:pStyle w:val="TextoNormal"/>
      </w:pPr>
    </w:p>
    <w:p w14:paraId="5D4C6DDC" w14:textId="77777777" w:rsidR="009D7677" w:rsidRDefault="009D7677" w:rsidP="009D7677">
      <w:pPr>
        <w:pStyle w:val="TextoNormal"/>
      </w:pPr>
      <w:r>
        <w:t xml:space="preserve">b) Notas características definitorias del </w:t>
      </w:r>
      <w:r w:rsidRPr="009D7677">
        <w:rPr>
          <w:i/>
        </w:rPr>
        <w:t>habeas corpus</w:t>
      </w:r>
    </w:p>
    <w:p w14:paraId="4CD038A7" w14:textId="77777777" w:rsidR="009D7677" w:rsidRDefault="009D7677" w:rsidP="009D7677">
      <w:pPr>
        <w:pStyle w:val="TextoNormal"/>
      </w:pPr>
    </w:p>
    <w:p w14:paraId="79D04AC4" w14:textId="77777777" w:rsidR="009D7677" w:rsidRDefault="009D7677" w:rsidP="009D7677">
      <w:pPr>
        <w:pStyle w:val="TextoNormal"/>
      </w:pPr>
      <w:r>
        <w:t xml:space="preserve">En múltiples sentencias de este tribunal y dada la naturaleza de esta garantía adicional y extraordinaria del derecho a la libertad personal, hemos concluido que las notas propias del procedimiento de </w:t>
      </w:r>
      <w:r w:rsidRPr="009D7677">
        <w:rPr>
          <w:i/>
        </w:rPr>
        <w:t>habeas corpus</w:t>
      </w:r>
      <w:r>
        <w:t xml:space="preserve"> son, de una parte «la celeridad, en el sentido de que, con la mayor rapidez posible, el juez haga cesar la vulneración del derecho a la libertad; y, de otro lado, la inmediación, entendida esta última como la presencia del detenido ante el juez. Al respecto, el Tribunal ha declarado que “la esencia de este proceso consiste, precisamente, en que el juez compruebe personalmente la situación de la persona que pida el control judicial, siempre que se encuentre efectivamente detenida, es decir, ‘haber el cuerpo’ de quien se encuentre detenido para ofrecerle una oportunidad de hacerse oír, y ofrecer las alegaciones y pruebas (STC 37/2008, de 25 de febrero, FJ 3)” (STC 12/2014, de 27 de enero, FJ 3, y 72/2019, de 20 de mayo, FJ 2, por todas)» [STC 73/2021, de 18 de marzo, FJ 2 B)].</w:t>
      </w:r>
    </w:p>
    <w:p w14:paraId="65E397CC" w14:textId="77777777" w:rsidR="009D7677" w:rsidRDefault="009D7677" w:rsidP="009D7677">
      <w:pPr>
        <w:pStyle w:val="TextoNormal"/>
      </w:pPr>
    </w:p>
    <w:p w14:paraId="2041C082" w14:textId="77777777" w:rsidR="009D7677" w:rsidRDefault="009D7677" w:rsidP="009D7677">
      <w:pPr>
        <w:pStyle w:val="TextoNormal"/>
      </w:pPr>
      <w:r>
        <w:t xml:space="preserve">Dicho de otro modo, se vulnera el derecho a la libertad de toda persona detenida en su vertiente del derecho al control judicial de la detención (art. 17.1 y 4 CE) cuando, habiendo solicitado el </w:t>
      </w:r>
      <w:r w:rsidRPr="009D7677">
        <w:rPr>
          <w:i/>
        </w:rPr>
        <w:t>habeas corpus</w:t>
      </w:r>
      <w:r>
        <w:t xml:space="preserve"> al considerar que su detención es ilegal, no se procede de forma acelerada a tramitarla y dar respuesta (lo que no implica necesariamente inmediatez en la puesta a disposición judicial) y/o cuando falta un verdadero control judicial de la detención consistente en la inexcusable comprobación personal de las circunstancias de la persona detenida por parte del juez quien, al efecto, debe permitir “una oportunidad de hacerse oír, y ofrecer las alegaciones y pruebas” que estime pertinentes al efecto.</w:t>
      </w:r>
    </w:p>
    <w:p w14:paraId="5E08F5AA" w14:textId="77777777" w:rsidR="009D7677" w:rsidRDefault="009D7677" w:rsidP="009D7677">
      <w:pPr>
        <w:pStyle w:val="TextoNormal"/>
      </w:pPr>
    </w:p>
    <w:p w14:paraId="6650D77C" w14:textId="77777777" w:rsidR="009D7677" w:rsidRDefault="009D7677" w:rsidP="009D7677">
      <w:pPr>
        <w:pStyle w:val="TextoNormal"/>
      </w:pPr>
      <w:r>
        <w:t xml:space="preserve">c) Tramitación del procedimiento de </w:t>
      </w:r>
      <w:r w:rsidRPr="009D7677">
        <w:rPr>
          <w:i/>
        </w:rPr>
        <w:t>habeas corpus</w:t>
      </w:r>
    </w:p>
    <w:p w14:paraId="0E5AED0B" w14:textId="77777777" w:rsidR="009D7677" w:rsidRDefault="009D7677" w:rsidP="009D7677">
      <w:pPr>
        <w:pStyle w:val="TextoNormal"/>
      </w:pPr>
    </w:p>
    <w:p w14:paraId="0BB1E93F" w14:textId="77777777" w:rsidR="009D7677" w:rsidRDefault="009D7677" w:rsidP="009D7677">
      <w:pPr>
        <w:pStyle w:val="TextoNormal"/>
      </w:pPr>
      <w:r>
        <w:t xml:space="preserve">El procedimiento de </w:t>
      </w:r>
      <w:r w:rsidRPr="009D7677">
        <w:rPr>
          <w:i/>
        </w:rPr>
        <w:t>habeas corpus</w:t>
      </w:r>
      <w:r>
        <w:t xml:space="preserve"> debe tramitarse en todo caso una vez solicitada por cualquiera de las personas o instituciones legitimadas a las que se refiere el art. 3 LOHC siempre que, en efecto, una persona se encuentre materialmente detenida. No es constitucionalmente admisible, por tanto, la inadmisión </w:t>
      </w:r>
      <w:r w:rsidRPr="009D7677">
        <w:rPr>
          <w:i/>
        </w:rPr>
        <w:t>a limine</w:t>
      </w:r>
      <w:r>
        <w:t xml:space="preserve"> del procedimiento por razones de fondo.</w:t>
      </w:r>
    </w:p>
    <w:p w14:paraId="1ABCC041" w14:textId="77777777" w:rsidR="009D7677" w:rsidRDefault="009D7677" w:rsidP="009D7677">
      <w:pPr>
        <w:pStyle w:val="TextoNormal"/>
      </w:pPr>
    </w:p>
    <w:p w14:paraId="559E35E8" w14:textId="77777777" w:rsidR="009D7677" w:rsidRDefault="009D7677" w:rsidP="009D7677">
      <w:pPr>
        <w:pStyle w:val="TextoNormal"/>
      </w:pPr>
      <w:r>
        <w:t xml:space="preserve">Como hemos advertido en la STC 103/2022, de 12 de septiembre, FJ 3 «[e]ste tribunal ha asentado una sólida e incontrovertida doctrina a través de las numerosas resoluciones en que ha dilucidado respecto de la denegación judicial de la incoación del procedimiento de </w:t>
      </w:r>
      <w:r w:rsidRPr="009D7677">
        <w:rPr>
          <w:i/>
        </w:rPr>
        <w:t>habeas corpus</w:t>
      </w:r>
      <w:r>
        <w:t xml:space="preserve">, al considerar que no concurría ninguno de los supuestos descritos en el art. 1 de la Ley Orgánica 6/1984, de 24 de mayo, reguladora del procedimiento de </w:t>
      </w:r>
      <w:r w:rsidRPr="009D7677">
        <w:rPr>
          <w:i/>
        </w:rPr>
        <w:t xml:space="preserve">habeas </w:t>
      </w:r>
      <w:r w:rsidRPr="009D7677">
        <w:rPr>
          <w:i/>
        </w:rPr>
        <w:lastRenderedPageBreak/>
        <w:t>corpus</w:t>
      </w:r>
      <w:r>
        <w:t xml:space="preserve">. En aras de la brevedad, basta con reproducir la argumentación que obra en la STC 49/2022, de 4 de abril, FJ 5, para que quede reflejada nuestra consolidada postura: “[e]n reiteradas ocasiones el Tribunal Constitucional ha resuelto sobre las consecuencias derivadas de la denegación de la incoación del procedimiento de </w:t>
      </w:r>
      <w:r w:rsidRPr="009D7677">
        <w:rPr>
          <w:i/>
        </w:rPr>
        <w:t>habeas corpus</w:t>
      </w:r>
      <w:r>
        <w:t xml:space="preserve"> por razones de fondo, en la consideración de que no concurre ninguno de los supuestos contemplados en el art. 1 LOHC. Este tribunal ha desautorizado repetida y categóricamente ese proceder. Concretamente, en la reciente STC 73/2021, de 18 de marzo, FJ 4, recordamos que ‘aun cuando la Ley Orgánica de regulación del procedimiento de </w:t>
      </w:r>
      <w:r w:rsidRPr="009D7677">
        <w:rPr>
          <w:i/>
        </w:rPr>
        <w:t>habeas corpus</w:t>
      </w:r>
      <w:r>
        <w:t xml:space="preserve"> posibilita denegar la incoación del correspondiente procedimiento, fundamentar la decisión de no admisión en que el recurrente no se encontraba ilícitamente privado de libertad, por no concurrir ninguno de los supuestos del art. 1 LOHC, vulnera el art. 17.4 CE, ya que implica una resolución sobre el fondo que solo puede ser valorada y enjuiciada después de sustanciado el procedimiento y oído el detenido, con intervención del Ministerio Fiscal.</w:t>
      </w:r>
    </w:p>
    <w:p w14:paraId="1D4A4406" w14:textId="77777777" w:rsidR="009D7677" w:rsidRDefault="009D7677" w:rsidP="009D7677">
      <w:pPr>
        <w:pStyle w:val="TextoNormal"/>
      </w:pPr>
    </w:p>
    <w:p w14:paraId="3610763A" w14:textId="77777777" w:rsidR="009D7677" w:rsidRDefault="009D7677" w:rsidP="009D7677">
      <w:pPr>
        <w:pStyle w:val="TextoNormal"/>
      </w:pPr>
      <w:r>
        <w:t xml:space="preserve">Los únicos motivos constitucionalmente legítimos para no admitir un procedimiento de </w:t>
      </w:r>
      <w:r w:rsidRPr="009D7677">
        <w:rPr>
          <w:i/>
        </w:rPr>
        <w:t>habeas corpus</w:t>
      </w:r>
      <w:r>
        <w:t xml:space="preserve"> son los basados en la falta del presupuesto necesario de una situación de privación de libertad no acordada judicialmente o en el incumplimiento de los requisitos formales a los que se refiere el art. 4 LOHC. Esta jurisprudencia es reiterada, constante e inequívoca (entre otras, SSTC 21/2014, de 10 de febrero, FJ 2; 32/2014, de 24 de febrero, FJ 2; 195/2014, de 1 de diciembre, FJ 3; 42/2015, de 2 de marzo, FJ 2, y 204/2015, de 5 de octubre, FJ 2, entre las más recientes)’”.</w:t>
      </w:r>
    </w:p>
    <w:p w14:paraId="46983AB1" w14:textId="77777777" w:rsidR="009D7677" w:rsidRDefault="009D7677" w:rsidP="009D7677">
      <w:pPr>
        <w:pStyle w:val="TextoNormal"/>
      </w:pPr>
    </w:p>
    <w:p w14:paraId="5E660867" w14:textId="77777777" w:rsidR="009D7677" w:rsidRDefault="009D7677" w:rsidP="009D7677">
      <w:pPr>
        <w:pStyle w:val="TextoNormal"/>
      </w:pPr>
      <w:r>
        <w:t xml:space="preserve">Y en la STC 73/2021, de 18 de marzo, FJ 4, aseveramos la importancia que, desde la perspectiva del derecho reconocido en el art. 17 CE, reviste el control judicial de las privaciones de libertad: “se hace necesario reiterar una vez más que este tribunal ha declarado que el procedimiento de </w:t>
      </w:r>
      <w:r w:rsidRPr="009D7677">
        <w:rPr>
          <w:i/>
        </w:rPr>
        <w:t>habeas corpus</w:t>
      </w:r>
      <w:r>
        <w:t xml:space="preserve"> no puede verse mermado en su calidad o intensidad; y que el control judicial de las privaciones de libertad que se realicen a su amparo debe ser plenamente efectivo, y no solo formal, para evitar que quede menoscabado el derecho a la libertad, ya que la esencia histórica y constitucional de este procedimiento radica en que el juez compruebe personalmente la situación de quien pide el control judicial, siempre que la persona se encuentre efectivamente detenida, ofreciéndole una oportunidad de hacerse oír (STC 95/2012, de 7 de mayo, FJ 4). Por otra parte, también es preciso recordar que es a los órganos judiciales a los que corresponde la esencial función de garantizar el derecho a la libertad mediante el procedimiento de </w:t>
      </w:r>
      <w:r w:rsidRPr="009D7677">
        <w:rPr>
          <w:i/>
        </w:rPr>
        <w:t>habeas corpus</w:t>
      </w:r>
      <w:r>
        <w:t xml:space="preserve"> controlando las privaciones de libertad no acordadas judicialmente; que en esa función están vinculados por la Constitución; y que tienen la obligación de aplicar e interpretar las leyes según los preceptos y principios constitucionales, conforme a la interpretación de los mismos que resulte de las resoluciones dictadas por el Tribunal Constitucional en todo tipo de procesos (art. 5.1 de la Ley Orgánica del Poder Judicial)”».</w:t>
      </w:r>
    </w:p>
    <w:p w14:paraId="10D5C70C" w14:textId="77777777" w:rsidR="009D7677" w:rsidRDefault="009D7677" w:rsidP="009D7677">
      <w:pPr>
        <w:pStyle w:val="TextoNormal"/>
      </w:pPr>
    </w:p>
    <w:p w14:paraId="1EBE1AFF" w14:textId="77777777" w:rsidR="009D7677" w:rsidRDefault="009D7677" w:rsidP="009D7677">
      <w:pPr>
        <w:pStyle w:val="TextoNormal"/>
      </w:pPr>
      <w:r>
        <w:t>d) Eventual infracción del deber de motivación en la resolución de inadmisió</w:t>
      </w:r>
      <w:r w:rsidRPr="009D7677">
        <w:rPr>
          <w:i/>
        </w:rPr>
        <w:t>n a limi</w:t>
      </w:r>
      <w:r>
        <w:t>ne</w:t>
      </w:r>
    </w:p>
    <w:p w14:paraId="721BE407" w14:textId="77777777" w:rsidR="009D7677" w:rsidRDefault="009D7677" w:rsidP="009D7677">
      <w:pPr>
        <w:pStyle w:val="TextoNormal"/>
      </w:pPr>
    </w:p>
    <w:p w14:paraId="1F8A2DA2" w14:textId="77777777" w:rsidR="009D7677" w:rsidRDefault="009D7677" w:rsidP="009D7677">
      <w:pPr>
        <w:pStyle w:val="TextoNormal"/>
      </w:pPr>
      <w:r>
        <w:t xml:space="preserve">En relación con dicha denuncia, que de ordinario acompaña a la denuncia de infracción del derecho a la libertad personal en supuestos de inadmisión </w:t>
      </w:r>
      <w:r w:rsidRPr="009D7677">
        <w:rPr>
          <w:i/>
        </w:rPr>
        <w:t>a limine</w:t>
      </w:r>
      <w:r>
        <w:t xml:space="preserve"> del </w:t>
      </w:r>
      <w:r w:rsidRPr="009D7677">
        <w:rPr>
          <w:i/>
        </w:rPr>
        <w:t>habeas corpus</w:t>
      </w:r>
      <w:r>
        <w:t xml:space="preserve">, este tribunal, en STC 22/2022, de 21 de febrero, FJ 1, ha afirmado que, en esos casos, “la cita del derecho fundamental proclamado en el art. 24.1 CE resulta redundante respecto de la invocación del art. 17.4 CE, ya que la perspectiva que se debe ‘adoptar es única y exclusivamente la de la libertad, puesto que, estando en juego este derecho fundamental, la </w:t>
      </w:r>
      <w:r>
        <w:lastRenderedPageBreak/>
        <w:t>eventual ausencia de una motivación suficiente y razonable de la decisión no supondrá solo un problema de falta de tutela judicial, propio del ámbito del 24.1 CE, sino prioritariamente una cuestión que afecta al derecho a la libertad personal, en cuanto que la suficiencia o razonabilidad de una resolución judicial relativa a la garantía constitucional del procedimiento de habeas corpus, prevista en el art. 17.4 CE, forma parte de la propia garantía’ (así, entre las últimas, SSTC 95/2012, de 7 de mayo, FJ 6, y 204/2015, de 5 de octubre, FJ 4)”.</w:t>
      </w:r>
    </w:p>
    <w:p w14:paraId="53317772" w14:textId="77777777" w:rsidR="009D7677" w:rsidRDefault="009D7677" w:rsidP="009D7677">
      <w:pPr>
        <w:pStyle w:val="TextoNormal"/>
      </w:pPr>
    </w:p>
    <w:p w14:paraId="0A1883A3" w14:textId="77777777" w:rsidR="009D7677" w:rsidRDefault="009D7677" w:rsidP="009D7677">
      <w:pPr>
        <w:pStyle w:val="TextoNormal"/>
      </w:pPr>
      <w:r>
        <w:t>e) Asistencia letrada</w:t>
      </w:r>
    </w:p>
    <w:p w14:paraId="3DBE6E72" w14:textId="77777777" w:rsidR="009D7677" w:rsidRDefault="009D7677" w:rsidP="009D7677">
      <w:pPr>
        <w:pStyle w:val="TextoNormal"/>
      </w:pPr>
    </w:p>
    <w:p w14:paraId="10A9823D" w14:textId="77777777" w:rsidR="009D7677" w:rsidRDefault="009D7677" w:rsidP="009D7677">
      <w:pPr>
        <w:pStyle w:val="TextoNormal"/>
      </w:pPr>
      <w:r>
        <w:t>Respecto de la asistencia letrada al detenido, este tribunal ha afirmado, entre otras, en STC 199/2003, de 10 de noviembre, FJ 4, que “el derecho del detenido a la asistencia letrada en las diligencias policiales y judiciales, reconocido en el art. 17.3 CE, adquiere relevancia constitucional como una de las garantías del derecho a la libertad protegido en el apartado primero del propio artículo. En este sentido su función consiste en asegurar que los derechos constitucionales de quien está en situación de detención sean respetados, que no sufra coacción o trato incompatible con su dignidad y libertad de declaración y que tendrá el debido asesoramiento técnico sobre la conducta a observar en los interrogatorios, incluida la de guardar silencio, así como sobre su derecho a comprobar, una vez realizados y concluidos con la presencia activa del letrado, la fidelidad de lo transcrito en el acta de declaración que se le presenta a la firma (por todas, SSTC 196/1987, de 11 de diciembre, FJ 5; 252/1994, de 19 de septiembre, FJ 4, y 229/1999, de 13 de diciembre, FJ 2)”.</w:t>
      </w:r>
    </w:p>
    <w:p w14:paraId="677712BD" w14:textId="77777777" w:rsidR="009D7677" w:rsidRDefault="009D7677" w:rsidP="009D7677">
      <w:pPr>
        <w:pStyle w:val="TextoNormal"/>
      </w:pPr>
    </w:p>
    <w:p w14:paraId="3AC4F94D" w14:textId="2C4F510A" w:rsidR="009D7677" w:rsidRDefault="009D7677" w:rsidP="009D7677">
      <w:pPr>
        <w:pStyle w:val="TextoNormal"/>
      </w:pPr>
      <w:r>
        <w:t>Hasta aquí la exposición del parámetro constitucional desde el que examinar las quejas planteadas por el recurrente.</w:t>
      </w:r>
    </w:p>
    <w:p w14:paraId="55BC22DD" w14:textId="77777777" w:rsidR="009D7677" w:rsidRDefault="009D7677" w:rsidP="009D7677">
      <w:pPr>
        <w:pStyle w:val="TextoNormal"/>
      </w:pPr>
    </w:p>
    <w:p w14:paraId="2BC9B446" w14:textId="77777777" w:rsidR="009D7677" w:rsidRDefault="009D7677" w:rsidP="009D7677">
      <w:pPr>
        <w:pStyle w:val="TextoNormal"/>
      </w:pPr>
      <w:r w:rsidRPr="009D7677">
        <w:rPr>
          <w:rStyle w:val="NumeroAFNegritaCaracter"/>
        </w:rPr>
        <w:t>3</w:t>
      </w:r>
      <w:r>
        <w:t xml:space="preserve">. </w:t>
      </w:r>
      <w:r w:rsidRPr="009D7677">
        <w:rPr>
          <w:i/>
        </w:rPr>
        <w:t>Enjuiciamiento del caso</w:t>
      </w:r>
    </w:p>
    <w:p w14:paraId="7E1D75FF" w14:textId="77777777" w:rsidR="009D7677" w:rsidRDefault="009D7677" w:rsidP="009D7677">
      <w:pPr>
        <w:pStyle w:val="TextoNormal"/>
      </w:pPr>
    </w:p>
    <w:p w14:paraId="27057C94" w14:textId="77777777" w:rsidR="009D7677" w:rsidRDefault="009D7677" w:rsidP="009D7677">
      <w:pPr>
        <w:pStyle w:val="TextoNormal"/>
      </w:pPr>
      <w:r>
        <w:t>a) Una vez expuesta dicha doctrina constitucional es preciso efectuar una consideración previa de orden metodológico.</w:t>
      </w:r>
    </w:p>
    <w:p w14:paraId="59B441AA" w14:textId="77777777" w:rsidR="009D7677" w:rsidRDefault="009D7677" w:rsidP="009D7677">
      <w:pPr>
        <w:pStyle w:val="TextoNormal"/>
      </w:pPr>
    </w:p>
    <w:p w14:paraId="74ED1515" w14:textId="77777777" w:rsidR="009D7677" w:rsidRDefault="009D7677" w:rsidP="009D7677">
      <w:pPr>
        <w:pStyle w:val="TextoNormal"/>
      </w:pPr>
      <w:r>
        <w:t xml:space="preserve">Como hemos expuesto </w:t>
      </w:r>
      <w:r w:rsidRPr="009D7677">
        <w:rPr>
          <w:i/>
        </w:rPr>
        <w:t>ut supra</w:t>
      </w:r>
      <w:r>
        <w:t xml:space="preserve"> el recurrente denuncia la vulneración de distintos derechos fundamentales que, sin embargo, fundamenta de igual forma. Sostiene la vulneración del derecho a la libertad (art. 17.1 CE), al haber sido privado de ella fuera de los casos y forma previstos en la ley y, a su albur, denuncia “la vulneración del derecho a la impugnación de la legalidad de la detención y al control judicial de la privación de libertad (art. 17.4 CE), al haberse incumplido las normas procesales que rigen en la tramitación del </w:t>
      </w:r>
      <w:r w:rsidRPr="009D7677">
        <w:rPr>
          <w:i/>
        </w:rPr>
        <w:t>habeas corpus</w:t>
      </w:r>
      <w:r>
        <w:t xml:space="preserve">; del derecho a la asistencia letrada al detenido (art. 17.3 CE) al no haberse permitido celebrar la comparecencia del </w:t>
      </w:r>
      <w:r w:rsidRPr="009D7677">
        <w:rPr>
          <w:i/>
        </w:rPr>
        <w:t>habeas corpus</w:t>
      </w:r>
      <w:r>
        <w:t xml:space="preserve">; y del derecho de defensa (24.2 CE) a la tutela judicial efectiva y en su vertiente del derecho a una resolución fundada en Derecho, por la respuesta dada en el auto que desestimó, </w:t>
      </w:r>
      <w:r w:rsidRPr="009D7677">
        <w:rPr>
          <w:i/>
        </w:rPr>
        <w:t>a limine</w:t>
      </w:r>
      <w:r>
        <w:t xml:space="preserve">, el </w:t>
      </w:r>
      <w:r w:rsidRPr="009D7677">
        <w:rPr>
          <w:i/>
        </w:rPr>
        <w:t>habeas corpus</w:t>
      </w:r>
      <w:r>
        <w:t xml:space="preserve"> (art. 24.2 CE)”.</w:t>
      </w:r>
    </w:p>
    <w:p w14:paraId="530CF1A5" w14:textId="77777777" w:rsidR="009D7677" w:rsidRDefault="009D7677" w:rsidP="009D7677">
      <w:pPr>
        <w:pStyle w:val="TextoNormal"/>
      </w:pPr>
    </w:p>
    <w:p w14:paraId="289C1399" w14:textId="77777777" w:rsidR="009D7677" w:rsidRDefault="009D7677" w:rsidP="009D7677">
      <w:pPr>
        <w:pStyle w:val="TextoNormal"/>
      </w:pPr>
      <w:r>
        <w:t xml:space="preserve">El plural y yuxtapuesto reproche, tal y como advierte el Ministerio Fiscal y se deduce de la jurisprudencia relacionada, revela que las denuncias relativas a la vulneración del derecho de defensa durante la tramitación del procedimiento de </w:t>
      </w:r>
      <w:r w:rsidRPr="009D7677">
        <w:rPr>
          <w:i/>
        </w:rPr>
        <w:t>habeas corpus</w:t>
      </w:r>
      <w:r>
        <w:t xml:space="preserve"> y a la infracción del derecho a la tutela judicial efectiva en su vertiente del deber de motivación son tributarias de la denuncia principal de vulneración del derecho a la libertad personal en </w:t>
      </w:r>
      <w:r>
        <w:lastRenderedPageBreak/>
        <w:t xml:space="preserve">su vertiente del derecho al control judicial de la detención por infracción del procedimiento de </w:t>
      </w:r>
      <w:r w:rsidRPr="009D7677">
        <w:rPr>
          <w:i/>
        </w:rPr>
        <w:t>habeas corpus</w:t>
      </w:r>
      <w:r>
        <w:t xml:space="preserve">, al haber sido detenido fuera de los supuestos permitidos por la ley. Aquellas denuncias carecen pues de sustantividad propia, debiendo reconducirse e integrarse en esta última, es decir, en la denuncia de vulneración del derecho fundamental a la libertad personal del recurrente en su vertiente del derecho al control judicial de la detención (art. 17.1 y 4 CE) por incumplimiento del procedimiento de </w:t>
      </w:r>
      <w:r w:rsidRPr="009D7677">
        <w:rPr>
          <w:i/>
        </w:rPr>
        <w:t>habeas corpus</w:t>
      </w:r>
      <w:r>
        <w:t xml:space="preserve"> regulado en la Ley Orgánica de regulación del procedimiento de </w:t>
      </w:r>
      <w:r w:rsidRPr="009D7677">
        <w:rPr>
          <w:i/>
        </w:rPr>
        <w:t>habeas corpus</w:t>
      </w:r>
      <w:r>
        <w:t>.</w:t>
      </w:r>
    </w:p>
    <w:p w14:paraId="0BFF6789" w14:textId="77777777" w:rsidR="009D7677" w:rsidRDefault="009D7677" w:rsidP="009D7677">
      <w:pPr>
        <w:pStyle w:val="TextoNormal"/>
      </w:pPr>
    </w:p>
    <w:p w14:paraId="47A596B7" w14:textId="77777777" w:rsidR="009D7677" w:rsidRDefault="009D7677" w:rsidP="009D7677">
      <w:pPr>
        <w:pStyle w:val="TextoNormal"/>
      </w:pPr>
      <w:r>
        <w:t xml:space="preserve">b) Según se desprende del testimonio del procedimiento de </w:t>
      </w:r>
      <w:r w:rsidRPr="009D7677">
        <w:rPr>
          <w:i/>
        </w:rPr>
        <w:t>habeas corpus</w:t>
      </w:r>
      <w:r>
        <w:t xml:space="preserve"> núm. 186-2023, remitida la solicitud de </w:t>
      </w:r>
      <w:r w:rsidRPr="009D7677">
        <w:rPr>
          <w:i/>
        </w:rPr>
        <w:t>habeas corpus</w:t>
      </w:r>
      <w:r>
        <w:t xml:space="preserve"> del detenido al Juzgado de Instrucción núm. 44 de Madrid, en funciones de guardia, este, por providencia de fecha 21 de enero de 2023, ordenó dar traslado del atestado y de dicha solicitud al Ministerio Fiscal al amparo del art. 6 LOHC que dispone que “[p]romovida la solicitud de </w:t>
      </w:r>
      <w:r w:rsidRPr="009D7677">
        <w:rPr>
          <w:i/>
        </w:rPr>
        <w:t>Habeas Corpus</w:t>
      </w:r>
      <w:r>
        <w:t xml:space="preserve"> el juez examinará la concurrencia de los requisitos para su tramitación y dará traslado de la misma al Ministerio Fiscal. Seguidamente, mediante auto, acordará la incoación del procedimiento, o, en su caso, denegará la solicitud por ser esta improcedente. Dicho auto se notificará, en todo caso, al Ministerio Fiscal. Contra la resolución que en uno u otro caso se adopte, no cabrá recurso alguno”.</w:t>
      </w:r>
    </w:p>
    <w:p w14:paraId="6066125C" w14:textId="77777777" w:rsidR="009D7677" w:rsidRDefault="009D7677" w:rsidP="009D7677">
      <w:pPr>
        <w:pStyle w:val="TextoNormal"/>
      </w:pPr>
    </w:p>
    <w:p w14:paraId="316B91D5" w14:textId="77777777" w:rsidR="009D7677" w:rsidRDefault="009D7677" w:rsidP="009D7677">
      <w:pPr>
        <w:pStyle w:val="TextoNormal"/>
      </w:pPr>
      <w:r>
        <w:t>Consta asimismo que emitido el informe correspondiente por el Ministerio Fiscal y remitido al juzgado de instrucción, este, sin solución de continuidad dictó el auto impugnado en el que, aunque en su parte dispositiva, acordó “denegar la solicitud de ‘</w:t>
      </w:r>
      <w:r w:rsidRPr="009D7677">
        <w:rPr>
          <w:i/>
        </w:rPr>
        <w:t>habeas corpus</w:t>
      </w:r>
      <w:r>
        <w:t xml:space="preserve">’”, en su fundamentación jurídica procedió a examinar la regularidad de la detención mediante (i) la invocación de la jurisprudencia que consideró aplicable al supuesto (STC 98/1986, de 10 de julio), (ii) la reproducción del art. 1 LOHC, (iii) la indiciaria calificación de los hechos atribuidos al recurrente en atención a la descripción que de ellos se ofreció en el atestado (delito de riña tumultuaria: art. 154 CP) y (iv) la afirmación de que, de conformidad con las diligencias policiales obrantes en las actuaciones, la detención gubernativa se llevó a cabo de forma legal por lo que “en aplicación de lo establecido en el artículo 8 de la Ley Orgánica 6/1984, citada , procede denegar la solicitud de </w:t>
      </w:r>
      <w:r w:rsidRPr="009D7677">
        <w:rPr>
          <w:i/>
        </w:rPr>
        <w:t>habeas corpus</w:t>
      </w:r>
      <w:r>
        <w:t xml:space="preserve"> de referencia, por improcedente, archivando seguidamente las presentes actuaciones”.</w:t>
      </w:r>
    </w:p>
    <w:p w14:paraId="040A97B0" w14:textId="77777777" w:rsidR="009D7677" w:rsidRDefault="009D7677" w:rsidP="009D7677">
      <w:pPr>
        <w:pStyle w:val="TextoNormal"/>
      </w:pPr>
    </w:p>
    <w:p w14:paraId="665221E3" w14:textId="77777777" w:rsidR="009D7677" w:rsidRDefault="009D7677" w:rsidP="009D7677">
      <w:pPr>
        <w:pStyle w:val="TextoNormal"/>
      </w:pPr>
      <w:r>
        <w:t>c) En este punto conviene recordar el marco normativo al que se refiere el Juzgado de instrucción en su auto, en concreto, el art. 8 LOHC, que dispone:</w:t>
      </w:r>
    </w:p>
    <w:p w14:paraId="0D445374" w14:textId="77777777" w:rsidR="009D7677" w:rsidRDefault="009D7677" w:rsidP="009D7677">
      <w:pPr>
        <w:pStyle w:val="TextoNormal"/>
      </w:pPr>
    </w:p>
    <w:p w14:paraId="344D5462" w14:textId="77777777" w:rsidR="009D7677" w:rsidRDefault="009D7677" w:rsidP="009D7677">
      <w:pPr>
        <w:pStyle w:val="TextoNormal"/>
      </w:pPr>
      <w:r>
        <w:t>“Practicadas las actuaciones a que se refiere el artículo anterior, el juez, mediante auto motivado, adoptará seguidamente alguna de estas resoluciones:</w:t>
      </w:r>
    </w:p>
    <w:p w14:paraId="5C974C16" w14:textId="77777777" w:rsidR="009D7677" w:rsidRDefault="009D7677" w:rsidP="009D7677">
      <w:pPr>
        <w:pStyle w:val="TextoNormal"/>
      </w:pPr>
    </w:p>
    <w:p w14:paraId="74CB488D" w14:textId="77777777" w:rsidR="009D7677" w:rsidRDefault="009D7677" w:rsidP="009D7677">
      <w:pPr>
        <w:pStyle w:val="TextoNormal"/>
      </w:pPr>
      <w:r>
        <w:t>1. Si estima que no se da ninguna de las circunstancias a que se refiere el artículo primero de esta ley, acordará el archivo de las actuaciones, declarando ser conforme a Derecho la privación de libertad y las circunstancias en que se está realizando.</w:t>
      </w:r>
    </w:p>
    <w:p w14:paraId="06A8724C" w14:textId="77777777" w:rsidR="009D7677" w:rsidRDefault="009D7677" w:rsidP="009D7677">
      <w:pPr>
        <w:pStyle w:val="TextoNormal"/>
      </w:pPr>
    </w:p>
    <w:p w14:paraId="4A3BB8EA" w14:textId="77777777" w:rsidR="009D7677" w:rsidRDefault="009D7677" w:rsidP="009D7677">
      <w:pPr>
        <w:pStyle w:val="TextoNormal"/>
      </w:pPr>
      <w:r>
        <w:t>2. Si estima que concurren alguna de las circunstancias del artículo primero de esta ley, se acordará en el acto alguna de las siguientes medidas:</w:t>
      </w:r>
    </w:p>
    <w:p w14:paraId="41827FB1" w14:textId="77777777" w:rsidR="009D7677" w:rsidRDefault="009D7677" w:rsidP="009D7677">
      <w:pPr>
        <w:pStyle w:val="TextoNormal"/>
      </w:pPr>
    </w:p>
    <w:p w14:paraId="58FB4C32" w14:textId="77777777" w:rsidR="009D7677" w:rsidRDefault="009D7677" w:rsidP="009D7677">
      <w:pPr>
        <w:pStyle w:val="TextoNormal"/>
      </w:pPr>
      <w:r>
        <w:t>a) La puesta en libertad del privado de esta, si lo fue ilegalmente.</w:t>
      </w:r>
    </w:p>
    <w:p w14:paraId="12F0ADBD" w14:textId="77777777" w:rsidR="009D7677" w:rsidRDefault="009D7677" w:rsidP="009D7677">
      <w:pPr>
        <w:pStyle w:val="TextoNormal"/>
      </w:pPr>
    </w:p>
    <w:p w14:paraId="5D5B189D" w14:textId="77777777" w:rsidR="009D7677" w:rsidRDefault="009D7677" w:rsidP="009D7677">
      <w:pPr>
        <w:pStyle w:val="TextoNormal"/>
      </w:pPr>
      <w:r>
        <w:lastRenderedPageBreak/>
        <w:t>b) Que continúe la situación de privación de libertad de acuerdo con las disposiciones legales aplicables al caso, pero, si lo considerase necesario, en establecimiento distinto, o bajo la custodia de personas distintas a las que hasta entonces la detentaban.</w:t>
      </w:r>
    </w:p>
    <w:p w14:paraId="54EB63A3" w14:textId="77777777" w:rsidR="009D7677" w:rsidRDefault="009D7677" w:rsidP="009D7677">
      <w:pPr>
        <w:pStyle w:val="TextoNormal"/>
      </w:pPr>
    </w:p>
    <w:p w14:paraId="4AAF035C" w14:textId="77777777" w:rsidR="009D7677" w:rsidRDefault="009D7677" w:rsidP="009D7677">
      <w:pPr>
        <w:pStyle w:val="TextoNormal"/>
      </w:pPr>
      <w:r>
        <w:t>c) Que la persona privada de libertad sea puesta inmediatamente a disposición judicial, si ya hubiese transcurrido el plazo legalmente establecido para su detención”.</w:t>
      </w:r>
    </w:p>
    <w:p w14:paraId="00035215" w14:textId="77777777" w:rsidR="009D7677" w:rsidRDefault="009D7677" w:rsidP="009D7677">
      <w:pPr>
        <w:pStyle w:val="TextoNormal"/>
      </w:pPr>
    </w:p>
    <w:p w14:paraId="169319ED" w14:textId="77777777" w:rsidR="009D7677" w:rsidRDefault="009D7677" w:rsidP="009D7677">
      <w:pPr>
        <w:pStyle w:val="TextoNormal"/>
      </w:pPr>
      <w:r>
        <w:t>Como puede advertirse, presupuesto necesario de que pueda dictarse la resolución a la que se refiere el art. 8 es que se “hayan practicado las actuaciones que se refiere el artículo anterior” (art. 7) que dispone, a su vez, que:</w:t>
      </w:r>
    </w:p>
    <w:p w14:paraId="216D8AEB" w14:textId="77777777" w:rsidR="009D7677" w:rsidRDefault="009D7677" w:rsidP="009D7677">
      <w:pPr>
        <w:pStyle w:val="TextoNormal"/>
      </w:pPr>
    </w:p>
    <w:p w14:paraId="184A3A02" w14:textId="77777777" w:rsidR="009D7677" w:rsidRDefault="009D7677" w:rsidP="009D7677">
      <w:pPr>
        <w:pStyle w:val="TextoNormal"/>
      </w:pPr>
      <w:r>
        <w:t>“En el auto de incoación, el juez ordenará a la autoridad a cuya disposición se halle la persona privada de libertad o a aquel en cuyo poder se encuentre, que la ponga de manifiesto ante él, sin pretexto ni demora alguna o se constituirá en el lugar donde aquella se encuentre.</w:t>
      </w:r>
    </w:p>
    <w:p w14:paraId="02B61D41" w14:textId="77777777" w:rsidR="009D7677" w:rsidRDefault="009D7677" w:rsidP="009D7677">
      <w:pPr>
        <w:pStyle w:val="TextoNormal"/>
      </w:pPr>
    </w:p>
    <w:p w14:paraId="0310E91E" w14:textId="77777777" w:rsidR="009D7677" w:rsidRDefault="009D7677" w:rsidP="009D7677">
      <w:pPr>
        <w:pStyle w:val="TextoNormal"/>
      </w:pPr>
      <w:r>
        <w:t>Antes de dictar resolución, oirá el juez a la persona privada de libertad o, en su caso, a su representante legal y abogado, si lo hubiera designado, así como al Ministerio Fiscal; acto seguido oirá en justificación de su proceder a la autoridad, agentes, funcionario público o representante de la institución o persona que hubiere ordenado o practicado la detención o internamiento y, en todo caso, a aquella bajo cuya custodia se encontrase la persona privada de libertad; a todos ellos dará a conocer el juez las declaraciones del privado de libertad.</w:t>
      </w:r>
    </w:p>
    <w:p w14:paraId="36690E33" w14:textId="77777777" w:rsidR="009D7677" w:rsidRDefault="009D7677" w:rsidP="009D7677">
      <w:pPr>
        <w:pStyle w:val="TextoNormal"/>
      </w:pPr>
    </w:p>
    <w:p w14:paraId="5BF05E34" w14:textId="77777777" w:rsidR="009D7677" w:rsidRDefault="009D7677" w:rsidP="009D7677">
      <w:pPr>
        <w:pStyle w:val="TextoNormal"/>
      </w:pPr>
      <w:r>
        <w:t>El juez admitirá, si las estima pertinentes, las pruebas que aporten las personas a que se refiere el párrafo anterior y las que propongan que puedan practicarse en el acto.</w:t>
      </w:r>
    </w:p>
    <w:p w14:paraId="4AD24614" w14:textId="77777777" w:rsidR="009D7677" w:rsidRDefault="009D7677" w:rsidP="009D7677">
      <w:pPr>
        <w:pStyle w:val="TextoNormal"/>
      </w:pPr>
    </w:p>
    <w:p w14:paraId="76C41728" w14:textId="77777777" w:rsidR="009D7677" w:rsidRDefault="009D7677" w:rsidP="009D7677">
      <w:pPr>
        <w:pStyle w:val="TextoNormal"/>
      </w:pPr>
      <w:r>
        <w:t>En el plazo de veinticuatro horas, contadas desde que sea dictado el auto de incoación, los jueces practicarán todas las actuaciones a que se refiere este artículo y dictarán la resolución que proceda”.</w:t>
      </w:r>
    </w:p>
    <w:p w14:paraId="6F1665AA" w14:textId="77777777" w:rsidR="009D7677" w:rsidRDefault="009D7677" w:rsidP="009D7677">
      <w:pPr>
        <w:pStyle w:val="TextoNormal"/>
      </w:pPr>
    </w:p>
    <w:p w14:paraId="494A20AD" w14:textId="77777777" w:rsidR="009D7677" w:rsidRDefault="009D7677" w:rsidP="009D7677">
      <w:pPr>
        <w:pStyle w:val="TextoNormal"/>
      </w:pPr>
      <w:r>
        <w:t xml:space="preserve">d) La normativa expuesta relacionada, que sirvió de fundamento para dictar la resolución impugnada por el demandante, puesta en relación con la constante doctrina de este tribunal sintetizada </w:t>
      </w:r>
      <w:r w:rsidRPr="009D7677">
        <w:rPr>
          <w:i/>
        </w:rPr>
        <w:t>ut supra</w:t>
      </w:r>
      <w:r>
        <w:t xml:space="preserve"> permite afirmar que el juzgado de instrucción omitió de forma palmaria el procedimiento de </w:t>
      </w:r>
      <w:r w:rsidRPr="009D7677">
        <w:rPr>
          <w:i/>
        </w:rPr>
        <w:t>habeas corpus</w:t>
      </w:r>
      <w:r>
        <w:t xml:space="preserve"> en los términos previstos en la Ley Orgánica de regulación del procedimiento de </w:t>
      </w:r>
      <w:r w:rsidRPr="009D7677">
        <w:rPr>
          <w:i/>
        </w:rPr>
        <w:t>habeas corpus</w:t>
      </w:r>
      <w:r>
        <w:t xml:space="preserve"> y, con ello, desoyó la jurisprudencia de este tribunal, de obligada observancia de conformidad con lo dispuesto en el art. 5.1 de la Ley Orgánica del Poder Judicial.</w:t>
      </w:r>
    </w:p>
    <w:p w14:paraId="5C5AB7CB" w14:textId="77777777" w:rsidR="009D7677" w:rsidRDefault="009D7677" w:rsidP="009D7677">
      <w:pPr>
        <w:pStyle w:val="TextoNormal"/>
      </w:pPr>
    </w:p>
    <w:p w14:paraId="448FA262" w14:textId="77777777" w:rsidR="009D7677" w:rsidRDefault="009D7677" w:rsidP="009D7677">
      <w:pPr>
        <w:pStyle w:val="TextoNormal"/>
      </w:pPr>
      <w:r>
        <w:t xml:space="preserve">En efecto, en el testimonio del procedimiento de </w:t>
      </w:r>
      <w:r w:rsidRPr="009D7677">
        <w:rPr>
          <w:i/>
        </w:rPr>
        <w:t>habeas corpus</w:t>
      </w:r>
      <w:r>
        <w:t xml:space="preserve"> puede advertirse que, en primer lugar, el juzgado de instrucción no incoó el procedimiento de </w:t>
      </w:r>
      <w:r w:rsidRPr="009D7677">
        <w:rPr>
          <w:i/>
        </w:rPr>
        <w:t>habeas corpus</w:t>
      </w:r>
      <w:r>
        <w:t xml:space="preserve"> pese al cumplimiento formal de los requisitos a los que se refieren los arts. 1 a 4 LOHC y ello a pesar de que el recurrente denunció la ilegalidad de la detención al amparo del art. 1, apartado a) de dicha ley.</w:t>
      </w:r>
    </w:p>
    <w:p w14:paraId="4847B28D" w14:textId="77777777" w:rsidR="009D7677" w:rsidRDefault="009D7677" w:rsidP="009D7677">
      <w:pPr>
        <w:pStyle w:val="TextoNormal"/>
      </w:pPr>
    </w:p>
    <w:p w14:paraId="54A6207D" w14:textId="77777777" w:rsidR="009D7677" w:rsidRDefault="009D7677" w:rsidP="009D7677">
      <w:pPr>
        <w:pStyle w:val="TextoNormal"/>
      </w:pPr>
      <w:r>
        <w:t xml:space="preserve">En este sentido, debe recordarse que este tribunal ha afirmado en la reciente STC 73/2021, de 18 de marzo, FJ 4, que “[l]os únicos motivos constitucionalmente legítimos para no admitir un procedimiento de </w:t>
      </w:r>
      <w:r w:rsidRPr="009D7677">
        <w:rPr>
          <w:i/>
        </w:rPr>
        <w:t>habeas corpus</w:t>
      </w:r>
      <w:r>
        <w:t xml:space="preserve"> son los basados en la falta del presu</w:t>
      </w:r>
      <w:r>
        <w:lastRenderedPageBreak/>
        <w:t>puesto necesario de una situación de privación de libertad no acordada judicialmente o en el incumplimiento de los requisitos formales a los que se refiere el art. 4 LOHC. Esta jurisprudencia es reiterada, constante e inequívoca (entre otras, SSTC 21/2014, de 10 de febrero, FJ 2; 32/2014, de 24 de febrero, FJ 2; 195/2014, de 1 de diciembre, FJ 3; 42/2015, de 2 de marzo, FJ 2, y 204/2015, de 5 de octubre, FJ 2, entre las más recientes)”.</w:t>
      </w:r>
    </w:p>
    <w:p w14:paraId="21ED87BA" w14:textId="77777777" w:rsidR="009D7677" w:rsidRDefault="009D7677" w:rsidP="009D7677">
      <w:pPr>
        <w:pStyle w:val="TextoNormal"/>
      </w:pPr>
    </w:p>
    <w:p w14:paraId="09B7B2AB" w14:textId="77777777" w:rsidR="009D7677" w:rsidRDefault="009D7677" w:rsidP="009D7677">
      <w:pPr>
        <w:pStyle w:val="TextoNormal"/>
      </w:pPr>
      <w:r>
        <w:t xml:space="preserve">En segundo término, se advierte que el juzgado de instrucción no oyó al detenido ni a su abogado, tampoco lo hizo con el Ministerio Fiscal, ni con los agentes actuantes “en justificación de su proceder”. Tampoco, en consecuencia, permitió la práctica de prueba alguna al efecto. Diligencias instrumentales para resolver la solicitud de </w:t>
      </w:r>
      <w:r w:rsidRPr="009D7677">
        <w:rPr>
          <w:i/>
        </w:rPr>
        <w:t>habeas corpus</w:t>
      </w:r>
      <w:r>
        <w:t xml:space="preserve"> por motivos de fondo y, por ello, de cumplimiento preceptivo de conformidad con lo dispuesto en el art. 7 LOHC.</w:t>
      </w:r>
    </w:p>
    <w:p w14:paraId="361AC759" w14:textId="77777777" w:rsidR="009D7677" w:rsidRDefault="009D7677" w:rsidP="009D7677">
      <w:pPr>
        <w:pStyle w:val="TextoNormal"/>
      </w:pPr>
    </w:p>
    <w:p w14:paraId="2A8B5D45" w14:textId="77777777" w:rsidR="009D7677" w:rsidRDefault="009D7677" w:rsidP="009D7677">
      <w:pPr>
        <w:pStyle w:val="TextoNormal"/>
      </w:pPr>
      <w:r>
        <w:t xml:space="preserve">Y, en tercer lugar, se advierte que, pese a todo ello, el juez de instrucción analizó la legalidad de la detención por razones de fondo, incumpliendo la doctrina constitucional antes expuesta, pues hemos dicho de forma reiterada que “aun cuando la Ley Orgánica de regulación del procedimiento de </w:t>
      </w:r>
      <w:r w:rsidRPr="009D7677">
        <w:rPr>
          <w:i/>
        </w:rPr>
        <w:t>habeas corpus</w:t>
      </w:r>
      <w:r>
        <w:t xml:space="preserve"> posibilita denegar la incoación del correspondiente procedimiento, fundamentar la decisión de no admisión en que el recurrente no se encontraba ilícitamente privado de libertad, por no concurrir ninguno de los supuestos del art. 1 LOHC, vulnera el art. 17.4 CE, ya que implica una resolución sobre el fondo que solo puede ser valorada y enjuiciada después de sustanciado el procedimiento y oído el detenido, con intervención del Ministerio Fiscal” (STC 73/2021, de 18 de marzo, FJ 4).</w:t>
      </w:r>
    </w:p>
    <w:p w14:paraId="0FCBA23C" w14:textId="77777777" w:rsidR="009D7677" w:rsidRDefault="009D7677" w:rsidP="009D7677">
      <w:pPr>
        <w:pStyle w:val="TextoNormal"/>
      </w:pPr>
    </w:p>
    <w:p w14:paraId="2C2A3EB0" w14:textId="77777777" w:rsidR="009D7677" w:rsidRDefault="009D7677" w:rsidP="009D7677">
      <w:pPr>
        <w:pStyle w:val="TextoNormal"/>
      </w:pPr>
      <w:r>
        <w:t xml:space="preserve">De conformidad con todo lo expuesto se concluye que el juzgado de instrucción vulneró el derecho a la libertad del detenido en su vertiente del derecho al control judicial de la detención (art. 17.1 y 4 CE) por incumplimiento del procedimiento de </w:t>
      </w:r>
      <w:r w:rsidRPr="009D7677">
        <w:rPr>
          <w:i/>
        </w:rPr>
        <w:t>habeas corpus</w:t>
      </w:r>
      <w:r>
        <w:t>, al tomar la decisión de denegar la solicitud por improcedente.</w:t>
      </w:r>
    </w:p>
    <w:p w14:paraId="65E5D419" w14:textId="77777777" w:rsidR="009D7677" w:rsidRDefault="009D7677" w:rsidP="009D7677">
      <w:pPr>
        <w:pStyle w:val="TextoNormal"/>
      </w:pPr>
    </w:p>
    <w:p w14:paraId="64D4FFB9" w14:textId="2DEC5425" w:rsidR="009D7677" w:rsidRDefault="009D7677" w:rsidP="009D7677">
      <w:pPr>
        <w:pStyle w:val="TextoNormal"/>
      </w:pPr>
      <w:r>
        <w:t xml:space="preserve">e) Por último y en relación con la plural trascendencia constitucional del recurso advertida a la que antes hemos dado debida concreción, procede declarar que la vulneración del derecho a la libertad del detenido en su vertiente del derecho al control judicial de la detención (art. 17.1 y 4 CE) por incumplimiento del procedimiento de </w:t>
      </w:r>
      <w:r w:rsidRPr="009D7677">
        <w:rPr>
          <w:i/>
        </w:rPr>
        <w:t>habeas corpus</w:t>
      </w:r>
      <w:r>
        <w:t xml:space="preserve"> se produce tanto cuando se inadmite </w:t>
      </w:r>
      <w:r w:rsidRPr="009D7677">
        <w:rPr>
          <w:i/>
        </w:rPr>
        <w:t>a limine</w:t>
      </w:r>
      <w:r>
        <w:t xml:space="preserve"> la incoación de dicho procedimiento fuera de los supuestos admitidos (falta del presupuesto necesario de una situación de privación de libertad no acordada judicialmente o incumplimiento de los requisitos formales a los que se refiere el art. 4 LOHC); como cuando se dicta auto por el que se desestima la solicitud de </w:t>
      </w:r>
      <w:r w:rsidRPr="009D7677">
        <w:rPr>
          <w:i/>
        </w:rPr>
        <w:t>habeas corpus</w:t>
      </w:r>
      <w:r>
        <w:t xml:space="preserve"> por motivos de fondo (art. 8 LOHC) sin haber respetado el procedimiento regulado en la Ley Orgánica de regulación del procedimiento de </w:t>
      </w:r>
      <w:r w:rsidRPr="009D7677">
        <w:rPr>
          <w:i/>
        </w:rPr>
        <w:t>habeas corpus</w:t>
      </w:r>
      <w:r>
        <w:t xml:space="preserve"> y, en particular, el requisito de la audiencia del detenido (art. 7 LOHC).</w:t>
      </w:r>
    </w:p>
    <w:p w14:paraId="5D84C14A" w14:textId="77777777" w:rsidR="009D7677" w:rsidRDefault="009D7677" w:rsidP="009D7677">
      <w:pPr>
        <w:pStyle w:val="TextoNormal"/>
      </w:pPr>
    </w:p>
    <w:p w14:paraId="36C53325" w14:textId="77777777" w:rsidR="009D7677" w:rsidRDefault="009D7677" w:rsidP="009D7677">
      <w:pPr>
        <w:pStyle w:val="TextoNormal"/>
      </w:pPr>
      <w:r w:rsidRPr="009D7677">
        <w:rPr>
          <w:rStyle w:val="NumeroAFNegritaCaracter"/>
        </w:rPr>
        <w:t>4</w:t>
      </w:r>
      <w:r>
        <w:t xml:space="preserve">. </w:t>
      </w:r>
      <w:r w:rsidRPr="009D7677">
        <w:rPr>
          <w:i/>
        </w:rPr>
        <w:t>Efectos de la sentencia</w:t>
      </w:r>
    </w:p>
    <w:p w14:paraId="4FD5FC9D" w14:textId="77777777" w:rsidR="009D7677" w:rsidRDefault="009D7677" w:rsidP="009D7677">
      <w:pPr>
        <w:pStyle w:val="TextoNormal"/>
      </w:pPr>
    </w:p>
    <w:p w14:paraId="6EEB671C" w14:textId="299EE820" w:rsidR="009D7677" w:rsidRDefault="009D7677" w:rsidP="009D7677">
      <w:pPr>
        <w:pStyle w:val="TextoNormal"/>
      </w:pPr>
      <w:r>
        <w:t xml:space="preserve">La estimación de la denuncia de vulneración del derecho fundamental a la libertad personal del recurrente, en su vertiente del derecho al control judicial de la detención (art. 17.1 y 4 CE) por incumplimiento del procedimiento de </w:t>
      </w:r>
      <w:r w:rsidRPr="009D7677">
        <w:rPr>
          <w:i/>
        </w:rPr>
        <w:t>habeas corpus</w:t>
      </w:r>
      <w:r>
        <w:t xml:space="preserve"> conlleva, por ello, la declaración de nulidad del auto de 21 de enero de 2023. La declaración de nulidad del auto impugnado, como advierte la fiscal ante el Tribunal Constitucional, no hace precisa la retroacción de actuaciones, puesto que esta medida carecería de eficacia por haber cesado </w:t>
      </w:r>
      <w:r>
        <w:lastRenderedPageBreak/>
        <w:t xml:space="preserve">la situación de privación de libertad a cuyo control de legalidad está orientado el procedimiento de </w:t>
      </w:r>
      <w:r w:rsidRPr="009D7677">
        <w:rPr>
          <w:i/>
        </w:rPr>
        <w:t>habeas corpus</w:t>
      </w:r>
      <w:r>
        <w:t xml:space="preserve"> (entre otras muchas, SSTC 31/1985, de 5 de marzo, FJ 4; 165/2007, de 2 de julio, FJ 7; 195/2014, de 1 de diciembre, FJ 6; 204/2015, de 5 de octubre, FJ 5, y 73/2021, de 18 de marzo, FJ 5).</w:t>
      </w:r>
    </w:p>
    <w:p w14:paraId="227CC929" w14:textId="77777777" w:rsidR="009D7677" w:rsidRDefault="009D7677" w:rsidP="009D7677">
      <w:pPr>
        <w:pStyle w:val="TextoNormal"/>
      </w:pPr>
    </w:p>
    <w:p w14:paraId="0DAED105" w14:textId="77777777" w:rsidR="009D7677" w:rsidRDefault="009D7677" w:rsidP="009D7677">
      <w:pPr>
        <w:pStyle w:val="TextoNormalCentrado"/>
        <w:keepNext/>
      </w:pPr>
      <w:r>
        <w:t>FALLO</w:t>
      </w:r>
    </w:p>
    <w:p w14:paraId="69DAE63D" w14:textId="0DBFAF25" w:rsidR="009D7677" w:rsidRDefault="009D7677" w:rsidP="009D7677">
      <w:pPr>
        <w:pStyle w:val="TextoNormalCentrado"/>
        <w:keepNext/>
      </w:pPr>
    </w:p>
    <w:p w14:paraId="1A927658" w14:textId="77777777" w:rsidR="009D7677" w:rsidRDefault="009D7677" w:rsidP="009D7677">
      <w:pPr>
        <w:pStyle w:val="TextoNormal"/>
      </w:pPr>
      <w:r>
        <w:t>En atención a todo lo expuesto, el Tribunal Constitucional, por la autoridad que le confiere la Constitución de la Nación española, ha decidido estimar el recurso de amparo formulado por don Antonio Abellán Vicente y, en su virtud:</w:t>
      </w:r>
    </w:p>
    <w:p w14:paraId="55734BA4" w14:textId="77777777" w:rsidR="009D7677" w:rsidRDefault="009D7677" w:rsidP="009D7677">
      <w:pPr>
        <w:pStyle w:val="TextoNormal"/>
      </w:pPr>
    </w:p>
    <w:p w14:paraId="317E8566" w14:textId="77777777" w:rsidR="009D7677" w:rsidRDefault="009D7677" w:rsidP="009D7677">
      <w:pPr>
        <w:pStyle w:val="TextoNormal"/>
      </w:pPr>
      <w:r>
        <w:t>1º Declarar que ha sido vulnerado su derecho fundamental a la libertad personal, en la vertiente del derecho al control judicial de la detención (art. 17.1 y 4 CE).</w:t>
      </w:r>
    </w:p>
    <w:p w14:paraId="21C140F1" w14:textId="77777777" w:rsidR="009D7677" w:rsidRDefault="009D7677" w:rsidP="009D7677">
      <w:pPr>
        <w:pStyle w:val="TextoNormal"/>
      </w:pPr>
    </w:p>
    <w:p w14:paraId="0DD92421" w14:textId="2B1B0511" w:rsidR="009D7677" w:rsidRDefault="009D7677" w:rsidP="009D7677">
      <w:pPr>
        <w:pStyle w:val="TextoNormal"/>
      </w:pPr>
      <w:r>
        <w:t xml:space="preserve">2º Restablecerle en la integridad de su derecho y, en consecuencia, declarar la nulidad del auto de fecha 21 de enero de 2023 dictado por el Juzgado de Instrucción núm. 44 de Madrid, en el procedimiento de </w:t>
      </w:r>
      <w:r w:rsidRPr="009D7677">
        <w:rPr>
          <w:i/>
        </w:rPr>
        <w:t>habeas corpus</w:t>
      </w:r>
      <w:r>
        <w:t xml:space="preserve"> núm. 186-2023.</w:t>
      </w:r>
    </w:p>
    <w:p w14:paraId="3AA9748E" w14:textId="77777777" w:rsidR="009D7677" w:rsidRDefault="009D7677" w:rsidP="009D7677">
      <w:pPr>
        <w:pStyle w:val="TextoNormal"/>
      </w:pPr>
    </w:p>
    <w:p w14:paraId="4F8C004B" w14:textId="77777777" w:rsidR="009D7677" w:rsidRDefault="009D7677" w:rsidP="009D7677">
      <w:pPr>
        <w:pStyle w:val="TextoNormal"/>
      </w:pPr>
      <w:r>
        <w:t>Publíquese esta sentencia en el “Boletín Oficial del Estado”.</w:t>
      </w:r>
    </w:p>
    <w:p w14:paraId="5AE96D57" w14:textId="77777777" w:rsidR="009D7677" w:rsidRDefault="009D7677" w:rsidP="009D7677">
      <w:pPr>
        <w:pStyle w:val="TextoNormal"/>
      </w:pPr>
      <w:r>
        <w:t>Dada en Madrid, a tres de junio de dos mil veinticuatro.</w:t>
      </w:r>
    </w:p>
    <w:p w14:paraId="54F9D2F5" w14:textId="0F1ED647" w:rsidR="009D7677" w:rsidRDefault="009D7677">
      <w:pPr>
        <w:spacing w:after="160" w:line="259" w:lineRule="auto"/>
        <w:rPr>
          <w:rFonts w:ascii="Times New Roman" w:eastAsia="Times New Roman" w:hAnsi="Times New Roman" w:cs="Times New Roman"/>
          <w:sz w:val="24"/>
          <w:szCs w:val="24"/>
          <w:lang w:eastAsia="es-ES"/>
        </w:rPr>
      </w:pPr>
      <w:r>
        <w:br w:type="page"/>
      </w:r>
    </w:p>
    <w:p w14:paraId="73992573" w14:textId="77777777" w:rsidR="009D7677" w:rsidRDefault="009D7677" w:rsidP="009D7677">
      <w:pPr>
        <w:pStyle w:val="TtuloResolucin"/>
      </w:pPr>
      <w:bookmarkStart w:id="88" w:name="SENTENCIA_2024_86"/>
      <w:r>
        <w:lastRenderedPageBreak/>
        <w:t>SENTENCIA 86/2024, de 3 de junio de 2024</w:t>
      </w:r>
    </w:p>
    <w:bookmarkEnd w:id="88"/>
    <w:p w14:paraId="1AD16899" w14:textId="77777777" w:rsidR="009D7677" w:rsidRDefault="009D7677" w:rsidP="009D7677">
      <w:pPr>
        <w:pStyle w:val="TtuloResolucin"/>
      </w:pPr>
      <w:r>
        <w:t>Sala Primera</w:t>
      </w:r>
    </w:p>
    <w:p w14:paraId="1B11BC66" w14:textId="77777777" w:rsidR="009D7677" w:rsidRDefault="009D7677" w:rsidP="009D7677">
      <w:pPr>
        <w:pStyle w:val="TtuloBOE"/>
      </w:pPr>
      <w:r>
        <w:t>(BOE núm. 164, de 8 de julio de 2024)</w:t>
      </w:r>
    </w:p>
    <w:p w14:paraId="63584444" w14:textId="77777777" w:rsidR="009D7677" w:rsidRDefault="009D7677" w:rsidP="009D7677">
      <w:pPr>
        <w:pStyle w:val="TextoNormalCentrado"/>
      </w:pPr>
      <w:r>
        <w:t>ECLI:ES:TC:2024:86</w:t>
      </w:r>
    </w:p>
    <w:p w14:paraId="3A15C7F0" w14:textId="70A41F78" w:rsidR="009D7677" w:rsidRDefault="009D7677" w:rsidP="009D7677">
      <w:pPr>
        <w:pStyle w:val="TextoNormalCentrado"/>
      </w:pPr>
    </w:p>
    <w:p w14:paraId="3506A564" w14:textId="77777777" w:rsidR="009D7677" w:rsidRDefault="009D7677" w:rsidP="009D7677">
      <w:pPr>
        <w:pStyle w:val="SntesisDescriptiva"/>
      </w:pPr>
      <w:r>
        <w:t>Recurso de amparo 2875-2023. Promovido por don Salvador Illa Roca y otros treinta y un diputados del Grupo Parlamentario Socialistes i Units per Avançar en el Parlamento de Cataluña en relación con los acuerdos de la mesa de la Cámara que habilitaron un procedimiento provisional de votación telemática.</w:t>
      </w:r>
    </w:p>
    <w:p w14:paraId="00011130" w14:textId="5B5DB571" w:rsidR="009D7677" w:rsidRDefault="009D7677" w:rsidP="009D7677">
      <w:pPr>
        <w:pStyle w:val="SntesisDescriptiva"/>
      </w:pPr>
    </w:p>
    <w:p w14:paraId="497FBFE3" w14:textId="77777777" w:rsidR="009D7677" w:rsidRDefault="009D7677" w:rsidP="009D7677">
      <w:pPr>
        <w:pStyle w:val="SntesisAnaltica"/>
      </w:pPr>
      <w:r>
        <w:t>Vulneración del derecho al ejercicio de las funciones representativas, en conexión con el derecho de los ciudadanos a participar en los asuntos públicos a través de sus representantes: habilitación del voto telemático que excepciona el principio de presencialidad de quien voluntariamente ha decidido eludir la acción de la jurisdicción penal española y está sujeto a una orden judicial de busca y captura.</w:t>
      </w:r>
    </w:p>
    <w:p w14:paraId="1B3A5E43" w14:textId="6FB33832" w:rsidR="009D7677" w:rsidRDefault="009D7677" w:rsidP="009D7677">
      <w:pPr>
        <w:pStyle w:val="SntesisAnaltica"/>
      </w:pPr>
    </w:p>
    <w:p w14:paraId="1A821106" w14:textId="1996308C" w:rsidR="009D7677" w:rsidRDefault="009D7677" w:rsidP="009D7677">
      <w:pPr>
        <w:pStyle w:val="Extracto"/>
      </w:pPr>
      <w:r>
        <w:t>1.</w:t>
      </w:r>
      <w:r>
        <w:tab/>
        <w:t>Las funciones representativas, salvo excepciones justificadas en la necesidad de salvaguardar un bien constitucional merecedor de mayor protección, han de ejercerse personalmente por quien ha sido elegido, ex arts. 79.3 y 23 CE. Sólo cuando concurran tales razones excepcionales un diputado puede expresar el voto de otro diputado y, para ello, es preciso que el diputado delegante haya manifestado previamente de forma fehaciente el sentido de su voto y proceda conforme a la correspondiente normativa parlamentaria (STC 65/2022) [FJ 3].</w:t>
      </w:r>
    </w:p>
    <w:p w14:paraId="3E911A66" w14:textId="77777777" w:rsidR="009D7677" w:rsidRDefault="009D7677" w:rsidP="009D7677">
      <w:pPr>
        <w:pStyle w:val="Extracto"/>
      </w:pPr>
    </w:p>
    <w:p w14:paraId="45094417" w14:textId="77777777" w:rsidR="009D7677" w:rsidRDefault="009D7677" w:rsidP="009D7677">
      <w:pPr>
        <w:pStyle w:val="Extracto"/>
      </w:pPr>
    </w:p>
    <w:p w14:paraId="0B80FFB4" w14:textId="77777777" w:rsidR="009D7677" w:rsidRDefault="009D7677" w:rsidP="009D7677">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14:paraId="24493E40" w14:textId="15B2E828" w:rsidR="009D7677" w:rsidRDefault="009D7677" w:rsidP="009D7677">
      <w:pPr>
        <w:pStyle w:val="TextoNormal"/>
      </w:pPr>
    </w:p>
    <w:p w14:paraId="1F0C6E62" w14:textId="77777777" w:rsidR="009D7677" w:rsidRDefault="009D7677" w:rsidP="009D7677">
      <w:pPr>
        <w:pStyle w:val="TextoNormalCentrado"/>
        <w:keepNext/>
      </w:pPr>
      <w:r>
        <w:t>EN NOMBRE DEL REY</w:t>
      </w:r>
    </w:p>
    <w:p w14:paraId="523A083F" w14:textId="175B27A4" w:rsidR="009D7677" w:rsidRDefault="009D7677" w:rsidP="009D7677">
      <w:pPr>
        <w:pStyle w:val="TextoNormalCentrado"/>
        <w:keepNext/>
      </w:pPr>
    </w:p>
    <w:p w14:paraId="29C62B3A" w14:textId="77777777" w:rsidR="009D7677" w:rsidRDefault="009D7677" w:rsidP="009D7677">
      <w:pPr>
        <w:pStyle w:val="TextoNormalCentrado"/>
        <w:keepNext/>
      </w:pPr>
    </w:p>
    <w:p w14:paraId="24305323" w14:textId="77777777" w:rsidR="009D7677" w:rsidRDefault="009D7677" w:rsidP="009D7677">
      <w:pPr>
        <w:pStyle w:val="TextoNormal"/>
      </w:pPr>
      <w:r>
        <w:t>la siguiente</w:t>
      </w:r>
    </w:p>
    <w:p w14:paraId="2B02C40C" w14:textId="2427C153" w:rsidR="009D7677" w:rsidRDefault="009D7677" w:rsidP="009D7677">
      <w:pPr>
        <w:pStyle w:val="TextoNormal"/>
      </w:pPr>
    </w:p>
    <w:p w14:paraId="09B68E33" w14:textId="77777777" w:rsidR="009D7677" w:rsidRDefault="009D7677" w:rsidP="009D7677">
      <w:pPr>
        <w:pStyle w:val="TextoNormalCentrado"/>
        <w:keepNext/>
      </w:pPr>
      <w:r>
        <w:t>SENTENCIA</w:t>
      </w:r>
    </w:p>
    <w:p w14:paraId="7789A547" w14:textId="769693F1" w:rsidR="009D7677" w:rsidRDefault="009D7677" w:rsidP="009D7677">
      <w:pPr>
        <w:pStyle w:val="TextoNormalCentrado"/>
        <w:keepNext/>
      </w:pPr>
    </w:p>
    <w:p w14:paraId="1ADD253B" w14:textId="77777777" w:rsidR="009D7677" w:rsidRDefault="009D7677" w:rsidP="009D7677">
      <w:pPr>
        <w:pStyle w:val="TextoNormal"/>
      </w:pPr>
      <w:r>
        <w:t>En el recurso de amparo núm. 2875-2023, promovido por don Salvador Illa Roca, doña Alicia Romero Llano, don Raúl Moreno Montaña, doña María Asunción Escarp Gibert, don Ferrán Pedret Santos, don Ramón Espadaler Parcerisas, doña Judit Alcalá González, don Óscar Aparicio Pedrosa, doña Helena Bayo Delgado, doña Eva Candela López, doña María dels Dolors Carreras Casany, doña Elena Díaz Torrevejano, don Mario García Gómez, doña Rocío García Pérez, don Pol Gibert Horcas, don Cristóbal Gimeno Iglesias, don David González Chanca, doña Rosa María Ibarra Ollé, doña Gemma Lienas Massot, doña Marta Moreta Rovira, doña Esther Niubó Cidoncha, don Òscar Ordeig Molist, don Joaquín Paladella Curto, doña Silvia Paneque Sureda, don David Pérez Ibáñez, don Jordi Riba Colom, doña Mónica Ríos García, doña Silvia Romero Galera, don Juan Luis Ruiz Ló</w:t>
      </w:r>
      <w:r>
        <w:lastRenderedPageBreak/>
        <w:t>pez, doña Beatriz Silva Gallardo, don Jordi Terrades Santacreu y don Rubén Viñuales Elías, diputadas y diputados del Grupo Parlamentario Socialistes i Units per Avançar en el Parlamento de Cataluña contra el acuerdo de la mesa del Parlamento de Cataluña de 19 de abril de 2023, por el que se desestiman las reconsideraciones planteadas contra sendos acuerdos de la mesa de 18 y 19 de abril de 2023. Ha comparecido el Parlamento de Cataluña. Ha intervenido el Ministerio Fiscal. Ha sido ponente la magistrada doña María Luisa Segoviano Astaburuaga.</w:t>
      </w:r>
    </w:p>
    <w:p w14:paraId="54D6A7F6" w14:textId="513C8C3F" w:rsidR="009D7677" w:rsidRDefault="009D7677" w:rsidP="009D7677">
      <w:pPr>
        <w:pStyle w:val="TextoNormal"/>
      </w:pPr>
    </w:p>
    <w:p w14:paraId="33E5ED52" w14:textId="77777777" w:rsidR="009D7677" w:rsidRDefault="009D7677" w:rsidP="009D7677">
      <w:pPr>
        <w:pStyle w:val="TextoNormalNegritaCentrado"/>
        <w:keepNext/>
      </w:pPr>
      <w:r>
        <w:t>I. Antecedentes</w:t>
      </w:r>
    </w:p>
    <w:p w14:paraId="2924EF2C" w14:textId="08F82D13" w:rsidR="009D7677" w:rsidRDefault="009D7677" w:rsidP="009D7677">
      <w:pPr>
        <w:pStyle w:val="TextoNormalNegritaCentrado"/>
        <w:keepNext/>
      </w:pPr>
    </w:p>
    <w:p w14:paraId="3187C701" w14:textId="1E8E9481" w:rsidR="009D7677" w:rsidRDefault="009D7677" w:rsidP="009D7677">
      <w:pPr>
        <w:pStyle w:val="TextoNormal"/>
      </w:pPr>
      <w:r w:rsidRPr="009D7677">
        <w:rPr>
          <w:rStyle w:val="NumeroAFNegritaCaracter"/>
        </w:rPr>
        <w:t>1</w:t>
      </w:r>
      <w:r>
        <w:t>. Mediante escrito registrado en el Tribunal el 5 de junio de 2023, las diputadas y los diputados del grupo parlamentario Socialistes i Units per Avançar en el Parlamento de Cataluña citados en el encabezamiento de esta resolución, representados por la procuradora de los tribunales doña Virginia Aragón Segura, bajo la dirección del letrado don Alberto Cachinero Capitán, interpusieron recurso de amparo contra el acuerdo de la mesa del Parlamento de Cataluña de 19 de abril de 2023, por el que se desestiman las solicitudes de reconsideración formuladas por los recurrentes registradas con los núms. 98515 y 98517 contra los acuerdos de la mesa de 18 de abril de 2023, sobre la regulación transitoria del voto telemático hasta que no se proceda a una reforma del Reglamento del Parlamento de Cataluña, y de 19 de abril de 2023, aceptando la habilitación del procedimiento de votación telemático del diputado don Lluís Puig i Gordi hasta el final de ese periodo de sesiones.</w:t>
      </w:r>
    </w:p>
    <w:p w14:paraId="66B539A9" w14:textId="77777777" w:rsidR="009D7677" w:rsidRDefault="009D7677" w:rsidP="009D7677">
      <w:pPr>
        <w:pStyle w:val="TextoNormal"/>
      </w:pPr>
    </w:p>
    <w:p w14:paraId="3DEBDF1F" w14:textId="77777777" w:rsidR="009D7677" w:rsidRDefault="009D7677" w:rsidP="009D7677">
      <w:pPr>
        <w:pStyle w:val="TextoNormal"/>
      </w:pPr>
      <w:r w:rsidRPr="009D7677">
        <w:rPr>
          <w:rStyle w:val="NumeroAFNegritaCaracter"/>
        </w:rPr>
        <w:t>2</w:t>
      </w:r>
      <w:r>
        <w:t>. El recurso tiene su origen en los siguientes antecedentes:</w:t>
      </w:r>
    </w:p>
    <w:p w14:paraId="2E3478EF" w14:textId="77777777" w:rsidR="009D7677" w:rsidRDefault="009D7677" w:rsidP="009D7677">
      <w:pPr>
        <w:pStyle w:val="TextoNormal"/>
      </w:pPr>
    </w:p>
    <w:p w14:paraId="189F4DEE" w14:textId="77777777" w:rsidR="009D7677" w:rsidRDefault="009D7677" w:rsidP="009D7677">
      <w:pPr>
        <w:pStyle w:val="TextoNormal"/>
      </w:pPr>
      <w:r>
        <w:t>a) La mesa del Parlamento de Cataluña, por acuerdo de 18 de abril de 2023 (acta de la sesión núm. 131), aprobó por mayoría una regulación transitoria del voto telemático hasta que no se procediera a una reforma del Reglamento del Parlamento de Cataluña, en los siguientes términos:</w:t>
      </w:r>
    </w:p>
    <w:p w14:paraId="0EA239AC" w14:textId="77777777" w:rsidR="009D7677" w:rsidRDefault="009D7677" w:rsidP="009D7677">
      <w:pPr>
        <w:pStyle w:val="TextoNormal"/>
      </w:pPr>
    </w:p>
    <w:p w14:paraId="76C362F7" w14:textId="77777777" w:rsidR="009D7677" w:rsidRDefault="009D7677" w:rsidP="009D7677">
      <w:pPr>
        <w:pStyle w:val="TextoNormal"/>
      </w:pPr>
      <w:r>
        <w:t>“Exposición de motivos</w:t>
      </w:r>
    </w:p>
    <w:p w14:paraId="071C6544" w14:textId="77777777" w:rsidR="009D7677" w:rsidRDefault="009D7677" w:rsidP="009D7677">
      <w:pPr>
        <w:pStyle w:val="TextoNormal"/>
      </w:pPr>
    </w:p>
    <w:p w14:paraId="6DE1102B" w14:textId="77777777" w:rsidR="009D7677" w:rsidRDefault="009D7677" w:rsidP="009D7677">
      <w:pPr>
        <w:pStyle w:val="TextoNormal"/>
      </w:pPr>
      <w:r>
        <w:t>El artículo 4.2 del Reglamento del Parlamento de Cataluña establece que los diputados tienen derecho a voto en el Pleno. Este principio básico del parlamentarismo interpela a todos los órganos del Parlamento, que, dentro de sus funciones y la legalidad, deben hacer todo lo posible para garantizar el derecho de voto de todos los diputados y diputadas.</w:t>
      </w:r>
    </w:p>
    <w:p w14:paraId="2E71BC7A" w14:textId="77777777" w:rsidR="009D7677" w:rsidRDefault="009D7677" w:rsidP="009D7677">
      <w:pPr>
        <w:pStyle w:val="TextoNormal"/>
      </w:pPr>
    </w:p>
    <w:p w14:paraId="5FDC70BD" w14:textId="77777777" w:rsidR="009D7677" w:rsidRDefault="009D7677" w:rsidP="009D7677">
      <w:pPr>
        <w:pStyle w:val="TextoNormal"/>
      </w:pPr>
      <w:r>
        <w:t>En cuanto al voto telemático, este se habilitó durante la pandemia atendiendo a la situación de excepcionalidad de forma no controvertida. En ese mismo sentido, el voto telemático se está utilizando en algunas comisiones del Parlamento de Cataluña, también de forma no controvertida.</w:t>
      </w:r>
    </w:p>
    <w:p w14:paraId="28BFC7E8" w14:textId="77777777" w:rsidR="009D7677" w:rsidRDefault="009D7677" w:rsidP="009D7677">
      <w:pPr>
        <w:pStyle w:val="TextoNormal"/>
      </w:pPr>
    </w:p>
    <w:p w14:paraId="49E89660" w14:textId="77777777" w:rsidR="009D7677" w:rsidRDefault="009D7677" w:rsidP="009D7677">
      <w:pPr>
        <w:pStyle w:val="TextoNormal"/>
      </w:pPr>
      <w:r>
        <w:t>El acuerdo de la mesa del Parlamento que habilita el voto telemático es transitorio para garantizar los derechos de todos los diputados y diputadas mientras no exista una reforma definitiva del Reglamento del Parlamento de Cataluña.</w:t>
      </w:r>
    </w:p>
    <w:p w14:paraId="26D255D8" w14:textId="77777777" w:rsidR="009D7677" w:rsidRDefault="009D7677" w:rsidP="009D7677">
      <w:pPr>
        <w:pStyle w:val="TextoNormal"/>
      </w:pPr>
    </w:p>
    <w:p w14:paraId="38C12ECC" w14:textId="77777777" w:rsidR="009D7677" w:rsidRDefault="009D7677" w:rsidP="009D7677">
      <w:pPr>
        <w:pStyle w:val="TextoNormal"/>
      </w:pPr>
      <w:r>
        <w:t>Por eso, la Mesa del Parlamento de Cataluña acuerda:</w:t>
      </w:r>
    </w:p>
    <w:p w14:paraId="6A7F6FD6" w14:textId="77777777" w:rsidR="009D7677" w:rsidRDefault="009D7677" w:rsidP="009D7677">
      <w:pPr>
        <w:pStyle w:val="TextoNormal"/>
      </w:pPr>
    </w:p>
    <w:p w14:paraId="1E80E2C6" w14:textId="77777777" w:rsidR="009D7677" w:rsidRDefault="009D7677" w:rsidP="009D7677">
      <w:pPr>
        <w:pStyle w:val="TextoNormal"/>
      </w:pPr>
      <w:r>
        <w:t>1. Que en situaciones excepcionales de especial gravedad en las que se impida el desarrollo de la función parlamentaria y, dadas las especiales circunstancias, se considere suficientemente justificado, la Mesa podrá autorizar en escrito motivado que los diputados y diputadas emitan su voto por el procedimiento telemático.</w:t>
      </w:r>
    </w:p>
    <w:p w14:paraId="7FB6EDA2" w14:textId="77777777" w:rsidR="009D7677" w:rsidRDefault="009D7677" w:rsidP="009D7677">
      <w:pPr>
        <w:pStyle w:val="TextoNormal"/>
      </w:pPr>
    </w:p>
    <w:p w14:paraId="4D6DC04F" w14:textId="77777777" w:rsidR="009D7677" w:rsidRDefault="009D7677" w:rsidP="009D7677">
      <w:pPr>
        <w:pStyle w:val="TextoNormal"/>
      </w:pPr>
      <w:r>
        <w:t>2. Que el diputado o diputada deberá solicitar el procedimiento telemático mediante escrito motivado a la Mesa, que le comunicará su decisión precisando el período de tiempo en que podrá emitir el voto mediante dicho procedimiento. El voto emitido por este procedimiento deberá ser verificado mediante el sistema que, a tal efecto, establezca la Mesa, que deberá tener conocimiento con carácter previo al inicio de la votación correspondiente”.</w:t>
      </w:r>
    </w:p>
    <w:p w14:paraId="2E649879" w14:textId="77777777" w:rsidR="009D7677" w:rsidRDefault="009D7677" w:rsidP="009D7677">
      <w:pPr>
        <w:pStyle w:val="TextoNormal"/>
      </w:pPr>
    </w:p>
    <w:p w14:paraId="004657A5" w14:textId="77777777" w:rsidR="009D7677" w:rsidRDefault="009D7677" w:rsidP="009D7677">
      <w:pPr>
        <w:pStyle w:val="TextoNormal"/>
      </w:pPr>
      <w:r>
        <w:t>b) El diputado don Lluís Puig i Gordi, mediante escrito de 18 de abril de 2023 registrado con el núm. 98137, solicitó a la mesa, al amparo del anterior acuerdo, que se le habilitara el procedimiento transitorio de votación telemática dado que las circunstancias actuales le incapacitan para poder ejercer de forma presencial el derecho al voto.</w:t>
      </w:r>
    </w:p>
    <w:p w14:paraId="1230DB61" w14:textId="77777777" w:rsidR="009D7677" w:rsidRDefault="009D7677" w:rsidP="009D7677">
      <w:pPr>
        <w:pStyle w:val="TextoNormal"/>
      </w:pPr>
    </w:p>
    <w:p w14:paraId="0AF91F38" w14:textId="77777777" w:rsidR="009D7677" w:rsidRDefault="009D7677" w:rsidP="009D7677">
      <w:pPr>
        <w:pStyle w:val="TextoNormal"/>
      </w:pPr>
      <w:r>
        <w:t>c) El grupo parlamentario Socialistes i Units per Avançar, mediante escrito de 19 de abril de 2023 registrado con el núm. 98515, solicitó la reconsideración del acuerdo de 18 de abril de 2023; al igual que lo hicieron los grupos parlamentarios de Vox en Cataluña y Ciutadans, mediante sendos escritos de esa misma fecha registrados con los núms. 98518 y 98519, respectivamente.</w:t>
      </w:r>
    </w:p>
    <w:p w14:paraId="3BA833E3" w14:textId="77777777" w:rsidR="009D7677" w:rsidRDefault="009D7677" w:rsidP="009D7677">
      <w:pPr>
        <w:pStyle w:val="TextoNormal"/>
      </w:pPr>
    </w:p>
    <w:p w14:paraId="441BBBE4" w14:textId="77777777" w:rsidR="009D7677" w:rsidRDefault="009D7677" w:rsidP="009D7677">
      <w:pPr>
        <w:pStyle w:val="TextoNormal"/>
      </w:pPr>
      <w:r>
        <w:t>La solicitud de reconsideración se fundamentó en la necesidad de respetar la jurisprudencia constitucional establecida en la STC 85/2022, de 27 de junio, respecto de la exigencia de la presencialidad en el ejercicio del voto de los representantes políticos y de que solo excepcionalmente cabe excepcionarlo en los casos previstos en el art. 95.1 del Reglamento del Parlamento de Cataluña (RPC). A esos efectos, se incide en que, a diferencia de lo que ocurrió con los acuerdos de la mesa de 13 y 27 de marzo de 2020, en que se habilitó el voto delegado, y de 24 de marzo de 2020, en que se habilitó la posibilidad de activar el voto telemático que prevé el Reglamento del Parlamento de Cataluña para los casos de delegación de voto, que estaban justificados por situaciones de extrema urgencia y necesidad por la situación pandémica de la covid-19; sin embargo, en este caso no concurre causa de excepcionalidad, careciendo de justificación alguna que la mesa acuerde una nueva modalidad de voto. De ello concluye que el acuerdo sometido a reconsideración vulnera el cumplimiento de lo establecido en las SSTC 85/2022, de 27 de junio, y 24/2023, de 27 de marzo, en las que se anularon sendas delegaciones del voto del diputado don Lluís Puig i Gordi, al considerar que en su caso no concurría ninguna de las situaciones excepcionales de especial gravedad previstas reglamentariamente para ejercer voto delegado.</w:t>
      </w:r>
    </w:p>
    <w:p w14:paraId="6CD3025C" w14:textId="77777777" w:rsidR="009D7677" w:rsidRDefault="009D7677" w:rsidP="009D7677">
      <w:pPr>
        <w:pStyle w:val="TextoNormal"/>
      </w:pPr>
    </w:p>
    <w:p w14:paraId="7CEA10FF" w14:textId="77777777" w:rsidR="009D7677" w:rsidRDefault="009D7677" w:rsidP="009D7677">
      <w:pPr>
        <w:pStyle w:val="TextoNormal"/>
      </w:pPr>
      <w:r>
        <w:t>d) La mesa del Parlamento de Cataluña, por acuerdo de 19 de abril de 2023 (acta de la sesión núm. 132), aprobó por mayoría autorizar el voto telemático del diputado don Lluís Puig i Gordi hasta el final del periodo de sesiones, que finalizaba el 31 de julio de 2023, al considerar que las circunstancias en las que se encuentra suponen una situación excepcional de especial gravedad que le impide el desarrollo de la función parlamentaria en los términos del acuerdo de 18 de abril de 2023.</w:t>
      </w:r>
    </w:p>
    <w:p w14:paraId="655A1AC5" w14:textId="77777777" w:rsidR="009D7677" w:rsidRDefault="009D7677" w:rsidP="009D7677">
      <w:pPr>
        <w:pStyle w:val="TextoNormal"/>
      </w:pPr>
    </w:p>
    <w:p w14:paraId="2AD074F6" w14:textId="77777777" w:rsidR="009D7677" w:rsidRDefault="009D7677" w:rsidP="009D7677">
      <w:pPr>
        <w:pStyle w:val="TextoNormal"/>
      </w:pPr>
      <w:r>
        <w:t>e) El grupo parlamentario Socialistes i Units per Avançar, mediante escrito de 19 de abril de 2023 registrado con el núm. 98517, solicitó la reconsideración del anterior acuerdo de 19 de abril de 2023; al igual que lo hicieron los grupos parlamentarios de Ciutadans y Vox en Cataluña, mediante sendos escritos de esa misma fecha registrados con los núms. 98519 y 98520, respectivamente. La solicitud de reconsideración se fundamentó en que dicha habilitación vulnera el cumplimiento de lo establecido en las SSTC 85/2022, de 27 de junio, y 24/2023, de 27 de marzo, en las que se anularon sendas delegaciones del voto del diputado don Lluís Puig i Gordi, al considerar que no puede ser tenida como una situación excepcional de especial gravedad a los efectos de excepcionar el voto presencial la de quien voluntariamente ha decidido eludir la acción de la jurisdicción penal española y sobre el que pesa una orden judicial de busca y captura.</w:t>
      </w:r>
    </w:p>
    <w:p w14:paraId="69E89117" w14:textId="77777777" w:rsidR="009D7677" w:rsidRDefault="009D7677" w:rsidP="009D7677">
      <w:pPr>
        <w:pStyle w:val="TextoNormal"/>
      </w:pPr>
    </w:p>
    <w:p w14:paraId="1B3CEFBC" w14:textId="3049D49F" w:rsidR="009D7677" w:rsidRDefault="009D7677" w:rsidP="009D7677">
      <w:pPr>
        <w:pStyle w:val="TextoNormal"/>
      </w:pPr>
      <w:r>
        <w:t>f) La mesa del Parlamento de Cataluña, por un único acuerdo de 19 de abril de 2023, aprobó por mayoría desestimar todas las solicitudes de reconsideración formuladas contra los citados acuerdos de 18 y 19 de abril de 2023, argumentando que (i) la mesa debe garantizar el derecho de los diputados al voto; (ii) las votaciones telemáticas en el Pleno y en las comisiones del Parlamento de Cataluña han sido habilitadas anteriormente por la mesa sin previsión reglamentaria al efecto, tal como se hace en el presente acuerdo, sin que haya sido objeto de controversia; y (iii) las sentencias del Tribunal Constitucional citadas en las reconsideraciones respecto de las delegaciones de voto anuladas al diputado don Lluís Puig i Gordi no tiene el mismo objeto que el acuerdo sometido a reconsideración.</w:t>
      </w:r>
    </w:p>
    <w:p w14:paraId="7D44B948" w14:textId="77777777" w:rsidR="009D7677" w:rsidRDefault="009D7677" w:rsidP="009D7677">
      <w:pPr>
        <w:pStyle w:val="TextoNormal"/>
      </w:pPr>
    </w:p>
    <w:p w14:paraId="2B0C2755" w14:textId="77777777" w:rsidR="009D7677" w:rsidRDefault="009D7677" w:rsidP="009D7677">
      <w:pPr>
        <w:pStyle w:val="TextoNormal"/>
      </w:pPr>
      <w:r w:rsidRPr="009D7677">
        <w:rPr>
          <w:rStyle w:val="NumeroAFNegritaCaracter"/>
        </w:rPr>
        <w:t>3</w:t>
      </w:r>
      <w:r>
        <w:t>. Los demandantes de amparo solicitan que se estime el recurso declarando que se ha vulnerado su derecho a la representación política (art. 23.2 CE), para cuyo restablecimiento considera necesario anular los acuerdos impugnados.</w:t>
      </w:r>
    </w:p>
    <w:p w14:paraId="1BC5FBC5" w14:textId="77777777" w:rsidR="009D7677" w:rsidRDefault="009D7677" w:rsidP="009D7677">
      <w:pPr>
        <w:pStyle w:val="TextoNormal"/>
      </w:pPr>
    </w:p>
    <w:p w14:paraId="2BD21756" w14:textId="77777777" w:rsidR="009D7677" w:rsidRDefault="009D7677" w:rsidP="009D7677">
      <w:pPr>
        <w:pStyle w:val="TextoNormal"/>
      </w:pPr>
      <w:r>
        <w:t>Los demandantes de amparo, en el apartado de antecedentes de hecho del recurso, relatan las actuaciones de la mesa del Parlamento de Cataluña relativas a las sucesivas ocasiones en las que autorizó el voto delegado al diputado don Lluís Puig i Gordí en la XIII legislatura —que el Parlamento de Cataluña pasó a denominar XIV legislatura a partir de la resolución 9/XIII aprobada en la sesión plenaria de 2 de junio de 2021—, así como el proceso de su impugnación por los demandantes, que culminaron con sendos recursos de amparo resueltos por las SSTC 85/2022, de 27 de junio, y 24/2023, de 27 de marzo. En conexión con ello, relatan la aprobación del acuerdo de 18 de abril de 2023 poniéndolo en relación inmediata con el hecho de que en esa misma fecha fuera solicitada la habilitación del procedimiento de votación telemática por don Lluís Puig i Gordi, que fue aprobado y confirmado en reconsideración mediante sendos acuerdos de 19 de abril de 2023.</w:t>
      </w:r>
    </w:p>
    <w:p w14:paraId="7194AD3B" w14:textId="77777777" w:rsidR="009D7677" w:rsidRDefault="009D7677" w:rsidP="009D7677">
      <w:pPr>
        <w:pStyle w:val="TextoNormal"/>
      </w:pPr>
    </w:p>
    <w:p w14:paraId="2F1570DF" w14:textId="77777777" w:rsidR="009D7677" w:rsidRDefault="009D7677" w:rsidP="009D7677">
      <w:pPr>
        <w:pStyle w:val="TextoNormal"/>
      </w:pPr>
      <w:r>
        <w:t xml:space="preserve">Los demandantes, en el apartado primero dedicado a los motivos del recurso, tras exponer la jurisprudencia constitucional sobre el art. 23.2 CE y recordar la regulación general establecida en el art. 95 RPC sobre el ejercicio del voto delegado y la concreta posibilidad de ejercer el voto telemático, a través de la delegación de voto, prevista en el art. 95.3 RPC, destacan que la facultad de la mesa del Parlamento a la que alude este precepto de establecer los criterios generales para poder delimitar los supuestos que permiten esta delegación no se puede extender a la ampliación de supuestos o causas respecto de las que determina el precepto citado para el voto telemático. A esos efectos, afirman, por un lado, que “[l]a equiparación de las circunstancias procesales en las que se encuentra el diputado </w:t>
      </w:r>
      <w:r>
        <w:lastRenderedPageBreak/>
        <w:t xml:space="preserve">que solicitó la habilitación del voto telemático, aunque eludidas en su solicitud, con las circunstancias que son la </w:t>
      </w:r>
      <w:r w:rsidRPr="009D7677">
        <w:rPr>
          <w:i/>
        </w:rPr>
        <w:t>ratio</w:t>
      </w:r>
      <w:r>
        <w:t xml:space="preserve"> de la regulación excepcional contenida en el art. 95 RPC, suponen una interpretación expansiva y una extensión analógica de los supuestos previstos en el citado artículo […], lo que supone una arbitrariedad que menoscaba los derechos del resto de diputados, vulnerando así el derecho fundamental del art. 23.2 CE” y, por otro, que “[l]a decisión de la mesa supone la ampliación de los supuestos tasados en el art. 95 RPC, eximiéndose al diputado solicitante de la habilitación del voto telemático de la debida acreditación de las circunstancias impeditivas alegadas, que, en cualquier caso, no guardan conexión con la </w:t>
      </w:r>
      <w:r w:rsidRPr="009D7677">
        <w:rPr>
          <w:i/>
        </w:rPr>
        <w:t>ratio</w:t>
      </w:r>
      <w:r>
        <w:t xml:space="preserve"> de la excepción. Todo ello conlleva que se desvirtúa la regulación reglamentaria de la excepción que supone la habilitación del voto telemático, quebrando la expectativa de la aplicación del precepto por parte de la mesa y la previsibilidad de sus decisiones al respecto de una cuestión tan sensible como la posibilidad de emitir o no el voto telemático vinculado así a la delegación de voto en circunstancias no previstas expresamente en el Reglamento, lo que es claramente contrario a lo querido por el legislador reglamentario, y supone una inequidad de trato respecto a los demás diputados y diputadas”.</w:t>
      </w:r>
    </w:p>
    <w:p w14:paraId="347C6229" w14:textId="77777777" w:rsidR="009D7677" w:rsidRDefault="009D7677" w:rsidP="009D7677">
      <w:pPr>
        <w:pStyle w:val="TextoNormal"/>
      </w:pPr>
    </w:p>
    <w:p w14:paraId="14106FDD" w14:textId="77777777" w:rsidR="009D7677" w:rsidRDefault="009D7677" w:rsidP="009D7677">
      <w:pPr>
        <w:pStyle w:val="TextoNormal"/>
      </w:pPr>
      <w:r>
        <w:t>Los demandantes, en el apartado segundo dedicado a los motivos del recurso, tras exponer la jurisprudencia constitucional sobre la presencialidad en el ejercicio del derecho de voto de los representantes políticos establecida en las SSTC 19/2019, de 12 de febrero; 65/2022, de 31 de mayo; 75/2022, de 15 de junio; 85/2022, de 27 de junio, y 24/2023, de 27 de marzo, también inciden en “que las causas que pueden justificar el voto telemático o delegado deben ser siempre excepcionales o de fuerza mayor y encontrarse registradas en el reglamento parlamentario”; concluyendo “que habilitar un sistema de votación, fuera de las situaciones excepcionales fijadas en el artículo 95 RPC, alejado además de la norma de la votación presencial y personal, atenta contra el ‘</w:t>
      </w:r>
      <w:r w:rsidRPr="009D7677">
        <w:rPr>
          <w:i/>
        </w:rPr>
        <w:t>ius in officium</w:t>
      </w:r>
      <w:r>
        <w:t>’ (artículo 23.2 CE) de los diputados y diputadas”.</w:t>
      </w:r>
    </w:p>
    <w:p w14:paraId="7DA907BF" w14:textId="77777777" w:rsidR="009D7677" w:rsidRDefault="009D7677" w:rsidP="009D7677">
      <w:pPr>
        <w:pStyle w:val="TextoNormal"/>
      </w:pPr>
    </w:p>
    <w:p w14:paraId="53DB6A20" w14:textId="77777777" w:rsidR="009D7677" w:rsidRDefault="009D7677" w:rsidP="009D7677">
      <w:pPr>
        <w:pStyle w:val="TextoNormal"/>
      </w:pPr>
      <w:r>
        <w:t xml:space="preserve">Los demandantes de amparo, en un tercer apartado dedicado a los motivos del recurso, tras describir el contenido de los acuerdos parlamentarios impugnados y reconocer que la mesa ha adoptado acuerdos por situaciones de extrema urgencia y necesidad fruto de la situación pandémica (acuerdos de 13, 17 y 24 de marzo), en los que se preveía la celebración de sesiones no presenciales de determinados órganos de la Cámara (junta de portavoces y mesa) y la activación del voto telemático que prevé el Reglamento del Parlamento de Cataluña para los casos de delegación de voto, alegan que “estos acuerdos fueron adoptados por la mesa del Parlamento motivados por situaciones de extrema urgencia y necesidad fruto de la situación pandémica, que no se ven justificadas en la situación concreta que nos ocupa, que no se encuentra como causa de excepcionalidad en el Reglamento del Parlamento y, que no encuentra ninguna justificación para que la mesa del Parlamento acuerde una nueva modalidad de voto. Con todo ello, se ve vulnerado nuevamente el </w:t>
      </w:r>
      <w:r w:rsidRPr="009D7677">
        <w:rPr>
          <w:i/>
        </w:rPr>
        <w:t>ius in officium</w:t>
      </w:r>
      <w:r>
        <w:t xml:space="preserve"> (art. 23.2 CE) de los diputados y diputadas al no permitir la participación y debate de esta reforma reglamentaria”.</w:t>
      </w:r>
    </w:p>
    <w:p w14:paraId="7BF4F639" w14:textId="77777777" w:rsidR="009D7677" w:rsidRDefault="009D7677" w:rsidP="009D7677">
      <w:pPr>
        <w:pStyle w:val="TextoNormal"/>
      </w:pPr>
    </w:p>
    <w:p w14:paraId="4BDC280E" w14:textId="77777777" w:rsidR="009D7677" w:rsidRDefault="009D7677" w:rsidP="009D7677">
      <w:pPr>
        <w:pStyle w:val="TextoNormal"/>
      </w:pPr>
      <w:r>
        <w:t xml:space="preserve">Los demandantes de amparo, en el cuarto apartado dedicado a los motivos del recurso, insisten en que “[e]n el caso que nos ocupa no existe ninguna causa excepcional como aquellas motivadas por situaciones de extrema urgencia y necesidad fruto de la situación pandémica, por la cual cosa se trata de un acuerdo de la Mesa del Parlament contrario a derecho y a la jurisprudencia establecida por el Alto Tribunal”. Inciden en que, “[p]or un </w:t>
      </w:r>
      <w:r>
        <w:lastRenderedPageBreak/>
        <w:t xml:space="preserve">lado, la situación ante las que nos encontramos no debe habilitar ningún supuesto excepcional de votación telemática, puesto que la situación procesal del ilustre diputado Lluís Puig no habilita dicho supuesto, solicitado por él en el acuerdo de la mesa del Parlament del 19 de abril de 2023, al no encontrarse ni tasada por el RPC ni conformar una circunstancia excepcional o de fuerza mayor”; concluyendo que “la habilitación de este mecanismo de voto telemático de la Mesa del Parlament en su acuerdo del día 19 de abril supone una decisión arbitraria, aprobada </w:t>
      </w:r>
      <w:r w:rsidRPr="009D7677">
        <w:rPr>
          <w:i/>
        </w:rPr>
        <w:t>ad hoc</w:t>
      </w:r>
      <w:r>
        <w:t xml:space="preserve"> para este caso concreto”, eludiendo el cumplimiento de la jurisprudencia constitucional en la materia. A ello añaden que, “[p]or otro lado, resulta palmario y evidente que la forma en la que se ha desarrollado este mecanismo no es la adecuada, quedando esto patente en la inconcreción e incongruencia en el propio redactado del acuerdo”; destacando que (i) la habilitación del voto telemático no se puede condicionar a una posible reforma del Reglamento del Parlamento de Cataluña, puesto que no existe posibilidad de saber con seguridad si esta se producirá ni en qué sentido; (ii) existe indeterminación en el redactado debido a la ambigüedad de las situaciones y a los casos concretos en los que se debe aplicar, puesto que se hace uso de fórmulas indefinidas, por lo que “debe ser la propia mesa, a través de decisiones que pueden entenderse arbitrarias, el órgano encargado de concretar estos conceptos indefinidos, sin mediar reforma ordinaria del Reglament del Parlament de Catalunya y vulnerando, de nuevo, el </w:t>
      </w:r>
      <w:r w:rsidRPr="009D7677">
        <w:rPr>
          <w:i/>
        </w:rPr>
        <w:t>ius in officium</w:t>
      </w:r>
      <w:r>
        <w:t>”; y (iii) la celeridad con la que se aprobaron los acuerdos no han posibilitado que este se desarrolle con unas mínimas garantías, habiéndose establecido “un procedimiento de votación telemática consistente en que el ilustre diputado Lluís Puig debe enviar un correo electrónico a la Vicepresidencia Primera (en funciones de presidenta del Parlament) expresando el sentido del voto para cada una de las votaciones. Posteriormente, un miembro de la mesa debe telefonear al ilustre diputado Lluís Puig para así validar su identidad. Queda patente así la inconcreción y la imprecisión de este mecanismo de votación, cuya aplicación no ofrece garantías jurídicas al voto del diputado, que no garantiza el secreto del voto cuando el RPC así lo exige (art. 101 RPC), y que excluye la intervención del personal funcionario y de los empleados y empleadas públicos, involucrando la participación, exclusivamente, de personas electas que, de forma consciente y activa, han tomado la decisión de ignorar las diferentes sentencias y pronunciamientos del Tribunal Constitucional en el este preciso asunto”.</w:t>
      </w:r>
    </w:p>
    <w:p w14:paraId="1C2F4244" w14:textId="77777777" w:rsidR="009D7677" w:rsidRDefault="009D7677" w:rsidP="009D7677">
      <w:pPr>
        <w:pStyle w:val="TextoNormal"/>
      </w:pPr>
    </w:p>
    <w:p w14:paraId="0198498D" w14:textId="77777777" w:rsidR="009D7677" w:rsidRDefault="009D7677" w:rsidP="009D7677">
      <w:pPr>
        <w:pStyle w:val="TextoNormal"/>
      </w:pPr>
      <w:r>
        <w:t xml:space="preserve">De todo ello concluyen los demandantes de amparo que los acuerdos impugnados “son ilícitos e inconstitucionales al afectar al </w:t>
      </w:r>
      <w:r w:rsidRPr="009D7677">
        <w:rPr>
          <w:i/>
        </w:rPr>
        <w:t>ius in officium</w:t>
      </w:r>
      <w:r>
        <w:t xml:space="preserve"> de los diputados y diputadas del Parlament de Catalunya, consagrado en el 23.2 CE, puesto que su aprobación supone en realidad un intento de esquivar la aplicación de la doctrina del Tribunal Constitucional respecto al carácter y alcance de la delegación de voto permitidas por el artículo 95 RPC, permitiendo excepciones a la presencialidad que no se hayan recogidas en el Reglamento del Parlamento de Cataluña, por lo que no puede sino considerarse como un intento de abstraerse de la vinculación de todos los poderes públicos al cumplimiento de lo que el Tribunal Constitucional resuelva, y que sigue lesionando el </w:t>
      </w:r>
      <w:r w:rsidRPr="009D7677">
        <w:rPr>
          <w:i/>
        </w:rPr>
        <w:t>ius in officium</w:t>
      </w:r>
      <w:r>
        <w:t xml:space="preserve"> de los recurrentes, adoptando así el órgano parlamentario una decisión contraria a la naturaleza de la representación o la igualdad de representantes, circunstancia que se da claramente en el caso que se expone ante este tribunal”.</w:t>
      </w:r>
    </w:p>
    <w:p w14:paraId="21D8B445" w14:textId="77777777" w:rsidR="009D7677" w:rsidRDefault="009D7677" w:rsidP="009D7677">
      <w:pPr>
        <w:pStyle w:val="TextoNormal"/>
      </w:pPr>
    </w:p>
    <w:p w14:paraId="19E35722" w14:textId="07772D9C" w:rsidR="009D7677" w:rsidRDefault="009D7677" w:rsidP="009D7677">
      <w:pPr>
        <w:pStyle w:val="TextoNormal"/>
      </w:pPr>
      <w:r>
        <w:t xml:space="preserve">Los demandantes de amparo justifican la especial trascendencia constitucional del recurso afirmando, por un lado, que el objeto del recurso afecta al derecho de representación política de las diputadas y los diputados del Parlamento de Cataluña, siendo relevante para </w:t>
      </w:r>
      <w:r>
        <w:lastRenderedPageBreak/>
        <w:t>la determinación del contenido y alcance de este derecho en el caso planteado en este recurso; y, por otro, que la vulneración aducida también supone una perturbación ilegítima del derecho a la participación política mediante representantes que asiste a la ciudadanía representada en el Parlamento de Cataluña mediante la elusión de la aplicación de la jurisprudencia constitucional.</w:t>
      </w:r>
    </w:p>
    <w:p w14:paraId="3B7E78AC" w14:textId="77777777" w:rsidR="009D7677" w:rsidRDefault="009D7677" w:rsidP="009D7677">
      <w:pPr>
        <w:pStyle w:val="TextoNormal"/>
      </w:pPr>
    </w:p>
    <w:p w14:paraId="4D5BD824" w14:textId="4EDE30C5" w:rsidR="009D7677" w:rsidRDefault="009D7677" w:rsidP="009D7677">
      <w:pPr>
        <w:pStyle w:val="TextoNormal"/>
      </w:pPr>
      <w:r w:rsidRPr="009D7677">
        <w:rPr>
          <w:rStyle w:val="NumeroAFNegritaCaracter"/>
        </w:rPr>
        <w:t>4</w:t>
      </w:r>
      <w:r>
        <w:t>. La Sección Primera del Tribunal, por providencia de 3 de julio de 2023, acordó la admisión a trámite de la demanda de amparo, apreciando que concurre una especial trascendencia constitucional ya que el asunto trasciende del caso concreto porque pudiera tener unas consecuencias políticas generales [STC 155/2009, de 25 de junio, FJ 2 g)]; dirigir atenta comunicación al Parlamento de Cataluña para la remisión de testimonio de las actuaciones y a los efectos de su personación en el presente proceso constitucional; y no haber lugar a la solicitud de suspensión excepcional del art. 56.6 de la Ley Orgánica del Tribunal Constitucional (LOTC), formándose pieza separada para sustanciar el incidente de suspensión, que fue completamente tramitada y está pendiente de resolución.</w:t>
      </w:r>
    </w:p>
    <w:p w14:paraId="0B89C2EB" w14:textId="77777777" w:rsidR="009D7677" w:rsidRDefault="009D7677" w:rsidP="009D7677">
      <w:pPr>
        <w:pStyle w:val="TextoNormal"/>
      </w:pPr>
    </w:p>
    <w:p w14:paraId="1C388D8A" w14:textId="05BCE943" w:rsidR="009D7677" w:rsidRDefault="009D7677" w:rsidP="009D7677">
      <w:pPr>
        <w:pStyle w:val="TextoNormal"/>
      </w:pPr>
      <w:r w:rsidRPr="009D7677">
        <w:rPr>
          <w:rStyle w:val="NumeroAFNegritaCaracter"/>
        </w:rPr>
        <w:t>5</w:t>
      </w:r>
      <w:r>
        <w:t>. La Secretaría de Justicia de la Sala Primera del Tribunal, por diligencia de ordenación de 11 de septiembre de 2023, tuvo por recibido el testimonio de las actuaciones, por personado y parte al Parlamento de Cataluña y acordó dar vista de las actuaciones a las partes personadas y al Ministerio Fiscal, por plazo común de veinte días, a fin de que, conforme con lo previsto en el art. 52 LOTC, pudieran presentar alegaciones.</w:t>
      </w:r>
    </w:p>
    <w:p w14:paraId="233C38F2" w14:textId="77777777" w:rsidR="009D7677" w:rsidRDefault="009D7677" w:rsidP="009D7677">
      <w:pPr>
        <w:pStyle w:val="TextoNormal"/>
      </w:pPr>
    </w:p>
    <w:p w14:paraId="082B845F" w14:textId="77777777" w:rsidR="009D7677" w:rsidRDefault="009D7677" w:rsidP="009D7677">
      <w:pPr>
        <w:pStyle w:val="TextoNormal"/>
      </w:pPr>
      <w:r w:rsidRPr="009D7677">
        <w:rPr>
          <w:rStyle w:val="NumeroAFNegritaCaracter"/>
        </w:rPr>
        <w:t>6</w:t>
      </w:r>
      <w:r>
        <w:t>. El Ministerio Fiscal, mediante escrito registrado el 24 de octubre de 2023, presentó alegaciones interesando la estimación del amparo por vulneración del derecho de los recurrentes a ejercer las funciones representativas con los requisitos que señalan las leyes (art. 23.2 CE), en relación con el derecho de los ciudadanos a participar en los asuntos públicos a través de sus representantes (art. 23.1 CE), para cuyo restablecimiento insta la nulidad de los acuerdos parlamentarios impugnados.</w:t>
      </w:r>
    </w:p>
    <w:p w14:paraId="785C7D5C" w14:textId="77777777" w:rsidR="009D7677" w:rsidRDefault="009D7677" w:rsidP="009D7677">
      <w:pPr>
        <w:pStyle w:val="TextoNormal"/>
      </w:pPr>
    </w:p>
    <w:p w14:paraId="40DB392F" w14:textId="77777777" w:rsidR="009D7677" w:rsidRDefault="009D7677" w:rsidP="009D7677">
      <w:pPr>
        <w:pStyle w:val="TextoNormal"/>
      </w:pPr>
      <w:r>
        <w:t xml:space="preserve">El Ministerio Fiscal, en relación con el acuerdo de la mesa del Parlamento de Cataluña de 18 de abril de 2023, por el que se habilita el voto telemático de manera transitoria mientras no haya una reforma definitiva del Reglamento, argumenta que (i) no existe una regulación específica en el Reglamento del Parlamento de Cataluña sobre el voto telemático al margen del voto delegado establecido en su art. 95, por lo que existiría un vacío normativo que vendría a cubrir este acuerdo de la mesa; (ii) el art. 37.3 a) RPC establece que la mesa del Parlamento de Cataluña solo tiene atribuida competencia para adoptar las decisiones que requieren las tramitaciones parlamentarias en caso de duda o laguna reglamentaria, que tiene el límite, establecido por la jurisprudencia constitucional, de la modificación del reglamento, ya que implica sustraer esa decisión al Pleno de la Cámara, obviando así el requisito de la mayoría absoluta para su reforma (SSTC 44/1995, de 13 de febrero, FJ 3, y 227/2004, de 29 de noviembre, FJ 2); (iii) el acuerdo impugnado introduce una regulación general sobre el ejercicio del voto telemático, incorporando una modalidad de voto no prevista en el reglamento que va más allá de su aclaración o integración, con quiebra no solo de la doctrina constitucional referida sino también de la que establece que las excepciones al voto presencial solo puede venir prevista en el reglamento de la Cámara (SSTC 19/2019, de 12 de febrero, y 168/2021, de 5 de octubre) y en los supuestos específicos establecidos en el art. 95 RPC (SSTC 65/2022, 75/2022 y 85/2022); y (iv) con este </w:t>
      </w:r>
      <w:r>
        <w:lastRenderedPageBreak/>
        <w:t xml:space="preserve">proceder se ha producido una modificación reglamentaria </w:t>
      </w:r>
      <w:r w:rsidRPr="009D7677">
        <w:rPr>
          <w:i/>
        </w:rPr>
        <w:t>de facto</w:t>
      </w:r>
      <w:r>
        <w:t xml:space="preserve"> fuera de los cauces previstos para su reforma con desconocimiento del principio de que para ello es necesaria una aprobación del Pleno por mayoría (art. 58.3 del Estatuto de Autonomía de Cataluña), lo que implica una vulneración del </w:t>
      </w:r>
      <w:r w:rsidRPr="009D7677">
        <w:rPr>
          <w:i/>
        </w:rPr>
        <w:t>ius in officium</w:t>
      </w:r>
      <w:r>
        <w:t xml:space="preserve"> de los recurrentes, quienes se han visto privados de la participación y debate en una reforma reglamentaria.</w:t>
      </w:r>
    </w:p>
    <w:p w14:paraId="31AA355A" w14:textId="77777777" w:rsidR="009D7677" w:rsidRDefault="009D7677" w:rsidP="009D7677">
      <w:pPr>
        <w:pStyle w:val="TextoNormal"/>
      </w:pPr>
    </w:p>
    <w:p w14:paraId="687828F3" w14:textId="77777777" w:rsidR="009D7677" w:rsidRDefault="009D7677" w:rsidP="009D7677">
      <w:pPr>
        <w:pStyle w:val="TextoNormal"/>
      </w:pPr>
      <w:r>
        <w:t xml:space="preserve">El Ministerio Fiscal, en relación con el acuerdo de la mesa del Parlamento de Cataluña de 19 de abril de 2023, por el que se habilita el voto telemático al diputado don Lluís Puig i Gordi, argumenta que la nulidad del acuerdo que le da cobertura arrastra también la de este. Añade que, sin perjuicio de ello, su nulidad también derivaría de que, en los términos reiterados en las SSTC 85/2022, de 27 de junio, y 24/2023, de 27 de marzo, la situación alegada por el recurrente para que se autorizara el voto telemático, que es la de estar declarado en rebeldía en un proceso penal, no cumpliría la condición de ser un supuesto que permita excepcionar el ejercicio del voto presencial; derivando de ello que el proceder de la mesa del Parlamento de Cataluña, al adoptar ese acuerdo, estaría próximo al fraude de ley, porque, aunque no desconoció formalmente lo ya resuelto por el Tribunal Constitucional sobre la delegación de voto en aquellas sentencias, se sirvió de la autorización aquí impugnada como un subterfugio tendente a su elusión, adoptando así una habilitación arbitraria, aprobada </w:t>
      </w:r>
      <w:r w:rsidRPr="009D7677">
        <w:rPr>
          <w:i/>
        </w:rPr>
        <w:t>ad hoc</w:t>
      </w:r>
      <w:r>
        <w:t>, para el caso concreto.</w:t>
      </w:r>
    </w:p>
    <w:p w14:paraId="622792F6" w14:textId="77777777" w:rsidR="009D7677" w:rsidRDefault="009D7677" w:rsidP="009D7677">
      <w:pPr>
        <w:pStyle w:val="TextoNormal"/>
      </w:pPr>
    </w:p>
    <w:p w14:paraId="28E1B8FC" w14:textId="174BB056" w:rsidR="009D7677" w:rsidRDefault="009D7677" w:rsidP="009D7677">
      <w:pPr>
        <w:pStyle w:val="TextoNormal"/>
      </w:pPr>
      <w:r>
        <w:t>En cuanto al alcance de la estimación del recurso, el Ministerio Fiscal argumenta, con cita de jurisprudencia constitucional previa, que no debe comunicarse la nulidad de los acuerdos impugnados a los actos del Parlamento de Cataluña que hayan podido adoptarse con el voto del diputado habilitado para su emisión de manera telemática, como salvaguarda del principio de seguridad jurídica.</w:t>
      </w:r>
    </w:p>
    <w:p w14:paraId="3DB5B441" w14:textId="77777777" w:rsidR="009D7677" w:rsidRDefault="009D7677" w:rsidP="009D7677">
      <w:pPr>
        <w:pStyle w:val="TextoNormal"/>
      </w:pPr>
    </w:p>
    <w:p w14:paraId="4AAEB532" w14:textId="77777777" w:rsidR="009D7677" w:rsidRDefault="009D7677" w:rsidP="009D7677">
      <w:pPr>
        <w:pStyle w:val="TextoNormal"/>
      </w:pPr>
      <w:r w:rsidRPr="009D7677">
        <w:rPr>
          <w:rStyle w:val="NumeroAFNegritaCaracter"/>
        </w:rPr>
        <w:t>7</w:t>
      </w:r>
      <w:r>
        <w:t>. El Parlamento de Cataluña, por escrito registrado el 25 de octubre de 2023, presentó alegaciones solicitando la inadmisión del recurso y, subsidiariamente, su desestimación.</w:t>
      </w:r>
    </w:p>
    <w:p w14:paraId="2292B2EA" w14:textId="77777777" w:rsidR="009D7677" w:rsidRDefault="009D7677" w:rsidP="009D7677">
      <w:pPr>
        <w:pStyle w:val="TextoNormal"/>
      </w:pPr>
    </w:p>
    <w:p w14:paraId="57C557F4" w14:textId="77777777" w:rsidR="009D7677" w:rsidRDefault="009D7677" w:rsidP="009D7677">
      <w:pPr>
        <w:pStyle w:val="TextoNormal"/>
      </w:pPr>
      <w:r>
        <w:t>El Parlamento de Cataluña afirma que concurren las siguientes causas de inadmisión: (i) el incumplimiento de las exigencias de precisión y claridad, al no concretarse los acuerdos de la mesa del Parlamento de Cataluña que se recurren, pues se hace referencia a un solo acuerdo de 19 de abril de 2023 y en esa fecha se adoptaron dos (el que habilita el voto telemático al diputado y el que resuelve las solicitudes de reconsideración); (ii) la demanda no justifica su especial trascendencia constitucional, o lo hace de manera insuficiente; (iii) el recurso carece de especial trascendencia constitucional porque no tiene consecuencias políticas generales; (iv) la manifiesta inexistencia de lesión, ya que no concurre la lesión alegada del art. 23.2 CE que no cabe derivar de una mera infracción reglamentaria; (v) la falta de legitimación de los recurrentes porque el recurso se configura como un contra-amparo, al oponerse al reconocimiento de un derecho fundamental ajeno; y (vi) el recurso ha perdido parcialmente su objeto, de manera sobrevenida, porque el acuerdo que autoriza concretamente el ejercicio del voto telemático a un diputado solo estuvo vigente en el periodo de sesiones que concluyó el 31 de julio de 2023.</w:t>
      </w:r>
    </w:p>
    <w:p w14:paraId="55293ACC" w14:textId="77777777" w:rsidR="009D7677" w:rsidRDefault="009D7677" w:rsidP="009D7677">
      <w:pPr>
        <w:pStyle w:val="TextoNormal"/>
      </w:pPr>
    </w:p>
    <w:p w14:paraId="3170ECA4" w14:textId="6C1B69C4" w:rsidR="009D7677" w:rsidRDefault="009D7677" w:rsidP="009D7677">
      <w:pPr>
        <w:pStyle w:val="TextoNormal"/>
      </w:pPr>
      <w:r>
        <w:t>El Parlamento de Cataluña, respecto del acuerdo por el que se aprueba la regulación transitoria del voto telemático, afirma que es adecuado y congruente con la jurisprudencia constitucional, ya que no es sustancialmente diferente a los procedimientos previstos en los parlamentos de nuestro país en los que se permite el voto en ausencia, delegado o te</w:t>
      </w:r>
      <w:r>
        <w:lastRenderedPageBreak/>
        <w:t>lemático, en circunstancias excepcionales que impidan su ejercicio presencial y para el mejor conocimiento de la auténtica voluntad de la Cámara, como ocurrió de forma generalizada y exitosa durante la pandemia de covid-19, lo que ha supuesto que lo previsto para esa situación se haya mantenido o que se hayan extendido incluso los supuestos habilitantes para la votación telemática, como ha ocurrido, por ejemplo, en el Congreso de los Diputados. También se aduce, por un lado, que en el Parlamento de Cataluña se ha admitido de forma incuestionada la práctica del voto no presencial, delegado o telemático, en situaciones de extrema urgencia o necesidad, lo que se considera una consolidada práctica parlamentaria; y, por otro, que el mecanismo transitorio del voto telemático es plenamente respetuoso con los requisitos materiales fijados por el Tribunal Constitucional para el ejercicio del voto no presencial de que solo se puede autorizar cuando concurran circunstancias excepcionales o de fuerza mayor, tal como se prevé en el acuerdo impugnado; sin perjuicio de que un uso desviado del mismo pueda ser objeto de impugnación. Finalmente, se insiste en que los acuerdos impugnados no afectan ni inciden negativamente en el derecho fundamental al ejercicio del cargo representativo de los recurrentes ni se trata de una medida singular con la que se pretenda incumplir lo establecido por la jurisprudencia constitucional; sino, por el contrario, un procedimiento que facilita el ejercicio del voto parlamentario en circunstancias excepcionales.</w:t>
      </w:r>
    </w:p>
    <w:p w14:paraId="35891F6D" w14:textId="77777777" w:rsidR="009D7677" w:rsidRDefault="009D7677" w:rsidP="009D7677">
      <w:pPr>
        <w:pStyle w:val="TextoNormal"/>
      </w:pPr>
    </w:p>
    <w:p w14:paraId="2FDEFD1E" w14:textId="18A140B1" w:rsidR="009D7677" w:rsidRDefault="009D7677" w:rsidP="009D7677">
      <w:pPr>
        <w:pStyle w:val="TextoNormal"/>
      </w:pPr>
      <w:r w:rsidRPr="009D7677">
        <w:rPr>
          <w:rStyle w:val="NumeroAFNegritaCaracter"/>
        </w:rPr>
        <w:t>8</w:t>
      </w:r>
      <w:r>
        <w:t>. Los demandantes de amparo no han presentado alegaciones.</w:t>
      </w:r>
    </w:p>
    <w:p w14:paraId="6F22E8CC" w14:textId="77777777" w:rsidR="009D7677" w:rsidRDefault="009D7677" w:rsidP="009D7677">
      <w:pPr>
        <w:pStyle w:val="TextoNormal"/>
      </w:pPr>
    </w:p>
    <w:p w14:paraId="0EC51DC8" w14:textId="3B143E0D" w:rsidR="009D7677" w:rsidRDefault="009D7677" w:rsidP="009D7677">
      <w:pPr>
        <w:pStyle w:val="TextoNormal"/>
      </w:pPr>
      <w:r w:rsidRPr="009D7677">
        <w:rPr>
          <w:rStyle w:val="NumeroAFNegritaCaracter"/>
        </w:rPr>
        <w:t>9</w:t>
      </w:r>
      <w:r>
        <w:t>. Por providencia de 3 de junio de 2024 se señaló ese mismo día para deliberación y votación de la presente sentencia.</w:t>
      </w:r>
    </w:p>
    <w:p w14:paraId="3505978F" w14:textId="77777777" w:rsidR="009D7677" w:rsidRDefault="009D7677" w:rsidP="009D7677">
      <w:pPr>
        <w:pStyle w:val="TextoNormal"/>
      </w:pPr>
    </w:p>
    <w:p w14:paraId="45472B05" w14:textId="77777777" w:rsidR="009D7677" w:rsidRDefault="009D7677" w:rsidP="009D7677">
      <w:pPr>
        <w:pStyle w:val="TextoNormalNegritaCentrado"/>
        <w:keepNext/>
      </w:pPr>
      <w:r>
        <w:t>II. Fundamentos jurídicos</w:t>
      </w:r>
    </w:p>
    <w:p w14:paraId="77387A5D" w14:textId="4CBB3759" w:rsidR="009D7677" w:rsidRDefault="009D7677" w:rsidP="009D7677">
      <w:pPr>
        <w:pStyle w:val="TextoNormalNegritaCentrado"/>
        <w:keepNext/>
      </w:pPr>
    </w:p>
    <w:p w14:paraId="27195304" w14:textId="77777777" w:rsidR="009D7677" w:rsidRDefault="009D7677" w:rsidP="009D7677">
      <w:pPr>
        <w:pStyle w:val="TextoNormal"/>
      </w:pPr>
      <w:r w:rsidRPr="009D7677">
        <w:rPr>
          <w:rStyle w:val="NumeroAFNegritaCaracter"/>
        </w:rPr>
        <w:t>1</w:t>
      </w:r>
      <w:r>
        <w:t xml:space="preserve">. </w:t>
      </w:r>
      <w:r w:rsidRPr="009D7677">
        <w:rPr>
          <w:i/>
        </w:rPr>
        <w:t>Objeto del recurso</w:t>
      </w:r>
    </w:p>
    <w:p w14:paraId="3F0DEE3D" w14:textId="77777777" w:rsidR="009D7677" w:rsidRDefault="009D7677" w:rsidP="009D7677">
      <w:pPr>
        <w:pStyle w:val="TextoNormal"/>
      </w:pPr>
    </w:p>
    <w:p w14:paraId="1438F514" w14:textId="77777777" w:rsidR="009D7677" w:rsidRDefault="009D7677" w:rsidP="009D7677">
      <w:pPr>
        <w:pStyle w:val="TextoNormal"/>
      </w:pPr>
      <w:r>
        <w:t>El objeto de este recurso es determinar si vulnera el derecho a la representación política de los demandantes de amparo la decisión de la mesa del Parlamento de Cataluña de 19 de abril de 2023 de aceptar la habilitación del procedimiento de votación telemática del diputado don Lluís Puig i Gordi hasta el final de ese periodo de sesiones (31 de julio de 2023), a cuyo fin se estableció por acuerdo de 18 de abril de 2023 una regulación transitoria del voto telemático hasta que no se procediera a una reforma del Reglamento del Parlamento de Cataluña; siendo rechazada la reconsideración de ambos acuerdos por otro adoptado el 19 de abril de 2023.</w:t>
      </w:r>
    </w:p>
    <w:p w14:paraId="7DC5677A" w14:textId="77777777" w:rsidR="009D7677" w:rsidRDefault="009D7677" w:rsidP="009D7677">
      <w:pPr>
        <w:pStyle w:val="TextoNormal"/>
      </w:pPr>
    </w:p>
    <w:p w14:paraId="6A4D5B10" w14:textId="77777777" w:rsidR="009D7677" w:rsidRDefault="009D7677" w:rsidP="009D7677">
      <w:pPr>
        <w:pStyle w:val="TextoNormal"/>
      </w:pPr>
      <w:r>
        <w:t xml:space="preserve">El Tribunal, en atención al desarrollo de los argumentos expuestos en la demanda para fundamentar fáctica y jurídicamente la invocación del derecho de representación política y su pretensión de amparo, considera que la formulación formal de la demanda de amparo contra los acuerdos de 18 y 19 de abril de 2023, por los que se establece una regulación transitoria del voto telemático y se acepta la habilitación para dicho voto telemático al diputado don Lluís Puig i Gordi, respectivamente, están íntimamente vinculadas. Igualmente, constata que la voluntad impugnatoria de los demandantes de amparo se dirige como pretensión principal contra la decisión de habilitación del voto telemático al diputado don Lluís Puig i Gordi, por considerar que dicha habilitación se ha concedido en infracción de la jurisprudencia constitucional establecida en las SSTC 85/2022, de 27 de </w:t>
      </w:r>
      <w:r>
        <w:lastRenderedPageBreak/>
        <w:t>junio, y 24/2023, de 27 de marzo, respecto de previas decisiones aceptando la delegación de voto de este diputado, ya que no concurre en dicho diputado ninguna situación excepcional que permita excepcionar constitucionalmente el ejercicio presencial de su derecho de voto. Ahora bien, se pone de manifiesto que esta pretensión también la fundamentan los demandantes de amparo en que para intentar dar apariencia de cobertura normativa a esa decisión la mesa aprobó una normativa transitoria, no solo incursa en diversas infracciones de la reglamentación parlamentaria, sino con la única finalidad instrumental de justificar y amparar dicha decisión, sin una real pretensión de generalidad, para eludir el acatamiento de la jurisprudencia constitucional en relación con la imposibilidad de que dicho diputado pudiera ver excepcionado el principio de presencialidad en su ejercicio del derecho de voto.</w:t>
      </w:r>
    </w:p>
    <w:p w14:paraId="2D95D014" w14:textId="77777777" w:rsidR="009D7677" w:rsidRDefault="009D7677" w:rsidP="009D7677">
      <w:pPr>
        <w:pStyle w:val="TextoNormal"/>
      </w:pPr>
    </w:p>
    <w:p w14:paraId="600B9308" w14:textId="77B191B7" w:rsidR="009D7677" w:rsidRDefault="009D7677" w:rsidP="009D7677">
      <w:pPr>
        <w:pStyle w:val="TextoNormal"/>
      </w:pPr>
      <w:r>
        <w:t>En coherencia con esta constatación, el Tribunal determina que el análisis a desarrollar en la presente resolución respecto de la pretensión de los demandantes de establecer si la decisión parlamentaria de la habilitación del voto telemático del diputado don Lluís Puig i Gordi resulta contraria al art. 23.2 CE con fundamento en la alegación principal de que no concurre en la persona de este diputado ninguna circunstancia que permita excepcionar constitucionalmente el ejercicio presencial de su derecho de voto debe conllevar, en su caso, también la anulación del acuerdo de la aprobación de la normativa transitoria, que solo era instrumental de aquella, y cuya exclusiva causa, carente de una real vocación de generalidad, era intentar darle una cobertura normativa.</w:t>
      </w:r>
    </w:p>
    <w:p w14:paraId="38173A30" w14:textId="77777777" w:rsidR="009D7677" w:rsidRDefault="009D7677" w:rsidP="009D7677">
      <w:pPr>
        <w:pStyle w:val="TextoNormal"/>
      </w:pPr>
    </w:p>
    <w:p w14:paraId="44C0E20B" w14:textId="77777777" w:rsidR="009D7677" w:rsidRDefault="009D7677" w:rsidP="009D7677">
      <w:pPr>
        <w:pStyle w:val="TextoNormal"/>
      </w:pPr>
      <w:r w:rsidRPr="009D7677">
        <w:rPr>
          <w:rStyle w:val="NumeroAFNegritaCaracter"/>
        </w:rPr>
        <w:t>2</w:t>
      </w:r>
      <w:r>
        <w:t xml:space="preserve">. </w:t>
      </w:r>
      <w:r w:rsidRPr="009D7677">
        <w:rPr>
          <w:i/>
        </w:rPr>
        <w:t>Las causas de inadmisión alegadas</w:t>
      </w:r>
    </w:p>
    <w:p w14:paraId="1429945A" w14:textId="77777777" w:rsidR="009D7677" w:rsidRDefault="009D7677" w:rsidP="009D7677">
      <w:pPr>
        <w:pStyle w:val="TextoNormal"/>
      </w:pPr>
    </w:p>
    <w:p w14:paraId="4AB9C0FB" w14:textId="77777777" w:rsidR="009D7677" w:rsidRDefault="009D7677" w:rsidP="009D7677">
      <w:pPr>
        <w:pStyle w:val="TextoNormal"/>
      </w:pPr>
      <w:r>
        <w:t>El Tribunal rechaza todas las causas de inadmisión alegadas por el Parlamento de Cataluña por las siguientes razones:</w:t>
      </w:r>
    </w:p>
    <w:p w14:paraId="0B4B1456" w14:textId="77777777" w:rsidR="009D7677" w:rsidRDefault="009D7677" w:rsidP="009D7677">
      <w:pPr>
        <w:pStyle w:val="TextoNormal"/>
      </w:pPr>
    </w:p>
    <w:p w14:paraId="3A5A5EA4" w14:textId="77777777" w:rsidR="009D7677" w:rsidRDefault="009D7677" w:rsidP="009D7677">
      <w:pPr>
        <w:pStyle w:val="TextoNormal"/>
      </w:pPr>
      <w:r>
        <w:t xml:space="preserve">(i) El incumplimiento de las exigencias de precisión y claridad que el art. 49.1 LOTC imponen a la demanda que da inicio al recurso de amparo constitucional solo justifica su inadmisión, por razones del principio </w:t>
      </w:r>
      <w:r w:rsidRPr="009D7677">
        <w:rPr>
          <w:i/>
        </w:rPr>
        <w:t>por actione</w:t>
      </w:r>
      <w:r>
        <w:t>, cuando, en atención a que la demanda de amparo es el escrito rector para acotar, definir y delimitar la pretensión y, por tanto, la resolución del recurso de amparo (así, por ejemplo, SSTC 7/2008, de 21 de enero, FJ 1; 104/2019, de 16 de septiembre, FJ 2, o 37/2023, de 19 de abril, FJ 1), resulta imposible al Tribunal identificar un objeto de impugnación o una invocación de derechos fundamentales aptos de un procedimiento de amparo constitucional, ya que, como ha reiterado la jurisprudencia constitucional, las exigencias de precisión y claridad están vinculadas a la necesidad de “proporcionar los elementos necesarios para la formulación del juicio que corresponde hacer a este tribunal” (STC 82/1995, de 5 de junio, FJ 5; o AATC 188/2008, de 21 de julio, FJ 3, y 14/2009, de 26 de enero, FJ 1).</w:t>
      </w:r>
    </w:p>
    <w:p w14:paraId="30E11A2C" w14:textId="77777777" w:rsidR="009D7677" w:rsidRDefault="009D7677" w:rsidP="009D7677">
      <w:pPr>
        <w:pStyle w:val="TextoNormal"/>
      </w:pPr>
    </w:p>
    <w:p w14:paraId="4FE8CACD" w14:textId="77777777" w:rsidR="009D7677" w:rsidRDefault="009D7677" w:rsidP="009D7677">
      <w:pPr>
        <w:pStyle w:val="TextoNormal"/>
      </w:pPr>
      <w:r>
        <w:t xml:space="preserve">En el presente caso, la circunstancia alegada por el Parlamento de Cataluña se fundamenta no tanto en la imposibilidad de identificar un objeto de impugnación o una invocación de derechos fundamentales aptos de un procedimiento de amparo constitucional sino, más concretamente, en una cierta incongruencia interna en la concreta identificación de los acuerdos impugnados en relación con los derechos invocados. Esa circunstancia no determina, conforme a la jurisprudencia constitucional expuesta, la concurrencia de una causa de inadmisión del recurso; sino, más certeramente, por la imposibilidad reiterada de que el Tribunal integre de oficio tanto la identificación del objeto de la impugnación como </w:t>
      </w:r>
      <w:r>
        <w:lastRenderedPageBreak/>
        <w:t>los defectos argumentales de la demanda de amparo (así, por ejemplo SSTC 34/2023, de 18 de abril, FJ 2, o 136/2023, de 23 de octubre; FJ 1), que el Tribunal deba proceder a la delimitación del objeto del recurso y los motivos de impugnación a partir del contenido de la demanda y la voluntad impugnatoria que de ella se deriva, que es lo que ya se ha realizado en el fundamento jurídico anterior.</w:t>
      </w:r>
    </w:p>
    <w:p w14:paraId="41733EE4" w14:textId="77777777" w:rsidR="009D7677" w:rsidRDefault="009D7677" w:rsidP="009D7677">
      <w:pPr>
        <w:pStyle w:val="TextoNormal"/>
      </w:pPr>
    </w:p>
    <w:p w14:paraId="5B58099A" w14:textId="77777777" w:rsidR="009D7677" w:rsidRDefault="009D7677" w:rsidP="009D7677">
      <w:pPr>
        <w:pStyle w:val="TextoNormal"/>
      </w:pPr>
      <w:r>
        <w:t>(ii) El Tribunal constata que en la demanda de amparo, si bien no se identifica concretamente ninguno de los supuestos recogidos, a modo ejemplificativo y sin constituir una relación cerrada, en la STC 155/2009, de 25 de junio, FJ 2, sin embargo, sí se hace referencia en un apartado específicamente reservado para ello, en los términos ya expuestos en los antecedentes, a supuestos recogidos en la misma, disociados de la concreta vulneración del derecho fundamental alegado, como son la necesidad de establecer jurisprudencia constitucional sobre ese derecho en el caso concreto planteado, su relevancia social y política y la eventual existencia a una negativa del cumplimiento de lo ya establecido por la jurisprudencia constitucional. Por tanto, el Tribunal concluye que no queda acreditado el presupuesto fáctico alegado por el Parlamento de Cataluña de que no exista justificación de la especial trascendencia constitucional o esta lo haya sido en términos insuficientes.</w:t>
      </w:r>
    </w:p>
    <w:p w14:paraId="3B0490DD" w14:textId="77777777" w:rsidR="009D7677" w:rsidRDefault="009D7677" w:rsidP="009D7677">
      <w:pPr>
        <w:pStyle w:val="TextoNormal"/>
      </w:pPr>
    </w:p>
    <w:p w14:paraId="22161444" w14:textId="77777777" w:rsidR="009D7677" w:rsidRDefault="009D7677" w:rsidP="009D7677">
      <w:pPr>
        <w:pStyle w:val="TextoNormal"/>
      </w:pPr>
      <w:r>
        <w:t>(iii) El Tribunal, en relación con la alegación de que el recurso carece de especial transcendencia constitucional, debe recordar que, conforme a una jurisprudencia constitucional reiterada, esta exigencia de admisibilidad, que no es de carácter procesal sino referida al fondo del asunto, es apreciada por el Tribunal en cada caso en el momento de admitir a trámite el recurso de amparo, de acuerdo con lo exigido por el art. 50.1 LOTC, sin que sea susceptible de reconsideración en el momento de la sentencia (SSTC 80/2020, de 15 de julio, FJ 2; 155/2020, de 4 de noviembre, FJ 2; 2/2022, de 24 de enero, FJ 2, o 65/2023, de 6 de junio, FJ 2). En relación con ello, el Tribunal pone de relieve no solo que en la providencia de admisión ya se valoró y se hizo expreso que concurría la causa de especial trascendencia constitucional referida a que el asunto pudiera tener unas consecuencias políticas generales [STC 155/2009, de 25 de junio, FJ 2 g)]; sino además, que es jurisprudencia constitucional reiterada que los recursos de amparo de origen parlamentario pudieran tener unas consecuencias políticas generales y de que por su especial configuración se promueven siempre sin haber contado la parte demandante con una vía judicial previa en la que defender los derechos fundamentales que se dicen infringidos (así, por ejemplo, SSTC 97/2020, de 21 de julio, FJ 2; 65/2023, de 6 de junio, FJ 2, o 30/2024, de 28 de febrero, FJ 2).</w:t>
      </w:r>
    </w:p>
    <w:p w14:paraId="58A0587B" w14:textId="77777777" w:rsidR="009D7677" w:rsidRDefault="009D7677" w:rsidP="009D7677">
      <w:pPr>
        <w:pStyle w:val="TextoNormal"/>
      </w:pPr>
    </w:p>
    <w:p w14:paraId="299D4F7D" w14:textId="77777777" w:rsidR="009D7677" w:rsidRDefault="009D7677" w:rsidP="009D7677">
      <w:pPr>
        <w:pStyle w:val="TextoNormal"/>
      </w:pPr>
      <w:r>
        <w:t xml:space="preserve">(iv) El Parlamento de Cataluña, bajo el mismo argumento de que los acuerdos impugnados no vulneran el derecho a la representación política de los demandantes de amparo, invoca como causa de inadmisión tanto la manifiesta inexistencia de lesión como la falta de legitimación para interponer el presente recurso. El Tribunal ya ha reiterado que la manifiesta inexistencia de lesión, es una cuestión de fondo que en este momento procesal solo podría determinar, si se estimara que concurre, la denegación del amparo (así, por ejemplo, SSTC 27/2011, de 14 de marzo, FJ 3, o 191/2013, de 18 de noviembre, FJ 2), lo que determina que no pueda analizarse ahora como causa de inadmisión. Lo mismo cabe afirmar en relación con la alegación de la eventual falta de legitimación activa, que también se constituye ahora como una cuestión de fondo, no solo por la estrecha vinculación que tiene con el derecho fundamental invocado (así, por ejemplo, SSTC 65/2023, de 6 de junio, FJ 2; 125/2023, de 27 de septiembre, FJ 1; o 140/2023, de 24 de octubre, FJ 2); sino </w:t>
      </w:r>
      <w:r>
        <w:lastRenderedPageBreak/>
        <w:t>una vez acreditado que los demandantes aducen una vulneración del art. 23 CE vinculado a lo ya establecido por la jurisprudencia constitucional en relación con las excepciones al ejercicio del voto presencial (así, entre otras, SSTC 65/2022, de 31 de mayo, FJ 3; 85/2022, de 27 de junio, FJ 2, o 24/2023, de 27 de marzo, FJ 3).</w:t>
      </w:r>
    </w:p>
    <w:p w14:paraId="61AF8888" w14:textId="77777777" w:rsidR="009D7677" w:rsidRDefault="009D7677" w:rsidP="009D7677">
      <w:pPr>
        <w:pStyle w:val="TextoNormal"/>
      </w:pPr>
    </w:p>
    <w:p w14:paraId="5F161539" w14:textId="3DDA5414" w:rsidR="009D7677" w:rsidRDefault="009D7677" w:rsidP="009D7677">
      <w:pPr>
        <w:pStyle w:val="TextoNormal"/>
      </w:pPr>
      <w:r>
        <w:t>(v) No cabe apreciar la falta sobrevenida, aunque fuera parcial, del objeto del recurso por el mero hecho de que el acuerdo de la habilitación del voto al diputado don Lluís Puig i Gordi fuera de carácter temporal, estando solo vigente para el periodo de sesiones que concluyó el 31 de julio de 2023; ni hay que añadir ahora, por la circunstancia de la disolución del Parlamento de Cataluña mediante Decreto 60/2024, de 18 de marzo. El Tribunal ya ha reiterado que la circunstancia de la eventual vigencia temporal del acto impugnado, ya finalizada cuando se resuelve el recurso de amparo, puede afectar, por razones elementales, a las medidas de restablecimiento del derecho invocado, pero no a la pervivencia de su objeto en atención a un posible efecto declarativo y anulatorio del acto impugnado (así, por ejemplo, SSTC 11/2017, de 30 de enero, FJ 7; 53/2021, de 15 de marzo, FJ 7, 35/2022, de 9 de marzo, FJ 6, o 65/2023, de 6 de junio, FJ 1).</w:t>
      </w:r>
    </w:p>
    <w:p w14:paraId="37C3379C" w14:textId="77777777" w:rsidR="009D7677" w:rsidRDefault="009D7677" w:rsidP="009D7677">
      <w:pPr>
        <w:pStyle w:val="TextoNormal"/>
      </w:pPr>
    </w:p>
    <w:p w14:paraId="15A05972" w14:textId="77777777" w:rsidR="009D7677" w:rsidRDefault="009D7677" w:rsidP="009D7677">
      <w:pPr>
        <w:pStyle w:val="TextoNormal"/>
      </w:pPr>
      <w:r w:rsidRPr="009D7677">
        <w:rPr>
          <w:rStyle w:val="NumeroAFNegritaCaracter"/>
        </w:rPr>
        <w:t>3</w:t>
      </w:r>
      <w:r>
        <w:t xml:space="preserve">. </w:t>
      </w:r>
      <w:r w:rsidRPr="009D7677">
        <w:rPr>
          <w:i/>
        </w:rPr>
        <w:t>La jurisprudencia constitucional sobre las posibilidades de excepcionar el principio de presencialidad del ejercicio del derecho de voto de los representantes políticos. Remisión a lo resuelto en la STC 65/2022, de 31 de mayo</w:t>
      </w:r>
    </w:p>
    <w:p w14:paraId="2861D66D" w14:textId="77777777" w:rsidR="009D7677" w:rsidRDefault="009D7677" w:rsidP="009D7677">
      <w:pPr>
        <w:pStyle w:val="TextoNormal"/>
      </w:pPr>
    </w:p>
    <w:p w14:paraId="0BC4AF3A" w14:textId="77777777" w:rsidR="009D7677" w:rsidRDefault="009D7677" w:rsidP="009D7677">
      <w:pPr>
        <w:pStyle w:val="TextoNormal"/>
      </w:pPr>
      <w:r>
        <w:t>El problema constitucional que se plantea en el presente recurso, referido a la alegada vulneración del art. 23.2 CE de los demandantes de amparo derivado de la decisión de la mesa del Parlamento de Cataluña de habilitar el voto telemático al diputado don Lluís Puig i Gordi, con fundamento en la concurrencia de determinadas circunstancias que este diputado alegaba que le incapacitaban para poder ejercer de forma presencial el derecho al voto, es coincidente con el ya resuelto en las SSTC 85/2022, de 27 de junio, y 92/2022 y 93/2022, de 11 de julio, con ocasión de sendos recursos de amparo interpuestos por diversos diputados del Parlamento de Cataluña, entre ellos los que formulan el presente recurso de amparo, contra la decisión de admitir la delegación de voto del mismo diputado para una concreta sesión plenaria; y en la STC 24/2023, de 27 de marzo, con ocasión de un nuevo recurso de amparo interpuesto por los ahora demandantes de amparo contra la decisión de mantener la delegación de voto del mismo diputado una vez pronunciada la citada STC 85/2022.</w:t>
      </w:r>
    </w:p>
    <w:p w14:paraId="25258797" w14:textId="77777777" w:rsidR="009D7677" w:rsidRDefault="009D7677" w:rsidP="009D7677">
      <w:pPr>
        <w:pStyle w:val="TextoNormal"/>
      </w:pPr>
    </w:p>
    <w:p w14:paraId="0C6EEDBE" w14:textId="77777777" w:rsidR="009D7677" w:rsidRDefault="009D7677" w:rsidP="009D7677">
      <w:pPr>
        <w:pStyle w:val="TextoNormal"/>
      </w:pPr>
      <w:r>
        <w:t xml:space="preserve">En estas sentencias se concluyó que se había vulnerado el derecho de los recurrentes a ejercer las funciones representativas con los requisitos que señalan las leyes (art. 23.2 CE), que se encuentra en conexión con el derecho de los ciudadanos a participar en los asuntos públicos a través de sus representantes (art. 23.1 CE), para cuyo restablecimiento se declaró la nulidad de los acuerdos parlamentarios admitiendo la delegación de voto. En todos los casos la estimación del recurso tuvo como fundamento la STC 65/2022, de 31 de mayo, en la que se razonaba, entre otros extremos y por lo que es relevante a este recurso, que (i) este tipo de acuerdos en los que se excepciona la presencialidad en el ejercicio del derecho de voto de los representantes políticos pueden incidir en el derecho al </w:t>
      </w:r>
      <w:r w:rsidRPr="009D7677">
        <w:rPr>
          <w:i/>
        </w:rPr>
        <w:t>ius in officium</w:t>
      </w:r>
      <w:r>
        <w:t xml:space="preserve"> de los recurrentes (FJ 3); (ii) el principio de personalidad del voto de los parlamentarios establecido en el art. 79.3 CE resulta de aplicación a todos los cargos públicos representativos incluyendo a los parlamentarios autonómicos (FJ 5); y (iii) la interpretación de la normativa parlamentaria en lo referente a los supuestos en los que se permite excepcio</w:t>
      </w:r>
      <w:r>
        <w:lastRenderedPageBreak/>
        <w:t>nar la presencialidad en el ejercicio del derecho de voto de los representantes políticos solo son constitucionalmente admisibles cuando se encuentran justificados en la necesidad de salvaguardar otros bienes o valores constitucionales y respetan el principio de proporcionalidad, lo que no concurre en los casos en quien voluntariamente ha decidido eludir la acción de la jurisdicción penal española y sobre el que pesa una orden judicial de busca y captura (FFJJ 6 y 7).</w:t>
      </w:r>
    </w:p>
    <w:p w14:paraId="121B20C0" w14:textId="77777777" w:rsidR="009D7677" w:rsidRDefault="009D7677" w:rsidP="009D7677">
      <w:pPr>
        <w:pStyle w:val="TextoNormal"/>
      </w:pPr>
    </w:p>
    <w:p w14:paraId="3508255D" w14:textId="77777777" w:rsidR="009D7677" w:rsidRDefault="009D7677" w:rsidP="009D7677">
      <w:pPr>
        <w:pStyle w:val="TextoNormal"/>
      </w:pPr>
      <w:r>
        <w:t>En el presente caso, como también sucedía en los supuestos resueltos en las citadas SSTC 65/2022, 85/2022, 92/2022, 93/2022 y 24/2023, la decisión parlamentaria de habilitar al diputado don Lluís Puig i Gordi el voto telemático en el Pleno del Parlamento de Cataluña, excepcionando con ello el principio de presencialidad en el ejercicio del derecho de voto de este representante político, no se ajusta a la interpretación que conforme a la Constitución permite excepcionar este principio de la presencialidad, ya que, como se ha reiterado en la jurisprudencia constitucional citada, no puede ser tenida como circunstancia constitucionalmente válida para ello aquella en la que se encuentra quien voluntariamente ha decidido eludir la acción de la jurisdicción penal española y sobre el que pesa una orden judicial de busca y captura.</w:t>
      </w:r>
    </w:p>
    <w:p w14:paraId="2CF37A40" w14:textId="77777777" w:rsidR="009D7677" w:rsidRDefault="009D7677" w:rsidP="009D7677">
      <w:pPr>
        <w:pStyle w:val="TextoNormal"/>
      </w:pPr>
    </w:p>
    <w:p w14:paraId="5C39C172" w14:textId="77777777" w:rsidR="009D7677" w:rsidRDefault="009D7677" w:rsidP="009D7677">
      <w:pPr>
        <w:pStyle w:val="TextoNormal"/>
      </w:pPr>
      <w:r>
        <w:t>Esto determina que también en este caso el Tribunal otorgue el amparo solicitado con declaración de la nulidad de los acuerdos impugnados por haberse lesionado el derecho fundamental de los demandantes a ejercer sus funciones representativas en condiciones de igualdad (art. 23.2 CE), en relación con el derecho de los ciudadanos a participar en los asuntos públicos a través de sus representantes (art. 23.1 CE), y que, en línea con lo expresado en las citadas SSTC 65/2022, FJ 8; 85/2022, FJ 4; 92/2022, FJ 4; 93/2022, FJ 4; y 24/2023, FJ 3, en virtud del principio de seguridad jurídica (art. 9.3 CE), se limite el alcance del fallo, en el sentido de que la nulidad de estos acuerdos parlamentarios no puede comunicarse a los actos que hayan podido adoptarse con el voto telemático de don Lluís Puig i Gordi durante el tiempo en que estuvo vigente dicha habilitación.</w:t>
      </w:r>
    </w:p>
    <w:p w14:paraId="765C3C35" w14:textId="77777777" w:rsidR="009D7677" w:rsidRDefault="009D7677" w:rsidP="009D7677">
      <w:pPr>
        <w:pStyle w:val="TextoNormal"/>
      </w:pPr>
    </w:p>
    <w:p w14:paraId="46B00C51" w14:textId="559090F3" w:rsidR="009D7677" w:rsidRDefault="009D7677" w:rsidP="009D7677">
      <w:pPr>
        <w:pStyle w:val="TextoNormal"/>
      </w:pPr>
      <w:r>
        <w:t>La anulación de la decisión de la mesa respecto de la habilitación del voto telemático al diputado don Lluís Puig i Gordi por las razones expuestas determina, en los términos expuestos en el fundamento jurídico primero, la nulidad de la normativa transitoria que le sirve de apoyo por ser su finalidad exclusiva la de darle una apariencia de cobertura normativa, pero sin una real vocación de generalidad. Por otra parte, la resolución sobre el fondo de este recurso implica también que no resulte procedente resolver sobre la medida cautelar de suspensión solicitada por los demandantes, lo que determina que deba acordarse el archivo de la pieza separada de suspensión.</w:t>
      </w:r>
    </w:p>
    <w:p w14:paraId="25029305" w14:textId="77777777" w:rsidR="009D7677" w:rsidRDefault="009D7677" w:rsidP="009D7677">
      <w:pPr>
        <w:pStyle w:val="TextoNormal"/>
      </w:pPr>
    </w:p>
    <w:p w14:paraId="274B3FA8" w14:textId="77777777" w:rsidR="009D7677" w:rsidRDefault="009D7677" w:rsidP="009D7677">
      <w:pPr>
        <w:pStyle w:val="TextoNormalCentrado"/>
        <w:keepNext/>
      </w:pPr>
      <w:r>
        <w:t>FALLO</w:t>
      </w:r>
    </w:p>
    <w:p w14:paraId="149E529F" w14:textId="18D4659F" w:rsidR="009D7677" w:rsidRDefault="009D7677" w:rsidP="009D7677">
      <w:pPr>
        <w:pStyle w:val="TextoNormalCentrado"/>
        <w:keepNext/>
      </w:pPr>
    </w:p>
    <w:p w14:paraId="08F2AE8B" w14:textId="77777777" w:rsidR="009D7677" w:rsidRDefault="009D7677" w:rsidP="009D7677">
      <w:pPr>
        <w:pStyle w:val="TextoNormal"/>
      </w:pPr>
      <w:r>
        <w:t>En atención a todo lo expuesto, el Tribunal Constitucional, por la autoridad que le confiere la Constitución de la Nación española, ha decidido estimar el recurso de amparo interpuesto por don Salvador Illa Roca, doña Alicia Romero Llano, don Raúl Moreno Montaña, doña María Asunción Escarp Gibert, don Ferrán Pedret Santos, don Ramón Espadaler Parcerisas, doña Judit Alcalá González, don Óscar Aparicio Pedrosa, doña Helena Bayo Delgado, doña Eva Candela López, doña María dels Dolors Carreras Casany, doña Elena Díaz Torrevejano, don Mario García Gómez, doña Rocío García Pérez, don Pol Gibert Horcas, don Cristóbal Gimeno Iglesias, don David González Chanca, doña Rosa Ma</w:t>
      </w:r>
      <w:r>
        <w:lastRenderedPageBreak/>
        <w:t>ría Ibarra Ollé, doña Gemma Lienas Massot, doña Marta Moreta Rovira, doña Esther Niubó Cidoncha, don Òscar Ordeig Molist, don Joaquín Paladella Curto, doña Silvia Paneque Sureda, don David Pérez Ibáñez, don Jordi Riba Colom, doña Mónica Ríos García, doña Silvia Romero Galera, don Juan Luis Ruiz López, doña Beatriz Silva Gallardo, don Jordi Terrades Santacreu y don Rubén Viñuales Elías y, en su virtud,</w:t>
      </w:r>
    </w:p>
    <w:p w14:paraId="7356AC08" w14:textId="77777777" w:rsidR="009D7677" w:rsidRDefault="009D7677" w:rsidP="009D7677">
      <w:pPr>
        <w:pStyle w:val="TextoNormal"/>
      </w:pPr>
    </w:p>
    <w:p w14:paraId="2E1C7225" w14:textId="77777777" w:rsidR="009D7677" w:rsidRDefault="009D7677" w:rsidP="009D7677">
      <w:pPr>
        <w:pStyle w:val="TextoNormal"/>
      </w:pPr>
      <w:r>
        <w:t>1º Declarar que se ha vulnerado el derecho de los recurrentes a ejercer las funciones representativas con los requisitos que señalan las leyes (art. 23.2 CE), que se encuentra en conexión con el derecho de los ciudadanos a participar en los asuntos públicos a través de sus representantes (art. 23.1 CE).</w:t>
      </w:r>
    </w:p>
    <w:p w14:paraId="699244E2" w14:textId="77777777" w:rsidR="009D7677" w:rsidRDefault="009D7677" w:rsidP="009D7677">
      <w:pPr>
        <w:pStyle w:val="TextoNormal"/>
      </w:pPr>
    </w:p>
    <w:p w14:paraId="2F227BC5" w14:textId="77777777" w:rsidR="009D7677" w:rsidRDefault="009D7677" w:rsidP="009D7677">
      <w:pPr>
        <w:pStyle w:val="TextoNormal"/>
      </w:pPr>
      <w:r>
        <w:t>2º Restablecer a los recurrentes en su derecho y, a tal fin, declarar la nulidad de los acuerdos de la mesa del Parlamento de Cataluña de 18 de abril de 2023, sobre la regulación transitoria del voto telemático hasta que no se proceda a una reforma del Reglamento del Parlamento de Cataluña, y de 19 de abril de 2023, aceptando la habilitación del procedimiento de votación telemático del diputado don Lluís Puig i Gordi hasta el final de ese periodo de sesiones; así como del acuerdo de 19 de abril de 2023, por el que se desestimó la reconsideración de los anteriores, con el alcance expresado en el fundamento jurídico 3.</w:t>
      </w:r>
    </w:p>
    <w:p w14:paraId="7E2F0C74" w14:textId="77777777" w:rsidR="009D7677" w:rsidRDefault="009D7677" w:rsidP="009D7677">
      <w:pPr>
        <w:pStyle w:val="TextoNormal"/>
      </w:pPr>
    </w:p>
    <w:p w14:paraId="66B10D07" w14:textId="37516C30" w:rsidR="009D7677" w:rsidRDefault="009D7677" w:rsidP="009D7677">
      <w:pPr>
        <w:pStyle w:val="TextoNormal"/>
      </w:pPr>
      <w:r>
        <w:t>3º Archivar la pieza separada de suspensión.</w:t>
      </w:r>
    </w:p>
    <w:p w14:paraId="0797A3E7" w14:textId="77777777" w:rsidR="009D7677" w:rsidRDefault="009D7677" w:rsidP="009D7677">
      <w:pPr>
        <w:pStyle w:val="TextoNormal"/>
      </w:pPr>
    </w:p>
    <w:p w14:paraId="05B47960" w14:textId="77777777" w:rsidR="009D7677" w:rsidRDefault="009D7677" w:rsidP="009D7677">
      <w:pPr>
        <w:pStyle w:val="TextoNormal"/>
      </w:pPr>
      <w:r>
        <w:t>Publíquese esta sentencia en el “Boletín Oficial del Estado”.</w:t>
      </w:r>
    </w:p>
    <w:p w14:paraId="771DDA4C" w14:textId="77777777" w:rsidR="009D7677" w:rsidRDefault="009D7677" w:rsidP="009D7677">
      <w:pPr>
        <w:pStyle w:val="TextoNormal"/>
      </w:pPr>
      <w:r>
        <w:t>Dada en Madrid, a tres de junio de dos mil veinticuatro.</w:t>
      </w:r>
    </w:p>
    <w:p w14:paraId="46952FE6" w14:textId="645B5BED" w:rsidR="009D7677" w:rsidRDefault="009D7677">
      <w:pPr>
        <w:spacing w:after="160" w:line="259" w:lineRule="auto"/>
        <w:rPr>
          <w:rFonts w:ascii="Times New Roman" w:eastAsia="Times New Roman" w:hAnsi="Times New Roman" w:cs="Times New Roman"/>
          <w:sz w:val="24"/>
          <w:szCs w:val="24"/>
          <w:lang w:eastAsia="es-ES"/>
        </w:rPr>
      </w:pPr>
      <w:r>
        <w:br w:type="page"/>
      </w:r>
    </w:p>
    <w:p w14:paraId="38F4B2A9" w14:textId="77777777" w:rsidR="009D7677" w:rsidRDefault="009D7677" w:rsidP="009D7677">
      <w:pPr>
        <w:pStyle w:val="TtuloResolucin"/>
      </w:pPr>
      <w:bookmarkStart w:id="89" w:name="SENTENCIA_2024_87"/>
      <w:r>
        <w:lastRenderedPageBreak/>
        <w:t>SENTENCIA 87/2024, de 4 de junio de 2024</w:t>
      </w:r>
    </w:p>
    <w:bookmarkEnd w:id="89"/>
    <w:p w14:paraId="06FF4062" w14:textId="77777777" w:rsidR="009D7677" w:rsidRDefault="009D7677" w:rsidP="009D7677">
      <w:pPr>
        <w:pStyle w:val="TtuloResolucin"/>
      </w:pPr>
      <w:r>
        <w:t>Pleno</w:t>
      </w:r>
    </w:p>
    <w:p w14:paraId="214A6019" w14:textId="77777777" w:rsidR="009D7677" w:rsidRDefault="009D7677" w:rsidP="009D7677">
      <w:pPr>
        <w:pStyle w:val="TtuloBOE"/>
      </w:pPr>
      <w:r>
        <w:t>(BOE núm. 164, de 8 de julio de 2024)</w:t>
      </w:r>
    </w:p>
    <w:p w14:paraId="717E56F9" w14:textId="77777777" w:rsidR="009D7677" w:rsidRDefault="009D7677" w:rsidP="009D7677">
      <w:pPr>
        <w:pStyle w:val="TextoNormalCentrado"/>
      </w:pPr>
      <w:r>
        <w:t>ECLI:ES:TC:2024:87</w:t>
      </w:r>
    </w:p>
    <w:p w14:paraId="12187267" w14:textId="4EE99177" w:rsidR="009D7677" w:rsidRDefault="009D7677" w:rsidP="009D7677">
      <w:pPr>
        <w:pStyle w:val="TextoNormalCentrado"/>
      </w:pPr>
    </w:p>
    <w:p w14:paraId="39F84012" w14:textId="77777777" w:rsidR="009D7677" w:rsidRDefault="009D7677" w:rsidP="009D7677">
      <w:pPr>
        <w:pStyle w:val="SntesisDescriptiva"/>
      </w:pPr>
      <w:r>
        <w:t>Recurso de amparo 4949-2021. Promovido por don Alirio Ramón León Viloria respecto de las sentencias de las salas de lo Penal del Tribunal Supremo, de lo Civil y Penal del Tribunal Superior de Justicia de Madrid y de la Audiencia Provincial que le condenaron por un delito contra la salud pública.</w:t>
      </w:r>
    </w:p>
    <w:p w14:paraId="749C563B" w14:textId="519E1E2B" w:rsidR="009D7677" w:rsidRDefault="009D7677" w:rsidP="009D7677">
      <w:pPr>
        <w:pStyle w:val="SntesisDescriptiva"/>
      </w:pPr>
    </w:p>
    <w:p w14:paraId="00805E18" w14:textId="77777777" w:rsidR="009D7677" w:rsidRDefault="009D7677" w:rsidP="009D7677">
      <w:pPr>
        <w:pStyle w:val="SntesisAnaltica"/>
      </w:pPr>
      <w:r>
        <w:t>Supuesta vulneración de los derechos a la intimidad, a la tutela judicial efectiva y a un proceso con todas las garantías: prueba aportada por agente encubierto que no afecta a la intimidad y habiendo mediado el adecuado control judicial. Votos particulares.</w:t>
      </w:r>
    </w:p>
    <w:p w14:paraId="561F36FD" w14:textId="785C1AE3" w:rsidR="009D7677" w:rsidRDefault="009D7677" w:rsidP="009D7677">
      <w:pPr>
        <w:pStyle w:val="SntesisAnaltica"/>
      </w:pPr>
    </w:p>
    <w:p w14:paraId="72C428B0" w14:textId="6A59CCA4" w:rsidR="009D7677" w:rsidRDefault="009D7677" w:rsidP="009D7677">
      <w:pPr>
        <w:pStyle w:val="Extracto"/>
      </w:pPr>
      <w:r>
        <w:t>1.</w:t>
      </w:r>
      <w:r>
        <w:tab/>
        <w:t>El agente encubierto estará exento de responsabilidad criminal por aquellas actuaciones que sean consecuencia necesaria del desarrollo de la investigación [FJ 2].</w:t>
      </w:r>
    </w:p>
    <w:p w14:paraId="06B89745" w14:textId="77777777" w:rsidR="009D7677" w:rsidRDefault="009D7677" w:rsidP="009D7677">
      <w:pPr>
        <w:pStyle w:val="Extracto"/>
      </w:pPr>
    </w:p>
    <w:p w14:paraId="160C8FAB" w14:textId="7AF063AA" w:rsidR="009D7677" w:rsidRDefault="009D7677" w:rsidP="009D7677">
      <w:pPr>
        <w:pStyle w:val="Extracto"/>
      </w:pPr>
      <w:r>
        <w:t>2.</w:t>
      </w:r>
      <w:r>
        <w:tab/>
        <w:t>La habilitación a un funcionario de policía para que actúe como agente encubierto refuerza su posición y garantías en el desempeño de su función policial, para lograr la eficacia pretendida con la regulación de la medida de investigación [FJ 2].</w:t>
      </w:r>
    </w:p>
    <w:p w14:paraId="0C7A6DBC" w14:textId="77777777" w:rsidR="009D7677" w:rsidRDefault="009D7677" w:rsidP="009D7677">
      <w:pPr>
        <w:pStyle w:val="Extracto"/>
      </w:pPr>
    </w:p>
    <w:p w14:paraId="0ADB9F6F" w14:textId="3E1EA24E" w:rsidR="009D7677" w:rsidRDefault="009D7677" w:rsidP="009D7677">
      <w:pPr>
        <w:pStyle w:val="Extracto"/>
      </w:pPr>
      <w:r>
        <w:t>3.</w:t>
      </w:r>
      <w:r>
        <w:tab/>
        <w:t>La autorización para el otorgamiento de una nueva identidad irreal al agente infiltrado exige que se investiguen actividades propias de la delincuencia organizada dirigidas a cometer los delitos previstos en el apartado 4 del art. 282 bis LECrim, y que exista una autorización al funcionario de la policía judicial otorgada por el juez de instrucción competente o el Ministerio Fiscal, mediante una resolución fundada y teniendo en cuenta su necesidad para los fines de la investigación, de la que se dará cuenta inmediata al juez. El mantenimiento de dicha situación y la toma de decisiones de operativa policial dependerán de la información que ponga en conocimiento el agente encubierto [FJ 2].</w:t>
      </w:r>
    </w:p>
    <w:p w14:paraId="5604A7D7" w14:textId="77777777" w:rsidR="009D7677" w:rsidRDefault="009D7677" w:rsidP="009D7677">
      <w:pPr>
        <w:pStyle w:val="Extracto"/>
      </w:pPr>
    </w:p>
    <w:p w14:paraId="414F9050" w14:textId="181A5995" w:rsidR="009D7677" w:rsidRDefault="009D7677" w:rsidP="009D7677">
      <w:pPr>
        <w:pStyle w:val="Extracto"/>
      </w:pPr>
      <w:r>
        <w:t>4.</w:t>
      </w:r>
      <w:r>
        <w:tab/>
        <w:t>La exigencia constitucional o legal de autorización judicial cuando la actuación del agente encubierto afecte a los derechos fundamentales, e incluso el derecho a que se incorporen íntegramente al proceso las informaciones obtenidas, es una garantía del investigado, tenga o no la actuación del funcionario de policía judicial cobertura de agente encubierto [FJ 2].</w:t>
      </w:r>
    </w:p>
    <w:p w14:paraId="75152C65" w14:textId="77777777" w:rsidR="009D7677" w:rsidRDefault="009D7677" w:rsidP="009D7677">
      <w:pPr>
        <w:pStyle w:val="Extracto"/>
      </w:pPr>
    </w:p>
    <w:p w14:paraId="0355B71D" w14:textId="67C76BC0" w:rsidR="009D7677" w:rsidRDefault="009D7677" w:rsidP="009D7677">
      <w:pPr>
        <w:pStyle w:val="Extracto"/>
      </w:pPr>
      <w:r>
        <w:t>5.</w:t>
      </w:r>
      <w:r>
        <w:tab/>
        <w:t>Las declaraciones prestadas por los agentes infiltrados podrán ser valoradas como prueba, si bien en caso de cuestionarse su actuación, no tendrá las garantías de exoneración de responsabilidad de quien actúa con la habilitación legalmente concedida; y, por otra parte, deberá extremarse el control judicial a fin de descartar que el investigado ha sido objeto de provocación delictiva [FJ 2].</w:t>
      </w:r>
    </w:p>
    <w:p w14:paraId="3536ECF2" w14:textId="77777777" w:rsidR="009D7677" w:rsidRDefault="009D7677" w:rsidP="009D7677">
      <w:pPr>
        <w:pStyle w:val="Extracto"/>
      </w:pPr>
    </w:p>
    <w:p w14:paraId="2D7140E2" w14:textId="6CD2EC53" w:rsidR="009D7677" w:rsidRDefault="009D7677" w:rsidP="009D7677">
      <w:pPr>
        <w:pStyle w:val="Extracto"/>
      </w:pPr>
      <w:r>
        <w:t>6.</w:t>
      </w:r>
      <w:r>
        <w:tab/>
        <w:t>La policía judicial no solo depende de los jueces y tribunales, sino que en sus funciones de averiguación del delito y descubrimiento y aseguramiento del delincuente también está sometida al Ministerio Fiscal (art. 126 CE) [FJ 2].</w:t>
      </w:r>
    </w:p>
    <w:p w14:paraId="75B3091E" w14:textId="77777777" w:rsidR="009D7677" w:rsidRDefault="009D7677" w:rsidP="009D7677">
      <w:pPr>
        <w:pStyle w:val="Extracto"/>
      </w:pPr>
    </w:p>
    <w:p w14:paraId="53D99518" w14:textId="04BC282D" w:rsidR="009D7677" w:rsidRDefault="009D7677" w:rsidP="009D7677">
      <w:pPr>
        <w:pStyle w:val="Extracto"/>
      </w:pPr>
      <w:r>
        <w:t>7.</w:t>
      </w:r>
      <w:r>
        <w:tab/>
        <w:t>El Ministerio Fiscal incoará diligencias preprocesales que cuando alcancen la finalidad pretendida por su incoación, y en todo caso transcurrido el plazo de duración legalmente previsto, deberán ser comunicadas sin demora, de modo inmediato, al órgano judicial. Ese es el momento al que debe referirse la exigencia legal “dando cuenta inmediata al juez” y no al instante de dictarse el decreto de habilitación del agente encubierto [FJ 2].</w:t>
      </w:r>
    </w:p>
    <w:p w14:paraId="4EDE12F6" w14:textId="77777777" w:rsidR="009D7677" w:rsidRDefault="009D7677" w:rsidP="009D7677">
      <w:pPr>
        <w:pStyle w:val="Extracto"/>
      </w:pPr>
    </w:p>
    <w:p w14:paraId="296D7184" w14:textId="6DF64E0E" w:rsidR="009D7677" w:rsidRDefault="009D7677" w:rsidP="009D7677">
      <w:pPr>
        <w:pStyle w:val="Extracto"/>
      </w:pPr>
      <w:r>
        <w:t>8.</w:t>
      </w:r>
      <w:r>
        <w:tab/>
        <w:t xml:space="preserve">El Tribunal Europeo de Derechos Humanos refiere, desde la perspectiva del derecho a un juicio justo (art. 6 CEDH), que las acciones de los agentes encubiertos deben tratar de investigar la actividad delictiva en curso de una manera esencialmente pasiva y no ejercer una influencia tal que incite a la comisión de un delito mayor que el que el individuo ya estaba planeando cometer sin dicha incitación (STEDH </w:t>
      </w:r>
      <w:r w:rsidRPr="009D7677">
        <w:rPr>
          <w:i/>
        </w:rPr>
        <w:t xml:space="preserve">Matanović c. Croatia </w:t>
      </w:r>
      <w:r>
        <w:t>) [FJ 2].</w:t>
      </w:r>
    </w:p>
    <w:p w14:paraId="0DEFB3E0" w14:textId="77777777" w:rsidR="009D7677" w:rsidRDefault="009D7677" w:rsidP="009D7677">
      <w:pPr>
        <w:pStyle w:val="Extracto"/>
      </w:pPr>
    </w:p>
    <w:p w14:paraId="4CD96E1A" w14:textId="5C3ADA44" w:rsidR="009D7677" w:rsidRDefault="009D7677" w:rsidP="009D7677">
      <w:pPr>
        <w:pStyle w:val="Extracto"/>
      </w:pPr>
      <w:r>
        <w:t>9.</w:t>
      </w:r>
      <w:r>
        <w:tab/>
        <w:t>En relación con una eventual vulneración del derecho a la intimidad (art. 18.1 CE) la ley exige autorización judicial para actuar bajo identidad supuesta en comunicaciones mantenidas en canales cerrados de comunicación con el fin de esclarecer alguno de los delitos a los que se refiere el apartado 4 del art. 282 bis LECrim, el artículo 588 ter a) LECrim (art. 282 bis.6 LECrim) o arts. 579 y 588 bis a) a 588 septies c) LECrim [FJ 4].</w:t>
      </w:r>
    </w:p>
    <w:p w14:paraId="64736C04" w14:textId="77777777" w:rsidR="009D7677" w:rsidRDefault="009D7677" w:rsidP="009D7677">
      <w:pPr>
        <w:pStyle w:val="Extracto"/>
      </w:pPr>
    </w:p>
    <w:p w14:paraId="19206E22" w14:textId="56DE4F62" w:rsidR="009D7677" w:rsidRDefault="009D7677" w:rsidP="009D7677">
      <w:pPr>
        <w:pStyle w:val="Extracto"/>
      </w:pPr>
      <w:r>
        <w:t>10.</w:t>
      </w:r>
      <w:r>
        <w:tab/>
        <w:t>La constitucionalidad de cualquier medida restrictiva de derechos fundamentales viene determinada por la estricta observancia del principio de proporcionalidad (SSTC 66/1995 o 37/1998), debiendo constatarse el cumplimiento de tres condiciones: si tal medida es susceptible de conseguir el objetivo propuesto (juicio de idoneidad); si, además, es necesaria y no existe otra medida más moderada para la consecución de tal propósito con igual eficacia (juicio de necesidad); y si la misma es ponderada o equilibrada, por derivarse de ella más beneficios o ventajas para el interés general que perjuicios sobre otros bienes o valores en conflicto (juicio de proporcionalidad en sentido estricto) [FJ 4].</w:t>
      </w:r>
    </w:p>
    <w:p w14:paraId="52F9EE33" w14:textId="77777777" w:rsidR="009D7677" w:rsidRDefault="009D7677" w:rsidP="009D7677">
      <w:pPr>
        <w:pStyle w:val="Extracto"/>
      </w:pPr>
    </w:p>
    <w:p w14:paraId="3CDBA1A9" w14:textId="2FC2938A" w:rsidR="009D7677" w:rsidRDefault="009D7677" w:rsidP="009D7677">
      <w:pPr>
        <w:pStyle w:val="Extracto"/>
      </w:pPr>
      <w:r>
        <w:t>11.</w:t>
      </w:r>
      <w:r>
        <w:tab/>
        <w:t>La prolongación de la actuación del agente encubierto o que este logre ganarse la confianza del investigado en nada conciernen al contenido del derecho a la intimidad, entendido este como ámbito propio y reservado frente a la acción y el conocimiento de los demás, necesario, según las pautas de nuestra cultura, para mantener una calidad mínima de la vida humana (SSTC 207/1996 o 92/2023) [FJ 5].</w:t>
      </w:r>
    </w:p>
    <w:p w14:paraId="42076B87" w14:textId="77777777" w:rsidR="009D7677" w:rsidRDefault="009D7677" w:rsidP="009D7677">
      <w:pPr>
        <w:pStyle w:val="Extracto"/>
      </w:pPr>
    </w:p>
    <w:p w14:paraId="0692700D" w14:textId="3AE165A2" w:rsidR="009D7677" w:rsidRDefault="009D7677" w:rsidP="009D7677">
      <w:pPr>
        <w:pStyle w:val="Extracto"/>
      </w:pPr>
      <w:r>
        <w:t>12.</w:t>
      </w:r>
      <w:r>
        <w:tab/>
        <w:t>La confianza depositada en el agente encubierto así como el acceso eventual a aspectos íntimos de la intimidad familiar no suponen por sí mismas una intromisión en la esfera íntima del investigado ni una injerencia en el derecho a la intimidad [FJ 5].</w:t>
      </w:r>
    </w:p>
    <w:p w14:paraId="791B1764" w14:textId="77777777" w:rsidR="009D7677" w:rsidRDefault="009D7677" w:rsidP="009D7677">
      <w:pPr>
        <w:pStyle w:val="Extracto"/>
      </w:pPr>
    </w:p>
    <w:p w14:paraId="594A614B" w14:textId="77777777" w:rsidR="009D7677" w:rsidRDefault="009D7677" w:rsidP="009D7677">
      <w:pPr>
        <w:pStyle w:val="Extracto"/>
      </w:pPr>
    </w:p>
    <w:p w14:paraId="0D1E40A7" w14:textId="77777777" w:rsidR="009D7677" w:rsidRDefault="009D7677" w:rsidP="009D7677">
      <w:pPr>
        <w:pStyle w:val="TextoNormal"/>
      </w:pPr>
      <w:r>
        <w:t xml:space="preserve">El Pleno del Tribunal Constitucional, compuesto por el magistrado don Cándido Conde-Pumpido Tourón, presidente, y las magistradas y magistrados doña Inmaculada Montalbán Huertas, don Ricardo Enríquez Sancho, doña María Luisa Balaguer Callejón, don </w:t>
      </w:r>
      <w:r>
        <w:lastRenderedPageBreak/>
        <w:t>Ramón Sáez Valcárcel, don Enrique Arnaldo Alcubilla, doña Concepción Espejel Jorquera, doña María Luisa Segoviano Astaburuaga, don César Tolosa Tribiño, don Juan Carlos Campo Moreno y doña Laura Díez Bueso, ha pronunciado</w:t>
      </w:r>
    </w:p>
    <w:p w14:paraId="6AA23D23" w14:textId="25000721" w:rsidR="009D7677" w:rsidRDefault="009D7677" w:rsidP="009D7677">
      <w:pPr>
        <w:pStyle w:val="TextoNormal"/>
      </w:pPr>
    </w:p>
    <w:p w14:paraId="567E7519" w14:textId="77777777" w:rsidR="009D7677" w:rsidRDefault="009D7677" w:rsidP="009D7677">
      <w:pPr>
        <w:pStyle w:val="TextoNormalCentrado"/>
        <w:keepNext/>
      </w:pPr>
      <w:r>
        <w:t>EN NOMBRE DEL REY</w:t>
      </w:r>
    </w:p>
    <w:p w14:paraId="058F788F" w14:textId="6C10AB09" w:rsidR="009D7677" w:rsidRDefault="009D7677" w:rsidP="009D7677">
      <w:pPr>
        <w:pStyle w:val="TextoNormalCentrado"/>
        <w:keepNext/>
      </w:pPr>
    </w:p>
    <w:p w14:paraId="7AFE9B89" w14:textId="77777777" w:rsidR="009D7677" w:rsidRDefault="009D7677" w:rsidP="009D7677">
      <w:pPr>
        <w:pStyle w:val="TextoNormalCentrado"/>
        <w:keepNext/>
      </w:pPr>
    </w:p>
    <w:p w14:paraId="66B76CD5" w14:textId="77777777" w:rsidR="009D7677" w:rsidRDefault="009D7677" w:rsidP="009D7677">
      <w:pPr>
        <w:pStyle w:val="TextoNormal"/>
      </w:pPr>
      <w:r>
        <w:t>la siguiente</w:t>
      </w:r>
    </w:p>
    <w:p w14:paraId="3F5944D1" w14:textId="5EB1D14D" w:rsidR="009D7677" w:rsidRDefault="009D7677" w:rsidP="009D7677">
      <w:pPr>
        <w:pStyle w:val="TextoNormal"/>
      </w:pPr>
    </w:p>
    <w:p w14:paraId="31C3A654" w14:textId="77777777" w:rsidR="009D7677" w:rsidRDefault="009D7677" w:rsidP="009D7677">
      <w:pPr>
        <w:pStyle w:val="TextoNormalCentrado"/>
        <w:keepNext/>
      </w:pPr>
      <w:r>
        <w:t>SENTENCIA</w:t>
      </w:r>
    </w:p>
    <w:p w14:paraId="6E7B9C83" w14:textId="17304494" w:rsidR="009D7677" w:rsidRDefault="009D7677" w:rsidP="009D7677">
      <w:pPr>
        <w:pStyle w:val="TextoNormalCentrado"/>
        <w:keepNext/>
      </w:pPr>
    </w:p>
    <w:p w14:paraId="48D5546A" w14:textId="77777777" w:rsidR="009D7677" w:rsidRDefault="009D7677" w:rsidP="009D7677">
      <w:pPr>
        <w:pStyle w:val="TextoNormal"/>
      </w:pPr>
      <w:r>
        <w:t>En el recurso de amparo núm. 4949-2021, promovido por don Alirio Ramón León Viloria, representado por la procuradora de los tribunales doña María Cristina Benito Cabezuelo y asistido por el abogado don Víctor Fernández de Lucas, contra la sentencia núm. 503/2021, de 10 de junio, dictada por la Sala de lo Penal del Tribunal Supremo que confirma la sentencia de la Sala de lo Civil y Penal del Tribunal Superior de Justicia de Madrid núm. 335/2020, de 25 de noviembre, que confirma a su vez la sentencia condenatoria dictada por la Sección Séptima de la Audiencia Provincial de Madrid núm. 280/2020, de 17 de julio. Ha intervenido el Ministerio Fiscal. Ha sido ponente el magistrado don César Tolosa Tribiño.</w:t>
      </w:r>
    </w:p>
    <w:p w14:paraId="700CE872" w14:textId="1F48D9B9" w:rsidR="009D7677" w:rsidRDefault="009D7677" w:rsidP="009D7677">
      <w:pPr>
        <w:pStyle w:val="TextoNormal"/>
      </w:pPr>
    </w:p>
    <w:p w14:paraId="3A33FB68" w14:textId="77777777" w:rsidR="009D7677" w:rsidRDefault="009D7677" w:rsidP="009D7677">
      <w:pPr>
        <w:pStyle w:val="TextoNormalNegritaCentrado"/>
        <w:keepNext/>
      </w:pPr>
      <w:r>
        <w:t>I. Antecedentes</w:t>
      </w:r>
    </w:p>
    <w:p w14:paraId="556D8BFF" w14:textId="66A099AA" w:rsidR="009D7677" w:rsidRDefault="009D7677" w:rsidP="009D7677">
      <w:pPr>
        <w:pStyle w:val="TextoNormalNegritaCentrado"/>
        <w:keepNext/>
      </w:pPr>
    </w:p>
    <w:p w14:paraId="3E9DEC3A" w14:textId="7A6FB223" w:rsidR="009D7677" w:rsidRDefault="009D7677" w:rsidP="009D7677">
      <w:pPr>
        <w:pStyle w:val="TextoNormal"/>
      </w:pPr>
      <w:r w:rsidRPr="009D7677">
        <w:rPr>
          <w:rStyle w:val="NumeroAFNegritaCaracter"/>
        </w:rPr>
        <w:t>1</w:t>
      </w:r>
      <w:r>
        <w:t>. Mediante escrito registrado en este tribunal el 19 de julio de 2021, la procuradora de los tribunales doña María Cristina Benito Cabezuelo, en nombre y representación de don Alirio Ramón León Viloria, interpuso recurso de amparo contra las sentencias que han sido mencionadas en el encabezamiento.</w:t>
      </w:r>
    </w:p>
    <w:p w14:paraId="0D9CC00D" w14:textId="77777777" w:rsidR="009D7677" w:rsidRDefault="009D7677" w:rsidP="009D7677">
      <w:pPr>
        <w:pStyle w:val="TextoNormal"/>
      </w:pPr>
    </w:p>
    <w:p w14:paraId="4D128195" w14:textId="77777777" w:rsidR="009D7677" w:rsidRDefault="009D7677" w:rsidP="009D7677">
      <w:pPr>
        <w:pStyle w:val="TextoNormal"/>
      </w:pPr>
      <w:r w:rsidRPr="009D7677">
        <w:rPr>
          <w:rStyle w:val="NumeroAFNegritaCaracter"/>
        </w:rPr>
        <w:t>2</w:t>
      </w:r>
      <w:r>
        <w:t>. Son antecedentes procesales relevantes para su resolución, los siguientes:</w:t>
      </w:r>
    </w:p>
    <w:p w14:paraId="1BF2B7B1" w14:textId="77777777" w:rsidR="009D7677" w:rsidRDefault="009D7677" w:rsidP="009D7677">
      <w:pPr>
        <w:pStyle w:val="TextoNormal"/>
      </w:pPr>
    </w:p>
    <w:p w14:paraId="40F09582" w14:textId="77777777" w:rsidR="009D7677" w:rsidRDefault="009D7677" w:rsidP="009D7677">
      <w:pPr>
        <w:pStyle w:val="TextoNormal"/>
      </w:pPr>
      <w:r>
        <w:t>a) El grupo XVIII de la sección de estupefacientes de la Unidad Central de Droga y Crimen Organizado (UDYCO), perteneciente a la Brigada Provincial de Policía Judicial de Madrid, mediante oficio de 22 de enero de 2019, solicitó la apertura de diligencias de investigación y la habilitación de tres agentes encubiertos.</w:t>
      </w:r>
    </w:p>
    <w:p w14:paraId="0A9CA178" w14:textId="77777777" w:rsidR="009D7677" w:rsidRDefault="009D7677" w:rsidP="009D7677">
      <w:pPr>
        <w:pStyle w:val="TextoNormal"/>
      </w:pPr>
    </w:p>
    <w:p w14:paraId="7B2E7F69" w14:textId="77777777" w:rsidR="009D7677" w:rsidRDefault="009D7677" w:rsidP="009D7677">
      <w:pPr>
        <w:pStyle w:val="TextoNormal"/>
      </w:pPr>
      <w:r>
        <w:t>A través del oficio puso en conocimiento de la Fiscalía Especial Antidroga que había recibido notificación de alta fiabilidad por parte de la sección de agentes encubiertos de la UDYCO, de la Comisaría General de Policía Judicial, alertando sobre la presencia de una importante organización criminal de ciudadanos de origen venezolano que estaría dedicándose a la introducción en España de grandes cantidades de cocaína por vía aérea, lo que se correspondía —según dicho oficio— con otras líneas de investigación seguidas en esa sección de estupefacientes en el aeropuerto Adolfo Suárez Madrid-Barajas, conforme a las cuales se estaría utilizando dicha infraestructura como plataforma de entrada para las sustancias estupefacientes.</w:t>
      </w:r>
    </w:p>
    <w:p w14:paraId="06077BE0" w14:textId="77777777" w:rsidR="009D7677" w:rsidRDefault="009D7677" w:rsidP="009D7677">
      <w:pPr>
        <w:pStyle w:val="TextoNormal"/>
      </w:pPr>
    </w:p>
    <w:p w14:paraId="0F3CAA75" w14:textId="77777777" w:rsidR="009D7677" w:rsidRDefault="009D7677" w:rsidP="009D7677">
      <w:pPr>
        <w:pStyle w:val="TextoNormal"/>
      </w:pPr>
      <w:r>
        <w:lastRenderedPageBreak/>
        <w:t>En el oficio se puso en conocimiento de esa misma fiscalía que el 18 de enero de 2019 se había recibido comunicación de la Comisaría General de Policía Judicial informando de las gestiones efectuadas desde mediados de diciembre del año 2018, en relación con esa organización criminal integrada por individuos de origen venezolano, dedicados al tráfico de sustancias estupefacientes, específicamente cocaína, por medio del aeropuerto Adolfo Suárez Madrid-Barajas.</w:t>
      </w:r>
    </w:p>
    <w:p w14:paraId="077DDE96" w14:textId="77777777" w:rsidR="009D7677" w:rsidRDefault="009D7677" w:rsidP="009D7677">
      <w:pPr>
        <w:pStyle w:val="TextoNormal"/>
      </w:pPr>
    </w:p>
    <w:p w14:paraId="4E5AE66E" w14:textId="77777777" w:rsidR="009D7677" w:rsidRDefault="009D7677" w:rsidP="009D7677">
      <w:pPr>
        <w:pStyle w:val="TextoNormal"/>
      </w:pPr>
      <w:r>
        <w:t>La comunicación destaca que uno de los principales dirigentes en España era un varón de origen venezolano que se hacía llamar “Rafa”, quien sería la persona encargada de coordinar la estructura de entrada de la ilícita mercancía en España por medio de “maleteros” en el aeropuerto Adolfo Suárez Madrid-Barajas.</w:t>
      </w:r>
    </w:p>
    <w:p w14:paraId="0B953607" w14:textId="77777777" w:rsidR="009D7677" w:rsidRDefault="009D7677" w:rsidP="009D7677">
      <w:pPr>
        <w:pStyle w:val="TextoNormal"/>
      </w:pPr>
    </w:p>
    <w:p w14:paraId="46DC4F55" w14:textId="77777777" w:rsidR="009D7677" w:rsidRDefault="009D7677" w:rsidP="009D7677">
      <w:pPr>
        <w:pStyle w:val="TextoNormal"/>
      </w:pPr>
      <w:r>
        <w:t>Se destacó que efectuado un acercamiento al llamado “Rafa” por parte de uno de los integrantes de la sección de agentes encubiertos, se había podido comprobar que hacía alarde de que tenía varias “salidas de mercancía en Sudamérica” (Venezuela, Bolivia, Paraguay y República Dominicana), todas con maletas que enviaba en avión, que en España tenía alguna infraestructura para “rescatar” esa mercancía y que estaba en disposición de mandar grandes cantidades de cocaína de manera periódica. Llegó a indicar que para un primer envío a modo de prueba serían unos cincuenta kilogramos de cocaína, explicitando el precio del rescate por kilogramo en 26 000 €, sin que pudiera quedarse con mercancía como forma de pago.</w:t>
      </w:r>
    </w:p>
    <w:p w14:paraId="7B01DE22" w14:textId="77777777" w:rsidR="009D7677" w:rsidRDefault="009D7677" w:rsidP="009D7677">
      <w:pPr>
        <w:pStyle w:val="TextoNormal"/>
      </w:pPr>
    </w:p>
    <w:p w14:paraId="5C226E42" w14:textId="77777777" w:rsidR="009D7677" w:rsidRDefault="009D7677" w:rsidP="009D7677">
      <w:pPr>
        <w:pStyle w:val="TextoNormal"/>
      </w:pPr>
      <w:r>
        <w:t>El llamado “Rafa” interpeló al agente si tenía algún medio de comunicación encriptado, ya que él tenía un terminal llamado “encrochat” o “PGP” y le indicó que podía comunicarse en un primer momento por medio de la aplicación “WhatsApp”, facilitándole el número de abonado.</w:t>
      </w:r>
    </w:p>
    <w:p w14:paraId="28421903" w14:textId="77777777" w:rsidR="009D7677" w:rsidRDefault="009D7677" w:rsidP="009D7677">
      <w:pPr>
        <w:pStyle w:val="TextoNormal"/>
      </w:pPr>
    </w:p>
    <w:p w14:paraId="06A85C9C" w14:textId="77777777" w:rsidR="009D7677" w:rsidRDefault="009D7677" w:rsidP="009D7677">
      <w:pPr>
        <w:pStyle w:val="TextoNormal"/>
      </w:pPr>
      <w:r>
        <w:t>Añadió que en el transcurso de la vigilancia practicada se había podido observar cómo estos sujetos adoptaban numerosas medidas de seguridad, haciendo repentinos cambios de sentido de la marcha y deteniéndose de manera improvisada, con la evidente finalidad de detectar alguna presencia policial. También que durante la cita permanecían en constante alerta sobre las personas que transitaban por los alrededores. Refirió que durante el operativo se intensificaron las gestiones con el fin de identificar al citado “Rafa” y a su acompañante, así como para obtener algún dato objetivo que condujera a su identificación, aunque el resultado fue infructuoso debido a las medidas anteriormente señaladas y a la alta probabilidad de que detectaran la presencia policial, lo que perjudicaría el buen fin de la investigación y la integridad del agente encubierto, en caso de ser descubierto.</w:t>
      </w:r>
    </w:p>
    <w:p w14:paraId="7F360176" w14:textId="77777777" w:rsidR="009D7677" w:rsidRDefault="009D7677" w:rsidP="009D7677">
      <w:pPr>
        <w:pStyle w:val="TextoNormal"/>
      </w:pPr>
    </w:p>
    <w:p w14:paraId="54FAE014" w14:textId="77777777" w:rsidR="009D7677" w:rsidRDefault="009D7677" w:rsidP="009D7677">
      <w:pPr>
        <w:pStyle w:val="TextoNormal"/>
      </w:pPr>
      <w:r>
        <w:t>Infirió que el propio “Rafa” sería el encargado de monopolizar la distribución de toda la cocaína introducida, ya que indicó que el pago se haría en dinero en efectivo y no con un porcentaje de la sustancia transportada. Esto permitía deducir que la organización dispondría de la infraestructura necesaria para su ilícita comercialización en España y a tenor de la cantidad inicial que pretendía introducir de cincuenta kilogramos, dicha red era lo suficientemente amplia para dar salida a tal cantidad de droga, lo que resultaba también de la infraestructura que decía disponer actualmente a través del aeropuerto Adolfo Suárez Madrid-Barajas.</w:t>
      </w:r>
    </w:p>
    <w:p w14:paraId="5D706F4D" w14:textId="77777777" w:rsidR="009D7677" w:rsidRDefault="009D7677" w:rsidP="009D7677">
      <w:pPr>
        <w:pStyle w:val="TextoNormal"/>
      </w:pPr>
    </w:p>
    <w:p w14:paraId="68F8BD8D" w14:textId="77777777" w:rsidR="009D7677" w:rsidRDefault="009D7677" w:rsidP="009D7677">
      <w:pPr>
        <w:pStyle w:val="TextoNormal"/>
      </w:pPr>
      <w:r>
        <w:lastRenderedPageBreak/>
        <w:t>Se concluyó entonces que “[t]odo parece indicar que dicha red de distribución afecta a diferentes puntos del territorio nacional, dada la gran cantidad de sustancia estupefaciente que pretende introducir, así como la disposición que tiene de mandar grandes cantidades de droga de manera periódica, lo que se deduce también de las distintas salidas que utiliza desde países como Venezuela, Bolivia, Paraguay o República Dominicana”.</w:t>
      </w:r>
    </w:p>
    <w:p w14:paraId="162AECB5" w14:textId="77777777" w:rsidR="009D7677" w:rsidRDefault="009D7677" w:rsidP="009D7677">
      <w:pPr>
        <w:pStyle w:val="TextoNormal"/>
      </w:pPr>
    </w:p>
    <w:p w14:paraId="55B0E995" w14:textId="77777777" w:rsidR="009D7677" w:rsidRDefault="009D7677" w:rsidP="009D7677">
      <w:pPr>
        <w:pStyle w:val="TextoNormal"/>
      </w:pPr>
      <w:r>
        <w:t>Según el oficio, de ello resultaba la existencia de una organización criminal y agotadas las tradicionales vías de investigación, se estaba en disposición de introducir en dicha organización a tres funcionarios de la sección de agentes encubiertos. Por ello, se solicitó de la Fiscalía la incoación de diligencias de investigación y la autorización a tres funcionarios de la Comisaría General de Policía Judicial para actuar en calidad de agentes encubiertos, entre otros particulares.</w:t>
      </w:r>
    </w:p>
    <w:p w14:paraId="6976B291" w14:textId="77777777" w:rsidR="009D7677" w:rsidRDefault="009D7677" w:rsidP="009D7677">
      <w:pPr>
        <w:pStyle w:val="TextoNormal"/>
      </w:pPr>
    </w:p>
    <w:p w14:paraId="0E336746" w14:textId="77777777" w:rsidR="009D7677" w:rsidRDefault="009D7677" w:rsidP="009D7677">
      <w:pPr>
        <w:pStyle w:val="TextoNormal"/>
      </w:pPr>
      <w:r>
        <w:t xml:space="preserve">b) El fiscal jefe de la Fiscalía Especial Antidroga, mediante decreto dictado el 22 de enero de 2019, en el marco de las diligencias de investigación núm. 3-2019 que se incoaron al efecto, expuso en sus antecedentes de hecho el contenido de la información incluida en el oficio. En la fundamentación destacó que los hechos podían ser constitutivos de un delito de tráfico de drogas y/o de blanqueo de capitales y tras citar el art. 19.3 b) de la Ley 50/1981, de 30 de diciembre, por la que se regula el Estatuto orgánico del Ministerio Fiscal (EOMF), en lo relativo a las atribuciones de la Fiscalía Especial Antidroga, se refirió al art. 282 </w:t>
      </w:r>
      <w:r w:rsidRPr="009D7677">
        <w:rPr>
          <w:i/>
        </w:rPr>
        <w:t>bis</w:t>
      </w:r>
      <w:r>
        <w:t xml:space="preserve"> de la Ley de enjuiciamiento criminal (LECrim) que regula la figura del agente encubierto, pudiendo ser autorizada por el Ministerio Fiscal dando cuenta inmediata al juez, lo que ha de hacerse “teniendo en cuenta su necesidad a los fines de la investigación”.</w:t>
      </w:r>
    </w:p>
    <w:p w14:paraId="550EF15E" w14:textId="77777777" w:rsidR="009D7677" w:rsidRDefault="009D7677" w:rsidP="009D7677">
      <w:pPr>
        <w:pStyle w:val="TextoNormal"/>
      </w:pPr>
    </w:p>
    <w:p w14:paraId="4EDA2BAE" w14:textId="77777777" w:rsidR="009D7677" w:rsidRDefault="009D7677" w:rsidP="009D7677">
      <w:pPr>
        <w:pStyle w:val="TextoNormal"/>
      </w:pPr>
      <w:r>
        <w:t>El decreto disponía autorizar a tres agentes encubiertos desde el 22 de enero al 22 de febrero de 2019, cuyas identidades verdaderas se consignaron en sobre cerrado, firmado y sellado por dicha fiscalía, en el que constaba rotulados los códigos de “Cenia”, “Piloña” y “Quipar”.</w:t>
      </w:r>
    </w:p>
    <w:p w14:paraId="5093B313" w14:textId="77777777" w:rsidR="009D7677" w:rsidRDefault="009D7677" w:rsidP="009D7677">
      <w:pPr>
        <w:pStyle w:val="TextoNormal"/>
      </w:pPr>
    </w:p>
    <w:p w14:paraId="477F9580" w14:textId="77777777" w:rsidR="009D7677" w:rsidRDefault="009D7677" w:rsidP="009D7677">
      <w:pPr>
        <w:pStyle w:val="TextoNormal"/>
      </w:pPr>
      <w:r>
        <w:t>Se les autorizó —para el caso de que fuera necesario para la investigación— “para adquirir y transportar los objetos, efectos e instrumentos del delito y diferir la incautación de los mismos, a los únicos efectos de introducirse en la organización, ganar su confianza y poder mantener contacto habitual con la misma”. Indicó que la “unidad actuante deberá informar con prontitud a esta fiscalía del resultado de su investigación; en el caso de que proceda a detener a personas identificadas o a cualquier otra como consecuencia de estas actuaciones, deberá ponerlos a disposición del juzgado correspondiente, a quien deberá informar de la autorización efectuada por esta fiscalía —entregando la copia del decreto que se le entrega—, a fin de poner fin a estas diligencias y remitir a dicho juzgado todo lo actuado en las mismas”.</w:t>
      </w:r>
    </w:p>
    <w:p w14:paraId="34C68F8A" w14:textId="77777777" w:rsidR="009D7677" w:rsidRDefault="009D7677" w:rsidP="009D7677">
      <w:pPr>
        <w:pStyle w:val="TextoNormal"/>
      </w:pPr>
    </w:p>
    <w:p w14:paraId="02CF2F85" w14:textId="77777777" w:rsidR="009D7677" w:rsidRDefault="009D7677" w:rsidP="009D7677">
      <w:pPr>
        <w:pStyle w:val="TextoNormal"/>
      </w:pPr>
      <w:r>
        <w:t>c) Mediante oficio registrado en la Fiscalía Especial Antidroga el 18 de febrero de 2019 se dio cuenta de las dos reuniones mantenidas el 24 de enero y el 12 de febrero por el agente encubierto Cenia y “Rafa”, que confirmaban la existencia de indicios de delito, la identidad de “Rafa”, los vehículos que utilizaba, su modo de vida, las precauciones que adoptaba en sus comunicaciones, los socios con que contaba para la operación de tráfico de drogas y su posición en la organización. Asimismo, se informaba de que tenía conocimiento de las incautaciones de cocaína producidas recientemente en el aeropuerto proce</w:t>
      </w:r>
      <w:r>
        <w:lastRenderedPageBreak/>
        <w:t>dentes de Bolivia. Al final de la comunicación solicitaban la prórroga de la habilitación de los agentes encubiertos hasta el 22 de marzo de 2019.</w:t>
      </w:r>
    </w:p>
    <w:p w14:paraId="096D1FDF" w14:textId="77777777" w:rsidR="009D7677" w:rsidRDefault="009D7677" w:rsidP="009D7677">
      <w:pPr>
        <w:pStyle w:val="TextoNormal"/>
      </w:pPr>
    </w:p>
    <w:p w14:paraId="5517BA37" w14:textId="77777777" w:rsidR="009D7677" w:rsidRDefault="009D7677" w:rsidP="009D7677">
      <w:pPr>
        <w:pStyle w:val="TextoNormal"/>
      </w:pPr>
      <w:r>
        <w:t>d) Con fundamento en el contenido de dicho oficio, por decreto de la Fiscalía Especial Antidroga de 19 de febrero de 2019 se autorizó la prórroga para la actuación de los agentes encubiertos en los términos indicados en el decreto inicial durante el periodo comprendido entre el 19 de febrero y el 19 de marzo de 2019.</w:t>
      </w:r>
    </w:p>
    <w:p w14:paraId="2CEAD232" w14:textId="77777777" w:rsidR="009D7677" w:rsidRDefault="009D7677" w:rsidP="009D7677">
      <w:pPr>
        <w:pStyle w:val="TextoNormal"/>
      </w:pPr>
    </w:p>
    <w:p w14:paraId="463C68EB" w14:textId="77777777" w:rsidR="009D7677" w:rsidRDefault="009D7677" w:rsidP="009D7677">
      <w:pPr>
        <w:pStyle w:val="TextoNormal"/>
      </w:pPr>
      <w:r>
        <w:t>e) El 18 de marzo de 2019 se registró en la Fiscalía Especial Antidroga, oficio del grupo XVIII en el que daba cuenta de las reuniones mantenidas los días 26 y 28 de febrero y 12, 13 y 15 de marzo, en las que se concretaban las circunstancias del envío de cocaína desde Bolivia. Tras ello se solicitaba autorización de dos agentes encubiertos “Ebro” y “Duero” y la prórroga de la habilitación de los agentes “Cenia” y “Quipar”, pero no de “Piloña”.</w:t>
      </w:r>
    </w:p>
    <w:p w14:paraId="74A879E4" w14:textId="77777777" w:rsidR="009D7677" w:rsidRDefault="009D7677" w:rsidP="009D7677">
      <w:pPr>
        <w:pStyle w:val="TextoNormal"/>
      </w:pPr>
    </w:p>
    <w:p w14:paraId="4277E094" w14:textId="77777777" w:rsidR="009D7677" w:rsidRDefault="009D7677" w:rsidP="009D7677">
      <w:pPr>
        <w:pStyle w:val="TextoNormal"/>
      </w:pPr>
      <w:r>
        <w:t>f) Por decreto del fiscal jefe de la Fiscalía Especial Antidroga de 19 de marzo de 2019, con fundamento en el contenido del oficio remitido se accedió a la habilitación y a la prórroga interesada, en los términos del decreto inicial, durante el periodo comprendido entre el 19 de marzo y el 19 de abril de 2019.</w:t>
      </w:r>
    </w:p>
    <w:p w14:paraId="78F68788" w14:textId="77777777" w:rsidR="009D7677" w:rsidRDefault="009D7677" w:rsidP="009D7677">
      <w:pPr>
        <w:pStyle w:val="TextoNormal"/>
      </w:pPr>
    </w:p>
    <w:p w14:paraId="2AD552D1" w14:textId="77777777" w:rsidR="009D7677" w:rsidRDefault="009D7677" w:rsidP="009D7677">
      <w:pPr>
        <w:pStyle w:val="TextoNormal"/>
      </w:pPr>
      <w:r>
        <w:t>g) Por otro decreto de 2 de abril de 2019 se remitieron las diligencias a la Fiscalía Provincial de Madrid al no quedar determinado que los hechos pudieran ser competencia de la Audiencia Nacional. Se indicaba “[q]ue de lo actuado en las presentes diligencias, no se ha determinado que los hechos puestos de manifiesto sean competencia de la Audiencia Nacional, poniéndose de manifiesto la posible participación de los denunciados en actividades relacionadas con el tráfico ilegal de drogas que pudieran tener [lugar] en el territorio correspondiente a la Fiscalía Provincial de Madrid, no siendo por tanto competente esta fiscalía para la investigación de los mismos, correspondiendo en su caso a la Audiencia Provincial de Madrid, por lo que procede la remisión de las mismas a la Fiscalía Delegada Antidroga de la Fiscalía Provincial de Madrid”.</w:t>
      </w:r>
    </w:p>
    <w:p w14:paraId="52DC11B0" w14:textId="77777777" w:rsidR="009D7677" w:rsidRDefault="009D7677" w:rsidP="009D7677">
      <w:pPr>
        <w:pStyle w:val="TextoNormal"/>
      </w:pPr>
    </w:p>
    <w:p w14:paraId="7CA5DAF0" w14:textId="77777777" w:rsidR="009D7677" w:rsidRDefault="009D7677" w:rsidP="009D7677">
      <w:pPr>
        <w:pStyle w:val="TextoNormal"/>
      </w:pPr>
      <w:r>
        <w:t>h) El 4 de abril de 2019, la Fiscalía de la Audiencia Provincial de Madrid acordó la judicialización de la investigación mediante la remisión de las diligencias de investigación practicadas junto con la denuncia del Ministerio Fiscal al Juzgado Decano de Madrid.</w:t>
      </w:r>
    </w:p>
    <w:p w14:paraId="3563A264" w14:textId="77777777" w:rsidR="009D7677" w:rsidRDefault="009D7677" w:rsidP="009D7677">
      <w:pPr>
        <w:pStyle w:val="TextoNormal"/>
      </w:pPr>
    </w:p>
    <w:p w14:paraId="79530EBF" w14:textId="77777777" w:rsidR="009D7677" w:rsidRDefault="009D7677" w:rsidP="009D7677">
      <w:pPr>
        <w:pStyle w:val="TextoNormal"/>
      </w:pPr>
      <w:r>
        <w:t>i) Una vez repartida al Juzgado de Instrucción núm. 38 de Madrid, este órgano judicial registró las diligencias previas núm. 861-2019 y por auto de 11 de abril de 2019 acordó disponer una nueva habilitación a los cuatro agentes encubiertos. El mismo Juzgado de Instrucción, mediante auto de fecha 26 de abril de 2019, dejó sin efecto la habilitación de los agentes “Ebro” y “Duero” y procedió a habilitar en su lugar a otros dos: “Sella” y “Jarama”. Y posteriormente por auto de fecha 8 de mayo de 2019 prorrogó la habilitación de los agentes encubiertos hasta el día 12 de junio de 2019 y, finalmente, por otro auto de 6 de junio de 2019 amplió la prórroga hasta el día 12 de julio de 2019.</w:t>
      </w:r>
    </w:p>
    <w:p w14:paraId="2D81E6EE" w14:textId="77777777" w:rsidR="009D7677" w:rsidRDefault="009D7677" w:rsidP="009D7677">
      <w:pPr>
        <w:pStyle w:val="TextoNormal"/>
      </w:pPr>
    </w:p>
    <w:p w14:paraId="7A73262B" w14:textId="77777777" w:rsidR="009D7677" w:rsidRDefault="009D7677" w:rsidP="009D7677">
      <w:pPr>
        <w:pStyle w:val="TextoNormal"/>
      </w:pPr>
      <w:r>
        <w:t>j) Por sentencia de la Sección Séptima de la Audiencia Provincial de Madrid, en el procedimiento abreviado núm. 420-2020, de 17 de julio de 2020, don Alirio Ramón León Viloria fue condenado como autor de un delito contra la salud pública en su modalidad de tráfico de drogas que causan grave daño a la salud en cantidad de notoria importancia pre</w:t>
      </w:r>
      <w:r>
        <w:lastRenderedPageBreak/>
        <w:t>visto y penado en los arts. 368 y 369.1.5 del Código penal (CP), a las penas de ocho años de prisión, con inhabilitación especial para el ejercicio del derecho de sufragio pasivo durante el tiempo de la condena y multa de 1 593 054,51 €.</w:t>
      </w:r>
    </w:p>
    <w:p w14:paraId="56B5852C" w14:textId="77777777" w:rsidR="009D7677" w:rsidRDefault="009D7677" w:rsidP="009D7677">
      <w:pPr>
        <w:pStyle w:val="TextoNormal"/>
      </w:pPr>
    </w:p>
    <w:p w14:paraId="28C132EB" w14:textId="77777777" w:rsidR="009D7677" w:rsidRDefault="009D7677" w:rsidP="009D7677">
      <w:pPr>
        <w:pStyle w:val="TextoNormal"/>
      </w:pPr>
      <w:r>
        <w:t>En los hechos probados de la sentencia se indica:</w:t>
      </w:r>
    </w:p>
    <w:p w14:paraId="0B0D966D" w14:textId="77777777" w:rsidR="009D7677" w:rsidRDefault="009D7677" w:rsidP="009D7677">
      <w:pPr>
        <w:pStyle w:val="TextoNormal"/>
      </w:pPr>
    </w:p>
    <w:p w14:paraId="4AF2CC88" w14:textId="77777777" w:rsidR="009D7677" w:rsidRDefault="009D7677" w:rsidP="009D7677">
      <w:pPr>
        <w:pStyle w:val="TextoNormal"/>
      </w:pPr>
      <w:r>
        <w:t>“Único. Probado y así se declara expresamente que en el mes de enero de 2019 el grupo XVIII de la Brigada Provincial de Policía Judicial de Madrid, Unidad de Drogas y Crimen Organizado (UDYCO) tuvo noticias de la existencia de un grupo de personas que se dedicaban a la introducción de grandes cantidades de cocaína a través del aeropuerto Adolfo Suárez Madrid-Barajas, y tras la práctica de gestiones por los referidos agentes se identificó a quien era conocido como Rafael Lamus Araujo apodado ‘Rafa’ y cuyo nombre verdadero es Alirio Ramón León Viloria, de nacionalidad venezolana, mayor de edad y sin antecedentes penales, el cual se encargaba de organizar el traslado de la droga a España de esta manera y proceder a su distribución por el territorio nacional.</w:t>
      </w:r>
    </w:p>
    <w:p w14:paraId="31096A7E" w14:textId="77777777" w:rsidR="009D7677" w:rsidRDefault="009D7677" w:rsidP="009D7677">
      <w:pPr>
        <w:pStyle w:val="TextoNormal"/>
      </w:pPr>
    </w:p>
    <w:p w14:paraId="4CB3ADF4" w14:textId="77777777" w:rsidR="009D7677" w:rsidRDefault="009D7677" w:rsidP="009D7677">
      <w:pPr>
        <w:pStyle w:val="TextoNormal"/>
      </w:pPr>
      <w:r>
        <w:t>En el transcurso de las investigaciones realizadas por el referido grupo policial para constatar la realidad de tal información el policía que luego fue autorizado a actuar bajo la identificación de agente encubierto ‘Cenia’ mantuvo conversaciones con Alirio Ramón León Viloria en las que este le manifestaba las actividades de tráfico de drogas a las que venía dedicándose trayendo cocaína a través del aeropuerto de Madrid-Barajas por distintos medios y su voluntad de introducir en España unos cincuenta kilogramos de cocaína procedentes de Venezuela y de otros países de Sudamérica.</w:t>
      </w:r>
    </w:p>
    <w:p w14:paraId="433BE722" w14:textId="77777777" w:rsidR="009D7677" w:rsidRDefault="009D7677" w:rsidP="009D7677">
      <w:pPr>
        <w:pStyle w:val="TextoNormal"/>
      </w:pPr>
    </w:p>
    <w:p w14:paraId="41DDB011" w14:textId="77777777" w:rsidR="009D7677" w:rsidRDefault="009D7677" w:rsidP="009D7677">
      <w:pPr>
        <w:pStyle w:val="TextoNormal"/>
      </w:pPr>
      <w:r>
        <w:t>A la vista de lo anterior, el grupo XVIII de la Brigada Provincial de Policía Judicial de Madrid, Unidad de Drogas y Crimen Organizado (UDYCO) solicitó a la Fiscalía Especial Antidroga de la Audiencia Nacional autorización para el nombramiento de tres agentes encubiertos lo que se concedió en decreto del fiscal jefe de dicha fiscalía de 22 de enero de 2019, dictado en las diligencias de investigación 3-2019 que se incoaron al efecto, y en el que se autorizaba la actuación de tres agentes encubiertos que actuarían con las identificaciones de ‘Cenia’, ‘Piloña y Quipar’. Dicha autorización fue prorrogada por decreto de 19 de febrero de 2019 y posteriormente para los agentes ‘Cenia’ y ‘Quipar’ por decreto de 19 de marzo de 2019 en el que además se dejaba sin efecto la autorización para el agente con código ‘Piloña’ y se autorizaba la actuación de dos nuevos agentes encubiertos que actuarían con las identificaciones de ‘Ebro’ y ‘Duero’.</w:t>
      </w:r>
    </w:p>
    <w:p w14:paraId="69757862" w14:textId="77777777" w:rsidR="009D7677" w:rsidRDefault="009D7677" w:rsidP="009D7677">
      <w:pPr>
        <w:pStyle w:val="TextoNormal"/>
      </w:pPr>
    </w:p>
    <w:p w14:paraId="32C3AFC0" w14:textId="77777777" w:rsidR="009D7677" w:rsidRDefault="009D7677" w:rsidP="009D7677">
      <w:pPr>
        <w:pStyle w:val="TextoNormal"/>
      </w:pPr>
      <w:r>
        <w:t>En virtud de las autorizaciones otorgadas por la Fiscalía, ratificadas posteriormente por auto de 11 de abril de 2019 del Juzgado de Instrucción núm. 38 de Madrid, el agente encubierto ‘Cenia’ mantuvo diferentes reuniones con Alirio Ramón León Viloria desde el mes de enero de 2019, en las cuales este le transmitía al agente las gestiones que realizaba para traer a España grandes cantidades de cocaína que el agente supuestamente le ayudaría a pasar a través del aeropuerto.</w:t>
      </w:r>
    </w:p>
    <w:p w14:paraId="0860C2D0" w14:textId="77777777" w:rsidR="009D7677" w:rsidRDefault="009D7677" w:rsidP="009D7677">
      <w:pPr>
        <w:pStyle w:val="TextoNormal"/>
      </w:pPr>
    </w:p>
    <w:p w14:paraId="3B26D7DC" w14:textId="77777777" w:rsidR="009D7677" w:rsidRDefault="009D7677" w:rsidP="009D7677">
      <w:pPr>
        <w:pStyle w:val="TextoNormal"/>
      </w:pPr>
      <w:r>
        <w:t xml:space="preserve">Tras varias operaciones frustradas, el 30 de junio de 2019 se introdujo en el avión que realizaba el vuelo IB 6674 de la compañía Iberia entre Caracas y Madrid un contenedor con numeración AKE 15464BA en cuyo interior había tres paquetes de cocaína con un peso total aproximado de cincuenta kilogramos, avisando de ello Alirio Ramón León Viloria al agente encubierto ‘Cenia’. Una vez el avión llegó al aeropuerto de Madrid-Barajas y </w:t>
      </w:r>
      <w:r>
        <w:lastRenderedPageBreak/>
        <w:t>en virtud de la intervención y entrega controlada de la mercancía autorizada por auto del Juzgado de Instrucción núm. 14 de Madrid, de 30 de junio de 2019, se recogieron del contenedor los tres paquetes procediéndose a su apertura en sede judicial comprobándose que en su interior había tres mochilas que contenían un total de cuarenta y ocho paquetes con cocaína con un peso neto total de 47 546,77 gramos y una riqueza media entre el 73,2 y el 80 por 100. La referida droga habría alcanzado en el mercado ilícito de dicha sustancia un valor de 1 593 054,51 € en el supuesto de su venta al por mayor.</w:t>
      </w:r>
    </w:p>
    <w:p w14:paraId="4D59DA2B" w14:textId="77777777" w:rsidR="009D7677" w:rsidRDefault="009D7677" w:rsidP="009D7677">
      <w:pPr>
        <w:pStyle w:val="TextoNormal"/>
      </w:pPr>
    </w:p>
    <w:p w14:paraId="4E1F9FC1" w14:textId="77777777" w:rsidR="009D7677" w:rsidRDefault="009D7677" w:rsidP="009D7677">
      <w:pPr>
        <w:pStyle w:val="TextoNormal"/>
      </w:pPr>
      <w:r>
        <w:t>En el mismo acto ante el Juzgado de Instrucción se sustituyó la cocaína intervenida por otra inocua y se procedió, conforme a lo autorizado, a su entrega vigilada a Alirio Ramón León Viloria el día 1 de julio de 2019 a las 12:40 horas en el aparcamiento del Coliseo Alfonso Pérez de Getafe en donde, haciéndose pasar por colaboradores del agente ‘Cenia’, se encontraban los agentes ‘Ebro’ y ‘Duero’.</w:t>
      </w:r>
    </w:p>
    <w:p w14:paraId="7B741A16" w14:textId="77777777" w:rsidR="009D7677" w:rsidRDefault="009D7677" w:rsidP="009D7677">
      <w:pPr>
        <w:pStyle w:val="TextoNormal"/>
      </w:pPr>
    </w:p>
    <w:p w14:paraId="29FA86C1" w14:textId="77777777" w:rsidR="009D7677" w:rsidRDefault="009D7677" w:rsidP="009D7677">
      <w:pPr>
        <w:pStyle w:val="TextoNormal"/>
      </w:pPr>
      <w:r>
        <w:t>Alirio Ramón León Viloria llegó a dicho lugar conduciendo un vehículo Nissan Almera matrícula VI-6276-Y en el que le acompañaba Epifanio Arias Paulino, el cual, tras bajarse de dicho automóvil Alirio Ramón abandonó el lugar conduciendo él mismo, sin que resulte acreditada la participación de Epifanio Arias Paulino en la operación de tráfico de cocaína ni que él mismo supiera cuál era la razón por la que Alirio Ramón acudía a dicho aparcamiento.</w:t>
      </w:r>
    </w:p>
    <w:p w14:paraId="11936570" w14:textId="77777777" w:rsidR="009D7677" w:rsidRDefault="009D7677" w:rsidP="009D7677">
      <w:pPr>
        <w:pStyle w:val="TextoNormal"/>
      </w:pPr>
    </w:p>
    <w:p w14:paraId="70925516" w14:textId="77777777" w:rsidR="009D7677" w:rsidRDefault="009D7677" w:rsidP="009D7677">
      <w:pPr>
        <w:pStyle w:val="TextoNormal"/>
      </w:pPr>
      <w:r>
        <w:t>Alirio Ramón León Viloria contactó con el agente encubierto ‘Duero’ que le esperaba en el aparcamiento y quien le indicó el lugar en el que se encontraba el agente ‘Ebro’ con el vehículo BMW matrícula 1227 GJS, que habitualmente utilizaba Alirio Ramón León Viloria y en el que se había introducido la sustancia inocua que sustituía a la cocaína transportada desde Venezuela. El agente encubierto ‘Ebro’ entregó a Alirio Ramón León Viloria las llaves del vehículo, disponiéndose Alirio Ramón a abandonar el lugar con el referido automóvil en cuyo interior él mismo pensaba que se encontraba la cocaína intervenida, con la intención de proceder a su ilícita distribución a terceras personas, siendo detenido inmediatamente.</w:t>
      </w:r>
    </w:p>
    <w:p w14:paraId="2FE84031" w14:textId="77777777" w:rsidR="009D7677" w:rsidRDefault="009D7677" w:rsidP="009D7677">
      <w:pPr>
        <w:pStyle w:val="TextoNormal"/>
      </w:pPr>
    </w:p>
    <w:p w14:paraId="0A7A3061" w14:textId="77777777" w:rsidR="009D7677" w:rsidRDefault="009D7677" w:rsidP="009D7677">
      <w:pPr>
        <w:pStyle w:val="TextoNormal"/>
      </w:pPr>
      <w:r>
        <w:t xml:space="preserve">En virtud de lo acordado por el Juzgado de Instrucción núm. 38 de Madrid en auto de 1 de julio de 2019 se efectuó diligencia de entrada y registro en el domicilio de Alirio Ramón León Viloria sito en la localidad de Seseña, siendo intervenidos cuatro ordenadores, una </w:t>
      </w:r>
      <w:r w:rsidRPr="009D7677">
        <w:rPr>
          <w:i/>
        </w:rPr>
        <w:t>tablet</w:t>
      </w:r>
      <w:r>
        <w:t>, 1 950 € en metálico, una cámara fotográfica, tres discos duros, doce tarjetas SIM de diversas compañías telefónicas, varios teléfonos móviles y cinco llaves de vehículos”.</w:t>
      </w:r>
    </w:p>
    <w:p w14:paraId="3CE4CAB5" w14:textId="77777777" w:rsidR="009D7677" w:rsidRDefault="009D7677" w:rsidP="009D7677">
      <w:pPr>
        <w:pStyle w:val="TextoNormal"/>
      </w:pPr>
    </w:p>
    <w:p w14:paraId="45BBE564" w14:textId="77777777" w:rsidR="009D7677" w:rsidRDefault="009D7677" w:rsidP="009D7677">
      <w:pPr>
        <w:pStyle w:val="TextoNormal"/>
      </w:pPr>
      <w:r>
        <w:t xml:space="preserve">k) El 31 de julio de 2020 la representación procesal de don Alirio Ramón León Viloria interpuso recurso de apelación contra la referida sentencia condenatoria en el que se expusieron tres motivos: (i) nulidad de la habilitación de agente encubierto, por incumplimiento de lo dispuesto en el apartado 1 del art. 282 </w:t>
      </w:r>
      <w:r w:rsidRPr="009D7677">
        <w:rPr>
          <w:i/>
        </w:rPr>
        <w:t>bis</w:t>
      </w:r>
      <w:r>
        <w:t xml:space="preserve"> LECrim, con sustento en tres argumentos: falta de competencia de la Fiscalía Especial Antidroga para autorizar la actuación del agente encubierto; falta de necesidad y de proporcionalidad de la medida y falta de motivación del decreto habilitante de la actuación del agente encubierto; y, falta de control judicial de la medida de investigación de agente encubierto; (ii) concurrencia de las figuras del agente provocador y del delito provocado; (iii) subsidiariamente, vulneración del derecho a la tutela judicial efectiva (art. 24.1 CE) en su vertiente del derecho a obtener una </w:t>
      </w:r>
      <w:r>
        <w:lastRenderedPageBreak/>
        <w:t>resolución debidamente motivada en derecho, por insuficiencia de motivación en la individualización de las penas impuestas; y (iv) improcedencia del decomiso del dinero y efectos intervenidos, por no existir una motivación específica, como exigen los artículos 127 y 374 CP.</w:t>
      </w:r>
    </w:p>
    <w:p w14:paraId="6BA835FA" w14:textId="77777777" w:rsidR="009D7677" w:rsidRDefault="009D7677" w:rsidP="009D7677">
      <w:pPr>
        <w:pStyle w:val="TextoNormal"/>
      </w:pPr>
    </w:p>
    <w:p w14:paraId="67597F0B" w14:textId="77777777" w:rsidR="009D7677" w:rsidRDefault="009D7677" w:rsidP="009D7677">
      <w:pPr>
        <w:pStyle w:val="TextoNormal"/>
      </w:pPr>
      <w:r>
        <w:t>l) Por sentencia de la Sala de lo Civil y Penal del Tribunal Superior de Justicia de Madrid, núm. 335/2020, de 25 de noviembre, se desestimó el recurso interpuesto y se confirmó la sentencia de la Sección Séptima de la Audiencia Provincial de Madrid.</w:t>
      </w:r>
    </w:p>
    <w:p w14:paraId="128318B0" w14:textId="77777777" w:rsidR="009D7677" w:rsidRDefault="009D7677" w:rsidP="009D7677">
      <w:pPr>
        <w:pStyle w:val="TextoNormal"/>
      </w:pPr>
    </w:p>
    <w:p w14:paraId="3B18B54A" w14:textId="77777777" w:rsidR="009D7677" w:rsidRDefault="009D7677" w:rsidP="009D7677">
      <w:pPr>
        <w:pStyle w:val="TextoNormal"/>
      </w:pPr>
      <w:r>
        <w:t>La sentencia descarta la queja sobre la falta de competencia de la Fiscalía Especial Antidroga de la Audiencia Nacional atendido el principio de unidad de actuación del Ministerio Fiscal y la posibilidad de las fiscalías especializadas de actuar en ámbitos distintos a aquellos para los que fueron creadas (arts. 2 y 18 EOMF). A lo que añade que el art. 19.3 b) EOMF no especifica, en relación con la investigación de los procedimientos relativos al tráfico de drogas, estupefacientes y sustancias psicotrópicas, que la Fiscalía Especial Antidroga de la Audiencia Nacional solo pueda actuar cuando dichos delitos sean competencia de la Audiencia Nacional y toma en consideración la función de superior coordinación entre fiscalías que le corresponde en orden a la prevención y represión del tráfico ilegal de drogas. Finalmente sostiene que aun en el caso de que se hubiera producido una habilitación sin competencia se trataría de una irregularidad procesal.</w:t>
      </w:r>
    </w:p>
    <w:p w14:paraId="2C1DBEF0" w14:textId="77777777" w:rsidR="009D7677" w:rsidRDefault="009D7677" w:rsidP="009D7677">
      <w:pPr>
        <w:pStyle w:val="TextoNormal"/>
      </w:pPr>
    </w:p>
    <w:p w14:paraId="16E26B88" w14:textId="77777777" w:rsidR="009D7677" w:rsidRDefault="009D7677" w:rsidP="009D7677">
      <w:pPr>
        <w:pStyle w:val="TextoNormal"/>
      </w:pPr>
      <w:r>
        <w:t>Considera que los detalles concretos y precisos obtenidos en una conversación por uno de los agentes que realizaba labores de prevención y captación de información, relatados en el oficio remitido a la Fiscalía eran suficientes para inferir la participación en una importante actividad de tráfico de drogas que era preciso investigar.</w:t>
      </w:r>
    </w:p>
    <w:p w14:paraId="5773D9CE" w14:textId="77777777" w:rsidR="009D7677" w:rsidRDefault="009D7677" w:rsidP="009D7677">
      <w:pPr>
        <w:pStyle w:val="TextoNormal"/>
      </w:pPr>
    </w:p>
    <w:p w14:paraId="7D754045" w14:textId="77777777" w:rsidR="009D7677" w:rsidRDefault="009D7677" w:rsidP="009D7677">
      <w:pPr>
        <w:pStyle w:val="TextoNormal"/>
      </w:pPr>
      <w:r>
        <w:t>El control judicial derivado de la exigencia de dar cuenta inmediatamente se vincula al momento en que existen indicios suficientes de la comisión del delito como para iniciar un procedimiento penal. Y en el presente caso no se sustrajo a la autoridad judicial el conocimiento de la investigación desde el momento en que se apreciaron tales indicios. La ausencia de aportación de mensajes telefónicos resulta de la aplicación utilizada por indicación del acusado que tenía un tiempo de borrado de veinticuatro horas. De modo que se cumplió la exigencia del art. 28</w:t>
      </w:r>
      <w:r w:rsidRPr="009D7677">
        <w:rPr>
          <w:i/>
        </w:rPr>
        <w:t>2 b</w:t>
      </w:r>
      <w:r>
        <w:t>is.1 LECrim.</w:t>
      </w:r>
    </w:p>
    <w:p w14:paraId="3B7D3BCC" w14:textId="77777777" w:rsidR="009D7677" w:rsidRDefault="009D7677" w:rsidP="009D7677">
      <w:pPr>
        <w:pStyle w:val="TextoNormal"/>
      </w:pPr>
    </w:p>
    <w:p w14:paraId="046C0A1D" w14:textId="77777777" w:rsidR="009D7677" w:rsidRDefault="009D7677" w:rsidP="009D7677">
      <w:pPr>
        <w:pStyle w:val="TextoNormal"/>
      </w:pPr>
      <w:r>
        <w:t>m) Frente a dicha sentencia la representación procesal del recurrente en amparo interpuso recurso de casación que se basó en los siguientes motivos:</w:t>
      </w:r>
    </w:p>
    <w:p w14:paraId="2BA6AA78" w14:textId="77777777" w:rsidR="009D7677" w:rsidRDefault="009D7677" w:rsidP="009D7677">
      <w:pPr>
        <w:pStyle w:val="TextoNormal"/>
      </w:pPr>
    </w:p>
    <w:p w14:paraId="13F80A01" w14:textId="77777777" w:rsidR="009D7677" w:rsidRDefault="009D7677" w:rsidP="009D7677">
      <w:pPr>
        <w:pStyle w:val="TextoNormal"/>
      </w:pPr>
      <w:r>
        <w:t xml:space="preserve">(i) Infracción de ley del art. 849.1 LECrim, por indebida aplicación del artículo 368 CP puesto en relación con la indebida aplicación del artículo 282 </w:t>
      </w:r>
      <w:r w:rsidRPr="009D7677">
        <w:rPr>
          <w:i/>
        </w:rPr>
        <w:t>bis</w:t>
      </w:r>
      <w:r>
        <w:t xml:space="preserve"> LECrim, puestos ambos a su vez en relación con los arts. 9.3 CE (en cuanto a los principios de seguridad jurídica, de legalidad y de interdicción de la arbitrariedad de los poderes públicos) y 18.1 CE (derecho fundamental a la intimidad). Indica que “no puede considerarse que concurran los elementos de este tipo penal, al estar viciada de nulidad la actuación del agente encubierto, por vulneración del derecho fundamental a la intimidad personal y familiar de mi patrocinado, así como la prueba derivada de tal actuación, siendo la misma la única fuente probatoria que sirve de base para justificar la condena de Alirio”. Se añade:</w:t>
      </w:r>
    </w:p>
    <w:p w14:paraId="1A5AD6D7" w14:textId="77777777" w:rsidR="009D7677" w:rsidRDefault="009D7677" w:rsidP="009D7677">
      <w:pPr>
        <w:pStyle w:val="TextoNormal"/>
      </w:pPr>
    </w:p>
    <w:p w14:paraId="033D88C4" w14:textId="77777777" w:rsidR="009D7677" w:rsidRDefault="009D7677" w:rsidP="009D7677">
      <w:pPr>
        <w:pStyle w:val="TextoNormal"/>
      </w:pPr>
      <w:r>
        <w:lastRenderedPageBreak/>
        <w:t>“La vulneración del derecho a la intimidad aducida se fundamenta en la indebida actuación del agente encubierto y la incorrecta aplicación de los requisitos exigidos en el art. 28</w:t>
      </w:r>
      <w:r w:rsidRPr="009D7677">
        <w:rPr>
          <w:i/>
        </w:rPr>
        <w:t>2 b</w:t>
      </w:r>
      <w:r>
        <w:t>is LECrim, para la habilitación y actuación del mismo, en concreto:</w:t>
      </w:r>
    </w:p>
    <w:p w14:paraId="266C1290" w14:textId="77777777" w:rsidR="009D7677" w:rsidRDefault="009D7677" w:rsidP="009D7677">
      <w:pPr>
        <w:pStyle w:val="TextoNormal"/>
      </w:pPr>
    </w:p>
    <w:p w14:paraId="729CFDE7" w14:textId="77777777" w:rsidR="009D7677" w:rsidRDefault="009D7677" w:rsidP="009D7677">
      <w:pPr>
        <w:pStyle w:val="TextoNormal"/>
      </w:pPr>
      <w:r>
        <w:t>a) La falta de competencia de la Fiscalía Especial Antidroga para autorizar la actuación de agente encubierto.</w:t>
      </w:r>
    </w:p>
    <w:p w14:paraId="2FD5905D" w14:textId="77777777" w:rsidR="009D7677" w:rsidRDefault="009D7677" w:rsidP="009D7677">
      <w:pPr>
        <w:pStyle w:val="TextoNormal"/>
      </w:pPr>
    </w:p>
    <w:p w14:paraId="45C71289" w14:textId="77777777" w:rsidR="009D7677" w:rsidRDefault="009D7677" w:rsidP="009D7677">
      <w:pPr>
        <w:pStyle w:val="TextoNormal"/>
      </w:pPr>
      <w:r>
        <w:t>b) La falta de proporcionalidad y necesidad de la medida y de motivación del decreto habilitante de actuación del agente encubierto.</w:t>
      </w:r>
    </w:p>
    <w:p w14:paraId="1CE7F2D3" w14:textId="77777777" w:rsidR="009D7677" w:rsidRDefault="009D7677" w:rsidP="009D7677">
      <w:pPr>
        <w:pStyle w:val="TextoNormal"/>
      </w:pPr>
    </w:p>
    <w:p w14:paraId="0FC7B101" w14:textId="77777777" w:rsidR="009D7677" w:rsidRDefault="009D7677" w:rsidP="009D7677">
      <w:pPr>
        <w:pStyle w:val="TextoNormal"/>
      </w:pPr>
      <w:r>
        <w:t>c) La falta de control judicial de la medida de investigación del agente encubierto”.</w:t>
      </w:r>
    </w:p>
    <w:p w14:paraId="3988D090" w14:textId="77777777" w:rsidR="009D7677" w:rsidRDefault="009D7677" w:rsidP="009D7677">
      <w:pPr>
        <w:pStyle w:val="TextoNormal"/>
      </w:pPr>
    </w:p>
    <w:p w14:paraId="1C9CBCE8" w14:textId="77777777" w:rsidR="009D7677" w:rsidRDefault="009D7677" w:rsidP="009D7677">
      <w:pPr>
        <w:pStyle w:val="TextoNormal"/>
      </w:pPr>
      <w:r>
        <w:t>(ii) Quebrantamiento de forma del art. 851.3 LECrim, al no haberse resuelto en sentencia sobre todos los puntos objeto de defensa, expuestos tanto en el acto del juicio oral como a través de los motivos de recurso de apelación.</w:t>
      </w:r>
    </w:p>
    <w:p w14:paraId="7D268A85" w14:textId="77777777" w:rsidR="009D7677" w:rsidRDefault="009D7677" w:rsidP="009D7677">
      <w:pPr>
        <w:pStyle w:val="TextoNormal"/>
      </w:pPr>
    </w:p>
    <w:p w14:paraId="0FED60B2" w14:textId="77777777" w:rsidR="009D7677" w:rsidRDefault="009D7677" w:rsidP="009D7677">
      <w:pPr>
        <w:pStyle w:val="TextoNormal"/>
      </w:pPr>
      <w:r>
        <w:t>(iii) Indebida aplicación del art. 368 CP puesto en relación con el art. 9.3 CE (en cuanto a los principios de seguridad jurídica, de legalidad y de interdicción de la arbitrariedad de los poderes públicos), por concurrir las figuras del delito provocado y del agente provocador.</w:t>
      </w:r>
    </w:p>
    <w:p w14:paraId="35335078" w14:textId="77777777" w:rsidR="009D7677" w:rsidRDefault="009D7677" w:rsidP="009D7677">
      <w:pPr>
        <w:pStyle w:val="TextoNormal"/>
      </w:pPr>
    </w:p>
    <w:p w14:paraId="14E32D50" w14:textId="77777777" w:rsidR="009D7677" w:rsidRDefault="009D7677" w:rsidP="009D7677">
      <w:pPr>
        <w:pStyle w:val="TextoNormal"/>
      </w:pPr>
      <w:r>
        <w:t>(iv) Indebida aplicación del art. 72 CP puesto en relación con los arts. 9.3 CE (en cuanto a los principios de seguridad jurídica y de legalidad) y 24.1 CE (derecho fundamental a la tutela judicial efectiva por falta de motivación de la individualización de la pena impuesta).</w:t>
      </w:r>
    </w:p>
    <w:p w14:paraId="5293B97B" w14:textId="77777777" w:rsidR="009D7677" w:rsidRDefault="009D7677" w:rsidP="009D7677">
      <w:pPr>
        <w:pStyle w:val="TextoNormal"/>
      </w:pPr>
    </w:p>
    <w:p w14:paraId="629A72F9" w14:textId="77777777" w:rsidR="009D7677" w:rsidRDefault="009D7677" w:rsidP="009D7677">
      <w:pPr>
        <w:pStyle w:val="TextoNormal"/>
      </w:pPr>
      <w:r>
        <w:t>(v) Infracción de ley del art. 849.1 LECrim por indebida aplicación de los arts. 127 y 374 CP puestos en relación con los art. 9.3 CE (en cuanto a los principios de legalidad y de seguridad jurídica) y 24 CE (derecho fundamental a la tutela judicial efectiva) por falta de motivación del decomiso.</w:t>
      </w:r>
    </w:p>
    <w:p w14:paraId="720B8A76" w14:textId="77777777" w:rsidR="009D7677" w:rsidRDefault="009D7677" w:rsidP="009D7677">
      <w:pPr>
        <w:pStyle w:val="TextoNormal"/>
      </w:pPr>
    </w:p>
    <w:p w14:paraId="22F46032" w14:textId="77777777" w:rsidR="009D7677" w:rsidRDefault="009D7677" w:rsidP="009D7677">
      <w:pPr>
        <w:pStyle w:val="TextoNormal"/>
      </w:pPr>
      <w:r>
        <w:t>n) Por sentencia de la Sala Segunda del Tribunal Supremo núm. 503/2021, de 10 de junio —dictada en el recurso de casación núm. 10048-2021— se dispuso no haber lugar al recurso de casación interpuesto por la representación procesal de don Alirio Ramón León Viloria.</w:t>
      </w:r>
    </w:p>
    <w:p w14:paraId="6E104BC8" w14:textId="77777777" w:rsidR="009D7677" w:rsidRDefault="009D7677" w:rsidP="009D7677">
      <w:pPr>
        <w:pStyle w:val="TextoNormal"/>
      </w:pPr>
    </w:p>
    <w:p w14:paraId="45CF24D9" w14:textId="0BCD517D" w:rsidR="009D7677" w:rsidRDefault="009D7677" w:rsidP="009D7677">
      <w:pPr>
        <w:pStyle w:val="TextoNormal"/>
      </w:pPr>
      <w:r>
        <w:t>En lo que se vincula con los motivos de amparo, la sentencia avala la desestimación del recurso apoyándose en los razonamientos de las sentencias dictadas. De este modo, reconoce la competencia de la Fiscalía atendida la naturaleza de la investigación. Sostiene que la judicialización de las diligencias no tiene que producirse tan pronto como existan indicios de delito, sino que tiene su límite en la necesidad de adoptar medidas que afecten a los derechos fundamentales. Así se hizo, indica, al judicializarse cuando existieron indicios suficientes de la comisión del delito y fue necesario solicitar autorización judicial de medidas limitadoras de derechos fundamentales como la intervención de las comunicaciones telefónicas o la instalación de dispositivos de geolocalización. Sostiene que la dación de cuenta es coetánea al momento en el que debió llevarse a cabo, dado el resultado de la investigación. Descarta que la intervención del agente encubierto haya supuesto una infracción o invasión del derecho a la intimidad.</w:t>
      </w:r>
    </w:p>
    <w:p w14:paraId="67068F9C" w14:textId="77777777" w:rsidR="009D7677" w:rsidRDefault="009D7677" w:rsidP="009D7677">
      <w:pPr>
        <w:pStyle w:val="TextoNormal"/>
      </w:pPr>
    </w:p>
    <w:p w14:paraId="41A49D33" w14:textId="77777777" w:rsidR="009D7677" w:rsidRDefault="009D7677" w:rsidP="009D7677">
      <w:pPr>
        <w:pStyle w:val="TextoNormal"/>
      </w:pPr>
      <w:r w:rsidRPr="009D7677">
        <w:rPr>
          <w:rStyle w:val="NumeroAFNegritaCaracter"/>
        </w:rPr>
        <w:t>3</w:t>
      </w:r>
      <w:r>
        <w:t>. En la demanda de amparo el recurrente interesa como único motivo que se declare vulnerado el derecho a un proceso con todas las garantías (art. 24.2 CE), a la intimidad (art. 18.1 CE) puestos en relación con el principio de legalidad (art. 9.3 CE) y con el derecho a la tutela judicial efectiva con causación de indefensión (art. 24.1 CE), este último por haber avalado el Tribunal Supremo la habilitación y actuación del agente encubierto.</w:t>
      </w:r>
    </w:p>
    <w:p w14:paraId="31C20ED0" w14:textId="77777777" w:rsidR="009D7677" w:rsidRDefault="009D7677" w:rsidP="009D7677">
      <w:pPr>
        <w:pStyle w:val="TextoNormal"/>
      </w:pPr>
    </w:p>
    <w:p w14:paraId="0B134F42" w14:textId="77777777" w:rsidR="009D7677" w:rsidRDefault="009D7677" w:rsidP="009D7677">
      <w:pPr>
        <w:pStyle w:val="TextoNormal"/>
      </w:pPr>
      <w:r>
        <w:t xml:space="preserve">Para el recurrente las vulneraciones de derechos se fundamentan en la indebida actuación del agente encubierto, avalada por los órganos judiciales, y en la inobservancia de los requisitos exigidos en el art. 282 </w:t>
      </w:r>
      <w:r w:rsidRPr="009D7677">
        <w:rPr>
          <w:i/>
        </w:rPr>
        <w:t>bis</w:t>
      </w:r>
      <w:r>
        <w:t xml:space="preserve"> LECrim para la habilitación y control de su actuación por los órganos judiciales. En concreto: a) la falta de competencia de la Fiscalía Especial Antidroga para autorizar la actuación del agente encubierto; b) la falta de proporcionalidad y necesidad de la medida y de motivación del decreto habilitante de la actuación del agente encubierto; y c) la falta de control judicial de la medida de investigación del agente encubierto.</w:t>
      </w:r>
    </w:p>
    <w:p w14:paraId="3141B56D" w14:textId="77777777" w:rsidR="009D7677" w:rsidRDefault="009D7677" w:rsidP="009D7677">
      <w:pPr>
        <w:pStyle w:val="TextoNormal"/>
      </w:pPr>
    </w:p>
    <w:p w14:paraId="212FBC68" w14:textId="77777777" w:rsidR="009D7677" w:rsidRDefault="009D7677" w:rsidP="009D7677">
      <w:pPr>
        <w:pStyle w:val="TextoNormal"/>
      </w:pPr>
      <w:r>
        <w:t>Con ello se ha vulnerado el derecho a la intimidad al no reunirse los requisitos legales para llevarse a cabo y al no haberse podido defender de las afirmaciones vertidas por el agente encubierto en el procedimiento de acuerdo con las cuales se ha justificado su condena, dado que por parte de aquel no se han aportado al procedimiento los elementos probatorios objetivos que legalmente le son requeridos, no pudiendo negarse de este modo la existencia de delito provocado, con la vulneración del derecho a un proceso con todas las garantías que ello conlleva. Considera que al no respetarse las exigencias o presupuestos legales para la autorización de dicho agente encubierto y al no haber dado cumplimiento este a sus obligaciones para con el órgano judicial, debía haberse descartado absolutamente toda la prueba en que se basa la condena sobre la base de la vulneración del derecho fundamental a la intimidad.</w:t>
      </w:r>
    </w:p>
    <w:p w14:paraId="392063A3" w14:textId="77777777" w:rsidR="009D7677" w:rsidRDefault="009D7677" w:rsidP="009D7677">
      <w:pPr>
        <w:pStyle w:val="TextoNormal"/>
      </w:pPr>
    </w:p>
    <w:p w14:paraId="264E1FFE" w14:textId="77777777" w:rsidR="009D7677" w:rsidRDefault="009D7677" w:rsidP="009D7677">
      <w:pPr>
        <w:pStyle w:val="TextoNormal"/>
      </w:pPr>
      <w:r>
        <w:t>En el caso de que se trata, a su juicio, es clara la vulneración del derecho a la intimidad del recurrente pues, además de la injerencia que por sí conlleva la habilitación del agente encubierto, consta que dicho agente accedió a la esfera más íntima del demandante, la familiar, compartiendo el ahora recurrente con dicho agente cuestiones que excedían de la investigación propiamente dicha, hasta el punto de que llegó a presentarle en persona a su pareja. En efecto, en diversas ocasiones el señor León Viloria acudió a sus reuniones con el agente encubierto acompañado de personas de su entorno familiar: en la reunión mantenida el 28 de febrero de 2019 apareció acompañado de su pareja sentimental (folio 269 de la pieza separada de agente encubierto), como sucedió también en la reunión del día 15 de marzo de 2019 (folio 270 de la pieza separada de agente encubierto), por lo que “se infiere que se efectuaron las oportunas presentaciones”. Es más, del tono de los mensajes cruzados por el agente encubierto con el señor León Viloria —extraído de las referencias efectuadas por el agente encubierto a esos mensajes, dado que se hurtó a la defensa el conocimiento de su contenido real— se infiere una relación que iba más allá de la cordialidad con la que don Alirio Ramón se refería al agente encubierto, al que dedicaba apelativos tales como “amigo” (comunicación de 31 de mayo de 2019, folio 306 de la pieza separada de agente encubierto), de lo que se infiere la existencia de una relación personal más allá de la meramente “profesional”.</w:t>
      </w:r>
    </w:p>
    <w:p w14:paraId="69FBE06F" w14:textId="77777777" w:rsidR="009D7677" w:rsidRDefault="009D7677" w:rsidP="009D7677">
      <w:pPr>
        <w:pStyle w:val="TextoNormal"/>
      </w:pPr>
    </w:p>
    <w:p w14:paraId="634930F3" w14:textId="77777777" w:rsidR="009D7677" w:rsidRDefault="009D7677" w:rsidP="009D7677">
      <w:pPr>
        <w:pStyle w:val="TextoNormal"/>
      </w:pPr>
      <w:r>
        <w:lastRenderedPageBreak/>
        <w:t>Afirma, que de los datos obrantes en el procedimiento penal se extrae que se había forjado una relación personal entre el recurrente y el agente encubierto, con clara afectación del derecho a la intimidad del primero, debido a que la actuación del agente encubierto se prolongó entre el 22 de enero y el 1 de julio de 2019, tiempo lo suficientemente prolongado como para pensar que existió necesariamente una injerencia en la intimidad del demandante. Y durante todo ese tiempo, en las veintiocho notas internas emitidas, no consta la introducción de sustancia estupefaciente, ni la acreditación de organización de ninguna clase, lo que evidencia lo prospectivo de la actuación autorizada del agente encubierto.</w:t>
      </w:r>
    </w:p>
    <w:p w14:paraId="1C796C18" w14:textId="77777777" w:rsidR="009D7677" w:rsidRDefault="009D7677" w:rsidP="009D7677">
      <w:pPr>
        <w:pStyle w:val="TextoNormal"/>
      </w:pPr>
    </w:p>
    <w:p w14:paraId="2AF2E37A" w14:textId="77777777" w:rsidR="009D7677" w:rsidRDefault="009D7677" w:rsidP="009D7677">
      <w:pPr>
        <w:pStyle w:val="TextoNormal"/>
      </w:pPr>
      <w:r>
        <w:t xml:space="preserve">A continuación, examina si la injerencia en el derecho a la intimidad fue legítima. Entiende que no se han observado los requisitos exigidos en el artículo 282 </w:t>
      </w:r>
      <w:r w:rsidRPr="009D7677">
        <w:rPr>
          <w:i/>
        </w:rPr>
        <w:t>bis</w:t>
      </w:r>
      <w:r>
        <w:t xml:space="preserve"> LECrim para la habilitación y control de la actuación del agente encubierto y, en concreto: a) en la falta de competencia de la Fiscalía Especial Antidroga para autorizar la actuación del agente encubierto; b) en la falta de necesidad y de proporcionalidad de la medida, así como en la falta de motivación del decreto habilitante de la actuación del agente encubierto; c) en la falta de control judicial de la medida de investigación del agente encubierto, por haber demorado la Fiscalía casi dos meses y medio la remisión al Juzgado de la información relativa a la habilitación del agente encubierto; y, finalmente d) indebida actuación del agente encubierto, por haberse encargado él mismo de seleccionar la información que tenía que aportar al órgano autorizante, en lugar de remitir esa información de forma íntegra, por mucho que su conducta haya sido avalada por los órganos judiciales que han conocido del asunto. Pasa a referirse al incumplimiento de tales requisitos del siguiente modo:</w:t>
      </w:r>
    </w:p>
    <w:p w14:paraId="7858527E" w14:textId="77777777" w:rsidR="009D7677" w:rsidRDefault="009D7677" w:rsidP="009D7677">
      <w:pPr>
        <w:pStyle w:val="TextoNormal"/>
      </w:pPr>
    </w:p>
    <w:p w14:paraId="73AF631D" w14:textId="77777777" w:rsidR="009D7677" w:rsidRDefault="009D7677" w:rsidP="009D7677">
      <w:pPr>
        <w:pStyle w:val="TextoNormal"/>
      </w:pPr>
      <w:r>
        <w:t>a) Entiende que se han manipulado de modo manifiesto las reglas de competencia por el grupo XVIII de la Brigada Provincial de Policía Judicial de Madrid, al atribuir la competencia a la Fiscalía Especial Antidroga fundándose, única y exclusivamente, en que la cantidad de droga que se enviaría (cincuenta kilogramos) necesariamente debería afectar al territorio de más de una Audiencia, lo cual es una afirmación “ridícula” y carente de lógica. Desconoce por qué no se dirigió el grupo XVIII directamente al órgano judicial, pero apunta a la menor exigencia de la Fiscalía sobre la presencia de indicios sólidos para la adopción de la medida de investigación limitativa de derechos. Refiere que la Fiscalía Especial Antidroga conocerá de las investigaciones relativas a delitos de tráfico de drogas que sean competencia de la Audiencia Nacional, por lo que el supuesto concreto debería incluir como características que el mismo sea perpetrado por organización criminal y que afecte al territorio no de una, sino de varias audiencias. Indica que el decreto de 2 de abril de 2019 confirma la ausencia de competencia de dicha fiscalía.</w:t>
      </w:r>
    </w:p>
    <w:p w14:paraId="322C4D94" w14:textId="77777777" w:rsidR="009D7677" w:rsidRDefault="009D7677" w:rsidP="009D7677">
      <w:pPr>
        <w:pStyle w:val="TextoNormal"/>
      </w:pPr>
    </w:p>
    <w:p w14:paraId="0E4EB05A" w14:textId="77777777" w:rsidR="009D7677" w:rsidRDefault="009D7677" w:rsidP="009D7677">
      <w:pPr>
        <w:pStyle w:val="TextoNormal"/>
      </w:pPr>
      <w:r>
        <w:t>b) Afirma que la autorización de agente encubierto no fue necesaria ni proporcional, al existir otras medidas de investigación menos lesivas para los derechos fundamentales del investigado que podían haberse adoptado y al no haberse llevado a cabo ni siquiera una medida de investigación previa a la autorización del agente encubierto. Las informaciones que sirvieron de base para el inicio de la investigación no se encontraban objetivadas en modo alguno, no fueron corroboradas y afectaron a la exigencia de motivación del decreto habilitante. Señala que el oficio policial parece obedecer a un modelo estereotipado para este tipo de solicitudes.</w:t>
      </w:r>
    </w:p>
    <w:p w14:paraId="7A9747D8" w14:textId="77777777" w:rsidR="009D7677" w:rsidRDefault="009D7677" w:rsidP="009D7677">
      <w:pPr>
        <w:pStyle w:val="TextoNormal"/>
      </w:pPr>
    </w:p>
    <w:p w14:paraId="42702052" w14:textId="77777777" w:rsidR="009D7677" w:rsidRDefault="009D7677" w:rsidP="009D7677">
      <w:pPr>
        <w:pStyle w:val="TextoNormal"/>
      </w:pPr>
      <w:r>
        <w:t xml:space="preserve">c) En relación con la falta de control judicial de la medida de investigación del agente encubierto, refiere que la medida supuso una injerencia en el derecho a la intimidad del </w:t>
      </w:r>
      <w:r>
        <w:lastRenderedPageBreak/>
        <w:t>recurrente y su falta de legitimidad se funda, también, en la falta de control judicial de la medida, bien por haber demorado la Fiscalía casi dos meses y medio la remisión al Juzgado de la información relativa a la habilitación del agente encubierto, bien por haberse encargado el agente encubierto de seleccionar por sí mismo la información que tenía que aportar al órgano autorizante en lugar de remitir esa información de forma íntegra.</w:t>
      </w:r>
    </w:p>
    <w:p w14:paraId="7F6CB14E" w14:textId="77777777" w:rsidR="009D7677" w:rsidRDefault="009D7677" w:rsidP="009D7677">
      <w:pPr>
        <w:pStyle w:val="TextoNormal"/>
      </w:pPr>
    </w:p>
    <w:p w14:paraId="62F5DCFA" w14:textId="77777777" w:rsidR="009D7677" w:rsidRDefault="009D7677" w:rsidP="009D7677">
      <w:pPr>
        <w:pStyle w:val="TextoNormal"/>
      </w:pPr>
      <w:r>
        <w:t xml:space="preserve">Argumenta que la utilización del agente encubierto, de por sí, ya produce una injerencia en el derecho a la intimidad del investigado y que tal injerencia va </w:t>
      </w:r>
      <w:r w:rsidRPr="009D7677">
        <w:rPr>
          <w:i/>
        </w:rPr>
        <w:t>in crescendo</w:t>
      </w:r>
      <w:r>
        <w:t xml:space="preserve"> en el desarrollo de la investigación, de ahí la exigencia del apartado 1 del artículo 282 </w:t>
      </w:r>
      <w:r w:rsidRPr="009D7677">
        <w:rPr>
          <w:i/>
        </w:rPr>
        <w:t>bis</w:t>
      </w:r>
      <w:r>
        <w:t xml:space="preserve"> LECrim de dar cuenta al órgano judicial de forma inmediata. Dicha exigencia no se cumplió por la Fiscalía por lo que se produjo así una injerencia en el derecho a la intimidad del recurrente en un grado notorio, durante dos meses y medio, sin que hubiera un órgano judicial que avalase la misma. De ahí extrae la nulidad de toda la actuación del agente encubierto, que afecta a todas las informaciones obtenidas por él mismo en base a tal habilitación. La tardía remisión al órgano judicial no convalida la inicial actuación irregular y no confiere licitud a la prueba.</w:t>
      </w:r>
    </w:p>
    <w:p w14:paraId="4EE84F62" w14:textId="77777777" w:rsidR="009D7677" w:rsidRDefault="009D7677" w:rsidP="009D7677">
      <w:pPr>
        <w:pStyle w:val="TextoNormal"/>
      </w:pPr>
    </w:p>
    <w:p w14:paraId="48957E9C" w14:textId="7B801644" w:rsidR="009D7677" w:rsidRDefault="009D7677" w:rsidP="009D7677">
      <w:pPr>
        <w:pStyle w:val="TextoNormal"/>
      </w:pPr>
      <w:r>
        <w:t xml:space="preserve">Finalmente sostiene que el apartado 1 del artículo 282 </w:t>
      </w:r>
      <w:r w:rsidRPr="009D7677">
        <w:rPr>
          <w:i/>
        </w:rPr>
        <w:t>bis</w:t>
      </w:r>
      <w:r>
        <w:t xml:space="preserve"> LECrim es tajante en este punto: la información obtenida por el agente encubierto deberá aportarse al proceso “en su integridad” y se valorará “en conciencia” por el órgano judicial competente. La valoración (“en conciencia”) de la prueba relevante a los efectos del procedimiento penal es tarea del órgano judicial y no de la fuerza policial ni del agente encubierto, el cual debe limitarse a recopilar información y remitirla, de forma íntegra, al órgano judicial, que será el que la valore, lo que deriva en la poca fiabilidad del medio de prueba del agente encubierto. Refiere, con apoyo en la tramitación parlamentaria, que la declaración del agente encubierto habrá de ser tomada con cautela, pudiendo resultar procedente aplicar a tales declaraciones los requisitos jurisprudencialmente exigidos a las declaraciones de coimputados. Indica que la condena ha sido motivada, en exclusiva, por la declaración del agente encubierto, sin que se llevaran al procedimiento otras pruebas que corroboraran sus manifestaciones. La versión de los hechos aportada por el ahora recurrente (que él no tenía intención previa de delinquir, sino que fue el agente encubierto quien le incitó a ello, esto es, que el delito fue provocado por el agente encubierto) no ha quedado desmentida más que por las meras manifestaciones del propio agente encubierto.</w:t>
      </w:r>
    </w:p>
    <w:p w14:paraId="556BAD60" w14:textId="77777777" w:rsidR="009D7677" w:rsidRDefault="009D7677" w:rsidP="009D7677">
      <w:pPr>
        <w:pStyle w:val="TextoNormal"/>
      </w:pPr>
    </w:p>
    <w:p w14:paraId="2335D3C6" w14:textId="630A1AEF" w:rsidR="009D7677" w:rsidRDefault="009D7677" w:rsidP="009D7677">
      <w:pPr>
        <w:pStyle w:val="TextoNormal"/>
      </w:pPr>
      <w:r w:rsidRPr="009D7677">
        <w:rPr>
          <w:rStyle w:val="NumeroAFNegritaCaracter"/>
        </w:rPr>
        <w:t>4</w:t>
      </w:r>
      <w:r>
        <w:t>. Por providencia de 4 de abril de 2022, la Sala Segunda de este tribunal acordó proponer la avocación al Pleno del presente recurso de amparo de conformidad con lo dispuesto en el art. 10.1 n) de la Ley Orgánica del Tribunal Constitucional (LOTC).</w:t>
      </w:r>
    </w:p>
    <w:p w14:paraId="5663B292" w14:textId="77777777" w:rsidR="009D7677" w:rsidRDefault="009D7677" w:rsidP="009D7677">
      <w:pPr>
        <w:pStyle w:val="TextoNormal"/>
      </w:pPr>
    </w:p>
    <w:p w14:paraId="5D3DE4B5" w14:textId="12568097" w:rsidR="009D7677" w:rsidRDefault="009D7677" w:rsidP="009D7677">
      <w:pPr>
        <w:pStyle w:val="TextoNormal"/>
      </w:pPr>
      <w:r w:rsidRPr="009D7677">
        <w:rPr>
          <w:rStyle w:val="NumeroAFNegritaCaracter"/>
        </w:rPr>
        <w:t>5</w:t>
      </w:r>
      <w:r>
        <w:t xml:space="preserve">. Por providencia de 12 de mayo de 2022, el Pleno acordó recabar para sí el conocimiento del recurso de amparo y admitirlo a trámite, apreciando que concurre en el mismo una especial trascendencia constitucional (art. 50.1 LOTC) porque el recurso plantea un problema o afecta a una faceta de un derecho fundamental sobre el que no hay doctrina de este tribunal [STC 155/2009, de 25 de junio, FJ 2 a)]. En aplicación de lo dispuesto en el art. 51 LOTC, también acordó requerir de los órganos judiciales la remisión, en plazo que no excediera de diez días, de testimonio de las actuaciones, así como el emplazamiento de quienes hubieran sido parte en el procedimiento, a excepción del recurrente, para que pudiesen comparecer en el presente proceso de amparo. Asimismo, acordó la formación de </w:t>
      </w:r>
      <w:r>
        <w:lastRenderedPageBreak/>
        <w:t>pieza separada para resolver la petición de suspensión de las resoluciones recurridas. Por ATC 100/2022, de 16 de junio, este tribunal denegó la suspensión interesada.</w:t>
      </w:r>
    </w:p>
    <w:p w14:paraId="7716BAF4" w14:textId="77777777" w:rsidR="009D7677" w:rsidRDefault="009D7677" w:rsidP="009D7677">
      <w:pPr>
        <w:pStyle w:val="TextoNormal"/>
      </w:pPr>
    </w:p>
    <w:p w14:paraId="658D6C14" w14:textId="0640F6C8" w:rsidR="009D7677" w:rsidRDefault="009D7677" w:rsidP="009D7677">
      <w:pPr>
        <w:pStyle w:val="TextoNormal"/>
      </w:pPr>
      <w:r w:rsidRPr="009D7677">
        <w:rPr>
          <w:rStyle w:val="NumeroAFNegritaCaracter"/>
        </w:rPr>
        <w:t>6</w:t>
      </w:r>
      <w:r>
        <w:t>. Por diligencia de ordenación de 13 de junio de 2022, se acordó dar vista de todas las actuaciones, por un plazo común de veinte días, al Ministerio Fiscal y a la parte recurrente, para que, dentro de dicho término, pudieran presentar las alegaciones que a su derecho convenga (art. 52 LOTC).</w:t>
      </w:r>
    </w:p>
    <w:p w14:paraId="37CACB40" w14:textId="77777777" w:rsidR="009D7677" w:rsidRDefault="009D7677" w:rsidP="009D7677">
      <w:pPr>
        <w:pStyle w:val="TextoNormal"/>
      </w:pPr>
    </w:p>
    <w:p w14:paraId="3E4FDF7B" w14:textId="193D4ED2" w:rsidR="009D7677" w:rsidRDefault="009D7677" w:rsidP="009D7677">
      <w:pPr>
        <w:pStyle w:val="TextoNormal"/>
      </w:pPr>
      <w:r w:rsidRPr="009D7677">
        <w:rPr>
          <w:rStyle w:val="NumeroAFNegritaCaracter"/>
        </w:rPr>
        <w:t>7</w:t>
      </w:r>
      <w:r>
        <w:t>. Mediante escrito registrado el 23 de junio de 2022, el demandante de amparo reiteró las alegaciones contenidas en la demanda.</w:t>
      </w:r>
    </w:p>
    <w:p w14:paraId="52CAFA46" w14:textId="77777777" w:rsidR="009D7677" w:rsidRDefault="009D7677" w:rsidP="009D7677">
      <w:pPr>
        <w:pStyle w:val="TextoNormal"/>
      </w:pPr>
    </w:p>
    <w:p w14:paraId="1C5B4F21" w14:textId="77777777" w:rsidR="009D7677" w:rsidRDefault="009D7677" w:rsidP="009D7677">
      <w:pPr>
        <w:pStyle w:val="TextoNormal"/>
      </w:pPr>
      <w:r w:rsidRPr="009D7677">
        <w:rPr>
          <w:rStyle w:val="NumeroAFNegritaCaracter"/>
        </w:rPr>
        <w:t>8</w:t>
      </w:r>
      <w:r>
        <w:t>. El Ministerio Fiscal en escrito registrado el 16 de agosto de 2022 interesó la desestimación de la demanda de amparo.</w:t>
      </w:r>
    </w:p>
    <w:p w14:paraId="30DDD2CE" w14:textId="77777777" w:rsidR="009D7677" w:rsidRDefault="009D7677" w:rsidP="009D7677">
      <w:pPr>
        <w:pStyle w:val="TextoNormal"/>
      </w:pPr>
    </w:p>
    <w:p w14:paraId="28C0B392" w14:textId="77777777" w:rsidR="009D7677" w:rsidRDefault="009D7677" w:rsidP="009D7677">
      <w:pPr>
        <w:pStyle w:val="TextoNormal"/>
      </w:pPr>
      <w:r>
        <w:t>Las alegaciones del fiscal se estructuran en dos grandes apartados. En los antecedentes de hecho expone de modo detallado el devenir procesal ante la jurisdicción ordinaria refiriéndose a las tres sentencias impugnadas y a los recursos de apelación y casación, así como al contenido del recurso de amparo y de las resoluciones dictadas por este tribunal.</w:t>
      </w:r>
    </w:p>
    <w:p w14:paraId="6BF327E7" w14:textId="77777777" w:rsidR="009D7677" w:rsidRDefault="009D7677" w:rsidP="009D7677">
      <w:pPr>
        <w:pStyle w:val="TextoNormal"/>
      </w:pPr>
    </w:p>
    <w:p w14:paraId="3C98FF9F" w14:textId="77777777" w:rsidR="009D7677" w:rsidRDefault="009D7677" w:rsidP="009D7677">
      <w:pPr>
        <w:pStyle w:val="TextoNormal"/>
      </w:pPr>
      <w:r>
        <w:t>En la fundamentación jurídica delimita en primer lugar el objeto del recurso: la impugnación de las tres sentencias dictadas a través de un único motivo de amparo en el que se denuncia la vulneración del derecho fundamental a un proceso con todas las garantías (art. 24.2 CE), del derecho a la tutela judicial efectiva causante de indefensión (art. 24.1 CE) y del derecho a la intimidad (art. 18.1 CE), puestos todos ellos en relación con la infracción del principio de legalidad (art. 9.3 CE) y en consecuencia se considera nula la habilitación del agente encubierto, su actuación y todas las diligencias practicadas a partir de la habilitación.</w:t>
      </w:r>
    </w:p>
    <w:p w14:paraId="2FF8931B" w14:textId="77777777" w:rsidR="009D7677" w:rsidRDefault="009D7677" w:rsidP="009D7677">
      <w:pPr>
        <w:pStyle w:val="TextoNormal"/>
      </w:pPr>
    </w:p>
    <w:p w14:paraId="1939E412" w14:textId="77777777" w:rsidR="009D7677" w:rsidRDefault="009D7677" w:rsidP="009D7677">
      <w:pPr>
        <w:pStyle w:val="TextoNormal"/>
      </w:pPr>
      <w:r>
        <w:t xml:space="preserve">El fiscal detalla de modo prolijo las razones por las que en el recurso de amparo se considera lesiva para los derechos invocados la habilitación y actuación del agente encubierto. En tal sentido, se refiere a la existencia de una injerencia en la esfera de la intimidad familiar prolongada y de carácter prospectivo, sin que se hubieran observado los requisitos del art. 282 </w:t>
      </w:r>
      <w:r w:rsidRPr="009D7677">
        <w:rPr>
          <w:i/>
        </w:rPr>
        <w:t>bis</w:t>
      </w:r>
      <w:r>
        <w:t xml:space="preserve"> LECrim para la misma: incompetencia del fiscal que habilitó la intervención del agente encubierto, ausencia de necesidad, proporcionalidad y motivación del decreto habilitante y finalmente falta de control judicial por la demora de casi dos meses y medio en la remisión al Juzgado de la información relativa a la habilitación del agente encubierto, sin que le fuera remitida la misma en su integridad.</w:t>
      </w:r>
    </w:p>
    <w:p w14:paraId="637FBB5E" w14:textId="77777777" w:rsidR="009D7677" w:rsidRDefault="009D7677" w:rsidP="009D7677">
      <w:pPr>
        <w:pStyle w:val="TextoNormal"/>
      </w:pPr>
    </w:p>
    <w:p w14:paraId="6E8EDAF2" w14:textId="77777777" w:rsidR="009D7677" w:rsidRDefault="009D7677" w:rsidP="009D7677">
      <w:pPr>
        <w:pStyle w:val="TextoNormal"/>
      </w:pPr>
      <w:r>
        <w:t>Antes de analizar los diferentes aspectos en los que se engloba la vulneración invocada, el fiscal efectúa un excurso sobre el doble marco en el que cabe habilitar la actuación de un agente encubierto: las diligencias preprocesales de investigación del Ministerio Fiscal y las diligencias previas, debiendo versar el dictamen sobre las primeras. Constata que la demanda de amparo al no haber tenido en cuenta la diferenciación que acaba de ser destacada, opera continuamente trasladando conceptos y garantías constitucionales propias del proceso penal al ámbito de unas diligencias de investigación del Ministerio Fiscal que, por su propia naturaleza, someramente apuntada ya, no gozan de ese carácter.</w:t>
      </w:r>
    </w:p>
    <w:p w14:paraId="378BEA40" w14:textId="77777777" w:rsidR="009D7677" w:rsidRDefault="009D7677" w:rsidP="009D7677">
      <w:pPr>
        <w:pStyle w:val="TextoNormal"/>
      </w:pPr>
    </w:p>
    <w:p w14:paraId="3B571A50" w14:textId="77777777" w:rsidR="009D7677" w:rsidRDefault="009D7677" w:rsidP="009D7677">
      <w:pPr>
        <w:pStyle w:val="TextoNormal"/>
      </w:pPr>
      <w:r>
        <w:lastRenderedPageBreak/>
        <w:t xml:space="preserve">El fiscal se refiere ampliamente a la regulación del agente encubierto que se contiene en el art. 282 </w:t>
      </w:r>
      <w:r w:rsidRPr="009D7677">
        <w:rPr>
          <w:i/>
        </w:rPr>
        <w:t>bis</w:t>
      </w:r>
      <w:r>
        <w:t xml:space="preserve"> LECrim introducido por la Ley Orgánica 5/1999, de 13 de enero, de modificación de la Ley de enjuiciamiento criminal en materia de perfeccionamiento de la acción investigadora relacionada con el tráfico ilegal de drogas y otras actividades ilícitas graves, y a las modificaciones por leyes posteriores. Menciona también los arts. 201 y 210 de la Ley 23/2014, de 20 de noviembre, de reconocimiento mutuo de resoluciones penales en la Unión Europea, para regular la orden europea de investigación, en la redacción dada por la Ley 3/2018, de 11 de junio y los arts. 20.1 de la Convención de las Naciones Unidas contra la delincuencia organizada transnacional, hecha en Nueva York el día 15 de noviembre de 2000 y firmada en Palermo el día 13 de diciembre de 2000 (Instrumento de ratificación publicado en el “Boletín Oficial del Estado” de 29 de septiembre de 2003) y 19.1 del Instrumento de ratificación del segundo protocolo adicional al Convenio europeo de asistencia judicial en materia penal, hecho en Estrasburgo el 8 de noviembre de 2001 (publicado en el “BOE” de 1 de junio de 2018).</w:t>
      </w:r>
    </w:p>
    <w:p w14:paraId="6F8B8C35" w14:textId="77777777" w:rsidR="009D7677" w:rsidRDefault="009D7677" w:rsidP="009D7677">
      <w:pPr>
        <w:pStyle w:val="TextoNormal"/>
      </w:pPr>
    </w:p>
    <w:p w14:paraId="4D3D8084" w14:textId="77777777" w:rsidR="009D7677" w:rsidRDefault="009D7677" w:rsidP="009D7677">
      <w:pPr>
        <w:pStyle w:val="TextoNormal"/>
      </w:pPr>
      <w:r>
        <w:t>Destaca que el Tribunal Europeo de Derechos Humanos ha reconocido la necesidad de las autoridades de recurrir a métodos de investigación especiales, particularmente en los casos de crimen organizado y corrupción, y ha considerado que el uso de tales métodos —y, en particular, las técnicas de infiltración— no infringen en sí mismos el derecho a un proceso equitativo, si se complementa con las garantías adecuadas y suficientes contra el abuso.</w:t>
      </w:r>
    </w:p>
    <w:p w14:paraId="5D86B9F5" w14:textId="77777777" w:rsidR="009D7677" w:rsidRDefault="009D7677" w:rsidP="009D7677">
      <w:pPr>
        <w:pStyle w:val="TextoNormal"/>
      </w:pPr>
    </w:p>
    <w:p w14:paraId="1E1723C2" w14:textId="77777777" w:rsidR="009D7677" w:rsidRDefault="009D7677" w:rsidP="009D7677">
      <w:pPr>
        <w:pStyle w:val="TextoNormal"/>
      </w:pPr>
      <w:r>
        <w:t xml:space="preserve">Pone de relieve la existencia de una fase o actividad investigadora inicial por la policía previa a la habilitación del agente encubierto, que en ocasiones supone la existencia de contactos previos entre policía e investigado y que aparece justificada como un mecanismo de comunicación previo que genera una corriente inicial de confianza, cuya duración puede extenderse hasta meses, aportando datos suficientes o información precisa para justificar la habilitación del agente [SSTS 575/2013, de 28 de junio, FJ 2 E); 835/2013, de 6 de noviembre, FJ 1, y 277/2016, de 6 de abril, FJ 1]. De igual modo, examina a la luz de los pronunciamientos del Tribunal Supremo los presupuestos que deben concurrir para habilitar a un agente encubierto conforme al art. 282 </w:t>
      </w:r>
      <w:r w:rsidRPr="009D7677">
        <w:rPr>
          <w:i/>
        </w:rPr>
        <w:t>bis</w:t>
      </w:r>
      <w:r>
        <w:t xml:space="preserve"> LECrim (SSTS 767/2007, de 3 de octubre; 575/2013, de 28 de junio, FJ 2; 591/2018, de 26 de noviembre, FJ 2; 104/2019, de 27 de febrero, y 682/2019, de 28 de enero de 2020).</w:t>
      </w:r>
    </w:p>
    <w:p w14:paraId="0351D821" w14:textId="77777777" w:rsidR="009D7677" w:rsidRDefault="009D7677" w:rsidP="009D7677">
      <w:pPr>
        <w:pStyle w:val="TextoNormal"/>
      </w:pPr>
    </w:p>
    <w:p w14:paraId="4D833A7C" w14:textId="77777777" w:rsidR="009D7677" w:rsidRDefault="009D7677" w:rsidP="009D7677">
      <w:pPr>
        <w:pStyle w:val="TextoNormal"/>
      </w:pPr>
      <w:r>
        <w:t xml:space="preserve">Entrando de modo directo a examinar los motivos en los que el recurrente fundamenta las vulneraciones, sostiene que la tesis del demandante de amparo choca frontalmente con las SSTEDH de 15 de junio de 1992, asunto </w:t>
      </w:r>
      <w:r w:rsidRPr="009D7677">
        <w:rPr>
          <w:i/>
        </w:rPr>
        <w:t>Lüdi c. Suiza</w:t>
      </w:r>
      <w:r>
        <w:t xml:space="preserve">, § 40, y de 23 de octubre de 2018, asunto </w:t>
      </w:r>
      <w:r w:rsidRPr="009D7677">
        <w:rPr>
          <w:i/>
        </w:rPr>
        <w:t>Guerni c. Bélgica</w:t>
      </w:r>
      <w:r>
        <w:t>, § 73, en que se afirma que el recurso a un agente infiltrado no afectó, ni en sí mismo ni por su combinación con las escuchas telefónicas, al ámbito de la vida privada, al arriesgarse quien realizaba un acto criminal a encontrarse con un agente de policía infiltrado encargado de desenmascararle (</w:t>
      </w:r>
      <w:r w:rsidRPr="009D7677">
        <w:rPr>
          <w:i/>
        </w:rPr>
        <w:t>Lüdi c. Suiza</w:t>
      </w:r>
      <w:r>
        <w:t>) o al haberse hecho cargo del transporte el agente infiltrado a iniciativa del demandante y a petición de uno de los acusados.</w:t>
      </w:r>
    </w:p>
    <w:p w14:paraId="23E234FA" w14:textId="77777777" w:rsidR="009D7677" w:rsidRDefault="009D7677" w:rsidP="009D7677">
      <w:pPr>
        <w:pStyle w:val="TextoNormal"/>
      </w:pPr>
    </w:p>
    <w:p w14:paraId="6EB75550" w14:textId="77777777" w:rsidR="009D7677" w:rsidRDefault="009D7677" w:rsidP="009D7677">
      <w:pPr>
        <w:pStyle w:val="TextoNormal"/>
      </w:pPr>
      <w:r>
        <w:t xml:space="preserve">Recuerda, con referencia a la doctrina constitucional, el contenido del derecho a la intimidad [SSTC 231/1988, de 2 de diciembre, FJ 3; 196/2004, de 15 de noviembre, FJ 2; 206/2007, de 24 de septiembre, FJ 5; 236/2007, de 7 de noviembre, FJ 11; 70/2009, de 23 de marzo, FJ 2; 77/2009, de 23 de marzo, FJ 2; 60/2010, de 7 de octubre, FJ 8 c), y </w:t>
      </w:r>
      <w:r>
        <w:lastRenderedPageBreak/>
        <w:t>12/2012, de 30 de enero, FJ 5], así como su carácter limitado (SSTC 57/1994, de 28 de febrero, FJ 6; 143/1994, de 9 de mayo, FJ 6; 98/2000, de 10 de abril, FJ 5; 186/2000, de 10 de julio, FJ 5; 156/2001, de 2 de julio, FJ 4, y 70/2009, FJ 3).</w:t>
      </w:r>
    </w:p>
    <w:p w14:paraId="5940E17C" w14:textId="77777777" w:rsidR="009D7677" w:rsidRDefault="009D7677" w:rsidP="009D7677">
      <w:pPr>
        <w:pStyle w:val="TextoNormal"/>
      </w:pPr>
    </w:p>
    <w:p w14:paraId="51CBA4E3" w14:textId="77777777" w:rsidR="009D7677" w:rsidRDefault="009D7677" w:rsidP="009D7677">
      <w:pPr>
        <w:pStyle w:val="TextoNormal"/>
      </w:pPr>
      <w:r>
        <w:t xml:space="preserve">Conforme a dicho contenido considera que la actuación del agente encubierto no supone una ilegítima intromisión en el derecho a la intimidad del investigado, al existir previsión legal (art. 282 </w:t>
      </w:r>
      <w:r w:rsidRPr="009D7677">
        <w:rPr>
          <w:i/>
        </w:rPr>
        <w:t>bis</w:t>
      </w:r>
      <w:r>
        <w:t xml:space="preserve"> LECrim); revelarse como necesaria, para lograr un fin constitucionalmente legítimo (en el caso, no uno, sino varios: el mantenimiento de la seguridad ciudadana, la persecución de delitos graves, la protección de la salud pública); ser proporcionada para alcanzarlo (esto es, si no existiera otro mecanismo de investigación idóneo) y llevarse a cabo utilizando los medios necesarios para procurar una mínima afectación del ámbito garantizado por ese derecho (reduciendo la intromisión en la medida de lo posible al ámbito de la mera investigación del delito).</w:t>
      </w:r>
    </w:p>
    <w:p w14:paraId="602A080E" w14:textId="77777777" w:rsidR="009D7677" w:rsidRDefault="009D7677" w:rsidP="009D7677">
      <w:pPr>
        <w:pStyle w:val="TextoNormal"/>
      </w:pPr>
    </w:p>
    <w:p w14:paraId="7ADA686C" w14:textId="77777777" w:rsidR="009D7677" w:rsidRDefault="009D7677" w:rsidP="009D7677">
      <w:pPr>
        <w:pStyle w:val="TextoNormal"/>
      </w:pPr>
      <w:r>
        <w:t>Destaca que la parte demandante de amparo no ha sido capaz de acreditar que se produjera una injerencia relevante en la intimidad de don Alirio Ramón León Viloria, como consecuencia de la habilitación y actuación del agente encubierto. La prolongación de la actuación del agente encubierto no es indicativa por sí misma de una injerencia. De la pieza separada de habilitación del agente encubierto se obtiene la impresión que la relación entre este y el recurrente se mantuvo en el plano “profesional”. Por otra parte, la mera presentación de la pareja del recurrente al agente no pasó de ser un acto puramente cortés entre dos personas que no se conocen. El trato como amigo que el recurrente dispensó en alguna ocasión al agente en sus mensajes de texto no supone invasión relevante de la intimidad del primero, y haber emitido veintiocho notas dando cuenta de las comunicaciones y reuniones tampoco revela injerencia alguna.</w:t>
      </w:r>
    </w:p>
    <w:p w14:paraId="17BB8101" w14:textId="77777777" w:rsidR="009D7677" w:rsidRDefault="009D7677" w:rsidP="009D7677">
      <w:pPr>
        <w:pStyle w:val="TextoNormal"/>
      </w:pPr>
    </w:p>
    <w:p w14:paraId="3ED58399" w14:textId="77777777" w:rsidR="009D7677" w:rsidRDefault="009D7677" w:rsidP="009D7677">
      <w:pPr>
        <w:pStyle w:val="TextoNormal"/>
      </w:pPr>
      <w:r>
        <w:t xml:space="preserve">Descarta que la injerencia fuera ilegítima. La lectura de la información facilitada por el grupo XVIII de la sección de estupefacientes de la UDYCO advertía de la presencia de una actividad de delincuencia organizada destinada a cometer delitos contra la salud pública, en términos de los apartados 1 y 4 del art. 282 </w:t>
      </w:r>
      <w:r w:rsidRPr="009D7677">
        <w:rPr>
          <w:i/>
        </w:rPr>
        <w:t>bis</w:t>
      </w:r>
      <w:r>
        <w:t xml:space="preserve"> LECrim, por lo que conforme al art. 282 </w:t>
      </w:r>
      <w:r w:rsidRPr="009D7677">
        <w:rPr>
          <w:i/>
        </w:rPr>
        <w:t>bis</w:t>
      </w:r>
      <w:r>
        <w:t>.1 LECrim, el Ministerio Fiscal, respecto del que no se añade el calificativo de competente, está facultado, dando cuenta inmediata al juez, a autorizar a funcionarios de la Policía judicial, mediante resolución fundada y teniendo en cuenta su necesidad a los fines de la investigación, a actuar bajo identidad supuesta y a adquirir y transportar los objetos, efectos e instrumentos del delito y diferir la incautación de los mismos. Atendido el contenido del oficio policial dirigido el 22 de enero de 2019 a la Fiscalía Especial Antidroga, carece de sentido cuestionar la competencia de esa fiscalía para otorgar la habilitación que se le solicitaba. Pero, por otra parte, la competencia de los distintos órganos de la Fiscalía no está constitucionalizada, es cuestión de mera legalidad ordinaria.</w:t>
      </w:r>
    </w:p>
    <w:p w14:paraId="7BAABF46" w14:textId="77777777" w:rsidR="009D7677" w:rsidRDefault="009D7677" w:rsidP="009D7677">
      <w:pPr>
        <w:pStyle w:val="TextoNormal"/>
      </w:pPr>
    </w:p>
    <w:p w14:paraId="17321A79" w14:textId="77777777" w:rsidR="009D7677" w:rsidRDefault="009D7677" w:rsidP="009D7677">
      <w:pPr>
        <w:pStyle w:val="TextoNormal"/>
      </w:pPr>
      <w:r>
        <w:t>Refiere en relación con las quejas referentes a la necesidad, proporcionalidad y motivación de la habilitación, que supone partir de la existencia de una cierta injerencia en el derecho a la intimidad —descartada— o trasladar a las diligencias preprocesales de investigación conceptos constitucionales elaborados para supuestos de actuaciones judiciales en el seno de procedimientos penales propiamente dichos.</w:t>
      </w:r>
    </w:p>
    <w:p w14:paraId="22D8FA9A" w14:textId="77777777" w:rsidR="009D7677" w:rsidRDefault="009D7677" w:rsidP="009D7677">
      <w:pPr>
        <w:pStyle w:val="TextoNormal"/>
      </w:pPr>
    </w:p>
    <w:p w14:paraId="76B63D53" w14:textId="77777777" w:rsidR="009D7677" w:rsidRDefault="009D7677" w:rsidP="009D7677">
      <w:pPr>
        <w:pStyle w:val="TextoNormal"/>
      </w:pPr>
      <w:r>
        <w:t xml:space="preserve">En todo caso, considera que del decreto de 22 de enero de 2019 del fiscal jefe de la Fiscalía Especial Antidroga resulta que la medida era idónea para avanzar en la investigación </w:t>
      </w:r>
      <w:r>
        <w:lastRenderedPageBreak/>
        <w:t>iniciada, necesaria y adecuada, atendida la importancia, gravedad y trascendencia social del delito investigado, las posibilidades existentes de vigilancia eficaz de las personas sospechosas y la imposibilidad de aplicar otras medidas menos gravosas; y era proporcional al implicar de por sí que el eventual sacrificio del derecho fundamental individual reportara más beneficios al interés general que desventajas o perjuicios al derechos afectado.</w:t>
      </w:r>
    </w:p>
    <w:p w14:paraId="7AF4E260" w14:textId="77777777" w:rsidR="009D7677" w:rsidRDefault="009D7677" w:rsidP="009D7677">
      <w:pPr>
        <w:pStyle w:val="TextoNormal"/>
      </w:pPr>
    </w:p>
    <w:p w14:paraId="405CF18C" w14:textId="77777777" w:rsidR="009D7677" w:rsidRDefault="009D7677" w:rsidP="009D7677">
      <w:pPr>
        <w:pStyle w:val="TextoNormal"/>
      </w:pPr>
      <w:r>
        <w:t>En relación con la falta de control judicial de la medida de investigación por no dar cuenta inmediata, sino transcurridos dos meses y catorce días después de procederse a la referida habilitación, el fiscal distingue las dos realidades diferenciadas de habilitar al agente encubierto: por el juez de instrucción o por el Ministerio Fiscal. En este segundo caso mediante la incoación de diligencias preprocesales a las que se refieren los arts. 773.2 LECrim y 5.2 EOMF.</w:t>
      </w:r>
    </w:p>
    <w:p w14:paraId="7046136A" w14:textId="77777777" w:rsidR="009D7677" w:rsidRDefault="009D7677" w:rsidP="009D7677">
      <w:pPr>
        <w:pStyle w:val="TextoNormal"/>
      </w:pPr>
    </w:p>
    <w:p w14:paraId="0C41E3A1" w14:textId="77777777" w:rsidR="009D7677" w:rsidRDefault="009D7677" w:rsidP="009D7677">
      <w:pPr>
        <w:pStyle w:val="TextoNormal"/>
      </w:pPr>
      <w:r>
        <w:t>Contextualizada de este modo la regulación, considera que la puesta en conocimiento inmediato solo tiene por finalidad evitar la duplicidad de actuaciones —del Ministerio Fiscal y del Juzgado de Instrucción— sobre unos mismos hechos. Efectuada esa comunicación no cabe contemplar ninguna actuación del juez de instrucción que vaya más allá de reclamar del Ministerio Fiscal la remisión de sus diligencias preprocesales, en el único caso de que ya se estuvieran siguiendo diligencias previas sobre los mismos hechos posiblemente constitutivos de delito. Ninguna otra actuación podrá desplegar el juez de instrucción. En modo alguno cabrá pensar que el juez de instrucción puede ejercer sobre las diligencias preprocesales del Ministerio Fiscal un control o una fiscalización como la que aquel puede ejercitar sobre las actuaciones de la policía en el seno de unas diligencias ya judicializadas. Ni tan siquiera judicializadas las diligencias preprocesales, el juez de instrucción debe ratificar la previa actuación del fiscal.</w:t>
      </w:r>
    </w:p>
    <w:p w14:paraId="0F1FE3F3" w14:textId="77777777" w:rsidR="009D7677" w:rsidRDefault="009D7677" w:rsidP="009D7677">
      <w:pPr>
        <w:pStyle w:val="TextoNormal"/>
      </w:pPr>
    </w:p>
    <w:p w14:paraId="42E60720" w14:textId="77777777" w:rsidR="009D7677" w:rsidRDefault="009D7677" w:rsidP="009D7677">
      <w:pPr>
        <w:pStyle w:val="TextoNormal"/>
      </w:pPr>
      <w:r>
        <w:t>El artículo 5.2 EOMF establece que “[l]a duración de esas diligencias habrá de ser proporcionada a la naturaleza del hecho investigado, sin que pueda exceder de seis meses, salvo prórroga acordada mediante decreto motivado del Fiscal General del Estado”. En el artículo 5.3 EOMF añade a esta previsión que “[t]ranscurrido el oportuno plazo, si la investigación hubiera evidenciado hechos de significación penal y sea cual fuese el estado de las diligencias, el fiscal procederá a su judicialización, formulando al efecto la oportuna denuncia o querella, a menos que resultara procedente su archivo”. La aplicación de estas disposiciones al caso que ahora se dictamina revela que la actuación del Ministerio Fiscal fue completamente correcta: los dos meses y catorce días a que se refiere la parte ahora recurrente constituyen, sin ningún género de dudas, una duración proporcionada a la naturaleza y gravedad de los hechos que se investigaban.</w:t>
      </w:r>
    </w:p>
    <w:p w14:paraId="24081D2B" w14:textId="77777777" w:rsidR="009D7677" w:rsidRDefault="009D7677" w:rsidP="009D7677">
      <w:pPr>
        <w:pStyle w:val="TextoNormal"/>
      </w:pPr>
    </w:p>
    <w:p w14:paraId="4C26E555" w14:textId="2ACF2B48" w:rsidR="009D7677" w:rsidRDefault="009D7677" w:rsidP="009D7677">
      <w:pPr>
        <w:pStyle w:val="TextoNormal"/>
      </w:pPr>
      <w:r>
        <w:t>Finalmente, en relación con que la información no fue remitida con integridad, se hace eco del razonamiento el Tribunal Supremo, a lo que añade que de la lectura de las veintiocho notas emitidas revela el esfuerzo informativo efectuado. Finalmente, indica que el otro interlocutor del agente encubierto hubo de poseer necesariamente y en su integridad las mismas comunicaciones que se reclaman al agente o agentes actuantes, de modo que, estando a su disposición, pudo hacer uso de ellas para alegar o acreditar, en su caso, cuantas circunstancias fueran de su interés.</w:t>
      </w:r>
    </w:p>
    <w:p w14:paraId="17F8D29B" w14:textId="77777777" w:rsidR="009D7677" w:rsidRDefault="009D7677" w:rsidP="009D7677">
      <w:pPr>
        <w:pStyle w:val="TextoNormal"/>
      </w:pPr>
    </w:p>
    <w:p w14:paraId="02CF4909" w14:textId="4AE946B0" w:rsidR="009D7677" w:rsidRDefault="009D7677" w:rsidP="009D7677">
      <w:pPr>
        <w:pStyle w:val="TextoNormal"/>
      </w:pPr>
      <w:r w:rsidRPr="009D7677">
        <w:rPr>
          <w:rStyle w:val="NumeroAFNegritaCaracter"/>
        </w:rPr>
        <w:t>9</w:t>
      </w:r>
      <w:r>
        <w:t xml:space="preserve">. En cumplimiento de lo previsto en el acuerdo de 17 de enero de 2023, del Pleno del Tribunal Constitucional, por el que se dispone la composición de las salas y secciones del </w:t>
      </w:r>
      <w:r>
        <w:lastRenderedPageBreak/>
        <w:t>Tribunal Constitucional (publicado en el “BOE” núm. 16, de 19 de enero de 2023), adoptado por el Pleno del Tribunal Constitucional tras su renovación, correspondió la ponencia del presente recurso al magistrado don César Tolosa Tribiño, conforme al orden de antigüedad y mayor edad de los anteriores y de los nuevos integrantes del colegio de magistrados (art. 3.2 del citado acuerdo).</w:t>
      </w:r>
    </w:p>
    <w:p w14:paraId="1156F0B5" w14:textId="77777777" w:rsidR="009D7677" w:rsidRDefault="009D7677" w:rsidP="009D7677">
      <w:pPr>
        <w:pStyle w:val="TextoNormal"/>
      </w:pPr>
    </w:p>
    <w:p w14:paraId="3D7749EF" w14:textId="245C3582" w:rsidR="009D7677" w:rsidRDefault="009D7677" w:rsidP="009D7677">
      <w:pPr>
        <w:pStyle w:val="TextoNormal"/>
      </w:pPr>
      <w:r w:rsidRPr="009D7677">
        <w:rPr>
          <w:rStyle w:val="NumeroAFNegritaCaracter"/>
        </w:rPr>
        <w:t>10</w:t>
      </w:r>
      <w:r>
        <w:t>. Por providencia de 4 de junio de 2024, se señaló ese mismo día para deliberación y votación de la presente sentencia.</w:t>
      </w:r>
    </w:p>
    <w:p w14:paraId="6CB0BED2" w14:textId="77777777" w:rsidR="009D7677" w:rsidRDefault="009D7677" w:rsidP="009D7677">
      <w:pPr>
        <w:pStyle w:val="TextoNormal"/>
      </w:pPr>
    </w:p>
    <w:p w14:paraId="318E0F0F" w14:textId="77777777" w:rsidR="009D7677" w:rsidRDefault="009D7677" w:rsidP="009D7677">
      <w:pPr>
        <w:pStyle w:val="TextoNormalNegritaCentrado"/>
        <w:keepNext/>
      </w:pPr>
      <w:r>
        <w:t>II. Fundamentos jurídicos</w:t>
      </w:r>
    </w:p>
    <w:p w14:paraId="260648CF" w14:textId="5A23FC2C" w:rsidR="009D7677" w:rsidRDefault="009D7677" w:rsidP="009D7677">
      <w:pPr>
        <w:pStyle w:val="TextoNormalNegritaCentrado"/>
        <w:keepNext/>
      </w:pPr>
    </w:p>
    <w:p w14:paraId="782FE560" w14:textId="77777777" w:rsidR="009D7677" w:rsidRDefault="009D7677" w:rsidP="009D7677">
      <w:pPr>
        <w:pStyle w:val="TextoNormal"/>
      </w:pPr>
      <w:r w:rsidRPr="009D7677">
        <w:rPr>
          <w:rStyle w:val="NumeroAFNegritaCaracter"/>
        </w:rPr>
        <w:t>1</w:t>
      </w:r>
      <w:r>
        <w:t xml:space="preserve">. </w:t>
      </w:r>
      <w:r w:rsidRPr="009D7677">
        <w:rPr>
          <w:i/>
        </w:rPr>
        <w:t>Objeto del recurso y pretensiones de las partes</w:t>
      </w:r>
    </w:p>
    <w:p w14:paraId="1552E3C7" w14:textId="77777777" w:rsidR="009D7677" w:rsidRDefault="009D7677" w:rsidP="009D7677">
      <w:pPr>
        <w:pStyle w:val="TextoNormal"/>
      </w:pPr>
    </w:p>
    <w:p w14:paraId="12DC1109" w14:textId="77777777" w:rsidR="009D7677" w:rsidRDefault="009D7677" w:rsidP="009D7677">
      <w:pPr>
        <w:pStyle w:val="TextoNormal"/>
      </w:pPr>
      <w:r>
        <w:t>En este recurso de amparo se impugna la sentencia núm. 503/2021 de 10 de junio, dictada por la Sala de lo Penal del Tribunal Supremo que confirma la sentencia de la Sala de lo Civil y Penal del Tribunal Superior de Justicia de Madrid núm. 335/2020, de 25 de noviembre, que desestimó a su vez el recurso de apelación contra la sentencia dictada por la Sección Séptima de la Audiencia Provincial de Madrid núm. 280/2020 de 17 de julio, que condenó al recurrente de amparo como autor de un delito contra la salud pública en su modalidad de tráfico de drogas que causan grave daño a la salud en cantidad de notoria importancia previsto y penado en los artículos 368 y 369.1.5 CP.</w:t>
      </w:r>
    </w:p>
    <w:p w14:paraId="7E28261D" w14:textId="77777777" w:rsidR="009D7677" w:rsidRDefault="009D7677" w:rsidP="009D7677">
      <w:pPr>
        <w:pStyle w:val="TextoNormal"/>
      </w:pPr>
    </w:p>
    <w:p w14:paraId="42B518C6" w14:textId="77777777" w:rsidR="009D7677" w:rsidRDefault="009D7677" w:rsidP="009D7677">
      <w:pPr>
        <w:pStyle w:val="TextoNormal"/>
      </w:pPr>
      <w:r>
        <w:t>a) El demandante de amparo considera vulnerados sus derechos a un proceso con todas las garantías (art. 24.2 CE), a la intimidad (art. 18.1 CE) y a la tutela judicial efectiva sin indefensión (art. 24.1 CE) puestos en relación con el principio de legalidad (art. 9.3 CE).</w:t>
      </w:r>
    </w:p>
    <w:p w14:paraId="441A420D" w14:textId="77777777" w:rsidR="009D7677" w:rsidRDefault="009D7677" w:rsidP="009D7677">
      <w:pPr>
        <w:pStyle w:val="TextoNormal"/>
      </w:pPr>
    </w:p>
    <w:p w14:paraId="207D94A5" w14:textId="77777777" w:rsidR="009D7677" w:rsidRDefault="009D7677" w:rsidP="009D7677">
      <w:pPr>
        <w:pStyle w:val="TextoNormal"/>
      </w:pPr>
      <w:r>
        <w:t>Afirma que se ha vulnerado su derecho a la intimidad (art. 18.1 CE) por la prolongación de la actuación del agente encubierto, por el hecho de haberse ganado su confianza —llegando a dispensarle en sus mensajes el tratamiento de “amigo”—, así como por haber accedido a su esfera más íntima —la familiar— que el demandante concreta en la presentación de su pareja sentimental. Esta le acompañó a dos de las reuniones que mantuvo con el agente encubierto. Añade que dicha injerencia no fue legítima al incumplirse los requisitos de competencia del fiscal habilitante, necesidad, proporcionalidad y motivación del decreto y por la ausencia de control de la medida de investigación al haber tardado en remitirse la información relativa a la habilitación del agente encubierto al Juzgado casi dos meses y medio.</w:t>
      </w:r>
    </w:p>
    <w:p w14:paraId="2D9506F4" w14:textId="77777777" w:rsidR="009D7677" w:rsidRDefault="009D7677" w:rsidP="009D7677">
      <w:pPr>
        <w:pStyle w:val="TextoNormal"/>
      </w:pPr>
    </w:p>
    <w:p w14:paraId="2F0EB50B" w14:textId="77777777" w:rsidR="009D7677" w:rsidRDefault="009D7677" w:rsidP="009D7677">
      <w:pPr>
        <w:pStyle w:val="TextoNormal"/>
      </w:pPr>
      <w:r>
        <w:t xml:space="preserve">Sostiene que se incumplieron las exigencias del art. 282 </w:t>
      </w:r>
      <w:r w:rsidRPr="009D7677">
        <w:rPr>
          <w:i/>
        </w:rPr>
        <w:t>bis</w:t>
      </w:r>
      <w:r>
        <w:t xml:space="preserve"> LECrim, entre las que destaca que la información obtenida por el agente encubierto se aporte en su integridad al órgano judicial. Considera que las declaraciones del agente encubierto deben ser tomadas con cautela debiendo serles aplicadas los requisitos exigidos a las declaraciones de los coimputados, con la finalidad de descartar que el delito fuera provocado.</w:t>
      </w:r>
    </w:p>
    <w:p w14:paraId="6B5EF29E" w14:textId="77777777" w:rsidR="009D7677" w:rsidRDefault="009D7677" w:rsidP="009D7677">
      <w:pPr>
        <w:pStyle w:val="TextoNormal"/>
      </w:pPr>
    </w:p>
    <w:p w14:paraId="73C344D7" w14:textId="77777777" w:rsidR="009D7677" w:rsidRDefault="009D7677" w:rsidP="009D7677">
      <w:pPr>
        <w:pStyle w:val="TextoNormal"/>
      </w:pPr>
      <w:r>
        <w:t xml:space="preserve">b) El fiscal interesa que se desestime el recurso de amparo. Afirma que la actuación del agente encubierto no afecta a la intimidad del investigado y está prevista en la ley, es necesaria, proporcionada y estuvo motivada, sin que haya existido una injerencia relevante en la intimidad del demandante de amparo. La competencia de los distintos órganos de la </w:t>
      </w:r>
      <w:r>
        <w:lastRenderedPageBreak/>
        <w:t>Fiscalía no está constitucionalizada. La comunicación al órgano judicial no tiene por finalidad que este fiscalice las diligencias del Ministerio Fiscal, sino evitar la duplicidad de las investigaciones. Finalmente, entiende que el recurrente tuvo a su disposición las mismas comunicaciones que el agente encubierto y las pudo aportar y si el agente no las aportó fue, tal y como indica la sentencia del Tribunal Supremo, porque se borraban automáticamente.</w:t>
      </w:r>
    </w:p>
    <w:p w14:paraId="77E4E0B1" w14:textId="77777777" w:rsidR="009D7677" w:rsidRDefault="009D7677" w:rsidP="009D7677">
      <w:pPr>
        <w:pStyle w:val="TextoNormal"/>
      </w:pPr>
    </w:p>
    <w:p w14:paraId="46A85569" w14:textId="77777777" w:rsidR="009D7677" w:rsidRDefault="009D7677" w:rsidP="009D7677">
      <w:pPr>
        <w:pStyle w:val="TextoNormal"/>
      </w:pPr>
      <w:r>
        <w:t>c) El planteamiento del recurrente nos debe llevar a vincular las quejas formuladas con el derecho a un proceso con todas las garantías (art. 24.2 CE) —y ello, pese a que este no fuera expresamente invocado en el recurso de casación— y con el derecho a la intimidad (art. 18.1 CE), excluyendo el resto de las vulneraciones alegadas de nuestro análisis.</w:t>
      </w:r>
    </w:p>
    <w:p w14:paraId="618CB177" w14:textId="77777777" w:rsidR="009D7677" w:rsidRDefault="009D7677" w:rsidP="009D7677">
      <w:pPr>
        <w:pStyle w:val="TextoNormal"/>
      </w:pPr>
    </w:p>
    <w:p w14:paraId="4E6E5136" w14:textId="77777777" w:rsidR="009D7677" w:rsidRDefault="009D7677" w:rsidP="009D7677">
      <w:pPr>
        <w:pStyle w:val="TextoNormal"/>
      </w:pPr>
      <w:r>
        <w:t>En relación con el derecho a un proceso con todas las garantías (art. 24.2 CE) debemos atender a la estrecha conexión existente entre las garantías jurídicas que resultan de la habilitación del agente encubierto en unas diligencias preprocesales del Ministerio Fiscal y la posibilidad de defenderse frente a una posterior acusación penal. Dicha vinculación obliga a un análisis conjunto del desarrollo del proceso penal a fin de verificar, como se verá, si se han desplegado mecanismos necesarios para asegurar que el recurrente no fue víctima de un delito provocado, circunstancia esta que sí alegó a lo largo del procedimiento; y, en relación con la injerencia en el derecho a la intimidad (art. 18.1 CE) será preciso examinar si la misma se ve concernida por la habilitación y ulterior actuación del agente encubierto y, en su caso, si concurren los presupuestos exigidos para que la intromisión sea constitucionalmente legítima.</w:t>
      </w:r>
    </w:p>
    <w:p w14:paraId="02328875" w14:textId="77777777" w:rsidR="009D7677" w:rsidRDefault="009D7677" w:rsidP="009D7677">
      <w:pPr>
        <w:pStyle w:val="TextoNormal"/>
      </w:pPr>
    </w:p>
    <w:p w14:paraId="16C1EBD5" w14:textId="71412EA6" w:rsidR="009D7677" w:rsidRDefault="009D7677" w:rsidP="009D7677">
      <w:pPr>
        <w:pStyle w:val="TextoNormal"/>
      </w:pPr>
      <w:r>
        <w:t xml:space="preserve">La eventual vulneración del derecho a la tutela judicial efectiva (art. 24.1 CE) derivada de la decisión de los órganos judiciales de avalar la habilitación y actuación del agente encubierto carece de contenido autónomo, se encuentra vinculada a las anteriores vulneraciones indicadas y no fue invocada ante el Tribunal Supremo. Y, finalmente, el principio de legalidad (art. 9.3 CE) está excluido del ámbito material del recurso de amparo, </w:t>
      </w:r>
      <w:r w:rsidRPr="009D7677">
        <w:rPr>
          <w:i/>
        </w:rPr>
        <w:t>ex</w:t>
      </w:r>
      <w:r>
        <w:t xml:space="preserve"> art. 53.2 CE [STC 2/2024, de 15 de enero, FJ 1 e)].</w:t>
      </w:r>
    </w:p>
    <w:p w14:paraId="73A7B202" w14:textId="77777777" w:rsidR="009D7677" w:rsidRDefault="009D7677" w:rsidP="009D7677">
      <w:pPr>
        <w:pStyle w:val="TextoNormal"/>
      </w:pPr>
    </w:p>
    <w:p w14:paraId="39001D99" w14:textId="77777777" w:rsidR="009D7677" w:rsidRDefault="009D7677" w:rsidP="009D7677">
      <w:pPr>
        <w:pStyle w:val="TextoNormal"/>
      </w:pPr>
      <w:r w:rsidRPr="009D7677">
        <w:rPr>
          <w:rStyle w:val="NumeroAFNegritaCaracter"/>
        </w:rPr>
        <w:t>2</w:t>
      </w:r>
      <w:r>
        <w:t xml:space="preserve">. </w:t>
      </w:r>
      <w:r w:rsidRPr="009D7677">
        <w:rPr>
          <w:i/>
        </w:rPr>
        <w:t>El agente encubierto como instrumento de investigación y la doctrina del Tribunal Europeo de Derechos Humanos</w:t>
      </w:r>
    </w:p>
    <w:p w14:paraId="3CCA9793" w14:textId="77777777" w:rsidR="009D7677" w:rsidRDefault="009D7677" w:rsidP="009D7677">
      <w:pPr>
        <w:pStyle w:val="TextoNormal"/>
      </w:pPr>
    </w:p>
    <w:p w14:paraId="657993F6" w14:textId="77777777" w:rsidR="009D7677" w:rsidRDefault="009D7677" w:rsidP="009D7677">
      <w:pPr>
        <w:pStyle w:val="TextoNormal"/>
      </w:pPr>
      <w:r>
        <w:t xml:space="preserve">En tanto que el recurrente vincula las lesiones producidas a la infracción de lo dispuesto en el art. 282 </w:t>
      </w:r>
      <w:r w:rsidRPr="009D7677">
        <w:rPr>
          <w:i/>
        </w:rPr>
        <w:t>bis</w:t>
      </w:r>
      <w:r>
        <w:t xml:space="preserve"> LECrim, debe abordarse en primer lugar la naturaleza y finalidad de la regulación del agente encubierto y las garantías que de la misma resultan para el investigado en un proceso penal, así como la perspectiva con la que el Tribunal Europeo de Derechos Humanos aborda la utilización de dicho instrumento de investigación.</w:t>
      </w:r>
    </w:p>
    <w:p w14:paraId="7BA52241" w14:textId="77777777" w:rsidR="009D7677" w:rsidRDefault="009D7677" w:rsidP="009D7677">
      <w:pPr>
        <w:pStyle w:val="TextoNormal"/>
      </w:pPr>
    </w:p>
    <w:p w14:paraId="2E7DE744" w14:textId="77777777" w:rsidR="009D7677" w:rsidRDefault="009D7677" w:rsidP="009D7677">
      <w:pPr>
        <w:pStyle w:val="TextoNormal"/>
      </w:pPr>
      <w:r>
        <w:t xml:space="preserve">A) </w:t>
      </w:r>
      <w:r w:rsidRPr="009D7677">
        <w:rPr>
          <w:i/>
        </w:rPr>
        <w:t>La regulación del agente encubierto en relación con otras figuras afines no previstas</w:t>
      </w:r>
    </w:p>
    <w:p w14:paraId="26B2FD19" w14:textId="77777777" w:rsidR="009D7677" w:rsidRDefault="009D7677" w:rsidP="009D7677">
      <w:pPr>
        <w:pStyle w:val="TextoNormal"/>
      </w:pPr>
    </w:p>
    <w:p w14:paraId="5875E14E" w14:textId="77777777" w:rsidR="009D7677" w:rsidRDefault="009D7677" w:rsidP="009D7677">
      <w:pPr>
        <w:pStyle w:val="TextoNormal"/>
      </w:pPr>
      <w:r>
        <w:t xml:space="preserve">La regulación del agente encubierto fue introducida en el art. 282 </w:t>
      </w:r>
      <w:r w:rsidRPr="009D7677">
        <w:rPr>
          <w:i/>
        </w:rPr>
        <w:t>bis</w:t>
      </w:r>
      <w:r>
        <w:t xml:space="preserve"> LECrim, mediante la Ley Orgánica 5/1999, de 13 de enero, de modificación de la Ley de enjuiciamiento criminal en materia de perfeccionamiento de la acción investigadora relacionada con el tráfico ilegal de drogas y otras actividades ilícitas graves.</w:t>
      </w:r>
    </w:p>
    <w:p w14:paraId="75AAF269" w14:textId="77777777" w:rsidR="009D7677" w:rsidRDefault="009D7677" w:rsidP="009D7677">
      <w:pPr>
        <w:pStyle w:val="TextoNormal"/>
      </w:pPr>
    </w:p>
    <w:p w14:paraId="6E339F26" w14:textId="77777777" w:rsidR="009D7677" w:rsidRDefault="009D7677" w:rsidP="009D7677">
      <w:pPr>
        <w:pStyle w:val="TextoNormal"/>
      </w:pPr>
      <w:r>
        <w:lastRenderedPageBreak/>
        <w:t>En la exposición de motivos se justificaba la reforma en la persecución de los fenómenos relacionados con la delincuencia organizada y su vinculación al tráfico de drogas que había recabado la urgente atención y la absoluta prioridad y preocupación de todas las naciones. En tal sentido, la Convención de las Naciones Unidas contra el tráfico ilícito de estupefacientes y sustancias psicotrópicas, hecha en Viena el 20 de diciembre de 1988, insta a las partes firmantes de la misma, entre ellas España, a adoptar las medidas necesarias, incluidas las de orden legislativo y administrativo para hacer frente con la mayor eficacia a los diversos aspectos de tráfico ilícito de estupefacientes y sustancias psicotrópicas que tengan una proyección internacional. Y, el art. 20.1 de la Convención de las Naciones Unidas contra la delincuencia organizada transnacional, hecha en Nueva York el día 15 de noviembre de 2000 y firmada en Palermo el día 13 de diciembre de 2000 (Instrumento de ratificación publicado en el “BOE” de 29 de septiembre de 2003), prevé expresamente su utilización como mecanismo de investigación.</w:t>
      </w:r>
    </w:p>
    <w:p w14:paraId="774C0C38" w14:textId="77777777" w:rsidR="009D7677" w:rsidRDefault="009D7677" w:rsidP="009D7677">
      <w:pPr>
        <w:pStyle w:val="TextoNormal"/>
      </w:pPr>
    </w:p>
    <w:p w14:paraId="55EB6D54" w14:textId="77777777" w:rsidR="009D7677" w:rsidRDefault="009D7677" w:rsidP="009D7677">
      <w:pPr>
        <w:pStyle w:val="TextoNormal"/>
      </w:pPr>
      <w:r>
        <w:t xml:space="preserve">De esta forma, frente a la habilitación genérica a los agentes de policía para realizar operativas de infiltración policial —cuya cobertura legal había que buscarla en el art. 282 LECrim, cuando establece que la policía judicial tiene la obligación de investigar los delitos y practicar “las diligencias necesarias para comprobarlos y descubrir a los delincuentes, y recoger todos los efectos, instrumentos o pruebas del delito de cuya desaparición hubiere peligro, poniéndolos a disposición de la autoridad judicial”; en los arts. 549.1 a) y 550.1 de la Ley Orgánica del Poder Judicial; y en las letras g) y h) del art. 11.1 Ley Orgánica 2/1986, de 13 de marzo, de fuerzas y cuerpos de seguridad, relativas a las funciones de investigar los delitos para descubrir y detener a los presuntos culpables y “[c]aptar, recibir y analizar cuantos datos tengan interés para el orden y la seguridad pública, y estudiar, planificar y ejecutar los métodos y técnicas de prevención de la delincuencia”—, la indicada reforma introduce el art. 282 </w:t>
      </w:r>
      <w:r w:rsidRPr="009D7677">
        <w:rPr>
          <w:i/>
        </w:rPr>
        <w:t>bis</w:t>
      </w:r>
      <w:r>
        <w:t xml:space="preserve"> LECrim ocupándose específicamente de regular la autorización de funcionarios de la Policía judicial para que actúen como agentes encubiertos.</w:t>
      </w:r>
    </w:p>
    <w:p w14:paraId="55ED0FD4" w14:textId="77777777" w:rsidR="009D7677" w:rsidRDefault="009D7677" w:rsidP="009D7677">
      <w:pPr>
        <w:pStyle w:val="TextoNormal"/>
      </w:pPr>
    </w:p>
    <w:p w14:paraId="7D81DE63" w14:textId="77777777" w:rsidR="009D7677" w:rsidRDefault="009D7677" w:rsidP="009D7677">
      <w:pPr>
        <w:pStyle w:val="TextoNormal"/>
      </w:pPr>
      <w:r>
        <w:t>El agente encubierto se regula en la Ley de enjuiciamiento criminal como medida de investigación especial realizada de modo voluntario por los miembros de la policía judicial. Expresamente se reconoce la garantía de la no obligatoriedad de dicha actuación. De modo que, previa autorización del juez de instrucción competente o del Ministerio Fiscal, quedan exceptuados del régimen ordinario de identificación y de responsabilidad penal —otorgándoles identidad supuesta con la que podrán actuar en el tráfico jurídico y exonerándoles de responsabilidad penal— para que puedan participar del entramado organizativo criminal —conjurando así los previsibles riesgos físicos y jurídicos que para los mismos se derivarían—, a fin de detectar la comisión de delitos e informar sobre sus actividades, obtener pruebas inculpatorias y proceder a la detención de sus autores.</w:t>
      </w:r>
    </w:p>
    <w:p w14:paraId="2280FE93" w14:textId="77777777" w:rsidR="009D7677" w:rsidRDefault="009D7677" w:rsidP="009D7677">
      <w:pPr>
        <w:pStyle w:val="TextoNormal"/>
      </w:pPr>
    </w:p>
    <w:p w14:paraId="39B896ED" w14:textId="77777777" w:rsidR="009D7677" w:rsidRDefault="009D7677" w:rsidP="009D7677">
      <w:pPr>
        <w:pStyle w:val="TextoNormal"/>
      </w:pPr>
      <w:r>
        <w:t>Puede afirmarse que la regulación legal, en este caso, no viene a cubrir un vacío normativo, sino que sanciona una técnica de investigación policial que contaba con un genérico soporte legal y jurisprudencial, pero que por diversas razones vinculadas al logro de una mayor eficacia y seguridad —y también, aunque no exclusivamente, a reforzar las garantías de los investigados— era conveniente que fuera específicamente contemplada.</w:t>
      </w:r>
    </w:p>
    <w:p w14:paraId="2E02836D" w14:textId="77777777" w:rsidR="009D7677" w:rsidRDefault="009D7677" w:rsidP="009D7677">
      <w:pPr>
        <w:pStyle w:val="TextoNormal"/>
      </w:pPr>
    </w:p>
    <w:p w14:paraId="56CC2696" w14:textId="77777777" w:rsidR="009D7677" w:rsidRDefault="009D7677" w:rsidP="009D7677">
      <w:pPr>
        <w:pStyle w:val="TextoNormal"/>
      </w:pPr>
      <w:r>
        <w:t>Debe destacarse que la génesis de este instrumento de investigación tiene su origen en un modo de operativa policial en virtud de la cual agentes de policía no uniformados —</w:t>
      </w:r>
      <w:r>
        <w:lastRenderedPageBreak/>
        <w:t>que a diferencia del agente encubierto no utilizan una identidad supuesta— ocultan su identidad de funcionarios de policía y sus verdaderas intenciones —en esto último coinciden con el agente encubierto—, y, amparándose legítimamente en las facultades que el art. 126 CE y —entre otros— el art. 282 LECrim les atribuyen, realizan funciones de vigilancia, prevención, inteligencia o de comprobación de la existencia del delito.</w:t>
      </w:r>
    </w:p>
    <w:p w14:paraId="71E7E898" w14:textId="77777777" w:rsidR="009D7677" w:rsidRDefault="009D7677" w:rsidP="009D7677">
      <w:pPr>
        <w:pStyle w:val="TextoNormal"/>
      </w:pPr>
    </w:p>
    <w:p w14:paraId="3F506956" w14:textId="77777777" w:rsidR="009D7677" w:rsidRDefault="009D7677" w:rsidP="009D7677">
      <w:pPr>
        <w:pStyle w:val="TextoNormal"/>
      </w:pPr>
      <w:r>
        <w:t xml:space="preserve">A tal efecto, en ocasiones su intervención es esporádica, pues se limitan a viajar en medios de transporte con mayores riesgos de vulnerabilidad o a participar en manifestaciones o actos de concurrencia masiva con riesgo de violencia. En otras circunstancias la interacción con el investigado puede prolongarse temporalmente al tener que ganarse la confianza para contactar con las víctimas —en delitos de trata de seres humanos—, o con quienes las explotan o se dedican al tráfico de sustancias estupefacientes o realizan con habitualidad otras actividades delictivas, haciéndose pasar por clientes o consumidores. Incluso —tras la previsión del art. 282 </w:t>
      </w:r>
      <w:r w:rsidRPr="009D7677">
        <w:rPr>
          <w:i/>
        </w:rPr>
        <w:t>bis</w:t>
      </w:r>
      <w:r>
        <w:t xml:space="preserve"> LECrim— en la ejecución de tales funciones pueden anteceder y/o acompañar a quienes han sido habilitados para actuar con identidad supuesta como agentes encubiertos para garantizar el éxito de la operación policial en curso y su seguridad.</w:t>
      </w:r>
    </w:p>
    <w:p w14:paraId="2EF6FE9F" w14:textId="77777777" w:rsidR="009D7677" w:rsidRDefault="009D7677" w:rsidP="009D7677">
      <w:pPr>
        <w:pStyle w:val="TextoNormal"/>
      </w:pPr>
    </w:p>
    <w:p w14:paraId="2456C316" w14:textId="77777777" w:rsidR="009D7677" w:rsidRDefault="009D7677" w:rsidP="009D7677">
      <w:pPr>
        <w:pStyle w:val="TextoNormal"/>
      </w:pPr>
      <w:r>
        <w:t>En todos estos casos, el policía no uniformado que oculta su identidad e intenciones y cuyas funciones no son conocidas por los investigados es el que tiene la iniciativa, alejándole de la condición de agente encubierto las siguientes circunstancias: la inexistencia de previa habilitación por el juez o el fiscal; la no exoneración de responsabilidad penal; así como que su actuación no se realiza bajo identidad supuesta (art. 28</w:t>
      </w:r>
      <w:r w:rsidRPr="009D7677">
        <w:rPr>
          <w:i/>
        </w:rPr>
        <w:t>2 b</w:t>
      </w:r>
      <w:r>
        <w:t>is LECrim).</w:t>
      </w:r>
    </w:p>
    <w:p w14:paraId="63C1A10C" w14:textId="77777777" w:rsidR="009D7677" w:rsidRDefault="009D7677" w:rsidP="009D7677">
      <w:pPr>
        <w:pStyle w:val="TextoNormal"/>
      </w:pPr>
    </w:p>
    <w:p w14:paraId="7A052A2C" w14:textId="77777777" w:rsidR="009D7677" w:rsidRDefault="009D7677" w:rsidP="009D7677">
      <w:pPr>
        <w:pStyle w:val="TextoNormal"/>
      </w:pPr>
      <w:r>
        <w:t xml:space="preserve">En supuestos más excepcionales, son los investigados quienes toman la iniciativa en el contacto con quien saben que es agente de policía, pero le suponen erróneamente corrupto a fin de que facilite la comisión del delito. En tal caso, su intervención puede prolongarse en el tiempo. No es necesario que dicho agente, pese a ocultar sus verdaderas intenciones al ser contactado, sea habilitado como agente encubierto al no exigirse para preservar su seguridad y el éxito de su investigación que actúe con identidad supuesta, ni tan siquiera la debe ocultar al ser su condición de policía conocida y buscada por los investigados. En estos supuestos, el agente de policía puede interactuar con el investigado del mismo modo que pudiera hacerlo el agente encubierto, pero sin que quede amparado por la exención de responsabilidad que el art. 282 </w:t>
      </w:r>
      <w:r w:rsidRPr="009D7677">
        <w:rPr>
          <w:i/>
        </w:rPr>
        <w:t>bis</w:t>
      </w:r>
      <w:r>
        <w:t xml:space="preserve"> LECrim prevé, y, consiguientemente con el riesgo jurídico de verse sometido a un proceso penal, por lo que deberá buscar, en su caso, en otros preceptos distintos el fundamento de su exoneración.</w:t>
      </w:r>
    </w:p>
    <w:p w14:paraId="4C4866FA" w14:textId="77777777" w:rsidR="009D7677" w:rsidRDefault="009D7677" w:rsidP="009D7677">
      <w:pPr>
        <w:pStyle w:val="TextoNormal"/>
      </w:pPr>
    </w:p>
    <w:p w14:paraId="63F7D92F" w14:textId="77777777" w:rsidR="009D7677" w:rsidRDefault="009D7677" w:rsidP="009D7677">
      <w:pPr>
        <w:pStyle w:val="TextoNormal"/>
      </w:pPr>
      <w:r>
        <w:t>Lo que es común a todas estas situaciones y a la operativa del agente encubierto, más allá del carácter más o menos esporádico o prolongado de la interacción entre los policías y los investigados, es la obtención de información del investigado ocultando los verdaderos propósitos e intenciones y, en la mayor parte de las veces, su verdadera identidad. Lo que les distingue, en aras al logro de la consecución de la mayor eficacia de este instrumento de investigación —insistimos que la actuación del agente siempre es voluntaria, como expresamente reconoce el precepto— es la intensificación de las garantías frente a los riesgos físicos y jurídicos a los que se ven expuestos, como veremos a continuación, y también el refuerzo de las garantías del investigado frente a la posibilidad de ser víctima del delito provocado y frente a las eventuales injerencias en su derecho a la intimidad.</w:t>
      </w:r>
    </w:p>
    <w:p w14:paraId="4A31BC94" w14:textId="77777777" w:rsidR="009D7677" w:rsidRDefault="009D7677" w:rsidP="009D7677">
      <w:pPr>
        <w:pStyle w:val="TextoNormal"/>
      </w:pPr>
    </w:p>
    <w:p w14:paraId="6627D9D5" w14:textId="77777777" w:rsidR="009D7677" w:rsidRDefault="009D7677" w:rsidP="009D7677">
      <w:pPr>
        <w:pStyle w:val="TextoNormal"/>
      </w:pPr>
      <w:r>
        <w:lastRenderedPageBreak/>
        <w:t xml:space="preserve">B) </w:t>
      </w:r>
      <w:r w:rsidRPr="009D7677">
        <w:rPr>
          <w:i/>
        </w:rPr>
        <w:t>Finalidad de la regulación del agente encubierto</w:t>
      </w:r>
    </w:p>
    <w:p w14:paraId="2B033AC1" w14:textId="77777777" w:rsidR="009D7677" w:rsidRDefault="009D7677" w:rsidP="009D7677">
      <w:pPr>
        <w:pStyle w:val="TextoNormal"/>
      </w:pPr>
    </w:p>
    <w:p w14:paraId="3DB7541A" w14:textId="77777777" w:rsidR="009D7677" w:rsidRDefault="009D7677" w:rsidP="009D7677">
      <w:pPr>
        <w:pStyle w:val="TextoNormal"/>
      </w:pPr>
      <w:r>
        <w:t xml:space="preserve">La Ley Orgánica 5/1999 introduce, además del art. 263 </w:t>
      </w:r>
      <w:r w:rsidRPr="009D7677">
        <w:rPr>
          <w:i/>
        </w:rPr>
        <w:t>bis</w:t>
      </w:r>
      <w:r>
        <w:t xml:space="preserve"> —que contempla la entrega vigilada—, la regulación en el art. 282 </w:t>
      </w:r>
      <w:r w:rsidRPr="009D7677">
        <w:rPr>
          <w:i/>
        </w:rPr>
        <w:t>bis</w:t>
      </w:r>
      <w:r>
        <w:t xml:space="preserve"> LECrim del agente encubierto en el marco de las investigaciones relacionadas con la denominada “delincuencia organizada” en aras al logro de una mayor eficacia para hacer frente, entre otros, a los delitos de tráfico ilícito de estupefacientes y sustancias psicotrópicas. A tal fin, la regulación distingue claramente las actuaciones que toman en consideración la protección del funcionario de policía —frente a los riesgos físicos y jurídicos de su actuación— y las que pretenden reforzar las indicadas garantías del investigado.</w:t>
      </w:r>
    </w:p>
    <w:p w14:paraId="680E8715" w14:textId="77777777" w:rsidR="009D7677" w:rsidRDefault="009D7677" w:rsidP="009D7677">
      <w:pPr>
        <w:pStyle w:val="TextoNormal"/>
      </w:pPr>
    </w:p>
    <w:p w14:paraId="5ADD690C" w14:textId="77777777" w:rsidR="009D7677" w:rsidRDefault="009D7677" w:rsidP="009D7677">
      <w:pPr>
        <w:pStyle w:val="TextoNormal"/>
      </w:pPr>
      <w:r>
        <w:t xml:space="preserve">En primer lugar, en relación con el funcionario de la policía judicial que voluntariamente se infiltra en el ámbito de la delincuencia organizada, se pretende garantizar su seguridad física y la exoneración de su responsabilidad penal, esto es, preservarle de los riesgos físicos y jurídicos a los que se verá expuesto. Se prevé de este modo un régimen excepcional en relación con su identidad y responsabilidad penal y se establecen contrapesos a fin de garantizar la justificación de dicho tratamiento extraordinario. Esto es, la exigencia de autorización judicial o del Ministerio Fiscal en resolución fundada teniendo en cuenta los fines de la investigación de los delitos que prevé el art. 282 </w:t>
      </w:r>
      <w:r w:rsidRPr="009D7677">
        <w:rPr>
          <w:i/>
        </w:rPr>
        <w:t>bis</w:t>
      </w:r>
      <w:r>
        <w:t xml:space="preserve">.4 LECrim y que la información que vaya obteniendo el agente encubierto deba ser puesta a la mayor brevedad posible en conocimiento de quien autorizó la investigación a fin de adoptar, entre otras medidas, la decisión sobre la continuidad de dicha habilitación (art. 282 </w:t>
      </w:r>
      <w:r w:rsidRPr="009D7677">
        <w:rPr>
          <w:i/>
        </w:rPr>
        <w:t>bis</w:t>
      </w:r>
      <w:r>
        <w:t>.1 LECrim). A ello le dedica el precepto buena parte de su regulación.</w:t>
      </w:r>
    </w:p>
    <w:p w14:paraId="454128D7" w14:textId="77777777" w:rsidR="009D7677" w:rsidRDefault="009D7677" w:rsidP="009D7677">
      <w:pPr>
        <w:pStyle w:val="TextoNormal"/>
      </w:pPr>
    </w:p>
    <w:p w14:paraId="1B71F32A" w14:textId="77777777" w:rsidR="009D7677" w:rsidRDefault="009D7677" w:rsidP="009D7677">
      <w:pPr>
        <w:pStyle w:val="TextoNormal"/>
      </w:pPr>
      <w:r>
        <w:t xml:space="preserve">Y, en segundo lugar, en relación con el investigado, la norma pretende garantizar el respeto de sus derechos fundamentales y conjurar el riesgo de que el delito haya sido provocado. De modo genérico se exige autorización judicial para aquellas actuaciones que realice el agente encubierto una vez habilitado como tal, que conforme a la Constitución y las leyes afecten a sus derechos fundamentales (art. 282 </w:t>
      </w:r>
      <w:r w:rsidRPr="009D7677">
        <w:rPr>
          <w:i/>
        </w:rPr>
        <w:t>bis</w:t>
      </w:r>
      <w:r>
        <w:t xml:space="preserve">.3 LECrim) y, en concreto, se prevé en el propio precepto la exigencia de autorización judicial para casos específicos (art. 282 </w:t>
      </w:r>
      <w:r w:rsidRPr="009D7677">
        <w:rPr>
          <w:i/>
        </w:rPr>
        <w:t>bis</w:t>
      </w:r>
      <w:r>
        <w:t xml:space="preserve">.6 y 7 LECrim). La regulación debe por tanto ponerse en relación con los arts. 579 y 588 </w:t>
      </w:r>
      <w:r w:rsidRPr="009D7677">
        <w:rPr>
          <w:i/>
        </w:rPr>
        <w:t>bis</w:t>
      </w:r>
      <w:r>
        <w:t xml:space="preserve"> a) a 588 </w:t>
      </w:r>
      <w:r w:rsidRPr="009D7677">
        <w:rPr>
          <w:i/>
        </w:rPr>
        <w:t>septies</w:t>
      </w:r>
      <w:r>
        <w:t xml:space="preserve"> c) LECrim, que se refieren a la detención y apertura de la correspondencia escrita y telegráfica, interceptación de las comunicaciones telefónicas y telemáticas, la captación y grabación de comunicaciones orales mediante la utilización de dispositivos electrónicos, la utilización de dispositivos técnicos de seguimiento, localización y captación de la imagen, el registro de dispositivos de almacenamiento masivo de información y los registros remotos sobre equipos informáticos.</w:t>
      </w:r>
    </w:p>
    <w:p w14:paraId="3D9F0397" w14:textId="77777777" w:rsidR="009D7677" w:rsidRDefault="009D7677" w:rsidP="009D7677">
      <w:pPr>
        <w:pStyle w:val="TextoNormal"/>
      </w:pPr>
    </w:p>
    <w:p w14:paraId="2D1C343A" w14:textId="77777777" w:rsidR="009D7677" w:rsidRDefault="009D7677" w:rsidP="009D7677">
      <w:pPr>
        <w:pStyle w:val="TextoNormal"/>
      </w:pPr>
      <w:r>
        <w:t xml:space="preserve">Por otra parte, se establecen garantías a fin de despejar cualquier incertidumbre de provocación delictiva, mediante la exigencia de aportar en su integridad al proceso la información obtenida por el agente encubierto (art. 282 </w:t>
      </w:r>
      <w:r w:rsidRPr="009D7677">
        <w:rPr>
          <w:i/>
        </w:rPr>
        <w:t>bis</w:t>
      </w:r>
      <w:r>
        <w:t>.1 LECrim) y mediante la propia previsión legal de un procedimiento claro y accesible de habilitación al funcionario de policía judicial para que actúe como agente encubierto, cuya premisa fundamental es la preexistencia de indicios de determinados delitos, lo que diluye el riesgo de la provocación delictiva.</w:t>
      </w:r>
    </w:p>
    <w:p w14:paraId="29FCE0E0" w14:textId="77777777" w:rsidR="009D7677" w:rsidRDefault="009D7677" w:rsidP="009D7677">
      <w:pPr>
        <w:pStyle w:val="TextoNormal"/>
      </w:pPr>
    </w:p>
    <w:p w14:paraId="5BE1A864" w14:textId="77777777" w:rsidR="009D7677" w:rsidRDefault="009D7677" w:rsidP="009D7677">
      <w:pPr>
        <w:pStyle w:val="TextoNormal"/>
      </w:pPr>
      <w:r>
        <w:t xml:space="preserve">Debe indicarse que la exigencia constitucional o legal de autorización judicial cuando la actuación del agente encubierto afecte a los derechos fundamentales que el precepto </w:t>
      </w:r>
      <w:r>
        <w:lastRenderedPageBreak/>
        <w:t>prevé, e incluso el derecho a que se incorporen íntegramente al proceso las informaciones obtenidas, es una garantía del investigado tenga o no la actuación del funcionario de policía judicial cobertura de agente encubierto, pues dimanan respectivamente de los derechos fundamentales que exigen constitucional o legalmente la intervención judicial y del derecho a un proceso con todas las garantías.</w:t>
      </w:r>
    </w:p>
    <w:p w14:paraId="2EA40134" w14:textId="77777777" w:rsidR="009D7677" w:rsidRDefault="009D7677" w:rsidP="009D7677">
      <w:pPr>
        <w:pStyle w:val="TextoNormal"/>
      </w:pPr>
    </w:p>
    <w:p w14:paraId="5626C931" w14:textId="77777777" w:rsidR="009D7677" w:rsidRDefault="009D7677" w:rsidP="009D7677">
      <w:pPr>
        <w:pStyle w:val="TextoNormal"/>
      </w:pPr>
      <w:r>
        <w:t>Estas dos finalidades de la regulación serán tratadas a continuación.</w:t>
      </w:r>
    </w:p>
    <w:p w14:paraId="2F633A33" w14:textId="77777777" w:rsidR="009D7677" w:rsidRDefault="009D7677" w:rsidP="009D7677">
      <w:pPr>
        <w:pStyle w:val="TextoNormal"/>
      </w:pPr>
    </w:p>
    <w:p w14:paraId="4253576A" w14:textId="77777777" w:rsidR="009D7677" w:rsidRDefault="009D7677" w:rsidP="009D7677">
      <w:pPr>
        <w:pStyle w:val="TextoNormal"/>
      </w:pPr>
      <w:r>
        <w:t>a) La decisión —de operativa policial— de infiltrar un agente encubierto se produce necesariamente en investigaciones policiales ya iniciadas de las que han resultado informaciones de cierta calidad y, por eso, aptas para poder justificar que el éxito de estas requiere la infiltración —como agente encubierto— de un funcionario de la policía judicial en la organización criminal. Como consecuencia de dicha autorización queda habilitado —en muchos casos quien estaba actuando como infiltrado— para actuar bajo identidad supuesta en todo lo relacionado con la investigación concreta, a participar en el tráfico jurídico y social bajo tal identidad ficticia, a adquirir y transportar los objetos, efectos e instrumentos del delito y diferir la incautación de los mismos. A partir de la autorización queda exento de responsabilidad por aquellas actuaciones que sean consecuencia necesaria del desarrollo de la investigación, siempre que guarden la debida proporcionalidad con la finalidad de la habilitación y no constituyan una provocación al delito. La imposibilidad de proceder penalmente contra el agente encubierto y la expresa autorización para que se le otorgue una identidad falsa y para que pueda operar con la misma frente a terceros, son modificaciones introducidas por la reforma.</w:t>
      </w:r>
    </w:p>
    <w:p w14:paraId="3A6AB688" w14:textId="77777777" w:rsidR="009D7677" w:rsidRDefault="009D7677" w:rsidP="009D7677">
      <w:pPr>
        <w:pStyle w:val="TextoNormal"/>
      </w:pPr>
    </w:p>
    <w:p w14:paraId="0058889E" w14:textId="77777777" w:rsidR="009D7677" w:rsidRDefault="009D7677" w:rsidP="009D7677">
      <w:pPr>
        <w:pStyle w:val="TextoNormal"/>
      </w:pPr>
      <w:r>
        <w:t>De este modo para garantizar su seguridad física y la de su familia se le exceptúa del régimen ordinario de identificación. Se autoriza a modificar la identidad del funcionario de policía judicial otorgándole una nueva identidad irreal que accederá a todas las bases de datos y registros en los que conste y, consiguientemente dará lugar a la expedición de los correlativos documentos que acrediten dicha identidad ficticia (desde DNI, a tarjetas de crédito, antecedentes policiales y penales, hasta la expedición de titulaciones falsas) sin que ni tan siquiera sea necesario desvelar su identidad real al testificar en el proceso. Queda habilitado para operar con dicha identidad falsa no solo frente al investigado sino también frente a terceros y en el propio proceso penal:</w:t>
      </w:r>
    </w:p>
    <w:p w14:paraId="78873FEC" w14:textId="77777777" w:rsidR="009D7677" w:rsidRDefault="009D7677" w:rsidP="009D7677">
      <w:pPr>
        <w:pStyle w:val="TextoNormal"/>
      </w:pPr>
    </w:p>
    <w:p w14:paraId="2CB21243" w14:textId="77777777" w:rsidR="009D7677" w:rsidRDefault="009D7677" w:rsidP="009D7677">
      <w:pPr>
        <w:pStyle w:val="TextoNormal"/>
      </w:pPr>
      <w:r>
        <w:t>“La identidad supuesta será otorgada por el Ministerio del Interior por el plazo de seis meses prorrogables por períodos de igual duración, quedando legítimamente habilitados para actuar en todo lo relacionado con la investigación concreta y a participar en el tráfico jurídico y social bajo tal identidad.</w:t>
      </w:r>
    </w:p>
    <w:p w14:paraId="51DE7458" w14:textId="77777777" w:rsidR="009D7677" w:rsidRDefault="009D7677" w:rsidP="009D7677">
      <w:pPr>
        <w:pStyle w:val="TextoNormal"/>
      </w:pPr>
    </w:p>
    <w:p w14:paraId="4281CF3C" w14:textId="77777777" w:rsidR="009D7677" w:rsidRDefault="009D7677" w:rsidP="009D7677">
      <w:pPr>
        <w:pStyle w:val="TextoNormal"/>
      </w:pPr>
      <w:r>
        <w:t>La resolución por la que se acuerde deberá consignar el nombre verdadero del agente y la identidad supuesta con la que actuará en el caso concreto. La resolución será reservada y deberá conservarse fuera de las actuaciones con la debida seguridad.</w:t>
      </w:r>
    </w:p>
    <w:p w14:paraId="2C783B03" w14:textId="77777777" w:rsidR="009D7677" w:rsidRDefault="009D7677" w:rsidP="009D7677">
      <w:pPr>
        <w:pStyle w:val="TextoNormal"/>
      </w:pPr>
    </w:p>
    <w:p w14:paraId="19767FD4" w14:textId="77777777" w:rsidR="009D7677" w:rsidRDefault="009D7677" w:rsidP="009D7677">
      <w:pPr>
        <w:pStyle w:val="TextoNormal"/>
      </w:pPr>
      <w:r>
        <w:t xml:space="preserve">[…] </w:t>
      </w:r>
    </w:p>
    <w:p w14:paraId="4FE6B6CE" w14:textId="77777777" w:rsidR="009D7677" w:rsidRDefault="009D7677" w:rsidP="009D7677">
      <w:pPr>
        <w:pStyle w:val="TextoNormal"/>
      </w:pPr>
    </w:p>
    <w:p w14:paraId="445DF63C" w14:textId="77777777" w:rsidR="009D7677" w:rsidRDefault="009D7677" w:rsidP="009D7677">
      <w:pPr>
        <w:pStyle w:val="TextoNormal"/>
      </w:pPr>
      <w:r>
        <w:t xml:space="preserve">2. Los funcionarios de la policía judicial que hubieran actuado en una investigación con identidad falsa de conformidad a lo previsto en el apartado 1, podrán mantener dicha identidad cuando testifiquen en el proceso que pudiera derivarse de los hechos en que hubieran </w:t>
      </w:r>
      <w:r>
        <w:lastRenderedPageBreak/>
        <w:t>intervenido y siempre que así se acuerde mediante resolución judicial motivada, siéndole también de aplicación lo previsto en la Ley Orgánica 19/1994, de 23 de diciembre” (art. 28</w:t>
      </w:r>
      <w:r w:rsidRPr="009D7677">
        <w:rPr>
          <w:i/>
        </w:rPr>
        <w:t>2 b</w:t>
      </w:r>
      <w:r>
        <w:t>is.1 y 2 LECrim).</w:t>
      </w:r>
    </w:p>
    <w:p w14:paraId="43F59BD2" w14:textId="77777777" w:rsidR="009D7677" w:rsidRDefault="009D7677" w:rsidP="009D7677">
      <w:pPr>
        <w:pStyle w:val="TextoNormal"/>
      </w:pPr>
    </w:p>
    <w:p w14:paraId="7CBAF611" w14:textId="77777777" w:rsidR="009D7677" w:rsidRDefault="009D7677" w:rsidP="009D7677">
      <w:pPr>
        <w:pStyle w:val="TextoNormal"/>
      </w:pPr>
      <w:r>
        <w:t>Para asegurar su inmunidad se prevén garantías frente a un eventual proceso por la colaboración directa en acciones criminales y frente a la detención. Se establece la exención de responsabilidad a través de una previa verificación de su habilitación y actuación antes de poder proceder penalmente contra el mismo, evitando el riesgo jurídico de ser encausado en un procedimiento penal.</w:t>
      </w:r>
    </w:p>
    <w:p w14:paraId="3CF593F3" w14:textId="77777777" w:rsidR="009D7677" w:rsidRDefault="009D7677" w:rsidP="009D7677">
      <w:pPr>
        <w:pStyle w:val="TextoNormal"/>
      </w:pPr>
    </w:p>
    <w:p w14:paraId="394266FC" w14:textId="77777777" w:rsidR="009D7677" w:rsidRDefault="009D7677" w:rsidP="009D7677">
      <w:pPr>
        <w:pStyle w:val="TextoNormal"/>
      </w:pPr>
      <w:r>
        <w:t>En tal sentido el art. 28</w:t>
      </w:r>
      <w:r w:rsidRPr="009D7677">
        <w:rPr>
          <w:i/>
        </w:rPr>
        <w:t>2 b</w:t>
      </w:r>
      <w:r>
        <w:t>is.1 y 5 LECrim indica:</w:t>
      </w:r>
    </w:p>
    <w:p w14:paraId="117F6632" w14:textId="77777777" w:rsidR="009D7677" w:rsidRDefault="009D7677" w:rsidP="009D7677">
      <w:pPr>
        <w:pStyle w:val="TextoNormal"/>
      </w:pPr>
    </w:p>
    <w:p w14:paraId="59FA8E7C" w14:textId="77777777" w:rsidR="009D7677" w:rsidRDefault="009D7677" w:rsidP="009D7677">
      <w:pPr>
        <w:pStyle w:val="TextoNormal"/>
      </w:pPr>
      <w:r>
        <w:t>“1. A los fines previstos en el artículo anterior y cuando se trate de investigaciones que afecten a actividades propias de la delincuencia organizada, el juez de instrucción competente o el Ministerio Fiscal dando cuenta inmediata al juez, podrán autorizar a funcionarios de la Policía judicial, mediante resolución fundada y teniendo en cuenta su necesidad a los fines de la investigación, a actuar bajo identidad supuesta y a adquirir y transportar los objetos, efectos e instrumentos del delito y diferir la incautación de los mismos”.</w:t>
      </w:r>
    </w:p>
    <w:p w14:paraId="3409F84A" w14:textId="77777777" w:rsidR="009D7677" w:rsidRDefault="009D7677" w:rsidP="009D7677">
      <w:pPr>
        <w:pStyle w:val="TextoNormal"/>
      </w:pPr>
    </w:p>
    <w:p w14:paraId="646CBA17" w14:textId="77777777" w:rsidR="009D7677" w:rsidRDefault="009D7677" w:rsidP="009D7677">
      <w:pPr>
        <w:pStyle w:val="TextoNormal"/>
      </w:pPr>
      <w:r>
        <w:t>“5. El agente encubierto estará exento de responsabilidad criminal por aquellas actuaciones que sean consecuencia necesaria del desarrollo de la investigación, siempre que guarden la debida proporcionalidad con la finalidad de la misma y no constituyan una provocación al delito.</w:t>
      </w:r>
    </w:p>
    <w:p w14:paraId="45085B83" w14:textId="77777777" w:rsidR="009D7677" w:rsidRDefault="009D7677" w:rsidP="009D7677">
      <w:pPr>
        <w:pStyle w:val="TextoNormal"/>
      </w:pPr>
    </w:p>
    <w:p w14:paraId="01263F04" w14:textId="77777777" w:rsidR="009D7677" w:rsidRDefault="009D7677" w:rsidP="009D7677">
      <w:pPr>
        <w:pStyle w:val="TextoNormal"/>
      </w:pPr>
      <w:r>
        <w:t>Para poder proceder penalmente contra el mismo por las actuaciones realizadas a los fines de la investigación, el juez competente para conocer la causa deberá, tan pronto tenga conocimiento de la actuación de algún agente encubierto en la misma, requerir informe relativo a tal circunstancia de quien hubiere autorizado la identidad supuesta, en atención al cual resolverá lo que a su criterio proceda” (art. 28</w:t>
      </w:r>
      <w:r w:rsidRPr="009D7677">
        <w:rPr>
          <w:i/>
        </w:rPr>
        <w:t>2 b</w:t>
      </w:r>
      <w:r>
        <w:t>is.5 LECrim).</w:t>
      </w:r>
    </w:p>
    <w:p w14:paraId="0A734AAF" w14:textId="77777777" w:rsidR="009D7677" w:rsidRDefault="009D7677" w:rsidP="009D7677">
      <w:pPr>
        <w:pStyle w:val="TextoNormal"/>
      </w:pPr>
    </w:p>
    <w:p w14:paraId="4D07885B" w14:textId="77777777" w:rsidR="009D7677" w:rsidRDefault="009D7677" w:rsidP="009D7677">
      <w:pPr>
        <w:pStyle w:val="TextoNormal"/>
      </w:pPr>
      <w:r>
        <w:t>La mera habilitación a un funcionario de policía para que actúe como agente encubierto, refuerza la posición y las garantías del agente habilitado en el desempeño de su función policial. De este modo se logra la eficacia pretendida con la regulación de esta medida de investigación, y, tangencialmente —como veremos— se refuerzan también las garantías del investigado frente al delito provocado.</w:t>
      </w:r>
    </w:p>
    <w:p w14:paraId="651D9680" w14:textId="77777777" w:rsidR="009D7677" w:rsidRDefault="009D7677" w:rsidP="009D7677">
      <w:pPr>
        <w:pStyle w:val="TextoNormal"/>
      </w:pPr>
    </w:p>
    <w:p w14:paraId="272F4ABD" w14:textId="77777777" w:rsidR="009D7677" w:rsidRDefault="009D7677" w:rsidP="009D7677">
      <w:pPr>
        <w:pStyle w:val="TextoNormal"/>
      </w:pPr>
      <w:r>
        <w:t xml:space="preserve">La autorización para el otorgamiento de una nueva identidad irreal con la que operar en el tráfico jurídico y social, y el reconocimiento —concurriendo determinados requisitos— de la inmunidad, exigen, como se ha adelantado, que se investiguen actividades propias de la delincuencia organizada dirigidas a cometer los delitos previstos en el apartado 4 del art. 282 </w:t>
      </w:r>
      <w:r w:rsidRPr="009D7677">
        <w:rPr>
          <w:i/>
        </w:rPr>
        <w:t>bis</w:t>
      </w:r>
      <w:r>
        <w:t xml:space="preserve"> LECrim, y que exista una autorización al funcionario de la policía judicial otorgada por el juez de instrucción competente o el Ministerio Fiscal, mediante una resolución fundada y teniendo en cuenta su necesidad para los fines de la investigación (art. 282 </w:t>
      </w:r>
      <w:r w:rsidRPr="009D7677">
        <w:rPr>
          <w:i/>
        </w:rPr>
        <w:t>bis</w:t>
      </w:r>
      <w:r>
        <w:t>.1 LECrim), de la que se dará cuenta inmediata al juez. El mantenimiento de dicha situación, así como la toma de decisiones de operativa policial, dependerá de la información que a la mayor brevedad posible ponga en conocimiento el agente encubierto.</w:t>
      </w:r>
    </w:p>
    <w:p w14:paraId="7957768F" w14:textId="77777777" w:rsidR="009D7677" w:rsidRDefault="009D7677" w:rsidP="009D7677">
      <w:pPr>
        <w:pStyle w:val="TextoNormal"/>
      </w:pPr>
    </w:p>
    <w:p w14:paraId="6B5157BF" w14:textId="77777777" w:rsidR="009D7677" w:rsidRDefault="009D7677" w:rsidP="009D7677">
      <w:pPr>
        <w:pStyle w:val="TextoNormal"/>
      </w:pPr>
      <w:r>
        <w:lastRenderedPageBreak/>
        <w:t>No puede afirmarse que antes —y después— de dicha previsión legal el agente que actuaba o actúa, sin autorización judicial o del Ministerio Fiscal esté al margen de la ley pues se trata de una actuación de la policía judicial, en ocasiones siguiendo indicaciones del Ministerio Fiscal en el marco de unas diligencias preprocesales, en cumplimiento de las funciones que el ordenamiento le impone en la averiguación de los delitos y el descubrimiento y aseguramiento de los delincuentes (arts. 126 CE y 282 LECrim). Las declaraciones prestadas por los agentes infiltrados podrán ser valoradas como prueba, si bien en caso de cuestionarse su actuación no tendrá las garantías de exoneración de responsabilidad de quien actúa con la habilitación legalmente concedida y por otra parte deberá extremarse el control judicial a fin de descartar que el investigado ha sido objeto de provocación delictiva. La actuación del infiltrado, tanto antes de ser habilitado como agente encubierto como después, salvo que suponga una provocación del delito a quien no quería cometerlo o de otra forma vulnere los derechos fundamentales, será lícita y su declaración podrá servir de prueba en el acto del juicio.</w:t>
      </w:r>
    </w:p>
    <w:p w14:paraId="5EC9920D" w14:textId="77777777" w:rsidR="009D7677" w:rsidRDefault="009D7677" w:rsidP="009D7677">
      <w:pPr>
        <w:pStyle w:val="TextoNormal"/>
      </w:pPr>
    </w:p>
    <w:p w14:paraId="7FC50DB9" w14:textId="77777777" w:rsidR="009D7677" w:rsidRDefault="009D7677" w:rsidP="009D7677">
      <w:pPr>
        <w:pStyle w:val="TextoNormal"/>
      </w:pPr>
      <w:r>
        <w:t xml:space="preserve">b) En relación con el investigado, como se ha adelantado, el precepto pretende reforzar el respeto de sus derechos fundamentales al exigir autorización judicial para las actuaciones del agente encubierto que con carácter general afecten a sus derechos fundamentales e imponer autorización judicial específica para actuar con la identidad supuesta en comunicaciones mantenidas en canales cerrados de comunicación y para intercambiar o enviar por sí mismo archivos ilícitos por razón de su contenido, o la obtención de imágenes y la grabación de conversaciones que puedan mantenerse entre el agente y el investigado (art. 282 </w:t>
      </w:r>
      <w:r w:rsidRPr="009D7677">
        <w:rPr>
          <w:i/>
        </w:rPr>
        <w:t>bis</w:t>
      </w:r>
      <w:r>
        <w:t>.3, 6 y 7 LECrim). Y, por otra parte, y esto es lo determinante —que le aleja de figuras similares— el precepto busca reforzar las previsiones para evitar que pueda ser víctima de un eventual delito provocado.</w:t>
      </w:r>
    </w:p>
    <w:p w14:paraId="01B12EDC" w14:textId="77777777" w:rsidR="009D7677" w:rsidRDefault="009D7677" w:rsidP="009D7677">
      <w:pPr>
        <w:pStyle w:val="TextoNormal"/>
      </w:pPr>
    </w:p>
    <w:p w14:paraId="58F72487" w14:textId="77777777" w:rsidR="009D7677" w:rsidRDefault="009D7677" w:rsidP="009D7677">
      <w:pPr>
        <w:pStyle w:val="TextoNormal"/>
      </w:pPr>
      <w:r>
        <w:t xml:space="preserve">En este sentido, debe interpretarse la propia previsión legal de un procedimiento claro y accesible de habilitación de la operación encubierta por el Ministerio Fiscal o por el órgano judicial, basado en la preexistencia de indicios de delito y el reconocimiento del derecho a la aportación en su integridad al proceso de la información obtenida por el agente encubierto (art. 282 </w:t>
      </w:r>
      <w:r w:rsidRPr="009D7677">
        <w:rPr>
          <w:i/>
        </w:rPr>
        <w:t>bis</w:t>
      </w:r>
      <w:r>
        <w:t>.1 LECrim). Debe indicarse que esta última garantía —pero no la primera, sobre la que volveremos al examinar la doctrina del Tribunal Europeo de Derechos Humanos— la tendrá el investigado tenga o no la actuación del funcionario de Policía judicial cobertura de agente encubierto, esto es, aun cuando no actúe bajo identidad supuesta y no esté inicialmente exento de responsabilidad penal, al encontrarse vinculada al derecho a un proceso con todas las garantías [arts. 24.2 CE y 6 del Convenio europeo para la protección de los derechos humanos y de las libertades fundamentales (CEDH)].</w:t>
      </w:r>
    </w:p>
    <w:p w14:paraId="0CA48270" w14:textId="77777777" w:rsidR="009D7677" w:rsidRDefault="009D7677" w:rsidP="009D7677">
      <w:pPr>
        <w:pStyle w:val="TextoNormal"/>
      </w:pPr>
    </w:p>
    <w:p w14:paraId="6BE46D16" w14:textId="77777777" w:rsidR="009D7677" w:rsidRDefault="009D7677" w:rsidP="009D7677">
      <w:pPr>
        <w:pStyle w:val="TextoNormal"/>
      </w:pPr>
      <w:r>
        <w:t xml:space="preserve">C) </w:t>
      </w:r>
      <w:r w:rsidRPr="009D7677">
        <w:rPr>
          <w:i/>
        </w:rPr>
        <w:t>Alcance y sentido de la dación de cuenta inmediata al juez de la autorización concedida por el Ministerio Fiscal</w:t>
      </w:r>
    </w:p>
    <w:p w14:paraId="09317FE1" w14:textId="77777777" w:rsidR="009D7677" w:rsidRDefault="009D7677" w:rsidP="009D7677">
      <w:pPr>
        <w:pStyle w:val="TextoNormal"/>
      </w:pPr>
    </w:p>
    <w:p w14:paraId="6C14CAE9" w14:textId="77777777" w:rsidR="009D7677" w:rsidRDefault="009D7677" w:rsidP="009D7677">
      <w:pPr>
        <w:pStyle w:val="TextoNormal"/>
      </w:pPr>
      <w:r>
        <w:t xml:space="preserve">Como se ha expuesto, el Ministerio Fiscal “dando cuenta inmediata al juez” podrá autorizar a funcionarios de la Policía judicial a que actúen como agentes encubiertos. Este tribunal considera que debe efectuarse una interpretación sistemática y finalista de la exigencia de comunicación inmediata al juez acorde tanto con las normas que regulan la investigación preprocesal del Ministerio Fiscal como con el espíritu y finalidad del art. 282 </w:t>
      </w:r>
      <w:r w:rsidRPr="009D7677">
        <w:rPr>
          <w:i/>
        </w:rPr>
        <w:t>bis</w:t>
      </w:r>
      <w:r>
        <w:t xml:space="preserve"> LECrim que atribuye al fiscal la realización de investigaciones valiéndose de la figura del agente encubierto.</w:t>
      </w:r>
    </w:p>
    <w:p w14:paraId="03FC9033" w14:textId="77777777" w:rsidR="009D7677" w:rsidRDefault="009D7677" w:rsidP="009D7677">
      <w:pPr>
        <w:pStyle w:val="TextoNormal"/>
      </w:pPr>
    </w:p>
    <w:p w14:paraId="7FE9EB57" w14:textId="77777777" w:rsidR="009D7677" w:rsidRDefault="009D7677" w:rsidP="009D7677">
      <w:pPr>
        <w:pStyle w:val="TextoNormal"/>
      </w:pPr>
      <w:r>
        <w:t>La norma no puede ser interpretada en su literalidad por las razones que se expresan a continuación:</w:t>
      </w:r>
    </w:p>
    <w:p w14:paraId="45FA6C23" w14:textId="77777777" w:rsidR="009D7677" w:rsidRDefault="009D7677" w:rsidP="009D7677">
      <w:pPr>
        <w:pStyle w:val="TextoNormal"/>
      </w:pPr>
    </w:p>
    <w:p w14:paraId="71B8279C" w14:textId="77777777" w:rsidR="009D7677" w:rsidRDefault="009D7677" w:rsidP="009D7677">
      <w:pPr>
        <w:pStyle w:val="TextoNormal"/>
      </w:pPr>
      <w:r>
        <w:t>No debe pasarse por alto que la policía judicial no solo depende de los jueces y tribunales, sino que en sus funciones de averiguación del delito y descubrimiento y aseguramiento del delincuente también está sometida al Ministerio Fiscal (art. 126 CE). En el desarrollo del indicado precepto, en el marco de la actividad extraprocesal que desarrolla la Fiscalía para el esclarecimiento de los hechos que aparezcan en los atestados de los que conozca, el Ministerio Fiscal puede llevar a cabo u ordenar —sin supervisión inmediata de los jueces y tribunales— aquellas diligencias para las que esté legitimado según la Ley de enjuiciamiento criminal (apartados segundo y tercero del art. 5 EOMF), salvo que sean limitativas de derechos fundamentales.</w:t>
      </w:r>
    </w:p>
    <w:p w14:paraId="3374743A" w14:textId="77777777" w:rsidR="009D7677" w:rsidRDefault="009D7677" w:rsidP="009D7677">
      <w:pPr>
        <w:pStyle w:val="TextoNormal"/>
      </w:pPr>
    </w:p>
    <w:p w14:paraId="010BF5B4" w14:textId="77777777" w:rsidR="009D7677" w:rsidRDefault="009D7677" w:rsidP="009D7677">
      <w:pPr>
        <w:pStyle w:val="TextoNormal"/>
      </w:pPr>
      <w:r>
        <w:t>A tal fin, el Ministerio Fiscal incoará diligencias preprocesales que cuando alcancen la finalidad pretendida por su incoación y en todo caso transcurrido el plazo de duración legalmente previsto (art. 5.2 EOMF) deberán ser comunicadas sin demora, de modo inmediato, al órgano judicial. Ese es el momento al que debe referirse la exigencia legal “dando cuenta inmediata al juez” y no al instante de dictarse el decreto de habilitación del agente encubierto. En caso contrario, de interpretarse que el precepto exige la inmediata dación de cuenta al juez del decreto inicial perdería sentido la propia previsión legal que habilita al fiscal a servirse de agentes encubiertos para la investigación de determinados delitos. En efecto, debe recordarse que la mera comunicación al juez de la existencia de hechos constitutivos de delito determinaría la apertura de diligencias previas por el órgano judicial (art. 774 LECrim) y, por imperativo del art. 773.2 LECrim, el cese de las diligencias preprocesales incoadas por el Ministerio Fiscal.</w:t>
      </w:r>
    </w:p>
    <w:p w14:paraId="4FBCB44B" w14:textId="77777777" w:rsidR="009D7677" w:rsidRDefault="009D7677" w:rsidP="009D7677">
      <w:pPr>
        <w:pStyle w:val="TextoNormal"/>
      </w:pPr>
    </w:p>
    <w:p w14:paraId="48B11C3B" w14:textId="77777777" w:rsidR="009D7677" w:rsidRDefault="009D7677" w:rsidP="009D7677">
      <w:pPr>
        <w:pStyle w:val="TextoNormal"/>
      </w:pPr>
      <w:r>
        <w:t xml:space="preserve">Por tanto, la proyección de la exigencia de dación de cuenta inmediata al momento de concluirse las diligencias preprocesales es coherente con: (i) la ausencia de previsión normativa de un procedimiento en el que el juez pueda controlar o revocar la habilitación otorgada por el fiscal; (ii) el espíritu y finalidad del art. 282 </w:t>
      </w:r>
      <w:r w:rsidRPr="009D7677">
        <w:rPr>
          <w:i/>
        </w:rPr>
        <w:t>bis</w:t>
      </w:r>
      <w:r>
        <w:t xml:space="preserve"> LECrim que posibilita al fiscal la realización de investigaciones valiéndose de agentes encubiertos; (iii) con los derechos del investigado que, en el momento en que se judicialicen las diligencias (art. 5.3 EOMF) podrá cuestionar ante el juez competente la regularidad de la habilitación; (iv) y, finalmente, con la circunstancia —que más adelante examinaremos— de que la mera habilitación del agente encubierto no afecta a derecho fundamental alguno y cuanto tales derechos puedan verse afectados por su actuación, entonces sí interviene el órgano judicial mediante la autorización judicial en los términos que establezca la Constitución y la ley (art. 28</w:t>
      </w:r>
      <w:r w:rsidRPr="009D7677">
        <w:rPr>
          <w:i/>
        </w:rPr>
        <w:t>2 b</w:t>
      </w:r>
      <w:r>
        <w:t>is.3 LECrim).</w:t>
      </w:r>
    </w:p>
    <w:p w14:paraId="63781269" w14:textId="77777777" w:rsidR="009D7677" w:rsidRDefault="009D7677" w:rsidP="009D7677">
      <w:pPr>
        <w:pStyle w:val="TextoNormal"/>
      </w:pPr>
    </w:p>
    <w:p w14:paraId="18148AE1" w14:textId="77777777" w:rsidR="009D7677" w:rsidRDefault="009D7677" w:rsidP="009D7677">
      <w:pPr>
        <w:pStyle w:val="TextoNormal"/>
      </w:pPr>
      <w:r>
        <w:t>En el presente caso, el fiscal jefe de la Fiscalía Especial Antidroga autorizó mediante decreto de 22 de enero de 2019 la intervención de tres agentes encubiertos, que fue prorrogado por otro decreto de 19 de febrero de 2019. Posteriormente, por otro decreto de 19 de marzo de 2019 nuevamente se prorrogó la autorización a dos de los agentes y se autorizó la actuación de otros dos. Y, finalmente, una vez remitidas las diligencias a la Fiscalía Provincial de Madrid el 2 de abril de 2019, esta, por decreto de 4 de abril de 2019 acordó su conclusión y en la misma resolución su inmediata judicialización remitiendo las dili</w:t>
      </w:r>
      <w:r>
        <w:lastRenderedPageBreak/>
        <w:t>gencias practicadas junto con la denuncia del Ministerio Fiscal al Juzgado Decano de Madrid.</w:t>
      </w:r>
    </w:p>
    <w:p w14:paraId="6AAA7C8D" w14:textId="77777777" w:rsidR="009D7677" w:rsidRDefault="009D7677" w:rsidP="009D7677">
      <w:pPr>
        <w:pStyle w:val="TextoNormal"/>
      </w:pPr>
    </w:p>
    <w:p w14:paraId="29579A6E" w14:textId="77777777" w:rsidR="009D7677" w:rsidRDefault="009D7677" w:rsidP="009D7677">
      <w:pPr>
        <w:pStyle w:val="TextoNormal"/>
      </w:pPr>
      <w:r>
        <w:t>De lo expuesto, podemos adelantar que no existió demora alguna en la dación de cuenta al órgano judicial de las diligencias preprocesales, pues en unidad de acto se acordó su conclusión y su remisión al órgano judicial tan pronto como el estado de la investigación evidenció la existencia de hechos con significación penal (art. 5.2 EOMF).</w:t>
      </w:r>
    </w:p>
    <w:p w14:paraId="54F47749" w14:textId="77777777" w:rsidR="009D7677" w:rsidRDefault="009D7677" w:rsidP="009D7677">
      <w:pPr>
        <w:pStyle w:val="TextoNormal"/>
      </w:pPr>
    </w:p>
    <w:p w14:paraId="5A404EA5" w14:textId="77777777" w:rsidR="009D7677" w:rsidRDefault="009D7677" w:rsidP="009D7677">
      <w:pPr>
        <w:pStyle w:val="TextoNormal"/>
      </w:pPr>
      <w:r>
        <w:t xml:space="preserve">D) </w:t>
      </w:r>
      <w:r w:rsidRPr="009D7677">
        <w:rPr>
          <w:i/>
        </w:rPr>
        <w:t>Las exigencias del Convenio europeo para la protección de los derechos humanos y de las libertades fundamentales en relación con los pronunciamientos del Tribunal Europeo de Derechos Humanos</w:t>
      </w:r>
    </w:p>
    <w:p w14:paraId="163A525D" w14:textId="77777777" w:rsidR="009D7677" w:rsidRDefault="009D7677" w:rsidP="009D7677">
      <w:pPr>
        <w:pStyle w:val="TextoNormal"/>
      </w:pPr>
    </w:p>
    <w:p w14:paraId="7964E766" w14:textId="77777777" w:rsidR="009D7677" w:rsidRDefault="009D7677" w:rsidP="009D7677">
      <w:pPr>
        <w:pStyle w:val="TextoNormal"/>
      </w:pPr>
      <w:r>
        <w:t xml:space="preserve">Para el Tribunal Europeo de Derechos Humanos “el aumento de la delincuencia organizada y las dificultades a las que se enfrentan los órganos encargados de hacer cumplir la ley para detectar e investigar delitos han justificado la adopción de medidas adecuadas. Ha subrayado que la policía se ve cada vez más obligada a recurrir a agentes infiltrados, informadores y prácticas encubiertas, en particular para luchar contra la delincuencia organizada y la corrupción”. (STEDH de 30 de octubre de 2014, asunto </w:t>
      </w:r>
      <w:r w:rsidRPr="009D7677">
        <w:rPr>
          <w:i/>
        </w:rPr>
        <w:t>Nosko y Nefedov c. Russia</w:t>
      </w:r>
      <w:r>
        <w:t>, § 49). Ahora bien, “el recurso a agentes infiltrados debe limitarse y deben establecerse garantías incluso en los casos relativos a la lucha contra el tráfico de drogas. […]. Los requisitos generales de equidad consagrados en el artículo 6 se aplican a los procedimientos relativos a todo tipo de infracciones penales, desde las más sencillas a las más complejas. El interés público no puede justificar el uso de pruebas obtenidas como resultado de la incitación policial” (STEDH de 9 de junio de 1998, asunt</w:t>
      </w:r>
      <w:r w:rsidRPr="009D7677">
        <w:rPr>
          <w:i/>
        </w:rPr>
        <w:t>o Teixeira de Castro c. Portug</w:t>
      </w:r>
      <w:r>
        <w:t>al, § 36).</w:t>
      </w:r>
    </w:p>
    <w:p w14:paraId="4BAA8E22" w14:textId="77777777" w:rsidR="009D7677" w:rsidRDefault="009D7677" w:rsidP="009D7677">
      <w:pPr>
        <w:pStyle w:val="TextoNormal"/>
      </w:pPr>
    </w:p>
    <w:p w14:paraId="7C9055D3" w14:textId="77777777" w:rsidR="009D7677" w:rsidRDefault="009D7677" w:rsidP="009D7677">
      <w:pPr>
        <w:pStyle w:val="TextoNormal"/>
      </w:pPr>
      <w:r>
        <w:t>Conviene ya adelantar —sin perjuicio de volver sobre ello más adelante— que, como ha afirmado el Ministerio Fiscal en sus alegaciones, el Tribunal Europeo de Derechos Humanos descarta la posible afectación del derecho a la intimidad del investigado por la actuación del agente encubierto al asumir el investigado, el riesgo de que su interlocutor fuera un agente de policía. En tal sentido indica la STEDH de 15 de junio de 1992, asunt</w:t>
      </w:r>
      <w:r w:rsidRPr="009D7677">
        <w:rPr>
          <w:i/>
        </w:rPr>
        <w:t>o Lüdi c. Sui</w:t>
      </w:r>
      <w:r>
        <w:t>za, § 40:</w:t>
      </w:r>
    </w:p>
    <w:p w14:paraId="61E1FB2E" w14:textId="77777777" w:rsidR="009D7677" w:rsidRDefault="009D7677" w:rsidP="009D7677">
      <w:pPr>
        <w:pStyle w:val="TextoNormal"/>
      </w:pPr>
    </w:p>
    <w:p w14:paraId="67EB776D" w14:textId="77777777" w:rsidR="009D7677" w:rsidRDefault="009D7677" w:rsidP="009D7677">
      <w:pPr>
        <w:pStyle w:val="TextoNormal"/>
      </w:pPr>
      <w:r>
        <w:t>“[E]n el presente caso la utilización de un agente encubierto no afectó, ni en sí misma ni en combinación con las escuchas telefónicas, a la esfera de la vida privada en el sentido del artículo 8 (art. 8).</w:t>
      </w:r>
    </w:p>
    <w:p w14:paraId="037844D3" w14:textId="77777777" w:rsidR="009D7677" w:rsidRDefault="009D7677" w:rsidP="009D7677">
      <w:pPr>
        <w:pStyle w:val="TextoNormal"/>
      </w:pPr>
    </w:p>
    <w:p w14:paraId="009B689A" w14:textId="77777777" w:rsidR="009D7677" w:rsidRDefault="009D7677" w:rsidP="009D7677">
      <w:pPr>
        <w:pStyle w:val="TextoNormal"/>
      </w:pPr>
      <w:r>
        <w:t xml:space="preserve">La intervención [del agente encubierto] tuvo lugar en el contexto de una transacción de cinco kilogramos de cocaína. Alertadas por la policía alemana, las autoridades cantonales designaron a un agente jurado para que se infiltrara en lo que creían que era una importante red de traficantes que pretendía trasladar dicha cantidad de drogas a Suiza. El objetivo de la operación era detener a los instigadores en el momento de la entrega de la droga. [El agente encubierto] se puso entonces en contacto con el demandante, quien le dijo que estaba dispuesto a venderle dos kilogramos de cocaína por valor de 200 000 francos suizos (véanse los apartados 9 y 13 </w:t>
      </w:r>
      <w:r w:rsidRPr="009D7677">
        <w:rPr>
          <w:i/>
        </w:rPr>
        <w:t>supra</w:t>
      </w:r>
      <w:r>
        <w:t xml:space="preserve">). Por tanto, a partir de ese momento, el señor Lüdi debió darse cuenta de que estaba cometiendo un acto delictivo comprendido en el ámbito de aplicación del artículo 19 de la Ley sobre estupefacientes y que, por tanto, corría el riesgo </w:t>
      </w:r>
      <w:r>
        <w:lastRenderedPageBreak/>
        <w:t>de encontrarse con un agente de policía encubierto que, de hecho, se encargaba de desenmascararle”.</w:t>
      </w:r>
    </w:p>
    <w:p w14:paraId="15252BE4" w14:textId="77777777" w:rsidR="009D7677" w:rsidRDefault="009D7677" w:rsidP="009D7677">
      <w:pPr>
        <w:pStyle w:val="TextoNormal"/>
      </w:pPr>
    </w:p>
    <w:p w14:paraId="548F4C05" w14:textId="77777777" w:rsidR="009D7677" w:rsidRDefault="009D7677" w:rsidP="009D7677">
      <w:pPr>
        <w:pStyle w:val="TextoNormal"/>
      </w:pPr>
      <w:r>
        <w:t xml:space="preserve">Con sustento en el mismo argumento de dicha sentencia, la STEDH de 23 de octubre de 2018, asunto </w:t>
      </w:r>
      <w:r w:rsidRPr="009D7677">
        <w:rPr>
          <w:i/>
        </w:rPr>
        <w:t>Guerni c. Bélgica</w:t>
      </w:r>
      <w:r>
        <w:t>, reitera la inexistencia de injerencia en el derecho a la vida familiar al aceptar los argumentos de la sentencia del Tribunal de casación belga:</w:t>
      </w:r>
    </w:p>
    <w:p w14:paraId="56740AD3" w14:textId="77777777" w:rsidR="009D7677" w:rsidRDefault="009D7677" w:rsidP="009D7677">
      <w:pPr>
        <w:pStyle w:val="TextoNormal"/>
      </w:pPr>
    </w:p>
    <w:p w14:paraId="575E8795" w14:textId="77777777" w:rsidR="009D7677" w:rsidRDefault="009D7677" w:rsidP="009D7677">
      <w:pPr>
        <w:pStyle w:val="TextoNormal"/>
      </w:pPr>
      <w:r>
        <w:t xml:space="preserve">“A este respecto, coincide con el Tribunal de casación (véase el apartado 28 </w:t>
      </w:r>
      <w:r w:rsidRPr="009D7677">
        <w:rPr>
          <w:i/>
        </w:rPr>
        <w:t>supra</w:t>
      </w:r>
      <w:r>
        <w:t>) en que no puede hablarse de injerencia en el sentido del artículo 8 cuando, a raíz de diversas iniciativas tomadas por el demandante y a petición de uno de los demandados, el agente de policía infiltrado se declaró dispuesto a encargarse del transporte de la droga objeto de una importante operación internacional de tráfico de estupefacientes organizada por el demandante y los demás demandados (véase la sentencia antes citada</w:t>
      </w:r>
      <w:r w:rsidRPr="009D7677">
        <w:rPr>
          <w:i/>
        </w:rPr>
        <w:t>, Lüdi c. Sui</w:t>
      </w:r>
      <w:r>
        <w:t>za, § 40)” (§ 73).</w:t>
      </w:r>
    </w:p>
    <w:p w14:paraId="4B7354CD" w14:textId="77777777" w:rsidR="009D7677" w:rsidRDefault="009D7677" w:rsidP="009D7677">
      <w:pPr>
        <w:pStyle w:val="TextoNormal"/>
      </w:pPr>
    </w:p>
    <w:p w14:paraId="3EF8BB6C" w14:textId="77777777" w:rsidR="009D7677" w:rsidRDefault="009D7677" w:rsidP="009D7677">
      <w:pPr>
        <w:pStyle w:val="TextoNormal"/>
      </w:pPr>
      <w:r>
        <w:t>Ahora bien, el Tribunal Europeo de Derechos Humanos refiere, desde la perspectiva del derecho a un juicio justo (art. 6 CEDH), que “las acciones de los agentes encubiertos deben tratar de investigar la actividad delictiva en curso de una manera esencialmente pasiva y no ejercer una influencia tal que incite a la comisión de un delito mayor que el que el individuo ya estaba planeando cometer sin dicha incitación (véas</w:t>
      </w:r>
      <w:r w:rsidRPr="009D7677">
        <w:rPr>
          <w:i/>
        </w:rPr>
        <w:t>e Matanov</w:t>
      </w:r>
      <w:r>
        <w:t>ić, citada anteriormente, § 123-124, con referencias adicionales)”.</w:t>
      </w:r>
    </w:p>
    <w:p w14:paraId="5C266441" w14:textId="77777777" w:rsidR="009D7677" w:rsidRDefault="009D7677" w:rsidP="009D7677">
      <w:pPr>
        <w:pStyle w:val="TextoNormal"/>
      </w:pPr>
    </w:p>
    <w:p w14:paraId="49089BF7" w14:textId="77777777" w:rsidR="009D7677" w:rsidRDefault="009D7677" w:rsidP="009D7677">
      <w:pPr>
        <w:pStyle w:val="TextoNormal"/>
      </w:pPr>
      <w:r>
        <w:t xml:space="preserve">La principal garantía del acusado es la de que el Tribunal examine “si los agentes del Estado que llevaron a cabo la actividad encubierta se mantuvieron dentro de los límites de un comportamiento ‘esencialmente pasivo՚ o los sobrepasaron, actuando como agentes provocadores (véase la sentencia </w:t>
      </w:r>
      <w:r w:rsidRPr="009D7677">
        <w:rPr>
          <w:i/>
        </w:rPr>
        <w:t>Matanović</w:t>
      </w:r>
      <w:r>
        <w:t xml:space="preserve">, antes citada, § 123-124 y 132)”. A tal fin, es importante que el demandante tenga “la oportunidad de interrogar a los agentes de policía que participaron” en las operaciones encubiertas, pero “con arreglo a la jurisprudencia del Tribunal también era necesario que otros testigos que pudieran declarar sobre la cuestión de la incitación fueran oídos en juicio y sometidos a contrainterrogatorio por la defensa, o al menos que se motivara detalladamente cualquier omisión al respecto (véase la sentencia </w:t>
      </w:r>
      <w:r w:rsidRPr="009D7677">
        <w:rPr>
          <w:i/>
        </w:rPr>
        <w:t>Bannikova</w:t>
      </w:r>
      <w:r>
        <w:t>, antes citada, § 65)”. (STEDH de 23 de noviembre de 2017, asunt</w:t>
      </w:r>
      <w:r w:rsidRPr="009D7677">
        <w:rPr>
          <w:i/>
        </w:rPr>
        <w:t>o GRBA c. Croac</w:t>
      </w:r>
      <w:r>
        <w:t>ia, § 100, 105, 119).</w:t>
      </w:r>
    </w:p>
    <w:p w14:paraId="391F3BA5" w14:textId="77777777" w:rsidR="009D7677" w:rsidRDefault="009D7677" w:rsidP="009D7677">
      <w:pPr>
        <w:pStyle w:val="TextoNormal"/>
      </w:pPr>
    </w:p>
    <w:p w14:paraId="52CC60EF" w14:textId="41674EFE" w:rsidR="009D7677" w:rsidRDefault="009D7677" w:rsidP="009D7677">
      <w:pPr>
        <w:pStyle w:val="TextoNormal"/>
      </w:pPr>
      <w:r>
        <w:t xml:space="preserve">En fin, el Tribunal Europeo de Derechos Humanos refiere que cuando del examen del conjunto del proceso pueda concluirse que la actuación de los policías ha ido más allá de la de agentes encubiertos porque han instigado a la infracción y nada permite pensar que sin su intervención esta se habría cometido, dicha intervención y su utilización en el proceso penal impugnado supone que, desde el primer momento, el investigado se vería definitivamente privado de un juicio justo (STEDH de 9 de junio de 1998, asunto </w:t>
      </w:r>
      <w:r w:rsidRPr="009D7677">
        <w:rPr>
          <w:i/>
        </w:rPr>
        <w:t>Teixeira de Castro c. Portugal</w:t>
      </w:r>
      <w:r>
        <w:t>, § 39).</w:t>
      </w:r>
    </w:p>
    <w:p w14:paraId="5E03D2ED" w14:textId="77777777" w:rsidR="009D7677" w:rsidRDefault="009D7677" w:rsidP="009D7677">
      <w:pPr>
        <w:pStyle w:val="TextoNormal"/>
      </w:pPr>
    </w:p>
    <w:p w14:paraId="2C7FA717" w14:textId="77777777" w:rsidR="009D7677" w:rsidRDefault="009D7677" w:rsidP="009D7677">
      <w:pPr>
        <w:pStyle w:val="TextoNormal"/>
      </w:pPr>
      <w:r w:rsidRPr="009D7677">
        <w:rPr>
          <w:rStyle w:val="NumeroAFNegritaCaracter"/>
        </w:rPr>
        <w:t>3</w:t>
      </w:r>
      <w:r>
        <w:t xml:space="preserve">. </w:t>
      </w:r>
      <w:r w:rsidRPr="009D7677">
        <w:rPr>
          <w:i/>
        </w:rPr>
        <w:t>Inexistente vulneración del derecho a un proceso con todas las garantías (art. 24.2 CE) por no haberse adoptado las cautelas para descartar que el acusado fuera víctima de un delito provocado</w:t>
      </w:r>
    </w:p>
    <w:p w14:paraId="1DF342B5" w14:textId="77777777" w:rsidR="009D7677" w:rsidRDefault="009D7677" w:rsidP="009D7677">
      <w:pPr>
        <w:pStyle w:val="TextoNormal"/>
      </w:pPr>
    </w:p>
    <w:p w14:paraId="05F99EB7" w14:textId="77777777" w:rsidR="009D7677" w:rsidRDefault="009D7677" w:rsidP="009D7677">
      <w:pPr>
        <w:pStyle w:val="TextoNormal"/>
      </w:pPr>
      <w:r>
        <w:t>A) Como se ha expuesto, el demandante afirma que no se respetaron las garantías para asegurar que no fuera víctima de un delito provocado. Indica, por una parte, que se in</w:t>
      </w:r>
      <w:r>
        <w:lastRenderedPageBreak/>
        <w:t xml:space="preserve">cumplió la exigencia del art. 282 </w:t>
      </w:r>
      <w:r w:rsidRPr="009D7677">
        <w:rPr>
          <w:i/>
        </w:rPr>
        <w:t>bis</w:t>
      </w:r>
      <w:r>
        <w:t xml:space="preserve"> LECrim consistente en aportar en su integridad al órgano judicial la información obtenida por el agente encubierto. Y considera que a la declaración prestada por el agente encubierto no se le exigió los requisitos de corroboración que la doctrina constitucional impone a las declaraciones de los coimputados.</w:t>
      </w:r>
    </w:p>
    <w:p w14:paraId="4A8613BA" w14:textId="77777777" w:rsidR="009D7677" w:rsidRDefault="009D7677" w:rsidP="009D7677">
      <w:pPr>
        <w:pStyle w:val="TextoNormal"/>
      </w:pPr>
    </w:p>
    <w:p w14:paraId="4F17F1B1" w14:textId="77777777" w:rsidR="009D7677" w:rsidRDefault="009D7677" w:rsidP="009D7677">
      <w:pPr>
        <w:pStyle w:val="TextoNormal"/>
      </w:pPr>
      <w:r>
        <w:t>Por su parte, el Ministerio Fiscal afirma que el recurrente tuvo a su disposición las mismas comunicaciones que el agente encubierto y las pudo aportar y si el agente no las aportó fue, tal y como indica la sentencia del Tribunal Supremo, porque se borraban automáticamente.</w:t>
      </w:r>
    </w:p>
    <w:p w14:paraId="65F4B446" w14:textId="77777777" w:rsidR="009D7677" w:rsidRDefault="009D7677" w:rsidP="009D7677">
      <w:pPr>
        <w:pStyle w:val="TextoNormal"/>
      </w:pPr>
    </w:p>
    <w:p w14:paraId="6410A98D" w14:textId="77777777" w:rsidR="009D7677" w:rsidRDefault="009D7677" w:rsidP="009D7677">
      <w:pPr>
        <w:pStyle w:val="TextoNormal"/>
      </w:pPr>
      <w:r>
        <w:t xml:space="preserve">B) La adecuada respuesta a la queja planteada obliga a efectuar una serie de consideraciones previas. La utilización de agentes encubiertos puede tolerarse siempre que esté sujeta a restricciones y salvaguardias claras, pues el interés público no puede justificar el uso de pruebas obtenidas como resultado de la incitación policial, ya que hacerlo expondría al acusado al riesgo de verse privado definitivamente de un juicio justo (STEDH de 16 de diciembre de 2021, asunto </w:t>
      </w:r>
      <w:r w:rsidRPr="009D7677">
        <w:rPr>
          <w:i/>
        </w:rPr>
        <w:t>Yakhymovych c. Ukraine</w:t>
      </w:r>
      <w:r>
        <w:t>, § 30).</w:t>
      </w:r>
    </w:p>
    <w:p w14:paraId="79AAD324" w14:textId="77777777" w:rsidR="009D7677" w:rsidRDefault="009D7677" w:rsidP="009D7677">
      <w:pPr>
        <w:pStyle w:val="TextoNormal"/>
      </w:pPr>
    </w:p>
    <w:p w14:paraId="1AAA7CC9" w14:textId="77777777" w:rsidR="009D7677" w:rsidRDefault="009D7677" w:rsidP="009D7677">
      <w:pPr>
        <w:pStyle w:val="TextoNormal"/>
      </w:pPr>
      <w:r>
        <w:t xml:space="preserve">La incitación policial se produce cuando los agentes implicados —ya sean miembros de las fuerzas de seguridad o personas que actúan siguiendo sus instrucciones— no se limitan a investigar una actividad delictiva de manera esencialmente pasiva, sino que ejercen una influencia tal sobre el sujeto que incita a la comisión de un delito que, de otro modo, no se habría cometido, con el fin de permitir la comprobación del delito, es decir, la aportación de pruebas y el ejercicio de la acción penal (STEDH asunto </w:t>
      </w:r>
      <w:r w:rsidRPr="009D7677">
        <w:rPr>
          <w:i/>
        </w:rPr>
        <w:t>Teixeira de Castro c. Portugal</w:t>
      </w:r>
      <w:r>
        <w:t>, antes citada, § 39).</w:t>
      </w:r>
    </w:p>
    <w:p w14:paraId="27BCEEBD" w14:textId="77777777" w:rsidR="009D7677" w:rsidRDefault="009D7677" w:rsidP="009D7677">
      <w:pPr>
        <w:pStyle w:val="TextoNormal"/>
      </w:pPr>
    </w:p>
    <w:p w14:paraId="70F70709" w14:textId="77777777" w:rsidR="009D7677" w:rsidRDefault="009D7677" w:rsidP="009D7677">
      <w:pPr>
        <w:pStyle w:val="TextoNormal"/>
      </w:pPr>
      <w:r>
        <w:t>En palabras de la Sala de lo Penal del Tribunal Supremo, el delito provocado “aparece cuando la voluntad de delinquir surge en el sujeto no por su propia y libre decisión, sino como consecuencia de la actividad de otra persona, generalmente un agente o un colaborador de los cuerpos o fuerzas de seguridad, que, guiado por la intención de detener a los sospechosos o de facilitar su detención, provoca a través de su propia y personal actuación engañosa la ejecución de una conducta delictiva que no había sido planeada ni decidida por aquel, y que de otra forma no hubiera realizado, adoptando al propio tiempo las medidas de precaución necesarias para evitar la efectiva lesión o puesta en peligro del bien jurídico protegido” (STS 871/2023, de 23 de noviembre).</w:t>
      </w:r>
    </w:p>
    <w:p w14:paraId="5780579C" w14:textId="77777777" w:rsidR="009D7677" w:rsidRDefault="009D7677" w:rsidP="009D7677">
      <w:pPr>
        <w:pStyle w:val="TextoNormal"/>
      </w:pPr>
    </w:p>
    <w:p w14:paraId="656866A9" w14:textId="77777777" w:rsidR="009D7677" w:rsidRDefault="009D7677" w:rsidP="009D7677">
      <w:pPr>
        <w:pStyle w:val="TextoNormal"/>
      </w:pPr>
      <w:r>
        <w:t>La principal garantía del acusado, como se ha indicado, es la de que el Tribunal examine si los agentes del Estado que llevaron a cabo la actividad encubierta se mantuvieron dentro de los límites de un comportamiento esencialmente pasivo o los sobrepasaron, actuando como agentes provocadores.</w:t>
      </w:r>
    </w:p>
    <w:p w14:paraId="6F6998A6" w14:textId="77777777" w:rsidR="009D7677" w:rsidRDefault="009D7677" w:rsidP="009D7677">
      <w:pPr>
        <w:pStyle w:val="TextoNormal"/>
      </w:pPr>
    </w:p>
    <w:p w14:paraId="6752586F" w14:textId="77777777" w:rsidR="009D7677" w:rsidRDefault="009D7677" w:rsidP="009D7677">
      <w:pPr>
        <w:pStyle w:val="TextoNormal"/>
      </w:pPr>
      <w:r>
        <w:t xml:space="preserve">Para decidir si la investigación fue “esencialmente pasiva” o desde otra perspectiva si la voluntad de delinquir surge en el investigado por su propia y libre decisión, deben ser examinadas las razones que justificaron la operación encubierta, en particular, si existían sospechas objetivas de que el solicitante había participado en una actividad delictiva o estaba predispuesto a cometer un delito. Al respecto, la existencia de un procedimiento claro y previsible para autorizar las medidas de investigación que faciliten su adecuada supervisión por el órgano judicial supone una garantía para el investigado (STEDH de 4 de abril de 2017, asunto </w:t>
      </w:r>
      <w:r w:rsidRPr="009D7677">
        <w:rPr>
          <w:i/>
        </w:rPr>
        <w:t>Matanović c. Croatia</w:t>
      </w:r>
      <w:r>
        <w:t>, § 123).</w:t>
      </w:r>
    </w:p>
    <w:p w14:paraId="69880D24" w14:textId="77777777" w:rsidR="009D7677" w:rsidRDefault="009D7677" w:rsidP="009D7677">
      <w:pPr>
        <w:pStyle w:val="TextoNormal"/>
      </w:pPr>
    </w:p>
    <w:p w14:paraId="32B857FB" w14:textId="77777777" w:rsidR="009D7677" w:rsidRDefault="009D7677" w:rsidP="009D7677">
      <w:pPr>
        <w:pStyle w:val="TextoNormal"/>
      </w:pPr>
      <w:r>
        <w:t xml:space="preserve">Por otra parte, los órganos judiciales deben verificar cualquier denuncia de delito provocado mediante un procedimiento contradictorio, minucioso, completo y concluyente a fin de conjurar si ha existido provocación delictiva, que comprenda el interrogatorio de los agentes encubiertos y de otros testigos que pudieran declarar sobre la incitación, correspondiendo a la acusación demostrar que no hubo provocación, siempre que las alegaciones del acusado no sean totalmente inverosímiles, esto es, sean defendibles. Dicha carga probatoria puede llegar a verse impedida en el caso de inexistencia de autorización formal y de supervisión de la operación encubierta (STEDH de 4 de abril de 2017, asunto </w:t>
      </w:r>
      <w:r w:rsidRPr="009D7677">
        <w:rPr>
          <w:i/>
        </w:rPr>
        <w:t>Matanović c. Croatia</w:t>
      </w:r>
      <w:r>
        <w:t>, § 126, 129 y 130).</w:t>
      </w:r>
    </w:p>
    <w:p w14:paraId="4BED99E8" w14:textId="77777777" w:rsidR="009D7677" w:rsidRDefault="009D7677" w:rsidP="009D7677">
      <w:pPr>
        <w:pStyle w:val="TextoNormal"/>
      </w:pPr>
    </w:p>
    <w:p w14:paraId="6E04E1E2" w14:textId="77777777" w:rsidR="009D7677" w:rsidRDefault="009D7677" w:rsidP="009D7677">
      <w:pPr>
        <w:pStyle w:val="TextoNormal"/>
      </w:pPr>
      <w:r>
        <w:t xml:space="preserve">Debe indicarse que el proceso contra un investigado se vería privado de la equidad requerida por el art. 6 CEDH si las acciones de las autoridades del Estado tuvieran el efecto de incitar al solicitante a cometer el delito por el que fue condenado o los tribunales nacionales no abordaran adecuadamente las alegaciones de incitación (STEDH de 5 de febrero de 2008, asunto </w:t>
      </w:r>
      <w:r w:rsidRPr="009D7677">
        <w:rPr>
          <w:i/>
        </w:rPr>
        <w:t>Ramanauskas c. Lituanie</w:t>
      </w:r>
      <w:r>
        <w:t xml:space="preserve"> § 73). En estos casos, la admisión de aquellas pruebas que tuvieran su origen en la provocación delictiva o la ausencia de comprobación de esta, cuando las alegaciones del acusado no fueran absolutamente inverosímiles, ocasionaría la lesión del derecho a un proceso con todas las garantías (art. 24.2 CE).</w:t>
      </w:r>
    </w:p>
    <w:p w14:paraId="46B7E28A" w14:textId="77777777" w:rsidR="009D7677" w:rsidRDefault="009D7677" w:rsidP="009D7677">
      <w:pPr>
        <w:pStyle w:val="TextoNormal"/>
      </w:pPr>
    </w:p>
    <w:p w14:paraId="6BD84741" w14:textId="77777777" w:rsidR="009D7677" w:rsidRDefault="009D7677" w:rsidP="009D7677">
      <w:pPr>
        <w:pStyle w:val="TextoNormal"/>
      </w:pPr>
      <w:r>
        <w:t>Este tribunal es consciente de que inicialmente esta problemática fue abordada desde el punto de vista del principio de legalidad penal (art. 25.1 CE) haciéndose eco de la doctrina del Tribunal Supremo en virtud de la cual el delito provocado da lugar a la impunidad por falta de tipicidad (SSTC 11/1983, de 21 de febrero y 142/1999, de 22 de julio, FFJJ 6 y 7). Sin embargo, en sintonía con la jurisprudencia del Tribunal Europeo de Derechos Humanos —que aborda la problemática desde la perspectiva del derecho a un juicio justo (art. 6.1 CEDH)—, es incuestionable que la primera afrenta que eventualmente puede producirse en los derechos fundamentales se enmarca en el derecho a un proceso con todas las garantías (art. 24.2 CE) y que, no existirá la infracción del principio de legalidad sin que previamente se haya vulnerado aquel, por lo que es desde el prisma del derecho a un proceso con todas las garantías desde el que se debe abordar la señalada problemática constitucional.</w:t>
      </w:r>
    </w:p>
    <w:p w14:paraId="21986FA1" w14:textId="77777777" w:rsidR="009D7677" w:rsidRDefault="009D7677" w:rsidP="009D7677">
      <w:pPr>
        <w:pStyle w:val="TextoNormal"/>
      </w:pPr>
    </w:p>
    <w:p w14:paraId="464329BE" w14:textId="77777777" w:rsidR="009D7677" w:rsidRDefault="009D7677" w:rsidP="009D7677">
      <w:pPr>
        <w:pStyle w:val="TextoNormal"/>
      </w:pPr>
      <w:r>
        <w:t>C) Expuesto lo anterior y atendidas la razones que justificaron la operación encubierta, esto es, las sospechas objetivas de que el solicitante había participado en una actividad delictiva y estaba predispuesto a cometer un delito; la existencia de un procedimiento claro y previsible para autorizar las medidas de investigación y su adecuada supervisión judicial; y las pruebas practicadas a fin de conjurar la existencia de delito provocado, junto con la motivación de las resoluciones judiciales sobre la imposibilidad de aportar los mensajes de WhatsApp, debemos rechazar la vulneración del derecho a un proceso con todas las garantías.</w:t>
      </w:r>
    </w:p>
    <w:p w14:paraId="72292D48" w14:textId="77777777" w:rsidR="009D7677" w:rsidRDefault="009D7677" w:rsidP="009D7677">
      <w:pPr>
        <w:pStyle w:val="TextoNormal"/>
      </w:pPr>
    </w:p>
    <w:p w14:paraId="3484905A" w14:textId="77777777" w:rsidR="009D7677" w:rsidRDefault="009D7677" w:rsidP="009D7677">
      <w:pPr>
        <w:pStyle w:val="TextoNormal"/>
      </w:pPr>
      <w:r>
        <w:t xml:space="preserve">a) </w:t>
      </w:r>
      <w:r w:rsidRPr="009D7677">
        <w:rPr>
          <w:i/>
        </w:rPr>
        <w:t>Existían sospechas objetivas de que el solicitante estaba participando en una actividad delictiva</w:t>
      </w:r>
    </w:p>
    <w:p w14:paraId="6800DA3F" w14:textId="77777777" w:rsidR="009D7677" w:rsidRDefault="009D7677" w:rsidP="009D7677">
      <w:pPr>
        <w:pStyle w:val="TextoNormal"/>
      </w:pPr>
    </w:p>
    <w:p w14:paraId="1A762B62" w14:textId="77777777" w:rsidR="009D7677" w:rsidRDefault="009D7677" w:rsidP="009D7677">
      <w:pPr>
        <w:pStyle w:val="TextoNormal"/>
      </w:pPr>
      <w:r>
        <w:t xml:space="preserve">Con carácter previo a la habilitación y actuación de los agentes encubiertos, el grupo XVIII de la sección de estupefacientes de la Unidad Central de Droga y Crimen Organizado (UDYCO) pone en conocimiento mediante oficio presentado en la Fiscalía Especial </w:t>
      </w:r>
      <w:r>
        <w:lastRenderedPageBreak/>
        <w:t>Antidroga que la sección de agentes encubiertos de la UDYCO les había alertado de la presencia de una importante organización criminal de ciudadanos de origen venezolano que se dedicaban a la introducción en España de grandes cantidades de cocaína por vía aérea. Dicha comunicación se correspondía con las líneas de investigación que la UDYCO seguía en relación con el aeropuerto Adolfo Suárez Madrid-Barajas conforme a las cuales se estaría utilizando dicha infraestructura como plataforma de entrada para las sustancias estupefacientes.</w:t>
      </w:r>
    </w:p>
    <w:p w14:paraId="1E7DA7F7" w14:textId="77777777" w:rsidR="009D7677" w:rsidRDefault="009D7677" w:rsidP="009D7677">
      <w:pPr>
        <w:pStyle w:val="TextoNormal"/>
      </w:pPr>
    </w:p>
    <w:p w14:paraId="2D37BFC1" w14:textId="77777777" w:rsidR="009D7677" w:rsidRDefault="009D7677" w:rsidP="009D7677">
      <w:pPr>
        <w:pStyle w:val="TextoNormal"/>
      </w:pPr>
      <w:r>
        <w:t>El oficio destaca que la Comisaría General de Policía Judicial desde mediados de diciembre de 2018 había venido investigando dicha organización descubriendo que su principal dirigente en España se hacía llamar “Rafa”, cuya función era coordinar la logística de introducción de cocaína por medio de “maleteros” en el aeropuerto. Se indica que tal circunstancia resultaba de las propias manifestaciones efectuadas por el propio “Rafa” a uno de los integrantes de la sección de agentes encubiertos, en las que indicaba estar en disposición de mandar grandes cantidades de cocaína de modo periódico, concretando el precio del rescate que no podía consistir en parte de la mercancía y la utilización de medios de comunicación encriptados.</w:t>
      </w:r>
    </w:p>
    <w:p w14:paraId="5264985A" w14:textId="77777777" w:rsidR="009D7677" w:rsidRDefault="009D7677" w:rsidP="009D7677">
      <w:pPr>
        <w:pStyle w:val="TextoNormal"/>
      </w:pPr>
    </w:p>
    <w:p w14:paraId="4C2A1116" w14:textId="77777777" w:rsidR="009D7677" w:rsidRDefault="009D7677" w:rsidP="009D7677">
      <w:pPr>
        <w:pStyle w:val="TextoNormal"/>
      </w:pPr>
      <w:r>
        <w:t>Las medidas de seguridad adoptadas por “Rafa” para evitar y detectar seguimientos, su actitud de alerta frente a las personas que transitan en las proximidades, son circunstancias que coadyuvan a dar verosimilitud a sus manifestaciones. El modo de pago impuesto por el propio “Rafa”, los distintos países de origen de la cocaína, la cantidad de sustancia que es capaz de introducir y distribuir se valoran como elementos indicativos de la preexistencia de una organización criminal, que contaba en el aeropuerto de la infraestructura necesaria para la ilícita introducción y comercialización de cocaína en España. El oficio solicita la habilitación de tres agentes encubiertos ante el carácter infructuoso de las medidas adoptadas para identificar al tal “Rafa” y la alta probabilidad de que detectara la presencia policial poniendo en riesgo el buen fin de la investigación.</w:t>
      </w:r>
    </w:p>
    <w:p w14:paraId="619DB5B8" w14:textId="77777777" w:rsidR="009D7677" w:rsidRDefault="009D7677" w:rsidP="009D7677">
      <w:pPr>
        <w:pStyle w:val="TextoNormal"/>
      </w:pPr>
    </w:p>
    <w:p w14:paraId="427A5D30" w14:textId="77777777" w:rsidR="009D7677" w:rsidRDefault="009D7677" w:rsidP="009D7677">
      <w:pPr>
        <w:pStyle w:val="TextoNormal"/>
      </w:pPr>
      <w:r>
        <w:t xml:space="preserve">b) </w:t>
      </w:r>
      <w:r w:rsidRPr="009D7677">
        <w:rPr>
          <w:i/>
        </w:rPr>
        <w:t>Existencia de un procedimiento claro y previsible para autorizar las medidas de investigación</w:t>
      </w:r>
    </w:p>
    <w:p w14:paraId="56E89786" w14:textId="77777777" w:rsidR="009D7677" w:rsidRDefault="009D7677" w:rsidP="009D7677">
      <w:pPr>
        <w:pStyle w:val="TextoNormal"/>
      </w:pPr>
    </w:p>
    <w:p w14:paraId="43972EBF" w14:textId="77777777" w:rsidR="009D7677" w:rsidRDefault="009D7677" w:rsidP="009D7677">
      <w:pPr>
        <w:pStyle w:val="TextoNormal"/>
      </w:pPr>
      <w:r>
        <w:t xml:space="preserve">El contenido de la comunicación presentada a la Fiscalía Especial Antidroga dio lugar a que el fiscal jefe de dicha fiscalía, mediante decreto dictado el 22 de enero de 2019, en el marco de las diligencias de investigación núm. 3-2019, con sustento en el art. 282 </w:t>
      </w:r>
      <w:r w:rsidRPr="009D7677">
        <w:rPr>
          <w:i/>
        </w:rPr>
        <w:t>bis</w:t>
      </w:r>
      <w:r>
        <w:t xml:space="preserve"> LECrim habilitara la intervención de tres agentes encubiertos por un periodo de un mes, recogiendo en los antecedentes el contenido del oficio recibido del que resultaba su necesidad y proporcionalidad. En el decreto se indica, entre otros aspectos, la obligación de informar con prontitud a dicha fiscalía del resultado de su investigación. Como se ha expuesto en los antecedentes, los agentes encubiertos dan cuenta de los avances de la investigación y de las reuniones mantenidas con el investigado lo que determina la aprobación de dos prórrogas, hasta que, atendidos los resultados de la investigación, se remiten las diligencias a la Fiscalía Provincial de Madrid, que las judicializa mediante su remisión el 4 de abril de 2019 al Juzgado Decano de Madrid.</w:t>
      </w:r>
    </w:p>
    <w:p w14:paraId="1F41B2B7" w14:textId="77777777" w:rsidR="009D7677" w:rsidRDefault="009D7677" w:rsidP="009D7677">
      <w:pPr>
        <w:pStyle w:val="TextoNormal"/>
      </w:pPr>
    </w:p>
    <w:p w14:paraId="46A84A50" w14:textId="77777777" w:rsidR="009D7677" w:rsidRDefault="009D7677" w:rsidP="009D7677">
      <w:pPr>
        <w:pStyle w:val="TextoNormal"/>
      </w:pPr>
      <w:r>
        <w:t xml:space="preserve">c) </w:t>
      </w:r>
      <w:r w:rsidRPr="009D7677">
        <w:rPr>
          <w:i/>
        </w:rPr>
        <w:t>Posterior control judicial de la habilitación</w:t>
      </w:r>
    </w:p>
    <w:p w14:paraId="12DCBAA9" w14:textId="77777777" w:rsidR="009D7677" w:rsidRDefault="009D7677" w:rsidP="009D7677">
      <w:pPr>
        <w:pStyle w:val="TextoNormal"/>
      </w:pPr>
    </w:p>
    <w:p w14:paraId="45AFE981" w14:textId="77777777" w:rsidR="009D7677" w:rsidRDefault="009D7677" w:rsidP="009D7677">
      <w:pPr>
        <w:pStyle w:val="TextoNormal"/>
      </w:pPr>
      <w:r>
        <w:lastRenderedPageBreak/>
        <w:t>El Juzgado de Instrucción núm. 38 de Madrid incoó diligencias previas, ratificó la habilitación concedida y la prorrogó hasta el 12 de julio de 2019. El 30 de junio de 2019 se introdujo en el avión que realizaba el vuelo entre Caracas y Madrid un contenedor en cuyo interior había aproximadamente cincuenta kilogramos de cocaína, y don Alirio Ramón León Viloria avisó del envío al agente encubierto Cenia. La sustancia se sustituyó por otra inocua y se introdujo en el vehículo que utilizaba el recurrente. Cuando este se hizo cargo del mismo fue detenido y se llevó a cabo la entrada y registro en su domicilio.</w:t>
      </w:r>
    </w:p>
    <w:p w14:paraId="2A312DAB" w14:textId="77777777" w:rsidR="009D7677" w:rsidRDefault="009D7677" w:rsidP="009D7677">
      <w:pPr>
        <w:pStyle w:val="TextoNormal"/>
      </w:pPr>
    </w:p>
    <w:p w14:paraId="3B382B33" w14:textId="77777777" w:rsidR="009D7677" w:rsidRDefault="009D7677" w:rsidP="009D7677">
      <w:pPr>
        <w:pStyle w:val="TextoNormal"/>
      </w:pPr>
      <w:r>
        <w:t>Con carácter previo al acto del juicio la Audiencia Provincial admitió todas las pruebas propuestas por el recurrente.</w:t>
      </w:r>
    </w:p>
    <w:p w14:paraId="04847A14" w14:textId="77777777" w:rsidR="009D7677" w:rsidRDefault="009D7677" w:rsidP="009D7677">
      <w:pPr>
        <w:pStyle w:val="TextoNormal"/>
      </w:pPr>
    </w:p>
    <w:p w14:paraId="3E15259F" w14:textId="77777777" w:rsidR="009D7677" w:rsidRDefault="009D7677" w:rsidP="009D7677">
      <w:pPr>
        <w:pStyle w:val="TextoNormal"/>
      </w:pPr>
      <w:r>
        <w:t>En el acto del juicio oral, si bien el recurrente se acogió a su derecho a no declarar y solo contestó a las preguntas de su abogado, alegó que el delito había sido provocado y lo justificó indicando que el agente encubierto se había apropiado de su vehículo y le presionaba con no devolvérselo si no accedía a recibir cocaína a través de una compañía de carga del aeropuerto.</w:t>
      </w:r>
    </w:p>
    <w:p w14:paraId="5EFBAC85" w14:textId="77777777" w:rsidR="009D7677" w:rsidRDefault="009D7677" w:rsidP="009D7677">
      <w:pPr>
        <w:pStyle w:val="TextoNormal"/>
      </w:pPr>
    </w:p>
    <w:p w14:paraId="11E7CBC9" w14:textId="77777777" w:rsidR="009D7677" w:rsidRDefault="009D7677" w:rsidP="009D7677">
      <w:pPr>
        <w:pStyle w:val="TextoNormal"/>
      </w:pPr>
      <w:r>
        <w:t>Los agentes encubiertos que intervinieron fueron sometidos a interrogatorio. El agente “Cenia” declaró que el señor León Viloria se dedicaba previamente al tráfico de cocaína, estaba en disposición de introducir en España importantes cantidades procedentes de distintos países a través del aeropuerto mediante “maleteros” y buscaba personas que pudieran ayudarle. El agente “Cenia” destacó el interés del recurrente por comprobar su capacidad para ayudarle a introducir la cocaína, los conocimientos que tenía del aeropuerto, de las formas de transporte, para verificar que podía dedicarse a dicha actividad. También declaró que fue el señor León Viloria quien le indicó el modo de comunicación a través de llamadas por WhatsApp o por otra aplicación de forma codificada con borrado automático a las veinticuatro horas.</w:t>
      </w:r>
    </w:p>
    <w:p w14:paraId="7AD9D9BE" w14:textId="77777777" w:rsidR="009D7677" w:rsidRDefault="009D7677" w:rsidP="009D7677">
      <w:pPr>
        <w:pStyle w:val="TextoNormal"/>
      </w:pPr>
    </w:p>
    <w:p w14:paraId="406024E9" w14:textId="77777777" w:rsidR="009D7677" w:rsidRDefault="009D7677" w:rsidP="009D7677">
      <w:pPr>
        <w:pStyle w:val="TextoNormal"/>
      </w:pPr>
      <w:r>
        <w:t>Sobre la entrega voluntaria del vehículo al agente encubierto “Cenia”, para que fuera él quien introdujera la droga en el maletero, también declaró el instructor del atestado desmintiendo una eventual presión al señor León Viloria. Este mismo agente indicó que a don Alirio Ramón le investigaban como “Rafael Lamus Araujo”, pero al practicar la entrada y registro se localizó su documentación y les indicó que su verdadera identidad era la de “Alirio Ramón León Viloria”, comprobando que la razón por la que actuaba con otro nombre era porque tenía una orden internacional de detención europea. Esta afirmación la efectuó ante la letrada de la administración de justicia.</w:t>
      </w:r>
    </w:p>
    <w:p w14:paraId="756835CB" w14:textId="77777777" w:rsidR="009D7677" w:rsidRDefault="009D7677" w:rsidP="009D7677">
      <w:pPr>
        <w:pStyle w:val="TextoNormal"/>
      </w:pPr>
    </w:p>
    <w:p w14:paraId="6CB2BC22" w14:textId="77777777" w:rsidR="009D7677" w:rsidRDefault="009D7677" w:rsidP="009D7677">
      <w:pPr>
        <w:pStyle w:val="TextoNormal"/>
      </w:pPr>
      <w:r>
        <w:t>Hasta siete agentes de policía declararon como testigos dando cuenta de las explicaciones que les daba el agente encubierto, así como sobre diferentes aspectos de la operativa seguida y de la falsa identidad con la que operaba el recurrente.</w:t>
      </w:r>
    </w:p>
    <w:p w14:paraId="2DBD577F" w14:textId="77777777" w:rsidR="009D7677" w:rsidRDefault="009D7677" w:rsidP="009D7677">
      <w:pPr>
        <w:pStyle w:val="TextoNormal"/>
      </w:pPr>
    </w:p>
    <w:p w14:paraId="4C44F856" w14:textId="77777777" w:rsidR="009D7677" w:rsidRDefault="009D7677" w:rsidP="009D7677">
      <w:pPr>
        <w:pStyle w:val="TextoNormal"/>
      </w:pPr>
      <w:r>
        <w:t>El letrado del señor León Viloria aportó en el acto del juicio copia del auto de la Sala de lo Penal de la Audiencia Nacional de 20 de agosto de 2019 en el que se refiere a la orden de detención por una reclamación para el cumplimiento de una pena de veintiún años de prisión impuesta al acusado en sentencia de 14 de diciembre de 2007 del Tribunal de Apelación de Milán por la comisión de un delito de tráfico de sustancias estupefacientes, que resultó denegada por la Sala de lo Penal por considerar que la misma no había sido solicitada con las debidas garantías.</w:t>
      </w:r>
    </w:p>
    <w:p w14:paraId="1926CA48" w14:textId="77777777" w:rsidR="009D7677" w:rsidRDefault="009D7677" w:rsidP="009D7677">
      <w:pPr>
        <w:pStyle w:val="TextoNormal"/>
      </w:pPr>
    </w:p>
    <w:p w14:paraId="320BA882" w14:textId="77777777" w:rsidR="009D7677" w:rsidRDefault="009D7677" w:rsidP="009D7677">
      <w:pPr>
        <w:pStyle w:val="TextoNormal"/>
      </w:pPr>
      <w:r>
        <w:t>Todas estas pruebas fueron valoradas por la sentencia de la Sección Séptima de la Audiencia Provincial de Madrid para descartar la existencia de provocación delictiva, concluyendo del examen de las mismas que el recurrente participaba incluso antes de conocer al agente encubierto “Cenia” en actividades de tráfico de drogas, teniendo contactos y organización en diferentes países de Sudamérica para traer a España por vía aérea importantes cantidades de cocaína. La actuación del agente encubierto es valorada como secundaria al punto que recibe del recurrente una retribución económica, lo que acredita su capacidad económica, negándose don Alirio Ramón a que el pago sea en cocaína al reservarse en exclusiva su distribución. Añade a la argumentación que se constata la existencia de una condena a veintiún años de prisión, por ser considerado jefe de una organización dedicada al tráfico de sustancias estupefacientes.</w:t>
      </w:r>
    </w:p>
    <w:p w14:paraId="7FD7AFA3" w14:textId="77777777" w:rsidR="009D7677" w:rsidRDefault="009D7677" w:rsidP="009D7677">
      <w:pPr>
        <w:pStyle w:val="TextoNormal"/>
      </w:pPr>
    </w:p>
    <w:p w14:paraId="5A84349B" w14:textId="77777777" w:rsidR="009D7677" w:rsidRDefault="009D7677" w:rsidP="009D7677">
      <w:pPr>
        <w:pStyle w:val="TextoNormal"/>
      </w:pPr>
      <w:r>
        <w:t>La queja sobre la falta de aportación del contenido de las comunicaciones mantenidas durante la investigación con el recurrente tuvo razonada respuesta en la sentencia de la Audiencia Provincial que, con base en la declaración del agente encubierto, sostuvo que el sistema de comunicación impuesto por el investigado comportaba el borrado automático de los mensajes de WhatsApp. En todo caso, dicha falta de incorporación ninguna relevancia podía tener en relación con el derecho de defensa del recurrente frente a la provocación delictiva, pues es obvio que en caso de no ser cierta la manifestación del agente encubierto, los mensajes estaban a disposición del recurrente y decidió no incorporarlos, ni solicitar su incorporación como prueba documental.</w:t>
      </w:r>
    </w:p>
    <w:p w14:paraId="4A39DCC5" w14:textId="77777777" w:rsidR="009D7677" w:rsidRDefault="009D7677" w:rsidP="009D7677">
      <w:pPr>
        <w:pStyle w:val="TextoNormal"/>
      </w:pPr>
    </w:p>
    <w:p w14:paraId="7D85814A" w14:textId="77777777" w:rsidR="009D7677" w:rsidRDefault="009D7677" w:rsidP="009D7677">
      <w:pPr>
        <w:pStyle w:val="TextoNormal"/>
      </w:pPr>
      <w:r>
        <w:t>Finalmente, en lo que se refiere a la queja sobre la insuficiencia probatoria de las declaraciones de los agentes de policía y su equiparación a las declaraciones de los coimputados necesitada por tanto de elementos de corroboración, debe indicarse que ha sido introducida por primera vez en el recurso de amparo. En todo caso, baste recordar que este tribunal ha afirmado que las declaraciones de los agentes de la Policía Nacional tienen la consideración de prueba testifical, pudiendo por ello lícitamente los tribunales penales valorarlas, siempre que las mismas hayan sido practicadas, normalmente en el juicio oral, con las necesarias garantías procesales, y, como tal, pueden constituir válida prueba de cargo, en la que puede basarse la convicción del juez para la determinación de los hechos del caso; hechos de los que, de acuerdo con lo previsto en el art. 44.1 b) LOTC, en ningún caso entrará a conocer el Tribunal Constitucional (STC 229/1991, de 28 de noviembre, FJ 4).</w:t>
      </w:r>
    </w:p>
    <w:p w14:paraId="61D4128D" w14:textId="77777777" w:rsidR="009D7677" w:rsidRDefault="009D7677" w:rsidP="009D7677">
      <w:pPr>
        <w:pStyle w:val="TextoNormal"/>
      </w:pPr>
    </w:p>
    <w:p w14:paraId="7E5A88A9" w14:textId="30FC6D39" w:rsidR="009D7677" w:rsidRDefault="009D7677" w:rsidP="009D7677">
      <w:pPr>
        <w:pStyle w:val="TextoNormal"/>
      </w:pPr>
      <w:r>
        <w:t xml:space="preserve">En suma, como se ha adelantado, los órganos judiciales examinaron que la actividad encubierta se mantuvo dentro de los límites de un comportamiento esencialmente pasivo, constatando que la voluntad de delinquir surgió en el investigado por su propia y libre decisión, existiendo sospechas objetivas de que el recurrente participaba en una actividad delictiva y estaba predispuesto a cometer un delito. El cumplimiento del procedimiento previsto en el art. 282 </w:t>
      </w:r>
      <w:r w:rsidRPr="009D7677">
        <w:rPr>
          <w:i/>
        </w:rPr>
        <w:t>bis</w:t>
      </w:r>
      <w:r>
        <w:t xml:space="preserve"> LECrim, para autorizar la habilitación del agente, la admisión y práctica de la totalidad de las pruebas propuestas por el recurrente y el sometimiento a interrogatorio tanto de los agentes encubiertos como de los agentes de policía que intervinieron en el operativo policial y la respuesta dada por los órganos judiciales, permite concluir que se han respetado las exigencias derivadas del derecho a un proceso con todas las garantías (art. 24.2 CE) para conjurar la existencia de la provocación delictiva denunciada.</w:t>
      </w:r>
    </w:p>
    <w:p w14:paraId="43B77D8D" w14:textId="77777777" w:rsidR="009D7677" w:rsidRDefault="009D7677" w:rsidP="009D7677">
      <w:pPr>
        <w:pStyle w:val="TextoNormal"/>
      </w:pPr>
    </w:p>
    <w:p w14:paraId="02A10B29" w14:textId="77777777" w:rsidR="009D7677" w:rsidRDefault="009D7677" w:rsidP="009D7677">
      <w:pPr>
        <w:pStyle w:val="TextoNormal"/>
      </w:pPr>
      <w:r w:rsidRPr="009D7677">
        <w:rPr>
          <w:rStyle w:val="NumeroAFNegritaCaracter"/>
        </w:rPr>
        <w:lastRenderedPageBreak/>
        <w:t>4</w:t>
      </w:r>
      <w:r>
        <w:t xml:space="preserve">. </w:t>
      </w:r>
      <w:r w:rsidRPr="009D7677">
        <w:rPr>
          <w:i/>
        </w:rPr>
        <w:t>Marco constitucional en el que se encuadra la habilitación y actuación del agente encubierto en relación con el derecho a la intimidad</w:t>
      </w:r>
    </w:p>
    <w:p w14:paraId="673DED10" w14:textId="77777777" w:rsidR="009D7677" w:rsidRDefault="009D7677" w:rsidP="009D7677">
      <w:pPr>
        <w:pStyle w:val="TextoNormal"/>
      </w:pPr>
    </w:p>
    <w:p w14:paraId="3481D98A" w14:textId="77777777" w:rsidR="009D7677" w:rsidRDefault="009D7677" w:rsidP="009D7677">
      <w:pPr>
        <w:pStyle w:val="TextoNormal"/>
      </w:pPr>
      <w:r>
        <w:t>La demanda de amparo denuncia que la actuación del agente encubierto ha ocasionado una vulneración del derecho a la intimidad del recurrente (art. 18.1 CE) al entender que el agente se ganó su confianza y accedió a la esfera más íntima del demandante, la familiar, compartiendo aspectos que excedían de la investigación y que se concreta en la presentación de su pareja sentimental. Dicha injerencia se efectuó, a su juicio, sin cumplirse los requisitos legalmente previstos (falta de competencia de la Fiscalía Antidroga, de proporcionalidad, necesidad y motivación del decreto habilitante y de control judicial de la medida).</w:t>
      </w:r>
    </w:p>
    <w:p w14:paraId="6FBAA0CE" w14:textId="77777777" w:rsidR="009D7677" w:rsidRDefault="009D7677" w:rsidP="009D7677">
      <w:pPr>
        <w:pStyle w:val="TextoNormal"/>
      </w:pPr>
    </w:p>
    <w:p w14:paraId="5E52B94B" w14:textId="77777777" w:rsidR="009D7677" w:rsidRDefault="009D7677" w:rsidP="009D7677">
      <w:pPr>
        <w:pStyle w:val="TextoNormal"/>
      </w:pPr>
      <w:r>
        <w:t>Es preciso ahondar en los derechos fundamentales que pueden quedar concernidos por la habilitación y la actuación del agente encubierto.</w:t>
      </w:r>
    </w:p>
    <w:p w14:paraId="303588FB" w14:textId="77777777" w:rsidR="009D7677" w:rsidRDefault="009D7677" w:rsidP="009D7677">
      <w:pPr>
        <w:pStyle w:val="TextoNormal"/>
      </w:pPr>
    </w:p>
    <w:p w14:paraId="1586CD43" w14:textId="77777777" w:rsidR="009D7677" w:rsidRDefault="009D7677" w:rsidP="009D7677">
      <w:pPr>
        <w:pStyle w:val="TextoNormal"/>
      </w:pPr>
      <w:r>
        <w:t xml:space="preserve">a) </w:t>
      </w:r>
      <w:r w:rsidRPr="009D7677">
        <w:rPr>
          <w:i/>
        </w:rPr>
        <w:t>Distinción entre la habilitación y la actuación de agente encubierto en relación con la afectación a los derechos fundamentales del investigado</w:t>
      </w:r>
    </w:p>
    <w:p w14:paraId="33B22A52" w14:textId="77777777" w:rsidR="009D7677" w:rsidRDefault="009D7677" w:rsidP="009D7677">
      <w:pPr>
        <w:pStyle w:val="TextoNormal"/>
      </w:pPr>
    </w:p>
    <w:p w14:paraId="4A16DC0F" w14:textId="77777777" w:rsidR="009D7677" w:rsidRDefault="009D7677" w:rsidP="009D7677">
      <w:pPr>
        <w:pStyle w:val="TextoNormal"/>
      </w:pPr>
      <w:r>
        <w:t>La infiltración, como genérica técnica de operativa policial que se sirve de la ocultación de la verdadera identidad y propósito del agente de policía, tiene como finalidad obtener información de quien se ha propuesto cometer un delito, para descubrir el entramado delictivo del que forma parte y obtener pruebas que serán utilizadas en un proceso ulterior. Dicha técnica adquiere una mayor potencialidad invasiva de la esfera del investigado cuando al infiltrado se le habilita como agente encubierto facilitándole documentación acreditativa de una identidad y realidad ficticia y se le exonera de la responsabilidad penal en aras a preservar al infiltrado de los riesgos físicos y jurídicos inherentes a su actuación.</w:t>
      </w:r>
    </w:p>
    <w:p w14:paraId="5C724785" w14:textId="77777777" w:rsidR="009D7677" w:rsidRDefault="009D7677" w:rsidP="009D7677">
      <w:pPr>
        <w:pStyle w:val="TextoNormal"/>
      </w:pPr>
    </w:p>
    <w:p w14:paraId="0B0BF89F" w14:textId="77777777" w:rsidR="009D7677" w:rsidRDefault="009D7677" w:rsidP="009D7677">
      <w:pPr>
        <w:pStyle w:val="TextoNormal"/>
      </w:pPr>
      <w:r>
        <w:t>Con dicha habilitación, la inicial ocultación de la identidad se transforma de modo nítido en engaño diseñado por el poder público. Se allana el terreno para el logro de la confianza del investigado en aras a obtener información sobre sus actividades y se facilita el éxito en el engaño por la autorización al agente encubierto para realizar hechos constitutivos de delito incompatibles con la actuación de un agente de policía.</w:t>
      </w:r>
    </w:p>
    <w:p w14:paraId="6D5E7EC7" w14:textId="77777777" w:rsidR="009D7677" w:rsidRDefault="009D7677" w:rsidP="009D7677">
      <w:pPr>
        <w:pStyle w:val="TextoNormal"/>
      </w:pPr>
    </w:p>
    <w:p w14:paraId="4B8590D2" w14:textId="77777777" w:rsidR="009D7677" w:rsidRDefault="009D7677" w:rsidP="009D7677">
      <w:pPr>
        <w:pStyle w:val="TextoNormal"/>
      </w:pPr>
      <w:r>
        <w:t xml:space="preserve">En ambos casos, sea o no el infiltrado agente encubierto, es preciso distinguir, la eventual afectación en la esfera del investigado que puede producir el mero hecho de la infiltración, de la que en su caso ocasionará, aunque no necesariamente, la concreta actividad desplegada por el agente encubierto. Estos dos ámbitos, en lo que al régimen de autorización se refiere, aparecen nítidamente diferenciados en la regulación del agente encubierto (art. 282 </w:t>
      </w:r>
      <w:r w:rsidRPr="009D7677">
        <w:rPr>
          <w:i/>
        </w:rPr>
        <w:t>bis</w:t>
      </w:r>
      <w:r>
        <w:t xml:space="preserve"> LECrim).</w:t>
      </w:r>
    </w:p>
    <w:p w14:paraId="674EA918" w14:textId="77777777" w:rsidR="009D7677" w:rsidRDefault="009D7677" w:rsidP="009D7677">
      <w:pPr>
        <w:pStyle w:val="TextoNormal"/>
      </w:pPr>
    </w:p>
    <w:p w14:paraId="284F0607" w14:textId="77777777" w:rsidR="009D7677" w:rsidRDefault="009D7677" w:rsidP="009D7677">
      <w:pPr>
        <w:pStyle w:val="TextoNormal"/>
      </w:pPr>
      <w:r>
        <w:t xml:space="preserve">En primer lugar, la habilitación como tal del agente encubierto puede ser concedida por el juez de instrucción competente, pero también por el Ministerio Fiscal. Esto es, para que el agente encubierto —como variante más intensa de infiltración— pueda iniciar su actividad es preciso o bien la autorización del órgano judicial, o bien la del Ministerio Fiscal. Por tanto, dicha autorización, a diferencia de lo que acontece con la circulación y entrega vigilada —entre otras de drogas tóxicas, estupefacientes o sustancias psicotrópicas— en las que también está presente en cierta medida el engaño en la actuación del poder público no puede ser concedida por los responsables policiales (art. 263 </w:t>
      </w:r>
      <w:r w:rsidRPr="009D7677">
        <w:rPr>
          <w:i/>
        </w:rPr>
        <w:t>bis</w:t>
      </w:r>
      <w:r>
        <w:t>.1 LECrim).</w:t>
      </w:r>
    </w:p>
    <w:p w14:paraId="76194D08" w14:textId="77777777" w:rsidR="009D7677" w:rsidRDefault="009D7677" w:rsidP="009D7677">
      <w:pPr>
        <w:pStyle w:val="TextoNormal"/>
      </w:pPr>
    </w:p>
    <w:p w14:paraId="4D4E9B7D" w14:textId="77777777" w:rsidR="009D7677" w:rsidRDefault="009D7677" w:rsidP="009D7677">
      <w:pPr>
        <w:pStyle w:val="TextoNormal"/>
      </w:pPr>
      <w:r>
        <w:t>Las funciones de defensa de la legalidad, de los derechos de los ciudadanos y del interés público tutelado por la ley, constitucionalmente encomendadas al Ministerio Fiscal (art. 124.1 CE) proyectadas sobre la habilitación del agente encubierto se tornan así en una garantía para el investigado, pudiendo prescindirse de la que resulta inmanente a la autorización judicial, pero sin dejar la autorización en manos del propio cuerpo policial. La habilitación concedida por el fiscal, pese a gozar de presunción de autenticidad (art. 5.2 EOMF) como se ha adelantado, será necesariamente sometida a control judicial una vez finalicen las diligencias preprocesales que se incoen con ocasión de la misma y se proceda a su judicialización como anteriormente se ha indicado (art. 5.3 EOMF).</w:t>
      </w:r>
    </w:p>
    <w:p w14:paraId="072D2D68" w14:textId="77777777" w:rsidR="009D7677" w:rsidRDefault="009D7677" w:rsidP="009D7677">
      <w:pPr>
        <w:pStyle w:val="TextoNormal"/>
      </w:pPr>
    </w:p>
    <w:p w14:paraId="097D80B7" w14:textId="77777777" w:rsidR="009D7677" w:rsidRDefault="009D7677" w:rsidP="009D7677">
      <w:pPr>
        <w:pStyle w:val="TextoNormal"/>
      </w:pPr>
      <w:r>
        <w:t xml:space="preserve">En segundo lugar, la concreta actuación de investigación del agente encubierto puede afectar a derechos fundamentales cuya injerencia exija constitucional o legalmente autorización judicial, en cuyo caso deberá solicitar del órgano judicial competente tales autorizaciones singulares no siendo posible por tanto que sea el Ministerio Fiscal quien las autorice (arts. 282 </w:t>
      </w:r>
      <w:r w:rsidRPr="009D7677">
        <w:rPr>
          <w:i/>
        </w:rPr>
        <w:t>bis</w:t>
      </w:r>
      <w:r>
        <w:t xml:space="preserve">.3 LECrim y 5.2 EOMF). Tal sería el caso de la injerencia en la garantía de la inviolabilidad del domicilio (art. 18.2 CE) y del secreto de las comunicaciones (art. 18.3 CE) y, en ciertas ocasiones, del derecho a la intimidad (art. 18.1 CE). Así, en relación con este último, específicamente el precepto contempla la exigencia de autorización judicial para actuar bajo identidad supuesta en comunicaciones mantenidas en canales cerrados de comunicación con el fin de esclarecer alguno de los delitos a los que se refiere el apartado 4 del art. 282 </w:t>
      </w:r>
      <w:r w:rsidRPr="009D7677">
        <w:rPr>
          <w:i/>
        </w:rPr>
        <w:t>bis</w:t>
      </w:r>
      <w:r>
        <w:t xml:space="preserve"> LECrim o cualquier delito de los previstos en el artículo 588 </w:t>
      </w:r>
      <w:r w:rsidRPr="009D7677">
        <w:rPr>
          <w:i/>
        </w:rPr>
        <w:t>ter</w:t>
      </w:r>
      <w:r>
        <w:t xml:space="preserve"> a) LECrim (art. 282 </w:t>
      </w:r>
      <w:r w:rsidRPr="009D7677">
        <w:rPr>
          <w:i/>
        </w:rPr>
        <w:t>bis</w:t>
      </w:r>
      <w:r>
        <w:t xml:space="preserve">.6 LECrim). También, como se ha indicado en el fundamento jurídico 2 B), se precisará dicha autorización judicial en los supuestos contemplados en los arts. 579 y 588 </w:t>
      </w:r>
      <w:r w:rsidRPr="009D7677">
        <w:rPr>
          <w:i/>
        </w:rPr>
        <w:t>bis</w:t>
      </w:r>
      <w:r>
        <w:t xml:space="preserve"> a) a 588 </w:t>
      </w:r>
      <w:r w:rsidRPr="009D7677">
        <w:rPr>
          <w:i/>
        </w:rPr>
        <w:t>septies</w:t>
      </w:r>
      <w:r>
        <w:t xml:space="preserve"> c) LECrim.</w:t>
      </w:r>
    </w:p>
    <w:p w14:paraId="08069014" w14:textId="77777777" w:rsidR="009D7677" w:rsidRDefault="009D7677" w:rsidP="009D7677">
      <w:pPr>
        <w:pStyle w:val="TextoNormal"/>
      </w:pPr>
    </w:p>
    <w:p w14:paraId="57AF1C7D" w14:textId="77777777" w:rsidR="009D7677" w:rsidRDefault="009D7677" w:rsidP="009D7677">
      <w:pPr>
        <w:pStyle w:val="TextoNormal"/>
      </w:pPr>
      <w:r>
        <w:t xml:space="preserve">b) </w:t>
      </w:r>
      <w:r w:rsidRPr="009D7677">
        <w:rPr>
          <w:i/>
        </w:rPr>
        <w:t>Inexistencia de derechos fundamentales afectados por la habilitación del agente encubierto</w:t>
      </w:r>
    </w:p>
    <w:p w14:paraId="2E31D3BF" w14:textId="77777777" w:rsidR="009D7677" w:rsidRDefault="009D7677" w:rsidP="009D7677">
      <w:pPr>
        <w:pStyle w:val="TextoNormal"/>
      </w:pPr>
    </w:p>
    <w:p w14:paraId="0123E55D" w14:textId="77777777" w:rsidR="009D7677" w:rsidRDefault="009D7677" w:rsidP="009D7677">
      <w:pPr>
        <w:pStyle w:val="TextoNormal"/>
      </w:pPr>
      <w:r>
        <w:t>La actuación del infiltrado y con mayor intensidad —según se ha dejado señalado— la del agente encubierto se caracterizan por obrar con ocultación o engaño a fin de que la persona que es objeto de la investigación decida depositar su confianza en tales agentes. Con este modo de proceder se pretende obtener información sobre las actividades delictivas del investigado y las de la organización a la que pertenece.</w:t>
      </w:r>
    </w:p>
    <w:p w14:paraId="27E563A3" w14:textId="77777777" w:rsidR="009D7677" w:rsidRDefault="009D7677" w:rsidP="009D7677">
      <w:pPr>
        <w:pStyle w:val="TextoNormal"/>
      </w:pPr>
    </w:p>
    <w:p w14:paraId="4C7248AD" w14:textId="77777777" w:rsidR="009D7677" w:rsidRDefault="009D7677" w:rsidP="009D7677">
      <w:pPr>
        <w:pStyle w:val="TextoNormal"/>
      </w:pPr>
      <w:r>
        <w:t>Puede afirmarse inicialmente que forma parte de los peligros inherentes a las relaciones humanas que se puedan exteriorizar y transmitir pensamientos o informaciones con sustento en la errónea confianza depositada en el destinatario. Este puede obrar por móviles no esperados u ocultos y defraudar por ello la expectativa generada. La elección del destinatario de determinada información puede por tanto resultar de un error en la confianza depositada, sea o no causado este por engaño del destinatario de la información, sin que ello comporte que se vulnere derecho alguno.</w:t>
      </w:r>
    </w:p>
    <w:p w14:paraId="553356BD" w14:textId="77777777" w:rsidR="009D7677" w:rsidRDefault="009D7677" w:rsidP="009D7677">
      <w:pPr>
        <w:pStyle w:val="TextoNormal"/>
      </w:pPr>
    </w:p>
    <w:p w14:paraId="405A5AC4" w14:textId="77777777" w:rsidR="009D7677" w:rsidRDefault="009D7677" w:rsidP="009D7677">
      <w:pPr>
        <w:pStyle w:val="TextoNormal"/>
      </w:pPr>
      <w:r>
        <w:t xml:space="preserve">Este argumento es el que parece sustentar la STEDH de 15 de junio de 1992, asunto </w:t>
      </w:r>
      <w:r w:rsidRPr="009D7677">
        <w:rPr>
          <w:i/>
        </w:rPr>
        <w:t>Lüdi c. Suiza</w:t>
      </w:r>
      <w:r>
        <w:t xml:space="preserve">, § 40, antes citada y a la que alude el Ministerio Fiscal, cuando descarta la vulneración del derecho a la vida privada del art. 8 CEDH al afirmar que “el señor Lüdi debió darse cuenta de que estaba cometiendo un acto delictivo comprendido en el ámbito de aplicación del artículo 19 de la Ley sobre estupefacientes y que, por tanto, corría el </w:t>
      </w:r>
      <w:r>
        <w:lastRenderedPageBreak/>
        <w:t>riesgo de encontrarse con un agente de policía encubierto que, de hecho, se encargaba de desenmascararle”. Se asumen por su titular, como manifestación de los derechos de la personalidad, los riesgos derivados de la exteriorización de pensamientos o de la transmisión a terceros de información. Esto es, se aceptan los peligros del ejercicio del derecho a transmitir información propia o de terceros, pertenezca la misma a su “vida íntima” (art. 7.1 de la Ley Orgánica 1/1982, de 5 de mayo, de protección civil del derecho al honor, a la intimidad personal y familiar y a la propia imagen), a su intimidad personal o familiar (art. 18.1 CE) o sea de público conocimiento. Esto es, la renuncia al silencio lleva consigo la asunción de los eventuales riesgos derivados de la misma.</w:t>
      </w:r>
    </w:p>
    <w:p w14:paraId="1F88934F" w14:textId="77777777" w:rsidR="009D7677" w:rsidRDefault="009D7677" w:rsidP="009D7677">
      <w:pPr>
        <w:pStyle w:val="TextoNormal"/>
      </w:pPr>
    </w:p>
    <w:p w14:paraId="64266DC1" w14:textId="77777777" w:rsidR="009D7677" w:rsidRDefault="009D7677" w:rsidP="009D7677">
      <w:pPr>
        <w:pStyle w:val="TextoNormal"/>
      </w:pPr>
      <w:r>
        <w:t>Sin embargo, es preciso profundizar algo más. No parece que podamos afirmar que nos encontramos en la misma situación cuando no es un particular sino el Estado quien mediante engaño induce a error al sujeto investigado con la finalidad de persuadirle para que deposite en el agente de policía su confianza y así obtener pruebas incriminatorias contra él mismo y contra los que forman parte de su organización. Basta para sostener dicha distinción remitirnos a las garantías que envuelven el modo en que los poderes públicos pueden recabar información de aquellos a quienes les atribuyen un hecho punible (art. 118 LECrim).</w:t>
      </w:r>
    </w:p>
    <w:p w14:paraId="02DB6A50" w14:textId="77777777" w:rsidR="009D7677" w:rsidRDefault="009D7677" w:rsidP="009D7677">
      <w:pPr>
        <w:pStyle w:val="TextoNormal"/>
      </w:pPr>
    </w:p>
    <w:p w14:paraId="71AF27A2" w14:textId="77777777" w:rsidR="009D7677" w:rsidRDefault="009D7677" w:rsidP="009D7677">
      <w:pPr>
        <w:pStyle w:val="TextoNormal"/>
      </w:pPr>
      <w:r>
        <w:t xml:space="preserve">Llegados a este punto, separándonos con ello del criterio de la asunción de riesgos sostenido por el Tribunal Europeo de Derechos Humanos en los citados asuntos </w:t>
      </w:r>
      <w:r w:rsidRPr="009D7677">
        <w:rPr>
          <w:i/>
        </w:rPr>
        <w:t>Lüdi c. Suiza</w:t>
      </w:r>
      <w:r>
        <w:t xml:space="preserve"> y </w:t>
      </w:r>
      <w:r w:rsidRPr="009D7677">
        <w:rPr>
          <w:i/>
        </w:rPr>
        <w:t>Guerni c. Bélgica</w:t>
      </w:r>
      <w:r>
        <w:t>, es preciso indagar si existe un derecho fundamental que pudiera verse concernido por la mera habilitación concedida por el Ministerio Fiscal al agente encubierto.</w:t>
      </w:r>
    </w:p>
    <w:p w14:paraId="2ADBFBC3" w14:textId="77777777" w:rsidR="009D7677" w:rsidRDefault="009D7677" w:rsidP="009D7677">
      <w:pPr>
        <w:pStyle w:val="TextoNormal"/>
      </w:pPr>
    </w:p>
    <w:p w14:paraId="7571A8A9" w14:textId="77777777" w:rsidR="009D7677" w:rsidRDefault="009D7677" w:rsidP="009D7677">
      <w:pPr>
        <w:pStyle w:val="TextoNormal"/>
      </w:pPr>
      <w:r>
        <w:t xml:space="preserve">Podemos afirmar que no existe en la Constitución un denominado derecho a la autodeterminación comunicativa y también que la habilitación del agente encubierto no alcanza </w:t>
      </w:r>
      <w:r w:rsidRPr="009D7677">
        <w:rPr>
          <w:i/>
        </w:rPr>
        <w:t>per se</w:t>
      </w:r>
      <w:r>
        <w:t xml:space="preserve"> al derecho a la intimidad del investigado tal y como hemos venido configurando su contenido (SSTC 207/1996, de 16 de diciembre, FJ 3; 186/2000, FJ 5; 196/2004, FJ 2; 206/2007, FJ 4, y 159/2009, de 29 de junio, FJ 3). En efecto, la intimidad, la inviolabilidad domiciliaria o el secreto de las comunicaciones pueden verse afectados por la concreta actuación del agente infiltrado o encubierto, pero no por el solo hecho de autorizar su actuación o habilitación como tal.</w:t>
      </w:r>
    </w:p>
    <w:p w14:paraId="1CE68E17" w14:textId="77777777" w:rsidR="009D7677" w:rsidRDefault="009D7677" w:rsidP="009D7677">
      <w:pPr>
        <w:pStyle w:val="TextoNormal"/>
      </w:pPr>
    </w:p>
    <w:p w14:paraId="2C36C450" w14:textId="77777777" w:rsidR="009D7677" w:rsidRDefault="009D7677" w:rsidP="009D7677">
      <w:pPr>
        <w:pStyle w:val="TextoNormal"/>
      </w:pPr>
      <w:r>
        <w:t xml:space="preserve">De modo que la infiltración o la habilitación del agente encubierto por sí mismas no limitan el derecho fundamental a la intimidad. Esa es la razón por la que el art. 282 </w:t>
      </w:r>
      <w:r w:rsidRPr="009D7677">
        <w:rPr>
          <w:i/>
        </w:rPr>
        <w:t>bis</w:t>
      </w:r>
      <w:r>
        <w:t xml:space="preserve"> LECrim atribuye al Ministerio Fiscal, quien estatutariamente no puede adoptar “medidas cautelares o limitativas de derechos” (art. 5.2 EOMF), la facultad de autorizar a funcionarios de la policía judicial, mediante resolución fundada a que actúen bajo identidad supuesta y a adquirir y transportar los objetos, efectos e instrumentos del delito y diferir la incautación de los mismos.</w:t>
      </w:r>
    </w:p>
    <w:p w14:paraId="7FC4EA1A" w14:textId="77777777" w:rsidR="009D7677" w:rsidRDefault="009D7677" w:rsidP="009D7677">
      <w:pPr>
        <w:pStyle w:val="TextoNormal"/>
      </w:pPr>
    </w:p>
    <w:p w14:paraId="77377ABE" w14:textId="77777777" w:rsidR="009D7677" w:rsidRDefault="009D7677" w:rsidP="009D7677">
      <w:pPr>
        <w:pStyle w:val="TextoNormal"/>
      </w:pPr>
      <w:r>
        <w:t>Ahora bien, es cierto que una irregular e injustificada habilitación del agente encubierto podría comprometer principios constitucionales tales como la interdicción de la arbitrariedad de los poderes públicos (art. 9.3 CE) o valores jurídicos fundamentales como la dignidad de la persona o el libre desarrollo de su personalidad (art. 10.1 CE) que se verían conculcados si los poderes públicos injustificadamente autorizaran a obtener mediante engaño informaciones de cualquier persona.</w:t>
      </w:r>
    </w:p>
    <w:p w14:paraId="35DA2BF6" w14:textId="77777777" w:rsidR="009D7677" w:rsidRDefault="009D7677" w:rsidP="009D7677">
      <w:pPr>
        <w:pStyle w:val="TextoNormal"/>
      </w:pPr>
    </w:p>
    <w:p w14:paraId="59300C17" w14:textId="77777777" w:rsidR="009D7677" w:rsidRDefault="009D7677" w:rsidP="009D7677">
      <w:pPr>
        <w:pStyle w:val="TextoNormal"/>
      </w:pPr>
      <w:r>
        <w:t>Sin embargo, solo en la medida en que la habilitación afecte a derechos tutelables “en amparo y únicamente con el fin de comprobar si se han respetado las exigencias que, no en abstracto, sino en el concreto ámbito de cada uno de aquellos, deriven de la dignidad de la persona [y añadimos: o del libre desarrollo de la personalidad], habrá de ser esta tomada en consideración por este tribunal como referente. No, en cambio, de modo autónomo para estimar o desestimar las pretensiones de amparo que ante él se deduzcan” (STC 120/1990, de 27 de junio, FJ 4).</w:t>
      </w:r>
    </w:p>
    <w:p w14:paraId="50BD623D" w14:textId="77777777" w:rsidR="009D7677" w:rsidRDefault="009D7677" w:rsidP="009D7677">
      <w:pPr>
        <w:pStyle w:val="TextoNormal"/>
      </w:pPr>
    </w:p>
    <w:p w14:paraId="158A08AC" w14:textId="77777777" w:rsidR="009D7677" w:rsidRDefault="009D7677" w:rsidP="009D7677">
      <w:pPr>
        <w:pStyle w:val="TextoNormal"/>
      </w:pPr>
      <w:r>
        <w:t xml:space="preserve">De modo que no viéndose afectado el derecho a la intimidad por la mera habilitación al agente encubierto —prevista en el art. 282 </w:t>
      </w:r>
      <w:r w:rsidRPr="009D7677">
        <w:rPr>
          <w:i/>
        </w:rPr>
        <w:t>bis</w:t>
      </w:r>
      <w:r>
        <w:t>.1 LECrim—, solo queda por examinar si la concreta actuación realizada supuso una injerencia en el derecho fundamental a la intimidad invocado (art. 18.1 CE).</w:t>
      </w:r>
    </w:p>
    <w:p w14:paraId="795E1588" w14:textId="77777777" w:rsidR="009D7677" w:rsidRDefault="009D7677" w:rsidP="009D7677">
      <w:pPr>
        <w:pStyle w:val="TextoNormal"/>
      </w:pPr>
    </w:p>
    <w:p w14:paraId="64FE22C3" w14:textId="2982315C" w:rsidR="009D7677" w:rsidRDefault="009D7677" w:rsidP="009D7677">
      <w:pPr>
        <w:pStyle w:val="TextoNormal"/>
      </w:pPr>
      <w:r>
        <w:t>De ser así, al venir determinada la constitucionalidad de cualquier medida restrictiva de derechos fundamentales por la estricta observancia del principio de proporcionalidad [como sintetizan las SSTC 66/1995, de 8 de mayo, FJ 5; 55/1996, de 28 de marzo, FFJJ 6, 7, 8 y 9; 207/1996, FJ 4 e), y 37/1998, de 17 de febrero, FJ 8] será conveniente verificar entonces si la misma supera el juicio de proporcionalidad, esto es, constatar si cumple los tres requisitos o condiciones siguientes: si tal medida es susceptible de conseguir el objetivo propuesto (juicio de idoneidad); si, además, es necesaria, en el sentido de que no exista otra medida más moderada para la consecución de tal propósito con igual eficacia (juicio de necesidad), y, finalmente, si la misma es ponderada o equilibrada, por derivarse de ella más beneficios o ventajas para el interés general que perjuicios sobre otros bienes o valores en conflicto (juicio de proporcionalidad en sentido estricto).</w:t>
      </w:r>
    </w:p>
    <w:p w14:paraId="2A928093" w14:textId="77777777" w:rsidR="009D7677" w:rsidRDefault="009D7677" w:rsidP="009D7677">
      <w:pPr>
        <w:pStyle w:val="TextoNormal"/>
      </w:pPr>
    </w:p>
    <w:p w14:paraId="10E88558" w14:textId="77777777" w:rsidR="009D7677" w:rsidRDefault="009D7677" w:rsidP="009D7677">
      <w:pPr>
        <w:pStyle w:val="TextoNormal"/>
      </w:pPr>
      <w:r w:rsidRPr="009D7677">
        <w:rPr>
          <w:rStyle w:val="NumeroAFNegritaCaracter"/>
        </w:rPr>
        <w:t>5</w:t>
      </w:r>
      <w:r>
        <w:t xml:space="preserve">. </w:t>
      </w:r>
      <w:r w:rsidRPr="009D7677">
        <w:rPr>
          <w:i/>
        </w:rPr>
        <w:t>Inexistencia de injerencia en el derecho a la intimidad por la concreta actuación del agente encubierto</w:t>
      </w:r>
    </w:p>
    <w:p w14:paraId="795FEF68" w14:textId="77777777" w:rsidR="009D7677" w:rsidRDefault="009D7677" w:rsidP="009D7677">
      <w:pPr>
        <w:pStyle w:val="TextoNormal"/>
      </w:pPr>
    </w:p>
    <w:p w14:paraId="20617249" w14:textId="77777777" w:rsidR="009D7677" w:rsidRDefault="009D7677" w:rsidP="009D7677">
      <w:pPr>
        <w:pStyle w:val="TextoNormal"/>
      </w:pPr>
      <w:r>
        <w:t>a) Conviene recordar que la demanda de amparo denuncia que la actuación del agente encubierto ha ocasionado al demandante una vulneración del derecho a la intimidad: por la prolongación de su actuación; por el hecho de haberse ganado su confianza —llegando a dispensarle en sus mensajes el tratamiento de “amigo”—; así como por haber accedido a su esfera más íntima —la familiar— que el demandante justifica en la presentación de su pareja sentimental lo que a su juicio se infiere del contenido de las reuniones del 28 de febrero y 15 de marzo de 2019 en las que la mujer que acompaña al recurrente es identificada como su pareja.</w:t>
      </w:r>
    </w:p>
    <w:p w14:paraId="63BB5DDF" w14:textId="77777777" w:rsidR="009D7677" w:rsidRDefault="009D7677" w:rsidP="009D7677">
      <w:pPr>
        <w:pStyle w:val="TextoNormal"/>
      </w:pPr>
    </w:p>
    <w:p w14:paraId="433C1941" w14:textId="77777777" w:rsidR="009D7677" w:rsidRDefault="009D7677" w:rsidP="009D7677">
      <w:pPr>
        <w:pStyle w:val="TextoNormal"/>
      </w:pPr>
      <w:r>
        <w:t xml:space="preserve">Por su parte el Ministerio Fiscal, además de sostener que, atendida la doctrina del Tribunal Europeo de Derechos Humanos, la intimidad no parece afectada por la actuación del agente encubierto —extremo sobre el que ya nos hemos pronunciado—, considera que la mera prolongación de la actuación del agente encubierto no es indicativa de injerencia en la intimidad del recurrente, sino que viene acompañada de la acreditación de hechos que revelen la efectiva intromisión. Por otra parte, de la documentación obrante en la pieza separada resulta que la supuesta invasión en la intimidad no fue más que un acto puramente cortés de presentación de dos personas que previamente no se conocían, lo que es notoriamente insuficiente para sostener la injerencia en la intimidad familiar del demandante. </w:t>
      </w:r>
      <w:r>
        <w:lastRenderedPageBreak/>
        <w:t>Afirma que las notas interiores emitidas por el agente encubierto dando cuenta de las reuniones y manifestaciones no revelan la invasión en la vida privada del recurrente.</w:t>
      </w:r>
    </w:p>
    <w:p w14:paraId="1CAC6C74" w14:textId="77777777" w:rsidR="009D7677" w:rsidRDefault="009D7677" w:rsidP="009D7677">
      <w:pPr>
        <w:pStyle w:val="TextoNormal"/>
      </w:pPr>
    </w:p>
    <w:p w14:paraId="688AA4FE" w14:textId="77777777" w:rsidR="009D7677" w:rsidRDefault="009D7677" w:rsidP="009D7677">
      <w:pPr>
        <w:pStyle w:val="TextoNormal"/>
      </w:pPr>
      <w:r>
        <w:t xml:space="preserve">b) </w:t>
      </w:r>
      <w:r w:rsidRPr="009D7677">
        <w:rPr>
          <w:i/>
        </w:rPr>
        <w:t>La vulneración del derecho fundamental a la intimidad debe ser desestimada por varias razones</w:t>
      </w:r>
    </w:p>
    <w:p w14:paraId="5B1AA397" w14:textId="77777777" w:rsidR="009D7677" w:rsidRDefault="009D7677" w:rsidP="009D7677">
      <w:pPr>
        <w:pStyle w:val="TextoNormal"/>
      </w:pPr>
    </w:p>
    <w:p w14:paraId="648D8341" w14:textId="77777777" w:rsidR="009D7677" w:rsidRDefault="009D7677" w:rsidP="009D7677">
      <w:pPr>
        <w:pStyle w:val="TextoNormal"/>
      </w:pPr>
      <w:r>
        <w:t>En primer lugar, como bien indica el Ministerio Fiscal, la prolongación de la actuación del agente encubierto o que este hubiera logrado ganarse la confianza del recurrente que le llegó a llamar “amigo”, en nada conciernen al contenido del derecho a la intimidad, entendido este como “ámbito propio y reservado frente a la acción y el conocimiento de los demás, necesario, según las pautas de nuestra cultura, para mantener una calidad mínima de la vida humana (SSTC 207/1996, de 16 de diciembre, FJ 3; 186/2000, de 10 de julio, FJ 5; 196/2004, de 15 de noviembre, FJ 2; 206/2007, de 24 de septiembre, FJ 4, y 159/2009, de 29 de junio, FJ 3)” (STC 92/2023, de 11 de septiembre). La confianza depositada en el agente encubierto no supone por sí misma una intromisión en la esfera íntima del investigado, nada desvela de aquellos espacios resguardados de la curiosidad ajena que el derecho invocado protege. Por tanto, no puede considerarse tan siquiera que tales extremos supongan una injerencia en el derecho a la intimidad.</w:t>
      </w:r>
    </w:p>
    <w:p w14:paraId="78BAB0D9" w14:textId="77777777" w:rsidR="009D7677" w:rsidRDefault="009D7677" w:rsidP="009D7677">
      <w:pPr>
        <w:pStyle w:val="TextoNormal"/>
      </w:pPr>
    </w:p>
    <w:p w14:paraId="3A3E6B1F" w14:textId="77777777" w:rsidR="009D7677" w:rsidRDefault="009D7677" w:rsidP="009D7677">
      <w:pPr>
        <w:pStyle w:val="TextoNormal"/>
      </w:pPr>
      <w:r>
        <w:t>Por otra parte, la misma conclusión debe alcanzarse en relación con la vulneración del derecho a la intimidad derivada del eventual acceso a aspectos íntimos de la intimidad familiar, que el recurrente concreta en la presentación al agente de policía de su pareja sentimental, circunstancia esta que resultaría de las actas de las reuniones mantenidas los días 28 de febrero y 15 de marzo de 2019. La premisa, que no aparece acreditada en las resoluciones impugnadas, no es sostenible y aunque lo fuera no afectaría al derecho invocado.</w:t>
      </w:r>
    </w:p>
    <w:p w14:paraId="2C21D5D2" w14:textId="77777777" w:rsidR="009D7677" w:rsidRDefault="009D7677" w:rsidP="009D7677">
      <w:pPr>
        <w:pStyle w:val="TextoNormal"/>
      </w:pPr>
    </w:p>
    <w:p w14:paraId="3D4E3FF2" w14:textId="77777777" w:rsidR="009D7677" w:rsidRDefault="009D7677" w:rsidP="009D7677">
      <w:pPr>
        <w:pStyle w:val="TextoNormal"/>
      </w:pPr>
      <w:r>
        <w:t>Del examen de la pieza separada consta que en la reunión de 28 de febrero de 2019 el recurrente acude acompañado de una mujer “sin identificar” que se marcha al iniciarse la reunión y una vez finalizada vuelve para irse con “Rafa”; en la reunión del día 12 de marzo de 2019 indica el acta que aparece con la misma mujer y una niña pequeña “las cuales parecen ser pareja e hija del investigado”; en la reunión de 15 de marzo de 2019, se señala en la información remitida que el investigado “está esperando dentro del local, acompañado por su pareja sentimental. Después de los saludos correspondientes, ‘Rafa’ invita a salir a ‘Cenia’, y caminando por el centro comercial comentan aspectos de la organización”.</w:t>
      </w:r>
    </w:p>
    <w:p w14:paraId="2D6FE73A" w14:textId="77777777" w:rsidR="009D7677" w:rsidRDefault="009D7677" w:rsidP="009D7677">
      <w:pPr>
        <w:pStyle w:val="TextoNormal"/>
      </w:pPr>
    </w:p>
    <w:p w14:paraId="7ED39FB6" w14:textId="77777777" w:rsidR="009D7677" w:rsidRDefault="009D7677" w:rsidP="009D7677">
      <w:pPr>
        <w:pStyle w:val="TextoNormal"/>
      </w:pPr>
      <w:r>
        <w:t>Del contenido de las actas de las reuniones referidas por el recurrente y de la reunión mantenida el 12 de marzo de 2019 —esta omitida por el demandante de amparo—, resulta que al agente encubierto no le fue presentada la mujer “sin identificar” que acompaña al recurrente —así se refiere a la misma el agente en el acta de 28 de febrero de 2019—. Queda además claro que el recurrente no le indica que dicha mujer sea su pareja, pues en el acta de la reunión del día 12 de marzo de 2019 el agente encubierto afirma que el recurrente aparece con la misma mujer y una niña pequeña, e infiriere que “parecen ser pareja e hija del investigado”. Y, finalmente en la última reunión da por hecho que es su pareja, al ver que es acompañado por la misma mujer.</w:t>
      </w:r>
    </w:p>
    <w:p w14:paraId="61F1BFD5" w14:textId="77777777" w:rsidR="009D7677" w:rsidRDefault="009D7677" w:rsidP="009D7677">
      <w:pPr>
        <w:pStyle w:val="TextoNormal"/>
      </w:pPr>
    </w:p>
    <w:p w14:paraId="6EE60031" w14:textId="77777777" w:rsidR="009D7677" w:rsidRDefault="009D7677" w:rsidP="009D7677">
      <w:pPr>
        <w:pStyle w:val="TextoNormal"/>
      </w:pPr>
      <w:r>
        <w:t>Lo que resulta de las aludidas actas, en relación con este aspecto de la intimidad familiar, es que al agente encubierto ni le fue presentada la mujer que acompañaba al investi</w:t>
      </w:r>
      <w:r>
        <w:lastRenderedPageBreak/>
        <w:t>gado, ni este le llegó a explicitar el tipo de relación que mantenía con la misma. La afirmación de la relación entre la desconocida mujer y el investigado fue consecuencia de una inferencia —acertada o no— que el agente efectuó como consecuencia de que la mujer acompañara al investigado en tres ocasiones y en una de ellas con “una niña pequeña”. Es más, del contenido de las notas aportadas resulta que el investigado mantuvo alejado al agente encubierto de su entorno familiar, pues dicha mujer no participó en las reuniones, bien porque se marchó cuando el investigado y el agente se encontraron, bien porque el propio “Rafa” invita a salir a “Cenia” del establecimiento en el que le esperaba con dicha mujer y de este modo poder tratar reservadamente de la introducción de la cocaína en España.</w:t>
      </w:r>
    </w:p>
    <w:p w14:paraId="53625AC9" w14:textId="77777777" w:rsidR="009D7677" w:rsidRDefault="009D7677" w:rsidP="009D7677">
      <w:pPr>
        <w:pStyle w:val="TextoNormal"/>
      </w:pPr>
    </w:p>
    <w:p w14:paraId="3A130BAC" w14:textId="0EDD3F07" w:rsidR="009D7677" w:rsidRDefault="009D7677" w:rsidP="009D7677">
      <w:pPr>
        <w:pStyle w:val="TextoNormal"/>
      </w:pPr>
      <w:r>
        <w:t>Descartada la premisa en la que se asienta la vulneración y con ella la existencia de injerencia alguna en el derecho a la intimidad del recurrente (art. 18.1 CE), no es necesario argumentar acerca de la notoria insuficiencia en la que se sustenta la afectación a la intimidad familiar sostenida por el recurrente y tampoco, por razones obvias, si se cumplieron las exigencias legales y si la inexistente injerencia supera el juicio de proporcionalidad.</w:t>
      </w:r>
    </w:p>
    <w:p w14:paraId="7DA06A2B" w14:textId="77777777" w:rsidR="009D7677" w:rsidRDefault="009D7677" w:rsidP="009D7677">
      <w:pPr>
        <w:pStyle w:val="TextoNormal"/>
      </w:pPr>
    </w:p>
    <w:p w14:paraId="0F1A2701" w14:textId="77777777" w:rsidR="009D7677" w:rsidRDefault="009D7677" w:rsidP="009D7677">
      <w:pPr>
        <w:pStyle w:val="TextoNormalCentrado"/>
        <w:keepNext/>
      </w:pPr>
      <w:r>
        <w:t>FALLO</w:t>
      </w:r>
    </w:p>
    <w:p w14:paraId="77AE400F" w14:textId="72DC78FB" w:rsidR="009D7677" w:rsidRDefault="009D7677" w:rsidP="009D7677">
      <w:pPr>
        <w:pStyle w:val="TextoNormalCentrado"/>
        <w:keepNext/>
      </w:pPr>
    </w:p>
    <w:p w14:paraId="30C5429F" w14:textId="1A9992C6" w:rsidR="009D7677" w:rsidRDefault="009D7677" w:rsidP="009D7677">
      <w:pPr>
        <w:pStyle w:val="TextoNormal"/>
      </w:pPr>
      <w:r>
        <w:t>En atención a todo lo expuesto, el Tribunal Constitucional, por la autoridad que le confiere la Constitución de la Nación española, ha decidido denegar el amparo solicitado por don Alirio Ramón León Viloria.</w:t>
      </w:r>
    </w:p>
    <w:p w14:paraId="76A4D92E" w14:textId="77777777" w:rsidR="009D7677" w:rsidRDefault="009D7677" w:rsidP="009D7677">
      <w:pPr>
        <w:pStyle w:val="TextoNormal"/>
      </w:pPr>
    </w:p>
    <w:p w14:paraId="1C07AF21" w14:textId="77777777" w:rsidR="009D7677" w:rsidRDefault="009D7677" w:rsidP="009D7677">
      <w:pPr>
        <w:pStyle w:val="TextoNormal"/>
      </w:pPr>
      <w:r>
        <w:t>Publíquese esta sentencia en el “Boletín Oficial del Estado”.</w:t>
      </w:r>
    </w:p>
    <w:p w14:paraId="51013F37" w14:textId="77777777" w:rsidR="009D7677" w:rsidRDefault="009D7677" w:rsidP="009D7677">
      <w:pPr>
        <w:pStyle w:val="TextoNormal"/>
      </w:pPr>
      <w:r>
        <w:t>Dada en Madrid, a cuatro de junio de dos mil veinticuatro.</w:t>
      </w:r>
    </w:p>
    <w:p w14:paraId="27CB38FF" w14:textId="6DD64AD2" w:rsidR="009D7677" w:rsidRDefault="009D7677" w:rsidP="009D7677">
      <w:pPr>
        <w:pStyle w:val="ParrafoNormal"/>
      </w:pPr>
    </w:p>
    <w:p w14:paraId="60D6493C" w14:textId="77777777" w:rsidR="009D7677" w:rsidRDefault="009D7677" w:rsidP="009D7677">
      <w:pPr>
        <w:pStyle w:val="TextoNormalNegritaCentrado"/>
        <w:keepNext/>
      </w:pPr>
      <w:r>
        <w:t>Voto concurrente que formula el magistrado don Cándido Conde-Pumpido Tourón, presidente del Tribunal Constitucional, a la sentencia dictada en el recurso de amparo avocado núm. 4949-2021</w:t>
      </w:r>
    </w:p>
    <w:p w14:paraId="4331F774" w14:textId="6EEEF913" w:rsidR="009D7677" w:rsidRDefault="009D7677" w:rsidP="009D7677">
      <w:pPr>
        <w:pStyle w:val="TextoNormalNegritaCentrado"/>
        <w:keepNext/>
      </w:pPr>
    </w:p>
    <w:p w14:paraId="354D82EE" w14:textId="77777777" w:rsidR="009D7677" w:rsidRDefault="009D7677" w:rsidP="009D7677">
      <w:pPr>
        <w:pStyle w:val="TextoNormal"/>
      </w:pPr>
      <w:r>
        <w:t>Con pleno respeto a la opinión mayoritaria de mis compañeros, plasmada en la sentencia que desestima la presente demanda de amparo, a la que me sumo, estimo oportuno, no obstante, hacer valer mi discrepancia con alguno de sus fundamentos, que considero precisados de una mayor matización.</w:t>
      </w:r>
    </w:p>
    <w:p w14:paraId="40E8D8DA" w14:textId="77777777" w:rsidR="009D7677" w:rsidRDefault="009D7677" w:rsidP="009D7677">
      <w:pPr>
        <w:pStyle w:val="TextoNormal"/>
      </w:pPr>
    </w:p>
    <w:p w14:paraId="1DB91456" w14:textId="77777777" w:rsidR="009D7677" w:rsidRDefault="009D7677" w:rsidP="009D7677">
      <w:pPr>
        <w:pStyle w:val="TextoNormal"/>
      </w:pPr>
      <w:r>
        <w:t>Me refiero al fundamento jurídico 2, letra C), en el que se aborda la cuestión de la comunicación por el fiscal a la autoridad judicial del acuerdo por el que habilita a un funcionario de la policía judicial para actuar como agente encubierto en la investigación de hechos indiciariamente constitutivos de delito, pero que todavía no han suscitado la incoación de una instrucción judicial, cuestión que involucra el tiempo y forma del ejercicio de las potestades judiciales sobre tal investigación.</w:t>
      </w:r>
    </w:p>
    <w:p w14:paraId="27A4014F" w14:textId="77777777" w:rsidR="009D7677" w:rsidRDefault="009D7677" w:rsidP="009D7677">
      <w:pPr>
        <w:pStyle w:val="TextoNormal"/>
      </w:pPr>
    </w:p>
    <w:p w14:paraId="30DCADF7" w14:textId="77777777" w:rsidR="009D7677" w:rsidRDefault="009D7677" w:rsidP="009D7677">
      <w:pPr>
        <w:pStyle w:val="TextoNormal"/>
      </w:pPr>
      <w:r>
        <w:t xml:space="preserve">Hemos de partir, obviamente, del propio tenor del art. 282 </w:t>
      </w:r>
      <w:r w:rsidRPr="009D7677">
        <w:rPr>
          <w:i/>
        </w:rPr>
        <w:t>bis</w:t>
      </w:r>
      <w:r>
        <w:t xml:space="preserve">.1 de la Ley de enjuiciamiento criminal (LECrim), que establece que, a los fines previstos en el artículo anterior, donde se enuncian las funciones de la policía judicial —averiguar los delitos, practicar las diligencias necesarias para comprobarlos, descubrir a los delincuentes, y recoger los efectos, instrumentos y pruebas del delito— el Ministerio Fiscal, dando cuenta inmediata al </w:t>
      </w:r>
      <w:r>
        <w:lastRenderedPageBreak/>
        <w:t>juez, podrá autorizar a determinados funcionarios integrantes de la misma, mediante resolución fundada y teniendo en cuenta su necesidad a los fines de la investigación, para que actúen como agentes encubiertos, lo que supone autorizarles para actuar bajo identidad supuesta, así como para adquirir y transportar los objetos, efectos e instrumentos del delito y diferir la incautación de los mismos. El mandato normativo es explícito en lo concerniente al momento en que ha de ser cumplimentado —inmediatamente— pero indeterminado en cuanto a su causa y efectos, lo que genera un grado de incertidumbre que solo el legislador podría despejar.</w:t>
      </w:r>
    </w:p>
    <w:p w14:paraId="3CFFA840" w14:textId="77777777" w:rsidR="009D7677" w:rsidRDefault="009D7677" w:rsidP="009D7677">
      <w:pPr>
        <w:pStyle w:val="TextoNormal"/>
      </w:pPr>
    </w:p>
    <w:p w14:paraId="1089670B" w14:textId="77777777" w:rsidR="009D7677" w:rsidRDefault="009D7677" w:rsidP="009D7677">
      <w:pPr>
        <w:pStyle w:val="TextoNormal"/>
      </w:pPr>
      <w:r>
        <w:t xml:space="preserve">El presente caso es ilustrativo de esa incertidumbre. La demanda de amparo sostiene que la inobservancia del mandato de inmediatez en la comunicación fiscal-autoridad judicial trascendió la mera infracción de legalidad ordinaria para convertirse en causa eficiente —al menos una de las causas relevantes— de la vulneración de los derechos fundamentales invocados, argumentando que la demora en la dación de cuenta de dos meses y catorce días, “plazo que bajo ningún concepto ni interpretación posible puede entenderse como inmediato”, generó indefensión y redundó en “una investigación en la que se han llevado a cabo medidas vulneradoras de derechos, al menos del derecho a la intimidad, a espaldas del órgano judicial”, porque “la dación de cuenta al órgano judicial debe efectuarse cuando se produzca una injerencia destacable en los derechos fundamentales del investigado, siendo este y no la existencia de indicios de delito, lo que determina el momento de poner los hechos en conocimiento del órgano judicial”, considerando que “la utilización de agente encubierto, de por sí, ya produce una injerencia en el derecho a la intimidad del investigado y que tal injerencia va </w:t>
      </w:r>
      <w:r w:rsidRPr="009D7677">
        <w:rPr>
          <w:i/>
        </w:rPr>
        <w:t>in crescendo</w:t>
      </w:r>
      <w:r>
        <w:t xml:space="preserve"> en el desarrollo de la investigación”.</w:t>
      </w:r>
    </w:p>
    <w:p w14:paraId="57837B9A" w14:textId="77777777" w:rsidR="009D7677" w:rsidRDefault="009D7677" w:rsidP="009D7677">
      <w:pPr>
        <w:pStyle w:val="TextoNormal"/>
      </w:pPr>
    </w:p>
    <w:p w14:paraId="4DE584AD" w14:textId="77777777" w:rsidR="009D7677" w:rsidRDefault="009D7677" w:rsidP="009D7677">
      <w:pPr>
        <w:pStyle w:val="TextoNormal"/>
      </w:pPr>
      <w:r>
        <w:t xml:space="preserve">Esta alegación ha sido respondida en un apartado consagrado a dilucidar el alcance y sentido de la dación de cuenta inmediata al juez de la autorización concedida por el Ministerio Fiscal [fundamento jurídico 2 C)] en el que se auspicia una interpretación sistemática y finalista del art. 282 </w:t>
      </w:r>
      <w:r w:rsidRPr="009D7677">
        <w:rPr>
          <w:i/>
        </w:rPr>
        <w:t>bis</w:t>
      </w:r>
      <w:r>
        <w:t xml:space="preserve"> LECrim, en conexión con otras normas orgánicas y procesales aplicables (arts. 5.2 EOMF y 773 LECrim) que confieren al fiscal la potestad autónoma de investigar hechos con apariencia delictiva sin supervisión judicial, de la que se concluye que no se produjo realmente una demora en la dación de cuenta porque el art. 282 </w:t>
      </w:r>
      <w:r w:rsidRPr="009D7677">
        <w:rPr>
          <w:i/>
        </w:rPr>
        <w:t>bis</w:t>
      </w:r>
      <w:r>
        <w:t>.1 LECrim se refiere al momento en que las diligencias preprocesales alcanzan su finalidad o agotan su plazo legal, no al momento mismo en que se dicta el decreto de habilitación del agente encubierto.</w:t>
      </w:r>
    </w:p>
    <w:p w14:paraId="514123FF" w14:textId="77777777" w:rsidR="009D7677" w:rsidRDefault="009D7677" w:rsidP="009D7677">
      <w:pPr>
        <w:pStyle w:val="TextoNormal"/>
      </w:pPr>
    </w:p>
    <w:p w14:paraId="0A8E916E" w14:textId="77777777" w:rsidR="009D7677" w:rsidRDefault="009D7677" w:rsidP="009D7677">
      <w:pPr>
        <w:pStyle w:val="TextoNormal"/>
      </w:pPr>
      <w:r>
        <w:t>Manifiesto mi conformidad con el planteamiento, pero no con la conclusión alcanzada, que fuerza, de manera innecesaria, el claro tenor literal del precepto. Convengo en que interpretar la dación de cuenta como vía para que el órgano judicial receptor asuma sin solución de continuidad la instrucción de la causa, conduce a un resultado ilógico, en cuanto contradictorio con el sentido y finalidad de la norma, porque supondría entender que el mismo precepto confiere al fiscal la potestad de investigar hechos con apariencia delictiva con la técnica del agente encubierto para, a renglón seguido, cercenarla de manera irreversible.</w:t>
      </w:r>
    </w:p>
    <w:p w14:paraId="035E09FC" w14:textId="77777777" w:rsidR="009D7677" w:rsidRDefault="009D7677" w:rsidP="009D7677">
      <w:pPr>
        <w:pStyle w:val="TextoNormal"/>
      </w:pPr>
    </w:p>
    <w:p w14:paraId="5E48A87C" w14:textId="77777777" w:rsidR="009D7677" w:rsidRDefault="009D7677" w:rsidP="009D7677">
      <w:pPr>
        <w:pStyle w:val="TextoNormal"/>
      </w:pPr>
      <w:r>
        <w:t xml:space="preserve">No es apreciable, sin embargo, incompatibilidad alguna entre la inmediatez de la dación de cuenta del decreto de habilitación del agente encubierto, y la prosecución por el fiscal de su investigación preprocesal hasta alcanzar su propósito de esclarecimiento de los hechos, quedando la autoridad judicial a la espera del resultado que le comunique el fiscal. </w:t>
      </w:r>
      <w:r>
        <w:lastRenderedPageBreak/>
        <w:t>Esta es, precisamente, la práctica habitualmente seguida en nuestro país en las investigaciones de actividades constitutivas de tráfico de sustancias estupefacientes propias de la delincuencia organizada, lo que revela una opinión común entre las autoridades judicial y fiscal competentes para su persecución, cuyo valor no puede ser ignorado. Como tampoco debe ser ignorada la congruencia de dicha praxis con la relevante intervención que tiene el Ministerio Público español en el área de la cooperación judicial internacional con Estados de nuestro entorno que reconocen a sus fiscales autoridad para utilizar esta técnica de investigación sin supervisión judicial inmediata.</w:t>
      </w:r>
    </w:p>
    <w:p w14:paraId="2803BA76" w14:textId="77777777" w:rsidR="009D7677" w:rsidRDefault="009D7677" w:rsidP="009D7677">
      <w:pPr>
        <w:pStyle w:val="TextoNormal"/>
      </w:pPr>
    </w:p>
    <w:p w14:paraId="71E0D94C" w14:textId="77777777" w:rsidR="009D7677" w:rsidRDefault="009D7677" w:rsidP="009D7677">
      <w:pPr>
        <w:pStyle w:val="TextoNormal"/>
      </w:pPr>
      <w:r>
        <w:t xml:space="preserve">Considero, por lo tanto, que las exigencias del art. 282 </w:t>
      </w:r>
      <w:r w:rsidRPr="009D7677">
        <w:rPr>
          <w:i/>
        </w:rPr>
        <w:t>bis</w:t>
      </w:r>
      <w:r>
        <w:t xml:space="preserve"> LECrim quedan debidamente colmadas si el decreto de habilitación del agente encubierto dispone expresamente su inmediata comunicación a la autoridad judicial y así se cumple. Cuestión distinta es dilucidar a qué concreto órgano judicial se debe remitir la comunicación, pues las diligencias preprocesales del fiscal se desarrollan, por definición, en ausencia de existencia de procedimiento judicial sobre los mismos hechos (art. 773.2, 3 LECrim). En cualquier caso, esta es una cuestión de legalidad ordinaria que no corresponde dirimir a este tribunal.</w:t>
      </w:r>
    </w:p>
    <w:p w14:paraId="635C6B2A" w14:textId="77777777" w:rsidR="009D7677" w:rsidRDefault="009D7677" w:rsidP="009D7677">
      <w:pPr>
        <w:pStyle w:val="TextoNormal"/>
      </w:pPr>
    </w:p>
    <w:p w14:paraId="0E267725" w14:textId="77777777" w:rsidR="009D7677" w:rsidRDefault="009D7677" w:rsidP="009D7677">
      <w:pPr>
        <w:pStyle w:val="TextoNormal"/>
      </w:pPr>
      <w:r>
        <w:t xml:space="preserve">En atención a lo expuesto, considero que la omisión de la comunicación inmediata del decreto de habilitación de los agentes encubiertos denunciada en la demanda de amparo infringió el mandato del art. 282 </w:t>
      </w:r>
      <w:r w:rsidRPr="009D7677">
        <w:rPr>
          <w:i/>
        </w:rPr>
        <w:t>bis</w:t>
      </w:r>
      <w:r>
        <w:t>.1 LECrim, pero que de ese incumplimiento no se ha derivado ni una situación de indefensión material del demandante de amparo, ni una vulneración de su derecho fundamental a la intimidad.</w:t>
      </w:r>
    </w:p>
    <w:p w14:paraId="7240D076" w14:textId="77777777" w:rsidR="009D7677" w:rsidRDefault="009D7677" w:rsidP="009D7677">
      <w:pPr>
        <w:pStyle w:val="TextoNormal"/>
      </w:pPr>
    </w:p>
    <w:p w14:paraId="1958E12A" w14:textId="3FF8FA6D" w:rsidR="009D7677" w:rsidRDefault="009D7677" w:rsidP="009D7677">
      <w:pPr>
        <w:pStyle w:val="TextoNormal"/>
      </w:pPr>
      <w:r>
        <w:t>Madrid, a cuatro de junio de dos mil veinticuatro.</w:t>
      </w:r>
    </w:p>
    <w:p w14:paraId="5B2492D5" w14:textId="77777777" w:rsidR="009D7677" w:rsidRDefault="009D7677" w:rsidP="009D7677">
      <w:pPr>
        <w:pStyle w:val="TextoNormal"/>
      </w:pPr>
    </w:p>
    <w:p w14:paraId="66C2AF6A" w14:textId="77777777" w:rsidR="009D7677" w:rsidRDefault="009D7677" w:rsidP="009D7677">
      <w:pPr>
        <w:pStyle w:val="TextoNormalNegritaCentrado"/>
        <w:keepNext/>
      </w:pPr>
      <w:r>
        <w:t>Voto particular que formulan las magistradas doña Inmaculada Montalbán Huertas y doña María Luisa Segoviano Astaburuaga respecto de la sentencia dictada en el recurso de amparo avocado núm. 4949-2021</w:t>
      </w:r>
    </w:p>
    <w:p w14:paraId="1E67B9E3" w14:textId="0C52FD0E" w:rsidR="009D7677" w:rsidRDefault="009D7677" w:rsidP="009D7677">
      <w:pPr>
        <w:pStyle w:val="TextoNormalNegritaCentrado"/>
        <w:keepNext/>
      </w:pPr>
    </w:p>
    <w:p w14:paraId="18FED891" w14:textId="77777777" w:rsidR="009D7677" w:rsidRDefault="009D7677" w:rsidP="009D7677">
      <w:pPr>
        <w:pStyle w:val="TextoNormal"/>
      </w:pPr>
      <w:r>
        <w:t>En el ejercicio de la facultad que nos confiere el art. 90.2 de la Ley Orgánica del Tribunal Constitucional, y con el máximo respeto a los magistrados y magistradas del Tribunal, formulamos el presente voto particular para exponer nuestra discrepancia con la fundamentación utilizada para descartar que la actuación ordinaria de los agentes encubiertos sea susceptible de incidir en el ámbito de protección del derecho a la intimidad (art. 18.1 CE) y, por tanto, que resulte innecesario en estos casos que la jurisdicción de amparo haga aplicación del parámetro de control de constitucionalidad que le es propio.</w:t>
      </w:r>
    </w:p>
    <w:p w14:paraId="03E4F066" w14:textId="77777777" w:rsidR="009D7677" w:rsidRDefault="009D7677" w:rsidP="009D7677">
      <w:pPr>
        <w:pStyle w:val="TextoNormal"/>
      </w:pPr>
    </w:p>
    <w:p w14:paraId="70F2ED60" w14:textId="77777777" w:rsidR="009D7677" w:rsidRDefault="009D7677" w:rsidP="009D7677">
      <w:pPr>
        <w:pStyle w:val="TextoNormal"/>
      </w:pPr>
      <w:r>
        <w:t xml:space="preserve">1. El art. 282 </w:t>
      </w:r>
      <w:r w:rsidRPr="009D7677">
        <w:rPr>
          <w:i/>
        </w:rPr>
        <w:t>bis</w:t>
      </w:r>
      <w:r>
        <w:t xml:space="preserve"> LECrim regula la posibilidad de autorizar a funcionarios de la policía judicial, cuando se trate de investigaciones que afecten a actividades propias de la delincuencia organizada, a actuar bajo identidad supuesta y a adquirir y transportar los objetos, efectos e instrumentos del delito y diferir la incautación de los mismos. La sentencia concluye que la actuación ordinaria de estos agentes no implica una injerencia en el ámbito de protección del derecho fundamental a la intimidad de las personas que puedan ser objeto de investigación. Los argumentos utilizados para sustentar esta conclusión no tienen, a nuestro parecer, solidez suficiente por las razones que se exponen en el presente voto.</w:t>
      </w:r>
    </w:p>
    <w:p w14:paraId="5C2B2276" w14:textId="77777777" w:rsidR="009D7677" w:rsidRDefault="009D7677" w:rsidP="009D7677">
      <w:pPr>
        <w:pStyle w:val="TextoNormal"/>
      </w:pPr>
    </w:p>
    <w:p w14:paraId="431A6944" w14:textId="77777777" w:rsidR="009D7677" w:rsidRDefault="009D7677" w:rsidP="009D7677">
      <w:pPr>
        <w:pStyle w:val="TextoNormal"/>
      </w:pPr>
      <w:r>
        <w:lastRenderedPageBreak/>
        <w:t xml:space="preserve">2. El argumento principal de la sentencia, expuesto en su fundamento jurídico 4, proviene directamente de la regulación legal de este medio de investigación. Se argumenta que, si el art. 282 </w:t>
      </w:r>
      <w:r w:rsidRPr="009D7677">
        <w:rPr>
          <w:i/>
        </w:rPr>
        <w:t>bis</w:t>
      </w:r>
      <w:r>
        <w:t xml:space="preserve">.3 LECrim establece que “[c]uando las actuaciones de investigación puedan afectar a los derechos fundamentales, el agente encubierto deberá solicitar del órgano judicial competente las autorizaciones que, al respecto, establezca la Constitución y la ley, así como cumplir las demás previsiones legales aplicables”; y el art. 282 </w:t>
      </w:r>
      <w:r w:rsidRPr="009D7677">
        <w:rPr>
          <w:i/>
        </w:rPr>
        <w:t>bis</w:t>
      </w:r>
      <w:r>
        <w:t>.1 LECrim, atribuye al Ministerio Fiscal la posibilidad de autorizar la actuación de un agente encubierto, a pesar de que según el art. 5.2 EOMF no puede adoptar “medidas cautelares o limitativas de derechos”, es porque la actuación ordinaria de los agentes encubiertos no afecta a derechos fundamentales ni, por tanto, al derecho a la intimidad.</w:t>
      </w:r>
    </w:p>
    <w:p w14:paraId="620772A5" w14:textId="77777777" w:rsidR="009D7677" w:rsidRDefault="009D7677" w:rsidP="009D7677">
      <w:pPr>
        <w:pStyle w:val="TextoNormal"/>
      </w:pPr>
    </w:p>
    <w:p w14:paraId="2C1B901F" w14:textId="77777777" w:rsidR="009D7677" w:rsidRDefault="009D7677" w:rsidP="009D7677">
      <w:pPr>
        <w:pStyle w:val="TextoNormal"/>
      </w:pPr>
      <w:r>
        <w:t>Sin perjuicio de otras consideraciones, como que no resulta adecuado utilizar previsiones legales para delimitar el ámbito de protección del contenido esencial de los derechos fundamentales, incluso las de configuración legal, ya que ello implica subvertir el sistema constitucional de fuentes, este argumento nos parece que no tiene la necesaria capacidad de convicción.</w:t>
      </w:r>
    </w:p>
    <w:p w14:paraId="71BBC6D3" w14:textId="77777777" w:rsidR="009D7677" w:rsidRDefault="009D7677" w:rsidP="009D7677">
      <w:pPr>
        <w:pStyle w:val="TextoNormal"/>
      </w:pPr>
    </w:p>
    <w:p w14:paraId="003652FD" w14:textId="77777777" w:rsidR="009D7677" w:rsidRDefault="009D7677" w:rsidP="009D7677">
      <w:pPr>
        <w:pStyle w:val="TextoNormal"/>
      </w:pPr>
      <w:r>
        <w:t xml:space="preserve">La previsión del art. 282 </w:t>
      </w:r>
      <w:r w:rsidRPr="009D7677">
        <w:rPr>
          <w:i/>
        </w:rPr>
        <w:t>bis</w:t>
      </w:r>
      <w:r>
        <w:t xml:space="preserve">.3 LECrim —la obligación del agente encubierto de que ante concretas actuaciones de investigación que puedan afectar a los derechos fundamentales deba solicitar del órgano judicial competente las autorizaciones que, al respecto, establezcan la Constitución y la ley— debe ponerse en relación directa con la eventualidad de que en el desarrollo de la actividad ordinaria del agente encubierto puedan surgir actuaciones específicas en las que por quedar afectados otros derechos fundamentales resulte necesaria esa autorización judicial bien por exigencias constitucionales —entrada y registro de un domicilio (art. 18.2 CE) o apertura de comunicaciones postales (art. 18.3 CE), por ejemplo—; bien por exigencia legal —entrada y registro en locales o lugares que no constituyan domicilio (arts. 546 y 547 LECrim), solicitudes de número IP de dispositivos (art. 588 </w:t>
      </w:r>
      <w:r w:rsidRPr="009D7677">
        <w:rPr>
          <w:i/>
        </w:rPr>
        <w:t>ter</w:t>
      </w:r>
      <w:r>
        <w:t xml:space="preserve"> k LECrim), o colocación de localizadores GPS en vehículos (art. 588 </w:t>
      </w:r>
      <w:r w:rsidRPr="009D7677">
        <w:rPr>
          <w:i/>
        </w:rPr>
        <w:t>quinquies</w:t>
      </w:r>
      <w:r>
        <w:t xml:space="preserve"> b LECrim), por ejemplo—. De ese modo, se trata de un argumento que no parece disociar adecuadamente dos realidades diferentes en la actuación de los agentes encubiertos, careciendo de la suficiente solvencia para concluir que, en sí misma considerada, la actuación ordinaria de un agente encubierto no supone una injerencia en el derecho a la intimidad, especialmente tomando en consideración que también se exige para su actuación la autorización judicial o la puesta en conocimiento inmediato del juez en el caso de que la autorice el Ministerio Fiscal (art. 282 </w:t>
      </w:r>
      <w:r w:rsidRPr="009D7677">
        <w:rPr>
          <w:i/>
        </w:rPr>
        <w:t>bis</w:t>
      </w:r>
      <w:r>
        <w:t>.1 LECrim).</w:t>
      </w:r>
    </w:p>
    <w:p w14:paraId="7316F179" w14:textId="77777777" w:rsidR="009D7677" w:rsidRDefault="009D7677" w:rsidP="009D7677">
      <w:pPr>
        <w:pStyle w:val="TextoNormal"/>
      </w:pPr>
    </w:p>
    <w:p w14:paraId="0EED0957" w14:textId="77777777" w:rsidR="009D7677" w:rsidRDefault="009D7677" w:rsidP="009D7677">
      <w:pPr>
        <w:pStyle w:val="TextoNormal"/>
      </w:pPr>
      <w:r>
        <w:t xml:space="preserve">Del mismo modo, el argumento de que si el art. 282 </w:t>
      </w:r>
      <w:r w:rsidRPr="009D7677">
        <w:rPr>
          <w:i/>
        </w:rPr>
        <w:t>bis</w:t>
      </w:r>
      <w:r>
        <w:t xml:space="preserve"> LECrim habilita al Ministerio Fiscal para autorizar la actuación de un agente encubierto, a pesar de que según el art. 5.2 EOMF no puede adoptar “medidas cautelares o limitativas de derechos”, es porque esta medida no afecta a derechos fundamentales, tampoco resulta convincente al incurrir en la misma confusión. La previsión del art. 5.2 EOMF aparece referida a aquellos supuestos en los que las medidas cautelares o limitativas de derechos están relacionados con limitaciones de derechos fundamentales que exigen constitucionalmente la garantía judicial previa o así venga exigida en su desarrollo legislativo. No se refiere, como es el caso del derecho a la intimidad, a derechos en los que, según jurisprudencia constitucional, el legislador tiene cierto margen para configurar o moderar la garantía judicial o, incluso, en casos excepcionales y urgentes, prescindir de ella (así, STC 199/2013, de 5 de diciembre, FJ 10). Por tanto, la previsión conjunta del Estatuto orgánico del Ministerio Fiscal, prohibitiva de </w:t>
      </w:r>
      <w:r>
        <w:lastRenderedPageBreak/>
        <w:t xml:space="preserve">la adopción de medidas limitativas de derechos por el Ministerio Fiscal, y del art. 282 </w:t>
      </w:r>
      <w:r w:rsidRPr="009D7677">
        <w:rPr>
          <w:i/>
        </w:rPr>
        <w:t>bis</w:t>
      </w:r>
      <w:r>
        <w:t>.1 LECrim, que habilita a este para autorizar (con inmediata comunicación al juez) la actuación de los agentes encubiertos no permite concluir que no se trata de una figura limitativa del derecho fundamental a la intimidad.</w:t>
      </w:r>
    </w:p>
    <w:p w14:paraId="32FC7F87" w14:textId="77777777" w:rsidR="009D7677" w:rsidRDefault="009D7677" w:rsidP="009D7677">
      <w:pPr>
        <w:pStyle w:val="TextoNormal"/>
      </w:pPr>
    </w:p>
    <w:p w14:paraId="51D68EBD" w14:textId="77777777" w:rsidR="009D7677" w:rsidRDefault="009D7677" w:rsidP="009D7677">
      <w:pPr>
        <w:pStyle w:val="TextoNormal"/>
      </w:pPr>
      <w:r>
        <w:t>3. Frente a los argumentos utilizados en la sentencia cabe incidir en que, sin perjuicio de reiterar que es a este tribunal al que corresponde, en última instancia, establecer si la actuación ordinaria de los agentes encubiertos es susceptible de suponer una injerencia en el derecho a la intimidad, se evidencia un amplio consenso en la comunidad jurídica más especializada en favor de una respuesta positiva.</w:t>
      </w:r>
    </w:p>
    <w:p w14:paraId="2ED48697" w14:textId="77777777" w:rsidR="009D7677" w:rsidRDefault="009D7677" w:rsidP="009D7677">
      <w:pPr>
        <w:pStyle w:val="TextoNormal"/>
      </w:pPr>
    </w:p>
    <w:p w14:paraId="0A3BCA35" w14:textId="77777777" w:rsidR="009D7677" w:rsidRDefault="009D7677" w:rsidP="009D7677">
      <w:pPr>
        <w:pStyle w:val="TextoNormal"/>
      </w:pPr>
      <w:r>
        <w:t xml:space="preserve">(i) La jurisprudencia de la Sala de lo Penal del Tribunal Supremo, tanto antes de la regulación específica de los agentes infiltrados como con posterioridad, ha sostenido en diversas ocasiones que la actividad ordinaria de un agente encubierto es susceptible de afectar al derecho a la intimidad (art. 18.1 CE). Así, por ejemplo, antes de la regulación de esta figura por la Ley Orgánica 5/1999, ya se aludía expresamente a este derecho al afirmar que la intervención de un agente encubierto “es una injerencia en la vida privada del sospechoso, y debiera estar prevista en la ley las condiciones de su ejercicio, reservándola a las infracciones penales especialmente graves” (STS 7382/1993, de 3 de noviembre). Con posterioridad, ha seguido manteniendo esa misma posición, pudiendo citarse como ejemplo la propia sentencia de casación impugnada en el presente recurso de amparo, en la que también se reconoce que se trata de una actuación restrictiva del derecho a la intimidad, aunque legítima en el caso concreto, al afirmar que “[e]l conflicto de la posible afectación de la intimidad ha sido deshecho y destruido por la validación de intervención del fiscal, y previa ponderación de los intereses en juego y la permisividad </w:t>
      </w:r>
      <w:r w:rsidRPr="009D7677">
        <w:rPr>
          <w:i/>
        </w:rPr>
        <w:t>ex lege</w:t>
      </w:r>
      <w:r>
        <w:t xml:space="preserve">, art. 282 </w:t>
      </w:r>
      <w:r w:rsidRPr="009D7677">
        <w:rPr>
          <w:i/>
        </w:rPr>
        <w:t>bis</w:t>
      </w:r>
      <w:r>
        <w:t xml:space="preserve"> LECrim para conseguir el buen fin de la investigación policial en la persecución de los hechos delictivos” (fundamento de derecho tercero).</w:t>
      </w:r>
    </w:p>
    <w:p w14:paraId="657B80F3" w14:textId="77777777" w:rsidR="009D7677" w:rsidRDefault="009D7677" w:rsidP="009D7677">
      <w:pPr>
        <w:pStyle w:val="TextoNormal"/>
      </w:pPr>
    </w:p>
    <w:p w14:paraId="5A77672C" w14:textId="77777777" w:rsidR="009D7677" w:rsidRDefault="009D7677" w:rsidP="009D7677">
      <w:pPr>
        <w:pStyle w:val="TextoNormal"/>
      </w:pPr>
      <w:r>
        <w:t>(ii) El legislador así lo da por supuesto no solo cuando la regulación de la actuación de los agentes encubiertos (Ley Orgánica 5/1999) y sus posteriores modificaciones en cuanto a los delitos objeto de este medio de investigación (leyes orgánicas 15/2003, de 25 de noviembre, o 5/2010, de 22 de junio) se hace a través de ley orgánica, tomando como presupuesto que supone el desarrollo de un derecho fundamental (art. 81.1 CE), sino porque explícitamente así lo reconoce en la propia exposición de motivos de la Ley Orgánica 5/1999, al reconocer que “estas modificaciones deben introducirse respetando el fin del proceso penal que no es otro que el descubrimiento de la verdad real y la aplicación de la ley penal al caso concreto, teniendo siempre en cuenta que los límites de las técnicas propuestas de investigación se encuentran en el sistema de derechos y garantías que la Constitución reconoce a todo imputado, ya que por más abyectas que sean las formas de delincuencia que se tratan de combatir, ello no justifica la utilización de medios investigadores que puedan violentar garantías constitucionales. Por tanto, la búsqueda de medios jurídicos eficaces para luchar contra la criminalidad organizada no debe comportar un detrimento de la plena vigencia de los principios, derechos y garantías constitucionales, y la preservación de los aludidos principios, derechos y garantías exige, siempre que exista conflicto, que el mismo se resuelva en favor de estos últimos, porque ellos constituyen el verdadero fundamento de nuestro sistema democrático”.</w:t>
      </w:r>
    </w:p>
    <w:p w14:paraId="5F11D6B0" w14:textId="77777777" w:rsidR="009D7677" w:rsidRDefault="009D7677" w:rsidP="009D7677">
      <w:pPr>
        <w:pStyle w:val="TextoNormal"/>
      </w:pPr>
    </w:p>
    <w:p w14:paraId="5AFF4E2E" w14:textId="77777777" w:rsidR="009D7677" w:rsidRDefault="009D7677" w:rsidP="009D7677">
      <w:pPr>
        <w:pStyle w:val="TextoNormal"/>
      </w:pPr>
      <w:r>
        <w:lastRenderedPageBreak/>
        <w:t xml:space="preserve">(iii) Es una conclusión también reiterada recientemente por el Consejo General del Poder Judicial en su informe de 27 de abril de 2023 sobre el anteproyecto de ley orgánica por la que se modifican la Ley Orgánica 6/1985, de 1 de julio, del Poder Judicial, la Ley de enjuiciamiento criminal y la Ley 23/2014, de 20 de noviembre, de reconocimiento mutuo de resoluciones penales en la Unión Europea, y por la que se regulan los equipos conjuntos de investigación. En este informe, ante la propuesta de modificación del art. 282 </w:t>
      </w:r>
      <w:r w:rsidRPr="009D7677">
        <w:rPr>
          <w:i/>
        </w:rPr>
        <w:t>bis</w:t>
      </w:r>
      <w:r>
        <w:t xml:space="preserve"> LECrim sobre los agentes encubiertos también se afirma que “[a] la vista de lo señalado en la disposición final primera, anteriormente transcrita, y en relación con la naturaleza de la ley proyectada, cabe hacer las siguientes observaciones: […] (ii) El artículo dos, destinado a introducir importantes reformas en la Ley de enjuiciamiento criminal en la regulación de la figura del agente encubierto y en las investigaciones encubiertas en canales cerrados de comunicación, afecta de manera directa a derechos fundamentales, por lo que configura un contenido propio reservado a la ley orgánica”.</w:t>
      </w:r>
    </w:p>
    <w:p w14:paraId="04662A8A" w14:textId="77777777" w:rsidR="009D7677" w:rsidRDefault="009D7677" w:rsidP="009D7677">
      <w:pPr>
        <w:pStyle w:val="TextoNormal"/>
      </w:pPr>
    </w:p>
    <w:p w14:paraId="1E616061" w14:textId="77777777" w:rsidR="009D7677" w:rsidRDefault="009D7677" w:rsidP="009D7677">
      <w:pPr>
        <w:pStyle w:val="TextoNormal"/>
      </w:pPr>
      <w:r>
        <w:t>4. La sentencia también sostiene en el fundamento jurídico 2 D) que la jurisprudencia del Tribunal Europeo de Derechos Humanos descarta que la actuación del agente encubierto afecte al derecho a la intimidad (art. 8 CEDH) del investigado, incidiendo en que solo puede afectar al derecho a un proceso equitativo (art. 6 CEDH) en caso de existir incitación al delito por parte del agente encubierto.</w:t>
      </w:r>
    </w:p>
    <w:p w14:paraId="5FA50EFE" w14:textId="77777777" w:rsidR="009D7677" w:rsidRDefault="009D7677" w:rsidP="009D7677">
      <w:pPr>
        <w:pStyle w:val="TextoNormal"/>
      </w:pPr>
    </w:p>
    <w:p w14:paraId="6BD10D17" w14:textId="77777777" w:rsidR="009D7677" w:rsidRDefault="009D7677" w:rsidP="009D7677">
      <w:pPr>
        <w:pStyle w:val="TextoNormal"/>
      </w:pPr>
      <w:r>
        <w:t xml:space="preserve">Consideramos que un análisis más detenido de la jurisprudencia del Tribunal Europeo de Derechos Humanos no permite compartir esa apreciación. Ciertamente, el Tribunal Europeo de Derechos Humanos se ha pronunciado sobre la invocación del art. 8.1 CEDH —derecho a la intimidad— en el contexto de la actuación de los agentes encubiertos en las resoluciones citadas en la sentencia. La primera de ellas sería la STEDH de 15 de junio de 1992, asunto </w:t>
      </w:r>
      <w:r w:rsidRPr="009D7677">
        <w:rPr>
          <w:i/>
        </w:rPr>
        <w:t>Lüdi c. Suiza</w:t>
      </w:r>
      <w:r>
        <w:t xml:space="preserve">, en la que existe una afirmación explícita de que “en el presente caso la utilización de un agente encubierto no afectó, ni en sí misma ni en combinación con las escuchas telefónicas, a la esfera de la vida privada en el sentido del artículo 8”; justificándolo en que a partir del momento en el que el demandante ofreció al agente encubierto la venta de droga “debió darse cuenta de que estaba cometiendo un acto delictivo comprendido en el ámbito de aplicación del artículo 19 de la Ley sobre estupefacientes y que, por tanto, corría el riesgo de encontrarse con un agente de policía encubierto que, de hecho, se encargaba de desenmascararle” (§ 40). Ya más modernamente en la STEDH de 23 de octubre de 2018, asunto </w:t>
      </w:r>
      <w:r w:rsidRPr="009D7677">
        <w:rPr>
          <w:i/>
        </w:rPr>
        <w:t>Guerni c. Bélgica</w:t>
      </w:r>
      <w:r>
        <w:t xml:space="preserve">, se afirma, ante la invocación del art. 8 CEDH, “que no puede haber injerencia en el sentido del artículo 8 cuando, gracias a diversas iniciativas tomadas por el demandante y a petición de uno de los acusados, el agente de policía encubierto se declaró dispuesto a hacerse cargo del transporte de drogas que eran objeto de un importante tráfico internacional de drogas organizado por el demandante y los demás acusados (véase </w:t>
      </w:r>
      <w:r w:rsidRPr="009D7677">
        <w:rPr>
          <w:i/>
        </w:rPr>
        <w:t>Lüdi</w:t>
      </w:r>
      <w:r>
        <w:t>, antes citada, § 40)” (§ 73).</w:t>
      </w:r>
    </w:p>
    <w:p w14:paraId="1037308C" w14:textId="77777777" w:rsidR="009D7677" w:rsidRDefault="009D7677" w:rsidP="009D7677">
      <w:pPr>
        <w:pStyle w:val="TextoNormal"/>
      </w:pPr>
    </w:p>
    <w:p w14:paraId="23D00813" w14:textId="77777777" w:rsidR="009D7677" w:rsidRDefault="009D7677" w:rsidP="009D7677">
      <w:pPr>
        <w:pStyle w:val="TextoNormal"/>
      </w:pPr>
      <w:r>
        <w:t xml:space="preserve">Ambas resoluciones resultan muy escuetas y apodícticas en su análisis de la invocación del derecho a la intimidad para establecer una lectura conclusiva como la extraída en la sentencia sobre que la posición del Tribunal Europeo de Derechos Humanos es que la figura de los agentes encubiertos no supone en sí misma una afectación en el derecho a la intimidad del art. 8.1 CEDH. En principio, no puede excluirse que la afirmación de la falta de injerencia se haga con fundamento en el art. 8.2 CEDH, esto es, en que la injerencia, aun existiendo, no es ilegítima. Esa parece la conclusión más razonable no solo si se toma en consideración que el argumento utilizado en ambas resoluciones es el carácter ilícito de </w:t>
      </w:r>
      <w:r>
        <w:lastRenderedPageBreak/>
        <w:t xml:space="preserve">la inmediata propuesta previa del interesado al agente encubierto para la adquisición de drogas, lo que remitiría a la concurrencia en esos casos de motivos de prevención delictiva legitimadores de la injerencia en la intimidad personal; sino, muy especialmente, porque en la sentencia </w:t>
      </w:r>
      <w:r w:rsidRPr="009D7677">
        <w:rPr>
          <w:i/>
        </w:rPr>
        <w:t>Lüdi c. Suiza</w:t>
      </w:r>
      <w:r>
        <w:t xml:space="preserve"> se hace la afirmación de que no existe dicha injerencia incluso en combinación con las escuchas telefónicas desarrolladas en aquel caso, que es indubitado que se trata de una actuación que sí afecta, en los términos de la jurisprudencia del Tribunal Europeo de Derechos Humanos, al derecho a la intimidad, aunque pueda ser legítima en los términos del art. 8.2 CEDH.</w:t>
      </w:r>
    </w:p>
    <w:p w14:paraId="6C348E7C" w14:textId="77777777" w:rsidR="009D7677" w:rsidRDefault="009D7677" w:rsidP="009D7677">
      <w:pPr>
        <w:pStyle w:val="TextoNormal"/>
      </w:pPr>
    </w:p>
    <w:p w14:paraId="5EA1716C" w14:textId="77777777" w:rsidR="009D7677" w:rsidRDefault="009D7677" w:rsidP="009D7677">
      <w:pPr>
        <w:pStyle w:val="TextoNormal"/>
      </w:pPr>
      <w:r>
        <w:t xml:space="preserve">Por otra parte, también cabe destacar la existencia de una jurisprudencia del Tribunal Europeo de Derechos Humanos en la que se reitera que actuaciones ordinarias de los agentes encubiertos implican una injerencia en el derecho a la intimidad. Así, por ejemplo, la elaboración de fichas o tarjetas sobre la conducta profesional o empresarial de una persona y su almacenamiento (SSTEDH de 16 de febrero de 2000, asunto </w:t>
      </w:r>
      <w:r w:rsidRPr="009D7677">
        <w:rPr>
          <w:i/>
        </w:rPr>
        <w:t>Amann c. Suiza</w:t>
      </w:r>
      <w:r>
        <w:t xml:space="preserve">, § 65 a 67, o de 4 de mayo de 2000, asunto </w:t>
      </w:r>
      <w:r w:rsidRPr="009D7677">
        <w:rPr>
          <w:i/>
        </w:rPr>
        <w:t>Rotaru c. Rumanía</w:t>
      </w:r>
      <w:r>
        <w:t xml:space="preserve">, § 43 y 44). A esos efectos, la STEDH de 2 de septiembre de 2010, asunto </w:t>
      </w:r>
      <w:r w:rsidRPr="009D7677">
        <w:rPr>
          <w:i/>
        </w:rPr>
        <w:t>Uzun c. Alemania</w:t>
      </w:r>
      <w:r>
        <w:t>, reconoce que “el Tribunal ha considerado que la recopilación y el almacenamiento sistemáticos de datos por parte de los servicios de seguridad sobre individuos concretos, incluso sin el uso de métodos de vigilancia encubiertos, constituía una injerencia en la vida privada de estas personas” (§ 46) con cita de las dos resoluciones anteriores; al igual que aquellos casos en los que, aun tratándose de medidas realizadas fuera del domicilio de un particular o de sus locales privados, resulta vigilada ya que “pueden surgir consideraciones sobre la vida privada una vez que exista un registro sistemático o permanente de dicho material procedente del dominio público” (§ 44). En conexión con ello, en el presente caso en la pieza separada del agente encubierto constan hasta un total de ocho informes elaborados por el agente encubierto en relación con la actividad del recurrente, así como numerosas fotos tomadas del mismo en lugares públicos.</w:t>
      </w:r>
    </w:p>
    <w:p w14:paraId="14A71475" w14:textId="77777777" w:rsidR="009D7677" w:rsidRDefault="009D7677" w:rsidP="009D7677">
      <w:pPr>
        <w:pStyle w:val="TextoNormal"/>
      </w:pPr>
    </w:p>
    <w:p w14:paraId="62ACFC2A" w14:textId="77777777" w:rsidR="009D7677" w:rsidRDefault="009D7677" w:rsidP="009D7677">
      <w:pPr>
        <w:pStyle w:val="TextoNormal"/>
      </w:pPr>
      <w:r>
        <w:t>En definitiva, consideramos que la jurisprudencia invocada del Tribunal Europeo de Derechos Humanos no solo carece de solidez para sustentar la conclusión de la sentencia de descartar la potencial afectación que supone la actuación ordinaria de los agentes encubiertos en el derecho a la intimidad; sino, al contrario, que cabe fundamentar en ella, de conformidad con lo establecido en el art. 10.2 CE, que dicha actuación se desarrolla dentro del ámbito de protección constitucional del derecho fundamental a la intimidad.</w:t>
      </w:r>
    </w:p>
    <w:p w14:paraId="01D8BEC7" w14:textId="77777777" w:rsidR="009D7677" w:rsidRDefault="009D7677" w:rsidP="009D7677">
      <w:pPr>
        <w:pStyle w:val="TextoNormal"/>
      </w:pPr>
    </w:p>
    <w:p w14:paraId="66F204E2" w14:textId="77777777" w:rsidR="009D7677" w:rsidRDefault="009D7677" w:rsidP="009D7677">
      <w:pPr>
        <w:pStyle w:val="TextoNormal"/>
      </w:pPr>
      <w:r>
        <w:t>5. La jurisprudencia constitucional aporta pronunciamientos relevantes a partir de los cuales consideramos que debía haberse intentado desarrollar una más amplia reflexión sobre la posibilidad de concluir que la actuación ordinaria de los agentes encubiertos implica una injerencia en el ejercicio del derecho a la intimidad (art. 18.1 CE) de los ciudadanos sujeto de investigación.</w:t>
      </w:r>
    </w:p>
    <w:p w14:paraId="68ED5B78" w14:textId="77777777" w:rsidR="009D7677" w:rsidRDefault="009D7677" w:rsidP="009D7677">
      <w:pPr>
        <w:pStyle w:val="TextoNormal"/>
      </w:pPr>
    </w:p>
    <w:p w14:paraId="2010A454" w14:textId="77777777" w:rsidR="009D7677" w:rsidRDefault="009D7677" w:rsidP="009D7677">
      <w:pPr>
        <w:pStyle w:val="TextoNormal"/>
      </w:pPr>
      <w:r>
        <w:t xml:space="preserve">La jurisprudencia constitucional ha reiterado que el derecho a la intimidad implica la existencia de un ámbito propio y reservado frente a la acción y el conocimiento de los demás, necesario, según las pautas de nuestra cultura, para mantener una calidad mínima de la vida humana, lo que atribuye a su titular el poder de reservarse un espacio resguardado de la curiosidad ajena, de una publicidad no querida y, en consecuencia, el poder jurídico de imponer a terceros, sean particulares o poderes públicos, el deber de abstenerse de toda intromisión en la esfera íntima y la prohibición de hacer uso de lo así conocido, que no se </w:t>
      </w:r>
      <w:r>
        <w:lastRenderedPageBreak/>
        <w:t>reduce necesariamente a la que se desarrolla en un ámbito doméstico o privado (así, con amplias referencias, STC 92/2023, de 11 de septiembre, FJ 6).</w:t>
      </w:r>
    </w:p>
    <w:p w14:paraId="0AE95692" w14:textId="77777777" w:rsidR="009D7677" w:rsidRDefault="009D7677" w:rsidP="009D7677">
      <w:pPr>
        <w:pStyle w:val="TextoNormal"/>
      </w:pPr>
    </w:p>
    <w:p w14:paraId="322D149B" w14:textId="77777777" w:rsidR="009D7677" w:rsidRDefault="009D7677" w:rsidP="009D7677">
      <w:pPr>
        <w:pStyle w:val="TextoNormal"/>
      </w:pPr>
      <w:r>
        <w:t>La jurisprudencia constitucional también ha destacado, en línea con lo establecido por el Tribunal Europeo de Derechos Humanos, que la intimidad protegida por el art. 18.1 CE no se reduce necesariamente a la que se desarrolla en un ámbito doméstico o privado, ya que limitar el ámbito de protección de este derecho a un círculo íntimo en el que el individuo puede conducir su vida personal a su manera y excluir plenamente el mundo exterior no incluido en este círculo resultaría muy restrictivo; poniendo de manifiesto que también en otros ámbitos, y en particular en el relacionado con el trabajo o la profesión, se desarrollan relaciones interpersonales, vínculos o actuaciones que pueden constituir manifestación de la vida privada por lo que su protección se extiende más allá del círculo familiar privado y puede alcanzar también a otros ámbitos de interacción social (así, por ejemplo, STC 12/2012, FJ 5).</w:t>
      </w:r>
    </w:p>
    <w:p w14:paraId="6B263D49" w14:textId="77777777" w:rsidR="009D7677" w:rsidRDefault="009D7677" w:rsidP="009D7677">
      <w:pPr>
        <w:pStyle w:val="TextoNormal"/>
      </w:pPr>
    </w:p>
    <w:p w14:paraId="317E5200" w14:textId="77777777" w:rsidR="009D7677" w:rsidRDefault="009D7677" w:rsidP="009D7677">
      <w:pPr>
        <w:pStyle w:val="TextoNormal"/>
      </w:pPr>
      <w:r>
        <w:t>Un elemento igualmente apreciado por la jurisprudencia constitucional para determinar aquellas manifestaciones de la vida personal que resultan protegidas por el derecho a la intimidad es el de las expectativas razonables que la propia persona, o cualquier otra en su lugar en esa circunstancia, pueda tener de encontrarse al resguardo de la observación o del escrutinio ajeno, como es el que se desarrolla en lugar específicamente ordenado a asegurar la discreción de lo hablado (así, por ejemplo, SSTC 12/2012, FJ 5; 25/2019, de 25 de febrero, FJ 4, o 92/2023, FJ 6).</w:t>
      </w:r>
    </w:p>
    <w:p w14:paraId="1F25F610" w14:textId="77777777" w:rsidR="009D7677" w:rsidRDefault="009D7677" w:rsidP="009D7677">
      <w:pPr>
        <w:pStyle w:val="TextoNormal"/>
      </w:pPr>
    </w:p>
    <w:p w14:paraId="4E1EAAB9" w14:textId="77777777" w:rsidR="009D7677" w:rsidRDefault="009D7677" w:rsidP="009D7677">
      <w:pPr>
        <w:pStyle w:val="TextoNormal"/>
      </w:pPr>
      <w:r>
        <w:t>Por último, cabe recordar que la jurisprudencia constitucional ha destacado como elementos relevantes para delimitar el contenido del derecho a la intimidad: (i) la toma de fotografías obtenidas clandestinamente, por ser ello expresivo de que el individuo no abriera al público conocimiento su ámbito reservado de intimidad (así, SSTC 12/2012, FJ 6; 176/2013, de 21 de octubre, FJ 7; 7/2014, de 27 de enero, FJ 4, o 18/2015, de 16 de febrero, FJ 5); y (ii) la utilización de dispositivos ocultos de captación de la voz y la imagen, basado en un ardid o engaño simulando una identidad oportuna según el contexto, para poder acceder a un ámbito reservado de la persona afectada con la finalidad de grabar su comportamiento o actuación desinhibida, provocar sus comentarios y reacciones, así como registrar subrepticiamente declaraciones sobre hechos o personas, que no es seguro que hubiera podido lograr si se hubiera presentado con su verdadera identidad y con sus auténticas intenciones (así, SSTC 12/2012, FJ 6, o 25/2019, FJ 6).</w:t>
      </w:r>
    </w:p>
    <w:p w14:paraId="5021E8C9" w14:textId="77777777" w:rsidR="009D7677" w:rsidRDefault="009D7677" w:rsidP="009D7677">
      <w:pPr>
        <w:pStyle w:val="TextoNormal"/>
      </w:pPr>
    </w:p>
    <w:p w14:paraId="4DE47505" w14:textId="77777777" w:rsidR="009D7677" w:rsidRDefault="009D7677" w:rsidP="009D7677">
      <w:pPr>
        <w:pStyle w:val="TextoNormal"/>
      </w:pPr>
      <w:r>
        <w:t>En aplicación de estas consideraciones, la jurisprudencia constitucional ha concluido que constituían una injerencia en el ámbito de protección del derecho a la intimidad actuaciones como, por ejemplo, la toma de fotografías en lugares públicos de manera clandestina con desconocimiento de los afectados (así, SSTC 176/2013, FJ 7, o 7/2014, FJ 4); grabaciones con cámaras ocultas en despachos profesionales haciéndose pasar por clientes (STC 25/2019, FJ 8) o la colocación de cámaras en un garaje de uso comunitario (STC 92/2023, FJ 6).</w:t>
      </w:r>
    </w:p>
    <w:p w14:paraId="14EBC9E9" w14:textId="77777777" w:rsidR="009D7677" w:rsidRDefault="009D7677" w:rsidP="009D7677">
      <w:pPr>
        <w:pStyle w:val="TextoNormal"/>
      </w:pPr>
    </w:p>
    <w:p w14:paraId="59306A78" w14:textId="77777777" w:rsidR="009D7677" w:rsidRDefault="009D7677" w:rsidP="009D7677">
      <w:pPr>
        <w:pStyle w:val="TextoNormal"/>
      </w:pPr>
      <w:r>
        <w:t xml:space="preserve">6. En atención a esta jurisprudencia, parece razonable concluir que cualquier clase de información obtenida mediante un engaño policial, con independencia de que aparezca referida a la vida personal, familiar, social o profesional. que haya sido obtenida en ámbitos respecto de los que existan unas expectativas razonables de encontrarse al resguardo de </w:t>
      </w:r>
      <w:r>
        <w:lastRenderedPageBreak/>
        <w:t>la observación o del escrutinio ajeno, plasmada en informes escritos o recogidas en soportes audiovisuales o fonográficos, estaría protegida por el derecho a la intimidad, ya que las informaciones así obtenidas no se facilitarían espontáneamente a este si supiera que se trata de un agente policial.</w:t>
      </w:r>
    </w:p>
    <w:p w14:paraId="66AF526A" w14:textId="77777777" w:rsidR="009D7677" w:rsidRDefault="009D7677" w:rsidP="009D7677">
      <w:pPr>
        <w:pStyle w:val="TextoNormal"/>
      </w:pPr>
    </w:p>
    <w:p w14:paraId="1ED29C9D" w14:textId="77777777" w:rsidR="009D7677" w:rsidRDefault="009D7677" w:rsidP="009D7677">
      <w:pPr>
        <w:pStyle w:val="TextoNormal"/>
      </w:pPr>
      <w:r>
        <w:t>Ciertamente, resulta posible admitir, desde la perspectiva constitucional del ámbito de protección del derecho a la intimidad, que, a pesar de mediar un engaño, no toda información que pudiera aportarse al agente encubierto pudiera tratarse objetivamente de materia íntima o reservada del afectado. Ahora bien, no consideramos que resulte convincente excluir, como se hace en la sentencia, que la actuación ordinaria de estos agentes encubiertos resulte susceptible por sí sola de suponer una injerencia en el derecho a la intimidad en atención a que tiene su fundamento en la creación de relaciones de confianza con los sujetos investigados, que son más acusadas en aquellas operaciones que hayan tenido una cierta duración e intensidad frente a otras interacciones de carácter más puntual.</w:t>
      </w:r>
    </w:p>
    <w:p w14:paraId="6E2B8D37" w14:textId="77777777" w:rsidR="009D7677" w:rsidRDefault="009D7677" w:rsidP="009D7677">
      <w:pPr>
        <w:pStyle w:val="TextoNormal"/>
      </w:pPr>
    </w:p>
    <w:p w14:paraId="242412EF" w14:textId="77777777" w:rsidR="009D7677" w:rsidRDefault="009D7677" w:rsidP="009D7677">
      <w:pPr>
        <w:pStyle w:val="TextoNormal"/>
      </w:pPr>
      <w:r>
        <w:t>Por tanto, sin perjuicio de poder considerar que, en el caso concreto planteado en el presente recurso, la actuación controvertida pudiera considerarse como una injerencia constitucionalmente lícita en el derecho a la intimidad del investigado, hemos creído necesario, en aras de lo que entendemos que debe ser una correcta comprensión y delimitación del ámbito de protección constitucional del derecho fundamental a la intimidad, dejar constancia de que, a nuestro parecer, existen argumentos con suficiente solidez que hubieran debido llevar a concluir que la actuación ordinaria de los agentes encubiertos supone una injerencia en el derecho a la intimidad (art. 18.1 CE).</w:t>
      </w:r>
    </w:p>
    <w:p w14:paraId="1F98E9E3" w14:textId="77777777" w:rsidR="009D7677" w:rsidRDefault="009D7677" w:rsidP="009D7677">
      <w:pPr>
        <w:pStyle w:val="TextoNormal"/>
      </w:pPr>
    </w:p>
    <w:p w14:paraId="36D27D01" w14:textId="485171C5" w:rsidR="009D7677" w:rsidRDefault="009D7677" w:rsidP="009D7677">
      <w:pPr>
        <w:pStyle w:val="TextoNormal"/>
      </w:pPr>
      <w:r>
        <w:t>Madrid, a cuatro de junio de dos mil veinticuatro.</w:t>
      </w:r>
    </w:p>
    <w:p w14:paraId="7C9A70B3" w14:textId="77777777" w:rsidR="009D7677" w:rsidRDefault="009D7677" w:rsidP="009D7677">
      <w:pPr>
        <w:pStyle w:val="TextoNormal"/>
      </w:pPr>
    </w:p>
    <w:p w14:paraId="469950D0" w14:textId="77777777" w:rsidR="009D7677" w:rsidRDefault="009D7677" w:rsidP="009D7677">
      <w:pPr>
        <w:pStyle w:val="TextoNormalNegritaCentrado"/>
        <w:keepNext/>
      </w:pPr>
      <w:r>
        <w:t>Voto particular discrepante que formula el magistrado don Ramón Sáez Valcárcel a la sentencia dictada en el recurso de amparo avocado núm. 4949-2021</w:t>
      </w:r>
    </w:p>
    <w:p w14:paraId="4872E6FA" w14:textId="7B13EDDE" w:rsidR="009D7677" w:rsidRDefault="009D7677" w:rsidP="009D7677">
      <w:pPr>
        <w:pStyle w:val="TextoNormalNegritaCentrado"/>
        <w:keepNext/>
      </w:pPr>
    </w:p>
    <w:p w14:paraId="5B950FFE" w14:textId="77777777" w:rsidR="009D7677" w:rsidRDefault="009D7677" w:rsidP="009D7677">
      <w:pPr>
        <w:pStyle w:val="TextoNormal"/>
      </w:pPr>
      <w:r>
        <w:t xml:space="preserve">1. Mi desacuerdo con la decisión y la justificación de la desestimación del recurso de amparo se sustenta en varios motivos. Primero, no comparto que la infiltración policial bajo la forma del agente encubierto no suponga una injerencia en el derecho fundamental a la intimidad del investigado (art. 18.1 CE). Es más, la indagación policial encubierta compromete este derecho y también afecta a la libertad de autoincriminación (art. 24.2 CE). Segundo, aceptada esta premisa debe concluirse la necesaria intervención del juez para autorizar la actuación del policía encubierto en garantía de los derechos fundamentales. Así lo prevé el art. 282 </w:t>
      </w:r>
      <w:r w:rsidRPr="009D7677">
        <w:rPr>
          <w:i/>
        </w:rPr>
        <w:t>bis</w:t>
      </w:r>
      <w:r>
        <w:t xml:space="preserve"> LECrim. La mayoría entiende que el fiscal solo está obligado a dar cuenta al juez, no inmediatamente como dice el texto del precepto, sino al momento de concluirse sus diligencias de carácter preprocesal. Al autorizar una medida de investigación invasiva de la esfera privada del indagado es el juez quien debe examinar que concurren los requerimientos del principio de proporcionalidad. La conculcación de la garantía jurisdiccional debería conllevar el otorgamiento del amparo. Tercero, la vulneración del derecho fundamental a la intimidad incide sobre el derecho a un proceso con todas las garantías (art. 24.2 CE) al haberse aprovechado una prueba que conculca aquel derecho fundamental y, para respetar el derecho a la presunción de inocencia del demandante, procedía anular la sentencia para que la Audiencia Provincial valorara si, expulsada del cua</w:t>
      </w:r>
      <w:r>
        <w:lastRenderedPageBreak/>
        <w:t>dro de la prueba la relacionada con el testimonio de los agentes encubiertos, había otra desconectada jurídicamente y de carácter incriminatorio.</w:t>
      </w:r>
    </w:p>
    <w:p w14:paraId="331CB40A" w14:textId="77777777" w:rsidR="009D7677" w:rsidRDefault="009D7677" w:rsidP="009D7677">
      <w:pPr>
        <w:pStyle w:val="TextoNormal"/>
      </w:pPr>
    </w:p>
    <w:p w14:paraId="608DFD02" w14:textId="77777777" w:rsidR="009D7677" w:rsidRDefault="009D7677" w:rsidP="009D7677">
      <w:pPr>
        <w:pStyle w:val="TextoNormal"/>
      </w:pPr>
      <w:r>
        <w:t>2. La figura del agente encubierto se introdujo por la Ley Orgánica 5/1999, de 13 de enero, de modificación de la Ley de enjuiciamiento criminal en materia de perfeccionamiento de la acción investigadora relacionada con el tráfico ilegal de drogas y otras actividades ilícitas graves, que regulaba además la entrega vigilada. En realidad, la reforma legal venía a legitimar técnicas operativas policiales relacionadas con la infiltración en redes, estructuras organizadas y movimientos sociales, siendo la investigación encubierta una medida penal de fuerte raigambre antiliberal, en expansión. Porque, en el fondo, se trata de que el juez —según nuestra sentencia, el fiscal en diligencias secretas— autorice, en nombre de la eficacia de la persecución penal, a agentes policiales a realizar acciones ilícitas con la finalidad de perseguir delitos relativos a drogas prohibidas y crimen organizado. La interrogación va de suyo, ¿acaso el Estado puede autorizar a sus agentes a cometer delitos contra las personas? Pero, la importancia de la decisión reside en el hecho de que en estos veinticinco años de vigencia del precepto es la primera vez que el Tribunal reflexiona sobre la actuación encubierta de la policía y su relación con los derechos fundamentales de los sujetos del proceso penal. Tampoco la jurisprudencia del Tribunal Europeo de Derechos Humanos puede servir de guía, porque en los dos asuntos en que ha tratado esta medida —</w:t>
      </w:r>
      <w:r w:rsidRPr="009D7677">
        <w:rPr>
          <w:i/>
        </w:rPr>
        <w:t>Lüdi c. Suiza</w:t>
      </w:r>
      <w:r>
        <w:t xml:space="preserve"> y </w:t>
      </w:r>
      <w:r w:rsidRPr="009D7677">
        <w:rPr>
          <w:i/>
        </w:rPr>
        <w:t>Guerni c. Bélgica</w:t>
      </w:r>
      <w:r>
        <w:t>, que se citan en la sentencia— ha descartado la vulneración del art. 8 CEDH en el caso al estimar que la injerencia era proporcionada, pero no ha dicho que la actuación de agentes encubiertos no afectase a la intimidad.</w:t>
      </w:r>
    </w:p>
    <w:p w14:paraId="4BEB5BA7" w14:textId="77777777" w:rsidR="009D7677" w:rsidRDefault="009D7677" w:rsidP="009D7677">
      <w:pPr>
        <w:pStyle w:val="TextoNormal"/>
      </w:pPr>
    </w:p>
    <w:p w14:paraId="56D5F4BE" w14:textId="77777777" w:rsidR="009D7677" w:rsidRDefault="009D7677" w:rsidP="009D7677">
      <w:pPr>
        <w:pStyle w:val="TextoNormal"/>
      </w:pPr>
      <w:r>
        <w:t>3. La investigación policial encubierta que contempla la Ley de enjuiciamiento criminal supone la atribución de una identidad ficticia al agente y su habilitación para interactuar con el investigado por un periodo de seis meses prorrogables. Para determinar la afectación al derecho fundamental a la intimidad es preciso identificar los rasgos de este método de acción policial. Dice nuestra sentencia que “la inicial ocultación de la identidad se transforma de modo nítido en engaño diseñado por el poder público. Se allana el terreno para el logro de la confianza del investigado en aras a obtener información sobre sus actividades y se facilita el éxito en el engaño por la autorización al agente encubierto para realizar hechos constitutivos de delito incompatibles con la actuación de un agente de policía”. De acuerdo. En teoría, para obtener información reservada del propio investigado el policía camuflado debe ganarse su confianza, pasar de ser un sujeto extraño a una persona próxima. Y para lograr ese crédito personal que el investigado no le concedería a un policía, debe desarrollar una estrategia de manipulación, de encubrimiento, confusión y falsedad, con intensa interacción personal con el indagado y su círculo de relación, estableciendo lazos de amistad y complicidad como forma de sorprender al objetivo y acceder a espacios e información —personal, familiar, profesional y económica— que este resguarda del escrutinio de terceros, sobre todo si pueden ser agentes del Estado. La confianza es la firme esperanza que se tiene en alguien, que logra desplazar las cautelas que cualquier persona prudente observa para hacer o decir en presencia de otro, y alienta una actitud o un estado de ánimo para actuar de una determinada manera bajo la expectativa del éxito. De manera que quien confía, debilita o suprime las medidas de protección de su esfera privada que adoptaría de no existir la confianza.</w:t>
      </w:r>
    </w:p>
    <w:p w14:paraId="4A9CEC89" w14:textId="77777777" w:rsidR="009D7677" w:rsidRDefault="009D7677" w:rsidP="009D7677">
      <w:pPr>
        <w:pStyle w:val="TextoNormal"/>
      </w:pPr>
    </w:p>
    <w:p w14:paraId="13B40530" w14:textId="77777777" w:rsidR="009D7677" w:rsidRDefault="009D7677" w:rsidP="009D7677">
      <w:pPr>
        <w:pStyle w:val="TextoNormal"/>
      </w:pPr>
      <w:r>
        <w:lastRenderedPageBreak/>
        <w:t>En la naturaleza de la figura penal del agente encubierto, y en su propia función, radica la necesidad de acceder a espacios o esferas reservadas por el investigado con la finalidad de obtener información que este oculta al escrutinio ajeno.</w:t>
      </w:r>
    </w:p>
    <w:p w14:paraId="0078A19D" w14:textId="77777777" w:rsidR="009D7677" w:rsidRDefault="009D7677" w:rsidP="009D7677">
      <w:pPr>
        <w:pStyle w:val="TextoNormal"/>
      </w:pPr>
    </w:p>
    <w:p w14:paraId="696B8B75" w14:textId="77777777" w:rsidR="009D7677" w:rsidRDefault="009D7677" w:rsidP="009D7677">
      <w:pPr>
        <w:pStyle w:val="TextoNormal"/>
      </w:pPr>
      <w:r>
        <w:t>La decisión de considerar innecesario el control judicial parte de una afirmación que no comparto. La habilitación del agente encubierto se reitera, no limita por sí mismo el derecho fundamental a la intimidad. Hay un entendimiento equivocado del derecho a la intimidad cuando la sentencia dice que “[l]a confianza depositada en el agente encubierto no supone por sí misma una intromisión en la esfera íntima del investigado, nada desvela de aquellos espacios resguardados de la curiosidad ajena que el derecho invocado protege”, a propósito de la consideración de “amigo” que le daba el recurrente o de que el policía hubiera conocido a su pareja y a su hija, una niña pequeña.</w:t>
      </w:r>
    </w:p>
    <w:p w14:paraId="59FAC4E7" w14:textId="77777777" w:rsidR="009D7677" w:rsidRDefault="009D7677" w:rsidP="009D7677">
      <w:pPr>
        <w:pStyle w:val="TextoNormal"/>
      </w:pPr>
    </w:p>
    <w:p w14:paraId="507016DB" w14:textId="77777777" w:rsidR="009D7677" w:rsidRDefault="009D7677" w:rsidP="009D7677">
      <w:pPr>
        <w:pStyle w:val="TextoNormal"/>
      </w:pPr>
      <w:r>
        <w:t xml:space="preserve">4. Esta es la cuestión crucial, que la doctrina constitucional debe atender. El derecho fundamental del art. 18.1 CE implica un ámbito propio y reservado frente a la acción y el conocimiento de los demás, necesario en nuestra cultura para mantener una calidad mínima de vida, que se traduce en un poder jurídico de control sobre la publicidad de la información relativa a la persona y su familia, al margen de cualquier consideración sobre el contenido de lo que se quiere mantener bajo reserva (STC 176/2013, FJ 7). Es un derecho al secreto de esta información. La intimidad que protege la Constitución no se reduce a la que se desarrolla en el ámbito doméstico o privado, que parece la consideración de la argumentación de la sentencia de la que discrepo. Se proyecta al círculo íntimo en el que el sujeto desenvuelve su libre personalidad y conduce su vida sin injerencias externas. Existe, ha afirmado el Tribunal Europeo de Derechos Humanos, una zona de interacción entre el individuo y los demás que, incluso en un contexto público, puede concernir a la “vida privada” (STEDH de 7 de febrero de 2012, asunto </w:t>
      </w:r>
      <w:r w:rsidRPr="009D7677">
        <w:rPr>
          <w:i/>
        </w:rPr>
        <w:t>Von Hannover c. Alemania</w:t>
      </w:r>
      <w:r>
        <w:t>, § 69). El criterio para delimitar manifestaciones de la vida privada, ha señalado la doctrina constitucional, es el de las expectativas razonables que la propia persona, o cualquier otra en la misma circunstancia, pueda albergar de encontrarse a resguardo de la observación o el escrutinio ajeno (STC 12/2012, FJ 5). Por lo tanto, la intimidad ya sea considerada desde la perspectiva espacial o material, como derecho de reacción y exclusión en el primer supuesto, derecho de libertad en el segundo, protege la información sobre la persona y regula quién y de qué manera puede acceder a ella. El derecho a la intimidad tutela una esfera de autonomía personal, garantía de la dignidad y del libre desarrollo de la personalidad como principios que fundan el orden político, y en su virtud toda persona goza de poder jurídico para mantener bajo reserva la información sobre su vida y sus actividades. De forma que solo el consentimiento válido del titular del derecho permitirá la intromisión legítima en dicho espacio.</w:t>
      </w:r>
    </w:p>
    <w:p w14:paraId="17CF97A3" w14:textId="77777777" w:rsidR="009D7677" w:rsidRDefault="009D7677" w:rsidP="009D7677">
      <w:pPr>
        <w:pStyle w:val="TextoNormal"/>
      </w:pPr>
    </w:p>
    <w:p w14:paraId="699CF302" w14:textId="77777777" w:rsidR="009D7677" w:rsidRDefault="009D7677" w:rsidP="009D7677">
      <w:pPr>
        <w:pStyle w:val="TextoNormal"/>
      </w:pPr>
      <w:r>
        <w:t>El agente encubierto penetra en la esfera privada del investigado gracias al engaño y la manipulación, por lo que no puede hablarse de libre consentimiento. Dato que desconoce la sentencia. Sobre el ardid o engaño y su relevancia para detectar una injerencia en el derecho fundamental pueden consultarse dos sentencias sobre el periodismo que emplea “cámara oculta”, donde hemos considerado que la ausencia de conocimiento y de consentimiento respecto a la intromisión en la vida privada del titular del derecho fundamental es “factor decisivo en el enjuiciamiento de los derechos en conflicto” (en dichas sentencias, entre la intimidad y la libertad de información, en este caso el conflicto enfrenta los dere</w:t>
      </w:r>
      <w:r>
        <w:lastRenderedPageBreak/>
        <w:t>chos del investigado y la eficacia de la acción policial, bien jurídico que recoge el art. 126 CE; SSTC 12/2012, y 25/2019).</w:t>
      </w:r>
    </w:p>
    <w:p w14:paraId="7E5F809E" w14:textId="77777777" w:rsidR="009D7677" w:rsidRDefault="009D7677" w:rsidP="009D7677">
      <w:pPr>
        <w:pStyle w:val="TextoNormal"/>
      </w:pPr>
    </w:p>
    <w:p w14:paraId="4067E5BE" w14:textId="77777777" w:rsidR="009D7677" w:rsidRDefault="009D7677" w:rsidP="009D7677">
      <w:pPr>
        <w:pStyle w:val="TextoNormal"/>
      </w:pPr>
      <w:r>
        <w:t>Teniendo presente estos elementos, podemos afirmar que la intervención de un agente encubierto que con nombre supuesto interactúa con el investigado durante periodos temporales de hasta seis meses, prorrogables, para ganarse su confianza y adquirir información que este mantiene secreta, supone una injerencia en el derecho fundamental a la intimidad, con las consecuencias que ello tiene.</w:t>
      </w:r>
    </w:p>
    <w:p w14:paraId="3BF5077A" w14:textId="77777777" w:rsidR="009D7677" w:rsidRDefault="009D7677" w:rsidP="009D7677">
      <w:pPr>
        <w:pStyle w:val="TextoNormal"/>
      </w:pPr>
    </w:p>
    <w:p w14:paraId="5CE2E961" w14:textId="77777777" w:rsidR="009D7677" w:rsidRDefault="009D7677" w:rsidP="009D7677">
      <w:pPr>
        <w:pStyle w:val="TextoNormal"/>
      </w:pPr>
      <w:r>
        <w:t xml:space="preserve">Sin embargo, la sentencia justifica la ausencia de menoscabo del derecho con argumentos formales que eluden la cuestión y que nada dicen sobre la incidencia en la intimidad del investigado. Así, se dice que el fiscal no puede legalmente adoptar medidas limitativas de derechos fundamentales y que el art. 282 </w:t>
      </w:r>
      <w:r w:rsidRPr="009D7677">
        <w:rPr>
          <w:i/>
        </w:rPr>
        <w:t>bis</w:t>
      </w:r>
      <w:r>
        <w:t>.3 contempla la intervención del juez solo para el caso de que las actuaciones del agente puedan afectar a tales derechos.</w:t>
      </w:r>
    </w:p>
    <w:p w14:paraId="548303A7" w14:textId="77777777" w:rsidR="009D7677" w:rsidRDefault="009D7677" w:rsidP="009D7677">
      <w:pPr>
        <w:pStyle w:val="TextoNormal"/>
      </w:pPr>
    </w:p>
    <w:p w14:paraId="04C89DA8" w14:textId="77777777" w:rsidR="009D7677" w:rsidRDefault="009D7677" w:rsidP="009D7677">
      <w:pPr>
        <w:pStyle w:val="TextoNormal"/>
      </w:pPr>
      <w:r>
        <w:t>5. No puede olvidarse que la relación de confianza que el agente policial entabla con el sujeto objetivo de la persecución penal, las comunicaciones que entre ellos sostienen, en la medida que encubren un interrogatorio informal por ardid, afecta de manera directa a otro derecho fundamental, el que protege al investigado reconociéndole potestad para no autoincriminarse y que proclama el art. 24.2 CE. El derecho fundamental a no declarar contra sí mismo ni confesarse culpable contiene la prohibición, dirigida a los poderes públicos, de realizar cualquier tipo de inducción o compulsión para que aquel emita una declaración. Su fundamento reside en la intangibilidad del indagado como persona moral frente al poder punitivo del Estado, dignidad humana que impide que sea tomado exclusivamente como un medio, un principio característico del derecho penal liberal. En efecto, la adquisición de información por parte del agente en su interlocución con el investigado, propia de la estrategia de manipulación que despliega la investigación encubierta, despoja a la persona de su libertad de confesar ante el interrogatorio de policías, jueces y fiscales, que se condiciona al engaño y a la ocultación de la condición del receptor de la confidencia. El reconocimiento del derecho fundamental a la libertad de confesión implica que nadie puede ser inducido a autoincriminarse por coacción, engaño o ardid.</w:t>
      </w:r>
    </w:p>
    <w:p w14:paraId="16F3B8E3" w14:textId="77777777" w:rsidR="009D7677" w:rsidRDefault="009D7677" w:rsidP="009D7677">
      <w:pPr>
        <w:pStyle w:val="TextoNormal"/>
      </w:pPr>
    </w:p>
    <w:p w14:paraId="2D3D7D69" w14:textId="77777777" w:rsidR="009D7677" w:rsidRDefault="009D7677" w:rsidP="009D7677">
      <w:pPr>
        <w:pStyle w:val="TextoNormal"/>
      </w:pPr>
      <w:r>
        <w:t>Los hechos probados de la sentencia condenatoria objeto del recurso de amparo recogían esas “conversaciones” entre el investigado y el policía encubierto, informaciones todas ellas que obtenía en lo que debería de calificarse como interrogatorio mediante ardid “mantuvo conversaciones […] en las que este le manifestaba […], mantuvo diferentes reuniones […] en las cuales este le transmitía”.</w:t>
      </w:r>
    </w:p>
    <w:p w14:paraId="5DA7F939" w14:textId="77777777" w:rsidR="009D7677" w:rsidRDefault="009D7677" w:rsidP="009D7677">
      <w:pPr>
        <w:pStyle w:val="TextoNormal"/>
      </w:pPr>
    </w:p>
    <w:p w14:paraId="6C396AE4" w14:textId="77777777" w:rsidR="009D7677" w:rsidRDefault="009D7677" w:rsidP="009D7677">
      <w:pPr>
        <w:pStyle w:val="TextoNormal"/>
      </w:pPr>
      <w:r>
        <w:t>6. La injerencia en el derecho fundamental a la intimidad mediante el despliegue de agentes encubiertos requiere de (i) cobertura en la ley, (ii) determinación de un fin legítimo, (iii) idoneidad para alcanzar dicho objetivo, (iv) necesidad de la medida por inexistencia de otra de igual eficacia y menor afectación a la intimidad, y (v) estricta proporcionalidad, es decir, que una vez determinado el grado de interferencia del derecho fundamental que supone la intervención policial y la importancia de la satisfacción del bien jurídico que se logra con ella, deben ponderarse estos valores para concluir si resulta proporcional, y por ello justificada, la restricción del derecho, porque fuere superior el beneficio que se obtendría para preservar el bien jurídico que el sacrificio que se irrogaría a aquel.</w:t>
      </w:r>
    </w:p>
    <w:p w14:paraId="6987D017" w14:textId="77777777" w:rsidR="009D7677" w:rsidRDefault="009D7677" w:rsidP="009D7677">
      <w:pPr>
        <w:pStyle w:val="TextoNormal"/>
      </w:pPr>
    </w:p>
    <w:p w14:paraId="7AEF3F78" w14:textId="77777777" w:rsidR="009D7677" w:rsidRDefault="009D7677" w:rsidP="009D7677">
      <w:pPr>
        <w:pStyle w:val="TextoNormal"/>
      </w:pPr>
      <w:r>
        <w:t xml:space="preserve">La investigación encubierta tiene cobertura en el art. 282 </w:t>
      </w:r>
      <w:r w:rsidRPr="009D7677">
        <w:rPr>
          <w:i/>
        </w:rPr>
        <w:t>bis</w:t>
      </w:r>
      <w:r>
        <w:t xml:space="preserve"> LECrim y, en el caso, perseguía un fin legítimo, la investigación de delitos relacionados con el tráfico de drogas en organización. Pero, la ausencia de garantía jurisdiccional durante un largo periodo —el fiscal autorizó la infiltración de varios agentes encubiertos el 22 de enero y el juez no intervino hasta el 11 de abril— y, con ello, de justificación de la racionalidad de la medida, convierte en ilegítima la injerencia en el derecho fundamental a la intimidad.</w:t>
      </w:r>
    </w:p>
    <w:p w14:paraId="343B6A30" w14:textId="77777777" w:rsidR="009D7677" w:rsidRDefault="009D7677" w:rsidP="009D7677">
      <w:pPr>
        <w:pStyle w:val="TextoNormal"/>
      </w:pPr>
    </w:p>
    <w:p w14:paraId="5F9F2675" w14:textId="77777777" w:rsidR="009D7677" w:rsidRDefault="009D7677" w:rsidP="009D7677">
      <w:pPr>
        <w:pStyle w:val="TextoNormal"/>
      </w:pPr>
      <w:r>
        <w:t xml:space="preserve">7. El legislador, frente a lo que sostiene la sentencia, ha previsto dicha garantía jurisdiccional en el momento de la implantación de la medida investigadora en la idea de que afecta a derechos fundamentales del investigado. Dice el texto del art. 282 </w:t>
      </w:r>
      <w:r w:rsidRPr="009D7677">
        <w:rPr>
          <w:i/>
        </w:rPr>
        <w:t>bis</w:t>
      </w:r>
      <w:r>
        <w:t>.1: “el juez de instrucción competente o el Ministerio Fiscal dando cuenta inmediata al juez, podrán autorizar a funcionarios de la Policía judicial, mediante resolución fundada y teniendo en cuenta su necesidad a los fines de la investigación, a actuar bajo identidad supuesta y a adquirir y transportar los objetos, efectos e instrumentos del delito y diferir la incautación de los mismos”.</w:t>
      </w:r>
    </w:p>
    <w:p w14:paraId="6878462F" w14:textId="77777777" w:rsidR="009D7677" w:rsidRDefault="009D7677" w:rsidP="009D7677">
      <w:pPr>
        <w:pStyle w:val="TextoNormal"/>
      </w:pPr>
    </w:p>
    <w:p w14:paraId="46B3036C" w14:textId="77777777" w:rsidR="009D7677" w:rsidRDefault="009D7677" w:rsidP="009D7677">
      <w:pPr>
        <w:pStyle w:val="TextoNormal"/>
      </w:pPr>
      <w:r>
        <w:t xml:space="preserve">La sentencia considera que la “norma no puede ser interpretada en su literalidad” y “que debe efectuarse una interpretación sistemática y finalista de la exigencia de comunicación inmediata al juez acorde tanto con las normas que regulan la investigación preprocesal del Ministerio Fiscal como con el espíritu y finalidad del art. 282 </w:t>
      </w:r>
      <w:r w:rsidRPr="009D7677">
        <w:rPr>
          <w:i/>
        </w:rPr>
        <w:t>bis</w:t>
      </w:r>
      <w:r>
        <w:t xml:space="preserve"> LECrim”. Esta manera de operar para otorgar sentido al texto de la ley lleva al Tribunal a concluir que la ley no establece garantía judicial en la autorización a la policía del uso de formas de encubrimiento. Se afirma en la sentencia que el fiscal solo deberá “dar cuenta” al juez cuando sus diligencias —no se olvide, secretas y sin control alguno, en un diálogo exclusivo del fiscal con los agentes policiales— “alcancen la finalidad pretendida” y “en todo caso transcurrido el plazo de duración legalmente previsto”, es decir seis meses, también prorrogables.</w:t>
      </w:r>
    </w:p>
    <w:p w14:paraId="2AA8423E" w14:textId="77777777" w:rsidR="009D7677" w:rsidRDefault="009D7677" w:rsidP="009D7677">
      <w:pPr>
        <w:pStyle w:val="TextoNormal"/>
      </w:pPr>
    </w:p>
    <w:p w14:paraId="52AE3DD6" w14:textId="77777777" w:rsidR="009D7677" w:rsidRDefault="009D7677" w:rsidP="009D7677">
      <w:pPr>
        <w:pStyle w:val="TextoNormal"/>
      </w:pPr>
      <w:r>
        <w:t>No resulta convincente la justificación de la sentencia para descartar la interpretación literal o declarativa de la disposición y acudir a una interpretación correctora, con base en supuestos argumentos sistemáticos y finalistas. El significado del texto, según convenciones lingüísticas aceptadas, emerge sin problema. Inmediato es lo que sucede enseguida, sin tardanza, y como adverbio obliga a actuar ahora, en el mismo momento, al punto o al instante. La sentencia obtiene un significado bien diferente mediante una interpretación correctora o creativa que identifica una norma (el fiscal dará cuenta al juez cuando cumpla su cometido la diligencia de investigación o al terminar el plazo legal) que no puede considerarse explícita en la disposición.</w:t>
      </w:r>
    </w:p>
    <w:p w14:paraId="355E731D" w14:textId="77777777" w:rsidR="009D7677" w:rsidRDefault="009D7677" w:rsidP="009D7677">
      <w:pPr>
        <w:pStyle w:val="TextoNormal"/>
      </w:pPr>
    </w:p>
    <w:p w14:paraId="0F431C04" w14:textId="77777777" w:rsidR="009D7677" w:rsidRDefault="009D7677" w:rsidP="009D7677">
      <w:pPr>
        <w:pStyle w:val="TextoNormal"/>
      </w:pPr>
      <w:r>
        <w:t xml:space="preserve">El presupuesto de esta interpretación es la capacidad del fiscal de incoar diligencias preprocesales, que quedaría improductiva de tener que dar cuenta inmediata al juez. Pero en el momento en que se introdujo la figura del agente encubierto carecía de esa potestad, que solo le fue conferida por la reforma del Estatuto orgánico del Ministerio Fiscal por la Ley Orgánica 14/2003, de 26 de mayo. Luego, ni “el espíritu” ni “la finalidad” del art. 282 </w:t>
      </w:r>
      <w:r w:rsidRPr="009D7677">
        <w:rPr>
          <w:i/>
        </w:rPr>
        <w:t>bis</w:t>
      </w:r>
      <w:r>
        <w:t xml:space="preserve"> LECrim podían prever que el fiscal pudiera iniciar y desarrollar diligencias de investigación previas al proceso.</w:t>
      </w:r>
    </w:p>
    <w:p w14:paraId="5350F824" w14:textId="77777777" w:rsidR="009D7677" w:rsidRDefault="009D7677" w:rsidP="009D7677">
      <w:pPr>
        <w:pStyle w:val="TextoNormal"/>
      </w:pPr>
    </w:p>
    <w:p w14:paraId="1B2740BF" w14:textId="77777777" w:rsidR="009D7677" w:rsidRDefault="009D7677" w:rsidP="009D7677">
      <w:pPr>
        <w:pStyle w:val="TextoNormal"/>
      </w:pPr>
      <w:r>
        <w:lastRenderedPageBreak/>
        <w:t xml:space="preserve">No obstante, hay razones para entender de manera cabal la norma que se desprende del art. 282 </w:t>
      </w:r>
      <w:r w:rsidRPr="009D7677">
        <w:rPr>
          <w:i/>
        </w:rPr>
        <w:t>bis</w:t>
      </w:r>
      <w:r>
        <w:t xml:space="preserve"> LECrim, respetando el tenor literal de la disposición, que no es otra que la garantía jurisdiccional como requisito para implantar la medida. En primer lugar, porque existiendo una sospecha de delito precisa contra determinada persona, en nuestro ordenamiento debe incoarse un proceso penal en el que pueda defenderse y participar (art. 24 CE, según el art. 118 LECrim desde que se atribuya un hecho punible, toda persona puede intervenir en las actuaciones ejerciendo el derecho de defensa). Solo puede demorarse la información al investigado y su acceso al proceso, con despliegue de los derechos fundamentales que le protegen, mediante la declaración del secreto de las diligencias, potestad que le corresponde al juez (art. 302 LECrim). Es decir, en el ordenamiento vigente el fiscal no puede autorizar por su sola potestad diligencias de investigación encubiertas cuando se atribuya un hecho punible a una persona, porque este tiene derecho a ser informado, intervenir y defenderse salvo que el juez declare el secreto de las actuaciones. En segundo lugar, porque la disposición señala al “juez de instrucción competente” como la autoridad que puede habilitar al policía a actuar de modo encubierto y ofrece, a continuación, la alternativa del fiscal, pero la somete a condición, “dando cuenta inmediata al juez”. Desde la perspectiva semántica parece que el precepto no se formula con expresiones ambiguas, equívocas, confusas u oscuras. El significado del adverbio de tiempo inmediato no ofrece duda. En tercer lugar, sería poco razonable que el legislador hubiera previsto la garantía jurisdiccional de los derechos y, al tiempo y como alternativa, su ausencia. A elección de la policía quedaría entonces eludir o suprimir la garantía del derecho fundamental. Se dice en la sentencia, en relación con este punto, que el precepto no prevé un cauce para que el juez, en caso de recibir la comunicación del fiscal, controlara o revocara la autorización del agente encubierto. Lo que supone un mal entendimiento del papel del juez en el sistema constitucional: donde hay juez va de suyo que se instaura un procedimiento de control y garantía de los derechos del investigado, en desarrollo precisamente del derecho fundamental a la tutela judicial efectiva en el ejercicio de los derechos (art. 24.1 CE). En cuarto lugar, en una lectura conjunta del precepto, carece de razonabilidad entender que la ley otorga un tratamiento distinto a dos supuestos idénticos o similares de encubrimiento policial. El fiscal puede tomar la decisión de habilitar al agente encubierto dejando al margen al juez, pero no puede hacerlo en el caso del agente encubierto informático que se regula en el apartado 6 del mismo art. 282 </w:t>
      </w:r>
      <w:r w:rsidRPr="009D7677">
        <w:rPr>
          <w:i/>
        </w:rPr>
        <w:t>bis</w:t>
      </w:r>
      <w:r>
        <w:t xml:space="preserve"> LECrim, introducido en la reforma de la Ley Orgánica 13/2015, de 5 de octubre, que exige la autorización del juez.</w:t>
      </w:r>
    </w:p>
    <w:p w14:paraId="268AE42D" w14:textId="77777777" w:rsidR="009D7677" w:rsidRDefault="009D7677" w:rsidP="009D7677">
      <w:pPr>
        <w:pStyle w:val="TextoNormal"/>
      </w:pPr>
    </w:p>
    <w:p w14:paraId="3DF491FE" w14:textId="77777777" w:rsidR="009D7677" w:rsidRDefault="009D7677" w:rsidP="009D7677">
      <w:pPr>
        <w:pStyle w:val="TextoNormal"/>
      </w:pPr>
      <w:r>
        <w:t>Además, puede dejarse anotado que la afectación del derecho a la intimidad y la jurisdiccionalidad de la medida es una opinión común en la doctrina académica que se ha ocupado del agente encubierto y en los tres trabajos preparatorios legislativos de la nueva ley de enjuiciamiento penal que se han sucedido (anteproyectos de la Ley de Enjuiciamiento criminal de 2011 y 2020, propuesta de Código procesal penal de 2013).</w:t>
      </w:r>
    </w:p>
    <w:p w14:paraId="703F0F9B" w14:textId="77777777" w:rsidR="009D7677" w:rsidRDefault="009D7677" w:rsidP="009D7677">
      <w:pPr>
        <w:pStyle w:val="TextoNormal"/>
      </w:pPr>
    </w:p>
    <w:p w14:paraId="476CB3DF" w14:textId="77777777" w:rsidR="009D7677" w:rsidRDefault="009D7677" w:rsidP="009D7677">
      <w:pPr>
        <w:pStyle w:val="TextoNormal"/>
      </w:pPr>
      <w:r>
        <w:t>El tenor literal del precepto debe funcionar como límite a la potestad de jueces y tribunales de decir el Derecho. Máxime en el campo del derecho penal y procesal penal donde está prohibida la analogía extensiva, porque vulnera el principio de legalidad penal (art. 25.1 CE). La relevancia constitucional de la razonabilidad semántica que exige el mandato de taxatividad se encuentra en su función de límite máximo de una interpretación legítima, para evitar decisiones que supongan una ruptura de la sujeción a la ley del intérprete (STC 262/2006, de 11 de septiembre, FJ 4). Se ha dicho con razón, que la realización del princi</w:t>
      </w:r>
      <w:r>
        <w:lastRenderedPageBreak/>
        <w:t>pio democrático y de la cláusula del Estado de derecho dependen de la existencia de límites semánticos en la aplicación de la ley.</w:t>
      </w:r>
    </w:p>
    <w:p w14:paraId="3BCA2DE7" w14:textId="77777777" w:rsidR="009D7677" w:rsidRDefault="009D7677" w:rsidP="009D7677">
      <w:pPr>
        <w:pStyle w:val="TextoNormal"/>
      </w:pPr>
    </w:p>
    <w:p w14:paraId="7D1F7FB8" w14:textId="77777777" w:rsidR="009D7677" w:rsidRDefault="009D7677" w:rsidP="009D7677">
      <w:pPr>
        <w:pStyle w:val="TextoNormal"/>
      </w:pPr>
      <w:r>
        <w:t>8. La ausencia de garantía jurisdiccional en la habilitación de los agentes encubiertos determina la vulneración del derecho fundamental a la intimidad. Lo que se proyecta sobre el derecho fundamental a un proceso con todas las garantías (art. 24.2 CE) que prohíbe la utilización de medios de prueba que se hayan obtenido conculcando derechos fundamentales. El alcance de la regla de exclusión probatoria a las pruebas derivadas es una cuestión que debería dirimirse a continuación, una vez anulada la sentencia condenatoria, para que el tribunal competente considere si existe prueba incriminatoria válida y autónoma que sustente el relato de hechos de la condena.</w:t>
      </w:r>
    </w:p>
    <w:p w14:paraId="3AFCA00F" w14:textId="77777777" w:rsidR="009D7677" w:rsidRDefault="009D7677" w:rsidP="009D7677">
      <w:pPr>
        <w:pStyle w:val="TextoNormal"/>
      </w:pPr>
    </w:p>
    <w:p w14:paraId="1286A8AE" w14:textId="08953A91" w:rsidR="009D7677" w:rsidRDefault="009D7677" w:rsidP="009D7677">
      <w:pPr>
        <w:pStyle w:val="TextoNormal"/>
      </w:pPr>
      <w:r>
        <w:t>Madrid, a doce de junio de dos mil veinticuatro.</w:t>
      </w:r>
    </w:p>
    <w:p w14:paraId="412D321E" w14:textId="77777777" w:rsidR="009D7677" w:rsidRDefault="009D7677" w:rsidP="009D7677">
      <w:pPr>
        <w:pStyle w:val="TextoNormal"/>
      </w:pPr>
    </w:p>
    <w:p w14:paraId="28C4831A" w14:textId="77777777" w:rsidR="009D7677" w:rsidRDefault="009D7677" w:rsidP="009D7677">
      <w:pPr>
        <w:pStyle w:val="TextoNormalNegritaCentrado"/>
        <w:keepNext/>
      </w:pPr>
      <w:r>
        <w:t>Voto particular concurrente que formula el magistrado don Juan Carlos Campo Moreno a la sentencia dictada en el recurso de amparo avocado al Pleno núm. 4949-2021</w:t>
      </w:r>
    </w:p>
    <w:p w14:paraId="5B232762" w14:textId="6EAAC7EB" w:rsidR="009D7677" w:rsidRDefault="009D7677" w:rsidP="009D7677">
      <w:pPr>
        <w:pStyle w:val="TextoNormalNegritaCentrado"/>
        <w:keepNext/>
      </w:pPr>
    </w:p>
    <w:p w14:paraId="2E717B3D" w14:textId="77777777" w:rsidR="009D7677" w:rsidRDefault="009D7677" w:rsidP="009D7677">
      <w:pPr>
        <w:pStyle w:val="TextoNormal"/>
      </w:pPr>
      <w:r>
        <w:t>Con el máximo respeto a mis compañeros, me veo obligado a expresar mediante el presente voto concurrente mi disconformidad con el texto aprobado por la mayoría del Pleno. Mi discrepancia no se refiere al fallo desestimatorio, que comparto, sino a la argumentación en que dicho fallo se apoya.</w:t>
      </w:r>
    </w:p>
    <w:p w14:paraId="34E6C161" w14:textId="77777777" w:rsidR="009D7677" w:rsidRDefault="009D7677" w:rsidP="009D7677">
      <w:pPr>
        <w:pStyle w:val="TextoNormal"/>
      </w:pPr>
    </w:p>
    <w:p w14:paraId="5219AE9D" w14:textId="77777777" w:rsidR="009D7677" w:rsidRDefault="009D7677" w:rsidP="009D7677">
      <w:pPr>
        <w:pStyle w:val="TextoNormal"/>
      </w:pPr>
      <w:r>
        <w:t>El fundamento jurídico cuarto de la sentencia aprobada afirma que la actuación mediante agente encubierto no implica, por concepto, una injerencia en el ámbito de protección del derecho fundamental a la intimidad de las personas investigadas. No puedo compartir esta afirmación.</w:t>
      </w:r>
    </w:p>
    <w:p w14:paraId="1A536BEA" w14:textId="77777777" w:rsidR="009D7677" w:rsidRDefault="009D7677" w:rsidP="009D7677">
      <w:pPr>
        <w:pStyle w:val="TextoNormal"/>
      </w:pPr>
    </w:p>
    <w:p w14:paraId="47A8B00E" w14:textId="77777777" w:rsidR="009D7677" w:rsidRDefault="009D7677" w:rsidP="009D7677">
      <w:pPr>
        <w:pStyle w:val="TextoNormal"/>
      </w:pPr>
      <w:r>
        <w:t>Considero, en primer lugar, que resulta extraordinariamente difícil hacer afirmaciones apriorísticas sobre la falta de afectación del derecho a la intimidad referidas a un medio de indagación, como es la utilización de un agente encubierto, en el que la técnica investigadora es, justamente, la utilización del engaño a efectos de obtener una información que, normalmente, la persona engañada no revelaría a terceros. Si la esencia del derecho fundamental a la intimidad es mantener ciertos ámbitos de la vida personal al margen del conocimiento ajeno, parece claro que a través de la actuación de un agente de policía bajo identidad ficticia se busca generar una relación de confianza que conduzca a la persona investigada a revelar determinados aspectos de su vida que, lícitos o no, ha excluido del conocimiento general. Al tiempo, es obvio que a través de ese engaño, el agente de la autoridad obtiene informaciones que, en el proceso penal, están sujetas a la garantía general de no autoincriminación.</w:t>
      </w:r>
    </w:p>
    <w:p w14:paraId="477BD248" w14:textId="77777777" w:rsidR="009D7677" w:rsidRDefault="009D7677" w:rsidP="009D7677">
      <w:pPr>
        <w:pStyle w:val="TextoNormal"/>
      </w:pPr>
    </w:p>
    <w:p w14:paraId="146BE49C" w14:textId="77777777" w:rsidR="009D7677" w:rsidRDefault="009D7677" w:rsidP="009D7677">
      <w:pPr>
        <w:pStyle w:val="TextoNormal"/>
      </w:pPr>
      <w:r>
        <w:t xml:space="preserve">La utilización de agentes encubiertos es, en realidad, una medida investigadora de una extraordinaria potencialidad intromisiva en la esfera de derechos fundamentales de la persona investigada. De ahí que la admisibilidad de este tipo de medida investigadora solo pueda ser constitucionalmente aceptada si se pone en relación con la imperiosa necesidad de actuar frente a actividades criminales de delincuencia organizada que requieren la utilización de medios extraordinarios de indagación. Si el art. 282 </w:t>
      </w:r>
      <w:r w:rsidRPr="009D7677">
        <w:rPr>
          <w:i/>
        </w:rPr>
        <w:t>bis</w:t>
      </w:r>
      <w:r>
        <w:t xml:space="preserve"> LECrim reserva esta </w:t>
      </w:r>
      <w:r>
        <w:lastRenderedPageBreak/>
        <w:t>diligencia a los supuestos de delincuencia organizada es, precisamente, porque no estamos en modo alguno, ante un acto de investigación puramente neutro o trivial en nuestro sistema de derechos fundamentales.</w:t>
      </w:r>
    </w:p>
    <w:p w14:paraId="1F691D62" w14:textId="77777777" w:rsidR="009D7677" w:rsidRDefault="009D7677" w:rsidP="009D7677">
      <w:pPr>
        <w:pStyle w:val="TextoNormal"/>
      </w:pPr>
    </w:p>
    <w:p w14:paraId="43B644FD" w14:textId="77777777" w:rsidR="009D7677" w:rsidRDefault="009D7677" w:rsidP="009D7677">
      <w:pPr>
        <w:pStyle w:val="TextoNormal"/>
      </w:pPr>
      <w:r>
        <w:t>Me remito, en todo caso, a lo que sobre esta diligencia señala la exposición de motivos del anteproyecto de la Ley de enjuiciamiento criminal de 2020 (punto XLVII) cuando enfatiza la gradual afectación de derechos fundamentales que, por sí misma, la caracteriza. No estamos ante la mera adquisición de informaciones a través de confidentes, sino a la utilización del engaño como técnica de investigación por parte de la propia autoridad pública, lo que concierne, por sí mismo, aspectos esenciales de nuestro modelo constitucional de proceso penal, como la garantía de no autoincriminación o el acceso mediante engaño a la esfera íntima individual.</w:t>
      </w:r>
    </w:p>
    <w:p w14:paraId="79049323" w14:textId="77777777" w:rsidR="009D7677" w:rsidRDefault="009D7677" w:rsidP="009D7677">
      <w:pPr>
        <w:pStyle w:val="TextoNormal"/>
      </w:pPr>
    </w:p>
    <w:p w14:paraId="34055A9D" w14:textId="77777777" w:rsidR="009D7677" w:rsidRDefault="009D7677" w:rsidP="009D7677">
      <w:pPr>
        <w:pStyle w:val="TextoNormal"/>
      </w:pPr>
      <w:r>
        <w:t xml:space="preserve">Sentado este presupuesto, es cierto que el Ministerio Fiscal puede acordar medidas de intromisión en derechos fundamentales que, a diferencia de lo que ocurre con el secreto de las comunicaciones o la inviolabilidad de domicilio, no están sometidos, en el texto constitucional, a garantía judicial preventiva. Sin embargo, no puede ignorarse que, en el presente caso, el legislador procesal ha querido, expresamente, que exista una intervención judicial “inmediata” siempre que el Ministerio Fiscal autorice una actuación mediante agente encubierto (art. 282 </w:t>
      </w:r>
      <w:r w:rsidRPr="009D7677">
        <w:rPr>
          <w:i/>
        </w:rPr>
        <w:t>bis</w:t>
      </w:r>
      <w:r>
        <w:t xml:space="preserve">.1 LECrim). Esta intervención judicial tiene la particularidad de que es distinta y previa a la que necesariamente ha de producirse, conforme al mismo precepto, en funciones de garantía preventiva de concretos derechos fundamentales (apartados 3 y 7 del art. 282 </w:t>
      </w:r>
      <w:r w:rsidRPr="009D7677">
        <w:rPr>
          <w:i/>
        </w:rPr>
        <w:t>bis</w:t>
      </w:r>
      <w:r>
        <w:t xml:space="preserve"> LECrim). Lo razonable, por ello, es preguntarse cuáles pueden ser las razones de esa decisión del legislador de introducir una dación de cuenta inmediata al juez. En mi opinión, esas razones no están debidamente identificadas en el texto de la sentencia aprobada.</w:t>
      </w:r>
    </w:p>
    <w:p w14:paraId="4B799904" w14:textId="77777777" w:rsidR="009D7677" w:rsidRDefault="009D7677" w:rsidP="009D7677">
      <w:pPr>
        <w:pStyle w:val="TextoNormal"/>
      </w:pPr>
    </w:p>
    <w:p w14:paraId="72C423B0" w14:textId="77777777" w:rsidR="009D7677" w:rsidRDefault="009D7677" w:rsidP="009D7677">
      <w:pPr>
        <w:pStyle w:val="TextoNormal"/>
      </w:pPr>
      <w:r>
        <w:t>Entiendo que la respuesta a este interrogante se encuentra en la singularidad de nuestro vigente sistema procesal penal. En este —con la sola excepción de lo especialmente previsto en la Ley Orgánica 9/2021, de 1 de julio, de aplicación del Reglamento (UE) 2017/1939 del Consejo, de 12 de octubre de 2017, por el que se establece una cooperación reforzada para la creación de la Fiscalía Europea— la Policía judicial y el Ministerio Fiscal solo pueden realizar investigaciones de tipo preliminar, esto es, exclusivamente orientadas a la verificación de la existencia de los indicios racionales de criminalidad. Una vez que se obtienen tales indicios, la ley procesal exige la incoación de un procedimiento formal de investigación en el que el juez de instrucción debe realizar, sin demora, el correspondiente juicio de atribución de los hechos punibles a una persona determinada (art. 118 LECrim), practicando con ella el acto de primera comparecencia (art. 775 LECrim), con consiguiente activación del pleno ejercicio del derecho de defensa.</w:t>
      </w:r>
    </w:p>
    <w:p w14:paraId="54B93161" w14:textId="77777777" w:rsidR="009D7677" w:rsidRDefault="009D7677" w:rsidP="009D7677">
      <w:pPr>
        <w:pStyle w:val="TextoNormal"/>
      </w:pPr>
    </w:p>
    <w:p w14:paraId="5CFFA7FB" w14:textId="77777777" w:rsidR="009D7677" w:rsidRDefault="009D7677" w:rsidP="009D7677">
      <w:pPr>
        <w:pStyle w:val="TextoNormal"/>
      </w:pPr>
      <w:r>
        <w:t>En ese peculiar contexto normativo, tan distinto del que caracteriza a los países de nuestro entorno, los actuales arts. 5.2 EOMF y 773.2 y 775 LECrim (dejando de lado, por ser ajena a este asunto, la regulación del art. 123 de la Ley Orgánica 2/1989, de 13 de abril, procesal militar) determinan inequívocamente que la investigación preliminar del Ministerio Fiscal ha de cesar una vez que se han reunido indicios racionales de criminalidad contra una persona determinada, pues ha de ser el juez de instrucción el que, a la vista de esos indicios, decida si procede practicar el acto de primera comparecencia (con el consiguiente traslado de cargos y activación plena del derecho de defensa) o si, por el contra</w:t>
      </w:r>
      <w:r>
        <w:lastRenderedPageBreak/>
        <w:t>rio, resulta imprescindible acordar el secreto de las actuaciones para practicar una determinada diligencia investigadora.</w:t>
      </w:r>
    </w:p>
    <w:p w14:paraId="55825851" w14:textId="77777777" w:rsidR="009D7677" w:rsidRDefault="009D7677" w:rsidP="009D7677">
      <w:pPr>
        <w:pStyle w:val="TextoNormal"/>
      </w:pPr>
    </w:p>
    <w:p w14:paraId="6E07B31B" w14:textId="77777777" w:rsidR="009D7677" w:rsidRDefault="009D7677" w:rsidP="009D7677">
      <w:pPr>
        <w:pStyle w:val="TextoNormal"/>
      </w:pPr>
      <w:r>
        <w:t xml:space="preserve">Pues bien, resulta evidente que esos indicios racionales de criminalidad son imprescindibles para que pueda adoptarse una diligencia de la potencialidad intromisiva que caracteriza a la actuación policial mediante agente encubierto. Solo cuando existen indicios objetivos de una verdadera actividad criminal puede acordarse un acto de investigación de semejante potencialidad invasiva. De ahí que sea completamente lógico que la regulación del art. 282 </w:t>
      </w:r>
      <w:r w:rsidRPr="009D7677">
        <w:rPr>
          <w:i/>
        </w:rPr>
        <w:t>bis</w:t>
      </w:r>
      <w:r>
        <w:t>.1 LECrim admita la autorización del fiscal, por razones de urgencia, pero exija la inmediata puesta en conocimiento del juez de instrucción, pues la autorización de la diligencia de agente encubierto implica un estado de la investigación criminal que sobrepasa la pura fase preliminar de las indagaciones contempladas en los arts. 773.2 LECrim y 5.2 EOMF. Existen, en ese momento, indicios racionales de criminalidad que exigen la apertura de diligencias previas.</w:t>
      </w:r>
    </w:p>
    <w:p w14:paraId="17253841" w14:textId="77777777" w:rsidR="009D7677" w:rsidRDefault="009D7677" w:rsidP="009D7677">
      <w:pPr>
        <w:pStyle w:val="TextoNormal"/>
      </w:pPr>
    </w:p>
    <w:p w14:paraId="4534C1A4" w14:textId="77777777" w:rsidR="009D7677" w:rsidRDefault="009D7677" w:rsidP="009D7677">
      <w:pPr>
        <w:pStyle w:val="TextoNormal"/>
      </w:pPr>
      <w:r>
        <w:t>Desde esta comprensión del marco normativo en vigor, que resulta de la propia doctrina de este tribunal (STC 59/2023, de 23 de mayo) y del Tribunal Supremo (STS 980/2016, de 11 de enero, recurso núm. 1498-2016 ), considero que, en efecto, en el caso que nos ocupa, el fiscal no dio, como era su deber, cuenta inmediata al juez de instrucción de la autorización de actuación policial mediante agente encubierto, pues debió proceder a la inmediata denuncia de los hechos con petición paralela de declaración de secreto de las actuaciones. No obstante, considero que esta infracción puramente formal no puede suponer, por sí misma, una violación del derecho a la intimidad. El recurrente no ha puesto de manifiesto que, bajo la autorización del fiscal, se realizara una concreta intervención del agente encubierto que fuera lesiva de dicho derecho. Y no puede ignorarse que la decisión del fiscal de autorizar la diligencia investigadora cuestionada fue, después, convalidada por el juez de instrucción, por lo que puede entenderse que obedecía a una ponderación razonable de las necesidades de la investigación. De la mera infracción formal de la regla de dación de cuenta inmediata al juez de instrucción no puede inferirse, sin más, la vulneración del derecho a la intimidad.</w:t>
      </w:r>
    </w:p>
    <w:p w14:paraId="50A05BF4" w14:textId="77777777" w:rsidR="009D7677" w:rsidRDefault="009D7677" w:rsidP="009D7677">
      <w:pPr>
        <w:pStyle w:val="TextoNormal"/>
      </w:pPr>
    </w:p>
    <w:p w14:paraId="2DB78A7D" w14:textId="77777777" w:rsidR="009D7677" w:rsidRDefault="009D7677" w:rsidP="009D7677">
      <w:pPr>
        <w:pStyle w:val="TextoNormal"/>
      </w:pPr>
      <w:r>
        <w:t>Con todo, habría sido más correcto, en mi opinión, que la sentencia dictada por este tribunal hubiera reconocido la potencialidad invasiva de derechos fundamentales que tiene la diligencia de agente encubierto, que hubiera enfatizado su excepcionalidad y que hubiera analizado el fundamento normativo del deber del fiscal, en el régimen legal vigente, de dar cuenta inmediata al juez de instrucción.</w:t>
      </w:r>
    </w:p>
    <w:p w14:paraId="7EB9C5CD" w14:textId="77777777" w:rsidR="009D7677" w:rsidRDefault="009D7677" w:rsidP="009D7677">
      <w:pPr>
        <w:pStyle w:val="TextoNormal"/>
      </w:pPr>
    </w:p>
    <w:p w14:paraId="122A91B3" w14:textId="37E64EC5" w:rsidR="009D7677" w:rsidRDefault="009D7677" w:rsidP="009D7677">
      <w:pPr>
        <w:pStyle w:val="TextoNormal"/>
      </w:pPr>
      <w:r>
        <w:t>Madrid, a siete de junio de dos mil veinticuatro.</w:t>
      </w:r>
    </w:p>
    <w:p w14:paraId="61D31F24" w14:textId="7B5E8BA8" w:rsidR="009D7677" w:rsidRDefault="009D7677">
      <w:pPr>
        <w:spacing w:after="160" w:line="259" w:lineRule="auto"/>
        <w:rPr>
          <w:rFonts w:ascii="Times New Roman" w:eastAsia="Times New Roman" w:hAnsi="Times New Roman" w:cs="Times New Roman"/>
          <w:sz w:val="24"/>
          <w:szCs w:val="24"/>
          <w:lang w:eastAsia="es-ES"/>
        </w:rPr>
      </w:pPr>
      <w:r>
        <w:br w:type="page"/>
      </w:r>
    </w:p>
    <w:p w14:paraId="59F717A0" w14:textId="77777777" w:rsidR="009D7677" w:rsidRDefault="009D7677" w:rsidP="009D7677">
      <w:pPr>
        <w:pStyle w:val="TtuloResolucin"/>
      </w:pPr>
      <w:bookmarkStart w:id="90" w:name="SENTENCIA_2024_88"/>
      <w:r>
        <w:lastRenderedPageBreak/>
        <w:t>SENTENCIA 88/2024, de 5 de junio de 2024</w:t>
      </w:r>
    </w:p>
    <w:bookmarkEnd w:id="90"/>
    <w:p w14:paraId="633111FF" w14:textId="77777777" w:rsidR="009D7677" w:rsidRDefault="009D7677" w:rsidP="009D7677">
      <w:pPr>
        <w:pStyle w:val="TtuloResolucin"/>
      </w:pPr>
      <w:r>
        <w:t>Pleno</w:t>
      </w:r>
    </w:p>
    <w:p w14:paraId="03CC3F19" w14:textId="77777777" w:rsidR="009D7677" w:rsidRDefault="009D7677" w:rsidP="009D7677">
      <w:pPr>
        <w:pStyle w:val="TtuloBOE"/>
      </w:pPr>
      <w:r>
        <w:t>(BOE núm. 164, de 8 de julio de 2024)</w:t>
      </w:r>
    </w:p>
    <w:p w14:paraId="4A700BF7" w14:textId="77777777" w:rsidR="009D7677" w:rsidRDefault="009D7677" w:rsidP="009D7677">
      <w:pPr>
        <w:pStyle w:val="TextoNormalCentrado"/>
      </w:pPr>
      <w:r>
        <w:t>ECLI:ES:TC:2024:88</w:t>
      </w:r>
    </w:p>
    <w:p w14:paraId="289A589B" w14:textId="4445F25F" w:rsidR="009D7677" w:rsidRDefault="009D7677" w:rsidP="009D7677">
      <w:pPr>
        <w:pStyle w:val="TextoNormalCentrado"/>
      </w:pPr>
    </w:p>
    <w:p w14:paraId="0EB9ADDF" w14:textId="77777777" w:rsidR="009D7677" w:rsidRDefault="009D7677" w:rsidP="009D7677">
      <w:pPr>
        <w:pStyle w:val="SntesisDescriptiva"/>
      </w:pPr>
      <w:r>
        <w:t>Recurso de inconstitucionalidad 6026-2022. Interpuesto por más de cincuenta diputados pertenecientes a los grupos parlamentarios Confederal de Unidas Podemos-En Comú Podem-Galicia en Común, Republicano, Euskal Herria Bildu, Plural y Mixto en el Congreso de los Diputados respecto de la Ley de la Asamblea de Madrid 5/2022, de 9 de junio, por la que se modifica la Ley 20/1998, de 27 de noviembre, de ordenación y coordinación de los transportes urbanos de la Comunidad de Madrid.</w:t>
      </w:r>
    </w:p>
    <w:p w14:paraId="218B345F" w14:textId="5D5E88F9" w:rsidR="009D7677" w:rsidRDefault="009D7677" w:rsidP="009D7677">
      <w:pPr>
        <w:pStyle w:val="SntesisDescriptiva"/>
      </w:pPr>
    </w:p>
    <w:p w14:paraId="62232A60" w14:textId="77777777" w:rsidR="009D7677" w:rsidRDefault="009D7677" w:rsidP="009D7677">
      <w:pPr>
        <w:pStyle w:val="SntesisAnaltica"/>
      </w:pPr>
      <w:r>
        <w:t>Competencias sobre transporte, principios de autonomía local e igualdad: constitucionalidad de la regulación legal autonómica del arrendamiento de vehículos con conductor (STC 105/2018).</w:t>
      </w:r>
    </w:p>
    <w:p w14:paraId="6666EA88" w14:textId="15406303" w:rsidR="009D7677" w:rsidRDefault="009D7677" w:rsidP="009D7677">
      <w:pPr>
        <w:pStyle w:val="SntesisAnaltica"/>
      </w:pPr>
    </w:p>
    <w:p w14:paraId="5FF4A52C" w14:textId="61E9DB26" w:rsidR="009D7677" w:rsidRDefault="009D7677" w:rsidP="009D7677">
      <w:pPr>
        <w:pStyle w:val="Extracto"/>
      </w:pPr>
      <w:r>
        <w:t>1.</w:t>
      </w:r>
      <w:r>
        <w:tab/>
        <w:t>El arrendamiento de vehículos con conductor es una modalidad de transporte discrecional de viajeros y debe diferenciarse entre el transporte intercomunitario y el intracomunitario, especialmente el urbano. En el caso del arrendamiento de vehículos con conductor cuando sea un transporte que discurra por más de una comunidad autónoma, la competencia es exclusiva del Estado (art. 149.1.21 CE); si bien las comunidades autónomas pueden ejercer determinadas funciones de titularidad estatal en virtud de una delegación efectuada por el legislador orgánico de conformidad con el artículo 150.2 CE (STC 105/2018) [FJ 5].</w:t>
      </w:r>
    </w:p>
    <w:p w14:paraId="219E71C6" w14:textId="77777777" w:rsidR="009D7677" w:rsidRDefault="009D7677" w:rsidP="009D7677">
      <w:pPr>
        <w:pStyle w:val="Extracto"/>
      </w:pPr>
    </w:p>
    <w:p w14:paraId="74B8DD8F" w14:textId="1A15E68A" w:rsidR="009D7677" w:rsidRDefault="009D7677" w:rsidP="009D7677">
      <w:pPr>
        <w:pStyle w:val="Extracto"/>
      </w:pPr>
      <w:r>
        <w:t>2.</w:t>
      </w:r>
      <w:r>
        <w:tab/>
        <w:t>En el supuesto de prestación de servicios en el ámbito urbano, si se desarrollan íntegramente en el territorio de una comunidad autónoma, la competencia sobre este tipo de transporte le corresponde a la misma; sin perjuicio de las competencias del Estado, no solo en relación con el arrendamiento de vehículos con conductor que se encuadren en transportes que discurran por más de una comunidad autónoma, sino también en relación a las que ostenta en otras materias y que pueden incidir en la regulación de este tipo de transporte (STC 118/1996 o 33/2014) [FJ 5].</w:t>
      </w:r>
    </w:p>
    <w:p w14:paraId="2C0015F5" w14:textId="77777777" w:rsidR="009D7677" w:rsidRDefault="009D7677" w:rsidP="009D7677">
      <w:pPr>
        <w:pStyle w:val="Extracto"/>
      </w:pPr>
    </w:p>
    <w:p w14:paraId="198E11C7" w14:textId="13DB80F0" w:rsidR="009D7677" w:rsidRDefault="009D7677" w:rsidP="009D7677">
      <w:pPr>
        <w:pStyle w:val="Extracto"/>
      </w:pPr>
      <w:r>
        <w:t>3.</w:t>
      </w:r>
      <w:r>
        <w:tab/>
        <w:t>La Constitución no asegura un contenido concreto o un ámbito competencial determinado a los entes locales, permitiendo la autonomía local configuraciones legales diversas (SSTC 32/1981 y 170/1989). Al distribuir poder local, el Estado y las comunidades autónomas disponen de libertad de configuración pero deben graduar el alcance o intensidad de la intervención local en función de la relación existente entre los intereses locales y supralocales dentro de tales asuntos o materias (SSTC 154/2015 o 41/2016) [FJ 6].</w:t>
      </w:r>
    </w:p>
    <w:p w14:paraId="5C5A313C" w14:textId="77777777" w:rsidR="009D7677" w:rsidRDefault="009D7677" w:rsidP="009D7677">
      <w:pPr>
        <w:pStyle w:val="Extracto"/>
      </w:pPr>
    </w:p>
    <w:p w14:paraId="5B432D1F" w14:textId="5FCF45FD" w:rsidR="009D7677" w:rsidRDefault="009D7677" w:rsidP="009D7677">
      <w:pPr>
        <w:pStyle w:val="Extracto"/>
      </w:pPr>
      <w:r>
        <w:t>4.</w:t>
      </w:r>
      <w:r>
        <w:tab/>
        <w:t>No vulnera la autonomía local la regulación autonómica sobre proporción entre las autorizaciones de vehículos con conductor y las de transporte de viajeros en vehículos de turismo domiciliadas en su mismo territorio, en la medida en que la ley básica estatal que regula esta materia habilita a las comunidades autónomas para modificar dicha regla de proporcionalidad siempre que sea menos restrictiva [FJ 6].</w:t>
      </w:r>
    </w:p>
    <w:p w14:paraId="44FD6496" w14:textId="77777777" w:rsidR="009D7677" w:rsidRDefault="009D7677" w:rsidP="009D7677">
      <w:pPr>
        <w:pStyle w:val="Extracto"/>
      </w:pPr>
    </w:p>
    <w:p w14:paraId="11B83954" w14:textId="2548BB16" w:rsidR="009D7677" w:rsidRDefault="009D7677" w:rsidP="009D7677">
      <w:pPr>
        <w:pStyle w:val="Extracto"/>
      </w:pPr>
      <w:r>
        <w:t>5.</w:t>
      </w:r>
      <w:r>
        <w:tab/>
        <w:t>El principio de igualdad en la ley es vulnerado cuando se produce un trato desigual carente de justificación objetiva y razonable por parte del poder público; y es preciso que, quien alegue la infracción del artículo 14 CE, en cuanto consagra el derecho a la igualdad, aporte para fundar su alegación un término de comparación válido, del que se desprenda con claridad la desigualdad denunciada [FJ 7].</w:t>
      </w:r>
    </w:p>
    <w:p w14:paraId="520B488D" w14:textId="77777777" w:rsidR="009D7677" w:rsidRDefault="009D7677" w:rsidP="009D7677">
      <w:pPr>
        <w:pStyle w:val="Extracto"/>
      </w:pPr>
    </w:p>
    <w:p w14:paraId="79EEDFFF" w14:textId="77777777" w:rsidR="009D7677" w:rsidRDefault="009D7677" w:rsidP="009D7677">
      <w:pPr>
        <w:pStyle w:val="Extracto"/>
      </w:pPr>
    </w:p>
    <w:p w14:paraId="2FF6D663" w14:textId="77777777" w:rsidR="009D7677" w:rsidRDefault="009D7677" w:rsidP="009D7677">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0EBC81B3" w14:textId="55AEDA3A" w:rsidR="009D7677" w:rsidRDefault="009D7677" w:rsidP="009D7677">
      <w:pPr>
        <w:pStyle w:val="TextoNormal"/>
      </w:pPr>
    </w:p>
    <w:p w14:paraId="1D04FF84" w14:textId="77777777" w:rsidR="009D7677" w:rsidRDefault="009D7677" w:rsidP="009D7677">
      <w:pPr>
        <w:pStyle w:val="TextoNormalCentrado"/>
        <w:keepNext/>
      </w:pPr>
      <w:r>
        <w:t>EN NOMBRE DEL REY</w:t>
      </w:r>
    </w:p>
    <w:p w14:paraId="46045161" w14:textId="2EB2D0E7" w:rsidR="009D7677" w:rsidRDefault="009D7677" w:rsidP="009D7677">
      <w:pPr>
        <w:pStyle w:val="TextoNormalCentrado"/>
        <w:keepNext/>
      </w:pPr>
    </w:p>
    <w:p w14:paraId="06FE5E3A" w14:textId="77777777" w:rsidR="009D7677" w:rsidRDefault="009D7677" w:rsidP="009D7677">
      <w:pPr>
        <w:pStyle w:val="TextoNormalCentrado"/>
        <w:keepNext/>
      </w:pPr>
    </w:p>
    <w:p w14:paraId="254797AC" w14:textId="77777777" w:rsidR="009D7677" w:rsidRDefault="009D7677" w:rsidP="009D7677">
      <w:pPr>
        <w:pStyle w:val="TextoNormal"/>
      </w:pPr>
      <w:r>
        <w:t>la siguiente</w:t>
      </w:r>
    </w:p>
    <w:p w14:paraId="547DD933" w14:textId="7B0260C6" w:rsidR="009D7677" w:rsidRDefault="009D7677" w:rsidP="009D7677">
      <w:pPr>
        <w:pStyle w:val="TextoNormal"/>
      </w:pPr>
    </w:p>
    <w:p w14:paraId="18807C06" w14:textId="77777777" w:rsidR="009D7677" w:rsidRDefault="009D7677" w:rsidP="009D7677">
      <w:pPr>
        <w:pStyle w:val="TextoNormalCentrado"/>
        <w:keepNext/>
      </w:pPr>
      <w:r>
        <w:t>SENTENCIA</w:t>
      </w:r>
    </w:p>
    <w:p w14:paraId="1E6D4390" w14:textId="60C59F63" w:rsidR="009D7677" w:rsidRDefault="009D7677" w:rsidP="009D7677">
      <w:pPr>
        <w:pStyle w:val="TextoNormalCentrado"/>
        <w:keepNext/>
      </w:pPr>
    </w:p>
    <w:p w14:paraId="47F1311D" w14:textId="77777777" w:rsidR="009D7677" w:rsidRDefault="009D7677" w:rsidP="009D7677">
      <w:pPr>
        <w:pStyle w:val="TextoNormal"/>
      </w:pPr>
      <w:r>
        <w:t>En el recurso de inconstitucionalidad núm. 6026-2022, promovido por más de cincuenta diputados pertenecientes al Grupo Parlamentario Confederal de Unidas Podemos-En Comú Podem-Galicia en Común, al Grupo Parlamentario Republicano, al Grupo Parlamentario Euskal Herria Bildu, al Grupo Parlamentario Plural y al Grupo Mixto en el Congreso de los Diputados, contra la Ley de la Asamblea de Madrid 5/2022, de 9 de junio, por la que se modifica la Ley 20/1998, de 27 de noviembre, de ordenación y coordinación de los transportes urbanos de la Comunidad de Madrid. Han intervenido y formulado alegaciones el Gobierno de la Comunidad de Madrid y la Asamblea de Madrid. Ha sido ponente la magistrada doña Concepción Espejel Jorquera.</w:t>
      </w:r>
    </w:p>
    <w:p w14:paraId="0F6A6544" w14:textId="756F3FD8" w:rsidR="009D7677" w:rsidRDefault="009D7677" w:rsidP="009D7677">
      <w:pPr>
        <w:pStyle w:val="TextoNormal"/>
      </w:pPr>
    </w:p>
    <w:p w14:paraId="35FCD5B9" w14:textId="77777777" w:rsidR="009D7677" w:rsidRDefault="009D7677" w:rsidP="009D7677">
      <w:pPr>
        <w:pStyle w:val="TextoNormalNegritaCentrado"/>
        <w:keepNext/>
      </w:pPr>
      <w:r>
        <w:t>I. Antecedentes</w:t>
      </w:r>
    </w:p>
    <w:p w14:paraId="66F5D3FA" w14:textId="7FD1FDA6" w:rsidR="009D7677" w:rsidRDefault="009D7677" w:rsidP="009D7677">
      <w:pPr>
        <w:pStyle w:val="TextoNormalNegritaCentrado"/>
        <w:keepNext/>
      </w:pPr>
    </w:p>
    <w:p w14:paraId="1CD3300C" w14:textId="77777777" w:rsidR="009D7677" w:rsidRDefault="009D7677" w:rsidP="009D7677">
      <w:pPr>
        <w:pStyle w:val="TextoNormal"/>
      </w:pPr>
      <w:r w:rsidRPr="009D7677">
        <w:rPr>
          <w:rStyle w:val="NumeroAFNegritaCaracter"/>
        </w:rPr>
        <w:t>1</w:t>
      </w:r>
      <w:r>
        <w:t xml:space="preserve">. Mediante escrito registrado en este tribunal el 13 de septiembre de 2022, el procurador de los tribunales, don José Miguel Martínez-Fresneda Gambra, en nombre y representación de más de cincuenta diputados pertenecientes a los grupos parlamentarios Confederal de Unidas Podemos-En Comú Podem-Galicia en Común, Republicano, Euskal Herria Bildu, Plural y al Grupo Mixto en el Congreso de los Diputados, interpuso recurso de inconstitucionalidad contra la Ley de la Asamblea de Madrid 5/2022, de 9 de junio, por la que se modifica la Ley 20/1998, de 27 de noviembre, de ordenación y coordinación de los transportes urbanos de la Comunidad de Madrid y “subsidiariamente, contra la incorporación [a esta última] de una nueva sección segunda al capítulo III, que incluirá los artículos 14 </w:t>
      </w:r>
      <w:r w:rsidRPr="009D7677">
        <w:rPr>
          <w:i/>
        </w:rPr>
        <w:t>ter</w:t>
      </w:r>
      <w:r>
        <w:t xml:space="preserve">, números 1 y 2, y 14 </w:t>
      </w:r>
      <w:r w:rsidRPr="009D7677">
        <w:rPr>
          <w:i/>
        </w:rPr>
        <w:t>quater</w:t>
      </w:r>
      <w:r>
        <w:t xml:space="preserve">, con la siguiente rúbrica y contenido ‘Sección segunda. Transporte de viajeros en vehículos de arrendamiento con conductor’, y [de] la disposición </w:t>
      </w:r>
      <w:r>
        <w:lastRenderedPageBreak/>
        <w:t>adicional cuarta ‘Autorizaciones de arrendamiento de vehículos con conductor de ámbito nacional, domiciliadas en la Comunidad de Madrid’”.</w:t>
      </w:r>
    </w:p>
    <w:p w14:paraId="74D8FBE6" w14:textId="77777777" w:rsidR="009D7677" w:rsidRDefault="009D7677" w:rsidP="009D7677">
      <w:pPr>
        <w:pStyle w:val="TextoNormal"/>
      </w:pPr>
    </w:p>
    <w:p w14:paraId="3B90344B" w14:textId="77777777" w:rsidR="009D7677" w:rsidRDefault="009D7677" w:rsidP="009D7677">
      <w:pPr>
        <w:pStyle w:val="TextoNormal"/>
      </w:pPr>
      <w:r>
        <w:t>Los motivos en los que se fundamenta el recurso de inconstitucionalidad son los que, sucintamente, se exponen a continuación:</w:t>
      </w:r>
    </w:p>
    <w:p w14:paraId="0C33740A" w14:textId="77777777" w:rsidR="009D7677" w:rsidRDefault="009D7677" w:rsidP="009D7677">
      <w:pPr>
        <w:pStyle w:val="TextoNormal"/>
      </w:pPr>
    </w:p>
    <w:p w14:paraId="4B21AAB4" w14:textId="77777777" w:rsidR="009D7677" w:rsidRDefault="009D7677" w:rsidP="009D7677">
      <w:pPr>
        <w:pStyle w:val="TextoNormal"/>
      </w:pPr>
      <w:r>
        <w:t>a) Los recurrentes alegan, en primer lugar, la vulneración de las competencias del Estado en la materia (art. 149 CE). Parten de la premisa de la competencia del Estado para la regulación de la materia arrendamiento de vehículos con conductor, regulación que prevé que realicen solo transporte interurbano.</w:t>
      </w:r>
    </w:p>
    <w:p w14:paraId="121D0F99" w14:textId="77777777" w:rsidR="009D7677" w:rsidRDefault="009D7677" w:rsidP="009D7677">
      <w:pPr>
        <w:pStyle w:val="TextoNormal"/>
      </w:pPr>
    </w:p>
    <w:p w14:paraId="4F597526" w14:textId="77777777" w:rsidR="009D7677" w:rsidRDefault="009D7677" w:rsidP="009D7677">
      <w:pPr>
        <w:pStyle w:val="TextoNormal"/>
      </w:pPr>
      <w:r>
        <w:t>En concreto, la demanda expone que, conforme al Real Decreto-ley 13/2018, de 28 de septiembre, por el que se modifica la Ley 16/1987, de 30 de julio, de ordenación de los transportes terrestres, las autorizaciones de arrendamiento de vehículos con conductor de ámbito nacional expedidas por la Comunidad de Madrid por competencia delegada del Estado habilitan, exclusivamente, para realizar servicios de transporte de carácter interurbano. Además, de su disposición transitoria única se infiere el carácter provisional de la habilitación para la prestación de servicios urbanos de transporte, dado que se establece un plazo a partir del cual perderán esta habilitación por cuanto habrá cesado su fin indemnizatorio. Entiende la demanda que del análisis de esta norma se evidencia la extralimitación en la delegación de competencias de la regulación impugnada al extender al ámbito urbano, sin justificación y por mayor plazo que el determinado en la norma habilitante, las autorizaciones de arrendamiento de vehículos con conductor.</w:t>
      </w:r>
    </w:p>
    <w:p w14:paraId="557263FE" w14:textId="77777777" w:rsidR="009D7677" w:rsidRDefault="009D7677" w:rsidP="009D7677">
      <w:pPr>
        <w:pStyle w:val="TextoNormal"/>
      </w:pPr>
    </w:p>
    <w:p w14:paraId="571C92BC" w14:textId="77777777" w:rsidR="009D7677" w:rsidRDefault="009D7677" w:rsidP="009D7677">
      <w:pPr>
        <w:pStyle w:val="TextoNormal"/>
      </w:pPr>
      <w:r>
        <w:t>Por lo tanto, consideran que la regulación autonómica, al permitir que cuando finalicen los plazos establecidos en la disposición transitoria única del Real Decreto-ley 13/2018 se sigan prestando servicios de carácter urbano en la modalidad de transporte de arrendamiento de vehículos con conductor en la Comunidad de Madrid, vulnera las competencias del Estado.</w:t>
      </w:r>
    </w:p>
    <w:p w14:paraId="7E8B388D" w14:textId="77777777" w:rsidR="009D7677" w:rsidRDefault="009D7677" w:rsidP="009D7677">
      <w:pPr>
        <w:pStyle w:val="TextoNormal"/>
      </w:pPr>
    </w:p>
    <w:p w14:paraId="53F42309" w14:textId="77777777" w:rsidR="009D7677" w:rsidRDefault="009D7677" w:rsidP="009D7677">
      <w:pPr>
        <w:pStyle w:val="TextoNormal"/>
      </w:pPr>
      <w:r>
        <w:t>En conclusión, la demanda aduce que las disposiciones impugnadas vulneran el artículo 149 CE “en cuanto a la competencia exclusiva del Estado en materia de regulación de las VTC, por la extensión de la delimitación territorial de sus autorizaciones al transporte urbano de viajeros y otorgamiento de licencias o autorizaciones distintas de las habilitadas por la norma estatal”.</w:t>
      </w:r>
    </w:p>
    <w:p w14:paraId="52B08A8E" w14:textId="77777777" w:rsidR="009D7677" w:rsidRDefault="009D7677" w:rsidP="009D7677">
      <w:pPr>
        <w:pStyle w:val="TextoNormal"/>
      </w:pPr>
    </w:p>
    <w:p w14:paraId="41C1C8EE" w14:textId="77777777" w:rsidR="009D7677" w:rsidRDefault="009D7677" w:rsidP="009D7677">
      <w:pPr>
        <w:pStyle w:val="TextoNormal"/>
      </w:pPr>
      <w:r>
        <w:t>b) La regulación impugnada vulnera también, según la demanda, la autonomía local (arts. 137 y 140 CE).</w:t>
      </w:r>
    </w:p>
    <w:p w14:paraId="1AA26630" w14:textId="77777777" w:rsidR="009D7677" w:rsidRDefault="009D7677" w:rsidP="009D7677">
      <w:pPr>
        <w:pStyle w:val="TextoNormal"/>
      </w:pPr>
    </w:p>
    <w:p w14:paraId="0221C358" w14:textId="77777777" w:rsidR="009D7677" w:rsidRDefault="009D7677" w:rsidP="009D7677">
      <w:pPr>
        <w:pStyle w:val="TextoNormal"/>
      </w:pPr>
      <w:r>
        <w:t>Al entender de la demanda, la Comunidad de Madrid tiene competencia para establecer la regulación sectorial en la materia, pero la competencia para otorgar licencias y autorizaciones para el transporte urbano de viajeros es municipal (cita el artículo 9 de la Ley de la Asamblea de Madrid 20/1998, de 27 de noviembre, de ordenación y coordinación de los transportes urbanos de la Comunidad de Madrid, y el artículo 6 de la Ordenanza reguladora del taxi, de 28 de noviembre de 2012, del Ayuntamiento de Madrid). La Ley impugnada comporta una desregulación de la actividad, que determina dos tratos diferenciados y afecta a la competencia municipal de otorgamiento de licencias en su ámbito territorial para realizar transporte urbano de viajeros. La norma autonómica también vulneraría la auto</w:t>
      </w:r>
      <w:r>
        <w:lastRenderedPageBreak/>
        <w:t>nomía local al variar el número de licencias de transporte urbano sin intervención de los municipios y sin atender a las restricciones al número de licencias.</w:t>
      </w:r>
    </w:p>
    <w:p w14:paraId="63AA6253" w14:textId="77777777" w:rsidR="009D7677" w:rsidRDefault="009D7677" w:rsidP="009D7677">
      <w:pPr>
        <w:pStyle w:val="TextoNormal"/>
      </w:pPr>
    </w:p>
    <w:p w14:paraId="176CC581" w14:textId="77777777" w:rsidR="009D7677" w:rsidRDefault="009D7677" w:rsidP="009D7677">
      <w:pPr>
        <w:pStyle w:val="TextoNormal"/>
      </w:pPr>
      <w:r>
        <w:t>Cita el artículo 25.2 g) de la Ley 7/1985, de 2 de abril, reguladora de las bases del régimen local, y expone que la intervención administrativa del servicio de transporte de viajeros urbano se concreta en normas que contienen importantes restricciones a la competencia referidas al número de autorizaciones; a la calidad y a la seguridad del servicio como la superación de determinadas pruebas por parte de los conductores y operadores, el tipo o características de los vehículos o la fijación de determinadas reglas sobre la indumentaria de los taxistas; y restricciones relacionadas con el precio del servicio de taxi, ya sean tarifas máximas, mínimas o fijas, horarios de la prestación o descansos. Dichas restricciones están justificadas en la legislación estatal [en la Ley 16/1987, de 30 de julio, de ordenación de los transportes terrestres (LOTT)], y en la autonómica (Ley de la Asamblea de Madrid 20/1998). Indica, asimismo, que el Ayuntamiento de Madrid en su ordenanza contempla estas restricciones para los taxis.</w:t>
      </w:r>
    </w:p>
    <w:p w14:paraId="650F0167" w14:textId="77777777" w:rsidR="009D7677" w:rsidRDefault="009D7677" w:rsidP="009D7677">
      <w:pPr>
        <w:pStyle w:val="TextoNormal"/>
      </w:pPr>
    </w:p>
    <w:p w14:paraId="48F70394" w14:textId="77777777" w:rsidR="009D7677" w:rsidRDefault="009D7677" w:rsidP="009D7677">
      <w:pPr>
        <w:pStyle w:val="TextoNormal"/>
      </w:pPr>
      <w:r>
        <w:t>Según la demanda, la regulación impugnada lleva a cabo una habilitación de licencias de transporte urbano de viajeros que otorga la Comunidad de Madrid a la modalidad de transporte de arrendamiento de vehículos con conductor sin cumplir las restricciones establecidas, lo que vulnera la autonomía local. La regulación autonómica da una autorización genérica y no regulada ni controlada por los municipios, de forma que cualquier VTC puede desempeñar el transporte urbano de viajeros en cualquier municipio sin necesidad de adscripción al mismo, sin su control, siendo suficiente que sea residente en la Comunidad de Madrid. Consecuentemente, quedan afectadas las competencias propias de gestión de la movilidad en la delimitación territorial de cada ayuntamiento que, además, no puede conocer cuántos vehículos la desarrollan, cuándo la desarrollan y cómo afecta al servicio público y su rentabilidad.</w:t>
      </w:r>
    </w:p>
    <w:p w14:paraId="0F8E40C9" w14:textId="77777777" w:rsidR="009D7677" w:rsidRDefault="009D7677" w:rsidP="009D7677">
      <w:pPr>
        <w:pStyle w:val="TextoNormal"/>
      </w:pPr>
    </w:p>
    <w:p w14:paraId="5BAE5BE4" w14:textId="77777777" w:rsidR="009D7677" w:rsidRDefault="009D7677" w:rsidP="009D7677">
      <w:pPr>
        <w:pStyle w:val="TextoNormal"/>
      </w:pPr>
      <w:r>
        <w:t>A la vista de la jurisprudencia constitucional que cita, afirma que las leyes del Estado y de las comunidades autónomas deben asegurar que los municipios tengan competencias “propias” en ámbitos de interés exclusiva o prevalentemente municipal (STC 4/1981, de 2 de febrero, FJ 3), como es el régimen de otorgamiento de las licencias de transporte urbano de viajeros, que es municipal. Concluye que la regulación impugnada contradice los “artículos 137 y 140, por vulneración de la garantía constitucionalmente establecida de la autonomía local en cuanto al otorgamiento indiscriminado y desigual de licencias y/o autorizaciones para la prestación de transporte urbano de viajeros en el ámbito territorial de cada municipio y con evidente fraude legal de la regulación de esta actividad de servicio público y afectación de los derechos de los ciudadanos de ese ayuntamiento”.</w:t>
      </w:r>
    </w:p>
    <w:p w14:paraId="14008998" w14:textId="77777777" w:rsidR="009D7677" w:rsidRDefault="009D7677" w:rsidP="009D7677">
      <w:pPr>
        <w:pStyle w:val="TextoNormal"/>
      </w:pPr>
    </w:p>
    <w:p w14:paraId="4909E175" w14:textId="764B4636" w:rsidR="009D7677" w:rsidRDefault="009D7677" w:rsidP="009D7677">
      <w:pPr>
        <w:pStyle w:val="TextoNormal"/>
      </w:pPr>
      <w:r>
        <w:t xml:space="preserve">c) Finalmente, denuncian la vulneración del principio de igualdad (artículo 14 CE), por la desigualdad de trato injustificada en el transporte urbano de viajeros entre el taxi y las VTC que son el mismo transporte urbano. Sin embargo, el trato es desigual porque el taxi está regulado por razones de interés general y de servicio público. Se alega que la Comunidad de Madrid, sin competencias para ello, introduce operadores económicos sin someterlos a regulación y sin adscribirlos a la administración local donde deben realizar la prestación, poniendo en riesgo la rentabilidad del servicio. Se añade que todas las VTC pueden actuar en todos los municipios de la comunidad autónoma prestando transporte urbano de viajeros mientras que los taxis solo lo pueden realizar en el municipio para el que tienen la </w:t>
      </w:r>
      <w:r>
        <w:lastRenderedPageBreak/>
        <w:t>licencia. Entiende la demanda que dicha diferencia de trato es arbitraria y persigue favorecer a las grandes plataformas de VTC en perjuicio de los pequeños operadores económicos y autónomos del taxi, que tienen un gran tejido social.</w:t>
      </w:r>
    </w:p>
    <w:p w14:paraId="3D3EE6B2" w14:textId="77777777" w:rsidR="009D7677" w:rsidRDefault="009D7677" w:rsidP="009D7677">
      <w:pPr>
        <w:pStyle w:val="TextoNormal"/>
      </w:pPr>
    </w:p>
    <w:p w14:paraId="73FE2826" w14:textId="25994B97" w:rsidR="009D7677" w:rsidRDefault="009D7677" w:rsidP="009D7677">
      <w:pPr>
        <w:pStyle w:val="TextoNormal"/>
      </w:pPr>
      <w:r w:rsidRPr="009D7677">
        <w:rPr>
          <w:rStyle w:val="NumeroAFNegritaCaracter"/>
        </w:rPr>
        <w:t>2</w:t>
      </w:r>
      <w:r>
        <w:t>. Por providencia de 11 de octubre de 2022, el Pleno del Tribunal Constitucional, a propuesta de la Sección Tercera, acordó admitir a trámite el recurso de inconstitucionalidad y dar traslado de la demanda y documentos presentados, conforme establece el artículo 34 de la Ley Orgánica del Tribunal Constitucional (LOTC), al Congreso de los Diputados, al Senado y al Gobierno, así como a la Asamblea de Madrid y al Gobierno de la Comunidad de Madrid, al objeto de que en el plazo de quince días pudieran personarse en el proceso y formular las alegaciones que estimaren convenientes. Por último, también se ordenó publicar la incoación del recurso en el “Boletín Oficial del Estado” y en el “Boletín Oficial de la Comunidad de Madrid”.</w:t>
      </w:r>
    </w:p>
    <w:p w14:paraId="60D65F5D" w14:textId="77777777" w:rsidR="009D7677" w:rsidRDefault="009D7677" w:rsidP="009D7677">
      <w:pPr>
        <w:pStyle w:val="TextoNormal"/>
      </w:pPr>
    </w:p>
    <w:p w14:paraId="1B09C939" w14:textId="69A2FC43" w:rsidR="009D7677" w:rsidRDefault="009D7677" w:rsidP="009D7677">
      <w:pPr>
        <w:pStyle w:val="TextoNormal"/>
      </w:pPr>
      <w:r w:rsidRPr="009D7677">
        <w:rPr>
          <w:rStyle w:val="NumeroAFNegritaCaracter"/>
        </w:rPr>
        <w:t>3</w:t>
      </w:r>
      <w:r>
        <w:t>. El 8 de noviembre de 2022, el abogado del Estado, en la representación que legalmente ostenta, se personó en el proceso y solicitó que se le concediera prórroga por el plazo máximo legal para formular alegaciones, habida cuenta del número de asuntos pendientes ante esa Abogacía. Por diligencia de ordenación de igual fecha, se tuvo por personado al abogado del Estado y se le prorrogó en ocho días más el plazo concedido por providencia de 11 de octubre, a contar desde el siguiente al de expiración del ordinario.</w:t>
      </w:r>
    </w:p>
    <w:p w14:paraId="2465422C" w14:textId="77777777" w:rsidR="009D7677" w:rsidRDefault="009D7677" w:rsidP="009D7677">
      <w:pPr>
        <w:pStyle w:val="TextoNormal"/>
      </w:pPr>
    </w:p>
    <w:p w14:paraId="332F87FD" w14:textId="77777777" w:rsidR="009D7677" w:rsidRDefault="009D7677" w:rsidP="009D7677">
      <w:pPr>
        <w:pStyle w:val="TextoNormal"/>
      </w:pPr>
      <w:r w:rsidRPr="009D7677">
        <w:rPr>
          <w:rStyle w:val="NumeroAFNegritaCaracter"/>
        </w:rPr>
        <w:t>4</w:t>
      </w:r>
      <w:r>
        <w:t>. El 14 de noviembre, el letrado de la Comunidad de Madrid, en la representación que legalmente ostenta, compareció en el proceso, formuló alegaciones y solicitó que se declare la constitucionalidad de la ley recurrida. Sus alegaciones pueden resumirse como sigue:</w:t>
      </w:r>
    </w:p>
    <w:p w14:paraId="01C578C0" w14:textId="77777777" w:rsidR="009D7677" w:rsidRDefault="009D7677" w:rsidP="009D7677">
      <w:pPr>
        <w:pStyle w:val="TextoNormal"/>
      </w:pPr>
    </w:p>
    <w:p w14:paraId="79329BD6" w14:textId="77777777" w:rsidR="009D7677" w:rsidRDefault="009D7677" w:rsidP="009D7677">
      <w:pPr>
        <w:pStyle w:val="TextoNormal"/>
      </w:pPr>
      <w:r>
        <w:t>a) Como cuestión previa, delimita el objeto del recurso de inconstitucionalidad al entender que la demanda solo ha alegado respecto a los preceptos de la Ley cuya inconstitucionalidad y nulidad se solicita con carácter subsidiario, pero no aduce nada en relación con el resto de los preceptos de la Ley.</w:t>
      </w:r>
    </w:p>
    <w:p w14:paraId="516CC1D6" w14:textId="77777777" w:rsidR="009D7677" w:rsidRDefault="009D7677" w:rsidP="009D7677">
      <w:pPr>
        <w:pStyle w:val="TextoNormal"/>
      </w:pPr>
    </w:p>
    <w:p w14:paraId="5BAAFCAF" w14:textId="77777777" w:rsidR="009D7677" w:rsidRDefault="009D7677" w:rsidP="009D7677">
      <w:pPr>
        <w:pStyle w:val="TextoNormal"/>
      </w:pPr>
      <w:r>
        <w:t>b) A continuación, examina la distribución constitucional de competencias en materia de transporte terrestre, con cita de los artículos 149.1.21 CE y 26.1.6 del Estatuto de Autonomía de la Comunidad de Madrid (EAM). Afirma que el criterio delimitador de las competencias estatal y autonómica en el ámbito del transporte terrestre es de carácter territorial, de modo que serán de la exclusiva competencia de la Comunidad de Madrid los transportes terrestres que discurran íntegramente dentro de su territorio, en tanto que aquellos que excedan del mismo lo serán del Estado (STC 118/1996, de 27 de junio, FFJJ 1 y 7).</w:t>
      </w:r>
    </w:p>
    <w:p w14:paraId="010FF8CB" w14:textId="77777777" w:rsidR="009D7677" w:rsidRDefault="009D7677" w:rsidP="009D7677">
      <w:pPr>
        <w:pStyle w:val="TextoNormal"/>
      </w:pPr>
    </w:p>
    <w:p w14:paraId="58FFCBD7" w14:textId="77777777" w:rsidR="009D7677" w:rsidRDefault="009D7677" w:rsidP="009D7677">
      <w:pPr>
        <w:pStyle w:val="TextoNormal"/>
      </w:pPr>
      <w:r>
        <w:t xml:space="preserve">Se sigue de lo anterior que la Comunidad de Madrid tiene competencia exclusiva para legislar en materia de transporte terrestre, siempre que se trate de transportes que discurran íntegramente dentro de su ámbito territorial. El transporte mediante arrendamiento de vehículos con conductor o VTC constituye una modalidad de transporte público discrecional de viajeros por carretera que se encuentra regulado en los artículos 91 y siguientes LOTT y en los artículos 181 y 182 del Reglamento de la Ley de ordenación de los transportes terrestres, aprobado por Real Decreto 1211/1990, de 28 de septiembre, respecto del cual la doctrina constitucional tuvo ocasión de pronunciarse específicamente en la citada </w:t>
      </w:r>
      <w:r>
        <w:lastRenderedPageBreak/>
        <w:t xml:space="preserve">STC 118/1996, FFJJ 34 y 37. Conforme a la misma, la regla general de delimitación competencial en materia de transportes terrestres es la territorial, pero, en el caso de los transportes discrecionales, y en la medida en que se desconoce </w:t>
      </w:r>
      <w:r w:rsidRPr="009D7677">
        <w:rPr>
          <w:i/>
        </w:rPr>
        <w:t>a priori</w:t>
      </w:r>
      <w:r>
        <w:t xml:space="preserve"> el origen y destino de los mismos, si el transporte puede formar parte de una red de alcance nacional, la competencia sería estatal. Sin embargo, aun en este tipo de transportes, la comunidad autónoma ostenta competencia sobre los de ámbito urbano, toda vez que resulta evidente que los mismos no pueden exceder de los límites intracomunitarios ni se integran en redes intercomunitarias o nacionales. Este entendimiento de las competencias en esta materia determinó la inconstitucionalidad y nulidad de los artículos 113 a 118 LOTT.</w:t>
      </w:r>
    </w:p>
    <w:p w14:paraId="5AC89A34" w14:textId="77777777" w:rsidR="009D7677" w:rsidRDefault="009D7677" w:rsidP="009D7677">
      <w:pPr>
        <w:pStyle w:val="TextoNormal"/>
      </w:pPr>
    </w:p>
    <w:p w14:paraId="64B6707D" w14:textId="77777777" w:rsidR="009D7677" w:rsidRDefault="009D7677" w:rsidP="009D7677">
      <w:pPr>
        <w:pStyle w:val="TextoNormal"/>
      </w:pPr>
      <w:r>
        <w:t>Alega que la norma impugnada se adecua al régimen de distribución de competencias entre el Estado y las comunidades autónomas expuesto, ya que se refiere a transportes urbanos mediante el arrendamiento de vehículos con conductor, o VTC, que se desarrollen íntegramente dentro de su ámbito territorial. Expone que la Ley de la Asamblea de Madrid 5/2022 se ocupa de los transportes urbanos de VTC y la ley estatal se refiere a los transportes interurbanos. Aduce que, de acuerdo con la disposición transitoria única del Real Decreto-ley 13/2018, el 30 de septiembre de 2022 venció el plazo de habilitación temporal, quedando a partir de dicha fecha carentes de regulación las autorizaciones de VTC de ámbito urbano, cuya competencia corresponde a las comunidades autónomas; razón por la cual la Comunidad de Madrid procedió a dictar la Ley 5/2022, a fin de evitar un vacío normativo en nuestro ordenamiento. En definitiva, concluye que el arrendamiento de vehículos con conductor constituye una modalidad de transporte público discrecional por carretera, en el que debe diferenciarse entre el transporte urbano y el interurbano, de modo que:</w:t>
      </w:r>
    </w:p>
    <w:p w14:paraId="7CD754AC" w14:textId="77777777" w:rsidR="009D7677" w:rsidRDefault="009D7677" w:rsidP="009D7677">
      <w:pPr>
        <w:pStyle w:val="TextoNormal"/>
      </w:pPr>
    </w:p>
    <w:p w14:paraId="7DDEB212" w14:textId="77777777" w:rsidR="009D7677" w:rsidRDefault="009D7677" w:rsidP="009D7677">
      <w:pPr>
        <w:pStyle w:val="TextoNormal"/>
      </w:pPr>
      <w:r>
        <w:t>(i) La regulación del transporte interurbano susceptible de integrarse en redes de ámbito nacional corresponde al Estado y se contiene en los artículos 91 y concordantes LOTT, 181 y 182 de su Reglamento y 5 y 6 de la Ley Orgánica 5/1987, de 30 de julio, de delegación de facultades del Estado en las comunidades autónomas en relación con los transportes por carretera y por cable, conteniendo estos últimos una delegación en favor de las comunidades autónomas para, entre otros, “[e]l otorgamiento de autorizaciones para la prestación de dichos servicios”.</w:t>
      </w:r>
    </w:p>
    <w:p w14:paraId="4D36D1AB" w14:textId="77777777" w:rsidR="009D7677" w:rsidRDefault="009D7677" w:rsidP="009D7677">
      <w:pPr>
        <w:pStyle w:val="TextoNormal"/>
      </w:pPr>
    </w:p>
    <w:p w14:paraId="2A089995" w14:textId="77777777" w:rsidR="009D7677" w:rsidRDefault="009D7677" w:rsidP="009D7677">
      <w:pPr>
        <w:pStyle w:val="TextoNormal"/>
      </w:pPr>
      <w:r>
        <w:t xml:space="preserve">(ii) La regulación del transporte urbano corresponde, en todo caso, a las comunidades autónomas, al haber asumido estatutariamente todas ellas la competencia exclusiva en materia de transporte terrestre que discurra íntegramente dentro de su ámbito territorial (art. 26.1.6 EAM). A su entender, esta competencia no admite discusión por más que se trate de transportes discrecionales ya que, al tener que desarrollarse dentro de los límites de un determinado término municipal o área de prestación conjunta (segundo párrafo del artículo 91.1 LOTT), es evidente que siempre se desarrollarán dentro del territorio de una comunidad autónoma, sin poder integrarse en una red de ámbito superior, ya sea nacional o suprarregional. Además, la posibilidad autonómica de regular el transporte urbano en VTC al amparo de su competencia exclusiva se reconoce por el Estado en la propia Ley Orgánica 5/1987 (art. </w:t>
      </w:r>
      <w:r w:rsidRPr="009D7677">
        <w:rPr>
          <w:i/>
        </w:rPr>
        <w:t>5 in fi</w:t>
      </w:r>
      <w:r>
        <w:t>ne).</w:t>
      </w:r>
    </w:p>
    <w:p w14:paraId="2CCA5EE5" w14:textId="77777777" w:rsidR="009D7677" w:rsidRDefault="009D7677" w:rsidP="009D7677">
      <w:pPr>
        <w:pStyle w:val="TextoNormal"/>
      </w:pPr>
    </w:p>
    <w:p w14:paraId="1F98E159" w14:textId="77777777" w:rsidR="009D7677" w:rsidRDefault="009D7677" w:rsidP="009D7677">
      <w:pPr>
        <w:pStyle w:val="TextoNormal"/>
      </w:pPr>
      <w:r>
        <w:t xml:space="preserve">Por consiguiente, y toda vez que el contenido de la Ley de la Asamblea de Madrid 5/2022 se encuentra exclusivamente dirigido a regular la realización de servicios de transporte urbano de viajeros mediante arrendamiento de vehículos con conductor dentro del </w:t>
      </w:r>
      <w:r>
        <w:lastRenderedPageBreak/>
        <w:t xml:space="preserve">ámbito territorial de la Comunidad de Madrid, se incardina dentro de su competencia exclusiva (arts. 26.1.6 EAM, 5 </w:t>
      </w:r>
      <w:r w:rsidRPr="009D7677">
        <w:rPr>
          <w:i/>
        </w:rPr>
        <w:t>in fine</w:t>
      </w:r>
      <w:r>
        <w:t xml:space="preserve"> de la Ley Orgánica 5/1987 y 91 LOTT y Real Decreto-ley 13/2018). En consecuencia, su reglamentación no entra en colisión ni invade la competencia estatal en materia de transporte interurbano, pues se refiere a un ámbito territorial de prestación diferenciada, cual es el transporte urbano.</w:t>
      </w:r>
    </w:p>
    <w:p w14:paraId="61D12EAF" w14:textId="77777777" w:rsidR="009D7677" w:rsidRDefault="009D7677" w:rsidP="009D7677">
      <w:pPr>
        <w:pStyle w:val="TextoNormal"/>
      </w:pPr>
    </w:p>
    <w:p w14:paraId="69F291E5" w14:textId="77777777" w:rsidR="009D7677" w:rsidRDefault="009D7677" w:rsidP="009D7677">
      <w:pPr>
        <w:pStyle w:val="TextoNormal"/>
      </w:pPr>
      <w:r>
        <w:t xml:space="preserve">c) De otra parte, descarta la vulneración de la autonomía local. Explica que la Comunidad de Madrid tiene competencia legislativa en materia de transporte urbano de viajeros y la regulación contenida en la Ley de la Asamblea de Madrid 5/2022 ni priva a los municipios del ejercicio de sus funciones, ni contiene una reglamentación exhaustiva que agote la materia y vulnere la autonomía local. Al respecto, afirma que la ley recurrida no detalla la administración u órgano competente para el otorgamiento de las autorizaciones ni su régimen de concesión, remitiéndose a su posterior desarrollo reglamentario que, a su vez, habrá de respetar lo dispuesto en el artículo 4 de la Ley de la Asamblea de Madrid 20/1998, que reconoce de forma taxativa la competencia municipal en relación con los servicios urbanos de transporte público de viajeros. Afirma, en consecuencia, que el recurso tiene un carácter preventivo (cita la STC 110/2011, de 22 de junio) ya que la impugnada Ley 5/2022 no determina los requisitos de la mencionada autorización —a que aluden los artículos 14 </w:t>
      </w:r>
      <w:r w:rsidRPr="009D7677">
        <w:rPr>
          <w:i/>
        </w:rPr>
        <w:t>ter</w:t>
      </w:r>
      <w:r>
        <w:t xml:space="preserve"> y 14 </w:t>
      </w:r>
      <w:r w:rsidRPr="009D7677">
        <w:rPr>
          <w:i/>
        </w:rPr>
        <w:t>quater</w:t>
      </w:r>
      <w:r>
        <w:t xml:space="preserve"> y la disposición adicional cuarta de la Ley 20/1998, redactados todos ellos por la Ley impugnada—, en tanto que remite a los requisitos y condiciones que reglamentariamente se establezcan, lo cual, por mandato de la disposición final primera, se realizará al año de la aprobación y entrada en vigor de la propia Ley 5/2022.</w:t>
      </w:r>
    </w:p>
    <w:p w14:paraId="744F004F" w14:textId="77777777" w:rsidR="009D7677" w:rsidRDefault="009D7677" w:rsidP="009D7677">
      <w:pPr>
        <w:pStyle w:val="TextoNormal"/>
      </w:pPr>
    </w:p>
    <w:p w14:paraId="7C43B934" w14:textId="77777777" w:rsidR="009D7677" w:rsidRDefault="009D7677" w:rsidP="009D7677">
      <w:pPr>
        <w:pStyle w:val="TextoNormal"/>
      </w:pPr>
      <w:r>
        <w:t>Finalmente, pone de relieve que el coeficiente o intervalo entre licencias no viene establecido a nivel municipal ni vulnera ninguna competencia exclusiva de dichas entidades locales, sino que se contiene en el artículo 48.3 LOTT y únicamente resulta aplicable a las autorizaciones otorgadas en el marco del transporte mediante VTC que la citada Ley estatal regula, esto es, el transporte interurbano y, además, dicho precepto permite su modificación por las comunidades autónomas. Con todo, la Ley de la Asamblea de Madrid 5/2022 no solo no supone un incremento de su número, sino que salvaguarda expresamente dicha proporción, conforme a lo dispuesto en el apartado 2 del artículo 1</w:t>
      </w:r>
      <w:r w:rsidRPr="009D7677">
        <w:rPr>
          <w:i/>
        </w:rPr>
        <w:t>4 t</w:t>
      </w:r>
      <w:r>
        <w:t>er.</w:t>
      </w:r>
    </w:p>
    <w:p w14:paraId="1ED4F23A" w14:textId="77777777" w:rsidR="009D7677" w:rsidRDefault="009D7677" w:rsidP="009D7677">
      <w:pPr>
        <w:pStyle w:val="TextoNormal"/>
      </w:pPr>
    </w:p>
    <w:p w14:paraId="2BA7D435" w14:textId="77777777" w:rsidR="009D7677" w:rsidRDefault="009D7677" w:rsidP="009D7677">
      <w:pPr>
        <w:pStyle w:val="TextoNormal"/>
      </w:pPr>
      <w:r>
        <w:t>En resumen, la Ley de la Asamblea de Madrid 5/2022 se ha dictado en el marco de la competencia exclusiva de la Comunidad de Madrid en materia de transportes terrestres que discurran íntegramente dentro de su territorio y resulta respetuosa con la autonomía local, remitiendo a la posterior regulación reglamentaria el régimen de otorgamiento de autorizaciones, que en ningún momento se reserva aquella ley para sí. También salvaguarda la proporción entre las licencias de VTC y autotaxi establecida por la legislación estatal.</w:t>
      </w:r>
    </w:p>
    <w:p w14:paraId="6068D024" w14:textId="77777777" w:rsidR="009D7677" w:rsidRDefault="009D7677" w:rsidP="009D7677">
      <w:pPr>
        <w:pStyle w:val="TextoNormal"/>
      </w:pPr>
    </w:p>
    <w:p w14:paraId="66B91545" w14:textId="49FA0CC9" w:rsidR="009D7677" w:rsidRDefault="009D7677" w:rsidP="009D7677">
      <w:pPr>
        <w:pStyle w:val="TextoNormal"/>
      </w:pPr>
      <w:r>
        <w:t>d) Finalmente, el letrado de la Comunidad de Madrid descarta la vulneración del principio de igualdad. Tras citar las SSTC 49/1982, de 14 de julio, FJ 2, y 16/1994, de 20 de enero, FJ 5, afirma que los sectores del autotaxi y de VTC presentan diferencias relevantes. Añade que la sentencia núm. 1266/2022, de 10 de octubre, de la Sala de lo Contencioso-Administrativo del Tribunal Supremo ha descartado la vulneración del principio de igualdad. Finalmente, indica que la regulación no es más desfavorable a un sector que a otro.</w:t>
      </w:r>
    </w:p>
    <w:p w14:paraId="01CBAAF0" w14:textId="77777777" w:rsidR="009D7677" w:rsidRDefault="009D7677" w:rsidP="009D7677">
      <w:pPr>
        <w:pStyle w:val="TextoNormal"/>
      </w:pPr>
    </w:p>
    <w:p w14:paraId="192BA19A" w14:textId="77777777" w:rsidR="009D7677" w:rsidRDefault="009D7677" w:rsidP="009D7677">
      <w:pPr>
        <w:pStyle w:val="TextoNormal"/>
      </w:pPr>
      <w:r w:rsidRPr="009D7677">
        <w:rPr>
          <w:rStyle w:val="NumeroAFNegritaCaracter"/>
        </w:rPr>
        <w:lastRenderedPageBreak/>
        <w:t>5</w:t>
      </w:r>
      <w:r>
        <w:t>. El 14 de noviembre de 2022, los letrados de la Asamblea de Madrid en la representación que legalmente ostentan comparecieron en el proceso, formularon alegaciones y solicitaron se desestime el recurso de inconstitucionalidad. Sus alegaciones pueden resumirse como sigue:</w:t>
      </w:r>
    </w:p>
    <w:p w14:paraId="600F5D09" w14:textId="77777777" w:rsidR="009D7677" w:rsidRDefault="009D7677" w:rsidP="009D7677">
      <w:pPr>
        <w:pStyle w:val="TextoNormal"/>
      </w:pPr>
    </w:p>
    <w:p w14:paraId="25AB8C8E" w14:textId="77777777" w:rsidR="009D7677" w:rsidRDefault="009D7677" w:rsidP="009D7677">
      <w:pPr>
        <w:pStyle w:val="TextoNormal"/>
      </w:pPr>
      <w:r>
        <w:t>a) La ley impugnada se ha aprobado de acuerdo con la competencia de la comunidad autónoma (arts. 149.1.21 y 148.1.5 CE, Ley Orgánica 5/1987, art. 26.1.6 EAM y STC 118/1996) y se aplica a los transportes urbanos que se desarrollen íntegramente en el ámbito de la Comunidad de Madrid (artículo 2 de la Ley de la Asamblea de Madrid 20/1998).</w:t>
      </w:r>
    </w:p>
    <w:p w14:paraId="33AD04D5" w14:textId="77777777" w:rsidR="009D7677" w:rsidRDefault="009D7677" w:rsidP="009D7677">
      <w:pPr>
        <w:pStyle w:val="TextoNormal"/>
      </w:pPr>
    </w:p>
    <w:p w14:paraId="5C54FF54" w14:textId="77777777" w:rsidR="009D7677" w:rsidRDefault="009D7677" w:rsidP="009D7677">
      <w:pPr>
        <w:pStyle w:val="TextoNormal"/>
      </w:pPr>
      <w:r>
        <w:t>Tras referirse a la evolución normativa en la materia, exponen que la Ley impugnada completa el régimen jurídico de la Comunidad de Madrid en materia de transportes discrecionales de viajeros con la regulación del arrendamiento de vehículos con conductor; de una parte, permite la realización de servicios urbanos a través del arrendamiento de vehículos con conductor en el ámbito territorial de la Comunidad de Madrid bajo la condición de contar con la preceptiva autorización y, de otra, permite que las autorizaciones de arrendamiento de vehículos con conductor de ámbito nacional domiciliadas en la Comunidad de Madrid existentes a la fecha de su entrada en vigor puedan seguir habilitando para la prestación de servicios urbanos en el ámbito de la Comunidad de Madrid tras la finalización de los periodos temporales a que se refiere la disposición transitoria única del Real Decreto-ley 13/2018.</w:t>
      </w:r>
    </w:p>
    <w:p w14:paraId="3ECB641F" w14:textId="77777777" w:rsidR="009D7677" w:rsidRDefault="009D7677" w:rsidP="009D7677">
      <w:pPr>
        <w:pStyle w:val="TextoNormal"/>
      </w:pPr>
    </w:p>
    <w:p w14:paraId="326CB5B9" w14:textId="77777777" w:rsidR="009D7677" w:rsidRDefault="009D7677" w:rsidP="009D7677">
      <w:pPr>
        <w:pStyle w:val="TextoNormal"/>
      </w:pPr>
      <w:r>
        <w:t xml:space="preserve">Además, reproduce parcialmente la STC 118/1996, FJ 1, y afirma que la Ley recurrida respeta el orden constitucional de competencias y no vulnera el artículo 149 CE ya que versa sobre una materia de competencia exclusiva de la Comunidad de Madrid, como son los servicios de transporte cuyo itinerario transcurra íntegramente por el territorio de la Comunidad Autónoma, </w:t>
      </w:r>
      <w:r w:rsidRPr="009D7677">
        <w:rPr>
          <w:i/>
        </w:rPr>
        <w:t>ex</w:t>
      </w:r>
      <w:r>
        <w:t xml:space="preserve"> arts. 148.1.5 CE y 26.1.6 EAM. Asimismo, los artículos 5 y 6 de la Ley Orgánica 5/1987, de 30 de julio, establecen la delegación del Estado en materia de transportes públicos discrecionales, lo que posibilita que las comunidades autónomas sean competentes para otorgar autorizaciones de arrendamiento de vehículos con conductor de ámbito nacional y demás funciones a que se refiere el artículo 5 de la citada Ley Orgánica 5/1987. Asimismo, estas comunidades autónomas se encuentran habilitadas para modificar las condiciones de explotación previstas en el artículo 182.1 del Reglamento de la Ley de ordenación de los transportes terrestres (disposición adicional primera del Real Decreto-ley 13/2018).</w:t>
      </w:r>
    </w:p>
    <w:p w14:paraId="60461CCD" w14:textId="77777777" w:rsidR="009D7677" w:rsidRDefault="009D7677" w:rsidP="009D7677">
      <w:pPr>
        <w:pStyle w:val="TextoNormal"/>
      </w:pPr>
    </w:p>
    <w:p w14:paraId="56DCC730" w14:textId="77777777" w:rsidR="009D7677" w:rsidRDefault="009D7677" w:rsidP="009D7677">
      <w:pPr>
        <w:pStyle w:val="TextoNormal"/>
      </w:pPr>
      <w:r>
        <w:t xml:space="preserve">b) La ley impugnada no vulnera la autonomía local. El legislador autonómico puede establecer un régimen jurídico diferenciado regulando, de un lado, el transporte de viajeros en automóviles de turismo y, de otro, el arrendamiento de vehículos con conductor, de acuerdo con sus competencias (arts. 148.1.5 CE y 26.1.6 EAM), en lo que respecta a los servicios que concurran en el ámbito territorial autonómico y, asimismo, para otorgar las autorizaciones para la prestación del servicio de arrendamiento de vehículos con conductor cuyo ámbito transcurra íntegramente en el territorio de la comunidad autónoma (arts. 148.1.5 CE y 26.l.6 EAM) y aquellas cuyo ámbito exceda de la comunidad autónoma, en este caso las autorizaciones de arrendamiento de vehículo con conductor (VTC-nacional) domiciliadas en la Comunidad de Madrid, </w:t>
      </w:r>
      <w:r w:rsidRPr="009D7677">
        <w:rPr>
          <w:i/>
        </w:rPr>
        <w:t>ex</w:t>
      </w:r>
      <w:r>
        <w:t xml:space="preserve"> artículos 5 y 6 de la Ley Orgánica 5/1987. A mayor abundamiento, consideran que de la disposición adicional primera del Real Decreto-ley 13/2018 puede colegirse la posibilidad de que en el ámbito autonómico las comuni</w:t>
      </w:r>
      <w:r>
        <w:lastRenderedPageBreak/>
        <w:t>dades autónomas puedan conceder autorizaciones para la realización de esta actividad de arrendamiento de vehículos con conductor cuando concurran los títulos jurídicos habilitantes necesarios.</w:t>
      </w:r>
    </w:p>
    <w:p w14:paraId="1960EFA5" w14:textId="77777777" w:rsidR="009D7677" w:rsidRDefault="009D7677" w:rsidP="009D7677">
      <w:pPr>
        <w:pStyle w:val="TextoNormal"/>
      </w:pPr>
    </w:p>
    <w:p w14:paraId="086A352E" w14:textId="77777777" w:rsidR="009D7677" w:rsidRDefault="009D7677" w:rsidP="009D7677">
      <w:pPr>
        <w:pStyle w:val="TextoNormal"/>
      </w:pPr>
      <w:r>
        <w:t>Con la Ley de la Asamblea de Madrid 5/2022 se establece un régimen jurídico diferenciado en función de que se trate de transporte de viajeros en automóviles de turismo o bien de arrendamiento de vehículos con conductor, ya que son supuestos de naturaleza diferente y diferente régimen jurídico conforme a la regulación estatal (la Ley de ordenación de los transportes terrestres y su Reglamento), diferente categoría que se puede apreciar, asimismo, en la legislación estatal, por ejemplo, en el art. 48.3 LOTT. Por lo tanto, la regulación de la Ley de la Asamblea de Madrid 5/2022 atiende a la diferente naturaleza, ya consagrada, entre el arrendamiento de vehículos con conductor y el relativo al transporte de viajeros en automóviles de turismo, con un consecuente régimen jurídico diferenciado y que en ningún caso supone la exención del control de la administración. Además, la actividad de arrendamiento de vehículos con conductor queda circunscrita a condiciones específicas que ponen de manifiesto que se trata de una actividad diferente al transporte de viajeros en automóviles de turismo tales como la precontratación del servicio, la imposibilidad de captación de clientes por las vías públicas, que los precios de la actividad no se encuentren sujetos a tarifa administrativa o que los vehículos que realicen la actividad de arrendamiento con conductor no podrán llevar signos de identificación que induzcan a confusión con la actividad de los taxis.</w:t>
      </w:r>
    </w:p>
    <w:p w14:paraId="6875018C" w14:textId="77777777" w:rsidR="009D7677" w:rsidRDefault="009D7677" w:rsidP="009D7677">
      <w:pPr>
        <w:pStyle w:val="TextoNormal"/>
      </w:pPr>
    </w:p>
    <w:p w14:paraId="1BF3C1F1" w14:textId="77777777" w:rsidR="009D7677" w:rsidRDefault="009D7677" w:rsidP="009D7677">
      <w:pPr>
        <w:pStyle w:val="TextoNormal"/>
      </w:pPr>
      <w:r>
        <w:t xml:space="preserve">En definitiva, si bien ambas modalidades de transporte de viajeros concurren en el mismo segmento de transporte de viajeros, y aunque es cierto que la realización de la actividad de arrendamiento de vehículos con conductor no se encuentra sujeta a tarifas administrativas, en todo caso se exige para que realicen servicios urbanos la autorización administrativa de acuerdo con los requisitos que reglamentariamente se establezcan (arts. 14 </w:t>
      </w:r>
      <w:r w:rsidRPr="009D7677">
        <w:rPr>
          <w:i/>
        </w:rPr>
        <w:t>ter</w:t>
      </w:r>
      <w:r>
        <w:t xml:space="preserve"> y 14 </w:t>
      </w:r>
      <w:r w:rsidRPr="009D7677">
        <w:rPr>
          <w:i/>
        </w:rPr>
        <w:t>quater</w:t>
      </w:r>
      <w:r>
        <w:t xml:space="preserve"> de la Ley de la Asamblea de Madrid 20/1998). Además, dichas autorizaciones se encuentran limitadas a una proporción de una autorización de arrendamiento de vehículo con conductor (tanto autonómicas como estatales habilitadas para prestar servicios urbanos) por cada treinta autorizaciones para realizar el transporte de viajeros en automóviles de turismo (art. 14 </w:t>
      </w:r>
      <w:r w:rsidRPr="009D7677">
        <w:rPr>
          <w:i/>
        </w:rPr>
        <w:t>ter</w:t>
      </w:r>
      <w:r>
        <w:t xml:space="preserve"> de la citada Ley 20/1998) siguiendo lo dispuesto en el artículo 48.3 LOTT.</w:t>
      </w:r>
    </w:p>
    <w:p w14:paraId="22A68918" w14:textId="77777777" w:rsidR="009D7677" w:rsidRDefault="009D7677" w:rsidP="009D7677">
      <w:pPr>
        <w:pStyle w:val="TextoNormal"/>
      </w:pPr>
    </w:p>
    <w:p w14:paraId="39F8773D" w14:textId="77777777" w:rsidR="009D7677" w:rsidRDefault="009D7677" w:rsidP="009D7677">
      <w:pPr>
        <w:pStyle w:val="TextoNormal"/>
      </w:pPr>
      <w:r>
        <w:t xml:space="preserve">Por lo tanto, no hay ausencia de control de la administración, que es lo que parece inferirse del recurso, sino que se establece una regulación que además de requerir el control de la administración, a través de la autorización y del cumplimiento de las condiciones que reglamentariamente se establezcan, mantiene la proporción de uno a treinta, anteriormente referida, que limita el ámbito de actuación para la prestación del servicio de arrendamiento de vehículos con conductor. La regulación contenida se cohonesta con lo dispuesto en el artículo 48.3 LOTT. De acuerdo con lo anterior se rechaza el argumento de la demanda en el que sustenta la vulneración de la autonomía local en la desregulación de la actividad y en la dispensa de control de la administración que causa tratos diferenciados, ya que la Ley impugnada supedita, en todo caso, la obtención de la autorización administrativa al cumplimiento de los requisitos que reglamentariamente se establezcan. Con cita de los artículos 7 y 25 de la Ley reguladora de las bases del régimen local y de la STC 41/2016, de 3 de marzo, FJ 10, afirma que la existencia de una regulación estatal o autonómica no impide que se pueda complementar con la regulación que las entidades locales aprueben. </w:t>
      </w:r>
      <w:r>
        <w:lastRenderedPageBreak/>
        <w:t>Por otra parte, la competencia de los municipios en materia de otorgamiento de licencias de transporte urbano de viajeros en automóviles de turismo a que se refiere la demanda en ningún caso se puede ver lesionada por la regulación de la Ley de la Asamblea de Madrid 5/2022 porque es una categoría distinta a la del transporte de viajeros en una actividad de arrendamiento de vehículos con conductor, que se encuentra sometida a la necesaria autorización administrativa en los términos de la citada Ley. Finalmente, se señala que el recurso se fundamenta en una interpretación excesivamente amplia del concepto de autonomía local que no se corresponde con la realidad de nuestro régimen constitucional.</w:t>
      </w:r>
    </w:p>
    <w:p w14:paraId="6F0850B3" w14:textId="77777777" w:rsidR="009D7677" w:rsidRDefault="009D7677" w:rsidP="009D7677">
      <w:pPr>
        <w:pStyle w:val="TextoNormal"/>
      </w:pPr>
    </w:p>
    <w:p w14:paraId="519FBA3D" w14:textId="25CAE35F" w:rsidR="009D7677" w:rsidRDefault="009D7677" w:rsidP="009D7677">
      <w:pPr>
        <w:pStyle w:val="TextoNormal"/>
      </w:pPr>
      <w:r>
        <w:t>c) Por último, se sostiene que no se vulnera el principio de igualdad (art. 14 CE), con cita de la STC 144/1988, de 12 de julio, FJ 1, dado que, pese a que la actividad de arrendamiento de vehículo con conductor y el transporte en vehículo taxi son servicios que concurren en el mismo espectro del mercado, son dos servicios distintos a los que, en consecuencia, se da un tratamiento jurídico diferenciado. De los primeros destaca como elementos diferenciadores aspectos que se contienen tanto en la ley autonómica como en la normativa estatal: la precontratación del servicio, la imposibilidad de captación de clientes por las vías públicas, el hecho de que los precios de la actividad no se encuentran sujetos a tarifa administrativa o que los vehículos que realicen la actividad de arrendamiento con conductor no podrán llevar signos de identificación que induzcan a confusión con la actividad de los taxis. En lo que se refiere a las autorizaciones de arrendamiento de vehículos con conductor de ámbito nacional domiciliadas en la Comunidad de Madrid existentes a la entrada en vigor de la Ley de la Asamblea de Madrid 5/2022 que seguirán habilitando para la prestación de servicios de carácter urbano en el ámbito de la Comunidad de Madrid tras la finalización de los periodos temporales a los que se refiere la disposición transitoria única del Real Decreto 13/2018, se establece la exigencia de que “deberán cumplir los requisitos que se establezcan reglamentariamente” (disposición adicional cuarta de la Ley de la Asamblea de Madrid 20/1998, en la redacción dada por la Ley 5/2022). De ello se colige que la citada Ley 5/2022 en ningún caso establece un régimen discriminatorio con respecto al establecido para quienes realizan el transporte de viajeros en automóviles de turismo.</w:t>
      </w:r>
    </w:p>
    <w:p w14:paraId="4AB9D725" w14:textId="77777777" w:rsidR="009D7677" w:rsidRDefault="009D7677" w:rsidP="009D7677">
      <w:pPr>
        <w:pStyle w:val="TextoNormal"/>
      </w:pPr>
    </w:p>
    <w:p w14:paraId="74F3159E" w14:textId="5C8A06D0" w:rsidR="009D7677" w:rsidRDefault="009D7677" w:rsidP="009D7677">
      <w:pPr>
        <w:pStyle w:val="TextoNormal"/>
      </w:pPr>
      <w:r w:rsidRPr="009D7677">
        <w:rPr>
          <w:rStyle w:val="NumeroAFNegritaCaracter"/>
        </w:rPr>
        <w:t>6</w:t>
      </w:r>
      <w:r>
        <w:t>. Mediante escrito registrado en el Tribunal Constitucional el 22 de noviembre de 2022, el abogado del Estado comunicó que en el presente procedimiento no va a formular alegaciones y se personó exclusivamente a los efectos de que en su día se le notifiquen las resoluciones que en él se dicten.</w:t>
      </w:r>
    </w:p>
    <w:p w14:paraId="0DFD8D10" w14:textId="77777777" w:rsidR="009D7677" w:rsidRDefault="009D7677" w:rsidP="009D7677">
      <w:pPr>
        <w:pStyle w:val="TextoNormal"/>
      </w:pPr>
    </w:p>
    <w:p w14:paraId="108D2EFE" w14:textId="13508AE9" w:rsidR="009D7677" w:rsidRDefault="009D7677" w:rsidP="009D7677">
      <w:pPr>
        <w:pStyle w:val="TextoNormal"/>
      </w:pPr>
      <w:r w:rsidRPr="009D7677">
        <w:rPr>
          <w:rStyle w:val="NumeroAFNegritaCaracter"/>
        </w:rPr>
        <w:t>7</w:t>
      </w:r>
      <w:r>
        <w:t>. Por providencia de 4 de junio de 2024 se señaló para deliberación y votación de la presente sentencia el día 5 del mismo mes y año.</w:t>
      </w:r>
    </w:p>
    <w:p w14:paraId="25239D96" w14:textId="77777777" w:rsidR="009D7677" w:rsidRDefault="009D7677" w:rsidP="009D7677">
      <w:pPr>
        <w:pStyle w:val="TextoNormal"/>
      </w:pPr>
    </w:p>
    <w:p w14:paraId="4BEACF5E" w14:textId="77777777" w:rsidR="009D7677" w:rsidRDefault="009D7677" w:rsidP="009D7677">
      <w:pPr>
        <w:pStyle w:val="TextoNormalNegritaCentrado"/>
        <w:keepNext/>
      </w:pPr>
      <w:r>
        <w:t>II. Fundamentos jurídicos</w:t>
      </w:r>
    </w:p>
    <w:p w14:paraId="4BE49BF3" w14:textId="1C3F8555" w:rsidR="009D7677" w:rsidRDefault="009D7677" w:rsidP="009D7677">
      <w:pPr>
        <w:pStyle w:val="TextoNormalNegritaCentrado"/>
        <w:keepNext/>
      </w:pPr>
    </w:p>
    <w:p w14:paraId="33493704" w14:textId="77777777" w:rsidR="009D7677" w:rsidRDefault="009D7677" w:rsidP="009D7677">
      <w:pPr>
        <w:pStyle w:val="TextoNormal"/>
      </w:pPr>
      <w:r w:rsidRPr="009D7677">
        <w:rPr>
          <w:rStyle w:val="NumeroAFNegritaCaracter"/>
        </w:rPr>
        <w:t>1</w:t>
      </w:r>
      <w:r>
        <w:t xml:space="preserve">. </w:t>
      </w:r>
      <w:r w:rsidRPr="009D7677">
        <w:rPr>
          <w:i/>
        </w:rPr>
        <w:t>Objeto del recurso y posiciones de las partes</w:t>
      </w:r>
    </w:p>
    <w:p w14:paraId="495202D9" w14:textId="77777777" w:rsidR="009D7677" w:rsidRDefault="009D7677" w:rsidP="009D7677">
      <w:pPr>
        <w:pStyle w:val="TextoNormal"/>
      </w:pPr>
    </w:p>
    <w:p w14:paraId="660DC00A" w14:textId="77777777" w:rsidR="009D7677" w:rsidRDefault="009D7677" w:rsidP="009D7677">
      <w:pPr>
        <w:pStyle w:val="TextoNormal"/>
      </w:pPr>
      <w:r>
        <w:t xml:space="preserve">El recurso de inconstitucionalidad tiene por objeto la Ley de la Asamblea de Madrid 5/2022, de 9 de junio, por la que se modifica la Ley 20/1998, de 27 de noviembre, de ordenación y coordinación de los transportes urbanos de la Comunidad de Madrid. La demanda explica que se dirige “subsidiariamente, contra la incorporación [a esta última] de </w:t>
      </w:r>
      <w:r>
        <w:lastRenderedPageBreak/>
        <w:t xml:space="preserve">una nueva sección segunda al capítulo III, que incluirá los artículos 14 </w:t>
      </w:r>
      <w:r w:rsidRPr="009D7677">
        <w:rPr>
          <w:i/>
        </w:rPr>
        <w:t>ter</w:t>
      </w:r>
      <w:r>
        <w:t xml:space="preserve">, números 1 y 2, y 14 </w:t>
      </w:r>
      <w:r w:rsidRPr="009D7677">
        <w:rPr>
          <w:i/>
        </w:rPr>
        <w:t>quater</w:t>
      </w:r>
      <w:r>
        <w:t>, con la siguiente rúbrica y contenido ‘Sección segunda. Transporte de viajeros en vehículos de arrendamiento con conductor’, y [de] la disposición adicional cuarta ‘Autorizaciones de arrendamiento de vehículos con conductor de ámbito nacional, domiciliadas en la Comunidad de Madrid’”.</w:t>
      </w:r>
    </w:p>
    <w:p w14:paraId="1B10C65C" w14:textId="77777777" w:rsidR="009D7677" w:rsidRDefault="009D7677" w:rsidP="009D7677">
      <w:pPr>
        <w:pStyle w:val="TextoNormal"/>
      </w:pPr>
    </w:p>
    <w:p w14:paraId="472518FE" w14:textId="30E4BA58" w:rsidR="009D7677" w:rsidRDefault="009D7677" w:rsidP="009D7677">
      <w:pPr>
        <w:pStyle w:val="TextoNormal"/>
      </w:pPr>
      <w:r>
        <w:t>Los recurrentes aducen, según se ha dado cuenta pormenorizadamente en los antecedentes de esta sentencia, que la ley impugnada, al regular la prestación de servicios urbanos mediante arrendamiento de vehículos con conductor, vulnera las competencias del Estado en la materia (con cita del artículo 149.1 CE, pero sin precisar ningún título competencial en concreto), así como la autonomía local (arts. 137 y 140 CE) y el principio de igualdad (art. 14 CE). Por su parte, tanto la representación procesal de la Comunidad de Madrid, como la de la Asamblea de Madrid solicitan la desestimación del recurso por los motivos que han quedado expuestos en los antecedentes de esta sentencia.</w:t>
      </w:r>
    </w:p>
    <w:p w14:paraId="54EB27E2" w14:textId="77777777" w:rsidR="009D7677" w:rsidRDefault="009D7677" w:rsidP="009D7677">
      <w:pPr>
        <w:pStyle w:val="TextoNormal"/>
      </w:pPr>
    </w:p>
    <w:p w14:paraId="2BC47B40" w14:textId="77777777" w:rsidR="009D7677" w:rsidRDefault="009D7677" w:rsidP="009D7677">
      <w:pPr>
        <w:pStyle w:val="TextoNormal"/>
      </w:pPr>
      <w:r w:rsidRPr="009D7677">
        <w:rPr>
          <w:rStyle w:val="NumeroAFNegritaCaracter"/>
        </w:rPr>
        <w:t>2</w:t>
      </w:r>
      <w:r>
        <w:t xml:space="preserve">. </w:t>
      </w:r>
      <w:r w:rsidRPr="009D7677">
        <w:rPr>
          <w:i/>
        </w:rPr>
        <w:t>Objeto y contenido de la ley impugnada</w:t>
      </w:r>
    </w:p>
    <w:p w14:paraId="74482F9B" w14:textId="77777777" w:rsidR="009D7677" w:rsidRDefault="009D7677" w:rsidP="009D7677">
      <w:pPr>
        <w:pStyle w:val="TextoNormal"/>
      </w:pPr>
    </w:p>
    <w:p w14:paraId="6755224A" w14:textId="77777777" w:rsidR="009D7677" w:rsidRDefault="009D7677" w:rsidP="009D7677">
      <w:pPr>
        <w:pStyle w:val="TextoNormal"/>
      </w:pPr>
      <w:r>
        <w:t>La Ley de la Asamblea de Madrid 20/1998, de 27 de noviembre, tiene por objeto la regulación de los transportes urbanos y su coordinación con los transportes interurbanos (art. 1) y es de aplicación a los transportes urbanos que se desarrollen íntegramente en el ámbito de la Comunidad de Madrid, realizados con vehículos automóviles que circulen sin camino de rodadura fija, ni medios externos de captación de energía, por toda clase de vías públicas, así como el que se realice por vías privadas cuando el transporte sea público (art. 2). Esta Ley fue modificada por la Ley de la Asamblea de Madrid 5/2022, de 9 de junio, objeto del presente recurso de inconstitucionalidad. Dicha modificación, como señala su preámbulo, completa la normativa de la Comunidad de Madrid de los transportes discrecionales de viajeros al incorporar la actividad de arrendamiento de vehículos con conductor. La Ley impugnada posibilita la realización de servicios urbanos mediante la modalidad de arrendamiento de vehículos con conductor en el ámbito territorial de la Comunidad de Madrid siempre que se cuente con la preceptiva autorización pero, además, permite que los puedan seguir realizando los vehículos que cuenten con autorizaciones de esta clase domiciliadas en la Comunidad de Madrid existentes a su entrada en vigor.</w:t>
      </w:r>
    </w:p>
    <w:p w14:paraId="5F3AB587" w14:textId="77777777" w:rsidR="009D7677" w:rsidRDefault="009D7677" w:rsidP="009D7677">
      <w:pPr>
        <w:pStyle w:val="TextoNormal"/>
      </w:pPr>
    </w:p>
    <w:p w14:paraId="4707E66B" w14:textId="77777777" w:rsidR="009D7677" w:rsidRDefault="009D7677" w:rsidP="009D7677">
      <w:pPr>
        <w:pStyle w:val="TextoNormal"/>
      </w:pPr>
      <w:r>
        <w:t xml:space="preserve">La ley impugnada tiene un artículo único, con siete apartados, y dos disposiciones finales. El apartado primero del artículo único modifica el nombre del capítulo III de la Ley 20/1998 que pasa a denominarse “Transporte de viajeros en vehículos de hasta nueve plazas, incluido el conductor” y se divide en dos secciones, una dedicada al transporte de viajeros en automóviles de turismo (apartado segundo del artículo único) y la otra, de nueva creación, con la denominación “Transporte de viajeros en vehículos de arrendamiento con conductor” (apartado tercero del artículo único) que incluye los artículos 14 </w:t>
      </w:r>
      <w:r w:rsidRPr="009D7677">
        <w:rPr>
          <w:i/>
        </w:rPr>
        <w:t>ter</w:t>
      </w:r>
      <w:r>
        <w:t xml:space="preserve"> y 14 </w:t>
      </w:r>
      <w:r w:rsidRPr="009D7677">
        <w:rPr>
          <w:i/>
        </w:rPr>
        <w:t>quater</w:t>
      </w:r>
      <w:r>
        <w:t>, con el contenido que establecen los apartados 4 y 5 del citado artículo único, respectivamente.</w:t>
      </w:r>
    </w:p>
    <w:p w14:paraId="74980C3D" w14:textId="77777777" w:rsidR="009D7677" w:rsidRDefault="009D7677" w:rsidP="009D7677">
      <w:pPr>
        <w:pStyle w:val="TextoNormal"/>
      </w:pPr>
    </w:p>
    <w:p w14:paraId="7C595A7E" w14:textId="77777777" w:rsidR="009D7677" w:rsidRDefault="009D7677" w:rsidP="009D7677">
      <w:pPr>
        <w:pStyle w:val="TextoNormal"/>
      </w:pPr>
      <w:r>
        <w:t xml:space="preserve">Conforme al apartado 4 del artículo único de la Ley 5/2022, el artículo 14 </w:t>
      </w:r>
      <w:r w:rsidRPr="009D7677">
        <w:rPr>
          <w:i/>
        </w:rPr>
        <w:t>ter</w:t>
      </w:r>
      <w:r>
        <w:t xml:space="preserve"> de la Ley de la Asamblea de Madrid 20/1998, bajo la rúbrica “Arrendamiento de vehículos con conductor”, queda redactado como sigue:</w:t>
      </w:r>
    </w:p>
    <w:p w14:paraId="6D93747F" w14:textId="77777777" w:rsidR="009D7677" w:rsidRDefault="009D7677" w:rsidP="009D7677">
      <w:pPr>
        <w:pStyle w:val="TextoNormal"/>
      </w:pPr>
    </w:p>
    <w:p w14:paraId="53E64FC8" w14:textId="77777777" w:rsidR="009D7677" w:rsidRDefault="009D7677" w:rsidP="009D7677">
      <w:pPr>
        <w:pStyle w:val="TextoNormal"/>
      </w:pPr>
      <w:r>
        <w:lastRenderedPageBreak/>
        <w:t>“1. La actividad de arrendamiento de vehículos con conductor, a los efectos de la legislación de los transportes por carretera, tendrá la consideración de transporte público discrecional de viajeros y sus precios no estarán sujetos a tarifas administrativas.</w:t>
      </w:r>
    </w:p>
    <w:p w14:paraId="2FD2D5DC" w14:textId="77777777" w:rsidR="009D7677" w:rsidRDefault="009D7677" w:rsidP="009D7677">
      <w:pPr>
        <w:pStyle w:val="TextoNormal"/>
      </w:pPr>
    </w:p>
    <w:p w14:paraId="754C266B" w14:textId="77777777" w:rsidR="009D7677" w:rsidRDefault="009D7677" w:rsidP="009D7677">
      <w:pPr>
        <w:pStyle w:val="TextoNormal"/>
      </w:pPr>
      <w:r>
        <w:t>La realización de servicios urbanos mediante esta modalidad de transporte en el ámbito territorial de la Comunidad de Madrid, queda condicionada a que sus titulares obtengan la correspondiente autorización para lo que deberán cumplir los requisitos que reglamentariamente se establezcan.</w:t>
      </w:r>
    </w:p>
    <w:p w14:paraId="6F53BF70" w14:textId="77777777" w:rsidR="009D7677" w:rsidRDefault="009D7677" w:rsidP="009D7677">
      <w:pPr>
        <w:pStyle w:val="TextoNormal"/>
      </w:pPr>
    </w:p>
    <w:p w14:paraId="4F7E1C20" w14:textId="77777777" w:rsidR="009D7677" w:rsidRDefault="009D7677" w:rsidP="009D7677">
      <w:pPr>
        <w:pStyle w:val="TextoNormal"/>
      </w:pPr>
      <w:r>
        <w:t>2. En todo caso, procederá denegar el otorgamiento de nuevas autorizaciones de arrendamiento de vehículos con conductor cuando la proporción entre el número de las autorizaciones de arrendamiento de vehículos con conductor autonómicas otorgadas por el órgano competente de la Comunidad de Madrid, junto con las estatales habilitadas para prestar servicios urbanos, y el número de las autorizaciones concedidas para realizar transporte de viajeros en automóviles de turismo domiciliadas en la Comunidad de Madrid sea superior a una de aquellas por cada treinta de estas”.</w:t>
      </w:r>
    </w:p>
    <w:p w14:paraId="772B9A1B" w14:textId="77777777" w:rsidR="009D7677" w:rsidRDefault="009D7677" w:rsidP="009D7677">
      <w:pPr>
        <w:pStyle w:val="TextoNormal"/>
      </w:pPr>
    </w:p>
    <w:p w14:paraId="63D9B002" w14:textId="77777777" w:rsidR="009D7677" w:rsidRDefault="009D7677" w:rsidP="009D7677">
      <w:pPr>
        <w:pStyle w:val="TextoNormal"/>
      </w:pPr>
      <w:r>
        <w:t xml:space="preserve">A su vez, el artículo único, apartado 5, de la Ley 5/2022 da la siguiente redacción al artículo 14 </w:t>
      </w:r>
      <w:r w:rsidRPr="009D7677">
        <w:rPr>
          <w:i/>
        </w:rPr>
        <w:t>quater</w:t>
      </w:r>
      <w:r>
        <w:t xml:space="preserve"> de la Ley de la Asamblea de Madrid 20/1998, sobre “prestación de servicios mediante arrendamiento de vehículos con conductor”:</w:t>
      </w:r>
    </w:p>
    <w:p w14:paraId="513475A8" w14:textId="77777777" w:rsidR="009D7677" w:rsidRDefault="009D7677" w:rsidP="009D7677">
      <w:pPr>
        <w:pStyle w:val="TextoNormal"/>
      </w:pPr>
    </w:p>
    <w:p w14:paraId="4583AD1E" w14:textId="77777777" w:rsidR="009D7677" w:rsidRDefault="009D7677" w:rsidP="009D7677">
      <w:pPr>
        <w:pStyle w:val="TextoNormal"/>
      </w:pPr>
      <w:r>
        <w:t>“La prestación de servicios urbanos mediante arrendamiento de vehículos con conductor se realizará por los titulares de las autorizaciones cumpliendo los requisitos y condiciones que reglamentariamente se establezcan”.</w:t>
      </w:r>
    </w:p>
    <w:p w14:paraId="5FEA251E" w14:textId="77777777" w:rsidR="009D7677" w:rsidRDefault="009D7677" w:rsidP="009D7677">
      <w:pPr>
        <w:pStyle w:val="TextoNormal"/>
      </w:pPr>
    </w:p>
    <w:p w14:paraId="10243D8C" w14:textId="77777777" w:rsidR="009D7677" w:rsidRDefault="009D7677" w:rsidP="009D7677">
      <w:pPr>
        <w:pStyle w:val="TextoNormal"/>
      </w:pPr>
      <w:r>
        <w:t>El apartado sexto del artículo único de la Ley 5/2022 modifica el primer párrafo del artículo 16.1 de la Ley de la Asamblea de Madrid 20/1998, dedicado a las infracciones y sanciones; y el apartado séptimo añade una disposición adicional cuarta a la Ley 20/1998 con el siguiente tenor:</w:t>
      </w:r>
    </w:p>
    <w:p w14:paraId="65989C12" w14:textId="77777777" w:rsidR="009D7677" w:rsidRDefault="009D7677" w:rsidP="009D7677">
      <w:pPr>
        <w:pStyle w:val="TextoNormal"/>
      </w:pPr>
    </w:p>
    <w:p w14:paraId="13062D39" w14:textId="77777777" w:rsidR="009D7677" w:rsidRDefault="009D7677" w:rsidP="009D7677">
      <w:pPr>
        <w:pStyle w:val="TextoNormal"/>
      </w:pPr>
      <w:r>
        <w:t>“Disposición adicional cuarta. Autorizaciones de arrendamiento de vehículos con conductor de ámbito nacional, domiciliadas en la Comunidad de Madrid</w:t>
      </w:r>
    </w:p>
    <w:p w14:paraId="2C92E66B" w14:textId="77777777" w:rsidR="009D7677" w:rsidRDefault="009D7677" w:rsidP="009D7677">
      <w:pPr>
        <w:pStyle w:val="TextoNormal"/>
      </w:pPr>
    </w:p>
    <w:p w14:paraId="3A189089" w14:textId="77777777" w:rsidR="009D7677" w:rsidRDefault="009D7677" w:rsidP="009D7677">
      <w:pPr>
        <w:pStyle w:val="TextoNormal"/>
      </w:pPr>
      <w:r>
        <w:t>Las autorizaciones de arrendamiento de vehículos con conductor domiciliadas en la Comunidad de Madrid existentes en el momento de la entrada en vigor de la presente ley seguirán habilitando para la prestación de servicios de carácter urbano en el ámbito de la Comunidad de Madrid tras la finalización de los periodos temporales a los que se refiere la disposición transitoria única del Real Decreto-ley 13/2018, de 28 de septiembre, por el que se modifica la Ley 16/1987, de 30 de julio, de ordenación de los transportes terrestres, en materia de arrendamiento de vehículos con conductor.</w:t>
      </w:r>
    </w:p>
    <w:p w14:paraId="1691C9E5" w14:textId="77777777" w:rsidR="009D7677" w:rsidRDefault="009D7677" w:rsidP="009D7677">
      <w:pPr>
        <w:pStyle w:val="TextoNormal"/>
      </w:pPr>
    </w:p>
    <w:p w14:paraId="489480F0" w14:textId="77777777" w:rsidR="009D7677" w:rsidRDefault="009D7677" w:rsidP="009D7677">
      <w:pPr>
        <w:pStyle w:val="TextoNormal"/>
      </w:pPr>
      <w:r>
        <w:t>No obstante lo previsto en el párrafo anterior, deberán cumplir los requisitos que se establezcan reglamentariamente”.</w:t>
      </w:r>
    </w:p>
    <w:p w14:paraId="58F6D614" w14:textId="77777777" w:rsidR="009D7677" w:rsidRDefault="009D7677" w:rsidP="009D7677">
      <w:pPr>
        <w:pStyle w:val="TextoNormal"/>
      </w:pPr>
    </w:p>
    <w:p w14:paraId="4D219951" w14:textId="09E5F7B5" w:rsidR="009D7677" w:rsidRDefault="009D7677" w:rsidP="009D7677">
      <w:pPr>
        <w:pStyle w:val="TextoNormal"/>
      </w:pPr>
      <w:r>
        <w:t>Finalmente, las disposiciones finales de la Ley 5/2022 establecen el plazo para el desarrollo reglamentario y la entrada en vigor de la Ley.</w:t>
      </w:r>
    </w:p>
    <w:p w14:paraId="39C32858" w14:textId="77777777" w:rsidR="009D7677" w:rsidRDefault="009D7677" w:rsidP="009D7677">
      <w:pPr>
        <w:pStyle w:val="TextoNormal"/>
      </w:pPr>
    </w:p>
    <w:p w14:paraId="36E6F529" w14:textId="77777777" w:rsidR="009D7677" w:rsidRDefault="009D7677" w:rsidP="009D7677">
      <w:pPr>
        <w:pStyle w:val="TextoNormal"/>
      </w:pPr>
      <w:r w:rsidRPr="009D7677">
        <w:rPr>
          <w:rStyle w:val="NumeroAFNegritaCaracter"/>
        </w:rPr>
        <w:t>3</w:t>
      </w:r>
      <w:r>
        <w:t xml:space="preserve">. </w:t>
      </w:r>
      <w:r w:rsidRPr="009D7677">
        <w:rPr>
          <w:i/>
        </w:rPr>
        <w:t>Consideraciones previas sobre el objeto del recurso de inconstitucionalidad</w:t>
      </w:r>
    </w:p>
    <w:p w14:paraId="2AB2EFB7" w14:textId="77777777" w:rsidR="009D7677" w:rsidRDefault="009D7677" w:rsidP="009D7677">
      <w:pPr>
        <w:pStyle w:val="TextoNormal"/>
      </w:pPr>
    </w:p>
    <w:p w14:paraId="36F0D31E" w14:textId="77777777" w:rsidR="009D7677" w:rsidRDefault="009D7677" w:rsidP="009D7677">
      <w:pPr>
        <w:pStyle w:val="TextoNormal"/>
      </w:pPr>
      <w:r>
        <w:t>Antes de examinar los motivos en los que se sustenta el recurso de inconstitucionalidad, debemos realizar una serie de consideraciones sobre su objeto y sobre determinadas alegaciones de la demanda.</w:t>
      </w:r>
    </w:p>
    <w:p w14:paraId="5EA22FFF" w14:textId="77777777" w:rsidR="009D7677" w:rsidRDefault="009D7677" w:rsidP="009D7677">
      <w:pPr>
        <w:pStyle w:val="TextoNormal"/>
      </w:pPr>
    </w:p>
    <w:p w14:paraId="4820C547" w14:textId="77777777" w:rsidR="009D7677" w:rsidRDefault="009D7677" w:rsidP="009D7677">
      <w:pPr>
        <w:pStyle w:val="TextoNormal"/>
      </w:pPr>
      <w:r>
        <w:t>a) El letrado de la Comunidad de Madrid, tal y como se ha dejado constancia en los antecedentes de esta sentencia, ha alegado que el recurso de inconstitucionalidad ha de quedar limitado a los preceptos de la Ley que se recurren subsidiariamente dado que nada se alega en la demanda respecto a las otras disposiciones de esta.</w:t>
      </w:r>
    </w:p>
    <w:p w14:paraId="3B3F475B" w14:textId="77777777" w:rsidR="009D7677" w:rsidRDefault="009D7677" w:rsidP="009D7677">
      <w:pPr>
        <w:pStyle w:val="TextoNormal"/>
      </w:pPr>
    </w:p>
    <w:p w14:paraId="49B4AD89" w14:textId="77777777" w:rsidR="009D7677" w:rsidRDefault="009D7677" w:rsidP="009D7677">
      <w:pPr>
        <w:pStyle w:val="TextoNormal"/>
      </w:pPr>
      <w:r>
        <w:t>Debemos tener en cuenta, a este respecto, la consolidada doctrina de este tribunal, recordada recientemente en la STC 68/2024, de 23 de abril, FJ 3, que afirma que “cuando lo que está en juego es la depuración del ordenamiento jurídico, es carga de los recurrentes no solo la de abrir la vía para que el Tribunal pueda pronunciarse, sino también la de colaborar con la justicia del Tribunal en un pormenorizado análisis de las graves cuestiones que se suscitan. Es justo, pues, hablar […] de una carga del recurrente y en los casos en que aquella no se observe, de una falta de diligencia procesalmente exigible, que es la diligencia de ofrecer la fundamentación que razonablemente es de esperar (STC 11/1981, de 8 de abril, FJ 3, reiterada en las SSTC 43/1996, de 14 de marzo, FJ 3; 36/1994, de 10 de febrero, FJ 1, y 61/1997, de 20 de marzo, FJ 13)”. Por esta razón, el Tribunal no podrá pronunciarse sobre preceptos respecto de los que “los recurrentes no han hecho, más allá de su mera invocación, ninguna alegación, ni han desarrollado un mínimo razonamiento que cuestione su constitucionalidad” [en el mismo sentido, STC 25/2024, de 13 de febrero, FJ 2 c)].</w:t>
      </w:r>
    </w:p>
    <w:p w14:paraId="3E849843" w14:textId="77777777" w:rsidR="009D7677" w:rsidRDefault="009D7677" w:rsidP="009D7677">
      <w:pPr>
        <w:pStyle w:val="TextoNormal"/>
      </w:pPr>
    </w:p>
    <w:p w14:paraId="7B8FBA72" w14:textId="77777777" w:rsidR="009D7677" w:rsidRDefault="009D7677" w:rsidP="009D7677">
      <w:pPr>
        <w:pStyle w:val="TextoNormal"/>
      </w:pPr>
      <w:r>
        <w:t>En este caso, los demandantes dirigen sus reproches con carácter general al conjunto de la Ley de la Asamblea de Madrid 5/2022. Ahora bien, aunque formalmente impugnan toda la Ley, los argumentos que esgrimen y en los que sustentan la vulneración de las competencias del Estado, de la autonomía local y del principio de igualdad, se dirigen, solamente, a los apartados cuarto, quinto y séptimo del artículo único de la Ley 5/2022. Por consiguiente, solo respecto de los referidos apartados es posible estimar que, concretando las tres quejas antes mencionadas, se ha cumplido la debida carga alegatoria en los términos de nuestra doctrina, por lo que debemos convenir con el letrado de la Comunidad de Madrid que el recurso ha de limitarse a dichos preceptos. Por otra parte, cumple advertir también que, dado que la argumentación de algunos de los motivos que fundamentan el recurso no es exhaustiva, tampoco habrá de serlo nuestra respuesta (en este sentido, STC 105/2019, de 19 de septiembre, FJ 2, por todas).</w:t>
      </w:r>
    </w:p>
    <w:p w14:paraId="53F91785" w14:textId="77777777" w:rsidR="009D7677" w:rsidRDefault="009D7677" w:rsidP="009D7677">
      <w:pPr>
        <w:pStyle w:val="TextoNormal"/>
      </w:pPr>
    </w:p>
    <w:p w14:paraId="67AC1FD2" w14:textId="77777777" w:rsidR="009D7677" w:rsidRDefault="009D7677" w:rsidP="009D7677">
      <w:pPr>
        <w:pStyle w:val="TextoNormal"/>
      </w:pPr>
      <w:r>
        <w:t xml:space="preserve">b) Asimismo, con carácter previo a nuestro enjuiciamiento debemos pronunciarnos sobre la subsistencia del presente proceso constitucional porque, durante la pendencia de este, han sido modificados varios de los preceptos objeto del recurso de inconstitucionalidad. En efecto, la Ley de la Asamblea de Madrid 11/2023, de 12 de abril, por la que se modifica la Ley 20/1998, de 27 de noviembre, de ordenación y coordinación de los transportes urbanos de la Comunidad de Madrid, ha dado nueva redacción a sus artículos 14 </w:t>
      </w:r>
      <w:r w:rsidRPr="009D7677">
        <w:rPr>
          <w:i/>
        </w:rPr>
        <w:t>ter</w:t>
      </w:r>
      <w:r>
        <w:t xml:space="preserve"> y 1</w:t>
      </w:r>
      <w:r w:rsidRPr="009D7677">
        <w:rPr>
          <w:i/>
        </w:rPr>
        <w:t>4 quat</w:t>
      </w:r>
      <w:r>
        <w:t>er.</w:t>
      </w:r>
    </w:p>
    <w:p w14:paraId="2D106E9A" w14:textId="77777777" w:rsidR="009D7677" w:rsidRDefault="009D7677" w:rsidP="009D7677">
      <w:pPr>
        <w:pStyle w:val="TextoNormal"/>
      </w:pPr>
    </w:p>
    <w:p w14:paraId="56EAFDE1" w14:textId="77777777" w:rsidR="009D7677" w:rsidRDefault="009D7677" w:rsidP="009D7677">
      <w:pPr>
        <w:pStyle w:val="TextoNormal"/>
      </w:pPr>
      <w:r>
        <w:lastRenderedPageBreak/>
        <w:t>El análisis de la modificación que realiza la Ley 11/2023 de dichos artículos de la Ley 20/1998 pone de relieve que esta reforma supone la sustitución de dichos artículos tal y como fueron redactados por el artículo único, apartados cuarto y quinto, de la Ley 5/2022.</w:t>
      </w:r>
    </w:p>
    <w:p w14:paraId="63982908" w14:textId="77777777" w:rsidR="009D7677" w:rsidRDefault="009D7677" w:rsidP="009D7677">
      <w:pPr>
        <w:pStyle w:val="TextoNormal"/>
      </w:pPr>
    </w:p>
    <w:p w14:paraId="212A0ABE" w14:textId="77777777" w:rsidR="009D7677" w:rsidRDefault="009D7677" w:rsidP="009D7677">
      <w:pPr>
        <w:pStyle w:val="TextoNormal"/>
      </w:pPr>
      <w:r>
        <w:t xml:space="preserve">La doctrina constitucional ha reiterado que en los recursos de inconstitucionalidad, cuya finalidad última es la depuración objetiva del ordenamiento jurídico, la modificación, derogación o pérdida de vigencia de la norma que se recurre puede producir la extinción sobrevenida del proceso pues, como regla general, en un recurso abstracto, como el de inconstitucionalidad, carece de sentido pronunciarse sobre normas que el mismo legislador ha expulsado ya del ordenamiento de modo total, sin ultraactividad (por todas, STC 67/2024, de 23 de abril, FJ 2). Es por ello por lo que hemos de apreciar la desaparición del objeto del recurso en relación con la vulneración del artículo 14 CE invocada por los recurrentes, en tanto en cuanto la misma se refiera a los artículos 14 </w:t>
      </w:r>
      <w:r w:rsidRPr="009D7677">
        <w:rPr>
          <w:i/>
        </w:rPr>
        <w:t>ter</w:t>
      </w:r>
      <w:r>
        <w:t xml:space="preserve"> y 14 </w:t>
      </w:r>
      <w:r w:rsidRPr="009D7677">
        <w:rPr>
          <w:i/>
        </w:rPr>
        <w:t>quater</w:t>
      </w:r>
      <w:r>
        <w:t xml:space="preserve"> de la Ley de la Asamblea de Madrid 20/1998, sin perjuicio de lo que posteriormente se dirá al analizar este motivo de impugnación.</w:t>
      </w:r>
    </w:p>
    <w:p w14:paraId="1F2ED41B" w14:textId="77777777" w:rsidR="009D7677" w:rsidRDefault="009D7677" w:rsidP="009D7677">
      <w:pPr>
        <w:pStyle w:val="TextoNormal"/>
      </w:pPr>
    </w:p>
    <w:p w14:paraId="30CDD379" w14:textId="77777777" w:rsidR="009D7677" w:rsidRDefault="009D7677" w:rsidP="009D7677">
      <w:pPr>
        <w:pStyle w:val="TextoNormal"/>
      </w:pPr>
      <w:r>
        <w:t xml:space="preserve">A conclusión distinta debemos llegar, conforme a nuestra doctrina, en cuanto a la aducida vulneración de las competencias del Estado [entre otras, STC 38/2021, de 18 de febrero, FJ 2 a)] y de la autonomía local [STC 25/2024, FJ 2 a)]. La Ley de la Asamblea de Madrid 11/2023 mantiene la redacción del artículo 14 </w:t>
      </w:r>
      <w:r w:rsidRPr="009D7677">
        <w:rPr>
          <w:i/>
        </w:rPr>
        <w:t>ter</w:t>
      </w:r>
      <w:r>
        <w:t xml:space="preserve"> añadiendo la posibilidad de limitar el incremento máximo a aplicar sobre el precio de los servicios de arrendamiento de vehículos con conductor y modulando las razones de la denegación de nuevas autorizaciones de arrendamiento de vehículos con conductor. El artículo 14 </w:t>
      </w:r>
      <w:r w:rsidRPr="009D7677">
        <w:rPr>
          <w:i/>
        </w:rPr>
        <w:t>quater</w:t>
      </w:r>
      <w:r>
        <w:t xml:space="preserve"> conserva su redacción prácticamente en su integridad. Estas modificaciones, por lo tanto, no afectan a lo debatido en el proceso, en el que, como acabamos de exponer, se cuestiona la competencia de la comunidad autónoma para regular servicios urbanos mediante la modalidad de arrendamiento de vehículos con conductor y la afectación a la autonomía local de dicha regulación. Por tanto, a la vista del contenido de la modificación legislativa y de las quejas que se han planteado, se ha de concluir que el recurso pervive en relación con estos motivos.</w:t>
      </w:r>
    </w:p>
    <w:p w14:paraId="3F6CBC2C" w14:textId="77777777" w:rsidR="009D7677" w:rsidRDefault="009D7677" w:rsidP="009D7677">
      <w:pPr>
        <w:pStyle w:val="TextoNormal"/>
      </w:pPr>
    </w:p>
    <w:p w14:paraId="18323E71" w14:textId="534710D9" w:rsidR="009D7677" w:rsidRDefault="009D7677" w:rsidP="009D7677">
      <w:pPr>
        <w:pStyle w:val="TextoNormal"/>
      </w:pPr>
      <w:r>
        <w:t xml:space="preserve">c) Debemos descartar </w:t>
      </w:r>
      <w:r w:rsidRPr="009D7677">
        <w:rPr>
          <w:i/>
        </w:rPr>
        <w:t>ab initio</w:t>
      </w:r>
      <w:r>
        <w:t xml:space="preserve"> las alegaciones sobre la finalidad de la Ley que realiza la demanda ya que en su aprobación “[p]odrán subyacer determinadas concepciones políticas, pero los únicos motivos que este remedio [el recurso de inconstitucionalidad] puede tratar de hacer valer y que este tribunal puede tomar en consideración son los jurídico-constitucionales. Quedan extramuros los juicios de ‘oportunidad política’ (STC 35/2017, de 1 de marzo, FJ 4) o sobre la ‘calidad’ de las leyes (SSTC 341/1993, de 18 de noviembre; 164/1995, de 13 de noviembre, y 341/2005, de 21 de diciembre). El recurso de inconstitucionalidad sirve exclusivamente a la ‘función nomofiláctica o de depuración del ordenamiento jurídico de leyes inconstitucionales encomendada a este tribunal’ (SSTC 90/1994, de 17 de marzo, FJ 2; 102/1995, de 26 de junio, FJ 2, y 2/2018, de 11 de enero, FJ 2)” [STC 25/2024, FJ 2 b)].</w:t>
      </w:r>
    </w:p>
    <w:p w14:paraId="0444BF37" w14:textId="77777777" w:rsidR="009D7677" w:rsidRDefault="009D7677" w:rsidP="009D7677">
      <w:pPr>
        <w:pStyle w:val="TextoNormal"/>
      </w:pPr>
    </w:p>
    <w:p w14:paraId="34BC5947" w14:textId="77777777" w:rsidR="009D7677" w:rsidRDefault="009D7677" w:rsidP="009D7677">
      <w:pPr>
        <w:pStyle w:val="TextoNormal"/>
      </w:pPr>
      <w:r w:rsidRPr="009D7677">
        <w:rPr>
          <w:rStyle w:val="NumeroAFNegritaCaracter"/>
        </w:rPr>
        <w:t>4</w:t>
      </w:r>
      <w:r>
        <w:t xml:space="preserve">. </w:t>
      </w:r>
      <w:r w:rsidRPr="009D7677">
        <w:rPr>
          <w:i/>
        </w:rPr>
        <w:t>Regulación de la materia</w:t>
      </w:r>
    </w:p>
    <w:p w14:paraId="4B4E2879" w14:textId="77777777" w:rsidR="009D7677" w:rsidRDefault="009D7677" w:rsidP="009D7677">
      <w:pPr>
        <w:pStyle w:val="TextoNormal"/>
      </w:pPr>
    </w:p>
    <w:p w14:paraId="5821BFFB" w14:textId="77777777" w:rsidR="009D7677" w:rsidRDefault="009D7677" w:rsidP="009D7677">
      <w:pPr>
        <w:pStyle w:val="TextoNormal"/>
      </w:pPr>
      <w:r>
        <w:t xml:space="preserve">La regulación del arrendamiento de vehículos con conductor ya ha sido sometida a nuestro enjuiciamiento con anterioridad (STC 105/2018, de 4 de octubre). Como entonces, </w:t>
      </w:r>
      <w:r>
        <w:lastRenderedPageBreak/>
        <w:t>debemos comenzar ahora también por exponer la regulación del arrendamiento de vehículos con conductor y su evolución en los últimos años.</w:t>
      </w:r>
    </w:p>
    <w:p w14:paraId="198BB2F7" w14:textId="77777777" w:rsidR="009D7677" w:rsidRDefault="009D7677" w:rsidP="009D7677">
      <w:pPr>
        <w:pStyle w:val="TextoNormal"/>
      </w:pPr>
    </w:p>
    <w:p w14:paraId="30A20E2C" w14:textId="77777777" w:rsidR="009D7677" w:rsidRDefault="009D7677" w:rsidP="009D7677">
      <w:pPr>
        <w:pStyle w:val="TextoNormal"/>
      </w:pPr>
      <w:r>
        <w:t>De conformidad con los artículos 99.4 y 134 LOTT, el arrendamiento de vehículos con conductor es una modalidad de transporte público discrecional de viajeros y su ejercicio está condicionado a la obtención de una autorización. Esa autorización ha de ser expedida por el órgano competente de la administración general del Estado o, en su caso, por el de la comunidad autónoma en que se domicilie dicha autorización, siempre que esta facultad le haya sido delegada por el Estado (art. 42 LOTT). El régimen jurídico de las autorizaciones de arrendamiento de vehículos con conductor se encuentra establecido en los artículos 180 a 182 del Reglamento de la Ley de ordenación de los transportes terrestres, aprobado por el Real Decreto 1211/1990, de 28 de septiembre.</w:t>
      </w:r>
    </w:p>
    <w:p w14:paraId="1767D46B" w14:textId="77777777" w:rsidR="009D7677" w:rsidRDefault="009D7677" w:rsidP="009D7677">
      <w:pPr>
        <w:pStyle w:val="TextoNormal"/>
      </w:pPr>
    </w:p>
    <w:p w14:paraId="004BE161" w14:textId="77777777" w:rsidR="009D7677" w:rsidRDefault="009D7677" w:rsidP="009D7677">
      <w:pPr>
        <w:pStyle w:val="TextoNormal"/>
      </w:pPr>
      <w:r>
        <w:t>También se regula en diferentes leyes de las comunidades autónomas. Precisamente, la cuestión principal que ha de dilucidarse en el presente proceso constitucional es la competencia de la Comunidad de Madrid para establecer la regulación impugnada.</w:t>
      </w:r>
    </w:p>
    <w:p w14:paraId="1DB9FDC3" w14:textId="77777777" w:rsidR="009D7677" w:rsidRDefault="009D7677" w:rsidP="009D7677">
      <w:pPr>
        <w:pStyle w:val="TextoNormal"/>
      </w:pPr>
    </w:p>
    <w:p w14:paraId="1416E932" w14:textId="77777777" w:rsidR="009D7677" w:rsidRDefault="009D7677" w:rsidP="009D7677">
      <w:pPr>
        <w:pStyle w:val="TextoNormal"/>
      </w:pPr>
      <w:r>
        <w:t>Pues bien, el preámbulo de la ley impugnada se refiere expresamente al Real Decreto-ley 13/2018, de 28 de septiembre, que modificó la Ley 16/1987, de 30 de julio, de ordenación de los transportes terrestres, en materia de arrendamiento de vehículos con conductor. Esta norma dio nueva redacción al artículo 91 LOTT, a fin de que las autorizaciones de arrendamiento de vehículos con conductor habilitasen exclusivamente para realizar transporte interurbano de viajeros, si bien estableció un régimen transitorio de cuatro años para que pudieran continuar prestando servicios de ámbito urbano. La citada norma también habilitó a las comunidades autónomas que por delegación del Estado fueran competentes para otorgar autorizaciones de arrendamiento de vehículos con conductor de ámbito nacional para modificar las condiciones de explotación previstas en el artículo 182.1 del Reglamento de la Ley de ordenación de los transportes terrestres, por lo que respecta a los servicios cuyo itinerario se desarrolle íntegramente en su respectivo ámbito territorial.</w:t>
      </w:r>
    </w:p>
    <w:p w14:paraId="7A836390" w14:textId="77777777" w:rsidR="009D7677" w:rsidRDefault="009D7677" w:rsidP="009D7677">
      <w:pPr>
        <w:pStyle w:val="TextoNormal"/>
      </w:pPr>
    </w:p>
    <w:p w14:paraId="2BE093D9" w14:textId="77777777" w:rsidR="009D7677" w:rsidRDefault="009D7677" w:rsidP="009D7677">
      <w:pPr>
        <w:pStyle w:val="TextoNormal"/>
      </w:pPr>
      <w:r>
        <w:t xml:space="preserve">Con posterioridad, se ha vuelto a modificar la Ley de ordenación de los transportes terrestres, en lo que se refiere al régimen jurídico de arrendamiento de vehículos con conductor, por Real Decreto-ley 5/2023, de 28 de junio, por el que se adoptan y prorrogan determinadas medidas de respuesta a las consecuencias económicas y sociales de la guerra de Ucrania, de apoyo a la reconstrucción de la isla de La Palma y a otras situaciones de vulnerabilidad; de transposición de directivas de la Unión Europea en materia de modificaciones estructurales de sociedades mercantiles y conciliación de la vida familiar y la vida profesional de los progenitores y los cuidadores; y de ejecución y cumplimiento del Derecho de la Unión Europea. La modificación, según expone en su preámbulo, es consecuencia de la sentencia del Tribunal de Justicia de la Unión Europea, de 8 de junio de 2023, asunto C-50/21, </w:t>
      </w:r>
      <w:r w:rsidRPr="009D7677">
        <w:rPr>
          <w:i/>
        </w:rPr>
        <w:t>Prestige and Limousine</w:t>
      </w:r>
      <w:r>
        <w:t>. Dicho real decreto-ley ha modificado el artículo 99, apartados 4, 5, 6 y 7 LOTT, entre otros aspectos, para disponer que el otorgamiento de las autorizaciones de arrendamiento de vehículos con conductor está sujeto a una serie de requisitos medioambientales.</w:t>
      </w:r>
    </w:p>
    <w:p w14:paraId="20B88875" w14:textId="77777777" w:rsidR="009D7677" w:rsidRDefault="009D7677" w:rsidP="009D7677">
      <w:pPr>
        <w:pStyle w:val="TextoNormal"/>
      </w:pPr>
    </w:p>
    <w:p w14:paraId="29743E91" w14:textId="6257A361" w:rsidR="009D7677" w:rsidRDefault="009D7677" w:rsidP="009D7677">
      <w:pPr>
        <w:pStyle w:val="TextoNormal"/>
      </w:pPr>
      <w:r>
        <w:t>Tras las precisiones realizadas, estamos en condiciones de abordar las cuestiones suscitadas en el presente proceso constitucional. En nuestro enjuiciamiento seguiremos el orden de las vulneraciones tal y como se exponen en la demanda.</w:t>
      </w:r>
    </w:p>
    <w:p w14:paraId="0DC64CD3" w14:textId="77777777" w:rsidR="009D7677" w:rsidRDefault="009D7677" w:rsidP="009D7677">
      <w:pPr>
        <w:pStyle w:val="TextoNormal"/>
      </w:pPr>
    </w:p>
    <w:p w14:paraId="585EFAAC" w14:textId="77777777" w:rsidR="009D7677" w:rsidRDefault="009D7677" w:rsidP="009D7677">
      <w:pPr>
        <w:pStyle w:val="TextoNormal"/>
      </w:pPr>
      <w:r w:rsidRPr="009D7677">
        <w:rPr>
          <w:rStyle w:val="NumeroAFNegritaCaracter"/>
        </w:rPr>
        <w:t>5</w:t>
      </w:r>
      <w:r>
        <w:t xml:space="preserve">. </w:t>
      </w:r>
      <w:r w:rsidRPr="009D7677">
        <w:rPr>
          <w:i/>
        </w:rPr>
        <w:t>Análisis de la alegada vulneración de las competencias del Estado en la materia</w:t>
      </w:r>
    </w:p>
    <w:p w14:paraId="3A6D52AE" w14:textId="77777777" w:rsidR="009D7677" w:rsidRDefault="009D7677" w:rsidP="009D7677">
      <w:pPr>
        <w:pStyle w:val="TextoNormal"/>
      </w:pPr>
    </w:p>
    <w:p w14:paraId="379FE5C8" w14:textId="77777777" w:rsidR="009D7677" w:rsidRDefault="009D7677" w:rsidP="009D7677">
      <w:pPr>
        <w:pStyle w:val="TextoNormal"/>
      </w:pPr>
      <w:r>
        <w:t>A) La primera de las vulneraciones aducidas es de carácter competencial. Estima la demanda que la regulación impugnada vulnera el artículo 149 CE, aunque no especifica título competencial alguno, sino que se refiere a la competencia exclusiva del Estado en materia de regulación de las VTC. La demanda considera que es competencia del Estado la regulación de la materia arrendamiento de vehículos con conductor, y que esta prevé que dicha modalidad de transporte realice, solamente, servicios interurbanos. Por lo tanto, la norma autonómica, al permitir que cuando finalicen los plazos establecidos en la disposición transitoria única del Real Decreto-ley 13/2018 se sigan prestando servicios de carácter urbano en la modalidad de transporte de arrendamiento de vehículos con conductor en la Comunidad de Madrid, vulnera las competencias del Estado.</w:t>
      </w:r>
    </w:p>
    <w:p w14:paraId="64AD3C64" w14:textId="77777777" w:rsidR="009D7677" w:rsidRDefault="009D7677" w:rsidP="009D7677">
      <w:pPr>
        <w:pStyle w:val="TextoNormal"/>
      </w:pPr>
    </w:p>
    <w:p w14:paraId="4AF7621C" w14:textId="77777777" w:rsidR="009D7677" w:rsidRDefault="009D7677" w:rsidP="009D7677">
      <w:pPr>
        <w:pStyle w:val="TextoNormal"/>
      </w:pPr>
      <w:r>
        <w:t>Tanto el letrado de la Comunidad de Madrid, como los letrados de la Asamblea de Madrid, por el contrario, consideran, como se ha expuesto pormenorizadamente en los antecedentes de esta sentencia, que la Ley ha sido dictada conforme a las competencias de la comunidad autónoma en materia de transportes que transcurran íntegramente en su ámbito territorial.</w:t>
      </w:r>
    </w:p>
    <w:p w14:paraId="140D04BE" w14:textId="77777777" w:rsidR="009D7677" w:rsidRDefault="009D7677" w:rsidP="009D7677">
      <w:pPr>
        <w:pStyle w:val="TextoNormal"/>
      </w:pPr>
    </w:p>
    <w:p w14:paraId="024FB437" w14:textId="77777777" w:rsidR="009D7677" w:rsidRDefault="009D7677" w:rsidP="009D7677">
      <w:pPr>
        <w:pStyle w:val="TextoNormal"/>
      </w:pPr>
      <w:r>
        <w:t>B) Debemos determinar ahora la materia objeto de la regulación discutida para después examinar la distribución competencial existente sobre ella. El objeto de la Ley impugnada, como ya hemos señalado, es la regulación de la actividad de arrendamiento de vehículos con conductor, o VTC, en el ámbito urbano que, hasta esta modificación, no estaba incluida en la Ley de la Asamblea de Madrid 20/1998, de 27 de noviembre, de ordenación y coordinación de los transportes urbanos de la Comunidad de Madrid. La Ley, según se afirma en su preámbulo, posibilita la realización de servicios urbanos mediante la modalidad de arrendamiento de vehículos con conductor en el ámbito territorial de la Comunidad de Madrid. Atendiendo a que el objeto de la Ley 20/1998, modificada por la ley recurrida, es la regulación de los transportes urbanos y su coordinación con los transportes interurbanos (art. 1), así como a que el propósito de la Ley 5/2022 se concreta en la regulación de la actividad de arrendamiento de vehículos con conductor dentro del ámbito territorial de la Comunidad de Madrid, como modalidad de transporte discrecional de viajeros, ha de encuadrarse la regulación impugnada en la materia de transporte urbano discrecional de viajeros.</w:t>
      </w:r>
    </w:p>
    <w:p w14:paraId="026B3602" w14:textId="77777777" w:rsidR="009D7677" w:rsidRDefault="009D7677" w:rsidP="009D7677">
      <w:pPr>
        <w:pStyle w:val="TextoNormal"/>
      </w:pPr>
    </w:p>
    <w:p w14:paraId="563FE06A" w14:textId="77777777" w:rsidR="009D7677" w:rsidRDefault="009D7677" w:rsidP="009D7677">
      <w:pPr>
        <w:pStyle w:val="TextoNormal"/>
      </w:pPr>
      <w:r>
        <w:t>C) El reparto competencial en materia de transportes terrestres</w:t>
      </w:r>
    </w:p>
    <w:p w14:paraId="387DB991" w14:textId="77777777" w:rsidR="009D7677" w:rsidRDefault="009D7677" w:rsidP="009D7677">
      <w:pPr>
        <w:pStyle w:val="TextoNormal"/>
      </w:pPr>
    </w:p>
    <w:p w14:paraId="1468ADAB" w14:textId="77777777" w:rsidR="009D7677" w:rsidRDefault="009D7677" w:rsidP="009D7677">
      <w:pPr>
        <w:pStyle w:val="TextoNormal"/>
      </w:pPr>
      <w:r>
        <w:t>a) De acuerdo con el artículo 149.1.21 CE corresponde al Estado la competencia exclusiva sobre los transportes terrestres que transcurran por el territorio de más de una comunidad autónoma. A las comunidades autónomas les corresponde, a su vez, la competencia sobre los transportes que se desarrollen íntegramente en su territorio (art. 148.1.5 CE). Así, la Comunidad de Madrid, conforme al artículo 26.1.6 EAM tiene competencia exclusiva sobre el transporte terrestre que discurra íntegramente en el territorio de la comunidad autónoma. Asimismo, de acuerdo con el artículo 28.1.13 EAM le corresponde la ejecución de la legislación del Estado sobre transporte de mercancías y viajeros que tengan su origen y destino en el territorio de la Comunidad de Madrid, sin perjuicio de la ejecución directa que se reserva el Estado.</w:t>
      </w:r>
    </w:p>
    <w:p w14:paraId="09A3D740" w14:textId="77777777" w:rsidR="009D7677" w:rsidRDefault="009D7677" w:rsidP="009D7677">
      <w:pPr>
        <w:pStyle w:val="TextoNormal"/>
      </w:pPr>
    </w:p>
    <w:p w14:paraId="006794A0" w14:textId="77777777" w:rsidR="009D7677" w:rsidRDefault="009D7677" w:rsidP="009D7677">
      <w:pPr>
        <w:pStyle w:val="TextoNormal"/>
      </w:pPr>
      <w:r>
        <w:t>El concepto de transporte, utilizado en los artículos 148.1.5 y 149.1.21 CE, se refiere fundamentalmente a las actividades públicas relativas a la ordenación de las condiciones en las que se presta el servicio de traslado o desplazamiento de personas o mercancías. El objeto fundamental de esta materia es la acción de traslado de personas o cosas de un lugar a otro (STC 245/2012, de 18 de diciembre, FJ 16).</w:t>
      </w:r>
    </w:p>
    <w:p w14:paraId="1C660D85" w14:textId="77777777" w:rsidR="009D7677" w:rsidRDefault="009D7677" w:rsidP="009D7677">
      <w:pPr>
        <w:pStyle w:val="TextoNormal"/>
      </w:pPr>
    </w:p>
    <w:p w14:paraId="28B5809B" w14:textId="77777777" w:rsidR="009D7677" w:rsidRDefault="009D7677" w:rsidP="009D7677">
      <w:pPr>
        <w:pStyle w:val="TextoNormal"/>
      </w:pPr>
      <w:r>
        <w:t>b) Debemos recordar ahora lo afirmado en sentencias anteriores respecto al sistema de distribución de competencias en materia de transportes terrestres (por todas, SSTC 118/1996, de 27 de junio, FJ 1, y 245/2012, FJ 16):</w:t>
      </w:r>
    </w:p>
    <w:p w14:paraId="42FD02F7" w14:textId="77777777" w:rsidR="009D7677" w:rsidRDefault="009D7677" w:rsidP="009D7677">
      <w:pPr>
        <w:pStyle w:val="TextoNormal"/>
      </w:pPr>
    </w:p>
    <w:p w14:paraId="2E5BCB39" w14:textId="77777777" w:rsidR="009D7677" w:rsidRDefault="009D7677" w:rsidP="009D7677">
      <w:pPr>
        <w:pStyle w:val="TextoNormal"/>
      </w:pPr>
      <w:r>
        <w:t>(i) En primer lugar, el criterio territorial se configura como elemento esencial en dicho sistema ya que los artículos 149.1.21 y 148.1.5 CE toman como punto de referencia central el que los itinerarios se desarrollen o no íntegramente en el territorio de las comunidades autónomas. Así pues, el criterio territorial del radio de acción del transporte resulta decisivo.</w:t>
      </w:r>
    </w:p>
    <w:p w14:paraId="3D1855E5" w14:textId="77777777" w:rsidR="009D7677" w:rsidRDefault="009D7677" w:rsidP="009D7677">
      <w:pPr>
        <w:pStyle w:val="TextoNormal"/>
      </w:pPr>
    </w:p>
    <w:p w14:paraId="70973198" w14:textId="77777777" w:rsidR="009D7677" w:rsidRDefault="009D7677" w:rsidP="009D7677">
      <w:pPr>
        <w:pStyle w:val="TextoNormal"/>
      </w:pPr>
      <w:r>
        <w:t>Por lo tanto, en caso de que el transporte transcurra sobre el territorio de más de una comunidad autónoma su ordenación es competencia exclusiva del Estado (art. 149.1.21 CE).</w:t>
      </w:r>
    </w:p>
    <w:p w14:paraId="5B01AAFC" w14:textId="77777777" w:rsidR="009D7677" w:rsidRDefault="009D7677" w:rsidP="009D7677">
      <w:pPr>
        <w:pStyle w:val="TextoNormal"/>
      </w:pPr>
    </w:p>
    <w:p w14:paraId="61CCD6E6" w14:textId="77777777" w:rsidR="009D7677" w:rsidRDefault="009D7677" w:rsidP="009D7677">
      <w:pPr>
        <w:pStyle w:val="TextoNormal"/>
      </w:pPr>
      <w:r>
        <w:t>A su vez, la competencia exclusiva a la que se refieren el art. 148.1.5 CE y los correspondientes preceptos de los estatutos de autonomía que la han asumido es para los transportes cuyo itinerario se desarrolle íntegramente en el territorio de la comunidad autónoma. De manera que a las comunidades autónomas les corresponde la competencia sobre transportes intraterritoriales, que comprende la facultad de dictar todas las normas relativas a la materia de su competencia. En el caso de los transportes intracomunitarios, el Estado no puede incidir sobre su ordenación, excepto cuando se halle habilitado para hacerlo por títulos distintos del transporte (STC 118/1996, FJ 1), por ejemplo, el previsto en el artículo 149.1.13 CE (entre otras, STC 118/1996, FFJJ 10, 11 y 12).</w:t>
      </w:r>
    </w:p>
    <w:p w14:paraId="344BCC01" w14:textId="77777777" w:rsidR="009D7677" w:rsidRDefault="009D7677" w:rsidP="009D7677">
      <w:pPr>
        <w:pStyle w:val="TextoNormal"/>
      </w:pPr>
    </w:p>
    <w:p w14:paraId="37D15791" w14:textId="77777777" w:rsidR="009D7677" w:rsidRDefault="009D7677" w:rsidP="009D7677">
      <w:pPr>
        <w:pStyle w:val="TextoNormal"/>
      </w:pPr>
      <w:r>
        <w:t>(ii) En cuanto a los transportes discrecionales, el criterio de distribución de competencias también es territorial pero, en este caso, es el alcance de la red en la que se inserta el transporte el que determina la competencia. En efecto, el hecho de que los transportes discrecionales se hallen integrados en redes nacionales hace que no se sepa con antelación el recorrido a realizar por cada unidad que, en cualquier momento, podría, de hecho, rebasar los límites territoriales de una comunidad autónoma. Por lo tanto, la competencia no puede atribuirse en base a recorridos concretos que se ignoran sino al carácter supracomunitario de la red en que se insertan y a la potencialidad supracomunitaria de los eventuales recorridos.</w:t>
      </w:r>
    </w:p>
    <w:p w14:paraId="5FEDB2DC" w14:textId="77777777" w:rsidR="009D7677" w:rsidRDefault="009D7677" w:rsidP="009D7677">
      <w:pPr>
        <w:pStyle w:val="TextoNormal"/>
      </w:pPr>
    </w:p>
    <w:p w14:paraId="7FBA8007" w14:textId="77777777" w:rsidR="009D7677" w:rsidRDefault="009D7677" w:rsidP="009D7677">
      <w:pPr>
        <w:pStyle w:val="TextoNormal"/>
      </w:pPr>
      <w:r>
        <w:t xml:space="preserve">Esta forma de distribución competencial supone, pues, que el Estado tendrá competencia exclusiva sobre las actividades de los transportes que actúen integrados en una red de alcance nacional, independientemente del lugar de carga y descarga de las mercancías y viajeros que transporten, siempre que se trate de recorridos discrecionales. Por el contrario, las competencias de las comunidades autónomas se refieren a transportes que se integren en redes que operen dentro del respectivo territorio o a itinerarios fijos que discurran </w:t>
      </w:r>
      <w:r>
        <w:lastRenderedPageBreak/>
        <w:t>por el mismo, porque así lo impone el criterio de distribución de competencias establecido por la Constitución (SSTC 118/1996, FJ 34, y 245/2012, FJ 16).</w:t>
      </w:r>
    </w:p>
    <w:p w14:paraId="7E64D3DB" w14:textId="77777777" w:rsidR="009D7677" w:rsidRDefault="009D7677" w:rsidP="009D7677">
      <w:pPr>
        <w:pStyle w:val="TextoNormal"/>
      </w:pPr>
    </w:p>
    <w:p w14:paraId="132D79B8" w14:textId="77777777" w:rsidR="009D7677" w:rsidRDefault="009D7677" w:rsidP="009D7677">
      <w:pPr>
        <w:pStyle w:val="TextoNormal"/>
      </w:pPr>
      <w:r>
        <w:t>(iii) El transporte urbano es, como regla general, transporte intracomunitario razón por la cual la competencia para su regulación corresponde a las comunidades autónomas que han asumido competencia exclusiva en la materia. En consecuencia, no puede el Estado invocar el título competencial del artículo 149.1.21 CE para dictar normas directamente aplicables en los correspondientes territorios [SSTC 118/1996, FJ 37 y 33/2014, de 27 de febrero, FJ 7 a)].</w:t>
      </w:r>
    </w:p>
    <w:p w14:paraId="5B44492B" w14:textId="77777777" w:rsidR="009D7677" w:rsidRDefault="009D7677" w:rsidP="009D7677">
      <w:pPr>
        <w:pStyle w:val="TextoNormal"/>
      </w:pPr>
    </w:p>
    <w:p w14:paraId="49FE2455" w14:textId="77777777" w:rsidR="009D7677" w:rsidRDefault="009D7677" w:rsidP="009D7677">
      <w:pPr>
        <w:pStyle w:val="TextoNormal"/>
      </w:pPr>
      <w:r>
        <w:t>c) El arrendamiento de vehículos con conductor es una modalidad de transporte discrecional de viajeros. Debemos diferenciar, en esta modalidad y en lo que aquí interesa, entre el transporte intercomunitario y el intracomunitario, especialmente el urbano, que es lo cuestionado en el presente recurso de inconstitucionalidad.</w:t>
      </w:r>
    </w:p>
    <w:p w14:paraId="565FF4CC" w14:textId="77777777" w:rsidR="009D7677" w:rsidRDefault="009D7677" w:rsidP="009D7677">
      <w:pPr>
        <w:pStyle w:val="TextoNormal"/>
      </w:pPr>
    </w:p>
    <w:p w14:paraId="1196EF89" w14:textId="77777777" w:rsidR="009D7677" w:rsidRDefault="009D7677" w:rsidP="009D7677">
      <w:pPr>
        <w:pStyle w:val="TextoNormal"/>
      </w:pPr>
      <w:r>
        <w:t>(i) En la STC 105/2018 nos referimos al arrendamiento de vehículos con conductor cuando sea un transporte que discurra por más de una comunidad autónoma. En este caso, la competencia es exclusiva del Estado (art. 149.1.21 CE), si bien las comunidades autónomas pueden ejercer determinadas funciones de titularidad estatal en virtud de una delegación efectuada por el legislador orgánico de conformidad con el artículo 150.2 CE (STC 105/2018, FJ 6).</w:t>
      </w:r>
    </w:p>
    <w:p w14:paraId="732480F6" w14:textId="77777777" w:rsidR="009D7677" w:rsidRDefault="009D7677" w:rsidP="009D7677">
      <w:pPr>
        <w:pStyle w:val="TextoNormal"/>
      </w:pPr>
    </w:p>
    <w:p w14:paraId="12CDD270" w14:textId="77777777" w:rsidR="009D7677" w:rsidRDefault="009D7677" w:rsidP="009D7677">
      <w:pPr>
        <w:pStyle w:val="TextoNormal"/>
      </w:pPr>
      <w:r>
        <w:t>En dicha STC 105/2018 consideramos canon o parámetro de constitucionalidad, además de la Constitución, la Ley Orgánica 5/1987, de 30 de julio, de delegación de facultades del Estado en las comunidades autónomas en relación con los transportes por carretera y por cable, que es la norma que, en virtud de una expresa previsión constitucional (art. 150.2 CE), se ha dictado para completar la delimitación de las competencias del Estado y de las comunidades autónomas que deriva de los preceptos constitucionales y estatutarios correspondientes, así como para regular el ejercicio de las funciones delegadas a las comunidades autónomas en materia de transportes por carretera y por cable.</w:t>
      </w:r>
    </w:p>
    <w:p w14:paraId="3A1FF314" w14:textId="77777777" w:rsidR="009D7677" w:rsidRDefault="009D7677" w:rsidP="009D7677">
      <w:pPr>
        <w:pStyle w:val="TextoNormal"/>
      </w:pPr>
    </w:p>
    <w:p w14:paraId="5070BA02" w14:textId="77777777" w:rsidR="009D7677" w:rsidRDefault="009D7677" w:rsidP="009D7677">
      <w:pPr>
        <w:pStyle w:val="TextoNormal"/>
      </w:pPr>
      <w:r>
        <w:t>Conforme al artículo 5 de la Ley Orgánica 5/1987, se delegan en las comunidades autónomas que resulten competentes en el sector de los servicios de transporte público discrecional de viajeros prestados al amparo de autorizaciones cuyo ámbito territorial exceda del de una comunidad autónoma: a) el otorgamiento de las autorizaciones; b) la convalidación de la transmisión de las autorizaciones; c) su visado periódico; d) el establecimiento, en su caso, de tarifas; e) la revocación o condicionamiento de las autorizaciones; f) el establecimiento de prestación de servicios mínimos; g) cuantas actuaciones gestoras sean necesarias para el funcionamiento de los servicios y no se reserve para sí el Estado. El artículo 6 establece los puntos de conexión para el ejercicio de las funciones anteriores, en razón del territorio en el que esté fijado el lugar de residencia del vehículo o esté situada la sede central de la empresa o la sucursal a la que va referida la autorización.</w:t>
      </w:r>
    </w:p>
    <w:p w14:paraId="0A10E7F9" w14:textId="77777777" w:rsidR="009D7677" w:rsidRDefault="009D7677" w:rsidP="009D7677">
      <w:pPr>
        <w:pStyle w:val="TextoNormal"/>
      </w:pPr>
    </w:p>
    <w:p w14:paraId="0126DA16" w14:textId="77777777" w:rsidR="009D7677" w:rsidRDefault="009D7677" w:rsidP="009D7677">
      <w:pPr>
        <w:pStyle w:val="TextoNormal"/>
      </w:pPr>
      <w:r>
        <w:t xml:space="preserve">Entendimos, en ese momento (STC 105/2018, FJ 5), que ninguna de las concretas funciones o facultades enumeradas en el citado artículo 5 de la Ley Orgánica 5/1987 incluía la competencia de la comunidad autónoma para dictar una norma que innovase el régimen jurídico de las autorizaciones de transporte. Indicamos, además, que “el único reconocimiento explícito de competencia normativa en favor de las comunidades autónomas que, </w:t>
      </w:r>
      <w:r>
        <w:lastRenderedPageBreak/>
        <w:t>por delegación del Estado, hubieran asumido competencias en materia de autorizaciones de arrendamiento de vehículos con conductor se encuentra en el último párrafo del apartado tercero del artículo 181 [del Reglamento de la Ley de ordenación de los transportes terrestres], y allí dicha competencia solo alcanza a modificar la llamada ‘regla de proporcionalidad’ señalada en el párrafo anterior (una autorización VTC por cada treinta de taxi), y siempre que sea para sustituirla por una menos restrictiva”.</w:t>
      </w:r>
    </w:p>
    <w:p w14:paraId="0A950D48" w14:textId="77777777" w:rsidR="009D7677" w:rsidRDefault="009D7677" w:rsidP="009D7677">
      <w:pPr>
        <w:pStyle w:val="TextoNormal"/>
      </w:pPr>
    </w:p>
    <w:p w14:paraId="5ADC3F00" w14:textId="77777777" w:rsidR="009D7677" w:rsidRDefault="009D7677" w:rsidP="009D7677">
      <w:pPr>
        <w:pStyle w:val="TextoNormal"/>
      </w:pPr>
      <w:r>
        <w:t>Ahora bien, en la citada STC 105/2018, FJ 6, también tuvimos en cuenta que el Real Decreto-ley 13/2018 ampliaba las competencias normativas de las comunidades autónomas que por delegación del Estado fueran competentes para otorgar autorizaciones de arrendamiento de vehículos con conductor de ámbito nacional. En concreto, pusimos de relieve que las comunidades autónomas quedaban habilitadas para modificar exclusivamente las condiciones de explotación de las autorizaciones previstas en el artículo 182.1 del citado Reglamento, que el propio Real Decreto-ley identifica como “condiciones de precontratación, solicitud de servicios, captación de clientes, recorridos mínimos y máximos, servicios u horarios obligatorios y especificaciones técnicas”, habilitación de las comunidades autónomas que solo tiene eficacia a partir de la entrada en vigor del Real Decreto-ley.</w:t>
      </w:r>
    </w:p>
    <w:p w14:paraId="49B7D331" w14:textId="77777777" w:rsidR="009D7677" w:rsidRDefault="009D7677" w:rsidP="009D7677">
      <w:pPr>
        <w:pStyle w:val="TextoNormal"/>
      </w:pPr>
    </w:p>
    <w:p w14:paraId="0FE2F066" w14:textId="77777777" w:rsidR="009D7677" w:rsidRDefault="009D7677" w:rsidP="009D7677">
      <w:pPr>
        <w:pStyle w:val="TextoNormal"/>
      </w:pPr>
      <w:r>
        <w:t xml:space="preserve">(ii) De otra parte, los VTC también pueden prestar servicios urbanos atendiendo a la evolución de esta modalidad de transporte, que ha tenido su reflejo en la evolución legislativa en la materia, de la que hemos dado cuenta en un fundamento jurídico anterior. Por lo tanto, dentro de esta materia, debemos distinguir entre los arrendamientos de vehículos con conductor en cuanto transportes que discurran por más de una comunidad autónoma, en los que la competencia es exclusiva del Estado (art. 149.1.21 CE) conforme acabamos de señalar (STC 105/2018, FJ 5), y esta modalidad de transporte cuando presta servicios urbanos y que, por tanto, es transporte intracomunitario, que se desarrolla íntegramente en el territorio de una comunidad autónoma. A dicho respecto, resulta relevante tener en cuenta que el artículo 5 </w:t>
      </w:r>
      <w:r w:rsidRPr="009D7677">
        <w:rPr>
          <w:i/>
        </w:rPr>
        <w:t>in fine</w:t>
      </w:r>
      <w:r>
        <w:t xml:space="preserve"> de la citada Ley Orgánica 5/1987, afirma que “[n]o se entenderán comprendidos en la presente delegación los servicios de transportes discrecionales de viajeros, mercancías o mixtos prestados dentro de una Comunidad Autónoma, al amparo de autorizaciones, de ámbito o radio intracomunitario que la misma haya podido crear mediante disposiciones propias dictadas al amparo de su correspondiente Estatuto”.</w:t>
      </w:r>
    </w:p>
    <w:p w14:paraId="31290289" w14:textId="77777777" w:rsidR="009D7677" w:rsidRDefault="009D7677" w:rsidP="009D7677">
      <w:pPr>
        <w:pStyle w:val="TextoNormal"/>
      </w:pPr>
    </w:p>
    <w:p w14:paraId="19EFB083" w14:textId="77777777" w:rsidR="009D7677" w:rsidRDefault="009D7677" w:rsidP="009D7677">
      <w:pPr>
        <w:pStyle w:val="TextoNormal"/>
      </w:pPr>
      <w:r>
        <w:t>(iii) En conclusión, en el supuesto de que los arrendamientos de vehículos con conductor presten sus servicios en el ámbito urbano y se desarrollen íntegramente en el territorio de una comunidad autónoma, la competencia sobre este tipo de transporte le correspondería a la misma (en el sentido ya afirmado en SSTC 118/1996, FJ 37, y 33/2014, FJ 7). Ello, claro está, sin perjuicio de las competencias del Estado, no solo en relación con el arrendamiento de vehículos con conductor que se encuadren en transportes que discurran por más de una comunidad autónoma, sino también en relación a las que ostenta en otras materias y que pueden incidir en la regulación de este tipo de transporte (en este sentido, STC 118/1996, FFJJ 10, 11 y 12).</w:t>
      </w:r>
    </w:p>
    <w:p w14:paraId="66819858" w14:textId="77777777" w:rsidR="009D7677" w:rsidRDefault="009D7677" w:rsidP="009D7677">
      <w:pPr>
        <w:pStyle w:val="TextoNormal"/>
      </w:pPr>
    </w:p>
    <w:p w14:paraId="340BEAC8" w14:textId="77777777" w:rsidR="009D7677" w:rsidRDefault="009D7677" w:rsidP="009D7677">
      <w:pPr>
        <w:pStyle w:val="TextoNormal"/>
      </w:pPr>
      <w:r>
        <w:t>D) Desestimación de la tacha competencial</w:t>
      </w:r>
    </w:p>
    <w:p w14:paraId="150231C9" w14:textId="77777777" w:rsidR="009D7677" w:rsidRDefault="009D7677" w:rsidP="009D7677">
      <w:pPr>
        <w:pStyle w:val="TextoNormal"/>
      </w:pPr>
    </w:p>
    <w:p w14:paraId="6A5840E0" w14:textId="77777777" w:rsidR="009D7677" w:rsidRDefault="009D7677" w:rsidP="009D7677">
      <w:pPr>
        <w:pStyle w:val="TextoNormal"/>
      </w:pPr>
      <w:r>
        <w:t xml:space="preserve">La única queja en que se sustenta la vulneración de las competencias del Estado es la pretendida falta de competencia de la comunidad autónoma para establecer la posibilidad </w:t>
      </w:r>
      <w:r>
        <w:lastRenderedPageBreak/>
        <w:t>de servicios urbanos de la modalidad de transporte de arrendamiento de vehículos con conductor. Los recurrentes sustentan dicha vulneración, principalmente, en la interpretación que realizan del Real Decreto-ley 13/2018, de 28 de septiembre, cuyo análisis, alegan, determina la extralimitación competencial en la delegación de competencias de la regulación impugnada, al extender al ámbito urbano sin justificación y por mayor plazo que el determinado en la norma estatal habilitante, las autorizaciones de arrendamiento de vehículos con conductor.</w:t>
      </w:r>
    </w:p>
    <w:p w14:paraId="4B406AE3" w14:textId="77777777" w:rsidR="009D7677" w:rsidRDefault="009D7677" w:rsidP="009D7677">
      <w:pPr>
        <w:pStyle w:val="TextoNormal"/>
      </w:pPr>
    </w:p>
    <w:p w14:paraId="2D2513DA" w14:textId="77777777" w:rsidR="009D7677" w:rsidRDefault="009D7677" w:rsidP="009D7677">
      <w:pPr>
        <w:pStyle w:val="TextoNormal"/>
      </w:pPr>
      <w:r>
        <w:t xml:space="preserve">Pues bien, de una parte, dicha queja, como ya se ha expuesto, se imputaría a los apartados cuarto y quinto del artículo único de la Ley de la Asamblea de Madrid 5/2022, en tanto en cuanto añaden los artículos 14 </w:t>
      </w:r>
      <w:r w:rsidRPr="009D7677">
        <w:rPr>
          <w:i/>
        </w:rPr>
        <w:t>ter</w:t>
      </w:r>
      <w:r>
        <w:t xml:space="preserve"> y 14 </w:t>
      </w:r>
      <w:r w:rsidRPr="009D7677">
        <w:rPr>
          <w:i/>
        </w:rPr>
        <w:t>quater</w:t>
      </w:r>
      <w:r>
        <w:t xml:space="preserve"> a la Ley 20/1998, que prevén y regulan la realización de servicios urbanos por la actividad de arrendamiento de vehículos con conductor en el ámbito territorial de la Comunidad de Madrid. También al apartado séptimo de la citada Ley 5/2022, que añade una disposición adicional cuarta a la Ley 20/1998 que determina que las autorizaciones de arrendamiento de vehículos con conductor domiciliadas en la Comunidad de Madrid existentes en el momento de la entrada en vigor de la Ley seguirán habilitando para la prestación de servicios de carácter urbano en el ámbito de esta comunidad autónoma tras la finalización de los periodos temporales a los que se refiere la disposición transitoria única del Real Decreto-ley 13/2018, de 28 de septiembre.</w:t>
      </w:r>
    </w:p>
    <w:p w14:paraId="3947B4A7" w14:textId="77777777" w:rsidR="009D7677" w:rsidRDefault="009D7677" w:rsidP="009D7677">
      <w:pPr>
        <w:pStyle w:val="TextoNormal"/>
      </w:pPr>
    </w:p>
    <w:p w14:paraId="52C46C3A" w14:textId="77777777" w:rsidR="009D7677" w:rsidRDefault="009D7677" w:rsidP="009D7677">
      <w:pPr>
        <w:pStyle w:val="TextoNormal"/>
      </w:pPr>
      <w:r>
        <w:t>Atendiendo al régimen de distribución de competencias entre el Estado y las comunidades autónomas que acabamos de exponer, no podemos sino concluir que la Comunidad de Madrid tiene competencia para regular los servicios urbanos de la modalidad de transporte de arrendamiento de vehículo con conductor.</w:t>
      </w:r>
    </w:p>
    <w:p w14:paraId="3BDD8300" w14:textId="77777777" w:rsidR="009D7677" w:rsidRDefault="009D7677" w:rsidP="009D7677">
      <w:pPr>
        <w:pStyle w:val="TextoNormal"/>
      </w:pPr>
    </w:p>
    <w:p w14:paraId="78A9485D" w14:textId="77777777" w:rsidR="009D7677" w:rsidRDefault="009D7677" w:rsidP="009D7677">
      <w:pPr>
        <w:pStyle w:val="TextoNormal"/>
      </w:pPr>
      <w:r>
        <w:t>De una parte, esta modalidad de transporte puede exigir una autorización nacional en los supuestos previstos en el artículo 91 LOTT correspondiéndole, en ese caso, a la comunidad autónoma las funciones a las que se refieren los artículos 5 y 6 de la Ley Orgánica 5/1987. A dicho respecto y dado que la queja competencial se vincula a lo dispuesto en el Real Decreto-ley 13/2018, debemos recordar que la razón de que el artículo 91 LOTT determine que la autorización de arrendamiento de vehículos con conductor de ámbito nacional habilite, exclusivamente, para realizar servicios de carácter interurbano, se halla, conforme al preámbulo de la norma, en que son las administraciones competentes las que deben abordar el transporte urbano realizado en la modalidad de arrendamiento de vehículos con conductor, así como las condiciones de prestación de este tipo de servicios en el ámbito estrictamente autonómico, por lo que se permite que sean los órganos que ostenten competencias en materia de transporte urbano los que, en el ejercicio de estas, determinen las condiciones en las que podrán ser autorizados y prestados los servicios de transporte de viajeros íntegramente desarrollados en su ámbito territorial, incluidos los que se realizan en la modalidad de arrendamiento de vehículos con conductor. Además, el Real Decreto-ley, en su disposición adicional primera, habilita, como se recuerda en su preámbulo, a las comunidades autónomas para establecer regímenes de prestación de este tipo de servicios distintos a la autorización de ámbito nacional. De acuerdo con ello, la regulación de la prestación de servicios urbanos por esta modalidad de transporte es competencia de la comunidad autónoma. Y la regulación impugnada, sin perjuicio de su desarrollo reglamentario, se limita a prever que pueden prestar servicios urbanos.</w:t>
      </w:r>
    </w:p>
    <w:p w14:paraId="61D1FEBA" w14:textId="77777777" w:rsidR="009D7677" w:rsidRDefault="009D7677" w:rsidP="009D7677">
      <w:pPr>
        <w:pStyle w:val="TextoNormal"/>
      </w:pPr>
    </w:p>
    <w:p w14:paraId="025D7F20" w14:textId="77777777" w:rsidR="009D7677" w:rsidRDefault="009D7677" w:rsidP="009D7677">
      <w:pPr>
        <w:pStyle w:val="TextoNormal"/>
      </w:pPr>
      <w:r>
        <w:lastRenderedPageBreak/>
        <w:t>De otra parte, además de los supuestos que exigen autorización nacional, el arrendamiento de vehículos con conductor puede serlo para prestar servicios urbanos de transporte de viajeros que se desarrollen íntegramente dentro del territorio de la comunidad autónoma por lo que la competencia para su regulación, conforme al artículo 26.1.6 EAM corresponde a la Comunidad de Madrid, sin perjuicio, claro está, de otras competencias del Estado que puedan incidir en esta modalidad de transporte.</w:t>
      </w:r>
    </w:p>
    <w:p w14:paraId="2D0FAA02" w14:textId="77777777" w:rsidR="009D7677" w:rsidRDefault="009D7677" w:rsidP="009D7677">
      <w:pPr>
        <w:pStyle w:val="TextoNormal"/>
      </w:pPr>
    </w:p>
    <w:p w14:paraId="7AD25DA6" w14:textId="77777777" w:rsidR="009D7677" w:rsidRDefault="009D7677" w:rsidP="009D7677">
      <w:pPr>
        <w:pStyle w:val="TextoNormal"/>
      </w:pPr>
      <w:r>
        <w:t>En conclusión, como hemos señalado, en la medida en que la Ley impugnada se refiere, en el ejercicio de las competencias que le corresponden a la Comunidad de Madrid en materia de transportes, a la prestación de servicios urbanos de la modalidad de transporte de arrendamiento de vehículos con conductor, en nada se ven afectadas las competencias estatales en la materia.</w:t>
      </w:r>
    </w:p>
    <w:p w14:paraId="38838B90" w14:textId="77777777" w:rsidR="009D7677" w:rsidRDefault="009D7677" w:rsidP="009D7677">
      <w:pPr>
        <w:pStyle w:val="TextoNormal"/>
      </w:pPr>
    </w:p>
    <w:p w14:paraId="7CB470A9" w14:textId="298DE2AA" w:rsidR="009D7677" w:rsidRDefault="009D7677" w:rsidP="009D7677">
      <w:pPr>
        <w:pStyle w:val="TextoNormal"/>
      </w:pPr>
      <w:r>
        <w:t>Consecuentemente, debemos desestimar la vulneración del artículo 149.1.21 CE por los motivos alegados en la demanda.</w:t>
      </w:r>
    </w:p>
    <w:p w14:paraId="22F0A2CE" w14:textId="77777777" w:rsidR="009D7677" w:rsidRDefault="009D7677" w:rsidP="009D7677">
      <w:pPr>
        <w:pStyle w:val="TextoNormal"/>
      </w:pPr>
    </w:p>
    <w:p w14:paraId="0548CB6F" w14:textId="77777777" w:rsidR="009D7677" w:rsidRDefault="009D7677" w:rsidP="009D7677">
      <w:pPr>
        <w:pStyle w:val="TextoNormal"/>
      </w:pPr>
      <w:r w:rsidRPr="009D7677">
        <w:rPr>
          <w:rStyle w:val="NumeroAFNegritaCaracter"/>
        </w:rPr>
        <w:t>6</w:t>
      </w:r>
      <w:r>
        <w:t xml:space="preserve">. </w:t>
      </w:r>
      <w:r w:rsidRPr="009D7677">
        <w:rPr>
          <w:i/>
        </w:rPr>
        <w:t>Análisis de la alegada vulneración de la autonomía local</w:t>
      </w:r>
    </w:p>
    <w:p w14:paraId="29272642" w14:textId="77777777" w:rsidR="009D7677" w:rsidRDefault="009D7677" w:rsidP="009D7677">
      <w:pPr>
        <w:pStyle w:val="TextoNormal"/>
      </w:pPr>
    </w:p>
    <w:p w14:paraId="101E5989" w14:textId="77777777" w:rsidR="009D7677" w:rsidRDefault="009D7677" w:rsidP="009D7677">
      <w:pPr>
        <w:pStyle w:val="TextoNormal"/>
      </w:pPr>
      <w:r>
        <w:t xml:space="preserve">a) La demanda, tal y como se ha recogido pormenorizadamente en los antecedentes de esta sentencia, reconoce la competencia de la comunidad autónoma para la regulación sectorial en materia de transportes urbanos, pero aduce que la ley impugnada vulnera la autonomía local. Las razones que alega para sustentar dicha vulneración, muy resumidamente expuestas, se concretan en que la competencia para otorgar licencias y autorizaciones para el transporte urbano de viajeros es municipal, que la Ley desregulariza la actividad estableciendo dos regímenes jurídicos, que varía el número de licencias sin intervención de los municipios y sin atender a su restricción y que afecta a las competencias de gestión de movilidad de cada ayuntamiento. La demanda no especifica los preceptos contra los que dirige dichos reproches, pero hemos de entender, atendiendo a su contenido, que se trata de los artículos 14 </w:t>
      </w:r>
      <w:r w:rsidRPr="009D7677">
        <w:rPr>
          <w:i/>
        </w:rPr>
        <w:t>ter</w:t>
      </w:r>
      <w:r>
        <w:t xml:space="preserve"> y 14 </w:t>
      </w:r>
      <w:r w:rsidRPr="009D7677">
        <w:rPr>
          <w:i/>
        </w:rPr>
        <w:t>quater</w:t>
      </w:r>
      <w:r>
        <w:t xml:space="preserve"> y de la disposición adicional cuarta de la Ley de la Asamblea de Madrid 20/1998, en la redacción dada por la Ley 5/2022, objeto del presente recurso de inconstitucionalidad.</w:t>
      </w:r>
    </w:p>
    <w:p w14:paraId="5BDDEDC6" w14:textId="77777777" w:rsidR="009D7677" w:rsidRDefault="009D7677" w:rsidP="009D7677">
      <w:pPr>
        <w:pStyle w:val="TextoNormal"/>
      </w:pPr>
    </w:p>
    <w:p w14:paraId="62E3550A" w14:textId="77777777" w:rsidR="009D7677" w:rsidRDefault="009D7677" w:rsidP="009D7677">
      <w:pPr>
        <w:pStyle w:val="TextoNormal"/>
      </w:pPr>
      <w:r>
        <w:t>El letrado de la Comunidad de Madrid, por su parte, aduce que la Ley 5/2022 ha sido dictada de acuerdo con las competencias autonómicas en materia de transporte urbano de viajeros y que la misma se remite a un ulterior desarrollo reglamentario sin detallar ni el órgano competente para otorgar la autorización ni sus requisitos. En cuanto al coeficiente entre licencias responde a lo determinado por la Ley de ordenación de los transportes terrestres. Los letrados de la Asamblea de Madrid niegan, asimismo, dicha vulneración. A su entender, la comunidad autónoma tiene competencia tanto para establecer un régimen diferenciado del transporte de viajeros en automóviles de turismo y del arrendamiento de vehículos con conductor, porque se trata de supuestos de naturaleza diferente, como para otorgar las autorizaciones para la prestación del servicio de arrendamiento de vehículos con conductor, que se encuentran limitadas por el artículo 48.3 LOTT.</w:t>
      </w:r>
    </w:p>
    <w:p w14:paraId="7808EBC3" w14:textId="77777777" w:rsidR="009D7677" w:rsidRDefault="009D7677" w:rsidP="009D7677">
      <w:pPr>
        <w:pStyle w:val="TextoNormal"/>
      </w:pPr>
    </w:p>
    <w:p w14:paraId="502C7D28" w14:textId="77777777" w:rsidR="009D7677" w:rsidRDefault="009D7677" w:rsidP="009D7677">
      <w:pPr>
        <w:pStyle w:val="TextoNormal"/>
      </w:pPr>
      <w:r>
        <w:t xml:space="preserve">b) En lo que ahora interesa, hemos tenido ocasión de indicar (STC 25/2024, FJ 5) que la Constitución no asegura un contenido concreto o un ámbito competencial determinado a los entes locales, permitiendo la autonomía local configuraciones legales diversas (SSTC 32/1981, de 28 de julio, FJ 3, y 170/1989, de 19 de octubre, FJ 9). La STC 41/2016, de 3 </w:t>
      </w:r>
      <w:r>
        <w:lastRenderedPageBreak/>
        <w:t>de marzo, FJ 11 b), lo recuerda cuando afirma que «“al distribuir poder local, el Estado y las comunidades autónomas disponen de ‘libertad de configuración’, pero deben graduar ‘el alcance o intensidad de la intervención local ‘en función de la relación existente entre los intereses locales y supralocales dentro de tales asuntos o materias’” [STC 154/2015, FJ 6 a), citando las SSTC 32/1981, FJ 4; 170/1989, FJ 9; 51/2004, FJ 9; 95/2014, FJ 5; 57/2015, FJ 6, y 92/2015, FJ 4]».</w:t>
      </w:r>
    </w:p>
    <w:p w14:paraId="4B127875" w14:textId="77777777" w:rsidR="009D7677" w:rsidRDefault="009D7677" w:rsidP="009D7677">
      <w:pPr>
        <w:pStyle w:val="TextoNormal"/>
      </w:pPr>
    </w:p>
    <w:p w14:paraId="69F10E1D" w14:textId="77777777" w:rsidR="009D7677" w:rsidRDefault="009D7677" w:rsidP="009D7677">
      <w:pPr>
        <w:pStyle w:val="TextoNormal"/>
      </w:pPr>
      <w:r>
        <w:t>c) Del análisis de la ley impugnada se deriva que la misma no vulnera la autonomía local por las razones esgrimidas en el presente recurso de inconstitucionalidad.</w:t>
      </w:r>
    </w:p>
    <w:p w14:paraId="1607150C" w14:textId="77777777" w:rsidR="009D7677" w:rsidRDefault="009D7677" w:rsidP="009D7677">
      <w:pPr>
        <w:pStyle w:val="TextoNormal"/>
      </w:pPr>
    </w:p>
    <w:p w14:paraId="0B9B9E75" w14:textId="77777777" w:rsidR="009D7677" w:rsidRDefault="009D7677" w:rsidP="009D7677">
      <w:pPr>
        <w:pStyle w:val="TextoNormal"/>
      </w:pPr>
      <w:r>
        <w:t>La demanda aduce, en primer lugar, que dicha vulneración se produce porque la competencia para otorgar licencias y autorizaciones para el transporte urbano de viajeros es municipal conforme al artículo 9 de la Ley de la Asamblea de Madrid 20/1998, de 27 de noviembre, de ordenación y coordinación de los transportes urbanos de la Comunidad de Madrid, y el artículo 6 de la Ordenanza reguladora del taxi del Ayuntamiento de Madrid, y porque se desregulariza la materia. La premisa de la que parte la demanda no se puede aceptar, ya que las normas citadas no constituyen parámetro alguno de constitucionalidad.</w:t>
      </w:r>
    </w:p>
    <w:p w14:paraId="54DBEAD2" w14:textId="77777777" w:rsidR="009D7677" w:rsidRDefault="009D7677" w:rsidP="009D7677">
      <w:pPr>
        <w:pStyle w:val="TextoNormal"/>
      </w:pPr>
    </w:p>
    <w:p w14:paraId="09E5D932" w14:textId="77777777" w:rsidR="009D7677" w:rsidRDefault="009D7677" w:rsidP="009D7677">
      <w:pPr>
        <w:pStyle w:val="TextoNormal"/>
      </w:pPr>
      <w:r>
        <w:t xml:space="preserve">En todo caso procede advertir que tanto el artículo 14 </w:t>
      </w:r>
      <w:r w:rsidRPr="009D7677">
        <w:rPr>
          <w:i/>
        </w:rPr>
        <w:t>ter</w:t>
      </w:r>
      <w:r>
        <w:t xml:space="preserve">, en su primer apartado, como el artículo 14 </w:t>
      </w:r>
      <w:r w:rsidRPr="009D7677">
        <w:rPr>
          <w:i/>
        </w:rPr>
        <w:t>quater</w:t>
      </w:r>
      <w:r>
        <w:t xml:space="preserve"> de la Ley de la Asamblea de Madrid 20/1998, en la redacción dada por la Ley 5/2022, establecen la exigencia de autorización para la realización de servicios urbanos mediante el arrendamiento de vehículos con conductor en el ámbito territorial de la Comunidad de Madrid, pero no determinan el órgano al que corresponde dicha autorización y remiten su regulación a un ulterior desarrollo reglamentario, por lo que no se puede achacar la vulneración de la autonomía local a dichos preceptos por el motivo que se está analizando. Tampoco la disposición adicional cuarta determina el órgano al que corresponde la autorización para prestar servicios urbanos, ya que se refiere a las autorizaciones ya existentes y remite, asimismo, a un ulterior desarrollo reglamentario las exigencias para la prestación de servicios urbanos.</w:t>
      </w:r>
    </w:p>
    <w:p w14:paraId="5158F1A0" w14:textId="77777777" w:rsidR="009D7677" w:rsidRDefault="009D7677" w:rsidP="009D7677">
      <w:pPr>
        <w:pStyle w:val="TextoNormal"/>
      </w:pPr>
    </w:p>
    <w:p w14:paraId="21987E82" w14:textId="77777777" w:rsidR="009D7677" w:rsidRDefault="009D7677" w:rsidP="009D7677">
      <w:pPr>
        <w:pStyle w:val="TextoNormal"/>
      </w:pPr>
      <w:r>
        <w:t xml:space="preserve">El segundo apartado del artículo 14 </w:t>
      </w:r>
      <w:r w:rsidRPr="009D7677">
        <w:rPr>
          <w:i/>
        </w:rPr>
        <w:t>ter</w:t>
      </w:r>
      <w:r>
        <w:t xml:space="preserve"> sí se refiere a las autorizaciones de arrendamiento de vehículos con conductor otorgadas por la Comunidad de Madrid, así como a las estatales. De dicho precepto se puede inferir que determinadas autorizaciones para la prestación de servicios de transporte urbano en la modalidad de arrendamiento de vehículos con conductor corresponden a la comunidad autónoma. Sin embargo, dicha previsión no vulnera </w:t>
      </w:r>
      <w:r w:rsidRPr="009D7677">
        <w:rPr>
          <w:i/>
        </w:rPr>
        <w:t>per se</w:t>
      </w:r>
      <w:r>
        <w:t xml:space="preserve"> la autonomía local.</w:t>
      </w:r>
    </w:p>
    <w:p w14:paraId="3980B49C" w14:textId="77777777" w:rsidR="009D7677" w:rsidRDefault="009D7677" w:rsidP="009D7677">
      <w:pPr>
        <w:pStyle w:val="TextoNormal"/>
      </w:pPr>
    </w:p>
    <w:p w14:paraId="14229839" w14:textId="77777777" w:rsidR="009D7677" w:rsidRDefault="009D7677" w:rsidP="009D7677">
      <w:pPr>
        <w:pStyle w:val="TextoNormal"/>
      </w:pPr>
      <w:r>
        <w:t>Como hemos afirmado en el fundamento jurídico anterior, y no niega la demanda, la comunidad autónoma tiene competencia para regular dicha modalidad de transporte cuando preste servicios urbanos que se desarrollen íntegramente dentro del territorio de la comunidad autónoma, conforme al art. 26.1.6 EAM, sin perjuicio de las competencias del Estado que puedan incidir en esta modalidad de transporte.</w:t>
      </w:r>
    </w:p>
    <w:p w14:paraId="59B72260" w14:textId="77777777" w:rsidR="009D7677" w:rsidRDefault="009D7677" w:rsidP="009D7677">
      <w:pPr>
        <w:pStyle w:val="TextoNormal"/>
      </w:pPr>
    </w:p>
    <w:p w14:paraId="24C385CD" w14:textId="77777777" w:rsidR="009D7677" w:rsidRDefault="009D7677" w:rsidP="009D7677">
      <w:pPr>
        <w:pStyle w:val="TextoNormal"/>
      </w:pPr>
      <w:r>
        <w:t xml:space="preserve">En el ejercicio de dicha competencia la comunidad autónoma debe graduar el alcance o intensidad de la intervención local en función de la relación existente entre los intereses locales y supralocales dentro de tales asuntos o materias. No se puede negar que la regulación del transporte urbano de viajeros tiene incidencia en los intereses locales. Conforme al artículo 25 de la Ley 7/1985, de 2 de abril, reguladora de las bases del régimen local, el </w:t>
      </w:r>
      <w:r>
        <w:lastRenderedPageBreak/>
        <w:t>municipio ejerce competencias propias, en los términos de la legislación del Estado y de las comunidades autónomas, en las materias de urbanismo [artículo 25.2 a)], medio ambiente urbano [artículo 25.2 b)], infraestructura viaria [artículo 25.2 d)] y tráfico, estacionamiento de vehículos y movilidad y transporte colectivo urbano [artículo 25.2 g)]. Y de acuerdo con el artículo 86.2 de dicha Ley, se declara la reserva en favor de las entidades locales del servicio de transporte público de viajeros, de conformidad con lo previsto en la legislación sectorial aplicable.</w:t>
      </w:r>
    </w:p>
    <w:p w14:paraId="5F7ED193" w14:textId="77777777" w:rsidR="009D7677" w:rsidRDefault="009D7677" w:rsidP="009D7677">
      <w:pPr>
        <w:pStyle w:val="TextoNormal"/>
      </w:pPr>
    </w:p>
    <w:p w14:paraId="768EDCFC" w14:textId="77777777" w:rsidR="009D7677" w:rsidRDefault="009D7677" w:rsidP="009D7677">
      <w:pPr>
        <w:pStyle w:val="TextoNormal"/>
      </w:pPr>
      <w:r>
        <w:t>De otra parte, existe un claro interés supralocal en la coordinación de este tipo de transporte consistente en el arrendamiento de vehículos con conductor cuando presta servicios tanto urbanos como interurbanos que por su propia naturaleza exceden de los intereses locales. Todo ello sin perjuicio de la necesidad de que se articulen los cauces necesarios para preservar los intereses locales en presencia, especialmente, pero no solo, en cuanto a la movilidad urbana.</w:t>
      </w:r>
    </w:p>
    <w:p w14:paraId="357CC905" w14:textId="77777777" w:rsidR="009D7677" w:rsidRDefault="009D7677" w:rsidP="009D7677">
      <w:pPr>
        <w:pStyle w:val="TextoNormal"/>
      </w:pPr>
    </w:p>
    <w:p w14:paraId="2BAF20D0" w14:textId="77777777" w:rsidR="009D7677" w:rsidRDefault="009D7677" w:rsidP="009D7677">
      <w:pPr>
        <w:pStyle w:val="TextoNormal"/>
      </w:pPr>
      <w:r>
        <w:t>En todo caso, la ley impugnada, en lo que ahora interesa, o bien establece la exigencia de autorización remitiéndose a un ulterior desarrollo reglamentario, o bien hace referencia a autorizaciones autonómicas sin precisar cuándo se requieren estas (con remisión, asimismo, al desarrollo reglamentario). Por lo tanto, la ley impugnada no regula esta materia en los términos que aduce la demanda, sino que se limita a prever la existencia de autorizaciones que, en algunos supuestos, serán autonómicas, y a remitir a un desarrollo reglamentario posterior para completar dicha regulación. Desarrollo este que, por otra parte, ya se ha llevado a cabo conforme al Decreto del Consejo de Gobierno de la Comunidad de Madrid 5/2024, de 10 de enero. En consecuencia, las tachas de inconstitucionalidad que alega la demanda, de existir, no se pueden atribuir directamente a la regulación contenida en la ley impugnada, sino, en su caso, a normas de rango infralegal de la Comunidad de Madrid. A este respecto hemos de recordar que la sede ordinaria del necesario control de los excesos a que la aplicación del texto legal impugnado pudiera dar lugar, en su caso, es la jurisdicción contencioso-administrativa (en este mismo sentido, STC 25/2024, FJ 6).</w:t>
      </w:r>
    </w:p>
    <w:p w14:paraId="76045F9C" w14:textId="77777777" w:rsidR="009D7677" w:rsidRDefault="009D7677" w:rsidP="009D7677">
      <w:pPr>
        <w:pStyle w:val="TextoNormal"/>
      </w:pPr>
    </w:p>
    <w:p w14:paraId="6E49A7E0" w14:textId="77777777" w:rsidR="009D7677" w:rsidRDefault="009D7677" w:rsidP="009D7677">
      <w:pPr>
        <w:pStyle w:val="TextoNormal"/>
      </w:pPr>
      <w:r>
        <w:t>Además, la existencia de dos regímenes diferentes a los que hace referencia la demanda, el de transporte de viajeros en automóviles de turismo y el de transporte de viajeros en vehículos de arrendamiento con conductor, no es consecuencia de la Ley impugnada sino, como señalan tanto el letrado de la Comunidad de Madrid como los letrados de la Asamblea de Madrid, de la Ley de ordenación de los transportes terrestres y, en todo caso, dicha diferencia no afecta, en sí misma, a la autonomía local sino, en su caso, al principio de igualdad, cuestión que se abordará en un fundamento jurídico posterior. Por tanto, no concurriendo las razones que alega la demanda se debe descartar también en este punto la vulneración de la autonomía local.</w:t>
      </w:r>
    </w:p>
    <w:p w14:paraId="716E7CA7" w14:textId="77777777" w:rsidR="009D7677" w:rsidRDefault="009D7677" w:rsidP="009D7677">
      <w:pPr>
        <w:pStyle w:val="TextoNormal"/>
      </w:pPr>
    </w:p>
    <w:p w14:paraId="1EFA91A9" w14:textId="77777777" w:rsidR="009D7677" w:rsidRDefault="009D7677" w:rsidP="009D7677">
      <w:pPr>
        <w:pStyle w:val="TextoNormal"/>
      </w:pPr>
      <w:r>
        <w:t xml:space="preserve">Finalmente, se alega la vulneración de la autonomía local por la proporción establecida en el segundo apartado del artículo 14 </w:t>
      </w:r>
      <w:r w:rsidRPr="009D7677">
        <w:rPr>
          <w:i/>
        </w:rPr>
        <w:t>ter</w:t>
      </w:r>
      <w:r>
        <w:t xml:space="preserve"> de la Ley de la Asamblea de Madrid 20/1998, en la redacción dada por la Ley 5/2022, entre las autorizaciones de vehículos con conductor y las de transporte de viajeros en vehículos de turismo domiciliadas en ese mismo territorio. Esta norma, como también pone de relieve el letrado de la Comunidad de Madrid, no es sino trasunto del artículo 48.3 LOTT que, en todo caso, habilita a las comunidades autónomas para modificar dicha regla de proporcionalidad siempre que sea menos restrictiva. La Comunidad de Madrid se ha limitado a fijar en el ámbito de la comunidad autónoma el </w:t>
      </w:r>
      <w:r>
        <w:lastRenderedPageBreak/>
        <w:t>mismo coeficiente o intervalo entre licencias de ambas modalidades de transporte que el establecido en la LOTT. Siendo esa la finalidad de la norma controvertida no puede entenderse contraria a la autonomía local, sin que, por lo demás, los recurrentes hayan llegado a argumentar en qué términos se produciría dicha vulneración.</w:t>
      </w:r>
    </w:p>
    <w:p w14:paraId="20A4AA65" w14:textId="77777777" w:rsidR="009D7677" w:rsidRDefault="009D7677" w:rsidP="009D7677">
      <w:pPr>
        <w:pStyle w:val="TextoNormal"/>
      </w:pPr>
    </w:p>
    <w:p w14:paraId="6807D4E0" w14:textId="6829A786" w:rsidR="009D7677" w:rsidRDefault="009D7677" w:rsidP="009D7677">
      <w:pPr>
        <w:pStyle w:val="TextoNormal"/>
      </w:pPr>
      <w:r>
        <w:t>Consecuentemente, debemos desestimar este motivo de inconstitucionalidad.</w:t>
      </w:r>
    </w:p>
    <w:p w14:paraId="014C913A" w14:textId="77777777" w:rsidR="009D7677" w:rsidRDefault="009D7677" w:rsidP="009D7677">
      <w:pPr>
        <w:pStyle w:val="TextoNormal"/>
      </w:pPr>
    </w:p>
    <w:p w14:paraId="07356032" w14:textId="77777777" w:rsidR="009D7677" w:rsidRDefault="009D7677" w:rsidP="009D7677">
      <w:pPr>
        <w:pStyle w:val="TextoNormal"/>
      </w:pPr>
      <w:r w:rsidRPr="009D7677">
        <w:rPr>
          <w:rStyle w:val="NumeroAFNegritaCaracter"/>
        </w:rPr>
        <w:t>7</w:t>
      </w:r>
      <w:r>
        <w:t xml:space="preserve">. </w:t>
      </w:r>
      <w:r w:rsidRPr="009D7677">
        <w:rPr>
          <w:i/>
        </w:rPr>
        <w:t>Examen de la alegada vulneración del principio de igualdad</w:t>
      </w:r>
    </w:p>
    <w:p w14:paraId="22D70340" w14:textId="77777777" w:rsidR="009D7677" w:rsidRDefault="009D7677" w:rsidP="009D7677">
      <w:pPr>
        <w:pStyle w:val="TextoNormal"/>
      </w:pPr>
    </w:p>
    <w:p w14:paraId="08BD132F" w14:textId="77777777" w:rsidR="009D7677" w:rsidRDefault="009D7677" w:rsidP="009D7677">
      <w:pPr>
        <w:pStyle w:val="TextoNormal"/>
      </w:pPr>
      <w:r>
        <w:t>a) La demanda sustenta la vulneración del principio de igualdad (art. 14 CE), como se ha expuesto en los antecedentes de esta sentencia, en la desigualdad de trato injustificada en el transporte urbano de viajeros entre el taxi y las VTC. Se alega, además, que la Comunidad de Madrid, sin competencias para ello, introduce operadores económicos sin someterlos a regulación y sin adscribirlos a la administración local donde deben realizar la prestación, poniendo en riesgo la rentabilidad del servicio. Se añade que todas las VTC pueden actuar en todos los municipios de la comunidad autónoma prestando transporte urbano de viajeros mientras que los taxis solo lo pueden realizar en el municipio para el que tienen la licencia. Entiende la demanda que dicha diferencia de trato es arbitraria y persigue favorecer a las grandes plataformas de VTC en perjuicio de los pequeños operadores económicos y autónomos del taxi, que tienen un gran tejido social.</w:t>
      </w:r>
    </w:p>
    <w:p w14:paraId="7DCC5D1C" w14:textId="77777777" w:rsidR="009D7677" w:rsidRDefault="009D7677" w:rsidP="009D7677">
      <w:pPr>
        <w:pStyle w:val="TextoNormal"/>
      </w:pPr>
    </w:p>
    <w:p w14:paraId="4EF7A191" w14:textId="77777777" w:rsidR="009D7677" w:rsidRDefault="009D7677" w:rsidP="009D7677">
      <w:pPr>
        <w:pStyle w:val="TextoNormal"/>
      </w:pPr>
      <w:r>
        <w:t>El letrado de la Comunidad de Madrid descarta la vulneración del artículo 14 CE por las diferencias entre ambos sectores y con apoyo en jurisprudencia del Tribunal Supremo. En el mismo sentido, los letrados de la Asamblea de Madrid sostienen que no se vulnera el principio de igualdad porque son servicios que concurren en el mismo espectro del mercado, siendo dos servicios distintos a los que, en consecuencia, se da un tratamiento jurídico diferenciado.</w:t>
      </w:r>
    </w:p>
    <w:p w14:paraId="081E3BB5" w14:textId="77777777" w:rsidR="009D7677" w:rsidRDefault="009D7677" w:rsidP="009D7677">
      <w:pPr>
        <w:pStyle w:val="TextoNormal"/>
      </w:pPr>
    </w:p>
    <w:p w14:paraId="282719FA" w14:textId="77777777" w:rsidR="009D7677" w:rsidRDefault="009D7677" w:rsidP="009D7677">
      <w:pPr>
        <w:pStyle w:val="TextoNormal"/>
      </w:pPr>
      <w:r>
        <w:t>b) Con carácter previo al análisis de este motivo de inconstitucionalidad, debemos recordar que el arrendamiento de vehículos con conductor y el taxi son dos medios de transporte que coinciden en el mismo segmento de transporte urbano discrecional de viajeros pero que en el ordenamiento jurídico español son modalidades diferentes. El diferente régimen jurídico entre ambas modalidades de transporte se establece en la Ley de ordenación de los transportes terrestres, que diferencia entre el transporte de viajeros en vehículos de turismo y el arrendamiento de vehículos con conductor (artículos 91 y 99). Entre las diferencias que establece se encuentra la consideración del transporte de viajeros en taxi como servicio de interés público. Conforme a lo dispuesto en el artículo 151 del Real Decreto-ley 5/2023, de 28 de junio, anteriormente citado, “[e]l transporte de viajeros en taxi, sin perjuicio de las competencias de las comunidades autónomas para establecer otra regulación, tiene la consideración de servicio de interés público”, lo que comporta, como establece el citado precepto, que “los instrumentos de planificación y ejecución de políticas públicas que se lleven a cabo por las administraciones competentes deberán garantizar la prestación de un servicio de calidad para todos los usuarios, no discriminatorio y con una cobertura de prestación suficiente en todo el territorio, mediante la adopción de las medidas que determinen y delimiten la naturaleza, duración y alcance de las obligaciones correspondientes”. Dicho carácter de servicio de interés público, propio del taxi, no concurre en la modalidad de transporte de arrendamiento de vehículos con conductor.</w:t>
      </w:r>
    </w:p>
    <w:p w14:paraId="7EB71E99" w14:textId="77777777" w:rsidR="009D7677" w:rsidRDefault="009D7677" w:rsidP="009D7677">
      <w:pPr>
        <w:pStyle w:val="TextoNormal"/>
      </w:pPr>
    </w:p>
    <w:p w14:paraId="1CBCCD96" w14:textId="77777777" w:rsidR="009D7677" w:rsidRDefault="009D7677" w:rsidP="009D7677">
      <w:pPr>
        <w:pStyle w:val="TextoNormal"/>
      </w:pPr>
      <w:r>
        <w:lastRenderedPageBreak/>
        <w:t>c) Conforme a reiterada jurisprudencia constitucional, el principio de igualdad en la ley es vulnerado cuando se produce un trato desigual carente de justificación objetiva y razonable por parte del poder público, pero “[l]a sola enunciación del contenido de este principio pone de manifiesto la necesidad de que, quien alegue la infracción del artículo 14 CE, en cuanto consagra el derecho a la igualdad, aporte para fundar su alegación un término de comparación válido, del que se desprenda con claridad la desigualdad denunciada, porque la infracción del derecho a la igualdad no puede valorarse aisladamente. Como derecho relacional, su infracción requiere inexcusablemente como presupuesto la existencia de una diferencia de trato entre situaciones sustancialmente iguales, cuya razonabilidad o no deberá valorarse con posterioridad. Y esta diferencia de trato es, por lo tanto, un extremo que debe ser adecuadamente puesto de manifiesto por el interesado” (STC 106/1994, de 11 de abril, FJ 2).</w:t>
      </w:r>
    </w:p>
    <w:p w14:paraId="1911A92E" w14:textId="77777777" w:rsidR="009D7677" w:rsidRDefault="009D7677" w:rsidP="009D7677">
      <w:pPr>
        <w:pStyle w:val="TextoNormal"/>
      </w:pPr>
    </w:p>
    <w:p w14:paraId="03E98507" w14:textId="77777777" w:rsidR="009D7677" w:rsidRDefault="009D7677" w:rsidP="009D7677">
      <w:pPr>
        <w:pStyle w:val="TextoNormal"/>
      </w:pPr>
      <w:r>
        <w:t xml:space="preserve">d) Asimismo, debemos recordar que, en el fundamento jurídico segundo de esta sentencia, al delimitar el objeto del presente proceso constitucional, hemos entendido que la vulneración del artículo 14 CE debe quedar limitada, como consecuencia de la modificación de los artículos 14 </w:t>
      </w:r>
      <w:r w:rsidRPr="009D7677">
        <w:rPr>
          <w:i/>
        </w:rPr>
        <w:t>ter</w:t>
      </w:r>
      <w:r>
        <w:t xml:space="preserve"> y 14 </w:t>
      </w:r>
      <w:r w:rsidRPr="009D7677">
        <w:rPr>
          <w:i/>
        </w:rPr>
        <w:t>quater</w:t>
      </w:r>
      <w:r>
        <w:t xml:space="preserve"> de la Ley de la Asamblea de Madrid 20/1998 por la Ley 11/2023, de 12 de abril, a la disposición adicional cuarta de la citada Ley 20/1998, en la redacción dada por la Ley 5/2022, que es objeto de impugnación por los recurrentes.</w:t>
      </w:r>
    </w:p>
    <w:p w14:paraId="2B25A060" w14:textId="77777777" w:rsidR="009D7677" w:rsidRDefault="009D7677" w:rsidP="009D7677">
      <w:pPr>
        <w:pStyle w:val="TextoNormal"/>
      </w:pPr>
    </w:p>
    <w:p w14:paraId="68B5E925" w14:textId="77777777" w:rsidR="009D7677" w:rsidRDefault="009D7677" w:rsidP="009D7677">
      <w:pPr>
        <w:pStyle w:val="TextoNormal"/>
      </w:pPr>
      <w:r>
        <w:t>La disposición adicional cuarta se refiere a las autorizaciones de arrendamiento de vehículos con conductor de ámbito nacional, domiciliadas en la Comunidad de Madrid, que existiesen en el momento de entrada en vigor de la ley impugnada. En concreto, la norma establece que tales autorizaciones seguirán habilitando para prestar servicios de carácter urbano en el ámbito de la Comunidad de Madrid tras la finalización de los periodos temporales establecidos en la disposición transitoria única del Real Decreto-ley 13/2018, de 28 de septiembre, si bien deberán cumplir los requisitos que se establezcan reglamentariamente.</w:t>
      </w:r>
    </w:p>
    <w:p w14:paraId="0A96D00D" w14:textId="77777777" w:rsidR="009D7677" w:rsidRDefault="009D7677" w:rsidP="009D7677">
      <w:pPr>
        <w:pStyle w:val="TextoNormal"/>
      </w:pPr>
    </w:p>
    <w:p w14:paraId="2DD91FD4" w14:textId="77777777" w:rsidR="009D7677" w:rsidRDefault="009D7677" w:rsidP="009D7677">
      <w:pPr>
        <w:pStyle w:val="TextoNormal"/>
      </w:pPr>
      <w:r>
        <w:t>La disposición impugnada responde, pues, a una situación excepcional que afectaba únicamente al servicio de transporte mediante VTC, pero no al servicio de transporte de viajeros en vehículos de turismo, a saber: la inminente pérdida de vigencia de las autorizaciones de VTC existentes a la entrada en vigor de la Ley impugnada y la consiguiente imposibilidad de que este servicio se prestase en los núcleos urbanos de la Comunidad de Madrid en tanto no comenzasen a ser expedidas las correspondientes autorizaciones. De modo que tampoco encontramos un término de comparación válido que permita sustentar el juicio de igualdad sobre la concreta disposición impugnada.</w:t>
      </w:r>
    </w:p>
    <w:p w14:paraId="02061058" w14:textId="77777777" w:rsidR="009D7677" w:rsidRDefault="009D7677" w:rsidP="009D7677">
      <w:pPr>
        <w:pStyle w:val="TextoNormal"/>
      </w:pPr>
    </w:p>
    <w:p w14:paraId="582F4D73" w14:textId="3DADB1A6" w:rsidR="009D7677" w:rsidRDefault="009D7677" w:rsidP="009D7677">
      <w:pPr>
        <w:pStyle w:val="TextoNormal"/>
      </w:pPr>
      <w:r>
        <w:t>En consecuencia, debemos desestimar la invocada vulneración del principio de igualdad.</w:t>
      </w:r>
    </w:p>
    <w:p w14:paraId="4625C502" w14:textId="77777777" w:rsidR="009D7677" w:rsidRDefault="009D7677" w:rsidP="009D7677">
      <w:pPr>
        <w:pStyle w:val="TextoNormal"/>
      </w:pPr>
    </w:p>
    <w:p w14:paraId="4EC070F4" w14:textId="77777777" w:rsidR="009D7677" w:rsidRDefault="009D7677" w:rsidP="009D7677">
      <w:pPr>
        <w:pStyle w:val="TextoNormalCentrado"/>
        <w:keepNext/>
      </w:pPr>
      <w:r>
        <w:t>FALLO</w:t>
      </w:r>
    </w:p>
    <w:p w14:paraId="54F37858" w14:textId="1B5CB60A" w:rsidR="009D7677" w:rsidRDefault="009D7677" w:rsidP="009D7677">
      <w:pPr>
        <w:pStyle w:val="TextoNormalCentrado"/>
        <w:keepNext/>
      </w:pPr>
    </w:p>
    <w:p w14:paraId="1E7E5662" w14:textId="43D5D92E" w:rsidR="009D7677" w:rsidRDefault="009D7677" w:rsidP="009D7677">
      <w:pPr>
        <w:pStyle w:val="TextoNormal"/>
      </w:pPr>
      <w:r>
        <w:t>En atención a todo lo expuesto, el Tribunal Constitucional, por la autoridad que le confiere la Constitución de la Nación española, ha decidido desestimar el recurso de inconstitucionalidad interpuesto por más de cincuenta diputados pertenecientes al Grupo Parlamentario Confederal de Unidas Podemos-En Comú Podem-Galicia en Común, al Grupo Parlamentario Republicano, al Grupo Parlamentario Euskal Herria Bildu, al Grupo Parla</w:t>
      </w:r>
      <w:r>
        <w:lastRenderedPageBreak/>
        <w:t xml:space="preserve">mentario Plural y al Grupo Mixto en el Congreso de los Diputados, contra la Ley de la Asamblea de Madrid 5/2022, de 9 de junio, por la que se modifica la Ley 20/1998, de 27 de noviembre, de ordenación y coordinación de los transportes urbanos de la Comunidad de Madrid y, subsidiariamente, contra la incorporación de una nueva sección segunda al capítulo III, que incluirá los artículos 14 </w:t>
      </w:r>
      <w:r w:rsidRPr="009D7677">
        <w:rPr>
          <w:i/>
        </w:rPr>
        <w:t>ter</w:t>
      </w:r>
      <w:r>
        <w:t xml:space="preserve">, números 1 y 2, y 14 </w:t>
      </w:r>
      <w:r w:rsidRPr="009D7677">
        <w:rPr>
          <w:i/>
        </w:rPr>
        <w:t>quater</w:t>
      </w:r>
      <w:r>
        <w:t>, con la siguiente rúbrica y contenido ‘Sección segunda. Transporte de viajeros en vehículos de arrendamiento con conductor’, y de la disposición adicional cuarta ‘Autorizaciones de arrendamiento de vehículos con conductor de ámbito nacional, domiciliadas en la Comunidad de Madrid’, a la citada Ley.</w:t>
      </w:r>
    </w:p>
    <w:p w14:paraId="68C9CEF9" w14:textId="77777777" w:rsidR="009D7677" w:rsidRDefault="009D7677" w:rsidP="009D7677">
      <w:pPr>
        <w:pStyle w:val="TextoNormal"/>
      </w:pPr>
    </w:p>
    <w:p w14:paraId="46CAD0FE" w14:textId="77777777" w:rsidR="009D7677" w:rsidRDefault="009D7677" w:rsidP="009D7677">
      <w:pPr>
        <w:pStyle w:val="TextoNormal"/>
      </w:pPr>
      <w:r>
        <w:t>Publíquese esta sentencia en el “Boletín Oficial del Estado”.</w:t>
      </w:r>
    </w:p>
    <w:p w14:paraId="0CDCF36B" w14:textId="77777777" w:rsidR="009D7677" w:rsidRDefault="009D7677" w:rsidP="009D7677">
      <w:pPr>
        <w:pStyle w:val="TextoNormal"/>
      </w:pPr>
      <w:r>
        <w:t>Dada en Madrid, a cinco de junio de dos mil veinticuatro.</w:t>
      </w:r>
    </w:p>
    <w:p w14:paraId="3C8853B2" w14:textId="54FFB43F" w:rsidR="009D7677" w:rsidRDefault="009D7677">
      <w:pPr>
        <w:spacing w:after="160" w:line="259" w:lineRule="auto"/>
        <w:rPr>
          <w:rFonts w:ascii="Times New Roman" w:eastAsia="Times New Roman" w:hAnsi="Times New Roman" w:cs="Times New Roman"/>
          <w:sz w:val="24"/>
          <w:szCs w:val="24"/>
          <w:lang w:eastAsia="es-ES"/>
        </w:rPr>
      </w:pPr>
      <w:r>
        <w:br w:type="page"/>
      </w:r>
    </w:p>
    <w:p w14:paraId="74DF9971" w14:textId="77777777" w:rsidR="009D7677" w:rsidRDefault="009D7677" w:rsidP="009D7677">
      <w:pPr>
        <w:pStyle w:val="TtuloResolucin"/>
      </w:pPr>
      <w:bookmarkStart w:id="91" w:name="SENTENCIA_2024_89"/>
      <w:r>
        <w:lastRenderedPageBreak/>
        <w:t>SENTENCIA 89/2024, de 5 de junio de 2024</w:t>
      </w:r>
    </w:p>
    <w:bookmarkEnd w:id="91"/>
    <w:p w14:paraId="69A4AE37" w14:textId="77777777" w:rsidR="009D7677" w:rsidRDefault="009D7677" w:rsidP="009D7677">
      <w:pPr>
        <w:pStyle w:val="TtuloResolucin"/>
      </w:pPr>
      <w:r>
        <w:t>Pleno</w:t>
      </w:r>
    </w:p>
    <w:p w14:paraId="08E136F0" w14:textId="77777777" w:rsidR="009D7677" w:rsidRDefault="009D7677" w:rsidP="009D7677">
      <w:pPr>
        <w:pStyle w:val="TtuloBOE"/>
      </w:pPr>
      <w:r>
        <w:t>(BOE núm. 164, de 8 de julio de 2024)</w:t>
      </w:r>
    </w:p>
    <w:p w14:paraId="7B36EC64" w14:textId="77777777" w:rsidR="009D7677" w:rsidRDefault="009D7677" w:rsidP="009D7677">
      <w:pPr>
        <w:pStyle w:val="TextoNormalCentrado"/>
      </w:pPr>
      <w:r>
        <w:t>ECLI:ES:TC:2024:89</w:t>
      </w:r>
    </w:p>
    <w:p w14:paraId="3D0F0FF0" w14:textId="05E34767" w:rsidR="009D7677" w:rsidRDefault="009D7677" w:rsidP="009D7677">
      <w:pPr>
        <w:pStyle w:val="TextoNormalCentrado"/>
      </w:pPr>
    </w:p>
    <w:p w14:paraId="42870006" w14:textId="77777777" w:rsidR="009D7677" w:rsidRDefault="009D7677" w:rsidP="009D7677">
      <w:pPr>
        <w:pStyle w:val="SntesisDescriptiva"/>
      </w:pPr>
      <w:r>
        <w:t>Recurso de inconstitucionalidad 6706-2022. Interpuesto por más de cincuenta diputados del grupo parlamentario Vox en el Congreso, en relación con diversos preceptos de la Ley 15/2022, de 12 de julio, integral para la igualdad de trato y la no discriminación.</w:t>
      </w:r>
    </w:p>
    <w:p w14:paraId="50FFAA35" w14:textId="35A2D30A" w:rsidR="009D7677" w:rsidRDefault="009D7677" w:rsidP="009D7677">
      <w:pPr>
        <w:pStyle w:val="SntesisDescriptiva"/>
      </w:pPr>
    </w:p>
    <w:p w14:paraId="6C3EA59A" w14:textId="77777777" w:rsidR="009D7677" w:rsidRDefault="009D7677" w:rsidP="009D7677">
      <w:pPr>
        <w:pStyle w:val="SntesisAnaltica"/>
      </w:pPr>
      <w:r>
        <w:t>Principios de pluralismo ideológico, igualdad y no discriminación, legalidad penal y objetividad de la actuación administrativa, libertades ideológica, de empresa y de enseñanza; reserva de ley orgánica: constitucionalidad de los preceptos legales relativos a la perspectiva de género en las políticas contra la discriminación, igualdad en acceso al empleo por cuenta ajena y a la vivienda, financiación pública de centros docentes que apliquen la educación diferenciada por sexos y tipificación de ilícitos administrativos. Votos particulares.</w:t>
      </w:r>
    </w:p>
    <w:p w14:paraId="3D975445" w14:textId="534A80DE" w:rsidR="009D7677" w:rsidRDefault="009D7677" w:rsidP="009D7677">
      <w:pPr>
        <w:pStyle w:val="SntesisAnaltica"/>
      </w:pPr>
    </w:p>
    <w:p w14:paraId="5B4E53B1" w14:textId="66ED9F0A" w:rsidR="009D7677" w:rsidRDefault="009D7677" w:rsidP="009D7677">
      <w:pPr>
        <w:pStyle w:val="Extracto"/>
      </w:pPr>
      <w:r>
        <w:t>1.</w:t>
      </w:r>
      <w:r>
        <w:tab/>
        <w:t>La incorporación de la perspectiva de género en los principios pedagógicos no impone adhesión ideológica y, lejos de comprometer la neutralidad ideológica del Estado, supone un avance en el respeto a los valores constitucionales (STC 34/2023) [FJ 2].</w:t>
      </w:r>
    </w:p>
    <w:p w14:paraId="74B32F42" w14:textId="77777777" w:rsidR="009D7677" w:rsidRDefault="009D7677" w:rsidP="009D7677">
      <w:pPr>
        <w:pStyle w:val="Extracto"/>
      </w:pPr>
    </w:p>
    <w:p w14:paraId="528B7DDF" w14:textId="79F52A07" w:rsidR="009D7677" w:rsidRDefault="009D7677" w:rsidP="009D7677">
      <w:pPr>
        <w:pStyle w:val="Extracto"/>
      </w:pPr>
      <w:r>
        <w:t>2.</w:t>
      </w:r>
      <w:r>
        <w:tab/>
        <w:t>Con la expresión normativa “con perspectiva de género”, referida a la educación sanitaria y a la formación de profesionales de la salud, se alude a una categoría de análisis de la realidad desigualitaria entre mujeres y hombres dirigida a alcanzar la igualdad material y efectiva y a un enfoque metodológico y un criterio hermenéutico transversal orientado a promover la igualdad entre mujeres y hombres, como parte esencial de una cultura de respeto y promoción de los derechos humanos; está desprovista de orientación ideológica alguna, más allá del respeto a los valores constitucionales (STC 44/2023) [FJ 2].</w:t>
      </w:r>
    </w:p>
    <w:p w14:paraId="1D2CBFE5" w14:textId="77777777" w:rsidR="009D7677" w:rsidRDefault="009D7677" w:rsidP="009D7677">
      <w:pPr>
        <w:pStyle w:val="Extracto"/>
      </w:pPr>
    </w:p>
    <w:p w14:paraId="68DAF293" w14:textId="2D9C99F6" w:rsidR="009D7677" w:rsidRDefault="009D7677" w:rsidP="009D7677">
      <w:pPr>
        <w:pStyle w:val="Extracto"/>
      </w:pPr>
      <w:r>
        <w:t>3.</w:t>
      </w:r>
      <w:r>
        <w:tab/>
        <w:t>En el ámbito de las relaciones privadas -como las que se desarrollan en los ámbitos del empleo y de la vivienda-, los derechos fundamentales y, entre ellos, el principio de igualdad, han de aplicarse matizadamente; pues han de hacerse compatibles con otros valores o parámetros que tienen su último origen en el principio de la autonomía de la voluntad, y que se manifiestan a través de los derechos y deberes que nacen de la relación contractual creada por las partes (STC 177/1988) [FJ 3].</w:t>
      </w:r>
    </w:p>
    <w:p w14:paraId="6DA827EB" w14:textId="77777777" w:rsidR="009D7677" w:rsidRDefault="009D7677" w:rsidP="009D7677">
      <w:pPr>
        <w:pStyle w:val="Extracto"/>
      </w:pPr>
    </w:p>
    <w:p w14:paraId="7AE1B04D" w14:textId="555CC007" w:rsidR="009D7677" w:rsidRDefault="009D7677" w:rsidP="009D7677">
      <w:pPr>
        <w:pStyle w:val="Extracto"/>
      </w:pPr>
      <w:r>
        <w:t>4.</w:t>
      </w:r>
      <w:r>
        <w:tab/>
        <w:t>La aplicación del principio de igualdad y no discriminación a las relaciones privadas prevé que pueda haber diferencias de trato siempre que obedezcan a criterios razonables y objetivos y se persiga un propósito legítimo respecto del que la diferenciación sea un medio adecuado, necesario y proporcionado. No bastará que la diferencia de trato tenga formalmente y en abstracto una justificación objetiva y razonable, sino que habrá de verificarse que no encubra o permita encubrir una discriminación contraria al art. 14 CE —discriminación indirecta— (SSTC 145/1991 o 153/2021) [FJ 3].</w:t>
      </w:r>
    </w:p>
    <w:p w14:paraId="4311EA5F" w14:textId="77777777" w:rsidR="009D7677" w:rsidRDefault="009D7677" w:rsidP="009D7677">
      <w:pPr>
        <w:pStyle w:val="Extracto"/>
      </w:pPr>
    </w:p>
    <w:p w14:paraId="6FC0809E" w14:textId="19985E03" w:rsidR="009D7677" w:rsidRDefault="009D7677" w:rsidP="009D7677">
      <w:pPr>
        <w:pStyle w:val="Extracto"/>
      </w:pPr>
      <w:r>
        <w:lastRenderedPageBreak/>
        <w:t>5.</w:t>
      </w:r>
      <w:r>
        <w:tab/>
        <w:t>Apoyándonos en la doctrina constitucional sobre la configuración del régimen de ayudas públicas del art. 27.9 CE, la diferencia de trato entre los centros educativos que separen al alumnado por razón de su género, a efectos de poder ser financiados total o parcialmente con fondos públicos, responde a una concepción del sistema educativo que, no solo no es arbitraria, sino que está inspirada en valores constitucionales, en concreto, la promoción por parte de los poderes públicos de las condiciones necesarias para que la libertad y la igualdad sean reales y efectivas</w:t>
      </w:r>
      <w:r w:rsidRPr="009D7677">
        <w:rPr>
          <w:i/>
        </w:rPr>
        <w:t xml:space="preserve"> ex </w:t>
      </w:r>
      <w:r>
        <w:t>arts. 1 y 9.2 CE (STC 34/2023) [FJ 4].</w:t>
      </w:r>
    </w:p>
    <w:p w14:paraId="1D35CA16" w14:textId="77777777" w:rsidR="009D7677" w:rsidRDefault="009D7677" w:rsidP="009D7677">
      <w:pPr>
        <w:pStyle w:val="Extracto"/>
      </w:pPr>
    </w:p>
    <w:p w14:paraId="300B51E1" w14:textId="3D51046C" w:rsidR="009D7677" w:rsidRDefault="009D7677" w:rsidP="009D7677">
      <w:pPr>
        <w:pStyle w:val="Extracto"/>
      </w:pPr>
      <w:r>
        <w:t>6.</w:t>
      </w:r>
      <w:r>
        <w:tab/>
        <w:t>Respecto del art. 16.1 CE, si bien la Constitución acoge un modelo educativo pluralista, que no prohíbe la educación diferenciada por sexos, esto no implica que todos los modelos educativos deban recibir ayudas públicas (STC 34/2023) [FJ 4].</w:t>
      </w:r>
    </w:p>
    <w:p w14:paraId="343FF68D" w14:textId="77777777" w:rsidR="009D7677" w:rsidRDefault="009D7677" w:rsidP="009D7677">
      <w:pPr>
        <w:pStyle w:val="Extracto"/>
      </w:pPr>
    </w:p>
    <w:p w14:paraId="4763504F" w14:textId="3CEB6B8D" w:rsidR="009D7677" w:rsidRDefault="009D7677" w:rsidP="009D7677">
      <w:pPr>
        <w:pStyle w:val="Extracto"/>
      </w:pPr>
      <w:r>
        <w:t>7.</w:t>
      </w:r>
      <w:r>
        <w:tab/>
        <w:t>La tipología de “ley orgánica” es precisa únicamente para la regulación de un derecho fundamental o de una libertad pública que ‘desarrolle’ la Constitución de manera directa y para la definición del derecho fundamental, ya sea en una regulación directa, general y global del mismo, ya sea en una parcial o sectorial, pero, igualmente, relativa a aspectos esenciales del derecho, y no, por parcial, menos directa o encaminada a contribuir a la delimitación y definición legal del derecho (STC 173/1998) [FJ 4].</w:t>
      </w:r>
    </w:p>
    <w:p w14:paraId="7626D005" w14:textId="77777777" w:rsidR="009D7677" w:rsidRDefault="009D7677" w:rsidP="009D7677">
      <w:pPr>
        <w:pStyle w:val="Extracto"/>
      </w:pPr>
    </w:p>
    <w:p w14:paraId="1595A191" w14:textId="7FEAF5FB" w:rsidR="009D7677" w:rsidRDefault="009D7677" w:rsidP="009D7677">
      <w:pPr>
        <w:pStyle w:val="Extracto"/>
      </w:pPr>
      <w:r>
        <w:t>8.</w:t>
      </w:r>
      <w:r>
        <w:tab/>
        <w:t>La vertiente formal del derecho a la legalidad sancionadora reconocido en el art. 25.1 CE se refiere al rango necesario de las normas sancionadoras e implica que el término “legislación vigente” contenido en el art. 25.1 CE es expresivo de una reserva de ley en materia sancionadora; ley que debe contener la determinación de los elementos esenciales de la conducta antijurídica. Y al reglamento solo puede corresponder, en su caso, el desarrollo y precisión de los tipos de infracciones previamente establecidos por la ley (SSTC 13/2013 o 14/2021) [FJ 5].</w:t>
      </w:r>
    </w:p>
    <w:p w14:paraId="2E8D2BB7" w14:textId="77777777" w:rsidR="009D7677" w:rsidRDefault="009D7677" w:rsidP="009D7677">
      <w:pPr>
        <w:pStyle w:val="Extracto"/>
      </w:pPr>
    </w:p>
    <w:p w14:paraId="4E3E4641" w14:textId="3CBABA23" w:rsidR="009D7677" w:rsidRDefault="009D7677" w:rsidP="009D7677">
      <w:pPr>
        <w:pStyle w:val="Extracto"/>
      </w:pPr>
      <w:r>
        <w:t>9.</w:t>
      </w:r>
      <w:r>
        <w:tab/>
        <w:t>La garantía material del derecho a la legalidad sancionadora reconocido en el art. 25.1 CE se concreta en la exigencia de predeterminación normativa de las conductas ilícitas, que hace recaer sobre la norma sancionadora el deber de configurarlas con la mayor precisión posible para que los ciudadanos puedan conocer de antemano el ámbito de lo proscrito y prever, así, las consecuencias de sus acciones. Esto exige que la norma sancionadora permita predecir con suficiente grado de certeza las conductas que constituyen infracción, sin que sean admisibles formulaciones tan abiertas por su amplitud, vaguedad o indefinición, que su efectividad dependa de una decisión prácticamente libre y arbitraria del intérprete y juzgador (SSTC 13/2013 o 14/2021) [FJ 5].</w:t>
      </w:r>
    </w:p>
    <w:p w14:paraId="6F80A346" w14:textId="77777777" w:rsidR="009D7677" w:rsidRDefault="009D7677" w:rsidP="009D7677">
      <w:pPr>
        <w:pStyle w:val="Extracto"/>
      </w:pPr>
    </w:p>
    <w:p w14:paraId="0E8D13E1" w14:textId="77777777" w:rsidR="009D7677" w:rsidRDefault="009D7677" w:rsidP="009D7677">
      <w:pPr>
        <w:pStyle w:val="Extracto"/>
      </w:pPr>
    </w:p>
    <w:p w14:paraId="5A05732B" w14:textId="77777777" w:rsidR="009D7677" w:rsidRDefault="009D7677" w:rsidP="009D7677">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22875829" w14:textId="6E33F330" w:rsidR="009D7677" w:rsidRDefault="009D7677" w:rsidP="009D7677">
      <w:pPr>
        <w:pStyle w:val="TextoNormal"/>
      </w:pPr>
    </w:p>
    <w:p w14:paraId="3D76CACD" w14:textId="77777777" w:rsidR="009D7677" w:rsidRDefault="009D7677" w:rsidP="009D7677">
      <w:pPr>
        <w:pStyle w:val="TextoNormalCentrado"/>
        <w:keepNext/>
      </w:pPr>
      <w:r>
        <w:t>EN NOMBRE DEL REY</w:t>
      </w:r>
    </w:p>
    <w:p w14:paraId="3B90FF0F" w14:textId="4495AF67" w:rsidR="009D7677" w:rsidRDefault="009D7677" w:rsidP="009D7677">
      <w:pPr>
        <w:pStyle w:val="TextoNormalCentrado"/>
        <w:keepNext/>
      </w:pPr>
    </w:p>
    <w:p w14:paraId="19EBD62C" w14:textId="77777777" w:rsidR="009D7677" w:rsidRDefault="009D7677" w:rsidP="009D7677">
      <w:pPr>
        <w:pStyle w:val="TextoNormalCentrado"/>
        <w:keepNext/>
      </w:pPr>
    </w:p>
    <w:p w14:paraId="324E3CEE" w14:textId="77777777" w:rsidR="009D7677" w:rsidRDefault="009D7677" w:rsidP="009D7677">
      <w:pPr>
        <w:pStyle w:val="TextoNormal"/>
      </w:pPr>
      <w:r>
        <w:t>la siguiente</w:t>
      </w:r>
    </w:p>
    <w:p w14:paraId="3FCB46C7" w14:textId="7467199B" w:rsidR="009D7677" w:rsidRDefault="009D7677" w:rsidP="009D7677">
      <w:pPr>
        <w:pStyle w:val="TextoNormal"/>
      </w:pPr>
    </w:p>
    <w:p w14:paraId="7C06F90B" w14:textId="77777777" w:rsidR="009D7677" w:rsidRDefault="009D7677" w:rsidP="009D7677">
      <w:pPr>
        <w:pStyle w:val="TextoNormalCentrado"/>
        <w:keepNext/>
      </w:pPr>
      <w:r>
        <w:t>SENTENCIA</w:t>
      </w:r>
    </w:p>
    <w:p w14:paraId="45A25A15" w14:textId="00669FA4" w:rsidR="009D7677" w:rsidRDefault="009D7677" w:rsidP="009D7677">
      <w:pPr>
        <w:pStyle w:val="TextoNormalCentrado"/>
        <w:keepNext/>
      </w:pPr>
    </w:p>
    <w:p w14:paraId="7DD06DF3" w14:textId="77777777" w:rsidR="009D7677" w:rsidRDefault="009D7677" w:rsidP="009D7677">
      <w:pPr>
        <w:pStyle w:val="TextoNormal"/>
      </w:pPr>
      <w:r>
        <w:t>En el recurso de inconstitucionalidad núm. 6706-2022, interpuesto por más de cincuenta diputados y diputadas del grupo parlamentario Vox en el Congreso, contra los arts. 4.4, 9.1, 13.2, 20.2, y 47, apartados 2, 3 d) y 4 d) de la Ley 15/2022, de 12 de julio, integral para la igualdad de trato y la no discriminación. Han comparecido el Congreso de los Diputados, el Senado y el Gobierno. Solo este último ha formulado alegaciones. Ha sido ponente la magistrada doña María Luisa Segoviano Astaburuaga.</w:t>
      </w:r>
    </w:p>
    <w:p w14:paraId="12560244" w14:textId="3DD05EC5" w:rsidR="009D7677" w:rsidRDefault="009D7677" w:rsidP="009D7677">
      <w:pPr>
        <w:pStyle w:val="TextoNormal"/>
      </w:pPr>
    </w:p>
    <w:p w14:paraId="1AE1564D" w14:textId="77777777" w:rsidR="009D7677" w:rsidRDefault="009D7677" w:rsidP="009D7677">
      <w:pPr>
        <w:pStyle w:val="TextoNormalNegritaCentrado"/>
        <w:keepNext/>
      </w:pPr>
      <w:r>
        <w:t>I. Antecedentes</w:t>
      </w:r>
    </w:p>
    <w:p w14:paraId="31DD2800" w14:textId="0C5458DA" w:rsidR="009D7677" w:rsidRDefault="009D7677" w:rsidP="009D7677">
      <w:pPr>
        <w:pStyle w:val="TextoNormalNegritaCentrado"/>
        <w:keepNext/>
      </w:pPr>
    </w:p>
    <w:p w14:paraId="72DEE99B" w14:textId="77777777" w:rsidR="009D7677" w:rsidRDefault="009D7677" w:rsidP="009D7677">
      <w:pPr>
        <w:pStyle w:val="TextoNormal"/>
      </w:pPr>
      <w:r w:rsidRPr="009D7677">
        <w:rPr>
          <w:rStyle w:val="NumeroAFNegritaCaracter"/>
        </w:rPr>
        <w:t>1</w:t>
      </w:r>
      <w:r>
        <w:t>. Mediante escrito presentado en el registro de este tribunal el 13 de octubre de 2022, el procurador de los tribunales don Antonio Ortega Fuentes, en representación de más de cincuenta diputados y diputadas del grupo parlamentario Vox en el Congreso, interpuso recurso de inconstitucionalidad contra los preceptos de la Ley 15/2022, de 12 de julio, integral para la igualdad de trato y la no discriminación (en adelante, Ley 15/2022), que se han citado en el encabezamiento. Dicha ley fue publicada en el “Boletín Oficial del Estado” núm. 167, de 13 de julio de 2022.</w:t>
      </w:r>
    </w:p>
    <w:p w14:paraId="6E74755A" w14:textId="77777777" w:rsidR="009D7677" w:rsidRDefault="009D7677" w:rsidP="009D7677">
      <w:pPr>
        <w:pStyle w:val="TextoNormal"/>
      </w:pPr>
    </w:p>
    <w:p w14:paraId="6157AEAE" w14:textId="77777777" w:rsidR="009D7677" w:rsidRDefault="009D7677" w:rsidP="009D7677">
      <w:pPr>
        <w:pStyle w:val="TextoNormal"/>
      </w:pPr>
      <w:r>
        <w:t>El recurso se fundamenta, en síntesis, en las siguientes alegaciones:</w:t>
      </w:r>
    </w:p>
    <w:p w14:paraId="3B9D10A9" w14:textId="77777777" w:rsidR="009D7677" w:rsidRDefault="009D7677" w:rsidP="009D7677">
      <w:pPr>
        <w:pStyle w:val="TextoNormal"/>
      </w:pPr>
    </w:p>
    <w:p w14:paraId="2EFC64D4" w14:textId="77777777" w:rsidR="009D7677" w:rsidRDefault="009D7677" w:rsidP="009D7677">
      <w:pPr>
        <w:pStyle w:val="TextoNormal"/>
      </w:pPr>
      <w:r>
        <w:t>a) Los recurrentes comienzan señalando que la Ley 15/2022 tiene como precedente el anteproyecto de Ley integral para la igualdad de trato y la no discriminación que fue presentado el 7 de enero de 2011 y sobre el que el Consejo General del Poder Judicial  emitió un informe el 24 de febrero de 2011, algunas de cuyas apreciaciones se siguen para la fundamentación del recurso.</w:t>
      </w:r>
    </w:p>
    <w:p w14:paraId="703A28B4" w14:textId="77777777" w:rsidR="009D7677" w:rsidRDefault="009D7677" w:rsidP="009D7677">
      <w:pPr>
        <w:pStyle w:val="TextoNormal"/>
      </w:pPr>
    </w:p>
    <w:p w14:paraId="600EDA7A" w14:textId="77777777" w:rsidR="009D7677" w:rsidRDefault="009D7677" w:rsidP="009D7677">
      <w:pPr>
        <w:pStyle w:val="TextoNormal"/>
      </w:pPr>
      <w:r>
        <w:t>Como consideración preliminar, la demanda recuerda, con cita de la STC 76/1983, de 5 de agosto, que, a pesar de que la Ley 15/2022 supone un desarrollo del derecho a la no discriminación contenido en el art. 14 CE, no se le puede exigir que tenga carácter orgánico, porque dicho precepto no figura entre los recogidos en la sección primera del capítulo II del título I de la Constitución española, que son los únicos que exigen ley orgánica, de acuerdo con lo dispuesto en el art. 81.1 CE. No obstante, si algún derecho de los establecidos en los arts. 15 a 29 CE estuvieran directamente afectados por algún precepto de la Ley 15/2022, este debería tener carácter orgánico, como se argumentará en relación con el art. 13.2.</w:t>
      </w:r>
    </w:p>
    <w:p w14:paraId="20CF4F1D" w14:textId="77777777" w:rsidR="009D7677" w:rsidRDefault="009D7677" w:rsidP="009D7677">
      <w:pPr>
        <w:pStyle w:val="TextoNormal"/>
      </w:pPr>
    </w:p>
    <w:p w14:paraId="0AA5C427" w14:textId="77777777" w:rsidR="009D7677" w:rsidRDefault="009D7677" w:rsidP="009D7677">
      <w:pPr>
        <w:pStyle w:val="TextoNormal"/>
      </w:pPr>
      <w:r>
        <w:t xml:space="preserve">b) Entrando en el primer motivo de inconstitucionalidad, afirma que el art. 4.4 de la Ley 15/2022 vulnera los arts. 1.1, 16.1 y 103.1 CE, al imponer la perspectiva de género en las políticas públicas contra la discriminación. Con ello crea la obligación legal para todos </w:t>
      </w:r>
      <w:r>
        <w:lastRenderedPageBreak/>
        <w:t>los poderes públicos de implementar políticas públicas que incorporen la perspectiva de género en el tratamiento del fenómeno de la discriminación. Esa perspectiva puede o no ser compartida, pero no cabe discutir que es puramente ideológica, en el sentido de que parte de una determinada idea y concepción del mundo y de la sociedad discutida y discutible.</w:t>
      </w:r>
    </w:p>
    <w:p w14:paraId="2950E648" w14:textId="77777777" w:rsidR="009D7677" w:rsidRDefault="009D7677" w:rsidP="009D7677">
      <w:pPr>
        <w:pStyle w:val="TextoNormal"/>
      </w:pPr>
    </w:p>
    <w:p w14:paraId="2790B8E2" w14:textId="77777777" w:rsidR="009D7677" w:rsidRDefault="009D7677" w:rsidP="009D7677">
      <w:pPr>
        <w:pStyle w:val="TextoNormal"/>
      </w:pPr>
      <w:r>
        <w:t>Argumenta que el Tribunal Constitucional ha declarado la neutralidad ideológica del Estado y de la administración pública, lo que impide establecer leyes que obliguen a los poderes públicos a basar su actuación en planteamientos ideológicos, en contra del pluralismo político reconocido por el art. 1.1 CE, la libertad ideológica garantizada por el art. 16.1 CE y la objetividad con la que debe actuar la administración, según el art. 103.1 CE.</w:t>
      </w:r>
    </w:p>
    <w:p w14:paraId="16794B05" w14:textId="77777777" w:rsidR="009D7677" w:rsidRDefault="009D7677" w:rsidP="009D7677">
      <w:pPr>
        <w:pStyle w:val="TextoNormal"/>
      </w:pPr>
    </w:p>
    <w:p w14:paraId="20D512A4" w14:textId="77777777" w:rsidR="009D7677" w:rsidRDefault="009D7677" w:rsidP="009D7677">
      <w:pPr>
        <w:pStyle w:val="TextoNormal"/>
      </w:pPr>
      <w:r>
        <w:t>Concluye afirmando que sostener la constitucionalidad del precepto supondría que el legislador podría, en el futuro, imponer por ley a todos los poderes públicos la implementación de políticas fundadas en cualquier postulado ideológico, lo que, a todas luces, vulnera la neutralidad exigida por el texto constitucional.</w:t>
      </w:r>
    </w:p>
    <w:p w14:paraId="05202799" w14:textId="77777777" w:rsidR="009D7677" w:rsidRDefault="009D7677" w:rsidP="009D7677">
      <w:pPr>
        <w:pStyle w:val="TextoNormal"/>
      </w:pPr>
    </w:p>
    <w:p w14:paraId="3FEE7245" w14:textId="77777777" w:rsidR="009D7677" w:rsidRDefault="009D7677" w:rsidP="009D7677">
      <w:pPr>
        <w:pStyle w:val="TextoNormal"/>
      </w:pPr>
      <w:r>
        <w:t>c) La segunda impugnación tiene por objeto el art. 9.1 de la Ley 15/2022, al que se imputa la infracción de la libertad de empresa (art. 38 CE), en cuanto no permite la libre contratación. Dicho precepto impide establecer limitaciones, segregaciones o exclusiones por razón de las causas previstas en la ley en el acceso y desarrollo de la relación laboral, tanto pública como privada. Con ello introduce una limitación absolutamente irrazonable y desproporcionada a la libertad de contratación, que es una dimensión de la libertad de empresa (cita las SSTC 119/2014, de 16 de julio, y 132/2019, de 13 de noviembre).</w:t>
      </w:r>
    </w:p>
    <w:p w14:paraId="2FC414F2" w14:textId="77777777" w:rsidR="009D7677" w:rsidRDefault="009D7677" w:rsidP="009D7677">
      <w:pPr>
        <w:pStyle w:val="TextoNormal"/>
      </w:pPr>
    </w:p>
    <w:p w14:paraId="7208BF6C" w14:textId="77777777" w:rsidR="009D7677" w:rsidRDefault="009D7677" w:rsidP="009D7677">
      <w:pPr>
        <w:pStyle w:val="TextoNormal"/>
      </w:pPr>
      <w:r>
        <w:t>Admite que alguna sentencia constitucional ha establecido que la libertad de contratación puede limitarse por razón de los derechos fundamentales de los trabajadores (cita la STC 140/2014, de 11 de septiembre, referida a la no renovación de un contrato laboral por motivos ideológicos) pero en el precepto que aquí se impugna se trata del mismo hecho de la contratación, en la que debe poder excluirse a determinadas personas por circunstancias razonables atendiendo a la naturaleza y características del trabajo ofertado (por ejemplo, no dominar un idioma o no tener las condiciones físicas requeridas).</w:t>
      </w:r>
    </w:p>
    <w:p w14:paraId="44E0EF0F" w14:textId="77777777" w:rsidR="009D7677" w:rsidRDefault="009D7677" w:rsidP="009D7677">
      <w:pPr>
        <w:pStyle w:val="TextoNormal"/>
      </w:pPr>
    </w:p>
    <w:p w14:paraId="797EC423" w14:textId="77777777" w:rsidR="009D7677" w:rsidRDefault="009D7677" w:rsidP="009D7677">
      <w:pPr>
        <w:pStyle w:val="TextoNormal"/>
      </w:pPr>
      <w:r>
        <w:t>Por tanto, lo inconstitucional no es prohibir legalmente la discriminación en el acceso o en la extinción de un contrato de trabajo, sino que no se prevea alguna circunstancia que justifique la no contratación. En todo caso, si el Tribunal Constitucional entendiera que cabe salvar la constitucionalidad del precepto porque hace referencia implícita a los arts. 2.2 y 4.2 de la Ley 15/2022, debería señalarlo expresamente.</w:t>
      </w:r>
    </w:p>
    <w:p w14:paraId="5E31E841" w14:textId="77777777" w:rsidR="009D7677" w:rsidRDefault="009D7677" w:rsidP="009D7677">
      <w:pPr>
        <w:pStyle w:val="TextoNormal"/>
      </w:pPr>
    </w:p>
    <w:p w14:paraId="58E88113" w14:textId="77777777" w:rsidR="009D7677" w:rsidRDefault="009D7677" w:rsidP="009D7677">
      <w:pPr>
        <w:pStyle w:val="TextoNormal"/>
      </w:pPr>
      <w:r>
        <w:t>d) En cuanto al art. 13.2 de la Ley 15/2022, conforme al cual los centros educativos que excluyan a grupos o personas por razón de alguna de las causas establecidas en la ley no podrán acogerse a ninguna forma de financiación pública, afirma que infringe el art. 27.3 CE, en relación con el art. 16.1 CE, al vulnerar el derecho de los padres a elegir la educación de sus hijos; el art. 14 CE, por discriminar por razones ideológicas, y el art. 81.1 CE, al no tener rango orgánico. A su juicio, es una regla taxativa que no parece permitir la aplicación de lo dispuesto en los arts. 2.2 y 4.4 de la propia Ley 15/2022.</w:t>
      </w:r>
    </w:p>
    <w:p w14:paraId="7B1E6628" w14:textId="77777777" w:rsidR="009D7677" w:rsidRDefault="009D7677" w:rsidP="009D7677">
      <w:pPr>
        <w:pStyle w:val="TextoNormal"/>
      </w:pPr>
    </w:p>
    <w:p w14:paraId="30CA8AEB" w14:textId="77777777" w:rsidR="009D7677" w:rsidRDefault="009D7677" w:rsidP="009D7677">
      <w:pPr>
        <w:pStyle w:val="TextoNormal"/>
      </w:pPr>
      <w:r>
        <w:lastRenderedPageBreak/>
        <w:t>Aquellos centros educativos que permitan el ingreso solo de chicos o chicas por aplicar la denominada “educación diferenciada” estarían excluidos de la financiación pública. Apunta que esta norma sigue la línea de la vigente —e impugnada ante el Tribunal Constitucional— disposición adicional vigésima quinta de la Ley Orgánica 3/2020, de 29 de diciembre, por la que se modifica la Ley Orgánica 2/2006, de 3 de mayo, de educación (LOE). Para los recurrentes, esta medida discrimina —paradójicamente, en una ley contra la discriminación— a quien defiende un modelo pedagógico y educativo que ha sido expresamente declarado por el Tribunal conforme al texto constitucional.</w:t>
      </w:r>
    </w:p>
    <w:p w14:paraId="67C64C26" w14:textId="77777777" w:rsidR="009D7677" w:rsidRDefault="009D7677" w:rsidP="009D7677">
      <w:pPr>
        <w:pStyle w:val="TextoNormal"/>
      </w:pPr>
    </w:p>
    <w:p w14:paraId="284A38C7" w14:textId="77777777" w:rsidR="009D7677" w:rsidRDefault="009D7677" w:rsidP="009D7677">
      <w:pPr>
        <w:pStyle w:val="TextoNormal"/>
      </w:pPr>
      <w:r>
        <w:t>La demanda recuerda que la STC 31/2018, de 10 de abril, ha declarado que la educación diferenciada no es discriminatoria, siempre que se cumplan ciertos requisitos de equiparabilidad entre los centros escolares y las enseñanzas a prestar en ellos. En dicha sentencia y otras posteriores se ha valorado que las ayudas públicas previstas en el art. 27.9 CE han de ser configuradas “en el respeto al principio de igualdad” (STC 86/1985, de 10 de julio, FJ 3), sin que quepa justificar un diferente tratamiento entre ambos modelos pedagógicos (diferenciado o no).</w:t>
      </w:r>
    </w:p>
    <w:p w14:paraId="02C71467" w14:textId="77777777" w:rsidR="009D7677" w:rsidRDefault="009D7677" w:rsidP="009D7677">
      <w:pPr>
        <w:pStyle w:val="TextoNormal"/>
      </w:pPr>
    </w:p>
    <w:p w14:paraId="21D0E8A0" w14:textId="77777777" w:rsidR="009D7677" w:rsidRDefault="009D7677" w:rsidP="009D7677">
      <w:pPr>
        <w:pStyle w:val="TextoNormal"/>
      </w:pPr>
      <w:r>
        <w:t>Por otra parte, la norma impugnada, dado que afecta de forma directa al contenido esencial del derecho fundamental de los padres a elegir la educación de sus hijos, debería haberse aprobado con rango orgánico, por lo que se ha vulnerado el art. 81.1 CE.</w:t>
      </w:r>
    </w:p>
    <w:p w14:paraId="4B4D3147" w14:textId="77777777" w:rsidR="009D7677" w:rsidRDefault="009D7677" w:rsidP="009D7677">
      <w:pPr>
        <w:pStyle w:val="TextoNormal"/>
      </w:pPr>
    </w:p>
    <w:p w14:paraId="424C6C02" w14:textId="77777777" w:rsidR="009D7677" w:rsidRDefault="009D7677" w:rsidP="009D7677">
      <w:pPr>
        <w:pStyle w:val="TextoNormal"/>
      </w:pPr>
      <w:r>
        <w:t>e) El art. 20.2, al igual que se indicó para el art. 9.1, es inconstitucional por vulnerar el art. 38 CE, al infringir la libertad de contratación. El precepto dispone que los prestadores de servicios inmobiliarios y cualquier otra persona que haga una oferta disponible para el público estarán obligados a respetar en sus operaciones comerciales el derecho a la igualdad de trato y no discriminación. Por tanto, no solo se aplica a profesionales del sector, sino también a particulares que directamente o mediante portales especializados ofrezcan un inmueble en venta o alquiler.</w:t>
      </w:r>
    </w:p>
    <w:p w14:paraId="710D9D8D" w14:textId="77777777" w:rsidR="009D7677" w:rsidRDefault="009D7677" w:rsidP="009D7677">
      <w:pPr>
        <w:pStyle w:val="TextoNormal"/>
      </w:pPr>
    </w:p>
    <w:p w14:paraId="5E01330A" w14:textId="77777777" w:rsidR="009D7677" w:rsidRDefault="009D7677" w:rsidP="009D7677">
      <w:pPr>
        <w:pStyle w:val="TextoNormal"/>
      </w:pPr>
      <w:r>
        <w:t>La demanda destaca que, según la norma impugnada, al particular que haga una oferta de alquiler o venta inmobiliaria se le impediría elegir con quién contratar, negándosele la opción de rechazar una oferta por concurrir en el ofertante determinadas circunstancias que, aunque en un contexto podrían resultar discriminatorias, en otro pueden ser razonables, justificadas y proporcionadas.</w:t>
      </w:r>
    </w:p>
    <w:p w14:paraId="4F2ED31C" w14:textId="77777777" w:rsidR="009D7677" w:rsidRDefault="009D7677" w:rsidP="009D7677">
      <w:pPr>
        <w:pStyle w:val="TextoNormal"/>
      </w:pPr>
    </w:p>
    <w:p w14:paraId="6F33F36A" w14:textId="77777777" w:rsidR="009D7677" w:rsidRDefault="009D7677" w:rsidP="009D7677">
      <w:pPr>
        <w:pStyle w:val="TextoNormal"/>
      </w:pPr>
      <w:r>
        <w:t>Al no preverse excepciones a la regla indicada y prohibir a los particulares la libre contratación, se vulnera la libertad de empresa. Cita el ATC 1069/1987, de 30 de septiembre, que reconoció el derecho que tiene cualquier persona a reclamar una prestación a una persona, y no a otra, por más que ambas estén en la misma situación deudora o infractora, sin que ello vulnere el art. 14 CE, aunque suponga una diferencia de trato. Lo mismo debe predicarse de la posibilidad de establecer condiciones contractuales diferentes en función de las circunstancias concurrentes, algo que no permite el precepto que se impugna.</w:t>
      </w:r>
    </w:p>
    <w:p w14:paraId="351B202C" w14:textId="77777777" w:rsidR="009D7677" w:rsidRDefault="009D7677" w:rsidP="009D7677">
      <w:pPr>
        <w:pStyle w:val="TextoNormal"/>
      </w:pPr>
    </w:p>
    <w:p w14:paraId="48502E8A" w14:textId="77777777" w:rsidR="009D7677" w:rsidRDefault="009D7677" w:rsidP="009D7677">
      <w:pPr>
        <w:pStyle w:val="TextoNormal"/>
      </w:pPr>
      <w:r>
        <w:t>Al igual que se señalaba en relación con el art. 9.1, el recurso interesa que, si el Tribunal Constitucional interpretara que cabe salvar la constitucionalidad del art. 20.2 porque se entiende implícita la referencia a los arts. 2.2 y 4.2 de la Ley, debería señalarlo expresamente.</w:t>
      </w:r>
    </w:p>
    <w:p w14:paraId="3BB606BB" w14:textId="77777777" w:rsidR="009D7677" w:rsidRDefault="009D7677" w:rsidP="009D7677">
      <w:pPr>
        <w:pStyle w:val="TextoNormal"/>
      </w:pPr>
    </w:p>
    <w:p w14:paraId="6178114A" w14:textId="77777777" w:rsidR="009D7677" w:rsidRDefault="009D7677" w:rsidP="009D7677">
      <w:pPr>
        <w:pStyle w:val="TextoNormal"/>
      </w:pPr>
      <w:r>
        <w:lastRenderedPageBreak/>
        <w:t>f) Por último, el recurso denuncia que son inconstitucionales los apartados 2, 3 d) y 4 d) del art. 47 de la Ley 15/2022, por infringir los arts. 9.3 y 25.1 CE, en cuanto a los principios de seguridad jurídica y tipicidad, debido a que se establecen como infracciones conductas que no se determinan con la suficiente precisión. El art. 47.2 dispone que serán infracciones leves “las conductas que incurran en irregularidades formales por la inobservancia de lo establecido en la presente ley y en su normativa de desarrollo, siempre que no generen o contengan un efecto discriminatorio, ni estén motivadas en una razón discriminatoria en los términos previstos en esta ley”. Así pues, no especifica qué se entiende por “irregularidades formales”, condiciona la posible infracción a lo que se diga a nivel reglamentario, que tampoco se identifica, y hace depender la infracción de un hecho negativo, como es que no haya efectiva discriminación ni intención discriminatoria.</w:t>
      </w:r>
    </w:p>
    <w:p w14:paraId="5FB10150" w14:textId="77777777" w:rsidR="009D7677" w:rsidRDefault="009D7677" w:rsidP="009D7677">
      <w:pPr>
        <w:pStyle w:val="TextoNormal"/>
      </w:pPr>
    </w:p>
    <w:p w14:paraId="19C585B2" w14:textId="77777777" w:rsidR="009D7677" w:rsidRDefault="009D7677" w:rsidP="009D7677">
      <w:pPr>
        <w:pStyle w:val="TextoNormal"/>
      </w:pPr>
      <w:r>
        <w:t>La demanda aduce que el citado informe del Consejo General del Poder Judicial, referido a una redacción análoga, ya alertó de esa inconcreción y de su posible inconstitucionalidad. E invoca la STC 13/2021, de 28 de enero, en la que se recopila la doctrina en torno al principio de tipicidad, según la cual son contrarios al art. 25.1 CE los tipos formulados en forma tan abierta que su aplicación o inaplicación dependa de una decisión prácticamente libre y arbitraria. Según dicha doctrina, aunque en el Derecho administrativo sancionador cabe la colaboración reglamentaria, en este caso, la remisión a un conjunto indeterminado de reglamentos dificulta el conocimiento de lo prohibido.</w:t>
      </w:r>
    </w:p>
    <w:p w14:paraId="1C7BD184" w14:textId="77777777" w:rsidR="009D7677" w:rsidRDefault="009D7677" w:rsidP="009D7677">
      <w:pPr>
        <w:pStyle w:val="TextoNormal"/>
      </w:pPr>
    </w:p>
    <w:p w14:paraId="618F3D24" w14:textId="77777777" w:rsidR="009D7677" w:rsidRDefault="009D7677" w:rsidP="009D7677">
      <w:pPr>
        <w:pStyle w:val="TextoNormal"/>
      </w:pPr>
      <w:r>
        <w:t>El recurso añade que la inconstitucionalidad del apartado 2 del art. 47 de la Ley 15/2022 alcanza a la letra d) del apartado 3, según la cual la comisión de tres o más infracciones leves constituye una infracción grave, y a la letra d) del apartado 4, conforme a la cual la comisión de tres o más infracciones graves constituye una muy grave.</w:t>
      </w:r>
    </w:p>
    <w:p w14:paraId="065B87D1" w14:textId="77777777" w:rsidR="009D7677" w:rsidRDefault="009D7677" w:rsidP="009D7677">
      <w:pPr>
        <w:pStyle w:val="TextoNormal"/>
      </w:pPr>
    </w:p>
    <w:p w14:paraId="66871046" w14:textId="007619FF" w:rsidR="009D7677" w:rsidRDefault="009D7677" w:rsidP="009D7677">
      <w:pPr>
        <w:pStyle w:val="TextoNormal"/>
      </w:pPr>
      <w:r>
        <w:t>La demanda concluye solicitando la declaración de inconstitucionalidad y nulidad de los preceptos impugnados.</w:t>
      </w:r>
    </w:p>
    <w:p w14:paraId="3FB16AC0" w14:textId="77777777" w:rsidR="009D7677" w:rsidRDefault="009D7677" w:rsidP="009D7677">
      <w:pPr>
        <w:pStyle w:val="TextoNormal"/>
      </w:pPr>
    </w:p>
    <w:p w14:paraId="3BD49F3C" w14:textId="412D5519" w:rsidR="009D7677" w:rsidRDefault="009D7677" w:rsidP="009D7677">
      <w:pPr>
        <w:pStyle w:val="TextoNormal"/>
      </w:pPr>
      <w:r w:rsidRPr="009D7677">
        <w:rPr>
          <w:rStyle w:val="NumeroAFNegritaCaracter"/>
        </w:rPr>
        <w:t>2</w:t>
      </w:r>
      <w:r>
        <w:t>. Por providencia de 16 de noviembre de 2022, el Pleno del Tribunal acordó la admisión a trámite del recurso, dando traslado al Congreso de los Diputados, al Senado y al Gobierno, para que pudieran personarse y formular las alegaciones que estimaran convenientes, así como publicar la incoación del proceso en el “Boletín Oficial del Estado” (lo que tuvo lugar en el núm. 282, de 24 de noviembre de 2022).</w:t>
      </w:r>
    </w:p>
    <w:p w14:paraId="7681E002" w14:textId="77777777" w:rsidR="009D7677" w:rsidRDefault="009D7677" w:rsidP="009D7677">
      <w:pPr>
        <w:pStyle w:val="TextoNormal"/>
      </w:pPr>
    </w:p>
    <w:p w14:paraId="72D4BB1B" w14:textId="2FF4E3B0" w:rsidR="009D7677" w:rsidRDefault="009D7677" w:rsidP="009D7677">
      <w:pPr>
        <w:pStyle w:val="TextoNormal"/>
      </w:pPr>
      <w:r w:rsidRPr="009D7677">
        <w:rPr>
          <w:rStyle w:val="NumeroAFNegritaCaracter"/>
        </w:rPr>
        <w:t>3</w:t>
      </w:r>
      <w:r>
        <w:t>. A través de un escrito registrado el 1 de diciembre de 2022 la presidenta del Congreso de los Diputados puso en conocimiento de este tribunal el acuerdo adoptado por la mesa dando por personada a la Cámara en el procedimiento y por ofrecida su colaboración a los efectos del art. 88.1 de la Ley Orgánica del Tribunal Constitucional. En la misma fecha tuvo entrada en el registro una comunicación del presidente del Senado de igual contenido.</w:t>
      </w:r>
    </w:p>
    <w:p w14:paraId="1A41F987" w14:textId="77777777" w:rsidR="009D7677" w:rsidRDefault="009D7677" w:rsidP="009D7677">
      <w:pPr>
        <w:pStyle w:val="TextoNormal"/>
      </w:pPr>
    </w:p>
    <w:p w14:paraId="768AAEC4" w14:textId="088C6435" w:rsidR="009D7677" w:rsidRDefault="009D7677" w:rsidP="009D7677">
      <w:pPr>
        <w:pStyle w:val="TextoNormal"/>
      </w:pPr>
      <w:r w:rsidRPr="009D7677">
        <w:rPr>
          <w:rStyle w:val="NumeroAFNegritaCaracter"/>
        </w:rPr>
        <w:t>4</w:t>
      </w:r>
      <w:r>
        <w:t>. El 14 de diciembre de 2022 se registró un escrito del abogado del Estado por el que se personaba en el proceso y solicitaba la prórroga del plazo concedido para formular alegaciones por el máximo legal. Por diligencia de ordenación del secretario de justicia del Pleno del mismo día, se le tuvo por personado y se le prorrogó en ocho días más el plazo concedido.</w:t>
      </w:r>
    </w:p>
    <w:p w14:paraId="7AF7C520" w14:textId="77777777" w:rsidR="009D7677" w:rsidRDefault="009D7677" w:rsidP="009D7677">
      <w:pPr>
        <w:pStyle w:val="TextoNormal"/>
      </w:pPr>
    </w:p>
    <w:p w14:paraId="2A698D55" w14:textId="77777777" w:rsidR="009D7677" w:rsidRDefault="009D7677" w:rsidP="009D7677">
      <w:pPr>
        <w:pStyle w:val="TextoNormal"/>
      </w:pPr>
      <w:r w:rsidRPr="009D7677">
        <w:rPr>
          <w:rStyle w:val="NumeroAFNegritaCaracter"/>
        </w:rPr>
        <w:t>5</w:t>
      </w:r>
      <w:r>
        <w:t>. El 27 de diciembre de 2022 presentó sus alegaciones el abogado del Estado, en las que expone lo siguiente:</w:t>
      </w:r>
    </w:p>
    <w:p w14:paraId="27D9AF42" w14:textId="77777777" w:rsidR="009D7677" w:rsidRDefault="009D7677" w:rsidP="009D7677">
      <w:pPr>
        <w:pStyle w:val="TextoNormal"/>
      </w:pPr>
    </w:p>
    <w:p w14:paraId="2D84BD84" w14:textId="77777777" w:rsidR="009D7677" w:rsidRDefault="009D7677" w:rsidP="009D7677">
      <w:pPr>
        <w:pStyle w:val="TextoNormal"/>
      </w:pPr>
      <w:r>
        <w:t xml:space="preserve">a) Comienza subrayando la posición preferente que ocupa el principio de igualdad en la Constitución. Recuerda que el Tribunal ha venido declarando (por todas, STC 200/2001, de 4 de octubre, FJ 4) la ilegitimidad constitucional de los tratamientos diferenciados basados en los motivos o razones de discriminación del art. 14 CE. Asimismo, tiene declarado que, a diferencia del principio genérico de igualdad, que no postula ni como fin ni como medio la paridad y solo exige la razonabilidad de la diferencia normativa de trato, las prohibiciones de discriminación contenidas en el art. 14 CE implican un juicio de irrazonabilidad de la diferenciación establecida </w:t>
      </w:r>
      <w:r w:rsidRPr="009D7677">
        <w:rPr>
          <w:i/>
        </w:rPr>
        <w:t>ex constitutione</w:t>
      </w:r>
      <w:r>
        <w:t>, que imponen como fin y como medio la parificación, de manera que solo pueden ser utilizadas excepcionalmente por el legislador como criterio de diferenciación jurídica, lo que implica la necesidad de usar en el juicio de legitimidad constitucional un canon mucho más estricto, así como un mayor rigor respecto a las exigencias materiales de proporcionalidad (por todas, STC 126/1997, de 3 de julio, FJ 8).</w:t>
      </w:r>
    </w:p>
    <w:p w14:paraId="096310D3" w14:textId="77777777" w:rsidR="009D7677" w:rsidRDefault="009D7677" w:rsidP="009D7677">
      <w:pPr>
        <w:pStyle w:val="TextoNormal"/>
      </w:pPr>
    </w:p>
    <w:p w14:paraId="684B70AD" w14:textId="77777777" w:rsidR="009D7677" w:rsidRDefault="009D7677" w:rsidP="009D7677">
      <w:pPr>
        <w:pStyle w:val="TextoNormal"/>
      </w:pPr>
      <w:r>
        <w:t>El abogado del Estado señala que la Ley 15/2022 aspira a convertirse en el mínimo común normativo del Derecho antidiscriminatorio español, no solo de sus definiciones, sino también de sus garantías básicas, ya que en su estado actual, la dificultad de la lucha contra la discriminación no se halla tanto en el reconocimiento del problema como en la protección real y efectiva de las víctimas.</w:t>
      </w:r>
    </w:p>
    <w:p w14:paraId="63A514E5" w14:textId="77777777" w:rsidR="009D7677" w:rsidRDefault="009D7677" w:rsidP="009D7677">
      <w:pPr>
        <w:pStyle w:val="TextoNormal"/>
      </w:pPr>
    </w:p>
    <w:p w14:paraId="4583BD77" w14:textId="77777777" w:rsidR="009D7677" w:rsidRDefault="009D7677" w:rsidP="009D7677">
      <w:pPr>
        <w:pStyle w:val="TextoNormal"/>
      </w:pPr>
      <w:r>
        <w:t>Por lo que se refiere al contenido del recurso, resalta lo dispuesto en los arts. 2.2 y 4.2 de la ley, que prevén las diferencias de trato por criterios razonables y objetivos cuando se persiga un propósito legítimo respecto del que la diferenciación sea un medio adecuado, necesario y proporcionado. Subraya que dichos preceptos se encuadran en el título preliminar y en las disposiciones generales del título I de la ley, respectivamente, por lo que son aplicables a toda ella.</w:t>
      </w:r>
    </w:p>
    <w:p w14:paraId="5F2CE4EE" w14:textId="77777777" w:rsidR="009D7677" w:rsidRDefault="009D7677" w:rsidP="009D7677">
      <w:pPr>
        <w:pStyle w:val="TextoNormal"/>
      </w:pPr>
    </w:p>
    <w:p w14:paraId="51D84ADB" w14:textId="77777777" w:rsidR="009D7677" w:rsidRDefault="009D7677" w:rsidP="009D7677">
      <w:pPr>
        <w:pStyle w:val="TextoNormal"/>
      </w:pPr>
      <w:r>
        <w:t>b) Analizando el primer motivo de inconstitucionalidad, afirma que los conceptos de género y perspectiva de género están formulados jurídicamente desde hace más de dos décadas en varios acuerdos internacionales ratificados por España y no pueden considerarse novedosos ni “ideológicos”. Recuerda que la perspectiva de género se concibe como un instrumento orientado a lograr la igualdad entre mujeres y hombres, reconocida, entre otros, en la Declaración universal de los derechos humanos; en la Convención sobre la eliminación de todas las formas de discriminación contra la mujer; en el Pacto internacional de derechos civiles y políticos y en el Convenio europeo de derechos humanos. A nivel comunitario, este derecho se encuentra reconocido, entre otros, en el Tratado de funcionamiento y en la Carta de los derechos fundamentales de la Unión Europea, así como en varias directivas, como la 2006/54/CE del Parlamento Europeo y del Consejo, de 5 de julio de 2006, y la 2004/113/CE, del Consejo, de 13 de diciembre de 2004.</w:t>
      </w:r>
    </w:p>
    <w:p w14:paraId="6C2FB534" w14:textId="77777777" w:rsidR="009D7677" w:rsidRDefault="009D7677" w:rsidP="009D7677">
      <w:pPr>
        <w:pStyle w:val="TextoNormal"/>
      </w:pPr>
    </w:p>
    <w:p w14:paraId="553D5C85" w14:textId="77777777" w:rsidR="009D7677" w:rsidRDefault="009D7677" w:rsidP="009D7677">
      <w:pPr>
        <w:pStyle w:val="TextoNormal"/>
      </w:pPr>
      <w:r>
        <w:t xml:space="preserve">Por tanto, la incorporación de la perspectiva de género debe interpretarse como un mandato a los poderes públicos para aprobar medidas que garanticen el derecho a la igualdad y a la no discriminación por razón de sexo en cumplimiento de obligaciones asumidas internacionalmente y de los arts. 1.1, 9.2 y 14 CE. En suma, la mención a la perspectiva de </w:t>
      </w:r>
      <w:r>
        <w:lastRenderedPageBreak/>
        <w:t>género es una herramienta necesaria para alcanzar la igualdad efectiva entre mujeres y hombres reconocida en la Carta Magna, sin que pueda considerarse como una imposición ideológica.</w:t>
      </w:r>
    </w:p>
    <w:p w14:paraId="34375803" w14:textId="77777777" w:rsidR="009D7677" w:rsidRDefault="009D7677" w:rsidP="009D7677">
      <w:pPr>
        <w:pStyle w:val="TextoNormal"/>
      </w:pPr>
    </w:p>
    <w:p w14:paraId="75F561CB" w14:textId="77777777" w:rsidR="009D7677" w:rsidRDefault="009D7677" w:rsidP="009D7677">
      <w:pPr>
        <w:pStyle w:val="TextoNormal"/>
      </w:pPr>
      <w:r>
        <w:t>c) A continuación, el abogado del Estado examina la tacha formulada al art. 9.1, por vulneración del art. 38 CE, al no permitir razones justificadas que amparen la libre contratación de trabajadores. Comienza precisando que del objeto del recurso debe eliminarse la dimensión referida al empleo público, respecto del que nada se alega.</w:t>
      </w:r>
    </w:p>
    <w:p w14:paraId="0E8741D4" w14:textId="77777777" w:rsidR="009D7677" w:rsidRDefault="009D7677" w:rsidP="009D7677">
      <w:pPr>
        <w:pStyle w:val="TextoNormal"/>
      </w:pPr>
    </w:p>
    <w:p w14:paraId="19A14D62" w14:textId="77777777" w:rsidR="009D7677" w:rsidRDefault="009D7677" w:rsidP="009D7677">
      <w:pPr>
        <w:pStyle w:val="TextoNormal"/>
      </w:pPr>
      <w:r>
        <w:t>Así centrada la impugnación, el art. 9.1 debe interpretarse a la luz de los arts. 2.2 y 4.2 que, como se ha indicado, tienen un carácter transversal, sin que para ello sea necesario forzar la interpretación del precepto impugnado ni hacer una interpretación “salvadora” de este. El representante del Gobierno invoca la doctrina constitucional según la cual la negativa a contratar o renovar a un trabajador es jurídicamente relevante desde el momento en que se prueba que se ha debido a un motivo discriminatorio (STC 173/1994, de 7 de junio, FJ 3). Asimismo, el Tribunal ha establecido que en el terreno de la aptitud profesional lo decisivo es la naturaleza y características del trabajo efectivamente prestado y la consiguiente exigencia de aquellas cualificaciones estrictamente necesarias para desarrollar con eficacia la prestación convenida (SSTC 58/1994, de 28 de febrero, FJ 6, y 147/1995, de 16 de octubre, FJ 6).</w:t>
      </w:r>
    </w:p>
    <w:p w14:paraId="2F2A464F" w14:textId="77777777" w:rsidR="009D7677" w:rsidRDefault="009D7677" w:rsidP="009D7677">
      <w:pPr>
        <w:pStyle w:val="TextoNormal"/>
      </w:pPr>
    </w:p>
    <w:p w14:paraId="1FE0C09A" w14:textId="77777777" w:rsidR="009D7677" w:rsidRDefault="009D7677" w:rsidP="009D7677">
      <w:pPr>
        <w:pStyle w:val="TextoNormal"/>
      </w:pPr>
      <w:r>
        <w:t>Argumenta que el art. 9.1 de la Ley busca evitar no solo la discriminación patente, sino también la encubierta (directa e indirecta) que podría darse mediante decisiones aparentemente neutras adoptadas bajo el paraguas de la libertad de empresa o de la autonomía de la voluntad, en apoyo de lo cual cita la STC 13/2001, de 29 de enero, FJ 8.</w:t>
      </w:r>
    </w:p>
    <w:p w14:paraId="7F91A13A" w14:textId="77777777" w:rsidR="009D7677" w:rsidRDefault="009D7677" w:rsidP="009D7677">
      <w:pPr>
        <w:pStyle w:val="TextoNormal"/>
      </w:pPr>
    </w:p>
    <w:p w14:paraId="0CB0D183" w14:textId="77777777" w:rsidR="009D7677" w:rsidRDefault="009D7677" w:rsidP="009D7677">
      <w:pPr>
        <w:pStyle w:val="TextoNormal"/>
      </w:pPr>
      <w:r>
        <w:t>A la vista de las normas y jurisprudencia aplicables, concluye que es constitucional la prohibición de la introducción de limitaciones, segregaciones o exclusiones en el ámbito de las relaciones laborales, por razón de las causas previstas en la Ley.</w:t>
      </w:r>
    </w:p>
    <w:p w14:paraId="3436C4B5" w14:textId="77777777" w:rsidR="009D7677" w:rsidRDefault="009D7677" w:rsidP="009D7677">
      <w:pPr>
        <w:pStyle w:val="TextoNormal"/>
      </w:pPr>
    </w:p>
    <w:p w14:paraId="634A6BF8" w14:textId="77777777" w:rsidR="009D7677" w:rsidRDefault="009D7677" w:rsidP="009D7677">
      <w:pPr>
        <w:pStyle w:val="TextoNormal"/>
      </w:pPr>
      <w:r>
        <w:t>d) En cuanto al art. 13.2, referido al acceso a la financiación pública de los centros educativos que excluyan a los alumnos por alguna de las causas establecidas en la Ley, el abogado del Estado comienza precisando que la demanda solo aborda el caso específico de la educación diferenciada por sexos.</w:t>
      </w:r>
    </w:p>
    <w:p w14:paraId="252F1181" w14:textId="77777777" w:rsidR="009D7677" w:rsidRDefault="009D7677" w:rsidP="009D7677">
      <w:pPr>
        <w:pStyle w:val="TextoNormal"/>
      </w:pPr>
    </w:p>
    <w:p w14:paraId="1E0AF6A1" w14:textId="77777777" w:rsidR="009D7677" w:rsidRDefault="009D7677" w:rsidP="009D7677">
      <w:pPr>
        <w:pStyle w:val="TextoNormal"/>
      </w:pPr>
      <w:r>
        <w:t>Al respecto, afirma que el legislador puede elegir, siempre sin contravenir la Constitución, hacia dónde orientar los fondos públicos para cumplir con el mandato del art. 9.2 CE. El precepto impugnado no prohíbe el modelo educativo diferenciado por sexo, por lo que no afecta a los arts. 14 y 27.3 CE. Solamente excluye de financiación pública a dichos centros y a todos aquellos que impidan el acceso a individuos o grupos de personas por los supuestos discriminatorios establecidos en el art. 2.1 de la Ley 15/2022. Tanto esta como la Ley Orgánica de educación incorporan un criterio de acceso a la financiación que es plenamente razonable desde una perspectiva constitucional, ya que el derecho a la subvención no nace para los centros educativos de la Constitución, sino de la ley, y el legislador puede, sin infringir el art. 14 CE, diferenciar entre supuestos y hasta debe hacerlo, en obediencia a otros preceptos constitucionales, cuando su acción se orienta a la adjudicación de prestaciones a particulares (con cita de la STC 86/1985, de 10 de julio, FJ 3).</w:t>
      </w:r>
    </w:p>
    <w:p w14:paraId="2706A370" w14:textId="77777777" w:rsidR="009D7677" w:rsidRDefault="009D7677" w:rsidP="009D7677">
      <w:pPr>
        <w:pStyle w:val="TextoNormal"/>
      </w:pPr>
    </w:p>
    <w:p w14:paraId="18D4BF67" w14:textId="77777777" w:rsidR="009D7677" w:rsidRDefault="009D7677" w:rsidP="009D7677">
      <w:pPr>
        <w:pStyle w:val="TextoNormal"/>
      </w:pPr>
      <w:r>
        <w:lastRenderedPageBreak/>
        <w:t>Por último, respecto del rango del art. 13.2, alega, con base en la STC 173/1998, de 23 de julio, FJ 7, que este no tiene por objeto el desarrollo de un derecho fundamental ni de sus aspectos esenciales, por lo que no requiere carácter orgánico.</w:t>
      </w:r>
    </w:p>
    <w:p w14:paraId="3221A3A2" w14:textId="77777777" w:rsidR="009D7677" w:rsidRDefault="009D7677" w:rsidP="009D7677">
      <w:pPr>
        <w:pStyle w:val="TextoNormal"/>
      </w:pPr>
    </w:p>
    <w:p w14:paraId="3E11B999" w14:textId="77777777" w:rsidR="009D7677" w:rsidRDefault="009D7677" w:rsidP="009D7677">
      <w:pPr>
        <w:pStyle w:val="TextoNormal"/>
      </w:pPr>
      <w:r>
        <w:t>e) En lo referente al art. 20.2, en materia de acceso a la vivienda, el abogado del Estado aduce que, al igual que el art. 9.1, en relación con la contratación de trabajadores, es una manifestación de la eficacia horizontal de los derechos fundamentales, recogida en la jurisprudencia del Tribunal Constitucional. Argumenta que también aquí la propia demanda reconoce la falta de fundamento de la impugnación. En efecto, los arts. 2.2 y 4.2 tienen una eficacia transversal y no necesitan ser reiterados en cada precepto. No es preciso salvar la constitucionalidad del precepto —como piden los recurrentes— para llegar a este resultado, que es indudablemente el querido por la Ley.</w:t>
      </w:r>
    </w:p>
    <w:p w14:paraId="1C512D80" w14:textId="77777777" w:rsidR="009D7677" w:rsidRDefault="009D7677" w:rsidP="009D7677">
      <w:pPr>
        <w:pStyle w:val="TextoNormal"/>
      </w:pPr>
    </w:p>
    <w:p w14:paraId="09B818A5" w14:textId="77777777" w:rsidR="009D7677" w:rsidRDefault="009D7677" w:rsidP="009D7677">
      <w:pPr>
        <w:pStyle w:val="TextoNormal"/>
      </w:pPr>
      <w:r>
        <w:t>f) Por último, en cuanto a la alegada inconstitucionalidad de los apartados 2, 3 d) y 4 d) del art. 47 de la Ley 15/2022, el representante del Gobierno manifiesta que la conducta tipificada en ellos está suficientemente delimitada. Debe tratarse de una irregularidad formal que no genere efecto discriminatorio ni esté motivada en una razón discriminatoria, en cuyo caso sería grave.</w:t>
      </w:r>
    </w:p>
    <w:p w14:paraId="797F6788" w14:textId="77777777" w:rsidR="009D7677" w:rsidRDefault="009D7677" w:rsidP="009D7677">
      <w:pPr>
        <w:pStyle w:val="TextoNormal"/>
      </w:pPr>
    </w:p>
    <w:p w14:paraId="009A4642" w14:textId="77777777" w:rsidR="009D7677" w:rsidRDefault="009D7677" w:rsidP="009D7677">
      <w:pPr>
        <w:pStyle w:val="TextoNormal"/>
      </w:pPr>
      <w:r>
        <w:t>Sostiene que el precepto impugnado cumple con todas las exigencias constitucionales: el potencial infractor puede conocer con certeza las consecuencias que puede tener su acción o inacción. La remisión a la “normativa de desarrollo” no se refiere a que el desarrollo reglamentario de la ley pueda configurar nuevos tipos de infracciones leves, sino a que pueda concretar cuáles han de ser las obligaciones formales, especificando las previsiones legales.</w:t>
      </w:r>
    </w:p>
    <w:p w14:paraId="64EB0C0E" w14:textId="77777777" w:rsidR="009D7677" w:rsidRDefault="009D7677" w:rsidP="009D7677">
      <w:pPr>
        <w:pStyle w:val="TextoNormal"/>
      </w:pPr>
    </w:p>
    <w:p w14:paraId="7D327F61" w14:textId="77777777" w:rsidR="009D7677" w:rsidRDefault="009D7677" w:rsidP="009D7677">
      <w:pPr>
        <w:pStyle w:val="TextoNormal"/>
      </w:pPr>
      <w:r>
        <w:t>Como ejemplo de obligación formal, cuyo incumplimiento constituye una infracción leve, cita lo previsto en el art. 44.3 de la Ley sobre la obligación de colaborar con la Autoridad Independiente para la Igualdad de Trato y la No Discriminación; o la previsión de que, por vía reglamentaria, se pueda imponer a las empresas de más de 250 trabajadores la obligación de publicar la información salarial necesaria para analizar los factores de las diferencias salariales (art. 9.6 de la ley). Por tanto, el desarrollo reglamentario de esta previsión concretaría las condiciones de desarrollo de la obligación formal prevista en la ley.</w:t>
      </w:r>
    </w:p>
    <w:p w14:paraId="5C56A568" w14:textId="77777777" w:rsidR="009D7677" w:rsidRDefault="009D7677" w:rsidP="009D7677">
      <w:pPr>
        <w:pStyle w:val="TextoNormal"/>
      </w:pPr>
    </w:p>
    <w:p w14:paraId="0A668FD4" w14:textId="03145CCE" w:rsidR="009D7677" w:rsidRDefault="009D7677" w:rsidP="009D7677">
      <w:pPr>
        <w:pStyle w:val="TextoNormal"/>
      </w:pPr>
      <w:r>
        <w:t>El abogado del Estado termina solicitando la desestimación íntegra del recurso.</w:t>
      </w:r>
    </w:p>
    <w:p w14:paraId="05C3B44C" w14:textId="77777777" w:rsidR="009D7677" w:rsidRDefault="009D7677" w:rsidP="009D7677">
      <w:pPr>
        <w:pStyle w:val="TextoNormal"/>
      </w:pPr>
    </w:p>
    <w:p w14:paraId="539EB9FC" w14:textId="0B51D46A" w:rsidR="009D7677" w:rsidRDefault="009D7677" w:rsidP="009D7677">
      <w:pPr>
        <w:pStyle w:val="TextoNormal"/>
      </w:pPr>
      <w:r w:rsidRPr="009D7677">
        <w:rPr>
          <w:rStyle w:val="NumeroAFNegritaCaracter"/>
        </w:rPr>
        <w:t>6</w:t>
      </w:r>
      <w:r>
        <w:t>. Mediante providencia de 4 de junio de 2024 se señaló para deliberación y fallo de la presente sentencia el día 5 del mismo mes y año.</w:t>
      </w:r>
    </w:p>
    <w:p w14:paraId="29AFFEA7" w14:textId="77777777" w:rsidR="009D7677" w:rsidRDefault="009D7677" w:rsidP="009D7677">
      <w:pPr>
        <w:pStyle w:val="TextoNormal"/>
      </w:pPr>
    </w:p>
    <w:p w14:paraId="6E604815" w14:textId="77777777" w:rsidR="009D7677" w:rsidRDefault="009D7677" w:rsidP="009D7677">
      <w:pPr>
        <w:pStyle w:val="TextoNormalNegritaCentrado"/>
        <w:keepNext/>
      </w:pPr>
      <w:r>
        <w:t>II. Fundamentos jurídicos</w:t>
      </w:r>
    </w:p>
    <w:p w14:paraId="429D9D7C" w14:textId="33AF7D22" w:rsidR="009D7677" w:rsidRDefault="009D7677" w:rsidP="009D7677">
      <w:pPr>
        <w:pStyle w:val="TextoNormalNegritaCentrado"/>
        <w:keepNext/>
      </w:pPr>
    </w:p>
    <w:p w14:paraId="1A104009" w14:textId="77777777" w:rsidR="009D7677" w:rsidRDefault="009D7677" w:rsidP="009D7677">
      <w:pPr>
        <w:pStyle w:val="TextoNormal"/>
      </w:pPr>
      <w:r w:rsidRPr="009D7677">
        <w:rPr>
          <w:rStyle w:val="NumeroAFNegritaCaracter"/>
        </w:rPr>
        <w:t>1</w:t>
      </w:r>
      <w:r>
        <w:t xml:space="preserve">. </w:t>
      </w:r>
      <w:r w:rsidRPr="009D7677">
        <w:rPr>
          <w:i/>
        </w:rPr>
        <w:t>Objeto del recurso de inconstitucionalidad</w:t>
      </w:r>
    </w:p>
    <w:p w14:paraId="3C6F9D27" w14:textId="77777777" w:rsidR="009D7677" w:rsidRDefault="009D7677" w:rsidP="009D7677">
      <w:pPr>
        <w:pStyle w:val="TextoNormal"/>
      </w:pPr>
    </w:p>
    <w:p w14:paraId="2F90BB86" w14:textId="77777777" w:rsidR="009D7677" w:rsidRDefault="009D7677" w:rsidP="009D7677">
      <w:pPr>
        <w:pStyle w:val="TextoNormal"/>
      </w:pPr>
      <w:r>
        <w:t xml:space="preserve">Más de cincuenta diputados y diputadas del grupo parlamentario Vox en el Congreso promueven recurso de inconstitucionalidad contra los arts. 4.4, 9.1, 13.2, 20.2, y 47, apartados 2, 3 d) y 4 d), de la Ley 15/2022, de 12 de julio, integral para la igualdad de trato y la no discriminación (en adelante, Ley 15/2022), imputándoles diversas vulneraciones </w:t>
      </w:r>
      <w:r>
        <w:lastRenderedPageBreak/>
        <w:t>sustantivas y, además, respecto del art. 13.2, la infracción de la reserva de ley orgánica. En el apartado de los antecedentes han quedado detallados los argumentos de los recurrentes y los esgrimidos por el abogado del Estado. Sobre ambos se volverá al examinar cada impugnación.</w:t>
      </w:r>
    </w:p>
    <w:p w14:paraId="11B28244" w14:textId="77777777" w:rsidR="009D7677" w:rsidRDefault="009D7677" w:rsidP="009D7677">
      <w:pPr>
        <w:pStyle w:val="TextoNormal"/>
      </w:pPr>
    </w:p>
    <w:p w14:paraId="6C623B5E" w14:textId="564B6A77" w:rsidR="009D7677" w:rsidRDefault="009D7677" w:rsidP="009D7677">
      <w:pPr>
        <w:pStyle w:val="TextoNormal"/>
      </w:pPr>
      <w:r>
        <w:t>Corresponde a este tribunal, en función de las circunstancias concurrentes, determinar el orden del examen de las quejas planteadas [por todas, STC 183/2021, de 27 de octubre, FJ 2 C)]. En este caso, seguiremos el orden de la demanda, salvo en lo que respecta al art. 20.2, que analizaremos junto con el art. 9.1, ya que su fundamento impugnatorio es coincidente.</w:t>
      </w:r>
    </w:p>
    <w:p w14:paraId="0BBAC245" w14:textId="77777777" w:rsidR="009D7677" w:rsidRDefault="009D7677" w:rsidP="009D7677">
      <w:pPr>
        <w:pStyle w:val="TextoNormal"/>
      </w:pPr>
    </w:p>
    <w:p w14:paraId="000F79B6" w14:textId="77777777" w:rsidR="009D7677" w:rsidRDefault="009D7677" w:rsidP="009D7677">
      <w:pPr>
        <w:pStyle w:val="TextoNormal"/>
      </w:pPr>
      <w:r w:rsidRPr="009D7677">
        <w:rPr>
          <w:rStyle w:val="NumeroAFNegritaCaracter"/>
        </w:rPr>
        <w:t>2</w:t>
      </w:r>
      <w:r>
        <w:t xml:space="preserve">. </w:t>
      </w:r>
      <w:r w:rsidRPr="009D7677">
        <w:rPr>
          <w:i/>
        </w:rPr>
        <w:t xml:space="preserve">La perspectiva de género en las políticas contra la discriminación (art. 4.4) </w:t>
      </w:r>
    </w:p>
    <w:p w14:paraId="2695D4D8" w14:textId="77777777" w:rsidR="009D7677" w:rsidRDefault="009D7677" w:rsidP="009D7677">
      <w:pPr>
        <w:pStyle w:val="TextoNormal"/>
      </w:pPr>
    </w:p>
    <w:p w14:paraId="5B47A9B3" w14:textId="77777777" w:rsidR="009D7677" w:rsidRDefault="009D7677" w:rsidP="009D7677">
      <w:pPr>
        <w:pStyle w:val="TextoNormal"/>
      </w:pPr>
      <w:r>
        <w:t>a) La demanda aduce que el art. 4.4 de la Ley 15/2022, al imponer la perspectiva de género en las políticas públicas contra la discriminación, incorpora un planteamiento puramente ideológico, en contra del pluralismo político reconocido por el art. 1.1 CE, la libertad ideológica garantizada por el art. 16.1 CE y la objetividad con la que debe actuar la administración, según el art. 103.1 CE.</w:t>
      </w:r>
    </w:p>
    <w:p w14:paraId="06FA19E2" w14:textId="77777777" w:rsidR="009D7677" w:rsidRDefault="009D7677" w:rsidP="009D7677">
      <w:pPr>
        <w:pStyle w:val="TextoNormal"/>
      </w:pPr>
    </w:p>
    <w:p w14:paraId="16669BB3" w14:textId="77777777" w:rsidR="009D7677" w:rsidRDefault="009D7677" w:rsidP="009D7677">
      <w:pPr>
        <w:pStyle w:val="TextoNormal"/>
      </w:pPr>
      <w:r>
        <w:t>b) El abogado del Estado, por el contrario, argumenta que los conceptos de género y perspectiva de género están reconocidos desde hace décadas en diversos acuerdos e instrumentos internacionales ratificados por España, en el Derecho de la Unión Europea e interno y en la doctrina constitucional. No son conceptos ideológicos, sino reflejo del mandato a los poderes públicos para adoptar medidas que garanticen el derecho a la igualdad y a la no discriminación por razón de sexo, en cumplimiento de los arts. 1.1, 9.2 y 14 CE.</w:t>
      </w:r>
    </w:p>
    <w:p w14:paraId="56AB845F" w14:textId="77777777" w:rsidR="009D7677" w:rsidRDefault="009D7677" w:rsidP="009D7677">
      <w:pPr>
        <w:pStyle w:val="TextoNormal"/>
      </w:pPr>
    </w:p>
    <w:p w14:paraId="2AC567B2" w14:textId="77777777" w:rsidR="009D7677" w:rsidRDefault="009D7677" w:rsidP="009D7677">
      <w:pPr>
        <w:pStyle w:val="TextoNormal"/>
      </w:pPr>
      <w:r>
        <w:t>c) El precepto impugnado dispone lo siguiente:</w:t>
      </w:r>
    </w:p>
    <w:p w14:paraId="7D890026" w14:textId="77777777" w:rsidR="009D7677" w:rsidRDefault="009D7677" w:rsidP="009D7677">
      <w:pPr>
        <w:pStyle w:val="TextoNormal"/>
      </w:pPr>
    </w:p>
    <w:p w14:paraId="6D1F851C" w14:textId="77777777" w:rsidR="009D7677" w:rsidRDefault="009D7677" w:rsidP="009D7677">
      <w:pPr>
        <w:pStyle w:val="TextoNormal"/>
      </w:pPr>
      <w:r>
        <w:t>“Artículo 4. El derecho a la igualdad de trato y no discriminación</w:t>
      </w:r>
    </w:p>
    <w:p w14:paraId="2821D4CE" w14:textId="77777777" w:rsidR="009D7677" w:rsidRDefault="009D7677" w:rsidP="009D7677">
      <w:pPr>
        <w:pStyle w:val="TextoNormal"/>
      </w:pPr>
    </w:p>
    <w:p w14:paraId="1B27BBAA" w14:textId="77777777" w:rsidR="009D7677" w:rsidRDefault="009D7677" w:rsidP="009D7677">
      <w:pPr>
        <w:pStyle w:val="TextoNormal"/>
      </w:pPr>
      <w:r>
        <w:t>[…]</w:t>
      </w:r>
    </w:p>
    <w:p w14:paraId="538905ED" w14:textId="77777777" w:rsidR="009D7677" w:rsidRDefault="009D7677" w:rsidP="009D7677">
      <w:pPr>
        <w:pStyle w:val="TextoNormal"/>
      </w:pPr>
    </w:p>
    <w:p w14:paraId="2F6ACA73" w14:textId="77777777" w:rsidR="009D7677" w:rsidRDefault="009D7677" w:rsidP="009D7677">
      <w:pPr>
        <w:pStyle w:val="TextoNormal"/>
      </w:pPr>
      <w:r>
        <w:t>4. En las políticas contra la discriminación se tendrá en cuenta la perspectiva de género y se prestará especial atención a su impacto en las mujeres y las niñas como obstáculo al acceso a derechos como la educación, el empleo, la salud, el acceso a la justicia y el derecho a una vida libre de violencias, entre otros”.</w:t>
      </w:r>
    </w:p>
    <w:p w14:paraId="30004A0D" w14:textId="77777777" w:rsidR="009D7677" w:rsidRDefault="009D7677" w:rsidP="009D7677">
      <w:pPr>
        <w:pStyle w:val="TextoNormal"/>
      </w:pPr>
    </w:p>
    <w:p w14:paraId="4AD4C3FD" w14:textId="77777777" w:rsidR="009D7677" w:rsidRDefault="009D7677" w:rsidP="009D7677">
      <w:pPr>
        <w:pStyle w:val="TextoNormal"/>
      </w:pPr>
      <w:r>
        <w:t>d) Como observa el abogado del Estado, la importancia de la perspectiva de género se viene reconociendo desde hace décadas tanto en el ámbito internacional, como en el entorno de la Unión Europea y en nuestra normativa interna, a través de la legislación dictada en desarrollo del derecho a la igualdad entre mujeres y hombres (art. 14 CE).</w:t>
      </w:r>
    </w:p>
    <w:p w14:paraId="57F524E5" w14:textId="77777777" w:rsidR="009D7677" w:rsidRDefault="009D7677" w:rsidP="009D7677">
      <w:pPr>
        <w:pStyle w:val="TextoNormal"/>
      </w:pPr>
    </w:p>
    <w:p w14:paraId="054A13AC" w14:textId="77777777" w:rsidR="009D7677" w:rsidRDefault="009D7677" w:rsidP="009D7677">
      <w:pPr>
        <w:pStyle w:val="TextoNormal"/>
      </w:pPr>
      <w:r>
        <w:t>Así, en el ámbito de las Naciones Unidas, la Declaración y plataforma de acción de Beijing de 1995 defendió la incorporación de la perspectiva de género —</w:t>
      </w:r>
      <w:r w:rsidRPr="009D7677">
        <w:rPr>
          <w:i/>
        </w:rPr>
        <w:t>gender mainstreaming</w:t>
      </w:r>
      <w:r>
        <w:t xml:space="preserve">— como enfoque metodológico para alcanzar los compromisos en materia de igualdad de género (anexo I, Declaración de Beijing, punto 38). En su sesión de 18 de julio de 1997, el Comité Económico y Social de Naciones Unidas definió la perspectiva de </w:t>
      </w:r>
      <w:r>
        <w:lastRenderedPageBreak/>
        <w:t>género como “una estrategia destinada a hacer que las preocupaciones y experiencias de las mujeres, así como de los hombres, sean un elemento integrante de la elaboración, la aplicación, la supervisión y la evaluación de las políticas y los programas en todas las esferas políticas, económicas y sociales, a fin de que las mujeres y los hombres se beneficien por igual y se impida que se perpetúe la desigualdad. El objetivo final es lograr la igualdad [sustantiva] entre los géneros” [</w:t>
      </w:r>
      <w:r w:rsidRPr="009D7677">
        <w:rPr>
          <w:i/>
        </w:rPr>
        <w:t>UN Economic and Social Council (ECOSOC), UN Economic and Social Council Resolution 1997/2: Agreed Conclusions, 18 July</w:t>
      </w:r>
      <w:r>
        <w:t>].</w:t>
      </w:r>
    </w:p>
    <w:p w14:paraId="34A49445" w14:textId="77777777" w:rsidR="009D7677" w:rsidRDefault="009D7677" w:rsidP="009D7677">
      <w:pPr>
        <w:pStyle w:val="TextoNormal"/>
      </w:pPr>
    </w:p>
    <w:p w14:paraId="7505DEAA" w14:textId="77777777" w:rsidR="009D7677" w:rsidRDefault="009D7677" w:rsidP="009D7677">
      <w:pPr>
        <w:pStyle w:val="TextoNormal"/>
      </w:pPr>
      <w:r>
        <w:t>En el entorno de la Unión Europea, con la entrada en vigor el día 1 de mayo de 1999 del Tratado de Amsterdam, se inició una nueva etapa en el proceso de construcción europea y, especialmente, en materia de igualdad de oportunidades entre hombres y mujeres. En este contexto, la promoción de la igualdad entre hombres y mujeres en todas las políticas y la eliminación de las desigualdades constituye una de las prioridades a tener en cuenta en el diseño de las políticas de la Unión. Como complemento a los objetivos de la acción comunitaria se aprobó la Decisión del Consejo de 20 de diciembre de 2000, por la que se establece un programa de acción comunitaria sobre la estrategia a seguir en materia de igualdad entre hombres y mujeres (2001-2005), destacando que en la misma se articula la evaluación del impacto en función del sexo en distintos ámbitos de intervención de la estrategia marco comunitaria (vida económica, social, vida civil, roles, etc.), como una de las acciones a emprender para el logro de los objetivos mencionados en el referido programa.</w:t>
      </w:r>
    </w:p>
    <w:p w14:paraId="0689135B" w14:textId="77777777" w:rsidR="009D7677" w:rsidRDefault="009D7677" w:rsidP="009D7677">
      <w:pPr>
        <w:pStyle w:val="TextoNormal"/>
      </w:pPr>
    </w:p>
    <w:p w14:paraId="272AA310" w14:textId="77777777" w:rsidR="009D7677" w:rsidRDefault="009D7677" w:rsidP="009D7677">
      <w:pPr>
        <w:pStyle w:val="TextoNormal"/>
      </w:pPr>
      <w:r>
        <w:t xml:space="preserve">Asimismo, la Comisión Europea, ante la constatación de que hay decisiones políticas que, en principio, parecen no sexistas, pero pueden tener un diferente impacto en las mujeres y en los hombres, a pesar de que dicha consecuencia ni estuviera prevista ni se deseara, aprobó la Comunicación sobre la transversalidad </w:t>
      </w:r>
      <w:r w:rsidRPr="009D7677">
        <w:rPr>
          <w:i/>
        </w:rPr>
        <w:t>mainstreaming</w:t>
      </w:r>
      <w:r>
        <w:t xml:space="preserve"> COM (96) 67 final, de 21 de febrero de 1996, “Integrar la igualdad de oportunidades entre hombres y mujeres en el conjunto de las políticas y acciones comunitarias”, como un primer paso hacia la realización del compromiso de la Unión Europea de integrar la perspectiva de género en el conjunto de las políticas comunitarias, y elaboró una </w:t>
      </w:r>
      <w:r w:rsidRPr="009D7677">
        <w:rPr>
          <w:i/>
        </w:rPr>
        <w:t>Guía para la evaluación del impacto en función del género</w:t>
      </w:r>
      <w:r>
        <w:t xml:space="preserve"> diseñada para proyectarse en el seno de la Comisión con objeto de evitar consecuencias negativas no intencionales que favorezcan situaciones de discriminación y para mejorar la calidad y la eficacia de las políticas comunitarias.</w:t>
      </w:r>
    </w:p>
    <w:p w14:paraId="084873F6" w14:textId="77777777" w:rsidR="009D7677" w:rsidRDefault="009D7677" w:rsidP="009D7677">
      <w:pPr>
        <w:pStyle w:val="TextoNormal"/>
      </w:pPr>
    </w:p>
    <w:p w14:paraId="1F076B30" w14:textId="77777777" w:rsidR="009D7677" w:rsidRDefault="009D7677" w:rsidP="009D7677">
      <w:pPr>
        <w:pStyle w:val="TextoNormal"/>
      </w:pPr>
      <w:r>
        <w:t>e) Con base en dichos precedentes, la perspectiva de género se ha venido integrando progresivamente en el ordenamiento interno. Cabe citar, en primer lugar, la Ley 30/2003, de 13 de octubre, sobre medidas para incorporar la valoración del impacto de género en las disposiciones normativas que elabore el Gobierno. Poco después, la Ley Orgánica 1/2004, de 28 de diciembre, de medidas de protección integral contra la violencia de género, introdujo “la perspectiva de las relaciones de género” en la elaboración del Plan estatal de sensibilización y prevención de la violencia de género [art. 3.1 a)].</w:t>
      </w:r>
    </w:p>
    <w:p w14:paraId="10E5BBC1" w14:textId="77777777" w:rsidR="009D7677" w:rsidRDefault="009D7677" w:rsidP="009D7677">
      <w:pPr>
        <w:pStyle w:val="TextoNormal"/>
      </w:pPr>
    </w:p>
    <w:p w14:paraId="11EAF65E" w14:textId="77777777" w:rsidR="009D7677" w:rsidRDefault="009D7677" w:rsidP="009D7677">
      <w:pPr>
        <w:pStyle w:val="TextoNormal"/>
      </w:pPr>
      <w:r>
        <w:t>Un hito especialmente relevante fue la Ley Orgánica 3/2007, de 22 de marzo, para la igualdad efectiva de mujeres y hombres, cuya pauta quiere culminar la Ley 15/2022 (vid. preámbulo, apartado II). Dicha ley orgánica se refiere a la perspectiva de género cuando afirma que “[l]a ordenación general de las políticas públicas, bajo la óptica del principio de igualdad y la perspectiva de género, se plasma en el establecimiento de criterios de actuación de todos los poderes públicos en los que se integra activamente, de un modo ex</w:t>
      </w:r>
      <w:r>
        <w:lastRenderedPageBreak/>
        <w:t>preso y operativo, dicho principio” añadiendo que ese enfoque se proyecta también en las políticas sectoriales “como la educativa, la sanitaria, la artística y cultural, de la sociedad de la información, de desarrollo rural o de vivienda, deporte, cultura, ordenación del territorio o de cooperación internacional para el desarrollo” (preámbulo, apartado III).</w:t>
      </w:r>
    </w:p>
    <w:p w14:paraId="018F8E23" w14:textId="77777777" w:rsidR="009D7677" w:rsidRDefault="009D7677" w:rsidP="009D7677">
      <w:pPr>
        <w:pStyle w:val="TextoNormal"/>
      </w:pPr>
    </w:p>
    <w:p w14:paraId="48233475" w14:textId="77777777" w:rsidR="009D7677" w:rsidRDefault="009D7677" w:rsidP="009D7677">
      <w:pPr>
        <w:pStyle w:val="TextoNormal"/>
      </w:pPr>
      <w:r>
        <w:t xml:space="preserve">Entre otras normas nacionales que han consolidado la perspectiva de género como categoría de análisis de la realidad cabe citar, sin ánimo exhaustivo, las siguientes: (i) la Ley Orgánica 5/2018, de 28 de diciembre, de reforma de la Ley Orgánica 6/1985, de 1 de julio, del Poder Judicial, sobre medidas urgentes en aplicación del Pacto de Estado en materia de violencia de género, que incluye un mandato de refuerzo de la capacitación judicial en “Derecho antidiscriminatorio, incluyendo la perspectiva de género y la transversalidad” (medida núm. 160 del Pacto en materia de violencia de género en relación con las pruebas de especialización y la formación continua); (ii) la Ley Orgánica 3/2020, de 29 de diciembre, de modificación de la Ley Orgánica de educación, que ha añadido la perspectiva de género a los principios pedagógicos (arts. 22.3 y 35.1); (iii) la Ley Orgánica 10/2022, de 6 de septiembre, de garantía integral de la libertad sexual, que introduce la perspectiva de género en aspectos tales como la organización de los espacios públicos (art. 16) y la formación de colectivos como los miembros de las Fuerzas y Cuerpos de Seguridad, los jueces y fiscales, el personal al servicio de la administración de Justicia, los abogados y el personal penitenciario, etc. (arts. 26-30); y (iv) la Ley Orgánica 1/2023, de 28 de febrero, por la que se modifica la Ley Orgánica 2/2010, de 3 de marzo, de salud sexual y reproductiva y de la interrupción voluntaria del embarazo, que recoge este enfoque en ámbitos como la investigación científica en materia de salud [arts. 5.2 f) y 11 </w:t>
      </w:r>
      <w:r w:rsidRPr="009D7677">
        <w:rPr>
          <w:i/>
        </w:rPr>
        <w:t>bis</w:t>
      </w:r>
      <w:r>
        <w:t xml:space="preserve">], la atención psicológica [arts. 7 </w:t>
      </w:r>
      <w:r w:rsidRPr="009D7677">
        <w:rPr>
          <w:i/>
        </w:rPr>
        <w:t>bis</w:t>
      </w:r>
      <w:r>
        <w:t xml:space="preserve"> k)] y la educación y formación sanitarias [arts. 5.1 f) y 8].</w:t>
      </w:r>
    </w:p>
    <w:p w14:paraId="6507EC04" w14:textId="77777777" w:rsidR="009D7677" w:rsidRDefault="009D7677" w:rsidP="009D7677">
      <w:pPr>
        <w:pStyle w:val="TextoNormal"/>
      </w:pPr>
    </w:p>
    <w:p w14:paraId="13820479" w14:textId="77777777" w:rsidR="009D7677" w:rsidRDefault="009D7677" w:rsidP="009D7677">
      <w:pPr>
        <w:pStyle w:val="TextoNormal"/>
      </w:pPr>
      <w:r>
        <w:t>La Ley 15/2022 se enmarca en este contexto legislativo. Según su preámbulo “tiene la vocación de convertirse en el mínimo común normativo que contenga las definiciones fundamentales del derecho antidiscriminatorio español y, al mismo tiempo, albergue sus garantías básicas […] siguiendo la pauta normativa de la Ley Orgánica 3/2007, de 22 de marzo, para la igualdad efectiva de mujeres y hombres, culminando así un proceso de iniciativas legislativas a favor de la igualdad de trato y la no discriminación que se han venido desarrollando y que han situado a España en la vanguardia de los países más avanzados en políticas de igualdad” (apartado II). Se concibe como “una ley general, frente a las leyes sectoriales, que opera a modo de legislación general de protección ante cualquier discriminación”, que pretende continuar con los “grandes avances en esta materia durante los últimos años, especialmente en género”, entre los que menciona las leyes orgánicas 1/2004 y 3/2007, así como la firma del Pacto de Estado contra la violencia de género en diciembre de 2017 (apartado III).</w:t>
      </w:r>
    </w:p>
    <w:p w14:paraId="56F74AF4" w14:textId="77777777" w:rsidR="009D7677" w:rsidRDefault="009D7677" w:rsidP="009D7677">
      <w:pPr>
        <w:pStyle w:val="TextoNormal"/>
      </w:pPr>
    </w:p>
    <w:p w14:paraId="649272F2" w14:textId="77777777" w:rsidR="009D7677" w:rsidRDefault="009D7677" w:rsidP="009D7677">
      <w:pPr>
        <w:pStyle w:val="TextoNormal"/>
      </w:pPr>
      <w:r>
        <w:t xml:space="preserve">f) A la vista de lo anterior, cabe concluir que la introducción en el art. 4.4 de la perspectiva de género en las políticas contra la discriminación se integra con naturalidad en la evolución normativa expuesta y en el propósito y finalidad de la Ley 15/2022. En la STC 34/2023, de 18 de abril, FJ 7 e), razonábamos que la incorporación de la perspectiva de género en los principios pedagógicos de la Ley Orgánica de educación (por la citada Ley Orgánica 3/2020) no impone ninguna adhesión ideológica y lo conectábamos precisamente con el aquí impugnado art. 4.4 de la Ley 15/2022, en concreto, en la vertiente de la discriminación de las mujeres y las niñas en el acceso a la educación. Como resulta de dicho pronunciamiento, la perspectiva de género, lejos de comprometer la neutralidad ideológica </w:t>
      </w:r>
      <w:r>
        <w:lastRenderedPageBreak/>
        <w:t>del Estado, supone un avance en el respeto a los valores constitucionales, especialmente, los recogidos en los arts. 1.1, 9.2 y 14 CE.</w:t>
      </w:r>
    </w:p>
    <w:p w14:paraId="6ED2CAF7" w14:textId="77777777" w:rsidR="009D7677" w:rsidRDefault="009D7677" w:rsidP="009D7677">
      <w:pPr>
        <w:pStyle w:val="TextoNormal"/>
      </w:pPr>
    </w:p>
    <w:p w14:paraId="424D3420" w14:textId="77777777" w:rsidR="009D7677" w:rsidRDefault="009D7677" w:rsidP="009D7677">
      <w:pPr>
        <w:pStyle w:val="TextoNormal"/>
      </w:pPr>
      <w:r>
        <w:t>En el mismo sentido, en la STC 44/2023, de 9 de mayo, FJ 10, al enjuiciar los preceptos de la citada Ley Orgánica 2/2010, concernientes a la educación sanitaria y a la formación de profesionales de la salud con perspectiva de género, hemos constatado que con esta expresión se alude a una “categoría de análisis de la realidad desigualitaria entre mujeres y hombres dirigida a alcanzar la igualdad material y efectiva” y a un “enfoque metodológico y un criterio hermenéutico transversal orientado a promover la igualdad entre mujeres y hombres, como parte esencial de una cultura de respeto y promoción de los derechos humanos”. Y hemos confirmado que está desprovista de orientación ideológica alguna, más allá del respeto a los valores constitucionales.</w:t>
      </w:r>
    </w:p>
    <w:p w14:paraId="6B2F5312" w14:textId="77777777" w:rsidR="009D7677" w:rsidRDefault="009D7677" w:rsidP="009D7677">
      <w:pPr>
        <w:pStyle w:val="TextoNormal"/>
      </w:pPr>
    </w:p>
    <w:p w14:paraId="32CFFA8F" w14:textId="1192C151" w:rsidR="009D7677" w:rsidRDefault="009D7677" w:rsidP="009D7677">
      <w:pPr>
        <w:pStyle w:val="TextoNormal"/>
      </w:pPr>
      <w:r>
        <w:t>Por consiguiente, se desestima la impugnación.</w:t>
      </w:r>
    </w:p>
    <w:p w14:paraId="49FCD091" w14:textId="77777777" w:rsidR="009D7677" w:rsidRDefault="009D7677" w:rsidP="009D7677">
      <w:pPr>
        <w:pStyle w:val="TextoNormal"/>
      </w:pPr>
    </w:p>
    <w:p w14:paraId="47C45359" w14:textId="77777777" w:rsidR="009D7677" w:rsidRDefault="009D7677" w:rsidP="009D7677">
      <w:pPr>
        <w:pStyle w:val="TextoNormal"/>
      </w:pPr>
      <w:r w:rsidRPr="009D7677">
        <w:rPr>
          <w:rStyle w:val="NumeroAFNegritaCaracter"/>
        </w:rPr>
        <w:t>3</w:t>
      </w:r>
      <w:r>
        <w:t xml:space="preserve">. </w:t>
      </w:r>
      <w:r w:rsidRPr="009D7677">
        <w:rPr>
          <w:i/>
        </w:rPr>
        <w:t>Limitaciones a la libertad de contratación en el empleo por cuenta ajena (art. 9.1) y en el acceso a la vivienda (art. 20.2)</w:t>
      </w:r>
    </w:p>
    <w:p w14:paraId="0D973EF5" w14:textId="77777777" w:rsidR="009D7677" w:rsidRDefault="009D7677" w:rsidP="009D7677">
      <w:pPr>
        <w:pStyle w:val="TextoNormal"/>
      </w:pPr>
    </w:p>
    <w:p w14:paraId="0CE1E82E" w14:textId="77777777" w:rsidR="009D7677" w:rsidRDefault="009D7677" w:rsidP="009D7677">
      <w:pPr>
        <w:pStyle w:val="TextoNormal"/>
      </w:pPr>
      <w:r>
        <w:t>a) Los recurrentes denuncian que los arts. 9.1 y 20.2 de la Ley 15/2022 vulneran el art. 38 CE, al limitar de forma irrazonable y desproporcionada la libertad de contratación en el empleo por cuenta ajena y en el acceso a la vivienda, respectivamente. Aunque admiten que, según la doctrina constitucional, los derechos fundamentales constituyen un límite a la libertad de contratación, consideran que los preceptos impugnados deberían prever excepciones para los casos en que concurran circunstancias razonables que justifiquen la no contratación, incorporando explícitamente lo dispuesto en este sentido en los arts. 2.2 y 4.2 de la ley. Solicitan que, si el Tribunal entendiera que los preceptos impugnados son constitucionales, señale expresamente que deben interpretarse en tal sentido.</w:t>
      </w:r>
    </w:p>
    <w:p w14:paraId="58973587" w14:textId="77777777" w:rsidR="009D7677" w:rsidRDefault="009D7677" w:rsidP="009D7677">
      <w:pPr>
        <w:pStyle w:val="TextoNormal"/>
      </w:pPr>
    </w:p>
    <w:p w14:paraId="7B64329D" w14:textId="77777777" w:rsidR="009D7677" w:rsidRDefault="009D7677" w:rsidP="009D7677">
      <w:pPr>
        <w:pStyle w:val="TextoNormal"/>
      </w:pPr>
      <w:r>
        <w:t>b) El abogado del Estado indica, en primer lugar, que la demanda solo argumenta la inconstitucionalidad del art. 9.1 en relación con el empleo privado, no con público, por lo que este último debe excluirse del objeto del proceso. Así centrada la impugnación, aduce que tanto el art. 9.1 como el art. 20.2 de la Ley 15/2022 deben interpretarse a la luz de los arts. 2.2 y 4.2 de la Ley.</w:t>
      </w:r>
    </w:p>
    <w:p w14:paraId="0DC62E38" w14:textId="77777777" w:rsidR="009D7677" w:rsidRDefault="009D7677" w:rsidP="009D7677">
      <w:pPr>
        <w:pStyle w:val="TextoNormal"/>
      </w:pPr>
    </w:p>
    <w:p w14:paraId="05B5E421" w14:textId="77777777" w:rsidR="009D7677" w:rsidRDefault="009D7677" w:rsidP="009D7677">
      <w:pPr>
        <w:pStyle w:val="TextoNormal"/>
      </w:pPr>
      <w:r>
        <w:t>c) Los preceptos impugnados disponen lo siguiente:</w:t>
      </w:r>
    </w:p>
    <w:p w14:paraId="6FE77EE0" w14:textId="77777777" w:rsidR="009D7677" w:rsidRDefault="009D7677" w:rsidP="009D7677">
      <w:pPr>
        <w:pStyle w:val="TextoNormal"/>
      </w:pPr>
    </w:p>
    <w:p w14:paraId="283F5E6A" w14:textId="77777777" w:rsidR="009D7677" w:rsidRDefault="009D7677" w:rsidP="009D7677">
      <w:pPr>
        <w:pStyle w:val="TextoNormal"/>
      </w:pPr>
      <w:r>
        <w:t>“Artículo 9. Derecho a la igualdad de trato y no discriminación en el empleo por cuenta ajena</w:t>
      </w:r>
    </w:p>
    <w:p w14:paraId="37779D1B" w14:textId="77777777" w:rsidR="009D7677" w:rsidRDefault="009D7677" w:rsidP="009D7677">
      <w:pPr>
        <w:pStyle w:val="TextoNormal"/>
      </w:pPr>
    </w:p>
    <w:p w14:paraId="30C8843C" w14:textId="77777777" w:rsidR="009D7677" w:rsidRDefault="009D7677" w:rsidP="009D7677">
      <w:pPr>
        <w:pStyle w:val="TextoNormal"/>
      </w:pPr>
      <w:r>
        <w:t>1. No podrán establecerse limitaciones, segregaciones o exclusiones por razón de las causas previstas en esta ley para el acceso al empleo por cuenta ajena, público o privado, incluidos los criterios de selección, en la formación para el empleo, en la promoción profesional, en la retribución, en la jornada y demás condiciones de trabajo, así como en la suspensión, el despido u otras causas de extinción del contrato de trabajo”.</w:t>
      </w:r>
    </w:p>
    <w:p w14:paraId="01D0EA2D" w14:textId="77777777" w:rsidR="009D7677" w:rsidRDefault="009D7677" w:rsidP="009D7677">
      <w:pPr>
        <w:pStyle w:val="TextoNormal"/>
      </w:pPr>
    </w:p>
    <w:p w14:paraId="14E8CA87" w14:textId="77777777" w:rsidR="009D7677" w:rsidRDefault="009D7677" w:rsidP="009D7677">
      <w:pPr>
        <w:pStyle w:val="TextoNormal"/>
      </w:pPr>
      <w:r>
        <w:t>“Artículo 20. Derecho a la igualdad de trato y no discriminación en el acceso a la vivienda</w:t>
      </w:r>
    </w:p>
    <w:p w14:paraId="570ED317" w14:textId="77777777" w:rsidR="009D7677" w:rsidRDefault="009D7677" w:rsidP="009D7677">
      <w:pPr>
        <w:pStyle w:val="TextoNormal"/>
      </w:pPr>
    </w:p>
    <w:p w14:paraId="17F43156" w14:textId="77777777" w:rsidR="009D7677" w:rsidRDefault="009D7677" w:rsidP="009D7677">
      <w:pPr>
        <w:pStyle w:val="TextoNormal"/>
      </w:pPr>
      <w:r>
        <w:lastRenderedPageBreak/>
        <w:t>[…]</w:t>
      </w:r>
    </w:p>
    <w:p w14:paraId="64ADE661" w14:textId="77777777" w:rsidR="009D7677" w:rsidRDefault="009D7677" w:rsidP="009D7677">
      <w:pPr>
        <w:pStyle w:val="TextoNormal"/>
      </w:pPr>
    </w:p>
    <w:p w14:paraId="59E67235" w14:textId="77777777" w:rsidR="009D7677" w:rsidRDefault="009D7677" w:rsidP="009D7677">
      <w:pPr>
        <w:pStyle w:val="TextoNormal"/>
      </w:pPr>
      <w:r>
        <w:t>2. Los prestadores de servicios de venta, arrendamiento, intermediación inmobiliaria, portales de anuncios, o cualquier otra persona física o jurídica que haga una oferta disponible para el público, estarán igualmente obligados a respetar en sus operaciones comerciales el derecho a la igualdad de trato y no discriminación.</w:t>
      </w:r>
    </w:p>
    <w:p w14:paraId="4E5265F5" w14:textId="77777777" w:rsidR="009D7677" w:rsidRDefault="009D7677" w:rsidP="009D7677">
      <w:pPr>
        <w:pStyle w:val="TextoNormal"/>
      </w:pPr>
    </w:p>
    <w:p w14:paraId="088E2D97" w14:textId="77777777" w:rsidR="009D7677" w:rsidRDefault="009D7677" w:rsidP="009D7677">
      <w:pPr>
        <w:pStyle w:val="TextoNormal"/>
      </w:pPr>
      <w:r>
        <w:t>En particular, queda prohibido:</w:t>
      </w:r>
    </w:p>
    <w:p w14:paraId="75F9B64A" w14:textId="77777777" w:rsidR="009D7677" w:rsidRDefault="009D7677" w:rsidP="009D7677">
      <w:pPr>
        <w:pStyle w:val="TextoNormal"/>
      </w:pPr>
    </w:p>
    <w:p w14:paraId="2348FBE6" w14:textId="77777777" w:rsidR="009D7677" w:rsidRDefault="009D7677" w:rsidP="009D7677">
      <w:pPr>
        <w:pStyle w:val="TextoNormal"/>
      </w:pPr>
      <w:r>
        <w:t>a) Rehusar una oferta de compra o arrendamiento, o rehusar el inicio de las negociaciones o de cualquier otra manera de impedir o denegar la compra o arrendamiento de una vivienda, por razón de alguna de las causas de discriminación previstas en la presente ley, cuando se hubiere realizado una oferta pública de venta o arrendamiento.</w:t>
      </w:r>
    </w:p>
    <w:p w14:paraId="5A8FC424" w14:textId="77777777" w:rsidR="009D7677" w:rsidRDefault="009D7677" w:rsidP="009D7677">
      <w:pPr>
        <w:pStyle w:val="TextoNormal"/>
      </w:pPr>
    </w:p>
    <w:p w14:paraId="67132123" w14:textId="77777777" w:rsidR="009D7677" w:rsidRDefault="009D7677" w:rsidP="009D7677">
      <w:pPr>
        <w:pStyle w:val="TextoNormal"/>
      </w:pPr>
      <w:r>
        <w:t>b) Discriminar a una persona en cuanto a los términos o condiciones de la venta o arrendamiento de una vivienda con fundamento en las referidas causas.</w:t>
      </w:r>
    </w:p>
    <w:p w14:paraId="4D9B0F44" w14:textId="77777777" w:rsidR="009D7677" w:rsidRDefault="009D7677" w:rsidP="009D7677">
      <w:pPr>
        <w:pStyle w:val="TextoNormal"/>
      </w:pPr>
    </w:p>
    <w:p w14:paraId="76FC389B" w14:textId="77777777" w:rsidR="009D7677" w:rsidRDefault="009D7677" w:rsidP="009D7677">
      <w:pPr>
        <w:pStyle w:val="TextoNormal"/>
      </w:pPr>
      <w:r>
        <w:t>La obligación de no discriminación se mantendrá durante todo el periodo posterior de uso de la vivienda, en el caso de los arrendamientos u otras situaciones asimilables”.</w:t>
      </w:r>
    </w:p>
    <w:p w14:paraId="404B6883" w14:textId="77777777" w:rsidR="009D7677" w:rsidRDefault="009D7677" w:rsidP="009D7677">
      <w:pPr>
        <w:pStyle w:val="TextoNormal"/>
      </w:pPr>
    </w:p>
    <w:p w14:paraId="66496F8B" w14:textId="77777777" w:rsidR="009D7677" w:rsidRDefault="009D7677" w:rsidP="009D7677">
      <w:pPr>
        <w:pStyle w:val="TextoNormal"/>
      </w:pPr>
      <w:r>
        <w:t>Los arts. 2.2 y 4.2 de la ley, a los que se refieren tanto los recurrentes como el abogado del Estado, tienen el siguiente tenor:</w:t>
      </w:r>
    </w:p>
    <w:p w14:paraId="4FE1799A" w14:textId="77777777" w:rsidR="009D7677" w:rsidRDefault="009D7677" w:rsidP="009D7677">
      <w:pPr>
        <w:pStyle w:val="TextoNormal"/>
      </w:pPr>
    </w:p>
    <w:p w14:paraId="40925866" w14:textId="77777777" w:rsidR="009D7677" w:rsidRDefault="009D7677" w:rsidP="009D7677">
      <w:pPr>
        <w:pStyle w:val="TextoNormal"/>
      </w:pPr>
      <w:r>
        <w:t>“Artículo 2. Ámbito subjetivo de aplicación</w:t>
      </w:r>
    </w:p>
    <w:p w14:paraId="097A7C09" w14:textId="77777777" w:rsidR="009D7677" w:rsidRDefault="009D7677" w:rsidP="009D7677">
      <w:pPr>
        <w:pStyle w:val="TextoNormal"/>
      </w:pPr>
    </w:p>
    <w:p w14:paraId="69D9D100" w14:textId="77777777" w:rsidR="009D7677" w:rsidRDefault="009D7677" w:rsidP="009D7677">
      <w:pPr>
        <w:pStyle w:val="TextoNormal"/>
      </w:pPr>
      <w:r>
        <w:t>[…]</w:t>
      </w:r>
    </w:p>
    <w:p w14:paraId="372B350C" w14:textId="77777777" w:rsidR="009D7677" w:rsidRDefault="009D7677" w:rsidP="009D7677">
      <w:pPr>
        <w:pStyle w:val="TextoNormal"/>
      </w:pPr>
    </w:p>
    <w:p w14:paraId="3DF672F1" w14:textId="77777777" w:rsidR="009D7677" w:rsidRDefault="009D7677" w:rsidP="009D7677">
      <w:pPr>
        <w:pStyle w:val="TextoNormal"/>
      </w:pPr>
      <w:r>
        <w:t>2. No obstante lo previsto en el apartado anterior, y de acuerdo con lo establecido en el apartado 2 del artículo 4 de esta ley, podrán establecerse diferencias de trato cuando los criterios para tal diferenciación sean razonables y objetivos y lo que se persiga es lograr un propósito legítimo o así venga autorizado por norma con rango de ley, o cuando resulten de disposiciones normativas o decisiones generales de las administraciones públicas destinadas a proteger a las personas, o a grupos de población necesitados de acciones específicas para mejorar sus condiciones de vida o favorecer su incorporación al trabajo o a distintos bienes y servicios esenciales y garantizar el ejercicio de sus derechos y libertades en condiciones de igualdad”.</w:t>
      </w:r>
    </w:p>
    <w:p w14:paraId="675E6951" w14:textId="77777777" w:rsidR="009D7677" w:rsidRDefault="009D7677" w:rsidP="009D7677">
      <w:pPr>
        <w:pStyle w:val="TextoNormal"/>
      </w:pPr>
    </w:p>
    <w:p w14:paraId="5FC55530" w14:textId="77777777" w:rsidR="009D7677" w:rsidRDefault="009D7677" w:rsidP="009D7677">
      <w:pPr>
        <w:pStyle w:val="TextoNormal"/>
      </w:pPr>
      <w:r>
        <w:t>“Artículo 4. El derecho a la igualdad de trato y no discriminación</w:t>
      </w:r>
    </w:p>
    <w:p w14:paraId="3A38F45E" w14:textId="77777777" w:rsidR="009D7677" w:rsidRDefault="009D7677" w:rsidP="009D7677">
      <w:pPr>
        <w:pStyle w:val="TextoNormal"/>
      </w:pPr>
    </w:p>
    <w:p w14:paraId="4145CE9C" w14:textId="77777777" w:rsidR="009D7677" w:rsidRDefault="009D7677" w:rsidP="009D7677">
      <w:pPr>
        <w:pStyle w:val="TextoNormal"/>
      </w:pPr>
      <w:r>
        <w:t>[…]</w:t>
      </w:r>
    </w:p>
    <w:p w14:paraId="52AAA4AF" w14:textId="77777777" w:rsidR="009D7677" w:rsidRDefault="009D7677" w:rsidP="009D7677">
      <w:pPr>
        <w:pStyle w:val="TextoNormal"/>
      </w:pPr>
    </w:p>
    <w:p w14:paraId="21B7722F" w14:textId="77777777" w:rsidR="009D7677" w:rsidRDefault="009D7677" w:rsidP="009D7677">
      <w:pPr>
        <w:pStyle w:val="TextoNormal"/>
      </w:pPr>
      <w:r>
        <w:t>2. No se considera discriminación la diferencia de trato basada en alguna de las causas previstas en el apartado 1 del artículo 2 de esta ley derivada de una disposición, conducta, acto, criterio o práctica que pueda justificarse objetivamente por una finalidad legítima y como medio adecuado, necesario y proporcionado para alcanzarla”.</w:t>
      </w:r>
    </w:p>
    <w:p w14:paraId="58CDD733" w14:textId="77777777" w:rsidR="009D7677" w:rsidRDefault="009D7677" w:rsidP="009D7677">
      <w:pPr>
        <w:pStyle w:val="TextoNormal"/>
      </w:pPr>
    </w:p>
    <w:p w14:paraId="5F332DB7" w14:textId="77777777" w:rsidR="009D7677" w:rsidRDefault="009D7677" w:rsidP="009D7677">
      <w:pPr>
        <w:pStyle w:val="TextoNormal"/>
      </w:pPr>
      <w:r>
        <w:t xml:space="preserve">El sentido de los anteriores preceptos está vinculado al mandato general del art. 2.1, que prohíbe cualquier tipo de discriminación “por razón de nacimiento, origen racial o </w:t>
      </w:r>
      <w:r>
        <w:lastRenderedPageBreak/>
        <w:t>étnico, sexo, religión, convicción u opinión, edad, discapacidad, orientación o identidad sexual, expresión de género, enfermedad o condición de salud, estado serológico y/o predisposición genética a sufrir patologías y trastornos, lengua, situación socioeconómica, o cualquier otra condición o circunstancia personal o social”.</w:t>
      </w:r>
    </w:p>
    <w:p w14:paraId="115172C0" w14:textId="77777777" w:rsidR="009D7677" w:rsidRDefault="009D7677" w:rsidP="009D7677">
      <w:pPr>
        <w:pStyle w:val="TextoNormal"/>
      </w:pPr>
    </w:p>
    <w:p w14:paraId="0B9EC21E" w14:textId="77777777" w:rsidR="009D7677" w:rsidRDefault="009D7677" w:rsidP="009D7677">
      <w:pPr>
        <w:pStyle w:val="TextoNormal"/>
      </w:pPr>
      <w:r>
        <w:t>d) Debemos comenzar precisando, tal y como apunta el abogado del Estado, que la impugnación del art. 9.1 se circunscribe al ámbito del empleo privado, pues la demanda solo se refiere a este, sin mencionar el empleo público. En cuando al fondo, la queja no puede prosperar. Los preceptos impugnados no hacen sino proyectar el derecho a la igualdad de trato y no discriminación sobre dos ámbitos esenciales para la vida de los ciudadanos, como son el empleo y la vivienda, prohibiendo que en ellos puedan producirse limitaciones, segregaciones o exclusiones por razón de las causas previstas en el art. 2.1 de la Ley.</w:t>
      </w:r>
    </w:p>
    <w:p w14:paraId="0EA9E771" w14:textId="77777777" w:rsidR="009D7677" w:rsidRDefault="009D7677" w:rsidP="009D7677">
      <w:pPr>
        <w:pStyle w:val="TextoNormal"/>
      </w:pPr>
    </w:p>
    <w:p w14:paraId="26399420" w14:textId="77777777" w:rsidR="009D7677" w:rsidRDefault="009D7677" w:rsidP="009D7677">
      <w:pPr>
        <w:pStyle w:val="TextoNormal"/>
      </w:pPr>
      <w:r>
        <w:t>Al respecto, debe recordarse que los derechos fundamentales no solo vinculan a los poderes públicos, sino también a los particulares, como señaló tempranamente la STC 18/1984, de 7 de febrero, FJ 6. Este tribunal ha reconocido que los actos privados también pueden lesionar los derechos fundamentales, en concreto, el derecho a la igualdad. Así, lo confirmó, entre otras, la STC 177/1988, de 10 de octubre, FJ 4, según la cual “[l]as relaciones entre particulares, si bien con ciertas matizaciones, no quedan, pues, excluidas del ámbito de aplicación del principio de igualdad, y la autonomía de las partes ha de respetar tanto el principio constitucional de no discriminación como aquellas reglas, de rango constitucional u ordinario, de las que se derive la necesidad de igualdad de trato. No cabe olvidar que el art. 1.1 CE propugna entre los valores superiores del ordenamiento jurídico la igualdad, y que el 9.2 encomienda a todos los poderes públicos promover las condiciones para que la igualdad del individuo y de los grupos en que se integra sean reales y efectivas”. Ahora bien, como aclara dicha sentencia, el principio reconocido en el art. 14 CE no puede tener en las relaciones entre particulares el mismo alcance que en otros contextos: “[n]o es ya que el principio de igualdad no se oponga a toda diferencia de trato, como en general ocurre. Ha de tenerse en cuenta también […] que en el ámbito de las relaciones privadas [...] los derechos fundamentales y, entre ellos, el principio de igualdad, han de aplicarse matizadamente, pues han de hacerse compatibles con otros valores o parámetros que tienen su último origen en el principio de la autonomía de la voluntad, y que se manifiestan a través de los derechos y deberes que nacen de la relación contractual creada por las partes o de la correspondiente situación jurídica”.</w:t>
      </w:r>
    </w:p>
    <w:p w14:paraId="7FAFD536" w14:textId="77777777" w:rsidR="009D7677" w:rsidRDefault="009D7677" w:rsidP="009D7677">
      <w:pPr>
        <w:pStyle w:val="TextoNormal"/>
      </w:pPr>
    </w:p>
    <w:p w14:paraId="4C40C213" w14:textId="77777777" w:rsidR="009D7677" w:rsidRDefault="009D7677" w:rsidP="009D7677">
      <w:pPr>
        <w:pStyle w:val="TextoNormal"/>
      </w:pPr>
      <w:r>
        <w:t>De acuerdo con lo anterior, los arts. 2.2 y 4.2 de la Ley 15/2002 son fiel reflejo de las “matizaciones” con las que, conforme a la citada doctrina constitucional, se aplica el principio de igualdad y no discriminación a las relaciones privadas. Así, prevén que pueda haber diferencias de trato siempre que obedezcan a criterios razonables y objetivos y se persiga un propósito legítimo respecto del que la diferenciación sea un medio adecuado, necesario y proporcionado. Naturalmente, no bastará que la diferencia de trato tenga formalmente y en abstracto una justificación objetiva y razonable, sino que habrá de verificarse que, en concreto, no encubra o permita encubrir una discriminación contraria al art. 14 CE —discriminación indirecta— (entre muchas otras, SSTC 145/1991, de 1 de julio, FJ 2; 91/2019, de 3 de julio, FJ 4; 71/2020, de 29 de junio, FJ 3, y 153/2021, de 13 de septiembre, FJ 3).</w:t>
      </w:r>
    </w:p>
    <w:p w14:paraId="2EB4B9B5" w14:textId="77777777" w:rsidR="009D7677" w:rsidRDefault="009D7677" w:rsidP="009D7677">
      <w:pPr>
        <w:pStyle w:val="TextoNormal"/>
      </w:pPr>
    </w:p>
    <w:p w14:paraId="32260677" w14:textId="77777777" w:rsidR="009D7677" w:rsidRDefault="009D7677" w:rsidP="009D7677">
      <w:pPr>
        <w:pStyle w:val="TextoNormal"/>
      </w:pPr>
      <w:r>
        <w:lastRenderedPageBreak/>
        <w:t>En suma, como reconoce la demanda, la tacha formulada contra los arts. 9.1 y 20.2 pierde todo sustento cuando se ponen en relación con los arts. 2.2 y 4.2, los cuales, ubicados en el título preliminar y en las disposiciones generales del título I de la Ley, respectivamente, se aplican a toda ella, sin necesidad de reiterarse en cada precepto.</w:t>
      </w:r>
    </w:p>
    <w:p w14:paraId="6D304776" w14:textId="77777777" w:rsidR="009D7677" w:rsidRDefault="009D7677" w:rsidP="009D7677">
      <w:pPr>
        <w:pStyle w:val="TextoNormal"/>
      </w:pPr>
    </w:p>
    <w:p w14:paraId="080D92BB" w14:textId="70327246" w:rsidR="009D7677" w:rsidRDefault="009D7677" w:rsidP="009D7677">
      <w:pPr>
        <w:pStyle w:val="TextoNormal"/>
      </w:pPr>
      <w:r>
        <w:t>Por consiguiente, la impugnación se desestima.</w:t>
      </w:r>
    </w:p>
    <w:p w14:paraId="526B8A53" w14:textId="77777777" w:rsidR="009D7677" w:rsidRDefault="009D7677" w:rsidP="009D7677">
      <w:pPr>
        <w:pStyle w:val="TextoNormal"/>
      </w:pPr>
    </w:p>
    <w:p w14:paraId="35E2B538" w14:textId="77777777" w:rsidR="009D7677" w:rsidRDefault="009D7677" w:rsidP="009D7677">
      <w:pPr>
        <w:pStyle w:val="TextoNormal"/>
      </w:pPr>
      <w:r w:rsidRPr="009D7677">
        <w:rPr>
          <w:rStyle w:val="NumeroAFNegritaCaracter"/>
        </w:rPr>
        <w:t>4</w:t>
      </w:r>
      <w:r>
        <w:t xml:space="preserve">. </w:t>
      </w:r>
      <w:r w:rsidRPr="009D7677">
        <w:rPr>
          <w:i/>
        </w:rPr>
        <w:t xml:space="preserve">Financiación pública de los centros educativos que excluyan a personas o grupos por alguna de las causas establecidas en el art. 2.1 (art. 13.2) </w:t>
      </w:r>
    </w:p>
    <w:p w14:paraId="51E88806" w14:textId="77777777" w:rsidR="009D7677" w:rsidRDefault="009D7677" w:rsidP="009D7677">
      <w:pPr>
        <w:pStyle w:val="TextoNormal"/>
      </w:pPr>
    </w:p>
    <w:p w14:paraId="2245FD95" w14:textId="77777777" w:rsidR="009D7677" w:rsidRDefault="009D7677" w:rsidP="009D7677">
      <w:pPr>
        <w:pStyle w:val="TextoNormal"/>
      </w:pPr>
      <w:r>
        <w:t>a) La demanda sostiene que el art. 13.2 de la Ley 15/2022, al impedir que los centros educativos que aplican la educación diferenciada por razón de sexo puedan acogerse a la financiación pública, infringe el art. 27.3 CE, que prevé el derecho de los padres a que sus hijos reciban la formación religiosa y moral que esté de acuerdo con sus propias convicciones; el art. 16.1 CE, que garantiza la libertad ideológica, religiosa y de culto; el art. 14 CE, al discriminar por razones ideológicas, y el art. 81.1 CE, por no tener rango orgánico.</w:t>
      </w:r>
    </w:p>
    <w:p w14:paraId="0305CC14" w14:textId="77777777" w:rsidR="009D7677" w:rsidRDefault="009D7677" w:rsidP="009D7677">
      <w:pPr>
        <w:pStyle w:val="TextoNormal"/>
      </w:pPr>
    </w:p>
    <w:p w14:paraId="10CE9E30" w14:textId="77777777" w:rsidR="009D7677" w:rsidRDefault="009D7677" w:rsidP="009D7677">
      <w:pPr>
        <w:pStyle w:val="TextoNormal"/>
      </w:pPr>
      <w:r>
        <w:t>b) El abogado del Estado precisa que, aunque el precepto impugnado se aplica a cualquier centro que diferencie por alguno de los motivos del art. 2.1 de la ley, no solo por razón de sexo, la demanda solo se refiere a ese supuesto, al que, por tanto, debe acotarse la impugnación. En cuanto al fondo, aduce que la decisión de excluir de la financiación pública a los centros que apliquen la educación diferenciada por sexos es una opción legítima del legislador encaminada a promover un modelo pedagógico que persiga una igualdad efectiva entre hombres y mujeres. Asimismo, niega que el precepto impugnado desarrolle un derecho fundamental, por lo que no ha de tener rango orgánico.</w:t>
      </w:r>
    </w:p>
    <w:p w14:paraId="035E4D7A" w14:textId="77777777" w:rsidR="009D7677" w:rsidRDefault="009D7677" w:rsidP="009D7677">
      <w:pPr>
        <w:pStyle w:val="TextoNormal"/>
      </w:pPr>
    </w:p>
    <w:p w14:paraId="47413462" w14:textId="77777777" w:rsidR="009D7677" w:rsidRDefault="009D7677" w:rsidP="009D7677">
      <w:pPr>
        <w:pStyle w:val="TextoNormal"/>
      </w:pPr>
      <w:r>
        <w:t>c) El precepto impugnado dispone lo siguiente:</w:t>
      </w:r>
    </w:p>
    <w:p w14:paraId="6B5261FF" w14:textId="77777777" w:rsidR="009D7677" w:rsidRDefault="009D7677" w:rsidP="009D7677">
      <w:pPr>
        <w:pStyle w:val="TextoNormal"/>
      </w:pPr>
    </w:p>
    <w:p w14:paraId="0A4D99E9" w14:textId="77777777" w:rsidR="009D7677" w:rsidRDefault="009D7677" w:rsidP="009D7677">
      <w:pPr>
        <w:pStyle w:val="TextoNormal"/>
      </w:pPr>
      <w:r>
        <w:t>“Artículo 13. Derecho a la igualdad de trato y no discriminación en la educación</w:t>
      </w:r>
    </w:p>
    <w:p w14:paraId="12EAF280" w14:textId="77777777" w:rsidR="009D7677" w:rsidRDefault="009D7677" w:rsidP="009D7677">
      <w:pPr>
        <w:pStyle w:val="TextoNormal"/>
      </w:pPr>
    </w:p>
    <w:p w14:paraId="0EB3A2F8" w14:textId="77777777" w:rsidR="009D7677" w:rsidRDefault="009D7677" w:rsidP="009D7677">
      <w:pPr>
        <w:pStyle w:val="TextoNormal"/>
      </w:pPr>
      <w:r>
        <w:t>[…]</w:t>
      </w:r>
    </w:p>
    <w:p w14:paraId="6C027E94" w14:textId="77777777" w:rsidR="009D7677" w:rsidRDefault="009D7677" w:rsidP="009D7677">
      <w:pPr>
        <w:pStyle w:val="TextoNormal"/>
      </w:pPr>
    </w:p>
    <w:p w14:paraId="3A3D18CF" w14:textId="77777777" w:rsidR="009D7677" w:rsidRDefault="009D7677" w:rsidP="009D7677">
      <w:pPr>
        <w:pStyle w:val="TextoNormal"/>
      </w:pPr>
      <w:r>
        <w:t>2. En ningún caso, los centros educativos que excluyan del ingreso en los mismos, discriminándolos, a grupos o personas individuales por razón de alguna de las causas establecidas en esta ley, podrán acogerse a cualquier forma de financiación pública”.</w:t>
      </w:r>
    </w:p>
    <w:p w14:paraId="376107FB" w14:textId="77777777" w:rsidR="009D7677" w:rsidRDefault="009D7677" w:rsidP="009D7677">
      <w:pPr>
        <w:pStyle w:val="TextoNormal"/>
      </w:pPr>
    </w:p>
    <w:p w14:paraId="3D0016D3" w14:textId="77777777" w:rsidR="009D7677" w:rsidRDefault="009D7677" w:rsidP="009D7677">
      <w:pPr>
        <w:pStyle w:val="TextoNormal"/>
      </w:pPr>
      <w:r>
        <w:t>d) Como afirma el abogado del Estado, pese al ámbito más amplio de la norma recurrida, la impugnación debe ceñirse a la exclusión del acceso a la financiación pública de los centros educativos que apliquen la educación diferenciada por sexos, único caso al que se refieren los recurrentes. Hecha esta precisión, para nuestro enjuiciamiento basta remitirnos a lo que expusimos en la STC 34/2023, de 18 de abril, FJ 5 i), al hilo de la disposición adicional vigesimoquinta LOE sobre “fomento de la igualdad efectiva entre hombres y mujeres”. En ella descartamos que el mandato de que los centros sostenidos parcial o totalmente con fondos públicos desarrollen el principio de coeducación y no separen al alumnado por su género vulnere el art. 27.3 CE o algún otro apartado del mismo art. 27 CE. Apoyándonos en la doctrina constitucional sobre la configuración del régimen de ayudas públicas del art. 27.9 CE, razonamos que la diferencia de trato entre los centros educativos que separen al alumnado por razón de su género, a efectos de poder ser finan</w:t>
      </w:r>
      <w:r>
        <w:lastRenderedPageBreak/>
        <w:t>ciados total o parcialmente con fondos públicos, responde a una concepción del sistema educativo que, no solo no es arbitraria, sino que está inspirada en valores constitucionales, en concreto, la promoción por parte de los poderes públicos de las condiciones necesarias para que la libertad y la igualdad sean reales y efectivas (arts. 1 y 9.2 CE).</w:t>
      </w:r>
    </w:p>
    <w:p w14:paraId="71C5C432" w14:textId="77777777" w:rsidR="009D7677" w:rsidRDefault="009D7677" w:rsidP="009D7677">
      <w:pPr>
        <w:pStyle w:val="TextoNormal"/>
      </w:pPr>
    </w:p>
    <w:p w14:paraId="47922427" w14:textId="77777777" w:rsidR="009D7677" w:rsidRDefault="009D7677" w:rsidP="009D7677">
      <w:pPr>
        <w:pStyle w:val="TextoNormal"/>
      </w:pPr>
      <w:r>
        <w:t>Por tanto, debemos rechazar que el precepto impugnado vulnere el art. 27.3 CE. Tampoco cabe estimar la alegada vulneración de los arts. 14 y 16.1 CE. En cuanto al art. 14, porque el principio de igualdad solo exige la razonabilidad de la diferencia normativa de trato [entre otras muchas, STC 71/2020, de 29 de junio, FJ 3 a)]. En este caso, la diferencia entre centros en el acceso a los fondos públicos tiene una justificación razonable, como es incentivar un modelo educativo que fomente la igualdad efectiva entre hombres y mujeres. Y respecto del art. 16.1 CE, hemos de recalcar que, si bien la Constitución acoge un modelo educativo pluralista, que no prohíbe la educación diferenciada por sexos, esto no implica que todos los modelos educativos deban recibir ayudas públicas, según indica la citada STC 34/2023, FJ 5 i).</w:t>
      </w:r>
    </w:p>
    <w:p w14:paraId="2BF770FC" w14:textId="77777777" w:rsidR="009D7677" w:rsidRDefault="009D7677" w:rsidP="009D7677">
      <w:pPr>
        <w:pStyle w:val="TextoNormal"/>
      </w:pPr>
    </w:p>
    <w:p w14:paraId="28AB3D45" w14:textId="77777777" w:rsidR="009D7677" w:rsidRDefault="009D7677" w:rsidP="009D7677">
      <w:pPr>
        <w:pStyle w:val="TextoNormal"/>
      </w:pPr>
      <w:r>
        <w:t>Finalmente, por lo que se refiere al rango del precepto impugnado, conforme a una reiterada doctrina constitucional, la ley orgánica se requiere “únicamente para la regulación de un derecho fundamental o de una libertad pública que ‘desarrolle’ la Constitución de manera directa y en elementos esenciales para la definición del derecho fundamental, ya sea en una regulación directa, general y global del mismo o en una parcial o sectorial, pero, igualmente, relativa a aspectos esenciales del derecho, y no, por parcial, menos directa o encaminada a contribuir a la delimitación y definición legal del derecho” (por todas, STC 173/1998, de 23 de julio, FJ 7). La demanda anuda la exigencia de ley orgánica al argumento de que el art. 13.2 de la ley incide en el art. 27.3 CE, lo que —según hemos concluido— no sucede. Toda vez que el precepto recurrido ni desarrolla ni incide en el art. 27.3 CE, no se vulnera el art. 81.1 CE.</w:t>
      </w:r>
    </w:p>
    <w:p w14:paraId="3EA88871" w14:textId="77777777" w:rsidR="009D7677" w:rsidRDefault="009D7677" w:rsidP="009D7677">
      <w:pPr>
        <w:pStyle w:val="TextoNormal"/>
      </w:pPr>
    </w:p>
    <w:p w14:paraId="4422711C" w14:textId="62871CF5" w:rsidR="009D7677" w:rsidRDefault="009D7677" w:rsidP="009D7677">
      <w:pPr>
        <w:pStyle w:val="TextoNormal"/>
      </w:pPr>
      <w:r>
        <w:t>Por tanto, queda desestimada su impugnación.</w:t>
      </w:r>
    </w:p>
    <w:p w14:paraId="5A043CF9" w14:textId="77777777" w:rsidR="009D7677" w:rsidRDefault="009D7677" w:rsidP="009D7677">
      <w:pPr>
        <w:pStyle w:val="TextoNormal"/>
      </w:pPr>
    </w:p>
    <w:p w14:paraId="58F6755F" w14:textId="77777777" w:rsidR="009D7677" w:rsidRDefault="009D7677" w:rsidP="009D7677">
      <w:pPr>
        <w:pStyle w:val="TextoNormal"/>
      </w:pPr>
      <w:r w:rsidRPr="009D7677">
        <w:rPr>
          <w:rStyle w:val="NumeroAFNegritaCaracter"/>
        </w:rPr>
        <w:t>5</w:t>
      </w:r>
      <w:r>
        <w:t xml:space="preserve">. </w:t>
      </w:r>
      <w:r w:rsidRPr="009D7677">
        <w:rPr>
          <w:i/>
        </w:rPr>
        <w:t>Tipificación como infracción de las irregularidades formales por la inobservancia de lo establecido en la ley y en su normativa de desarrollo [arts. 47.2, 3 d) y 4 d)]</w:t>
      </w:r>
    </w:p>
    <w:p w14:paraId="11C63D18" w14:textId="77777777" w:rsidR="009D7677" w:rsidRDefault="009D7677" w:rsidP="009D7677">
      <w:pPr>
        <w:pStyle w:val="TextoNormal"/>
      </w:pPr>
    </w:p>
    <w:p w14:paraId="4F89007B" w14:textId="77777777" w:rsidR="009D7677" w:rsidRDefault="009D7677" w:rsidP="009D7677">
      <w:pPr>
        <w:pStyle w:val="TextoNormal"/>
      </w:pPr>
      <w:r>
        <w:t>a) Los recurrentes argumentan que el apartado 2 del art. 47 de la Ley 15/2022 y, en relación con él, los apartados 3 d) y 4 d) de dicho artículo, vulneran los arts. 9.3 y 25.1 CE, por ser demasiado abierta e inconcreta la tipificación como infracción leve de las conductas que incurran en irregularidades formales por la inobservancia de lo establecido en la ley y en su normativa de desarrollo, siempre que no generen o contengan un efecto discriminatorio, ni estén motivadas en una razón discriminatoria.</w:t>
      </w:r>
    </w:p>
    <w:p w14:paraId="3140940B" w14:textId="77777777" w:rsidR="009D7677" w:rsidRDefault="009D7677" w:rsidP="009D7677">
      <w:pPr>
        <w:pStyle w:val="TextoNormal"/>
      </w:pPr>
    </w:p>
    <w:p w14:paraId="6676012D" w14:textId="77777777" w:rsidR="009D7677" w:rsidRDefault="009D7677" w:rsidP="009D7677">
      <w:pPr>
        <w:pStyle w:val="TextoNormal"/>
      </w:pPr>
      <w:r>
        <w:t>b) El abogado del Estado aduce de contrario que la conducta tipificada está suficientemente delimitada, ya que debe ser una irregularidad formal que no genere un efecto discriminatorio ni esté motivada por una razón discriminatoria, caso en el que la infracción se califica como grave. Añade que la remisión a la normativa de desarrollo no significa que esta pueda configurar nuevos tipos de infracciones leves, sino solo concretar cuáles son las obligaciones formales, especificando lo previsto en la ley.</w:t>
      </w:r>
    </w:p>
    <w:p w14:paraId="2A59C1C8" w14:textId="77777777" w:rsidR="009D7677" w:rsidRDefault="009D7677" w:rsidP="009D7677">
      <w:pPr>
        <w:pStyle w:val="TextoNormal"/>
      </w:pPr>
    </w:p>
    <w:p w14:paraId="58202930" w14:textId="77777777" w:rsidR="009D7677" w:rsidRDefault="009D7677" w:rsidP="009D7677">
      <w:pPr>
        <w:pStyle w:val="TextoNormal"/>
      </w:pPr>
      <w:r>
        <w:t>c) El precepto recurrido tiene el siguiente tenor:</w:t>
      </w:r>
    </w:p>
    <w:p w14:paraId="7169E6C1" w14:textId="77777777" w:rsidR="009D7677" w:rsidRDefault="009D7677" w:rsidP="009D7677">
      <w:pPr>
        <w:pStyle w:val="TextoNormal"/>
      </w:pPr>
    </w:p>
    <w:p w14:paraId="07AB430A" w14:textId="77777777" w:rsidR="009D7677" w:rsidRDefault="009D7677" w:rsidP="009D7677">
      <w:pPr>
        <w:pStyle w:val="TextoNormal"/>
      </w:pPr>
      <w:r>
        <w:t>“Artículo 47. Infracciones</w:t>
      </w:r>
    </w:p>
    <w:p w14:paraId="7C30578F" w14:textId="77777777" w:rsidR="009D7677" w:rsidRDefault="009D7677" w:rsidP="009D7677">
      <w:pPr>
        <w:pStyle w:val="TextoNormal"/>
      </w:pPr>
    </w:p>
    <w:p w14:paraId="2C65E25F" w14:textId="77777777" w:rsidR="009D7677" w:rsidRDefault="009D7677" w:rsidP="009D7677">
      <w:pPr>
        <w:pStyle w:val="TextoNormal"/>
      </w:pPr>
      <w:r>
        <w:t>[…]</w:t>
      </w:r>
    </w:p>
    <w:p w14:paraId="268192BF" w14:textId="77777777" w:rsidR="009D7677" w:rsidRDefault="009D7677" w:rsidP="009D7677">
      <w:pPr>
        <w:pStyle w:val="TextoNormal"/>
      </w:pPr>
    </w:p>
    <w:p w14:paraId="62D0F75D" w14:textId="77777777" w:rsidR="009D7677" w:rsidRDefault="009D7677" w:rsidP="009D7677">
      <w:pPr>
        <w:pStyle w:val="TextoNormal"/>
      </w:pPr>
      <w:r>
        <w:t>2. En todo caso, y sin perjuicio de lo que se establezca en la legislación autonómica, en el ámbito de sus competencias, tendrán la consideración de infracciones leves las conductas que incurran en irregularidades formales por la inobservancia de lo establecido en la presente ley y en su normativa de desarrollo, siempre que no generen o contengan un efecto discriminatorio, ni estén motivadas en una razón discriminatoria en los términos previstos en esta ley”.</w:t>
      </w:r>
    </w:p>
    <w:p w14:paraId="17922CB7" w14:textId="77777777" w:rsidR="009D7677" w:rsidRDefault="009D7677" w:rsidP="009D7677">
      <w:pPr>
        <w:pStyle w:val="TextoNormal"/>
      </w:pPr>
    </w:p>
    <w:p w14:paraId="43DB792C" w14:textId="77777777" w:rsidR="009D7677" w:rsidRDefault="009D7677" w:rsidP="009D7677">
      <w:pPr>
        <w:pStyle w:val="TextoNormal"/>
      </w:pPr>
      <w:r>
        <w:t>Por otra parte, la comisión de tres o más infracciones leves en el plazo de un año se tipifica como infracción grave [art. 47.3 d)] y la comisión de tres o más infracciones graves en dicho plazo constituye una muy grave [art. 47.4 d)]. De esta forma, la alegada indefinición del tipo infractor del apartado 2 del art. 47 repercute en los apartados 3 d) y 4 d) de dicho artículo.</w:t>
      </w:r>
    </w:p>
    <w:p w14:paraId="6D5E3F27" w14:textId="77777777" w:rsidR="009D7677" w:rsidRDefault="009D7677" w:rsidP="009D7677">
      <w:pPr>
        <w:pStyle w:val="TextoNormal"/>
      </w:pPr>
    </w:p>
    <w:p w14:paraId="2F1EDC2E" w14:textId="77777777" w:rsidR="009D7677" w:rsidRDefault="009D7677" w:rsidP="009D7677">
      <w:pPr>
        <w:pStyle w:val="TextoNormal"/>
      </w:pPr>
      <w:r>
        <w:t>d) Para enjuiciar la impugnación, debemos partir de nuestra consolidada doctrina sobre el derecho a la legalidad sancionadora reconocido en el art. 25.1 CE, según la cual comprende una doble garantía, material y formal: (i) la vertiente formal hace referencia al rango necesario de las normas sancionadoras e implica que el término “legislación vigente” contenido en el art. 25.1 CE es expresivo de una reserva de ley en materia sancionadora. Esta reserva, en relación con las infracciones administrativas, tiene una eficacia relativa más limitada que respecto de los tipos penales, ya que no cabe excluir la colaboración reglamentaria en la propia tarea de tipificación de las infracciones, siempre que tales remisiones no posibiliten una regulación independiente y no claramente subordinada a la ley. Esto exige que la ley deba contener la determinación de los elementos esenciales de la conducta antijurídica y al reglamento solo puede corresponder, en su caso, el desarrollo y precisión de los tipos de infracciones previamente establecidos por la ley; (ii) por su parte, la garantía material se concreta en la exigencia de predeterminación normativa de las conductas ilícitas, que hace recaer sobre la norma sancionadora (la ley complementada, en su caso, por el reglamento, en los términos exigidos por la garantía formal) el deber de configurarlas con la mayor precisión posible para que los ciudadanos puedan conocer de antemano el ámbito de lo proscrito y prever, así, las consecuencias de sus acciones. Esto exige que la norma sancionadora permita predecir con suficiente grado de certeza las conductas que constituyen infracción. No cabe, por ello, admitir formulaciones tan abiertas por su amplitud, vaguedad o indefinición, que su efectividad dependa de una decisión prácticamente libre y arbitraria del intérprete y juzgador (entre otras, SSTC 13/2013, de 28 de enero, FJ 2; 145/2013, de 11 de julio, FJ 4; 199/2014, de 15 de diciembre, FJ 3; 160/2019, de 12 de diciembre, FJ 2, y 14/2021, de 28 de enero, FJ 2).</w:t>
      </w:r>
    </w:p>
    <w:p w14:paraId="4AF2175A" w14:textId="77777777" w:rsidR="009D7677" w:rsidRDefault="009D7677" w:rsidP="009D7677">
      <w:pPr>
        <w:pStyle w:val="TextoNormal"/>
      </w:pPr>
    </w:p>
    <w:p w14:paraId="1BBAD870" w14:textId="77777777" w:rsidR="009D7677" w:rsidRDefault="009D7677" w:rsidP="009D7677">
      <w:pPr>
        <w:pStyle w:val="TextoNormal"/>
      </w:pPr>
      <w:r>
        <w:t xml:space="preserve">e) Aplicando la doctrina expuesta al presente caso, la tacha no puede prosperar. Desde el punto de vista de la primera de las garantías del art. 25.1 CE que hemos indicado, debe considerarse suficiente la delimitación de la conducta típica como las “irregularidades formales por la inobservancia de lo establecido en la presente ley y en su normativa de desarrollo, siempre que no generen o contengan un efecto discriminatorio, ni estén motivadas en una razón discriminatoria en los términos previstos en esta ley”. El término </w:t>
      </w:r>
      <w:r>
        <w:lastRenderedPageBreak/>
        <w:t xml:space="preserve">“formales” alude a incumplimientos no conectados directamente con la obligación sustantiva o material de garantizar la igualdad de trato y la no discriminación (como aclara el precepto, en tal caso la vulneración se tipifica como infracción grave o muy grave, salvo que sea constitutiva de ilícito penal </w:t>
      </w:r>
      <w:r w:rsidRPr="009D7677">
        <w:rPr>
          <w:i/>
        </w:rPr>
        <w:t>ex</w:t>
      </w:r>
      <w:r>
        <w:t xml:space="preserve"> art. 46.3 de la Ley). Así pues, la conducta típica se enmarca en las obligaciones informativas y de colaboración que sirven de instrumento para que la ley cumpla con su objetivo de luchar contra toda discriminación que pueda sufrir cualquier persona y en cualquier ámbito.</w:t>
      </w:r>
    </w:p>
    <w:p w14:paraId="33E4065D" w14:textId="77777777" w:rsidR="009D7677" w:rsidRDefault="009D7677" w:rsidP="009D7677">
      <w:pPr>
        <w:pStyle w:val="TextoNormal"/>
      </w:pPr>
    </w:p>
    <w:p w14:paraId="7DFF59BA" w14:textId="77777777" w:rsidR="009D7677" w:rsidRDefault="009D7677" w:rsidP="009D7677">
      <w:pPr>
        <w:pStyle w:val="TextoNormal"/>
      </w:pPr>
      <w:r>
        <w:t>Como apunta el abogado del Estado, tal sería el caso del incumplimiento de la obligación prevista en el art. 9.6 de la Ley, de acuerdo con el cual “[p]or vía reglamentaria, se podrá exigir a los empleadores cuyas empresas tengan más de 250 trabajadores, que publiquen la información salarial necesaria para analizar los factores de las diferencias salariales, teniendo en cuenta las condiciones o circunstancias del artículo 2.1”; o la conducta consistente en desatender el deber de colaboración que establece el art. 44.3 de la Ley, cuando dispone que “[l]as administraciones públicas y los particulares deberán prestar la colaboración necesaria a la Autoridad Independiente para la Igualdad de Trato y la No Discriminación […] [y] proporcionar, a su requerimiento y en plazo, toda clase de información y datos de que dispongan y que puedan resultar necesarios”.</w:t>
      </w:r>
    </w:p>
    <w:p w14:paraId="637D5F9B" w14:textId="77777777" w:rsidR="009D7677" w:rsidRDefault="009D7677" w:rsidP="009D7677">
      <w:pPr>
        <w:pStyle w:val="TextoNormal"/>
      </w:pPr>
    </w:p>
    <w:p w14:paraId="18172ABA" w14:textId="77777777" w:rsidR="009D7677" w:rsidRDefault="009D7677" w:rsidP="009D7677">
      <w:pPr>
        <w:pStyle w:val="TextoNormal"/>
      </w:pPr>
      <w:r>
        <w:t xml:space="preserve">De esta forma, el bien jurídico protegido es contar con la información y colaboración necesarias para hacer efectivo el contenido sustantivo de la Ley. Por ello, la “normativa de desarrollo” a que se refiere el precepto impugnado solo puede ser la que concrete dichas obligaciones formales previstas legalmente, como, por ejemplo, la referida publicación de la información salarial por determinadas empresas. No se habilita al reglamento la posibilidad de introducir nuevas obligaciones cuya inobservancia sea constitutiva de infracción (como sucedía, por ejemplo, en el caso examinado en la STC 162/2008, de 15 de diciembre, FJ 2), sino tan solo “desarrollar” las ya previstas en la Ley, en los términos expuestos. En suma, no estamos ante una tipificación de infracciones “sin acotación material alguna ni referencia a bienes jurídicos cuya protección pudiera justificar la sanción” (en el mismo sentido, </w:t>
      </w:r>
      <w:r w:rsidRPr="009D7677">
        <w:rPr>
          <w:i/>
        </w:rPr>
        <w:t>vid</w:t>
      </w:r>
      <w:r>
        <w:t>. STC 13/2013, de 28 de enero, FJ 4).</w:t>
      </w:r>
    </w:p>
    <w:p w14:paraId="57D02A8A" w14:textId="77777777" w:rsidR="009D7677" w:rsidRDefault="009D7677" w:rsidP="009D7677">
      <w:pPr>
        <w:pStyle w:val="TextoNormal"/>
      </w:pPr>
    </w:p>
    <w:p w14:paraId="1EE6BE98" w14:textId="77777777" w:rsidR="009D7677" w:rsidRDefault="009D7677" w:rsidP="009D7677">
      <w:pPr>
        <w:pStyle w:val="TextoNormal"/>
      </w:pPr>
      <w:r>
        <w:t>Por consiguiente, desde el punto de vista de la garantía formal del art. 25.1 CE, la remisión a la normativa de desarrollo acota suficientemente el ámbito de lo sancionado, que es la inobservancia de las obligaciones formales (informar, colaborar, etc.) previstas en la Ley, siempre que no tengan el efecto ni la intención de discriminar.</w:t>
      </w:r>
    </w:p>
    <w:p w14:paraId="1BC01105" w14:textId="77777777" w:rsidR="009D7677" w:rsidRDefault="009D7677" w:rsidP="009D7677">
      <w:pPr>
        <w:pStyle w:val="TextoNormal"/>
      </w:pPr>
    </w:p>
    <w:p w14:paraId="42723D16" w14:textId="77777777" w:rsidR="009D7677" w:rsidRDefault="009D7677" w:rsidP="009D7677">
      <w:pPr>
        <w:pStyle w:val="TextoNormal"/>
      </w:pPr>
      <w:r>
        <w:t xml:space="preserve">En segundo lugar, el art. 47.2 también cumple adecuadamente con las exigencias derivadas de la garantía material. Al referirse a la inobservancia de lo establecido “en la presente ley”, no nos encontramos ante un supuesto de remisión a una norma distinta del ordenamiento. Se trata de una remisión interna al contenido de la propia norma donde se establecen las infracciones y circunscrita, en concreto, a los preceptos que establezcan obligaciones informativas, de colaboración, etc., no causantes directamente de discriminación. Las citadas obligaciones, además de ser localizables mediante un examen del articulado de la Ley 15/2022, tienen un contenido suficientemente predeterminado, por lo que cabe descartar que su aplicación sea imprevisible para los destinatarios. Estamos ante un caso análogo al enjuiciado en la STC 14/2021, de 28 de enero, FJ 3, que negó que vulnerase el art. 25.1 CE la descripción de la conducta típica como “toda infracción de las normas obligatorias establecidas en la presente ley que no constituya delito” recogida en el </w:t>
      </w:r>
      <w:r>
        <w:lastRenderedPageBreak/>
        <w:t>art. 153.1 de la Ley Orgánica 5/1985, de 19 de junio, del régimen electoral general (LOREG).</w:t>
      </w:r>
    </w:p>
    <w:p w14:paraId="5CE1006D" w14:textId="77777777" w:rsidR="009D7677" w:rsidRDefault="009D7677" w:rsidP="009D7677">
      <w:pPr>
        <w:pStyle w:val="TextoNormal"/>
      </w:pPr>
    </w:p>
    <w:p w14:paraId="6DE382BA" w14:textId="77777777" w:rsidR="009D7677" w:rsidRDefault="009D7677" w:rsidP="009D7677">
      <w:pPr>
        <w:pStyle w:val="TextoNormal"/>
      </w:pPr>
      <w:r>
        <w:t>Una vez desestimada la impugnación del apartado 2 del art. 47, procede idéntica decisión en cuanto a la letra d) del apartado 3 y a la letra d) del apartado 4, ya que la impugnación de estos preceptos deriva de la de aquel.</w:t>
      </w:r>
    </w:p>
    <w:p w14:paraId="42AAE170" w14:textId="77777777" w:rsidR="009D7677" w:rsidRDefault="009D7677" w:rsidP="009D7677">
      <w:pPr>
        <w:pStyle w:val="TextoNormal"/>
      </w:pPr>
    </w:p>
    <w:p w14:paraId="00C20C8F" w14:textId="3AF9270D" w:rsidR="009D7677" w:rsidRDefault="009D7677" w:rsidP="009D7677">
      <w:pPr>
        <w:pStyle w:val="TextoNormal"/>
      </w:pPr>
      <w:r>
        <w:t>En conclusión, queda desestimada la vulneración del art. 25.1 CE, así como la del art. 9.3 CE, que los diputados recurrentes anudan a la de aquel. Y con ello, la totalidad del recurso.</w:t>
      </w:r>
    </w:p>
    <w:p w14:paraId="79018ED2" w14:textId="77777777" w:rsidR="009D7677" w:rsidRDefault="009D7677" w:rsidP="009D7677">
      <w:pPr>
        <w:pStyle w:val="TextoNormal"/>
      </w:pPr>
    </w:p>
    <w:p w14:paraId="70FCC21B" w14:textId="77777777" w:rsidR="009D7677" w:rsidRDefault="009D7677" w:rsidP="009D7677">
      <w:pPr>
        <w:pStyle w:val="TextoNormalCentrado"/>
        <w:keepNext/>
      </w:pPr>
      <w:r>
        <w:t>FALLO</w:t>
      </w:r>
    </w:p>
    <w:p w14:paraId="2B2C0BDE" w14:textId="53D01685" w:rsidR="009D7677" w:rsidRDefault="009D7677" w:rsidP="009D7677">
      <w:pPr>
        <w:pStyle w:val="TextoNormalCentrado"/>
        <w:keepNext/>
      </w:pPr>
    </w:p>
    <w:p w14:paraId="457EBF6E" w14:textId="71EA59CF" w:rsidR="009D7677" w:rsidRDefault="009D7677" w:rsidP="009D7677">
      <w:pPr>
        <w:pStyle w:val="TextoNormal"/>
      </w:pPr>
      <w:r>
        <w:t>En atención a todo lo expuesto, el Tribunal Constitucional, por la autoridad que le confiere la Constitución de la Nación española, ha decidido desestimar íntegramente el recurso de inconstitucionalidad interpuesto por más de cincuenta diputados y diputadas del grupo parlamentario Vox, contra los arts. 4.4, 9.1, 13.2, 20.2, y 47, apartados 2, 3 d) y 4 d) de la Ley 15/2022, de 12 de julio, integral para la igualdad de trato y la no discriminación.</w:t>
      </w:r>
    </w:p>
    <w:p w14:paraId="5C84AAA5" w14:textId="77777777" w:rsidR="009D7677" w:rsidRDefault="009D7677" w:rsidP="009D7677">
      <w:pPr>
        <w:pStyle w:val="TextoNormal"/>
      </w:pPr>
    </w:p>
    <w:p w14:paraId="4E3DAB08" w14:textId="77777777" w:rsidR="009D7677" w:rsidRDefault="009D7677" w:rsidP="009D7677">
      <w:pPr>
        <w:pStyle w:val="TextoNormal"/>
      </w:pPr>
      <w:r>
        <w:t>Publíquese esta sentencia en el “Boletín Oficial del Estado”.</w:t>
      </w:r>
    </w:p>
    <w:p w14:paraId="11487DF5" w14:textId="77777777" w:rsidR="009D7677" w:rsidRDefault="009D7677" w:rsidP="009D7677">
      <w:pPr>
        <w:pStyle w:val="TextoNormal"/>
      </w:pPr>
      <w:r>
        <w:t>Dada en Madrid, a cinco de junio de dos mil veinticuatro.</w:t>
      </w:r>
    </w:p>
    <w:p w14:paraId="7BE096B0" w14:textId="2ED7363D" w:rsidR="009D7677" w:rsidRDefault="009D7677" w:rsidP="009D7677">
      <w:pPr>
        <w:pStyle w:val="ParrafoNormal"/>
      </w:pPr>
    </w:p>
    <w:p w14:paraId="1B294650" w14:textId="77777777" w:rsidR="009D7677" w:rsidRDefault="009D7677" w:rsidP="009D7677">
      <w:pPr>
        <w:pStyle w:val="TextoNormalNegritaCentrado"/>
        <w:keepNext/>
      </w:pPr>
      <w:r>
        <w:t>Voto particular que formulan los magistrados don Ricardo Enríquez Sancho y don César Tolosa Tribiño, a la sentencia del Pleno del Tribunal que resuelve el recurso de inconstitucionalidad núm. 6706-2022</w:t>
      </w:r>
    </w:p>
    <w:p w14:paraId="116E4FBC" w14:textId="4FF59385" w:rsidR="009D7677" w:rsidRDefault="009D7677" w:rsidP="009D7677">
      <w:pPr>
        <w:pStyle w:val="TextoNormalNegritaCentrado"/>
        <w:keepNext/>
      </w:pPr>
    </w:p>
    <w:p w14:paraId="7A3FEA1B" w14:textId="77777777" w:rsidR="009D7677" w:rsidRDefault="009D7677" w:rsidP="009D7677">
      <w:pPr>
        <w:pStyle w:val="TextoNormal"/>
      </w:pPr>
      <w:r>
        <w:t>En el ejercicio de la facultad que nos confiere el artículo 90.2 de la Ley Orgánica del Tribunal Constitucional, y con respeto a la opinión de los magistrados y las magistradas que han conformado la mayoría del Pleno, formulamos el presente voto particular para expresar nuestra discrepancia con el fundamento jurídico cuarto y con el consiguiente fallo de la sentencia, que confirma la constitucionalidad del apartado 2 del art. 13 de la Ley 15/2022, de 12 de julio, integral para la igualdad de trato y la no discriminación, que impide que los centros educativos que apliquen la educación diferenciada por razón de sexo puedan acogerse a la financiación pública, avalando además ahora la sentencia de la mayoría que esta regulación pueda hacerse mediante una mera ley ordinaria, en contra de la reserva de ley orgánica que se impone en este supuesto.</w:t>
      </w:r>
    </w:p>
    <w:p w14:paraId="393C8352" w14:textId="77777777" w:rsidR="009D7677" w:rsidRDefault="009D7677" w:rsidP="009D7677">
      <w:pPr>
        <w:pStyle w:val="TextoNormal"/>
      </w:pPr>
    </w:p>
    <w:p w14:paraId="61BE1CDF" w14:textId="77777777" w:rsidR="009D7677" w:rsidRDefault="009D7677" w:rsidP="009D7677">
      <w:pPr>
        <w:pStyle w:val="TextoNormal"/>
      </w:pPr>
      <w:r>
        <w:t>1. La sentencia desestima este recurso con una primera remisión a la reciente STC 34/2023, de 18 de abril, que confirmó la constitucionalidad del apartado 1 de la disposición adicional vigesimoquinta de la Ley Orgánica 3/2020, de 29 de diciembre, de educación, en la que se exigía que los centros sostenidos parcial o totalmente con fondos públicos desarrollarán el principio de coeducación en todas las etapas educativas, y no separarán al alumnado por su género.</w:t>
      </w:r>
    </w:p>
    <w:p w14:paraId="587C906A" w14:textId="77777777" w:rsidR="009D7677" w:rsidRDefault="009D7677" w:rsidP="009D7677">
      <w:pPr>
        <w:pStyle w:val="TextoNormal"/>
      </w:pPr>
    </w:p>
    <w:p w14:paraId="6E20063D" w14:textId="77777777" w:rsidR="009D7677" w:rsidRDefault="009D7677" w:rsidP="009D7677">
      <w:pPr>
        <w:pStyle w:val="TextoNormal"/>
      </w:pPr>
      <w:r>
        <w:t>Como ya expusimos en el voto particular que hicimos a la citada STC 34/2023, a cuya fundamentación nos remitimos, la decisión del legislador de no ayudar a un modelo educativo perfectamente constitucional, como es la educación diferenciada, vacía de conteni</w:t>
      </w:r>
      <w:r>
        <w:lastRenderedPageBreak/>
        <w:t>do el art. 27.9 CE. Así, “uno puede estar de acuerdo o en desacuerdo con este artículo 27.9, o pensar que la sociedad española ha evolucionado y es muy diferente a la de entonces de modo que aquel precepto ya no tiene sentido. Pero esa valoración no corresponde al Tribunal Constitucional, ni nos habilita para negar fuerza normativa a un precepto constitucional invocado ante nosotros por un sujeto legitimado”.</w:t>
      </w:r>
    </w:p>
    <w:p w14:paraId="50A35072" w14:textId="77777777" w:rsidR="009D7677" w:rsidRDefault="009D7677" w:rsidP="009D7677">
      <w:pPr>
        <w:pStyle w:val="TextoNormal"/>
      </w:pPr>
    </w:p>
    <w:p w14:paraId="3CAB201B" w14:textId="77777777" w:rsidR="009D7677" w:rsidRDefault="009D7677" w:rsidP="009D7677">
      <w:pPr>
        <w:pStyle w:val="TextoNormal"/>
      </w:pPr>
      <w:r>
        <w:t>Estas razones adquieren si cabe un mayor peso en el presente recurso de inconstitucionalidad en la medida en que el precepto impugnado no se limita, como hacía el apartado 1 de la disposición adicional vigesimoquinta de la Ley Orgánica 3/2020, a exigir que los centros “sostenidos” con fondos públicos desarrollen el principio de coeducación, sino que amplía su ámbito a “cualquier forma de financiación pública” de la que se excluye ahora expresamente a los centros que separen al alumnado por su género, dándole así un “ámbito más amplio” tal y como viene a reconocer la propia sentencia.</w:t>
      </w:r>
    </w:p>
    <w:p w14:paraId="4C0C39EC" w14:textId="77777777" w:rsidR="009D7677" w:rsidRDefault="009D7677" w:rsidP="009D7677">
      <w:pPr>
        <w:pStyle w:val="TextoNormal"/>
      </w:pPr>
    </w:p>
    <w:p w14:paraId="7426E322" w14:textId="77777777" w:rsidR="009D7677" w:rsidRDefault="009D7677" w:rsidP="009D7677">
      <w:pPr>
        <w:pStyle w:val="TextoNormal"/>
      </w:pPr>
      <w:r>
        <w:t>2. Pero la sentencia aborda ahora una cuestión novedosa que no fue objeto de examen en la STC 34/2023, y que es el rango normativo con el que el legislador puede establecer una prohibición, respecto de los centros educativos que separan al alumnado por su género, de acceder a cualquier forma de financiación pública, y que se ha llevado a cabo mediante una ley ordinaria y no mediante una ley orgánica, que por todos es conocido comporta unas mayores garantías al exigir una mayoría reforzada para su aprobación.</w:t>
      </w:r>
    </w:p>
    <w:p w14:paraId="6319BDA4" w14:textId="77777777" w:rsidR="009D7677" w:rsidRDefault="009D7677" w:rsidP="009D7677">
      <w:pPr>
        <w:pStyle w:val="TextoNormal"/>
      </w:pPr>
    </w:p>
    <w:p w14:paraId="40ADB95D" w14:textId="77777777" w:rsidR="009D7677" w:rsidRDefault="009D7677" w:rsidP="009D7677">
      <w:pPr>
        <w:pStyle w:val="TextoNormal"/>
      </w:pPr>
      <w:r>
        <w:t>a) En primer lugar, no podemos compartir la fundamentación de la sentencia que se limita a indicar que como el precepto recurrido “ni desarrolla ni incide en el art. 27.3 CE, no se vulnera el art. 81.1 CE”. El hecho de que se declare que el art. 13.2 de la Ley 15/2022 no vulnera el art. 27.3 CE desde el punto de vista “material” no exime a este tribunal de comprobar si se ha respetado la exigencia “formal” de que se haya aprobado mediante ley orgánica. De lo contrario, la mera declaración de que una norma legal respeta el contenido de un derecho fundamental vaciaría de contenido la función de garantía adicional que cumple el art. 81.1 CE en materia de derechos fundamentales que lo que exige precisamente es que se aprueben por ley orgánica las normas que desarrollen directamente derechos fundamentales en cuanto regulen aspectos consustanciales de los mismos (STC 101/1991, de 13 de mayo, FJ 2 entre otras). El instrumento de la ley orgánica, como ya dijimos al interpretar el art. 81.1 CE, “convierte a las Cortes en ‘constituyente permanente’” (SSTC 6/1982, de 22 de febrero, FJ 6; 127/1994, de 5 de mayo, FJ 3, y 173/1998, de 23 de julio, FJ 7).</w:t>
      </w:r>
    </w:p>
    <w:p w14:paraId="7D35A2DD" w14:textId="77777777" w:rsidR="009D7677" w:rsidRDefault="009D7677" w:rsidP="009D7677">
      <w:pPr>
        <w:pStyle w:val="TextoNormal"/>
      </w:pPr>
    </w:p>
    <w:p w14:paraId="4C5321AF" w14:textId="77777777" w:rsidR="009D7677" w:rsidRDefault="009D7677" w:rsidP="009D7677">
      <w:pPr>
        <w:pStyle w:val="TextoNormal"/>
      </w:pPr>
      <w:r>
        <w:t>b) Pero más allá del equivocado razonamiento en que incurre dicha argumentación, la sentencia de la mayoría ha soslayado la evidente relación que existe entre el derecho fundamental a la educación y la financiación de los centros educativos, y cómo la determinación de este último aspecto sí incide de forma directa en el contenido y límites del ejercicio del derecho fundamental consagrado en el art. 27.3 CE que asiste a los padres para que sus hijos reciban la formación religiosa y moral que esté de acuerdo con sus propias convicciones, y del art. 27.6 CE del derecho a la creación de centros docentes, en necesaria relación con el art. 27.9 CE que de forma imperativa determina que los poderes públicos ayudarán a los centros docentes que reúnan los requisitos que la ley establezca.</w:t>
      </w:r>
    </w:p>
    <w:p w14:paraId="32D36C63" w14:textId="77777777" w:rsidR="009D7677" w:rsidRDefault="009D7677" w:rsidP="009D7677">
      <w:pPr>
        <w:pStyle w:val="TextoNormal"/>
      </w:pPr>
    </w:p>
    <w:p w14:paraId="628C45C4" w14:textId="77777777" w:rsidR="009D7677" w:rsidRDefault="009D7677" w:rsidP="009D7677">
      <w:pPr>
        <w:pStyle w:val="TextoNormal"/>
      </w:pPr>
      <w:r>
        <w:t xml:space="preserve">El poder constituyente acordó, y el art. 27 así lo impone, una obligación de financiación a los centros docentes, para hacer efectivo el derecho a la educación. Nos encontramos </w:t>
      </w:r>
      <w:r>
        <w:lastRenderedPageBreak/>
        <w:t>ante un elemento nuclear del sistema educativo en la medida en que va dirigido a hacer efectivo el derecho a la educación que “incorpora así, sin duda, junto a su contenido primario de derecho de libertad, una dimensión prestacional, en cuya virtud los poderes públicos habrán de procurar la efectividad de tal derecho”, y “[a]l servicio de tal acción prestacional de los poderes públicos se hallan los instrumentos de planificación y promoción mencionados en el núm. 5 del mismo precepto, así como el mandato, en su apartado 9 de las correspondientes ayudas públicas a los centros docentes que reúnan los requisitos que la ley establezca” (STC 86/1985, de 10 de julio, FJ 3, y 236/2007, de 7 de noviembre, FJ 8).</w:t>
      </w:r>
    </w:p>
    <w:p w14:paraId="2C0D55AC" w14:textId="77777777" w:rsidR="009D7677" w:rsidRDefault="009D7677" w:rsidP="009D7677">
      <w:pPr>
        <w:pStyle w:val="TextoNormal"/>
      </w:pPr>
    </w:p>
    <w:p w14:paraId="474E374F" w14:textId="77777777" w:rsidR="009D7677" w:rsidRDefault="009D7677" w:rsidP="009D7677">
      <w:pPr>
        <w:pStyle w:val="TextoNormal"/>
      </w:pPr>
      <w:r>
        <w:t>Por lo tanto, la decisión del legislador de limitar la financiación pública a determinados centros es una opción que en todo caso debe adoptarse por medio de ley orgánica porque, como hemos dicho de forma insistente en nuestra doctrina, deben revestir la forma de ley orgánica las normas que “establezcan restricciones de esos derechos y libertades" o los desarrollen de modo directo “en cuanto regulen aspectos consustanciales de los mismos” (STC 127/1994, de 5 de mayo, FJ 3, y jurisprudencia que cita).</w:t>
      </w:r>
    </w:p>
    <w:p w14:paraId="60D063B8" w14:textId="77777777" w:rsidR="009D7677" w:rsidRDefault="009D7677" w:rsidP="009D7677">
      <w:pPr>
        <w:pStyle w:val="TextoNormal"/>
      </w:pPr>
    </w:p>
    <w:p w14:paraId="4EB0E857" w14:textId="77777777" w:rsidR="009D7677" w:rsidRDefault="009D7677" w:rsidP="009D7677">
      <w:pPr>
        <w:pStyle w:val="TextoNormal"/>
      </w:pPr>
      <w:r>
        <w:t>c) Finalmente, cualquier duda que pudiera haber sobre la necesidad de que el rango normativo de tal prohibición legal sea el de ley orgánica queda disipada con el entendimiento que el legislador ha hecho de esta materia desde la aprobación del texto constitucional, y de su art. 27, el cual, como ya explicamos en el voto particular a la STC 34/2023, es de “de protección ultrarreforzada”.</w:t>
      </w:r>
    </w:p>
    <w:p w14:paraId="47AD62DA" w14:textId="77777777" w:rsidR="009D7677" w:rsidRDefault="009D7677" w:rsidP="009D7677">
      <w:pPr>
        <w:pStyle w:val="TextoNormal"/>
      </w:pPr>
    </w:p>
    <w:p w14:paraId="7423819B" w14:textId="77777777" w:rsidR="009D7677" w:rsidRDefault="009D7677" w:rsidP="009D7677">
      <w:pPr>
        <w:pStyle w:val="TextoNormal"/>
      </w:pPr>
      <w:r>
        <w:t>Así, la primera Ley Orgánica 8/1985, de 3 de julio, reguladora del derecho a la educación contempló los conciertos educativos en su art. 47, norma toda ella orgánica que como dejó reflejado en su exposición de motivos constituía “una ley de regulación de los centros escolares y de sostenimiento de los concertados”; la Ley Orgánica 10/2002, de 23 de diciembre, de calidad de la educación reguló los centros concertados en su art. 75, precepto que se declaró expresamente de carácter orgánico en su disposición final décima; y también en la Ley Orgánica 2/2006, de 3 de mayo, de educación, los conciertos, regulados en los arts. 116 y 177 (capítulo IV del título IV) tienen rango orgánico según su disposición final séptima.</w:t>
      </w:r>
    </w:p>
    <w:p w14:paraId="7C25785E" w14:textId="77777777" w:rsidR="009D7677" w:rsidRDefault="009D7677" w:rsidP="009D7677">
      <w:pPr>
        <w:pStyle w:val="TextoNormal"/>
      </w:pPr>
    </w:p>
    <w:p w14:paraId="19D61E5E" w14:textId="77777777" w:rsidR="009D7677" w:rsidRDefault="009D7677" w:rsidP="009D7677">
      <w:pPr>
        <w:pStyle w:val="TextoNormal"/>
      </w:pPr>
      <w:r>
        <w:t>Por lo tanto, estamos ante una regulación que el legislador siempre ha entendido sin atisbo alguno de duda que debía tener rango de ley orgánica, y ello porque determina el contenido y límites del derecho a la educación consagrado en el art. 27 CE. Esta realidad normativa exigía como mínimo una reflexión que no ha acometido la sentencia de la mayoría, que ha validado sin más una rebaja de rango materializada por el legislador y que conlleva inevitablemente una disminución de las garantías que la regulación de los derechos fundamentales exige por imperativo del art. 81 CE, en este caso, del derecho fundamental a la educación.</w:t>
      </w:r>
    </w:p>
    <w:p w14:paraId="2DA5D70A" w14:textId="77777777" w:rsidR="009D7677" w:rsidRDefault="009D7677" w:rsidP="009D7677">
      <w:pPr>
        <w:pStyle w:val="TextoNormal"/>
      </w:pPr>
    </w:p>
    <w:p w14:paraId="3DDB75E4" w14:textId="77777777" w:rsidR="009D7677" w:rsidRDefault="009D7677" w:rsidP="009D7677">
      <w:pPr>
        <w:pStyle w:val="TextoNormal"/>
      </w:pPr>
      <w:r>
        <w:t>Por todas estas razones entendemos que el apartado 2 del art. 13 de la Ley 15/2022, de 12 de julio, debió declararse inconstitucional.</w:t>
      </w:r>
    </w:p>
    <w:p w14:paraId="583ABA84" w14:textId="77777777" w:rsidR="009D7677" w:rsidRDefault="009D7677" w:rsidP="009D7677">
      <w:pPr>
        <w:pStyle w:val="TextoNormal"/>
      </w:pPr>
    </w:p>
    <w:p w14:paraId="36007CEB" w14:textId="77777777" w:rsidR="009D7677" w:rsidRDefault="009D7677" w:rsidP="009D7677">
      <w:pPr>
        <w:pStyle w:val="TextoNormal"/>
      </w:pPr>
      <w:r>
        <w:t>Y en tal sentido, emitimos nuestro voto particular.</w:t>
      </w:r>
    </w:p>
    <w:p w14:paraId="629A0253" w14:textId="77777777" w:rsidR="009D7677" w:rsidRDefault="009D7677" w:rsidP="009D7677">
      <w:pPr>
        <w:pStyle w:val="TextoNormal"/>
      </w:pPr>
    </w:p>
    <w:p w14:paraId="1810DB60" w14:textId="52642483" w:rsidR="009D7677" w:rsidRDefault="009D7677" w:rsidP="009D7677">
      <w:pPr>
        <w:pStyle w:val="TextoNormal"/>
      </w:pPr>
      <w:r>
        <w:t>Madrid, a cinco de junio de dos mil veinticuatro.</w:t>
      </w:r>
    </w:p>
    <w:p w14:paraId="43773F99" w14:textId="77777777" w:rsidR="009D7677" w:rsidRDefault="009D7677" w:rsidP="009D7677">
      <w:pPr>
        <w:pStyle w:val="TextoNormal"/>
      </w:pPr>
    </w:p>
    <w:p w14:paraId="08109D19" w14:textId="77777777" w:rsidR="009D7677" w:rsidRDefault="009D7677" w:rsidP="009D7677">
      <w:pPr>
        <w:pStyle w:val="TextoNormalNegritaCentrado"/>
        <w:keepNext/>
      </w:pPr>
      <w:r>
        <w:t>Voto particular concurrente que formula la magistrada doña María Luisa Balaguer Callejón a la sentencia dictada en el recurso de inconstitucionalidad núm. 6706-2022</w:t>
      </w:r>
    </w:p>
    <w:p w14:paraId="4A877A5F" w14:textId="4A6E6474" w:rsidR="009D7677" w:rsidRDefault="009D7677" w:rsidP="009D7677">
      <w:pPr>
        <w:pStyle w:val="TextoNormalNegritaCentrado"/>
        <w:keepNext/>
      </w:pPr>
    </w:p>
    <w:p w14:paraId="13F214A3" w14:textId="77777777" w:rsidR="009D7677" w:rsidRDefault="009D7677" w:rsidP="009D7677">
      <w:pPr>
        <w:pStyle w:val="TextoNormal"/>
      </w:pPr>
      <w:r>
        <w:t>Con el mayor respeto al criterio reflejado en la sentencia a que se refiere el encabezamiento y que comparto plenamente, formulo este voto, en ejercicio de la facultad prevista en el art. 90.2 LOTC, para dejar constancia de algunas reflexiones que expuse en la deliberación en el Pleno y que no han encontrado reflejo en el texto final de la sentencia.</w:t>
      </w:r>
    </w:p>
    <w:p w14:paraId="48DAA4BB" w14:textId="77777777" w:rsidR="009D7677" w:rsidRDefault="009D7677" w:rsidP="009D7677">
      <w:pPr>
        <w:pStyle w:val="TextoNormal"/>
      </w:pPr>
    </w:p>
    <w:p w14:paraId="661EE29E" w14:textId="77777777" w:rsidR="009D7677" w:rsidRDefault="009D7677" w:rsidP="009D7677">
      <w:pPr>
        <w:pStyle w:val="TextoNormal"/>
      </w:pPr>
      <w:r>
        <w:t>La demanda que interpone el recurso de inconstitucionalidad parte del presupuesto de que, a pesar de que la Ley 15/2022 desarrolla el principio antidiscriminatorio, contenido en el art. 14 CE, no se le puede exigir que tenga carácter orgánico, porque dicho precepto no figura entre los recogidos en la sección primera del capítulo II del título I de la Constitución española, que son los únicos que exigen ley orgánica, de acuerdo con lo dispuesto en el art. 81.1 CE. Sobre la base de esta consideración, la demanda se limita a cuestionar la suficiencia de la regulación como ley ordinaria cuando los preceptos recurridos se refieren al ejercicio de otros derechos fundamentales de los comprendidos en la sección primera del capítulo II del título I de la Constitución. Concretamente se hace referencia a la reserva de ley orgánica en el fundamento jurídico 4, al resolver la impugnación del art. 13.2 de la Ley 15/2022, referido a la financiación pública de los centros educativos que aplican la educación diferenciada por razón de sexo, y en la medida en que tal disposición está conectada con el art. 27.3 CE.</w:t>
      </w:r>
    </w:p>
    <w:p w14:paraId="7F5E51B9" w14:textId="77777777" w:rsidR="009D7677" w:rsidRDefault="009D7677" w:rsidP="009D7677">
      <w:pPr>
        <w:pStyle w:val="TextoNormal"/>
      </w:pPr>
    </w:p>
    <w:p w14:paraId="5F49CEF2" w14:textId="77777777" w:rsidR="009D7677" w:rsidRDefault="009D7677" w:rsidP="009D7677">
      <w:pPr>
        <w:pStyle w:val="TextoNormal"/>
      </w:pPr>
      <w:r>
        <w:t>Sin embargo, la sentencia aprobada por el Pleno no formula ninguna consideración general sobre la doctrina relativa a la exclusión del art. 14 CE de la garantía normativa de la reserva de ley orgánica, y asume la suficiencia de la ley ordinaria para desarrollar el principio antidiscriminatorio y el derecho a la igualdad, sin plantearse una reflexión, a mi juicio imprescindible, sobre la necesidad de revisar o no la jurisprudencia contenida en la STC 76/1983, de 5 de agosto, que resolvía el recurso previo de inconstitucionalidad frente al proyecto de Ley Orgánica de armonización del proceso autonómico (LOAPA).</w:t>
      </w:r>
    </w:p>
    <w:p w14:paraId="47E4B2F0" w14:textId="77777777" w:rsidR="009D7677" w:rsidRDefault="009D7677" w:rsidP="009D7677">
      <w:pPr>
        <w:pStyle w:val="TextoNormal"/>
      </w:pPr>
    </w:p>
    <w:p w14:paraId="4E53F2A0" w14:textId="77777777" w:rsidR="009D7677" w:rsidRDefault="009D7677" w:rsidP="009D7677">
      <w:pPr>
        <w:pStyle w:val="TextoNormal"/>
      </w:pPr>
      <w:r>
        <w:t>Sin avanzar sobre cual hubiera debido ser el resultado de esa reflexión porque, efectivamente, el Pleno no la aborda, considero que la misma debería haberse producido y que estábamos en el contexto procesal adecuado para hacerlo. Si bien es cierto que el Tribunal no puede alterar los términos del debate procesal establecido en la demanda, en cambio sí tiene la obligación de definir adecuadamente el parámetro de control aplicable a la solución de la controversia sometida a su juicio. Y esa obligación incluye, cuando sea preciso, cuestionar y revisar la jurisprudencia previa en que se basa el marco argumental planteado en la demanda, porque si los argumentos de inconstitucionalidad se basan en la interpretación dada por el Tribunal a un determinado precepto de la Constitución, en este caso al alcance de la reserva de ley orgánica contenida en el art. 81.1 CE, y tal interpretación ha perdido validez, como es aquí el caso, las bases sobre las que se construye el juicio de constitucionalidad son inapropiadas. En el supuesto que ahora nos ocupa la base jurisprudencial revisable es la que se contenía en la STC 76/1983.</w:t>
      </w:r>
    </w:p>
    <w:p w14:paraId="7820EB42" w14:textId="77777777" w:rsidR="009D7677" w:rsidRDefault="009D7677" w:rsidP="009D7677">
      <w:pPr>
        <w:pStyle w:val="TextoNormal"/>
      </w:pPr>
    </w:p>
    <w:p w14:paraId="161CB4CD" w14:textId="77777777" w:rsidR="009D7677" w:rsidRDefault="009D7677" w:rsidP="009D7677">
      <w:pPr>
        <w:pStyle w:val="TextoNormal"/>
      </w:pPr>
      <w:r>
        <w:lastRenderedPageBreak/>
        <w:t>La sentencia que resolvió el recurso previo de inconstitucionalidad contra el proyecto de Ley Orgánica de armonización del proceso autonómico (LOAPA) formulaba en el fundamento jurídico 2 un conjunto de consideraciones sobres el carácter orgánico del proyecto, negando la equiparación de alcance material entre la garantía jurisdiccional del recurso de amparo, que incluye expresamente el art. 14 CE por vía de la redacción del art. 53.2 CE, y la garantía normativa de la reserva de ley orgánica que contempla el art. 81.1 CE. Dice literalmente la sentencia del año 1983 que: “el art. 81.1, al definir las materias propias de ley orgánica, se refiere al ‘desarrollo de los derechos fundamentales y de las libertades públicas’, que es precisamente la rúbrica utilizada para designar el conjunto de los artículos comprendidos en la sección primera del capítulo II […]. Existe, pues, una exclusión expresa del art. 14 en el art. 81.1 de la Constitución. Tal exclusión, por otra parte, está justificada porque la igualdad reconocida en el art. 14 no constituye un derecho subjetivo autónomo, existente por sí mismo, pues su contenido viene establecido siempre respecto de relaciones jurídicas concretas. De aquí que pueda ser objeto de amparo en la medida en que se cuestione si tal derecho ha sido vulnerado en una concreta relación jurídica y, en cambio, no pueda ser objeto de una regulación o desarrollo normativo con carácter general”.</w:t>
      </w:r>
    </w:p>
    <w:p w14:paraId="44AE15CE" w14:textId="77777777" w:rsidR="009D7677" w:rsidRDefault="009D7677" w:rsidP="009D7677">
      <w:pPr>
        <w:pStyle w:val="TextoNormal"/>
      </w:pPr>
    </w:p>
    <w:p w14:paraId="7BE112ED" w14:textId="77777777" w:rsidR="009D7677" w:rsidRDefault="009D7677" w:rsidP="009D7677">
      <w:pPr>
        <w:pStyle w:val="TextoNormal"/>
      </w:pPr>
      <w:r>
        <w:t>Esta interpretación de la reserva de ley orgánica, esencialmente formalista, y basada además en la lectura de los trabajos constituyentes, hubiera debido ser revisada por el Tribunal en esta sentencia, a la luz del alcance e interpretación actual del principio antidiscriminatorio y del derecho a la igualdad de trato. Es necesario modificar el paradigma interpretativo del art. 14 CE, así como debemos ir flexibilizando poco a poco la jurisprudencia constitucional en materia de igualdad de trato para huir del parámetro rígido marcado por la dimensión relacional del derecho a la igualdad.</w:t>
      </w:r>
    </w:p>
    <w:p w14:paraId="08FE6C6B" w14:textId="77777777" w:rsidR="009D7677" w:rsidRDefault="009D7677" w:rsidP="009D7677">
      <w:pPr>
        <w:pStyle w:val="TextoNormal"/>
      </w:pPr>
    </w:p>
    <w:p w14:paraId="6F4C9DCA" w14:textId="77777777" w:rsidR="009D7677" w:rsidRDefault="009D7677" w:rsidP="009D7677">
      <w:pPr>
        <w:pStyle w:val="TextoNormal"/>
      </w:pPr>
      <w:r>
        <w:t>Simplificando el argumento, la tesis sostenida en la sentencia asume que el art. 14 CE no se incluye entre los derechos fundamentales al encontrarse fuera de la sección primera del capítulo II del título I, rubricado “de los derechos fundamentales y de las libertades públicas”, y por eso mismo, no se proyecta a la igualdad la reserva de ley orgánica del art. 81.1 CE, que se refiere al desarrollo “de los derechos fundamentales y las libertades públicas”. Esta interpretación sistemática de la reserva de ley orgánica, y esencialmente nominalista, obvia tanto la finalidad de la ley orgánica como la naturaleza actual del derecho fundamental a la igualdad de trato que es, exactamente, el tema que desarrolla y regula la Ley 15/2022, de 12 de julio, integral para la igualdad de trato y la no discriminación.</w:t>
      </w:r>
    </w:p>
    <w:p w14:paraId="7B6BEAC5" w14:textId="77777777" w:rsidR="009D7677" w:rsidRDefault="009D7677" w:rsidP="009D7677">
      <w:pPr>
        <w:pStyle w:val="TextoNormal"/>
      </w:pPr>
    </w:p>
    <w:p w14:paraId="0A889075" w14:textId="77777777" w:rsidR="009D7677" w:rsidRDefault="009D7677" w:rsidP="009D7677">
      <w:pPr>
        <w:pStyle w:val="TextoNormal"/>
      </w:pPr>
      <w:r>
        <w:t>Las leyes orgánicas, novedad normativa que introduce la Constitución española de 1978, se incorporan a nuestro sistema de fuentes para prolongar el consenso constitucional en algunas materias cuya regulación se había deferido en el tiempo a un momento post-constituyente, para permitir el avance en la redacción del texto de la Constitución. De ahí la excepcional exigencia de mayoría absoluta para la aprobación de la ley orgánica y de ahí que el desarrollo normativo de los derechos fundamentales quede deferido a un conjunto de posteriores leyes orgánicas que ni siguiera se han aprobado en relación con todos y cada uno de los derechos fundamentales comprendidos entre los arts. 15 y 29 CE. Tampoco el principio de igualdad fue objeto de desarrollo normativo inmediato sino que hubo que esperar hasta el año 2007, a la aprobación de la Ley (en este caso claramente Orgánica) 3/2007, de 22 de marzo, para la igualdad efectiva de mujeres y hombres. Y ese desarrollo normativo pone de manifiesto que, más allá de que la igualdad se defina como prin</w:t>
      </w:r>
      <w:r>
        <w:lastRenderedPageBreak/>
        <w:t>cipio o se le negase en el año 1983 la naturaleza de derecho subjetivo autónomo para relegarlo a la condición de mero principio relacional, inactivo salvo que se conecte con el ejercicio de un derecho subjetivo en sentido propio, actualmente la configuración jurídica más reconocible de la igualdad es la de derecho fundamental. Un derecho fundamental a que seamos tratados por las normas, actos y decisiones de quienes ejercen poder público y de quienes se relacionan con nosotros de cualquier modo, de forma igual o equivalente a quienes ocupan una posición o estatuto jurídico idéntico al nuestro. Un derecho fundamental a que eventuales diferencias de trato tengan una justificación objetiva y razonable, que encuentre sustento en la protección de otros bienes o principios constitucionales. Un derecho fundamental a que los sesgos discriminatorios sean erradicados del “comportamiento jurídico” y del comportamiento social en sentido amplio.</w:t>
      </w:r>
    </w:p>
    <w:p w14:paraId="77E67FF5" w14:textId="77777777" w:rsidR="009D7677" w:rsidRDefault="009D7677" w:rsidP="009D7677">
      <w:pPr>
        <w:pStyle w:val="TextoNormal"/>
      </w:pPr>
    </w:p>
    <w:p w14:paraId="4EAFB35D" w14:textId="77777777" w:rsidR="009D7677" w:rsidRDefault="009D7677" w:rsidP="009D7677">
      <w:pPr>
        <w:pStyle w:val="TextoNormal"/>
      </w:pPr>
      <w:r>
        <w:t>Después de cuarenta y cinco años de vigencia de la Constitución no podemos seguir manteniendo, como se dijo en 1983, que la igualdad no constituye un derecho subjetivo autónomo. Constituye un derecho fundamental que, además, se ha desarrollado principalmente en la jurisprudencia constitucional. Y por eso mismo la jurisprudencia constitucional debe ser revisada para asumir una posición coherente y sistemática respecto de la aproximación al derecho fundamental a la igualdad de trato.</w:t>
      </w:r>
    </w:p>
    <w:p w14:paraId="7BDE6420" w14:textId="77777777" w:rsidR="009D7677" w:rsidRDefault="009D7677" w:rsidP="009D7677">
      <w:pPr>
        <w:pStyle w:val="TextoNormal"/>
      </w:pPr>
    </w:p>
    <w:p w14:paraId="6C9B1F8E" w14:textId="1DB42C7E" w:rsidR="009D7677" w:rsidRDefault="009D7677" w:rsidP="009D7677">
      <w:pPr>
        <w:pStyle w:val="TextoNormal"/>
      </w:pPr>
      <w:r>
        <w:t>Madrid, a cinco de junio de dos mil veinticuatro.</w:t>
      </w:r>
    </w:p>
    <w:p w14:paraId="5368F5D9" w14:textId="77777777" w:rsidR="009D7677" w:rsidRDefault="009D7677" w:rsidP="009D7677">
      <w:pPr>
        <w:pStyle w:val="TextoNormal"/>
      </w:pPr>
    </w:p>
    <w:p w14:paraId="261D3E21" w14:textId="77777777" w:rsidR="009D7677" w:rsidRDefault="009D7677" w:rsidP="009D7677">
      <w:pPr>
        <w:pStyle w:val="TextoNormalNegritaCentrado"/>
        <w:keepNext/>
      </w:pPr>
      <w:r>
        <w:t>Voto particular que formulan el magistrado don Enrique Arnaldo Alcubilla y la magistrada doña Concepción Espejel Jorquera a la sentencia dictada en el recurso de inconstitucionalidad núm. 6706-2022</w:t>
      </w:r>
    </w:p>
    <w:p w14:paraId="7DDEC422" w14:textId="66174775" w:rsidR="009D7677" w:rsidRDefault="009D7677" w:rsidP="009D7677">
      <w:pPr>
        <w:pStyle w:val="TextoNormalNegritaCentrado"/>
        <w:keepNext/>
      </w:pPr>
    </w:p>
    <w:p w14:paraId="7A64186F" w14:textId="77777777" w:rsidR="009D7677" w:rsidRDefault="009D7677" w:rsidP="009D7677">
      <w:pPr>
        <w:pStyle w:val="TextoNormal"/>
      </w:pPr>
      <w:r>
        <w:t xml:space="preserve">1. </w:t>
      </w:r>
      <w:r w:rsidRPr="009D7677">
        <w:rPr>
          <w:i/>
        </w:rPr>
        <w:t>Remisión al voto particular conjunto de los magistrados Enríquez Sancho y Tolosa Tribiño (prohibición, contenida en una ley ordinaria, de financiación pública de centros educativos que separen al alumnado por su género</w:t>
      </w:r>
      <w:r>
        <w:t>)</w:t>
      </w:r>
    </w:p>
    <w:p w14:paraId="41879B7B" w14:textId="77777777" w:rsidR="009D7677" w:rsidRDefault="009D7677" w:rsidP="009D7677">
      <w:pPr>
        <w:pStyle w:val="TextoNormal"/>
      </w:pPr>
    </w:p>
    <w:p w14:paraId="208FFA08" w14:textId="77777777" w:rsidR="009D7677" w:rsidRDefault="009D7677" w:rsidP="009D7677">
      <w:pPr>
        <w:pStyle w:val="TextoNormal"/>
      </w:pPr>
      <w:r>
        <w:t>Las razones principales de nuestra discrepancia con la sentencia que resuelve este recurso de inconstitucionalidad son las expresadas en el voto particular suscrito por los magistrados don Ricardo Enríquez Sancho y don César Tolosa Tribiño, al que nos adherimos.</w:t>
      </w:r>
    </w:p>
    <w:p w14:paraId="632E2AA8" w14:textId="77777777" w:rsidR="009D7677" w:rsidRDefault="009D7677" w:rsidP="009D7677">
      <w:pPr>
        <w:pStyle w:val="TextoNormal"/>
      </w:pPr>
    </w:p>
    <w:p w14:paraId="322699DA" w14:textId="77777777" w:rsidR="009D7677" w:rsidRDefault="009D7677" w:rsidP="009D7677">
      <w:pPr>
        <w:pStyle w:val="TextoNormal"/>
      </w:pPr>
      <w:r>
        <w:t>Bastará por ello con remitirnos a lo expuesto en dicho voto particular en cuanto a las cuestiones allí tratadas, y en concreto a nuestra discrepancia con el parecer de la mayoría del Tribunal, que ha desestimado la impugnación del art. 13 de la Ley 15/2022, de 12 de julio, integral para la igualdad de trato y la no discriminación. A nuestro entender, el contenido de este precepto, relativo a la educación diferenciada, debía ser regulado por ley orgánica y no por ley ordinaria, por lo que el art. 13 de la Ley 15/2022 infringe el art. 81.1 CE. Además, este precepto infringe lo dispuesto en el art. 27.9 CE, por las razones que expresamos en el voto particular a la STC 34/2023, de 18 de abril, sobre la Ley Orgánica 3/2020, por la que se modificó la Ley Orgánica 2/2006, de educación, en lo referido a la prohibición de concertar educación diferenciada por sexos.</w:t>
      </w:r>
    </w:p>
    <w:p w14:paraId="3ECFE886" w14:textId="77777777" w:rsidR="009D7677" w:rsidRDefault="009D7677" w:rsidP="009D7677">
      <w:pPr>
        <w:pStyle w:val="TextoNormal"/>
      </w:pPr>
    </w:p>
    <w:p w14:paraId="42073172" w14:textId="77777777" w:rsidR="009D7677" w:rsidRDefault="009D7677" w:rsidP="009D7677">
      <w:pPr>
        <w:pStyle w:val="TextoNormal"/>
      </w:pPr>
      <w:r>
        <w:t xml:space="preserve">2. </w:t>
      </w:r>
      <w:r w:rsidRPr="009D7677">
        <w:rPr>
          <w:i/>
        </w:rPr>
        <w:t>Infracción del derecho a la legalidad sancionadora</w:t>
      </w:r>
    </w:p>
    <w:p w14:paraId="19C797DE" w14:textId="77777777" w:rsidR="009D7677" w:rsidRDefault="009D7677" w:rsidP="009D7677">
      <w:pPr>
        <w:pStyle w:val="TextoNormal"/>
      </w:pPr>
    </w:p>
    <w:p w14:paraId="6D723A37" w14:textId="77777777" w:rsidR="009D7677" w:rsidRDefault="009D7677" w:rsidP="009D7677">
      <w:pPr>
        <w:pStyle w:val="TextoNormal"/>
      </w:pPr>
      <w:r>
        <w:lastRenderedPageBreak/>
        <w:t>Además de la adhesión al voto particular conjunto por las razones indicadas, debemos añadir que nuestra discrepancia con el parecer mayoritario del Tribunal se extiende al enjuiciamiento que en la sentencia se lleva a cabo de la impugnación que los diputados recurrentes dirigen contra el art. 47.2 de la Ley 15/2022.</w:t>
      </w:r>
    </w:p>
    <w:p w14:paraId="1EB55889" w14:textId="77777777" w:rsidR="009D7677" w:rsidRDefault="009D7677" w:rsidP="009D7677">
      <w:pPr>
        <w:pStyle w:val="TextoNormal"/>
      </w:pPr>
    </w:p>
    <w:p w14:paraId="571C9B9C" w14:textId="77777777" w:rsidR="009D7677" w:rsidRDefault="009D7677" w:rsidP="009D7677">
      <w:pPr>
        <w:pStyle w:val="TextoNormal"/>
      </w:pPr>
      <w:r>
        <w:t>La sentencia entiende que el art. 47.2 de la Ley 15/2022, que considera como infracciones leves “las conductas que incurran en irregularidades formales por la inobservancia de lo establecido en la presente ley y en su normativa de desarrollo, siempre que no generen o contengan un efecto discriminatorio, ni estén motivadas en una razón discriminatoria en los términos previstos en esta ley”, no solo cumple adecuadamente la vertiente o garantía formal del derecho a la legalidad sancionadora reconocido en el art. 25.1 CE, sino también las exigencias derivadas de la garantía material de ese derecho fundamental, conforme a la doctrina constitucional sentada al respecto.</w:t>
      </w:r>
    </w:p>
    <w:p w14:paraId="021A8922" w14:textId="77777777" w:rsidR="009D7677" w:rsidRDefault="009D7677" w:rsidP="009D7677">
      <w:pPr>
        <w:pStyle w:val="TextoNormal"/>
      </w:pPr>
    </w:p>
    <w:p w14:paraId="051ED3D7" w14:textId="77777777" w:rsidR="009D7677" w:rsidRDefault="009D7677" w:rsidP="009D7677">
      <w:pPr>
        <w:pStyle w:val="TextoNormal"/>
      </w:pPr>
      <w:r>
        <w:t>Discrepamos de esta apreciación. El enunciado del art. 47.2 de la Ley 15/2022 contiene una tipificación tan residual y tan excesivamente abierta de las infracciones leves que no resulta compatible con el derecho a la legalidad sancionadora (art. 25.1 CE), en su vertiente formal, por la indefinición resultante del tipo infractor, que es prácticamente inencontrable, como implícitamente reconoce la propia sentencia que hace el esfuerzo de intentar identificar algún supuesto que podría hipotéticamente integrarse en el mismo.</w:t>
      </w:r>
    </w:p>
    <w:p w14:paraId="58515B4F" w14:textId="77777777" w:rsidR="009D7677" w:rsidRDefault="009D7677" w:rsidP="009D7677">
      <w:pPr>
        <w:pStyle w:val="TextoNormal"/>
      </w:pPr>
    </w:p>
    <w:p w14:paraId="761ED26B" w14:textId="77777777" w:rsidR="009D7677" w:rsidRDefault="009D7677" w:rsidP="009D7677">
      <w:pPr>
        <w:pStyle w:val="TextoNormal"/>
      </w:pPr>
      <w:r>
        <w:t>La conclusión sobre la inconstitucionalidad del art. 47.2 de la Ley 15/2022 resulta reforzada cuando el precepto se examina desde la perspectiva de la predeterminación normativa de las conductas que pueden ser sancionadas, vertiente o garantía material del derecho a la legalidad sancionadora (art. 25.1 CE) que se imbrica en el presente caso con la garantía formal de ese derecho fundamental.</w:t>
      </w:r>
    </w:p>
    <w:p w14:paraId="7256E467" w14:textId="77777777" w:rsidR="009D7677" w:rsidRDefault="009D7677" w:rsidP="009D7677">
      <w:pPr>
        <w:pStyle w:val="TextoNormal"/>
      </w:pPr>
    </w:p>
    <w:p w14:paraId="13FB0B3B" w14:textId="77777777" w:rsidR="009D7677" w:rsidRDefault="009D7677" w:rsidP="009D7677">
      <w:pPr>
        <w:pStyle w:val="TextoNormal"/>
      </w:pPr>
      <w:r>
        <w:t>La remisión a la normativa reglamentaria de desarrollo, sin más acotaciones que la implícita atinente a la simple acotación de la materia (por lo demás particularmente extensa y genérica en el presente caso: la igualdad de trato y la no discriminación) o el carácter residual de un tipo de infracción (respecto de otros tipos definidos con precisión en la misma ley, en este caso las infracciones muy graves y graves por referencia interna a conductas discriminatorias), dificulta de tal modo el conocimiento de lo prohibido —al exigir la búsqueda de los reglamentos aplicables y de las normas que en ellos establecen obligaciones— que permite afirmar que en el precepto legal impugnado no permite predecir, con suficiente grado de certeza, qué conductas serán sancionables como infracciones leves, a través de la regulación reglamentaria y de la integración que posibilita el art. 47.2 de la Ley 15/2022.</w:t>
      </w:r>
    </w:p>
    <w:p w14:paraId="63996E93" w14:textId="77777777" w:rsidR="009D7677" w:rsidRDefault="009D7677" w:rsidP="009D7677">
      <w:pPr>
        <w:pStyle w:val="TextoNormal"/>
      </w:pPr>
    </w:p>
    <w:p w14:paraId="15D5CAC5" w14:textId="77777777" w:rsidR="009D7677" w:rsidRDefault="009D7677" w:rsidP="009D7677">
      <w:pPr>
        <w:pStyle w:val="TextoNormal"/>
      </w:pPr>
      <w:r>
        <w:t>Cabe añadir que, en relación con la garantía material de la legalidad sancionadora, la sentencia parece confundir el plano de la colaboración reglamentaria en la propia tarea de tipificación de las infracciones administrativas (técnica admisible con determinadas limitaciones, que la jurisprudencia constitucional ha precisado), con el plano de la remisión interna por el legislador al contenido de la propia ley, sin desarrollo reglamentario de la tipificación (como sucedía en el caso enjuiciado en la STC 14/2021, de 28 de enero, en relación con el art. 153.1 LOREG) que son planos obviamente diferentes, por lo que no es correcto afirmar —como hace la sentencia indebidamente— que estemos en el presente asunto “ante un caso análogo al enjuiciado en la STC 14/2021, de 28 de enero”.</w:t>
      </w:r>
    </w:p>
    <w:p w14:paraId="71D84423" w14:textId="77777777" w:rsidR="009D7677" w:rsidRDefault="009D7677" w:rsidP="009D7677">
      <w:pPr>
        <w:pStyle w:val="TextoNormal"/>
      </w:pPr>
    </w:p>
    <w:p w14:paraId="2A8C454E" w14:textId="77777777" w:rsidR="009D7677" w:rsidRDefault="009D7677" w:rsidP="009D7677">
      <w:pPr>
        <w:pStyle w:val="TextoNormal"/>
      </w:pPr>
      <w:r>
        <w:t>Debió, en consecuencia, estimarse la queja de los diputados recurrentes en este punto y declararse la inconstitucionalidad y nulidad del art. 47.2 de la Ley 15/2022, y por consiguiente de los asimismo impugnados apartados 3 d) y 4 d) del art. 47 de la misma ley, que tipifican, respectivamente, como infracción grave la comisión de tres o más infracciones leves en el plazo de un año, y como muy grave la comisión de tres o más infracciones graves en dicho plazo, pues la indefinición del tipo infractor del apartado 2 del art. 47, lesiva del derecho a la legalidad sancionadora (art. 25.1 CE), repercute inevitablemente en dichos preceptos.</w:t>
      </w:r>
    </w:p>
    <w:p w14:paraId="045CDAC6" w14:textId="77777777" w:rsidR="009D7677" w:rsidRDefault="009D7677" w:rsidP="009D7677">
      <w:pPr>
        <w:pStyle w:val="TextoNormal"/>
      </w:pPr>
    </w:p>
    <w:p w14:paraId="5F212E32" w14:textId="794182B7" w:rsidR="009D7677" w:rsidRDefault="009D7677" w:rsidP="009D7677">
      <w:pPr>
        <w:pStyle w:val="TextoNormal"/>
      </w:pPr>
      <w:r>
        <w:t>Madrid, a cinco de junio de dos mil veinticuatro.</w:t>
      </w:r>
    </w:p>
    <w:p w14:paraId="09586D1D" w14:textId="205EAAA2" w:rsidR="009D7677" w:rsidRDefault="009D7677">
      <w:pPr>
        <w:spacing w:after="160" w:line="259" w:lineRule="auto"/>
        <w:rPr>
          <w:rFonts w:ascii="Times New Roman" w:eastAsia="Times New Roman" w:hAnsi="Times New Roman" w:cs="Times New Roman"/>
          <w:sz w:val="24"/>
          <w:szCs w:val="24"/>
          <w:lang w:eastAsia="es-ES"/>
        </w:rPr>
      </w:pPr>
      <w:r>
        <w:br w:type="page"/>
      </w:r>
    </w:p>
    <w:p w14:paraId="05C54BDF" w14:textId="77777777" w:rsidR="009D7677" w:rsidRDefault="009D7677" w:rsidP="009D7677">
      <w:pPr>
        <w:pStyle w:val="TtuloResolucin"/>
      </w:pPr>
      <w:bookmarkStart w:id="92" w:name="SENTENCIA_2024_90"/>
      <w:r>
        <w:lastRenderedPageBreak/>
        <w:t>SENTENCIA 90/2024, de 17 de junio de 2024</w:t>
      </w:r>
    </w:p>
    <w:bookmarkEnd w:id="92"/>
    <w:p w14:paraId="30BA2CD5" w14:textId="77777777" w:rsidR="009D7677" w:rsidRDefault="009D7677" w:rsidP="009D7677">
      <w:pPr>
        <w:pStyle w:val="TtuloResolucin"/>
      </w:pPr>
      <w:r>
        <w:t>Pleno</w:t>
      </w:r>
    </w:p>
    <w:p w14:paraId="3B2142BA" w14:textId="77777777" w:rsidR="009D7677" w:rsidRDefault="009D7677" w:rsidP="009D7677">
      <w:pPr>
        <w:pStyle w:val="TtuloBOE"/>
      </w:pPr>
      <w:r>
        <w:t>(BOE núm. 179, de 25 de julio de 2024)</w:t>
      </w:r>
    </w:p>
    <w:p w14:paraId="0CEF88AC" w14:textId="77777777" w:rsidR="009D7677" w:rsidRDefault="009D7677" w:rsidP="009D7677">
      <w:pPr>
        <w:pStyle w:val="TextoNormalCentrado"/>
      </w:pPr>
      <w:r>
        <w:t>ECLI:ES:TC:2024:90</w:t>
      </w:r>
    </w:p>
    <w:p w14:paraId="3BA7E6AA" w14:textId="3348DA68" w:rsidR="009D7677" w:rsidRDefault="009D7677" w:rsidP="009D7677">
      <w:pPr>
        <w:pStyle w:val="TextoNormalCentrado"/>
      </w:pPr>
    </w:p>
    <w:p w14:paraId="7F94910D" w14:textId="77777777" w:rsidR="009D7677" w:rsidRDefault="009D7677" w:rsidP="009D7677">
      <w:pPr>
        <w:pStyle w:val="SntesisDescriptiva"/>
      </w:pPr>
      <w:r>
        <w:t>Recurso de amparo 2552-2023. Promovido por don José Antonio Viera Chacón respecto de las sentencias dictadas por la Sala de lo Penal del Tribunal Supremo y la Audiencia Provincial de Sevilla que le condenaron por un delito continuado de prevaricación en concurso medial con un delito continuado de malversación.</w:t>
      </w:r>
    </w:p>
    <w:p w14:paraId="662614A1" w14:textId="34280D57" w:rsidR="009D7677" w:rsidRDefault="009D7677" w:rsidP="009D7677">
      <w:pPr>
        <w:pStyle w:val="SntesisDescriptiva"/>
      </w:pPr>
    </w:p>
    <w:p w14:paraId="17D674CB" w14:textId="77777777" w:rsidR="009D7677" w:rsidRDefault="009D7677" w:rsidP="009D7677">
      <w:pPr>
        <w:pStyle w:val="SntesisAnaltica"/>
      </w:pPr>
      <w:r>
        <w:t>Supuesta vulneración de los derechos a la tutela judicial efectiva y a la presunción de inocencia: demanda de amparo que no cumple las exigencias mínimas de la carga de alegar.</w:t>
      </w:r>
    </w:p>
    <w:p w14:paraId="77E6E4F6" w14:textId="6FEAA55B" w:rsidR="009D7677" w:rsidRDefault="009D7677" w:rsidP="009D7677">
      <w:pPr>
        <w:pStyle w:val="SntesisAnaltica"/>
      </w:pPr>
    </w:p>
    <w:p w14:paraId="017547B3" w14:textId="0B4C5D92" w:rsidR="009D7677" w:rsidRDefault="009D7677" w:rsidP="009D7677">
      <w:pPr>
        <w:pStyle w:val="Extracto"/>
      </w:pPr>
      <w:r>
        <w:t>1.</w:t>
      </w:r>
      <w:r>
        <w:tab/>
        <w:t xml:space="preserve">Uno de los requisitos de la demanda de amparo es la aportación de una argumentación suficiente sobre la pretensión que se formula y la </w:t>
      </w:r>
      <w:r w:rsidRPr="009D7677">
        <w:rPr>
          <w:i/>
        </w:rPr>
        <w:t xml:space="preserve">causa petendi </w:t>
      </w:r>
      <w:r>
        <w:t xml:space="preserve">en la que se sustenta </w:t>
      </w:r>
      <w:r w:rsidRPr="009D7677">
        <w:rPr>
          <w:i/>
        </w:rPr>
        <w:t>ex</w:t>
      </w:r>
      <w:r>
        <w:t xml:space="preserve"> art. 49.1 LOTC [FJ 2].</w:t>
      </w:r>
    </w:p>
    <w:p w14:paraId="3B746C0F" w14:textId="77777777" w:rsidR="009D7677" w:rsidRDefault="009D7677" w:rsidP="009D7677">
      <w:pPr>
        <w:pStyle w:val="Extracto"/>
      </w:pPr>
    </w:p>
    <w:p w14:paraId="616DB0AD" w14:textId="7A3986A0" w:rsidR="009D7677" w:rsidRDefault="009D7677" w:rsidP="009D7677">
      <w:pPr>
        <w:pStyle w:val="Extracto"/>
      </w:pPr>
      <w:r>
        <w:t>2.</w:t>
      </w:r>
      <w:r>
        <w:tab/>
        <w:t>Sobre quien impetra el amparo constitucional pesa las cargas de abrir la vía para que este tribunal pueda pronunciarse sobre las vulneraciones de la Constitución que se aleguen, y de proporcionar la fundamentación jurídica y fáctica que se integra en el deber de colaborar con la jurisdicción constitucional, sin que le corresponda a este tribunal reconstruir de oficio las demandas, suplir los razonamientos de las partes, ni suscitar la eventual existencia de los motivos relevantes para el amparo fuera de la vía prevista en el art. 84 LOTC (SSTC 143/2003 o 196/2005) [FJ 2].</w:t>
      </w:r>
    </w:p>
    <w:p w14:paraId="5DA85117" w14:textId="77777777" w:rsidR="009D7677" w:rsidRDefault="009D7677" w:rsidP="009D7677">
      <w:pPr>
        <w:pStyle w:val="Extracto"/>
      </w:pPr>
    </w:p>
    <w:p w14:paraId="1B7DF3D3" w14:textId="6F37A66C" w:rsidR="009D7677" w:rsidRDefault="009D7677" w:rsidP="009D7677">
      <w:pPr>
        <w:pStyle w:val="Extracto"/>
      </w:pPr>
      <w:r>
        <w:t>3.</w:t>
      </w:r>
      <w:r>
        <w:tab/>
        <w:t xml:space="preserve">El incumplimiento en la demanda de amparo de la carga argumental no resulta subsanable y permite sin más la inadmisión </w:t>
      </w:r>
      <w:r w:rsidRPr="009D7677">
        <w:rPr>
          <w:i/>
        </w:rPr>
        <w:t xml:space="preserve">a limine </w:t>
      </w:r>
      <w:r>
        <w:t>de la demanda de amparo, con arreglo al art. 50.1 c) LOTC, por no darse los elementos de juicio necesarios para poder apreciar el contenido constitucional que justifique su admisión (AATC 181/2001 o 86/2004) [FJ 2].</w:t>
      </w:r>
    </w:p>
    <w:p w14:paraId="0B082DFD" w14:textId="77777777" w:rsidR="009D7677" w:rsidRDefault="009D7677" w:rsidP="009D7677">
      <w:pPr>
        <w:pStyle w:val="Extracto"/>
      </w:pPr>
    </w:p>
    <w:p w14:paraId="45BEA225" w14:textId="0A8CD903" w:rsidR="009D7677" w:rsidRDefault="009D7677" w:rsidP="009D7677">
      <w:pPr>
        <w:pStyle w:val="Extracto"/>
      </w:pPr>
      <w:r>
        <w:t>4.</w:t>
      </w:r>
      <w:r>
        <w:tab/>
        <w:t>El incumplimiento del deber de aportar una argumentación suficiente con la propia demanda no puede ser subsanado, en particular, en el trámite de alegaciones previsto en el art. 52 LOTC; ello obedece tanto al carácter insubsanable del defecto de origen como a la indefensión que podría generar en otros comparecientes en el proceso de amparo, por lo que es en la demanda de amparo donde queda fijado el objeto procesal, definiendo y delimitando la pretensión (SSTC 235/1994 o 13/2008) [FJ 2].</w:t>
      </w:r>
    </w:p>
    <w:p w14:paraId="0F3BD122" w14:textId="77777777" w:rsidR="009D7677" w:rsidRDefault="009D7677" w:rsidP="009D7677">
      <w:pPr>
        <w:pStyle w:val="Extracto"/>
      </w:pPr>
    </w:p>
    <w:p w14:paraId="25EC2D74" w14:textId="77777777" w:rsidR="009D7677" w:rsidRDefault="009D7677" w:rsidP="009D7677">
      <w:pPr>
        <w:pStyle w:val="Extracto"/>
      </w:pPr>
    </w:p>
    <w:p w14:paraId="4ED2A689" w14:textId="77777777" w:rsidR="009D7677" w:rsidRDefault="009D7677" w:rsidP="009D7677">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don Juan Carlos Campo ha pronunciado</w:t>
      </w:r>
    </w:p>
    <w:p w14:paraId="2508FBDB" w14:textId="36F0CC19" w:rsidR="009D7677" w:rsidRDefault="009D7677" w:rsidP="009D7677">
      <w:pPr>
        <w:pStyle w:val="TextoNormal"/>
      </w:pPr>
    </w:p>
    <w:p w14:paraId="0EE35226" w14:textId="77777777" w:rsidR="009D7677" w:rsidRDefault="009D7677" w:rsidP="009D7677">
      <w:pPr>
        <w:pStyle w:val="TextoNormalCentrado"/>
        <w:keepNext/>
      </w:pPr>
      <w:r>
        <w:t>EN NOMBRE DEL REY</w:t>
      </w:r>
    </w:p>
    <w:p w14:paraId="7C038786" w14:textId="2E730DC0" w:rsidR="009D7677" w:rsidRDefault="009D7677" w:rsidP="009D7677">
      <w:pPr>
        <w:pStyle w:val="TextoNormalCentrado"/>
        <w:keepNext/>
      </w:pPr>
    </w:p>
    <w:p w14:paraId="5EBE03D5" w14:textId="77777777" w:rsidR="009D7677" w:rsidRDefault="009D7677" w:rsidP="009D7677">
      <w:pPr>
        <w:pStyle w:val="TextoNormalCentrado"/>
        <w:keepNext/>
      </w:pPr>
    </w:p>
    <w:p w14:paraId="040EB0C8" w14:textId="77777777" w:rsidR="009D7677" w:rsidRDefault="009D7677" w:rsidP="009D7677">
      <w:pPr>
        <w:pStyle w:val="TextoNormal"/>
      </w:pPr>
      <w:r>
        <w:t>la siguiente</w:t>
      </w:r>
    </w:p>
    <w:p w14:paraId="597BD1B5" w14:textId="7E28F367" w:rsidR="009D7677" w:rsidRDefault="009D7677" w:rsidP="009D7677">
      <w:pPr>
        <w:pStyle w:val="TextoNormal"/>
      </w:pPr>
    </w:p>
    <w:p w14:paraId="6252C4A1" w14:textId="77777777" w:rsidR="009D7677" w:rsidRDefault="009D7677" w:rsidP="009D7677">
      <w:pPr>
        <w:pStyle w:val="TextoNormalCentrado"/>
        <w:keepNext/>
      </w:pPr>
      <w:r>
        <w:t>SENTENCIA</w:t>
      </w:r>
    </w:p>
    <w:p w14:paraId="657C10ED" w14:textId="63A23EDE" w:rsidR="009D7677" w:rsidRDefault="009D7677" w:rsidP="009D7677">
      <w:pPr>
        <w:pStyle w:val="TextoNormalCentrado"/>
        <w:keepNext/>
      </w:pPr>
    </w:p>
    <w:p w14:paraId="7EC035D5" w14:textId="77777777" w:rsidR="009D7677" w:rsidRDefault="009D7677" w:rsidP="009D7677">
      <w:pPr>
        <w:pStyle w:val="TextoNormal"/>
      </w:pPr>
      <w:r>
        <w:t>En el recurso de amparo núm. 2552-2023, promovido por don José Antonio Viera Chacón, representado por el procurador de los tribunales don Francisco Javier Romero Díaz, bajo la dirección letrada de don José Manuel Herrera Rubio, contra la sentencia núm. 490/2019, de 19 de noviembre, dictada por la Sección Primera de la Audiencia Provincial de Sevilla en el rollo núm. 1965-2017, dimanante del procedimiento abreviado núm. 133-2016; la sentencia núm. 749/2022, de 13 de septiembre, de la Sala de lo Penal del Tribunal Supremo, dictada en el recurso de casación núm. 601-2020, y el auto de 16 de febrero de 2023 dictado en el mismo recurso. Han sido parte don Jesús María Rodríguez Román, don Francisco Vallejo Serrano y el Partido Popular. Ha intervenido el Ministerio Fiscal. Ha sido ponente la magistrada doña Inmaculada Montalbán Huertas.</w:t>
      </w:r>
    </w:p>
    <w:p w14:paraId="47A3CD0D" w14:textId="1976D46E" w:rsidR="009D7677" w:rsidRDefault="009D7677" w:rsidP="009D7677">
      <w:pPr>
        <w:pStyle w:val="TextoNormal"/>
      </w:pPr>
    </w:p>
    <w:p w14:paraId="1F6CC1DE" w14:textId="77777777" w:rsidR="009D7677" w:rsidRDefault="009D7677" w:rsidP="009D7677">
      <w:pPr>
        <w:pStyle w:val="TextoNormalNegritaCentrado"/>
        <w:keepNext/>
      </w:pPr>
      <w:r>
        <w:t>I. Antecedentes</w:t>
      </w:r>
    </w:p>
    <w:p w14:paraId="46981CB9" w14:textId="5492D11A" w:rsidR="009D7677" w:rsidRDefault="009D7677" w:rsidP="009D7677">
      <w:pPr>
        <w:pStyle w:val="TextoNormalNegritaCentrado"/>
        <w:keepNext/>
      </w:pPr>
    </w:p>
    <w:p w14:paraId="7BF09F90" w14:textId="2EB337CE" w:rsidR="009D7677" w:rsidRDefault="009D7677" w:rsidP="009D7677">
      <w:pPr>
        <w:pStyle w:val="TextoNormal"/>
      </w:pPr>
      <w:r w:rsidRPr="009D7677">
        <w:rPr>
          <w:rStyle w:val="NumeroAFNegritaCaracter"/>
        </w:rPr>
        <w:t>1</w:t>
      </w:r>
      <w:r>
        <w:t>. El 17 de abril de 2023 tuvo entrada en el registro general de este tribunal un escrito presentado por el procurador don Francisco Javier Romero Díaz, actuando en nombre y representación de don José Antonio Viera Chacón bajo la dirección letrada del abogado don José Manuel Herrera Rubio, mediante el que interpuso recurso de amparo contra las resoluciones judiciales que se mencionan en el encabezamiento.</w:t>
      </w:r>
    </w:p>
    <w:p w14:paraId="7936F633" w14:textId="77777777" w:rsidR="009D7677" w:rsidRDefault="009D7677" w:rsidP="009D7677">
      <w:pPr>
        <w:pStyle w:val="TextoNormal"/>
      </w:pPr>
    </w:p>
    <w:p w14:paraId="56B3A13C" w14:textId="77777777" w:rsidR="009D7677" w:rsidRDefault="009D7677" w:rsidP="009D7677">
      <w:pPr>
        <w:pStyle w:val="TextoNormal"/>
      </w:pPr>
      <w:r w:rsidRPr="009D7677">
        <w:rPr>
          <w:rStyle w:val="NumeroAFNegritaCaracter"/>
        </w:rPr>
        <w:t>2</w:t>
      </w:r>
      <w:r>
        <w:t>. Son antecedentes relevantes de la demanda los siguientes:</w:t>
      </w:r>
    </w:p>
    <w:p w14:paraId="7F3E0A62" w14:textId="77777777" w:rsidR="009D7677" w:rsidRDefault="009D7677" w:rsidP="009D7677">
      <w:pPr>
        <w:pStyle w:val="TextoNormal"/>
      </w:pPr>
    </w:p>
    <w:p w14:paraId="0530453A" w14:textId="77777777" w:rsidR="009D7677" w:rsidRDefault="009D7677" w:rsidP="009D7677">
      <w:pPr>
        <w:pStyle w:val="TextoNormal"/>
      </w:pPr>
      <w:r>
        <w:t>a) Las resoluciones impugnadas en el presente proceso de amparo han sido dictadas en el marco de la denominada “pieza específica” del caso “ERE”, en la que fueron condenados diversos miembros del Gobierno y la administración de la Junta de Andalucía —incluyendo desde presidentes de la comunidad autónoma a directores generales— por haber intervenido, a lo largo de casi diez años, en el diseño y/o ejecución de un sistema de concesión de ayudas sociolaborales y a empresas en crisis.</w:t>
      </w:r>
    </w:p>
    <w:p w14:paraId="51AA159B" w14:textId="77777777" w:rsidR="009D7677" w:rsidRDefault="009D7677" w:rsidP="009D7677">
      <w:pPr>
        <w:pStyle w:val="TextoNormal"/>
      </w:pPr>
    </w:p>
    <w:p w14:paraId="40573D42" w14:textId="77777777" w:rsidR="009D7677" w:rsidRDefault="009D7677" w:rsidP="009D7677">
      <w:pPr>
        <w:pStyle w:val="TextoNormal"/>
      </w:pPr>
      <w:r>
        <w:t>Según el resumen efectuado por el Tribunal Supremo en la sentencia de casación (folio 97 y siguientes), los hechos sobre los que se habría articulado ese sistema de concesión de ayudas se dividirían en tres etapas diferentes:</w:t>
      </w:r>
    </w:p>
    <w:p w14:paraId="43971F7E" w14:textId="77777777" w:rsidR="009D7677" w:rsidRDefault="009D7677" w:rsidP="009D7677">
      <w:pPr>
        <w:pStyle w:val="TextoNormal"/>
      </w:pPr>
    </w:p>
    <w:p w14:paraId="6FB2A1CF" w14:textId="77777777" w:rsidR="009D7677" w:rsidRDefault="009D7677" w:rsidP="009D7677">
      <w:pPr>
        <w:pStyle w:val="TextoNormal"/>
      </w:pPr>
      <w:r>
        <w:t>“I) Primera etapa</w:t>
      </w:r>
    </w:p>
    <w:p w14:paraId="337757E0" w14:textId="77777777" w:rsidR="009D7677" w:rsidRDefault="009D7677" w:rsidP="009D7677">
      <w:pPr>
        <w:pStyle w:val="TextoNormal"/>
      </w:pPr>
    </w:p>
    <w:p w14:paraId="4FC414EC" w14:textId="77777777" w:rsidR="009D7677" w:rsidRDefault="009D7677" w:rsidP="009D7677">
      <w:pPr>
        <w:pStyle w:val="TextoNormal"/>
      </w:pPr>
      <w:r>
        <w:t xml:space="preserve">Hasta el año 2000 y para dar respuesta a las situaciones de crisis económicas de empresas radicadas en Andalucía la Junta de Andalucía, a través de los presupuestos que gestionaba la Consejería de Empleo y Desarrollo Tecnológico, articuló un sistema de ayudas para financiar con fondos públicos las primas derivadas de la contratación de pólizas de </w:t>
      </w:r>
      <w:r>
        <w:lastRenderedPageBreak/>
        <w:t>rentas para trabajadores de dichas empresas que, atendiendo a su edad, les aseguraban un nivel de ingresos hasta acceder a la jubilación. Estas ayudas eran complementarias a otras ayudas extraordinarias que se concedían a los trabajadores afectados por procesos de reestructuración de empresas de acuerdo con la legislación estatal (Orden de 5 de octubre de 1994 y Orden de 5 de abril de 1995, del Ministerio de Trabajo y Seguridad Social).</w:t>
      </w:r>
    </w:p>
    <w:p w14:paraId="72691501" w14:textId="77777777" w:rsidR="009D7677" w:rsidRDefault="009D7677" w:rsidP="009D7677">
      <w:pPr>
        <w:pStyle w:val="TextoNormal"/>
      </w:pPr>
    </w:p>
    <w:p w14:paraId="155315AF" w14:textId="77777777" w:rsidR="009D7677" w:rsidRDefault="009D7677" w:rsidP="009D7677">
      <w:pPr>
        <w:pStyle w:val="TextoNormal"/>
      </w:pPr>
      <w:r>
        <w:t>La aplicación presupuestaria que se utilizaba para clasificar este gasto era la 0.1 13.00.01.00.48100, dentro del programa 22E, relativa a transferencias corrientes a empresas, particulares y entidades sin ánimo de lucro y se tramitaba como una subvención excepcional, sujeta a fiscalización previa.</w:t>
      </w:r>
    </w:p>
    <w:p w14:paraId="0081CA5D" w14:textId="77777777" w:rsidR="009D7677" w:rsidRDefault="009D7677" w:rsidP="009D7677">
      <w:pPr>
        <w:pStyle w:val="TextoNormal"/>
      </w:pPr>
    </w:p>
    <w:p w14:paraId="14BFA7A1" w14:textId="77777777" w:rsidR="009D7677" w:rsidRDefault="009D7677" w:rsidP="009D7677">
      <w:pPr>
        <w:pStyle w:val="TextoNormal"/>
      </w:pPr>
      <w:r>
        <w:t>Los expedientes para la concesión de estas ayudas se integraban por los siguientes documentos: memoria justificativa, acreditación de la personalidad del solicitante, documento acreditativo de la situación de hecho que amparaba la solicitud (resolución de la autoridad laboral del ERE) y compromisos asumidos para el caso de que variara la situación laboral de los perceptores. La Dirección General de Trabajo elevaba una propuesta de resolución al consejero de Empleo que era el órgano competente para la concesión.</w:t>
      </w:r>
    </w:p>
    <w:p w14:paraId="4FBDE602" w14:textId="77777777" w:rsidR="009D7677" w:rsidRDefault="009D7677" w:rsidP="009D7677">
      <w:pPr>
        <w:pStyle w:val="TextoNormal"/>
      </w:pPr>
    </w:p>
    <w:p w14:paraId="1D9391B4" w14:textId="77777777" w:rsidR="009D7677" w:rsidRDefault="009D7677" w:rsidP="009D7677">
      <w:pPr>
        <w:pStyle w:val="TextoNormal"/>
      </w:pPr>
      <w:r>
        <w:t>La sentencia en sus distintos fundamentos jurídicos, singularmente el séptimo, declara que estas ayudas, que suponían la disposición gratuita de fondos públicos en favor de empresas y para conseguir una actuación de interés público o social, tenían la consideración de subvención y estaban sujetas en su concesión a distintas normas, de entre las que cabe destacar el título VII de la Ley 5/1983, de 19 de julio, general de la hacienda pública de la Comunidad Autónoma de Andalucía, el Decreto 254/2001, de 20 de noviembre, por el que se aprobó el reglamento de concesión de subvenciones de la Junta de Andalucía, y la Ley 38/2003, de 17 de noviembre, general de subvenciones.</w:t>
      </w:r>
    </w:p>
    <w:p w14:paraId="38E66A58" w14:textId="77777777" w:rsidR="009D7677" w:rsidRDefault="009D7677" w:rsidP="009D7677">
      <w:pPr>
        <w:pStyle w:val="TextoNormal"/>
      </w:pPr>
    </w:p>
    <w:p w14:paraId="2DCF50A5" w14:textId="77777777" w:rsidR="009D7677" w:rsidRDefault="009D7677" w:rsidP="009D7677">
      <w:pPr>
        <w:pStyle w:val="TextoNormal"/>
      </w:pPr>
      <w:r>
        <w:t>Sin perjuicio de ahondar más adelante en el régimen jurídico aplicable a estas ayudas, las notas más relevantes de esta regulación eran las siguientes:</w:t>
      </w:r>
    </w:p>
    <w:p w14:paraId="3D06B48B" w14:textId="77777777" w:rsidR="009D7677" w:rsidRDefault="009D7677" w:rsidP="009D7677">
      <w:pPr>
        <w:pStyle w:val="TextoNormal"/>
      </w:pPr>
    </w:p>
    <w:p w14:paraId="4C5756DB" w14:textId="77777777" w:rsidR="009D7677" w:rsidRDefault="009D7677" w:rsidP="009D7677">
      <w:pPr>
        <w:pStyle w:val="TextoNormal"/>
      </w:pPr>
      <w:r>
        <w:t>El órgano competente para la concesión de las subvenciones era el titular de la consejería en cuyo ámbito se concedían, siendo necesario el acuerdo del Consejo de Gobierno en subvenciones cuando el gasto fuera superior a 500 millones de pesetas (art. 104 de la Ley 5/1983).</w:t>
      </w:r>
    </w:p>
    <w:p w14:paraId="5911499C" w14:textId="77777777" w:rsidR="009D7677" w:rsidRDefault="009D7677" w:rsidP="009D7677">
      <w:pPr>
        <w:pStyle w:val="TextoNormal"/>
      </w:pPr>
    </w:p>
    <w:p w14:paraId="11C5C113" w14:textId="77777777" w:rsidR="009D7677" w:rsidRDefault="009D7677" w:rsidP="009D7677">
      <w:pPr>
        <w:pStyle w:val="TextoNormal"/>
      </w:pPr>
      <w:r>
        <w:t>Los beneficiarios de la subvención quedaban sujetos a las siguientes obligaciones:</w:t>
      </w:r>
    </w:p>
    <w:p w14:paraId="301A0D9F" w14:textId="77777777" w:rsidR="009D7677" w:rsidRDefault="009D7677" w:rsidP="009D7677">
      <w:pPr>
        <w:pStyle w:val="TextoNormal"/>
      </w:pPr>
    </w:p>
    <w:p w14:paraId="189A1D01" w14:textId="77777777" w:rsidR="009D7677" w:rsidRDefault="009D7677" w:rsidP="009D7677">
      <w:pPr>
        <w:pStyle w:val="TextoNormal"/>
      </w:pPr>
      <w:r>
        <w:t>(i) Realizar la actividad o adoptar el comportamiento que fundamente la concesión de la subvención en la forma y plazos establecidos;</w:t>
      </w:r>
    </w:p>
    <w:p w14:paraId="14940B78" w14:textId="77777777" w:rsidR="009D7677" w:rsidRDefault="009D7677" w:rsidP="009D7677">
      <w:pPr>
        <w:pStyle w:val="TextoNormal"/>
      </w:pPr>
    </w:p>
    <w:p w14:paraId="147B7E61" w14:textId="77777777" w:rsidR="009D7677" w:rsidRDefault="009D7677" w:rsidP="009D7677">
      <w:pPr>
        <w:pStyle w:val="TextoNormal"/>
      </w:pPr>
      <w:r>
        <w:t>(ii) Justificar ante la entidad concedente o, en su caso, la entidad colaboradora la realización de la actividad o la adopción del comportamiento, así como el cumplimiento de los requisitos y condiciones que determinen la concesión o disfrute de la subvención;</w:t>
      </w:r>
    </w:p>
    <w:p w14:paraId="45DC2B04" w14:textId="77777777" w:rsidR="009D7677" w:rsidRDefault="009D7677" w:rsidP="009D7677">
      <w:pPr>
        <w:pStyle w:val="TextoNormal"/>
      </w:pPr>
    </w:p>
    <w:p w14:paraId="316412C6" w14:textId="77777777" w:rsidR="009D7677" w:rsidRDefault="009D7677" w:rsidP="009D7677">
      <w:pPr>
        <w:pStyle w:val="TextoNormal"/>
      </w:pPr>
      <w:r>
        <w:t xml:space="preserve">(iii) El sometimiento a las actuaciones de comprobación, a efectuar por la entidad concedente o la entidad colaboradora, en su caso, y a las de control financiero que corresponden a la Intervención General de la Junta de Andalucía, en relación con las subvenciones y </w:t>
      </w:r>
      <w:r>
        <w:lastRenderedPageBreak/>
        <w:t>ayudas concedidas, y a las previstas en la legislación del Tribunal de Cuentas y de la Cámara de Cuentas de Andalucía;</w:t>
      </w:r>
    </w:p>
    <w:p w14:paraId="5BC19D94" w14:textId="77777777" w:rsidR="009D7677" w:rsidRDefault="009D7677" w:rsidP="009D7677">
      <w:pPr>
        <w:pStyle w:val="TextoNormal"/>
      </w:pPr>
    </w:p>
    <w:p w14:paraId="286C740A" w14:textId="77777777" w:rsidR="009D7677" w:rsidRDefault="009D7677" w:rsidP="009D7677">
      <w:pPr>
        <w:pStyle w:val="TextoNormal"/>
      </w:pPr>
      <w:r>
        <w:t>(iv) Comunicar a la entidad concedente o la entidad colaboradora, en su caso, la obtención de otras subvenciones o ayudas para la misma finalidad, procedentes de cualesquier administraciones o entes públicos o privados, nacionales o internacionales, así como las alteraciones a que se refiere el artículo 110 de la presente ley y</w:t>
      </w:r>
    </w:p>
    <w:p w14:paraId="6A98A529" w14:textId="77777777" w:rsidR="009D7677" w:rsidRDefault="009D7677" w:rsidP="009D7677">
      <w:pPr>
        <w:pStyle w:val="TextoNormal"/>
      </w:pPr>
    </w:p>
    <w:p w14:paraId="74CAE747" w14:textId="77777777" w:rsidR="009D7677" w:rsidRDefault="009D7677" w:rsidP="009D7677">
      <w:pPr>
        <w:pStyle w:val="TextoNormal"/>
      </w:pPr>
      <w:r>
        <w:t>(v) Acreditar, previamente al cobro de la subvención, que se encuentra al corriente de sus obligaciones fiscales y frente a la Seguridad Social, en la forma que se determine por la Consejería de Economía y Hacienda que, asimismo, establecerá los supuestos de exoneración de tal acreditación (artículo 105).</w:t>
      </w:r>
    </w:p>
    <w:p w14:paraId="4AADE2CC" w14:textId="77777777" w:rsidR="009D7677" w:rsidRDefault="009D7677" w:rsidP="009D7677">
      <w:pPr>
        <w:pStyle w:val="TextoNormal"/>
      </w:pPr>
    </w:p>
    <w:p w14:paraId="6082D91B" w14:textId="77777777" w:rsidR="009D7677" w:rsidRDefault="009D7677" w:rsidP="009D7677">
      <w:pPr>
        <w:pStyle w:val="TextoNormal"/>
      </w:pPr>
      <w:r>
        <w:t>En defecto de regulación específica, los consejeros correspondientes, antes de proceder a la autorización de los créditos, debían aprobar las bases reguladoras de la concesión, fijando un plazo para la presentación de las solicitudes y de forma excepcional previamente a la autorización de los créditos, las oportunas bases reguladoras de la concesión, que habían de contener el plazo para presentar las solicitudes (artículo 107).</w:t>
      </w:r>
    </w:p>
    <w:p w14:paraId="3C744A3E" w14:textId="77777777" w:rsidR="009D7677" w:rsidRDefault="009D7677" w:rsidP="009D7677">
      <w:pPr>
        <w:pStyle w:val="TextoNormal"/>
      </w:pPr>
    </w:p>
    <w:p w14:paraId="32CBE4A7" w14:textId="77777777" w:rsidR="009D7677" w:rsidRDefault="009D7677" w:rsidP="009D7677">
      <w:pPr>
        <w:pStyle w:val="TextoNormal"/>
      </w:pPr>
      <w:r>
        <w:t>En las bases reguladoras se podía disponer que la entrega fuera realizada por entidades colaboradoras. Las empresas públicas de Andalucía podían ser entidades colaboradoras y también se establecía a su cargo las siguientes obligaciones:</w:t>
      </w:r>
    </w:p>
    <w:p w14:paraId="1B228132" w14:textId="77777777" w:rsidR="009D7677" w:rsidRDefault="009D7677" w:rsidP="009D7677">
      <w:pPr>
        <w:pStyle w:val="TextoNormal"/>
      </w:pPr>
    </w:p>
    <w:p w14:paraId="7A17D896" w14:textId="77777777" w:rsidR="009D7677" w:rsidRDefault="009D7677" w:rsidP="009D7677">
      <w:pPr>
        <w:pStyle w:val="TextoNormal"/>
      </w:pPr>
      <w:r>
        <w:t>(i) Entregar a los beneficiarios los fondos recibidos de acuerdo con los criterios establecidos en las normas reguladoras de la subvención o ayuda;</w:t>
      </w:r>
    </w:p>
    <w:p w14:paraId="5B7C9B38" w14:textId="77777777" w:rsidR="009D7677" w:rsidRDefault="009D7677" w:rsidP="009D7677">
      <w:pPr>
        <w:pStyle w:val="TextoNormal"/>
      </w:pPr>
    </w:p>
    <w:p w14:paraId="5E4499BF" w14:textId="77777777" w:rsidR="009D7677" w:rsidRDefault="009D7677" w:rsidP="009D7677">
      <w:pPr>
        <w:pStyle w:val="TextoNormal"/>
      </w:pPr>
      <w:r>
        <w:t>(ii) Verificar, en su caso, el cumplimiento y efectividad de las condiciones determinantes para su otorgamiento;</w:t>
      </w:r>
    </w:p>
    <w:p w14:paraId="755D05A8" w14:textId="77777777" w:rsidR="009D7677" w:rsidRDefault="009D7677" w:rsidP="009D7677">
      <w:pPr>
        <w:pStyle w:val="TextoNormal"/>
      </w:pPr>
    </w:p>
    <w:p w14:paraId="2DCF92D4" w14:textId="77777777" w:rsidR="009D7677" w:rsidRDefault="009D7677" w:rsidP="009D7677">
      <w:pPr>
        <w:pStyle w:val="TextoNormal"/>
      </w:pPr>
      <w:r>
        <w:t>(iii) Justificar la aplicación de los fondos recibidos ante la entidad concedente y, en su caso, entregar la justificación presentada por los beneficiarios;</w:t>
      </w:r>
    </w:p>
    <w:p w14:paraId="3AFFF4BF" w14:textId="77777777" w:rsidR="009D7677" w:rsidRDefault="009D7677" w:rsidP="009D7677">
      <w:pPr>
        <w:pStyle w:val="TextoNormal"/>
      </w:pPr>
    </w:p>
    <w:p w14:paraId="0FD936F0" w14:textId="77777777" w:rsidR="009D7677" w:rsidRDefault="009D7677" w:rsidP="009D7677">
      <w:pPr>
        <w:pStyle w:val="TextoNormal"/>
      </w:pPr>
      <w:r>
        <w:t>(iv) Someterse a las actuaciones de comprobación que, respecto de la gestión de dichos fondos, pueda efectuar la entidad concedente, a las de control financiero que corresponden a la Intervención General de la Junta de Andalucía, y a las previstas en la legislación del Tribunal de Cuentas y de la Cámara de Cuentas de Andalucía y</w:t>
      </w:r>
    </w:p>
    <w:p w14:paraId="4CBE9BD6" w14:textId="77777777" w:rsidR="009D7677" w:rsidRDefault="009D7677" w:rsidP="009D7677">
      <w:pPr>
        <w:pStyle w:val="TextoNormal"/>
      </w:pPr>
    </w:p>
    <w:p w14:paraId="444219BE" w14:textId="77777777" w:rsidR="009D7677" w:rsidRDefault="009D7677" w:rsidP="009D7677">
      <w:pPr>
        <w:pStyle w:val="TextoNormal"/>
      </w:pPr>
      <w:r>
        <w:t>(v) Colaborar en la restitución de las subvenciones otorgadas en los supuestos en que concurra causa de reintegro, y conforme a las normas que se establezcan (artículo 106).</w:t>
      </w:r>
    </w:p>
    <w:p w14:paraId="246A1579" w14:textId="77777777" w:rsidR="009D7677" w:rsidRDefault="009D7677" w:rsidP="009D7677">
      <w:pPr>
        <w:pStyle w:val="TextoNormal"/>
      </w:pPr>
    </w:p>
    <w:p w14:paraId="2C8ED4C9" w14:textId="77777777" w:rsidR="009D7677" w:rsidRDefault="009D7677" w:rsidP="009D7677">
      <w:pPr>
        <w:pStyle w:val="TextoNormal"/>
      </w:pPr>
      <w:r>
        <w:t>Se establecía que estas subvenciones y ayudas se habrían de otorgar con arreglo a los principios de publicidad, libre concurrencia y objetividad, respetando, en todo caso, las normas que les afecten del Derecho de la Unión Europea, reguladoras de la supresión de barreras comerciales entre los Estados miembros y de la libre competencia entre las empresas</w:t>
      </w:r>
    </w:p>
    <w:p w14:paraId="70826C4C" w14:textId="77777777" w:rsidR="009D7677" w:rsidRDefault="009D7677" w:rsidP="009D7677">
      <w:pPr>
        <w:pStyle w:val="TextoNormal"/>
      </w:pPr>
    </w:p>
    <w:p w14:paraId="7879AEFB" w14:textId="77777777" w:rsidR="009D7677" w:rsidRDefault="009D7677" w:rsidP="009D7677">
      <w:pPr>
        <w:pStyle w:val="TextoNormal"/>
      </w:pPr>
      <w:r>
        <w:lastRenderedPageBreak/>
        <w:t>Los proyectos de normas reguladoras de la concesión de subvenciones debían ser sometidos a informe de la Intervención General de la Junta de Andalucía, antes de su aprobación, y publicados en el ‘Boletín Oficial de la Juntad de Andalucía’ (artículo 107).</w:t>
      </w:r>
    </w:p>
    <w:p w14:paraId="3D4B200B" w14:textId="77777777" w:rsidR="009D7677" w:rsidRDefault="009D7677" w:rsidP="009D7677">
      <w:pPr>
        <w:pStyle w:val="TextoNormal"/>
      </w:pPr>
    </w:p>
    <w:p w14:paraId="7EBE7DC3" w14:textId="77777777" w:rsidR="009D7677" w:rsidRDefault="009D7677" w:rsidP="009D7677">
      <w:pPr>
        <w:pStyle w:val="TextoNormal"/>
      </w:pPr>
      <w:r>
        <w:t>Resulta necesario destacar, por último, que de conformidad con lo establecido en la Ley 5/1983, de 19 de julio, general de la hacienda pública de la Comunidad Autónoma de Andalucía (artículos 77, 81 y concordantes) la concesión de subvenciones estaba sujeta a control previo de la Intervención de la Junta de Andalucía y estaban también sometida a seguimiento y control posterior, conforme a lo previsto en el artículo</w:t>
      </w:r>
      <w:r w:rsidRPr="009D7677">
        <w:rPr>
          <w:i/>
        </w:rPr>
        <w:t xml:space="preserve"> 85</w:t>
      </w:r>
      <w:r>
        <w:t xml:space="preserve"> bis de la citada ley.</w:t>
      </w:r>
    </w:p>
    <w:p w14:paraId="26CB50B6" w14:textId="77777777" w:rsidR="009D7677" w:rsidRDefault="009D7677" w:rsidP="009D7677">
      <w:pPr>
        <w:pStyle w:val="TextoNormal"/>
      </w:pPr>
    </w:p>
    <w:p w14:paraId="291CC933" w14:textId="77777777" w:rsidR="009D7677" w:rsidRDefault="009D7677" w:rsidP="009D7677">
      <w:pPr>
        <w:pStyle w:val="TextoNormal"/>
      </w:pPr>
      <w:r>
        <w:t>II) Segunda etapa</w:t>
      </w:r>
    </w:p>
    <w:p w14:paraId="7A1A4C02" w14:textId="77777777" w:rsidR="009D7677" w:rsidRDefault="009D7677" w:rsidP="009D7677">
      <w:pPr>
        <w:pStyle w:val="TextoNormal"/>
      </w:pPr>
    </w:p>
    <w:p w14:paraId="72D670AC" w14:textId="77777777" w:rsidR="009D7677" w:rsidRDefault="009D7677" w:rsidP="009D7677">
      <w:pPr>
        <w:pStyle w:val="TextoNormal"/>
      </w:pPr>
      <w:r>
        <w:t>Ante la necesidad de dar respuesta ágil a las graves crisis empresariales que afectaban a algunas importantes empresas de Andalucía en el año 1999 se decidió que el Instituto de Fomento de Andalucía (IFA) adelantara algunas de estas subvenciones, y así aconteció en relación con las ayudas concedidas a las empresas IAMASA y HAMSA. Con tal procedimiento se procedía al pago sin la necesaria fiscalización previa.</w:t>
      </w:r>
    </w:p>
    <w:p w14:paraId="40C0FCF3" w14:textId="77777777" w:rsidR="009D7677" w:rsidRDefault="009D7677" w:rsidP="009D7677">
      <w:pPr>
        <w:pStyle w:val="TextoNormal"/>
      </w:pPr>
    </w:p>
    <w:p w14:paraId="628D740E" w14:textId="77777777" w:rsidR="009D7677" w:rsidRDefault="009D7677" w:rsidP="009D7677">
      <w:pPr>
        <w:pStyle w:val="TextoNormal"/>
      </w:pPr>
      <w:r>
        <w:t>Por ese motivo en el caso de la empresa IAMASA se tuvo que iniciar un expediente de convalidación del gasto y el letrado del servicio jurídico adscrito a la Consejería de Empleo, a la vista de las deficiencias observadas por la intervención delegada, emitió informe el 9 de febrero de 2000 declarando que el gasto no era convalidable. El interventor delegado afirmó en su informe que si el expediente hubiera sido sometido a fiscalización previa, se hubiera emitido informe de disconformidad.</w:t>
      </w:r>
    </w:p>
    <w:p w14:paraId="06746EC9" w14:textId="77777777" w:rsidR="009D7677" w:rsidRDefault="009D7677" w:rsidP="009D7677">
      <w:pPr>
        <w:pStyle w:val="TextoNormal"/>
      </w:pPr>
    </w:p>
    <w:p w14:paraId="62FDF9BB" w14:textId="77777777" w:rsidR="009D7677" w:rsidRDefault="009D7677" w:rsidP="009D7677">
      <w:pPr>
        <w:pStyle w:val="TextoNormal"/>
      </w:pPr>
      <w:r>
        <w:t>Y algo similar ocurrió en el caso de la empresa HAMSA, en la que el interventor delegado emitió informe de disconformidad y, formulada discrepancia por el viceconsejero de Empleo, el interventor subsanó algunas de las deficiencias recomendando que se solicitara informe a la Dirección General de Asuntos Europeos, incluyéndose posteriormente otra nota de reparo de la Intervención porque el informe aportado era genérico y no suficiente para justificar la compatibilidad de esa ayuda a empresa con las normas de la Unión Europea.</w:t>
      </w:r>
    </w:p>
    <w:p w14:paraId="0D40CBC0" w14:textId="77777777" w:rsidR="009D7677" w:rsidRDefault="009D7677" w:rsidP="009D7677">
      <w:pPr>
        <w:pStyle w:val="TextoNormal"/>
      </w:pPr>
    </w:p>
    <w:p w14:paraId="12BC0380" w14:textId="77777777" w:rsidR="009D7677" w:rsidRDefault="009D7677" w:rsidP="009D7677">
      <w:pPr>
        <w:pStyle w:val="TextoNormal"/>
      </w:pPr>
      <w:r>
        <w:t>Según se refiere en la sentencia, con apoyo en la declaración testifical de don Juan Luque Alonso, interventor delegado de la Consejería de Empleo, se rechazaron o se formularon reparos en distintos expedientes con una cuantía global de sesenta y tres millones de pesetas y se rechazaron justificaciones de gasto en expedientes por cuantía de ochenta millones de pesetas. En la misma dirección declararon los peritos de la Intervención General del Estado (IGE).</w:t>
      </w:r>
    </w:p>
    <w:p w14:paraId="74864385" w14:textId="77777777" w:rsidR="009D7677" w:rsidRDefault="009D7677" w:rsidP="009D7677">
      <w:pPr>
        <w:pStyle w:val="TextoNormal"/>
      </w:pPr>
    </w:p>
    <w:p w14:paraId="06897B54" w14:textId="77777777" w:rsidR="009D7677" w:rsidRDefault="009D7677" w:rsidP="009D7677">
      <w:pPr>
        <w:pStyle w:val="TextoNormal"/>
      </w:pPr>
      <w:r>
        <w:t>Ante las dificultades surgidas, en abril de 2000 se procedió a una modificación presupuestaria, bajo la iniciativa de la Consejería de Empleo. Se modificó la clasificación económica del gasto.</w:t>
      </w:r>
    </w:p>
    <w:p w14:paraId="1C3AEB77" w14:textId="77777777" w:rsidR="009D7677" w:rsidRDefault="009D7677" w:rsidP="009D7677">
      <w:pPr>
        <w:pStyle w:val="TextoNormal"/>
      </w:pPr>
    </w:p>
    <w:p w14:paraId="39DA45C0" w14:textId="77777777" w:rsidR="009D7677" w:rsidRDefault="009D7677" w:rsidP="009D7677">
      <w:pPr>
        <w:pStyle w:val="TextoNormal"/>
      </w:pPr>
      <w:r>
        <w:t>Según la Orden de 22 de mayo de 1998, las subvenciones debían incluirse en la partida 472 (transferencias corrientes a empresas privadas) o en la partida 481 (transferencias a familias o entidades sin ánimo de lucro) y en esas clasificaciones presupuestarias era nece</w:t>
      </w:r>
      <w:r>
        <w:lastRenderedPageBreak/>
        <w:t>sario identificar a los destinatarios de cada ayuda. Pues bien, lo que se hizo fue, sin cambiar el programa (22E), modificar la clasificación, incluyendo la cantidad en la partida presupuestaria 440.12, correspondiente a transferencia de financiación al IFA.</w:t>
      </w:r>
    </w:p>
    <w:p w14:paraId="323BED64" w14:textId="77777777" w:rsidR="009D7677" w:rsidRDefault="009D7677" w:rsidP="009D7677">
      <w:pPr>
        <w:pStyle w:val="TextoNormal"/>
      </w:pPr>
    </w:p>
    <w:p w14:paraId="798C60A7" w14:textId="77777777" w:rsidR="009D7677" w:rsidRDefault="009D7677" w:rsidP="009D7677">
      <w:pPr>
        <w:pStyle w:val="TextoNormal"/>
      </w:pPr>
      <w:r>
        <w:t>Los responsables de la Junta de Andalucía eran conscientes de la necesidad de una regulación específica de estas ayudas, como lo evidencia el que durante el año 2000 se elaborara un proyecto de decreto que regulara el procedimiento de concesión, que fue elevado en tres ocasiones a la comisión general de viceconsejeros, sin que fuera finalmente aprobado. También en 2004 se elaboró un proyecto de orden en términos similares que tampoco fue aprobada.</w:t>
      </w:r>
    </w:p>
    <w:p w14:paraId="4F728554" w14:textId="77777777" w:rsidR="009D7677" w:rsidRDefault="009D7677" w:rsidP="009D7677">
      <w:pPr>
        <w:pStyle w:val="TextoNormal"/>
      </w:pPr>
    </w:p>
    <w:p w14:paraId="41A82988" w14:textId="77777777" w:rsidR="009D7677" w:rsidRDefault="009D7677" w:rsidP="009D7677">
      <w:pPr>
        <w:pStyle w:val="TextoNormal"/>
      </w:pPr>
      <w:r>
        <w:t>En vez de aprobar una nueva normativa o cumplir con la normativa entonces vigente se inclinaron por la utilización de un indebido criterio de presupuestación, que permitía conceder las subvenciones de forma libre, sin control previo de la Intervención y sin cumplir con los requisitos de las normas reguladoras de las subvenciones.</w:t>
      </w:r>
    </w:p>
    <w:p w14:paraId="3031F74F" w14:textId="77777777" w:rsidR="009D7677" w:rsidRDefault="009D7677" w:rsidP="009D7677">
      <w:pPr>
        <w:pStyle w:val="TextoNormal"/>
      </w:pPr>
    </w:p>
    <w:p w14:paraId="1C3D2065" w14:textId="77777777" w:rsidR="009D7677" w:rsidRDefault="009D7677" w:rsidP="009D7677">
      <w:pPr>
        <w:pStyle w:val="TextoNormal"/>
      </w:pPr>
      <w:r>
        <w:t>A tal fin idearon un mecanismo que, como indica el Ministerio Fiscal en su informe, era relativamente sencillo y sumamente eficaz para la finalidad perseguida. Tanto en los proyectos de presupuestos como en las distintas modificaciones presupuestaria aprobadas durante siete años, cambiaron la clasificación presupuestaria que se venía haciendo, incluyendo las ayudas sociolaborales en la partida de ‘transferencia de financiación al IFA’.</w:t>
      </w:r>
    </w:p>
    <w:p w14:paraId="44864ACA" w14:textId="77777777" w:rsidR="009D7677" w:rsidRDefault="009D7677" w:rsidP="009D7677">
      <w:pPr>
        <w:pStyle w:val="TextoNormal"/>
      </w:pPr>
    </w:p>
    <w:p w14:paraId="25222847" w14:textId="77777777" w:rsidR="009D7677" w:rsidRDefault="009D7677" w:rsidP="009D7677">
      <w:pPr>
        <w:pStyle w:val="TextoNormal"/>
      </w:pPr>
      <w:r>
        <w:t>El IFA se limitaba a materializar las ayudas que concedía la Consejería de Empleo y a través del nuevo criterio de presupuestación se lograba, de un lado, que los expedientes de gasto no fueran objeto de fiscalización en la consejería porque los fondos habían sido transferidos al IFA y, de otro, que en el IFA no pudiera llevarse a cabo esa fiscalización ya que el instituto estaba sujeto a control financiero permanente, de forma que solo se fiscalizaba el pag</w:t>
      </w:r>
      <w:r w:rsidRPr="009D7677">
        <w:rPr>
          <w:i/>
        </w:rPr>
        <w:t>o a posterio</w:t>
      </w:r>
      <w:r>
        <w:t>ri.</w:t>
      </w:r>
    </w:p>
    <w:p w14:paraId="23814CF6" w14:textId="77777777" w:rsidR="009D7677" w:rsidRDefault="009D7677" w:rsidP="009D7677">
      <w:pPr>
        <w:pStyle w:val="TextoNormal"/>
      </w:pPr>
    </w:p>
    <w:p w14:paraId="639C1034" w14:textId="77777777" w:rsidR="009D7677" w:rsidRDefault="009D7677" w:rsidP="009D7677">
      <w:pPr>
        <w:pStyle w:val="TextoNormal"/>
      </w:pPr>
      <w:r>
        <w:t>En efecto, el expediente de las transferencias de financiación no precisa la identificación de los destinatarios de las ayudas. Únicamente requiere consignar:</w:t>
      </w:r>
    </w:p>
    <w:p w14:paraId="63DC879D" w14:textId="77777777" w:rsidR="009D7677" w:rsidRDefault="009D7677" w:rsidP="009D7677">
      <w:pPr>
        <w:pStyle w:val="TextoNormal"/>
      </w:pPr>
    </w:p>
    <w:p w14:paraId="23230AB4" w14:textId="77777777" w:rsidR="009D7677" w:rsidRDefault="009D7677" w:rsidP="009D7677">
      <w:pPr>
        <w:pStyle w:val="TextoNormal"/>
      </w:pPr>
      <w:r>
        <w:t>(i) La propuesta de resolución del órgano competente autorizando la transferencia;</w:t>
      </w:r>
    </w:p>
    <w:p w14:paraId="4B291C99" w14:textId="77777777" w:rsidR="009D7677" w:rsidRDefault="009D7677" w:rsidP="009D7677">
      <w:pPr>
        <w:pStyle w:val="TextoNormal"/>
      </w:pPr>
    </w:p>
    <w:p w14:paraId="099BD0C3" w14:textId="77777777" w:rsidR="009D7677" w:rsidRDefault="009D7677" w:rsidP="009D7677">
      <w:pPr>
        <w:pStyle w:val="TextoNormal"/>
      </w:pPr>
      <w:r>
        <w:t>(ii) El calendario de pagos aprobado por la Dirección General de Tesorería;</w:t>
      </w:r>
    </w:p>
    <w:p w14:paraId="74E087FF" w14:textId="77777777" w:rsidR="009D7677" w:rsidRDefault="009D7677" w:rsidP="009D7677">
      <w:pPr>
        <w:pStyle w:val="TextoNormal"/>
      </w:pPr>
    </w:p>
    <w:p w14:paraId="73BE05D3" w14:textId="77777777" w:rsidR="009D7677" w:rsidRDefault="009D7677" w:rsidP="009D7677">
      <w:pPr>
        <w:pStyle w:val="TextoNormal"/>
      </w:pPr>
      <w:r>
        <w:t>(iii) Los documentos contables acreditativos de la consignación presupuestaria y el programa de actuación (PAIF) publicado en el ‘BOJA’ por orden de la Consejería de Hacienda.</w:t>
      </w:r>
    </w:p>
    <w:p w14:paraId="7B671C95" w14:textId="77777777" w:rsidR="009D7677" w:rsidRDefault="009D7677" w:rsidP="009D7677">
      <w:pPr>
        <w:pStyle w:val="TextoNormal"/>
      </w:pPr>
    </w:p>
    <w:p w14:paraId="1CD730E7" w14:textId="77777777" w:rsidR="009D7677" w:rsidRDefault="009D7677" w:rsidP="009D7677">
      <w:pPr>
        <w:pStyle w:val="TextoNormal"/>
      </w:pPr>
      <w:r>
        <w:t>Y en la fiscalización posterior de la actividad del IFA, realizada a través del llamado ‘control financiero permanente’, conforme a lo previsto en el […] Decreto 9/1999, de 19 de enero, únicamente tenía un triple objetivo:</w:t>
      </w:r>
    </w:p>
    <w:p w14:paraId="55BCA598" w14:textId="77777777" w:rsidR="009D7677" w:rsidRDefault="009D7677" w:rsidP="009D7677">
      <w:pPr>
        <w:pStyle w:val="TextoNormal"/>
      </w:pPr>
    </w:p>
    <w:p w14:paraId="687963BB" w14:textId="77777777" w:rsidR="009D7677" w:rsidRDefault="009D7677" w:rsidP="009D7677">
      <w:pPr>
        <w:pStyle w:val="TextoNormal"/>
      </w:pPr>
      <w:r>
        <w:t>(i) Comprobar el cumplimiento de la legalidad;</w:t>
      </w:r>
    </w:p>
    <w:p w14:paraId="10EA08E9" w14:textId="77777777" w:rsidR="009D7677" w:rsidRDefault="009D7677" w:rsidP="009D7677">
      <w:pPr>
        <w:pStyle w:val="TextoNormal"/>
      </w:pPr>
    </w:p>
    <w:p w14:paraId="13C7ECF4" w14:textId="77777777" w:rsidR="009D7677" w:rsidRDefault="009D7677" w:rsidP="009D7677">
      <w:pPr>
        <w:pStyle w:val="TextoNormal"/>
      </w:pPr>
      <w:r>
        <w:t>(ii) Examinar las cuentas anuales y</w:t>
      </w:r>
    </w:p>
    <w:p w14:paraId="04FDA5A3" w14:textId="77777777" w:rsidR="009D7677" w:rsidRDefault="009D7677" w:rsidP="009D7677">
      <w:pPr>
        <w:pStyle w:val="TextoNormal"/>
      </w:pPr>
    </w:p>
    <w:p w14:paraId="073E9B7B" w14:textId="77777777" w:rsidR="009D7677" w:rsidRDefault="009D7677" w:rsidP="009D7677">
      <w:pPr>
        <w:pStyle w:val="TextoNormal"/>
      </w:pPr>
      <w:r>
        <w:lastRenderedPageBreak/>
        <w:t>(iii) Examinar críticamente la gestión de los programas asignados al instituto. Este control no tenía utilidad alguna para conocer el destino de las subvenciones, dado que se limitaba al control de la transferencia.</w:t>
      </w:r>
    </w:p>
    <w:p w14:paraId="23F64D32" w14:textId="77777777" w:rsidR="009D7677" w:rsidRDefault="009D7677" w:rsidP="009D7677">
      <w:pPr>
        <w:pStyle w:val="TextoNormal"/>
      </w:pPr>
    </w:p>
    <w:p w14:paraId="7E4B0AC6" w14:textId="77777777" w:rsidR="009D7677" w:rsidRDefault="009D7677" w:rsidP="009D7677">
      <w:pPr>
        <w:pStyle w:val="TextoNormal"/>
      </w:pPr>
      <w:r>
        <w:t>En el año 2000 el Consejo de Gobierno de la Junta de Andalucía aprobó dos modificaciones presupuestarias, siguiendo el criterio de presupuestación a que antes nos hemos referido (18 de abril de 2000 y 28 de julio de 2000, por importe de 257 y 904 millones de pesetas. Y en 2001 se hicieron cinco modificaciones presupuestarias del mismo tipo (7 de mayo de 2001, 29 de mayo de 2001, 18 de septiembre de 2001, 3 de noviembre de 2001 y 5 de diciembre de 2001) por importe, respectivamente, de 500, 5573, 1225, 660 y 6355 millones de pesetas.</w:t>
      </w:r>
    </w:p>
    <w:p w14:paraId="52480401" w14:textId="77777777" w:rsidR="009D7677" w:rsidRDefault="009D7677" w:rsidP="009D7677">
      <w:pPr>
        <w:pStyle w:val="TextoNormal"/>
      </w:pPr>
    </w:p>
    <w:p w14:paraId="04186BFE" w14:textId="77777777" w:rsidR="009D7677" w:rsidRDefault="009D7677" w:rsidP="009D7677">
      <w:pPr>
        <w:pStyle w:val="TextoNormal"/>
      </w:pPr>
      <w:r>
        <w:t>Hasta el mes de julio de 2001 los fondos recibidos por el IFA eran movilizados al destinatario final mediante la suscripción de convenios particulares entre la Consejería de Empleo y el IFA. El 7 de julio de 2001 el consejero de Empleo y el presidente del IFA firmaron un convenio marco de colaboración para la materialización de ayudas en materia de Trabajo y Seguridad Social, en el que se preveía que el IFA prestaría asistencia técnica permanente, materializando las ayudas y se establecía que habrían de suscribirse convenios particulares entre el director general de Trabajo y el IFA para la gestión de los fondos.</w:t>
      </w:r>
    </w:p>
    <w:p w14:paraId="1A190184" w14:textId="77777777" w:rsidR="009D7677" w:rsidRDefault="009D7677" w:rsidP="009D7677">
      <w:pPr>
        <w:pStyle w:val="TextoNormal"/>
      </w:pPr>
    </w:p>
    <w:p w14:paraId="3D10C666" w14:textId="77777777" w:rsidR="009D7677" w:rsidRDefault="009D7677" w:rsidP="009D7677">
      <w:pPr>
        <w:pStyle w:val="TextoNormal"/>
      </w:pPr>
      <w:r>
        <w:t>El convenio marco no fue publicado en el ‘BOJA’ y no fue objeto de informe previo, ni por el Gabinete Jurídico de la Junta de Andalucía, ni por la Intervención General de la Junta de Andalucía, ni por los servicios jurídicos del IFA. Además, nunca se constituyeron las comisiones de seguimiento previstas en el convenio marco y en los convenios particulares se hacía constar que la documentación acreditativa de las ayudas obraba en poder de la Dirección General de Trabajo y Seguridad Social.</w:t>
      </w:r>
    </w:p>
    <w:p w14:paraId="2D3AB07B" w14:textId="77777777" w:rsidR="009D7677" w:rsidRDefault="009D7677" w:rsidP="009D7677">
      <w:pPr>
        <w:pStyle w:val="TextoNormal"/>
      </w:pPr>
    </w:p>
    <w:p w14:paraId="5B859527" w14:textId="77777777" w:rsidR="009D7677" w:rsidRDefault="009D7677" w:rsidP="009D7677">
      <w:pPr>
        <w:pStyle w:val="TextoNormal"/>
      </w:pPr>
      <w:r>
        <w:t>A partir de 2002 y hasta el año 2009, con la finalidad de evitar todo control y con conciencia de los incumplimientos ya reseñados, se procedió a elaborar y aprobar los proyectos de ley de presupuestos en los que se incluía la partida ‘transferencias al IFA en materia de relaciones laborales’ en el nuevo programa 31L, que sustituía al 22E.</w:t>
      </w:r>
    </w:p>
    <w:p w14:paraId="60CFDB3D" w14:textId="77777777" w:rsidR="009D7677" w:rsidRDefault="009D7677" w:rsidP="009D7677">
      <w:pPr>
        <w:pStyle w:val="TextoNormal"/>
      </w:pPr>
    </w:p>
    <w:p w14:paraId="12720CBF" w14:textId="77777777" w:rsidR="009D7677" w:rsidRDefault="009D7677" w:rsidP="009D7677">
      <w:pPr>
        <w:pStyle w:val="TextoNormal"/>
      </w:pPr>
      <w:r>
        <w:t>Por tanto, utilizando el criterio de presupuestación a que antes nos hemos referido se incluyeron las siguientes partidas presupuestarias:</w:t>
      </w:r>
    </w:p>
    <w:p w14:paraId="3C14F95B" w14:textId="77777777" w:rsidR="009D7677" w:rsidRDefault="009D7677" w:rsidP="009D7677">
      <w:pPr>
        <w:pStyle w:val="TextoNormal"/>
      </w:pPr>
    </w:p>
    <w:p w14:paraId="52184F80" w14:textId="77777777" w:rsidR="009D7677" w:rsidRDefault="009D7677" w:rsidP="009D7677">
      <w:pPr>
        <w:pStyle w:val="TextoNormal"/>
      </w:pPr>
      <w:r>
        <w:t>- En 2002: 34 341 351 €.</w:t>
      </w:r>
    </w:p>
    <w:p w14:paraId="11A5EFA4" w14:textId="77777777" w:rsidR="009D7677" w:rsidRDefault="009D7677" w:rsidP="009D7677">
      <w:pPr>
        <w:pStyle w:val="TextoNormal"/>
      </w:pPr>
    </w:p>
    <w:p w14:paraId="2D106612" w14:textId="77777777" w:rsidR="009D7677" w:rsidRDefault="009D7677" w:rsidP="009D7677">
      <w:pPr>
        <w:pStyle w:val="TextoNormal"/>
      </w:pPr>
      <w:r>
        <w:t>- En 2003: 55 646 899 €.</w:t>
      </w:r>
    </w:p>
    <w:p w14:paraId="541F1F46" w14:textId="77777777" w:rsidR="009D7677" w:rsidRDefault="009D7677" w:rsidP="009D7677">
      <w:pPr>
        <w:pStyle w:val="TextoNormal"/>
      </w:pPr>
    </w:p>
    <w:p w14:paraId="37FFE87E" w14:textId="77777777" w:rsidR="009D7677" w:rsidRDefault="009D7677" w:rsidP="009D7677">
      <w:pPr>
        <w:pStyle w:val="TextoNormal"/>
      </w:pPr>
      <w:r>
        <w:t>- En 2004: 46 146 389 €. [En este ejercicio el IFA cambió su denominación por Agencia para la Innovación y Desarrollo de Andalucía (IDEA) y pasó a estar adscrito a la Consejería de Innovación, Ciencia y Empresa].</w:t>
      </w:r>
    </w:p>
    <w:p w14:paraId="291B55C9" w14:textId="77777777" w:rsidR="009D7677" w:rsidRDefault="009D7677" w:rsidP="009D7677">
      <w:pPr>
        <w:pStyle w:val="TextoNormal"/>
      </w:pPr>
    </w:p>
    <w:p w14:paraId="3A0A1C02" w14:textId="77777777" w:rsidR="009D7677" w:rsidRDefault="009D7677" w:rsidP="009D7677">
      <w:pPr>
        <w:pStyle w:val="TextoNormal"/>
      </w:pPr>
      <w:r>
        <w:t>- En 2005: 72 261 575 €.</w:t>
      </w:r>
    </w:p>
    <w:p w14:paraId="4E3DA0F4" w14:textId="77777777" w:rsidR="009D7677" w:rsidRDefault="009D7677" w:rsidP="009D7677">
      <w:pPr>
        <w:pStyle w:val="TextoNormal"/>
      </w:pPr>
    </w:p>
    <w:p w14:paraId="1E266FCF" w14:textId="77777777" w:rsidR="009D7677" w:rsidRDefault="009D7677" w:rsidP="009D7677">
      <w:pPr>
        <w:pStyle w:val="TextoNormal"/>
      </w:pPr>
      <w:r>
        <w:t>- En 2006: 77 291 000 €.</w:t>
      </w:r>
    </w:p>
    <w:p w14:paraId="556472EA" w14:textId="77777777" w:rsidR="009D7677" w:rsidRDefault="009D7677" w:rsidP="009D7677">
      <w:pPr>
        <w:pStyle w:val="TextoNormal"/>
      </w:pPr>
    </w:p>
    <w:p w14:paraId="5B614E9B" w14:textId="77777777" w:rsidR="009D7677" w:rsidRDefault="009D7677" w:rsidP="009D7677">
      <w:pPr>
        <w:pStyle w:val="TextoNormal"/>
      </w:pPr>
      <w:r>
        <w:lastRenderedPageBreak/>
        <w:t>- En 2007: 79 207 500 €</w:t>
      </w:r>
    </w:p>
    <w:p w14:paraId="1ABD3E7F" w14:textId="77777777" w:rsidR="009D7677" w:rsidRDefault="009D7677" w:rsidP="009D7677">
      <w:pPr>
        <w:pStyle w:val="TextoNormal"/>
      </w:pPr>
    </w:p>
    <w:p w14:paraId="23DCE94B" w14:textId="77777777" w:rsidR="009D7677" w:rsidRDefault="009D7677" w:rsidP="009D7677">
      <w:pPr>
        <w:pStyle w:val="TextoNormal"/>
      </w:pPr>
      <w:r>
        <w:t>- En 2008: 87 478 495 €.</w:t>
      </w:r>
    </w:p>
    <w:p w14:paraId="1BD53F22" w14:textId="77777777" w:rsidR="009D7677" w:rsidRDefault="009D7677" w:rsidP="009D7677">
      <w:pPr>
        <w:pStyle w:val="TextoNormal"/>
      </w:pPr>
    </w:p>
    <w:p w14:paraId="646E165E" w14:textId="77777777" w:rsidR="009D7677" w:rsidRDefault="009D7677" w:rsidP="009D7677">
      <w:pPr>
        <w:pStyle w:val="TextoNormal"/>
      </w:pPr>
      <w:r>
        <w:t>Además de estas partidas, durante los distintos ejercicios se aprobaron modificaciones presupuestarias, que incrementaron el flujo de dinero que gestionaba el IFA/IDEA y que recibía como transferencia de financiación.</w:t>
      </w:r>
    </w:p>
    <w:p w14:paraId="0324DAE8" w14:textId="77777777" w:rsidR="009D7677" w:rsidRDefault="009D7677" w:rsidP="009D7677">
      <w:pPr>
        <w:pStyle w:val="TextoNormal"/>
      </w:pPr>
    </w:p>
    <w:p w14:paraId="204AB2D3" w14:textId="77777777" w:rsidR="009D7677" w:rsidRDefault="009D7677" w:rsidP="009D7677">
      <w:pPr>
        <w:pStyle w:val="TextoNormal"/>
      </w:pPr>
      <w:r>
        <w:t>Las modificaciones presupuestarias fueron las siguientes:</w:t>
      </w:r>
    </w:p>
    <w:p w14:paraId="614C9746" w14:textId="77777777" w:rsidR="009D7677" w:rsidRDefault="009D7677" w:rsidP="009D7677">
      <w:pPr>
        <w:pStyle w:val="TextoNormal"/>
      </w:pPr>
    </w:p>
    <w:p w14:paraId="03FF4865" w14:textId="77777777" w:rsidR="009D7677" w:rsidRDefault="009D7677" w:rsidP="009D7677">
      <w:pPr>
        <w:pStyle w:val="TextoNormal"/>
      </w:pPr>
      <w:r>
        <w:t>- Modificación de 15 de octubre de 2002, por importe de 9 944 099 €.</w:t>
      </w:r>
    </w:p>
    <w:p w14:paraId="6BD02F2B" w14:textId="77777777" w:rsidR="009D7677" w:rsidRDefault="009D7677" w:rsidP="009D7677">
      <w:pPr>
        <w:pStyle w:val="TextoNormal"/>
      </w:pPr>
    </w:p>
    <w:p w14:paraId="3A141379" w14:textId="77777777" w:rsidR="009D7677" w:rsidRDefault="009D7677" w:rsidP="009D7677">
      <w:pPr>
        <w:pStyle w:val="TextoNormal"/>
      </w:pPr>
      <w:r>
        <w:t>- Modificación de 21 de octubre  de 2002, por importe de 22 253 204,17 €.</w:t>
      </w:r>
    </w:p>
    <w:p w14:paraId="29080BCF" w14:textId="77777777" w:rsidR="009D7677" w:rsidRDefault="009D7677" w:rsidP="009D7677">
      <w:pPr>
        <w:pStyle w:val="TextoNormal"/>
      </w:pPr>
    </w:p>
    <w:p w14:paraId="541B95C5" w14:textId="77777777" w:rsidR="009D7677" w:rsidRDefault="009D7677" w:rsidP="009D7677">
      <w:pPr>
        <w:pStyle w:val="TextoNormal"/>
      </w:pPr>
      <w:r>
        <w:t>- Modificación de 7 de diciembre de 2005, por importe de 799 895,97 €.</w:t>
      </w:r>
    </w:p>
    <w:p w14:paraId="54890FDC" w14:textId="77777777" w:rsidR="009D7677" w:rsidRDefault="009D7677" w:rsidP="009D7677">
      <w:pPr>
        <w:pStyle w:val="TextoNormal"/>
      </w:pPr>
    </w:p>
    <w:p w14:paraId="716D4C9E" w14:textId="77777777" w:rsidR="009D7677" w:rsidRDefault="009D7677" w:rsidP="009D7677">
      <w:pPr>
        <w:pStyle w:val="TextoNormal"/>
      </w:pPr>
      <w:r>
        <w:t>- Modificación de 7 de noviembre de 2006, por importe de 9 300 000 €.</w:t>
      </w:r>
    </w:p>
    <w:p w14:paraId="5A7C4870" w14:textId="77777777" w:rsidR="009D7677" w:rsidRDefault="009D7677" w:rsidP="009D7677">
      <w:pPr>
        <w:pStyle w:val="TextoNormal"/>
      </w:pPr>
    </w:p>
    <w:p w14:paraId="5EF856DC" w14:textId="77777777" w:rsidR="009D7677" w:rsidRDefault="009D7677" w:rsidP="009D7677">
      <w:pPr>
        <w:pStyle w:val="TextoNormal"/>
      </w:pPr>
      <w:r>
        <w:t>- Modificación de 27 de noviembre de 2007, por importe de 7 448 503,44 €.</w:t>
      </w:r>
    </w:p>
    <w:p w14:paraId="5EA9CB55" w14:textId="77777777" w:rsidR="009D7677" w:rsidRDefault="009D7677" w:rsidP="009D7677">
      <w:pPr>
        <w:pStyle w:val="TextoNormal"/>
      </w:pPr>
    </w:p>
    <w:p w14:paraId="64B330D2" w14:textId="77777777" w:rsidR="009D7677" w:rsidRDefault="009D7677" w:rsidP="009D7677">
      <w:pPr>
        <w:pStyle w:val="TextoNormal"/>
      </w:pPr>
      <w:r>
        <w:t>- Modificación de 22 de diciembre de 2008, por importe de 1 253 853, 89 €.</w:t>
      </w:r>
    </w:p>
    <w:p w14:paraId="3E12C8A3" w14:textId="77777777" w:rsidR="009D7677" w:rsidRDefault="009D7677" w:rsidP="009D7677">
      <w:pPr>
        <w:pStyle w:val="TextoNormal"/>
      </w:pPr>
    </w:p>
    <w:p w14:paraId="1FEB0014" w14:textId="77777777" w:rsidR="009D7677" w:rsidRDefault="009D7677" w:rsidP="009D7677">
      <w:pPr>
        <w:pStyle w:val="TextoNormal"/>
      </w:pPr>
      <w:r>
        <w:t>- Modificación de 22 de diciembre de 2008, por importe de 6 011 836,20 €.</w:t>
      </w:r>
    </w:p>
    <w:p w14:paraId="57526093" w14:textId="77777777" w:rsidR="009D7677" w:rsidRDefault="009D7677" w:rsidP="009D7677">
      <w:pPr>
        <w:pStyle w:val="TextoNormal"/>
      </w:pPr>
    </w:p>
    <w:p w14:paraId="28B76B07" w14:textId="77777777" w:rsidR="009D7677" w:rsidRDefault="009D7677" w:rsidP="009D7677">
      <w:pPr>
        <w:pStyle w:val="TextoNormal"/>
      </w:pPr>
      <w:r>
        <w:t>- Modificación de 22 de diciembre de 2008, por importe de 8 000 000 €.</w:t>
      </w:r>
    </w:p>
    <w:p w14:paraId="343A4A33" w14:textId="77777777" w:rsidR="009D7677" w:rsidRDefault="009D7677" w:rsidP="009D7677">
      <w:pPr>
        <w:pStyle w:val="TextoNormal"/>
      </w:pPr>
    </w:p>
    <w:p w14:paraId="5CF94F0A" w14:textId="77777777" w:rsidR="009D7677" w:rsidRDefault="009D7677" w:rsidP="009D7677">
      <w:pPr>
        <w:pStyle w:val="TextoNormal"/>
      </w:pPr>
      <w:r>
        <w:t>El montante global de los créditos presupuestarios de los programas 22E y luego 31L, de los que se dispuso todos estos años, para atender compromisos asumidos frente a terceros para ayudas sociolaborales y ayudas a empresas en crisis, y también por otros conceptos mediante el mecanismo inadecuado de las transferencias de financiación, desde la Consejería de Empleo a la Agencia IFA/IDEA, se elevan, si sumamos las cantidades consignadas originariamente, más los incrementos derivados de modificaciones presupuestarias, desde el ejercicio presupuestario 2000, al ejercicio presupuestario 2009, a un total de más de 680 000 000 €.</w:t>
      </w:r>
    </w:p>
    <w:p w14:paraId="117AA5AD" w14:textId="77777777" w:rsidR="009D7677" w:rsidRDefault="009D7677" w:rsidP="009D7677">
      <w:pPr>
        <w:pStyle w:val="TextoNormal"/>
      </w:pPr>
    </w:p>
    <w:p w14:paraId="19DDF3E6" w14:textId="77777777" w:rsidR="009D7677" w:rsidRDefault="009D7677" w:rsidP="009D7677">
      <w:pPr>
        <w:pStyle w:val="TextoNormal"/>
      </w:pPr>
      <w:r>
        <w:t>Según han puesto de relieve distintos informes y resoluciones judiciales y administrativas, como consecuencia de todo lo anterior, las irregularidades más significativas en la concesión de las ayudas (sin hacer una enumeración exhaustiva) han sido las siguientes:</w:t>
      </w:r>
    </w:p>
    <w:p w14:paraId="75DB5BF4" w14:textId="77777777" w:rsidR="009D7677" w:rsidRDefault="009D7677" w:rsidP="009D7677">
      <w:pPr>
        <w:pStyle w:val="TextoNormal"/>
      </w:pPr>
    </w:p>
    <w:p w14:paraId="231D7818" w14:textId="77777777" w:rsidR="009D7677" w:rsidRDefault="009D7677" w:rsidP="009D7677">
      <w:pPr>
        <w:pStyle w:val="TextoNormal"/>
      </w:pPr>
      <w:r>
        <w:t>- En muchos casos no ha existido expediente de concesión de la ayuda.</w:t>
      </w:r>
    </w:p>
    <w:p w14:paraId="393F2A1A" w14:textId="77777777" w:rsidR="009D7677" w:rsidRDefault="009D7677" w:rsidP="009D7677">
      <w:pPr>
        <w:pStyle w:val="TextoNormal"/>
      </w:pPr>
    </w:p>
    <w:p w14:paraId="54E518ED" w14:textId="77777777" w:rsidR="009D7677" w:rsidRDefault="009D7677" w:rsidP="009D7677">
      <w:pPr>
        <w:pStyle w:val="TextoNormal"/>
      </w:pPr>
      <w:r>
        <w:t>- El director general de Trabajo y Seguridad Social no tiene delegadas competencias para la concesión de subvenciones excepcionales.</w:t>
      </w:r>
    </w:p>
    <w:p w14:paraId="5E41F1AD" w14:textId="77777777" w:rsidR="009D7677" w:rsidRDefault="009D7677" w:rsidP="009D7677">
      <w:pPr>
        <w:pStyle w:val="TextoNormal"/>
      </w:pPr>
    </w:p>
    <w:p w14:paraId="6A178387" w14:textId="77777777" w:rsidR="009D7677" w:rsidRDefault="009D7677" w:rsidP="009D7677">
      <w:pPr>
        <w:pStyle w:val="TextoNormal"/>
      </w:pPr>
      <w:r>
        <w:t>- No consta que se haya dado publicidad a la concesión de las ayudas (artículo 109 LGHPA).</w:t>
      </w:r>
    </w:p>
    <w:p w14:paraId="458B60EF" w14:textId="77777777" w:rsidR="009D7677" w:rsidRDefault="009D7677" w:rsidP="009D7677">
      <w:pPr>
        <w:pStyle w:val="TextoNormal"/>
      </w:pPr>
    </w:p>
    <w:p w14:paraId="5835ACB6" w14:textId="77777777" w:rsidR="009D7677" w:rsidRDefault="009D7677" w:rsidP="009D7677">
      <w:pPr>
        <w:pStyle w:val="TextoNormal"/>
      </w:pPr>
      <w:r>
        <w:t>- Se ha omitido la fiscalización previa.</w:t>
      </w:r>
    </w:p>
    <w:p w14:paraId="22680439" w14:textId="77777777" w:rsidR="009D7677" w:rsidRDefault="009D7677" w:rsidP="009D7677">
      <w:pPr>
        <w:pStyle w:val="TextoNormal"/>
      </w:pPr>
    </w:p>
    <w:p w14:paraId="65F74BB7" w14:textId="77777777" w:rsidR="009D7677" w:rsidRDefault="009D7677" w:rsidP="009D7677">
      <w:pPr>
        <w:pStyle w:val="TextoNormal"/>
      </w:pPr>
      <w:r>
        <w:t>- No consta autorización de la concesión de la subvención por el Consejo de Gobierno por razón de la cuantía.</w:t>
      </w:r>
    </w:p>
    <w:p w14:paraId="0CBDE8E6" w14:textId="77777777" w:rsidR="009D7677" w:rsidRDefault="009D7677" w:rsidP="009D7677">
      <w:pPr>
        <w:pStyle w:val="TextoNormal"/>
      </w:pPr>
    </w:p>
    <w:p w14:paraId="3D8C7F31" w14:textId="77777777" w:rsidR="009D7677" w:rsidRDefault="009D7677" w:rsidP="009D7677">
      <w:pPr>
        <w:pStyle w:val="TextoNormal"/>
      </w:pPr>
      <w:r>
        <w:t>- No se consigna la aplicación presupuestaria del gasto y su distribución plurianual, ni el presupuesto subvencionado y el porcentaje que representa la subvención sobre el presupuesto aceptado.</w:t>
      </w:r>
    </w:p>
    <w:p w14:paraId="3F7D819F" w14:textId="77777777" w:rsidR="009D7677" w:rsidRDefault="009D7677" w:rsidP="009D7677">
      <w:pPr>
        <w:pStyle w:val="TextoNormal"/>
      </w:pPr>
    </w:p>
    <w:p w14:paraId="43B1075C" w14:textId="77777777" w:rsidR="009D7677" w:rsidRDefault="009D7677" w:rsidP="009D7677">
      <w:pPr>
        <w:pStyle w:val="TextoNormal"/>
      </w:pPr>
      <w:r>
        <w:t>- No consta informe de la Dirección General de Asuntos Europeos y Cooperación, de la Consejería de Presidencia, sobre cumplimiento del deber de notificar a la comisión las subvenciones concedidas a empresas.</w:t>
      </w:r>
    </w:p>
    <w:p w14:paraId="78D4D55F" w14:textId="77777777" w:rsidR="009D7677" w:rsidRDefault="009D7677" w:rsidP="009D7677">
      <w:pPr>
        <w:pStyle w:val="TextoNormal"/>
      </w:pPr>
    </w:p>
    <w:p w14:paraId="0C5808AD" w14:textId="77777777" w:rsidR="009D7677" w:rsidRDefault="009D7677" w:rsidP="009D7677">
      <w:pPr>
        <w:pStyle w:val="TextoNormal"/>
      </w:pPr>
      <w:r>
        <w:t>- No consta memoria explicativa de la excepcionalidad de las subvenciones, ni los requisitos que se exigen para ser beneficiario, ni se detalla la forma en que debería realizarse la justificación del cumplimiento de la finalidad para la que fue concedida la ayuda.</w:t>
      </w:r>
    </w:p>
    <w:p w14:paraId="5DC1C8F9" w14:textId="77777777" w:rsidR="009D7677" w:rsidRDefault="009D7677" w:rsidP="009D7677">
      <w:pPr>
        <w:pStyle w:val="TextoNormal"/>
      </w:pPr>
    </w:p>
    <w:p w14:paraId="586650B9" w14:textId="77777777" w:rsidR="009D7677" w:rsidRDefault="009D7677" w:rsidP="009D7677">
      <w:pPr>
        <w:pStyle w:val="TextoNormal"/>
      </w:pPr>
      <w:r>
        <w:t>- Los convenios de colaboración por los que se han concedido las ayudas no adoptan ni la forma ni los contenidos mínimos que exige la Ley 38/2003, de 17 de noviembre.</w:t>
      </w:r>
    </w:p>
    <w:p w14:paraId="21DA3FD3" w14:textId="77777777" w:rsidR="009D7677" w:rsidRDefault="009D7677" w:rsidP="009D7677">
      <w:pPr>
        <w:pStyle w:val="TextoNormal"/>
      </w:pPr>
    </w:p>
    <w:p w14:paraId="3FA03803" w14:textId="77777777" w:rsidR="009D7677" w:rsidRDefault="009D7677" w:rsidP="009D7677">
      <w:pPr>
        <w:pStyle w:val="TextoNormal"/>
      </w:pPr>
      <w:r>
        <w:t>- Ni las subvenciones ni los convenios han sido publicados en el ‘Boletín Oficial de la Junta de Andalucía’, ni en la base de datos de subvenciones de la Junta de Andalucía.</w:t>
      </w:r>
    </w:p>
    <w:p w14:paraId="6BDECDBF" w14:textId="77777777" w:rsidR="009D7677" w:rsidRDefault="009D7677" w:rsidP="009D7677">
      <w:pPr>
        <w:pStyle w:val="TextoNormal"/>
      </w:pPr>
    </w:p>
    <w:p w14:paraId="2931BB97" w14:textId="77777777" w:rsidR="009D7677" w:rsidRDefault="009D7677" w:rsidP="009D7677">
      <w:pPr>
        <w:pStyle w:val="TextoNormal"/>
      </w:pPr>
      <w:r>
        <w:t>- La concesión de las subvenciones no ha sido objeto de informe previo por el Gabinete Jurídico de la Junta de Andalucía.</w:t>
      </w:r>
    </w:p>
    <w:p w14:paraId="4A0BDF58" w14:textId="77777777" w:rsidR="009D7677" w:rsidRDefault="009D7677" w:rsidP="009D7677">
      <w:pPr>
        <w:pStyle w:val="TextoNormal"/>
      </w:pPr>
    </w:p>
    <w:p w14:paraId="17FABDBD" w14:textId="77777777" w:rsidR="009D7677" w:rsidRDefault="009D7677" w:rsidP="009D7677">
      <w:pPr>
        <w:pStyle w:val="TextoNormal"/>
      </w:pPr>
      <w:r>
        <w:t>- No se acredita la personalidad de las entidades solicitantes, ni la de sus representantes.</w:t>
      </w:r>
    </w:p>
    <w:p w14:paraId="0455E29D" w14:textId="77777777" w:rsidR="009D7677" w:rsidRDefault="009D7677" w:rsidP="009D7677">
      <w:pPr>
        <w:pStyle w:val="TextoNormal"/>
      </w:pPr>
    </w:p>
    <w:p w14:paraId="4727E080" w14:textId="77777777" w:rsidR="009D7677" w:rsidRDefault="009D7677" w:rsidP="009D7677">
      <w:pPr>
        <w:pStyle w:val="TextoNormal"/>
      </w:pPr>
      <w:r>
        <w:t>- No se aporta informe o memoria acreditativa de la finalidad pública, o razones de interés social o económico, en la concesión.</w:t>
      </w:r>
    </w:p>
    <w:p w14:paraId="261A1D97" w14:textId="77777777" w:rsidR="009D7677" w:rsidRDefault="009D7677" w:rsidP="009D7677">
      <w:pPr>
        <w:pStyle w:val="TextoNormal"/>
      </w:pPr>
    </w:p>
    <w:p w14:paraId="0BD20639" w14:textId="77777777" w:rsidR="009D7677" w:rsidRDefault="009D7677" w:rsidP="009D7677">
      <w:pPr>
        <w:pStyle w:val="TextoNormal"/>
      </w:pPr>
      <w:r>
        <w:t>- No consta solicitud presentada por los interesados ni su aceptación expresa.</w:t>
      </w:r>
    </w:p>
    <w:p w14:paraId="6CBDF16E" w14:textId="77777777" w:rsidR="009D7677" w:rsidRDefault="009D7677" w:rsidP="009D7677">
      <w:pPr>
        <w:pStyle w:val="TextoNormal"/>
      </w:pPr>
    </w:p>
    <w:p w14:paraId="2EEB2A1E" w14:textId="77777777" w:rsidR="009D7677" w:rsidRDefault="009D7677" w:rsidP="009D7677">
      <w:pPr>
        <w:pStyle w:val="TextoNormal"/>
      </w:pPr>
      <w:r>
        <w:t>- No se aporta declaración responsable del beneficiario de otras subvenciones o ayudas concedidas para la misma finalidad (artículos 111 y 105 de LGHPA, y artículo 15.1 del Reglamento de subvenciones).</w:t>
      </w:r>
    </w:p>
    <w:p w14:paraId="49DC47FE" w14:textId="77777777" w:rsidR="009D7677" w:rsidRDefault="009D7677" w:rsidP="009D7677">
      <w:pPr>
        <w:pStyle w:val="TextoNormal"/>
      </w:pPr>
    </w:p>
    <w:p w14:paraId="24099B6E" w14:textId="77777777" w:rsidR="009D7677" w:rsidRDefault="009D7677" w:rsidP="009D7677">
      <w:pPr>
        <w:pStyle w:val="TextoNormal"/>
      </w:pPr>
      <w:r>
        <w:t>- No consta declaración expresa de los beneficiarios de no haber recaído sobre ellos resolución administrativa o judicial firme de reintegro.</w:t>
      </w:r>
    </w:p>
    <w:p w14:paraId="56BEA5E7" w14:textId="77777777" w:rsidR="009D7677" w:rsidRDefault="009D7677" w:rsidP="009D7677">
      <w:pPr>
        <w:pStyle w:val="TextoNormal"/>
      </w:pPr>
    </w:p>
    <w:p w14:paraId="1FF2DAEC" w14:textId="77777777" w:rsidR="009D7677" w:rsidRDefault="009D7677" w:rsidP="009D7677">
      <w:pPr>
        <w:pStyle w:val="TextoNormal"/>
      </w:pPr>
      <w:r>
        <w:t>- No se acredita por los beneficiarios estar al corriente en sus obligaciones fiscales.</w:t>
      </w:r>
    </w:p>
    <w:p w14:paraId="29A9B4A3" w14:textId="77777777" w:rsidR="009D7677" w:rsidRDefault="009D7677" w:rsidP="009D7677">
      <w:pPr>
        <w:pStyle w:val="TextoNormal"/>
      </w:pPr>
    </w:p>
    <w:p w14:paraId="4929CD95" w14:textId="77777777" w:rsidR="009D7677" w:rsidRDefault="009D7677" w:rsidP="009D7677">
      <w:pPr>
        <w:pStyle w:val="TextoNormal"/>
      </w:pPr>
      <w:r>
        <w:t>- No se determina el plazo y forma de justificación por el beneficiario del cumplimiento de la finalidad para la que se concede la ayuda.</w:t>
      </w:r>
    </w:p>
    <w:p w14:paraId="6F5C9A93" w14:textId="77777777" w:rsidR="009D7677" w:rsidRDefault="009D7677" w:rsidP="009D7677">
      <w:pPr>
        <w:pStyle w:val="TextoNormal"/>
      </w:pPr>
    </w:p>
    <w:p w14:paraId="5D098428" w14:textId="77777777" w:rsidR="009D7677" w:rsidRDefault="009D7677" w:rsidP="009D7677">
      <w:pPr>
        <w:pStyle w:val="TextoNormal"/>
      </w:pPr>
      <w:r>
        <w:t>- No se indica la forma y secuencia del pago y los requisitos exigidos para su abono.</w:t>
      </w:r>
    </w:p>
    <w:p w14:paraId="503D18A7" w14:textId="77777777" w:rsidR="009D7677" w:rsidRDefault="009D7677" w:rsidP="009D7677">
      <w:pPr>
        <w:pStyle w:val="TextoNormal"/>
      </w:pPr>
    </w:p>
    <w:p w14:paraId="2A72061F" w14:textId="77777777" w:rsidR="009D7677" w:rsidRDefault="009D7677" w:rsidP="009D7677">
      <w:pPr>
        <w:pStyle w:val="TextoNormal"/>
      </w:pPr>
      <w:r>
        <w:t xml:space="preserve">La sentencia concluye afirmando que no se siguió procedimiento administrativo alguno en la concesión de las ayudas y se omitió la fiscalización previa y, siendo las deficiencias </w:t>
      </w:r>
      <w:r>
        <w:lastRenderedPageBreak/>
        <w:t>tan notables no era factible la convalidación del gasto. (Todo ello sin incluir el sin fin de ilegalidades detectadas en cada uno de los expedientes singulares que son objeto de investigación y enjuiciamiento en las distintas piezas separadas).</w:t>
      </w:r>
    </w:p>
    <w:p w14:paraId="0490F7C0" w14:textId="77777777" w:rsidR="009D7677" w:rsidRDefault="009D7677" w:rsidP="009D7677">
      <w:pPr>
        <w:pStyle w:val="TextoNormal"/>
      </w:pPr>
    </w:p>
    <w:p w14:paraId="082C5105" w14:textId="77777777" w:rsidR="009D7677" w:rsidRDefault="009D7677" w:rsidP="009D7677">
      <w:pPr>
        <w:pStyle w:val="TextoNormal"/>
      </w:pPr>
      <w:r>
        <w:t>Las consecuencias de semejante descontrol fueron las siguientes:</w:t>
      </w:r>
    </w:p>
    <w:p w14:paraId="7F4F32CB" w14:textId="77777777" w:rsidR="009D7677" w:rsidRDefault="009D7677" w:rsidP="009D7677">
      <w:pPr>
        <w:pStyle w:val="TextoNormal"/>
      </w:pPr>
    </w:p>
    <w:p w14:paraId="5746AB23" w14:textId="77777777" w:rsidR="009D7677" w:rsidRDefault="009D7677" w:rsidP="009D7677">
      <w:pPr>
        <w:pStyle w:val="TextoNormal"/>
      </w:pPr>
      <w:r>
        <w:t>(i) Debido a la falta de publicidad y libre concurrencia y de la inexistencia de bases reguladoras muchas empresas y trabajadores se vieron privados de la posibilidad de solicitar y que les fueran concedidas las ayudas. Señala la sentencia que las ayudas consistentes en pago de primas de renta colectiva y capital se concedieron ayudas a setenta y siete empresas que presentaron ERE, pero en la comunidad autónoma andaluza y atendiendo como fuente a la Subdirección General de Estadística, de la Secretaría General Técnica del Ministerio de Empleo y Seguridad Social, el número total de expedientes de regulación de empleo tramitados en la comunidad andaluza, fueron:</w:t>
      </w:r>
    </w:p>
    <w:p w14:paraId="6B197090" w14:textId="77777777" w:rsidR="009D7677" w:rsidRDefault="009D7677" w:rsidP="009D7677">
      <w:pPr>
        <w:pStyle w:val="TextoNormal"/>
      </w:pPr>
    </w:p>
    <w:p w14:paraId="0385B96B" w14:textId="77777777" w:rsidR="009D7677" w:rsidRDefault="009D7677" w:rsidP="009D7677">
      <w:pPr>
        <w:pStyle w:val="TextoNormal"/>
      </w:pPr>
      <w:r>
        <w:t>- En el año 2001, fueron 748, afectando a un total de 7582 trabajadores.</w:t>
      </w:r>
    </w:p>
    <w:p w14:paraId="3A063789" w14:textId="77777777" w:rsidR="009D7677" w:rsidRDefault="009D7677" w:rsidP="009D7677">
      <w:pPr>
        <w:pStyle w:val="TextoNormal"/>
      </w:pPr>
    </w:p>
    <w:p w14:paraId="2D1987D6" w14:textId="77777777" w:rsidR="009D7677" w:rsidRDefault="009D7677" w:rsidP="009D7677">
      <w:pPr>
        <w:pStyle w:val="TextoNormal"/>
      </w:pPr>
      <w:r>
        <w:t>- En el año 2002, fueron 650, afectando a un total de 4787 trabajadores.</w:t>
      </w:r>
    </w:p>
    <w:p w14:paraId="205180B3" w14:textId="77777777" w:rsidR="009D7677" w:rsidRDefault="009D7677" w:rsidP="009D7677">
      <w:pPr>
        <w:pStyle w:val="TextoNormal"/>
      </w:pPr>
    </w:p>
    <w:p w14:paraId="6438F960" w14:textId="77777777" w:rsidR="009D7677" w:rsidRDefault="009D7677" w:rsidP="009D7677">
      <w:pPr>
        <w:pStyle w:val="TextoNormal"/>
      </w:pPr>
      <w:r>
        <w:t>- En el año 2003, fueron 511, afectando a un total de 4957 trabajadores.</w:t>
      </w:r>
    </w:p>
    <w:p w14:paraId="08FDEEB4" w14:textId="77777777" w:rsidR="009D7677" w:rsidRDefault="009D7677" w:rsidP="009D7677">
      <w:pPr>
        <w:pStyle w:val="TextoNormal"/>
      </w:pPr>
    </w:p>
    <w:p w14:paraId="78465885" w14:textId="77777777" w:rsidR="009D7677" w:rsidRDefault="009D7677" w:rsidP="009D7677">
      <w:pPr>
        <w:pStyle w:val="TextoNormal"/>
      </w:pPr>
      <w:r>
        <w:t>- En el año 2004, fueron 657, afectando a un total de 4833 trabajadores.</w:t>
      </w:r>
    </w:p>
    <w:p w14:paraId="60E5FF51" w14:textId="77777777" w:rsidR="009D7677" w:rsidRDefault="009D7677" w:rsidP="009D7677">
      <w:pPr>
        <w:pStyle w:val="TextoNormal"/>
      </w:pPr>
    </w:p>
    <w:p w14:paraId="50E0C534" w14:textId="77777777" w:rsidR="009D7677" w:rsidRDefault="009D7677" w:rsidP="009D7677">
      <w:pPr>
        <w:pStyle w:val="TextoNormal"/>
      </w:pPr>
      <w:r>
        <w:t>- En el año 2005, fueron 424, afectando a un total de 5476 trabajadores.</w:t>
      </w:r>
    </w:p>
    <w:p w14:paraId="6FF48CB4" w14:textId="77777777" w:rsidR="009D7677" w:rsidRDefault="009D7677" w:rsidP="009D7677">
      <w:pPr>
        <w:pStyle w:val="TextoNormal"/>
      </w:pPr>
    </w:p>
    <w:p w14:paraId="3FE8AF2F" w14:textId="77777777" w:rsidR="009D7677" w:rsidRDefault="009D7677" w:rsidP="009D7677">
      <w:pPr>
        <w:pStyle w:val="TextoNormal"/>
      </w:pPr>
      <w:r>
        <w:t>- En el año 2006, fueron 434, afectando a un total de 2968 trabajadores.</w:t>
      </w:r>
    </w:p>
    <w:p w14:paraId="6DD295EB" w14:textId="77777777" w:rsidR="009D7677" w:rsidRDefault="009D7677" w:rsidP="009D7677">
      <w:pPr>
        <w:pStyle w:val="TextoNormal"/>
      </w:pPr>
    </w:p>
    <w:p w14:paraId="7E882F68" w14:textId="77777777" w:rsidR="009D7677" w:rsidRDefault="009D7677" w:rsidP="009D7677">
      <w:pPr>
        <w:pStyle w:val="TextoNormal"/>
      </w:pPr>
      <w:r>
        <w:t>- En el año 2007, fueron 428, afectando a un total de 3247 trabajadores.</w:t>
      </w:r>
    </w:p>
    <w:p w14:paraId="2915E8EB" w14:textId="77777777" w:rsidR="009D7677" w:rsidRDefault="009D7677" w:rsidP="009D7677">
      <w:pPr>
        <w:pStyle w:val="TextoNormal"/>
      </w:pPr>
    </w:p>
    <w:p w14:paraId="1F81985C" w14:textId="77777777" w:rsidR="009D7677" w:rsidRDefault="009D7677" w:rsidP="009D7677">
      <w:pPr>
        <w:pStyle w:val="TextoNormal"/>
      </w:pPr>
      <w:r>
        <w:t>- En el año 2008, fueron 652, afectando a un total de 7000 trabajadores.</w:t>
      </w:r>
    </w:p>
    <w:p w14:paraId="35737E9D" w14:textId="77777777" w:rsidR="009D7677" w:rsidRDefault="009D7677" w:rsidP="009D7677">
      <w:pPr>
        <w:pStyle w:val="TextoNormal"/>
      </w:pPr>
    </w:p>
    <w:p w14:paraId="1C8D992C" w14:textId="77777777" w:rsidR="009D7677" w:rsidRDefault="009D7677" w:rsidP="009D7677">
      <w:pPr>
        <w:pStyle w:val="TextoNormal"/>
      </w:pPr>
      <w:r>
        <w:t>- En el año 2009, fueron 1379, afectando a un total de 30 821 trabajadores.</w:t>
      </w:r>
    </w:p>
    <w:p w14:paraId="6A146428" w14:textId="77777777" w:rsidR="009D7677" w:rsidRDefault="009D7677" w:rsidP="009D7677">
      <w:pPr>
        <w:pStyle w:val="TextoNormal"/>
      </w:pPr>
    </w:p>
    <w:p w14:paraId="3699C7F8" w14:textId="77777777" w:rsidR="009D7677" w:rsidRDefault="009D7677" w:rsidP="009D7677">
      <w:pPr>
        <w:pStyle w:val="TextoNormal"/>
      </w:pPr>
      <w:r>
        <w:t>- En el año 2010, fueron 1490, afectando a un total de 21 450 trabajadores.</w:t>
      </w:r>
    </w:p>
    <w:p w14:paraId="4864B946" w14:textId="77777777" w:rsidR="009D7677" w:rsidRDefault="009D7677" w:rsidP="009D7677">
      <w:pPr>
        <w:pStyle w:val="TextoNormal"/>
      </w:pPr>
    </w:p>
    <w:p w14:paraId="65DADC9A" w14:textId="77777777" w:rsidR="009D7677" w:rsidRDefault="009D7677" w:rsidP="009D7677">
      <w:pPr>
        <w:pStyle w:val="TextoNormal"/>
      </w:pPr>
      <w:r>
        <w:t>(ii) La ausencia de cualquier mecanismo de comprobación de la pertenencia al colectivo afectado de las personas beneficiarias de las pólizas, permitió la inclusión de beneficiarios que nunca habían pertenecido a las empresas ayudadas por la Consejería de Empleo.</w:t>
      </w:r>
    </w:p>
    <w:p w14:paraId="029C6CAA" w14:textId="77777777" w:rsidR="009D7677" w:rsidRDefault="009D7677" w:rsidP="009D7677">
      <w:pPr>
        <w:pStyle w:val="TextoNormal"/>
      </w:pPr>
    </w:p>
    <w:p w14:paraId="2B361387" w14:textId="77777777" w:rsidR="009D7677" w:rsidRDefault="009D7677" w:rsidP="009D7677">
      <w:pPr>
        <w:pStyle w:val="TextoNormal"/>
      </w:pPr>
      <w:r>
        <w:t>(iii) La no exigencia de justificación de requisitos previos y la ausencia de cualquier tipo de seguimiento de la situación laboral de los beneficiarios, permitió que un número indeterminado de ellos siguiera percibiendo las rentas, aun habiéndose incorporado de nuevo al mercado laboral, o pese a haber pasado a situación de incapacidad.</w:t>
      </w:r>
    </w:p>
    <w:p w14:paraId="62FD9D6C" w14:textId="77777777" w:rsidR="009D7677" w:rsidRDefault="009D7677" w:rsidP="009D7677">
      <w:pPr>
        <w:pStyle w:val="TextoNormal"/>
      </w:pPr>
    </w:p>
    <w:p w14:paraId="51197DC1" w14:textId="77777777" w:rsidR="009D7677" w:rsidRDefault="009D7677" w:rsidP="009D7677">
      <w:pPr>
        <w:pStyle w:val="TextoNormal"/>
      </w:pPr>
      <w:r>
        <w:t>(iv) Un gran número de ayudas a empresas en crisis, carecen, además, de objeto concreto y respondieron a fines muy diversos, como pago de nóminas, pago de deudas, pago de minutas por servicios profesionales, pago de avales, o simplemente no estaban suficientemente especificados.</w:t>
      </w:r>
    </w:p>
    <w:p w14:paraId="6D865CB5" w14:textId="77777777" w:rsidR="009D7677" w:rsidRDefault="009D7677" w:rsidP="009D7677">
      <w:pPr>
        <w:pStyle w:val="TextoNormal"/>
      </w:pPr>
    </w:p>
    <w:p w14:paraId="06E3E9A9" w14:textId="77777777" w:rsidR="009D7677" w:rsidRDefault="009D7677" w:rsidP="009D7677">
      <w:pPr>
        <w:pStyle w:val="TextoNormal"/>
      </w:pPr>
      <w:r>
        <w:t>(v) Además, a pesar de no estar previsto en la ficha presupuestaria del programa 31L, los responsables de la Consejería de Empleo utilizaron buena parte de estos fondos para fines completamente ajenos a las ayudas sociolaborales. Así, entre otros, con fondos del programa 31L se pagaron campañas de comunicación sobre fomento de empleo y divulgación del Servicio Andaluz de Empleo; se pagaron gastos derivados de la cesión al servicio 112, de dependencias correspondientes al edificio del pabellón de Italia en Sevilla; se financió el programa de formación del voluntariado de los Juegos del Mediterráneo en Almería; se financiaron campañas de divulgación en materia de prevención de riesgos laborales; se financió parte de la subida salarial de trabajadores de las empresas FCC y CESPA, como consecuencia de la suscripción de un convenio colectivo en el 2006, que puso fin a una conflictividad laboral de la limpieza pública de la provincia de Granada; se financiaron dieciséis muestras de artesanía y jornadas relacionadas con el empleo en diversos municipios andaluces; y se pagó a la fundación San Telmo un curso de alta dirección, durante cinco ejercicios.</w:t>
      </w:r>
    </w:p>
    <w:p w14:paraId="21F003A2" w14:textId="77777777" w:rsidR="009D7677" w:rsidRDefault="009D7677" w:rsidP="009D7677">
      <w:pPr>
        <w:pStyle w:val="TextoNormal"/>
      </w:pPr>
    </w:p>
    <w:p w14:paraId="095914AC" w14:textId="77777777" w:rsidR="009D7677" w:rsidRDefault="009D7677" w:rsidP="009D7677">
      <w:pPr>
        <w:pStyle w:val="TextoNormal"/>
      </w:pPr>
      <w:r>
        <w:t>III) Tercera etapa</w:t>
      </w:r>
    </w:p>
    <w:p w14:paraId="380C730D" w14:textId="77777777" w:rsidR="009D7677" w:rsidRDefault="009D7677" w:rsidP="009D7677">
      <w:pPr>
        <w:pStyle w:val="TextoNormal"/>
      </w:pPr>
    </w:p>
    <w:p w14:paraId="2CF138FE" w14:textId="77777777" w:rsidR="009D7677" w:rsidRDefault="009D7677" w:rsidP="009D7677">
      <w:pPr>
        <w:pStyle w:val="TextoNormal"/>
      </w:pPr>
      <w:r>
        <w:t>La tercera etapa se inicia en 2010, momento en el que se abandonaron las transferencias de financiación y se presupuestaron las partidas para la concesión de las ayudas, publicándose las primeras bases reguladoras de las mismas, mediante las Órdenes de la Consejería de Empleo de 1 de abril de 2011, 13 de marzo de 2012 y 16 de marzo de 2012, hasta su derogación por Decreto-ley 4/2012, de 16 de octubre, de medidas extraordinarias y urgentes en materia de protección sociolaboral a ex-trabajadores y ex-trabajadoras andaluces afectados por procesos de reestructuración de empresas y sectores en crisis.</w:t>
      </w:r>
    </w:p>
    <w:p w14:paraId="2E23DC98" w14:textId="77777777" w:rsidR="009D7677" w:rsidRDefault="009D7677" w:rsidP="009D7677">
      <w:pPr>
        <w:pStyle w:val="TextoNormal"/>
      </w:pPr>
    </w:p>
    <w:p w14:paraId="170682A6" w14:textId="77777777" w:rsidR="009D7677" w:rsidRDefault="009D7677" w:rsidP="009D7677">
      <w:pPr>
        <w:pStyle w:val="TextoNormal"/>
      </w:pPr>
      <w:r>
        <w:t>Era una norma dirigida a solucionar los problemas habidos en la concesión de las ayudas sociolaborales, que se dictó para atender a unos grupos concretos de trabajadores, que articulaba las nuevas ayudas a través de la figura de la novación y que no afectaba a las acciones de reintegro iniciadas o que pudieran iniciarse en el futuro.</w:t>
      </w:r>
    </w:p>
    <w:p w14:paraId="6B1E0A4F" w14:textId="77777777" w:rsidR="009D7677" w:rsidRDefault="009D7677" w:rsidP="009D7677">
      <w:pPr>
        <w:pStyle w:val="TextoNormal"/>
      </w:pPr>
    </w:p>
    <w:p w14:paraId="0D9683FA" w14:textId="77777777" w:rsidR="009D7677" w:rsidRDefault="009D7677" w:rsidP="009D7677">
      <w:pPr>
        <w:pStyle w:val="TextoNormal"/>
      </w:pPr>
      <w:r>
        <w:t>Este […] Decreto estableció en su primer artículo que ‘[a] estas ayudas sociolaborales no les es de aplicación la normativa general sobre subvenciones públicas, en particular, la Ley 38/2003, de 17 de noviembre, general de subvenciones, el título VIII del texto refundido de la Ley general de hacienda pública de la Junta de Andalucía, aprobado por Decreto Legislativo 1/2010, de 2 de marzo, así como el Decreto 282/2010, de 4 de mayo, por el que se aprueba el Reglamento de los procedimientos de concesión de subvenciones de la administración de la Junta de Andalucía’, lo que supone una excepción al régimen general y evidencia que el criterio seguido en los años anteriores no era conforme a derecho.</w:t>
      </w:r>
    </w:p>
    <w:p w14:paraId="78067488" w14:textId="77777777" w:rsidR="009D7677" w:rsidRDefault="009D7677" w:rsidP="009D7677">
      <w:pPr>
        <w:pStyle w:val="TextoNormal"/>
      </w:pPr>
    </w:p>
    <w:p w14:paraId="14CE3EE4" w14:textId="77777777" w:rsidR="009D7677" w:rsidRDefault="009D7677" w:rsidP="009D7677">
      <w:pPr>
        <w:pStyle w:val="TextoNormal"/>
      </w:pPr>
      <w:r>
        <w:t>En todo caso la norma estableció una completa regulación, incluyendo entre otros aspectos, criterios de concesión, sistemas de control, obligaciones de colaboración y declaración, acciones de reintegro y régimen disciplinario y disponiendo expresamente la exigencia de fiscalización previa”.</w:t>
      </w:r>
    </w:p>
    <w:p w14:paraId="4A8E841B" w14:textId="77777777" w:rsidR="009D7677" w:rsidRDefault="009D7677" w:rsidP="009D7677">
      <w:pPr>
        <w:pStyle w:val="TextoNormal"/>
      </w:pPr>
    </w:p>
    <w:p w14:paraId="00C3631B" w14:textId="77777777" w:rsidR="009D7677" w:rsidRDefault="009D7677" w:rsidP="009D7677">
      <w:pPr>
        <w:pStyle w:val="TextoNormal"/>
      </w:pPr>
      <w:r>
        <w:t xml:space="preserve">b) El demandante de amparo fue condenado en sentencia núm. 490/2019, de 19 de noviembre, dictada por la Sección Primera de la Audiencia Provincial de Sevilla, en el rollo núm. 1965-2017, por haber participado en los hechos anteriores en su calidad de consejero </w:t>
      </w:r>
      <w:r>
        <w:lastRenderedPageBreak/>
        <w:t>de Empleo y Desarrollo Tecnológico del Consejo de Gobierno de la Junta de Andalucía de 2000 a 2004, como autor de “un delito de prevaricación en concurso medial con un delito de malversación, agravado por su especial gravedad […] a la pena de siete años y un día de prisión, inhabilitación especial para el derecho de sufragio pasivo durante el tiempo de la condena, e inhabilitación absoluta por tiempo de dieciocho años y un día,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w:t>
      </w:r>
    </w:p>
    <w:p w14:paraId="23713B69" w14:textId="77777777" w:rsidR="009D7677" w:rsidRDefault="009D7677" w:rsidP="009D7677">
      <w:pPr>
        <w:pStyle w:val="TextoNormal"/>
      </w:pPr>
    </w:p>
    <w:p w14:paraId="203536BE" w14:textId="77777777" w:rsidR="009D7677" w:rsidRDefault="009D7677" w:rsidP="009D7677">
      <w:pPr>
        <w:pStyle w:val="TextoNormal"/>
      </w:pPr>
      <w:r>
        <w:t>c) Interpuesto recurso de casación por la representación procesal del demandante fue desestimado íntegramente por sentencia del Tribunal Supremo núm. 749/2022, de 13 de septiembre.</w:t>
      </w:r>
    </w:p>
    <w:p w14:paraId="76DCED25" w14:textId="77777777" w:rsidR="009D7677" w:rsidRDefault="009D7677" w:rsidP="009D7677">
      <w:pPr>
        <w:pStyle w:val="TextoNormal"/>
      </w:pPr>
    </w:p>
    <w:p w14:paraId="4AE27BD2" w14:textId="72A2A34E" w:rsidR="009D7677" w:rsidRDefault="009D7677" w:rsidP="009D7677">
      <w:pPr>
        <w:pStyle w:val="TextoNormal"/>
      </w:pPr>
      <w:r>
        <w:t>d) Por auto del Tribunal Supremo de 16 de febrero de 2023 se inadmitió el incidente de nulidad de actuaciones formulado por el recurrente frente a la sentencia del Tribunal Supremo que desestimó el recurso de casación.</w:t>
      </w:r>
    </w:p>
    <w:p w14:paraId="4F47FF2F" w14:textId="77777777" w:rsidR="009D7677" w:rsidRDefault="009D7677" w:rsidP="009D7677">
      <w:pPr>
        <w:pStyle w:val="TextoNormal"/>
      </w:pPr>
    </w:p>
    <w:p w14:paraId="31FDBA30" w14:textId="77777777" w:rsidR="009D7677" w:rsidRDefault="009D7677" w:rsidP="009D7677">
      <w:pPr>
        <w:pStyle w:val="TextoNormal"/>
      </w:pPr>
      <w:r w:rsidRPr="009D7677">
        <w:rPr>
          <w:rStyle w:val="NumeroAFNegritaCaracter"/>
        </w:rPr>
        <w:t>3</w:t>
      </w:r>
      <w:r>
        <w:t>. En la demanda se alega un solo motivo de amparo, la vulneración por parte de la sentencia condenatoria dictada por la Sección Primera de la Audiencia Provincial de Sevilla del derecho a la presunción de inocencia del art. 24.2 CE y del derecho a la tutela judicial efectiva reconocido en el art. 24.1 CE, en cuanto “el pronunciamiento condenatorio se basa en pruebas indiciarias que no cumplen los parámetros constitucionales, al no estar sustentada en hechos base acreditados mediante prueba directa, que conduzcan inexorablemente a un juicio de inferencia inexcusable condenatoria”. En dicha vulneración habría reincidido el Tribunal Supremo “con su pronunciamiento desestimatorio del recurso de casación”.</w:t>
      </w:r>
    </w:p>
    <w:p w14:paraId="43458192" w14:textId="77777777" w:rsidR="009D7677" w:rsidRDefault="009D7677" w:rsidP="009D7677">
      <w:pPr>
        <w:pStyle w:val="TextoNormal"/>
      </w:pPr>
    </w:p>
    <w:p w14:paraId="4BCCB0C6" w14:textId="77777777" w:rsidR="009D7677" w:rsidRDefault="009D7677" w:rsidP="009D7677">
      <w:pPr>
        <w:pStyle w:val="TextoNormal"/>
      </w:pPr>
      <w:r>
        <w:t>Como especial trascendencia constitucional se alega, en primer lugar, que el órgano judicial pudiera haber incurrido en una negativa manifiesta del deber de acatamiento de la doctrina del Tribunal Constitucional [STC 155/2009, de 25 de junio, FJ 2 f)] en materia de prueba indiciaria. También se alega que el recurso puede dar ocasión al Tribunal para aclarar o cambiar su doctrina, como consecuencia de un proceso de reflexión interna [STC 155/2009, FJ 2 b)] en relación con los siguientes extremos: (i) “la relevancia o reproche penal susceptible de aplicación y calificación a los actos considerados no como administrativos, sino políticos o de gobierno en relación con los actos o actuaciones de órganos unipersonales o colegiados que en el ejercicio de sus competencias realizan propuestas de proyectos de aprobación de presupuestos de las administraciones públicas o de modificaciones presupuestarias de los mismos, así como en actos de ejercicio de competencia de leyes de gobierno relativos a disposiciones de gestión y gastos presupuestario”; (ii) “la extensión a los órganos unipersonales o unipersonales [</w:t>
      </w:r>
      <w:r w:rsidRPr="009D7677">
        <w:rPr>
          <w:i/>
        </w:rPr>
        <w:t>sic</w:t>
      </w:r>
      <w:r>
        <w:t xml:space="preserve">] de gobierno de las consecuencias ilícitas penales causadas por los actos de gestión o disposición presupuestaria realizados por un órgano inferior competente legalmente, cuando de los mismos no ha tenido conocimiento directo o indirecto, ni ha existido ánimo de ningún tipo de beneficio particular sobre esos actos de gestión presupuestaria”; (iii) el “cumplimiento del principio de legalidad de los acuerdos o actos de órganos de gobierno competentes para la realización de actuaciones administrativas mediante convenios o acuerdos interadministrativos, dirigidas a agilizar soluciones económicas derivadas de la ejecución presupuestaria a solicitudes de </w:t>
      </w:r>
      <w:r>
        <w:lastRenderedPageBreak/>
        <w:t>los administrados para la obtención de subvenciones previstas legalmente”; y (iv) “la facultad de un órgano judicial para publicar a la opinión pública sin vicio de parcialidad, un fallo judicial condenatorio de privación de derechos fundamentales de la persona sin previa notificación al condenado, de la plena fundamentación y motivación jurídica del mismo para su conocimiento previo en garantía del derecho de presunción de inocencia, y en su caso cambiando la doctrina para extenderla a la comunicación a los medios y sin extremos de relevancia antepuestos al derecho constitucional del condenado (vulnerado)”.</w:t>
      </w:r>
    </w:p>
    <w:p w14:paraId="3DF1F65B" w14:textId="77777777" w:rsidR="009D7677" w:rsidRDefault="009D7677" w:rsidP="009D7677">
      <w:pPr>
        <w:pStyle w:val="TextoNormal"/>
      </w:pPr>
    </w:p>
    <w:p w14:paraId="105BE788" w14:textId="63592234" w:rsidR="009D7677" w:rsidRDefault="009D7677" w:rsidP="009D7677">
      <w:pPr>
        <w:pStyle w:val="TextoNormal"/>
      </w:pPr>
      <w:r>
        <w:t>En el suplico de la demanda se interesa que se declare la vulneración alegada y, en consecuencia, la nulidad de las resoluciones impugnadas y de todas las actuaciones posteriores “con retroacción de las mismas al dictado de una nueva sentencia respetuosa con [los] derechos fundamentales vulnerados por la Audiencia Provincial de Sevilla”. Asimismo, mediante otrosí digo, se interesa, al amparo de lo dispuesto en el art. 56.2 de la Ley Orgánica del Tribunal Constitucional (LOTC), la suspensión de la eficacia de la sentencia condenatoria hasta tanto recaiga una resolución definitiva en el presente recurso de amparo.</w:t>
      </w:r>
    </w:p>
    <w:p w14:paraId="345A40F4" w14:textId="77777777" w:rsidR="009D7677" w:rsidRDefault="009D7677" w:rsidP="009D7677">
      <w:pPr>
        <w:pStyle w:val="TextoNormal"/>
      </w:pPr>
    </w:p>
    <w:p w14:paraId="7A84FF72" w14:textId="77777777" w:rsidR="009D7677" w:rsidRDefault="009D7677" w:rsidP="009D7677">
      <w:pPr>
        <w:pStyle w:val="TextoNormal"/>
      </w:pPr>
      <w:r w:rsidRPr="009D7677">
        <w:rPr>
          <w:rStyle w:val="NumeroAFNegritaCaracter"/>
        </w:rPr>
        <w:t>4</w:t>
      </w:r>
      <w:r>
        <w:t>. La Sala Segunda de este tribunal dictó el ATC 296/2023, de 5 de junio, en el que se adoptaron los siguientes pronunciamientos:</w:t>
      </w:r>
    </w:p>
    <w:p w14:paraId="0FD3D7AA" w14:textId="77777777" w:rsidR="009D7677" w:rsidRDefault="009D7677" w:rsidP="009D7677">
      <w:pPr>
        <w:pStyle w:val="TextoNormal"/>
      </w:pPr>
    </w:p>
    <w:p w14:paraId="45AEB305" w14:textId="77777777" w:rsidR="009D7677" w:rsidRDefault="009D7677" w:rsidP="009D7677">
      <w:pPr>
        <w:pStyle w:val="TextoNormal"/>
      </w:pPr>
      <w:r>
        <w:t>a) Previa avocación a la Sala de la decisión, se admitió a trámite el presente recurso de amparo “porque el recurso plantea un problema o afecta a una faceta de un derecho fundamental sobre el que no hay doctrina de este tribunal [STC 155/2009, FJ 2 a)], y porque el asunto suscitado trasciende del caso concreto porque plantea una cuestión jurídica de relevante y general repercusión social y tiene unas consecuencias políticas generales [STC 155/2009, FJ 2 g)]”.</w:t>
      </w:r>
    </w:p>
    <w:p w14:paraId="33B620D4" w14:textId="77777777" w:rsidR="009D7677" w:rsidRDefault="009D7677" w:rsidP="009D7677">
      <w:pPr>
        <w:pStyle w:val="TextoNormal"/>
      </w:pPr>
    </w:p>
    <w:p w14:paraId="2FD90660" w14:textId="77777777" w:rsidR="009D7677" w:rsidRDefault="009D7677" w:rsidP="009D7677">
      <w:pPr>
        <w:pStyle w:val="TextoNormal"/>
      </w:pPr>
      <w:r>
        <w:t>b) En aplicación del art. 51 LOTC, se acordó requerir a la Sección Primera de la Audiencia Provincial de Sevilla a fin de que remitiera certificación o fotocopia adverada de las actuaciones correspondientes al procedimiento abreviado núm. 133-2016, rollo núm. 1965-2017, y emplazase a quienes hubieran sido parte en el procedimiento, excepto a la parte recurrente en amparo, para que en el plazo de diez días pudieran comparecer, si lo deseasen, en el presente recurso. También acordó requerir a la Sala de lo Penal del Tribunal Supremo para que remitiera certificación o fotocopia adverada de las actuaciones correspondientes al recurso de casación núm. 601-2020. Mediante diligencia de ordenación de fecha 24 de julio de 2023 se tuvieron por recibidas en este tribunal las actuaciones correspondientes al procedimiento abreviado núm. 133-2016, rollo núm. 1965-2017.</w:t>
      </w:r>
    </w:p>
    <w:p w14:paraId="3F3C9488" w14:textId="77777777" w:rsidR="009D7677" w:rsidRDefault="009D7677" w:rsidP="009D7677">
      <w:pPr>
        <w:pStyle w:val="TextoNormal"/>
      </w:pPr>
    </w:p>
    <w:p w14:paraId="46D54B50" w14:textId="77777777" w:rsidR="009D7677" w:rsidRDefault="009D7677" w:rsidP="009D7677">
      <w:pPr>
        <w:pStyle w:val="TextoNormal"/>
      </w:pPr>
      <w:r>
        <w:t>c) Se ordenó, asimismo, formar pieza separada de suspensión y en ella conceder un plazo común de tres días al Ministerio Fiscal y al solicitante de amparo para que efectuasen alegaciones sobre dicha cuestión. Hechas las alegaciones correspondientes, el Pleno de este tribunal dictó el ATC 444/2023, de 26 de septiembre, en el que acordó denegar la suspensión interesada por el actor.</w:t>
      </w:r>
    </w:p>
    <w:p w14:paraId="3028D590" w14:textId="77777777" w:rsidR="009D7677" w:rsidRDefault="009D7677" w:rsidP="009D7677">
      <w:pPr>
        <w:pStyle w:val="TextoNormal"/>
      </w:pPr>
    </w:p>
    <w:p w14:paraId="4BAC1C38" w14:textId="70927B5C" w:rsidR="009D7677" w:rsidRDefault="009D7677" w:rsidP="009D7677">
      <w:pPr>
        <w:pStyle w:val="TextoNormal"/>
      </w:pPr>
      <w:r>
        <w:t>d) Se propuso finalmente la avocación al Pleno del conocimiento del asunto. Por providencia de 20 de junio de 2023 el Pleno de este tribunal acordó, conforme al artículo 10.1 n) LOTC, a propuesta de la Sala Segunda, “recabar para sí el conocimiento del recurso de amparo que se tramita en dicha sala con el número 2552-2023, interpuesto por don José Antonio Viera Chacón”.</w:t>
      </w:r>
    </w:p>
    <w:p w14:paraId="36BBCF96" w14:textId="77777777" w:rsidR="009D7677" w:rsidRDefault="009D7677" w:rsidP="009D7677">
      <w:pPr>
        <w:pStyle w:val="TextoNormal"/>
      </w:pPr>
    </w:p>
    <w:p w14:paraId="24D4A220" w14:textId="77777777" w:rsidR="009D7677" w:rsidRDefault="009D7677" w:rsidP="009D7677">
      <w:pPr>
        <w:pStyle w:val="TextoNormal"/>
      </w:pPr>
      <w:r w:rsidRPr="009D7677">
        <w:rPr>
          <w:rStyle w:val="NumeroAFNegritaCaracter"/>
        </w:rPr>
        <w:t>5</w:t>
      </w:r>
      <w:r>
        <w:t>. Las partes personadas en el presente proceso de amparo han presentado las siguientes alegaciones:</w:t>
      </w:r>
    </w:p>
    <w:p w14:paraId="4EA4E2AD" w14:textId="77777777" w:rsidR="009D7677" w:rsidRDefault="009D7677" w:rsidP="009D7677">
      <w:pPr>
        <w:pStyle w:val="TextoNormal"/>
      </w:pPr>
    </w:p>
    <w:p w14:paraId="63AFECDC" w14:textId="77777777" w:rsidR="009D7677" w:rsidRDefault="009D7677" w:rsidP="009D7677">
      <w:pPr>
        <w:pStyle w:val="TextoNormal"/>
      </w:pPr>
      <w:r>
        <w:t>a) El recurrente en amparo ha ratificado, en escrito registrado en este tribunal el 27 de septiembre de 2023, las alegaciones ya formuladas en la demanda.</w:t>
      </w:r>
    </w:p>
    <w:p w14:paraId="04A9A710" w14:textId="77777777" w:rsidR="009D7677" w:rsidRDefault="009D7677" w:rsidP="009D7677">
      <w:pPr>
        <w:pStyle w:val="TextoNormal"/>
      </w:pPr>
    </w:p>
    <w:p w14:paraId="60A5ED23" w14:textId="77777777" w:rsidR="009D7677" w:rsidRDefault="009D7677" w:rsidP="009D7677">
      <w:pPr>
        <w:pStyle w:val="TextoNormal"/>
      </w:pPr>
      <w:r>
        <w:t>Señala, en particular, en relación con la alegada vulneración del derecho a la presunción de inocencia derivada de la defectuosa inferencia realizada sobre la base de la prueba indiciaria, que la inferencia del conocimiento de la ilegalidad del sistema de ayudas se sustenta, en la sentencia de la Audiencia Provincial de Sevilla, en el “informe adicional” del año 2003, que, según reconocerían los hechos probados de la sentencia, se firmó en 2005 y fue entregado a sus destinatarios “en julio de 2005”, esto es, en un momento en el que el recurrente de amparo “ya no era ni consejero de Empleo de la Junta de Andalucía, ni presidente de IFA-IDEA, ni pertenecía siquiera a dicha administración pública, ya que cesó en tales funciones el 25 de abril de 2004”. En opinión del demandante “si la sentencia sitúa el conocimiento por parte de los acusados de la ilegalidad de su actuación, tomando como referencia fundamental de dicho conocimiento el traslado del informe de ayudas adicional al de cumplimiento del IFA de 2003, emitido y entregado en julio de 2005, es evidente que no puede razonablemente fundar la condena del recurrente, en razón de dicho conocimiento, dado que cuando dicho informe se conoció ya mi principal no ostentaba la responsabilidad de consejero del Gobierno autonómico en base a la cual ha resultado condenado”. Añade que a la misma conclusión se habría llegado si se hubieran analizado suficientemente en la sentencia los testimonios practicados en el plenario, que el recurrente glosa con abundante cita de su propio recurso de casación.</w:t>
      </w:r>
    </w:p>
    <w:p w14:paraId="5A6A2DDF" w14:textId="77777777" w:rsidR="009D7677" w:rsidRDefault="009D7677" w:rsidP="009D7677">
      <w:pPr>
        <w:pStyle w:val="TextoNormal"/>
      </w:pPr>
    </w:p>
    <w:p w14:paraId="2F678275" w14:textId="77777777" w:rsidR="009D7677" w:rsidRDefault="009D7677" w:rsidP="009D7677">
      <w:pPr>
        <w:pStyle w:val="TextoNormal"/>
      </w:pPr>
      <w:r>
        <w:t>Añade el actor que la sentencia condenatoria “considera como pruebas de cargo hechos que son claramente ambivalentes, es decir, que no pueden en modo alguno revestir carácter incriminatorio, por cuanto admiten una interpretación lógica y razonable que exculpa al acusado de toda conducta penalmente reprochable”, lo que le llevó a combatir las pruebas de cargo en el recurso de casación, del que el demandante extracta numerosos pasajes que, en su opinión, permitirían refutar el significado incriminatorio de los elementos de convicción en los que se fundó la sentencia condenatoria. Concluye que las pruebas de cargo tomadas en consideración para condenar estaban, en definitiva, “plagadas de inferencias claramente irracionales” que fueron objeto de denuncia en el recurso de casación.</w:t>
      </w:r>
    </w:p>
    <w:p w14:paraId="17761E96" w14:textId="77777777" w:rsidR="009D7677" w:rsidRDefault="009D7677" w:rsidP="009D7677">
      <w:pPr>
        <w:pStyle w:val="TextoNormal"/>
      </w:pPr>
    </w:p>
    <w:p w14:paraId="268AABB3" w14:textId="77777777" w:rsidR="009D7677" w:rsidRDefault="009D7677" w:rsidP="009D7677">
      <w:pPr>
        <w:pStyle w:val="TextoNormal"/>
      </w:pPr>
      <w:r>
        <w:t xml:space="preserve">Se incluyen también en el escrito de alegaciones argumentaciones relativas a motivos de amparo que son planteados </w:t>
      </w:r>
      <w:r w:rsidRPr="009D7677">
        <w:rPr>
          <w:i/>
        </w:rPr>
        <w:t>ex novo</w:t>
      </w:r>
      <w:r>
        <w:t>, pues no fueron alegados como tales en la demanda, aunque se dice que sí fueron mencionadas en los antecedentes fácticos de esta, cuando se daba cuenta del contenido del incidente de nulidad de actuaciones. Estas alegaciones versan en particular sobre: la vulneración del derecho a la presunción de inocencia (art. 24.2 CE) y el derecho a la tutela judicial efectiva (art. 24.1 CE) derivada de la publicación anticipada del fallo; la vulneración del derecho a la tutela judicial efectiva (art. 24.1 CE) en su dimensión de prohibición de doble enjuiciamiento, por extenderse la sentencia casacional al enjuiciamiento y valoración de las ayudas individuales, que habrían quedado fuera del objeto de enjuiciamiento en la instancia; la vulneración del derecho a la presunción de inocencia (art. 24.2 CE) por incluirse en la sentencia de casación datos fácticos ajenos a la sentencia de instancia.</w:t>
      </w:r>
    </w:p>
    <w:p w14:paraId="1281495E" w14:textId="77777777" w:rsidR="009D7677" w:rsidRDefault="009D7677" w:rsidP="009D7677">
      <w:pPr>
        <w:pStyle w:val="TextoNormal"/>
      </w:pPr>
    </w:p>
    <w:p w14:paraId="707E3707" w14:textId="77777777" w:rsidR="009D7677" w:rsidRDefault="009D7677" w:rsidP="009D7677">
      <w:pPr>
        <w:pStyle w:val="TextoNormal"/>
      </w:pPr>
      <w:r>
        <w:t>b) El Partido Popular, al que se tuvo por personado en diligencia de ordenación de 27 de julio de 2023, ha interesado, en escrito registrado en este tribunal el 26 de septiembre de 2023, la desestimación del recurso de amparo, al considerar que la demanda de amparo no cumple con las mínimas exigencias de carga alegatoria (art. 49.1 LOTC) y que, en todo caso, no se ha producido la vulneración de la presunción de inocencia genéricamente denunciada, ligada a la insuficiencia de la prueba indiciaria.</w:t>
      </w:r>
    </w:p>
    <w:p w14:paraId="0D89B5B0" w14:textId="77777777" w:rsidR="009D7677" w:rsidRDefault="009D7677" w:rsidP="009D7677">
      <w:pPr>
        <w:pStyle w:val="TextoNormal"/>
      </w:pPr>
    </w:p>
    <w:p w14:paraId="03370B2D" w14:textId="77777777" w:rsidR="009D7677" w:rsidRDefault="009D7677" w:rsidP="009D7677">
      <w:pPr>
        <w:pStyle w:val="TextoNormal"/>
      </w:pPr>
      <w:r>
        <w:t>Señala la formación política comparecida que “[e]l único desarrollo argumental” que se contiene en la demanda de amparo “es en términos jurídicos vagos, cuando dice ‘porque el pronunciamiento condenatorio se basa en pruebas indiciarias que no cumplen los parámetros constitucionales, al no estar sustentada en hechos base acreditados mediante prueba directa, que conduzcan inexorablemente a un juicio de inferencia inexcusable condenatoria’, referido ello a la presunción de inocencia”. Añade que “[l]a parte no concreta cuáles son los hechos base que no deberían servir de fundamento condenatorio, ni censura en concreto ningún juicio de inferencia”. Se queja el Partido Popular de que ese “razonamiento genérico” de la demanda “obliga a esta parte a examinar y exponer toda la prueba en que se fundan ambas sentencias y analizar si se trata de pruebas directas o de prueba indiciaria que justifiquen un juicio de inferencia con consecuencias condenatorias”.</w:t>
      </w:r>
    </w:p>
    <w:p w14:paraId="34952697" w14:textId="77777777" w:rsidR="009D7677" w:rsidRDefault="009D7677" w:rsidP="009D7677">
      <w:pPr>
        <w:pStyle w:val="TextoNormal"/>
      </w:pPr>
    </w:p>
    <w:p w14:paraId="03782284" w14:textId="77777777" w:rsidR="009D7677" w:rsidRDefault="009D7677" w:rsidP="009D7677">
      <w:pPr>
        <w:pStyle w:val="TextoNormal"/>
      </w:pPr>
      <w:r>
        <w:t>Considera, en definitiva, la formación política personada que “[l]a parte no realiza el más mínimo esfuerzo argumental concreto, por lo que ignoramos el sentido de su queja”. Aunque el recurrente cita algunas sentencias de propio Tribunal Constitucional, estima que “resulta materialmente imposible conocer qué aspecto de la doctrina indicada puede ser de interés para el demandante en esta sede de amparo”, pues el recurso contiene “meras afirmaciones apodícticas de su argumento de vulneración de ciertos derechos (arts. 24.1 y 24.2 CE), a la que solo cabe responder con una referencia general sobre la fundamentación de las sentencias recurridas y, en particular, sobre lo que al respecto se invocó y resolvió en sede de casación o del incidente de nulidad”. Concluye, por todo ello, que el recurso de amparo “incurre en manifiesta infracción del art. 49.1 LOTC porque no facilita, en forma alguna, la fundamentación fáctica y jurídica para su examen, debate y resolución”. Este motivo de inadmisión debe llevar, a juicio de la parte personada, a la desestimación de la demanda, puesto que el proceso ya se encuentra en trámite de dictar sentencia.</w:t>
      </w:r>
    </w:p>
    <w:p w14:paraId="11BDE172" w14:textId="77777777" w:rsidR="009D7677" w:rsidRDefault="009D7677" w:rsidP="009D7677">
      <w:pPr>
        <w:pStyle w:val="TextoNormal"/>
      </w:pPr>
    </w:p>
    <w:p w14:paraId="342D8796" w14:textId="77777777" w:rsidR="009D7677" w:rsidRDefault="009D7677" w:rsidP="009D7677">
      <w:pPr>
        <w:pStyle w:val="TextoNormal"/>
      </w:pPr>
      <w:r>
        <w:t>Realiza, pese a todo, la entidad personada un examen general de las resoluciones impugnadas para rechazar que la vulneración genéricamente denunciada haya podido materializarse. Extracta, para ello, aquellos fragmentos que estima más significativos y llega a la conclusión de que la condena se fundamenta suficientemente en “pruebas directas, no meramente indiciarias” que “revelan un abundante material probatorio del que se deduce la comisión de hechos racionalmente valorados, calificados en los fundamentos jurídicos de acuerdo con un juicio de tipicidad acertado, racional y previsible, para quien fue consejero de Empleo que participó en la decisión de, variando el sistema legal anterior, implantar un nuevo sistema de presupuestación que buscaba eludir la normativa de subvenciones y los controles de fiscalización y posibilitó la concesión de ayudas manifiestamente irregulares, concesión en la que igualmente intervino”.</w:t>
      </w:r>
    </w:p>
    <w:p w14:paraId="029D53E2" w14:textId="77777777" w:rsidR="009D7677" w:rsidRDefault="009D7677" w:rsidP="009D7677">
      <w:pPr>
        <w:pStyle w:val="TextoNormal"/>
      </w:pPr>
    </w:p>
    <w:p w14:paraId="34354874" w14:textId="77777777" w:rsidR="009D7677" w:rsidRDefault="009D7677" w:rsidP="009D7677">
      <w:pPr>
        <w:pStyle w:val="TextoNormal"/>
      </w:pPr>
      <w:r>
        <w:lastRenderedPageBreak/>
        <w:t>Se concluye, en definitiva, que en modo alguno puede considerarse vulnerado el derecho del actor a la presunción de inocencia (art. 24.2 CE), por lo que el único motivo de amparo alegado en la demanda debe ser, en todo caso, desestimado.</w:t>
      </w:r>
    </w:p>
    <w:p w14:paraId="7E54E132" w14:textId="77777777" w:rsidR="009D7677" w:rsidRDefault="009D7677" w:rsidP="009D7677">
      <w:pPr>
        <w:pStyle w:val="TextoNormal"/>
      </w:pPr>
    </w:p>
    <w:p w14:paraId="1AF44B4E" w14:textId="77777777" w:rsidR="009D7677" w:rsidRDefault="009D7677" w:rsidP="009D7677">
      <w:pPr>
        <w:pStyle w:val="TextoNormal"/>
      </w:pPr>
      <w:r>
        <w:t>c) Don Jesús María Rodríguez Román, al que se tuvo por personado en diligencia de ordenación 23 de octubre de 2023, ha interesado, en escrito registrado en este tribunal el 26 de septiembre de 2023, la declaración de la vulneración del derecho a la legalidad sancionadora (art. 25.1 CE) y ha solicitado que se declaren nulas y sin efecto las resoluciones impugnadas. Bajo la rúbrica “[v]ulneración de la presunción de inocencia: inexistencia de prueba indiciaria”, reprocha a la sentencia casacional que haya fragmentado la coautoría apreciada en la instancia, descomponiéndola en diversas responsabilidades individuales que no están debidamente acreditadas</w:t>
      </w:r>
    </w:p>
    <w:p w14:paraId="1051846A" w14:textId="77777777" w:rsidR="009D7677" w:rsidRDefault="009D7677" w:rsidP="009D7677">
      <w:pPr>
        <w:pStyle w:val="TextoNormal"/>
      </w:pPr>
    </w:p>
    <w:p w14:paraId="44B01C15" w14:textId="2BD7095A" w:rsidR="009D7677" w:rsidRDefault="009D7677" w:rsidP="009D7677">
      <w:pPr>
        <w:pStyle w:val="TextoNormal"/>
      </w:pPr>
      <w:r>
        <w:t>Don Francisco Vallejo Serrano, al que se tuvo por personado en diligencia de ordenación de 23 de octubre de 2023, no ha formulado alegaciones.</w:t>
      </w:r>
    </w:p>
    <w:p w14:paraId="3E6525CC" w14:textId="77777777" w:rsidR="009D7677" w:rsidRDefault="009D7677" w:rsidP="009D7677">
      <w:pPr>
        <w:pStyle w:val="TextoNormal"/>
      </w:pPr>
    </w:p>
    <w:p w14:paraId="3086FCEF" w14:textId="77777777" w:rsidR="009D7677" w:rsidRDefault="009D7677" w:rsidP="009D7677">
      <w:pPr>
        <w:pStyle w:val="TextoNormal"/>
      </w:pPr>
      <w:r w:rsidRPr="009D7677">
        <w:rPr>
          <w:rStyle w:val="NumeroAFNegritaCaracter"/>
        </w:rPr>
        <w:t>6</w:t>
      </w:r>
      <w:r>
        <w:t>. El Ministerio Fiscal ha presentado alegaciones, registradas en este tribunal en fecha 8 de enero de 2024, previa prórroga del plazo conferido al efecto, acordada en diligencia de ordenación de 30 de octubre de 2023. En ellas, interesa la inadmisión del recurso de amparo y, subsidiariamente, su desestimación.</w:t>
      </w:r>
    </w:p>
    <w:p w14:paraId="784C29A1" w14:textId="77777777" w:rsidR="009D7677" w:rsidRDefault="009D7677" w:rsidP="009D7677">
      <w:pPr>
        <w:pStyle w:val="TextoNormal"/>
      </w:pPr>
    </w:p>
    <w:p w14:paraId="5AC254AF" w14:textId="77777777" w:rsidR="009D7677" w:rsidRDefault="009D7677" w:rsidP="009D7677">
      <w:pPr>
        <w:pStyle w:val="TextoNormal"/>
      </w:pPr>
      <w:r>
        <w:t>Señala, en primer lugar, la fiscal que “la demanda de amparo adolece de un evidente déficit en el modo en el que ha sido planteada, puesto que en la misma no aparecen citados con claridad los preceptos constitucionales que se estiman infringidos, ni se fija con precisión el amparo que se solicita”. Considera, por ello, que “el recurso interpuesto infringe lo dispuesto en el art. 49.1 LOTC y, por ello, deberá estimarse que está incurso en causa de inadmisión, de conformidad con lo establecido en el art 50. 1 a) LOTC”.</w:t>
      </w:r>
    </w:p>
    <w:p w14:paraId="2BDDED80" w14:textId="77777777" w:rsidR="009D7677" w:rsidRDefault="009D7677" w:rsidP="009D7677">
      <w:pPr>
        <w:pStyle w:val="TextoNormal"/>
      </w:pPr>
    </w:p>
    <w:p w14:paraId="3003FA6A" w14:textId="77777777" w:rsidR="009D7677" w:rsidRDefault="009D7677" w:rsidP="009D7677">
      <w:pPr>
        <w:pStyle w:val="TextoNormal"/>
      </w:pPr>
      <w:r>
        <w:t>Según aduce, “nos encontramos ante una demanda incursa en falta de coherencia, al citar los derechos fundamentales que se estima han sido vulnerados por las resoluciones judiciales que se impugnan, así como con una evidente falta de precisión sobre la pretensión de amparo que se ejercita y ausencia total de argumentación jurídica para sustentar las vulneraciones de derechos fundamentales denunciadas como motivos del recurso”. Añade que, de acuerdo con la propia doctrina del Tribunal Constitucional, no resulta posible la reconstrucción de la demanda de amparo que, en el presente caso, “obligaría a un amplio ejercicio de imaginación o conjeturas sobre lo que se ha querido plantear por el demandante de amparo, teniendo que presuponer cuáles derechos fundamentales son los que se alegan, definitivamente, como vulnerados, y, sobre todo, cuáles son las razones con las que se trata de sustentar en el procedimiento de amparo constitucional que existe la vulneración de los derechos fundamentales invocados, en orden a poder realizar en el presente trámite de alegaciones un examen sobre el carácter fundado de las violaciones de derechos fundamentales denunciadas”.</w:t>
      </w:r>
    </w:p>
    <w:p w14:paraId="603DC859" w14:textId="77777777" w:rsidR="009D7677" w:rsidRDefault="009D7677" w:rsidP="009D7677">
      <w:pPr>
        <w:pStyle w:val="TextoNormal"/>
      </w:pPr>
    </w:p>
    <w:p w14:paraId="617547DB" w14:textId="77777777" w:rsidR="009D7677" w:rsidRDefault="009D7677" w:rsidP="009D7677">
      <w:pPr>
        <w:pStyle w:val="TextoNormal"/>
      </w:pPr>
      <w:r>
        <w:t xml:space="preserve">Explica, asimismo, que, en el apartado de fundamentos de derecho de la demanda solo se enuncian como motivos del amparo la vulneración del art 24.1 CE, por falta de tutela judicial efectiva, sin indefensión y, la infracción del art 24.2 CE, por vulneración del derecho a la presunción de inocencia pero no se ofrece, a continuación, “ningún razonamiento jurídico para justificar la existencia de estas dos vulneraciones de derechos fundamentales, </w:t>
      </w:r>
      <w:r>
        <w:lastRenderedPageBreak/>
        <w:t>sino que el recurrente se limita a remitirse a lo explicitado en los ordinales octavo y noveno de los antecedentes (en cuanto a la vulneración del derecho a la tutela judicial efectiva, sin indefensión), y al ordinal noveno de los […] fundamentos de derecho”, ordinales que no existen en el apartado relativo a la fundamentación jurídica y que, en el caso de los antecedentes de hecho, no contienen argumentación alguna que sustente las vulneraciones.</w:t>
      </w:r>
    </w:p>
    <w:p w14:paraId="59CDC819" w14:textId="77777777" w:rsidR="009D7677" w:rsidRDefault="009D7677" w:rsidP="009D7677">
      <w:pPr>
        <w:pStyle w:val="TextoNormal"/>
      </w:pPr>
    </w:p>
    <w:p w14:paraId="03C55EAA" w14:textId="77777777" w:rsidR="009D7677" w:rsidRDefault="009D7677" w:rsidP="009D7677">
      <w:pPr>
        <w:pStyle w:val="TextoNormal"/>
      </w:pPr>
      <w:r>
        <w:t>Concluye, por ello, la fiscal que procede la inadmisión del recurso de amparo porque nos encontramos ante “un déficit sustancial en el planteamiento de la demanda, puesto que impide conocer, exactamente, los derechos fundamentales cuya vulneración se alega, impetrando su reconocimiento y amparo constitucional, además de que se omite formular un razonamiento jurídico específico y propio del recurso de amparo constitucional, en el que se sustenta la existencia de las vulneraciones de derechos fundamentales, sobre cuya solidez o fundamento podamos pronunciarnos”.</w:t>
      </w:r>
    </w:p>
    <w:p w14:paraId="730FDEAC" w14:textId="77777777" w:rsidR="009D7677" w:rsidRDefault="009D7677" w:rsidP="009D7677">
      <w:pPr>
        <w:pStyle w:val="TextoNormal"/>
      </w:pPr>
    </w:p>
    <w:p w14:paraId="32BC0F1F" w14:textId="22901273" w:rsidR="009D7677" w:rsidRDefault="009D7677" w:rsidP="009D7677">
      <w:pPr>
        <w:pStyle w:val="TextoNormal"/>
      </w:pPr>
      <w:r>
        <w:t>Acto seguido, la fiscal trata de abordar el fondo del asunto pese a “las importantes dificultades que presenta una demanda huérfana de una especifica argumentación sobre el amparo constitucional que se plantea”, para lo que procede a examinar las supuestas vulneraciones del derecho a la tutela judicial efectiva sin indefensión (art 24.1 CE) y del derecho a la presunción de inocencia del art 24.2 CE, invocadas como motivos de amparo, haciendo un examen general de las resoluciones impugnadas, del que resulta, a su juicio, la inexistencia de las referidas vulneraciones.</w:t>
      </w:r>
    </w:p>
    <w:p w14:paraId="58E355BA" w14:textId="77777777" w:rsidR="009D7677" w:rsidRDefault="009D7677" w:rsidP="009D7677">
      <w:pPr>
        <w:pStyle w:val="TextoNormal"/>
      </w:pPr>
    </w:p>
    <w:p w14:paraId="116E2ADE" w14:textId="4A6F509A" w:rsidR="009D7677" w:rsidRDefault="009D7677" w:rsidP="009D7677">
      <w:pPr>
        <w:pStyle w:val="TextoNormal"/>
      </w:pPr>
      <w:r w:rsidRPr="009D7677">
        <w:rPr>
          <w:rStyle w:val="NumeroAFNegritaCaracter"/>
        </w:rPr>
        <w:t>7</w:t>
      </w:r>
      <w:r>
        <w:t>. Por providencia de 17 de junio de 2024 se señaló ese mismo día para la deliberación y votación de la presente sentencia.</w:t>
      </w:r>
    </w:p>
    <w:p w14:paraId="1D76E733" w14:textId="77777777" w:rsidR="009D7677" w:rsidRDefault="009D7677" w:rsidP="009D7677">
      <w:pPr>
        <w:pStyle w:val="TextoNormal"/>
      </w:pPr>
    </w:p>
    <w:p w14:paraId="3EDDC394" w14:textId="77777777" w:rsidR="009D7677" w:rsidRDefault="009D7677" w:rsidP="009D7677">
      <w:pPr>
        <w:pStyle w:val="TextoNormalNegritaCentrado"/>
        <w:keepNext/>
      </w:pPr>
      <w:r>
        <w:t>II. Fundamentos jurídicos</w:t>
      </w:r>
    </w:p>
    <w:p w14:paraId="3E020586" w14:textId="6E9AACA2" w:rsidR="009D7677" w:rsidRDefault="009D7677" w:rsidP="009D7677">
      <w:pPr>
        <w:pStyle w:val="TextoNormalNegritaCentrado"/>
        <w:keepNext/>
      </w:pPr>
    </w:p>
    <w:p w14:paraId="6A9A3B81" w14:textId="77777777" w:rsidR="009D7677" w:rsidRDefault="009D7677" w:rsidP="009D7677">
      <w:pPr>
        <w:pStyle w:val="TextoNormal"/>
      </w:pPr>
      <w:r w:rsidRPr="009D7677">
        <w:rPr>
          <w:rStyle w:val="NumeroAFNegritaCaracter"/>
        </w:rPr>
        <w:t>1</w:t>
      </w:r>
      <w:r>
        <w:t xml:space="preserve">. </w:t>
      </w:r>
      <w:r w:rsidRPr="009D7677">
        <w:rPr>
          <w:i/>
        </w:rPr>
        <w:t>Objeto del recurso y alegaciones de las partes</w:t>
      </w:r>
    </w:p>
    <w:p w14:paraId="569DE2A9" w14:textId="77777777" w:rsidR="009D7677" w:rsidRDefault="009D7677" w:rsidP="009D7677">
      <w:pPr>
        <w:pStyle w:val="TextoNormal"/>
      </w:pPr>
    </w:p>
    <w:p w14:paraId="1F99AE62" w14:textId="77777777" w:rsidR="009D7677" w:rsidRDefault="009D7677" w:rsidP="009D7677">
      <w:pPr>
        <w:pStyle w:val="TextoNormal"/>
      </w:pPr>
      <w:r>
        <w:t>El presente recurso de amparo ha sido interpuesto por la representación procesal de don José Antonio Viera Chacón contra las siguientes resoluciones: (i) la sentencia núm. 490/2019, de 19 de noviembre, dictada por la Sección Primera de la Audiencia Provincial de Sevilla en el procedimiento abreviado núm. 133-2016, rollo núm. 1965-2017, que condena al demandante de amparo como autor de un delito continuado de prevaricación en concurso medial con un delito continuado de malversación, agravado por su especial gravedad, a la pena de siete años y un día de prisión, inhabilitación especial para el derecho de sufragio pasivo durante el tiempo de la condena, e inhabilitación absoluta por tiempo de dieciocho años y un día; (ii) la sentencia de la Sala de lo Penal del Tribunal Supremo núm. 749/2022, de 13 de septiembre, que desestima el recurso de casación formulado por el demandante de amparo frente a la anterior (recurso de casación núm. 601-2020) y (iii) el auto del mismo órgano judicial de 16 de febrero de 2023, que inadmite el incidente de nulidad de actuaciones interpuesto frente a la citada sentencia desestimatoria.</w:t>
      </w:r>
    </w:p>
    <w:p w14:paraId="1DF96D3D" w14:textId="77777777" w:rsidR="009D7677" w:rsidRDefault="009D7677" w:rsidP="009D7677">
      <w:pPr>
        <w:pStyle w:val="TextoNormal"/>
      </w:pPr>
    </w:p>
    <w:p w14:paraId="1A99B31E" w14:textId="5BBF47A6" w:rsidR="009D7677" w:rsidRDefault="009D7677" w:rsidP="009D7677">
      <w:pPr>
        <w:pStyle w:val="TextoNormal"/>
      </w:pPr>
      <w:r>
        <w:t xml:space="preserve">El demandante considera que las resoluciones impugnadas vulneran los derechos a la tutela judicial efectiva (art. 24.1 CE) y a la presunción de inocencia (art. 24.2 CE) por no ajustarse a los parámetros constitucionales que rigen la valoración de la prueba indiciaria. El Ministerio Fiscal ha interesado la inadmisión del recurso al entender que la demanda no </w:t>
      </w:r>
      <w:r>
        <w:lastRenderedPageBreak/>
        <w:t>cumple las exigencias mínimas de carga alegatoria (art. 49.1 LOTC) y ha solicitado, subsidiariamente, la desestimación del amparo. La representación del Partido Popular también considera incumplido el requisito de carga argumental mínima fijado en el art. 49.1 LOTC e interesa, en todo caso, la desestimación del recurso. Don Jesús María Rodríguez Román ha formulado alegaciones en los términos que se consignan en los antecedentes.</w:t>
      </w:r>
    </w:p>
    <w:p w14:paraId="4DEAEC5C" w14:textId="77777777" w:rsidR="009D7677" w:rsidRDefault="009D7677" w:rsidP="009D7677">
      <w:pPr>
        <w:pStyle w:val="TextoNormal"/>
      </w:pPr>
    </w:p>
    <w:p w14:paraId="30C29AD7" w14:textId="77777777" w:rsidR="009D7677" w:rsidRDefault="009D7677" w:rsidP="009D7677">
      <w:pPr>
        <w:pStyle w:val="TextoNormal"/>
      </w:pPr>
      <w:r w:rsidRPr="009D7677">
        <w:rPr>
          <w:rStyle w:val="NumeroAFNegritaCaracter"/>
        </w:rPr>
        <w:t>2</w:t>
      </w:r>
      <w:r>
        <w:t xml:space="preserve">. </w:t>
      </w:r>
      <w:r w:rsidRPr="009D7677">
        <w:rPr>
          <w:i/>
        </w:rPr>
        <w:t>Desestimación del recurso de amparo</w:t>
      </w:r>
    </w:p>
    <w:p w14:paraId="0528D160" w14:textId="77777777" w:rsidR="009D7677" w:rsidRDefault="009D7677" w:rsidP="009D7677">
      <w:pPr>
        <w:pStyle w:val="TextoNormal"/>
      </w:pPr>
    </w:p>
    <w:p w14:paraId="1D99C49E" w14:textId="77777777" w:rsidR="009D7677" w:rsidRDefault="009D7677" w:rsidP="009D7677">
      <w:pPr>
        <w:pStyle w:val="TextoNormal"/>
      </w:pPr>
      <w:r>
        <w:t>Tanto el Ministerio Fiscal como la representación del Partido Popular estiman que la demanda presentada no cumple con las exigencias mínimas de carga alegatoria, fijadas en el art. 49.1 LOTC. Para resolver sobre esta alegación expondremos, primero, la doctrina de este tribunal que resulta relevante (A) y aplicaremos, después, dicha doctrina al caso planteado (B).</w:t>
      </w:r>
    </w:p>
    <w:p w14:paraId="60054529" w14:textId="77777777" w:rsidR="009D7677" w:rsidRDefault="009D7677" w:rsidP="009D7677">
      <w:pPr>
        <w:pStyle w:val="TextoNormal"/>
      </w:pPr>
    </w:p>
    <w:p w14:paraId="0AB1391B" w14:textId="77777777" w:rsidR="009D7677" w:rsidRDefault="009D7677" w:rsidP="009D7677">
      <w:pPr>
        <w:pStyle w:val="TextoNormal"/>
      </w:pPr>
      <w:r>
        <w:t>A) Han de tenerse en cuenta las siguientes consideraciones doctrinales:</w:t>
      </w:r>
    </w:p>
    <w:p w14:paraId="2D5AC1DE" w14:textId="77777777" w:rsidR="009D7677" w:rsidRDefault="009D7677" w:rsidP="009D7677">
      <w:pPr>
        <w:pStyle w:val="TextoNormal"/>
      </w:pPr>
    </w:p>
    <w:p w14:paraId="54901ABD" w14:textId="77777777" w:rsidR="009D7677" w:rsidRDefault="009D7677" w:rsidP="009D7677">
      <w:pPr>
        <w:pStyle w:val="TextoNormal"/>
      </w:pPr>
      <w:r>
        <w:t xml:space="preserve">a) Uno de los requisitos de la demanda de amparo es la aportación de una argumentación suficiente sobre la pretensión que se formula y la </w:t>
      </w:r>
      <w:r w:rsidRPr="009D7677">
        <w:rPr>
          <w:i/>
        </w:rPr>
        <w:t>causa petendi</w:t>
      </w:r>
      <w:r>
        <w:t xml:space="preserve"> en la que se sustenta (art. 49.1 LOTC). Ha señalado al respecto este tribunal que sobre quien impetra el amparo constitucional pesa, no solamente la carga de abrir la vía para que este tribunal pueda pronunciarse sobre las vulneraciones de la Constitución que se aleguen, sino además la de proporcionar la fundamentación jurídica y fáctica que razonablemente cabe esperar, y que se integra en el deber de colaborar con la jurisdicción constitucional, sin que le corresponda a este tribunal reconstruir de oficio las demandas, suplir los razonamientos de las partes, ni suscitar la eventual existencia de los motivos relevantes para el amparo fuera de la vía prevista en el art. 84 LOTC (por todas, SSTC 143/2003, de 14 de julio, FJ 2; y 196/2005, de 18 de julio, FJ 2).</w:t>
      </w:r>
    </w:p>
    <w:p w14:paraId="47715DF4" w14:textId="77777777" w:rsidR="009D7677" w:rsidRDefault="009D7677" w:rsidP="009D7677">
      <w:pPr>
        <w:pStyle w:val="TextoNormal"/>
      </w:pPr>
    </w:p>
    <w:p w14:paraId="4B95F98F" w14:textId="77777777" w:rsidR="009D7677" w:rsidRDefault="009D7677" w:rsidP="009D7677">
      <w:pPr>
        <w:pStyle w:val="TextoNormal"/>
      </w:pPr>
      <w:r>
        <w:t xml:space="preserve">b) De acuerdo con nuestra doctrina, el incumplimiento en la demanda de amparo de la referida carga argumental no resulta subsanable y “permite sin más la inadmisión </w:t>
      </w:r>
      <w:r w:rsidRPr="009D7677">
        <w:rPr>
          <w:i/>
        </w:rPr>
        <w:t>a limine</w:t>
      </w:r>
      <w:r>
        <w:t xml:space="preserve"> de la demanda de amparo, con arreglo al art. 50.1 c) LOTC, por no darse los elementos de juicio necesarios para poder apreciar el contenido constitucional que justifique su admisión” (AATC 181/2001, de 2 de julio, FJ 2, y 86/2004 de 22 de marzo, FJ 2)”.</w:t>
      </w:r>
    </w:p>
    <w:p w14:paraId="643494C5" w14:textId="77777777" w:rsidR="009D7677" w:rsidRDefault="009D7677" w:rsidP="009D7677">
      <w:pPr>
        <w:pStyle w:val="TextoNormal"/>
      </w:pPr>
    </w:p>
    <w:p w14:paraId="2F137410" w14:textId="77777777" w:rsidR="009D7677" w:rsidRDefault="009D7677" w:rsidP="009D7677">
      <w:pPr>
        <w:pStyle w:val="TextoNormal"/>
      </w:pPr>
      <w:r>
        <w:t>c) El incumplimiento del deber de aportar una argumentación suficiente con la propia demanda no puede ser subsanado, en particular, en el trámite de alegaciones previsto en el art. 52 LOTC; pues  es en la demanda de amparo donde queda fijado el objeto procesal, definiendo y delimitando la pretensión (SSTC 235/1994, de 20 de julio, FJ 1; 26/1995, de 6 de febrero, FJ 3; 124/1999, de 28 de junio, FJ 1, y 205/1999, de 8 de noviembre, FJ 4).</w:t>
      </w:r>
    </w:p>
    <w:p w14:paraId="0D7BC2D1" w14:textId="77777777" w:rsidR="009D7677" w:rsidRDefault="009D7677" w:rsidP="009D7677">
      <w:pPr>
        <w:pStyle w:val="TextoNormal"/>
      </w:pPr>
    </w:p>
    <w:p w14:paraId="5CECB614" w14:textId="77777777" w:rsidR="009D7677" w:rsidRDefault="009D7677" w:rsidP="009D7677">
      <w:pPr>
        <w:pStyle w:val="TextoNormal"/>
      </w:pPr>
      <w:r>
        <w:t xml:space="preserve">Es, por ello, en la demanda donde “ha de individualizarse el acto o la disposición cuya nulidad se pretenda, con indicación de la razón para pedirla o </w:t>
      </w:r>
      <w:r w:rsidRPr="009D7677">
        <w:rPr>
          <w:i/>
        </w:rPr>
        <w:t>causa petendi</w:t>
      </w:r>
      <w:r>
        <w:t xml:space="preserve"> (STC 185/1996, de 25 de noviembre, FJ 1), sin que sean viables las alteraciones introducidas con ulteriores alegaciones (SSTC 109/1997, de 2 de junio, FJ 1, y 39/1999, de 22 de marzo, FJ 2), cuya </w:t>
      </w:r>
      <w:r w:rsidRPr="009D7677">
        <w:rPr>
          <w:i/>
        </w:rPr>
        <w:t>ratio</w:t>
      </w:r>
      <w:r>
        <w:t xml:space="preserve"> es completar y, en su caso, reforzar la fundamentación del recurso, mas no ampliarlo o variarlo sustancialmente (STC 85/1999, de 10 de mayo, FJ 2)” [por todas, SSTC 13/2008, de 31 de enero, FJ 3, y 52/2021, de 15 de marzo, FJ 2 c)].</w:t>
      </w:r>
    </w:p>
    <w:p w14:paraId="4F5814EA" w14:textId="77777777" w:rsidR="009D7677" w:rsidRDefault="009D7677" w:rsidP="009D7677">
      <w:pPr>
        <w:pStyle w:val="TextoNormal"/>
      </w:pPr>
    </w:p>
    <w:p w14:paraId="031D6BAF" w14:textId="77777777" w:rsidR="009D7677" w:rsidRDefault="009D7677" w:rsidP="009D7677">
      <w:pPr>
        <w:pStyle w:val="TextoNormal"/>
      </w:pPr>
      <w:r>
        <w:lastRenderedPageBreak/>
        <w:t>Ese límite objetivo a las alegaciones del art. 52 LOTC obedece tanto al carácter insubsanable del defecto de origen como a “la indefensión que podría generar en otros comparecientes en el proceso de amparo” (por todas, STC 13/2008, de 31 de enero, FJ 3).</w:t>
      </w:r>
    </w:p>
    <w:p w14:paraId="3CA4557A" w14:textId="77777777" w:rsidR="009D7677" w:rsidRDefault="009D7677" w:rsidP="009D7677">
      <w:pPr>
        <w:pStyle w:val="TextoNormal"/>
      </w:pPr>
    </w:p>
    <w:p w14:paraId="2987FD9E" w14:textId="77777777" w:rsidR="009D7677" w:rsidRDefault="009D7677" w:rsidP="009D7677">
      <w:pPr>
        <w:pStyle w:val="TextoNormal"/>
      </w:pPr>
      <w:r>
        <w:t>d) La referida doctrina solo ha sido atemperada en supuestos excepcionales en los que las alegaciones ampliatorias se producen antes del trámite del art. 52 LOTC, y, aun en tal caso, con sujeción a requisitos muy estrictos, entre los que figuran “la no variación del derecho fundamental invocado y que se trate de hechos sobrevenidos a la presentación de la demanda, íntimamente conexos a los anteriores, y no susceptibles de una nueva demanda y posterior petición de acumulación” (por todas, STC 13/2008, de 31 de enero, FJ 3).</w:t>
      </w:r>
    </w:p>
    <w:p w14:paraId="237E792D" w14:textId="77777777" w:rsidR="009D7677" w:rsidRDefault="009D7677" w:rsidP="009D7677">
      <w:pPr>
        <w:pStyle w:val="TextoNormal"/>
      </w:pPr>
    </w:p>
    <w:p w14:paraId="5C4AB44B" w14:textId="77777777" w:rsidR="009D7677" w:rsidRDefault="009D7677" w:rsidP="009D7677">
      <w:pPr>
        <w:pStyle w:val="TextoNormal"/>
      </w:pPr>
      <w:r>
        <w:t>B) A la vista de la doctrina expuesta, podemos llegar a las siguientes conclusiones:</w:t>
      </w:r>
    </w:p>
    <w:p w14:paraId="7035E79E" w14:textId="77777777" w:rsidR="009D7677" w:rsidRDefault="009D7677" w:rsidP="009D7677">
      <w:pPr>
        <w:pStyle w:val="TextoNormal"/>
      </w:pPr>
    </w:p>
    <w:p w14:paraId="4A33336B" w14:textId="77777777" w:rsidR="009D7677" w:rsidRDefault="009D7677" w:rsidP="009D7677">
      <w:pPr>
        <w:pStyle w:val="TextoNormal"/>
      </w:pPr>
      <w:r>
        <w:t>a) La demanda plantea una vulneración de derechos fundamentales que es expresada en términos genéricos, sin que vaya acompañada de explicación alguna. La lesión denunciada se explicita a través de una frase apodíctica —“el pronunciamiento condenatorio se basa en pruebas indiciarias que no cumplen los parámetros constitucionales, al no estar sustentada en hechos base acreditados mediante prueba directa, que conduzcan inexorablemente a un juicio de inferencia inexcusable condenatoria”— a la que no sigue ninguna fundamentación, ni fáctica ni jurídica, salvo una remisión a diversos ordinales de la propia demanda que o bien no existen o no contienen argumentación alguna.</w:t>
      </w:r>
    </w:p>
    <w:p w14:paraId="59D2BF60" w14:textId="77777777" w:rsidR="009D7677" w:rsidRDefault="009D7677" w:rsidP="009D7677">
      <w:pPr>
        <w:pStyle w:val="TextoNormal"/>
      </w:pPr>
    </w:p>
    <w:p w14:paraId="5FB837EE" w14:textId="77777777" w:rsidR="009D7677" w:rsidRDefault="009D7677" w:rsidP="009D7677">
      <w:pPr>
        <w:pStyle w:val="TextoNormal"/>
      </w:pPr>
      <w:r>
        <w:t xml:space="preserve">b) No es relevante para enervar la conclusión anterior que el recurrente haya intentado suplir la absoluta falta de argumentación de la demanda, en relación con la lesión del derecho fundamental, al cumplimentar el trámite de alegaciones del art. 52 LOTC, en el que incluso ha tratado de introducir pretensiones novedosas, relativas a distintas vulneraciones de derechos fundamentales. Tal y como se ha expuesto, el requisito de suficiente precisión de la pretensión formulada y de la </w:t>
      </w:r>
      <w:r w:rsidRPr="009D7677">
        <w:rPr>
          <w:i/>
        </w:rPr>
        <w:t>causa petendi</w:t>
      </w:r>
      <w:r>
        <w:t xml:space="preserve"> que la sustenta, contenido en el art. 49.1 LOTC, se refiere a la argumentación consignada en la propia demanda de amparo, razón por la cual las alegaciones del art. 52 LOTC solo pueden servir para reforzar o completar una argumentación preexistente, cosa que en el presente caso manifiestamente no ocurre.</w:t>
      </w:r>
    </w:p>
    <w:p w14:paraId="60CADBED" w14:textId="77777777" w:rsidR="009D7677" w:rsidRDefault="009D7677" w:rsidP="009D7677">
      <w:pPr>
        <w:pStyle w:val="TextoNormal"/>
      </w:pPr>
    </w:p>
    <w:p w14:paraId="2CD5D854" w14:textId="77777777" w:rsidR="009D7677" w:rsidRDefault="009D7677" w:rsidP="009D7677">
      <w:pPr>
        <w:pStyle w:val="TextoNormal"/>
      </w:pPr>
      <w:r>
        <w:t>c) Resulta, además, patente que, de atenderse al contenido argumental de las alegaciones formuladas por la parte actora en el trámite del art. 52 LOTC, se colocaría a las partes personadas que han aducido expresamente el presente óbice en una situación de indefensión, pues estas han manifestado claramente la imposibilidad de responder a una queja carente de todo sustento argumental.</w:t>
      </w:r>
    </w:p>
    <w:p w14:paraId="71CA911B" w14:textId="77777777" w:rsidR="009D7677" w:rsidRDefault="009D7677" w:rsidP="009D7677">
      <w:pPr>
        <w:pStyle w:val="TextoNormal"/>
      </w:pPr>
    </w:p>
    <w:p w14:paraId="56B0C6E6" w14:textId="77777777" w:rsidR="009D7677" w:rsidRDefault="009D7677" w:rsidP="009D7677">
      <w:pPr>
        <w:pStyle w:val="TextoNormal"/>
      </w:pPr>
      <w:r>
        <w:t xml:space="preserve">En este punto, la representación del Partido Popular ha alegado que “[l]a parte no realiza el más mínimo esfuerzo argumental concreto, por lo que ignoramos el sentido de su queja” y que el “razonamiento genérico” de la demanda “obliga a esta parte a examinar y exponer toda la prueba en que se fundan ambas sentencias y analizar si se trata de pruebas directas o de prueba indiciaria que justifiquen un juicio de inferencia con consecuencias condenatorias”. Ha señalado, asimismo, que le “resulta materialmente imposible conocer qué aspecto de la doctrina [del Tribunal Constitucional] puede ser de interés para el demandante en esta sede de amparo”, pues el recurso contiene “meras afirmaciones apodícticas de su argumento de vulneración de ciertos derechos (arts. 24.1 y 24.2 CE), a la que </w:t>
      </w:r>
      <w:r>
        <w:lastRenderedPageBreak/>
        <w:t>solo cabe responder con una referencia general sobre la fundamentación de las sentencias recurridas”.</w:t>
      </w:r>
    </w:p>
    <w:p w14:paraId="500F230F" w14:textId="77777777" w:rsidR="009D7677" w:rsidRDefault="009D7677" w:rsidP="009D7677">
      <w:pPr>
        <w:pStyle w:val="TextoNormal"/>
      </w:pPr>
    </w:p>
    <w:p w14:paraId="1C73B9B1" w14:textId="77777777" w:rsidR="009D7677" w:rsidRDefault="009D7677" w:rsidP="009D7677">
      <w:pPr>
        <w:pStyle w:val="TextoNormal"/>
      </w:pPr>
      <w:r>
        <w:t>El Ministerio Fiscal, al entrar a examinar el fondo de la queja, manifiesta que ha de hacerse un “amplio ejercicio de imaginación o conjeturas sobre lo que se ha querido plantear por el demandante de amparo” y ha destacado “las importantes dificultades que presenta una demanda huérfana de una especifica argumentación sobre el amparo constitucional que se plantea”, razón por la que también se ha visto obligado a realizar un examen general de la adecuación de las resoluciones impugnadas a los derechos a la tutela judicial efectiva y la presunción de inocencia (arts. 24.1 y 24.2 CE).</w:t>
      </w:r>
    </w:p>
    <w:p w14:paraId="1C95E8D3" w14:textId="77777777" w:rsidR="009D7677" w:rsidRDefault="009D7677" w:rsidP="009D7677">
      <w:pPr>
        <w:pStyle w:val="TextoNormal"/>
      </w:pPr>
    </w:p>
    <w:p w14:paraId="195D823F" w14:textId="3FB78062" w:rsidR="009D7677" w:rsidRDefault="009D7677" w:rsidP="009D7677">
      <w:pPr>
        <w:pStyle w:val="TextoNormal"/>
      </w:pPr>
      <w:r>
        <w:t>En suma, visto el contenido de la demanda y de las alegaciones formuladas por las partes —que evidencian la imposibilidad de contestar a una queja carente del más mínimo desarrollo argumental— debemos acordar, en este momento procesal, la denegación del amparo solicitado y la desestimación del recurso.</w:t>
      </w:r>
    </w:p>
    <w:p w14:paraId="085EC460" w14:textId="77777777" w:rsidR="009D7677" w:rsidRDefault="009D7677" w:rsidP="009D7677">
      <w:pPr>
        <w:pStyle w:val="TextoNormal"/>
      </w:pPr>
    </w:p>
    <w:p w14:paraId="18230DFF" w14:textId="77777777" w:rsidR="009D7677" w:rsidRDefault="009D7677" w:rsidP="009D7677">
      <w:pPr>
        <w:pStyle w:val="TextoNormalCentrado"/>
        <w:keepNext/>
      </w:pPr>
      <w:r>
        <w:t>FALLO</w:t>
      </w:r>
    </w:p>
    <w:p w14:paraId="40E6529F" w14:textId="5EFC8264" w:rsidR="009D7677" w:rsidRDefault="009D7677" w:rsidP="009D7677">
      <w:pPr>
        <w:pStyle w:val="TextoNormalCentrado"/>
        <w:keepNext/>
      </w:pPr>
    </w:p>
    <w:p w14:paraId="531D691A" w14:textId="2A55EC87" w:rsidR="009D7677" w:rsidRDefault="009D7677" w:rsidP="009D7677">
      <w:pPr>
        <w:pStyle w:val="TextoNormal"/>
      </w:pPr>
      <w:r>
        <w:t>En atención a todo lo expuesto, el Tribunal Constitucional, por la autoridad que le confiere la Constitución de la Nación española, ha decidido desestimar el recurso de amparo interpuesto por don José Antonio Viera Chacón.</w:t>
      </w:r>
    </w:p>
    <w:p w14:paraId="1E872F2A" w14:textId="77777777" w:rsidR="009D7677" w:rsidRDefault="009D7677" w:rsidP="009D7677">
      <w:pPr>
        <w:pStyle w:val="TextoNormal"/>
      </w:pPr>
    </w:p>
    <w:p w14:paraId="4089345D" w14:textId="77777777" w:rsidR="009D7677" w:rsidRDefault="009D7677" w:rsidP="009D7677">
      <w:pPr>
        <w:pStyle w:val="TextoNormal"/>
      </w:pPr>
      <w:r>
        <w:t>Publíquese esta sentencia en el “Boletín Oficial del Estado”.</w:t>
      </w:r>
    </w:p>
    <w:p w14:paraId="32FB8BF8" w14:textId="77777777" w:rsidR="009D7677" w:rsidRDefault="009D7677" w:rsidP="009D7677">
      <w:pPr>
        <w:pStyle w:val="TextoNormal"/>
      </w:pPr>
      <w:r>
        <w:t>Dada en Madrid, a diecisiete de junio de dos mil veinticuatro.</w:t>
      </w:r>
    </w:p>
    <w:p w14:paraId="5743C6A8" w14:textId="5E28F52B" w:rsidR="009D7677" w:rsidRDefault="009D7677">
      <w:pPr>
        <w:spacing w:after="160" w:line="259" w:lineRule="auto"/>
        <w:rPr>
          <w:rFonts w:ascii="Times New Roman" w:eastAsia="Times New Roman" w:hAnsi="Times New Roman" w:cs="Times New Roman"/>
          <w:sz w:val="24"/>
          <w:szCs w:val="24"/>
          <w:lang w:eastAsia="es-ES"/>
        </w:rPr>
      </w:pPr>
      <w:r>
        <w:br w:type="page"/>
      </w:r>
    </w:p>
    <w:p w14:paraId="01467CC5" w14:textId="77777777" w:rsidR="009D7677" w:rsidRDefault="009D7677" w:rsidP="009D7677">
      <w:pPr>
        <w:pStyle w:val="TtuloResolucin"/>
      </w:pPr>
      <w:bookmarkStart w:id="93" w:name="SENTENCIA_2024_91"/>
      <w:r>
        <w:lastRenderedPageBreak/>
        <w:t>SENTENCIA 91/2024, de 17 de junio de 2024</w:t>
      </w:r>
    </w:p>
    <w:bookmarkEnd w:id="93"/>
    <w:p w14:paraId="0B550495" w14:textId="77777777" w:rsidR="009D7677" w:rsidRDefault="009D7677" w:rsidP="009D7677">
      <w:pPr>
        <w:pStyle w:val="TtuloResolucin"/>
      </w:pPr>
      <w:r>
        <w:t>Pleno</w:t>
      </w:r>
    </w:p>
    <w:p w14:paraId="136AA3AD" w14:textId="77777777" w:rsidR="009D7677" w:rsidRDefault="009D7677" w:rsidP="009D7677">
      <w:pPr>
        <w:pStyle w:val="TtuloBOE"/>
      </w:pPr>
      <w:r>
        <w:t>(BOE núm. 179, de 25 de julio de 2024)</w:t>
      </w:r>
    </w:p>
    <w:p w14:paraId="5AE39E1D" w14:textId="77777777" w:rsidR="009D7677" w:rsidRDefault="009D7677" w:rsidP="009D7677">
      <w:pPr>
        <w:pStyle w:val="TextoNormalCentrado"/>
      </w:pPr>
      <w:r>
        <w:t>ECLI:ES:TC:2024:91</w:t>
      </w:r>
    </w:p>
    <w:p w14:paraId="4C25CEFA" w14:textId="618232CC" w:rsidR="009D7677" w:rsidRDefault="009D7677" w:rsidP="009D7677">
      <w:pPr>
        <w:pStyle w:val="TextoNormalCentrado"/>
      </w:pPr>
    </w:p>
    <w:p w14:paraId="640E17F5" w14:textId="77777777" w:rsidR="009D7677" w:rsidRDefault="009D7677" w:rsidP="009D7677">
      <w:pPr>
        <w:pStyle w:val="SntesisDescriptiva"/>
      </w:pPr>
      <w:r>
        <w:t>Cuestión de inconstitucionalidad 4409-2023. Planteada por el Juzgado de lo Contencioso-Administrativo núm. 1 de Pontevedra en relación con diversos preceptos de la Ley del Parlamento de Galicia 7/2022, de 27 de diciembre, de medidas fiscales y administrativas.</w:t>
      </w:r>
    </w:p>
    <w:p w14:paraId="37D2324E" w14:textId="68F6EDCF" w:rsidR="009D7677" w:rsidRDefault="009D7677" w:rsidP="009D7677">
      <w:pPr>
        <w:pStyle w:val="SntesisDescriptiva"/>
      </w:pPr>
    </w:p>
    <w:p w14:paraId="6C54BD9D" w14:textId="77777777" w:rsidR="009D7677" w:rsidRDefault="009D7677" w:rsidP="009D7677">
      <w:pPr>
        <w:pStyle w:val="SntesisAnaltica"/>
      </w:pPr>
      <w:r>
        <w:t>Competencias sobre dominio público, protección del medio ambiente y ordenación del territorio: extinción de la cuestión de inconstitucionalidad por pérdida sobrevenida de su objeto al versar sobre un precepto legal anulado por la STC 76/2024, de 8 de mayo.</w:t>
      </w:r>
    </w:p>
    <w:p w14:paraId="6C6E3834" w14:textId="4CFEF6F4" w:rsidR="009D7677" w:rsidRDefault="009D7677" w:rsidP="009D7677">
      <w:pPr>
        <w:pStyle w:val="SntesisAnaltica"/>
      </w:pPr>
    </w:p>
    <w:p w14:paraId="3041E581" w14:textId="6B0E591B" w:rsidR="009D7677" w:rsidRDefault="009D7677" w:rsidP="009D7677">
      <w:pPr>
        <w:pStyle w:val="Extracto"/>
      </w:pPr>
      <w:r>
        <w:t>1.</w:t>
      </w:r>
      <w:r>
        <w:tab/>
        <w:t>La expulsión del ordenamiento jurídico -por la STC 76/2024- de los preceptos cuestionados determina la pérdida sobrevenida de objeto de la presente cuestión de inconstitucionalidad (SSTC 149/2014 o 66/2022) [FJ 2].</w:t>
      </w:r>
    </w:p>
    <w:p w14:paraId="03DD2EFA" w14:textId="77777777" w:rsidR="009D7677" w:rsidRDefault="009D7677" w:rsidP="009D7677">
      <w:pPr>
        <w:pStyle w:val="Extracto"/>
      </w:pPr>
    </w:p>
    <w:p w14:paraId="1554A7F7" w14:textId="77777777" w:rsidR="009D7677" w:rsidRDefault="009D7677" w:rsidP="009D7677">
      <w:pPr>
        <w:pStyle w:val="Extracto"/>
      </w:pPr>
    </w:p>
    <w:p w14:paraId="25896979" w14:textId="77777777" w:rsidR="009D7677" w:rsidRDefault="009D7677" w:rsidP="009D7677">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don Juan Carlos Campo Moreno, ha pronunciado</w:t>
      </w:r>
    </w:p>
    <w:p w14:paraId="34A041F8" w14:textId="0AA6369A" w:rsidR="009D7677" w:rsidRDefault="009D7677" w:rsidP="009D7677">
      <w:pPr>
        <w:pStyle w:val="TextoNormal"/>
      </w:pPr>
    </w:p>
    <w:p w14:paraId="03689207" w14:textId="77777777" w:rsidR="009D7677" w:rsidRDefault="009D7677" w:rsidP="009D7677">
      <w:pPr>
        <w:pStyle w:val="TextoNormalCentrado"/>
        <w:keepNext/>
      </w:pPr>
      <w:r>
        <w:t>EN NOMBRE DEL REY</w:t>
      </w:r>
    </w:p>
    <w:p w14:paraId="289F6F38" w14:textId="077A8C64" w:rsidR="009D7677" w:rsidRDefault="009D7677" w:rsidP="009D7677">
      <w:pPr>
        <w:pStyle w:val="TextoNormalCentrado"/>
        <w:keepNext/>
      </w:pPr>
    </w:p>
    <w:p w14:paraId="47A7BC8A" w14:textId="77777777" w:rsidR="009D7677" w:rsidRDefault="009D7677" w:rsidP="009D7677">
      <w:pPr>
        <w:pStyle w:val="TextoNormalCentrado"/>
        <w:keepNext/>
      </w:pPr>
    </w:p>
    <w:p w14:paraId="3B7D0233" w14:textId="77777777" w:rsidR="009D7677" w:rsidRDefault="009D7677" w:rsidP="009D7677">
      <w:pPr>
        <w:pStyle w:val="TextoNormal"/>
      </w:pPr>
      <w:r>
        <w:t>la siguiente</w:t>
      </w:r>
    </w:p>
    <w:p w14:paraId="24605C2F" w14:textId="1FBD47ED" w:rsidR="009D7677" w:rsidRDefault="009D7677" w:rsidP="009D7677">
      <w:pPr>
        <w:pStyle w:val="TextoNormal"/>
      </w:pPr>
    </w:p>
    <w:p w14:paraId="0E5D61B9" w14:textId="77777777" w:rsidR="009D7677" w:rsidRDefault="009D7677" w:rsidP="009D7677">
      <w:pPr>
        <w:pStyle w:val="TextoNormalCentrado"/>
        <w:keepNext/>
      </w:pPr>
      <w:r>
        <w:t>SENTENCIA</w:t>
      </w:r>
    </w:p>
    <w:p w14:paraId="402858F1" w14:textId="66E8DC6E" w:rsidR="009D7677" w:rsidRDefault="009D7677" w:rsidP="009D7677">
      <w:pPr>
        <w:pStyle w:val="TextoNormalCentrado"/>
        <w:keepNext/>
      </w:pPr>
    </w:p>
    <w:p w14:paraId="64118439" w14:textId="77777777" w:rsidR="009D7677" w:rsidRDefault="009D7677" w:rsidP="009D7677">
      <w:pPr>
        <w:pStyle w:val="TextoNormal"/>
      </w:pPr>
      <w:r>
        <w:t>En la cuestión de inconstitucionalidad núm. 4409-2023, promovida por el Juzgado de lo Contencioso-Administrativo núm. 1 de Pontevedra, respecto del art. 10.1, párrafo primero, y la disposición transitoria primera de la Ley del Parlamento de Galicia 7/2022, de 27 de diciembre, de medidas fiscales y administrativas. Han comparecido y formulado alegaciones la Xunta de Galicia y el Parlamento de Galicia, así como la Abogacía del Estado y el Ministerio Fiscal. Ha sido ponente la magistrada doña Maria Luisa Balaguer Callejón.</w:t>
      </w:r>
    </w:p>
    <w:p w14:paraId="3FB6E541" w14:textId="727A9776" w:rsidR="009D7677" w:rsidRDefault="009D7677" w:rsidP="009D7677">
      <w:pPr>
        <w:pStyle w:val="TextoNormal"/>
      </w:pPr>
    </w:p>
    <w:p w14:paraId="0D25DADE" w14:textId="77777777" w:rsidR="009D7677" w:rsidRDefault="009D7677" w:rsidP="009D7677">
      <w:pPr>
        <w:pStyle w:val="TextoNormalNegritaCentrado"/>
        <w:keepNext/>
      </w:pPr>
      <w:r>
        <w:t>I. Antecedentes</w:t>
      </w:r>
    </w:p>
    <w:p w14:paraId="5ABDF6D0" w14:textId="44B27456" w:rsidR="009D7677" w:rsidRDefault="009D7677" w:rsidP="009D7677">
      <w:pPr>
        <w:pStyle w:val="TextoNormalNegritaCentrado"/>
        <w:keepNext/>
      </w:pPr>
    </w:p>
    <w:p w14:paraId="18CABE9B" w14:textId="29283572" w:rsidR="009D7677" w:rsidRDefault="009D7677" w:rsidP="009D7677">
      <w:pPr>
        <w:pStyle w:val="TextoNormal"/>
      </w:pPr>
      <w:r w:rsidRPr="009D7677">
        <w:rPr>
          <w:rStyle w:val="NumeroAFNegritaCaracter"/>
        </w:rPr>
        <w:t>1</w:t>
      </w:r>
      <w:r>
        <w:t xml:space="preserve">. El día 27 de junio de 2023 tuvo entrada en el registro general de este tribunal oficio del Juzgado de lo Contencioso-Administrativo núm. 1 de Pontevedra, al que se compaña testimonio del procedimiento ordinario núm. 223-2021, y del auto dictado el 19 de junio de 2023, acordando plantear cuestión de inconstitucionalidad respecto del art. 10.1 párrafo </w:t>
      </w:r>
      <w:r>
        <w:lastRenderedPageBreak/>
        <w:t>primero y la disposición transitoria primera de la Ley del Parlamento de Galicia 7/2022, de 27 de diciembre, de medidas fiscales administrativas, por posible vulneración de los arts. 149.1.1 CE y 149.1.23 CE.</w:t>
      </w:r>
    </w:p>
    <w:p w14:paraId="6C579681" w14:textId="77777777" w:rsidR="009D7677" w:rsidRDefault="009D7677" w:rsidP="009D7677">
      <w:pPr>
        <w:pStyle w:val="TextoNormal"/>
      </w:pPr>
    </w:p>
    <w:p w14:paraId="65EF77C8" w14:textId="77777777" w:rsidR="009D7677" w:rsidRDefault="009D7677" w:rsidP="009D7677">
      <w:pPr>
        <w:pStyle w:val="TextoNormal"/>
      </w:pPr>
      <w:r w:rsidRPr="009D7677">
        <w:rPr>
          <w:rStyle w:val="NumeroAFNegritaCaracter"/>
        </w:rPr>
        <w:t>2</w:t>
      </w:r>
      <w:r>
        <w:t>. El planteamiento de la cuestión de inconstitucionalidad tiene su origen en los siguientes antecedentes:</w:t>
      </w:r>
    </w:p>
    <w:p w14:paraId="7323C283" w14:textId="77777777" w:rsidR="009D7677" w:rsidRDefault="009D7677" w:rsidP="009D7677">
      <w:pPr>
        <w:pStyle w:val="TextoNormal"/>
      </w:pPr>
    </w:p>
    <w:p w14:paraId="07E46D51" w14:textId="77777777" w:rsidR="009D7677" w:rsidRDefault="009D7677" w:rsidP="009D7677">
      <w:pPr>
        <w:pStyle w:val="TextoNormal"/>
      </w:pPr>
      <w:r>
        <w:t>a) El 16 de julio de 2018 la Axencia de Protección da Legalidade Urbanística, perteneciente a la Xunta de Galicia (art. 35 del Decreto de la Xunta de Galicia 97/2019, de 18 de julio, por el que se regulan las competencias de la Comunidad Autónoma de Galicia en la zona de servidumbre de protección de costas), abre un procedimiento administrativo sancionador y de restauración de la legalidad respecto de una edificación, propiedad de don Juan Suárez Insua construida en la playa de Aguillón (Laxe, Isla de Arousa). La causa de apertura del expediente fue la situación de la edificación en la zona de servidumbre de protección del dominio público marítimo terrestre. El procedimiento concluyó el 17 de diciembre de 2018, mediante resolución ordenando la demolición e imponiendo al propietario de la edificación una sanción de 20 201 € (expediente POL 148/2017-R1).</w:t>
      </w:r>
    </w:p>
    <w:p w14:paraId="4C6FC6BA" w14:textId="77777777" w:rsidR="009D7677" w:rsidRDefault="009D7677" w:rsidP="009D7677">
      <w:pPr>
        <w:pStyle w:val="TextoNormal"/>
      </w:pPr>
    </w:p>
    <w:p w14:paraId="657606D0" w14:textId="77777777" w:rsidR="009D7677" w:rsidRDefault="009D7677" w:rsidP="009D7677">
      <w:pPr>
        <w:pStyle w:val="TextoNormal"/>
      </w:pPr>
      <w:r>
        <w:t>b) El señor Suárez Insua interpuso recurso de reposición contra la resolución administrativa anterior, siendo desestimada la impugnación por resolución de 29 de abril de 2021. Frente a las resoluciones de 17 de diciembre de 2018 y de 29 de abril de 2021 se plantea un recurso contencioso-administrativo que da lugar al procedimiento ordinario núm. 223-2021, en el marco del cual surgirá la presente cuestión de inconstitucionalidad. En la demanda el actor argumenta, entre otras cosas, que la construcción de la edificación se concluyó en 1997, es decir más de veinte años antes de la fecha en la que se resolvió iniciar el procedimiento administrativo sancionador y de restauración de la legalidad y, como elemento de prueba de este argumento, se presenta un informe pericial que certifica que la antigüedad de la edificación es de veinticinco años.</w:t>
      </w:r>
    </w:p>
    <w:p w14:paraId="4DB39141" w14:textId="77777777" w:rsidR="009D7677" w:rsidRDefault="009D7677" w:rsidP="009D7677">
      <w:pPr>
        <w:pStyle w:val="TextoNormal"/>
      </w:pPr>
    </w:p>
    <w:p w14:paraId="405CBB78" w14:textId="77777777" w:rsidR="009D7677" w:rsidRDefault="009D7677" w:rsidP="009D7677">
      <w:pPr>
        <w:pStyle w:val="TextoNormal"/>
      </w:pPr>
      <w:r>
        <w:t>c) El 27 de diciembre de 2022, tras la fase de conclusiones del pleito, pero antes de dictar sentencia, se promulgó la Ley del Parlamento de Galicia 7/2022, de 27 de diciembre, de medidas fiscales y administrativas (“Diario Oficial de Galicia” de 30 de diciembre de 2022 y “BOE” de 11 de marzo de 2023). El art. 10.1, párrafo primero, de la Ley introdujo expresamente un plazo máximo de quince años, a contar desde la fecha de terminación de las obras ilegales realizadas en la zona de servidumbre de protección del dominio público marítimo terrestre, para que la administración autonómica pudiera incoar el procedimiento administrativo de reposición de la legalidad. En la disposición transitoria primera de la Ley se ordena la aplicación retroactiva de este beneficio “a las obras, actuaciones y construcciones existentes en el momento de entrada en vigor de esta ley”. Esto supondría que, de considerarse acreditada la fecha de antigüedad de la edificación contenida en el informe pericial, la aplicación de la nueva disposición normativa conllevaría la estimación del recurso contencioso-administrativo y la anulación de la orden de demolición impugnada.</w:t>
      </w:r>
    </w:p>
    <w:p w14:paraId="0D901F35" w14:textId="77777777" w:rsidR="009D7677" w:rsidRDefault="009D7677" w:rsidP="009D7677">
      <w:pPr>
        <w:pStyle w:val="TextoNormal"/>
      </w:pPr>
    </w:p>
    <w:p w14:paraId="613F1967" w14:textId="77777777" w:rsidR="009D7677" w:rsidRDefault="009D7677" w:rsidP="009D7677">
      <w:pPr>
        <w:pStyle w:val="TextoNormal"/>
      </w:pPr>
      <w:r>
        <w:t xml:space="preserve">d) Mediante providencia fechada el 21 de abril de 2023 el juzgado planteó a las partes la tesis sobre la aplicabilidad de la nueva norma, dándoles audiencia al respecto. El recurrente formula alegaciones incidiendo en la antigüedad de la construcción y en la aplicabilidad al caso de la Ley del Parlamento de Galicia 7/2022, mientras que la letrada de la </w:t>
      </w:r>
      <w:r>
        <w:lastRenderedPageBreak/>
        <w:t>Xunta de Galicia no niega la aplicación retroactiva de la Ley, pero discrepa de la valoración de la prueba de la antigüedad de la construcción.</w:t>
      </w:r>
    </w:p>
    <w:p w14:paraId="41187A48" w14:textId="77777777" w:rsidR="009D7677" w:rsidRDefault="009D7677" w:rsidP="009D7677">
      <w:pPr>
        <w:pStyle w:val="TextoNormal"/>
      </w:pPr>
    </w:p>
    <w:p w14:paraId="21DD5F50" w14:textId="77777777" w:rsidR="009D7677" w:rsidRDefault="009D7677" w:rsidP="009D7677">
      <w:pPr>
        <w:pStyle w:val="TextoNormal"/>
      </w:pPr>
      <w:r>
        <w:t xml:space="preserve">e) Por providencia de 24 de mayo de 2023 se planteó a las partes y al Ministerio Fiscal la procedencia de formular cuestión de inconstitucionalidad al haber surgido una duda sobre la compatibilidad entre las disposiciones autonómicas y la Ley 22/1988, de 28 de julio, de costas (en adelante, LC). La providencia refleja que la norma estatal básica no fija un plazo límite para incoar el procedimiento de reposición de la legalidad en la zona de servidumbre de protección de costas, mientras que la ley autonómica si introduce este plazo de prescripción. La providencia identifica como normas autonómicas objeto de la eventual cuestión el artículo 10.1, párrafo primero, y la disposición transitoria primera de la Ley del Parlamento de Galicia 7/2022, de 27 de diciembre, de medidas fiscales y administrativas y plantea que dicha normativa autonómica podría resultar inconstitucional, al vulnerar lo dispuesto en los arts. 92 y 95 LC (norma básica estatal vinculante para las comunidades autónomas </w:t>
      </w:r>
      <w:r w:rsidRPr="009D7677">
        <w:rPr>
          <w:i/>
        </w:rPr>
        <w:t>ex</w:t>
      </w:r>
      <w:r>
        <w:t xml:space="preserve"> art. 149.1.1, 18 y 23 CE), en cuanto no establece plazo límite de reacción frente a las obras ilícitas realizadas en la zona de servidumbre de protección de costas.</w:t>
      </w:r>
    </w:p>
    <w:p w14:paraId="077C00A8" w14:textId="77777777" w:rsidR="009D7677" w:rsidRDefault="009D7677" w:rsidP="009D7677">
      <w:pPr>
        <w:pStyle w:val="TextoNormal"/>
      </w:pPr>
    </w:p>
    <w:p w14:paraId="7CC19E49" w14:textId="77777777" w:rsidR="009D7677" w:rsidRDefault="009D7677" w:rsidP="009D7677">
      <w:pPr>
        <w:pStyle w:val="TextoNormal"/>
      </w:pPr>
      <w:r>
        <w:t>f) El Ministerio Fiscal, en el trámite de audiencia, mostró su conformidad con la formulación de la cuestión de inconstitucionalidad, al concurrir todos los elementos necesarios para proceder al planteamiento. Destaca en particular la idea de que es absolutamente relevante para la resolución del pleito lo dispuesto en el artículo 10.1, párrafo primero, y en la disposición transitoria primera de la Ley del Parlamento de Galicia 7/2022, para la decisión del pleito hasta el punto de que la principal discusión se centra en determinar cuánto tiempo ha transcurrido desde que finalizaron las obras, insistiendo el recurrente en que han sido más de quince años con la finalidad de salvar su construcción e impedir la demolición.</w:t>
      </w:r>
    </w:p>
    <w:p w14:paraId="450C6CA6" w14:textId="77777777" w:rsidR="009D7677" w:rsidRDefault="009D7677" w:rsidP="009D7677">
      <w:pPr>
        <w:pStyle w:val="TextoNormal"/>
      </w:pPr>
    </w:p>
    <w:p w14:paraId="2BB4CF78" w14:textId="77777777" w:rsidR="009D7677" w:rsidRDefault="009D7677" w:rsidP="009D7677">
      <w:pPr>
        <w:pStyle w:val="TextoNormal"/>
      </w:pPr>
      <w:r>
        <w:t>El letrado de la Xunta de Galicia argumenta sobre la compatibilidad de la ley gallega con la ley estatal de costas, interesando que no se promueva la cuestión. Mientras que el actuante entiende que, si se tuviese la construcción por ilegal, habría que esperar al resultado de las negociaciones de la Comisión Bilateral de Cooperación Administración General del Estado-Comunidad Autónoma de Galicia, para verificar si quedan resueltas las discrepancias manifestadas en relación con los preceptos que afectan a la existencia o no de plazo límite de reacción frente a las obras ilícitas realizadas en la zona de servidumbre de protección, pues la decisión de este proceso dependería, en dicho caso, de la validez de la norma en cuestión.</w:t>
      </w:r>
    </w:p>
    <w:p w14:paraId="42F2B2F6" w14:textId="77777777" w:rsidR="009D7677" w:rsidRDefault="009D7677" w:rsidP="009D7677">
      <w:pPr>
        <w:pStyle w:val="TextoNormal"/>
      </w:pPr>
    </w:p>
    <w:p w14:paraId="661D2E70" w14:textId="69224E92" w:rsidR="009D7677" w:rsidRDefault="009D7677" w:rsidP="009D7677">
      <w:pPr>
        <w:pStyle w:val="TextoNormal"/>
      </w:pPr>
      <w:r>
        <w:t>g) Por auto de 19 de junio de 2023 el Juzgado de lo Contencioso-Administrativo núm. 1 de Pontevedra acordó plantear cuestión de inconstitucionalidad respecto del art. 10.1, párrafo primero, y de la disposición transitoria primera de la Ley del Parlamento de Galicia 7/2022, de 27 de diciembre, de medidas fiscales y administrativas, por posible vulneración de los arts. 149.1.23 CE y 149.1.1 CE al oponerse a lo previsto en el art. 92 del título V de la Ley 22/1988 de 28 de julio, de costas.</w:t>
      </w:r>
    </w:p>
    <w:p w14:paraId="30747355" w14:textId="77777777" w:rsidR="009D7677" w:rsidRDefault="009D7677" w:rsidP="009D7677">
      <w:pPr>
        <w:pStyle w:val="TextoNormal"/>
      </w:pPr>
    </w:p>
    <w:p w14:paraId="1830F9C8" w14:textId="77777777" w:rsidR="009D7677" w:rsidRDefault="009D7677" w:rsidP="009D7677">
      <w:pPr>
        <w:pStyle w:val="TextoNormal"/>
      </w:pPr>
      <w:r w:rsidRPr="009D7677">
        <w:rPr>
          <w:rStyle w:val="NumeroAFNegritaCaracter"/>
        </w:rPr>
        <w:t>3</w:t>
      </w:r>
      <w:r>
        <w:t>. El auto del órgano judicial fundamenta el planteamiento de la cuestión de inconstitucionalidad en las consideraciones que se resumen a continuación.</w:t>
      </w:r>
    </w:p>
    <w:p w14:paraId="3E850E74" w14:textId="77777777" w:rsidR="009D7677" w:rsidRDefault="009D7677" w:rsidP="009D7677">
      <w:pPr>
        <w:pStyle w:val="TextoNormal"/>
      </w:pPr>
    </w:p>
    <w:p w14:paraId="76C581E9" w14:textId="77777777" w:rsidR="009D7677" w:rsidRDefault="009D7677" w:rsidP="009D7677">
      <w:pPr>
        <w:pStyle w:val="TextoNormal"/>
      </w:pPr>
      <w:r>
        <w:lastRenderedPageBreak/>
        <w:t>a) Tras hacer referencia a los antecedentes del caso, incluida la exposición de las pretensiones del recurrente, el órgano promotor de la cuestión pone de manifiesto que se cumplen los requisitos procesales para plantearla (rango de la norma cuestionada; momento procesal; trámite de audiencia) y que la duda se centra en el art. 10.1, párrafo primero, y en la disposición transitoria primera de la Ley del Parlamento de Galicia 7/2022, de 27 de diciembre, de medidas fiscales y administrativas. Por lo que hace a la formulación del juicio de aplicabilidad, el auto remite al relato de los antecedentes a este respecto.</w:t>
      </w:r>
    </w:p>
    <w:p w14:paraId="66A3D88B" w14:textId="77777777" w:rsidR="009D7677" w:rsidRDefault="009D7677" w:rsidP="009D7677">
      <w:pPr>
        <w:pStyle w:val="TextoNormal"/>
      </w:pPr>
    </w:p>
    <w:p w14:paraId="598486E9" w14:textId="77777777" w:rsidR="009D7677" w:rsidRDefault="009D7677" w:rsidP="009D7677">
      <w:pPr>
        <w:pStyle w:val="TextoNormal"/>
      </w:pPr>
      <w:r>
        <w:t xml:space="preserve">b) Respecto del juicio de relevancia y sin referirse a él en tales términos, el órgano judicial se remite al hecho de que el ejecutivo estatal haya iniciado los trámites para la interposición de un recurso de inconstitucionalidad frente a los mismos preceptos por el cauce del artículo 33.2 de la Ley Orgánica del Tribunal Constitucional (en adelante, LOTC), y a la circunstancia de que el Tribunal Constitucional haya censurado ya, en sus SSTC 87/2012, de 18 de abril, y 137/2012, de 19 de junio, un intento anterior de la comunidad autónoma gallega de interferir legislativamente en la regulación básica estatal sobre la zona de servidumbre de protección. En el momento de planteamiento de la cuestión, el órgano judicial </w:t>
      </w:r>
      <w:r w:rsidRPr="009D7677">
        <w:rPr>
          <w:i/>
        </w:rPr>
        <w:t>a quo</w:t>
      </w:r>
      <w:r>
        <w:t xml:space="preserve"> considera que, independientemente de lo que suceda con el proceso de negociación entre el Estado y la comunidad autónoma, la ley cuestionada está vigente en Galicia, de modo que el juzgado estaría obligado a aplicarla de no elevar la cuestión de inconstitucionalidad.</w:t>
      </w:r>
    </w:p>
    <w:p w14:paraId="2DB20387" w14:textId="77777777" w:rsidR="009D7677" w:rsidRDefault="009D7677" w:rsidP="009D7677">
      <w:pPr>
        <w:pStyle w:val="TextoNormal"/>
      </w:pPr>
    </w:p>
    <w:p w14:paraId="06B7AA43" w14:textId="77777777" w:rsidR="009D7677" w:rsidRDefault="009D7677" w:rsidP="009D7677">
      <w:pPr>
        <w:pStyle w:val="TextoNormal"/>
      </w:pPr>
      <w:r>
        <w:t>c) Por último, el auto realiza la exposición de la duda de constitucionalidad sobre los preceptos cuestionados, aludiendo al contenido del título V de la Ley de costas que establece el régimen sancionador, tipificando infracciones y sanciones pecuniarias y previendo una serie de medidas de restitución de las cosas y de reposición a su estado anterior, respecto de las obras ilícitas realizadas tanto en el dominio público marítimo-terrestre como en las zonas de servidumbre.</w:t>
      </w:r>
    </w:p>
    <w:p w14:paraId="0824BBBD" w14:textId="77777777" w:rsidR="009D7677" w:rsidRDefault="009D7677" w:rsidP="009D7677">
      <w:pPr>
        <w:pStyle w:val="TextoNormal"/>
      </w:pPr>
    </w:p>
    <w:p w14:paraId="71CFB9A9" w14:textId="77777777" w:rsidR="009D7677" w:rsidRDefault="009D7677" w:rsidP="009D7677">
      <w:pPr>
        <w:pStyle w:val="TextoNormal"/>
      </w:pPr>
      <w:r>
        <w:t>(i) En el art. 92 LC, según la redacción dada al precepto en 1988, se regularon en su momento las consecuencias de la demora de la reacción de la administración frente a dichas infracciones estableciéndose, desde la perspectiva del procedimiento sancionador, una serie de plazos de prescripción de las infracciones (cuatro años para las graves y un año para las leves), mientras que respecto de la reposición de la legalidad (demolición de obras ilícitas) se establecía que la misma habría de ordenarse “cualquiera que sea el tiempo transcurrido”. Por su parte, el art. 95 LC, en su versión original preceptuaba que, sin perjuicio de la sanción penal o administrativa que se imponga, el infractor estará obligado a la restitución de las cosas y reposición a su estado anterior, con la indemnización de daños irreparables y perjuicios causados en el plazo en que en cada caso se fije en la resolución correspondiente. En esa redacción inicial nada imponía la Ley de costas sobre la prescripción de las sanciones una vez impuestas, ni de las órdenes de demolición dictadas en los procedimientos de reposición de la legalidad.</w:t>
      </w:r>
    </w:p>
    <w:p w14:paraId="67E0FDD0" w14:textId="77777777" w:rsidR="009D7677" w:rsidRDefault="009D7677" w:rsidP="009D7677">
      <w:pPr>
        <w:pStyle w:val="TextoNormal"/>
      </w:pPr>
    </w:p>
    <w:p w14:paraId="4594E87E" w14:textId="77777777" w:rsidR="009D7677" w:rsidRDefault="009D7677" w:rsidP="009D7677">
      <w:pPr>
        <w:pStyle w:val="TextoNormal"/>
      </w:pPr>
      <w:r>
        <w:t xml:space="preserve">(ii) Pero la Ley 2/2013, de 29 de mayo, modificó el art. 92 LC, reduciendo a la mitad los plazos de prescripción de las infracciones (dos años para las graves y seis meses para las leves) e introduciendo un plazo de prescripción para la ejecución forzosa de las multas que (dos años para las graves y un año para las leves), al tiempo que suprimió la referencia expresa a la exigencia de reposición de las cosas a su estado anterior cualquiera que fuera el tiempo transcurrido. Y, en relación con los límites temporales para el ejercicio de la </w:t>
      </w:r>
      <w:r>
        <w:lastRenderedPageBreak/>
        <w:t>potestad de reposición física de los terrenos en zona de dominio público de servidumbre afectados por obra ilegal (art. 95.1 LC), siguió sin someterse a plazo determinado la obligación de restitución de las cosas y reposición a su estado anterior. Ahora bien, una vez concluido el procedimiento con la resolución definitiva de reposición de la legalidad, el plazo para la ejecución es el que en cada caso fije la resolución correspondiente, y tras la imposición de la orden de demolición o restauración, la administración dispondrá del plazo máximo de quince años para proceder a la ejecución forzosa (prescripción de la resolución de reposición).</w:t>
      </w:r>
    </w:p>
    <w:p w14:paraId="55D301DE" w14:textId="77777777" w:rsidR="009D7677" w:rsidRDefault="009D7677" w:rsidP="009D7677">
      <w:pPr>
        <w:pStyle w:val="TextoNormal"/>
      </w:pPr>
    </w:p>
    <w:p w14:paraId="68BA7420" w14:textId="77777777" w:rsidR="009D7677" w:rsidRDefault="009D7677" w:rsidP="009D7677">
      <w:pPr>
        <w:pStyle w:val="TextoNormal"/>
      </w:pPr>
      <w:r>
        <w:t>Este plazo de quince años se inspiró en la jurisprudencia de la Sala de lo Contencioso-Administrativo del Tribunal Supremo, consolidada para integrar la laguna existente en la normativa sectorial urbanística sobre la prescripción de las órdenes de demolición firmes. Dicha jurisprudencia había fijado el criterio de aplicarles supletoriamente el plazo de prescripción de las acciones personales regulado en el artículo 1964 del Código civil. Plazo que, en aquella época, y antes de la reforma del Código civil por Ley 42/2015, de 5 de octubre, era de quince años [con cita de las SSTS núm. 822, de 5 de junio de 1987 (rec. 5038-1994), de 17 de febrero de 2000 (rec. 6237-2007), de 25 de noviembre de 2009 (rec. 500-2008), de 29 de diciembre de 2010]. Además, desde la entrada en vigor de la reforma del art. 92 de la Ley de costas, en 2013, la Axencia de Protección da Legalidade Urbanística sostuvo (en vía administrativa y en sede jurisdiccional) que la Ley 2/2013 no modificaba el plazo indefinido o permanente de reacción frente a las obras construidas ilegalmente, de modo que era posible incoar el procedimiento de restauración de la legalidad frente a la edificación ilegal en cualquier momento. La Sala de lo Contencioso-Administrativo del Tribunal Supremo confirmó en casación el criterio de la agencia, que a su vez había validado el Tribunal Superior de Justicia de Galicia con carácter previo, en sus sentencias de 11 de julio de 2018 (rec. 953-2017) y de 2 de diciembre de 2020 (rec. 7404-2019).</w:t>
      </w:r>
    </w:p>
    <w:p w14:paraId="016FB978" w14:textId="77777777" w:rsidR="009D7677" w:rsidRDefault="009D7677" w:rsidP="009D7677">
      <w:pPr>
        <w:pStyle w:val="TextoNormal"/>
      </w:pPr>
    </w:p>
    <w:p w14:paraId="2492CC34" w14:textId="77777777" w:rsidR="009D7677" w:rsidRDefault="009D7677" w:rsidP="009D7677">
      <w:pPr>
        <w:pStyle w:val="TextoNormal"/>
      </w:pPr>
      <w:r>
        <w:t>(iii) En este contexto entra en vigor el art. 10.1 de la Ley del Parlamento de Galicia 7/2022, cuyo párrafo primero, estableció un plazo específico de caducidad de la potestad administrativa para reaccionar, mediante un procedimiento de reposición de la legalidad, frente a las obras ilícitas realizadas en zona de servidumbre de protección del dominio público marítimo terrestre. Concretamente introduce un plazo prescriptivo de quince años, que ya no vendría a coincidir con el residual o supletorio de prescripción de acciones personales previsto en el artículo 1964 del Código civil, tras la minoración de este a cinco años introducida por la Ley 42/2015, de 5 de octubre. Adicionalmente, en su disposición transitoria primera, la Ley del Parlamento de Galicia 7/2022 ordenó la aplicación retroactiva de este beneficio a todas las construcciones ilícitas preexistentes.</w:t>
      </w:r>
    </w:p>
    <w:p w14:paraId="4AE7B9BF" w14:textId="77777777" w:rsidR="009D7677" w:rsidRDefault="009D7677" w:rsidP="009D7677">
      <w:pPr>
        <w:pStyle w:val="TextoNormal"/>
      </w:pPr>
    </w:p>
    <w:p w14:paraId="777A3FB2" w14:textId="77777777" w:rsidR="009D7677" w:rsidRDefault="009D7677" w:rsidP="009D7677">
      <w:pPr>
        <w:pStyle w:val="TextoNormal"/>
      </w:pPr>
      <w:r>
        <w:t>(iv) Entiende el órgano judicial que eleva la cuestión que ambos preceptos son inconstitucionales por invadir la competencia exclusiva reservada al legislador estatal en los artículos 149.1.23 y 149.1.1 CE, referidos respectivamente a la regulación básica de protección del medio ambiente y a las condiciones que garanticen la igualdad de todos los españoles en el ejercicio de los derechos y en el cumplimiento de los deberes constitucionales. Entiende el juzgado, con cita de la STC 137/2012, de 19 de junio, que le corresponde al Estado la competencia para determinar —desde la perspectiva sectorial de costas— el régimen jurídico esencial de la zona de servidumbre de protección del dominio público marítimo terrestre, por lo que la Comunidad Autónoma de Galicia habría sobrepasado el ejer</w:t>
      </w:r>
      <w:r>
        <w:lastRenderedPageBreak/>
        <w:t xml:space="preserve">cicio legítimo de sus competencias al establecer </w:t>
      </w:r>
      <w:r w:rsidRPr="009D7677">
        <w:rPr>
          <w:i/>
        </w:rPr>
        <w:t>ex novo</w:t>
      </w:r>
      <w:r>
        <w:t xml:space="preserve"> un plazo límite de reacción frente a las obras realizadas ilícitamente en la zona de servidumbre de protección de costas. Esa medida no constituye una “norma adicional de protección” del dominio público marítimo-terrestre (art. 149.1.23 CE), sino que, bien al contrario, prima en la norma impugnada el interés particular de quien ha incumplido el régimen básico esencial de protección del dominio costero sobre el general, medioambiental y paisajístico, respecto de una zona especialmente sensible y vulnerable (la franja litoral), que los poderes públicos deben preservar (art. 45 CE).</w:t>
      </w:r>
    </w:p>
    <w:p w14:paraId="6DAC3D3C" w14:textId="77777777" w:rsidR="009D7677" w:rsidRDefault="009D7677" w:rsidP="009D7677">
      <w:pPr>
        <w:pStyle w:val="TextoNormal"/>
      </w:pPr>
    </w:p>
    <w:p w14:paraId="1BE53D5E" w14:textId="77777777" w:rsidR="009D7677" w:rsidRDefault="009D7677" w:rsidP="009D7677">
      <w:pPr>
        <w:pStyle w:val="TextoNormal"/>
      </w:pPr>
      <w:r>
        <w:t>Sostiene el órgano judicial que el legislador estatal, en el art. 95 LC decidió no someter a límite temporal la potestad administrativa para exigir “la obligación de reparar el daño causado” (art. 45.3 CE) con la restauración física de los terrenos de la zona de servidumbre de protección de costas afectados, introduciendo un plazo concreto de quince años para la ejecución forzosa de la orden de demolición ya dictada, pero no para la incoación en sí del procedimiento de reposición de la legalidad. Se afirma también en el auto de planteamiento que las comunidades autónomas carecen de competencia legislativa para innovar a la baja el régimen estatal de protección de la zona de servidumbre de protección de costas, en beneficio de los infractores, bien modificando lo dispuesto al respecto en el artículo 95 LC, bien colmando una supuesta “laguna” del legislador estatal. Se produce con ello, en los términos expresados en el auto de planteamiento, no solo un menoscabo relevante en la protección del medio ambiente y del paisaje litoral, sino una desigualdad esencial en las obligaciones y derechos de los ciudadanos sobre dicho espacio en el conjunto del territorio español.</w:t>
      </w:r>
    </w:p>
    <w:p w14:paraId="19BB07C2" w14:textId="77777777" w:rsidR="009D7677" w:rsidRDefault="009D7677" w:rsidP="009D7677">
      <w:pPr>
        <w:pStyle w:val="TextoNormal"/>
      </w:pPr>
    </w:p>
    <w:p w14:paraId="10B41187" w14:textId="660342AF" w:rsidR="009D7677" w:rsidRDefault="009D7677" w:rsidP="009D7677">
      <w:pPr>
        <w:pStyle w:val="TextoNormal"/>
      </w:pPr>
      <w:r>
        <w:t>El órgano judicial concluye su argumentación en el auto afirmando que “(n)o es difícil deducir que dicha norma autonómica tiene como única finalidad la de beneficiar a quienes han infringido la Ley de costas en la zona de servidumbre de protección del litoral gallego, otorgándoles un privilegio singular frente a los que cometen la misma infracción en el resto del litoral español. Y ello invadiendo la competencia estatal en materia de costas, en detrimento de los valores medioambientales y paisajísticos que su legislación básica pretende preservar”.</w:t>
      </w:r>
    </w:p>
    <w:p w14:paraId="05DEF0DC" w14:textId="77777777" w:rsidR="009D7677" w:rsidRDefault="009D7677" w:rsidP="009D7677">
      <w:pPr>
        <w:pStyle w:val="TextoNormal"/>
      </w:pPr>
    </w:p>
    <w:p w14:paraId="07F8EB14" w14:textId="624ACB21" w:rsidR="009D7677" w:rsidRDefault="009D7677" w:rsidP="009D7677">
      <w:pPr>
        <w:pStyle w:val="TextoNormal"/>
      </w:pPr>
      <w:r w:rsidRPr="009D7677">
        <w:rPr>
          <w:rStyle w:val="NumeroAFNegritaCaracter"/>
        </w:rPr>
        <w:t>4</w:t>
      </w:r>
      <w:r>
        <w:t>. Por providencia de 12 de diciembre de 2023, el Pleno del Tribunal Constitucional, a propuesta de la Sección Cuarta, acordó admitir a trámite la cuestión de inconstitucionalidad; reservar para sí su conocimiento; dar traslado de las actuaciones recibidas al Congreso de los Diputados, al Senado, al Gobierno y al fiscal general del Estado, al Parlamento de Galicia y a la Xunta de Galicia, al objeto de que en el plazo de quince días pudieran personarse en el procedimiento y formular las alegaciones que estimasen convenientes, de acuerdo con lo establecido por el art. 37.3 LOTC. Asimismo, decidió comunicar dicha resolución al Juzgado de lo Contencioso-Administrativo núm. 1 de Pontevedra a fin de que, de conformidad con lo dispuesto en el art. 35.3 LOTC, permaneciese suspendido el proceso hasta la resolución de la cuestión, y publicar su incoación en el “Boletín Oficial del Estado” (publicación que tuvo lugar en el “BOE” núm. 177, de 26 de julio de 2023).</w:t>
      </w:r>
    </w:p>
    <w:p w14:paraId="72180DC0" w14:textId="77777777" w:rsidR="009D7677" w:rsidRDefault="009D7677" w:rsidP="009D7677">
      <w:pPr>
        <w:pStyle w:val="TextoNormal"/>
      </w:pPr>
    </w:p>
    <w:p w14:paraId="32349523" w14:textId="624D5A6E" w:rsidR="009D7677" w:rsidRDefault="009D7677" w:rsidP="009D7677">
      <w:pPr>
        <w:pStyle w:val="TextoNormal"/>
      </w:pPr>
      <w:r w:rsidRPr="009D7677">
        <w:rPr>
          <w:rStyle w:val="NumeroAFNegritaCaracter"/>
        </w:rPr>
        <w:t>5</w:t>
      </w:r>
      <w:r>
        <w:t xml:space="preserve">. A través de escrito registrado el 21 de diciembre de 2023, la presidenta del Congreso de los Diputados puso en conocimiento de este tribunal el acuerdo adoptado por la mesa del Congreso, en reunión celebrada el día 19 de diciembre, dando por personada a la Cámara en el procedimiento y por ofrecida su colaboración a los efectos del art. 88.1 LOTC. </w:t>
      </w:r>
      <w:r>
        <w:lastRenderedPageBreak/>
        <w:t>Por su parte, la mesa del Senado en reunión celebrada el 18 de enero de 2024, adopta idéntica decisión de dar por personada a la Cámara y por ofrecida su colaboración a los efectos del art. 88.1 LOTC. Tal decisión es comunicada por el presidente del Senado en escrito registrado el 23 de enero de 2024.</w:t>
      </w:r>
    </w:p>
    <w:p w14:paraId="41D83B8A" w14:textId="77777777" w:rsidR="009D7677" w:rsidRDefault="009D7677" w:rsidP="009D7677">
      <w:pPr>
        <w:pStyle w:val="TextoNormal"/>
      </w:pPr>
    </w:p>
    <w:p w14:paraId="14A27945" w14:textId="77777777" w:rsidR="009D7677" w:rsidRDefault="009D7677" w:rsidP="009D7677">
      <w:pPr>
        <w:pStyle w:val="TextoNormal"/>
      </w:pPr>
      <w:r w:rsidRPr="009D7677">
        <w:rPr>
          <w:rStyle w:val="NumeroAFNegritaCaracter"/>
        </w:rPr>
        <w:t>6</w:t>
      </w:r>
      <w:r>
        <w:t>. Por medio de escrito registrado el 26 de diciembre de 2023, presenta sus alegaciones el Parlamento de Galicia, interesando la desestimación de la cuestión de inconstitucionalidad.</w:t>
      </w:r>
    </w:p>
    <w:p w14:paraId="4B07D2FF" w14:textId="77777777" w:rsidR="009D7677" w:rsidRDefault="009D7677" w:rsidP="009D7677">
      <w:pPr>
        <w:pStyle w:val="TextoNormal"/>
      </w:pPr>
    </w:p>
    <w:p w14:paraId="2DA5DA69" w14:textId="77777777" w:rsidR="009D7677" w:rsidRDefault="009D7677" w:rsidP="009D7677">
      <w:pPr>
        <w:pStyle w:val="TextoNormal"/>
      </w:pPr>
      <w:r>
        <w:t>a) Esta parte comienza su argumentación sosteniendo que la finalidad de la norma impugnada es conseguir una mayor seguridad jurídica (art. 9.3 CE) y no, como dice el auto de planteamiento, beneficiar a quienes han infringido la Ley de costas en la zona de servidumbre de protección del litoral gallego, otorgándoles un privilegio singular frente a los que cometen la misma infracción en el resto del litoral español, e invadiendo la competencia estatal en materia de costas, en detrimento de los valores medioambientales y paisajísticos que su legislación básica pretende preservar. Esa finalidad normativa se enmarca en la competencia de la Comunidad Autónoma de Galicia para el establecimiento de normas adicionales sobre protección del medio ambiente y del paisaje, sin perjuicio de lo previsto en el artículo 149.1.23 CE (art. 27.30 del Estatuto de Autonomía para Galicia: EAG) y en las competencias en materia de ordenación del territorio y del litoral, urbanismo y vivienda (art. 27.3 EAG). A juicio del Parlamento de Galicia, en la regulación controvertida, entran en juego las citadas competencias tratándose de un caso de concurrencia espacial competencial (SSTC 113/1983 y 77/1984).</w:t>
      </w:r>
    </w:p>
    <w:p w14:paraId="21AEE24A" w14:textId="77777777" w:rsidR="009D7677" w:rsidRDefault="009D7677" w:rsidP="009D7677">
      <w:pPr>
        <w:pStyle w:val="TextoNormal"/>
      </w:pPr>
    </w:p>
    <w:p w14:paraId="0B601C23" w14:textId="77777777" w:rsidR="009D7677" w:rsidRDefault="009D7677" w:rsidP="009D7677">
      <w:pPr>
        <w:pStyle w:val="TextoNormal"/>
      </w:pPr>
      <w:r>
        <w:t>b) Tras una cita exhaustiva de los antecedentes normativos de la regulación autonómica sobre el litoral gallego, de la jurisprudencia constitucional sobre los ámbitos competenciales en conflicto, y después de hacer referencia a la Ley 4/2023, de 6 de julio, de ordenación y gestión integrada del litoral de Galicia, el escrito de alegaciones pone de relieve que la servidumbre legal de protección del dominio público marítimo-terrestre no puede impedir que una comunidad autónoma ejerza sus competencias sobre ese ámbito territorial. Entiende esta parte que el art. 10 de la ley gallega afecta a una franja de territorio que no está integrada en el demanio estatal, aunque sobre ella exista una limitación de propiedad impuesta por la normativa de costas, y que esa servidumbre legal no debe impedir que la comunidad autónoma pueda ejercer sus competencias sobre ese ámbito territorial. Para esta parte resulta claro que es competencia autonómica imponer la obligación de restitución de las cosas y reposición a su estado anterior, con la indemnización de los daños irreparables y pérdidas causadas, en el caso de obras y actuaciones contrarias a lo dispuesto en la legislación en materia de costas realizadas en la zona de servidumbre de protección del dominio público marítimo-terrestre. En ese marco el legislador autonómico dispone que el plazo para el ejercicio de la competencia autonómica para imponer la obligación de reposición de la legalidad e indemnización sea de quince años a contar desde la terminación de las obras o actuaciones contrarias a la legalidad, tomándose, como fecha de terminación de las obras o actuaciones realizadas la que resulte de su efectiva comprobación por la administración actuante, y todo ello por razones de seguridad jurídica, ya la norma impugnada que fija el momento a partir del cual debe dictarse el acto administrativo por el que se impone la obligación.</w:t>
      </w:r>
    </w:p>
    <w:p w14:paraId="6150D35A" w14:textId="77777777" w:rsidR="009D7677" w:rsidRDefault="009D7677" w:rsidP="009D7677">
      <w:pPr>
        <w:pStyle w:val="TextoNormal"/>
      </w:pPr>
    </w:p>
    <w:p w14:paraId="2C944EE1" w14:textId="77777777" w:rsidR="009D7677" w:rsidRDefault="009D7677" w:rsidP="009D7677">
      <w:pPr>
        <w:pStyle w:val="TextoNormal"/>
      </w:pPr>
      <w:r>
        <w:lastRenderedPageBreak/>
        <w:t>Dentro de ese plazo la administración ha de ejercer esa competencia. Y transcurrido el mismo sin que se haya impuesto dicha obligación solo se podrán realizar, previa solicitud de autorización del órgano autonómico competente en materia de zona de servidumbre de protección, las obras imprescindibles para la conservación y el mantenimiento del uso preexistente, sin que puedan incrementar el valor expropiatorio. Se respeta, de esta forma, lo previsto en la normativa estatal en el sentido de que, sobre el uso preexistente, se podrían realizar, con carácter general, obras de reparación, mejora, consolidación y modernización siempre que no impliquen aumento de volumen, altura, ni superficie de las construcciones existentes, sin que el incremento de valor que aquellas comporten pueda ser tenido en cuenta a efectos expropiatorios (disposición transitoria cuarta LC). Este plazo es de caducidad, porque la acción nace sujeta a un límite legal y el plazo no es susceptible de interrupción (SSTS de 14 de diciembre de 1993, 12 de febrero de 1996 y 12 de junio de 1997). Por lo tanto, para la adopción de ese acuerdo, este plazo es diferente del de prescripción de la obligación de reposición que tiene el infractor que empieza a computarse desde que la administración dicte el acto por el que acuerde su imposición (art. 11 de la Ley gallega de medidas fiscales y administrativas en relación con el artículo 95 de la ley de costas).</w:t>
      </w:r>
    </w:p>
    <w:p w14:paraId="12C37FA6" w14:textId="77777777" w:rsidR="009D7677" w:rsidRDefault="009D7677" w:rsidP="009D7677">
      <w:pPr>
        <w:pStyle w:val="TextoNormal"/>
      </w:pPr>
    </w:p>
    <w:p w14:paraId="4E7CCC5E" w14:textId="77777777" w:rsidR="009D7677" w:rsidRDefault="009D7677" w:rsidP="009D7677">
      <w:pPr>
        <w:pStyle w:val="TextoNormal"/>
      </w:pPr>
      <w:r>
        <w:t>Y concluye el argumento de parte afirmando que, de no haberse establecido ningún plazo, se habría contribuido a mantener una situación de inseguridad jurídica y se habría propiciado la arbitrariedad de la administración si el tiempo para adoptar el acuerdo de imposición de la obligación indicada quedara indefinidamente abierto. Por tanto, hay un plazo de prescripción de las infracciones y sanciones por obras ilegales en zona de servidumbre (título V LC), un plazo de prescripción de la obligación de reposición (art. 95 LC y art. 11 de la ley autonómica) y un plazo de caducidad para el ejercicio de la competencia autonómica para imponer la obligación de reposición (art. 10 de la ley autonómica).</w:t>
      </w:r>
    </w:p>
    <w:p w14:paraId="6AD411A8" w14:textId="77777777" w:rsidR="009D7677" w:rsidRDefault="009D7677" w:rsidP="009D7677">
      <w:pPr>
        <w:pStyle w:val="TextoNormal"/>
      </w:pPr>
    </w:p>
    <w:p w14:paraId="4A2192C0" w14:textId="64B649F9" w:rsidR="009D7677" w:rsidRDefault="009D7677" w:rsidP="009D7677">
      <w:pPr>
        <w:pStyle w:val="TextoNormal"/>
      </w:pPr>
      <w:r>
        <w:t>c) Por último, en relación con la disposición transitoria primera se afirma su constitucionalidad remitiéndose a los razonamientos ya expuestos.</w:t>
      </w:r>
    </w:p>
    <w:p w14:paraId="0EB9AF74" w14:textId="77777777" w:rsidR="009D7677" w:rsidRDefault="009D7677" w:rsidP="009D7677">
      <w:pPr>
        <w:pStyle w:val="TextoNormal"/>
      </w:pPr>
    </w:p>
    <w:p w14:paraId="729E0452" w14:textId="77777777" w:rsidR="009D7677" w:rsidRDefault="009D7677" w:rsidP="009D7677">
      <w:pPr>
        <w:pStyle w:val="TextoNormal"/>
      </w:pPr>
      <w:r w:rsidRPr="009D7677">
        <w:rPr>
          <w:rStyle w:val="NumeroAFNegritaCaracter"/>
        </w:rPr>
        <w:t>7</w:t>
      </w:r>
      <w:r>
        <w:t>. Mediante escrito presentado el día 17 de enero de 2024, el abogado del Estado, en la representación que ostenta, formuló alegaciones, solicitando la íntegra desestimación de la cuestión de inconstitucionalidad, sobre la base de los siguientes argumentos:</w:t>
      </w:r>
    </w:p>
    <w:p w14:paraId="55B97C67" w14:textId="77777777" w:rsidR="009D7677" w:rsidRDefault="009D7677" w:rsidP="009D7677">
      <w:pPr>
        <w:pStyle w:val="TextoNormal"/>
      </w:pPr>
    </w:p>
    <w:p w14:paraId="498118C9" w14:textId="77777777" w:rsidR="009D7677" w:rsidRDefault="009D7677" w:rsidP="009D7677">
      <w:pPr>
        <w:pStyle w:val="TextoNormal"/>
      </w:pPr>
      <w:r>
        <w:t>a) En relación con el marco competencial de referencia, la abogacía del Estado evoca los artículos: (i) 132.2 CE, que atribuye al Estado la titularidad del dominio público marítimo-terrestre, declarando el carácter demanial de los espacios costeros, e indicando que la propiedad de los mismos es estatal, lo que habilita al Estado para determinar el régimen jurídico del demanio (deslinde, afectación, régimen jurídico sancionador, obras, régimen de utilización y aprovechamiento, etc.); y (ii) 149.1.23 CE, que permite al Estado establecer la legislación básica en materia de protección del medio ambiente litoral, y regular las condiciones de uso y aprovechamiento de los terrenos colindantes con el dominio público marítimo-terrestre y sus servidumbres.</w:t>
      </w:r>
    </w:p>
    <w:p w14:paraId="4554F49F" w14:textId="77777777" w:rsidR="009D7677" w:rsidRDefault="009D7677" w:rsidP="009D7677">
      <w:pPr>
        <w:pStyle w:val="TextoNormal"/>
      </w:pPr>
    </w:p>
    <w:p w14:paraId="49BFA1B6" w14:textId="77777777" w:rsidR="009D7677" w:rsidRDefault="009D7677" w:rsidP="009D7677">
      <w:pPr>
        <w:pStyle w:val="TextoNormal"/>
      </w:pPr>
      <w:r>
        <w:t>b) El art. 25 LC regula las prohibiciones y limitaciones existentes en la zona de servidumbre de protección, tratándose de un precepto básico (STC 149/1991), mientras que en las distintas disposiciones transitorias de la Ley de costas se recoge el régimen aplicable a aquellas construcciones anteriores a dicha norma legal y ubicadas tanto en dominio públi</w:t>
      </w:r>
      <w:r>
        <w:lastRenderedPageBreak/>
        <w:t>co como en su servidumbre de protección. En concreto, en el supuesto previsto en la disposición transitoria cuarta, el mantenimiento de las obras e instalaciones existentes requiere que las mismas contasen con la correspondiente licencia urbanística, si la misma era exigible en dicho momento. La STC 149/1991 establece que las servidumbres son imprescriptibles en todo caso y el Tribunal Supremo, en sus sentencias de 11 de julio de 2018 y 2 de diciembre de 2020, dejó sentado que no existe plazo para incoar un expediente de reposición de la legalidad sobre la servidumbre de protección, pues la obligación de restitución y reposición de las cosas a su estado anterior prevista y contemplada en la Ley de costas de 1988 es imprescriptible, como lo es por mandato legal la propia servidumbre. Lo que hace el segundo párrafo del art. 95.1 LC, tras su reforma de 2013, es establecer un plazo de prescripción de quince años referido a la ejecución y el cumplimiento de la restitución y reposición del propio infractor una vez la administración ha impuesto la obligación. Por estas razones, la Abogacía del Estado entiende que resulta inconstitucional el establecimiento por la comunidad autónoma gallega de un plazo de prescripción de la acción para imponer la reposición de la legalidad en la zona de servidumbre de protección, ya que la ley de costas no prevé limitación de plazo para su ejercicio.</w:t>
      </w:r>
    </w:p>
    <w:p w14:paraId="6B586FB4" w14:textId="77777777" w:rsidR="009D7677" w:rsidRDefault="009D7677" w:rsidP="009D7677">
      <w:pPr>
        <w:pStyle w:val="TextoNormal"/>
      </w:pPr>
    </w:p>
    <w:p w14:paraId="25442F05" w14:textId="47C83A02" w:rsidR="009D7677" w:rsidRDefault="009D7677" w:rsidP="009D7677">
      <w:pPr>
        <w:pStyle w:val="TextoNormal"/>
      </w:pPr>
      <w:r>
        <w:t>c) Por último, en el escrito de alegaciones de la Abogacía del Estado se hace mención del recurso de inconstitucionalidad núm. 6243-2023 planteado por el presidente del Gobierno contra los arts. 10.1.1.11 y la disposición transitoria primera de la ley del Parlamento de Galicia 7/2022.</w:t>
      </w:r>
    </w:p>
    <w:p w14:paraId="56899060" w14:textId="77777777" w:rsidR="009D7677" w:rsidRDefault="009D7677" w:rsidP="009D7677">
      <w:pPr>
        <w:pStyle w:val="TextoNormal"/>
      </w:pPr>
    </w:p>
    <w:p w14:paraId="1EF360E4" w14:textId="77777777" w:rsidR="009D7677" w:rsidRDefault="009D7677" w:rsidP="009D7677">
      <w:pPr>
        <w:pStyle w:val="TextoNormal"/>
      </w:pPr>
      <w:r w:rsidRPr="009D7677">
        <w:rPr>
          <w:rStyle w:val="NumeroAFNegritaCaracter"/>
        </w:rPr>
        <w:t>8</w:t>
      </w:r>
      <w:r>
        <w:t>. La Xunta de Galicia se persona y presenta sus alegaciones mediante escrito registrado el 22 de enero de 2024, en el que solicita la desestimación íntegra de la cuestión de inconstitucionalidad.</w:t>
      </w:r>
    </w:p>
    <w:p w14:paraId="0F28788C" w14:textId="77777777" w:rsidR="009D7677" w:rsidRDefault="009D7677" w:rsidP="009D7677">
      <w:pPr>
        <w:pStyle w:val="TextoNormal"/>
      </w:pPr>
    </w:p>
    <w:p w14:paraId="4BAFA615" w14:textId="77777777" w:rsidR="009D7677" w:rsidRDefault="009D7677" w:rsidP="009D7677">
      <w:pPr>
        <w:pStyle w:val="TextoNormal"/>
      </w:pPr>
      <w:r>
        <w:t>a) En primer término esta parte alega que, en relación con la disposición transitoria primera, solo puede abrirse la cuestión respecto a su punto 1 y no a su punto 2, pues este último alude a la transitoriedad del art. 11, que no se cita en los trámites de apertura de esta duda constitucional, ni en realidad con relación al pleito.</w:t>
      </w:r>
    </w:p>
    <w:p w14:paraId="4456C53B" w14:textId="77777777" w:rsidR="009D7677" w:rsidRDefault="009D7677" w:rsidP="009D7677">
      <w:pPr>
        <w:pStyle w:val="TextoNormal"/>
      </w:pPr>
    </w:p>
    <w:p w14:paraId="6F9AEB46" w14:textId="77777777" w:rsidR="009D7677" w:rsidRDefault="009D7677" w:rsidP="009D7677">
      <w:pPr>
        <w:pStyle w:val="TextoNormal"/>
      </w:pPr>
      <w:r>
        <w:t>b) En segundo lugar la parte argumenta sobre la ausencia de previsión de un determinado plazo de prescripción en la Ley de costas. En el marco de una explicación exhaustiva sobre la evolución de la ley estatal de costas, sostiene el escrito de alegaciones que la Ley 2/2013 suprime expresamente la referencia previa de la ley respecto de la inexistencia de un plazo de prescripción de las acciones de reposición, mediante la eliminación de la frase “cualquiera que sea el tiempo transcurrido” del art. 92 LC. También sostiene que para buscar un plazo para la imposición de la obligación de restitución no se puede acudir al artículo 95 LC, porque este precepto no recoge ninguna mención expresa de que para el ejercicio de la imposición del deber de restitución no haya plazo, limitándose a introducir un plazo de prescripción para la ejecución del acuerdo de imposición administrativa de la reposición. Por tanto, el legislador gallego ante el vacío de la legislación de costas y en ejercicio de su competencia ejecutiva y normativa sobre la zona de servidumbre de protección de costas (arts. 27.3 y 30 EAG) establece el plazo de quince años para el ejercicio de la imposición de restitución, fijando además que pasado tal plazo la edificación queda sometida a estrictos condicionantes en todo caso.</w:t>
      </w:r>
    </w:p>
    <w:p w14:paraId="41E1C141" w14:textId="77777777" w:rsidR="009D7677" w:rsidRDefault="009D7677" w:rsidP="009D7677">
      <w:pPr>
        <w:pStyle w:val="TextoNormal"/>
      </w:pPr>
    </w:p>
    <w:p w14:paraId="060C50D1" w14:textId="77777777" w:rsidR="009D7677" w:rsidRDefault="009D7677" w:rsidP="009D7677">
      <w:pPr>
        <w:pStyle w:val="TextoNormal"/>
      </w:pPr>
      <w:r>
        <w:lastRenderedPageBreak/>
        <w:t>c) No satisface las exigencias de una regla básica, ni de una regla de fijación de condiciones básicas de ejercicio de un derecho constitucional, una regla “implícita” a la que se llega obviando que el legislador estatal ha querido eliminar la referencia explícita que había sobre la falta de plazo para la imposición de la obligación de reposición.</w:t>
      </w:r>
    </w:p>
    <w:p w14:paraId="0A78D7BF" w14:textId="77777777" w:rsidR="009D7677" w:rsidRDefault="009D7677" w:rsidP="009D7677">
      <w:pPr>
        <w:pStyle w:val="TextoNormal"/>
      </w:pPr>
    </w:p>
    <w:p w14:paraId="54BC8AE3" w14:textId="77777777" w:rsidR="009D7677" w:rsidRDefault="009D7677" w:rsidP="009D7677">
      <w:pPr>
        <w:pStyle w:val="TextoNormal"/>
      </w:pPr>
      <w:r>
        <w:t>Tampoco se puede deducir del art. 21 LC la inexistencia de plazo para la imposición de la obligación de restitución, porque la mención de imprescriptibilidad del artículo 21.1 LC es una declaración general, dirigida sobre todo a que no pueden prevalecer plazos prescriptivos de adquisición o de otro tipo de carácter civil o privado sobre el hecho de que esta zona sea siempre de servidumbre de costas, y por tanto el art. 21 LC se entiende dictado en ejercicio de la competencia sobre legislación civil (art. 149.1.8 CE), que abarca la dimensión patrimonial del derecho de propiedad, con la procesal ligada a ello (art. 149.1.6 CE). Y la dimensión patrimonial del derecho de propiedad comprende las formas de adquirir la propiedad, entre ellas la adquisición por prescripción. Por el contrario, el señalamiento de límites al derecho de propiedad (zona de servidumbre de protección de costas) y su realización forzosa mediante la potestad de restitución de la legalidad en los terrenos no se integra en la dimensión patrimonial del derecho de propiedad, sino en su dimensión institucional, pues es un límite impuesto al derecho de propiedad en función de un objetivo de interés público, por lo que se integra competencialmente en la regulación de ese interés público. En este caso, se orienta a la protección ambiental y por ello es ejercicio del art. 149.1.23. En consecuencia, de la previsión en el art. 21.1 LC de que la zona de servidumbre de protección de costas es imprescriptible, no se puede desprender, ni siquiera implícitamente, que la potestad de restitución de la legalidad cuando recae sobre la zona de servidumbre de protección de costas no quede sujeta a plazo en cuanto a su incoación.</w:t>
      </w:r>
    </w:p>
    <w:p w14:paraId="1ED28F76" w14:textId="77777777" w:rsidR="009D7677" w:rsidRDefault="009D7677" w:rsidP="009D7677">
      <w:pPr>
        <w:pStyle w:val="TextoNormal"/>
      </w:pPr>
    </w:p>
    <w:p w14:paraId="0B0CC58C" w14:textId="77777777" w:rsidR="009D7677" w:rsidRDefault="009D7677" w:rsidP="009D7677">
      <w:pPr>
        <w:pStyle w:val="TextoNormal"/>
      </w:pPr>
      <w:r>
        <w:t>d) Las sentencias del Tribunal Supremo de 2018 y 2020 que cita el auto de planteamiento de la cuestión de inconstitucionalidad dejan claro que en la Ley de costas hay un vacío normativo que no puede suplirse acudiendo a los plazos previstos para otros supuestos. Esas sentencias no son oponibles cuando el vacío normativo desaparece porque el legislador competente actúa. En suma, desde la aprobación de la Ley del Parlamento de Galicia 7/2022 el contexto normativo que condiciona la interpretación legal del art. 95.1 LC ha cambiado. Ya no hay una laguna en el ordenamiento jurídico, sino que la ley autonómica llena un espacio normativo que la ley básica no ha ocupado. La doctrina jurisprudencial de del Tribunal Supremo, que surgió como integración de una laguna del ordenamiento, ya no es aplicable ahora que la misma ha desaparecido. Por otro lado, aun cuando la doctrina jurisprudencial citada fuese extensible al nuevo contexto normativo, el Tribunal Constitucional no estaría vinculado por ella.</w:t>
      </w:r>
    </w:p>
    <w:p w14:paraId="0B7959BA" w14:textId="77777777" w:rsidR="009D7677" w:rsidRDefault="009D7677" w:rsidP="009D7677">
      <w:pPr>
        <w:pStyle w:val="TextoNormal"/>
      </w:pPr>
    </w:p>
    <w:p w14:paraId="7664623C" w14:textId="77777777" w:rsidR="009D7677" w:rsidRDefault="009D7677" w:rsidP="009D7677">
      <w:pPr>
        <w:pStyle w:val="TextoNormal"/>
      </w:pPr>
      <w:r>
        <w:t xml:space="preserve">e) La Comunidad Autónoma de Galicia tiene competencia para legislar sobre la materia a que se refieren los preceptos cuestionados, exclusiva en la ordenación del territorio y del litoral, urbanismo y vivienda, y de normas adicionales de protección del medio ambiente y el paisaje. Y, por lo que hace a la competencia estatal derivada del art. 149.1.23 CE, esa parte alega que el vacío de la Ley de costas significa que para el legislador estatal esa mención no forma parte del que podía englobarse como normas mínimas de protección del medio ambiente. En cualquier caso la competencia estatal en materia de protección ambiental </w:t>
      </w:r>
      <w:r w:rsidRPr="009D7677">
        <w:rPr>
          <w:i/>
        </w:rPr>
        <w:t>ex</w:t>
      </w:r>
      <w:r>
        <w:t xml:space="preserve"> art. 149.1.23 CE, al ceñirse a la legislación básica, solo habilita para que el Estado, si lo considera conveniente, fije reglas básicas en la ordenación de la zona de servidumbre de protección de costas, de modo que el hecho de que la ordenación de la zona de </w:t>
      </w:r>
      <w:r>
        <w:lastRenderedPageBreak/>
        <w:t xml:space="preserve">servidumbre de protección de costas tenga una función ambiental de protección de la costa no determina que, con base en el art. 149.1.23 CE, se convierta en una materia reservada </w:t>
      </w:r>
      <w:r w:rsidRPr="009D7677">
        <w:rPr>
          <w:i/>
        </w:rPr>
        <w:t>a priori</w:t>
      </w:r>
      <w:r>
        <w:t xml:space="preserve"> y en conjunto al Estado, de modo que la ley autonómica quede en todo caso excluida. La función ambiental de la zona de servidumbre de protección de costas habilita al Estado para establecer reglas básicas </w:t>
      </w:r>
      <w:r w:rsidRPr="009D7677">
        <w:rPr>
          <w:i/>
        </w:rPr>
        <w:t>ex</w:t>
      </w:r>
      <w:r>
        <w:t xml:space="preserve"> art. 149.1.23 CE, pero en la medida que no lo haga, opción que es perfectamente constitucional, la ley autonómica puede ocupar ese espacio normativo, siempre que disponga de una competencia propia para incidir en él, como puede ser la de desarrollo de las bases ambientales o las competencias urbanística, de ordenación del territorio y del litoral sobre la zona de servidumbre de protección de costas.</w:t>
      </w:r>
    </w:p>
    <w:p w14:paraId="64E34A01" w14:textId="77777777" w:rsidR="009D7677" w:rsidRDefault="009D7677" w:rsidP="009D7677">
      <w:pPr>
        <w:pStyle w:val="TextoNormal"/>
      </w:pPr>
    </w:p>
    <w:p w14:paraId="16560CBD" w14:textId="77777777" w:rsidR="009D7677" w:rsidRDefault="009D7677" w:rsidP="009D7677">
      <w:pPr>
        <w:pStyle w:val="TextoNormal"/>
      </w:pPr>
      <w:r>
        <w:t>f) El art. 149.1.1 CE atribuye al Estado una habilitación normativa, de forma que el Estado puede regular o no esta materia competencial según lo considere oportuno. De este modo, y en esto se asemeja a las competencias legislativas básicas, cuando el Tribunal Constitucional controla que haya sido respetado realiza un juicio de constitucionalidad mediata, que comienza con identificar la norma en que el Estado ha utilizado la habilitación normativa y comparar con ella la norma impugnada. Por tanto, si el Estado elimina la regla de la intemporalidad para este ejercicio administrativo, no se puede entender que pueda estar en las condiciones básicas una regla que ya no está en la ley estatal.</w:t>
      </w:r>
    </w:p>
    <w:p w14:paraId="135A1520" w14:textId="77777777" w:rsidR="009D7677" w:rsidRDefault="009D7677" w:rsidP="009D7677">
      <w:pPr>
        <w:pStyle w:val="TextoNormal"/>
      </w:pPr>
    </w:p>
    <w:p w14:paraId="70277B93" w14:textId="0FEE3962" w:rsidR="009D7677" w:rsidRDefault="009D7677" w:rsidP="009D7677">
      <w:pPr>
        <w:pStyle w:val="TextoNormal"/>
      </w:pPr>
      <w:r>
        <w:t>g) Existiendo un vacío normativo, que uno de los legisladores competentes haga una determinación a este respecto no nos aleja de la Constitución, sino que nos acerca a esta y a su art. 9.3 CE. El equilibrio de los bienes jurídicos y los principios constitucionales, como el de seguridad jurídica, pero también el de proporcionalidad, lo que exigen es, primero, que los legisladores se definan, para que los operadores y ciudadanos sepan a qué deben atenerse. Establecer plazos ajustados a los diferentes intereses en juego no es lo cuestionable, sino que lo que necesitaría de más explicación desde el prisma constitucional es que una actuación de incidencia gravosa no esté sometida a plazo alguno.</w:t>
      </w:r>
    </w:p>
    <w:p w14:paraId="6CB235FF" w14:textId="77777777" w:rsidR="009D7677" w:rsidRDefault="009D7677" w:rsidP="009D7677">
      <w:pPr>
        <w:pStyle w:val="TextoNormal"/>
      </w:pPr>
    </w:p>
    <w:p w14:paraId="274C89F9" w14:textId="77777777" w:rsidR="009D7677" w:rsidRDefault="009D7677" w:rsidP="009D7677">
      <w:pPr>
        <w:pStyle w:val="TextoNormal"/>
      </w:pPr>
      <w:r w:rsidRPr="009D7677">
        <w:rPr>
          <w:rStyle w:val="NumeroAFNegritaCaracter"/>
        </w:rPr>
        <w:t>9</w:t>
      </w:r>
      <w:r>
        <w:t>. El 25 de enero de 2024 tuvo entrada en el registro de este tribunal el escrito de alegaciones del fiscal general del Estado, en el que solicita la estimación de la cuestión de inconstitucionalidad por las razones que se exponen a continuación.</w:t>
      </w:r>
    </w:p>
    <w:p w14:paraId="7D7D19CF" w14:textId="77777777" w:rsidR="009D7677" w:rsidRDefault="009D7677" w:rsidP="009D7677">
      <w:pPr>
        <w:pStyle w:val="TextoNormal"/>
      </w:pPr>
    </w:p>
    <w:p w14:paraId="2781C872" w14:textId="77777777" w:rsidR="009D7677" w:rsidRDefault="009D7677" w:rsidP="009D7677">
      <w:pPr>
        <w:pStyle w:val="TextoNormal"/>
      </w:pPr>
      <w:r>
        <w:t xml:space="preserve">a) En primer lugar y tras exponer los antecedentes procesales y el contenido del auto de planteamiento de la cuestión de inconstitucionalidad, el fiscal ante el Tribunal Constitucional pone de relieve que existe una duda fáctica relevante para la resolución del proceso y que podría conducir a apreciar en sentencia la inadmisión por falta de relevancia de la cuestión de inconstitucionalidad. Esa duda se refiere a la fecha de la finalización de las obras de la edificación cuya demolición se pretende en el proceso </w:t>
      </w:r>
      <w:r w:rsidRPr="009D7677">
        <w:rPr>
          <w:i/>
        </w:rPr>
        <w:t>a quo</w:t>
      </w:r>
      <w:r>
        <w:t>, siendo ese dato determinante porque solo sería aplicable la norma cuestionada si se estimase probado que la construcción concluyó más de quince años antes de la actividad de control. En el presente caso el juez suscita una simple hipótesis, en que solo afirma la aplicabilidad de la norma si se demostrase que las obras habían concluido con anterioridad al plazo de quince años desde que se iniciaron las actividades de comprobación, pero nada dice sobre qué norma es la aplicable en caso contrario, lo que, de acuerdo con lo establecido en el ATC 376/2023, de 18 de julio, determinaría la inadmisibilidad de la presente cuestión de inconstitucionalidad, que puede ser apreciada en la sentencia. Solo podría entrarse en el fondo de la cuestión si se aplica la doctrina recogida en el ATC 14/1993, de 19 de enero, en el sentido de que lo que se está emitiendo es un juicio provisional que, debiendo estar funda</w:t>
      </w:r>
      <w:r>
        <w:lastRenderedPageBreak/>
        <w:t xml:space="preserve">do, sin embargo, no siempre es absolutamente definitivo acerca de la aplicabilidad de la norma legal cuestionada en el procedimiento del que dimana la cuestión de inconstitucionalidad y si se entiende que el juez de lo contencioso-administrativo está considerando aplicables en todo caso las normas cuestionadas, de modo que la única diferencia observable en cuanto al sentido del fallo que deba dictarse en el proceso </w:t>
      </w:r>
      <w:r w:rsidRPr="009D7677">
        <w:rPr>
          <w:i/>
        </w:rPr>
        <w:t>a quo</w:t>
      </w:r>
      <w:r>
        <w:t>, según la fecha en que se consideren concluidas las obras, sería la estimación del recurso —si las obras concluyeron en la fecha indicada por el recurrente— o la desestimación —si se considera que concluyeron menos de quince años antes de la actividad comprobadora—.</w:t>
      </w:r>
    </w:p>
    <w:p w14:paraId="7374707D" w14:textId="77777777" w:rsidR="009D7677" w:rsidRDefault="009D7677" w:rsidP="009D7677">
      <w:pPr>
        <w:pStyle w:val="TextoNormal"/>
      </w:pPr>
    </w:p>
    <w:p w14:paraId="595DEE36" w14:textId="77777777" w:rsidR="009D7677" w:rsidRDefault="009D7677" w:rsidP="009D7677">
      <w:pPr>
        <w:pStyle w:val="TextoNormal"/>
      </w:pPr>
      <w:r>
        <w:t>b) En caso de no apreciarse el óbice de admisibilidad, el Ministerio Fiscal considera que la cuestión debe ser estimada en su totalidad.</w:t>
      </w:r>
    </w:p>
    <w:p w14:paraId="243A9690" w14:textId="77777777" w:rsidR="009D7677" w:rsidRDefault="009D7677" w:rsidP="009D7677">
      <w:pPr>
        <w:pStyle w:val="TextoNormal"/>
      </w:pPr>
    </w:p>
    <w:p w14:paraId="2300D2AD" w14:textId="77777777" w:rsidR="009D7677" w:rsidRDefault="009D7677" w:rsidP="009D7677">
      <w:pPr>
        <w:pStyle w:val="TextoNormal"/>
      </w:pPr>
      <w:r>
        <w:t>(i) Cotejada la redacción de la norma cuestionada con la estatal, se observa que la norma cuestionada establece un plazo de prescripción de quince años de la iniciativa de la administración para imponer la obligación de restitución de las cosas y reposición a su estado anterior, que debe contarse desde la terminación de las obras o actuaciones contrarias a la legalidad, computándose la fecha que resulte de su efectiva comprobación por la administración actuante, salvo que quede debidamente probada la terminación de las mismas en otra fecha distinta por cualquier medio de prueba admitido en derecho. Por el contrario, de la redacción de la norma estatal y de su interpretación por la jurisprudencia del Tribunal Supremo (STS 1645/2020, de 2 de diciembre, FJ 7) se desprende que no existe un plazo para que la administración compruebe el estado de las obras y su adecuación a la legislación vigente, pero sí de la obligación de restitución de las cosas y reposición a su estado anterior, que es, bien el fijado por la administración, bien el de quince años desde que la administración acuerde su imposición. Esta normativa sobre la ausencia de plazo para la actividad de comprobación deriva de la imprescriptibilidad de los bienes de dominio público marítimo terrestre y de las servidumbres en los terrenos colindantes. La norma estatal debe considerarse basada en las previsiones constitucionales de inalienabilidad, imprescriptibilidad e inembargabilidad de los bienes de dominio público estatal, entre los que la Constitución incluye expresamente la zona marítimo terrestre (art. 132 CE).</w:t>
      </w:r>
    </w:p>
    <w:p w14:paraId="7A9E4C28" w14:textId="77777777" w:rsidR="009D7677" w:rsidRDefault="009D7677" w:rsidP="009D7677">
      <w:pPr>
        <w:pStyle w:val="TextoNormal"/>
      </w:pPr>
    </w:p>
    <w:p w14:paraId="4BA665D1" w14:textId="77777777" w:rsidR="009D7677" w:rsidRDefault="009D7677" w:rsidP="009D7677">
      <w:pPr>
        <w:pStyle w:val="TextoNormal"/>
      </w:pPr>
      <w:r>
        <w:t>(ii) La norma de imprescriptibilidad se fundamenta en las competencias exclusivas del Estado para establecer, en primer término, la regulación de las condiciones básicas que garanticen la igualdad de todos los españoles en el ejercicio de los derechos y en el cumplimiento de los deberes constitucionales, y en segundo lugar, la legislación básica sobre protección del medio ambiente, sin perjuicio de las facultades de las comunidades autónomas de establecer normas adicionales de protección (art. 149.1.1 y 23 CE).</w:t>
      </w:r>
    </w:p>
    <w:p w14:paraId="2204BA6C" w14:textId="77777777" w:rsidR="009D7677" w:rsidRDefault="009D7677" w:rsidP="009D7677">
      <w:pPr>
        <w:pStyle w:val="TextoNormal"/>
      </w:pPr>
    </w:p>
    <w:p w14:paraId="66833DAE" w14:textId="77777777" w:rsidR="009D7677" w:rsidRDefault="009D7677" w:rsidP="009D7677">
      <w:pPr>
        <w:pStyle w:val="TextoNormal"/>
      </w:pPr>
      <w:r>
        <w:t>(iii) No puede afirmarse que las normas cuestionadas impliquen el ejercicio de competencias para establecer normas adicionales de protección; al contrario, al establecer un plazo de prescripción o caducidad de la acción para comprobar el estado de las obras y su adecuación a la legislación vigente, dichas normas vendrían más bien a reducir el ámbito de protección del dominio público estatal, y. en consecuencia, son contrarias a las disposiciones de los artículos 132 y 149.1.1 y 23 CE.</w:t>
      </w:r>
    </w:p>
    <w:p w14:paraId="24189B06" w14:textId="77777777" w:rsidR="009D7677" w:rsidRDefault="009D7677" w:rsidP="009D7677">
      <w:pPr>
        <w:pStyle w:val="TextoNormal"/>
      </w:pPr>
    </w:p>
    <w:p w14:paraId="09E9AF84" w14:textId="1F86AD6A" w:rsidR="009D7677" w:rsidRDefault="009D7677" w:rsidP="009D7677">
      <w:pPr>
        <w:pStyle w:val="TextoNormal"/>
      </w:pPr>
      <w:r>
        <w:t xml:space="preserve">c) Por tanto, la declaración de inconstitucionalidad debe extenderse al menos al párrafo segundo del apartado primero y al apartado tercero del citado artículo 10 (de acuerdo con lo dispuesto en el artículo 39.1 LOTC), salvo que el Tribunal considere que, declarada la </w:t>
      </w:r>
      <w:r>
        <w:lastRenderedPageBreak/>
        <w:t>inconstitucionalidad del párrafo primero apartado primero, dichas normas queden automáticamente sin contenido.</w:t>
      </w:r>
    </w:p>
    <w:p w14:paraId="7676D0B4" w14:textId="77777777" w:rsidR="009D7677" w:rsidRDefault="009D7677" w:rsidP="009D7677">
      <w:pPr>
        <w:pStyle w:val="TextoNormal"/>
      </w:pPr>
    </w:p>
    <w:p w14:paraId="5247803D" w14:textId="1C0F84D2" w:rsidR="009D7677" w:rsidRDefault="009D7677" w:rsidP="009D7677">
      <w:pPr>
        <w:pStyle w:val="TextoNormal"/>
      </w:pPr>
      <w:r w:rsidRPr="009D7677">
        <w:rPr>
          <w:rStyle w:val="NumeroAFNegritaCaracter"/>
        </w:rPr>
        <w:t>10</w:t>
      </w:r>
      <w:r>
        <w:t>. Por providencia de 17 de junio de 2024, se señaló ese mismo día para la deliberación y votación de la presente sentencia.</w:t>
      </w:r>
    </w:p>
    <w:p w14:paraId="030C1EEE" w14:textId="77777777" w:rsidR="009D7677" w:rsidRDefault="009D7677" w:rsidP="009D7677">
      <w:pPr>
        <w:pStyle w:val="TextoNormal"/>
      </w:pPr>
    </w:p>
    <w:p w14:paraId="3988EE98" w14:textId="77777777" w:rsidR="009D7677" w:rsidRDefault="009D7677" w:rsidP="009D7677">
      <w:pPr>
        <w:pStyle w:val="TextoNormalNegritaCentrado"/>
        <w:keepNext/>
      </w:pPr>
      <w:r>
        <w:t>II. Fundamentos jurídicos</w:t>
      </w:r>
    </w:p>
    <w:p w14:paraId="5FD8BB47" w14:textId="18957A7E" w:rsidR="009D7677" w:rsidRDefault="009D7677" w:rsidP="009D7677">
      <w:pPr>
        <w:pStyle w:val="TextoNormalNegritaCentrado"/>
        <w:keepNext/>
      </w:pPr>
    </w:p>
    <w:p w14:paraId="48472CA2" w14:textId="77777777" w:rsidR="009D7677" w:rsidRDefault="009D7677" w:rsidP="009D7677">
      <w:pPr>
        <w:pStyle w:val="TextoNormal"/>
      </w:pPr>
      <w:r w:rsidRPr="009D7677">
        <w:rPr>
          <w:rStyle w:val="NumeroAFNegritaCaracter"/>
        </w:rPr>
        <w:t>1</w:t>
      </w:r>
      <w:r>
        <w:t xml:space="preserve">. </w:t>
      </w:r>
      <w:r w:rsidRPr="009D7677">
        <w:rPr>
          <w:i/>
        </w:rPr>
        <w:t>Objeto de la cuestión de inconstitucionalidad y posiciones de las partes</w:t>
      </w:r>
    </w:p>
    <w:p w14:paraId="19122BDD" w14:textId="77777777" w:rsidR="009D7677" w:rsidRDefault="009D7677" w:rsidP="009D7677">
      <w:pPr>
        <w:pStyle w:val="TextoNormal"/>
      </w:pPr>
    </w:p>
    <w:p w14:paraId="30920A96" w14:textId="77777777" w:rsidR="009D7677" w:rsidRDefault="009D7677" w:rsidP="009D7677">
      <w:pPr>
        <w:pStyle w:val="TextoNormal"/>
      </w:pPr>
      <w:r>
        <w:t>El Juzgado de lo Contencioso-administrativo núm. 1 de Pontevedra plantea cuestión de inconstitucionalidad respecto del art. 10.1, párrafo primero, y la disposición transitoria primera de la Ley del Parlamento de Galicia 7/2022, de 27 de diciembre, de medidas fiscales y administrativas. La dicción literal de los artículos cuestionados es la siguiente:</w:t>
      </w:r>
    </w:p>
    <w:p w14:paraId="1C14935A" w14:textId="77777777" w:rsidR="009D7677" w:rsidRDefault="009D7677" w:rsidP="009D7677">
      <w:pPr>
        <w:pStyle w:val="TextoNormal"/>
      </w:pPr>
    </w:p>
    <w:p w14:paraId="46D60E2D" w14:textId="77777777" w:rsidR="009D7677" w:rsidRDefault="009D7677" w:rsidP="009D7677">
      <w:pPr>
        <w:pStyle w:val="TextoNormal"/>
      </w:pPr>
      <w:r>
        <w:t>“Artículo 10. Ejercicio de las competencias de la Comunidad Autónoma de Galicia para la reposición de la legalidad en la zona de servidumbre de protección del dominio público marítimo-terrestre</w:t>
      </w:r>
    </w:p>
    <w:p w14:paraId="70F5A6F2" w14:textId="77777777" w:rsidR="009D7677" w:rsidRDefault="009D7677" w:rsidP="009D7677">
      <w:pPr>
        <w:pStyle w:val="TextoNormal"/>
      </w:pPr>
    </w:p>
    <w:p w14:paraId="28F9543C" w14:textId="77777777" w:rsidR="009D7677" w:rsidRDefault="009D7677" w:rsidP="009D7677">
      <w:pPr>
        <w:pStyle w:val="TextoNormal"/>
      </w:pPr>
      <w:r>
        <w:t>1. El ejercicio de las competencias que corresponden a la Comunidad Autónoma de Galicia para imponer la obligación de restitución de las cosas y reposición a su estado anterior, con la indemnización de los daños irreparables y pérdidas causadas, en el caso de obras y actuaciones contrarias a lo dispuesto en la legislación en materia de costas realizadas en la zona de servidumbre de protección del dominio público marítimo-terrestre, deberá producirse dentro de un plazo de quince años, a contar desde la terminación de las obras o actuaciones contrarias a la legalidad.</w:t>
      </w:r>
    </w:p>
    <w:p w14:paraId="1AA5AF50" w14:textId="77777777" w:rsidR="009D7677" w:rsidRDefault="009D7677" w:rsidP="009D7677">
      <w:pPr>
        <w:pStyle w:val="TextoNormal"/>
      </w:pPr>
    </w:p>
    <w:p w14:paraId="6D7CF9EB" w14:textId="77777777" w:rsidR="009D7677" w:rsidRDefault="009D7677" w:rsidP="009D7677">
      <w:pPr>
        <w:pStyle w:val="TextoNormal"/>
      </w:pPr>
      <w:r>
        <w:t>[…]</w:t>
      </w:r>
    </w:p>
    <w:p w14:paraId="242D2784" w14:textId="77777777" w:rsidR="009D7677" w:rsidRDefault="009D7677" w:rsidP="009D7677">
      <w:pPr>
        <w:pStyle w:val="TextoNormal"/>
      </w:pPr>
    </w:p>
    <w:p w14:paraId="62D79B67" w14:textId="77777777" w:rsidR="009D7677" w:rsidRDefault="009D7677" w:rsidP="009D7677">
      <w:pPr>
        <w:pStyle w:val="TextoNormal"/>
      </w:pPr>
      <w:r>
        <w:t>Disposición transitoria primera. Aplicación de las previsiones de esta ley en cuanto a la restitución o reposición de la legalidad por infracciones reguladas en la normativa en materia de costas cometidas en la zona de servidumbre de protección del dominio público marítimo terrestre</w:t>
      </w:r>
    </w:p>
    <w:p w14:paraId="19AAD6F2" w14:textId="77777777" w:rsidR="009D7677" w:rsidRDefault="009D7677" w:rsidP="009D7677">
      <w:pPr>
        <w:pStyle w:val="TextoNormal"/>
      </w:pPr>
    </w:p>
    <w:p w14:paraId="425807AA" w14:textId="77777777" w:rsidR="009D7677" w:rsidRDefault="009D7677" w:rsidP="009D7677">
      <w:pPr>
        <w:pStyle w:val="TextoNormal"/>
      </w:pPr>
      <w:r>
        <w:t>1. Lo dispuesto en el artículo 10 será aplicable a las obras, actuaciones y construcciones existentes en el momento de la entrada en vigor de esta ley”.</w:t>
      </w:r>
    </w:p>
    <w:p w14:paraId="78340806" w14:textId="77777777" w:rsidR="009D7677" w:rsidRDefault="009D7677" w:rsidP="009D7677">
      <w:pPr>
        <w:pStyle w:val="TextoNormal"/>
      </w:pPr>
    </w:p>
    <w:p w14:paraId="3FB64C1C" w14:textId="06407257" w:rsidR="009D7677" w:rsidRDefault="009D7677" w:rsidP="009D7677">
      <w:pPr>
        <w:pStyle w:val="TextoNormal"/>
      </w:pPr>
      <w:r>
        <w:t xml:space="preserve">El órgano judicial considera que los preceptos cuestionados vulneran los arts. 149.1.23 y 149.1.1 CE de la Constitución española de forma mediata, por oponerse la normativa cuestionada a la previsión de la ley de costas derivada de los arts. 92 y 95 que, frente al plazo de prescripción de quince años fijado en la normativa autonómica gallega para incoar el procedimiento de acción de restitución, establecería un régimen de imprescriptibilidad de este tipo de acciones respecto de las construcciones establecidas en al zona de servidumbre de protección de costa. La Abogacía del Estado y el Ministerio Fiscal sostienen idéntica interpretación y, por tanto, solicitan la declaración de inconstitucionalidad de las disposiciones cuestionadas, mientras que el Parlamento de Galicia y la Xunta de Galicia alegan que no existe previsión de prescripción expresa en la normativa estatal, razón </w:t>
      </w:r>
      <w:r>
        <w:lastRenderedPageBreak/>
        <w:t>por la que no existe oposición alguna entre las disposiciones de la Ley de costas invocadas como parámetro de referencia y las disposiciones autonómicas cuestionadas.</w:t>
      </w:r>
    </w:p>
    <w:p w14:paraId="5299A703" w14:textId="77777777" w:rsidR="009D7677" w:rsidRDefault="009D7677" w:rsidP="009D7677">
      <w:pPr>
        <w:pStyle w:val="TextoNormal"/>
      </w:pPr>
    </w:p>
    <w:p w14:paraId="16D204E9" w14:textId="77777777" w:rsidR="009D7677" w:rsidRDefault="009D7677" w:rsidP="009D7677">
      <w:pPr>
        <w:pStyle w:val="TextoNormal"/>
      </w:pPr>
      <w:r w:rsidRPr="009D7677">
        <w:rPr>
          <w:rStyle w:val="NumeroAFNegritaCaracter"/>
        </w:rPr>
        <w:t>2</w:t>
      </w:r>
      <w:r>
        <w:t xml:space="preserve">. </w:t>
      </w:r>
      <w:r w:rsidRPr="009D7677">
        <w:rPr>
          <w:i/>
        </w:rPr>
        <w:t>Pervivencia de la cuestión de inconstitucionalidad: extinción por pérdida sobrevenida de objeto</w:t>
      </w:r>
    </w:p>
    <w:p w14:paraId="02EFA6D0" w14:textId="77777777" w:rsidR="009D7677" w:rsidRDefault="009D7677" w:rsidP="009D7677">
      <w:pPr>
        <w:pStyle w:val="TextoNormal"/>
      </w:pPr>
    </w:p>
    <w:p w14:paraId="6E87C319" w14:textId="77777777" w:rsidR="009D7677" w:rsidRDefault="009D7677" w:rsidP="009D7677">
      <w:pPr>
        <w:pStyle w:val="TextoNormal"/>
      </w:pPr>
      <w:r>
        <w:t>El conflicto competencial que subyace materialmente en la cuestión de inconstitucionalidad que nos ocupa guarda una identidad sustancial con el planteado en el recurso de inconstitucionalidad núm. 6243-2023 interpuesto por el presidente del Gobierno contra los arts. 10 y 11 y la disposición transitoria primera de la Ley del Parlamento de Galicia 7/2022, de 27 de diciembre, de medidas fiscales y administrativas, y resuelta recientemente por este tribunal en la STC 76/2024, de 8 de mayo.</w:t>
      </w:r>
    </w:p>
    <w:p w14:paraId="6D7ADBD0" w14:textId="77777777" w:rsidR="009D7677" w:rsidRDefault="009D7677" w:rsidP="009D7677">
      <w:pPr>
        <w:pStyle w:val="TextoNormal"/>
      </w:pPr>
    </w:p>
    <w:p w14:paraId="7D705AD4" w14:textId="77777777" w:rsidR="009D7677" w:rsidRDefault="009D7677" w:rsidP="009D7677">
      <w:pPr>
        <w:pStyle w:val="TextoNormal"/>
      </w:pPr>
      <w:r>
        <w:t>En esta sentencia hemos declarado la inconstitucionalidad y nulidad de los arts. 10.1, párrafo primero, y 11 de la Ley del Parlamento de Galicia 7/2022, de 27 de diciembre, de medidas fiscales y administrativas y se ha extendido, por conexión o consecuencia, esta misma declaración de inconstitucionalidad y nulidad a los arts. 10.1, párrafo segundo, 10.2 y 10.3 y a la disposición transitoria primera de la misma Ley del Parlamento de Galicia 7/2022, de 27 de diciembre, de medidas fiscales y administrativas.</w:t>
      </w:r>
    </w:p>
    <w:p w14:paraId="3450DBC0" w14:textId="77777777" w:rsidR="009D7677" w:rsidRDefault="009D7677" w:rsidP="009D7677">
      <w:pPr>
        <w:pStyle w:val="TextoNormal"/>
      </w:pPr>
    </w:p>
    <w:p w14:paraId="4E1961AA" w14:textId="7F3057C9" w:rsidR="009D7677" w:rsidRDefault="009D7677" w:rsidP="009D7677">
      <w:pPr>
        <w:pStyle w:val="TextoNormal"/>
      </w:pPr>
      <w:r>
        <w:t>En consecuencia, los preceptos cuestionados en el presente proceso constitucional han sido ya expulsados del ordenamiento jurídico en los términos señalados por la STC 76/2024. Este pronunciamiento determina, de acuerdo con reiterada doctrina constitucional [entre otras muchas, SSTC 149/2014, de 22 de septiembre, FJ 4, y 153/2019, de 25 de noviembre, FJ único b), y AATC 140/2013, de 3 de junio, FJ único; 101/2017, de 4 de julio, FJ único, y 66/2022, de 7 de abril, FJ 3] la extinción, por desaparición sobrevenida de su objeto, de la presente cuestión de inconstitucionalidad.</w:t>
      </w:r>
    </w:p>
    <w:p w14:paraId="57CADFF8" w14:textId="77777777" w:rsidR="009D7677" w:rsidRDefault="009D7677" w:rsidP="009D7677">
      <w:pPr>
        <w:pStyle w:val="TextoNormal"/>
      </w:pPr>
    </w:p>
    <w:p w14:paraId="7D06A4F0" w14:textId="77777777" w:rsidR="009D7677" w:rsidRDefault="009D7677" w:rsidP="009D7677">
      <w:pPr>
        <w:pStyle w:val="TextoNormalCentrado"/>
        <w:keepNext/>
      </w:pPr>
      <w:r>
        <w:t>FALLO</w:t>
      </w:r>
    </w:p>
    <w:p w14:paraId="7F88C72E" w14:textId="3D4E39A8" w:rsidR="009D7677" w:rsidRDefault="009D7677" w:rsidP="009D7677">
      <w:pPr>
        <w:pStyle w:val="TextoNormalCentrado"/>
        <w:keepNext/>
      </w:pPr>
    </w:p>
    <w:p w14:paraId="4F8910D9" w14:textId="489EDE31" w:rsidR="009D7677" w:rsidRDefault="009D7677" w:rsidP="009D7677">
      <w:pPr>
        <w:pStyle w:val="TextoNormal"/>
      </w:pPr>
      <w:r>
        <w:t>En atención a todo lo expuesto, el Tribunal Constitucional, por la autoridad que le confiere la Constitución de la Nación española, ha decidido declarar extinguida, por desaparición sobrevenida de su objeto, la cuestión de inconstitucionalidad promovida por el Juzgado de lo Contencioso-Administrativo núm. 1 de Pontevedra, respecto del art. 10.1, párrafo primero, y la disposición transitoria primera de la Ley del Parlamento de Galicia 7/2022, de 27 de diciembre, de medidas fiscales y administrativas.</w:t>
      </w:r>
    </w:p>
    <w:p w14:paraId="6329ABD1" w14:textId="77777777" w:rsidR="009D7677" w:rsidRDefault="009D7677" w:rsidP="009D7677">
      <w:pPr>
        <w:pStyle w:val="TextoNormal"/>
      </w:pPr>
    </w:p>
    <w:p w14:paraId="55FB530D" w14:textId="77777777" w:rsidR="009D7677" w:rsidRDefault="009D7677" w:rsidP="009D7677">
      <w:pPr>
        <w:pStyle w:val="TextoNormal"/>
      </w:pPr>
      <w:r>
        <w:t>Publíquese esta sentencia en el “Boletín Oficial del Estado”.</w:t>
      </w:r>
    </w:p>
    <w:p w14:paraId="1CD033B6" w14:textId="77777777" w:rsidR="009D7677" w:rsidRDefault="009D7677" w:rsidP="009D7677">
      <w:pPr>
        <w:pStyle w:val="TextoNormal"/>
      </w:pPr>
      <w:r>
        <w:t>Dada en Madrid, a diecisiete de junio de dos mil veinticuatro.</w:t>
      </w:r>
    </w:p>
    <w:p w14:paraId="4D0B32DE" w14:textId="41AB5813" w:rsidR="009D7677" w:rsidRDefault="009D7677">
      <w:pPr>
        <w:spacing w:after="160" w:line="259" w:lineRule="auto"/>
        <w:rPr>
          <w:rFonts w:ascii="Times New Roman" w:eastAsia="Times New Roman" w:hAnsi="Times New Roman" w:cs="Times New Roman"/>
          <w:sz w:val="24"/>
          <w:szCs w:val="24"/>
          <w:lang w:eastAsia="es-ES"/>
        </w:rPr>
      </w:pPr>
      <w:r>
        <w:br w:type="page"/>
      </w:r>
    </w:p>
    <w:p w14:paraId="382F7838" w14:textId="77777777" w:rsidR="009D7677" w:rsidRDefault="009D7677" w:rsidP="009D7677">
      <w:pPr>
        <w:pStyle w:val="TtuloResolucin"/>
      </w:pPr>
      <w:bookmarkStart w:id="94" w:name="SENTENCIA_2024_92"/>
      <w:r>
        <w:lastRenderedPageBreak/>
        <w:t>SENTENCIA 92/2024, de 18 de junio de 2024</w:t>
      </w:r>
    </w:p>
    <w:bookmarkEnd w:id="94"/>
    <w:p w14:paraId="589832AA" w14:textId="77777777" w:rsidR="009D7677" w:rsidRDefault="009D7677" w:rsidP="009D7677">
      <w:pPr>
        <w:pStyle w:val="TtuloResolucin"/>
      </w:pPr>
      <w:r>
        <w:t>Pleno</w:t>
      </w:r>
    </w:p>
    <w:p w14:paraId="2805D669" w14:textId="77777777" w:rsidR="009D7677" w:rsidRDefault="009D7677" w:rsidP="009D7677">
      <w:pPr>
        <w:pStyle w:val="TtuloBOE"/>
      </w:pPr>
      <w:r>
        <w:t>(BOE núm. 179, de 25 de julio de 2024)</w:t>
      </w:r>
    </w:p>
    <w:p w14:paraId="4A977545" w14:textId="77777777" w:rsidR="009D7677" w:rsidRDefault="009D7677" w:rsidP="009D7677">
      <w:pPr>
        <w:pStyle w:val="TextoNormalCentrado"/>
      </w:pPr>
      <w:r>
        <w:t>ECLI:ES:TC:2024:92</w:t>
      </w:r>
    </w:p>
    <w:p w14:paraId="166E516E" w14:textId="2136B3AB" w:rsidR="009D7677" w:rsidRDefault="009D7677" w:rsidP="009D7677">
      <w:pPr>
        <w:pStyle w:val="TextoNormalCentrado"/>
      </w:pPr>
    </w:p>
    <w:p w14:paraId="4AE2B579" w14:textId="77777777" w:rsidR="009D7677" w:rsidRDefault="009D7677" w:rsidP="009D7677">
      <w:pPr>
        <w:pStyle w:val="SntesisDescriptiva"/>
      </w:pPr>
      <w:r>
        <w:t>Recurso de inconstitucionalidad 3630-2023. Interpuesto por más de cincuenta diputados del Grupo Parlamentario Vox del Congreso en relación con diversos preceptos de la Ley Orgánica 1/2023, de 28 de febrero, por la que se modifica la Ley Orgánica 2/2010, de 3 de marzo, de salud sexual y reproductiva y de la interrupción voluntaria del embarazo.</w:t>
      </w:r>
    </w:p>
    <w:p w14:paraId="1AA453F9" w14:textId="1492480C" w:rsidR="009D7677" w:rsidRDefault="009D7677" w:rsidP="009D7677">
      <w:pPr>
        <w:pStyle w:val="SntesisDescriptiva"/>
      </w:pPr>
    </w:p>
    <w:p w14:paraId="087B76DA" w14:textId="77777777" w:rsidR="009D7677" w:rsidRDefault="009D7677" w:rsidP="009D7677">
      <w:pPr>
        <w:pStyle w:val="SntesisAnaltica"/>
      </w:pPr>
      <w:r>
        <w:t>Valores superiores de libertad y pluralismo político; principio de legalidad; derechos a la igualdad, a la vida y la integridad física y moral, a la libertad ideológica, a la protección de datos y a la educación de los hijos conforme a las convicciones religiosas y morales de los padres; protección de las madres, asistencia a los hijos; deber de neutralidad de las administraciones públicas: constitucionalidad de los preceptos legales relativos a la integración de la perspectiva de género en las políticas públicas, formación en salud sexual y reproductiva, interrupción voluntaria del embarazo de mujeres de entre dieciséis y dieciocho años, supresión del período de reflexión previo a la interrupción voluntaria del embarazo, composición del comité clínico, registro de profesionales objetores de conciencia y exclusión de entidades y organizaciones de medidas de apoyo. Votos particulares.</w:t>
      </w:r>
    </w:p>
    <w:p w14:paraId="21026B70" w14:textId="220A8420" w:rsidR="009D7677" w:rsidRDefault="009D7677" w:rsidP="009D7677">
      <w:pPr>
        <w:pStyle w:val="SntesisAnaltica"/>
      </w:pPr>
    </w:p>
    <w:p w14:paraId="6416CD5F" w14:textId="5BF5ED82" w:rsidR="009D7677" w:rsidRDefault="009D7677" w:rsidP="009D7677">
      <w:pPr>
        <w:pStyle w:val="Extracto"/>
      </w:pPr>
      <w:r>
        <w:t>1.</w:t>
      </w:r>
      <w:r>
        <w:tab/>
        <w:t>La incorporación de la perspectiva de género en los ámbitos de la educación sanitaria sobre salud sexual y reproductiva y de formación de los profesionales de la salud no vulnera los arts. 16.1, sin que quepa admitir que la incorporación de la perspectiva de género implique una finalidad de adoctrinamiento, contraria a la libertad ideológica o que pudiera comprometer la neutralidad ideológica del Estado; como tampoco vulnera los arts.  1.1, 9.3, 16.1 y 103.1 de la Constitución (STC 12/2008) [FJ 3].</w:t>
      </w:r>
    </w:p>
    <w:p w14:paraId="58FAF9AB" w14:textId="77777777" w:rsidR="009D7677" w:rsidRDefault="009D7677" w:rsidP="009D7677">
      <w:pPr>
        <w:pStyle w:val="Extracto"/>
      </w:pPr>
    </w:p>
    <w:p w14:paraId="1AFE90CF" w14:textId="0DEB93F5" w:rsidR="009D7677" w:rsidRDefault="009D7677" w:rsidP="009D7677">
      <w:pPr>
        <w:pStyle w:val="Extracto"/>
      </w:pPr>
      <w:r>
        <w:t>2.</w:t>
      </w:r>
      <w:r>
        <w:tab/>
        <w:t>La regulación de las medidas de fomento, en general, y de los regímenes de ayudas públicas, en particular, entra dentro del margen de libertad de configuración del legislador. Y ello en relación con aquellos regímenes de ayudas que derivan expresamente de mandatos constitucionales específicos (SSTC 77/1985 y 34//2023, ambas en relación con el art. 27.9 CE), y con mayor razón habrá de reconocer al legislador tal margen de decisión en relación con técnicas de fomento de mera configuración legal [FJ 4].</w:t>
      </w:r>
    </w:p>
    <w:p w14:paraId="58380E42" w14:textId="77777777" w:rsidR="009D7677" w:rsidRDefault="009D7677" w:rsidP="009D7677">
      <w:pPr>
        <w:pStyle w:val="Extracto"/>
      </w:pPr>
    </w:p>
    <w:p w14:paraId="6F173995" w14:textId="377975F0" w:rsidR="009D7677" w:rsidRDefault="009D7677" w:rsidP="009D7677">
      <w:pPr>
        <w:pStyle w:val="Extracto"/>
      </w:pPr>
      <w:r>
        <w:t>3.</w:t>
      </w:r>
      <w:r>
        <w:tab/>
        <w:t>Una vez que el legislador define una finalidad de interés general, la plena efectividad de los derechos a la salud sexual y reproductiva y, más en concreto, el derecho a la interrupción voluntaria del embarazo, que encuentra su fundamento constitucional en los arts. 10.1 y 15 CE, no puede estimarse contrario al deber de objetividad que, por parte de la Administración, se arbitren las medidas para fomentar la participación de aquellas organizaciones y entidades que concurren a la satisfacción de dicha finalidad de interés general [FJ 4].</w:t>
      </w:r>
    </w:p>
    <w:p w14:paraId="3F6B29C4" w14:textId="77777777" w:rsidR="009D7677" w:rsidRDefault="009D7677" w:rsidP="009D7677">
      <w:pPr>
        <w:pStyle w:val="Extracto"/>
      </w:pPr>
    </w:p>
    <w:p w14:paraId="3EDB8B4E" w14:textId="3AF1E69C" w:rsidR="009D7677" w:rsidRDefault="009D7677" w:rsidP="009D7677">
      <w:pPr>
        <w:pStyle w:val="Extracto"/>
      </w:pPr>
      <w:r>
        <w:t>4.</w:t>
      </w:r>
      <w:r>
        <w:tab/>
        <w:t xml:space="preserve">Acerca de la incorporación de la educación afectivo-sexual como parte de los contenidos impartidos en las distintas etapas y niveles de enseñanza, la educación, tanto pública como privada, que la Constitución sitúa bajo el control de los </w:t>
      </w:r>
      <w:r>
        <w:lastRenderedPageBreak/>
        <w:t xml:space="preserve">poderes públicos </w:t>
      </w:r>
      <w:r w:rsidRPr="009D7677">
        <w:rPr>
          <w:i/>
        </w:rPr>
        <w:t>ex</w:t>
      </w:r>
      <w:r>
        <w:t xml:space="preserve"> art. 27.8, no es mera transmisión de conocimientos, es también formación humana ex art. 27.2 (STC 34/2023) [FJ 5].</w:t>
      </w:r>
    </w:p>
    <w:p w14:paraId="4E50F5E7" w14:textId="77777777" w:rsidR="009D7677" w:rsidRDefault="009D7677" w:rsidP="009D7677">
      <w:pPr>
        <w:pStyle w:val="Extracto"/>
      </w:pPr>
    </w:p>
    <w:p w14:paraId="152FF464" w14:textId="7D156D38" w:rsidR="009D7677" w:rsidRDefault="009D7677" w:rsidP="009D7677">
      <w:pPr>
        <w:pStyle w:val="Extracto"/>
      </w:pPr>
      <w:r>
        <w:t>5.</w:t>
      </w:r>
      <w:r>
        <w:tab/>
        <w:t xml:space="preserve">El respeto a las creencias religiosas o morales de los padres implica que el Estado, al cumplir las funciones por él asumidas en materia de educación y enseñanza, vela por que las informaciones o conocimientos sean difundidas de manera objetiva, crítica y pluralista. Se prohíbe al Estado perseguir una finalidad de adoctrinamiento que pueda ser considerada como no respetuosa de las convicciones religiosas y filosóficas de los padres (STEDH de 7 de diciembre de 1976, </w:t>
      </w:r>
      <w:r w:rsidRPr="009D7677">
        <w:rPr>
          <w:i/>
        </w:rPr>
        <w:t>Kjeldsen, Busk Madsen y Pedersen c. Dinamarca</w:t>
      </w:r>
      <w:r>
        <w:t>, § 53) [FJ 5].</w:t>
      </w:r>
    </w:p>
    <w:p w14:paraId="75A97C9B" w14:textId="77777777" w:rsidR="009D7677" w:rsidRDefault="009D7677" w:rsidP="009D7677">
      <w:pPr>
        <w:pStyle w:val="Extracto"/>
      </w:pPr>
    </w:p>
    <w:p w14:paraId="5CB5163B" w14:textId="13626E4D" w:rsidR="009D7677" w:rsidRDefault="009D7677" w:rsidP="009D7677">
      <w:pPr>
        <w:pStyle w:val="Extracto"/>
      </w:pPr>
      <w:r>
        <w:t>6.</w:t>
      </w:r>
      <w:r>
        <w:tab/>
        <w:t xml:space="preserve">La educación sexual para cada grupo de edad es necesaria para permitir a los niños afrontar críticamente las influencias de la sociedad en vez de evitarlas y tiene como objetivo educar a ciudadanos responsables y emancipados capaces de participar en los procesos democráticos de una sociedad pluralista (Decisión del TEDH, de 13 de septiembre de 2011, asunto </w:t>
      </w:r>
      <w:r w:rsidRPr="009D7677">
        <w:rPr>
          <w:i/>
        </w:rPr>
        <w:t>Dojan y otros c. Alemania</w:t>
      </w:r>
      <w:r>
        <w:t>) [FJ 5].</w:t>
      </w:r>
    </w:p>
    <w:p w14:paraId="02980785" w14:textId="77777777" w:rsidR="009D7677" w:rsidRDefault="009D7677" w:rsidP="009D7677">
      <w:pPr>
        <w:pStyle w:val="Extracto"/>
      </w:pPr>
    </w:p>
    <w:p w14:paraId="4EDE6920" w14:textId="0678A56A" w:rsidR="009D7677" w:rsidRDefault="009D7677" w:rsidP="009D7677">
      <w:pPr>
        <w:pStyle w:val="Extracto"/>
      </w:pPr>
      <w:r>
        <w:t>7.</w:t>
      </w:r>
      <w:r>
        <w:tab/>
        <w:t>No es contrario a la Convención de los derechos del niño que el legislador considere oportuno someter a la jurisdicción penal a un mayor de dieciséis años, pero menor de dieciocho. La Constitución no exige equiparar la edad a la que se alcanza la mayoría de edad con aquella en la que el legislador penal puede presumir en los menores capacidad para infringir la ley y ser, por ello, destinatarios de sus normas (SSTC 286/1991 y 194/2001) [FJ 6].</w:t>
      </w:r>
    </w:p>
    <w:p w14:paraId="74BE9D65" w14:textId="77777777" w:rsidR="009D7677" w:rsidRDefault="009D7677" w:rsidP="009D7677">
      <w:pPr>
        <w:pStyle w:val="Extracto"/>
      </w:pPr>
    </w:p>
    <w:p w14:paraId="28E8D7CC" w14:textId="33755E36" w:rsidR="009D7677" w:rsidRDefault="009D7677" w:rsidP="009D7677">
      <w:pPr>
        <w:pStyle w:val="Extracto"/>
      </w:pPr>
      <w:r>
        <w:t>8.</w:t>
      </w:r>
      <w:r>
        <w:tab/>
        <w:t>Desde la perspectiva del art. 16 CE los menores de edad son titulares plenos de sus derechos a la libertad de creencias y a su integridad moral, sin que su ejercicio y la facultad de disponer sobre ellos deba abandonarse a lo que al respecto puedan decidir aquellos que tengan atribuida su guarda y custodia o su patria potestad, cuya incidencia sobre el disfrute del menor de sus derechos fundamentales se modulará en función de la madurez del niño y los distintos estadios en que la legislación gradúa su capacidad de obrar (STC 141/2000) [FJ 6].</w:t>
      </w:r>
    </w:p>
    <w:p w14:paraId="3D2F33A0" w14:textId="77777777" w:rsidR="009D7677" w:rsidRDefault="009D7677" w:rsidP="009D7677">
      <w:pPr>
        <w:pStyle w:val="Extracto"/>
      </w:pPr>
    </w:p>
    <w:p w14:paraId="5CDFDB51" w14:textId="38726487" w:rsidR="009D7677" w:rsidRDefault="009D7677" w:rsidP="009D7677">
      <w:pPr>
        <w:pStyle w:val="Extracto"/>
      </w:pPr>
      <w:r>
        <w:t>9.</w:t>
      </w:r>
      <w:r>
        <w:tab/>
        <w:t>En el ámbito sanitario, la minoría de edad no implica per se la falta de capacidad para la prestación del consentimiento informado, ni autoriza el recurso automático al consentimiento por representación —otorgado por los representantes legales de la persona menor o, en caso de desacuerdo, por la autoridad judicial—. Para que el consentimiento dado por representación quede dentro de la cobertura de la norma habilitante, es preciso que la persona menor de edad carezca de capacidad intelectual o emocional necesarias para comprender el alcance de la intervención (STC 148/2023) [FJ 6].</w:t>
      </w:r>
    </w:p>
    <w:p w14:paraId="3D180295" w14:textId="77777777" w:rsidR="009D7677" w:rsidRDefault="009D7677" w:rsidP="009D7677">
      <w:pPr>
        <w:pStyle w:val="Extracto"/>
      </w:pPr>
    </w:p>
    <w:p w14:paraId="5C5D24E6" w14:textId="26218434" w:rsidR="009D7677" w:rsidRDefault="009D7677" w:rsidP="009D7677">
      <w:pPr>
        <w:pStyle w:val="Extracto"/>
      </w:pPr>
      <w:r>
        <w:t>10.</w:t>
      </w:r>
      <w:r>
        <w:tab/>
        <w:t>La decisión acerca de continuar adelante o no con la gestación tiene importantes consecuencias en todos los órdenes para la vida de la mujer y condiciona su proyecto de vida. La regulación de la interrupción voluntaria del embarazo debe inspirarse en el respeto a la dignidad de la mujer y al libre desarrollo de la personalidad (STC 44/2023) [FJ 6].</w:t>
      </w:r>
    </w:p>
    <w:p w14:paraId="2727D045" w14:textId="77777777" w:rsidR="009D7677" w:rsidRDefault="009D7677" w:rsidP="009D7677">
      <w:pPr>
        <w:pStyle w:val="Extracto"/>
      </w:pPr>
    </w:p>
    <w:p w14:paraId="34D9699D" w14:textId="13B56BA7" w:rsidR="009D7677" w:rsidRDefault="009D7677" w:rsidP="009D7677">
      <w:pPr>
        <w:pStyle w:val="Extracto"/>
      </w:pPr>
      <w:r>
        <w:lastRenderedPageBreak/>
        <w:t>11.</w:t>
      </w:r>
      <w:r>
        <w:tab/>
        <w:t xml:space="preserve">Todo lo relacionado con el embarazo y parto debe entenderse vinculado, fundamentalmente, a la vida privada de la mujer; y, por tanto, a su derecho a la intimidad personal </w:t>
      </w:r>
      <w:r w:rsidRPr="009D7677">
        <w:rPr>
          <w:i/>
        </w:rPr>
        <w:t>ex</w:t>
      </w:r>
      <w:r>
        <w:t xml:space="preserve"> art. 18.1 CE (STC 66/2022) [FJ 6].</w:t>
      </w:r>
    </w:p>
    <w:p w14:paraId="510C4404" w14:textId="77777777" w:rsidR="009D7677" w:rsidRDefault="009D7677" w:rsidP="009D7677">
      <w:pPr>
        <w:pStyle w:val="Extracto"/>
      </w:pPr>
    </w:p>
    <w:p w14:paraId="5C7D476C" w14:textId="2CB5DDB2" w:rsidR="009D7677" w:rsidRDefault="009D7677" w:rsidP="009D7677">
      <w:pPr>
        <w:pStyle w:val="Extracto"/>
      </w:pPr>
      <w:r>
        <w:t>12.</w:t>
      </w:r>
      <w:r>
        <w:tab/>
        <w:t>Resulta constitucionalmente admisible la opción legislativa de asegurar que las mujeres dispongan de la libertad de decidir, sin obstáculos ni injerencias externas, desde los dieciséis años, edad a partir de la cual nuestro ordenamiento va ampliando las esferas en las que los menores pueden ejercitar válidamente sus derechos y realizar determinados actos jurídicos por sí mismos, siendo especialmente destacable —por su relación con la interrupción voluntaria del embarazo— la relativa a las intervenciones médicas [FJ 6].</w:t>
      </w:r>
    </w:p>
    <w:p w14:paraId="175C24A9" w14:textId="77777777" w:rsidR="009D7677" w:rsidRDefault="009D7677" w:rsidP="009D7677">
      <w:pPr>
        <w:pStyle w:val="Extracto"/>
      </w:pPr>
    </w:p>
    <w:p w14:paraId="581C1FAE" w14:textId="0E228E90" w:rsidR="009D7677" w:rsidRDefault="009D7677" w:rsidP="009D7677">
      <w:pPr>
        <w:pStyle w:val="Extracto"/>
      </w:pPr>
      <w:r>
        <w:t>13.</w:t>
      </w:r>
      <w:r>
        <w:tab/>
        <w:t>En línea con la concepción gradual de la capacidad de las personas menores de edad, las necesidades de protección de las mujeres menores de edad por parte de sus progenitores o representantes legales, derivadas del mandato del art. 39.3 CE, van desapareciendo conforme se aproximan a la mayor edad, lo que se hace todavía más patente cuando se ven afectadas decisiones personalísimas; como lo son las relativas a la gestación y la maternidad, estrechamente ligadas a la intimidad de la mujer y que condicionan inexorablemente el desarrollo de su personalidad y su proyecto vital (STC 99/2019) [FJ 6].</w:t>
      </w:r>
    </w:p>
    <w:p w14:paraId="1D0BE9F1" w14:textId="77777777" w:rsidR="009D7677" w:rsidRDefault="009D7677" w:rsidP="009D7677">
      <w:pPr>
        <w:pStyle w:val="Extracto"/>
      </w:pPr>
    </w:p>
    <w:p w14:paraId="2EBDF338" w14:textId="552E31E2" w:rsidR="009D7677" w:rsidRDefault="009D7677" w:rsidP="009D7677">
      <w:pPr>
        <w:pStyle w:val="Extracto"/>
      </w:pPr>
      <w:r>
        <w:t>14.</w:t>
      </w:r>
      <w:r>
        <w:tab/>
        <w:t xml:space="preserve">El sistema de plazos no implica la desprotección del </w:t>
      </w:r>
      <w:r w:rsidRPr="009D7677">
        <w:rPr>
          <w:i/>
        </w:rPr>
        <w:t xml:space="preserve">nasciturus </w:t>
      </w:r>
      <w:r>
        <w:t>ni contradice el art. 15 CE; es conforme con nuestro texto constitucional y con la doctrina de este tribunal, ya que satisface el deber estatal de protección de la vida prenatal —con medidas preventivas y sancionadoras, cuyo peso varía conforme avanza el proceso de gestación— y lo hace sin vulnerar los derechos de la mujer (STC 44/2023) [FJ 7].</w:t>
      </w:r>
    </w:p>
    <w:p w14:paraId="77378707" w14:textId="77777777" w:rsidR="009D7677" w:rsidRDefault="009D7677" w:rsidP="009D7677">
      <w:pPr>
        <w:pStyle w:val="Extracto"/>
      </w:pPr>
    </w:p>
    <w:p w14:paraId="54D76896" w14:textId="712D679C" w:rsidR="009D7677" w:rsidRDefault="009D7677" w:rsidP="009D7677">
      <w:pPr>
        <w:pStyle w:val="Extracto"/>
      </w:pPr>
      <w:r>
        <w:t>15.</w:t>
      </w:r>
      <w:r>
        <w:tab/>
        <w:t>El consentimiento respecto de injerencias corporales constituye una garantía inherente al derecho a la integridad física (art. 15 CE) y para que dicho consentimiento pueda considerarse verdaderamente prestado de forma voluntaria, libre e informada, es preciso que el paciente cuente con información médica suficiente sobre la intervención a la que va a someterse (STC 37/2011 y STEDH de 30 de octubre de 2012,</w:t>
      </w:r>
      <w:r w:rsidRPr="009D7677">
        <w:rPr>
          <w:i/>
        </w:rPr>
        <w:t xml:space="preserve"> P. y S., c. Polonia</w:t>
      </w:r>
      <w:r>
        <w:t>, § 111) [FJ 7].</w:t>
      </w:r>
    </w:p>
    <w:p w14:paraId="17678CC9" w14:textId="77777777" w:rsidR="009D7677" w:rsidRDefault="009D7677" w:rsidP="009D7677">
      <w:pPr>
        <w:pStyle w:val="Extracto"/>
      </w:pPr>
    </w:p>
    <w:p w14:paraId="1AF91605" w14:textId="6BB79216" w:rsidR="009D7677" w:rsidRDefault="009D7677" w:rsidP="009D7677">
      <w:pPr>
        <w:pStyle w:val="Extracto"/>
      </w:pPr>
      <w:r>
        <w:t>16.</w:t>
      </w:r>
      <w:r>
        <w:tab/>
        <w:t>Los plazos de reflexión o de espera solo resultan admisibles si operan como garantía del derecho a la integridad física de la persona concernida y siempre que el plazo establecido se traduzca en una espera previa razonable, proporcionada y no excesiva [FJ 7].</w:t>
      </w:r>
    </w:p>
    <w:p w14:paraId="6230D98C" w14:textId="77777777" w:rsidR="009D7677" w:rsidRDefault="009D7677" w:rsidP="009D7677">
      <w:pPr>
        <w:pStyle w:val="Extracto"/>
      </w:pPr>
    </w:p>
    <w:p w14:paraId="104D1218" w14:textId="02259FA8" w:rsidR="009D7677" w:rsidRDefault="009D7677" w:rsidP="009D7677">
      <w:pPr>
        <w:pStyle w:val="Extracto"/>
      </w:pPr>
      <w:r>
        <w:t>17.</w:t>
      </w:r>
      <w:r>
        <w:tab/>
        <w:t>Una vez cubiertas las garantías imprescindibles para el consentimiento sobre una intervención corporal, el establecimiento de requisitos adicionales de información, como sería la relativa a las prestaciones y ayudas públicas de apoyo a la maternidad, constituye una opción constitucionalmente legítima que queda dentro del margen de decisión del legislador. Sin que resulte admisible la introducción de requisitos adicionales de información previa que no resulten acordes a las exigencias del principio de proporcionalidad o que constituyan injerencias di</w:t>
      </w:r>
      <w:r>
        <w:lastRenderedPageBreak/>
        <w:t>rigidas a modificar el sentido de la libre decisión sobre la interrupción o la continuación de la gestación que pertenece a la mujer embarazada [FJ 7].</w:t>
      </w:r>
    </w:p>
    <w:p w14:paraId="2E5480CC" w14:textId="77777777" w:rsidR="009D7677" w:rsidRDefault="009D7677" w:rsidP="009D7677">
      <w:pPr>
        <w:pStyle w:val="Extracto"/>
      </w:pPr>
    </w:p>
    <w:p w14:paraId="2EC2DA2D" w14:textId="0DEB9091" w:rsidR="009D7677" w:rsidRDefault="009D7677" w:rsidP="009D7677">
      <w:pPr>
        <w:pStyle w:val="Extracto"/>
      </w:pPr>
      <w:r>
        <w:t>18.</w:t>
      </w:r>
      <w:r>
        <w:tab/>
        <w:t xml:space="preserve">En el contexto de la autorización de la interrupción del embarazo al detectarse en el </w:t>
      </w:r>
      <w:r w:rsidRPr="009D7677">
        <w:rPr>
          <w:i/>
        </w:rPr>
        <w:t>nasciturus</w:t>
      </w:r>
      <w:r>
        <w:t xml:space="preserve"> una enfermedad extremadamente grave e incurable, debe proporcionarse a la mujer embarazada, destinataria de la prestación, la tranquilidad y la certidumbre de que el juicio clínico se emitirá con objetividad e imparcialidad y con arreglo a criterios médicos por profesionales sanitarios libres de cualquier posible conflicto interno motivado por razones de conciencia [FJ 8].</w:t>
      </w:r>
    </w:p>
    <w:p w14:paraId="5AA56A68" w14:textId="77777777" w:rsidR="009D7677" w:rsidRDefault="009D7677" w:rsidP="009D7677">
      <w:pPr>
        <w:pStyle w:val="Extracto"/>
      </w:pPr>
    </w:p>
    <w:p w14:paraId="10D292E2" w14:textId="211CD08B" w:rsidR="009D7677" w:rsidRDefault="009D7677" w:rsidP="009D7677">
      <w:pPr>
        <w:pStyle w:val="Extracto"/>
      </w:pPr>
      <w:r>
        <w:t>19.</w:t>
      </w:r>
      <w:r>
        <w:tab/>
        <w:t>El legislador debe reconocer el carácter moralmente controvertido de ciertas decisiones normativas sobre asuntos vitales y permitir, con las debidas garantías para el interés general, que el individuo inicialmente obligado llegue a quedar exento de cumplir con un mandato no conciliable con sus más arraigadas convicciones (STC 19/2023). Tratándose de un derecho constitucional autónomo de configuración legal (STC 94/2023), corresponde al legislador definir las situaciones en las que puede producirse este conflicto anímico motivado por razones ideológicas, religiosas o morales, así como el contenido, extensión y  límites de la objeción de conciencia, con las debidas garantías para el interés general [FJ 8].</w:t>
      </w:r>
    </w:p>
    <w:p w14:paraId="68F7D654" w14:textId="77777777" w:rsidR="009D7677" w:rsidRDefault="009D7677" w:rsidP="009D7677">
      <w:pPr>
        <w:pStyle w:val="Extracto"/>
      </w:pPr>
    </w:p>
    <w:p w14:paraId="4BEE384B" w14:textId="78CEDDE5" w:rsidR="009D7677" w:rsidRDefault="009D7677" w:rsidP="009D7677">
      <w:pPr>
        <w:pStyle w:val="Extracto"/>
      </w:pPr>
      <w:r>
        <w:t>20.</w:t>
      </w:r>
      <w:r>
        <w:tab/>
        <w:t>Se niega el carácter discriminatorio de la creación de registros de objetores de conciencia porque: (a) objetivamente, la situación de quien ejercita la objeción de conciencia para eximirse de una obligación legal no es la misma que la de quien no ejercita tal derecho; y (b) en todo caso, se persigue la finalidad legítima consistente en lograr el equilibrio entre el respeto del derecho de los objetores y la correcta organización de los servicios sanitarios, de modo que los derechos de las mujeres no se vean comprometidos (STC 44/2023) [FJ 9].</w:t>
      </w:r>
    </w:p>
    <w:p w14:paraId="78DB3B5E" w14:textId="77777777" w:rsidR="009D7677" w:rsidRDefault="009D7677" w:rsidP="009D7677">
      <w:pPr>
        <w:pStyle w:val="Extracto"/>
      </w:pPr>
    </w:p>
    <w:p w14:paraId="3C13C8F5" w14:textId="77777777" w:rsidR="009D7677" w:rsidRDefault="009D7677" w:rsidP="009D7677">
      <w:pPr>
        <w:pStyle w:val="Extracto"/>
      </w:pPr>
    </w:p>
    <w:p w14:paraId="3175E893" w14:textId="77777777" w:rsidR="009D7677" w:rsidRDefault="009D7677" w:rsidP="009D7677">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56DB1B56" w14:textId="61771BE4" w:rsidR="009D7677" w:rsidRDefault="009D7677" w:rsidP="009D7677">
      <w:pPr>
        <w:pStyle w:val="TextoNormal"/>
      </w:pPr>
    </w:p>
    <w:p w14:paraId="1BC9CEDB" w14:textId="77777777" w:rsidR="009D7677" w:rsidRDefault="009D7677" w:rsidP="009D7677">
      <w:pPr>
        <w:pStyle w:val="TextoNormalCentrado"/>
        <w:keepNext/>
      </w:pPr>
      <w:r>
        <w:t>EN NOMBRE DEL REY</w:t>
      </w:r>
    </w:p>
    <w:p w14:paraId="75DAA240" w14:textId="5F8F695C" w:rsidR="009D7677" w:rsidRDefault="009D7677" w:rsidP="009D7677">
      <w:pPr>
        <w:pStyle w:val="TextoNormalCentrado"/>
        <w:keepNext/>
      </w:pPr>
    </w:p>
    <w:p w14:paraId="414DA6DC" w14:textId="77777777" w:rsidR="009D7677" w:rsidRDefault="009D7677" w:rsidP="009D7677">
      <w:pPr>
        <w:pStyle w:val="TextoNormalCentrado"/>
        <w:keepNext/>
      </w:pPr>
    </w:p>
    <w:p w14:paraId="45243CC5" w14:textId="77777777" w:rsidR="009D7677" w:rsidRDefault="009D7677" w:rsidP="009D7677">
      <w:pPr>
        <w:pStyle w:val="TextoNormal"/>
      </w:pPr>
      <w:r>
        <w:t>la siguiente</w:t>
      </w:r>
    </w:p>
    <w:p w14:paraId="132F1462" w14:textId="102DB923" w:rsidR="009D7677" w:rsidRDefault="009D7677" w:rsidP="009D7677">
      <w:pPr>
        <w:pStyle w:val="TextoNormal"/>
      </w:pPr>
    </w:p>
    <w:p w14:paraId="2BFFD884" w14:textId="77777777" w:rsidR="009D7677" w:rsidRDefault="009D7677" w:rsidP="009D7677">
      <w:pPr>
        <w:pStyle w:val="TextoNormalCentrado"/>
        <w:keepNext/>
      </w:pPr>
      <w:r>
        <w:t>SENTENCIA</w:t>
      </w:r>
    </w:p>
    <w:p w14:paraId="2A2F4EF9" w14:textId="73F57E6C" w:rsidR="009D7677" w:rsidRDefault="009D7677" w:rsidP="009D7677">
      <w:pPr>
        <w:pStyle w:val="TextoNormalCentrado"/>
        <w:keepNext/>
      </w:pPr>
    </w:p>
    <w:p w14:paraId="6821C34C" w14:textId="77777777" w:rsidR="009D7677" w:rsidRDefault="009D7677" w:rsidP="009D7677">
      <w:pPr>
        <w:pStyle w:val="TextoNormal"/>
      </w:pPr>
      <w:r>
        <w:t>En el recurso de inconstitucionalidad núm. 3630-2023, interpuesto por cincuenta y dos diputados del Grupo Parlamentario Vox del Congreso de los Diputados, contra diversos preceptos de la Ley Orgánica 1/2023, de 28 de febrero, por la que se modifica la Ley Orgánica 2/2010, de 3 de marzo, de salud sexual y reproductiva y de la interrupción volunta</w:t>
      </w:r>
      <w:r>
        <w:lastRenderedPageBreak/>
        <w:t>ria del embarazo. Ha comparecido y formulado alegaciones la Abogacía del Estado. Ha sido ponente la magistrada doña Laura Díez Bueso.</w:t>
      </w:r>
    </w:p>
    <w:p w14:paraId="72D352E7" w14:textId="6589878B" w:rsidR="009D7677" w:rsidRDefault="009D7677" w:rsidP="009D7677">
      <w:pPr>
        <w:pStyle w:val="TextoNormal"/>
      </w:pPr>
    </w:p>
    <w:p w14:paraId="07C27699" w14:textId="77777777" w:rsidR="009D7677" w:rsidRDefault="009D7677" w:rsidP="009D7677">
      <w:pPr>
        <w:pStyle w:val="TextoNormalNegritaCentrado"/>
        <w:keepNext/>
      </w:pPr>
      <w:r>
        <w:t>I. Antecedentes</w:t>
      </w:r>
    </w:p>
    <w:p w14:paraId="0CC3DBBB" w14:textId="50D147F6" w:rsidR="009D7677" w:rsidRDefault="009D7677" w:rsidP="009D7677">
      <w:pPr>
        <w:pStyle w:val="TextoNormalNegritaCentrado"/>
        <w:keepNext/>
      </w:pPr>
    </w:p>
    <w:p w14:paraId="0E4188DA" w14:textId="2B61D3E1" w:rsidR="009D7677" w:rsidRDefault="009D7677" w:rsidP="009D7677">
      <w:pPr>
        <w:pStyle w:val="TextoNormal"/>
      </w:pPr>
      <w:r w:rsidRPr="009D7677">
        <w:rPr>
          <w:rStyle w:val="NumeroAFNegritaCaracter"/>
        </w:rPr>
        <w:t>1</w:t>
      </w:r>
      <w:r>
        <w:t>. Mediante escrito que tuvo entrada en el registro general de este tribunal el día 29 de mayo de 2023, don Juan José Aizcorbe Torra, diputado y comisionado por otros cincuenta y un diputados del Grupo Parlamentario Vox del Congreso de los Diputados, interpuso recurso de inconstitucionalidad contra el artículo único, apartados tercero, sexto, séptimo, octavo, noveno, undécimo, duodécimo, décimo tercero, décimo cuarto, décimo noveno y vigésimo segundo, y la disposición final segunda de la Ley Orgánica 1/2023, de 28 de febrero, por la que se modifica la Ley Orgánica 2/2010, de 3 de marzo, de salud sexual y reproductiva y de la interrupción voluntaria del embarazo.</w:t>
      </w:r>
    </w:p>
    <w:p w14:paraId="18324E12" w14:textId="77777777" w:rsidR="009D7677" w:rsidRDefault="009D7677" w:rsidP="009D7677">
      <w:pPr>
        <w:pStyle w:val="TextoNormal"/>
      </w:pPr>
    </w:p>
    <w:p w14:paraId="1A0F4965" w14:textId="77777777" w:rsidR="009D7677" w:rsidRDefault="009D7677" w:rsidP="009D7677">
      <w:pPr>
        <w:pStyle w:val="TextoNormal"/>
      </w:pPr>
      <w:r w:rsidRPr="009D7677">
        <w:rPr>
          <w:rStyle w:val="NumeroAFNegritaCaracter"/>
        </w:rPr>
        <w:t>2</w:t>
      </w:r>
      <w:r>
        <w:t>. La impugnación se fundamenta en los motivos que se resumen a continuación.</w:t>
      </w:r>
    </w:p>
    <w:p w14:paraId="4F854801" w14:textId="77777777" w:rsidR="009D7677" w:rsidRDefault="009D7677" w:rsidP="009D7677">
      <w:pPr>
        <w:pStyle w:val="TextoNormal"/>
      </w:pPr>
    </w:p>
    <w:p w14:paraId="42106638" w14:textId="77777777" w:rsidR="009D7677" w:rsidRDefault="009D7677" w:rsidP="009D7677">
      <w:pPr>
        <w:pStyle w:val="TextoNormal"/>
      </w:pPr>
      <w:r>
        <w:t xml:space="preserve">El recurso de inconstitucionalidad comienza remitiéndose a la STC 53/1985, de 11 de abril, y trascribiendo los pasajes de esta que estima oportunos, para concluir a partir de los mismos que la protección del </w:t>
      </w:r>
      <w:r w:rsidRPr="009D7677">
        <w:rPr>
          <w:i/>
        </w:rPr>
        <w:t>nasciturus</w:t>
      </w:r>
      <w:r>
        <w:t xml:space="preserve"> es un bien constitucionalmente protegido por el art. 15 CE, por lo que en nuestro Derecho no cabe el aborto libre o basado en un sistema de plazos. Después de este apartado introductorio, el recurso se fundamenta en ocho motivos de impugnación, en los que agrupa las tachas de inconstitucionalidad que dirige contra cada precepto o grupo de preceptos recurridos.</w:t>
      </w:r>
    </w:p>
    <w:p w14:paraId="2E0ACECA" w14:textId="77777777" w:rsidR="009D7677" w:rsidRDefault="009D7677" w:rsidP="009D7677">
      <w:pPr>
        <w:pStyle w:val="TextoNormal"/>
      </w:pPr>
    </w:p>
    <w:p w14:paraId="442DDE9F" w14:textId="77777777" w:rsidR="009D7677" w:rsidRDefault="009D7677" w:rsidP="009D7677">
      <w:pPr>
        <w:pStyle w:val="TextoNormal"/>
      </w:pPr>
      <w:r>
        <w:t xml:space="preserve">a) Impugna los apartados tercero, sexto, séptimo, octavo y noveno del artículo único de la Ley Orgánica 1/2023, en relación con la nueva redacción que dan a los arts. 3.1 c); 5.1 f); 7 </w:t>
      </w:r>
      <w:r w:rsidRPr="009D7677">
        <w:rPr>
          <w:i/>
        </w:rPr>
        <w:t>bis</w:t>
      </w:r>
      <w:r>
        <w:t xml:space="preserve"> k); 10 </w:t>
      </w:r>
      <w:r w:rsidRPr="009D7677">
        <w:rPr>
          <w:i/>
        </w:rPr>
        <w:t>ter</w:t>
      </w:r>
      <w:r>
        <w:t xml:space="preserve">; 11.3; 11.4, párrafo segundo, y 11 </w:t>
      </w:r>
      <w:r w:rsidRPr="009D7677">
        <w:rPr>
          <w:i/>
        </w:rPr>
        <w:t>bis</w:t>
      </w:r>
      <w:r>
        <w:t>, apartados primero y segundo de la Ley Orgánica 2/2010. La impugnación de estos apartados se debe a que los mismos obligan a las administraciones públicas a que, en sus estrategias y políticas públicas, adopten el enfoque o perspectiva de género. Entienden los diputados recurrentes que la perspectiva de género es una visión ideológica de concebir diversos aspectos de la realidad que las instituciones públicas no deberían nunca asumir como propia. Defienden los recurrentes que no puede haber una “doctrina o enfoque oficial” en cuestiones que implican una dimensión moral.</w:t>
      </w:r>
    </w:p>
    <w:p w14:paraId="6D594BC8" w14:textId="77777777" w:rsidR="009D7677" w:rsidRDefault="009D7677" w:rsidP="009D7677">
      <w:pPr>
        <w:pStyle w:val="TextoNormal"/>
      </w:pPr>
    </w:p>
    <w:p w14:paraId="210F7620" w14:textId="77777777" w:rsidR="009D7677" w:rsidRDefault="009D7677" w:rsidP="009D7677">
      <w:pPr>
        <w:pStyle w:val="TextoNormal"/>
      </w:pPr>
      <w:r>
        <w:t>A juicio de los demandantes, la exigencia contenida en los apartados recurridos de que las estrategias y políticas públicas deban necesariamente incorporar el enfoque o la perspectiva de género, vulnera los principios de libertad y pluralismo político (art. 1.1 CE), el derecho a la libertad ideológica (art. 16.1 CE), el principio de legalidad (art. 9.3 CE) y el deber de neutralidad y objetividad que debe presidir la actuación de las administraciones públicas (art. 103.1 CE, en relación con las SSTC 5/1981, de 13 de febrer, y 190/2001, de 1 de octubre).</w:t>
      </w:r>
    </w:p>
    <w:p w14:paraId="74EEA470" w14:textId="77777777" w:rsidR="009D7677" w:rsidRDefault="009D7677" w:rsidP="009D7677">
      <w:pPr>
        <w:pStyle w:val="TextoNormal"/>
      </w:pPr>
    </w:p>
    <w:p w14:paraId="100E37E3" w14:textId="77777777" w:rsidR="009D7677" w:rsidRDefault="009D7677" w:rsidP="009D7677">
      <w:pPr>
        <w:pStyle w:val="TextoNormal"/>
      </w:pPr>
      <w:r>
        <w:t xml:space="preserve">b) El segundo motivo de impugnación se dirige contra los apartados sexto y vigésimo segundo del artículo único de la Ley Orgánica 1/2023, por los que se da redacción a los arts. 6 y 26 de la Ley Orgánica 2/2010. Entiende que los últimos incisos de estos preceptos, en virtud de los cuales se excluyen de las medidas de apoyo, promoción y ayuda a </w:t>
      </w:r>
      <w:r>
        <w:lastRenderedPageBreak/>
        <w:t>distintas entidades previstas en los mismos a “aquellas organizaciones contrarias al derecho recogido en la presente ley orgánica de interrupción voluntaria del embarazo”, vulneran los arts. 9.3, 14, 16.1 y 103.1 CE, en relación con el principio de interdicción de la arbitrariedad de los poderes públicos, el derecho a la igualdad y a la no discriminación por razón de opinión, el derecho a la libertad ideológica y el deber de neutralidad de las administraciones públicas.</w:t>
      </w:r>
    </w:p>
    <w:p w14:paraId="10CC2E8C" w14:textId="77777777" w:rsidR="009D7677" w:rsidRDefault="009D7677" w:rsidP="009D7677">
      <w:pPr>
        <w:pStyle w:val="TextoNormal"/>
      </w:pPr>
    </w:p>
    <w:p w14:paraId="41EF04C0" w14:textId="77777777" w:rsidR="009D7677" w:rsidRDefault="009D7677" w:rsidP="009D7677">
      <w:pPr>
        <w:pStyle w:val="TextoNormal"/>
      </w:pPr>
      <w:r>
        <w:t>Tras criticar la falta de rigor técnico de los preceptos recurridos, porque no especifican qué ha de entenderse por contrario “al derecho recogido en la presente ley”, sostienen que los incisos impugnados excluyen de las medidas de fomento, promoción y apoyo no a las entidades que impidan o dificulten el ejercicio del aborto, sino que simplemente sean “contrarias” a él. Entienden los recurrentes que al denegar el apoyo y promoción a unas entidades por sus ideas —y por tanto, las de las personas que las componen— se les está otorgando un trato discriminatorio. Además, la diferencia de trato por motivos ideológicos constituiría una vulneración del derecho a la libertad ideológica y quebraría los deberes de objetividad y neutralidad que la Constitución impone a los poderes públicos. Afirman que se trata una decisión del legislador arbitraria y carente de justificación racional (STC 212/1996, de 19 de diciembre).</w:t>
      </w:r>
    </w:p>
    <w:p w14:paraId="5FC1DF46" w14:textId="77777777" w:rsidR="009D7677" w:rsidRDefault="009D7677" w:rsidP="009D7677">
      <w:pPr>
        <w:pStyle w:val="TextoNormal"/>
      </w:pPr>
    </w:p>
    <w:p w14:paraId="046809CF" w14:textId="77777777" w:rsidR="009D7677" w:rsidRDefault="009D7677" w:rsidP="009D7677">
      <w:pPr>
        <w:pStyle w:val="TextoNormal"/>
      </w:pPr>
      <w:r>
        <w:t>Concluye el motivo señalando que el tribunal debe ser muy cuidadoso con la doctrina que sienta sobre esta cuestión, pues que un texto legal pueda imponer las ideas de la mayoría dominante, excluyendo el pensamiento de las minorías, es opuesto a lo que debería priorizarse en un Estado democrático de Derecho.</w:t>
      </w:r>
    </w:p>
    <w:p w14:paraId="733C610D" w14:textId="77777777" w:rsidR="009D7677" w:rsidRDefault="009D7677" w:rsidP="009D7677">
      <w:pPr>
        <w:pStyle w:val="TextoNormal"/>
      </w:pPr>
    </w:p>
    <w:p w14:paraId="47C6353F" w14:textId="77777777" w:rsidR="009D7677" w:rsidRDefault="009D7677" w:rsidP="009D7677">
      <w:pPr>
        <w:pStyle w:val="TextoNormal"/>
      </w:pPr>
      <w:r>
        <w:t>c) El tercer motivo tiene por objeto la impugnación del apartado octavo del artículo único de la Ley Orgánica 1/2023, en relación con la redacción que da al art. 9.1 a) de la Ley Orgánica 2/2010. En concreto, se impugna el inciso “desde la óptica del placer, el deseo”, por vulneración de los arts. 1.1, 16.1, 27.3 y 103.1 CE, concernientes a los principios de libertad y pluralismo político, el derecho de los padres a educar a los hijos conforme a sus convicciones religiosas y morales y el deber de neutralidad de las administraciones públicas.</w:t>
      </w:r>
    </w:p>
    <w:p w14:paraId="7F0C0D10" w14:textId="77777777" w:rsidR="009D7677" w:rsidRDefault="009D7677" w:rsidP="009D7677">
      <w:pPr>
        <w:pStyle w:val="TextoNormal"/>
      </w:pPr>
    </w:p>
    <w:p w14:paraId="6C2AEBC9" w14:textId="77777777" w:rsidR="009D7677" w:rsidRDefault="009D7677" w:rsidP="009D7677">
      <w:pPr>
        <w:pStyle w:val="TextoNormal"/>
      </w:pPr>
      <w:r>
        <w:t>Entienden los recurrentes que no es constitucionalmente admisible que la ley imponga a las administraciones educativas la obligación de promover, en el ámbito de la formación en salud sexual y reproductiva, una visión de la sexualidad basada en una concepción “epicúrea” de la misma, como la que se contiene en la norma impugnada.</w:t>
      </w:r>
    </w:p>
    <w:p w14:paraId="4F4F47B3" w14:textId="77777777" w:rsidR="009D7677" w:rsidRDefault="009D7677" w:rsidP="009D7677">
      <w:pPr>
        <w:pStyle w:val="TextoNormal"/>
      </w:pPr>
    </w:p>
    <w:p w14:paraId="7AAA3E16" w14:textId="77777777" w:rsidR="009D7677" w:rsidRDefault="009D7677" w:rsidP="009D7677">
      <w:pPr>
        <w:pStyle w:val="TextoNormal"/>
      </w:pPr>
      <w:r>
        <w:t xml:space="preserve">Consideran que este planteamiento de la norma impugnada es contrario al principio de neutralidad ideológica del Estado, que prohíbe que cualquier norma imponga como único y oficial un determinado punto de vista sobre una cuestión moral. Citan en este punto la STEDH de 9 de octubre de 2007, asunto </w:t>
      </w:r>
      <w:r w:rsidRPr="009D7677">
        <w:rPr>
          <w:i/>
        </w:rPr>
        <w:t>Hasan y Eylem Zengin c. Turquía</w:t>
      </w:r>
      <w:r>
        <w:t>, la STC 128/2007 y las SSTS de 12 de noviembre de 2012 (ECLI:ES:TS:2012:7975) y 11 de febrero de 2009 (ECLI:ES:TS:2009:342).</w:t>
      </w:r>
    </w:p>
    <w:p w14:paraId="1A573555" w14:textId="77777777" w:rsidR="009D7677" w:rsidRDefault="009D7677" w:rsidP="009D7677">
      <w:pPr>
        <w:pStyle w:val="TextoNormal"/>
      </w:pPr>
    </w:p>
    <w:p w14:paraId="440E6762" w14:textId="77777777" w:rsidR="009D7677" w:rsidRDefault="009D7677" w:rsidP="009D7677">
      <w:pPr>
        <w:pStyle w:val="TextoNormal"/>
      </w:pPr>
      <w:r>
        <w:t xml:space="preserve">Por otra parte, sostienen los diputados demandantes que el derecho fundamental de los padres </w:t>
      </w:r>
      <w:r w:rsidRPr="009D7677">
        <w:rPr>
          <w:i/>
        </w:rPr>
        <w:t>ex</w:t>
      </w:r>
      <w:r>
        <w:t xml:space="preserve"> art. 27.3 CE a que la formación moral que sus hijos reciben en las escuelas sea conforme a sus convicciones ideológicas se opone a que el Estado imponga en el ámbito educativo, ignorando a los padres, una determinada visión de la sexualidad.</w:t>
      </w:r>
    </w:p>
    <w:p w14:paraId="773E28A8" w14:textId="77777777" w:rsidR="009D7677" w:rsidRDefault="009D7677" w:rsidP="009D7677">
      <w:pPr>
        <w:pStyle w:val="TextoNormal"/>
      </w:pPr>
    </w:p>
    <w:p w14:paraId="76F0AE8E" w14:textId="77777777" w:rsidR="009D7677" w:rsidRDefault="009D7677" w:rsidP="009D7677">
      <w:pPr>
        <w:pStyle w:val="TextoNormal"/>
      </w:pPr>
      <w:r>
        <w:t xml:space="preserve">d) El motivo cuarto se dirige frente al apartado undécimo del artículo único de la Ley Orgánica 1/2023, en relación con la redacción dada al art. 13 </w:t>
      </w:r>
      <w:r w:rsidRPr="009D7677">
        <w:rPr>
          <w:i/>
        </w:rPr>
        <w:t>bis</w:t>
      </w:r>
      <w:r>
        <w:t xml:space="preserve">.1 de la Ley Orgánica 2/2010. Estiman los recurrentes que contiene una regulación arbitraria (art. 9.3 CE), que deja desprotegido al </w:t>
      </w:r>
      <w:r w:rsidRPr="009D7677">
        <w:rPr>
          <w:i/>
        </w:rPr>
        <w:t>nasciturus</w:t>
      </w:r>
      <w:r>
        <w:t xml:space="preserve"> (art. 15 CE), que vulnera el derecho de los padres a formar a sus hijos conforme a sus convicciones morales (art. 27.3 CE), así como el deber de los padres de prestar a los hijos la asistencia que necesiten (art. 39.3 CE).</w:t>
      </w:r>
    </w:p>
    <w:p w14:paraId="72F37BFD" w14:textId="77777777" w:rsidR="009D7677" w:rsidRDefault="009D7677" w:rsidP="009D7677">
      <w:pPr>
        <w:pStyle w:val="TextoNormal"/>
      </w:pPr>
    </w:p>
    <w:p w14:paraId="3EF3E02C" w14:textId="77777777" w:rsidR="009D7677" w:rsidRDefault="009D7677" w:rsidP="009D7677">
      <w:pPr>
        <w:pStyle w:val="TextoNormal"/>
      </w:pPr>
      <w:r>
        <w:t xml:space="preserve">Señalan los recurrentes que la redacción del apartado primero del nuevo art. 13 </w:t>
      </w:r>
      <w:r w:rsidRPr="009D7677">
        <w:rPr>
          <w:i/>
        </w:rPr>
        <w:t>bis</w:t>
      </w:r>
      <w:r>
        <w:t xml:space="preserve"> supone que una menor de edad de dieciséis o diecisiete años puede abortar no solo sin el consentimiento de sus padres o tutores, sino también sin que estos ni siquiera tengan conocimiento de ello, a diferencia de lo que ocurría en la redacción original de este precepto en 2010 (entonces, art. 13.4).</w:t>
      </w:r>
    </w:p>
    <w:p w14:paraId="6DD1DDD7" w14:textId="77777777" w:rsidR="009D7677" w:rsidRDefault="009D7677" w:rsidP="009D7677">
      <w:pPr>
        <w:pStyle w:val="TextoNormal"/>
      </w:pPr>
    </w:p>
    <w:p w14:paraId="7FA6035A" w14:textId="77777777" w:rsidR="009D7677" w:rsidRDefault="009D7677" w:rsidP="009D7677">
      <w:pPr>
        <w:pStyle w:val="TextoNormal"/>
      </w:pPr>
      <w:r>
        <w:t>Con extensa referencia al informe del Consejo General del Poder Judicial de 22 de diciembre de 2022, emitido en relación con el anteproyecto de ley orgánica, sostienen los recurrentes que el cambio legal se ha llevado a cabo sin que exista la más mínima explicación de cómo se han ponderado los valores en juego.</w:t>
      </w:r>
    </w:p>
    <w:p w14:paraId="66EE4582" w14:textId="77777777" w:rsidR="009D7677" w:rsidRDefault="009D7677" w:rsidP="009D7677">
      <w:pPr>
        <w:pStyle w:val="TextoNormal"/>
      </w:pPr>
    </w:p>
    <w:p w14:paraId="52A421E9" w14:textId="77777777" w:rsidR="009D7677" w:rsidRDefault="009D7677" w:rsidP="009D7677">
      <w:pPr>
        <w:pStyle w:val="TextoNormal"/>
      </w:pPr>
      <w:r>
        <w:t>Afirman que al excluir a los padres absolutamente del conocimiento del aborto que va a realizar su hija se les priva del derecho que el art. 27.3 CE les confiere de formar a sus hijos conforme a sus propias convicciones morales y religiosas, así como del deber de asistirles reconocido en el art. 39.3 CE. Consideran que la norma no cumple con las exigencias del principio de proporcionalidad, puesto que la finalidad perseguida (que se adopte la mejor decisión para la menor) no se cumple excluyendo a los padres o tutores del conocimiento de la decisión. Además, entienden que al no requerir el consentimiento de los padres sin ni siquiera hacer una referencia al art. 9 de la Ley 41/2002, de 14 de noviembre, básica reguladora de la autonomía del paciente y de derechos y obligaciones en materia de información y documentación clínica, la medida impugnada no es la que mejor cohonesta los valores y derechos en juego como exige el principio de proporcionalidad.</w:t>
      </w:r>
    </w:p>
    <w:p w14:paraId="3F625404" w14:textId="77777777" w:rsidR="009D7677" w:rsidRDefault="009D7677" w:rsidP="009D7677">
      <w:pPr>
        <w:pStyle w:val="TextoNormal"/>
      </w:pPr>
    </w:p>
    <w:p w14:paraId="2CE62871" w14:textId="77777777" w:rsidR="009D7677" w:rsidRDefault="009D7677" w:rsidP="009D7677">
      <w:pPr>
        <w:pStyle w:val="TextoNormal"/>
      </w:pPr>
      <w:r>
        <w:t>Por otra parte, señalan los recurrentes que la inclusión de la palabra “voluntariamente” en el precepto impugnado infringe de forma manifiesta la jurisprudencia del Tribunal Constitucional. Al tratarse de una decisión sin otro condicionamiento que la voluntad de la mujer, se estaría prescindiendo de forma absoluta de la protección al feto a la que está obligado el legislador, conforme a la STC 53/1985, de 11 de abril.</w:t>
      </w:r>
    </w:p>
    <w:p w14:paraId="60FFF9C3" w14:textId="77777777" w:rsidR="009D7677" w:rsidRDefault="009D7677" w:rsidP="009D7677">
      <w:pPr>
        <w:pStyle w:val="TextoNormal"/>
      </w:pPr>
    </w:p>
    <w:p w14:paraId="02437875" w14:textId="77777777" w:rsidR="009D7677" w:rsidRDefault="009D7677" w:rsidP="009D7677">
      <w:pPr>
        <w:pStyle w:val="TextoNormal"/>
      </w:pPr>
      <w:r>
        <w:t xml:space="preserve">Concluyen el motivo de impugnación señalando que no pueden invocarse fundamentos del marco jurídico internacional porque no existe regulación que recoja el derecho al aborto, sino la protección de la maternidad. Tras citar la Declaración universal de derechos humanos de 1948, el Pacto internacional de derechos civiles y políticos de 1966, la Declaración de los derechos del niño de 1959, la Convención sobre los derechos del niño de 1989 y las recomendaciones de la Conferencia de El Cairo, hacen énfasis en la sentencia del Tribunal Supremo de los Estados Unidos de 24 de junio de 2022, asunto </w:t>
      </w:r>
      <w:r w:rsidRPr="009D7677">
        <w:rPr>
          <w:i/>
        </w:rPr>
        <w:t>Dobbs c. la Organización Jackson para la Salud de las Mujeres</w:t>
      </w:r>
      <w:r>
        <w:t>, indicando que el derecho a la autonomía de la madre no puede determina</w:t>
      </w:r>
      <w:r w:rsidRPr="009D7677">
        <w:rPr>
          <w:i/>
        </w:rPr>
        <w:t xml:space="preserve">r per </w:t>
      </w:r>
      <w:r>
        <w:t>se un derecho al aborto.</w:t>
      </w:r>
    </w:p>
    <w:p w14:paraId="0DACB674" w14:textId="77777777" w:rsidR="009D7677" w:rsidRDefault="009D7677" w:rsidP="009D7677">
      <w:pPr>
        <w:pStyle w:val="TextoNormal"/>
      </w:pPr>
    </w:p>
    <w:p w14:paraId="4FFCB673" w14:textId="77777777" w:rsidR="009D7677" w:rsidRDefault="009D7677" w:rsidP="009D7677">
      <w:pPr>
        <w:pStyle w:val="TextoNormal"/>
      </w:pPr>
      <w:r>
        <w:lastRenderedPageBreak/>
        <w:t xml:space="preserve">e) El quinto motivo de impugnación tiene por objeto el apartado duodécimo del artículo único de la Ley Orgánica 1/2023, que da nueva redacción al art. 14 de la Ley Orgánica 2/2010, y la disposición final segunda de la Ley Orgánica 1/2023, que da nueva redacción al art. 145 </w:t>
      </w:r>
      <w:r w:rsidRPr="009D7677">
        <w:rPr>
          <w:i/>
        </w:rPr>
        <w:t>bis</w:t>
      </w:r>
      <w:r>
        <w:t xml:space="preserve"> del Código penal, aprobado por Ley Orgánica 10/1995, de 23 de noviembre (en adelante, CP). En relación con ambos artículos se denuncia la vulneración de los arts. 9.3 CE (interdicción de la arbitrariedad de los poderes públicos), 15 CE (protección de la vida humana del </w:t>
      </w:r>
      <w:r w:rsidRPr="009D7677">
        <w:rPr>
          <w:i/>
        </w:rPr>
        <w:t>nasciturus</w:t>
      </w:r>
      <w:r>
        <w:t>) y 39.2 CE (protección de la maternidad), en relación con la supresión por parte del legislador de dos garantías previstas originalmente en la Ley Orgánica 2/2010: la información a la mujer embarazada sobre los derechos, prestaciones y ayudas públicas de apoyo a la maternidad, y el período de espera o de reflexión de tres días.</w:t>
      </w:r>
    </w:p>
    <w:p w14:paraId="143B7A1E" w14:textId="77777777" w:rsidR="009D7677" w:rsidRDefault="009D7677" w:rsidP="009D7677">
      <w:pPr>
        <w:pStyle w:val="TextoNormal"/>
      </w:pPr>
    </w:p>
    <w:p w14:paraId="04909E80" w14:textId="77777777" w:rsidR="009D7677" w:rsidRDefault="009D7677" w:rsidP="009D7677">
      <w:pPr>
        <w:pStyle w:val="TextoNormal"/>
      </w:pPr>
      <w:r>
        <w:t>Con cita extensa del informe emitido por el Consejo General del Poder Judicial de 22 de diciembre de 2022 en relación con el anteproyecto de ley orgánica y su voto particular, defienden que la supresión de la necesidad de que la mujer emita un consentimiento informado acerca de la decisión que afecta a la eliminación de una vida humana carece de explicación racional e incurre en arbitrariedad.</w:t>
      </w:r>
    </w:p>
    <w:p w14:paraId="6CBE1ABB" w14:textId="77777777" w:rsidR="009D7677" w:rsidRDefault="009D7677" w:rsidP="009D7677">
      <w:pPr>
        <w:pStyle w:val="TextoNormal"/>
      </w:pPr>
    </w:p>
    <w:p w14:paraId="6FCE7736" w14:textId="77777777" w:rsidR="009D7677" w:rsidRDefault="009D7677" w:rsidP="009D7677">
      <w:pPr>
        <w:pStyle w:val="TextoNormal"/>
      </w:pPr>
      <w:r>
        <w:t xml:space="preserve">Además, después de trascribir parte de la STC 11/2023, de 23 de febrero, concluyen que sin información no solo sobre los riesgos de la intervención, sino también de las alternativas a la interrupción voluntaria del embarazo, y sin dejar que esa información pueda ser contrastada y asimilada por la mujer embarazada durante un período de tiempo posterior, no existe un verdadero consentimiento informado y no se protege la vida del nasciturus. En relación con esta cuestión, consideran que los preceptos impugnados no respetan el principio de proporcionalidad y no han ponderado adecuadamente los intereses en conflicto y, en particular, que la vida del </w:t>
      </w:r>
      <w:r w:rsidRPr="009D7677">
        <w:rPr>
          <w:i/>
        </w:rPr>
        <w:t>nasciturus</w:t>
      </w:r>
      <w:r>
        <w:t xml:space="preserve"> es un bien jurídico protegido constitucionalmente (STC 53/1985, de 11 de abril).</w:t>
      </w:r>
    </w:p>
    <w:p w14:paraId="102DF6F5" w14:textId="77777777" w:rsidR="009D7677" w:rsidRDefault="009D7677" w:rsidP="009D7677">
      <w:pPr>
        <w:pStyle w:val="TextoNormal"/>
      </w:pPr>
    </w:p>
    <w:p w14:paraId="078917B4" w14:textId="77777777" w:rsidR="009D7677" w:rsidRDefault="009D7677" w:rsidP="009D7677">
      <w:pPr>
        <w:pStyle w:val="TextoNormal"/>
      </w:pPr>
      <w:r>
        <w:t>Continúan afirmando los recurrentes que toda medida dirigida a favorecer la maternidad sería conforme a Constitución, pero que la que tienda a estorbarla, limitarla o eliminarla sería contraria a ella. Por ello, defienden que la supresión de la exigencia de informar a la mujer embarazada sobre determinadas cuestiones y del período de reflexión subsiguiente constituye un “activismo en favor del aborto” contrario a lo dispuesto en el art. 39.2 CE. Entienden que el postulado de que parte el legislador es que “con más conocimiento, existe menos libertad”, lo que consideran una “afirmación irracional”.</w:t>
      </w:r>
    </w:p>
    <w:p w14:paraId="238FFA69" w14:textId="77777777" w:rsidR="009D7677" w:rsidRDefault="009D7677" w:rsidP="009D7677">
      <w:pPr>
        <w:pStyle w:val="TextoNormal"/>
      </w:pPr>
    </w:p>
    <w:p w14:paraId="5FF0D75A" w14:textId="77777777" w:rsidR="009D7677" w:rsidRDefault="009D7677" w:rsidP="009D7677">
      <w:pPr>
        <w:pStyle w:val="TextoNormal"/>
      </w:pPr>
      <w:r>
        <w:t xml:space="preserve">Por las razones anteriores, entienden que el art. 14 de la Ley Orgánica 2/2010, en la nueva redacción dada por la Ley Orgánica 1/2023, es inconstitucional y nulo y que esta declaración de inconstitucionalidad debería arrastrar la modificación del art. 145 </w:t>
      </w:r>
      <w:r w:rsidRPr="009D7677">
        <w:rPr>
          <w:i/>
        </w:rPr>
        <w:t>bis</w:t>
      </w:r>
      <w:r>
        <w:t xml:space="preserve"> CP, por cuanto que ya no se considera delictivo practicar abortos sin haber ofrecido a la madre información necesaria y el período de reflexión para la adopción de una decisión libre.</w:t>
      </w:r>
    </w:p>
    <w:p w14:paraId="6D1E6ED4" w14:textId="77777777" w:rsidR="009D7677" w:rsidRDefault="009D7677" w:rsidP="009D7677">
      <w:pPr>
        <w:pStyle w:val="TextoNormal"/>
      </w:pPr>
    </w:p>
    <w:p w14:paraId="4A23813E" w14:textId="77777777" w:rsidR="009D7677" w:rsidRDefault="009D7677" w:rsidP="009D7677">
      <w:pPr>
        <w:pStyle w:val="TextoNormal"/>
      </w:pPr>
      <w:r>
        <w:t xml:space="preserve">Finalizan su argumentación razonando que la Ley Orgánica 1/2023 “desborda los límites establecidos y no se acomoda al marco establecido en la Constitución”, pues esta ley tiene como consecuencia la creación de un derecho de la mujer frente al derecho a la vida. Afirman que no tiene cabida la transformación en derecho del aborto o de la interrupción voluntaria del embarazo porque lesiona un bien constitucionalmente protegido, como es el derecho a la vida (art. 15 CE), que constituye el soporte existencial de cualesquiera otros </w:t>
      </w:r>
      <w:r>
        <w:lastRenderedPageBreak/>
        <w:t>derechos y es el primero, por ello, en el catálogo de derechos fundamentales (SSTC 53/1985 y 48/1996).</w:t>
      </w:r>
    </w:p>
    <w:p w14:paraId="68F1038E" w14:textId="77777777" w:rsidR="009D7677" w:rsidRDefault="009D7677" w:rsidP="009D7677">
      <w:pPr>
        <w:pStyle w:val="TextoNormal"/>
      </w:pPr>
    </w:p>
    <w:p w14:paraId="7623EC24" w14:textId="77777777" w:rsidR="009D7677" w:rsidRDefault="009D7677" w:rsidP="009D7677">
      <w:pPr>
        <w:pStyle w:val="TextoNormal"/>
      </w:pPr>
      <w:r>
        <w:t>f) En el motivo sexto se impugna el apartado décimo tercero del artículo único de la Ley Orgánica 1/2023, en relación con el último inciso incorporado a la redacción del art. 16.1 de la Ley Orgánica 2/2010, que impide integrar en el comité clínico previsto en el art. 15 de la Ley Orgánica 2/2010 a quienes formen parte del registro de objetores de la interrupción voluntaria del embarazo y a quienes hubieran formado parte del mismo en los últimos tres años.</w:t>
      </w:r>
    </w:p>
    <w:p w14:paraId="05998B53" w14:textId="77777777" w:rsidR="009D7677" w:rsidRDefault="009D7677" w:rsidP="009D7677">
      <w:pPr>
        <w:pStyle w:val="TextoNormal"/>
      </w:pPr>
    </w:p>
    <w:p w14:paraId="72DA24E8" w14:textId="77777777" w:rsidR="009D7677" w:rsidRDefault="009D7677" w:rsidP="009D7677">
      <w:pPr>
        <w:pStyle w:val="TextoNormal"/>
      </w:pPr>
      <w:r>
        <w:t>Consideran que el inciso impugnado incurre en arbitrariedad (art. 9.3 CE) y constituye una discriminación carente de justificación objetiva irrazonable (art. 14 CE), pues la negativa a practicar abortos es perfectamente compatible con las funciones que tiene atribuido dicho comité. Además, denuncian la vulneración del derecho a la libertad ideológica y religiosa (art. 16.1 CE), pues según afirman la prohibición de formar parte del comité a los médicos objetores y a los que lo fueron, pero ya no lo son, es un “castigo”, que se les impone para “purgar sus pecados pasados”, en lo que califican como “reeducación forzosa”.</w:t>
      </w:r>
    </w:p>
    <w:p w14:paraId="28F5D896" w14:textId="77777777" w:rsidR="009D7677" w:rsidRDefault="009D7677" w:rsidP="009D7677">
      <w:pPr>
        <w:pStyle w:val="TextoNormal"/>
      </w:pPr>
    </w:p>
    <w:p w14:paraId="0F1FA092" w14:textId="77777777" w:rsidR="009D7677" w:rsidRDefault="009D7677" w:rsidP="009D7677">
      <w:pPr>
        <w:pStyle w:val="TextoNormal"/>
      </w:pPr>
      <w:r>
        <w:t xml:space="preserve">g) En el motivo séptimo, los recurrentes dirigen su impugnación contra el apartado décimo cuarto del artículo único de la Ley Orgánica 1/2023, en relación con la redacción dada a los apartados segundo, tercero y quinto del art. 17 de la Ley Orgánica 2/2010, que regula la “[i]nformación vinculada a la interrupción voluntaria del embarazo”. Denuncian en este motivo la vulneración de los arts. 9.3 CE (interdicción de la arbitrariedad de los poderes públicos), 15 CE (la protección de la vida humana del </w:t>
      </w:r>
      <w:r w:rsidRPr="009D7677">
        <w:rPr>
          <w:i/>
        </w:rPr>
        <w:t>nasciturus</w:t>
      </w:r>
      <w:r>
        <w:t>) y 39.2 CE (protección de la maternidad), todos ellos interpretados a la luz del principio de proporcionalidad.</w:t>
      </w:r>
    </w:p>
    <w:p w14:paraId="30F924FF" w14:textId="77777777" w:rsidR="009D7677" w:rsidRDefault="009D7677" w:rsidP="009D7677">
      <w:pPr>
        <w:pStyle w:val="TextoNormal"/>
      </w:pPr>
    </w:p>
    <w:p w14:paraId="047A1D8B" w14:textId="77777777" w:rsidR="009D7677" w:rsidRDefault="009D7677" w:rsidP="009D7677">
      <w:pPr>
        <w:pStyle w:val="TextoNormal"/>
      </w:pPr>
      <w:r>
        <w:t>De nuevo, como en apartados precedentes, sostienen los recurrentes que se trata de una medida arbitraria carente de justificación racional. Consideran que el hecho de que se configure como no obligatoria “nunca como requisito para acceder a la prestación del servicio” la entrega de determinada información a las mujeres que manifiesten su intención de someterse a la interrupción voluntaria del embarazo implica privarles de información esencial para adoptar una decisión verdaderamente libre.</w:t>
      </w:r>
    </w:p>
    <w:p w14:paraId="4101379E" w14:textId="77777777" w:rsidR="009D7677" w:rsidRDefault="009D7677" w:rsidP="009D7677">
      <w:pPr>
        <w:pStyle w:val="TextoNormal"/>
      </w:pPr>
    </w:p>
    <w:p w14:paraId="71E01B58" w14:textId="77777777" w:rsidR="009D7677" w:rsidRDefault="009D7677" w:rsidP="009D7677">
      <w:pPr>
        <w:pStyle w:val="TextoNormal"/>
      </w:pPr>
      <w:r>
        <w:t xml:space="preserve">Estiman que la supresión de la información obligatoria, además de ser arbitraria, no protege al </w:t>
      </w:r>
      <w:r w:rsidRPr="009D7677">
        <w:rPr>
          <w:i/>
        </w:rPr>
        <w:t>nasciturus</w:t>
      </w:r>
      <w:r>
        <w:t xml:space="preserve"> por no permitir que su madre tome una decisión libre e informada (art. 15 CE), no protege la maternidad, sino que hace apología del aborto (art. 39.2 CE) e incumple las exigencias del principio de proporcionalidad, al no ponderar los valores en conflicto y someter al </w:t>
      </w:r>
      <w:r w:rsidRPr="009D7677">
        <w:rPr>
          <w:i/>
        </w:rPr>
        <w:t>nasciturus</w:t>
      </w:r>
      <w:r>
        <w:t xml:space="preserve"> y a la madre a un sistema oneroso y sin suficientes garantías. Se remiten a las alegaciones expuestas en el motivo quinto del recurso de inconstitucionalidad.</w:t>
      </w:r>
    </w:p>
    <w:p w14:paraId="53FAC203" w14:textId="77777777" w:rsidR="009D7677" w:rsidRDefault="009D7677" w:rsidP="009D7677">
      <w:pPr>
        <w:pStyle w:val="TextoNormal"/>
      </w:pPr>
    </w:p>
    <w:p w14:paraId="385609CC" w14:textId="77777777" w:rsidR="009D7677" w:rsidRDefault="009D7677" w:rsidP="009D7677">
      <w:pPr>
        <w:pStyle w:val="TextoNormal"/>
      </w:pPr>
      <w:r>
        <w:t>En todo caso, apuntan que debe considerarse inconstitucional que no se dé verbalmente la información de forma obligatoria, porque es la única posibilidad que asegura que la mujer ha podido conocerla.</w:t>
      </w:r>
    </w:p>
    <w:p w14:paraId="6219B6D0" w14:textId="77777777" w:rsidR="009D7677" w:rsidRDefault="009D7677" w:rsidP="009D7677">
      <w:pPr>
        <w:pStyle w:val="TextoNormal"/>
      </w:pPr>
    </w:p>
    <w:p w14:paraId="4E91DF17" w14:textId="77777777" w:rsidR="009D7677" w:rsidRDefault="009D7677" w:rsidP="009D7677">
      <w:pPr>
        <w:pStyle w:val="TextoNormal"/>
      </w:pPr>
      <w:r>
        <w:t xml:space="preserve">h) El motivo octavo y último del recurso de inconstitucionalidad tiene por objeto la impugnación del apartado decimo noveno del artículo único de la Ley Orgánica 1/2023, en lo </w:t>
      </w:r>
      <w:r>
        <w:lastRenderedPageBreak/>
        <w:t>que se refiere a la redacción dada a los apartados primero y tercero del nuevo art. 1</w:t>
      </w:r>
      <w:r w:rsidRPr="009D7677">
        <w:rPr>
          <w:i/>
        </w:rPr>
        <w:t>9 t</w:t>
      </w:r>
      <w:r>
        <w:t>er de la Ley Orgánica 2/2010.</w:t>
      </w:r>
    </w:p>
    <w:p w14:paraId="1D0BB301" w14:textId="77777777" w:rsidR="009D7677" w:rsidRDefault="009D7677" w:rsidP="009D7677">
      <w:pPr>
        <w:pStyle w:val="TextoNormal"/>
      </w:pPr>
    </w:p>
    <w:p w14:paraId="58F390D2" w14:textId="77777777" w:rsidR="009D7677" w:rsidRDefault="009D7677" w:rsidP="009D7677">
      <w:pPr>
        <w:pStyle w:val="TextoNormal"/>
      </w:pPr>
      <w:r>
        <w:t xml:space="preserve">Respecto del apartado primero del art. 19 </w:t>
      </w:r>
      <w:r w:rsidRPr="009D7677">
        <w:rPr>
          <w:i/>
        </w:rPr>
        <w:t>ter</w:t>
      </w:r>
      <w:r>
        <w:t xml:space="preserve"> de la Ley Orgánica 2/2010, introducido por la Ley Orgánica 1/2023, los recurrentes denuncian la vulneración del derecho a la igualdad de trato y no discriminación. No cuestionan los recurrentes que exista un registro de personas profesionales sanitarias objetoras de conciencia, por ser una cuestión sobre la que ya se ha pronunciado la STC 151/2014, de 25 de septiembre, sino que consideran que constituye una discriminación injustificada que el citado registro se limite a los médicos objetores y no a todos los médicos. A juicio de los demandantes lo proporcional sería que esa información se pidiera a todos los profesionales sanitarios, en vez de elaborar un censo de profesionales objetores.</w:t>
      </w:r>
    </w:p>
    <w:p w14:paraId="283C8E25" w14:textId="77777777" w:rsidR="009D7677" w:rsidRDefault="009D7677" w:rsidP="009D7677">
      <w:pPr>
        <w:pStyle w:val="TextoNormal"/>
      </w:pPr>
    </w:p>
    <w:p w14:paraId="12652302" w14:textId="64F5C693" w:rsidR="009D7677" w:rsidRDefault="009D7677" w:rsidP="009D7677">
      <w:pPr>
        <w:pStyle w:val="TextoNormal"/>
      </w:pPr>
      <w:r>
        <w:t xml:space="preserve">Por último, en relación con el apartado tercero del art. 19 </w:t>
      </w:r>
      <w:r w:rsidRPr="009D7677">
        <w:rPr>
          <w:i/>
        </w:rPr>
        <w:t>ter</w:t>
      </w:r>
      <w:r>
        <w:t xml:space="preserve"> de la Ley Orgánica 2/2010, denuncian una infracción del art. 18.4 CE, en relación con el derecho fundamental a la protección de datos de carácter personal. Entienden que el precepto opera una deslegalización del control de la protección de los datos personales incorporados al registro, al hacerlo depender de un “protocolo”, lo que puede suponer en un mal uso de dichos datos.</w:t>
      </w:r>
    </w:p>
    <w:p w14:paraId="19DAA655" w14:textId="77777777" w:rsidR="009D7677" w:rsidRDefault="009D7677" w:rsidP="009D7677">
      <w:pPr>
        <w:pStyle w:val="TextoNormal"/>
      </w:pPr>
    </w:p>
    <w:p w14:paraId="4D71B7E3" w14:textId="2453D61C" w:rsidR="009D7677" w:rsidRDefault="009D7677" w:rsidP="009D7677">
      <w:pPr>
        <w:pStyle w:val="TextoNormal"/>
      </w:pPr>
      <w:r w:rsidRPr="009D7677">
        <w:rPr>
          <w:rStyle w:val="NumeroAFNegritaCaracter"/>
        </w:rPr>
        <w:t>3</w:t>
      </w:r>
      <w:r>
        <w:t>. Por providencia de 20 de junio de 2023 el Pleno del Tribunal Constitucional acordó admitir a trámite el recurso de inconstitucionalidad y dar traslado de la demanda y documentos presentados, conforme establece el art. 34 de la Ley Orgánica 2/1979, de 3 de octubre, del Tribunal Constitucional (LOTC), al Congreso de los Diputados y al Senado, por conducto de sus presidentes, y al Gobierno, a través de la ministra de Justicia, al objeto de que en el plazo de quince días pudieran personarse en el procedimiento y formular alegaciones. Asimismo, se acordó publicar la incoación del recurso en el “Boletín Oficial del Estado”.</w:t>
      </w:r>
    </w:p>
    <w:p w14:paraId="0BD21289" w14:textId="77777777" w:rsidR="009D7677" w:rsidRDefault="009D7677" w:rsidP="009D7677">
      <w:pPr>
        <w:pStyle w:val="TextoNormal"/>
      </w:pPr>
    </w:p>
    <w:p w14:paraId="30C90335" w14:textId="2A8CE192" w:rsidR="009D7677" w:rsidRDefault="009D7677" w:rsidP="009D7677">
      <w:pPr>
        <w:pStyle w:val="TextoNormal"/>
      </w:pPr>
      <w:r w:rsidRPr="009D7677">
        <w:rPr>
          <w:rStyle w:val="NumeroAFNegritaCaracter"/>
        </w:rPr>
        <w:t>4</w:t>
      </w:r>
      <w:r>
        <w:t>. Por escrito registrado en este tribunal el 27 de junio de 2023, el presidente del Senado comunicó el acuerdo de la Cámara de personarse en este procedimiento, ofreciendo su colaboración a los efectos del art. 88.1 LOTC.</w:t>
      </w:r>
    </w:p>
    <w:p w14:paraId="6558E47B" w14:textId="77777777" w:rsidR="009D7677" w:rsidRDefault="009D7677" w:rsidP="009D7677">
      <w:pPr>
        <w:pStyle w:val="TextoNormal"/>
      </w:pPr>
    </w:p>
    <w:p w14:paraId="6CF06873" w14:textId="5DE3E4A8" w:rsidR="009D7677" w:rsidRDefault="009D7677" w:rsidP="009D7677">
      <w:pPr>
        <w:pStyle w:val="TextoNormal"/>
      </w:pPr>
      <w:r w:rsidRPr="009D7677">
        <w:rPr>
          <w:rStyle w:val="NumeroAFNegritaCaracter"/>
        </w:rPr>
        <w:t>5</w:t>
      </w:r>
      <w:r>
        <w:t>. La misma comunicación fue realizada por la presidenta del Congreso de los Diputados, mediante escrito registrado el 27 de julio de 2023.</w:t>
      </w:r>
    </w:p>
    <w:p w14:paraId="351AF586" w14:textId="77777777" w:rsidR="009D7677" w:rsidRDefault="009D7677" w:rsidP="009D7677">
      <w:pPr>
        <w:pStyle w:val="TextoNormal"/>
      </w:pPr>
    </w:p>
    <w:p w14:paraId="3AA23394" w14:textId="7BA190D9" w:rsidR="009D7677" w:rsidRDefault="009D7677" w:rsidP="009D7677">
      <w:pPr>
        <w:pStyle w:val="TextoNormal"/>
      </w:pPr>
      <w:r w:rsidRPr="009D7677">
        <w:rPr>
          <w:rStyle w:val="NumeroAFNegritaCaracter"/>
        </w:rPr>
        <w:t>6</w:t>
      </w:r>
      <w:r>
        <w:t>. Mediante escrito registrado el 12 de julio de 2023 el abogado del Estado se personó en el procedimiento, solicitando la prórroga del plazo para formular alegaciones por el máximo legal del plazo concedido.</w:t>
      </w:r>
    </w:p>
    <w:p w14:paraId="06DB5C4C" w14:textId="77777777" w:rsidR="009D7677" w:rsidRDefault="009D7677" w:rsidP="009D7677">
      <w:pPr>
        <w:pStyle w:val="TextoNormal"/>
      </w:pPr>
    </w:p>
    <w:p w14:paraId="7F5363AF" w14:textId="3D2430E4" w:rsidR="009D7677" w:rsidRDefault="009D7677" w:rsidP="009D7677">
      <w:pPr>
        <w:pStyle w:val="TextoNormal"/>
      </w:pPr>
      <w:r w:rsidRPr="009D7677">
        <w:rPr>
          <w:rStyle w:val="NumeroAFNegritaCaracter"/>
        </w:rPr>
        <w:t>7</w:t>
      </w:r>
      <w:r>
        <w:t>. Por diligencia de ordenación de 13 de julio de 2023, se tuvo por personado al abogado del Estado en la representación que legalmente ostenta y se acordó prorrogar en ocho días el plazo concedido para formular alegaciones.</w:t>
      </w:r>
    </w:p>
    <w:p w14:paraId="7C28B2C2" w14:textId="77777777" w:rsidR="009D7677" w:rsidRDefault="009D7677" w:rsidP="009D7677">
      <w:pPr>
        <w:pStyle w:val="TextoNormal"/>
      </w:pPr>
    </w:p>
    <w:p w14:paraId="37F88A8D" w14:textId="77777777" w:rsidR="009D7677" w:rsidRDefault="009D7677" w:rsidP="009D7677">
      <w:pPr>
        <w:pStyle w:val="TextoNormal"/>
      </w:pPr>
      <w:r w:rsidRPr="009D7677">
        <w:rPr>
          <w:rStyle w:val="NumeroAFNegritaCaracter"/>
        </w:rPr>
        <w:t>8</w:t>
      </w:r>
      <w:r>
        <w:t xml:space="preserve">. Por escrito presentado el 25 de julio de 2023, el abogado del Estado formuló sus alegaciones, solicitando la íntegra desestimación del recurso de inconstitucionalidad. Con </w:t>
      </w:r>
      <w:r>
        <w:lastRenderedPageBreak/>
        <w:t>el escrito de alegaciones, aportó la memoria de análisis de impacto normativo del proyecto de ley orgánica.</w:t>
      </w:r>
    </w:p>
    <w:p w14:paraId="65489C28" w14:textId="77777777" w:rsidR="009D7677" w:rsidRDefault="009D7677" w:rsidP="009D7677">
      <w:pPr>
        <w:pStyle w:val="TextoNormal"/>
      </w:pPr>
    </w:p>
    <w:p w14:paraId="04123DC2" w14:textId="77777777" w:rsidR="009D7677" w:rsidRDefault="009D7677" w:rsidP="009D7677">
      <w:pPr>
        <w:pStyle w:val="TextoNormal"/>
      </w:pPr>
      <w:r>
        <w:t xml:space="preserve">Con carácter previo a la refutación de los motivos de impugnación, el abogado del Estado expone en términos generales el contenido y la estructura de la Ley Orgánica 1/2023. Señala que la Ley Orgánica 1/2023 no establece </w:t>
      </w:r>
      <w:r w:rsidRPr="009D7677">
        <w:rPr>
          <w:i/>
        </w:rPr>
        <w:t>ex novo</w:t>
      </w:r>
      <w:r>
        <w:t xml:space="preserve"> un sistema de plazos para la práctica de la interrupción voluntaria del embarazo, cosa que ya hizo la Ley Orgánica 2/2010, sino que “viene a introducir las modificaciones necesarias para garantizar la vigencia efectiva de los derecho sexuales y reproductivos de las mujeres”. Además, pone de manifiesto que la STC 44/2023, de 9 de mayo, desestimó el recurso de inconstitucionalidad núm. 4523-2010, interpuesto precisamente contra la Ley Orgánica 2/2010 y, acto seguido, procede a destacar aquellos pasajes de la referida STC 44/2023 que, a su juicio, rebaten los postulados comunes sobre los que se asientan los ocho motivos del recurso.</w:t>
      </w:r>
    </w:p>
    <w:p w14:paraId="597272C0" w14:textId="77777777" w:rsidR="009D7677" w:rsidRDefault="009D7677" w:rsidP="009D7677">
      <w:pPr>
        <w:pStyle w:val="TextoNormal"/>
      </w:pPr>
    </w:p>
    <w:p w14:paraId="7146BCC4" w14:textId="77777777" w:rsidR="009D7677" w:rsidRDefault="009D7677" w:rsidP="009D7677">
      <w:pPr>
        <w:pStyle w:val="TextoNormal"/>
      </w:pPr>
      <w:r>
        <w:t>Señalado lo anterior, el abogado del Estado da respuesta separada, por su orden, a los ocho motivos en que se funda el recurso de inconstitucionalidad, en los términos que resumidamente se exponen a continuación.</w:t>
      </w:r>
    </w:p>
    <w:p w14:paraId="2E55A488" w14:textId="77777777" w:rsidR="009D7677" w:rsidRDefault="009D7677" w:rsidP="009D7677">
      <w:pPr>
        <w:pStyle w:val="TextoNormal"/>
      </w:pPr>
    </w:p>
    <w:p w14:paraId="0DEC647A" w14:textId="77777777" w:rsidR="009D7677" w:rsidRDefault="009D7677" w:rsidP="009D7677">
      <w:pPr>
        <w:pStyle w:val="TextoNormal"/>
      </w:pPr>
      <w:r>
        <w:t>a) En relación con el primer motivo de impugnación, el abogado del Estado trae a colación la STC 44/2023, FJ 10. Afirma que de sus razonamientos se desprende: (a) que este tribunal ha declarado constitucional la inclusión de la perspectiva de género en el ámbito de las políticas públicas; (b) que la perspectiva de género no constituye una obligación ideológica contraria a la Constitución, sino una herramienta para dar cumplimiento al principio de igualdad entre mujeres y hombres consagrado en los arts. 14 y 9.2 CE; (c) que lo que no tiene cabida en nuestro ordenamiento jurídico-constitucional es el planteamiento de los recurrentes según el cual la igualdad entre mujeres y hombres es una “opción ideológica”; y (d) que la incorporación de la perspectiva de género en las políticas públicas es una obligación derivada de los tratados internacionales de los que España es parte.</w:t>
      </w:r>
    </w:p>
    <w:p w14:paraId="2161C829" w14:textId="77777777" w:rsidR="009D7677" w:rsidRDefault="009D7677" w:rsidP="009D7677">
      <w:pPr>
        <w:pStyle w:val="TextoNormal"/>
      </w:pPr>
    </w:p>
    <w:p w14:paraId="7B0BE4E5" w14:textId="77777777" w:rsidR="009D7677" w:rsidRDefault="009D7677" w:rsidP="009D7677">
      <w:pPr>
        <w:pStyle w:val="TextoNormal"/>
      </w:pPr>
      <w:r>
        <w:t>b) Por lo que se refiere al segundo motivo de impugnación, comienza el abogado del Estado señalando, con cita de la STC 44/2023, FJ 3, que el derecho de las mujeres a la interrupción voluntaria del embarazo debe entenderse amparado por las previsiones constitucionales de los arts. 10 y 15 CE y que de ello se deriva una obligación de los poderes públicos de llevar a cabo actuaciones positivas para remover los obstáculos de todo tipo que puedan encontrar las mujeres en el ejercicio de este derecho. A su juicio, es en el marco de esta finalidad legítima donde se encuadran los arts. 6 y 26 de la Ley Orgánica 2/2010, en la redacción dada por la Ley Orgánica 1/2023 objeto de impugnación.</w:t>
      </w:r>
    </w:p>
    <w:p w14:paraId="7EA3A08A" w14:textId="77777777" w:rsidR="009D7677" w:rsidRDefault="009D7677" w:rsidP="009D7677">
      <w:pPr>
        <w:pStyle w:val="TextoNormal"/>
      </w:pPr>
    </w:p>
    <w:p w14:paraId="78EC4BAD" w14:textId="77777777" w:rsidR="009D7677" w:rsidRDefault="009D7677" w:rsidP="009D7677">
      <w:pPr>
        <w:pStyle w:val="TextoNormal"/>
      </w:pPr>
      <w:r>
        <w:t xml:space="preserve">Razona que dentro de las medidas dirigidas a promover los derechos sexuales y reproductivos de las mujeres y remover los obstáculos que impiden su pleno ejercicio se incluyen las medidas positivas de fomento dirigidas a promover la participación de entidades sin ánimo de lucro cuyas actividades coadyuven a tales objetivos. Sin embargo, existen organizaciones que, actuando en los ámbitos previstos en la ley, se oponen con su actividad a la interrupción voluntaria del embarazo como derecho de la mujer. La Ley Orgánica 1/2023 no prohíbe la existencia de estas entidades, ni sanciona ni impide que manifiesten su postura, pero es legítimo que el legislador tome en consideración que fomentar la participación y actividad de estas entidades implicaría un efecto contrario al fomento y protección de los derechos reconocidos en la Ley. Defiende que los incisos recurridos persiguen </w:t>
      </w:r>
      <w:r>
        <w:lastRenderedPageBreak/>
        <w:t>una finalidad legítima que identifica con la necesidad de evitar que la promoción y apoyo a las entidades sin ánimo de lucro pueda redundar en un resultado contrario a la promoción y respeto de los derechos reconocidos en la Ley.</w:t>
      </w:r>
    </w:p>
    <w:p w14:paraId="19AE3BD1" w14:textId="77777777" w:rsidR="009D7677" w:rsidRDefault="009D7677" w:rsidP="009D7677">
      <w:pPr>
        <w:pStyle w:val="TextoNormal"/>
      </w:pPr>
    </w:p>
    <w:p w14:paraId="7A56890A" w14:textId="77777777" w:rsidR="009D7677" w:rsidRDefault="009D7677" w:rsidP="009D7677">
      <w:pPr>
        <w:pStyle w:val="TextoNormal"/>
      </w:pPr>
      <w:r>
        <w:t>Continúa señalando que, incluso si los incisos recurridos no existiesen, las organizaciones contrarias a los derechos sexuales y reproductivos de las mujeres también quedarían fuera del ámbito de aplicación de los arts. 6 y 26 de la Ley Orgánica 2/2010, en la redacción recurrida.</w:t>
      </w:r>
    </w:p>
    <w:p w14:paraId="3AF4DF02" w14:textId="77777777" w:rsidR="009D7677" w:rsidRDefault="009D7677" w:rsidP="009D7677">
      <w:pPr>
        <w:pStyle w:val="TextoNormal"/>
      </w:pPr>
    </w:p>
    <w:p w14:paraId="100AA446" w14:textId="77777777" w:rsidR="009D7677" w:rsidRDefault="009D7677" w:rsidP="009D7677">
      <w:pPr>
        <w:pStyle w:val="TextoNormal"/>
      </w:pPr>
      <w:r>
        <w:t>Añade que no existe una obligación constitucional que imponga la promoción, apoyo y subvención de todas las organizaciones o entidades sociales por igual y que el legislador es libre de determinar las organizaciones que, en atención a su finalidad, es conveniente apoyar. Esto supone que no se puede realizar ningún reproche constitucional por el establecimiento de un mandato legal de apoyo a determinadas entidades en atención a su finalidad.</w:t>
      </w:r>
    </w:p>
    <w:p w14:paraId="34BD37D9" w14:textId="77777777" w:rsidR="009D7677" w:rsidRDefault="009D7677" w:rsidP="009D7677">
      <w:pPr>
        <w:pStyle w:val="TextoNormal"/>
      </w:pPr>
    </w:p>
    <w:p w14:paraId="29A2A810" w14:textId="77777777" w:rsidR="009D7677" w:rsidRDefault="009D7677" w:rsidP="009D7677">
      <w:pPr>
        <w:pStyle w:val="TextoNormal"/>
      </w:pPr>
      <w:r>
        <w:t>Por ello, afirma que la decisión de excluir de las medidas de fomento a las organizaciones que se postulan en contra del derecho a la interrupción voluntaria del embarazo, legalmente establecido, resulta plenamente razonable y no arbitraria.</w:t>
      </w:r>
    </w:p>
    <w:p w14:paraId="4EB406C6" w14:textId="77777777" w:rsidR="009D7677" w:rsidRDefault="009D7677" w:rsidP="009D7677">
      <w:pPr>
        <w:pStyle w:val="TextoNormal"/>
      </w:pPr>
    </w:p>
    <w:p w14:paraId="1654C0E3" w14:textId="77777777" w:rsidR="009D7677" w:rsidRDefault="009D7677" w:rsidP="009D7677">
      <w:pPr>
        <w:pStyle w:val="TextoNormal"/>
      </w:pPr>
      <w:r>
        <w:t>Considera que no cabe apreciar discriminación por razón de ideología o creencias porque la norma establece una diferencia de trato en atención a los objetivos perseguidos por unas u otras organizaciones. Afirma que si la finalidad perseguida por el legislador, conforme al art. 1 de la Ley Orgánica 2/2010, es garantizar los derechos fundamentales en el ámbito de la salud sexual y la salud reproductiva y regular las condiciones de la interrupción voluntaria del embarazo, resulta razonable y proporcionado que, dentro del margen que tiene el legislador, apoye la actividad de las entidades que tienen por objeto el fomento de los derechos sexuales y reproductivos previstos en la ley, dejando fuera de las medidas de fomento a aquellas entidades que se oponen a con su actividad a estos derechos.</w:t>
      </w:r>
    </w:p>
    <w:p w14:paraId="47B1C6CA" w14:textId="77777777" w:rsidR="009D7677" w:rsidRDefault="009D7677" w:rsidP="009D7677">
      <w:pPr>
        <w:pStyle w:val="TextoNormal"/>
      </w:pPr>
    </w:p>
    <w:p w14:paraId="1D75391B" w14:textId="77777777" w:rsidR="009D7677" w:rsidRDefault="009D7677" w:rsidP="009D7677">
      <w:pPr>
        <w:pStyle w:val="TextoNormal"/>
      </w:pPr>
      <w:r>
        <w:t>Asimismo, sostiene que tampoco se vulnera el art. 16 CE, porque los preceptos recurridos no afectan a la libertad ideológica, religiosa o de culto, sino que lo relevante es que el fin perseguido por dichas organizaciones sea contrario al espíritu de la ley. Afirma que las entidades contrarias al derecho a la interrupción voluntaria del embarazo pueden continuar desarrollando su actividad y manifestando públicamente su oposición al derecho al aborto, sin que el hecho de no recibir apoyo público comporte una vulneración del derecho a la libertad ideológica, religiosa y de culto.</w:t>
      </w:r>
    </w:p>
    <w:p w14:paraId="20387F99" w14:textId="77777777" w:rsidR="009D7677" w:rsidRDefault="009D7677" w:rsidP="009D7677">
      <w:pPr>
        <w:pStyle w:val="TextoNormal"/>
      </w:pPr>
    </w:p>
    <w:p w14:paraId="4703851D" w14:textId="77777777" w:rsidR="009D7677" w:rsidRDefault="009D7677" w:rsidP="009D7677">
      <w:pPr>
        <w:pStyle w:val="TextoNormal"/>
      </w:pPr>
      <w:r>
        <w:t>Por último, niega la vulneración, por cuanto que es el legislador el que determina los intereses generales a los que debe servir la administración y que, en este caso, estamos ante una ley orgánica que pretende garantizar el ejercicio de un derecho reconocido como tal por el Tribunal Constitucional.</w:t>
      </w:r>
    </w:p>
    <w:p w14:paraId="1524FB41" w14:textId="77777777" w:rsidR="009D7677" w:rsidRDefault="009D7677" w:rsidP="009D7677">
      <w:pPr>
        <w:pStyle w:val="TextoNormal"/>
      </w:pPr>
    </w:p>
    <w:p w14:paraId="3143032B" w14:textId="77777777" w:rsidR="009D7677" w:rsidRDefault="009D7677" w:rsidP="009D7677">
      <w:pPr>
        <w:pStyle w:val="TextoNormal"/>
      </w:pPr>
      <w:r>
        <w:t>c) En cuanto al tercer motivo del recurso de inconstitucionalidad, comienza su argumentación incidiendo en que conforme al art. 27.2 CE y la STC 34/2023, de 18 de abril, FJ 7, la educación no es una mera transmisión de conocimientos, sino que es también formación humana, y que la inclusión de la educación afectivo-sexual en el ámbito de la edu</w:t>
      </w:r>
      <w:r>
        <w:lastRenderedPageBreak/>
        <w:t>cación para la salud es constitucional y no compromete el derecho de los padre</w:t>
      </w:r>
      <w:r w:rsidRPr="009D7677">
        <w:rPr>
          <w:i/>
        </w:rPr>
        <w:t xml:space="preserve">s </w:t>
      </w:r>
      <w:r>
        <w:t>ex art. 27.3 CE.</w:t>
      </w:r>
    </w:p>
    <w:p w14:paraId="2F511A7C" w14:textId="77777777" w:rsidR="009D7677" w:rsidRDefault="009D7677" w:rsidP="009D7677">
      <w:pPr>
        <w:pStyle w:val="TextoNormal"/>
      </w:pPr>
    </w:p>
    <w:p w14:paraId="5374868F" w14:textId="77777777" w:rsidR="009D7677" w:rsidRDefault="009D7677" w:rsidP="009D7677">
      <w:pPr>
        <w:pStyle w:val="TextoNormal"/>
      </w:pPr>
      <w:r>
        <w:t>Partiendo de estas consideraciones, se centra en el inciso impugnado del art. 9.1 de la Ley Orgánica 2/2010, en la redacción dada por la Ley Orgánica 1/2023, y señala que lo que hace el legislador es enumerar un conjunto de aspectos de la realidad de las relaciones sexuales y afectivas que no pueden ignorarse si lo que se pretende es dar una educación completa sobre la misma. Añade que el precepto está configurado de forma suficientemente amplia y abierta como para que, en su aplicación, los contenidos que integren efectivamente la formación en salud sexual y reproductiva se impartan de forma objetiva, crítica y pluralista.</w:t>
      </w:r>
    </w:p>
    <w:p w14:paraId="14C215FD" w14:textId="77777777" w:rsidR="009D7677" w:rsidRDefault="009D7677" w:rsidP="009D7677">
      <w:pPr>
        <w:pStyle w:val="TextoNormal"/>
      </w:pPr>
    </w:p>
    <w:p w14:paraId="33C8B484" w14:textId="77777777" w:rsidR="009D7677" w:rsidRDefault="009D7677" w:rsidP="009D7677">
      <w:pPr>
        <w:pStyle w:val="TextoNormal"/>
      </w:pPr>
      <w:r>
        <w:t>Sostiene que existe un amplio consenso internacional acerca de la necesidad de dar un enfoque completo a la educación sexual y reproductiva, con cita de diversas resoluciones del Comité de Derechos Económicos, Sociales y Culturales, el Parlamento Europeo y la Organización Mundial de la Salud.</w:t>
      </w:r>
    </w:p>
    <w:p w14:paraId="6FA72B71" w14:textId="77777777" w:rsidR="009D7677" w:rsidRDefault="009D7677" w:rsidP="009D7677">
      <w:pPr>
        <w:pStyle w:val="TextoNormal"/>
      </w:pPr>
    </w:p>
    <w:p w14:paraId="53630FFD" w14:textId="77777777" w:rsidR="009D7677" w:rsidRDefault="009D7677" w:rsidP="009D7677">
      <w:pPr>
        <w:pStyle w:val="TextoNormal"/>
      </w:pPr>
      <w:r>
        <w:t>Entiende que el art. 9.1 de la Ley Orgánica 2/2010 no establece una determinada concepción ideológica de la sexualidad, como postulan los diputados recurrentes, sino que procura que la educación sexual y reproductiva sea completa, abarcando aspectos innegables de dicha realidad.</w:t>
      </w:r>
    </w:p>
    <w:p w14:paraId="54153683" w14:textId="77777777" w:rsidR="009D7677" w:rsidRDefault="009D7677" w:rsidP="009D7677">
      <w:pPr>
        <w:pStyle w:val="TextoNormal"/>
      </w:pPr>
    </w:p>
    <w:p w14:paraId="16B4C5FD" w14:textId="77777777" w:rsidR="009D7677" w:rsidRDefault="009D7677" w:rsidP="009D7677">
      <w:pPr>
        <w:pStyle w:val="TextoNormal"/>
      </w:pPr>
      <w:r>
        <w:t>Concluye señalando que a la luz de la jurisprudencia del Tribunal Europeo de Derechos Humanos y el Tribunal Constitucional, ni el art. 16.1 CE ni el art. 27.3 CE obstan al objetivo del legislador plasmado en el art. 9.1 de la Ley Orgánica 2/2010, sino que, teniendo en cuenta la inevitable exposición de los menores de edad a discursos e imágenes de contenido sexual, más bien existe un deber constitucional de diligencia de los poderes públicos para garantizar que la impartición de educación afectivo-sexual les dote de herramientas necesarias para entender ese cúmulo de mensajes e imágenes y ser capaces de desarrollar libremente su personalidad, así como de adoptar prácticas saludables.</w:t>
      </w:r>
    </w:p>
    <w:p w14:paraId="462926BF" w14:textId="77777777" w:rsidR="009D7677" w:rsidRDefault="009D7677" w:rsidP="009D7677">
      <w:pPr>
        <w:pStyle w:val="TextoNormal"/>
      </w:pPr>
    </w:p>
    <w:p w14:paraId="5B0BDB40" w14:textId="77777777" w:rsidR="009D7677" w:rsidRDefault="009D7677" w:rsidP="009D7677">
      <w:pPr>
        <w:pStyle w:val="TextoNormal"/>
      </w:pPr>
      <w:r>
        <w:t xml:space="preserve">d) Al abordar el cuarto motivo de impugnación, comienza criticando que del conjunto de alegaciones de los recurrentes no se desprende con claridad si impugnan el nuevo art. 13 </w:t>
      </w:r>
      <w:r w:rsidRPr="009D7677">
        <w:rPr>
          <w:i/>
        </w:rPr>
        <w:t>bis</w:t>
      </w:r>
      <w:r>
        <w:t xml:space="preserve"> de la Ley Orgánica 2/2010, introducido en la misma por la Ley Orgánica 1/2023, por suprimir la necesidad del consentimiento paterno en relación con la interrupción voluntaria del embarazo de las mujeres de entre dieciséis y dieciocho años, establecido en la modificación operada por la Ley Orgánica 11/2015, o si simplemente se impugna por no prever la necesaria información a uno de los progenitores, que contemplaba la redacción originaria de la Ley Orgánica 2/2010, antes de la modificación operada por la Ley Orgánica 11/2015.</w:t>
      </w:r>
    </w:p>
    <w:p w14:paraId="6C8D5AE6" w14:textId="77777777" w:rsidR="009D7677" w:rsidRDefault="009D7677" w:rsidP="009D7677">
      <w:pPr>
        <w:pStyle w:val="TextoNormal"/>
      </w:pPr>
    </w:p>
    <w:p w14:paraId="302309B0" w14:textId="77777777" w:rsidR="009D7677" w:rsidRDefault="009D7677" w:rsidP="009D7677">
      <w:pPr>
        <w:pStyle w:val="TextoNormal"/>
      </w:pPr>
      <w:r>
        <w:t>Señala también que buena parte del motivo se dirige a cuestionar el sistema de plazos y el derecho a acceder a la interrupción voluntaria del embarazo, entendiendo que tales alegaciones deben rechazarse con base en la STC 44/2023.</w:t>
      </w:r>
    </w:p>
    <w:p w14:paraId="297ABBD0" w14:textId="77777777" w:rsidR="009D7677" w:rsidRDefault="009D7677" w:rsidP="009D7677">
      <w:pPr>
        <w:pStyle w:val="TextoNormal"/>
      </w:pPr>
    </w:p>
    <w:p w14:paraId="6BF86625" w14:textId="77777777" w:rsidR="009D7677" w:rsidRDefault="009D7677" w:rsidP="009D7677">
      <w:pPr>
        <w:pStyle w:val="TextoNormal"/>
      </w:pPr>
      <w:r>
        <w:t xml:space="preserve">Acto seguido, procede a delimitar el objeto del examen del motivo de recurso, y parte de la consideración de que el nuevo art. 13 </w:t>
      </w:r>
      <w:r w:rsidRPr="009D7677">
        <w:rPr>
          <w:i/>
        </w:rPr>
        <w:t>bis</w:t>
      </w:r>
      <w:r>
        <w:t xml:space="preserve"> de la Ley Orgánica 2/2010 debe entenderse en conjunción con la modificación del art. 9 de la Ley 41/2022, de 14 de noviembre, bási</w:t>
      </w:r>
      <w:r>
        <w:lastRenderedPageBreak/>
        <w:t>ca reguladora de la autonomía del paciente y de derechos y obligaciones en materia de información y documentación clínica, modificado por la disposición final duodécima de la Ley Orgánica 1/2023.</w:t>
      </w:r>
    </w:p>
    <w:p w14:paraId="71A9C56A" w14:textId="77777777" w:rsidR="009D7677" w:rsidRDefault="009D7677" w:rsidP="009D7677">
      <w:pPr>
        <w:pStyle w:val="TextoNormal"/>
      </w:pPr>
    </w:p>
    <w:p w14:paraId="4C149447" w14:textId="77777777" w:rsidR="009D7677" w:rsidRDefault="009D7677" w:rsidP="009D7677">
      <w:pPr>
        <w:pStyle w:val="TextoNormal"/>
      </w:pPr>
      <w:r>
        <w:t>Tras repasar los antecedentes normativos del precepto en las redacciones dadas por la Ley Orgánica 2/2010 y la Ley Orgánica 11/2015, afirma la falta de fundamento de las alegaciones de inconstitucionalidad por las razones siguientes.</w:t>
      </w:r>
    </w:p>
    <w:p w14:paraId="4917D07B" w14:textId="77777777" w:rsidR="009D7677" w:rsidRDefault="009D7677" w:rsidP="009D7677">
      <w:pPr>
        <w:pStyle w:val="TextoNormal"/>
      </w:pPr>
    </w:p>
    <w:p w14:paraId="1BE15718" w14:textId="77777777" w:rsidR="009D7677" w:rsidRDefault="009D7677" w:rsidP="009D7677">
      <w:pPr>
        <w:pStyle w:val="TextoNormal"/>
      </w:pPr>
      <w:r>
        <w:t>(i) En relación con la denunciada arbitrariedad del cambio legal, recuerda que la doctrina constitucional ha venido afirmando que la aplicación del art. 9.3 CE, en relación con la interdicción de la arbitrariedad de los poderes públicos, como causa de inconstitucionalidad de una norma con rango de ley, ha de hacerse con extremada prudencia. Cita la exposición de motivos y la memoria de análisis de impacto normativo acompañada al proyecto de ley, al remitirlo a las Cortes Generales, para justificar que el legislador tiene y ha ofrecido razones para el cambio normativo.</w:t>
      </w:r>
    </w:p>
    <w:p w14:paraId="0536BD6D" w14:textId="77777777" w:rsidR="009D7677" w:rsidRDefault="009D7677" w:rsidP="009D7677">
      <w:pPr>
        <w:pStyle w:val="TextoNormal"/>
      </w:pPr>
    </w:p>
    <w:p w14:paraId="3A177C2A" w14:textId="77777777" w:rsidR="009D7677" w:rsidRDefault="009D7677" w:rsidP="009D7677">
      <w:pPr>
        <w:pStyle w:val="TextoNormal"/>
      </w:pPr>
      <w:r>
        <w:t>A continuación, el abogado del Estado sostiene que la Constitución no impone que toda decisión que afecte a los derechos fundamentales de los mayores de dieciséis años deba ser tomada por sus representantes legales, sino que, por el contrario, la Constitución confiere un margen de maniobra al legislador para determinar la capacidad de obrar de los menores, en el ejercicio de sus derechos de la personalidad, en atención a sus condiciones de madurez. Cita a tal efecto, entre otras, la STC 99/2019, de 18 de julio.</w:t>
      </w:r>
    </w:p>
    <w:p w14:paraId="40B5CFC9" w14:textId="77777777" w:rsidR="009D7677" w:rsidRDefault="009D7677" w:rsidP="009D7677">
      <w:pPr>
        <w:pStyle w:val="TextoNormal"/>
      </w:pPr>
    </w:p>
    <w:p w14:paraId="4580FF0B" w14:textId="77777777" w:rsidR="009D7677" w:rsidRDefault="009D7677" w:rsidP="009D7677">
      <w:pPr>
        <w:pStyle w:val="TextoNormal"/>
      </w:pPr>
      <w:r>
        <w:t>De aquí colige que ningún precepto constitucional impide que el legislador establezca una edad inferior a los dieciocho años en la que considere que la menor de edad tiene capacidad suficiente para decidir por sí misma. Es más, a la luz del art. 39.4 CE, en relación con el art. 12 de la Convención de los derechos del niño, estaría justificado que el legislador nacional diera primacía a la opinión del menor en los que se refiere a una decisión tan trascendente para ella como es la asunción de la maternidad.</w:t>
      </w:r>
    </w:p>
    <w:p w14:paraId="2876DF27" w14:textId="77777777" w:rsidR="009D7677" w:rsidRDefault="009D7677" w:rsidP="009D7677">
      <w:pPr>
        <w:pStyle w:val="TextoNormal"/>
      </w:pPr>
    </w:p>
    <w:p w14:paraId="29997362" w14:textId="77777777" w:rsidR="009D7677" w:rsidRDefault="009D7677" w:rsidP="009D7677">
      <w:pPr>
        <w:pStyle w:val="TextoNormal"/>
      </w:pPr>
      <w:r>
        <w:t xml:space="preserve">(ii) Asimismo, rechaza la vulneración del deber de asistencia de los padres </w:t>
      </w:r>
      <w:r w:rsidRPr="009D7677">
        <w:rPr>
          <w:i/>
        </w:rPr>
        <w:t>ex</w:t>
      </w:r>
      <w:r>
        <w:t xml:space="preserve"> art. 39.3 CE. Entiende que se trata de un deber, no de un derecho, y que, como la mayoría de los deberes constitucionales, es de configuración legal, de modo que es el legislador y no cada progenitor el que concreta las obligaciones que, en aplicación del art. 39.2 CE, deben cumplir los progenitores respecto de sus hijos. Por ello, la atribución de una mayor autonomía al menor no implica una vulneración del art. 39.3 CE.</w:t>
      </w:r>
    </w:p>
    <w:p w14:paraId="48476E35" w14:textId="77777777" w:rsidR="009D7677" w:rsidRDefault="009D7677" w:rsidP="009D7677">
      <w:pPr>
        <w:pStyle w:val="TextoNormal"/>
      </w:pPr>
    </w:p>
    <w:p w14:paraId="344B1296" w14:textId="77777777" w:rsidR="009D7677" w:rsidRDefault="009D7677" w:rsidP="009D7677">
      <w:pPr>
        <w:pStyle w:val="TextoNormal"/>
      </w:pPr>
      <w:r>
        <w:t>En todo caso, el legislador ha optado por sujetar el consentimiento de las mujeres menores de edad entre dieciséis y dieciocho años a las exigencias generales que, para dicho tramo de edad, impone la normativa sanitaria (art. 9.4 de la Ley 41/2002). Recuerda que en el régimen de la Ley 41/2002, no cabe prestar el consentimiento por representación en el caso de personas entre los dieciséis y los dieciocho años, salvo en supuestos excepcionales y que el régimen de mayoría de edad sanitaria no exige que la intervención o actuación médica sea puesta previamente en conocimiento de los padres. Sostiene que estas mismas reglas son aplicables a la interrupción voluntaria del embarazo en mujeres de entre dieciséis y dieciocho años, por la Ley Orgánica 1/2023 ni deroga ni permite inaplicar la Ley 41/2002, sino que el régimen de la Ley Orgánica 2/2010, en la redacción dada por la Ley Orgánica 1/2023, es coherente con lo establecido en la Ley 41/2002.</w:t>
      </w:r>
    </w:p>
    <w:p w14:paraId="1B8038A3" w14:textId="77777777" w:rsidR="009D7677" w:rsidRDefault="009D7677" w:rsidP="009D7677">
      <w:pPr>
        <w:pStyle w:val="TextoNormal"/>
      </w:pPr>
    </w:p>
    <w:p w14:paraId="62474ACD" w14:textId="77777777" w:rsidR="009D7677" w:rsidRDefault="009D7677" w:rsidP="009D7677">
      <w:pPr>
        <w:pStyle w:val="TextoNormal"/>
      </w:pPr>
      <w:r>
        <w:t>Afirma que es legítimo que, por las connotaciones morales que tiene la interrupción voluntaria del embarazo, se trate de justificar que la decisión de las mujeres de entre dieciséis y dieciocho años debería contar con autorización paterna o, al menos, ser puesta en conocimiento de los padres, pero afirma que ello solo es una opción posible, a valorar en términos de oportunidad política, pero que deben quedar al margen del análisis de constitucionalidad.</w:t>
      </w:r>
    </w:p>
    <w:p w14:paraId="741FA820" w14:textId="77777777" w:rsidR="009D7677" w:rsidRDefault="009D7677" w:rsidP="009D7677">
      <w:pPr>
        <w:pStyle w:val="TextoNormal"/>
      </w:pPr>
    </w:p>
    <w:p w14:paraId="5CA61B3B" w14:textId="77777777" w:rsidR="009D7677" w:rsidRDefault="009D7677" w:rsidP="009D7677">
      <w:pPr>
        <w:pStyle w:val="TextoNormal"/>
      </w:pPr>
      <w:r>
        <w:t>Niega la vulneración del art. 39.3 CE, concluyendo que los padres no tienen un derecho constitucional a ser informados de todas las decisiones personalísimas de sus hijos, relativas a la esfera de su intimidad y que, en caso de existir este derecho, sería de origen legal y no se reconoce en el ámbito sanitario como regla general, cuando se trata de mayores de dieciséis años o menores emancipados.</w:t>
      </w:r>
    </w:p>
    <w:p w14:paraId="31285D20" w14:textId="77777777" w:rsidR="009D7677" w:rsidRDefault="009D7677" w:rsidP="009D7677">
      <w:pPr>
        <w:pStyle w:val="TextoNormal"/>
      </w:pPr>
    </w:p>
    <w:p w14:paraId="7E2FC201" w14:textId="77777777" w:rsidR="009D7677" w:rsidRDefault="009D7677" w:rsidP="009D7677">
      <w:pPr>
        <w:pStyle w:val="TextoNormal"/>
      </w:pPr>
      <w:r>
        <w:t>(iii) Niega también el abogado del Estado la infracción del art. 27.3 CE, que no puede entenderse desconectado del ámbito de la enseñanza, a que se refiere dicho precepto constitucional. La regulación de los requisitos del consentimiento informado de las mujeres entre dieciséis y dieciocho años en relación con la interrupción voluntaria del embarazo en nada afecta al derecho a la educación ni mucho menos al derecho de los padres a formar a sus hijos conforme a sus propias convicciones morales y religiosas.</w:t>
      </w:r>
    </w:p>
    <w:p w14:paraId="759A342E" w14:textId="77777777" w:rsidR="009D7677" w:rsidRDefault="009D7677" w:rsidP="009D7677">
      <w:pPr>
        <w:pStyle w:val="TextoNormal"/>
      </w:pPr>
    </w:p>
    <w:p w14:paraId="21B16074" w14:textId="77777777" w:rsidR="009D7677" w:rsidRDefault="009D7677" w:rsidP="009D7677">
      <w:pPr>
        <w:pStyle w:val="TextoNormal"/>
      </w:pPr>
      <w:r>
        <w:t>(iv) Por último, niega que al no preverse la obligatoriedad de informar a los progenitores de la decisión de interrupción voluntaria del embarazo se vulnere el art. 15 CE, en relación con la protección constitucional de la vida prenatal. A partir de la cita de la STC 44/2023, concluye que el embarazo afecta a la mujer embarazada, a su integridad física y moral (art. 15 CE) y al libre desarrollo de su personalidad (art. 10 CE), que son derechos personalísimos que solo puede ejercer su titular. Trae a colación la STC 154/2002, de 18 de julio, FFJJ 9 y 10. Frente a los derechos de la mujer embarazada se encuentra el deber del Estado, no de los particulares, de proteger la vida prenatal como bien constitucionalmente protegido y que, en este sentido, el sistema de plazos de la Ley Orgánica 2/2010 garantiza plenamente el cumplimiento de este deber.</w:t>
      </w:r>
    </w:p>
    <w:p w14:paraId="75DB6E7B" w14:textId="77777777" w:rsidR="009D7677" w:rsidRDefault="009D7677" w:rsidP="009D7677">
      <w:pPr>
        <w:pStyle w:val="TextoNormal"/>
      </w:pPr>
    </w:p>
    <w:p w14:paraId="0C693552" w14:textId="77777777" w:rsidR="009D7677" w:rsidRDefault="009D7677" w:rsidP="009D7677">
      <w:pPr>
        <w:pStyle w:val="TextoNormal"/>
      </w:pPr>
      <w:r>
        <w:t>e) Acto seguido, el abogado del Estado aborda el quinto motivo de impugnación, relativo a la omisión de los requisitos de la información previa y obligatoria sobre los derechos, prestaciones y ayudas públicas de apoyo a la maternidad y del período de reflexión de tres días. Para ello, parte de la consideración de la conformidad del actual sistema de plazos con el art. 15 CE, conforme a la STC 44/2023.</w:t>
      </w:r>
    </w:p>
    <w:p w14:paraId="1CE21A7C" w14:textId="77777777" w:rsidR="009D7677" w:rsidRDefault="009D7677" w:rsidP="009D7677">
      <w:pPr>
        <w:pStyle w:val="TextoNormal"/>
      </w:pPr>
    </w:p>
    <w:p w14:paraId="4274B3C0" w14:textId="77777777" w:rsidR="009D7677" w:rsidRDefault="009D7677" w:rsidP="009D7677">
      <w:pPr>
        <w:pStyle w:val="TextoNormal"/>
      </w:pPr>
      <w:r>
        <w:t xml:space="preserve">Tras ello, razona que el recurso parte de la premisa errónea de que con la nueva redacción del art. 14 de la Ley Orgánica 2/2010, dada por la Ley Orgánica 1/2023, la mujer que desea acceder a la interrupción voluntaria del embarazo deja de tener la información necesaria para prestar su consentimiento informado. Frente a esta premisa, el abogado del Estado considera que el art. 14 de la Ley Orgánica 2/2010 debe interpretarse de manera sistemática con el art. 17 de la misma. A su juicio, queda claro que la nueva redacción no supone una supresión de los deberes de consentimiento informado, sino la aplicación en bloque de la Ley 41/2002 a la interrupción voluntaria del embarazo, equiparando el régimen de esta al general establecido para cualquier intervención quirúrgica. Las modificaciones de los arts. 14 y 17 de la Ley Orgánica 2/2010 mantienen el deber de trasladar a la </w:t>
      </w:r>
      <w:r>
        <w:lastRenderedPageBreak/>
        <w:t>mujer embarazada información de relevancia médica, pero la información adicional relativa a las ayudas a la maternidad, no estrictamente médica, se ofrece a la mujer embarazada, pero no se le impone.</w:t>
      </w:r>
    </w:p>
    <w:p w14:paraId="08E04953" w14:textId="77777777" w:rsidR="009D7677" w:rsidRDefault="009D7677" w:rsidP="009D7677">
      <w:pPr>
        <w:pStyle w:val="TextoNormal"/>
      </w:pPr>
    </w:p>
    <w:p w14:paraId="76654D28" w14:textId="77777777" w:rsidR="009D7677" w:rsidRDefault="009D7677" w:rsidP="009D7677">
      <w:pPr>
        <w:pStyle w:val="TextoNormal"/>
      </w:pPr>
      <w:r>
        <w:t>Por lo tanto, la Ley Orgánica 1/2023 salvaguarda de forma total el consentimiento informado de la mujer embarazada que decide interrumpir voluntariamente su embarazo. Cuestión distinta es que los recurrentes no estén de acuerdo con que la ley no exija que se le entregue obligatoriamente información con el objetivo de que “reconsidere” su decisión, pero ello no afecta a la formación del consentimiento informado, y es una discrepancia de trascendencia meramente moral, pero no jurídico-constitucional.</w:t>
      </w:r>
    </w:p>
    <w:p w14:paraId="745C8218" w14:textId="77777777" w:rsidR="009D7677" w:rsidRDefault="009D7677" w:rsidP="009D7677">
      <w:pPr>
        <w:pStyle w:val="TextoNormal"/>
      </w:pPr>
    </w:p>
    <w:p w14:paraId="5AEAE9F8" w14:textId="77777777" w:rsidR="009D7677" w:rsidRDefault="009D7677" w:rsidP="009D7677">
      <w:pPr>
        <w:pStyle w:val="TextoNormal"/>
      </w:pPr>
      <w:r>
        <w:t>Defiende que la opción del legislador persigue, dentro del margen de apreciación de que dispone, eliminar toda traba adicional al acceso a la interrupción voluntaria del embarazo, sin perjuicio de exigir el régimen general de garantías de la Ley 41/2002. La finalidad de la reforma es reducir las injerencias en la libre decisión de la mujer, pero mantiene a su alcance la información completa que puede necesitar para adoptar su decisión.</w:t>
      </w:r>
    </w:p>
    <w:p w14:paraId="1193FB5E" w14:textId="77777777" w:rsidR="009D7677" w:rsidRDefault="009D7677" w:rsidP="009D7677">
      <w:pPr>
        <w:pStyle w:val="TextoNormal"/>
      </w:pPr>
    </w:p>
    <w:p w14:paraId="66F00D40" w14:textId="77777777" w:rsidR="009D7677" w:rsidRDefault="009D7677" w:rsidP="009D7677">
      <w:pPr>
        <w:pStyle w:val="TextoNormal"/>
      </w:pPr>
      <w:r>
        <w:t>Las mismas consideraciones son trasladables a la supresión del período de reflexión, que tampoco se exige con carácter general en las intervenciones quirúrgicas en el régimen de la Ley 41/2002.</w:t>
      </w:r>
    </w:p>
    <w:p w14:paraId="09663F9F" w14:textId="77777777" w:rsidR="009D7677" w:rsidRDefault="009D7677" w:rsidP="009D7677">
      <w:pPr>
        <w:pStyle w:val="TextoNormal"/>
      </w:pPr>
    </w:p>
    <w:p w14:paraId="78766F82" w14:textId="77777777" w:rsidR="009D7677" w:rsidRDefault="009D7677" w:rsidP="009D7677">
      <w:pPr>
        <w:pStyle w:val="TextoNormal"/>
      </w:pPr>
      <w:r>
        <w:t>La supresión de cargas adicionales, no contempladas en la Ley 41/2002, supone una opción legítima del legislador para que la mujer, debidamente informada sobre la naturaleza y consecuencias de la intervención, pueda acceder a la interrupción voluntaria del embarazo en debido tiempo, sin tener que recibir información que no se refiere estrictamente a la naturaleza y consecuencias de la intervención, sino al régimen de ayudas a la maternidad (que, en todo caso, puede solicitar) y sin tener que esperar tres días a pesar de estar ya plenamente decidida a que se le practique la interrupción voluntaria del embarazo que no desea.</w:t>
      </w:r>
    </w:p>
    <w:p w14:paraId="1C4D589B" w14:textId="77777777" w:rsidR="009D7677" w:rsidRDefault="009D7677" w:rsidP="009D7677">
      <w:pPr>
        <w:pStyle w:val="TextoNormal"/>
      </w:pPr>
    </w:p>
    <w:p w14:paraId="0722B065" w14:textId="77777777" w:rsidR="009D7677" w:rsidRDefault="009D7677" w:rsidP="009D7677">
      <w:pPr>
        <w:pStyle w:val="TextoNormal"/>
      </w:pPr>
      <w:r>
        <w:t>Por ello, rechaza que se haya incurrido en infracción de los arts. 9.3 y 15 CE. En cuanto a la vulneración del art. 39.2 CE sostiene que carecen de razón los recurrentes cuando pretenden ver en dicho precepto constitucional un deber del Estado de “hacer un esfuerzo para que las mujeres embarazadas lleguen a dar a luz”.</w:t>
      </w:r>
    </w:p>
    <w:p w14:paraId="1BC7154E" w14:textId="77777777" w:rsidR="009D7677" w:rsidRDefault="009D7677" w:rsidP="009D7677">
      <w:pPr>
        <w:pStyle w:val="TextoNormal"/>
      </w:pPr>
    </w:p>
    <w:p w14:paraId="5A8A0DA8" w14:textId="77777777" w:rsidR="009D7677" w:rsidRDefault="009D7677" w:rsidP="009D7677">
      <w:pPr>
        <w:pStyle w:val="TextoNormal"/>
      </w:pPr>
      <w:r>
        <w:t>f) Por lo que hace al sexto motivo en que se basa el recurso de inconstitucionalidad, comienza el abogado del Estado señalando que el art. 16 de la Ley Orgánica 2/2010, objeto de impugnación, regula la composición del comité a que se refiere el art. 15 de la Ley Orgánica 2/2010 cuya misión es constatar si se detecta en el feto una enfermedad extremadamente grave e incurable en el momento del diagnóstico que permita acceder a la interrupción voluntaria del embarazo más allá de las veintidos semanas de gestación. Entiende que el comité constituye una garantía al servicio de la debida ponderación de los derechos fundamentales de la mujer embarazada y del interés jurídicamente digno de protección que representa la vida prenatal.</w:t>
      </w:r>
    </w:p>
    <w:p w14:paraId="5269997A" w14:textId="77777777" w:rsidR="009D7677" w:rsidRDefault="009D7677" w:rsidP="009D7677">
      <w:pPr>
        <w:pStyle w:val="TextoNormal"/>
      </w:pPr>
    </w:p>
    <w:p w14:paraId="13FE865F" w14:textId="77777777" w:rsidR="009D7677" w:rsidRDefault="009D7677" w:rsidP="009D7677">
      <w:pPr>
        <w:pStyle w:val="TextoNormal"/>
      </w:pPr>
      <w:r>
        <w:t xml:space="preserve">Partiendo de estas premisas entiende que al excluir de este comité a los profesionales que figuren en los registros de objetores de conciencia o que hubieran figurado en los mismos en los tres años anteriores, el precepto vela de manera adecuada y proporcionada </w:t>
      </w:r>
      <w:r>
        <w:lastRenderedPageBreak/>
        <w:t>por los dos intereses en juego, que son el pleno respeto del derecho de las mujeres a interrumpir voluntariamente su embarazo y el derecho a la objeción de conciencia del personal sanitario.</w:t>
      </w:r>
    </w:p>
    <w:p w14:paraId="0B34ADD3" w14:textId="77777777" w:rsidR="009D7677" w:rsidRDefault="009D7677" w:rsidP="009D7677">
      <w:pPr>
        <w:pStyle w:val="TextoNormal"/>
      </w:pPr>
    </w:p>
    <w:p w14:paraId="5D9F2631" w14:textId="77777777" w:rsidR="009D7677" w:rsidRDefault="009D7677" w:rsidP="009D7677">
      <w:pPr>
        <w:pStyle w:val="TextoNormal"/>
      </w:pPr>
      <w:r>
        <w:t>Desde el punto de vista de la objeción de conciencia, permite que las creencias de los profesionales sanitarios sean plenamente respetadas, eximiéndoles no solo de practicar la interrupción voluntaria del embarazo, sino también de participar en otro trámite esencial del sistema.</w:t>
      </w:r>
    </w:p>
    <w:p w14:paraId="4C622123" w14:textId="77777777" w:rsidR="009D7677" w:rsidRDefault="009D7677" w:rsidP="009D7677">
      <w:pPr>
        <w:pStyle w:val="TextoNormal"/>
      </w:pPr>
    </w:p>
    <w:p w14:paraId="0F1644F6" w14:textId="77777777" w:rsidR="009D7677" w:rsidRDefault="009D7677" w:rsidP="009D7677">
      <w:pPr>
        <w:pStyle w:val="TextoNormal"/>
      </w:pPr>
      <w:r>
        <w:t>Desde el punto de vista de la organización del sistema sanitario, permite a las autoridades sanitarias formar diligentemente los comités sin que su funcionamiento se vea impedido por motivos de conciencia y asegura a la mujer que el examen de su situación va a ser realizado por especialistas sin conflictos por razones de conciencia.</w:t>
      </w:r>
    </w:p>
    <w:p w14:paraId="5DD8F1A5" w14:textId="77777777" w:rsidR="009D7677" w:rsidRDefault="009D7677" w:rsidP="009D7677">
      <w:pPr>
        <w:pStyle w:val="TextoNormal"/>
      </w:pPr>
    </w:p>
    <w:p w14:paraId="55F8976D" w14:textId="77777777" w:rsidR="009D7677" w:rsidRDefault="009D7677" w:rsidP="009D7677">
      <w:pPr>
        <w:pStyle w:val="TextoNormal"/>
      </w:pPr>
      <w:r>
        <w:t>Añade que el plazo de tres años fijado por la ley no es un “castigo”, sino un mecanismo de certeza al servicio de tales fines. Indica que cabe la posibilidad de que un profesional sanitario sea dado de baja del registro por dejar de desarrollar su actividad en un centro sanitario acreditado para la práctica de la interrupción voluntaria del embarazo o por dejar de prestar funciones que conlleven participación directa en estas prácticas. Estas circunstancias pueden motivar la baja en el registro, si bien el conflicto volvería a aflorar si, tras ello, es designado para participar en uno de los comités encargados en participar en el proceso de interrupción voluntaria del embarazo.</w:t>
      </w:r>
    </w:p>
    <w:p w14:paraId="7BA8AD5B" w14:textId="77777777" w:rsidR="009D7677" w:rsidRDefault="009D7677" w:rsidP="009D7677">
      <w:pPr>
        <w:pStyle w:val="TextoNormal"/>
      </w:pPr>
    </w:p>
    <w:p w14:paraId="702A5ACF" w14:textId="77777777" w:rsidR="009D7677" w:rsidRDefault="009D7677" w:rsidP="009D7677">
      <w:pPr>
        <w:pStyle w:val="TextoNormal"/>
      </w:pPr>
      <w:r>
        <w:t>Por ello, aun suponiendo que la regulación restringiese de alguna manera los intereses de los profesionales que han manifestado su objeción de conciencia, la fijación de un plazo prudencial de tres años persigue una finalidad legítima, no es arbitraria ni tampoco puede estimarse desproporcionada.</w:t>
      </w:r>
    </w:p>
    <w:p w14:paraId="7A186F60" w14:textId="77777777" w:rsidR="009D7677" w:rsidRDefault="009D7677" w:rsidP="009D7677">
      <w:pPr>
        <w:pStyle w:val="TextoNormal"/>
      </w:pPr>
    </w:p>
    <w:p w14:paraId="30578F90" w14:textId="77777777" w:rsidR="009D7677" w:rsidRDefault="009D7677" w:rsidP="009D7677">
      <w:pPr>
        <w:pStyle w:val="TextoNormal"/>
      </w:pPr>
      <w:r>
        <w:t>g) En cuanto al séptimo motivo del recurso de inconstitucionalidad, comienza su argumentación señalando que la modificación operada consiste únicamente en que la información relativa a las ayudas disponibles para las mujeres embarazadas y la cobertura sanitaria durante el embarazo y el parto ya no se entrega de forma obligatoria y en sobre cerrado, sino que se ofrece a la mujer embarazada si esta lo interesa.</w:t>
      </w:r>
    </w:p>
    <w:p w14:paraId="5963D311" w14:textId="77777777" w:rsidR="009D7677" w:rsidRDefault="009D7677" w:rsidP="009D7677">
      <w:pPr>
        <w:pStyle w:val="TextoNormal"/>
      </w:pPr>
    </w:p>
    <w:p w14:paraId="07559858" w14:textId="77777777" w:rsidR="009D7677" w:rsidRDefault="009D7677" w:rsidP="009D7677">
      <w:pPr>
        <w:pStyle w:val="TextoNormal"/>
      </w:pPr>
      <w:r>
        <w:t>Se remite a las alegaciones efectuadas al responder al quinto motivo del recurso de inconstitucionalidad, recordando que la modificación no es arbitraria y está dentro del margen de apreciación que tiene el legislador sin vulnerar las exigencias del art. 15 CE. Reitera que el legislador ha equiparado el régimen de consentimiento informado de la interrupción voluntaria del embarazo al de la Ley 41/2002.</w:t>
      </w:r>
    </w:p>
    <w:p w14:paraId="2889803B" w14:textId="77777777" w:rsidR="009D7677" w:rsidRDefault="009D7677" w:rsidP="009D7677">
      <w:pPr>
        <w:pStyle w:val="TextoNormal"/>
      </w:pPr>
    </w:p>
    <w:p w14:paraId="0A8190F1" w14:textId="77777777" w:rsidR="009D7677" w:rsidRDefault="009D7677" w:rsidP="009D7677">
      <w:pPr>
        <w:pStyle w:val="TextoNormal"/>
      </w:pPr>
      <w:r>
        <w:t>En cuanto a la alternativa actual de que la mujer embarazada pueda optar entre que la información se le comunique por escrito o de forma verbal, que los recurrentes reputan inconstitucional por entender que debería proporcionarse verbalmente de forma obligatoria, señala el abogado del Estado que una queja similar ya fue desestimada en la STC 44/2023, FJ 5.</w:t>
      </w:r>
    </w:p>
    <w:p w14:paraId="0FCBD2E2" w14:textId="77777777" w:rsidR="009D7677" w:rsidRDefault="009D7677" w:rsidP="009D7677">
      <w:pPr>
        <w:pStyle w:val="TextoNormal"/>
      </w:pPr>
    </w:p>
    <w:p w14:paraId="175DD89C" w14:textId="77777777" w:rsidR="009D7677" w:rsidRDefault="009D7677" w:rsidP="009D7677">
      <w:pPr>
        <w:pStyle w:val="TextoNormal"/>
      </w:pPr>
      <w:r>
        <w:t xml:space="preserve">Concluye señalando que el nuevo sistema no convierte al legislador en un “activista del aborto”, que existen otros ámbitos de las políticas públicas más idóneos para integrar el </w:t>
      </w:r>
      <w:r>
        <w:lastRenderedPageBreak/>
        <w:t>objetivo de la protección de la maternidad, que no se puede partir del prejuicio de que la mujer que decide interrumpir su embarazo no ha meditado bien su decisión y que el sistema de plazos previsto legalmente garantiza el deber del Estado de proteger la vida prenatal (STC 44/2023).</w:t>
      </w:r>
    </w:p>
    <w:p w14:paraId="1CB96F0E" w14:textId="77777777" w:rsidR="009D7677" w:rsidRDefault="009D7677" w:rsidP="009D7677">
      <w:pPr>
        <w:pStyle w:val="TextoNormal"/>
      </w:pPr>
    </w:p>
    <w:p w14:paraId="69527217" w14:textId="77777777" w:rsidR="009D7677" w:rsidRDefault="009D7677" w:rsidP="009D7677">
      <w:pPr>
        <w:pStyle w:val="TextoNormal"/>
      </w:pPr>
      <w:r>
        <w:t>h) Finalmente, aborda el octavo motivo del recurso de inconstitucionalidad y afirma la carencia de fundamento de las alegaciones contenidas en el mismo.</w:t>
      </w:r>
    </w:p>
    <w:p w14:paraId="7EC7CD4C" w14:textId="77777777" w:rsidR="009D7677" w:rsidRDefault="009D7677" w:rsidP="009D7677">
      <w:pPr>
        <w:pStyle w:val="TextoNormal"/>
      </w:pPr>
    </w:p>
    <w:p w14:paraId="73619E22" w14:textId="77777777" w:rsidR="009D7677" w:rsidRDefault="009D7677" w:rsidP="009D7677">
      <w:pPr>
        <w:pStyle w:val="TextoNormal"/>
      </w:pPr>
      <w:r>
        <w:t>Afirma el abogado del Estado que la regulación de la objeción de conciencia que hace la Ley Orgánica 1/2023 es esencialmente la misma que ya tenía en cuenta la Ley Orgánica 2/2010 y que ha sido declarada constitucional por la STC 44/2023, FJ 9. Partiendo de estas consideraciones niega el carácter discriminatorio de la creación de registros de objetores de conciencia porque, aunque solo tengan por objeto recoger la objeción de conciencia de los profesionales sanitarios que decidan objetar por motivos de conciencia, hay que tener en cuenta que: (a) objetivamente, la situación de quien ejercita la objeción de conciencia para eximirse de una obligación legal no es la misma que la de quien no ejercita tal derecho; y (b) en todo caso, se persigue la finalidad legítima, consistente en lograr el equilibrio entre el respeto del derecho de los objetores y la correcta organización de los servicios sanitarios de modo que los derechos de las mujeres no se vean comprometidos.</w:t>
      </w:r>
    </w:p>
    <w:p w14:paraId="2A706C44" w14:textId="77777777" w:rsidR="009D7677" w:rsidRDefault="009D7677" w:rsidP="009D7677">
      <w:pPr>
        <w:pStyle w:val="TextoNormal"/>
      </w:pPr>
    </w:p>
    <w:p w14:paraId="0DC3ED99" w14:textId="000D6A3B" w:rsidR="009D7677" w:rsidRDefault="009D7677" w:rsidP="009D7677">
      <w:pPr>
        <w:pStyle w:val="TextoNormal"/>
      </w:pPr>
      <w:r>
        <w:t xml:space="preserve">En cuanto a la segunda parte del motivo, niega que el nuevo art. 19 </w:t>
      </w:r>
      <w:r w:rsidRPr="009D7677">
        <w:rPr>
          <w:i/>
        </w:rPr>
        <w:t>ter</w:t>
      </w:r>
      <w:r>
        <w:t xml:space="preserve"> de la Ley Orgánica 2/2010 haya procedido a la “deslegalización” del régimen de protección de los datos personales contenidos en los registros de personas objetoras de conciencia, pues el precepto remite expresamente a la disposición adicional cuarta de la Ley Orgánica 2/2010, modificada al efecto por la Ley Orgánica 1/2023, que regula esta manera expresa y pormenorizadamente.</w:t>
      </w:r>
    </w:p>
    <w:p w14:paraId="2DE425D3" w14:textId="77777777" w:rsidR="009D7677" w:rsidRDefault="009D7677" w:rsidP="009D7677">
      <w:pPr>
        <w:pStyle w:val="TextoNormal"/>
      </w:pPr>
    </w:p>
    <w:p w14:paraId="266F799C" w14:textId="1D992DCA" w:rsidR="009D7677" w:rsidRDefault="009D7677" w:rsidP="009D7677">
      <w:pPr>
        <w:pStyle w:val="TextoNormal"/>
      </w:pPr>
      <w:r w:rsidRPr="009D7677">
        <w:rPr>
          <w:rStyle w:val="NumeroAFNegritaCaracter"/>
        </w:rPr>
        <w:t>9</w:t>
      </w:r>
      <w:r>
        <w:t>. Por providencia de 17 de junio de 2024, se señaló para deliberación y votación de la presente sentencia el día 18 siguiente.</w:t>
      </w:r>
    </w:p>
    <w:p w14:paraId="44980E3E" w14:textId="77777777" w:rsidR="009D7677" w:rsidRDefault="009D7677" w:rsidP="009D7677">
      <w:pPr>
        <w:pStyle w:val="TextoNormal"/>
      </w:pPr>
    </w:p>
    <w:p w14:paraId="0A94D87D" w14:textId="77777777" w:rsidR="009D7677" w:rsidRDefault="009D7677" w:rsidP="009D7677">
      <w:pPr>
        <w:pStyle w:val="TextoNormalNegritaCentrado"/>
        <w:keepNext/>
      </w:pPr>
      <w:r>
        <w:t>II. Fundamentos jurídicos</w:t>
      </w:r>
    </w:p>
    <w:p w14:paraId="4DEE7429" w14:textId="4FEB226F" w:rsidR="009D7677" w:rsidRDefault="009D7677" w:rsidP="009D7677">
      <w:pPr>
        <w:pStyle w:val="TextoNormalNegritaCentrado"/>
        <w:keepNext/>
      </w:pPr>
    </w:p>
    <w:p w14:paraId="33F9C107" w14:textId="77777777" w:rsidR="009D7677" w:rsidRDefault="009D7677" w:rsidP="009D7677">
      <w:pPr>
        <w:pStyle w:val="TextoNormal"/>
      </w:pPr>
      <w:r w:rsidRPr="009D7677">
        <w:rPr>
          <w:rStyle w:val="NumeroAFNegritaCaracter"/>
        </w:rPr>
        <w:t>1</w:t>
      </w:r>
      <w:r>
        <w:t xml:space="preserve">. </w:t>
      </w:r>
      <w:r w:rsidRPr="009D7677">
        <w:rPr>
          <w:i/>
        </w:rPr>
        <w:t>Objeto del recurso de inconstitucionalidad, posiciones de las partes y orden de enjuiciamiento</w:t>
      </w:r>
    </w:p>
    <w:p w14:paraId="2ED66FD0" w14:textId="77777777" w:rsidR="009D7677" w:rsidRDefault="009D7677" w:rsidP="009D7677">
      <w:pPr>
        <w:pStyle w:val="TextoNormal"/>
      </w:pPr>
    </w:p>
    <w:p w14:paraId="6781D79C" w14:textId="77777777" w:rsidR="009D7677" w:rsidRDefault="009D7677" w:rsidP="009D7677">
      <w:pPr>
        <w:pStyle w:val="TextoNormal"/>
      </w:pPr>
      <w:r>
        <w:t>a) Objeto del recurso y posiciones de las partes</w:t>
      </w:r>
    </w:p>
    <w:p w14:paraId="638C3D80" w14:textId="77777777" w:rsidR="009D7677" w:rsidRDefault="009D7677" w:rsidP="009D7677">
      <w:pPr>
        <w:pStyle w:val="TextoNormal"/>
      </w:pPr>
    </w:p>
    <w:p w14:paraId="467E7BE8" w14:textId="77777777" w:rsidR="009D7677" w:rsidRDefault="009D7677" w:rsidP="009D7677">
      <w:pPr>
        <w:pStyle w:val="TextoNormal"/>
      </w:pPr>
      <w:r>
        <w:t xml:space="preserve">El presente recurso de inconstitucionalidad, interpuesto por cincuenta y dos diputados del Grupo Parlamentario Vox en el Congreso de los Diputados, se dirige contra diversos preceptos de la Ley Orgánica 1/2023, de 28 de febrero, por la que se modifica la Ley Orgánica 2/2010, de 3 de marzo, de salud sexual y reproductiva y de la interrupción voluntaria del embarazo. En concreto se impugnan los apartados tercero, sexto, séptimo, octavo, noveno, undécimo, duodécimo, décimo tercero, décimo cuarto, décimo noveno y vigésimo segundo del artículo único de la Ley Orgánica 1/2023, en relación con la nueva redacción que dan a los artículos de la Ley Orgánica 2/2010, y la disposición final segunda de la Ley Orgánica 1/2023, que da una nueva redacción al art. 145 </w:t>
      </w:r>
      <w:r w:rsidRPr="009D7677">
        <w:rPr>
          <w:i/>
        </w:rPr>
        <w:t>bis</w:t>
      </w:r>
      <w:r>
        <w:t xml:space="preserve"> CP.</w:t>
      </w:r>
    </w:p>
    <w:p w14:paraId="0C654AA2" w14:textId="77777777" w:rsidR="009D7677" w:rsidRDefault="009D7677" w:rsidP="009D7677">
      <w:pPr>
        <w:pStyle w:val="TextoNormal"/>
      </w:pPr>
    </w:p>
    <w:p w14:paraId="73A7A606" w14:textId="77777777" w:rsidR="009D7677" w:rsidRDefault="009D7677" w:rsidP="009D7677">
      <w:pPr>
        <w:pStyle w:val="TextoNormal"/>
      </w:pPr>
      <w:r>
        <w:lastRenderedPageBreak/>
        <w:t>Como se ha desarrollado con detalle en los antecedentes, los diputados recurrentes sostienen, a lo largo de sus ocho motivos de impugnación, que los distintos preceptos o grupos de preceptos recurridos son inconstitucionales por incurrir en la vulneración los arts. 1, 9.3, 14, 15, 16.1, 18.4, 27.3, 39.2, 39.3 y 103.1 CE.</w:t>
      </w:r>
    </w:p>
    <w:p w14:paraId="6B565DF9" w14:textId="77777777" w:rsidR="009D7677" w:rsidRDefault="009D7677" w:rsidP="009D7677">
      <w:pPr>
        <w:pStyle w:val="TextoNormal"/>
      </w:pPr>
    </w:p>
    <w:p w14:paraId="0F757D64" w14:textId="77777777" w:rsidR="009D7677" w:rsidRDefault="009D7677" w:rsidP="009D7677">
      <w:pPr>
        <w:pStyle w:val="TextoNormal"/>
      </w:pPr>
      <w:r>
        <w:t>Por su parte, el abogado del Estado, actuando en la representación del Gobierno de la Nación, interesa la desestimación del recurso y defiende la validez de todos los preceptos impugnados.</w:t>
      </w:r>
    </w:p>
    <w:p w14:paraId="32F6116F" w14:textId="77777777" w:rsidR="009D7677" w:rsidRDefault="009D7677" w:rsidP="009D7677">
      <w:pPr>
        <w:pStyle w:val="TextoNormal"/>
      </w:pPr>
    </w:p>
    <w:p w14:paraId="2E7F09A2" w14:textId="77777777" w:rsidR="009D7677" w:rsidRDefault="009D7677" w:rsidP="009D7677">
      <w:pPr>
        <w:pStyle w:val="TextoNormal"/>
      </w:pPr>
      <w:r>
        <w:t>b) Orden del enjuiciamiento</w:t>
      </w:r>
    </w:p>
    <w:p w14:paraId="7C962B2B" w14:textId="77777777" w:rsidR="009D7677" w:rsidRDefault="009D7677" w:rsidP="009D7677">
      <w:pPr>
        <w:pStyle w:val="TextoNormal"/>
      </w:pPr>
    </w:p>
    <w:p w14:paraId="5CCA03E7" w14:textId="77777777" w:rsidR="009D7677" w:rsidRDefault="009D7677" w:rsidP="009D7677">
      <w:pPr>
        <w:pStyle w:val="TextoNormal"/>
      </w:pPr>
      <w:r>
        <w:t>Con posterioridad a la aprobación de la Ley Orgánica 1/2023 este tribunal dictó la STC 44/2023, de 9 de mayo, desestimatoria del recurso de inconstitucionalidad núm. 4523-2010 interpuesto contra la Ley Orgánica 2/2010. La ley orgánica ha sido en parte modificada por los artículos objeto del presente recurso de inconstitucionalidad, de forma que conviene efectuar unas consideraciones previas sobre el objeto y sentido de la reforma operada por la Ley Orgánica 1/2023, así como sobre la doctrina y las pautas interpretativas que resultan de la STC 44/2023, que necesariamente ha de constituir el punto de partida del enjuiciamiento que ahora nos ocupa.</w:t>
      </w:r>
    </w:p>
    <w:p w14:paraId="46B6CE2D" w14:textId="77777777" w:rsidR="009D7677" w:rsidRDefault="009D7677" w:rsidP="009D7677">
      <w:pPr>
        <w:pStyle w:val="TextoNormal"/>
      </w:pPr>
    </w:p>
    <w:p w14:paraId="3DBC2180" w14:textId="0D5AF28B" w:rsidR="009D7677" w:rsidRDefault="009D7677" w:rsidP="009D7677">
      <w:pPr>
        <w:pStyle w:val="TextoNormal"/>
      </w:pPr>
      <w:r>
        <w:t>A continuación, se procederá a analizar los motivos de impugnación en que se basa el recurso de inconstitucionalidad, por su orden, con la salvedad de los motivos quinto y séptimo que serán examinados conjuntamente porque, aunque afectan a distintos preceptos, centran el objeto de la discusión constitucional en el papel de la información que ha de recibir la mujer embarazada con carácter previo a la decisión de proceder a la interrupción voluntaria del embarazo, como garantía del procedimiento.</w:t>
      </w:r>
    </w:p>
    <w:p w14:paraId="1F9BCDB5" w14:textId="77777777" w:rsidR="009D7677" w:rsidRDefault="009D7677" w:rsidP="009D7677">
      <w:pPr>
        <w:pStyle w:val="TextoNormal"/>
      </w:pPr>
    </w:p>
    <w:p w14:paraId="4BB284B3" w14:textId="77777777" w:rsidR="009D7677" w:rsidRDefault="009D7677" w:rsidP="009D7677">
      <w:pPr>
        <w:pStyle w:val="TextoNormal"/>
      </w:pPr>
      <w:r w:rsidRPr="009D7677">
        <w:rPr>
          <w:rStyle w:val="NumeroAFNegritaCaracter"/>
        </w:rPr>
        <w:t>2</w:t>
      </w:r>
      <w:r>
        <w:t xml:space="preserve">. </w:t>
      </w:r>
      <w:r w:rsidRPr="009D7677">
        <w:rPr>
          <w:i/>
        </w:rPr>
        <w:t>Consideraciones previas</w:t>
      </w:r>
    </w:p>
    <w:p w14:paraId="10A0CEA3" w14:textId="77777777" w:rsidR="009D7677" w:rsidRDefault="009D7677" w:rsidP="009D7677">
      <w:pPr>
        <w:pStyle w:val="TextoNormal"/>
      </w:pPr>
    </w:p>
    <w:p w14:paraId="241BCC92" w14:textId="77777777" w:rsidR="009D7677" w:rsidRDefault="009D7677" w:rsidP="009D7677">
      <w:pPr>
        <w:pStyle w:val="TextoNormal"/>
      </w:pPr>
      <w:r>
        <w:t>a) El presente recurso de inconstitucionalidad se dirige contra diversos preceptos de la Ley Orgánica 1/2023, de 28 de febrero, por la que se modifica la Ley Orgánica 2/2010, de 3 de marzo, de salud sexual y reproductiva y de la interrupción voluntaria del embarazo.</w:t>
      </w:r>
    </w:p>
    <w:p w14:paraId="2FA3E0C2" w14:textId="77777777" w:rsidR="009D7677" w:rsidRDefault="009D7677" w:rsidP="009D7677">
      <w:pPr>
        <w:pStyle w:val="TextoNormal"/>
      </w:pPr>
    </w:p>
    <w:p w14:paraId="4DD9E5A4" w14:textId="77777777" w:rsidR="009D7677" w:rsidRDefault="009D7677" w:rsidP="009D7677">
      <w:pPr>
        <w:pStyle w:val="TextoNormal"/>
      </w:pPr>
      <w:r>
        <w:t>En su momento, la Ley Orgánica 2/2010 tenía por objeto la regulación de los derechos a la salud sexual y reproductiva, así como su protección y garantía, de una manera integral. A tal efecto, una de las novedades esenciales que introdujo fue una regulación de la interrupción voluntaria del embarazo como un derecho de la mujer y como prestación sanitaria, fuera del Código penal, siguiendo la pauta más extendida de los países de nuestro entorno europeo y, dentro de este marco, una de sus principales innovaciones fue el cambio en el enfoque de la interrupción voluntaria del embarazo, pasando de una “ley de supuestos” a un “sistema de plazos”.</w:t>
      </w:r>
    </w:p>
    <w:p w14:paraId="628FD7EF" w14:textId="77777777" w:rsidR="009D7677" w:rsidRDefault="009D7677" w:rsidP="009D7677">
      <w:pPr>
        <w:pStyle w:val="TextoNormal"/>
      </w:pPr>
    </w:p>
    <w:p w14:paraId="21F5DAEC" w14:textId="77777777" w:rsidR="009D7677" w:rsidRDefault="009D7677" w:rsidP="009D7677">
      <w:pPr>
        <w:pStyle w:val="TextoNormal"/>
      </w:pPr>
      <w:r>
        <w:t>La Ley Orgánica 1/2023, como explica su preámbulo, tiene por objeto la revisión y adaptación de la Ley Orgánica 2/2010, más de doce años después de su aprobación, consolidando el sistema de plazos instaurado por la Ley Orgánica 2/2010.</w:t>
      </w:r>
    </w:p>
    <w:p w14:paraId="6FF72131" w14:textId="77777777" w:rsidR="009D7677" w:rsidRDefault="009D7677" w:rsidP="009D7677">
      <w:pPr>
        <w:pStyle w:val="TextoNormal"/>
      </w:pPr>
    </w:p>
    <w:p w14:paraId="1CA4A8C6" w14:textId="77777777" w:rsidR="009D7677" w:rsidRDefault="009D7677" w:rsidP="009D7677">
      <w:pPr>
        <w:pStyle w:val="TextoNormal"/>
      </w:pPr>
      <w:r>
        <w:t xml:space="preserve">Con posterioridad a la aprobación y entrada en vigor de la Ley Orgánica 1/2023, cuyos preceptos son objeto de impugnación en el presente procedimiento, este tribunal dictó la </w:t>
      </w:r>
      <w:r>
        <w:lastRenderedPageBreak/>
        <w:t>STC 44/2023, de 9 de mayo, por la que desestimó el recurso de inconstitucionalidad núm. 4523-2010 interpuesto contra la Ley Orgánica 2/2010. Atendiendo a la innegable conexión entre ambas disposiciones, puesto que la Ley Orgánica 1/2023 ha dado una nueva redacción a algunos artículos de la Ley Orgánica 2/2010 y ha introducido otros nuevos en la misma y, tras el dictado de la STC 44/2023, por razones de coherencia y seguridad jurídica, el enjuiciamiento del presente recurso de inconstitucionalidad ha de partir de la doctrina constitucional sentada en dicha sentencia acerca de la interrupción voluntaria del embarazo.</w:t>
      </w:r>
    </w:p>
    <w:p w14:paraId="2AEA7B6F" w14:textId="77777777" w:rsidR="009D7677" w:rsidRDefault="009D7677" w:rsidP="009D7677">
      <w:pPr>
        <w:pStyle w:val="TextoNormal"/>
      </w:pPr>
    </w:p>
    <w:p w14:paraId="76272663" w14:textId="77777777" w:rsidR="009D7677" w:rsidRDefault="009D7677" w:rsidP="009D7677">
      <w:pPr>
        <w:pStyle w:val="TextoNormal"/>
      </w:pPr>
      <w:r>
        <w:t>Además, estas consideraciones introductorias resultan imprescindibles, con carácter previo a abordar el examen de cada uno de los motivos de inconstitucionalidad aducidos por los diputados recurrentes, toda vez que en el recurso que nos ocupa late una discrepancia con la configuración de la interrupción voluntaria del embarazo como un derecho de las mujeres y con el vigente sistema de plazos, instaurado por la Ley Orgánica 2/2010, cuestiones ambas ya analizadas y resueltas por este tribunal en la STC 44/2023. Dicha discrepancia de los recurrentes se pone de manifiesto a través de la reiterada alegación de que la Constitución no es compatible con un sistema de plazos, que se advierte ya en el fundamento jurídico introductorio de la demanda y que se desarrolla, en particular, al hilo de la argumentación contenida en los motivos cuarto y quinto del recurso de inconstitucionalidad.</w:t>
      </w:r>
    </w:p>
    <w:p w14:paraId="1D2EC6D1" w14:textId="77777777" w:rsidR="009D7677" w:rsidRDefault="009D7677" w:rsidP="009D7677">
      <w:pPr>
        <w:pStyle w:val="TextoNormal"/>
      </w:pPr>
    </w:p>
    <w:p w14:paraId="326A203F" w14:textId="77777777" w:rsidR="009D7677" w:rsidRDefault="009D7677" w:rsidP="009D7677">
      <w:pPr>
        <w:pStyle w:val="TextoNormal"/>
      </w:pPr>
      <w:r>
        <w:t>b) Como ha señalado la STC 44/2023, el derecho de la mujer a la autodeterminación respecto de la interrupción voluntaria del embarazo encuentra su fundamento en la libertad como valor superior del ordenamiento jurídico (art. 1.1 CE) y en los principios de dignidad y libre desarrollo de la personalidad como fundamento del orden político y la paz social (art. 10.1 CE). En este sentido, este tribunal ha afirmado que “la decisión acerca de continuar adelante con el embarazo, con las consecuencias que ello implica en todos los órdenes de la vida de la mujer —físico, psicológico, social y jurídico— enlaza de forma directa con su dignidad y el libre desarrollo de la personalidad, en cuanto afecta a la libertad de procreación de la mujer y condiciona indisolublemente su proyecto de vida” y por ello “el legislador no puede dejar de inspirarse en el respeto a la dignidad de la mujer y al ‘libre desarrollo de la personalidad’ al regular la interrupción voluntaria del embarazo” [STC 44/2023, FJ 3 A)].</w:t>
      </w:r>
    </w:p>
    <w:p w14:paraId="0E5C2853" w14:textId="77777777" w:rsidR="009D7677" w:rsidRDefault="009D7677" w:rsidP="009D7677">
      <w:pPr>
        <w:pStyle w:val="TextoNormal"/>
      </w:pPr>
    </w:p>
    <w:p w14:paraId="7E6F8771" w14:textId="77777777" w:rsidR="009D7677" w:rsidRDefault="009D7677" w:rsidP="009D7677">
      <w:pPr>
        <w:pStyle w:val="TextoNormal"/>
      </w:pPr>
      <w:r>
        <w:t>c) También hemos afirmado que la interrupción voluntaria del embarazo forma parte del contenido constitucionalmente protegido del derecho fundamental a la integridad física y moral (art. 15 CE). La STC 44/2023 concluyó que “la interrupción voluntaria del embarazo, como manifestación del derecho a la mujer a adoptar decisiones y hacer elecciones libres y responsables, sin violencia, coacción ni discriminación, con respeto a su propio cuerpo y proyecto de vida, forma parte del contenido constitucionalmente protegido del derecho fundamental a la integridad física y moral (art. 15 CE) en conexión con la dignidad de la persona y el libre desarrollo de la personalidad como principios rectores del orden político y la paz social (art. 10.1 CE)” [FJ 3 B)].</w:t>
      </w:r>
    </w:p>
    <w:p w14:paraId="3D0DFCEB" w14:textId="77777777" w:rsidR="009D7677" w:rsidRDefault="009D7677" w:rsidP="009D7677">
      <w:pPr>
        <w:pStyle w:val="TextoNormal"/>
      </w:pPr>
    </w:p>
    <w:p w14:paraId="726C137F" w14:textId="77777777" w:rsidR="009D7677" w:rsidRDefault="009D7677" w:rsidP="009D7677">
      <w:pPr>
        <w:pStyle w:val="TextoNormal"/>
      </w:pPr>
      <w:r>
        <w:t>d) De la misma manera, este tribunal ha afirmado que los derechos fundamentales de la mujer vinculados con la interrupción voluntaria del embarazo encuentran su límite en el deber del Estado de tutelar la vida prenatal. Ahora bien, la doctrina constitucional ha precisado que la vida prenatal no es un derecho fundamental, sino un “bien jurídico constitu</w:t>
      </w:r>
      <w:r>
        <w:lastRenderedPageBreak/>
        <w:t>cionalmente protegido, como parte del contenido normativo del art. 15 CE” [STC 44/2023, FJ 3 C), y las sentencias allí citadas].</w:t>
      </w:r>
    </w:p>
    <w:p w14:paraId="01C97138" w14:textId="77777777" w:rsidR="009D7677" w:rsidRDefault="009D7677" w:rsidP="009D7677">
      <w:pPr>
        <w:pStyle w:val="TextoNormal"/>
      </w:pPr>
    </w:p>
    <w:p w14:paraId="3C5AD716" w14:textId="77777777" w:rsidR="009D7677" w:rsidRDefault="009D7677" w:rsidP="009D7677">
      <w:pPr>
        <w:pStyle w:val="TextoNormal"/>
      </w:pPr>
      <w:r>
        <w:t>e) Con base en las consideraciones precedentes, este tribunal concluyó que “el respeto al derecho fundamental de la mujer a la integridad física y moral (art. 15 CE), en conexión con su dignidad y el libre desarrollo de su personalidad (art. 10.1), exigen del legislador el reconocimiento de un ámbito de libertad en el que la mujer pueda adoptar razonablemente, de forma autónoma y sin coerción de ningún tipo, la decisión que considere más adecuada en cuanto a la continuación o no de la gestación. Respetando ese ámbito mínimo que garantice a la mujer un razonable ejercicio de sus derechos, corresponde al legislador determinar el modo en que han de limitarse los derechos constitucionales de la mujer con el fin de tutelar la vida prenatal, como bien constitucionalmente protegido, siempre teniendo en cuenta que todo acto o resolución que limite derechos fundamentales ha de asegurar que las medidas limitadoras sean necesarias para conseguir el fin perseguido (SSTC 69/1982, FJ 5, y 13/1985, FJ 2), ha de atender a la proporcionalidad entre el sacrificio del derecho y la situación en la que se halla aquel a quien se le impone (STC 37/1989, FJ 7), y, en todo caso, ha de respetar su contenido esencial (SSTC 11/1981, de 3 de abril, FJ 10; 196/1987, de 11 de diciembre, FFJJ 4 a 6; 12/1990, de 29 de enero, FJ 8, y 137/1990, de 19 de julio, FJ 6)” [STC 44/2023, FJ 3 D)].</w:t>
      </w:r>
    </w:p>
    <w:p w14:paraId="30B8D285" w14:textId="77777777" w:rsidR="009D7677" w:rsidRDefault="009D7677" w:rsidP="009D7677">
      <w:pPr>
        <w:pStyle w:val="TextoNormal"/>
      </w:pPr>
    </w:p>
    <w:p w14:paraId="3ACD676B" w14:textId="77777777" w:rsidR="009D7677" w:rsidRDefault="009D7677" w:rsidP="009D7677">
      <w:pPr>
        <w:pStyle w:val="TextoNormal"/>
      </w:pPr>
      <w:r>
        <w:t>f) Finalmente, conviene resaltar que este tribunal ya se ha pronunciado acerca de la constitucionalidad del sistema de plazos implantado por la Ley Orgánica 2/2010, y que se consolida en la Ley Orgánica 1/2023, objeto del presente recurso de inconstitucionalidad. En este sentido, en la STC 44/2023, FJ 4, afirmamos que “esta opción regulatoria es conforme con nuestro texto constitucional y con la doctrina de este tribunal, ya que satisface el deber estatal de protección de la vida prenatal —con medidas preventivas y sancionadoras, cuyo peso varía conforme avanza el proceso de gestación— y lo hace sin vulnerar los derechos de la mujer. Ha de reiterarse que el modelo de plazos supone no solo un mecanismo de protección de la vida prenatal, sino también, y recíprocamente, una medida restrictiva de los derechos de la mujer. Este tribunal considera, sin embargo, que dicha restricción —que se traduce en la exigencia de que, con posterioridad a la semana catorce de gestación, concurran circunstancias adicionales a la libre voluntad de la mujer para la interrupción legal del embarazo, conectadas con otras facetas esenciales de sus derechos fundamentales— es constitucional porque (i) obedece al legítimo fin de proteger la vida prenatal; (ii) es adecuada y necesaria para la consecución de tal fin; (iii) su configuración gradual a la luz, por un lado, del avance de la gestación y el desarrollo fisiológico-vital del concebido, y, por otro, de la afectación adicional o extraordinaria de los derechos constitucionales de la mujer, se ajusta al canon de proporcionalidad exigido por este tribunal para la constitucionalidad de cualquier limitación de derechos fundamentales, así como al modelo gradual de protección de la vida prenatal acogido por la propia STC 53/1985; y (iv) se lleva a cabo respetando, en todo caso, la posibilidad de un ejercicio ‘razonable’ de los derechos de la mujer, a través del reconocimiento a esta de un ámbito temporal en que poder decidir, de manera libre e informada, si continúa adelante con la gestación u opta por interrumpirla, asumiendo de modo consciente y voluntario todas las consecuencias derivadas de una u otra decisión”.</w:t>
      </w:r>
    </w:p>
    <w:p w14:paraId="6438D6AE" w14:textId="77777777" w:rsidR="009D7677" w:rsidRDefault="009D7677" w:rsidP="009D7677">
      <w:pPr>
        <w:pStyle w:val="TextoNormal"/>
      </w:pPr>
    </w:p>
    <w:p w14:paraId="31324F91" w14:textId="7390BCE1" w:rsidR="009D7677" w:rsidRDefault="009D7677" w:rsidP="009D7677">
      <w:pPr>
        <w:pStyle w:val="TextoNormal"/>
      </w:pPr>
      <w:r>
        <w:lastRenderedPageBreak/>
        <w:t>Una vez expuestas las precedentes consideraciones, procede entrar en el examen de las tachas de inconstitucionalidad que los recurrentes dirigen de manera específica contra cada uno de los preceptos o grupos de preceptos impugnados.</w:t>
      </w:r>
    </w:p>
    <w:p w14:paraId="45DCE50F" w14:textId="77777777" w:rsidR="009D7677" w:rsidRDefault="009D7677" w:rsidP="009D7677">
      <w:pPr>
        <w:pStyle w:val="TextoNormal"/>
      </w:pPr>
    </w:p>
    <w:p w14:paraId="26F9F147" w14:textId="77777777" w:rsidR="009D7677" w:rsidRDefault="009D7677" w:rsidP="009D7677">
      <w:pPr>
        <w:pStyle w:val="TextoNormal"/>
      </w:pPr>
      <w:r w:rsidRPr="009D7677">
        <w:rPr>
          <w:rStyle w:val="NumeroAFNegritaCaracter"/>
        </w:rPr>
        <w:t>3</w:t>
      </w:r>
      <w:r>
        <w:t xml:space="preserve">. </w:t>
      </w:r>
      <w:r w:rsidRPr="009D7677">
        <w:rPr>
          <w:i/>
        </w:rPr>
        <w:t>Examen de los motivos de inconstitucionalidad dirigidos contra los apartados tercero, sexto, séptimo, octavo y noveno del artículo único de la Ley Orgánica 1/2023: integración de la perspectiva de género en las políticas públicas</w:t>
      </w:r>
    </w:p>
    <w:p w14:paraId="5D3ED35A" w14:textId="77777777" w:rsidR="009D7677" w:rsidRDefault="009D7677" w:rsidP="009D7677">
      <w:pPr>
        <w:pStyle w:val="TextoNormal"/>
      </w:pPr>
    </w:p>
    <w:p w14:paraId="5F0CA41B" w14:textId="77777777" w:rsidR="009D7677" w:rsidRDefault="009D7677" w:rsidP="009D7677">
      <w:pPr>
        <w:pStyle w:val="TextoNormal"/>
      </w:pPr>
      <w:r>
        <w:t>a) Preceptos impugnados</w:t>
      </w:r>
    </w:p>
    <w:p w14:paraId="48AB9469" w14:textId="77777777" w:rsidR="009D7677" w:rsidRDefault="009D7677" w:rsidP="009D7677">
      <w:pPr>
        <w:pStyle w:val="TextoNormal"/>
      </w:pPr>
    </w:p>
    <w:p w14:paraId="259D6848" w14:textId="77777777" w:rsidR="009D7677" w:rsidRDefault="009D7677" w:rsidP="009D7677">
      <w:pPr>
        <w:pStyle w:val="TextoNormal"/>
      </w:pPr>
      <w:r>
        <w:t xml:space="preserve">Los diputados demandantes dirigen su impugnación contra los apartados tercero, sexto, séptimo, octavo y noveno del artículo único de la Ley Orgánica 1/2023, en relación con la redacción dada a los arts. 3.1 c); 5.1 f); 7 </w:t>
      </w:r>
      <w:r w:rsidRPr="009D7677">
        <w:rPr>
          <w:i/>
        </w:rPr>
        <w:t>bis</w:t>
      </w:r>
      <w:r>
        <w:t xml:space="preserve"> k); 10 </w:t>
      </w:r>
      <w:r w:rsidRPr="009D7677">
        <w:rPr>
          <w:i/>
        </w:rPr>
        <w:t>ter</w:t>
      </w:r>
      <w:r>
        <w:t xml:space="preserve">; 11.3; 11.4, párrafo segundo, y 11 </w:t>
      </w:r>
      <w:r w:rsidRPr="009D7677">
        <w:rPr>
          <w:i/>
        </w:rPr>
        <w:t>bis</w:t>
      </w:r>
      <w:r>
        <w:t>, apartados primero y segundo, de la Ley Orgánica 2/2010. Todos estos artículos se impugnan por el mismo motivo, en la medida en que todos ellos tienen como nota común la integración o inclusión del enfoque o la perspectiva de género en las distintas políticas públicas.</w:t>
      </w:r>
    </w:p>
    <w:p w14:paraId="45F62563" w14:textId="77777777" w:rsidR="009D7677" w:rsidRDefault="009D7677" w:rsidP="009D7677">
      <w:pPr>
        <w:pStyle w:val="TextoNormal"/>
      </w:pPr>
    </w:p>
    <w:p w14:paraId="50332E41" w14:textId="77777777" w:rsidR="009D7677" w:rsidRDefault="009D7677" w:rsidP="009D7677">
      <w:pPr>
        <w:pStyle w:val="TextoNormal"/>
      </w:pPr>
      <w:r>
        <w:t>El apartado tercero del artículo único de la Ley Orgánica 1/2023 modifica el art. 3 de la Ley Orgánica 2/2010, cuya nueva redacción dispone, en lo que aquí interesa, que:</w:t>
      </w:r>
    </w:p>
    <w:p w14:paraId="5E21C0FC" w14:textId="77777777" w:rsidR="009D7677" w:rsidRDefault="009D7677" w:rsidP="009D7677">
      <w:pPr>
        <w:pStyle w:val="TextoNormal"/>
      </w:pPr>
    </w:p>
    <w:p w14:paraId="6C5BF8D6" w14:textId="77777777" w:rsidR="009D7677" w:rsidRDefault="009D7677" w:rsidP="009D7677">
      <w:pPr>
        <w:pStyle w:val="TextoNormal"/>
      </w:pPr>
      <w:r>
        <w:t>“1. A efectos de esta ley orgánica, serán principios rectores de la actuación de los poderes públicos los siguientes:</w:t>
      </w:r>
    </w:p>
    <w:p w14:paraId="2A19C0A1" w14:textId="77777777" w:rsidR="009D7677" w:rsidRDefault="009D7677" w:rsidP="009D7677">
      <w:pPr>
        <w:pStyle w:val="TextoNormal"/>
      </w:pPr>
    </w:p>
    <w:p w14:paraId="449C25B3" w14:textId="77777777" w:rsidR="009D7677" w:rsidRDefault="009D7677" w:rsidP="009D7677">
      <w:pPr>
        <w:pStyle w:val="TextoNormal"/>
      </w:pPr>
      <w:r>
        <w:t>[…]</w:t>
      </w:r>
    </w:p>
    <w:p w14:paraId="1A719D32" w14:textId="77777777" w:rsidR="009D7677" w:rsidRDefault="009D7677" w:rsidP="009D7677">
      <w:pPr>
        <w:pStyle w:val="TextoNormal"/>
      </w:pPr>
    </w:p>
    <w:p w14:paraId="779DACB3" w14:textId="77777777" w:rsidR="009D7677" w:rsidRDefault="009D7677" w:rsidP="009D7677">
      <w:pPr>
        <w:pStyle w:val="TextoNormal"/>
      </w:pPr>
      <w:r>
        <w:t>c) Enfoque de género. Las administraciones públicas incluirán un enfoque de género fundamentado en la comprensión de los estereotipos y las relaciones de género, sus raíces y sus consecuencias en la aplicación y la evaluación del impacto de las disposiciones de esta ley orgánica, y promoverán y aplicarán de manera efectiva políticas de igualdad entre mujeres y hombres y para el empoderamiento de las mujeres y las niñas”.</w:t>
      </w:r>
    </w:p>
    <w:p w14:paraId="06FDEF53" w14:textId="77777777" w:rsidR="009D7677" w:rsidRDefault="009D7677" w:rsidP="009D7677">
      <w:pPr>
        <w:pStyle w:val="TextoNormal"/>
      </w:pPr>
    </w:p>
    <w:p w14:paraId="6A92F258" w14:textId="77777777" w:rsidR="009D7677" w:rsidRDefault="009D7677" w:rsidP="009D7677">
      <w:pPr>
        <w:pStyle w:val="TextoNormal"/>
      </w:pPr>
      <w:r>
        <w:t>El apartado sexto del artículo único de la Ley Orgánica 1/2023 da una nueva redacción al art. 5.1 f) de la Ley Orgánica 2/2010, que establece:</w:t>
      </w:r>
    </w:p>
    <w:p w14:paraId="0F0B984C" w14:textId="77777777" w:rsidR="009D7677" w:rsidRDefault="009D7677" w:rsidP="009D7677">
      <w:pPr>
        <w:pStyle w:val="TextoNormal"/>
      </w:pPr>
    </w:p>
    <w:p w14:paraId="41AF4037" w14:textId="77777777" w:rsidR="009D7677" w:rsidRDefault="009D7677" w:rsidP="009D7677">
      <w:pPr>
        <w:pStyle w:val="TextoNormal"/>
      </w:pPr>
      <w:r>
        <w:t>“1. Los poderes públicos, en el desarrollo de sus políticas sanitarias, educativas y de formación profesional, y sociales garantizarán:</w:t>
      </w:r>
    </w:p>
    <w:p w14:paraId="4638DA8F" w14:textId="77777777" w:rsidR="009D7677" w:rsidRDefault="009D7677" w:rsidP="009D7677">
      <w:pPr>
        <w:pStyle w:val="TextoNormal"/>
      </w:pPr>
    </w:p>
    <w:p w14:paraId="4E5690B6" w14:textId="77777777" w:rsidR="009D7677" w:rsidRDefault="009D7677" w:rsidP="009D7677">
      <w:pPr>
        <w:pStyle w:val="TextoNormal"/>
      </w:pPr>
      <w:r>
        <w:t>[…]</w:t>
      </w:r>
    </w:p>
    <w:p w14:paraId="46D1253F" w14:textId="77777777" w:rsidR="009D7677" w:rsidRDefault="009D7677" w:rsidP="009D7677">
      <w:pPr>
        <w:pStyle w:val="TextoNormal"/>
      </w:pPr>
    </w:p>
    <w:p w14:paraId="5E68A461" w14:textId="77777777" w:rsidR="009D7677" w:rsidRDefault="009D7677" w:rsidP="009D7677">
      <w:pPr>
        <w:pStyle w:val="TextoNormal"/>
      </w:pPr>
      <w:r>
        <w:t>f) La educación sanitaria integral, con perspectiva de género, de derechos humanos e interseccional, sobre salud sexual y salud reproductiva”.</w:t>
      </w:r>
    </w:p>
    <w:p w14:paraId="44642FBF" w14:textId="77777777" w:rsidR="009D7677" w:rsidRDefault="009D7677" w:rsidP="009D7677">
      <w:pPr>
        <w:pStyle w:val="TextoNormal"/>
      </w:pPr>
    </w:p>
    <w:p w14:paraId="6F547877" w14:textId="77777777" w:rsidR="009D7677" w:rsidRDefault="009D7677" w:rsidP="009D7677">
      <w:pPr>
        <w:pStyle w:val="TextoNormal"/>
      </w:pPr>
      <w:r>
        <w:t xml:space="preserve">El apartado séptimo del artículo único de la Ley Orgánica 1/2023 modifica el capítulo II del título I de la Ley Orgánica 2/2010, introduciendo un nuevo art. 7 </w:t>
      </w:r>
      <w:r w:rsidRPr="009D7677">
        <w:rPr>
          <w:i/>
        </w:rPr>
        <w:t>bis</w:t>
      </w:r>
      <w:r>
        <w:t>, cuya letra k) dispone que los servicios públicos garantizarán:</w:t>
      </w:r>
    </w:p>
    <w:p w14:paraId="54410ADF" w14:textId="77777777" w:rsidR="009D7677" w:rsidRDefault="009D7677" w:rsidP="009D7677">
      <w:pPr>
        <w:pStyle w:val="TextoNormal"/>
      </w:pPr>
    </w:p>
    <w:p w14:paraId="7964B7ED" w14:textId="77777777" w:rsidR="009D7677" w:rsidRDefault="009D7677" w:rsidP="009D7677">
      <w:pPr>
        <w:pStyle w:val="TextoNormal"/>
      </w:pPr>
      <w:r>
        <w:lastRenderedPageBreak/>
        <w:t>“k) La provisión especializada de atención psicológica o sexológica con perspectiva de género”.</w:t>
      </w:r>
    </w:p>
    <w:p w14:paraId="62906960" w14:textId="77777777" w:rsidR="009D7677" w:rsidRDefault="009D7677" w:rsidP="009D7677">
      <w:pPr>
        <w:pStyle w:val="TextoNormal"/>
      </w:pPr>
    </w:p>
    <w:p w14:paraId="54C6E3EF" w14:textId="77777777" w:rsidR="009D7677" w:rsidRDefault="009D7677" w:rsidP="009D7677">
      <w:pPr>
        <w:pStyle w:val="TextoNormal"/>
      </w:pPr>
      <w:r>
        <w:t xml:space="preserve">El apartado octavo del artículo único de la Ley Orgánica 1/2023 modifica el capítulo III del título I de la Ley Orgánica 2/2010, añadiendo un nuevo art. 10 </w:t>
      </w:r>
      <w:r w:rsidRPr="009D7677">
        <w:rPr>
          <w:i/>
        </w:rPr>
        <w:t>ter</w:t>
      </w:r>
      <w:r>
        <w:t xml:space="preserve"> que, bajo la rúbrica “Medidas en el ámbito de la educación menstrual”, establece:</w:t>
      </w:r>
    </w:p>
    <w:p w14:paraId="791139F1" w14:textId="77777777" w:rsidR="009D7677" w:rsidRDefault="009D7677" w:rsidP="009D7677">
      <w:pPr>
        <w:pStyle w:val="TextoNormal"/>
      </w:pPr>
    </w:p>
    <w:p w14:paraId="60C34734" w14:textId="77777777" w:rsidR="009D7677" w:rsidRDefault="009D7677" w:rsidP="009D7677">
      <w:pPr>
        <w:pStyle w:val="TextoNormal"/>
      </w:pPr>
      <w:r>
        <w:t>“Las administraciones educativas, en el ámbito de sus competencias, garantizarán, en el marco de la educación afectivo-sexual, que el sistema educativo establece en los currículos de las diferentes etapas educativas, el abordaje integral de la salud durante la menstruación con perspectiva de género, interseccional y de derechos humanos en el ámbito de la educación, tanto formal como no formal, con especial atención a la eliminación de los mitos, prejuicios y estereotipos de género que generan el estigma menstrual”.</w:t>
      </w:r>
    </w:p>
    <w:p w14:paraId="227E6AEC" w14:textId="77777777" w:rsidR="009D7677" w:rsidRDefault="009D7677" w:rsidP="009D7677">
      <w:pPr>
        <w:pStyle w:val="TextoNormal"/>
      </w:pPr>
    </w:p>
    <w:p w14:paraId="1E30E0C6" w14:textId="77777777" w:rsidR="009D7677" w:rsidRDefault="009D7677" w:rsidP="009D7677">
      <w:pPr>
        <w:pStyle w:val="TextoNormal"/>
      </w:pPr>
      <w:r>
        <w:t>Por último, el apartado noveno del artículo único de la Ley Orgánica 1/2023 modifica el capítulo IV del título I de la Ley Orgánica 2/2010, dando redacción a los siguientes preceptos objeto de impugnación:</w:t>
      </w:r>
    </w:p>
    <w:p w14:paraId="2D9FC75A" w14:textId="77777777" w:rsidR="009D7677" w:rsidRDefault="009D7677" w:rsidP="009D7677">
      <w:pPr>
        <w:pStyle w:val="TextoNormal"/>
      </w:pPr>
    </w:p>
    <w:p w14:paraId="72229B75" w14:textId="77777777" w:rsidR="009D7677" w:rsidRDefault="009D7677" w:rsidP="009D7677">
      <w:pPr>
        <w:pStyle w:val="TextoNormal"/>
      </w:pPr>
      <w:r>
        <w:t>(i) Los apartados tercero y cuarto del art. 11 de la Ley Orgánica 2/2010 que, en relación con la elaboración de la estrategia estatal de salud sexual y reproductiva, establecen:</w:t>
      </w:r>
    </w:p>
    <w:p w14:paraId="4A973D42" w14:textId="77777777" w:rsidR="009D7677" w:rsidRDefault="009D7677" w:rsidP="009D7677">
      <w:pPr>
        <w:pStyle w:val="TextoNormal"/>
      </w:pPr>
    </w:p>
    <w:p w14:paraId="13CC5647" w14:textId="77777777" w:rsidR="009D7677" w:rsidRDefault="009D7677" w:rsidP="009D7677">
      <w:pPr>
        <w:pStyle w:val="TextoNormal"/>
      </w:pPr>
      <w:r>
        <w:t>“3. En el marco de la Estrategia se desarrollará un plan operativo que aborde de manera específica el diagnóstico precoz, el diagnóstico y el tratamiento y abordaje integral, con perspectiva de género, de las patologías relacionadas con la salud sexual y reproductiva de las mujeres.</w:t>
      </w:r>
    </w:p>
    <w:p w14:paraId="78EDDACE" w14:textId="77777777" w:rsidR="009D7677" w:rsidRDefault="009D7677" w:rsidP="009D7677">
      <w:pPr>
        <w:pStyle w:val="TextoNormal"/>
      </w:pPr>
    </w:p>
    <w:p w14:paraId="1206C232" w14:textId="77777777" w:rsidR="009D7677" w:rsidRDefault="009D7677" w:rsidP="009D7677">
      <w:pPr>
        <w:pStyle w:val="TextoNormal"/>
      </w:pPr>
      <w:r>
        <w:t>4. La estrategia establecerá mecanismos de evaluación internos y externos de la consecución de sus objetivos. La evaluación interna será bienal y realizada por una comisión destinada expresamente a estas tareas de evaluación, formada por representantes del comité técnico y del comité institucional de la Estrategia Estatal de Salud Sexual y Reproductiva.</w:t>
      </w:r>
    </w:p>
    <w:p w14:paraId="55C1E7CC" w14:textId="77777777" w:rsidR="009D7677" w:rsidRDefault="009D7677" w:rsidP="009D7677">
      <w:pPr>
        <w:pStyle w:val="TextoNormal"/>
      </w:pPr>
    </w:p>
    <w:p w14:paraId="6724CB3F" w14:textId="77777777" w:rsidR="009D7677" w:rsidRDefault="009D7677" w:rsidP="009D7677">
      <w:pPr>
        <w:pStyle w:val="TextoNormal"/>
      </w:pPr>
      <w:r>
        <w:t>La evaluación externa, que también será bienal, se realizará a cargo de una comisión diferente a los comités técnico e institucional de la estrategia o sus representantes designados para la evaluación interna, debiendo garantizar, en cualquier caso, la inclusión de la perspectiva de género en su metodología evaluativa.</w:t>
      </w:r>
    </w:p>
    <w:p w14:paraId="615838AE" w14:textId="77777777" w:rsidR="009D7677" w:rsidRDefault="009D7677" w:rsidP="009D7677">
      <w:pPr>
        <w:pStyle w:val="TextoNormal"/>
      </w:pPr>
    </w:p>
    <w:p w14:paraId="290C8931" w14:textId="77777777" w:rsidR="009D7677" w:rsidRDefault="009D7677" w:rsidP="009D7677">
      <w:pPr>
        <w:pStyle w:val="TextoNormal"/>
      </w:pPr>
      <w:r>
        <w:t>Tanto en la comisión de evaluación externa, como en ambos comités de la estrategia, se garantizará la representación de la institución responsable de la propuesta y ejecución de la política del Gobierno en materia de igualdad”.</w:t>
      </w:r>
    </w:p>
    <w:p w14:paraId="239864EF" w14:textId="77777777" w:rsidR="009D7677" w:rsidRDefault="009D7677" w:rsidP="009D7677">
      <w:pPr>
        <w:pStyle w:val="TextoNormal"/>
      </w:pPr>
    </w:p>
    <w:p w14:paraId="42011A2B" w14:textId="77777777" w:rsidR="009D7677" w:rsidRDefault="009D7677" w:rsidP="009D7677">
      <w:pPr>
        <w:pStyle w:val="TextoNormal"/>
      </w:pPr>
      <w:r>
        <w:t xml:space="preserve">(ii) Los apartados primero y segundo del art. 11 </w:t>
      </w:r>
      <w:r w:rsidRPr="009D7677">
        <w:rPr>
          <w:i/>
        </w:rPr>
        <w:t>bis</w:t>
      </w:r>
      <w:r>
        <w:t xml:space="preserve"> de la Ley Orgánica 2/2010 que, bajo la rúbrica “Investigación, recopilación y producción de datos”, disponen:</w:t>
      </w:r>
    </w:p>
    <w:p w14:paraId="5652550C" w14:textId="77777777" w:rsidR="009D7677" w:rsidRDefault="009D7677" w:rsidP="009D7677">
      <w:pPr>
        <w:pStyle w:val="TextoNormal"/>
      </w:pPr>
    </w:p>
    <w:p w14:paraId="0785C094" w14:textId="77777777" w:rsidR="009D7677" w:rsidRDefault="009D7677" w:rsidP="009D7677">
      <w:pPr>
        <w:pStyle w:val="TextoNormal"/>
      </w:pPr>
      <w:r>
        <w:t>“1. La investigación en materia de salud, derechos sexuales y reproductivos se garantizará a través de políticas públicas con enfoque de género e interseccional que permitan obtener la mejor, más amplia y actualizada información científica respecto de la salud se</w:t>
      </w:r>
      <w:r>
        <w:lastRenderedPageBreak/>
        <w:t>xual, la salud reproductiva, la salud durante la menstruación y la salud durante la menopausia y el climaterio en cada etapa correspondiente del ciclo vital.</w:t>
      </w:r>
    </w:p>
    <w:p w14:paraId="09FD124F" w14:textId="77777777" w:rsidR="009D7677" w:rsidRDefault="009D7677" w:rsidP="009D7677">
      <w:pPr>
        <w:pStyle w:val="TextoNormal"/>
      </w:pPr>
    </w:p>
    <w:p w14:paraId="60482621" w14:textId="77777777" w:rsidR="009D7677" w:rsidRDefault="009D7677" w:rsidP="009D7677">
      <w:pPr>
        <w:pStyle w:val="TextoNormal"/>
      </w:pPr>
      <w:r>
        <w:t>2. Las administraciones públicas llevarán a cabo y apoyarán la realización de estudios, encuestas y trabajos de investigación sobre las temáticas reguladas por esta ley orgánica, así como aquellos otros que, integrando la perspectiva de género e interseccional, las tengan en cuenta, a fin de obtener y producir el mejor y más actualizado conocimiento que sea posible en el ámbito de la salud, los derechos sexuales y reproductivos. Se promoverá la recogida de datos y la elaboración de estudios sobre las infecciones de transmisión sexual, con la finalidad de analizar su prevalencia y guiar las medidas para su prevención y tratamiento. Asimismo, se promoverán los estudios sobre la crisis de reproducción y sus impactos sociales”.</w:t>
      </w:r>
    </w:p>
    <w:p w14:paraId="4C36E327" w14:textId="77777777" w:rsidR="009D7677" w:rsidRDefault="009D7677" w:rsidP="009D7677">
      <w:pPr>
        <w:pStyle w:val="TextoNormal"/>
      </w:pPr>
    </w:p>
    <w:p w14:paraId="705D8A1F" w14:textId="77777777" w:rsidR="009D7677" w:rsidRDefault="009D7677" w:rsidP="009D7677">
      <w:pPr>
        <w:pStyle w:val="TextoNormal"/>
      </w:pPr>
      <w:r>
        <w:t>b) Posiciones de las partes</w:t>
      </w:r>
    </w:p>
    <w:p w14:paraId="4AEC0DE9" w14:textId="77777777" w:rsidR="009D7677" w:rsidRDefault="009D7677" w:rsidP="009D7677">
      <w:pPr>
        <w:pStyle w:val="TextoNormal"/>
      </w:pPr>
    </w:p>
    <w:p w14:paraId="75F65468" w14:textId="77777777" w:rsidR="009D7677" w:rsidRDefault="009D7677" w:rsidP="009D7677">
      <w:pPr>
        <w:pStyle w:val="TextoNormal"/>
      </w:pPr>
      <w:r>
        <w:t>(i) La tesis del recurso de inconstitucionalidad se basa en que la exigencia contenida en los apartados recurridos de que las estrategias y políticas públicas deban necesariamente incorporar el enfoque o la perspectiva de género, vulnera los principios de libertad y pluralismo político (art. 1.1 CE), el derecho a la libertad ideológica (art. 16.1 CE), el principio de legalidad (art. 9.3 CE) y el deber de neutralidad y objetividad que debe presidir la actuación de las administraciones públicas (art. 103.1 CE). Entienden los diputados recurrentes que la perspectiva de género es un constructo ideológico que no puede ser asumido por el Estado para inspirar las políticas públicas porque no puede haber una “doctrina o enfoque oficial” en cuestiones que implican una dimensión moral.</w:t>
      </w:r>
    </w:p>
    <w:p w14:paraId="596966EE" w14:textId="77777777" w:rsidR="009D7677" w:rsidRDefault="009D7677" w:rsidP="009D7677">
      <w:pPr>
        <w:pStyle w:val="TextoNormal"/>
      </w:pPr>
    </w:p>
    <w:p w14:paraId="410918C8" w14:textId="77777777" w:rsidR="009D7677" w:rsidRDefault="009D7677" w:rsidP="009D7677">
      <w:pPr>
        <w:pStyle w:val="TextoNormal"/>
      </w:pPr>
      <w:r>
        <w:t>(ii) Frente a estos argumentos, el abogado del Estado opone, en síntesis: (a) que la STC 44/2023 ha declarado constitucional la inclusión de la perspectiva de género en el ámbito de las políticas públicas; (b) que la perspectiva de género no constituye una obligación ideológica contraria a la Constitución, sino una herramienta para dar cumplimiento al principio de igualdad entre mujeres y hombres consagrado en los arts. 14 y 9.2 CE; (c) que lo que no tiene cabida en nuestro ordenamiento jurídico-constitucional es el planteamiento de los recurrentes según el cual la igualdad entre mujeres y hombres es una “opción ideológica”; y (d) que la incorporación de la perspectiva de género en las políticas públicas es una obligación derivada de los tratados internacionales de que España es parte.</w:t>
      </w:r>
    </w:p>
    <w:p w14:paraId="014637E0" w14:textId="77777777" w:rsidR="009D7677" w:rsidRDefault="009D7677" w:rsidP="009D7677">
      <w:pPr>
        <w:pStyle w:val="TextoNormal"/>
      </w:pPr>
    </w:p>
    <w:p w14:paraId="3A882C15" w14:textId="77777777" w:rsidR="009D7677" w:rsidRDefault="009D7677" w:rsidP="009D7677">
      <w:pPr>
        <w:pStyle w:val="TextoNormal"/>
      </w:pPr>
      <w:r>
        <w:t>c) Enjuiciamiento</w:t>
      </w:r>
    </w:p>
    <w:p w14:paraId="205A45D7" w14:textId="77777777" w:rsidR="009D7677" w:rsidRDefault="009D7677" w:rsidP="009D7677">
      <w:pPr>
        <w:pStyle w:val="TextoNormal"/>
      </w:pPr>
    </w:p>
    <w:p w14:paraId="1322BDDB" w14:textId="77777777" w:rsidR="009D7677" w:rsidRDefault="009D7677" w:rsidP="009D7677">
      <w:pPr>
        <w:pStyle w:val="TextoNormal"/>
      </w:pPr>
      <w:r>
        <w:t>Como afirma el abogado del Estado, este tribunal ya se ha pronunciado con anterioridad en relación con la constitucionalidad de la incorporación de la perspectiva de género en las políticas públicas. Efectivamente, en la STC 44/2023, FJ 10, explicamos que la perspectiva de género es “un enfoque metodológico y un criterio hermenéutico transversal orientado a promover la igualdad entre mujeres y hombres, como parte esencial de una cultura de respeto y promoción de los derechos humanos” y razonamos que “la integración de la perspectiva de género en las políticas educativas, sanitarias y sociales significa tener en cuenta las diferentes necesidades de hombre y mujer en dichas áreas de la realidad, con el objetivo último de garantizar la igualdad efectiva y real entre hombres y mujeres”. Con cita de la STC 12/2008, de 29 de enero, afirmamos también que la incorporación de esa perspectiva “es propia de la caracterización del Estado como social y democrático de De</w:t>
      </w:r>
      <w:r>
        <w:lastRenderedPageBreak/>
        <w:t>recho” y que dicha caracterización, con los valores superiores que la configuran, “representa el fundamento axiológico para la comprensión del entero orden constitucional”.</w:t>
      </w:r>
    </w:p>
    <w:p w14:paraId="6E4C9C99" w14:textId="77777777" w:rsidR="009D7677" w:rsidRDefault="009D7677" w:rsidP="009D7677">
      <w:pPr>
        <w:pStyle w:val="TextoNormal"/>
      </w:pPr>
    </w:p>
    <w:p w14:paraId="039562F0" w14:textId="77777777" w:rsidR="009D7677" w:rsidRDefault="009D7677" w:rsidP="009D7677">
      <w:pPr>
        <w:pStyle w:val="TextoNormal"/>
      </w:pPr>
      <w:r>
        <w:t>En dicha sentencia rechazamos la denunciada vulneración del art. 16.1 CE y el reproche de adoctrinamiento invocado, en relación con la incorporación de la perspectiva de género en el ámbito de la educación sanitaria sobre salud sexual y reproductiva y con la formación de los profesionales de la salud, en los términos en que aquella había sido recogida respectivamente en los arts. 5.1 e) y 8 de la Ley Orgánica 2/2010, en su redacción originaria. Consideramos, respecto de los preceptos entonces impugnados, que no cabía admitir que la incorporación de la perspectiva de género implicara una finalidad de adoctrinamiento, contraria a la libertad ideológica o que pudiera comprometer la neutralidad ideológica del Estado.</w:t>
      </w:r>
    </w:p>
    <w:p w14:paraId="6AFF1316" w14:textId="77777777" w:rsidR="009D7677" w:rsidRDefault="009D7677" w:rsidP="009D7677">
      <w:pPr>
        <w:pStyle w:val="TextoNormal"/>
      </w:pPr>
    </w:p>
    <w:p w14:paraId="57A6C42C" w14:textId="77777777" w:rsidR="009D7677" w:rsidRDefault="009D7677" w:rsidP="009D7677">
      <w:pPr>
        <w:pStyle w:val="TextoNormal"/>
      </w:pPr>
      <w:r>
        <w:t>Por idénticas razones a las que expusimos entonces, hemos ahora de descartar las tachas de inconstitucionalidad que, con fundamento en los arts. 1.1, 9.3, 16.1 y 103.1 CE, se dirigen frente a los preceptos impugnados.</w:t>
      </w:r>
    </w:p>
    <w:p w14:paraId="05100E81" w14:textId="77777777" w:rsidR="009D7677" w:rsidRDefault="009D7677" w:rsidP="009D7677">
      <w:pPr>
        <w:pStyle w:val="TextoNormal"/>
      </w:pPr>
    </w:p>
    <w:p w14:paraId="4F5AC5D0" w14:textId="77777777" w:rsidR="009D7677" w:rsidRDefault="009D7677" w:rsidP="009D7677">
      <w:pPr>
        <w:pStyle w:val="TextoNormal"/>
      </w:pPr>
      <w:r>
        <w:t>En definitiva, la perspectiva de género, como enfoque transversal de todas las políticas públicas, engarza con el principio de igualdad como valor superior del ordenamiento jurídico (art. 1.1 CE), con la obligación de los poderes públicos de promover las condiciones para que la libertad y la igualdad del individuo sean reales y efectivas, removiendo los obstáculos que impidan o dificulten su plenitud (art. 9.2 CE) y con el derecho a la igualdad y a la no discriminación por razón de sexo (art. 14 CE). Además, entronca con el art. 4 de la Ley Orgánica 3/2007, de 22 de marzo, para la igualdad efectiva de mujeres y hombres, que configura la igualdad de trato y de oportunidades entre mujeres y hombres como un principio informador del ordenamiento jurídico que, en cuanto que tal, se debe integrar y observar en la interpretación y aplicación de las normas jurídicas. E igualmente la integración de la perspectiva de género en las políticas públicas a que se refiere la Ley Orgánica 2/2010, en la redacción dada por la Ley Orgánica 1/2023, es coherente con el mandato contenido en la Ley 15/2022, de 12 de julio, integral para la igualdad de trato y la no discriminación. El art. 4.4 de esta Ley, declarado constitucional en la STC 89/2024, de 5 de junio, ordena que la perspectiva de género sea tenida en cuenta en las políticas contra la discriminación y que se preste especial atención “a su impacto en las mujeres y las niñas como obstáculo al acceso a derechos como la educación, el empleo, la salud, el acceso a la justicia y el derecho a una vida libre de violencias, entre otros”.</w:t>
      </w:r>
    </w:p>
    <w:p w14:paraId="520062E5" w14:textId="77777777" w:rsidR="009D7677" w:rsidRDefault="009D7677" w:rsidP="009D7677">
      <w:pPr>
        <w:pStyle w:val="TextoNormal"/>
      </w:pPr>
    </w:p>
    <w:p w14:paraId="49F72E7F" w14:textId="77777777" w:rsidR="009D7677" w:rsidRDefault="009D7677" w:rsidP="009D7677">
      <w:pPr>
        <w:pStyle w:val="TextoNormal"/>
      </w:pPr>
      <w:r>
        <w:t xml:space="preserve">Por otro lado, en el plano internacional, la obligación del Estado de asumir un papel activo en la promoción de la igualdad entre mujeres y hombres en todos los ámbitos resulta de diversos convenios internacionales suscritos por España, tales como la Convención sobre la eliminación de todas las formas de discriminación contra la mujer, hecha en Nueva York el 18 de diciembre de 1979 o el Convenio del Consejo de Europa sobre prevención y lucha contra la violencia contra la mujer y la violencia doméstica, hecho en Estambul el 11 de mayo de 2011. Además, el reconocimiento de la perspectiva de género como principio informador de las políticas públicas constituye una práctica establecida en los países de nuestro entorno jurídico europeo y prueba de ello es que, en el ámbito de la Unión Europea, precisamente, la Comunicación de la Comisión al Parlamento Europeo, al Consejo, al Comité Económico y Social Europeo y al Comité de las Regiones “Una Unión de la igualdad: Estrategia para la Igualdad de Género 2020-2025” recoge dentro de los </w:t>
      </w:r>
      <w:r>
        <w:lastRenderedPageBreak/>
        <w:t>objetivos estratégicos y acciones clave para el período 2020-2025 la integración de la perspectiva de género en todas las políticas y programas de la Unión Europea.</w:t>
      </w:r>
    </w:p>
    <w:p w14:paraId="14B1926D" w14:textId="77777777" w:rsidR="009D7677" w:rsidRDefault="009D7677" w:rsidP="009D7677">
      <w:pPr>
        <w:pStyle w:val="TextoNormal"/>
      </w:pPr>
    </w:p>
    <w:p w14:paraId="27991433" w14:textId="77777777" w:rsidR="009D7677" w:rsidRDefault="009D7677" w:rsidP="009D7677">
      <w:pPr>
        <w:pStyle w:val="TextoNormal"/>
      </w:pPr>
      <w:r>
        <w:t>Desde esta óptica, la obligación legal de integrar la perspectiva de género en las políticas públicas es una opción del legislador que no persigue imponer una determinada perspectiva ideológica, en contra de los valores de la libertad o el pluralismo político, el principio de legalidad, la libertad ideológica o el deber de objetividad que ha de presidir la actuación de las administraciones públicas, sino que tiene por finalidad promover el cumplimiento de los citados valores y principios constitucionales, así como asegurar su plenitud y efectividad.</w:t>
      </w:r>
    </w:p>
    <w:p w14:paraId="012199C0" w14:textId="77777777" w:rsidR="009D7677" w:rsidRDefault="009D7677" w:rsidP="009D7677">
      <w:pPr>
        <w:pStyle w:val="TextoNormal"/>
      </w:pPr>
    </w:p>
    <w:p w14:paraId="100BB999" w14:textId="77777777" w:rsidR="009D7677" w:rsidRDefault="009D7677" w:rsidP="009D7677">
      <w:pPr>
        <w:pStyle w:val="TextoNormal"/>
      </w:pPr>
      <w:r>
        <w:t xml:space="preserve">Por ello, nada cabe reprochar desde un punto de vista constitucional al legislador por haber incluido la perspectiva de género dentro del catálogo de principios rectores de la actuación de los poderes públicos en el ámbito de aplicación de la Ley Orgánica 2/2010 [art. 3.1 f)], en el marco de la educación sanitaria sobre salud sexual y reproductiva [art. 5.1 f)], la atención psicológica y sexológica [art. 7 </w:t>
      </w:r>
      <w:r w:rsidRPr="009D7677">
        <w:rPr>
          <w:i/>
        </w:rPr>
        <w:t>bis</w:t>
      </w:r>
      <w:r>
        <w:t xml:space="preserve"> k)], la educación menstrual (art. 10 </w:t>
      </w:r>
      <w:r w:rsidRPr="009D7677">
        <w:rPr>
          <w:i/>
        </w:rPr>
        <w:t>ter</w:t>
      </w:r>
      <w:r>
        <w:t>), la elaboración de la Estrategia Estatal de Salud Sexual y Reproductiva (art. 11, apartados tercero y cuarto) y la investigación en materia de salud, derechos sexuales y reproductivos (art. 1</w:t>
      </w:r>
      <w:r w:rsidRPr="009D7677">
        <w:rPr>
          <w:i/>
        </w:rPr>
        <w:t>1 b</w:t>
      </w:r>
      <w:r>
        <w:t>is, apartados primero y segundo).</w:t>
      </w:r>
    </w:p>
    <w:p w14:paraId="09A9E3E0" w14:textId="77777777" w:rsidR="009D7677" w:rsidRDefault="009D7677" w:rsidP="009D7677">
      <w:pPr>
        <w:pStyle w:val="TextoNormal"/>
      </w:pPr>
    </w:p>
    <w:p w14:paraId="77EA6921" w14:textId="37006389" w:rsidR="009D7677" w:rsidRDefault="009D7677" w:rsidP="009D7677">
      <w:pPr>
        <w:pStyle w:val="TextoNormal"/>
      </w:pPr>
      <w:r>
        <w:t>Por las razones expuestas, este motivo de inconstitucionalidad debe ser desestimado.</w:t>
      </w:r>
    </w:p>
    <w:p w14:paraId="3E06E1C1" w14:textId="77777777" w:rsidR="009D7677" w:rsidRDefault="009D7677" w:rsidP="009D7677">
      <w:pPr>
        <w:pStyle w:val="TextoNormal"/>
      </w:pPr>
    </w:p>
    <w:p w14:paraId="61263F5C" w14:textId="77777777" w:rsidR="009D7677" w:rsidRDefault="009D7677" w:rsidP="009D7677">
      <w:pPr>
        <w:pStyle w:val="TextoNormal"/>
      </w:pPr>
      <w:r w:rsidRPr="009D7677">
        <w:rPr>
          <w:rStyle w:val="NumeroAFNegritaCaracter"/>
        </w:rPr>
        <w:t>4</w:t>
      </w:r>
      <w:r>
        <w:t xml:space="preserve">. </w:t>
      </w:r>
      <w:r w:rsidRPr="009D7677">
        <w:rPr>
          <w:i/>
        </w:rPr>
        <w:t>Examen de los motivos de impugnación dirigidos contra los apartados sexto y vigésimo segundo del artículo único de la Ley Orgánica 1/2023: la exclusión de determinadas entidades y organizaciones de las medidas de apoyo legalmente previstas</w:t>
      </w:r>
      <w:r>
        <w:t xml:space="preserve"> </w:t>
      </w:r>
    </w:p>
    <w:p w14:paraId="6E7D531E" w14:textId="77777777" w:rsidR="009D7677" w:rsidRDefault="009D7677" w:rsidP="009D7677">
      <w:pPr>
        <w:pStyle w:val="TextoNormal"/>
      </w:pPr>
    </w:p>
    <w:p w14:paraId="388A8874" w14:textId="77777777" w:rsidR="009D7677" w:rsidRDefault="009D7677" w:rsidP="009D7677">
      <w:pPr>
        <w:pStyle w:val="TextoNormal"/>
      </w:pPr>
      <w:r>
        <w:t>A) Preceptos impugnados</w:t>
      </w:r>
    </w:p>
    <w:p w14:paraId="11681089" w14:textId="77777777" w:rsidR="009D7677" w:rsidRDefault="009D7677" w:rsidP="009D7677">
      <w:pPr>
        <w:pStyle w:val="TextoNormal"/>
      </w:pPr>
    </w:p>
    <w:p w14:paraId="55F32497" w14:textId="77777777" w:rsidR="009D7677" w:rsidRDefault="009D7677" w:rsidP="009D7677">
      <w:pPr>
        <w:pStyle w:val="TextoNormal"/>
      </w:pPr>
      <w:r>
        <w:t>El segundo motivo de impugnación se dirige contra los apartados sexto y vigésimo segundo del artículo único de la Ley Orgánica 1/2023, por los que se da nueva redacción a los arts. 6 y 26 de la Ley Orgánica 2/2010:</w:t>
      </w:r>
    </w:p>
    <w:p w14:paraId="1434D941" w14:textId="77777777" w:rsidR="009D7677" w:rsidRDefault="009D7677" w:rsidP="009D7677">
      <w:pPr>
        <w:pStyle w:val="TextoNormal"/>
      </w:pPr>
    </w:p>
    <w:p w14:paraId="0A917400" w14:textId="77777777" w:rsidR="009D7677" w:rsidRDefault="009D7677" w:rsidP="009D7677">
      <w:pPr>
        <w:pStyle w:val="TextoNormal"/>
      </w:pPr>
      <w:r>
        <w:t>“Artículo 6. Apoyo a las entidades sin ánimo de lucro y sociedad civil</w:t>
      </w:r>
    </w:p>
    <w:p w14:paraId="0C6E11C3" w14:textId="77777777" w:rsidR="009D7677" w:rsidRDefault="009D7677" w:rsidP="009D7677">
      <w:pPr>
        <w:pStyle w:val="TextoNormal"/>
      </w:pPr>
    </w:p>
    <w:p w14:paraId="3F4B717B" w14:textId="77777777" w:rsidR="009D7677" w:rsidRDefault="009D7677" w:rsidP="009D7677">
      <w:pPr>
        <w:pStyle w:val="TextoNormal"/>
      </w:pPr>
      <w:r>
        <w:t>Las administraciones públicas promoverán y fortalecerán la participación de las entidades sin ánimo de lucro, asociaciones, organizaciones sociales y organizaciones sindicales y empresariales más representativas, atendiendo a las diferentes realidades territoriales del Estado que, desde el movimiento feminista y la sociedad civil, actúan en el ámbito de la salud y los derechos sexuales y reproductivos, con especial atención a aquellas cuyas actuaciones tienen lugar en los ámbitos específicos regulados por esta ley orgánica. Quedarán excluidas de este artículo aquellas organizaciones contrarias al derecho recogido en la presente ley orgánica de interrupción voluntaria del embarazo.</w:t>
      </w:r>
    </w:p>
    <w:p w14:paraId="4F8BB3B2" w14:textId="77777777" w:rsidR="009D7677" w:rsidRDefault="009D7677" w:rsidP="009D7677">
      <w:pPr>
        <w:pStyle w:val="TextoNormal"/>
      </w:pPr>
    </w:p>
    <w:p w14:paraId="79423609" w14:textId="77777777" w:rsidR="009D7677" w:rsidRDefault="009D7677" w:rsidP="009D7677">
      <w:pPr>
        <w:pStyle w:val="TextoNormal"/>
      </w:pPr>
      <w:r>
        <w:t>[…]</w:t>
      </w:r>
    </w:p>
    <w:p w14:paraId="6F8E43E9" w14:textId="77777777" w:rsidR="009D7677" w:rsidRDefault="009D7677" w:rsidP="009D7677">
      <w:pPr>
        <w:pStyle w:val="TextoNormal"/>
      </w:pPr>
    </w:p>
    <w:p w14:paraId="092AA8EF" w14:textId="77777777" w:rsidR="009D7677" w:rsidRDefault="009D7677" w:rsidP="009D7677">
      <w:pPr>
        <w:pStyle w:val="TextoNormal"/>
      </w:pPr>
      <w:r>
        <w:t>Artículo 26. Apoyo a entidades sociales especializadas</w:t>
      </w:r>
    </w:p>
    <w:p w14:paraId="3AE9D436" w14:textId="77777777" w:rsidR="009D7677" w:rsidRDefault="009D7677" w:rsidP="009D7677">
      <w:pPr>
        <w:pStyle w:val="TextoNormal"/>
      </w:pPr>
    </w:p>
    <w:p w14:paraId="76E300A7" w14:textId="77777777" w:rsidR="009D7677" w:rsidRDefault="009D7677" w:rsidP="009D7677">
      <w:pPr>
        <w:pStyle w:val="TextoNormal"/>
      </w:pPr>
      <w:r>
        <w:lastRenderedPageBreak/>
        <w:t>Las administraciones públicas apoyarán el trabajo de las instituciones sin ánimo de lucro con programas de promoción y difusión de buenas prácticas en el ámbito de la salud ginecológica y obstétrica, así como aquellas que proporcionan acompañamiento y asistencia integral ante vulneraciones de derechos en el ámbito de la salud sexual y reproductiva. Quedarán excluidas de este artículo aquellas organizaciones contrarias al derecho recogido en la presente ley de interrupción voluntaria del embarazo”.</w:t>
      </w:r>
    </w:p>
    <w:p w14:paraId="099987BB" w14:textId="77777777" w:rsidR="009D7677" w:rsidRDefault="009D7677" w:rsidP="009D7677">
      <w:pPr>
        <w:pStyle w:val="TextoNormal"/>
      </w:pPr>
    </w:p>
    <w:p w14:paraId="20ECB24D" w14:textId="77777777" w:rsidR="009D7677" w:rsidRDefault="009D7677" w:rsidP="009D7677">
      <w:pPr>
        <w:pStyle w:val="TextoNormal"/>
      </w:pPr>
      <w:r>
        <w:t>La impugnación se limita a los incisos finales de ambos artículos, en virtud de los cuales se excluyen de las medidas de apoyo a las organizaciones contrarias al derecho a la interrupción voluntaria del embarazo.</w:t>
      </w:r>
    </w:p>
    <w:p w14:paraId="73CBB1FB" w14:textId="77777777" w:rsidR="009D7677" w:rsidRDefault="009D7677" w:rsidP="009D7677">
      <w:pPr>
        <w:pStyle w:val="TextoNormal"/>
      </w:pPr>
    </w:p>
    <w:p w14:paraId="44FD78E8" w14:textId="77777777" w:rsidR="009D7677" w:rsidRDefault="009D7677" w:rsidP="009D7677">
      <w:pPr>
        <w:pStyle w:val="TextoNormal"/>
      </w:pPr>
      <w:r>
        <w:t>B) Posiciones de las partes</w:t>
      </w:r>
    </w:p>
    <w:p w14:paraId="5F8FEA66" w14:textId="77777777" w:rsidR="009D7677" w:rsidRDefault="009D7677" w:rsidP="009D7677">
      <w:pPr>
        <w:pStyle w:val="TextoNormal"/>
      </w:pPr>
    </w:p>
    <w:p w14:paraId="7CAF4FC0" w14:textId="77777777" w:rsidR="009D7677" w:rsidRDefault="009D7677" w:rsidP="009D7677">
      <w:pPr>
        <w:pStyle w:val="TextoNormal"/>
      </w:pPr>
      <w:r>
        <w:t>a) Los diputados recurrentes estiman que los incisos objeto de impugnación vulneran los arts. 9.3, 14, 16.1 y 103.1 CE, en relación con el principio de interdicción de la arbitrariedad de los poderes públicos, el derecho a la igualdad y a la no discriminación por razón de opinión, el derecho a la libertad ideológica y el deber de neutralidad de las administraciones públicas.</w:t>
      </w:r>
    </w:p>
    <w:p w14:paraId="6F6BE7A1" w14:textId="77777777" w:rsidR="009D7677" w:rsidRDefault="009D7677" w:rsidP="009D7677">
      <w:pPr>
        <w:pStyle w:val="TextoNormal"/>
      </w:pPr>
    </w:p>
    <w:p w14:paraId="4AA1C066" w14:textId="77777777" w:rsidR="009D7677" w:rsidRDefault="009D7677" w:rsidP="009D7677">
      <w:pPr>
        <w:pStyle w:val="TextoNormal"/>
      </w:pPr>
      <w:r>
        <w:t>Tras criticar la falta de rigor técnico de los preceptos recurridos, porque no especifican qué ha de entenderse por “contrario al derecho recogido en la presente ley”, sostienen que los incisos impugnados excluyen de las medidas de fomento, promoción y apoyo no a las entidades que impidan o dificulten el ejercicio del aborto, sino que simplemente sean “contrarias” a él. Entienden los recurrentes que al denegar el apoyo y promoción a unas entidades por sus ideas —y por tanto, las de las personas que las componen— se les está otorgando un trato discriminatorio. Además, la diferencia de trato por motivos ideológicos constituiría una vulneración del derecho a la libertad ideológica y quebraría los deberes de objetividad y neutralidad que la Constitución impone a los poderes públicos. Afirman que se trata una decisión del legislador arbitraria y carente de justificación racional.</w:t>
      </w:r>
    </w:p>
    <w:p w14:paraId="65641AAA" w14:textId="77777777" w:rsidR="009D7677" w:rsidRDefault="009D7677" w:rsidP="009D7677">
      <w:pPr>
        <w:pStyle w:val="TextoNormal"/>
      </w:pPr>
    </w:p>
    <w:p w14:paraId="121AE586" w14:textId="77777777" w:rsidR="009D7677" w:rsidRDefault="009D7677" w:rsidP="009D7677">
      <w:pPr>
        <w:pStyle w:val="TextoNormal"/>
      </w:pPr>
      <w:r>
        <w:t>Concluyen señalando que el hecho de que un texto legal pueda imponer las ideas de la mayoría dominante, excluyendo el pensamiento de las minorías, es opuesto a o que debería priorizarse en un Estado democrático de Derecho.</w:t>
      </w:r>
    </w:p>
    <w:p w14:paraId="4144A06B" w14:textId="77777777" w:rsidR="009D7677" w:rsidRDefault="009D7677" w:rsidP="009D7677">
      <w:pPr>
        <w:pStyle w:val="TextoNormal"/>
      </w:pPr>
    </w:p>
    <w:p w14:paraId="5FA5230F" w14:textId="77777777" w:rsidR="009D7677" w:rsidRDefault="009D7677" w:rsidP="009D7677">
      <w:pPr>
        <w:pStyle w:val="TextoNormal"/>
      </w:pPr>
      <w:r>
        <w:t>b) El abogado del Estado parte de la consideración de que el derecho de las mujeres a la interrupción voluntaria del embarazo debe entenderse amparado por las previsiones constitucionales de los arts. 10 y 15 CE (STC 44/2023, FJ 3) y que de ello se deriva una obligación de los poderes públicos de llevar a cabo actuaciones positivas para remover los obstáculos de todo tipo que puedan encontrar las mujeres en el ejercicio de este derecho. Razona así que dentro de dichas actuaciones se incluyen las medidas positivas de fomento dirigidas a promover la participación de entidades sin ánimo de lucro cuyas actividades coadyuven a tales objetivos. Afirma que, sin embargo, existen organizaciones que, actuando en los ámbitos previstos en la ley, se oponen con su actividad a la interrupción voluntaria del embarazo como derecho de la mujer. Defiende que los incisos recurridos persiguen una finalidad legítima que identifica con la necesidad de evitar que la promoción y apoyo a las entidades sin ánimo de lucro pueda redundar en un resultado contrario a la promoción y respeto de los derechos reconocidos en la ley.</w:t>
      </w:r>
    </w:p>
    <w:p w14:paraId="5113B2A9" w14:textId="77777777" w:rsidR="009D7677" w:rsidRDefault="009D7677" w:rsidP="009D7677">
      <w:pPr>
        <w:pStyle w:val="TextoNormal"/>
      </w:pPr>
    </w:p>
    <w:p w14:paraId="0AD294F9" w14:textId="77777777" w:rsidR="009D7677" w:rsidRDefault="009D7677" w:rsidP="009D7677">
      <w:pPr>
        <w:pStyle w:val="TextoNormal"/>
      </w:pPr>
      <w:r>
        <w:lastRenderedPageBreak/>
        <w:t>Añade que no existe una obligación constitucional que imponga la promoción, apoyo y subvención de todas las organizaciones o entidades sociales por igual y que el legislador es libre de determinar las organizaciones que, en atención a su finalidad, es conveniente apoyar. Esto supone que no se puede realizar ningún reproche constitucional por el establecimiento de un mandato legal de apoyo a determinadas entidades en atención a su finalidad. Por ello, afirma que la decisión de excluir de las medidas de fomento a las organizaciones que se postulan en contra del derecho a la interrupción voluntaria del embarazo resulta razonable y no arbitraria.</w:t>
      </w:r>
    </w:p>
    <w:p w14:paraId="4D9B5426" w14:textId="77777777" w:rsidR="009D7677" w:rsidRDefault="009D7677" w:rsidP="009D7677">
      <w:pPr>
        <w:pStyle w:val="TextoNormal"/>
      </w:pPr>
    </w:p>
    <w:p w14:paraId="10EABCBC" w14:textId="77777777" w:rsidR="009D7677" w:rsidRDefault="009D7677" w:rsidP="009D7677">
      <w:pPr>
        <w:pStyle w:val="TextoNormal"/>
      </w:pPr>
      <w:r>
        <w:t>Considera que no cabe apreciar discriminación por razón de ideología o creencias porque la norma establece una diferencia de trato en atención a los objetivos perseguidos por unas u otras organizaciones. Afirma que si la finalidad perseguida por el legislador, conforme al art. 1 de la Ley Orgánica 2/2010, es garantizar los derechos fundamentales en el ámbito de la salud sexual y la salud reproductiva y regular las condiciones de la interrupción voluntaria del embarazo, resulta razonable y proporcionado que, dentro del margen que tiene el legislador, apoye la actividad de las entidades que tienen por objeto el fomento de los derechos sexuales y reproductivos previstos en la ley, dejando fuera de las medidas de fomento a aquellas entidades que se oponen con su actividad a estos derechos.</w:t>
      </w:r>
    </w:p>
    <w:p w14:paraId="62066A4F" w14:textId="77777777" w:rsidR="009D7677" w:rsidRDefault="009D7677" w:rsidP="009D7677">
      <w:pPr>
        <w:pStyle w:val="TextoNormal"/>
      </w:pPr>
    </w:p>
    <w:p w14:paraId="76712F39" w14:textId="77777777" w:rsidR="009D7677" w:rsidRDefault="009D7677" w:rsidP="009D7677">
      <w:pPr>
        <w:pStyle w:val="TextoNormal"/>
      </w:pPr>
      <w:r>
        <w:t>Asimismo, sostiene que tampoco se vulnera el art. 16 CE, porque lo relevante es que el fin perseguido por dichas organizaciones sea contrario al espíritu de la ley. Afirma que las entidades contrarias al derecho a la interrupción voluntaria del embarazo pueden continuar desarrollando su actividad y manifestando públicamente su oposición al derecho al aborto, sin que el hecho de no recibir apoyo público comporte una vulneración del derecho a la libertad ideológica, religiosa y de culto.</w:t>
      </w:r>
    </w:p>
    <w:p w14:paraId="441B44E0" w14:textId="77777777" w:rsidR="009D7677" w:rsidRDefault="009D7677" w:rsidP="009D7677">
      <w:pPr>
        <w:pStyle w:val="TextoNormal"/>
      </w:pPr>
    </w:p>
    <w:p w14:paraId="737274E8" w14:textId="77777777" w:rsidR="009D7677" w:rsidRDefault="009D7677" w:rsidP="009D7677">
      <w:pPr>
        <w:pStyle w:val="TextoNormal"/>
      </w:pPr>
      <w:r>
        <w:t>Por último, niega la vulneración del art. 103.1 CE, por cuanto que es el legislador el que determina los intereses generales a los que debe servir la administración y que, en este caso, estamos ante una ley orgánica que pretende garantizar el ejercicio de un derecho reconocido como tal por el Tribunal Constitucional.</w:t>
      </w:r>
    </w:p>
    <w:p w14:paraId="41A2BF59" w14:textId="77777777" w:rsidR="009D7677" w:rsidRDefault="009D7677" w:rsidP="009D7677">
      <w:pPr>
        <w:pStyle w:val="TextoNormal"/>
      </w:pPr>
    </w:p>
    <w:p w14:paraId="070BF5F6" w14:textId="77777777" w:rsidR="009D7677" w:rsidRDefault="009D7677" w:rsidP="009D7677">
      <w:pPr>
        <w:pStyle w:val="TextoNormal"/>
      </w:pPr>
      <w:r>
        <w:t>C) Enjuiciamiento</w:t>
      </w:r>
    </w:p>
    <w:p w14:paraId="0114A326" w14:textId="77777777" w:rsidR="009D7677" w:rsidRDefault="009D7677" w:rsidP="009D7677">
      <w:pPr>
        <w:pStyle w:val="TextoNormal"/>
      </w:pPr>
    </w:p>
    <w:p w14:paraId="029FD69B" w14:textId="77777777" w:rsidR="009D7677" w:rsidRDefault="009D7677" w:rsidP="009D7677">
      <w:pPr>
        <w:pStyle w:val="TextoNormal"/>
      </w:pPr>
      <w:r>
        <w:t>a) En lo que se refiere al orden de examinar las diferentes tachas de inconstitucionalidad que se formulan en este motivo de impugnación, debe recordarse que corresponde a este tribunal, en función de las circunstancias concurrentes en cada supuesto concreto sometido a su consideración, determinar el orden del examen de las quejas planteadas [SSTC 37/2022, de 10 de marzo, FJ 3 b), y 146/2023, de 16 de octubre, FJ 2].</w:t>
      </w:r>
    </w:p>
    <w:p w14:paraId="074D6AEA" w14:textId="77777777" w:rsidR="009D7677" w:rsidRDefault="009D7677" w:rsidP="009D7677">
      <w:pPr>
        <w:pStyle w:val="TextoNormal"/>
      </w:pPr>
    </w:p>
    <w:p w14:paraId="40A473E0" w14:textId="77777777" w:rsidR="009D7677" w:rsidRDefault="009D7677" w:rsidP="009D7677">
      <w:pPr>
        <w:pStyle w:val="TextoNormal"/>
      </w:pPr>
      <w:r>
        <w:t>b) Procede, por lo tanto, comenzar examinando si los incisos finales de los arts. 6 y 26 de la Ley Orgánica 2/2010, en la redacción vigente objeto de impugnación, encierran o no una verdadera discriminación por motivos ideológicos, proscrita por los arts. 14 y 16.1 CE, por constituir la cuestión nuclear de este motivo de impugnación.</w:t>
      </w:r>
    </w:p>
    <w:p w14:paraId="54BF8653" w14:textId="77777777" w:rsidR="009D7677" w:rsidRDefault="009D7677" w:rsidP="009D7677">
      <w:pPr>
        <w:pStyle w:val="TextoNormal"/>
      </w:pPr>
    </w:p>
    <w:p w14:paraId="31D5C8D4" w14:textId="77777777" w:rsidR="009D7677" w:rsidRDefault="009D7677" w:rsidP="009D7677">
      <w:pPr>
        <w:pStyle w:val="TextoNormal"/>
      </w:pPr>
      <w:r>
        <w:t xml:space="preserve">En relación con el principio de igualdad, este tribunal tiene declarado —desde la STC 22/1981, de 2 de julio, recogiendo al respecto la doctrina del Tribunal Europeo de Derechos Humanos— que el principio de igualdad no exige en todos los casos un tratamiento legal igual con abstracción de cualquier elemento diferenciador de relevancia jurídica, de </w:t>
      </w:r>
      <w:r>
        <w:lastRenderedPageBreak/>
        <w:t>manera que no toda desigualdad de trato normativo respecto a la regulación de una determinada materia supone una infracción del art. 14 CE, sino tan solo las que introduzcan una diferencia entre situaciones que puedan considerarse iguales, sin que exista una justificación objetiva y razonable para ello. Sería además necesario, para que fuera constitucionalmente lícita la diferencia de trato, que las consecuencias jurídicas que se deriven de tal distinción sean proporcionadas a la finalidad perseguida; de suerte que se eviten resultados excesivamente gravosos o desmedidos (SSTC 22/1981, de 2 de julio, FJ 3; 49/1982, de 14 de julio, FJ 2; 117/1998, de 2 de junio, FJ 8; 200/2001, de 4 de octubre, FJ 4; 39/2002, de 14 de febrero, FJ 4; 41/2013, de 14 de febrero, FJ 6, y 111/2018, de 17 de octubre, FJ 4). En definitiva, el principio genérico de igualdad no postula ni como fin ni como medio la paridad y solo exige la razonabilidad de la diferencia normativa de trato [SSTC 71/2020, de 29 de junio, FJ 3 a), y 191/2020, de 17 de diciembre, FJ 4 A)].</w:t>
      </w:r>
    </w:p>
    <w:p w14:paraId="474D91BF" w14:textId="77777777" w:rsidR="009D7677" w:rsidRDefault="009D7677" w:rsidP="009D7677">
      <w:pPr>
        <w:pStyle w:val="TextoNormal"/>
      </w:pPr>
    </w:p>
    <w:p w14:paraId="7EDF647D" w14:textId="77777777" w:rsidR="009D7677" w:rsidRDefault="009D7677" w:rsidP="009D7677">
      <w:pPr>
        <w:pStyle w:val="TextoNormal"/>
      </w:pPr>
      <w:r>
        <w:t>Dado que los preceptos recurridos versan sobre medidas de apoyo y fomento de la participación de diversas entidades y organizaciones, nuestro examen ha de partir del reconocimiento de que la regulación de las medidas de fomento, en general, y de los regímenes de ayudas públicas, en particular, entra dentro del margen de libertad de configuración del legislador. Del mismo modo que este tribunal ha apreciado la existencia de este margen de apreciación del legislador, dentro de los límites constitucionales, en relación con aquellos regímenes de ayudas que derivan expresamente de mandatos constitucionales específicos (SSTC 77/1985, de 27 de junio, FJ 11, y 34/2023, FJ 5, ambas en relación con el art. 27.9 CE), con mayor razón habrá de reconocerle tal margen de decisión en relación con técnicas de fomento de mera configuración legal.</w:t>
      </w:r>
    </w:p>
    <w:p w14:paraId="501A1DA1" w14:textId="77777777" w:rsidR="009D7677" w:rsidRDefault="009D7677" w:rsidP="009D7677">
      <w:pPr>
        <w:pStyle w:val="TextoNormal"/>
      </w:pPr>
    </w:p>
    <w:p w14:paraId="7652CC3E" w14:textId="77777777" w:rsidR="009D7677" w:rsidRDefault="009D7677" w:rsidP="009D7677">
      <w:pPr>
        <w:pStyle w:val="TextoNormal"/>
      </w:pPr>
      <w:r>
        <w:t>La libertad de configuración de que dispone el legislador en este ámbito comprende la posibilidad de favorecer o fomentar las actividades de aquellas entidades cuya actuación se encuentra alineada con los fines de interés general, establecidos como tales en la ley, y ello puede implicar, correlativamente, la facultad de excluir a aquellos que no concurran con su actuación a la consecución de los objetivos definidos como prioritarios por el legislador. En cierto modo, toda técnica de fomento introduce un elemento de diferenciación, en cuanto que con ella se potencia con determinados beneficios una concreta actividad privada que se adecúa a los objetivos perseguidos por los poderes públicos y ello no supone una discriminación contraria al art. 14 CE, siempre que exista una razón jurídicamente atendible que justifique dicha diferencia de trato.</w:t>
      </w:r>
    </w:p>
    <w:p w14:paraId="79975BF3" w14:textId="77777777" w:rsidR="009D7677" w:rsidRDefault="009D7677" w:rsidP="009D7677">
      <w:pPr>
        <w:pStyle w:val="TextoNormal"/>
      </w:pPr>
    </w:p>
    <w:p w14:paraId="2DF38B02" w14:textId="77777777" w:rsidR="009D7677" w:rsidRDefault="009D7677" w:rsidP="009D7677">
      <w:pPr>
        <w:pStyle w:val="TextoNormal"/>
      </w:pPr>
      <w:r>
        <w:t>En el caso que nos ocupa, los incisos finales de los arts. 6 y 26 de la Ley Orgánica 2/2010 se introdujeron por vía de enmienda durante la tramitación parlamentaria y, en ambos casos, se justificó su inclusión aduciendo que se trataba de evitar que las entidades que actuaran en contra del espíritu de la ley pudieran beneficiarse de las referidas medidas de apoyo. Procede, pues, analizar si dicha justificación supera el canon de razonabilidad antes aludido.</w:t>
      </w:r>
    </w:p>
    <w:p w14:paraId="78FA2221" w14:textId="77777777" w:rsidR="009D7677" w:rsidRDefault="009D7677" w:rsidP="009D7677">
      <w:pPr>
        <w:pStyle w:val="TextoNormal"/>
      </w:pPr>
    </w:p>
    <w:p w14:paraId="4EA09D6C" w14:textId="77777777" w:rsidR="009D7677" w:rsidRDefault="009D7677" w:rsidP="009D7677">
      <w:pPr>
        <w:pStyle w:val="TextoNormal"/>
      </w:pPr>
      <w:r>
        <w:t xml:space="preserve">En este sentido, las medidas de apoyo aquí examinadas deben enmarcarse en los objetivos definidos en el art. 1 de la Ley Orgánica 2/2010, entre los que se encuentra el de garantizar los derechos sexuales y reproductivos de las mujeres, dentro de los cuales sobresale el derecho a la interrupción voluntaria del embarazo, que es el elemento central que preside toda la regulación legal y a cuya garantía se ordenan, en mayor o menor medida, directa o indirectamente, la mayor parte de las medidas previstas en la Ley Orgánica </w:t>
      </w:r>
      <w:r>
        <w:lastRenderedPageBreak/>
        <w:t>2/2010. Las actuaciones de fomento reguladas en los arts. 6 y 26 de la Ley Orgánica 2/2010 encuentran precisamente su sentido en el cumplimiento de dicha finalidad legal. Por ello, los preceptos recurridos exigen que se preste especial atención a las entidades “cuyas actuaciones tengan lugar en los ámbitos específicos regulados por esta ley orgánica” o que se apoye el trabajo de las entidades dedicadas a la protección “ante vulneraciones de derechos en el ámbito de la salud sexual y reproductiva”.</w:t>
      </w:r>
    </w:p>
    <w:p w14:paraId="35A023F7" w14:textId="77777777" w:rsidR="009D7677" w:rsidRDefault="009D7677" w:rsidP="009D7677">
      <w:pPr>
        <w:pStyle w:val="TextoNormal"/>
      </w:pPr>
    </w:p>
    <w:p w14:paraId="056617F9" w14:textId="77777777" w:rsidR="009D7677" w:rsidRDefault="009D7677" w:rsidP="009D7677">
      <w:pPr>
        <w:pStyle w:val="TextoNormal"/>
      </w:pPr>
      <w:r>
        <w:t>Así identificada la finalidad perseguida por la norma y por los artículos recurridos -la protección de los derechos sexuales y reproductivos-, debe reputarse como razonable la decisión del legislador de excluir de las medidas legales de fomento y apoyo a aquellas organizaciones que niegan o desarrollan su actividad en radical oposición al derecho recogido en la ley de interrupción voluntaria del embarazo. Las medidas de apoyo previstas en los arts. 6 y 26 solo se justifican en cuanto que contribuyen a la mayor efectividad de los derechos sexuales y reproductivos, legalmente reconocidos, y no puede desconocerse que dicha efectividad se vería mermada si se entendieran incluidas dentro de tales técnicas de fomento aquellas otras entidades que persiguen objetivos o fines contrarios a dicha finalidad de interés general definida como tal en la ley.</w:t>
      </w:r>
    </w:p>
    <w:p w14:paraId="2FA894B6" w14:textId="77777777" w:rsidR="009D7677" w:rsidRDefault="009D7677" w:rsidP="009D7677">
      <w:pPr>
        <w:pStyle w:val="TextoNormal"/>
      </w:pPr>
    </w:p>
    <w:p w14:paraId="52C838D2" w14:textId="77777777" w:rsidR="009D7677" w:rsidRDefault="009D7677" w:rsidP="009D7677">
      <w:pPr>
        <w:pStyle w:val="TextoNormal"/>
      </w:pPr>
      <w:r>
        <w:t>Asimismo, frente a lo que postula el recurso de inconstitucionalidad, los incisos recurridos no introducen una diferencia de trato por razones de opinión, sino que el legislador, dentro del margen de configuración del que dispone, ha decidido legítimamente apoyar a aquellas entidades cuyos objetivos contribuyen a la consecución de los derechos sexuales y reproductivos y, en particular, a la interrupción voluntaria del embarazo, favoreciendo con ello la plena efectividad de tales derechos y, por ende, de la finalidad perseguida por la ley.</w:t>
      </w:r>
    </w:p>
    <w:p w14:paraId="2A086173" w14:textId="77777777" w:rsidR="009D7677" w:rsidRDefault="009D7677" w:rsidP="009D7677">
      <w:pPr>
        <w:pStyle w:val="TextoNormal"/>
      </w:pPr>
    </w:p>
    <w:p w14:paraId="7F708095" w14:textId="77777777" w:rsidR="009D7677" w:rsidRDefault="009D7677" w:rsidP="009D7677">
      <w:pPr>
        <w:pStyle w:val="TextoNormal"/>
      </w:pPr>
      <w:r>
        <w:t>Por otro lado, la diferencia de trato tampoco puede reputarse desproporcionada en relación con la justificación apuntada, pues no va más allá de lo estrictamente necesario para asegurar la finalidad perseguida. Como afirma el abogado del Estado, no se prohíbe ni se sanciona la actividad de aquellas entidades que persiguen fines y objetivos contrarios al reconocimiento del derecho a la interrupción voluntaria del embarazo. Tales organizaciones pueden continuar desarrollando su actividad y participando en los asuntos públicos a través de los cauces legalmente previstos para ello. La previsión legal controvertida no impide ni obstaculiza que continúen desarrollando libremente su actividad, manifestando a través de ella su oposición al derecho a la interrupción voluntaria del embarazo.</w:t>
      </w:r>
    </w:p>
    <w:p w14:paraId="549A42D9" w14:textId="77777777" w:rsidR="009D7677" w:rsidRDefault="009D7677" w:rsidP="009D7677">
      <w:pPr>
        <w:pStyle w:val="TextoNormal"/>
      </w:pPr>
    </w:p>
    <w:p w14:paraId="14ACDC06" w14:textId="77777777" w:rsidR="009D7677" w:rsidRDefault="009D7677" w:rsidP="009D7677">
      <w:pPr>
        <w:pStyle w:val="TextoNormal"/>
      </w:pPr>
      <w:r>
        <w:t>Por último, no puede dejar de apuntarse que el hecho de que se trate de organizaciones y entidades legalmente establecidas no conlleva que el legislador tenga el deber constitucional de promover su actividad si estima que hay otras entidades cuya actividad, en este caso dentro del ámbito de actuaciones comprendidas en la Ley Orgánica 2/2010, contribuye más eficazmente o en mayor medida a la consecución de los fines identificados como de interés general. Y es que, como declaró la STC 34/2023, “[l]a Constitución otorga un margen de libertad de configuración al legislador para que, en el marco que la norma fundamental permita, pueda establecer sus opciones políticas, lo que conlleva incorporar a la ley sus concepciones ideológicas y las medidas para garantizar que sus previsiones tienen eficacia real y efectiva” (FJ 5).</w:t>
      </w:r>
    </w:p>
    <w:p w14:paraId="75E5222D" w14:textId="77777777" w:rsidR="009D7677" w:rsidRDefault="009D7677" w:rsidP="009D7677">
      <w:pPr>
        <w:pStyle w:val="TextoNormal"/>
      </w:pPr>
    </w:p>
    <w:p w14:paraId="330406B0" w14:textId="77777777" w:rsidR="009D7677" w:rsidRDefault="009D7677" w:rsidP="009D7677">
      <w:pPr>
        <w:pStyle w:val="TextoNormal"/>
      </w:pPr>
      <w:r>
        <w:lastRenderedPageBreak/>
        <w:t>c) Descartado que los artículos recurridos incurran en una discriminación proscrita por los arts. 14 y 16.1 CE, y constatado con ello que la diferencia de trato normativo que en ellos se establece responde a una justificación objetiva y razonable, debe decaer, sin necesidad de realizar ulteriores consideraciones, la impugnación basada en que la normativa objeto de impugnación es arbitraria y carece de toda explicación racional (art. 9.3 CE).</w:t>
      </w:r>
    </w:p>
    <w:p w14:paraId="497765FC" w14:textId="77777777" w:rsidR="009D7677" w:rsidRDefault="009D7677" w:rsidP="009D7677">
      <w:pPr>
        <w:pStyle w:val="TextoNormal"/>
      </w:pPr>
    </w:p>
    <w:p w14:paraId="512DDD6B" w14:textId="77777777" w:rsidR="009D7677" w:rsidRDefault="009D7677" w:rsidP="009D7677">
      <w:pPr>
        <w:pStyle w:val="TextoNormal"/>
      </w:pPr>
      <w:r>
        <w:t>d) Finalmente, y como corolario de cuanto antecede, debe igualmente desestimarse la queja fundada en la pretendida vulneración del art. 103.1 CE. En virtud del art. 103.1 CE, la administración pública está llamada a servir “con objetividad los intereses generales” y debe hacerlo “con sometimiento pleno a la ley y al Derecho”. En este sentido, una vez que el legislador define una finalidad de interés general, como es, en el caso examinado, la plena efectividad de los derechos a la salud sexual y reproductiva y, más en concreto, el derecho a la interrupción voluntaria del embarazo, que encuentra su fundamento constitucional en los arts. 10.1 y 15 CE, no puede estimarse contrario al deber de objetividad que, por parte de la administración, se arbitren las medidas para fomentar la participación de aquellas organizaciones y entidades que, con su actividad, concurren precisamente a la satisfacción de dicha finalidad de interés general.</w:t>
      </w:r>
    </w:p>
    <w:p w14:paraId="39E4FC39" w14:textId="77777777" w:rsidR="009D7677" w:rsidRDefault="009D7677" w:rsidP="009D7677">
      <w:pPr>
        <w:pStyle w:val="TextoNormal"/>
      </w:pPr>
    </w:p>
    <w:p w14:paraId="4FDB21F2" w14:textId="20ACDD5E" w:rsidR="009D7677" w:rsidRDefault="009D7677" w:rsidP="009D7677">
      <w:pPr>
        <w:pStyle w:val="TextoNormal"/>
      </w:pPr>
      <w:r>
        <w:t>Por todo ello, el motivo de impugnación debe ser desestimado.</w:t>
      </w:r>
    </w:p>
    <w:p w14:paraId="193EE2CA" w14:textId="77777777" w:rsidR="009D7677" w:rsidRDefault="009D7677" w:rsidP="009D7677">
      <w:pPr>
        <w:pStyle w:val="TextoNormal"/>
      </w:pPr>
    </w:p>
    <w:p w14:paraId="54241E60" w14:textId="77777777" w:rsidR="009D7677" w:rsidRDefault="009D7677" w:rsidP="009D7677">
      <w:pPr>
        <w:pStyle w:val="TextoNormal"/>
      </w:pPr>
      <w:r w:rsidRPr="009D7677">
        <w:rPr>
          <w:rStyle w:val="NumeroAFNegritaCaracter"/>
        </w:rPr>
        <w:t>5</w:t>
      </w:r>
      <w:r>
        <w:t xml:space="preserve">. </w:t>
      </w:r>
      <w:r w:rsidRPr="009D7677">
        <w:rPr>
          <w:i/>
        </w:rPr>
        <w:t>Examen de los motivos de inconstitucionalidad dirigidos contra del apartado octavo del artículo único de la Ley Orgánica 1/2023: la formación en salud sexual y reproductiva</w:t>
      </w:r>
    </w:p>
    <w:p w14:paraId="1D8A603B" w14:textId="77777777" w:rsidR="009D7677" w:rsidRDefault="009D7677" w:rsidP="009D7677">
      <w:pPr>
        <w:pStyle w:val="TextoNormal"/>
      </w:pPr>
    </w:p>
    <w:p w14:paraId="1FADD6B0" w14:textId="77777777" w:rsidR="009D7677" w:rsidRDefault="009D7677" w:rsidP="009D7677">
      <w:pPr>
        <w:pStyle w:val="TextoNormal"/>
      </w:pPr>
      <w:r>
        <w:t>A) Precepto impugnado</w:t>
      </w:r>
    </w:p>
    <w:p w14:paraId="2958D61E" w14:textId="77777777" w:rsidR="009D7677" w:rsidRDefault="009D7677" w:rsidP="009D7677">
      <w:pPr>
        <w:pStyle w:val="TextoNormal"/>
      </w:pPr>
    </w:p>
    <w:p w14:paraId="14E07C02" w14:textId="77777777" w:rsidR="009D7677" w:rsidRDefault="009D7677" w:rsidP="009D7677">
      <w:pPr>
        <w:pStyle w:val="TextoNormal"/>
      </w:pPr>
      <w:r>
        <w:t>El tercer motivo del recurso tiene por objeto el apartado octavo del artículo único de la Ley Orgánica 1/2023, en cuanto a la redacción que se da al art. 9.1 a) de la Ley Orgánica 2/2010, que dispone:</w:t>
      </w:r>
    </w:p>
    <w:p w14:paraId="7F676666" w14:textId="77777777" w:rsidR="009D7677" w:rsidRDefault="009D7677" w:rsidP="009D7677">
      <w:pPr>
        <w:pStyle w:val="TextoNormal"/>
      </w:pPr>
    </w:p>
    <w:p w14:paraId="26A484D7" w14:textId="77777777" w:rsidR="009D7677" w:rsidRDefault="009D7677" w:rsidP="009D7677">
      <w:pPr>
        <w:pStyle w:val="TextoNormal"/>
      </w:pPr>
      <w:r>
        <w:t>“1. Las administraciones educativas, en el ámbito de sus competencias contemplarán la formación en salud sexual y reproductiva, como parte del desarrollo integral de la personalidad, de la formación en valores, con base en la dignidad de la persona, y con un enfoque interseccional, que contribuya a:</w:t>
      </w:r>
    </w:p>
    <w:p w14:paraId="6E18A73F" w14:textId="77777777" w:rsidR="009D7677" w:rsidRDefault="009D7677" w:rsidP="009D7677">
      <w:pPr>
        <w:pStyle w:val="TextoNormal"/>
      </w:pPr>
    </w:p>
    <w:p w14:paraId="36B4C2A4" w14:textId="77777777" w:rsidR="009D7677" w:rsidRDefault="009D7677" w:rsidP="009D7677">
      <w:pPr>
        <w:pStyle w:val="TextoNormal"/>
      </w:pPr>
      <w:r>
        <w:t>a) La promoción de una visión de la sexualidad en términos de igualdad y corresponsabilidad, y diversidad, desde la óptica del placer, el deseo, la libertad y el respeto, con especial atención a la prevención de la violencia de género y la violencia sexual”.</w:t>
      </w:r>
    </w:p>
    <w:p w14:paraId="2B8856DB" w14:textId="77777777" w:rsidR="009D7677" w:rsidRDefault="009D7677" w:rsidP="009D7677">
      <w:pPr>
        <w:pStyle w:val="TextoNormal"/>
      </w:pPr>
    </w:p>
    <w:p w14:paraId="1BC17C8A" w14:textId="77777777" w:rsidR="009D7677" w:rsidRDefault="009D7677" w:rsidP="009D7677">
      <w:pPr>
        <w:pStyle w:val="TextoNormal"/>
      </w:pPr>
      <w:r>
        <w:t>El recurso no se dirige contra el apartado a) en su totalidad, sino exclusivamente frente al inciso “desde la óptica del placer, el deseo”.</w:t>
      </w:r>
    </w:p>
    <w:p w14:paraId="16DDD4C5" w14:textId="77777777" w:rsidR="009D7677" w:rsidRDefault="009D7677" w:rsidP="009D7677">
      <w:pPr>
        <w:pStyle w:val="TextoNormal"/>
      </w:pPr>
    </w:p>
    <w:p w14:paraId="27507537" w14:textId="77777777" w:rsidR="009D7677" w:rsidRDefault="009D7677" w:rsidP="009D7677">
      <w:pPr>
        <w:pStyle w:val="TextoNormal"/>
      </w:pPr>
      <w:r>
        <w:t>B) Posiciones de las partes</w:t>
      </w:r>
    </w:p>
    <w:p w14:paraId="223148F2" w14:textId="77777777" w:rsidR="009D7677" w:rsidRDefault="009D7677" w:rsidP="009D7677">
      <w:pPr>
        <w:pStyle w:val="TextoNormal"/>
      </w:pPr>
    </w:p>
    <w:p w14:paraId="67DD2237" w14:textId="77777777" w:rsidR="009D7677" w:rsidRDefault="009D7677" w:rsidP="009D7677">
      <w:pPr>
        <w:pStyle w:val="TextoNormal"/>
      </w:pPr>
      <w:r>
        <w:t xml:space="preserve">a) Estiman los diputados recurrentes que el inciso recurrido vulnera los arts. 1.1, 16.1, 27.3 y 103.1 CE, concernientes a los principios de libertad y pluralismo político, el derecho a la libertad religiosa, el derecho de los padres a educar a los hijos conforme a sus </w:t>
      </w:r>
      <w:r>
        <w:lastRenderedPageBreak/>
        <w:t>convicciones religiosas y morales y el deber de neutralidad de las administraciones públicas.</w:t>
      </w:r>
    </w:p>
    <w:p w14:paraId="43AB0C6A" w14:textId="77777777" w:rsidR="009D7677" w:rsidRDefault="009D7677" w:rsidP="009D7677">
      <w:pPr>
        <w:pStyle w:val="TextoNormal"/>
      </w:pPr>
    </w:p>
    <w:p w14:paraId="1CA3B8A6" w14:textId="77777777" w:rsidR="009D7677" w:rsidRDefault="009D7677" w:rsidP="009D7677">
      <w:pPr>
        <w:pStyle w:val="TextoNormal"/>
      </w:pPr>
      <w:r>
        <w:t xml:space="preserve">Entienden que no es constitucionalmente admisible que la ley imponga a las administraciones educativas la obligación de promover, en el ámbito de la formación en salud sexual y reproductiva, una visión de la sexualidad basada en una concepción “epicúrea” de la misma, como la que se contiene en la norma impugnada. Consideran que este planteamiento es contrario al principio de neutralidad ideológica del Estado, que prohíbe que cualquier norma imponga como único y oficial un determinado punto de vista sobre una cuestión moral. Citan en este punto la STEDH de 9 de octubre de 2007, asunto </w:t>
      </w:r>
      <w:r w:rsidRPr="009D7677">
        <w:rPr>
          <w:i/>
        </w:rPr>
        <w:t>Hasan y Eylem Zengin c. Turquía</w:t>
      </w:r>
      <w:r>
        <w:t>, la STC 128/2007 y las SSTS de 12 de noviembre de 2012 y 11 de febrero de 2009.</w:t>
      </w:r>
    </w:p>
    <w:p w14:paraId="2F4026BE" w14:textId="77777777" w:rsidR="009D7677" w:rsidRDefault="009D7677" w:rsidP="009D7677">
      <w:pPr>
        <w:pStyle w:val="TextoNormal"/>
      </w:pPr>
    </w:p>
    <w:p w14:paraId="58B9985C" w14:textId="77777777" w:rsidR="009D7677" w:rsidRDefault="009D7677" w:rsidP="009D7677">
      <w:pPr>
        <w:pStyle w:val="TextoNormal"/>
      </w:pPr>
      <w:r>
        <w:t xml:space="preserve">Asimismo, sostienen los diputados demandantes que el derecho fundamental de los padres </w:t>
      </w:r>
      <w:r w:rsidRPr="009D7677">
        <w:rPr>
          <w:i/>
        </w:rPr>
        <w:t>ex</w:t>
      </w:r>
      <w:r>
        <w:t xml:space="preserve"> art. 27.3 CE a que la formación moral que sus hijos reciben en las escuelas sea conforme a sus convicciones ideológicas se opone a que el Estado imponga en el ámbito educativo, ignorando a los padres, una determinada visión de la sexualidad.</w:t>
      </w:r>
    </w:p>
    <w:p w14:paraId="7E4E11DD" w14:textId="77777777" w:rsidR="009D7677" w:rsidRDefault="009D7677" w:rsidP="009D7677">
      <w:pPr>
        <w:pStyle w:val="TextoNormal"/>
      </w:pPr>
    </w:p>
    <w:p w14:paraId="5ABB09FA" w14:textId="77777777" w:rsidR="009D7677" w:rsidRDefault="009D7677" w:rsidP="009D7677">
      <w:pPr>
        <w:pStyle w:val="TextoNormal"/>
      </w:pPr>
      <w:r>
        <w:t xml:space="preserve">b) El abogado del Estado comienza su argumentación incidiendo en que, conforme al art. 27.2 CE y la STC 34/2023, de 18 de abril, FJ 7, la educación no es una mera transmisión de conocimientos, sino que es también formación humana, y que la inclusión de la educación afectivo-sexual en el ámbito de la educación para la salud es constitucional y no compromete el derecho de los padres </w:t>
      </w:r>
      <w:r w:rsidRPr="009D7677">
        <w:rPr>
          <w:i/>
        </w:rPr>
        <w:t>ex</w:t>
      </w:r>
      <w:r>
        <w:t xml:space="preserve"> art. 27.3 CE. Partiendo de estas consideraciones, se centra en el inciso recurrido, y señala que lo que hace el legislador es enumerar un conjunto de aspectos de la realidad de las relaciones sexuales y afectivas que no pueden ignorarse si lo que se pretende es dar una educación completa sobre la misma. Añade que el precepto está configurado de forma suficientemente amplia y abierta como para que, en su aplicación, los contenidos que integren efectivamente la formación en salud sexual y reproductiva se impartan de forma objetiva, crítica y pluralista.</w:t>
      </w:r>
    </w:p>
    <w:p w14:paraId="7F16D731" w14:textId="77777777" w:rsidR="009D7677" w:rsidRDefault="009D7677" w:rsidP="009D7677">
      <w:pPr>
        <w:pStyle w:val="TextoNormal"/>
      </w:pPr>
    </w:p>
    <w:p w14:paraId="46803C1B" w14:textId="77777777" w:rsidR="009D7677" w:rsidRDefault="009D7677" w:rsidP="009D7677">
      <w:pPr>
        <w:pStyle w:val="TextoNormal"/>
      </w:pPr>
      <w:r>
        <w:t>Sostiene que existe un amplio consenso internacional acerca de la necesidad de dar un enfoque completo a la educación sexual y reproductiva, con cita de diversas resoluciones del Comité de Derechos Económicos, Sociales y Culturales, el Parlamento Europeo y la Organización Mundial de la Salud.</w:t>
      </w:r>
    </w:p>
    <w:p w14:paraId="3C845E84" w14:textId="77777777" w:rsidR="009D7677" w:rsidRDefault="009D7677" w:rsidP="009D7677">
      <w:pPr>
        <w:pStyle w:val="TextoNormal"/>
      </w:pPr>
    </w:p>
    <w:p w14:paraId="1519C91F" w14:textId="77777777" w:rsidR="009D7677" w:rsidRDefault="009D7677" w:rsidP="009D7677">
      <w:pPr>
        <w:pStyle w:val="TextoNormal"/>
      </w:pPr>
      <w:r>
        <w:t>Entiende que el art. 9.1 de la Ley Orgánica 2/2010 no establece una determinada concepción ideológica de la sexualidad, como postulan los diputados recurrentes, sino que procura que la educación sexual y reproductiva sea completa, abarcando aspectos innegables de dicha realidad.</w:t>
      </w:r>
    </w:p>
    <w:p w14:paraId="149FF38B" w14:textId="77777777" w:rsidR="009D7677" w:rsidRDefault="009D7677" w:rsidP="009D7677">
      <w:pPr>
        <w:pStyle w:val="TextoNormal"/>
      </w:pPr>
    </w:p>
    <w:p w14:paraId="3B0FB84A" w14:textId="77777777" w:rsidR="009D7677" w:rsidRDefault="009D7677" w:rsidP="009D7677">
      <w:pPr>
        <w:pStyle w:val="TextoNormal"/>
      </w:pPr>
      <w:r>
        <w:t>Concluye señalando que a la luz de la jurisprudencia del Tribunal Europeo de Derechos Humanos y el Tribunal Constitucional, ni el art. 16.1 CE ni el art. 27.3 CE obstan al objetivo del legislador plasmado en el art. 9.1 de la Ley Orgánica 2/2010, sino que, teniendo en cuenta la inevitable exposición de los menores de edad a discursos e imágenes de contenido sexual, más bien existe un deber constitucional de diligencia de los poderes públicos para garantizar que la impartición de educación afectivo-sexual les dote de herramientas necesarias para entender ese cúmulo de mensajes e imágenes y ser capaces de desarrollar libremente su personalidad, así como de adoptar prácticas saludables.</w:t>
      </w:r>
    </w:p>
    <w:p w14:paraId="420C19FE" w14:textId="77777777" w:rsidR="009D7677" w:rsidRDefault="009D7677" w:rsidP="009D7677">
      <w:pPr>
        <w:pStyle w:val="TextoNormal"/>
      </w:pPr>
    </w:p>
    <w:p w14:paraId="7BA8740F" w14:textId="77777777" w:rsidR="009D7677" w:rsidRDefault="009D7677" w:rsidP="009D7677">
      <w:pPr>
        <w:pStyle w:val="TextoNormal"/>
      </w:pPr>
      <w:r>
        <w:t>C) Enjuiciamiento</w:t>
      </w:r>
    </w:p>
    <w:p w14:paraId="321C446C" w14:textId="77777777" w:rsidR="009D7677" w:rsidRDefault="009D7677" w:rsidP="009D7677">
      <w:pPr>
        <w:pStyle w:val="TextoNormal"/>
      </w:pPr>
    </w:p>
    <w:p w14:paraId="43A0AE98" w14:textId="77777777" w:rsidR="009D7677" w:rsidRDefault="009D7677" w:rsidP="009D7677">
      <w:pPr>
        <w:pStyle w:val="TextoNormal"/>
      </w:pPr>
      <w:r>
        <w:t>a) Este tribunal ha tenido ocasión de pronunciarse acerca de la constitucionalidad de la incorporación de la educación afectivo-sexual como parte de los contenidos impartidos en las distintas etapas y niveles de enseñanza en la STC 34/2023, de 18 de abril, dictada con ocasión del recurso de inconstitucionalidad interpuesto contra la Ley Orgánica 3/2020, de 29 de diciembre, por la que se modifica la Ley Orgánica 2/2006, de 3 de mayo, de educación. En dicha sentencia, afirmamos que “[l]a educación, tanto pública como privada, que la Constitución sitúa bajo el control de los poderes públicos (art. 27.8) no es mera transmisión de conocimientos, es también formación humana (art. 27.2). La Constitución toma partido por ciertos valores, que son precisamente los de respeto a los principios democráticos de convivencia (art. 27.2), pluralismo (art. 1.1) y diversidad y dignidad humana (art. 10.1), principios que deben ser objeto de trasmisión conforme al art. 27.2 previamente citado. El respeto a las creencias morales y religiosas de los padres (art. 27.3) no puede conducir a excluir toda información o conocimiento con implicaciones de uno u otro signo” [FJ 7 d)].</w:t>
      </w:r>
    </w:p>
    <w:p w14:paraId="4E25F95E" w14:textId="77777777" w:rsidR="009D7677" w:rsidRDefault="009D7677" w:rsidP="009D7677">
      <w:pPr>
        <w:pStyle w:val="TextoNormal"/>
      </w:pPr>
    </w:p>
    <w:p w14:paraId="6226E3B7" w14:textId="77777777" w:rsidR="009D7677" w:rsidRDefault="009D7677" w:rsidP="009D7677">
      <w:pPr>
        <w:pStyle w:val="TextoNormal"/>
      </w:pPr>
      <w:r>
        <w:t xml:space="preserve">También el Tribunal Europeo de Derechos Humanos —a cuya jurisprudencia este tribunal presta especial atención de acuerdo con lo dispuesto en el art. 10.2 CE— ha analizado la compatibilidad de la educación sexual con el respeto a las convicciones religiosas y filosóficas de los padres, protegido por el art. 2 del Protocolo núm. 1 al Convenio europeo para la protección de los derechos humanos y de las libertades fundamentales (CEDH). De acuerdo con la jurisprudencia del Tribunal Europeo de Derechos Humanos, “la segunda frase del artículo 2 del Protocolo no impide a los Estados difundir, mediante la enseñanza o la educación, informaciones o conocimientos que tengan, directamente o no, carácter religioso o filosófico. No autoriza, ni siquiera a los padres, a oponerse a la integración de tal enseñanza o educación en el programa escolar, sin lo cual cualquier enseñanza institucionalizada correría el riesgo de mostrarse impracticable”. Por el contrario, el respeto a las creencias religiosas o morales de los padres implica que “el Estado, al cumplir las funciones por él asumidas en materia de educación y enseñanza, vela por que las informaciones o conocimientos que figuran en el programa sean difundidas de manera objetiva, crítica y pluralista. Se prohíbe al Estado perseguir una finalidad de adoctrinamiento que pueda ser considerada como no respetuosa de las convicciones religiosas y filosóficas de los padres. Aquí se encuentra el límite que no debe ser sobrepasado” (STEDH de 7 de diciembre de 1976, </w:t>
      </w:r>
      <w:r w:rsidRPr="009D7677">
        <w:rPr>
          <w:i/>
        </w:rPr>
        <w:t>Kjeldsen, Busk Madsen y Pedersen c. Dinamarca</w:t>
      </w:r>
      <w:r>
        <w:t>, § 53).</w:t>
      </w:r>
    </w:p>
    <w:p w14:paraId="17BC1343" w14:textId="77777777" w:rsidR="009D7677" w:rsidRDefault="009D7677" w:rsidP="009D7677">
      <w:pPr>
        <w:pStyle w:val="TextoNormal"/>
      </w:pPr>
    </w:p>
    <w:p w14:paraId="433AC139" w14:textId="77777777" w:rsidR="009D7677" w:rsidRDefault="009D7677" w:rsidP="009D7677">
      <w:pPr>
        <w:pStyle w:val="TextoNormal"/>
      </w:pPr>
      <w:r>
        <w:t xml:space="preserve">En esa sentencia, tras analizar la legislación danesa que regulaba una asignatura obligatoria de educación sexual en centros públicos, el Tribunal Europeo de Derechos Humanos concluyó que “[e]stas son, desde luego, consideraciones de orden moral, pero revisten un carácter muy general y no entrañan un rebasamiento de los límites de lo que un Estado democrático puede concebir como interés público. El examen de la legislación impugnada prueba, en efecto, que no constituye un intento de adoctrinamiento tendente a preconizar un comportamiento sexual determinado. Esta legislación no se consagra a exaltar el sexo ni a incitar a los alumnos a dedicarse precozmente a prácticas peligrosas para su equilibrio, su salud o su futuro, o reprensibles para muchos padres. Además, la legislación no afecta al derecho de los padres de aclarar o aconsejar a sus hijos, de ejercitar con ellos sus </w:t>
      </w:r>
      <w:r>
        <w:lastRenderedPageBreak/>
        <w:t>naturales funciones de educadores o de orientarles en una dirección, conforme a sus propias convicciones religiosas o filosóficas” (§ 54).</w:t>
      </w:r>
    </w:p>
    <w:p w14:paraId="49F88B87" w14:textId="77777777" w:rsidR="009D7677" w:rsidRDefault="009D7677" w:rsidP="009D7677">
      <w:pPr>
        <w:pStyle w:val="TextoNormal"/>
      </w:pPr>
    </w:p>
    <w:p w14:paraId="386255E9" w14:textId="77777777" w:rsidR="009D7677" w:rsidRDefault="009D7677" w:rsidP="009D7677">
      <w:pPr>
        <w:pStyle w:val="TextoNormal"/>
      </w:pPr>
      <w:r>
        <w:t xml:space="preserve">Con posterioridad, el TEDH ha aplicado esta doctrina en su decisión de 25 de mayo de 2000, asunto </w:t>
      </w:r>
      <w:r w:rsidRPr="009D7677">
        <w:rPr>
          <w:i/>
        </w:rPr>
        <w:t>Jiménez Alonso y Jiménez Merino c. España</w:t>
      </w:r>
      <w:r>
        <w:t>, insistiendo en la importancia de “proteger la posibilidad de un pluralismo educativo, esencial para preservar la sociedad democrática”. En dicha decisión, consideró que la educación sexual obligatoria entonces enjuiciada no vulneraba el art. 2 del Protocolo núm. 1 CEDH, toda vez que se trataba de “información de carácter general que puede ser concebida como de interés general” y porque no constituía “una tentativa de adoctrinamiento para preconizar un comportamiento sexual determinado”.</w:t>
      </w:r>
    </w:p>
    <w:p w14:paraId="58B8B80D" w14:textId="77777777" w:rsidR="009D7677" w:rsidRDefault="009D7677" w:rsidP="009D7677">
      <w:pPr>
        <w:pStyle w:val="TextoNormal"/>
      </w:pPr>
    </w:p>
    <w:p w14:paraId="2E25B6F4" w14:textId="77777777" w:rsidR="009D7677" w:rsidRDefault="009D7677" w:rsidP="009D7677">
      <w:pPr>
        <w:pStyle w:val="TextoNormal"/>
      </w:pPr>
      <w:r>
        <w:t xml:space="preserve">Esta jurisprudencia se ha reiterado en la decisión de 13 de septiembre de 2011, asunto </w:t>
      </w:r>
      <w:r w:rsidRPr="009D7677">
        <w:rPr>
          <w:i/>
        </w:rPr>
        <w:t>Dojan y otros c. Alemania</w:t>
      </w:r>
      <w:r>
        <w:t>, en la que se inadmitió una demanda interpuesta por varios padres en relación con la impartición de una asignatura de educación sexual obligatoria. Tras recordar que la segunda frase del art. 2 del Protocolo núm. 1 CEDH impone la obligación de que los conocimientos se transmitan de manera objetiva, crítica y pluralista y que el límite infranqueable es el adoctrinamiento, analizó la normativa alemana controvertida considerando que sus objetivos eran conformes con los principios de pluralismo y objetividad antes referidos. El Tribunal Europeo de Derechos Humanos tuvo en cuenta que el objetivo de la educación sexual era proporcionar a los alumnos conocimientos sobre los aspectos biológicos, éticos, sociales y culturales de la sexualidad, según su edad y madurez, con el fin de posibilitar que desarrollaran sus propios puntos de vista morales y un enfoque independiente de su propia sexualidad y que la educación sexual debe fomentar la tolerancia entre los seres humanos independientemente de su orientación e identidad sexual, así como que la educación sexual para el grupo de edad en cuestión era necesaria para permitir a los niños afrontar críticamente las influencias de la sociedad en vez de evitarlas y que tenía como objetivo educar a ciudadanos responsables y emancipados capaces de participar en los procesos democráticos de una sociedad pluralista.</w:t>
      </w:r>
    </w:p>
    <w:p w14:paraId="2D69F822" w14:textId="77777777" w:rsidR="009D7677" w:rsidRDefault="009D7677" w:rsidP="009D7677">
      <w:pPr>
        <w:pStyle w:val="TextoNormal"/>
      </w:pPr>
    </w:p>
    <w:p w14:paraId="404E9519" w14:textId="77777777" w:rsidR="009D7677" w:rsidRDefault="009D7677" w:rsidP="009D7677">
      <w:pPr>
        <w:pStyle w:val="TextoNormal"/>
      </w:pPr>
      <w:r>
        <w:t>b) El art. 9.1 a) de la Ley Orgánica 2/2010, en la redacción dada por la Ley Orgánica 1/2023, concibe la formación en salud sexual y reproductiva como parte de la educación en valores que tenga como base la dignidad de la persona.</w:t>
      </w:r>
    </w:p>
    <w:p w14:paraId="146FB96B" w14:textId="77777777" w:rsidR="009D7677" w:rsidRDefault="009D7677" w:rsidP="009D7677">
      <w:pPr>
        <w:pStyle w:val="TextoNormal"/>
      </w:pPr>
    </w:p>
    <w:p w14:paraId="0C1F9B8A" w14:textId="77777777" w:rsidR="009D7677" w:rsidRDefault="009D7677" w:rsidP="009D7677">
      <w:pPr>
        <w:pStyle w:val="TextoNormal"/>
      </w:pPr>
      <w:r>
        <w:t>Desde esta perspectiva, la ley pretende que la educación afectivo-sexual ofrezca una visión completa de la sexualidad, que aborde todos los aspectos de esta realidad. El objetivo perseguido por la normativa impugnada es exponer la sexualidad conforme a los valores de la libertad, la igualdad y el respeto, huyendo de sesgos y evitando soslayar cuestiones —en el caso que nos ocupa, el placer y el deseo— que constituyen una parte de las relaciones sexoafectivas.</w:t>
      </w:r>
    </w:p>
    <w:p w14:paraId="6BD5AC3A" w14:textId="77777777" w:rsidR="009D7677" w:rsidRDefault="009D7677" w:rsidP="009D7677">
      <w:pPr>
        <w:pStyle w:val="TextoNormal"/>
      </w:pPr>
    </w:p>
    <w:p w14:paraId="3351964D" w14:textId="77777777" w:rsidR="009D7677" w:rsidRDefault="009D7677" w:rsidP="009D7677">
      <w:pPr>
        <w:pStyle w:val="TextoNormal"/>
      </w:pPr>
      <w:r>
        <w:t>Con independencia de las concepciones morales y religiosas existentes acerca de la sexualidad, el inciso impugnado se refiere a aspectos que aparecen ligados íntimamente a aquella y, en cuanto que tales, pueden considerarse cuestiones susceptibles de formar parte de los contenidos de la formación en salud sexual y reproductiva, conducente a inculcar una visión saludable y completa de las relaciones sexuales.</w:t>
      </w:r>
    </w:p>
    <w:p w14:paraId="7F39A041" w14:textId="77777777" w:rsidR="009D7677" w:rsidRDefault="009D7677" w:rsidP="009D7677">
      <w:pPr>
        <w:pStyle w:val="TextoNormal"/>
      </w:pPr>
    </w:p>
    <w:p w14:paraId="49D0B85A" w14:textId="77777777" w:rsidR="009D7677" w:rsidRDefault="009D7677" w:rsidP="009D7677">
      <w:pPr>
        <w:pStyle w:val="TextoNormal"/>
      </w:pPr>
      <w:r>
        <w:lastRenderedPageBreak/>
        <w:t>La integración dentro de la educación sexual de la óptica del placer y del deseo pretende, precisamente, contribuir a que la formación en esta materia sea objetiva, plural y crítica. Además, no puede desconocerse el contexto sociocultural presente en el que los menores de edad están expuestos, tanto voluntaria como involuntariamente, desde edades tempranas a contenidos de índole sexual a través de diversos medios y canales de comunicación; circunstancia que se ve agravada por la proliferación de las redes sociales y el uso de las mismas. Ante esta situación, no puede merecer reproche constitucional que el legislador persiga que la educación afectivo-sexual que reciban los alumnos sea integral y aspire a dotarles de las herramientas adecuadas que les permita filtrar de manera informada y crítica los distintos contenidos a su alcance.</w:t>
      </w:r>
    </w:p>
    <w:p w14:paraId="2F85A295" w14:textId="77777777" w:rsidR="009D7677" w:rsidRDefault="009D7677" w:rsidP="009D7677">
      <w:pPr>
        <w:pStyle w:val="TextoNormal"/>
      </w:pPr>
    </w:p>
    <w:p w14:paraId="27C9CCC4" w14:textId="77777777" w:rsidR="009D7677" w:rsidRDefault="009D7677" w:rsidP="009D7677">
      <w:pPr>
        <w:pStyle w:val="TextoNormal"/>
      </w:pPr>
      <w:r>
        <w:t>Por otro lado, los términos en los que está redactado el precepto permiten configurar la formación en salud sexual y reproductiva de manera respetuosa con la doctrina constitucional, esto es, que los conocimientos y la información se pongan a disposición de los estudiantes de manera objetiva y crítica. La lectura del precepto no conduce inexorablemente a la conclusión de que se persiga el objetivo de exaltar el sexo o una determinada “concepción epicúrea” de las relaciones humanas ni tampoco de incitar a los alumnos a llevar a cabo prácticas sexuales peligrosas. Además, el inciso objeto de recurso de inconstitucionalidad, en modo alguno, impide a los padres, fuera del horario escolar, hacer partícipes a sus hijos de sus propias convicciones morales y religiosas.</w:t>
      </w:r>
    </w:p>
    <w:p w14:paraId="29B7A661" w14:textId="77777777" w:rsidR="009D7677" w:rsidRDefault="009D7677" w:rsidP="009D7677">
      <w:pPr>
        <w:pStyle w:val="TextoNormal"/>
      </w:pPr>
    </w:p>
    <w:p w14:paraId="6FEE101A" w14:textId="77777777" w:rsidR="009D7677" w:rsidRDefault="009D7677" w:rsidP="009D7677">
      <w:pPr>
        <w:pStyle w:val="TextoNormal"/>
      </w:pPr>
      <w:r>
        <w:t>En fin, ha de concluirse señalando que, precisamente en relación con la educación sexual, en la STC 34/2023, dijimos que, si en algún caso concreto se produjera un “abuso”, “el ordenamiento tiene las vías adecuadas de tutela para ponerle fin y remediarlo […] pero […] el recurso de inconstitucionalidad es un proceso objetivo y abstracto y por tanto no puede basarse en juicios de intenciones ni remediar vulneraciones hipotéticas” [FJ 7 d)].</w:t>
      </w:r>
    </w:p>
    <w:p w14:paraId="060CF28A" w14:textId="77777777" w:rsidR="009D7677" w:rsidRDefault="009D7677" w:rsidP="009D7677">
      <w:pPr>
        <w:pStyle w:val="TextoNormal"/>
      </w:pPr>
    </w:p>
    <w:p w14:paraId="0E3A12E7" w14:textId="77777777" w:rsidR="009D7677" w:rsidRDefault="009D7677" w:rsidP="009D7677">
      <w:pPr>
        <w:pStyle w:val="TextoNormal"/>
      </w:pPr>
      <w:r>
        <w:t>Descartada la vulneración del art. 27.3 CE, y por idénticas razones, deben desestimarse también las impugnaciones fundadas en la pretendida vulneración de los valores de la libertad y el pluralismo político (art. 1.1 CE), la libertad religiosa (art. 16.2 CE) y el deber de neutralidad del Estado (art. 103.1 CE), que no se invocan sino de forma accesoria o instrumental respecto de aquel.</w:t>
      </w:r>
    </w:p>
    <w:p w14:paraId="7C7EE8FA" w14:textId="77777777" w:rsidR="009D7677" w:rsidRDefault="009D7677" w:rsidP="009D7677">
      <w:pPr>
        <w:pStyle w:val="TextoNormal"/>
      </w:pPr>
    </w:p>
    <w:p w14:paraId="38F5A688" w14:textId="03665604" w:rsidR="009D7677" w:rsidRDefault="009D7677" w:rsidP="009D7677">
      <w:pPr>
        <w:pStyle w:val="TextoNormal"/>
      </w:pPr>
      <w:r>
        <w:t>En consecuencia, se desestima el presente motivo de recurso.</w:t>
      </w:r>
    </w:p>
    <w:p w14:paraId="4BA5F850" w14:textId="77777777" w:rsidR="009D7677" w:rsidRDefault="009D7677" w:rsidP="009D7677">
      <w:pPr>
        <w:pStyle w:val="TextoNormal"/>
      </w:pPr>
    </w:p>
    <w:p w14:paraId="47C71E21" w14:textId="77777777" w:rsidR="009D7677" w:rsidRDefault="009D7677" w:rsidP="009D7677">
      <w:pPr>
        <w:pStyle w:val="TextoNormal"/>
      </w:pPr>
      <w:r w:rsidRPr="009D7677">
        <w:rPr>
          <w:rStyle w:val="NumeroAFNegritaCaracter"/>
        </w:rPr>
        <w:t>6</w:t>
      </w:r>
      <w:r>
        <w:t xml:space="preserve">. </w:t>
      </w:r>
      <w:r w:rsidRPr="009D7677">
        <w:rPr>
          <w:i/>
        </w:rPr>
        <w:t>Análisis de los motivos de impugnación dirigidos frente al apartado undécimo del artículo único de la Ley Orgánica 1/2023: la interrupción voluntaria del embarazo de mujeres de dieciséis y diecisiete años</w:t>
      </w:r>
    </w:p>
    <w:p w14:paraId="55726A78" w14:textId="77777777" w:rsidR="009D7677" w:rsidRDefault="009D7677" w:rsidP="009D7677">
      <w:pPr>
        <w:pStyle w:val="TextoNormal"/>
      </w:pPr>
    </w:p>
    <w:p w14:paraId="2E426C48" w14:textId="77777777" w:rsidR="009D7677" w:rsidRDefault="009D7677" w:rsidP="009D7677">
      <w:pPr>
        <w:pStyle w:val="TextoNormal"/>
      </w:pPr>
      <w:r>
        <w:t>A) Precepto impugnado</w:t>
      </w:r>
    </w:p>
    <w:p w14:paraId="63543D06" w14:textId="77777777" w:rsidR="009D7677" w:rsidRDefault="009D7677" w:rsidP="009D7677">
      <w:pPr>
        <w:pStyle w:val="TextoNormal"/>
      </w:pPr>
    </w:p>
    <w:p w14:paraId="1FB78555" w14:textId="77777777" w:rsidR="009D7677" w:rsidRDefault="009D7677" w:rsidP="009D7677">
      <w:pPr>
        <w:pStyle w:val="TextoNormal"/>
      </w:pPr>
      <w:r>
        <w:t xml:space="preserve">El motivo cuarto se dirige frente al apartado undécimo del artículo único de la Ley Orgánica 1/2023, en relación con la redacción dada al art. 13 </w:t>
      </w:r>
      <w:r w:rsidRPr="009D7677">
        <w:rPr>
          <w:i/>
        </w:rPr>
        <w:t>bis</w:t>
      </w:r>
      <w:r>
        <w:t>.1 de la Ley Orgánica 2/2010, cuyo tenor literal es el siguiente:</w:t>
      </w:r>
    </w:p>
    <w:p w14:paraId="5A8842FC" w14:textId="77777777" w:rsidR="009D7677" w:rsidRDefault="009D7677" w:rsidP="009D7677">
      <w:pPr>
        <w:pStyle w:val="TextoNormal"/>
      </w:pPr>
    </w:p>
    <w:p w14:paraId="395FAF0F" w14:textId="77777777" w:rsidR="009D7677" w:rsidRDefault="009D7677" w:rsidP="009D7677">
      <w:pPr>
        <w:pStyle w:val="TextoNormal"/>
      </w:pPr>
      <w:r>
        <w:t>“1. Las mujeres podrán interrumpir voluntariamente su embarazo a partir de los dieciséis años, sin necesidad del consentimiento de sus representantes legales”.</w:t>
      </w:r>
    </w:p>
    <w:p w14:paraId="6B394B9C" w14:textId="77777777" w:rsidR="009D7677" w:rsidRDefault="009D7677" w:rsidP="009D7677">
      <w:pPr>
        <w:pStyle w:val="TextoNormal"/>
      </w:pPr>
    </w:p>
    <w:p w14:paraId="4BB8CBE2" w14:textId="77777777" w:rsidR="009D7677" w:rsidRDefault="009D7677" w:rsidP="009D7677">
      <w:pPr>
        <w:pStyle w:val="TextoNormal"/>
      </w:pPr>
      <w:r>
        <w:lastRenderedPageBreak/>
        <w:t>B) Posiciones de las partes</w:t>
      </w:r>
    </w:p>
    <w:p w14:paraId="446049A8" w14:textId="77777777" w:rsidR="009D7677" w:rsidRDefault="009D7677" w:rsidP="009D7677">
      <w:pPr>
        <w:pStyle w:val="TextoNormal"/>
      </w:pPr>
    </w:p>
    <w:p w14:paraId="5454ED63" w14:textId="77777777" w:rsidR="009D7677" w:rsidRDefault="009D7677" w:rsidP="009D7677">
      <w:pPr>
        <w:pStyle w:val="TextoNormal"/>
      </w:pPr>
      <w:r>
        <w:t xml:space="preserve">a) El recurso de inconstitucionalidad se fundamenta en que la norma impugnada contiene una regulación arbitraria (art. 9.3 CE), que deja desprotegido al </w:t>
      </w:r>
      <w:r w:rsidRPr="009D7677">
        <w:rPr>
          <w:i/>
        </w:rPr>
        <w:t>nasciturus</w:t>
      </w:r>
      <w:r>
        <w:t xml:space="preserve"> (art. 15 CE), que vulnera el derecho de los padres a formar a sus hijos conforme a sus convicciones morales (art. 27.3 CE), así como el deber de los padres de prestar a los hijos la asistencia que necesiten (art. 39.3 CE).</w:t>
      </w:r>
    </w:p>
    <w:p w14:paraId="505F1007" w14:textId="77777777" w:rsidR="009D7677" w:rsidRDefault="009D7677" w:rsidP="009D7677">
      <w:pPr>
        <w:pStyle w:val="TextoNormal"/>
      </w:pPr>
    </w:p>
    <w:p w14:paraId="79FFF16E" w14:textId="77777777" w:rsidR="009D7677" w:rsidRDefault="009D7677" w:rsidP="009D7677">
      <w:pPr>
        <w:pStyle w:val="TextoNormal"/>
      </w:pPr>
      <w:r>
        <w:t xml:space="preserve">Señalan los recurrentes que la redacción del apartado primero del nuevo art. 13 </w:t>
      </w:r>
      <w:r w:rsidRPr="009D7677">
        <w:rPr>
          <w:i/>
        </w:rPr>
        <w:t>bis</w:t>
      </w:r>
      <w:r>
        <w:t xml:space="preserve"> de la Ley Orgánica 2/2010 supone que una menor de edad de dieciséis o diecisiete años puede abortar no solo sin el consentimiento de sus padres o tutores, sino también sin que estos ni siquiera tengan conocimiento de ello, a diferencia de lo que ocurría en la redacción original de este precepto en 2010 (entonces, art. 13.4). También sostienen que el cambio legal se ha llevado a cabo sin que exista la más mínima explicación de cómo se han ponderado los valores en juego.</w:t>
      </w:r>
    </w:p>
    <w:p w14:paraId="6001A562" w14:textId="77777777" w:rsidR="009D7677" w:rsidRDefault="009D7677" w:rsidP="009D7677">
      <w:pPr>
        <w:pStyle w:val="TextoNormal"/>
      </w:pPr>
    </w:p>
    <w:p w14:paraId="1412805D" w14:textId="77777777" w:rsidR="009D7677" w:rsidRDefault="009D7677" w:rsidP="009D7677">
      <w:pPr>
        <w:pStyle w:val="TextoNormal"/>
      </w:pPr>
      <w:r>
        <w:t>Afirman que al excluir a los padres absolutamente del conocimiento del aborto que va a realizar su hija se les priva del derecho que el art. 27.3 CE les confiere de formar a sus hijos conforme a sus propias convicciones morales y religiosas, así como del deber de asistirles reconocido en el art. 39.3 CE. Consideran que la norma no cumple con las exigencias del principio de proporcionalidad, puesto que la finalidad perseguida —que se adopte la mejor decisión para la menor— no se cumple excluyendo a los padres o tutores del conocimiento de la decisión. Además, entienden que al no requerir el consentimiento de los padres sin ni siquiera hacer una referencia al art. 9 de la Ley 41/2002, de 14 de noviembre, básica reguladora de la autonomía del paciente y de derechos y obligaciones en materia de información y documentación clínica, la medida impugnada no es la que mejor cohonesta los valores y derechos en juego como exige el principio de proporcionalidad.</w:t>
      </w:r>
    </w:p>
    <w:p w14:paraId="57270308" w14:textId="77777777" w:rsidR="009D7677" w:rsidRDefault="009D7677" w:rsidP="009D7677">
      <w:pPr>
        <w:pStyle w:val="TextoNormal"/>
      </w:pPr>
    </w:p>
    <w:p w14:paraId="10DC2B4C" w14:textId="77777777" w:rsidR="009D7677" w:rsidRDefault="009D7677" w:rsidP="009D7677">
      <w:pPr>
        <w:pStyle w:val="TextoNormal"/>
      </w:pPr>
      <w:r>
        <w:t>Por otra parte, señalan los recurrentes que la inclusión de la palabra “voluntariamente” en el precepto impugnado infringe de forma manifiesta la jurisprudencia del Tribunal Constitucional. Al tratarse de una decisión sin otro condicionamiento que la voluntad de la mujer, se estaría prescindiendo de forma absoluta de la protección al feto a la que está obligado el legislador, conforme a la STC 53/1985, de 11 de abril.</w:t>
      </w:r>
    </w:p>
    <w:p w14:paraId="65FF22D5" w14:textId="77777777" w:rsidR="009D7677" w:rsidRDefault="009D7677" w:rsidP="009D7677">
      <w:pPr>
        <w:pStyle w:val="TextoNormal"/>
      </w:pPr>
    </w:p>
    <w:p w14:paraId="1ED3E236" w14:textId="77777777" w:rsidR="009D7677" w:rsidRDefault="009D7677" w:rsidP="009D7677">
      <w:pPr>
        <w:pStyle w:val="TextoNormal"/>
      </w:pPr>
      <w:r>
        <w:t xml:space="preserve">b) El abogado del Estado comienza criticando que del conjunto de alegaciones de los recurrentes no se desprende con claridad si impugnan el nuevo art. 13 </w:t>
      </w:r>
      <w:r w:rsidRPr="009D7677">
        <w:rPr>
          <w:i/>
        </w:rPr>
        <w:t>bis</w:t>
      </w:r>
      <w:r>
        <w:t xml:space="preserve"> de la Ley Orgánica 2/2010, introducido en la misma por la Ley Orgánica 1/2023, por suprimir la necesidad del consentimiento paterno en relación con la interrupción voluntaria del embarazo de las mujeres entre los dieciséis y los dieciocho años, establecido en la modificación operada por la Ley Orgánica 11/2015, o si simplemente se impugna por no prever la necesaria información a uno de los progenitores, que contemplaba la redacción originaria de la Ley Orgánica 2/2010, antes de la modificación operada por la Ley Orgánica 11/2015. Señala también que buena parte del motivo se dirige a cuestionar el sistema de plazos y el derecho a acceder a la interrupción voluntaria del embarazo, entendiendo que tales alegaciones deben rechazarse con base en la STC 44/2023.</w:t>
      </w:r>
    </w:p>
    <w:p w14:paraId="48EDD045" w14:textId="77777777" w:rsidR="009D7677" w:rsidRDefault="009D7677" w:rsidP="009D7677">
      <w:pPr>
        <w:pStyle w:val="TextoNormal"/>
      </w:pPr>
    </w:p>
    <w:p w14:paraId="1C6E74E0" w14:textId="77777777" w:rsidR="009D7677" w:rsidRDefault="009D7677" w:rsidP="009D7677">
      <w:pPr>
        <w:pStyle w:val="TextoNormal"/>
      </w:pPr>
      <w:r>
        <w:t xml:space="preserve">Acto seguido, procede a delimitar el objeto del examen del motivo de recurso, y parte de la consideración de que el nuevo art. 13 </w:t>
      </w:r>
      <w:r w:rsidRPr="009D7677">
        <w:rPr>
          <w:i/>
        </w:rPr>
        <w:t>bis</w:t>
      </w:r>
      <w:r>
        <w:t xml:space="preserve"> de la Ley Orgánica 2/2010 debe entenderse </w:t>
      </w:r>
      <w:r>
        <w:lastRenderedPageBreak/>
        <w:t>en conjunción con la modificación del art. 9 de la Ley 41/2022, de 14 de noviembre, básica reguladora de la autonomía del paciente y de derechos y obligaciones en materia de información y documentación clínica, modificado por la disposición final duodécima de la Ley Orgánica 1/2023. Tras repasar los antecedentes normativos del precepto en las redacciones dadas por la Ley Orgánica 2/2010 y la Ley Orgánica 11/2015, afirma la falta de fundamento de las alegaciones de inconstitucionalidad por las razones siguientes:</w:t>
      </w:r>
    </w:p>
    <w:p w14:paraId="45AD4B22" w14:textId="77777777" w:rsidR="009D7677" w:rsidRDefault="009D7677" w:rsidP="009D7677">
      <w:pPr>
        <w:pStyle w:val="TextoNormal"/>
      </w:pPr>
    </w:p>
    <w:p w14:paraId="5587091B" w14:textId="77777777" w:rsidR="009D7677" w:rsidRDefault="009D7677" w:rsidP="009D7677">
      <w:pPr>
        <w:pStyle w:val="TextoNormal"/>
      </w:pPr>
      <w:r>
        <w:t>(i) En relación con la denunciada arbitrariedad del cambio legal, cita la exposición de motivos y la memoria de análisis de impacto normativo del proyecto de ley, para justificar que el legislador tiene y ha ofrecido razones para el cambio normativo.</w:t>
      </w:r>
    </w:p>
    <w:p w14:paraId="0087C447" w14:textId="77777777" w:rsidR="009D7677" w:rsidRDefault="009D7677" w:rsidP="009D7677">
      <w:pPr>
        <w:pStyle w:val="TextoNormal"/>
      </w:pPr>
    </w:p>
    <w:p w14:paraId="144E3229" w14:textId="77777777" w:rsidR="009D7677" w:rsidRDefault="009D7677" w:rsidP="009D7677">
      <w:pPr>
        <w:pStyle w:val="TextoNormal"/>
      </w:pPr>
      <w:r>
        <w:t>A continuación, sostiene que la Constitución no impone que toda decisión que afecte a los derechos fundamentales de los mayores de dieciséis años deba ser tomada por sus representantes legales, sino que, por el contrario, la Constitución confiere un margen de maniobra al legislador para determinar la capacidad de obrar de los menores, en el ejercicio de sus derechos de la personalidad, en atención a sus condiciones de madurez. Cita a tal efecto, entre otras, la STC 99/2019, de 18 de julio. De aquí colige que ningún precepto constitucional impide que el legislador establezca una edad inferior a los dieciocho años en la que considere que la menor de edad tiene capacidad suficiente para decidir por sí misma. Es más, a la luz del art. 39.4 CE, en relación con el art. 12 de la Convención de los derechos del niño, estaría justificado que el legislador nacional diera primacía a la opinión del menor en lo que se refiere a una decisión tan trascendente para ella como es la asunción de la maternidad.</w:t>
      </w:r>
    </w:p>
    <w:p w14:paraId="38751B1F" w14:textId="77777777" w:rsidR="009D7677" w:rsidRDefault="009D7677" w:rsidP="009D7677">
      <w:pPr>
        <w:pStyle w:val="TextoNormal"/>
      </w:pPr>
    </w:p>
    <w:p w14:paraId="02E43074" w14:textId="77777777" w:rsidR="009D7677" w:rsidRDefault="009D7677" w:rsidP="009D7677">
      <w:pPr>
        <w:pStyle w:val="TextoNormal"/>
      </w:pPr>
      <w:r>
        <w:t xml:space="preserve">(ii) Asimismo, rechaza la vulneración del deber de asistencia de los padres </w:t>
      </w:r>
      <w:r w:rsidRPr="009D7677">
        <w:rPr>
          <w:i/>
        </w:rPr>
        <w:t>ex</w:t>
      </w:r>
      <w:r>
        <w:t xml:space="preserve"> art. 39.3 CE. Entiende que se trata de un deber, no de un derecho, y que, como la mayoría de los deberes constitucionales, es de configuración legal, de modo que es el legislador el que concreta las obligaciones que deben cumplir los progenitores respecto de sus hijos. Por ello, la atribución de una mayor autonomía a la menor no implica una vulneración del art. 39.3 CE.</w:t>
      </w:r>
    </w:p>
    <w:p w14:paraId="79E0A386" w14:textId="77777777" w:rsidR="009D7677" w:rsidRDefault="009D7677" w:rsidP="009D7677">
      <w:pPr>
        <w:pStyle w:val="TextoNormal"/>
      </w:pPr>
    </w:p>
    <w:p w14:paraId="01C0656E" w14:textId="77777777" w:rsidR="009D7677" w:rsidRDefault="009D7677" w:rsidP="009D7677">
      <w:pPr>
        <w:pStyle w:val="TextoNormal"/>
      </w:pPr>
      <w:r>
        <w:t>En todo caso, el legislador ha optado por sujetar el consentimiento de las mujeres menores de edad entre dieciséis y dieciocho años a las exigencias generales que, para dicho tramo de edad, impone la normativa sanitaria (art. 9.4 de la Ley 41/2002). Recuerda que en el régimen de la Ley 41/2002, no cabe prestar el consentimiento por representación en el caso de personas entre los dieciséis y los dieciocho años, salvo en supuestos excepcionales y que el régimen de mayoría de edad sanitaria no exige que la intervención o actuación médica sea puesta previamente en conocimiento de los padres. Sostiene que estas mismas reglas son aplicables a la interrupción voluntaria del embarazo en mujeres de entre dieciséis y dieciocho años, porque la Ley Orgánica 1/2023 ni deroga ni permite inaplicar la Ley 41/2002, sino que el régimen establecido en aquella es coherente con lo dispuesto en esta última.</w:t>
      </w:r>
    </w:p>
    <w:p w14:paraId="11B63ED2" w14:textId="77777777" w:rsidR="009D7677" w:rsidRDefault="009D7677" w:rsidP="009D7677">
      <w:pPr>
        <w:pStyle w:val="TextoNormal"/>
      </w:pPr>
    </w:p>
    <w:p w14:paraId="3CCAD604" w14:textId="77777777" w:rsidR="009D7677" w:rsidRDefault="009D7677" w:rsidP="009D7677">
      <w:pPr>
        <w:pStyle w:val="TextoNormal"/>
      </w:pPr>
      <w:r>
        <w:t>Afirma que es legítimo que, por las connotaciones morales que tiene la interrupción voluntaria del embarazo, se trate de justificar que la decisión de las mujeres entre dieciséis y dieciocho años debería contar con autorización paterna o, al menos, ser puesta en conocimiento de los padres, pero afirma que ello solo es una opción posible, a valorar en térmi</w:t>
      </w:r>
      <w:r>
        <w:lastRenderedPageBreak/>
        <w:t>nos de oportunidad política, pero que deben quedar al margen del análisis de constitucionalidad.</w:t>
      </w:r>
    </w:p>
    <w:p w14:paraId="0FE3033C" w14:textId="77777777" w:rsidR="009D7677" w:rsidRDefault="009D7677" w:rsidP="009D7677">
      <w:pPr>
        <w:pStyle w:val="TextoNormal"/>
      </w:pPr>
    </w:p>
    <w:p w14:paraId="0882F9C2" w14:textId="77777777" w:rsidR="009D7677" w:rsidRDefault="009D7677" w:rsidP="009D7677">
      <w:pPr>
        <w:pStyle w:val="TextoNormal"/>
      </w:pPr>
      <w:r>
        <w:t>Niega la vulneración del art. 39.3 CE, concluyendo que los padres no tienen un derecho constitucional a ser informados de todas las decisiones personalísimas de sus hijos, relativas a la esfera de su intimidad y que, en caso de existir este derecho, sería de origen legal y no se reconoce en el ámbito sanitario como regla general, cuando se trata de mayores de dieciséis años o menores emancipados.</w:t>
      </w:r>
    </w:p>
    <w:p w14:paraId="53D3797C" w14:textId="77777777" w:rsidR="009D7677" w:rsidRDefault="009D7677" w:rsidP="009D7677">
      <w:pPr>
        <w:pStyle w:val="TextoNormal"/>
      </w:pPr>
    </w:p>
    <w:p w14:paraId="7C5F44A2" w14:textId="77777777" w:rsidR="009D7677" w:rsidRDefault="009D7677" w:rsidP="009D7677">
      <w:pPr>
        <w:pStyle w:val="TextoNormal"/>
      </w:pPr>
      <w:r>
        <w:t>(iii) Niega también el abogado del Estado la infracción del art. 27.3 CE, que no puede entenderse desconectado del ámbito de la enseñanza, a que se refiere dicho precepto constitucional. La regulación de los requisitos del consentimiento informado de las mujeres entre dieciséis y dieciocho años en relación con la interrupción voluntaria del embarazo en nada afecta al derecho a la educación ni mucho menos al derecho de los padres a formar a sus hijos conforme a sus propias convicciones morales y religiosas.</w:t>
      </w:r>
    </w:p>
    <w:p w14:paraId="397D0A50" w14:textId="77777777" w:rsidR="009D7677" w:rsidRDefault="009D7677" w:rsidP="009D7677">
      <w:pPr>
        <w:pStyle w:val="TextoNormal"/>
      </w:pPr>
    </w:p>
    <w:p w14:paraId="4906196C" w14:textId="77777777" w:rsidR="009D7677" w:rsidRDefault="009D7677" w:rsidP="009D7677">
      <w:pPr>
        <w:pStyle w:val="TextoNormal"/>
      </w:pPr>
      <w:r>
        <w:t>(iv) Por último, niega que, al no preverse la obligatoriedad de informar a los progenitores de la decisión de interrupción voluntaria del embarazo, se vulnere el art. 15 CE, en relación con la protección constitucional de la vida prenatal. A partir de la cita de la STC 44/2023, concluye que el embarazo afecta a la mujer embarazada, a su integridad física y moral (art. 15 CE) y al libre desarrollo de su personalidad (art. 10 CE), que son derechos personalísimos que solo puede ejercer su titular. Frente a los derechos de la mujer embarazada se encuentra el deber del Estado, no de los particulares, de proteger la vida prenatal como bien constitucionalmente protegido y que, en este sentido, el sistema de plazos de la Ley Orgánica 2/2010 garantiza plenamente el cumplimiento de este deber.</w:t>
      </w:r>
    </w:p>
    <w:p w14:paraId="42E29D0C" w14:textId="77777777" w:rsidR="009D7677" w:rsidRDefault="009D7677" w:rsidP="009D7677">
      <w:pPr>
        <w:pStyle w:val="TextoNormal"/>
      </w:pPr>
    </w:p>
    <w:p w14:paraId="0F8AF898" w14:textId="77777777" w:rsidR="009D7677" w:rsidRDefault="009D7677" w:rsidP="009D7677">
      <w:pPr>
        <w:pStyle w:val="TextoNormal"/>
      </w:pPr>
      <w:r>
        <w:t>C) Enjuiciamiento</w:t>
      </w:r>
    </w:p>
    <w:p w14:paraId="0F0B3778" w14:textId="77777777" w:rsidR="009D7677" w:rsidRDefault="009D7677" w:rsidP="009D7677">
      <w:pPr>
        <w:pStyle w:val="TextoNormal"/>
      </w:pPr>
    </w:p>
    <w:p w14:paraId="682E41D8" w14:textId="77777777" w:rsidR="009D7677" w:rsidRDefault="009D7677" w:rsidP="009D7677">
      <w:pPr>
        <w:pStyle w:val="TextoNormal"/>
      </w:pPr>
      <w:r>
        <w:t>a) La vulneración del principio de interdicción de la arbitrariedad de los poderes públicos (art. 9.3 CE) debe ser desestimada.</w:t>
      </w:r>
    </w:p>
    <w:p w14:paraId="24E7298F" w14:textId="77777777" w:rsidR="009D7677" w:rsidRDefault="009D7677" w:rsidP="009D7677">
      <w:pPr>
        <w:pStyle w:val="TextoNormal"/>
      </w:pPr>
    </w:p>
    <w:p w14:paraId="1AE76560" w14:textId="77777777" w:rsidR="009D7677" w:rsidRDefault="009D7677" w:rsidP="009D7677">
      <w:pPr>
        <w:pStyle w:val="TextoNormal"/>
      </w:pPr>
      <w:r>
        <w:t>Como viene reiterando la doctrina constitucional “’la calificación de arbitraria dada a una ley exige una cierta prudencia, toda vez que [la ley] es la expresión de la voluntad popular, por lo que su control de constitucionalidad debe ejercerse sin imponer constricciones indebidas al poder legislativo y respetando sus opciones políticas’, debiendo por tanto centrarse el tribunal ‘en verificar si el precepto cuestionado establece una discriminación, pues la discriminación entraña siempre una arbitrariedad, o bien, si aun no estableciéndola, carece de toda explicación racional, lo que también evidentemente supondría una arbitrariedad, sin que sea pertinente un análisis a fondo de todas las motivaciones posibles de la norma y de todas sus eventuales consecuencias […]. De manera que […] no corresponde a este tribunal interferirse en el margen de apreciación que corresponde al legislador democrático ni examinar la oportunidad de la medida legal para decidir si es la más adecuada o la mejor de las posibles, sino únicamente examinar si la decisión adoptada es plenamente irrazonable o carente de toda justificación’” (STC 112/2021, de 13 de mayo, FJ 5, con cita de las SSTC 98/2018, de 19 de septiembre, FJ 5, y 149/2020, de 22 de octubre, FJ 6).</w:t>
      </w:r>
    </w:p>
    <w:p w14:paraId="4D544CC0" w14:textId="77777777" w:rsidR="009D7677" w:rsidRDefault="009D7677" w:rsidP="009D7677">
      <w:pPr>
        <w:pStyle w:val="TextoNormal"/>
      </w:pPr>
    </w:p>
    <w:p w14:paraId="127EC60D" w14:textId="77777777" w:rsidR="009D7677" w:rsidRDefault="009D7677" w:rsidP="009D7677">
      <w:pPr>
        <w:pStyle w:val="TextoNormal"/>
      </w:pPr>
      <w:r>
        <w:lastRenderedPageBreak/>
        <w:t>Partiendo de estas consideraciones, este tribunal estima que el precepto impugnado no carece de toda explicación racional, como afirma el recurso de inconstitucionalidad. Antes al contrario, la no sujeción de la interrupción voluntaria del embarazo por parte de las mujeres de dieciséis y diecisiete años al consentimiento o al conocimiento de los padres o representantes legales se encuentra alineada con el objetivo de la reforma, expresado en su preámbulo, de remover los obstáculos a los que se pueden enfrentar las mujeres a la hora de ejercer el derecho regulado en la Ley Orgánica 2/2010.</w:t>
      </w:r>
    </w:p>
    <w:p w14:paraId="73F03821" w14:textId="77777777" w:rsidR="009D7677" w:rsidRDefault="009D7677" w:rsidP="009D7677">
      <w:pPr>
        <w:pStyle w:val="TextoNormal"/>
      </w:pPr>
    </w:p>
    <w:p w14:paraId="7473D18B" w14:textId="77777777" w:rsidR="009D7677" w:rsidRDefault="009D7677" w:rsidP="009D7677">
      <w:pPr>
        <w:pStyle w:val="TextoNormal"/>
      </w:pPr>
      <w:r>
        <w:t>En este sentido, mención especial merecen las observaciones finales sobre el sexto informe periódico de España del Comité de Derechos Económicos, Sociales y Culturales de la Organización de Naciones Unidas, aprobadas en su vigésima octava sesión, celebrada el 29 de marzo de 2018. En sus observaciones, el Comité manifestaba su preocupación por que la reforma operada por la Ley Orgánica 11/2015, de 21 de septiembre, para reforzar la protección de las menores y mujeres con capacidad modificada judicialmente en la interrupción voluntaria del embarazo, pudiera suponer un obstáculo al acceso al aborto por parte de las adolescentes de entre dieciséis y dieciocho años y las mujeres con discapacidad. Además, entre las recomendaciones efectuadas por dicho Comité en relación con el derecho a la salud sexual y reproductiva se recogía la atinente a la eliminación del requisito de contar con el consentimiento del representante legal para que las adolescentes de entre dieciséis y dieciocho años pudieran acceder a la interrupción voluntaria del embarazo. Esto se encuentra en línea con las preocupaciones que ya había expresado, con carácter previo a la aprobación de la Ley Orgánica 11/2015, el Comité para la Eliminación de la Discriminación contra la Mujer (CEDAW) en sus observaciones finales sobre los informes periódicos séptimo y octavo combinados de España (CEDAW/C/ESP/7-8).</w:t>
      </w:r>
    </w:p>
    <w:p w14:paraId="57518DF3" w14:textId="77777777" w:rsidR="009D7677" w:rsidRDefault="009D7677" w:rsidP="009D7677">
      <w:pPr>
        <w:pStyle w:val="TextoNormal"/>
      </w:pPr>
    </w:p>
    <w:p w14:paraId="3875367D" w14:textId="77777777" w:rsidR="009D7677" w:rsidRDefault="009D7677" w:rsidP="009D7677">
      <w:pPr>
        <w:pStyle w:val="TextoNormal"/>
      </w:pPr>
      <w:r>
        <w:t>El legislador, haciéndose eco de estas recomendaciones, declara en el preámbulo de la Ley Orgánica 1/2023 que “la norma revierte la modificación operada por la Ley Orgánica 11/2015, de 21 de septiembre, devolviendo a las menores de dieciséis y diecisiete años su capacidad para decidir libremente sobre su maternidad, prescindiendo así de la exigencia de consentimiento paterno o materno”.</w:t>
      </w:r>
    </w:p>
    <w:p w14:paraId="4B5F5DC2" w14:textId="77777777" w:rsidR="009D7677" w:rsidRDefault="009D7677" w:rsidP="009D7677">
      <w:pPr>
        <w:pStyle w:val="TextoNormal"/>
      </w:pPr>
    </w:p>
    <w:p w14:paraId="091AE178" w14:textId="77777777" w:rsidR="009D7677" w:rsidRDefault="009D7677" w:rsidP="009D7677">
      <w:pPr>
        <w:pStyle w:val="TextoNormal"/>
      </w:pPr>
      <w:r>
        <w:t>Las consideraciones precedentes resultan suficientes para evidenciar que la previsión controvertida cuenta con una justificación racional, por lo que difícilmente puede merecer el calificativo de arbitraria. Por lo tanto, no concurre la infracción del art. 9.3 CE.</w:t>
      </w:r>
    </w:p>
    <w:p w14:paraId="6107B8F8" w14:textId="77777777" w:rsidR="009D7677" w:rsidRDefault="009D7677" w:rsidP="009D7677">
      <w:pPr>
        <w:pStyle w:val="TextoNormal"/>
      </w:pPr>
    </w:p>
    <w:p w14:paraId="075FEACD" w14:textId="77777777" w:rsidR="009D7677" w:rsidRDefault="009D7677" w:rsidP="009D7677">
      <w:pPr>
        <w:pStyle w:val="TextoNormal"/>
      </w:pPr>
      <w:r>
        <w:t>b) Tampoco puede merecer favorable acogida la queja basada en la infracción del art. 27.3 CE. Como apunta el abogado del Estado, el derecho que asiste a los padres para que sus hijos reciban la formación religiosa y moral que se adecúe a sus propias convicciones, invocado por los recurrentes, no puede entenderse desconectado del ámbito de la enseñanza dentro del cual despliega su virtualidad.</w:t>
      </w:r>
    </w:p>
    <w:p w14:paraId="1BE6F515" w14:textId="77777777" w:rsidR="009D7677" w:rsidRDefault="009D7677" w:rsidP="009D7677">
      <w:pPr>
        <w:pStyle w:val="TextoNormal"/>
      </w:pPr>
    </w:p>
    <w:p w14:paraId="0D04804A" w14:textId="77777777" w:rsidR="009D7677" w:rsidRDefault="009D7677" w:rsidP="009D7677">
      <w:pPr>
        <w:pStyle w:val="TextoNormal"/>
      </w:pPr>
      <w:r>
        <w:t xml:space="preserve">En efecto, la doctrina constitucional ha puesto de manifiesto la estrecha conexión que existe entre todos los distintos apartados del art. 27 CE, identificando como el objeto o la nota común de todos ellos el derecho a la educación (SSTC 86/1985, de 10 de julio, FJ 3, y 31/2018, de 10 de abril, FJ 3). Partiendo de esta comprensión sistemática del precepto constitucional invocado, la impugnación por este motivo debe ser desestimada, puesto que el art. 13 </w:t>
      </w:r>
      <w:r w:rsidRPr="009D7677">
        <w:rPr>
          <w:i/>
        </w:rPr>
        <w:t>bis</w:t>
      </w:r>
      <w:r>
        <w:t>.1 de la Ley Orgánica 2/2010, en la redacción dada por la Ley Orgánica 1/2023, no guarda relación alguna con la enseñanza ni con el sistema educativo y, en defi</w:t>
      </w:r>
      <w:r>
        <w:lastRenderedPageBreak/>
        <w:t>nitiva, no tiene ninguna incidencia sobre el derecho de libertad que el art. 27.3 CE reconoce a los padres frente a los poderes públicos.</w:t>
      </w:r>
    </w:p>
    <w:p w14:paraId="066755BA" w14:textId="77777777" w:rsidR="009D7677" w:rsidRDefault="009D7677" w:rsidP="009D7677">
      <w:pPr>
        <w:pStyle w:val="TextoNormal"/>
      </w:pPr>
    </w:p>
    <w:p w14:paraId="58B71A50" w14:textId="77777777" w:rsidR="009D7677" w:rsidRDefault="009D7677" w:rsidP="009D7677">
      <w:pPr>
        <w:pStyle w:val="TextoNormal"/>
      </w:pPr>
      <w:r>
        <w:t>c) De otra parte, ha de desestimarse también la impugnación que se refiere a la palabra “voluntariamente” recogida en el precepto recurrido, por su supuesta contradicción con el deber de protección de la vida prenatal (art. 15 CE). Baste en este punto señalar que la voluntariedad de la decisión de la mujer embarazada en orden a la interrupción del embarazo es una cualidad inherente al sistema de plazos instaurado por la Ley Orgánica 2/2010. Dicho sistema ha sido declarado conforme a la Constitución en la STC 44/2023, FFJJ 3 y 4, citada en detalle en el fundamento jurídico 2 de esta sentencia, al que cabe ahora remitirse. En aquella resolución, este tribunal afirmó que los arts. 15 y 10.1 CE exigen del legislador “el reconocimiento de un ámbito de libertad en el que la mujer pueda adoptar razonablemente, de forma autónoma y sin coerción de ningún tipo, la decisión que considere más adecuada en cuanto a la continuación o no de la gestación”. La voluntariedad de la decisión de la mujer, de la que los recurrentes discrepan, es consustancial a las notas de autonomía y ausencia de coerción a las que hace referencia nuestra doctrina, por lo que debe desestimarse la tacha de inconstitucionalidad invocada.</w:t>
      </w:r>
    </w:p>
    <w:p w14:paraId="5FFFAB4D" w14:textId="77777777" w:rsidR="009D7677" w:rsidRDefault="009D7677" w:rsidP="009D7677">
      <w:pPr>
        <w:pStyle w:val="TextoNormal"/>
      </w:pPr>
    </w:p>
    <w:p w14:paraId="1CE38F85" w14:textId="77777777" w:rsidR="009D7677" w:rsidRDefault="009D7677" w:rsidP="009D7677">
      <w:pPr>
        <w:pStyle w:val="TextoNormal"/>
      </w:pPr>
      <w:r>
        <w:t>d) Descartadas las infracciones anteriores, cumple ahora examinar la cuestión nuclear que se plantea en este motivo de impugnación, que se refiere a si es constitucionalmente lícito que las mujeres de dieciséis y diecisiete años tengan reconocida capacidad para prestar por sí mismas su consentimiento en relación con la interrupción voluntaria del embarazo, sin necesidad de recabar el consentimiento expreso de sus representantes legales (como estableció la Ley Orgánica 11/2015) ni tampoco siquiera de informar al menos a uno de ellos (como recogía con carácter general el art. 13.4 de la Ley Orgánica 2/2010, en su redacción originaria). Todo ello ligado a una pretendida vulneración del art. 39.3 CE, en relación con el interés superior del menor.</w:t>
      </w:r>
    </w:p>
    <w:p w14:paraId="31CA77A6" w14:textId="77777777" w:rsidR="009D7677" w:rsidRDefault="009D7677" w:rsidP="009D7677">
      <w:pPr>
        <w:pStyle w:val="TextoNormal"/>
      </w:pPr>
    </w:p>
    <w:p w14:paraId="7890319C" w14:textId="77777777" w:rsidR="009D7677" w:rsidRDefault="009D7677" w:rsidP="009D7677">
      <w:pPr>
        <w:pStyle w:val="TextoNormal"/>
      </w:pPr>
      <w:r>
        <w:t>(i) La doctrina constitucional ha tenido ocasión de pronunciarse en diversas ocasiones acerca de las situaciones jurídicas —distintas de la mayoría de edad— en las que cabe reconocer capacidad a los menores de edad.</w:t>
      </w:r>
    </w:p>
    <w:p w14:paraId="0AE8F20A" w14:textId="77777777" w:rsidR="009D7677" w:rsidRDefault="009D7677" w:rsidP="009D7677">
      <w:pPr>
        <w:pStyle w:val="TextoNormal"/>
      </w:pPr>
    </w:p>
    <w:p w14:paraId="661C2773" w14:textId="77777777" w:rsidR="009D7677" w:rsidRDefault="009D7677" w:rsidP="009D7677">
      <w:pPr>
        <w:pStyle w:val="TextoNormal"/>
      </w:pPr>
      <w:r>
        <w:t xml:space="preserve">Así, en el marco de las relaciones laborales, el ATC 77/1997, de 12 de marzo, FJ 4 </w:t>
      </w:r>
      <w:r w:rsidRPr="009D7677">
        <w:rPr>
          <w:i/>
        </w:rPr>
        <w:t>in fine</w:t>
      </w:r>
      <w:r>
        <w:t>, señaló que ni el art. 12 CE, al fijar la mayoría de edad en dieciocho años, ni el mandato de protección de los menores, que resulta del art. 39 CE, “limitan o condicionan la existencia de situaciones jurídicas intermedias de capacidad limitada, plenamente reconocidas en nuestro ordenamiento, ni restringen en modo alguno la facultad conferida al legislador para regular en el ámbito de las relaciones sociales los distintos estadios de capacidad”.</w:t>
      </w:r>
    </w:p>
    <w:p w14:paraId="7CB380EF" w14:textId="77777777" w:rsidR="009D7677" w:rsidRDefault="009D7677" w:rsidP="009D7677">
      <w:pPr>
        <w:pStyle w:val="TextoNormal"/>
      </w:pPr>
    </w:p>
    <w:p w14:paraId="033D3C26" w14:textId="77777777" w:rsidR="009D7677" w:rsidRDefault="009D7677" w:rsidP="009D7677">
      <w:pPr>
        <w:pStyle w:val="TextoNormal"/>
      </w:pPr>
      <w:r>
        <w:t>Por su parte, en relación con la responsabilidad penal de los menores de edad, el ATC 286/1991, de 1 de octubre, FJ 2, concluyó que no era contrario a la Convención de los derechos del niño que el legislador hubiera considerado oportuno “someter a la jurisdicción penal [a] un mayor de dieciséis años, pero menor de dieciocho”. Este razonamiento se retomó el ATC 194/2001, de 4 de julio, para afirmar que la Constitución no exige equiparar “la edad a la que se alcanza la mayoría de edad con aquella en la que el legislador penal puede presumir en los menores capacidad para infringir la ley y ser, por ello, destinatarios de sus normas” (FJ 4).</w:t>
      </w:r>
    </w:p>
    <w:p w14:paraId="2FA8CE65" w14:textId="77777777" w:rsidR="009D7677" w:rsidRDefault="009D7677" w:rsidP="009D7677">
      <w:pPr>
        <w:pStyle w:val="TextoNormal"/>
      </w:pPr>
    </w:p>
    <w:p w14:paraId="32D6A0E6" w14:textId="77777777" w:rsidR="009D7677" w:rsidRDefault="009D7677" w:rsidP="009D7677">
      <w:pPr>
        <w:pStyle w:val="TextoNormal"/>
      </w:pPr>
      <w:r>
        <w:t>Por otro lado, es doctrina constitucional consolidada la que viene reiterando que los menores de edad son titulares de derechos fundamentales. La STC 141/2000, de 29 de mayo, vino a afirmar que “[d]esde la perspectiva del art. 16 CE los menores de edad son titulares plenos de sus derechos fundamentales, en este caso, de sus derechos a la libertad de creencias y a su integridad moral, sin que el ejercicio de los mismos y la facultad de disponer sobre ellos se abandonen por entero a lo que al respecto puedan decidir aquellos que tengan atribuida su guarda y custodia o, como en este caso, su patria potestad, cuya incidencia sobre el disfrute del menor de sus derechos fundamentales se modulará en función de la madurez del niño y los distintos estadios en que la legislación gradúa su capacidad de obrar (arts. 162.1, 322 y 323 CC o el art. 30 Ley 30/1992, de 26 de noviembre, de régimen jurídico de las administraciones públicas y del procedimiento administrativo común)” (FJ 5).</w:t>
      </w:r>
    </w:p>
    <w:p w14:paraId="3C472BC8" w14:textId="77777777" w:rsidR="009D7677" w:rsidRDefault="009D7677" w:rsidP="009D7677">
      <w:pPr>
        <w:pStyle w:val="TextoNormal"/>
      </w:pPr>
    </w:p>
    <w:p w14:paraId="23219CCE" w14:textId="77777777" w:rsidR="009D7677" w:rsidRDefault="009D7677" w:rsidP="009D7677">
      <w:pPr>
        <w:pStyle w:val="TextoNormal"/>
      </w:pPr>
      <w:r>
        <w:t>Con base en este razonamiento, la STC 154/2002, de 18 de julio, vino a reconocer que “[e]s cierto que el ordenamiento jurídico concede relevancia a determinados actos o situaciones jurídicas del menor de edad […]. Así, los actos relativos a los derechos de la personalidad (entre los que se halla precisamente el de integridad física), de los que queda excluida la facultad de representación legal que tienen los padres en cuanto titulares de la patria potestad, según explícitamente proclama el art. 162.1 del Código civil […]; tal exclusión, por otra parte, no alcanza al deber de velar y cuidar del menor y sus intereses. También cabe señalar diversos actos conducentes a la creación de efectos jurídicos o a la formalización de determinados actos jurídicos, como son, entre otros, los relativos a la capacidad para contraer matrimonio, para testar, para testificar, para ser oído a fin de otorgar su guarda o custodia a uno de los progenitores. Y, asimismo, en el ámbito penal, para la tipificación de determinados delitos” (FJ 10).</w:t>
      </w:r>
    </w:p>
    <w:p w14:paraId="3B5372CC" w14:textId="77777777" w:rsidR="009D7677" w:rsidRDefault="009D7677" w:rsidP="009D7677">
      <w:pPr>
        <w:pStyle w:val="TextoNormal"/>
      </w:pPr>
    </w:p>
    <w:p w14:paraId="4D8B50AA" w14:textId="77777777" w:rsidR="009D7677" w:rsidRDefault="009D7677" w:rsidP="009D7677">
      <w:pPr>
        <w:pStyle w:val="TextoNormal"/>
      </w:pPr>
      <w:r>
        <w:t>A su vez, la STC 183/2008, de 22 de diciembre, reconoció que forma parte del contenido esencial del art. 24.1 CE “el derecho de cualquier menor, con capacidad y madurez suficiente, a ser oído en vía judicial en la adopción de medidas que afectan a su esfera personal” así como “que se posibilite a cualquier menor, con capacidad y madurez suficiente, instar de los órganos judiciales, en cualquier orden jurisdiccional, la defensa de intereses que afecten a su esfera personal, incluso contra la voluntad de quienes ejerzan su representación legal”.</w:t>
      </w:r>
    </w:p>
    <w:p w14:paraId="14581BD1" w14:textId="77777777" w:rsidR="009D7677" w:rsidRDefault="009D7677" w:rsidP="009D7677">
      <w:pPr>
        <w:pStyle w:val="TextoNormal"/>
      </w:pPr>
    </w:p>
    <w:p w14:paraId="0242C740" w14:textId="77777777" w:rsidR="009D7677" w:rsidRDefault="009D7677" w:rsidP="009D7677">
      <w:pPr>
        <w:pStyle w:val="TextoNormal"/>
      </w:pPr>
      <w:r>
        <w:t>Finalmente, en fechas más recientes, se ha pronunciado sobre esta cuestión la STC 99/2019, de 18 de julio, relativa al ejercicio por parte de los menores edad de la rectificación registral de mención relativa al sexo de las personas prevista en la hoy derogada Ley 3/2007, de 15 de marzo. En dicha sentencia, partiendo del amplio margen de configuración que debe reconocerse al legislador para delimitar el contenido y alcance de los derechos fundamentales [FJ 6 a)], este tribunal dejó sentado que “cuando el menor de edad presenta una ‘madurez suficiente’ […] resulta inevitable reconocerle una mayor necesidad de tutela de su intimidad personal y del espacio de decisión que le habilita para desarrollar libremente los rasgos de su personalidad” y que la exigencia de dispensar protección especial a los menores de edad, conforme al art. 39 CE, se relativiza paulatinamente según se avanza hacia la mayor edad y ello porque “a medida que cumple años el menor de edad adquiere mayores grados de entendimiento y, por tanto, disminuyen las necesidades específicas de protección” (FJ 9).</w:t>
      </w:r>
    </w:p>
    <w:p w14:paraId="4B498CC2" w14:textId="77777777" w:rsidR="009D7677" w:rsidRDefault="009D7677" w:rsidP="009D7677">
      <w:pPr>
        <w:pStyle w:val="TextoNormal"/>
      </w:pPr>
    </w:p>
    <w:p w14:paraId="2C21C4A1" w14:textId="77777777" w:rsidR="009D7677" w:rsidRDefault="009D7677" w:rsidP="009D7677">
      <w:pPr>
        <w:pStyle w:val="TextoNormal"/>
      </w:pPr>
      <w:r>
        <w:t>(ii) En el marco de esta jurisprudencia constitucional, que permite al legislador modular la capacidad de los menores en función de su madurez, el legislador ha reconocido parcelas de capacidad a los menores de edad. Y lo ha hecho atendiendo a una concepción gradual de su madurez y su capacidad de discernimiento, que aumenta progresivamente conforme se aproxima la mayoría de edad.</w:t>
      </w:r>
    </w:p>
    <w:p w14:paraId="44CF9EB4" w14:textId="77777777" w:rsidR="009D7677" w:rsidRDefault="009D7677" w:rsidP="009D7677">
      <w:pPr>
        <w:pStyle w:val="TextoNormal"/>
      </w:pPr>
    </w:p>
    <w:p w14:paraId="0A203011" w14:textId="77777777" w:rsidR="009D7677" w:rsidRDefault="009D7677" w:rsidP="009D7677">
      <w:pPr>
        <w:pStyle w:val="TextoNormal"/>
      </w:pPr>
      <w:r>
        <w:t>Así, el art. 2.1 de la Ley Orgánica 1/1996, de 15 de enero, de protección jurídica del menor, en virtud del cual “[l]as limitaciones a la capacidad de obrar de los menores se interpretarán de forma restrictiva y, en todo caso, siempre en el interés superior del menor”. En esta línea, en el ámbito del Derecho civil común, los actos relativos a los derechos de la personalidad que los menores de edad, de acuerdo con su madurez, pueden ejercitar por sí mismos están exceptuados de la representación legal de los padres (art. 162 del Código civil, en adelante CC); el hijo mayor de dieciséis años puede administrar los bienes que hubiera adquirido con su trabajo o industria (art. 164 CC); para que tenga lugar la emancipación por concesión de quienes ejerzan la patria potestad o por concesión judicial, se requiere que el menor tenga dieciséis años (arts. 241 y 244 CC); y, en fin, los menores de edad no emancipados tienen reconocida una cierta capacidad negocial, puesto que pueden celebrar aquellos contratos que las leyes les permitan realizar por sí mismos o con asistencia de sus representantes y los relativos a bienes y servicios de la vida corriente propios de su edad de conformidad con los usos sociales (art. 1263 CC).</w:t>
      </w:r>
    </w:p>
    <w:p w14:paraId="37ABA344" w14:textId="77777777" w:rsidR="009D7677" w:rsidRDefault="009D7677" w:rsidP="009D7677">
      <w:pPr>
        <w:pStyle w:val="TextoNormal"/>
      </w:pPr>
    </w:p>
    <w:p w14:paraId="674A2C59" w14:textId="77777777" w:rsidR="009D7677" w:rsidRDefault="009D7677" w:rsidP="009D7677">
      <w:pPr>
        <w:pStyle w:val="TextoNormal"/>
      </w:pPr>
      <w:r>
        <w:t>En el ámbito penal, a los efectos que aquí interesan, puede destacarse también que la reforma operada por la Ley Orgánica 1/2015, de 30 de marzo, elevó la edad de consentimiento sexual a los dieciséis años.</w:t>
      </w:r>
    </w:p>
    <w:p w14:paraId="09F8DCEC" w14:textId="77777777" w:rsidR="009D7677" w:rsidRDefault="009D7677" w:rsidP="009D7677">
      <w:pPr>
        <w:pStyle w:val="TextoNormal"/>
      </w:pPr>
    </w:p>
    <w:p w14:paraId="65B57D44" w14:textId="77777777" w:rsidR="009D7677" w:rsidRDefault="009D7677" w:rsidP="009D7677">
      <w:pPr>
        <w:pStyle w:val="TextoNormal"/>
      </w:pPr>
      <w:r>
        <w:t>Por otro lado, en el Derecho administrativo, el art. 3 b) de la Ley 39/2015, de 1 de octubre, de procedimiento administrativo común de las administraciones públicas, reconoce capacidad de obrar a los menores de edad para el ejercicio y la defensa de sus derechos e intereses cuya actuación esté permitida por el ordenamiento jurídico sin la asistencia de sus representantes legales.</w:t>
      </w:r>
    </w:p>
    <w:p w14:paraId="7D0327CA" w14:textId="77777777" w:rsidR="009D7677" w:rsidRDefault="009D7677" w:rsidP="009D7677">
      <w:pPr>
        <w:pStyle w:val="TextoNormal"/>
      </w:pPr>
    </w:p>
    <w:p w14:paraId="72EEFBA7" w14:textId="77777777" w:rsidR="009D7677" w:rsidRDefault="009D7677" w:rsidP="009D7677">
      <w:pPr>
        <w:pStyle w:val="TextoNormal"/>
      </w:pPr>
      <w:r>
        <w:t>Por otra parte, cabe también mencionar que, de acuerdo con el art. 7 de la Ley Orgánica 3/2018, de 5 de diciembre, de protección de datos personales y garantía de los derechos digitales, los mayores de catorce años pueden, con algunas excepciones, prestar consentimiento en relación con el tratamiento de sus datos personales.</w:t>
      </w:r>
    </w:p>
    <w:p w14:paraId="0BF49EDF" w14:textId="77777777" w:rsidR="009D7677" w:rsidRDefault="009D7677" w:rsidP="009D7677">
      <w:pPr>
        <w:pStyle w:val="TextoNormal"/>
      </w:pPr>
    </w:p>
    <w:p w14:paraId="11293D8B" w14:textId="77777777" w:rsidR="009D7677" w:rsidRDefault="009D7677" w:rsidP="009D7677">
      <w:pPr>
        <w:pStyle w:val="TextoNormal"/>
      </w:pPr>
      <w:r>
        <w:t>Por último, conviene hacer referencia a la capacidad de los menores de edad para prestar consentimiento informado respecto de las intervenciones médicas, lo cual cobra singular relevancia en relación con el presente recurso de inconstitucionalidad, puesto que el art. 13 c) de la Ley Orgánica 2/2010, en la redacción dada por la Ley Orgánica 1/2023, establece como requisito necesario de la interrupción voluntaria del embarazo que “se realice con el consentimiento expreso informado y por escrito de la mujer embarazada o, en su caso, del representante legal, de conformidad con lo establecido en la Ley 41/2002, de 14 de noviembre, básica reguladora de la autonomía del paciente y de derechos y obligaciones en materia de información y documentación clínica”. O, dicho en otras palabras, que la Ley Orgánica 2/2010 remite al régimen del consentimiento informado previsto en la Ley 41/2002, por lo que ambas disposiciones han de ser interpretadas conjuntamente.</w:t>
      </w:r>
    </w:p>
    <w:p w14:paraId="5E6F76A7" w14:textId="77777777" w:rsidR="009D7677" w:rsidRDefault="009D7677" w:rsidP="009D7677">
      <w:pPr>
        <w:pStyle w:val="TextoNormal"/>
      </w:pPr>
    </w:p>
    <w:p w14:paraId="527D064E" w14:textId="77777777" w:rsidR="009D7677" w:rsidRDefault="009D7677" w:rsidP="009D7677">
      <w:pPr>
        <w:pStyle w:val="TextoNormal"/>
      </w:pPr>
      <w:r>
        <w:t xml:space="preserve">Pues bien, en el ámbito sanitario, como ha tenido ocasión de analizar este tribunal en la STC 148/2023, de 6 de noviembre, con carácter general “[e]l art. 9.3, letra c) de la Ley 41/2002, parte de la premisa de que la minoría de edad no implica </w:t>
      </w:r>
      <w:r w:rsidRPr="009D7677">
        <w:rPr>
          <w:i/>
        </w:rPr>
        <w:t>per se</w:t>
      </w:r>
      <w:r>
        <w:t xml:space="preserve"> la falta de capacidad para la prestación del consentimiento informado, ni autoriza el recurso automático al consentimiento por representación —otorgado por los representantes legales de la persona menor o, en caso de desacuerdo, por la autoridad judicial—. Para que el consentimiento dado por representación quede dentro de la cobertura de la norma habilitante, es preciso que la persona menor de edad carezca de capacidad intelectual o emocional necesarias para comprender el alcance de la intervención” [FJ 4 B) b)].</w:t>
      </w:r>
    </w:p>
    <w:p w14:paraId="256A2CFE" w14:textId="77777777" w:rsidR="009D7677" w:rsidRDefault="009D7677" w:rsidP="009D7677">
      <w:pPr>
        <w:pStyle w:val="TextoNormal"/>
      </w:pPr>
    </w:p>
    <w:p w14:paraId="2FE0A93B" w14:textId="77777777" w:rsidR="009D7677" w:rsidRDefault="009D7677" w:rsidP="009D7677">
      <w:pPr>
        <w:pStyle w:val="TextoNormal"/>
      </w:pPr>
      <w:r>
        <w:t>Sin perjuicio de lo previsto en el art. 9.3 de la Ley 41/2002 con carácter general para los menores de edad, el art. 9.4 de la misma ley exceptúa expresamente del consentimiento por representación aquellos casos en los que las intervenciones médicas o quirúrgicas tengan por destinatario a un paciente menor emancipado o mayor de dieciséis años. Es decir, en el ámbito sanitario, como regla general, se atribuye a los menores capacidad para prestar el consentimiento informado respecto de las intervenciones médicas a partir de los dieciséis años. Se exceptúan de esta regla general las actuaciones de grave riesgo para la vida o la salud del menor, según criterio del facultativo, en cuyo caso el consentimiento informado lo deberá prestar el representante legal del menor, una vez oída y tenida en cuenta la opinión del mismo (art. 9.4 de la Ley 41/2002), así como los ensayos clínicos y las técnicas de reproducción humana asistida (art. 9.5 de la Ley 41/2002) y las instrucciones previas (art. 11 de la Ley 41/2002), para los cuales se exige la mayoría de edad.</w:t>
      </w:r>
    </w:p>
    <w:p w14:paraId="32A52CEB" w14:textId="77777777" w:rsidR="009D7677" w:rsidRDefault="009D7677" w:rsidP="009D7677">
      <w:pPr>
        <w:pStyle w:val="TextoNormal"/>
      </w:pPr>
    </w:p>
    <w:p w14:paraId="37D347E8" w14:textId="77777777" w:rsidR="009D7677" w:rsidRDefault="009D7677" w:rsidP="009D7677">
      <w:pPr>
        <w:pStyle w:val="TextoNormal"/>
      </w:pPr>
      <w:r>
        <w:t xml:space="preserve">(iii) Partiendo de todas estas consideraciones, estamos ya en disposición de examinar el fondo de la cuestión planteada. Para ello, es preciso insistir en que el establecimiento de las distintas edades a partir de las cuales el menor de edad, en función de su madurez, puede ir asumiendo progresivamente capacidad de decisión acerca de las cuestiones que le afectan corresponde al legislador democrático al que, por su posición constitucional, debe serle reconocido un amplio margen de apreciación para la determinación de la edad en función de las distintas circunstancias que deban ponderarse en cada caso [SSTC 55/1994, de 24 de febrero, FJ 2 </w:t>
      </w:r>
      <w:r w:rsidRPr="009D7677">
        <w:rPr>
          <w:i/>
        </w:rPr>
        <w:t>in fine</w:t>
      </w:r>
      <w:r>
        <w:t>, y 99/2019, FJ 6 a)] pues, sin perjuicio de establecer la mayoría de edad en los dieciocho años (art. 12 CE), la Constitución no impone un modelo cerrado en virtud del cual deban quedar privados de toda capacidad de obrar los menores de edad. Este margen de apreciación, además, debe ser razonablemente amplio y flexible, si se tiene en cuenta que, como resulta de la exposición precedente, el carácter gradual y progresivo de la adquisición de capacidad de discernimiento, desde la infancia hasta la mayoría de edad pasando por la adolescencia, obliga a huir en la medida de lo posible de apriorismos o de reglas generales unívocas y parece abogar por soluciones casuísticas, que permitan adaptarse a los diferentes intereses en juego en cada tipo de decisión.</w:t>
      </w:r>
    </w:p>
    <w:p w14:paraId="5390396B" w14:textId="77777777" w:rsidR="009D7677" w:rsidRDefault="009D7677" w:rsidP="009D7677">
      <w:pPr>
        <w:pStyle w:val="TextoNormal"/>
      </w:pPr>
    </w:p>
    <w:p w14:paraId="3CC35F04" w14:textId="77777777" w:rsidR="009D7677" w:rsidRDefault="009D7677" w:rsidP="009D7677">
      <w:pPr>
        <w:pStyle w:val="TextoNormal"/>
      </w:pPr>
      <w:r>
        <w:t xml:space="preserve">En este sentido, este tribunal estima que la opción seguida por el legislador, que ha quedado plasmada en la reforma operada por la Ley Orgánica 1/2023 y constituye el objeto del presente recurso de inconstitucionalidad, se desenvuelve dentro de dicho margen de configuración de que dispone el legislador y es consecuencia de una ponderación razonable y proporcionada de los intereses concurrentes. Como hemos dejado sentado en la STC 44/2023, la decisión acerca de continuar adelante o no con la gestación tiene importantes consecuencias en todos los órdenes para la vida de la mujer y condiciona su proyecto de </w:t>
      </w:r>
      <w:r>
        <w:lastRenderedPageBreak/>
        <w:t>vida. Por ello, afirmamos que para la regulación de la interrupción voluntaria del embarazo, el legislador debía inspirarse “en el respeto a la dignidad de la mujer y al ‘libre desarrollo de la personalidad’” [FJ 3 A)] y que “la interrupción voluntaria del embarazo, como manifestación del derecho de la mujer a adoptar decisiones y hacer elecciones libres y responsables, sin violencia, coacción ni discriminación, con respeto a su propio cuerpo y proyecto de vida, forma parte del contenido constitucionalmente protegido del derecho fundamental a la integridad física y moral (art. 15 CE) en conexión con la dignidad de la persona y el libre desarrollo de la personalidad como principios rectores del orden político y la paz social (art. 10.1 CE)” [FJ 3 B)].</w:t>
      </w:r>
    </w:p>
    <w:p w14:paraId="414DA728" w14:textId="77777777" w:rsidR="009D7677" w:rsidRDefault="009D7677" w:rsidP="009D7677">
      <w:pPr>
        <w:pStyle w:val="TextoNormal"/>
      </w:pPr>
    </w:p>
    <w:p w14:paraId="5204B4F4" w14:textId="77777777" w:rsidR="009D7677" w:rsidRDefault="009D7677" w:rsidP="009D7677">
      <w:pPr>
        <w:pStyle w:val="TextoNormal"/>
      </w:pPr>
      <w:r>
        <w:t>Asimismo, este tribunal ha afirmado que “todo lo relacionado con el embarazo y parto debe entenderse vinculado, fundamentalmente, a la vida privada de la mujer y, por tanto, a su derecho a la intimidad personal (art. 18.1 CE)” [STC 66/2022, de 2 de junio, FJ 3 A) c) (ii)].</w:t>
      </w:r>
    </w:p>
    <w:p w14:paraId="7BBD5DDA" w14:textId="77777777" w:rsidR="009D7677" w:rsidRDefault="009D7677" w:rsidP="009D7677">
      <w:pPr>
        <w:pStyle w:val="TextoNormal"/>
      </w:pPr>
    </w:p>
    <w:p w14:paraId="6B42BC53" w14:textId="77777777" w:rsidR="009D7677" w:rsidRDefault="009D7677" w:rsidP="009D7677">
      <w:pPr>
        <w:pStyle w:val="TextoNormal"/>
      </w:pPr>
      <w:r>
        <w:t>Desde esta perspectiva, teniendo en cuenta el carácter trascendental que la gestación y la maternidad tienen para la vida de las mujeres, en tanto que condicionan el libre desarrollo de su personalidad y afectan a su integridad física y a su derecho a la intimidad, resulta constitucionalmente admisible la opción legislativa de asegurar que las mujeres dispongan de la libertad de decidir, sin obstáculos ni injerencias externas, desde los dieciséis años, edad a partir de la cual nuestro ordenamiento va ampliando las esferas en las que los menores pueden ejercitar válidamente sus derechos y realizar determinados actos jurídicos por sí mismos, siendo especialmente destacable —por su relación con la interrupción voluntaria del embarazo— la relativa a las intervenciones médicas. En este último sentido, el precepto recurrido sitúa la interrupción voluntaria del embarazo dentro del régimen general de capacidad de obrar aplicable a las personas mayores de dieciséis años en relación con las actuaciones en el ámbito sanitario, conforme al art. 9.4 de la Ley 41/2002.</w:t>
      </w:r>
    </w:p>
    <w:p w14:paraId="75139B76" w14:textId="77777777" w:rsidR="009D7677" w:rsidRDefault="009D7677" w:rsidP="009D7677">
      <w:pPr>
        <w:pStyle w:val="TextoNormal"/>
      </w:pPr>
    </w:p>
    <w:p w14:paraId="135F048D" w14:textId="77777777" w:rsidR="009D7677" w:rsidRDefault="009D7677" w:rsidP="009D7677">
      <w:pPr>
        <w:pStyle w:val="TextoNormal"/>
      </w:pPr>
      <w:r>
        <w:t>Debe por ello reputarse también como razonable que, dentro del margen de apreciación que le corresponde, el legislador haya considerado que, tratándose de una decisión que afecta a mujeres cercanas a la edad adulta, el ejercicio por parte de estas de su derecho a la interrupción voluntaria del embarazo no deba quedar condicionado a la exigencia del consentimiento expreso de sus representantes legales o la necesidad de informar previamente a uno de estos, vigentes en otros momentos para la interrupción voluntaria del embarazo y que, sin embargo, no se contemplan con carácter general para el resto de intervenciones médicas.</w:t>
      </w:r>
    </w:p>
    <w:p w14:paraId="54E7BC25" w14:textId="77777777" w:rsidR="009D7677" w:rsidRDefault="009D7677" w:rsidP="009D7677">
      <w:pPr>
        <w:pStyle w:val="TextoNormal"/>
      </w:pPr>
    </w:p>
    <w:p w14:paraId="633B6B1E" w14:textId="77777777" w:rsidR="009D7677" w:rsidRDefault="009D7677" w:rsidP="009D7677">
      <w:pPr>
        <w:pStyle w:val="TextoNormal"/>
      </w:pPr>
      <w:r>
        <w:t xml:space="preserve">Además, no puede este tribunal dejar de señalar que la normativa impugnada no excluye de manera absoluta, en todos los supuestos, la participación de los padres o representantes legales de esta decisión de las mujeres de dieciséis y diecisiete años. Como se ha apuntado con anterioridad, la redacción vigente del art. 13 c) de la Ley Orgánica 2/2010 —al regular los “requisitos comunes” de la interrupción voluntaria del embarazo— establece una remisión al régimen de prestación del consentimiento informado regulado en la Ley 41/2002, de manera que el artículo impugnado —art. 13 </w:t>
      </w:r>
      <w:r w:rsidRPr="009D7677">
        <w:rPr>
          <w:i/>
        </w:rPr>
        <w:t>bis</w:t>
      </w:r>
      <w:r>
        <w:t xml:space="preserve">.1 de la Ley Orgánica 2/2010— debe ser interpretado conjuntamente a las previsiones de la Ley 41/2002. En este sentido, el art. 9.4 de la Ley 41/2002, al regular como regla general la capacidad para prestar consentimiento informado por los menores mayores de dieciséis años, establece una excepción en virtud de la cual el consentimiento no se presta por el paciente menor de </w:t>
      </w:r>
      <w:r>
        <w:lastRenderedPageBreak/>
        <w:t>edad, sino por su representante legal, una vez oída y tenida en cuenta la opinión del menor. Se trata del supuesto en que la intervención médica implique un “grave riesgo para la vida o salud del menor, según el criterio del facultativo”.</w:t>
      </w:r>
    </w:p>
    <w:p w14:paraId="2525860B" w14:textId="77777777" w:rsidR="009D7677" w:rsidRDefault="009D7677" w:rsidP="009D7677">
      <w:pPr>
        <w:pStyle w:val="TextoNormal"/>
      </w:pPr>
    </w:p>
    <w:p w14:paraId="68B1FCA4" w14:textId="77777777" w:rsidR="009D7677" w:rsidRDefault="009D7677" w:rsidP="009D7677">
      <w:pPr>
        <w:pStyle w:val="TextoNormal"/>
      </w:pPr>
      <w:r>
        <w:t>Como ha quedado dicho, la Ley Orgánica 2/2010 remite al régimen de consentimiento informado previsto en la Ley 41/2002. En virtud de dicha remisión, la capacidad de prestar consentimiento por parte de las mujeres embarazadas de dieciséis y diecisiete años no es absoluta, sino que, en los casos en los que la intervención médica pudiera constituir un grave riesgo para su vida o su salud bajo criterios médicos, se exige la intervención del representante legal. Por ello, este tribunal aprecia que la normativa controvertida parte de una adecuada ponderación del respeto de la libre decisión de la mujer y la necesidad de proteger el interés superior del menor, asegurando en la medida de lo razonable la autonomía de la decisión de la mujer embarazada, y reservando la intervención de los representantes legales para supuestos excepcionales en los que resulta preciso mantener el complemento de capacidad por requerirlo así la mejor protección de la vida, la integridad física y la salud de la menor embarazada.</w:t>
      </w:r>
    </w:p>
    <w:p w14:paraId="26211EDD" w14:textId="77777777" w:rsidR="009D7677" w:rsidRDefault="009D7677" w:rsidP="009D7677">
      <w:pPr>
        <w:pStyle w:val="TextoNormal"/>
      </w:pPr>
    </w:p>
    <w:p w14:paraId="42C027FF" w14:textId="77777777" w:rsidR="009D7677" w:rsidRDefault="009D7677" w:rsidP="009D7677">
      <w:pPr>
        <w:pStyle w:val="TextoNormal"/>
      </w:pPr>
      <w:r>
        <w:t>Finalmente, la concepción gradual de la capacidad de las personas menores de edad permite hacer en este caso un razonamiento análogo al efectuado en la STC 99/2019, FJ 9, en virtud del cual puede concluirse que las necesidades de protección de las mujeres menores de edad por parte de sus progenitores o representantes legales, derivadas del mandato del art. 39.3 CE, van desapareciendo conforme se aproximan a la mayor edad, lo que se hace todavía más patente cuando se ven afectadas decisiones personalísimas, como lo son las relativas a la gestación y la maternidad, estrechamente ligadas a la intimidad de la mujer y que condicionan inexorablemente el desarrollo de su personalidad y su proyecto vital.</w:t>
      </w:r>
    </w:p>
    <w:p w14:paraId="6CBBCB43" w14:textId="77777777" w:rsidR="009D7677" w:rsidRDefault="009D7677" w:rsidP="009D7677">
      <w:pPr>
        <w:pStyle w:val="TextoNormal"/>
      </w:pPr>
    </w:p>
    <w:p w14:paraId="1943FB60" w14:textId="542BAF40" w:rsidR="009D7677" w:rsidRDefault="009D7677" w:rsidP="009D7677">
      <w:pPr>
        <w:pStyle w:val="TextoNormal"/>
      </w:pPr>
      <w:r>
        <w:t xml:space="preserve">En conclusión, el art. 13 </w:t>
      </w:r>
      <w:r w:rsidRPr="009D7677">
        <w:rPr>
          <w:i/>
        </w:rPr>
        <w:t>bis</w:t>
      </w:r>
      <w:r>
        <w:t>.1 de la Ley Orgánica 2/2010 constituye una opción legislativa constitucionalmente admisible. Por ello, en atención a las razones precedentes, el motivo se desestima.</w:t>
      </w:r>
    </w:p>
    <w:p w14:paraId="2E433A9D" w14:textId="77777777" w:rsidR="009D7677" w:rsidRDefault="009D7677" w:rsidP="009D7677">
      <w:pPr>
        <w:pStyle w:val="TextoNormal"/>
      </w:pPr>
    </w:p>
    <w:p w14:paraId="66D11B67" w14:textId="77777777" w:rsidR="009D7677" w:rsidRDefault="009D7677" w:rsidP="009D7677">
      <w:pPr>
        <w:pStyle w:val="TextoNormal"/>
      </w:pPr>
      <w:r w:rsidRPr="009D7677">
        <w:rPr>
          <w:rStyle w:val="NumeroAFNegritaCaracter"/>
        </w:rPr>
        <w:t>7</w:t>
      </w:r>
      <w:r>
        <w:t xml:space="preserve">. </w:t>
      </w:r>
      <w:r w:rsidRPr="009D7677">
        <w:rPr>
          <w:i/>
        </w:rPr>
        <w:t>Motivos de impugnación relativos a los apartados duodécimo y décimo cuarto del artículo único y la disposición final segunda de la Ley Orgánica 1/2023: información vinculada a la interrupción voluntaria del embarazo, consentimiento informado y supresión del período de reflexión</w:t>
      </w:r>
    </w:p>
    <w:p w14:paraId="678CCAEE" w14:textId="77777777" w:rsidR="009D7677" w:rsidRDefault="009D7677" w:rsidP="009D7677">
      <w:pPr>
        <w:pStyle w:val="TextoNormal"/>
      </w:pPr>
    </w:p>
    <w:p w14:paraId="2835B905" w14:textId="77777777" w:rsidR="009D7677" w:rsidRDefault="009D7677" w:rsidP="009D7677">
      <w:pPr>
        <w:pStyle w:val="TextoNormal"/>
      </w:pPr>
      <w:r>
        <w:t>A) Preceptos impugnados y planteamiento</w:t>
      </w:r>
    </w:p>
    <w:p w14:paraId="343FAF58" w14:textId="77777777" w:rsidR="009D7677" w:rsidRDefault="009D7677" w:rsidP="009D7677">
      <w:pPr>
        <w:pStyle w:val="TextoNormal"/>
      </w:pPr>
    </w:p>
    <w:p w14:paraId="0E6C4FD8" w14:textId="77777777" w:rsidR="009D7677" w:rsidRDefault="009D7677" w:rsidP="009D7677">
      <w:pPr>
        <w:pStyle w:val="TextoNormal"/>
      </w:pPr>
      <w:r>
        <w:t>Los motivos quinto y séptimo del recurso de inconstitucionalidad tienen por objeto la impugnación de los apartados doce y catorce y la disposición final segunda de la Ley Orgánica 1/2023.</w:t>
      </w:r>
    </w:p>
    <w:p w14:paraId="6716F6B4" w14:textId="77777777" w:rsidR="009D7677" w:rsidRDefault="009D7677" w:rsidP="009D7677">
      <w:pPr>
        <w:pStyle w:val="TextoNormal"/>
      </w:pPr>
    </w:p>
    <w:p w14:paraId="5244E1EE" w14:textId="77777777" w:rsidR="009D7677" w:rsidRDefault="009D7677" w:rsidP="009D7677">
      <w:pPr>
        <w:pStyle w:val="TextoNormal"/>
      </w:pPr>
      <w:r>
        <w:t>El apartado duodécimo da nueva redacción al art. 14 de la Ley Orgánica 2/2010, del siguiente tenor:</w:t>
      </w:r>
    </w:p>
    <w:p w14:paraId="01DAE921" w14:textId="77777777" w:rsidR="009D7677" w:rsidRDefault="009D7677" w:rsidP="009D7677">
      <w:pPr>
        <w:pStyle w:val="TextoNormal"/>
      </w:pPr>
    </w:p>
    <w:p w14:paraId="797B426F" w14:textId="77777777" w:rsidR="009D7677" w:rsidRDefault="009D7677" w:rsidP="009D7677">
      <w:pPr>
        <w:pStyle w:val="TextoNormal"/>
      </w:pPr>
      <w:r>
        <w:t>“Artículo 14. Interrupción del embarazo dentro de las primeras catorce semanas de gestación</w:t>
      </w:r>
    </w:p>
    <w:p w14:paraId="7BB0CA82" w14:textId="77777777" w:rsidR="009D7677" w:rsidRDefault="009D7677" w:rsidP="009D7677">
      <w:pPr>
        <w:pStyle w:val="TextoNormal"/>
      </w:pPr>
    </w:p>
    <w:p w14:paraId="2A3A2C05" w14:textId="77777777" w:rsidR="009D7677" w:rsidRDefault="009D7677" w:rsidP="009D7677">
      <w:pPr>
        <w:pStyle w:val="TextoNormal"/>
      </w:pPr>
      <w:r>
        <w:lastRenderedPageBreak/>
        <w:t>Podrá interrumpirse el embarazo dentro de las primeras catorce semanas de gestación a petición de la mujer embarazada”.</w:t>
      </w:r>
    </w:p>
    <w:p w14:paraId="5FC778CA" w14:textId="77777777" w:rsidR="009D7677" w:rsidRDefault="009D7677" w:rsidP="009D7677">
      <w:pPr>
        <w:pStyle w:val="TextoNormal"/>
      </w:pPr>
    </w:p>
    <w:p w14:paraId="6451A08B" w14:textId="77777777" w:rsidR="009D7677" w:rsidRDefault="009D7677" w:rsidP="009D7677">
      <w:pPr>
        <w:pStyle w:val="TextoNormal"/>
      </w:pPr>
      <w:r>
        <w:t xml:space="preserve">La disposición final primera, apartado segundo, suprime las letras a) y b) del apartado 1 del art. 145 </w:t>
      </w:r>
      <w:r w:rsidRPr="009D7677">
        <w:rPr>
          <w:i/>
        </w:rPr>
        <w:t>bis</w:t>
      </w:r>
      <w:r>
        <w:t xml:space="preserve"> del Código penal, que queda redactado como sigue:</w:t>
      </w:r>
    </w:p>
    <w:p w14:paraId="5FEA44B0" w14:textId="77777777" w:rsidR="009D7677" w:rsidRDefault="009D7677" w:rsidP="009D7677">
      <w:pPr>
        <w:pStyle w:val="TextoNormal"/>
      </w:pPr>
    </w:p>
    <w:p w14:paraId="4CBE3D8A" w14:textId="77777777" w:rsidR="009D7677" w:rsidRDefault="009D7677" w:rsidP="009D7677">
      <w:pPr>
        <w:pStyle w:val="TextoNormal"/>
      </w:pPr>
      <w:r>
        <w:t>“Artículo 14</w:t>
      </w:r>
      <w:r w:rsidRPr="009D7677">
        <w:rPr>
          <w:i/>
        </w:rPr>
        <w:t>5 b</w:t>
      </w:r>
      <w:r>
        <w:t>is</w:t>
      </w:r>
    </w:p>
    <w:p w14:paraId="272779C3" w14:textId="77777777" w:rsidR="009D7677" w:rsidRDefault="009D7677" w:rsidP="009D7677">
      <w:pPr>
        <w:pStyle w:val="TextoNormal"/>
      </w:pPr>
    </w:p>
    <w:p w14:paraId="51123C0B" w14:textId="77777777" w:rsidR="009D7677" w:rsidRDefault="009D7677" w:rsidP="009D7677">
      <w:pPr>
        <w:pStyle w:val="TextoNormal"/>
      </w:pPr>
      <w:r>
        <w:t>1. Será castigado con la pena de multa de seis a doce meses e inhabilitación especial para prestar servicios de toda índole en clínicas, establecimientos o consultorios ginecológicos, públicos o privados, por tiempo de seis meses a dos años, el que dentro de los casos contemplados en la ley, practique un aborto:</w:t>
      </w:r>
    </w:p>
    <w:p w14:paraId="79A5AE5E" w14:textId="77777777" w:rsidR="009D7677" w:rsidRDefault="009D7677" w:rsidP="009D7677">
      <w:pPr>
        <w:pStyle w:val="TextoNormal"/>
      </w:pPr>
    </w:p>
    <w:p w14:paraId="1BF27636" w14:textId="77777777" w:rsidR="009D7677" w:rsidRDefault="009D7677" w:rsidP="009D7677">
      <w:pPr>
        <w:pStyle w:val="TextoNormal"/>
      </w:pPr>
      <w:r>
        <w:t>a) Sin contar con los dictámenes previos preceptivos;</w:t>
      </w:r>
    </w:p>
    <w:p w14:paraId="068FD4A0" w14:textId="77777777" w:rsidR="009D7677" w:rsidRDefault="009D7677" w:rsidP="009D7677">
      <w:pPr>
        <w:pStyle w:val="TextoNormal"/>
      </w:pPr>
    </w:p>
    <w:p w14:paraId="6A29230A" w14:textId="77777777" w:rsidR="009D7677" w:rsidRDefault="009D7677" w:rsidP="009D7677">
      <w:pPr>
        <w:pStyle w:val="TextoNormal"/>
      </w:pPr>
      <w:r>
        <w:t>b) Fuera de un centro o establecimiento público o privado acreditado. En este caso, el juez podrá imponer la pena en su mitad superior.</w:t>
      </w:r>
    </w:p>
    <w:p w14:paraId="6A4F39DB" w14:textId="77777777" w:rsidR="009D7677" w:rsidRDefault="009D7677" w:rsidP="009D7677">
      <w:pPr>
        <w:pStyle w:val="TextoNormal"/>
      </w:pPr>
    </w:p>
    <w:p w14:paraId="65642CBE" w14:textId="77777777" w:rsidR="009D7677" w:rsidRDefault="009D7677" w:rsidP="009D7677">
      <w:pPr>
        <w:pStyle w:val="TextoNormal"/>
      </w:pPr>
      <w:r>
        <w:t>2. En todo caso, el juez o tribunal impondrá las penas previstas en este artículo en su mitad superior cuando el aborto se haya practicado a partir de la vigésimo segunda semana de gestación.</w:t>
      </w:r>
    </w:p>
    <w:p w14:paraId="016ACFD9" w14:textId="77777777" w:rsidR="009D7677" w:rsidRDefault="009D7677" w:rsidP="009D7677">
      <w:pPr>
        <w:pStyle w:val="TextoNormal"/>
      </w:pPr>
    </w:p>
    <w:p w14:paraId="17550098" w14:textId="77777777" w:rsidR="009D7677" w:rsidRDefault="009D7677" w:rsidP="009D7677">
      <w:pPr>
        <w:pStyle w:val="TextoNormal"/>
      </w:pPr>
      <w:r>
        <w:t>3. La embarazada no será penada a tenor de este precepto”.</w:t>
      </w:r>
    </w:p>
    <w:p w14:paraId="4F42808F" w14:textId="77777777" w:rsidR="009D7677" w:rsidRDefault="009D7677" w:rsidP="009D7677">
      <w:pPr>
        <w:pStyle w:val="TextoNormal"/>
      </w:pPr>
    </w:p>
    <w:p w14:paraId="1C40BB0A" w14:textId="77777777" w:rsidR="009D7677" w:rsidRDefault="009D7677" w:rsidP="009D7677">
      <w:pPr>
        <w:pStyle w:val="TextoNormal"/>
      </w:pPr>
      <w:r>
        <w:t>El apartado décimo cuarto da una nueva redacción al art. 17 de la Ley Orgánica 2/2010, que establece:</w:t>
      </w:r>
    </w:p>
    <w:p w14:paraId="0951367A" w14:textId="77777777" w:rsidR="009D7677" w:rsidRDefault="009D7677" w:rsidP="009D7677">
      <w:pPr>
        <w:pStyle w:val="TextoNormal"/>
      </w:pPr>
    </w:p>
    <w:p w14:paraId="1D8C8194" w14:textId="77777777" w:rsidR="009D7677" w:rsidRDefault="009D7677" w:rsidP="009D7677">
      <w:pPr>
        <w:pStyle w:val="TextoNormal"/>
      </w:pPr>
      <w:r>
        <w:t>“Artículo 17. Información vinculada a la interrupción voluntaria del embarazo</w:t>
      </w:r>
    </w:p>
    <w:p w14:paraId="53654ECC" w14:textId="77777777" w:rsidR="009D7677" w:rsidRDefault="009D7677" w:rsidP="009D7677">
      <w:pPr>
        <w:pStyle w:val="TextoNormal"/>
      </w:pPr>
    </w:p>
    <w:p w14:paraId="6CAD901C" w14:textId="77777777" w:rsidR="009D7677" w:rsidRDefault="009D7677" w:rsidP="009D7677">
      <w:pPr>
        <w:pStyle w:val="TextoNormal"/>
      </w:pPr>
      <w:r>
        <w:t>1. Todas las mujeres que manifiesten su intención de someterse a una interrupción voluntaria del embarazo recibirán información del personal sanitario sobre los distintos métodos de interrupción del embarazo, quirúrgico y farmacológico, las condiciones para la interrupción previstas en esta ley orgánica, los centros públicos y acreditados a los que se podrán dirigir y los trámites para acceder a la prestación, así como las condiciones para su cobertura por el servicio público de salud correspondiente.</w:t>
      </w:r>
    </w:p>
    <w:p w14:paraId="614BE8FA" w14:textId="77777777" w:rsidR="009D7677" w:rsidRDefault="009D7677" w:rsidP="009D7677">
      <w:pPr>
        <w:pStyle w:val="TextoNormal"/>
      </w:pPr>
    </w:p>
    <w:p w14:paraId="32D562ED" w14:textId="77777777" w:rsidR="009D7677" w:rsidRDefault="009D7677" w:rsidP="009D7677">
      <w:pPr>
        <w:pStyle w:val="TextoNormal"/>
      </w:pPr>
      <w:r>
        <w:t>En el caso de procederse a la interrupción voluntaria del embarazo después de las catorce semanas de gestación por causas médicas, deberá facilitarse toda la información sobre los distintos procedimientos posibles para permitir que la mujer escoja la opción más adecuada para su caso.</w:t>
      </w:r>
    </w:p>
    <w:p w14:paraId="398E8E35" w14:textId="77777777" w:rsidR="009D7677" w:rsidRDefault="009D7677" w:rsidP="009D7677">
      <w:pPr>
        <w:pStyle w:val="TextoNormal"/>
      </w:pPr>
    </w:p>
    <w:p w14:paraId="4BDCFC1E" w14:textId="77777777" w:rsidR="009D7677" w:rsidRDefault="009D7677" w:rsidP="009D7677">
      <w:pPr>
        <w:pStyle w:val="TextoNormal"/>
      </w:pPr>
      <w:r>
        <w:t>2. En los casos en que las mujeres así lo requieran, y nunca como requisito para acceder a la prestación del servicio, podrán recibir información sobre una o varias de las siguientes cuestiones:</w:t>
      </w:r>
    </w:p>
    <w:p w14:paraId="3BD23254" w14:textId="77777777" w:rsidR="009D7677" w:rsidRDefault="009D7677" w:rsidP="009D7677">
      <w:pPr>
        <w:pStyle w:val="TextoNormal"/>
      </w:pPr>
    </w:p>
    <w:p w14:paraId="2C844268" w14:textId="77777777" w:rsidR="009D7677" w:rsidRDefault="009D7677" w:rsidP="009D7677">
      <w:pPr>
        <w:pStyle w:val="TextoNormal"/>
      </w:pPr>
      <w:r>
        <w:t>a) Datos sobre los centros disponibles para recibir información adecuada sobre anticoncepción y sexo seguro.</w:t>
      </w:r>
    </w:p>
    <w:p w14:paraId="03624BFD" w14:textId="77777777" w:rsidR="009D7677" w:rsidRDefault="009D7677" w:rsidP="009D7677">
      <w:pPr>
        <w:pStyle w:val="TextoNormal"/>
      </w:pPr>
    </w:p>
    <w:p w14:paraId="42336A14" w14:textId="77777777" w:rsidR="009D7677" w:rsidRDefault="009D7677" w:rsidP="009D7677">
      <w:pPr>
        <w:pStyle w:val="TextoNormal"/>
      </w:pPr>
      <w:r>
        <w:lastRenderedPageBreak/>
        <w:t>b) Datos sobre los centros que ofrecen asesoramiento antes y después de la interrupción del embarazo.</w:t>
      </w:r>
    </w:p>
    <w:p w14:paraId="502486EB" w14:textId="77777777" w:rsidR="009D7677" w:rsidRDefault="009D7677" w:rsidP="009D7677">
      <w:pPr>
        <w:pStyle w:val="TextoNormal"/>
      </w:pPr>
    </w:p>
    <w:p w14:paraId="7DCB93D8" w14:textId="77777777" w:rsidR="009D7677" w:rsidRDefault="009D7677" w:rsidP="009D7677">
      <w:pPr>
        <w:pStyle w:val="TextoNormal"/>
      </w:pPr>
      <w:r>
        <w:t>c) Las ayudas públicas disponibles para las mujeres embarazadas y la cobertura sanitaria durante el embarazo y el parto.</w:t>
      </w:r>
    </w:p>
    <w:p w14:paraId="72245E20" w14:textId="77777777" w:rsidR="009D7677" w:rsidRDefault="009D7677" w:rsidP="009D7677">
      <w:pPr>
        <w:pStyle w:val="TextoNormal"/>
      </w:pPr>
    </w:p>
    <w:p w14:paraId="17D7D1F0" w14:textId="77777777" w:rsidR="009D7677" w:rsidRDefault="009D7677" w:rsidP="009D7677">
      <w:pPr>
        <w:pStyle w:val="TextoNormal"/>
      </w:pPr>
      <w:r>
        <w:t>d) Los derechos laborales vinculados al embarazo y a la maternidad; las prestaciones y ayudas públicas para el cuidado y atención de los hijos; los beneficios fiscales y demás información relevante sobre incentivos y ayudas al nacimiento.</w:t>
      </w:r>
    </w:p>
    <w:p w14:paraId="3137CD49" w14:textId="77777777" w:rsidR="009D7677" w:rsidRDefault="009D7677" w:rsidP="009D7677">
      <w:pPr>
        <w:pStyle w:val="TextoNormal"/>
      </w:pPr>
    </w:p>
    <w:p w14:paraId="40F5EFEE" w14:textId="77777777" w:rsidR="009D7677" w:rsidRDefault="009D7677" w:rsidP="009D7677">
      <w:pPr>
        <w:pStyle w:val="TextoNormal"/>
      </w:pPr>
      <w:r>
        <w:t>La elaboración, contenidos y formato de esta información será determinada reglamentariamente por el Gobierno, prestando especial atención a las necesidades surgidas de las situaciones de extranjería.</w:t>
      </w:r>
    </w:p>
    <w:p w14:paraId="13772FAA" w14:textId="77777777" w:rsidR="009D7677" w:rsidRDefault="009D7677" w:rsidP="009D7677">
      <w:pPr>
        <w:pStyle w:val="TextoNormal"/>
      </w:pPr>
    </w:p>
    <w:p w14:paraId="3E8B7050" w14:textId="77777777" w:rsidR="009D7677" w:rsidRDefault="009D7677" w:rsidP="009D7677">
      <w:pPr>
        <w:pStyle w:val="TextoNormal"/>
      </w:pPr>
      <w:r>
        <w:t>3. En el supuesto de interrupción del embarazo previsto en el artículo 15 b), la mujer que así lo requiera expresamente, si bien nunca como requisito para acceder a la prestación del servicio, podrá recibir información sobre los derechos, prestaciones y ayudas públicas existentes relativas al apoyo a la autonomía de las personas con alguna discapacidad, así como la red de organizaciones sociales de asistencia social a estas personas.</w:t>
      </w:r>
    </w:p>
    <w:p w14:paraId="4026FD76" w14:textId="77777777" w:rsidR="009D7677" w:rsidRDefault="009D7677" w:rsidP="009D7677">
      <w:pPr>
        <w:pStyle w:val="TextoNormal"/>
      </w:pPr>
    </w:p>
    <w:p w14:paraId="2A6A39A9" w14:textId="77777777" w:rsidR="009D7677" w:rsidRDefault="009D7677" w:rsidP="009D7677">
      <w:pPr>
        <w:pStyle w:val="TextoNormal"/>
      </w:pPr>
      <w:r>
        <w:t>4. En todos los supuestos, y con carácter previo a la prestación del consentimiento, se habrá de informar a la mujer embarazada en los términos de los artículos 4 y 10 de la Ley 41/2002, de 14 de noviembre, básica reguladora de la autonomía del paciente y de derechos y obligaciones en materia de información y documentación clínica y específicamente sobre la naturaleza de cada intervención, sus riesgos y sus consecuencias.</w:t>
      </w:r>
    </w:p>
    <w:p w14:paraId="5DF3A4F5" w14:textId="77777777" w:rsidR="009D7677" w:rsidRDefault="009D7677" w:rsidP="009D7677">
      <w:pPr>
        <w:pStyle w:val="TextoNormal"/>
      </w:pPr>
    </w:p>
    <w:p w14:paraId="7BA33D96" w14:textId="77777777" w:rsidR="009D7677" w:rsidRDefault="009D7677" w:rsidP="009D7677">
      <w:pPr>
        <w:pStyle w:val="TextoNormal"/>
      </w:pPr>
      <w:r>
        <w:t>5. La información prevista en este artículo será clara, objetiva y comprensible. En el caso de las personas con discapacidad, se proporcionará en formatos y medios accesibles, adecuados a sus necesidades y las mujeres extranjeras que no hablen castellano serán asistidas por intérprete. En aquellas comunidades autónomas en las que haya lenguas oficiales, esta atención será dispensada en cualquiera de ellas, si así lo solicitare la mujer.</w:t>
      </w:r>
    </w:p>
    <w:p w14:paraId="53C287C6" w14:textId="77777777" w:rsidR="009D7677" w:rsidRDefault="009D7677" w:rsidP="009D7677">
      <w:pPr>
        <w:pStyle w:val="TextoNormal"/>
      </w:pPr>
    </w:p>
    <w:p w14:paraId="10E96AD4" w14:textId="77777777" w:rsidR="009D7677" w:rsidRDefault="009D7677" w:rsidP="009D7677">
      <w:pPr>
        <w:pStyle w:val="TextoNormal"/>
      </w:pPr>
      <w:r>
        <w:t>Se hará saber a la mujer embarazada que dicha información podrá ser ofrecida, además, verbalmente, siempre que así se solicite. Cuando la información sea ofrecida de forma verbal, se circunscribirá siempre a los contenidos desarrollados reglamentariamente por el Gobierno”.</w:t>
      </w:r>
    </w:p>
    <w:p w14:paraId="438F519A" w14:textId="77777777" w:rsidR="009D7677" w:rsidRDefault="009D7677" w:rsidP="009D7677">
      <w:pPr>
        <w:pStyle w:val="TextoNormal"/>
      </w:pPr>
    </w:p>
    <w:p w14:paraId="1FD7D462" w14:textId="77777777" w:rsidR="009D7677" w:rsidRDefault="009D7677" w:rsidP="009D7677">
      <w:pPr>
        <w:pStyle w:val="TextoNormal"/>
      </w:pPr>
      <w:r>
        <w:t xml:space="preserve">El art. 14 </w:t>
      </w:r>
      <w:r w:rsidRPr="009D7677">
        <w:rPr>
          <w:i/>
        </w:rPr>
        <w:t>bis</w:t>
      </w:r>
      <w:r>
        <w:t xml:space="preserve"> de la Ley Orgánica 2/2010 se impugna por haberse suprimido dos de los requisitos que establecía en su redacción originaria, consistentes en que se hubiera informado a la mujer embarazada sobre los derechos, prestaciones y ayudas públicas de apoyo a la maternidad y que hubiera transcurrido un plazo de al menos tres días entre dicha información y la realización de la intervención. Por el mismo motivo, se impugna la nueva redacción dada al art. 145 </w:t>
      </w:r>
      <w:r w:rsidRPr="009D7677">
        <w:rPr>
          <w:i/>
        </w:rPr>
        <w:t>bis</w:t>
      </w:r>
      <w:r>
        <w:t>.1 del Código penal, al haberse suprimido del mismo, en lógica coherencia, tales requisitos como elementos del tipo del delito de aborto consentido. En íntima conexión con lo anterior, el recurso también se dirige contra los apartados segundo, tercero y quinto, segundo párrafo, del art. 17 de la Ley Orgánica 2/2010, que abordan la regulación relativa a la “información vinculada a la interrupción voluntaria del embarazo”.</w:t>
      </w:r>
    </w:p>
    <w:p w14:paraId="082CE1C3" w14:textId="77777777" w:rsidR="009D7677" w:rsidRDefault="009D7677" w:rsidP="009D7677">
      <w:pPr>
        <w:pStyle w:val="TextoNormal"/>
      </w:pPr>
    </w:p>
    <w:p w14:paraId="1DAFC5DE" w14:textId="77777777" w:rsidR="009D7677" w:rsidRDefault="009D7677" w:rsidP="009D7677">
      <w:pPr>
        <w:pStyle w:val="TextoNormal"/>
      </w:pPr>
      <w:r>
        <w:t>Dada la estrecha conexión existente entre los preceptos recurridos y los motivos por los que son objeto de impugnación, este tribunal estima procedente su examen conjunto.</w:t>
      </w:r>
    </w:p>
    <w:p w14:paraId="606B4FBB" w14:textId="77777777" w:rsidR="009D7677" w:rsidRDefault="009D7677" w:rsidP="009D7677">
      <w:pPr>
        <w:pStyle w:val="TextoNormal"/>
      </w:pPr>
    </w:p>
    <w:p w14:paraId="68057CFD" w14:textId="77777777" w:rsidR="009D7677" w:rsidRDefault="009D7677" w:rsidP="009D7677">
      <w:pPr>
        <w:pStyle w:val="TextoNormal"/>
      </w:pPr>
      <w:r>
        <w:t>B) Posiciones de las partes</w:t>
      </w:r>
    </w:p>
    <w:p w14:paraId="4612C022" w14:textId="77777777" w:rsidR="009D7677" w:rsidRDefault="009D7677" w:rsidP="009D7677">
      <w:pPr>
        <w:pStyle w:val="TextoNormal"/>
      </w:pPr>
    </w:p>
    <w:p w14:paraId="2D1F441C" w14:textId="77777777" w:rsidR="009D7677" w:rsidRDefault="009D7677" w:rsidP="009D7677">
      <w:pPr>
        <w:pStyle w:val="TextoNormal"/>
      </w:pPr>
      <w:r>
        <w:t xml:space="preserve">a) Los diputados recurrentes denuncian la vulneración de los arts. 9.3 CE (interdicción de la arbitrariedad de los poderes públicos), 15 CE (protección de la vida humana del </w:t>
      </w:r>
      <w:r w:rsidRPr="009D7677">
        <w:rPr>
          <w:i/>
        </w:rPr>
        <w:t>nasciturus</w:t>
      </w:r>
      <w:r>
        <w:t>) y 39.2 CE (protección de las madres) en relación con la supresión por parte del legislador de dos requisitos previstos originalmente en la Ley Orgánica 2/2010.</w:t>
      </w:r>
    </w:p>
    <w:p w14:paraId="36CCC481" w14:textId="77777777" w:rsidR="009D7677" w:rsidRDefault="009D7677" w:rsidP="009D7677">
      <w:pPr>
        <w:pStyle w:val="TextoNormal"/>
      </w:pPr>
    </w:p>
    <w:p w14:paraId="154ED9E9" w14:textId="77777777" w:rsidR="009D7677" w:rsidRDefault="009D7677" w:rsidP="009D7677">
      <w:pPr>
        <w:pStyle w:val="TextoNormal"/>
      </w:pPr>
      <w:r>
        <w:t xml:space="preserve">Sintéticamente, alegan que: (i) la supresión de la necesidad de que la mujer emita un consentimiento informado acerca de la decisión que afecta a la eliminación de una vida humana carece de explicación racional e incurre en arbitrariedad; (ii) que sin información no solo sobre los riesgos de la intervención, sino también de las alternativas a la interrupción voluntaria del embarazo, y sin dejar que esa información pueda ser contrastada y asimilada por la mujer embarazada durante un período de tiempo posterior, no existe un verdadero consentimiento informado y no se protege la vida del </w:t>
      </w:r>
      <w:r w:rsidRPr="009D7677">
        <w:rPr>
          <w:i/>
        </w:rPr>
        <w:t>nasciturus</w:t>
      </w:r>
      <w:r>
        <w:t>; (iii) que la supresión de la exigencia de informar a la mujer embarazada sobre determinadas cuestiones y del período de reflexión constituye un “activismo en favor del aborto”, contrario a lo dispuesto en el art. 39.2 CE; (iv) que la Ley Orgánica 1/2023 “desborda los límites establecidos y no se acomoda al marco establecido en la Constitución”, pues esta ley tiene como consecuencia la creación de un derecho de la mujer frente al derecho a la vida; (v) por último y, específicamente en relación con el art. 17.5, segundo párrafo, de la Ley Orgánica 2/2010 apuntan que debe considerarse inconstitucional que no se dé verbalmente la información de forma obligatoria, porque es la única posibilidad que asegura que la mujer ha podido conocerla.</w:t>
      </w:r>
    </w:p>
    <w:p w14:paraId="65879714" w14:textId="77777777" w:rsidR="009D7677" w:rsidRDefault="009D7677" w:rsidP="009D7677">
      <w:pPr>
        <w:pStyle w:val="TextoNormal"/>
      </w:pPr>
    </w:p>
    <w:p w14:paraId="34DA5A90" w14:textId="77777777" w:rsidR="009D7677" w:rsidRDefault="009D7677" w:rsidP="009D7677">
      <w:pPr>
        <w:pStyle w:val="TextoNormal"/>
      </w:pPr>
      <w:r>
        <w:t>b) El abogado del Estado se ha opuesto a tales alegaciones afirmando, en primer lugar, que el sistema de plazos establecido en la Ley Orgánica 2/2010 es conforme con el art. 15 CE, tal y como ya ha establecido la STC 44/2023.</w:t>
      </w:r>
    </w:p>
    <w:p w14:paraId="6DC83E75" w14:textId="77777777" w:rsidR="009D7677" w:rsidRDefault="009D7677" w:rsidP="009D7677">
      <w:pPr>
        <w:pStyle w:val="TextoNormal"/>
      </w:pPr>
    </w:p>
    <w:p w14:paraId="241039DA" w14:textId="77777777" w:rsidR="009D7677" w:rsidRDefault="009D7677" w:rsidP="009D7677">
      <w:pPr>
        <w:pStyle w:val="TextoNormal"/>
      </w:pPr>
      <w:r>
        <w:t>Afirma que el recurso parte de la premisa errónea de que los preceptos impugnados determinan que la mujer que desea acceder a la interrupción voluntaria del embarazo deja de tener la información necesaria para prestar su consentimiento informado. A su juicio, los arts. 14 y 17 de la Ley Orgánica 2/2010 deben ser interpretados conjuntamente, lo que conduce a la conclusión de que no se ha suprimido la obligación de recabar el consentimiento informado de la mujer embarazada con carácter previo a la interrupción voluntaria del embarazo, sino que se establece la aplicación en bloque de la Ley 41/2002 a esta intervención. De este modo, se mantiene el deber de trasladar a la mujer embarazada toda la información de relevancia médica, mientras que la información relativa a las prestaciones y ayudas públicas a la maternidad se le ofrece, pero no se le impone.</w:t>
      </w:r>
    </w:p>
    <w:p w14:paraId="0A952612" w14:textId="77777777" w:rsidR="009D7677" w:rsidRDefault="009D7677" w:rsidP="009D7677">
      <w:pPr>
        <w:pStyle w:val="TextoNormal"/>
      </w:pPr>
    </w:p>
    <w:p w14:paraId="2C3131F4" w14:textId="77777777" w:rsidR="009D7677" w:rsidRDefault="009D7677" w:rsidP="009D7677">
      <w:pPr>
        <w:pStyle w:val="TextoNormal"/>
      </w:pPr>
      <w:r>
        <w:t xml:space="preserve">Esta decisión queda, a juicio del abogado del Estado, dentro del margen de apreciación del legislador, y es conforme a la finalidad de la norma de eliminar toda traba adicional al acceso a la interrupción voluntaria del embarazo, por lo que no cabe calificarla como arbitraria. Cuestión distinta es que los recurrentes no estén de acuerdo con que la ley no exija que se le entregue obligatoriamente información con el objetivo de que “reconsidere” su </w:t>
      </w:r>
      <w:r>
        <w:lastRenderedPageBreak/>
        <w:t>decisión, pero ello no afecta a la formación del consentimiento informado, y es una discrepancia de trascendencia meramente moral, pero no jurídico-constitucional.</w:t>
      </w:r>
    </w:p>
    <w:p w14:paraId="63FD2277" w14:textId="77777777" w:rsidR="009D7677" w:rsidRDefault="009D7677" w:rsidP="009D7677">
      <w:pPr>
        <w:pStyle w:val="TextoNormal"/>
      </w:pPr>
    </w:p>
    <w:p w14:paraId="21D9A1B1" w14:textId="77777777" w:rsidR="009D7677" w:rsidRDefault="009D7677" w:rsidP="009D7677">
      <w:pPr>
        <w:pStyle w:val="TextoNormal"/>
      </w:pPr>
      <w:r>
        <w:t>La supresión de cargas adicionales, no contempladas en la Ley 41/2002, supone una opción legítima del legislador para que la mujer, debidamente informada sobre la naturaleza y consecuencias de la intervención, pueda acceder a la interrupción voluntaria del embarazo en debido tiempo, sin tener que recibir información que no se refiere estrictamente a la naturaleza y consecuencias de la intervención, sino al régimen de ayudas a la maternidad (que, en todo caso, puede solicitar) y sin tener que esperar tres días a pesar de estar ya plenamente decidida a que se le practique la interrupción voluntaria del embarazo que no desea.</w:t>
      </w:r>
    </w:p>
    <w:p w14:paraId="2ABF14E8" w14:textId="77777777" w:rsidR="009D7677" w:rsidRDefault="009D7677" w:rsidP="009D7677">
      <w:pPr>
        <w:pStyle w:val="TextoNormal"/>
      </w:pPr>
    </w:p>
    <w:p w14:paraId="0C249082" w14:textId="77777777" w:rsidR="009D7677" w:rsidRDefault="009D7677" w:rsidP="009D7677">
      <w:pPr>
        <w:pStyle w:val="TextoNormal"/>
      </w:pPr>
      <w:r>
        <w:t>En relación con la vulneración del art. 39.2 CE sostiene que carecen de razón los recurrentes cuando pretenden ver en dicho precepto constitucional un deber del Estado de “hacer un esfuerzo para que las mujeres embarazadas lleguen a dar a luz”.</w:t>
      </w:r>
    </w:p>
    <w:p w14:paraId="36FBCB2C" w14:textId="77777777" w:rsidR="009D7677" w:rsidRDefault="009D7677" w:rsidP="009D7677">
      <w:pPr>
        <w:pStyle w:val="TextoNormal"/>
      </w:pPr>
    </w:p>
    <w:p w14:paraId="44DB14CF" w14:textId="77777777" w:rsidR="009D7677" w:rsidRDefault="009D7677" w:rsidP="009D7677">
      <w:pPr>
        <w:pStyle w:val="TextoNormal"/>
      </w:pPr>
      <w:r>
        <w:t>En cuanto a la alternativa de que la mujer pueda optar entre que la información se le comunique por escrito o de forma verbal, se remite a la STC 44/2023, FJ 5, que desestimó una impugnación formulada en términos similares.</w:t>
      </w:r>
    </w:p>
    <w:p w14:paraId="34CB403B" w14:textId="77777777" w:rsidR="009D7677" w:rsidRDefault="009D7677" w:rsidP="009D7677">
      <w:pPr>
        <w:pStyle w:val="TextoNormal"/>
      </w:pPr>
    </w:p>
    <w:p w14:paraId="6B47C548" w14:textId="77777777" w:rsidR="009D7677" w:rsidRDefault="009D7677" w:rsidP="009D7677">
      <w:pPr>
        <w:pStyle w:val="TextoNormal"/>
      </w:pPr>
      <w:r>
        <w:t>C) Enjuiciamiento</w:t>
      </w:r>
    </w:p>
    <w:p w14:paraId="2B524385" w14:textId="77777777" w:rsidR="009D7677" w:rsidRDefault="009D7677" w:rsidP="009D7677">
      <w:pPr>
        <w:pStyle w:val="TextoNormal"/>
      </w:pPr>
    </w:p>
    <w:p w14:paraId="46F054B0" w14:textId="77777777" w:rsidR="009D7677" w:rsidRDefault="009D7677" w:rsidP="009D7677">
      <w:pPr>
        <w:pStyle w:val="TextoNormal"/>
      </w:pPr>
      <w:r>
        <w:t>a) Vistos los términos en los que ha sido planteada la controversia, y con carácter previo al examen de las cuestiones constitucionales a tratar, resulta preciso exponer los elementos esenciales de la regulación objeto de impugnación en este punto.</w:t>
      </w:r>
    </w:p>
    <w:p w14:paraId="168DD8DE" w14:textId="77777777" w:rsidR="009D7677" w:rsidRDefault="009D7677" w:rsidP="009D7677">
      <w:pPr>
        <w:pStyle w:val="TextoNormal"/>
      </w:pPr>
    </w:p>
    <w:p w14:paraId="6C54BED7" w14:textId="77777777" w:rsidR="009D7677" w:rsidRDefault="009D7677" w:rsidP="009D7677">
      <w:pPr>
        <w:pStyle w:val="TextoNormal"/>
      </w:pPr>
      <w:r>
        <w:t>Como ya se ha dicho, la Ley Orgánica 1/2023 explica en su preámbulo que tiene por objeto la revisión y adaptación de la Ley Orgánica 2/2010, más de doce años después de su aprobación, consolidando el sistema de plazos instaurado por la Ley Orgánica 2/2010, introduciendo las “modificaciones necesarias para garantizar la vigencia efectiva de los derechos sexuales y reproductivos de las mujeres”.</w:t>
      </w:r>
    </w:p>
    <w:p w14:paraId="0FDF02E2" w14:textId="77777777" w:rsidR="009D7677" w:rsidRDefault="009D7677" w:rsidP="009D7677">
      <w:pPr>
        <w:pStyle w:val="TextoNormal"/>
      </w:pPr>
    </w:p>
    <w:p w14:paraId="7D4C9C8B" w14:textId="77777777" w:rsidR="009D7677" w:rsidRDefault="009D7677" w:rsidP="009D7677">
      <w:pPr>
        <w:pStyle w:val="TextoNormal"/>
      </w:pPr>
      <w:r>
        <w:t>Descendiendo de lo general a lo particular y centrándonos específicamente en los requisitos para la práctica de la interrupción voluntaria del embarazo, el art. 13 de la Ley Orgánica 2/2010 —que también ha recibido una nueva redacción por la Ley Orgánica 1/2023 y que no ha sido objeto de impugnación— regula los requisitos comunes a todos los supuestos de interrupción previstos en la ley. Dentro de estos, en lo que aquí interesa, el art. 13 c) exige “[q]ue se realice con el consentimiento expreso informado y por escrito de la mujer embarazada o, en su caso, del representante legal, de conformidad con lo establecido en la Ley 41/2002, de 14 de noviembre, básica reguladora de la autonomía del paciente y de derechos y obligaciones en materia de información y documentación clínica”. Frente a lo que afirman los recurrentes, la ley no “suprime la necesidad de que la mujer emita un consentimiento informado”, sino que mantiene dicha exigencia en los mismos términos en que está establecida para el resto de intervenciones médicas con carácter general. Por lo tanto, la cuestión a analizar no es ni puede ser, si se exige que la interrupción del embarazo sea consentida, que en todo caso ha de serlo, sino la información no médica que ha de facilitarse a la mujer embarazada con carácter previo a la intervención. Es aquí donde se encuentra el núcleo de la controversia constitucional.</w:t>
      </w:r>
    </w:p>
    <w:p w14:paraId="4EA9B6E1" w14:textId="77777777" w:rsidR="009D7677" w:rsidRDefault="009D7677" w:rsidP="009D7677">
      <w:pPr>
        <w:pStyle w:val="TextoNormal"/>
      </w:pPr>
    </w:p>
    <w:p w14:paraId="7B627E60" w14:textId="77777777" w:rsidR="009D7677" w:rsidRDefault="009D7677" w:rsidP="009D7677">
      <w:pPr>
        <w:pStyle w:val="TextoNormal"/>
      </w:pPr>
      <w:r>
        <w:t xml:space="preserve">Como declara el preámbulo de la Ley Orgánica 1/2023, en el art. 14, sobre la interrupción del embarazo durante las primeras catorce semanas de gestación, “se eliminan los requisitos de que se haya informado a la mujer embarazada sobre los derechos, prestaciones y ayudas públicas de apoyo a la maternidad y de que haya transcurrido un plazo de reflexión de tres días”. Y, en ese mismo sentido, “se modifica el artículo 17, sobre información vinculada a la interrupción voluntaria del embarazo, para que, más allá de la información de carácter sanitario vinculada a la interrupción del embarazo, las mujeres solo reciban información adicional, como la derivada sobre ayudas a la maternidad, si así lo requieren, y nunca como requisito para acceder a la prestación del servicio”. Por último, en coherencia con estas modificaciones, se modifica el art. 145 </w:t>
      </w:r>
      <w:r w:rsidRPr="009D7677">
        <w:rPr>
          <w:i/>
        </w:rPr>
        <w:t>bis</w:t>
      </w:r>
      <w:r>
        <w:t xml:space="preserve"> CP para “eliminar la tipificación como delito del hecho de practicar un aborto sin remisión de la información previa relativa a los derechos, prestaciones y ayudas públicas de apoyo a la maternidad o sin haber transcurrido el período de espera, dado que estos requisitos se eliminan de la norma especial”.</w:t>
      </w:r>
    </w:p>
    <w:p w14:paraId="1FBEE29E" w14:textId="77777777" w:rsidR="009D7677" w:rsidRDefault="009D7677" w:rsidP="009D7677">
      <w:pPr>
        <w:pStyle w:val="TextoNormal"/>
      </w:pPr>
    </w:p>
    <w:p w14:paraId="799E97B9" w14:textId="77777777" w:rsidR="009D7677" w:rsidRDefault="009D7677" w:rsidP="009D7677">
      <w:pPr>
        <w:pStyle w:val="TextoNormal"/>
      </w:pPr>
      <w:r>
        <w:t>En consecuencia, tras la reforma operada por la Ley Orgánica 1/2023, la regulación de la “información vinculada a la interrupción voluntaria del embarazo” distingue dos grandes categorías: (i) de un lado, la información médica que constituye requisito necesario para que la intervención pueda llevarse a cabo; y (ii) de otro lado, la información adicional que se pone a disposición de las mujeres que así lo soliciten y cuya entrega no constituye en ningún caso un requisito para acceder a la prestación del servicio.</w:t>
      </w:r>
    </w:p>
    <w:p w14:paraId="3F941AF2" w14:textId="77777777" w:rsidR="009D7677" w:rsidRDefault="009D7677" w:rsidP="009D7677">
      <w:pPr>
        <w:pStyle w:val="TextoNormal"/>
      </w:pPr>
    </w:p>
    <w:p w14:paraId="7CF2358D" w14:textId="77777777" w:rsidR="009D7677" w:rsidRDefault="009D7677" w:rsidP="009D7677">
      <w:pPr>
        <w:pStyle w:val="TextoNormal"/>
      </w:pPr>
      <w:r>
        <w:t>Dentro del primer grupo, se incluye la información de carácter estrictamente médico, que comprende: (i) la información sobre “los distintos métodos de interrupción del embarazo, quirúrgico y farmacológico, las condiciones para la interrupción previstas en esta ley orgánica, los centros públicos y acreditados a los que se podrán dirigir y los trámites para acceder a la prestación, así como las condiciones para su cobertura por el servicio público de salud correspondiente” y, en los casos de interrupción del embarazo después de las primeras catorce semanas de gestación, también la información sobre “los distintos procedimientos posibles para permitir que la mujer escoja la opción más adecuada para su caso” (art. 17.1); y (ii) la información sobre “la naturaleza de la intervención, sus riesgos y consecuencias”, en los términos establecidos en los arts. 4 y 10 de la Ley 41/2002 (art. 17.4). Se desprende de lo expuesto que la información obligatoria establecida como requisito para la interrupción voluntaria del embarazo va más allá de la que comprende, con carácter general, el régimen de consentimiento informado de las intervenciones médicas, incorporando cuestiones específicas que tienen en consideración las particularidades de la prestación de la interrupción voluntaria del embarazo.</w:t>
      </w:r>
    </w:p>
    <w:p w14:paraId="7C9EEDF6" w14:textId="77777777" w:rsidR="009D7677" w:rsidRDefault="009D7677" w:rsidP="009D7677">
      <w:pPr>
        <w:pStyle w:val="TextoNormal"/>
      </w:pPr>
    </w:p>
    <w:p w14:paraId="1A5EC4DD" w14:textId="77777777" w:rsidR="009D7677" w:rsidRDefault="009D7677" w:rsidP="009D7677">
      <w:pPr>
        <w:pStyle w:val="TextoNormal"/>
      </w:pPr>
      <w:r>
        <w:t xml:space="preserve">Por su parte, dentro de la información adicional no obligatoria que queda a disposición de las mujeres que lo soliciten se incluyen: (i) los datos sobre los centros disponibles para recibir información adecuada sobre anticoncepción y sexo seguro [art. 17.2 a)]; (ii) los datos sobre los centros que ofrecen asesoramiento antes y después de la interrupción del embarazo [art. 17.2 b)]; (iii) las ayudas públicas disponibles para las mujeres embarazadas y la cobertura sanitaria durante el embarazo y el parto [art. 17.2 c)]; (iv) los derechos laborales vinculados al embarazo y a la maternidad, las prestaciones y ayudas públicas para el cuidado y atención de los hijos, los beneficios fiscales y demás información relevante sobre incentivos y ayudas al nacimiento [art. 17.2 d)]; y (v) en los supuestos de interrupción </w:t>
      </w:r>
      <w:r>
        <w:lastRenderedPageBreak/>
        <w:t>del embarazo dentro de las veintidós primeras semanas de gestación en los que se acredite la existencia de riesgo de graves anomalías en el feto, además la información “sobre los derechos, prestaciones y ayudas públicas existentes relativas al apoyo a la autonomía de las personas con alguna discapacidad, así como la red de organizaciones sociales de asistencia social a estas personas” (art. 17.3).</w:t>
      </w:r>
    </w:p>
    <w:p w14:paraId="327D32A5" w14:textId="77777777" w:rsidR="009D7677" w:rsidRDefault="009D7677" w:rsidP="009D7677">
      <w:pPr>
        <w:pStyle w:val="TextoNormal"/>
      </w:pPr>
    </w:p>
    <w:p w14:paraId="6C18B07B" w14:textId="77777777" w:rsidR="009D7677" w:rsidRDefault="009D7677" w:rsidP="009D7677">
      <w:pPr>
        <w:pStyle w:val="TextoNormal"/>
      </w:pPr>
      <w:r>
        <w:t>Expuesta en términos generales la normativa recurrida, puede ya abordarse el examen de los concretos motivos de inconstitucionalidad alegados.</w:t>
      </w:r>
    </w:p>
    <w:p w14:paraId="0718150C" w14:textId="77777777" w:rsidR="009D7677" w:rsidRDefault="009D7677" w:rsidP="009D7677">
      <w:pPr>
        <w:pStyle w:val="TextoNormal"/>
      </w:pPr>
    </w:p>
    <w:p w14:paraId="57862A7D" w14:textId="77777777" w:rsidR="009D7677" w:rsidRDefault="009D7677" w:rsidP="009D7677">
      <w:pPr>
        <w:pStyle w:val="TextoNormal"/>
      </w:pPr>
      <w:r>
        <w:t>b) En primer lugar, debe rechazarse que la regulación incurra en arbitrariedad, proscrita por el art. 9.3 CE. Partiendo de que, como ya se ha dicho, la calificación de arbitraria cuando se refiere a una ley exige cierta prudencia (STC 112/2021, de 13 de mayo, FJ 5, con cita de las SSTC 98/2018, de 19 de septiembre, FJ 5, y 149/2020, de 22 de octubre, FJ 6), y no puede considerarse que la normativa recurrida sea plenamente irrazonable o carezca de toda justificación racional.</w:t>
      </w:r>
    </w:p>
    <w:p w14:paraId="429611F2" w14:textId="77777777" w:rsidR="009D7677" w:rsidRDefault="009D7677" w:rsidP="009D7677">
      <w:pPr>
        <w:pStyle w:val="TextoNormal"/>
      </w:pPr>
    </w:p>
    <w:p w14:paraId="4CEC59D6" w14:textId="77777777" w:rsidR="009D7677" w:rsidRDefault="009D7677" w:rsidP="009D7677">
      <w:pPr>
        <w:pStyle w:val="TextoNormal"/>
      </w:pPr>
      <w:r>
        <w:t>Como ya se ha expuesto, el espíritu que preside la regulación de la interrupción voluntaria del embarazo, en la reforma operada por la Ley Orgánica 1/2023, está marcado por la finalidad de remover las trabas innecesarias que pueden afectar a la libre toma de decisiones de las mujeres en este ámbito. Dentro de los requisitos establecidos en la normativa original, tal y como explica la memoria de análisis de impacto normativo, se ha considerado que tanto la entrega, mediante sobre cerrado, de la información sobre los derechos, prestaciones y ayudas para la maternidad como el período de reflexión de tres días desde dicha entrega constituían obstáculos innecesarios que era necesario eliminar para lograr “el respeto de los derechos de las mujeres y la no infantilización de las mismas”. La supresión se justifica, como explica el abogado del Estado, por la necesidad de abandonar el enfoque según el cual la mujer que manifiesta su voluntad de interrumpir su embarazo no ha reflexionado lo suficiente o no es consciente de la decisión que ha tomado.</w:t>
      </w:r>
    </w:p>
    <w:p w14:paraId="7271C535" w14:textId="77777777" w:rsidR="009D7677" w:rsidRDefault="009D7677" w:rsidP="009D7677">
      <w:pPr>
        <w:pStyle w:val="TextoNormal"/>
      </w:pPr>
    </w:p>
    <w:p w14:paraId="728E7142" w14:textId="77777777" w:rsidR="009D7677" w:rsidRDefault="009D7677" w:rsidP="009D7677">
      <w:pPr>
        <w:pStyle w:val="TextoNormal"/>
      </w:pPr>
      <w:r>
        <w:t>Por lo demás, la norma persigue aproximar los requisitos de la interrupción voluntaria del embarazo a los que, con carácter general se exigen, para prestar el consentimiento informado respecto del resto de intervenciones médicas con arreglo a la Ley 41/2002, lo que tampoco puede merecer el calificativo de arbitrario.</w:t>
      </w:r>
    </w:p>
    <w:p w14:paraId="3F9D84C5" w14:textId="77777777" w:rsidR="009D7677" w:rsidRDefault="009D7677" w:rsidP="009D7677">
      <w:pPr>
        <w:pStyle w:val="TextoNormal"/>
      </w:pPr>
    </w:p>
    <w:p w14:paraId="79E093DA" w14:textId="77777777" w:rsidR="009D7677" w:rsidRDefault="009D7677" w:rsidP="009D7677">
      <w:pPr>
        <w:pStyle w:val="TextoNormal"/>
      </w:pPr>
      <w:r>
        <w:t xml:space="preserve">c) Debe también desestimarse, por reiterativa, la alegación que postula que el sistema de plazos previsto en la Ley Orgánica 2/2010, y que la Ley Orgánica 1/2023 ha venido a consolidar, implica la desprotección del </w:t>
      </w:r>
      <w:r w:rsidRPr="009D7677">
        <w:rPr>
          <w:i/>
        </w:rPr>
        <w:t>nasciturus</w:t>
      </w:r>
      <w:r>
        <w:t xml:space="preserve"> en abierta contradicción con el art. 15 CE. Como se ha hecho constar en el fundamento jurídico 2 de esta sentencia, al que cabe ahora hacer remisión, en la STC 44/2023, FJ 4, este tribunal ya afirmó que “esta opción regulatoria es conforme con nuestro texto constitucional y con la doctrina de este tribunal, ya que satisface el deber estatal de protección de la vida prenatal —con medidas preventivas y sancionadoras, cuyo peso varía conforme avanza el proceso de gestación— y lo hace sin vulnerar los derechos de la mujer”.</w:t>
      </w:r>
    </w:p>
    <w:p w14:paraId="6C76EA3B" w14:textId="77777777" w:rsidR="009D7677" w:rsidRDefault="009D7677" w:rsidP="009D7677">
      <w:pPr>
        <w:pStyle w:val="TextoNormal"/>
      </w:pPr>
    </w:p>
    <w:p w14:paraId="781858AC" w14:textId="77777777" w:rsidR="009D7677" w:rsidRDefault="009D7677" w:rsidP="009D7677">
      <w:pPr>
        <w:pStyle w:val="TextoNormal"/>
      </w:pPr>
      <w:r>
        <w:t>d) Continuando con la denuncia de vulneración del art. 15 CE, debe ahora examinarse si la regulación contenida en los arts. 14 y 17.2 y 3 de la Ley 2/2010, en la redacción objeto de impugnación, garantiza el consentimiento informado de la mujer a la interrupción voluntaria del embarazo.</w:t>
      </w:r>
    </w:p>
    <w:p w14:paraId="265170B4" w14:textId="77777777" w:rsidR="009D7677" w:rsidRDefault="009D7677" w:rsidP="009D7677">
      <w:pPr>
        <w:pStyle w:val="TextoNormal"/>
      </w:pPr>
    </w:p>
    <w:p w14:paraId="696972AE" w14:textId="77777777" w:rsidR="009D7677" w:rsidRDefault="009D7677" w:rsidP="009D7677">
      <w:pPr>
        <w:pStyle w:val="TextoNormal"/>
      </w:pPr>
      <w:r>
        <w:t>(i) Es doctrina de este tribunal que «los derechos a la integridad física y moral del art. 15 CE incluyen un derecho de autodeterminación de la persona pues, además de “proteger la ‘incolumidad corporal’ (STC 207/1996, de 16 de diciembre, FJ 2), ‘han adquirido también una dimensión positiva en relación con el libre desarrollo de la personalidad’, orientada a su plena efectividad” (por todas, STC 37/2011, FJ 3). Por ello ha declarado este tribunal que el derecho a la integridad personal ampara, sin perjuicio de precisiones ahora irrelevantes, a quien de manera libre, informada y responsable rechaza someterse a unos u otros tratamientos médicos o sanitarios [SSTC 120/1990, FJ 8; 137/1990, FJ 6; 154/2002, FJ 9 b), y 37/2011, FFJJ 3 a 7], aun cuando esa decisión, tomada en uso de su autonomía de la voluntad, pudiera conducir a un resultado fatal (STC 37/2011, FJ 5)» [STC 19/2023, de 22 de marzo, FJ 6 C) d) (i)].</w:t>
      </w:r>
    </w:p>
    <w:p w14:paraId="6B0D571E" w14:textId="77777777" w:rsidR="009D7677" w:rsidRDefault="009D7677" w:rsidP="009D7677">
      <w:pPr>
        <w:pStyle w:val="TextoNormal"/>
      </w:pPr>
    </w:p>
    <w:p w14:paraId="367B08F0" w14:textId="77777777" w:rsidR="009D7677" w:rsidRDefault="009D7677" w:rsidP="009D7677">
      <w:pPr>
        <w:pStyle w:val="TextoNormal"/>
      </w:pPr>
      <w:r>
        <w:t>Como expusimos en la STC 37/2011, de 28 de marzo, “[e]l art. 15 CE no contiene una referencia expresa al consentimiento informado, lo que no implica que este instituto quede al margen de la previsión constitucional de protección de la integridad física y moral. […] Evidentemente, las actuaciones médicas llevan implícita una posibilidad de afección a la integridad personal protegida por el art. 15 CE, en la medida en que este tutela la inviolabilidad de la persona contra toda intervención en su cuerpo, de manera que es preciso arbitrar los mecanismos necesarios para garantizar la efectividad del derecho dentro de ese ámbito, cohonestándolo con la función y finalidad propias de la actividad médica. […] En lo que aquí interesa, esa garantía de la efectividad del derecho en el ámbito médico implica que cualquier actuación que afecte a la integridad personal, para resultar acorde con dicho derecho […] se ha de encontrar consentida por el sujeto titular del derecho o debe encontrarse constitucionalmente justificada. De ahí que el legislador deba establecer […] los mecanismos adecuados para la prestación del consentimiento del sujeto que se ha de ver sometido a una intervención médica” (FJ 4).</w:t>
      </w:r>
    </w:p>
    <w:p w14:paraId="4CE403A4" w14:textId="77777777" w:rsidR="009D7677" w:rsidRDefault="009D7677" w:rsidP="009D7677">
      <w:pPr>
        <w:pStyle w:val="TextoNormal"/>
      </w:pPr>
    </w:p>
    <w:p w14:paraId="25480981" w14:textId="77777777" w:rsidR="009D7677" w:rsidRDefault="009D7677" w:rsidP="009D7677">
      <w:pPr>
        <w:pStyle w:val="TextoNormal"/>
      </w:pPr>
      <w:r>
        <w:t>Continuamos diciendo que “el consentimiento del paciente a cualquier intervención sobre su persona es algo inherente, entre otros, a su derecho fundamental a la integridad física, a la facultad que este supone de impedir toda intervención no consentida sobre el propio cuerpo” y que “para que esa facultad de consentir, de decidir sobre los actos médicos que afectan al sujeto pueda ejercerse con plena libertad, es imprescindible que el paciente cuente con la información médica adecuada sobre las medidas terapéuticas, pues solo si dispone de dicha información podrá prestar libremente su consentimiento, eligiendo entre las opciones que se le presenten, o decidir, también con plena libertad, no autorizar los tratamientos o las intervenciones que se le propongan por los facultativos”, de modo que “la información previa, que ha dado lugar a lo que se ha venido en llamar consentimiento informado, puede ser considerada, pues, como un procedimiento o mecanismo de garantía para la efectividad del principio de autonomía de la voluntad del paciente y, por tanto, de los preceptos constitucionales que reconocen derechos fundamentales que pueden resultar concernidos por las actuaciones médicas, y, señaladamente, una consecuencia implícita y obligada de la garantía del derecho a la integridad física y moral” (FJ 5).</w:t>
      </w:r>
    </w:p>
    <w:p w14:paraId="65A1ABED" w14:textId="77777777" w:rsidR="009D7677" w:rsidRDefault="009D7677" w:rsidP="009D7677">
      <w:pPr>
        <w:pStyle w:val="TextoNormal"/>
      </w:pPr>
    </w:p>
    <w:p w14:paraId="4CE775EF" w14:textId="77777777" w:rsidR="009D7677" w:rsidRDefault="009D7677" w:rsidP="009D7677">
      <w:pPr>
        <w:pStyle w:val="TextoNormal"/>
      </w:pPr>
      <w:r>
        <w:t xml:space="preserve">Por su parte, el Tribunal Europeo de Derechos Humanos ha reconocido que el derecho de autodeterminación respecto de los tratamientos médicos forma parte del derecho al respeto de la vida privada enunciado en el art. 8.1 CEDH (por todas, SSTEDH de 29 de abril de 2002, asunto </w:t>
      </w:r>
      <w:r w:rsidRPr="009D7677">
        <w:rPr>
          <w:i/>
        </w:rPr>
        <w:t>Pretty c. Reino Unido</w:t>
      </w:r>
      <w:r>
        <w:t xml:space="preserve">, § 63 y 65, y de 5 de junio de 2015, asunto </w:t>
      </w:r>
      <w:r w:rsidRPr="009D7677">
        <w:rPr>
          <w:i/>
        </w:rPr>
        <w:t xml:space="preserve">Lambert </w:t>
      </w:r>
      <w:r w:rsidRPr="009D7677">
        <w:rPr>
          <w:i/>
        </w:rPr>
        <w:lastRenderedPageBreak/>
        <w:t>y otros c. Francia</w:t>
      </w:r>
      <w:r>
        <w:t>, § 142 y 180). En particular, por lo que aquí interesa, también ha afirmado que “un acceso efectivo a una información veraz sobre las condiciones para la disponibilidad de un aborto legal y los procedimientos a seguir es directamente relevante para el ejercicio de la autonomía personal” (STEDH de 30 de octubre de 2012</w:t>
      </w:r>
      <w:r w:rsidRPr="009D7677">
        <w:rPr>
          <w:i/>
        </w:rPr>
        <w:t>, P. y S., c. Polon</w:t>
      </w:r>
      <w:r>
        <w:t>ia, § 111).</w:t>
      </w:r>
    </w:p>
    <w:p w14:paraId="4134E110" w14:textId="77777777" w:rsidR="009D7677" w:rsidRDefault="009D7677" w:rsidP="009D7677">
      <w:pPr>
        <w:pStyle w:val="TextoNormal"/>
      </w:pPr>
    </w:p>
    <w:p w14:paraId="4D0D7CC3" w14:textId="77777777" w:rsidR="009D7677" w:rsidRDefault="009D7677" w:rsidP="009D7677">
      <w:pPr>
        <w:pStyle w:val="TextoNormal"/>
      </w:pPr>
      <w:r>
        <w:t>(ii) De la doctrina expuesta se desprende que el consentimiento respecto de injerencias corporales constituye una garantía inherente al derecho a la integridad física (art. 15 CE) y que para que dicho consentimiento pueda considerarse verdaderamente prestado de forma voluntaria, libre e informada, es preciso que el paciente cuente con información médica suficiente sobre la intervención a la que va a someterse.</w:t>
      </w:r>
    </w:p>
    <w:p w14:paraId="2E2A02CF" w14:textId="77777777" w:rsidR="009D7677" w:rsidRDefault="009D7677" w:rsidP="009D7677">
      <w:pPr>
        <w:pStyle w:val="TextoNormal"/>
      </w:pPr>
    </w:p>
    <w:p w14:paraId="78F14CC6" w14:textId="77777777" w:rsidR="009D7677" w:rsidRDefault="009D7677" w:rsidP="009D7677">
      <w:pPr>
        <w:pStyle w:val="TextoNormal"/>
      </w:pPr>
      <w:r>
        <w:t>El examen de los arts. 14 y 17 de la Ley Orgánica 2/2010, en la redacción impugnada dada por la Ley Orgánica 1/2023, evidencia que los mismos garantizan, como requisito indispensable para la válida práctica de la interrupción voluntaria del embarazo, que la mujer embarazada conozca toda la información de carácter médico relevante. Debe recalcarse que el legislador no solo se ha limitado a sujetar la interrupción voluntaria del embarazo a los requisitos de información previstos con carácter general en la Ley 41/2002, a que remite el art. 17.4, sino que ha contemplado requisitos de información más exhaustivos (art. 17.1), sin duda atendiendo a la extraordinaria trascendencia de esta decisión en particular. De esta manera, el sistema diseñado por los arts. 14 y 17 de la Ley Orgánica 2/2010 asegura que la mujer embarazada pueda adoptar su decisión con pleno conocimiento de causa y contando con toda la información relevante para comprender las implicaciones médicas que conlleva la intervención corporal que supone la interrupción voluntaria del embarazo.</w:t>
      </w:r>
    </w:p>
    <w:p w14:paraId="1B6C2BF7" w14:textId="77777777" w:rsidR="009D7677" w:rsidRDefault="009D7677" w:rsidP="009D7677">
      <w:pPr>
        <w:pStyle w:val="TextoNormal"/>
      </w:pPr>
    </w:p>
    <w:p w14:paraId="2D453DBB" w14:textId="77777777" w:rsidR="009D7677" w:rsidRDefault="009D7677" w:rsidP="009D7677">
      <w:pPr>
        <w:pStyle w:val="TextoNormal"/>
      </w:pPr>
      <w:r>
        <w:t>Una vez cubiertas las garantías imprescindibles para que el consentimiento sobre una intervención corporal, como en este caso la interrupción del embarazo, se preste con información médica suficiente, el establecimiento o no de requisitos adicionales de información, como sería en este caso la relativa a las prestaciones y ayudas públicas de apoyo a la maternidad, constituye una opción constitucionalmente legítima que queda dentro del margen de decisión del legislador. En todo caso, conviene precisar que el margen de apreciación del legislador debe desenvolverse dentro del respeto de los derechos constitucionalmente reconocidos, sin que el mismo admita la introducción de requisitos adicionales de información previa que no resulten acordes a las exigencias del principio de proporcionalidad o que constituyan injerencias dirigidas a modificar el sentido de la libre decisión sobre la interrupción o la continuación de la gestación que pertenece a la mujer embarazada.</w:t>
      </w:r>
    </w:p>
    <w:p w14:paraId="33DFE3FF" w14:textId="77777777" w:rsidR="009D7677" w:rsidRDefault="009D7677" w:rsidP="009D7677">
      <w:pPr>
        <w:pStyle w:val="TextoNormal"/>
      </w:pPr>
    </w:p>
    <w:p w14:paraId="7BF842B7" w14:textId="77777777" w:rsidR="009D7677" w:rsidRDefault="009D7677" w:rsidP="009D7677">
      <w:pPr>
        <w:pStyle w:val="TextoNormal"/>
      </w:pPr>
      <w:r>
        <w:t xml:space="preserve">Como ya dijo este tribunal en la STC 44/2023, FJ 5 (iii), respecto de los arts. 14 y 17 en su redacción originaria (en que la información controvertida se entregaba por escrito y en sobre cerrado), no se trata de presionar o persuadir a la mujer para que decida en un sentido determinado, sino de poner a su alcance la información que pueda necesitar para adoptar su decisión, sin incurrir en intromisiones excesivas o ilegítimas en el ámbito de su autonomía personal. Y esto es, precisamente, lo que aseguran los preceptos recurridos, en tanto que exigen que la mujer cuente obligatoriamente con la información médica relevante —única imprescindible en este contexto como garantía del derecho fundamental recogido en el art. 15 CE—, al tiempo que facultan para que, además, conociendo que tiene a su </w:t>
      </w:r>
      <w:r>
        <w:lastRenderedPageBreak/>
        <w:t>disposición otra información adicional que puede ser de su interés, la pueda solicitar en cualquier momento si, en el ejercicio de su libertad personal, así lo considera necesario o conveniente.</w:t>
      </w:r>
    </w:p>
    <w:p w14:paraId="557B79A2" w14:textId="77777777" w:rsidR="009D7677" w:rsidRDefault="009D7677" w:rsidP="009D7677">
      <w:pPr>
        <w:pStyle w:val="TextoNormal"/>
      </w:pPr>
    </w:p>
    <w:p w14:paraId="31207081" w14:textId="77777777" w:rsidR="009D7677" w:rsidRDefault="009D7677" w:rsidP="009D7677">
      <w:pPr>
        <w:pStyle w:val="TextoNormal"/>
      </w:pPr>
      <w:r>
        <w:t>En conclusión, el hecho de que no se entregue obligatoriamente esta información adicional no afecta ni perjudica a la correcta formación del consentimiento informado. Por lo tanto, se desestima la impugnación de los preceptos recurridos basada en la vulneración del art. 15 CE.</w:t>
      </w:r>
    </w:p>
    <w:p w14:paraId="4FA9AA06" w14:textId="77777777" w:rsidR="009D7677" w:rsidRDefault="009D7677" w:rsidP="009D7677">
      <w:pPr>
        <w:pStyle w:val="TextoNormal"/>
      </w:pPr>
    </w:p>
    <w:p w14:paraId="36EA2D70" w14:textId="77777777" w:rsidR="009D7677" w:rsidRDefault="009D7677" w:rsidP="009D7677">
      <w:pPr>
        <w:pStyle w:val="TextoNormal"/>
      </w:pPr>
      <w:r>
        <w:t>e) Las consideraciones precedentes conducen igualmente a desestimar la impugnación relativa a la vulneración del art. 15 CE en lo que se refiere a la supresión del período de reflexión de tres días, originalmente previsto en la Ley Orgánica 2/2010.</w:t>
      </w:r>
    </w:p>
    <w:p w14:paraId="6B022A03" w14:textId="77777777" w:rsidR="009D7677" w:rsidRDefault="009D7677" w:rsidP="009D7677">
      <w:pPr>
        <w:pStyle w:val="TextoNormal"/>
      </w:pPr>
    </w:p>
    <w:p w14:paraId="1348E157" w14:textId="77777777" w:rsidR="009D7677" w:rsidRDefault="009D7677" w:rsidP="009D7677">
      <w:pPr>
        <w:pStyle w:val="TextoNormal"/>
      </w:pPr>
      <w:r>
        <w:t>Una vez asegurado el derecho de la mujer a decidir acerca de continuar con la gestación con pleno conocimiento de toda la información de trascendencia sanitaria a su alcance, no puede sino señalarse que la previsión de un plazo de espera entre la entrega a la mujer embarazada de la información no obligatoria sobre derechos, prestaciones y ayudas públicas de apoyo a la maternidad y la práctica de la intervención conducente a la interrupción voluntaria del embarazo no puede considerarse como una obligación positiva de regulación derivada del art. 15 CE. El recurso no justifica ni aporta razones que conduzcan a concluir que el período de reflexión resulte imprescindible para la debida formación del consentimiento informado por parte de la mujer embarazada.</w:t>
      </w:r>
    </w:p>
    <w:p w14:paraId="174BC39D" w14:textId="77777777" w:rsidR="009D7677" w:rsidRDefault="009D7677" w:rsidP="009D7677">
      <w:pPr>
        <w:pStyle w:val="TextoNormal"/>
      </w:pPr>
    </w:p>
    <w:p w14:paraId="7A1CB9D4" w14:textId="77777777" w:rsidR="009D7677" w:rsidRDefault="009D7677" w:rsidP="009D7677">
      <w:pPr>
        <w:pStyle w:val="TextoNormal"/>
      </w:pPr>
      <w:r>
        <w:t>En este sentido, debe señalarse que el establecimiento de plazos de esta naturaleza es una decisión que puede adoptar el legislador democrático, dentro del margen de apreciación que le corresponde, atendiendo a las circunstancias concurrentes en cada caso, siempre teniendo en cuenta que los plazos de reflexión o de espera constituyen una carga, una limitación o una injerencia para el ejercicio de la libertad de la persona para consentir la práctica de intervenciones corporales (art. 15 CE), por lo que solo resultan admisibles en cuanto que operen como garantía del derecho a la integridad física de la persona concernida y siempre que el plazo establecido se traduzca en una espera previa razonable, proporcionada y no excesiva.</w:t>
      </w:r>
    </w:p>
    <w:p w14:paraId="39604332" w14:textId="77777777" w:rsidR="009D7677" w:rsidRDefault="009D7677" w:rsidP="009D7677">
      <w:pPr>
        <w:pStyle w:val="TextoNormal"/>
      </w:pPr>
    </w:p>
    <w:p w14:paraId="55F6EAB3" w14:textId="77777777" w:rsidR="009D7677" w:rsidRDefault="009D7677" w:rsidP="009D7677">
      <w:pPr>
        <w:pStyle w:val="TextoNormal"/>
      </w:pPr>
      <w:r>
        <w:t>En fin, prueba de ello es que este requisito no se exige con carácter general en el régimen de consentimiento informado, previsto para el resto de las intervenciones médicas en la Ley 41/2002, que no contempla una antelación específica mínima entre la entrega de la información previa y la prestación del consentimiento por parte del paciente.</w:t>
      </w:r>
    </w:p>
    <w:p w14:paraId="3FD59D3F" w14:textId="77777777" w:rsidR="009D7677" w:rsidRDefault="009D7677" w:rsidP="009D7677">
      <w:pPr>
        <w:pStyle w:val="TextoNormal"/>
      </w:pPr>
    </w:p>
    <w:p w14:paraId="0E2AAE58" w14:textId="77777777" w:rsidR="009D7677" w:rsidRDefault="009D7677" w:rsidP="009D7677">
      <w:pPr>
        <w:pStyle w:val="TextoNormal"/>
      </w:pPr>
      <w:r>
        <w:t xml:space="preserve">f) Seguidamente, habiendo descartado que la supresión de los requisitos consistentes en que se hubiera informado a la mujer embarazada sobre los derechos, prestaciones y ayudas públicas de apoyo a la maternidad y que hubiera transcurrido un plazo de al menos tres días entre dicha información y la realización de la intervención, incurra en la vulneración del art. 15 CE, no puede sino decaer la queja relativa a la nueva redacción dada al art. 145 </w:t>
      </w:r>
      <w:r w:rsidRPr="009D7677">
        <w:rPr>
          <w:i/>
        </w:rPr>
        <w:t>bis</w:t>
      </w:r>
      <w:r>
        <w:t>.1 del Código penal, toda vez que el mismo no ha sido impugnado de forma autónoma sino únicamente por su conexión directa con los arts. 14 y 17.2 y 3 de la Ley Orgánica 2/2010.</w:t>
      </w:r>
    </w:p>
    <w:p w14:paraId="426EB6B6" w14:textId="77777777" w:rsidR="009D7677" w:rsidRDefault="009D7677" w:rsidP="009D7677">
      <w:pPr>
        <w:pStyle w:val="TextoNormal"/>
      </w:pPr>
    </w:p>
    <w:p w14:paraId="24001105" w14:textId="77777777" w:rsidR="009D7677" w:rsidRDefault="009D7677" w:rsidP="009D7677">
      <w:pPr>
        <w:pStyle w:val="TextoNormal"/>
      </w:pPr>
      <w:r>
        <w:lastRenderedPageBreak/>
        <w:t>g) Por otro lado, la queja relativa al art. 17.5, segundo párrafo, de la Ley Orgánica 2/2010 debe ser igualmente desestimada. El hecho de que la información vinculada a la interrupción voluntaria del embarazo solo se ofrezca en formato verbal si la mujer así lo solicita no merma en modo alguno las garantías de información legalmente previstas ni constituye una vulneración del art. 15 CE. Lo que la ley debe asegurar, desde la perspectiva constitucional, es que el consentimiento se preste de manera informada, con conocimiento de causa, cosa que la ley ya garantiza de manera suficiente, permitiendo a la mujer embarazada elegir, en el ejercicio de su autonomía personal, el formato en que desea recibir la información legalmente prevista.</w:t>
      </w:r>
    </w:p>
    <w:p w14:paraId="6EE360B1" w14:textId="77777777" w:rsidR="009D7677" w:rsidRDefault="009D7677" w:rsidP="009D7677">
      <w:pPr>
        <w:pStyle w:val="TextoNormal"/>
      </w:pPr>
    </w:p>
    <w:p w14:paraId="7E3DC363" w14:textId="77777777" w:rsidR="009D7677" w:rsidRDefault="009D7677" w:rsidP="009D7677">
      <w:pPr>
        <w:pStyle w:val="TextoNormal"/>
      </w:pPr>
      <w:r>
        <w:t>Por lo demás, una impugnación idéntica a esta, basada en la supuesta ineficacia de la información puesta a disposición de la mujer embarazada por escrito, fue ya desestimada en la STC 44/2023, FJ 5 (iii), a la que hemos de hacer remisión.</w:t>
      </w:r>
    </w:p>
    <w:p w14:paraId="473E80D6" w14:textId="77777777" w:rsidR="009D7677" w:rsidRDefault="009D7677" w:rsidP="009D7677">
      <w:pPr>
        <w:pStyle w:val="TextoNormal"/>
      </w:pPr>
    </w:p>
    <w:p w14:paraId="7B15FD90" w14:textId="77777777" w:rsidR="009D7677" w:rsidRDefault="009D7677" w:rsidP="009D7677">
      <w:pPr>
        <w:pStyle w:val="TextoNormal"/>
      </w:pPr>
      <w:r>
        <w:t>h) Por último, debe igualmente rechazarse la impugnación de estos preceptos basada en la pretendida vulneración del art. 39.2 CE, en relación con la protección integral de las madres. La tesis de los recurrentes en virtud de la cual del art. 39.2 CE se deriva para los poderes públicos un deber de “hacer un esfuerzo para que las mujeres embarazadas lleguen a dar a luz” no puede ser acogida.</w:t>
      </w:r>
    </w:p>
    <w:p w14:paraId="3AFFEAC6" w14:textId="77777777" w:rsidR="009D7677" w:rsidRDefault="009D7677" w:rsidP="009D7677">
      <w:pPr>
        <w:pStyle w:val="TextoNormal"/>
      </w:pPr>
    </w:p>
    <w:p w14:paraId="1215872E" w14:textId="77777777" w:rsidR="009D7677" w:rsidRDefault="009D7677" w:rsidP="009D7677">
      <w:pPr>
        <w:pStyle w:val="TextoNormal"/>
      </w:pPr>
      <w:r>
        <w:t>En este punto bastaría con reiterar lo afirmado acerca de la improcedencia de presionar o persuadir a la mujer para que decida en un sentido determinado, como el de continuar adelante con el embarazo [STC 44/2023, FJ 5 (iii)]. Aunque no está de más poner de manifiesto que el argumento del que parte el recurso de inconstitucionalidad se encuentra en radical oposición a la doctrina constitucional, que ha reconocido el derecho de la mujer a la autodeterminación respecto de la interrupción voluntaria del embarazo, considerando que la decisión de la mujer acerca de continuar adelante con el embarazo “enlaza de forma directa con su dignidad y el libre desarrollo de la personalidad, en cuanto a afecta a la libertad de procreación de la mujer y condiciona indisolublemente su proyecto de vida” y que “la interrupción voluntaria del embarazo, como manifestación del derecho a la mujer a adoptar decisiones y hacer elecciones libres y responsables, sin violencia, coacción ni discriminación, con respeto a su propio cuerpo y proyecto de vida, forma parte del contenido constitucionalmente protegido del derecho fundamental a la integridad física y moral (art. 15 CE) en conexión con la dignidad de la persona y el libre desarrollo de la personalidad como principios rectores del orden político y la paz social (art. 10.1 CE)” (STC 44/2023, FJ 3).</w:t>
      </w:r>
    </w:p>
    <w:p w14:paraId="2BAD2A98" w14:textId="77777777" w:rsidR="009D7677" w:rsidRDefault="009D7677" w:rsidP="009D7677">
      <w:pPr>
        <w:pStyle w:val="TextoNormal"/>
      </w:pPr>
    </w:p>
    <w:p w14:paraId="190903FF" w14:textId="2605CD2B" w:rsidR="009D7677" w:rsidRDefault="009D7677" w:rsidP="009D7677">
      <w:pPr>
        <w:pStyle w:val="TextoNormal"/>
      </w:pPr>
      <w:r>
        <w:t xml:space="preserve">i) Por todo cuanto antecede, se desestiman los motivos de impugnación relativos a los arts. 14 y 17, apartados segundo, tercero y quinto, de la Ley Orgánica 2/2010 y el art. 145 </w:t>
      </w:r>
      <w:r w:rsidRPr="009D7677">
        <w:rPr>
          <w:i/>
        </w:rPr>
        <w:t>bis</w:t>
      </w:r>
      <w:r>
        <w:t>.1 CP, en la redacción dada a los mismos respectivamente por los apartados duodécimo y décimo cuarto del artículo único y la disposición final segunda de la Ley Orgánica 1/2023.</w:t>
      </w:r>
    </w:p>
    <w:p w14:paraId="5F7B0A77" w14:textId="77777777" w:rsidR="009D7677" w:rsidRDefault="009D7677" w:rsidP="009D7677">
      <w:pPr>
        <w:pStyle w:val="TextoNormal"/>
      </w:pPr>
    </w:p>
    <w:p w14:paraId="59658243" w14:textId="77777777" w:rsidR="009D7677" w:rsidRDefault="009D7677" w:rsidP="009D7677">
      <w:pPr>
        <w:pStyle w:val="TextoNormal"/>
      </w:pPr>
      <w:r w:rsidRPr="009D7677">
        <w:rPr>
          <w:rStyle w:val="NumeroAFNegritaCaracter"/>
        </w:rPr>
        <w:t>8</w:t>
      </w:r>
      <w:r>
        <w:t xml:space="preserve">. </w:t>
      </w:r>
      <w:r w:rsidRPr="009D7677">
        <w:rPr>
          <w:i/>
        </w:rPr>
        <w:t>Motivos de inconstitucionalidad dirigidos contra el apartado décimo tercero del artículo único de la Ley Orgánica 1/2023: la composición del comité clínico</w:t>
      </w:r>
    </w:p>
    <w:p w14:paraId="76E40826" w14:textId="77777777" w:rsidR="009D7677" w:rsidRDefault="009D7677" w:rsidP="009D7677">
      <w:pPr>
        <w:pStyle w:val="TextoNormal"/>
      </w:pPr>
    </w:p>
    <w:p w14:paraId="60DA4032" w14:textId="77777777" w:rsidR="009D7677" w:rsidRDefault="009D7677" w:rsidP="009D7677">
      <w:pPr>
        <w:pStyle w:val="TextoNormal"/>
      </w:pPr>
      <w:r>
        <w:t>A) Precepto impugnado</w:t>
      </w:r>
    </w:p>
    <w:p w14:paraId="651FB8E2" w14:textId="77777777" w:rsidR="009D7677" w:rsidRDefault="009D7677" w:rsidP="009D7677">
      <w:pPr>
        <w:pStyle w:val="TextoNormal"/>
      </w:pPr>
    </w:p>
    <w:p w14:paraId="177C6591" w14:textId="77777777" w:rsidR="009D7677" w:rsidRDefault="009D7677" w:rsidP="009D7677">
      <w:pPr>
        <w:pStyle w:val="TextoNormal"/>
      </w:pPr>
      <w:r>
        <w:lastRenderedPageBreak/>
        <w:t>El sexto motivo del recurso de inconstitucionalidad se dirige contra el apartado décimo tercero del artículo único de la Ley Orgánica 1/2023, que en relación con la nueva redacción que se da al art. 16.1 de la Ley Orgánica 2/2010, que dispone:</w:t>
      </w:r>
    </w:p>
    <w:p w14:paraId="37FF0BFE" w14:textId="77777777" w:rsidR="009D7677" w:rsidRDefault="009D7677" w:rsidP="009D7677">
      <w:pPr>
        <w:pStyle w:val="TextoNormal"/>
      </w:pPr>
    </w:p>
    <w:p w14:paraId="364ED259" w14:textId="77777777" w:rsidR="009D7677" w:rsidRDefault="009D7677" w:rsidP="009D7677">
      <w:pPr>
        <w:pStyle w:val="TextoNormal"/>
      </w:pPr>
      <w:r>
        <w:t>“El comité clínico al que se refiere el artículo anterior estará formado por un equipo pluridisciplinar integrado por dos integrantes del personal médico especialistas en ginecología y obstetricia o expertos en diagnóstico prenatal y un pediatra. La mujer podrá elegir uno de estos especialistas. Ninguno de los miembros del comité podrá formar parte del registro de objetores de la interrupción voluntaria del embarazo ni haber formado parte en los últimos tres años”.</w:t>
      </w:r>
    </w:p>
    <w:p w14:paraId="58FD0328" w14:textId="77777777" w:rsidR="009D7677" w:rsidRDefault="009D7677" w:rsidP="009D7677">
      <w:pPr>
        <w:pStyle w:val="TextoNormal"/>
      </w:pPr>
    </w:p>
    <w:p w14:paraId="6A56F55E" w14:textId="77777777" w:rsidR="009D7677" w:rsidRDefault="009D7677" w:rsidP="009D7677">
      <w:pPr>
        <w:pStyle w:val="TextoNormal"/>
      </w:pPr>
      <w:r>
        <w:t>La impugnación no tiene por objeto la totalidad del apartado, sino únicamente el inciso final, en virtud del cual se excluye de la composición del comité clínico a los profesionales sanitarios inscritos en alguno de los registros de personas objetoras de conciencia o que lo hubieran estado en los últimos tres años.</w:t>
      </w:r>
    </w:p>
    <w:p w14:paraId="7080015D" w14:textId="77777777" w:rsidR="009D7677" w:rsidRDefault="009D7677" w:rsidP="009D7677">
      <w:pPr>
        <w:pStyle w:val="TextoNormal"/>
      </w:pPr>
    </w:p>
    <w:p w14:paraId="04D65890" w14:textId="77777777" w:rsidR="009D7677" w:rsidRDefault="009D7677" w:rsidP="009D7677">
      <w:pPr>
        <w:pStyle w:val="TextoNormal"/>
      </w:pPr>
      <w:r>
        <w:t>B) Posiciones de las partes</w:t>
      </w:r>
    </w:p>
    <w:p w14:paraId="429F60B5" w14:textId="77777777" w:rsidR="009D7677" w:rsidRDefault="009D7677" w:rsidP="009D7677">
      <w:pPr>
        <w:pStyle w:val="TextoNormal"/>
      </w:pPr>
    </w:p>
    <w:p w14:paraId="37128FA2" w14:textId="77777777" w:rsidR="009D7677" w:rsidRDefault="009D7677" w:rsidP="009D7677">
      <w:pPr>
        <w:pStyle w:val="TextoNormal"/>
      </w:pPr>
      <w:r>
        <w:t>a) Los recurrentes denuncian que el inciso recurrido es arbitrario (art. 9.3 CE) y constituye una discriminación carente de justificación objetiva y razonable (art. 14 CE), pues la negativa a practicar abortos es perfectamente compatible con las funciones que tiene atribuidas el comité clínico. Además, consideran que incurre en vulneración del derecho a la libertad ideológica y religiosa (art. 16.1 CE), pues la prohibición de formar parte del comité a los médicos objetores y a los que ya no lo son, pero lo fueron en los últimos tres años, responde únicamente a prejuicios ideológicos y es una suerte de “castigo”, que se les impone para “purgar sus pecados”, en lo que califican como una “reeducación forzosa”.</w:t>
      </w:r>
    </w:p>
    <w:p w14:paraId="1B3EADD9" w14:textId="77777777" w:rsidR="009D7677" w:rsidRDefault="009D7677" w:rsidP="009D7677">
      <w:pPr>
        <w:pStyle w:val="TextoNormal"/>
      </w:pPr>
    </w:p>
    <w:p w14:paraId="794C72C4" w14:textId="77777777" w:rsidR="009D7677" w:rsidRDefault="009D7677" w:rsidP="009D7677">
      <w:pPr>
        <w:pStyle w:val="TextoNormal"/>
      </w:pPr>
      <w:r>
        <w:t>b) Por su parte, el abogado del Estado, una vez examinadas las funciones del comité clínico, sostiene que el inciso impugnado persigue conjugar de manera proporcionada los dos intereses en juego. Así, de un lado, se asegura el pleno respeto de las creencias de los profesionales sanitarios objetores de conciencia, eximiéndoles no solo de practicar la interrupción voluntaria del embarazo, sino también de participar en otro trámite esencial del sistema; y, de otro lado, permite a las autoridades sanitarias la adecuada organización del sistema en lo que se refiere a la formación y funcionamiento de los comités clínicos, a la vez que asegura a las mujeres que el examen de su situación se llevará a cabo por personal médico no afectado por conflictos por motivos de conciencia respecto de la interrupción voluntaria del embarazo.</w:t>
      </w:r>
    </w:p>
    <w:p w14:paraId="7CBF4410" w14:textId="77777777" w:rsidR="009D7677" w:rsidRDefault="009D7677" w:rsidP="009D7677">
      <w:pPr>
        <w:pStyle w:val="TextoNormal"/>
      </w:pPr>
    </w:p>
    <w:p w14:paraId="73BFC7A6" w14:textId="77777777" w:rsidR="009D7677" w:rsidRDefault="009D7677" w:rsidP="009D7677">
      <w:pPr>
        <w:pStyle w:val="TextoNormal"/>
      </w:pPr>
      <w:r>
        <w:t>C) Enjuiciamiento</w:t>
      </w:r>
    </w:p>
    <w:p w14:paraId="039BDA47" w14:textId="77777777" w:rsidR="009D7677" w:rsidRDefault="009D7677" w:rsidP="009D7677">
      <w:pPr>
        <w:pStyle w:val="TextoNormal"/>
      </w:pPr>
    </w:p>
    <w:p w14:paraId="07E343F0" w14:textId="77777777" w:rsidR="009D7677" w:rsidRDefault="009D7677" w:rsidP="009D7677">
      <w:pPr>
        <w:pStyle w:val="TextoNormal"/>
      </w:pPr>
      <w:r>
        <w:t>a) Antes de examinar las quejas constitucionales alegadas, resulta necesario contextualizar el inciso objeto de impugnación en relación con el sistema de plazos vigente para la interrupción voluntaria del embarazo y la función que, dentro de dicho sistema, corresponde desempeñar al comité clínico.</w:t>
      </w:r>
    </w:p>
    <w:p w14:paraId="2B05334B" w14:textId="77777777" w:rsidR="009D7677" w:rsidRDefault="009D7677" w:rsidP="009D7677">
      <w:pPr>
        <w:pStyle w:val="TextoNormal"/>
      </w:pPr>
    </w:p>
    <w:p w14:paraId="4248694A" w14:textId="77777777" w:rsidR="009D7677" w:rsidRDefault="009D7677" w:rsidP="009D7677">
      <w:pPr>
        <w:pStyle w:val="TextoNormal"/>
      </w:pPr>
      <w:r>
        <w:t xml:space="preserve">Como señalamos en la STC 44/2023, FJ 4, el modelo de plazos previsto en la Ley Orgánica 2/2010, y consolidado en la Ley Orgánica 1/2023, “constituye un sistema de ‘tutela gradual’ de la vida del </w:t>
      </w:r>
      <w:r w:rsidRPr="009D7677">
        <w:rPr>
          <w:i/>
        </w:rPr>
        <w:t>nasciturus</w:t>
      </w:r>
      <w:r>
        <w:t xml:space="preserve"> o, más propiamente, de limitación gradual de los dere</w:t>
      </w:r>
      <w:r>
        <w:lastRenderedPageBreak/>
        <w:t>chos constitucionales de la mujer en aras de proteger la vida prenatal”. Continuaba la STC 44/2023, FJ 4, diciendo que “[c]onforme a este modelo, el legislador ha optado por no restringir la autonomía de la mujer embarazada para decidir libremente si continúa o no adelante con la gestación durante un plazo de catorce semanas. […] Transcurrido ese plazo ‘razonable’ y hasta el momento de la viabilidad fetal, para que la interrupción del embarazo pueda considerarse legal se exige la concurrencia de circunstancias adicionales a la voluntad de la mujer, que implican un compromiso adicional y relevante, bien de su derecho a la vida o integridad física (indicación terapéutica), bien de su libertad y libre desarrollo de su personalidad ante la fuerte sobrecarga personal que supone ser madre de un hijo o hija con graves anomalías físicas o psíquicas (indicación embriopática), estableciéndose salvaguardas específicas para garantizar la concurrencia de tales indicaciones. A partir del momento de la viabilidad fetal, se otorga una clara prioridad a la tutela de la vida prenatal sobre los derechos constitucionales de la mujer, que se entiende han quedado suficientemente garantizados a través de las opciones concedidas a la gestante con anterioridad a ese momento, y tan solo se permite la interrupción del embarazo en supuestos absolutamente excepcionales en los que, o bien no cabe hablar de ‘vida’ prenatal en sentido propio, dada la falta de viabilidad del feto, o existe un gravísimo compromiso no solo de los derechos de la mujer gestante sino también de integridad física y moral del propio feto”.</w:t>
      </w:r>
    </w:p>
    <w:p w14:paraId="55256B0C" w14:textId="77777777" w:rsidR="009D7677" w:rsidRDefault="009D7677" w:rsidP="009D7677">
      <w:pPr>
        <w:pStyle w:val="TextoNormal"/>
      </w:pPr>
    </w:p>
    <w:p w14:paraId="0084EA30" w14:textId="77777777" w:rsidR="009D7677" w:rsidRDefault="009D7677" w:rsidP="009D7677">
      <w:pPr>
        <w:pStyle w:val="TextoNormal"/>
      </w:pPr>
      <w:r>
        <w:t>Así continúa ocurriendo tras la reforma operada por la Ley Orgánica 1/2023. Durante las primeras catorce semanas, el art. 14 de la Ley Orgánica 2/2010, en su nueva redacción, sigue respetando la autonomía de la mujer embarazada para decidir libremente si continúa o no adelante con la gestación. Entre la decimocuarta y la vigesimosegunda semana de gestación, solamente cabe la interrupción del embarazo por causas médicas, en los casos previstos en los apartados a) y b) del art. 15, que mantiene intacta su redacción originaria. El primero de los supuestos es aquel en el que exista un grave riesgo para la vida o la salud de la embarazada y así conste en un dictamen emitido antes de la intervención por médico especialista, pudiendo prescindirse de dicho dictamen en caso de urgencia por riesgo vital para la gestante. El segundo supuesto se refiere a que exista riesgo de graves anomalías en el feto y así conste en un dictamen emitido antes de la intervención por dos médicos especialistas. En ambos supuestos los médicos especialistas que emitan el dictamen deben ser distintos de los que practiquen o dirijan la intervención conducente a la interrupción voluntaria del embarazo. Por último, a partir de la semana veintidós, momento en el que el legislador sitúa el umbral de la viabilidad fetal, la interrupción del embarazo por causas médicas solo resulta posible cuando se detecten anomalías fetales incompatibles con la vida y así conste en un dictamen emitido con anterioridad por un médico especialista, distinto del que practique la intervención, o cuando se detecte en el feto una enfermedad extremadamente grave e incurable en el momento del diagnóstico y así lo confirme un comité clínico.</w:t>
      </w:r>
    </w:p>
    <w:p w14:paraId="03797B08" w14:textId="77777777" w:rsidR="009D7677" w:rsidRDefault="009D7677" w:rsidP="009D7677">
      <w:pPr>
        <w:pStyle w:val="TextoNormal"/>
      </w:pPr>
    </w:p>
    <w:p w14:paraId="48E1250A" w14:textId="77777777" w:rsidR="009D7677" w:rsidRDefault="009D7677" w:rsidP="009D7677">
      <w:pPr>
        <w:pStyle w:val="TextoNormal"/>
      </w:pPr>
      <w:r>
        <w:t xml:space="preserve">Así las cosas, dentro del modelo de plazos instaurado para la interrupción voluntaria del embarazo, la misión de estos comités clínicos (de los que al menos ha de haber uno en cada comunidad autónoma, como indica el art. 16.3 de la Ley Orgánica 2/2010) es la de confirmar si concurre o no en el feto “una enfermedad extremadamente grave e incurable”, como presupuesto para la práctica de la interrupción del embarazo por causas médicas una vez transcurridas las primeras veintidós semanas de gestación. Como aclara el art. 16.2 de </w:t>
      </w:r>
      <w:r>
        <w:lastRenderedPageBreak/>
        <w:t>la Ley Orgánica 2/2010, si se confirma el diagnóstico por el comité clínico correspondiente, será la mujer embarazada la que decida sobre la práctica o no de la intervención.</w:t>
      </w:r>
    </w:p>
    <w:p w14:paraId="1C8596ED" w14:textId="77777777" w:rsidR="009D7677" w:rsidRDefault="009D7677" w:rsidP="009D7677">
      <w:pPr>
        <w:pStyle w:val="TextoNormal"/>
      </w:pPr>
    </w:p>
    <w:p w14:paraId="227510F8" w14:textId="77777777" w:rsidR="009D7677" w:rsidRDefault="009D7677" w:rsidP="009D7677">
      <w:pPr>
        <w:pStyle w:val="TextoNormal"/>
      </w:pPr>
      <w:r>
        <w:t>Para llevar a cabo esta labor en aras de la tutela de la vida prenatal, el comité clínico estará formado por un equipo multidisciplinar integrado por dos médicos especialistas en ginecología y obstetricia o expertos en diagnóstico prenatal y por un pediatra, permitiéndose que la mujer embarazada pueda elegir a uno de los especialistas integrantes del comité. La intervención del comité clínico constituye una rigurosa garantía procedimental, prevista en relación con un supuesto excepcionalísimo de interrupción del embarazo [STC 44/2023, FJ 7 B) b)].</w:t>
      </w:r>
    </w:p>
    <w:p w14:paraId="510EE5F2" w14:textId="77777777" w:rsidR="009D7677" w:rsidRDefault="009D7677" w:rsidP="009D7677">
      <w:pPr>
        <w:pStyle w:val="TextoNormal"/>
      </w:pPr>
    </w:p>
    <w:p w14:paraId="48A4384C" w14:textId="77777777" w:rsidR="009D7677" w:rsidRDefault="009D7677" w:rsidP="009D7677">
      <w:pPr>
        <w:pStyle w:val="TextoNormal"/>
      </w:pPr>
      <w:r>
        <w:t>b) Efectuadas estas aclaraciones, estamos ya en disposición de abordar los motivos de inconstitucionalidad esgrimidos por los recurrentes.</w:t>
      </w:r>
    </w:p>
    <w:p w14:paraId="199B75F4" w14:textId="77777777" w:rsidR="009D7677" w:rsidRDefault="009D7677" w:rsidP="009D7677">
      <w:pPr>
        <w:pStyle w:val="TextoNormal"/>
      </w:pPr>
    </w:p>
    <w:p w14:paraId="6D7B5BB6" w14:textId="77777777" w:rsidR="009D7677" w:rsidRDefault="009D7677" w:rsidP="009D7677">
      <w:pPr>
        <w:pStyle w:val="TextoNormal"/>
      </w:pPr>
      <w:r>
        <w:t>(i) A pesar del silencio del preámbulo y de la memoria de análisis de impacto normativo acerca de esta modificación legislativa, lo cual se debe sin duda a su introducción por vía de enmienda durante la tramitación parlamentaria en el Congreso de los Diputados, no puede afirmarse, como hacen los recurrentes, que el inciso final del art. 16.1 de la Ley Orgánica 2/2010 resulte arbitrario o carezca de toda explicación racional o de justificación objetiva y razonable.</w:t>
      </w:r>
    </w:p>
    <w:p w14:paraId="5C3CC9BE" w14:textId="77777777" w:rsidR="009D7677" w:rsidRDefault="009D7677" w:rsidP="009D7677">
      <w:pPr>
        <w:pStyle w:val="TextoNormal"/>
      </w:pPr>
    </w:p>
    <w:p w14:paraId="6D1AF944" w14:textId="77777777" w:rsidR="009D7677" w:rsidRDefault="009D7677" w:rsidP="009D7677">
      <w:pPr>
        <w:pStyle w:val="TextoNormal"/>
      </w:pPr>
      <w:r>
        <w:t>La no integración en los comités clínicos de profesionales sanitarios objetores de conciencia o que lo hubieran sido en los últimos tres años constituye, como sostiene el abogado del Estado, una doble garantía tanto para el derecho de objeción de conciencia de los profesionales sanitarios como del derecho de las mujeres a la interrupción del embarazo.</w:t>
      </w:r>
    </w:p>
    <w:p w14:paraId="3E348D3C" w14:textId="77777777" w:rsidR="009D7677" w:rsidRDefault="009D7677" w:rsidP="009D7677">
      <w:pPr>
        <w:pStyle w:val="TextoNormal"/>
      </w:pPr>
    </w:p>
    <w:p w14:paraId="0B71316F" w14:textId="77777777" w:rsidR="009D7677" w:rsidRDefault="009D7677" w:rsidP="009D7677">
      <w:pPr>
        <w:pStyle w:val="TextoNormal"/>
      </w:pPr>
      <w:r>
        <w:t xml:space="preserve">En relación con los profesionales sanitarios objetores de conciencia, el inciso cuestionado excluye su integración en el comité clínico asegurando que los mismos queden apartados, no solamente de la intervención de interrupción del embarazo en sentido estricto (lo que ya resulta del art. 19 </w:t>
      </w:r>
      <w:r w:rsidRPr="009D7677">
        <w:rPr>
          <w:i/>
        </w:rPr>
        <w:t>bis</w:t>
      </w:r>
      <w:r>
        <w:t>.1 de la Ley Orgánica 2/2010), sino también de un trámite procedimental esencial que opera como garantía del supuesto más excepcional de interrupción del embarazo permitido por causas médicas, en el que, una vez transcurridas veintidós semanas de gestación, se autoriza la interrupción del embarazo al detectarse en él una enfermedad extremadamente grave e incurable. Como dijimos en la STC 44/2023, se trata de “casos límite”, en los que no se puede ignorar “la extraordinaria afectación que para el libre desarrollo de su personalidad (art. 10.1 CE) supone obligar a una mujer a llevar a término su embarazo en tales circunstancias”, razón por la cual consideramos entonces que “en estas circunstancias absolutamente excepcionales, imponer bajo amenaza penal la continuación del embarazo o un parto pretérmino constituye un sacrificio desproporcionado de los derechos constitucionales de la mujer” [FJ 7 B) b)]. Siendo este el contexto en el que el legislador requiere la intervención del comité clínico como garantía del sistema, dada la excepcionalidad del supuesto de hecho a que dicho comité debe enfrentarse, se trata de evitar colocar a los profesionales sanitarios en la difícil tesitura de tener que intervenir en una decisión que, aún regida por criterios estrictamente médicos, podría llegar a entrar en pugna con sus más profundas convicciones.</w:t>
      </w:r>
    </w:p>
    <w:p w14:paraId="6C249CA4" w14:textId="77777777" w:rsidR="009D7677" w:rsidRDefault="009D7677" w:rsidP="009D7677">
      <w:pPr>
        <w:pStyle w:val="TextoNormal"/>
      </w:pPr>
    </w:p>
    <w:p w14:paraId="5B4FD780" w14:textId="77777777" w:rsidR="009D7677" w:rsidRDefault="009D7677" w:rsidP="009D7677">
      <w:pPr>
        <w:pStyle w:val="TextoNormal"/>
      </w:pPr>
      <w:r>
        <w:t xml:space="preserve">Desde la perspectiva del derecho de las mujeres a la interrupción del embarazo, el inciso controvertido se enmarca en la finalidad de la reforma, declarada en el preámbulo, de </w:t>
      </w:r>
      <w:r>
        <w:lastRenderedPageBreak/>
        <w:t>remover todos los posibles obstáculos que pudieran existir en la práctica. De esta forma, la norma aquí cuestionada pretende proporcionar a las mujeres embarazadas, destinatarias de la prestación, la tranquilidad y la certidumbre de que el juicio clínico, en una situación tan excepcional como la descrita, se va a emitir con objetividad e imparcialidad y con arreglo a criterios médicos por profesionales sanitarios libres de cualquier posible conflicto interno motivado por razones de conciencia.</w:t>
      </w:r>
    </w:p>
    <w:p w14:paraId="453D5C6C" w14:textId="77777777" w:rsidR="009D7677" w:rsidRDefault="009D7677" w:rsidP="009D7677">
      <w:pPr>
        <w:pStyle w:val="TextoNormal"/>
      </w:pPr>
    </w:p>
    <w:p w14:paraId="1116D692" w14:textId="77777777" w:rsidR="009D7677" w:rsidRDefault="009D7677" w:rsidP="009D7677">
      <w:pPr>
        <w:pStyle w:val="TextoNormal"/>
      </w:pPr>
      <w:r>
        <w:t>Así las cosas, el inciso controvertido cuenta con una justificación objetiva y razonable, razón por la cual debe desestimarse la impugnación fundada en la pretendida vulneración del art. 9.3 CE.</w:t>
      </w:r>
    </w:p>
    <w:p w14:paraId="0A43BBBD" w14:textId="77777777" w:rsidR="009D7677" w:rsidRDefault="009D7677" w:rsidP="009D7677">
      <w:pPr>
        <w:pStyle w:val="TextoNormal"/>
      </w:pPr>
    </w:p>
    <w:p w14:paraId="037019FA" w14:textId="77777777" w:rsidR="009D7677" w:rsidRDefault="009D7677" w:rsidP="009D7677">
      <w:pPr>
        <w:pStyle w:val="TextoNormal"/>
      </w:pPr>
      <w:r>
        <w:t>(ii) Seguidamente, ha de analizarse si, como denuncian los recurrentes, el inciso recurrido incurre en una discriminación por motivos ideológicos o de opinión, en contradicción con el art. 14 CE en relación con el art. 16.1 CE.</w:t>
      </w:r>
    </w:p>
    <w:p w14:paraId="0A4E2090" w14:textId="77777777" w:rsidR="009D7677" w:rsidRDefault="009D7677" w:rsidP="009D7677">
      <w:pPr>
        <w:pStyle w:val="TextoNormal"/>
      </w:pPr>
    </w:p>
    <w:p w14:paraId="41D50480" w14:textId="77777777" w:rsidR="009D7677" w:rsidRDefault="009D7677" w:rsidP="009D7677">
      <w:pPr>
        <w:pStyle w:val="TextoNormal"/>
      </w:pPr>
      <w:r>
        <w:t>Como acaba de señalarse, el precepto cuestionado no constituye un “castigo” impuesto a los objetores de conciencia por prejuicios ideológicos, sino que se configura como una garantía del correcto funcionamiento del sistema de plazos establecido para la interrupción voluntaria del embarazo, que persigue cohonestar de manera equilibrada todos los intereses en juego, tanto los de los profesionales sanitarios objetores de conciencia como los de las mujeres embarazadas, y todo ello en relación con un supuesto que ya ha sido calificado como excepcional.</w:t>
      </w:r>
    </w:p>
    <w:p w14:paraId="252CBDC8" w14:textId="77777777" w:rsidR="009D7677" w:rsidRDefault="009D7677" w:rsidP="009D7677">
      <w:pPr>
        <w:pStyle w:val="TextoNormal"/>
      </w:pPr>
    </w:p>
    <w:p w14:paraId="1253B0ED" w14:textId="77777777" w:rsidR="009D7677" w:rsidRDefault="009D7677" w:rsidP="009D7677">
      <w:pPr>
        <w:pStyle w:val="TextoNormal"/>
      </w:pPr>
      <w:r>
        <w:t>Debe tenerse en cuenta que este tribunal ha avalado que “el legislador pueda o, incluso en algunos casos deba, reconocer el carácter moralmente controvertido de ciertas decisiones normativas sobre asuntos vitales y permitir entonces, con las debidas garantías para el interés general, que el individuo inicialmente obligado llegue a quedar exento de cumplir con un mandato no conciliable con sus más arraigadas convicciones” [STC 19/2023, FJ 10 C) a)]. Tratándose de un “derecho constitucional autónomo de configuración legal” [STC 94/2023, de 12 de septiembre, FJ 4 B) b) (i)], es al legislador a quien corresponde definir las situaciones en las que puede producirse este conflicto anímico motivado por razones ideológicas, religiosas o morales, así como el contenido, la extensión y los límites de la objeción de conciencia, con las debidas garantías para el interés general, ponderando las circunstancias concurrentes en tales situaciones.</w:t>
      </w:r>
    </w:p>
    <w:p w14:paraId="217E782E" w14:textId="77777777" w:rsidR="009D7677" w:rsidRDefault="009D7677" w:rsidP="009D7677">
      <w:pPr>
        <w:pStyle w:val="TextoNormal"/>
      </w:pPr>
    </w:p>
    <w:p w14:paraId="48A5977D" w14:textId="77777777" w:rsidR="009D7677" w:rsidRDefault="009D7677" w:rsidP="009D7677">
      <w:pPr>
        <w:pStyle w:val="TextoNormal"/>
      </w:pPr>
      <w:r>
        <w:t>Como resultado de esta operación, el legislador ha considerado que la objeción de conciencia de los profesionales sanitarios, regulada en la Ley Orgánica 2/2010, comprenda no solo la práctica de la intervención conducente a la interrupción voluntaria del embarazo, como hasta ahora, sino que también se extienda a la participación en los comités clínicos llamados a emitir su dictamen en el supuesto excepcional de interrupción del embarazo por causas médicas, previsto en el art. 15 c) de la Ley Orgánica 2/2010.</w:t>
      </w:r>
    </w:p>
    <w:p w14:paraId="174EEE65" w14:textId="77777777" w:rsidR="009D7677" w:rsidRDefault="009D7677" w:rsidP="009D7677">
      <w:pPr>
        <w:pStyle w:val="TextoNormal"/>
      </w:pPr>
    </w:p>
    <w:p w14:paraId="452664DB" w14:textId="77777777" w:rsidR="009D7677" w:rsidRDefault="009D7677" w:rsidP="009D7677">
      <w:pPr>
        <w:pStyle w:val="TextoNormal"/>
      </w:pPr>
      <w:r>
        <w:t>Expuesto lo anterior, este tribunal no encuentra razones para considerar que la exclusión de los profesionales sanitarios objetores de conciencia de la composición de los comités clínicos implique una diferencia de trato no justificada. Antes bien, como se ha expuesto, se trata de tutelar de manera completa a los profesionales sanitarios en el ejercicio de su derecho de objeción de conciencia, evitándoles posibles situaciones de conflictos internos que pudieran surgir en el caso de verse obligados a participar en cualquiera de los su</w:t>
      </w:r>
      <w:r>
        <w:lastRenderedPageBreak/>
        <w:t>puestos de interrupción voluntaria del embarazo legalmente previstos. Y, en todo caso, esta regla se aplica por igual a todos los objetores de conciencia, sin distinción alguna.</w:t>
      </w:r>
    </w:p>
    <w:p w14:paraId="015B68A0" w14:textId="77777777" w:rsidR="009D7677" w:rsidRDefault="009D7677" w:rsidP="009D7677">
      <w:pPr>
        <w:pStyle w:val="TextoNormal"/>
      </w:pPr>
    </w:p>
    <w:p w14:paraId="3547A100" w14:textId="77777777" w:rsidR="009D7677" w:rsidRDefault="009D7677" w:rsidP="009D7677">
      <w:pPr>
        <w:pStyle w:val="TextoNormal"/>
      </w:pPr>
      <w:r>
        <w:t>Mayores consideraciones exige la queja relativa al mantenimiento de la incompatibilidad para formar parte de los comités clínicos durante los tres años siguientes a la revocación de la declaración de objeción de conciencia. En este caso, el mantenimiento parcial de uno de los efectos de la objeción de conciencia, una vez revocada esta, sí implica una diferencia de trato entre profesionales sanitarios que se encuentran en una situación comparable, a saber, los no objetores de conciencia y aquellos que no lo son pero lo fueron en los últimos tres años, en la medida en que en todos ellos concurre la nota común de no constar inscritos en los registros de personas objetoras de conciencia.</w:t>
      </w:r>
    </w:p>
    <w:p w14:paraId="2C0E9474" w14:textId="77777777" w:rsidR="009D7677" w:rsidRDefault="009D7677" w:rsidP="009D7677">
      <w:pPr>
        <w:pStyle w:val="TextoNormal"/>
      </w:pPr>
    </w:p>
    <w:p w14:paraId="01D14311" w14:textId="77777777" w:rsidR="009D7677" w:rsidRDefault="009D7677" w:rsidP="009D7677">
      <w:pPr>
        <w:pStyle w:val="TextoNormal"/>
      </w:pPr>
      <w:r>
        <w:t>Con arreglo a la doctrina constitucional ya expuesta [</w:t>
      </w:r>
      <w:r w:rsidRPr="009D7677">
        <w:rPr>
          <w:i/>
        </w:rPr>
        <w:t>supra</w:t>
      </w:r>
      <w:r>
        <w:t>, FJ 4 C) b)], procede examinar si esta diferencia de trato normativa cuenta con una justificación objetiva y supera un juicio de razonabilidad.</w:t>
      </w:r>
    </w:p>
    <w:p w14:paraId="1D63A41C" w14:textId="77777777" w:rsidR="009D7677" w:rsidRDefault="009D7677" w:rsidP="009D7677">
      <w:pPr>
        <w:pStyle w:val="TextoNormal"/>
      </w:pPr>
    </w:p>
    <w:p w14:paraId="7202F66E" w14:textId="77777777" w:rsidR="009D7677" w:rsidRDefault="009D7677" w:rsidP="009D7677">
      <w:pPr>
        <w:pStyle w:val="TextoNormal"/>
      </w:pPr>
      <w:r>
        <w:t>Como ya se ha expuesto al resolver el motivo de impugnación anterior [</w:t>
      </w:r>
      <w:r w:rsidRPr="009D7677">
        <w:rPr>
          <w:i/>
        </w:rPr>
        <w:t>supra</w:t>
      </w:r>
      <w:r>
        <w:t xml:space="preserve">, FJ 8 C) b) (i)], este tribunal estima que la medida enjuiciada se justifica como garantía del derecho a la interrupción voluntaria del embarazo, que cuenta con protección constitucional </w:t>
      </w:r>
      <w:r w:rsidRPr="009D7677">
        <w:rPr>
          <w:i/>
        </w:rPr>
        <w:t>ex</w:t>
      </w:r>
      <w:r>
        <w:t xml:space="preserve"> arts. 10 y 15 CE, y tiene por objeto asegurar que quienes tienen que valorar una situación médica excepcional puedan hacerlo en condiciones de absoluta objetividad y libres de posibles conflictos sobrevenidos derivados de sus convicciones ideológicas, morales o religiosas. Por otro lado, la objeción de conciencia, ejercida previamente por el profesional, conlleva la exoneración del cumplimiento de las obligaciones legales impuestas con la finalidad de asegurar el ejercicio de un derecho fundamental como es la interrupción voluntaria del embarazo, como consecuencia de la imposibilidad insuperable de conciliar esta obligación legal con la conciencia propia, por lo que debe reputarse justificado que la revocación de la dicha objeción quede sujeta a ciertas cautelas con la finalidad de asegurar el adecuado ejercicio del derecho fundamental.</w:t>
      </w:r>
    </w:p>
    <w:p w14:paraId="0EB2E204" w14:textId="77777777" w:rsidR="009D7677" w:rsidRDefault="009D7677" w:rsidP="009D7677">
      <w:pPr>
        <w:pStyle w:val="TextoNormal"/>
      </w:pPr>
    </w:p>
    <w:p w14:paraId="32E81B8A" w14:textId="77777777" w:rsidR="009D7677" w:rsidRDefault="009D7677" w:rsidP="009D7677">
      <w:pPr>
        <w:pStyle w:val="TextoNormal"/>
      </w:pPr>
      <w:r>
        <w:t>Por lo demás, los efectos de la aplicación de la norma son razonables y no conducen a un resultado excesivamente gravoso para los profesionales sanitarios afectados por la misma. En este punto, no puede dejar de tenerse en cuenta que los efectos temporales de la objeción de conciencia, una vez revocada, solo se refieren a una función —la participación en los comités clínicos previstos en los arts. 15 c) y 16 de la Ley Orgánica 2/2010— que bien puede calificarse como excepcional o residual y que está perfectamente delimitada respecto al resto de facultades del personal médico, que no se ven afectadas por la medida impugnada. A su vez, el plazo de tres años se ha de considerar también como razonable, en atención a la trascendencia —por su significación y sus efectos— que tienen las decisiones dirigidas primero a ejercer la objeción de conciencia y posteriormente a revocar dicha declaración de voluntad, así como la excepcionalidad que caracteriza la situación descrita en el art. 15 c) de la Ley Orgánica 2/2010.</w:t>
      </w:r>
    </w:p>
    <w:p w14:paraId="66FB7E21" w14:textId="77777777" w:rsidR="009D7677" w:rsidRDefault="009D7677" w:rsidP="009D7677">
      <w:pPr>
        <w:pStyle w:val="TextoNormal"/>
      </w:pPr>
    </w:p>
    <w:p w14:paraId="4BAC9D5A" w14:textId="237CC76C" w:rsidR="009D7677" w:rsidRDefault="009D7677" w:rsidP="009D7677">
      <w:pPr>
        <w:pStyle w:val="TextoNormal"/>
      </w:pPr>
      <w:r>
        <w:t>En atención a lo expuesto, se desestima la impugnación del apartado décimo tercero del artículo único de la Ley Orgánica 1/2023, por el que se da nueva redacción al art. 16.1 de la Ley Orgánica 2/2010.</w:t>
      </w:r>
    </w:p>
    <w:p w14:paraId="386DB33B" w14:textId="77777777" w:rsidR="009D7677" w:rsidRDefault="009D7677" w:rsidP="009D7677">
      <w:pPr>
        <w:pStyle w:val="TextoNormal"/>
      </w:pPr>
    </w:p>
    <w:p w14:paraId="554F55F7" w14:textId="77777777" w:rsidR="009D7677" w:rsidRDefault="009D7677" w:rsidP="009D7677">
      <w:pPr>
        <w:pStyle w:val="TextoNormal"/>
      </w:pPr>
      <w:r w:rsidRPr="009D7677">
        <w:rPr>
          <w:rStyle w:val="NumeroAFNegritaCaracter"/>
        </w:rPr>
        <w:lastRenderedPageBreak/>
        <w:t>9</w:t>
      </w:r>
      <w:r>
        <w:t xml:space="preserve">. </w:t>
      </w:r>
      <w:r w:rsidRPr="009D7677">
        <w:rPr>
          <w:i/>
        </w:rPr>
        <w:t>Motivos de impugnación dirigidos contra el apartado décimo noveno del artículo único de la Ley Orgánica 1/2023 en relación con los registros de personas profesionales sanitarias objetoras de conciencia</w:t>
      </w:r>
    </w:p>
    <w:p w14:paraId="5B3E1707" w14:textId="77777777" w:rsidR="009D7677" w:rsidRDefault="009D7677" w:rsidP="009D7677">
      <w:pPr>
        <w:pStyle w:val="TextoNormal"/>
      </w:pPr>
    </w:p>
    <w:p w14:paraId="266E1717" w14:textId="77777777" w:rsidR="009D7677" w:rsidRDefault="009D7677" w:rsidP="009D7677">
      <w:pPr>
        <w:pStyle w:val="TextoNormal"/>
      </w:pPr>
      <w:r>
        <w:t>A) Precepto impugnado</w:t>
      </w:r>
    </w:p>
    <w:p w14:paraId="747CDFD2" w14:textId="77777777" w:rsidR="009D7677" w:rsidRDefault="009D7677" w:rsidP="009D7677">
      <w:pPr>
        <w:pStyle w:val="TextoNormal"/>
      </w:pPr>
    </w:p>
    <w:p w14:paraId="11DE00D1" w14:textId="77777777" w:rsidR="009D7677" w:rsidRDefault="009D7677" w:rsidP="009D7677">
      <w:pPr>
        <w:pStyle w:val="TextoNormal"/>
      </w:pPr>
      <w:r>
        <w:t xml:space="preserve">El recurso de inconstitucionalidad se dirige contra el apartado décimo noveno de la Ley Orgánica 1/2023 que añade un nuevo art. 19 </w:t>
      </w:r>
      <w:r w:rsidRPr="009D7677">
        <w:rPr>
          <w:i/>
        </w:rPr>
        <w:t>ter</w:t>
      </w:r>
      <w:r>
        <w:t xml:space="preserve"> a la Ley Orgánica 2/2010. En concreto, la impugnación se refiere a los apartados primero y tercero del citado precepto, que tienen el siguiente tenor literal:</w:t>
      </w:r>
    </w:p>
    <w:p w14:paraId="70D84A12" w14:textId="77777777" w:rsidR="009D7677" w:rsidRDefault="009D7677" w:rsidP="009D7677">
      <w:pPr>
        <w:pStyle w:val="TextoNormal"/>
      </w:pPr>
    </w:p>
    <w:p w14:paraId="3B4E3189" w14:textId="77777777" w:rsidR="009D7677" w:rsidRDefault="009D7677" w:rsidP="009D7677">
      <w:pPr>
        <w:pStyle w:val="TextoNormal"/>
      </w:pPr>
      <w:r>
        <w:t>“1. A efectos organizativos y para una adecuada gestión de la prestación se creará en cada comunidad autónoma y en el Instituto Nacional de Gestión Sanitaria (INGESA) un registro de personas profesionales sanitarias que decidan objetar por motivos de conciencia respecto de la intervención directa en la práctica de la interrupción voluntaria del embarazo.</w:t>
      </w:r>
    </w:p>
    <w:p w14:paraId="458F1915" w14:textId="77777777" w:rsidR="009D7677" w:rsidRDefault="009D7677" w:rsidP="009D7677">
      <w:pPr>
        <w:pStyle w:val="TextoNormal"/>
      </w:pPr>
    </w:p>
    <w:p w14:paraId="3B63FC93" w14:textId="77777777" w:rsidR="009D7677" w:rsidRDefault="009D7677" w:rsidP="009D7677">
      <w:pPr>
        <w:pStyle w:val="TextoNormal"/>
      </w:pPr>
      <w:r>
        <w:t>[…]</w:t>
      </w:r>
    </w:p>
    <w:p w14:paraId="198F8264" w14:textId="77777777" w:rsidR="009D7677" w:rsidRDefault="009D7677" w:rsidP="009D7677">
      <w:pPr>
        <w:pStyle w:val="TextoNormal"/>
      </w:pPr>
    </w:p>
    <w:p w14:paraId="73B8A0AD" w14:textId="77777777" w:rsidR="009D7677" w:rsidRDefault="009D7677" w:rsidP="009D7677">
      <w:pPr>
        <w:pStyle w:val="TextoNormal"/>
      </w:pPr>
      <w:r>
        <w:t>3. En el seno del Consejo Interterritorial del Sistema Nacional de Salud, se acordará un protocolo específico que incluya las condiciones mínimas para garantizar el cumplimiento de los objetivos perseguidos con la creación de este Registro, junto a la salvaguarda de la protección de datos de carácter personal, conforme a lo previsto en la disposición adicional cuarta”.</w:t>
      </w:r>
    </w:p>
    <w:p w14:paraId="4626838C" w14:textId="77777777" w:rsidR="009D7677" w:rsidRDefault="009D7677" w:rsidP="009D7677">
      <w:pPr>
        <w:pStyle w:val="TextoNormal"/>
      </w:pPr>
    </w:p>
    <w:p w14:paraId="28B00376" w14:textId="77777777" w:rsidR="009D7677" w:rsidRDefault="009D7677" w:rsidP="009D7677">
      <w:pPr>
        <w:pStyle w:val="TextoNormal"/>
      </w:pPr>
      <w:r>
        <w:t>B) Posiciones de las partes</w:t>
      </w:r>
    </w:p>
    <w:p w14:paraId="199770F4" w14:textId="77777777" w:rsidR="009D7677" w:rsidRDefault="009D7677" w:rsidP="009D7677">
      <w:pPr>
        <w:pStyle w:val="TextoNormal"/>
      </w:pPr>
    </w:p>
    <w:p w14:paraId="4327233E" w14:textId="77777777" w:rsidR="009D7677" w:rsidRDefault="009D7677" w:rsidP="009D7677">
      <w:pPr>
        <w:pStyle w:val="TextoNormal"/>
      </w:pPr>
      <w:r>
        <w:t xml:space="preserve">a) Dentro del motivo octavo del recurso se pueden distinguir claramente las tachas de inconstitucionalidad que se esgrimen frente a cada uno de los apartados impugnados del nuevo art. 19 </w:t>
      </w:r>
      <w:r w:rsidRPr="009D7677">
        <w:rPr>
          <w:i/>
        </w:rPr>
        <w:t>ter</w:t>
      </w:r>
      <w:r>
        <w:t xml:space="preserve"> de la Ley Orgánica 2/2010.</w:t>
      </w:r>
    </w:p>
    <w:p w14:paraId="74B96B5B" w14:textId="77777777" w:rsidR="009D7677" w:rsidRDefault="009D7677" w:rsidP="009D7677">
      <w:pPr>
        <w:pStyle w:val="TextoNormal"/>
      </w:pPr>
    </w:p>
    <w:p w14:paraId="71833665" w14:textId="77777777" w:rsidR="009D7677" w:rsidRDefault="009D7677" w:rsidP="009D7677">
      <w:pPr>
        <w:pStyle w:val="TextoNormal"/>
      </w:pPr>
      <w:r>
        <w:t xml:space="preserve">(i) Respecto del apartado primero del art. 19 </w:t>
      </w:r>
      <w:r w:rsidRPr="009D7677">
        <w:rPr>
          <w:i/>
        </w:rPr>
        <w:t>ter</w:t>
      </w:r>
      <w:r>
        <w:t xml:space="preserve"> de la Ley Orgánica 2/2010, introducido por la Ley Orgánica 1/2023, los recurrentes denuncian la vulneración del derecho a la igualdad de trato y no discriminación. No cuestionan los recurrentes que exista un registro de personas profesionales sanitarias objetoras de conciencia, por ser una cuestión sobre la que ya se ha pronunciado la STC 151/2014, de 25 de septiembre, sino que consideran que constituye una discriminación injustificada que el citado registro se limite a los profesionales sanitarios objetores y no a todos. A juicio de los demandantes lo proporcional sería que esa información se pidiera a todos los profesionales sanitarios y que, en vez de elaborar un censo de profesionales objetores, se elaborara un registro único en el que cada facultativo indicara su disponibilidad para participar o no en la práctica de abortos.</w:t>
      </w:r>
    </w:p>
    <w:p w14:paraId="6A09465A" w14:textId="77777777" w:rsidR="009D7677" w:rsidRDefault="009D7677" w:rsidP="009D7677">
      <w:pPr>
        <w:pStyle w:val="TextoNormal"/>
      </w:pPr>
    </w:p>
    <w:p w14:paraId="1995B200" w14:textId="77777777" w:rsidR="009D7677" w:rsidRDefault="009D7677" w:rsidP="009D7677">
      <w:pPr>
        <w:pStyle w:val="TextoNormal"/>
      </w:pPr>
      <w:r>
        <w:t xml:space="preserve">(ii) En relación con el apartado tercero del art. 19 </w:t>
      </w:r>
      <w:r w:rsidRPr="009D7677">
        <w:rPr>
          <w:i/>
        </w:rPr>
        <w:t>ter</w:t>
      </w:r>
      <w:r>
        <w:t xml:space="preserve"> de la Ley Orgánica 2/2010, denuncian una infracción del art. 18.4 CE, en relación con el derecho fundamental a la protección de datos de carácter personal. Entienden que se opera una deslegalización del control de la protección de los datos incorporados al registro, al hacerlo depender de un “protocolo”, lo que puede suponer en un mal uso de dichos datos.</w:t>
      </w:r>
    </w:p>
    <w:p w14:paraId="3E06B78A" w14:textId="77777777" w:rsidR="009D7677" w:rsidRDefault="009D7677" w:rsidP="009D7677">
      <w:pPr>
        <w:pStyle w:val="TextoNormal"/>
      </w:pPr>
    </w:p>
    <w:p w14:paraId="6EB77D0E" w14:textId="77777777" w:rsidR="009D7677" w:rsidRDefault="009D7677" w:rsidP="009D7677">
      <w:pPr>
        <w:pStyle w:val="TextoNormal"/>
      </w:pPr>
      <w:r>
        <w:lastRenderedPageBreak/>
        <w:t>b) El abogado del Estado, por su parte, afirma que la regulación de la objeción de conciencia que hace la Ley Orgánica 1/2023 es esencialmente la misma que ya tenía en cuenta la Ley Orgánica 2/2010 y que ha sido declarada constitucional por la STC 44/2023, FJ 9. Partiendo de estas consideraciones niega el carácter discriminatorio de la creación de registros de objetores de conciencia porque, aunque solo tengan por objeto recoger la objeción de conciencia de los profesionales sanitarios que decidan objetar por motivos de conciencia, hay que tener en cuenta que: (a) objetivamente, la situación de quien ejercita la objeción de conciencia para eximirse de una obligación legal no es la misma que la de quien no ejercita tal derecho; y (b) en todo caso, se persigue la finalidad legítima, consistente en lograr el equilibrio entre el respeto del derecho de los objetores y la correcta organización de los servicios sanitarios de modo que los derechos de las mujeres no se vean comprometidos.</w:t>
      </w:r>
    </w:p>
    <w:p w14:paraId="53961A38" w14:textId="77777777" w:rsidR="009D7677" w:rsidRDefault="009D7677" w:rsidP="009D7677">
      <w:pPr>
        <w:pStyle w:val="TextoNormal"/>
      </w:pPr>
    </w:p>
    <w:p w14:paraId="109617A3" w14:textId="77777777" w:rsidR="009D7677" w:rsidRDefault="009D7677" w:rsidP="009D7677">
      <w:pPr>
        <w:pStyle w:val="TextoNormal"/>
      </w:pPr>
      <w:r>
        <w:t xml:space="preserve">En segundo lugar, niega que el nuevo art. 19 </w:t>
      </w:r>
      <w:r w:rsidRPr="009D7677">
        <w:rPr>
          <w:i/>
        </w:rPr>
        <w:t>ter</w:t>
      </w:r>
      <w:r>
        <w:t xml:space="preserve"> de la Ley Orgánica 2/2010 haya procedido a la “deslegalización” del régimen de protección de los datos personales contenidos en los registros de personas objetoras de conciencia, pues el precepto remite expresamente a la disposición adicional cuarta de la Ley Orgánica 2/2010, modificada al efecto por la Ley Orgánica 1/2023, que regula esta manera expresa y pormenorizadamente.</w:t>
      </w:r>
    </w:p>
    <w:p w14:paraId="79A42D8C" w14:textId="77777777" w:rsidR="009D7677" w:rsidRDefault="009D7677" w:rsidP="009D7677">
      <w:pPr>
        <w:pStyle w:val="TextoNormal"/>
      </w:pPr>
    </w:p>
    <w:p w14:paraId="4C6AB451" w14:textId="77777777" w:rsidR="009D7677" w:rsidRDefault="009D7677" w:rsidP="009D7677">
      <w:pPr>
        <w:pStyle w:val="TextoNormal"/>
      </w:pPr>
      <w:r>
        <w:t>C) Enjuiciamiento</w:t>
      </w:r>
    </w:p>
    <w:p w14:paraId="3C475529" w14:textId="77777777" w:rsidR="009D7677" w:rsidRDefault="009D7677" w:rsidP="009D7677">
      <w:pPr>
        <w:pStyle w:val="TextoNormal"/>
      </w:pPr>
    </w:p>
    <w:p w14:paraId="76BC895C" w14:textId="77777777" w:rsidR="009D7677" w:rsidRDefault="009D7677" w:rsidP="009D7677">
      <w:pPr>
        <w:pStyle w:val="TextoNormal"/>
      </w:pPr>
      <w:r>
        <w:t xml:space="preserve">a) Procede, en primer lugar, abordar la impugnación relativa al apartado primero del art. 19 </w:t>
      </w:r>
      <w:r w:rsidRPr="009D7677">
        <w:rPr>
          <w:i/>
        </w:rPr>
        <w:t>ter</w:t>
      </w:r>
      <w:r>
        <w:t xml:space="preserve"> de la Ley Orgánica 2/2010.</w:t>
      </w:r>
    </w:p>
    <w:p w14:paraId="1113142B" w14:textId="77777777" w:rsidR="009D7677" w:rsidRDefault="009D7677" w:rsidP="009D7677">
      <w:pPr>
        <w:pStyle w:val="TextoNormal"/>
      </w:pPr>
    </w:p>
    <w:p w14:paraId="7C904A8A" w14:textId="77777777" w:rsidR="009D7677" w:rsidRDefault="009D7677" w:rsidP="009D7677">
      <w:pPr>
        <w:pStyle w:val="TextoNormal"/>
      </w:pPr>
      <w:r>
        <w:t xml:space="preserve">Como han apuntado tanto los diputados recurrentes como el abogado del Estado, no constituyen el objeto del presente recurso de inconstitucionalidad ni la regulación de la objeción de conciencia de los profesionales sanitarios en relación con la práctica de la interrupción voluntaria del embarazo (nuevo art. 19 </w:t>
      </w:r>
      <w:r w:rsidRPr="009D7677">
        <w:rPr>
          <w:i/>
        </w:rPr>
        <w:t>bis</w:t>
      </w:r>
      <w:r>
        <w:t xml:space="preserve"> de la Ley Orgánica 2/2010, no impugnado) ni tampoco la creación de los registros de personas objetoras de conciencia (art. 19 </w:t>
      </w:r>
      <w:r w:rsidRPr="009D7677">
        <w:rPr>
          <w:i/>
        </w:rPr>
        <w:t>ter</w:t>
      </w:r>
      <w:r>
        <w:t xml:space="preserve">.1 Ley Orgánica 2/2010), cuestiones ambas sobre las que ya ha tenido ocasión de pronunciarse este tribunal en las SSTC 151/2014, FFJJ 5 y 6, y 44/2023, FJ 9, en el sentido de afirmar su compatibilidad con los derechos a la libertad ideológica y religiosa (art. 16.1 CE) y a la intimidad (art. 18.1 CE). La cuestión controvertida sobre la que ha de pronunciarse este tribunal se refiere a un aspecto específico relativo al modo en que se ha definido el contenido de estos registros. El recurso sostiene que el art. 19 </w:t>
      </w:r>
      <w:r w:rsidRPr="009D7677">
        <w:rPr>
          <w:i/>
        </w:rPr>
        <w:t>ter</w:t>
      </w:r>
      <w:r>
        <w:t>, apartado primero, de la Ley Orgánica 2/2010, en la redacción dada por la Ley Orgánica 1/2023, incurre en discriminación porque solo exige la inscripción en los registros de personas objetoras de conciencia a los profesionales sanitarios objetores a la práctica de interrupción voluntario del embarazo, frente al modelo que postulan como más adecuado y que consistiría en la elaboración de un único registro en el que todo el personal sanitario indicara su disponibilidad para participar o no en dicha práctica.</w:t>
      </w:r>
    </w:p>
    <w:p w14:paraId="012438D6" w14:textId="77777777" w:rsidR="009D7677" w:rsidRDefault="009D7677" w:rsidP="009D7677">
      <w:pPr>
        <w:pStyle w:val="TextoNormal"/>
      </w:pPr>
    </w:p>
    <w:p w14:paraId="60002F42" w14:textId="77777777" w:rsidR="009D7677" w:rsidRDefault="009D7677" w:rsidP="009D7677">
      <w:pPr>
        <w:pStyle w:val="TextoNormal"/>
      </w:pPr>
      <w:r>
        <w:t>Así delimitado el objeto de nuestro enjuiciamiento, se puede avanzar ya la desestimación del motivo de impugnación, porque la existencia de un registro en el que se han de inscribir las personas objetoras de conciencia, y no todos los profesionales sanitarios, no puede tildarse de discriminatorio.</w:t>
      </w:r>
    </w:p>
    <w:p w14:paraId="6B371B57" w14:textId="77777777" w:rsidR="009D7677" w:rsidRDefault="009D7677" w:rsidP="009D7677">
      <w:pPr>
        <w:pStyle w:val="TextoNormal"/>
      </w:pPr>
    </w:p>
    <w:p w14:paraId="5CCCC0C0" w14:textId="77777777" w:rsidR="009D7677" w:rsidRDefault="009D7677" w:rsidP="009D7677">
      <w:pPr>
        <w:pStyle w:val="TextoNormal"/>
      </w:pPr>
      <w:r>
        <w:lastRenderedPageBreak/>
        <w:t>De acuerdo con doctrina constitucional reiterada, el principio de igualdad en la ley o en la aplicación de la ley se vulnera cuando se produce un trato desigual carente de justificación objetiva y razonable por parte del poder público, pero “la sola enunciación del contenido de este principio pone de manifiesto la necesidad de que, quien alegue la infracción del artículo 14 CE, en cuanto consagra el derecho a la igualdad, aporte para fundar su alegación un término de comparación válido, del que se desprenda con claridad la desigualdad denunciada, porque la infracción del derecho a la igualdad no puede valorarse aisladamente. Como derecho relacional, su infracción requiere inexcusablemente como presupuesto la existencia de una diferencia de trato entre situaciones sustancialmente iguales, cuya razonabilidad o no deberá valorarse con posterioridad. Y esta diferencia de trato es, por lo tanto, un extremo que debe ser adecuadamente puesto de manifiesto por el interesado” (STC 103/2018, de 4 de octubre, FJ 5, con cita de la STC 106/1994, de 11 de abril, FJ 2).</w:t>
      </w:r>
    </w:p>
    <w:p w14:paraId="6ECEE4F9" w14:textId="77777777" w:rsidR="009D7677" w:rsidRDefault="009D7677" w:rsidP="009D7677">
      <w:pPr>
        <w:pStyle w:val="TextoNormal"/>
      </w:pPr>
    </w:p>
    <w:p w14:paraId="5455EB51" w14:textId="77777777" w:rsidR="009D7677" w:rsidRDefault="009D7677" w:rsidP="009D7677">
      <w:pPr>
        <w:pStyle w:val="TextoNormal"/>
      </w:pPr>
      <w:r>
        <w:t>En el caso que nos ocupa, el recurso de inconstitucionalidad pretende confrontar la situación de los profesionales sanitarios objetores de conciencia a la del resto de profesionales sanitarios. Sin embargo, la situación jurídica en que se encuentran unos y otros no es en absoluto idéntica y ni siquiera puede considerarse equiparable. La tesis del recurso obvia que la objeción de conciencia coloca a quien la ejerce válidamente en una posición jurídica excepcional, permitiéndole sustraerse del cumplimiento de obligaciones de carácter general que por su naturaleza colisionan o no son conciliables con sus más arraigadas convicciones [STC 94 2023, de 12 de septiembre, FJ 4 B) b) (ii)], lo que, concretamente en relación con la interrupción voluntaria del embarazo, se materializa en “el apartamiento del profesional sanitario ante una intervención que constituye, con carácter general, un imperativo legal” (STC 44/2023, FJ 9).</w:t>
      </w:r>
    </w:p>
    <w:p w14:paraId="2725A66A" w14:textId="77777777" w:rsidR="009D7677" w:rsidRDefault="009D7677" w:rsidP="009D7677">
      <w:pPr>
        <w:pStyle w:val="TextoNormal"/>
      </w:pPr>
    </w:p>
    <w:p w14:paraId="3030E34B" w14:textId="77777777" w:rsidR="009D7677" w:rsidRDefault="009D7677" w:rsidP="009D7677">
      <w:pPr>
        <w:pStyle w:val="TextoNormal"/>
      </w:pPr>
      <w:r>
        <w:t>Sin perjuicio de lo anterior, y aun en el caso de considerar comparables ambas situaciones, lo que no puede negarse es que la existencia de un registro en el que únicamente se inscriban las personas objetoras cuenta con una justificación objetiva y razonable. Como ha señalado este tribunal, este tipo de registros tienen por finalidad que los responsables de los servicios públicos de salud “tengan conocimiento de la disponibilidad del personal sanitario y puedan organizar en la debida forma la prestación de la interrupción voluntaria del embarazo”, esto es, que la administración “conozca a efectos organizativos y para una adecuada gestión de dicha prestación sanitaria quienes en ejercicio de su derecho a la objeción de conciencia rechazan realizar tal práctica” (STC 151/2014, FJ 5). Para asegurar la correcta prestación de la interrupción voluntaria del embarazo, únicamente es indispensable conocer qué profesionales sanitarios de los directamente implicados en dicha intervención rechazan su realización por motivos de conciencia y, en consecuencia, habrán de quedar apartados de la misma, puesto que respecto del resto se ha de asumir que sí la llevarán a cabo, como parte de sus obligaciones profesionales, sin necesidad de recabar respecto de estos últimos ninguna declaración adicional. Además, mientras que respecto de los profesionales objetores de conciencia puede resultar necesario, eventualmente, que alguna autoridad administrativa compruebe que ejercen su derecho conforme a los procedimientos que se establezcan para su ejercicio [como ocurría en el caso examinado en la STC 151/2014, FJ 6 d)], ninguna comprobación adicional cabe realizar respecto de quienes no manifiestan la incompatibilidad entre sus convicciones personales más profundas y el cumplimiento de una obligación legal.</w:t>
      </w:r>
    </w:p>
    <w:p w14:paraId="51E02BE7" w14:textId="77777777" w:rsidR="009D7677" w:rsidRDefault="009D7677" w:rsidP="009D7677">
      <w:pPr>
        <w:pStyle w:val="TextoNormal"/>
      </w:pPr>
    </w:p>
    <w:p w14:paraId="41BE8C21" w14:textId="77777777" w:rsidR="009D7677" w:rsidRDefault="009D7677" w:rsidP="009D7677">
      <w:pPr>
        <w:pStyle w:val="TextoNormal"/>
      </w:pPr>
      <w:r>
        <w:lastRenderedPageBreak/>
        <w:t>En el fondo, lo que subyace en el recurso de inconstitucionalidad no es tanto la denuncia de una situación de discriminación —que ya se ha demostrado inexistente— sino más bien que el ejercicio de la objeción de conciencia obliga a los profesionales sanitarios objetores a manifestar sus convicciones ideológicas, morales y religiosas, lo cual no ocurre respecto de los profesionales sanitarios no objetores. Frente a ello, hemos de reiterar que el ejercicio de la objeción de conciencia “no puede, por definición, permanecer en la esfera íntima del sujeto, pues trae causa [de] la exención del cumplimiento de un deber y, en consecuencia, el objetor ‘ha de prestar la necesaria colaboración si quiere que su derecho sea efectivo para facilitar la tarea de los poderes públicos en ese sentido […], colaboración que ya comienza, en principio, por la renuncia del titular del derecho a mantenerlo —frente a la coacción externa— en la intimidad personal, en cuanto nadie está obligado a declarar sobre su ideología, religión o creencias (art. 16.2 CE)’” [STC 19/2023, FJ 10 C) c), con cita de la STC 160/1987, de 27 de octubre, FJ 4]. En definitiva, como afirmamos en la STC 44/2023, FJ 9, “[e]l personal sanitario puede objetar o no, pero si decide hacerlo, tal decisión conlleva la exteriorización de sus reservas ideológicas, religiosas o morales hacia la práctica del aborto”.</w:t>
      </w:r>
    </w:p>
    <w:p w14:paraId="5641503A" w14:textId="77777777" w:rsidR="009D7677" w:rsidRDefault="009D7677" w:rsidP="009D7677">
      <w:pPr>
        <w:pStyle w:val="TextoNormal"/>
      </w:pPr>
    </w:p>
    <w:p w14:paraId="48A26E1D" w14:textId="77777777" w:rsidR="009D7677" w:rsidRDefault="009D7677" w:rsidP="009D7677">
      <w:pPr>
        <w:pStyle w:val="TextoNormal"/>
      </w:pPr>
      <w:r>
        <w:t>Por todo ello, procede la desestimación de este motivo de impugnación.</w:t>
      </w:r>
    </w:p>
    <w:p w14:paraId="03E64CA5" w14:textId="77777777" w:rsidR="009D7677" w:rsidRDefault="009D7677" w:rsidP="009D7677">
      <w:pPr>
        <w:pStyle w:val="TextoNormal"/>
      </w:pPr>
    </w:p>
    <w:p w14:paraId="1B125F76" w14:textId="77777777" w:rsidR="009D7677" w:rsidRDefault="009D7677" w:rsidP="009D7677">
      <w:pPr>
        <w:pStyle w:val="TextoNormal"/>
      </w:pPr>
      <w:r>
        <w:t>b) Debe ahora examinarse la impugnación relativa al apartado tercero del art. 1</w:t>
      </w:r>
      <w:r w:rsidRPr="009D7677">
        <w:rPr>
          <w:i/>
        </w:rPr>
        <w:t>9 t</w:t>
      </w:r>
      <w:r>
        <w:t>er de la Ley Orgánica 2/2010.</w:t>
      </w:r>
    </w:p>
    <w:p w14:paraId="2D8C4C9F" w14:textId="77777777" w:rsidR="009D7677" w:rsidRDefault="009D7677" w:rsidP="009D7677">
      <w:pPr>
        <w:pStyle w:val="TextoNormal"/>
      </w:pPr>
    </w:p>
    <w:p w14:paraId="53A14EFA" w14:textId="77777777" w:rsidR="009D7677" w:rsidRDefault="009D7677" w:rsidP="009D7677">
      <w:pPr>
        <w:pStyle w:val="TextoNormal"/>
      </w:pPr>
      <w:r>
        <w:t xml:space="preserve">(i) El art. 19 </w:t>
      </w:r>
      <w:r w:rsidRPr="009D7677">
        <w:rPr>
          <w:i/>
        </w:rPr>
        <w:t>ter</w:t>
      </w:r>
      <w:r>
        <w:t xml:space="preserve"> de la Ley Orgánica 2/2010, apartado tercero, en la redacción impugnada dada por la Ley Orgánica 1/2023, establece que en el seno del Consejo Interterritorial del Sistema Nacional de Salud se acordará un protocolo específico que incluirá las condiciones mínimas para el cumplimiento de los objetivos perseguidos con la creación de los registros de personas objetoras de conciencia, junto con la salvaguarda de la protección de datos de carácter personal, remitiendo en cuanto a esto último a lo dispuesto en la disposición adicional cuarta de la Ley Orgánica 2/2010. Esta disposición adicional cuarta de la Ley Orgánica 2/2010 se introduce como novedad por el apartado vigésimo quinto de la Ley Orgánica 1/2023 y lleva por rúbrica “Protección de datos de carácter personal en los registros de personas objetoras de conciencia”.</w:t>
      </w:r>
    </w:p>
    <w:p w14:paraId="669D9229" w14:textId="77777777" w:rsidR="009D7677" w:rsidRDefault="009D7677" w:rsidP="009D7677">
      <w:pPr>
        <w:pStyle w:val="TextoNormal"/>
      </w:pPr>
    </w:p>
    <w:p w14:paraId="78438002" w14:textId="77777777" w:rsidR="009D7677" w:rsidRDefault="009D7677" w:rsidP="009D7677">
      <w:pPr>
        <w:pStyle w:val="TextoNormal"/>
      </w:pPr>
      <w:r>
        <w:t xml:space="preserve">La tesis de los recurrentes es que, en la medida en que el apartado tercero del art. 19 </w:t>
      </w:r>
      <w:r w:rsidRPr="009D7677">
        <w:rPr>
          <w:i/>
        </w:rPr>
        <w:t>ter</w:t>
      </w:r>
      <w:r>
        <w:t xml:space="preserve"> de la Ley Orgánica 2/2010 remite al protocolo que apruebe el Consejo Interterritorial del Sistema Nacional de Salud, se deslegaliza el régimen de protección de los datos de carácter personal incorporados a los citados registros, lo que constituiría una vulneración del art. 18.4 CE.</w:t>
      </w:r>
    </w:p>
    <w:p w14:paraId="278AFDB7" w14:textId="77777777" w:rsidR="009D7677" w:rsidRDefault="009D7677" w:rsidP="009D7677">
      <w:pPr>
        <w:pStyle w:val="TextoNormal"/>
      </w:pPr>
    </w:p>
    <w:p w14:paraId="7E4F81D7" w14:textId="77777777" w:rsidR="009D7677" w:rsidRDefault="009D7677" w:rsidP="009D7677">
      <w:pPr>
        <w:pStyle w:val="TextoNormal"/>
      </w:pPr>
      <w:r>
        <w:t>(ii) Antes de examinar el fondo de la queja planteada por los recurrentes, resulta preciso recordar las líneas generales de la doctrina de este tribunal en relación con las injerencias en el derecho fundamental a la protección de datos de carácter personal, fijadas en las SSTC 76/2019, de 22 de mayo y 292/2000, de 30 de noviembre, con carácter general, así como en la STC 151/2014, FJ 7, dictada precisamente en relación con la creación por ley autonómica de un registro de profesionales sanitarios objetores de conciencia en el ámbito de la interrupción voluntaria del embarazo.</w:t>
      </w:r>
    </w:p>
    <w:p w14:paraId="4B8B4B62" w14:textId="77777777" w:rsidR="009D7677" w:rsidRDefault="009D7677" w:rsidP="009D7677">
      <w:pPr>
        <w:pStyle w:val="TextoNormal"/>
      </w:pPr>
    </w:p>
    <w:p w14:paraId="4C603B26" w14:textId="77777777" w:rsidR="009D7677" w:rsidRDefault="009D7677" w:rsidP="009D7677">
      <w:pPr>
        <w:pStyle w:val="TextoNormal"/>
      </w:pPr>
      <w:r>
        <w:lastRenderedPageBreak/>
        <w:t>Partiendo del carácter no absoluto del derecho fundamental a la protección de datos de carácter personal, la STC 76/2019 reconoció que el mismo podía ser restringido “por medio de la ley, siempre que ello responda a un fin de interés general, y los requisitos y el alcance de la restricción estén suficientemente precisados en la ley y respeten el principio de proporcionalidad” [FJ 5 d)].</w:t>
      </w:r>
    </w:p>
    <w:p w14:paraId="390BE457" w14:textId="77777777" w:rsidR="009D7677" w:rsidRDefault="009D7677" w:rsidP="009D7677">
      <w:pPr>
        <w:pStyle w:val="TextoNormal"/>
      </w:pPr>
    </w:p>
    <w:p w14:paraId="7771F1FA" w14:textId="77777777" w:rsidR="009D7677" w:rsidRDefault="009D7677" w:rsidP="009D7677">
      <w:pPr>
        <w:pStyle w:val="TextoNormal"/>
      </w:pPr>
      <w:r>
        <w:t>Del mismo modo, señaló la STC 76/2019, FJ 5 d), que la reserva de ley en esta materia se traduce en una doble exigencia: de un lado, “la necesaria intervención de la ley para habilitar la injerencia” en el derecho a la protección de datos de carácter personal; y, de otro lado, que la ley “ha de reunir todas aquellas características indispensables como garantía de la seguridad jurídica”. Dijimos entonces, con cita de la STC 292/2000, FJ 15, que “aun teniendo un fundamento constitucional, las limitaciones del derecho fundamental establecidas por una ley pueden vulnerar la Constitución si adolecen de falta de certeza y previsibilidad en los propios límites que imponen y su modo de aplicación”, pues “la falta de precisión de la ley en los presupuestos materiales de la limitación de un derecho fundamental es susceptible de generar una indeterminación sobre los casos a los que se aplica tal restricción”.</w:t>
      </w:r>
    </w:p>
    <w:p w14:paraId="2FEED1D3" w14:textId="77777777" w:rsidR="009D7677" w:rsidRDefault="009D7677" w:rsidP="009D7677">
      <w:pPr>
        <w:pStyle w:val="TextoNormal"/>
      </w:pPr>
    </w:p>
    <w:p w14:paraId="61CA47C3" w14:textId="77777777" w:rsidR="009D7677" w:rsidRDefault="009D7677" w:rsidP="009D7677">
      <w:pPr>
        <w:pStyle w:val="TextoNormal"/>
      </w:pPr>
      <w:r>
        <w:t>Además, la doctrina constitucional ha venido exigiendo al legislador que “también establezca garantías adecuadas de tipo técnico, organizativo y procedimental, que prevengan los riesgos de distinta probabilidad y gravedad y mitiguen sus efectos, pues solo así se puede procurar el respeto del contenido esencial del propio derecho fundamental” (STC 76/2019, FJ 6). Y ha hecho hincapié especialmente en la importancia de disponer de dichas garantías adecuadas cuando el tratamiento afecta a categorías especiales de datos personales o datos sensibles [STC 76/2019, FJ 6 c)], como podrían ser algunos de los recopilados en los registros de personas objetoras de conciencia, en tanto que los mismos pudieran revelar las opiniones políticas o las convicciones filosóficas o religiosas de los profesionales sanitarios afectados [art. 9.1 del Reglamento (UE) 2016/679, del Parlamento Europeo y del Consejo, de 27 de abril de 2016, relativo a la protección de las personas físicas en lo que respecta al tratamiento de datos personales y a la libre circulación de estos datos (Reglamento general de protección de datos)].</w:t>
      </w:r>
    </w:p>
    <w:p w14:paraId="523DCC84" w14:textId="77777777" w:rsidR="009D7677" w:rsidRDefault="009D7677" w:rsidP="009D7677">
      <w:pPr>
        <w:pStyle w:val="TextoNormal"/>
      </w:pPr>
    </w:p>
    <w:p w14:paraId="5AECB616" w14:textId="77777777" w:rsidR="009D7677" w:rsidRDefault="009D7677" w:rsidP="009D7677">
      <w:pPr>
        <w:pStyle w:val="TextoNormal"/>
      </w:pPr>
      <w:r>
        <w:t>En cuanto a estas garantías adecuadas, la STC 76/2019, FJ 8, aclaró la cuestión de si las garantías adecuadas frente al uso de la informática deben contenerse en la propia ley que autoriza y regula ese uso o pueden encontrarse también en otras fuentes normativas, en el sentido de que “[l]a previsión de las garantías adecuadas no puede deferirse a un momento posterior a la regulación legal del tratamiento de datos personales de que se trate. Las garantías adecuadas deben estar incorporadas a la propia regulación legal del tratamiento, ya sea directamente o por remisión expresa y perfectamente delimitada a fuentes externas que posean el rango normativo adecuado”.</w:t>
      </w:r>
    </w:p>
    <w:p w14:paraId="484D96B2" w14:textId="77777777" w:rsidR="009D7677" w:rsidRDefault="009D7677" w:rsidP="009D7677">
      <w:pPr>
        <w:pStyle w:val="TextoNormal"/>
      </w:pPr>
    </w:p>
    <w:p w14:paraId="088880F6" w14:textId="77777777" w:rsidR="009D7677" w:rsidRDefault="009D7677" w:rsidP="009D7677">
      <w:pPr>
        <w:pStyle w:val="TextoNormal"/>
      </w:pPr>
      <w:r>
        <w:t xml:space="preserve">(iii) Una vez expuesta la doctrina constitucional aplicable, estamos ya en disposición de examinar si, como afirman los recurrentes, el art. 19 </w:t>
      </w:r>
      <w:r w:rsidRPr="009D7677">
        <w:rPr>
          <w:i/>
        </w:rPr>
        <w:t>ter</w:t>
      </w:r>
      <w:r>
        <w:t>.3 de la Ley Orgánica 2/2010, en la redacción dada por la Ley Orgánica 1/2023, ha operado una deslegalización del régimen de protección de datos de carácter personal incluidos en los registros de personas objetoras de conciencia, lesiva del art. 18.4 CE.</w:t>
      </w:r>
    </w:p>
    <w:p w14:paraId="52C7AE4B" w14:textId="77777777" w:rsidR="009D7677" w:rsidRDefault="009D7677" w:rsidP="009D7677">
      <w:pPr>
        <w:pStyle w:val="TextoNormal"/>
      </w:pPr>
    </w:p>
    <w:p w14:paraId="43698BCD" w14:textId="77777777" w:rsidR="009D7677" w:rsidRDefault="009D7677" w:rsidP="009D7677">
      <w:pPr>
        <w:pStyle w:val="TextoNormal"/>
      </w:pPr>
      <w:r>
        <w:t>El motivo ha de ser desestimado por diversas razones.</w:t>
      </w:r>
    </w:p>
    <w:p w14:paraId="7FE23E0F" w14:textId="77777777" w:rsidR="009D7677" w:rsidRDefault="009D7677" w:rsidP="009D7677">
      <w:pPr>
        <w:pStyle w:val="TextoNormal"/>
      </w:pPr>
    </w:p>
    <w:p w14:paraId="2AD971A5" w14:textId="77777777" w:rsidR="009D7677" w:rsidRDefault="009D7677" w:rsidP="009D7677">
      <w:pPr>
        <w:pStyle w:val="TextoNormal"/>
      </w:pPr>
      <w:r>
        <w:t xml:space="preserve">De entrada, el recurso parte de una comprensión incorrecta del precepto impugnado. El apartado tercero del art. 19 </w:t>
      </w:r>
      <w:r w:rsidRPr="009D7677">
        <w:rPr>
          <w:i/>
        </w:rPr>
        <w:t>ter</w:t>
      </w:r>
      <w:r>
        <w:t xml:space="preserve"> de la Ley Orgánica 2/2010 no deslegaliza el régimen de protección de datos personales incorporados a los registros de personas objetoras de conciencia remitiendo dicho régimen a lo que establezca el protocolo aprobado por el Consejo Interterritorial del Sistema Nacional de Salud. Por el contrario, el precepto impugnado establece que la salvaguarda de la protección de datos de carácter personal se llevará a cabo “conforme a lo previsto en la disposición adicional cuarta”.</w:t>
      </w:r>
    </w:p>
    <w:p w14:paraId="03D8F7BA" w14:textId="77777777" w:rsidR="009D7677" w:rsidRDefault="009D7677" w:rsidP="009D7677">
      <w:pPr>
        <w:pStyle w:val="TextoNormal"/>
      </w:pPr>
    </w:p>
    <w:p w14:paraId="20BF4248" w14:textId="77777777" w:rsidR="009D7677" w:rsidRDefault="009D7677" w:rsidP="009D7677">
      <w:pPr>
        <w:pStyle w:val="TextoNormal"/>
      </w:pPr>
      <w:r>
        <w:t>El apartado vigésimo quinto del artículo único de la Ley Orgánica 1/2023 ha introducido una nueva disposición adicional cuarta en la Ley Orgánica 2/2010 que tiene por objeto la “[p]rotección de datos de carácter personal en los registros de personas objetoras de conciencia”. Esta disposición adicional cuarta regula de manera expresa y pormenorizada el tratamiento de estos datos personales, en unos términos que cabe considerar ajustados a la doctrina constitucional antes expuesta.</w:t>
      </w:r>
    </w:p>
    <w:p w14:paraId="17E6AA9A" w14:textId="77777777" w:rsidR="009D7677" w:rsidRDefault="009D7677" w:rsidP="009D7677">
      <w:pPr>
        <w:pStyle w:val="TextoNormal"/>
      </w:pPr>
    </w:p>
    <w:p w14:paraId="5230346A" w14:textId="77777777" w:rsidR="009D7677" w:rsidRDefault="009D7677" w:rsidP="009D7677">
      <w:pPr>
        <w:pStyle w:val="TextoNormal"/>
      </w:pPr>
      <w:r>
        <w:t>Así, en primer lugar, la habilitación para el tratamiento de estos datos de carácter personal incorporados a los registros de personas objetoras de conciencia se recoge en una norma con rango de ley.</w:t>
      </w:r>
    </w:p>
    <w:p w14:paraId="260221BA" w14:textId="77777777" w:rsidR="009D7677" w:rsidRDefault="009D7677" w:rsidP="009D7677">
      <w:pPr>
        <w:pStyle w:val="TextoNormal"/>
      </w:pPr>
    </w:p>
    <w:p w14:paraId="5EE52EA8" w14:textId="77777777" w:rsidR="009D7677" w:rsidRDefault="009D7677" w:rsidP="009D7677">
      <w:pPr>
        <w:pStyle w:val="TextoNormal"/>
      </w:pPr>
      <w:r>
        <w:t>La norma legal permite identificar sin dificultades la necesidad de interés general a que responde, toda vez que en su apartado cuarto se identifica como finalidad del tratamiento “la garantía de la prestación de la interrupción voluntaria del embarazo, adecuando los recursos humanos a la correcta programación de las intervenciones de interrupción voluntaria del embarazo”. Esta finalidad ha de ser calificada como legítima, en tanto que el tratamiento de estos datos se prevé como un medio para asegurar la plena efectividad del derecho a la interrupción voluntaria del embarazo de las mujeres regulado en la Ley Orgánica 2/2010. Además, se prohíbe que estos datos puedan ser utilizados “con fines distintos a los establecidos en este precepto”.</w:t>
      </w:r>
    </w:p>
    <w:p w14:paraId="23CC688E" w14:textId="77777777" w:rsidR="009D7677" w:rsidRDefault="009D7677" w:rsidP="009D7677">
      <w:pPr>
        <w:pStyle w:val="TextoNormal"/>
      </w:pPr>
    </w:p>
    <w:p w14:paraId="4FFB79D3" w14:textId="77777777" w:rsidR="009D7677" w:rsidRDefault="009D7677" w:rsidP="009D7677">
      <w:pPr>
        <w:pStyle w:val="TextoNormal"/>
      </w:pPr>
      <w:r>
        <w:t>Por otro lado, esta disposición adicional cuarta regula con suficiente precisión los requisitos y el alcance del tratamiento de estos datos. De esta forma, además de la finalidad perseguida, ya mencionada, se identifica el fundamento jurídico que legitima el tratamiento de estos datos (apartado segundo); se establece que los datos recogidos de las personas objetoras serán los estrictamente necesarios para identificar al personal de los centros sanitarios cuyas funciones conlleven la participación directa en la interrupción voluntaria del embarazo y que, en todo caso, deberán ser adecuados, pertinentes y limitados a lo necesario en relación con los fines para los que son recogidos, no debiendo incluirse, en ningún caso, el motivo de la objeción (apartado tercero); se identifican los responsables del tratamiento (apartado cuarto), así como se detallan las personas que tienen la condición de destinatarias de los datos recogidos (apartado quinto); y se limita la conservación de los datos al tiempo necesario para el cumplimiento del fin para el cual fueron recogidos, imponiendo la supresión definitiva de los mismos una vez haya trascurrido dicho período de conservación (apartado noveno).</w:t>
      </w:r>
    </w:p>
    <w:p w14:paraId="508504F2" w14:textId="77777777" w:rsidR="009D7677" w:rsidRDefault="009D7677" w:rsidP="009D7677">
      <w:pPr>
        <w:pStyle w:val="TextoNormal"/>
      </w:pPr>
    </w:p>
    <w:p w14:paraId="4891385B" w14:textId="77777777" w:rsidR="009D7677" w:rsidRDefault="009D7677" w:rsidP="009D7677">
      <w:pPr>
        <w:pStyle w:val="TextoNormal"/>
      </w:pPr>
      <w:r>
        <w:t>Además, en lo que hace a las garantías adecuadas, el apartado décimo de la disposición adicional cuarta impone a las administraciones públicas responsables del tratamiento el deber de implementar la protección de datos, conforme a lo previsto en el art. 25 del Re</w:t>
      </w:r>
      <w:r>
        <w:lastRenderedPageBreak/>
        <w:t>glamento general de protección de datos, realizando desde el momento de la concepción del tratamiento el completo análisis de riesgos y la evaluación de impactos para determinar las medidas técnicas y organizativas. Tales medidas, continúa diciendo el apartado décimo, garantizarán los derechos y libertades de la persona interesada, así como la confidencialidad, integridad, disponibilidad, autenticidad y trazabilidad de los accesos a los datos, teniendo en cuenta, en todo momento, lo previsto en el Real Decreto 311/2022, de 3 de mayo, por el que se regula el Esquema Nacional de Seguridad.</w:t>
      </w:r>
    </w:p>
    <w:p w14:paraId="5C5C6FAA" w14:textId="77777777" w:rsidR="009D7677" w:rsidRDefault="009D7677" w:rsidP="009D7677">
      <w:pPr>
        <w:pStyle w:val="TextoNormal"/>
      </w:pPr>
    </w:p>
    <w:p w14:paraId="4902CA57" w14:textId="77777777" w:rsidR="009D7677" w:rsidRDefault="009D7677" w:rsidP="009D7677">
      <w:pPr>
        <w:pStyle w:val="TextoNormal"/>
      </w:pPr>
      <w:r>
        <w:t xml:space="preserve">Por lo tanto, en modo alguno puede afirmarse que el precepto cuestionado haya llevado a cabo la deslegalización del control de la protección de datos de carácter personal recopilados en los registros de personas objetoras de conciencia, sino precisamente todo lo contrario. La disposición adicional cuarta de la Ley Orgánica 2/2010, a cuyas determinaciones habrá de sujetarse el protocolo del Consejo Interterritorial del Sistema Nacional de Salud previsto en el nuevo art. 19 </w:t>
      </w:r>
      <w:r w:rsidRPr="009D7677">
        <w:rPr>
          <w:i/>
        </w:rPr>
        <w:t>ter</w:t>
      </w:r>
      <w:r>
        <w:t xml:space="preserve"> 3 de la Ley Orgánica 2/2010, colma la exigencia de predeterminación legal con un suficiente nivel de precisión, previsibilidad y certeza.</w:t>
      </w:r>
    </w:p>
    <w:p w14:paraId="63DA7477" w14:textId="77777777" w:rsidR="009D7677" w:rsidRDefault="009D7677" w:rsidP="009D7677">
      <w:pPr>
        <w:pStyle w:val="TextoNormal"/>
      </w:pPr>
    </w:p>
    <w:p w14:paraId="436C48ED" w14:textId="77777777" w:rsidR="009D7677" w:rsidRDefault="009D7677" w:rsidP="009D7677">
      <w:pPr>
        <w:pStyle w:val="TextoNormal"/>
      </w:pPr>
      <w:r>
        <w:t>Por último, el argumento de los recurrentes que apunta a que el protocolo podría dar lugar a un mal uso de los datos no puede prosperar, por tratarse de un motivo de impugnación de carácter preventivo. Como ha declarado este tribunal “la mera posibilidad de un uso torticero de las normas no puede ser nunca motivo bastante para declarar su inconstitucionalidad” [STC 183/2021, de 27 de octubre, FJ 7 B) c) (ii</w:t>
      </w:r>
      <w:r w:rsidRPr="009D7677">
        <w:rPr>
          <w:i/>
        </w:rPr>
        <w:t>) in fi</w:t>
      </w:r>
      <w:r>
        <w:t>ne, y las sentencias allí citadas].</w:t>
      </w:r>
    </w:p>
    <w:p w14:paraId="4027F79B" w14:textId="77777777" w:rsidR="009D7677" w:rsidRDefault="009D7677" w:rsidP="009D7677">
      <w:pPr>
        <w:pStyle w:val="TextoNormal"/>
      </w:pPr>
    </w:p>
    <w:p w14:paraId="01B270AD" w14:textId="7A214AA6" w:rsidR="009D7677" w:rsidRDefault="009D7677" w:rsidP="009D7677">
      <w:pPr>
        <w:pStyle w:val="TextoNormal"/>
      </w:pPr>
      <w:r>
        <w:t>En conclusión, debe desestimarse este motivo de impugnación y, con él, la totalidad del recurso de inconstitucionalidad.</w:t>
      </w:r>
    </w:p>
    <w:p w14:paraId="437217C9" w14:textId="77777777" w:rsidR="009D7677" w:rsidRDefault="009D7677" w:rsidP="009D7677">
      <w:pPr>
        <w:pStyle w:val="TextoNormal"/>
      </w:pPr>
    </w:p>
    <w:p w14:paraId="18BB5CE4" w14:textId="77777777" w:rsidR="009D7677" w:rsidRDefault="009D7677" w:rsidP="009D7677">
      <w:pPr>
        <w:pStyle w:val="TextoNormalCentrado"/>
        <w:keepNext/>
      </w:pPr>
      <w:r>
        <w:t>FALLO</w:t>
      </w:r>
    </w:p>
    <w:p w14:paraId="33EF47AC" w14:textId="7D9D5B0F" w:rsidR="009D7677" w:rsidRDefault="009D7677" w:rsidP="009D7677">
      <w:pPr>
        <w:pStyle w:val="TextoNormalCentrado"/>
        <w:keepNext/>
      </w:pPr>
    </w:p>
    <w:p w14:paraId="6CF0DE59" w14:textId="6F8EE933" w:rsidR="009D7677" w:rsidRDefault="009D7677" w:rsidP="009D7677">
      <w:pPr>
        <w:pStyle w:val="TextoNormal"/>
      </w:pPr>
      <w:r>
        <w:t>En atención a todo lo expuesto, el Tribunal Constitucional, por la autoridad que le confiere la Constitución de la Nación española, ha decidido desestimar el presente recurso de inconstitucionalidad.</w:t>
      </w:r>
    </w:p>
    <w:p w14:paraId="71CD2198" w14:textId="77777777" w:rsidR="009D7677" w:rsidRDefault="009D7677" w:rsidP="009D7677">
      <w:pPr>
        <w:pStyle w:val="TextoNormal"/>
      </w:pPr>
    </w:p>
    <w:p w14:paraId="6143740C" w14:textId="77777777" w:rsidR="009D7677" w:rsidRDefault="009D7677" w:rsidP="009D7677">
      <w:pPr>
        <w:pStyle w:val="TextoNormal"/>
      </w:pPr>
      <w:r>
        <w:t>Publíquese esta sentencia en el “Boletín Oficial del Estado”.</w:t>
      </w:r>
    </w:p>
    <w:p w14:paraId="573103D2" w14:textId="77777777" w:rsidR="009D7677" w:rsidRDefault="009D7677" w:rsidP="009D7677">
      <w:pPr>
        <w:pStyle w:val="TextoNormal"/>
      </w:pPr>
      <w:r>
        <w:t>Dada en Madrid, a dieciocho de junio de dos mil veinticuatro.</w:t>
      </w:r>
    </w:p>
    <w:p w14:paraId="2CC54671" w14:textId="73C7E88B" w:rsidR="009D7677" w:rsidRDefault="009D7677" w:rsidP="009D7677">
      <w:pPr>
        <w:pStyle w:val="ParrafoNormal"/>
      </w:pPr>
    </w:p>
    <w:p w14:paraId="3BB2BF3E" w14:textId="77777777" w:rsidR="009D7677" w:rsidRDefault="009D7677" w:rsidP="009D7677">
      <w:pPr>
        <w:pStyle w:val="TextoNormalNegritaCentrado"/>
        <w:keepNext/>
      </w:pPr>
      <w:r>
        <w:t>Voto particular que formula el magistrado don Ricardo Enríquez Sancho a la sentencia dictada en el recurso de inconstitucionalidad núm. 3630-2023</w:t>
      </w:r>
    </w:p>
    <w:p w14:paraId="348DC39B" w14:textId="3D95ED05" w:rsidR="009D7677" w:rsidRDefault="009D7677" w:rsidP="009D7677">
      <w:pPr>
        <w:pStyle w:val="TextoNormalNegritaCentrado"/>
        <w:keepNext/>
      </w:pPr>
    </w:p>
    <w:p w14:paraId="2855149A" w14:textId="77777777" w:rsidR="009D7677" w:rsidRDefault="009D7677" w:rsidP="009D7677">
      <w:pPr>
        <w:pStyle w:val="TextoNormal"/>
      </w:pPr>
      <w:r>
        <w:t>Con el máximo respeto y consideración al parecer mayoritario del Pleno, formulo el presente voto particular para exponer las razones por las que considero que el recurso de inconstitucionalidad debió ser parcialmente estimado.</w:t>
      </w:r>
    </w:p>
    <w:p w14:paraId="318C8DFD" w14:textId="77777777" w:rsidR="009D7677" w:rsidRDefault="009D7677" w:rsidP="009D7677">
      <w:pPr>
        <w:pStyle w:val="TextoNormal"/>
      </w:pPr>
    </w:p>
    <w:p w14:paraId="593ED273" w14:textId="77777777" w:rsidR="009D7677" w:rsidRDefault="009D7677" w:rsidP="009D7677">
      <w:pPr>
        <w:pStyle w:val="TextoNormal"/>
      </w:pPr>
      <w:r>
        <w:t xml:space="preserve">1. </w:t>
      </w:r>
      <w:r w:rsidRPr="009D7677">
        <w:rPr>
          <w:i/>
        </w:rPr>
        <w:t>El “derecho fundamental” al aborto</w:t>
      </w:r>
    </w:p>
    <w:p w14:paraId="11727533" w14:textId="77777777" w:rsidR="009D7677" w:rsidRDefault="009D7677" w:rsidP="009D7677">
      <w:pPr>
        <w:pStyle w:val="TextoNormal"/>
      </w:pPr>
    </w:p>
    <w:p w14:paraId="5EC87E08" w14:textId="77777777" w:rsidR="009D7677" w:rsidRDefault="009D7677" w:rsidP="009D7677">
      <w:pPr>
        <w:pStyle w:val="TextoNormal"/>
      </w:pPr>
      <w:r>
        <w:t>La sentencia de la mayoría se apoya en buena medida en la doctrina de la STC 44/2023, de 9 de mayo, resolutoria del recurso de inconstitucionalidad contra la Ley Orgánica 2/2010, que la Ley Orgánica 1/2023, objeto de este nuevo recurso, modifica. En esa sen</w:t>
      </w:r>
      <w:r>
        <w:lastRenderedPageBreak/>
        <w:t>tencia se anticipaban argumentos sobre la decisión que podría producirse cuando este tribunal hubiera de examinar esta Ley Orgánica 1/2023. Me remito a lo manifestado entonces en el voto particular discrepante que formulé junto con los magistrados don Enrique Arnaldo Alcubilla, doña Concepción Espejel Jorquera y don César Tolosa Tribiño. Sintéticamente, por las razones que allí expusimos, no considero constitucionalmente correcta la construcción dogmática en la que se asienta esta ley, basada en la creación de un nuevo “derecho fundamental”, el derecho de la mujer al aborto.</w:t>
      </w:r>
    </w:p>
    <w:p w14:paraId="7A56DA35" w14:textId="77777777" w:rsidR="009D7677" w:rsidRDefault="009D7677" w:rsidP="009D7677">
      <w:pPr>
        <w:pStyle w:val="TextoNormal"/>
      </w:pPr>
    </w:p>
    <w:p w14:paraId="5EEE24E8" w14:textId="77777777" w:rsidR="009D7677" w:rsidRDefault="009D7677" w:rsidP="009D7677">
      <w:pPr>
        <w:pStyle w:val="TextoNormal"/>
      </w:pPr>
      <w:r>
        <w:t xml:space="preserve">2. </w:t>
      </w:r>
      <w:r w:rsidRPr="009D7677">
        <w:rPr>
          <w:i/>
        </w:rPr>
        <w:t>Obligación constitucional (</w:t>
      </w:r>
      <w:r>
        <w:t xml:space="preserve"> ex </w:t>
      </w:r>
      <w:r w:rsidRPr="009D7677">
        <w:rPr>
          <w:i/>
        </w:rPr>
        <w:t>art. 15 CE) de proteger al</w:t>
      </w:r>
      <w:r>
        <w:t xml:space="preserve"> nasciturus</w:t>
      </w:r>
    </w:p>
    <w:p w14:paraId="453FFFD3" w14:textId="77777777" w:rsidR="009D7677" w:rsidRDefault="009D7677" w:rsidP="009D7677">
      <w:pPr>
        <w:pStyle w:val="TextoNormal"/>
      </w:pPr>
    </w:p>
    <w:p w14:paraId="707E653F" w14:textId="77777777" w:rsidR="009D7677" w:rsidRDefault="009D7677" w:rsidP="009D7677">
      <w:pPr>
        <w:pStyle w:val="TextoNormal"/>
      </w:pPr>
      <w:r>
        <w:t>Esta concepción del aborto como derecho fundamental sigue informando la sentencia aprobada por la mayoría, y ello se manifiesta muy claramente en la desestimación del recurso contra dos de los preceptos impugnados (cito por su numeración en la Ley Orgánica 2/2010).</w:t>
      </w:r>
    </w:p>
    <w:p w14:paraId="46B7537F" w14:textId="77777777" w:rsidR="009D7677" w:rsidRDefault="009D7677" w:rsidP="009D7677">
      <w:pPr>
        <w:pStyle w:val="TextoNormal"/>
      </w:pPr>
    </w:p>
    <w:p w14:paraId="5B87B0F0" w14:textId="77777777" w:rsidR="009D7677" w:rsidRDefault="009D7677" w:rsidP="009D7677">
      <w:pPr>
        <w:pStyle w:val="TextoNormal"/>
      </w:pPr>
      <w:r>
        <w:t xml:space="preserve">a) En el art. 14 se consagra el derecho absoluto de la mujer a someterse a un aborto durante las primeras catorce semanas de gestación, lo que implica el correlativo abandono por el Estado de su obligación de proteger al </w:t>
      </w:r>
      <w:r w:rsidRPr="009D7677">
        <w:rPr>
          <w:i/>
        </w:rPr>
        <w:t>nasciturus</w:t>
      </w:r>
      <w:r>
        <w:t>.</w:t>
      </w:r>
    </w:p>
    <w:p w14:paraId="15E4343C" w14:textId="77777777" w:rsidR="009D7677" w:rsidRDefault="009D7677" w:rsidP="009D7677">
      <w:pPr>
        <w:pStyle w:val="TextoNormal"/>
      </w:pPr>
    </w:p>
    <w:p w14:paraId="5E6EEE0D" w14:textId="77777777" w:rsidR="009D7677" w:rsidRDefault="009D7677" w:rsidP="009D7677">
      <w:pPr>
        <w:pStyle w:val="TextoNormal"/>
      </w:pPr>
      <w:r>
        <w:t xml:space="preserve">Hasta esta sentencia, era doctrina constitucional que el </w:t>
      </w:r>
      <w:r w:rsidRPr="009D7677">
        <w:rPr>
          <w:i/>
        </w:rPr>
        <w:t>nasciturus</w:t>
      </w:r>
      <w:r>
        <w:t xml:space="preserve">, aunque no era titular del derecho a la vida del art. 15 CE, era un bien jurídico digno de protección conforme a ese mismo precepto: “la vida del </w:t>
      </w:r>
      <w:r w:rsidRPr="009D7677">
        <w:rPr>
          <w:i/>
        </w:rPr>
        <w:t>nasciturus</w:t>
      </w:r>
      <w:r>
        <w:t xml:space="preserve">, en cuanto este encarna un valor fundamental —la vida humana— garantizado en el art. 15 de la Constitución, constituye un bien jurídico cuya protección encuentra en dicho precepto fundamento constitucional” (STC 53/1985, FJ 5). Una perspectiva que asumió la STC 44/2023 al reconocer que la Ley Orgánica 2/2010, en su versión anterior a esta reforma, “satisface el deber estatal de protección de la vida prenatal” porque dispensa a </w:t>
      </w:r>
      <w:r w:rsidRPr="009D7677">
        <w:rPr>
          <w:i/>
        </w:rPr>
        <w:t>nasciturus</w:t>
      </w:r>
      <w:r>
        <w:t xml:space="preserve"> una protección “gradual” en atención al desarrollo del embarazo (FJ 4).</w:t>
      </w:r>
    </w:p>
    <w:p w14:paraId="3F2639A6" w14:textId="77777777" w:rsidR="009D7677" w:rsidRDefault="009D7677" w:rsidP="009D7677">
      <w:pPr>
        <w:pStyle w:val="TextoNormal"/>
      </w:pPr>
    </w:p>
    <w:p w14:paraId="71FACF57" w14:textId="77777777" w:rsidR="009D7677" w:rsidRDefault="009D7677" w:rsidP="009D7677">
      <w:pPr>
        <w:pStyle w:val="TextoNormal"/>
      </w:pPr>
      <w:r>
        <w:t xml:space="preserve">La mayoría no respeta su propia doctrina establecida hace poco más de un año en esa STC 44/2023 y declara ahora constitucional un sistema que durante las primeras catorce semanas de gestación no reconoce al </w:t>
      </w:r>
      <w:r w:rsidRPr="009D7677">
        <w:rPr>
          <w:i/>
        </w:rPr>
        <w:t>nasciturus</w:t>
      </w:r>
      <w:r>
        <w:t xml:space="preserve"> protección alguna, tal y como resulta del art. 17.</w:t>
      </w:r>
    </w:p>
    <w:p w14:paraId="66CE4FF3" w14:textId="77777777" w:rsidR="009D7677" w:rsidRDefault="009D7677" w:rsidP="009D7677">
      <w:pPr>
        <w:pStyle w:val="TextoNormal"/>
      </w:pPr>
    </w:p>
    <w:p w14:paraId="5DA92891" w14:textId="77777777" w:rsidR="009D7677" w:rsidRDefault="009D7677" w:rsidP="009D7677">
      <w:pPr>
        <w:pStyle w:val="TextoNormal"/>
      </w:pPr>
      <w:r>
        <w:t>b) El art. 17, en su versión anterior, obligaba a entregar a la mujer que solicitaba la interrupción voluntaria del embarazo, en sobre cerrado u oralmente solo si esta lo solicitaba así, información sobre “todos los elementos adecuados para formar juicio, incluidos aquellos que pudieran contribuir a subvenir las dificultades de todo orden que el nacimiento de un hijo o hija pudiera plantearle”, tal como lo valoró la STC 44/2023, FJ 5. El precepto establecía también un periodo de reflexión de tres días desde el suministro de la información hasta la intervención.</w:t>
      </w:r>
    </w:p>
    <w:p w14:paraId="60C3BA4D" w14:textId="77777777" w:rsidR="009D7677" w:rsidRDefault="009D7677" w:rsidP="009D7677">
      <w:pPr>
        <w:pStyle w:val="TextoNormal"/>
      </w:pPr>
    </w:p>
    <w:p w14:paraId="72FED8DD" w14:textId="77777777" w:rsidR="009D7677" w:rsidRDefault="009D7677" w:rsidP="009D7677">
      <w:pPr>
        <w:pStyle w:val="TextoNormal"/>
      </w:pPr>
      <w:r>
        <w:t>Si esto me pareció insuficiente en el voto particular formulado a la STC 44/2023, con mayor razón debo discrepar de la nueva redacción de ese art. 17, en el que se suprime el periodo de reflexión de tres días y la obligación de informar a la mujer que solicita un aborto sobre las ayudas públicas y derechos laborales vinculados al embarazo y nacimiento de un hijo.</w:t>
      </w:r>
    </w:p>
    <w:p w14:paraId="68408979" w14:textId="77777777" w:rsidR="009D7677" w:rsidRDefault="009D7677" w:rsidP="009D7677">
      <w:pPr>
        <w:pStyle w:val="TextoNormal"/>
      </w:pPr>
    </w:p>
    <w:p w14:paraId="7C47C208" w14:textId="77777777" w:rsidR="009D7677" w:rsidRDefault="009D7677" w:rsidP="009D7677">
      <w:pPr>
        <w:pStyle w:val="TextoNormal"/>
      </w:pPr>
      <w:r>
        <w:lastRenderedPageBreak/>
        <w:t>Con arreglo al nuevo art. 17 esta información solo se suministrará a la mujer si esta lo solicita. Esto es para la sentencia de la que discrepo una “opción constitucionalmente legítima que queda dentro del margen de decisión del legislador” [FJ 7 C) d) (ii)]. De esta forma, la sentencia desconoce toda la doctrina constante de este tribunal sobre el deber constitucional del Estado de proteger la vida prenatal.</w:t>
      </w:r>
    </w:p>
    <w:p w14:paraId="568DE63B" w14:textId="77777777" w:rsidR="009D7677" w:rsidRDefault="009D7677" w:rsidP="009D7677">
      <w:pPr>
        <w:pStyle w:val="TextoNormal"/>
      </w:pPr>
    </w:p>
    <w:p w14:paraId="41F2A431" w14:textId="77777777" w:rsidR="009D7677" w:rsidRDefault="009D7677" w:rsidP="009D7677">
      <w:pPr>
        <w:pStyle w:val="TextoNormal"/>
      </w:pPr>
      <w:r>
        <w:t xml:space="preserve">3. </w:t>
      </w:r>
      <w:r w:rsidRPr="009D7677">
        <w:rPr>
          <w:i/>
        </w:rPr>
        <w:t>Formación sobre salud sexual y reproductiva</w:t>
      </w:r>
    </w:p>
    <w:p w14:paraId="3899E7C4" w14:textId="77777777" w:rsidR="009D7677" w:rsidRDefault="009D7677" w:rsidP="009D7677">
      <w:pPr>
        <w:pStyle w:val="TextoNormal"/>
      </w:pPr>
    </w:p>
    <w:p w14:paraId="26FD4E84" w14:textId="77777777" w:rsidR="009D7677" w:rsidRDefault="009D7677" w:rsidP="009D7677">
      <w:pPr>
        <w:pStyle w:val="TextoNormal"/>
      </w:pPr>
      <w:r>
        <w:t>Discrepo también de la desestimación del recurso contra el art. 9.1 a) sobre la formación en salud sexual y reproductiva.</w:t>
      </w:r>
    </w:p>
    <w:p w14:paraId="1BA9A35B" w14:textId="77777777" w:rsidR="009D7677" w:rsidRDefault="009D7677" w:rsidP="009D7677">
      <w:pPr>
        <w:pStyle w:val="TextoNormal"/>
      </w:pPr>
    </w:p>
    <w:p w14:paraId="33DAAB13" w14:textId="77777777" w:rsidR="009D7677" w:rsidRDefault="009D7677" w:rsidP="009D7677">
      <w:pPr>
        <w:pStyle w:val="TextoNormal"/>
      </w:pPr>
      <w:r>
        <w:t>La sentencia parte de la doctrina sentada en la STC 34/2023, sobre la Ley Orgánica 3/2020, de modificación de la Ley Orgánica de educación de 2006, y de la doctrina del Tribunal Europeo de Derechos Humanos que esta STC 34/2023 cita (FJ 7). Dijimos entonces que la previsión en esa ley de una “educación afectivo sexual”, cuyo contenido no desarrollaba, no vulnera el derecho de los padres a que sus hijos reciban una formación religiosa y moral acorde con sus convicciones (art. 27.3 CE) si la transmisión de conocimientos se hace de manera “objetiva, crítica y pluralista” y no persigue una finalidad de adoctrinamiento.</w:t>
      </w:r>
    </w:p>
    <w:p w14:paraId="011B4D7C" w14:textId="77777777" w:rsidR="009D7677" w:rsidRDefault="009D7677" w:rsidP="009D7677">
      <w:pPr>
        <w:pStyle w:val="TextoNormal"/>
      </w:pPr>
    </w:p>
    <w:p w14:paraId="2CA0AE55" w14:textId="77777777" w:rsidR="009D7677" w:rsidRDefault="009D7677" w:rsidP="009D7677">
      <w:pPr>
        <w:pStyle w:val="TextoNormal"/>
      </w:pPr>
      <w:r>
        <w:t>La prohibición de adoctrinamiento es la clave, y es lo que diferencia la simple introducción de una asignatura de educación sexual, como hacía la Ley Orgánica 3/2020, del art. 9.1 a) de esta ley. A diferencia de la Ley Orgánica 3/2020 examinada en la STC 34/2023, este art. 9.1 a) desarrolla el contenido de esta formación, y lo hace orientando imperativamente a las administraciones a promover (“promoverán”) una determinada visión de la sexualidad “desde la óptica del placer [y] el deseo”. Promover esta visión supone fomentarla en detrimento de otras visiones de la sexualidad, y esto es exactamente adoctrinar.</w:t>
      </w:r>
    </w:p>
    <w:p w14:paraId="3B9BA8EC" w14:textId="77777777" w:rsidR="009D7677" w:rsidRDefault="009D7677" w:rsidP="009D7677">
      <w:pPr>
        <w:pStyle w:val="TextoNormal"/>
      </w:pPr>
    </w:p>
    <w:p w14:paraId="54E59E6E" w14:textId="77777777" w:rsidR="009D7677" w:rsidRDefault="009D7677" w:rsidP="009D7677">
      <w:pPr>
        <w:pStyle w:val="TextoNormal"/>
      </w:pPr>
      <w:r>
        <w:t>La sentencia concluye afirmando una obviedad: que el precepto “en modo alguno impide a los padres, fuera del horario escolar, hacer partícipes a sus hijos de sus propias convicciones morales y religiosas” [FJ 5 C) b)]. Pero esto es algo que se da por supuesto en todas esas sentencias del Tribunal Europeo de Derechos Humanos citadas en esa STC 34/2003. Por descontado, cualquier padre o madre tiene derecho a transmitir a su hijo sus convicciones fuera de la escuela. De lo que se trata es de garantizar la neutralidad de ese espacio público, y de que los padres no tengan que luchar en casa contra unas ideas que sus hijos han recibido en la escuela.</w:t>
      </w:r>
    </w:p>
    <w:p w14:paraId="5F6ED87F" w14:textId="77777777" w:rsidR="009D7677" w:rsidRDefault="009D7677" w:rsidP="009D7677">
      <w:pPr>
        <w:pStyle w:val="TextoNormal"/>
      </w:pPr>
    </w:p>
    <w:p w14:paraId="26AC50E8" w14:textId="77777777" w:rsidR="009D7677" w:rsidRDefault="009D7677" w:rsidP="009D7677">
      <w:pPr>
        <w:pStyle w:val="TextoNormal"/>
      </w:pPr>
      <w:r>
        <w:t xml:space="preserve">4. </w:t>
      </w:r>
      <w:r w:rsidRPr="009D7677">
        <w:rPr>
          <w:i/>
        </w:rPr>
        <w:t>Interrupción voluntaria del embarazo de menores de edad de dieciséis y diecisiete años</w:t>
      </w:r>
    </w:p>
    <w:p w14:paraId="50E7B009" w14:textId="77777777" w:rsidR="009D7677" w:rsidRDefault="009D7677" w:rsidP="009D7677">
      <w:pPr>
        <w:pStyle w:val="TextoNormal"/>
      </w:pPr>
    </w:p>
    <w:p w14:paraId="4F64BE26" w14:textId="77777777" w:rsidR="009D7677" w:rsidRDefault="009D7677" w:rsidP="009D7677">
      <w:pPr>
        <w:pStyle w:val="TextoNormal"/>
      </w:pPr>
      <w:r>
        <w:t xml:space="preserve">También discrepo de la desestimación del recurso contra el art. 13 </w:t>
      </w:r>
      <w:r w:rsidRPr="009D7677">
        <w:rPr>
          <w:i/>
        </w:rPr>
        <w:t>bis</w:t>
      </w:r>
      <w:r>
        <w:t>, que autoriza a las mujeres menores de dieciséis y diecisiete años a someterse a un aborto sin necesidad de consentimiento de sus representantes legales.</w:t>
      </w:r>
    </w:p>
    <w:p w14:paraId="2CF11570" w14:textId="77777777" w:rsidR="009D7677" w:rsidRDefault="009D7677" w:rsidP="009D7677">
      <w:pPr>
        <w:pStyle w:val="TextoNormal"/>
      </w:pPr>
    </w:p>
    <w:p w14:paraId="19180D50" w14:textId="77777777" w:rsidR="009D7677" w:rsidRDefault="009D7677" w:rsidP="009D7677">
      <w:pPr>
        <w:pStyle w:val="TextoNormal"/>
      </w:pPr>
      <w:r>
        <w:t xml:space="preserve">El antecedente de esta regulación era la Ley Orgánica 2/2010 original, que permitía el aborto de las menores de dieciséis y diecisiete años sin necesidad de consentimiento de los padres o tutores, pero exigía que “al menos uno” de ellos fuera informado de la decisión </w:t>
      </w:r>
      <w:r>
        <w:lastRenderedPageBreak/>
        <w:t>de la menor. Una información de la que se podía prescindir “cuando la menor alegue fundadamente que esto le provocará un conflicto grave, manifestado en el peligro cierto de violencia intrafamiliar, amenazas, coacciones, malos tratos, o se produzca una situación de desarraigo o desamparo” (art. 13).</w:t>
      </w:r>
    </w:p>
    <w:p w14:paraId="4860C606" w14:textId="77777777" w:rsidR="009D7677" w:rsidRDefault="009D7677" w:rsidP="009D7677">
      <w:pPr>
        <w:pStyle w:val="TextoNormal"/>
      </w:pPr>
    </w:p>
    <w:p w14:paraId="78A7FB5A" w14:textId="77777777" w:rsidR="009D7677" w:rsidRDefault="009D7677" w:rsidP="009D7677">
      <w:pPr>
        <w:pStyle w:val="TextoNormal"/>
      </w:pPr>
      <w:r>
        <w:t xml:space="preserve">La sentencia dice que esa ausencia de intervención y conocimiento es relativa porque los padres o tutores siempre deberán ser informados cuando la intervención implique un grave riesgo para la vida o la salud de la menor [FJ 6 C) d) (ii)]. Es decir, que este nuevo art. 13 </w:t>
      </w:r>
      <w:r w:rsidRPr="009D7677">
        <w:rPr>
          <w:i/>
        </w:rPr>
        <w:t>bis</w:t>
      </w:r>
      <w:r>
        <w:t xml:space="preserve"> no deroga la necesidad de que antes de esas intervenciones de riesgo se preste el consentimiento informado por los padres o tutores de la menor, tal como prevé la Ley 41/2002, básica reguladora de la autonomía del paciente y de derechos y obligaciones en materia de información y documentación clínica. Pero el ámbito del art. 13 </w:t>
      </w:r>
      <w:r w:rsidRPr="009D7677">
        <w:rPr>
          <w:i/>
        </w:rPr>
        <w:t>bis</w:t>
      </w:r>
      <w:r>
        <w:t xml:space="preserve"> es mucho más amplio que el de las intervenciones de grave riesgo a que se refiere la citada Ley 41/2002.</w:t>
      </w:r>
    </w:p>
    <w:p w14:paraId="64A0885F" w14:textId="77777777" w:rsidR="009D7677" w:rsidRDefault="009D7677" w:rsidP="009D7677">
      <w:pPr>
        <w:pStyle w:val="TextoNormal"/>
      </w:pPr>
    </w:p>
    <w:p w14:paraId="41D8E774" w14:textId="77777777" w:rsidR="009D7677" w:rsidRDefault="009D7677" w:rsidP="009D7677">
      <w:pPr>
        <w:pStyle w:val="TextoNormal"/>
      </w:pPr>
      <w:r>
        <w:t>La sentencia encauza el camino hacia la desestimación citando múltiples ejemplos en los que se reconoce capacidad jurídica a menores de edad [FJ 6 C) d) (ii)]. Pero esta perspectiva unilateral me parece insuficiente porque aborda el problema desde el exclusivo punto de vista de la mujer embarazada, sin tener en cuenta que también está en juego la protección de la vida prenatal y que para lograr esa protección efectiva no puede prescindirse del posible compromiso de los padres o tutores de ayudar a su hija en todo lo que fuera preciso si decidiera continuar adelante con su embarazo.</w:t>
      </w:r>
    </w:p>
    <w:p w14:paraId="1E8C3698" w14:textId="77777777" w:rsidR="009D7677" w:rsidRDefault="009D7677" w:rsidP="009D7677">
      <w:pPr>
        <w:pStyle w:val="TextoNormal"/>
      </w:pPr>
    </w:p>
    <w:p w14:paraId="11605CFF" w14:textId="77777777" w:rsidR="009D7677" w:rsidRDefault="009D7677" w:rsidP="009D7677">
      <w:pPr>
        <w:pStyle w:val="TextoNormal"/>
      </w:pPr>
      <w:r>
        <w:t>Como la sentencia ha confirmado esa concepción de la ley en que, al menos en las primeras catorce semanas del embarazo, la mujer puede no recibir información alguna sobre las ayudas posibles en caso de que decidiera continuar con su embarazo, desprecia también esa perspectiva que considera el conocimiento de los progenitores o al menos de alguno de ellos del estado de embarazo de su hija desde el punto de vista de la ayuda que aquellos pudieran ofrecerles en caso de que renunciara a una primera decisión de abortar.</w:t>
      </w:r>
    </w:p>
    <w:p w14:paraId="7A8F694B" w14:textId="77777777" w:rsidR="009D7677" w:rsidRDefault="009D7677" w:rsidP="009D7677">
      <w:pPr>
        <w:pStyle w:val="TextoNormal"/>
      </w:pPr>
    </w:p>
    <w:p w14:paraId="4CC65070" w14:textId="77777777" w:rsidR="009D7677" w:rsidRDefault="009D7677" w:rsidP="009D7677">
      <w:pPr>
        <w:pStyle w:val="TextoNormal"/>
      </w:pPr>
      <w:r>
        <w:t xml:space="preserve">Este art. 13 </w:t>
      </w:r>
      <w:r w:rsidRPr="009D7677">
        <w:rPr>
          <w:i/>
        </w:rPr>
        <w:t>bis</w:t>
      </w:r>
      <w:r>
        <w:t>, como toda la ley, está inspirado en lo que claramente se dice en su exposición de motivos: eliminar los obstáculos que pudieran impedir el ejercicio del derecho al aborto. Desde este punto de partida, la ley y la sentencia aprobada por la mayoría no consideran el conocimiento de los padres como una posible vía que puede ayudar a su hija a gestionar una situación que va a comprometer inevitablemente toda su vida, sino como un obstáculo a que ejerza, aunque sea en la más completa soledad, su “derecho fundamental” al aborto.</w:t>
      </w:r>
    </w:p>
    <w:p w14:paraId="3B4E3B5F" w14:textId="77777777" w:rsidR="009D7677" w:rsidRDefault="009D7677" w:rsidP="009D7677">
      <w:pPr>
        <w:pStyle w:val="TextoNormal"/>
      </w:pPr>
    </w:p>
    <w:p w14:paraId="4F61A8AE" w14:textId="77777777" w:rsidR="009D7677" w:rsidRDefault="009D7677" w:rsidP="009D7677">
      <w:pPr>
        <w:pStyle w:val="TextoNormal"/>
      </w:pPr>
      <w:r>
        <w:t>Y en este sentido emito mi voto particular.</w:t>
      </w:r>
    </w:p>
    <w:p w14:paraId="027D97C3" w14:textId="77777777" w:rsidR="009D7677" w:rsidRDefault="009D7677" w:rsidP="009D7677">
      <w:pPr>
        <w:pStyle w:val="TextoNormal"/>
      </w:pPr>
    </w:p>
    <w:p w14:paraId="05A717D9" w14:textId="09D6B011" w:rsidR="009D7677" w:rsidRDefault="009D7677" w:rsidP="009D7677">
      <w:pPr>
        <w:pStyle w:val="TextoNormal"/>
      </w:pPr>
      <w:r>
        <w:t>Madrid, a veinte de junio de dos mil veinticuatro.</w:t>
      </w:r>
    </w:p>
    <w:p w14:paraId="5B6B84CB" w14:textId="77777777" w:rsidR="009D7677" w:rsidRDefault="009D7677" w:rsidP="009D7677">
      <w:pPr>
        <w:pStyle w:val="TextoNormal"/>
      </w:pPr>
    </w:p>
    <w:p w14:paraId="0A189805" w14:textId="77777777" w:rsidR="009D7677" w:rsidRDefault="009D7677" w:rsidP="009D7677">
      <w:pPr>
        <w:pStyle w:val="TextoNormalNegritaCentrado"/>
        <w:keepNext/>
      </w:pPr>
      <w:r>
        <w:t>Voto particular que formula el magistrado don Enrique Arnaldo Alcubilla a la sentencia dictada en el recurso de inconstitucionalidad núm. 3630-2023</w:t>
      </w:r>
    </w:p>
    <w:p w14:paraId="1D872E5A" w14:textId="586732E6" w:rsidR="009D7677" w:rsidRDefault="009D7677" w:rsidP="009D7677">
      <w:pPr>
        <w:pStyle w:val="TextoNormalNegritaCentrado"/>
        <w:keepNext/>
      </w:pPr>
    </w:p>
    <w:p w14:paraId="19EAE7BC" w14:textId="77777777" w:rsidR="009D7677" w:rsidRDefault="009D7677" w:rsidP="009D7677">
      <w:pPr>
        <w:pStyle w:val="TextoNormal"/>
      </w:pPr>
      <w:r>
        <w:t xml:space="preserve">En el ejercicio de la facultad que me confiere el art. 90.2 de la Ley Orgánica del Tribunal Constitucional y con respeto a la opinión de mis compañeros, formulo este voto particular para expresar mi discrepancia tanto con la fundamentación jurídica como con el fallo </w:t>
      </w:r>
      <w:r>
        <w:lastRenderedPageBreak/>
        <w:t>de la sentencia que resuelve este recurso de inconstitucionalidad, que a mi entender debió ser parcialmente estimado, por las razones ya defendidas en su momento durante la deliberación y en los términos que expongo a continuación.</w:t>
      </w:r>
    </w:p>
    <w:p w14:paraId="2C1A3CF2" w14:textId="77777777" w:rsidR="009D7677" w:rsidRDefault="009D7677" w:rsidP="009D7677">
      <w:pPr>
        <w:pStyle w:val="TextoNormal"/>
      </w:pPr>
    </w:p>
    <w:p w14:paraId="1CF8FB3D" w14:textId="77777777" w:rsidR="009D7677" w:rsidRDefault="009D7677" w:rsidP="009D7677">
      <w:pPr>
        <w:pStyle w:val="TextoNormal"/>
      </w:pPr>
      <w:r>
        <w:t xml:space="preserve">1. </w:t>
      </w:r>
      <w:r w:rsidRPr="009D7677">
        <w:rPr>
          <w:i/>
        </w:rPr>
        <w:t>Consideración preliminar</w:t>
      </w:r>
    </w:p>
    <w:p w14:paraId="09C6DEFB" w14:textId="77777777" w:rsidR="009D7677" w:rsidRDefault="009D7677" w:rsidP="009D7677">
      <w:pPr>
        <w:pStyle w:val="TextoNormal"/>
      </w:pPr>
    </w:p>
    <w:p w14:paraId="147FECC5" w14:textId="77777777" w:rsidR="009D7677" w:rsidRDefault="009D7677" w:rsidP="009D7677">
      <w:pPr>
        <w:pStyle w:val="TextoNormal"/>
      </w:pPr>
      <w:r>
        <w:t>Comparto las razones de la discrepancia con la sentencia que resuelve este recurso de inconstitucionalidad expresadas en el voto particular suscrito por el magistrado Enríquez Sancho, al que en consecuencia me adhiero y remito.</w:t>
      </w:r>
    </w:p>
    <w:p w14:paraId="5BC995B1" w14:textId="77777777" w:rsidR="009D7677" w:rsidRDefault="009D7677" w:rsidP="009D7677">
      <w:pPr>
        <w:pStyle w:val="TextoNormal"/>
      </w:pPr>
    </w:p>
    <w:p w14:paraId="027D358B" w14:textId="77777777" w:rsidR="009D7677" w:rsidRDefault="009D7677" w:rsidP="009D7677">
      <w:pPr>
        <w:pStyle w:val="TextoNormal"/>
      </w:pPr>
      <w:r>
        <w:t>Asimismo me remito a lo manifestado en el voto particular que formulé junto con dicho magistrado y el magistrado señor Tolosa Tribiño a la STC 44/2023, de 9 de mayo, que desestimó el recurso de inconstitucionalidad contra la Ley Orgánica 2/2010, de 3 de marzo, de salud sexual y reproductiva y de la interrupción voluntaria del embarazo, toda vez que la sentencia que desestima este recurso se apoya en buena medida en la doctrina de la STC 44/2023. Esta remisión es particularmente importante en lo que se refiere a la construcción dogmática de la que partía la STC 44/2023, que, arrogándose la posición del poder constituyente, creaba un inexistente derecho fundamental al aborto, ideación con la que vuelvo a dejar constancia de mi absoluto desacuerdo, pues de nuevo el Tribunal Constitucional se desliza por una interpretación creativa que desnaturaliza la protección necesaria de la vida prenatal.</w:t>
      </w:r>
    </w:p>
    <w:p w14:paraId="608EE1FB" w14:textId="77777777" w:rsidR="009D7677" w:rsidRDefault="009D7677" w:rsidP="009D7677">
      <w:pPr>
        <w:pStyle w:val="TextoNormal"/>
      </w:pPr>
    </w:p>
    <w:p w14:paraId="358E8893" w14:textId="77777777" w:rsidR="009D7677" w:rsidRDefault="009D7677" w:rsidP="009D7677">
      <w:pPr>
        <w:pStyle w:val="TextoNormal"/>
      </w:pPr>
      <w:r>
        <w:t>En todo caso, la presente sentencia confirma lo que ya advertíamos en el voto particular a la STC 44/2023: el exceso de jurisdicción en el que se incurría en esa sentencia —al extender el enjuiciamiento de este tribunal a preceptos de la Ley Orgánica 2/2010 que ya no estaban vigentes, como consecuencia de la reforma introducida por la Ley Orgánica 1/2023, de 28 de febrero— suponía hacer declaraciones que prejuzgan o anticipan decisiones sobre preceptos no impugnados entonces. En efecto, ese exceso de jurisdicción en que incurrió la STC 44/2023 prejuzgó el resultado del presente recurso de inconstitucionalidad, es decir adelantó un fallo que pretendía cristalizarse de futuro.</w:t>
      </w:r>
    </w:p>
    <w:p w14:paraId="63C63DB4" w14:textId="77777777" w:rsidR="009D7677" w:rsidRDefault="009D7677" w:rsidP="009D7677">
      <w:pPr>
        <w:pStyle w:val="TextoNormal"/>
      </w:pPr>
    </w:p>
    <w:p w14:paraId="4AF8C347" w14:textId="77777777" w:rsidR="009D7677" w:rsidRDefault="009D7677" w:rsidP="009D7677">
      <w:pPr>
        <w:pStyle w:val="TextoNormal"/>
      </w:pPr>
      <w:r>
        <w:t>Sin perjuicio de remitirme a lo expuesto en los referidos votos particulares, debo añadir que mi discrepancia con la sentencia que resuelve este recurso de inconstitucionalidad se ciñe en particular a algunos aspectos concretos que paso a señalar seguidamente.</w:t>
      </w:r>
    </w:p>
    <w:p w14:paraId="724CD378" w14:textId="77777777" w:rsidR="009D7677" w:rsidRDefault="009D7677" w:rsidP="009D7677">
      <w:pPr>
        <w:pStyle w:val="TextoNormal"/>
      </w:pPr>
    </w:p>
    <w:p w14:paraId="6EB96108" w14:textId="77777777" w:rsidR="009D7677" w:rsidRDefault="009D7677" w:rsidP="009D7677">
      <w:pPr>
        <w:pStyle w:val="TextoNormal"/>
      </w:pPr>
      <w:r>
        <w:t xml:space="preserve">2. </w:t>
      </w:r>
      <w:r w:rsidRPr="009D7677">
        <w:rPr>
          <w:i/>
        </w:rPr>
        <w:t>Interrupción voluntaria del embarazo de mujeres de dieciséis y diecisiete años</w:t>
      </w:r>
    </w:p>
    <w:p w14:paraId="3271FC79" w14:textId="77777777" w:rsidR="009D7677" w:rsidRDefault="009D7677" w:rsidP="009D7677">
      <w:pPr>
        <w:pStyle w:val="TextoNormal"/>
      </w:pPr>
    </w:p>
    <w:p w14:paraId="0C362FF4" w14:textId="77777777" w:rsidR="009D7677" w:rsidRDefault="009D7677" w:rsidP="009D7677">
      <w:pPr>
        <w:pStyle w:val="TextoNormal"/>
      </w:pPr>
      <w:r>
        <w:t xml:space="preserve">La sentencia de la que disiento declara que no incurre en ninguna tacha de inconstitucionalidad la previsión legal que permite a las menores de edad, a partir de los dieciséis años, interrumpir su embarazo sin necesidad del consentimiento (ni siquiera el conocimiento) de sus padres o tutores (art. 13 </w:t>
      </w:r>
      <w:r w:rsidRPr="009D7677">
        <w:rPr>
          <w:i/>
        </w:rPr>
        <w:t>bis</w:t>
      </w:r>
      <w:r>
        <w:t>.1 de la Ley Orgánica 2/2010, introducido por la Ley Orgánica 1/2023).</w:t>
      </w:r>
    </w:p>
    <w:p w14:paraId="734FF6F3" w14:textId="77777777" w:rsidR="009D7677" w:rsidRDefault="009D7677" w:rsidP="009D7677">
      <w:pPr>
        <w:pStyle w:val="TextoNormal"/>
      </w:pPr>
    </w:p>
    <w:p w14:paraId="13AE2CCA" w14:textId="77777777" w:rsidR="009D7677" w:rsidRDefault="009D7677" w:rsidP="009D7677">
      <w:pPr>
        <w:pStyle w:val="TextoNormal"/>
      </w:pPr>
      <w:r>
        <w:t xml:space="preserve">Como es sabido, esta disposición se contenía en la inicial redacción de la Ley Orgánica 2/2010. Su supresión tras la reforma introducida por la Ley Orgánica 11/2015, de 21 de septiembre, determinó que la STC 44/2023 no entrase a examinar la impugnación que a la misma se dirigía en el recurso resuelto por dicha sentencia. Conviene recordar que esa regulación inicial del art. 13 de la Ley Orgánica 2/2010, aunque permitía a las menores de </w:t>
      </w:r>
      <w:r>
        <w:lastRenderedPageBreak/>
        <w:t>dieciséis y diecisiete años abortar sin necesidad de consentimiento de los padres o tutores, exigía que “al menos uno” de ellos fuera informado de la decisión de la menor. Una información de la que se podía prescindir “cuando la menor alegue fundadamente que esto le provocará un conflicto grave, manifestado en el peligro cierto de violencia intrafamiliar, amenazas, coacciones, malos tratos, o se produzca una situación de desarraigo o desamparo”.</w:t>
      </w:r>
    </w:p>
    <w:p w14:paraId="39C222FD" w14:textId="77777777" w:rsidR="009D7677" w:rsidRDefault="009D7677" w:rsidP="009D7677">
      <w:pPr>
        <w:pStyle w:val="TextoNormal"/>
      </w:pPr>
    </w:p>
    <w:p w14:paraId="10F1A302" w14:textId="77777777" w:rsidR="009D7677" w:rsidRDefault="009D7677" w:rsidP="009D7677">
      <w:pPr>
        <w:pStyle w:val="TextoNormal"/>
      </w:pPr>
      <w:r>
        <w:t xml:space="preserve">La Ley Orgánica 1/2023, objeto del presente recurso, reintroduce (en el art. 13 </w:t>
      </w:r>
      <w:r w:rsidRPr="009D7677">
        <w:rPr>
          <w:i/>
        </w:rPr>
        <w:t>bis</w:t>
      </w:r>
      <w:r>
        <w:t>.1 de la Ley Orgánica 2/2010) la norma que permite a las menores de edad, a partir de los dieciséis años, abortar sin necesidad del consentimiento de sus padres o tutores, a lo que se añade que ni siquiera se requiere su conocimiento en ningún caso. La sentencia descarta en su fundamento jurídico 6 que esta previsión legal sea contraria a la Constitución.</w:t>
      </w:r>
    </w:p>
    <w:p w14:paraId="2DF18B26" w14:textId="77777777" w:rsidR="009D7677" w:rsidRDefault="009D7677" w:rsidP="009D7677">
      <w:pPr>
        <w:pStyle w:val="TextoNormal"/>
      </w:pPr>
    </w:p>
    <w:p w14:paraId="082DBB28" w14:textId="77777777" w:rsidR="009D7677" w:rsidRDefault="009D7677" w:rsidP="009D7677">
      <w:pPr>
        <w:pStyle w:val="TextoNormal"/>
      </w:pPr>
      <w:r>
        <w:t>Disiento de esta apreciación. La sentencia no ha tenido en cuenta, al enjuiciar esta norma, que también debe ponderarse la protección efectiva de la vida prenatal (art. 15 CE) y que para ello no puede prescindirse del posible compromiso de los padres o tutores de ofrecer a la menor embarazada ayuda en todo lo que fuera preciso a la hora de adoptar una decisión que necesariamente afectará a toda su vida. La norma en cuestión impide el ejercicio de los deberes inherentes a la patria potestad en interés de las menores, y priva a estas de la asistencia de sus padres o tutores en el momento de tomar una decisión transcendental que puede comportar una grave afectación física y psíquica de las menores embarazadas.</w:t>
      </w:r>
    </w:p>
    <w:p w14:paraId="6A1288B7" w14:textId="77777777" w:rsidR="009D7677" w:rsidRDefault="009D7677" w:rsidP="009D7677">
      <w:pPr>
        <w:pStyle w:val="TextoNormal"/>
      </w:pPr>
    </w:p>
    <w:p w14:paraId="576E1188" w14:textId="77777777" w:rsidR="009D7677" w:rsidRDefault="009D7677" w:rsidP="009D7677">
      <w:pPr>
        <w:pStyle w:val="TextoNormal"/>
      </w:pPr>
      <w:r>
        <w:t xml:space="preserve">Sin perjuicio de lo anterior, debe añadirse que la sentencia afirma en su fundamento jurídico 6 que el impugnado art. 13 </w:t>
      </w:r>
      <w:r w:rsidRPr="009D7677">
        <w:rPr>
          <w:i/>
        </w:rPr>
        <w:t>bis</w:t>
      </w:r>
      <w:r>
        <w:t>.1 de la Ley Orgánica 2/2010, que permite a las menores de edad abortar sin consentimiento de sus padres o tutores (y sin conocimiento siquiera de estos), es en todo caso relativa, pues debe ser interpretado conjuntamente a las previsiones de la Ley 41/2002, básica reguladora de la autonomía del paciente y de derechos y obligaciones en materia de información y documentación clínica, en lo que atañe al consentimiento informado, de suerte que debe entenderse que “la capacidad de prestar consentimiento por parte de las mujeres embarazadas de dieciséis y diecisiete años no es absoluta, sino que, en los casos en los que la intervención médica pudiera constituir un grave riesgo para su vida o su salud bajo criterios médicos, se exige la intervención del representante legal”.</w:t>
      </w:r>
    </w:p>
    <w:p w14:paraId="7CAC4181" w14:textId="77777777" w:rsidR="009D7677" w:rsidRDefault="009D7677" w:rsidP="009D7677">
      <w:pPr>
        <w:pStyle w:val="TextoNormal"/>
      </w:pPr>
    </w:p>
    <w:p w14:paraId="5F399BC3" w14:textId="77777777" w:rsidR="009D7677" w:rsidRDefault="009D7677" w:rsidP="009D7677">
      <w:pPr>
        <w:pStyle w:val="TextoNormal"/>
      </w:pPr>
      <w:r>
        <w:t xml:space="preserve">Sin perjuicio de destacar que el ámbito de aplicación del art. 13 </w:t>
      </w:r>
      <w:r w:rsidRPr="009D7677">
        <w:rPr>
          <w:i/>
        </w:rPr>
        <w:t>bis</w:t>
      </w:r>
      <w:r>
        <w:t>.1 de la Ley Orgánica 2/2010, redactado por la Ley Orgánica 1/2023, es más amplio que el de las intervenciones de grave riesgo a que se refiere la Ley 41/2002, y que resulta inequívoco que el designio de la ley aquí enjuiciada no es otro que excluir en todo caso el consentimiento (e incluso el conocimiento) de los padres o tutores en caso de aborto de menores embarazadas de dieciséis y diecisiete años, considero que la interpretación que realiza la sentencia, según la cual la intervención de los padres o tutores es necesaria cuando la operación abortiva implique un grave riesgo para la vida o la salud de la menor, según criterios médicos, constituye en realidad una interpretación de conformidad con la Constitución, que debería haberse reconocido como tal en el fundamento jurídico 6 y llevarse al fallo.</w:t>
      </w:r>
    </w:p>
    <w:p w14:paraId="2A578FC7" w14:textId="77777777" w:rsidR="009D7677" w:rsidRDefault="009D7677" w:rsidP="009D7677">
      <w:pPr>
        <w:pStyle w:val="TextoNormal"/>
      </w:pPr>
    </w:p>
    <w:p w14:paraId="6321F062" w14:textId="77777777" w:rsidR="009D7677" w:rsidRDefault="009D7677" w:rsidP="009D7677">
      <w:pPr>
        <w:pStyle w:val="TextoNormal"/>
      </w:pPr>
      <w:r>
        <w:lastRenderedPageBreak/>
        <w:t xml:space="preserve">3. </w:t>
      </w:r>
      <w:r w:rsidRPr="009D7677">
        <w:rPr>
          <w:i/>
        </w:rPr>
        <w:t>Información vinculada a la interrupción voluntaria del embarazo dentro de las catorce primeras semanas de gestación, consentimiento informado y supresión del periodo de reflexión</w:t>
      </w:r>
    </w:p>
    <w:p w14:paraId="02C7C1FF" w14:textId="77777777" w:rsidR="009D7677" w:rsidRDefault="009D7677" w:rsidP="009D7677">
      <w:pPr>
        <w:pStyle w:val="TextoNormal"/>
      </w:pPr>
    </w:p>
    <w:p w14:paraId="4E9A2E80" w14:textId="77777777" w:rsidR="009D7677" w:rsidRDefault="009D7677" w:rsidP="009D7677">
      <w:pPr>
        <w:pStyle w:val="TextoNormal"/>
      </w:pPr>
      <w:r>
        <w:t>El art. 17 de la Ley Orgánica 2/2010, en su redacción inicial, que fue enjuiciada por la STC 44/2023, se limitaba a exigir que se entregase a la mujer que solicitaba la interrupción voluntaria del embarazo información, en sobre cerrado (verbalmente exclusivamente si la mujer así lo solicitaba), sobre determinados extremos, referidos a “todos los elementos adecuados para formar juicio, incluidos aquellos que pudieran contribuir a subvenir las dificultades de todo orden que el nacimiento de un hijo o hija pudiera plantearle” (STC 44/2023, FJ 5). El precepto establecía también un periodo de reflexión de tres días desde la fecha de la información a la gestante (como regla, por escrito en sobre cerrado) hasta la práctica del aborto.</w:t>
      </w:r>
    </w:p>
    <w:p w14:paraId="132A8A34" w14:textId="77777777" w:rsidR="009D7677" w:rsidRDefault="009D7677" w:rsidP="009D7677">
      <w:pPr>
        <w:pStyle w:val="TextoNormal"/>
      </w:pPr>
    </w:p>
    <w:p w14:paraId="5C2D8416" w14:textId="77777777" w:rsidR="009D7677" w:rsidRDefault="009D7677" w:rsidP="009D7677">
      <w:pPr>
        <w:pStyle w:val="TextoNormal"/>
      </w:pPr>
      <w:r>
        <w:t>Sin perjuicio de reiterar que, por las razones expresadas en el voto particular a la STC 44/2023, el último inciso del art. 17.5 de la Ley Orgánica 2/2010 debería haber sido declarado inconstitucional y nulo, en cuanto permite que no se ofrezca esa información previa oralmente si la gestante no lo solicita de forma expresa, he de advertir que la regulación resultante de la Ley Orgánica 1/2023 ha agravado la situación, al suprimir el periodo de reflexión de tres días y la obligación de informar (como regla, por escrito, en sobre cerrado) a la mujer que solicita la práctica del aborto sobre las ayudas a la maternidad (con arreglo al nuevo art. 17, esa información solo se suministrará a la mujer si esta lo solicita), con la pretendida finalidad de remover “trabas innecesarias” a la libre toma de decisiones de la mujer embarazada.</w:t>
      </w:r>
    </w:p>
    <w:p w14:paraId="4B2E204F" w14:textId="77777777" w:rsidR="009D7677" w:rsidRDefault="009D7677" w:rsidP="009D7677">
      <w:pPr>
        <w:pStyle w:val="TextoNormal"/>
      </w:pPr>
    </w:p>
    <w:p w14:paraId="0DB4F766" w14:textId="77777777" w:rsidR="009D7677" w:rsidRDefault="009D7677" w:rsidP="009D7677">
      <w:pPr>
        <w:pStyle w:val="TextoNormal"/>
      </w:pPr>
      <w:r>
        <w:t xml:space="preserve">Considero que la nueva regulación, contenida en los arts. 14 </w:t>
      </w:r>
      <w:r w:rsidRPr="009D7677">
        <w:rPr>
          <w:i/>
        </w:rPr>
        <w:t>bis</w:t>
      </w:r>
      <w:r>
        <w:t xml:space="preserve"> y 17 de la Ley Orgánica 2/2010 redactados por la Ley Orgánica 1/2023, no puede entenderse conforme con el art. 15 CE —ni siquiera aceptando la lógica de la sentencia, basada, como en la STC 44/2013, a la que constantemente se remite, en la existencia de un pretendido derecho fundamental de la mujer al aborto— pues, al eliminar las ya de por sí insuficientes garantías de la regulación inicial (información a la gestante de las ayudas a la maternidad y periodo de reflexión), el legislador ha eludido la necesaria ponderación de los derechos y bienes dignos de protección constitucional en conflicto, al no tener en cuenta el deber estatal de la protección de la vida prenatal </w:t>
      </w:r>
      <w:r w:rsidRPr="009D7677">
        <w:rPr>
          <w:i/>
        </w:rPr>
        <w:t>ex</w:t>
      </w:r>
      <w:r>
        <w:t xml:space="preserve"> art. 15 CE, conforme exige la doctrina de este tribunal, otra vez marginada y olvidada cuando interesa a la mayoría del mismo para su labor de arquitectura constitucional creacionista.</w:t>
      </w:r>
    </w:p>
    <w:p w14:paraId="434FA0A1" w14:textId="77777777" w:rsidR="009D7677" w:rsidRDefault="009D7677" w:rsidP="009D7677">
      <w:pPr>
        <w:pStyle w:val="TextoNormal"/>
      </w:pPr>
    </w:p>
    <w:p w14:paraId="27291333" w14:textId="77777777" w:rsidR="009D7677" w:rsidRDefault="009D7677" w:rsidP="009D7677">
      <w:pPr>
        <w:pStyle w:val="TextoNormal"/>
      </w:pPr>
      <w:r>
        <w:t xml:space="preserve">La regulación impugnada no garantiza debidamente que la gestante preste su consentimiento informado para la práctica del aborto. Difícilmente puede hablarse de un verdadero consentimiento informado, y de protección de la vida prenatal, cuando ni siquiera se permite que esa información a la que se refiere el art. 17.2 de la ley sea asimilada por la gestante, aunque sea en un breve plazo. Por tanto, cabe concluir que la previsión legislativa resulta claramente insuficiente desde la perspectiva de la protección de la vida prenatal </w:t>
      </w:r>
      <w:r w:rsidRPr="009D7677">
        <w:rPr>
          <w:i/>
        </w:rPr>
        <w:t>ex</w:t>
      </w:r>
      <w:r>
        <w:t xml:space="preserve"> art. 15 CE, que impone al Estado un deber de tutela de esta.</w:t>
      </w:r>
    </w:p>
    <w:p w14:paraId="3B371C71" w14:textId="77777777" w:rsidR="009D7677" w:rsidRDefault="009D7677" w:rsidP="009D7677">
      <w:pPr>
        <w:pStyle w:val="TextoNormal"/>
      </w:pPr>
    </w:p>
    <w:p w14:paraId="3D9727E4" w14:textId="77777777" w:rsidR="009D7677" w:rsidRDefault="009D7677" w:rsidP="009D7677">
      <w:pPr>
        <w:pStyle w:val="TextoNormal"/>
      </w:pPr>
      <w:r>
        <w:t xml:space="preserve">Así debió apreciarlo la sentencia y, en consecuencia, debió declarar inconstitucionales y nulos el art. 14 </w:t>
      </w:r>
      <w:r w:rsidRPr="009D7677">
        <w:rPr>
          <w:i/>
        </w:rPr>
        <w:t>bis</w:t>
      </w:r>
      <w:r>
        <w:t xml:space="preserve"> y los apartados segundo y quinto, segundo párrafo, del art. 17 de la Ley Orgánica 2/2010, en la redacción resultante de la Ley Orgánica 1/2023.</w:t>
      </w:r>
    </w:p>
    <w:p w14:paraId="0090D8B7" w14:textId="77777777" w:rsidR="009D7677" w:rsidRDefault="009D7677" w:rsidP="009D7677">
      <w:pPr>
        <w:pStyle w:val="TextoNormal"/>
      </w:pPr>
    </w:p>
    <w:p w14:paraId="73DE82B6" w14:textId="77777777" w:rsidR="009D7677" w:rsidRDefault="009D7677" w:rsidP="009D7677">
      <w:pPr>
        <w:pStyle w:val="TextoNormal"/>
      </w:pPr>
      <w:r>
        <w:t xml:space="preserve">4. </w:t>
      </w:r>
      <w:r w:rsidRPr="009D7677">
        <w:rPr>
          <w:i/>
        </w:rPr>
        <w:t>Exclusión de los ex objetores de conciencia de los comités clínicos</w:t>
      </w:r>
    </w:p>
    <w:p w14:paraId="31313716" w14:textId="77777777" w:rsidR="009D7677" w:rsidRDefault="009D7677" w:rsidP="009D7677">
      <w:pPr>
        <w:pStyle w:val="TextoNormal"/>
      </w:pPr>
    </w:p>
    <w:p w14:paraId="4A9CCD62" w14:textId="77777777" w:rsidR="009D7677" w:rsidRDefault="009D7677" w:rsidP="009D7677">
      <w:pPr>
        <w:pStyle w:val="TextoNormal"/>
      </w:pPr>
      <w:r>
        <w:t>El art. 16.1 de la Ley Orgánica 2/2010, redactado por la Ley Orgánica 1/2023, excluye en su inciso final de la composición de los comités clínicos (que intervienen a partir de las veintidós semanas de gestación cuando se detecte en el feto una enfermedad grave e incurable) a aquellos facultativos que hubieran sido objetores de conciencia a la práctica del aborto, durante los tres años siguientes a la revocación de la declaración de objeción de conciencia. La sentencia descarta en su fundamento jurídico 8 que esta exclusión pueda reputarse inconstitucional.</w:t>
      </w:r>
    </w:p>
    <w:p w14:paraId="54DF26C0" w14:textId="77777777" w:rsidR="009D7677" w:rsidRDefault="009D7677" w:rsidP="009D7677">
      <w:pPr>
        <w:pStyle w:val="TextoNormal"/>
      </w:pPr>
    </w:p>
    <w:p w14:paraId="6A49F086" w14:textId="77777777" w:rsidR="009D7677" w:rsidRDefault="009D7677" w:rsidP="009D7677">
      <w:pPr>
        <w:pStyle w:val="TextoNormal"/>
      </w:pPr>
      <w:r>
        <w:t>Disiento también de esta apreciación. A mi entender, esa previsión legal resulta injustificada, se basa en un prejuicio ideológico y entra, en consecuencia, en abierta contradicción con el derecho a la libertad ideológica que garantiza el art. 16.1 CE, por lo que debió ser declarada inconstitucional y nulo el inciso final del precepto enjuiciado.</w:t>
      </w:r>
    </w:p>
    <w:p w14:paraId="771B1E48" w14:textId="77777777" w:rsidR="009D7677" w:rsidRDefault="009D7677" w:rsidP="009D7677">
      <w:pPr>
        <w:pStyle w:val="TextoNormal"/>
      </w:pPr>
    </w:p>
    <w:p w14:paraId="7B8B18B5" w14:textId="77777777" w:rsidR="009D7677" w:rsidRDefault="009D7677" w:rsidP="009D7677">
      <w:pPr>
        <w:pStyle w:val="TextoNormal"/>
      </w:pPr>
      <w:r>
        <w:t xml:space="preserve">La exclusión de los comités clínicos de quienes hubieran estado inscritos en el registro de objetores de conciencia hasta transcurridos tres años desde la baja en el mismo es una medida carente de justificación, dado que la participación en dichos comités y supone una discriminación por motivos ideológicos de los facultativos a los que afecta, pues se basa en la presunción injustificada de que estos, por haber sido objetores de conciencia anteriormente, no ofrecerán su dictamen con objetividad y de conformidad con la </w:t>
      </w:r>
      <w:r w:rsidRPr="009D7677">
        <w:rPr>
          <w:i/>
        </w:rPr>
        <w:t>lex artis</w:t>
      </w:r>
      <w:r>
        <w:t xml:space="preserve"> que preside su actuación. Solo pueden figurar en estos comités, por tanto, quienes son y han sido plenamente conformes con la voluntad del legislador y de su producto, la ley; quienes, en una sociedad pluralista, por cierto, han pensado y exteriorizado su libertad ideológica en un momento dado, quedan por el contrario tiznados durante el lapso temporal que el legislador ha ideado.</w:t>
      </w:r>
    </w:p>
    <w:p w14:paraId="030269B9" w14:textId="77777777" w:rsidR="009D7677" w:rsidRDefault="009D7677" w:rsidP="009D7677">
      <w:pPr>
        <w:pStyle w:val="TextoNormal"/>
      </w:pPr>
    </w:p>
    <w:p w14:paraId="5737ADB3" w14:textId="0E9E8B04" w:rsidR="009D7677" w:rsidRDefault="009D7677" w:rsidP="009D7677">
      <w:pPr>
        <w:pStyle w:val="TextoNormal"/>
      </w:pPr>
      <w:r>
        <w:t>Madrid, a dieciocho de junio de dos mil veinticuatro.</w:t>
      </w:r>
    </w:p>
    <w:p w14:paraId="3F903B13" w14:textId="77777777" w:rsidR="009D7677" w:rsidRDefault="009D7677" w:rsidP="009D7677">
      <w:pPr>
        <w:pStyle w:val="TextoNormal"/>
      </w:pPr>
    </w:p>
    <w:p w14:paraId="2788CBE5" w14:textId="77777777" w:rsidR="009D7677" w:rsidRDefault="009D7677" w:rsidP="009D7677">
      <w:pPr>
        <w:pStyle w:val="TextoNormalNegritaCentrado"/>
        <w:keepNext/>
      </w:pPr>
      <w:r>
        <w:t>Voto particular que formula la magistrada doña Concepción Espejel Jorquera a la sentencia dictada por el Pleno con fecha 18 de junio de 2024 en el recurso de inconstitucionalidad núm. 3630-2023</w:t>
      </w:r>
    </w:p>
    <w:p w14:paraId="5A7B77EC" w14:textId="7A6FA138" w:rsidR="009D7677" w:rsidRDefault="009D7677" w:rsidP="009D7677">
      <w:pPr>
        <w:pStyle w:val="TextoNormalNegritaCentrado"/>
        <w:keepNext/>
      </w:pPr>
    </w:p>
    <w:p w14:paraId="5AD5839C" w14:textId="77777777" w:rsidR="009D7677" w:rsidRDefault="009D7677" w:rsidP="009D7677">
      <w:pPr>
        <w:pStyle w:val="TextoNormal"/>
      </w:pPr>
      <w:r>
        <w:t>Con el debido respeto a la decisión de mis compañeros magistrados y haciendo uso de la facultad conferida en el art. 90.2 de la Ley Orgánica del Tribunal Constitucional, vengo a expresar mi criterio discrepante con la decisión de desestimación del Recurso de Inconstitucionalidad núm. 3630-2023, interpuesto contra diversos preceptos de la Ley Orgánica 1/2023, de 28 de febrero, por la que se modifica la Ley Orgánica 2/2010, de 3 de marzo, de salud sexual y reproductiva y de la interrupción voluntaria del embarazo.</w:t>
      </w:r>
    </w:p>
    <w:p w14:paraId="07CD6570" w14:textId="77777777" w:rsidR="009D7677" w:rsidRDefault="009D7677" w:rsidP="009D7677">
      <w:pPr>
        <w:pStyle w:val="TextoNormal"/>
      </w:pPr>
    </w:p>
    <w:p w14:paraId="75AA230C" w14:textId="77777777" w:rsidR="009D7677" w:rsidRDefault="009D7677" w:rsidP="009D7677">
      <w:pPr>
        <w:pStyle w:val="TextoNormal"/>
      </w:pPr>
      <w:r>
        <w:t>Los motivos de mi discrepancia son los siguientes:</w:t>
      </w:r>
    </w:p>
    <w:p w14:paraId="3937AB1A" w14:textId="77777777" w:rsidR="009D7677" w:rsidRDefault="009D7677" w:rsidP="009D7677">
      <w:pPr>
        <w:pStyle w:val="TextoNormal"/>
      </w:pPr>
    </w:p>
    <w:p w14:paraId="041A2F1F" w14:textId="77777777" w:rsidR="009D7677" w:rsidRDefault="009D7677" w:rsidP="009D7677">
      <w:pPr>
        <w:pStyle w:val="TextoNormal"/>
      </w:pPr>
      <w:r>
        <w:t>1. Sobre la consideración del aborto como derecho fundamental de la mujer</w:t>
      </w:r>
    </w:p>
    <w:p w14:paraId="23A24DFF" w14:textId="77777777" w:rsidR="009D7677" w:rsidRDefault="009D7677" w:rsidP="009D7677">
      <w:pPr>
        <w:pStyle w:val="TextoNormal"/>
      </w:pPr>
    </w:p>
    <w:p w14:paraId="0F0488C7" w14:textId="77777777" w:rsidR="009D7677" w:rsidRDefault="009D7677" w:rsidP="009D7677">
      <w:pPr>
        <w:pStyle w:val="TextoNormal"/>
      </w:pPr>
      <w:r>
        <w:lastRenderedPageBreak/>
        <w:t>La sentencia de la que discrepo reitera la consideración de la interrupción voluntaria del embarazo como derecho fundamental de la mujer, declarada en la STC 44/2023, de 9 de mayo.</w:t>
      </w:r>
    </w:p>
    <w:p w14:paraId="6476CE8E" w14:textId="77777777" w:rsidR="009D7677" w:rsidRDefault="009D7677" w:rsidP="009D7677">
      <w:pPr>
        <w:pStyle w:val="TextoNormal"/>
      </w:pPr>
    </w:p>
    <w:p w14:paraId="29FF262B" w14:textId="77777777" w:rsidR="009D7677" w:rsidRDefault="009D7677" w:rsidP="009D7677">
      <w:pPr>
        <w:pStyle w:val="TextoNormal"/>
      </w:pPr>
      <w:r>
        <w:t xml:space="preserve">Como expuse en mi voto particular a la citada STC 44/2023, estimo que el Tribunal desbordó las competencias que le correspondían al resolver el recurso de inconstitucionalidad planteado y, en vez de limitarse a examinar si la norma cuestionada resultaba conforme a la Constitución, vino a crear </w:t>
      </w:r>
      <w:r w:rsidRPr="009D7677">
        <w:rPr>
          <w:i/>
        </w:rPr>
        <w:t>ex novo</w:t>
      </w:r>
      <w:r>
        <w:t xml:space="preserve"> lo que denominó “derecho de la mujer a la autodeterminación respecto a la interrupción voluntaria del embarazo”, que se construyó, de un lado, a partir del art. 10.1 CE y, de otro, con base en el art. 15 CE, aludiendo, finalmente, a que una limitación de dicho derecho comportaría una discriminación de la mujer que vulneraría el art. 14 CE.</w:t>
      </w:r>
    </w:p>
    <w:p w14:paraId="7F9D216F" w14:textId="77777777" w:rsidR="009D7677" w:rsidRDefault="009D7677" w:rsidP="009D7677">
      <w:pPr>
        <w:pStyle w:val="TextoNormal"/>
      </w:pPr>
    </w:p>
    <w:p w14:paraId="6A288DBE" w14:textId="77777777" w:rsidR="009D7677" w:rsidRDefault="009D7677" w:rsidP="009D7677">
      <w:pPr>
        <w:pStyle w:val="TextoNormal"/>
      </w:pPr>
      <w:r>
        <w:t>La propia sentencia 44/2023 indicó que “[l]a labor de interpretación de la Constitución no consiste necesariamente en cerrar el paso a las opciones o variantes imponiendo autoritariamente una de ellas. A esta conclusión habrá que llegar únicamente cuando el carácter unívoco de la interpretación se imponga por el juego de los criterios hermenéuticos. Queremos decir que las opciones políticas y de gobierno no están previamente programadas de una vez por todas, de manera tal que lo único que cabe hacer en adelante es desarrollar ese programa previo”.</w:t>
      </w:r>
    </w:p>
    <w:p w14:paraId="1C574067" w14:textId="77777777" w:rsidR="009D7677" w:rsidRDefault="009D7677" w:rsidP="009D7677">
      <w:pPr>
        <w:pStyle w:val="TextoNormal"/>
      </w:pPr>
    </w:p>
    <w:p w14:paraId="2C01D2EC" w14:textId="77777777" w:rsidR="009D7677" w:rsidRDefault="009D7677" w:rsidP="009D7677">
      <w:pPr>
        <w:pStyle w:val="TextoNormal"/>
      </w:pPr>
      <w:r>
        <w:t>En esta línea, este tribunal ha declarado también que ‘“el legislador no ejecuta la Constitución, sino que crea Derecho con libertad dentro del marco que esta ofrece’ de modo que ‘este Tribunal no ha de hacer las veces de propio legislador, constriñendo su libertad de disposición allí donde la Constitución no lo haga de manera inequívoca’ (SSTC 215/2016, de 15 de diciembre, FJ 3). y 191/2016, de 15 de noviembre, FJ 3, entre otras)” (STC 112/2021, de 13 de mayo, FJ 5).</w:t>
      </w:r>
    </w:p>
    <w:p w14:paraId="35EA05DA" w14:textId="77777777" w:rsidR="009D7677" w:rsidRDefault="009D7677" w:rsidP="009D7677">
      <w:pPr>
        <w:pStyle w:val="TextoNormal"/>
      </w:pPr>
    </w:p>
    <w:p w14:paraId="64AC6089" w14:textId="77777777" w:rsidR="009D7677" w:rsidRDefault="009D7677" w:rsidP="009D7677">
      <w:pPr>
        <w:pStyle w:val="TextoNormal"/>
      </w:pPr>
      <w:r>
        <w:t>Sin embargo, orillando dicha doctrina la STC 44/2023 trasvasó los límites de enjuiciamiento del Tribunal Constitucional precedentemente expuestos y, en vez de limitarse a analizar si la opción legislativa se acomodaba o no a la Constitución, acabó creando un pseudoderecho fundamental de la mujer a la autodeterminación para la interrupción del embarazo, no recogido en la Constitución, cuya creación, obviamente, compete al poder constituyente y no a este tribunal, lo que condujo a imponer el modelo recogido en la Ley Orgánica 2/2010 como el único modelo constitucional posible, lo que se ha reiterado en la sentencia de la que ahora igualmente discrepo.</w:t>
      </w:r>
    </w:p>
    <w:p w14:paraId="5DEF5525" w14:textId="77777777" w:rsidR="009D7677" w:rsidRDefault="009D7677" w:rsidP="009D7677">
      <w:pPr>
        <w:pStyle w:val="TextoNormal"/>
      </w:pPr>
    </w:p>
    <w:p w14:paraId="7990DE52" w14:textId="77777777" w:rsidR="009D7677" w:rsidRDefault="009D7677" w:rsidP="009D7677">
      <w:pPr>
        <w:pStyle w:val="TextoNormal"/>
      </w:pPr>
      <w:r>
        <w:t>Además, aquella sentencia no centró su análisis en la eventual inconstitucionalidad de los concretos preceptos impugnados, sino que validó con carácter general la constitucionalidad del sistema de plazos, una vez entrada en vigor una Ley posterior, la Ley Orgánica 1/2023, cuya constitucionalidad es objeto de análisis en la sentencia de la que discrepo, reforma que de ese modo quedó “blindada” mediante la construcción de un pretendido derecho fundamental de la mujer a la interrupción voluntaria del embarazo, cerrando así la puerta a cualquier otra opción legislativa.</w:t>
      </w:r>
    </w:p>
    <w:p w14:paraId="3DC2AAAD" w14:textId="77777777" w:rsidR="009D7677" w:rsidRDefault="009D7677" w:rsidP="009D7677">
      <w:pPr>
        <w:pStyle w:val="TextoNormal"/>
      </w:pPr>
    </w:p>
    <w:p w14:paraId="5EDE4AE8" w14:textId="77777777" w:rsidR="009D7677" w:rsidRDefault="009D7677" w:rsidP="009D7677">
      <w:pPr>
        <w:pStyle w:val="TextoNormal"/>
      </w:pPr>
      <w:r>
        <w:t>Como avancé en el referido voto particular a la STC 44/2023, la extralimitación de las facultades de enjuiciamiento que competen a este tribunal, unida a la circunstancia previa de que se resolviera un recurso de inconstitucionalidad que ya había perdido objeto cuan</w:t>
      </w:r>
      <w:r>
        <w:lastRenderedPageBreak/>
        <w:t>do se dictó la sentencia anterior, vino a predeterminar los pronunciamientos que el tribunal debería hacer en el recurso de inconstitucionalidad contra la Ley Orgánica 1/2023, que ya había entrado en vigor cuando se resolvió el recurso anterior, como así ha sucedido efectivamente.</w:t>
      </w:r>
    </w:p>
    <w:p w14:paraId="5E8B5972" w14:textId="77777777" w:rsidR="009D7677" w:rsidRDefault="009D7677" w:rsidP="009D7677">
      <w:pPr>
        <w:pStyle w:val="TextoNormal"/>
      </w:pPr>
    </w:p>
    <w:p w14:paraId="7B953122" w14:textId="77777777" w:rsidR="009D7677" w:rsidRDefault="009D7677" w:rsidP="009D7677">
      <w:pPr>
        <w:pStyle w:val="TextoNormal"/>
      </w:pPr>
      <w:r>
        <w:t>Ello me obliga a reiterar que, a mi juicio, la creación de un supuesto derecho fundamental a la autodeterminación de la interrupción voluntaria del embarazo contradice, lesiona o atenta contra un bien constitucionalmente protegido, como es la vida de</w:t>
      </w:r>
      <w:r w:rsidRPr="009D7677">
        <w:rPr>
          <w:i/>
        </w:rPr>
        <w:t>l nascitur</w:t>
      </w:r>
      <w:r>
        <w:t>us.</w:t>
      </w:r>
    </w:p>
    <w:p w14:paraId="5D9DBE6F" w14:textId="77777777" w:rsidR="009D7677" w:rsidRDefault="009D7677" w:rsidP="009D7677">
      <w:pPr>
        <w:pStyle w:val="TextoNormal"/>
      </w:pPr>
    </w:p>
    <w:p w14:paraId="56EF8FC7" w14:textId="77777777" w:rsidR="009D7677" w:rsidRDefault="009D7677" w:rsidP="009D7677">
      <w:pPr>
        <w:pStyle w:val="TextoNormal"/>
      </w:pPr>
      <w:r>
        <w:t>No puedo compartir que el sacrificio de la vida de un ser humano en gestación sea un medio legítimo para ejercer la libertad de ser madre.</w:t>
      </w:r>
    </w:p>
    <w:p w14:paraId="1F88243B" w14:textId="77777777" w:rsidR="009D7677" w:rsidRDefault="009D7677" w:rsidP="009D7677">
      <w:pPr>
        <w:pStyle w:val="TextoNormal"/>
      </w:pPr>
    </w:p>
    <w:p w14:paraId="2321051F" w14:textId="77777777" w:rsidR="009D7677" w:rsidRDefault="009D7677" w:rsidP="009D7677">
      <w:pPr>
        <w:pStyle w:val="TextoNormal"/>
      </w:pPr>
      <w:r>
        <w:t xml:space="preserve">Me reafirmo igualmente en que la STC 44/2023 asentó la construcción del pretendido derecho fundamental al aborto en afirmaciones voluntaristas, de gran carga ideológica, sin justificar las razones por las que la libertad o la dignidad de la mujer precisan el sacrificio de la vida del </w:t>
      </w:r>
      <w:r w:rsidRPr="009D7677">
        <w:rPr>
          <w:i/>
        </w:rPr>
        <w:t>nasciturus</w:t>
      </w:r>
      <w:r>
        <w:t>, al que relegan a un mero apéndice no deseado del cuerpo de la mujer, obviando que se trata de una vida humana en gestación que se encuentra, además, en situación de total vulnerabilidad e indefensión frente a una acción traumática y dolorosa que pone fin a su existencia por la mera decisión de la mujer en cuyo claustro materno se encuentra.</w:t>
      </w:r>
    </w:p>
    <w:p w14:paraId="3709A7F7" w14:textId="77777777" w:rsidR="009D7677" w:rsidRDefault="009D7677" w:rsidP="009D7677">
      <w:pPr>
        <w:pStyle w:val="TextoNormal"/>
      </w:pPr>
    </w:p>
    <w:p w14:paraId="4964D2D7" w14:textId="77777777" w:rsidR="009D7677" w:rsidRDefault="009D7677" w:rsidP="009D7677">
      <w:pPr>
        <w:pStyle w:val="TextoNormal"/>
      </w:pPr>
      <w:r>
        <w:t>2. Remisión a las consideraciones efectuadas en mi voto particular a la STC 44/2023, relativas a que ni el tiempo transcurrido desde que fue dictada la STC 53/1985, que declaró que la vida humana en gestación constituye un bien constitucionalmente protegido, ni la pretendida evolución de la realidad social, ni la normativa internacional, ni la doctrina del Tribunal Europeo de Derechos Humanos amparan la creación de un pretendido derecho fundamental al aborto.</w:t>
      </w:r>
    </w:p>
    <w:p w14:paraId="67073311" w14:textId="77777777" w:rsidR="009D7677" w:rsidRDefault="009D7677" w:rsidP="009D7677">
      <w:pPr>
        <w:pStyle w:val="TextoNormal"/>
      </w:pPr>
    </w:p>
    <w:p w14:paraId="467A8686" w14:textId="77777777" w:rsidR="009D7677" w:rsidRDefault="009D7677" w:rsidP="009D7677">
      <w:pPr>
        <w:pStyle w:val="TextoNormal"/>
      </w:pPr>
      <w:r>
        <w:t>Las pretendidas “[d]iferencias entre el objeto del presente recurso de inconstitucionalidad y el objeto de la STC 53/1985” a las que se refirió la STC 44/2023, desde mi punto de vista no justifican las razones por las que el Tribunal se apartó de los pronunciamientos esenciales de la STC 53/1985, ya que el mero transcurso del tiempo no basta por su inconsistencia argumental para hacer inaplicable dicha doctrina, máxime cuando la misma ha sido reiterada en las SSTC 212/1996, de 16 de diciembre; 116/1999 de 17 de junio; 66/2022 de 2 de junio, y 11/2023 de 23 de febrero.</w:t>
      </w:r>
    </w:p>
    <w:p w14:paraId="1EA1FB0F" w14:textId="77777777" w:rsidR="009D7677" w:rsidRDefault="009D7677" w:rsidP="009D7677">
      <w:pPr>
        <w:pStyle w:val="TextoNormal"/>
      </w:pPr>
    </w:p>
    <w:p w14:paraId="3C8EE99E" w14:textId="77777777" w:rsidR="009D7677" w:rsidRDefault="009D7677" w:rsidP="009D7677">
      <w:pPr>
        <w:pStyle w:val="TextoNormal"/>
      </w:pPr>
      <w:r>
        <w:t xml:space="preserve">Tampoco constituyen justificación bastante para la creación </w:t>
      </w:r>
      <w:r w:rsidRPr="009D7677">
        <w:rPr>
          <w:i/>
        </w:rPr>
        <w:t>ex novo</w:t>
      </w:r>
      <w:r>
        <w:t xml:space="preserve"> de un derecho fundamental al aborto las consideraciones que se efectuaron en el FJ 2 B) de la STC 44/2023, bajo la rúbrica “Pautas Interpretativas”, que partieron de la afirmación de que “[e]n el desarrollo de su labor de control el Tribunal debe interpretar la Constitución atendiendo al concreto contexto histórico”.</w:t>
      </w:r>
    </w:p>
    <w:p w14:paraId="475D0051" w14:textId="77777777" w:rsidR="009D7677" w:rsidRDefault="009D7677" w:rsidP="009D7677">
      <w:pPr>
        <w:pStyle w:val="TextoNormal"/>
      </w:pPr>
    </w:p>
    <w:p w14:paraId="1782D8E8" w14:textId="77777777" w:rsidR="009D7677" w:rsidRDefault="009D7677" w:rsidP="009D7677">
      <w:pPr>
        <w:pStyle w:val="TextoNormal"/>
      </w:pPr>
      <w:r>
        <w:t xml:space="preserve">Reitero que lo que la STC 44/2023 consideró como “realidad social” no es una realidad demostrada empíricamente, lo que hubiera exigido tener en cuenta, con rigor y ajustándose a parámetros objetivos, la opinión de todos los ciudadanos sobre una materia tan transcendental como es la regulación del aborto, sino que se centra solo en la visión del problema que ofrecen determinados grupos y personas, políticamente muy activos, favorables </w:t>
      </w:r>
      <w:r>
        <w:lastRenderedPageBreak/>
        <w:t>a dejar al arbitrio de la mujer la interrupción voluntaria del embarazo. De modo que la trascendencia en los medios de comunicación de las manifestaciones públicas de estos colectivos produce el efecto de extrapolar sus ideas para atribuirlas al conjunto de la sociedad.</w:t>
      </w:r>
    </w:p>
    <w:p w14:paraId="3FCF856E" w14:textId="77777777" w:rsidR="009D7677" w:rsidRDefault="009D7677" w:rsidP="009D7677">
      <w:pPr>
        <w:pStyle w:val="TextoNormal"/>
      </w:pPr>
    </w:p>
    <w:p w14:paraId="1E1D31CA" w14:textId="77777777" w:rsidR="009D7677" w:rsidRDefault="009D7677" w:rsidP="009D7677">
      <w:pPr>
        <w:pStyle w:val="TextoNormal"/>
      </w:pPr>
      <w:r>
        <w:t>Pongo de relieve nuevamente que los precedentes de nuestra doctrina que se citaron en el mencionado apartado de la sentencia como ejemplo de adecuación de los pronunciamientos del Tribunal a la realidad social y al principio de unidad de la Constitución, al margen de no referirse a supuestos equiparables al que nos ocupa, en el que queda concernido el derecho de todos a la vida consagrado en el artículo 15 de la Constitución, en cualquier caso, no permitían crear pretendidos nuevos derechos fundamentales, lo que no se efectuó en ninguna de las sentencias citadas.</w:t>
      </w:r>
    </w:p>
    <w:p w14:paraId="20B740CA" w14:textId="77777777" w:rsidR="009D7677" w:rsidRDefault="009D7677" w:rsidP="009D7677">
      <w:pPr>
        <w:pStyle w:val="TextoNormal"/>
      </w:pPr>
    </w:p>
    <w:p w14:paraId="73E4693F" w14:textId="77777777" w:rsidR="009D7677" w:rsidRDefault="009D7677" w:rsidP="009D7677">
      <w:pPr>
        <w:pStyle w:val="TextoNormal"/>
      </w:pPr>
      <w:r>
        <w:t>También reitero que, frente a lo señalado en la STC 44/2023, como apuntan los ahora recurrentes, ningún tratado internacional en materia de derechos humanos, ratificado por nuestro país, reconoce el derecho al aborto, por lo que no se ajustó a la realidad la afirmación de que la despenalización del aborto formara parte de obligaciones internacionales asumidas por España.</w:t>
      </w:r>
    </w:p>
    <w:p w14:paraId="3B439FD9" w14:textId="77777777" w:rsidR="009D7677" w:rsidRDefault="009D7677" w:rsidP="009D7677">
      <w:pPr>
        <w:pStyle w:val="TextoNormal"/>
      </w:pPr>
    </w:p>
    <w:p w14:paraId="0F308730" w14:textId="77777777" w:rsidR="009D7677" w:rsidRDefault="009D7677" w:rsidP="009D7677">
      <w:pPr>
        <w:pStyle w:val="TextoNormal"/>
      </w:pPr>
      <w:r>
        <w:t>Como también expuse en el voto particular anterior, las instituciones europeas han rechazado reiteradamente establecer un “derecho europeo al aborto”, incluso cuando se les ha preguntado directamente. El Comité de Ministros del Consejo de Europa se negó a “establecer dicho derecho al aborto” en julio de 2013. Tampoco lo ha hecho la Comisión Europea, que no se ha ocupado de la cuestión al considerar que tal propuesta queda fuera de sus competencias. El 10 de diciembre de 2013, el Parlamento Europeo rechazó una resolución instando a reconocer el aborto como un derecho fundamental.</w:t>
      </w:r>
    </w:p>
    <w:p w14:paraId="616AFA22" w14:textId="77777777" w:rsidR="009D7677" w:rsidRDefault="009D7677" w:rsidP="009D7677">
      <w:pPr>
        <w:pStyle w:val="TextoNormal"/>
      </w:pPr>
    </w:p>
    <w:p w14:paraId="37D08455" w14:textId="77777777" w:rsidR="009D7677" w:rsidRDefault="009D7677" w:rsidP="009D7677">
      <w:pPr>
        <w:pStyle w:val="TextoNormal"/>
      </w:pPr>
      <w:r>
        <w:t>Tampoco la doctrina del Tribunal Europeo de Derechos Humanos ampara las conclusiones a las que llegó la STC 44/2023, dado que las resoluciones de aquel no imponen un concreto modelo legislativo, sino que permiten un amplio margen de configuración por parte de los Estados miembros.</w:t>
      </w:r>
    </w:p>
    <w:p w14:paraId="013C7700" w14:textId="77777777" w:rsidR="009D7677" w:rsidRDefault="009D7677" w:rsidP="009D7677">
      <w:pPr>
        <w:pStyle w:val="TextoNormal"/>
      </w:pPr>
    </w:p>
    <w:p w14:paraId="4C111A4F" w14:textId="77777777" w:rsidR="009D7677" w:rsidRDefault="009D7677" w:rsidP="009D7677">
      <w:pPr>
        <w:pStyle w:val="TextoNormal"/>
      </w:pPr>
      <w:r>
        <w:t xml:space="preserve">Por el contrario, el Tribunal Europeo de Derechos Humanos considera que el art. 8 no puede interpretarse en el sentido que confiera un derecho al aborto (STEDH de 16 de diciembre de 2010, asunto </w:t>
      </w:r>
      <w:r w:rsidRPr="009D7677">
        <w:rPr>
          <w:i/>
        </w:rPr>
        <w:t>A, B y C c. Irlanda</w:t>
      </w:r>
      <w:r>
        <w:t xml:space="preserve">) ni tampoco el derecho a practicarlo (asunto </w:t>
      </w:r>
      <w:r w:rsidRPr="009D7677">
        <w:rPr>
          <w:i/>
        </w:rPr>
        <w:t>Jean-Jacques c. Bélgica</w:t>
      </w:r>
      <w:r>
        <w:t xml:space="preserve">). En el mismo sentido la STEDH de 30 de octubre de 2012, asunto </w:t>
      </w:r>
      <w:r w:rsidRPr="009D7677">
        <w:rPr>
          <w:i/>
        </w:rPr>
        <w:t>P. y S. c. Polonia</w:t>
      </w:r>
      <w:r>
        <w:t>, en la que el Tribunal declaró que el art. 8 CEDH, que garantiza la autonomía personal, no se puede interpretar como otorgamiento de un derecho al aborto.</w:t>
      </w:r>
    </w:p>
    <w:p w14:paraId="5ACDB157" w14:textId="77777777" w:rsidR="009D7677" w:rsidRDefault="009D7677" w:rsidP="009D7677">
      <w:pPr>
        <w:pStyle w:val="TextoNormal"/>
      </w:pPr>
    </w:p>
    <w:p w14:paraId="78C0B5C9" w14:textId="77777777" w:rsidR="009D7677" w:rsidRDefault="009D7677" w:rsidP="009D7677">
      <w:pPr>
        <w:pStyle w:val="TextoNormal"/>
      </w:pPr>
      <w:r>
        <w:t>Además, el Tribunal Europeo de Derechos Humanos ha subrayado que, una vez que el Estado, actuando dentro de los límites de su apreciación, adopte disposiciones legales que permitan el aborto en algunas situaciones, “el marco legal diseñado para estos fines debe ser de alguna manera coherente, tomando en cuenta de manera adecuada los diferentes intereses legítimos en juego en conformidad con las obligaciones de la derivadas de la Convención” (asunt</w:t>
      </w:r>
      <w:r w:rsidRPr="009D7677">
        <w:rPr>
          <w:i/>
        </w:rPr>
        <w:t>o P. y S. c. Polon</w:t>
      </w:r>
      <w:r>
        <w:t>ia).</w:t>
      </w:r>
    </w:p>
    <w:p w14:paraId="01FDA8CD" w14:textId="77777777" w:rsidR="009D7677" w:rsidRDefault="009D7677" w:rsidP="009D7677">
      <w:pPr>
        <w:pStyle w:val="TextoNormal"/>
      </w:pPr>
    </w:p>
    <w:p w14:paraId="7BD794A0" w14:textId="77777777" w:rsidR="009D7677" w:rsidRDefault="009D7677" w:rsidP="009D7677">
      <w:pPr>
        <w:pStyle w:val="TextoNormal"/>
      </w:pPr>
      <w:r>
        <w:t xml:space="preserve">El mismo Tribunal Europeo de Derechos Humanos ha declarado que los Estados son libres de decidir si permiten el aborto, para añadir que, ello no obstante, si la legislación </w:t>
      </w:r>
      <w:r>
        <w:lastRenderedPageBreak/>
        <w:t xml:space="preserve">nacional decide legalizarlo, el Tribunal puede analizar el marco legal mediante la búsqueda de un justo equilibrio, en una situación específica, entre los distintos derechos e intereses de las partes involucradas. Así, la Gran Sala declaró en el asunto </w:t>
      </w:r>
      <w:r w:rsidRPr="009D7677">
        <w:rPr>
          <w:i/>
        </w:rPr>
        <w:t>Vo. c. Francia</w:t>
      </w:r>
      <w:r>
        <w:t xml:space="preserve"> que “[e]stá claro [...] que la cuestión siempre ha sido determinada por el peso de varios, y a veces contradictorios, derechos o libertades”. El Tribunal Europeo de Derechos Humanos recuerda, en síntesis, que si un Estado decide permitir el aborto, su “margen de apreciación no es ilimitado” con respecto a “cómo se equilibran los derechos en conflicto”, y que “el Tribunal debe supervisar si la injerencia constituye un equilibrio proporcional de los intereses en juego”.</w:t>
      </w:r>
    </w:p>
    <w:p w14:paraId="45FD44BF" w14:textId="77777777" w:rsidR="009D7677" w:rsidRDefault="009D7677" w:rsidP="009D7677">
      <w:pPr>
        <w:pStyle w:val="TextoNormal"/>
      </w:pPr>
    </w:p>
    <w:p w14:paraId="71DDE736" w14:textId="77777777" w:rsidR="009D7677" w:rsidRDefault="009D7677" w:rsidP="009D7677">
      <w:pPr>
        <w:pStyle w:val="TextoNormal"/>
      </w:pPr>
      <w:r>
        <w:t>En consecuencia, el Tribunal Europeo de Derechos Humanos declaró que hay que sopesar la necesidad y la proporcionalidad de los derechos e intereses afectados en casos de aborto a la luz del Convenio europeo de derechos humanos.</w:t>
      </w:r>
    </w:p>
    <w:p w14:paraId="23BDA9CD" w14:textId="77777777" w:rsidR="009D7677" w:rsidRDefault="009D7677" w:rsidP="009D7677">
      <w:pPr>
        <w:pStyle w:val="TextoNormal"/>
      </w:pPr>
    </w:p>
    <w:p w14:paraId="224BC29A" w14:textId="77777777" w:rsidR="009D7677" w:rsidRDefault="009D7677" w:rsidP="009D7677">
      <w:pPr>
        <w:pStyle w:val="TextoNormal"/>
      </w:pPr>
      <w:r>
        <w:t>Incluso recordé en el anterior voto particular que, frente a lo razonado en la STC 44/2023, el Tribunal Europeo de Derechos Humanos ha reconocido que “un padre potencial” puede presentarse como víctima de un aborto practicado a su hijo no nacido (asunt</w:t>
      </w:r>
      <w:r w:rsidRPr="009D7677">
        <w:rPr>
          <w:i/>
        </w:rPr>
        <w:t>o Boso c. Ital</w:t>
      </w:r>
      <w:r>
        <w:t>ia).</w:t>
      </w:r>
    </w:p>
    <w:p w14:paraId="628F048E" w14:textId="77777777" w:rsidR="009D7677" w:rsidRDefault="009D7677" w:rsidP="009D7677">
      <w:pPr>
        <w:pStyle w:val="TextoNormal"/>
      </w:pPr>
    </w:p>
    <w:p w14:paraId="5AA80FA7" w14:textId="77777777" w:rsidR="009D7677" w:rsidRDefault="009D7677" w:rsidP="009D7677">
      <w:pPr>
        <w:pStyle w:val="TextoNormal"/>
      </w:pPr>
      <w:r>
        <w:t>También apunté que otros tribunales constitucionales han reconocido el derecho a la vida del embrión humano. Así, el Tribunal Federal Alemán en su sentencia de 25 de febrero de 1975, que tanto influiría en la del Tribunal Constitucional español de 1985, admitió que el derecho a la vida, reconocido en el art. 2 de la Ley Fundamental de Bonn, se extiende a la vida del embrión, “en tanto que interés jurídico independiente”.</w:t>
      </w:r>
    </w:p>
    <w:p w14:paraId="09771069" w14:textId="77777777" w:rsidR="009D7677" w:rsidRDefault="009D7677" w:rsidP="009D7677">
      <w:pPr>
        <w:pStyle w:val="TextoNormal"/>
      </w:pPr>
    </w:p>
    <w:p w14:paraId="42571B1C" w14:textId="77777777" w:rsidR="009D7677" w:rsidRDefault="009D7677" w:rsidP="009D7677">
      <w:pPr>
        <w:pStyle w:val="TextoNormal"/>
      </w:pPr>
      <w:r>
        <w:t>Con posterioridad, la sentencia del Tribunal Constitucional Federal de 28 de mayo de 1993, indicó que “en el momento así determinado del embarazo, el no nacido es una vida individual que ya no es divisible, que está definida ya en su identidad genética y, por lo tanto, en su singularidad y no intercambiabilidad, que en el proceso de crecimiento y auto-desplegarse (</w:t>
      </w:r>
      <w:r w:rsidRPr="009D7677">
        <w:rPr>
          <w:i/>
        </w:rPr>
        <w:t>im Prozeß des Wachsens und Sich-Entfaltens</w:t>
      </w:r>
      <w:r>
        <w:t>) se desarrolla no hacia un ser humano sino como un ser humano”.</w:t>
      </w:r>
    </w:p>
    <w:p w14:paraId="00010ECC" w14:textId="77777777" w:rsidR="009D7677" w:rsidRDefault="009D7677" w:rsidP="009D7677">
      <w:pPr>
        <w:pStyle w:val="TextoNormal"/>
      </w:pPr>
    </w:p>
    <w:p w14:paraId="0674DA3D" w14:textId="77777777" w:rsidR="009D7677" w:rsidRDefault="009D7677" w:rsidP="009D7677">
      <w:pPr>
        <w:pStyle w:val="TextoNormal"/>
      </w:pPr>
      <w:r>
        <w:t xml:space="preserve">Asimismo, cité la sentencia del Tribunal Supremo de los Estados Unidos de América de 24 de junio de 2022 (caso </w:t>
      </w:r>
      <w:r w:rsidRPr="009D7677">
        <w:rPr>
          <w:i/>
        </w:rPr>
        <w:t>Dobbs contra la Organización Jackson para la Salud de las Mujeres</w:t>
      </w:r>
      <w:r>
        <w:t xml:space="preserve">) que declaró que el supuesto derecho al aborto no está recogido en la Constitución americana; que ni siquiera se puede amparar en el derecho a la libertad y que tampoco se puede amparar en la cláusula del debido proceso de la decimocuarta Enmienda. También aclaró que en ningún caso el feto puede considerarse como propiedad privativa de la mujer; que tampoco puede ampararse en los precedentes (en referencia a las sentencias dictadas en los casos </w:t>
      </w:r>
      <w:r w:rsidRPr="009D7677">
        <w:rPr>
          <w:i/>
        </w:rPr>
        <w:t>Roe c. Wade</w:t>
      </w:r>
      <w:r>
        <w:t xml:space="preserve"> y </w:t>
      </w:r>
      <w:r w:rsidRPr="009D7677">
        <w:rPr>
          <w:i/>
        </w:rPr>
        <w:t>Planned Parenthood c. Casey</w:t>
      </w:r>
      <w:r>
        <w:t>), que no pueden considerarse como una camisa de fuerza; que la teoría de los plazos (a partir de cuándo el feto es viable) es ajena a la tradición de la nación americana y que son los ciudadanos y no el Tribunal Supremo los que tienen que decidir en los parlamentos de cada Estado la regulación del aborto.</w:t>
      </w:r>
    </w:p>
    <w:p w14:paraId="2DC37779" w14:textId="77777777" w:rsidR="009D7677" w:rsidRDefault="009D7677" w:rsidP="009D7677">
      <w:pPr>
        <w:pStyle w:val="TextoNormal"/>
      </w:pPr>
    </w:p>
    <w:p w14:paraId="07628533" w14:textId="77777777" w:rsidR="009D7677" w:rsidRDefault="009D7677" w:rsidP="009D7677">
      <w:pPr>
        <w:pStyle w:val="TextoNormal"/>
      </w:pPr>
      <w:r>
        <w:t>De dicho pronunciamiento se infiere que, al contrario de lo que hizo la STC 44/2023, el Tribunal Supremo de los Estados Unidos reconoció que la aprobación del aborto por dicho tribunal en las citadas dos sentencias había comportado ir en contra del principio de sepa</w:t>
      </w:r>
      <w:r>
        <w:lastRenderedPageBreak/>
        <w:t>ración de poderes, porque tal tarea corresponde al poder legislativo y no al judicial, de ahí la devolución de la competencia a las cámaras legislativas de los Estados federados.</w:t>
      </w:r>
    </w:p>
    <w:p w14:paraId="3A7C77FE" w14:textId="77777777" w:rsidR="009D7677" w:rsidRDefault="009D7677" w:rsidP="009D7677">
      <w:pPr>
        <w:pStyle w:val="TextoNormal"/>
      </w:pPr>
    </w:p>
    <w:p w14:paraId="1F1E9F5F" w14:textId="77777777" w:rsidR="009D7677" w:rsidRDefault="009D7677" w:rsidP="009D7677">
      <w:pPr>
        <w:pStyle w:val="TextoNormal"/>
      </w:pPr>
      <w:r>
        <w:t>Concluí en el citado voto discrepante —y ahora reitero— que la pretendida evolución de la realidad social aludida en la sentencia se contempló de un modo fragmentario, con apoyo en textos que no tienen fuerza vinculante y en jurisprudencia europea que se analizó de forma incompleta y parcial, y se ignoró que el cauce para acomodar las previsiones de la Constitución a la realidad social en esta materia no puede ser otro que el de la reforma constitucional, ya que el supremo intérprete de la Constitución española no puede en modo alguno modificarla creando derechos inexistentes, con suplantación del poder constituyente.</w:t>
      </w:r>
    </w:p>
    <w:p w14:paraId="1EA9E82C" w14:textId="77777777" w:rsidR="009D7677" w:rsidRDefault="009D7677" w:rsidP="009D7677">
      <w:pPr>
        <w:pStyle w:val="TextoNormal"/>
      </w:pPr>
    </w:p>
    <w:p w14:paraId="041A3ACE" w14:textId="77777777" w:rsidR="009D7677" w:rsidRDefault="009D7677" w:rsidP="009D7677">
      <w:pPr>
        <w:pStyle w:val="TextoNormal"/>
      </w:pPr>
      <w:r>
        <w:t>3. Definitivo apartamiento en la sentencia que desestima el recurso de inconstitucionalidad interpuesto frente a la Ley Orgánica 1/2023 del canon de constitucionalidad fijado en la STC 53/1985.</w:t>
      </w:r>
    </w:p>
    <w:p w14:paraId="4BA69262" w14:textId="77777777" w:rsidR="009D7677" w:rsidRDefault="009D7677" w:rsidP="009D7677">
      <w:pPr>
        <w:pStyle w:val="TextoNormal"/>
      </w:pPr>
    </w:p>
    <w:p w14:paraId="0FE54241" w14:textId="77777777" w:rsidR="009D7677" w:rsidRDefault="009D7677" w:rsidP="009D7677">
      <w:pPr>
        <w:pStyle w:val="TextoNormal"/>
      </w:pPr>
      <w:r>
        <w:t>Partiendo de la creación de un pretendido derecho fundamental al aborto en la STC 44/2023, la sentencia de la que ahora disiento y la propia ley impugnada prescinden de cualquier consideración a la protección de la vida de</w:t>
      </w:r>
      <w:r w:rsidRPr="009D7677">
        <w:rPr>
          <w:i/>
        </w:rPr>
        <w:t>l nascitur</w:t>
      </w:r>
      <w:r>
        <w:t>us durante las catorce primeras semanas de gestación.</w:t>
      </w:r>
    </w:p>
    <w:p w14:paraId="456418BD" w14:textId="77777777" w:rsidR="009D7677" w:rsidRDefault="009D7677" w:rsidP="009D7677">
      <w:pPr>
        <w:pStyle w:val="TextoNormal"/>
      </w:pPr>
    </w:p>
    <w:p w14:paraId="6687A000" w14:textId="77777777" w:rsidR="009D7677" w:rsidRDefault="009D7677" w:rsidP="009D7677">
      <w:pPr>
        <w:pStyle w:val="TextoNormal"/>
      </w:pPr>
      <w:r>
        <w:t xml:space="preserve">Como expuse en el voto particular que formulé a la STC 44/2023, esta resolución, en vez de apartarse sin justificación bastante de nuestra doctrina sentada en la STC 53/1985 y reiterada en las SSTC 212/1996, de 16 de diciembre; 116/1999 de 17 de junio; 66/2022 de 2 de junio, y 11/2023 de 23 de febrero, debería haber examinado la constitucionalidad de los preceptos impugnados de la Ley Orgánica 2/2010 tomando como de punto de partida el valor constitucional de la vida humana y su protección, singularmente de la vida del </w:t>
      </w:r>
      <w:r w:rsidRPr="009D7677">
        <w:rPr>
          <w:i/>
        </w:rPr>
        <w:t>nasciturus</w:t>
      </w:r>
      <w:r>
        <w:t xml:space="preserve">, para a continuación referirse a los límites y garantías de esa protección en las situaciones de conflicto entre derechos y bienes jurídicos, y en último término, a la idoneidad y suficiencia de las medidas recogidas en la ley como instrumento de preservación de la vida del </w:t>
      </w:r>
      <w:r w:rsidRPr="009D7677">
        <w:rPr>
          <w:i/>
        </w:rPr>
        <w:t>nasciturus</w:t>
      </w:r>
      <w:r>
        <w:t>, lo que hubiera conducido a la declaración de inconstitucionalidad de gran parte de los preceptos impugnados.</w:t>
      </w:r>
    </w:p>
    <w:p w14:paraId="5ACF8613" w14:textId="77777777" w:rsidR="009D7677" w:rsidRDefault="009D7677" w:rsidP="009D7677">
      <w:pPr>
        <w:pStyle w:val="TextoNormal"/>
      </w:pPr>
    </w:p>
    <w:p w14:paraId="371B4C43" w14:textId="77777777" w:rsidR="009D7677" w:rsidRDefault="009D7677" w:rsidP="009D7677">
      <w:pPr>
        <w:pStyle w:val="TextoNormal"/>
      </w:pPr>
      <w:r>
        <w:t xml:space="preserve">La sentencia 44/2023 no tuvo en consideración que la vida humana “es un devenir”, un proceso “que comienza con la gestación, en el curso de la cual una realidad biológica va tomando corpórea y sensitivamente configuración humana, y que termina en la muerte” y que la gestación genera “un </w:t>
      </w:r>
      <w:r w:rsidRPr="009D7677">
        <w:rPr>
          <w:i/>
        </w:rPr>
        <w:t>tertium</w:t>
      </w:r>
      <w:r>
        <w:t xml:space="preserve"> distinto de la madre, aunque alojado en el seno de esta”. De modo que no cabe hablar de identidad o confusión del </w:t>
      </w:r>
      <w:r w:rsidRPr="009D7677">
        <w:rPr>
          <w:i/>
        </w:rPr>
        <w:t>nasciturus</w:t>
      </w:r>
      <w:r>
        <w:t xml:space="preserve"> con el cuerpo femenino, estándose, en realidad, ante una relación de alteridad, y que “previamente al nacimiento tiene especial trascendencia el momento a partir del cual el </w:t>
      </w:r>
      <w:r w:rsidRPr="009D7677">
        <w:rPr>
          <w:i/>
        </w:rPr>
        <w:t>nasciturus</w:t>
      </w:r>
      <w:r>
        <w:t xml:space="preserve"> es ya susceptible de vida independiente de la madre, esto es, de adquirir plena individualidad humana” (STC 53/1985, FJ 5). De ello cabe deducir una protección reforzada cuando la existencia del concebido depende todavía de la gestante, pues la dependencia de la madre no convierte al </w:t>
      </w:r>
      <w:r w:rsidRPr="009D7677">
        <w:rPr>
          <w:i/>
        </w:rPr>
        <w:t>nasciturus</w:t>
      </w:r>
      <w:r>
        <w:t xml:space="preserve"> en una parte de la madre equivalente a un miembro u órgano corporal de esta. Por decirlo gráficamente, que el concebido esté físicamente alojado en su cuerpo no lo convierte en su cuerpo, a pesar de que no sea una persona en el sentido, exclusivamente jurídico y no biológico, del art. 30 del Código civil.</w:t>
      </w:r>
    </w:p>
    <w:p w14:paraId="77C73661" w14:textId="77777777" w:rsidR="009D7677" w:rsidRDefault="009D7677" w:rsidP="009D7677">
      <w:pPr>
        <w:pStyle w:val="TextoNormal"/>
      </w:pPr>
    </w:p>
    <w:p w14:paraId="0013D17C" w14:textId="77777777" w:rsidR="009D7677" w:rsidRDefault="009D7677" w:rsidP="009D7677">
      <w:pPr>
        <w:pStyle w:val="TextoNormal"/>
      </w:pPr>
      <w:r>
        <w:lastRenderedPageBreak/>
        <w:t xml:space="preserve">En definitiva, lo determinante es la existencia de dos realidades; lo que excluye una identificación o confusión que transmute la relación de alteridad, entre </w:t>
      </w:r>
      <w:r w:rsidRPr="009D7677">
        <w:rPr>
          <w:i/>
        </w:rPr>
        <w:t>nasciturus</w:t>
      </w:r>
      <w:r>
        <w:t xml:space="preserve"> y gestante, en una relación de identidad, en la que solo se pondere el cuerpo de la gestante, con la consiguiente e inaceptable relevancia exclusiva de la voluntad y decisión de aquella.</w:t>
      </w:r>
    </w:p>
    <w:p w14:paraId="3B26BA8D" w14:textId="77777777" w:rsidR="009D7677" w:rsidRDefault="009D7677" w:rsidP="009D7677">
      <w:pPr>
        <w:pStyle w:val="TextoNormal"/>
      </w:pPr>
    </w:p>
    <w:p w14:paraId="41BFB0B9" w14:textId="77777777" w:rsidR="009D7677" w:rsidRDefault="009D7677" w:rsidP="009D7677">
      <w:pPr>
        <w:pStyle w:val="TextoNormal"/>
      </w:pPr>
      <w:r>
        <w:t xml:space="preserve">En este contexto, resulta evidente que, como señaló este tribunal “el problema nuclear [...], es el alcance de la protección constitucional del </w:t>
      </w:r>
      <w:r w:rsidRPr="009D7677">
        <w:rPr>
          <w:i/>
        </w:rPr>
        <w:t>nasciturus</w:t>
      </w:r>
      <w:r>
        <w:t>”, de modo que con carácter general afirma que el “derecho a la vida, reconocido y garantizado en su doble significación física y moral por el art. 15 de la Constitución, es la proyección de un valor superior del ordenamiento constitucional —la vida humana— y constituye un derecho fundamental esencial y troncal en cuanto es el supuesto ontológico sin el que los restantes derechos no tendrían existencia posible”. Indisolublemente ligado al anterior “se encuentra el valor jurídico de la dignidad de la persona”, que reconoce el art. 10 CE y que constituye el “germen o núcleo” de los derechos “que le son inherentes”, de lo que da prueba su propia ubicación constitucional como pórtico, punto de arranque “</w:t>
      </w:r>
      <w:r w:rsidRPr="009D7677">
        <w:rPr>
          <w:i/>
        </w:rPr>
        <w:t>prius</w:t>
      </w:r>
      <w:r>
        <w:t xml:space="preserve"> lógico y ontológico para la existencia y especificación de los demás derechos” (STC 53/1985, FJ 3).</w:t>
      </w:r>
    </w:p>
    <w:p w14:paraId="71296AE2" w14:textId="77777777" w:rsidR="009D7677" w:rsidRDefault="009D7677" w:rsidP="009D7677">
      <w:pPr>
        <w:pStyle w:val="TextoNormal"/>
      </w:pPr>
    </w:p>
    <w:p w14:paraId="13637389" w14:textId="77777777" w:rsidR="009D7677" w:rsidRDefault="009D7677" w:rsidP="009D7677">
      <w:pPr>
        <w:pStyle w:val="TextoNormal"/>
      </w:pPr>
      <w:r>
        <w:t xml:space="preserve">Esa línea argumental fue reiterada por el Tribunal en la STC 48/1996, al afirmar que el derecho a la vida y a la integridad física y moral constituyen el “soporte existencial de cualesquiera otros derechos y primero, por ello, en el catálogo de los derechos fundamentales”, “unido indisolublemente por su consistencia ontológica a la dignidad de la persona como profesión de fe en el hombre, que lleva en sí todos los demás” (FJ 2), principio que retoma la STC 212/1996, que resolvió el recurso de inconstitucionalidad interpuesto frente a la Ley 42/1988, de 28 de diciembre, de donación y utilización de embriones y fetos humanos o de sus células, tejidos u órganos, para negar a los embriones y fetos a que la ley se refería, en función del criterio de no viabilidad para la vida independiente, la protección otorgada por el art. 15 CE al </w:t>
      </w:r>
      <w:r w:rsidRPr="009D7677">
        <w:rPr>
          <w:i/>
        </w:rPr>
        <w:t>nasciturus</w:t>
      </w:r>
      <w:r>
        <w:t>, recordando, al mismo tiempo que este no es titular del derecho a la vida, pero que constituye un bien jurídico al que alcanza la protección constitucional.</w:t>
      </w:r>
    </w:p>
    <w:p w14:paraId="57C73278" w14:textId="77777777" w:rsidR="009D7677" w:rsidRDefault="009D7677" w:rsidP="009D7677">
      <w:pPr>
        <w:pStyle w:val="TextoNormal"/>
      </w:pPr>
    </w:p>
    <w:p w14:paraId="3F331BEA" w14:textId="77777777" w:rsidR="009D7677" w:rsidRDefault="009D7677" w:rsidP="009D7677">
      <w:pPr>
        <w:pStyle w:val="TextoNormal"/>
      </w:pPr>
      <w:r>
        <w:t xml:space="preserve">A </w:t>
      </w:r>
      <w:r w:rsidRPr="009D7677">
        <w:rPr>
          <w:i/>
        </w:rPr>
        <w:t>sensu contrario</w:t>
      </w:r>
      <w:r>
        <w:t>, la viabilidad, condición ordinaria de un concebido, se constituye en premisa concluyente que determina la protección jurídica de aquel; principio este que marcó el sentido del debate parlamentario constituyente, en torno a la aprobación del art. 15 CE.</w:t>
      </w:r>
    </w:p>
    <w:p w14:paraId="15E7FC73" w14:textId="77777777" w:rsidR="009D7677" w:rsidRDefault="009D7677" w:rsidP="009D7677">
      <w:pPr>
        <w:pStyle w:val="TextoNormal"/>
      </w:pPr>
    </w:p>
    <w:p w14:paraId="183C9419" w14:textId="77777777" w:rsidR="009D7677" w:rsidRDefault="009D7677" w:rsidP="009D7677">
      <w:pPr>
        <w:pStyle w:val="TextoNormal"/>
      </w:pPr>
      <w:r>
        <w:t xml:space="preserve">En consecuencia, lo determinante para la garantía exigible de protección del bien jurídico no es tanto el que el concebido sea una mera </w:t>
      </w:r>
      <w:r w:rsidRPr="009D7677">
        <w:rPr>
          <w:i/>
        </w:rPr>
        <w:t>spes hominis</w:t>
      </w:r>
      <w:r>
        <w:t>, del que no se puede predicar la titularidad de derechos, sino el ser un bien jurídico que carece del “contenido esencial” a que alude el art. 53.2 CE, como ha dicho el Tribunal Constitucional en las Sentencias 212/1996 y 116/1999, pero cuya relevancia se desprende de su dimensión humana, por lo que participa de la protección del derecho a la vida (art. 15 CE) en cuanto objeto del mismo; objeto que no puede desnaturalizarse previamente convirtiéndolo en materia disponible.</w:t>
      </w:r>
    </w:p>
    <w:p w14:paraId="0DD8FDC1" w14:textId="77777777" w:rsidR="009D7677" w:rsidRDefault="009D7677" w:rsidP="009D7677">
      <w:pPr>
        <w:pStyle w:val="TextoNormal"/>
      </w:pPr>
    </w:p>
    <w:p w14:paraId="565D8B13" w14:textId="77777777" w:rsidR="009D7677" w:rsidRDefault="009D7677" w:rsidP="009D7677">
      <w:pPr>
        <w:pStyle w:val="TextoNormal"/>
      </w:pPr>
      <w:r>
        <w:t>La vida del concebido encierra así un valor intrínseco, sustantivizado e individualizado por tratarse no solo de vida, sino de vida humana en fase de gestación.</w:t>
      </w:r>
    </w:p>
    <w:p w14:paraId="59628BCC" w14:textId="77777777" w:rsidR="009D7677" w:rsidRDefault="009D7677" w:rsidP="009D7677">
      <w:pPr>
        <w:pStyle w:val="TextoNormal"/>
      </w:pPr>
    </w:p>
    <w:p w14:paraId="107276F8" w14:textId="77777777" w:rsidR="009D7677" w:rsidRDefault="009D7677" w:rsidP="009D7677">
      <w:pPr>
        <w:pStyle w:val="TextoNormal"/>
      </w:pPr>
      <w:r>
        <w:lastRenderedPageBreak/>
        <w:t>De todo ello se vuelve a prescindir en la Ley Orgánica 1/2023 que, como seguidamente explicitaré, llega a eliminar las exiguas garantías a favor de la vida de</w:t>
      </w:r>
      <w:r w:rsidRPr="009D7677">
        <w:rPr>
          <w:i/>
        </w:rPr>
        <w:t>l nascitur</w:t>
      </w:r>
      <w:r>
        <w:t>us que contemplaba la Ley Orgánica 2/2010.</w:t>
      </w:r>
    </w:p>
    <w:p w14:paraId="591E954B" w14:textId="77777777" w:rsidR="009D7677" w:rsidRDefault="009D7677" w:rsidP="009D7677">
      <w:pPr>
        <w:pStyle w:val="TextoNormal"/>
      </w:pPr>
    </w:p>
    <w:p w14:paraId="63DFEA2F" w14:textId="77777777" w:rsidR="009D7677" w:rsidRDefault="009D7677" w:rsidP="009D7677">
      <w:pPr>
        <w:pStyle w:val="TextoNormal"/>
      </w:pPr>
      <w:r>
        <w:t>4. Reiteración de las consideraciones efectuadas en el voto particular a la STC 44/2023, en las que puse de relieve mi discrepancia respecto de las consecuencias derivadas de la evidente y reconocida perspectiva de género, que inspiró la Ley Orgánica 2/2010 y que se reitera en la Ley Orgánica 1/2023.</w:t>
      </w:r>
    </w:p>
    <w:p w14:paraId="3AD47700" w14:textId="77777777" w:rsidR="009D7677" w:rsidRDefault="009D7677" w:rsidP="009D7677">
      <w:pPr>
        <w:pStyle w:val="TextoNormal"/>
      </w:pPr>
    </w:p>
    <w:p w14:paraId="190F79FD" w14:textId="77777777" w:rsidR="009D7677" w:rsidRDefault="009D7677" w:rsidP="009D7677">
      <w:pPr>
        <w:pStyle w:val="TextoNormal"/>
      </w:pPr>
      <w:r>
        <w:t>De dicho planteamiento legislativo resulta la ausencia de referencia alguna al progenitor y, en general al varón, lo que, como señalé en el anterior voto particular, no deja de ser contradictorio con todas las reformas legislativas que han introducido medidas dirigidas a lograr la implicación de los varones, en condiciones de igualdad con las mujeres, en la crianza y cuidado de los hijos, de las que fue expresión relevante la Ley Orgánica 3/2007, de 22 de marzo, para la igualdad efectiva de mujeres y hombres, junto a la extensión del permiso de lactancia a favor de los padres, la ampliación del derecho de paternidad o el reconocimiento de permisos y licencias para la conciliación de la vida familiar, laboral y personal, y, por supuesto, el derecho a investigar la paternidad que reconoce el art. 39.2 de la Constitución, en coherencia con el principio de corresponsabilidad que contempla el art. 5.2 b) de la Ley.</w:t>
      </w:r>
    </w:p>
    <w:p w14:paraId="612DA74A" w14:textId="77777777" w:rsidR="009D7677" w:rsidRDefault="009D7677" w:rsidP="009D7677">
      <w:pPr>
        <w:pStyle w:val="TextoNormal"/>
      </w:pPr>
    </w:p>
    <w:p w14:paraId="134F139C" w14:textId="77777777" w:rsidR="009D7677" w:rsidRDefault="009D7677" w:rsidP="009D7677">
      <w:pPr>
        <w:pStyle w:val="TextoNormal"/>
      </w:pPr>
      <w:r>
        <w:t>También reitero que la construcción efectuada en la STC 44/2023 y reproducida en la resolución a la que formulo el presente voto particular, contribuye a perpetuar la devaluación cultural de la maternidad, en la medida en que apunta a la asimilación del embarazo en determinadas circunstancias a una vulneración del derecho a la integridad física y moral o a un trato inhumano o degradante de la mujer, lo que en modo alguno puedo compartir.</w:t>
      </w:r>
    </w:p>
    <w:p w14:paraId="09C40CA9" w14:textId="77777777" w:rsidR="009D7677" w:rsidRDefault="009D7677" w:rsidP="009D7677">
      <w:pPr>
        <w:pStyle w:val="TextoNormal"/>
      </w:pPr>
    </w:p>
    <w:p w14:paraId="0F8521FA" w14:textId="77777777" w:rsidR="009D7677" w:rsidRDefault="009D7677" w:rsidP="009D7677">
      <w:pPr>
        <w:pStyle w:val="TextoNormal"/>
      </w:pPr>
      <w:r>
        <w:t>Como indique en el anterior voto particular, en la STC 44/2023 traslucía una conceptuación del embarazo y la maternidad como un factor de discriminación de la mujer y una limitación de su proyecto de vida o de sus aspiraciones personales y profesionales, que no comparto y, menos aún, que al amparo de las mismas se justificara la desprotección total de un bien constitucionalmente protegido como lo es la vida humana en formación.</w:t>
      </w:r>
    </w:p>
    <w:p w14:paraId="08A4C6F0" w14:textId="77777777" w:rsidR="009D7677" w:rsidRDefault="009D7677" w:rsidP="009D7677">
      <w:pPr>
        <w:pStyle w:val="TextoNormal"/>
      </w:pPr>
    </w:p>
    <w:p w14:paraId="38271838" w14:textId="77777777" w:rsidR="009D7677" w:rsidRDefault="009D7677" w:rsidP="009D7677">
      <w:pPr>
        <w:pStyle w:val="TextoNormal"/>
      </w:pPr>
      <w:r>
        <w:t xml:space="preserve">La regulación contenida en Ley Orgánica 1/2023, avanzando en la línea iniciada en la Ley Orgánica 2/2010, prescinde por completo de la vida del </w:t>
      </w:r>
      <w:r w:rsidRPr="009D7677">
        <w:rPr>
          <w:i/>
        </w:rPr>
        <w:t>nasciturus</w:t>
      </w:r>
      <w:r>
        <w:t>, bien constitucionalmente protegido y llega a suprimir algunos de los trámites previos a la interrupción voluntaria del embarazo recogidos en la regulación anterior, que la propia STC 44/2023 consideró establecidos por la Ley Orgánica 2/2010 en garantía de la vida prenatal.</w:t>
      </w:r>
    </w:p>
    <w:p w14:paraId="70D44400" w14:textId="77777777" w:rsidR="009D7677" w:rsidRDefault="009D7677" w:rsidP="009D7677">
      <w:pPr>
        <w:pStyle w:val="TextoNormal"/>
      </w:pPr>
    </w:p>
    <w:p w14:paraId="4D7B951A" w14:textId="77777777" w:rsidR="009D7677" w:rsidRDefault="009D7677" w:rsidP="009D7677">
      <w:pPr>
        <w:pStyle w:val="TextoNormal"/>
      </w:pPr>
      <w:r>
        <w:t>5. Consecuencias que se derivan de la consideración del aborto como derecho fundamental de la mujer en la sentencia que desestima el recurso de inconstitucionalidad frente a la Ley Orgánica 1/2023.</w:t>
      </w:r>
    </w:p>
    <w:p w14:paraId="293171F9" w14:textId="77777777" w:rsidR="009D7677" w:rsidRDefault="009D7677" w:rsidP="009D7677">
      <w:pPr>
        <w:pStyle w:val="TextoNormal"/>
      </w:pPr>
    </w:p>
    <w:p w14:paraId="275A5201" w14:textId="77777777" w:rsidR="009D7677" w:rsidRDefault="009D7677" w:rsidP="009D7677">
      <w:pPr>
        <w:pStyle w:val="TextoNormal"/>
      </w:pPr>
      <w:r>
        <w:t xml:space="preserve">De la consideración del aborto como derecho fundamental de la mujer, la sentencia que resuelve el recurso de inconstitucionalidad frente a la Ley Orgánica 1/2023 infiere que “todo acto o resolución que limite derechos fundamentales ha de asegurar que las medidas limitadoras sean necesarias para conseguir el fin perseguido” [FJ 2 e)] y, en consecuencia, </w:t>
      </w:r>
      <w:r>
        <w:lastRenderedPageBreak/>
        <w:t>valida la necesidad de eliminar “obstáculos innecesarios” al aborto para lograr “el respeto de los derechos de las mujeres y la no infantilización de las mismas” [FJ 7 C) b)].</w:t>
      </w:r>
    </w:p>
    <w:p w14:paraId="1ACFB1C7" w14:textId="77777777" w:rsidR="009D7677" w:rsidRDefault="009D7677" w:rsidP="009D7677">
      <w:pPr>
        <w:pStyle w:val="TextoNormal"/>
      </w:pPr>
    </w:p>
    <w:p w14:paraId="20E3CA29" w14:textId="77777777" w:rsidR="009D7677" w:rsidRDefault="009D7677" w:rsidP="009D7677">
      <w:pPr>
        <w:pStyle w:val="TextoNormal"/>
      </w:pPr>
      <w:r>
        <w:t>Tras declarar que “[c]omo ya se ha expuesto, el espíritu que preside la regulación de la interrupción voluntaria del embarazo en la Ley Orgánica 1/2023, está marcado por la finalidad de remover las trabas innecesarias que puedan afectar a la libre toma de decisiones de las mujeres en este ámbito” [FJ 7 C) b)], la sentencia de la que discrepo viene a validar, como analizaré más adelante, la supresión de la entrega obligatoria en sobre cerrado de la información sobre los derechos, prestaciones y ayudas para la maternidad, y del periodo de reflexión de tres días, que considera constituían obstáculos innecesarios a la práctica abortiva.</w:t>
      </w:r>
    </w:p>
    <w:p w14:paraId="758E572F" w14:textId="77777777" w:rsidR="009D7677" w:rsidRDefault="009D7677" w:rsidP="009D7677">
      <w:pPr>
        <w:pStyle w:val="TextoNormal"/>
      </w:pPr>
    </w:p>
    <w:p w14:paraId="2F8F9F0C" w14:textId="77777777" w:rsidR="009D7677" w:rsidRDefault="009D7677" w:rsidP="009D7677">
      <w:pPr>
        <w:pStyle w:val="TextoNormal"/>
      </w:pPr>
      <w:r>
        <w:t>No comparto esa premisa ni las conclusiones que de ella se infieren. Esto me obliga a recordar las consideraciones que efectué en el voto particular a la STC 44/2023, en las que expuse la insuficiencia de las pretendidas garantías de la vida prenatal contenidas en la Ley Orgánica 2/2010, que han llegado a ser suprimidas en la Ley Orgánica 1/2023.</w:t>
      </w:r>
    </w:p>
    <w:p w14:paraId="1968E6C9" w14:textId="77777777" w:rsidR="009D7677" w:rsidRDefault="009D7677" w:rsidP="009D7677">
      <w:pPr>
        <w:pStyle w:val="TextoNormal"/>
      </w:pPr>
    </w:p>
    <w:p w14:paraId="1D0732FC" w14:textId="77777777" w:rsidR="009D7677" w:rsidRDefault="009D7677" w:rsidP="009D7677">
      <w:pPr>
        <w:pStyle w:val="TextoNormal"/>
      </w:pPr>
      <w:r>
        <w:t>Reitero ahora que la STC 44/2023, efectuó declaraciones de signo dogmático que partían de afirmar que “el Estado no renuncia a proteger la vida prenatal durante las catorce primeras semanas” (FJ 5).</w:t>
      </w:r>
    </w:p>
    <w:p w14:paraId="6651CA2C" w14:textId="77777777" w:rsidR="009D7677" w:rsidRDefault="009D7677" w:rsidP="009D7677">
      <w:pPr>
        <w:pStyle w:val="TextoNormal"/>
      </w:pPr>
    </w:p>
    <w:p w14:paraId="11E52896" w14:textId="77777777" w:rsidR="009D7677" w:rsidRDefault="009D7677" w:rsidP="009D7677">
      <w:pPr>
        <w:pStyle w:val="TextoNormal"/>
      </w:pPr>
      <w:r>
        <w:t>Dicha tesis, vacía de contenido, se sustentó únicamente en la cita del preámbulo de la ley, indicando que el mismo “reconoce expresamente la vida prenatal como bien jurídico digno de protección y trata de compatibilizar dicha protección con la garantía de los derechos constitucionales de la mujer embarazada a quien concibe como una persona adulta, responsable y titular de derechos fundamentales cuyo contenido también ha de respetarse”, para añadir más adelante que el Preámbulo fijaba como presupuesto “la negación del carácter absoluto de los derechos e intereses que entran en conflicto a la hora de regular la interrupción voluntaria del embarazo” y reconocía “su deber de ponderar los bienes y derechos en función del supuesto planteado tratando de armonizarlos si ello es posible o, en caso contrario, precisando las condiciones y requisitos en que podría admitirse la prevalencia de uno de ellos” (FJ 6).</w:t>
      </w:r>
    </w:p>
    <w:p w14:paraId="45801839" w14:textId="77777777" w:rsidR="009D7677" w:rsidRDefault="009D7677" w:rsidP="009D7677">
      <w:pPr>
        <w:pStyle w:val="TextoNormal"/>
      </w:pPr>
    </w:p>
    <w:p w14:paraId="71187CF3" w14:textId="77777777" w:rsidR="009D7677" w:rsidRDefault="009D7677" w:rsidP="009D7677">
      <w:pPr>
        <w:pStyle w:val="TextoNormal"/>
      </w:pPr>
      <w:r>
        <w:t>Con base en ese planteamiento, meramente teórico, la STC 44/2010 llegó a la conclusión, sin más argumentos, que “[d]esde ese punto de partida, el diseño legal de una tutela gradual de la vida prenatal, correlativa a una limitación gradual de los derechos fundamentales de la mujer —examinada con detalle en el fundamento jurídico cuarto de esta sentencia— resulta plenamente ajustado a la Constitución” (FJ 6).</w:t>
      </w:r>
    </w:p>
    <w:p w14:paraId="33D3B29B" w14:textId="77777777" w:rsidR="009D7677" w:rsidRDefault="009D7677" w:rsidP="009D7677">
      <w:pPr>
        <w:pStyle w:val="TextoNormal"/>
      </w:pPr>
    </w:p>
    <w:p w14:paraId="335C0AD7" w14:textId="77777777" w:rsidR="009D7677" w:rsidRDefault="009D7677" w:rsidP="009D7677">
      <w:pPr>
        <w:pStyle w:val="TextoNormal"/>
      </w:pPr>
      <w:r>
        <w:t xml:space="preserve">Puntualicé entonces que desde el mero reconocimiento por el legislador de 2010 de la vida del </w:t>
      </w:r>
      <w:r w:rsidRPr="009D7677">
        <w:rPr>
          <w:i/>
        </w:rPr>
        <w:t>nasciturus</w:t>
      </w:r>
      <w:r>
        <w:t xml:space="preserve"> como un bien constitucionalmente protegido, seguido de la negación del carácter absoluto de los derechos en conflicto efectuada en el preámbulo, que carece de valor normativo, pasó la sentencia directamente a declarar constitucional, sin mas justificación, una regulación que no solo no contemplaba protección real alguna de los derechos del </w:t>
      </w:r>
      <w:r w:rsidRPr="009D7677">
        <w:rPr>
          <w:i/>
        </w:rPr>
        <w:t>nasciturus</w:t>
      </w:r>
      <w:r>
        <w:t>, sino que, contradiciendo las afirmaciones previas, daba preponderancia absoluta a los derechos de la mujer.</w:t>
      </w:r>
    </w:p>
    <w:p w14:paraId="67E73AA5" w14:textId="77777777" w:rsidR="009D7677" w:rsidRDefault="009D7677" w:rsidP="009D7677">
      <w:pPr>
        <w:pStyle w:val="TextoNormal"/>
      </w:pPr>
    </w:p>
    <w:p w14:paraId="55D00303" w14:textId="77777777" w:rsidR="009D7677" w:rsidRDefault="009D7677" w:rsidP="009D7677">
      <w:pPr>
        <w:pStyle w:val="TextoNormal"/>
      </w:pPr>
      <w:r>
        <w:lastRenderedPageBreak/>
        <w:t>Expuse que para llegar esa conclusión la STC 44/2023 se remitió al examen efectuado en su fundamento jurídico cuarto, en el que se construyó al efecto un pseudoderecho fundamental de la mujer a la autodeterminación de la interrupción voluntaria del embarazo, con lo que así se cerró el círculo, para terminar afirmando que el legislador diseñó “una tutela gradual de la vida prenatal correlativa a una limitación de los derechos fundamentales de la mujer” (FJ 6) plenamente ajustada a la Constitución, conclusión que no pude compartir y que sentó las bases del reconocimiento que se efectúa en la sentencia que resuelve el recurso de inconstitucionalidad frente a la Ley Orgánica 1/2023, de que el aborto durante las catorce primeras semanas se somete exclusivamente a la libre voluntad de la mujer incluso si no ha alcanzado la mayoría de edad.</w:t>
      </w:r>
    </w:p>
    <w:p w14:paraId="1951E210" w14:textId="77777777" w:rsidR="009D7677" w:rsidRDefault="009D7677" w:rsidP="009D7677">
      <w:pPr>
        <w:pStyle w:val="TextoNormal"/>
      </w:pPr>
    </w:p>
    <w:p w14:paraId="1D99B2B6" w14:textId="77777777" w:rsidR="009D7677" w:rsidRDefault="009D7677" w:rsidP="009D7677">
      <w:pPr>
        <w:pStyle w:val="TextoNormal"/>
      </w:pPr>
      <w:r>
        <w:t>Ya señalé en el voto particular anterior que lo que se denominó en la STC 44/2023 “tutela gradual de la vida prenatal correlativa a una limitación gradual de los derechos fundamentales de la mujer” no era sino un sistema de plazos, que se declaró constitucional en conjunto, en el que la desprotección o protección de</w:t>
      </w:r>
      <w:r w:rsidRPr="009D7677">
        <w:rPr>
          <w:i/>
        </w:rPr>
        <w:t>l nascitur</w:t>
      </w:r>
      <w:r>
        <w:t>us se basa exclusivamente en función del tiempo transcurrido desde el inicio de la gestación.</w:t>
      </w:r>
    </w:p>
    <w:p w14:paraId="6FF73EE0" w14:textId="77777777" w:rsidR="009D7677" w:rsidRDefault="009D7677" w:rsidP="009D7677">
      <w:pPr>
        <w:pStyle w:val="TextoNormal"/>
      </w:pPr>
    </w:p>
    <w:p w14:paraId="1B066686" w14:textId="77777777" w:rsidR="009D7677" w:rsidRDefault="009D7677" w:rsidP="009D7677">
      <w:pPr>
        <w:pStyle w:val="TextoNormal"/>
      </w:pPr>
      <w:r>
        <w:t xml:space="preserve">Expuse que bastaba examinar esa pretendida “tutela gradual” para concluir que la misma era ficticia y que encubría la total inexistencia de tutela de la vida humana en gestación durante las catorce primeras semanas, ya que la realidad era y es que, en ese periodo el </w:t>
      </w:r>
      <w:r w:rsidRPr="009D7677">
        <w:rPr>
          <w:i/>
        </w:rPr>
        <w:t>nasciturus</w:t>
      </w:r>
      <w:r>
        <w:t xml:space="preserve"> carece de protección de ningún tipo y que no solo no se contempla limitación alguna de la decisión de la mujer, sino que se deja a su libre arbitrio la destrucción del feto, como si se tratara de una parte no deseada de su cuerpo, de la que puede deshacerse a voluntad, sin condicionamiento de ningún tipo y dejando al margen de la decisión al padre potencial.</w:t>
      </w:r>
    </w:p>
    <w:p w14:paraId="5E83F3C3" w14:textId="77777777" w:rsidR="009D7677" w:rsidRDefault="009D7677" w:rsidP="009D7677">
      <w:pPr>
        <w:pStyle w:val="TextoNormal"/>
      </w:pPr>
    </w:p>
    <w:p w14:paraId="55F32B82" w14:textId="77777777" w:rsidR="009D7677" w:rsidRDefault="009D7677" w:rsidP="009D7677">
      <w:pPr>
        <w:pStyle w:val="TextoNormal"/>
      </w:pPr>
      <w:r>
        <w:t>Disentí de las afirmaciones apodícticas que indicaban que “el Estado no ha renunciado a la sanción penal durante las primeras catorce semanas y que la tutela de la vida prenatal continúa articulándose por la vía penal en todos aquellos supuestos en los que la interrupción del embarazo se lleve a cabo sin respetar las condiciones y requisitos exigidos por la Ley Orgánica, señaladamente cuando se lleve a cabo sin el consentimiento libre de la mujer embarazada” (FJ 6). No se concretaba cuáles eran las condiciones y requisitos exigidos, concreción, obviamente, imposible porque en ese periodo no se establecían requisitos o condiciones, sino meros trámites formales que carecían de efectividad alguna para la protección de la vida humana en gestación.</w:t>
      </w:r>
    </w:p>
    <w:p w14:paraId="5D8D5A04" w14:textId="77777777" w:rsidR="009D7677" w:rsidRDefault="009D7677" w:rsidP="009D7677">
      <w:pPr>
        <w:pStyle w:val="TextoNormal"/>
      </w:pPr>
    </w:p>
    <w:p w14:paraId="4BA18455" w14:textId="77777777" w:rsidR="009D7677" w:rsidRDefault="009D7677" w:rsidP="009D7677">
      <w:pPr>
        <w:pStyle w:val="TextoNormal"/>
      </w:pPr>
      <w:r>
        <w:t xml:space="preserve">Seguidamente, para salir al paso de la invocada desprotección absoluta de la vida del </w:t>
      </w:r>
      <w:r w:rsidRPr="009D7677">
        <w:rPr>
          <w:i/>
        </w:rPr>
        <w:t>nasciturus</w:t>
      </w:r>
      <w:r>
        <w:t xml:space="preserve"> durante esta primera fase del embarazo, la STC 44/2023 mencionó que “la ley establece un modelo social, asistencial y sanitario de carácter preventivo en una doble dirección: a) mediante políticas públicas de promoción de una sexualidad responsable y segura y de técnicas de planificación familiar encaminadas a reducir el número de embarazos no deseados y b) mediante políticas de apoyo a la maternidad que contribuyen a reducir el recurso a la interrupción voluntaria del embarazo por razones vinculadas a las dificultades socio-económicas asociadas al cuidado de un hijo o hija” (FJ 6).</w:t>
      </w:r>
    </w:p>
    <w:p w14:paraId="5C3603ED" w14:textId="77777777" w:rsidR="009D7677" w:rsidRDefault="009D7677" w:rsidP="009D7677">
      <w:pPr>
        <w:pStyle w:val="TextoNormal"/>
      </w:pPr>
    </w:p>
    <w:p w14:paraId="19B94A08" w14:textId="77777777" w:rsidR="009D7677" w:rsidRDefault="009D7677" w:rsidP="009D7677">
      <w:pPr>
        <w:pStyle w:val="TextoNormal"/>
      </w:pPr>
      <w:r>
        <w:t xml:space="preserve">Como puse de relieve en el anterior voto particular, frente a esa declaración de principios, no cabía olvidar que tales políticas se enmarcan dentro del ámbito de los derechos sociales, cuya eficacia queda, según el art. 53.3 CE, demorada a su posterior desarrollo </w:t>
      </w:r>
      <w:r>
        <w:lastRenderedPageBreak/>
        <w:t>legislativo y que este tribunal ha sostenido en numerosas ocasiones que los principios rectores de la política social y económica que recoge nuestra Constitución (los llamados habitualmente derechos sociales), no constituyen derechos fundamentales en sentido propio, sino mandatos al legislador para orientar la política social y económica, sirviendo de parámetro de constitucionalidad de las leyes al efecto (STC 75/1998, de 21 de marzo entre otras). Aunque estos principios no generen, por sí mismos, derechos subjetivos a favor de los ciudadanos, de las mujeres en este caso, salvo que la ley los reconozca, ni derechos susceptibles de amparo constitucional, sí constituyen contenidos constitucionales que el legislador y el resto de los poderes públicos no pueden desconocer (STC 88/1988, de 9 de mayo, que reitera jurisprudencia anterior en la materia), y que son concreción de la cláusula del Estado social con que el art. 1 CE define nuestra forma política, así como de la obligación que el art. 9.2 CE impone a los poderes públicos.</w:t>
      </w:r>
    </w:p>
    <w:p w14:paraId="3404624A" w14:textId="77777777" w:rsidR="009D7677" w:rsidRDefault="009D7677" w:rsidP="009D7677">
      <w:pPr>
        <w:pStyle w:val="TextoNormal"/>
      </w:pPr>
    </w:p>
    <w:p w14:paraId="106DC2A2" w14:textId="77777777" w:rsidR="009D7677" w:rsidRDefault="009D7677" w:rsidP="009D7677">
      <w:pPr>
        <w:pStyle w:val="TextoNormal"/>
      </w:pPr>
      <w:r>
        <w:t xml:space="preserve">Añadí que la mera enunciación de políticas públicas relativas a la salud sexual y reproductiva orientadas a la prevención de embarazos no deseados no podía constituir protección bastante de la vida del </w:t>
      </w:r>
      <w:r w:rsidRPr="009D7677">
        <w:rPr>
          <w:i/>
        </w:rPr>
        <w:t>nasciturus</w:t>
      </w:r>
      <w:r>
        <w:t>, máxime dada la escasa densidad normativa de los preceptos dedicados a la salud sexual y reproductiva, así como la singularidad de sus destinatarias; siendo claro que el objeto principal de la Ley Orgánica 2/2010 fue la interrupción voluntaria del embarazo.</w:t>
      </w:r>
    </w:p>
    <w:p w14:paraId="24B1C229" w14:textId="77777777" w:rsidR="009D7677" w:rsidRDefault="009D7677" w:rsidP="009D7677">
      <w:pPr>
        <w:pStyle w:val="TextoNormal"/>
      </w:pPr>
    </w:p>
    <w:p w14:paraId="54AE96A5" w14:textId="77777777" w:rsidR="009D7677" w:rsidRDefault="009D7677" w:rsidP="009D7677">
      <w:pPr>
        <w:pStyle w:val="TextoNormal"/>
      </w:pPr>
      <w:r>
        <w:t>De modo que Ley Orgánica 2/2010 se limitó a efectuar una declaración de intenciones, pero no contenía una regulación efectiva de políticas concretas de prevención de embarazos no deseados, limitándose a prever la elaboración de lo que denominó “Estrategia de la Salud Sexual y Reproductiva”. Más allá de la invocación de dichas políticas, no se explicitó una actuación prestacional por parte de los poderes públicos, que fuera coherente con su función de protección y garantía de la vida humana y sirviera a la finalidad anunciada en la ley de reducir el número de embarazos no deseados mediante la educación, formación e información, en materia de salud sexual y reproductiva.</w:t>
      </w:r>
    </w:p>
    <w:p w14:paraId="5B6E898C" w14:textId="77777777" w:rsidR="009D7677" w:rsidRDefault="009D7677" w:rsidP="009D7677">
      <w:pPr>
        <w:pStyle w:val="TextoNormal"/>
      </w:pPr>
    </w:p>
    <w:p w14:paraId="7BF1D00A" w14:textId="77777777" w:rsidR="009D7677" w:rsidRDefault="009D7677" w:rsidP="009D7677">
      <w:pPr>
        <w:pStyle w:val="TextoNormal"/>
      </w:pPr>
      <w:r>
        <w:t>Igualmente, en cuanto a las políticas sociales activas de apoyo a las mujeres embarazadas y a la maternidad en diversos ámbitos (sanitario, laboral, de prestaciones y ayudas públicas para el cuidado de los hijos, beneficios fiscales y otros incentivos y ayudas al nacimiento), expuse que esa mera enunciación no iba acompañada de una regulación detallada del alcance de dichas medidas ni de dotaciones presupuestarias suficientes destinadas al apoyo a la maternidad.</w:t>
      </w:r>
    </w:p>
    <w:p w14:paraId="1AA979AB" w14:textId="77777777" w:rsidR="009D7677" w:rsidRDefault="009D7677" w:rsidP="009D7677">
      <w:pPr>
        <w:pStyle w:val="TextoNormal"/>
      </w:pPr>
    </w:p>
    <w:p w14:paraId="06B766E3" w14:textId="77777777" w:rsidR="009D7677" w:rsidRDefault="009D7677" w:rsidP="009D7677">
      <w:pPr>
        <w:pStyle w:val="TextoNormal"/>
      </w:pPr>
      <w:r>
        <w:t>Con base en dichas consideraciones, concluí que la efectividad de dichas políticas dependería de que su desarrollo legislativo contemplara medidas reales y efectivas, con el riesgo de que resultaran infructuosas y meramente retóricas. De forma que, si estas medidas carecían de virtualidad disuasoria de la interrupción voluntaria del embarazo, no cabría sostener que el Estado ofreciera las garantías necesarias para proteger la vida de</w:t>
      </w:r>
      <w:r w:rsidRPr="009D7677">
        <w:rPr>
          <w:i/>
        </w:rPr>
        <w:t>l nascitur</w:t>
      </w:r>
      <w:r>
        <w:t>us.</w:t>
      </w:r>
    </w:p>
    <w:p w14:paraId="33274320" w14:textId="77777777" w:rsidR="009D7677" w:rsidRDefault="009D7677" w:rsidP="009D7677">
      <w:pPr>
        <w:pStyle w:val="TextoNormal"/>
      </w:pPr>
    </w:p>
    <w:p w14:paraId="5828FF11" w14:textId="77777777" w:rsidR="009D7677" w:rsidRDefault="009D7677" w:rsidP="009D7677">
      <w:pPr>
        <w:pStyle w:val="TextoNormal"/>
      </w:pPr>
      <w:r>
        <w:t xml:space="preserve">En el indicado voto particular sostuve que la sentencia debió dejar a un lado afirmaciones dogmáticas no contrastadas y, por otra parte, llevar a cabo el examen de constitucionalidad de los preceptos impugnados partiendo, en todo caso, de los pronunciamientos esenciales de la STC 53/1985, reiterados en otras posteriores, como he señalado, para concluir que no era posible considerar que el legislador de 2010 hubiera ponderado adecuadamente </w:t>
      </w:r>
      <w:r>
        <w:lastRenderedPageBreak/>
        <w:t>los bienes y derechos en conflicto, como tampoco que hubiera rodeado al bien o derecho que pueda verse postergado de garantías suficientes para justificar su menoscabo en aras de un supuesto interés prevalente.</w:t>
      </w:r>
    </w:p>
    <w:p w14:paraId="7736C4DF" w14:textId="77777777" w:rsidR="009D7677" w:rsidRDefault="009D7677" w:rsidP="009D7677">
      <w:pPr>
        <w:pStyle w:val="TextoNormal"/>
      </w:pPr>
    </w:p>
    <w:p w14:paraId="1531FA92" w14:textId="77777777" w:rsidR="009D7677" w:rsidRDefault="009D7677" w:rsidP="009D7677">
      <w:pPr>
        <w:pStyle w:val="TextoNormal"/>
      </w:pPr>
      <w:r>
        <w:t>Esa falta de ponderación de los bienes y derechos en conflicto y la ausencia de las garantías necesarias para proteger la vida humana en gestación, no solo no ha sido subsanada en la Ley Orgánica 1/2023, sino que por el contrario ha agravado la situación al suprimir los escasos requisitos formales que la propia STC 44/2023 citaba como muestra del pretendido “sistema de tutela gradual”, los cuales ahora son considerados como trabas innecesarias que podrían afectar a la libre toma de decisiones de las mujeres.</w:t>
      </w:r>
    </w:p>
    <w:p w14:paraId="2AF2EB0C" w14:textId="77777777" w:rsidR="009D7677" w:rsidRDefault="009D7677" w:rsidP="009D7677">
      <w:pPr>
        <w:pStyle w:val="TextoNormal"/>
      </w:pPr>
    </w:p>
    <w:p w14:paraId="5B870903" w14:textId="77777777" w:rsidR="009D7677" w:rsidRDefault="009D7677" w:rsidP="009D7677">
      <w:pPr>
        <w:pStyle w:val="TextoNormal"/>
      </w:pPr>
      <w:r>
        <w:t>6. Supresión de la información previa obligatoria a la mujer sobre derechos, prestaciones y ayudas públicas de apoyo a la maternidad y supresión del plazo de reflexión de tres días antes de la práctica del aborto.</w:t>
      </w:r>
    </w:p>
    <w:p w14:paraId="2D9C2D46" w14:textId="77777777" w:rsidR="009D7677" w:rsidRDefault="009D7677" w:rsidP="009D7677">
      <w:pPr>
        <w:pStyle w:val="TextoNormal"/>
      </w:pPr>
    </w:p>
    <w:p w14:paraId="2CA67956" w14:textId="77777777" w:rsidR="009D7677" w:rsidRDefault="009D7677" w:rsidP="009D7677">
      <w:pPr>
        <w:pStyle w:val="TextoNormal"/>
      </w:pPr>
      <w:r>
        <w:t>La Ley Orgánica 2/2010 contemplaba la entrega en sobre cerrado a la solicitante de aborto de información sobre centros que ofrezcan asesoramiento antes y después de la interrupción del embarazo, de ayudas públicas disponibles para las mujeres embarazadas y la cobertura sanitaria durante el embarazo y el parto, de derechos laborales vinculados al embarazo y a la maternidad, de prestaciones y ayudas públicas para el cuidado y atención de los hijos, así como de beneficios fiscales y demás información relevante sobre incentivos y ayudas al nacimiento.</w:t>
      </w:r>
    </w:p>
    <w:p w14:paraId="0053FA65" w14:textId="77777777" w:rsidR="009D7677" w:rsidRDefault="009D7677" w:rsidP="009D7677">
      <w:pPr>
        <w:pStyle w:val="TextoNormal"/>
      </w:pPr>
    </w:p>
    <w:p w14:paraId="2AF54957" w14:textId="77777777" w:rsidR="009D7677" w:rsidRDefault="009D7677" w:rsidP="009D7677">
      <w:pPr>
        <w:pStyle w:val="TextoNormal"/>
      </w:pPr>
      <w:r>
        <w:t>Indiqué en el voto particular a la STC 44/2023 que cualquier efecto disuasorio del aborto que se pudiera esperar de las enunciadas políticas de apoyo a las mujeres embarazadas y a la maternidad contenidas en la Ley Orgánica 2/2010, desaparecía debido a que en su artículo 17 se limitaba a poner a disposición de la mujer por escrito y en sobre cerrado una información estereotipada, en vez de optar por una información verbal, en la que la embarazada pudiera conocer de modo comprensible las alternativas existentes en su caso concreto y plantear las dudas que pudiera tener, con un periodo de reflexión suficiente tras contrastar las ayudas reales de las que podría disponer.</w:t>
      </w:r>
    </w:p>
    <w:p w14:paraId="126DDDB4" w14:textId="77777777" w:rsidR="009D7677" w:rsidRDefault="009D7677" w:rsidP="009D7677">
      <w:pPr>
        <w:pStyle w:val="TextoNormal"/>
      </w:pPr>
    </w:p>
    <w:p w14:paraId="75F7D61D" w14:textId="77777777" w:rsidR="009D7677" w:rsidRDefault="009D7677" w:rsidP="009D7677">
      <w:pPr>
        <w:pStyle w:val="TextoNormal"/>
      </w:pPr>
      <w:r>
        <w:t>Objeté que para que la información previa a la mujer pudiera considerarse mínimamente eficaz, no debía reducirse a un acto protocolario, genérico y de mero trámite. Debería, por el contrario, tener carácter individualizado, adaptándose a las características específicas y a las circunstancias y condiciones de cada embarazada y, a partir de ahí, proponer las medidas sociales concretas y efectivas a las que pudiera acogerse la gestante para llevar a término su embarazo.</w:t>
      </w:r>
    </w:p>
    <w:p w14:paraId="442F9872" w14:textId="77777777" w:rsidR="009D7677" w:rsidRDefault="009D7677" w:rsidP="009D7677">
      <w:pPr>
        <w:pStyle w:val="TextoNormal"/>
      </w:pPr>
    </w:p>
    <w:p w14:paraId="2BD3FCEC" w14:textId="77777777" w:rsidR="009D7677" w:rsidRDefault="009D7677" w:rsidP="009D7677">
      <w:pPr>
        <w:pStyle w:val="TextoNormal"/>
      </w:pPr>
      <w:r>
        <w:t>Señalé que, para servir de alguna protección de la vida prenatal, la información debería haber sido exhaustiva, comprensiva de una información clínica detallada sobre el estado de la embarazada y su proceso de gestación, rigurosamente descriptiva del desarrollo del concebido cuando se plantea el aborto. Con igual grado de suficiencia debería haberse contemplado la información sobre los riesgos que para la madre representa la práctica de un aborto a nivel físico y emocional, de sus posibles consecuencias, así como incluir un trámite de asesoramiento personal, con médicos especializados, tanto en el aspecto físico de la práctica abortiva, como en el aspecto psíquico.</w:t>
      </w:r>
    </w:p>
    <w:p w14:paraId="11C69628" w14:textId="77777777" w:rsidR="009D7677" w:rsidRDefault="009D7677" w:rsidP="009D7677">
      <w:pPr>
        <w:pStyle w:val="TextoNormal"/>
      </w:pPr>
    </w:p>
    <w:p w14:paraId="750821B5" w14:textId="77777777" w:rsidR="009D7677" w:rsidRDefault="009D7677" w:rsidP="009D7677">
      <w:pPr>
        <w:pStyle w:val="TextoNormal"/>
      </w:pPr>
      <w:r>
        <w:lastRenderedPageBreak/>
        <w:t xml:space="preserve">Recordé que la propia STC 53/1985 aludió a la necesidad de acreditar una efectiva actuación prestacional por parte de los poderes públicos, como una exigencia para la indicación eugenésica entonces examinada, la cual sería trasladable </w:t>
      </w:r>
      <w:r w:rsidRPr="009D7677">
        <w:rPr>
          <w:i/>
        </w:rPr>
        <w:t>a fortiori</w:t>
      </w:r>
      <w:r>
        <w:t xml:space="preserve"> a este supuesto de decisión </w:t>
      </w:r>
      <w:r w:rsidRPr="009D7677">
        <w:rPr>
          <w:i/>
        </w:rPr>
        <w:t>ad nutum</w:t>
      </w:r>
      <w:r>
        <w:t>, en coherencia con la función de esa información, que es la protección y garantía de la vida humana, junto con la finalidad anunciada en la ley de reducir el número de interrupciones voluntarias del embarazo mediante la acción educativa.</w:t>
      </w:r>
    </w:p>
    <w:p w14:paraId="6F855BAD" w14:textId="77777777" w:rsidR="009D7677" w:rsidRDefault="009D7677" w:rsidP="009D7677">
      <w:pPr>
        <w:pStyle w:val="TextoNormal"/>
      </w:pPr>
    </w:p>
    <w:p w14:paraId="00BD584E" w14:textId="77777777" w:rsidR="009D7677" w:rsidRDefault="009D7677" w:rsidP="009D7677">
      <w:pPr>
        <w:pStyle w:val="TextoNormal"/>
      </w:pPr>
      <w:r>
        <w:t>Frente a ello, consideré claramente insuficiente la información a la que aludía el anterior artículo 17.2 sobre ayudas públicas disponibles para mujeres embarazadas y de cobertura sanitaria durante el embarazo y el parto; los derechos laborales vinculados al embarazo y a la maternidad; las prestaciones y ayudas públicas para el cuidado y atención de los hijos; los beneficios fiscales y demás información relevante sobre incentivos y ayudas al nacimiento y datos sobre los centros en los que la mujer puede recibir voluntariamente asesoramiento antes y después de la interrupción del embarazo.</w:t>
      </w:r>
    </w:p>
    <w:p w14:paraId="15B88AA1" w14:textId="77777777" w:rsidR="009D7677" w:rsidRDefault="009D7677" w:rsidP="009D7677">
      <w:pPr>
        <w:pStyle w:val="TextoNormal"/>
      </w:pPr>
    </w:p>
    <w:p w14:paraId="2C4D5CDA" w14:textId="77777777" w:rsidR="009D7677" w:rsidRDefault="009D7677" w:rsidP="009D7677">
      <w:pPr>
        <w:pStyle w:val="TextoNormal"/>
      </w:pPr>
      <w:r>
        <w:t>El precepto anterior optaba por la entrega de la información escrita en sobre cerrado y contemplaba la posibilidad de que esta información fuera ofrecida adicionalmente de modo verbal, únicamente si la mujer lo solicitaba, ofrecimiento que tampoco se hacía personalmente en el momento de la entrega del sobre cerrado, sino que se incluía entre la documentación contenida en el mismo.</w:t>
      </w:r>
    </w:p>
    <w:p w14:paraId="42640175" w14:textId="77777777" w:rsidR="009D7677" w:rsidRDefault="009D7677" w:rsidP="009D7677">
      <w:pPr>
        <w:pStyle w:val="TextoNormal"/>
      </w:pPr>
    </w:p>
    <w:p w14:paraId="15D8E5D5" w14:textId="77777777" w:rsidR="009D7677" w:rsidRDefault="009D7677" w:rsidP="009D7677">
      <w:pPr>
        <w:pStyle w:val="TextoNormal"/>
      </w:pPr>
      <w:r>
        <w:t>Puse de manifiesto que, curiosamente, la norma sí contemplaba que, junto con la información en sobre cerrado, se entregaría a la mujer un documento acreditativo de la fecha de la entrega, a los efectos de lo establecido en el artículo 14 de dicha ley. Es decir, que el legislador se aseguraba de la acreditación documental de la entrega de la información en sobre cerrado, pero no del efectivo conocimiento de la misma por parte de la embarazada y, menos aún, de que esta, antes de tomar una decisión responsable sobre una medida irreversible que va a poner fin por su sola voluntad a la vida del embrión que lleva en su seno, tuviera constancia del estado de desarrollo de la gestación, ni de las posibles alternativas en su caso concreto, atendidas a las circunstancias individuales, físicas y psíquicas, de cada solicitante.</w:t>
      </w:r>
    </w:p>
    <w:p w14:paraId="3CEBF977" w14:textId="77777777" w:rsidR="009D7677" w:rsidRDefault="009D7677" w:rsidP="009D7677">
      <w:pPr>
        <w:pStyle w:val="TextoNormal"/>
      </w:pPr>
    </w:p>
    <w:p w14:paraId="546A8DCF" w14:textId="77777777" w:rsidR="009D7677" w:rsidRDefault="009D7677" w:rsidP="009D7677">
      <w:pPr>
        <w:pStyle w:val="TextoNormal"/>
      </w:pPr>
      <w:r>
        <w:t>Igualmente señalé que, respecto a la elaboración, contenidos y formato de una información tan relevante, la Ley Orgánica 2/2010 se remitió al desarrollo reglamentario por parte del Gobierno.</w:t>
      </w:r>
    </w:p>
    <w:p w14:paraId="216FAE18" w14:textId="77777777" w:rsidR="009D7677" w:rsidRDefault="009D7677" w:rsidP="009D7677">
      <w:pPr>
        <w:pStyle w:val="TextoNormal"/>
      </w:pPr>
    </w:p>
    <w:p w14:paraId="54C6BB82" w14:textId="77777777" w:rsidR="009D7677" w:rsidRDefault="009D7677" w:rsidP="009D7677">
      <w:pPr>
        <w:pStyle w:val="TextoNormal"/>
      </w:pPr>
      <w:r>
        <w:t>De modo que la única pseudotutela de la vida prenatal en la Ley Orgánica 2/2010 se limitaba a la entrega en sobre cerrado de una información estereotipada e insuficiente, cuyo exacto contenido y formato no constaban en la norma y se diferían al desarrollo reglamentario por el Gobierno, lo que no garantizaba el efectivo conocimiento de la embarazada de las alternativas en su caso concreto, ni permitía que esta pudiera plantear las dudas que pudiera tener y, además, sin periodo de reflexión suficiente una vez contrastadas las reales ayudas de las que podría disponer.</w:t>
      </w:r>
    </w:p>
    <w:p w14:paraId="0E9E1C32" w14:textId="77777777" w:rsidR="009D7677" w:rsidRDefault="009D7677" w:rsidP="009D7677">
      <w:pPr>
        <w:pStyle w:val="TextoNormal"/>
      </w:pPr>
    </w:p>
    <w:p w14:paraId="5C3AB7B1" w14:textId="77777777" w:rsidR="009D7677" w:rsidRDefault="009D7677" w:rsidP="009D7677">
      <w:pPr>
        <w:pStyle w:val="TextoNormal"/>
      </w:pPr>
      <w:r>
        <w:t xml:space="preserve">Partiendo de estas premisas concluí que el sistema evidenciaba que el legislador, en vez de plantear medidas efectivas que pudieran favorecer la opción por la continuación del embarazo y la salvaguarda de la vida prenatal, optó por el aborto libre en las catorce primeras semanas, limitándose a acreditar formalmente la entrega de la información, pero no </w:t>
      </w:r>
      <w:r>
        <w:lastRenderedPageBreak/>
        <w:t>su efectivo conocimiento, y rematado con una antelación exigua de tres días a la realización de la intervención, insuficiente para una reflexión adecuada e informada de modo exhaustivo y ajustada al caso concreto ante una decisión irreversible de dar muerte traumática a una vida humana en situación de total indefensión. Además, señalé que la eficacia real de las anunciadas medidas de apoyo al embarazo y la maternidad resultaba imposible si no se acompaña de una dotación presupuestaria suficiente y puntualicé que el monto de los fondos destinados a tal fin era notoriamente inferior al costo de los abortos practicados desde la entrada en vigor de la Ley Orgánica 2/2010.</w:t>
      </w:r>
    </w:p>
    <w:p w14:paraId="1FD1635A" w14:textId="77777777" w:rsidR="009D7677" w:rsidRDefault="009D7677" w:rsidP="009D7677">
      <w:pPr>
        <w:pStyle w:val="TextoNormal"/>
      </w:pPr>
    </w:p>
    <w:p w14:paraId="5F877B3D" w14:textId="77777777" w:rsidR="009D7677" w:rsidRDefault="009D7677" w:rsidP="009D7677">
      <w:pPr>
        <w:pStyle w:val="TextoNormal"/>
      </w:pPr>
      <w:r>
        <w:t>Partiendo de este insatisfactorio panorama, la Ley Orgánica 1/2023, no solo no ha incorporado garantía alguna en defensa la vida prenatal, sino que incluso ha agravado la situación al suprimir los exiguos requisitos formales de información previa, aun cuando fuera en sobre cerrado, sobre ayudas a la maternidad.</w:t>
      </w:r>
    </w:p>
    <w:p w14:paraId="065657DA" w14:textId="77777777" w:rsidR="009D7677" w:rsidRDefault="009D7677" w:rsidP="009D7677">
      <w:pPr>
        <w:pStyle w:val="TextoNormal"/>
      </w:pPr>
    </w:p>
    <w:p w14:paraId="43E6C151" w14:textId="77777777" w:rsidR="009D7677" w:rsidRDefault="009D7677" w:rsidP="009D7677">
      <w:pPr>
        <w:pStyle w:val="TextoNormal"/>
      </w:pPr>
      <w:r>
        <w:t>La regulación impugnada establece que las mujeres que así lo requieran y nunca como requisito previo para acceder a la prestación abortiva, podrán recibir información sobre alguna o varias de las siguientes cuestiones: datos sobre centros disponibles para recibir información adecuada sobre anticoncepción y sexo seguro; datos sobre los centros que ofrecen asesoramiento antes y después de la interrupción del embarazo; ayudas públicas disponibles para las mujeres embarazadas y cobertura sanitaria durante el embarazo y el parto; derechos laborales vinculados al embarazo y a la maternidad; prestaciones y ayudas públicas para el cuidado y atención a los hijos; beneficios fiscales y demás información relevante sobre incentivos y ayudas al nacimiento.</w:t>
      </w:r>
    </w:p>
    <w:p w14:paraId="54101820" w14:textId="77777777" w:rsidR="009D7677" w:rsidRDefault="009D7677" w:rsidP="009D7677">
      <w:pPr>
        <w:pStyle w:val="TextoNormal"/>
      </w:pPr>
    </w:p>
    <w:p w14:paraId="3845B683" w14:textId="77777777" w:rsidR="009D7677" w:rsidRDefault="009D7677" w:rsidP="009D7677">
      <w:pPr>
        <w:pStyle w:val="TextoNormal"/>
      </w:pPr>
      <w:r>
        <w:t>Se establece nuevamente que la elaboración, contenidos y formato de esta información será determinada reglamentariamente por el Gobierno, prestando especial atención a las necesidades surgidas de las situaciones de extranjería.</w:t>
      </w:r>
    </w:p>
    <w:p w14:paraId="39821468" w14:textId="77777777" w:rsidR="009D7677" w:rsidRDefault="009D7677" w:rsidP="009D7677">
      <w:pPr>
        <w:pStyle w:val="TextoNormal"/>
      </w:pPr>
    </w:p>
    <w:p w14:paraId="7476878C" w14:textId="77777777" w:rsidR="009D7677" w:rsidRDefault="009D7677" w:rsidP="009D7677">
      <w:pPr>
        <w:pStyle w:val="TextoNormal"/>
      </w:pPr>
      <w:r>
        <w:t>También para el supuesto de interrupción del embarazo, previsto en el artículo 15 b) (interrupción del embarazo antes de superar las veintidós semanas de gestación y siempre que exista riesgo de graves anomalías en el feto), la información a la mujer sobre derechos, prestaciones y ayudas públicas existentes relativas al apoyo a la autonomía de las personas con alguna discapacidad, así como la red de organizaciones sociales de asistencia social a estas personas, quedará supeditada al supuesto de que la mujer así lo requiera expresamente e igualmente nunca como requisito para acceder a la prestación abortiva.</w:t>
      </w:r>
    </w:p>
    <w:p w14:paraId="2AD5030C" w14:textId="77777777" w:rsidR="009D7677" w:rsidRDefault="009D7677" w:rsidP="009D7677">
      <w:pPr>
        <w:pStyle w:val="TextoNormal"/>
      </w:pPr>
    </w:p>
    <w:p w14:paraId="1B73AA22" w14:textId="77777777" w:rsidR="009D7677" w:rsidRDefault="009D7677" w:rsidP="009D7677">
      <w:pPr>
        <w:pStyle w:val="TextoNormal"/>
      </w:pPr>
      <w:r>
        <w:t>Esta modificación se justifica en el preámbulo de la ley en la necesidad de remover los obstáculos a los que se enfrentan las mujeres para acceder a la interrupción voluntaria del embarazo y de introducir las modificaciones necesarias para garantizar la vigencia efectiva de sus derechos sexuales y reproductivos.</w:t>
      </w:r>
    </w:p>
    <w:p w14:paraId="5D42EDBF" w14:textId="77777777" w:rsidR="009D7677" w:rsidRDefault="009D7677" w:rsidP="009D7677">
      <w:pPr>
        <w:pStyle w:val="TextoNormal"/>
      </w:pPr>
    </w:p>
    <w:p w14:paraId="4CB76D96" w14:textId="77777777" w:rsidR="009D7677" w:rsidRDefault="009D7677" w:rsidP="009D7677">
      <w:pPr>
        <w:pStyle w:val="TextoNormal"/>
      </w:pPr>
      <w:r>
        <w:t>La sentencia de la que discrepo acepta dicho punto de partida y justifica la modificación en consideración a que la Ley no suprime la necesidad de que la mujer emita un consentimiento informado, sino que mantiene dicha exigencia en los mismos términos en que está establecida para el resto de las intervenciones médicas con carácter general, para y seguidamente valida la opción legislativa que distingue entre dos grupos de información: la relativa a la interrupción del embarazo, de carácter obligatorio, y la adicional no obligatoria sobre centros de asesoramiento, ayudas a la maternidad, beneficios fiscales, incenti</w:t>
      </w:r>
      <w:r>
        <w:lastRenderedPageBreak/>
        <w:t>vos y ayudas al nacimiento y, en su caso, derechos, prestaciones y ayudas a las personas con discapacidad y red de organizaciones sociales para la asistencia social a estas personas.</w:t>
      </w:r>
    </w:p>
    <w:p w14:paraId="319F53A3" w14:textId="77777777" w:rsidR="009D7677" w:rsidRDefault="009D7677" w:rsidP="009D7677">
      <w:pPr>
        <w:pStyle w:val="TextoNormal"/>
      </w:pPr>
    </w:p>
    <w:p w14:paraId="031EEBB9" w14:textId="77777777" w:rsidR="009D7677" w:rsidRDefault="009D7677" w:rsidP="009D7677">
      <w:pPr>
        <w:pStyle w:val="TextoNormal"/>
      </w:pPr>
      <w:r>
        <w:t xml:space="preserve">La sentencia rechaza que el nuevo marco normativo incida en arbitrariedad, aludiendo al espíritu de la reforma marcado por la finalidad de remover trabas innecesarias que pueden afectar a la libre toma de decisiones de las mujeres en este ámbito, y acepta la premisa de que la entrega de información en sobre cerrado y el periodo de reflexión de tres días constituían obstáculos innecesarios que era necesario eliminar para lograr “el respeto de los derechos de las mujeres y la no infantilización de las mismas” [FJ 7 C) b)]. Finalmente, la sentencia se remite a lo expuesto en la STC 44/2023 para rechazar la desprotección del </w:t>
      </w:r>
      <w:r w:rsidRPr="009D7677">
        <w:rPr>
          <w:i/>
        </w:rPr>
        <w:t>nasciturus</w:t>
      </w:r>
      <w:r>
        <w:t xml:space="preserve"> con base en la afirmación apodíctica de que la regulación satisface el deber estatal de protección de la vida prenatal, con medidas preventivas y sancionadoras, cuyo peso varía conforme avanza el proceso de gestación; añadiendo que lo hace sin vulnerar los derechos de la mujer.</w:t>
      </w:r>
    </w:p>
    <w:p w14:paraId="14F166C2" w14:textId="77777777" w:rsidR="009D7677" w:rsidRDefault="009D7677" w:rsidP="009D7677">
      <w:pPr>
        <w:pStyle w:val="TextoNormal"/>
      </w:pPr>
    </w:p>
    <w:p w14:paraId="290AB4F8" w14:textId="77777777" w:rsidR="009D7677" w:rsidRDefault="009D7677" w:rsidP="009D7677">
      <w:pPr>
        <w:pStyle w:val="TextoNormal"/>
      </w:pPr>
      <w:r>
        <w:t xml:space="preserve">Sin embargo, es evidente que durante las catorce semanas de gestación el </w:t>
      </w:r>
      <w:r w:rsidRPr="009D7677">
        <w:rPr>
          <w:i/>
        </w:rPr>
        <w:t>nasciturus</w:t>
      </w:r>
      <w:r>
        <w:t xml:space="preserve"> carece de protección alguna, incluso la ley llega a eliminar los insuficientes requisitos formales de información previa y el periodo de reflexión que la propia STC 44/2023 consideraba como garantías de la vida prenatal.</w:t>
      </w:r>
    </w:p>
    <w:p w14:paraId="502286A8" w14:textId="77777777" w:rsidR="009D7677" w:rsidRDefault="009D7677" w:rsidP="009D7677">
      <w:pPr>
        <w:pStyle w:val="TextoNormal"/>
      </w:pPr>
    </w:p>
    <w:p w14:paraId="58BB2C9F" w14:textId="77777777" w:rsidR="009D7677" w:rsidRDefault="009D7677" w:rsidP="009D7677">
      <w:pPr>
        <w:pStyle w:val="TextoNormal"/>
      </w:pPr>
      <w:r>
        <w:t>No puedo compartir que la información sobre ayudas a la maternidad y el mantenimiento de un exiguo plazo de tres días de reflexión antes de materializar una decisión tan transcendente como la eliminación de la vida de un ser humano en gestación, supongan una traba innecesaria que sea necesario eliminar, ni que su supresión sea precisa para lograr el respeto a los derechos de la mujeres o la no infantilización de las mismas.</w:t>
      </w:r>
    </w:p>
    <w:p w14:paraId="17052130" w14:textId="77777777" w:rsidR="009D7677" w:rsidRDefault="009D7677" w:rsidP="009D7677">
      <w:pPr>
        <w:pStyle w:val="TextoNormal"/>
      </w:pPr>
    </w:p>
    <w:p w14:paraId="5BA5497C" w14:textId="77777777" w:rsidR="009D7677" w:rsidRDefault="009D7677" w:rsidP="009D7677">
      <w:pPr>
        <w:pStyle w:val="TextoNormal"/>
      </w:pPr>
      <w:r>
        <w:t>El periodo de reflexión, por un plazo muy breve como el fijado en la norma modificada no puede considerarse irrazonable, desproporcionado o excesivo frente a una intervención tan transcendente como el aborto, no solo para el feto cuya vida se extermina, sino también para la propia madre, no solo por los riesgos físicos que la misma puede comportar, sino también por las secuelas psicológicas que puede originar.</w:t>
      </w:r>
    </w:p>
    <w:p w14:paraId="1254203E" w14:textId="77777777" w:rsidR="009D7677" w:rsidRDefault="009D7677" w:rsidP="009D7677">
      <w:pPr>
        <w:pStyle w:val="TextoNormal"/>
      </w:pPr>
    </w:p>
    <w:p w14:paraId="78A4CCCE" w14:textId="77777777" w:rsidR="009D7677" w:rsidRDefault="009D7677" w:rsidP="009D7677">
      <w:pPr>
        <w:pStyle w:val="TextoNormal"/>
      </w:pPr>
      <w:r>
        <w:t>El preámbulo señala que “[l]a ley también incorpora novedades sobre el derecho a la interrupción voluntaria del embarazo, siguiendo las recomendaciones de los organismos internacionales de derechos humanos sobre la materia. Así, se elimina el plazo de reflexión de tres días que opera en la actualidad y la obligatoriedad de recibir información acerca de los recursos y las ayudas disponibles en caso de continuar con el embarazo, debiendo proporcionarse dicha información solo si la mujer lo requiere”.</w:t>
      </w:r>
    </w:p>
    <w:p w14:paraId="141B8BC3" w14:textId="77777777" w:rsidR="009D7677" w:rsidRDefault="009D7677" w:rsidP="009D7677">
      <w:pPr>
        <w:pStyle w:val="TextoNormal"/>
      </w:pPr>
    </w:p>
    <w:p w14:paraId="2C5C772B" w14:textId="77777777" w:rsidR="009D7677" w:rsidRDefault="009D7677" w:rsidP="009D7677">
      <w:pPr>
        <w:pStyle w:val="TextoNormal"/>
      </w:pPr>
      <w:r>
        <w:t>Sin embargo, como apuntó el informe del Consejo General del Poder Judicial sobre el anteproyecto de ley orgánica por la que se modifica la Ley Orgánica 2/2010, aprobado por acuerdo del Pleno de 22 de diciembre de 2022, en el preámbulo “no se concreta cuáles son los organismos internacionales que aconsejan eliminar el plazo de reflexión y la necesidad de recibir cierta información antes de tomar una decisión. De hecho, los organismos internacionales, acuerdos y convenciones internacionales que son mencionados en la exposición de motivos (</w:t>
      </w:r>
      <w:r w:rsidRPr="009D7677">
        <w:rPr>
          <w:i/>
        </w:rPr>
        <w:t>sic</w:t>
      </w:r>
      <w:r>
        <w:t xml:space="preserve">) insisten en la conveniencia y la necesidad de ofrecer una detallada de información en materia de derechos sexuales y derechos reproductivos (Resolución del </w:t>
      </w:r>
      <w:r>
        <w:lastRenderedPageBreak/>
        <w:t>Parlamento Europeo de 24 de junio de 2021 sobre la situación de la salud y los derechos sexuales y reproductivos en la Unión). Ya la conferencia Internacional sobre la Población y el Desarrollo del Cairo de 1994, dentro de sus medidas, aconsejaba que las mujeres que sufren embarazos no deseados deben tener fácil acceso a información fidedigna y a asesoramiento comprensivo (8.25). Como se recoge en la misma Exposición de Motivos del APLO [anteproyecto de ley orgánica], ‘[l]a Convención sobre la Eliminación de todas las formas de discriminación contra la mujer (CEDAW), en su artículo 16, establece el derecho de las mujeres a decidir de manera libre y responsable sobre su maternidad y el derecho a acceder a la información y a la educación que les permita ejercer esos derechos՚”.</w:t>
      </w:r>
    </w:p>
    <w:p w14:paraId="2FEAEC36" w14:textId="77777777" w:rsidR="009D7677" w:rsidRDefault="009D7677" w:rsidP="009D7677">
      <w:pPr>
        <w:pStyle w:val="TextoNormal"/>
      </w:pPr>
    </w:p>
    <w:p w14:paraId="0A7EB3AE" w14:textId="77777777" w:rsidR="009D7677" w:rsidRDefault="009D7677" w:rsidP="009D7677">
      <w:pPr>
        <w:pStyle w:val="TextoNormal"/>
      </w:pPr>
      <w:r>
        <w:t>Tras estas consideraciones, el informe aprobado por el Consejo General del Poder Judicial detalla la información de entrega obligada en sobre cerrado cuya supresión se proyectaba, para concluir en su apartado octogésimo séptimo que “[a] la vista de tal redacción, lo que en realidad parece es que se está privando a la mujer del acceso a la información sobre cuestiones que pudieran ser de su interés o, cuando menos, dificultando su acceso a la misma”.</w:t>
      </w:r>
    </w:p>
    <w:p w14:paraId="0E178C8D" w14:textId="77777777" w:rsidR="009D7677" w:rsidRDefault="009D7677" w:rsidP="009D7677">
      <w:pPr>
        <w:pStyle w:val="TextoNormal"/>
      </w:pPr>
    </w:p>
    <w:p w14:paraId="693A3B25" w14:textId="77777777" w:rsidR="009D7677" w:rsidRDefault="009D7677" w:rsidP="009D7677">
      <w:pPr>
        <w:pStyle w:val="TextoNormal"/>
      </w:pPr>
      <w:r>
        <w:t>Comparto las mencionadas consideraciones e igualmente las efectuadas en el apartado octogésimo octavo del referido Informe, relativas a que la normativa exige que haya de ser la mujer quien solicite información sobre los extremos mencionados en el precepto, lo que supone que aquella debería tener un conocimiento previo de la información que le pueda interesar, porque en caso contrario, difícilmente podría requerirla. Igualmente coincido en que la entrega reservada a la mujer de toda la información que le puede servir para tomar una decisión fundada sobre la interrupción o no de su embarazo, difícilmente puede ser calificada como una infantilización de la mujer, muy al contrario, el acceso a la información en este como en cualquier otro asunto, le permitirá tomar decisiones de un modo más libre y consciente.</w:t>
      </w:r>
    </w:p>
    <w:p w14:paraId="50221C43" w14:textId="77777777" w:rsidR="009D7677" w:rsidRDefault="009D7677" w:rsidP="009D7677">
      <w:pPr>
        <w:pStyle w:val="TextoNormal"/>
      </w:pPr>
    </w:p>
    <w:p w14:paraId="157A8B23" w14:textId="77777777" w:rsidR="009D7677" w:rsidRDefault="009D7677" w:rsidP="009D7677">
      <w:pPr>
        <w:pStyle w:val="TextoNormal"/>
      </w:pPr>
      <w:r>
        <w:t>El apartado octogésimo noveno del referido informe del Consejo General del Poder Judicial con remisión a lo expuesto en el Dictamen del Consejo de Estado núm. 1384-2009, señala que para que la información que ilustra la mujer para que opte libremente por continuar o interrumpir su embarazo sea eficaz, no puede ser estandarizada, sino personalizada y ha de orientarse no solo al fomento de la interrupción voluntaria del embarazo, sino también a la protección de la maternidad, si bien sin introducir consideraciones éticas ni religiosas.</w:t>
      </w:r>
    </w:p>
    <w:p w14:paraId="2857D413" w14:textId="77777777" w:rsidR="009D7677" w:rsidRDefault="009D7677" w:rsidP="009D7677">
      <w:pPr>
        <w:pStyle w:val="TextoNormal"/>
      </w:pPr>
    </w:p>
    <w:p w14:paraId="26B336DB" w14:textId="77777777" w:rsidR="009D7677" w:rsidRDefault="009D7677" w:rsidP="009D7677">
      <w:pPr>
        <w:pStyle w:val="TextoNormal"/>
      </w:pPr>
      <w:r>
        <w:t>Por tal motivo, ya en el voto particular a la STC 44/2023 me pronuncié sobre la insuficiencia de una información estereotipada, que no contemplara la situación específica de cada mujer y limitada a documentación escrita en sobre cerrado, que no garantizaba su efectivo conocimiento por parte de la gestante.</w:t>
      </w:r>
    </w:p>
    <w:p w14:paraId="3C556EFD" w14:textId="77777777" w:rsidR="009D7677" w:rsidRDefault="009D7677" w:rsidP="009D7677">
      <w:pPr>
        <w:pStyle w:val="TextoNormal"/>
      </w:pPr>
    </w:p>
    <w:p w14:paraId="0813F97A" w14:textId="77777777" w:rsidR="009D7677" w:rsidRDefault="009D7677" w:rsidP="009D7677">
      <w:pPr>
        <w:pStyle w:val="TextoNormal"/>
      </w:pPr>
      <w:r>
        <w:t>También señala el informe del Consejo General del Poder Judicial, en relación con la supresión del periodo de reflexión, que en países de nuestro entorno, como Alemania o Bélgica, se mantiene el referido período de reflexión y que en otros, como en Francia, se exige que se ofrezca a la mujer mayor de edad una consulta con una persona cualificada y una entrevista personal en la que se prestará asistencia o asesoramiento en función de la situación de la persona interesada.</w:t>
      </w:r>
    </w:p>
    <w:p w14:paraId="6E9EF7D8" w14:textId="77777777" w:rsidR="009D7677" w:rsidRDefault="009D7677" w:rsidP="009D7677">
      <w:pPr>
        <w:pStyle w:val="TextoNormal"/>
      </w:pPr>
    </w:p>
    <w:p w14:paraId="66CAC2B5" w14:textId="77777777" w:rsidR="009D7677" w:rsidRDefault="009D7677" w:rsidP="009D7677">
      <w:pPr>
        <w:pStyle w:val="TextoNormal"/>
      </w:pPr>
      <w:r>
        <w:lastRenderedPageBreak/>
        <w:t>Observa el Consejo del Poder Judicial que no puede considerarse como causante de infantilización de la mujer un presupuesto de legalidad que está presente en varias legislaciones de los países de nuestro entorno y que está indisolublemente unido a la información y a la prestación del consentimiento, que para ser verdaderamente tal, ha de ser un consentimiento informado y que se muestra como presupuesto necesario, en orden a una adecuada formación de la voluntad y a la adopción de una decisión consciente y meditada acerca de la interrupción voluntaria del embarazo y de las consecuencias de todo orden que dicha decisión comporta, consideraciones que hago mías.</w:t>
      </w:r>
    </w:p>
    <w:p w14:paraId="0D72AFBA" w14:textId="77777777" w:rsidR="009D7677" w:rsidRDefault="009D7677" w:rsidP="009D7677">
      <w:pPr>
        <w:pStyle w:val="TextoNormal"/>
      </w:pPr>
    </w:p>
    <w:p w14:paraId="05554408" w14:textId="77777777" w:rsidR="009D7677" w:rsidRDefault="009D7677" w:rsidP="009D7677">
      <w:pPr>
        <w:pStyle w:val="TextoNormal"/>
      </w:pPr>
      <w:r>
        <w:t>Resulta lamentable comprobar que la información obligatoria que se exige que sea facilitada notarialmente para suscribir una hipoteca, por ejemplo, supera ampliamente la precisa para adoptar la decisión de acabar con una vida humana en gestación y que para otorgar dicho contrato se mantenga un periodo de reflexión muy superior al de tres días que se ha considerado en el caso del aborto una traba desproporcionada e innecesaria.</w:t>
      </w:r>
    </w:p>
    <w:p w14:paraId="60190043" w14:textId="77777777" w:rsidR="009D7677" w:rsidRDefault="009D7677" w:rsidP="009D7677">
      <w:pPr>
        <w:pStyle w:val="TextoNormal"/>
      </w:pPr>
    </w:p>
    <w:p w14:paraId="0FDA71F4" w14:textId="77777777" w:rsidR="009D7677" w:rsidRDefault="009D7677" w:rsidP="009D7677">
      <w:pPr>
        <w:pStyle w:val="TextoNormal"/>
      </w:pPr>
      <w:r>
        <w:t>7. Equiparación de la extinción de la vida de</w:t>
      </w:r>
      <w:r w:rsidRPr="009D7677">
        <w:rPr>
          <w:i/>
        </w:rPr>
        <w:t>l nascitur</w:t>
      </w:r>
      <w:r>
        <w:t>us por decisión de la propia madre a cualquier intervención médica que requiera la prestación del consentimiento informado.</w:t>
      </w:r>
    </w:p>
    <w:p w14:paraId="512D1285" w14:textId="77777777" w:rsidR="009D7677" w:rsidRDefault="009D7677" w:rsidP="009D7677">
      <w:pPr>
        <w:pStyle w:val="TextoNormal"/>
      </w:pPr>
    </w:p>
    <w:p w14:paraId="3D23506A" w14:textId="77777777" w:rsidR="009D7677" w:rsidRDefault="009D7677" w:rsidP="009D7677">
      <w:pPr>
        <w:pStyle w:val="TextoNormal"/>
      </w:pPr>
      <w:r>
        <w:t>Discrepo de la equiparación del aborto voluntario, como acción consistente en la extinción física de un ser humano en gestación a iniciativa de la propia madre, con cualquier otra intervención médica que requiera la previa prestación de consentimiento informado.</w:t>
      </w:r>
    </w:p>
    <w:p w14:paraId="7939BB26" w14:textId="77777777" w:rsidR="009D7677" w:rsidRDefault="009D7677" w:rsidP="009D7677">
      <w:pPr>
        <w:pStyle w:val="TextoNormal"/>
      </w:pPr>
    </w:p>
    <w:p w14:paraId="28321B0D" w14:textId="77777777" w:rsidR="009D7677" w:rsidRDefault="009D7677" w:rsidP="009D7677">
      <w:pPr>
        <w:pStyle w:val="TextoNormal"/>
      </w:pPr>
      <w:r>
        <w:t>No cabe desconocer que el aborto no es una prestación sanitaria ordinaria. Por ello, la asimilación al régimen general en lo que al consentimiento se refiere, acarrea todos los inconvenientes que supone tratar de igual modo lo que es esencialmente diferente y, sobre todo y especialmente, disminuye aún más las garantías de protección de las que el concebido es acreedor.</w:t>
      </w:r>
    </w:p>
    <w:p w14:paraId="519291B2" w14:textId="77777777" w:rsidR="009D7677" w:rsidRDefault="009D7677" w:rsidP="009D7677">
      <w:pPr>
        <w:pStyle w:val="TextoNormal"/>
      </w:pPr>
    </w:p>
    <w:p w14:paraId="435573D4" w14:textId="77777777" w:rsidR="009D7677" w:rsidRDefault="009D7677" w:rsidP="009D7677">
      <w:pPr>
        <w:pStyle w:val="TextoNormal"/>
      </w:pPr>
      <w:r>
        <w:t>La asimilación del aborto a cualquier otro tipo de intervención médica, o prestación sanitaria ordinaria, ignorando que por definición, salvo supuestos en los que la interrupción del embarazo se plantee como alternativa terapéutica necesaria, presenta unas connotaciones mucho más amplias que trascienden a la propia mujer, lo cual debería justificar el mantenimiento de un régimen jurídico diferente y diferenciado, especialmente, como más adelante detallaré, cuando la gestante es menor de edad.</w:t>
      </w:r>
    </w:p>
    <w:p w14:paraId="5B930BB2" w14:textId="77777777" w:rsidR="009D7677" w:rsidRDefault="009D7677" w:rsidP="009D7677">
      <w:pPr>
        <w:pStyle w:val="TextoNormal"/>
      </w:pPr>
    </w:p>
    <w:p w14:paraId="23163D75" w14:textId="77777777" w:rsidR="009D7677" w:rsidRDefault="009D7677" w:rsidP="009D7677">
      <w:pPr>
        <w:pStyle w:val="TextoNormal"/>
      </w:pPr>
      <w:r>
        <w:t>Al margen de que el aborto obviamente no tiene una finalidad curativa, ni siquiera para la madre, la limitación de la información obligatoria a las implicaciones médicas relevantes que conlleva la intervención corporal que supone la interrupción voluntaria del embarazo, con omisión de cualquier otra información sobre las ayudas a la maternidad que podría ser relevante para que la madre pudiera contemplar otras posibles alternativas al aborto, unida a la inexistencia de una información y asesoramiento personalizados sobre la situación de cada mujer y a la eliminación de un periodo de reflexión desde la recepción de la información hasta la materialización de la intervención, requisitos que ayudarían a favorecer la toma de una decisión verdaderamente informada y meditada, evidencian el claro sesgo proabortista de la norma, que omite cualquier tipo de tutela de un bien constitucionalmente protegido como es la vida de un ser humano en gestación.</w:t>
      </w:r>
    </w:p>
    <w:p w14:paraId="6C3B052E" w14:textId="77777777" w:rsidR="009D7677" w:rsidRDefault="009D7677" w:rsidP="009D7677">
      <w:pPr>
        <w:pStyle w:val="TextoNormal"/>
      </w:pPr>
    </w:p>
    <w:p w14:paraId="32D17AF4" w14:textId="77777777" w:rsidR="009D7677" w:rsidRDefault="009D7677" w:rsidP="009D7677">
      <w:pPr>
        <w:pStyle w:val="TextoNormal"/>
      </w:pPr>
      <w:r>
        <w:lastRenderedPageBreak/>
        <w:t>Como apunté en el voto particular a la STC 44/2023, no se puede sostener que se hayan ponderado dos intereses contrapuestos, cuando se parte de la interpretación más favorable para la protección exclusiva de uno de ellos y simultáneamente se omite cualquier garantía mínimamente eficaz del otro, y se ignora además que el interés preterido afecta al derecho a la vida, que tiene un carácter troncal en el sistema constitucional y que la vida humana en formación es un bien constitucionalmente protegido, como ha declarado reiteradamente este tribunal y como el propio legislador reconoce.</w:t>
      </w:r>
    </w:p>
    <w:p w14:paraId="616899BF" w14:textId="77777777" w:rsidR="009D7677" w:rsidRDefault="009D7677" w:rsidP="009D7677">
      <w:pPr>
        <w:pStyle w:val="TextoNormal"/>
      </w:pPr>
    </w:p>
    <w:p w14:paraId="5E72F86A" w14:textId="77777777" w:rsidR="009D7677" w:rsidRDefault="009D7677" w:rsidP="009D7677">
      <w:pPr>
        <w:pStyle w:val="TextoNormal"/>
      </w:pPr>
      <w:r>
        <w:t xml:space="preserve">No puedo compartir, en consecuencia, las consideraciones contenidas en la sentencia que llevan a declaración de constitucionalidad de los artículos que 14 y 17 de la Ley Orgánica objeto de impugnación, que comportan que durante las primeras catorce semanas de gestación la interrupción voluntaria del embarazo queda sujeta a la exclusiva voluntad de la mujer, dejando totalmente desprovisto de protección al </w:t>
      </w:r>
      <w:r w:rsidRPr="009D7677">
        <w:rPr>
          <w:i/>
        </w:rPr>
        <w:t>nasciturus</w:t>
      </w:r>
      <w:r>
        <w:t xml:space="preserve"> y que sujetan la destrucción de la vida del mismo exclusivamente a la prestación del consentimiento informado en los mismos términos que cualquier intervención medica curativa sobre el cuerpo de la mujer.</w:t>
      </w:r>
    </w:p>
    <w:p w14:paraId="4CEE480D" w14:textId="77777777" w:rsidR="009D7677" w:rsidRDefault="009D7677" w:rsidP="009D7677">
      <w:pPr>
        <w:pStyle w:val="TextoNormal"/>
      </w:pPr>
    </w:p>
    <w:p w14:paraId="2CC101B6" w14:textId="77777777" w:rsidR="009D7677" w:rsidRDefault="009D7677" w:rsidP="009D7677">
      <w:pPr>
        <w:pStyle w:val="TextoNormal"/>
      </w:pPr>
      <w:r>
        <w:t>8. Supresión del consentimiento paterno e incluso del conocimiento de los progenitores para el aborto de jóvenes mayores de dieciséis años y menores de dieciocho.</w:t>
      </w:r>
    </w:p>
    <w:p w14:paraId="48924F21" w14:textId="77777777" w:rsidR="009D7677" w:rsidRDefault="009D7677" w:rsidP="009D7677">
      <w:pPr>
        <w:pStyle w:val="TextoNormal"/>
      </w:pPr>
    </w:p>
    <w:p w14:paraId="2D7F065C" w14:textId="77777777" w:rsidR="009D7677" w:rsidRDefault="009D7677" w:rsidP="009D7677">
      <w:pPr>
        <w:pStyle w:val="TextoNormal"/>
      </w:pPr>
      <w:r>
        <w:t>Dado que a nueva regulación de la Ley Orgánica 1/2023 retoma la posibilidad de interrupción del embarazo de las menores de edad sin el consentimiento de los padres e incluso suprime el requisito del mero conocimiento por parte de al menos uno de los progenitores, considero conveniente reafirmar las consideraciones contenidas al respecto en la antes citada enmienda al proyecto de informe aprobado por la Comisión de Estudios e Informes del Consejo General del Poder Judicial, el 15 de julio de 2009, sobre el anteproyecto de Ley Orgánica de salud sexual y reproductiva y de la interrupción voluntaria del embarazo, de fecha 22 de julio de 2009.</w:t>
      </w:r>
    </w:p>
    <w:p w14:paraId="5E3A55E3" w14:textId="77777777" w:rsidR="009D7677" w:rsidRDefault="009D7677" w:rsidP="009D7677">
      <w:pPr>
        <w:pStyle w:val="TextoNormal"/>
      </w:pPr>
    </w:p>
    <w:p w14:paraId="28351D58" w14:textId="77777777" w:rsidR="009D7677" w:rsidRDefault="009D7677" w:rsidP="009D7677">
      <w:pPr>
        <w:pStyle w:val="TextoNormal"/>
      </w:pPr>
      <w:r>
        <w:t xml:space="preserve">En la enmienda se afirma que no cabe equiparar la interrupción voluntaria del embarazo a cualquier otro tipo de intervención clínica ordinaria, olvidando que, si bien aquella se inserta dentro del ámbito de actuación médica, al suponer una intervención en la integridad corpórea de la paciente mediante procedimientos sujetos a la </w:t>
      </w:r>
      <w:r w:rsidRPr="009D7677">
        <w:rPr>
          <w:i/>
        </w:rPr>
        <w:t>lex artis</w:t>
      </w:r>
      <w:r>
        <w:t>, no cabe ignorar que su realización trasciende de dicho ámbito, ya que por un lado los efectos psicológicos que puede originar en quien la sufre, exceden del limitado marco de la intervención en sí y, por otro, es obvio que de ese modo se pone fin a la existencia del concebido, desconociendo que este no puede ser considerado, ni jurídica ni biológicamente, como una parte más de la anatomía de la mujer.</w:t>
      </w:r>
    </w:p>
    <w:p w14:paraId="39D7DA9C" w14:textId="77777777" w:rsidR="009D7677" w:rsidRDefault="009D7677" w:rsidP="009D7677">
      <w:pPr>
        <w:pStyle w:val="TextoNormal"/>
      </w:pPr>
    </w:p>
    <w:p w14:paraId="090E2FBA" w14:textId="77777777" w:rsidR="009D7677" w:rsidRDefault="009D7677" w:rsidP="009D7677">
      <w:pPr>
        <w:pStyle w:val="TextoNormal"/>
      </w:pPr>
      <w:r>
        <w:t xml:space="preserve">Además, se indicaba que al vedar la prestación del consentimiento por representación cuando la mujer sea mayor de dieciséis años, siendo irrelevante cuál sea su grado de madurez, se daba prioridad al allanamiento de obstáculos en detrimento de una correcta evaluación del grado de capacidad y juicio de la embarazada, y sobre todo se postergaba la eventual intervención de los representantes legales, en el común de las ocasiones los progenitores, los cuales, además de verse impedidos de ejercer las funciones propias de la patria potestad hacia la menor, tampoco podrían llevar a cabo actuación alguna en defensa de la vida del concebido, respecto del cual, de no practicarse el aborto, se establecerían en </w:t>
      </w:r>
      <w:r>
        <w:lastRenderedPageBreak/>
        <w:t>un futuro estrechos lazos de parentesco, comúnmente tributarios de fuertes vínculos afectivos.</w:t>
      </w:r>
    </w:p>
    <w:p w14:paraId="25991ED8" w14:textId="77777777" w:rsidR="009D7677" w:rsidRDefault="009D7677" w:rsidP="009D7677">
      <w:pPr>
        <w:pStyle w:val="TextoNormal"/>
      </w:pPr>
    </w:p>
    <w:p w14:paraId="2D375152" w14:textId="77777777" w:rsidR="009D7677" w:rsidRDefault="009D7677" w:rsidP="009D7677">
      <w:pPr>
        <w:pStyle w:val="TextoNormal"/>
      </w:pPr>
      <w:r>
        <w:t>Se puso de relieve igualmente en la enmienda que la práctica de la interrupción voluntaria del embarazo en las menores sin consentimiento de los padres, conlleva el inherente riesgo para la gestante de adopción de decisiones indebidamente sopesadas en una situación de más que probable falta de madurez y la consecuente disminución de las garantías de protección de la vida intrauterina, que la mayor permisividad supone.</w:t>
      </w:r>
    </w:p>
    <w:p w14:paraId="73B18DCC" w14:textId="77777777" w:rsidR="009D7677" w:rsidRDefault="009D7677" w:rsidP="009D7677">
      <w:pPr>
        <w:pStyle w:val="TextoNormal"/>
      </w:pPr>
    </w:p>
    <w:p w14:paraId="6EF951DF" w14:textId="77777777" w:rsidR="009D7677" w:rsidRDefault="009D7677" w:rsidP="009D7677">
      <w:pPr>
        <w:pStyle w:val="TextoNormal"/>
      </w:pPr>
      <w:r>
        <w:t>Por otra parte, aquella iniciativa legislativa chocaba con el régimen general de la patria potestad y que la regulación legal de la prestación del consentimiento debería abordarse conforme a una consideración integrada de nuestro ordenamiento, en el contexto básico de la patria potestad, y no con el alcance sectorial que deriva de la Ley 41/2002.</w:t>
      </w:r>
    </w:p>
    <w:p w14:paraId="00AF2451" w14:textId="77777777" w:rsidR="009D7677" w:rsidRDefault="009D7677" w:rsidP="009D7677">
      <w:pPr>
        <w:pStyle w:val="TextoNormal"/>
      </w:pPr>
    </w:p>
    <w:p w14:paraId="1730C03E" w14:textId="77777777" w:rsidR="009D7677" w:rsidRDefault="009D7677" w:rsidP="009D7677">
      <w:pPr>
        <w:pStyle w:val="TextoNormal"/>
      </w:pPr>
      <w:r>
        <w:t>Las objeciones entonces formuladas al diseño de la Ley Orgánica 2/2010 han de mantenerse respecto de la reforma operada por Ley Orgánica 1/2023, la cual no solo ha eliminado la necesidad de consentimiento paterno, sino que también ha suprimido el mero conocimiento que se contemplaba en la mencionada Ley Orgánica 2/2010, cuya redacción inicial exigía que, al menos uno de los padres o tutores fuera informado de esa decisión, salvo que la menor alegara fundadamente que eso le podría provocar un conflicto grave, manifestado en el peligro cierto de violencia intrafamiliar, amenazas, coacciones, malos tratos o se produjera una situación de desarraigo o desamparo.</w:t>
      </w:r>
    </w:p>
    <w:p w14:paraId="2BC73504" w14:textId="77777777" w:rsidR="009D7677" w:rsidRDefault="009D7677" w:rsidP="009D7677">
      <w:pPr>
        <w:pStyle w:val="TextoNormal"/>
      </w:pPr>
    </w:p>
    <w:p w14:paraId="0BFDE398" w14:textId="77777777" w:rsidR="009D7677" w:rsidRDefault="009D7677" w:rsidP="009D7677">
      <w:pPr>
        <w:pStyle w:val="TextoNormal"/>
      </w:pPr>
      <w:r>
        <w:t>La supresión incluso del mero conocimiento de la intervención comporta la imposibilidad de que los progenitores sean oídos y puedan aportar datos relevantes para evaluar el grado de madurez de la menor que solicita el aborto, lo cual es esencial para que pueda entenderse que la misma presta realmente un consentimiento verdaderamente informado, con capacidad para comprender las posibles repercusiones de todo tipo de la intervención que va a consentir.</w:t>
      </w:r>
    </w:p>
    <w:p w14:paraId="7151BFA3" w14:textId="77777777" w:rsidR="009D7677" w:rsidRDefault="009D7677" w:rsidP="009D7677">
      <w:pPr>
        <w:pStyle w:val="TextoNormal"/>
      </w:pPr>
    </w:p>
    <w:p w14:paraId="159B6A62" w14:textId="77777777" w:rsidR="009D7677" w:rsidRDefault="009D7677" w:rsidP="009D7677">
      <w:pPr>
        <w:pStyle w:val="TextoNormal"/>
      </w:pPr>
      <w:r>
        <w:t>La audiencia a los padres también permitiría que pudieran poner de relieve circunstancias que por su vinculación con la menor estén en una situación privilegiada de conocer, aportando datos relevantes para determinar si concurren factores de riesgo de secuelas físicas o psíquicas en el concreto caso de la menor afectada, elementos que permitirían hacer un estudio médico-psicológico individualizado, especialmente relevante en los casos de menores de edad, las cuales, además, atendida la supresión de información previa obligatoria y del periodo de reflexión, pueden correr mayor riesgo de adopción de decisiones poco maduradas que en un futuro podrían acarrearles graves perjuicios.</w:t>
      </w:r>
    </w:p>
    <w:p w14:paraId="4E8A071C" w14:textId="77777777" w:rsidR="009D7677" w:rsidRDefault="009D7677" w:rsidP="009D7677">
      <w:pPr>
        <w:pStyle w:val="TextoNormal"/>
      </w:pPr>
    </w:p>
    <w:p w14:paraId="22644444" w14:textId="77777777" w:rsidR="009D7677" w:rsidRDefault="009D7677" w:rsidP="009D7677">
      <w:pPr>
        <w:pStyle w:val="TextoNormal"/>
      </w:pPr>
      <w:r>
        <w:t>Por otra parte, el consentimiento autónomo y sin conocimiento de los progenitores o tutores dificulta de modo evidente el desempeño real y efectivo de los deberes de carácter tuitivo que conforman la patria potestad, entre los que se encuentran la orientación y el asesoramiento en un ámbito tan relevante como es la salud o bienestar de las menores, especialmente en un momento difícil de su vida, en el que van a adoptar una decisión transcendental que puede causarles una grave afectación física y psíquica.</w:t>
      </w:r>
    </w:p>
    <w:p w14:paraId="1C7D1F20" w14:textId="77777777" w:rsidR="009D7677" w:rsidRDefault="009D7677" w:rsidP="009D7677">
      <w:pPr>
        <w:pStyle w:val="TextoNormal"/>
      </w:pPr>
    </w:p>
    <w:p w14:paraId="1F7953CC" w14:textId="77777777" w:rsidR="009D7677" w:rsidRDefault="009D7677" w:rsidP="009D7677">
      <w:pPr>
        <w:pStyle w:val="TextoNormal"/>
      </w:pPr>
      <w:r>
        <w:lastRenderedPageBreak/>
        <w:t>Se impide así el cumplimiento del imperativo constitucional de prestación de asistencia de todo orden a los hijos durante su minoría de edad que a los progenitores impone el artículo 39.3 CE.</w:t>
      </w:r>
    </w:p>
    <w:p w14:paraId="1D20D6F7" w14:textId="77777777" w:rsidR="009D7677" w:rsidRDefault="009D7677" w:rsidP="009D7677">
      <w:pPr>
        <w:pStyle w:val="TextoNormal"/>
      </w:pPr>
    </w:p>
    <w:p w14:paraId="0FE3666F" w14:textId="77777777" w:rsidR="009D7677" w:rsidRDefault="009D7677" w:rsidP="009D7677">
      <w:pPr>
        <w:pStyle w:val="TextoNormal"/>
      </w:pPr>
      <w:r>
        <w:t>Por otro lado, llama poderosamente la atención que se excluya el consentimiento paterno para el aborto de menores de edad, consentimiento que sí se exige en los supuestos del artículo 9.5 de la Ley 41/2002, que establece que “[l]a práctica de ensayos clínicos y la práctica de técnicas de reproducción humana asistida se rigen por lo establecido con carácter general sobre la mayoría de edad y por las disposiciones especiales de aplicación”.</w:t>
      </w:r>
    </w:p>
    <w:p w14:paraId="4370367C" w14:textId="77777777" w:rsidR="009D7677" w:rsidRDefault="009D7677" w:rsidP="009D7677">
      <w:pPr>
        <w:pStyle w:val="TextoNormal"/>
      </w:pPr>
    </w:p>
    <w:p w14:paraId="333FA526" w14:textId="77777777" w:rsidR="009D7677" w:rsidRDefault="009D7677" w:rsidP="009D7677">
      <w:pPr>
        <w:pStyle w:val="TextoNormal"/>
      </w:pPr>
      <w:r>
        <w:t>9. Exclusión de cualquier medida de apoyo y fomento, así como de ayudas a entidades “contrarias” a los derechos reconocidos en la ley.</w:t>
      </w:r>
    </w:p>
    <w:p w14:paraId="0508C63B" w14:textId="77777777" w:rsidR="009D7677" w:rsidRDefault="009D7677" w:rsidP="009D7677">
      <w:pPr>
        <w:pStyle w:val="TextoNormal"/>
      </w:pPr>
    </w:p>
    <w:p w14:paraId="57E063B5" w14:textId="77777777" w:rsidR="009D7677" w:rsidRDefault="009D7677" w:rsidP="009D7677">
      <w:pPr>
        <w:pStyle w:val="TextoNormal"/>
      </w:pPr>
      <w:r>
        <w:t>Discrepo igualmente de las consideraciones que llevan a desestimar la queja relativa a la previsión sobre medidas de apoyo y fomento y ayudas a las entidades sin ánimo de lucro y sociedad civil y a entidades sociales especializadas, contempladas en los arts. 6 y 26 de la ley.</w:t>
      </w:r>
    </w:p>
    <w:p w14:paraId="6ECC72E7" w14:textId="77777777" w:rsidR="009D7677" w:rsidRDefault="009D7677" w:rsidP="009D7677">
      <w:pPr>
        <w:pStyle w:val="TextoNormal"/>
      </w:pPr>
    </w:p>
    <w:p w14:paraId="74A4C763" w14:textId="77777777" w:rsidR="009D7677" w:rsidRDefault="009D7677" w:rsidP="009D7677">
      <w:pPr>
        <w:pStyle w:val="TextoNormal"/>
      </w:pPr>
      <w:r>
        <w:t>En ambos preceptos se excluye a “aquellas organizaciones contrarias al derecho recogido en la presente ley orgánica de interrupción voluntaria del embarazo”.</w:t>
      </w:r>
    </w:p>
    <w:p w14:paraId="4C86F1A0" w14:textId="77777777" w:rsidR="009D7677" w:rsidRDefault="009D7677" w:rsidP="009D7677">
      <w:pPr>
        <w:pStyle w:val="TextoNormal"/>
      </w:pPr>
    </w:p>
    <w:p w14:paraId="7DFC51F5" w14:textId="77777777" w:rsidR="009D7677" w:rsidRDefault="009D7677" w:rsidP="009D7677">
      <w:pPr>
        <w:pStyle w:val="TextoNormal"/>
      </w:pPr>
      <w:r>
        <w:t>La exclusión se efectúa sin excepción ni matización alguna y, además, con una redacción vaga aludiendo a que sean “contrarias” al derecho reconocido en la ley, lo cual permite situarse en un plano meramente ideológico, sin requerir la ejecución de conductas que obstruyan o dificulten la práctica abortiva.</w:t>
      </w:r>
    </w:p>
    <w:p w14:paraId="0119C147" w14:textId="77777777" w:rsidR="009D7677" w:rsidRDefault="009D7677" w:rsidP="009D7677">
      <w:pPr>
        <w:pStyle w:val="TextoNormal"/>
      </w:pPr>
    </w:p>
    <w:p w14:paraId="26ADE2A1" w14:textId="77777777" w:rsidR="009D7677" w:rsidRDefault="009D7677" w:rsidP="009D7677">
      <w:pPr>
        <w:pStyle w:val="TextoNormal"/>
      </w:pPr>
      <w:r>
        <w:t>A ello se añade que el ámbito de la ley no se circunscribe a la regulación del aborto sino en general a la salud sexual y reproductiva.</w:t>
      </w:r>
    </w:p>
    <w:p w14:paraId="4BDD478C" w14:textId="77777777" w:rsidR="009D7677" w:rsidRDefault="009D7677" w:rsidP="009D7677">
      <w:pPr>
        <w:pStyle w:val="TextoNormal"/>
      </w:pPr>
    </w:p>
    <w:p w14:paraId="2792F6CD" w14:textId="77777777" w:rsidR="009D7677" w:rsidRDefault="009D7677" w:rsidP="009D7677">
      <w:pPr>
        <w:pStyle w:val="TextoNormal"/>
      </w:pPr>
      <w:r>
        <w:t>En los términos vagos y genéricos con los que se formula la exclusión, constituye una discriminación por motivos ideológicos, entre otras, de las entidades calificables como “provida” que, además de la protección de la vida de</w:t>
      </w:r>
      <w:r w:rsidRPr="009D7677">
        <w:rPr>
          <w:i/>
        </w:rPr>
        <w:t>l nascitur</w:t>
      </w:r>
      <w:r>
        <w:t>us, también tienen entre sus objetivos la defensa de la salud física y psíquica de la mujer gestante.</w:t>
      </w:r>
    </w:p>
    <w:p w14:paraId="0C580D39" w14:textId="77777777" w:rsidR="009D7677" w:rsidRDefault="009D7677" w:rsidP="009D7677">
      <w:pPr>
        <w:pStyle w:val="TextoNormal"/>
      </w:pPr>
    </w:p>
    <w:p w14:paraId="261C76AF" w14:textId="77777777" w:rsidR="009D7677" w:rsidRDefault="009D7677" w:rsidP="009D7677">
      <w:pPr>
        <w:pStyle w:val="TextoNormal"/>
      </w:pPr>
      <w:r>
        <w:t>Tales preceptos son una muestra más, como he apuntado precedentemente, del claro sesgo ideológico proabortista de la norma, que se decanta por el aborto como única alternativa posible a un embarazo no deseado, omitiendo cualquier tipo de medida que pudiera favorecer la tutela de un bien constitucionalmente protegido como es la vida prenatal.</w:t>
      </w:r>
    </w:p>
    <w:p w14:paraId="3D6C4EA1" w14:textId="77777777" w:rsidR="009D7677" w:rsidRDefault="009D7677" w:rsidP="009D7677">
      <w:pPr>
        <w:pStyle w:val="TextoNormal"/>
      </w:pPr>
    </w:p>
    <w:p w14:paraId="5AAAC4AC" w14:textId="77777777" w:rsidR="009D7677" w:rsidRDefault="009D7677" w:rsidP="009D7677">
      <w:pPr>
        <w:pStyle w:val="TextoNormal"/>
      </w:pPr>
      <w:r>
        <w:t xml:space="preserve">Esta regulación tiene como presupuesto ideológico el reconocimiento entre los principios rectores de la ley del enfoque de género, del empoderamiento contemplado como fortalecimiento de la capacidad de agencia y autonomía de las personas, con énfasis en las mujeres y en la población joven, el apoyo a las entidades sin ánimo de lucro y a la sociedad civil con especial atención a aquellas cuyas actuaciones tienen lugar en los ámbitos específicos regulados en la ley, con exclusión de aquellas organizaciones contrarias al derecho a la interrupción voluntaria del embarazo, el mantenimiento en el artículo 12, rubricado “Garantía de acceso a la interrupción voluntaria del embarazo”, no modificado, que exige interpretar las condiciones del acceso a la interrupción voluntaria del embarazo </w:t>
      </w:r>
      <w:r>
        <w:lastRenderedPageBreak/>
        <w:t>previstas en la misma del “modo más favorable para la protección y eficacia de los derechos fundamentales de la mujer que solicita la intervención, en particular, su derecho al libre desarrollo de la personalidad, a la vida, a la integridad física y moral, a la intimidad, a la libertad ideológica y a la no discriminación”, lo que determina la ausencia de mención de la tutela estatal de la vida prenatal y la supresión de las exiguas medidas que la Ley Orgánica 2/2010 contemplaba como requisitos para la interrupción del embarazo, y lleva a concluir que el legislador no ha ponderado los bienes y derechos que entran en conflicto en la interrupción voluntaria del embarazo y se ha decantado claramente por dar preponderancia absoluta en toda la regulación a la decisión de la mujer gestante.</w:t>
      </w:r>
    </w:p>
    <w:p w14:paraId="364F7BCB" w14:textId="77777777" w:rsidR="009D7677" w:rsidRDefault="009D7677" w:rsidP="009D7677">
      <w:pPr>
        <w:pStyle w:val="TextoNormal"/>
      </w:pPr>
    </w:p>
    <w:p w14:paraId="7DC00B1E" w14:textId="77777777" w:rsidR="009D7677" w:rsidRDefault="009D7677" w:rsidP="009D7677">
      <w:pPr>
        <w:pStyle w:val="TextoNormal"/>
      </w:pPr>
      <w:r>
        <w:t>10. Exclusión del comité médico de los facultativos inscritos en el registro de objetores de conciencia hasta transcurridos tres años desde la baja en el mismo.</w:t>
      </w:r>
    </w:p>
    <w:p w14:paraId="41056A70" w14:textId="77777777" w:rsidR="009D7677" w:rsidRDefault="009D7677" w:rsidP="009D7677">
      <w:pPr>
        <w:pStyle w:val="TextoNormal"/>
      </w:pPr>
    </w:p>
    <w:p w14:paraId="2A1DDFB7" w14:textId="77777777" w:rsidR="009D7677" w:rsidRDefault="009D7677" w:rsidP="009D7677">
      <w:pPr>
        <w:pStyle w:val="TextoNormal"/>
      </w:pPr>
      <w:r>
        <w:t>La exclusión del comité médico que interviene a partir de las veintidós semanas de gestación cuando se detecte en el feto una enfermedad extremadamente grave e incurable en el momento del diagnóstico, de aquellos facultativos que han objetado a practicar abortos, hasta transcurridos tres años de la baja en el registro de objetores de conciencia, constituye, desde mi punto de vista, una discriminación injustificada.</w:t>
      </w:r>
    </w:p>
    <w:p w14:paraId="6E58F875" w14:textId="77777777" w:rsidR="009D7677" w:rsidRDefault="009D7677" w:rsidP="009D7677">
      <w:pPr>
        <w:pStyle w:val="TextoNormal"/>
      </w:pPr>
    </w:p>
    <w:p w14:paraId="6D1FE1DE" w14:textId="77777777" w:rsidR="009D7677" w:rsidRDefault="009D7677" w:rsidP="009D7677">
      <w:pPr>
        <w:pStyle w:val="TextoNormal"/>
      </w:pPr>
      <w:r>
        <w:t>La intervención en dicho Comité es totalmente ajena al aborto libre durante las catorce primeras semanas. De modo que la imposibilidad legal de acceso al mismo de los objetores puede ser entendida como una especie de castigo o estigmatización a dichos profesionales, a los que se les priva de aportar sus cualificados conocimientos en favor de la salud de la madre y de la viabilidad de la vida de</w:t>
      </w:r>
      <w:r w:rsidRPr="009D7677">
        <w:rPr>
          <w:i/>
        </w:rPr>
        <w:t>l nascitur</w:t>
      </w:r>
      <w:r>
        <w:t>us.</w:t>
      </w:r>
    </w:p>
    <w:p w14:paraId="6AA9CE72" w14:textId="77777777" w:rsidR="009D7677" w:rsidRDefault="009D7677" w:rsidP="009D7677">
      <w:pPr>
        <w:pStyle w:val="TextoNormal"/>
      </w:pPr>
    </w:p>
    <w:p w14:paraId="5399CF62" w14:textId="77777777" w:rsidR="009D7677" w:rsidRDefault="009D7677" w:rsidP="009D7677">
      <w:pPr>
        <w:pStyle w:val="TextoNormal"/>
      </w:pPr>
      <w:r>
        <w:t>Tal exclusión parte de una inasumible presunción, carente de fundamento alguno, de que los mismos no ofrecerían su dictamen con objetividad y de conformidad con l</w:t>
      </w:r>
      <w:r w:rsidRPr="009D7677">
        <w:rPr>
          <w:i/>
        </w:rPr>
        <w:t>a lex art</w:t>
      </w:r>
      <w:r>
        <w:t>is que preside su actuación profesional, en supuestos diversos del aborto por la voluntad exclusiva de la mujer dentro de las catorce primeras semanas de gestación.</w:t>
      </w:r>
    </w:p>
    <w:p w14:paraId="2B7E5E92" w14:textId="77777777" w:rsidR="009D7677" w:rsidRDefault="009D7677" w:rsidP="009D7677">
      <w:pPr>
        <w:pStyle w:val="TextoNormal"/>
      </w:pPr>
    </w:p>
    <w:p w14:paraId="30F1F5D4" w14:textId="77777777" w:rsidR="009D7677" w:rsidRDefault="009D7677" w:rsidP="009D7677">
      <w:pPr>
        <w:pStyle w:val="TextoNormal"/>
      </w:pPr>
      <w:r>
        <w:t>En atención a lo expuesto, expreso mi discrepancia de la sentencia que desestima el Recurso de Inconstitucionalidad núm. 3630-2023.</w:t>
      </w:r>
    </w:p>
    <w:p w14:paraId="70AC5487" w14:textId="77777777" w:rsidR="009D7677" w:rsidRDefault="009D7677" w:rsidP="009D7677">
      <w:pPr>
        <w:pStyle w:val="TextoNormal"/>
      </w:pPr>
    </w:p>
    <w:p w14:paraId="10FD4A18" w14:textId="1E33A9F8" w:rsidR="009D7677" w:rsidRDefault="009D7677" w:rsidP="009D7677">
      <w:pPr>
        <w:pStyle w:val="TextoNormal"/>
      </w:pPr>
      <w:r>
        <w:t>Madrid, a dieciocho de junio de dos mil veinticuatro.</w:t>
      </w:r>
    </w:p>
    <w:p w14:paraId="775FFC6F" w14:textId="77777777" w:rsidR="009D7677" w:rsidRDefault="009D7677" w:rsidP="009D7677">
      <w:pPr>
        <w:pStyle w:val="TextoNormal"/>
      </w:pPr>
    </w:p>
    <w:p w14:paraId="0420221A" w14:textId="77777777" w:rsidR="009D7677" w:rsidRDefault="009D7677" w:rsidP="009D7677">
      <w:pPr>
        <w:pStyle w:val="TextoNormalNegritaCentrado"/>
        <w:keepNext/>
      </w:pPr>
      <w:r>
        <w:t>Voto particular que formula el magistrado don César Tolosa Tribiño, a la sentencia del Pleno del Tribunal que resuelve el recurso de inconstitucionalidad núm. 3630-2023</w:t>
      </w:r>
    </w:p>
    <w:p w14:paraId="09F9014D" w14:textId="7DECE528" w:rsidR="009D7677" w:rsidRDefault="009D7677" w:rsidP="009D7677">
      <w:pPr>
        <w:pStyle w:val="TextoNormalNegritaCentrado"/>
        <w:keepNext/>
      </w:pPr>
    </w:p>
    <w:p w14:paraId="3C9D5059" w14:textId="77777777" w:rsidR="009D7677" w:rsidRDefault="009D7677" w:rsidP="009D7677">
      <w:pPr>
        <w:pStyle w:val="TextoNormal"/>
      </w:pPr>
      <w:r>
        <w:t>En el ejercicio de la facultad que me confiere el artículo 90.2 de la Ley Orgánica del Tribunal Constitucional, y con respeto a la opinión de los magistrados y las magistradas que han conformado la mayoría del Pleno, formulo el presente voto particular para expresar mi discrepancia con la fundamentación y con el consiguiente fallo de la sentencia que resuelve el presente recurso de inconstitucionalidad, en los aspectos que se exponen a continuación.</w:t>
      </w:r>
    </w:p>
    <w:p w14:paraId="43E5B72A" w14:textId="77777777" w:rsidR="009D7677" w:rsidRDefault="009D7677" w:rsidP="009D7677">
      <w:pPr>
        <w:pStyle w:val="TextoNormal"/>
      </w:pPr>
    </w:p>
    <w:p w14:paraId="2C191E47" w14:textId="77777777" w:rsidR="009D7677" w:rsidRDefault="009D7677" w:rsidP="009D7677">
      <w:pPr>
        <w:pStyle w:val="TextoNormal"/>
      </w:pPr>
      <w:r>
        <w:lastRenderedPageBreak/>
        <w:t xml:space="preserve">1. </w:t>
      </w:r>
      <w:r w:rsidRPr="009D7677">
        <w:rPr>
          <w:i/>
        </w:rPr>
        <w:t>La indebida confirmación del aborto como derecho de autodeterminación de la mujer</w:t>
      </w:r>
    </w:p>
    <w:p w14:paraId="7B3139FF" w14:textId="77777777" w:rsidR="009D7677" w:rsidRDefault="009D7677" w:rsidP="009D7677">
      <w:pPr>
        <w:pStyle w:val="TextoNormal"/>
      </w:pPr>
    </w:p>
    <w:p w14:paraId="1CF2FE90" w14:textId="77777777" w:rsidR="009D7677" w:rsidRDefault="009D7677" w:rsidP="009D7677">
      <w:pPr>
        <w:pStyle w:val="TextoNormal"/>
      </w:pPr>
      <w:r>
        <w:t>La sentencia, antes de entrar en el examen de las tachas de inconstitucionalidad denunciadas en el presente recurso, plasma en el segundo fundamento jurídico unas “consideraciones previas” en las que se extiende de nuevo sobre la consideración del derecho a la interrupción del embarazo como un derecho de libertad recogido en la Constitución en los términos que ha desarrollado la reciente STC 44/2023, de 9 de mayo, desestimatoria del recurso de inconstitucionalidad interpuesto contra la Ley Orgánica 2/2010, de 3 de marzo, de salud sexual y reproductiva y de la interrupción voluntaria del embarazo.</w:t>
      </w:r>
    </w:p>
    <w:p w14:paraId="30CB80CC" w14:textId="77777777" w:rsidR="009D7677" w:rsidRDefault="009D7677" w:rsidP="009D7677">
      <w:pPr>
        <w:pStyle w:val="TextoNormal"/>
      </w:pPr>
    </w:p>
    <w:p w14:paraId="67FA9CCF" w14:textId="77777777" w:rsidR="009D7677" w:rsidRDefault="009D7677" w:rsidP="009D7677">
      <w:pPr>
        <w:pStyle w:val="TextoNormal"/>
      </w:pPr>
      <w:r>
        <w:t>Estas consideraciones previas no eran necesarias en el recurso que ahora nos ocupa, en el que se plantean cuestiones de distinto alcance constitucional, poniendo así de manifiesto la voluntad de la mayoría de confirmar una novedosa construcción constitucional que no tiene cabida en nuestro actual y vigente texto constitucional. Como ya dejamos sentado en el voto particular a la STC 44/2023, para resolver el conflicto constitucional que la regulación del aborto plantea no era necesario (ni procedente) alumbrar un nuevo derecho fundamental de la mujer a la autodeterminación respecto de la interrupción del embarazo, anclado en el art. 15 CE, en conexión con el art. 10.1 CE, sino que el enfoque correcto no podía ser otro que “el de tener en cuenta que sobre el Estado pesa no solo el deber de tutelar la vida humana en formación, como bien jurídico cuya protección constitucional encuentra fundamento en el art. 15 CE (SSTC 53/1985, FFJJ 5 y 7; 212/1996, FJ 3, y 116/1999, FJ 4, por todas), sino también los derechos e intereses legítimos de la mujer embarazada, muy en particular sus derechos fundamentales, cuyo contenido esencial delimita el alcance del deber de protección, como ya declaró este tribunal en la STC 53/1985, FJ 8, debiendo por tanto el legislador abstenerse de realizar intervenciones desproporcionadas en esos derechos (STC 53/1985, FFJJ 7 a 9 y 12)”.</w:t>
      </w:r>
    </w:p>
    <w:p w14:paraId="0BF73A10" w14:textId="77777777" w:rsidR="009D7677" w:rsidRDefault="009D7677" w:rsidP="009D7677">
      <w:pPr>
        <w:pStyle w:val="TextoNormal"/>
      </w:pPr>
    </w:p>
    <w:p w14:paraId="567EF92B" w14:textId="77777777" w:rsidR="009D7677" w:rsidRDefault="009D7677" w:rsidP="009D7677">
      <w:pPr>
        <w:pStyle w:val="TextoNormal"/>
      </w:pPr>
      <w:r>
        <w:t>A la fundamentación contenida en dicho voto me remito ahora, no sin poner de manifiesto la contradicción insalvable que subyace en este nuevo pronunciamiento de la mayoría, en la medida en que ha validado que el legislador reduzca las exigencias relativas al consentimiento informado cuando se trata de la interrupción voluntaria del embarazo, como examinaré más adelante de forma extensa, y dicha reducción va en detrimento directo de los derechos de la mujer embarazada.</w:t>
      </w:r>
    </w:p>
    <w:p w14:paraId="4021DA00" w14:textId="77777777" w:rsidR="009D7677" w:rsidRDefault="009D7677" w:rsidP="009D7677">
      <w:pPr>
        <w:pStyle w:val="TextoNormal"/>
      </w:pPr>
    </w:p>
    <w:p w14:paraId="7FD49D24" w14:textId="77777777" w:rsidR="009D7677" w:rsidRDefault="009D7677" w:rsidP="009D7677">
      <w:pPr>
        <w:pStyle w:val="TextoNormal"/>
      </w:pPr>
      <w:r>
        <w:t xml:space="preserve">2. </w:t>
      </w:r>
      <w:r w:rsidRPr="009D7677">
        <w:rPr>
          <w:i/>
        </w:rPr>
        <w:t>La arbitrariedad de la norma al excluir a determinadas entidades y organizaciones de las medidas de apoyo legalmente previstas</w:t>
      </w:r>
    </w:p>
    <w:p w14:paraId="244935BB" w14:textId="77777777" w:rsidR="009D7677" w:rsidRDefault="009D7677" w:rsidP="009D7677">
      <w:pPr>
        <w:pStyle w:val="TextoNormal"/>
      </w:pPr>
    </w:p>
    <w:p w14:paraId="259A8A30" w14:textId="77777777" w:rsidR="009D7677" w:rsidRDefault="009D7677" w:rsidP="009D7677">
      <w:pPr>
        <w:pStyle w:val="TextoNormal"/>
      </w:pPr>
      <w:r>
        <w:t>No puedo compartir la conclusión a la que llega la sentencia en su fundamento jurídico cuarto al examinar las tachas de inconstitucionalidad que los recurrentes imputan a la nueva redacción que la norma impugnada da a los arts. 6 y 26 de la Ley Orgánica 2/2010, y que prevén el apoyo a determinadas entidades que actúan en el ámbito de la salud y los derecho sexuales y reproductivos.</w:t>
      </w:r>
    </w:p>
    <w:p w14:paraId="79A80E9B" w14:textId="77777777" w:rsidR="009D7677" w:rsidRDefault="009D7677" w:rsidP="009D7677">
      <w:pPr>
        <w:pStyle w:val="TextoNormal"/>
      </w:pPr>
    </w:p>
    <w:p w14:paraId="5B3027C5" w14:textId="77777777" w:rsidR="009D7677" w:rsidRDefault="009D7677" w:rsidP="009D7677">
      <w:pPr>
        <w:pStyle w:val="TextoNormal"/>
      </w:pPr>
      <w:r>
        <w:t xml:space="preserve">La sentencia ha omitido el examen de la vulneración del principio de interdicción de la arbitrariedad de los poderes públicos (art. 9.3 CE) por la falta de rigor técnico de los citados preceptos, que impide saber cuál es el verdadero alcance de la exclusión, razonando que esta queja decae desde el momento en que considera que la exclusión encuentra una </w:t>
      </w:r>
      <w:r>
        <w:lastRenderedPageBreak/>
        <w:t>justificación objetiva y razonable. Pero este razonamiento no es el correcto porque no se puede concluir que una determinada medida no es discriminatoria o que no atenta contra la libertad religiosa y el deber de neutralidad de las administraciones públicas si no se examina con carácter previo cual es el sentido y el alcance de la exclusión, que es precisamente lo primero que denunciaban los recurrentes.</w:t>
      </w:r>
    </w:p>
    <w:p w14:paraId="04ACED01" w14:textId="77777777" w:rsidR="009D7677" w:rsidRDefault="009D7677" w:rsidP="009D7677">
      <w:pPr>
        <w:pStyle w:val="TextoNormal"/>
      </w:pPr>
    </w:p>
    <w:p w14:paraId="4E544563" w14:textId="77777777" w:rsidR="009D7677" w:rsidRDefault="009D7677" w:rsidP="009D7677">
      <w:pPr>
        <w:pStyle w:val="TextoNormal"/>
      </w:pPr>
      <w:r>
        <w:t>Basta una lectura de los dos preceptos para apreciar que estos adolecen de una indeterminación absoluta desde el momento en que lo único que dicen es que se promoverá y fortalecerá “la participación” de unas entidades y se excluiría a “aquellas organizaciones contrarias al derecho recogido en la presente ley orgánica de interrupción voluntaria del embarazo”; también se indica que las administraciones públicas “apoyaran el trabajo” de determinadas instituciones, con exclusión de nuevo de “aquellas organizaciones contrarias al derecho recogido en la presente ley orgánica de interrupción voluntaria del embarazo”.</w:t>
      </w:r>
    </w:p>
    <w:p w14:paraId="404A07C9" w14:textId="77777777" w:rsidR="009D7677" w:rsidRDefault="009D7677" w:rsidP="009D7677">
      <w:pPr>
        <w:pStyle w:val="TextoNormal"/>
      </w:pPr>
    </w:p>
    <w:p w14:paraId="32022090" w14:textId="77777777" w:rsidR="009D7677" w:rsidRDefault="009D7677" w:rsidP="009D7677">
      <w:pPr>
        <w:pStyle w:val="TextoNormal"/>
      </w:pPr>
      <w:r>
        <w:t>Expuesto así el tenor de los arts. 6 y 26, no se sabe de qué “participación” o de qué “apoyo” se excluye a las organizaciones afectadas, pues nada dicen los citados preceptos, y tampoco se delimita en forma alguna qué es ser una organización “contraria” al derecho recogido en la presente ley orgánica de interrupción voluntaria del embarazo. La indeterminación es aún más desconcertante desde el momento en que tampoco se concreta el “derecho recogido en la presente ley orgánica de interrupción voluntaria del embarazo” al que se tiene que oponer una organización para entrar dentro el ámbito de la exclusión, y ello no es baladí porque la Ley Orgánica 2/2010 reconoce un gran número de “derechos sexuales y reproductivos”, más allá de la interrupción voluntaria del embarazo.</w:t>
      </w:r>
    </w:p>
    <w:p w14:paraId="4534425F" w14:textId="77777777" w:rsidR="009D7677" w:rsidRDefault="009D7677" w:rsidP="009D7677">
      <w:pPr>
        <w:pStyle w:val="TextoNormal"/>
      </w:pPr>
    </w:p>
    <w:p w14:paraId="26BD3314" w14:textId="77777777" w:rsidR="009D7677" w:rsidRDefault="009D7677" w:rsidP="009D7677">
      <w:pPr>
        <w:pStyle w:val="TextoNormal"/>
      </w:pPr>
      <w:r>
        <w:t>La falta de rigor de la que adolecen estos preceptos no puede en ningún caso justificarse por la circunstancia de que sean el resultado del ejercicio del derecho de enmienda, que no puede conllevar un sacrificio del principio de calidad técnica de la norma; pero es que además el resultado que se ha producido no es otro que el de habilitar a la administración para que de forma totalmente arbitraria pueda seleccionar a aquellas entidades que deban quedar excluidas de dicho “fortalecimiento” o “apoyo”, lo cual mal se compadece con el principio de seguridad jurídica consagrado en el art. 9.3, el cual, como hemos dicho en reiteradas ocasiones, ha de entenderse como “la certeza sobre la regulación jurídica aplicable” (SSTC 248/2007, de 13 de diciembre, FJ 5, y 29/2015, de 19 de febrero, FJ 5) así como “la expectativa razonablemente fundada del ciudadano en cuál ha de ser la actuación del poder en la aplicación del Derecho” (STC 36/1991, de 14 de febrero, FJ 5). Exigencias estas, consustanciales al Estado de Derecho (STC 234/2012, de 13 de diciembre, FJ 8) que no se han cumplido en el presente supuesto y así lo tenía que haber apreciado la sentencia declarando la inconstitucionalidad de dichos preceptos por vulneración del principio de interdicción de la arbitrariedad de los poderes públicos (art. 9.1 CE).</w:t>
      </w:r>
    </w:p>
    <w:p w14:paraId="6D823CE7" w14:textId="77777777" w:rsidR="009D7677" w:rsidRDefault="009D7677" w:rsidP="009D7677">
      <w:pPr>
        <w:pStyle w:val="TextoNormal"/>
      </w:pPr>
    </w:p>
    <w:p w14:paraId="72E61301" w14:textId="77777777" w:rsidR="009D7677" w:rsidRDefault="009D7677" w:rsidP="009D7677">
      <w:pPr>
        <w:pStyle w:val="TextoNormal"/>
      </w:pPr>
      <w:r>
        <w:t xml:space="preserve">3. </w:t>
      </w:r>
      <w:r w:rsidRPr="009D7677">
        <w:rPr>
          <w:i/>
        </w:rPr>
        <w:t>El exceso en la imposición de una óptica concreta a la sexualidad</w:t>
      </w:r>
    </w:p>
    <w:p w14:paraId="1E3713AB" w14:textId="77777777" w:rsidR="009D7677" w:rsidRDefault="009D7677" w:rsidP="009D7677">
      <w:pPr>
        <w:pStyle w:val="TextoNormal"/>
      </w:pPr>
    </w:p>
    <w:p w14:paraId="3943B196" w14:textId="77777777" w:rsidR="009D7677" w:rsidRDefault="009D7677" w:rsidP="009D7677">
      <w:pPr>
        <w:pStyle w:val="TextoNormal"/>
      </w:pPr>
      <w:r>
        <w:t>La sentencia aborda en el fundamento jurídico quinto la novedosa previsión de que las administraciones educativas tienen que promover una visión de la sexualidad desde la óptica del placer y el deseo. Es difícil negar lo insólito de un precepto legal que impone la visión que debe darse a las relaciones sexuales, pero igualmente insólito resulta que este tribunal se pronuncie sobre esta cuestión, que es totalmente ajena a los valores de la libertad, la igualdad o el respeto a los que se refiere la sentencia.</w:t>
      </w:r>
    </w:p>
    <w:p w14:paraId="31D8A6F8" w14:textId="77777777" w:rsidR="009D7677" w:rsidRDefault="009D7677" w:rsidP="009D7677">
      <w:pPr>
        <w:pStyle w:val="TextoNormal"/>
      </w:pPr>
    </w:p>
    <w:p w14:paraId="741AF4EF" w14:textId="77777777" w:rsidR="009D7677" w:rsidRDefault="009D7677" w:rsidP="009D7677">
      <w:pPr>
        <w:pStyle w:val="TextoNormal"/>
      </w:pPr>
      <w:r>
        <w:t xml:space="preserve">La sentencia llega al extremo de definir lo que debe ser una visión “saludable y completa de las relaciones sexuales”, lo que constituye un exceso que no era necesario para desestimar la impugnación realizada por los recurrentes, además de un simple adoctrinamiento incompatible con las propias sentencias del Tribunal Europeo de Derechos Humanos en las que se apoya la mayoría, que prohíben un adoctrinamiento respecto a un comportamiento sexual determinado (STEDH de 7 de diciembre de 1976, asunto </w:t>
      </w:r>
      <w:r w:rsidRPr="009D7677">
        <w:rPr>
          <w:i/>
        </w:rPr>
        <w:t>Kjeldsen, Busk Madsen y Pedersen c. Dinamarca</w:t>
      </w:r>
      <w:r>
        <w:t>, § 54).</w:t>
      </w:r>
    </w:p>
    <w:p w14:paraId="5417F691" w14:textId="77777777" w:rsidR="009D7677" w:rsidRDefault="009D7677" w:rsidP="009D7677">
      <w:pPr>
        <w:pStyle w:val="TextoNormal"/>
      </w:pPr>
    </w:p>
    <w:p w14:paraId="3E018C32" w14:textId="77777777" w:rsidR="009D7677" w:rsidRDefault="009D7677" w:rsidP="009D7677">
      <w:pPr>
        <w:pStyle w:val="TextoNormal"/>
      </w:pPr>
      <w:r>
        <w:t xml:space="preserve">4. </w:t>
      </w:r>
      <w:r w:rsidRPr="009D7677">
        <w:rPr>
          <w:i/>
        </w:rPr>
        <w:t>La disminución de los requisitos del consentimiento informado</w:t>
      </w:r>
    </w:p>
    <w:p w14:paraId="3F614D09" w14:textId="77777777" w:rsidR="009D7677" w:rsidRDefault="009D7677" w:rsidP="009D7677">
      <w:pPr>
        <w:pStyle w:val="TextoNormal"/>
      </w:pPr>
    </w:p>
    <w:p w14:paraId="4BBD2714" w14:textId="77777777" w:rsidR="009D7677" w:rsidRDefault="009D7677" w:rsidP="009D7677">
      <w:pPr>
        <w:pStyle w:val="TextoNormal"/>
      </w:pPr>
      <w:r>
        <w:t xml:space="preserve">La sentencia analiza en el fundamento jurídico séptimo las modificaciones que la norma ha operado eliminando tanto el requisito de información previa sobre ayudas y derechos vinculados al embarazo y maternidad (que se dará solo si así lo requiere la mujer embarazada) como el periodo de “reflexión” de tres días, o la posibilidad de que la información se otorgue verbalmente, para concluir que no se ha producido la vulneración de los arts. 9.3 CE (interdicción de la arbitrariedad de los poderes públicos), 15 CE (protección de la vida humana del </w:t>
      </w:r>
      <w:r w:rsidRPr="009D7677">
        <w:rPr>
          <w:i/>
        </w:rPr>
        <w:t>nasciturus</w:t>
      </w:r>
      <w:r>
        <w:t>) y 39.2 CE (protección de las madres).</w:t>
      </w:r>
    </w:p>
    <w:p w14:paraId="7F771B90" w14:textId="77777777" w:rsidR="009D7677" w:rsidRDefault="009D7677" w:rsidP="009D7677">
      <w:pPr>
        <w:pStyle w:val="TextoNormal"/>
      </w:pPr>
    </w:p>
    <w:p w14:paraId="31189D31" w14:textId="77777777" w:rsidR="009D7677" w:rsidRDefault="009D7677" w:rsidP="009D7677">
      <w:pPr>
        <w:pStyle w:val="TextoNormal"/>
      </w:pPr>
      <w:r>
        <w:t>No comparto las razones que llevan a la mayoría a concluir que no existe una vulneración de los citados preceptos constitucionales, y que toman como punto de partida que tanto la información que antes se daba a la mujer embarazada, como la existencia de un plazo de reflexión, responden a la finalidad de establecer una traba innecesaria que pueda afectar a la libre toma de decisión de la mujer, a su infantilización, o a la voluntad de interferir y modificar el sentido de la libre decisión sobre la interrupción o la continuación de la gestación.</w:t>
      </w:r>
    </w:p>
    <w:p w14:paraId="4873FFFD" w14:textId="77777777" w:rsidR="009D7677" w:rsidRDefault="009D7677" w:rsidP="009D7677">
      <w:pPr>
        <w:pStyle w:val="TextoNormal"/>
      </w:pPr>
    </w:p>
    <w:p w14:paraId="6B1D5B4D" w14:textId="77777777" w:rsidR="009D7677" w:rsidRDefault="009D7677" w:rsidP="009D7677">
      <w:pPr>
        <w:pStyle w:val="TextoNormal"/>
      </w:pPr>
      <w:r>
        <w:t>Estas afirmaciones desconocen cual es la finalidad del consentimiento informado en los actos médicos, que en el caso de la interrupción voluntaria del embarazo debe dirigirse a conseguir que la mujer tenga toda la información necesaria para tomar una decisión fundada. Además, estas garantías deben reforzarse y no disminuirse en atención al deber que pesa sobre el Estado de tutelar también la vida humana en formación (art. 15 CE).</w:t>
      </w:r>
    </w:p>
    <w:p w14:paraId="4192D23B" w14:textId="77777777" w:rsidR="009D7677" w:rsidRDefault="009D7677" w:rsidP="009D7677">
      <w:pPr>
        <w:pStyle w:val="TextoNormal"/>
      </w:pPr>
    </w:p>
    <w:p w14:paraId="0F4FE82D" w14:textId="77777777" w:rsidR="009D7677" w:rsidRDefault="009D7677" w:rsidP="009D7677">
      <w:pPr>
        <w:pStyle w:val="TextoNormal"/>
      </w:pPr>
      <w:r>
        <w:t>(i) Respecto a la supresión del denominado plazo de reflexión debe recordarse que, en contra de lo que da a entender la ponencia, la existencia de plazos obligatorios durante los cuales no se pueden adoptar decisiones importantes no es algo extraño a la legislación actual. Baste señalar como por ejemplo un consumidor que va a comprar una casa con una hipoteca tiene que esperar diez días desde que firma la documentación con el banco (art. 14 de la Ley 5/2019 de 15 de marzo, reguladora de los contratos de crédito inmobiliario), y este plazo de reflexión, que es irrenunciable e indisponible (art. 3 de la Ley reguladora de los contratos de crédito inmobiliario.), tiene por finalidad que el consumidor comprenda lo que va a firmar; no por ello el legislador infantiliza al consumidor ni se le desincentiva a firmar la hipoteca, lo que se intenta es simplemente que tenga toda la información posible y todo ello con la finalidad de garantizar su protección.</w:t>
      </w:r>
    </w:p>
    <w:p w14:paraId="7140F73A" w14:textId="77777777" w:rsidR="009D7677" w:rsidRDefault="009D7677" w:rsidP="009D7677">
      <w:pPr>
        <w:pStyle w:val="TextoNormal"/>
      </w:pPr>
    </w:p>
    <w:p w14:paraId="57BB5BEC" w14:textId="77777777" w:rsidR="009D7677" w:rsidRDefault="009D7677" w:rsidP="009D7677">
      <w:pPr>
        <w:pStyle w:val="TextoNormal"/>
      </w:pPr>
      <w:r>
        <w:t xml:space="preserve">Es más, la existencia de un plazo entre el consentimiento informado y una intervención médica es algo inherente a cualquier procedimiento médico que no sea de carácter urgente </w:t>
      </w:r>
      <w:r>
        <w:lastRenderedPageBreak/>
        <w:t>e inmediato. Se trata de un plazo de maduración o de reflexión, no un plazo que pretenda forzar una modificación en la voluntad del paciente.</w:t>
      </w:r>
    </w:p>
    <w:p w14:paraId="3C680F18" w14:textId="77777777" w:rsidR="009D7677" w:rsidRDefault="009D7677" w:rsidP="009D7677">
      <w:pPr>
        <w:pStyle w:val="TextoNormal"/>
      </w:pPr>
    </w:p>
    <w:p w14:paraId="07F413A4" w14:textId="77777777" w:rsidR="009D7677" w:rsidRDefault="009D7677" w:rsidP="009D7677">
      <w:pPr>
        <w:pStyle w:val="TextoNormal"/>
      </w:pPr>
      <w:r>
        <w:t>Es cierto que la ley de autonomía del paciente estatal (Ley 41/2002, de 14 de noviembre) no establece un plazo de reflexión en las intervenciones médicas, pero sí lo establecen algunas normas autonómicas, por ejemplo, la Ley 10/2014, de 29 de diciembre, de salud de la Comunidad Valenciana que en su art. 43. 9 dispone que la información previa al consentimiento se facilitará con la antelación suficiente y, en todo caso, al menos veinticuatro horas antes del procedimiento correspondiente, siempre que no se trate de actividades urgentes; y también el Real Decreto 1723/2012, de 28 de diciembre, por el que se regulan las actividades de obtención, utilización clínica y coordinación territorial de los órganos humanos destinados al trasplante y se establecen requisitos de calidad y seguridad, establece en su art. 8.6 que para proceder a la extracción de órganos de donante vivo, el interesado deberá otorgar por escrito su consentimiento expreso ante el juez y que entre la firma del documento de cesión del órgano y la extracción del mismo deberán transcurrir al menos veinticuatro horas.</w:t>
      </w:r>
    </w:p>
    <w:p w14:paraId="1F0412CB" w14:textId="77777777" w:rsidR="009D7677" w:rsidRDefault="009D7677" w:rsidP="009D7677">
      <w:pPr>
        <w:pStyle w:val="TextoNormal"/>
      </w:pPr>
    </w:p>
    <w:p w14:paraId="38FB19DD" w14:textId="77777777" w:rsidR="009D7677" w:rsidRDefault="009D7677" w:rsidP="009D7677">
      <w:pPr>
        <w:pStyle w:val="TextoNormal"/>
      </w:pPr>
      <w:r>
        <w:t>Incluso en algunos supuestos los órganos jurisdiccionales no dan por válido un consentimiento informado dado justo antes de entrar a quirófano, porque así lo que se busca precisamente es únicamente una firma con que autorice la intervención (por ejemplo, la sentencia del Tribunal Superior de Justicia del Principado de Asturias 1063/2007, de 19 de julio).</w:t>
      </w:r>
    </w:p>
    <w:p w14:paraId="10113A41" w14:textId="77777777" w:rsidR="009D7677" w:rsidRDefault="009D7677" w:rsidP="009D7677">
      <w:pPr>
        <w:pStyle w:val="TextoNormal"/>
      </w:pPr>
    </w:p>
    <w:p w14:paraId="55D90564" w14:textId="77777777" w:rsidR="009D7677" w:rsidRDefault="009D7677" w:rsidP="009D7677">
      <w:pPr>
        <w:pStyle w:val="TextoNormal"/>
      </w:pPr>
      <w:r>
        <w:t>(ii) Por otro lado, en lo que atañe a la información que se tiene que dar a una mujer embarazada no podemos olvidar, como la propia sentencia admite, que la interrupción voluntaria del embarazo es un acto de “extraordinaria trascendencia”, y precisamente es esa trascendencia la que conlleva la necesidad de que la mujer embarazada tenga información sobre todos los aspectos vinculados a la interrupción del embarazo, y no solo sobre los aspectos “médicos”.</w:t>
      </w:r>
    </w:p>
    <w:p w14:paraId="72DE7936" w14:textId="77777777" w:rsidR="009D7677" w:rsidRDefault="009D7677" w:rsidP="009D7677">
      <w:pPr>
        <w:pStyle w:val="TextoNormal"/>
      </w:pPr>
    </w:p>
    <w:p w14:paraId="78B84BE2" w14:textId="77777777" w:rsidR="009D7677" w:rsidRDefault="009D7677" w:rsidP="009D7677">
      <w:pPr>
        <w:pStyle w:val="TextoNormal"/>
      </w:pPr>
      <w:r>
        <w:t>Además, no puede desconocerse que en todo procedimiento médico la información sanitaria debe incluir alternativas razonables a dicho procedimiento, o, en palabras del Tribunal Supremo la “paciente ha de asumir la existencia de diferentes escenarios al tratamiento” [STS de 2 de enero de 2012, FJ 5 (ECLI:ES:TS:2012:2)], lo que en este supuesto conlleva la necesidad de suministrar también información sobre las prestaciones y ayudas públicas de apoyo a la maternidad.</w:t>
      </w:r>
    </w:p>
    <w:p w14:paraId="3E02610D" w14:textId="77777777" w:rsidR="009D7677" w:rsidRDefault="009D7677" w:rsidP="009D7677">
      <w:pPr>
        <w:pStyle w:val="TextoNormal"/>
      </w:pPr>
    </w:p>
    <w:p w14:paraId="7FDB64DD" w14:textId="77777777" w:rsidR="009D7677" w:rsidRDefault="009D7677" w:rsidP="009D7677">
      <w:pPr>
        <w:pStyle w:val="TextoNormal"/>
      </w:pPr>
      <w:r>
        <w:t>(iii) Esta disminución de las garantías del consentimiento informado se ve acrecentada desde el momento en que la norma impugnada admite ahora la posibilidad de que la información se ofrezca a la mujer embarazada de forma “verbal” si así lo solicita.</w:t>
      </w:r>
    </w:p>
    <w:p w14:paraId="48565A98" w14:textId="77777777" w:rsidR="009D7677" w:rsidRDefault="009D7677" w:rsidP="009D7677">
      <w:pPr>
        <w:pStyle w:val="TextoNormal"/>
      </w:pPr>
    </w:p>
    <w:p w14:paraId="1641F9E2" w14:textId="77777777" w:rsidR="009D7677" w:rsidRDefault="009D7677" w:rsidP="009D7677">
      <w:pPr>
        <w:pStyle w:val="TextoNormal"/>
      </w:pPr>
      <w:r>
        <w:t>Entiende la sentencia que la mujer embarazada puede elegir, en el ejercicio de su autonomía personal, “el formato en que desea recibir la información legalmente prevista”. Pero con esta aseveración se olvida que la forma de recibir la información o de prestar el consentimiento no es una cuestión que dependa de una opción personal, sino de las circunstancias concretas y de las exigencias que deriven de la regulación legal.</w:t>
      </w:r>
    </w:p>
    <w:p w14:paraId="5DD5A3AA" w14:textId="77777777" w:rsidR="009D7677" w:rsidRDefault="009D7677" w:rsidP="009D7677">
      <w:pPr>
        <w:pStyle w:val="TextoNormal"/>
      </w:pPr>
    </w:p>
    <w:p w14:paraId="410D7701" w14:textId="77777777" w:rsidR="009D7677" w:rsidRDefault="009D7677" w:rsidP="009D7677">
      <w:pPr>
        <w:pStyle w:val="TextoNormal"/>
      </w:pPr>
      <w:r>
        <w:lastRenderedPageBreak/>
        <w:t>Estamos ante intervenciones médicas y no podemos olvidar que el art. 8.2 de la Ley de autonomía del paciente (Ley 41/2002) indica de forma imperativa que el consentimiento se prestará por escrito cuando se trate de una intervención quirúrgica, y procedimientos diagnósticos y terapéuticos invasores y, en general, de procedimientos que suponen riesgos o inconvenientes de notoria y previsible repercusión negativa sobre la salud del paciente.</w:t>
      </w:r>
    </w:p>
    <w:p w14:paraId="2971E015" w14:textId="77777777" w:rsidR="009D7677" w:rsidRDefault="009D7677" w:rsidP="009D7677">
      <w:pPr>
        <w:pStyle w:val="TextoNormal"/>
      </w:pPr>
    </w:p>
    <w:p w14:paraId="19029B59" w14:textId="77777777" w:rsidR="009D7677" w:rsidRDefault="009D7677" w:rsidP="009D7677">
      <w:pPr>
        <w:pStyle w:val="TextoNormal"/>
      </w:pPr>
      <w:r>
        <w:t>Ante un acto con la trascendencia y consecuencias que conlleva la interrupción voluntaria del embarazo, no es posible entender que la información se dé únicamente de forma verbal, cuando el consentimiento necesariamente debe otorgarse por escrito.</w:t>
      </w:r>
    </w:p>
    <w:p w14:paraId="068B8233" w14:textId="77777777" w:rsidR="009D7677" w:rsidRDefault="009D7677" w:rsidP="009D7677">
      <w:pPr>
        <w:pStyle w:val="TextoNormal"/>
      </w:pPr>
    </w:p>
    <w:p w14:paraId="1AB3CD7A" w14:textId="77777777" w:rsidR="009D7677" w:rsidRDefault="009D7677" w:rsidP="009D7677">
      <w:pPr>
        <w:pStyle w:val="TextoNormal"/>
      </w:pPr>
      <w:r>
        <w:t>Lo que ocurre en definitiva es que el legislador pretende, y el Tribunal Constitucional lo ha admitido, que el consentimiento informado en la interrupción del embarazo se convierta en un trámite rutinario, burocrático, y carente de relevancia. Todo ello afecta a la correcta formación del consentimiento informado, produciéndose a la postre una desprotección de la mujer en contra de los postulados constitucionales, no pudiéndose tampoco entender cumplidas las garantías que derivan del art. 15 CE. Por todo ello, los preceptos impugnados deberían haberse declarado inconstitucionales y nulos.</w:t>
      </w:r>
    </w:p>
    <w:p w14:paraId="370589DA" w14:textId="77777777" w:rsidR="009D7677" w:rsidRDefault="009D7677" w:rsidP="009D7677">
      <w:pPr>
        <w:pStyle w:val="TextoNormal"/>
      </w:pPr>
    </w:p>
    <w:p w14:paraId="3B29A015" w14:textId="77777777" w:rsidR="009D7677" w:rsidRDefault="009D7677" w:rsidP="009D7677">
      <w:pPr>
        <w:pStyle w:val="TextoNormal"/>
      </w:pPr>
      <w:r>
        <w:t xml:space="preserve">5. </w:t>
      </w:r>
      <w:r w:rsidRPr="009D7677">
        <w:rPr>
          <w:i/>
        </w:rPr>
        <w:t>La restricción al libre ejercicio de la libertad de conciencia</w:t>
      </w:r>
    </w:p>
    <w:p w14:paraId="5DF057C4" w14:textId="77777777" w:rsidR="009D7677" w:rsidRDefault="009D7677" w:rsidP="009D7677">
      <w:pPr>
        <w:pStyle w:val="TextoNormal"/>
      </w:pPr>
    </w:p>
    <w:p w14:paraId="183D0E87" w14:textId="77777777" w:rsidR="009D7677" w:rsidRDefault="009D7677" w:rsidP="009D7677">
      <w:pPr>
        <w:pStyle w:val="TextoNormal"/>
      </w:pPr>
      <w:r>
        <w:t>Por último, y en relación con la exclusión de los profesionales sanitarios objetores de conciencia de la composición de los comités clínicos, durante los tres años siguientes a la revocación de la declaración de objeción de conciencia, debe decirse que la sentencia se ha limitado a afirmar sin explicación alguna que el plazo se ha de considerar también como razonable, en atención a la trascendencia que tienen las decisiones dirigidas primero a ejercer la objeción de conciencia y posteriormente a revocar dicha declaración de voluntad.</w:t>
      </w:r>
    </w:p>
    <w:p w14:paraId="68B69CB5" w14:textId="77777777" w:rsidR="009D7677" w:rsidRDefault="009D7677" w:rsidP="009D7677">
      <w:pPr>
        <w:pStyle w:val="TextoNormal"/>
      </w:pPr>
    </w:p>
    <w:p w14:paraId="3B3E7BB3" w14:textId="77777777" w:rsidR="009D7677" w:rsidRDefault="009D7677" w:rsidP="009D7677">
      <w:pPr>
        <w:pStyle w:val="TextoNormal"/>
      </w:pPr>
      <w:r>
        <w:t>Esta motivación, a la luz de las exigencias que derivan del derecho a la libertad ideológica y religiosa del art. 16.1 es insuficiente. Una vez que una persona ha revocado su declaración de objeción de conciencia no existe ninguna justificación razonable por la que no pueda formar parte de un comité clínico, de modo que su exclusión conlleva una restricción injustificada al ejercicio legítimo de su derecho a la objeción de conciencia que queda así afectado, con vulneración del art. 16.1 CE.</w:t>
      </w:r>
    </w:p>
    <w:p w14:paraId="44C6B34A" w14:textId="77777777" w:rsidR="009D7677" w:rsidRDefault="009D7677" w:rsidP="009D7677">
      <w:pPr>
        <w:pStyle w:val="TextoNormal"/>
      </w:pPr>
    </w:p>
    <w:p w14:paraId="3D48A10A" w14:textId="77777777" w:rsidR="009D7677" w:rsidRDefault="009D7677" w:rsidP="009D7677">
      <w:pPr>
        <w:pStyle w:val="TextoNormal"/>
      </w:pPr>
      <w:r>
        <w:t>Y en este sentido emito mi voto particular.</w:t>
      </w:r>
    </w:p>
    <w:p w14:paraId="69D3CFA1" w14:textId="77777777" w:rsidR="009D7677" w:rsidRDefault="009D7677" w:rsidP="009D7677">
      <w:pPr>
        <w:pStyle w:val="TextoNormal"/>
      </w:pPr>
    </w:p>
    <w:p w14:paraId="13065DAE" w14:textId="620044EB" w:rsidR="009D7677" w:rsidRDefault="009D7677" w:rsidP="009D7677">
      <w:pPr>
        <w:pStyle w:val="TextoNormal"/>
      </w:pPr>
      <w:r>
        <w:t>Madrid, a veinte de junio de dos mil veinticuatro.</w:t>
      </w:r>
    </w:p>
    <w:p w14:paraId="799E9776" w14:textId="5C9DEDD9" w:rsidR="009D7677" w:rsidRDefault="009D7677">
      <w:pPr>
        <w:spacing w:after="160" w:line="259" w:lineRule="auto"/>
        <w:rPr>
          <w:rFonts w:ascii="Times New Roman" w:eastAsia="Times New Roman" w:hAnsi="Times New Roman" w:cs="Times New Roman"/>
          <w:sz w:val="24"/>
          <w:szCs w:val="24"/>
          <w:lang w:eastAsia="es-ES"/>
        </w:rPr>
      </w:pPr>
      <w:r>
        <w:br w:type="page"/>
      </w:r>
    </w:p>
    <w:p w14:paraId="3E5B1A71" w14:textId="77777777" w:rsidR="009D7677" w:rsidRDefault="009D7677" w:rsidP="009D7677">
      <w:pPr>
        <w:pStyle w:val="TtuloResolucin"/>
      </w:pPr>
      <w:bookmarkStart w:id="95" w:name="SENTENCIA_2024_93"/>
      <w:r>
        <w:lastRenderedPageBreak/>
        <w:t>SENTENCIA 93/2024, de 19 de junio de 2024</w:t>
      </w:r>
    </w:p>
    <w:bookmarkEnd w:id="95"/>
    <w:p w14:paraId="1D93419D" w14:textId="77777777" w:rsidR="009D7677" w:rsidRDefault="009D7677" w:rsidP="009D7677">
      <w:pPr>
        <w:pStyle w:val="TtuloResolucin"/>
      </w:pPr>
      <w:r>
        <w:t>Pleno</w:t>
      </w:r>
    </w:p>
    <w:p w14:paraId="4094A257" w14:textId="77777777" w:rsidR="009D7677" w:rsidRDefault="009D7677" w:rsidP="009D7677">
      <w:pPr>
        <w:pStyle w:val="TtuloBOE"/>
      </w:pPr>
      <w:r>
        <w:t>(BOE núm. 179, de 25 de julio de 2024)</w:t>
      </w:r>
    </w:p>
    <w:p w14:paraId="5A18096A" w14:textId="77777777" w:rsidR="009D7677" w:rsidRDefault="009D7677" w:rsidP="009D7677">
      <w:pPr>
        <w:pStyle w:val="TextoNormalCentrado"/>
      </w:pPr>
      <w:r>
        <w:t>ECLI:ES:TC:2024:93</w:t>
      </w:r>
    </w:p>
    <w:p w14:paraId="58791485" w14:textId="71475F18" w:rsidR="009D7677" w:rsidRDefault="009D7677" w:rsidP="009D7677">
      <w:pPr>
        <w:pStyle w:val="TextoNormalCentrado"/>
      </w:pPr>
    </w:p>
    <w:p w14:paraId="21392C9D" w14:textId="77777777" w:rsidR="009D7677" w:rsidRDefault="009D7677" w:rsidP="009D7677">
      <w:pPr>
        <w:pStyle w:val="SntesisDescriptiva"/>
      </w:pPr>
      <w:r>
        <w:t>Recurso de amparo 6971-2022. Promovido por doña Magdalena Álvarez Arza respecto de las sentencias dictadas por la Sala de lo Penal del Tribunal Supremo y la Audiencia Provincial de Sevilla que le condenaron por un delito continuado de prevaricación.</w:t>
      </w:r>
    </w:p>
    <w:p w14:paraId="56685B86" w14:textId="7C8BFB6B" w:rsidR="009D7677" w:rsidRDefault="009D7677" w:rsidP="009D7677">
      <w:pPr>
        <w:pStyle w:val="SntesisDescriptiva"/>
      </w:pPr>
    </w:p>
    <w:p w14:paraId="132C5CC1" w14:textId="77777777" w:rsidR="009D7677" w:rsidRDefault="009D7677" w:rsidP="009D7677">
      <w:pPr>
        <w:pStyle w:val="SntesisAnaltica"/>
      </w:pPr>
      <w:r>
        <w:t>Vulneración del derecho a la legalidad penal: condena penal basada en una interpretación del todo imprevisible del tipo objetivo. Votos particulares.</w:t>
      </w:r>
    </w:p>
    <w:p w14:paraId="7380DD2D" w14:textId="31B1F5B8" w:rsidR="009D7677" w:rsidRDefault="009D7677" w:rsidP="009D7677">
      <w:pPr>
        <w:pStyle w:val="SntesisAnaltica"/>
      </w:pPr>
    </w:p>
    <w:p w14:paraId="5F925214" w14:textId="0B63C5CD" w:rsidR="009D7677" w:rsidRDefault="009D7677" w:rsidP="009D7677">
      <w:pPr>
        <w:pStyle w:val="Extracto"/>
      </w:pPr>
      <w:r>
        <w:t>1.</w:t>
      </w:r>
      <w:r>
        <w:tab/>
        <w:t xml:space="preserve">El examen de la razonabilidad de la subsunción de los hechos probados en la norma penal tiene como primer criterio el respeto al tenor literal de la norma y la consiguiente prohibición de la analogía </w:t>
      </w:r>
      <w:r w:rsidRPr="009D7677">
        <w:rPr>
          <w:i/>
        </w:rPr>
        <w:t>in malam partem</w:t>
      </w:r>
      <w:r>
        <w:t xml:space="preserve"> [FJ 3].</w:t>
      </w:r>
    </w:p>
    <w:p w14:paraId="06E8D771" w14:textId="77777777" w:rsidR="009D7677" w:rsidRDefault="009D7677" w:rsidP="009D7677">
      <w:pPr>
        <w:pStyle w:val="Extracto"/>
      </w:pPr>
    </w:p>
    <w:p w14:paraId="2802B52E" w14:textId="5C54C320" w:rsidR="009D7677" w:rsidRDefault="009D7677" w:rsidP="009D7677">
      <w:pPr>
        <w:pStyle w:val="Extracto"/>
      </w:pPr>
      <w:r>
        <w:t>2.</w:t>
      </w:r>
      <w:r>
        <w:tab/>
        <w:t>Son constitucionalmente rechazables las aplicaciones de preceptos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o 262/2006) [FJ 3].</w:t>
      </w:r>
    </w:p>
    <w:p w14:paraId="7FA300B3" w14:textId="77777777" w:rsidR="009D7677" w:rsidRDefault="009D7677" w:rsidP="009D7677">
      <w:pPr>
        <w:pStyle w:val="Extracto"/>
      </w:pPr>
    </w:p>
    <w:p w14:paraId="3727E321" w14:textId="6C97D037" w:rsidR="009D7677" w:rsidRDefault="009D7677" w:rsidP="009D7677">
      <w:pPr>
        <w:pStyle w:val="Extracto"/>
      </w:pPr>
      <w:r>
        <w:t>3.</w:t>
      </w:r>
      <w:r>
        <w:tab/>
        <w:t>La elaboración y aprobación de los presupuestos constituye un instrumento esencial de control de la acción del Gobierno, pues el debate presupuestario es el modo de someter públicamente a crítica la actuación política del Ejecutivo y de su programa. Y la ley de presupuestos, al habilitar al Ejecutivo para la realización de los gastos en ella previstos, va más allá de establecer el marco de la legalidad de actuación administrativa pues incide en las relaciones entre el Poder Legislativo y el Poder Ejecutivo, al ser el instrumento que cohonesta la acción del Parlamento y el Gobierno en lo referente al gasto público [FJ 4].</w:t>
      </w:r>
    </w:p>
    <w:p w14:paraId="10A269A6" w14:textId="77777777" w:rsidR="009D7677" w:rsidRDefault="009D7677" w:rsidP="009D7677">
      <w:pPr>
        <w:pStyle w:val="Extracto"/>
      </w:pPr>
    </w:p>
    <w:p w14:paraId="5A0BCE35" w14:textId="3B6DF138" w:rsidR="009D7677" w:rsidRDefault="009D7677" w:rsidP="009D7677">
      <w:pPr>
        <w:pStyle w:val="Extracto"/>
      </w:pPr>
      <w:r>
        <w:t>4.</w:t>
      </w:r>
      <w:r>
        <w:tab/>
        <w:t>La existencia de vicios durante la tramitación de los proyectos normativos puede afectar a la validez de la norma resultante si las irregularidades que se han producido en el procedimiento han podido afectar al proceso de formación de la voluntad de la Cámara (SSTC 108/1986 o 89/2019) [FJ 4].</w:t>
      </w:r>
    </w:p>
    <w:p w14:paraId="0F2B6AB6" w14:textId="77777777" w:rsidR="009D7677" w:rsidRDefault="009D7677" w:rsidP="009D7677">
      <w:pPr>
        <w:pStyle w:val="Extracto"/>
      </w:pPr>
    </w:p>
    <w:p w14:paraId="403F0F6C" w14:textId="0027EA45" w:rsidR="009D7677" w:rsidRDefault="009D7677" w:rsidP="009D7677">
      <w:pPr>
        <w:pStyle w:val="Extracto"/>
      </w:pPr>
      <w:r>
        <w:t>5.</w:t>
      </w:r>
      <w:r>
        <w:tab/>
        <w:t>La prerrogativa del Poder Ejecutivo de presentar proyectos de ley es un acto político que se incardina dentro de las funciones de gobierno que la Constitución le atribuye; por este motivo, este tipo de actos tienen una naturaleza jurídica diferente de aquellos que adopta el Gobierno en el ejercicio de sus funciones administrativas que son objeto de control por los tribunales [FJ 4].</w:t>
      </w:r>
    </w:p>
    <w:p w14:paraId="78A6F3F7" w14:textId="77777777" w:rsidR="009D7677" w:rsidRDefault="009D7677" w:rsidP="009D7677">
      <w:pPr>
        <w:pStyle w:val="Extracto"/>
      </w:pPr>
    </w:p>
    <w:p w14:paraId="52B152F0" w14:textId="601D1027" w:rsidR="009D7677" w:rsidRDefault="009D7677" w:rsidP="009D7677">
      <w:pPr>
        <w:pStyle w:val="Extracto"/>
      </w:pPr>
      <w:r>
        <w:t>6.</w:t>
      </w:r>
      <w:r>
        <w:tab/>
        <w:t>El proyecto cuyo contenido contraviene la normativa existente mientras que es proyecto no puede someterse a un juicio de legalidad —en ese momento es un acto inexistente para el Derecho— y, una vez que se ha aprobado, al haberse convertido en ley, el único juicio que cabe es el de constitucionalidad [FJ 4].</w:t>
      </w:r>
    </w:p>
    <w:p w14:paraId="210BC829" w14:textId="77777777" w:rsidR="009D7677" w:rsidRDefault="009D7677" w:rsidP="009D7677">
      <w:pPr>
        <w:pStyle w:val="Extracto"/>
      </w:pPr>
    </w:p>
    <w:p w14:paraId="681A7F65" w14:textId="51721023" w:rsidR="009D7677" w:rsidRDefault="009D7677" w:rsidP="009D7677">
      <w:pPr>
        <w:pStyle w:val="Extracto"/>
      </w:pPr>
      <w:r>
        <w:lastRenderedPageBreak/>
        <w:t>7.</w:t>
      </w:r>
      <w:r>
        <w:tab/>
        <w:t>La ley no incurre en arbitrariedad por modificar el régimen jurídico referido a un sector de la realidad, ya que lo contrario supondría constreñir indebidamente la legítima opción del legislador de modificar la regulación jurídica de una determinada materia; y conduciría, en última instancia, a la petrificación de cualquier régimen normativo tan pronto se hubiera dictado una sentencia aplicando el régimen jurídico precedente (STC 73/2000) [FJ 4].</w:t>
      </w:r>
    </w:p>
    <w:p w14:paraId="178DF6CC" w14:textId="77777777" w:rsidR="009D7677" w:rsidRDefault="009D7677" w:rsidP="009D7677">
      <w:pPr>
        <w:pStyle w:val="Extracto"/>
      </w:pPr>
    </w:p>
    <w:p w14:paraId="468FA5E4" w14:textId="4F44B87D" w:rsidR="009D7677" w:rsidRDefault="009D7677" w:rsidP="009D7677">
      <w:pPr>
        <w:pStyle w:val="Extracto"/>
      </w:pPr>
      <w:r>
        <w:t>8.</w:t>
      </w:r>
      <w:r>
        <w:tab/>
        <w:t>No cabe considerar que las decisiones adoptadas en el procedimiento de elaboración del proyecto de ley de presupuestos puedan ser calificadas como “resoluciones” recaídas en “asunto administrativo”. Son actos propios de la función de gobierno en sentido estricto, pues es una prerrogativa que corresponde al Gobierno en virtud de su posición institucional, no a la organización a su servicio, que es la administración pública [FJ 4].</w:t>
      </w:r>
    </w:p>
    <w:p w14:paraId="5FECDF20" w14:textId="77777777" w:rsidR="009D7677" w:rsidRDefault="009D7677" w:rsidP="009D7677">
      <w:pPr>
        <w:pStyle w:val="Extracto"/>
      </w:pPr>
    </w:p>
    <w:p w14:paraId="38C10355" w14:textId="42BB4D92" w:rsidR="009D7677" w:rsidRDefault="009D7677" w:rsidP="009D7677">
      <w:pPr>
        <w:pStyle w:val="Extracto"/>
      </w:pPr>
      <w:r>
        <w:t>9.</w:t>
      </w:r>
      <w:r>
        <w:tab/>
        <w:t xml:space="preserve">Otorgar eficacia jurídica </w:t>
      </w:r>
      <w:r w:rsidRPr="009D7677">
        <w:rPr>
          <w:i/>
        </w:rPr>
        <w:t xml:space="preserve">ad extra </w:t>
      </w:r>
      <w:r>
        <w:t>a un proyecto de ley es incompatible con la naturaleza de este tipo de actos [FJ 4].</w:t>
      </w:r>
    </w:p>
    <w:p w14:paraId="0171D7DF" w14:textId="77777777" w:rsidR="009D7677" w:rsidRDefault="009D7677" w:rsidP="009D7677">
      <w:pPr>
        <w:pStyle w:val="Extracto"/>
      </w:pPr>
    </w:p>
    <w:p w14:paraId="6BBD6B4A" w14:textId="1E96EA4B" w:rsidR="009D7677" w:rsidRDefault="009D7677" w:rsidP="009D7677">
      <w:pPr>
        <w:pStyle w:val="Extracto"/>
      </w:pPr>
      <w:r>
        <w:t>10.</w:t>
      </w:r>
      <w:r>
        <w:tab/>
        <w:t>No es conforme con la Constitución negar eficacia al programa presupuestario aprobado por el Parlamento con naturaleza de ley y que, como tal, tiene efectos generales; no puede dejar de aplicarse una ley en vigor [FJ 4].</w:t>
      </w:r>
    </w:p>
    <w:p w14:paraId="2E0F860B" w14:textId="77777777" w:rsidR="009D7677" w:rsidRDefault="009D7677" w:rsidP="009D7677">
      <w:pPr>
        <w:pStyle w:val="Extracto"/>
      </w:pPr>
    </w:p>
    <w:p w14:paraId="49400702" w14:textId="304BF6F7" w:rsidR="009D7677" w:rsidRDefault="009D7677" w:rsidP="009D7677">
      <w:pPr>
        <w:pStyle w:val="Extracto"/>
      </w:pPr>
      <w:r>
        <w:t>11.</w:t>
      </w:r>
      <w:r>
        <w:tab/>
        <w:t>La lesión del derecho fundamental a la legalidad penal (art. 25.1 CE) se produce cuando los órganos judiciales efectúan una interpretación y subsunción de los hechos en la norma penal que no se corresponde con la interpretación de los elementos típicos comúnmente aceptada por la comunidad jurídica —es incompatible con el sistema institucional constitucional y estatutariamente previsto—; y que incurre en manifiestas quiebras lógicas en la argumentación [FJ 5].</w:t>
      </w:r>
    </w:p>
    <w:p w14:paraId="33460465" w14:textId="77777777" w:rsidR="009D7677" w:rsidRDefault="009D7677" w:rsidP="009D7677">
      <w:pPr>
        <w:pStyle w:val="Extracto"/>
      </w:pPr>
    </w:p>
    <w:p w14:paraId="48A466C7" w14:textId="77777777" w:rsidR="009D7677" w:rsidRDefault="009D7677" w:rsidP="009D7677">
      <w:pPr>
        <w:pStyle w:val="Extracto"/>
      </w:pPr>
    </w:p>
    <w:p w14:paraId="2DD34E61" w14:textId="77777777" w:rsidR="009D7677" w:rsidRDefault="009D7677" w:rsidP="009D7677">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3945E2FC" w14:textId="2C9A12E3" w:rsidR="009D7677" w:rsidRDefault="009D7677" w:rsidP="009D7677">
      <w:pPr>
        <w:pStyle w:val="TextoNormal"/>
      </w:pPr>
    </w:p>
    <w:p w14:paraId="10D4C2F7" w14:textId="77777777" w:rsidR="009D7677" w:rsidRDefault="009D7677" w:rsidP="009D7677">
      <w:pPr>
        <w:pStyle w:val="TextoNormalCentrado"/>
        <w:keepNext/>
      </w:pPr>
      <w:r>
        <w:t>EN NOMBRE DEL REY</w:t>
      </w:r>
    </w:p>
    <w:p w14:paraId="274E3668" w14:textId="7E8A0AFF" w:rsidR="009D7677" w:rsidRDefault="009D7677" w:rsidP="009D7677">
      <w:pPr>
        <w:pStyle w:val="TextoNormalCentrado"/>
        <w:keepNext/>
      </w:pPr>
    </w:p>
    <w:p w14:paraId="07B51B9A" w14:textId="77777777" w:rsidR="009D7677" w:rsidRDefault="009D7677" w:rsidP="009D7677">
      <w:pPr>
        <w:pStyle w:val="TextoNormalCentrado"/>
        <w:keepNext/>
      </w:pPr>
    </w:p>
    <w:p w14:paraId="37D38E6A" w14:textId="77777777" w:rsidR="009D7677" w:rsidRDefault="009D7677" w:rsidP="009D7677">
      <w:pPr>
        <w:pStyle w:val="TextoNormal"/>
      </w:pPr>
      <w:r>
        <w:t>la siguiente</w:t>
      </w:r>
    </w:p>
    <w:p w14:paraId="1F767035" w14:textId="1DBB5C60" w:rsidR="009D7677" w:rsidRDefault="009D7677" w:rsidP="009D7677">
      <w:pPr>
        <w:pStyle w:val="TextoNormal"/>
      </w:pPr>
    </w:p>
    <w:p w14:paraId="6FFDB0D9" w14:textId="77777777" w:rsidR="009D7677" w:rsidRDefault="009D7677" w:rsidP="009D7677">
      <w:pPr>
        <w:pStyle w:val="TextoNormalCentrado"/>
        <w:keepNext/>
      </w:pPr>
      <w:r>
        <w:t>SENTENCIA</w:t>
      </w:r>
    </w:p>
    <w:p w14:paraId="5AD59A08" w14:textId="4F830257" w:rsidR="009D7677" w:rsidRDefault="009D7677" w:rsidP="009D7677">
      <w:pPr>
        <w:pStyle w:val="TextoNormalCentrado"/>
        <w:keepNext/>
      </w:pPr>
    </w:p>
    <w:p w14:paraId="0F4136AF" w14:textId="77777777" w:rsidR="009D7677" w:rsidRDefault="009D7677" w:rsidP="009D7677">
      <w:pPr>
        <w:pStyle w:val="TextoNormal"/>
      </w:pPr>
      <w:r>
        <w:t xml:space="preserve">En el recurso de amparo núm. 6971-2022, promovido por doña Magdalena Álvarez Arza, representada por el procurador de los tribunales don Manuel Ignacio Pérez Espina, bajo la dirección letrada de don Rafael Alcácer Guirao, contra la sentencia núm. 490/2019, de 19 de noviembre, dictada por la Sección Primera de la Audiencia Provincial de Sevilla </w:t>
      </w:r>
      <w:r>
        <w:lastRenderedPageBreak/>
        <w:t>en el rollo núm. 1965-2017, dimanante del procedimiento abreviado núm. 133-2016; y la sentencia núm. 749/2022, de 13 de septiembre, de la Sala de lo Penal del Tribunal Supremo, dictada en el recurso de casación núm. 601-2020 que la confirmó. Han sido parte el Partido Popular, representado por el procurador de los tribunales don Manuel Sánchez-Puelles y González-Carvajal, bajo la dirección técnica de los letrados don Ángel Márquez Prieto y don Alfonso Martínez Escribano; don Gaspar Zarrías Arévalo, representado por la procuradora de los tribunales doña Virginia Aragón Segura, bajo la dirección técnica del letrado don Gonzalo Martínez-Fresneda Ortiz de Solórzano; don Francisco Vallejo Serrano, representado por la procuradora de los tribunales doña Patricia Rosch Iglesias, bajo la dirección técnica de la letrada doña Encarnación Molino Barrero; don Jesús María Rodríguez Román, representado por la procuradora de los tribunales doña Patricia Rosch Iglesias, bajo la dirección técnica del letrado don Luis Aparicio Díaz; don Antonio Vicente Lozano Peña y don José Antonio Griñán Martínez, representados por el procurador de los tribunales don Roberto Granizo Palomeque, bajo la dirección técnica del letrado don José María Calero Martínez; y doña Carmen Martínez Aguayo, representada por la procuradora de los tribunales doña Olga Coca Alonso, bajo la dirección técnica del letrado don Víctor Moreno Catena. Ha intervenido el Ministerio Fiscal. Ha sido ponente la magistrada doña Inmaculada Montalbán Huertas.</w:t>
      </w:r>
    </w:p>
    <w:p w14:paraId="0DA7B2AA" w14:textId="4A934815" w:rsidR="009D7677" w:rsidRDefault="009D7677" w:rsidP="009D7677">
      <w:pPr>
        <w:pStyle w:val="TextoNormal"/>
      </w:pPr>
    </w:p>
    <w:p w14:paraId="14A84B75" w14:textId="77777777" w:rsidR="009D7677" w:rsidRDefault="009D7677" w:rsidP="009D7677">
      <w:pPr>
        <w:pStyle w:val="TextoNormalNegritaCentrado"/>
        <w:keepNext/>
      </w:pPr>
      <w:r>
        <w:t>I. Antecedentes</w:t>
      </w:r>
    </w:p>
    <w:p w14:paraId="46E9E1F6" w14:textId="158E7196" w:rsidR="009D7677" w:rsidRDefault="009D7677" w:rsidP="009D7677">
      <w:pPr>
        <w:pStyle w:val="TextoNormalNegritaCentrado"/>
        <w:keepNext/>
      </w:pPr>
    </w:p>
    <w:p w14:paraId="3A58B0E1" w14:textId="7FBE0A12" w:rsidR="009D7677" w:rsidRDefault="009D7677" w:rsidP="009D7677">
      <w:pPr>
        <w:pStyle w:val="TextoNormal"/>
      </w:pPr>
      <w:r w:rsidRPr="009D7677">
        <w:rPr>
          <w:rStyle w:val="NumeroAFNegritaCaracter"/>
        </w:rPr>
        <w:t>1</w:t>
      </w:r>
      <w:r>
        <w:t>. El procurador de los tribunales don Manuel Ignacio Pérez Espina, en nombre y representación de doña Magdalena Álvarez Arza, bajo la dirección letrada de don Rafael Alcácer Guirao, interpuso recurso de amparo contra las resoluciones judiciales que se mencionan en el encabezamiento de esta sentencia mediante escrito registrado en este tribunal el 26 de octubre de 2022.</w:t>
      </w:r>
    </w:p>
    <w:p w14:paraId="51483CFF" w14:textId="77777777" w:rsidR="009D7677" w:rsidRDefault="009D7677" w:rsidP="009D7677">
      <w:pPr>
        <w:pStyle w:val="TextoNormal"/>
      </w:pPr>
    </w:p>
    <w:p w14:paraId="75BEB19D" w14:textId="77777777" w:rsidR="009D7677" w:rsidRDefault="009D7677" w:rsidP="009D7677">
      <w:pPr>
        <w:pStyle w:val="TextoNormal"/>
      </w:pPr>
      <w:r w:rsidRPr="009D7677">
        <w:rPr>
          <w:rStyle w:val="NumeroAFNegritaCaracter"/>
        </w:rPr>
        <w:t>2</w:t>
      </w:r>
      <w:r>
        <w:t>. Son antecedentes relevantes para su resolución los siguientes:</w:t>
      </w:r>
    </w:p>
    <w:p w14:paraId="2EE78D2E" w14:textId="77777777" w:rsidR="009D7677" w:rsidRDefault="009D7677" w:rsidP="009D7677">
      <w:pPr>
        <w:pStyle w:val="TextoNormal"/>
      </w:pPr>
    </w:p>
    <w:p w14:paraId="2B30CBF4" w14:textId="77777777" w:rsidR="009D7677" w:rsidRDefault="009D7677" w:rsidP="009D7677">
      <w:pPr>
        <w:pStyle w:val="TextoNormal"/>
      </w:pPr>
      <w:r>
        <w:t>a) Por sentencia dictada el 19 de noviembre de 2019, la Sección Primera de la Audiencia Provincial de Sevilla condenó, en el marco de la denominada “pieza específica” del caso “ERE”, a diversos miembros del Gobierno y de la administración de la Junta de Andalucía —incluyendo desde presidentes de la comunidad autónoma a directores generales— por haber intervenido, a lo largo de casi diez años, en el diseño de un sistema de concesión y/o ejecución de ayudas sociolaborales.</w:t>
      </w:r>
    </w:p>
    <w:p w14:paraId="35A9C91B" w14:textId="77777777" w:rsidR="009D7677" w:rsidRDefault="009D7677" w:rsidP="009D7677">
      <w:pPr>
        <w:pStyle w:val="TextoNormal"/>
      </w:pPr>
    </w:p>
    <w:p w14:paraId="556B436A" w14:textId="77777777" w:rsidR="009D7677" w:rsidRDefault="009D7677" w:rsidP="009D7677">
      <w:pPr>
        <w:pStyle w:val="TextoNormal"/>
      </w:pPr>
      <w:r>
        <w:t>Según el resumen efectuado por el Tribunal Supremo en la sentencia de casación (fundamento de Derecho 1, pág. 97 y siguientes), los hechos en los que se habría articulado el sistema de concesión de ayudas sociolaborales se dividirían en tres etapas diferentes:</w:t>
      </w:r>
    </w:p>
    <w:p w14:paraId="785D40C6" w14:textId="77777777" w:rsidR="009D7677" w:rsidRDefault="009D7677" w:rsidP="009D7677">
      <w:pPr>
        <w:pStyle w:val="TextoNormal"/>
      </w:pPr>
    </w:p>
    <w:p w14:paraId="698E9AB7" w14:textId="77777777" w:rsidR="009D7677" w:rsidRDefault="009D7677" w:rsidP="009D7677">
      <w:pPr>
        <w:pStyle w:val="TextoNormal"/>
      </w:pPr>
      <w:r>
        <w:t>“I) Primera etapa</w:t>
      </w:r>
    </w:p>
    <w:p w14:paraId="05E66401" w14:textId="77777777" w:rsidR="009D7677" w:rsidRDefault="009D7677" w:rsidP="009D7677">
      <w:pPr>
        <w:pStyle w:val="TextoNormal"/>
      </w:pPr>
    </w:p>
    <w:p w14:paraId="77BD0AD4" w14:textId="77777777" w:rsidR="009D7677" w:rsidRDefault="009D7677" w:rsidP="009D7677">
      <w:pPr>
        <w:pStyle w:val="TextoNormal"/>
      </w:pPr>
      <w:r>
        <w:t xml:space="preserve">Hasta el año 2000 y para dar respuesta a las situaciones de crisis económicas de empresas radicadas en Andalucía la Junta de Andalucía, a través de los presupuestos que gestionaba la Consejería de Empleo y Desarrollo Tecnológico, articuló un sistema de ayudas para financiar con fondos públicos las primas derivadas de la contratación de pólizas de rentas para trabajadores de dichas empresas que, atendiendo a su edad, les aseguraban un </w:t>
      </w:r>
      <w:r>
        <w:lastRenderedPageBreak/>
        <w:t>nivel de ingresos hasta acceder a la jubilación. Estas ayudas eran complementarias a otras ayudas extraordinarias que se concedían a los trabajadores afectados por procesos de reestructuración de empresas de acuerdo con la legislación estatal (Orden de 5 de octubre de 1994 y Orden de 5 de abril de 1995, del Ministerio de Trabajo y Seguridad Social).</w:t>
      </w:r>
    </w:p>
    <w:p w14:paraId="2615A72B" w14:textId="77777777" w:rsidR="009D7677" w:rsidRDefault="009D7677" w:rsidP="009D7677">
      <w:pPr>
        <w:pStyle w:val="TextoNormal"/>
      </w:pPr>
    </w:p>
    <w:p w14:paraId="2C3CED90" w14:textId="77777777" w:rsidR="009D7677" w:rsidRDefault="009D7677" w:rsidP="009D7677">
      <w:pPr>
        <w:pStyle w:val="TextoNormal"/>
      </w:pPr>
      <w:r>
        <w:t>La aplicación presupuestaria que se utilizaba para clasificar este gasto era la 0.1 13.00.01.00.48100, dentro del programa 22E, relativa a transferencias corrientes a empresas, particulares y entidades sin ánimo de lucro y se tramitaba como una subvención excepcional, sujeta a fiscalización previa.</w:t>
      </w:r>
    </w:p>
    <w:p w14:paraId="1D362F27" w14:textId="77777777" w:rsidR="009D7677" w:rsidRDefault="009D7677" w:rsidP="009D7677">
      <w:pPr>
        <w:pStyle w:val="TextoNormal"/>
      </w:pPr>
    </w:p>
    <w:p w14:paraId="6FB937FE" w14:textId="77777777" w:rsidR="009D7677" w:rsidRDefault="009D7677" w:rsidP="009D7677">
      <w:pPr>
        <w:pStyle w:val="TextoNormal"/>
      </w:pPr>
      <w:r>
        <w:t>Los expedientes para la concesión de estas ayudas se integraban por los siguientes documentos: memoria justificativa, acreditación de la personalidad del solicitante, documento acreditativo de la situación de hecho que amparaba la solicitud (resolución de la autoridad laboral del ERE) y compromisos asumidos para el caso de que variara la situación laboral de los perceptores. La Dirección General de Trabajo elevaba una propuesta de resolución al consejero de Empleo que era el órgano competente para la concesión.</w:t>
      </w:r>
    </w:p>
    <w:p w14:paraId="0C3C054D" w14:textId="77777777" w:rsidR="009D7677" w:rsidRDefault="009D7677" w:rsidP="009D7677">
      <w:pPr>
        <w:pStyle w:val="TextoNormal"/>
      </w:pPr>
    </w:p>
    <w:p w14:paraId="33B33F22" w14:textId="77777777" w:rsidR="009D7677" w:rsidRDefault="009D7677" w:rsidP="009D7677">
      <w:pPr>
        <w:pStyle w:val="TextoNormal"/>
      </w:pPr>
      <w:r>
        <w:t>La sentencia en sus distintos fundamentos jurídicos, singularmente el séptimo, declara que estas ayudas, que suponían la disposición gratuita de fondos públicos en favor de empresas y para conseguir una actuación de interés público o social, tenían la consideración de subvención y estaban sujetas en su concesión a distintas normas, de entre las que cabe destacar el título VII de la Ley 5/1983, de 19 de julio, general de la hacienda pública de la Comunidad Autónoma de Andalucía, el Decreto 254/2001, de 20 de noviembre, por el que se aprobó el Reglamento de concesión de subvenciones de la Junta de Andalucía, y la Ley 38/2003, de 17 de noviembre, general de subvenciones.</w:t>
      </w:r>
    </w:p>
    <w:p w14:paraId="08295176" w14:textId="77777777" w:rsidR="009D7677" w:rsidRDefault="009D7677" w:rsidP="009D7677">
      <w:pPr>
        <w:pStyle w:val="TextoNormal"/>
      </w:pPr>
    </w:p>
    <w:p w14:paraId="4EB6C29B" w14:textId="77777777" w:rsidR="009D7677" w:rsidRDefault="009D7677" w:rsidP="009D7677">
      <w:pPr>
        <w:pStyle w:val="TextoNormal"/>
      </w:pPr>
      <w:r>
        <w:t>Sin perjuicio de ahondar más adelante en el régimen jurídico aplicable a estas ayudas, las notas más relevantes de esta regulación eran las siguientes:</w:t>
      </w:r>
    </w:p>
    <w:p w14:paraId="4E42326B" w14:textId="77777777" w:rsidR="009D7677" w:rsidRDefault="009D7677" w:rsidP="009D7677">
      <w:pPr>
        <w:pStyle w:val="TextoNormal"/>
      </w:pPr>
    </w:p>
    <w:p w14:paraId="380BB729" w14:textId="77777777" w:rsidR="009D7677" w:rsidRDefault="009D7677" w:rsidP="009D7677">
      <w:pPr>
        <w:pStyle w:val="TextoNormal"/>
      </w:pPr>
      <w:r>
        <w:t>El órgano competente para la concesión de las subvenciones era el titular de la Consejería en cuyo ámbito se concedían, siendo necesario el acuerdo del Consejo de Gobierno en subvenciones cuando el gasto fuera superior a 500 millones de pesetas (art. 104 de la Ley 5/1983).</w:t>
      </w:r>
    </w:p>
    <w:p w14:paraId="6FCC789A" w14:textId="77777777" w:rsidR="009D7677" w:rsidRDefault="009D7677" w:rsidP="009D7677">
      <w:pPr>
        <w:pStyle w:val="TextoNormal"/>
      </w:pPr>
    </w:p>
    <w:p w14:paraId="0B41448D" w14:textId="77777777" w:rsidR="009D7677" w:rsidRDefault="009D7677" w:rsidP="009D7677">
      <w:pPr>
        <w:pStyle w:val="TextoNormal"/>
      </w:pPr>
      <w:r>
        <w:t>Los beneficiarios de la subvención quedaban sujetos a las siguientes obligaciones:</w:t>
      </w:r>
    </w:p>
    <w:p w14:paraId="3BC3DF10" w14:textId="77777777" w:rsidR="009D7677" w:rsidRDefault="009D7677" w:rsidP="009D7677">
      <w:pPr>
        <w:pStyle w:val="TextoNormal"/>
      </w:pPr>
    </w:p>
    <w:p w14:paraId="1DDB424E" w14:textId="77777777" w:rsidR="009D7677" w:rsidRDefault="009D7677" w:rsidP="009D7677">
      <w:pPr>
        <w:pStyle w:val="TextoNormal"/>
      </w:pPr>
      <w:r>
        <w:t>(i) Realizar la actividad o adoptar el comportamiento que fundamente la concesión de la subvención en la forma y plazos establecidos;</w:t>
      </w:r>
    </w:p>
    <w:p w14:paraId="2471DA02" w14:textId="77777777" w:rsidR="009D7677" w:rsidRDefault="009D7677" w:rsidP="009D7677">
      <w:pPr>
        <w:pStyle w:val="TextoNormal"/>
      </w:pPr>
    </w:p>
    <w:p w14:paraId="50BA4DB5" w14:textId="77777777" w:rsidR="009D7677" w:rsidRDefault="009D7677" w:rsidP="009D7677">
      <w:pPr>
        <w:pStyle w:val="TextoNormal"/>
      </w:pPr>
      <w:r>
        <w:t>(ii) Justificar ante la entidad concedente o, en su caso, la entidad colaboradora la realización de la actividad o la adopción del comportamiento, así como el cumplimiento de los requisitos y condiciones que determinen la concesión o disfrute de la subvención;</w:t>
      </w:r>
    </w:p>
    <w:p w14:paraId="4770E662" w14:textId="77777777" w:rsidR="009D7677" w:rsidRDefault="009D7677" w:rsidP="009D7677">
      <w:pPr>
        <w:pStyle w:val="TextoNormal"/>
      </w:pPr>
    </w:p>
    <w:p w14:paraId="38F21D40" w14:textId="77777777" w:rsidR="009D7677" w:rsidRDefault="009D7677" w:rsidP="009D7677">
      <w:pPr>
        <w:pStyle w:val="TextoNormal"/>
      </w:pPr>
      <w:r>
        <w:t>(iii) El sometimiento a las actuaciones de comprobación, a efectuar por la entidad concedente o la entidad colaboradora, en su caso, y a las de control financiero que corresponden a la Intervención General de la Junta de Andalucía, en relación con las subvenciones y ayudas concedidas, y a las previstas en la legislación del Tribunal de Cuentas y de la Cámara de Cuentas de Andalucía;</w:t>
      </w:r>
    </w:p>
    <w:p w14:paraId="5EB8BEF3" w14:textId="77777777" w:rsidR="009D7677" w:rsidRDefault="009D7677" w:rsidP="009D7677">
      <w:pPr>
        <w:pStyle w:val="TextoNormal"/>
      </w:pPr>
    </w:p>
    <w:p w14:paraId="0D9DB018" w14:textId="77777777" w:rsidR="009D7677" w:rsidRDefault="009D7677" w:rsidP="009D7677">
      <w:pPr>
        <w:pStyle w:val="TextoNormal"/>
      </w:pPr>
      <w:r>
        <w:t>(iv) Comunicar a la entidad concedente o la entidad colaboradora, en su caso, la obtención de otras subvenciones o ayudas para la misma finalidad, procedentes de cualesquier administraciones o entes públicos o privados, nacionales o internacionales, así como las alteraciones a que se refiere el artículo 110 de la presente ley y</w:t>
      </w:r>
    </w:p>
    <w:p w14:paraId="4657C3BA" w14:textId="77777777" w:rsidR="009D7677" w:rsidRDefault="009D7677" w:rsidP="009D7677">
      <w:pPr>
        <w:pStyle w:val="TextoNormal"/>
      </w:pPr>
    </w:p>
    <w:p w14:paraId="78B9A9E6" w14:textId="77777777" w:rsidR="009D7677" w:rsidRDefault="009D7677" w:rsidP="009D7677">
      <w:pPr>
        <w:pStyle w:val="TextoNormal"/>
      </w:pPr>
      <w:r>
        <w:t>(v) Acreditar, previamente al cobro de la subvención, que se encuentra al corriente de sus obligaciones fiscales y frente a la Seguridad Social, en la forma que se determine por la Consejería de Economía y Hacienda que, asimismo, establecerá los supuestos de exoneración de tal acreditación (artículo 105).</w:t>
      </w:r>
    </w:p>
    <w:p w14:paraId="763B9739" w14:textId="77777777" w:rsidR="009D7677" w:rsidRDefault="009D7677" w:rsidP="009D7677">
      <w:pPr>
        <w:pStyle w:val="TextoNormal"/>
      </w:pPr>
    </w:p>
    <w:p w14:paraId="461FA449" w14:textId="77777777" w:rsidR="009D7677" w:rsidRDefault="009D7677" w:rsidP="009D7677">
      <w:pPr>
        <w:pStyle w:val="TextoNormal"/>
      </w:pPr>
      <w:r>
        <w:t>En defecto de regulación específica, los consejeros correspondientes, antes de proceder a la autorización de los créditos, debían aprobar las bases reguladoras de la concesión, fijando un plazo para la presentación de las solicitudes y de forma excepcional previamente a la autorización de los créditos, las oportunas bases reguladoras de la concesión, que habían de contener el plazo para presentar las solicitudes (artículo 107).</w:t>
      </w:r>
    </w:p>
    <w:p w14:paraId="44220483" w14:textId="77777777" w:rsidR="009D7677" w:rsidRDefault="009D7677" w:rsidP="009D7677">
      <w:pPr>
        <w:pStyle w:val="TextoNormal"/>
      </w:pPr>
    </w:p>
    <w:p w14:paraId="4340485B" w14:textId="77777777" w:rsidR="009D7677" w:rsidRDefault="009D7677" w:rsidP="009D7677">
      <w:pPr>
        <w:pStyle w:val="TextoNormal"/>
      </w:pPr>
      <w:r>
        <w:t>En las bases reguladoras se podía disponer que la entrega fuera realizada por entidades colaboradoras. Las empresas públicas de Andalucía podían ser entidades colaboradoras y también se establecía a su cargo las siguientes obligaciones:</w:t>
      </w:r>
    </w:p>
    <w:p w14:paraId="5C7AE15D" w14:textId="77777777" w:rsidR="009D7677" w:rsidRDefault="009D7677" w:rsidP="009D7677">
      <w:pPr>
        <w:pStyle w:val="TextoNormal"/>
      </w:pPr>
    </w:p>
    <w:p w14:paraId="1C3C8CAA" w14:textId="77777777" w:rsidR="009D7677" w:rsidRDefault="009D7677" w:rsidP="009D7677">
      <w:pPr>
        <w:pStyle w:val="TextoNormal"/>
      </w:pPr>
      <w:r>
        <w:t>(i) Entregar a los beneficiarios los fondos recibidos de acuerdo con los criterios establecidos en las normas reguladoras de la subvención o ayuda;</w:t>
      </w:r>
    </w:p>
    <w:p w14:paraId="7A47FDC3" w14:textId="77777777" w:rsidR="009D7677" w:rsidRDefault="009D7677" w:rsidP="009D7677">
      <w:pPr>
        <w:pStyle w:val="TextoNormal"/>
      </w:pPr>
    </w:p>
    <w:p w14:paraId="2691CF8B" w14:textId="77777777" w:rsidR="009D7677" w:rsidRDefault="009D7677" w:rsidP="009D7677">
      <w:pPr>
        <w:pStyle w:val="TextoNormal"/>
      </w:pPr>
      <w:r>
        <w:t>(ii) Verificar, en su caso, el cumplimiento y efectividad de las condiciones determinantes para su otorgamiento;</w:t>
      </w:r>
    </w:p>
    <w:p w14:paraId="54561EFA" w14:textId="77777777" w:rsidR="009D7677" w:rsidRDefault="009D7677" w:rsidP="009D7677">
      <w:pPr>
        <w:pStyle w:val="TextoNormal"/>
      </w:pPr>
    </w:p>
    <w:p w14:paraId="3743E7A4" w14:textId="77777777" w:rsidR="009D7677" w:rsidRDefault="009D7677" w:rsidP="009D7677">
      <w:pPr>
        <w:pStyle w:val="TextoNormal"/>
      </w:pPr>
      <w:r>
        <w:t>(iii) Justificar la aplicación de los fondos recibidos ante la entidad concedente y, en su caso, entregar la justificación presentada por los beneficiarios;</w:t>
      </w:r>
    </w:p>
    <w:p w14:paraId="64181A0B" w14:textId="77777777" w:rsidR="009D7677" w:rsidRDefault="009D7677" w:rsidP="009D7677">
      <w:pPr>
        <w:pStyle w:val="TextoNormal"/>
      </w:pPr>
    </w:p>
    <w:p w14:paraId="4CD8BFA7" w14:textId="77777777" w:rsidR="009D7677" w:rsidRDefault="009D7677" w:rsidP="009D7677">
      <w:pPr>
        <w:pStyle w:val="TextoNormal"/>
      </w:pPr>
      <w:r>
        <w:t>(iv) Someterse a las actuaciones de comprobación que, respecto de la gestión de dichos fondos, pueda efectuar la entidad concedente, a las de control financiero que corresponden a la Intervención General de la Junta de Andalucía, y a las previstas en la legislación del Tribunal de Cuentas y de la Cámara de Cuentas de Andalucía y</w:t>
      </w:r>
    </w:p>
    <w:p w14:paraId="722011BC" w14:textId="77777777" w:rsidR="009D7677" w:rsidRDefault="009D7677" w:rsidP="009D7677">
      <w:pPr>
        <w:pStyle w:val="TextoNormal"/>
      </w:pPr>
    </w:p>
    <w:p w14:paraId="668D7516" w14:textId="77777777" w:rsidR="009D7677" w:rsidRDefault="009D7677" w:rsidP="009D7677">
      <w:pPr>
        <w:pStyle w:val="TextoNormal"/>
      </w:pPr>
      <w:r>
        <w:t>(v) Colaborar en la restitución de las subvenciones otorgadas en los supuestos en que concurra causa de reintegro, y conforme a las normas que se establezcan (artículo 106).</w:t>
      </w:r>
    </w:p>
    <w:p w14:paraId="1A1E8FD2" w14:textId="77777777" w:rsidR="009D7677" w:rsidRDefault="009D7677" w:rsidP="009D7677">
      <w:pPr>
        <w:pStyle w:val="TextoNormal"/>
      </w:pPr>
    </w:p>
    <w:p w14:paraId="097E8499" w14:textId="77777777" w:rsidR="009D7677" w:rsidRDefault="009D7677" w:rsidP="009D7677">
      <w:pPr>
        <w:pStyle w:val="TextoNormal"/>
      </w:pPr>
      <w:r>
        <w:t>Se establecía que estas subvenciones y ayudas se habrían de otorgar con arreglo a los principios de publicidad, libre concurrencia y objetividad, respetando, en todo caso, las normas que les afecten del Derecho de la Unión Europea, reguladoras de la supresión de barreras comerciales entre los Estados miembros y de la libre competencia entre las empresas</w:t>
      </w:r>
    </w:p>
    <w:p w14:paraId="16A229CA" w14:textId="77777777" w:rsidR="009D7677" w:rsidRDefault="009D7677" w:rsidP="009D7677">
      <w:pPr>
        <w:pStyle w:val="TextoNormal"/>
      </w:pPr>
    </w:p>
    <w:p w14:paraId="5DAE146B" w14:textId="77777777" w:rsidR="009D7677" w:rsidRDefault="009D7677" w:rsidP="009D7677">
      <w:pPr>
        <w:pStyle w:val="TextoNormal"/>
      </w:pPr>
      <w:r>
        <w:t>Los proyectos de normas reguladoras de la concesión de subvenciones debían ser sometidos a informe de la Intervención General de la Junta de Andalucía, antes de su aprobación, y publicados en el ‘Boletín Oficial de la Juntad de Andalucía’ (artículo 107).</w:t>
      </w:r>
    </w:p>
    <w:p w14:paraId="3C3C6A72" w14:textId="77777777" w:rsidR="009D7677" w:rsidRDefault="009D7677" w:rsidP="009D7677">
      <w:pPr>
        <w:pStyle w:val="TextoNormal"/>
      </w:pPr>
    </w:p>
    <w:p w14:paraId="4DC86B03" w14:textId="77777777" w:rsidR="009D7677" w:rsidRDefault="009D7677" w:rsidP="009D7677">
      <w:pPr>
        <w:pStyle w:val="TextoNormal"/>
      </w:pPr>
      <w:r>
        <w:lastRenderedPageBreak/>
        <w:t>Resulta necesario destacar, por último, que de conformidad con lo establecido en la Ley 5/1983, de 19 de julio, general de la hacienda pública de la Comunidad Autónoma de Andalucía (artículos 77, 81 y concordantes) la concesión de subvenciones estaba sujeta a control previo de la Intervención de la Junta de Andalucía y estaban también sometida a seguimiento y control posterior, conforme a lo previsto en el artículo</w:t>
      </w:r>
      <w:r w:rsidRPr="009D7677">
        <w:rPr>
          <w:i/>
        </w:rPr>
        <w:t xml:space="preserve"> 85</w:t>
      </w:r>
      <w:r>
        <w:t xml:space="preserve"> bis de la citada ley.</w:t>
      </w:r>
    </w:p>
    <w:p w14:paraId="46D05952" w14:textId="77777777" w:rsidR="009D7677" w:rsidRDefault="009D7677" w:rsidP="009D7677">
      <w:pPr>
        <w:pStyle w:val="TextoNormal"/>
      </w:pPr>
    </w:p>
    <w:p w14:paraId="038C6A17" w14:textId="77777777" w:rsidR="009D7677" w:rsidRDefault="009D7677" w:rsidP="009D7677">
      <w:pPr>
        <w:pStyle w:val="TextoNormal"/>
      </w:pPr>
      <w:r>
        <w:t>II) Segunda etapa</w:t>
      </w:r>
    </w:p>
    <w:p w14:paraId="61091107" w14:textId="77777777" w:rsidR="009D7677" w:rsidRDefault="009D7677" w:rsidP="009D7677">
      <w:pPr>
        <w:pStyle w:val="TextoNormal"/>
      </w:pPr>
    </w:p>
    <w:p w14:paraId="6387C646" w14:textId="77777777" w:rsidR="009D7677" w:rsidRDefault="009D7677" w:rsidP="009D7677">
      <w:pPr>
        <w:pStyle w:val="TextoNormal"/>
      </w:pPr>
      <w:r>
        <w:t>Ante la necesidad de dar respuesta ágil a las graves crisis empresariales que afectaban a algunas importantes empresas de Andalucía en el año 1999 se decidió que el Instituto de Fomento de Andalucía (IFA) adelantara algunas de estas subvenciones, y así aconteció en relación con las ayudas concedidas a las empresas IAMASA y HAMSA. Con tal procedimiento se procedía al pago sin la necesaria fiscalización previa.</w:t>
      </w:r>
    </w:p>
    <w:p w14:paraId="0675178B" w14:textId="77777777" w:rsidR="009D7677" w:rsidRDefault="009D7677" w:rsidP="009D7677">
      <w:pPr>
        <w:pStyle w:val="TextoNormal"/>
      </w:pPr>
    </w:p>
    <w:p w14:paraId="252D837F" w14:textId="77777777" w:rsidR="009D7677" w:rsidRDefault="009D7677" w:rsidP="009D7677">
      <w:pPr>
        <w:pStyle w:val="TextoNormal"/>
      </w:pPr>
      <w:r>
        <w:t>Por ese motivo en el caso de la empresa IAMASA se tuvo que iniciar un expediente de convalidación del gasto y el letrado del servicio jurídico adscrito a la Consejería de Empleo, a la vista de las deficiencias observadas por la intervención delegada, emitió informe el 9 de febrero de 2000 declarando que el gasto no era convalidable. El interventor delegado afirmó en su informe que si el expediente hubiera sido sometido a fiscalización previa, se hubiera emitido informe de disconformidad.</w:t>
      </w:r>
    </w:p>
    <w:p w14:paraId="382CE5AA" w14:textId="77777777" w:rsidR="009D7677" w:rsidRDefault="009D7677" w:rsidP="009D7677">
      <w:pPr>
        <w:pStyle w:val="TextoNormal"/>
      </w:pPr>
    </w:p>
    <w:p w14:paraId="50A71831" w14:textId="77777777" w:rsidR="009D7677" w:rsidRDefault="009D7677" w:rsidP="009D7677">
      <w:pPr>
        <w:pStyle w:val="TextoNormal"/>
      </w:pPr>
      <w:r>
        <w:t>Y algo similar ocurrió en el caso de la empresa HAMSA, en la que el interventor delegado emitió informe de disconformidad y, formulada discrepancia por el viceconsejero de Empleo, el interventor subsanó algunas de las deficiencias recomendando que se solicitara informe a la Dirección General de Asuntos Europeos, incluyéndose posteriormente otra nota de reparo de la Intervención porque el informe aportado era genérico y no suficiente para justificar la compatibilidad de esa ayuda a empresa con las normas de la Unión Europea.</w:t>
      </w:r>
    </w:p>
    <w:p w14:paraId="09FE3AFE" w14:textId="77777777" w:rsidR="009D7677" w:rsidRDefault="009D7677" w:rsidP="009D7677">
      <w:pPr>
        <w:pStyle w:val="TextoNormal"/>
      </w:pPr>
    </w:p>
    <w:p w14:paraId="1FF44889" w14:textId="77777777" w:rsidR="009D7677" w:rsidRDefault="009D7677" w:rsidP="009D7677">
      <w:pPr>
        <w:pStyle w:val="TextoNormal"/>
      </w:pPr>
      <w:r>
        <w:t>Según se refiere en la sentencia, con apoyo en la declaración testifical de don Juan Luque Alonso, interventor delegado de la Consejería de Empleo, se rechazaron o se formularon reparos en distintos expedientes con una cuantía global de sesenta y tres millones de pesetas y se rechazaron justificaciones de gasto en expedientes por cuantía de ochenta millones de pesetas. En la misma dirección declararon los peritos de la Intervención General del Estado (IGE).</w:t>
      </w:r>
    </w:p>
    <w:p w14:paraId="111254B2" w14:textId="77777777" w:rsidR="009D7677" w:rsidRDefault="009D7677" w:rsidP="009D7677">
      <w:pPr>
        <w:pStyle w:val="TextoNormal"/>
      </w:pPr>
    </w:p>
    <w:p w14:paraId="1F129E35" w14:textId="77777777" w:rsidR="009D7677" w:rsidRDefault="009D7677" w:rsidP="009D7677">
      <w:pPr>
        <w:pStyle w:val="TextoNormal"/>
      </w:pPr>
      <w:r>
        <w:t>Ante las dificultades surgidas, en abril de 2000 se procedió a una modificación presupuestaria, bajo la iniciativa de la Consejería de Empleo. Se modificó la clasificación económica del gasto.</w:t>
      </w:r>
    </w:p>
    <w:p w14:paraId="0C270CDD" w14:textId="77777777" w:rsidR="009D7677" w:rsidRDefault="009D7677" w:rsidP="009D7677">
      <w:pPr>
        <w:pStyle w:val="TextoNormal"/>
      </w:pPr>
    </w:p>
    <w:p w14:paraId="23F3A5C2" w14:textId="77777777" w:rsidR="009D7677" w:rsidRDefault="009D7677" w:rsidP="009D7677">
      <w:pPr>
        <w:pStyle w:val="TextoNormal"/>
      </w:pPr>
      <w:r>
        <w:t>Según la Orden de 22 de mayo de 1998, las subvenciones debían incluirse en la partida 472 (transferencias corrientes a empresas privadas) o en la partida 481 (transferencias a familias o entidades sin ánimo de lucro) y en esas clasificaciones presupuestarias era necesario identificar a los destinatarios de cada ayuda. Pues bien, lo que se hizo fue, sin cambiar el programa (22E), modificar la clasificación, incluyendo la cantidad en la partida presupuestaria 440.12, correspondiente a transferencia de financiación al IFA.</w:t>
      </w:r>
    </w:p>
    <w:p w14:paraId="632C7B23" w14:textId="77777777" w:rsidR="009D7677" w:rsidRDefault="009D7677" w:rsidP="009D7677">
      <w:pPr>
        <w:pStyle w:val="TextoNormal"/>
      </w:pPr>
    </w:p>
    <w:p w14:paraId="3214F927" w14:textId="77777777" w:rsidR="009D7677" w:rsidRDefault="009D7677" w:rsidP="009D7677">
      <w:pPr>
        <w:pStyle w:val="TextoNormal"/>
      </w:pPr>
      <w:r>
        <w:lastRenderedPageBreak/>
        <w:t>Los responsables de la Junta de Andalucía eran conscientes de la necesidad de una regulación específica de estas ayudas, como lo evidencia el que durante el año 2000 se elaborara un proyecto de decreto que regulara el procedimiento de concesión, que fue elevado en tres ocasiones a la Comisión general de viceconsejeros, sin que fuera finalmente aprobado. También en 2004 se elaboró un proyecto de orden en términos similares que tampoco fue aprobada.</w:t>
      </w:r>
    </w:p>
    <w:p w14:paraId="4D598058" w14:textId="77777777" w:rsidR="009D7677" w:rsidRDefault="009D7677" w:rsidP="009D7677">
      <w:pPr>
        <w:pStyle w:val="TextoNormal"/>
      </w:pPr>
    </w:p>
    <w:p w14:paraId="03B7D950" w14:textId="77777777" w:rsidR="009D7677" w:rsidRDefault="009D7677" w:rsidP="009D7677">
      <w:pPr>
        <w:pStyle w:val="TextoNormal"/>
      </w:pPr>
      <w:r>
        <w:t>En vez de aprobar una nueva normativa o cumplir con la normativa entonces vigente se inclinaron por la utilización de un indebido criterio de presupuestación, que permitía conceder las subvenciones de forma libre, sin control previo de la Intervención y sin cumplir con los requisitos de las normas reguladoras de las subvenciones.</w:t>
      </w:r>
    </w:p>
    <w:p w14:paraId="2D1AD609" w14:textId="77777777" w:rsidR="009D7677" w:rsidRDefault="009D7677" w:rsidP="009D7677">
      <w:pPr>
        <w:pStyle w:val="TextoNormal"/>
      </w:pPr>
    </w:p>
    <w:p w14:paraId="219FE758" w14:textId="77777777" w:rsidR="009D7677" w:rsidRDefault="009D7677" w:rsidP="009D7677">
      <w:pPr>
        <w:pStyle w:val="TextoNormal"/>
      </w:pPr>
      <w:r>
        <w:t>A tal fin idearon un mecanismo que, como indica el Ministerio Fiscal en su informe, era relativamente sencillo y sumamente eficaz para la finalidad perseguida. Tanto en los proyectos de presupuestos como en las distintas modificaciones presupuestaria aprobadas durante siete años, cambiaron la clasificación presupuestaria que se venía haciendo, incluyendo las ayudas sociolaborales en la partida de ‘Transferencia de financiación al IFA’.</w:t>
      </w:r>
    </w:p>
    <w:p w14:paraId="1A6844E8" w14:textId="77777777" w:rsidR="009D7677" w:rsidRDefault="009D7677" w:rsidP="009D7677">
      <w:pPr>
        <w:pStyle w:val="TextoNormal"/>
      </w:pPr>
    </w:p>
    <w:p w14:paraId="1AD7AC33" w14:textId="77777777" w:rsidR="009D7677" w:rsidRDefault="009D7677" w:rsidP="009D7677">
      <w:pPr>
        <w:pStyle w:val="TextoNormal"/>
      </w:pPr>
      <w:r>
        <w:t>El IFA se limitaba a materializar las ayudas que concedía la Consejería de Empleo y a través del nuevo criterio de presupuestación se lograba, de un lado, que los expedientes de gasto no fueran objeto de fiscalización en la Consejería porque los fondos habían sido transferidos al IFA y, de otro, que en el IFA no pudiera llevarse a cabo esa fiscalización ya que el Instituto estaba sujeto a control financiero permanente, de forma que solo se fiscalizaba el pag</w:t>
      </w:r>
      <w:r w:rsidRPr="009D7677">
        <w:rPr>
          <w:i/>
        </w:rPr>
        <w:t>o a posterio</w:t>
      </w:r>
      <w:r>
        <w:t>ri.</w:t>
      </w:r>
    </w:p>
    <w:p w14:paraId="1BB86F29" w14:textId="77777777" w:rsidR="009D7677" w:rsidRDefault="009D7677" w:rsidP="009D7677">
      <w:pPr>
        <w:pStyle w:val="TextoNormal"/>
      </w:pPr>
    </w:p>
    <w:p w14:paraId="7FDEDDFA" w14:textId="77777777" w:rsidR="009D7677" w:rsidRDefault="009D7677" w:rsidP="009D7677">
      <w:pPr>
        <w:pStyle w:val="TextoNormal"/>
      </w:pPr>
      <w:r>
        <w:t>En efecto, el expediente de las transferencias de financiación no precisa la identificación de los destinatarios de las ayudas. Únicamente requiere consignar:</w:t>
      </w:r>
    </w:p>
    <w:p w14:paraId="4AECA69D" w14:textId="77777777" w:rsidR="009D7677" w:rsidRDefault="009D7677" w:rsidP="009D7677">
      <w:pPr>
        <w:pStyle w:val="TextoNormal"/>
      </w:pPr>
    </w:p>
    <w:p w14:paraId="71630D61" w14:textId="77777777" w:rsidR="009D7677" w:rsidRDefault="009D7677" w:rsidP="009D7677">
      <w:pPr>
        <w:pStyle w:val="TextoNormal"/>
      </w:pPr>
      <w:r>
        <w:t>(i) La propuesta de resolución del órgano competente autorizando la transferencia;</w:t>
      </w:r>
    </w:p>
    <w:p w14:paraId="60F8C714" w14:textId="77777777" w:rsidR="009D7677" w:rsidRDefault="009D7677" w:rsidP="009D7677">
      <w:pPr>
        <w:pStyle w:val="TextoNormal"/>
      </w:pPr>
    </w:p>
    <w:p w14:paraId="1613681F" w14:textId="77777777" w:rsidR="009D7677" w:rsidRDefault="009D7677" w:rsidP="009D7677">
      <w:pPr>
        <w:pStyle w:val="TextoNormal"/>
      </w:pPr>
      <w:r>
        <w:t>(ii) El calendario de pagos aprobado por la Dirección General de Tesorería;</w:t>
      </w:r>
    </w:p>
    <w:p w14:paraId="48B2547B" w14:textId="77777777" w:rsidR="009D7677" w:rsidRDefault="009D7677" w:rsidP="009D7677">
      <w:pPr>
        <w:pStyle w:val="TextoNormal"/>
      </w:pPr>
    </w:p>
    <w:p w14:paraId="58D826D0" w14:textId="77777777" w:rsidR="009D7677" w:rsidRDefault="009D7677" w:rsidP="009D7677">
      <w:pPr>
        <w:pStyle w:val="TextoNormal"/>
      </w:pPr>
      <w:r>
        <w:t>(iii) Los documentos contables acreditativos de la consignación presupuestaria y el programa de actuación (PAIF) publicado en el ‘BOJA’ por orden de la Consejería de Hacienda.</w:t>
      </w:r>
    </w:p>
    <w:p w14:paraId="365EDCC4" w14:textId="77777777" w:rsidR="009D7677" w:rsidRDefault="009D7677" w:rsidP="009D7677">
      <w:pPr>
        <w:pStyle w:val="TextoNormal"/>
      </w:pPr>
    </w:p>
    <w:p w14:paraId="7894954A" w14:textId="77777777" w:rsidR="009D7677" w:rsidRDefault="009D7677" w:rsidP="009D7677">
      <w:pPr>
        <w:pStyle w:val="TextoNormal"/>
      </w:pPr>
      <w:r>
        <w:t>Y en la fiscalización posterior de la actividad del IFA, realizada a través del llamado ‘control financiero permanente’, conforme a lo previsto en el […] Decreto 9/1999, de 19 de enero, únicamente tenía un triple objetivo:</w:t>
      </w:r>
    </w:p>
    <w:p w14:paraId="0E43A892" w14:textId="77777777" w:rsidR="009D7677" w:rsidRDefault="009D7677" w:rsidP="009D7677">
      <w:pPr>
        <w:pStyle w:val="TextoNormal"/>
      </w:pPr>
    </w:p>
    <w:p w14:paraId="1667CA49" w14:textId="77777777" w:rsidR="009D7677" w:rsidRDefault="009D7677" w:rsidP="009D7677">
      <w:pPr>
        <w:pStyle w:val="TextoNormal"/>
      </w:pPr>
      <w:r>
        <w:t>(i) Comprobar el cumplimiento de la legalidad;</w:t>
      </w:r>
    </w:p>
    <w:p w14:paraId="61C622E0" w14:textId="77777777" w:rsidR="009D7677" w:rsidRDefault="009D7677" w:rsidP="009D7677">
      <w:pPr>
        <w:pStyle w:val="TextoNormal"/>
      </w:pPr>
    </w:p>
    <w:p w14:paraId="4DE26293" w14:textId="77777777" w:rsidR="009D7677" w:rsidRDefault="009D7677" w:rsidP="009D7677">
      <w:pPr>
        <w:pStyle w:val="TextoNormal"/>
      </w:pPr>
      <w:r>
        <w:t>(ii) Examinar las cuentas anuales y</w:t>
      </w:r>
    </w:p>
    <w:p w14:paraId="0DB36F01" w14:textId="77777777" w:rsidR="009D7677" w:rsidRDefault="009D7677" w:rsidP="009D7677">
      <w:pPr>
        <w:pStyle w:val="TextoNormal"/>
      </w:pPr>
    </w:p>
    <w:p w14:paraId="046B80DF" w14:textId="77777777" w:rsidR="009D7677" w:rsidRDefault="009D7677" w:rsidP="009D7677">
      <w:pPr>
        <w:pStyle w:val="TextoNormal"/>
      </w:pPr>
      <w:r>
        <w:t>(iii) Examinar críticamente la gestión de los programas asignados al instituto. Este control no tenía utilidad alguna para conocer el destino de las subvenciones, dado que se limitaba al control de la transferencia.</w:t>
      </w:r>
    </w:p>
    <w:p w14:paraId="290DF527" w14:textId="77777777" w:rsidR="009D7677" w:rsidRDefault="009D7677" w:rsidP="009D7677">
      <w:pPr>
        <w:pStyle w:val="TextoNormal"/>
      </w:pPr>
    </w:p>
    <w:p w14:paraId="1B834C3A" w14:textId="77777777" w:rsidR="009D7677" w:rsidRDefault="009D7677" w:rsidP="009D7677">
      <w:pPr>
        <w:pStyle w:val="TextoNormal"/>
      </w:pPr>
      <w:r>
        <w:lastRenderedPageBreak/>
        <w:t>En el año 2000 el Consejo de Gobierno de la Junta de Andalucía aprobó dos modificaciones presupuestarias, siguiendo el criterio de presupuestación a que antes nos hemos referido (18 de abril de 2000 y 28 de julio de 2000, por importe de 257 y 904 millones de pesetas. Y en 2001 se hicieron cinco modificaciones presupuestarias del mismo tipo (7 de mayo de 2001, 29 de mayo de 2001, 18 de septiembre de 2001, 3 de noviembre de 2001 y 5 de diciembre de 2001) por importe, respectivamente, de 500, 5573, 1225, 660 y 6355 millones de pesetas.</w:t>
      </w:r>
    </w:p>
    <w:p w14:paraId="5E41F1E3" w14:textId="77777777" w:rsidR="009D7677" w:rsidRDefault="009D7677" w:rsidP="009D7677">
      <w:pPr>
        <w:pStyle w:val="TextoNormal"/>
      </w:pPr>
    </w:p>
    <w:p w14:paraId="25051D6B" w14:textId="77777777" w:rsidR="009D7677" w:rsidRDefault="009D7677" w:rsidP="009D7677">
      <w:pPr>
        <w:pStyle w:val="TextoNormal"/>
      </w:pPr>
      <w:r>
        <w:t>Hasta el mes de julio de 2001 los fondos recibidos por el IFA eran movilizados al destinatario final mediante la suscripción de convenios particulares entre la Consejería de Empleo y el IFA. El 7 de julio de 2001 el consejero de Empleo y el presidente del IFA firmaron un convenio marco de colaboración para la materialización de ayudas en materia de Trabajo y Seguridad Social, en el que se preveía que el IFA prestaría asistencia técnica permanente, materializando las ayudas y se establecía que habrían de suscribirse convenios particulares entre el director general de Trabajo y el IFA para la gestión de los fondos.</w:t>
      </w:r>
    </w:p>
    <w:p w14:paraId="354EFCF1" w14:textId="77777777" w:rsidR="009D7677" w:rsidRDefault="009D7677" w:rsidP="009D7677">
      <w:pPr>
        <w:pStyle w:val="TextoNormal"/>
      </w:pPr>
    </w:p>
    <w:p w14:paraId="63843B18" w14:textId="77777777" w:rsidR="009D7677" w:rsidRDefault="009D7677" w:rsidP="009D7677">
      <w:pPr>
        <w:pStyle w:val="TextoNormal"/>
      </w:pPr>
      <w:r>
        <w:t>El convenio marco no fue publicado en el ‘BOJA’ y no fue objeto de informe previo, ni por el Gabinete Jurídico de la Junta de Andalucía, ni por la Intervención General de la Junta de Andalucía, ni por los servicios jurídicos del IFA. Además, nunca se constituyeron las comisiones de seguimiento previstas en el convenio marco y en los convenios particulares se hacía constar que la documentación acreditativa de las ayudas obraba en poder de la Dirección General de Trabajo y Seguridad Social.</w:t>
      </w:r>
    </w:p>
    <w:p w14:paraId="2CE3E906" w14:textId="77777777" w:rsidR="009D7677" w:rsidRDefault="009D7677" w:rsidP="009D7677">
      <w:pPr>
        <w:pStyle w:val="TextoNormal"/>
      </w:pPr>
    </w:p>
    <w:p w14:paraId="5225120F" w14:textId="77777777" w:rsidR="009D7677" w:rsidRDefault="009D7677" w:rsidP="009D7677">
      <w:pPr>
        <w:pStyle w:val="TextoNormal"/>
      </w:pPr>
      <w:r>
        <w:t>A partir de 2002 y hasta el año 2009, con la finalidad de evitar todo control y con conciencia de los incumplimientos ya reseñados, se procedió a elaborar y aprobar los proyectos de ley de presupuestos en los que se incluía la partida ‘Transferencias al IFA en materia de relaciones laborales’ en el nuevo programa 31L, que sustituía al 22E.</w:t>
      </w:r>
    </w:p>
    <w:p w14:paraId="7C835373" w14:textId="77777777" w:rsidR="009D7677" w:rsidRDefault="009D7677" w:rsidP="009D7677">
      <w:pPr>
        <w:pStyle w:val="TextoNormal"/>
      </w:pPr>
    </w:p>
    <w:p w14:paraId="1863F123" w14:textId="77777777" w:rsidR="009D7677" w:rsidRDefault="009D7677" w:rsidP="009D7677">
      <w:pPr>
        <w:pStyle w:val="TextoNormal"/>
      </w:pPr>
      <w:r>
        <w:t>Por tanto, utilizando el criterio de presupuestación a que antes nos hemos referido se incluyeron las siguientes partidas presupuestarias:</w:t>
      </w:r>
    </w:p>
    <w:p w14:paraId="5B3D51B3" w14:textId="77777777" w:rsidR="009D7677" w:rsidRDefault="009D7677" w:rsidP="009D7677">
      <w:pPr>
        <w:pStyle w:val="TextoNormal"/>
      </w:pPr>
    </w:p>
    <w:p w14:paraId="3763D988" w14:textId="77777777" w:rsidR="009D7677" w:rsidRDefault="009D7677" w:rsidP="009D7677">
      <w:pPr>
        <w:pStyle w:val="TextoNormal"/>
      </w:pPr>
      <w:r>
        <w:t>- En 2002: 34 341 351 €.</w:t>
      </w:r>
    </w:p>
    <w:p w14:paraId="7E65CAFF" w14:textId="77777777" w:rsidR="009D7677" w:rsidRDefault="009D7677" w:rsidP="009D7677">
      <w:pPr>
        <w:pStyle w:val="TextoNormal"/>
      </w:pPr>
    </w:p>
    <w:p w14:paraId="32858E82" w14:textId="77777777" w:rsidR="009D7677" w:rsidRDefault="009D7677" w:rsidP="009D7677">
      <w:pPr>
        <w:pStyle w:val="TextoNormal"/>
      </w:pPr>
      <w:r>
        <w:t>- En 2003: 55 646 899 €.</w:t>
      </w:r>
    </w:p>
    <w:p w14:paraId="7904DE02" w14:textId="77777777" w:rsidR="009D7677" w:rsidRDefault="009D7677" w:rsidP="009D7677">
      <w:pPr>
        <w:pStyle w:val="TextoNormal"/>
      </w:pPr>
    </w:p>
    <w:p w14:paraId="2CD87C42" w14:textId="77777777" w:rsidR="009D7677" w:rsidRDefault="009D7677" w:rsidP="009D7677">
      <w:pPr>
        <w:pStyle w:val="TextoNormal"/>
      </w:pPr>
      <w:r>
        <w:t>- En 2004: 46 146 389 €. [En este ejercicio el IFA cambió su denominación por Agencia de Innovación y Desarrollo de Andalucía (IDEA) y pasó a estar adscrito a la Consejería de Innovación, Ciencia y Empresa].</w:t>
      </w:r>
    </w:p>
    <w:p w14:paraId="5CFA0B84" w14:textId="77777777" w:rsidR="009D7677" w:rsidRDefault="009D7677" w:rsidP="009D7677">
      <w:pPr>
        <w:pStyle w:val="TextoNormal"/>
      </w:pPr>
    </w:p>
    <w:p w14:paraId="1D51DDF0" w14:textId="77777777" w:rsidR="009D7677" w:rsidRDefault="009D7677" w:rsidP="009D7677">
      <w:pPr>
        <w:pStyle w:val="TextoNormal"/>
      </w:pPr>
      <w:r>
        <w:t>- En 2005: 72 261 575 €.</w:t>
      </w:r>
    </w:p>
    <w:p w14:paraId="0FEC7680" w14:textId="77777777" w:rsidR="009D7677" w:rsidRDefault="009D7677" w:rsidP="009D7677">
      <w:pPr>
        <w:pStyle w:val="TextoNormal"/>
      </w:pPr>
    </w:p>
    <w:p w14:paraId="4DB779B8" w14:textId="77777777" w:rsidR="009D7677" w:rsidRDefault="009D7677" w:rsidP="009D7677">
      <w:pPr>
        <w:pStyle w:val="TextoNormal"/>
      </w:pPr>
      <w:r>
        <w:t>- En 2006: 77 291 000 €.</w:t>
      </w:r>
    </w:p>
    <w:p w14:paraId="3821D52E" w14:textId="77777777" w:rsidR="009D7677" w:rsidRDefault="009D7677" w:rsidP="009D7677">
      <w:pPr>
        <w:pStyle w:val="TextoNormal"/>
      </w:pPr>
    </w:p>
    <w:p w14:paraId="55C687BE" w14:textId="77777777" w:rsidR="009D7677" w:rsidRDefault="009D7677" w:rsidP="009D7677">
      <w:pPr>
        <w:pStyle w:val="TextoNormal"/>
      </w:pPr>
      <w:r>
        <w:t>- En 2007: 79 207 500 €.</w:t>
      </w:r>
    </w:p>
    <w:p w14:paraId="3DD3C55F" w14:textId="77777777" w:rsidR="009D7677" w:rsidRDefault="009D7677" w:rsidP="009D7677">
      <w:pPr>
        <w:pStyle w:val="TextoNormal"/>
      </w:pPr>
    </w:p>
    <w:p w14:paraId="59A6A573" w14:textId="77777777" w:rsidR="009D7677" w:rsidRDefault="009D7677" w:rsidP="009D7677">
      <w:pPr>
        <w:pStyle w:val="TextoNormal"/>
      </w:pPr>
      <w:r>
        <w:t>- En 2008: 87 478 495 €.</w:t>
      </w:r>
    </w:p>
    <w:p w14:paraId="75681DF8" w14:textId="77777777" w:rsidR="009D7677" w:rsidRDefault="009D7677" w:rsidP="009D7677">
      <w:pPr>
        <w:pStyle w:val="TextoNormal"/>
      </w:pPr>
    </w:p>
    <w:p w14:paraId="1A17A600" w14:textId="77777777" w:rsidR="009D7677" w:rsidRDefault="009D7677" w:rsidP="009D7677">
      <w:pPr>
        <w:pStyle w:val="TextoNormal"/>
      </w:pPr>
      <w:r>
        <w:lastRenderedPageBreak/>
        <w:t>Además de estas partidas, durante los distintos ejercicios se aprobaron modificaciones presupuestarias, que incrementaron el flujo de dinero que gestionaba el IFA/IDEA y que recibía como transferencia de financiación.</w:t>
      </w:r>
    </w:p>
    <w:p w14:paraId="21CBA4B0" w14:textId="77777777" w:rsidR="009D7677" w:rsidRDefault="009D7677" w:rsidP="009D7677">
      <w:pPr>
        <w:pStyle w:val="TextoNormal"/>
      </w:pPr>
    </w:p>
    <w:p w14:paraId="5A5CDBD6" w14:textId="77777777" w:rsidR="009D7677" w:rsidRDefault="009D7677" w:rsidP="009D7677">
      <w:pPr>
        <w:pStyle w:val="TextoNormal"/>
      </w:pPr>
      <w:r>
        <w:t>Las modificaciones presupuestarias fueron las siguientes:</w:t>
      </w:r>
    </w:p>
    <w:p w14:paraId="0EF86040" w14:textId="77777777" w:rsidR="009D7677" w:rsidRDefault="009D7677" w:rsidP="009D7677">
      <w:pPr>
        <w:pStyle w:val="TextoNormal"/>
      </w:pPr>
    </w:p>
    <w:p w14:paraId="0196CDF2" w14:textId="77777777" w:rsidR="009D7677" w:rsidRDefault="009D7677" w:rsidP="009D7677">
      <w:pPr>
        <w:pStyle w:val="TextoNormal"/>
      </w:pPr>
      <w:r>
        <w:t>- Modificación de 15 de octubre de 2002, por importe de 9 944 099 €.</w:t>
      </w:r>
    </w:p>
    <w:p w14:paraId="45EB398C" w14:textId="77777777" w:rsidR="009D7677" w:rsidRDefault="009D7677" w:rsidP="009D7677">
      <w:pPr>
        <w:pStyle w:val="TextoNormal"/>
      </w:pPr>
    </w:p>
    <w:p w14:paraId="12A70E7A" w14:textId="77777777" w:rsidR="009D7677" w:rsidRDefault="009D7677" w:rsidP="009D7677">
      <w:pPr>
        <w:pStyle w:val="TextoNormal"/>
      </w:pPr>
      <w:r>
        <w:t>- Modificación de 21 de octubre de 2002, por importe de 22 253 204,17 €.</w:t>
      </w:r>
    </w:p>
    <w:p w14:paraId="7EAF686E" w14:textId="77777777" w:rsidR="009D7677" w:rsidRDefault="009D7677" w:rsidP="009D7677">
      <w:pPr>
        <w:pStyle w:val="TextoNormal"/>
      </w:pPr>
    </w:p>
    <w:p w14:paraId="4668453E" w14:textId="77777777" w:rsidR="009D7677" w:rsidRDefault="009D7677" w:rsidP="009D7677">
      <w:pPr>
        <w:pStyle w:val="TextoNormal"/>
      </w:pPr>
      <w:r>
        <w:t>- Modificación de 7 de diciembre de 2005, por importe de 799 895,97 €.</w:t>
      </w:r>
    </w:p>
    <w:p w14:paraId="7908058F" w14:textId="77777777" w:rsidR="009D7677" w:rsidRDefault="009D7677" w:rsidP="009D7677">
      <w:pPr>
        <w:pStyle w:val="TextoNormal"/>
      </w:pPr>
    </w:p>
    <w:p w14:paraId="3E6769A0" w14:textId="77777777" w:rsidR="009D7677" w:rsidRDefault="009D7677" w:rsidP="009D7677">
      <w:pPr>
        <w:pStyle w:val="TextoNormal"/>
      </w:pPr>
      <w:r>
        <w:t>- Modificación de 7 de noviembre 2006, por importe de 9 300 000 €.</w:t>
      </w:r>
    </w:p>
    <w:p w14:paraId="1DB4CC3E" w14:textId="77777777" w:rsidR="009D7677" w:rsidRDefault="009D7677" w:rsidP="009D7677">
      <w:pPr>
        <w:pStyle w:val="TextoNormal"/>
      </w:pPr>
    </w:p>
    <w:p w14:paraId="376DE240" w14:textId="77777777" w:rsidR="009D7677" w:rsidRDefault="009D7677" w:rsidP="009D7677">
      <w:pPr>
        <w:pStyle w:val="TextoNormal"/>
      </w:pPr>
      <w:r>
        <w:t>- Modificación de 27 de noviembre de 2007, por importe de 7 448 503,44 €.</w:t>
      </w:r>
    </w:p>
    <w:p w14:paraId="09012FD6" w14:textId="77777777" w:rsidR="009D7677" w:rsidRDefault="009D7677" w:rsidP="009D7677">
      <w:pPr>
        <w:pStyle w:val="TextoNormal"/>
      </w:pPr>
    </w:p>
    <w:p w14:paraId="200CE6FA" w14:textId="77777777" w:rsidR="009D7677" w:rsidRDefault="009D7677" w:rsidP="009D7677">
      <w:pPr>
        <w:pStyle w:val="TextoNormal"/>
      </w:pPr>
      <w:r>
        <w:t>- Modificación de 22 de diciembre de 2008, por importe de 1 253 853,89 €.</w:t>
      </w:r>
    </w:p>
    <w:p w14:paraId="3CA0BD8F" w14:textId="77777777" w:rsidR="009D7677" w:rsidRDefault="009D7677" w:rsidP="009D7677">
      <w:pPr>
        <w:pStyle w:val="TextoNormal"/>
      </w:pPr>
    </w:p>
    <w:p w14:paraId="197CC7FB" w14:textId="77777777" w:rsidR="009D7677" w:rsidRDefault="009D7677" w:rsidP="009D7677">
      <w:pPr>
        <w:pStyle w:val="TextoNormal"/>
      </w:pPr>
      <w:r>
        <w:t>- Modificación de 22 de diciembre de 2008, por importe de 6 011 836,20 €.</w:t>
      </w:r>
    </w:p>
    <w:p w14:paraId="12CB2A8E" w14:textId="77777777" w:rsidR="009D7677" w:rsidRDefault="009D7677" w:rsidP="009D7677">
      <w:pPr>
        <w:pStyle w:val="TextoNormal"/>
      </w:pPr>
    </w:p>
    <w:p w14:paraId="1A17DEFE" w14:textId="77777777" w:rsidR="009D7677" w:rsidRDefault="009D7677" w:rsidP="009D7677">
      <w:pPr>
        <w:pStyle w:val="TextoNormal"/>
      </w:pPr>
      <w:r>
        <w:t>- Modificación de 22 de diciembre de 2008, por importe de 8 000 000 €.</w:t>
      </w:r>
    </w:p>
    <w:p w14:paraId="4424116E" w14:textId="77777777" w:rsidR="009D7677" w:rsidRDefault="009D7677" w:rsidP="009D7677">
      <w:pPr>
        <w:pStyle w:val="TextoNormal"/>
      </w:pPr>
    </w:p>
    <w:p w14:paraId="704512CD" w14:textId="77777777" w:rsidR="009D7677" w:rsidRDefault="009D7677" w:rsidP="009D7677">
      <w:pPr>
        <w:pStyle w:val="TextoNormal"/>
      </w:pPr>
      <w:r>
        <w:t>El montante global de los créditos presupuestarios de los programas 22E y luego 31L, de los que se dispuso todos estos años, para atender compromisos asumidos frente a terceros para ayudas sociolaborales y ayudas a empresas en crisis, y también por otros conceptos mediante el mecanismo inadecuado de las transferencias de financiación, desde la Consejería de Empleo a la Agencia IFA/IDEA, se elevan, si sumamos las cantidades consignadas originariamente, más los incrementos derivados de modificaciones presupuestarias, desde el ejercicio presupuestario 2000, al ejercicio presupuestario 2009, a un total de más de 680 000 000 €.</w:t>
      </w:r>
    </w:p>
    <w:p w14:paraId="060984C6" w14:textId="77777777" w:rsidR="009D7677" w:rsidRDefault="009D7677" w:rsidP="009D7677">
      <w:pPr>
        <w:pStyle w:val="TextoNormal"/>
      </w:pPr>
    </w:p>
    <w:p w14:paraId="21F71884" w14:textId="77777777" w:rsidR="009D7677" w:rsidRDefault="009D7677" w:rsidP="009D7677">
      <w:pPr>
        <w:pStyle w:val="TextoNormal"/>
      </w:pPr>
      <w:r>
        <w:t>Según han puesto de relieve distintos informes y resoluciones judiciales y administrativas, como consecuencia de todo lo anterior, las irregularidades más significativas en la concesión de las ayudas (sin hacer una enumeración exhaustiva) han sido las siguientes:</w:t>
      </w:r>
    </w:p>
    <w:p w14:paraId="4B66AC48" w14:textId="77777777" w:rsidR="009D7677" w:rsidRDefault="009D7677" w:rsidP="009D7677">
      <w:pPr>
        <w:pStyle w:val="TextoNormal"/>
      </w:pPr>
    </w:p>
    <w:p w14:paraId="17AA08A2" w14:textId="77777777" w:rsidR="009D7677" w:rsidRDefault="009D7677" w:rsidP="009D7677">
      <w:pPr>
        <w:pStyle w:val="TextoNormal"/>
      </w:pPr>
      <w:r>
        <w:t>- En muchos casos no ha existido expediente de concesión de la ayuda.</w:t>
      </w:r>
    </w:p>
    <w:p w14:paraId="09659E2F" w14:textId="77777777" w:rsidR="009D7677" w:rsidRDefault="009D7677" w:rsidP="009D7677">
      <w:pPr>
        <w:pStyle w:val="TextoNormal"/>
      </w:pPr>
    </w:p>
    <w:p w14:paraId="25FCDD66" w14:textId="77777777" w:rsidR="009D7677" w:rsidRDefault="009D7677" w:rsidP="009D7677">
      <w:pPr>
        <w:pStyle w:val="TextoNormal"/>
      </w:pPr>
      <w:r>
        <w:t>- El director general de Trabajo y Seguridad Social no tiene delegadas competencias para la concesión de subvenciones excepcionales.</w:t>
      </w:r>
    </w:p>
    <w:p w14:paraId="054E9714" w14:textId="77777777" w:rsidR="009D7677" w:rsidRDefault="009D7677" w:rsidP="009D7677">
      <w:pPr>
        <w:pStyle w:val="TextoNormal"/>
      </w:pPr>
    </w:p>
    <w:p w14:paraId="0C5E62ED" w14:textId="77777777" w:rsidR="009D7677" w:rsidRDefault="009D7677" w:rsidP="009D7677">
      <w:pPr>
        <w:pStyle w:val="TextoNormal"/>
      </w:pPr>
      <w:r>
        <w:t>- No consta que se haya dado publicidad a la concesión de las ayudas (artículo 109 LGHPA).</w:t>
      </w:r>
    </w:p>
    <w:p w14:paraId="24CD3705" w14:textId="77777777" w:rsidR="009D7677" w:rsidRDefault="009D7677" w:rsidP="009D7677">
      <w:pPr>
        <w:pStyle w:val="TextoNormal"/>
      </w:pPr>
    </w:p>
    <w:p w14:paraId="5E2120E8" w14:textId="77777777" w:rsidR="009D7677" w:rsidRDefault="009D7677" w:rsidP="009D7677">
      <w:pPr>
        <w:pStyle w:val="TextoNormal"/>
      </w:pPr>
      <w:r>
        <w:t>- Se ha omitido la fiscalización previa.</w:t>
      </w:r>
    </w:p>
    <w:p w14:paraId="4D3F9139" w14:textId="77777777" w:rsidR="009D7677" w:rsidRDefault="009D7677" w:rsidP="009D7677">
      <w:pPr>
        <w:pStyle w:val="TextoNormal"/>
      </w:pPr>
    </w:p>
    <w:p w14:paraId="60DD8EBD" w14:textId="77777777" w:rsidR="009D7677" w:rsidRDefault="009D7677" w:rsidP="009D7677">
      <w:pPr>
        <w:pStyle w:val="TextoNormal"/>
      </w:pPr>
      <w:r>
        <w:t>- No consta autorización de la concesión de la subvención por el Consejo de Gobierno por razón de la cuantía.</w:t>
      </w:r>
    </w:p>
    <w:p w14:paraId="2AE29215" w14:textId="77777777" w:rsidR="009D7677" w:rsidRDefault="009D7677" w:rsidP="009D7677">
      <w:pPr>
        <w:pStyle w:val="TextoNormal"/>
      </w:pPr>
    </w:p>
    <w:p w14:paraId="1A026597" w14:textId="77777777" w:rsidR="009D7677" w:rsidRDefault="009D7677" w:rsidP="009D7677">
      <w:pPr>
        <w:pStyle w:val="TextoNormal"/>
      </w:pPr>
      <w:r>
        <w:lastRenderedPageBreak/>
        <w:t>- No se consigna la aplicación presupuestaria del gasto y su distribución plurianual, ni el presupuesto subvencionado y el porcentaje que representa la subvención sobre el presupuesto aceptado.</w:t>
      </w:r>
    </w:p>
    <w:p w14:paraId="419FB6A1" w14:textId="77777777" w:rsidR="009D7677" w:rsidRDefault="009D7677" w:rsidP="009D7677">
      <w:pPr>
        <w:pStyle w:val="TextoNormal"/>
      </w:pPr>
    </w:p>
    <w:p w14:paraId="71F7E88D" w14:textId="77777777" w:rsidR="009D7677" w:rsidRDefault="009D7677" w:rsidP="009D7677">
      <w:pPr>
        <w:pStyle w:val="TextoNormal"/>
      </w:pPr>
      <w:r>
        <w:t>- No consta informe de la Dirección General de Asuntos Europeos y Cooperación, de la Consejería de Presidencia, sobre cumplimiento del deber de notificar a la Comisión las subvenciones concedidas a empresas.</w:t>
      </w:r>
    </w:p>
    <w:p w14:paraId="1EE96848" w14:textId="77777777" w:rsidR="009D7677" w:rsidRDefault="009D7677" w:rsidP="009D7677">
      <w:pPr>
        <w:pStyle w:val="TextoNormal"/>
      </w:pPr>
    </w:p>
    <w:p w14:paraId="4B3CD443" w14:textId="77777777" w:rsidR="009D7677" w:rsidRDefault="009D7677" w:rsidP="009D7677">
      <w:pPr>
        <w:pStyle w:val="TextoNormal"/>
      </w:pPr>
      <w:r>
        <w:t>- No consta memoria explicativa de la excepcionalidad de las subvenciones, ni los requisitos que se exigen para ser beneficiario, ni se detalla la forma en que debería realizarse la justificación del cumplimiento de la finalidad para la que fue concedida la ayuda.</w:t>
      </w:r>
    </w:p>
    <w:p w14:paraId="7E0A6F52" w14:textId="77777777" w:rsidR="009D7677" w:rsidRDefault="009D7677" w:rsidP="009D7677">
      <w:pPr>
        <w:pStyle w:val="TextoNormal"/>
      </w:pPr>
    </w:p>
    <w:p w14:paraId="558E72C0" w14:textId="77777777" w:rsidR="009D7677" w:rsidRDefault="009D7677" w:rsidP="009D7677">
      <w:pPr>
        <w:pStyle w:val="TextoNormal"/>
      </w:pPr>
      <w:r>
        <w:t>- Los convenios de colaboración por los que se han concedido las ayudas no adoptan ni la forma ni los contenidos mínimos que exige la Ley 38/2003, de 17 de noviembre.</w:t>
      </w:r>
    </w:p>
    <w:p w14:paraId="0C5951F8" w14:textId="77777777" w:rsidR="009D7677" w:rsidRDefault="009D7677" w:rsidP="009D7677">
      <w:pPr>
        <w:pStyle w:val="TextoNormal"/>
      </w:pPr>
    </w:p>
    <w:p w14:paraId="771ADC44" w14:textId="77777777" w:rsidR="009D7677" w:rsidRDefault="009D7677" w:rsidP="009D7677">
      <w:pPr>
        <w:pStyle w:val="TextoNormal"/>
      </w:pPr>
      <w:r>
        <w:t>- Ni las subvenciones ni los convenios han sido publicados en el ‘Boletín Oficial de la Junta de Andalucía’, ni en la base de datos de subvenciones de la Junta de Andalucía.</w:t>
      </w:r>
    </w:p>
    <w:p w14:paraId="5E6FF6EC" w14:textId="77777777" w:rsidR="009D7677" w:rsidRDefault="009D7677" w:rsidP="009D7677">
      <w:pPr>
        <w:pStyle w:val="TextoNormal"/>
      </w:pPr>
    </w:p>
    <w:p w14:paraId="44CF6E1A" w14:textId="77777777" w:rsidR="009D7677" w:rsidRDefault="009D7677" w:rsidP="009D7677">
      <w:pPr>
        <w:pStyle w:val="TextoNormal"/>
      </w:pPr>
      <w:r>
        <w:t>- La concesión de las subvenciones no ha sido objeto de informe previo por el Gabinete Jurídico de la Junta de Andalucía.</w:t>
      </w:r>
    </w:p>
    <w:p w14:paraId="2933157C" w14:textId="77777777" w:rsidR="009D7677" w:rsidRDefault="009D7677" w:rsidP="009D7677">
      <w:pPr>
        <w:pStyle w:val="TextoNormal"/>
      </w:pPr>
    </w:p>
    <w:p w14:paraId="5A0BCED3" w14:textId="77777777" w:rsidR="009D7677" w:rsidRDefault="009D7677" w:rsidP="009D7677">
      <w:pPr>
        <w:pStyle w:val="TextoNormal"/>
      </w:pPr>
      <w:r>
        <w:t>- No se acredita la personalidad de las entidades solicitantes, ni la de sus representantes.</w:t>
      </w:r>
    </w:p>
    <w:p w14:paraId="348E1A1D" w14:textId="77777777" w:rsidR="009D7677" w:rsidRDefault="009D7677" w:rsidP="009D7677">
      <w:pPr>
        <w:pStyle w:val="TextoNormal"/>
      </w:pPr>
    </w:p>
    <w:p w14:paraId="5906FE9E" w14:textId="77777777" w:rsidR="009D7677" w:rsidRDefault="009D7677" w:rsidP="009D7677">
      <w:pPr>
        <w:pStyle w:val="TextoNormal"/>
      </w:pPr>
      <w:r>
        <w:t>- No se aporta informe o memoria acreditativa de la finalidad pública, o razones de interés social o económico, en la concesión.</w:t>
      </w:r>
    </w:p>
    <w:p w14:paraId="75BBCB14" w14:textId="77777777" w:rsidR="009D7677" w:rsidRDefault="009D7677" w:rsidP="009D7677">
      <w:pPr>
        <w:pStyle w:val="TextoNormal"/>
      </w:pPr>
    </w:p>
    <w:p w14:paraId="5961DB9E" w14:textId="77777777" w:rsidR="009D7677" w:rsidRDefault="009D7677" w:rsidP="009D7677">
      <w:pPr>
        <w:pStyle w:val="TextoNormal"/>
      </w:pPr>
      <w:r>
        <w:t>- No consta solicitud presentada por los interesados ni su aceptación expresa.</w:t>
      </w:r>
    </w:p>
    <w:p w14:paraId="352B10DC" w14:textId="77777777" w:rsidR="009D7677" w:rsidRDefault="009D7677" w:rsidP="009D7677">
      <w:pPr>
        <w:pStyle w:val="TextoNormal"/>
      </w:pPr>
    </w:p>
    <w:p w14:paraId="488F5AFC" w14:textId="77777777" w:rsidR="009D7677" w:rsidRDefault="009D7677" w:rsidP="009D7677">
      <w:pPr>
        <w:pStyle w:val="TextoNormal"/>
      </w:pPr>
      <w:r>
        <w:t>- No se aporta declaración responsable del beneficiario de otras subvenciones o ayudas concedidas para la misma finalidad (artículos 111 y 105 de LGHPA, y artículo 15.1 del Reglamento de subvenciones).</w:t>
      </w:r>
    </w:p>
    <w:p w14:paraId="757007C1" w14:textId="77777777" w:rsidR="009D7677" w:rsidRDefault="009D7677" w:rsidP="009D7677">
      <w:pPr>
        <w:pStyle w:val="TextoNormal"/>
      </w:pPr>
    </w:p>
    <w:p w14:paraId="517CDE36" w14:textId="77777777" w:rsidR="009D7677" w:rsidRDefault="009D7677" w:rsidP="009D7677">
      <w:pPr>
        <w:pStyle w:val="TextoNormal"/>
      </w:pPr>
      <w:r>
        <w:t>- No consta declaración expresa de los beneficiarios de no haber recaído sobre ellos resolución administrativa o judicial firme de reintegro.</w:t>
      </w:r>
    </w:p>
    <w:p w14:paraId="5CCEB9E3" w14:textId="77777777" w:rsidR="009D7677" w:rsidRDefault="009D7677" w:rsidP="009D7677">
      <w:pPr>
        <w:pStyle w:val="TextoNormal"/>
      </w:pPr>
    </w:p>
    <w:p w14:paraId="08E68B15" w14:textId="77777777" w:rsidR="009D7677" w:rsidRDefault="009D7677" w:rsidP="009D7677">
      <w:pPr>
        <w:pStyle w:val="TextoNormal"/>
      </w:pPr>
      <w:r>
        <w:t>- No se acredita por los beneficiarios estar al corriente en sus obligaciones fiscales.</w:t>
      </w:r>
    </w:p>
    <w:p w14:paraId="30269B6E" w14:textId="77777777" w:rsidR="009D7677" w:rsidRDefault="009D7677" w:rsidP="009D7677">
      <w:pPr>
        <w:pStyle w:val="TextoNormal"/>
      </w:pPr>
    </w:p>
    <w:p w14:paraId="42C8A2CD" w14:textId="77777777" w:rsidR="009D7677" w:rsidRDefault="009D7677" w:rsidP="009D7677">
      <w:pPr>
        <w:pStyle w:val="TextoNormal"/>
      </w:pPr>
      <w:r>
        <w:t>- No se determina el plazo y forma de justificación por el beneficiario del cumplimiento de la finalidad para la que se concede la ayuda.</w:t>
      </w:r>
    </w:p>
    <w:p w14:paraId="5DE5544E" w14:textId="77777777" w:rsidR="009D7677" w:rsidRDefault="009D7677" w:rsidP="009D7677">
      <w:pPr>
        <w:pStyle w:val="TextoNormal"/>
      </w:pPr>
    </w:p>
    <w:p w14:paraId="4B30AA28" w14:textId="77777777" w:rsidR="009D7677" w:rsidRDefault="009D7677" w:rsidP="009D7677">
      <w:pPr>
        <w:pStyle w:val="TextoNormal"/>
      </w:pPr>
      <w:r>
        <w:t>- No se indica la forma y secuencia del pago y los requisitos exigidos para su abono.</w:t>
      </w:r>
    </w:p>
    <w:p w14:paraId="0C2DA3FE" w14:textId="77777777" w:rsidR="009D7677" w:rsidRDefault="009D7677" w:rsidP="009D7677">
      <w:pPr>
        <w:pStyle w:val="TextoNormal"/>
      </w:pPr>
    </w:p>
    <w:p w14:paraId="4F3B9C8F" w14:textId="77777777" w:rsidR="009D7677" w:rsidRDefault="009D7677" w:rsidP="009D7677">
      <w:pPr>
        <w:pStyle w:val="TextoNormal"/>
      </w:pPr>
      <w:r>
        <w:t>La sentencia concluye afirmando que no se siguió procedimiento administrativo alguno en la concesión de las ayudas y se omitió la fiscalización previa y, siendo las deficiencias tan notables no era factible la convalidación del gasto. (Todo ello sin incluir el sin fin de ilegalidades detectadas en cada uno de los expedientes singulares que son objeto de investigación y enjuiciamiento en las distintas piezas separadas).</w:t>
      </w:r>
    </w:p>
    <w:p w14:paraId="28256970" w14:textId="77777777" w:rsidR="009D7677" w:rsidRDefault="009D7677" w:rsidP="009D7677">
      <w:pPr>
        <w:pStyle w:val="TextoNormal"/>
      </w:pPr>
    </w:p>
    <w:p w14:paraId="529F3CB4" w14:textId="77777777" w:rsidR="009D7677" w:rsidRDefault="009D7677" w:rsidP="009D7677">
      <w:pPr>
        <w:pStyle w:val="TextoNormal"/>
      </w:pPr>
      <w:r>
        <w:lastRenderedPageBreak/>
        <w:t>Las consecuencias de semejante descontrol fueron las siguientes:</w:t>
      </w:r>
    </w:p>
    <w:p w14:paraId="1287FF40" w14:textId="77777777" w:rsidR="009D7677" w:rsidRDefault="009D7677" w:rsidP="009D7677">
      <w:pPr>
        <w:pStyle w:val="TextoNormal"/>
      </w:pPr>
    </w:p>
    <w:p w14:paraId="32954E05" w14:textId="77777777" w:rsidR="009D7677" w:rsidRDefault="009D7677" w:rsidP="009D7677">
      <w:pPr>
        <w:pStyle w:val="TextoNormal"/>
      </w:pPr>
      <w:r>
        <w:t>(i) Debido a la falta de publicidad y libre concurrencia y de la inexistencia de bases reguladoras muchas empresas y trabajadores se vieron privados de la posibilidad de solicitar y que les fueran concedidas las ayudas. Señala la sentencia que las ayudas consistentes en pago de primas de renta colectiva y capital se concedieron a setenta y siete empresas que presentaron ERE, pero en la Comunidad Autónoma Andaluza y atendiendo como fuente a la Subdirección General de Estadística, de la Secretaría General Técnica del Ministerio de Empleo y Seguridad Social, el número total de expedientes de regulación de empleo tramitados en la comunidad andaluza, fueron:</w:t>
      </w:r>
    </w:p>
    <w:p w14:paraId="15CB26A8" w14:textId="77777777" w:rsidR="009D7677" w:rsidRDefault="009D7677" w:rsidP="009D7677">
      <w:pPr>
        <w:pStyle w:val="TextoNormal"/>
      </w:pPr>
    </w:p>
    <w:p w14:paraId="0AF06909" w14:textId="77777777" w:rsidR="009D7677" w:rsidRDefault="009D7677" w:rsidP="009D7677">
      <w:pPr>
        <w:pStyle w:val="TextoNormal"/>
      </w:pPr>
      <w:r>
        <w:t>- En el año 2001, fueron 748, afectando a un total de 7582 trabajadores.</w:t>
      </w:r>
    </w:p>
    <w:p w14:paraId="7338DCB1" w14:textId="77777777" w:rsidR="009D7677" w:rsidRDefault="009D7677" w:rsidP="009D7677">
      <w:pPr>
        <w:pStyle w:val="TextoNormal"/>
      </w:pPr>
    </w:p>
    <w:p w14:paraId="7716B1B3" w14:textId="77777777" w:rsidR="009D7677" w:rsidRDefault="009D7677" w:rsidP="009D7677">
      <w:pPr>
        <w:pStyle w:val="TextoNormal"/>
      </w:pPr>
      <w:r>
        <w:t>- En el año 2002, fueron 650, afectando a un total de 4787 trabajadores.</w:t>
      </w:r>
    </w:p>
    <w:p w14:paraId="321E0C07" w14:textId="77777777" w:rsidR="009D7677" w:rsidRDefault="009D7677" w:rsidP="009D7677">
      <w:pPr>
        <w:pStyle w:val="TextoNormal"/>
      </w:pPr>
    </w:p>
    <w:p w14:paraId="79107A2E" w14:textId="77777777" w:rsidR="009D7677" w:rsidRDefault="009D7677" w:rsidP="009D7677">
      <w:pPr>
        <w:pStyle w:val="TextoNormal"/>
      </w:pPr>
      <w:r>
        <w:t>- En el año 2003, fueron 511, afectando a un total de 4957 trabajadores.</w:t>
      </w:r>
    </w:p>
    <w:p w14:paraId="21523735" w14:textId="77777777" w:rsidR="009D7677" w:rsidRDefault="009D7677" w:rsidP="009D7677">
      <w:pPr>
        <w:pStyle w:val="TextoNormal"/>
      </w:pPr>
    </w:p>
    <w:p w14:paraId="66C9BEDF" w14:textId="77777777" w:rsidR="009D7677" w:rsidRDefault="009D7677" w:rsidP="009D7677">
      <w:pPr>
        <w:pStyle w:val="TextoNormal"/>
      </w:pPr>
      <w:r>
        <w:t>- En el año 2004, fueron 657, afectando a un total de 4833 trabajadores.</w:t>
      </w:r>
    </w:p>
    <w:p w14:paraId="43D11B90" w14:textId="77777777" w:rsidR="009D7677" w:rsidRDefault="009D7677" w:rsidP="009D7677">
      <w:pPr>
        <w:pStyle w:val="TextoNormal"/>
      </w:pPr>
    </w:p>
    <w:p w14:paraId="56148936" w14:textId="77777777" w:rsidR="009D7677" w:rsidRDefault="009D7677" w:rsidP="009D7677">
      <w:pPr>
        <w:pStyle w:val="TextoNormal"/>
      </w:pPr>
      <w:r>
        <w:t>- En el año 2005, fueron 424, afectando a un total de 5476 trabajadores.</w:t>
      </w:r>
    </w:p>
    <w:p w14:paraId="070EB249" w14:textId="77777777" w:rsidR="009D7677" w:rsidRDefault="009D7677" w:rsidP="009D7677">
      <w:pPr>
        <w:pStyle w:val="TextoNormal"/>
      </w:pPr>
    </w:p>
    <w:p w14:paraId="72AF4039" w14:textId="77777777" w:rsidR="009D7677" w:rsidRDefault="009D7677" w:rsidP="009D7677">
      <w:pPr>
        <w:pStyle w:val="TextoNormal"/>
      </w:pPr>
      <w:r>
        <w:t>- En el año 2006, fueron 434, afectando a un total de 2968 trabajadores.</w:t>
      </w:r>
    </w:p>
    <w:p w14:paraId="4E2DAE4C" w14:textId="77777777" w:rsidR="009D7677" w:rsidRDefault="009D7677" w:rsidP="009D7677">
      <w:pPr>
        <w:pStyle w:val="TextoNormal"/>
      </w:pPr>
    </w:p>
    <w:p w14:paraId="7864FEEC" w14:textId="77777777" w:rsidR="009D7677" w:rsidRDefault="009D7677" w:rsidP="009D7677">
      <w:pPr>
        <w:pStyle w:val="TextoNormal"/>
      </w:pPr>
      <w:r>
        <w:t>- En el año 2007, fueron 428, afectando a un total de 3247 trabajadores.</w:t>
      </w:r>
    </w:p>
    <w:p w14:paraId="4098F46C" w14:textId="77777777" w:rsidR="009D7677" w:rsidRDefault="009D7677" w:rsidP="009D7677">
      <w:pPr>
        <w:pStyle w:val="TextoNormal"/>
      </w:pPr>
    </w:p>
    <w:p w14:paraId="74921F0B" w14:textId="77777777" w:rsidR="009D7677" w:rsidRDefault="009D7677" w:rsidP="009D7677">
      <w:pPr>
        <w:pStyle w:val="TextoNormal"/>
      </w:pPr>
      <w:r>
        <w:t>- En el año 2008, fueron 652, afectando a un total de 7000 trabajadores.</w:t>
      </w:r>
    </w:p>
    <w:p w14:paraId="25F86C12" w14:textId="77777777" w:rsidR="009D7677" w:rsidRDefault="009D7677" w:rsidP="009D7677">
      <w:pPr>
        <w:pStyle w:val="TextoNormal"/>
      </w:pPr>
    </w:p>
    <w:p w14:paraId="1795A483" w14:textId="77777777" w:rsidR="009D7677" w:rsidRDefault="009D7677" w:rsidP="009D7677">
      <w:pPr>
        <w:pStyle w:val="TextoNormal"/>
      </w:pPr>
      <w:r>
        <w:t>- En el año 2009, fueron 1379, afectando a un total de 30 821 trabajadores.</w:t>
      </w:r>
    </w:p>
    <w:p w14:paraId="1BD3104D" w14:textId="77777777" w:rsidR="009D7677" w:rsidRDefault="009D7677" w:rsidP="009D7677">
      <w:pPr>
        <w:pStyle w:val="TextoNormal"/>
      </w:pPr>
    </w:p>
    <w:p w14:paraId="286D7BD9" w14:textId="77777777" w:rsidR="009D7677" w:rsidRDefault="009D7677" w:rsidP="009D7677">
      <w:pPr>
        <w:pStyle w:val="TextoNormal"/>
      </w:pPr>
      <w:r>
        <w:t>- En el año 2010, fueron 1490, afectando a un total de 21 450 trabajadores.</w:t>
      </w:r>
    </w:p>
    <w:p w14:paraId="08A3077A" w14:textId="77777777" w:rsidR="009D7677" w:rsidRDefault="009D7677" w:rsidP="009D7677">
      <w:pPr>
        <w:pStyle w:val="TextoNormal"/>
      </w:pPr>
    </w:p>
    <w:p w14:paraId="6AC35524" w14:textId="77777777" w:rsidR="009D7677" w:rsidRDefault="009D7677" w:rsidP="009D7677">
      <w:pPr>
        <w:pStyle w:val="TextoNormal"/>
      </w:pPr>
      <w:r>
        <w:t>(ii) La ausencia de cualquier mecanismo de comprobación de la pertenencia al colectivo afectado de las personas beneficiarias de las pólizas, permitió la inclusión de beneficiarios que nunca habían pertenecido a las empresas ayudadas por la Consejería de Empleo.</w:t>
      </w:r>
    </w:p>
    <w:p w14:paraId="1B70BD0B" w14:textId="77777777" w:rsidR="009D7677" w:rsidRDefault="009D7677" w:rsidP="009D7677">
      <w:pPr>
        <w:pStyle w:val="TextoNormal"/>
      </w:pPr>
    </w:p>
    <w:p w14:paraId="7C8D815A" w14:textId="77777777" w:rsidR="009D7677" w:rsidRDefault="009D7677" w:rsidP="009D7677">
      <w:pPr>
        <w:pStyle w:val="TextoNormal"/>
      </w:pPr>
      <w:r>
        <w:t>(iii) La no exigencia de justificación de requisitos previos y la ausencia de cualquier tipo de seguimiento de la situación laboral de los beneficiarios, permitió que un número indeterminado de ellos siguiera percibiendo las rentas, aun habiéndose incorporado de nuevo al mercado laboral, o pese a haber pasado a situación de incapacidad.</w:t>
      </w:r>
    </w:p>
    <w:p w14:paraId="66792842" w14:textId="77777777" w:rsidR="009D7677" w:rsidRDefault="009D7677" w:rsidP="009D7677">
      <w:pPr>
        <w:pStyle w:val="TextoNormal"/>
      </w:pPr>
    </w:p>
    <w:p w14:paraId="64B9B9F9" w14:textId="77777777" w:rsidR="009D7677" w:rsidRDefault="009D7677" w:rsidP="009D7677">
      <w:pPr>
        <w:pStyle w:val="TextoNormal"/>
      </w:pPr>
      <w:r>
        <w:t>(iv) Un gran número de ayudas a empresas en crisis, carecen, además, de objeto concreto y respondieron a fines muy diversos, como pago de nóminas, pago de deudas, pago de minutas por servicios profesionales, pago de avales, o simplemente no estaban suficientemente especificados.</w:t>
      </w:r>
    </w:p>
    <w:p w14:paraId="2C758FEF" w14:textId="77777777" w:rsidR="009D7677" w:rsidRDefault="009D7677" w:rsidP="009D7677">
      <w:pPr>
        <w:pStyle w:val="TextoNormal"/>
      </w:pPr>
    </w:p>
    <w:p w14:paraId="1D72E425" w14:textId="77777777" w:rsidR="009D7677" w:rsidRDefault="009D7677" w:rsidP="009D7677">
      <w:pPr>
        <w:pStyle w:val="TextoNormal"/>
      </w:pPr>
      <w:r>
        <w:t xml:space="preserve">(v) Además, a pesar de no estar previsto en la ficha presupuestaria del programa 31L, los responsables de la Consejería de Empleo utilizaron buena parte de estos fondos para fines completamente ajenos a las ayudas sociolaborales. Así, entre otros, con fondos del </w:t>
      </w:r>
      <w:r>
        <w:lastRenderedPageBreak/>
        <w:t>programa 31L se pagaron campañas de comunicación sobre fomento de empleo y divulgación del Servicio Andaluz de Empleo; se pagaron gastos derivados de la cesión al servicio 112, de dependencias correspondientes al edificio del pabellón de Italia en Sevilla; se financió el programa de formación del voluntariado de los Juegos del Mediterráneo en Almería; se financiaron campañas de divulgación en materia de prevención de riesgos laborales; se financió parte de la subida salarial de trabajadores de las empresas FCC y CESPA, como consecuencia de la suscripción de un convenio colectivo en el 2006, que puso fin a una conflictividad laboral de la limpieza pública de la provincia de Granada; se financiaron dieciséis muestras de artesanía y jornadas relacionadas con el empleo en diversos municipios andaluces; y se pagó a la fundación San Telmo un curso de alta dirección, durante cinco ejercicios.</w:t>
      </w:r>
    </w:p>
    <w:p w14:paraId="3813FEED" w14:textId="77777777" w:rsidR="009D7677" w:rsidRDefault="009D7677" w:rsidP="009D7677">
      <w:pPr>
        <w:pStyle w:val="TextoNormal"/>
      </w:pPr>
    </w:p>
    <w:p w14:paraId="740B73E7" w14:textId="77777777" w:rsidR="009D7677" w:rsidRDefault="009D7677" w:rsidP="009D7677">
      <w:pPr>
        <w:pStyle w:val="TextoNormal"/>
      </w:pPr>
      <w:r>
        <w:t>III) Tercera etapa</w:t>
      </w:r>
    </w:p>
    <w:p w14:paraId="68A53FCD" w14:textId="77777777" w:rsidR="009D7677" w:rsidRDefault="009D7677" w:rsidP="009D7677">
      <w:pPr>
        <w:pStyle w:val="TextoNormal"/>
      </w:pPr>
    </w:p>
    <w:p w14:paraId="3A9D677E" w14:textId="77777777" w:rsidR="009D7677" w:rsidRDefault="009D7677" w:rsidP="009D7677">
      <w:pPr>
        <w:pStyle w:val="TextoNormal"/>
      </w:pPr>
      <w:r>
        <w:t>La tercera etapa se inicia en 2010, momento en el que se abandonaron las transferencias de financiación y se presupuestaron las partidas para la concesión de las ayudas, publicándose las primeras bases reguladoras de las mismas, mediante las Órdenes de la Consejería de Empleo de 1 de abril de 2011, 13 de marzo de 2012 y 16 de marzo de 2012, hasta su derogación por Decreto-ley 4/2012, de 16 de octubre, de medidas extraordinarias y urgentes en materia de protección sociolaboral a ex-trabajadores y ex-trabajadoras andaluces afectados por procesos de reestructuración de empresas y sectores en crisis.</w:t>
      </w:r>
    </w:p>
    <w:p w14:paraId="3C95C329" w14:textId="77777777" w:rsidR="009D7677" w:rsidRDefault="009D7677" w:rsidP="009D7677">
      <w:pPr>
        <w:pStyle w:val="TextoNormal"/>
      </w:pPr>
    </w:p>
    <w:p w14:paraId="116780F0" w14:textId="77777777" w:rsidR="009D7677" w:rsidRDefault="009D7677" w:rsidP="009D7677">
      <w:pPr>
        <w:pStyle w:val="TextoNormal"/>
      </w:pPr>
      <w:r>
        <w:t>Era una norma dirigida a solucionar los problemas habidos en la concesión de las ayudas sociolaborales, que se dictó para atender a unos grupos concretos de trabajadores, que articulaba las nuevas ayudas a través de la figura de la novación y que no afectaba a las acciones de reintegro iniciadas o que pudieran iniciarse en el futuro.</w:t>
      </w:r>
    </w:p>
    <w:p w14:paraId="4B5D3034" w14:textId="77777777" w:rsidR="009D7677" w:rsidRDefault="009D7677" w:rsidP="009D7677">
      <w:pPr>
        <w:pStyle w:val="TextoNormal"/>
      </w:pPr>
    </w:p>
    <w:p w14:paraId="06DEF5C2" w14:textId="77777777" w:rsidR="009D7677" w:rsidRDefault="009D7677" w:rsidP="009D7677">
      <w:pPr>
        <w:pStyle w:val="TextoNormal"/>
      </w:pPr>
      <w:r>
        <w:t>Este […] Decreto estableció en su primer artículo que ‘[a] estas ayudas sociolaborales no les es de aplicación la normativa general sobre subvenciones públicas, en particular, la Ley 38/2003, de 17 de noviembre, general de subvenciones, el título VIII del texto refundido de la Ley general de hacienda pública de la Junta de Andalucía, aprobado por Decreto Legislativo 1/2010, de 2 de marzo, así como el Decreto 282/2010, de 4 de mayo, por el que se aprueba el Reglamento de los procedimientos de concesión de subvenciones de la administración de la Junta de Andalucía’, lo que supone una excepción al régimen general y evidencia que el criterio seguido en los años anteriores no era conforme a derecho.</w:t>
      </w:r>
    </w:p>
    <w:p w14:paraId="784BE7A5" w14:textId="77777777" w:rsidR="009D7677" w:rsidRDefault="009D7677" w:rsidP="009D7677">
      <w:pPr>
        <w:pStyle w:val="TextoNormal"/>
      </w:pPr>
    </w:p>
    <w:p w14:paraId="0F0145A1" w14:textId="77777777" w:rsidR="009D7677" w:rsidRDefault="009D7677" w:rsidP="009D7677">
      <w:pPr>
        <w:pStyle w:val="TextoNormal"/>
      </w:pPr>
      <w:r>
        <w:t>En todo caso la norma estableció una completa regulación, incluyendo entre otros aspectos, criterios de concesión, sistemas de control, obligaciones de colaboración y declaración, acciones de reintegro y régimen disciplinario y disponiendo expresamente la exigencia de fiscalización previa”.</w:t>
      </w:r>
    </w:p>
    <w:p w14:paraId="1FD5006D" w14:textId="77777777" w:rsidR="009D7677" w:rsidRDefault="009D7677" w:rsidP="009D7677">
      <w:pPr>
        <w:pStyle w:val="TextoNormal"/>
      </w:pPr>
    </w:p>
    <w:p w14:paraId="3CEF78E0" w14:textId="77777777" w:rsidR="009D7677" w:rsidRDefault="009D7677" w:rsidP="009D7677">
      <w:pPr>
        <w:pStyle w:val="TextoNormal"/>
      </w:pPr>
      <w:r>
        <w:t>b) La demandante de amparo fue condenada en la citada sentencia de la Audiencia Provincial de Sevilla por haber participado en los hechos anteriores, en su calidad de consejera de Economía y Hacienda, entre el 2 de agosto de 1994 y el 7 de febrero de 2004. Como tal, participó en la elaboración y aprobación de los anteproyectos de presupuestos y —como miembro del Consejo de Gobierno— en la aprobación y elevación al Parlamento de Andalucía de los proyectos de ley de presupuestos correspondientes a los años 2002 a 2004, siendo conocedora de que, dentro de programa 31L, se consignaban en el instru</w:t>
      </w:r>
      <w:r>
        <w:lastRenderedPageBreak/>
        <w:t>mento “trasferencias de financiación” conceptos vinculados a la partida 440.51 en materia de relaciones laborales. También participó en la tramitación y aprobación —como consejera y como miembro del Consejo de Gobierno— de determinadas modificaciones presupuestarias desde el año 2000 al año 2004.</w:t>
      </w:r>
    </w:p>
    <w:p w14:paraId="07EA63C1" w14:textId="77777777" w:rsidR="009D7677" w:rsidRDefault="009D7677" w:rsidP="009D7677">
      <w:pPr>
        <w:pStyle w:val="TextoNormal"/>
      </w:pPr>
    </w:p>
    <w:p w14:paraId="2F7584FA" w14:textId="77777777" w:rsidR="009D7677" w:rsidRDefault="009D7677" w:rsidP="009D7677">
      <w:pPr>
        <w:pStyle w:val="TextoNormal"/>
      </w:pPr>
      <w:r>
        <w:t>Por dichos hechos, se condenó a la señora Álvarez Arza como autora de un delito continuado de prevaricación [art. 404 del Código penal (CP)] a las penas de nueve años de inhabilitación especial, con la consiguiente privación definitiva de todo cargo público de carácter electivo o de designación, en cualquier administración pública, que tenga la penada; y la incapacidad para obtenerlos durante el tiempo de la condena, imponiéndosele asimismo el pago de la 1/37 parte de las costas procesales causadas, excluidas las de las acusaciones populares.</w:t>
      </w:r>
    </w:p>
    <w:p w14:paraId="71686E37" w14:textId="77777777" w:rsidR="009D7677" w:rsidRDefault="009D7677" w:rsidP="009D7677">
      <w:pPr>
        <w:pStyle w:val="TextoNormal"/>
      </w:pPr>
    </w:p>
    <w:p w14:paraId="059BCA98" w14:textId="4FFFD7B7" w:rsidR="009D7677" w:rsidRDefault="009D7677" w:rsidP="009D7677">
      <w:pPr>
        <w:pStyle w:val="TextoNormal"/>
      </w:pPr>
      <w:r>
        <w:t>c) Interpuesto recurso de casación por la representación procesal de la demandante, el mismo fue desestimado íntegramente por sentencia del Tribunal Supremo núm. 749/2022, de 13 de septiembre.</w:t>
      </w:r>
    </w:p>
    <w:p w14:paraId="345E6C43" w14:textId="77777777" w:rsidR="009D7677" w:rsidRDefault="009D7677" w:rsidP="009D7677">
      <w:pPr>
        <w:pStyle w:val="TextoNormal"/>
      </w:pPr>
    </w:p>
    <w:p w14:paraId="7CFD472A" w14:textId="77777777" w:rsidR="009D7677" w:rsidRDefault="009D7677" w:rsidP="009D7677">
      <w:pPr>
        <w:pStyle w:val="TextoNormal"/>
      </w:pPr>
      <w:r w:rsidRPr="009D7677">
        <w:rPr>
          <w:rStyle w:val="NumeroAFNegritaCaracter"/>
        </w:rPr>
        <w:t>3</w:t>
      </w:r>
      <w:r>
        <w:t>. En la demanda de amparo se alega la vulneración del derecho a la legalidad penal (art. 25.1 CE) encauzada a través de cuatro vertientes distintas:</w:t>
      </w:r>
    </w:p>
    <w:p w14:paraId="64E13D56" w14:textId="77777777" w:rsidR="009D7677" w:rsidRDefault="009D7677" w:rsidP="009D7677">
      <w:pPr>
        <w:pStyle w:val="TextoNormal"/>
      </w:pPr>
    </w:p>
    <w:p w14:paraId="4299BAFA" w14:textId="77777777" w:rsidR="009D7677" w:rsidRDefault="009D7677" w:rsidP="009D7677">
      <w:pPr>
        <w:pStyle w:val="TextoNormal"/>
      </w:pPr>
      <w:r>
        <w:t>a) En primer lugar, al haberse incurrido en una interpretación extravagante e imprevisible del elemento típico “resolución” al que se refiere el art. 404 CP. Para la demandante de amparo, ni el proyecto de ley ni, mucho menos, el anteproyecto de ley pueden ser razonablemente subsumidos en el elemento del tipo “resolución”, puesto que ni tienen contenido decisorio, ni resuelven sobre el fondo, ni generan efectos jurídicos para los administrados. Constituyen, en definitiva, “meros actos preparatorios o de trámite sin fuerza ejecutiva, consistentes en elevar al Consejo de Gobierno (el anteproyecto) y en remitir (el proyecto) al Parlamento, único órgano que si tiene competencia para resolver sobre la ley de presupuestos”.</w:t>
      </w:r>
    </w:p>
    <w:p w14:paraId="01D11066" w14:textId="77777777" w:rsidR="009D7677" w:rsidRDefault="009D7677" w:rsidP="009D7677">
      <w:pPr>
        <w:pStyle w:val="TextoNormal"/>
      </w:pPr>
    </w:p>
    <w:p w14:paraId="01A9E27D" w14:textId="77777777" w:rsidR="009D7677" w:rsidRDefault="009D7677" w:rsidP="009D7677">
      <w:pPr>
        <w:pStyle w:val="TextoNormal"/>
      </w:pPr>
      <w:r>
        <w:t xml:space="preserve">En base a ello, la demandante afirma que las decisiones en virtud de las cuales quedan aprobados dichos proyectos de ley o anteproyectos de ley en ningún caso generan efectos </w:t>
      </w:r>
      <w:r w:rsidRPr="009D7677">
        <w:rPr>
          <w:i/>
        </w:rPr>
        <w:t>ad extra</w:t>
      </w:r>
      <w:r>
        <w:t xml:space="preserve"> hacia los administrados, sino que suponen simplemente poner fin a una fase del procedimiento administrativo. Seguir la tesis mantenida por los órganos judiciales (que orbita sobre la concepción de que el carácter ejecutivo de dichas decisiones se deriva de que suponen la finalización del proceso de elaboración del proyecto de ley) supondría que “todo acto de trámite pasaría </w:t>
      </w:r>
      <w:r w:rsidRPr="009D7677">
        <w:rPr>
          <w:i/>
        </w:rPr>
        <w:t>eo ipso</w:t>
      </w:r>
      <w:r>
        <w:t xml:space="preserve"> a constituir una ‘resolución’ con fuerza decisoria puesto que pondría fin a la tramitación de ese mismo acto reglado”.</w:t>
      </w:r>
    </w:p>
    <w:p w14:paraId="7A40E614" w14:textId="77777777" w:rsidR="009D7677" w:rsidRDefault="009D7677" w:rsidP="009D7677">
      <w:pPr>
        <w:pStyle w:val="TextoNormal"/>
      </w:pPr>
    </w:p>
    <w:p w14:paraId="2FE0A8DF" w14:textId="77777777" w:rsidR="009D7677" w:rsidRDefault="009D7677" w:rsidP="009D7677">
      <w:pPr>
        <w:pStyle w:val="TextoNormal"/>
      </w:pPr>
      <w:r>
        <w:t>A su juicio, esta posición supone no solo una contravención de la doctrina del Tribunal Supremo mantenida hasta la fecha, sino que, además, conlleva la utilización de pautas interpretativas y valorativas extravagantes que se revelan altamente incompatibles con la separación de poderes y el art. 66.2 CE toda vez que supone convertir los textos prelegislativos en mandatos al Parlamento. Esto se encuentra en consonancia con la jurisprudencia de la Sala de lo Contencioso-Administrativo del Tribunal Supremo que ha afirmado reiteradamente que los textos prelegislativos constituyen actos preparatorios de una decisión parlamentaria, lo que se traduce en su carencia de entidad y eficacia jurídica.</w:t>
      </w:r>
    </w:p>
    <w:p w14:paraId="254C2FB0" w14:textId="77777777" w:rsidR="009D7677" w:rsidRDefault="009D7677" w:rsidP="009D7677">
      <w:pPr>
        <w:pStyle w:val="TextoNormal"/>
      </w:pPr>
    </w:p>
    <w:p w14:paraId="3AD85E64" w14:textId="77777777" w:rsidR="009D7677" w:rsidRDefault="009D7677" w:rsidP="009D7677">
      <w:pPr>
        <w:pStyle w:val="TextoNormal"/>
      </w:pPr>
      <w:r>
        <w:lastRenderedPageBreak/>
        <w:t>Para la demandante, atribuir la condición de “resolución” a la realización de cualquier acto de trámite supondría equiparar en gravedad a las decisiones definitivas sobre el fondo de un asunto administrativo los informes no vinculantes o los trámites intermedios, interpretación que racionalmente no puede derivarse del sentido de la ley. A esto coadyuva, claro está, el hecho de que los actos que las resoluciones impugnadas califican como resolución se refieren a textos prelegislativos que posteriormente deben ser aprobados por el Parlamento a través de un complejo proceso de informes y enmiendas, lo que impide afirmar que dichos textos puedan tener una “eficacia determinante” en la decisión finalmente aprobada por un Parlamento independiente y autónomo.</w:t>
      </w:r>
    </w:p>
    <w:p w14:paraId="2ADC9C8B" w14:textId="77777777" w:rsidR="009D7677" w:rsidRDefault="009D7677" w:rsidP="009D7677">
      <w:pPr>
        <w:pStyle w:val="TextoNormal"/>
      </w:pPr>
    </w:p>
    <w:p w14:paraId="696063FC" w14:textId="77777777" w:rsidR="009D7677" w:rsidRDefault="009D7677" w:rsidP="009D7677">
      <w:pPr>
        <w:pStyle w:val="TextoNormal"/>
      </w:pPr>
      <w:r>
        <w:t>b) En segundo lugar, al haberse fundado la condena en una aplicación retroactiva de la jurisprudencia del Tribunal Supremo (art. 9.3 CE). En el desarrollo de este motivo aduce la demandante que la STS 163/2019, de 26 de marzo (ECLI:ES:TS:2019:881), (antecedente en el que la resolución del Tribunal Supremo se apoya para considerar las conductas de la demandante subsumibles en el delito de prevaricación) ha sido aplicada retroactivamente. En este sentido, recuerda la recurrente que el cambio jurisprudencial operado por la resolución referenciada no se encontraba vigente en la fecha de comisión de los hechos (años 2000 a 2004), ni tampoco en la fecha en la que fue llamada a declarar como investigada (año 2013), ni siquiera en el momento en que concluyó el juicio oral (diciembre de 2018).</w:t>
      </w:r>
    </w:p>
    <w:p w14:paraId="44D61183" w14:textId="77777777" w:rsidR="009D7677" w:rsidRDefault="009D7677" w:rsidP="009D7677">
      <w:pPr>
        <w:pStyle w:val="TextoNormal"/>
      </w:pPr>
    </w:p>
    <w:p w14:paraId="7DA0D3C1" w14:textId="77777777" w:rsidR="009D7677" w:rsidRDefault="009D7677" w:rsidP="009D7677">
      <w:pPr>
        <w:pStyle w:val="TextoNormal"/>
      </w:pPr>
      <w:r>
        <w:t>Consecuentemente, en el momento en que la demandante ejerció sus funciones como consejera de Economía y Hacienda el giro jurisprudencial que permitió considerar “resolución administrativa” los actos de tramitación que tuvieran “eficacia causal determinante” no se encontraba vigente y resultaba claramente imprevisible habida cuenta de la doctrina tradicional mantenida por el Tribunal Supremo. A esto se une, además, la circunstancia de que la doctrina acogida en la ya referenciada STS 163/2019 no ha tenido un seguimiento posterior por la jurisprudencia del Tribunal Supremo, lo que es indicativo de la excepcionalidad con la que la Sala Segunda consagró estos argumentos.</w:t>
      </w:r>
    </w:p>
    <w:p w14:paraId="7EAD5911" w14:textId="77777777" w:rsidR="009D7677" w:rsidRDefault="009D7677" w:rsidP="009D7677">
      <w:pPr>
        <w:pStyle w:val="TextoNormal"/>
      </w:pPr>
    </w:p>
    <w:p w14:paraId="7D41223F" w14:textId="77777777" w:rsidR="009D7677" w:rsidRDefault="009D7677" w:rsidP="009D7677">
      <w:pPr>
        <w:pStyle w:val="TextoNormal"/>
      </w:pPr>
      <w:r>
        <w:t>c) En tercer lugar, por haberse incurrido en una interpretación extravagante e imprevisible del elemento típico “asunto administrativo” (art. 404 CP). Tras traer a colación la doctrina de este tribunal sobre la naturaleza de los proyectos de ley (SSTC 45/1990, de 15 de marzo, y 196/1990, de 29 de noviembre) y su naturaleza ajena al ámbito de los actos administrativos, la demandante aduce que las resoluciones judiciales impugnadas habrían incurrido en una interpretación extravagante del tipo al tratar de justificar la punición por el art. 404 CP bajo la consideración de que los actos políticos o de gobierno pueden ser sometidos a control judicial en aquellos elementos reglados por el ordenamiento jurídico.</w:t>
      </w:r>
    </w:p>
    <w:p w14:paraId="129CEA25" w14:textId="77777777" w:rsidR="009D7677" w:rsidRDefault="009D7677" w:rsidP="009D7677">
      <w:pPr>
        <w:pStyle w:val="TextoNormal"/>
      </w:pPr>
    </w:p>
    <w:p w14:paraId="72A04CEE" w14:textId="77777777" w:rsidR="009D7677" w:rsidRDefault="009D7677" w:rsidP="009D7677">
      <w:pPr>
        <w:pStyle w:val="TextoNormal"/>
      </w:pPr>
      <w:r>
        <w:t>Considera, además, que la afirmación efectuada en la sentencia recurrida, y que orbita en torno a la concepción de que la jurisdicción penal no debe someterse a los presupuestos doctrinales y jurisprudenciales establecidos por el Tribunal Constitucional y la Sala de lo Contencioso-Administrativo del Tribunal Supremo, resulta ajena a toda pauta razonable de interpretación jurídica y es lesiva del derecho a la legalidad penal por diferentes razones: (i) Porque la presencia de elementos reglados no permite convertir la tramitación prelegislativa en un “asunto administrativo” pues supone desconocer la particular naturaleza del proyecto de ley como acto de iniciativa legislativa. (ii) Porque el proyecto de ley es un acto preparatorio de una decisión parlamentaria y carente de entidad jurídica propia. Care</w:t>
      </w:r>
      <w:r>
        <w:lastRenderedPageBreak/>
        <w:t>ce de sentido, en definitiva, que los textos prelegislativos deban ser sometidos al control judicial por cuanto dicho control lo ejerce el Parlamento a través del examen, enmienda y aprobación del proyecto de ley en cuestión. (iii) Porque efectuar una interpretación autónoma prescindiendo de la doctrina de este tribunal sobre la naturaleza jurídica de los proyectos de ley vulnera el derecho a la legalidad penal. Se estaría, en otras palabras, realizando una interpretación del concepto “asunto administrativo” que prescindiría del resto del ordenamiento jurídico, cuestión que sería, además, especialmente gravosa habida cuenta de la involucración de conceptos que no son puramente penales. (iv) Porque se estaría estableciendo un concepto “penal” de “asunto administrativo” distinto del manejado por la Sala de lo Contencioso-Administrativo del Tribunal Supremo o una naturaleza jurídica de los “proyectos de ley” que ignoraría la doctrina del Tribunal Constitucional, lo que sin duda incrementa exponencialmente la inseguridad jurídica.</w:t>
      </w:r>
    </w:p>
    <w:p w14:paraId="3F2A8EF9" w14:textId="77777777" w:rsidR="009D7677" w:rsidRDefault="009D7677" w:rsidP="009D7677">
      <w:pPr>
        <w:pStyle w:val="TextoNormal"/>
      </w:pPr>
    </w:p>
    <w:p w14:paraId="7003AD49" w14:textId="77777777" w:rsidR="009D7677" w:rsidRDefault="009D7677" w:rsidP="009D7677">
      <w:pPr>
        <w:pStyle w:val="TextoNormal"/>
      </w:pPr>
      <w:r>
        <w:t>Termina la demandante incidiendo en que todo lo anterior sería igualmente extrapolable a las modificaciones presupuestarias, las cuales, considera, tampoco tendrían naturaleza administrativa, sino de meros actos de desarrollo del presupuesto previamente aprobado por el Parlamento a fin de acomodar sus créditos al surgimiento de necesidades sobrevenidas.</w:t>
      </w:r>
    </w:p>
    <w:p w14:paraId="3A730E45" w14:textId="77777777" w:rsidR="009D7677" w:rsidRDefault="009D7677" w:rsidP="009D7677">
      <w:pPr>
        <w:pStyle w:val="TextoNormal"/>
      </w:pPr>
    </w:p>
    <w:p w14:paraId="761B0621" w14:textId="77777777" w:rsidR="009D7677" w:rsidRDefault="009D7677" w:rsidP="009D7677">
      <w:pPr>
        <w:pStyle w:val="TextoNormal"/>
      </w:pPr>
      <w:r>
        <w:t>d) En cuarto lugar, porque se habría incurrido en una interpretación extravagante e imprevisible del elemento típico “arbitrariedad” (art. 404 CP) al considerar ilegal un texto prelegislativo que posteriormente quedó conformado como una ley presupuestaria aprobada por el Parlamento de Andalucía. Así, aduce la demandante de amparo que la utilización del instrumento “transferencias de financiación” como medio para sufragar ayudas a empresas y particulares fue aprobado por el Parlamento andaluz lo que, desde luego, hace quebrar la presunción de ilicitud que es plasmada en las resoluciones judiciales combatidas.</w:t>
      </w:r>
    </w:p>
    <w:p w14:paraId="40E063EE" w14:textId="77777777" w:rsidR="009D7677" w:rsidRDefault="009D7677" w:rsidP="009D7677">
      <w:pPr>
        <w:pStyle w:val="TextoNormal"/>
      </w:pPr>
    </w:p>
    <w:p w14:paraId="19CD24B2" w14:textId="77777777" w:rsidR="009D7677" w:rsidRDefault="009D7677" w:rsidP="009D7677">
      <w:pPr>
        <w:pStyle w:val="TextoNormal"/>
      </w:pPr>
      <w:r>
        <w:t>En este punto considera que las sentencias impugnadas parten de una contradicción evidente pues si consideran que las leyes de presupuestos no aprobaron financiar ayudas sociolaborales con transferencias de financiación (sino que aprobaron una partida presupuestaria para cubrir pérdidas que estaban indebidamente recogidas en el presupuesto) ello llevaría no solamente a afirmar que dos textos normativos idénticos aprobaron cosas distintas sino que, también, sustraería de la cadena causal al acto posterior.</w:t>
      </w:r>
    </w:p>
    <w:p w14:paraId="65983478" w14:textId="77777777" w:rsidR="009D7677" w:rsidRDefault="009D7677" w:rsidP="009D7677">
      <w:pPr>
        <w:pStyle w:val="TextoNormal"/>
      </w:pPr>
    </w:p>
    <w:p w14:paraId="3CAF5C17" w14:textId="77777777" w:rsidR="009D7677" w:rsidRDefault="009D7677" w:rsidP="009D7677">
      <w:pPr>
        <w:pStyle w:val="TextoNormal"/>
      </w:pPr>
      <w:r>
        <w:t xml:space="preserve">La recurrente sostiene que la cuestión sería especialmente relevante toda vez que se atribuiría efectos jurídicos a un proyecto de ley que carece de eficacia jurídica propia, ya que no constituye sino una mera propuesta legislativa que no genera obligaciones y que no puede producir ningún efecto en la ejecución del gasto. Solo en el momento en que pasan el trámite parlamentario preceptivo es cuando comienzan a desplegar efectos jurídicos siendo que, además, en este caso, dichas leyes no fueron recurridas o declaradas inconstitucionales. El seguimiento de la tesis mantenida por los órganos judiciales supondría llegar a la conclusión fáctica de que durante ocho años el Parlamento no fue consciente de lo que aprobaba, lo que supone una confusión entre la </w:t>
      </w:r>
      <w:r w:rsidRPr="009D7677">
        <w:rPr>
          <w:i/>
        </w:rPr>
        <w:t>voluntas legislatoris</w:t>
      </w:r>
      <w:r>
        <w:t xml:space="preserve"> y l</w:t>
      </w:r>
      <w:r w:rsidRPr="009D7677">
        <w:rPr>
          <w:i/>
        </w:rPr>
        <w:t>a voluntas leg</w:t>
      </w:r>
      <w:r>
        <w:t>is.</w:t>
      </w:r>
    </w:p>
    <w:p w14:paraId="1ADAB3BD" w14:textId="77777777" w:rsidR="009D7677" w:rsidRDefault="009D7677" w:rsidP="009D7677">
      <w:pPr>
        <w:pStyle w:val="TextoNormal"/>
      </w:pPr>
    </w:p>
    <w:p w14:paraId="589E96EB" w14:textId="77777777" w:rsidR="009D7677" w:rsidRDefault="009D7677" w:rsidP="009D7677">
      <w:pPr>
        <w:pStyle w:val="TextoNormal"/>
      </w:pPr>
      <w:r>
        <w:t xml:space="preserve">Para la demandante resulta evidente que los proyectos de ley elevados por el Consejo de Gobierno no pueden ser ilegales, pues han sido convertidos en ley por su aprobación </w:t>
      </w:r>
      <w:r>
        <w:lastRenderedPageBreak/>
        <w:t>parlamentaria de tal manera que,“si las leyes de presupuestos aprobaron lo que se reflejaba en los proyectos de ley —lo que resultaría evidente dada su absoluta identidad de contenido—, entonces los proyectos no pueden, por definición, ser ‘ilegales’; y si las leyes de presupuestos no aprobaron aquello que con los proyectos de ley pretendía el Gobierno, entonces estos resultan completamente inanes y no pueden tampoco ser ‘ilegales’, pues al carecer de eficacia jurídica no pueden desplegar ningún efecto jurídic</w:t>
      </w:r>
      <w:r w:rsidRPr="009D7677">
        <w:rPr>
          <w:i/>
        </w:rPr>
        <w:t>o ad ext</w:t>
      </w:r>
      <w:r>
        <w:t>ra”.</w:t>
      </w:r>
    </w:p>
    <w:p w14:paraId="31D43678" w14:textId="77777777" w:rsidR="009D7677" w:rsidRDefault="009D7677" w:rsidP="009D7677">
      <w:pPr>
        <w:pStyle w:val="TextoNormal"/>
      </w:pPr>
    </w:p>
    <w:p w14:paraId="7DC5996B" w14:textId="1F4E50C8" w:rsidR="009D7677" w:rsidRDefault="009D7677" w:rsidP="009D7677">
      <w:pPr>
        <w:pStyle w:val="TextoNormal"/>
      </w:pPr>
      <w:r>
        <w:t>Por todo ello, interesa la demandante que se le otorgue el amparo, se declare la vulneración del derecho fundamental a la legalidad penal (art. 25.1 CE) y se le reponga el derecho fundamental declarando nulas las resoluciones recurridas.</w:t>
      </w:r>
    </w:p>
    <w:p w14:paraId="69B1436F" w14:textId="77777777" w:rsidR="009D7677" w:rsidRDefault="009D7677" w:rsidP="009D7677">
      <w:pPr>
        <w:pStyle w:val="TextoNormal"/>
      </w:pPr>
    </w:p>
    <w:p w14:paraId="5F00F74D" w14:textId="77777777" w:rsidR="009D7677" w:rsidRDefault="009D7677" w:rsidP="009D7677">
      <w:pPr>
        <w:pStyle w:val="TextoNormal"/>
      </w:pPr>
      <w:r w:rsidRPr="009D7677">
        <w:rPr>
          <w:rStyle w:val="NumeroAFNegritaCaracter"/>
        </w:rPr>
        <w:t>4</w:t>
      </w:r>
      <w:r>
        <w:t>. La Sala Segunda de este tribunal dictó el ATC 284/2023, de 5 de junio, en el que, previa avocación a la Sala de la decisión, admitió a trámite el presente recurso de amparo “porque el recurso plantea un problema o afecta a una faceta de un derecho fundamental sobre el que no hay doctrina de este tribunal [STC 155/2009, FJ 2 a)] y porque el asunto suscitado trasciende del caso concreto porque plantea una cuestión jurídica de relevante y general repercusión social o económica y tiene unas consecuencias políticas generales [STC 155/2009, FJ 2 g)]”.</w:t>
      </w:r>
    </w:p>
    <w:p w14:paraId="2C353C70" w14:textId="77777777" w:rsidR="009D7677" w:rsidRDefault="009D7677" w:rsidP="009D7677">
      <w:pPr>
        <w:pStyle w:val="TextoNormal"/>
      </w:pPr>
    </w:p>
    <w:p w14:paraId="3E3BA380" w14:textId="77777777" w:rsidR="009D7677" w:rsidRDefault="009D7677" w:rsidP="009D7677">
      <w:pPr>
        <w:pStyle w:val="TextoNormal"/>
      </w:pPr>
      <w:r>
        <w:t>Acordó, asimismo, en aplicación del art. 51 de la Ley Orgánica del Tribunal Constitucional (LOTC), requerir a la Sección Primera de la Audiencia Provincial de Sevilla a fin de que remitiera certificación o fotocopia adverada de las actuaciones correspondientes al procedimiento abreviado núm. 133-2016, rollo núm. 1965-2017, y emplazase a quienes hubieran sido parte en el procedimiento, excepto a la parte recurrente en amparo, para que en el plazo de diez días pudieran comparecer, si lo deseasen, en el presente recurso. También acordó requerir a la Sala de lo Penal del Tribunal Supremo para que remitiera certificación o fotocopia adverada de las actuaciones correspondientes al recurso de casación núm. 601-2020.</w:t>
      </w:r>
    </w:p>
    <w:p w14:paraId="371F8966" w14:textId="77777777" w:rsidR="009D7677" w:rsidRDefault="009D7677" w:rsidP="009D7677">
      <w:pPr>
        <w:pStyle w:val="TextoNormal"/>
      </w:pPr>
    </w:p>
    <w:p w14:paraId="69A87EDC" w14:textId="77777777" w:rsidR="009D7677" w:rsidRDefault="009D7677" w:rsidP="009D7677">
      <w:pPr>
        <w:pStyle w:val="TextoNormal"/>
      </w:pPr>
      <w:r>
        <w:t>Se propuso finalmente la avocación al Pleno del conocimiento del asunto.</w:t>
      </w:r>
    </w:p>
    <w:p w14:paraId="272E0298" w14:textId="77777777" w:rsidR="009D7677" w:rsidRDefault="009D7677" w:rsidP="009D7677">
      <w:pPr>
        <w:pStyle w:val="TextoNormal"/>
      </w:pPr>
    </w:p>
    <w:p w14:paraId="05D5A776" w14:textId="79692ECA" w:rsidR="009D7677" w:rsidRDefault="009D7677" w:rsidP="009D7677">
      <w:pPr>
        <w:pStyle w:val="TextoNormal"/>
      </w:pPr>
      <w:r>
        <w:t>Por providencia de 20 de junio de 2023 el Pleno de este tribunal acordó, conforme al art. 10.1 n) LOTC, a propuesta de la Sala Segunda, recabar para sí el conocimiento del presente recurso de amparo, que se tramitaba en dicha Sala con el número 6971-2022, interpuesto por doña Magdalena Álvarez Arza.</w:t>
      </w:r>
    </w:p>
    <w:p w14:paraId="579352BB" w14:textId="77777777" w:rsidR="009D7677" w:rsidRDefault="009D7677" w:rsidP="009D7677">
      <w:pPr>
        <w:pStyle w:val="TextoNormal"/>
      </w:pPr>
    </w:p>
    <w:p w14:paraId="0A266486" w14:textId="77777777" w:rsidR="009D7677" w:rsidRDefault="009D7677" w:rsidP="009D7677">
      <w:pPr>
        <w:pStyle w:val="TextoNormal"/>
      </w:pPr>
      <w:r w:rsidRPr="009D7677">
        <w:rPr>
          <w:rStyle w:val="NumeroAFNegritaCaracter"/>
        </w:rPr>
        <w:t>5</w:t>
      </w:r>
      <w:r>
        <w:t>. Se han producido las siguientes incidencias en cuanto a la comparecencia, la personación y las alegaciones de las partes procesales:</w:t>
      </w:r>
    </w:p>
    <w:p w14:paraId="3F9E3C76" w14:textId="77777777" w:rsidR="009D7677" w:rsidRDefault="009D7677" w:rsidP="009D7677">
      <w:pPr>
        <w:pStyle w:val="TextoNormal"/>
      </w:pPr>
    </w:p>
    <w:p w14:paraId="0947C7D9" w14:textId="77777777" w:rsidR="009D7677" w:rsidRDefault="009D7677" w:rsidP="009D7677">
      <w:pPr>
        <w:pStyle w:val="TextoNormal"/>
      </w:pPr>
      <w:r>
        <w:t xml:space="preserve">a) Mediante escrito de 25 de julio de 2023, el procurador de los tribunales don Manuel Sánchez-Puelles González-Carvajal, en nombre y representación del Partido Popular y bajo la dirección letrada de don Ángel Márquez Prieto y don Alfonso Martínez Escribano, interesó que se le tuviera por personado en el procedimiento así como la acumulación de los recursos de amparo dimanantes de la misma causa penal. Por diligencia de ordenación de la Secretaría de Justicia del Pleno de este tribunal de 27 de julio de 2023, se admitió su personación y, a tenor de lo dispuesto en el art. 52 LOTC, se acordó dar vista de todas las actuaciones del presente recurso de amparo, por un plazo común de veinte días, a la parte </w:t>
      </w:r>
      <w:r>
        <w:lastRenderedPageBreak/>
        <w:t>recurrente, al Partido Popular y al Ministerio Fiscal para que dentro de dicho término pudieran presentar las alegaciones que estimasen procedentes.</w:t>
      </w:r>
    </w:p>
    <w:p w14:paraId="6FD76DFB" w14:textId="77777777" w:rsidR="009D7677" w:rsidRDefault="009D7677" w:rsidP="009D7677">
      <w:pPr>
        <w:pStyle w:val="TextoNormal"/>
      </w:pPr>
    </w:p>
    <w:p w14:paraId="3DDF3A7F" w14:textId="77777777" w:rsidR="009D7677" w:rsidRDefault="009D7677" w:rsidP="009D7677">
      <w:pPr>
        <w:pStyle w:val="TextoNormal"/>
      </w:pPr>
      <w:r>
        <w:t>b) La demandante, por escrito registrado el 25 de septiembre de 2023, presentó sus alegaciones ratificándose en los fundamentos invocados en la respectiva demanda de amparo.</w:t>
      </w:r>
    </w:p>
    <w:p w14:paraId="5B2C3981" w14:textId="77777777" w:rsidR="009D7677" w:rsidRDefault="009D7677" w:rsidP="009D7677">
      <w:pPr>
        <w:pStyle w:val="TextoNormal"/>
      </w:pPr>
    </w:p>
    <w:p w14:paraId="1594D98C" w14:textId="77777777" w:rsidR="009D7677" w:rsidRDefault="009D7677" w:rsidP="009D7677">
      <w:pPr>
        <w:pStyle w:val="TextoNormal"/>
      </w:pPr>
      <w:r>
        <w:t>c) La representación procesal del Partido Popular, por escrito registrado el 26 de septiembre de 2023, interesó que se desestimara el recurso al no apreciarse la vulneración del principio de legalidad penal. Siguiendo el orden establecido por la recurrente en su escrito de demanda, la representación procesal del Partido Popular da respuesta a cada uno de los motivos formulados de la siguiente manera:</w:t>
      </w:r>
    </w:p>
    <w:p w14:paraId="36062BD8" w14:textId="77777777" w:rsidR="009D7677" w:rsidRDefault="009D7677" w:rsidP="009D7677">
      <w:pPr>
        <w:pStyle w:val="TextoNormal"/>
      </w:pPr>
    </w:p>
    <w:p w14:paraId="3B640277" w14:textId="77777777" w:rsidR="009D7677" w:rsidRDefault="009D7677" w:rsidP="009D7677">
      <w:pPr>
        <w:pStyle w:val="TextoNormal"/>
      </w:pPr>
      <w:r>
        <w:t>En relación con la vulneración del principio de legalidad penal (art. 25.1 CE) por haberse incurrido en una interpretación extravagante e imprevisible del elemento típico “resolución” al que se refiere el art. 404 CP, aduce que la demanda incurre en una indebida simplificación de que la condena se basa en actos prelegislativos cuando ello es manifiestamente inexacto. Así, la prevaricación declarada en sentencia de instancia no se fundamentaría únicamente en la adopción de unas resoluciones contrarias a derecho en los trámites de elaboración y aprobación de las normas presupuestarias, sino también en el hecho de que estas decisiones se adoptaron para conseguir una finalidad palmariamente ilegal: evitar el cumplimiento de las exigencias de normas sobre subvenciones y el control previo de la Intervención General de la Junta de Andalucía. Consecuentemente, las sentencias se sustentarían en una subsunción de los hechos plenamente acorde y en nada ajena al significado posible de los términos de la norma aplicada.</w:t>
      </w:r>
    </w:p>
    <w:p w14:paraId="78820575" w14:textId="77777777" w:rsidR="009D7677" w:rsidRDefault="009D7677" w:rsidP="009D7677">
      <w:pPr>
        <w:pStyle w:val="TextoNormal"/>
      </w:pPr>
    </w:p>
    <w:p w14:paraId="402F4FE3" w14:textId="77777777" w:rsidR="009D7677" w:rsidRDefault="009D7677" w:rsidP="009D7677">
      <w:pPr>
        <w:pStyle w:val="TextoNormal"/>
      </w:pPr>
      <w:r>
        <w:t>Aduce asimismo que las resoluciones judiciales impugnadas citan diversos precedentes jurisprudenciales y disposiciones legales que justificarían el encuadramiento de las conductas en el concepto “resolución”, por lo que ha de considerarse plenamente racional la interpretación efectuada por la Audiencia Provincial de Sevilla y el Tribunal Supremo. A las citadas adiciona la parte otros antecedentes legislativos, como la Ley de procedimiento administrativo de 1958, la Ley 30/1992, de 26 de noviembre, de régimen jurídico de las administraciones públicas y del procedimiento administrativo común, o la Ley 50/1997, de 27 de noviembre, del Gobierno, que regulan la elaboración de disposiciones de carácter general como procedimientos administrativos especiales, de ahí que sea racional considerar los actos de esos procedimientos como resoluciones en asunto o procedimiento administrativo.</w:t>
      </w:r>
    </w:p>
    <w:p w14:paraId="35A796B2" w14:textId="77777777" w:rsidR="009D7677" w:rsidRDefault="009D7677" w:rsidP="009D7677">
      <w:pPr>
        <w:pStyle w:val="TextoNormal"/>
      </w:pPr>
    </w:p>
    <w:p w14:paraId="4B8B44C6" w14:textId="77777777" w:rsidR="009D7677" w:rsidRDefault="009D7677" w:rsidP="009D7677">
      <w:pPr>
        <w:pStyle w:val="TextoNormal"/>
      </w:pPr>
      <w:r>
        <w:t>Además, mantiene que la censura en amparo referida a actos prelegislativos no podría extenderse en ningún caso respecto a las modificaciones presupuestarias que son la otra base de la condena de la demandante. Así se razona, de hecho, en el fundamento jurídico 24 de la sentencia del Tribunal Supremo señalando que la decisión aprobatoria de estas modificaciones debía ser adoptada por el consejero de Hacienda o el Consejo de Gobierno y está sujeta a unas exigencias procedimentales que fueron deliberadamente incumplidas.</w:t>
      </w:r>
    </w:p>
    <w:p w14:paraId="26B34E91" w14:textId="77777777" w:rsidR="009D7677" w:rsidRDefault="009D7677" w:rsidP="009D7677">
      <w:pPr>
        <w:pStyle w:val="TextoNormal"/>
      </w:pPr>
    </w:p>
    <w:p w14:paraId="5FF639B4" w14:textId="77777777" w:rsidR="009D7677" w:rsidRDefault="009D7677" w:rsidP="009D7677">
      <w:pPr>
        <w:pStyle w:val="TextoNormal"/>
      </w:pPr>
      <w:r>
        <w:t>En relación con haberse fundado la condena en una aplicación retroactiva de la jurisprudencia del Tribunal Supremo (art. 9.3 CE), afirma que lo que garantiza el principio de legalidad es la irretroactividad de la norma penal y no de la jurisprudencia derivada de su interpretación. Ello lleva a que los cambios jurisprudenciales puedan afectar a hechos co</w:t>
      </w:r>
      <w:r>
        <w:lastRenderedPageBreak/>
        <w:t>metidos con anterioridad al pronunciamiento del tribunal siempre que el cambio jurisprudencial se encuentre debidamente motivado [SSTS 1179/2001, de 20 de julio (ECLI: ES:TS:2001:6461); 611/2011, de 9 de junio (ECLI:ES:TS:2011:4332), y 438/2018, de 3 de octubre (ECLI:ES:TS:2018:3253)].</w:t>
      </w:r>
    </w:p>
    <w:p w14:paraId="09FF08D5" w14:textId="77777777" w:rsidR="009D7677" w:rsidRDefault="009D7677" w:rsidP="009D7677">
      <w:pPr>
        <w:pStyle w:val="TextoNormal"/>
      </w:pPr>
    </w:p>
    <w:p w14:paraId="0FF7500C" w14:textId="77777777" w:rsidR="009D7677" w:rsidRDefault="009D7677" w:rsidP="009D7677">
      <w:pPr>
        <w:pStyle w:val="TextoNormal"/>
      </w:pPr>
      <w:r>
        <w:t>En el caso planteado, la doctrina del Tribunal Supremo ha ido evolucionando en su interpretación del concepto jurídico “resolución en asunto administrativo” [SSTS 941/2009, de 29 de septiembre (ECLI:ES:TS:2009:5849); 277/2018, de 8 de junio (ECLI:ES:TS:2018:2056); 149/2015, de 11 de marzo (ECLI:ES:TS:2015:960); 600/2014, de 3 de septiembre (ECLI:ES:TS:2014:3522), y 359/2019, de 15 de julio (ECLI:ES:TS:2019:2355)] lo que permite afirmar que era previsible una respuesta penal a la adopción de resoluciones manifiestamente ilegales en un proceso prelegislativo. Consecuentemente, no se ha hecho una aplicación sorpresiva por un cambio o giro radical en la interpretación dada en 2019, sino que existen precedentes jurisprudenciales muy anteriores en un sentido similar.</w:t>
      </w:r>
    </w:p>
    <w:p w14:paraId="64AE603E" w14:textId="77777777" w:rsidR="009D7677" w:rsidRDefault="009D7677" w:rsidP="009D7677">
      <w:pPr>
        <w:pStyle w:val="TextoNormal"/>
      </w:pPr>
    </w:p>
    <w:p w14:paraId="61199160" w14:textId="77777777" w:rsidR="009D7677" w:rsidRDefault="009D7677" w:rsidP="009D7677">
      <w:pPr>
        <w:pStyle w:val="TextoNormal"/>
      </w:pPr>
      <w:r>
        <w:t>En relación con haberse incurrido en una interpretación extravagante e imprevisible del elemento típico “asunto administrativo” (art. 404 CP), considera que las sentencias impugnadas no desconocen la inmunidad jurisdiccional de los actos políticos sino que, al contrario, motivan suficientemente que los actos enjuiciados no son de aquella clase. En este sentido, mantiene que resulta acertada la afirmación efectuada por las resoluciones impugnadas de que el proceso prelegislativo es un proceso puramente administrativo y que, en consecuencia, los actos del Gobierno y de la administración que culminan en la elevación del proyecto de ley son actos o resoluciones a efectos penales. Esta interpretación sería, además, respetuosa con el reparto de funciones entre el Poder Ejecutivo y el Legislativo toda vez que “nunca puede considerarse como decisión de control del poder judicial (del orden penal) sobre otro poder; en este orden judicial no se enjuician actos o decisiones de otros poderes, sino conductas personales imputables a las personas que ocupen, en cada momento, los cargos o empleos públicos, por los actos realizados que respondan a los tipos que el legislador orgánico ha entendido punibles y que, sin excepción, solo son las conductas atentatorias a los derechos fundamentales de los ciudadanos o al interés público general”.</w:t>
      </w:r>
    </w:p>
    <w:p w14:paraId="4B70DF03" w14:textId="77777777" w:rsidR="009D7677" w:rsidRDefault="009D7677" w:rsidP="009D7677">
      <w:pPr>
        <w:pStyle w:val="TextoNormal"/>
      </w:pPr>
    </w:p>
    <w:p w14:paraId="5EA0A9E8" w14:textId="77777777" w:rsidR="009D7677" w:rsidRDefault="009D7677" w:rsidP="009D7677">
      <w:pPr>
        <w:pStyle w:val="TextoNormal"/>
      </w:pPr>
      <w:r>
        <w:t>La argumentación efectuada por la demandante supondría, en otras palabras, extender al actuar individual de los cargos públicos una inmunidad penal que nada tiene que ver con la imposibilidad de control prevista constitucional o legalmente para las instituciones públicas.</w:t>
      </w:r>
    </w:p>
    <w:p w14:paraId="0F539010" w14:textId="77777777" w:rsidR="009D7677" w:rsidRDefault="009D7677" w:rsidP="009D7677">
      <w:pPr>
        <w:pStyle w:val="TextoNormal"/>
      </w:pPr>
    </w:p>
    <w:p w14:paraId="40E8FC18" w14:textId="77777777" w:rsidR="009D7677" w:rsidRDefault="009D7677" w:rsidP="009D7677">
      <w:pPr>
        <w:pStyle w:val="TextoNormal"/>
      </w:pPr>
      <w:r>
        <w:t>En relación con el último motivo, interpretación extravagante e imprevisible del elemento típico “arbitrariedad” (art. 404 CP) al considerar ilegal un texto prelegislativo que posteriormente quedó conformado como una ley presupuestaria aprobada por el Parlamento de Andalucía, afirma que el hecho de que los proyectos de ley fueran finalmente aprobados no es obstáculo para atribuir relevancia penal a las resoluciones aludidas, dado que la consumación del delito se produce con el dictado de una resolución injusta, siendo irrelevante que el Parlamento no detectara la ilegalidad.</w:t>
      </w:r>
    </w:p>
    <w:p w14:paraId="5AEB092F" w14:textId="77777777" w:rsidR="009D7677" w:rsidRDefault="009D7677" w:rsidP="009D7677">
      <w:pPr>
        <w:pStyle w:val="TextoNormal"/>
      </w:pPr>
    </w:p>
    <w:p w14:paraId="2763A9BD" w14:textId="77777777" w:rsidR="009D7677" w:rsidRDefault="009D7677" w:rsidP="009D7677">
      <w:pPr>
        <w:pStyle w:val="TextoNormal"/>
      </w:pPr>
      <w:r>
        <w:t>Considera que existe un régimen jurídico estatutario, legal y reglamentario aplicable a la elaboración de estos proyectos y que dicho régimen no puede ser modificado sin modi</w:t>
      </w:r>
      <w:r>
        <w:lastRenderedPageBreak/>
        <w:t>ficar previamente la norma legal que lo regula. De esta manera, desconocer dicho contenido supondría una aplicación distinta de la prevista en la norma lo que resulta encuadrable en el delito de prevaricación. Vuelve a incidir, por último, en que los argumentos empleados por la recurrente podrían ser solo aplicables a los proyectos y anteproyectos de ley pero nunca a las modificaciones presupuestarias que revisten, como ya se ha señalado, otro régimen jurídico distinto.</w:t>
      </w:r>
    </w:p>
    <w:p w14:paraId="286069B3" w14:textId="77777777" w:rsidR="009D7677" w:rsidRDefault="009D7677" w:rsidP="009D7677">
      <w:pPr>
        <w:pStyle w:val="TextoNormal"/>
      </w:pPr>
    </w:p>
    <w:p w14:paraId="4241584A" w14:textId="77777777" w:rsidR="009D7677" w:rsidRDefault="009D7677" w:rsidP="009D7677">
      <w:pPr>
        <w:pStyle w:val="TextoNormal"/>
      </w:pPr>
      <w:r>
        <w:t>d) Por escrito presentado el 6 de octubre de 2023 la procuradora de los tribunales doña Virginia Aragón Segura, actuando en nombre y representación de don Gaspar Zarrías Arévalo, bajo la dirección técnica del letrado don Gonzalo Martínez-Fresneda Ortiz de Solórzano, solicitó se le tuviera por personado en el procedimiento y adherido a los motivos de amparo primero y segundo formulados por la recurrente.</w:t>
      </w:r>
    </w:p>
    <w:p w14:paraId="6DA97CE4" w14:textId="77777777" w:rsidR="009D7677" w:rsidRDefault="009D7677" w:rsidP="009D7677">
      <w:pPr>
        <w:pStyle w:val="TextoNormal"/>
      </w:pPr>
    </w:p>
    <w:p w14:paraId="364AA155" w14:textId="77777777" w:rsidR="009D7677" w:rsidRDefault="009D7677" w:rsidP="009D7677">
      <w:pPr>
        <w:pStyle w:val="TextoNormal"/>
      </w:pPr>
      <w:r>
        <w:t>e) Por escrito presentado el 9 de octubre de 2023, la procuradora de los tribunales doña Patricia Rosch Iglesias, actuando en nombre y representación de don Francisco Vallejo Serrano, bajo la dirección técnica de la letrada doña Encarnación Molino Barrero, solicitó se le tuviera por personado en el procedimiento a los efectos previstos en los arts. 47.1, 51.2 y 52.1 LOTC.</w:t>
      </w:r>
    </w:p>
    <w:p w14:paraId="1974FCC6" w14:textId="77777777" w:rsidR="009D7677" w:rsidRDefault="009D7677" w:rsidP="009D7677">
      <w:pPr>
        <w:pStyle w:val="TextoNormal"/>
      </w:pPr>
    </w:p>
    <w:p w14:paraId="3A6F21AF" w14:textId="77777777" w:rsidR="009D7677" w:rsidRDefault="009D7677" w:rsidP="009D7677">
      <w:pPr>
        <w:pStyle w:val="TextoNormal"/>
      </w:pPr>
      <w:r>
        <w:t>f) Por escrito presentado el 9 de octubre de 2023, la procuradora de los tribunales doña Patricia Rosch Iglesias, actuando en nombre y representación de don Jesús María Rodríguez Román, bajo la dirección técnica del letrado don Luis Aparicio Díaz, solicitó se le tuviera por personado en el procedimiento a los efectos previstos en los arts. 47.1, 51.2 y 52.1 LOTC.</w:t>
      </w:r>
    </w:p>
    <w:p w14:paraId="4F4E94BC" w14:textId="77777777" w:rsidR="009D7677" w:rsidRDefault="009D7677" w:rsidP="009D7677">
      <w:pPr>
        <w:pStyle w:val="TextoNormal"/>
      </w:pPr>
    </w:p>
    <w:p w14:paraId="68FCAC01" w14:textId="77777777" w:rsidR="009D7677" w:rsidRDefault="009D7677" w:rsidP="009D7677">
      <w:pPr>
        <w:pStyle w:val="TextoNormal"/>
      </w:pPr>
      <w:r>
        <w:t>g) Por escrito presentado el 9 de octubre de 2023, el procurador de los tribunales don Roberto Granizo Palomeque, actuando en nombre y representación de don Antonio Vicente Lozano Peña y don José Antonio Griñán Martínez, bajo la dirección técnica del letrado don José María Calero Martínez, solicitó se le tuviera por personado en el procedimiento.</w:t>
      </w:r>
    </w:p>
    <w:p w14:paraId="2C68AED4" w14:textId="77777777" w:rsidR="009D7677" w:rsidRDefault="009D7677" w:rsidP="009D7677">
      <w:pPr>
        <w:pStyle w:val="TextoNormal"/>
      </w:pPr>
    </w:p>
    <w:p w14:paraId="40C90B95" w14:textId="77777777" w:rsidR="009D7677" w:rsidRDefault="009D7677" w:rsidP="009D7677">
      <w:pPr>
        <w:pStyle w:val="TextoNormal"/>
      </w:pPr>
      <w:r>
        <w:t>h) Por escrito presentado el 10 de octubre de 2023, la procuradora de los tribunales doña Olga Coca Alonso, actuando en nombre y representación de doña Carmen Martínez Aguayo, bajo la dirección técnica del letrado don Víctor Moreno Catena, solicitó se le tuviera por personado en el procedimiento y adherido a los motivos de amparo formulados por la recurrente.</w:t>
      </w:r>
    </w:p>
    <w:p w14:paraId="2E35C810" w14:textId="77777777" w:rsidR="009D7677" w:rsidRDefault="009D7677" w:rsidP="009D7677">
      <w:pPr>
        <w:pStyle w:val="TextoNormal"/>
      </w:pPr>
    </w:p>
    <w:p w14:paraId="30205901" w14:textId="77777777" w:rsidR="009D7677" w:rsidRDefault="009D7677" w:rsidP="009D7677">
      <w:pPr>
        <w:pStyle w:val="TextoNormal"/>
      </w:pPr>
      <w:r>
        <w:t>i) Por diligencia de ordenación de 23 de octubre de 2023 se tuvieron por recibidos los emplazamientos practicados por la Sección Primera de la Audiencia Provincial de Sevilla y se acordó tener por personados y parte en el proceso a la procuradora doña Virginia Aragón Segura en nombre y representación de don Gaspar Zarrías Arévalo, a la procuradora doña Patricia Rosch Iglesias en nombre y representación de don Francisco Vallejo Serrano, a la misma procuradora señora Rosch Iglesias en nombre y representación de don Jesús María Rodríguez Román, al procurador don Roberto Granizo Palomeque en nombre y representación de don Antonio Vicente Lozano Peña y don José Antonio Griñán Martínez, y a la procuradora doña Olga Coca Alonso en nombre y representación de doña Carmen Martínez Aguayo.</w:t>
      </w:r>
    </w:p>
    <w:p w14:paraId="6D2531DD" w14:textId="77777777" w:rsidR="009D7677" w:rsidRDefault="009D7677" w:rsidP="009D7677">
      <w:pPr>
        <w:pStyle w:val="TextoNormal"/>
      </w:pPr>
    </w:p>
    <w:p w14:paraId="1DA4FDD6" w14:textId="77777777" w:rsidR="009D7677" w:rsidRDefault="009D7677" w:rsidP="009D7677">
      <w:pPr>
        <w:pStyle w:val="TextoNormal"/>
      </w:pPr>
      <w:r>
        <w:lastRenderedPageBreak/>
        <w:t>Asimismo, y a tenor de lo dispuesto en el art. 52 LOTC, se dio vista de todas las actuaciones del presente recurso de amparo, por un plazo común de veinte días, a las citadas partes personadas, para que dentro de dicho término pudieran presentar las alegaciones que a su derecho conviniera.</w:t>
      </w:r>
    </w:p>
    <w:p w14:paraId="7AE429BE" w14:textId="77777777" w:rsidR="009D7677" w:rsidRDefault="009D7677" w:rsidP="009D7677">
      <w:pPr>
        <w:pStyle w:val="TextoNormal"/>
      </w:pPr>
    </w:p>
    <w:p w14:paraId="4449C2F1" w14:textId="77777777" w:rsidR="009D7677" w:rsidRDefault="009D7677" w:rsidP="009D7677">
      <w:pPr>
        <w:pStyle w:val="TextoNormal"/>
      </w:pPr>
      <w:r>
        <w:t>j) Por escrito presentado el 26 de octubre de 2023 el fiscal ante el Tribunal Constitucional solicitó una prórroga para evacuar las alegaciones previstas en el art. 52 LOTC, por un plazo de treinta días hábiles complementarios a contar desde la conclusión del plazo ordinario, prevista para el 8 de noviembre de 2023. Por diligencia de ordenación de 30 de octubre de 2023 se tuvo por recibido el anterior escrito del fiscal y se acordó ampliar el plazo en los términos solicitados.</w:t>
      </w:r>
    </w:p>
    <w:p w14:paraId="1137150E" w14:textId="77777777" w:rsidR="009D7677" w:rsidRDefault="009D7677" w:rsidP="009D7677">
      <w:pPr>
        <w:pStyle w:val="TextoNormal"/>
      </w:pPr>
    </w:p>
    <w:p w14:paraId="6E8A645A" w14:textId="77777777" w:rsidR="009D7677" w:rsidRDefault="009D7677" w:rsidP="009D7677">
      <w:pPr>
        <w:pStyle w:val="TextoNormal"/>
      </w:pPr>
      <w:r>
        <w:t>k) Por escrito registrado el 2 de noviembre de 2023, la representación procesal de don Antonio Vicente Lozano Peña evacuó escrito de alegaciones en el que se adhirió a los motivos primero, tercero y cuarto del presente recurso de amparo, así como a la petición de nulidad de las sentencias dictadas por la Sala de lo Penal del Tribunal Supremo y por la Sección Primera de la Audiencia Provincial de Sevilla.</w:t>
      </w:r>
    </w:p>
    <w:p w14:paraId="7279B2E8" w14:textId="77777777" w:rsidR="009D7677" w:rsidRDefault="009D7677" w:rsidP="009D7677">
      <w:pPr>
        <w:pStyle w:val="TextoNormal"/>
      </w:pPr>
    </w:p>
    <w:p w14:paraId="6B3B59D3" w14:textId="77777777" w:rsidR="009D7677" w:rsidRDefault="009D7677" w:rsidP="009D7677">
      <w:pPr>
        <w:pStyle w:val="TextoNormal"/>
      </w:pPr>
      <w:r>
        <w:t>l) Por escrito registrado el 2 de noviembre de 2023, la representación procesal de don José Antonio Griñán Martínez evacuó escrito de alegaciones en el que se adhirió a los motivos primero, tercero y cuarto del presente recurso de amparo, así como a la petición de nulidad de las sentencias dictadas por la Sala de lo Penal del Tribunal Supremo y por la Sección Primera de la Audiencia Provincial de Sevilla.</w:t>
      </w:r>
    </w:p>
    <w:p w14:paraId="03054BA8" w14:textId="77777777" w:rsidR="009D7677" w:rsidRDefault="009D7677" w:rsidP="009D7677">
      <w:pPr>
        <w:pStyle w:val="TextoNormal"/>
      </w:pPr>
    </w:p>
    <w:p w14:paraId="33572314" w14:textId="77777777" w:rsidR="009D7677" w:rsidRDefault="009D7677" w:rsidP="009D7677">
      <w:pPr>
        <w:pStyle w:val="TextoNormal"/>
      </w:pPr>
      <w:r>
        <w:t>m) Por escrito registrado el 20 de noviembre de 2023, la representación procesal de doña Carmen Martínez Aguayo evacuó escrito de alegaciones en el que se adhirió a los motivos de amparo formulados en el presente recurso en todo lo que pudiera favorecer a su mandante, por entender que los fundamentos, alegaciones y vulneraciones de derechos fundamentales denunciados son plenamente aplicables a la misma, lo que conllevaría la revocación de las sentencias impugnadas y su absolución.</w:t>
      </w:r>
    </w:p>
    <w:p w14:paraId="09618378" w14:textId="77777777" w:rsidR="009D7677" w:rsidRDefault="009D7677" w:rsidP="009D7677">
      <w:pPr>
        <w:pStyle w:val="TextoNormal"/>
      </w:pPr>
    </w:p>
    <w:p w14:paraId="7F412018" w14:textId="77777777" w:rsidR="009D7677" w:rsidRDefault="009D7677" w:rsidP="009D7677">
      <w:pPr>
        <w:pStyle w:val="TextoNormal"/>
      </w:pPr>
      <w:r>
        <w:t xml:space="preserve">n) Por escrito registrado el 20 de noviembre de 2023, la representación procesal de don Jesús María Rodríguez Román evacuó escrito de alegaciones en la que denunciaba la vulneración del principio de legalidad (art. 25.1 CE) por interpretación extensiva </w:t>
      </w:r>
      <w:r w:rsidRPr="009D7677">
        <w:rPr>
          <w:i/>
        </w:rPr>
        <w:t>in malam parte</w:t>
      </w:r>
      <w:r>
        <w:t xml:space="preserve"> de los conceptos “resolución” y “asunto administrativo” a los que se refiere el art. 404 CP. En este sentido, mantiene que los acuerdos del Consejo de Gobierno de la Junta de Andalucía y las modificaciones presupuestarias son actos políticos de gobierno no siendo posible, en consecuencia, su control judicial. Considera que las sentencias recurridas habrían hecho una interpretación extensiva peyorativa al afirmar que puede sostenerse la existencia de leyes ilegales y que, además, se habría obviado la pericial presentada que serviría para constatar que existía un conflicto de leyes entre el art. 18.1 de la Ley del Parlamento de Andalucía 15/2001 y las sucesivas leyes de presupuestos de la comunidad autónoma que debía resolverse conforme a los principios interpretativos de que la ley especial se aplica sobre la ley general y la ley posterior deroga a la ley anterior.</w:t>
      </w:r>
    </w:p>
    <w:p w14:paraId="46F976ED" w14:textId="77777777" w:rsidR="009D7677" w:rsidRDefault="009D7677" w:rsidP="009D7677">
      <w:pPr>
        <w:pStyle w:val="TextoNormal"/>
      </w:pPr>
    </w:p>
    <w:p w14:paraId="11A84BE6" w14:textId="77777777" w:rsidR="009D7677" w:rsidRDefault="009D7677" w:rsidP="009D7677">
      <w:pPr>
        <w:pStyle w:val="TextoNormal"/>
      </w:pPr>
      <w:r>
        <w:t xml:space="preserve">Adicionalmente sostiene que resulta absurdo condenar a la recurrente y al señor Rodríguez Román y absolver al interventor general que informó favorablemente todas las modificaciones presupuestarias. La existencia de dichos informes conllevaría, en definitiva, la </w:t>
      </w:r>
      <w:r>
        <w:lastRenderedPageBreak/>
        <w:t>exclusión del delito de prevaricación pues quedaría evidenciado que la ilegalidad no era palmaria, manifiesta o evidente.</w:t>
      </w:r>
    </w:p>
    <w:p w14:paraId="0E173AF1" w14:textId="77777777" w:rsidR="009D7677" w:rsidRDefault="009D7677" w:rsidP="009D7677">
      <w:pPr>
        <w:pStyle w:val="TextoNormal"/>
      </w:pPr>
    </w:p>
    <w:p w14:paraId="38B5CB82" w14:textId="77777777" w:rsidR="009D7677" w:rsidRDefault="009D7677" w:rsidP="009D7677">
      <w:pPr>
        <w:pStyle w:val="TextoNormal"/>
      </w:pPr>
      <w:r>
        <w:t>ñ) Por escrito registrado el 22 de noviembre de 2023, la representación procesal de don Francisco Vallejo Serrano evacuó escrito de alegaciones que se articula sobre los siguientes extremos:</w:t>
      </w:r>
    </w:p>
    <w:p w14:paraId="739C023E" w14:textId="77777777" w:rsidR="009D7677" w:rsidRDefault="009D7677" w:rsidP="009D7677">
      <w:pPr>
        <w:pStyle w:val="TextoNormal"/>
      </w:pPr>
    </w:p>
    <w:p w14:paraId="3C10CAA7" w14:textId="77777777" w:rsidR="009D7677" w:rsidRDefault="009D7677" w:rsidP="009D7677">
      <w:pPr>
        <w:pStyle w:val="TextoNormal"/>
      </w:pPr>
      <w:r>
        <w:t xml:space="preserve">(i) Se ha producido una interpretación extensiva </w:t>
      </w:r>
      <w:r w:rsidRPr="009D7677">
        <w:rPr>
          <w:i/>
        </w:rPr>
        <w:t>in malam partem</w:t>
      </w:r>
      <w:r>
        <w:t xml:space="preserve"> de los conceptos “resolución” y “asunto administrativo” a los que se refiere el art. 404 CP, toda vez que el proyecto de ley de presupuestos se enmarca en la iniciativa legislativa del Gobierno y, por lo tanto, es un acto político que no puede subsumirse en el tipo del art. 404 CP. Forma parte de la iniciativa legislativa y, en consecuencia, se trata de una actuación en asunto político y no administrativo.</w:t>
      </w:r>
    </w:p>
    <w:p w14:paraId="5CE061F0" w14:textId="77777777" w:rsidR="009D7677" w:rsidRDefault="009D7677" w:rsidP="009D7677">
      <w:pPr>
        <w:pStyle w:val="TextoNormal"/>
      </w:pPr>
    </w:p>
    <w:p w14:paraId="45E08856" w14:textId="77777777" w:rsidR="009D7677" w:rsidRDefault="009D7677" w:rsidP="009D7677">
      <w:pPr>
        <w:pStyle w:val="TextoNormal"/>
      </w:pPr>
      <w:r>
        <w:t>(ii) No puede existir una ley “ilegal” o “ilegalidades” dentro de la ley. Desde el año 2002, todas las leyes de presupuestos de la Junta de Andalucía fueron aprobadas válidamente por el Parlamento de Andalucía, previendo en sus estados de gastos que el dinero para el pago por el IFA/IDEA de las ayudas sociolaborales se allegara al ente instrumental mediante transferencias de financiación. Vistas las leyes de presupuestos en sus estados de gastos y en sus memorias, no puede afirmarse que el Parlamento no sabía lo que aprobaba o que el Parlamento fuera inducido a error.</w:t>
      </w:r>
    </w:p>
    <w:p w14:paraId="5F4CE6BF" w14:textId="77777777" w:rsidR="009D7677" w:rsidRDefault="009D7677" w:rsidP="009D7677">
      <w:pPr>
        <w:pStyle w:val="TextoNormal"/>
      </w:pPr>
    </w:p>
    <w:p w14:paraId="7D3CB925" w14:textId="77777777" w:rsidR="009D7677" w:rsidRDefault="009D7677" w:rsidP="009D7677">
      <w:pPr>
        <w:pStyle w:val="TextoNormal"/>
      </w:pPr>
      <w:r>
        <w:t>(iii) Del procedimiento de elaboración de un anteproyecto no se puede derivar una ilegalidad constitutiva de prevaricación. Aunque las sentencias objeto de amparo sitúan la pretendida ilegalidad en la indebida inclusión por la Consejería de Empleo de los créditos para transferencias de financiación, este hecho se produce en la fase de elaboración del anteproyecto, transmitiéndose dicho defecto posteriormente al proyecto de ley y a la ley una vez aprobada. El Consejo de Gobierno no participa en la elaboración material del anteproyecto de ley de presupuestos y no decide las cuestiones técnicas del mismo, confiando en el “buen hacer del trabajo desarrollado por los muchos técnicos cualificados y altos funcionarios que lo han revisado”.</w:t>
      </w:r>
    </w:p>
    <w:p w14:paraId="63CEAB48" w14:textId="77777777" w:rsidR="009D7677" w:rsidRDefault="009D7677" w:rsidP="009D7677">
      <w:pPr>
        <w:pStyle w:val="TextoNormal"/>
      </w:pPr>
    </w:p>
    <w:p w14:paraId="0CC31C1A" w14:textId="5E63BCA5" w:rsidR="009D7677" w:rsidRDefault="009D7677" w:rsidP="009D7677">
      <w:pPr>
        <w:pStyle w:val="TextoNormal"/>
      </w:pPr>
      <w:r>
        <w:t>(iv) resulta incoherente, ilógico y arbitrario que se condene a la recurrente, y también al señor Vallejo Serrano, mientras que, sin embargo, queda absuelto el interventor general que informó favorablemente todas las modificaciones presupuestarias. La existencia de dichos informes conllevaría, en definitiva, la exclusión del delito de prevaricación pues quedaría evidenciado que la ilegalidad no era palmaria, manifiesta o evidente.</w:t>
      </w:r>
    </w:p>
    <w:p w14:paraId="3C75F50E" w14:textId="77777777" w:rsidR="009D7677" w:rsidRDefault="009D7677" w:rsidP="009D7677">
      <w:pPr>
        <w:pStyle w:val="TextoNormal"/>
      </w:pPr>
    </w:p>
    <w:p w14:paraId="5A6FE082" w14:textId="77777777" w:rsidR="009D7677" w:rsidRDefault="009D7677" w:rsidP="009D7677">
      <w:pPr>
        <w:pStyle w:val="TextoNormal"/>
      </w:pPr>
      <w:r w:rsidRPr="009D7677">
        <w:rPr>
          <w:rStyle w:val="NumeroAFNegritaCaracter"/>
        </w:rPr>
        <w:t>6</w:t>
      </w:r>
      <w:r>
        <w:t>. El Ministerio Fiscal, en escrito registrado el 8 de enero de 2024, presentó sus alegaciones a la presente demanda de amparo. Siguen las mismas un método de análisis que se divide en tres puntos cardinales:</w:t>
      </w:r>
    </w:p>
    <w:p w14:paraId="00A8308E" w14:textId="77777777" w:rsidR="009D7677" w:rsidRDefault="009D7677" w:rsidP="009D7677">
      <w:pPr>
        <w:pStyle w:val="TextoNormal"/>
      </w:pPr>
    </w:p>
    <w:p w14:paraId="36F76E9D" w14:textId="77777777" w:rsidR="009D7677" w:rsidRDefault="009D7677" w:rsidP="009D7677">
      <w:pPr>
        <w:pStyle w:val="TextoNormal"/>
      </w:pPr>
      <w:r>
        <w:t xml:space="preserve">(i) En relación con la primera cuestión, sostiene que la posición mantenida por el Tribunal Supremo y la Audiencia Provincial de Sevilla en virtud de la cual el procedimiento prelegislativo tendría una doble dimensión (una dimensión política no susceptible de control judicial y que incluiría la decisión sobre el destino o distribución de los créditos, y otra dimensión técnica sometida a un procedimiento administrativo reglado) constituye una </w:t>
      </w:r>
      <w:r>
        <w:lastRenderedPageBreak/>
        <w:t>novedad que no tiene antecedentes “a lo largo del trayecto de vida constitucional iniciado en 1978”.</w:t>
      </w:r>
    </w:p>
    <w:p w14:paraId="41CABBF2" w14:textId="77777777" w:rsidR="009D7677" w:rsidRDefault="009D7677" w:rsidP="009D7677">
      <w:pPr>
        <w:pStyle w:val="TextoNormal"/>
      </w:pPr>
    </w:p>
    <w:p w14:paraId="27E185D7" w14:textId="77777777" w:rsidR="009D7677" w:rsidRDefault="009D7677" w:rsidP="009D7677">
      <w:pPr>
        <w:pStyle w:val="TextoNormal"/>
      </w:pPr>
      <w:r>
        <w:t xml:space="preserve">Para el Ministerio Fiscal, los argumentos acogidos por la Sala de Casación a la hora de justificar la producción de efectos </w:t>
      </w:r>
      <w:r w:rsidRPr="009D7677">
        <w:rPr>
          <w:i/>
        </w:rPr>
        <w:t>ad extra</w:t>
      </w:r>
      <w:r>
        <w:t xml:space="preserve"> de los actos prelegislativos constituye además una inversión del trayecto lógico seguido por la doctrina constitucional y contencioso-administrativa en la medida en que una conducta como la enjuiciada parece excluirse del ámbito de control jurisdiccional por asimilación o conexidad con la función legislativa, parlamentaria por definición en nuestro modelo constitucional.</w:t>
      </w:r>
    </w:p>
    <w:p w14:paraId="3586AD85" w14:textId="77777777" w:rsidR="009D7677" w:rsidRDefault="009D7677" w:rsidP="009D7677">
      <w:pPr>
        <w:pStyle w:val="TextoNormal"/>
      </w:pPr>
    </w:p>
    <w:p w14:paraId="748D8B62" w14:textId="77777777" w:rsidR="009D7677" w:rsidRDefault="009D7677" w:rsidP="009D7677">
      <w:pPr>
        <w:pStyle w:val="TextoNormal"/>
      </w:pPr>
      <w:r>
        <w:t>Así, los argumentos a través de los cuales las resoluciones impugnadas niegan la naturaleza legislativa a los actos de aprobación de un proyecto de ley para su remisión al Parlamento permiten detectar, a juicio de la Fiscalía ante el Tribunal Constitucional, una falla lógica determinante pues “constituyen afirmaciones apodícticas que además encierran conclusiones tautológicas, porque las tres hacen presupuesto de la cuestión”. En este sentido, afirma el Ministerio Fiscal que las referencias efectuadas a la STS 163/2019, de 26 de marzo, no permiten en ningún caso deducir que el acto de aprobación y elevación al Parlamento constituye una resolución dictada en asunto administrativo. Máxime, precisamente, cuando el propio Reglamento del Parlamento incluye la iniciativa legislativa atribuida al Consejo de Gobierno en el procedimiento legislativo en cuestión (art. 108 del Reglamento del Parlamento andaluz). Ello dificultaría también, por otra parte, la atribución de eficacia decisoria a los actos adoptados en cuanto se exige “un daño específico a personas o servicios públicos” que, en el presente caso, resulta imposible identificar con otro efecto jurídico que no sea el de la apertura de la fase parlamentaria.</w:t>
      </w:r>
    </w:p>
    <w:p w14:paraId="45353D45" w14:textId="77777777" w:rsidR="009D7677" w:rsidRDefault="009D7677" w:rsidP="009D7677">
      <w:pPr>
        <w:pStyle w:val="TextoNormal"/>
      </w:pPr>
    </w:p>
    <w:p w14:paraId="62B36B39" w14:textId="77777777" w:rsidR="009D7677" w:rsidRDefault="009D7677" w:rsidP="009D7677">
      <w:pPr>
        <w:pStyle w:val="TextoNormal"/>
      </w:pPr>
      <w:r>
        <w:t xml:space="preserve">A esto añade que la pretensión de que un tribunal penal pueda abordar autónomamente el examen de legalidad de un acto que, sin embargo, está vedado a la jurisdicción contenciosa e incluso al Tribunal Constitucional hace quebrar uno de los principios esenciales del propio Derecho penal como es el principio de intervención mínima y última </w:t>
      </w:r>
      <w:r w:rsidRPr="009D7677">
        <w:rPr>
          <w:i/>
        </w:rPr>
        <w:t>ratio</w:t>
      </w:r>
      <w:r>
        <w:t>. La autonomía funcional de la jurisdicción penal para apreciar con arreglo a criterios propios determinados aspectos de la realidad administrativa o de otras ramas del Derecho no puede traducirse, en modo alguno, en un auto-posicionamiento de la jurisdicción penal como primera y única barrera jurisdiccional de control de la legalidad de una iniciativa legislativa.</w:t>
      </w:r>
    </w:p>
    <w:p w14:paraId="69A2B7C3" w14:textId="77777777" w:rsidR="009D7677" w:rsidRDefault="009D7677" w:rsidP="009D7677">
      <w:pPr>
        <w:pStyle w:val="TextoNormal"/>
      </w:pPr>
    </w:p>
    <w:p w14:paraId="46F8161A" w14:textId="77777777" w:rsidR="009D7677" w:rsidRDefault="009D7677" w:rsidP="009D7677">
      <w:pPr>
        <w:pStyle w:val="TextoNormal"/>
      </w:pPr>
      <w:r>
        <w:t>Es en este punto cuando surgiría, para el Ministerio Fiscal, un nuevo factor de imprevisibilidad ante la inexistencia de precedentes de persecución o condena en supuestos similares y ante el contexto de sólida negación del control jurisdiccional sobre este tipo de actos. La sensación de impunidad argumentada por el Tribunal Supremo no puede hacerse valer como fundamento de una condena sin una previa reflexión relativa a la ponderación de los principios e intereses en juego.</w:t>
      </w:r>
    </w:p>
    <w:p w14:paraId="356963E5" w14:textId="77777777" w:rsidR="009D7677" w:rsidRDefault="009D7677" w:rsidP="009D7677">
      <w:pPr>
        <w:pStyle w:val="TextoNormal"/>
      </w:pPr>
    </w:p>
    <w:p w14:paraId="2E678A85" w14:textId="77777777" w:rsidR="009D7677" w:rsidRDefault="009D7677" w:rsidP="009D7677">
      <w:pPr>
        <w:pStyle w:val="TextoNormal"/>
      </w:pPr>
      <w:r>
        <w:t xml:space="preserve">Considera, además, que tratar de disociar el juicio de legalidad del acto del Gobierno de la acción penalmente perseguible de quien la realiza no puede conducir a la conclusión de que la condena penal no pasa, precisamente, por el análisis de la legitimidad constitucional de ese acto, siendo que ese análisis lo efectúa, además, un tribunal penal cuando dicho acto está vetado incluso a la jurisdicción constitucional. Efectivamente, distinguir la decisión final de elevar un proyecto de ley de la aprobación misma del proyecto de ley supone </w:t>
      </w:r>
      <w:r>
        <w:lastRenderedPageBreak/>
        <w:t>atribuir a aquella decisión política una función de control de la legalidad del procedimiento previo de su contenido, lo que atenta contra la autonomía del Poder Legislativo. No es posible, en definitiva, apreciar la ilegalidad y arbitrariedad de la acción de su autor sin calificar la ilegalidad o inconstitucionalidad del procedimiento o de su contenido y esto es lo que, precisamente, hace la sentencia condenatoria. El seguimiento apodíctico de estas afirmaciones conllevaría que los tribunales penales podrían fiscalizar sistemáticamente la legalidad de los proyectos de ley antes —o al margen incluso— de su valoración, enmienda y aprobación por los Parlamentos. Considera el fiscal que la inadecuación de este razonamiento se deduce ya directamente de la propia jurisprudencia de la Sala de lo Contencioso-Administrativo del Tribunal Supremo y del Tribunal Constitucional y ello supondría, incluso, “desapoderar a las Cortes Generales de una facultad que constitucionalmente les corresponde en exclusiva”.</w:t>
      </w:r>
    </w:p>
    <w:p w14:paraId="26049E4E" w14:textId="77777777" w:rsidR="009D7677" w:rsidRDefault="009D7677" w:rsidP="009D7677">
      <w:pPr>
        <w:pStyle w:val="TextoNormal"/>
      </w:pPr>
    </w:p>
    <w:p w14:paraId="371163E9" w14:textId="77777777" w:rsidR="009D7677" w:rsidRDefault="009D7677" w:rsidP="009D7677">
      <w:pPr>
        <w:pStyle w:val="TextoNormal"/>
      </w:pPr>
      <w:r>
        <w:t xml:space="preserve">Afirma que se trata, consecuentemente, de preservar el principio constitucional de separación de poderes y la autonomía del Poder Legislativo tal como ha sido recordado en diferentes pronunciamientos del Tribunal Constitucional, donde se ha afirmado la inviabilidad de un control constitucional </w:t>
      </w:r>
      <w:r w:rsidRPr="009D7677">
        <w:rPr>
          <w:i/>
        </w:rPr>
        <w:t>ab initio</w:t>
      </w:r>
      <w:r>
        <w:t xml:space="preserve"> del contenido de las iniciativas legislativas (AATC 85/2006, de 15 de marzo, y 131/2022, de 11 de octubre). Resultaría, por lo tanto, “inconcebiblemente paradójico […] que la exclusión de cualquier control jurisdiccional atinente a la constitucionalidad de un mero proyecto legislativo, basada en un imprescindible respeto a la separación de poderes, pudiera convivir, como pretenden las sentencias impugnadas, con un juicio </w:t>
      </w:r>
      <w:r w:rsidRPr="009D7677">
        <w:rPr>
          <w:i/>
        </w:rPr>
        <w:t>ex ante</w:t>
      </w:r>
      <w:r>
        <w:t xml:space="preserve"> de la jurisdicción penal sobre la ‘legalidad’ formal y material del contenido de la iniciativa legislativa, de modo que el ejercicio de la potestad parlamentaria haya de llevarse a cabo sobre la base de un proyecto cuyo acuerdo de aprobación para su remisión al Parlamento es calificado de delictivo por un tribunal penal”.</w:t>
      </w:r>
    </w:p>
    <w:p w14:paraId="005E0C19" w14:textId="77777777" w:rsidR="009D7677" w:rsidRDefault="009D7677" w:rsidP="009D7677">
      <w:pPr>
        <w:pStyle w:val="TextoNormal"/>
      </w:pPr>
    </w:p>
    <w:p w14:paraId="7151A7A3" w14:textId="77777777" w:rsidR="009D7677" w:rsidRDefault="009D7677" w:rsidP="009D7677">
      <w:pPr>
        <w:pStyle w:val="TextoNormal"/>
      </w:pPr>
      <w:r>
        <w:t>Todo ello le lleva a concluir que un correcto planteamiento del conflicto entre la aplicación de la norma penal y la tutela de la autonomía del Parlamento para legislar ha de resolverse forzosamente a favor de la exclusión del control penal. La sola idea de que un acto exento al control jurisdiccional contencioso-administrativo e, incluso, constitucional, pueda, sin embargo, ser objeto de control por los tribunales penales choca con la división de poderes y en cualquier lectura conjunta de la Constitución y la jurisprudencia del Tribunal Constitucional. Por ello mismo, solicita la estimación de amparo frente a este primer motivo.</w:t>
      </w:r>
    </w:p>
    <w:p w14:paraId="6119894E" w14:textId="77777777" w:rsidR="009D7677" w:rsidRDefault="009D7677" w:rsidP="009D7677">
      <w:pPr>
        <w:pStyle w:val="TextoNormal"/>
      </w:pPr>
    </w:p>
    <w:p w14:paraId="3C70A8B9" w14:textId="77777777" w:rsidR="009D7677" w:rsidRDefault="009D7677" w:rsidP="009D7677">
      <w:pPr>
        <w:pStyle w:val="TextoNormal"/>
      </w:pPr>
      <w:r>
        <w:t>(ii) Con relación a la segunda cuestión, vulneración del principio de legalidad por aplicación retroactiva de la jurisprudencia, comienza apreciando el fiscal la concurrencia del óbice procesal de falta de agotamiento al tratarse de una argumentación imputable únicamente a la resolución dictada por el Tribunal Supremo. Se trata, en definitiva, de un motivo autónomo surgido como consecuencia de la respuesta desestimatoria del Tribunal Supremo al motivo sexto del recurso de casación, lo que provoca que, acudiéndose directamente al presente recurso de amparo, y no habiéndose combatido la resolución recurrida vía incidente de nulidad de actuaciones [art. 241.1 de la Ley Orgánica del Poder Judicial (LOPJ)], no se habría respetado el principio de subsidiariedad que debe regir en la vía constitucional [art. 50.1 a) en relación con el art. 44.1 a) LOTC].</w:t>
      </w:r>
    </w:p>
    <w:p w14:paraId="7650B615" w14:textId="77777777" w:rsidR="009D7677" w:rsidRDefault="009D7677" w:rsidP="009D7677">
      <w:pPr>
        <w:pStyle w:val="TextoNormal"/>
      </w:pPr>
    </w:p>
    <w:p w14:paraId="75690068" w14:textId="77777777" w:rsidR="009D7677" w:rsidRDefault="009D7677" w:rsidP="009D7677">
      <w:pPr>
        <w:pStyle w:val="TextoNormal"/>
      </w:pPr>
      <w:r>
        <w:t xml:space="preserve">Subsidiariamente a la apreciación del citado óbice procesal, interesa el Ministerio Fiscal la estimación del motivo al considerar que tanto la ley como la interpretación que de la </w:t>
      </w:r>
      <w:r>
        <w:lastRenderedPageBreak/>
        <w:t>misma efectúa la jurisprudencia no pueden desligarse de la previsibilidad de la aplicación como elemento integrante de principio de legalidad establecido en el art. 25.1 CE. Así, en el caso presente se habrían citado para justificar la condena por el delito del art. 404 CP unos precedentes (STS 163/2019, de 26 de marzo) muy posteriores a los actos que se atribuyen a la recurrente (años 2000 a 2004), posteriores incluso al momento en que la demandante fue llamada a declarar como investigada (junio de 2013) e, incluso, al momento en que finalizó el juicio oral (diciembre de 2018). Dichos precedentes, además, en ningún caso se referían a conductas como las aquí enjuiciadas, sino que consistían en la atribución del concepto “resolución dictada en asunto administrativo” a los efectos del art. 404 CP a actos de muy diferente naturaleza, como aquellos relacionados con el otorgamiento de contratos (STS 149/2015, de 11 de marzo) o la elaboración de informes vinculantes para el pleno de un ayuntamiento (STS 359/2019). En este punto el Ministerio Fiscal adiciona que la relación entre los proyectos de ley elaborados por el Consejo de Gobierno y su posterior aprobación por el Parlamento en ningún caso queda constituida como una “relación vinculante” sino que se enmarca en el sometimiento del proyecto de ley a la tramitación y consideración parlamentaria pudiendo ser objeto, consecuentemente, de aprobación o rechazo.</w:t>
      </w:r>
    </w:p>
    <w:p w14:paraId="683A89AC" w14:textId="77777777" w:rsidR="009D7677" w:rsidRDefault="009D7677" w:rsidP="009D7677">
      <w:pPr>
        <w:pStyle w:val="TextoNormal"/>
      </w:pPr>
    </w:p>
    <w:p w14:paraId="1F8DA47E" w14:textId="77777777" w:rsidR="009D7677" w:rsidRDefault="009D7677" w:rsidP="009D7677">
      <w:pPr>
        <w:pStyle w:val="TextoNormal"/>
      </w:pPr>
      <w:r>
        <w:t>Todo ello habría producido un salto cualitativo sobre un supuesto no contemplado con anterioridad que supone, además, una clara contravención con los criterios anteriores sostenidos tanto por el Tribunal Constitucional como por la Sala de lo Contencioso-Administrativo del Tribunal Supremo sobre la ausencia de control jurisdiccional de los proyectos y anteproyectos de ley. Ello lleva al Ministerio Fiscal a considerar que se ha producido una interpretación extensiva del concepto “resolución en asunto administrativo” pues, en las circunstancias expresadas, la aplicación de jurisprudencia posterior a la actividad de la recurrente “desborda una evolución accesible, referida a actividades de contratación y otras claramente sujetas al Derecho administrativo, pero en ningún caso a la actividad prelegislativa, introduciendo así un nuevo ámbito de aplicación que carecía de todo precedente”.</w:t>
      </w:r>
    </w:p>
    <w:p w14:paraId="5BA0BAC8" w14:textId="77777777" w:rsidR="009D7677" w:rsidRDefault="009D7677" w:rsidP="009D7677">
      <w:pPr>
        <w:pStyle w:val="TextoNormal"/>
      </w:pPr>
    </w:p>
    <w:p w14:paraId="15E7D369" w14:textId="77777777" w:rsidR="009D7677" w:rsidRDefault="009D7677" w:rsidP="009D7677">
      <w:pPr>
        <w:pStyle w:val="TextoNormal"/>
      </w:pPr>
      <w:r>
        <w:t>(iii) Finalmente, en relación con la tercera cuestión, el fiscal considera que las argumentaciones vertidas anteriormente y referidas a la vulneración del principio de legalidad penal (art. 25.1 CE) por indebida subsunción jurídica en el art. 404 CP de las actuaciones practicadas en la fase de elaboración, aprobación y remisión del proyecto de ley no son automáticamente extrapolables a la aprobación de las modificaciones presupuestarias que sí pueden ser consideradas, por el contrario, decisiones de naturaleza administrativa.</w:t>
      </w:r>
    </w:p>
    <w:p w14:paraId="761A4846" w14:textId="77777777" w:rsidR="009D7677" w:rsidRDefault="009D7677" w:rsidP="009D7677">
      <w:pPr>
        <w:pStyle w:val="TextoNormal"/>
      </w:pPr>
    </w:p>
    <w:p w14:paraId="6E595E69" w14:textId="77777777" w:rsidR="009D7677" w:rsidRDefault="009D7677" w:rsidP="009D7677">
      <w:pPr>
        <w:pStyle w:val="TextoNormal"/>
      </w:pPr>
      <w:r>
        <w:t>Fundamenta el fiscal dicha afirmación —con amplia cita de la normativa reguladora de la Ley general de hacienda pública de la Junta de Andalucía— en la circunstancia de que las modificaciones o transferencias de crédito, una vez aprobada la ley anual de presupuestos, y que afectan al contenido de los créditos en los estados de gastos autorizados —pero no modifican el monto global del presupuesto— son competencia del Consejo de Gobierno o de la Consejería de Hacienda. Esto se contrapone directamente a aquellos supuestos en que las modificaciones o transferencias de crédito sí afectan al crédito global consignado en los presupuestos en cuyo caso, esta vez sí, el Ejecutivo ha de someter al Legislativo la aprobación de un nuevo proyecto de ley.</w:t>
      </w:r>
    </w:p>
    <w:p w14:paraId="7576EAF1" w14:textId="77777777" w:rsidR="009D7677" w:rsidRDefault="009D7677" w:rsidP="009D7677">
      <w:pPr>
        <w:pStyle w:val="TextoNormal"/>
      </w:pPr>
    </w:p>
    <w:p w14:paraId="653A167F" w14:textId="77777777" w:rsidR="009D7677" w:rsidRDefault="009D7677" w:rsidP="009D7677">
      <w:pPr>
        <w:pStyle w:val="TextoNormal"/>
      </w:pPr>
      <w:r>
        <w:t xml:space="preserve">Consecuentemente, en un marco legal regido por el principio de jerarquía normativa no puede sostenerse que la previsión explícita de una modificación presupuestaria a cargo del </w:t>
      </w:r>
      <w:r>
        <w:lastRenderedPageBreak/>
        <w:t>Gobierno o de uno de sus miembros pueda identificarse como una especie de mecanismo de autorreforma operado mediante una delegación tácita o de atribución de potestad legislativa al Ejecutivo que, como se ha visto, carecería de todo soporte constitucional o estatutario. Que el Gobierno pueda modificar el contenido de un crédito o transferirlo a otro, con arreglo a las exclusiones o excepciones señaladas, no convierte esa modificación del crédito en ley sino que, simplemente, constituye una aplicación de la ley. La mera comunicación posterior al Parlamento no supone la atribución de rango normativo al acto, sino que se concreta, más bien, en una mera obligación adjetiva.</w:t>
      </w:r>
    </w:p>
    <w:p w14:paraId="79EC2CA3" w14:textId="77777777" w:rsidR="009D7677" w:rsidRDefault="009D7677" w:rsidP="009D7677">
      <w:pPr>
        <w:pStyle w:val="TextoNormal"/>
      </w:pPr>
    </w:p>
    <w:p w14:paraId="177ADE56" w14:textId="77777777" w:rsidR="009D7677" w:rsidRDefault="009D7677" w:rsidP="009D7677">
      <w:pPr>
        <w:pStyle w:val="TextoNormal"/>
      </w:pPr>
      <w:r>
        <w:t>Todo ello lleva al Ministerio Fiscal a concluir que “la calificación de los actos de aprobación de modificaciones presupuestarias que se imputan a la recurrente como resoluciones dictadas en asunto administrativo no choca con una eventual naturaleza legal (es decir, de acto con rango, fuerza o valor de ley), fruto de la reserva de ley que impone el art. 134 CE en materia presupuestaria. Negada esa premisa, resulta obvio que no hay razón para temer ni por la autonomía parlamentaria en el ejercicio de la potestad legislativa, que no está en juego, puesto que el Poder Ejecutivo actúa —o debería actuar— en este ámbito con estricta sujeción y en aplicación, precisamente, de las leyes aprobadas por el Parlamento; ni tampoco por el principio consustancial de la separación de poderes, que como se vio al examinar los motivos primero, tercero y cuarto de amparo se vincula directamente a esa posible interferencia en las competencias constitucionales atribuidas a cada uno de ellos, inexistente en el presente caso puesto que el Poder Ejecutivo actúa —o hubiera debido actuar— en el marco de su competencia delimitada en la propia ley, sin asumir ninguna facultad de iniciativa o modificación de una norma con rango o valor legal”. Consecuentemente, los razonamientos esgrimidos por las sentencias impugnadas para excluir las modificaciones presupuestarias del carácter propio de los actos con valor, rango y fuerza de ley se ajustan a la normativa y no presentan indicio alguno de vulneración de derecho fundamental a la legalidad penal (art. 25.1 CE).</w:t>
      </w:r>
    </w:p>
    <w:p w14:paraId="096655E1" w14:textId="77777777" w:rsidR="009D7677" w:rsidRDefault="009D7677" w:rsidP="009D7677">
      <w:pPr>
        <w:pStyle w:val="TextoNormal"/>
      </w:pPr>
    </w:p>
    <w:p w14:paraId="50BF16A8" w14:textId="77777777" w:rsidR="009D7677" w:rsidRDefault="009D7677" w:rsidP="009D7677">
      <w:pPr>
        <w:pStyle w:val="TextoNormal"/>
      </w:pPr>
      <w:r>
        <w:t>En base a lo anteriormente expuesto, la Fiscalía ante el Tribunal Constitucional solicita: (a) la estimación parcial de los motivos de amparo primero, tercero y cuarto en el sentido de que la tipificación como delito de prevaricación administrativa de los actos de aprobación y elevación de los proyectos y anteproyectos de ley de presupuestos vulneran el derecho a la legalidad penal (art. 25.1 CE); (b) la inadmisión del motivo segundo del recurso de amparo al incurrir en un defecto de falta de agotamiento (art. 44 LOTC) y, subsidiariamente, la estimación del motivo por vulneración del principio de legalidad penal (art. 25.1 CE) al producirse una aplicación imprevisible del concepto “resolución en asunto administrativo” por aplicación retroactiva de la jurisprudencia interpretativa del tipo; y (c) la desestimación parcial de motivo tercero en lo relativo a la consideración de las modificaciones presupuestarias como “resolución dictada en asunto administrativo”.</w:t>
      </w:r>
    </w:p>
    <w:p w14:paraId="04058433" w14:textId="77777777" w:rsidR="009D7677" w:rsidRDefault="009D7677" w:rsidP="009D7677">
      <w:pPr>
        <w:pStyle w:val="TextoNormal"/>
      </w:pPr>
    </w:p>
    <w:p w14:paraId="114D53E6" w14:textId="13212346" w:rsidR="009D7677" w:rsidRDefault="009D7677" w:rsidP="009D7677">
      <w:pPr>
        <w:pStyle w:val="TextoNormal"/>
      </w:pPr>
      <w:r>
        <w:t>Y en relación con el alcance de la estimación parcial, dada cuenta que el eventual otorgamiento de amparo afectaría a varias de las conductas que integran la continuidad delictiva (art. 74.1 CP) del delito de prevaricación (art. 404 CP) por la que ha sido condenada, el Ministerio Fiscal solicita la retroacción del procedimiento al momento de dictar sentencia, con la finalidad de que la Audiencia Provincial proceda a una nueva determinación de la pena con exclusión de la conducta de la demandante relativa a la aprobación de los proyectos y anteproyectos de ley de presupuestos.</w:t>
      </w:r>
    </w:p>
    <w:p w14:paraId="3362D39D" w14:textId="77777777" w:rsidR="009D7677" w:rsidRDefault="009D7677" w:rsidP="009D7677">
      <w:pPr>
        <w:pStyle w:val="TextoNormal"/>
      </w:pPr>
    </w:p>
    <w:p w14:paraId="4A0E648F" w14:textId="4EA5F27F" w:rsidR="009D7677" w:rsidRDefault="009D7677" w:rsidP="009D7677">
      <w:pPr>
        <w:pStyle w:val="TextoNormal"/>
      </w:pPr>
      <w:r w:rsidRPr="009D7677">
        <w:rPr>
          <w:rStyle w:val="NumeroAFNegritaCaracter"/>
        </w:rPr>
        <w:lastRenderedPageBreak/>
        <w:t>7</w:t>
      </w:r>
      <w:r>
        <w:t>. Por providencia de 17 de junio de 2024 se señaló para la deliberación y votación de la presente sentencia el día 19 del mismo mes y año.</w:t>
      </w:r>
    </w:p>
    <w:p w14:paraId="4EDBB32C" w14:textId="77777777" w:rsidR="009D7677" w:rsidRDefault="009D7677" w:rsidP="009D7677">
      <w:pPr>
        <w:pStyle w:val="TextoNormal"/>
      </w:pPr>
    </w:p>
    <w:p w14:paraId="07CC43E0" w14:textId="77777777" w:rsidR="009D7677" w:rsidRDefault="009D7677" w:rsidP="009D7677">
      <w:pPr>
        <w:pStyle w:val="TextoNormalNegritaCentrado"/>
        <w:keepNext/>
      </w:pPr>
      <w:r>
        <w:t>II. Fundamentos jurídicos</w:t>
      </w:r>
    </w:p>
    <w:p w14:paraId="630296A7" w14:textId="0B4C43A8" w:rsidR="009D7677" w:rsidRDefault="009D7677" w:rsidP="009D7677">
      <w:pPr>
        <w:pStyle w:val="TextoNormalNegritaCentrado"/>
        <w:keepNext/>
      </w:pPr>
    </w:p>
    <w:p w14:paraId="7318CD52" w14:textId="77777777" w:rsidR="009D7677" w:rsidRDefault="009D7677" w:rsidP="009D7677">
      <w:pPr>
        <w:pStyle w:val="TextoNormal"/>
      </w:pPr>
      <w:r w:rsidRPr="009D7677">
        <w:rPr>
          <w:rStyle w:val="NumeroAFNegritaCaracter"/>
        </w:rPr>
        <w:t>1</w:t>
      </w:r>
      <w:r>
        <w:t xml:space="preserve">. </w:t>
      </w:r>
      <w:r w:rsidRPr="009D7677">
        <w:rPr>
          <w:i/>
        </w:rPr>
        <w:t>Objeto del recurso y pretensiones de las partes</w:t>
      </w:r>
    </w:p>
    <w:p w14:paraId="51A64313" w14:textId="77777777" w:rsidR="009D7677" w:rsidRDefault="009D7677" w:rsidP="009D7677">
      <w:pPr>
        <w:pStyle w:val="TextoNormal"/>
      </w:pPr>
    </w:p>
    <w:p w14:paraId="51BCCBA6" w14:textId="77777777" w:rsidR="009D7677" w:rsidRDefault="009D7677" w:rsidP="009D7677">
      <w:pPr>
        <w:pStyle w:val="TextoNormal"/>
      </w:pPr>
      <w:r>
        <w:t>El presente recurso de amparo se dirige contra las siguientes resoluciones: (i) la sentencia núm. 490/2019, de 19 de noviembre, dictada por la Sección Primera de la Audiencia Provincial de Sevilla en el rollo núm. 1965-2017, dimanante del procedimiento abreviado núm. 133-2016, que condenó a la demandante de amparo como autora de un delito continuado de prevaricación, previsto en el art. 404 CP, a la pena de nueve años de inhabilitación especial; y (ii) la sentencia de la Sala de lo Penal del Tribunal Supremo núm. 749/2022, de 13 de septiembre, que desestimó el recurso de casación núm. 601-2020 formulado frente a la anterior resolución.</w:t>
      </w:r>
    </w:p>
    <w:p w14:paraId="144C9FD3" w14:textId="77777777" w:rsidR="009D7677" w:rsidRDefault="009D7677" w:rsidP="009D7677">
      <w:pPr>
        <w:pStyle w:val="TextoNormal"/>
      </w:pPr>
    </w:p>
    <w:p w14:paraId="5368EBCA" w14:textId="77777777" w:rsidR="009D7677" w:rsidRDefault="009D7677" w:rsidP="009D7677">
      <w:pPr>
        <w:pStyle w:val="TextoNormal"/>
      </w:pPr>
      <w:r>
        <w:t>La recurrente solicita la estimación del recurso de amparo y la nulidad de las resoluciones recurridas por vulneración del derecho a la legalidad penal (art. 25.1 CE) y ello en base a los siguientes motivos:</w:t>
      </w:r>
    </w:p>
    <w:p w14:paraId="2B835C7D" w14:textId="77777777" w:rsidR="009D7677" w:rsidRDefault="009D7677" w:rsidP="009D7677">
      <w:pPr>
        <w:pStyle w:val="TextoNormal"/>
      </w:pPr>
    </w:p>
    <w:p w14:paraId="3C798FA4" w14:textId="77777777" w:rsidR="009D7677" w:rsidRDefault="009D7677" w:rsidP="009D7677">
      <w:pPr>
        <w:pStyle w:val="TextoNormal"/>
      </w:pPr>
      <w:r>
        <w:t>(i) Los órganos judiciales han llevado a cabo una interpretación extravagante e imprevisible del elemento típico “resolución” del art. 404 CP, al considerar que cada uno de los actos de tramitación prelegislativos de las leyes de presupuestos —anteproyectos y proyectos de ley— constituye una “resolución” autónoma. Interpretación incompatible con la jurisprudencia de la Sala de lo Contencioso-Administrativo del Tribunal Supremo y fundada en pautas valorativas contrarias al principio democrático y al de separación de poderes.</w:t>
      </w:r>
    </w:p>
    <w:p w14:paraId="6E7DB658" w14:textId="77777777" w:rsidR="009D7677" w:rsidRDefault="009D7677" w:rsidP="009D7677">
      <w:pPr>
        <w:pStyle w:val="TextoNormal"/>
      </w:pPr>
    </w:p>
    <w:p w14:paraId="2646F276" w14:textId="77777777" w:rsidR="009D7677" w:rsidRDefault="009D7677" w:rsidP="009D7677">
      <w:pPr>
        <w:pStyle w:val="TextoNormal"/>
      </w:pPr>
      <w:r>
        <w:t>(ii) La condena se funda en una aplicación retroactiva de un cambio jurisprudencial en el concepto de “resolución” del art. 404 CP manifiestamente imprevisible en el momento en que fueron cometidos los hechos enjuiciados.</w:t>
      </w:r>
    </w:p>
    <w:p w14:paraId="793DA1E4" w14:textId="77777777" w:rsidR="009D7677" w:rsidRDefault="009D7677" w:rsidP="009D7677">
      <w:pPr>
        <w:pStyle w:val="TextoNormal"/>
      </w:pPr>
    </w:p>
    <w:p w14:paraId="306196E4" w14:textId="77777777" w:rsidR="009D7677" w:rsidRDefault="009D7677" w:rsidP="009D7677">
      <w:pPr>
        <w:pStyle w:val="TextoNormal"/>
      </w:pPr>
      <w:r>
        <w:t>(iii) Los órganos judiciales han llevado a cabo una interpretación extravagante e imprevisible del elemento típico “asunto administrativo” del art. 404 CP, ya que la argumentación utilizada para calificar como tal los proyectos y anteproyectos de la ley de presupuestos y las modificaciones presupuestarias resulta ajena a toda pauta razonable de interpretación jurídica.</w:t>
      </w:r>
    </w:p>
    <w:p w14:paraId="64A91466" w14:textId="77777777" w:rsidR="009D7677" w:rsidRDefault="009D7677" w:rsidP="009D7677">
      <w:pPr>
        <w:pStyle w:val="TextoNormal"/>
      </w:pPr>
    </w:p>
    <w:p w14:paraId="4A8470C4" w14:textId="77777777" w:rsidR="009D7677" w:rsidRDefault="009D7677" w:rsidP="009D7677">
      <w:pPr>
        <w:pStyle w:val="TextoNormal"/>
      </w:pPr>
      <w:r>
        <w:t>(iv) Los órganos judiciales han llevado a cabo una interpretación extravagante e imprevisible del elemento típico “arbitrariedad” del art. 404 CP, al incurrir en contradicciones lógicas y desconocer la relevancia inherente a la aprobación de las leyes de presupuestos por el Parlamento.</w:t>
      </w:r>
    </w:p>
    <w:p w14:paraId="16BADA58" w14:textId="77777777" w:rsidR="009D7677" w:rsidRDefault="009D7677" w:rsidP="009D7677">
      <w:pPr>
        <w:pStyle w:val="TextoNormal"/>
      </w:pPr>
    </w:p>
    <w:p w14:paraId="3EF07C81" w14:textId="77777777" w:rsidR="009D7677" w:rsidRDefault="009D7677" w:rsidP="009D7677">
      <w:pPr>
        <w:pStyle w:val="TextoNormal"/>
      </w:pPr>
      <w:r>
        <w:t xml:space="preserve">La representación procesal del Partido Popular ha interesado la desestimación íntegra del amparo con base en las alegaciones que se han expuesto en los antecedentes. Por su parte, las representaciones procesales de don Gaspar Zarrías Arévalo, don Francisco Vallejo Serrano, don Jesús María Rodríguez Román, don Antonio Vicente Lozano Peña, don </w:t>
      </w:r>
      <w:r>
        <w:lastRenderedPageBreak/>
        <w:t>José Antonio Griñán Martínez y doña Carmen Martínez Aguayo, personados en este procedimiento, han solicitado la estimación del recurso de amparo.</w:t>
      </w:r>
    </w:p>
    <w:p w14:paraId="3765D8ED" w14:textId="77777777" w:rsidR="009D7677" w:rsidRDefault="009D7677" w:rsidP="009D7677">
      <w:pPr>
        <w:pStyle w:val="TextoNormal"/>
      </w:pPr>
    </w:p>
    <w:p w14:paraId="30303F76" w14:textId="11CFDABB" w:rsidR="009D7677" w:rsidRDefault="009D7677" w:rsidP="009D7677">
      <w:pPr>
        <w:pStyle w:val="TextoNormal"/>
      </w:pPr>
      <w:r>
        <w:t>El Ministerio Fiscal solicita: (i) la estimación del recurso de amparo en los motivos relativos a la vulneración del derecho a la legalidad penal (art. 25.1 CE) por indebida subsunción en el delito de prevaricación (art. 404 CP) de los hechos consistentes en la elaboración y aprobación de los anteproyectos y proyectos de ley; (ii) la inadmisibilidad del motivo referido a la vulneración del derecho a la legalidad penal (art. 25.1 CE) por aplicación retroactiva de la jurisprudencia sobre el delito de prevaricación (art. 404 CP), al incurrir en la falta de agotamiento de la vía judicial previa (art. 44 LOTC) y, subsidiariamente, la estimación de este motivo; y (iii) la desestimación del motivo relativo a la vulneración del derecho a la legalidad penal (art. 25.1 CE) por indebida subsunción en el delito de prevaricación (art. 404 CP) de los hechos consistentes en la tramitación y aprobación de las modificaciones presupuestarias.</w:t>
      </w:r>
    </w:p>
    <w:p w14:paraId="0587A5E1" w14:textId="77777777" w:rsidR="009D7677" w:rsidRDefault="009D7677" w:rsidP="009D7677">
      <w:pPr>
        <w:pStyle w:val="TextoNormal"/>
      </w:pPr>
    </w:p>
    <w:p w14:paraId="7C25A413" w14:textId="77777777" w:rsidR="009D7677" w:rsidRDefault="009D7677" w:rsidP="009D7677">
      <w:pPr>
        <w:pStyle w:val="TextoNormal"/>
      </w:pPr>
      <w:r w:rsidRPr="009D7677">
        <w:rPr>
          <w:rStyle w:val="NumeroAFNegritaCaracter"/>
        </w:rPr>
        <w:t>2</w:t>
      </w:r>
      <w:r>
        <w:t xml:space="preserve">. </w:t>
      </w:r>
      <w:r w:rsidRPr="009D7677">
        <w:rPr>
          <w:i/>
        </w:rPr>
        <w:t>Breve delimitación fáctica y jurídica del proceso “ERE” y de la condena de la demandante de amparo</w:t>
      </w:r>
    </w:p>
    <w:p w14:paraId="6809A961" w14:textId="77777777" w:rsidR="009D7677" w:rsidRDefault="009D7677" w:rsidP="009D7677">
      <w:pPr>
        <w:pStyle w:val="TextoNormal"/>
      </w:pPr>
    </w:p>
    <w:p w14:paraId="2245E2A5" w14:textId="77777777" w:rsidR="009D7677" w:rsidRDefault="009D7677" w:rsidP="009D7677">
      <w:pPr>
        <w:pStyle w:val="TextoNormal"/>
      </w:pPr>
      <w:r>
        <w:t>En los antecedentes de esta sentencia se ha reproducido el resumen efectuado en la sentencia de casación por el Tribunal Supremo (fundamento de Derecho 1, págs. 97 y siguientes) del relato de hechos probados de la sentencia de la Audiencia Provincial de Sevilla, concerniente al sistema de concesión de ayudas sociolaborales y a empresas en crisis objeto del denominado proceso “ERE”.</w:t>
      </w:r>
    </w:p>
    <w:p w14:paraId="268A4F4D" w14:textId="77777777" w:rsidR="009D7677" w:rsidRDefault="009D7677" w:rsidP="009D7677">
      <w:pPr>
        <w:pStyle w:val="TextoNormal"/>
      </w:pPr>
    </w:p>
    <w:p w14:paraId="77A4FAFF" w14:textId="77777777" w:rsidR="009D7677" w:rsidRDefault="009D7677" w:rsidP="009D7677">
      <w:pPr>
        <w:pStyle w:val="TextoNormal"/>
      </w:pPr>
      <w:r>
        <w:t xml:space="preserve">Dada la extensión del relato fáctico de la sentencia de instancia y antes de proceder al examen individualizado de los motivos articulados en la demanda, conviene hacer unas consideraciones previas para facilitar la comprensión de los hechos objeto del proceso </w:t>
      </w:r>
      <w:r w:rsidRPr="009D7677">
        <w:rPr>
          <w:i/>
        </w:rPr>
        <w:t>a quo</w:t>
      </w:r>
      <w:r>
        <w:t xml:space="preserve"> y del enjuiciamiento que se llevará a cabo de la demanda de amparo: la primera contiene una sucinta exposición de los hechos que dieron lugar al proceso penal; la segunda se refiere al objeto de la denominada “pieza específica” y su superposición con las restantes piezas desgajadas de la matriz del caso “ERE”; la tercera, a los concretos hechos enjuiciados en el proceso penal; y, en fin, la última, a los hechos que han determinado la condena de la demandante de amparo.</w:t>
      </w:r>
    </w:p>
    <w:p w14:paraId="58FD1C67" w14:textId="77777777" w:rsidR="009D7677" w:rsidRDefault="009D7677" w:rsidP="009D7677">
      <w:pPr>
        <w:pStyle w:val="TextoNormal"/>
      </w:pPr>
    </w:p>
    <w:p w14:paraId="239C82BF" w14:textId="77777777" w:rsidR="009D7677" w:rsidRDefault="009D7677" w:rsidP="009D7677">
      <w:pPr>
        <w:pStyle w:val="TextoNormal"/>
      </w:pPr>
      <w:r>
        <w:t xml:space="preserve">2.1. </w:t>
      </w:r>
      <w:r w:rsidRPr="009D7677">
        <w:rPr>
          <w:i/>
        </w:rPr>
        <w:t>Sucinta exposición general de los hechos del proceso “ERE”</w:t>
      </w:r>
    </w:p>
    <w:p w14:paraId="1CB71AC2" w14:textId="77777777" w:rsidR="009D7677" w:rsidRDefault="009D7677" w:rsidP="009D7677">
      <w:pPr>
        <w:pStyle w:val="TextoNormal"/>
      </w:pPr>
    </w:p>
    <w:p w14:paraId="38BD2E5F" w14:textId="77777777" w:rsidR="009D7677" w:rsidRDefault="009D7677" w:rsidP="009D7677">
      <w:pPr>
        <w:pStyle w:val="TextoNormal"/>
      </w:pPr>
      <w:r>
        <w:t>a) Entre los años 1990 y 2000, el Gobierno de la Junta de Andalucía, con la finalidad de dar respuesta a las situaciones de crisis económica de empresas con centros directivos en la comunidad autónoma, articuló, a través de los presupuestos que gestionaba la Consejería de Empleo y Desarrollo Tecnológico —anteriormente Consejería de Trabajo e Industria—, un sistema de ayudas para financiar con fondos públicos las primas derivadas de la contratación de pólizas de rentas para trabajadores de dichas empresas que, atendiendo a su edad, les aseguraran un nivel de ingresos hasta acceder a la jubilación. Ese sistema complementaba las ayudas previas a la jubilación ordinaria del sistema general de la Seguridad Social y las ayudas extraordinarias a trabajadores afectados por procesos de reestructuración de empresas.</w:t>
      </w:r>
    </w:p>
    <w:p w14:paraId="01A63687" w14:textId="77777777" w:rsidR="009D7677" w:rsidRDefault="009D7677" w:rsidP="009D7677">
      <w:pPr>
        <w:pStyle w:val="TextoNormal"/>
      </w:pPr>
    </w:p>
    <w:p w14:paraId="6790D7C9" w14:textId="77777777" w:rsidR="009D7677" w:rsidRDefault="009D7677" w:rsidP="009D7677">
      <w:pPr>
        <w:pStyle w:val="TextoNormal"/>
      </w:pPr>
      <w:r>
        <w:lastRenderedPageBreak/>
        <w:t>La aplicación presupuestaria utilizada para clasificar este gasto, dentro del programa 22E, era la relativa a “Transferencias corrientes a empresas, particulares y entidades sin ánimo de lucro” (concepto 481.00.22E). Las ayudas se tramitaban como subvenciones excepcionales estando sometidas a la normativa en materia de subvenciones, así como a la intervención delegada de la Consejería de Empleo y Desarrollo Tecnológico. La función interventora comprendía la intervención previa o crítica de todo gasto, documento o expediente susceptible de producir derechos u obligaciones de contenido económico o movimiento de fondos y valores; la intervención formal de la ordenación del pago; la intervención material del pago; y, en fin, la intervención de la aplicación o empleo de las cantidades destinadas a obras, suministros o adquisiciones y servicios.</w:t>
      </w:r>
    </w:p>
    <w:p w14:paraId="05ED8F7D" w14:textId="77777777" w:rsidR="009D7677" w:rsidRDefault="009D7677" w:rsidP="009D7677">
      <w:pPr>
        <w:pStyle w:val="TextoNormal"/>
      </w:pPr>
    </w:p>
    <w:p w14:paraId="43DC67C5" w14:textId="77777777" w:rsidR="009D7677" w:rsidRDefault="009D7677" w:rsidP="009D7677">
      <w:pPr>
        <w:pStyle w:val="TextoNormal"/>
      </w:pPr>
      <w:r>
        <w:t>En la tramitación de sendos expedientes sobre estas ayudas, el interventor delegado de la Consejería de Empleo y Desarrollo Tecnológico formuló reparos en el informe de fiscalización que, si bien no llegaron a impedir su concesión, la dificultaron y retrasaron.</w:t>
      </w:r>
    </w:p>
    <w:p w14:paraId="1D7EE046" w14:textId="77777777" w:rsidR="009D7677" w:rsidRDefault="009D7677" w:rsidP="009D7677">
      <w:pPr>
        <w:pStyle w:val="TextoNormal"/>
      </w:pPr>
    </w:p>
    <w:p w14:paraId="70F74BA1" w14:textId="77777777" w:rsidR="009D7677" w:rsidRDefault="009D7677" w:rsidP="009D7677">
      <w:pPr>
        <w:pStyle w:val="TextoNormal"/>
      </w:pPr>
      <w:r>
        <w:t>b) Según consta en el relato de hechos probados de la sentencia de instancia, la necesidad de prolongar las ayudas sociolaborales y a empresas en crisis y los reparos formulados a su tramitación motivó que el Consejo de Gobierno, la consejera y el viceconsejero de Hacienda, durante los años 2000 y 2001, aprobasen un total de siete modificaciones presupuestarias, mediante las que se crearon en el programa 22E, sendas aplicaciones presupuestarias, conceptos 440.12.22 y 440.00.22, denominadas respectivamente “Transferencias al Instituto de Fomento de Andalucía —IFA—” y “Transferencias al IFA en materia de relaciones laborales”. En cinco de esas modificaciones presupuestarias las cantidades minoradas correspondieron a las partidas presupuestarias 472.00.22E, “Trasferencias corrientes a empresas privadas en materia de relaciones laborales, acciones que generan empleo”, y 481.00.22E, “Transferencias a familias e instituciones sin fines de lucro, acciones que generan empleo”. En las otras dos modificaciones presupuestarias las cantidades se detrajeron de diversos programas y conceptos presupuestarios de la Consejería de Empleo y Desarrollo Tecnológico.</w:t>
      </w:r>
    </w:p>
    <w:p w14:paraId="30FE9CE1" w14:textId="77777777" w:rsidR="009D7677" w:rsidRDefault="009D7677" w:rsidP="009D7677">
      <w:pPr>
        <w:pStyle w:val="TextoNormal"/>
      </w:pPr>
    </w:p>
    <w:p w14:paraId="15210007" w14:textId="77777777" w:rsidR="009D7677" w:rsidRDefault="009D7677" w:rsidP="009D7677">
      <w:pPr>
        <w:pStyle w:val="TextoNormal"/>
      </w:pPr>
      <w:r>
        <w:t>El destinatario de estas modificaciones presupuestarias para el pago de las ayudas sociolaborales y a empresas en crisis era el IFA, entidad de Derecho público con personalidad jurídica y patrimonio propio, adscrita a la Consejería de Empleo y Desarrollo Tecnológico, que como principal instrumento para financiar su actividad —el fomento de la actividad empresarial, la creación de empleo y la instauración de nuevas tecnologías— contaba con las denominadas transferencias de financiación, en sus modalidades de explotación y capital. Las transferencias de financiación tenían como objeto equilibrar la cuenta de pérdidas y ganancias del IFA.</w:t>
      </w:r>
    </w:p>
    <w:p w14:paraId="6F8ED94D" w14:textId="77777777" w:rsidR="009D7677" w:rsidRDefault="009D7677" w:rsidP="009D7677">
      <w:pPr>
        <w:pStyle w:val="TextoNormal"/>
      </w:pPr>
    </w:p>
    <w:p w14:paraId="1606C970" w14:textId="77777777" w:rsidR="009D7677" w:rsidRDefault="009D7677" w:rsidP="009D7677">
      <w:pPr>
        <w:pStyle w:val="TextoNormal"/>
      </w:pPr>
      <w:r>
        <w:t xml:space="preserve">En el segundo semestre del año 2000 se elaboró el “proyecto de decreto de la Consejería de Empleo y Desarrollo Tecnológico, por el que se establece el procedimiento para la concesión de ayudas sociales a trabajadores afectados por procesos de reconversión y/o reestructuración en el ámbito de la Comunidad Autónoma Andaluza”. Con esta disposición se pretendía —según se recogía en su preámbulo— “articular el conjunto de ayudas y medidas previstas por la Junta de Andalucía para que sean conocidas y se cumpla con los principios de publicidad, concurrencia y objetividad, y se establezcan los requisitos y supuestos en los que sea posible la concesión de estas ayudas”. En su art. 7.3 se preveía que </w:t>
      </w:r>
      <w:r>
        <w:lastRenderedPageBreak/>
        <w:t>estas ayudas “podrán ser concedidas a través del Instituto de Fomento de Andalucía”. El proyecto de decreto no llegó a ser elevado para su aprobación por el Consejo de Gobierno.</w:t>
      </w:r>
    </w:p>
    <w:p w14:paraId="1DE66C05" w14:textId="77777777" w:rsidR="009D7677" w:rsidRDefault="009D7677" w:rsidP="009D7677">
      <w:pPr>
        <w:pStyle w:val="TextoNormal"/>
      </w:pPr>
    </w:p>
    <w:p w14:paraId="47EAE2F4" w14:textId="77777777" w:rsidR="009D7677" w:rsidRDefault="009D7677" w:rsidP="009D7677">
      <w:pPr>
        <w:pStyle w:val="TextoNormal"/>
      </w:pPr>
      <w:r>
        <w:t>Hasta el mes de julio del año 2001, los fondos recibidos por el IFA fueron entregados a los destinatarios de las ayudas mediante la suscripción de convenios particulares entre la Consejería de Empleo y Desarrollo Tecnológico y el IFA. El 17 de julio de 2001, el consejero de Empleo y el presidente del IFA suscribieron el “Convenio de colaboración entre la Consejería de Empleo y Desarrollo Tecnológico y el Instituto de Fomento de Andalucía (IFA), para la materialización de ayudas en materia de Trabajo y Seguridad Social” (el convenio marco). En virtud de dicho convenio, el IFA se comprometía a prestar asistencia técnica permanente a la Dirección General de Trabajo y Seguridad Social, materializando las ayudas que, en su caso, otorgase la Consejería de Empleo y Desarrollo Tecnológico, a través de la citada dirección general, a las empresas u otros entes públicos o privados. Se contemplaba la suscripción de convenios particulares entre el director general de Trabajo y el IFA, en los que habían de concretarse las previsiones del convenio marco debiendo contener, al menos, las siguientes especificaciones: (i) objeto y alcance del convenio particular; (ii) estimación económica de la asistencia o cuantía de las ayudas a materializar, empresas u otros entes públicos o privados, así como consignación presupuestaria a cuyo cargo habían de realizarse la transferencia de fondos al IFA; (iii) plazo máximo de ejecución de cada una de las acciones comprometidas; (iv) composición, en su caso, de la comisión de seguimiento de la asistencia técnica encargada. El IFA debía dar cuenta inmediata a la Dirección General de Trabajo y Seguridad Social de los pagos efectuados a las empresas u otros entes públicos o privados.</w:t>
      </w:r>
    </w:p>
    <w:p w14:paraId="51D7800D" w14:textId="77777777" w:rsidR="009D7677" w:rsidRDefault="009D7677" w:rsidP="009D7677">
      <w:pPr>
        <w:pStyle w:val="TextoNormal"/>
      </w:pPr>
    </w:p>
    <w:p w14:paraId="1D2EF730" w14:textId="77777777" w:rsidR="009D7677" w:rsidRDefault="009D7677" w:rsidP="009D7677">
      <w:pPr>
        <w:pStyle w:val="TextoNormal"/>
      </w:pPr>
      <w:r>
        <w:t>En la mayor parte de los convenios particulares suscritos entre la Dirección General de Trabajo y Seguridad Social y el IFA se hizo constar expresamente que la documentación acreditativa de las ayudas obraba en poder de la dirección general, autorizando esta su pago. En ningún caso llegaron a constituirse las comisiones de seguimiento previstas en el convenio marco.</w:t>
      </w:r>
    </w:p>
    <w:p w14:paraId="495F0D6C" w14:textId="77777777" w:rsidR="009D7677" w:rsidRDefault="009D7677" w:rsidP="009D7677">
      <w:pPr>
        <w:pStyle w:val="TextoNormal"/>
      </w:pPr>
    </w:p>
    <w:p w14:paraId="66F888F0" w14:textId="77777777" w:rsidR="009D7677" w:rsidRDefault="009D7677" w:rsidP="009D7677">
      <w:pPr>
        <w:pStyle w:val="TextoNormal"/>
      </w:pPr>
      <w:r>
        <w:t>Tras la firma del convenio marco, el Consejo Rector del IFA debía intervenir en la materialización del pago de las ayudas aprobando, en su caso, los pagos derivados de la firma de cada convenio particular de importe superior a 450 000 €. Las ayudas que superasen la cuantía de 1 200 000 € debían ser autorizadas por el Consejo de Gobierno y publicadas en el “Boletín Oficial de la Junta de Andalucía”.</w:t>
      </w:r>
    </w:p>
    <w:p w14:paraId="0ACA5728" w14:textId="77777777" w:rsidR="009D7677" w:rsidRDefault="009D7677" w:rsidP="009D7677">
      <w:pPr>
        <w:pStyle w:val="TextoNormal"/>
      </w:pPr>
    </w:p>
    <w:p w14:paraId="23022B73" w14:textId="77777777" w:rsidR="009D7677" w:rsidRDefault="009D7677" w:rsidP="009D7677">
      <w:pPr>
        <w:pStyle w:val="TextoNormal"/>
      </w:pPr>
      <w:r>
        <w:t>c) En los anteproyectos y proyectos de las leyes de presupuestos de la comunidad autónoma de los años 2002 a 2009 se introdujeron en un nuevo programa 31L, que sustituyó al 22E, las aplicaciones presupuestarias “Transferencias al IFA/IDEA en materia de relaciones laborales” —concepto 440.00— y “Transferencia de financiación al IFA/IDEA” —concepto 440.51—, en las que se recogían los créditos destinados a favor del IFA/IDEA para el pago de ayudas sociolaborales y ayudas a empresas en crisis. Los fondos percibidos por el IFA —que en el año 2004 pasó a denominarse Agencia de Innovación y Desarrollo de Andalucía (IDEA), adscrita a la Consejería de Innovación, Ciencia y Empresa— se destinaban a pagar lo ordenado por la consejería conforme a lo previsto en el convenio marco.</w:t>
      </w:r>
    </w:p>
    <w:p w14:paraId="136453F5" w14:textId="77777777" w:rsidR="009D7677" w:rsidRDefault="009D7677" w:rsidP="009D7677">
      <w:pPr>
        <w:pStyle w:val="TextoNormal"/>
      </w:pPr>
    </w:p>
    <w:p w14:paraId="7DA168A4" w14:textId="77777777" w:rsidR="009D7677" w:rsidRDefault="009D7677" w:rsidP="009D7677">
      <w:pPr>
        <w:pStyle w:val="TextoNormal"/>
      </w:pPr>
      <w:r>
        <w:lastRenderedPageBreak/>
        <w:t>Los proyectos de las leyes de presupuestos fueron presentados al Parlamento de Andalucía para su examen, enmienda, aprobación y control (art. 190 del Estatuto de Autonomía para Andalucía) acompañados, en lo que ahora interesa, de las correspondientes memorias presupuestarias, informes económico-financieros y fichas del programa 31L, de cuyo contenido la sentencia de instancia extrae las siguientes conclusiones, que reproduce la sentencia de casación (fundamento de Derecho 11, págs. 193-196):</w:t>
      </w:r>
    </w:p>
    <w:p w14:paraId="6F936B82" w14:textId="77777777" w:rsidR="009D7677" w:rsidRDefault="009D7677" w:rsidP="009D7677">
      <w:pPr>
        <w:pStyle w:val="TextoNormal"/>
      </w:pPr>
    </w:p>
    <w:p w14:paraId="095DD42A" w14:textId="77777777" w:rsidR="009D7677" w:rsidRDefault="009D7677" w:rsidP="009D7677">
      <w:pPr>
        <w:pStyle w:val="TextoNormal"/>
      </w:pPr>
      <w:r>
        <w:t>“9. Conclusiones del análisis de la documentación anexa al proyecto de presupuesto anual de la Junta de Andalucía:</w:t>
      </w:r>
    </w:p>
    <w:p w14:paraId="0E20E16A" w14:textId="77777777" w:rsidR="009D7677" w:rsidRDefault="009D7677" w:rsidP="009D7677">
      <w:pPr>
        <w:pStyle w:val="TextoNormal"/>
      </w:pPr>
    </w:p>
    <w:p w14:paraId="6ACA2E22" w14:textId="77777777" w:rsidR="009D7677" w:rsidRDefault="009D7677" w:rsidP="009D7677">
      <w:pPr>
        <w:pStyle w:val="TextoNormal"/>
      </w:pPr>
      <w:r>
        <w:t>A) La descripción de los objetivos y actividades contenidos en las fichas del programa 31L, son, como hemos visto, del siguiente tenor:</w:t>
      </w:r>
    </w:p>
    <w:p w14:paraId="0E29F8A6" w14:textId="77777777" w:rsidR="009D7677" w:rsidRDefault="009D7677" w:rsidP="009D7677">
      <w:pPr>
        <w:pStyle w:val="TextoNormal"/>
      </w:pPr>
    </w:p>
    <w:p w14:paraId="2E220FAB" w14:textId="77777777" w:rsidR="009D7677" w:rsidRDefault="009D7677" w:rsidP="009D7677">
      <w:pPr>
        <w:pStyle w:val="TextoNormal"/>
      </w:pPr>
      <w:r>
        <w:t>• ‘Transferencias al IFA’.</w:t>
      </w:r>
    </w:p>
    <w:p w14:paraId="38A85C71" w14:textId="77777777" w:rsidR="009D7677" w:rsidRDefault="009D7677" w:rsidP="009D7677">
      <w:pPr>
        <w:pStyle w:val="TextoNormal"/>
      </w:pPr>
    </w:p>
    <w:p w14:paraId="4CEF5EF3" w14:textId="77777777" w:rsidR="009D7677" w:rsidRDefault="009D7677" w:rsidP="009D7677">
      <w:pPr>
        <w:pStyle w:val="TextoNormal"/>
      </w:pPr>
      <w:r>
        <w:t>• ‘Transferencias al AIDA’.</w:t>
      </w:r>
    </w:p>
    <w:p w14:paraId="0CAB267D" w14:textId="77777777" w:rsidR="009D7677" w:rsidRDefault="009D7677" w:rsidP="009D7677">
      <w:pPr>
        <w:pStyle w:val="TextoNormal"/>
      </w:pPr>
    </w:p>
    <w:p w14:paraId="4A6A7EF6" w14:textId="77777777" w:rsidR="009D7677" w:rsidRDefault="009D7677" w:rsidP="009D7677">
      <w:pPr>
        <w:pStyle w:val="TextoNormal"/>
      </w:pPr>
      <w:r>
        <w:t>• ‘Mantenimiento empleo y tejido productivo andaluz’.</w:t>
      </w:r>
    </w:p>
    <w:p w14:paraId="6A9DFB2F" w14:textId="77777777" w:rsidR="009D7677" w:rsidRDefault="009D7677" w:rsidP="009D7677">
      <w:pPr>
        <w:pStyle w:val="TextoNormal"/>
      </w:pPr>
    </w:p>
    <w:p w14:paraId="066C1DB6" w14:textId="77777777" w:rsidR="009D7677" w:rsidRDefault="009D7677" w:rsidP="009D7677">
      <w:pPr>
        <w:pStyle w:val="TextoNormal"/>
      </w:pPr>
      <w:r>
        <w:t>• ‘Gestión de subvenciones’.</w:t>
      </w:r>
    </w:p>
    <w:p w14:paraId="6996F41C" w14:textId="77777777" w:rsidR="009D7677" w:rsidRDefault="009D7677" w:rsidP="009D7677">
      <w:pPr>
        <w:pStyle w:val="TextoNormal"/>
      </w:pPr>
    </w:p>
    <w:p w14:paraId="601D18D3" w14:textId="77777777" w:rsidR="009D7677" w:rsidRDefault="009D7677" w:rsidP="009D7677">
      <w:pPr>
        <w:pStyle w:val="TextoNormal"/>
      </w:pPr>
      <w:r>
        <w:t>• ‘Ayudas prejubilaciones y expedientes de regulación de empleo’.</w:t>
      </w:r>
    </w:p>
    <w:p w14:paraId="722AAF74" w14:textId="77777777" w:rsidR="009D7677" w:rsidRDefault="009D7677" w:rsidP="009D7677">
      <w:pPr>
        <w:pStyle w:val="TextoNormal"/>
      </w:pPr>
    </w:p>
    <w:p w14:paraId="2E468FA6" w14:textId="77777777" w:rsidR="009D7677" w:rsidRDefault="009D7677" w:rsidP="009D7677">
      <w:pPr>
        <w:pStyle w:val="TextoNormal"/>
      </w:pPr>
      <w:r>
        <w:t>• ‘Suscripción de convenio’.</w:t>
      </w:r>
    </w:p>
    <w:p w14:paraId="2EDADBEF" w14:textId="77777777" w:rsidR="009D7677" w:rsidRDefault="009D7677" w:rsidP="009D7677">
      <w:pPr>
        <w:pStyle w:val="TextoNormal"/>
      </w:pPr>
    </w:p>
    <w:p w14:paraId="7736B14C" w14:textId="77777777" w:rsidR="009D7677" w:rsidRDefault="009D7677" w:rsidP="009D7677">
      <w:pPr>
        <w:pStyle w:val="TextoNormal"/>
      </w:pPr>
      <w:r>
        <w:t>B) Por lo que se refiere a las memorias de los informes económico financieros, en la descripción de las actividades y objetivos contenidos en las mismas, son, como hemos visto igualmente, del siguiente tenor:</w:t>
      </w:r>
    </w:p>
    <w:p w14:paraId="1A43F9BA" w14:textId="77777777" w:rsidR="009D7677" w:rsidRDefault="009D7677" w:rsidP="009D7677">
      <w:pPr>
        <w:pStyle w:val="TextoNormal"/>
      </w:pPr>
    </w:p>
    <w:p w14:paraId="4DFFE54A" w14:textId="77777777" w:rsidR="009D7677" w:rsidRDefault="009D7677" w:rsidP="009D7677">
      <w:pPr>
        <w:pStyle w:val="TextoNormal"/>
      </w:pPr>
      <w:r>
        <w:t>• Potenciar la interlocución con los agentes sociales y económicos.</w:t>
      </w:r>
    </w:p>
    <w:p w14:paraId="061780A4" w14:textId="77777777" w:rsidR="009D7677" w:rsidRDefault="009D7677" w:rsidP="009D7677">
      <w:pPr>
        <w:pStyle w:val="TextoNormal"/>
      </w:pPr>
    </w:p>
    <w:p w14:paraId="21F4B750" w14:textId="77777777" w:rsidR="009D7677" w:rsidRDefault="009D7677" w:rsidP="009D7677">
      <w:pPr>
        <w:pStyle w:val="TextoNormal"/>
      </w:pPr>
      <w:r>
        <w:t>• Mantener las políticas de ayudas a prejubilaciones en empresas con dificultades.</w:t>
      </w:r>
    </w:p>
    <w:p w14:paraId="7C104C70" w14:textId="77777777" w:rsidR="009D7677" w:rsidRDefault="009D7677" w:rsidP="009D7677">
      <w:pPr>
        <w:pStyle w:val="TextoNormal"/>
      </w:pPr>
    </w:p>
    <w:p w14:paraId="29EFB6A2" w14:textId="77777777" w:rsidR="009D7677" w:rsidRDefault="009D7677" w:rsidP="009D7677">
      <w:pPr>
        <w:pStyle w:val="TextoNormal"/>
      </w:pPr>
      <w:r>
        <w:t>• Atender a las necesidades públicas de mantenimiento del empleo y del tejido productivo andaluz, a través de los acuerdos con el Instituto de Fomento de Andalucía para la subvención y ayuda de sectores y empresas con dificultades financieras que pudieran verse afectadas por las distintas crisis.</w:t>
      </w:r>
    </w:p>
    <w:p w14:paraId="26B94EDC" w14:textId="77777777" w:rsidR="009D7677" w:rsidRDefault="009D7677" w:rsidP="009D7677">
      <w:pPr>
        <w:pStyle w:val="TextoNormal"/>
      </w:pPr>
    </w:p>
    <w:p w14:paraId="0780B2BA" w14:textId="77777777" w:rsidR="009D7677" w:rsidRDefault="009D7677" w:rsidP="009D7677">
      <w:pPr>
        <w:pStyle w:val="TextoNormal"/>
      </w:pPr>
      <w:r>
        <w:t>• Así mismo y en una cuantía importante instrumenta la materialización de ayudas a empresas con especiales dificultades de mantenimiento del empleo, prejubilaciones y viabilidad económica.</w:t>
      </w:r>
    </w:p>
    <w:p w14:paraId="32283D26" w14:textId="77777777" w:rsidR="009D7677" w:rsidRDefault="009D7677" w:rsidP="009D7677">
      <w:pPr>
        <w:pStyle w:val="TextoNormal"/>
      </w:pPr>
    </w:p>
    <w:p w14:paraId="18D1874A" w14:textId="77777777" w:rsidR="009D7677" w:rsidRDefault="009D7677" w:rsidP="009D7677">
      <w:pPr>
        <w:pStyle w:val="TextoNormal"/>
      </w:pPr>
      <w:r>
        <w:t>• Mantener las políticas de ayudas en empresas con dificultades, a través de subvenciones finalistas, atendiendo a las necesidades públicas de mantenimiento del empleo y del tejido productivo andaluz, a través de los acuerdos con el Instituto de Fomento de Andalucía para la subvención y ayuda de sectores y empresas con dificultades financieras que pudieran verse afectadas por las distintas crisis.</w:t>
      </w:r>
    </w:p>
    <w:p w14:paraId="63C03B5F" w14:textId="77777777" w:rsidR="009D7677" w:rsidRDefault="009D7677" w:rsidP="009D7677">
      <w:pPr>
        <w:pStyle w:val="TextoNormal"/>
      </w:pPr>
    </w:p>
    <w:p w14:paraId="2BBC2A82" w14:textId="77777777" w:rsidR="009D7677" w:rsidRDefault="009D7677" w:rsidP="009D7677">
      <w:pPr>
        <w:pStyle w:val="TextoNormal"/>
      </w:pPr>
      <w:r>
        <w:lastRenderedPageBreak/>
        <w:t>• Cubrir las necesidades comprometidas asumidas por expedientes de regulación de empleo, ayudas a prejubilaciones, proyectos de viabilidad de pequeñas, medianas y grandes empresas e incentivar la consolidación económica en aquellas empresas con dificultades de mantenimiento del empleo.</w:t>
      </w:r>
    </w:p>
    <w:p w14:paraId="5781F77F" w14:textId="77777777" w:rsidR="009D7677" w:rsidRDefault="009D7677" w:rsidP="009D7677">
      <w:pPr>
        <w:pStyle w:val="TextoNormal"/>
      </w:pPr>
    </w:p>
    <w:p w14:paraId="252816C0" w14:textId="77777777" w:rsidR="009D7677" w:rsidRDefault="009D7677" w:rsidP="009D7677">
      <w:pPr>
        <w:pStyle w:val="TextoNormal"/>
      </w:pPr>
      <w:r>
        <w:t>• Esta dirección general instrumenta la materialización de las ayudas a través de un convenio con el IFA y de su dotación anual específica de contribución a pólizas de prejubilaciones.</w:t>
      </w:r>
    </w:p>
    <w:p w14:paraId="5171AB1E" w14:textId="77777777" w:rsidR="009D7677" w:rsidRDefault="009D7677" w:rsidP="009D7677">
      <w:pPr>
        <w:pStyle w:val="TextoNormal"/>
      </w:pPr>
    </w:p>
    <w:p w14:paraId="35F42030" w14:textId="77777777" w:rsidR="009D7677" w:rsidRDefault="009D7677" w:rsidP="009D7677">
      <w:pPr>
        <w:pStyle w:val="TextoNormal"/>
      </w:pPr>
      <w:r>
        <w:t>• El centro directivo que lo ejecuta es la Dirección General de Trabajo y Seguridad Social.</w:t>
      </w:r>
    </w:p>
    <w:p w14:paraId="5F43C305" w14:textId="77777777" w:rsidR="009D7677" w:rsidRDefault="009D7677" w:rsidP="009D7677">
      <w:pPr>
        <w:pStyle w:val="TextoNormal"/>
      </w:pPr>
    </w:p>
    <w:p w14:paraId="47C902BB" w14:textId="77777777" w:rsidR="009D7677" w:rsidRDefault="009D7677" w:rsidP="009D7677">
      <w:pPr>
        <w:pStyle w:val="TextoNormal"/>
      </w:pPr>
      <w:r>
        <w:t>• La previsión es para atender compromisos existentes y no se prevén fondos para nuevas, en su caso, contingencias.</w:t>
      </w:r>
    </w:p>
    <w:p w14:paraId="4E1633D2" w14:textId="77777777" w:rsidR="009D7677" w:rsidRDefault="009D7677" w:rsidP="009D7677">
      <w:pPr>
        <w:pStyle w:val="TextoNormal"/>
      </w:pPr>
    </w:p>
    <w:p w14:paraId="4292BD2B" w14:textId="77777777" w:rsidR="009D7677" w:rsidRDefault="009D7677" w:rsidP="009D7677">
      <w:pPr>
        <w:pStyle w:val="TextoNormal"/>
      </w:pPr>
      <w:r>
        <w:t>• Mantener las políticas de ayudas a prejubilaciones en empresas con dificultades, a través de subvenciones finalistas.</w:t>
      </w:r>
    </w:p>
    <w:p w14:paraId="6AE59157" w14:textId="77777777" w:rsidR="009D7677" w:rsidRDefault="009D7677" w:rsidP="009D7677">
      <w:pPr>
        <w:pStyle w:val="TextoNormal"/>
      </w:pPr>
    </w:p>
    <w:p w14:paraId="68182DFB" w14:textId="77777777" w:rsidR="009D7677" w:rsidRDefault="009D7677" w:rsidP="009D7677">
      <w:pPr>
        <w:pStyle w:val="TextoNormal"/>
      </w:pPr>
      <w:r>
        <w:t>• Realización de transferencias al Instituto de Fomento de Andalucía en aplicación de concierto de ayudas a empresas en crisis para el mantenimiento del empleo y tejido productivo andaluz.</w:t>
      </w:r>
    </w:p>
    <w:p w14:paraId="21BCE24B" w14:textId="77777777" w:rsidR="009D7677" w:rsidRDefault="009D7677" w:rsidP="009D7677">
      <w:pPr>
        <w:pStyle w:val="TextoNormal"/>
      </w:pPr>
    </w:p>
    <w:p w14:paraId="6C0F32C2" w14:textId="77777777" w:rsidR="009D7677" w:rsidRDefault="009D7677" w:rsidP="009D7677">
      <w:pPr>
        <w:pStyle w:val="TextoNormal"/>
      </w:pPr>
      <w:r>
        <w:t>• Tramitación de transferencias a empresas mediante ayudas a prejubilaciones mediante subvención de la cuota de seguridad social.</w:t>
      </w:r>
    </w:p>
    <w:p w14:paraId="1372ADBA" w14:textId="77777777" w:rsidR="009D7677" w:rsidRDefault="009D7677" w:rsidP="009D7677">
      <w:pPr>
        <w:pStyle w:val="TextoNormal"/>
      </w:pPr>
    </w:p>
    <w:p w14:paraId="209F3F78" w14:textId="77777777" w:rsidR="009D7677" w:rsidRDefault="009D7677" w:rsidP="009D7677">
      <w:pPr>
        <w:pStyle w:val="TextoNormal"/>
      </w:pPr>
      <w:r>
        <w:t>• El programa presupuestario 31L, lo ejecuta la Dirección General de Trabajo y Seguridad Social, centro directivo que tiene atribuidas las competencias que corresponden a la consejería en materia de relaciones laborales.</w:t>
      </w:r>
    </w:p>
    <w:p w14:paraId="351C006F" w14:textId="77777777" w:rsidR="009D7677" w:rsidRDefault="009D7677" w:rsidP="009D7677">
      <w:pPr>
        <w:pStyle w:val="TextoNormal"/>
      </w:pPr>
    </w:p>
    <w:p w14:paraId="05362C87" w14:textId="77777777" w:rsidR="009D7677" w:rsidRDefault="009D7677" w:rsidP="009D7677">
      <w:pPr>
        <w:pStyle w:val="TextoNormal"/>
      </w:pPr>
      <w:r>
        <w:t>• Atender a las necesidades públicas de mantenimiento del empleo y del tejido productivo andaluz, a través de los acuerdos con la Agencia de Innovación y Desarrollo de Andalucía para la subvención y ayuda de sectores y empresas con dificultades financieras.</w:t>
      </w:r>
    </w:p>
    <w:p w14:paraId="43CE9DB8" w14:textId="77777777" w:rsidR="009D7677" w:rsidRDefault="009D7677" w:rsidP="009D7677">
      <w:pPr>
        <w:pStyle w:val="TextoNormal"/>
      </w:pPr>
    </w:p>
    <w:p w14:paraId="6F810B74" w14:textId="77777777" w:rsidR="009D7677" w:rsidRDefault="009D7677" w:rsidP="009D7677">
      <w:pPr>
        <w:pStyle w:val="TextoNormal"/>
      </w:pPr>
      <w:r>
        <w:t>• Esta dirección general instrumenta la materialización de las ayudas a través de un convenio con la Agencia de Innovación y Desarrollo de Andalucía y de su dotación anual específica de contribución a pólizas de prejubilaciones.</w:t>
      </w:r>
    </w:p>
    <w:p w14:paraId="7DA1C467" w14:textId="77777777" w:rsidR="009D7677" w:rsidRDefault="009D7677" w:rsidP="009D7677">
      <w:pPr>
        <w:pStyle w:val="TextoNormal"/>
      </w:pPr>
    </w:p>
    <w:p w14:paraId="7A11836F" w14:textId="77777777" w:rsidR="009D7677" w:rsidRDefault="009D7677" w:rsidP="009D7677">
      <w:pPr>
        <w:pStyle w:val="TextoNormal"/>
      </w:pPr>
      <w:r>
        <w:t>• Continuar la línea de colaboración con IDEA en aplicación del concierto de ayudas para el mantenimiento del empleo y tejido productivo andaluz en vigor desde el año 2001.</w:t>
      </w:r>
    </w:p>
    <w:p w14:paraId="5DA9DEE4" w14:textId="77777777" w:rsidR="009D7677" w:rsidRDefault="009D7677" w:rsidP="009D7677">
      <w:pPr>
        <w:pStyle w:val="TextoNormal"/>
      </w:pPr>
    </w:p>
    <w:p w14:paraId="3D800C92" w14:textId="77777777" w:rsidR="009D7677" w:rsidRDefault="009D7677" w:rsidP="009D7677">
      <w:pPr>
        <w:pStyle w:val="TextoNormal"/>
      </w:pPr>
      <w:r>
        <w:t>• En aras del mantenimiento del empleo y del tejido productivo andaluz, continuará en vigor durante el ejercicio 2003 el convenio marco entre la Consejería de Empleo y Desarrollo Tecnológico y el Instituto de Fomento de Andalucía de 17 de julio de 2001 referido a las ayudas a las empresas para prejubilaciones, expedientes de regulación de empleo y proyectos de viabilidad, con el que se pretende atender a los sectores o empresas en crisis para que se mantenga el mayor volumen de empleo posible.</w:t>
      </w:r>
    </w:p>
    <w:p w14:paraId="662677E4" w14:textId="77777777" w:rsidR="009D7677" w:rsidRDefault="009D7677" w:rsidP="009D7677">
      <w:pPr>
        <w:pStyle w:val="TextoNormal"/>
      </w:pPr>
    </w:p>
    <w:p w14:paraId="617D1C39" w14:textId="77777777" w:rsidR="009D7677" w:rsidRDefault="009D7677" w:rsidP="009D7677">
      <w:pPr>
        <w:pStyle w:val="TextoNormal"/>
      </w:pPr>
      <w:r>
        <w:lastRenderedPageBreak/>
        <w:t>• Mantenimiento del empleo y tejido productivo andaluz: cobertura de las necesidades comprometidas asumidas por expedientes de regulación de empleo, ayuda prejubilaciones, proyectos de viabilidad de pequeñas, medianas y grandes empresas e impulso a la consolidación económica en aquellas empresas con dificultades de mantenimiento del empleo”.</w:t>
      </w:r>
    </w:p>
    <w:p w14:paraId="6F5AB1DA" w14:textId="77777777" w:rsidR="009D7677" w:rsidRDefault="009D7677" w:rsidP="009D7677">
      <w:pPr>
        <w:pStyle w:val="TextoNormal"/>
      </w:pPr>
    </w:p>
    <w:p w14:paraId="047B24A3" w14:textId="77777777" w:rsidR="009D7677" w:rsidRDefault="009D7677" w:rsidP="009D7677">
      <w:pPr>
        <w:pStyle w:val="TextoNormal"/>
      </w:pPr>
      <w:r>
        <w:t>Las citadas partidas presupuestarias —440.00 “Transferencias al IFA/IDEA en materia de relaciones laborales” y 440.51 “Transferencias de financiación al IFA/IDEA”— fueron aprobadas por el Parlamento de Andalucía en las correspondientes leyes de presupuestos de los años 2002 a 2009, cuyos importes resultaron incrementados como consecuencia de la aprobación de sucesivas modificaciones presupuestarias.</w:t>
      </w:r>
    </w:p>
    <w:p w14:paraId="464AE917" w14:textId="77777777" w:rsidR="009D7677" w:rsidRDefault="009D7677" w:rsidP="009D7677">
      <w:pPr>
        <w:pStyle w:val="TextoNormal"/>
      </w:pPr>
    </w:p>
    <w:p w14:paraId="0987C256" w14:textId="77777777" w:rsidR="009D7677" w:rsidRDefault="009D7677" w:rsidP="009D7677">
      <w:pPr>
        <w:pStyle w:val="TextoNormal"/>
      </w:pPr>
      <w:r>
        <w:t>El IFA/IDEA, como consecuencia tanto de la aprobación de las leyes de presupuestos como de las modificaciones presupuestarias, recogió en su presupuesto de explotación, en la rúbrica “Otros gastos de explotación”, los importes que preveía recibir del programa presupuestario 31L. El criterio adoptado por el IFA/IDEA a efectos de contabilidad fue el de reflejar la realidad económica de la operación de mera intermediación, es decir, reconocer como un activo —derecho de cobro— los importes a percibir de la consejería, vía transferencias de financiación de los conceptos 440.00 y 440.51, y como un pasivo —obligaciones— los compromisos de pago que asumía por orden de la consejería mediante la suscripción de los convenios particulares entre la Dirección General de Trabajo y Seguridad Social y el IFA/IDEA, en desarrollo del convenio marco.</w:t>
      </w:r>
    </w:p>
    <w:p w14:paraId="31A08A81" w14:textId="77777777" w:rsidR="009D7677" w:rsidRDefault="009D7677" w:rsidP="009D7677">
      <w:pPr>
        <w:pStyle w:val="TextoNormal"/>
      </w:pPr>
    </w:p>
    <w:p w14:paraId="76D2DFB7" w14:textId="77777777" w:rsidR="009D7677" w:rsidRDefault="009D7677" w:rsidP="009D7677">
      <w:pPr>
        <w:pStyle w:val="TextoNormal"/>
      </w:pPr>
      <w:r>
        <w:t>Según consta en la sentencia de la Audiencia Provincial, el consejero de Empleo —don José Antonio Viera Chacón— y el vicepresidente del IFA —don Antonio Fernández García—, para evitar dar información a los miembros del Consejo Rector del IFA ajenos a la Consejería de Empleo, así como que tuvieran que ser ratificadas por el Consejo de Gobierno las ayudas superiores a 1 200 000 € y publicadas en el “Boletín Oficial de la Junta de Andalucía”, decidieron sustraer al conocimiento del Consejo Rector, a partir de la reunión de 27 de mayo de 2003, todas las ayudas sociolaborales, con el argumento de que tratándose de ayudas a trabajadores la cuantía debía calcularse en atención a lo que iba a cobrar cada trabajador y no por la suma total de las ayudas recibidas por el conjunto de trabajadores de cada empresa. Respecto de las ayudas destinadas a las empresas, el método utilizado fue el fraccionamiento de los importes de los fondos públicos concedidos.</w:t>
      </w:r>
    </w:p>
    <w:p w14:paraId="54461BFE" w14:textId="77777777" w:rsidR="009D7677" w:rsidRDefault="009D7677" w:rsidP="009D7677">
      <w:pPr>
        <w:pStyle w:val="TextoNormal"/>
      </w:pPr>
    </w:p>
    <w:p w14:paraId="4F075A6A" w14:textId="77777777" w:rsidR="009D7677" w:rsidRDefault="009D7677" w:rsidP="009D7677">
      <w:pPr>
        <w:pStyle w:val="TextoNormal"/>
      </w:pPr>
      <w:r>
        <w:t>En el ejercicio 2009 se dejaron de suscribir convenios particulares entre la Dirección General de Trabajo y Seguridad Social y el IDEA, dictándose por el director general de Trabajo resoluciones concediendo las ayudas y ordenando su pago al director general de IDEA.</w:t>
      </w:r>
    </w:p>
    <w:p w14:paraId="57F7E605" w14:textId="77777777" w:rsidR="009D7677" w:rsidRDefault="009D7677" w:rsidP="009D7677">
      <w:pPr>
        <w:pStyle w:val="TextoNormal"/>
      </w:pPr>
    </w:p>
    <w:p w14:paraId="03240B7C" w14:textId="77777777" w:rsidR="009D7677" w:rsidRDefault="009D7677" w:rsidP="009D7677">
      <w:pPr>
        <w:pStyle w:val="TextoNormal"/>
      </w:pPr>
      <w:r>
        <w:t>El control financiero del IFA/IDEA se limitó a verificar que se había efectuado el pago de las ayudas ordenado por la Consejería de Empleo y Desarrollo Tecnológico, a través de la Dirección General de Trabajo y Seguridad Social, ya que formalmente no se trataba de ayudas concedidas por el IFA/IDEA.</w:t>
      </w:r>
    </w:p>
    <w:p w14:paraId="6240955C" w14:textId="77777777" w:rsidR="009D7677" w:rsidRDefault="009D7677" w:rsidP="009D7677">
      <w:pPr>
        <w:pStyle w:val="TextoNormal"/>
      </w:pPr>
    </w:p>
    <w:p w14:paraId="1F27C5B3" w14:textId="77777777" w:rsidR="009D7677" w:rsidRDefault="009D7677" w:rsidP="009D7677">
      <w:pPr>
        <w:pStyle w:val="TextoNormal"/>
      </w:pPr>
      <w:r>
        <w:t xml:space="preserve">d) En el año 2010 se abandonaron las transferencias de financiación al IDEA y se presupuestaron en los correspondientes programas las partidas destinadas a ayudas sociolaborales y a empresas en crisis, publicándose las bases reguladoras de las convocatorias para su concesión mediante Órdenes de la Consejería de Empleo de 1 de abril de 2011 y de 13 </w:t>
      </w:r>
      <w:r>
        <w:lastRenderedPageBreak/>
        <w:t>y de 16 de marzo de 2012, hasta su derogación por el Decreto-ley 4/2012, de 16 de octubre, de la Junta de Andalucía, de medidas extraordinarias y urgentes en materia de protección sociolaboral a extrabajadores y extrabajadoras andaluces afectados por procesos de reestructuración de empresas y sectores en crisis.</w:t>
      </w:r>
    </w:p>
    <w:p w14:paraId="248EBB97" w14:textId="77777777" w:rsidR="009D7677" w:rsidRDefault="009D7677" w:rsidP="009D7677">
      <w:pPr>
        <w:pStyle w:val="TextoNormal"/>
      </w:pPr>
    </w:p>
    <w:p w14:paraId="6ABA7920" w14:textId="77777777" w:rsidR="009D7677" w:rsidRDefault="009D7677" w:rsidP="009D7677">
      <w:pPr>
        <w:pStyle w:val="TextoNormal"/>
      </w:pPr>
      <w:r>
        <w:t>En el citado decreto-ley se estableció que a estas ayudas sociolaborales no les era de aplicación la normativa general sobre subvenciones públicas, previendo una completa regulación de las mismas referida, entre otros extremos, a los criterios de concesión, los sistemas de control, las obligaciones de colaboración y declaración, las acciones de reintegro, el régimen disciplinario, así como su sujeción a una fiscalización previa.</w:t>
      </w:r>
    </w:p>
    <w:p w14:paraId="503BFC73" w14:textId="77777777" w:rsidR="009D7677" w:rsidRDefault="009D7677" w:rsidP="009D7677">
      <w:pPr>
        <w:pStyle w:val="TextoNormal"/>
      </w:pPr>
    </w:p>
    <w:p w14:paraId="3A602489" w14:textId="77777777" w:rsidR="009D7677" w:rsidRDefault="009D7677" w:rsidP="009D7677">
      <w:pPr>
        <w:pStyle w:val="TextoNormal"/>
      </w:pPr>
      <w:r>
        <w:t>e) En resumen, el sistema de otorgamiento de las ayudas sociolaborales y a empresas en crisis hasta el año 2010 fue el siguiente:</w:t>
      </w:r>
    </w:p>
    <w:p w14:paraId="137ED898" w14:textId="77777777" w:rsidR="009D7677" w:rsidRDefault="009D7677" w:rsidP="009D7677">
      <w:pPr>
        <w:pStyle w:val="TextoNormal"/>
      </w:pPr>
    </w:p>
    <w:p w14:paraId="7ED9CCC8" w14:textId="77777777" w:rsidR="009D7677" w:rsidRDefault="009D7677" w:rsidP="009D7677">
      <w:pPr>
        <w:pStyle w:val="TextoNormal"/>
      </w:pPr>
      <w:r>
        <w:t>(i) En la década de los años 1990 estas ayudas se tramitaron como subvenciones excepcionales, siendo concedidas y pagadas por la Consejería de Empleo y Desarrollo Tecnológico.</w:t>
      </w:r>
    </w:p>
    <w:p w14:paraId="75171825" w14:textId="77777777" w:rsidR="009D7677" w:rsidRDefault="009D7677" w:rsidP="009D7677">
      <w:pPr>
        <w:pStyle w:val="TextoNormal"/>
      </w:pPr>
    </w:p>
    <w:p w14:paraId="0DF6FC93" w14:textId="77777777" w:rsidR="009D7677" w:rsidRDefault="009D7677" w:rsidP="009D7677">
      <w:pPr>
        <w:pStyle w:val="TextoNormal"/>
      </w:pPr>
      <w:r>
        <w:t>(ii) Desde el año 2000 hasta el año 2010 las ayudas las concedió la Consejería de Empleo y Desarrollo Tecnológico, a través de la Dirección General de Trabajo y Seguridad Social, y el pago lo efectuaba el IFA/IDEA. Su régimen se establecía en los convenios particulares suscritos entre la Dirección General de Trabajo y Seguridad Social y el IFA/IDEA, al amparo del convenio marco de 17 de julio de 2001.</w:t>
      </w:r>
    </w:p>
    <w:p w14:paraId="7300C4A8" w14:textId="77777777" w:rsidR="009D7677" w:rsidRDefault="009D7677" w:rsidP="009D7677">
      <w:pPr>
        <w:pStyle w:val="TextoNormal"/>
      </w:pPr>
    </w:p>
    <w:p w14:paraId="7D566FB5" w14:textId="77777777" w:rsidR="009D7677" w:rsidRDefault="009D7677" w:rsidP="009D7677">
      <w:pPr>
        <w:pStyle w:val="TextoNormal"/>
      </w:pPr>
      <w:r>
        <w:t xml:space="preserve">(iii) Al IFA/IDEA se le atribuyeron los fondos para el pago de las ayudas mediante transferencias de financiación. La utilización de estos créditos no estaba sometida a un control previo, sino a un control </w:t>
      </w:r>
      <w:r w:rsidRPr="009D7677">
        <w:rPr>
          <w:i/>
        </w:rPr>
        <w:t>ex post</w:t>
      </w:r>
      <w:r>
        <w:t>: el llamado “control financiero permanente”. Este control se limitaba a (1) comprobar la legalidad del pago; (2) examinar las cuentas anuales; y (3) analizar críticamente los programas asignados al instituto.</w:t>
      </w:r>
    </w:p>
    <w:p w14:paraId="7599A50F" w14:textId="77777777" w:rsidR="009D7677" w:rsidRDefault="009D7677" w:rsidP="009D7677">
      <w:pPr>
        <w:pStyle w:val="TextoNormal"/>
      </w:pPr>
    </w:p>
    <w:p w14:paraId="27A1DCD9" w14:textId="77777777" w:rsidR="009D7677" w:rsidRDefault="009D7677" w:rsidP="009D7677">
      <w:pPr>
        <w:pStyle w:val="TextoNormal"/>
      </w:pPr>
      <w:r>
        <w:t>(iv) Al IFA/IDEA se le dotó de fondos, al principio, durante los años 2000 y 2001, mediante modificaciones presupuestarias y, después, estableciendo en las leyes de presupuestos de los ejercicios 2002 a 2009 unas partidas presupuestarias específicas, en el programa 31L, para que abonase dichas ayudas, cuyo importe inicial se incrementó a través de la aprobación de modificaciones presupuestarias.</w:t>
      </w:r>
    </w:p>
    <w:p w14:paraId="732992ED" w14:textId="77777777" w:rsidR="009D7677" w:rsidRDefault="009D7677" w:rsidP="009D7677">
      <w:pPr>
        <w:pStyle w:val="TextoNormal"/>
      </w:pPr>
    </w:p>
    <w:p w14:paraId="3A958818" w14:textId="77777777" w:rsidR="009D7677" w:rsidRDefault="009D7677" w:rsidP="009D7677">
      <w:pPr>
        <w:pStyle w:val="TextoNormal"/>
      </w:pPr>
      <w:r>
        <w:t>El seguimiento del referido sistema de otorgamiento de las ayudas sociolaborales y a empresas en crisis hasta el año 2010 permitió, según las resoluciones impugnadas:</w:t>
      </w:r>
    </w:p>
    <w:p w14:paraId="3F897E18" w14:textId="77777777" w:rsidR="009D7677" w:rsidRDefault="009D7677" w:rsidP="009D7677">
      <w:pPr>
        <w:pStyle w:val="TextoNormal"/>
      </w:pPr>
    </w:p>
    <w:p w14:paraId="3246E789" w14:textId="77777777" w:rsidR="009D7677" w:rsidRDefault="009D7677" w:rsidP="009D7677">
      <w:pPr>
        <w:pStyle w:val="TextoNormal"/>
      </w:pPr>
      <w:r>
        <w:t>(i) que se concediesen las ayudas sociolaborales sin publicación de bases reguladoras que garantizasen la publicidad y conocimiento general por los posibles destinatarios de las ayudas; sin registro en la base de datos de subvenciones de la Junta de Andalucía; sin establecer el más mínimo mecanismo de comprobación de la pertenencia al colectivo afectado de las personas beneficiarias de las pólizas de rentas abonadas por la Consejería de Empleo; y sin exigencia de justificación alguna o seguimiento de la situación laboral de los beneficiarios. Todo lo cual permitió que percibieran las rentas de las pólizas personas que nunca habían pertenecido al colectivo afectado o que siguieran percibiéndolas quienes ya se habían incorporado al mercado laboral;</w:t>
      </w:r>
    </w:p>
    <w:p w14:paraId="13516BD5" w14:textId="77777777" w:rsidR="009D7677" w:rsidRDefault="009D7677" w:rsidP="009D7677">
      <w:pPr>
        <w:pStyle w:val="TextoNormal"/>
      </w:pPr>
    </w:p>
    <w:p w14:paraId="7F82DAC1" w14:textId="77777777" w:rsidR="009D7677" w:rsidRDefault="009D7677" w:rsidP="009D7677">
      <w:pPr>
        <w:pStyle w:val="TextoNormal"/>
      </w:pPr>
      <w:r>
        <w:t>(ii) que se concediesen ayudas a empresas en crisis sin realizar convocatorias que garantizasen la publicidad y conocimiento general; sin el obligatorio registro en la base de datos de subvenciones de la Junta de Andalucía; y sin que una gran parte de esas ayudas dispusiera de un objeto concreto, lo que facilitó que las ayudas fueran concedidas para fines muy diversos, entre otros el pago de nóminas, minutas por asesoramientos jurídicos y avales y</w:t>
      </w:r>
    </w:p>
    <w:p w14:paraId="115597D0" w14:textId="77777777" w:rsidR="009D7677" w:rsidRDefault="009D7677" w:rsidP="009D7677">
      <w:pPr>
        <w:pStyle w:val="TextoNormal"/>
      </w:pPr>
    </w:p>
    <w:p w14:paraId="7620D59F" w14:textId="77777777" w:rsidR="009D7677" w:rsidRDefault="009D7677" w:rsidP="009D7677">
      <w:pPr>
        <w:pStyle w:val="TextoNormal"/>
      </w:pPr>
      <w:r>
        <w:t>(iii) que se destinasen fondos del programa 31L a fines distintos y ajenos a los recogidos para este en los correspondientes presupuestos.</w:t>
      </w:r>
    </w:p>
    <w:p w14:paraId="548B54E5" w14:textId="77777777" w:rsidR="009D7677" w:rsidRDefault="009D7677" w:rsidP="009D7677">
      <w:pPr>
        <w:pStyle w:val="TextoNormal"/>
      </w:pPr>
    </w:p>
    <w:p w14:paraId="65A83B54" w14:textId="77777777" w:rsidR="009D7677" w:rsidRDefault="009D7677" w:rsidP="009D7677">
      <w:pPr>
        <w:pStyle w:val="TextoNormal"/>
      </w:pPr>
      <w:r>
        <w:t>2.2</w:t>
      </w:r>
      <w:r w:rsidRPr="009D7677">
        <w:rPr>
          <w:i/>
        </w:rPr>
        <w:t>. La “pieza específica” y las demás piezas del proceso “E</w:t>
      </w:r>
      <w:r>
        <w:t>RE”</w:t>
      </w:r>
    </w:p>
    <w:p w14:paraId="4435DF43" w14:textId="77777777" w:rsidR="009D7677" w:rsidRDefault="009D7677" w:rsidP="009D7677">
      <w:pPr>
        <w:pStyle w:val="TextoNormal"/>
      </w:pPr>
    </w:p>
    <w:p w14:paraId="5B3B7AC6" w14:textId="77777777" w:rsidR="009D7677" w:rsidRDefault="009D7677" w:rsidP="009D7677">
      <w:pPr>
        <w:pStyle w:val="TextoNormal"/>
      </w:pPr>
      <w:r>
        <w:t>La causa matriz de los “ERE” se desgajó en una primera pieza denominada “pieza específica” y, en lo que aquí interesa, en un número no inferior a otras 200 piezas que tienen por objeto las ayudas individuales concedidas a empresas o determinados grupos de empresas.</w:t>
      </w:r>
    </w:p>
    <w:p w14:paraId="5D63EC9A" w14:textId="77777777" w:rsidR="009D7677" w:rsidRDefault="009D7677" w:rsidP="009D7677">
      <w:pPr>
        <w:pStyle w:val="TextoNormal"/>
      </w:pPr>
    </w:p>
    <w:p w14:paraId="1A26572D" w14:textId="77777777" w:rsidR="009D7677" w:rsidRDefault="009D7677" w:rsidP="009D7677">
      <w:pPr>
        <w:pStyle w:val="TextoNormal"/>
      </w:pPr>
      <w:r>
        <w:t>El Tribunal Supremo declara en su sentencia, que en la “pieza específica”, de la que trae causa la presente demanda de amparo, han sido enjuiciados, tanto por la ilegalidad de sus resoluciones como por disponer de fondos públicos o permitir su disposición, “un grupo de personas que por su posición institucional intervinieron en el diseño, puesta en funcionamiento y mantenimiento de un sistema de presupuestación que dio lugar a la concesión de ayudas al margen de los procedimientos legales establecidos”. En las piezas dedicadas a las ayudas individuales son objeto de investigación, en cambio, cada una de esas ayudas, “lo que incluye a todas aquellas personas que de forma activa y consciente participaron en la gestión, concesión de las ayudas desde todos los ámbitos administrativos o privados, o se beneficiaron ilícitamente de las mismas”.</w:t>
      </w:r>
    </w:p>
    <w:p w14:paraId="13D086E5" w14:textId="77777777" w:rsidR="009D7677" w:rsidRDefault="009D7677" w:rsidP="009D7677">
      <w:pPr>
        <w:pStyle w:val="TextoNormal"/>
      </w:pPr>
    </w:p>
    <w:p w14:paraId="6DBEBE53" w14:textId="77777777" w:rsidR="009D7677" w:rsidRDefault="009D7677" w:rsidP="009D7677">
      <w:pPr>
        <w:pStyle w:val="TextoNormal"/>
      </w:pPr>
      <w:r>
        <w:t>Entre la “pieza específica” y las piezas individuales existe, afirma la sentencia de casación, una posible zona de coincidencia, “la de aquellas personas que intervinieron en el diseño, puesta en funcionamiento o mantenimiento del sistema y, a la vez, dispusieron de los fondos públicos”. Pese a la existencia de esta zona de coincidencia, el Tribunal Supremo confirma que “[n]o tenía razón de ser el enjuiciamiento conjunto [de dichas piezas], no solo porque la magnitud de la investigación hacía inviable un único juicio, sino porque para determinar la responsabilidad penal del primer grupo de personas no parecía imprescindible el análisis de cada ayuda singular, ya que, en su caso, lo determinante, era su intervención en el sistema que propició el descontrol generalizado en la concesión de las ayudas. […] Lo procedente era dividir la causa, enjuiciando en la pieza matriz [‘pieza específica’] el proceso de ‘diseño y puesta en funcionamiento del procedimiento específico en todas sus variantes’ y en las distintas piezas separadas la concesión y pago de las distintas ayudas”. Esta división —reconoce el Tribunal Supremo— “podía dar lugar a que hubiera coincidencias entre la pieza matriz [‘pieza específica’] y las piezas separadas, porque si bien hay un grupo de personas que intervinieron en ‘el diseño y puesta en funcionamiento del procedimiento específico en todas sus variantes’, dentro de ese grupo hay personas que también intervinieron en la concesión y pago de las ayudas singulares”, como “los directores generales de Trabajo y Seguridad Social, […] los directores generales del IFA/IDEA y, en general, […] cualquier otro acusado que haya sido enjuiciado en esta pie</w:t>
      </w:r>
      <w:r>
        <w:lastRenderedPageBreak/>
        <w:t>za matriz y que esté acusado o se pretenda su acusación en cualquier otra pieza por delito de malversación de caudales públicos” (fundamento de Derecho 3.4; págs. 122-133).</w:t>
      </w:r>
    </w:p>
    <w:p w14:paraId="769D0E6C" w14:textId="77777777" w:rsidR="009D7677" w:rsidRDefault="009D7677" w:rsidP="009D7677">
      <w:pPr>
        <w:pStyle w:val="TextoNormal"/>
      </w:pPr>
    </w:p>
    <w:p w14:paraId="51ADBC1E" w14:textId="77777777" w:rsidR="009D7677" w:rsidRDefault="009D7677" w:rsidP="009D7677">
      <w:pPr>
        <w:pStyle w:val="TextoNormal"/>
      </w:pPr>
      <w:r>
        <w:t>2.3</w:t>
      </w:r>
      <w:r w:rsidRPr="009D7677">
        <w:rPr>
          <w:i/>
        </w:rPr>
        <w:t>. Hechos enjuiciados en la “pieza específic</w:t>
      </w:r>
      <w:r>
        <w:t>a”</w:t>
      </w:r>
    </w:p>
    <w:p w14:paraId="2FFF49B4" w14:textId="77777777" w:rsidR="009D7677" w:rsidRDefault="009D7677" w:rsidP="009D7677">
      <w:pPr>
        <w:pStyle w:val="TextoNormal"/>
      </w:pPr>
    </w:p>
    <w:p w14:paraId="5B91D6C6" w14:textId="77777777" w:rsidR="009D7677" w:rsidRDefault="009D7677" w:rsidP="009D7677">
      <w:pPr>
        <w:pStyle w:val="TextoNormal"/>
      </w:pPr>
      <w:r>
        <w:t>Los hechos enjuiciados en la “pieza específica” se delimitan material y cronológicamente en el fundamento de Derecho 3.4 (págs. 135-137) de la sentencia del Tribunal Supremo en estos términos:</w:t>
      </w:r>
    </w:p>
    <w:p w14:paraId="06DC0B95" w14:textId="77777777" w:rsidR="009D7677" w:rsidRDefault="009D7677" w:rsidP="009D7677">
      <w:pPr>
        <w:pStyle w:val="TextoNormal"/>
      </w:pPr>
    </w:p>
    <w:p w14:paraId="408A5C6C" w14:textId="77777777" w:rsidR="009D7677" w:rsidRDefault="009D7677" w:rsidP="009D7677">
      <w:pPr>
        <w:pStyle w:val="TextoNormal"/>
      </w:pPr>
      <w:r>
        <w:t>“(i) Temporalmente los hechos enjuiciados en esta causa son los acontecidos entre la elaboración de la primera modificación presupuestaria, cuya aprobación data del 18 de abril de 2000 y la aprobación de la última modificación presupuestaria que se produjo el 1 de diciembre de 2009, por lo que cualquier hecho ocurrido fuera de esos márgenes temporales no ha sido objeto de enjuiciamiento en este proceso.</w:t>
      </w:r>
    </w:p>
    <w:p w14:paraId="38BCDFE1" w14:textId="77777777" w:rsidR="009D7677" w:rsidRDefault="009D7677" w:rsidP="009D7677">
      <w:pPr>
        <w:pStyle w:val="TextoNormal"/>
      </w:pPr>
    </w:p>
    <w:p w14:paraId="38927347" w14:textId="77777777" w:rsidR="009D7677" w:rsidRDefault="009D7677" w:rsidP="009D7677">
      <w:pPr>
        <w:pStyle w:val="TextoNormal"/>
      </w:pPr>
      <w:r>
        <w:t>(ii) En relación con el delito de prevaricación las personas enjuiciadas y que han resultado condenadas lo han sido por adoptar las siguientes resoluciones:</w:t>
      </w:r>
    </w:p>
    <w:p w14:paraId="45EB0EDA" w14:textId="77777777" w:rsidR="009D7677" w:rsidRDefault="009D7677" w:rsidP="009D7677">
      <w:pPr>
        <w:pStyle w:val="TextoNormal"/>
      </w:pPr>
    </w:p>
    <w:p w14:paraId="06076051" w14:textId="77777777" w:rsidR="009D7677" w:rsidRDefault="009D7677" w:rsidP="009D7677">
      <w:pPr>
        <w:pStyle w:val="TextoNormal"/>
      </w:pPr>
      <w:r>
        <w:t>- Elaboración y aprobación de los presupuestos de los ejercicios 2002 a 2009, incluyendo el programa 31L en sustitución del 22E, introduciendo indebidamente la aplicación presupuestaria ‘Transferencias al IFA en materia de relaciones laborales’, habilitando anualmente mediante transferencias de financiación unas cuantías muy relevantes que se precisan en el relato fáctico.</w:t>
      </w:r>
    </w:p>
    <w:p w14:paraId="7266D948" w14:textId="77777777" w:rsidR="009D7677" w:rsidRDefault="009D7677" w:rsidP="009D7677">
      <w:pPr>
        <w:pStyle w:val="TextoNormal"/>
      </w:pPr>
    </w:p>
    <w:p w14:paraId="212DA8D3" w14:textId="77777777" w:rsidR="009D7677" w:rsidRDefault="009D7677" w:rsidP="009D7677">
      <w:pPr>
        <w:pStyle w:val="TextoNormal"/>
      </w:pPr>
      <w:r>
        <w:t>- Aprobación de las modificaciones presupuestarias de fechas 28 de julio de 2000, 7 de mayo de 2001, 29 de mayo de 2001, 18 de septiembre de 2001, 13 de noviembre de 2001, 5 de diciembre de 2001, 15 de octubre de 2002, 21 de octubre de 2002, 18 de marzo de 2004, 17 de diciembre de 2005, 7 de noviembre de 2006, 27 de noviembre de 2007, 22 de diciembre de 2008 (tres modificaciones presupuestarias en esa fecha) y 1 de diciembre de 2009.</w:t>
      </w:r>
    </w:p>
    <w:p w14:paraId="2C998339" w14:textId="77777777" w:rsidR="009D7677" w:rsidRDefault="009D7677" w:rsidP="009D7677">
      <w:pPr>
        <w:pStyle w:val="TextoNormal"/>
      </w:pPr>
    </w:p>
    <w:p w14:paraId="18DB448D" w14:textId="77777777" w:rsidR="009D7677" w:rsidRDefault="009D7677" w:rsidP="009D7677">
      <w:pPr>
        <w:pStyle w:val="TextoNormal"/>
      </w:pPr>
      <w:r>
        <w:t>- Otorgamiento del convenio marco de colaboración entre la Consejería de Empleo y Desarrollo Tecnológico (CEDT) y el Instituto de Fomento de Andalucía (IFA) de 17 de julio de 2001, suscrito por don José Antonio Viera Chacón, como consejero de Empleo de la Junta de Andalucía y don Antonio Fernández García, como presidente del IFA.</w:t>
      </w:r>
    </w:p>
    <w:p w14:paraId="1E3A61B5" w14:textId="77777777" w:rsidR="009D7677" w:rsidRDefault="009D7677" w:rsidP="009D7677">
      <w:pPr>
        <w:pStyle w:val="TextoNormal"/>
      </w:pPr>
    </w:p>
    <w:p w14:paraId="4B292DC4" w14:textId="77777777" w:rsidR="009D7677" w:rsidRDefault="009D7677" w:rsidP="009D7677">
      <w:pPr>
        <w:pStyle w:val="TextoNormal"/>
      </w:pPr>
      <w:r>
        <w:t>- Otorgamiento de los convenios particulares suscritos a partir de la firma del convenio marco, firmados hasta su cese por el acusado don Francisco Javier Guerrero Benítez, como director general de Trabajo y por el IFA. En relación con este último, firmados por su presidente hasta el 28 de enero de 2003 y posteriormente por los directores generales de dicho instituto.</w:t>
      </w:r>
    </w:p>
    <w:p w14:paraId="3C540B8E" w14:textId="77777777" w:rsidR="009D7677" w:rsidRDefault="009D7677" w:rsidP="009D7677">
      <w:pPr>
        <w:pStyle w:val="TextoNormal"/>
      </w:pPr>
    </w:p>
    <w:p w14:paraId="4F3AD2DA" w14:textId="77777777" w:rsidR="009D7677" w:rsidRDefault="009D7677" w:rsidP="009D7677">
      <w:pPr>
        <w:pStyle w:val="TextoNormal"/>
      </w:pPr>
      <w:r>
        <w:t>- Fraccionamiento de las cuantías de las ayudas a partir del 27 de mayo de 2003 en función de las cantidades asignadas a cada trabajador y no de las cantidades asignadas a las empresas, todo ello para sustraer su conocimiento del Consejo Rector del IFA.</w:t>
      </w:r>
    </w:p>
    <w:p w14:paraId="0C68FFA0" w14:textId="77777777" w:rsidR="009D7677" w:rsidRDefault="009D7677" w:rsidP="009D7677">
      <w:pPr>
        <w:pStyle w:val="TextoNormal"/>
      </w:pPr>
    </w:p>
    <w:p w14:paraId="10260440" w14:textId="77777777" w:rsidR="009D7677" w:rsidRDefault="009D7677" w:rsidP="009D7677">
      <w:pPr>
        <w:pStyle w:val="TextoNormal"/>
      </w:pPr>
      <w:r>
        <w:t xml:space="preserve">- Acuerdo de fraccionamiento de las ayudas concedidas a las empresas. Singularmente el fraccionamiento de las ayudas concedidas a la empresa Pickman, S.A., según adenda </w:t>
      </w:r>
      <w:r>
        <w:lastRenderedPageBreak/>
        <w:t>suscrita por la Dirección General de Trabajo y el IFA, ratificado por el Consejo Rector del IFA en su sesión de 2 de marzo de 2004.</w:t>
      </w:r>
    </w:p>
    <w:p w14:paraId="7FA28DDB" w14:textId="77777777" w:rsidR="009D7677" w:rsidRDefault="009D7677" w:rsidP="009D7677">
      <w:pPr>
        <w:pStyle w:val="TextoNormal"/>
      </w:pPr>
    </w:p>
    <w:p w14:paraId="31558632" w14:textId="77777777" w:rsidR="009D7677" w:rsidRDefault="009D7677" w:rsidP="009D7677">
      <w:pPr>
        <w:pStyle w:val="TextoNormal"/>
      </w:pPr>
      <w:r>
        <w:t>- Concesión de las ayudas sociolaborales.</w:t>
      </w:r>
    </w:p>
    <w:p w14:paraId="4D5C2B27" w14:textId="77777777" w:rsidR="009D7677" w:rsidRDefault="009D7677" w:rsidP="009D7677">
      <w:pPr>
        <w:pStyle w:val="TextoNormal"/>
      </w:pPr>
    </w:p>
    <w:p w14:paraId="243C299D" w14:textId="77777777" w:rsidR="009D7677" w:rsidRDefault="009D7677" w:rsidP="009D7677">
      <w:pPr>
        <w:pStyle w:val="TextoNormal"/>
      </w:pPr>
      <w:r>
        <w:t>(iii) En relación con el delito de malversación de caudales públicos las personas enjuiciadas en este proceso y condenadas por este delito lo han sido bien por su participación directa en la disposición de fondos, bien por haber permitido esa disposición.</w:t>
      </w:r>
    </w:p>
    <w:p w14:paraId="50F00203" w14:textId="77777777" w:rsidR="009D7677" w:rsidRDefault="009D7677" w:rsidP="009D7677">
      <w:pPr>
        <w:pStyle w:val="TextoNormal"/>
      </w:pPr>
    </w:p>
    <w:p w14:paraId="1A79EB7D" w14:textId="77777777" w:rsidR="009D7677" w:rsidRDefault="009D7677" w:rsidP="009D7677">
      <w:pPr>
        <w:pStyle w:val="TextoNormal"/>
      </w:pPr>
      <w:r>
        <w:t>Lógicamente la malversación tiene como soporte fáctico las disposiciones concretas de los fondos públicos y quienes han resultado condenados por este delito, lo han sido bien por su participación directa en las disposiciones de fondos, bien porque las permitieron, una vez tuvieron conocimiento de la forma en que se estaban aprobando y gestionando.</w:t>
      </w:r>
    </w:p>
    <w:p w14:paraId="40A21516" w14:textId="77777777" w:rsidR="009D7677" w:rsidRDefault="009D7677" w:rsidP="009D7677">
      <w:pPr>
        <w:pStyle w:val="TextoNormal"/>
      </w:pPr>
    </w:p>
    <w:p w14:paraId="68E42FB4" w14:textId="77777777" w:rsidR="009D7677" w:rsidRDefault="009D7677" w:rsidP="009D7677">
      <w:pPr>
        <w:pStyle w:val="TextoNormal"/>
      </w:pPr>
      <w:r>
        <w:t>Entendemos que la condena por malversación incluye respecto de cada condenado a todas las disposiciones de fondos públicos realizadas durante el tiempo en que cada uno de ellos ejerció su cargo.</w:t>
      </w:r>
    </w:p>
    <w:p w14:paraId="49A63E76" w14:textId="77777777" w:rsidR="009D7677" w:rsidRDefault="009D7677" w:rsidP="009D7677">
      <w:pPr>
        <w:pStyle w:val="TextoNormal"/>
      </w:pPr>
    </w:p>
    <w:p w14:paraId="31DF2191" w14:textId="77777777" w:rsidR="009D7677" w:rsidRDefault="009D7677" w:rsidP="009D7677">
      <w:pPr>
        <w:pStyle w:val="TextoNormal"/>
      </w:pPr>
      <w:r>
        <w:t>En efecto, no puede afirmarse que la malversación se refiera únicamente a las ayudas que se destinaron a fines distintos a las ayudas sociolaborales [disposiciones relacionadas en el apartado b)], ya que en la sentencia impugnada hay multitud de referencias a lo largo de sus extensos fundamentos jurídicos a ayudas singulares. La mayor evidencia de ese planteamiento la encontramos en el contenido del hecho probado vigésimo segundo de la sentencia de instancia en el que, al concretar las disposiciones de fondos públicos realizadas y las irregularidades más relevantes cometidas en esas disposiciones, se alude a todas las ayudas concedidas en el periodo contemplado en la sentencia sin distinción, tanto las realizadas para el pago de las primas de pólizas de renta y capital [apartado A)], como las abonadas a empresas en crisis [apartado B)] o como las pagadas para fines distintos de los establecidos en las fichas presupuestarias [apartado C)]”.</w:t>
      </w:r>
    </w:p>
    <w:p w14:paraId="19089FB8" w14:textId="77777777" w:rsidR="009D7677" w:rsidRDefault="009D7677" w:rsidP="009D7677">
      <w:pPr>
        <w:pStyle w:val="TextoNormal"/>
      </w:pPr>
    </w:p>
    <w:p w14:paraId="647E6E8E" w14:textId="77777777" w:rsidR="009D7677" w:rsidRDefault="009D7677" w:rsidP="009D7677">
      <w:pPr>
        <w:pStyle w:val="TextoNormal"/>
      </w:pPr>
      <w:r>
        <w:t>La sentencia de la Audiencia Provincial dedica el apartado vigesimosegundo de los hechos probados (págs. 91-96), al que se refiere el último párrafo que se acaba de transcribir de la sentencia del Tribunal Supremo, a fijar el montante global de los créditos presupuestarios de los programas 22E y 31L, de los que se dispuso año tras año para atender a los compromisos asumidos frente a terceros mediante el mecanismo de las transferencias de financiación al IFA/IDEA para ayudas sociolaborales y a empresas en crisis. Tras cuantificar su importe anual, la sentencia de instancia distingue entre los fondos del programa 31L que tuvieron por objeto ayudas sociolaborales, a las que dedica el subapartado A); los destinados a empresas en crisis, que son objeto del subapartado B), y finalmente los que se emplearon en fines distintos y ajenos a los recogidos en las fichas presupuestarias de dicho programa, que describe en el subapartado C).</w:t>
      </w:r>
    </w:p>
    <w:p w14:paraId="5BEE53B6" w14:textId="77777777" w:rsidR="009D7677" w:rsidRDefault="009D7677" w:rsidP="009D7677">
      <w:pPr>
        <w:pStyle w:val="TextoNormal"/>
      </w:pPr>
    </w:p>
    <w:p w14:paraId="7D96A1B9" w14:textId="77777777" w:rsidR="009D7677" w:rsidRDefault="009D7677" w:rsidP="009D7677">
      <w:pPr>
        <w:pStyle w:val="TextoNormal"/>
      </w:pPr>
      <w:r>
        <w:t>Este último subapartado C) resulta del siguiente tenor:</w:t>
      </w:r>
    </w:p>
    <w:p w14:paraId="711DC74E" w14:textId="77777777" w:rsidR="009D7677" w:rsidRDefault="009D7677" w:rsidP="009D7677">
      <w:pPr>
        <w:pStyle w:val="TextoNormal"/>
      </w:pPr>
    </w:p>
    <w:p w14:paraId="3F9BAF23" w14:textId="77777777" w:rsidR="009D7677" w:rsidRDefault="009D7677" w:rsidP="009D7677">
      <w:pPr>
        <w:pStyle w:val="TextoNormal"/>
      </w:pPr>
      <w:r>
        <w:t>“C) Los fondos del programa 31L se emplearon también en fines distintos y ajenos a los recogidos en las fichas presupuestarias del mismo, así podemos reseñar que se abonó:</w:t>
      </w:r>
    </w:p>
    <w:p w14:paraId="13D96B12" w14:textId="77777777" w:rsidR="009D7677" w:rsidRDefault="009D7677" w:rsidP="009D7677">
      <w:pPr>
        <w:pStyle w:val="TextoNormal"/>
      </w:pPr>
    </w:p>
    <w:p w14:paraId="78764F43" w14:textId="77777777" w:rsidR="009D7677" w:rsidRDefault="009D7677" w:rsidP="009D7677">
      <w:pPr>
        <w:pStyle w:val="TextoNormal"/>
      </w:pPr>
      <w:r>
        <w:lastRenderedPageBreak/>
        <w:t>• Facturas emitidas por las mercantiles Tapsa y Cicm, derivadas de varios contratos de campañas de comunicación sobre fomento de empleo y divulgación del SAE [Servicio Andaluz de Empleo], por un total de 3 386 017,00 €, que fueron abonadas por el Instituto, en el periodo 15 de julio de 2003 a 2 de marzo de 2004.</w:t>
      </w:r>
    </w:p>
    <w:p w14:paraId="3B5BB8DE" w14:textId="77777777" w:rsidR="009D7677" w:rsidRDefault="009D7677" w:rsidP="009D7677">
      <w:pPr>
        <w:pStyle w:val="TextoNormal"/>
      </w:pPr>
    </w:p>
    <w:p w14:paraId="0EFD38FC" w14:textId="77777777" w:rsidR="009D7677" w:rsidRDefault="009D7677" w:rsidP="009D7677">
      <w:pPr>
        <w:pStyle w:val="TextoNormal"/>
      </w:pPr>
      <w:r>
        <w:t>• Financiación del protocolo suscrito el 16 de diciembre de 2002, por el acusado José Antonio Viera Chacón, como consejero de Empleo y Desarrollo Tecnológico, y el consejero de Gobernación, por el cual la Consejería de Empleo realizará las actuaciones encaminadas a la cesión al sistema de emergencias 112 Andalucía, de las dependencias correspondientes a las alas noroeste y Suroeste de la sexta planta del edificio Pabellón de Italia. Los gastos de esta cesión se compensaron contablemente con otros saldos de la agencia IDEA dentro de la comunidad de bienes ‘Centro de Empresas Pabellón de Italia’.</w:t>
      </w:r>
    </w:p>
    <w:p w14:paraId="7CB9A25F" w14:textId="77777777" w:rsidR="009D7677" w:rsidRDefault="009D7677" w:rsidP="009D7677">
      <w:pPr>
        <w:pStyle w:val="TextoNormal"/>
      </w:pPr>
    </w:p>
    <w:p w14:paraId="1664CEE9" w14:textId="77777777" w:rsidR="009D7677" w:rsidRDefault="009D7677" w:rsidP="009D7677">
      <w:pPr>
        <w:pStyle w:val="TextoNormal"/>
      </w:pPr>
      <w:r>
        <w:t>• Financiación del programa de formación del voluntariado de los Juegos del Mediterráneo en Almería, conforme al convenio firmado el 26 de septiembre de 2003, por el acusado José Antonio Viera Chacón, como consejero de Empleo, asumiendo el pago de 180 304 €, para la realización de curso</w:t>
      </w:r>
      <w:r w:rsidRPr="009D7677">
        <w:rPr>
          <w:i/>
        </w:rPr>
        <w:t>s on li</w:t>
      </w:r>
      <w:r>
        <w:t>ne.</w:t>
      </w:r>
    </w:p>
    <w:p w14:paraId="42DF1A79" w14:textId="77777777" w:rsidR="009D7677" w:rsidRDefault="009D7677" w:rsidP="009D7677">
      <w:pPr>
        <w:pStyle w:val="TextoNormal"/>
      </w:pPr>
    </w:p>
    <w:p w14:paraId="721DD338" w14:textId="77777777" w:rsidR="009D7677" w:rsidRDefault="009D7677" w:rsidP="009D7677">
      <w:pPr>
        <w:pStyle w:val="TextoNormal"/>
      </w:pPr>
      <w:r>
        <w:t>• Financiación de campaña de divulgación en materia de prevención de riesgos laborales, conforme al protocolo de colaboración suscrito entre la Consejería de Empleo y el Consejo Andaluz de Colegios Oficiales de Graduados Sociales, de fecha 14 de abril de 2005, que supuso el abono a la entidad Cenforpre de 491 424,43 €, mediante la suscripción de póliza de rentas y de capital, en la que figuraba como beneficiario José Antonio Gómez Román.</w:t>
      </w:r>
    </w:p>
    <w:p w14:paraId="26BAB098" w14:textId="77777777" w:rsidR="009D7677" w:rsidRDefault="009D7677" w:rsidP="009D7677">
      <w:pPr>
        <w:pStyle w:val="TextoNormal"/>
      </w:pPr>
    </w:p>
    <w:p w14:paraId="3030DDF2" w14:textId="77777777" w:rsidR="009D7677" w:rsidRDefault="009D7677" w:rsidP="009D7677">
      <w:pPr>
        <w:pStyle w:val="TextoNormal"/>
      </w:pPr>
      <w:r>
        <w:t>• Financiación de parte de las subidas salariales de trabajadores de las empresas FCC, S.A., FCC Medio Ambiente, S.A., y CESPA, S.A., como consecuencia de la suscripción del convenio colectivo en 2006, que puso fin a la conflictividad laboral de la limpieza pública de Granada. El pago de estas cantidades se realizó mediante la suscripción de pólizas de seguros, figurando la Dirección General de Trabajo y Seguridad Social como tomadora, y beneficiarios, las mercantiles CESPA, S.A., y FCC Medio Ambiente, S.A., habiendo percibido, cada una de ellas, las cantidades de 276 222,24 €.</w:t>
      </w:r>
    </w:p>
    <w:p w14:paraId="107A26F2" w14:textId="77777777" w:rsidR="009D7677" w:rsidRDefault="009D7677" w:rsidP="009D7677">
      <w:pPr>
        <w:pStyle w:val="TextoNormal"/>
      </w:pPr>
    </w:p>
    <w:p w14:paraId="2B4EEF54" w14:textId="77777777" w:rsidR="009D7677" w:rsidRDefault="009D7677" w:rsidP="009D7677">
      <w:pPr>
        <w:pStyle w:val="TextoNormal"/>
      </w:pPr>
      <w:r>
        <w:t>• Colaboración en la financiación de dieciséis muestras de artesanía y jornadas relacionadas con el empleo, por municipios andaluces, en los ejercicios 2002 a 2004, de los cuales catorce eran regidos por el PSOE, uno por el PA, y uno por IU, en la fecha de la concesión, y siendo mayoritariamente pertenecientes a la provincia de Sevilla, —solo uno en Jaén y dos en Cádiz—.</w:t>
      </w:r>
    </w:p>
    <w:p w14:paraId="51FD5063" w14:textId="77777777" w:rsidR="009D7677" w:rsidRDefault="009D7677" w:rsidP="009D7677">
      <w:pPr>
        <w:pStyle w:val="TextoNormal"/>
      </w:pPr>
    </w:p>
    <w:p w14:paraId="50269FB5" w14:textId="77777777" w:rsidR="009D7677" w:rsidRDefault="009D7677" w:rsidP="009D7677">
      <w:pPr>
        <w:pStyle w:val="TextoNormal"/>
      </w:pPr>
      <w:r>
        <w:t>• En los ejercicios 2004, 2005, 2006, 2009 y 2010, se destinaron 1 192 000 € para el pago a la Fundación San Telmo, del ‘Curso de alta dirección de instituciones sociales’, para un total de cien personas”.</w:t>
      </w:r>
    </w:p>
    <w:p w14:paraId="7A2F8692" w14:textId="77777777" w:rsidR="009D7677" w:rsidRDefault="009D7677" w:rsidP="009D7677">
      <w:pPr>
        <w:pStyle w:val="TextoNormal"/>
      </w:pPr>
    </w:p>
    <w:p w14:paraId="1FDF77E1" w14:textId="77777777" w:rsidR="009D7677" w:rsidRDefault="009D7677" w:rsidP="009D7677">
      <w:pPr>
        <w:pStyle w:val="TextoNormal"/>
      </w:pPr>
      <w:r>
        <w:t>2.4</w:t>
      </w:r>
      <w:r w:rsidRPr="009D7677">
        <w:rPr>
          <w:i/>
        </w:rPr>
        <w:t>. Hechos por los que ha sido condenada la demandante de ampa</w:t>
      </w:r>
      <w:r>
        <w:t>ro</w:t>
      </w:r>
    </w:p>
    <w:p w14:paraId="2E508209" w14:textId="77777777" w:rsidR="009D7677" w:rsidRDefault="009D7677" w:rsidP="009D7677">
      <w:pPr>
        <w:pStyle w:val="TextoNormal"/>
      </w:pPr>
    </w:p>
    <w:p w14:paraId="4976FAD2" w14:textId="77777777" w:rsidR="009D7677" w:rsidRDefault="009D7677" w:rsidP="009D7677">
      <w:pPr>
        <w:pStyle w:val="TextoNormal"/>
      </w:pPr>
      <w:r>
        <w:t xml:space="preserve">A partir de los hechos probados y valoración de la prueba contenidos en la sentencia de la Audiencia Provincial de Sevilla (fundamento de Derecho 37, págs. 1305-1361), el fundamento fáctico de la condena de doña Magdalena Álvarez Arza se refiere a dos tipos de </w:t>
      </w:r>
      <w:r>
        <w:lastRenderedPageBreak/>
        <w:t>actuaciones. Por un lado, (i) la realización de modificaciones presupuestarias y, por otro, (ii) su participación en la elaboración y aprobación de los anteproyectos y proyectos de las leyes de presupuestos de la Comunidad Autónoma de Andalucía para los ejercicios 2002, 2003 y 2004. Además, (iii) la sentencia expone los hechos que llevan a considerar que la señora Álvarez Arza era consciente de la ilicitud de su actuación.</w:t>
      </w:r>
    </w:p>
    <w:p w14:paraId="1AE085D1" w14:textId="77777777" w:rsidR="009D7677" w:rsidRDefault="009D7677" w:rsidP="009D7677">
      <w:pPr>
        <w:pStyle w:val="TextoNormal"/>
      </w:pPr>
    </w:p>
    <w:p w14:paraId="672C6A38" w14:textId="77777777" w:rsidR="009D7677" w:rsidRDefault="009D7677" w:rsidP="009D7677">
      <w:pPr>
        <w:pStyle w:val="TextoNormal"/>
      </w:pPr>
      <w:r>
        <w:t>(i) Las modificaciones presupuestarias efectuadas a partir del día 18 de abril de 2000. Según se afirma en la sentencia, esta modificación realizó un cambio de operativa que tenía por objeto eludir los procedimientos legalmente establecidos para la concesión de subvenciones, su fiscalización por la intervención delegada en la Consejería de Empleo y, en todo caso, para lograr una mayor rapidez en la concesión y pago de las ayudas sociolaborales, que hasta la referida fecha se habían tramitado conforme a la normativa propia de las subvenciones. A partir de ese momento, obrando en su calidad de consejera de Hacienda, o como integrante del Consejo de Gobierno de la Junta de Andalucía, aprobó o participó en la aprobación de varias modificaciones presupuestarias. Según la sentencia, estas modificaciones se efectuaron incumpliendo las normas de estructura presupuestaria y clasificación del gasto establecidas en la Orden de la propia Consejería de Hacienda de 22 de mayo de 1998. A través de estas modificaciones se allegaron fondos mediante la aplicación presupuestaria “Transferencias al IFA en materia de relaciones laborales” —concepto 440.00, dentro de los programas 22E y 31L, “Administración de relaciones laborales”— para que la Consejería de Empleo los utilizara en el pago de ayudas sociolaborales y a empresas en crisis. La sentencia considera acreditado que estas modificaciones fueron las aprobadas el 18 de abril de 2000, el 28 de julio de 2000, el 7 de mayo de 2001 (aprobada por el viceconsejero de Hacienda, por delegación de la recurrente), el 29 de mayo de 2001, el 18 de septiembre de 2001, el 13 de noviembre de 2001, el 5 de diciembre de 2001, el 15 de octubre de 2002 y el 21 de octubre de 2002.</w:t>
      </w:r>
    </w:p>
    <w:p w14:paraId="7BD5B498" w14:textId="77777777" w:rsidR="009D7677" w:rsidRDefault="009D7677" w:rsidP="009D7677">
      <w:pPr>
        <w:pStyle w:val="TextoNormal"/>
      </w:pPr>
    </w:p>
    <w:p w14:paraId="7EB1D73E" w14:textId="77777777" w:rsidR="009D7677" w:rsidRDefault="009D7677" w:rsidP="009D7677">
      <w:pPr>
        <w:pStyle w:val="TextoNormal"/>
      </w:pPr>
      <w:r>
        <w:t>(ii) Según la sentencia, la recurrente participó también en la elaboración y aprobación de los anteproyectos y proyectos de las leyes de presupuestos de la Comunidad Autónoma de Andalucía para los ejercicios 2002, 2003 y 2004 con el fin de introducir esta modificación de la operativa presupuestaria. A estos efectos, los anteproyectos de ley contenían la aplicación presupuestaria “Transferencias al IFA en materia de relaciones laborales” —concepto 440.00—, en el nuevo programa 31L, que sustituyó al 22E, hasta entonces vigente. Asimismo, se considera probado que en las memorias de estos presupuestos se afirma que las transferencias de financiación tenían por objeto el pago de subvenciones en ayuda de sectores y empresas con dificultades financieras. En la sentencia, con cita expresa de las memorias de los presupuestos para los ejercicios 2003 y 2004, se indica que el programa 31L tenía por objeto “[a]tender a las necesidades públicas de mantenimiento del empleo y del tejido productivo andaluz, a través de los acuerdos con el Instituto de Fomento de Andalucía para la subvención y ayuda de sectores y empresas con dificultades financieras que pudieran verse afectadas por las distintas crisis”. Asimismo, la Audiencia Provincial de Sevilla afirma que la memoria económica del presupuesto para el 2003, dentro del programa 31L, hace referencia expresa al convenio marco de 17 julio de 2001.</w:t>
      </w:r>
    </w:p>
    <w:p w14:paraId="6F9A6251" w14:textId="77777777" w:rsidR="009D7677" w:rsidRDefault="009D7677" w:rsidP="009D7677">
      <w:pPr>
        <w:pStyle w:val="TextoNormal"/>
      </w:pPr>
    </w:p>
    <w:p w14:paraId="2CD3BE5B" w14:textId="0D47FABA" w:rsidR="009D7677" w:rsidRDefault="009D7677" w:rsidP="009D7677">
      <w:pPr>
        <w:pStyle w:val="TextoNormal"/>
      </w:pPr>
      <w:r>
        <w:t xml:space="preserve">(iii) La sentencia considera acreditado que la recurrente recibió los informes de control financiero de la Intervención General de la Junta de Andalucía que advertían de la inadecuación de la partida para dicho gasto público y de sus efectos. Además, llega a la conclusión de que la señora Álvarez Arza era consciente de que se hacía un uso indebido del </w:t>
      </w:r>
      <w:r>
        <w:lastRenderedPageBreak/>
        <w:t>cambio de presupuestación, pues, aunque en el acto de juicio alegó desconocimiento, a juicio de la Sala, su propia formación académica y profesional, como doctora en ciencias económicas e inspectora de finanzas del Estado, lo desmentía. Por ello la Audiencia Provincial entiende que la demandante era conocedora de los programas de actuación, inversión y financiación del IFA/IDEA que su Consejería recibía anualmente para su aprobación y que tuvo que ser informada de las irregularidades por los cargos de su consejería, resultando contrario a las reglas de la lógica y las máximas de experiencia que dichos cargos no lo pusieran en conocimiento de la consejera.</w:t>
      </w:r>
    </w:p>
    <w:p w14:paraId="5D4BBA36" w14:textId="77777777" w:rsidR="009D7677" w:rsidRDefault="009D7677" w:rsidP="009D7677">
      <w:pPr>
        <w:pStyle w:val="TextoNormal"/>
      </w:pPr>
    </w:p>
    <w:p w14:paraId="23692C91" w14:textId="77777777" w:rsidR="009D7677" w:rsidRDefault="009D7677" w:rsidP="009D7677">
      <w:pPr>
        <w:pStyle w:val="TextoNormal"/>
      </w:pPr>
      <w:r w:rsidRPr="009D7677">
        <w:rPr>
          <w:rStyle w:val="NumeroAFNegritaCaracter"/>
        </w:rPr>
        <w:t>3</w:t>
      </w:r>
      <w:r>
        <w:t xml:space="preserve">. </w:t>
      </w:r>
      <w:r w:rsidRPr="009D7677">
        <w:rPr>
          <w:i/>
        </w:rPr>
        <w:t>Doctrina constitucional sobre el derecho a la legalidad penal (art. 25.1 CE)</w:t>
      </w:r>
    </w:p>
    <w:p w14:paraId="5B9344D9" w14:textId="77777777" w:rsidR="009D7677" w:rsidRDefault="009D7677" w:rsidP="009D7677">
      <w:pPr>
        <w:pStyle w:val="TextoNormal"/>
      </w:pPr>
    </w:p>
    <w:p w14:paraId="03152CEE" w14:textId="77777777" w:rsidR="009D7677" w:rsidRDefault="009D7677" w:rsidP="009D7677">
      <w:pPr>
        <w:pStyle w:val="TextoNormal"/>
      </w:pPr>
      <w:r>
        <w:t>El enjuiciamiento de la vulneración del art. 25.1 CE exige tener presente la doctrina de este tribunal sobre el derecho a la legalidad penal, expuesta recientemente, por ejemplo, en las SSTC 14/2021, de 28 de enero, FJ 2; 25/2022, de 23 de febrero, FJ 7.2; 47/2022, de 24 de marzo, FJ 8.2.1; 54/2023, de 22 de mayo, FJ 3, y 8/2024, de 16 de enero, FJ 6, haciendo hincapié en la prohibición de interpretaciones y aplicaciones irrazonables de las normas penales.</w:t>
      </w:r>
    </w:p>
    <w:p w14:paraId="0BEE0F61" w14:textId="77777777" w:rsidR="009D7677" w:rsidRDefault="009D7677" w:rsidP="009D7677">
      <w:pPr>
        <w:pStyle w:val="TextoNormal"/>
      </w:pPr>
    </w:p>
    <w:p w14:paraId="42D62857" w14:textId="77777777" w:rsidR="009D7677" w:rsidRDefault="009D7677" w:rsidP="009D7677">
      <w:pPr>
        <w:pStyle w:val="TextoNormal"/>
      </w:pPr>
      <w:r>
        <w:t>a) El art. 25.1 CE dispone que “[n]adie puede ser condenado o sancionado por acciones u omisiones que en el momento de producirse no constituyan delito, falta o infracción administrativa, según la legislación vigente en aquel momento”. El principio de legalidad penal, además de un principio inherente al Estado de Derecho que se enuncia en el título preliminar (art. 9.3 CE) y de recordarse como un límite en la definición del estatuto y la competencia esenciales de los jueces y magistrados integrantes del Poder Judicial (art. 117.1 CE), se configura así como contenido de un derecho fundamental (SSTC 137/1997, de 21 de julio, FJ 6; 151/1997, de 29 de septiembre, FJ 3; 232/1997, de 16 de diciembre, FJ 2, y 162/1999, de 27 de septiembre, FJ 5).</w:t>
      </w:r>
    </w:p>
    <w:p w14:paraId="376C3707" w14:textId="77777777" w:rsidR="009D7677" w:rsidRDefault="009D7677" w:rsidP="009D7677">
      <w:pPr>
        <w:pStyle w:val="TextoNormal"/>
      </w:pPr>
    </w:p>
    <w:p w14:paraId="2AEB59A5" w14:textId="77777777" w:rsidR="009D7677" w:rsidRDefault="009D7677" w:rsidP="009D7677">
      <w:pPr>
        <w:pStyle w:val="TextoNormal"/>
      </w:pPr>
      <w:r>
        <w:t xml:space="preserve">En numerosas resoluciones (desde la STC 150/1989, de 25 de septiembre, FJ 6, hasta la STC 54/2023, de 22 de mayo, FJ 3), el Tribunal ha puesto de relieve que el derecho reconocido en el art. 25.1 CE es una concreción de diversos aspectos del Estado de Derecho en el ámbito del Derecho estatal sancionador y tiene un fundamento plural. Se vincula, ante todo, con el imperio de la Ley como presupuesto de la actuación del Estado sobre los bienes jurídicos de los ciudadanos y con el derecho de los ciudadanos a la seguridad jurídica y a una previsibilidad de las consecuencias jurídicas de los propios actos que garantice un ámbito de libertad de actuación en niveles constitucionalmente admisibles. Ese fundamento determina el contenido </w:t>
      </w:r>
      <w:r w:rsidRPr="009D7677">
        <w:rPr>
          <w:i/>
        </w:rPr>
        <w:t>iusfundamental</w:t>
      </w:r>
      <w:r>
        <w:t xml:space="preserve"> del derecho a la legalidad penal, integrado por los diversos aspectos enunciados con el brocardo jurídico </w:t>
      </w:r>
      <w:r w:rsidRPr="009D7677">
        <w:rPr>
          <w:i/>
        </w:rPr>
        <w:t>nullum crimen nulla poena sine praevia lege scripta, certa et stricta</w:t>
      </w:r>
      <w:r>
        <w:t xml:space="preserve"> (en distintas formulaciones, entre muchas, SSTC 133/1987, de 21 de julio, FJ 4; 127/1990, de 5 de julio, FJ 3; 111/1993, de 25 de marzo, FJ 6; 53/1994, de 24 de febrero, FJ 4; 137/1997, de 21 de julio, FJ 6; 151/1997, de 29 de septiembre, FJ 3; 232/1997, de 16 de diciembre, FJ 2; 75/2002, de 8 de abril, FJ 4; 234/2007, de 5 de noviembre, FJ 3, y 14/2021, de 28 de enero, FJ 2).</w:t>
      </w:r>
    </w:p>
    <w:p w14:paraId="6629B1F0" w14:textId="77777777" w:rsidR="009D7677" w:rsidRDefault="009D7677" w:rsidP="009D7677">
      <w:pPr>
        <w:pStyle w:val="TextoNormal"/>
      </w:pPr>
    </w:p>
    <w:p w14:paraId="7BEA0494" w14:textId="77777777" w:rsidR="009D7677" w:rsidRDefault="009D7677" w:rsidP="009D7677">
      <w:pPr>
        <w:pStyle w:val="TextoNormal"/>
      </w:pPr>
      <w:r>
        <w:t xml:space="preserve">b) La primera garantía que contiene el principio de legalidad es la garantía formal, que impone una reserva de ley absoluta (STC 15/1981, de 7 de mayo, FJ 7) para definir delitos y fijar sus penas, quedando así acotadas las fuentes del Derecho en materia penal [SSTC 142/1999, de 22 de julio, FJ 3, y 64/2001, de 17 de marzo, FJ 4 a)]. Junto a la garantía </w:t>
      </w:r>
      <w:r>
        <w:lastRenderedPageBreak/>
        <w:t>formal, el principio de legalidad incluye otra de carácter material y absoluto, que “refleja la especial trascendencia del principio de seguridad en dichos ámbitos limitativos de la libertad individual y se traduce en la imperiosa exigencia de la predeterminación normativa de las conductas ilícitas y de las sanciones correspondientes, es decir, la existencia de preceptos jurídicos (</w:t>
      </w:r>
      <w:r w:rsidRPr="009D7677">
        <w:rPr>
          <w:i/>
        </w:rPr>
        <w:t>lex praevia</w:t>
      </w:r>
      <w:r>
        <w:t>) que permitan predecir con el suficiente grado de certeza (</w:t>
      </w:r>
      <w:r w:rsidRPr="009D7677">
        <w:rPr>
          <w:i/>
        </w:rPr>
        <w:t>lex certa</w:t>
      </w:r>
      <w:r>
        <w:t>) dichas conductas, y se sepa a qué atenerse en cuanto a la aneja responsabilidad y a la eventual sanción” (SSTC 25/2004, de 26 de febrero, FJ 4; 218/2005, de 12 de septiembre, FJ 2; 297/2005, de 21 de noviembre, FJ 6, y 283/2006, de 9 de octubre, FJ 5).</w:t>
      </w:r>
    </w:p>
    <w:p w14:paraId="3A6423E9" w14:textId="77777777" w:rsidR="009D7677" w:rsidRDefault="009D7677" w:rsidP="009D7677">
      <w:pPr>
        <w:pStyle w:val="TextoNormal"/>
      </w:pPr>
    </w:p>
    <w:p w14:paraId="5016EE80" w14:textId="77777777" w:rsidR="009D7677" w:rsidRDefault="009D7677" w:rsidP="009D7677">
      <w:pPr>
        <w:pStyle w:val="TextoNormal"/>
      </w:pPr>
      <w:r>
        <w:t>c) En particular, la previsibilidad de las consecuencias de la propia conducta se puede eludir tanto por un legislador como por un juzgador que actúen desconociendo el sentido de garantía de la ley penal, bien por la formulación vaga e imprecisa de la misma, bien con su aplicación a supuestos no comprendidos en ella (SSTC 142/1999, de 22 de julio, FJ 3, y 24/2004, de 24 de febrero, FJ 2). Frente a tal riesgo, este aspecto material de la legalidad penal contiene un doble mandato dirigido al legislador y al aplicador. Comporta, en relación con el legislador, el mandato de taxatividad o de certeza, que se traduce en la exigencia de predeterminación normativa de las conductas punibles y de sus correspondientes sanciones (</w:t>
      </w:r>
      <w:r w:rsidRPr="009D7677">
        <w:rPr>
          <w:i/>
        </w:rPr>
        <w:t>lex certa</w:t>
      </w:r>
      <w:r>
        <w:t>), para que los ciudadanos puedan conocer de antemano el ámbito de lo proscrito y prever las consecuencias de sus acciones (SSTC 242/2005, de 10 de octubre, FJ 2; 283/2006, de 9 de octubre, FJ 5; 162/2008, de 15 de diciembre, FJ 1; 81/2009, de 23 de marzo, FJ 4; 135/2010, de 2 de diciembre, FJ 4, y 9/2018, de 5 de febrero, FJ 6). Los jueces y tribunales, por su parte, están sometidos al principio de tipicidad (</w:t>
      </w:r>
      <w:r w:rsidRPr="009D7677">
        <w:rPr>
          <w:i/>
        </w:rPr>
        <w:t>lex stricta</w:t>
      </w:r>
      <w:r>
        <w:t>) en su labor de aplicación de las leyes, que implica una sujeción estricta a la ley penal y el veto a la exégesis y aplicación de las normas penales fuera de los supuestos y de los límites que determinan.</w:t>
      </w:r>
    </w:p>
    <w:p w14:paraId="16C676C0" w14:textId="77777777" w:rsidR="009D7677" w:rsidRDefault="009D7677" w:rsidP="009D7677">
      <w:pPr>
        <w:pStyle w:val="TextoNormal"/>
      </w:pPr>
    </w:p>
    <w:p w14:paraId="02C1E043" w14:textId="77777777" w:rsidR="009D7677" w:rsidRDefault="009D7677" w:rsidP="009D7677">
      <w:pPr>
        <w:pStyle w:val="TextoNormal"/>
      </w:pPr>
      <w:r>
        <w:t xml:space="preserve">d) En la determinación negativa de la previsibilidad y, con ello, de los límites de una aplicación de las normas penales conforme con el art. 25.1 CE, es doctrina reiterada de este tribunal que se quiebra el derecho “cuando la conducta enjuiciada, la ya delimitada como probada, es subsumida de un modo irrazonable en el tipo penal que resulta aplicado, bien por la interpretación que se realiza de la norma, bien por la operación de subsunción en sí” (entre otras, SSTC 129/2008, de 27 de octubre, FJ 3; 153/2011, de 17 de octubre, FJ 8; 185/2014, de 6 de noviembre, FJ 5, o 150/2015, de 6 de julio, FJ 2). De otra manera, el aplicador se convertiría en fuente creadora de delitos y penas, con afectación de la previsibilidad como criterio material de seguridad jurídica que informa todas las exigencias del principio de legalidad al tiempo que con invasión del ámbito que solo al legislador corresponde, en contra de los postulados del principio de división de poderes (STC 123/2001, de 4 de junio, FJ 11). El art. 25.1 CE “impone, por razones de seguridad jurídica y de legitimidad democrática de la intervención punitiva, no solo la sujeción de la jurisdicción sancionadora a los dictados de las leyes que describen ilícitos e imponen sanciones, sino la sujeción estricta, impidiendo la sanción de comportamientos no previstos en la norma correspondiente pero similares a los que sí contempla” (STC 137/1997, de 21 de julio, FJ 6). La analogía </w:t>
      </w:r>
      <w:r w:rsidRPr="009D7677">
        <w:rPr>
          <w:i/>
        </w:rPr>
        <w:t>in malam partem</w:t>
      </w:r>
      <w:r>
        <w:t xml:space="preserve"> y las interpretaciones extensivas de la norma penal por parte de los órganos judiciales han sido expresamente reprobadas por nuestra doctrina, por contravenir el mandato del art. 25.1 CE en tanto que exégesis y aplicación de las normas fuera de los supuestos y de los límites que ellas mismas determinan (SSTC 81/1995, de 5 de junio, FJ 5; 34/1996, de 11 de marzo, FJ 5; 64/2001, de 17 de marzo, FJ 4; 170/2002, de </w:t>
      </w:r>
      <w:r>
        <w:lastRenderedPageBreak/>
        <w:t>30 de septiembre, FJ 12; 229/2003, de 18 de diciembre, FJ 6, y 229/2007, de 5 de noviembre, FJ 4).</w:t>
      </w:r>
    </w:p>
    <w:p w14:paraId="3FE4A34A" w14:textId="77777777" w:rsidR="009D7677" w:rsidRDefault="009D7677" w:rsidP="009D7677">
      <w:pPr>
        <w:pStyle w:val="TextoNormal"/>
      </w:pPr>
    </w:p>
    <w:p w14:paraId="53BA8502" w14:textId="77777777" w:rsidR="009D7677" w:rsidRDefault="009D7677" w:rsidP="009D7677">
      <w:pPr>
        <w:pStyle w:val="TextoNormal"/>
      </w:pPr>
      <w:r>
        <w:t xml:space="preserve">e) El examen de la razonabilidad de la subsunción de los hechos probados en la norma penal tiene como primer criterio el respeto al tenor literal de la norma y la consiguiente prohibición de la analogía </w:t>
      </w:r>
      <w:r w:rsidRPr="009D7677">
        <w:rPr>
          <w:i/>
        </w:rPr>
        <w:t>in malam partem</w:t>
      </w:r>
      <w:r>
        <w:t>. El tenor literal del enunciado normativo marca en todo caso una zona indudable de exclusión de comportamientos (STC 137/1997, de 21 de julio, FJ 7). No obstante, este respeto no garantiza siempre una decisión sancionadora acorde con el derecho fundamental, dada la propia vaguedad y ambigüedad del lenguaje ordinario, la necesaria formulación abstracta de los preceptos y su inserción en un sistema normativo complejo. A dicho criterio inicial debe añadirse un doble parámetro de razonabilidad: metodológica, de una parte, enjuiciando si la exégesis y subsunción de la norma no incurre en quiebras lógicas y es acorde a modelos de argumentación aceptados por la propia comunidad jurídica; y axiológica, de otra, enjuiciando la correspondencia de la aplicación del precepto con las pautas valorativas que informan nuestro texto constitucional (por todas, STC 129/2008, de 27 de octubre, FJ 3). Son así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de 21 de julio, FJ 7; también, entre otras, SSTC 189/1998, de 28 de septiembre, FJ 7; 13/2003, de 28 de enero, FJ 3; 138/2004, de 13 de septiembre, FJ 3; 242/2005, de 10 de octubre, FJ 4; 9/2006, de 16 de enero, FJ 4, y 262/2006, de 11 de septiembre, FJ 4).</w:t>
      </w:r>
    </w:p>
    <w:p w14:paraId="11FC8726" w14:textId="77777777" w:rsidR="009D7677" w:rsidRDefault="009D7677" w:rsidP="009D7677">
      <w:pPr>
        <w:pStyle w:val="TextoNormal"/>
      </w:pPr>
    </w:p>
    <w:p w14:paraId="6760F90D" w14:textId="6A2FED27" w:rsidR="009D7677" w:rsidRDefault="009D7677" w:rsidP="009D7677">
      <w:pPr>
        <w:pStyle w:val="TextoNormal"/>
      </w:pPr>
      <w:r>
        <w:t xml:space="preserve">f) Debe por último tenerse presente que la tarea de este tribunal de fiscalizar la interpretación y aplicación de la norma penal por parte de los juzgados y tribunales, labor aplicativa que les corresponde en exclusiva (art. 117.3 CE), no atañe a “la determinación de la interpretación última, en cuanto más correcta, de un enunciado penal, ni siquiera desde los parámetros que delimitan los valores y principios constitucionales. Y tampoco le compete la demarcación de las interpretaciones posibles de tal enunciado. De un modo mucho más restringido, y desde la perspectiva externa que le es propia como tribunal no inserto en el proceso penal, nuestra tarea se constriñe a evaluar la sostenibilidad constitucional de la concreta interpretación llevada a cabo por los órganos judiciales. […] Por ello forma parte del objeto de nuestro análisis la motivación judicial de tales interpretación y subsunción, pero no la argumentación del recurrente en favor de una interpretación alternativa, cuya evaluación de razonabilidad </w:t>
      </w:r>
      <w:r w:rsidRPr="009D7677">
        <w:rPr>
          <w:i/>
        </w:rPr>
        <w:t>per se</w:t>
      </w:r>
      <w:r>
        <w:t xml:space="preserve"> nos es ajena y solo podrá ser tomada en cuenta en la medida en que incida en la irrazonabilidad de la interpretación judicial impugnada” (STC 129/2008, FJ 3).</w:t>
      </w:r>
    </w:p>
    <w:p w14:paraId="06BDB7C9" w14:textId="77777777" w:rsidR="009D7677" w:rsidRDefault="009D7677" w:rsidP="009D7677">
      <w:pPr>
        <w:pStyle w:val="TextoNormal"/>
      </w:pPr>
    </w:p>
    <w:p w14:paraId="604A82EF" w14:textId="77777777" w:rsidR="009D7677" w:rsidRDefault="009D7677" w:rsidP="009D7677">
      <w:pPr>
        <w:pStyle w:val="TextoNormal"/>
      </w:pPr>
      <w:r w:rsidRPr="009D7677">
        <w:rPr>
          <w:rStyle w:val="NumeroAFNegritaCaracter"/>
        </w:rPr>
        <w:t>4</w:t>
      </w:r>
      <w:r>
        <w:t xml:space="preserve">. </w:t>
      </w:r>
      <w:r w:rsidRPr="009D7677">
        <w:rPr>
          <w:i/>
        </w:rPr>
        <w:t>Enjuiciamiento de la queja que denuncia la imprevisible interpretación y aplicación del delito de prevaricación</w:t>
      </w:r>
    </w:p>
    <w:p w14:paraId="4FA9BE02" w14:textId="77777777" w:rsidR="009D7677" w:rsidRDefault="009D7677" w:rsidP="009D7677">
      <w:pPr>
        <w:pStyle w:val="TextoNormal"/>
      </w:pPr>
    </w:p>
    <w:p w14:paraId="00FCF528" w14:textId="77777777" w:rsidR="009D7677" w:rsidRDefault="009D7677" w:rsidP="009D7677">
      <w:pPr>
        <w:pStyle w:val="TextoNormal"/>
      </w:pPr>
      <w:r>
        <w:t xml:space="preserve">4.1. </w:t>
      </w:r>
      <w:r w:rsidRPr="009D7677">
        <w:rPr>
          <w:i/>
        </w:rPr>
        <w:t>Exposición de la queja de la recurrente y de las posiciones de las partes personadas</w:t>
      </w:r>
    </w:p>
    <w:p w14:paraId="07965E5D" w14:textId="77777777" w:rsidR="009D7677" w:rsidRDefault="009D7677" w:rsidP="009D7677">
      <w:pPr>
        <w:pStyle w:val="TextoNormal"/>
      </w:pPr>
    </w:p>
    <w:p w14:paraId="5C55C692" w14:textId="77777777" w:rsidR="009D7677" w:rsidRDefault="009D7677" w:rsidP="009D7677">
      <w:pPr>
        <w:pStyle w:val="TextoNormal"/>
      </w:pPr>
      <w:r>
        <w:t xml:space="preserve">a) Como ya se ha expuesto, la demandante de amparo, en su condición de consejera de Hacienda, fue condenada por la comisión de un delito continuado de prevaricación por </w:t>
      </w:r>
      <w:r>
        <w:lastRenderedPageBreak/>
        <w:t xml:space="preserve">elaborar los anteproyectos de ley de presupuestos, por aprobarlos como proyectos de ley en el Consejo de Gobierno y por la realización de modificaciones presupuestarias. Sostiene que las resoluciones impugnadas han realizado una interpretación extravagante y extensiva de los elementos del tipo del delito de prevaricación (art. 404 CP) que infringe el art. 25.1 CE. En concreto, aduce que las actuaciones realizadas con ocasión de la elaboración de los anteproyectos de ley de presupuestos y el hecho de haber participado como miembro del Consejo de Gobierno en su aprobación como proyectos de ley no pueden considerarse “resoluciones” a los efectos de lo dispuesto en el citado artículo del Código penal. También alega que no cabe entender que tales actos hayan recaído en un “asunto administrativo” ni que puedan calificarse de “arbitrarios”. Afirma que no puede ser ilegal un proyecto de ley que es idéntico en su contenido a la ley finalmente aprobada por el Parlamento. Los mismos argumentos aducidos en el motivo anterior, </w:t>
      </w:r>
      <w:r w:rsidRPr="009D7677">
        <w:rPr>
          <w:i/>
        </w:rPr>
        <w:t>mutatis mutandis</w:t>
      </w:r>
      <w:r>
        <w:t>, llevan a la recurrente a sostener que también esta vertiente del principio de legalidad penal ha sido vulnerada por los órganos judiciales al apreciar que las modificaciones presupuestarias por las que ha sido condenada pueden subsumirse en el art. 404 CP. También se denuncia en la demanda que las sentencias impugnadas son manifiestamente arbitrarias, al fundarse en razonamientos que incurren en quiebras lógicas y en contradicciones.</w:t>
      </w:r>
    </w:p>
    <w:p w14:paraId="2E9A871F" w14:textId="77777777" w:rsidR="009D7677" w:rsidRDefault="009D7677" w:rsidP="009D7677">
      <w:pPr>
        <w:pStyle w:val="TextoNormal"/>
      </w:pPr>
    </w:p>
    <w:p w14:paraId="1DE1127D" w14:textId="77777777" w:rsidR="009D7677" w:rsidRDefault="009D7677" w:rsidP="009D7677">
      <w:pPr>
        <w:pStyle w:val="TextoNormal"/>
      </w:pPr>
      <w:r>
        <w:t>b) El Partido Popular se opone a la estimación de la queja toda vez que, a su juicio, los hechos por los que la recurrente ha sido condenada se adoptaron para conseguir una finalidad palmariamente ilegal, consistente en evitar los controles propios de las subvenciones. Por lo que se refiere a los actos prelegislativos, la representación del Partido Popular afirma que las sentencias impugnadas basan su fallo en que se adoptaron contraviniendo lo dispuesto en el ordenamiento jurídico, con cita de antecedentes jurisprudenciales, lo que pone de relieve que la aplicación del tipo no es imprevisible. Afirma también que las tesis de la recurrente no podrían extenderse a las modificaciones presupuestarias.</w:t>
      </w:r>
    </w:p>
    <w:p w14:paraId="31D18164" w14:textId="77777777" w:rsidR="009D7677" w:rsidRDefault="009D7677" w:rsidP="009D7677">
      <w:pPr>
        <w:pStyle w:val="TextoNormal"/>
      </w:pPr>
    </w:p>
    <w:p w14:paraId="2473EAB2" w14:textId="77777777" w:rsidR="009D7677" w:rsidRDefault="009D7677" w:rsidP="009D7677">
      <w:pPr>
        <w:pStyle w:val="TextoNormal"/>
      </w:pPr>
      <w:r>
        <w:t xml:space="preserve">c) La representación procesal de los señores Rodríguez Román y Vallejo Serrano ha realizado consideraciones de fondo referidas a que las sentencias impugnadas son contrarias al art. 25.1 CE, debido a que llevan a cabo una extensión </w:t>
      </w:r>
      <w:r w:rsidRPr="009D7677">
        <w:rPr>
          <w:i/>
        </w:rPr>
        <w:t>in malam partem</w:t>
      </w:r>
      <w:r>
        <w:t xml:space="preserve"> de los términos “resolución” y “asunto administrativo” del art. 404 CP. Consideran que la elaboración de un proyecto de ley no puede ser nunca constitutiva de un delito de prevaricación.</w:t>
      </w:r>
    </w:p>
    <w:p w14:paraId="1DFC7BDC" w14:textId="77777777" w:rsidR="009D7677" w:rsidRDefault="009D7677" w:rsidP="009D7677">
      <w:pPr>
        <w:pStyle w:val="TextoNormal"/>
      </w:pPr>
    </w:p>
    <w:p w14:paraId="48A526B2" w14:textId="77777777" w:rsidR="009D7677" w:rsidRDefault="009D7677" w:rsidP="009D7677">
      <w:pPr>
        <w:pStyle w:val="TextoNormal"/>
      </w:pPr>
      <w:r>
        <w:t>d) El Ministerio Fiscal sostiene que la condena impuesta por haber participado en la elaboración de anteproyectos de ley, así como por su posterior aprobación en el Consejo de Gobierno, es imprevisible y, por tanto, lesiva del derecho a la legalidad penal (art. 25.1 CE). Fiscalizar penalmente los proyectos de ley supone, según afirma, desapoderar a las Cortes Generales de una facultad que les corresponde en exclusiva, vulnerando así el principio de separación de poderes. Dichas conclusiones, según sostiene esta parte procesal, no resultan extrapolables a las modificaciones presupuestarias ya que sí pueden ser consideradas decisiones de naturaleza administrativa.</w:t>
      </w:r>
    </w:p>
    <w:p w14:paraId="275227F3" w14:textId="77777777" w:rsidR="009D7677" w:rsidRDefault="009D7677" w:rsidP="009D7677">
      <w:pPr>
        <w:pStyle w:val="TextoNormal"/>
      </w:pPr>
    </w:p>
    <w:p w14:paraId="6A6F052D" w14:textId="77777777" w:rsidR="009D7677" w:rsidRDefault="009D7677" w:rsidP="009D7677">
      <w:pPr>
        <w:pStyle w:val="TextoNormal"/>
      </w:pPr>
      <w:r>
        <w:t xml:space="preserve">4.2. </w:t>
      </w:r>
      <w:r w:rsidRPr="009D7677">
        <w:rPr>
          <w:i/>
        </w:rPr>
        <w:t>Síntesis de los argumentos en los que las resoluciones judiciales fundamentan la condena de la recurrente</w:t>
      </w:r>
    </w:p>
    <w:p w14:paraId="1FD722FF" w14:textId="77777777" w:rsidR="009D7677" w:rsidRDefault="009D7677" w:rsidP="009D7677">
      <w:pPr>
        <w:pStyle w:val="TextoNormal"/>
      </w:pPr>
    </w:p>
    <w:p w14:paraId="4F6F9897" w14:textId="77777777" w:rsidR="009D7677" w:rsidRDefault="009D7677" w:rsidP="009D7677">
      <w:pPr>
        <w:pStyle w:val="TextoNormal"/>
      </w:pPr>
      <w:r>
        <w:t>El Tribunal Supremo —en respuesta a las alegaciones de la recurrente— concluye que la elaboración de un anteproyecto de ley, su aprobación como proyecto, así como el proce</w:t>
      </w:r>
      <w:r>
        <w:lastRenderedPageBreak/>
        <w:t>so de elaboración y aprobación de una modificación presupuestaria pueden ser calificadas como resolución en asunto administrativo en el sentido del art. 404 CP.</w:t>
      </w:r>
    </w:p>
    <w:p w14:paraId="661F7B46" w14:textId="77777777" w:rsidR="009D7677" w:rsidRDefault="009D7677" w:rsidP="009D7677">
      <w:pPr>
        <w:pStyle w:val="TextoNormal"/>
      </w:pPr>
    </w:p>
    <w:p w14:paraId="18098159" w14:textId="77777777" w:rsidR="009D7677" w:rsidRDefault="009D7677" w:rsidP="009D7677">
      <w:pPr>
        <w:pStyle w:val="TextoNormal"/>
      </w:pPr>
      <w:r>
        <w:t>Considera, además, que las actuaciones llevadas a cabo por los acusados son arbitrarias en el sentido previsto en el art. 404 CP y han sido dictadas a sabiendas de su injusticia. Según se argumenta en la sentencia dictada en casación, las normas aplicables “eran precisas” (fundamento de Derecho 30, pág. 294). Y, por ello, estamos ante un supuesto de “incontestable ilegalidad de las acciones llevadas a cabo” (fundamento de Derecho 30, pág. 296). Seguidamente se exponen, de manera resumida, los principales argumentos de las resoluciones judiciales impugnadas.</w:t>
      </w:r>
    </w:p>
    <w:p w14:paraId="7453FD3D" w14:textId="77777777" w:rsidR="009D7677" w:rsidRDefault="009D7677" w:rsidP="009D7677">
      <w:pPr>
        <w:pStyle w:val="TextoNormal"/>
      </w:pPr>
    </w:p>
    <w:p w14:paraId="3482A977" w14:textId="77777777" w:rsidR="009D7677" w:rsidRDefault="009D7677" w:rsidP="009D7677">
      <w:pPr>
        <w:pStyle w:val="TextoNormal"/>
      </w:pPr>
      <w:r>
        <w:t>a) En relación con la naturaleza jurídica de los anteproyectos y proyectos del gobierno autonómico, denominados “actos prelegislativos” por los órganos judiciales</w:t>
      </w:r>
    </w:p>
    <w:p w14:paraId="4B400B93" w14:textId="77777777" w:rsidR="009D7677" w:rsidRDefault="009D7677" w:rsidP="009D7677">
      <w:pPr>
        <w:pStyle w:val="TextoNormal"/>
      </w:pPr>
    </w:p>
    <w:p w14:paraId="09BAEDEC" w14:textId="77777777" w:rsidR="009D7677" w:rsidRDefault="009D7677" w:rsidP="009D7677">
      <w:pPr>
        <w:pStyle w:val="TextoNormal"/>
      </w:pPr>
      <w:r>
        <w:t>(i) La Sala de lo Penal afirma que esta cuestión debe tener otro enfoque “cuando se trata de determinar qué deb[e] entenderse por asunto administrativo a efectos penales”. Sostiene que “[e]l Gobierno y la administración no pueden escudarse en la inmunidad parlamentaria para incumplir de forma flagrante y palmaria el procedimiento legalmente establecido en la elaboración del proyecto de ley para perseguir fines ilícitos, cuando es el propio Parlamento el que, a través de la ley, ha ordenado que su elaboración deba ajustarse a unas determinadas normas y cuando esas normas son de Derecho administrativo y están fuera del procedimiento legislativo. Otra interpretación [concluye la Sala] posibilitaría un ámbito de inmunidad difícilmente justificable” (fundamento de Derecho 20.3, pág. 238-239).</w:t>
      </w:r>
    </w:p>
    <w:p w14:paraId="16D3BF86" w14:textId="77777777" w:rsidR="009D7677" w:rsidRDefault="009D7677" w:rsidP="009D7677">
      <w:pPr>
        <w:pStyle w:val="TextoNormal"/>
      </w:pPr>
    </w:p>
    <w:p w14:paraId="34850D5D" w14:textId="77777777" w:rsidR="009D7677" w:rsidRDefault="009D7677" w:rsidP="009D7677">
      <w:pPr>
        <w:pStyle w:val="TextoNormal"/>
      </w:pPr>
      <w:r>
        <w:t>(ii) Añade que “los procedimientos reglados que culminan en la decisión de elevar un proyecto de ley al Gobierno no son actos propiamente legislativos, sino actos de gobierno que, por ser reglados, pueden ser el contexto objetivo para la comisión de un delito de prevaricación” (fundamento de Derecho 20.3, pág. 239).</w:t>
      </w:r>
    </w:p>
    <w:p w14:paraId="16675594" w14:textId="77777777" w:rsidR="009D7677" w:rsidRDefault="009D7677" w:rsidP="009D7677">
      <w:pPr>
        <w:pStyle w:val="TextoNormal"/>
      </w:pPr>
    </w:p>
    <w:p w14:paraId="47CC809E" w14:textId="77777777" w:rsidR="009D7677" w:rsidRDefault="009D7677" w:rsidP="009D7677">
      <w:pPr>
        <w:pStyle w:val="TextoNormal"/>
      </w:pPr>
      <w:r>
        <w:t>(iii) También considera que “lo que se debe determinar en este caso no es si las resoluciones adoptadas en el proceso prelegislativo son susceptibles de control por la jurisdicción contencioso-administrativa, cuestión que es ajena a la jurisdicción penal, sino si esas resoluciones pueden cumplir con las exigencias típicas del artículo 404 CP, que es algo sustancialmente diferente” (fundamento de Derecho 21.2, pág. 245).</w:t>
      </w:r>
    </w:p>
    <w:p w14:paraId="3FCE45CE" w14:textId="77777777" w:rsidR="009D7677" w:rsidRDefault="009D7677" w:rsidP="009D7677">
      <w:pPr>
        <w:pStyle w:val="TextoNormal"/>
      </w:pPr>
    </w:p>
    <w:p w14:paraId="180673EC" w14:textId="77777777" w:rsidR="009D7677" w:rsidRDefault="009D7677" w:rsidP="009D7677">
      <w:pPr>
        <w:pStyle w:val="TextoNormal"/>
      </w:pPr>
      <w:r>
        <w:t xml:space="preserve">(iv) La sentencia de la Sala de lo Penal, a los efectos de determinar si concurren los elementos típicos del delito de prevaricación distingue “entre la decisión de elevar un proyecto de ley al Gobierno así como el contenido del proyecto normativo, en cuanto incorpora decisiones sujetas a criterios de oportunidad y discrecionalidad, que es un acto de gobierno inmune al control jurisdiccional”; y por otro lado, “las distintas decisiones que se adoptan para aprobar un proyecto de ley de presupuestos o una modificación presupuestaria, antes de su final elevación al Parlamento (en el caso de los proyectos de ley) que tienen un contenido obligatorio dispuesto en la ley. Estas últimas son resoluciones que no se rigen por los principios de oportunidad y discrecionalidad, propios de la acción política, se adoptan en un procedimiento reglado y deben ser respetuosas con las normas que regulan su producción. Carecería de sentido [se afirma en la sentencia impugnada] que la ley imponga unas reglas en la elaboración del proyecto de ley o de una norma con fuerza de ley </w:t>
      </w:r>
      <w:r>
        <w:lastRenderedPageBreak/>
        <w:t>y que esas reglas imperativas puedan ser desconocidas sin consecuencias, cuando lo pretendido sea violar de forma patente y arbitraria la ley” (fundamento de Derecho 21.2, pág. 246).</w:t>
      </w:r>
    </w:p>
    <w:p w14:paraId="0DFF3F26" w14:textId="77777777" w:rsidR="009D7677" w:rsidRDefault="009D7677" w:rsidP="009D7677">
      <w:pPr>
        <w:pStyle w:val="TextoNormal"/>
      </w:pPr>
    </w:p>
    <w:p w14:paraId="7589A632" w14:textId="77777777" w:rsidR="009D7677" w:rsidRDefault="009D7677" w:rsidP="009D7677">
      <w:pPr>
        <w:pStyle w:val="TextoNormal"/>
      </w:pPr>
      <w:r>
        <w:t>(v) Las consideraciones expuestas llevan al Tribunal Supremo a concluir que “las resoluciones dictadas relativas a este segundo contenido [las adoptadas en la elaboración del anteproyecto y proyecto de ley] no son actos de gobierno inmunes al control de la jurisdicción penal, sino ‘resoluciones en asunto administrativo’, a los efectos del artículo 404 del Código penal” (fundamento de Derecho 21.2, pág. 246).</w:t>
      </w:r>
    </w:p>
    <w:p w14:paraId="3DF92E72" w14:textId="77777777" w:rsidR="009D7677" w:rsidRDefault="009D7677" w:rsidP="009D7677">
      <w:pPr>
        <w:pStyle w:val="TextoNormal"/>
      </w:pPr>
    </w:p>
    <w:p w14:paraId="723DB357" w14:textId="77777777" w:rsidR="009D7677" w:rsidRDefault="009D7677" w:rsidP="009D7677">
      <w:pPr>
        <w:pStyle w:val="TextoNormal"/>
      </w:pPr>
      <w:r>
        <w:t>(vi) Con invocación de sus propios precedentes, la Sala concluye “que el concepto de resolución al que alude el artículo 404 CP no se reduce a la decisión que pone fin a un procedimiento administrativo, sino que puede extenderse a actuaciones posteriores que ejecutan la resolución y actuaciones anteriores de relevancia que hayan sido imprescindibles para adoptar la resolución final quebrantando los controles establecidos en la ley” (fundamento de Derecho 22, pág. 253).</w:t>
      </w:r>
    </w:p>
    <w:p w14:paraId="1E759C9A" w14:textId="77777777" w:rsidR="009D7677" w:rsidRDefault="009D7677" w:rsidP="009D7677">
      <w:pPr>
        <w:pStyle w:val="TextoNormal"/>
      </w:pPr>
    </w:p>
    <w:p w14:paraId="137449B5" w14:textId="77777777" w:rsidR="009D7677" w:rsidRDefault="009D7677" w:rsidP="009D7677">
      <w:pPr>
        <w:pStyle w:val="TextoNormal"/>
      </w:pPr>
      <w:r>
        <w:t>(vii) El Tribunal Supremo sostiene que no es admisible calificar “el procedimiento prelegislativo como un conjunto de simples ‘actos de trámite’, sin relevancia o carentes de efecto alguno y que lo que finalmente se aprueba por el Gobierno autonómico es un documento sin valor jurídico alguno y sin efectos”, como sostuvo la ahora demandante de amparo (fundamento de Derecho 23.3, pág. 263). Según la Sala “[a]lgunos de los actos de ese procedimiento tienen contenido decisorio en la medida en que las autoridades administrativas al aprobar el proyecto en cada una de sus fases debían examinarlo y comprobar su legalidad. Esas autoridades tenían la potestad de rechazar el proyecto de ley o de modificarlo para que, al margen de la decisión política de fondo sobre la materia presupuestaria, cumpliera con las exigencias de legalidad tanto en su tramitación como en su contenido. Esas autoridades aprobaron los proyectos de ley en cada una de sus fases a sabiendas de su ilegalidad y con la deliberada intención de suprimir los controles formales establecidos por el legislador, y lo consiguieron” (fundamento de Derecho 23.3, pág. 263). Se sostiene además que “[e]l hecho de que los proyectos de ley fueran finalmente aprobados no es obstáculo para atribuir relevancia penal a las resoluciones aludidas, dado que la consumación del delito se produce con el dictado de la resolución injusta, siendo irrelevante que el Parlamento no detectara la ilegalidad” (fundamento de Derecho 23.3, pág. 263). Por todo ello afirma que “los acuerdos del Consejo de Gobierno que pusieron fin al proceso administrativo y que produjeron como efecto la remisión del proyecto al Parlamento con un contenido ilegal, directamente dirigido a eludir los controles de todo tipo existentes en la concesión de subvenciones, constituyen resoluciones arbitrarias a los efectos del artículo 404 CP” (fundamento de Derecho 23.3, pág. 264).</w:t>
      </w:r>
    </w:p>
    <w:p w14:paraId="7CBAB6F1" w14:textId="77777777" w:rsidR="009D7677" w:rsidRDefault="009D7677" w:rsidP="009D7677">
      <w:pPr>
        <w:pStyle w:val="TextoNormal"/>
      </w:pPr>
    </w:p>
    <w:p w14:paraId="55CD3607" w14:textId="77777777" w:rsidR="009D7677" w:rsidRDefault="009D7677" w:rsidP="009D7677">
      <w:pPr>
        <w:pStyle w:val="TextoNormal"/>
      </w:pPr>
      <w:r>
        <w:t>b) En relación con las modificaciones presupuestarias</w:t>
      </w:r>
    </w:p>
    <w:p w14:paraId="2AC79891" w14:textId="77777777" w:rsidR="009D7677" w:rsidRDefault="009D7677" w:rsidP="009D7677">
      <w:pPr>
        <w:pStyle w:val="TextoNormal"/>
      </w:pPr>
    </w:p>
    <w:p w14:paraId="11BC94A0" w14:textId="77777777" w:rsidR="009D7677" w:rsidRDefault="009D7677" w:rsidP="009D7677">
      <w:pPr>
        <w:pStyle w:val="TextoNormal"/>
      </w:pPr>
      <w:r>
        <w:t xml:space="preserve">(i) El Tribunal Supremo considera que el hecho de que “fueran comunicadas posteriormente al Parlamento o incluidas en la cuenta general no es óbice para estimar que las resoluciones dictadas en el trámite de elaboración y aprobación de tales modificaciones sean actos de trámite, carentes de efectos </w:t>
      </w:r>
      <w:r w:rsidRPr="009D7677">
        <w:rPr>
          <w:i/>
        </w:rPr>
        <w:t>ad extra</w:t>
      </w:r>
      <w:r>
        <w:t>, y no merezcan la consideración de resolución a los efectos del artículo 404 CP” (fundamento de Derecho 24.2, pág. 266).</w:t>
      </w:r>
    </w:p>
    <w:p w14:paraId="7DC917F9" w14:textId="77777777" w:rsidR="009D7677" w:rsidRDefault="009D7677" w:rsidP="009D7677">
      <w:pPr>
        <w:pStyle w:val="TextoNormal"/>
      </w:pPr>
    </w:p>
    <w:p w14:paraId="023C0292" w14:textId="77777777" w:rsidR="009D7677" w:rsidRDefault="009D7677" w:rsidP="009D7677">
      <w:pPr>
        <w:pStyle w:val="TextoNormal"/>
      </w:pPr>
      <w:r>
        <w:lastRenderedPageBreak/>
        <w:t>Según la Sala, la decisión aprobatoria de las modificaciones presupuestarias fue adoptada “bien por el consejero de Hacienda, bien por el Consejo de Gobierno de la Junta de Andalucía, y no por el Parlamento, y estaba sujeta a unas exigencias procedimentales y también materiales y estas últimas fueron incumplidas de forma dolosa con la finalidad última de eliminar los controles administrativos en la concesión de las subvenciones para actuar libérrimamente. La decisión aprobatoria [sigue afirmando el Tribunal Supremo] culminaba el proceso de elaboración de la modificación presupuestaria y habilitaba al Gobierno para llevar a cabo las transferencias de fondos. La decisión aprobatoria venía precedida de un procedimiento de elaboración reglado, regido por normas de Derecho administrativo y ajeno a los criterios de discrecionalidad propios de toda decisión política, por lo que es una resolución a los efectos del artículo 404 del Codigo penal” (fundamento de Derecho 24.2, págs. 267-268).</w:t>
      </w:r>
    </w:p>
    <w:p w14:paraId="260086F7" w14:textId="77777777" w:rsidR="009D7677" w:rsidRDefault="009D7677" w:rsidP="009D7677">
      <w:pPr>
        <w:pStyle w:val="TextoNormal"/>
      </w:pPr>
    </w:p>
    <w:p w14:paraId="7CDA578B" w14:textId="77777777" w:rsidR="009D7677" w:rsidRDefault="009D7677" w:rsidP="009D7677">
      <w:pPr>
        <w:pStyle w:val="TextoNormal"/>
      </w:pPr>
      <w:r>
        <w:t>Haciendo suyo el argumento aducido por el Ministerio Fiscal, la Sala considera que “no había razón alguna para tramitar y aprobar las modificaciones presupuestarias como transferencias de financiación porque los créditos habilitados por cada una de ellas no iban destinados a cubrir el déficit financiero de la cuenta de explotación de IFA/IDEA, sino a habilitar fondos para el pago de las subvenciones que ordenaba la Consejería de Empleo y ya hemos explicado que el cambio de clasificación presupuestaria hizo posible la distribución de subvenciones sin control alguno, con incumplimiento absoluto del procedimiento establecido para la concesión de subvenciones” (fundamento de Derecho 24.2, pág. 268).</w:t>
      </w:r>
    </w:p>
    <w:p w14:paraId="1FEEC80E" w14:textId="77777777" w:rsidR="009D7677" w:rsidRDefault="009D7677" w:rsidP="009D7677">
      <w:pPr>
        <w:pStyle w:val="TextoNormal"/>
      </w:pPr>
    </w:p>
    <w:p w14:paraId="3F82336A" w14:textId="77777777" w:rsidR="009D7677" w:rsidRDefault="009D7677" w:rsidP="009D7677">
      <w:pPr>
        <w:pStyle w:val="TextoNormal"/>
      </w:pPr>
      <w:r>
        <w:t xml:space="preserve">(ii) En cuanto a la alegación que la recurrente formuló en el juicio oral referida a que ninguna de las autoridades que intervinieron en los actos prelegislativos adoptó resolución alguna en el sentido jurídico de dicho término —esto es, entendiendo por tal aquellas que generan efectos </w:t>
      </w:r>
      <w:r w:rsidRPr="009D7677">
        <w:rPr>
          <w:i/>
        </w:rPr>
        <w:t>ad extra</w:t>
      </w:r>
      <w:r>
        <w:t xml:space="preserve">—, el Tribunal Supremo asume la tesis del órgano judicial </w:t>
      </w:r>
      <w:r w:rsidRPr="009D7677">
        <w:rPr>
          <w:i/>
        </w:rPr>
        <w:t>a quo</w:t>
      </w:r>
      <w:r>
        <w:t>, al considerar que cada una de las fases de dichos procedimientos —ya se refieran a los anteproyectos y proyectos de ley o a las modificaciones presupuestarias— “se constituye en un eslabón necesario y un filtro de singular relieve establecido en la ley para llegar al trámite final de aprobación” (fundamento de Derecho 27, pág. 280).</w:t>
      </w:r>
    </w:p>
    <w:p w14:paraId="4430A989" w14:textId="77777777" w:rsidR="009D7677" w:rsidRDefault="009D7677" w:rsidP="009D7677">
      <w:pPr>
        <w:pStyle w:val="TextoNormal"/>
      </w:pPr>
    </w:p>
    <w:p w14:paraId="798A2175" w14:textId="77777777" w:rsidR="009D7677" w:rsidRDefault="009D7677" w:rsidP="009D7677">
      <w:pPr>
        <w:pStyle w:val="TextoNormal"/>
      </w:pPr>
      <w:r>
        <w:t xml:space="preserve">4.3. </w:t>
      </w:r>
      <w:r w:rsidRPr="009D7677">
        <w:rPr>
          <w:i/>
        </w:rPr>
        <w:t>Características de nuestra democracia constitucional y parlamentaria</w:t>
      </w:r>
    </w:p>
    <w:p w14:paraId="0551564B" w14:textId="77777777" w:rsidR="009D7677" w:rsidRDefault="009D7677" w:rsidP="009D7677">
      <w:pPr>
        <w:pStyle w:val="TextoNormal"/>
      </w:pPr>
    </w:p>
    <w:p w14:paraId="021D3205" w14:textId="77777777" w:rsidR="009D7677" w:rsidRDefault="009D7677" w:rsidP="009D7677">
      <w:pPr>
        <w:pStyle w:val="TextoNormal"/>
      </w:pPr>
      <w:r>
        <w:t xml:space="preserve">Una vez reseñados los razonamientos de la sentencia, antes de analizar si la interpretación que de la norma aplicada efectúan las resoluciones impugnadas es lesiva del art. 25.1 CE, es preciso recordar cuáles son los elementos esenciales en los que se basa nuestro sistema constitucional, toda vez que el fundamento de la condena parte de una determinada comprensión de las relaciones entre el Ejecutivo autonómico y su Parlamento que trasciende del ámbito de la legalidad, adentrándose en el plano de la constitucionalidad. Esta cuestión es de gran relevancia en este caso dado que el Tribunal apreció la especial trascendencia del recurso [art. 50.1 b) LOTC] por considerar que las cuestiones en él planteadas afectan a la esencia de las relaciones institucionales entre los poderes que conforman el Estado. En el ATC 284/2023, de 5 de junio, FJ único, se afirma que este recurso tiene especial trascendencia constitucional porque “plantea un problema o afecta a una faceta de un derecho fundamental sobre el que no hay doctrina de este tribunal [STC 155/2009, FJ 2 a)], concretamente, en conexión con el derecho a la legalidad penal (art. 25.1 CE), la naturaleza jurídica y el control judicial que puede llevarse a cabo de las actuaciones prelegislativas encomendadas al Gobierno en la elaboración de los presupuestos, la relación de esta </w:t>
      </w:r>
      <w:r>
        <w:lastRenderedPageBreak/>
        <w:t>fase de iniciativa legislativa con el ejercicio de la potestad legislativa atribuida a la Cámara, así como el alcance de la fiscalización de los presupuestos, incluyendo las modificaciones presupuestarias”. Es a este tribunal al que corresponde en último término la interpretación de las cuestiones que se plantean en este recurso, al ser inherentes a la configuración propia del Estado constitucional.</w:t>
      </w:r>
    </w:p>
    <w:p w14:paraId="7167A8FD" w14:textId="77777777" w:rsidR="009D7677" w:rsidRDefault="009D7677" w:rsidP="009D7677">
      <w:pPr>
        <w:pStyle w:val="TextoNormal"/>
      </w:pPr>
    </w:p>
    <w:p w14:paraId="12CF4648" w14:textId="77777777" w:rsidR="009D7677" w:rsidRDefault="009D7677" w:rsidP="009D7677">
      <w:pPr>
        <w:pStyle w:val="TextoNormal"/>
      </w:pPr>
      <w:r>
        <w:t>Por todo ello, se van a efectuar a continuación unas breves consideraciones sobre nuestra democracia constitucional y parlamentaria. Ha de señalarse que, aunque las cuestiones a las que se va a hacer referencia se analizan partiendo de las previsiones constitucionales sobre el sistema institucional que conforman nuestro Estado, son extrapolables a los ordenamientos autonómicos. El sistema institucional previsto en el art. 152 CE para las comunidades autónomas prevé la misma forma de gobierno que la establecida por la Constitución para el Estado. Por ello, las determinaciones constitucionales a este respecto resultan plenamente aplicables a los ordenamientos autonómicos.</w:t>
      </w:r>
    </w:p>
    <w:p w14:paraId="77A6F4FE" w14:textId="77777777" w:rsidR="009D7677" w:rsidRDefault="009D7677" w:rsidP="009D7677">
      <w:pPr>
        <w:pStyle w:val="TextoNormal"/>
      </w:pPr>
    </w:p>
    <w:p w14:paraId="4D490BE7" w14:textId="77777777" w:rsidR="009D7677" w:rsidRDefault="009D7677" w:rsidP="009D7677">
      <w:pPr>
        <w:pStyle w:val="TextoNormal"/>
      </w:pPr>
      <w:r>
        <w:t xml:space="preserve">4.3.1. </w:t>
      </w:r>
      <w:r w:rsidRPr="009D7677">
        <w:rPr>
          <w:i/>
        </w:rPr>
        <w:t>La centralidad del Parlamento, el carácter privilegiado de la ley y el monopolio de control de su constitucionalidad por el Tribunal Constitucional</w:t>
      </w:r>
    </w:p>
    <w:p w14:paraId="583FDA00" w14:textId="77777777" w:rsidR="009D7677" w:rsidRDefault="009D7677" w:rsidP="009D7677">
      <w:pPr>
        <w:pStyle w:val="TextoNormal"/>
      </w:pPr>
    </w:p>
    <w:p w14:paraId="44B03403" w14:textId="77777777" w:rsidR="009D7677" w:rsidRDefault="009D7677" w:rsidP="009D7677">
      <w:pPr>
        <w:pStyle w:val="TextoNormal"/>
      </w:pPr>
      <w:r>
        <w:t>La nuestra es una democracia constitucional y parlamentaria (arts. 9.1 y 1.3 CE). En atención a lo primero, incluso la ley queda sujeta a la Constitución y puede ser controlada su validez por el Tribunal Constitucional. En virtud de lo segundo, la Constitución atribuye a las Cortes Generales, que representan al pueblo español (art. 66.1 CE), la potestad legislativa del Estado, la aprobación de sus presupuestos y el control de la acción del Gobierno (art. 66.2 CE), sin más límites que los que derivan de la propia Constitución. Así lo ha afirmado el Tribunal en reiteradas ocasiones, entre otras en la STC 124/2018, de 14 de noviembre, FJ 6, en la que se sostuvo que «“[e]l papel esencial y de centralidad que en nuestro Estado juega el Parlamento aparece reflejado en la Constitución ya en su primer artículo, donde se declara que la ‘forma política del Estado español es la Monarquía parlamentaria’ (art. 1.3 CE). La soberanía nacional, advierte el apartado 2 del mismo precepto, ‘reside en el pueblo español’, y son las Cortes Generales las que, según expresa el art. 66.1 CE, le representan. De acuerdo con nuestra Constitución, España es una democracia parlamentaria donde las Cortes Generales ejercen la potestad legislativa del Estado, aprueban sus presupuestos, controlan la acción del Gobierno y tienen las demás competencias que les atribuye la Constitución (art. 66.2 CE)” (SSTC 3/2003, de 16 de enero, FJ 3, y 136/2011, de 13 de septiembre, FJ 11)». En consecuencia, el Parlamento constituye la institución central de la democracia como forma de estado, es decir, del Estado constitucional democrático.</w:t>
      </w:r>
    </w:p>
    <w:p w14:paraId="39B66460" w14:textId="77777777" w:rsidR="009D7677" w:rsidRDefault="009D7677" w:rsidP="009D7677">
      <w:pPr>
        <w:pStyle w:val="TextoNormal"/>
      </w:pPr>
    </w:p>
    <w:p w14:paraId="4C222A51" w14:textId="77777777" w:rsidR="009D7677" w:rsidRDefault="009D7677" w:rsidP="009D7677">
      <w:pPr>
        <w:pStyle w:val="TextoNormal"/>
      </w:pPr>
      <w:r>
        <w:t xml:space="preserve">Del carácter central que la Constitución otorga al Parlamento deriva la posición privilegiada de la ley que conlleva su presunción de legitimidad constitucional y que determina que tanto los particulares como los poderes públicos estén sometidos a su imperio (art. 9.1 CE). Por ello, dejando aparte ahora la prelación de fuentes que impone el Derecho de la Unión Europea o el internacional, los órganos judiciales no pueden dejar de aplicarla, salvo en aquellos casos en los que la consideren inconstitucional y planteen cuestión de inconstitucionalidad ante este tribunal (art. 163 CE) o cuando la ley sea preconstitucional. A diferencia de las normas infralegales, que sí pueden ser inaplicadas (art. 6 LOPJ) o, en su caso, declaradas nulas por los órganos judiciales para garantizar la supremacía constitucional, cuando se trata de normas con rango de ley solo el Tribunal Constitucional tiene el </w:t>
      </w:r>
      <w:r>
        <w:lastRenderedPageBreak/>
        <w:t xml:space="preserve">monopolio de expulsarlas del ordenamiento jurídico con efectos </w:t>
      </w:r>
      <w:r w:rsidRPr="009D7677">
        <w:rPr>
          <w:i/>
        </w:rPr>
        <w:t>erga omnes</w:t>
      </w:r>
      <w:r>
        <w:t>. En definitiva, nuestro modelo de control de constitucionalidad atribuye a la ley un privilegio —el de su presunción de constitucionalidad y su consiguiente ejecutividad— que no concurre en el resto de las fuentes del Derecho.</w:t>
      </w:r>
    </w:p>
    <w:p w14:paraId="7D297568" w14:textId="77777777" w:rsidR="009D7677" w:rsidRDefault="009D7677" w:rsidP="009D7677">
      <w:pPr>
        <w:pStyle w:val="TextoNormal"/>
      </w:pPr>
    </w:p>
    <w:p w14:paraId="60B4DF54" w14:textId="77777777" w:rsidR="009D7677" w:rsidRDefault="009D7677" w:rsidP="009D7677">
      <w:pPr>
        <w:pStyle w:val="TextoNormal"/>
      </w:pPr>
      <w:r>
        <w:t xml:space="preserve">4.3.2. </w:t>
      </w:r>
      <w:r w:rsidRPr="009D7677">
        <w:rPr>
          <w:i/>
        </w:rPr>
        <w:t>Breves consideraciones sobre el Gobierno y sus relaciones con el Parlamento</w:t>
      </w:r>
    </w:p>
    <w:p w14:paraId="1261B2F0" w14:textId="77777777" w:rsidR="009D7677" w:rsidRDefault="009D7677" w:rsidP="009D7677">
      <w:pPr>
        <w:pStyle w:val="TextoNormal"/>
      </w:pPr>
    </w:p>
    <w:p w14:paraId="00674F52" w14:textId="77777777" w:rsidR="009D7677" w:rsidRDefault="009D7677" w:rsidP="009D7677">
      <w:pPr>
        <w:pStyle w:val="TextoNormal"/>
      </w:pPr>
      <w:r>
        <w:t>Una de las funciones constitucionalmente atribuidas al Gobierno es la dirección de la política, interior y exterior (art. 97 CE). Dicha función se concreta —aunque naturalmente no se agota— en previsiones constitucionales que atribuyen al Gobierno facultades de iniciativa respecto de la actuación de otros poderes del Estado. Tal es el caso, entre otros, de la prerrogativa de presentar proyectos de ley. La iniciativa legislativa gubernamental es una de las facultades que le permite llevar a cabo su función de dirección política. Es uno de los modos de debatir en el Parlamento las políticas que impulsa el Gobierno que, frente a otros, tiene la peculiaridad de que, si prospera la iniciativa, las medidas previstas en ella se conviertan en ley, sin perjuicio de las enmiendas y modificaciones que se puedan producir en el debate parlamentario y sin perjuicio también de que si el Gobierno considera que las enmiendas aprobadas no se corresponden con su propuesta política, pueda retirar el proyecto a lo largo de su tramitación y antes de su aprobación definitiva por la Cámara. Como ha sostenido el Tribunal en la STC 238/2012, de 13 de diciembre, FJ 3 a), “[r]esulta evidente que a través de la presentación de proyectos de ley al Congreso de los Diputados o, excepcionalmente, al Senado (arts. 140 y 141 del Reglamento del Senado), el Gobierno activa las potestades en materia de dirección política que le son constitucionalmente reconocidas (art. 97 CE), y promueve la acción legislativa del Parlamento […]. Entre las funciones del Ejecutivo está la de ejercer la iniciativa legislativa y entre las del Parlamento aceptar o rechazar tal iniciativa, pero sin que ni unas ni otras se vean limitadas más que allí donde la Constitución así lo ha entendido preciso”.</w:t>
      </w:r>
    </w:p>
    <w:p w14:paraId="301A9306" w14:textId="77777777" w:rsidR="009D7677" w:rsidRDefault="009D7677" w:rsidP="009D7677">
      <w:pPr>
        <w:pStyle w:val="TextoNormal"/>
      </w:pPr>
    </w:p>
    <w:p w14:paraId="0FE15089" w14:textId="77777777" w:rsidR="009D7677" w:rsidRDefault="009D7677" w:rsidP="009D7677">
      <w:pPr>
        <w:pStyle w:val="TextoNormal"/>
      </w:pPr>
      <w:r>
        <w:t>Especialmente relevante es a estos efectos la iniciativa legislativa en materia presupuestaria que corresponde en exclusiva al Gobierno (art. 134.1 CE). En este sentido, en relación con la ley de presupuestos, el Tribunal ha afirmado que esta norma “no es únicamente un conjunto de previsiones contables” (STC 234/1999, de 16 de diciembre, FJ 4), sino también un “vehículo de dirección y orientación de la política económica que corresponde al Gobierno” (STC 27/1981, de 20 de julio, FJ 2). Asimismo, y como este tribunal sostiene desde sus primeros pronunciamientos, la ley de presupuestos es una “verdadera ley, considerando así superada la cuestión de su carácter formal o material” [STC 76/1992, de 14 de mayo, FJ 4 a)]. De igual modo, es doctrina constitucional “que los presupuestos —en el sentido estricto de previsiones de ingresos y habilitaciones de gastos— y el articulado de la ley que los aprueba integran un todo, cuyo contenido adquiere fuerza de ley” [STC 76/1992, de 14 de mayo, FJ 4 a), que cita a su vez la STC 63/1986, de 21 de mayo, FJ 5]. Asimismo, el Tribunal afirmó en la STC 3/2003, de 16 de enero, FJ 7, que “la ley de presupuestos tiene una función específica y constitucionalmente definida: aprobar los presupuestos generales —en este caso, de una comunidad autónoma— para un ejercicio presupuestario que debe coincidir con el año natural, y, de este modo, fiscalizar el conjunto de la actividad financiera pública, aprobar o rechazar el programa político, económico y social del Gobierno que los presenta y, en fin, controlar que la asignación de los recursos públicos sea equitativa. Precisamente para que dicha función pueda ser realizada, al margen de un posible contenido eventual o disponible, la ley de presupuestos tiene un conte</w:t>
      </w:r>
      <w:r>
        <w:lastRenderedPageBreak/>
        <w:t>nido constitucionalmente determinado que se concreta en la previsión de ingresos y la autorización de gastos, debiendo esta última extenderse tanto a</w:t>
      </w:r>
      <w:r w:rsidRPr="009D7677">
        <w:rPr>
          <w:i/>
        </w:rPr>
        <w:t>l quant</w:t>
      </w:r>
      <w:r>
        <w:t>um como a su destino”.</w:t>
      </w:r>
    </w:p>
    <w:p w14:paraId="654FBCA4" w14:textId="77777777" w:rsidR="009D7677" w:rsidRDefault="009D7677" w:rsidP="009D7677">
      <w:pPr>
        <w:pStyle w:val="TextoNormal"/>
      </w:pPr>
    </w:p>
    <w:p w14:paraId="68301744" w14:textId="77777777" w:rsidR="009D7677" w:rsidRDefault="009D7677" w:rsidP="009D7677">
      <w:pPr>
        <w:pStyle w:val="TextoNormal"/>
      </w:pPr>
      <w:r>
        <w:t>En el Estado constitucional todo poder es limitado. La función de control del Gobierno que desempeñan los parlamentos (art. 66.2 CE) es inherente a su carácter representativo y a la forma de gobierno parlamentaria que se establece en el art. 1.3 CE. Solo de este modo se garantiza el equilibrio entre estos poderes previsto en nuestra Norma Fundamental. La Constitución no define en qué consiste esta forma de control al Gobierno, pero una interpretación sistemática y teleológica ha llevado al Tribunal a entender que este control no se limita a los instrumentos que prevé su título V, sino que incluye también el que se ejerce a través de la función legislativa y, dentro de esta, de la función presupuestaria, al permitir el debate público y, de este modo, el conocimiento de los ciudadanos de la actuación del Gobierno.</w:t>
      </w:r>
    </w:p>
    <w:p w14:paraId="58235B5D" w14:textId="77777777" w:rsidR="009D7677" w:rsidRDefault="009D7677" w:rsidP="009D7677">
      <w:pPr>
        <w:pStyle w:val="TextoNormal"/>
      </w:pPr>
    </w:p>
    <w:p w14:paraId="09534408" w14:textId="77777777" w:rsidR="009D7677" w:rsidRDefault="009D7677" w:rsidP="009D7677">
      <w:pPr>
        <w:pStyle w:val="TextoNormal"/>
      </w:pPr>
      <w:r>
        <w:t>Por lo que se refiere a la función presupuestaria, que es la que aquí interesa, el presupuesto constituye un instrumento esencial de control de la acción del Gobierno, pues el debate presupuestario es el modo de someter públicamente a crítica la actuación política del Ejecutivo y de su programa. La ley de presupuestos, al habilitar al Ejecutivo para la realización de los gastos en ella previstos, va más allá de establecer el marco de la legalidad de actuación administrativa pues incide, además, en las relaciones entre el Poder Legislativo y el Poder Ejecutivo, al ser el instrumento que cohonesta la acción del Parlamento y el Gobierno en lo referente al gasto público.</w:t>
      </w:r>
    </w:p>
    <w:p w14:paraId="07E8E761" w14:textId="77777777" w:rsidR="009D7677" w:rsidRDefault="009D7677" w:rsidP="009D7677">
      <w:pPr>
        <w:pStyle w:val="TextoNormal"/>
      </w:pPr>
    </w:p>
    <w:p w14:paraId="00F8A22C" w14:textId="77777777" w:rsidR="009D7677" w:rsidRDefault="009D7677" w:rsidP="009D7677">
      <w:pPr>
        <w:pStyle w:val="TextoNormal"/>
      </w:pPr>
      <w:r>
        <w:t>4.3.3</w:t>
      </w:r>
      <w:r w:rsidRPr="009D7677">
        <w:rPr>
          <w:i/>
        </w:rPr>
        <w:t>. La naturaleza jurídica de los anteproyectos y proyectos de l</w:t>
      </w:r>
      <w:r>
        <w:t>ey</w:t>
      </w:r>
    </w:p>
    <w:p w14:paraId="0027E521" w14:textId="77777777" w:rsidR="009D7677" w:rsidRDefault="009D7677" w:rsidP="009D7677">
      <w:pPr>
        <w:pStyle w:val="TextoNormal"/>
      </w:pPr>
    </w:p>
    <w:p w14:paraId="3FE0BF6D" w14:textId="77777777" w:rsidR="009D7677" w:rsidRDefault="009D7677" w:rsidP="009D7677">
      <w:pPr>
        <w:pStyle w:val="TextoNormal"/>
      </w:pPr>
      <w:r>
        <w:t>Los anteproyectos y proyectos de ley no pueden ser objeto de control jurisdiccional. Como ha afirmado el Tribunal en el ATC 135/2004, de 20 de abril, FJ 6, “la necesaria defensa jurisdiccional del ordenamiento no puede verificarse sino cuando cabe hablar propiamente de infracciones normativas, solo susceptibles de ser causadas, obviamente, por normas, y nunca por proyectos o intenciones normativas, que, en cuanto tales, pueden tener cualquier contenido. La jurisdicción puede reaccionar contra la forma jurídica que resulte de esas intenciones, pero la intención misma y su debate o discusión son inmunes en una sociedad democrática a todo control jurisdiccional, singularmente si el debate se sustancia en un Parlamento, sede privilegiada del debate público”.</w:t>
      </w:r>
    </w:p>
    <w:p w14:paraId="5FCB9D1E" w14:textId="77777777" w:rsidR="009D7677" w:rsidRDefault="009D7677" w:rsidP="009D7677">
      <w:pPr>
        <w:pStyle w:val="TextoNormal"/>
      </w:pPr>
    </w:p>
    <w:p w14:paraId="72525DD4" w14:textId="77777777" w:rsidR="009D7677" w:rsidRDefault="009D7677" w:rsidP="009D7677">
      <w:pPr>
        <w:pStyle w:val="TextoNormal"/>
      </w:pPr>
      <w:r>
        <w:t>Cuestión distinta es la trascendencia que puedan tener los vicios cometidos durante la tramitación de los proyectos normativos en la validez de la norma resultante, esto es, en la ley que trae causa del proyecto incurso en vicios de procedimiento. Estos vicios, de acuerdo con la doctrina constitucional, solo pueden ocasionar la inconstitucionalidad de la ley si las irregularidades que se han producido en el procedimiento han podido afectar al proceso de formación de la voluntad de la Cámara (SSTC 108/1986, de 29 de julio, FJ 3; 136/2011, de 13 de septiembre, FJ 10; 68/2013, de 14 de marzo, y 89/2019, de 2 de julio, FJ 9, entre muchas otras).</w:t>
      </w:r>
    </w:p>
    <w:p w14:paraId="14D6817D" w14:textId="77777777" w:rsidR="009D7677" w:rsidRDefault="009D7677" w:rsidP="009D7677">
      <w:pPr>
        <w:pStyle w:val="TextoNormal"/>
      </w:pPr>
    </w:p>
    <w:p w14:paraId="4A083B4A" w14:textId="77777777" w:rsidR="009D7677" w:rsidRDefault="009D7677" w:rsidP="009D7677">
      <w:pPr>
        <w:pStyle w:val="TextoNormal"/>
      </w:pPr>
      <w:r>
        <w:t xml:space="preserve">En consecuencia, el control jurisdiccional del proceso de elaboración de las leyes ha de limitarse solo al vicio de forma y únicamente en los casos en los que la infracción cometida haya podido afectar a la voluntad de la Cámara. El contenido del anteproyecto o del </w:t>
      </w:r>
      <w:r>
        <w:lastRenderedPageBreak/>
        <w:t>proyecto, en tanto tales, es infiscalizable y no puede ejercerse más control que el político (ATC 135/2004, de 20 de abril, FJ 6). Por esta razón, la prerrogativa del Poder Ejecutivo de presentar proyectos de ley es un acto político que se incardina dentro de las funciones de gobierno que la Constitución le atribuye. Este es el motivo por el que este tipo de actos tienen una naturaleza jurídica diferente de aquellos que adopta el Gobierno en el ejercicio de sus funciones administrativas que, por mandato de lo establecido en el art. 106 CE, son objeto de control por los tribunales.</w:t>
      </w:r>
    </w:p>
    <w:p w14:paraId="370A8A34" w14:textId="77777777" w:rsidR="009D7677" w:rsidRDefault="009D7677" w:rsidP="009D7677">
      <w:pPr>
        <w:pStyle w:val="TextoNormal"/>
      </w:pPr>
    </w:p>
    <w:p w14:paraId="745D05CE" w14:textId="77777777" w:rsidR="009D7677" w:rsidRDefault="009D7677" w:rsidP="009D7677">
      <w:pPr>
        <w:pStyle w:val="TextoNormal"/>
      </w:pPr>
      <w:r>
        <w:t>4.3.4</w:t>
      </w:r>
      <w:r w:rsidRPr="009D7677">
        <w:rPr>
          <w:i/>
        </w:rPr>
        <w:t>. La ley no se vincula para el futu</w:t>
      </w:r>
      <w:r>
        <w:t>ro</w:t>
      </w:r>
    </w:p>
    <w:p w14:paraId="404E32C4" w14:textId="77777777" w:rsidR="009D7677" w:rsidRDefault="009D7677" w:rsidP="009D7677">
      <w:pPr>
        <w:pStyle w:val="TextoNormal"/>
      </w:pPr>
    </w:p>
    <w:p w14:paraId="3BC8FDE5" w14:textId="77777777" w:rsidR="009D7677" w:rsidRDefault="009D7677" w:rsidP="009D7677">
      <w:pPr>
        <w:pStyle w:val="TextoNormal"/>
      </w:pPr>
      <w:r>
        <w:t>A diferencia de lo que ocurría en otros momentos de la historia, el Derecho moderno es Derecho decidido, esto es, Derecho legislado y por ello puede ser cambiado. El legislador no se vincula para el futuro sino que el ordenamiento jurídico institucionaliza procesos para el cambio, siendo el procedimiento legislativo —y sus actos preparatorios— el más relevante, estableciendo una diferenciación estructural entre la desobediencia y el cambio.</w:t>
      </w:r>
    </w:p>
    <w:p w14:paraId="0FD1839C" w14:textId="77777777" w:rsidR="009D7677" w:rsidRDefault="009D7677" w:rsidP="009D7677">
      <w:pPr>
        <w:pStyle w:val="TextoNormal"/>
      </w:pPr>
    </w:p>
    <w:p w14:paraId="4E7B2D27" w14:textId="77777777" w:rsidR="009D7677" w:rsidRDefault="009D7677" w:rsidP="009D7677">
      <w:pPr>
        <w:pStyle w:val="TextoNormal"/>
      </w:pPr>
      <w:r>
        <w:t xml:space="preserve">Si los proyectos tuvieran que respetar el contenido de las normas nunca podrían llevarse a cabo las modificaciones de las leyes existentes, pues los cambios normativos tienen como objeto establecer una legislación diferente de la que se encuentra en vigor. El proyecto cuyo contenido contraviene la normativa existente mientras que es proyecto no puede someterse a un juicio de legalidad —en ese momento es un acto inexistente para el Derecho— y, una vez que se ha aprobado, al haberse convertido en ley, el único juicio que cabe es el de constitucionalidad. Este juicio solo puede efectuarse respecto de la ley aprobada, no respecto de los actos que conforman su procedimiento de elaboración, que nunca tienen eficacia </w:t>
      </w:r>
      <w:r w:rsidRPr="009D7677">
        <w:rPr>
          <w:i/>
        </w:rPr>
        <w:t>ad extra</w:t>
      </w:r>
      <w:r>
        <w:t xml:space="preserve"> y, como meros actos de trámite, una vez dictado el acto final, esto es, la ley, carecen de autonomía respecto de ella.</w:t>
      </w:r>
    </w:p>
    <w:p w14:paraId="59753A6C" w14:textId="77777777" w:rsidR="009D7677" w:rsidRDefault="009D7677" w:rsidP="009D7677">
      <w:pPr>
        <w:pStyle w:val="TextoNormal"/>
      </w:pPr>
    </w:p>
    <w:p w14:paraId="4887AC2B" w14:textId="77777777" w:rsidR="009D7677" w:rsidRDefault="009D7677" w:rsidP="009D7677">
      <w:pPr>
        <w:pStyle w:val="TextoNormal"/>
      </w:pPr>
      <w:r>
        <w:t>En esta misma línea, en la STC 73/2000, de 14 de marzo, FJ 7, se afirma que la ley no incurre en arbitrariedad por modificar el régimen jurídico referido a un sector de la realidad, ya que “lo contrario supondría constreñir indebidamente la legítima opción del legislador de modificar, en todo o en parte, la regulación jurídica de una determinada materia o de un concreto sector del ordenamiento; y conduciría, en última instancia, a la petrificación de cualquier régimen normativo tan pronto se hubiera dictado una sentencia aplicando el régimen jurídico precedente. De lo que resultaría, en suma, que el ordenamiento perdería el carácter evolutivo y dinámico que es propio de los sistemas normativos modernos”.</w:t>
      </w:r>
    </w:p>
    <w:p w14:paraId="3F5A44D0" w14:textId="77777777" w:rsidR="009D7677" w:rsidRDefault="009D7677" w:rsidP="009D7677">
      <w:pPr>
        <w:pStyle w:val="TextoNormal"/>
      </w:pPr>
    </w:p>
    <w:p w14:paraId="40C75F39" w14:textId="77777777" w:rsidR="009D7677" w:rsidRDefault="009D7677" w:rsidP="009D7677">
      <w:pPr>
        <w:pStyle w:val="TextoNormal"/>
      </w:pPr>
      <w:r>
        <w:t>4.3.5</w:t>
      </w:r>
      <w:r w:rsidRPr="009D7677">
        <w:rPr>
          <w:i/>
        </w:rPr>
        <w:t>. El principio de separación de poder</w:t>
      </w:r>
      <w:r>
        <w:t>es</w:t>
      </w:r>
    </w:p>
    <w:p w14:paraId="0BBF6ACE" w14:textId="77777777" w:rsidR="009D7677" w:rsidRDefault="009D7677" w:rsidP="009D7677">
      <w:pPr>
        <w:pStyle w:val="TextoNormal"/>
      </w:pPr>
    </w:p>
    <w:p w14:paraId="14B0C399" w14:textId="77777777" w:rsidR="009D7677" w:rsidRDefault="009D7677" w:rsidP="009D7677">
      <w:pPr>
        <w:pStyle w:val="TextoNormal"/>
      </w:pPr>
      <w:r>
        <w:t xml:space="preserve">El principio de separación de poderes, aunque no está enunciado explícitamente en la Constitución, es esencial en nuestro constitucionalismo. Como ha señalado el Tribunal en la STC 70/2022, de 2 de junio, FJ 5, “[l]a Constitución establece un sistema de relaciones entre órganos constitucionales dotados de competencias propias (SSTC 45/1986, FJ 4, y 234/2000, FJ 4), un sistema de distribución de poderes que evita su concentración y hace posible la aplicación de las técnicas de relación y control entre quienes lo ejercen legítimamente (ATC 60/1981, de 17 de junio, FJ 4). En definitiva, un entramado institucional y normativo, de cuyo concreto funcionamiento resulta un sistema de poderes, derechos y equilibrios sobre el que toma cuerpo una variable del modelo democrático que es la que </w:t>
      </w:r>
      <w:r>
        <w:lastRenderedPageBreak/>
        <w:t>propiamente la Constitución asume al constituir a España en un Estado social y democrático de Derecho (art. 1.1 CE; STC 48/2003, de 12 de marzo, FJ 7). Esta distribución o equilibrio de poderes que […] responde a la forma parlamentaria de Gobierno (art. 1.3 CE), y más específicamente, a lo que se ha dado en denominar ‘parlamentarismo racionalizado’ (STC 223/2006, de 6 de julio, FJ 6), la realiza la Constitución en sus títulos III, ‘De las Cortes Generales’, y IV, ‘Del Gobierno’, definiendo, a su vez, el título V, las relaciones entre el Gobierno y las Cortes Generales, que vienen a establecer el sistema de frenos y contrapesos en que consiste la democracia (STC 176/1995, de 11 de diciembre, FJ 2)”.</w:t>
      </w:r>
    </w:p>
    <w:p w14:paraId="7E055957" w14:textId="77777777" w:rsidR="009D7677" w:rsidRDefault="009D7677" w:rsidP="009D7677">
      <w:pPr>
        <w:pStyle w:val="TextoNormal"/>
      </w:pPr>
    </w:p>
    <w:p w14:paraId="4FD1D4C2" w14:textId="77777777" w:rsidR="009D7677" w:rsidRDefault="009D7677" w:rsidP="009D7677">
      <w:pPr>
        <w:pStyle w:val="TextoNormal"/>
      </w:pPr>
      <w:r>
        <w:t>El principio de división de poderes determina que los diversos poderes que conforman nuestro Estado han de ejercer sus atribuciones de acuerdo con lo previsto en la Constitución y en los estatutos de autonomía. Cada uno de ellos tiene constitucionalmente atribuido su ámbito competencial, que viene delimitado, no solo en su dimensión material, sino también por la forma en que han de relacionarse entre ellos. Cuando un poder del Estado se extralimita en el ejercicio de sus atribuciones se infringe el principio de separación de poderes y se altera el diseño institucional constitucionalmente previsto.</w:t>
      </w:r>
    </w:p>
    <w:p w14:paraId="7251B419" w14:textId="77777777" w:rsidR="009D7677" w:rsidRDefault="009D7677" w:rsidP="009D7677">
      <w:pPr>
        <w:pStyle w:val="TextoNormal"/>
      </w:pPr>
    </w:p>
    <w:p w14:paraId="4966DDBC" w14:textId="77777777" w:rsidR="009D7677" w:rsidRDefault="009D7677" w:rsidP="009D7677">
      <w:pPr>
        <w:pStyle w:val="TextoNormal"/>
      </w:pPr>
      <w:r>
        <w:t>4.4</w:t>
      </w:r>
      <w:r w:rsidRPr="009D7677">
        <w:rPr>
          <w:i/>
        </w:rPr>
        <w:t xml:space="preserve">. Enjuiciamiento de la queja de vulneración del art. 25.1 </w:t>
      </w:r>
      <w:r>
        <w:t>CE</w:t>
      </w:r>
    </w:p>
    <w:p w14:paraId="087304BD" w14:textId="77777777" w:rsidR="009D7677" w:rsidRDefault="009D7677" w:rsidP="009D7677">
      <w:pPr>
        <w:pStyle w:val="TextoNormal"/>
      </w:pPr>
    </w:p>
    <w:p w14:paraId="439861B9" w14:textId="77777777" w:rsidR="009D7677" w:rsidRDefault="009D7677" w:rsidP="009D7677">
      <w:pPr>
        <w:pStyle w:val="TextoNormal"/>
      </w:pPr>
      <w:r>
        <w:t>Una vez expuestos los fundamentos de la condena de la recurrente por el delito de prevaricación, así como los rasgos esenciales de nuestra democracia constitucional y parlamentaria, se procede al enjuiciamiento de los motivos de la alegada vulneración del derecho a la legalidad penal (art. 25.1 CE).</w:t>
      </w:r>
    </w:p>
    <w:p w14:paraId="71D91744" w14:textId="77777777" w:rsidR="009D7677" w:rsidRDefault="009D7677" w:rsidP="009D7677">
      <w:pPr>
        <w:pStyle w:val="TextoNormal"/>
      </w:pPr>
    </w:p>
    <w:p w14:paraId="1F02ED50" w14:textId="77777777" w:rsidR="009D7677" w:rsidRDefault="009D7677" w:rsidP="009D7677">
      <w:pPr>
        <w:pStyle w:val="TextoNormal"/>
      </w:pPr>
      <w:r>
        <w:t>Para ello, ha de distinguirse entre los hechos por los que ha sido condenada; esto es, la elaboración y aprobación de anteproyectos y proyectos de ley de presupuestos para los ejercicios 2002, 2003 y 2004, y la aprobación de las modificaciones presupuestarias de los ejercicios 2000 a 2002.</w:t>
      </w:r>
    </w:p>
    <w:p w14:paraId="727E84CD" w14:textId="77777777" w:rsidR="009D7677" w:rsidRDefault="009D7677" w:rsidP="009D7677">
      <w:pPr>
        <w:pStyle w:val="TextoNormal"/>
      </w:pPr>
    </w:p>
    <w:p w14:paraId="66883E4E" w14:textId="77777777" w:rsidR="009D7677" w:rsidRDefault="009D7677" w:rsidP="009D7677">
      <w:pPr>
        <w:pStyle w:val="TextoNormal"/>
      </w:pPr>
      <w:r>
        <w:t xml:space="preserve">4.4.1. </w:t>
      </w:r>
      <w:r w:rsidRPr="009D7677">
        <w:rPr>
          <w:i/>
        </w:rPr>
        <w:t>Elaboración y aprobación de anteproyectos y proyectos de ley de presupuestos para los ejercicios 2002, 2003 y 2004</w:t>
      </w:r>
    </w:p>
    <w:p w14:paraId="745190D0" w14:textId="77777777" w:rsidR="009D7677" w:rsidRDefault="009D7677" w:rsidP="009D7677">
      <w:pPr>
        <w:pStyle w:val="TextoNormal"/>
      </w:pPr>
    </w:p>
    <w:p w14:paraId="44176FF0" w14:textId="77777777" w:rsidR="009D7677" w:rsidRDefault="009D7677" w:rsidP="009D7677">
      <w:pPr>
        <w:pStyle w:val="TextoNormal"/>
      </w:pPr>
      <w:r>
        <w:t>a) Enjuiciamiento de la conformidad con el art. 25.1 CE de la interpretación realizada por los órganos judiciales de los conceptos “resolución” y “asunto administrativo” previstos en el art. 404 CP</w:t>
      </w:r>
    </w:p>
    <w:p w14:paraId="4CA24651" w14:textId="77777777" w:rsidR="009D7677" w:rsidRDefault="009D7677" w:rsidP="009D7677">
      <w:pPr>
        <w:pStyle w:val="TextoNormal"/>
      </w:pPr>
    </w:p>
    <w:p w14:paraId="16056DA4" w14:textId="77777777" w:rsidR="009D7677" w:rsidRDefault="009D7677" w:rsidP="009D7677">
      <w:pPr>
        <w:pStyle w:val="TextoNormal"/>
      </w:pPr>
      <w:r>
        <w:t>Las sentencias recurridas aprecian la existencia del delito de prevaricación al considerar que la recurrente había participado en la elaboración de los anteproyectos y proyectos de ley de presupuestos para los ejercicios 2002, 2003 y 2004. Según sostienen, tales actuaciones son constitutivas del delito de prevaricación al tratarse de resoluciones arbitrarias dictadas en asunto administrativo.</w:t>
      </w:r>
    </w:p>
    <w:p w14:paraId="20A29675" w14:textId="77777777" w:rsidR="009D7677" w:rsidRDefault="009D7677" w:rsidP="009D7677">
      <w:pPr>
        <w:pStyle w:val="TextoNormal"/>
      </w:pPr>
    </w:p>
    <w:p w14:paraId="34EAED7C" w14:textId="77777777" w:rsidR="009D7677" w:rsidRDefault="009D7677" w:rsidP="009D7677">
      <w:pPr>
        <w:pStyle w:val="TextoNormal"/>
      </w:pPr>
      <w:r>
        <w:t>Como se ha expuesto, en el recurso de amparo se argumenta que tal calificación ha incurrido en una aplicación extensiva del tipo penal, al haber efectuado una interpretación extravagante e imprevisible de los elementos típicos “resolución”, “asunto administrativo” y “arbitraria”, que es lesiva del derecho a la legalidad penal del art. 25.1 CE. Con base en doctrina constitucional y de la Sala de lo Contencioso-Administrativo del Tribunal Su</w:t>
      </w:r>
      <w:r>
        <w:lastRenderedPageBreak/>
        <w:t>premo, la demandante alega que no pueden considerarse “resolución”, en el sentido del art. 404 CP, los anteproyectos y proyectos de ley al ser actos prelegislativos, cuya aprobación como ley depende de la voluntad del Parlamento. Tampoco puede afirmarse, como hacen las sentencias recurridas, que tales actuaciones prelegislativas hayan recaído en un asunto administrativo, debido a que constituyen actos políticos y de gobierno.</w:t>
      </w:r>
    </w:p>
    <w:p w14:paraId="6C197226" w14:textId="77777777" w:rsidR="009D7677" w:rsidRDefault="009D7677" w:rsidP="009D7677">
      <w:pPr>
        <w:pStyle w:val="TextoNormal"/>
      </w:pPr>
    </w:p>
    <w:p w14:paraId="49EB7AEA" w14:textId="77777777" w:rsidR="009D7677" w:rsidRDefault="009D7677" w:rsidP="009D7677">
      <w:pPr>
        <w:pStyle w:val="TextoNormal"/>
      </w:pPr>
      <w:r>
        <w:t>Desde la perspectiva constitucional no cabe considerar que las decisiones adoptadas en el procedimiento de elaboración del proyecto de ley de presupuestos puedan ser calificadas como “resoluciones” recaídas en “asunto administrativo”.</w:t>
      </w:r>
    </w:p>
    <w:p w14:paraId="013AA306" w14:textId="77777777" w:rsidR="009D7677" w:rsidRDefault="009D7677" w:rsidP="009D7677">
      <w:pPr>
        <w:pStyle w:val="TextoNormal"/>
      </w:pPr>
    </w:p>
    <w:p w14:paraId="7F173DD3" w14:textId="77777777" w:rsidR="009D7677" w:rsidRDefault="009D7677" w:rsidP="009D7677">
      <w:pPr>
        <w:pStyle w:val="TextoNormal"/>
      </w:pPr>
      <w:r>
        <w:t xml:space="preserve">Como se ha adelantado, el ejercicio de la iniciativa legislativa que corresponde al Gobierno o a los gobiernos autonómicos no genera actos que formen parte de un procedimiento administrativo. Ciertamente, tales actuaciones se integran en un “procedimiento”, pues conforman el conjunto de actuaciones, el </w:t>
      </w:r>
      <w:r w:rsidRPr="009D7677">
        <w:rPr>
          <w:i/>
        </w:rPr>
        <w:t>iter</w:t>
      </w:r>
      <w:r>
        <w:t>, que deben seguir los gobiernos para ejercer esta prerrogativa. Ahora bien, de ello no cabe deducir que la decisión que como consecuencia de esas actuaciones se adopte —el anteproyecto o proyecto de ley— sea una decisión administrativa: ni es un acto administrativo, ni es un reglamento, ni se trata de una decisión que se encuentra sometida al Derecho administrativo. La elaboración de un anteproyecto o un proyecto de ley no es una actividad administrativa, sino una actividad propia de la función de gobierno en sentido estricto, pues es una prerrogativa que corresponde al Gobierno en virtud de su posición institucional, no a la organización a su servicio, que es la administración pública. Como hemos afirmado en la STC 55/2018, 24 de mayo, FJ 7 b), “[l]os estatutos de autonomía reconocen la iniciativa legislativa a los gobiernos autonómicos, no a sus administraciones. A diferencia de lo que ocurre con la potestad reglamentaria, que también corresponde al Gobierno, el ejercicio de esta prerrogativa se inserta en el ámbito de las relaciones del Gobierno con las cámaras parlamentarias. El procedimiento de elaboración y aprobación de proyectos de ley es la vía que permite al Gobierno autonómico participar en la función legislativa y, por tanto, articular sus políticas públicas a través de normas con rango de ley”. Si esto es así con la iniciativa legislativa que corresponde al Gobierno con carácter general, en el caso de la ley de presupuestos se evidencia aún más, ya que se trata de “una norma singular por su vinculación inmediata con la propia función del Gobierno, a quien corresponde la dirección y orientación de la política económica, como afirmamos tempranamente en la STC 27/1981, de 20 de julio, FJ 2, y hemos reiterado después en numerosas ocasiones” (STC 34/2018, 12 de abril, FJ 6).</w:t>
      </w:r>
    </w:p>
    <w:p w14:paraId="10387633" w14:textId="77777777" w:rsidR="009D7677" w:rsidRDefault="009D7677" w:rsidP="009D7677">
      <w:pPr>
        <w:pStyle w:val="TextoNormal"/>
      </w:pPr>
    </w:p>
    <w:p w14:paraId="49F75CFE" w14:textId="77777777" w:rsidR="009D7677" w:rsidRDefault="009D7677" w:rsidP="009D7677">
      <w:pPr>
        <w:pStyle w:val="TextoNormal"/>
      </w:pPr>
      <w:r>
        <w:t>Es claro, por tanto, que las actuaciones realizadas cuando el Gobierno ejerce la iniciativa legislativa no pueden considerarse en modo alguno una actuación administrativa. Son actos realizados por el Poder Ejecutivo en el ejercicio de su función de gobierno. La sentencia del Tribunal Supremo se apoya para concluir que estamos ante un acto administrativo en la STS 163/2019, de 26 de marzo, en la que se condenó a un gerente de urbanismo por la emisión de una “memoria técnica”. Es imprevisible equiparar a estos efectos un informe técnico con el anteproyecto o el proyecto de ley de presupuestos de la comunidad autónoma.</w:t>
      </w:r>
    </w:p>
    <w:p w14:paraId="62D0F84C" w14:textId="77777777" w:rsidR="009D7677" w:rsidRDefault="009D7677" w:rsidP="009D7677">
      <w:pPr>
        <w:pStyle w:val="TextoNormal"/>
      </w:pPr>
    </w:p>
    <w:p w14:paraId="352C1F7F" w14:textId="77777777" w:rsidR="009D7677" w:rsidRDefault="009D7677" w:rsidP="009D7677">
      <w:pPr>
        <w:pStyle w:val="TextoNormal"/>
      </w:pPr>
      <w:r>
        <w:t>Como sostiene el Ministerio Fiscal, tampoco cabe calificar estas actuaciones como “resolución”, al no tener el carácter de definitivas. Esta naturaleza jurídica no la tiene siquiera el acuerdo del Consejo de Gobierno —como en este caso— por el que se aprueba el ante</w:t>
      </w:r>
      <w:r>
        <w:lastRenderedPageBreak/>
        <w:t xml:space="preserve">proyecto, pues incluso este acto no tiene más efectos </w:t>
      </w:r>
      <w:r w:rsidRPr="009D7677">
        <w:rPr>
          <w:i/>
        </w:rPr>
        <w:t>ad extra</w:t>
      </w:r>
      <w:r>
        <w:t xml:space="preserve"> que el de, en su caso, posibilitar que el Gobierno ejerza su iniciativa legislativa “sometiendo” al Congreso el proyecto acompañado de una exposición de motivos y los antecedentes necesarios (art. 88 CE).</w:t>
      </w:r>
    </w:p>
    <w:p w14:paraId="22221A1C" w14:textId="77777777" w:rsidR="009D7677" w:rsidRDefault="009D7677" w:rsidP="009D7677">
      <w:pPr>
        <w:pStyle w:val="TextoNormal"/>
      </w:pPr>
    </w:p>
    <w:p w14:paraId="3FADB8CF" w14:textId="77777777" w:rsidR="009D7677" w:rsidRDefault="009D7677" w:rsidP="009D7677">
      <w:pPr>
        <w:pStyle w:val="TextoNormal"/>
      </w:pPr>
      <w:r>
        <w:t>Desde un punto de vista constitucional, las consideraciones que acaban de hacerse no se cohonestan con las contenidas en las sentencias impugnadas en las que se sostiene que las actuaciones realizadas con ocasión de la elaboración de los anteproyectos y su aprobación como proyectos de ley —las actuaciones prelegislativas, en terminología de las resoluciones impugnadas— han de calificarse como resoluciones recaídas en un asunto administrativo a los efectos de apreciar que concurren los elementos típicos del delito de prevaricación (art. 404 CP).</w:t>
      </w:r>
    </w:p>
    <w:p w14:paraId="0427F9E3" w14:textId="77777777" w:rsidR="009D7677" w:rsidRDefault="009D7677" w:rsidP="009D7677">
      <w:pPr>
        <w:pStyle w:val="TextoNormal"/>
      </w:pPr>
    </w:p>
    <w:p w14:paraId="2A10F7BF" w14:textId="77777777" w:rsidR="009D7677" w:rsidRDefault="009D7677" w:rsidP="009D7677">
      <w:pPr>
        <w:pStyle w:val="TextoNormal"/>
      </w:pPr>
      <w:r>
        <w:t>Como se ha indicado, la Sala de lo Penal del Tribunal Supremo parte de la consideración de que “el proceso prelegislativo es un procedimiento administrativo” y también afirma que “los procedimientos reglados que culminan en la decisión de elevar un proyecto de ley al Gobierno no son actos propiamente legislativos, sino actos de gobierno que, por ser reglados, pueden ser el contexto objetivo para la comisión de un delito de prevaricación”. Estas consideraciones, sin embargo, no resultan compatibles con la naturaleza de este tipo de actos. Una cosa es que la elaboración de los anteproyectos de ley deba efectuarse siguiendo un procedimiento y otra muy distinta que el ejercicio de esta prerrogativa pueda calificarse como reglada. La circunstancia de que existan normas que disciplinen cómo han de elaborarse los anteproyectos de ley y su aprobación como proyectos de ley no los convierte en actos reglados.</w:t>
      </w:r>
    </w:p>
    <w:p w14:paraId="76DDB158" w14:textId="77777777" w:rsidR="009D7677" w:rsidRDefault="009D7677" w:rsidP="009D7677">
      <w:pPr>
        <w:pStyle w:val="TextoNormal"/>
      </w:pPr>
    </w:p>
    <w:p w14:paraId="1E71660A" w14:textId="77777777" w:rsidR="009D7677" w:rsidRDefault="009D7677" w:rsidP="009D7677">
      <w:pPr>
        <w:pStyle w:val="TextoNormal"/>
      </w:pPr>
      <w:r>
        <w:t>El carácter reglado se predica, en principio, de las potestades y, por lo general, se refiere a aquellos supuestos en los que la norma que atribuye potestades a la administración define de modo agotador el modo en que ha de ejercerlas, sin dejarle margen alguno de apreciación. En tales casos se entiende que el acto dictado al amparo de esas potestades es reglado. Todo ello sin perjuicio de los elementos reglados ínsitos a los actos discrecionales, pero esta cuestión ahora no viene al caso. Lo determinante a estos efectos es que las sentencias impugnadas han considerado que la recurrente, al participar en su condición de consejera de Hacienda en la elaboración del anteproyecto de la ley de presupuestos y en su aprobación como proyecto de ley durante los años 2002, 2003 y 2004, ha incurrido en un delito de prevaricación por no respetar las normas que regulan su producción. Según el Tribunal Supremo “[c]arecería de sentido que la ley imponga unas reglas en la elaboración del proyecto de ley o de una norma con fuerza de ley y que esas reglas imperativas puedan ser desconocidas sin consecuencias, cuando lo pretendido sea violar de forma patente y arbitraria la ley”. Por ello, concluye que estas actuaciones “no son actos de gobierno inmunes al control de la jurisdicción penal, sino ‘resoluciones en asunto administrativo’, a los efectos del artículo 404 del Código penal”.</w:t>
      </w:r>
    </w:p>
    <w:p w14:paraId="47B4B7B8" w14:textId="77777777" w:rsidR="009D7677" w:rsidRDefault="009D7677" w:rsidP="009D7677">
      <w:pPr>
        <w:pStyle w:val="TextoNormal"/>
      </w:pPr>
    </w:p>
    <w:p w14:paraId="3911A7EB" w14:textId="77777777" w:rsidR="009D7677" w:rsidRDefault="009D7677" w:rsidP="009D7677">
      <w:pPr>
        <w:pStyle w:val="TextoNormal"/>
      </w:pPr>
      <w:r>
        <w:t xml:space="preserve">Esta conclusión no es compatible con la interdicción de interpretaciones extensivas o analógicas que el principio de legalidad (art. 25.1 CE) impone a los aplicadores de las normas de carácter punitivo. La determinación del sentido de los elementos típicos “resolución” recaída en “asunto administrativo” que ha efectuado la Sala de lo Penal no puede deducirse del hecho de que sean actuaciones que hayan de adoptarse en un procedimiento regulado por normas, pues deducir de tal hecho su carácter de “resolución” y de “asunto </w:t>
      </w:r>
      <w:r>
        <w:lastRenderedPageBreak/>
        <w:t>administrativo” no encuentra respaldo en el entendimiento que de estos conceptos tiene la comunidad jurídica.</w:t>
      </w:r>
    </w:p>
    <w:p w14:paraId="0B5296A9" w14:textId="77777777" w:rsidR="009D7677" w:rsidRDefault="009D7677" w:rsidP="009D7677">
      <w:pPr>
        <w:pStyle w:val="TextoNormal"/>
      </w:pPr>
    </w:p>
    <w:p w14:paraId="4D2D7573" w14:textId="77777777" w:rsidR="009D7677" w:rsidRDefault="009D7677" w:rsidP="009D7677">
      <w:pPr>
        <w:pStyle w:val="TextoNormal"/>
      </w:pPr>
      <w:r>
        <w:t>De acuerdo con lo establecido en la STC 45/1990, de 15 de marzo, FJ 2, “no toda la actuación del Gobierno, cuyas funciones se enuncian en el art. 97 del Texto constitucional, está sujeta al Derecho administrativo. Es indudable, por ejemplo, que no lo está, en general, la que se refiere a las relaciones con otros órganos constitucionales, como son los actos que regula el título V de la Constitución, o la decisión de enviar a las Cortes un proyecto de ley, u otras semejantes, a través de las cuales el Gobierno cumple también la función de dirección política que le atribuye el mencionado art. 97 de la Constitución”.</w:t>
      </w:r>
    </w:p>
    <w:p w14:paraId="60FCA927" w14:textId="77777777" w:rsidR="009D7677" w:rsidRDefault="009D7677" w:rsidP="009D7677">
      <w:pPr>
        <w:pStyle w:val="TextoNormal"/>
      </w:pPr>
    </w:p>
    <w:p w14:paraId="2E7EACF2" w14:textId="77777777" w:rsidR="009D7677" w:rsidRDefault="009D7677" w:rsidP="009D7677">
      <w:pPr>
        <w:pStyle w:val="TextoNormal"/>
      </w:pPr>
      <w:r>
        <w:t>De esta doctrina se deduce con toda claridad que el contenido de los anteproyectos y proyectos de ley no puede ser objeto de control por ningún órgano judicial. Excluir de esta regla a la jurisdicción penal no solo conlleva desconocer el carácter vinculante de la jurisprudencia constitucional que se deriva del art. 9.1 CE en relación con el art. 1.1 LOTC y que expresamente se encuentra formulado en los arts. 5.1 LOPJ y 40.2 LOTC, sino también la interdicción de la aplicación extensiva o analógica de las normas penales, inherente al principio de legalidad penal (art. 25.1 CE) tal y como ya se ha expuesto.</w:t>
      </w:r>
    </w:p>
    <w:p w14:paraId="2016BA6B" w14:textId="77777777" w:rsidR="009D7677" w:rsidRDefault="009D7677" w:rsidP="009D7677">
      <w:pPr>
        <w:pStyle w:val="TextoNormal"/>
      </w:pPr>
    </w:p>
    <w:p w14:paraId="37ECB3A6" w14:textId="77777777" w:rsidR="009D7677" w:rsidRDefault="009D7677" w:rsidP="009D7677">
      <w:pPr>
        <w:pStyle w:val="TextoNormal"/>
      </w:pPr>
      <w:r>
        <w:t>En efecto, afirmar, como hace la Sala de lo Penal, que “cuando se trata de determinar qué deb[e] entenderse por asunto administrativo a efectos penales” ha de adoptarse un enfoque distinto del seguido por la jurisprudencia contencioso-administrativa y la constitucional y considerar —apartándose de la jurisprudencia del Tribunal Constitucional y la Sala de lo Contencioso-Administrativo del Tribunal Supremo— que la elaboración de un anteproyecto de ley y su aprobación como proyecto constituye una “resolución” recaída “en un asunto administrativo” porque de otro modo las reglas de la elaboración del proyecto de ley o de una norma con fuerza de ley podrían ser desconocidas sin consecuencias, supone atribuir carácter penal a hechos a los que la ley penal no ha atribuido esta naturaleza. Por otra parte, la interpretación que ha efectuado el Tribunal Supremo de los elementos típicos del delito de prevaricación “resolución” y “asunto administrativo” no se compadece, como se acaba de indicar, con la naturaleza que a este tipo de actuaciones le atribuyen los tribunales citados, que son a los que por el objeto de su jurisdicción les corresponde, en principio, determinar el sentido de tales conceptos, ni con el sentido que les atribuye la normativa administrativa ni, como ha puesto de relieve el Ministerio Fiscal, con la interpretación que hasta ese momento había efectuado la Sala de lo Penal del Tribunal Supremo de los elementos típicos del delito de prevaricación.</w:t>
      </w:r>
    </w:p>
    <w:p w14:paraId="44128044" w14:textId="77777777" w:rsidR="009D7677" w:rsidRDefault="009D7677" w:rsidP="009D7677">
      <w:pPr>
        <w:pStyle w:val="TextoNormal"/>
      </w:pPr>
    </w:p>
    <w:p w14:paraId="6763B30D" w14:textId="77777777" w:rsidR="009D7677" w:rsidRDefault="009D7677" w:rsidP="009D7677">
      <w:pPr>
        <w:pStyle w:val="TextoNormal"/>
      </w:pPr>
      <w:r>
        <w:t>Por todo ello, en consonancia con lo alegado por el fiscal, ha de entenderse que la interpretación efectuada de los elementos típicos “resolución” y “asunto administrativo” es imprevisible y, por este motivo, lesiva del principio de legalidad penal (art. 25.1 CE).</w:t>
      </w:r>
    </w:p>
    <w:p w14:paraId="77B7874A" w14:textId="77777777" w:rsidR="009D7677" w:rsidRDefault="009D7677" w:rsidP="009D7677">
      <w:pPr>
        <w:pStyle w:val="TextoNormal"/>
      </w:pPr>
    </w:p>
    <w:p w14:paraId="3E856627" w14:textId="77777777" w:rsidR="009D7677" w:rsidRDefault="009D7677" w:rsidP="009D7677">
      <w:pPr>
        <w:pStyle w:val="TextoNormal"/>
      </w:pPr>
      <w:r>
        <w:t>b) Enjuiciamiento de la conformidad con el art. 25.1 CE de la interpretación realizada por los órganos judiciales del concepto “arbitraria” previsto en el art. 404 CP</w:t>
      </w:r>
    </w:p>
    <w:p w14:paraId="61C81B7F" w14:textId="77777777" w:rsidR="009D7677" w:rsidRDefault="009D7677" w:rsidP="009D7677">
      <w:pPr>
        <w:pStyle w:val="TextoNormal"/>
      </w:pPr>
    </w:p>
    <w:p w14:paraId="01C660E9" w14:textId="77777777" w:rsidR="009D7677" w:rsidRDefault="009D7677" w:rsidP="009D7677">
      <w:pPr>
        <w:pStyle w:val="TextoNormal"/>
      </w:pPr>
      <w:r>
        <w:t>La recurrente, además de cuestionar la interpretación que han efectuado las resoluciones impugnadas por haber ejercido en su condición de consejera de Hacienda la iniciativa legislativa como resoluciones recaídas en asunto administrativo, también cuestiona que se hayan calificado tales actuaciones como arbitrarias.</w:t>
      </w:r>
    </w:p>
    <w:p w14:paraId="07958FE1" w14:textId="77777777" w:rsidR="009D7677" w:rsidRDefault="009D7677" w:rsidP="009D7677">
      <w:pPr>
        <w:pStyle w:val="TextoNormal"/>
      </w:pPr>
    </w:p>
    <w:p w14:paraId="09FDF65B" w14:textId="77777777" w:rsidR="009D7677" w:rsidRDefault="009D7677" w:rsidP="009D7677">
      <w:pPr>
        <w:pStyle w:val="TextoNormal"/>
      </w:pPr>
      <w:r>
        <w:t>En efecto, la demandante ha sido condenada por dictar resoluciones “arbitrarias” y la arbitrariedad se produce, según las sentencias impugnadas, al incluir en el anteproyecto de presupuestos “un criterio de presupuestación ilegal, en concreto, el uso de transferencias de financiación para pago de subvenciones excepcionales”. Según sostienen estas resoluciones, al calificar como “transferencia de financiación” un gasto que estaba destinado a pagar ayudas sociolaborales y no a equilibrar la cuenta de resultados del IFA/IDEA los proyectos finalmente aprobados “contenían una clasificación económica del gasto contraria a las órdenes que la propia Consejería de Economía y Hacienda dictaba anualmente” (sentencia del Tribunal Supremo, fundamento de Derecho 11.2, pág. 190). Esto es, los anteproyectos de ley, según las sentencias recurridas, no se adecuaban a lo establecido por la normativa presupuestaria establecida en las Órdenes de 22 de mayo de 1998 y de 4 de junio de 2003 (sentencia de la Audiencia Provincial, fundamento de Derecho 45, pág. 1692).</w:t>
      </w:r>
    </w:p>
    <w:p w14:paraId="3B783497" w14:textId="77777777" w:rsidR="009D7677" w:rsidRDefault="009D7677" w:rsidP="009D7677">
      <w:pPr>
        <w:pStyle w:val="TextoNormal"/>
      </w:pPr>
    </w:p>
    <w:p w14:paraId="00C25538" w14:textId="77777777" w:rsidR="009D7677" w:rsidRDefault="009D7677" w:rsidP="009D7677">
      <w:pPr>
        <w:pStyle w:val="TextoNormal"/>
      </w:pPr>
      <w:r>
        <w:t>En la demanda de amparo se aduce la vulneración del art. 25.1 CE por entender que las resoluciones impugnadas, al calificar de ilegal el uso de las transferencias de financiación para el pago de ayudas sociolaborales que contenía el programa 31L, que incorporaban primero los textos prelegislativos —anteproyecto y proyecto de ley— y que tras su aprobación por el Parlamento de Andalucía se incluyeron en la ley de presupuestos, han efectuado una interpretación extravagante e imprevisible del elemento típico “arbitraria” del art. 404 CP. Sostiene la recurrente que no puede considerarse ilegal, y por ello no puede ser arbitrario, un proyecto de ley cuyo contenido es coincidente con el de la ley aprobada por el Parlamento, que tiene su origen en aquel.</w:t>
      </w:r>
    </w:p>
    <w:p w14:paraId="11BD4922" w14:textId="77777777" w:rsidR="009D7677" w:rsidRDefault="009D7677" w:rsidP="009D7677">
      <w:pPr>
        <w:pStyle w:val="TextoNormal"/>
      </w:pPr>
    </w:p>
    <w:p w14:paraId="2FD4128E" w14:textId="77777777" w:rsidR="009D7677" w:rsidRDefault="009D7677" w:rsidP="009D7677">
      <w:pPr>
        <w:pStyle w:val="TextoNormal"/>
      </w:pPr>
      <w:r>
        <w:t>La Sala de lo Penal afirma que “por las circunstancias concretas en que se produjo la tramitación parlamentaria, no puede afirmarse que el Parlamento andaluz avalara con su aprobación la ilegalidad que incorporaban los distintos proyectos, ni tampoco que la aprobación autorizara al pago de las ayudas sociolaborales sin los presupuestos y controles establecidos en la ley” (fundamento de Derecho 11.2, pág. 192). También considera que “la alegación de que la aprobación parlamentaria elimina toda ilicitud de los proyectos de ley [aducida por la señora Álvarez en su recurso de casación] no es admisible porque el Parlamento andaluz con su aprobación habilitó unos créditos presupuestarios, pero ni modificó la naturaleza de las transferencias de financiación ni autorizó la forma en que se ejecutó el gasto” (fundamento de Derecho 11.2, pág. 196). La sentencia entiende, asimismo, que “[l]as máximas autoridades de la Junta de Andalucía aprobaron y mantuvieron el sistema de presupuestación indebido [el establecido en el proyecto de ley] para conseguir el objetivo ilícito” (fundamento de derecho 13.2, pág. 200) y que, por ello, incurrieron en arbitrariedad.</w:t>
      </w:r>
    </w:p>
    <w:p w14:paraId="12B4179A" w14:textId="77777777" w:rsidR="009D7677" w:rsidRDefault="009D7677" w:rsidP="009D7677">
      <w:pPr>
        <w:pStyle w:val="TextoNormal"/>
      </w:pPr>
    </w:p>
    <w:p w14:paraId="4E14B931" w14:textId="77777777" w:rsidR="009D7677" w:rsidRDefault="009D7677" w:rsidP="009D7677">
      <w:pPr>
        <w:pStyle w:val="TextoNormal"/>
      </w:pPr>
      <w:r>
        <w:t xml:space="preserve">Las afirmaciones anteriores no pueden considerarse acordes con la prohibición de una aplicación de la ley extensiva </w:t>
      </w:r>
      <w:r w:rsidRPr="009D7677">
        <w:rPr>
          <w:i/>
        </w:rPr>
        <w:t>in malam partem</w:t>
      </w:r>
      <w:r>
        <w:t xml:space="preserve"> que establece el art. 25.1 CE. El Tribunal Supremo, al apreciar que la reforma de la ley de presupuestos en este punto no ha llevado a cabo una modificación del régimen de concesión de las ayudas sociolaborales, ha interpretado las leyes de presupuestos de Andalucía para los ejercicios 2002, 2003 y 2004 de modo imprevisible. Estas leyes son claras al respecto. El programa 31L tiene como objeto otorgar transferencias al IFA en materia de relaciones laborales. Si las transferencias se otorgan al IFA (posteriormente IDEA) “en materia de relaciones laborales” es evidente </w:t>
      </w:r>
      <w:r>
        <w:lastRenderedPageBreak/>
        <w:t>que no son para equilibrar su cuenta de resultados o sufragar sus pérdidas estructurales. Así, además, se explicita con toda claridad en las memorias que acompañan al presupuesto en su tramitación parlamentaria y que se transcriben en las resoluciones impugnadas (sentencia del Tribunal Supremo, fundamento de Derecho 11.2 págs. 193 y ss). Por otra parte, este tribunal no puede dejar de tener en cuenta que la sentencia de la Audiencia Provincial de Sevilla afirma que en la cuenta de resultados del IFA/IDEA se contabilizaban correctamente los pagos de las ayudas laborales ya que no se incluían como gastos de explotación sino como “meras operaciones de tesorería” (sentencia de la Audiencia Provincial, fundamento de Derecho 18.3, pág. 616-617).</w:t>
      </w:r>
    </w:p>
    <w:p w14:paraId="159DD098" w14:textId="77777777" w:rsidR="009D7677" w:rsidRDefault="009D7677" w:rsidP="009D7677">
      <w:pPr>
        <w:pStyle w:val="TextoNormal"/>
      </w:pPr>
    </w:p>
    <w:p w14:paraId="604D8291" w14:textId="77777777" w:rsidR="009D7677" w:rsidRDefault="009D7677" w:rsidP="009D7677">
      <w:pPr>
        <w:pStyle w:val="TextoNormal"/>
      </w:pPr>
      <w:r>
        <w:t>Los argumentos en los que se basa el Tribunal Supremo para rechazar la alegación de la recurrente suponen privar de toda relevancia a la aprobación parlamentaria de la ley, lo que conlleva desconocer la centralidad del Parlamento andaluz en el entramado institucional diseñado estatutariamente que, como ya se ha expuesto, es coincidente con lo establecido en la Constitución. Una cuestión es que el Gobierno, por la posición que ocupa en el sistema de poderes, tenga atribuida en exclusiva la iniciativa legislativa en materia presupuestaria y que dicha posición sea generadora de consecuencias jurídicas en el procedimiento legislativo (poder de retirada del proyecto hasta su aprobación definitiva, arts. 128 del Reglamento del Congreso y 130 del Reglalmento del Parlamento de Andalucía, veto presupuestario, etc.) y otra, muy distinta, sostener que la intervención del Parlamento en la aprobación del presupuesto es meramente formal, hasta el punto de concluir que no puede entenderse aprobado el sistema de presupuestación expresamente previsto en la ley al considerar que este sistema había sido establecido ilegalmente por el Gobierno en el proyecto de ley. Los principios que rigen nuestro sistema constitucional, en particular los que otorgan la centralidad al Parlamento en la conformación del Estado y a los que se ha hecho referencia anteriormente, niegan tal posibilidad.</w:t>
      </w:r>
    </w:p>
    <w:p w14:paraId="70FB3BE4" w14:textId="77777777" w:rsidR="009D7677" w:rsidRDefault="009D7677" w:rsidP="009D7677">
      <w:pPr>
        <w:pStyle w:val="TextoNormal"/>
      </w:pPr>
    </w:p>
    <w:p w14:paraId="56EB6B03" w14:textId="77777777" w:rsidR="009D7677" w:rsidRDefault="009D7677" w:rsidP="009D7677">
      <w:pPr>
        <w:pStyle w:val="TextoNormal"/>
      </w:pPr>
      <w:r>
        <w:t>La conclusión a la que llega el Tribunal Supremo soslaya, además, el tenor literal del art. 106 del Estatuto de Autonomía para Andalucía, que dispone que corresponde al Parlamento de Andalucía “[e]l examen, la enmienda y la aprobación de los presupuestos” (del mismo modo el art. 134 CE atribuye esta competencia a las Cortes Generales). A la vista de los preceptos citados, es patente que ni nuestra Constitución ni tampoco los estatutos de autonomía excluyen al Parlamento de la aprobación del presupuesto —como sucede en algunos países—, sino que, por el contrario, se le confiere la potestad no solo de modificar el proyecto presentado por el Gobierno, sino también de rechazarlo y devolverlo. Por ello, una vez aprobado el presupuesto, el proyecto sale de la esfera del proponente para convertirse en una ley del Parlamento. Es, por tanto, el Parlamento el único autor de los presupuestos.</w:t>
      </w:r>
    </w:p>
    <w:p w14:paraId="4B342ED9" w14:textId="77777777" w:rsidR="009D7677" w:rsidRDefault="009D7677" w:rsidP="009D7677">
      <w:pPr>
        <w:pStyle w:val="TextoNormal"/>
      </w:pPr>
    </w:p>
    <w:p w14:paraId="324F013D" w14:textId="77777777" w:rsidR="009D7677" w:rsidRDefault="009D7677" w:rsidP="009D7677">
      <w:pPr>
        <w:pStyle w:val="TextoNormal"/>
      </w:pPr>
      <w:r>
        <w:t>Como se ha expuesto, la ley de presupuestos generales es una ley que tiene la misma naturaleza normativa que el resto de las leyes. En la STC 76/1992, de 14 de mayo, FJ 4 a), el Tribunal afirmó que “se trata de una verdadera ley, considerando así superada la cuestión de su carácter formal o material”. Por ello, los jueces, que están sometidos al imperio de la ley (art. 117.1 CE), tienen el deber de respetarla cualquiera que sea el juicio que su contenido les merezca. Solo cuando consideran que es inconstitucional y que de su validez depende el fallo de un asunto deben plantear cuestión de inconstitucionalidad, pero fuera de este supuesto no podrán cuestionar sus determinaciones y, menos aún, no tomarla en consideración.</w:t>
      </w:r>
    </w:p>
    <w:p w14:paraId="4549E5CA" w14:textId="77777777" w:rsidR="009D7677" w:rsidRDefault="009D7677" w:rsidP="009D7677">
      <w:pPr>
        <w:pStyle w:val="TextoNormal"/>
      </w:pPr>
    </w:p>
    <w:p w14:paraId="2ADF7EEB" w14:textId="77777777" w:rsidR="009D7677" w:rsidRDefault="009D7677" w:rsidP="009D7677">
      <w:pPr>
        <w:pStyle w:val="TextoNormal"/>
      </w:pPr>
      <w:r>
        <w:t>Por otra parte, ha de tenerse en cuenta que los anteproyectos y proyectos normativos, como ya se ha indicado, no pueden ser objeto de un juicio de legalidad. La circunstancia de que, según las sentencias recurridas, en esta materia existiera una normativa específica (las órdenes de 22 de mayo de 1998 y de 4 de junio de 2003) en la que se establecía que las transferencias de financiación debían destinarse a un uso distinto —el equilibrio de la cuenta de pérdidas y ganancias de la entidad— del que le atribuyeron los proyectos de ley de presupuestos —otorgar ayudas sociolaborales— no significa que esta exigencia normativa no pueda ser modificada y para ello los cambios han de quedar concretados en primer término en los trabajos preparatorios de las leyes.</w:t>
      </w:r>
    </w:p>
    <w:p w14:paraId="47355F73" w14:textId="77777777" w:rsidR="009D7677" w:rsidRDefault="009D7677" w:rsidP="009D7677">
      <w:pPr>
        <w:pStyle w:val="TextoNormal"/>
      </w:pPr>
    </w:p>
    <w:p w14:paraId="1683F7A6" w14:textId="77777777" w:rsidR="009D7677" w:rsidRDefault="009D7677" w:rsidP="009D7677">
      <w:pPr>
        <w:pStyle w:val="TextoNormal"/>
      </w:pPr>
      <w:r>
        <w:t>La ley de presupuestos es un instrumento idóneo para efectuar esta modificación, ya sea de las normas indicadas o de una norma con rango de ley. La modificación de la normativa presupuestaria por este cauce nunca puede ser delito ni tampoco puede serlo la elaboración del texto articulado por quienes tienen la iniciativa legislativa. De otro modo, como ya se ha dicho en la STC 73/2000, de 14 de marzo, FJ 7, a la que antes se ha hecho referencia, se petrificaría el ordenamiento jurídico, negando el carácter dinámico que le es inherente.</w:t>
      </w:r>
    </w:p>
    <w:p w14:paraId="6F33B07C" w14:textId="77777777" w:rsidR="009D7677" w:rsidRDefault="009D7677" w:rsidP="009D7677">
      <w:pPr>
        <w:pStyle w:val="TextoNormal"/>
      </w:pPr>
    </w:p>
    <w:p w14:paraId="139020D7" w14:textId="77777777" w:rsidR="009D7677" w:rsidRDefault="009D7677" w:rsidP="009D7677">
      <w:pPr>
        <w:pStyle w:val="TextoNormal"/>
      </w:pPr>
      <w:r>
        <w:t>Otra cosa sería que se hubiera considerado que se actuó en fraude de ley. No es este, sin embargo, el motivo que ha determinado la condena de la recurrente, pues precisamente lo que las resoluciones judiciales le imputan es haber introducido en la ley un concepto presupuestario que permitió la concesión de las ayudas sociolaborales sin los controles que, con carácter general, se exigen a las subvenciones. Es, por tanto, la propia ley la que establece que se puedan transferir fondos al IFA/IDEA a través del concepto presupuestario “transferencia de financiación”. Por esta razón, deducen las sentencias impugnadas que este gasto no está sometido a controles previos. En consecuencia, no puede considerarse que se haya aplicado la ley para conseguir un fin prohibido por el ordenamiento jurídico, pues la finalidad que tuvo este cambio normativo fue, precisamente, establecer un sistema de presupuestación que permitiera atribuir fondos al IFA/IDEA para que este organismo pudiera otorgar las ayudas sociolaborales sin las exigencias del procedimiento subvencional.</w:t>
      </w:r>
    </w:p>
    <w:p w14:paraId="49A6BEB9" w14:textId="77777777" w:rsidR="009D7677" w:rsidRDefault="009D7677" w:rsidP="009D7677">
      <w:pPr>
        <w:pStyle w:val="TextoNormal"/>
      </w:pPr>
    </w:p>
    <w:p w14:paraId="208A010F" w14:textId="77777777" w:rsidR="009D7677" w:rsidRDefault="009D7677" w:rsidP="009D7677">
      <w:pPr>
        <w:pStyle w:val="TextoNormal"/>
      </w:pPr>
      <w:r>
        <w:t>A tenor de lo expuesto, es indubitado que las leyes de presupuestos de Andalucía para los ejercicios 2002, 2003 y 2004, en su programa 31L, establecieron un sistema de atribución de fondos al IFA/IDEA (las transferencias de financiación) para la concesión de ayudas sociolaborales que habilitaban a la administración autonómica a conceder estas ayudas por tal vía. Las resoluciones impugnadas, al no reconocer que las referidas leyes de presupuestos tienen este alcance, han efectuado, también por este motivo, una interpretación absolutamente imprevisible del elemento típico “arbitrariedad”, lesiva del art. 25.1 CE.</w:t>
      </w:r>
    </w:p>
    <w:p w14:paraId="574B75A1" w14:textId="77777777" w:rsidR="009D7677" w:rsidRDefault="009D7677" w:rsidP="009D7677">
      <w:pPr>
        <w:pStyle w:val="TextoNormal"/>
      </w:pPr>
    </w:p>
    <w:p w14:paraId="7FC8513C" w14:textId="77777777" w:rsidR="009D7677" w:rsidRDefault="009D7677" w:rsidP="009D7677">
      <w:pPr>
        <w:pStyle w:val="TextoNormal"/>
      </w:pPr>
      <w:r>
        <w:t>c) Incidencia de las resoluciones judiciales impugnadas en nuestro sistema de relaciones entre poderes constitucional y estatutariamente previsto</w:t>
      </w:r>
    </w:p>
    <w:p w14:paraId="5D17ADA4" w14:textId="77777777" w:rsidR="009D7677" w:rsidRDefault="009D7677" w:rsidP="009D7677">
      <w:pPr>
        <w:pStyle w:val="TextoNormal"/>
      </w:pPr>
    </w:p>
    <w:p w14:paraId="5CDA00FF" w14:textId="77777777" w:rsidR="009D7677" w:rsidRDefault="009D7677" w:rsidP="009D7677">
      <w:pPr>
        <w:pStyle w:val="TextoNormal"/>
      </w:pPr>
      <w:r>
        <w:t>Todo cuanto se ha expuesto pone de manifiesto que las sentencias impugnadas, al enjuiciar la legalidad de los anteproyectos y proyectos de ley —declaran la ilegalidad del programa 31L— y en la medida en que el programa 31L contenido en las leyes de presupuestos tiene el mismo tenor que aquellos, están ejerciendo materialmente un control ne</w:t>
      </w:r>
      <w:r>
        <w:lastRenderedPageBreak/>
        <w:t>gativo de constitucionalidad sobre el contenido de las leyes de presupuestos que les está vedado, alterando de este modo el sistema de relaciones institucionales constitucional y estatutariamente establecido.</w:t>
      </w:r>
    </w:p>
    <w:p w14:paraId="6E4C3AEA" w14:textId="77777777" w:rsidR="009D7677" w:rsidRDefault="009D7677" w:rsidP="009D7677">
      <w:pPr>
        <w:pStyle w:val="TextoNormal"/>
      </w:pPr>
    </w:p>
    <w:p w14:paraId="6F8AB679" w14:textId="77777777" w:rsidR="009D7677" w:rsidRDefault="009D7677" w:rsidP="009D7677">
      <w:pPr>
        <w:pStyle w:val="TextoNormal"/>
      </w:pPr>
      <w:r>
        <w:t>Si bien es cierto que, como afirmó la STC 196/1990, de 29 de noviembre, FJ 6, “[a] este tribunal no le corresponde el control de cualesquiera alteraciones o irregularidades que se produzcan, dentro del ámbito parlamentario, en las relaciones políticas o institucionales entre Legislativo y Ejecutivo”, ello no le impide analizar las interferencias o alteraciones que en esa relación procedan de otros poderes del Estado, en este caso del Judicial, cuando afectan sustancialmente al ejercicio de sus atribuciones. Tal forma de proceder incide en el modo en que la Constitución y el Estatuto de Autonomía para Andalucía configuran las relaciones entre los referidos poderes. Este es precisamente el caso de este recurso de amparo.</w:t>
      </w:r>
    </w:p>
    <w:p w14:paraId="5908E9FC" w14:textId="77777777" w:rsidR="009D7677" w:rsidRDefault="009D7677" w:rsidP="009D7677">
      <w:pPr>
        <w:pStyle w:val="TextoNormal"/>
      </w:pPr>
    </w:p>
    <w:p w14:paraId="1061D269" w14:textId="77777777" w:rsidR="009D7677" w:rsidRDefault="009D7677" w:rsidP="009D7677">
      <w:pPr>
        <w:pStyle w:val="TextoNormal"/>
      </w:pPr>
      <w:r>
        <w:t>En el supuesto que ahora se analiza, las sentencias impugnadas parten de la consideración de que las iniciativas legislativas —llamadas prelegislativas en las sentencias impugnadas— que dieron lugar a las leyes de presupuestos para los ejercicios 2002 a 2004 incurrían en una “incontestable ilegalidad” al establecer un sistema de presupuestación “indebido” (las transferencias de financiación). Las resoluciones judiciales recurridas afirman que el referido sistema tenía como objetivo evitar los controles previstos en la legislación presupuestaria relativos a la concesión de subvenciones. Esta consideración, que constituye el fundamento de la condena, y el hecho mismo de entrar a analizar la “legalidad” de los anteproyectos y proyectos de ley, supone incidir en un ámbito ajeno al control judicial, excediendo de la función que los jueces y tribunales tienen atribuida por el art. 117.3 CE.</w:t>
      </w:r>
    </w:p>
    <w:p w14:paraId="6FE1D965" w14:textId="77777777" w:rsidR="009D7677" w:rsidRDefault="009D7677" w:rsidP="009D7677">
      <w:pPr>
        <w:pStyle w:val="TextoNormal"/>
      </w:pPr>
    </w:p>
    <w:p w14:paraId="01ACAA37" w14:textId="77777777" w:rsidR="009D7677" w:rsidRDefault="009D7677" w:rsidP="009D7677">
      <w:pPr>
        <w:pStyle w:val="TextoNormal"/>
      </w:pPr>
      <w:r>
        <w:t>En efecto, las sentencias impugnadas, al fundamentar la condena penal de la recurrente en su participación en las actuaciones llamadas prelegislativas que posteriormente, tras la aprobación de los proyectos por el Parlamento, dieron lugar a las leyes de presupuestos en las que en uno de sus programas —el 31L— se preveía un sistema de presupuestación (el de las transferencias de financiación) que, a juicio de los órganos judiciales cuyas resoluciones se recurren, es manifiestamente ilegal, y deducir de ello su responsabilidad penal, están efectuando un control sobre este tipo de actuaciones que afecta a las relaciones entre Gobierno y Parlamento, alterando, de este modo, el sistema institucional que se deriva de la Constitución y del Estatuto de Autonomía para Andalucía.</w:t>
      </w:r>
    </w:p>
    <w:p w14:paraId="2E28DA74" w14:textId="77777777" w:rsidR="009D7677" w:rsidRDefault="009D7677" w:rsidP="009D7677">
      <w:pPr>
        <w:pStyle w:val="TextoNormal"/>
      </w:pPr>
    </w:p>
    <w:p w14:paraId="12E0A9A7" w14:textId="77777777" w:rsidR="009D7677" w:rsidRDefault="009D7677" w:rsidP="009D7677">
      <w:pPr>
        <w:pStyle w:val="TextoNormal"/>
      </w:pPr>
      <w:r>
        <w:t>La pretendida ilegalidad del sistema de presupuestación previsto, primero, en los anteproyectos y proyectos de ley de presupuestos y asumido finalmente por el Parlamento, se convirtió en un sistema de presupuestación que, al estar previsto en una ley —la ley de presupuestos— no puede ser objeto de control por los órganos judiciales, sino solo, en su caso, por este tribunal. La jurisdicción penal, al calificar de “manifiestamente ilegal” el sistema de presupuestación, ha ejercido una función que en modo alguno le corresponde atribuyéndose unas prerrogativas que la Constitución no le otorga.</w:t>
      </w:r>
    </w:p>
    <w:p w14:paraId="5B161760" w14:textId="77777777" w:rsidR="009D7677" w:rsidRDefault="009D7677" w:rsidP="009D7677">
      <w:pPr>
        <w:pStyle w:val="TextoNormal"/>
      </w:pPr>
    </w:p>
    <w:p w14:paraId="2AF77CA8" w14:textId="77777777" w:rsidR="009D7677" w:rsidRDefault="009D7677" w:rsidP="009D7677">
      <w:pPr>
        <w:pStyle w:val="TextoNormal"/>
      </w:pPr>
      <w:r>
        <w:t>Aunque en línea de principio no cabe descartar la posibilidad de que quien elabora un texto normativo pueda incurrir en un delito o en una infracción administrativa con ocasión de su tramitación, esta situación no puede darse en este caso. El delito que se le imputa a la recurrente es el de prevaricación, que se comete cuando una autoridad o funcionario público, a sabiendas de su injusticia, “dictare una resolución arbitraria en un asunto admi</w:t>
      </w:r>
      <w:r>
        <w:lastRenderedPageBreak/>
        <w:t>nistrativo” (art. 404 CP). Las decisiones que se consideran delictivas las ha adoptado la recurrente ejerciendo sus funciones como consejera de Hacienda, que le obligan, entre otras cosas, a ejercer la iniciativa legislativa del Gobierno en materia presupuestaria. Si el contenido de esta iniciativa es o no conforme a Derecho es una cuestión que no puede ser objeto de control por los órganos judiciales. Tal control, como se viene insistiendo, en la medida en que lo que se considera “ilegal” es el contenido de un determinado programa presupuestario previsto en la ley, solo podrá ser ejercido por el Tribunal Constitucional si la iniciativa legislativa prospera, se convierte en ley y es impugnada o cuestionada por quien tiene legitimación para ello. Este juicio, obviamente, solo podría tener lugar en términos de constitucionalidad, nunca de legalidad.</w:t>
      </w:r>
    </w:p>
    <w:p w14:paraId="142921E7" w14:textId="77777777" w:rsidR="009D7677" w:rsidRDefault="009D7677" w:rsidP="009D7677">
      <w:pPr>
        <w:pStyle w:val="TextoNormal"/>
      </w:pPr>
    </w:p>
    <w:p w14:paraId="642D2D31" w14:textId="77777777" w:rsidR="009D7677" w:rsidRDefault="009D7677" w:rsidP="009D7677">
      <w:pPr>
        <w:pStyle w:val="TextoNormal"/>
      </w:pPr>
      <w:r>
        <w:t>En suma, la calificación de la actuación de la recurrente en el ejercicio de su iniciativa legislativa que, como titular de la Consejería de Hacienda y miembro del Consejo de Gobierno, le correspondía supone una aplicación imprevisible e insostenible del tipo del delito de prevaricación contraria al derecho a la legalidad penal (art. 25.1 CE).</w:t>
      </w:r>
    </w:p>
    <w:p w14:paraId="0A9CCBC3" w14:textId="77777777" w:rsidR="009D7677" w:rsidRDefault="009D7677" w:rsidP="009D7677">
      <w:pPr>
        <w:pStyle w:val="TextoNormal"/>
      </w:pPr>
    </w:p>
    <w:p w14:paraId="41A32E13" w14:textId="77777777" w:rsidR="009D7677" w:rsidRDefault="009D7677" w:rsidP="009D7677">
      <w:pPr>
        <w:pStyle w:val="TextoNormal"/>
      </w:pPr>
      <w:r>
        <w:t>4.4.2</w:t>
      </w:r>
      <w:r w:rsidRPr="009D7677">
        <w:rPr>
          <w:i/>
        </w:rPr>
        <w:t>. Aprobación de las modificaciones presupuestari</w:t>
      </w:r>
      <w:r>
        <w:t>as</w:t>
      </w:r>
    </w:p>
    <w:p w14:paraId="1AB3F7CC" w14:textId="77777777" w:rsidR="009D7677" w:rsidRDefault="009D7677" w:rsidP="009D7677">
      <w:pPr>
        <w:pStyle w:val="TextoNormal"/>
      </w:pPr>
    </w:p>
    <w:p w14:paraId="14BCC2EE" w14:textId="77777777" w:rsidR="009D7677" w:rsidRDefault="009D7677" w:rsidP="009D7677">
      <w:pPr>
        <w:pStyle w:val="TextoNormal"/>
      </w:pPr>
      <w:r>
        <w:t>Como ya se ha expuesto en este mismo fundamento jurídico, apartado 4.1, la recurrente fue condenada como autora de un delito de prevaricación por haber aprobado también las modificaciones presupuestarias realizadas el 18 de abril de 2000, el 28 de julio de 2000, el 7 de mayo de 2001 (aprobada por el viceconsejero de Hacienda, por delegación de la recurrente), el 29 de mayo de 2001, el 18 de septiembre de 2001, el 13 de noviembre de 2001, el 5 de diciembre de 2001, el 15 de octubre de 2002 y el 21 de octubre de 2002, incumpliendo las normas de estructura presupuestaria y clasificación del gasto establecidas en la Orden de la Consejería de Hacienda de 22 de mayo de 1998.</w:t>
      </w:r>
    </w:p>
    <w:p w14:paraId="0D40A9DE" w14:textId="77777777" w:rsidR="009D7677" w:rsidRDefault="009D7677" w:rsidP="009D7677">
      <w:pPr>
        <w:pStyle w:val="TextoNormal"/>
      </w:pPr>
    </w:p>
    <w:p w14:paraId="5D98A663" w14:textId="77777777" w:rsidR="009D7677" w:rsidRDefault="009D7677" w:rsidP="009D7677">
      <w:pPr>
        <w:pStyle w:val="TextoNormal"/>
      </w:pPr>
      <w:r>
        <w:t xml:space="preserve">En la demanda de amparo se alega que las mismas razones que se aducen respecto de los actos prelegislativos son también aplicables, </w:t>
      </w:r>
      <w:r w:rsidRPr="009D7677">
        <w:rPr>
          <w:i/>
        </w:rPr>
        <w:t>mutatis mutandis</w:t>
      </w:r>
      <w:r>
        <w:t>, a las modificaciones presupuestarias. La recurrente añade que no existen pronunciamientos jurisprudenciales sobre este tipo de actos, lo que, a su juicio, es indicativo de que estas decisiones no están sometidas al Derecho administrativo ni pueden ser consideradas actos administrativos. Además, alega que en la doctrina científica existe una notable controversia acerca de su naturaleza jurídica, en particular sobre si son actos administrativos o actos políticos.</w:t>
      </w:r>
    </w:p>
    <w:p w14:paraId="1999B9A4" w14:textId="77777777" w:rsidR="009D7677" w:rsidRDefault="009D7677" w:rsidP="009D7677">
      <w:pPr>
        <w:pStyle w:val="TextoNormal"/>
      </w:pPr>
    </w:p>
    <w:p w14:paraId="1776E462" w14:textId="77777777" w:rsidR="009D7677" w:rsidRDefault="009D7677" w:rsidP="009D7677">
      <w:pPr>
        <w:pStyle w:val="TextoNormal"/>
      </w:pPr>
      <w:r>
        <w:t>En el apartado 4.1 de este fundamento jurídico se han expuesto sucintamente las alegaciones de las partes personadas en este recurso y del Ministerio Fiscal. En el apartado 4.2 se recogen las razones por las que el Tribunal Supremo confirma la condena de la recurrente por aprobar las modificaciones presupuestarias. Estas razones, en síntesis, son que este tipo de actos no tienen naturaleza parlamentaria, ya que fueron adoptadas por la consejera de Hacienda o por el Consejo de Gobierno. La Sala entiende que se adoptaron incumpliendo los requisitos procedimentales y materiales “con la finalidad última de eliminar los controles administrativos en la concesión de las subvenciones para actuar libérrimamente”. El Tribunal Supremo también afirma que como estas decisiones debían adoptarse siguiendo un procedimiento reglado, “regido por normas de Derecho administrativo y ajeno a los criterios de discrecionalidad propios de toda decisión política”, son “resoluciones” a los efectos del delito de prevaricación. La Sala concluye que estas actuaciones “cumplen con la exigencia de tipicidad del artículo 404 CP”.</w:t>
      </w:r>
    </w:p>
    <w:p w14:paraId="56B1C5C9" w14:textId="77777777" w:rsidR="009D7677" w:rsidRDefault="009D7677" w:rsidP="009D7677">
      <w:pPr>
        <w:pStyle w:val="TextoNormal"/>
      </w:pPr>
    </w:p>
    <w:p w14:paraId="5BB080A7" w14:textId="77777777" w:rsidR="009D7677" w:rsidRDefault="009D7677" w:rsidP="009D7677">
      <w:pPr>
        <w:pStyle w:val="TextoNormal"/>
      </w:pPr>
      <w:r>
        <w:t>Los argumentos de la demandante por los que aduce que estos actos no pueden considerarse resoluciones recaídas en un asunto administrativo no pueden prosperar. El Tribunal no va a dilucidar en este recurso de amparo la naturaleza jurídica de estas decisiones. Tan solo le corresponde enjuiciar si la interpretación de estos conceptos efectuada por las resoluciones impugnadas incurre en la infracción invocada del art. 25.1 CE. En consecuencia, el análisis ha de limitarse a examinar si la consideración de tales decisiones como resoluciones recaídas en un asunto administrativo es lesiva del derecho fundamental a la legalidad penal, sin que para ello sea necesario un pronunciamiento sobre la naturaleza jurídica de tales actos, lo que excedería del objeto del recurso de amparo.</w:t>
      </w:r>
    </w:p>
    <w:p w14:paraId="65EBEDBB" w14:textId="77777777" w:rsidR="009D7677" w:rsidRDefault="009D7677" w:rsidP="009D7677">
      <w:pPr>
        <w:pStyle w:val="TextoNormal"/>
      </w:pPr>
    </w:p>
    <w:p w14:paraId="171600B1" w14:textId="77777777" w:rsidR="009D7677" w:rsidRDefault="009D7677" w:rsidP="009D7677">
      <w:pPr>
        <w:pStyle w:val="TextoNormal"/>
      </w:pPr>
      <w:r>
        <w:t xml:space="preserve">El hecho de que estas decisiones hayan sido adoptadas por órganos —la consejera de Hacienda y el Consejo de Gobierno— que por las funciones que ejercen tienen tanto naturaleza política como administrativa pone de manifiesto que su consideración como resolución recaída en un asunto administrativo no es, </w:t>
      </w:r>
      <w:r w:rsidRPr="009D7677">
        <w:rPr>
          <w:i/>
        </w:rPr>
        <w:t>prima facie</w:t>
      </w:r>
      <w:r>
        <w:t>, descartable. La circunstancia de que exista un debate doctrinal sobre la naturaleza jurídica de este tipo de decisiones no supone que los órganos judiciales, al calificarlas como resoluciones recaídas en un asunto administrativo, hayan efectuado una interpretación extravagante o imprevisible. Al contrario, pone de manifiesto que tal interpretación es posible. Por otra parte, la alegación de la demandante por la que se aduce que no existe doctrina jurisprudencial al respecto no puede interpretarse, como hace la recurrente, como un dato que evidencie que este tipo de decisiones no tiene carácter administrativo.</w:t>
      </w:r>
    </w:p>
    <w:p w14:paraId="295CF682" w14:textId="77777777" w:rsidR="009D7677" w:rsidRDefault="009D7677" w:rsidP="009D7677">
      <w:pPr>
        <w:pStyle w:val="TextoNormal"/>
      </w:pPr>
    </w:p>
    <w:p w14:paraId="74E8E81A" w14:textId="77777777" w:rsidR="009D7677" w:rsidRDefault="009D7677" w:rsidP="009D7677">
      <w:pPr>
        <w:pStyle w:val="TextoNormal"/>
      </w:pPr>
      <w:r>
        <w:t>El análisis de esta cuestión ha de partir de que este tipo de actuaciones requieren siempre una habilitación legislativa (en este caso, los arts. 38 y ss. de la Ley 5/1983, de 19 de julio, de la hacienda pública de la Comunidad Autónoma de Andalucía, hoy derogada) que otorgue a un órgano administrativo la potestad de modificar los estados numéricos de las leyes de presupuestos cuando concurran los supuestos previstos en la ley habilitante y con las limitaciones que en ella se establezcan. Calificar estos actos como administrativos entra dentro de los márgenes de interpretación admisibles en Derecho, dado que no existe norma ni principio alguno que impida llegar a esta conclusión. Como se acaba de señalar, la cuestión que debe determinarse ahora no es la naturaleza jurídica de este tipo de actos, sino si los órganos judiciales al calificarlos de administrativos han ido más allá de la previsión del tipo legal y han incluido dentro del ámbito de lo penalmente prohibido conductas que la ley con toda evidencia no contempla. En este caso no puede llegarse a tal conclusión. Por todo ello, el Tribunal entiende que la consideración de estos actos como resoluciones recaídas en un asunto administrativo es acorde con el principio de legalidad penal que consagra el art. 25.1 CE.</w:t>
      </w:r>
    </w:p>
    <w:p w14:paraId="46CC3DE1" w14:textId="77777777" w:rsidR="009D7677" w:rsidRDefault="009D7677" w:rsidP="009D7677">
      <w:pPr>
        <w:pStyle w:val="TextoNormal"/>
      </w:pPr>
    </w:p>
    <w:p w14:paraId="471FBB0F" w14:textId="77777777" w:rsidR="009D7677" w:rsidRDefault="009D7677" w:rsidP="009D7677">
      <w:pPr>
        <w:pStyle w:val="TextoNormal"/>
      </w:pPr>
      <w:r>
        <w:t xml:space="preserve">Cuestión distinta es si las modificaciones presupuestarias que efectuó la recurrente pueden considerase arbitrarias por ser manifiestamente ilegales. Las resoluciones impugnadas llegan a esta conclusión al apreciar que se realizaron prescindiendo de las exigencias procedimentales y materiales con la finalidad de eludir los controles exigidos por la normativa subvencional (sentencia del Tribunal Supremo, fundamento de Derecho 24.2, pág. 265 a 271). Tanto la Audiencia Provincial como el Tribunal Supremo, tomando en consideración la normativa presupuestaria, en particular la Orden de la Consejería de Hacienda de 22 de mayo de 1998, llegan a la conclusión de que las modificaciones presupuestarias efectuadas la contravienen y por ello aprecian su manifiesta ilegalidad. No es </w:t>
      </w:r>
      <w:r>
        <w:lastRenderedPageBreak/>
        <w:t>función de este tribunal examinar la corrección jurídica de la referida apreciación. Sin embargo, sí entra dentro de sus atribuciones el efectuar un juicio externo de las razones que llevan a los órganos judiciales a resolver en el sentido expuesto, pues solo de este modo puede verificarse que las resoluciones judiciales, al calificar como manifiestamente ilegales las modificaciones presupuestarias efectuadas, no han desbordado los límites que impone el art. 25.1 CE.</w:t>
      </w:r>
    </w:p>
    <w:p w14:paraId="77682EDF" w14:textId="77777777" w:rsidR="009D7677" w:rsidRDefault="009D7677" w:rsidP="009D7677">
      <w:pPr>
        <w:pStyle w:val="TextoNormal"/>
      </w:pPr>
    </w:p>
    <w:p w14:paraId="466D7634" w14:textId="77777777" w:rsidR="009D7677" w:rsidRDefault="009D7677" w:rsidP="009D7677">
      <w:pPr>
        <w:pStyle w:val="TextoNormal"/>
      </w:pPr>
      <w:r>
        <w:t>A partir del año 2002, en el que las leyes de presupuestos contienen el programa 31L que tiene por objeto otorgar transferencias al IFA en materia de relaciones laborales, cambió el criterio de presupuestación. En los documentos que las acompañan, en particular en las memorias —transcritas en sus pasajes más relevantes en las sentencias que ahora se recurren— se hace referencia a la finalidad que con ese programa se pretende, quién ha de ejecutarlo y cómo debe hacerlo. Según consta en las resoluciones judiciales impugnadas, el objetivo del programa 31L es, entre otros, “atender a las necesidades públicas de mantenimiento del empleo y del tejido productivo andaluz, a través de los acuerdos con el Instituto de Fomento de Andalucía para la subvención y ayuda de sectores y empresas con dificultades financieras que pudieran verse afectadas por las distintas crisis”. También se incluyen entre estos objetivos “[c]ubrir las necesidades comprometidas asumidas por expedientes de regulación de empleo, ayudas a prejubilaciones, proyectos de viabilidad de pequeñas, medianas y grandes empresas e incentivar la consolidación económica en aquellas empresas con dificultades de mantenimiento del empleo” (sentencia del Tribunal Supremo, fundamento de Derecho 11.2, pág. 193, que transcribe las págs. 571 y ss. de la sentencia de la Audiencia Provincial de Sevilla que, a su vez, reproduce el contenido de las memorias de los informes económico-financieros).</w:t>
      </w:r>
    </w:p>
    <w:p w14:paraId="29CABDB1" w14:textId="77777777" w:rsidR="009D7677" w:rsidRDefault="009D7677" w:rsidP="009D7677">
      <w:pPr>
        <w:pStyle w:val="TextoNormal"/>
      </w:pPr>
    </w:p>
    <w:p w14:paraId="36A08FB8" w14:textId="77777777" w:rsidR="009D7677" w:rsidRDefault="009D7677" w:rsidP="009D7677">
      <w:pPr>
        <w:pStyle w:val="TextoNormal"/>
      </w:pPr>
      <w:r>
        <w:t>Las sentencias impugnadas ponen de manifiesto cómo estas memorias determinan el órgano encargado de ejecutar el programa 31L, que es la Dirección General de Trabajo y Seguridad Social. Este centro directivo “tiene atribuidas las competencias que corresponden a la consejería en materia de relaciones laborales”. En estos documentos a los que aluden las sentencias, se detalla que la Dirección General de Trabajo y Seguridad Social instrumenta “la materialización de las ayudas a través de un convenio con el IFA y de su dotación anual específica de contribución a pólizas de prejubilaciones” (sentencia del Tribunal Supremo, fundamento de Derecho 11.2, pág. 194).</w:t>
      </w:r>
    </w:p>
    <w:p w14:paraId="15CCA1E8" w14:textId="77777777" w:rsidR="009D7677" w:rsidRDefault="009D7677" w:rsidP="009D7677">
      <w:pPr>
        <w:pStyle w:val="TextoNormal"/>
      </w:pPr>
    </w:p>
    <w:p w14:paraId="08F978DD" w14:textId="77777777" w:rsidR="009D7677" w:rsidRDefault="009D7677" w:rsidP="009D7677">
      <w:pPr>
        <w:pStyle w:val="TextoNormal"/>
      </w:pPr>
      <w:r>
        <w:t>Sin embargo, las resoluciones recurridas no extraen consecuencia alguna del cambio normativo que se produce en el año 2002, que incluye por primera vez el programa 31L en la ley de presupuestos y que tiene como objeto otorgar transferencias al IFA/IDEA en materia de relaciones laborales, tal y como se acaba de exponer. Una vez en vigor este programa presupuestario resulta imprevisible que los actos dictados a su amparo se consideren manifiestamente ilegales, pues las modificaciones presupuestarias tenían cobertura en una norma con rango de ley.</w:t>
      </w:r>
    </w:p>
    <w:p w14:paraId="07272837" w14:textId="77777777" w:rsidR="009D7677" w:rsidRDefault="009D7677" w:rsidP="009D7677">
      <w:pPr>
        <w:pStyle w:val="TextoNormal"/>
      </w:pPr>
    </w:p>
    <w:p w14:paraId="2E600317" w14:textId="77777777" w:rsidR="009D7677" w:rsidRDefault="009D7677" w:rsidP="009D7677">
      <w:pPr>
        <w:pStyle w:val="TextoNormal"/>
      </w:pPr>
      <w:r>
        <w:t xml:space="preserve">De conformidad con lo expuesto, no pueden considerarse arbitrarias las modificaciones presupuestarias realizadas en el ejercicio 2002 (las efectuadas el 15 y el 21 de octubre de 2002) al encontrarse amparadas en la ley de presupuestos para ese año. Por todo ello, las resoluciones impugnadas, en lo que se refiere a estas concretas modificaciones presupuestarias, al calificarlas como manifiestamente ilegales, han incurrido en una interpretación del todo imprevisible del tipo penal que ha determinado la condena. No ocurre lo mismo </w:t>
      </w:r>
      <w:r>
        <w:lastRenderedPageBreak/>
        <w:t>con las otras modificaciones presupuestarias que no tenían amparo en norma legal alguna [realizadas el 18 de abril de 2000, el 28 de julio de 2000, el 7 de mayo de 2001 (aprobada por el viceconsejero de Hacienda, por delegación de la recurrente), el 29 de mayo de 2001, el 18 de septiembre de 2001, el 13 de noviembre de 2001 y el 5 de diciembre de 2001]. Respecto de estas últimas modificaciones presupuestarias, su consideración como resoluciones arbitrarias recaídas en un asunto administrativo no desborda los límites del art. 404 CP.</w:t>
      </w:r>
    </w:p>
    <w:p w14:paraId="62E73216" w14:textId="77777777" w:rsidR="009D7677" w:rsidRDefault="009D7677" w:rsidP="009D7677">
      <w:pPr>
        <w:pStyle w:val="TextoNormal"/>
      </w:pPr>
    </w:p>
    <w:p w14:paraId="7CE3F9EF" w14:textId="77777777" w:rsidR="009D7677" w:rsidRDefault="009D7677" w:rsidP="009D7677">
      <w:pPr>
        <w:pStyle w:val="TextoNormal"/>
      </w:pPr>
      <w:r>
        <w:t>4.4.3</w:t>
      </w:r>
      <w:r w:rsidRPr="009D7677">
        <w:rPr>
          <w:i/>
        </w:rPr>
        <w:t>. Enjuiciamiento de la lesión del art. 25.1 CE en relación a quiebras lógicas y contradicciones que se atribuyen a las resoluciones impugnad</w:t>
      </w:r>
      <w:r>
        <w:t>as</w:t>
      </w:r>
    </w:p>
    <w:p w14:paraId="5D72C56F" w14:textId="77777777" w:rsidR="009D7677" w:rsidRDefault="009D7677" w:rsidP="009D7677">
      <w:pPr>
        <w:pStyle w:val="TextoNormal"/>
      </w:pPr>
    </w:p>
    <w:p w14:paraId="607EF6BA" w14:textId="77777777" w:rsidR="009D7677" w:rsidRDefault="009D7677" w:rsidP="009D7677">
      <w:pPr>
        <w:pStyle w:val="TextoNormal"/>
      </w:pPr>
      <w:r>
        <w:t>Como ya se ha expuesto en el apartado primero de este fundamento jurídico, la recurrente en amparo alega también la lesión del art. 25.1 CE, toda vez que las sentencias impugnadas incurren en contradicciones y quiebras lógicas al fundamentar su condena. Entre otras, señala las siguientes:</w:t>
      </w:r>
    </w:p>
    <w:p w14:paraId="117C3CD9" w14:textId="77777777" w:rsidR="009D7677" w:rsidRDefault="009D7677" w:rsidP="009D7677">
      <w:pPr>
        <w:pStyle w:val="TextoNormal"/>
      </w:pPr>
    </w:p>
    <w:p w14:paraId="6A595498" w14:textId="77777777" w:rsidR="009D7677" w:rsidRDefault="009D7677" w:rsidP="009D7677">
      <w:pPr>
        <w:pStyle w:val="TextoNormal"/>
      </w:pPr>
      <w:r>
        <w:t>(i) A pesar de que el proyecto de ley y la ley que trae causa de aquel contemplaban el mismo sistema de presupuestación, las sentencias impugnadas consideran que la ley no avaló dicho sistema por el carácter ilegal de los proyectos.</w:t>
      </w:r>
    </w:p>
    <w:p w14:paraId="611E95D5" w14:textId="77777777" w:rsidR="009D7677" w:rsidRDefault="009D7677" w:rsidP="009D7677">
      <w:pPr>
        <w:pStyle w:val="TextoNormal"/>
      </w:pPr>
    </w:p>
    <w:p w14:paraId="4DCF43F9" w14:textId="77777777" w:rsidR="009D7677" w:rsidRDefault="009D7677" w:rsidP="009D7677">
      <w:pPr>
        <w:pStyle w:val="TextoNormal"/>
      </w:pPr>
      <w:r>
        <w:t>(ii) Otra de las quiebras lógicas de las sentencias que la recurrente alega es que atribuyen eficacia jurídica a los proyectos de ley. La demandante entiende que los proyectos de ley son meras propuestas legislativas que, como tales, no permiten deducir de ellos ninguna consecuencia jurídica. Por ello, al atribuirles esta eficaci</w:t>
      </w:r>
      <w:r w:rsidRPr="009D7677">
        <w:rPr>
          <w:i/>
        </w:rPr>
        <w:t>a ad ext</w:t>
      </w:r>
      <w:r>
        <w:t>ra incurren en una quiebra lógica “de índole normativo-institucional”.</w:t>
      </w:r>
    </w:p>
    <w:p w14:paraId="0A9471B2" w14:textId="77777777" w:rsidR="009D7677" w:rsidRDefault="009D7677" w:rsidP="009D7677">
      <w:pPr>
        <w:pStyle w:val="TextoNormal"/>
      </w:pPr>
    </w:p>
    <w:p w14:paraId="00DC54CB" w14:textId="77777777" w:rsidR="009D7677" w:rsidRDefault="009D7677" w:rsidP="009D7677">
      <w:pPr>
        <w:pStyle w:val="TextoNormal"/>
      </w:pPr>
      <w:r>
        <w:t>(iii) Se aduce también que la negativa de las resoluciones recurridas a atribuir a las leyes de presupuestos los efectos jurídicos que necesariamente se desprenden de su aprobación (el uso de transferencias de financiación para sufragar ayudas sociolaborales) parece deberse a que consideran que el Parlamento no era consciente de lo que aprobaba. Para fundamentar esta afirmación transcribe los siguientes pasajes de la sentencia de la Audiencia Provincial:</w:t>
      </w:r>
    </w:p>
    <w:p w14:paraId="606A7543" w14:textId="77777777" w:rsidR="009D7677" w:rsidRDefault="009D7677" w:rsidP="009D7677">
      <w:pPr>
        <w:pStyle w:val="TextoNormal"/>
      </w:pPr>
    </w:p>
    <w:p w14:paraId="777A7F2B" w14:textId="77777777" w:rsidR="009D7677" w:rsidRDefault="009D7677" w:rsidP="009D7677">
      <w:pPr>
        <w:pStyle w:val="TextoNormal"/>
      </w:pPr>
      <w:r>
        <w:t>“[T]eniendo en cuenta la ilícita presupuestación realizada por el Ejecutivo andaluz, contenida en el proyecto de presupuesto remitido al Parlamento, carece de sentido afirmar que fue el Parlamento de Andalucía quien decidió que las transferencias de financiación constituían la figura presupuestaria adecuada para implantar la política de ayudas sociolaborales que se pretendía llevar a cabo” (fundamento de Derecho 10, pág. 463).</w:t>
      </w:r>
    </w:p>
    <w:p w14:paraId="5582C27F" w14:textId="77777777" w:rsidR="009D7677" w:rsidRDefault="009D7677" w:rsidP="009D7677">
      <w:pPr>
        <w:pStyle w:val="TextoNormal"/>
      </w:pPr>
    </w:p>
    <w:p w14:paraId="1E7B5BB1" w14:textId="77777777" w:rsidR="009D7677" w:rsidRDefault="009D7677" w:rsidP="009D7677">
      <w:pPr>
        <w:pStyle w:val="TextoNormal"/>
      </w:pPr>
      <w:r>
        <w:t>Asimismo, transcribe el siguiente párrafo:</w:t>
      </w:r>
    </w:p>
    <w:p w14:paraId="304BB314" w14:textId="77777777" w:rsidR="009D7677" w:rsidRDefault="009D7677" w:rsidP="009D7677">
      <w:pPr>
        <w:pStyle w:val="TextoNormal"/>
      </w:pPr>
    </w:p>
    <w:p w14:paraId="0BAC6996" w14:textId="77777777" w:rsidR="009D7677" w:rsidRDefault="009D7677" w:rsidP="009D7677">
      <w:pPr>
        <w:pStyle w:val="TextoNormal"/>
      </w:pPr>
      <w:r>
        <w:t>“Lo que de ningún modo puede afirmarse es que el Parlamento legitimó el uso de las transferencias de financiación para el pago de subvenciones concedidas por la Dirección General de Trabajo. Pues resulta impensable que el parlamento legitimara un sistema que, entre otras consecuencias, obligaba a aumentar ficticiamente la partida de ‘gastos’ en el presupuesto del IFA/IDEA, como única forma posible de equilibrarlos con los ingresos” (fundamento de Derecho 10, pág. 466).</w:t>
      </w:r>
    </w:p>
    <w:p w14:paraId="7CE0C1DB" w14:textId="77777777" w:rsidR="009D7677" w:rsidRDefault="009D7677" w:rsidP="009D7677">
      <w:pPr>
        <w:pStyle w:val="TextoNormal"/>
      </w:pPr>
    </w:p>
    <w:p w14:paraId="7FFD5631" w14:textId="77777777" w:rsidR="009D7677" w:rsidRDefault="009D7677" w:rsidP="009D7677">
      <w:pPr>
        <w:pStyle w:val="TextoNormal"/>
      </w:pPr>
      <w:r>
        <w:lastRenderedPageBreak/>
        <w:t>La demandante de amparo pone de manifiesto que las resoluciones impugnadas niegan eficacia a la ley de presupuestos al entender que el Parlamento no pudo aprobar semejante ilegalidad no siendo consciente de lo que aprobaba y, para justificar esta conclusión, reproduce el siguiente pasaje de la sentencia de la Audiencia Provincial:</w:t>
      </w:r>
    </w:p>
    <w:p w14:paraId="24E20D64" w14:textId="77777777" w:rsidR="009D7677" w:rsidRDefault="009D7677" w:rsidP="009D7677">
      <w:pPr>
        <w:pStyle w:val="TextoNormal"/>
      </w:pPr>
    </w:p>
    <w:p w14:paraId="13D75C25" w14:textId="77777777" w:rsidR="009D7677" w:rsidRDefault="009D7677" w:rsidP="009D7677">
      <w:pPr>
        <w:pStyle w:val="TextoNormal"/>
      </w:pPr>
      <w:r>
        <w:t>“La documentación anexa remitida al Parlamento, acompañando el proyecto de presupuesto, utilizó durante el periodo 2002 a 2009 una terminología ambigua y equívoca. Pues, nunca señaló claramente el verdadero sistema de concesión de subvenciones sociolaborales. No indicó qué órgano las concedería, si la Consejería de Empleo o IFA/IDEA. Incluso daba a entender en alguna documentación anexa, que iban a ser otorgadas por IFA/IDEA. Tampoco señaló de forma inequívoca que la función de IFA/IDEA, en base al convenio suscrito con la Consejería de Empleo, quedaba limitada al pago material de las subvenciones.</w:t>
      </w:r>
    </w:p>
    <w:p w14:paraId="5C35F47B" w14:textId="77777777" w:rsidR="009D7677" w:rsidRDefault="009D7677" w:rsidP="009D7677">
      <w:pPr>
        <w:pStyle w:val="TextoNormal"/>
      </w:pPr>
    </w:p>
    <w:p w14:paraId="167CFB9F" w14:textId="77777777" w:rsidR="009D7677" w:rsidRDefault="009D7677" w:rsidP="009D7677">
      <w:pPr>
        <w:pStyle w:val="TextoNormal"/>
      </w:pPr>
      <w:r>
        <w:t>Por ello, la aprobación presupuestaria de la transferencia de financiación, en ningún caso supuso que el Parlamento aprobó dicho crédito, para que con cargo al mismo se otorgaran por la Consejería de Empleo subvenciones sociolaborales o a empresas en crisis”.</w:t>
      </w:r>
    </w:p>
    <w:p w14:paraId="14F4DDEC" w14:textId="77777777" w:rsidR="009D7677" w:rsidRDefault="009D7677" w:rsidP="009D7677">
      <w:pPr>
        <w:pStyle w:val="TextoNormal"/>
      </w:pPr>
    </w:p>
    <w:p w14:paraId="4FF014C6" w14:textId="77777777" w:rsidR="009D7677" w:rsidRDefault="009D7677" w:rsidP="009D7677">
      <w:pPr>
        <w:pStyle w:val="TextoNormal"/>
      </w:pPr>
      <w:r>
        <w:t>(iv) La representación procesal de la señora Álvarez Arza subraya lo contradictorio que resulta “afirmar que los parlamentarios se equivocaron sobre el contenido de lo que aprobaban cuando al mismo tiempo se afirma que las leyes no aprobaron lo que se ha considerado ilegal. ¿Dónde está el error, entonces?”.</w:t>
      </w:r>
    </w:p>
    <w:p w14:paraId="39C64369" w14:textId="77777777" w:rsidR="009D7677" w:rsidRDefault="009D7677" w:rsidP="009D7677">
      <w:pPr>
        <w:pStyle w:val="TextoNormal"/>
      </w:pPr>
    </w:p>
    <w:p w14:paraId="5D91D260" w14:textId="77777777" w:rsidR="009D7677" w:rsidRDefault="009D7677" w:rsidP="009D7677">
      <w:pPr>
        <w:pStyle w:val="TextoNormal"/>
      </w:pPr>
      <w:r>
        <w:t>Por último, se aduce que lo que subyace en los argumentos anteriores es que la Sala de lo Penal del Tribunal Supremo considera que las leyes de presupuestos son inconstitucionales al no haberse conformado debidamente la voluntad de la Cámara por haber sido engañada. La recurrente afirma que, de ser esto así, la Sala hubiera debido plantear cuestión de inconstitucionalidad ante el Tribunal Constitucional y, como no lo ha hecho, no puede desconocer la plena validez jurídica de una ley aprobada.</w:t>
      </w:r>
    </w:p>
    <w:p w14:paraId="4F70EA24" w14:textId="77777777" w:rsidR="009D7677" w:rsidRDefault="009D7677" w:rsidP="009D7677">
      <w:pPr>
        <w:pStyle w:val="TextoNormal"/>
      </w:pPr>
    </w:p>
    <w:p w14:paraId="4A77CCF7" w14:textId="77777777" w:rsidR="009D7677" w:rsidRDefault="009D7677" w:rsidP="009D7677">
      <w:pPr>
        <w:pStyle w:val="TextoNormal"/>
      </w:pPr>
      <w:r>
        <w:t>En definitiva, lo que la recurrente alega es que las contradicciones en las que han incurrido las resoluciones impugnadas han tenido como consecuencia que se haya efectuado una interpretación de los elementos típicos imprevisible y, por ello, prohibida por el art. 25.1 CE.</w:t>
      </w:r>
    </w:p>
    <w:p w14:paraId="02F52DFB" w14:textId="77777777" w:rsidR="009D7677" w:rsidRDefault="009D7677" w:rsidP="009D7677">
      <w:pPr>
        <w:pStyle w:val="TextoNormal"/>
      </w:pPr>
    </w:p>
    <w:p w14:paraId="3775B838" w14:textId="77777777" w:rsidR="009D7677" w:rsidRDefault="009D7677" w:rsidP="009D7677">
      <w:pPr>
        <w:pStyle w:val="TextoNormal"/>
      </w:pPr>
      <w:r>
        <w:t>Resulta patente que las resoluciones impugnadas contienen argumentos contradictorios que, además, se fundamentan en una concepción de nuestro sistema institucional que no se cohonesta con los parámetros interpretativos comúnmente aceptados. Por lo que se refiere a lo primero, esto es, a las contradicciones y quiebras lógicas en las que incurre la sentencia, basta la lectura de los pasajes que se acaban de transcribir para apreciar que incurren en tales defectos.</w:t>
      </w:r>
    </w:p>
    <w:p w14:paraId="528D3A0B" w14:textId="77777777" w:rsidR="009D7677" w:rsidRDefault="009D7677" w:rsidP="009D7677">
      <w:pPr>
        <w:pStyle w:val="TextoNormal"/>
      </w:pPr>
    </w:p>
    <w:p w14:paraId="28789DF2" w14:textId="77777777" w:rsidR="009D7677" w:rsidRDefault="009D7677" w:rsidP="009D7677">
      <w:pPr>
        <w:pStyle w:val="TextoNormal"/>
      </w:pPr>
      <w:r>
        <w:t xml:space="preserve">No se puede apreciar que los proyectos de ley establecen un sistema de presupuestación no avalado por el Parlamento cuando la ley aprobada recoge expresamente el mismo sistema de presupuestación que aquellos. Tal afirmación, además, resulta contradictoria e incompatible con las reglas constitucionales y estatutarias que disciplinan el sistema de fuentes, al dar eficacia jurídica a un proyecto de ley y negar, al mismo tiempo, esa eficacia a la ley que trae causa de ese proyecto, que establece el mismo sistema de presupuestación </w:t>
      </w:r>
      <w:r>
        <w:lastRenderedPageBreak/>
        <w:t xml:space="preserve">que el contenido en el proyecto. Como se expuso anteriormente, los anteproyectos y proyectos de ley, en cuanto meras propuestas normativas, no pueden ser objeto de control jurídico. Ha de traerse de nuevo a colación el ATC 135/2004, de 20 de abril, FJ 6, en el que el Tribunal declaró que “la necesaria defensa jurisdiccional del ordenamiento no puede verificarse sino cuando cabe hablar propiamente de infracciones normativas, solo susceptibles de ser causadas, obviamente, por normas, y nunca por proyectos o intenciones normativas, que, en cuanto tales, pueden tener cualquier contenido”. La paradoja que presenta este caso es que el Tribunal Supremo no solo otorga eficacia jurídica </w:t>
      </w:r>
      <w:r w:rsidRPr="009D7677">
        <w:rPr>
          <w:i/>
        </w:rPr>
        <w:t>ad extra</w:t>
      </w:r>
      <w:r>
        <w:t xml:space="preserve"> al proyecto, lo que en sí mismo es incompatible con la naturaleza de este tipo de actos, sino que, además, niega eficacia al programa presupuestario aprobado por el Parlamento, que tiene naturaleza de ley y que, como tal, tiene efectos generales. El aplicador del Derecho no puede dejar de aplicar una ley en vigor.</w:t>
      </w:r>
    </w:p>
    <w:p w14:paraId="3AFCF685" w14:textId="77777777" w:rsidR="009D7677" w:rsidRDefault="009D7677" w:rsidP="009D7677">
      <w:pPr>
        <w:pStyle w:val="TextoNormal"/>
      </w:pPr>
    </w:p>
    <w:p w14:paraId="5E0B8D74" w14:textId="77777777" w:rsidR="009D7677" w:rsidRDefault="009D7677" w:rsidP="009D7677">
      <w:pPr>
        <w:pStyle w:val="TextoNormal"/>
      </w:pPr>
      <w:r>
        <w:t>(v) Otra de las contradicciones señaladas por la recurrente se refiere a que las sentencias recurridas afirman que las fichas del programa presupuestario 31L, así como las distintas memorias acompañadas a los proyectos de ley de presupuestos “ofrecían una información poco detallada que posibilitó la aprobación de los proyectos de ley (sin objeciones en lo que a esta partida se refiere) en el trámite parlamentario” (sentencia del Tribunal Supremo, fundamento de Derecho 14.2, pág. 211). Sin embargo, tal y como se deriva con toda claridad del fundamento de Derecho 11.2 de la sentencia del Tribunal Supremo, es patente que la información facilitada al Parlamento no podía inducirle a error, por cuanto que no había duda alguna de que las transferencias de financiación no estaban destinadas a equilibrar la cuenta de pérdidas y ganancias de IFA/IDEA. Como ya se ha indicado, las resoluciones judiciales transcriben pasajes de las memorias que acompañan a las leyes de presupuestos en las que se especifica que los fines del programa 31L, entre otros, es “atender a las necesidades públicas de mantenimiento del empleo y del tejido productivo andaluz, a través de los acuerdos con el Instituto de Fomento de Andalucía para la subvención y ayuda de sectores y empresas con dificultades financieras que pudieran verse afectadas por las distintas crisis”.</w:t>
      </w:r>
    </w:p>
    <w:p w14:paraId="05E092EA" w14:textId="77777777" w:rsidR="009D7677" w:rsidRDefault="009D7677" w:rsidP="009D7677">
      <w:pPr>
        <w:pStyle w:val="TextoNormal"/>
      </w:pPr>
    </w:p>
    <w:p w14:paraId="1F088226" w14:textId="77777777" w:rsidR="009D7677" w:rsidRDefault="009D7677" w:rsidP="009D7677">
      <w:pPr>
        <w:pStyle w:val="TextoNormal"/>
      </w:pPr>
      <w:r>
        <w:t>No resulta coherente afirmar, por una parte, que la documentación que se remitió al Parlamento acompañando a los proyectos de ley de presupuestos era “escasa, confusa y errónea”, además de “poco detallada” (sentencia del Tribunal Supremo, fundamento de Derecho 11.2, pág. 192) y deducir de ello, que “no puede afirmarse que el Parlamento andaluz avalara con su aprobación la ilegalidad que incorporaban los distintos proyectos, ni tampoco que la aprobación autorizara al pago de las ayudas sociolaborales sin los presupuestos y controles establecidos en la ley” (sentencia del Tribunal Supremo, fundamento de Derecho 11.2, pág. 193) y, por otra, entender que la referida documentación contenía información suficiente para atribuirle el valor de prueba de cargo para fundamentar en ella la condena por el delito de prevaricación (sentencia del Tribunal Supremo, fundamento de Derecho 113.3, pág. 875).</w:t>
      </w:r>
    </w:p>
    <w:p w14:paraId="544BE6B3" w14:textId="77777777" w:rsidR="009D7677" w:rsidRDefault="009D7677" w:rsidP="009D7677">
      <w:pPr>
        <w:pStyle w:val="TextoNormal"/>
      </w:pPr>
    </w:p>
    <w:p w14:paraId="478C77CC" w14:textId="77777777" w:rsidR="009D7677" w:rsidRDefault="009D7677" w:rsidP="009D7677">
      <w:pPr>
        <w:pStyle w:val="TextoNormal"/>
      </w:pPr>
      <w:r>
        <w:t>Por ello, la subsunción en el tipo del art. 404 CP de los hechos que se le imputan a la recurrente es imprevisible en el sentido que a este término le ha otorgado el Tribunal a los efectos de apreciar si el aplicador del Derecho ha incurrido en una infracción del principio de legalidad penal (art. 25.1 CE).</w:t>
      </w:r>
    </w:p>
    <w:p w14:paraId="16E93F59" w14:textId="77777777" w:rsidR="009D7677" w:rsidRDefault="009D7677" w:rsidP="009D7677">
      <w:pPr>
        <w:pStyle w:val="TextoNormal"/>
      </w:pPr>
    </w:p>
    <w:p w14:paraId="736E1EC4" w14:textId="03A506FA" w:rsidR="009D7677" w:rsidRDefault="009D7677" w:rsidP="009D7677">
      <w:pPr>
        <w:pStyle w:val="TextoNormal"/>
      </w:pPr>
      <w:r>
        <w:lastRenderedPageBreak/>
        <w:t>La apreciación de la vulneración del derecho fundamental a la legalidad penal respecto a la elaboración de las iniciativas legislativas durante los años 2002, 2003 y 2004, hace innecesario entrar a examinar el segundo motivo que alega la demandante; esto es, vulneración del referido derecho por considerar que se ha realizado una aplicación retroactiva de la jurisprudencia.</w:t>
      </w:r>
    </w:p>
    <w:p w14:paraId="411A600E" w14:textId="77777777" w:rsidR="009D7677" w:rsidRDefault="009D7677" w:rsidP="009D7677">
      <w:pPr>
        <w:pStyle w:val="TextoNormal"/>
      </w:pPr>
    </w:p>
    <w:p w14:paraId="347DD8A9" w14:textId="77777777" w:rsidR="009D7677" w:rsidRDefault="009D7677" w:rsidP="009D7677">
      <w:pPr>
        <w:pStyle w:val="TextoNormal"/>
      </w:pPr>
      <w:r w:rsidRPr="009D7677">
        <w:rPr>
          <w:rStyle w:val="NumeroAFNegritaCaracter"/>
        </w:rPr>
        <w:t>5</w:t>
      </w:r>
      <w:r>
        <w:t xml:space="preserve">. </w:t>
      </w:r>
      <w:r w:rsidRPr="009D7677">
        <w:rPr>
          <w:i/>
        </w:rPr>
        <w:t>Conclusión y efectos de la estimación parcial del recurso de amparo</w:t>
      </w:r>
    </w:p>
    <w:p w14:paraId="680B95EF" w14:textId="77777777" w:rsidR="009D7677" w:rsidRDefault="009D7677" w:rsidP="009D7677">
      <w:pPr>
        <w:pStyle w:val="TextoNormal"/>
      </w:pPr>
    </w:p>
    <w:p w14:paraId="22E0541D" w14:textId="77777777" w:rsidR="009D7677" w:rsidRDefault="009D7677" w:rsidP="009D7677">
      <w:pPr>
        <w:pStyle w:val="TextoNormal"/>
      </w:pPr>
      <w:r>
        <w:t>Los argumentos expuestos determinan la estimación parcial del recurso de amparo.</w:t>
      </w:r>
    </w:p>
    <w:p w14:paraId="292E9B16" w14:textId="77777777" w:rsidR="009D7677" w:rsidRDefault="009D7677" w:rsidP="009D7677">
      <w:pPr>
        <w:pStyle w:val="TextoNormal"/>
      </w:pPr>
    </w:p>
    <w:p w14:paraId="3473E6E2" w14:textId="77777777" w:rsidR="009D7677" w:rsidRDefault="009D7677" w:rsidP="009D7677">
      <w:pPr>
        <w:pStyle w:val="TextoNormal"/>
      </w:pPr>
      <w:r>
        <w:t>La aplicación que han efectuado los órganos judiciales del art. 404 CP al condenar a la recurrente en amparo como autora de un delito continuado de prevaricación (art. 404 CP) por haber intervenido en la elaboración de los anteproyectos de ley de presupuestos para los ejercicios 2002, 2003 y 2004 y haber participado en su aprobación como proyectos de ley en las sesiones del Consejo de Gobierno, así como por haber realizado las modificaciones presupuestarias de 15 y de 21 de octubre de 2002 infringe el derecho a la legalidad penal (art. 25.1 CE). La lesión de este derecho fundamental se produce por haber efectuado los órganos judiciales cuyas resoluciones se recurren una interpretación y subsunción de los hechos en la norma penal que no se corresponde con la interpretación de los elementos típicos comúnmente aceptada por la comunidad jurídica —es incompatible con el sistema institucional constitucional y estatutariamente previsto— e incurre en manifiestas quiebras lógicas en la argumentación. Todo ello conlleva que, en relación con los referidos hechos, la conducta prohibida, tal y como ha sido interpretada en las sentencias impugnadas, resulte imprevisible para sus destinatarios.</w:t>
      </w:r>
    </w:p>
    <w:p w14:paraId="40D6C61E" w14:textId="77777777" w:rsidR="009D7677" w:rsidRDefault="009D7677" w:rsidP="009D7677">
      <w:pPr>
        <w:pStyle w:val="TextoNormal"/>
      </w:pPr>
    </w:p>
    <w:p w14:paraId="78A61D87" w14:textId="77777777" w:rsidR="009D7677" w:rsidRDefault="009D7677" w:rsidP="009D7677">
      <w:pPr>
        <w:pStyle w:val="TextoNormal"/>
      </w:pPr>
      <w:r>
        <w:t>No puede apreciarse lesiva del derecho a la legalidad penal (art. 25.1 CE) la condena por delito continuado de prevaricación por haber efectuado las modificaciones presupuestarias de 18 de abril de 2000, de 28 de julio de 2000, de 7 de mayo de 2001 (aprobada por el viceconsejero de Hacienda, por delegación de la recurrente), de 29 de mayo de 2001, de 18 de septiembre de 2001, de 13 de noviembre de 2001 y de 5 de diciembre de 2001. En relación con estas conductas, los órganos judiciales han efectuado una interpretación y subsunción de los hechos en la norma penal acorde con las exigencias que se deriva de este derecho fundamental.</w:t>
      </w:r>
    </w:p>
    <w:p w14:paraId="650B5EB4" w14:textId="77777777" w:rsidR="009D7677" w:rsidRDefault="009D7677" w:rsidP="009D7677">
      <w:pPr>
        <w:pStyle w:val="TextoNormal"/>
      </w:pPr>
    </w:p>
    <w:p w14:paraId="09893946" w14:textId="26127E9C" w:rsidR="009D7677" w:rsidRDefault="009D7677" w:rsidP="009D7677">
      <w:pPr>
        <w:pStyle w:val="TextoNormal"/>
      </w:pPr>
      <w:r>
        <w:t>En consecuencia, el fallo parcialmente estimatorio determina la nulidad de las resoluciones impugnadas y la retroacción del procedimiento al momento anterior al dictado de la sentencia de instancia para que por la Audiencia Provincial de Sevilla se dicte un nuevo pronunciamiento con exclusión de las siguientes conductas realizadas por la recurrente: haber intervenido en la elaboración de los anteproyectos de ley de presupuestos para los ejercicios 2002, 2003 y 2004; haber participado en su aprobación como proyectos de ley en las sesiones del Consejo de Gobierno; y haber realizado las modificaciones presupuestarias de 15 y de 21 de octubre de 2002.</w:t>
      </w:r>
    </w:p>
    <w:p w14:paraId="497E4820" w14:textId="77777777" w:rsidR="009D7677" w:rsidRDefault="009D7677" w:rsidP="009D7677">
      <w:pPr>
        <w:pStyle w:val="TextoNormal"/>
      </w:pPr>
    </w:p>
    <w:p w14:paraId="1026C3D1" w14:textId="77777777" w:rsidR="009D7677" w:rsidRDefault="009D7677" w:rsidP="009D7677">
      <w:pPr>
        <w:pStyle w:val="TextoNormalCentrado"/>
        <w:keepNext/>
      </w:pPr>
      <w:r>
        <w:lastRenderedPageBreak/>
        <w:t>FALLO</w:t>
      </w:r>
    </w:p>
    <w:p w14:paraId="3E2F7C91" w14:textId="5D5E927E" w:rsidR="009D7677" w:rsidRDefault="009D7677" w:rsidP="009D7677">
      <w:pPr>
        <w:pStyle w:val="TextoNormalCentrado"/>
        <w:keepNext/>
      </w:pPr>
    </w:p>
    <w:p w14:paraId="7E36D10A" w14:textId="77777777" w:rsidR="009D7677" w:rsidRDefault="009D7677" w:rsidP="009D7677">
      <w:pPr>
        <w:pStyle w:val="TextoNormal"/>
      </w:pPr>
      <w:r>
        <w:t>En atención a todo lo expuesto, el Tribunal Constitucional, por la autoridad que le confiere la Constitución de la Nación española, ha decidido estimar parcialmente el recurso de amparo interpuesto por doña Magdalena Álvarez Arza y, en su virtud:</w:t>
      </w:r>
    </w:p>
    <w:p w14:paraId="139FC227" w14:textId="77777777" w:rsidR="009D7677" w:rsidRDefault="009D7677" w:rsidP="009D7677">
      <w:pPr>
        <w:pStyle w:val="TextoNormal"/>
      </w:pPr>
    </w:p>
    <w:p w14:paraId="3D801CCC" w14:textId="77777777" w:rsidR="009D7677" w:rsidRDefault="009D7677" w:rsidP="009D7677">
      <w:pPr>
        <w:pStyle w:val="TextoNormal"/>
      </w:pPr>
      <w:r>
        <w:t>1º Reconocer que se ha vulnerado su derecho fundamental a la legalidad penal (art. 25.1 CE).</w:t>
      </w:r>
    </w:p>
    <w:p w14:paraId="2C3B0C8C" w14:textId="77777777" w:rsidR="009D7677" w:rsidRDefault="009D7677" w:rsidP="009D7677">
      <w:pPr>
        <w:pStyle w:val="TextoNormal"/>
      </w:pPr>
    </w:p>
    <w:p w14:paraId="66DE7F89" w14:textId="77777777" w:rsidR="009D7677" w:rsidRDefault="009D7677" w:rsidP="009D7677">
      <w:pPr>
        <w:pStyle w:val="TextoNormal"/>
      </w:pPr>
      <w:r>
        <w:t>2º Restablecerle en su derecho y, a tal fin, declarar la nulidad de la sentencia núm. 490/2019, de 19 de noviembre, dictada por la Sección Primera de la Audiencia Provincial de Sevilla, y de la sentencia núm. 749/2022, de 13 de septiembre, de la Sala de lo Penal del Tribunal Supremo, ordenando la retroacción del proceso al momento anterior al dictado de la sentencia de instancia para que por la Audiencia Provincial de Sevilla se dicte un nuevo pronunciamiento respetuoso con el derecho fundamental vulnerado, en los términos que se indican en el fundamento jurídico quinto de esta sentencia.</w:t>
      </w:r>
    </w:p>
    <w:p w14:paraId="3846B67E" w14:textId="77777777" w:rsidR="009D7677" w:rsidRDefault="009D7677" w:rsidP="009D7677">
      <w:pPr>
        <w:pStyle w:val="TextoNormal"/>
      </w:pPr>
    </w:p>
    <w:p w14:paraId="3C9333B8" w14:textId="0BD3E2E9" w:rsidR="009D7677" w:rsidRDefault="009D7677" w:rsidP="009D7677">
      <w:pPr>
        <w:pStyle w:val="TextoNormal"/>
      </w:pPr>
      <w:r>
        <w:t>3º Desestimar el recurso de amparo en todo lo demás.</w:t>
      </w:r>
    </w:p>
    <w:p w14:paraId="601C2A38" w14:textId="77777777" w:rsidR="009D7677" w:rsidRDefault="009D7677" w:rsidP="009D7677">
      <w:pPr>
        <w:pStyle w:val="TextoNormal"/>
      </w:pPr>
    </w:p>
    <w:p w14:paraId="1C9BDF53" w14:textId="77777777" w:rsidR="009D7677" w:rsidRDefault="009D7677" w:rsidP="009D7677">
      <w:pPr>
        <w:pStyle w:val="TextoNormal"/>
      </w:pPr>
      <w:r>
        <w:t>Publíquese esta sentencia en el “Boletín Oficial del Estado”.</w:t>
      </w:r>
    </w:p>
    <w:p w14:paraId="1C15C24A" w14:textId="77777777" w:rsidR="009D7677" w:rsidRDefault="009D7677" w:rsidP="009D7677">
      <w:pPr>
        <w:pStyle w:val="TextoNormal"/>
      </w:pPr>
      <w:r>
        <w:t>Dada en Madrid, a diecinueve de junio de dos mil veinticuatro.</w:t>
      </w:r>
    </w:p>
    <w:p w14:paraId="7BCF33C7" w14:textId="22D337F0" w:rsidR="009D7677" w:rsidRDefault="009D7677" w:rsidP="009D7677">
      <w:pPr>
        <w:pStyle w:val="ParrafoNormal"/>
      </w:pPr>
    </w:p>
    <w:p w14:paraId="30B4F667" w14:textId="77777777" w:rsidR="009D7677" w:rsidRDefault="009D7677" w:rsidP="009D7677">
      <w:pPr>
        <w:pStyle w:val="TextoNormalNegritaCentrado"/>
        <w:keepNext/>
      </w:pPr>
      <w:r>
        <w:t>Voto particular que formulan los magistrados don Ricardo Enríquez Sancho, don Enrique Arnaldo Alcubilla y doña Concepción Espejel Jorquera a la sentencia dictada en el recurso de amparo núm. 6971-2022</w:t>
      </w:r>
    </w:p>
    <w:p w14:paraId="0C0173E2" w14:textId="2EC7592E" w:rsidR="009D7677" w:rsidRDefault="009D7677" w:rsidP="009D7677">
      <w:pPr>
        <w:pStyle w:val="TextoNormalNegritaCentrado"/>
        <w:keepNext/>
      </w:pPr>
    </w:p>
    <w:p w14:paraId="11C08012" w14:textId="77777777" w:rsidR="009D7677" w:rsidRDefault="009D7677" w:rsidP="009D7677">
      <w:pPr>
        <w:pStyle w:val="TextoNormal"/>
      </w:pPr>
      <w:r>
        <w:t>En el ejercicio de la facultad que nos confiere el art. 90.2 de la Ley Orgánica del Tribunal Constitucional, y con respeto a la opinión de los magistrados que han conformado la mayoría del Pleno, formulamos el presente voto particular por discrepar de la fundamentación y del fallo de la sentencia recaída en el recurso de amparo interpuesto por doña Magdalena Álvarez Arza, el cual a nuestro juicio debió ser desestimado, porque las sentencias impugnadas no vulneraron su derecho fundamental a la legalidad penal (art. 25.1 CE).</w:t>
      </w:r>
    </w:p>
    <w:p w14:paraId="45CD2BE1" w14:textId="77777777" w:rsidR="009D7677" w:rsidRDefault="009D7677" w:rsidP="009D7677">
      <w:pPr>
        <w:pStyle w:val="TextoNormal"/>
      </w:pPr>
    </w:p>
    <w:p w14:paraId="3DE86C47" w14:textId="77777777" w:rsidR="009D7677" w:rsidRDefault="009D7677" w:rsidP="009D7677">
      <w:pPr>
        <w:pStyle w:val="TextoNormal"/>
      </w:pPr>
      <w:r>
        <w:t>Sin perjuicio de adherirnos al voto particular discrepante suscrito por el magistrado don César Tolosa Tribiño, consideramos necesario recalcar algunos puntos esenciales de nuestro desacuerdo con el parecer de la mayoría</w:t>
      </w:r>
    </w:p>
    <w:p w14:paraId="3623D125" w14:textId="77777777" w:rsidR="009D7677" w:rsidRDefault="009D7677" w:rsidP="009D7677">
      <w:pPr>
        <w:pStyle w:val="TextoNormal"/>
      </w:pPr>
    </w:p>
    <w:p w14:paraId="15327BA0" w14:textId="77777777" w:rsidR="009D7677" w:rsidRDefault="009D7677" w:rsidP="009D7677">
      <w:pPr>
        <w:pStyle w:val="TextoNormal"/>
      </w:pPr>
      <w:r>
        <w:t xml:space="preserve">1. </w:t>
      </w:r>
      <w:r w:rsidRPr="009D7677">
        <w:rPr>
          <w:i/>
        </w:rPr>
        <w:t>Descalificaciones gratuitas al Tribunal Supremo y a la Audiencia Provincial de Sevilla</w:t>
      </w:r>
    </w:p>
    <w:p w14:paraId="1B7BC4BE" w14:textId="77777777" w:rsidR="009D7677" w:rsidRDefault="009D7677" w:rsidP="009D7677">
      <w:pPr>
        <w:pStyle w:val="TextoNormal"/>
      </w:pPr>
    </w:p>
    <w:p w14:paraId="4372CB8A" w14:textId="77777777" w:rsidR="009D7677" w:rsidRDefault="009D7677" w:rsidP="009D7677">
      <w:pPr>
        <w:pStyle w:val="TextoNormal"/>
      </w:pPr>
      <w:r>
        <w:t>Previamente debemos referirnos al tono, a nuestro juicio reprobable, que utiliza la sentencia de este Tribunal para descalificar la actuación tanto del Tribunal Supremo como de la Audiencia Provincial de Sevilla.</w:t>
      </w:r>
    </w:p>
    <w:p w14:paraId="1CF712C6" w14:textId="77777777" w:rsidR="009D7677" w:rsidRDefault="009D7677" w:rsidP="009D7677">
      <w:pPr>
        <w:pStyle w:val="TextoNormal"/>
      </w:pPr>
    </w:p>
    <w:p w14:paraId="60614321" w14:textId="77777777" w:rsidR="009D7677" w:rsidRDefault="009D7677" w:rsidP="009D7677">
      <w:pPr>
        <w:pStyle w:val="TextoNormal"/>
      </w:pPr>
      <w:r>
        <w:t xml:space="preserve">En su fundamento jurídico 4.3 (subapartados 1 a 5) se reprocha a ambos órganos jurisdiccionales su desconocimiento de los “elementos esenciales en los que se basa nuestro sistema constitucional”, tales como el carácter constitucional, parlamentario y democrático </w:t>
      </w:r>
      <w:r>
        <w:lastRenderedPageBreak/>
        <w:t>del Estado, el principio de separación de poderes, la naturaleza de las relaciones entre el Gobierno y el Parlamento y hasta del monopolio del control de constitucionalidad de las leyes por el Tribunal Constitucional. Como si las sentencias recurridas hubieran declarado la inconstitucionalidad de las leyes de presupuestos de la Junta de Andalucía de 2001 a 2010, o le hubieran dirigido alguna tacha en este sentido, cosa que no han hecho como más adelante se explicará. Se reprocha también a los dos órganos judiciales efectuar una interpretación del art. 404 CP “insostenible” [FJ 4.4.1 c)] que “no encuentra respaldo en el entendimiento que de estos conceptos [‘resolución’ recaída en ‘asunto administrativo’] tiene la comunidad jurídica” [FJ 4.4.1 a)], cuando es precisamente el órgano jurisdiccional “superior” en materia penal (art. 123.1 CE) quien la sostiene. Y, como corolario, se concluye que los magistrados que dictaron las dos sentencias tienen “una concepción de nuestro sistema institucional que no se cohonesta con los parámetros interpretativos comúnmente aceptados” (FJ 4.4.3).</w:t>
      </w:r>
    </w:p>
    <w:p w14:paraId="0CCDAE5D" w14:textId="77777777" w:rsidR="009D7677" w:rsidRDefault="009D7677" w:rsidP="009D7677">
      <w:pPr>
        <w:pStyle w:val="TextoNormal"/>
      </w:pPr>
    </w:p>
    <w:p w14:paraId="2E199D6A" w14:textId="77777777" w:rsidR="009D7677" w:rsidRDefault="009D7677" w:rsidP="009D7677">
      <w:pPr>
        <w:pStyle w:val="TextoNormal"/>
      </w:pPr>
      <w:r>
        <w:t>Se trata, además, de amonestaciones innecesarias, pues se hacen una vez que la sentencia ya ha concluido que la interpretación de los conceptos “resolución”, “asunto administrativo” y “arbitraria” eran “imprevisibles” en el fundamento jurídico 4.4.1 a) y b), lo que bastaba para declarar la vulneración del art. 25.1 CE. No contentos con ello, y por tanto a mayor abundamiento, nuestros compañeros se extienden en vapulear a las sentencias recurridas por incidir en “nuestro sistema de relaciones entre poderes constitucional y estatutariamente previsto” [subapartado c) de ese mismo fundamento jurídico 4.4.1] y contener “quiebras lógicas y contradicciones” tan evidentes —se dice para su publicación en el “Boletín Oficial del Estado”— que “basta la lectura” de los pasajes convenientemente seleccionados y transcritos (de unas pocas líneas entre sentencias de más de mil páginas) para comprobarlas (FJ 4.4.3).</w:t>
      </w:r>
    </w:p>
    <w:p w14:paraId="73E296BF" w14:textId="77777777" w:rsidR="009D7677" w:rsidRDefault="009D7677" w:rsidP="009D7677">
      <w:pPr>
        <w:pStyle w:val="TextoNormal"/>
      </w:pPr>
    </w:p>
    <w:p w14:paraId="0F1B4A9E" w14:textId="77777777" w:rsidR="009D7677" w:rsidRDefault="009D7677" w:rsidP="009D7677">
      <w:pPr>
        <w:pStyle w:val="TextoNormal"/>
      </w:pPr>
      <w:r>
        <w:t>Esta severa e innecesaria crítica se hace a dos sentencias adoptadas por unanimidad de sus magistrados. Tanto los tres magistrados que dictaron la sentencia de instancia como los cinco que aprobaron la de casación coincidieron en calificar la conducta de la recurrente como prevaricación del art. 404 CP. Una interpretación apoyada además por el Ministerio Fiscal, que mantuvo la acusación ante la Audiencia Provincial y ante el Tribunal Supremo por este delito, y por los juristas del Tribunal de Cuentas del Estado, la Cámara de Cuentas de Andalucía, la Intervención General autonómica y los servicios jurídicos de de la Junta de Andalucía cuyas resoluciones e informes detallados sobre las ilegalidades cometidas se extractan oportunamente a lo largo de las sentencias recurridas, y que la sentencia de la mayoría niega de raíz.</w:t>
      </w:r>
    </w:p>
    <w:p w14:paraId="17A2C6CE" w14:textId="77777777" w:rsidR="009D7677" w:rsidRDefault="009D7677" w:rsidP="009D7677">
      <w:pPr>
        <w:pStyle w:val="TextoNormal"/>
      </w:pPr>
    </w:p>
    <w:p w14:paraId="20363887" w14:textId="77777777" w:rsidR="009D7677" w:rsidRDefault="009D7677" w:rsidP="009D7677">
      <w:pPr>
        <w:pStyle w:val="TextoNormal"/>
      </w:pPr>
      <w:r>
        <w:t xml:space="preserve">Más que cargar de razones a quienes las profieren, estas innecesarias descalificaciones evidencian la endeblez de sus argumentos. No es razonable suponer que todo el mundo se equivoca y que ocho magistrados veteranos (de ocho que intervinieron en el caso, y por tanto el cien por cien de ellos) desconocen tan elementales principios. Y efectivamente sucede que las sentencias recurridas no “fiscalizan” ni ejercen un “control negativo de constitucionalidad sobre el contenido de las leyes de presupuestos que les está vedado” [FJ 4.4.1 c)]. La sentencia parte de una premisa errónea: las sentencias no fiscalizan las leyes de presupuestos porque niegan, razonadamente y de un modo constitucionalmente correcto, que estas regulasen la forma de conceder las ayudas, como presupone la sentencia de la mayoría. Lo que las sentencias recurridas valoran son los trabajos preparatorios de esas leyes que recopilan la “documentación anexa” que se acompaña a los proyectos de ley de </w:t>
      </w:r>
      <w:r>
        <w:lastRenderedPageBreak/>
        <w:t>presupuestos que el Consejo de Gobierno de la Junta de Andalucía presenta al Parlamento, una actividad previa y separable que tiene naturaleza administrativa según la legislación vigente y la doctrina constitucional, en contra de lo que sostiene la mayoría de este tribunal.</w:t>
      </w:r>
    </w:p>
    <w:p w14:paraId="76D325C4" w14:textId="77777777" w:rsidR="009D7677" w:rsidRDefault="009D7677" w:rsidP="009D7677">
      <w:pPr>
        <w:pStyle w:val="TextoNormal"/>
      </w:pPr>
    </w:p>
    <w:p w14:paraId="0A49F343" w14:textId="77777777" w:rsidR="009D7677" w:rsidRDefault="009D7677" w:rsidP="009D7677">
      <w:pPr>
        <w:pStyle w:val="TextoNormal"/>
      </w:pPr>
      <w:r>
        <w:t xml:space="preserve">2. </w:t>
      </w:r>
      <w:r w:rsidRPr="009D7677">
        <w:rPr>
          <w:i/>
        </w:rPr>
        <w:t>La elaboración de anteproyectos y proyectos de ley puede ser considerada “asunto administrativo” por la jurisdicción penal</w:t>
      </w:r>
    </w:p>
    <w:p w14:paraId="4C6F3209" w14:textId="77777777" w:rsidR="009D7677" w:rsidRDefault="009D7677" w:rsidP="009D7677">
      <w:pPr>
        <w:pStyle w:val="TextoNormal"/>
      </w:pPr>
    </w:p>
    <w:p w14:paraId="4999F106" w14:textId="77777777" w:rsidR="009D7677" w:rsidRDefault="009D7677" w:rsidP="009D7677">
      <w:pPr>
        <w:pStyle w:val="TextoNormal"/>
      </w:pPr>
      <w:r>
        <w:t>La idea que informa gran parte de la sentencia es que la actividad previa a la remisión por el Gobierno de Andalucía a su Parlamento de los correspondientes proyectos de ley de presupuestos es una actividad que, como inherente a la iniciativa legislativa que le corresponde, se integra en esta y no puede ser objeto de control jurídico. Niega, en consecuencia, que toda la actividad tendente a la elaboración de los anteproyectos de ley que luego se convertirán en proyectos remitidos al Parlamento pueda considerarse integrante de un procedimiento administrativo y, por consiguiente, que las decisiones que se adoptan en ese ámbito puedan calificarse como resoluciones recaídas en un “asunto administrativo” que es el término que emplea el art. 404 del Código penal, que es el presupuesto de que parten la sentencias de la Audiencia Provincial y del Tribunal Supremo para fundar la condena por prevaricación de la recurrente.</w:t>
      </w:r>
    </w:p>
    <w:p w14:paraId="3BD2CDE8" w14:textId="77777777" w:rsidR="009D7677" w:rsidRDefault="009D7677" w:rsidP="009D7677">
      <w:pPr>
        <w:pStyle w:val="TextoNormal"/>
      </w:pPr>
    </w:p>
    <w:p w14:paraId="06B17FF3" w14:textId="77777777" w:rsidR="009D7677" w:rsidRDefault="009D7677" w:rsidP="009D7677">
      <w:pPr>
        <w:pStyle w:val="TextoNormal"/>
      </w:pPr>
      <w:r>
        <w:t>Las sentencias impugnadas no se refieren tanto a las leyes de presupuestos aprobadas por el Parlamento de Andalucía en los años 2001 a 2009 (2002, 2003 y 2004, por lo que se refiere a la recurrente) como a los trabajos preparatorios de esas leyes, y esa actividad prelegislativa tiene, a nuestro juicio, inequívoca naturaleza administrativa. Así se desprende también de lo expresado en los arts. 26 y siguientes de la Ley 50/1997, del Gobierno, de los arts. 127 y siguientes de la Ley 39/2015, del procedimiento administrativo común, y hasta de la STC 55/2018, de 24 de mayo, que resolvió el recurso de inconstitucionalidad interpuesto por el Gobierno de la Generalitat de Cataluña, entre otros, contra esos artículos de esta última ley.</w:t>
      </w:r>
    </w:p>
    <w:p w14:paraId="512D37C7" w14:textId="77777777" w:rsidR="009D7677" w:rsidRDefault="009D7677" w:rsidP="009D7677">
      <w:pPr>
        <w:pStyle w:val="TextoNormal"/>
      </w:pPr>
    </w:p>
    <w:p w14:paraId="57171BA2" w14:textId="77777777" w:rsidR="009D7677" w:rsidRDefault="009D7677" w:rsidP="009D7677">
      <w:pPr>
        <w:pStyle w:val="TextoNormal"/>
      </w:pPr>
      <w:r>
        <w:t>La Ley 50/1997, del Gobierno, contiene una extensa regulación de cómo deben tramitarse los anteproyectos de ley antes de su elevación al Consejo de Ministros y de la remisión por este del proyecto de ley subsiguiente al Parlamento. Es cierto que esta ley se refiere al Gobierno de la Nación y no al de las comunidades autónomas, pero sería absurdo sostener que estos trabajos preparatorios tienen una doble naturaleza, “administrativa” cuando los lleva a cabo la administración del Estado, y “no administrativa” o “legislativa” cuando se trata de las comunidades autónomas.</w:t>
      </w:r>
    </w:p>
    <w:p w14:paraId="13AFFA59" w14:textId="77777777" w:rsidR="009D7677" w:rsidRDefault="009D7677" w:rsidP="009D7677">
      <w:pPr>
        <w:pStyle w:val="TextoNormal"/>
      </w:pPr>
    </w:p>
    <w:p w14:paraId="106F1CB1" w14:textId="77777777" w:rsidR="009D7677" w:rsidRDefault="009D7677" w:rsidP="009D7677">
      <w:pPr>
        <w:pStyle w:val="TextoNormal"/>
      </w:pPr>
      <w:r>
        <w:t>La Ley 39/2015, del procedimiento administrativo común, sí se refiere a todas las administraciones públicas, también a las comunidades autónomas, remitiendo a lo que dispongan sus estatutos de autonomía en cuanto a los órganos a quien corresponde la iniciativa legislativa, pero estableciendo con la naturaleza de “bases del régimen jurídico de las administraciones públicas” y “procedimiento administrativo común” (art. 149.1.18 CE) algunas indicaciones generales de buena regulación.</w:t>
      </w:r>
    </w:p>
    <w:p w14:paraId="20EE30C1" w14:textId="77777777" w:rsidR="009D7677" w:rsidRDefault="009D7677" w:rsidP="009D7677">
      <w:pPr>
        <w:pStyle w:val="TextoNormal"/>
      </w:pPr>
    </w:p>
    <w:p w14:paraId="0B6FD415" w14:textId="77777777" w:rsidR="009D7677" w:rsidRDefault="009D7677" w:rsidP="009D7677">
      <w:pPr>
        <w:pStyle w:val="TextoNormal"/>
      </w:pPr>
      <w:r>
        <w:t>Estos preceptos fueron impugnados por el Gobierno de la Generalitat de Cataluña y la STC 55/2018 estimó el recurso, pero no porque esa actividad previa a la remisión de un proyecto de ley a las Cortes Generales o a las diferentes Asambleas Legislativas autonó</w:t>
      </w:r>
      <w:r>
        <w:lastRenderedPageBreak/>
        <w:t>micas —en aquel caso al Parlament de Cataluña— se integrara en la actividad legislativa, sino porque se trata de una actividad propia de las comunidades autónomas (“[o]rganización de sus instituciones de autogobierno”, art. 148.1.1 CE) y el Estatuto de Autonomía de Cataluña (arts. 150 y 159) reconocía a la Generalitat competencia para regular su propia organización y procedimiento, por más que en algunos casos esas directrices contenidas en el art. 129 de la Ley 39/2015 fueran coincidentes con las desarrolladas por la legislación autonómica.</w:t>
      </w:r>
    </w:p>
    <w:p w14:paraId="7EADD9BF" w14:textId="77777777" w:rsidR="009D7677" w:rsidRDefault="009D7677" w:rsidP="009D7677">
      <w:pPr>
        <w:pStyle w:val="TextoNormal"/>
      </w:pPr>
    </w:p>
    <w:p w14:paraId="3D9722C2" w14:textId="77777777" w:rsidR="009D7677" w:rsidRDefault="009D7677" w:rsidP="009D7677">
      <w:pPr>
        <w:pStyle w:val="TextoNormal"/>
      </w:pPr>
      <w:r>
        <w:t>Esa actividad que el Tribunal Supremo llama “prelegislativa” es, para la STC 55/2018, propia de un procedimiento administrativo, aunque sobre ella el legislador estatal no pueda intervenir por la vía del art. 149.1.18 CE. El Estado no puede regularla bajo el título del procedimiento administrativo “común” (art. 149.1.18 CE), pero es “procedimiento administrativo”. Por eso, tras la STC 55/2018 esas normas siguen siendo de aplicación al procedimiento prelegislativo estatal. Una cosa es que la jurisdicción contencioso-administrativa venga declarando que esa actividad no constituye un acto impugnable ante ella y otra que, como dice la sentencia de la que discrepo, esa actividad “no pued[a] ser objeto de control por ningún órgano judicial” [FJ 4.4.1 a)].</w:t>
      </w:r>
    </w:p>
    <w:p w14:paraId="01A091C6" w14:textId="77777777" w:rsidR="009D7677" w:rsidRDefault="009D7677" w:rsidP="009D7677">
      <w:pPr>
        <w:pStyle w:val="TextoNormal"/>
      </w:pPr>
    </w:p>
    <w:p w14:paraId="1AA8E9AB" w14:textId="77777777" w:rsidR="009D7677" w:rsidRDefault="009D7677" w:rsidP="009D7677">
      <w:pPr>
        <w:pStyle w:val="TextoNormal"/>
      </w:pPr>
      <w:r>
        <w:t>La mayoría de nuestro Tribunal cita de manera desviada el ATC 135/2004 (aludido en los fundamentos jurídicos 4.3.3 y 4.4.3). En ese ATC 135/2004 inadmitimos la impugnación del Gobierno de la Nación contra el proyecto de reforma del Estatuto de Autonomía del País Vasco aprobado por el Gobierno de esa comunidad (el llamado “Plan Ibarretxe”) y contra la resolución de la mesa del Parlamento autonómico admitiendo a trámite esa propuesta. El Gobierno alegaba que el contenido de la propuesta era abiertamente inconstitucional, y que por tanto la propuesta solo podía tramitarse como un procedimiento de reforma de la Constitución, y no como un procedimiento de reforma del Estatuto de Autonomía, como había hecho el Parlamento autonómico. Sostuvimos entonces, efectivamente, que ese proyecto de reforma no podía ser objeto de control por el Tribunal Constitucional porque su efecto era solamente abrir un procedimiento parlamentario cuyo resultado era incierto. De su tramitación podía resultar una norma o no resultar ninguna, y en el primer caso esa norma podía ser contraria a la Constitución o conforme con esta. Por lo tanto, no podía este tribunal anular la propuesta de reforma ni impedir su debate.</w:t>
      </w:r>
    </w:p>
    <w:p w14:paraId="2610A8B3" w14:textId="77777777" w:rsidR="009D7677" w:rsidRDefault="009D7677" w:rsidP="009D7677">
      <w:pPr>
        <w:pStyle w:val="TextoNormal"/>
      </w:pPr>
    </w:p>
    <w:p w14:paraId="04D68CF9" w14:textId="77777777" w:rsidR="009D7677" w:rsidRDefault="009D7677" w:rsidP="009D7677">
      <w:pPr>
        <w:pStyle w:val="TextoNormal"/>
      </w:pPr>
      <w:r>
        <w:t xml:space="preserve">Pero esta imposibilidad lógica de controlar vicios </w:t>
      </w:r>
      <w:r w:rsidRPr="009D7677">
        <w:rPr>
          <w:i/>
        </w:rPr>
        <w:t>hipotéticos</w:t>
      </w:r>
      <w:r>
        <w:t xml:space="preserve"> contenidos en proyectos de normas (o actos) que podrían suponer la anulación del producto final si no fueran corregidos nada tiene que ver con la posibilidad de examinar si en la elaboración de un anteproyecto de ley [que es un acto previo y diferente a la “decisión de enviar a las Cortes un proyecto de ley” como acto de gobierno conforme a la STC 45/1990 aludida en la sentencia: FJ 4.4.1 a)] la autoridad responsable ha incurrido </w:t>
      </w:r>
      <w:r w:rsidRPr="009D7677">
        <w:rPr>
          <w:i/>
        </w:rPr>
        <w:t>efectivamente</w:t>
      </w:r>
      <w:r>
        <w:t xml:space="preserve"> en un delito de prevaricación del art. 404 CP.</w:t>
      </w:r>
    </w:p>
    <w:p w14:paraId="0D3EF547" w14:textId="77777777" w:rsidR="009D7677" w:rsidRDefault="009D7677" w:rsidP="009D7677">
      <w:pPr>
        <w:pStyle w:val="TextoNormal"/>
      </w:pPr>
    </w:p>
    <w:p w14:paraId="68FC83BD" w14:textId="77777777" w:rsidR="009D7677" w:rsidRDefault="009D7677" w:rsidP="009D7677">
      <w:pPr>
        <w:pStyle w:val="TextoNormal"/>
      </w:pPr>
      <w:r>
        <w:t xml:space="preserve">En abstracto, de la simple alteración de la partida presupuestaria que antes cobijaba los créditos concedidos al Instituto de Fomento de Andalucía (IFA, posteriormente Agencia de Innovación y Desarrollo de Andalucía, IDEA), e incluso de la ampliación de sus competencias, no cabe colegir el designio último de los que promovieron tal cambio, que consistía en eludir los controles ordinarios existentes hasta entonces para el otorgamiento de subvenciones. No es en el ámbito de la inconstitucionalidad de leyes de presupuestos donde se mueven las sentencias impugnadas, sino en el de la creación de un marco jurídico </w:t>
      </w:r>
      <w:r>
        <w:lastRenderedPageBreak/>
        <w:t>aparentemente neutro a cuyo amparo pudiera actuarse disponiendo de ingentes cantidades de dinero sin control efectivo alguno.</w:t>
      </w:r>
    </w:p>
    <w:p w14:paraId="3284BE66" w14:textId="77777777" w:rsidR="009D7677" w:rsidRDefault="009D7677" w:rsidP="009D7677">
      <w:pPr>
        <w:pStyle w:val="TextoNormal"/>
      </w:pPr>
    </w:p>
    <w:p w14:paraId="7F39A38C" w14:textId="77777777" w:rsidR="009D7677" w:rsidRDefault="009D7677" w:rsidP="009D7677">
      <w:pPr>
        <w:pStyle w:val="TextoNormal"/>
      </w:pPr>
      <w:r>
        <w:t>En nuestra opinión, refrendada por la regulación establecida en la Ley 39/2015, del procedimiento administrativo común (y por la doctrina sentada en la STC 55/2018, antes citada), la actividad previa al ejercicio de la iniciativa legislativa es parte de un procedimiento administrativo. Por eso tenemos que discrepar del fundamento jurídico 4.4.1 de la sentencia en que se da a esta actividad la naturaleza de actos de gobierno excluidos de todo control por parte de cualquier órgano jurisdiccional, incluso de su posible enjuiciamiento por la jurisdicción penal. Esto equivale a consagrar un ámbito de impunidad que sí nos parece contrario a la Constitución.</w:t>
      </w:r>
    </w:p>
    <w:p w14:paraId="125DC940" w14:textId="77777777" w:rsidR="009D7677" w:rsidRDefault="009D7677" w:rsidP="009D7677">
      <w:pPr>
        <w:pStyle w:val="TextoNormal"/>
      </w:pPr>
    </w:p>
    <w:p w14:paraId="24901756" w14:textId="77777777" w:rsidR="009D7677" w:rsidRDefault="009D7677" w:rsidP="009D7677">
      <w:pPr>
        <w:pStyle w:val="TextoNormal"/>
      </w:pPr>
      <w:r>
        <w:t>Tal como nosotros lo vemos, los actos prelegislativos son susceptibles de control penal, y por consiguiente no parece que pueda considerarse “imprevisible”, como hace la mayoría, la interpretación efectuada por las sentencias recurridas. Una cosa es que sea la primera vez que un asunto como este se haya planteado ante los tribunales penales y otra muy distinta que la respuesta dada por ellos a esta cuestión novedosa sea “imprevisible”.</w:t>
      </w:r>
    </w:p>
    <w:p w14:paraId="021C4BC2" w14:textId="77777777" w:rsidR="009D7677" w:rsidRDefault="009D7677" w:rsidP="009D7677">
      <w:pPr>
        <w:pStyle w:val="TextoNormal"/>
      </w:pPr>
    </w:p>
    <w:p w14:paraId="5A9B6CAA" w14:textId="77777777" w:rsidR="009D7677" w:rsidRDefault="009D7677" w:rsidP="009D7677">
      <w:pPr>
        <w:pStyle w:val="TextoNormal"/>
      </w:pPr>
      <w:r>
        <w:t xml:space="preserve">3. </w:t>
      </w:r>
      <w:r w:rsidRPr="009D7677">
        <w:rPr>
          <w:i/>
        </w:rPr>
        <w:t>El incumplimiento de la normativa general sobre subvenciones puede considerarse “arbitraria” por la jurisdicción penal</w:t>
      </w:r>
    </w:p>
    <w:p w14:paraId="22674CC0" w14:textId="77777777" w:rsidR="009D7677" w:rsidRDefault="009D7677" w:rsidP="009D7677">
      <w:pPr>
        <w:pStyle w:val="TextoNormal"/>
      </w:pPr>
    </w:p>
    <w:p w14:paraId="20216C65" w14:textId="77777777" w:rsidR="009D7677" w:rsidRDefault="009D7677" w:rsidP="009D7677">
      <w:pPr>
        <w:pStyle w:val="TextoNormal"/>
      </w:pPr>
      <w:r>
        <w:t>En el apartado siguiente de este mismo fundamento jurídico [FJ 4.4.1, letra b)] se enjuicia la interpretación del concepto de resolución “arbitraria” previsto en el art. 404 CP.</w:t>
      </w:r>
    </w:p>
    <w:p w14:paraId="1104CC43" w14:textId="77777777" w:rsidR="009D7677" w:rsidRDefault="009D7677" w:rsidP="009D7677">
      <w:pPr>
        <w:pStyle w:val="TextoNormal"/>
      </w:pPr>
    </w:p>
    <w:p w14:paraId="0DD88088" w14:textId="77777777" w:rsidR="009D7677" w:rsidRDefault="009D7677" w:rsidP="009D7677">
      <w:pPr>
        <w:pStyle w:val="TextoNormal"/>
      </w:pPr>
      <w:r>
        <w:t>La definición de este concepto corresponde sin duda alguna a la Sala de lo Penal del Tribunal Supremo, y este explica que, según su jurisprudencia, se identifica la arbitrariedad como una ilegalidad patente, grosera, palmaria, clamorosa o flagrante, y señala como hechos relevantes de este caso los siguientes:</w:t>
      </w:r>
    </w:p>
    <w:p w14:paraId="12882C38" w14:textId="77777777" w:rsidR="009D7677" w:rsidRDefault="009D7677" w:rsidP="009D7677">
      <w:pPr>
        <w:pStyle w:val="TextoNormal"/>
      </w:pPr>
    </w:p>
    <w:p w14:paraId="7E527DB0" w14:textId="77777777" w:rsidR="009D7677" w:rsidRDefault="009D7677" w:rsidP="009D7677">
      <w:pPr>
        <w:pStyle w:val="TextoNormal"/>
      </w:pPr>
      <w:r>
        <w:t>(i) que se cambió el sistema de financiación de las “ayudas sociolaborales” sin razón aparente;</w:t>
      </w:r>
    </w:p>
    <w:p w14:paraId="28935D11" w14:textId="77777777" w:rsidR="009D7677" w:rsidRDefault="009D7677" w:rsidP="009D7677">
      <w:pPr>
        <w:pStyle w:val="TextoNormal"/>
      </w:pPr>
    </w:p>
    <w:p w14:paraId="60C30F2C" w14:textId="77777777" w:rsidR="009D7677" w:rsidRDefault="009D7677" w:rsidP="009D7677">
      <w:pPr>
        <w:pStyle w:val="TextoNormal"/>
      </w:pPr>
      <w:r>
        <w:t>(ii) que se hizo y mantuvo ese cambio a pesar de las múltiples advertencias de la Intervención y los servicios jurídicos sobre las ilegalidades que se estaban produciendo;</w:t>
      </w:r>
    </w:p>
    <w:p w14:paraId="01E5B130" w14:textId="77777777" w:rsidR="009D7677" w:rsidRDefault="009D7677" w:rsidP="009D7677">
      <w:pPr>
        <w:pStyle w:val="TextoNormal"/>
      </w:pPr>
    </w:p>
    <w:p w14:paraId="05CAE9BD" w14:textId="77777777" w:rsidR="009D7677" w:rsidRDefault="009D7677" w:rsidP="009D7677">
      <w:pPr>
        <w:pStyle w:val="TextoNormal"/>
      </w:pPr>
      <w:r>
        <w:t>(iii) que la consecuencia real del cambio fue la falta de control y absoluta ilegalidad de la concesión de subvenciones.</w:t>
      </w:r>
    </w:p>
    <w:p w14:paraId="3F2AE6CC" w14:textId="77777777" w:rsidR="009D7677" w:rsidRDefault="009D7677" w:rsidP="009D7677">
      <w:pPr>
        <w:pStyle w:val="TextoNormal"/>
      </w:pPr>
    </w:p>
    <w:p w14:paraId="7C78AA35" w14:textId="77777777" w:rsidR="009D7677" w:rsidRDefault="009D7677" w:rsidP="009D7677">
      <w:pPr>
        <w:pStyle w:val="TextoNormal"/>
      </w:pPr>
      <w:r>
        <w:t>Por todo ello concluye: “A partir de estos hechos, dada la incontestable ilegalidad de las acciones llevadas a cabo y en atención a la finalidad directamente perseguida por los autores no cabe otra conclusión que la de afirmar la arbitrariedad e injusticia de las resoluciones objeto de enjuiciamiento” (sentencia del Tribunal Supremo, fundamento de Derecho 30, pág. 296).</w:t>
      </w:r>
    </w:p>
    <w:p w14:paraId="3523D137" w14:textId="77777777" w:rsidR="009D7677" w:rsidRDefault="009D7677" w:rsidP="009D7677">
      <w:pPr>
        <w:pStyle w:val="TextoNormal"/>
      </w:pPr>
    </w:p>
    <w:p w14:paraId="2875862D" w14:textId="77777777" w:rsidR="009D7677" w:rsidRDefault="009D7677" w:rsidP="009D7677">
      <w:pPr>
        <w:pStyle w:val="TextoNormal"/>
      </w:pPr>
      <w:r>
        <w:t>Ninguna de estas razones se analiza en la sentencia de la mayoría, sino que vuelve a reiterarse la idea de la aprobación parlamentaria como sanadora de todos los posibles vicios denunciados y la imprevisibilidad de la interpretación llevada a cabo por la Audiencia Provincial de Sevilla y por el Tribunal Supremo.</w:t>
      </w:r>
    </w:p>
    <w:p w14:paraId="5BA5F4BB" w14:textId="77777777" w:rsidR="009D7677" w:rsidRDefault="009D7677" w:rsidP="009D7677">
      <w:pPr>
        <w:pStyle w:val="TextoNormal"/>
      </w:pPr>
    </w:p>
    <w:p w14:paraId="2D0CDE9C" w14:textId="77777777" w:rsidR="009D7677" w:rsidRDefault="009D7677" w:rsidP="009D7677">
      <w:pPr>
        <w:pStyle w:val="TextoNormal"/>
      </w:pPr>
      <w:r>
        <w:t>La razón de la condena a la recurrente por parte de estos tribunales es clara: como con arreglo a la Ley del Parlamento de Andalucía 5/1983, de hacienda pública de Andalucía, coincidente con la Ley 38/2003, general de subvenciones del Estado, las subvenciones y ayudas debían otorgarse con arreglo a unos principios de publicidad, libre concurrencia y objetividad, y el incumplimiento de estos principios en la concesión de ayudas estaba produciendo muchos reparos por parte de la Intervención, la recurrente y otros funcionarios idearon como solución para eludir esos controles incluir una nueva partida en los presupuestos titulada de manera indeterminada como “relaciones laborales” y disfrazada como transferencia de crédito al IFA (posteriormente IDEA) para sus propios fines, eludiendo de este modo los controles exigibles con arreglo a una legalidad que no se deroga.</w:t>
      </w:r>
    </w:p>
    <w:p w14:paraId="573F4646" w14:textId="77777777" w:rsidR="009D7677" w:rsidRDefault="009D7677" w:rsidP="009D7677">
      <w:pPr>
        <w:pStyle w:val="TextoNormal"/>
      </w:pPr>
    </w:p>
    <w:p w14:paraId="099C0E69" w14:textId="77777777" w:rsidR="009D7677" w:rsidRDefault="009D7677" w:rsidP="009D7677">
      <w:pPr>
        <w:pStyle w:val="TextoNormal"/>
      </w:pPr>
      <w:r>
        <w:t>Efectivamente, las leyes de prepuestos hubieran podido derogar esa legalidad, o desplazarla para la concesión de esas ayudas, como hizo luego el Decreto-ley de la Junta de Andalucía 4/2012 en la llamada “tercera etapa” de los ERE [sentencia del Tribunal Supremo, fundamento de Derecho 1, “Resumen de los hechos probados”, pág. 111, reproducido en el antecedente 2 a) de nuestra sentencia]. El art. 1 de este Decreto-ley estableció expresamente que “[a] estas ayudas sociolaborales no les es de aplicación la normativa general sobre subvenciones públicas”, lo que evidencia que el criterio seguido en años anteriores de no seguir los trámites impuestos por esa “normativa general sobre subvenciones públicas” no se ajustaba a la legalidad vigente.</w:t>
      </w:r>
    </w:p>
    <w:p w14:paraId="63C3F46B" w14:textId="77777777" w:rsidR="009D7677" w:rsidRDefault="009D7677" w:rsidP="009D7677">
      <w:pPr>
        <w:pStyle w:val="TextoNormal"/>
      </w:pPr>
    </w:p>
    <w:p w14:paraId="31D2A0A1" w14:textId="77777777" w:rsidR="009D7677" w:rsidRDefault="009D7677" w:rsidP="009D7677">
      <w:pPr>
        <w:pStyle w:val="TextoNormal"/>
      </w:pPr>
      <w:r>
        <w:t>En esta situación no nos parece que la respuesta penal de la actuación de la recurrente pueda calificarse de imprevisible.</w:t>
      </w:r>
    </w:p>
    <w:p w14:paraId="709D1748" w14:textId="77777777" w:rsidR="009D7677" w:rsidRDefault="009D7677" w:rsidP="009D7677">
      <w:pPr>
        <w:pStyle w:val="TextoNormal"/>
      </w:pPr>
    </w:p>
    <w:p w14:paraId="09F8C191" w14:textId="77777777" w:rsidR="009D7677" w:rsidRDefault="009D7677" w:rsidP="009D7677">
      <w:pPr>
        <w:pStyle w:val="TextoNormal"/>
      </w:pPr>
      <w:r>
        <w:t xml:space="preserve">4. </w:t>
      </w:r>
      <w:r w:rsidRPr="009D7677">
        <w:rPr>
          <w:i/>
        </w:rPr>
        <w:t>Interpretación de las leyes de presupuestos efectuada por las sentencias recurridas</w:t>
      </w:r>
    </w:p>
    <w:p w14:paraId="0EC8F0EB" w14:textId="77777777" w:rsidR="009D7677" w:rsidRDefault="009D7677" w:rsidP="009D7677">
      <w:pPr>
        <w:pStyle w:val="TextoNormal"/>
      </w:pPr>
    </w:p>
    <w:p w14:paraId="20E82BA2" w14:textId="77777777" w:rsidR="009D7677" w:rsidRDefault="009D7677" w:rsidP="009D7677">
      <w:pPr>
        <w:pStyle w:val="TextoNormal"/>
      </w:pPr>
      <w:r>
        <w:t>La mayoría reitera una y otra vez la idea de que las leyes de presupuestos regularon el modo de concesión de estas ayudas. Por eso diserta ampliamente sobre las “Características de nuestra democracia constitucional y parlamentaria” (FJ 4.3), la naturaleza de la ley de presupuestos como “verdadera ley” (FJ 4.3.2), la posibilidad de modificar las leyes vigentes (FJ 4.3.4) y el monopolio del control de constitucionalidad de las leyes por el Tribunal Constitucional (FJ 4.3.1), para terminar concluyendo que las sentencias recurridas han “priva[do] de toda relevancia a la aprobación parlamentaria de la ley” de presupuestos “que tiene la misma naturaleza normativa que el resto de las leyes” y es por tanto un “instrumento idóneo para efectuar esta modificación” legislativa [FJ 4.4.1 b)].</w:t>
      </w:r>
    </w:p>
    <w:p w14:paraId="4762408D" w14:textId="77777777" w:rsidR="009D7677" w:rsidRDefault="009D7677" w:rsidP="009D7677">
      <w:pPr>
        <w:pStyle w:val="TextoNormal"/>
      </w:pPr>
    </w:p>
    <w:p w14:paraId="02EA68B0" w14:textId="77777777" w:rsidR="009D7677" w:rsidRDefault="009D7677" w:rsidP="009D7677">
      <w:pPr>
        <w:pStyle w:val="TextoNormal"/>
      </w:pPr>
      <w:r>
        <w:t>Si así hubiera sucedido, podría compartirse lo razonado por la mayoría. Pero esta parte de una premisa incorrecta. Las sentencias recurridas interpretan de otro modo las leyes de presupuestos.</w:t>
      </w:r>
    </w:p>
    <w:p w14:paraId="33ACBD70" w14:textId="77777777" w:rsidR="009D7677" w:rsidRDefault="009D7677" w:rsidP="009D7677">
      <w:pPr>
        <w:pStyle w:val="TextoNormal"/>
      </w:pPr>
    </w:p>
    <w:p w14:paraId="0D3F5C66" w14:textId="77777777" w:rsidR="009D7677" w:rsidRDefault="009D7677" w:rsidP="009D7677">
      <w:pPr>
        <w:pStyle w:val="TextoNormal"/>
      </w:pPr>
      <w:r>
        <w:t xml:space="preserve">La (supuesta) modificación legislativa se habría producido con la calificación de las ayudas sociolaborales como “transferencia de financiación”, según reconoce la mayoría en el fundamento jurídico 4.4.1 b) antes citado. Una modificación que se habría producido en las “memorias presupuestarias, informes económico-financieros y fichas del programa 31L” cuyo contenido extracta la sentencia del Tribunal Supremo (fundamento de Derecho 11, págs. 193-196), transcrita en este punto por el fundamento jurídico 2.1 c) de nuestra </w:t>
      </w:r>
      <w:r>
        <w:lastRenderedPageBreak/>
        <w:t>sentencia (“9. Conclusiones del análisis de la documentación anexa al proyecto de presupuesto anual de la Junta de Andalucía […]”).</w:t>
      </w:r>
    </w:p>
    <w:p w14:paraId="6D92B8BF" w14:textId="77777777" w:rsidR="009D7677" w:rsidRDefault="009D7677" w:rsidP="009D7677">
      <w:pPr>
        <w:pStyle w:val="TextoNormal"/>
      </w:pPr>
    </w:p>
    <w:p w14:paraId="493729FB" w14:textId="77777777" w:rsidR="009D7677" w:rsidRDefault="009D7677" w:rsidP="009D7677">
      <w:pPr>
        <w:pStyle w:val="TextoNormal"/>
      </w:pPr>
      <w:r>
        <w:t>Pues bien, tanto la Audiencia Provincial de Sevilla como el Tribunal Supremo niegan razonadamente que esa calificación tuviera eficacia normativa y vinculante y habilitara la exclusión de los controles propios de las subvenciones.</w:t>
      </w:r>
    </w:p>
    <w:p w14:paraId="478FB91E" w14:textId="77777777" w:rsidR="009D7677" w:rsidRDefault="009D7677" w:rsidP="009D7677">
      <w:pPr>
        <w:pStyle w:val="TextoNormal"/>
      </w:pPr>
    </w:p>
    <w:p w14:paraId="446E1FAA" w14:textId="77777777" w:rsidR="009D7677" w:rsidRDefault="009D7677" w:rsidP="009D7677">
      <w:pPr>
        <w:pStyle w:val="TextoNormal"/>
      </w:pPr>
      <w:r>
        <w:t>La sentencia de la Audiencia Provincial de Sevilla lo hace en su fundamento de Derecho 15 (aludido en la sentencia del Tribunal Supremo, fundamento de Derecho 23.1, pág. 256, última línea), que cita y reproduce el art. 129.3 del Reglamento del Parlamento de Andalucía, que dice así:</w:t>
      </w:r>
    </w:p>
    <w:p w14:paraId="5178F4B8" w14:textId="77777777" w:rsidR="009D7677" w:rsidRDefault="009D7677" w:rsidP="009D7677">
      <w:pPr>
        <w:pStyle w:val="TextoNormal"/>
      </w:pPr>
    </w:p>
    <w:p w14:paraId="486461F9" w14:textId="77777777" w:rsidR="009D7677" w:rsidRDefault="009D7677" w:rsidP="009D7677">
      <w:pPr>
        <w:pStyle w:val="TextoNormal"/>
      </w:pPr>
      <w:r>
        <w:t xml:space="preserve">“El debate del presupuesto se referirá al articulado y al estado de autorización de gastos. </w:t>
      </w:r>
      <w:r w:rsidRPr="009D7677">
        <w:rPr>
          <w:i/>
        </w:rPr>
        <w:t>Todo ello sin perjuicio del estudio de otros documentos que deban acompañarlo”</w:t>
      </w:r>
      <w:r>
        <w:t>.</w:t>
      </w:r>
    </w:p>
    <w:p w14:paraId="3D87FC7A" w14:textId="77777777" w:rsidR="009D7677" w:rsidRDefault="009D7677" w:rsidP="009D7677">
      <w:pPr>
        <w:pStyle w:val="TextoNormal"/>
      </w:pPr>
    </w:p>
    <w:p w14:paraId="49D553E2" w14:textId="77777777" w:rsidR="009D7677" w:rsidRDefault="009D7677" w:rsidP="009D7677">
      <w:pPr>
        <w:pStyle w:val="TextoNormal"/>
      </w:pPr>
      <w:r>
        <w:t>Un precepto que le lleva concluir lo siguiente:</w:t>
      </w:r>
    </w:p>
    <w:p w14:paraId="4C0D6CC2" w14:textId="77777777" w:rsidR="009D7677" w:rsidRDefault="009D7677" w:rsidP="009D7677">
      <w:pPr>
        <w:pStyle w:val="TextoNormal"/>
      </w:pPr>
    </w:p>
    <w:p w14:paraId="3D10C525" w14:textId="77777777" w:rsidR="009D7677" w:rsidRDefault="009D7677" w:rsidP="009D7677">
      <w:pPr>
        <w:pStyle w:val="TextoNormal"/>
      </w:pPr>
      <w:r>
        <w:t>“[L]os únicos documentos objeto de debate, y por tanto de aprobación parlamentaria, son el texto articulado de la ley y los estados de gastos de cada uno de los entes públicos de la comunidad autónoma. Sin que el resto de documentos que, como documentación anexa, acompañan al proyecto de presupuesto, sean objeto de aprobación por el Parlamento</w:t>
      </w:r>
      <w:r w:rsidRPr="009D7677">
        <w:rPr>
          <w:i/>
        </w:rPr>
        <w:t>, ni, en consecuencia, adquieran fuerza de le</w:t>
      </w:r>
      <w:r>
        <w:t>y”.</w:t>
      </w:r>
    </w:p>
    <w:p w14:paraId="7C14E62B" w14:textId="77777777" w:rsidR="009D7677" w:rsidRDefault="009D7677" w:rsidP="009D7677">
      <w:pPr>
        <w:pStyle w:val="TextoNormal"/>
      </w:pPr>
    </w:p>
    <w:p w14:paraId="6965F954" w14:textId="77777777" w:rsidR="009D7677" w:rsidRDefault="009D7677" w:rsidP="009D7677">
      <w:pPr>
        <w:pStyle w:val="TextoNormal"/>
      </w:pPr>
      <w:r>
        <w:t>Y el Tribunal Supremo es igualmente concluyente: “ninguna de las leyes de presupuestos aprobadas modificó el régimen jurídico aplicable a las subvenciones” (fundamento de Derecho 23.3, pág. 262); las leyes de presupuestos “habilitaron unos créditos presupuestarios” pero no aprobaron “la forma de ejecución del gasto” ni su “concesión y pago […] eludiendo los requisitos y controles establecidos en la normativa de subvenciones” (fundamento de Derecho 11.2, págs. 189-190).</w:t>
      </w:r>
    </w:p>
    <w:p w14:paraId="0E671CFF" w14:textId="77777777" w:rsidR="009D7677" w:rsidRDefault="009D7677" w:rsidP="009D7677">
      <w:pPr>
        <w:pStyle w:val="TextoNormal"/>
      </w:pPr>
    </w:p>
    <w:p w14:paraId="335F71C8" w14:textId="77777777" w:rsidR="009D7677" w:rsidRDefault="009D7677" w:rsidP="009D7677">
      <w:pPr>
        <w:pStyle w:val="TextoNormal"/>
      </w:pPr>
      <w:r>
        <w:t>En lugar de detenerse en estos razonamientos, como corresponde a un recurso de amparo que debe examinar la razonabilidad de la interpretación efectuada por las sentencias recurridas, la mayoría cambia los términos del debate, hace supuesto de la cuestión y afirma que los tribunales penales han ejercido “materialmente un control negativo de constitucionalidad sobre el contenido de las leyes de presupuestos que les está vedado” [FJ 4.4.1 c)], dando por sentado lo que esos tribunales niegan: el valor de ley de la “documentación anexa” a los proyectos de ley de presupuestos.</w:t>
      </w:r>
    </w:p>
    <w:p w14:paraId="6DB5D9A5" w14:textId="77777777" w:rsidR="009D7677" w:rsidRDefault="009D7677" w:rsidP="009D7677">
      <w:pPr>
        <w:pStyle w:val="TextoNormal"/>
      </w:pPr>
    </w:p>
    <w:p w14:paraId="6D8B7367" w14:textId="77777777" w:rsidR="009D7677" w:rsidRDefault="009D7677" w:rsidP="009D7677">
      <w:pPr>
        <w:pStyle w:val="TextoNormal"/>
      </w:pPr>
      <w:r>
        <w:t>Lo que era objeto de discusión ante la jurisdicción penal, y esta negó motivadamente, no era “el carácter formal o material” de la ley de presupuestos, cuestión hace tiempo “superada” como reconoce la mayoría citando la STC 72/1992, de 13 de mayo, sino si la “documentación anexa” a la ley de presupuestos, donde se contiene ese cambio de calificación de créditos, supuso efectivamente una modificación, derogación o desplazamiento de la normativa general sobre subvenciones.</w:t>
      </w:r>
    </w:p>
    <w:p w14:paraId="70F27C86" w14:textId="77777777" w:rsidR="009D7677" w:rsidRDefault="009D7677" w:rsidP="009D7677">
      <w:pPr>
        <w:pStyle w:val="TextoNormal"/>
      </w:pPr>
    </w:p>
    <w:p w14:paraId="619A5905" w14:textId="77777777" w:rsidR="009D7677" w:rsidRDefault="009D7677" w:rsidP="009D7677">
      <w:pPr>
        <w:pStyle w:val="TextoNormal"/>
      </w:pPr>
      <w:r>
        <w:t xml:space="preserve">Por el sencillo expediente de omitir los razonamientos de las sentencias objeto de amparo, la mayoría asume apodícticamente que sí han producido ese cambio legislativo. Pero la lectura del análisis de la “documentación anexa” al proyecto de ley de presupuestos </w:t>
      </w:r>
      <w:r>
        <w:lastRenderedPageBreak/>
        <w:t>ofrecido por las págs. 193-196 de la sentencia del Tribunal Supremo, transcritas en el fundamento jurídico 2.1 c) de nuestra sentencia, no permite sostener esta conclusión. Antes al contrario: estas “fichas”, “memorias” y “documentación anexa al proyecto de presupuesto” llaman varias veces “subvenciones” a las “ayudas sociolaborales” del programa 31L, de modo que difícilmente puede sostenerse que esa “documentación anexa” autorizara la elusión del régimen de estas.</w:t>
      </w:r>
    </w:p>
    <w:p w14:paraId="71696C6C" w14:textId="77777777" w:rsidR="009D7677" w:rsidRDefault="009D7677" w:rsidP="009D7677">
      <w:pPr>
        <w:pStyle w:val="TextoNormal"/>
      </w:pPr>
    </w:p>
    <w:p w14:paraId="30474933" w14:textId="77777777" w:rsidR="009D7677" w:rsidRDefault="009D7677" w:rsidP="009D7677">
      <w:pPr>
        <w:pStyle w:val="TextoNormal"/>
      </w:pPr>
      <w:r>
        <w:t>Además, la conclusión de las sentencias recurridas sobre la ausencia de valor legal de esa “documentación anexa” a las leyes de presupuestos no vulnera el derecho a la legalidad sancionadora del art. 25.1 CE, pues viene corroborada por importantes y evidentes argumentos constitucionales.</w:t>
      </w:r>
    </w:p>
    <w:p w14:paraId="786C495E" w14:textId="77777777" w:rsidR="009D7677" w:rsidRDefault="009D7677" w:rsidP="009D7677">
      <w:pPr>
        <w:pStyle w:val="TextoNormal"/>
      </w:pPr>
    </w:p>
    <w:p w14:paraId="41E2FEC1" w14:textId="77777777" w:rsidR="009D7677" w:rsidRDefault="009D7677" w:rsidP="009D7677">
      <w:pPr>
        <w:pStyle w:val="TextoNormal"/>
      </w:pPr>
      <w:r>
        <w:t>En primer lugar, esa “documentación anexa” no está publicada, ni se publica conjuntamente con las leyes de presupuestos, lo que ya de por sí impide otorgarle valor normativo alguno por aplicación de la máxima del art. 9.3 CE: “La Constitución garantiza […] la publicidad de las normas”. Si no hay publicidad, no puede haber “norma” vinculante, ni mucho menos “verdadera ley”, como asume la mayoría.</w:t>
      </w:r>
    </w:p>
    <w:p w14:paraId="0077F483" w14:textId="77777777" w:rsidR="009D7677" w:rsidRDefault="009D7677" w:rsidP="009D7677">
      <w:pPr>
        <w:pStyle w:val="TextoNormal"/>
      </w:pPr>
    </w:p>
    <w:p w14:paraId="1CBDD057" w14:textId="77777777" w:rsidR="009D7677" w:rsidRDefault="009D7677" w:rsidP="009D7677">
      <w:pPr>
        <w:pStyle w:val="TextoNormal"/>
      </w:pPr>
      <w:r>
        <w:t xml:space="preserve">En segundo lugar, la diferenciación conceptual entre el anteproyecto o proyecto de ley de presupuestos, por una parte, y su “documentación anexa”, por otra, viene corroborada por otras normas. No solo el art. 129.3 del Reglamento del Parlamento de Andalucía, que cita la sentencia de la Audiencia Provincial de Sevilla en el pasaje antes transcrito (idéntico además a los arts. 134.2 del Reglamento del Congreso de los Diputados y 150.1 del Reglamento del Senado), sino también los arts. 34.5 y 35 de la Ley del Parlamento de Andalucía 5/1983, de hacienda pública de Andalucía (vigente en la fecha de los hechos) y el art. 37 de la Ley 47/2003, general presupuestaria del Estado (LGP), igualmente citados en la sentencia de la Audiencia Provincial de Sevilla (fundamento de Derecho 15). Por ejemplo, según este último precepto (art. 37 LGP), al “proyecto de Ley de Presupuestos Generales del Estado, </w:t>
      </w:r>
      <w:r w:rsidRPr="009D7677">
        <w:rPr>
          <w:i/>
        </w:rPr>
        <w:t>integrado por el articulado con sus anexos y los estados de ingresos y de gastos</w:t>
      </w:r>
      <w:r>
        <w:t>”, “se acompañará” cierta “documentación complementaria”, que incluye, entre otras, “[</w:t>
      </w:r>
      <w:r w:rsidRPr="009D7677">
        <w:rPr>
          <w:i/>
        </w:rPr>
        <w:t>l]as memorias</w:t>
      </w:r>
      <w:r>
        <w:t xml:space="preserve"> descriptivas de los programas de gasto y sus objetivos anuales”. De la misma manera, el art. 35 de la Ley 5/1983 establecía que “[e]l proyecto de ley de presupuestos </w:t>
      </w:r>
      <w:r w:rsidRPr="009D7677">
        <w:rPr>
          <w:i/>
        </w:rPr>
        <w:t>y la documentación anexa</w:t>
      </w:r>
      <w:r>
        <w:t xml:space="preserve"> se remitirán al Parlamento” al menos dos meses antes de la expiración del anterior. Todo proyecto de ley del Gobierno va acompañado de cierta documentación (cfr. art. 88 CE y art. 26 de la Ley 50/1997, del Gobierno), pero no por ello esa documentación adquiere el rango y fuerza de la ley una vez aprobada esta.</w:t>
      </w:r>
    </w:p>
    <w:p w14:paraId="29776BA6" w14:textId="77777777" w:rsidR="009D7677" w:rsidRDefault="009D7677" w:rsidP="009D7677">
      <w:pPr>
        <w:pStyle w:val="TextoNormal"/>
      </w:pPr>
    </w:p>
    <w:p w14:paraId="0FA2F921" w14:textId="77777777" w:rsidR="009D7677" w:rsidRDefault="009D7677" w:rsidP="009D7677">
      <w:pPr>
        <w:pStyle w:val="TextoNormal"/>
      </w:pPr>
      <w:r>
        <w:t>En tercer lugar, nuestra doctrina también ha reconocido la naturaleza no normativa de las memorias y fichas presupuestarias (no publicadas): “las memorias de los presupuestos […] en modo alguno pudieron adquirir vigencia con la entrada en vigor de las leyes de presupuestos impugnadas; en realidad, son algo externo o ajeno a las mismas, meras previsiones hipotéticas” (STC 63/1986, de 21 de mayo, FJ 8).</w:t>
      </w:r>
    </w:p>
    <w:p w14:paraId="708DA4DB" w14:textId="77777777" w:rsidR="009D7677" w:rsidRDefault="009D7677" w:rsidP="009D7677">
      <w:pPr>
        <w:pStyle w:val="TextoNormal"/>
      </w:pPr>
    </w:p>
    <w:p w14:paraId="3E177ACE" w14:textId="77777777" w:rsidR="009D7677" w:rsidRDefault="009D7677" w:rsidP="009D7677">
      <w:pPr>
        <w:pStyle w:val="TextoNormal"/>
      </w:pPr>
      <w:r>
        <w:t>Finalmente, el ya citado art. 1 del Decreto-ley 4/2012 excluyó expresamente la aplicación de la normativa general de subvenciones, lo que evidencia, como ya hemos dicho, que las leyes de presupuestos anteriores no habían excluido la aplicación de esa normativa general.</w:t>
      </w:r>
    </w:p>
    <w:p w14:paraId="1482CD62" w14:textId="77777777" w:rsidR="009D7677" w:rsidRDefault="009D7677" w:rsidP="009D7677">
      <w:pPr>
        <w:pStyle w:val="TextoNormal"/>
      </w:pPr>
    </w:p>
    <w:p w14:paraId="73949151" w14:textId="77777777" w:rsidR="009D7677" w:rsidRDefault="009D7677" w:rsidP="009D7677">
      <w:pPr>
        <w:pStyle w:val="TextoNormal"/>
      </w:pPr>
      <w:r>
        <w:lastRenderedPageBreak/>
        <w:t>En cuanto a las modificaciones presupuestarias producidas en los años 2000, 2001 y 2002, por las mismas razones que entendemos que las leyes de presupuestos que incluyeron desde el año 2002 esa célebre partida 31L no sanaron el vicio que arrastraban en cuanto a su oculta finalidad de eludir los controles previos de la intervención, tampoco las modificaciones presupuestarias de 2002 pueden escudarse en la ley de presupuestos.</w:t>
      </w:r>
    </w:p>
    <w:p w14:paraId="48C7694B" w14:textId="77777777" w:rsidR="009D7677" w:rsidRDefault="009D7677" w:rsidP="009D7677">
      <w:pPr>
        <w:pStyle w:val="TextoNormal"/>
      </w:pPr>
    </w:p>
    <w:p w14:paraId="76B9CC3A" w14:textId="77777777" w:rsidR="009D7677" w:rsidRDefault="009D7677" w:rsidP="009D7677">
      <w:pPr>
        <w:pStyle w:val="TextoNormal"/>
      </w:pPr>
      <w:r>
        <w:t>Las leyes de presupuestos habilitaban unos créditos para determinadas ayudas, pero no prejuzgaban el modo en que esas ayudas debían finalmente concederse. Dicho de otro modo, del enunciado de la partida presupuestaria 31L no cabe inferir en modo alguno que el Parlamento de Andalucía, al aprobar la correspondiente ley de presupuestos, excluyera la aplicación de la normativa general en materia de subvenciones. Resulta, por tanto, infundada la afirmación de la sentencia de que disentimos según la cual el Tribunal Supremo ha interpretado las leyes de presupuestos de Andalucía para los ejercicios 2002, 2003 y 2004 de modo imprevisible.</w:t>
      </w:r>
    </w:p>
    <w:p w14:paraId="3EFE67BB" w14:textId="77777777" w:rsidR="009D7677" w:rsidRDefault="009D7677" w:rsidP="009D7677">
      <w:pPr>
        <w:pStyle w:val="TextoNormal"/>
      </w:pPr>
    </w:p>
    <w:p w14:paraId="2D17E662" w14:textId="77777777" w:rsidR="009D7677" w:rsidRDefault="009D7677" w:rsidP="009D7677">
      <w:pPr>
        <w:pStyle w:val="TextoNormal"/>
      </w:pPr>
      <w:r>
        <w:t>5</w:t>
      </w:r>
      <w:r w:rsidRPr="009D7677">
        <w:rPr>
          <w:i/>
        </w:rPr>
        <w:t>. Conclusi</w:t>
      </w:r>
      <w:r>
        <w:t>ón</w:t>
      </w:r>
    </w:p>
    <w:p w14:paraId="31427902" w14:textId="77777777" w:rsidR="009D7677" w:rsidRDefault="009D7677" w:rsidP="009D7677">
      <w:pPr>
        <w:pStyle w:val="TextoNormal"/>
      </w:pPr>
    </w:p>
    <w:p w14:paraId="088007EF" w14:textId="77777777" w:rsidR="009D7677" w:rsidRDefault="009D7677" w:rsidP="009D7677">
      <w:pPr>
        <w:pStyle w:val="TextoNormal"/>
      </w:pPr>
      <w:r>
        <w:t>En resumen, consideramos que las sentencias recurridas en amparo han efectuado una interpretación razonada de los elementos del delito de prevaricación y su aplicación al caso que supera el canon de control referido a la prohibición de interpretaciones “ilógicas” o “arbitrarias” que impone el art. 25.1 CE, conforme a la doctrina consolidada de este tribunal. Un canon que han superado anteriormente otras interpretaciones razonadas por los tribunales penales pero que pueden resultar más o menos controvertidas, como por ejemplo condenar por prevaricación a un particular a pesar de que el delito solo pueden cometerlo los “funcionarios” según la letra del Código penal (SSTC 47/1995, de 6 de febrero, FJ 6, y 41/1998, de 24 de febrero, FFJJ 5 y 6), o la condena a un alcalde, también por prevaricación, por actos que incluyen algunos que la jurisdicción contencioso-administrativa considera conformes con el Derecho administrativo (ATC 324/2003, de 20 de octubre, FJ 6).</w:t>
      </w:r>
    </w:p>
    <w:p w14:paraId="1C39F50A" w14:textId="77777777" w:rsidR="009D7677" w:rsidRDefault="009D7677" w:rsidP="009D7677">
      <w:pPr>
        <w:pStyle w:val="TextoNormal"/>
      </w:pPr>
    </w:p>
    <w:p w14:paraId="065C5AC7" w14:textId="77777777" w:rsidR="009D7677" w:rsidRDefault="009D7677" w:rsidP="009D7677">
      <w:pPr>
        <w:pStyle w:val="TextoNormal"/>
      </w:pPr>
      <w:r>
        <w:t>Aplicando este mismo rasero de la razonabilidad, entendemos que la interpretación del delito de prevaricación efectuada en este caso por los tribunales competentes para ello, que son la Audiencia Provincial de Sevilla y especialmente el Tribunal Supremo como órgano jurisdiccional superior en la materia (art. 123.1 CE), no es imprevisible ni, por consiguiente, contraria al derecho fundamental a la legalidad penal que garantiza el art. 25.1 CE.</w:t>
      </w:r>
    </w:p>
    <w:p w14:paraId="1A528922" w14:textId="77777777" w:rsidR="009D7677" w:rsidRDefault="009D7677" w:rsidP="009D7677">
      <w:pPr>
        <w:pStyle w:val="TextoNormal"/>
      </w:pPr>
    </w:p>
    <w:p w14:paraId="65BAC68E" w14:textId="77777777" w:rsidR="009D7677" w:rsidRDefault="009D7677" w:rsidP="009D7677">
      <w:pPr>
        <w:pStyle w:val="TextoNormal"/>
      </w:pPr>
      <w:r>
        <w:t>Y en este sentido emitimos nuestro voto particular.</w:t>
      </w:r>
    </w:p>
    <w:p w14:paraId="0A4FDFD1" w14:textId="77777777" w:rsidR="009D7677" w:rsidRDefault="009D7677" w:rsidP="009D7677">
      <w:pPr>
        <w:pStyle w:val="TextoNormal"/>
      </w:pPr>
    </w:p>
    <w:p w14:paraId="52F103D4" w14:textId="76AF4C60" w:rsidR="009D7677" w:rsidRDefault="009D7677" w:rsidP="009D7677">
      <w:pPr>
        <w:pStyle w:val="TextoNormal"/>
      </w:pPr>
      <w:r>
        <w:t>Madrid, a veinte de junio de dos mil veinticuatro.</w:t>
      </w:r>
    </w:p>
    <w:p w14:paraId="62537327" w14:textId="77777777" w:rsidR="009D7677" w:rsidRDefault="009D7677" w:rsidP="009D7677">
      <w:pPr>
        <w:pStyle w:val="TextoNormal"/>
      </w:pPr>
    </w:p>
    <w:p w14:paraId="0C2CE61D" w14:textId="77777777" w:rsidR="009D7677" w:rsidRDefault="009D7677" w:rsidP="009D7677">
      <w:pPr>
        <w:pStyle w:val="TextoNormalNegritaCentrado"/>
        <w:keepNext/>
      </w:pPr>
      <w:r>
        <w:t>Voto particular que formula el magistrado don César Tolosa Tribiño a la sentencia dictada en el recurso de amparo núm. 6971-2022</w:t>
      </w:r>
    </w:p>
    <w:p w14:paraId="13662979" w14:textId="01D60FE8" w:rsidR="009D7677" w:rsidRDefault="009D7677" w:rsidP="009D7677">
      <w:pPr>
        <w:pStyle w:val="TextoNormalNegritaCentrado"/>
        <w:keepNext/>
      </w:pPr>
    </w:p>
    <w:p w14:paraId="0E238F2E" w14:textId="77777777" w:rsidR="009D7677" w:rsidRDefault="009D7677" w:rsidP="009D7677">
      <w:pPr>
        <w:pStyle w:val="TextoNormal"/>
      </w:pPr>
      <w:r>
        <w:t>En el ejercicio de la facultad que me confiere el artículo 90.2 de la Ley Orgánica del Tribunal Constitucional, formulo el presente voto particular. Considero que el recurso de amparo debió ser inicialmente inadmitido —como ya expuse en el voto particular al ATC 284/2023, de 5 de junio— y una vez admitido desestimado, por las razones que se exponen a continuación.</w:t>
      </w:r>
    </w:p>
    <w:p w14:paraId="67572A0D" w14:textId="77777777" w:rsidR="009D7677" w:rsidRDefault="009D7677" w:rsidP="009D7677">
      <w:pPr>
        <w:pStyle w:val="TextoNormal"/>
      </w:pPr>
    </w:p>
    <w:p w14:paraId="7B07B940" w14:textId="77777777" w:rsidR="009D7677" w:rsidRDefault="009D7677" w:rsidP="009D7677">
      <w:pPr>
        <w:pStyle w:val="TextoNormal"/>
      </w:pPr>
      <w:r>
        <w:t xml:space="preserve">1. </w:t>
      </w:r>
      <w:r w:rsidRPr="009D7677">
        <w:rPr>
          <w:i/>
        </w:rPr>
        <w:t>Consideraciones previas</w:t>
      </w:r>
    </w:p>
    <w:p w14:paraId="1DD8AD1E" w14:textId="77777777" w:rsidR="009D7677" w:rsidRDefault="009D7677" w:rsidP="009D7677">
      <w:pPr>
        <w:pStyle w:val="TextoNormal"/>
      </w:pPr>
    </w:p>
    <w:p w14:paraId="6BCB96CF" w14:textId="77777777" w:rsidR="009D7677" w:rsidRDefault="009D7677" w:rsidP="009D7677">
      <w:pPr>
        <w:pStyle w:val="TextoNormal"/>
      </w:pPr>
      <w:r>
        <w:t>Antes de exponer las razones por las que entiendo que la sentencia de la que manifiesto mi discrepancia ha devastado los límites de la jurisdicción constitucional, al irrumpir en el ámbito reservado a la jurisdicción ordinaria y suplantar la función del Tribunal Supremo como máximo intérprete de la ley (art. 123 CE); y que como consecuencia de ello ha ocasionado un daño institucional difícilmente reparable, al anular las sentencias dictadas en el asunto de corrupción más importante de la historia reciente de España y rectificar por primera vez desde que el Tribunal Constitucional entró en funcionamiento el criterio del Tribunal Supremo en la interpretación de un elemento recogido en la descripción de la conducta típica, debo efectuar dos consideraciones previas.</w:t>
      </w:r>
    </w:p>
    <w:p w14:paraId="5D6ED82A" w14:textId="77777777" w:rsidR="009D7677" w:rsidRDefault="009D7677" w:rsidP="009D7677">
      <w:pPr>
        <w:pStyle w:val="TextoNormal"/>
      </w:pPr>
    </w:p>
    <w:p w14:paraId="22FF8E60" w14:textId="77777777" w:rsidR="009D7677" w:rsidRDefault="009D7677" w:rsidP="009D7677">
      <w:pPr>
        <w:pStyle w:val="TextoNormal"/>
      </w:pPr>
      <w:r>
        <w:t xml:space="preserve">1.1. </w:t>
      </w:r>
      <w:r w:rsidRPr="009D7677">
        <w:rPr>
          <w:i/>
        </w:rPr>
        <w:t>Omisión de razonamiento del Tribunal Supremo y principio de unidad del Ministerio Fiscal</w:t>
      </w:r>
    </w:p>
    <w:p w14:paraId="14C57552" w14:textId="77777777" w:rsidR="009D7677" w:rsidRDefault="009D7677" w:rsidP="009D7677">
      <w:pPr>
        <w:pStyle w:val="TextoNormal"/>
      </w:pPr>
    </w:p>
    <w:p w14:paraId="49A0A92C" w14:textId="77777777" w:rsidR="009D7677" w:rsidRDefault="009D7677" w:rsidP="009D7677">
      <w:pPr>
        <w:pStyle w:val="TextoNormal"/>
      </w:pPr>
      <w:r>
        <w:t>En primer lugar, causa tanto desconcierto y desazón, que en las veintiocho páginas de los antecedentes de hecho de la sentencia no se dedique ni una sola línea al contenido del razonamiento de las resoluciones impugnadas —luego cuestionado— en el que se califica la conducta de la recurrente de delito de prevaricación administrativa, como inquietud y preocupación, que en un procedimiento penal de tanta relevancia perezca uno de los principios vertebradores del Estatuto Orgánico del Ministerio Fiscal: su “unidad de actuación” (art. 2.1 EOMF) pues el Ministerio Fiscal ahora refuta como contraria al principio de legalidad penal (art. 25.1 CE) una condena impuesta y confirmada a instancia del propio Ministerio Fiscal.</w:t>
      </w:r>
    </w:p>
    <w:p w14:paraId="59C36D9A" w14:textId="77777777" w:rsidR="009D7677" w:rsidRDefault="009D7677" w:rsidP="009D7677">
      <w:pPr>
        <w:pStyle w:val="TextoNormal"/>
      </w:pPr>
    </w:p>
    <w:p w14:paraId="0AAD6E52" w14:textId="77777777" w:rsidR="009D7677" w:rsidRDefault="009D7677" w:rsidP="009D7677">
      <w:pPr>
        <w:pStyle w:val="TextoNormal"/>
      </w:pPr>
      <w:r>
        <w:t xml:space="preserve">1.2. </w:t>
      </w:r>
      <w:r w:rsidRPr="009D7677">
        <w:rPr>
          <w:i/>
        </w:rPr>
        <w:t>Contenido de la sentencia del Tribunal Supremo como respuesta al planteamiento de la recurrente en el recurso de casación</w:t>
      </w:r>
    </w:p>
    <w:p w14:paraId="25AA59EE" w14:textId="77777777" w:rsidR="009D7677" w:rsidRDefault="009D7677" w:rsidP="009D7677">
      <w:pPr>
        <w:pStyle w:val="TextoNormal"/>
      </w:pPr>
    </w:p>
    <w:p w14:paraId="7F7711B7" w14:textId="77777777" w:rsidR="009D7677" w:rsidRDefault="009D7677" w:rsidP="009D7677">
      <w:pPr>
        <w:pStyle w:val="TextoNormal"/>
      </w:pPr>
      <w:r>
        <w:t>En segundo lugar, el deber de respeto institucional a la plausible labor desempeñada por la Sala de lo Penal del Tribunal Supremo y la exigencia de poner en el primer plano —que es donde merecen estar— los argumentos que llevan al Tribunal Supremo a calificar la conducta de la recurrente de delito de prevaricación administrativa, obligan a suplir la injustificada omisión de la sentencia y a sintetizar las sólidas razones que el Tribunal Supremo le dedica en el apartado VI de los fundamentos de Derecho, a lo largo de noventa páginas, con la rúbrica “Juicio de tipicidad del delito de prevaricación administrativa”, páginas 220 a 310. Esta labor la abordaré a continuación efectuando la debida síntesis de los quince fundamentos de Derecho que contiene el referido apartado de la STS 749/2022, de 13 de septiembre (desde el 17 al 31) y cuya lectura evidencia por sí sola la razón del radical desencuentro con la sentencia firmada por los otros siete magistrados y el incomprensible silencio que sobre su contenido se guarda.</w:t>
      </w:r>
    </w:p>
    <w:p w14:paraId="21E51766" w14:textId="77777777" w:rsidR="009D7677" w:rsidRDefault="009D7677" w:rsidP="009D7677">
      <w:pPr>
        <w:pStyle w:val="TextoNormal"/>
      </w:pPr>
    </w:p>
    <w:p w14:paraId="7FE93D09" w14:textId="77777777" w:rsidR="009D7677" w:rsidRDefault="009D7677" w:rsidP="009D7677">
      <w:pPr>
        <w:pStyle w:val="TextoNormal"/>
      </w:pPr>
      <w:r>
        <w:t>a) Con el título “Preliminar”, la STS 749/2022 se refiere al pronunciamiento de la sentencia de la Audiencia Provincial y efectúa una primera precisión: el juicio histórico de la sentencia no recoge hechos aislados sino una actuación muy compleja, integrada por un conjunto de decisiones, adoptadas por distintas autoridades administrativas, en un periodo de tiempo muy prolongado, pero dirigidas todas ellas a conseguir un único propósito, el otorgamiento de subvenciones excepcionales incumpliendo de forma absoluta los requisi</w:t>
      </w:r>
      <w:r>
        <w:lastRenderedPageBreak/>
        <w:t>tos establecidos en la normativa sobre subvenciones, singularmente la ausencia de bases de convocatoria, la falta de publicidad y la falta de fiscalización previa, dando lugar a la arbitrariedad en la dotación de fondos y en su aplicación concreta. Este conjunto de decisiones hizo posible la distribución ilegal de subvenciones por importe de cerca de setecientos millones de euros y durante un dilatado periodo de diez años. Para que fuera posible semejante ilegalidad, con afectación de una cantidad ingente de fondos públicos, fue necesario adoptar a lo largo del tiempo distintas resoluciones, sin las cuales ni se habrían concedido las ayudas en los términos en que lo fueron, ni se habrían sometido a aprobación parlamentaria unos proyectos de ley que encubrían el mecanismo fraudulento utilizado para evitar los controles establecidos por el legislador.</w:t>
      </w:r>
    </w:p>
    <w:p w14:paraId="35E2D49E" w14:textId="77777777" w:rsidR="009D7677" w:rsidRDefault="009D7677" w:rsidP="009D7677">
      <w:pPr>
        <w:pStyle w:val="TextoNormal"/>
      </w:pPr>
    </w:p>
    <w:p w14:paraId="66DDF702" w14:textId="77777777" w:rsidR="009D7677" w:rsidRDefault="009D7677" w:rsidP="009D7677">
      <w:pPr>
        <w:pStyle w:val="TextoNormal"/>
      </w:pPr>
      <w:r>
        <w:t>b) La STS 749/2022 precisa las resoluciones que deben ser analizadas para llevar a cabo el juicio de subsunción normativa y de entre ellas, a los efectos que ahora interesan, distingue lo siguiente: la elaboración y aprobación de los presupuestos de los ejercicios 2002 a 2009, incluyendo el programa 31L en sustitución del 22E, introduciendo indebidamente la aplicación presupuestaria “Transferencias al IFA en materia de relaciones laborales” y habilitando anualmente mediante transferencias de financiación unas cuantías muy relevantes que se precisan en el relato fáctico.</w:t>
      </w:r>
    </w:p>
    <w:p w14:paraId="4F77261D" w14:textId="77777777" w:rsidR="009D7677" w:rsidRDefault="009D7677" w:rsidP="009D7677">
      <w:pPr>
        <w:pStyle w:val="TextoNormal"/>
      </w:pPr>
    </w:p>
    <w:p w14:paraId="0FDC7AA4" w14:textId="77777777" w:rsidR="009D7677" w:rsidRDefault="009D7677" w:rsidP="009D7677">
      <w:pPr>
        <w:pStyle w:val="TextoNormal"/>
      </w:pPr>
      <w:r>
        <w:t>c) El Tribunal Supremo plasma en la sentencia la doctrina sobre el delito de prevaricación administrativa, arrancando de unas consideraciones generales: (i) El delito de prevaricación administrativa del art. 404 CP tutela el correcto ejercicio de la función pública de acuerdo con los parámetros constitucionales que orientan su actuación, que son el servicio prioritario de los intereses generales, el sometimiento a la Ley y al Derecho y la objetividad e imparcialidad en el cumplimiento de esos fines. (ii) La sanción penal de la prevaricación tiende a garantizar el debido respeto a la imparcialidad y objetividad en el ámbito de la función pública y el principio de legalidad como fundamento básico de un Estado social y democrático de Derecho, frente a ilegalidades severas y dolosas, respetando coetáneamente el principio de intervención mínima del ordenamiento penal.</w:t>
      </w:r>
    </w:p>
    <w:p w14:paraId="3F7429B7" w14:textId="77777777" w:rsidR="009D7677" w:rsidRDefault="009D7677" w:rsidP="009D7677">
      <w:pPr>
        <w:pStyle w:val="TextoNormal"/>
      </w:pPr>
    </w:p>
    <w:p w14:paraId="6B74B7DE" w14:textId="77777777" w:rsidR="009D7677" w:rsidRDefault="009D7677" w:rsidP="009D7677">
      <w:pPr>
        <w:pStyle w:val="TextoNormal"/>
      </w:pPr>
      <w:r>
        <w:t>d) Expone cuáles son, conforme a consolidada jurisprudencia, los presupuestos típicos del delito de prevaricación: (i) Una resolución dictada por autoridad o funcionario en asunto administrativo. (ii) Que sea contraria a Derecho, es decir, ilegal. La contradicción con el Derecho o ilegalidad puede manifestarse en la falta absoluta de competencia, en la falta de respeto a las normas esenciales del procedimiento o en el propio contenido sustancial de la resolución por contravenir la legislación vigente o por constituir un supuesto de desviación de poder, esto es, contraria a la Justicia, la razón y las leyes, dictada solo por la voluntad o el capricho. (iii) Que ocasione un resultado materialmente injusto. (iv) Con conocimiento de actuar en contra del Derecho. (v) Es norma penal en blanco que exige la remisión y estudio a la legislación administrativa de base. (vi) Es un delito en que la actividad coincide con el resultado, no es preciso que la resolución injusta se ejecute y se materialice en actos concretos que determinen un perjuicio tangible para un ciudadano determinado o un ámbito específico de la administración. El delito produce un daño inmaterial constituido por la quiebra que en los ciudadanos va a tener la credibilidad de las instituciones y la confianza que ellos deben merecerse.</w:t>
      </w:r>
    </w:p>
    <w:p w14:paraId="6BD00025" w14:textId="77777777" w:rsidR="009D7677" w:rsidRDefault="009D7677" w:rsidP="009D7677">
      <w:pPr>
        <w:pStyle w:val="TextoNormal"/>
      </w:pPr>
    </w:p>
    <w:p w14:paraId="68C0B878" w14:textId="77777777" w:rsidR="009D7677" w:rsidRDefault="009D7677" w:rsidP="009D7677">
      <w:pPr>
        <w:pStyle w:val="TextoNormal"/>
      </w:pPr>
      <w:r>
        <w:t>e) Examina el procedimiento prelegislativo desde el prisma del elemento del tipo “asunto administrativo”.</w:t>
      </w:r>
    </w:p>
    <w:p w14:paraId="5D3BD1C3" w14:textId="77777777" w:rsidR="009D7677" w:rsidRDefault="009D7677" w:rsidP="009D7677">
      <w:pPr>
        <w:pStyle w:val="TextoNormal"/>
      </w:pPr>
    </w:p>
    <w:p w14:paraId="5454074B" w14:textId="77777777" w:rsidR="009D7677" w:rsidRDefault="009D7677" w:rsidP="009D7677">
      <w:pPr>
        <w:pStyle w:val="TextoNormal"/>
      </w:pPr>
      <w:r>
        <w:t>Indica que el art. 404 CP describe el elemento objetivo del delito de prevaricación administrativa como el dictado de “una resolución arbitraria en un asunto administrativo”. Es relevante destacar, atendida la argumentación que desarrolla la sentencia que resuelve el recurso de amparo, que la sentencia del Tribunal Supremo señala expresamente que “[n]o ha habido controversia alguna en relación con la naturaleza administrativa de las resoluciones por las que se concedieron las ayudas”. Indica que lo que se sostiene en muchos recursos es que las resoluciones dictadas en los procesos de elaboración de los proyectos de ley de presupuestos o de las modificaciones presupuestarias no se dictaron en un “asunto administrativo”. Esto es, que las decisiones adoptadas en esos procesos de elaboración normativa no serían más que resoluciones de mero trámite, sin valor autónomo y sin transcendencia frente a terceros, producidas dentro del proceso legislativo de elaboración de las leyes, que integraría tanto la fase de tramitación gubernativa, manifestación de la iniciativa legislativa que corresponde al Gobierno, como la fase propiamente legislativa de tramitación parlamentaria.</w:t>
      </w:r>
    </w:p>
    <w:p w14:paraId="7DE07D5A" w14:textId="77777777" w:rsidR="009D7677" w:rsidRDefault="009D7677" w:rsidP="009D7677">
      <w:pPr>
        <w:pStyle w:val="TextoNormal"/>
      </w:pPr>
    </w:p>
    <w:p w14:paraId="5355584B" w14:textId="77777777" w:rsidR="009D7677" w:rsidRDefault="009D7677" w:rsidP="009D7677">
      <w:pPr>
        <w:pStyle w:val="TextoNormal"/>
      </w:pPr>
      <w:r>
        <w:t>f) Destierra como idea que cualquier acto vinculado con la actividad parlamentaria es inmune a la jurisdicción penal.</w:t>
      </w:r>
    </w:p>
    <w:p w14:paraId="1F2605CE" w14:textId="77777777" w:rsidR="009D7677" w:rsidRDefault="009D7677" w:rsidP="009D7677">
      <w:pPr>
        <w:pStyle w:val="TextoNormal"/>
      </w:pPr>
    </w:p>
    <w:p w14:paraId="1FB93848" w14:textId="77777777" w:rsidR="009D7677" w:rsidRDefault="009D7677" w:rsidP="009D7677">
      <w:pPr>
        <w:pStyle w:val="TextoNormal"/>
      </w:pPr>
      <w:r>
        <w:t>El sentido de la autonomía parlamentaria es más limitado. En apoyo de dicha afirmación, recuerda la STC 58/2022, de 7 de abril, dictada con motivo de la condena a determinados miembros de la mesa de un Parlamento autonómico por desobedecer unas órdenes del Tribunal Constitucional, en que se declara que “las admoniciones y los apercibimientos de eventuales responsabilidades que se dirigen a los miembros de la mesa del Parlamento de Cataluña en modo alguno atentan contra la autonomía parlamentaria y los derechos de los diputados del Parlamento de Cataluña. Son la consecuencia obligada de la sumisión a la Constitución de todos los poderes públicos (art. 9.1 CE), incluidas las Cámaras legislativas. […] Por otra parte, como reiteradamente venimos declarando, el debido respeto a las resoluciones del Tribunal Constitucional y, en definitiva, a la Constitución, que incumbe a todos los ciudadanos y cualificadamente a los poderes públicos, veda que las mesas de las Cámaras admitan a trámite una iniciativa que de forma manifiesta incumpla el deber de acatar lo decidido por este tribunal (por todas, SSTC 46/2018, de 26 de abril, FFJJ 5 y 6; 47/2018, de 26 de abril, FFJJ 5 y 6; 115/2019, de 16 de octubre, FFJJ 6 y 7 [EDJ 2019/714327], y 128/2019, de 11 de noviembre”.</w:t>
      </w:r>
    </w:p>
    <w:p w14:paraId="5EB59160" w14:textId="77777777" w:rsidR="009D7677" w:rsidRDefault="009D7677" w:rsidP="009D7677">
      <w:pPr>
        <w:pStyle w:val="TextoNormal"/>
      </w:pPr>
    </w:p>
    <w:p w14:paraId="383E0AF5" w14:textId="77777777" w:rsidR="009D7677" w:rsidRDefault="009D7677" w:rsidP="009D7677">
      <w:pPr>
        <w:pStyle w:val="TextoNormal"/>
      </w:pPr>
      <w:r>
        <w:t>El Tribunal Supremo ahonda en el argumento, con cita de precedentes, de que, aun tratándose de parlamentarios, su inmunidad no alcanza a la desobediencia de un mandato judicial, distinguiendo a tal fin la actividad puramente parlamentaria y las actuaciones de la mesa del Parlamento, que son actos gubernativos. No dar cumplimiento a un mandato judicial en ejecución de lo resuelto en una sentencia firme es, en definitiva, no aplicar la ley. Y es meridiano que los actos parlamentarios no pueden nunca dirigirse al incumplimiento de la ley.</w:t>
      </w:r>
    </w:p>
    <w:p w14:paraId="448C4FCB" w14:textId="77777777" w:rsidR="009D7677" w:rsidRDefault="009D7677" w:rsidP="009D7677">
      <w:pPr>
        <w:pStyle w:val="TextoNormal"/>
      </w:pPr>
    </w:p>
    <w:p w14:paraId="73918F7C" w14:textId="77777777" w:rsidR="009D7677" w:rsidRDefault="009D7677" w:rsidP="009D7677">
      <w:pPr>
        <w:pStyle w:val="TextoNormal"/>
      </w:pPr>
      <w:r>
        <w:t>En referencia a la desobediencia de miembros de la mesa de un Parlamento, indica que la decisión es un acto de instrumentalidad parlamentaria, por su contenido y finalidad, pero no un acto de producción legislativa, ni de control del Gobierno. En definitiva, la histórica restricción del privilegio no puede ahora ser ampliada, para dar cobertura a un acto interno que ni afecta a la soberanía de la Cámara ni altera su configuración.</w:t>
      </w:r>
    </w:p>
    <w:p w14:paraId="0B0E0B0D" w14:textId="77777777" w:rsidR="009D7677" w:rsidRDefault="009D7677" w:rsidP="009D7677">
      <w:pPr>
        <w:pStyle w:val="TextoNormal"/>
      </w:pPr>
    </w:p>
    <w:p w14:paraId="0B224E21" w14:textId="77777777" w:rsidR="009D7677" w:rsidRDefault="009D7677" w:rsidP="009D7677">
      <w:pPr>
        <w:pStyle w:val="TextoNormal"/>
      </w:pPr>
      <w:r>
        <w:t>Concluye que “[s]i no puede predicarse la naturaleza estrictamente parlamentaria de un acto gubernativo de la mesa de una cámara legislativa, difícilmente puede incluirse en esa categoría al trámite prelegislativo de un proyecto de ley por tres razones: No lo realiza el Parlamento sino el Gobierno, no tiene naturaleza política en lo que atañe al procedimiento de tramitación y a las reglas a que ha de ajustarse su elaboración y está sujeto al Derecho administrativo”.</w:t>
      </w:r>
    </w:p>
    <w:p w14:paraId="519F2082" w14:textId="77777777" w:rsidR="009D7677" w:rsidRDefault="009D7677" w:rsidP="009D7677">
      <w:pPr>
        <w:pStyle w:val="TextoNormal"/>
      </w:pPr>
    </w:p>
    <w:p w14:paraId="4A347F98" w14:textId="77777777" w:rsidR="009D7677" w:rsidRDefault="009D7677" w:rsidP="009D7677">
      <w:pPr>
        <w:pStyle w:val="TextoNormal"/>
      </w:pPr>
      <w:r>
        <w:t>g) Sostiene que, según ha razonado, el proceso prelegislativo de elaboración de un proyecto de ley no es un acto estrictamente parlamentario, pero tampoco forma parte en sentido estricto del proceso legislativo de elaboración de una ley.</w:t>
      </w:r>
    </w:p>
    <w:p w14:paraId="050CBA35" w14:textId="77777777" w:rsidR="009D7677" w:rsidRDefault="009D7677" w:rsidP="009D7677">
      <w:pPr>
        <w:pStyle w:val="TextoNormal"/>
      </w:pPr>
    </w:p>
    <w:p w14:paraId="3704E124" w14:textId="77777777" w:rsidR="009D7677" w:rsidRDefault="009D7677" w:rsidP="009D7677">
      <w:pPr>
        <w:pStyle w:val="TextoNormal"/>
      </w:pPr>
      <w:r>
        <w:t>El título V del Reglamento del Parlamento de Andalucía (artículo 108 y siguientes), al igual que ocurre con el Reglamento del Congreso de los Diputados (artículos 109 y siguientes), establece como momento inicial del proceso legislativo la recepción de un proyecto de ley, junto con los documentos de necesario acompañamiento (exposición de motivos, memoria, antecedentes, etc.). Los trámites anteriores no forman parte de ese proceso en sentido estricto.</w:t>
      </w:r>
    </w:p>
    <w:p w14:paraId="5340C92B" w14:textId="77777777" w:rsidR="009D7677" w:rsidRDefault="009D7677" w:rsidP="009D7677">
      <w:pPr>
        <w:pStyle w:val="TextoNormal"/>
      </w:pPr>
    </w:p>
    <w:p w14:paraId="7B2BC681" w14:textId="77777777" w:rsidR="009D7677" w:rsidRDefault="009D7677" w:rsidP="009D7677">
      <w:pPr>
        <w:pStyle w:val="TextoNormal"/>
      </w:pPr>
      <w:r>
        <w:t>Indica —y por su extraordinario rigor conviene reproducirlo literalmente— que:</w:t>
      </w:r>
    </w:p>
    <w:p w14:paraId="036BAFC1" w14:textId="77777777" w:rsidR="009D7677" w:rsidRDefault="009D7677" w:rsidP="009D7677">
      <w:pPr>
        <w:pStyle w:val="TextoNormal"/>
      </w:pPr>
    </w:p>
    <w:p w14:paraId="4076B1E1" w14:textId="77777777" w:rsidR="009D7677" w:rsidRDefault="009D7677" w:rsidP="009D7677">
      <w:pPr>
        <w:pStyle w:val="TextoNormal"/>
      </w:pPr>
      <w:r>
        <w:t>“[T]ratándose de una ley tan trascendental como la del presupuesto anual, con un componente técnico muy relevante, el proceso de elaboración estaba previsto en la Ley 5/1983, de 19 de julio, general de la hacienda pública de Andalucía, y en la posterior ley, aprobada por Decreto Legislativo 1/2010, de 2 de marzo. En ambas normas se regulan con cierto detalle los trámites que habían de seguirse en la elaboración del proyecto de ley de presupuestos hasta la aprobación por el Consejo de Gobierno, siendo objeto, además, de un desarrollo reglamentario singular y detallado. Además, dada la especial naturaleza de toda ley presupuestaria, su contenido material en ciertos aspectos viene predefinido por otras leyes. Por lo tanto, estamos ante procesos regulados por el Derecho administrativo.</w:t>
      </w:r>
    </w:p>
    <w:p w14:paraId="3182E4AA" w14:textId="77777777" w:rsidR="009D7677" w:rsidRDefault="009D7677" w:rsidP="009D7677">
      <w:pPr>
        <w:pStyle w:val="TextoNormal"/>
      </w:pPr>
    </w:p>
    <w:p w14:paraId="380E9DBE" w14:textId="77777777" w:rsidR="009D7677" w:rsidRDefault="009D7677" w:rsidP="009D7677">
      <w:pPr>
        <w:pStyle w:val="TextoNormal"/>
      </w:pPr>
      <w:r>
        <w:t>A la vista de lo anterior surgen de inmediato las siguientes preguntas: ¿Las normas a que ha de ajustarse el procedimiento prelegislativo tienen algún valor? ¿Tiene sentido que la infracción de esas normas esté protegida por la inmunidad propia de los actos parlamentarios?</w:t>
      </w:r>
    </w:p>
    <w:p w14:paraId="086385A1" w14:textId="77777777" w:rsidR="009D7677" w:rsidRDefault="009D7677" w:rsidP="009D7677">
      <w:pPr>
        <w:pStyle w:val="TextoNormal"/>
      </w:pPr>
    </w:p>
    <w:p w14:paraId="57B08C89" w14:textId="77777777" w:rsidR="009D7677" w:rsidRDefault="009D7677" w:rsidP="009D7677">
      <w:pPr>
        <w:pStyle w:val="TextoNormal"/>
      </w:pPr>
      <w:r>
        <w:t>Es cierto que todo Parlamento goza de absoluta libertad, dentro de los límites constitucionales, para legislar, y también lo es que a todo Gobierno se le atribuye la iniciativa legislativa, que es uno de los mecanismos a través de los cuales ejerce su función de dirección política. Pero esta función viene precedida de un procedimiento previo que tiende a garantizar la calidad y legalidad del proyecto de ley. El Gobierno, en este caso el Consejo de Gobierno de la Junta de Andalucía, cuenta con información, tiempo, medios técnicos y órganos de control jurídico para hacer posible que el texto del proyecto de ley que se eleva finalmente al Parlamento se ajuste a la legalidad y cumpla con las directrices políticas y económicas establecidas por el propio Gobierno.</w:t>
      </w:r>
    </w:p>
    <w:p w14:paraId="1042743C" w14:textId="77777777" w:rsidR="009D7677" w:rsidRDefault="009D7677" w:rsidP="009D7677">
      <w:pPr>
        <w:pStyle w:val="TextoNormal"/>
      </w:pPr>
    </w:p>
    <w:p w14:paraId="402AA45A" w14:textId="77777777" w:rsidR="009D7677" w:rsidRDefault="009D7677" w:rsidP="009D7677">
      <w:pPr>
        <w:pStyle w:val="TextoNormal"/>
      </w:pPr>
      <w:r>
        <w:t>La diferente naturaleza del proceso prelegislativo y legislativo nos resulta patente si se atiende a las distintas normas que lo regulan y al momento en el que las normas constitu</w:t>
      </w:r>
      <w:r>
        <w:lastRenderedPageBreak/>
        <w:t>cionales o el Estatuto de Autonomía de Andalucía fijan el inicio del procedimiento legislativo […].</w:t>
      </w:r>
    </w:p>
    <w:p w14:paraId="159514FA" w14:textId="77777777" w:rsidR="009D7677" w:rsidRDefault="009D7677" w:rsidP="009D7677">
      <w:pPr>
        <w:pStyle w:val="TextoNormal"/>
      </w:pPr>
    </w:p>
    <w:p w14:paraId="27CBC329" w14:textId="77777777" w:rsidR="009D7677" w:rsidRDefault="009D7677" w:rsidP="009D7677">
      <w:pPr>
        <w:pStyle w:val="TextoNormal"/>
      </w:pPr>
      <w:r>
        <w:t>Los pronunciamientos que excluyen del control contencioso-administrativo a los proyectos de ley avalados por el Tribunal Constitucional y el Tribunal Supremo tienen como objetivo determinar el ámbito competencial de la jurisdicción contencioso-administrativa. Carece de sentido que un proyecto de ley pueda ser impugnado de forma paralela a la ley que posteriormente lo apruebe y sería contrario a la facultad de iniciativa legislativa que corresponde a todo Gobierno y, sobre todo, al ámbito soberano del Parlamento, que la jurisdicción contencioso-administrativa pudiera limitar la facultad del Parlamento de examinar, enmendar y aprobar un proyecto de ley.</w:t>
      </w:r>
    </w:p>
    <w:p w14:paraId="6B8E77CC" w14:textId="77777777" w:rsidR="009D7677" w:rsidRDefault="009D7677" w:rsidP="009D7677">
      <w:pPr>
        <w:pStyle w:val="TextoNormal"/>
      </w:pPr>
    </w:p>
    <w:p w14:paraId="3FF2DA27" w14:textId="77777777" w:rsidR="009D7677" w:rsidRDefault="009D7677" w:rsidP="009D7677">
      <w:pPr>
        <w:pStyle w:val="TextoNormal"/>
      </w:pPr>
      <w:r>
        <w:t>Pero la cuestión tiene otro enfoque cuando se trata de determinar qué deba entenderse por asunto administrativo a efectos penales. El Gobierno y la administración no pueden escudarse en la inmunidad parlamentaria para incumplir de forma flagrante y palmaria el procedimiento legalmente establecido en la elaboración del proyecto de ley para perseguir fines ilícitos, cuando es el propio Parlamento el que, a través de la ley, ha ordenado que su elaboración deba ajustarse a unas determinadas normas y cuando esas normas son de Derecho administrativo y están fuera del procedimiento legislativo. Otra interpretación posibilitaría un ámbito de inmunidad difícilmente justificable.</w:t>
      </w:r>
    </w:p>
    <w:p w14:paraId="5D47B961" w14:textId="77777777" w:rsidR="009D7677" w:rsidRDefault="009D7677" w:rsidP="009D7677">
      <w:pPr>
        <w:pStyle w:val="TextoNormal"/>
      </w:pPr>
    </w:p>
    <w:p w14:paraId="4E23641A" w14:textId="77777777" w:rsidR="009D7677" w:rsidRDefault="009D7677" w:rsidP="009D7677">
      <w:pPr>
        <w:pStyle w:val="TextoNormal"/>
      </w:pPr>
      <w:r>
        <w:t>En la STS 259/2015, de 30 de abril, dijimos, con cita de otros precedentes (STS 941/2009, de 29 de septiembre) que por ‘asunto administrativo’ no han de entenderse los ‘asuntos regidos por el Derecho administrativo’, sino ‘todos los actos y decisiones realizados por autoridades o funcionarios públicos en el ejercicio de sus funciones con exclusión de los actos propiamente jurisdiccionales o legislativos’ y entendemos que los procedimientos reglados que culminan en la decisión de elevar un proyecto de ley al Gobierno no son actos propiamente legislativos, sino actos de gobierno que, por ser reglados, pueden ser el contexto objetivo para la comisión de un delito de prevaricación”.</w:t>
      </w:r>
    </w:p>
    <w:p w14:paraId="011C609B" w14:textId="77777777" w:rsidR="009D7677" w:rsidRDefault="009D7677" w:rsidP="009D7677">
      <w:pPr>
        <w:pStyle w:val="TextoNormal"/>
      </w:pPr>
    </w:p>
    <w:p w14:paraId="781231F8" w14:textId="77777777" w:rsidR="009D7677" w:rsidRDefault="009D7677" w:rsidP="009D7677">
      <w:pPr>
        <w:pStyle w:val="TextoNormal"/>
      </w:pPr>
      <w:r>
        <w:t>h) Bajo la rúbrica “Control de los actos de gobierno” rebate el argumento defendido en el recurso de casación, y también en el recurso de amparo, que consiste en afirmar que las resoluciones por las que se acordó elevar los proyectos de ley al Parlamento o las que aprobaron las modificaciones legislativas son actos políticos inmunes a todo control jurisdiccional.</w:t>
      </w:r>
    </w:p>
    <w:p w14:paraId="2FFAA7D7" w14:textId="77777777" w:rsidR="009D7677" w:rsidRDefault="009D7677" w:rsidP="009D7677">
      <w:pPr>
        <w:pStyle w:val="TextoNormal"/>
      </w:pPr>
    </w:p>
    <w:p w14:paraId="27F44FC4" w14:textId="77777777" w:rsidR="009D7677" w:rsidRDefault="009D7677" w:rsidP="009D7677">
      <w:pPr>
        <w:pStyle w:val="TextoNormal"/>
      </w:pPr>
      <w:r>
        <w:t>El argumento del Tribunal Supremo, silenciado en la sentencia, al refutar el carácter político inmune de las resoluciones adoptadas desmantela el discurso de la sentencia acerca del principio de separación de poderes (FJ 4.3.5), la centralidad del Parlamento (FJ 4.3.1) y sobre el Gobierno y sus relaciones con el Parlamento (FJ 4.3.2), en el que está ausente toda referencia al Poder Judicial, más si cabe cuando lo enjuiciado por los órganos judiciales ha sido un conjunto de decisiones, adoptadas por distintas autoridades político-administrativas, en un periodo de tiempo muy prolongado, pero dirigidas todas ellas a socavar el imperio de la Ley haciendo posible la desviación de cerca de setecientos millones de euros durante un dilatado periodo de diez años.</w:t>
      </w:r>
    </w:p>
    <w:p w14:paraId="687F5C04" w14:textId="77777777" w:rsidR="009D7677" w:rsidRDefault="009D7677" w:rsidP="009D7677">
      <w:pPr>
        <w:pStyle w:val="TextoNormal"/>
      </w:pPr>
    </w:p>
    <w:p w14:paraId="23B9EF0B" w14:textId="77777777" w:rsidR="009D7677" w:rsidRDefault="009D7677" w:rsidP="009D7677">
      <w:pPr>
        <w:pStyle w:val="TextoNormal"/>
      </w:pPr>
      <w:r>
        <w:t xml:space="preserve">El Tribunal Supremo alecciona —frente a la narración de la sentencia del Tribunal Constitucional— sobre las bases fundacionales del Estado de Derecho, cuando afirma que </w:t>
      </w:r>
      <w:r>
        <w:lastRenderedPageBreak/>
        <w:t>la idea de que determinadas actuaciones políticas de gobierno puedan quedar exentas de control jurisdiccional está en estrecha relación con el ejercicio democrático del poder y con la noción de Estado de Derecho, hasta el punto de que no faltan corrientes doctrinales que apuntan a la tesis de que no debiera haber actos exentos de la posibilidad de control jurisdiccional sobre la base de cuatro preceptos constitucionales: el artículo 1.1 CE que califica a España como un Estado de Derecho; el artículo 9.1 CE que dispone la sujeción de todos los poderes públicos a la Constitución y al resto del ordenamiento jurídico; el artículo 103 CE que atribuyen al Poder Judicial el control de la potestad reglamentaria y la legalidad de la actuación administrativa y el artículo 24 CE que reconoce el derecho a la tutela judicial efectiva sin que en ningún caso pueda producirse indefensión.</w:t>
      </w:r>
    </w:p>
    <w:p w14:paraId="373C8A20" w14:textId="77777777" w:rsidR="009D7677" w:rsidRDefault="009D7677" w:rsidP="009D7677">
      <w:pPr>
        <w:pStyle w:val="TextoNormal"/>
      </w:pPr>
    </w:p>
    <w:p w14:paraId="15930E09" w14:textId="77777777" w:rsidR="009D7677" w:rsidRDefault="009D7677" w:rsidP="009D7677">
      <w:pPr>
        <w:pStyle w:val="TextoNormal"/>
      </w:pPr>
      <w:r>
        <w:t>Destaca la STS 749/2022 que el control de los actos del Gobierno se ha ido ampliando progresivamente hasta el punto de que el concepto de acto político, incluso de acto de gobierno, está en franca decadencia. En la doctrina administrativista se utiliza la categoría más amplia de acto discrecional para establecer los límites del ámbito de actuación de la jurisdicción contencioso-administrativa. Recuerda que era la autoritaria Ley de la jurisdicción administrativa de 1956, que participaba de los valores propios del régimen autoritario entonces vigente, la que excluía de control jurisdiccional los actos políticos, pero reservando exclusivamente ese calificativo a “los que afecten a la defensa del territorio nacional, relaciones internacionales, seguridad interior del Estado y mando y organización militar sin perjuicio de las indemnizaciones que fueren procedentes, cuya determinación sí corresponde a la jurisdicción contencioso-administrativa”, e incluso distinguiendo entonces claramente entre las funciones política y administrativa.</w:t>
      </w:r>
    </w:p>
    <w:p w14:paraId="795085A0" w14:textId="77777777" w:rsidR="009D7677" w:rsidRDefault="009D7677" w:rsidP="009D7677">
      <w:pPr>
        <w:pStyle w:val="TextoNormal"/>
      </w:pPr>
    </w:p>
    <w:p w14:paraId="39052E37" w14:textId="77777777" w:rsidR="009D7677" w:rsidRDefault="009D7677" w:rsidP="009D7677">
      <w:pPr>
        <w:pStyle w:val="TextoNormal"/>
      </w:pPr>
      <w:r>
        <w:t>Refiere que con la entrada en vigor de la Constitución se acogen los valores democráticos en el ejercicio del poder y se configura España como un Estado de Derecho, lo que obligó a aprobar la Ley 29/1998, de 13 de julio, reguladora de la jurisdicción contencioso-administrativa, al ser incompatible el Estado de Derecho con ámbitos de inmunidad construidos a partir de la idea decadente de acto político, siendo necesario ampliar el ámbito competencial de la jurisdicción contencioso-administrativa. Incluso antes de su entrada en vigor, en relación con los elementos reglados, la Sala de lo Contencioso-Administrativo del Tribunal Supremo sometió a control jurisdiccional una decisión netamente política, el nombramiento de fiscal general del Estado, cuya propuesta corresponde constitucionalmente al Gobierno, conforme al artículo 124.4 CE.</w:t>
      </w:r>
    </w:p>
    <w:p w14:paraId="7AC0000E" w14:textId="77777777" w:rsidR="009D7677" w:rsidRDefault="009D7677" w:rsidP="009D7677">
      <w:pPr>
        <w:pStyle w:val="TextoNormal"/>
      </w:pPr>
    </w:p>
    <w:p w14:paraId="45B8DF00" w14:textId="77777777" w:rsidR="009D7677" w:rsidRDefault="009D7677" w:rsidP="009D7677">
      <w:pPr>
        <w:pStyle w:val="TextoNormal"/>
      </w:pPr>
      <w:r>
        <w:t>Indica la STS 749/2022 que el control jurisdiccional de los actos de gobierno está plenamente asentado y que “para hablar de actos políticos de Gobierno —o de los Consejos de Gobierno— es necesaria no solo su procedencia formal [que contempla el artículo 2 a) LJCA], sino también que tengan por contenido una determinación de la denominada ‘dirección política’ del órgano que la emite que ostente total libertad en el fin, de forma que el contenido de esa decisión permita optar entre varias opciones y que todas ellas sean lícitas y admisibles en el sentido constitucional y legal de la palabra, con la consecuencia de que el acto no será controlable judicialmente en sus elementos de fondo, pero sí en los elementos reglados que nuestra jurisprudencia ha denominado ‘judicialmente asequibles’” [STS 920/2019, Sala de lo Contencioso-Administrativo, de 26 de junio (ECLI:ES:TS:2019:2088)].</w:t>
      </w:r>
    </w:p>
    <w:p w14:paraId="739B6CFB" w14:textId="77777777" w:rsidR="009D7677" w:rsidRDefault="009D7677" w:rsidP="009D7677">
      <w:pPr>
        <w:pStyle w:val="TextoNormal"/>
      </w:pPr>
    </w:p>
    <w:p w14:paraId="736C5CCC" w14:textId="77777777" w:rsidR="009D7677" w:rsidRDefault="009D7677" w:rsidP="009D7677">
      <w:pPr>
        <w:pStyle w:val="TextoNormal"/>
      </w:pPr>
      <w:r>
        <w:lastRenderedPageBreak/>
        <w:t>i) Elaborado argumentalmente el marco referente a las inmunidades de jurisdicción, examina si las decisiones adoptadas en los procesos prelegislativos de aprobación de los proyectos de ley de presupuestos son o no “actos de gobierno”, caracterizados por la discrecionalidad propia del acto político. Resalta el carácter no fiscalizable en vía contencioso-administrativa, conforme a diversos pronunciamientos de la Sala de lo Contencioso-Administrativo del Tribunal Supremo, del envío de un proyecto de ley al Parlamento, al ser calificado como ejercicio de la iniciativa legislativa, inmune al control jurisdiccional, incluso aunque su proceso de elaboración está reglado y sujeto a normas imperativas. Sin embargo, indica que no puede desconocerse que la elevación de un proyecto de ley al Parlamento viene precedida de un procedimiento prelegislativo, regulado por normas de Derecho administrativo, lo que permite sostener que la decisión por la que se aprueba un proyecto de ley y se remite al Parlamento tiene una doble naturaleza: es una decisión política pero, a la vez, es una decisión que culmina el proceso prelegislativo.</w:t>
      </w:r>
    </w:p>
    <w:p w14:paraId="31604570" w14:textId="77777777" w:rsidR="009D7677" w:rsidRDefault="009D7677" w:rsidP="009D7677">
      <w:pPr>
        <w:pStyle w:val="TextoNormal"/>
      </w:pPr>
    </w:p>
    <w:p w14:paraId="06B61B79" w14:textId="77777777" w:rsidR="009D7677" w:rsidRDefault="009D7677" w:rsidP="009D7677">
      <w:pPr>
        <w:pStyle w:val="TextoNormal"/>
      </w:pPr>
      <w:r>
        <w:t>La STS, de la Sala de lo Contencioso-Administrativo, de 21 de diciembre de 2011 (ECLI:ES:TS:2011:8582) parece distinguir entre la decisión de remisión del proyecto de ley y los trámites precedentes. Respecto de estos últimos, dice que “diferente, desde luego, de los que se adopten en el ejercicio de las funciones ejecutiva, en su faceta administrativa, y reglamentaria, cuya culminación es la aprobación de la ley, y que tiene sus propios mecanismos de control”.</w:t>
      </w:r>
    </w:p>
    <w:p w14:paraId="67B8E6E3" w14:textId="77777777" w:rsidR="009D7677" w:rsidRDefault="009D7677" w:rsidP="009D7677">
      <w:pPr>
        <w:pStyle w:val="TextoNormal"/>
      </w:pPr>
    </w:p>
    <w:p w14:paraId="09F34E80" w14:textId="77777777" w:rsidR="009D7677" w:rsidRDefault="009D7677" w:rsidP="009D7677">
      <w:pPr>
        <w:pStyle w:val="TextoNormal"/>
      </w:pPr>
      <w:r>
        <w:t>La STS 749/2022 justifica el carácter no fiscalizable en vía contencioso-administrativa del envío de un proyecto de ley al Parlamento, pues no tiene sentido admitir un recurso contra un proyecto de ley que no es aún norma y que puede sufrir modificaciones o incluso no ser aprobado en su tramitación parlamentaria. Y no es admisible tampoco cercenar las facultades del Gobierno en el ejercicio de la iniciativa legislativa sometiendo al Parlamento a tutelas innecesarias, cuando el órgano legislativo puede modificar el proyecto de ley y cuando se dispone de instrumentos jurídicos que pueden corregir las ilegalidades que se adviertan en la ley finalmente aprobada.</w:t>
      </w:r>
    </w:p>
    <w:p w14:paraId="5540F2AE" w14:textId="77777777" w:rsidR="009D7677" w:rsidRDefault="009D7677" w:rsidP="009D7677">
      <w:pPr>
        <w:pStyle w:val="TextoNormal"/>
      </w:pPr>
    </w:p>
    <w:p w14:paraId="67D05949" w14:textId="77777777" w:rsidR="009D7677" w:rsidRDefault="009D7677" w:rsidP="009D7677">
      <w:pPr>
        <w:pStyle w:val="TextoNormal"/>
      </w:pPr>
      <w:r>
        <w:t>Sin embargo, la STS 749/2022 precisa que lo que se debe determinar no es si las resoluciones adoptadas en el proceso prelegislativo son susceptibles de control por la jurisdicción contencioso-administrativa, cuestión que es ajena a la jurisdicción penal, sino si esas resoluciones pueden cumplir con las exigencias típicas del artículo 404 CP, que es algo sustancialmente diferente.</w:t>
      </w:r>
    </w:p>
    <w:p w14:paraId="3913BAEB" w14:textId="77777777" w:rsidR="009D7677" w:rsidRDefault="009D7677" w:rsidP="009D7677">
      <w:pPr>
        <w:pStyle w:val="TextoNormal"/>
      </w:pPr>
    </w:p>
    <w:p w14:paraId="6402464B" w14:textId="77777777" w:rsidR="009D7677" w:rsidRDefault="009D7677" w:rsidP="009D7677">
      <w:pPr>
        <w:pStyle w:val="TextoNormal"/>
      </w:pPr>
      <w:r>
        <w:t>Indica que, por lo ya expuesto, el proceso prelegislativo es un procedimiento administrativo y que en ese procedimiento se dictan algunas resoluciones que son indispensables para que tenga lugar la remisión del anteproyecto de ley al Parlamento y que deben ajustarse a lo establecido en las leyes. De modo que puede distinguirse, por tanto, entre la decisión de elevar un proyecto de ley al Gobierno así como el contenido del proyecto normativo, en cuanto incorpora decisiones sujetas a criterios de oportunidad y discrecionalidad, que es un acto de gobierno inmune al control jurisdiccional, y las distintas decisiones que se adoptan para aprobar un proyecto de ley de presupuestos o una modificación presupuestaria, antes de su final elevación al Parlamento (en el caso de los proyectos de ley) que tienen un contenido obligatorio dispuesto en la ley. Estas últimas son resoluciones que no se rigen por los principios de oportunidad y discrecionalidad, propios de la acción política, se adoptan en un procedimiento reglado y deben ser respetuosas con las normas que regu</w:t>
      </w:r>
      <w:r>
        <w:lastRenderedPageBreak/>
        <w:t>lan su producción. Carecería de sentido que la ley imponga unas reglas en la elaboración del proyecto de ley o de una norma con fuerza de ley y que esas reglas imperativas puedan ser desconocidas sin consecuencias, cuando lo pretendido sea violar de forma patente y arbitraria la ley.</w:t>
      </w:r>
    </w:p>
    <w:p w14:paraId="73D10D3D" w14:textId="77777777" w:rsidR="009D7677" w:rsidRDefault="009D7677" w:rsidP="009D7677">
      <w:pPr>
        <w:pStyle w:val="TextoNormal"/>
      </w:pPr>
    </w:p>
    <w:p w14:paraId="020F3259" w14:textId="77777777" w:rsidR="009D7677" w:rsidRDefault="009D7677" w:rsidP="009D7677">
      <w:pPr>
        <w:pStyle w:val="TextoNormal"/>
      </w:pPr>
      <w:r>
        <w:t>En el caso de una ley de presupuestos esta distinción es especialmente relevante. Una ley de esa naturaleza tiene un doble contenido: de un lado, la previsión de ingresos y la habilitación de gastos para un ejercicio económico, que es una decisión de naturaleza política. De otro, el procedimiento de elaboración y los criterios financieros que desarrollan y aclaran los estados cifrados, que deben sujetarse a las normas de naturaleza procedimental y financieras de obligado cumplimiento. Lo mismo puede predicarse del proceso de elaboración y aprobación de una modificación presupuestaria.</w:t>
      </w:r>
    </w:p>
    <w:p w14:paraId="7334505D" w14:textId="77777777" w:rsidR="009D7677" w:rsidRDefault="009D7677" w:rsidP="009D7677">
      <w:pPr>
        <w:pStyle w:val="TextoNormal"/>
      </w:pPr>
    </w:p>
    <w:p w14:paraId="5B4D723B" w14:textId="77777777" w:rsidR="009D7677" w:rsidRDefault="009D7677" w:rsidP="009D7677">
      <w:pPr>
        <w:pStyle w:val="TextoNormal"/>
      </w:pPr>
      <w:r>
        <w:t>Por tanto, las resoluciones dictadas relativas a este segundo contenido no son actos de gobierno inmunes al control de la jurisdicción penal, sino “resoluci[ones] en un asunto administrativo”, a los efectos del artículo 404 del Código penal.</w:t>
      </w:r>
    </w:p>
    <w:p w14:paraId="172587DC" w14:textId="77777777" w:rsidR="009D7677" w:rsidRDefault="009D7677" w:rsidP="009D7677">
      <w:pPr>
        <w:pStyle w:val="TextoNormal"/>
      </w:pPr>
    </w:p>
    <w:p w14:paraId="71D932EB" w14:textId="77777777" w:rsidR="009D7677" w:rsidRDefault="009D7677" w:rsidP="009D7677">
      <w:pPr>
        <w:pStyle w:val="TextoNormal"/>
      </w:pPr>
      <w:r>
        <w:t>j) Luego la STS 749/2022 da cuenta de la constante doctrina de la Sala sobre el elemento del tipo “resolución” en “asunto administrativo”. Señala que el tipo penal describe el elemento objetivo sin acudir a conceptos propios del Derecho administrativo, tales como “resolución administrativa” o “resolución susceptible de control a través de la jurisdicción contencioso- administrativa”, “resolución que pone término al proceso administrativo”, que podrían permitir perfilar con mayor precisión la delimitación del tipo objetivo del delito tipificado en el artículo 404 CP. Indica que por ello se hace necesario que la jurisdicción penal aborde el entendimiento del precepto con autonomía como así ha proclamado en reiteradas resoluciones (SSTS 941/2009, de 29 de septiembre), y en el ejercicio de esa función nomofiláctica ha hecho precisiones en distintos pronunciamientos de esta Sala a lo largo de los últimos años:</w:t>
      </w:r>
    </w:p>
    <w:p w14:paraId="2F2097B4" w14:textId="77777777" w:rsidR="009D7677" w:rsidRDefault="009D7677" w:rsidP="009D7677">
      <w:pPr>
        <w:pStyle w:val="TextoNormal"/>
      </w:pPr>
    </w:p>
    <w:p w14:paraId="537B547C" w14:textId="77777777" w:rsidR="009D7677" w:rsidRDefault="009D7677" w:rsidP="009D7677">
      <w:pPr>
        <w:pStyle w:val="TextoNormal"/>
      </w:pPr>
      <w:r>
        <w:t>(i) No puede identificarse la “resolución” en “asunto administrativo”, con “resolución administrativa”, pues la primera es más amplia y permite incluir, por ejemplo, declaraciones de voluntad bilaterales como los contratos administrativos.</w:t>
      </w:r>
    </w:p>
    <w:p w14:paraId="64BB40A7" w14:textId="77777777" w:rsidR="009D7677" w:rsidRDefault="009D7677" w:rsidP="009D7677">
      <w:pPr>
        <w:pStyle w:val="TextoNormal"/>
      </w:pPr>
    </w:p>
    <w:p w14:paraId="6DE07987" w14:textId="77777777" w:rsidR="009D7677" w:rsidRDefault="009D7677" w:rsidP="009D7677">
      <w:pPr>
        <w:pStyle w:val="TextoNormal"/>
      </w:pPr>
      <w:r>
        <w:t>(ii) El presupuesto de que la resolución tenga contenido decisorio, no exige que ponga fin a la vía administrativa ni que concluya el procedimiento, por lo que ha de entenderse como resolución no solo el acto que pone fin al procedimiento y resuelve definitivamente la cuestión que se ventile, sino también aquellos otros actos que a pesar de no ser conclusivos tengan un contenido material sustantivo de suerte que resuelvan sobre el fondo en algún aspecto fundamental para la resolución final del procedimiento. Por otra parte, para la consumación del delito no es necesario que se trate de una resolución firme, siendo irrelevante que haya sido confirmada o revocada por el superior jerárquico.</w:t>
      </w:r>
    </w:p>
    <w:p w14:paraId="2A6D7369" w14:textId="77777777" w:rsidR="009D7677" w:rsidRDefault="009D7677" w:rsidP="009D7677">
      <w:pPr>
        <w:pStyle w:val="TextoNormal"/>
      </w:pPr>
    </w:p>
    <w:p w14:paraId="74EB2942" w14:textId="77777777" w:rsidR="009D7677" w:rsidRDefault="009D7677" w:rsidP="009D7677">
      <w:pPr>
        <w:pStyle w:val="TextoNormal"/>
      </w:pPr>
      <w:r>
        <w:t>(iii) También pueden tener la consideración de resolución a efectos penales los informes vinculantes o la realización de actos previos tendentes a manipular la voluntad del órgano decisor mediante la formulación de proposiciones contrarias a la ley o informes que no responden a la verdad cuando se hace a sabiendas de que el órgano decisor aprobará la propuesta.</w:t>
      </w:r>
    </w:p>
    <w:p w14:paraId="556D4630" w14:textId="77777777" w:rsidR="009D7677" w:rsidRDefault="009D7677" w:rsidP="009D7677">
      <w:pPr>
        <w:pStyle w:val="TextoNormal"/>
      </w:pPr>
    </w:p>
    <w:p w14:paraId="2A1871FC" w14:textId="77777777" w:rsidR="009D7677" w:rsidRDefault="009D7677" w:rsidP="009D7677">
      <w:pPr>
        <w:pStyle w:val="TextoNormal"/>
      </w:pPr>
      <w:r>
        <w:lastRenderedPageBreak/>
        <w:t>(iv) El Tribunal Supremo, con cita del art. 112 de la Ley 39/2015, de 1 de octubre, del procedimiento administrativo común, recuerda que “la STS 163/2019, de 26 de marzo, ha declarado que constituye resolución a efectos penales los actos decisorios del procedimiento siempre que constituyan un eslabón necesario en la cadena instrumental que determina la resolución final, doctrina de especial relevancia en decisiones administrativas adoptadas en procesos de decisión complejos.” En tal sentido, el Tribunal Supremo indica que son resoluciones a efectos penales los “‘eslabones de relevancia’ en la decisión final, y que son, también, como podríamos denominarles, ‘decisiones interlocutorias de alto grado y de carácter relevante en la resolución final que se adopta’”.</w:t>
      </w:r>
    </w:p>
    <w:p w14:paraId="6317BB6D" w14:textId="77777777" w:rsidR="009D7677" w:rsidRDefault="009D7677" w:rsidP="009D7677">
      <w:pPr>
        <w:pStyle w:val="TextoNormal"/>
      </w:pPr>
    </w:p>
    <w:p w14:paraId="00BF2074" w14:textId="77777777" w:rsidR="009D7677" w:rsidRDefault="009D7677" w:rsidP="009D7677">
      <w:pPr>
        <w:pStyle w:val="TextoNormal"/>
      </w:pPr>
      <w:r>
        <w:t>(v) Incluso en la STS 1051/2013, de 26 de septiembre (ECLI:ES:TS:2013:5074), se ha afirmado que “toda la tramitación de un expediente puede ser prevaricadora cuando el procedimiento ha sido incoado para delinquir, en cuyo caso no todas las decisiones adoptadas durante su desarrollo pueden ser consideradas actos de trámite, debiéndose discriminar en cada caso si las distintas resoluciones adoptadas durante ese desarrollo tienen o no contenido decisorio”. Indica que los “actos de trámite”, no carecen en absoluto de todo contenido decisorio, puesto que, la realización de cualquier acto, que no fuera inanimado, exigirá previamente una determinación al respecto del sujeto que lo realice.</w:t>
      </w:r>
    </w:p>
    <w:p w14:paraId="7A67DC85" w14:textId="77777777" w:rsidR="009D7677" w:rsidRDefault="009D7677" w:rsidP="009D7677">
      <w:pPr>
        <w:pStyle w:val="TextoNormal"/>
      </w:pPr>
    </w:p>
    <w:p w14:paraId="1621C473" w14:textId="77777777" w:rsidR="009D7677" w:rsidRDefault="009D7677" w:rsidP="009D7677">
      <w:pPr>
        <w:pStyle w:val="TextoNormal"/>
      </w:pPr>
      <w:r>
        <w:t>Recuerda que el procedimiento administrativo tiene la doble finalidad de servir de garantía de los derechos individuales y de garantía de orden de la administración y de justicia y acierto en sus resoluciones [STS 18/2014, de 23 de enero (ECLI:ES:TS:2014:235)]. De modo que se podrá apreciar la existencia de una resolución arbitraria cuando omitir las exigencias procedimentales suponga principalmente la elusión de los controles que el propio procedimiento establece sobre el fondo del asunto, ya que en tales casos la actuación de la autoridad o funcionario no se limita a suprimir el control formal de su actuación administrativa, sino que con su forma irregular de proceder elimina los mecanismos que se establecen, precisamente, para asegurar que su decisión se sujeta a los fines que la ley establece para la actuación administrativa concreta, en la que adopta su resolución [STS 743/2013, de 11 de octubre (ECLI:ES:TS:2013:4949)].</w:t>
      </w:r>
    </w:p>
    <w:p w14:paraId="7375E5F3" w14:textId="77777777" w:rsidR="009D7677" w:rsidRDefault="009D7677" w:rsidP="009D7677">
      <w:pPr>
        <w:pStyle w:val="TextoNormal"/>
      </w:pPr>
    </w:p>
    <w:p w14:paraId="3A45D6E2" w14:textId="77777777" w:rsidR="009D7677" w:rsidRDefault="009D7677" w:rsidP="009D7677">
      <w:pPr>
        <w:pStyle w:val="TextoNormal"/>
      </w:pPr>
      <w:r>
        <w:t>k) Indica que la sentencia considera resoluciones constitutivas de delito de prevaricación todas las resoluciones necesarias para que esta ilegal distribución de fondos pudiera llevarse a cabo, a saber: la aprobación de los proyectos de ley de presupuestos por el Consejo de Gobierno de la Junta de Andalucía; la aprobación de los proyectos de presupuestos por el consejero de Hacienda y por la Comisión General de Viceconsejeros; la aprobación de los proyectos de presupuestos de la Consejería de Empleo, con la intervención determinante del consejero, viceconsejero y secretario general técnico; la aprobación de las distintas modificaciones presupuestarias; la concesión de las subvenciones y los convenios suscritos para proceder al pago de las subvenciones, tanto el convenio marco de 17 de julio de 2001, como los distintos convenios Particulares.</w:t>
      </w:r>
    </w:p>
    <w:p w14:paraId="63F5926B" w14:textId="77777777" w:rsidR="009D7677" w:rsidRDefault="009D7677" w:rsidP="009D7677">
      <w:pPr>
        <w:pStyle w:val="TextoNormal"/>
      </w:pPr>
    </w:p>
    <w:p w14:paraId="5B66AFDB" w14:textId="77777777" w:rsidR="009D7677" w:rsidRDefault="009D7677" w:rsidP="009D7677">
      <w:pPr>
        <w:pStyle w:val="TextoNormal"/>
      </w:pPr>
      <w:r>
        <w:t xml:space="preserve">Señala que con la prevaricación se castiga la desviación de poder y que la prevaricación puede, en ocasiones, presentarse mediante una acción compleja. Los acusados adoptaron estas decisiones para conseguir una finalidad palmariamente ilegal: evitar el cumplimiento de las exigencias de las normas sobre subvenciones y el control previo de la Intervención General de la Junta de Andalucía. En eso radica la desviación de poder y la relevancia penal de la conducta enjuiciada. Todos ellos adoptaron, en su ámbito administrativo de </w:t>
      </w:r>
      <w:r>
        <w:lastRenderedPageBreak/>
        <w:t>decisión, resoluciones necesarias para que el efecto finalmente pretendido se pudiera producir.</w:t>
      </w:r>
    </w:p>
    <w:p w14:paraId="6A097122" w14:textId="77777777" w:rsidR="009D7677" w:rsidRDefault="009D7677" w:rsidP="009D7677">
      <w:pPr>
        <w:pStyle w:val="TextoNormal"/>
      </w:pPr>
    </w:p>
    <w:p w14:paraId="5FCB390C" w14:textId="77777777" w:rsidR="009D7677" w:rsidRDefault="009D7677" w:rsidP="009D7677">
      <w:pPr>
        <w:pStyle w:val="TextoNormal"/>
      </w:pPr>
      <w:r>
        <w:t>l) La STS 749/2022 afirma que la remisión de un proyecto de ley de presupuestos al Parlamento andaluz va precedida de un extenso y detallado expediente administrativo, compuesto, a su vez, de distintos expedientes en los que, conforme a lo previsto en las leyes, se van produciendo distintas resoluciones. El procedimiento de elaboración del presupuesto se regula en el título II de la Ley del Parlamento de Andalucía 5/1983, de 19 de julio, general de la hacienda pública de Andalucía y del Decreto Legislativo de la Junta de Andalucía 1/2010, de 2 de marzo, por el que se aprueba el texto refundido de la Ley general de la hacienda pública de la Junta de Andalucía y que consagra el principio de legalidad como base del cumplimiento de la gestión presupuestaria de la Junta de Andalucía.</w:t>
      </w:r>
    </w:p>
    <w:p w14:paraId="626D682C" w14:textId="77777777" w:rsidR="009D7677" w:rsidRDefault="009D7677" w:rsidP="009D7677">
      <w:pPr>
        <w:pStyle w:val="TextoNormal"/>
      </w:pPr>
    </w:p>
    <w:p w14:paraId="0D1AC5A6" w14:textId="77777777" w:rsidR="009D7677" w:rsidRDefault="009D7677" w:rsidP="009D7677">
      <w:pPr>
        <w:pStyle w:val="TextoNormal"/>
      </w:pPr>
      <w:r>
        <w:t>El Tribunal Supremo, con expresa mención de las normas aplicables, distingue las fases presupuestarias. En la primera los órganos superiores de la Junta y de las distintas consejerías remiten los respectivos anteproyectos que deben confeccionarse, de acuerdo con las leyes que sean aplicables, con las directrices aprobadas por el Consejo de Gobierno y por las órdenes aprobadas por la Consejería de Hacienda. La segunda fase se integra por las actuaciones realizadas a través de la Dirección General de Presupuestos para elaborar el anteproyecto, que culmina con la elaboración definitiva que es competencia del Consejero de Hacienda. De la minuciosa regulación resulta que la intervención de la Consejería de Hacienda a través de la Dirección General de Presupuestos no consistía en una mera agregación u ordenación de los trabajos presupuestarios de las distintas consejerías, sino también en una función de análisis y control, ya que podía introducir modificaciones y dictar instrucciones. Esta fase culminaba con la elaboración del anteproyecto de ley de presupuesto, para su posterior elevación al Consejo de Gobierno, que correspondía al consejero de Hacienda. La tercera fase venía determinada por el estudio y aprobación del proyecto de ley de presupuestos por el Consejo de Gobierno de la Comunidad Autónoma de Andalucía, que adoptaba dos decisiones: la aprobación del anteproyecto de ley y su remisión al Parlamento.</w:t>
      </w:r>
    </w:p>
    <w:p w14:paraId="12DF8C6D" w14:textId="77777777" w:rsidR="009D7677" w:rsidRDefault="009D7677" w:rsidP="009D7677">
      <w:pPr>
        <w:pStyle w:val="TextoNormal"/>
      </w:pPr>
    </w:p>
    <w:p w14:paraId="74014931" w14:textId="77777777" w:rsidR="009D7677" w:rsidRDefault="009D7677" w:rsidP="009D7677">
      <w:pPr>
        <w:pStyle w:val="TextoNormal"/>
      </w:pPr>
      <w:r>
        <w:t>Refiere que los distintos proyectos de ley, con la finalidad última de eludir los controles legales y los principios de publicidad y libre concurrencia aplicables a las subvenciones, incluyeron a sabiendas una clasificación presupuestaria contraria a Derecho, incorporando en cada anteproyecto una documentación que no era suficientemente explicativa del destino que iba a darse a esos fondos. De modo que la decisión final del Gobierno autonómico de elevar o no el proyecto de ley al Parlamento es una decisión política pero la aprobación del proyecto de ley es una resolución que culmina el procedimiento prelegislativo y es el filtro previsto por el legislador para que ese proyecto sea respetuoso con la legalidad tanto en los aspectos procedimentales como en su contenido. El hecho de que los proyectos de ley fueran finalmente aprobados no es obstáculo para atribuir relevancia penal a las resoluciones aludidas, dado que la consumación del delito se produce con el dictado de la resolución injusta, siendo irrelevante que el Parlamento no detectara la ilegalidad.</w:t>
      </w:r>
    </w:p>
    <w:p w14:paraId="7334DA75" w14:textId="77777777" w:rsidR="009D7677" w:rsidRDefault="009D7677" w:rsidP="009D7677">
      <w:pPr>
        <w:pStyle w:val="TextoNormal"/>
      </w:pPr>
    </w:p>
    <w:p w14:paraId="5735D927" w14:textId="77777777" w:rsidR="009D7677" w:rsidRDefault="009D7677" w:rsidP="009D7677">
      <w:pPr>
        <w:pStyle w:val="TextoNormal"/>
      </w:pPr>
      <w:r>
        <w:t>No es admisible calificar el procedimiento prelegislativo como un conjunto de simples “actos de trámite”, sin relevancia o carentes de efecto alguno y que lo que finalmente se aprueba por el Gobierno autonómico es un documento sin valor jurídico alguno y sin efectos.</w:t>
      </w:r>
    </w:p>
    <w:p w14:paraId="5CE7B98C" w14:textId="77777777" w:rsidR="009D7677" w:rsidRDefault="009D7677" w:rsidP="009D7677">
      <w:pPr>
        <w:pStyle w:val="TextoNormal"/>
      </w:pPr>
    </w:p>
    <w:p w14:paraId="3DB19097" w14:textId="77777777" w:rsidR="009D7677" w:rsidRDefault="009D7677" w:rsidP="009D7677">
      <w:pPr>
        <w:pStyle w:val="TextoNormal"/>
      </w:pPr>
      <w:r>
        <w:t>Algunos de los actos de ese procedimiento tienen contenido decisorio en la medida en que las autoridades administrativas al aprobar el proyecto en cada una de sus fases debían examinarlo y comprobar su legalidad. Esas autoridades tenían la potestad de rechazar el proyecto de ley o de modificarlo para que, al margen de la decisión política de fondo sobre la materia presupuestaria, cumpliera con las exigencias de legalidad tanto en su tramitación como en su contenido. Esas autoridades aprobaron los proyectos de ley en cada una de sus fases a sabiendas de su ilegalidad y con la deliberada intención de suprimir los controles formales establecidos por el legislador, y lo consiguieron.</w:t>
      </w:r>
    </w:p>
    <w:p w14:paraId="33177DE1" w14:textId="77777777" w:rsidR="009D7677" w:rsidRDefault="009D7677" w:rsidP="009D7677">
      <w:pPr>
        <w:pStyle w:val="TextoNormal"/>
      </w:pPr>
    </w:p>
    <w:p w14:paraId="4EFB6407" w14:textId="77777777" w:rsidR="009D7677" w:rsidRDefault="009D7677" w:rsidP="009D7677">
      <w:pPr>
        <w:pStyle w:val="TextoNormal"/>
      </w:pPr>
      <w:r>
        <w:t>Señala que precisamente la eliminación de esos controles, asociada a la indebida clasificación presupuestaria aplicada a las subvenciones, es lo que permite afirmar que las distintas resoluciones adoptadas en el proceso prelegislativo no eran actos de trámite carentes de trascendencia alguna.</w:t>
      </w:r>
    </w:p>
    <w:p w14:paraId="39FFB690" w14:textId="77777777" w:rsidR="009D7677" w:rsidRDefault="009D7677" w:rsidP="009D7677">
      <w:pPr>
        <w:pStyle w:val="TextoNormal"/>
      </w:pPr>
    </w:p>
    <w:p w14:paraId="633E2A5F" w14:textId="77777777" w:rsidR="009D7677" w:rsidRDefault="009D7677" w:rsidP="009D7677">
      <w:pPr>
        <w:pStyle w:val="TextoNormal"/>
      </w:pPr>
      <w:r>
        <w:t>Termina indicando, con cita de la STS 743/2013, de 11 de octubre, que “[e]l procedimiento administrativo tiene una finalidad general orientada a someter la actuación administrativa a determinadas formas que permitan su comprobación y control formal, y por otro, una finalidad de mayor trascendencia, dirigida a establecer determinados controles sobre el fondo de la actuación de que se trate. Ambas deben ser observadas en la actividad administrativa. Así, se podrá apreciar la existencia de una resolución arbitraria cuando omitir las exigencias procedimentales suponga principalmente la elusión de los controles que el propio procedimiento establece sobre el fondo del asunto; pues en esos casos la actuación de la autoridad o funcionario no se limita a suprimir el control formal de su actuación administrativa, sino que con su forma irregular de proceder elimina los mecanismos que se establecen, precisamente, para asegurar que su decisión se sujeta a los fines que la ley establece para la actuación administrativa concreta, en la que adopta su resolución”.</w:t>
      </w:r>
    </w:p>
    <w:p w14:paraId="240B5812" w14:textId="77777777" w:rsidR="009D7677" w:rsidRDefault="009D7677" w:rsidP="009D7677">
      <w:pPr>
        <w:pStyle w:val="TextoNormal"/>
      </w:pPr>
    </w:p>
    <w:p w14:paraId="1A778055" w14:textId="77777777" w:rsidR="009D7677" w:rsidRDefault="009D7677" w:rsidP="009D7677">
      <w:pPr>
        <w:pStyle w:val="TextoNormal"/>
      </w:pPr>
      <w:r>
        <w:t>m) La STS 749/2022, examina las resoluciones del Consejo de Gobierno de la Junta de Andalucía aprobatorias de las modificaciones presupuestarias; se refiere nuevamente a las que aprueban los proyectos de presupuestos por la consejera de Hacienda y examina también las resoluciones adoptadas por la Comisión General de Viceconsejeros, por el director general de Presupuestos, por los secretarios generales técnicos de las consejerías de Empleo e Innovación y por la Consejería de Empleo, en las que no nos vamos a detener. A continuación, analiza la arbitrariedad de las resoluciones como elemento típico del delito de prevaricación administrativa.</w:t>
      </w:r>
    </w:p>
    <w:p w14:paraId="3E6DA0A6" w14:textId="77777777" w:rsidR="009D7677" w:rsidRDefault="009D7677" w:rsidP="009D7677">
      <w:pPr>
        <w:pStyle w:val="TextoNormal"/>
      </w:pPr>
    </w:p>
    <w:p w14:paraId="33B0885A" w14:textId="77777777" w:rsidR="009D7677" w:rsidRDefault="009D7677" w:rsidP="009D7677">
      <w:pPr>
        <w:pStyle w:val="TextoNormal"/>
      </w:pPr>
      <w:r>
        <w:t>Indica que el correcto entendimiento del delito de prevaricación administrativa solo puede realizarse, como ha señalado la doctrina científica, desde una concepción democrática del poder público. La corrupción política y administrativa y la desviación de poder son incompatibles con un Estado democrático de Derecho, en el que han de prevalecer principios como la igualdad ante la ley, el control del poder público, la imparcialidad y la corrección en la actuación administrativa.</w:t>
      </w:r>
    </w:p>
    <w:p w14:paraId="3CD5B253" w14:textId="77777777" w:rsidR="009D7677" w:rsidRDefault="009D7677" w:rsidP="009D7677">
      <w:pPr>
        <w:pStyle w:val="TextoNormal"/>
      </w:pPr>
    </w:p>
    <w:p w14:paraId="3ED98D3D" w14:textId="77777777" w:rsidR="009D7677" w:rsidRDefault="009D7677" w:rsidP="009D7677">
      <w:pPr>
        <w:pStyle w:val="TextoNormal"/>
      </w:pPr>
      <w:r>
        <w:t xml:space="preserve">Distingue entre la injusticia y la arbitrariedad como los dos atributos que definen la prevaricación. Unos entienden que son términos equivalentes y otros consideran que la injusticia es la contrariedad con el Derecho y la arbitrariedad añade un plus consistente en </w:t>
      </w:r>
      <w:r>
        <w:lastRenderedPageBreak/>
        <w:t>que esa ilegalidad sea clamorosa. También hay quienes entienden, apoyándose en la literalidad del precepto, que la injusticia es un atributo predicable del comportamiento del sujeto activo y la arbitrariedad el atributo de la resolución.</w:t>
      </w:r>
    </w:p>
    <w:p w14:paraId="5DC0D704" w14:textId="77777777" w:rsidR="009D7677" w:rsidRDefault="009D7677" w:rsidP="009D7677">
      <w:pPr>
        <w:pStyle w:val="TextoNormal"/>
      </w:pPr>
    </w:p>
    <w:p w14:paraId="0D2AE82E" w14:textId="77777777" w:rsidR="009D7677" w:rsidRDefault="009D7677" w:rsidP="009D7677">
      <w:pPr>
        <w:pStyle w:val="TextoNormal"/>
      </w:pPr>
      <w:r>
        <w:t>El Tribunal Supremo sostiene que en el presente caso el delito de prevaricación se proyecta en un conjunto de resoluciones que introdujeron un sistema de presupuestación indebido (transferencias de financiación) para evitar los controles establecidos en la ley de concesión de subvenciones y de este modo conceder subvenciones al margen de la cuidadosa normativa reguladora de estas.</w:t>
      </w:r>
    </w:p>
    <w:p w14:paraId="79385AE3" w14:textId="77777777" w:rsidR="009D7677" w:rsidRDefault="009D7677" w:rsidP="009D7677">
      <w:pPr>
        <w:pStyle w:val="TextoNormal"/>
      </w:pPr>
    </w:p>
    <w:p w14:paraId="14CF205A" w14:textId="77777777" w:rsidR="009D7677" w:rsidRDefault="009D7677" w:rsidP="009D7677">
      <w:pPr>
        <w:pStyle w:val="TextoNormal"/>
      </w:pPr>
      <w:r>
        <w:t>Indica que en los fundamentos precedentes se ha expuesto con detalle por qué motivos las ayudas sociolaborales eran subvenciones y las razones por las que las transferencias de financiación eran una herramienta presupuestaria, no para la concesión y el pago de subvenciones, sino para cubrir el déficit de explotación de las actividades propias de una empresa o entidad pública.</w:t>
      </w:r>
    </w:p>
    <w:p w14:paraId="78BA70DC" w14:textId="77777777" w:rsidR="009D7677" w:rsidRDefault="009D7677" w:rsidP="009D7677">
      <w:pPr>
        <w:pStyle w:val="TextoNormal"/>
      </w:pPr>
    </w:p>
    <w:p w14:paraId="67940B94" w14:textId="77777777" w:rsidR="009D7677" w:rsidRDefault="009D7677" w:rsidP="009D7677">
      <w:pPr>
        <w:pStyle w:val="TextoNormal"/>
      </w:pPr>
      <w:r>
        <w:t>Las normas aplicables a ambos institutos eran precisas, por más que en el juicio se hayan ofrecido interpretaciones alternativas que la sentencia de instancia, con buen criterio, no ha tomado en consideración. Y la finalidad perseguida por los condenados también ha quedado en evidencia por varias circunstancias concurrentes:</w:t>
      </w:r>
    </w:p>
    <w:p w14:paraId="040E7741" w14:textId="77777777" w:rsidR="009D7677" w:rsidRDefault="009D7677" w:rsidP="009D7677">
      <w:pPr>
        <w:pStyle w:val="TextoNormal"/>
      </w:pPr>
    </w:p>
    <w:p w14:paraId="6AAA1D41" w14:textId="77777777" w:rsidR="009D7677" w:rsidRDefault="009D7677" w:rsidP="009D7677">
      <w:pPr>
        <w:pStyle w:val="TextoNormal"/>
      </w:pPr>
      <w:r>
        <w:t>(i) Se cambió el sistema de presupuestación sin una razón sólida que lo justificara.</w:t>
      </w:r>
    </w:p>
    <w:p w14:paraId="483DC239" w14:textId="77777777" w:rsidR="009D7677" w:rsidRDefault="009D7677" w:rsidP="009D7677">
      <w:pPr>
        <w:pStyle w:val="TextoNormal"/>
      </w:pPr>
    </w:p>
    <w:p w14:paraId="4570E396" w14:textId="77777777" w:rsidR="009D7677" w:rsidRDefault="009D7677" w:rsidP="009D7677">
      <w:pPr>
        <w:pStyle w:val="TextoNormal"/>
      </w:pPr>
      <w:r>
        <w:t>(ii) El propio director general de Empleo, también condenado en las presentes actuaciones, reconoció en su declaración que recibió instrucciones para instaurar un nuevo sistema para el pago de las ayudas ante los problemas que venía planteando la Intervención Delegada de la Junta de Andalucía.</w:t>
      </w:r>
    </w:p>
    <w:p w14:paraId="6D478894" w14:textId="77777777" w:rsidR="009D7677" w:rsidRDefault="009D7677" w:rsidP="009D7677">
      <w:pPr>
        <w:pStyle w:val="TextoNormal"/>
      </w:pPr>
    </w:p>
    <w:p w14:paraId="3D20AE0C" w14:textId="77777777" w:rsidR="009D7677" w:rsidRDefault="009D7677" w:rsidP="009D7677">
      <w:pPr>
        <w:pStyle w:val="TextoNormal"/>
      </w:pPr>
      <w:r>
        <w:t>(iii) Se hizo y se mantuvo ese cambio a pesar de las múltiples advertencias que se realizaron sobre las ilegalidades que se estaban produciendo.</w:t>
      </w:r>
    </w:p>
    <w:p w14:paraId="0D997D29" w14:textId="77777777" w:rsidR="009D7677" w:rsidRDefault="009D7677" w:rsidP="009D7677">
      <w:pPr>
        <w:pStyle w:val="TextoNormal"/>
      </w:pPr>
    </w:p>
    <w:p w14:paraId="7DA79880" w14:textId="77777777" w:rsidR="009D7677" w:rsidRDefault="009D7677" w:rsidP="009D7677">
      <w:pPr>
        <w:pStyle w:val="TextoNormal"/>
      </w:pPr>
      <w:r>
        <w:t>(iv) La consecuencia real del cambio fue la falta de control y absoluta ilegalidad en la concesión de las subvenciones.</w:t>
      </w:r>
    </w:p>
    <w:p w14:paraId="08C875B9" w14:textId="77777777" w:rsidR="009D7677" w:rsidRDefault="009D7677" w:rsidP="009D7677">
      <w:pPr>
        <w:pStyle w:val="TextoNormal"/>
      </w:pPr>
    </w:p>
    <w:p w14:paraId="3A3BEB05" w14:textId="77777777" w:rsidR="009D7677" w:rsidRDefault="009D7677" w:rsidP="009D7677">
      <w:pPr>
        <w:pStyle w:val="TextoNormal"/>
      </w:pPr>
      <w:r>
        <w:t>(v) El sistema enjuiciado solo operó durante el tiempo a que se contraen las presentes actuaciones. Antes y después el procedimiento utilizado fue el propio de las subvenciones.</w:t>
      </w:r>
    </w:p>
    <w:p w14:paraId="3E1219CF" w14:textId="77777777" w:rsidR="009D7677" w:rsidRDefault="009D7677" w:rsidP="009D7677">
      <w:pPr>
        <w:pStyle w:val="TextoNormal"/>
      </w:pPr>
    </w:p>
    <w:p w14:paraId="7D39B6FF" w14:textId="77777777" w:rsidR="009D7677" w:rsidRDefault="009D7677" w:rsidP="009D7677">
      <w:pPr>
        <w:pStyle w:val="TextoNormal"/>
      </w:pPr>
      <w:r>
        <w:t>Por ello concluye que la injusticia y la arbitrariedad de las resoluciones dictadas no solo se determinan en este caso por su flagrante contradicción con el Derecho sino por la finalidad ilícita perseguida por sus autores. Y recuerda nuevamente la relevancia que tiene la omisión del procedimiento legalmente establecido atendida la finalidad del mismo.</w:t>
      </w:r>
    </w:p>
    <w:p w14:paraId="4BC4CD18" w14:textId="77777777" w:rsidR="009D7677" w:rsidRDefault="009D7677" w:rsidP="009D7677">
      <w:pPr>
        <w:pStyle w:val="TextoNormal"/>
      </w:pPr>
    </w:p>
    <w:p w14:paraId="2BD7F3B4" w14:textId="77777777" w:rsidR="009D7677" w:rsidRDefault="009D7677" w:rsidP="009D7677">
      <w:pPr>
        <w:pStyle w:val="TextoNormal"/>
      </w:pPr>
      <w:r>
        <w:t>Finaliza la exposición de este apartado VI de los fundamentos de Derecho analizando de modo exhaustivo la concurrencia del elemento subjetivo del injusto.</w:t>
      </w:r>
    </w:p>
    <w:p w14:paraId="093EA1D6" w14:textId="77777777" w:rsidR="009D7677" w:rsidRDefault="009D7677" w:rsidP="009D7677">
      <w:pPr>
        <w:pStyle w:val="TextoNormal"/>
      </w:pPr>
    </w:p>
    <w:p w14:paraId="5D68B6AD" w14:textId="77777777" w:rsidR="009D7677" w:rsidRDefault="009D7677" w:rsidP="009D7677">
      <w:pPr>
        <w:pStyle w:val="TextoNormal"/>
      </w:pPr>
      <w:r>
        <w:t>2</w:t>
      </w:r>
      <w:r w:rsidRPr="009D7677">
        <w:rPr>
          <w:i/>
        </w:rPr>
        <w:t>. Contenido y alcance del principio de legalidad penal y su incidencia en los pronunciamientos del Tribunal Constitucion</w:t>
      </w:r>
      <w:r>
        <w:t>al</w:t>
      </w:r>
    </w:p>
    <w:p w14:paraId="2C7A7FFA" w14:textId="77777777" w:rsidR="009D7677" w:rsidRDefault="009D7677" w:rsidP="009D7677">
      <w:pPr>
        <w:pStyle w:val="TextoNormal"/>
      </w:pPr>
    </w:p>
    <w:p w14:paraId="0FAE5E0C" w14:textId="77777777" w:rsidR="009D7677" w:rsidRDefault="009D7677" w:rsidP="009D7677">
      <w:pPr>
        <w:pStyle w:val="TextoNormal"/>
      </w:pPr>
      <w:r>
        <w:lastRenderedPageBreak/>
        <w:t>2.1</w:t>
      </w:r>
      <w:r w:rsidRPr="009D7677">
        <w:rPr>
          <w:i/>
        </w:rPr>
        <w:t>. Contenido del principio de legalidad pen</w:t>
      </w:r>
      <w:r>
        <w:t>al</w:t>
      </w:r>
    </w:p>
    <w:p w14:paraId="4325D996" w14:textId="77777777" w:rsidR="009D7677" w:rsidRDefault="009D7677" w:rsidP="009D7677">
      <w:pPr>
        <w:pStyle w:val="TextoNormal"/>
      </w:pPr>
    </w:p>
    <w:p w14:paraId="6EAD25A5" w14:textId="77777777" w:rsidR="009D7677" w:rsidRDefault="009D7677" w:rsidP="009D7677">
      <w:pPr>
        <w:pStyle w:val="TextoNormal"/>
      </w:pPr>
      <w:r>
        <w:t>Es preciso ahora examinar cuál es la doctrina sobre el derecho a la legalidad penal (art. 25.1 CE) que la sentencia aborda en su fundamento jurídico 3, al que nos remitimos al compartir su exposición. Debemos destacar de dicha doctrina tres aspectos:</w:t>
      </w:r>
    </w:p>
    <w:p w14:paraId="675B141D" w14:textId="77777777" w:rsidR="009D7677" w:rsidRDefault="009D7677" w:rsidP="009D7677">
      <w:pPr>
        <w:pStyle w:val="TextoNormal"/>
      </w:pPr>
    </w:p>
    <w:p w14:paraId="32CB0B8F" w14:textId="77777777" w:rsidR="009D7677" w:rsidRDefault="009D7677" w:rsidP="009D7677">
      <w:pPr>
        <w:pStyle w:val="TextoNormal"/>
      </w:pPr>
      <w:r>
        <w:t>a) El fundamento plural del principio de legalidad: la seguridad jurídica y la previsibilidad de las consecuencias jurídicas de los actos a fin de garantizar al ciudadano un ámbito de libertad de actuación.</w:t>
      </w:r>
    </w:p>
    <w:p w14:paraId="08801E68" w14:textId="77777777" w:rsidR="009D7677" w:rsidRDefault="009D7677" w:rsidP="009D7677">
      <w:pPr>
        <w:pStyle w:val="TextoNormal"/>
      </w:pPr>
    </w:p>
    <w:p w14:paraId="75959C59" w14:textId="77777777" w:rsidR="009D7677" w:rsidRDefault="009D7677" w:rsidP="009D7677">
      <w:pPr>
        <w:pStyle w:val="TextoNormal"/>
      </w:pPr>
      <w:r>
        <w:t xml:space="preserve">b) Su proyección sobre los jueces y tribunales que deben aplicar la norma sancionadora, que se concreta en la prohibición de aplicarla a casos no comprendidos en ella realizando una subsunción irrazonable. De modo que queda excluida la analogía </w:t>
      </w:r>
      <w:r w:rsidRPr="009D7677">
        <w:rPr>
          <w:i/>
        </w:rPr>
        <w:t>in malam partem</w:t>
      </w:r>
      <w:r>
        <w:t xml:space="preserve"> y las interpretaciones extensivas de la norma en tanto exegesis y aplicación de las normas fuera de los supuestos que las mismas determinan. Por otra parte, exige que la aplicación metodológica de la norma no incurra en quiebras lógicas o se aparte de modelos de argumentación aceptados por la comunidad jurídica y que desde un punto de vista axiológico su aplicación se corresponda con pautas valorativas que informa el texto constitucional.</w:t>
      </w:r>
    </w:p>
    <w:p w14:paraId="04E0ED20" w14:textId="77777777" w:rsidR="009D7677" w:rsidRDefault="009D7677" w:rsidP="009D7677">
      <w:pPr>
        <w:pStyle w:val="TextoNormal"/>
      </w:pPr>
    </w:p>
    <w:p w14:paraId="40FC8AE5" w14:textId="77777777" w:rsidR="009D7677" w:rsidRDefault="009D7677" w:rsidP="009D7677">
      <w:pPr>
        <w:pStyle w:val="TextoNormal"/>
      </w:pPr>
      <w:r>
        <w:t>c) Y, finalmente, que el Tribunal Constitucional al fiscalizar la interpretación y aplicación de la norma penal debe tener presente que la labor aplicativa le corresponde en exclusiva a la jurisdicción ordinaria (art. 117.3 CE). De modo que hemos reiterado en múltiples pronunciamientos que al Tribunal Constitucional no le corresponde la determinación de la interpretación última, en cuanto más correcta, de un enunciado penal, ni siquiera desde los parámetros que delimitan los valores y principios constitucionales. En otras palabras, “es ajena al contenido propio de nuestra jurisdicción la interpretación última del contenido de los tipos sancionadores y el control de la corrección del proceso de subsunción de los hechos probados en los preceptos aplicados” (STC 137/1997, de 21 de julio, FJ 7).</w:t>
      </w:r>
    </w:p>
    <w:p w14:paraId="6A18F970" w14:textId="77777777" w:rsidR="009D7677" w:rsidRDefault="009D7677" w:rsidP="009D7677">
      <w:pPr>
        <w:pStyle w:val="TextoNormal"/>
      </w:pPr>
    </w:p>
    <w:p w14:paraId="628C033E" w14:textId="77777777" w:rsidR="009D7677" w:rsidRDefault="009D7677" w:rsidP="009D7677">
      <w:pPr>
        <w:pStyle w:val="TextoNormal"/>
      </w:pPr>
      <w:r>
        <w:t>2.2</w:t>
      </w:r>
      <w:r w:rsidRPr="009D7677">
        <w:rPr>
          <w:i/>
        </w:rPr>
        <w:t>. Proyección de la doctrina del Tribunal Constitucional acerca del principio de legalidad a los casos que se le han planteado desde su constituci</w:t>
      </w:r>
      <w:r>
        <w:t>ón</w:t>
      </w:r>
    </w:p>
    <w:p w14:paraId="3AA2826B" w14:textId="77777777" w:rsidR="009D7677" w:rsidRDefault="009D7677" w:rsidP="009D7677">
      <w:pPr>
        <w:pStyle w:val="TextoNormal"/>
      </w:pPr>
    </w:p>
    <w:p w14:paraId="1032E256" w14:textId="77777777" w:rsidR="009D7677" w:rsidRDefault="009D7677" w:rsidP="009D7677">
      <w:pPr>
        <w:pStyle w:val="TextoNormal"/>
      </w:pPr>
      <w:r>
        <w:t xml:space="preserve">En el fundamento jurídico 3, como aval de la doctrina sobre el principio de legalidad penal se citan, con alguna reiteración, cuarenta y cuatro sentencias de este tribunal (SSTC 14/2021, de 28 de enero; 25/2022, de 23 de febrero; 47/2022, de 24 de marzo; 54/2023, de 22 de mayo; 8/2024, de 16 de enero;137/1997, de 21 de julio; 151/1997, de 29 de septiembre; 232/1997, de 16 de diciembre; 162/1999, de 27 de septiembre; 150/1989, de 25 de septiembre; 133/1987, de 21 de julio; 127/1990, de 5 de julio; 111/1993, de 25 de marzo; 53/1994, de 24 de febrero; 75/2002, de 8 de abril; 234/2007, de 5 de noviembre; 15/1981, de 7 de mayo; 142/1999, de 22 de julio; 64/2001, de 17 de marzo; 25/2004, de 26 de febrero; 218/2005, de 12 de septiembre; 297/2005, de 21 de noviembre; 283/2006, de 9 de octubre; 24/2004, de 24 de febrero; 242/2005, de 10 de octubre; 162/2008, de 15 de diciembre; 81/2009, de 23 de marzo; 135/2010, de 2 de diciembre; 9/2018, de 5 de febrero; 129/2008, de 27 de octubre; 153/2011, de 17 de octubre; 185/2014, de 6 de noviembre; 150/2015, de 6 de julio; 123/2001, de 4 de junio; 81/1995, de 5 de junio; 34/1996, de 11 de marzo; 170/2002, de 30 de septiembre; 229/2003, de 18 de diciembre; 229/2007, de 5 </w:t>
      </w:r>
      <w:r>
        <w:lastRenderedPageBreak/>
        <w:t>de noviembre; 189/1998, de 28 de septiembre; 13/2003, de 28 de enero; 138/2004, de 13 de septiembre; 9/2006, de 16 de enero, y 262/2006, de 11 de septiembre).</w:t>
      </w:r>
    </w:p>
    <w:p w14:paraId="269693BE" w14:textId="77777777" w:rsidR="009D7677" w:rsidRDefault="009D7677" w:rsidP="009D7677">
      <w:pPr>
        <w:pStyle w:val="TextoNormal"/>
      </w:pPr>
    </w:p>
    <w:p w14:paraId="70CF0087" w14:textId="77777777" w:rsidR="009D7677" w:rsidRDefault="009D7677" w:rsidP="009D7677">
      <w:pPr>
        <w:pStyle w:val="TextoNormal"/>
      </w:pPr>
      <w:r>
        <w:t>De todas las sentencias citadas, únicamente se refieren a supuestos en que, como en el caso planteado en la demanda de amparo, se cuestiona la subsunción del hecho probado en la parte objetiva del tipo penal —dejando por tanto de lado las que versan sobre sanciones administrativas— las SSTC 25/2022, 47/2022, 137/1997, 129/2008, 153/2011, 150/2015, 123/2001, 34/1996, 170/2002, 229/2003, 189/1998, 111/1993, 142/1999 y 262/2006 que enjuician la subsunción de diversas conductas en otros tantos delitos y faltas.</w:t>
      </w:r>
    </w:p>
    <w:p w14:paraId="46332285" w14:textId="77777777" w:rsidR="009D7677" w:rsidRDefault="009D7677" w:rsidP="009D7677">
      <w:pPr>
        <w:pStyle w:val="TextoNormal"/>
      </w:pPr>
    </w:p>
    <w:p w14:paraId="7BAD89EB" w14:textId="77777777" w:rsidR="009D7677" w:rsidRDefault="009D7677" w:rsidP="009D7677">
      <w:pPr>
        <w:pStyle w:val="TextoNormal"/>
      </w:pPr>
      <w:r>
        <w:t>Pues bien, las once primeras (SSTC 25/2022, 47/2022, 137/1997, 129/2008, 153/2011, 150/2015, 123/2001, 34/1996, 170/2002, 229/2003 y 189/1998) se refieren respectivamente a quejas sobre la subsunción de la conducta en los delitos o faltas de desobediencia, sedición, coacciones, contra la hacienda pública, imprudencia leve, falsedad documental (en dos ocasiones), descubrimiento y revelación de secretos, apropiación indebida, prevaricación judicial y contra la salud pública y, siguiendo la arraigada doctrina por la que la función de interpretar y aplicar la legislación vigente, subsumiendo en las normas los hechos que llevan a su conocimiento, corresponde en exclusiva a los jueces y tribunales, de acuerdo con lo establecido en el art. 117.3 CE, en todas ellas se desestimó la vulneración del principio de legalidad penal.</w:t>
      </w:r>
    </w:p>
    <w:p w14:paraId="10CC8C78" w14:textId="77777777" w:rsidR="009D7677" w:rsidRDefault="009D7677" w:rsidP="009D7677">
      <w:pPr>
        <w:pStyle w:val="TextoNormal"/>
      </w:pPr>
    </w:p>
    <w:p w14:paraId="565436A0" w14:textId="77777777" w:rsidR="009D7677" w:rsidRDefault="009D7677" w:rsidP="009D7677">
      <w:pPr>
        <w:pStyle w:val="TextoNormal"/>
      </w:pPr>
      <w:r>
        <w:t>Únicamente se estimó la vulneración del principio de legalidad penal en tres casos, las STC 111/1993, 142/1999 y 262/2006. En las dos primeras relativas a condenas por delito de intrusismo al entender que “título oficial” a que se refiere el art. 321.1 del Código penal no puede ser entendido sino como “título académico oficial” y en la tercera por delito de lesiones graves, al no constar en los hechos probados la gravedad de las mismas. Ninguna de estas condenas fue dictada o confirmada por el Tribunal Supremo, que, como órgano jurisdiccional superior en todos los órdenes, es la máxima autoridad jurisdiccional en la función de interpretar y aplicar la legislación vigente (art. 117.3 y 123.1 CE).</w:t>
      </w:r>
    </w:p>
    <w:p w14:paraId="3075D926" w14:textId="77777777" w:rsidR="009D7677" w:rsidRDefault="009D7677" w:rsidP="009D7677">
      <w:pPr>
        <w:pStyle w:val="TextoNormal"/>
      </w:pPr>
    </w:p>
    <w:p w14:paraId="655E82F3" w14:textId="77777777" w:rsidR="009D7677" w:rsidRDefault="009D7677" w:rsidP="009D7677">
      <w:pPr>
        <w:pStyle w:val="TextoNormal"/>
      </w:pPr>
      <w:r>
        <w:t>Resulta por tanto llamativo que sea en el caso más grave de corrupción política institucionalizada y mantenida durante más de diez años, cuando el Tribunal Constitucional rectifique por primera vez desde que inició su andadura al Tribunal Supremo en la interpretación de un elemento recogido en la descripción de la conducta típica de un delito.</w:t>
      </w:r>
    </w:p>
    <w:p w14:paraId="29062202" w14:textId="77777777" w:rsidR="009D7677" w:rsidRDefault="009D7677" w:rsidP="009D7677">
      <w:pPr>
        <w:pStyle w:val="TextoNormal"/>
      </w:pPr>
    </w:p>
    <w:p w14:paraId="7CF3D24B" w14:textId="77777777" w:rsidR="009D7677" w:rsidRDefault="009D7677" w:rsidP="009D7677">
      <w:pPr>
        <w:pStyle w:val="TextoNormal"/>
      </w:pPr>
      <w:r>
        <w:t>3</w:t>
      </w:r>
      <w:r w:rsidRPr="009D7677">
        <w:rPr>
          <w:i/>
        </w:rPr>
        <w:t>. Cuestionamiento de la argumentación de la sentencia del Tribunal Constitucional para estimar la vulneración del principio de legalidad pen</w:t>
      </w:r>
      <w:r>
        <w:t>al</w:t>
      </w:r>
    </w:p>
    <w:p w14:paraId="570C9D2E" w14:textId="77777777" w:rsidR="009D7677" w:rsidRDefault="009D7677" w:rsidP="009D7677">
      <w:pPr>
        <w:pStyle w:val="TextoNormal"/>
      </w:pPr>
    </w:p>
    <w:p w14:paraId="3C572F81" w14:textId="77777777" w:rsidR="009D7677" w:rsidRDefault="009D7677" w:rsidP="009D7677">
      <w:pPr>
        <w:pStyle w:val="TextoNormal"/>
      </w:pPr>
      <w:r>
        <w:t>3.1</w:t>
      </w:r>
      <w:r w:rsidRPr="009D7677">
        <w:rPr>
          <w:i/>
        </w:rPr>
        <w:t>. Fundamento 4.3 de la sentencia: “Características de nuestra democracia constitucional y parlamentari</w:t>
      </w:r>
      <w:r>
        <w:t>a”</w:t>
      </w:r>
    </w:p>
    <w:p w14:paraId="0B26EFD3" w14:textId="77777777" w:rsidR="009D7677" w:rsidRDefault="009D7677" w:rsidP="009D7677">
      <w:pPr>
        <w:pStyle w:val="TextoNormal"/>
      </w:pPr>
    </w:p>
    <w:p w14:paraId="6CF9B871" w14:textId="77777777" w:rsidR="009D7677" w:rsidRDefault="009D7677" w:rsidP="009D7677">
      <w:pPr>
        <w:pStyle w:val="TextoNormal"/>
      </w:pPr>
      <w:r>
        <w:t>a) Dicho fundamento se justifica en que “el fundamento de la condena parte de una determinada comprensión de las relaciones entre el Ejecutivo autonómico y su Parlamento que trasciende del ámbito de la legalidad”, sin embargo, no aclara cuál es la —debemos entender— errónea comprensión de la STS 749/2022 que precisa la extensa ilustración del Tribunal.</w:t>
      </w:r>
    </w:p>
    <w:p w14:paraId="17072C3A" w14:textId="77777777" w:rsidR="009D7677" w:rsidRDefault="009D7677" w:rsidP="009D7677">
      <w:pPr>
        <w:pStyle w:val="TextoNormal"/>
      </w:pPr>
    </w:p>
    <w:p w14:paraId="604E37F0" w14:textId="77777777" w:rsidR="009D7677" w:rsidRDefault="009D7677" w:rsidP="009D7677">
      <w:pPr>
        <w:pStyle w:val="TextoNormal"/>
      </w:pPr>
      <w:r>
        <w:lastRenderedPageBreak/>
        <w:t>b) Tampoco el posterior razonamiento al abordar la vulneración del principio de legalidad penal nos aclara el porqué de dicha disertación acerca de la centralidad del Parlamento, el carácter privilegiado de la ley, el monopolio del control de su constitucionalidad por el Tribunal Constitucional, las funciones del Gobierno y del Parlamento, la naturaleza jurídica de los anteproyectos y proyectos de ley, la separación de poderes y la posibilidad de que las leyes se modifiquen.</w:t>
      </w:r>
    </w:p>
    <w:p w14:paraId="219D05A7" w14:textId="77777777" w:rsidR="009D7677" w:rsidRDefault="009D7677" w:rsidP="009D7677">
      <w:pPr>
        <w:pStyle w:val="TextoNormal"/>
      </w:pPr>
    </w:p>
    <w:p w14:paraId="3BA7899C" w14:textId="77777777" w:rsidR="009D7677" w:rsidRDefault="009D7677" w:rsidP="009D7677">
      <w:pPr>
        <w:pStyle w:val="TextoNormal"/>
      </w:pPr>
      <w:r>
        <w:t>c) No se entiende la razón de dicho fundamento. La recurrente, doña Magdalena Álvarez Arza, no personificaba al Gobierno de la Junta de Andalucía, no lo encarnaba. Cuando cometió los delitos por los que fue condenada era consejera de Economía y Hacienda y el excurso del fundamento jurídico 4.3 de la sentencia no contiene ni una sola referencia a la posición institucional de los consejeros o de los ministros en el sistema constitucional ni a las razones por las que no sean responsables penalmente de los delitos que puedan cometer.</w:t>
      </w:r>
    </w:p>
    <w:p w14:paraId="154779C2" w14:textId="77777777" w:rsidR="009D7677" w:rsidRDefault="009D7677" w:rsidP="009D7677">
      <w:pPr>
        <w:pStyle w:val="TextoNormal"/>
      </w:pPr>
    </w:p>
    <w:p w14:paraId="171471A2" w14:textId="77777777" w:rsidR="009D7677" w:rsidRDefault="009D7677" w:rsidP="009D7677">
      <w:pPr>
        <w:pStyle w:val="TextoNormal"/>
      </w:pPr>
      <w:r>
        <w:t>d) Por otra parte, sorprende que al tratar la separación de poderes la sentencia solo se refiera a dos de los poderes del Estado y omita al Poder Judicial. Precisamente, relacionada con dicha omisión, es inexplicable que la sentencia no dedique ningún fundamento a exponer nuestra doctrina sobre la interpretación estricta y finalista del privilegio de la inviolabilidad y de la inmunidad y consiguientemente sobre su inviable proyección en términos constitucionales a los miembros del Gobierno al no existir previsión constitucional en tal sentido (STC 9/1990, de 18 de enero, FJ 4).</w:t>
      </w:r>
    </w:p>
    <w:p w14:paraId="7B03E8D7" w14:textId="77777777" w:rsidR="009D7677" w:rsidRDefault="009D7677" w:rsidP="009D7677">
      <w:pPr>
        <w:pStyle w:val="TextoNormal"/>
      </w:pPr>
    </w:p>
    <w:p w14:paraId="3F8FC02D" w14:textId="77777777" w:rsidR="009D7677" w:rsidRDefault="009D7677" w:rsidP="009D7677">
      <w:pPr>
        <w:pStyle w:val="TextoNormal"/>
      </w:pPr>
      <w:r>
        <w:t>Los miembros del Gobierno no son irresponsables, ni gozan de inmunidad por los delitos que puedan cometer al elaborar y aprobar los anteproyectos de leyes de presupuestos. La Constitución sencillamente no lo prevé (arts. 56.3 y 71.1 CE) porque en un Estado de Derecho pretender situar a los miembros del Gobierno, en cualquier ámbito, por encima de la Ley, como se desprende de la sentencia, ni está justificado (art. 9.1 y 3 CE, a los que se refiere la STS 749/2022), ni podría estarlo so derrumbe del propio Estado de Derecho.</w:t>
      </w:r>
    </w:p>
    <w:p w14:paraId="22F29484" w14:textId="77777777" w:rsidR="009D7677" w:rsidRDefault="009D7677" w:rsidP="009D7677">
      <w:pPr>
        <w:pStyle w:val="TextoNormal"/>
      </w:pPr>
    </w:p>
    <w:p w14:paraId="76AE85B3" w14:textId="77777777" w:rsidR="009D7677" w:rsidRDefault="009D7677" w:rsidP="009D7677">
      <w:pPr>
        <w:pStyle w:val="TextoNormal"/>
      </w:pPr>
      <w:r>
        <w:t>e) Sostener la irresponsabilidad de los miembros del Gobierno por su actuación al elaborar, aprobar o elevar a los Parlamentos proyectos de ley con el propósito acreditado de distribuir ilegalmente subvenciones por importe de cerca de setecientos millones de euros y durante un dilatado periodo de diez años sería incompatible con los compromisos internacionales de España.</w:t>
      </w:r>
    </w:p>
    <w:p w14:paraId="2580ECE3" w14:textId="77777777" w:rsidR="009D7677" w:rsidRDefault="009D7677" w:rsidP="009D7677">
      <w:pPr>
        <w:pStyle w:val="TextoNormal"/>
      </w:pPr>
    </w:p>
    <w:p w14:paraId="02CB1CFC" w14:textId="77777777" w:rsidR="009D7677" w:rsidRDefault="009D7677" w:rsidP="009D7677">
      <w:pPr>
        <w:pStyle w:val="TextoNormal"/>
      </w:pPr>
      <w:r>
        <w:t xml:space="preserve">Baste indicar que, de tratarse de fondos procedentes de la Unión Europea, la sentencia de la que discrepo generaría un riesgo sistémico de impunidad respecto a las infracciones de fraude grave, del que se derivaría el incumplimiento de las obligaciones de España con la Unión Europea, lo que sería incompatible con lo dispuesto en el artículo 325, apartado 1, del Tratado de funcionamiento de la Unión Europea que obliga a luchar contra el fraude y toda actividad ilegal que afecte a los intereses financieros de la Unión, por un lado, a prevenir y combatir la corrupción en general y a prever la aplicación de sanciones eficaces y disuasorias en caso de tales infracciones (SSTJUE de 21 de diciembre de 2021, </w:t>
      </w:r>
      <w:r w:rsidRPr="009D7677">
        <w:rPr>
          <w:i/>
        </w:rPr>
        <w:t>Euro Box Promotion y otros</w:t>
      </w:r>
      <w:r>
        <w:t xml:space="preserve">, asunto C-357/19, § 184 a 187 y 193 a 194, y de 24 de julio de 2023, </w:t>
      </w:r>
      <w:r w:rsidRPr="009D7677">
        <w:rPr>
          <w:i/>
        </w:rPr>
        <w:t>Lin</w:t>
      </w:r>
      <w:r>
        <w:t xml:space="preserve">, asunto C-107/23 PPU, § 83 a 84, 86, y 91 a 94, y auto del Tribunal de Justicia de la Unión Europa, (Sala Sexta), de 7 de noviembre de 2022, </w:t>
      </w:r>
      <w:r w:rsidRPr="009D7677">
        <w:rPr>
          <w:i/>
        </w:rPr>
        <w:t>FX y otros</w:t>
      </w:r>
      <w:r>
        <w:t xml:space="preserve">, asuntos acumulados C‑859/19, C‑926/19 y C‑929/19, § 92). Por otra parte, no se comprendería que los </w:t>
      </w:r>
      <w:r>
        <w:lastRenderedPageBreak/>
        <w:t>intereses financieros de la Unión Europea se deberían proteger penalmente con mayor intensidad que los propios.</w:t>
      </w:r>
    </w:p>
    <w:p w14:paraId="01718308" w14:textId="77777777" w:rsidR="009D7677" w:rsidRDefault="009D7677" w:rsidP="009D7677">
      <w:pPr>
        <w:pStyle w:val="TextoNormal"/>
      </w:pPr>
    </w:p>
    <w:p w14:paraId="2E1FB363" w14:textId="77777777" w:rsidR="009D7677" w:rsidRDefault="009D7677" w:rsidP="009D7677">
      <w:pPr>
        <w:pStyle w:val="TextoNormal"/>
      </w:pPr>
      <w:r>
        <w:t>3.2</w:t>
      </w:r>
      <w:r w:rsidRPr="009D7677">
        <w:rPr>
          <w:i/>
        </w:rPr>
        <w:t>. Fundamento 4.4 de la sentencia: “Enjuiciamiento de la queja de vulneración del art. 25.1 C</w:t>
      </w:r>
      <w:r>
        <w:t>E”</w:t>
      </w:r>
    </w:p>
    <w:p w14:paraId="37173E5C" w14:textId="77777777" w:rsidR="009D7677" w:rsidRDefault="009D7677" w:rsidP="009D7677">
      <w:pPr>
        <w:pStyle w:val="TextoNormal"/>
      </w:pPr>
    </w:p>
    <w:p w14:paraId="26C0285A" w14:textId="77777777" w:rsidR="009D7677" w:rsidRDefault="009D7677" w:rsidP="009D7677">
      <w:pPr>
        <w:pStyle w:val="TextoNormal"/>
      </w:pPr>
      <w:r>
        <w:t>3.2.1</w:t>
      </w:r>
      <w:r w:rsidRPr="009D7677">
        <w:rPr>
          <w:i/>
        </w:rPr>
        <w:t>. Irrupción del Tribunal Constitucional en el ámbito reservado a la jurisdicción ordinaria suplantando la función del Tribunal Supremo como máximo intérprete de la l</w:t>
      </w:r>
      <w:r>
        <w:t>ey</w:t>
      </w:r>
    </w:p>
    <w:p w14:paraId="7B3D8936" w14:textId="77777777" w:rsidR="009D7677" w:rsidRDefault="009D7677" w:rsidP="009D7677">
      <w:pPr>
        <w:pStyle w:val="TextoNormal"/>
      </w:pPr>
    </w:p>
    <w:p w14:paraId="11DC9A50" w14:textId="77777777" w:rsidR="009D7677" w:rsidRDefault="009D7677" w:rsidP="009D7677">
      <w:pPr>
        <w:pStyle w:val="TextoNormal"/>
      </w:pPr>
      <w:r>
        <w:t>a) El fundamento 4.4 de la sentencia contiene el apartado 4.4.1 “Elaboración y aprobación de anteproyectos y proyectos de ley de presupuestos para los ejercicios 2002, 2003 y 2004”. Dentro del mismo las letras “a) Enjuiciamiento de la conformidad con el art. 25.1 CE de la interpretación realizada por los órganos judiciales de los conceptos ‘resolución’ y ‘asunto administrativo’ previstos en el art. 404 CP”; “b) Enjuiciamiento de la conformidad con el art. 25.1 CE de la interpretación realizada por los órganos judiciales del concepto ‘arbitraria’ previsto en el art. 404 CP”; y “c) Incidencia de las resoluciones judiciales impugnadas en nuestro sistema de relaciones entre poderes constitucional y estatutariamente previsto”.</w:t>
      </w:r>
    </w:p>
    <w:p w14:paraId="663A6426" w14:textId="77777777" w:rsidR="009D7677" w:rsidRDefault="009D7677" w:rsidP="009D7677">
      <w:pPr>
        <w:pStyle w:val="TextoNormal"/>
      </w:pPr>
    </w:p>
    <w:p w14:paraId="03380EF5" w14:textId="77777777" w:rsidR="009D7677" w:rsidRDefault="009D7677" w:rsidP="009D7677">
      <w:pPr>
        <w:pStyle w:val="TextoNormal"/>
      </w:pPr>
      <w:r>
        <w:t>b) La sentencia comienza su razonamiento acerca de la vulneración del derecho a la legalidad penal (art. 25.1 CE) con la construcción de un novedoso parámetro de control del proceso de subsunción penal efectuado por los jueces y tribunales, “la perspectiva constitucional”, y la proyecta a los conceptos penales “resoluciones” y “asunto administrativo”. Sin ambages, con la cobertura de dicha “perspectiva constitucional” se erige, por primera vez desde que el Tribunal Constitucional ejerce su cometido constitucional, en máximo intérprete de la legalidad penal y suplanta también por vez primera desde que ejerce su jurisdicción la función de interpretación de la Sala de lo Penal del Tribunal Supremo acerca de los elementos que integran la parte objetiva del tipo de injusto de un delito, socavando la jurisdicción del Tribunal Supremo como órgano jurisdiccional superior en todos los órdenes y máxima autoridad jurisdiccional en la función de interpretar y aplicar la legislación vigente (arts. 117.3 y 123.1 CE).</w:t>
      </w:r>
    </w:p>
    <w:p w14:paraId="2CAC25EC" w14:textId="77777777" w:rsidR="009D7677" w:rsidRDefault="009D7677" w:rsidP="009D7677">
      <w:pPr>
        <w:pStyle w:val="TextoNormal"/>
      </w:pPr>
    </w:p>
    <w:p w14:paraId="5C182C26" w14:textId="77777777" w:rsidR="009D7677" w:rsidRDefault="009D7677" w:rsidP="009D7677">
      <w:pPr>
        <w:pStyle w:val="TextoNormal"/>
      </w:pPr>
      <w:r>
        <w:t>c) El radical viraje en la doctrina del Tribunal Constitucional que representa esta sentencia obliga necesariamente a recordar el contenido y alcance del control que tradicionalmente este tribunal ha asumido en relación con el proceso de interpretación y aplicación de las normas penales. Para ello, nos serviremos de la STC 229/2003, de 18 de diciembre, en la que este tribunal abordó, desde la perspectiva del principio de legalidad penal, la condena no a un político, sino a un magistrado, y no por delito de prevaricación administrativa, sino por un delito de prevaricación judicial. Decía entonces el Tribunal (FJ 16):</w:t>
      </w:r>
    </w:p>
    <w:p w14:paraId="2C6ADD15" w14:textId="77777777" w:rsidR="009D7677" w:rsidRDefault="009D7677" w:rsidP="009D7677">
      <w:pPr>
        <w:pStyle w:val="TextoNormal"/>
      </w:pPr>
    </w:p>
    <w:p w14:paraId="3F4E6FFE" w14:textId="77777777" w:rsidR="009D7677" w:rsidRDefault="009D7677" w:rsidP="009D7677">
      <w:pPr>
        <w:pStyle w:val="TextoNormal"/>
      </w:pPr>
      <w:r>
        <w:t xml:space="preserve">“Por lo que respecta al alcance del control que el Tribunal Constitucional puede ejercer respecto de la interpretación y aplicación de los preceptos sancionadores efectuados por los órganos judiciales, nuestra doctrina parte de que toda norma penal admite diversas interpretaciones como consecuencia natural, entre otros factores, de la vaguedad del lenguaje, el carácter genérico de las normas y su inserción en un sistema normativo relativamente complejo (SSTC 189/1998, de 28 de septiembre, FJ 7; 42/1999, de 22 de marzo, FJ 4; 167/2001, de 16 de julio, FJ 3), y de que la función de interpretar y aplicar la legislación </w:t>
      </w:r>
      <w:r>
        <w:lastRenderedPageBreak/>
        <w:t>vigente, subsumiendo en las normas los hechos que llevan a su conocimiento, corresponde en exclusiva a los jueces y tribunales, de acuerdo con lo establecido en el art. 117.3 CE, sin que pueda este tribunal sustituirlos en dichas tareas, ni determinar cuál de entre todas las interpretaciones posibles de la norma es la más correcta, ni qué política criminal concreta debe orientar esa selección (por todas, SSTC 137/1997, de 21 de julio, FJ 7; 189/1998, de 28 de septiembre, FJ 7; 142/1999, de 22 de julio, FJ 4; 167/2001, de 16 de julio, FJ 3). En otras palabras, ‘es ajena al contenido propio de nuestra jurisdicción la interpretación última del contenido de los tipos sancionadores y el control de la corrección del proceso de subsunción de los hechos probados en los preceptos aplicados’ (STC 137/1997, de 21 de julio, FJ 7).</w:t>
      </w:r>
    </w:p>
    <w:p w14:paraId="76648F45" w14:textId="77777777" w:rsidR="009D7677" w:rsidRDefault="009D7677" w:rsidP="009D7677">
      <w:pPr>
        <w:pStyle w:val="TextoNormal"/>
      </w:pPr>
    </w:p>
    <w:p w14:paraId="1C3B5792" w14:textId="77777777" w:rsidR="009D7677" w:rsidRDefault="009D7677" w:rsidP="009D7677">
      <w:pPr>
        <w:pStyle w:val="TextoNormal"/>
      </w:pPr>
      <w:r>
        <w:t>Por tanto, en este ámbito nuestro papel como jurisdicción de amparo ‘se reduce a velar por la indemnidad del derecho indicado y, con ello, por la de los valores de seguridad jurídica y de monopolio legislativo en la determinación esencial de lo penalmente ilícito que lo informan’, verificando ‘si la interpretación realizada era una de las interpretaciones posibles de la norma en atención a aquellos valores’ (STC 189/1998, de 28 de septiembre, FJ 7; citándola, SSTC 42/1999, de 22 de marzo, FJ 4; 142/1999, de 22 de julio, FJ 4). Además desde la STC 137/1997, de 21 de julio, hemos destacado que no se limita a comprobar el respeto de los órganos judiciales al tenor literal de la norma, ni a la mera interdicción de la arbitrariedad, el error patente o la manifiesta irrazonabilidad de las decisiones judiciales, sino que, más allá de estas constataciones, nuestra jurisprudencia exige comprobar en positivo la razonabilidad de la decisión, desde las pautas axiológicas que inspiran nuestro ordenamiento constitucional y desde los modelos de interpretación aceptados por la comunidad jurídica, pues solo de este modo puede verse en la decisión sancionadora ‘un fruto previsible de una razonable administración judicial o administrativa de la soberanía popular. […] Dicho de otro modo, no solo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de 21 de julio, FJ 7).</w:t>
      </w:r>
    </w:p>
    <w:p w14:paraId="7D7495DC" w14:textId="77777777" w:rsidR="009D7677" w:rsidRDefault="009D7677" w:rsidP="009D7677">
      <w:pPr>
        <w:pStyle w:val="TextoNormal"/>
      </w:pPr>
    </w:p>
    <w:p w14:paraId="19643E9B" w14:textId="77777777" w:rsidR="009D7677" w:rsidRDefault="009D7677" w:rsidP="009D7677">
      <w:pPr>
        <w:pStyle w:val="TextoNormal"/>
      </w:pPr>
      <w:r>
        <w:t xml:space="preserve">En definitiva, nuestro canon de enjuiciamiento constitucional, configurado a partir de la STC 137/1997, es el siguiente: cabe hablar de aplicación analógica o extensiva </w:t>
      </w:r>
      <w:r w:rsidRPr="009D7677">
        <w:rPr>
          <w:i/>
        </w:rPr>
        <w:t>in malam partem</w:t>
      </w:r>
      <w:r>
        <w:t xml:space="preserve">, vulneradora del principio de legalidad penal, cuando dicha aplicación carezca hasta tal punto de razonabilidad que resulte imprevisible para sus destinatarios, sea por apartamiento del tenor literal del precepto, sea por la utilización de pautas valorativas extravagantes en relación con los principios que inspiran el ordenamiento constitucional, sea por el empleo de criterios o modelos de interpretación no aceptados por la comunidad jurídica, comprobado todo ello a partir de la motivación expresada en las resoluciones recurridas (SSTC 137/1997, de 21 de julio, FJ 7; 151/1997, de 29 de septiembre, FJ 4; 225/1997, de 15 de diciembre, FJ 4; 232/1997, de 16 de diciembre, FJ 2; 236/1997, de 22 de diciembre, FJ 4; 56/1998, de 16 de marzo, FJ 8; 189/1998, de 28 de septiembre, FJ 7; 25/1999, de 8 de marzo, FJ 3; 42/1999, de 22 de marzo, FJ 4; 142/1999, de 22 de julio, FJ 4; 174/2000, de 26 de junio, FJ 2; 185/2000, de 10 de julio, FJ 4; 195/2000, de 24 de julio, </w:t>
      </w:r>
      <w:r>
        <w:lastRenderedPageBreak/>
        <w:t>FJ 4; 278/2000, de 27 de noviembre, FJ 12; 126/2001, de 4 de junio, FJ 4; 167/2001, de 16 de julio, FJ 3; 170/2002, de 30 de septiembre, FJ 12; 13/2003, de 28 de enero, FJ 3)”.</w:t>
      </w:r>
    </w:p>
    <w:p w14:paraId="02985866" w14:textId="77777777" w:rsidR="009D7677" w:rsidRDefault="009D7677" w:rsidP="009D7677">
      <w:pPr>
        <w:pStyle w:val="TextoNormal"/>
      </w:pPr>
    </w:p>
    <w:p w14:paraId="1F2479BF" w14:textId="77777777" w:rsidR="009D7677" w:rsidRDefault="009D7677" w:rsidP="009D7677">
      <w:pPr>
        <w:pStyle w:val="TextoNormal"/>
      </w:pPr>
      <w:r>
        <w:t>d) Consecuente con dicha doctrina no procede exponer una “perspectiva constitucional” de los elementos que constituyen el tipo penal del delito de prevaricación administrativa y sustituir la interpretación del Tribunal Supremo de los conceptos penales, sino examinar el conjunto de los razonamientos esgrimidos en la sentencia recurrida, tanto en relación con el delito de prevaricación administrativa en abstracto, como con su concurrencia en el caso concreto. Al hacerlo no cabe sino concluir que la interpretación y aplicación llevada a cabo por los órganos judiciales del tipo penal de prevaricación administrativa en el presente caso es acorde con las exigencias del principio de legalidad, como se expone a continuación.</w:t>
      </w:r>
    </w:p>
    <w:p w14:paraId="43745989" w14:textId="77777777" w:rsidR="009D7677" w:rsidRDefault="009D7677" w:rsidP="009D7677">
      <w:pPr>
        <w:pStyle w:val="TextoNormal"/>
      </w:pPr>
    </w:p>
    <w:p w14:paraId="4E6C4E30" w14:textId="77777777" w:rsidR="009D7677" w:rsidRDefault="009D7677" w:rsidP="009D7677">
      <w:pPr>
        <w:pStyle w:val="TextoNormal"/>
      </w:pPr>
      <w:r>
        <w:t>e) Como se ha expuesto, la Sala de lo Penal del Tribunal Supremo dedica el apartadoVI de los fundamentos jurídicos de su sentencia a exponer el juicio de tipicidad del delito de prevaricación administrativa. Su razonamiento, atendida la interpretación del delito de prevaricación y la subsunción de los hechos en el mismo, no puede calificarse de extravagante o imprevisible para sus destinatarios, ni por su soporte metodológico, ni por las pautas valorativas que la inspiran. ¿Acaso la recurrente podía considerar imprevisible o extravagante que pudiera ser condenada cuanto menos por un delito de prevaricación administrativa (dictar una resolución arbitraria en un asunto administrativo a sabiendas de su injusticia) cuando sometió a aprobación del Gobierno y posteriormente a aprobación parlamentaria unos anteproyectos y proyectos de presupuestos que introducían un sistema de presupuestación indebido, las trasferencias de financiación, para evitar los controles establecidos en la ley en la concesión de subvenciones y conceder subvenciones ilegales?</w:t>
      </w:r>
    </w:p>
    <w:p w14:paraId="275B5E8D" w14:textId="77777777" w:rsidR="009D7677" w:rsidRDefault="009D7677" w:rsidP="009D7677">
      <w:pPr>
        <w:pStyle w:val="TextoNormal"/>
      </w:pPr>
    </w:p>
    <w:p w14:paraId="7B9BD936" w14:textId="77777777" w:rsidR="009D7677" w:rsidRDefault="009D7677" w:rsidP="009D7677">
      <w:pPr>
        <w:pStyle w:val="TextoNormal"/>
      </w:pPr>
      <w:r>
        <w:t>f) Procede que destaquemos del exhaustivo y pormenorizado razonamiento de la Sala de lo Penal del Tribunal Supremo los siguientes aspectos:</w:t>
      </w:r>
    </w:p>
    <w:p w14:paraId="13F22725" w14:textId="77777777" w:rsidR="009D7677" w:rsidRDefault="009D7677" w:rsidP="009D7677">
      <w:pPr>
        <w:pStyle w:val="TextoNormal"/>
      </w:pPr>
    </w:p>
    <w:p w14:paraId="1BBCE41F" w14:textId="77777777" w:rsidR="009D7677" w:rsidRDefault="009D7677" w:rsidP="009D7677">
      <w:pPr>
        <w:pStyle w:val="TextoNormal"/>
      </w:pPr>
      <w:r>
        <w:t>(i) Desde el punto de los valores y bienes jurídicos que justifican la existencia del delito de prevaricación administrativa previsto en el art. 404 CP, sostiene la STS 749/2022 que la tipificación del delito pretende la tutela del correcto ejercicio de la función pública de acuerdo con los parámetros constitucionales que orientan su actuación, que son: el servicio prioritario de los intereses generales; el sometimiento a la Ley y al Derecho y la objetividad e imparcialidad en el cumplimiento de esos fines. Añade que la sanción penal de la prevaricación administrativa tiende a garantizar el debido respeto a la imparcialidad y objetividad en el ámbito de la función pública y el principio de legalidad como fundamento básico de un Estado social y democrático de Derecho, frente a ilegalidades severas y dolosas.</w:t>
      </w:r>
    </w:p>
    <w:p w14:paraId="5D84D2FF" w14:textId="77777777" w:rsidR="009D7677" w:rsidRDefault="009D7677" w:rsidP="009D7677">
      <w:pPr>
        <w:pStyle w:val="TextoNormal"/>
      </w:pPr>
    </w:p>
    <w:p w14:paraId="57B33B0F" w14:textId="77777777" w:rsidR="009D7677" w:rsidRDefault="009D7677" w:rsidP="009D7677">
      <w:pPr>
        <w:pStyle w:val="TextoNormal"/>
      </w:pPr>
      <w:r>
        <w:t>A la luz de dicho entendimiento del bien jurídico tutelado por el delito, no resulta sostenible, desde el punto de vista axiológico, que la proyección de tipo penal a la conducta realizada por la recurrente, consistente en la elaboración, aprobación y remisión de proyectos de leyes de presupuestos al Parlamento infringiendo la Ley 5/1983, de 19 de julio, general de la hacienda pública de Andalucía con el propósito de conceder subvenciones ilegales, eludiendo los mecanismos que las normas reguladoras de las mismas establecían, pueda merecer reproche alguno desde el prisma del principio de legalidad penal. El repro</w:t>
      </w:r>
      <w:r>
        <w:lastRenderedPageBreak/>
        <w:t>che penal no se opone a la orientación material de la norma y no puede considerarse imprevisible para la destinataria.</w:t>
      </w:r>
    </w:p>
    <w:p w14:paraId="64AE6138" w14:textId="77777777" w:rsidR="009D7677" w:rsidRDefault="009D7677" w:rsidP="009D7677">
      <w:pPr>
        <w:pStyle w:val="TextoNormal"/>
      </w:pPr>
    </w:p>
    <w:p w14:paraId="6EE46B54" w14:textId="77777777" w:rsidR="009D7677" w:rsidRDefault="009D7677" w:rsidP="009D7677">
      <w:pPr>
        <w:pStyle w:val="TextoNormal"/>
      </w:pPr>
      <w:r>
        <w:t>(ii) Desde el punto de vista del esquema racional seguido por la STS 749/2022, tampoco incurre en una argumentación ilógica o extravagante. La sentencia del Tribunal Supremo confirma la subsunción penal de los hechos probados —no controvertidos— en el delito de prevaricación administrativa. A tal fin, destaca extensamente los elementos del tipo: resolución dictada por autoridad o funcionario en asunto administrativo; contraria a Derecho; que ocasione un resultado materialmente injusto, sin que sea preciso que determine un perjuicio tangible, basta la producción de un daño inmaterial constituido por la quiebra que en los ciudadanos va a tener la credibilidad de las instituciones y la confianza que ellos deben merecerse, al tratarse de un delito en que la actividad coincide con el resultado; y conocimiento de actuar en contra del Derecho.</w:t>
      </w:r>
    </w:p>
    <w:p w14:paraId="48F226E2" w14:textId="77777777" w:rsidR="009D7677" w:rsidRDefault="009D7677" w:rsidP="009D7677">
      <w:pPr>
        <w:pStyle w:val="TextoNormal"/>
      </w:pPr>
    </w:p>
    <w:p w14:paraId="33C4C017" w14:textId="77777777" w:rsidR="009D7677" w:rsidRDefault="009D7677" w:rsidP="009D7677">
      <w:pPr>
        <w:pStyle w:val="TextoNormal"/>
      </w:pPr>
      <w:r>
        <w:t>Por una parte, indica que la aprobación de un anteproyecto de ley por la consejera, su posterior aprobación por la Junta de Andalucía y la decisión de remisión al Parlamento son resoluciones que se dictan en un “asunto administrativo”. A tal fin, acude a un parámetro temporal: indica que un proyecto de ley no es un acto parlamentario, ni forma parte del proceso legislativo de elaboración de una ley, pues tanto el Reglamento del Parlamento de Andalucía (arts. 108 y ss.) como el Reglamento del Congreso de los Diputados (arts. 109 y ss.), establecen el momento inicial del proceso legislativo en la recepción del proyecto de ley, junto con los documentos que lo acompañan. Los trámites anteriores no forman parte de ese proceso. Atiende también a las normas que regulan dicho proceso cuando indica que los trámites desde la elaboración del proyecto de ley de presupuestos hasta su aprobación por el Consejo de Gobierno están regulados por el Derecho administrativo (entonces por la Ley 5/1983, 19 de julio, general de la hacienda pública de Andalucía). Define, con sustento en las SSTS 259/2015 (ECLI:ES:TS:2015:1718) y 941/2009 (ECLI:ES:TS:2009:5849), que “asunto administrativo” son “todos los actos y decisiones realizados por autoridades o funcionarios públicos en el ejercicio de sus funciones con exclusión de los actos propiamente jurisdiccionales o legislativos”.</w:t>
      </w:r>
    </w:p>
    <w:p w14:paraId="7F918DB7" w14:textId="77777777" w:rsidR="009D7677" w:rsidRDefault="009D7677" w:rsidP="009D7677">
      <w:pPr>
        <w:pStyle w:val="TextoNormal"/>
      </w:pPr>
    </w:p>
    <w:p w14:paraId="3A1C7906" w14:textId="77777777" w:rsidR="009D7677" w:rsidRDefault="009D7677" w:rsidP="009D7677">
      <w:pPr>
        <w:pStyle w:val="TextoNormal"/>
      </w:pPr>
      <w:r>
        <w:t>Por otra parte, excluye que se trate de actos del Gobierno inmunes al control judicial. De este modo sostiene que la inmunidad parlamentaria no alcanza al Gobierno, que no puede escudarse en ella para incumplir las leyes y aprobar proyectos de ley para perseguir fines ilícitos. Otra interpretación posibilitaría un ámbito de inmunidad difícilmente justificable, ajeno a las bases fundacionales del Estado de Derecho y a los arts. 1.1, 9.1, 103 y 24 CE. Afirma que incluso la Ley de la jurisdicción contencioso-administrativa de 1956, que excluía el control de los actos políticos, concretaba estos a los de defensa del territorio, las relaciones internacionales y la seguridad interior y organización militar, distinguiendo incluso entonces entre las funciones políticas y administrativas. Destaca que es incompatible con el Estado de Derecho la construcción de ámbitos de inmunidad del poder a partir de una idea en decadencia de acto político.</w:t>
      </w:r>
    </w:p>
    <w:p w14:paraId="660E548E" w14:textId="77777777" w:rsidR="009D7677" w:rsidRDefault="009D7677" w:rsidP="009D7677">
      <w:pPr>
        <w:pStyle w:val="TextoNormal"/>
      </w:pPr>
    </w:p>
    <w:p w14:paraId="76CCA89C" w14:textId="77777777" w:rsidR="009D7677" w:rsidRDefault="009D7677" w:rsidP="009D7677">
      <w:pPr>
        <w:pStyle w:val="TextoNormal"/>
      </w:pPr>
      <w:r>
        <w:t>Refiere que la propia Sala de lo Contencioso-Administrativo del Tribunal Supremo (STS 920/2019, de 26 de junio) establece los presupuestos para que se pueda calificar un acto como acto político del Gobierno: su procedencia formal [art. 2 a) de la Ley de la jurisdicción contencioso-administrativa], que su contenido sea una determinación de la “dirección política”, esto es, que el contenido de la decisión permita optar entre varias opcio</w:t>
      </w:r>
      <w:r>
        <w:lastRenderedPageBreak/>
        <w:t>nes lícitas y admisibles en el sentido constitucional y legal de la palabra. No es controlable el fondo de la decisión, pero sí los elementos reglados de la misma.</w:t>
      </w:r>
    </w:p>
    <w:p w14:paraId="10EAB2C1" w14:textId="77777777" w:rsidR="009D7677" w:rsidRDefault="009D7677" w:rsidP="009D7677">
      <w:pPr>
        <w:pStyle w:val="TextoNormal"/>
      </w:pPr>
    </w:p>
    <w:p w14:paraId="4548501B" w14:textId="77777777" w:rsidR="009D7677" w:rsidRDefault="009D7677" w:rsidP="009D7677">
      <w:pPr>
        <w:pStyle w:val="TextoNormal"/>
      </w:pPr>
      <w:r>
        <w:t>Justifica la ausencia de control por la jurisdicción contencioso-administrativa del proyecto de ley y distingue entre los criterios de oportunidad y discrecionalidad, propios de la acción política y las distintas decisiones —resoluciones— que se adoptan al aprobar un proyecto de ley de presupuestos antes de su elevación al Parlamento, que deben respetar los criterios financieros dispuestos en las leyes aplicables.</w:t>
      </w:r>
    </w:p>
    <w:p w14:paraId="69ED00AF" w14:textId="77777777" w:rsidR="009D7677" w:rsidRDefault="009D7677" w:rsidP="009D7677">
      <w:pPr>
        <w:pStyle w:val="TextoNormal"/>
      </w:pPr>
    </w:p>
    <w:p w14:paraId="1FD98356" w14:textId="77777777" w:rsidR="009D7677" w:rsidRDefault="009D7677" w:rsidP="009D7677">
      <w:pPr>
        <w:pStyle w:val="TextoNormal"/>
      </w:pPr>
      <w:r>
        <w:t>Afirma la autonomía de la jurisdicción penal, proclamada en diversas sentencias, para la interpretación de los elementos normativos incorporados en el tipo objetivo del delito tipificado en el art. 404 CP. No puede identificarse “resolución” en “asunto administrativo”, con resolución administrativa, pues el concepto “resolución” es más amplio y no exige que ponga fin a la vía administrativa, comprendiendo aquellos que, sin poner fin a la misma, tengan un contenido material o resuelvan algún aspecto fundamental para la resolución del procedimiento, con independencia de que luego sea confirmada o revocada. Son calificados como resolución los actos previos tendentes a manipular la voluntad del órgano decisor mediante decisiones contrarias a la ley, siempre que constituyan un eslabón necesario relevante para la decisión final.</w:t>
      </w:r>
    </w:p>
    <w:p w14:paraId="17D733BF" w14:textId="77777777" w:rsidR="009D7677" w:rsidRDefault="009D7677" w:rsidP="009D7677">
      <w:pPr>
        <w:pStyle w:val="TextoNormal"/>
      </w:pPr>
    </w:p>
    <w:p w14:paraId="630D2691" w14:textId="77777777" w:rsidR="009D7677" w:rsidRDefault="009D7677" w:rsidP="009D7677">
      <w:pPr>
        <w:pStyle w:val="TextoNormal"/>
      </w:pPr>
      <w:r>
        <w:t>Destaca que la remisión de un proyecto de ley de presupuestos al Parlamento andaluz va precedida de un extenso y detallado expediente administrativo compuesto, a su vez, de distintos expedientes en los que, conforme a lo previsto en las leyes, se van produciendo distintas resoluciones y que está sujeto al principio de legalidad como base del cumplimiento de la gestión presupuestaria de la Junta de Andalucía. La STS 749/2022, distingue las tres fases de elaboración de los proyectos de leyes de presupuestos y destaca la intervención que en dichas fases tenía la consejera de Hacienda en el análisis y control de la legalidad presupuestaria. Advierte que las autoridades administrativas al aprobar el proyecto en cada una de sus fases debían examinarlo y comprobar su legalidad. Esas autoridades tenían la potestad de rechazar el proyecto de ley o de modificarlo para que, al margen de la decisión política de fondo sobre la materia presupuestaria, cumpliera con las exigencias de legalidad tanto en su tramitación como en su contenido.</w:t>
      </w:r>
    </w:p>
    <w:p w14:paraId="6FF491FF" w14:textId="77777777" w:rsidR="009D7677" w:rsidRDefault="009D7677" w:rsidP="009D7677">
      <w:pPr>
        <w:pStyle w:val="TextoNormal"/>
      </w:pPr>
    </w:p>
    <w:p w14:paraId="667376C5" w14:textId="77777777" w:rsidR="009D7677" w:rsidRDefault="009D7677" w:rsidP="009D7677">
      <w:pPr>
        <w:pStyle w:val="TextoNormal"/>
      </w:pPr>
      <w:r>
        <w:t>Atendida la naturaleza del delito de prevaricación sostiene que el hecho de que los proyectos de ley fueran finalmente aprobados no es obstáculo para atribuir relevancia penal a las resoluciones aludidas, dado que la consumación del delito se produce con el dictado de la resolución injusta, siendo irrelevante que el Parlamento lo aprobara o no. Aprecia la existencia de una resolución arbitraria cuando omitir las exigencias procedimentales suponga principalmente la elusión de los controles que el propio procedimiento establece sobre el fondo del asunto.</w:t>
      </w:r>
    </w:p>
    <w:p w14:paraId="017C759D" w14:textId="77777777" w:rsidR="009D7677" w:rsidRDefault="009D7677" w:rsidP="009D7677">
      <w:pPr>
        <w:pStyle w:val="TextoNormal"/>
      </w:pPr>
    </w:p>
    <w:p w14:paraId="3443A512" w14:textId="77777777" w:rsidR="009D7677" w:rsidRDefault="009D7677" w:rsidP="009D7677">
      <w:pPr>
        <w:pStyle w:val="TextoNormal"/>
      </w:pPr>
      <w:r>
        <w:t>Finaliza dicha argumentación señalando que la corrupción política y administrativa y la desviación de poder son incompatibles con un Estado democrático de Derecho, en el que han de prevalecer principios como la igualdad ante la ley, el control del poder público, la imparcialidad y la corrección en la actuación administrativa.</w:t>
      </w:r>
    </w:p>
    <w:p w14:paraId="4F8B910B" w14:textId="77777777" w:rsidR="009D7677" w:rsidRDefault="009D7677" w:rsidP="009D7677">
      <w:pPr>
        <w:pStyle w:val="TextoNormal"/>
      </w:pPr>
    </w:p>
    <w:p w14:paraId="7AA7161B" w14:textId="77777777" w:rsidR="009D7677" w:rsidRDefault="009D7677" w:rsidP="009D7677">
      <w:pPr>
        <w:pStyle w:val="TextoNormal"/>
      </w:pPr>
      <w:r>
        <w:t xml:space="preserve">Pues bien, expuesto lo anterior podemos indicar que la impecable argumentación desarrollada por la STS 749/2022 no utiliza argumentos contrarios a los principios que inspiran </w:t>
      </w:r>
      <w:r>
        <w:lastRenderedPageBreak/>
        <w:t>el ordenamiento constitucional, sino que lo refuerzan. Y desde luego, no puede afirmarse, como efectúa la sentencia aprobada por la mayoría de los magistrados, que utilice criterios o modelos interpretativos que la comunidad jurídica no acepta.</w:t>
      </w:r>
    </w:p>
    <w:p w14:paraId="0AF920E4" w14:textId="77777777" w:rsidR="009D7677" w:rsidRDefault="009D7677" w:rsidP="009D7677">
      <w:pPr>
        <w:pStyle w:val="TextoNormal"/>
      </w:pPr>
    </w:p>
    <w:p w14:paraId="36451D37" w14:textId="77777777" w:rsidR="009D7677" w:rsidRDefault="009D7677" w:rsidP="009D7677">
      <w:pPr>
        <w:pStyle w:val="TextoNormal"/>
      </w:pPr>
      <w:r>
        <w:t>g) La Ley de 19 de julio de 1983, de la hacienda pública de la Comunidad Autónoma de Andalucía, contiene entre los “principios generales” del título preliminar, los siguientes artículos:</w:t>
      </w:r>
    </w:p>
    <w:p w14:paraId="580F13EB" w14:textId="77777777" w:rsidR="009D7677" w:rsidRDefault="009D7677" w:rsidP="009D7677">
      <w:pPr>
        <w:pStyle w:val="TextoNormal"/>
      </w:pPr>
    </w:p>
    <w:p w14:paraId="116C5018" w14:textId="77777777" w:rsidR="009D7677" w:rsidRDefault="009D7677" w:rsidP="009D7677">
      <w:pPr>
        <w:pStyle w:val="TextoNormal"/>
      </w:pPr>
      <w:r>
        <w:t>“Artículo 13</w:t>
      </w:r>
    </w:p>
    <w:p w14:paraId="2EAAEFA0" w14:textId="77777777" w:rsidR="009D7677" w:rsidRDefault="009D7677" w:rsidP="009D7677">
      <w:pPr>
        <w:pStyle w:val="TextoNormal"/>
      </w:pPr>
    </w:p>
    <w:p w14:paraId="2FE27283" w14:textId="77777777" w:rsidR="009D7677" w:rsidRDefault="009D7677" w:rsidP="009D7677">
      <w:pPr>
        <w:pStyle w:val="TextoNormal"/>
      </w:pPr>
      <w:r>
        <w:t>Los gastos públicos, incluidos en el presupuesto de la Comunidad, realizarán una asignación equitativa de los recursos públicos, y su programación y ejecución responderán a los criterios de eficiencia y economía y a los principios de solidaridad y territorialidad”.</w:t>
      </w:r>
    </w:p>
    <w:p w14:paraId="1889D388" w14:textId="77777777" w:rsidR="009D7677" w:rsidRDefault="009D7677" w:rsidP="009D7677">
      <w:pPr>
        <w:pStyle w:val="TextoNormal"/>
      </w:pPr>
    </w:p>
    <w:p w14:paraId="50B883D1" w14:textId="77777777" w:rsidR="009D7677" w:rsidRDefault="009D7677" w:rsidP="009D7677">
      <w:pPr>
        <w:pStyle w:val="TextoNormal"/>
      </w:pPr>
      <w:r>
        <w:t>“Artículo 14</w:t>
      </w:r>
    </w:p>
    <w:p w14:paraId="60361EFA" w14:textId="77777777" w:rsidR="009D7677" w:rsidRDefault="009D7677" w:rsidP="009D7677">
      <w:pPr>
        <w:pStyle w:val="TextoNormal"/>
      </w:pPr>
    </w:p>
    <w:p w14:paraId="765292A8" w14:textId="77777777" w:rsidR="009D7677" w:rsidRDefault="009D7677" w:rsidP="009D7677">
      <w:pPr>
        <w:pStyle w:val="TextoNormal"/>
      </w:pPr>
      <w:r>
        <w:t>1. La administración de la hacienda de la Comunidad Autónoma estará sometida al siguiente régimen:</w:t>
      </w:r>
    </w:p>
    <w:p w14:paraId="6E8B5BBE" w14:textId="77777777" w:rsidR="009D7677" w:rsidRDefault="009D7677" w:rsidP="009D7677">
      <w:pPr>
        <w:pStyle w:val="TextoNormal"/>
      </w:pPr>
    </w:p>
    <w:p w14:paraId="33B30B06" w14:textId="77777777" w:rsidR="009D7677" w:rsidRDefault="009D7677" w:rsidP="009D7677">
      <w:pPr>
        <w:pStyle w:val="TextoNormal"/>
      </w:pPr>
      <w:r>
        <w:t>a) De presupuesto anual y de unidad de caja.</w:t>
      </w:r>
    </w:p>
    <w:p w14:paraId="7225982E" w14:textId="77777777" w:rsidR="009D7677" w:rsidRDefault="009D7677" w:rsidP="009D7677">
      <w:pPr>
        <w:pStyle w:val="TextoNormal"/>
      </w:pPr>
    </w:p>
    <w:p w14:paraId="2BED268D" w14:textId="77777777" w:rsidR="009D7677" w:rsidRDefault="009D7677" w:rsidP="009D7677">
      <w:pPr>
        <w:pStyle w:val="TextoNormal"/>
      </w:pPr>
      <w:r>
        <w:t>b) De intervención de todas las operaciones de contenido económico.</w:t>
      </w:r>
    </w:p>
    <w:p w14:paraId="6D8B60C0" w14:textId="77777777" w:rsidR="009D7677" w:rsidRDefault="009D7677" w:rsidP="009D7677">
      <w:pPr>
        <w:pStyle w:val="TextoNormal"/>
      </w:pPr>
    </w:p>
    <w:p w14:paraId="28CE2196" w14:textId="77777777" w:rsidR="009D7677" w:rsidRDefault="009D7677" w:rsidP="009D7677">
      <w:pPr>
        <w:pStyle w:val="TextoNormal"/>
      </w:pPr>
      <w:r>
        <w:t>c) De contabilidad tanto para reflejar toda clase de operaciones y de resultados de su actividad como para facilitar datos e información, en general, que sean necesarios para el desarrollo de sus funciones.</w:t>
      </w:r>
    </w:p>
    <w:p w14:paraId="08F2E5B7" w14:textId="77777777" w:rsidR="009D7677" w:rsidRDefault="009D7677" w:rsidP="009D7677">
      <w:pPr>
        <w:pStyle w:val="TextoNormal"/>
      </w:pPr>
    </w:p>
    <w:p w14:paraId="22311829" w14:textId="77777777" w:rsidR="009D7677" w:rsidRDefault="009D7677" w:rsidP="009D7677">
      <w:pPr>
        <w:pStyle w:val="TextoNormal"/>
      </w:pPr>
      <w:r>
        <w:t>[...]”.</w:t>
      </w:r>
    </w:p>
    <w:p w14:paraId="3F7D7932" w14:textId="77777777" w:rsidR="009D7677" w:rsidRDefault="009D7677" w:rsidP="009D7677">
      <w:pPr>
        <w:pStyle w:val="TextoNormal"/>
      </w:pPr>
    </w:p>
    <w:p w14:paraId="3AE0DF73" w14:textId="77777777" w:rsidR="009D7677" w:rsidRDefault="009D7677" w:rsidP="009D7677">
      <w:pPr>
        <w:pStyle w:val="TextoNormal"/>
      </w:pPr>
      <w:r>
        <w:t>Y en el capítulo I, “Contenido y aprobación”, del título II, “Del presupuesto”, se dispone lo siguiente:</w:t>
      </w:r>
    </w:p>
    <w:p w14:paraId="08D02033" w14:textId="77777777" w:rsidR="009D7677" w:rsidRDefault="009D7677" w:rsidP="009D7677">
      <w:pPr>
        <w:pStyle w:val="TextoNormal"/>
      </w:pPr>
    </w:p>
    <w:p w14:paraId="6A648634" w14:textId="77777777" w:rsidR="009D7677" w:rsidRDefault="009D7677" w:rsidP="009D7677">
      <w:pPr>
        <w:pStyle w:val="TextoNormal"/>
      </w:pPr>
      <w:r>
        <w:t>“Artículo 34</w:t>
      </w:r>
    </w:p>
    <w:p w14:paraId="4098AB08" w14:textId="77777777" w:rsidR="009D7677" w:rsidRDefault="009D7677" w:rsidP="009D7677">
      <w:pPr>
        <w:pStyle w:val="TextoNormal"/>
      </w:pPr>
    </w:p>
    <w:p w14:paraId="59F11C15" w14:textId="77777777" w:rsidR="009D7677" w:rsidRDefault="009D7677" w:rsidP="009D7677">
      <w:pPr>
        <w:pStyle w:val="TextoNormal"/>
      </w:pPr>
      <w:r>
        <w:t>El procedimiento de elaboración del presupuesto se acomodará a las siguientes reglas:</w:t>
      </w:r>
    </w:p>
    <w:p w14:paraId="53A3CDB0" w14:textId="77777777" w:rsidR="009D7677" w:rsidRDefault="009D7677" w:rsidP="009D7677">
      <w:pPr>
        <w:pStyle w:val="TextoNormal"/>
      </w:pPr>
    </w:p>
    <w:p w14:paraId="270AD29C" w14:textId="77777777" w:rsidR="009D7677" w:rsidRDefault="009D7677" w:rsidP="009D7677">
      <w:pPr>
        <w:pStyle w:val="TextoNormal"/>
      </w:pPr>
      <w:r>
        <w:t>Primera: Los órganos superiores de la Junta y de las distintas consejerías remitirán a la Consejería de Hacienda, antes del día 1 de mayo de cada año, los correspondientes anteproyectos del estado de gastos, debidamente documentados, ajustados a las leyes que sean de aplicación y a las directrices aprobadas por el Consejo de Gobierno, a propuesta del consejero de Hacienda.</w:t>
      </w:r>
    </w:p>
    <w:p w14:paraId="27D38544" w14:textId="77777777" w:rsidR="009D7677" w:rsidRDefault="009D7677" w:rsidP="009D7677">
      <w:pPr>
        <w:pStyle w:val="TextoNormal"/>
      </w:pPr>
    </w:p>
    <w:p w14:paraId="07CC050B" w14:textId="77777777" w:rsidR="009D7677" w:rsidRDefault="009D7677" w:rsidP="009D7677">
      <w:pPr>
        <w:pStyle w:val="TextoNormal"/>
      </w:pPr>
      <w:r>
        <w:t>Del mismo modo, y antes de dicho día, las distintas consejerías remitirán a la de Hacienda los anteproyectos de estados de ingresos y gastos y, cuando proceda, de recursos y dotaciones de los organismos, instituciones y empresas, que comprenderá todas sus actividades.</w:t>
      </w:r>
    </w:p>
    <w:p w14:paraId="0BD94535" w14:textId="77777777" w:rsidR="009D7677" w:rsidRDefault="009D7677" w:rsidP="009D7677">
      <w:pPr>
        <w:pStyle w:val="TextoNormal"/>
      </w:pPr>
    </w:p>
    <w:p w14:paraId="7C028258" w14:textId="77777777" w:rsidR="009D7677" w:rsidRDefault="009D7677" w:rsidP="009D7677">
      <w:pPr>
        <w:pStyle w:val="TextoNormal"/>
      </w:pPr>
      <w:r>
        <w:lastRenderedPageBreak/>
        <w:t>Segunda: El estado de ingresos del presupuesto de la Junta será elaborado por la Consejería de Hacienda, conforme a las correspondientes técnicas de evaluación y al sistema de tributos y demás derechos que hayan de regir en el respectivo ejercicio.</w:t>
      </w:r>
    </w:p>
    <w:p w14:paraId="095BD1C2" w14:textId="77777777" w:rsidR="009D7677" w:rsidRDefault="009D7677" w:rsidP="009D7677">
      <w:pPr>
        <w:pStyle w:val="TextoNormal"/>
      </w:pPr>
    </w:p>
    <w:p w14:paraId="6DF6AA56" w14:textId="77777777" w:rsidR="009D7677" w:rsidRDefault="009D7677" w:rsidP="009D7677">
      <w:pPr>
        <w:pStyle w:val="TextoNormal"/>
      </w:pPr>
      <w:r>
        <w:t>Tercera: El contenido del presupuesto se adaptará a las líneas generales de política económica establecidas en los planes, y recogerá la anualidad de las previsiones contenidas en los programas plurianuales de inversiones públicas establecidos en los mismos.</w:t>
      </w:r>
    </w:p>
    <w:p w14:paraId="1045BC1E" w14:textId="77777777" w:rsidR="009D7677" w:rsidRDefault="009D7677" w:rsidP="009D7677">
      <w:pPr>
        <w:pStyle w:val="TextoNormal"/>
      </w:pPr>
    </w:p>
    <w:p w14:paraId="61A206EC" w14:textId="77777777" w:rsidR="009D7677" w:rsidRDefault="009D7677" w:rsidP="009D7677">
      <w:pPr>
        <w:pStyle w:val="TextoNormal"/>
      </w:pPr>
      <w:r>
        <w:t>Cuarta: Con base a los referidos anteproyectos de gastos, a las estimaciones de ingresos y a la previsible economía durante el ejercicio presupuestario siguiente, la Consejería de Hacienda, previo estudio y deliberación en la Comisión Delegada de Planificación y Asuntos Económicos del anteproyecto de ley del presupuesto, someterá el mismo al acuerdo del Consejo de Gobierno.</w:t>
      </w:r>
    </w:p>
    <w:p w14:paraId="64DFE54A" w14:textId="77777777" w:rsidR="009D7677" w:rsidRDefault="009D7677" w:rsidP="009D7677">
      <w:pPr>
        <w:pStyle w:val="TextoNormal"/>
      </w:pPr>
    </w:p>
    <w:p w14:paraId="5B6AA6F9" w14:textId="77777777" w:rsidR="009D7677" w:rsidRDefault="009D7677" w:rsidP="009D7677">
      <w:pPr>
        <w:pStyle w:val="TextoNormal"/>
      </w:pPr>
      <w:r>
        <w:t>Quinta: Como documentación anexa al anteproyecto de ley del presupuesto se cursará al Consejo de Gobierno:</w:t>
      </w:r>
    </w:p>
    <w:p w14:paraId="4D367D81" w14:textId="77777777" w:rsidR="009D7677" w:rsidRDefault="009D7677" w:rsidP="009D7677">
      <w:pPr>
        <w:pStyle w:val="TextoNormal"/>
      </w:pPr>
    </w:p>
    <w:p w14:paraId="59112DD2" w14:textId="77777777" w:rsidR="009D7677" w:rsidRDefault="009D7677" w:rsidP="009D7677">
      <w:pPr>
        <w:pStyle w:val="TextoNormal"/>
      </w:pPr>
      <w:r>
        <w:t>a) La cuenta consolidada del presupuesto.</w:t>
      </w:r>
    </w:p>
    <w:p w14:paraId="408B05F3" w14:textId="77777777" w:rsidR="009D7677" w:rsidRDefault="009D7677" w:rsidP="009D7677">
      <w:pPr>
        <w:pStyle w:val="TextoNormal"/>
      </w:pPr>
    </w:p>
    <w:p w14:paraId="7C0E87DA" w14:textId="77777777" w:rsidR="009D7677" w:rsidRDefault="009D7677" w:rsidP="009D7677">
      <w:pPr>
        <w:pStyle w:val="TextoNormal"/>
      </w:pPr>
      <w:r>
        <w:t>b) La memoria explicativa de su contenido y de las principales modificaciones que presente el anteproyecto comparado con el presupuesto vigente.</w:t>
      </w:r>
    </w:p>
    <w:p w14:paraId="18D55F16" w14:textId="77777777" w:rsidR="009D7677" w:rsidRDefault="009D7677" w:rsidP="009D7677">
      <w:pPr>
        <w:pStyle w:val="TextoNormal"/>
      </w:pPr>
    </w:p>
    <w:p w14:paraId="37422977" w14:textId="77777777" w:rsidR="009D7677" w:rsidRDefault="009D7677" w:rsidP="009D7677">
      <w:pPr>
        <w:pStyle w:val="TextoNormal"/>
      </w:pPr>
      <w:r>
        <w:t>c) La liquidación del presupuesto del año anterior y un avance de la del ejercicio corriente.</w:t>
      </w:r>
    </w:p>
    <w:p w14:paraId="5455347F" w14:textId="77777777" w:rsidR="009D7677" w:rsidRDefault="009D7677" w:rsidP="009D7677">
      <w:pPr>
        <w:pStyle w:val="TextoNormal"/>
      </w:pPr>
    </w:p>
    <w:p w14:paraId="1C937B14" w14:textId="77777777" w:rsidR="009D7677" w:rsidRDefault="009D7677" w:rsidP="009D7677">
      <w:pPr>
        <w:pStyle w:val="TextoNormal"/>
      </w:pPr>
      <w:r>
        <w:t>d) Un informe económico y financiero.</w:t>
      </w:r>
    </w:p>
    <w:p w14:paraId="5C33D890" w14:textId="77777777" w:rsidR="009D7677" w:rsidRDefault="009D7677" w:rsidP="009D7677">
      <w:pPr>
        <w:pStyle w:val="TextoNormal"/>
      </w:pPr>
    </w:p>
    <w:p w14:paraId="742EFAFC" w14:textId="77777777" w:rsidR="009D7677" w:rsidRDefault="009D7677" w:rsidP="009D7677">
      <w:pPr>
        <w:pStyle w:val="TextoNormal"/>
      </w:pPr>
      <w:r>
        <w:t>e) La clasificación por programas del presupuesto”.</w:t>
      </w:r>
    </w:p>
    <w:p w14:paraId="71D5C5F2" w14:textId="77777777" w:rsidR="009D7677" w:rsidRDefault="009D7677" w:rsidP="009D7677">
      <w:pPr>
        <w:pStyle w:val="TextoNormal"/>
      </w:pPr>
    </w:p>
    <w:p w14:paraId="66986204" w14:textId="77777777" w:rsidR="009D7677" w:rsidRDefault="009D7677" w:rsidP="009D7677">
      <w:pPr>
        <w:pStyle w:val="TextoNormal"/>
      </w:pPr>
      <w:r>
        <w:t>En el presente caso, la sentencia de la Audiencia Provincial de Sevilla declara probadas, como resultado de la valoración de la prueba que le compete, entre otras, las siguientes irregularidades más significativas en la concesión de las ayudas (algunas de ellas cometidas en el ámbito presupuestario e insertas en el conjunto de la operación):</w:t>
      </w:r>
    </w:p>
    <w:p w14:paraId="1B2B3AFD" w14:textId="77777777" w:rsidR="009D7677" w:rsidRDefault="009D7677" w:rsidP="009D7677">
      <w:pPr>
        <w:pStyle w:val="TextoNormal"/>
      </w:pPr>
    </w:p>
    <w:p w14:paraId="05FF2A16" w14:textId="77777777" w:rsidR="009D7677" w:rsidRDefault="009D7677" w:rsidP="009D7677">
      <w:pPr>
        <w:pStyle w:val="TextoNormal"/>
      </w:pPr>
      <w:r>
        <w:t>“- En muchos casos no ha existido expediente de concesión de la ayuda.</w:t>
      </w:r>
    </w:p>
    <w:p w14:paraId="3E811A7D" w14:textId="77777777" w:rsidR="009D7677" w:rsidRDefault="009D7677" w:rsidP="009D7677">
      <w:pPr>
        <w:pStyle w:val="TextoNormal"/>
      </w:pPr>
    </w:p>
    <w:p w14:paraId="37E5ACD6" w14:textId="77777777" w:rsidR="009D7677" w:rsidRDefault="009D7677" w:rsidP="009D7677">
      <w:pPr>
        <w:pStyle w:val="TextoNormal"/>
      </w:pPr>
      <w:r>
        <w:t>- El director general de Trabajo y Seguridad Social no tiene delegadas competencias para la concesión de subvenciones excepcionales.</w:t>
      </w:r>
    </w:p>
    <w:p w14:paraId="69A43375" w14:textId="77777777" w:rsidR="009D7677" w:rsidRDefault="009D7677" w:rsidP="009D7677">
      <w:pPr>
        <w:pStyle w:val="TextoNormal"/>
      </w:pPr>
    </w:p>
    <w:p w14:paraId="34BABEA2" w14:textId="77777777" w:rsidR="009D7677" w:rsidRDefault="009D7677" w:rsidP="009D7677">
      <w:pPr>
        <w:pStyle w:val="TextoNormal"/>
      </w:pPr>
      <w:r>
        <w:t>- No consta que se haya dado publicidad a la concesión de las ayudas (artículo 109 LGHPA).</w:t>
      </w:r>
    </w:p>
    <w:p w14:paraId="016E844C" w14:textId="77777777" w:rsidR="009D7677" w:rsidRDefault="009D7677" w:rsidP="009D7677">
      <w:pPr>
        <w:pStyle w:val="TextoNormal"/>
      </w:pPr>
    </w:p>
    <w:p w14:paraId="371E3791" w14:textId="77777777" w:rsidR="009D7677" w:rsidRDefault="009D7677" w:rsidP="009D7677">
      <w:pPr>
        <w:pStyle w:val="TextoNormal"/>
      </w:pPr>
      <w:r>
        <w:t>- Se ha omitido la fiscalización previa.</w:t>
      </w:r>
    </w:p>
    <w:p w14:paraId="34DEB50B" w14:textId="77777777" w:rsidR="009D7677" w:rsidRDefault="009D7677" w:rsidP="009D7677">
      <w:pPr>
        <w:pStyle w:val="TextoNormal"/>
      </w:pPr>
    </w:p>
    <w:p w14:paraId="5D652882" w14:textId="77777777" w:rsidR="009D7677" w:rsidRDefault="009D7677" w:rsidP="009D7677">
      <w:pPr>
        <w:pStyle w:val="TextoNormal"/>
      </w:pPr>
      <w:r>
        <w:t>- No consta autorización de la concesión de la subvención por el Consejo de Gobierno por razón de la cuantía.</w:t>
      </w:r>
    </w:p>
    <w:p w14:paraId="1F51F07A" w14:textId="77777777" w:rsidR="009D7677" w:rsidRDefault="009D7677" w:rsidP="009D7677">
      <w:pPr>
        <w:pStyle w:val="TextoNormal"/>
      </w:pPr>
    </w:p>
    <w:p w14:paraId="36870803" w14:textId="77777777" w:rsidR="009D7677" w:rsidRDefault="009D7677" w:rsidP="009D7677">
      <w:pPr>
        <w:pStyle w:val="TextoNormal"/>
      </w:pPr>
      <w:r>
        <w:lastRenderedPageBreak/>
        <w:t>- No se consigna la aplicación presupuestaria del gasto y su distribución plurianual, ni el presupuesto subvencionado y el porcentaje que representa la subvención sobre el presupuesto aceptado.</w:t>
      </w:r>
    </w:p>
    <w:p w14:paraId="5FCD508E" w14:textId="77777777" w:rsidR="009D7677" w:rsidRDefault="009D7677" w:rsidP="009D7677">
      <w:pPr>
        <w:pStyle w:val="TextoNormal"/>
      </w:pPr>
    </w:p>
    <w:p w14:paraId="2E41D908" w14:textId="77777777" w:rsidR="009D7677" w:rsidRDefault="009D7677" w:rsidP="009D7677">
      <w:pPr>
        <w:pStyle w:val="TextoNormal"/>
      </w:pPr>
      <w:r>
        <w:t>- No consta informe de la Dirección General de Asuntos Europeos y Cooperación, de la Consejería de Presidencia, sobre cumplimiento del deber de notificar a la comisión las subvenciones concedidas a empresas.</w:t>
      </w:r>
    </w:p>
    <w:p w14:paraId="5A28173D" w14:textId="77777777" w:rsidR="009D7677" w:rsidRDefault="009D7677" w:rsidP="009D7677">
      <w:pPr>
        <w:pStyle w:val="TextoNormal"/>
      </w:pPr>
    </w:p>
    <w:p w14:paraId="1303B970" w14:textId="77777777" w:rsidR="009D7677" w:rsidRDefault="009D7677" w:rsidP="009D7677">
      <w:pPr>
        <w:pStyle w:val="TextoNormal"/>
      </w:pPr>
      <w:r>
        <w:t>- No consta memoria explicativa de la excepcionalidad de las subvenciones, ni los requisitos que se exigen para ser beneficiario, ni se detalla la forma en que debería realizarse la justificación del cumplimiento de la finalidad para la que fue concedida la ayuda.</w:t>
      </w:r>
    </w:p>
    <w:p w14:paraId="0864F8EF" w14:textId="77777777" w:rsidR="009D7677" w:rsidRDefault="009D7677" w:rsidP="009D7677">
      <w:pPr>
        <w:pStyle w:val="TextoNormal"/>
      </w:pPr>
    </w:p>
    <w:p w14:paraId="3E08412F" w14:textId="77777777" w:rsidR="009D7677" w:rsidRDefault="009D7677" w:rsidP="009D7677">
      <w:pPr>
        <w:pStyle w:val="TextoNormal"/>
      </w:pPr>
      <w:r>
        <w:t>- Los convenios de colaboración por los que se han concedido las ayudas no adoptan ni la forma ni los contenidos mínimos que exige la Ley 38/2003, de 17 de noviembre.</w:t>
      </w:r>
    </w:p>
    <w:p w14:paraId="3066636E" w14:textId="77777777" w:rsidR="009D7677" w:rsidRDefault="009D7677" w:rsidP="009D7677">
      <w:pPr>
        <w:pStyle w:val="TextoNormal"/>
      </w:pPr>
    </w:p>
    <w:p w14:paraId="2A141F0A" w14:textId="77777777" w:rsidR="009D7677" w:rsidRDefault="009D7677" w:rsidP="009D7677">
      <w:pPr>
        <w:pStyle w:val="TextoNormal"/>
      </w:pPr>
      <w:r>
        <w:t>- Ni las subvenciones ni los convenios han sido publicados en el ‘Boletín Oficial de la Junta de Andalucía’, ni en la base de datos de subvenciones de la Junta de Andalucía.</w:t>
      </w:r>
    </w:p>
    <w:p w14:paraId="11B7139F" w14:textId="77777777" w:rsidR="009D7677" w:rsidRDefault="009D7677" w:rsidP="009D7677">
      <w:pPr>
        <w:pStyle w:val="TextoNormal"/>
      </w:pPr>
    </w:p>
    <w:p w14:paraId="2326E074" w14:textId="77777777" w:rsidR="009D7677" w:rsidRDefault="009D7677" w:rsidP="009D7677">
      <w:pPr>
        <w:pStyle w:val="TextoNormal"/>
      </w:pPr>
      <w:r>
        <w:t>- La concesión de las subvenciones no ha sido objeto de informe previo por el Gabinete Jurídico de la Junta de Andalucía.</w:t>
      </w:r>
    </w:p>
    <w:p w14:paraId="5C299CA2" w14:textId="77777777" w:rsidR="009D7677" w:rsidRDefault="009D7677" w:rsidP="009D7677">
      <w:pPr>
        <w:pStyle w:val="TextoNormal"/>
      </w:pPr>
    </w:p>
    <w:p w14:paraId="20FA69CC" w14:textId="77777777" w:rsidR="009D7677" w:rsidRDefault="009D7677" w:rsidP="009D7677">
      <w:pPr>
        <w:pStyle w:val="TextoNormal"/>
      </w:pPr>
      <w:r>
        <w:t>- No se acredita la personalidad de las entidades solicitantes, ni la de sus representantes.</w:t>
      </w:r>
    </w:p>
    <w:p w14:paraId="03F26EDF" w14:textId="77777777" w:rsidR="009D7677" w:rsidRDefault="009D7677" w:rsidP="009D7677">
      <w:pPr>
        <w:pStyle w:val="TextoNormal"/>
      </w:pPr>
    </w:p>
    <w:p w14:paraId="79D75199" w14:textId="77777777" w:rsidR="009D7677" w:rsidRDefault="009D7677" w:rsidP="009D7677">
      <w:pPr>
        <w:pStyle w:val="TextoNormal"/>
      </w:pPr>
      <w:r>
        <w:t>-No se aporta informe o memoria acreditativa de la finalidad pública, o razones de interés social o económico, en la concesión.</w:t>
      </w:r>
    </w:p>
    <w:p w14:paraId="58E9094E" w14:textId="77777777" w:rsidR="009D7677" w:rsidRDefault="009D7677" w:rsidP="009D7677">
      <w:pPr>
        <w:pStyle w:val="TextoNormal"/>
      </w:pPr>
    </w:p>
    <w:p w14:paraId="2A2216FE" w14:textId="77777777" w:rsidR="009D7677" w:rsidRDefault="009D7677" w:rsidP="009D7677">
      <w:pPr>
        <w:pStyle w:val="TextoNormal"/>
      </w:pPr>
      <w:r>
        <w:t>- No consta solicitud presentada por los interesados ni su aceptación expresa.</w:t>
      </w:r>
    </w:p>
    <w:p w14:paraId="344D7235" w14:textId="77777777" w:rsidR="009D7677" w:rsidRDefault="009D7677" w:rsidP="009D7677">
      <w:pPr>
        <w:pStyle w:val="TextoNormal"/>
      </w:pPr>
    </w:p>
    <w:p w14:paraId="357A4D28" w14:textId="77777777" w:rsidR="009D7677" w:rsidRDefault="009D7677" w:rsidP="009D7677">
      <w:pPr>
        <w:pStyle w:val="TextoNormal"/>
      </w:pPr>
      <w:r>
        <w:t>- No se aporta declaración responsable del beneficiario de otras subvenciones o ayudas concedidas para la misma finalidad (artículos 111 y 105 de LGHPA, y artículo 15.1 del Reglamento de subvenciones).</w:t>
      </w:r>
    </w:p>
    <w:p w14:paraId="75EBF1D0" w14:textId="77777777" w:rsidR="009D7677" w:rsidRDefault="009D7677" w:rsidP="009D7677">
      <w:pPr>
        <w:pStyle w:val="TextoNormal"/>
      </w:pPr>
    </w:p>
    <w:p w14:paraId="13FCFC80" w14:textId="77777777" w:rsidR="009D7677" w:rsidRDefault="009D7677" w:rsidP="009D7677">
      <w:pPr>
        <w:pStyle w:val="TextoNormal"/>
      </w:pPr>
      <w:r>
        <w:t>- No consta declaración expresa de los beneficiarios de no haber recaído sobre ellos resolución administrativa o judicial firme de reintegro.</w:t>
      </w:r>
    </w:p>
    <w:p w14:paraId="304D59CA" w14:textId="77777777" w:rsidR="009D7677" w:rsidRDefault="009D7677" w:rsidP="009D7677">
      <w:pPr>
        <w:pStyle w:val="TextoNormal"/>
      </w:pPr>
    </w:p>
    <w:p w14:paraId="4EDABF9A" w14:textId="77777777" w:rsidR="009D7677" w:rsidRDefault="009D7677" w:rsidP="009D7677">
      <w:pPr>
        <w:pStyle w:val="TextoNormal"/>
      </w:pPr>
      <w:r>
        <w:t>- No se acredita por los beneficiarios estar al corriente en sus obligaciones fiscales.</w:t>
      </w:r>
    </w:p>
    <w:p w14:paraId="3822E9EE" w14:textId="77777777" w:rsidR="009D7677" w:rsidRDefault="009D7677" w:rsidP="009D7677">
      <w:pPr>
        <w:pStyle w:val="TextoNormal"/>
      </w:pPr>
    </w:p>
    <w:p w14:paraId="385032BD" w14:textId="77777777" w:rsidR="009D7677" w:rsidRDefault="009D7677" w:rsidP="009D7677">
      <w:pPr>
        <w:pStyle w:val="TextoNormal"/>
      </w:pPr>
      <w:r>
        <w:t>- No se determina el plazo y forma de justificación por el beneficiario del cumplimiento de la finalidad para la que se concede la ayuda.</w:t>
      </w:r>
    </w:p>
    <w:p w14:paraId="501C570F" w14:textId="77777777" w:rsidR="009D7677" w:rsidRDefault="009D7677" w:rsidP="009D7677">
      <w:pPr>
        <w:pStyle w:val="TextoNormal"/>
      </w:pPr>
    </w:p>
    <w:p w14:paraId="693E071F" w14:textId="77777777" w:rsidR="009D7677" w:rsidRDefault="009D7677" w:rsidP="009D7677">
      <w:pPr>
        <w:pStyle w:val="TextoNormal"/>
      </w:pPr>
      <w:r>
        <w:t>- No se indica la forma y secuencia del pago y los requisitos exigidos para su abono”.</w:t>
      </w:r>
    </w:p>
    <w:p w14:paraId="31E1B990" w14:textId="77777777" w:rsidR="009D7677" w:rsidRDefault="009D7677" w:rsidP="009D7677">
      <w:pPr>
        <w:pStyle w:val="TextoNormal"/>
      </w:pPr>
    </w:p>
    <w:p w14:paraId="32DE49F6" w14:textId="77777777" w:rsidR="009D7677" w:rsidRDefault="009D7677" w:rsidP="009D7677">
      <w:pPr>
        <w:pStyle w:val="TextoNormal"/>
      </w:pPr>
      <w:r>
        <w:t>A la vista de los hechos probados, puede afirmarse que las resoluciones penales no han vulnerado el derecho a la legalidad penal, ni se encuentran incursas en una interpretación extravagante e imprevisible del elemento típico “resolución” al que se refiere el art. 404 CP.</w:t>
      </w:r>
    </w:p>
    <w:p w14:paraId="5E564A78" w14:textId="77777777" w:rsidR="009D7677" w:rsidRDefault="009D7677" w:rsidP="009D7677">
      <w:pPr>
        <w:pStyle w:val="TextoNormal"/>
      </w:pPr>
    </w:p>
    <w:p w14:paraId="3D53975F" w14:textId="77777777" w:rsidR="009D7677" w:rsidRDefault="009D7677" w:rsidP="009D7677">
      <w:pPr>
        <w:pStyle w:val="TextoNormal"/>
      </w:pPr>
      <w:r>
        <w:lastRenderedPageBreak/>
        <w:t>Al contrario, de lo expuesto puede afirmarse con rotundidad que son los criterios adoptados por la sentencia de la mayoría los que adoptan pautas de razonamiento extrañas a la conformación del Estado de Derecho y al sometimiento de los poderes públicos al imperio de la Ley, que difícilmente serán aceptadas por la comunidad jurídica.</w:t>
      </w:r>
    </w:p>
    <w:p w14:paraId="7F911885" w14:textId="77777777" w:rsidR="009D7677" w:rsidRDefault="009D7677" w:rsidP="009D7677">
      <w:pPr>
        <w:pStyle w:val="TextoNormal"/>
      </w:pPr>
    </w:p>
    <w:p w14:paraId="6CCBF13C" w14:textId="77777777" w:rsidR="009D7677" w:rsidRDefault="009D7677" w:rsidP="009D7677">
      <w:pPr>
        <w:pStyle w:val="TextoNormal"/>
      </w:pPr>
      <w:r>
        <w:t>3.2.2</w:t>
      </w:r>
      <w:r w:rsidRPr="009D7677">
        <w:rPr>
          <w:i/>
        </w:rPr>
        <w:t>. Quiebras lógicas en que incurre el razonamiento de la sentencia por la que se considera vulnerado el principio de legalidad pen</w:t>
      </w:r>
      <w:r>
        <w:t>al</w:t>
      </w:r>
    </w:p>
    <w:p w14:paraId="0132F7AE" w14:textId="77777777" w:rsidR="009D7677" w:rsidRDefault="009D7677" w:rsidP="009D7677">
      <w:pPr>
        <w:pStyle w:val="TextoNormal"/>
      </w:pPr>
    </w:p>
    <w:p w14:paraId="4990DF0C" w14:textId="77777777" w:rsidR="009D7677" w:rsidRDefault="009D7677" w:rsidP="009D7677">
      <w:pPr>
        <w:pStyle w:val="TextoNormal"/>
      </w:pPr>
      <w:r>
        <w:t>Podríamos detener en este punto el examen de la vulneración planteada, pero es preciso poner de manifiesto las razones por las que considero infundado el razonamiento de la sentencia adoptada por la mayoría de siete magistrados y de la que discrepo.</w:t>
      </w:r>
    </w:p>
    <w:p w14:paraId="362BD721" w14:textId="77777777" w:rsidR="009D7677" w:rsidRDefault="009D7677" w:rsidP="009D7677">
      <w:pPr>
        <w:pStyle w:val="TextoNormal"/>
      </w:pPr>
    </w:p>
    <w:p w14:paraId="1D43F051" w14:textId="77777777" w:rsidR="009D7677" w:rsidRDefault="009D7677" w:rsidP="009D7677">
      <w:pPr>
        <w:pStyle w:val="TextoNormal"/>
      </w:pPr>
      <w:r>
        <w:t>a) El razonamiento de la sentencia, para alcanzar la conclusión estimatoria de la demanda de amparo, incurre en una argumentación ilógica y extravagante ajena a los criterios que informan el ordenamiento constitucional y los propios precedentes de las sentencias dictadas por el Tribunal Constitucional.</w:t>
      </w:r>
    </w:p>
    <w:p w14:paraId="58CAD7B2" w14:textId="77777777" w:rsidR="009D7677" w:rsidRDefault="009D7677" w:rsidP="009D7677">
      <w:pPr>
        <w:pStyle w:val="TextoNormal"/>
      </w:pPr>
    </w:p>
    <w:p w14:paraId="04DE7052" w14:textId="77777777" w:rsidR="009D7677" w:rsidRDefault="009D7677" w:rsidP="009D7677">
      <w:pPr>
        <w:pStyle w:val="TextoNormal"/>
      </w:pPr>
      <w:r>
        <w:t>b) En primer lugar, como se ha expuesto, el Tribunal Constitucional sustituye al Tribunal Supremo —y lo hace por primera vez en su historia— en la interpretación y aplicación de la parte objetiva de un delito, en este caso del de prevaricación, y se erige en intérprete supremo de los conceptos “resolución” y “asunto administrativo”, socavando los límites de la jurisdicción constitucional y el respeto institucional a la función del Tribunal Supremo, al efectuar la interpretación última del contenido de los tipos sancionadores y el control de la subsunción de los hechos probados.</w:t>
      </w:r>
    </w:p>
    <w:p w14:paraId="46424207" w14:textId="77777777" w:rsidR="009D7677" w:rsidRDefault="009D7677" w:rsidP="009D7677">
      <w:pPr>
        <w:pStyle w:val="TextoNormal"/>
      </w:pPr>
    </w:p>
    <w:p w14:paraId="08B886A0" w14:textId="77777777" w:rsidR="009D7677" w:rsidRDefault="009D7677" w:rsidP="009D7677">
      <w:pPr>
        <w:pStyle w:val="TextoNormal"/>
      </w:pPr>
      <w:r>
        <w:t>c) La sentencia asienta su premisa argumental, sobre la que gira constantemente su discurso, en una quiebra lógica que se erige en la piedra angular de todo su razonamiento: lo enjuiciado ha sido la función de iniciativa legislativa del Gobierno autonómico a través de la cual cumple su función de dirección política que le atribuye el art. 97 CE —ajena al control de ningún órgano judicial— por lo que no se trata de una “resolución” recaída “en un asunto administrativo”.</w:t>
      </w:r>
    </w:p>
    <w:p w14:paraId="7589C4E9" w14:textId="77777777" w:rsidR="009D7677" w:rsidRDefault="009D7677" w:rsidP="009D7677">
      <w:pPr>
        <w:pStyle w:val="TextoNormal"/>
      </w:pPr>
    </w:p>
    <w:p w14:paraId="517678A8" w14:textId="77777777" w:rsidR="009D7677" w:rsidRDefault="009D7677" w:rsidP="009D7677">
      <w:pPr>
        <w:pStyle w:val="TextoNormal"/>
      </w:pPr>
      <w:r>
        <w:t>Frente a ello cabe indicar que es incomprensible y extravagante, por irracional, personificar o encarnar al Gobierno de la Junta de Andalucía en la figura de una consejera. Ni una consejera es el Gobierno autonómico, ni un ministro es el Gobierno de la Nación. En consecuencia, ni un consejero, ni un ministro, tienen atribuida la función de iniciativa legislativa, ni la función de dirección política que le corresponde al Gobierno como órgano colegiado. De ser así habría tantas funciones de dirección política como consejeros o ministros, lo que es absurdo. Como tampoco se puede apelar a ninguna de tales funciones —de iniciativa legislativa o de dirección política— para exonerar de responsabilidad penal a la consejera por las determinaciones manifiestamente ilegales adoptadas en el ámbito de su competencia, ni para inaplicar el concepto de “resolución” dictada en “asunto administrativo” a las decisiones adoptadas por la entonces consejera en la tramitación del anteproyecto de presupuestos que iba a someter a la consideración del Gobierno autonómico. Lo deja meridianamente claro la sentencia del Tribunal Supremo.</w:t>
      </w:r>
    </w:p>
    <w:p w14:paraId="10EEE927" w14:textId="77777777" w:rsidR="009D7677" w:rsidRDefault="009D7677" w:rsidP="009D7677">
      <w:pPr>
        <w:pStyle w:val="TextoNormal"/>
      </w:pPr>
    </w:p>
    <w:p w14:paraId="2146BC22" w14:textId="77777777" w:rsidR="009D7677" w:rsidRDefault="009D7677" w:rsidP="009D7677">
      <w:pPr>
        <w:pStyle w:val="TextoNormal"/>
      </w:pPr>
      <w:r>
        <w:t>En segundo lugar, dicho razonamiento es incoherente e inexplicable si se contrasta con la doctrina tradicionalmente sostenida por este Tribunal Constitucional acerca del privile</w:t>
      </w:r>
      <w:r>
        <w:lastRenderedPageBreak/>
        <w:t>gio de la inviolabilidad y de la inmunidad (por todas, STC 9/1990, de 18 de enero) así como con la ausencia de previsión constitucional de tales privilegios en relación con los miembros del Gobierno (arts. 56.3 y 71.1 CE) y con el principio constitucional de sujeción de todos los poderes públicos al imperio de la Ley (art. 9.1 CE), piedra angular de la propia subsistencia del Estado de Derecho, que se socava con el razonamiento de la sentencia de la que discrepo.</w:t>
      </w:r>
    </w:p>
    <w:p w14:paraId="365F408B" w14:textId="77777777" w:rsidR="009D7677" w:rsidRDefault="009D7677" w:rsidP="009D7677">
      <w:pPr>
        <w:pStyle w:val="TextoNormal"/>
      </w:pPr>
    </w:p>
    <w:p w14:paraId="391104B8" w14:textId="77777777" w:rsidR="009D7677" w:rsidRDefault="009D7677" w:rsidP="009D7677">
      <w:pPr>
        <w:pStyle w:val="TextoNormal"/>
      </w:pPr>
      <w:r>
        <w:t>En tercer lugar, el argumento de inmunidad de jurisdicción que contiene la sentencia es inexplicable cuando recientemente este tribunal ha desestimado el recurso de amparo interpuesto por la presidenta de un Parlamento autonómico condenada por la sentencia de la Sala de lo Penal del Tribunal Supremo por delito de sedición, entre otros hechos por haber permitido con su voto que determinadas proposiciones de ley fuesen tramitadas (STC 184/2021, de 28 de octubre).</w:t>
      </w:r>
    </w:p>
    <w:p w14:paraId="51AD3C93" w14:textId="77777777" w:rsidR="009D7677" w:rsidRDefault="009D7677" w:rsidP="009D7677">
      <w:pPr>
        <w:pStyle w:val="TextoNormal"/>
      </w:pPr>
    </w:p>
    <w:p w14:paraId="13F3355F" w14:textId="77777777" w:rsidR="009D7677" w:rsidRDefault="009D7677" w:rsidP="009D7677">
      <w:pPr>
        <w:pStyle w:val="TextoNormal"/>
      </w:pPr>
      <w:r>
        <w:t>d) El Tribunal Constitucional sustituye al Tribunal Supremo y se erige en máximo intérprete del concepto “resolución” que contiene el art. 404 CP al excluir del mismo de forma apodíctica las resoluciones que carecen del carácter de definitivas o que no producen efecto</w:t>
      </w:r>
      <w:r w:rsidRPr="009D7677">
        <w:rPr>
          <w:i/>
        </w:rPr>
        <w:t>s ad ext</w:t>
      </w:r>
      <w:r>
        <w:t>ra, efectuando con ello la interpretación última del tipo sancionador que desplaza la jurisprudencia del Tribunal Supremo y la propia interpretación de la naturaleza del delito y de los fines que lo justifican.</w:t>
      </w:r>
    </w:p>
    <w:p w14:paraId="3A0C033C" w14:textId="77777777" w:rsidR="009D7677" w:rsidRDefault="009D7677" w:rsidP="009D7677">
      <w:pPr>
        <w:pStyle w:val="TextoNormal"/>
      </w:pPr>
    </w:p>
    <w:p w14:paraId="7290062E" w14:textId="77777777" w:rsidR="009D7677" w:rsidRDefault="009D7677" w:rsidP="009D7677">
      <w:pPr>
        <w:pStyle w:val="TextoNormal"/>
      </w:pPr>
      <w:r>
        <w:t>e) La sentencia de la que discrepo afirma de modo reduccionista e ininteligible que la STS 749/2022 deduce que concurre el elemento “resolución” recaída en “asunto administrativo” del hecho de que se trate de actuaciones que se adoptan en un procedimiento regulado por normas y que con ello incurre en una aplicación del tipo que es incompatible con la interdicción de interpretaciones extensivas o analógicas y que ello “no encuentra respaldo en el entendimiento que de estos conceptos tiene la comunidad jurídica”.</w:t>
      </w:r>
    </w:p>
    <w:p w14:paraId="26E12B77" w14:textId="77777777" w:rsidR="009D7677" w:rsidRDefault="009D7677" w:rsidP="009D7677">
      <w:pPr>
        <w:pStyle w:val="TextoNormal"/>
      </w:pPr>
    </w:p>
    <w:p w14:paraId="4F34C59F" w14:textId="77777777" w:rsidR="009D7677" w:rsidRDefault="009D7677" w:rsidP="009D7677">
      <w:pPr>
        <w:pStyle w:val="TextoNormal"/>
      </w:pPr>
      <w:r>
        <w:t>f) Finalmente, también de modo apodíctico, sin sustento en razonamiento alguno que lo avale, afirma que la interpretación que el Tribunal Supremo ha efectuado de los elementos típicos del delito de prevaricación, “resolución” y “asunto administrativo” no se compadece con la interpretación que hasta ese momento había efectuado la Sala de lo Penal de los elementos típicos del delito de prevaricación. Frente a ello, debe indicarse que afortunadamente no ha sido frecuente que el Tribunal Supremo tenga que enjuiciar actos de corrupción generalizados y prolongados en el tiempo institucionalizados mediante proyectos de ley, por lo que es difícil afirmar que el Tribunal Supremo se haya apartado de sus pronunciamientos precedentes.</w:t>
      </w:r>
    </w:p>
    <w:p w14:paraId="0CE72A62" w14:textId="77777777" w:rsidR="009D7677" w:rsidRDefault="009D7677" w:rsidP="009D7677">
      <w:pPr>
        <w:pStyle w:val="TextoNormal"/>
      </w:pPr>
    </w:p>
    <w:p w14:paraId="2A5A2C88" w14:textId="77777777" w:rsidR="009D7677" w:rsidRDefault="009D7677" w:rsidP="009D7677">
      <w:pPr>
        <w:pStyle w:val="TextoNormal"/>
      </w:pPr>
      <w:r>
        <w:t>Por otra parte, como se ha expuesto con anterioridad al exponer los injustificadamente omitidos razonamientos del Tribunal Supremo, la STS 749/2022 confirma mediante la cita de su propia jurisprudencia la tradicional interpretación del delito de prevaricación administrativa en cuanto a los valores y bienes jurídicos que justifican su existencia, la naturaleza del delito que se consuma por la propia resolución dictada, integrando el daño material la quiebra que los ciudadanos tienen en la credibilidad de las instituciones.</w:t>
      </w:r>
    </w:p>
    <w:p w14:paraId="0AA96F48" w14:textId="77777777" w:rsidR="009D7677" w:rsidRDefault="009D7677" w:rsidP="009D7677">
      <w:pPr>
        <w:pStyle w:val="TextoNormal"/>
      </w:pPr>
    </w:p>
    <w:p w14:paraId="5445B0BE" w14:textId="77777777" w:rsidR="009D7677" w:rsidRDefault="009D7677" w:rsidP="009D7677">
      <w:pPr>
        <w:pStyle w:val="TextoNormal"/>
      </w:pPr>
      <w:r>
        <w:t xml:space="preserve">Nada dice la sentencia de la mayoría del parámetro temporal, apuntalado con la cita del art. 108 del Reglamento el Parlamento de Andalucía, utilizado por la STS 749/2022 para calificar de determinaciones en asuntos administrativos las adoptadas con carácter previo </w:t>
      </w:r>
      <w:r>
        <w:lastRenderedPageBreak/>
        <w:t>al inicio del proceso legislativo. No le interesa tampoco a la sentencia aludir a las referencias que el Tribunal Supremo efectúa a sus precedentes (SSTS 941/2009 y 259/2015), para indicar que son “asuntos administrativos” “todos los actos y decisiones realizados por autoridades o funcionarios públicos en el ejercicio de sus funciones con exclusión de los actos propiamente jurisdiccionales o legislativos”. Tampoco le parece oportuno a la mayoría enfrentarse al argumento de que la inmunidad parlamentaria no alcanza al Gobierno o que es incompatible con el Estado de Derecho la construcción de ámbitos de inmunidad del poder a partir de una idea en decadencia de acto político. Podríamos seguir, pero el atropello argumental es atronador, basta por tanto que nos remitamos a la lectura de la síntesis argumental de la STS 749/2022, pues como hemos adelantado su mera lectura evidencia por sí sola la razón del radical desencuentro con la sentencia firmada por los otros siete magistrados.</w:t>
      </w:r>
    </w:p>
    <w:p w14:paraId="09FB1ED7" w14:textId="77777777" w:rsidR="009D7677" w:rsidRDefault="009D7677" w:rsidP="009D7677">
      <w:pPr>
        <w:pStyle w:val="TextoNormal"/>
      </w:pPr>
    </w:p>
    <w:p w14:paraId="66D6B88F" w14:textId="77777777" w:rsidR="009D7677" w:rsidRDefault="009D7677" w:rsidP="009D7677">
      <w:pPr>
        <w:pStyle w:val="TextoNormal"/>
      </w:pPr>
      <w:r>
        <w:t>g) Cierra la sentencia su argumento cuestionando el carácter arbitrario de la conducta realizada por la que fuera consejera de Hacienda de la Junta de Andalucía, con un argumento que no tiene desperdicio: la STS 749/2022 no ha tomado en consideración que los proyectos de leyes de presupuestos fueron aprobados por el Parlamento y con ello se desconoce la centralidad del Parlamento en la conformación del Estado de Derecho.</w:t>
      </w:r>
    </w:p>
    <w:p w14:paraId="1A71D03A" w14:textId="77777777" w:rsidR="009D7677" w:rsidRDefault="009D7677" w:rsidP="009D7677">
      <w:pPr>
        <w:pStyle w:val="TextoNormal"/>
      </w:pPr>
    </w:p>
    <w:p w14:paraId="1D6879F5" w14:textId="77777777" w:rsidR="009D7677" w:rsidRDefault="009D7677" w:rsidP="009D7677">
      <w:pPr>
        <w:pStyle w:val="TextoNormal"/>
      </w:pPr>
      <w:r>
        <w:t>Dicho argumento es absurdo, extravagante e irrazonable, por varias razones.</w:t>
      </w:r>
    </w:p>
    <w:p w14:paraId="54F097E7" w14:textId="77777777" w:rsidR="009D7677" w:rsidRDefault="009D7677" w:rsidP="009D7677">
      <w:pPr>
        <w:pStyle w:val="TextoNormal"/>
      </w:pPr>
    </w:p>
    <w:p w14:paraId="13A37E85" w14:textId="77777777" w:rsidR="009D7677" w:rsidRDefault="009D7677" w:rsidP="009D7677">
      <w:pPr>
        <w:pStyle w:val="TextoNormal"/>
      </w:pPr>
      <w:r>
        <w:t>En primer lugar, supone someter la responsabilidad penal de los miembros del Gobierno por los delitos que puedan cometer al aprobar proyectos de ley a condición resolutoria. Si dichos proyectos de ley se aprueban por el Parlamento, pese a que por su estructura típica el delito de prevaricación ya se hubiera consumado y la afectación al bien jurídico protegido —la credibilidad en las instituciones y la confianza que las mismas merecen— ya se hubiera producido, el delito desaparece. Por el contrario, si no se hubiera aprobado el proyecto de ley la conducta podría ser considerada arbitraria.</w:t>
      </w:r>
    </w:p>
    <w:p w14:paraId="6DFF578C" w14:textId="77777777" w:rsidR="009D7677" w:rsidRDefault="009D7677" w:rsidP="009D7677">
      <w:pPr>
        <w:pStyle w:val="TextoNormal"/>
      </w:pPr>
    </w:p>
    <w:p w14:paraId="56D87BA6" w14:textId="77777777" w:rsidR="009D7677" w:rsidRDefault="009D7677" w:rsidP="009D7677">
      <w:pPr>
        <w:pStyle w:val="TextoNormal"/>
      </w:pPr>
      <w:r>
        <w:t>En segundo lugar, introduce un factor de incertidumbre e imprevisibilidad contrario a la certeza en la que se asienta el principio de legalidad —que se dice aplicar— al hacer depender la responsabilidad penal de factores ajenos a la conducta del acusado. La arbitrariedad de su conducta dependerá de un elemento completamente ajeno a la misma: el resultado de la tramitación parlamentaria, lo cual es inconcebible en términos racionales. ¿Qué sucederá con la tramitación del procedimiento penal y con la calificación de “arbitraria” de la conducta, si se demora la tramitación parlamentaria del proyecto de ley por la prórroga sucesiva del plazo para la presentación de enmiendas? ¿Deberá suspenderse el procedimiento a fin de verificar si se aprueba o no la ley? Y, ¿podrá ser calificado de arbitrario el proyecto de ley si decae la iniciativa por la disolución del Parlamento?</w:t>
      </w:r>
    </w:p>
    <w:p w14:paraId="5B412A0F" w14:textId="77777777" w:rsidR="009D7677" w:rsidRDefault="009D7677" w:rsidP="009D7677">
      <w:pPr>
        <w:pStyle w:val="TextoNormal"/>
      </w:pPr>
    </w:p>
    <w:p w14:paraId="12C083B1" w14:textId="77777777" w:rsidR="009D7677" w:rsidRDefault="009D7677" w:rsidP="009D7677">
      <w:pPr>
        <w:pStyle w:val="TextoNormal"/>
      </w:pPr>
      <w:r>
        <w:t>Por último, dicha argumentación es incompatible con la reciente STC 184/2021, de 28 de octubre, en que la aprobación por el Parlamento autonómico de Cataluña de las Leyes 19/2017, de 6 de septiembre, reguladora del llamado referéndum de autodeterminación, y 20/2017, de 8 de septiembre, no supuso que la condena por el Tribunal Supremo fuera contraria al principio de legalidad.</w:t>
      </w:r>
    </w:p>
    <w:p w14:paraId="6250CD5E" w14:textId="77777777" w:rsidR="009D7677" w:rsidRDefault="009D7677" w:rsidP="009D7677">
      <w:pPr>
        <w:pStyle w:val="TextoNormal"/>
      </w:pPr>
    </w:p>
    <w:p w14:paraId="594505AA" w14:textId="77777777" w:rsidR="009D7677" w:rsidRDefault="009D7677" w:rsidP="009D7677">
      <w:pPr>
        <w:pStyle w:val="TextoNormal"/>
      </w:pPr>
      <w:r>
        <w:t xml:space="preserve">Es por todo ello que entiendo que la sentencia de la que discrepo debilita los fundamentos del Estado de Derecho, introduce causas de irresponsabilidad no previstas en la Ley, </w:t>
      </w:r>
      <w:r>
        <w:lastRenderedPageBreak/>
        <w:t>incurre en un exceso de jurisdicción que socava la posición institucional que la Constitución reconoce al Tribunal Supremo, debilita la persecución eficaz de los delitos de corrupción institucionalizada cometidos por el Gobierno o sus miembros y finalmente supone un incumplimiento de los compromisos internacionales asumidos por España frente a la corrupción.</w:t>
      </w:r>
    </w:p>
    <w:p w14:paraId="729C6CB6" w14:textId="77777777" w:rsidR="009D7677" w:rsidRDefault="009D7677" w:rsidP="009D7677">
      <w:pPr>
        <w:pStyle w:val="TextoNormal"/>
      </w:pPr>
    </w:p>
    <w:p w14:paraId="7F88D716" w14:textId="77777777" w:rsidR="009D7677" w:rsidRDefault="009D7677" w:rsidP="009D7677">
      <w:pPr>
        <w:pStyle w:val="TextoNormal"/>
      </w:pPr>
      <w:r>
        <w:t>Y en este sentido emito el presente voto particular.</w:t>
      </w:r>
    </w:p>
    <w:p w14:paraId="6A5A5E9A" w14:textId="77777777" w:rsidR="009D7677" w:rsidRDefault="009D7677" w:rsidP="009D7677">
      <w:pPr>
        <w:pStyle w:val="TextoNormal"/>
      </w:pPr>
    </w:p>
    <w:p w14:paraId="6E748378" w14:textId="2B744181" w:rsidR="009D7677" w:rsidRDefault="009D7677" w:rsidP="009D7677">
      <w:pPr>
        <w:pStyle w:val="TextoNormal"/>
      </w:pPr>
      <w:r>
        <w:t>Madrid, a diecinueve de junio de dos mil veinticuatro.</w:t>
      </w:r>
    </w:p>
    <w:p w14:paraId="7A460104" w14:textId="4ABE31B4" w:rsidR="00576A90" w:rsidRDefault="00576A90">
      <w:pPr>
        <w:spacing w:after="160" w:line="259" w:lineRule="auto"/>
        <w:rPr>
          <w:rFonts w:ascii="Times New Roman" w:eastAsia="Times New Roman" w:hAnsi="Times New Roman" w:cs="Times New Roman"/>
          <w:sz w:val="24"/>
          <w:szCs w:val="24"/>
          <w:lang w:eastAsia="es-ES"/>
        </w:rPr>
      </w:pPr>
      <w:r>
        <w:br w:type="page"/>
      </w:r>
    </w:p>
    <w:p w14:paraId="7D85B090" w14:textId="77777777" w:rsidR="00576A90" w:rsidRDefault="00576A90" w:rsidP="00576A90">
      <w:pPr>
        <w:pStyle w:val="TextoNormal"/>
      </w:pPr>
    </w:p>
    <w:p w14:paraId="2FBB424F" w14:textId="77777777" w:rsidR="00576A90" w:rsidRDefault="00576A90" w:rsidP="00576A90">
      <w:pPr>
        <w:pStyle w:val="TextoNormal"/>
      </w:pPr>
    </w:p>
    <w:p w14:paraId="36E50175" w14:textId="77777777" w:rsidR="00576A90" w:rsidRDefault="00576A90" w:rsidP="00576A90">
      <w:pPr>
        <w:pStyle w:val="TextoNormal"/>
      </w:pPr>
    </w:p>
    <w:p w14:paraId="4BC0B77D" w14:textId="77777777" w:rsidR="00576A90" w:rsidRDefault="00576A90" w:rsidP="00576A90">
      <w:pPr>
        <w:pStyle w:val="TextoNormal"/>
      </w:pPr>
    </w:p>
    <w:p w14:paraId="798FF727" w14:textId="77777777" w:rsidR="00576A90" w:rsidRDefault="00576A90" w:rsidP="00576A90">
      <w:pPr>
        <w:pStyle w:val="TextoNormal"/>
      </w:pPr>
    </w:p>
    <w:p w14:paraId="61EBCE91" w14:textId="77777777" w:rsidR="00576A90" w:rsidRDefault="00576A90" w:rsidP="00576A90">
      <w:pPr>
        <w:pStyle w:val="TextoNormal"/>
      </w:pPr>
    </w:p>
    <w:p w14:paraId="04AE5F35" w14:textId="77777777" w:rsidR="00576A90" w:rsidRDefault="00576A90" w:rsidP="00576A90">
      <w:pPr>
        <w:pStyle w:val="TextoNormal"/>
      </w:pPr>
    </w:p>
    <w:p w14:paraId="2B15FF78" w14:textId="77777777" w:rsidR="00576A90" w:rsidRDefault="00576A90" w:rsidP="00576A90">
      <w:pPr>
        <w:pStyle w:val="TextoNormal"/>
      </w:pPr>
    </w:p>
    <w:p w14:paraId="7CDD9DF8" w14:textId="77777777" w:rsidR="00576A90" w:rsidRDefault="00576A90" w:rsidP="00576A90">
      <w:pPr>
        <w:pStyle w:val="TextoNormal"/>
      </w:pPr>
    </w:p>
    <w:p w14:paraId="2174B688" w14:textId="77777777" w:rsidR="00576A90" w:rsidRDefault="00576A90" w:rsidP="00576A90">
      <w:pPr>
        <w:pStyle w:val="TextoNormal"/>
      </w:pPr>
    </w:p>
    <w:p w14:paraId="5CFFD6FD" w14:textId="77777777" w:rsidR="00576A90" w:rsidRDefault="00576A90" w:rsidP="00576A90">
      <w:pPr>
        <w:pStyle w:val="TextoNormal"/>
      </w:pPr>
    </w:p>
    <w:p w14:paraId="79FA5305" w14:textId="77777777" w:rsidR="00576A90" w:rsidRDefault="00576A90" w:rsidP="00576A90">
      <w:pPr>
        <w:pStyle w:val="TextoNormal"/>
      </w:pPr>
    </w:p>
    <w:p w14:paraId="5100925C" w14:textId="77777777" w:rsidR="00576A90" w:rsidRDefault="00576A90" w:rsidP="00576A90">
      <w:pPr>
        <w:pStyle w:val="TextoNormal"/>
      </w:pPr>
    </w:p>
    <w:p w14:paraId="085ABC7A" w14:textId="77777777" w:rsidR="00576A90" w:rsidRDefault="00576A90" w:rsidP="00576A90">
      <w:pPr>
        <w:pStyle w:val="CabeceraApartado"/>
      </w:pPr>
      <w:r>
        <w:t>AUTOS</w:t>
      </w:r>
    </w:p>
    <w:p w14:paraId="169E7932" w14:textId="3139F2F5" w:rsidR="00576A90" w:rsidRDefault="00576A90">
      <w:pPr>
        <w:spacing w:after="160" w:line="259" w:lineRule="auto"/>
        <w:rPr>
          <w:rFonts w:ascii="Times New Roman" w:eastAsia="Times New Roman" w:hAnsi="Times New Roman" w:cs="Times New Roman"/>
          <w:sz w:val="48"/>
          <w:szCs w:val="24"/>
          <w:lang w:eastAsia="es-ES"/>
        </w:rPr>
      </w:pPr>
      <w:r>
        <w:br w:type="page"/>
      </w:r>
    </w:p>
    <w:p w14:paraId="3660E5DF" w14:textId="77777777" w:rsidR="00576A90" w:rsidRDefault="00576A90" w:rsidP="00576A90">
      <w:pPr>
        <w:pStyle w:val="TtuloResolucin"/>
      </w:pPr>
      <w:bookmarkStart w:id="96" w:name="AUTO_2024_1"/>
      <w:r>
        <w:lastRenderedPageBreak/>
        <w:t>AUTO 1/2024, de 9 de enero de 2024</w:t>
      </w:r>
    </w:p>
    <w:bookmarkEnd w:id="96"/>
    <w:p w14:paraId="740DF9B2" w14:textId="77777777" w:rsidR="00576A90" w:rsidRDefault="00576A90" w:rsidP="00576A90">
      <w:pPr>
        <w:pStyle w:val="TtuloResolucin"/>
      </w:pPr>
      <w:r>
        <w:t>Sección Primera</w:t>
      </w:r>
    </w:p>
    <w:p w14:paraId="3D4E2E67" w14:textId="77777777" w:rsidR="00576A90" w:rsidRDefault="00576A90" w:rsidP="00576A90">
      <w:pPr>
        <w:pStyle w:val="TextoNormalCentrado"/>
      </w:pPr>
      <w:r>
        <w:t>ECLI:ES:TC:2024:1A</w:t>
      </w:r>
    </w:p>
    <w:p w14:paraId="63FD1B3A" w14:textId="490AC5AC" w:rsidR="00576A90" w:rsidRDefault="00576A90" w:rsidP="00576A90">
      <w:pPr>
        <w:pStyle w:val="TextoNormalCentrado"/>
      </w:pPr>
    </w:p>
    <w:p w14:paraId="492480C7" w14:textId="77777777" w:rsidR="00576A90" w:rsidRDefault="00576A90" w:rsidP="00576A90">
      <w:pPr>
        <w:pStyle w:val="SntesisDescriptiva"/>
      </w:pPr>
      <w:r>
        <w:t>Excms. Srs. don Cándido Conde-Pumpido Tourón, doña Concepción Espejel Jorquera y doña María Luisa Segoviano Astaburuaga.</w:t>
      </w:r>
    </w:p>
    <w:p w14:paraId="4418CEB1" w14:textId="06BE2F2D" w:rsidR="00576A90" w:rsidRDefault="00576A90" w:rsidP="00576A90">
      <w:pPr>
        <w:pStyle w:val="SntesisDescriptiva"/>
      </w:pPr>
    </w:p>
    <w:p w14:paraId="2BE3438C" w14:textId="77777777" w:rsidR="00576A90" w:rsidRDefault="00576A90" w:rsidP="00576A90">
      <w:pPr>
        <w:pStyle w:val="SntesisDescriptiva"/>
      </w:pPr>
      <w:r>
        <w:t>Desestima el recurso de súplica interpuesto por el Ministerio Fiscal en relación con la providencia de inadmisión del recurso de amparo 1252-2022, promovido por doña Sigrid Bernice van der Spoel en causa penal.</w:t>
      </w:r>
    </w:p>
    <w:p w14:paraId="1B700BC3" w14:textId="347FF4E8" w:rsidR="00576A90" w:rsidRDefault="00576A90" w:rsidP="00576A90">
      <w:pPr>
        <w:pStyle w:val="SntesisDescriptiva"/>
      </w:pPr>
    </w:p>
    <w:p w14:paraId="5B06307C" w14:textId="77777777" w:rsidR="00576A90" w:rsidRDefault="00576A90" w:rsidP="00576A90">
      <w:pPr>
        <w:pStyle w:val="SntesisDescriptiva"/>
      </w:pPr>
    </w:p>
    <w:p w14:paraId="399D3569" w14:textId="77777777" w:rsidR="00576A90" w:rsidRDefault="00576A90" w:rsidP="00576A90">
      <w:pPr>
        <w:pStyle w:val="SntesisDescriptiva"/>
      </w:pPr>
    </w:p>
    <w:p w14:paraId="4A6672C9" w14:textId="77777777" w:rsidR="00576A90" w:rsidRDefault="00576A90" w:rsidP="00576A90">
      <w:pPr>
        <w:pStyle w:val="TextoNormalNegritaCentrado"/>
      </w:pPr>
      <w:r>
        <w:t>AUTO</w:t>
      </w:r>
    </w:p>
    <w:p w14:paraId="4F75ABA1" w14:textId="70460CD0" w:rsidR="00576A90" w:rsidRDefault="00576A90" w:rsidP="00576A90">
      <w:pPr>
        <w:pStyle w:val="TextoNormalNegritaCentrado"/>
      </w:pPr>
    </w:p>
    <w:p w14:paraId="7A12DD20" w14:textId="77777777" w:rsidR="00576A90" w:rsidRDefault="00576A90" w:rsidP="00576A90">
      <w:pPr>
        <w:pStyle w:val="TextoNormalNegritaCentrado"/>
        <w:keepNext/>
      </w:pPr>
      <w:r>
        <w:t>I. Antecedentes</w:t>
      </w:r>
    </w:p>
    <w:p w14:paraId="3F8A6A6E" w14:textId="3C21DC72" w:rsidR="00576A90" w:rsidRDefault="00576A90" w:rsidP="00576A90">
      <w:pPr>
        <w:pStyle w:val="TextoNormalNegritaCentrado"/>
        <w:keepNext/>
      </w:pPr>
    </w:p>
    <w:p w14:paraId="597E65DB" w14:textId="72DB05CB" w:rsidR="00576A90" w:rsidRDefault="00576A90" w:rsidP="00576A90">
      <w:pPr>
        <w:pStyle w:val="TextoNormal"/>
      </w:pPr>
      <w:r w:rsidRPr="00576A90">
        <w:rPr>
          <w:rStyle w:val="NumeroAFNegritaCaracter"/>
        </w:rPr>
        <w:t>1</w:t>
      </w:r>
      <w:r>
        <w:t>. Por escrito recibido en el registro general de este tribunal el día 25 de febrero de 2022, doña Sigrid Bernice van der Spoel, representada por el procurador de los tribunales don Andrés Fernández Rodríguez, asistida por la letrada doña Anna María Vidal i Cardina, ha interpuesto recurso de amparo contra el auto núm. 68/2022, de 21 de enero, de la Sección Quinta de la Audiencia Provincial de Valencia, que confirmó en apelación el auto de 7 de diciembre de 2021 del Juzgado de Instrucción núm. 8 de Valencia, que confirmó en reforma el auto de 31 de octubre de 2021 que acordó el sobreseimiento provisional de las diligencias previas núm. 1065-2021, incoadas por denuncia de la actora en la que afirmaba que su hija menor de edad había sido víctima de abusos sexuales en el seno del núcleo familiar.</w:t>
      </w:r>
    </w:p>
    <w:p w14:paraId="6794F97D" w14:textId="77777777" w:rsidR="00576A90" w:rsidRDefault="00576A90" w:rsidP="00576A90">
      <w:pPr>
        <w:pStyle w:val="TextoNormal"/>
      </w:pPr>
    </w:p>
    <w:p w14:paraId="547B50E5" w14:textId="4F9030A2" w:rsidR="00576A90" w:rsidRDefault="00576A90" w:rsidP="00576A90">
      <w:pPr>
        <w:pStyle w:val="TextoNormal"/>
      </w:pPr>
      <w:r w:rsidRPr="00576A90">
        <w:rPr>
          <w:rStyle w:val="NumeroAFNegritaCaracter"/>
        </w:rPr>
        <w:t>2</w:t>
      </w:r>
      <w:r>
        <w:t xml:space="preserve">. En el recurso de amparo se aducía la vulneración del derecho a la tutela judicial efectiva (art. 24.1 CE), por vulneración del </w:t>
      </w:r>
      <w:r w:rsidRPr="00576A90">
        <w:rPr>
          <w:i/>
        </w:rPr>
        <w:t>ius ut procedatur</w:t>
      </w:r>
      <w:r>
        <w:t>, porque el juzgado de instrucción sobreseyó provisionalmente la causa tras haber señalado, con una demora de tres meses, pues la denuncia se había presentado el día 22 de junio de 2021, la exploración de la menor para el día 24 de septiembre de 2021, a la que no comparecieron la actora y su hija, sin intentar un nuevo señalamiento ni practicar ninguna diligencia.</w:t>
      </w:r>
    </w:p>
    <w:p w14:paraId="39B364C1" w14:textId="77777777" w:rsidR="00576A90" w:rsidRDefault="00576A90" w:rsidP="00576A90">
      <w:pPr>
        <w:pStyle w:val="TextoNormal"/>
      </w:pPr>
    </w:p>
    <w:p w14:paraId="797E3804" w14:textId="0052DDCD" w:rsidR="00576A90" w:rsidRDefault="00576A90" w:rsidP="00576A90">
      <w:pPr>
        <w:pStyle w:val="TextoNormal"/>
      </w:pPr>
      <w:r w:rsidRPr="00576A90">
        <w:rPr>
          <w:rStyle w:val="NumeroAFNegritaCaracter"/>
        </w:rPr>
        <w:t>3</w:t>
      </w:r>
      <w:r>
        <w:t>. Mediante providencia de 20 de noviembre de 2023, la Sección Primera de este tribunal acordó no admitir a trámite la demanda de amparo, de conformidad con el art. 50.1 a), en relación con el art. 44.1 a), de la Ley Orgánica del Tribunal Constitucional (LOTC), al ser la demanda de amparo prematura “por no haber concluido el proceso abierto en vía judicial”.</w:t>
      </w:r>
    </w:p>
    <w:p w14:paraId="6E6ABC41" w14:textId="77777777" w:rsidR="00576A90" w:rsidRDefault="00576A90" w:rsidP="00576A90">
      <w:pPr>
        <w:pStyle w:val="TextoNormal"/>
      </w:pPr>
    </w:p>
    <w:p w14:paraId="2C492367" w14:textId="598E95CB" w:rsidR="00576A90" w:rsidRDefault="00576A90" w:rsidP="00576A90">
      <w:pPr>
        <w:pStyle w:val="TextoNormal"/>
      </w:pPr>
      <w:r w:rsidRPr="00576A90">
        <w:rPr>
          <w:rStyle w:val="NumeroAFNegritaCaracter"/>
        </w:rPr>
        <w:t>4</w:t>
      </w:r>
      <w:r>
        <w:t>. Por escrito presentado el día 21 de diciembre de 2023, el Ministerio Fiscal interpuso recurso de súplica contra la referida providencia, alegando que frente al auto del juzgado de instrucción de 31 de octubre de 2021 de sobreseimiento provisional, la parte interesada entabló recurso de reforma que fue desestimado por auto de 7 de diciembre de 2021, y que contra este entabló recurso de apelación que fue desestimado por auto de la Audiencia Provincial de Valencia de 21 de enero de 2022, por lo que “[e]n atención a estas circuns</w:t>
      </w:r>
      <w:r>
        <w:lastRenderedPageBreak/>
        <w:t>tancias, y sin perjuicio de la posible presencia de otras causas de inadmisión en el presente recurso de amparo, lo cierto es que en las diligencias previas ya mencionadas se han utilizado todos los medios impugnativos previstos por la ley, lo que [impide] entender, como hace la resolución que aquí se recurre en súplica, que este proceso aún no haya concluido”. Interesaba, en consecuencia, que se dejara sin efecto la providencia de inadmisión “quedando las actuaciones pendientes de la resolución que sobre admisión resulte procedente a juicio de ese Tribunal Constitucional”.</w:t>
      </w:r>
    </w:p>
    <w:p w14:paraId="2BEF71FB" w14:textId="77777777" w:rsidR="00576A90" w:rsidRDefault="00576A90" w:rsidP="00576A90">
      <w:pPr>
        <w:pStyle w:val="TextoNormal"/>
      </w:pPr>
    </w:p>
    <w:p w14:paraId="3479DBFF" w14:textId="29190BBA" w:rsidR="00576A90" w:rsidRDefault="00576A90" w:rsidP="00576A90">
      <w:pPr>
        <w:pStyle w:val="TextoNormal"/>
      </w:pPr>
      <w:r w:rsidRPr="00576A90">
        <w:rPr>
          <w:rStyle w:val="NumeroAFNegritaCaracter"/>
        </w:rPr>
        <w:t>5</w:t>
      </w:r>
      <w:r>
        <w:t>. Por diligencia de ordenación de 22 de diciembre de 2023 se dio traslado del recurso de súplica al procurador de la demandante para que alegara lo que estimase pertinente, de conformidad con lo prevenido en el art. 93.2 LOTC.</w:t>
      </w:r>
    </w:p>
    <w:p w14:paraId="32CA594E" w14:textId="77777777" w:rsidR="00576A90" w:rsidRDefault="00576A90" w:rsidP="00576A90">
      <w:pPr>
        <w:pStyle w:val="TextoNormal"/>
      </w:pPr>
    </w:p>
    <w:p w14:paraId="64CC1557" w14:textId="6C3535FB" w:rsidR="00576A90" w:rsidRDefault="00576A90" w:rsidP="00576A90">
      <w:pPr>
        <w:pStyle w:val="TextoNormal"/>
      </w:pPr>
      <w:r w:rsidRPr="00576A90">
        <w:rPr>
          <w:rStyle w:val="NumeroAFNegritaCaracter"/>
        </w:rPr>
        <w:t>6</w:t>
      </w:r>
      <w:r>
        <w:t>. Por escrito registrado en este tribunal el 10 de enero de 2024 el procurador de la demandante manifestó que se adhería al recurso de súplica interpuesto por la Fiscalía.</w:t>
      </w:r>
    </w:p>
    <w:p w14:paraId="1EDDA558" w14:textId="77777777" w:rsidR="00576A90" w:rsidRDefault="00576A90" w:rsidP="00576A90">
      <w:pPr>
        <w:pStyle w:val="TextoNormal"/>
      </w:pPr>
    </w:p>
    <w:p w14:paraId="6C21EEDD" w14:textId="77777777" w:rsidR="00576A90" w:rsidRDefault="00576A90" w:rsidP="00576A90">
      <w:pPr>
        <w:pStyle w:val="TextoNormalNegritaCentrado"/>
        <w:keepNext/>
      </w:pPr>
      <w:r>
        <w:t>II. Fundamentos jurídicos</w:t>
      </w:r>
    </w:p>
    <w:p w14:paraId="7D6C31EA" w14:textId="52FDC2AB" w:rsidR="00576A90" w:rsidRDefault="00576A90" w:rsidP="00576A90">
      <w:pPr>
        <w:pStyle w:val="TextoNormalNegritaCentrado"/>
        <w:keepNext/>
      </w:pPr>
    </w:p>
    <w:p w14:paraId="08EA8781" w14:textId="31C5FF53" w:rsidR="00576A90" w:rsidRDefault="00576A90" w:rsidP="00576A90">
      <w:pPr>
        <w:pStyle w:val="TextoNormal"/>
      </w:pPr>
      <w:r w:rsidRPr="00576A90">
        <w:rPr>
          <w:rStyle w:val="NumeroAFNegritaCaracter"/>
        </w:rPr>
        <w:t>1</w:t>
      </w:r>
      <w:r>
        <w:t>. El Ministerio Fiscal considera en su recurso de súplica que la Sección Primera de este tribunal ha inadmitido indebidamente el recurso de amparo presentado por la actora, mediante la providencia de 20 de noviembre de 2023 que invocó la circunstancia prevista en los arts. 50.1 a) y 44.1 a) de la Ley Orgánica del Tribunal Constitucional (LOTC), esto es, que el proceso judicial no había concluido. Rebate el Ministerio Fiscal este criterio por entender que habiendo sido interpuestos por la representación procesal de la actora y resueltos los recursos ordinarios disponibles contra el auto de sobreseimiento provisional, la vía judicial previa quedó agotada.</w:t>
      </w:r>
    </w:p>
    <w:p w14:paraId="394F98B4" w14:textId="77777777" w:rsidR="00576A90" w:rsidRDefault="00576A90" w:rsidP="00576A90">
      <w:pPr>
        <w:pStyle w:val="TextoNormal"/>
      </w:pPr>
    </w:p>
    <w:p w14:paraId="1CF8F36C" w14:textId="6999C316" w:rsidR="00576A90" w:rsidRDefault="00576A90" w:rsidP="00576A90">
      <w:pPr>
        <w:pStyle w:val="TextoNormal"/>
      </w:pPr>
      <w:r w:rsidRPr="00576A90">
        <w:rPr>
          <w:rStyle w:val="NumeroAFNegritaCaracter"/>
        </w:rPr>
        <w:t>2</w:t>
      </w:r>
      <w:r>
        <w:t>. Este tribunal ha puesto de manifiesto que la causa de inadmisión de falta de agotamiento de la vía judicial previa [art. 50.1 a), en relación con el art. 44.1 a) LOTC] tiene su fundamento en la salvaguarda de la naturaleza subsidiaria del amparo, con el fin de evitar que este tribunal se pronuncie sobre eventuales vulneraciones de derechos fundamentales cuando los órganos judiciales tienen todavía la ocasión de restablecerlos. En relación con ello, se ha destacado que es opuesto al carácter subsidiario de esta jurisdicción constitucional simultanear un recurso de amparo con otro recurso seguido en la vía judicial ordinaria, como ocurre cuando se inicia el proceso de amparo antes de que estén resueltos los recursos interpuestos contra la resolución judicial impugnada en aquella otra vía o cuando, una vez presentada la demanda de amparo, se reabre la vía judicial durante la pendencia del proceso de amparo, aunque la resolución final de la jurisdicción ordinaria sea finalmente desestimatoria (por todas, SSTC 99/2009, de 27 de abril, FJ 2 y 31/2020, de 24 de febrero, FJ 3).</w:t>
      </w:r>
    </w:p>
    <w:p w14:paraId="2155171B" w14:textId="77777777" w:rsidR="00576A90" w:rsidRDefault="00576A90" w:rsidP="00576A90">
      <w:pPr>
        <w:pStyle w:val="TextoNormal"/>
      </w:pPr>
    </w:p>
    <w:p w14:paraId="5F174CA9" w14:textId="77777777" w:rsidR="00576A90" w:rsidRDefault="00576A90" w:rsidP="00576A90">
      <w:pPr>
        <w:pStyle w:val="TextoNormal"/>
      </w:pPr>
      <w:r w:rsidRPr="00576A90">
        <w:rPr>
          <w:rStyle w:val="NumeroAFNegritaCaracter"/>
        </w:rPr>
        <w:t>3</w:t>
      </w:r>
      <w:r>
        <w:t xml:space="preserve">. Para resolver la impugnación efectuada por el fiscal y exteriorizar las razones por las que esta sección dictó la providencia de inadmisión, es preciso poner de manifiesto que las diligencias previas núm. 1065-2021 del Juzgado de Instrucción núm. 8 de Valencia, en las que se investigaba la denuncia que la actora había presentado por abusos sexuales sobre su hija menor de edad, fueron reabiertas después de la interposición de la presente demanda de amparo, y que en el nuevo tramo de instrucción se practicó la exploración de la menor </w:t>
      </w:r>
      <w:r>
        <w:lastRenderedPageBreak/>
        <w:t xml:space="preserve">mediante la técnica de la “cámara de Gesell”, dirigida por psicóloga forense del Instituto de Medicina Legal, que emitió informe, concluyéndose nuevamente las diligencias por auto del juzgado de instrucción de 7 de diciembre de 2022, que acordó esta vez el sobreseimiento libre, resolución que fue confirmada en reforma por auto de 27 de diciembre de 2022, y que se vio parcialmente modificada en apelación por auto núm. 281/2023, de 1 de marzo, de la Sección Quinta de la Audiencia Provincial de Valencia, en el solo particular relativo a la modalidad de sobreseimiento que correspondía al caso, que consideraba era la provisional del art. 641.1 de la Ley de enjuiciamiento criminal, no el sobreseimiento libre. Contra estas últimas resoluciones la actora tiene interpuesta demanda de amparo en la que alega vulneración del </w:t>
      </w:r>
      <w:r w:rsidRPr="00576A90">
        <w:rPr>
          <w:i/>
        </w:rPr>
        <w:t>ius ut procedatur</w:t>
      </w:r>
      <w:r>
        <w:t xml:space="preserve"> y del derecho a la integridad física y moral de la menor (art. 15 CE) por investigación insuficiente, que ha quedado registrada con el número 2639-2023 y que está pendiente de admisión en la Sección Tercera de este tribunal.</w:t>
      </w:r>
    </w:p>
    <w:p w14:paraId="357B7847" w14:textId="77777777" w:rsidR="00576A90" w:rsidRDefault="00576A90" w:rsidP="00576A90">
      <w:pPr>
        <w:pStyle w:val="TextoNormal"/>
      </w:pPr>
    </w:p>
    <w:p w14:paraId="035387F4" w14:textId="748310C6" w:rsidR="00576A90" w:rsidRDefault="00576A90" w:rsidP="00576A90">
      <w:pPr>
        <w:pStyle w:val="TextoNormal"/>
      </w:pPr>
      <w:r>
        <w:t xml:space="preserve">En atención a lo expuesto, la presente demanda de amparo era prematura en los términos del art. 44.1 a) LOTC porque las resoluciones judiciales impugnadas en la misma fueron ulteriormente revocadas por el juzgado de instrucción, que al reabrir el proceso restableció sus expectativas de ver reparado su derecho en la vía judicial previa, expectativas que, como se expresa en la doctrina constitucional citada </w:t>
      </w:r>
      <w:r w:rsidRPr="00576A90">
        <w:rPr>
          <w:i/>
        </w:rPr>
        <w:t>supra</w:t>
      </w:r>
      <w:r>
        <w:t xml:space="preserve">, no pueden simultanearse con un procedimiento constitucional de amparo. A esta solución apuntan igualmente exigencias inherentes al examen de fondo de la misma pretensión de amparo, pues el cumplimiento de las exigencias del </w:t>
      </w:r>
      <w:r w:rsidRPr="00576A90">
        <w:rPr>
          <w:i/>
        </w:rPr>
        <w:t>ius ut procedatur</w:t>
      </w:r>
      <w:r>
        <w:t xml:space="preserve"> no puede enjuiciarse a partir de resoluciones judiciales que no han concluido definitivamente el procedimiento y que solo ofrecen una consideración parcial de la instrucción efectivamente practicada, sino mediante un análisis comprensivo de su totalidad, por lo que el adecuado enjuiciamiento constitucional del caso obliga a centrarse en los autos dictados posteriormente por el juzgado de instrucción y la audiencia provincial, que concluyeron definitivamente la instrucción y que son el objeto del recurso de amparo núm. 2639-2023.</w:t>
      </w:r>
    </w:p>
    <w:p w14:paraId="02A4F574" w14:textId="77777777" w:rsidR="00576A90" w:rsidRDefault="00576A90" w:rsidP="00576A90">
      <w:pPr>
        <w:pStyle w:val="TextoNormal"/>
      </w:pPr>
    </w:p>
    <w:p w14:paraId="54F0A520" w14:textId="77777777" w:rsidR="00576A90" w:rsidRDefault="00576A90" w:rsidP="00576A90">
      <w:pPr>
        <w:pStyle w:val="TextoNormal"/>
      </w:pPr>
      <w:r>
        <w:t>Por lo expuesto, la Sección</w:t>
      </w:r>
    </w:p>
    <w:p w14:paraId="0FAE3977" w14:textId="3DB146A9" w:rsidR="00576A90" w:rsidRDefault="00576A90" w:rsidP="00576A90">
      <w:pPr>
        <w:pStyle w:val="TextoNormal"/>
      </w:pPr>
    </w:p>
    <w:p w14:paraId="1AD3D453" w14:textId="77777777" w:rsidR="00576A90" w:rsidRDefault="00576A90" w:rsidP="00576A90">
      <w:pPr>
        <w:pStyle w:val="TextoNormalCentrado"/>
      </w:pPr>
      <w:r>
        <w:t>ACUERDA</w:t>
      </w:r>
    </w:p>
    <w:p w14:paraId="2BB4B4D4" w14:textId="4E89E2EF" w:rsidR="00576A90" w:rsidRDefault="00576A90" w:rsidP="00576A90">
      <w:pPr>
        <w:pStyle w:val="TextoNormalCentrado"/>
      </w:pPr>
    </w:p>
    <w:p w14:paraId="01D2D959" w14:textId="10E8DE83" w:rsidR="00576A90" w:rsidRDefault="00576A90" w:rsidP="00576A90">
      <w:pPr>
        <w:pStyle w:val="TextoNormal"/>
      </w:pPr>
      <w:r>
        <w:t>Desestimar el recurso de súplica interpuesto por el Ministerio Fiscal contra la providencia de 20 de noviembre de 2023.</w:t>
      </w:r>
    </w:p>
    <w:p w14:paraId="43B34033" w14:textId="77777777" w:rsidR="00576A90" w:rsidRDefault="00576A90" w:rsidP="00576A90">
      <w:pPr>
        <w:pStyle w:val="TextoNormal"/>
      </w:pPr>
    </w:p>
    <w:p w14:paraId="6C6083E4" w14:textId="77777777" w:rsidR="00576A90" w:rsidRDefault="00576A90" w:rsidP="00576A90">
      <w:pPr>
        <w:pStyle w:val="TextoNormal"/>
      </w:pPr>
      <w:r>
        <w:t>Madrid, a nueve de enero de dos mil veinticuatro.</w:t>
      </w:r>
    </w:p>
    <w:p w14:paraId="69C9EDA6" w14:textId="3097D46F" w:rsidR="00576A90" w:rsidRDefault="00576A90">
      <w:pPr>
        <w:spacing w:after="160" w:line="259" w:lineRule="auto"/>
        <w:rPr>
          <w:rFonts w:ascii="Times New Roman" w:eastAsia="Times New Roman" w:hAnsi="Times New Roman" w:cs="Times New Roman"/>
          <w:sz w:val="24"/>
          <w:szCs w:val="24"/>
          <w:lang w:eastAsia="es-ES"/>
        </w:rPr>
      </w:pPr>
      <w:r>
        <w:br w:type="page"/>
      </w:r>
    </w:p>
    <w:p w14:paraId="14FCF683" w14:textId="77777777" w:rsidR="00576A90" w:rsidRDefault="00576A90" w:rsidP="00576A90">
      <w:pPr>
        <w:pStyle w:val="TtuloResolucin"/>
      </w:pPr>
      <w:bookmarkStart w:id="97" w:name="AUTO_2024_2"/>
      <w:r>
        <w:lastRenderedPageBreak/>
        <w:t>AUTO 2/2024, de 18 de enero de 2024</w:t>
      </w:r>
    </w:p>
    <w:bookmarkEnd w:id="97"/>
    <w:p w14:paraId="131102ED" w14:textId="77777777" w:rsidR="00576A90" w:rsidRDefault="00576A90" w:rsidP="00576A90">
      <w:pPr>
        <w:pStyle w:val="TtuloResolucin"/>
      </w:pPr>
      <w:r>
        <w:t>Sección Tercera</w:t>
      </w:r>
    </w:p>
    <w:p w14:paraId="5B7870F0" w14:textId="77777777" w:rsidR="00576A90" w:rsidRDefault="00576A90" w:rsidP="00576A90">
      <w:pPr>
        <w:pStyle w:val="TextoNormalCentrado"/>
      </w:pPr>
      <w:r>
        <w:t>ECLI:ES:TC:2024:2A</w:t>
      </w:r>
    </w:p>
    <w:p w14:paraId="768AB416" w14:textId="41EA7ADE" w:rsidR="00576A90" w:rsidRDefault="00576A90" w:rsidP="00576A90">
      <w:pPr>
        <w:pStyle w:val="TextoNormalCentrado"/>
      </w:pPr>
    </w:p>
    <w:p w14:paraId="22EED5D2" w14:textId="77777777" w:rsidR="00576A90" w:rsidRDefault="00576A90" w:rsidP="00576A90">
      <w:pPr>
        <w:pStyle w:val="SntesisDescriptiva"/>
      </w:pPr>
      <w:r>
        <w:t>Excms. Srs. doña Inmaculada Montalbán Huertas y doña Laura Díez Bueso.</w:t>
      </w:r>
    </w:p>
    <w:p w14:paraId="3D5CCB60" w14:textId="2BF2F6B2" w:rsidR="00576A90" w:rsidRDefault="00576A90" w:rsidP="00576A90">
      <w:pPr>
        <w:pStyle w:val="SntesisDescriptiva"/>
      </w:pPr>
    </w:p>
    <w:p w14:paraId="2BD36727" w14:textId="77777777" w:rsidR="00576A90" w:rsidRDefault="00576A90" w:rsidP="00576A90">
      <w:pPr>
        <w:pStyle w:val="SntesisDescriptiva"/>
      </w:pPr>
      <w:r>
        <w:t>Acepta una abstención en el recurso de amparo 8126-2022, promovido en proceso contencioso administrativo.</w:t>
      </w:r>
    </w:p>
    <w:p w14:paraId="669D8B7A" w14:textId="44FCA85A" w:rsidR="00576A90" w:rsidRDefault="00576A90" w:rsidP="00576A90">
      <w:pPr>
        <w:pStyle w:val="SntesisDescriptiva"/>
      </w:pPr>
    </w:p>
    <w:p w14:paraId="3C190B56" w14:textId="77777777" w:rsidR="00576A90" w:rsidRDefault="00576A90" w:rsidP="00576A90">
      <w:pPr>
        <w:pStyle w:val="SntesisDescriptiva"/>
      </w:pPr>
    </w:p>
    <w:p w14:paraId="487ACFF9" w14:textId="77777777" w:rsidR="00576A90" w:rsidRDefault="00576A90" w:rsidP="00576A90">
      <w:pPr>
        <w:pStyle w:val="SntesisDescriptiva"/>
      </w:pPr>
    </w:p>
    <w:p w14:paraId="0EEFD9B5" w14:textId="77777777" w:rsidR="00576A90" w:rsidRDefault="00576A90" w:rsidP="00576A90">
      <w:pPr>
        <w:pStyle w:val="TextoNormalNegritaCentrado"/>
      </w:pPr>
      <w:r>
        <w:t>AUTO</w:t>
      </w:r>
    </w:p>
    <w:p w14:paraId="58415C5A" w14:textId="5E80D172" w:rsidR="00576A90" w:rsidRDefault="00576A90" w:rsidP="00576A90">
      <w:pPr>
        <w:pStyle w:val="TextoNormalNegritaCentrado"/>
      </w:pPr>
    </w:p>
    <w:p w14:paraId="3AC7164E" w14:textId="77777777" w:rsidR="00576A90" w:rsidRDefault="00576A90" w:rsidP="00576A90">
      <w:pPr>
        <w:pStyle w:val="TextoNormalNegritaCentrado"/>
        <w:keepNext/>
      </w:pPr>
      <w:r>
        <w:t>I. Antecedentes</w:t>
      </w:r>
    </w:p>
    <w:p w14:paraId="4939C417" w14:textId="48247C73" w:rsidR="00576A90" w:rsidRDefault="00576A90" w:rsidP="00576A90">
      <w:pPr>
        <w:pStyle w:val="TextoNormalNegritaCentrado"/>
        <w:keepNext/>
      </w:pPr>
    </w:p>
    <w:p w14:paraId="4D8DBCED" w14:textId="77099DD2" w:rsidR="00576A90" w:rsidRDefault="00576A90" w:rsidP="00576A90">
      <w:pPr>
        <w:pStyle w:val="TextoNormal"/>
      </w:pPr>
      <w:r w:rsidRPr="00576A90">
        <w:rPr>
          <w:rStyle w:val="NumeroAFNegritaCaracter"/>
        </w:rPr>
        <w:t>1</w:t>
      </w:r>
      <w:r>
        <w:t>. Mediante escrito registrado en este tribunal el 7 de diciembre de 2022 la procuradora de los tribunales doña Luisa Fernanda Escudero Alonso, en nombre y representación de doña María de los Ángeles Hurtado Corredera y bajo la dirección del letrado don Gustavo Adolfo Pietropaolo Jiménez, formuló demanda de amparo contra providencias de la Sección Primera de la Sala de lo Contencioso-Administrativo del Tribunal Supremo en recurso de casación núm. 8832-2021.</w:t>
      </w:r>
    </w:p>
    <w:p w14:paraId="04E0C7EE" w14:textId="77777777" w:rsidR="00576A90" w:rsidRDefault="00576A90" w:rsidP="00576A90">
      <w:pPr>
        <w:pStyle w:val="TextoNormal"/>
      </w:pPr>
    </w:p>
    <w:p w14:paraId="67A97C53" w14:textId="63578285" w:rsidR="00576A90" w:rsidRDefault="00576A90" w:rsidP="00576A90">
      <w:pPr>
        <w:pStyle w:val="TextoNormal"/>
      </w:pPr>
      <w:r w:rsidRPr="00576A90">
        <w:rPr>
          <w:rStyle w:val="NumeroAFNegritaCaracter"/>
        </w:rPr>
        <w:t>2</w:t>
      </w:r>
      <w:r>
        <w:t>. Por escrito de 17 de enero de 2024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882D9F1" w14:textId="77777777" w:rsidR="00576A90" w:rsidRDefault="00576A90" w:rsidP="00576A90">
      <w:pPr>
        <w:pStyle w:val="TextoNormal"/>
      </w:pPr>
    </w:p>
    <w:p w14:paraId="1496B1C9" w14:textId="77777777" w:rsidR="00576A90" w:rsidRDefault="00576A90" w:rsidP="00576A90">
      <w:pPr>
        <w:pStyle w:val="TextoNormalNegritaCentrado"/>
        <w:keepNext/>
      </w:pPr>
      <w:r>
        <w:t>II. Fundamentos jurídicos</w:t>
      </w:r>
    </w:p>
    <w:p w14:paraId="5CA52B60" w14:textId="4D56C37F" w:rsidR="00576A90" w:rsidRDefault="00576A90" w:rsidP="00576A90">
      <w:pPr>
        <w:pStyle w:val="TextoNormalNegritaCentrado"/>
        <w:keepNext/>
      </w:pPr>
    </w:p>
    <w:p w14:paraId="6ABF45F9" w14:textId="73071D9C" w:rsidR="00576A90" w:rsidRDefault="00576A90" w:rsidP="00576A90">
      <w:pPr>
        <w:pStyle w:val="TextoNormal"/>
      </w:pPr>
      <w:r w:rsidRPr="00576A90">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1238D53D" w14:textId="77777777" w:rsidR="00576A90" w:rsidRDefault="00576A90" w:rsidP="00576A90">
      <w:pPr>
        <w:pStyle w:val="TextoNormal"/>
      </w:pPr>
    </w:p>
    <w:p w14:paraId="6A391D82" w14:textId="77777777" w:rsidR="00576A90" w:rsidRDefault="00576A90" w:rsidP="00576A90">
      <w:pPr>
        <w:pStyle w:val="TextoNormal"/>
      </w:pPr>
      <w:r>
        <w:t>Por lo expuesto, la Sección</w:t>
      </w:r>
    </w:p>
    <w:p w14:paraId="41A336F8" w14:textId="05CB7AF8" w:rsidR="00576A90" w:rsidRDefault="00576A90" w:rsidP="00576A90">
      <w:pPr>
        <w:pStyle w:val="TextoNormal"/>
      </w:pPr>
    </w:p>
    <w:p w14:paraId="4137B8DD" w14:textId="77777777" w:rsidR="00576A90" w:rsidRDefault="00576A90" w:rsidP="00576A90">
      <w:pPr>
        <w:pStyle w:val="TextoNormalCentrado"/>
      </w:pPr>
      <w:r>
        <w:t>ACUERDA</w:t>
      </w:r>
    </w:p>
    <w:p w14:paraId="629F51DB" w14:textId="15142763" w:rsidR="00576A90" w:rsidRDefault="00576A90" w:rsidP="00576A90">
      <w:pPr>
        <w:pStyle w:val="TextoNormalCentrado"/>
      </w:pPr>
    </w:p>
    <w:p w14:paraId="48D25715" w14:textId="4863A1A9" w:rsidR="00576A90" w:rsidRDefault="00576A90" w:rsidP="00576A90">
      <w:pPr>
        <w:pStyle w:val="TextoNormal"/>
      </w:pPr>
      <w:r>
        <w:t>Estimar justificada la abstención formulada por el magistrado don César Tolosa Tribiño en el recurso de amparo núm. 8126-2022 y apartarle definitivamente del conocimiento del referido recurso y de todas sus incidencias.</w:t>
      </w:r>
    </w:p>
    <w:p w14:paraId="332EACCB" w14:textId="77777777" w:rsidR="00576A90" w:rsidRDefault="00576A90" w:rsidP="00576A90">
      <w:pPr>
        <w:pStyle w:val="TextoNormal"/>
      </w:pPr>
    </w:p>
    <w:p w14:paraId="357BA5F4" w14:textId="77777777" w:rsidR="00576A90" w:rsidRDefault="00576A90" w:rsidP="00576A90">
      <w:pPr>
        <w:pStyle w:val="TextoNormal"/>
      </w:pPr>
      <w:r>
        <w:lastRenderedPageBreak/>
        <w:t>Madrid, a dieciocho de enero de dos mil veinticuatro.</w:t>
      </w:r>
    </w:p>
    <w:p w14:paraId="0A6F63A5" w14:textId="71F8C6E1" w:rsidR="00576A90" w:rsidRDefault="00576A90">
      <w:pPr>
        <w:spacing w:after="160" w:line="259" w:lineRule="auto"/>
        <w:rPr>
          <w:rFonts w:ascii="Times New Roman" w:eastAsia="Times New Roman" w:hAnsi="Times New Roman" w:cs="Times New Roman"/>
          <w:sz w:val="24"/>
          <w:szCs w:val="24"/>
          <w:lang w:eastAsia="es-ES"/>
        </w:rPr>
      </w:pPr>
      <w:r>
        <w:br w:type="page"/>
      </w:r>
    </w:p>
    <w:p w14:paraId="42BA0D8D" w14:textId="77777777" w:rsidR="00576A90" w:rsidRDefault="00576A90" w:rsidP="00576A90">
      <w:pPr>
        <w:pStyle w:val="TtuloResolucin"/>
      </w:pPr>
      <w:bookmarkStart w:id="98" w:name="AUTO_2024_3"/>
      <w:r>
        <w:lastRenderedPageBreak/>
        <w:t>AUTO 3/2024, de 23 de enero de 2024</w:t>
      </w:r>
    </w:p>
    <w:bookmarkEnd w:id="98"/>
    <w:p w14:paraId="0EC8DF50" w14:textId="77777777" w:rsidR="00576A90" w:rsidRDefault="00576A90" w:rsidP="00576A90">
      <w:pPr>
        <w:pStyle w:val="TtuloResolucin"/>
      </w:pPr>
      <w:r>
        <w:t>Sección Segunda</w:t>
      </w:r>
    </w:p>
    <w:p w14:paraId="7321FDD1" w14:textId="77777777" w:rsidR="00576A90" w:rsidRDefault="00576A90" w:rsidP="00576A90">
      <w:pPr>
        <w:pStyle w:val="TextoNormalCentrado"/>
      </w:pPr>
      <w:r>
        <w:t>ECLI:ES:TC:2024:3A</w:t>
      </w:r>
    </w:p>
    <w:p w14:paraId="3EEEF30F" w14:textId="6B2E87F0" w:rsidR="00576A90" w:rsidRDefault="00576A90" w:rsidP="00576A90">
      <w:pPr>
        <w:pStyle w:val="TextoNormalCentrado"/>
      </w:pPr>
    </w:p>
    <w:p w14:paraId="3EA51B77" w14:textId="77777777" w:rsidR="00576A90" w:rsidRDefault="00576A90" w:rsidP="00576A90">
      <w:pPr>
        <w:pStyle w:val="SntesisDescriptiva"/>
      </w:pPr>
      <w:r>
        <w:t>Excms. Srs. don Ricardo Enríquez Sancho y doña María Luisa Segoviano Astaburuaga.</w:t>
      </w:r>
    </w:p>
    <w:p w14:paraId="3BDCE4A6" w14:textId="243C76C5" w:rsidR="00576A90" w:rsidRDefault="00576A90" w:rsidP="00576A90">
      <w:pPr>
        <w:pStyle w:val="SntesisDescriptiva"/>
      </w:pPr>
    </w:p>
    <w:p w14:paraId="5C63CC76" w14:textId="77777777" w:rsidR="00576A90" w:rsidRDefault="00576A90" w:rsidP="00576A90">
      <w:pPr>
        <w:pStyle w:val="SntesisDescriptiva"/>
      </w:pPr>
      <w:r>
        <w:t>Acepta una abstención en el recurso de amparo 7971-2023, promovido en proceso contencioso administrativo.</w:t>
      </w:r>
    </w:p>
    <w:p w14:paraId="419C135E" w14:textId="1B9FCC0D" w:rsidR="00576A90" w:rsidRDefault="00576A90" w:rsidP="00576A90">
      <w:pPr>
        <w:pStyle w:val="SntesisDescriptiva"/>
      </w:pPr>
    </w:p>
    <w:p w14:paraId="068245FD" w14:textId="77777777" w:rsidR="00576A90" w:rsidRDefault="00576A90" w:rsidP="00576A90">
      <w:pPr>
        <w:pStyle w:val="SntesisDescriptiva"/>
      </w:pPr>
    </w:p>
    <w:p w14:paraId="234D8467" w14:textId="77777777" w:rsidR="00576A90" w:rsidRDefault="00576A90" w:rsidP="00576A90">
      <w:pPr>
        <w:pStyle w:val="SntesisDescriptiva"/>
      </w:pPr>
    </w:p>
    <w:p w14:paraId="214D6B77" w14:textId="77777777" w:rsidR="00576A90" w:rsidRDefault="00576A90" w:rsidP="00576A90">
      <w:pPr>
        <w:pStyle w:val="TextoNormalNegritaCentrado"/>
      </w:pPr>
      <w:r>
        <w:t>AUTO</w:t>
      </w:r>
    </w:p>
    <w:p w14:paraId="287F8A3E" w14:textId="3FE72399" w:rsidR="00576A90" w:rsidRDefault="00576A90" w:rsidP="00576A90">
      <w:pPr>
        <w:pStyle w:val="TextoNormalNegritaCentrado"/>
      </w:pPr>
    </w:p>
    <w:p w14:paraId="103A71E8" w14:textId="77777777" w:rsidR="00576A90" w:rsidRDefault="00576A90" w:rsidP="00576A90">
      <w:pPr>
        <w:pStyle w:val="TextoNormalNegritaCentrado"/>
        <w:keepNext/>
      </w:pPr>
      <w:r>
        <w:t>I. Antecedentes</w:t>
      </w:r>
    </w:p>
    <w:p w14:paraId="688F9809" w14:textId="67C874EC" w:rsidR="00576A90" w:rsidRDefault="00576A90" w:rsidP="00576A90">
      <w:pPr>
        <w:pStyle w:val="TextoNormalNegritaCentrado"/>
        <w:keepNext/>
      </w:pPr>
    </w:p>
    <w:p w14:paraId="65C88DAB" w14:textId="5F20F177" w:rsidR="00576A90" w:rsidRDefault="00576A90" w:rsidP="00576A90">
      <w:pPr>
        <w:pStyle w:val="TextoNormal"/>
      </w:pPr>
      <w:r w:rsidRPr="00576A90">
        <w:rPr>
          <w:rStyle w:val="NumeroAFNegritaCaracter"/>
        </w:rPr>
        <w:t>1</w:t>
      </w:r>
      <w:r>
        <w:t>. Por escrito fechado el día 18 de enero de 2024, el magistrado don Juan Carlos Campo Moreno comunicó al señor presidente de la Sección Segunda, a los efectos oportunos, su voluntad de abstenerse de intervenir en el conocimiento del recurso de amparo núm. 7971-2023.</w:t>
      </w:r>
    </w:p>
    <w:p w14:paraId="4C90780E" w14:textId="77777777" w:rsidR="00576A90" w:rsidRDefault="00576A90" w:rsidP="00576A90">
      <w:pPr>
        <w:pStyle w:val="TextoNormal"/>
      </w:pPr>
    </w:p>
    <w:p w14:paraId="421C4611" w14:textId="0FA0F621" w:rsidR="00576A90" w:rsidRDefault="00576A90" w:rsidP="00576A90">
      <w:pPr>
        <w:pStyle w:val="TextoNormal"/>
      </w:pPr>
      <w:r w:rsidRPr="00576A90">
        <w:rPr>
          <w:rStyle w:val="NumeroAFNegritaCaracter"/>
        </w:rPr>
        <w:t>2</w:t>
      </w:r>
      <w:r>
        <w:t>. La solicitud de abstención se vincula a su participación, en su anterior condición de magistrado de la Sala de lo Penal de la Audiencia Nacional, en la fase judicial del procedimiento de extradición en el que se solicitaba por la República Popular China la entrega de la recurrente de amparo.</w:t>
      </w:r>
    </w:p>
    <w:p w14:paraId="4E905C1F" w14:textId="77777777" w:rsidR="00576A90" w:rsidRDefault="00576A90" w:rsidP="00576A90">
      <w:pPr>
        <w:pStyle w:val="TextoNormal"/>
      </w:pPr>
    </w:p>
    <w:p w14:paraId="356150A4" w14:textId="77777777" w:rsidR="00576A90" w:rsidRDefault="00576A90" w:rsidP="00576A90">
      <w:pPr>
        <w:pStyle w:val="TextoNormalNegritaCentrado"/>
        <w:keepNext/>
      </w:pPr>
      <w:r>
        <w:t>II. Fundamentos jurídicos</w:t>
      </w:r>
    </w:p>
    <w:p w14:paraId="5B0D64BF" w14:textId="62A37F8E" w:rsidR="00576A90" w:rsidRDefault="00576A90" w:rsidP="00576A90">
      <w:pPr>
        <w:pStyle w:val="TextoNormalNegritaCentrado"/>
        <w:keepNext/>
      </w:pPr>
    </w:p>
    <w:p w14:paraId="571154FF" w14:textId="31555333" w:rsidR="00576A90" w:rsidRDefault="00576A90" w:rsidP="00576A90">
      <w:pPr>
        <w:pStyle w:val="TextoNormal"/>
      </w:pPr>
      <w:r w:rsidRPr="00576A90">
        <w:rPr>
          <w:rStyle w:val="TextoNormalNegritaCaracter"/>
        </w:rPr>
        <w:t xml:space="preserve">Único. </w:t>
      </w:r>
      <w:r>
        <w:t>Visto el contenido de la comunicación efectuada por el magistrado don Juan Carlos Campo Moreno, en virtud de lo previsto en los arts. 80 de la Ley Orgánica del Tribunal Constitucional (LOTC) y 221.4 de la Ley Orgánica del Poder Judicial (LOPJ), se estima justificada la causa de la abstención formulada, puesto que el magistrado formó parte, en su anterior condición de magistrado de la Sala de lo Penal de la Audiencia Nacional, en la fase judicial del procedimiento de extradición en el que se solicitaba por la República Popular China la entrega de la recurrente de amparo y está, por ello, incurso en la causa de abstención del párrafo 13 del art. 219 LOPJ, por ser coincidentes los motivos de impugnación en súplica, entonces analizados, y los que se plantearon al recurrir la demandante en vía contencioso- administrativa el subsiguiente acuerdo de Consejo de Ministros, así como los que fundamentan el presente recurso de amparo.</w:t>
      </w:r>
    </w:p>
    <w:p w14:paraId="6297CEEA" w14:textId="77777777" w:rsidR="00576A90" w:rsidRDefault="00576A90" w:rsidP="00576A90">
      <w:pPr>
        <w:pStyle w:val="TextoNormal"/>
      </w:pPr>
    </w:p>
    <w:p w14:paraId="04544887" w14:textId="77777777" w:rsidR="00576A90" w:rsidRDefault="00576A90" w:rsidP="00576A90">
      <w:pPr>
        <w:pStyle w:val="TextoNormal"/>
      </w:pPr>
      <w:r>
        <w:t>Por lo expuesto, la Sección</w:t>
      </w:r>
    </w:p>
    <w:p w14:paraId="2FF9AC98" w14:textId="4AAA5A3A" w:rsidR="00576A90" w:rsidRDefault="00576A90" w:rsidP="00576A90">
      <w:pPr>
        <w:pStyle w:val="TextoNormal"/>
      </w:pPr>
    </w:p>
    <w:p w14:paraId="4ADB1A63" w14:textId="77777777" w:rsidR="00576A90" w:rsidRDefault="00576A90" w:rsidP="00576A90">
      <w:pPr>
        <w:pStyle w:val="TextoNormalCentrado"/>
      </w:pPr>
      <w:r>
        <w:t>ACUERDA</w:t>
      </w:r>
    </w:p>
    <w:p w14:paraId="0FB0AC6A" w14:textId="07D32911" w:rsidR="00576A90" w:rsidRDefault="00576A90" w:rsidP="00576A90">
      <w:pPr>
        <w:pStyle w:val="TextoNormalCentrado"/>
      </w:pPr>
    </w:p>
    <w:p w14:paraId="14FDAE51" w14:textId="77777777" w:rsidR="00576A90" w:rsidRDefault="00576A90" w:rsidP="00576A90">
      <w:pPr>
        <w:pStyle w:val="TextoNormal"/>
      </w:pPr>
      <w:r>
        <w:t>Estimar justificada la abstención formulada por el magistrado don Juan Carlos Campo Moreno, apartándole definitivamente del conocimiento del recurso de amparo núm. 7971-2023, así como de todas sus incidencias.</w:t>
      </w:r>
    </w:p>
    <w:p w14:paraId="3C294E3C" w14:textId="77777777" w:rsidR="00576A90" w:rsidRDefault="00576A90" w:rsidP="00576A90">
      <w:pPr>
        <w:pStyle w:val="TextoNormal"/>
      </w:pPr>
    </w:p>
    <w:p w14:paraId="1F31245F" w14:textId="17AB1E6E" w:rsidR="00576A90" w:rsidRDefault="00576A90" w:rsidP="00576A90">
      <w:pPr>
        <w:pStyle w:val="TextoNormal"/>
      </w:pPr>
      <w:r>
        <w:t>Notifíquese a las partes.</w:t>
      </w:r>
    </w:p>
    <w:p w14:paraId="10D98DD0" w14:textId="77777777" w:rsidR="00576A90" w:rsidRDefault="00576A90" w:rsidP="00576A90">
      <w:pPr>
        <w:pStyle w:val="TextoNormal"/>
      </w:pPr>
    </w:p>
    <w:p w14:paraId="0523FB12" w14:textId="77777777" w:rsidR="00576A90" w:rsidRDefault="00576A90" w:rsidP="00576A90">
      <w:pPr>
        <w:pStyle w:val="TextoNormal"/>
      </w:pPr>
      <w:r>
        <w:t>Madrid, a veintitrés de enero de dos mil veinticuatro.</w:t>
      </w:r>
    </w:p>
    <w:p w14:paraId="2CD48902" w14:textId="07927C5C" w:rsidR="00576A90" w:rsidRDefault="00576A90">
      <w:pPr>
        <w:spacing w:after="160" w:line="259" w:lineRule="auto"/>
        <w:rPr>
          <w:rFonts w:ascii="Times New Roman" w:eastAsia="Times New Roman" w:hAnsi="Times New Roman" w:cs="Times New Roman"/>
          <w:sz w:val="24"/>
          <w:szCs w:val="24"/>
          <w:lang w:eastAsia="es-ES"/>
        </w:rPr>
      </w:pPr>
      <w:r>
        <w:br w:type="page"/>
      </w:r>
    </w:p>
    <w:p w14:paraId="35E66D92" w14:textId="77777777" w:rsidR="00576A90" w:rsidRDefault="00576A90" w:rsidP="00576A90">
      <w:pPr>
        <w:pStyle w:val="TtuloResolucin"/>
      </w:pPr>
      <w:bookmarkStart w:id="99" w:name="AUTO_2024_4"/>
      <w:r>
        <w:lastRenderedPageBreak/>
        <w:t>AUTO 4/2024, de 29 de enero de 2024</w:t>
      </w:r>
    </w:p>
    <w:bookmarkEnd w:id="99"/>
    <w:p w14:paraId="2F986A73" w14:textId="77777777" w:rsidR="00576A90" w:rsidRDefault="00576A90" w:rsidP="00576A90">
      <w:pPr>
        <w:pStyle w:val="TtuloResolucin"/>
      </w:pPr>
      <w:r>
        <w:t>Sala Primera</w:t>
      </w:r>
    </w:p>
    <w:p w14:paraId="62636662" w14:textId="77777777" w:rsidR="00576A90" w:rsidRDefault="00576A90" w:rsidP="00576A90">
      <w:pPr>
        <w:pStyle w:val="TextoNormalCentrado"/>
      </w:pPr>
      <w:r>
        <w:t>ECLI:ES:TC:2024:4A</w:t>
      </w:r>
    </w:p>
    <w:p w14:paraId="1CADA34D" w14:textId="4C5E8D66" w:rsidR="00576A90" w:rsidRDefault="00576A90" w:rsidP="00576A90">
      <w:pPr>
        <w:pStyle w:val="TextoNormalCentrado"/>
      </w:pPr>
    </w:p>
    <w:p w14:paraId="56114D14" w14:textId="77777777" w:rsidR="00576A90" w:rsidRDefault="00576A90" w:rsidP="00576A90">
      <w:pPr>
        <w:pStyle w:val="SntesisDescriptiva"/>
      </w:pPr>
      <w:r>
        <w:t>Excms. Srs. don Cándido Conde-Pumpido Tourón, don Ricardo Enríquez Sancho, doña Concepción Espejel Jorquera, doña María Luisa Segoviano Astaburuaga y don Juan Carlos Campo Moreno.</w:t>
      </w:r>
    </w:p>
    <w:p w14:paraId="7003586B" w14:textId="4B63FDED" w:rsidR="00576A90" w:rsidRDefault="00576A90" w:rsidP="00576A90">
      <w:pPr>
        <w:pStyle w:val="SntesisDescriptiva"/>
      </w:pPr>
    </w:p>
    <w:p w14:paraId="60F9ACB0" w14:textId="77777777" w:rsidR="00576A90" w:rsidRDefault="00576A90" w:rsidP="00576A90">
      <w:pPr>
        <w:pStyle w:val="SntesisDescriptiva"/>
      </w:pPr>
      <w:r>
        <w:t>Acuerda la suspensión en el recurso de amparo 1719-2023, promovido por don Luis Viña García y Favigar, S.L., en causa penal.</w:t>
      </w:r>
    </w:p>
    <w:p w14:paraId="6F29657E" w14:textId="222783D8" w:rsidR="00576A90" w:rsidRDefault="00576A90" w:rsidP="00576A90">
      <w:pPr>
        <w:pStyle w:val="SntesisDescriptiva"/>
      </w:pPr>
    </w:p>
    <w:p w14:paraId="5DE11682" w14:textId="77777777" w:rsidR="00576A90" w:rsidRDefault="00576A90" w:rsidP="00576A90">
      <w:pPr>
        <w:pStyle w:val="SntesisDescriptiva"/>
      </w:pPr>
    </w:p>
    <w:p w14:paraId="6A64084B" w14:textId="77777777" w:rsidR="00576A90" w:rsidRDefault="00576A90" w:rsidP="00576A90">
      <w:pPr>
        <w:pStyle w:val="SntesisDescriptiva"/>
      </w:pPr>
    </w:p>
    <w:p w14:paraId="56F68308" w14:textId="77777777" w:rsidR="00576A90" w:rsidRDefault="00576A90" w:rsidP="00576A90">
      <w:pPr>
        <w:pStyle w:val="TextoNormalNegritaCentrado"/>
      </w:pPr>
      <w:r>
        <w:t>AUTO</w:t>
      </w:r>
    </w:p>
    <w:p w14:paraId="5E89EDA1" w14:textId="6C6E1A5E" w:rsidR="00576A90" w:rsidRDefault="00576A90" w:rsidP="00576A90">
      <w:pPr>
        <w:pStyle w:val="TextoNormalNegritaCentrado"/>
      </w:pPr>
    </w:p>
    <w:p w14:paraId="4EA77BF0" w14:textId="77777777" w:rsidR="00576A90" w:rsidRDefault="00576A90" w:rsidP="00576A90">
      <w:pPr>
        <w:pStyle w:val="TextoNormalNegritaCentrado"/>
        <w:keepNext/>
      </w:pPr>
      <w:r>
        <w:t>I. Antecedentes</w:t>
      </w:r>
    </w:p>
    <w:p w14:paraId="00B4F145" w14:textId="38988808" w:rsidR="00576A90" w:rsidRDefault="00576A90" w:rsidP="00576A90">
      <w:pPr>
        <w:pStyle w:val="TextoNormalNegritaCentrado"/>
        <w:keepNext/>
      </w:pPr>
    </w:p>
    <w:p w14:paraId="3D0C900B" w14:textId="77777777" w:rsidR="00576A90" w:rsidRDefault="00576A90" w:rsidP="00576A90">
      <w:pPr>
        <w:pStyle w:val="TextoNormal"/>
      </w:pPr>
      <w:r w:rsidRPr="00576A90">
        <w:rPr>
          <w:rStyle w:val="NumeroAFNegritaCaracter"/>
        </w:rPr>
        <w:t>1</w:t>
      </w:r>
      <w:r>
        <w:t>. Mediante escrito de fecha 14 de marzo de 2023, el procurador de los tribunales don Ramón Rodríguez Nogueira, en nombre y representación de don Luis Viña García y de la entidad Favigar, S.L., interpuso recurso de amparo contra la sentencia núm. 345/2022, de 31 de octubre, estimatoria del recurso de apelación, que fue ratificada por auto núm. 58/2023, de 27 de enero, que desestimó la solicitud de nulidad de actuaciones, resoluciones dictadas por la Sección Quinta de la Audiencia Provincial de Santa Cruz de Tenerife en el rollo de apelación núm. 988-2022, adoptadas en relación con la sentencia absolutoria de 29 de julio de 2022, del Juzgado de lo Penal núm. 7 de Santa Cruz de Tenerife, con sede en Santa Cruz de La Palma (procedimiento abreviado núm. 72-2019).</w:t>
      </w:r>
    </w:p>
    <w:p w14:paraId="3C2D2E44" w14:textId="77777777" w:rsidR="00576A90" w:rsidRDefault="00576A90" w:rsidP="00576A90">
      <w:pPr>
        <w:pStyle w:val="TextoNormal"/>
      </w:pPr>
    </w:p>
    <w:p w14:paraId="1581FD3B" w14:textId="77777777" w:rsidR="00576A90" w:rsidRDefault="00576A90" w:rsidP="00576A90">
      <w:pPr>
        <w:pStyle w:val="TextoNormal"/>
      </w:pPr>
      <w:r>
        <w:t>En la demanda se alega la vulneración del derecho fundamental a la tutela judicial efectiva sin indefensión del art 24.1 CE, así como los derechos a la presunción de inocencia, a un proceso con todas las garantías, de defensa y el derecho al juez ordinario predeterminado por la ley (art. 24.2 CE). Los recurrentes cuestionan las razones que fundamentan la estimación del recurso de apelación (la supuesta falta de motivación de la decisión absolutoria recurrida) que supuso la revocación de una sentencia de instancia absolutoria, así como los efectos anudados a la decisión estimatoria del recurso; singularmente, la orden de retroacción procesal de las actuaciones con repetición del juicio oral por un magistrado diferente al que actuó en la instancia.</w:t>
      </w:r>
    </w:p>
    <w:p w14:paraId="43D5D21E" w14:textId="77777777" w:rsidR="00576A90" w:rsidRDefault="00576A90" w:rsidP="00576A90">
      <w:pPr>
        <w:pStyle w:val="TextoNormal"/>
      </w:pPr>
    </w:p>
    <w:p w14:paraId="62918A63" w14:textId="58219312" w:rsidR="00576A90" w:rsidRDefault="00576A90" w:rsidP="00576A90">
      <w:pPr>
        <w:pStyle w:val="TextoNormal"/>
      </w:pPr>
      <w:r>
        <w:t xml:space="preserve">Mediante otrosí, </w:t>
      </w:r>
      <w:r w:rsidRPr="00576A90">
        <w:rPr>
          <w:i/>
        </w:rPr>
        <w:t>ex</w:t>
      </w:r>
      <w:r>
        <w:t xml:space="preserve"> art. 56.2 de la Ley Orgánica del Tribunal Constitucional (LOTC), los demandantes solicitaron la suspensión de la ejecución de las resoluciones recurridas en amparo, alegando el carácter irreparable que derivaría de quedar sometido a un nuevo juicio oral, repetición del anterior, una vez había sido dictada sentencia absolutoria en la instancia.</w:t>
      </w:r>
    </w:p>
    <w:p w14:paraId="592EFE5F" w14:textId="77777777" w:rsidR="00576A90" w:rsidRDefault="00576A90" w:rsidP="00576A90">
      <w:pPr>
        <w:pStyle w:val="TextoNormal"/>
      </w:pPr>
    </w:p>
    <w:p w14:paraId="6E6FFC90" w14:textId="3CA3A2FF" w:rsidR="00576A90" w:rsidRDefault="00576A90" w:rsidP="00576A90">
      <w:pPr>
        <w:pStyle w:val="TextoNormal"/>
      </w:pPr>
      <w:r w:rsidRPr="00576A90">
        <w:rPr>
          <w:rStyle w:val="NumeroAFNegritaCaracter"/>
        </w:rPr>
        <w:t>2</w:t>
      </w:r>
      <w:r>
        <w:t xml:space="preserve">. Por providencia de fecha 20 de noviembre de 2023, la Sección Segunda acordó admitir a trámite el recurso de amparo apreciando que concurre en el mismo una especial trascendencia constitucional (art. 50.1 LOTC) porque puede dar ocasión al Tribunal para aclarar o cambiar su doctrina, como consecuencia de cambios normativos relevantes para </w:t>
      </w:r>
      <w:r>
        <w:lastRenderedPageBreak/>
        <w:t>la configuración del contenido de los derechos fundamentales alegados [STC 155/2009, de 25 de junio, FJ 2 b)]. En la misma resolución se ordenó que fueran emplazadas ante este tribunal las partes que hubieren participado en el proceso penal previo. Y, en aplicación de lo dispuesto en el art. 56 LOTC, en la misma fecha se dictó también providencia en la que se acordó formar la oportuna pieza separada para la tramitación del incidente de suspensión de las resoluciones recurridas en amparo, concediendo un plazo común de tres días a los recurrentes y al Ministerio Fiscal para que alegaran lo que estimasen pertinente sobre la petición de suspensión interesada.</w:t>
      </w:r>
    </w:p>
    <w:p w14:paraId="7B848A22" w14:textId="77777777" w:rsidR="00576A90" w:rsidRDefault="00576A90" w:rsidP="00576A90">
      <w:pPr>
        <w:pStyle w:val="TextoNormal"/>
      </w:pPr>
    </w:p>
    <w:p w14:paraId="1F3240B8" w14:textId="5E11C0D0" w:rsidR="00576A90" w:rsidRDefault="00576A90" w:rsidP="00576A90">
      <w:pPr>
        <w:pStyle w:val="TextoNormal"/>
      </w:pPr>
      <w:r w:rsidRPr="00576A90">
        <w:rPr>
          <w:rStyle w:val="NumeroAFNegritaCaracter"/>
        </w:rPr>
        <w:t>3</w:t>
      </w:r>
      <w:r>
        <w:t>. Mediante escrito de fecha 24 de noviembre de 2023, la representación procesal de los demandantes reiteró su solicitud de suspensión de la decisión judicial cuestionada por entender que la tutela jurídica solicitada en amparo es incompatible con la repetición del juicio oral, por lo que su celebración le provocaría un perjuicio irreparable que haría perder su finalidad al recurso de amparo.</w:t>
      </w:r>
    </w:p>
    <w:p w14:paraId="35514149" w14:textId="77777777" w:rsidR="00576A90" w:rsidRDefault="00576A90" w:rsidP="00576A90">
      <w:pPr>
        <w:pStyle w:val="TextoNormal"/>
      </w:pPr>
    </w:p>
    <w:p w14:paraId="62E36132" w14:textId="77777777" w:rsidR="00576A90" w:rsidRDefault="00576A90" w:rsidP="00576A90">
      <w:pPr>
        <w:pStyle w:val="TextoNormal"/>
      </w:pPr>
      <w:r w:rsidRPr="00576A90">
        <w:rPr>
          <w:rStyle w:val="NumeroAFNegritaCaracter"/>
        </w:rPr>
        <w:t>4</w:t>
      </w:r>
      <w:r>
        <w:t>. En su escrito de alegaciones, presentado el 5 de diciembre de 2023, la fiscal interesó la estimación de la pretensión cautelar ejercitada en la demanda. Tras exponer la doctrina del Tribunal Constitucional sobre la posibilidad de obtener tutela cautelar mediante la suspensión de la ejecución de las resoluciones judiciales firmes cuestionadas en amparo, considera la fiscal que los perjuicios alegados por los recurrentes serían efectivamente irreparables de celebrarse de nuevo el juicio oral con distinto magistrado antes de haber sido resuelto el recurso de amparo, para el caso de que fuera estimado el cuestionamiento de su absolución o la impugnación de los efectos asociados a la nulidad con retroacción decretada. En apoyo de su solicitud cita el ATC 96/2021, de 28 de octubre, en el que se apreció que la suspensión temporal de la celebración de un nuevo juicio debe imponerse al interés general en el cumplimiento de las resoluciones firmes, garantizando así que, de ser estimada, la pretensión de amparo sea efectiva, dado que el riesgo de sufrir un perjuicio irreparable no solo es justificado, sino también actual.</w:t>
      </w:r>
    </w:p>
    <w:p w14:paraId="59A4ED86" w14:textId="77777777" w:rsidR="00576A90" w:rsidRDefault="00576A90" w:rsidP="00576A90">
      <w:pPr>
        <w:pStyle w:val="TextoNormal"/>
      </w:pPr>
    </w:p>
    <w:p w14:paraId="1A5D2466" w14:textId="273917EE" w:rsidR="00576A90" w:rsidRDefault="00576A90" w:rsidP="00576A90">
      <w:pPr>
        <w:pStyle w:val="TextoNormal"/>
      </w:pPr>
      <w:r>
        <w:t>Con apoyo en lo expuesto, considera la fiscal que es procedente acceder a la solicitud de medida cautelar que ha sido planteada.</w:t>
      </w:r>
    </w:p>
    <w:p w14:paraId="055A3624" w14:textId="77777777" w:rsidR="00576A90" w:rsidRDefault="00576A90" w:rsidP="00576A90">
      <w:pPr>
        <w:pStyle w:val="TextoNormal"/>
      </w:pPr>
    </w:p>
    <w:p w14:paraId="2EB37AF9" w14:textId="7425BE90" w:rsidR="00576A90" w:rsidRDefault="00576A90" w:rsidP="00576A90">
      <w:pPr>
        <w:pStyle w:val="TextoNormal"/>
      </w:pPr>
      <w:r w:rsidRPr="00576A90">
        <w:rPr>
          <w:rStyle w:val="NumeroAFNegritaCaracter"/>
        </w:rPr>
        <w:t>5</w:t>
      </w:r>
      <w:r>
        <w:t>. Mediante providencia de fecha 11 de diciembre de 2023 se tuvo por personado al abogado del Estado, al que se dio traslado de las actuaciones a fin de que, en el plazo de tres días, pudiese efectuar las alegaciones que a su derecho convengan respecto de la suspensión solicitada por los demandantes. Las alegaciones fueron formuladas mediante escrito registrado el 15 de diciembre de 2023, en el que solicita de este tribunal que dicte una resolución conforme a Derecho sobre la petición de suspensión pretendida.</w:t>
      </w:r>
    </w:p>
    <w:p w14:paraId="093CC983" w14:textId="77777777" w:rsidR="00576A90" w:rsidRDefault="00576A90" w:rsidP="00576A90">
      <w:pPr>
        <w:pStyle w:val="TextoNormal"/>
      </w:pPr>
    </w:p>
    <w:p w14:paraId="6772C7B2" w14:textId="77777777" w:rsidR="00576A90" w:rsidRDefault="00576A90" w:rsidP="00576A90">
      <w:pPr>
        <w:pStyle w:val="TextoNormalNegritaCentrado"/>
        <w:keepNext/>
      </w:pPr>
      <w:r>
        <w:t>II. Fundamentos jurídicos</w:t>
      </w:r>
    </w:p>
    <w:p w14:paraId="2FD6C574" w14:textId="3C7173C3" w:rsidR="00576A90" w:rsidRDefault="00576A90" w:rsidP="00576A90">
      <w:pPr>
        <w:pStyle w:val="TextoNormalNegritaCentrado"/>
        <w:keepNext/>
      </w:pPr>
    </w:p>
    <w:p w14:paraId="72F2DE80" w14:textId="77777777" w:rsidR="00576A90" w:rsidRDefault="00576A90" w:rsidP="00576A90">
      <w:pPr>
        <w:pStyle w:val="TextoNormal"/>
      </w:pPr>
      <w:r w:rsidRPr="00576A90">
        <w:rPr>
          <w:rStyle w:val="NumeroAFNegritaCaracter"/>
        </w:rPr>
        <w:t>1</w:t>
      </w:r>
      <w:r>
        <w:t xml:space="preserve">. Al igual que en los supuestos abordados en los AATC 27/2021, de 15 de marzo, y 26/2023, de 6 de febrero, el objeto de esta pieza sobre suspensión consiste en resolver sobre la procedencia de la medida cautelar de suspensión instada por la parte recurrente en amparo, que se dirige contra la efectividad de la sentencia núm. 345/2022, de 31 de octubre dictada por la Sección Quinta de la Audiencia Provincial de Santa Cruz de Tenerife </w:t>
      </w:r>
      <w:r>
        <w:lastRenderedPageBreak/>
        <w:t>mediante la que fue estimado el recurso de apelación presentado frente a la sentencia absolutoria de 29 de julio de 2022, del Juzgado de lo Penal núm. 7 de Santa Cruz de Tenerife, con sede en Santa Cruz de La Palma, en cuanto ordena la repetición del juicio con distinto juzgador.</w:t>
      </w:r>
    </w:p>
    <w:p w14:paraId="6D346FDB" w14:textId="77777777" w:rsidR="00576A90" w:rsidRDefault="00576A90" w:rsidP="00576A90">
      <w:pPr>
        <w:pStyle w:val="TextoNormal"/>
      </w:pPr>
    </w:p>
    <w:p w14:paraId="7528FF73" w14:textId="583E8CF4" w:rsidR="00576A90" w:rsidRDefault="00576A90" w:rsidP="00576A90">
      <w:pPr>
        <w:pStyle w:val="TextoNormal"/>
      </w:pPr>
      <w:r>
        <w:t>El Ministerio Fiscal considera procedente la tutela cautelar interesada con argumentos que coinciden sustancialmente con los de los demandantes de amparo, como se expone más detalladamente en el apartado de antecedentes. El abogado del Estado solicita de este tribunal que dicte una resolución conforme a Derecho sobre la protección cautelar interesada.</w:t>
      </w:r>
    </w:p>
    <w:p w14:paraId="5B959A6E" w14:textId="77777777" w:rsidR="00576A90" w:rsidRDefault="00576A90" w:rsidP="00576A90">
      <w:pPr>
        <w:pStyle w:val="TextoNormal"/>
      </w:pPr>
    </w:p>
    <w:p w14:paraId="3E7C6339" w14:textId="77777777" w:rsidR="00576A90" w:rsidRDefault="00576A90" w:rsidP="00576A90">
      <w:pPr>
        <w:pStyle w:val="TextoNormal"/>
      </w:pPr>
      <w:r w:rsidRPr="00576A90">
        <w:rPr>
          <w:rStyle w:val="NumeroAFNegritaCaracter"/>
        </w:rPr>
        <w:t>2</w:t>
      </w:r>
      <w:r>
        <w:t>. En cuanto a la posibilidad de adoptar decisiones cautelares en el proceso de amparo, el art. 56.2 LOTC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esta razón, la pretensión cautelar analizada se configura como una medida de carácter excepcional y de aplicación restrictiva (por todos, AATC 117/2015, de 6 de julio, FJ 1, y 59/2017, de 24 de abril, FJ 1).</w:t>
      </w:r>
    </w:p>
    <w:p w14:paraId="6234C7DF" w14:textId="77777777" w:rsidR="00576A90" w:rsidRDefault="00576A90" w:rsidP="00576A90">
      <w:pPr>
        <w:pStyle w:val="TextoNormal"/>
      </w:pPr>
    </w:p>
    <w:p w14:paraId="7CEC6CAA" w14:textId="1F763F65" w:rsidR="00576A90" w:rsidRDefault="00576A90" w:rsidP="00576A90">
      <w:pPr>
        <w:pStyle w:val="TextoNormal"/>
      </w:pPr>
      <w:r>
        <w:t>Adicionalmente, para otorgar la tutela cautelar que prevé el art. 56 LOTC este tribunal viene exigiendo a quien la solicita que, ofreciendo un principio razonable de prueba, alegue o justifique la irreparabilidad o dificultad de la reparación de los perjuicios que se produciría de seguirse la ejecución del acto impugnado. Tal exigencia tiene por objeto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14:paraId="7033FACF" w14:textId="77777777" w:rsidR="00576A90" w:rsidRDefault="00576A90" w:rsidP="00576A90">
      <w:pPr>
        <w:pStyle w:val="TextoNormal"/>
      </w:pPr>
    </w:p>
    <w:p w14:paraId="7666C46D" w14:textId="77777777" w:rsidR="00576A90" w:rsidRDefault="00576A90" w:rsidP="00576A90">
      <w:pPr>
        <w:pStyle w:val="TextoNormal"/>
      </w:pPr>
      <w:r w:rsidRPr="00576A90">
        <w:rPr>
          <w:rStyle w:val="NumeroAFNegritaCaracter"/>
        </w:rPr>
        <w:t>3</w:t>
      </w:r>
      <w:r>
        <w:t>. Los demandantes consideran que la repetición del juicio oral con distinto magistrado se funda en una valoración indebida de las pruebas practicadas en la instancia y en una concepción de la presunción de inocencia que no comparte. A dicha valoración sustantiva se une su discrepancia con la orden de retroacción, de repetición del juicio oral, y de que este se celebre con distinto magistrado del que dictó la resolución absolutoria. Entiende la parte recurrente que dicha repetición consumaría la vulneración de su derecho al juez predeterminado por la ley, causándole un perjuicio irreparable</w:t>
      </w:r>
    </w:p>
    <w:p w14:paraId="61006D5A" w14:textId="77777777" w:rsidR="00576A90" w:rsidRDefault="00576A90" w:rsidP="00576A90">
      <w:pPr>
        <w:pStyle w:val="TextoNormal"/>
      </w:pPr>
    </w:p>
    <w:p w14:paraId="40B54C17" w14:textId="4BBF1C80" w:rsidR="00576A90" w:rsidRDefault="00576A90" w:rsidP="00576A90">
      <w:pPr>
        <w:pStyle w:val="TextoNormal"/>
      </w:pPr>
      <w:r>
        <w:t xml:space="preserve">De acuerdo con el art. 56.2 LOTC, y los precedentes que hemos reseñado, en atención a las circunstancias concurrentes en el presente caso, debemos apreciar, como hemos hecho en anteriores ocasiones (AATC 103/2001, de 3 de mayo; 170/2001, de 22 de junio; 277/2001, de 29 de octubre; 311/2001, de 18 de diciembre, y 174/2013, de 9 de septiembre), que la suspensión es el medio adecuado para mantener el procedimiento penal en una situación que permita, cuando proceda, dar respuesta con plena eficacia a las diferentes denuncias de conculcación de derechos fundamentales formuladas en este proceso constitucional, tanto en relación con la decisión revocatoria de una absolución previa como con </w:t>
      </w:r>
      <w:r>
        <w:lastRenderedPageBreak/>
        <w:t>los efectos procesales que a esta se anudan. En primer lugar, no se aprecia que esta medida pueda afectar, perturbándolos gravemente, a intereses constitucionalmente protegidos o a derechos fundamentales o libertades públicas de terceras personas. Antes bien, tiende a preservar el interés general, conjurando el riesgo de contradicción entre resoluciones judiciales, una absolutoria —la dictada por el Juzgado de lo Penal núm. 7 de Santa Cruz de Tenerife—, que podría recobrar su eficacia si llegara a estimarse el recurso de amparo y otra condenatoria —la que, en su caso, podría llegar a dictarse tras la reapertura del juicio oral cuya suspensión solicitan los recurrentes— (en un sentido similar, AATC 27/2021, de 15 de marzo; 96/2021, de 28 de octubre, y 26/2023, de 6 de febrero). En segundo lugar, si se rechazase la suspensión solicitada, la eventual estimación del recurso de amparo quedaría privada de efectividad, pues lo que los demandantes pretenden es precisamente impedir la repetición del juicio oral con distinto juzgador; de esta manera, su simple celebración constituiría, en sí misma, un perjuicio irreparable.</w:t>
      </w:r>
    </w:p>
    <w:p w14:paraId="63F6C379" w14:textId="77777777" w:rsidR="00576A90" w:rsidRDefault="00576A90" w:rsidP="00576A90">
      <w:pPr>
        <w:pStyle w:val="TextoNormal"/>
      </w:pPr>
    </w:p>
    <w:p w14:paraId="6AA56304" w14:textId="77777777" w:rsidR="00576A90" w:rsidRDefault="00576A90" w:rsidP="00576A90">
      <w:pPr>
        <w:pStyle w:val="TextoNormal"/>
      </w:pPr>
      <w:r>
        <w:t>Por lo expuesto, la Sala</w:t>
      </w:r>
    </w:p>
    <w:p w14:paraId="38C62CB8" w14:textId="65362E91" w:rsidR="00576A90" w:rsidRDefault="00576A90" w:rsidP="00576A90">
      <w:pPr>
        <w:pStyle w:val="TextoNormal"/>
      </w:pPr>
    </w:p>
    <w:p w14:paraId="6155F627" w14:textId="77777777" w:rsidR="00576A90" w:rsidRDefault="00576A90" w:rsidP="00576A90">
      <w:pPr>
        <w:pStyle w:val="TextoNormalCentrado"/>
      </w:pPr>
      <w:r>
        <w:t>ACUERDA</w:t>
      </w:r>
    </w:p>
    <w:p w14:paraId="6D172FD1" w14:textId="2D9251B9" w:rsidR="00576A90" w:rsidRDefault="00576A90" w:rsidP="00576A90">
      <w:pPr>
        <w:pStyle w:val="TextoNormalCentrado"/>
      </w:pPr>
    </w:p>
    <w:p w14:paraId="3C9E3C9E" w14:textId="0EC0A16F" w:rsidR="00576A90" w:rsidRDefault="00576A90" w:rsidP="00576A90">
      <w:pPr>
        <w:pStyle w:val="TextoNormal"/>
      </w:pPr>
      <w:r>
        <w:t>Otorgar, en tanto se resuelva por este tribunal el presente recurso de amparo núm. 1719-2023, la suspensión solicitada de la sentencia núm. 345/2022, de 31 de octubre que, tras declarar la nulidad de la sentencia absolutoria dictada por el Juzgado de lo Penal núm. 7 de Santa Cruz de Tenerife, con sede en Santa Cruz de La Palma (procedimiento abreviado núm. 72-2019), ordena la repetición del juicio oral con distinto juzgador.</w:t>
      </w:r>
    </w:p>
    <w:p w14:paraId="40FAB6A3" w14:textId="77777777" w:rsidR="00576A90" w:rsidRDefault="00576A90" w:rsidP="00576A90">
      <w:pPr>
        <w:pStyle w:val="TextoNormal"/>
      </w:pPr>
    </w:p>
    <w:p w14:paraId="178AC966" w14:textId="77777777" w:rsidR="00576A90" w:rsidRDefault="00576A90" w:rsidP="00576A90">
      <w:pPr>
        <w:pStyle w:val="TextoNormal"/>
      </w:pPr>
      <w:r>
        <w:t>Madrid, a veintinueve de enero de dos mil veinticuatro.</w:t>
      </w:r>
    </w:p>
    <w:p w14:paraId="71BAD681" w14:textId="47C15878" w:rsidR="00576A90" w:rsidRDefault="00576A90">
      <w:pPr>
        <w:spacing w:after="160" w:line="259" w:lineRule="auto"/>
        <w:rPr>
          <w:rFonts w:ascii="Times New Roman" w:eastAsia="Times New Roman" w:hAnsi="Times New Roman" w:cs="Times New Roman"/>
          <w:sz w:val="24"/>
          <w:szCs w:val="24"/>
          <w:lang w:eastAsia="es-ES"/>
        </w:rPr>
      </w:pPr>
      <w:r>
        <w:br w:type="page"/>
      </w:r>
    </w:p>
    <w:p w14:paraId="5C37EEE1" w14:textId="77777777" w:rsidR="00576A90" w:rsidRDefault="00576A90" w:rsidP="00576A90">
      <w:pPr>
        <w:pStyle w:val="TtuloResolucin"/>
      </w:pPr>
      <w:bookmarkStart w:id="100" w:name="AUTO_2024_5"/>
      <w:r>
        <w:lastRenderedPageBreak/>
        <w:t>AUTO 5/2024, de 30 de enero de 2024</w:t>
      </w:r>
    </w:p>
    <w:bookmarkEnd w:id="100"/>
    <w:p w14:paraId="5A05318A" w14:textId="77777777" w:rsidR="00576A90" w:rsidRDefault="00576A90" w:rsidP="00576A90">
      <w:pPr>
        <w:pStyle w:val="TtuloResolucin"/>
      </w:pPr>
      <w:r>
        <w:t>Pleno</w:t>
      </w:r>
    </w:p>
    <w:p w14:paraId="3CE813B0" w14:textId="77777777" w:rsidR="00576A90" w:rsidRDefault="00576A90" w:rsidP="00576A90">
      <w:pPr>
        <w:pStyle w:val="TextoNormalCentrado"/>
      </w:pPr>
      <w:r>
        <w:t>ECLI:ES:TC:2024:5A</w:t>
      </w:r>
    </w:p>
    <w:p w14:paraId="0BCA17F6" w14:textId="4DCFEDF1" w:rsidR="00576A90" w:rsidRDefault="00576A90" w:rsidP="00576A90">
      <w:pPr>
        <w:pStyle w:val="TextoNormalCentrado"/>
      </w:pPr>
    </w:p>
    <w:p w14:paraId="1031DB3D" w14:textId="77777777" w:rsidR="00576A90" w:rsidRDefault="00576A90" w:rsidP="00576A90">
      <w:pPr>
        <w:pStyle w:val="SntesisDescriptiva"/>
      </w:pPr>
      <w:r>
        <w:t>Excms. Srs. doña Inmaculada Montalbán Huertas, doña María Luisa Balaguer Callejón, don Ramón Sáez Valcárcel, don Enrique Arnaldo Alcubilla, doña Concepción Espejel Jorquera, doña María Luisa Segoviano Astaburuaga, don César Tolosa Tribiño y doña Laura Díez Bueso.</w:t>
      </w:r>
    </w:p>
    <w:p w14:paraId="15044093" w14:textId="0182C0FA" w:rsidR="00576A90" w:rsidRDefault="00576A90" w:rsidP="00576A90">
      <w:pPr>
        <w:pStyle w:val="SntesisDescriptiva"/>
      </w:pPr>
    </w:p>
    <w:p w14:paraId="3A1346CB" w14:textId="77777777" w:rsidR="00576A90" w:rsidRDefault="00576A90" w:rsidP="00576A90">
      <w:pPr>
        <w:pStyle w:val="SntesisDescriptiva"/>
      </w:pPr>
      <w:r>
        <w:t>Desestima el recurso de súplica interpuesto en relación con el ATC 483/2023, de 24 de octubre, que inadmitió las recusaciones formuladas en el recurso de amparo 1234-2022, promovido por don Josep Costa i Rosselló en causa penal.</w:t>
      </w:r>
    </w:p>
    <w:p w14:paraId="075A252C" w14:textId="2850AD40" w:rsidR="00576A90" w:rsidRDefault="00576A90" w:rsidP="00576A90">
      <w:pPr>
        <w:pStyle w:val="SntesisDescriptiva"/>
      </w:pPr>
    </w:p>
    <w:p w14:paraId="15B745CA" w14:textId="77777777" w:rsidR="00576A90" w:rsidRDefault="00576A90" w:rsidP="00576A90">
      <w:pPr>
        <w:pStyle w:val="SntesisDescriptiva"/>
      </w:pPr>
    </w:p>
    <w:p w14:paraId="1EC5EFB8" w14:textId="77777777" w:rsidR="00576A90" w:rsidRDefault="00576A90" w:rsidP="00576A90">
      <w:pPr>
        <w:pStyle w:val="SntesisDescriptiva"/>
      </w:pPr>
    </w:p>
    <w:p w14:paraId="042EBA12" w14:textId="77777777" w:rsidR="00576A90" w:rsidRDefault="00576A90" w:rsidP="00576A90">
      <w:pPr>
        <w:pStyle w:val="TextoNormalNegritaCentrado"/>
      </w:pPr>
      <w:r>
        <w:t>AUTO</w:t>
      </w:r>
    </w:p>
    <w:p w14:paraId="39C1F874" w14:textId="61653EFF" w:rsidR="00576A90" w:rsidRDefault="00576A90" w:rsidP="00576A90">
      <w:pPr>
        <w:pStyle w:val="TextoNormalNegritaCentrado"/>
      </w:pPr>
    </w:p>
    <w:p w14:paraId="549DDB18" w14:textId="77777777" w:rsidR="00576A90" w:rsidRDefault="00576A90" w:rsidP="00576A90">
      <w:pPr>
        <w:pStyle w:val="TextoNormalNegritaCentrado"/>
        <w:keepNext/>
      </w:pPr>
      <w:r>
        <w:t>I. Antecedentes</w:t>
      </w:r>
    </w:p>
    <w:p w14:paraId="117004B8" w14:textId="1171C4F6" w:rsidR="00576A90" w:rsidRDefault="00576A90" w:rsidP="00576A90">
      <w:pPr>
        <w:pStyle w:val="TextoNormalNegritaCentrado"/>
        <w:keepNext/>
      </w:pPr>
    </w:p>
    <w:p w14:paraId="7557E90D" w14:textId="77BC56AC" w:rsidR="00576A90" w:rsidRDefault="00576A90" w:rsidP="00576A90">
      <w:pPr>
        <w:pStyle w:val="TextoNormal"/>
      </w:pPr>
      <w:r w:rsidRPr="00576A90">
        <w:rPr>
          <w:rStyle w:val="NumeroAFNegritaCaracter"/>
        </w:rPr>
        <w:t>1</w:t>
      </w:r>
      <w:r>
        <w:t>. Mediante escrito registrado en este tribunal el 24 de febrero de 2022, el procurador de los tribunales don Carlos Ricardo Estévez Sanz, en nombre y representación de don Josep Costa i Roselló, quien asume su propia defensa, interpuso recurso de amparo contra las siguientes resoluciones: (i) auto de 25 de octubre de 2021, dictado por la magistrada instructora de las diligencias previas núm. 2-2021, seguidas por delito de desobediencia ante el Tribunal Superior de Justicia de Cataluña respecto del ahora recurrente, entre otros, por el que se acordaba su detención; (ii) auto de 23 de noviembre de 2021, por el que se desestimó el recurso de reforma interpuesto contra la resolución anterior y (iii) auto de 11 de enero de 2022, dictado por la Sala de lo Civil y Penal del Tribunal Superior de Justicia de Cataluña, por el que se desestimó el recurso de apelación interpuesto contra el auto de 23 de noviembre de 2021. En la demanda se alega la vulneración de los derechos fundamentales reconocidos en los arts. 17, 19, 23 y 24 CE, en relación con los arts. 14, 16, 20 y 21 CE; así como el art. 5 del Convenio europeo de derechos humanos (CEDH), en relación con los arts. 6, 9, 10, 11 y 14 CEDH, el art. 3 del Protocolo núm. 1 al CEDH, el art. 2 del Protocolo núm. 4 al CEDH, el art. 18 CEDH y el art. 1 del Protocolo núm. 12 al CEDH.</w:t>
      </w:r>
    </w:p>
    <w:p w14:paraId="6CC2C805" w14:textId="77777777" w:rsidR="00576A90" w:rsidRDefault="00576A90" w:rsidP="00576A90">
      <w:pPr>
        <w:pStyle w:val="TextoNormal"/>
      </w:pPr>
    </w:p>
    <w:p w14:paraId="26528D71" w14:textId="763C694C" w:rsidR="00576A90" w:rsidRDefault="00576A90" w:rsidP="00576A90">
      <w:pPr>
        <w:pStyle w:val="TextoNormal"/>
      </w:pPr>
      <w:r w:rsidRPr="00576A90">
        <w:rPr>
          <w:rStyle w:val="NumeroAFNegritaCaracter"/>
        </w:rPr>
        <w:t>2</w:t>
      </w:r>
      <w:r>
        <w:t>. En el escrito de demanda se formuló en el otrosí digo primero la recusación de los magistrados don Pedro José González-Trevijano Sánchez, don Juan Antonio Xiol Ríos, don Santiago Martínez-Vares García, don Antonio Narváez Rodríguez, don Alfredo Montoya Melgar, don Ricardo Enríquez Sancho y don Cándido Conde-Pumpido Tourón, así como de la magistrada doña María Luisa Balaguer Callejón. El recurrente consideró que concurren en todos ellos las causas de recusación 7, 10, 11 y 13 del art. 219 de la Ley Orgánica del Poder Judicial (LOPJ), por haber intervenido en anteriores instancias y haber actuado como denunciantes de los hechos objeto de la causa penal seguida contra el ahora demandante.</w:t>
      </w:r>
    </w:p>
    <w:p w14:paraId="6BCD205B" w14:textId="77777777" w:rsidR="00576A90" w:rsidRDefault="00576A90" w:rsidP="00576A90">
      <w:pPr>
        <w:pStyle w:val="TextoNormal"/>
      </w:pPr>
    </w:p>
    <w:p w14:paraId="4C4A7297" w14:textId="77777777" w:rsidR="00576A90" w:rsidRDefault="00576A90" w:rsidP="00576A90">
      <w:pPr>
        <w:pStyle w:val="TextoNormal"/>
      </w:pPr>
      <w:r w:rsidRPr="00576A90">
        <w:rPr>
          <w:rStyle w:val="NumeroAFNegritaCaracter"/>
        </w:rPr>
        <w:lastRenderedPageBreak/>
        <w:t>3</w:t>
      </w:r>
      <w:r>
        <w:t>. Por ATC 75/2022, de 27 de abril, el Pleno del Tribunal acordó la inadmisión a trámite de las recusaciones promovidas por el actor. Tras recordar la singular naturaleza de este órgano constitucional y de sus miembros, fundamento jurídico 2, el Tribunal inadmitió la pretensión por aplicación de su constante doctrina (AATC 62/2020 y 63/2020, de 17 de junio, FJ 3 de ambos, y 86/2021, de 16 de septiembre, FJ 3) que da pie a adoptar este tipo de decisiones cuando “la recusación se dirija contra todos los magistrados del Tribunal, situación que ha sido asimilada a la recusación de tal número de magistrados que suponga una ‘paralización inaceptable’ de sus funciones. Eso determina la inadmisión de plano de las recusaciones formuladas ‘por comportar un uso manifiestamente abusivo del ejercicio de esa facultad [de recusación], tendente a impedir el normal ejercicio’ de la jurisdicción constitucional (ATC 107/2021, de 15 de diciembre, FJ 3)” (FJ 3).</w:t>
      </w:r>
    </w:p>
    <w:p w14:paraId="2845557F" w14:textId="77777777" w:rsidR="00576A90" w:rsidRDefault="00576A90" w:rsidP="00576A90">
      <w:pPr>
        <w:pStyle w:val="TextoNormal"/>
      </w:pPr>
    </w:p>
    <w:p w14:paraId="32DC676A" w14:textId="31625FBB" w:rsidR="00576A90" w:rsidRDefault="00576A90" w:rsidP="00576A90">
      <w:pPr>
        <w:pStyle w:val="TextoNormal"/>
      </w:pPr>
      <w:r>
        <w:t>No obstante, el Tribunal reiteró al recurrente (como ya le había sido indicado en el ATC 86/2021, de 16 de septiembre, FJ 4) que este tipo de peticiones “no puede prosperar. Las causas de recusación alegadas se fundamentan en el ejercicio mismo de las funciones del Tribunal que, por su carácter de ‘único en su género’ y ser ‘sus miembros […] insustituibles’, no puede ‘dejar de cumplir’ sus atribuciones por ‘haber resuelto otros procesos constitucionales […] que puedan tener relación con las cuestiones planteadas en este recurso de amparo’. La ‘tacha’ dirigida contra este tribunal es ‘equivalente a la descalificación del órgano mismo […], por lo que, de acuerdo con la jurisprudencia constitucional, la recusación formulada carece de sustantividad jurídica y no es acreedora de una decisión sobre el fondo (AATC 268/2014, de 4 de noviembre, FJ 2; 269/2014, de 4 de noviembre, FJ 2; 119/2017, de 7 de septiembre, FJ 3; 125/2017, de 20 de septiembre, FJ 5; 132/2017, de 3 de octubre; 62/2020, FJ 4, y 63/2020, FJ 4)’. Esta doctrina fue reiterada en el ATC 111/2021, de 16 de diciembre, FJ 4, confirmatorio del anterior, como el recurrente igualmente conoce”.</w:t>
      </w:r>
    </w:p>
    <w:p w14:paraId="6CBB42CC" w14:textId="77777777" w:rsidR="00576A90" w:rsidRDefault="00576A90" w:rsidP="00576A90">
      <w:pPr>
        <w:pStyle w:val="TextoNormal"/>
      </w:pPr>
    </w:p>
    <w:p w14:paraId="0321D2D6" w14:textId="656E33B6" w:rsidR="00576A90" w:rsidRDefault="00576A90" w:rsidP="00576A90">
      <w:pPr>
        <w:pStyle w:val="TextoNormal"/>
      </w:pPr>
      <w:r w:rsidRPr="00576A90">
        <w:rPr>
          <w:rStyle w:val="NumeroAFNegritaCaracter"/>
        </w:rPr>
        <w:t>4</w:t>
      </w:r>
      <w:r>
        <w:t>. Frente al auto anterior el demandante interpuso recurso de súplica, que fue desestimado por el ATC 96/2022, de 15 de junio.</w:t>
      </w:r>
    </w:p>
    <w:p w14:paraId="23A2C2A4" w14:textId="77777777" w:rsidR="00576A90" w:rsidRDefault="00576A90" w:rsidP="00576A90">
      <w:pPr>
        <w:pStyle w:val="TextoNormal"/>
      </w:pPr>
    </w:p>
    <w:p w14:paraId="0F0FE8CE" w14:textId="1826CA4E" w:rsidR="00576A90" w:rsidRDefault="00576A90" w:rsidP="00576A90">
      <w:pPr>
        <w:pStyle w:val="TextoNormal"/>
      </w:pPr>
      <w:r w:rsidRPr="00576A90">
        <w:rPr>
          <w:rStyle w:val="NumeroAFNegritaCaracter"/>
        </w:rPr>
        <w:t>5</w:t>
      </w:r>
      <w:r>
        <w:t>. Bajo la misma representación procesal y defensa, el recurrente presentó escrito el 16 de marzo de 2023 en el registro de este tribunal, por el que recusa a su presidente, don Cándido Conde-Pumpido Tourón, y a los magistrados don Ricardo Enríquez Sancho y don Juan Carlos Campo Moreno, de conformidad con lo previsto en el art. 219.1, 4, 9, 10, 12, 14 y 15 LOPJ, en relación con el art. 80 de la Ley Orgánica del Tribunal Constitucional (LOTC), con invocación de los derechos al juez imparcial y a la igualdad en la aplicación de la ley, esto último ante precedentes autos estimatorios de abstenciones que son citados por el recusante.</w:t>
      </w:r>
    </w:p>
    <w:p w14:paraId="78238740" w14:textId="77777777" w:rsidR="00576A90" w:rsidRDefault="00576A90" w:rsidP="00576A90">
      <w:pPr>
        <w:pStyle w:val="TextoNormal"/>
      </w:pPr>
    </w:p>
    <w:p w14:paraId="089E16BB" w14:textId="4EE8B75C" w:rsidR="00576A90" w:rsidRDefault="00576A90" w:rsidP="00576A90">
      <w:pPr>
        <w:pStyle w:val="TextoNormal"/>
      </w:pPr>
      <w:r w:rsidRPr="00576A90">
        <w:rPr>
          <w:rStyle w:val="NumeroAFNegritaCaracter"/>
        </w:rPr>
        <w:t>6</w:t>
      </w:r>
      <w:r>
        <w:t>. El secretario de justicia de la Sala Primera de este tribunal dictó diligencia de ordenación el 21 de marzo de 2023, en la que acordó dar cuenta al Pleno del Tribunal del escrito de recusación presentado, a los efectos oportunos.</w:t>
      </w:r>
    </w:p>
    <w:p w14:paraId="611258AF" w14:textId="77777777" w:rsidR="00576A90" w:rsidRDefault="00576A90" w:rsidP="00576A90">
      <w:pPr>
        <w:pStyle w:val="TextoNormal"/>
      </w:pPr>
    </w:p>
    <w:p w14:paraId="0FA29C45" w14:textId="265D44F6" w:rsidR="00576A90" w:rsidRDefault="00576A90" w:rsidP="00576A90">
      <w:pPr>
        <w:pStyle w:val="TextoNormal"/>
      </w:pPr>
      <w:r w:rsidRPr="00576A90">
        <w:rPr>
          <w:rStyle w:val="NumeroAFNegritaCaracter"/>
        </w:rPr>
        <w:t>7</w:t>
      </w:r>
      <w:r>
        <w:t xml:space="preserve">. El secretario de justicia del Pleno dictó diligencia de ordenación el 22 de marzo de 2023, por la que se tiene por recibida la anterior comunicación de la Sala Primera “y se acuerda designar ponente del incidente de recusación a la magistrada doña Concepción </w:t>
      </w:r>
      <w:r>
        <w:lastRenderedPageBreak/>
        <w:t>Espejel Jorquera, a la que por turno corresponde, a fin de que proponga al Pleno la resolución que proceda”.</w:t>
      </w:r>
    </w:p>
    <w:p w14:paraId="6E87F96E" w14:textId="77777777" w:rsidR="00576A90" w:rsidRDefault="00576A90" w:rsidP="00576A90">
      <w:pPr>
        <w:pStyle w:val="TextoNormal"/>
      </w:pPr>
    </w:p>
    <w:p w14:paraId="3243F466" w14:textId="64332882" w:rsidR="00576A90" w:rsidRDefault="00576A90" w:rsidP="00576A90">
      <w:pPr>
        <w:pStyle w:val="TextoNormal"/>
      </w:pPr>
      <w:r w:rsidRPr="00576A90">
        <w:rPr>
          <w:rStyle w:val="NumeroAFNegritaCaracter"/>
        </w:rPr>
        <w:t>8</w:t>
      </w:r>
      <w:r>
        <w:t>. Por ATC 236/2023, de 9 de mayo, el Pleno del Tribunal acordó la inadmisión a trámite por extemporaneidad de las recusaciones promovidas. La inadmisión se fundamentó, en esencia, en que el escrito promotor del incidente fue presentado en el registro de este tribunal el día 16 de marzo de 2023, una vez trascurrido en exceso el plazo de diez días a que se refiere el art. 223.1 LOPJ desde el momento en que el recusante tuvo conocimiento efectivo de que los magistrados recusados forman parte de la Sala Primera de este tribunal, cuya Sección Primera está llamada en principio a decidir sobre la admisión a trámite del recurso de amparo núm. 1234-2022, plazo contado a partir de la publicación en el “Boletín Oficial del Estado” núm. 16, de 19 de enero de 2023, del acuerdo de 17 de enero de 2023, del Pleno del Tribunal Constitucional, por el que se dispone la composición de las Salas y Secciones del Tribunal Constitucional, cuyo artículo 1.1 determina la composición de la Sala Primera y los apartados 1.2 y 1.3 la respectiva composición de las Secciones Primera y Segunda.</w:t>
      </w:r>
    </w:p>
    <w:p w14:paraId="7A43B62E" w14:textId="77777777" w:rsidR="00576A90" w:rsidRDefault="00576A90" w:rsidP="00576A90">
      <w:pPr>
        <w:pStyle w:val="TextoNormal"/>
      </w:pPr>
    </w:p>
    <w:p w14:paraId="1CFFF676" w14:textId="77777777" w:rsidR="00576A90" w:rsidRDefault="00576A90" w:rsidP="00576A90">
      <w:pPr>
        <w:pStyle w:val="TextoNormal"/>
      </w:pPr>
      <w:r w:rsidRPr="00576A90">
        <w:rPr>
          <w:rStyle w:val="NumeroAFNegritaCaracter"/>
        </w:rPr>
        <w:t>9</w:t>
      </w:r>
      <w:r>
        <w:t>. Frente al auto anterior, el demandante interpuso recurso de súplica el 22 de mayo de 2023, del que se dio traslado al Ministerio Fiscal en virtud de diligencia de ordenación dictada el 23 de mayo de 2023, a fin de que en el plazo de tres días pudiera alegar lo que estimase procedente en relación con dicho recurso.</w:t>
      </w:r>
    </w:p>
    <w:p w14:paraId="3FDB3AEA" w14:textId="77777777" w:rsidR="00576A90" w:rsidRDefault="00576A90" w:rsidP="00576A90">
      <w:pPr>
        <w:pStyle w:val="TextoNormal"/>
      </w:pPr>
    </w:p>
    <w:p w14:paraId="2CBA0F9C" w14:textId="5D9407DC" w:rsidR="00576A90" w:rsidRDefault="00576A90" w:rsidP="00576A90">
      <w:pPr>
        <w:pStyle w:val="TextoNormal"/>
      </w:pPr>
      <w:r>
        <w:t>El 9 de junio de 2023 tuvo entrada el escrito de alegaciones del Ministerio Fiscal, que consideró procedente la estimación del recurso de súplica, la anulación del auto impugnado y el dictado en su lugar de la resolución procedente.</w:t>
      </w:r>
    </w:p>
    <w:p w14:paraId="3E44085E" w14:textId="77777777" w:rsidR="00576A90" w:rsidRDefault="00576A90" w:rsidP="00576A90">
      <w:pPr>
        <w:pStyle w:val="TextoNormal"/>
      </w:pPr>
    </w:p>
    <w:p w14:paraId="16CDD913" w14:textId="3CB578E8" w:rsidR="00576A90" w:rsidRDefault="00576A90" w:rsidP="00576A90">
      <w:pPr>
        <w:pStyle w:val="TextoNormal"/>
      </w:pPr>
      <w:r w:rsidRPr="00576A90">
        <w:rPr>
          <w:rStyle w:val="NumeroAFNegritaCaracter"/>
        </w:rPr>
        <w:t>10</w:t>
      </w:r>
      <w:r>
        <w:t>. El recurso de súplica fue estimado por el ATC 353/2023, de 4 de julio, que revocó y dejó sin efecto el auto impugnado, quedando pendiente de resolución la decisión sobre admisibilidad de las recusaciones planteadas en el presente recurso de amparo.</w:t>
      </w:r>
    </w:p>
    <w:p w14:paraId="2E9FB95F" w14:textId="77777777" w:rsidR="00576A90" w:rsidRDefault="00576A90" w:rsidP="00576A90">
      <w:pPr>
        <w:pStyle w:val="TextoNormal"/>
      </w:pPr>
    </w:p>
    <w:p w14:paraId="671CB0E9" w14:textId="7580FBB0" w:rsidR="00576A90" w:rsidRDefault="00576A90" w:rsidP="00576A90">
      <w:pPr>
        <w:pStyle w:val="TextoNormal"/>
      </w:pPr>
      <w:r w:rsidRPr="00576A90">
        <w:rPr>
          <w:rStyle w:val="NumeroAFNegritaCaracter"/>
        </w:rPr>
        <w:t>11</w:t>
      </w:r>
      <w:r>
        <w:t xml:space="preserve">. Mediante diligencia de ordenación de fecha 14 de julio de 2023, se acordó requerir al procurador del demandante para que en el plazo de diez días aportara poder especial para recusar al magistrado don Juan Carlos Campo Moreno (art. 223.2 LOPJ), lo que fue cumplimentado mediante apoderamiento </w:t>
      </w:r>
      <w:r w:rsidRPr="00576A90">
        <w:rPr>
          <w:i/>
        </w:rPr>
        <w:t>apud acta</w:t>
      </w:r>
      <w:r>
        <w:t xml:space="preserve"> presentado el siguiente día 27 de julio.</w:t>
      </w:r>
    </w:p>
    <w:p w14:paraId="7E580EEE" w14:textId="77777777" w:rsidR="00576A90" w:rsidRDefault="00576A90" w:rsidP="00576A90">
      <w:pPr>
        <w:pStyle w:val="TextoNormal"/>
      </w:pPr>
    </w:p>
    <w:p w14:paraId="4A28BD49" w14:textId="77777777" w:rsidR="00576A90" w:rsidRDefault="00576A90" w:rsidP="00576A90">
      <w:pPr>
        <w:pStyle w:val="TextoNormal"/>
      </w:pPr>
      <w:r w:rsidRPr="00576A90">
        <w:rPr>
          <w:rStyle w:val="NumeroAFNegritaCaracter"/>
        </w:rPr>
        <w:t>12</w:t>
      </w:r>
      <w:r>
        <w:t>. En el ATC 483/2023, de 24 de octubre, el Pleno del Tribunal acordó la inadmisión de las recusaciones promovidas por el demandante. Resumidamente expuestos, la inadmisión de las recusaciones se fundó en los siguientes argumentos:</w:t>
      </w:r>
    </w:p>
    <w:p w14:paraId="4A65EBEC" w14:textId="77777777" w:rsidR="00576A90" w:rsidRDefault="00576A90" w:rsidP="00576A90">
      <w:pPr>
        <w:pStyle w:val="TextoNormal"/>
      </w:pPr>
    </w:p>
    <w:p w14:paraId="2B4B34E0" w14:textId="77777777" w:rsidR="00576A90" w:rsidRDefault="00576A90" w:rsidP="00576A90">
      <w:pPr>
        <w:pStyle w:val="TextoNormal"/>
      </w:pPr>
      <w:r>
        <w:t>a) En relación con las dos causas de recusación alegadas que afectan exclusivamente al presidente de este tribunal, magistrado don Cándido Conde-Pumpido Tourón: (i) la prevista en el art. 219.10 LOPJ, por la comunicación de abstención presentada en los recursos de amparo núm. 1403-2020, 1406-2020, 1407-2020, 1474-2020, 1599-2020, 1611-2020, 1621-2020, 1638-2020 y 972-2021, extensiva a los recursos de amparo núm. 5382-2019, 64-2020, 212-2020, 1523-2020 y 1634-2020, abstención que fue aceptada mediante el ATC 48/2021, de 21 de abril, con el efecto de apartarle definitivamente de los referidos recursos y de todas sus incidencias y (ii) las contempladas en el art. 219.9 y 12 LOPJ, co</w:t>
      </w:r>
      <w:r>
        <w:lastRenderedPageBreak/>
        <w:t>mo consecuencia, a juicio del recusante, de la relación de amistad del magistrado recusado con don Pedro José Crespo Barquero, actual fiscal jefe de la Fiscalía ante el Tribunal Constitucional, y a resultas del cargo ejercido en su día por el presidente de este tribunal como fiscal general del Estado, causa esta de recusación que el demandante enlaza con la del art. 219.12 LOPJ y con el derecho a la igualdad en la aplicación de la ley, invocando el ATC 99/2018, de 24 de septiembre, que aceptó la abstención del magistrado don Antonio Narváez Rodríguez al apreciar en él la concurrencia de aquella causa en relación con el fiscal jefe de determinada provincia.</w:t>
      </w:r>
    </w:p>
    <w:p w14:paraId="29DCF55A" w14:textId="77777777" w:rsidR="00576A90" w:rsidRDefault="00576A90" w:rsidP="00576A90">
      <w:pPr>
        <w:pStyle w:val="TextoNormal"/>
      </w:pPr>
    </w:p>
    <w:p w14:paraId="770DDC00" w14:textId="77777777" w:rsidR="00576A90" w:rsidRDefault="00576A90" w:rsidP="00576A90">
      <w:pPr>
        <w:pStyle w:val="TextoNormal"/>
      </w:pPr>
      <w:r>
        <w:t>En el auto ahora impugnado el Tribunal inadmitió estas causas de recusación al sustentarse en circunstancias que eran accesibles al conocimiento del recusante en el momento de la interposición de su demanda de amparo en fecha 24 de febrero de 2022, en la que recusó, entre otros, al magistrado don Cándido Conde-Pumpido Tourón, razón por la cual debió ser entonces cuando debió plantear todas las causas de recusación que en aquel momento fueran concurrentes. En consecuencia, cuando el recusante formuló la segunda recusación había precluido la posibilidad de formular actos de alegación fundados en circunstancias preexistentes en el momento de plantear la primera recusación en el escrito de demanda.</w:t>
      </w:r>
    </w:p>
    <w:p w14:paraId="354C61F3" w14:textId="77777777" w:rsidR="00576A90" w:rsidRDefault="00576A90" w:rsidP="00576A90">
      <w:pPr>
        <w:pStyle w:val="TextoNormal"/>
      </w:pPr>
    </w:p>
    <w:p w14:paraId="08CB3C9C" w14:textId="77777777" w:rsidR="00576A90" w:rsidRDefault="00576A90" w:rsidP="00576A90">
      <w:pPr>
        <w:pStyle w:val="TextoNormal"/>
      </w:pPr>
      <w:r>
        <w:t>b) En cuanto a las causas de recusación alegadas que afectan al presidente de este tribunal y al magistrado don Ricardo Enríquez Sancho (las previstas en el art. 219.7, 10, 11 y 13 LOPJ), por el hecho de haberse dictado las resoluciones judiciales ahora impugnadas en amparo en el marco de “una causa penal por haber desobedecido, supuestamente, determinados miembros de la mesa del Parlamento de Cataluña —entre los que se contaría el recurrente—, determinadas órdenes del Tribunal Constitucional, siendo que los propios magistrados del Tribunal Constitucional actuaron como denunciantes ante la jurisdicción penal”, en alusión a los autos del Pleno 9/2020 y 11/2020, de 28 de enero, y 16/2020, de 11 de febrero, el rechazo de estas causas de recusación en el auto recurrido en súplica se debió a que este segundo incidente de recusación se formuló en los mismos términos en que fue planteada la primera recusación, la cual fue inadmitida mediante el ATC 75/2022, de 27 de abril, y confirmada en súplica por el ATC 96/2022, de 15 de junio, por lo que el efecto negativo de la cosa juzgada material de aquel primer auto se erige en obstáculo procesal para tomar en consideración una idéntica pretensión de recusación ya resuelta.</w:t>
      </w:r>
    </w:p>
    <w:p w14:paraId="0B094C34" w14:textId="77777777" w:rsidR="00576A90" w:rsidRDefault="00576A90" w:rsidP="00576A90">
      <w:pPr>
        <w:pStyle w:val="TextoNormal"/>
      </w:pPr>
    </w:p>
    <w:p w14:paraId="3D0548F5" w14:textId="777D7DA2" w:rsidR="00576A90" w:rsidRDefault="00576A90" w:rsidP="00576A90">
      <w:pPr>
        <w:pStyle w:val="TextoNormal"/>
      </w:pPr>
      <w:r>
        <w:t xml:space="preserve">c) Finalmente, en lo que respecta a la recusación del magistrado don Juan Carlos Campo Moreno, la basó el recusante en que este magistrado ha pertenecido al Gobierno que instó los incidentes de ejecución antes citados, así como al Grupo Parlamentario Socialista que le daba su apoyo, a lo que añadió la relación matrimonial o análoga que mantiene con la entonces presidenta del Congreso de los Diputados, miembro del mismo partido. El auto ahora impugnado en súplica rechazó estas alegaciones porque las circunstancias expuestas no son subsumibles en ninguno de los supuestos previstos en el art. 219 LOPJ, ni tampoco el recurrente afirma que el magistrado recusado tuviera participación en decisión alguna como miembro del Gobierno de España, como parlamentario del Congreso de los Diputados ni por otro vínculo, que comprometiera su imparcialidad objetiva por haberse formado un juicio previo sobre la controversia sometida por el demandante en este recurso de amparo, consistente en su detención acordada en fase de instrucción en las diligencias previas que se siguen, entre otros, contra él por delito de desobediencia. A eso se añade que los hechos principales que el recurrente afirma como constitutivos de causa de recusación </w:t>
      </w:r>
      <w:r>
        <w:lastRenderedPageBreak/>
        <w:t>—que el Gobierno español instara ante este tribunal los incidentes de ejecución los días 7 y 31 de octubre de 2019, y 8 de noviembre de 2019— son anteriores al periodo en que el magistrado recusado ocupó el cargo de ministro de Justicia (de enero de 2020 a julio de 2021). Y la misma atipicidad hay que predicarla de la condición de parlamentario durante los años 2015 a 2020 (XI, XII y XII legislaturas en el Congreso de los Diputados), como también, por último, es completamente ajena al objeto de este proceso constitucional su relación personal con la anterior presidenta de la citada cámara legislativa.</w:t>
      </w:r>
    </w:p>
    <w:p w14:paraId="36B674BD" w14:textId="77777777" w:rsidR="00576A90" w:rsidRDefault="00576A90" w:rsidP="00576A90">
      <w:pPr>
        <w:pStyle w:val="TextoNormal"/>
      </w:pPr>
    </w:p>
    <w:p w14:paraId="314F05DE" w14:textId="77777777" w:rsidR="00576A90" w:rsidRDefault="00576A90" w:rsidP="00576A90">
      <w:pPr>
        <w:pStyle w:val="TextoNormal"/>
      </w:pPr>
      <w:r w:rsidRPr="00576A90">
        <w:rPr>
          <w:rStyle w:val="NumeroAFNegritaCaracter"/>
        </w:rPr>
        <w:t>13</w:t>
      </w:r>
      <w:r>
        <w:t xml:space="preserve">. El demandante interpuso recurso de súplica contra el auto anterior el 10 de noviembre de 2023. Alega en la impugnación, en esencia, que al no haber entrado en el fondo de las recusaciones el auto de 27 de abril de 2022, al haber rechazado </w:t>
      </w:r>
      <w:r w:rsidRPr="00576A90">
        <w:rPr>
          <w:i/>
        </w:rPr>
        <w:t>a limine</w:t>
      </w:r>
      <w:r>
        <w:t xml:space="preserve"> la recusación, no puede surtir efecto de cosa juzgada porque “el efecto de cosa juzgada material tan solo deriva de resoluciones firmes que hayan entrado en el fondo del asunto”; desde esta premisa afirma que lo resuelto “[e]s la consecuencia de una decisión previa y consciente de impedir todo análisis de fondo sobre la imparcialidad de los magistrados que integran el Tribunal”. Considera el recurrente en lo que respecta a la recusación del magistrado Sr. Campo, que “resulta paradójico que se diga en el fundamento jurídico 3, apartado C) que se pasa a ‘resolver la recusación’ y que, no obstante, la misma sea inadmitida conjuntamente con las demás”. Por lo que respecta a la preclusión para invocar motivos de recusación que afecten a los mismos magistrados, afirma el recurrente que “dicho fundamento adolece del mismo problema. Si la recusación formulada en su día carecía de sustantividad jurídica y no era acreedora de una decisión sobre el fondo, es evidente que haber invocado más o menos motivos no hubiera cambiado la decisión”.</w:t>
      </w:r>
    </w:p>
    <w:p w14:paraId="1B164B56" w14:textId="77777777" w:rsidR="00576A90" w:rsidRDefault="00576A90" w:rsidP="00576A90">
      <w:pPr>
        <w:pStyle w:val="TextoNormal"/>
      </w:pPr>
    </w:p>
    <w:p w14:paraId="5E6EBADE" w14:textId="77777777" w:rsidR="00576A90" w:rsidRDefault="00576A90" w:rsidP="00576A90">
      <w:pPr>
        <w:pStyle w:val="TextoNormal"/>
      </w:pPr>
      <w:r>
        <w:t>En relación con la recusación del magistrado Sr. Campo, sostiene el recurrente que “alguien que ha sido ministro, no de cualquier materia sino precisamente de Justicia, que ha sido nombrado magistrado del Tribunal Constitucional por el mismo Gobierno del que formó parte, ¿cómo puede parecer imparcial en un proceso que tiene su origen en incidentes de ejecución promovidos por ese Gobierno? Realmente, la confianza que los tribunales deben inspirar en los ciudadanos en una sociedad democrática no se ve afectada por estas situaciones?”</w:t>
      </w:r>
    </w:p>
    <w:p w14:paraId="7D3A8138" w14:textId="77777777" w:rsidR="00576A90" w:rsidRDefault="00576A90" w:rsidP="00576A90">
      <w:pPr>
        <w:pStyle w:val="TextoNormal"/>
      </w:pPr>
    </w:p>
    <w:p w14:paraId="0ED6319D" w14:textId="77777777" w:rsidR="00576A90" w:rsidRDefault="00576A90" w:rsidP="00576A90">
      <w:pPr>
        <w:pStyle w:val="TextoNormal"/>
      </w:pPr>
      <w:r>
        <w:t>Asimismo, el recurrente alega la vulneración de sus derechos a la tutela judicial efectiva (art. 24.1 CE) y a un proceso con todas las garantías (art. 24.2 CE) “por cuanto, el Tribunal declara arbitrariamente que la recusación es inadmisible pese a que el incidente planteado acredita una verdadera lesión del derecho a un tribunal imparcial que conozca y resuelva el presente recurso de amparo. Se rechaza estudiar los motivos de abstención y recusación sin otorgar el más mínimo valor al interés del recurrente en la protección de sus derechos fundamentales”.</w:t>
      </w:r>
    </w:p>
    <w:p w14:paraId="32E2545C" w14:textId="77777777" w:rsidR="00576A90" w:rsidRDefault="00576A90" w:rsidP="00576A90">
      <w:pPr>
        <w:pStyle w:val="TextoNormal"/>
      </w:pPr>
    </w:p>
    <w:p w14:paraId="6DB24115" w14:textId="2FCB2E4E" w:rsidR="00576A90" w:rsidRDefault="00576A90" w:rsidP="00576A90">
      <w:pPr>
        <w:pStyle w:val="TextoNormal"/>
      </w:pPr>
      <w:r>
        <w:t>En el suplico del recurso solicita su estimación, así como la admisión y estimación de las recusaciones planteadas.</w:t>
      </w:r>
    </w:p>
    <w:p w14:paraId="3E8AB017" w14:textId="77777777" w:rsidR="00576A90" w:rsidRDefault="00576A90" w:rsidP="00576A90">
      <w:pPr>
        <w:pStyle w:val="TextoNormal"/>
      </w:pPr>
    </w:p>
    <w:p w14:paraId="5D072D34" w14:textId="5ED5587A" w:rsidR="00576A90" w:rsidRDefault="00576A90" w:rsidP="00576A90">
      <w:pPr>
        <w:pStyle w:val="TextoNormal"/>
      </w:pPr>
      <w:r w:rsidRPr="00576A90">
        <w:rPr>
          <w:rStyle w:val="NumeroAFNegritaCaracter"/>
        </w:rPr>
        <w:t>14</w:t>
      </w:r>
      <w:r>
        <w:t>. En virtud de diligencia de ordenación dictada el 13 de noviembre de 2023 se dio traslado del recurso de súplica al Ministerio Fiscal, a fin de que en el plazo de tres días pudiera alegar lo que estimase procedente en relación con dicha impugnación.</w:t>
      </w:r>
    </w:p>
    <w:p w14:paraId="490428B3" w14:textId="77777777" w:rsidR="00576A90" w:rsidRDefault="00576A90" w:rsidP="00576A90">
      <w:pPr>
        <w:pStyle w:val="TextoNormal"/>
      </w:pPr>
    </w:p>
    <w:p w14:paraId="6892255A" w14:textId="77777777" w:rsidR="00576A90" w:rsidRDefault="00576A90" w:rsidP="00576A90">
      <w:pPr>
        <w:pStyle w:val="TextoNormal"/>
      </w:pPr>
      <w:r w:rsidRPr="00576A90">
        <w:rPr>
          <w:rStyle w:val="NumeroAFNegritaCaracter"/>
        </w:rPr>
        <w:lastRenderedPageBreak/>
        <w:t>15</w:t>
      </w:r>
      <w:r>
        <w:t>. El 13 de diciembre de 2023 tuvo entrada el escrito de alegaciones del Ministerio Fiscal, en el que interesó la desestimación del recurso de súplica.</w:t>
      </w:r>
    </w:p>
    <w:p w14:paraId="79892D4A" w14:textId="77777777" w:rsidR="00576A90" w:rsidRDefault="00576A90" w:rsidP="00576A90">
      <w:pPr>
        <w:pStyle w:val="TextoNormal"/>
      </w:pPr>
    </w:p>
    <w:p w14:paraId="333F1317" w14:textId="77777777" w:rsidR="00576A90" w:rsidRDefault="00576A90" w:rsidP="00576A90">
      <w:pPr>
        <w:pStyle w:val="TextoNormal"/>
      </w:pPr>
      <w:r>
        <w:t>Tras exponer los antecedentes relevantes para la resolución de este recurso y analizar el cumplimiento de los requisitos procesales, el fiscal aborda la cuestión de fondo planteada, comenzando con la fundamentación del auto impugnado y las alegaciones del recurso de súplica, para luego resumir la doctrina de este tribunal en materia de recusación de sus magistrados.</w:t>
      </w:r>
    </w:p>
    <w:p w14:paraId="5564BBE1" w14:textId="77777777" w:rsidR="00576A90" w:rsidRDefault="00576A90" w:rsidP="00576A90">
      <w:pPr>
        <w:pStyle w:val="TextoNormal"/>
      </w:pPr>
    </w:p>
    <w:p w14:paraId="54BF13AB" w14:textId="77777777" w:rsidR="00576A90" w:rsidRDefault="00576A90" w:rsidP="00576A90">
      <w:pPr>
        <w:pStyle w:val="TextoNormal"/>
      </w:pPr>
      <w:r>
        <w:t>A continuación, pasa el fiscal al examen de las razones determinantes de la inadmisión del incidente de recusación que, en esencia, son las siguientes:</w:t>
      </w:r>
    </w:p>
    <w:p w14:paraId="7767E0F0" w14:textId="77777777" w:rsidR="00576A90" w:rsidRDefault="00576A90" w:rsidP="00576A90">
      <w:pPr>
        <w:pStyle w:val="TextoNormal"/>
      </w:pPr>
    </w:p>
    <w:p w14:paraId="31EFB155" w14:textId="77777777" w:rsidR="00576A90" w:rsidRDefault="00576A90" w:rsidP="00576A90">
      <w:pPr>
        <w:pStyle w:val="TextoNormal"/>
      </w:pPr>
      <w:r>
        <w:t>(i) En relación con las causas de recusación atribuidas por el recurrente exclusivamente al presidente del Tribunal Constitucional, considera el fiscal que el auto las ha inadmitido por extemporaneidad a tenor del fundamento jurídico 3 A) b), por lo que “[d]ado que la extemporaneidad de la recusación es causa de inadmisión, y que el auto en ningún caso hace referencia al anterior auto de inadmisión de recusación de ocho magistrados, es evidente que, en este punto, el recurso debe ser desestimado”.</w:t>
      </w:r>
    </w:p>
    <w:p w14:paraId="76DC5AF0" w14:textId="77777777" w:rsidR="00576A90" w:rsidRDefault="00576A90" w:rsidP="00576A90">
      <w:pPr>
        <w:pStyle w:val="TextoNormal"/>
      </w:pPr>
    </w:p>
    <w:p w14:paraId="43A67774" w14:textId="77777777" w:rsidR="00576A90" w:rsidRDefault="00576A90" w:rsidP="00576A90">
      <w:pPr>
        <w:pStyle w:val="TextoNormal"/>
      </w:pPr>
      <w:r>
        <w:t>(ii) Respecto a la causa de recusación atribuida al presidente del Tribunal y al magistrado don Ricardo Enríquez Sancho por “la deducción de testimonio de particulares acordada por el Pleno del Tribunal Constitucional en los AATC 9/2020 y 11/2020, de 28 de enero, y 16/2020, de 11 de febrero”, aduce el fiscal que “basta la lectura de la parte dispositiva del ATC 9/2020, para comprobar que lo acordado en él — y, en concreto, el apartado 2 c)—, que se limita a acordar una deducción de testimonio de particulares a fin de que el Ministerio Fiscal proceda, en su caso, a exigir la responsabilidad penal que pudiera corresponder al presidente del Parlamento de Cataluña, don Roger Torrent i Ramió, al vicepresidente primero de la mesa del Parlamento, don Josep Costa i Rosselló y al secretario primero de la mesa, don Eusebi Campdepadrós i Pucurull, por incumplir el mandato del párrafo primero del art. 87.1 LOTC, en relación con los hechos objeto del presente incidente de ejecución— corresponde cabalmente con el ejercicio mismo de las funciones del Tribunal, por lo que la inadmisión de este motivo de recusación está plenamente fundada”.</w:t>
      </w:r>
    </w:p>
    <w:p w14:paraId="3DA0F6D0" w14:textId="77777777" w:rsidR="00576A90" w:rsidRDefault="00576A90" w:rsidP="00576A90">
      <w:pPr>
        <w:pStyle w:val="TextoNormal"/>
      </w:pPr>
    </w:p>
    <w:p w14:paraId="760CCADC" w14:textId="77777777" w:rsidR="00576A90" w:rsidRDefault="00576A90" w:rsidP="00576A90">
      <w:pPr>
        <w:pStyle w:val="TextoNormal"/>
      </w:pPr>
      <w:r>
        <w:t>(iii) Y en lo que afecta al magistrado don Juan Carlos Campo Moreno, el auto inadmite su recusación “porque accedió al cargo de ministro de Justicia con posterioridad a la fecha en que el Gobierno instó la incoación del incidente de ejecución de la sentencia, y por la falta de relevancia de su condición de diputado y de sus relaciones con la presidenta del Congreso porque, según se desprende del auto recurrido, y resulta de la lectura del ATC 9/2020, dicha Cámara —y, en consecuencia, el entonces diputado— no tuvo ninguna intervención en el incidente de ejecución, que se inició a instancias del Gobierno de la Nación. Por lo tanto, en este caso resultaba manifiesta la inexistencia de la causa de recusación invocada, y, por tanto, la inadmisión está plenamente fundada”.</w:t>
      </w:r>
    </w:p>
    <w:p w14:paraId="25EC41EC" w14:textId="77777777" w:rsidR="00576A90" w:rsidRDefault="00576A90" w:rsidP="00576A90">
      <w:pPr>
        <w:pStyle w:val="TextoNormal"/>
      </w:pPr>
    </w:p>
    <w:p w14:paraId="262685C3" w14:textId="73A9D47F" w:rsidR="00576A90" w:rsidRDefault="00576A90" w:rsidP="00576A90">
      <w:pPr>
        <w:pStyle w:val="TextoNormal"/>
      </w:pPr>
      <w:r>
        <w:t>Consecuente con las anteriores alegaciones, el fiscal interesa que se dicte auto desestimatorio del recurso de súplica interpuesto.</w:t>
      </w:r>
    </w:p>
    <w:p w14:paraId="140B51F8" w14:textId="77777777" w:rsidR="00576A90" w:rsidRDefault="00576A90" w:rsidP="00576A90">
      <w:pPr>
        <w:pStyle w:val="TextoNormal"/>
      </w:pPr>
    </w:p>
    <w:p w14:paraId="24BCF8C0" w14:textId="77777777" w:rsidR="00576A90" w:rsidRDefault="00576A90" w:rsidP="00576A90">
      <w:pPr>
        <w:pStyle w:val="TextoNormalNegritaCentrado"/>
        <w:keepNext/>
      </w:pPr>
      <w:r>
        <w:lastRenderedPageBreak/>
        <w:t>II. Fundamentos jurídicos</w:t>
      </w:r>
    </w:p>
    <w:p w14:paraId="4CC63FA9" w14:textId="141FD863" w:rsidR="00576A90" w:rsidRDefault="00576A90" w:rsidP="00576A90">
      <w:pPr>
        <w:pStyle w:val="TextoNormalNegritaCentrado"/>
        <w:keepNext/>
      </w:pPr>
    </w:p>
    <w:p w14:paraId="7AD52CD8" w14:textId="77777777" w:rsidR="00576A90" w:rsidRDefault="00576A90" w:rsidP="00576A90">
      <w:pPr>
        <w:pStyle w:val="TextoNormal"/>
      </w:pPr>
      <w:r w:rsidRPr="00576A90">
        <w:rPr>
          <w:rStyle w:val="NumeroAFNegritaCaracter"/>
        </w:rPr>
        <w:t>1</w:t>
      </w:r>
      <w:r>
        <w:t xml:space="preserve">. </w:t>
      </w:r>
      <w:r w:rsidRPr="00576A90">
        <w:rPr>
          <w:i/>
        </w:rPr>
        <w:t>Objeto de la presente resolución</w:t>
      </w:r>
    </w:p>
    <w:p w14:paraId="5AED6733" w14:textId="77777777" w:rsidR="00576A90" w:rsidRDefault="00576A90" w:rsidP="00576A90">
      <w:pPr>
        <w:pStyle w:val="TextoNormal"/>
      </w:pPr>
    </w:p>
    <w:p w14:paraId="3F2F66AB" w14:textId="77777777" w:rsidR="00576A90" w:rsidRDefault="00576A90" w:rsidP="00576A90">
      <w:pPr>
        <w:pStyle w:val="TextoNormal"/>
      </w:pPr>
      <w:r>
        <w:t>El objeto de esta resolución lo constituye el recurso de súplica interpuesto por el demandante de amparo frente al ATC 483/2023, de 24 de octubre, dictado por el Pleno de este tribunal, que inadmitió en los términos resumidamente expuestos en el antecedente 12 las recusaciones promovidas por el demandante del presidente del Tribunal, don Cándido Conde-Pumpido Tourón, y de los magistrados don Ricardo Enríquez Sancho y don Juan Carlos Campo Moreno.</w:t>
      </w:r>
    </w:p>
    <w:p w14:paraId="61D7D0FC" w14:textId="77777777" w:rsidR="00576A90" w:rsidRDefault="00576A90" w:rsidP="00576A90">
      <w:pPr>
        <w:pStyle w:val="TextoNormal"/>
      </w:pPr>
    </w:p>
    <w:p w14:paraId="4C3A07D2" w14:textId="5B4CCCE8" w:rsidR="00576A90" w:rsidRDefault="00576A90" w:rsidP="00576A90">
      <w:pPr>
        <w:pStyle w:val="TextoNormal"/>
      </w:pPr>
      <w:r>
        <w:t>Los argumentos contenidos tanto en el recurso de súplica como en el escrito de alegaciones del Ministerio Fiscal, han sido resumidos en los respectivos antecedentes 13 y 15 de la presente resolución.</w:t>
      </w:r>
    </w:p>
    <w:p w14:paraId="78E0A4C4" w14:textId="77777777" w:rsidR="00576A90" w:rsidRDefault="00576A90" w:rsidP="00576A90">
      <w:pPr>
        <w:pStyle w:val="TextoNormal"/>
      </w:pPr>
    </w:p>
    <w:p w14:paraId="066A580B" w14:textId="77777777" w:rsidR="00576A90" w:rsidRDefault="00576A90" w:rsidP="00576A90">
      <w:pPr>
        <w:pStyle w:val="TextoNormal"/>
      </w:pPr>
      <w:r w:rsidRPr="00576A90">
        <w:rPr>
          <w:rStyle w:val="NumeroAFNegritaCaracter"/>
        </w:rPr>
        <w:t>2</w:t>
      </w:r>
      <w:r>
        <w:t xml:space="preserve">. </w:t>
      </w:r>
      <w:r w:rsidRPr="00576A90">
        <w:rPr>
          <w:i/>
        </w:rPr>
        <w:t>Resolución de la impugnación</w:t>
      </w:r>
    </w:p>
    <w:p w14:paraId="43533407" w14:textId="77777777" w:rsidR="00576A90" w:rsidRDefault="00576A90" w:rsidP="00576A90">
      <w:pPr>
        <w:pStyle w:val="TextoNormal"/>
      </w:pPr>
    </w:p>
    <w:p w14:paraId="15995C8D" w14:textId="77777777" w:rsidR="00576A90" w:rsidRDefault="00576A90" w:rsidP="00576A90">
      <w:pPr>
        <w:pStyle w:val="TextoNormal"/>
      </w:pPr>
      <w:r>
        <w:t>En la decisión de este recurso cabe distinguir dos situaciones diferentes en función de la causa determinante de la inadmisión acordada en el auto impugnado en el recurso de súplica.</w:t>
      </w:r>
    </w:p>
    <w:p w14:paraId="508F0A0F" w14:textId="77777777" w:rsidR="00576A90" w:rsidRDefault="00576A90" w:rsidP="00576A90">
      <w:pPr>
        <w:pStyle w:val="TextoNormal"/>
      </w:pPr>
    </w:p>
    <w:p w14:paraId="1D8F2586" w14:textId="77777777" w:rsidR="00576A90" w:rsidRDefault="00576A90" w:rsidP="00576A90">
      <w:pPr>
        <w:pStyle w:val="TextoNormal"/>
      </w:pPr>
      <w:r>
        <w:t>a) La inadmisión de las recusaciones del presidente de este tribunal, don Cándido Conde-Pumpido Tourón, y del magistrado don Ricardo Enríquez Sancho, son efecto bien de la preclusión —la recusación del primero de los magistrados fundada en las causas 9, 10 y 12 del art. 219 LOPJ—, bien de la cosa juzgada material —la recusación de ambos magistrados por las causas 7, 10, 11 y 13 del art. 219 LOPJ—.</w:t>
      </w:r>
    </w:p>
    <w:p w14:paraId="54D04923" w14:textId="77777777" w:rsidR="00576A90" w:rsidRDefault="00576A90" w:rsidP="00576A90">
      <w:pPr>
        <w:pStyle w:val="TextoNormal"/>
      </w:pPr>
    </w:p>
    <w:p w14:paraId="7F0E40B5" w14:textId="77777777" w:rsidR="00576A90" w:rsidRDefault="00576A90" w:rsidP="00576A90">
      <w:pPr>
        <w:pStyle w:val="TextoNormal"/>
      </w:pPr>
      <w:r>
        <w:t>Tanto la preclusión como el efecto negativo de la cosa juzgada material son institutos jurídicos en garantía de la seguridad jurídica de las resoluciones jurisdiccionales, que persiguen evitar que quede indefinidamente abierta la posibilidad de plantear ante los tribunales pretensiones que ya han sido decididas en resolución firme, o que pudieron haberlo sido al fundarse en causas de pedir prexistentes en un momento anterior a aquel en que se formularon otras pretensiones ya afectadas por la litispendencia o la cosa juzgada material. En nada afecta a la preclusión o a la cosa juzgada material que la resolución precedente de este tribunal que les sirve de presupuesto fuera de inadmisión y no entrara en el fondo, pues en este momento no procede conjeturar acerca de lo que se habría decidido ante causas de recusación no formuladas referidas a un único magistrado, ni es posible reconsiderar en cuanto al fondo una pretensión de recusación que en su momento fue inadmitida, dados los términos y extensión en que se formuló, por ATC 75/2022, de 27 de abril, confirmado en súplica por ATC 96/2022, de 15 de junio, tal como ha quedado reflejado en el antecedente 3 de la presente resolución.</w:t>
      </w:r>
    </w:p>
    <w:p w14:paraId="727926A6" w14:textId="77777777" w:rsidR="00576A90" w:rsidRDefault="00576A90" w:rsidP="00576A90">
      <w:pPr>
        <w:pStyle w:val="TextoNormal"/>
      </w:pPr>
    </w:p>
    <w:p w14:paraId="74C1524B" w14:textId="77777777" w:rsidR="00576A90" w:rsidRDefault="00576A90" w:rsidP="00576A90">
      <w:pPr>
        <w:pStyle w:val="TextoNormal"/>
      </w:pPr>
      <w:r>
        <w:t xml:space="preserve">b) En lo que respecta a la recusación del magistrado don Juan Carlos Campo Moreno, no cabe sino reiterar las razones del auto impugnado en súplica: las circunstancias que sustentan la recusación no son subsumibles en ninguno de los supuestos previstos en el art. 219 LOPJ, ni tampoco el recurrente afirma que el magistrado recusado tuviera participación en decisión alguna como miembro del Gobierno de España, como parlamentario del </w:t>
      </w:r>
      <w:r>
        <w:lastRenderedPageBreak/>
        <w:t>Congreso de los Diputados ni por otro vínculo, que comprometiera su imparcialidad objetiva por haberse formado un juicio previo sobre la controversia sometida por el demandante en este recurso de amparo, consistente en su detención acordada en fase de instrucción en las diligencias previas que se siguen, entre otros, contra él por delito de desobediencia. A ello se añade que los hechos principales que el recurrente afirma como constitutivos de causa de recusación —que el Gobierno instara ante este tribunal los incidentes de ejecución los días 7 y 31 de octubre de 2019, y 8 de noviembre de 2019— son anteriores al periodo en que este magistrado ocupó el cargo de ministro de Justicia (de enero de 2020 a julio de 2021). Y, por último, la misma atipicidad hay que predicarla de la condición de parlamentario durante los años 2015 a 2020 (XI, XII y XII legislaturas en el Congreso de los Diputados), como también es completamente ajena al objeto de este proceso constitucional su relación personal con la anterior presidenta de la citada cámara legislativa.</w:t>
      </w:r>
    </w:p>
    <w:p w14:paraId="1AF80A72" w14:textId="77777777" w:rsidR="00576A90" w:rsidRDefault="00576A90" w:rsidP="00576A90">
      <w:pPr>
        <w:pStyle w:val="TextoNormal"/>
      </w:pPr>
    </w:p>
    <w:p w14:paraId="50D60475" w14:textId="2678B479" w:rsidR="00576A90" w:rsidRDefault="00576A90" w:rsidP="00576A90">
      <w:pPr>
        <w:pStyle w:val="TextoNormal"/>
      </w:pPr>
      <w:r>
        <w:t>Procede, en consecuencia, desestimar el recurso de súplica planteado por el demandante de amparo.</w:t>
      </w:r>
    </w:p>
    <w:p w14:paraId="41013D50" w14:textId="77777777" w:rsidR="00576A90" w:rsidRDefault="00576A90" w:rsidP="00576A90">
      <w:pPr>
        <w:pStyle w:val="TextoNormal"/>
      </w:pPr>
    </w:p>
    <w:p w14:paraId="18FD2BFA" w14:textId="77777777" w:rsidR="00576A90" w:rsidRDefault="00576A90" w:rsidP="00576A90">
      <w:pPr>
        <w:pStyle w:val="TextoNormal"/>
      </w:pPr>
      <w:r>
        <w:t>Por lo expuesto, el Pleno</w:t>
      </w:r>
    </w:p>
    <w:p w14:paraId="4CAC13F0" w14:textId="757EB546" w:rsidR="00576A90" w:rsidRDefault="00576A90" w:rsidP="00576A90">
      <w:pPr>
        <w:pStyle w:val="TextoNormal"/>
      </w:pPr>
    </w:p>
    <w:p w14:paraId="594C91A5" w14:textId="77777777" w:rsidR="00576A90" w:rsidRDefault="00576A90" w:rsidP="00576A90">
      <w:pPr>
        <w:pStyle w:val="TextoNormalCentrado"/>
      </w:pPr>
      <w:r>
        <w:t>ACUERDA</w:t>
      </w:r>
    </w:p>
    <w:p w14:paraId="214B4AB6" w14:textId="607DE87B" w:rsidR="00576A90" w:rsidRDefault="00576A90" w:rsidP="00576A90">
      <w:pPr>
        <w:pStyle w:val="TextoNormalCentrado"/>
      </w:pPr>
    </w:p>
    <w:p w14:paraId="0F249B3B" w14:textId="0A63E29B" w:rsidR="00576A90" w:rsidRDefault="00576A90" w:rsidP="00576A90">
      <w:pPr>
        <w:pStyle w:val="TextoNormal"/>
      </w:pPr>
      <w:r>
        <w:t>Desestimar el recurso de súplica interpuesto por don Josep Costa i Rosselló contra el ATC 483/2023, de 24 de octubre.</w:t>
      </w:r>
    </w:p>
    <w:p w14:paraId="7814B1EA" w14:textId="77777777" w:rsidR="00576A90" w:rsidRDefault="00576A90" w:rsidP="00576A90">
      <w:pPr>
        <w:pStyle w:val="TextoNormal"/>
      </w:pPr>
    </w:p>
    <w:p w14:paraId="1F19E73F" w14:textId="77777777" w:rsidR="00576A90" w:rsidRDefault="00576A90" w:rsidP="00576A90">
      <w:pPr>
        <w:pStyle w:val="TextoNormal"/>
      </w:pPr>
      <w:r>
        <w:t>Madrid, a treinta de enero de dos mil veinticuatro.</w:t>
      </w:r>
    </w:p>
    <w:p w14:paraId="6F6F1600" w14:textId="14B477DC" w:rsidR="00576A90" w:rsidRDefault="00576A90">
      <w:pPr>
        <w:spacing w:after="160" w:line="259" w:lineRule="auto"/>
        <w:rPr>
          <w:rFonts w:ascii="Times New Roman" w:eastAsia="Times New Roman" w:hAnsi="Times New Roman" w:cs="Times New Roman"/>
          <w:sz w:val="24"/>
          <w:szCs w:val="24"/>
          <w:lang w:eastAsia="es-ES"/>
        </w:rPr>
      </w:pPr>
      <w:r>
        <w:br w:type="page"/>
      </w:r>
    </w:p>
    <w:p w14:paraId="01D23556" w14:textId="77777777" w:rsidR="00576A90" w:rsidRDefault="00576A90" w:rsidP="00576A90">
      <w:pPr>
        <w:pStyle w:val="TtuloResolucin"/>
      </w:pPr>
      <w:bookmarkStart w:id="101" w:name="AUTO_2024_6"/>
      <w:r>
        <w:lastRenderedPageBreak/>
        <w:t>AUTO 6/2024, de 1 de febrero de 2024</w:t>
      </w:r>
    </w:p>
    <w:bookmarkEnd w:id="101"/>
    <w:p w14:paraId="4056B3B5" w14:textId="77777777" w:rsidR="00576A90" w:rsidRDefault="00576A90" w:rsidP="00576A90">
      <w:pPr>
        <w:pStyle w:val="TtuloResolucin"/>
      </w:pPr>
      <w:r>
        <w:t>Sección Tercera</w:t>
      </w:r>
    </w:p>
    <w:p w14:paraId="67EA921E" w14:textId="77777777" w:rsidR="00576A90" w:rsidRDefault="00576A90" w:rsidP="00576A90">
      <w:pPr>
        <w:pStyle w:val="TextoNormalCentrado"/>
      </w:pPr>
      <w:r>
        <w:t>ECLI:ES:TC:2024:6A</w:t>
      </w:r>
    </w:p>
    <w:p w14:paraId="1116D584" w14:textId="36EE1D66" w:rsidR="00576A90" w:rsidRDefault="00576A90" w:rsidP="00576A90">
      <w:pPr>
        <w:pStyle w:val="TextoNormalCentrado"/>
      </w:pPr>
    </w:p>
    <w:p w14:paraId="578C0489" w14:textId="77777777" w:rsidR="00576A90" w:rsidRDefault="00576A90" w:rsidP="00576A90">
      <w:pPr>
        <w:pStyle w:val="SntesisDescriptiva"/>
      </w:pPr>
      <w:r>
        <w:t>Excms. Srs. doña Inmaculada Montalbán Huertas y doña Laura Díez Bueso.</w:t>
      </w:r>
    </w:p>
    <w:p w14:paraId="0B864BD9" w14:textId="3A1876A2" w:rsidR="00576A90" w:rsidRDefault="00576A90" w:rsidP="00576A90">
      <w:pPr>
        <w:pStyle w:val="SntesisDescriptiva"/>
      </w:pPr>
    </w:p>
    <w:p w14:paraId="1CEDC30F" w14:textId="77777777" w:rsidR="00576A90" w:rsidRDefault="00576A90" w:rsidP="00576A90">
      <w:pPr>
        <w:pStyle w:val="SntesisDescriptiva"/>
      </w:pPr>
      <w:r>
        <w:t>Acepta una abstención en el recurso de amparo 8334-2021, promovido por la asociación Gurasos Elkartea, en proceso contencioso administrativo.</w:t>
      </w:r>
    </w:p>
    <w:p w14:paraId="376B41E2" w14:textId="28CB5E4F" w:rsidR="00576A90" w:rsidRDefault="00576A90" w:rsidP="00576A90">
      <w:pPr>
        <w:pStyle w:val="SntesisDescriptiva"/>
      </w:pPr>
    </w:p>
    <w:p w14:paraId="349EE1D8" w14:textId="77777777" w:rsidR="00576A90" w:rsidRDefault="00576A90" w:rsidP="00576A90">
      <w:pPr>
        <w:pStyle w:val="SntesisDescriptiva"/>
      </w:pPr>
    </w:p>
    <w:p w14:paraId="29089388" w14:textId="77777777" w:rsidR="00576A90" w:rsidRDefault="00576A90" w:rsidP="00576A90">
      <w:pPr>
        <w:pStyle w:val="SntesisDescriptiva"/>
      </w:pPr>
    </w:p>
    <w:p w14:paraId="20537908" w14:textId="77777777" w:rsidR="00576A90" w:rsidRDefault="00576A90" w:rsidP="00576A90">
      <w:pPr>
        <w:pStyle w:val="TextoNormalNegritaCentrado"/>
      </w:pPr>
      <w:r>
        <w:t>AUTO</w:t>
      </w:r>
    </w:p>
    <w:p w14:paraId="7D5FDFA3" w14:textId="62137A9B" w:rsidR="00576A90" w:rsidRDefault="00576A90" w:rsidP="00576A90">
      <w:pPr>
        <w:pStyle w:val="TextoNormalNegritaCentrado"/>
      </w:pPr>
    </w:p>
    <w:p w14:paraId="38636504" w14:textId="77777777" w:rsidR="00576A90" w:rsidRDefault="00576A90" w:rsidP="00576A90">
      <w:pPr>
        <w:pStyle w:val="TextoNormalNegritaCentrado"/>
        <w:keepNext/>
      </w:pPr>
      <w:r>
        <w:t>I. Antecedentes</w:t>
      </w:r>
    </w:p>
    <w:p w14:paraId="59429541" w14:textId="6A64CEEE" w:rsidR="00576A90" w:rsidRDefault="00576A90" w:rsidP="00576A90">
      <w:pPr>
        <w:pStyle w:val="TextoNormalNegritaCentrado"/>
        <w:keepNext/>
      </w:pPr>
    </w:p>
    <w:p w14:paraId="70EC558F" w14:textId="2163A67D" w:rsidR="00576A90" w:rsidRDefault="00576A90" w:rsidP="00576A90">
      <w:pPr>
        <w:pStyle w:val="TextoNormal"/>
      </w:pPr>
      <w:r w:rsidRPr="00576A90">
        <w:rPr>
          <w:rStyle w:val="NumeroAFNegritaCaracter"/>
        </w:rPr>
        <w:t>1</w:t>
      </w:r>
      <w:r>
        <w:t>. Mediante escrito registrado en este tribunal el 29 de diciembre de 2021 la procuradora de los tribunales doña Ana Isabel Lobera Argüelles, en nombre y representación de la Asociación Gurasos Elkartea y bajo la dirección del letrado don Joseba Andoni Belaustegi Cuesta, formuló demanda de amparo contra la providencia de la Sección Primera de la Sala de lo Contencioso-Administrativo del Tribunal Supremo, en el recurso de casación núm. 4679-2021.</w:t>
      </w:r>
    </w:p>
    <w:p w14:paraId="48277873" w14:textId="77777777" w:rsidR="00576A90" w:rsidRDefault="00576A90" w:rsidP="00576A90">
      <w:pPr>
        <w:pStyle w:val="TextoNormal"/>
      </w:pPr>
    </w:p>
    <w:p w14:paraId="766C60B7" w14:textId="34C6DA21" w:rsidR="00576A90" w:rsidRDefault="00576A90" w:rsidP="00576A90">
      <w:pPr>
        <w:pStyle w:val="TextoNormal"/>
      </w:pPr>
      <w:r w:rsidRPr="00576A90">
        <w:rPr>
          <w:rStyle w:val="NumeroAFNegritaCaracter"/>
        </w:rPr>
        <w:t>2</w:t>
      </w:r>
      <w:r>
        <w:t>. Por escrito de 31 de enero de 2024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707199F5" w14:textId="77777777" w:rsidR="00576A90" w:rsidRDefault="00576A90" w:rsidP="00576A90">
      <w:pPr>
        <w:pStyle w:val="TextoNormal"/>
      </w:pPr>
    </w:p>
    <w:p w14:paraId="31867339" w14:textId="77777777" w:rsidR="00576A90" w:rsidRDefault="00576A90" w:rsidP="00576A90">
      <w:pPr>
        <w:pStyle w:val="TextoNormalNegritaCentrado"/>
        <w:keepNext/>
      </w:pPr>
      <w:r>
        <w:t>II. Fundamentos jurídicos</w:t>
      </w:r>
    </w:p>
    <w:p w14:paraId="24A1BE8E" w14:textId="3147FB75" w:rsidR="00576A90" w:rsidRDefault="00576A90" w:rsidP="00576A90">
      <w:pPr>
        <w:pStyle w:val="TextoNormalNegritaCentrado"/>
        <w:keepNext/>
      </w:pPr>
    </w:p>
    <w:p w14:paraId="2F9E78BD" w14:textId="7D179165" w:rsidR="00576A90" w:rsidRDefault="00576A90" w:rsidP="00576A90">
      <w:pPr>
        <w:pStyle w:val="TextoNormal"/>
      </w:pPr>
      <w:r w:rsidRPr="00576A90">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084CCE70" w14:textId="77777777" w:rsidR="00576A90" w:rsidRDefault="00576A90" w:rsidP="00576A90">
      <w:pPr>
        <w:pStyle w:val="TextoNormal"/>
      </w:pPr>
    </w:p>
    <w:p w14:paraId="21C80CBB" w14:textId="77777777" w:rsidR="00576A90" w:rsidRDefault="00576A90" w:rsidP="00576A90">
      <w:pPr>
        <w:pStyle w:val="TextoNormal"/>
      </w:pPr>
      <w:r>
        <w:t>Por lo expuesto, la Sección</w:t>
      </w:r>
    </w:p>
    <w:p w14:paraId="28C2D642" w14:textId="165DA678" w:rsidR="00576A90" w:rsidRDefault="00576A90" w:rsidP="00576A90">
      <w:pPr>
        <w:pStyle w:val="TextoNormal"/>
      </w:pPr>
    </w:p>
    <w:p w14:paraId="5FB4983C" w14:textId="77777777" w:rsidR="00576A90" w:rsidRDefault="00576A90" w:rsidP="00576A90">
      <w:pPr>
        <w:pStyle w:val="TextoNormalCentrado"/>
      </w:pPr>
      <w:r>
        <w:t>ACUERDA</w:t>
      </w:r>
    </w:p>
    <w:p w14:paraId="07DFE084" w14:textId="32B4DDFA" w:rsidR="00576A90" w:rsidRDefault="00576A90" w:rsidP="00576A90">
      <w:pPr>
        <w:pStyle w:val="TextoNormalCentrado"/>
      </w:pPr>
    </w:p>
    <w:p w14:paraId="284A6139" w14:textId="48808F1D" w:rsidR="00576A90" w:rsidRDefault="00576A90" w:rsidP="00576A90">
      <w:pPr>
        <w:pStyle w:val="TextoNormal"/>
      </w:pPr>
      <w:r>
        <w:t>Estimar justificada la abstención formulada por el magistrado don César Tolosa Tribiño en el recurso de amparo núm. 8334-2021 y apartarle definitivamente del conocimiento del referido recurso y de todas sus incidencias.</w:t>
      </w:r>
    </w:p>
    <w:p w14:paraId="7B6FE8EB" w14:textId="77777777" w:rsidR="00576A90" w:rsidRDefault="00576A90" w:rsidP="00576A90">
      <w:pPr>
        <w:pStyle w:val="TextoNormal"/>
      </w:pPr>
    </w:p>
    <w:p w14:paraId="49A01F4C" w14:textId="77777777" w:rsidR="00576A90" w:rsidRDefault="00576A90" w:rsidP="00576A90">
      <w:pPr>
        <w:pStyle w:val="TextoNormal"/>
      </w:pPr>
      <w:r>
        <w:lastRenderedPageBreak/>
        <w:t>Madrid, a uno de febrero de dos mil veinticuatro.</w:t>
      </w:r>
    </w:p>
    <w:p w14:paraId="62A69A47" w14:textId="6F7AB5B5" w:rsidR="00576A90" w:rsidRDefault="00576A90">
      <w:pPr>
        <w:spacing w:after="160" w:line="259" w:lineRule="auto"/>
        <w:rPr>
          <w:rFonts w:ascii="Times New Roman" w:eastAsia="Times New Roman" w:hAnsi="Times New Roman" w:cs="Times New Roman"/>
          <w:sz w:val="24"/>
          <w:szCs w:val="24"/>
          <w:lang w:eastAsia="es-ES"/>
        </w:rPr>
      </w:pPr>
      <w:r>
        <w:br w:type="page"/>
      </w:r>
    </w:p>
    <w:p w14:paraId="09AD5C4E" w14:textId="77777777" w:rsidR="00576A90" w:rsidRDefault="00576A90" w:rsidP="00576A90">
      <w:pPr>
        <w:pStyle w:val="TtuloResolucin"/>
      </w:pPr>
      <w:bookmarkStart w:id="102" w:name="AUTO_2024_7"/>
      <w:r>
        <w:lastRenderedPageBreak/>
        <w:t>AUTO 7/2024, de 1 de febrero de 2024</w:t>
      </w:r>
    </w:p>
    <w:bookmarkEnd w:id="102"/>
    <w:p w14:paraId="69F30BB4" w14:textId="77777777" w:rsidR="00576A90" w:rsidRDefault="00576A90" w:rsidP="00576A90">
      <w:pPr>
        <w:pStyle w:val="TtuloResolucin"/>
      </w:pPr>
      <w:r>
        <w:t>Sección Tercera</w:t>
      </w:r>
    </w:p>
    <w:p w14:paraId="3B9A4293" w14:textId="77777777" w:rsidR="00576A90" w:rsidRDefault="00576A90" w:rsidP="00576A90">
      <w:pPr>
        <w:pStyle w:val="TextoNormalCentrado"/>
      </w:pPr>
      <w:r>
        <w:t>ECLI:ES:TC:2024:7A</w:t>
      </w:r>
    </w:p>
    <w:p w14:paraId="3598C9E0" w14:textId="29D06AB4" w:rsidR="00576A90" w:rsidRDefault="00576A90" w:rsidP="00576A90">
      <w:pPr>
        <w:pStyle w:val="TextoNormalCentrado"/>
      </w:pPr>
    </w:p>
    <w:p w14:paraId="5F581A4E" w14:textId="77777777" w:rsidR="00576A90" w:rsidRDefault="00576A90" w:rsidP="00576A90">
      <w:pPr>
        <w:pStyle w:val="SntesisDescriptiva"/>
      </w:pPr>
      <w:r>
        <w:t>Excms. Srs. doña Inmaculada Montalbán Huertas y doña Laura Díez Bueso.</w:t>
      </w:r>
    </w:p>
    <w:p w14:paraId="64731B2E" w14:textId="2EE697BE" w:rsidR="00576A90" w:rsidRDefault="00576A90" w:rsidP="00576A90">
      <w:pPr>
        <w:pStyle w:val="SntesisDescriptiva"/>
      </w:pPr>
    </w:p>
    <w:p w14:paraId="1EAA9F98" w14:textId="77777777" w:rsidR="00576A90" w:rsidRDefault="00576A90" w:rsidP="00576A90">
      <w:pPr>
        <w:pStyle w:val="SntesisDescriptiva"/>
      </w:pPr>
      <w:r>
        <w:t>Acepta una abstención en el recurso de amparo 1764-2022, promovido por la entidad Hotel Playa de la Luz, S.A., en proceso contencioso administrativo.</w:t>
      </w:r>
    </w:p>
    <w:p w14:paraId="5F2EEC67" w14:textId="26301BE3" w:rsidR="00576A90" w:rsidRDefault="00576A90" w:rsidP="00576A90">
      <w:pPr>
        <w:pStyle w:val="SntesisDescriptiva"/>
      </w:pPr>
    </w:p>
    <w:p w14:paraId="01570D39" w14:textId="77777777" w:rsidR="00576A90" w:rsidRDefault="00576A90" w:rsidP="00576A90">
      <w:pPr>
        <w:pStyle w:val="SntesisDescriptiva"/>
      </w:pPr>
    </w:p>
    <w:p w14:paraId="569A58DE" w14:textId="77777777" w:rsidR="00576A90" w:rsidRDefault="00576A90" w:rsidP="00576A90">
      <w:pPr>
        <w:pStyle w:val="SntesisDescriptiva"/>
      </w:pPr>
    </w:p>
    <w:p w14:paraId="531F49F5" w14:textId="77777777" w:rsidR="00576A90" w:rsidRDefault="00576A90" w:rsidP="00576A90">
      <w:pPr>
        <w:pStyle w:val="TextoNormalNegritaCentrado"/>
      </w:pPr>
      <w:r>
        <w:t>AUTO</w:t>
      </w:r>
    </w:p>
    <w:p w14:paraId="27199085" w14:textId="1ACA049A" w:rsidR="00576A90" w:rsidRDefault="00576A90" w:rsidP="00576A90">
      <w:pPr>
        <w:pStyle w:val="TextoNormalNegritaCentrado"/>
      </w:pPr>
    </w:p>
    <w:p w14:paraId="593E6185" w14:textId="77777777" w:rsidR="00576A90" w:rsidRDefault="00576A90" w:rsidP="00576A90">
      <w:pPr>
        <w:pStyle w:val="TextoNormalNegritaCentrado"/>
        <w:keepNext/>
      </w:pPr>
      <w:r>
        <w:t>I. Antecedentes</w:t>
      </w:r>
    </w:p>
    <w:p w14:paraId="52A4B12B" w14:textId="132DA5CD" w:rsidR="00576A90" w:rsidRDefault="00576A90" w:rsidP="00576A90">
      <w:pPr>
        <w:pStyle w:val="TextoNormalNegritaCentrado"/>
        <w:keepNext/>
      </w:pPr>
    </w:p>
    <w:p w14:paraId="7E70708E" w14:textId="64C7E1A6" w:rsidR="00576A90" w:rsidRDefault="00576A90" w:rsidP="00576A90">
      <w:pPr>
        <w:pStyle w:val="TextoNormal"/>
      </w:pPr>
      <w:r w:rsidRPr="00576A90">
        <w:rPr>
          <w:rStyle w:val="NumeroAFNegritaCaracter"/>
        </w:rPr>
        <w:t>1</w:t>
      </w:r>
      <w:r>
        <w:t>. Mediante escrito registrado en este tribunal el 15 de marzo de 2022 la procuradora de los tribunales doña María del Carmen Hijosa Martínez, en nombre y representación de la entidad Hotel Playa de la Luz, S.A., y bajo la dirección de la letrada doña Eva Desdentado Daroca, formuló demanda de amparo contra la providencia de 28 de octubre de 2021, dictada en el recurso de casación núm. 4371-2021 por la Sección Primera de la Sala de lo Contencioso-Administrativo del Tribunal Supremo.</w:t>
      </w:r>
    </w:p>
    <w:p w14:paraId="05D9885D" w14:textId="77777777" w:rsidR="00576A90" w:rsidRDefault="00576A90" w:rsidP="00576A90">
      <w:pPr>
        <w:pStyle w:val="TextoNormal"/>
      </w:pPr>
    </w:p>
    <w:p w14:paraId="2E933C7B" w14:textId="086CCEB5" w:rsidR="00576A90" w:rsidRDefault="00576A90" w:rsidP="00576A90">
      <w:pPr>
        <w:pStyle w:val="TextoNormal"/>
      </w:pPr>
      <w:r w:rsidRPr="00576A90">
        <w:rPr>
          <w:rStyle w:val="NumeroAFNegritaCaracter"/>
        </w:rPr>
        <w:t>2</w:t>
      </w:r>
      <w:r>
        <w:t>. Por escrito de 31 de enero de 2024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3EE5219" w14:textId="77777777" w:rsidR="00576A90" w:rsidRDefault="00576A90" w:rsidP="00576A90">
      <w:pPr>
        <w:pStyle w:val="TextoNormal"/>
      </w:pPr>
    </w:p>
    <w:p w14:paraId="4BCBCF25" w14:textId="77777777" w:rsidR="00576A90" w:rsidRDefault="00576A90" w:rsidP="00576A90">
      <w:pPr>
        <w:pStyle w:val="TextoNormalNegritaCentrado"/>
        <w:keepNext/>
      </w:pPr>
      <w:r>
        <w:t>II. Fundamentos jurídicos</w:t>
      </w:r>
    </w:p>
    <w:p w14:paraId="194BFA1A" w14:textId="695061FB" w:rsidR="00576A90" w:rsidRDefault="00576A90" w:rsidP="00576A90">
      <w:pPr>
        <w:pStyle w:val="TextoNormalNegritaCentrado"/>
        <w:keepNext/>
      </w:pPr>
    </w:p>
    <w:p w14:paraId="315A7940" w14:textId="17C8E423" w:rsidR="00576A90" w:rsidRDefault="00576A90" w:rsidP="00576A90">
      <w:pPr>
        <w:pStyle w:val="TextoNormal"/>
      </w:pPr>
      <w:r w:rsidRPr="00576A90">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F659ADF" w14:textId="77777777" w:rsidR="00576A90" w:rsidRDefault="00576A90" w:rsidP="00576A90">
      <w:pPr>
        <w:pStyle w:val="TextoNormal"/>
      </w:pPr>
    </w:p>
    <w:p w14:paraId="1F562FA0" w14:textId="77777777" w:rsidR="00576A90" w:rsidRDefault="00576A90" w:rsidP="00576A90">
      <w:pPr>
        <w:pStyle w:val="TextoNormal"/>
      </w:pPr>
      <w:r>
        <w:t>Por lo expuesto, la Sección</w:t>
      </w:r>
    </w:p>
    <w:p w14:paraId="1317FA49" w14:textId="14912571" w:rsidR="00576A90" w:rsidRDefault="00576A90" w:rsidP="00576A90">
      <w:pPr>
        <w:pStyle w:val="TextoNormal"/>
      </w:pPr>
    </w:p>
    <w:p w14:paraId="6AE922F5" w14:textId="77777777" w:rsidR="00576A90" w:rsidRDefault="00576A90" w:rsidP="00576A90">
      <w:pPr>
        <w:pStyle w:val="TextoNormalCentrado"/>
      </w:pPr>
      <w:r>
        <w:t>ACUERDA</w:t>
      </w:r>
    </w:p>
    <w:p w14:paraId="35A91209" w14:textId="3225B04C" w:rsidR="00576A90" w:rsidRDefault="00576A90" w:rsidP="00576A90">
      <w:pPr>
        <w:pStyle w:val="TextoNormalCentrado"/>
      </w:pPr>
    </w:p>
    <w:p w14:paraId="35BFBF97" w14:textId="1825C5F2" w:rsidR="00576A90" w:rsidRDefault="00576A90" w:rsidP="00576A90">
      <w:pPr>
        <w:pStyle w:val="TextoNormal"/>
      </w:pPr>
      <w:r>
        <w:t>Estimar justificada la abstención formulada por el magistrado don César Tolosa Tribiño en el recurso de amparo núm. 1764-2022 y apartarle definitivamente del conocimiento del referido recurso y de todas sus incidencias.</w:t>
      </w:r>
    </w:p>
    <w:p w14:paraId="686E5DAA" w14:textId="77777777" w:rsidR="00576A90" w:rsidRDefault="00576A90" w:rsidP="00576A90">
      <w:pPr>
        <w:pStyle w:val="TextoNormal"/>
      </w:pPr>
    </w:p>
    <w:p w14:paraId="493CFA84" w14:textId="77777777" w:rsidR="00576A90" w:rsidRDefault="00576A90" w:rsidP="00576A90">
      <w:pPr>
        <w:pStyle w:val="TextoNormal"/>
      </w:pPr>
      <w:r>
        <w:lastRenderedPageBreak/>
        <w:t>Madrid, a uno de febrero de dos mil veinticuatro.</w:t>
      </w:r>
    </w:p>
    <w:p w14:paraId="7DBF7FF1" w14:textId="4CEC0BC7" w:rsidR="00576A90" w:rsidRDefault="00576A90">
      <w:pPr>
        <w:spacing w:after="160" w:line="259" w:lineRule="auto"/>
        <w:rPr>
          <w:rFonts w:ascii="Times New Roman" w:eastAsia="Times New Roman" w:hAnsi="Times New Roman" w:cs="Times New Roman"/>
          <w:sz w:val="24"/>
          <w:szCs w:val="24"/>
          <w:lang w:eastAsia="es-ES"/>
        </w:rPr>
      </w:pPr>
      <w:r>
        <w:br w:type="page"/>
      </w:r>
    </w:p>
    <w:p w14:paraId="10076409" w14:textId="77777777" w:rsidR="00576A90" w:rsidRDefault="00576A90" w:rsidP="00576A90">
      <w:pPr>
        <w:pStyle w:val="TtuloResolucin"/>
      </w:pPr>
      <w:bookmarkStart w:id="103" w:name="AUTO_2024_8"/>
      <w:r>
        <w:lastRenderedPageBreak/>
        <w:t>AUTO 8/2024, de 5 de febrero de 2024</w:t>
      </w:r>
    </w:p>
    <w:bookmarkEnd w:id="103"/>
    <w:p w14:paraId="42DC3A92" w14:textId="77777777" w:rsidR="00576A90" w:rsidRDefault="00576A90" w:rsidP="00576A90">
      <w:pPr>
        <w:pStyle w:val="TtuloResolucin"/>
      </w:pPr>
      <w:r>
        <w:t>Sección Cuarta</w:t>
      </w:r>
    </w:p>
    <w:p w14:paraId="3FDC228C" w14:textId="77777777" w:rsidR="00576A90" w:rsidRDefault="00576A90" w:rsidP="00576A90">
      <w:pPr>
        <w:pStyle w:val="TtuloBOE"/>
      </w:pPr>
      <w:r>
        <w:t>(BOE núm. 72, de 22 de marzo de 2024)</w:t>
      </w:r>
    </w:p>
    <w:p w14:paraId="510FDF5B" w14:textId="77777777" w:rsidR="00576A90" w:rsidRDefault="00576A90" w:rsidP="00576A90">
      <w:pPr>
        <w:pStyle w:val="TextoNormalCentrado"/>
      </w:pPr>
      <w:r>
        <w:t>ECLI:ES:TC:2024:8A</w:t>
      </w:r>
    </w:p>
    <w:p w14:paraId="2AB5342B" w14:textId="6D3CD04C" w:rsidR="00576A90" w:rsidRDefault="00576A90" w:rsidP="00576A90">
      <w:pPr>
        <w:pStyle w:val="TextoNormalCentrado"/>
      </w:pPr>
    </w:p>
    <w:p w14:paraId="5E326DA8" w14:textId="77777777" w:rsidR="00576A90" w:rsidRDefault="00576A90" w:rsidP="00576A90">
      <w:pPr>
        <w:pStyle w:val="SntesisDescriptiva"/>
      </w:pPr>
      <w:r>
        <w:t>Excms. Srs. doña María Luisa Balaguer Callejón, don Ramón Sáez Valcárcel y don Enrique Arnaldo Alcubilla.</w:t>
      </w:r>
    </w:p>
    <w:p w14:paraId="5FE6FA4A" w14:textId="3B1CE2B8" w:rsidR="00576A90" w:rsidRDefault="00576A90" w:rsidP="00576A90">
      <w:pPr>
        <w:pStyle w:val="SntesisDescriptiva"/>
      </w:pPr>
    </w:p>
    <w:p w14:paraId="2A9380A7" w14:textId="77777777" w:rsidR="00576A90" w:rsidRDefault="00576A90" w:rsidP="00576A90">
      <w:pPr>
        <w:pStyle w:val="SntesisDescriptiva"/>
      </w:pPr>
      <w:r>
        <w:t>Comunica el magistrado ponente y rechaza la solicitud de entrega del informe de letrado en el recurso de amparo 8273-2022, promovido por doña Encarnación Espinosa Jaén en litigio social.</w:t>
      </w:r>
    </w:p>
    <w:p w14:paraId="17242BF0" w14:textId="61B652CE" w:rsidR="00576A90" w:rsidRDefault="00576A90" w:rsidP="00576A90">
      <w:pPr>
        <w:pStyle w:val="SntesisDescriptiva"/>
      </w:pPr>
    </w:p>
    <w:p w14:paraId="143BE8FF" w14:textId="77777777" w:rsidR="00576A90" w:rsidRDefault="00576A90" w:rsidP="00576A90">
      <w:pPr>
        <w:pStyle w:val="SntesisDescriptiva"/>
      </w:pPr>
    </w:p>
    <w:p w14:paraId="418069FE" w14:textId="77777777" w:rsidR="00576A90" w:rsidRDefault="00576A90" w:rsidP="00576A90">
      <w:pPr>
        <w:pStyle w:val="SntesisDescriptiva"/>
      </w:pPr>
    </w:p>
    <w:p w14:paraId="196BE9FE" w14:textId="77777777" w:rsidR="00576A90" w:rsidRDefault="00576A90" w:rsidP="00576A90">
      <w:pPr>
        <w:pStyle w:val="TextoNormalNegritaCentrado"/>
      </w:pPr>
      <w:r>
        <w:t>AUTO</w:t>
      </w:r>
    </w:p>
    <w:p w14:paraId="720D2B54" w14:textId="7E44332B" w:rsidR="00576A90" w:rsidRDefault="00576A90" w:rsidP="00576A90">
      <w:pPr>
        <w:pStyle w:val="TextoNormalNegritaCentrado"/>
      </w:pPr>
    </w:p>
    <w:p w14:paraId="32329ABD" w14:textId="77777777" w:rsidR="00576A90" w:rsidRDefault="00576A90" w:rsidP="00576A90">
      <w:pPr>
        <w:pStyle w:val="TextoNormalNegritaCentrado"/>
        <w:keepNext/>
      </w:pPr>
      <w:r>
        <w:t>I. Antecedentes</w:t>
      </w:r>
    </w:p>
    <w:p w14:paraId="5E1288D7" w14:textId="081895AC" w:rsidR="00576A90" w:rsidRDefault="00576A90" w:rsidP="00576A90">
      <w:pPr>
        <w:pStyle w:val="TextoNormalNegritaCentrado"/>
        <w:keepNext/>
      </w:pPr>
    </w:p>
    <w:p w14:paraId="4BBA0290" w14:textId="5ACCE210" w:rsidR="00576A90" w:rsidRDefault="00576A90" w:rsidP="00576A90">
      <w:pPr>
        <w:pStyle w:val="TextoNormal"/>
      </w:pPr>
      <w:r w:rsidRPr="00576A90">
        <w:rPr>
          <w:rStyle w:val="NumeroAFNegritaCaracter"/>
        </w:rPr>
        <w:t>1</w:t>
      </w:r>
      <w:r>
        <w:t>. El día 14 de julio de 2023, el procurador de los tribunales don José Julio Navarro Fuentes, en nombre y representación de doña Encarnación Espinosa Jaén, y bajo la dirección letrada de don José Luis Mazón Costa, interpone recurso de reposición contra la diligencia de ordenación del secretario de justicia de la Sección Cuarta del Tribunal Constitucional, fechada el día 10 de julio de 2023 y dictada en el procedimiento propio del recurso de amparo núm. 8273-2022.</w:t>
      </w:r>
    </w:p>
    <w:p w14:paraId="777A337E" w14:textId="77777777" w:rsidR="00576A90" w:rsidRDefault="00576A90" w:rsidP="00576A90">
      <w:pPr>
        <w:pStyle w:val="TextoNormal"/>
      </w:pPr>
    </w:p>
    <w:p w14:paraId="534675CF" w14:textId="77777777" w:rsidR="00576A90" w:rsidRDefault="00576A90" w:rsidP="00576A90">
      <w:pPr>
        <w:pStyle w:val="TextoNormal"/>
      </w:pPr>
      <w:r w:rsidRPr="00576A90">
        <w:rPr>
          <w:rStyle w:val="NumeroAFNegritaCaracter"/>
        </w:rPr>
        <w:t>2</w:t>
      </w:r>
      <w:r>
        <w:t>. Los hechos relevantes para resolver el pretendido recurso de reposición son, sucintamente expuestos, los siguientes:</w:t>
      </w:r>
    </w:p>
    <w:p w14:paraId="3237E9DD" w14:textId="77777777" w:rsidR="00576A90" w:rsidRDefault="00576A90" w:rsidP="00576A90">
      <w:pPr>
        <w:pStyle w:val="TextoNormal"/>
      </w:pPr>
    </w:p>
    <w:p w14:paraId="2A1229C6" w14:textId="77777777" w:rsidR="00576A90" w:rsidRDefault="00576A90" w:rsidP="00576A90">
      <w:pPr>
        <w:pStyle w:val="TextoNormal"/>
      </w:pPr>
      <w:r>
        <w:t xml:space="preserve">a) Mediante escrito registrado en este tribunal el día 14 de diciembre de 2022, el procurador de los tribunales don José Julio Navarro Fuentes, en nombre y representación de doña Encarnación Espinosa Jaén, interpuso recurso de amparo frente al auto de la Sala de lo Social del Tribunal Superior de Justicia de Murcia fechado el 8 de noviembre de 2022 (recurso de suplicación núm. 968-2020) por el que se inadmitía a trámite el incidente de nulidad de actuaciones planteado frente a la sentencia de la Sala de lo Social del Tribunal Superior de Justicia de Murcia de 15 de junio de 2021 (recurso núm. 968-2020), alegando que esta última infringía la doctrina constitucional sobre la intangibilidad de las resoluciones judiciales firmes </w:t>
      </w:r>
      <w:r w:rsidRPr="00576A90">
        <w:rPr>
          <w:i/>
        </w:rPr>
        <w:t>ex</w:t>
      </w:r>
      <w:r>
        <w:t xml:space="preserve"> art. 24.1 y 2 CE, y que el auto resolutorio del incidente de nulidad vulneraba de un lado, el derecho al proceso con todas las garantías, por contener una inadmisión arbitraria del incidente y, de otro, el derecho a la tutela judicial efectiva por la forma en que el art. 241.1 de la Ley Orgánica del Poder Judicial (LOPJ) regula el procedimiento propio del incidente de nulidad.</w:t>
      </w:r>
    </w:p>
    <w:p w14:paraId="4FB9C68F" w14:textId="77777777" w:rsidR="00576A90" w:rsidRDefault="00576A90" w:rsidP="00576A90">
      <w:pPr>
        <w:pStyle w:val="TextoNormal"/>
      </w:pPr>
    </w:p>
    <w:p w14:paraId="79331585" w14:textId="77777777" w:rsidR="00576A90" w:rsidRDefault="00576A90" w:rsidP="00576A90">
      <w:pPr>
        <w:pStyle w:val="TextoNormal"/>
      </w:pPr>
      <w:r>
        <w:t>b) Por diligencia de ordenación fechada el día 16 de diciembre de 2022, el secretario de justicia de la Sección Cuarta de la Sala Segunda de este tribunal comunica que en el asunto reseñado se tiene por recibido el escrito de demanda y los documentos adjuntos.</w:t>
      </w:r>
    </w:p>
    <w:p w14:paraId="63CE35A6" w14:textId="77777777" w:rsidR="00576A90" w:rsidRDefault="00576A90" w:rsidP="00576A90">
      <w:pPr>
        <w:pStyle w:val="TextoNormal"/>
      </w:pPr>
    </w:p>
    <w:p w14:paraId="0DBE8C37" w14:textId="77777777" w:rsidR="00576A90" w:rsidRDefault="00576A90" w:rsidP="00576A90">
      <w:pPr>
        <w:pStyle w:val="TextoNormal"/>
      </w:pPr>
      <w:r>
        <w:lastRenderedPageBreak/>
        <w:t>c) La Sección Cuarta, integrada por la magistrada doña María Luisa Balaguer Callejón (presidenta) y los magistrados don Ramón Sáez Valcárcel y don Enrique Arnaldo Alcubilla, dicta providencia de 4 de julio de 2023 acordando la inadmisión a trámite del recurso de amparo, una vez examinada la demanda y la documentación complementaria, al “no apreciar en el mismo la especial trascendencia constitucional que, como condición para su admisión, requiere el art. 50.1 b) de la Ley Orgánica del Tribunal Constitucional (LOTC) (STC 155/2009, de 25 de junio, FJ 2)”. En la misma providencia se ordena la notificación a la recurrente, con indicación de que “si el Ministerio Fiscal no hubiere interpuesto recurso de súplica en el plazo legal de tres días, se archivarán estas actuaciones sin más trámite (art. 50.3 LOTC)”.</w:t>
      </w:r>
    </w:p>
    <w:p w14:paraId="79C28FCF" w14:textId="77777777" w:rsidR="00576A90" w:rsidRDefault="00576A90" w:rsidP="00576A90">
      <w:pPr>
        <w:pStyle w:val="TextoNormal"/>
      </w:pPr>
    </w:p>
    <w:p w14:paraId="519C4BEE" w14:textId="77777777" w:rsidR="00576A90" w:rsidRDefault="00576A90" w:rsidP="00576A90">
      <w:pPr>
        <w:pStyle w:val="TextoNormal"/>
      </w:pPr>
      <w:r>
        <w:t>d) El día 7 de julio de 2023 tiene entrada en el registro del Tribunal Constitucional un nuevo escrito del procurador de los tribunales don José Julio Navarro Fuentes, en el que, haciendo notar que la providencia de 4 de julio de 2023 está firmada por tres magistrados interesa, al amparo de lo previsto en el art. 203.1 LOPJ, en relación con el art. 453.2 LOPJ, que se expida certificación expresiva de la identidad del ponente del proceso “y autor de la propuesta de inadmisión”, información “que debe hacerse constar ya en la primera resolución que se dicte a tenor del [art.] 203.1 LOPJ”.</w:t>
      </w:r>
    </w:p>
    <w:p w14:paraId="1A665E28" w14:textId="77777777" w:rsidR="00576A90" w:rsidRDefault="00576A90" w:rsidP="00576A90">
      <w:pPr>
        <w:pStyle w:val="TextoNormal"/>
      </w:pPr>
    </w:p>
    <w:p w14:paraId="2F6C459D" w14:textId="77777777" w:rsidR="00576A90" w:rsidRDefault="00576A90" w:rsidP="00576A90">
      <w:pPr>
        <w:pStyle w:val="TextoNormal"/>
      </w:pPr>
      <w:r>
        <w:t>e) Por diligencia de ordenación de 10 de julio de 2023, se tiene por recibido el anterior escrito participando al procurador que los datos del procedimiento pueden ser consultados a través de la sede electrónica del registro telemático del Tribunal Constitucional. Frente a esta resolución se opone el presente recurso de reposición.</w:t>
      </w:r>
    </w:p>
    <w:p w14:paraId="0070B464" w14:textId="77777777" w:rsidR="00576A90" w:rsidRDefault="00576A90" w:rsidP="00576A90">
      <w:pPr>
        <w:pStyle w:val="TextoNormal"/>
      </w:pPr>
    </w:p>
    <w:p w14:paraId="015D0B81" w14:textId="77777777" w:rsidR="00576A90" w:rsidRDefault="00576A90" w:rsidP="00576A90">
      <w:pPr>
        <w:pStyle w:val="TextoNormal"/>
      </w:pPr>
      <w:r>
        <w:t>f) La Sección Cuarta, mediante resolución fechada el día 5 de septiembre de 2023, tiene por recibido el precedente escrito, esto es el recurso de reposición, y teniendo por hechas las manifestaciones pertinentes determina estar a lo acordado.</w:t>
      </w:r>
    </w:p>
    <w:p w14:paraId="2D7E58C6" w14:textId="77777777" w:rsidR="00576A90" w:rsidRDefault="00576A90" w:rsidP="00576A90">
      <w:pPr>
        <w:pStyle w:val="TextoNormal"/>
      </w:pPr>
    </w:p>
    <w:p w14:paraId="07C7021C" w14:textId="4CAA493B" w:rsidR="00576A90" w:rsidRDefault="00576A90" w:rsidP="00576A90">
      <w:pPr>
        <w:pStyle w:val="TextoNormal"/>
      </w:pPr>
      <w:r>
        <w:t>g) Por nuevo escrito de 13 de septiembre de 2023, se interpone recurso de aclaración contra el acuerdo de 5 de septiembre de 2023, al entender que da una respuesta incongruente con el recurso de reposición interpuesto, violando el procedimiento legalmente establecido, por lo que entiende esa parte que se trata de un error que debe ser subsanado, proveyéndose el recurso de reposición interpuesto.</w:t>
      </w:r>
    </w:p>
    <w:p w14:paraId="6B29C49D" w14:textId="77777777" w:rsidR="00576A90" w:rsidRDefault="00576A90" w:rsidP="00576A90">
      <w:pPr>
        <w:pStyle w:val="TextoNormal"/>
      </w:pPr>
    </w:p>
    <w:p w14:paraId="7CB5F03C" w14:textId="77777777" w:rsidR="00576A90" w:rsidRDefault="00576A90" w:rsidP="00576A90">
      <w:pPr>
        <w:pStyle w:val="TextoNormal"/>
      </w:pPr>
      <w:r w:rsidRPr="00576A90">
        <w:rPr>
          <w:rStyle w:val="NumeroAFNegritaCaracter"/>
        </w:rPr>
        <w:t>3</w:t>
      </w:r>
      <w:r>
        <w:t>. La recurrente interpone recurso de reposición contra la diligencia de 10 de julio de 2023 por cuanto entiende que vulnera el derecho de acceso a la identificación del ponente del recurso de amparo deducido del art. 203.1 LOPJ, en la medida en que remite a la sede electrónica, donde no figura la identificación del ponente del amparo y donde no puede acceder el abogado, sino exclusivamente el procurador. Considera esa parte que el diseño de la sede electrónica tiene fallos que comprometen el principio de racionalidad de la propia institución y solicita la reposición de la diligencia de ordenación y la identificación del magistrado ponente del amparo. Añade el escrito que este magistrado o magistrada “hace afirmaciones de inadmisión del amparo contrarias a la evidencia y tiene dicho el Tribunal de Justicia de la Unión Europea que los jueces no pueden quedar fuera de la responsabilidad patrimonial de la Administración por lo que el Tribunal Constitucional es susceptible de ser demandado por ‘anormal funcionamiento’ o ‘dolo o culpa grave’ ante la Sala Tercera del Tribunal Supremo si se da cumplimiento a la jurisprudencia vinculante del Tribunal de Justicia de la Unión Europea”.</w:t>
      </w:r>
    </w:p>
    <w:p w14:paraId="00C21F08" w14:textId="77777777" w:rsidR="00576A90" w:rsidRDefault="00576A90" w:rsidP="00576A90">
      <w:pPr>
        <w:pStyle w:val="TextoNormal"/>
      </w:pPr>
    </w:p>
    <w:p w14:paraId="1920D87D" w14:textId="0FC3E392" w:rsidR="00576A90" w:rsidRDefault="00576A90" w:rsidP="00576A90">
      <w:pPr>
        <w:pStyle w:val="TextoNormal"/>
      </w:pPr>
      <w:r>
        <w:t>Mediante otrosí, el escrito planteando la reposición interesa asimismo el informe efectuado por el letrado a cargo del recurso de amparo, así como su identificación al amparo de lo previsto en el art. 53.1 b) de la Ley 39/2015, de 1 de octubre, de procedimiento administrativo común de las administraciones públicas, que establece la obligación de “identificar a las autoridades y al personal al servicio de las administraciones públicas bajo cuya responsabilidad se tramiten los procedimientos”, por cuanto, en palabras del escrito “el Tribunal Constitucional también es ‘administración del Estado’ susceptible de ser demandada ante la Sala de lo Contencioso-Administrativo del Tribunal Supremo, órgano de control supremo de la faceta gubernativa del Estado”.</w:t>
      </w:r>
    </w:p>
    <w:p w14:paraId="4F59339E" w14:textId="77777777" w:rsidR="00576A90" w:rsidRDefault="00576A90" w:rsidP="00576A90">
      <w:pPr>
        <w:pStyle w:val="TextoNormal"/>
      </w:pPr>
    </w:p>
    <w:p w14:paraId="717F3CAB" w14:textId="58FD01FE" w:rsidR="00576A90" w:rsidRDefault="00576A90" w:rsidP="00576A90">
      <w:pPr>
        <w:pStyle w:val="TextoNormal"/>
      </w:pPr>
      <w:r w:rsidRPr="00576A90">
        <w:rPr>
          <w:rStyle w:val="NumeroAFNegritaCaracter"/>
        </w:rPr>
        <w:t>4</w:t>
      </w:r>
      <w:r>
        <w:t>. Por diligencia de ordenación de 15 de noviembre de 2023 se acordó dar traslado de este escrito al Ministerio Fiscal para que alegara lo que estimase oportuno en el plazo de tres días.</w:t>
      </w:r>
    </w:p>
    <w:p w14:paraId="2F6214D3" w14:textId="77777777" w:rsidR="00576A90" w:rsidRDefault="00576A90" w:rsidP="00576A90">
      <w:pPr>
        <w:pStyle w:val="TextoNormal"/>
      </w:pPr>
    </w:p>
    <w:p w14:paraId="07230B72" w14:textId="35DA926A" w:rsidR="00576A90" w:rsidRDefault="00576A90" w:rsidP="00576A90">
      <w:pPr>
        <w:pStyle w:val="TextoNormal"/>
      </w:pPr>
      <w:r w:rsidRPr="00576A90">
        <w:rPr>
          <w:rStyle w:val="NumeroAFNegritaCaracter"/>
        </w:rPr>
        <w:t>5</w:t>
      </w:r>
      <w:r>
        <w:t>. Por escrito presentado el día 30 de noviembre de 2023 el fiscal formula alegaciones en las que manifiesta, en primer lugar, que no procede aclaración de la providencia (</w:t>
      </w:r>
      <w:r w:rsidRPr="00576A90">
        <w:rPr>
          <w:i/>
        </w:rPr>
        <w:t>sic</w:t>
      </w:r>
      <w:r>
        <w:t xml:space="preserve">) de 5 de septiembre al ser perfectamente claro su sentido. Entiende la fiscalía que hubiera procedido interponer un recurso de súplica </w:t>
      </w:r>
      <w:r w:rsidRPr="00576A90">
        <w:rPr>
          <w:i/>
        </w:rPr>
        <w:t>ex</w:t>
      </w:r>
      <w:r>
        <w:t xml:space="preserve"> art. 93.2 LOTC y que, no habiéndolo hecho así, no es posible entrar a considerar la posible revisión de lo resuelto por la providencia (</w:t>
      </w:r>
      <w:r w:rsidRPr="00576A90">
        <w:rPr>
          <w:i/>
        </w:rPr>
        <w:t>sic</w:t>
      </w:r>
      <w:r>
        <w:t>) de 5 de septiembre.</w:t>
      </w:r>
    </w:p>
    <w:p w14:paraId="5B120092" w14:textId="77777777" w:rsidR="00576A90" w:rsidRDefault="00576A90" w:rsidP="00576A90">
      <w:pPr>
        <w:pStyle w:val="TextoNormal"/>
      </w:pPr>
    </w:p>
    <w:p w14:paraId="14BF8D86" w14:textId="77777777" w:rsidR="00576A90" w:rsidRDefault="00576A90" w:rsidP="00576A90">
      <w:pPr>
        <w:pStyle w:val="TextoNormalNegritaCentrado"/>
        <w:keepNext/>
      </w:pPr>
      <w:r>
        <w:t>II. Fundamentos jurídicos</w:t>
      </w:r>
    </w:p>
    <w:p w14:paraId="334DB99D" w14:textId="05F4A08A" w:rsidR="00576A90" w:rsidRDefault="00576A90" w:rsidP="00576A90">
      <w:pPr>
        <w:pStyle w:val="TextoNormalNegritaCentrado"/>
        <w:keepNext/>
      </w:pPr>
    </w:p>
    <w:p w14:paraId="1D2E26D7" w14:textId="77777777" w:rsidR="00576A90" w:rsidRDefault="00576A90" w:rsidP="00576A90">
      <w:pPr>
        <w:pStyle w:val="TextoNormal"/>
      </w:pPr>
      <w:r w:rsidRPr="00576A90">
        <w:rPr>
          <w:rStyle w:val="NumeroAFNegritaCaracter"/>
        </w:rPr>
        <w:t>1</w:t>
      </w:r>
      <w:r>
        <w:t xml:space="preserve">. </w:t>
      </w:r>
      <w:r w:rsidRPr="00576A90">
        <w:rPr>
          <w:i/>
        </w:rPr>
        <w:t>Resolución del recurso de reposición y de la aclaración subsiguiente</w:t>
      </w:r>
    </w:p>
    <w:p w14:paraId="7AD41878" w14:textId="77777777" w:rsidR="00576A90" w:rsidRDefault="00576A90" w:rsidP="00576A90">
      <w:pPr>
        <w:pStyle w:val="TextoNormal"/>
      </w:pPr>
    </w:p>
    <w:p w14:paraId="7D3DE73B" w14:textId="77777777" w:rsidR="00576A90" w:rsidRDefault="00576A90" w:rsidP="00576A90">
      <w:pPr>
        <w:pStyle w:val="TextoNormal"/>
      </w:pPr>
      <w:r>
        <w:t>El examen de las actuaciones pone de relieve que, en efecto, la resolución de la Sección Cuarta, fechada el 5 de septiembre de 2023, es fruto de un error de apreciación.</w:t>
      </w:r>
    </w:p>
    <w:p w14:paraId="13124E4E" w14:textId="77777777" w:rsidR="00576A90" w:rsidRDefault="00576A90" w:rsidP="00576A90">
      <w:pPr>
        <w:pStyle w:val="TextoNormal"/>
      </w:pPr>
    </w:p>
    <w:p w14:paraId="54BC4CCC" w14:textId="77777777" w:rsidR="00576A90" w:rsidRDefault="00576A90" w:rsidP="00576A90">
      <w:pPr>
        <w:pStyle w:val="TextoNormal"/>
      </w:pPr>
      <w:r>
        <w:t>La resolución manifiesta estarse a lo acordado en referencia a la decisión de inadmisión del recurso de amparo, por cuanto no cabe revisión de la misma salvo que el Ministerio Fiscal plantee recurso de súplica frente a la providencia de inadmisión en el plazo de tres días desde que se notifica la misma (art. 50.3 LOTC). No habiendo sucedido esto en el supuesto que nos ocupa, ante los escritos de la parte que, tal y como se ha descrito en los antecedentes, presuponen la incorrección de la decisión de inadmisión a trámite, la Sección ratificó la decisión de inadmisión declarando que debía estarse a lo acordado.</w:t>
      </w:r>
    </w:p>
    <w:p w14:paraId="2B094FBF" w14:textId="77777777" w:rsidR="00576A90" w:rsidRDefault="00576A90" w:rsidP="00576A90">
      <w:pPr>
        <w:pStyle w:val="TextoNormal"/>
      </w:pPr>
    </w:p>
    <w:p w14:paraId="7EF8FF54" w14:textId="77777777" w:rsidR="00576A90" w:rsidRDefault="00576A90" w:rsidP="00576A90">
      <w:pPr>
        <w:pStyle w:val="TextoNormal"/>
      </w:pPr>
      <w:r>
        <w:t>No obstante, la citada resolución de 5 de septiembre de 2023 no da respuesta adecuada a la petición contenida en el llamado “recurso de reposición” frente a la diligencia de ordenación de 10 de julio de 2023. Por tanto, se tiene por pertinente la aclaración y se procede a dar contestación al escrito mediante el que se impugna la diligencia de ordenación del secretario de justicia de la Sección Cuarta del Tribunal Constitucional fechada el 10 de julio de 2023.</w:t>
      </w:r>
    </w:p>
    <w:p w14:paraId="05B1E2A6" w14:textId="77777777" w:rsidR="00576A90" w:rsidRDefault="00576A90" w:rsidP="00576A90">
      <w:pPr>
        <w:pStyle w:val="TextoNormal"/>
      </w:pPr>
    </w:p>
    <w:p w14:paraId="52F7106A" w14:textId="77777777" w:rsidR="00576A90" w:rsidRDefault="00576A90" w:rsidP="00576A90">
      <w:pPr>
        <w:pStyle w:val="TextoNormal"/>
      </w:pPr>
      <w:r>
        <w:t xml:space="preserve">Antes de proceder a examinar la cuestión de fondo planteada en el escrito, se ha de precisar, siguiendo lo resuelto en los AATC 43/2012, de 9 de marzo, FJ 1; 179/2019, de 16 de diciembre, FJ 1; 106/2020, de 21 de septiembre, FJ 1; 16/2021, de 15 de febrero, FJ 1, y </w:t>
      </w:r>
      <w:r>
        <w:lastRenderedPageBreak/>
        <w:t>6/2023, de 24 de enero, FJ 1, que las diligencias de ordenación dictadas por los secretarios de justicia del Tribunal Constitucional no son recurribles en reposición ante el propio secretario de justicia que las haya dictado, sin perjuicio de que puedan ser revisables por la correspondiente Sección de este tribunal o, en su caso, por las salas o el Pleno.</w:t>
      </w:r>
    </w:p>
    <w:p w14:paraId="36A7DCB1" w14:textId="77777777" w:rsidR="00576A90" w:rsidRDefault="00576A90" w:rsidP="00576A90">
      <w:pPr>
        <w:pStyle w:val="TextoNormal"/>
      </w:pPr>
    </w:p>
    <w:p w14:paraId="132798B7" w14:textId="55EE535D" w:rsidR="00576A90" w:rsidRDefault="00576A90" w:rsidP="00576A90">
      <w:pPr>
        <w:pStyle w:val="TextoNormal"/>
      </w:pPr>
      <w:r>
        <w:t>En consecuencia, no procede el recurso de reposición que la representación de doña Encarnación Espinosa Jaén pretende interponer contra la diligencia de ordenación de 5 de septiembre de 2023, lo que no impide que abordemos la pretensión que se formula en dicho recurso como una petición de revisión por este tribunal de lo acordado por el secretario de justicia de la Sección pues, en último término, cualquiera que sea la denominación o veste otorgada al escrito presentado hay que atender, siguiendo un criterio antiformalista, a lo que en el mismo se interesa, que no es sino una revisión de lo acordado en la diligencia de ordenación, para que sea dejada sin efecto.</w:t>
      </w:r>
    </w:p>
    <w:p w14:paraId="52BB509D" w14:textId="77777777" w:rsidR="00576A90" w:rsidRDefault="00576A90" w:rsidP="00576A90">
      <w:pPr>
        <w:pStyle w:val="TextoNormal"/>
      </w:pPr>
    </w:p>
    <w:p w14:paraId="3AFF48A7" w14:textId="77777777" w:rsidR="00576A90" w:rsidRDefault="00576A90" w:rsidP="00576A90">
      <w:pPr>
        <w:pStyle w:val="TextoNormal"/>
      </w:pPr>
      <w:r w:rsidRPr="00576A90">
        <w:rPr>
          <w:rStyle w:val="NumeroAFNegritaCaracter"/>
        </w:rPr>
        <w:t>2</w:t>
      </w:r>
      <w:r>
        <w:t xml:space="preserve">. </w:t>
      </w:r>
      <w:r w:rsidRPr="00576A90">
        <w:rPr>
          <w:i/>
        </w:rPr>
        <w:t>Examen del recurso de reposición en lo que hace a la solicitud del nombre del ponente del recurso de amparo núm. 8273-2022</w:t>
      </w:r>
    </w:p>
    <w:p w14:paraId="1ACB489D" w14:textId="77777777" w:rsidR="00576A90" w:rsidRDefault="00576A90" w:rsidP="00576A90">
      <w:pPr>
        <w:pStyle w:val="TextoNormal"/>
      </w:pPr>
    </w:p>
    <w:p w14:paraId="615571AB" w14:textId="77777777" w:rsidR="00576A90" w:rsidRDefault="00576A90" w:rsidP="00576A90">
      <w:pPr>
        <w:pStyle w:val="TextoNormal"/>
      </w:pPr>
      <w:r>
        <w:t>Según el acuerdo de 17 de enero de 2023, del Pleno del Tribunal Constitucional, por el que se dispone la composición de las Salas y Secciones del Tribunal Constitucional, la Sección Cuarta del mismo, presidida por doña María Luisa Balaguer Callejón, está integrada además por don Ramón Sáez Valcárcel y don Enrique Arnaldo Alcubilla. Dicha composición es pública desde la inserción del acuerdo en el “Boletín Oficial del Estado”, de 19 de enero de 2023.</w:t>
      </w:r>
    </w:p>
    <w:p w14:paraId="01DD2C6B" w14:textId="77777777" w:rsidR="00576A90" w:rsidRDefault="00576A90" w:rsidP="00576A90">
      <w:pPr>
        <w:pStyle w:val="TextoNormal"/>
      </w:pPr>
    </w:p>
    <w:p w14:paraId="188C4BDE" w14:textId="77777777" w:rsidR="00576A90" w:rsidRDefault="00576A90" w:rsidP="00576A90">
      <w:pPr>
        <w:pStyle w:val="TextoNormal"/>
      </w:pPr>
      <w:r>
        <w:t>El art. 3 del acuerdo establece que “[l]os magistrados conservarán las ponencias que tuvieren asignadas, cualquiera que sea la clase y fase en que se encuentre el proceso y de que su conocimiento competa al Pleno, a las salas o a las secciones”. El recurso de amparo que ahora nos ocupa se mantiene, por tanto, en la Sección Cuarta, y según las normas de reparto aprobadas por el Pleno, le corresponde la ponencia del recurso de amparo núm. 8273-2022 al magistrado señor Sáez Valcárcel.</w:t>
      </w:r>
    </w:p>
    <w:p w14:paraId="1F5C32CB" w14:textId="77777777" w:rsidR="00576A90" w:rsidRDefault="00576A90" w:rsidP="00576A90">
      <w:pPr>
        <w:pStyle w:val="TextoNormal"/>
      </w:pPr>
    </w:p>
    <w:p w14:paraId="6C5D487F" w14:textId="77777777" w:rsidR="00576A90" w:rsidRDefault="00576A90" w:rsidP="00576A90">
      <w:pPr>
        <w:pStyle w:val="TextoNormal"/>
      </w:pPr>
      <w:r>
        <w:t>Estas normas se deducen de la lectura conjunta de los acuerdos del Pleno del Tribunal Constitucional de 14 de julio de 1980 (sobre la resolución de normas para designación de magistrados ponentes) y de 13 de julio de 1981 (sobre reparto de asuntos entre las salas). En ellos se establece que los recursos de amparo se reparten alternativamente entre ambas salas, y dentro de estas por turno sucesivo entre los componentes de cada una de las dos secciones que las integran, siguiendo el orden de antigüedad y, en caso de igual antigüedad, comenzando por el magistrado de menor edad.</w:t>
      </w:r>
    </w:p>
    <w:p w14:paraId="5E8C76CE" w14:textId="77777777" w:rsidR="00576A90" w:rsidRDefault="00576A90" w:rsidP="00576A90">
      <w:pPr>
        <w:pStyle w:val="TextoNormal"/>
      </w:pPr>
    </w:p>
    <w:p w14:paraId="65414CEA" w14:textId="6BF67FC0" w:rsidR="00576A90" w:rsidRDefault="00576A90" w:rsidP="00576A90">
      <w:pPr>
        <w:pStyle w:val="TextoNormal"/>
      </w:pPr>
      <w:r>
        <w:t>Sin perjuicio de dicha atribución, del art. 50 LOTC se deriva claramente que la decisión sobre la admisión a trámite es total y absolutamente colegiada. Es la Sección, por unanimidad de sus miembros, la que acuerda mediante providencia la admisión en todo o en parte del recurso y en caso de que uno de los tres magistrados integrantes de la Sección se oponga a la admisión a trámite, entonces el asunto será trasladado a la Sala para que sea esta la que adopte una decisión sobre su admisibilidad, en este caso por mayoría de sus miembros. Por tanto, cuando un recurso de amparo se inadmite a trámite, independientemente de la posición del ponente, esta decisión es resultado de una posición colegiada. En el caso concreto que ahora nos ocupa, la Sección ha entendido que el contenido del recur</w:t>
      </w:r>
      <w:r>
        <w:lastRenderedPageBreak/>
        <w:t>so no justifica una decisión sobre el fondo por parte del Tribunal Constitucional por carecer de especial trascendencia constitucional y por tanto no concurre uno de los requisitos de admisibilidad previstos en el art. 50.1, apartados a) y b), LOTC.</w:t>
      </w:r>
    </w:p>
    <w:p w14:paraId="61FA1624" w14:textId="77777777" w:rsidR="00576A90" w:rsidRDefault="00576A90" w:rsidP="00576A90">
      <w:pPr>
        <w:pStyle w:val="TextoNormal"/>
      </w:pPr>
    </w:p>
    <w:p w14:paraId="64387478" w14:textId="77777777" w:rsidR="00576A90" w:rsidRDefault="00576A90" w:rsidP="00576A90">
      <w:pPr>
        <w:pStyle w:val="TextoNormal"/>
      </w:pPr>
      <w:r w:rsidRPr="00576A90">
        <w:rPr>
          <w:rStyle w:val="NumeroAFNegritaCaracter"/>
        </w:rPr>
        <w:t>3</w:t>
      </w:r>
      <w:r>
        <w:t xml:space="preserve">. </w:t>
      </w:r>
      <w:r w:rsidRPr="00576A90">
        <w:rPr>
          <w:i/>
        </w:rPr>
        <w:t>Examen del recurso de reposición en lo que hace a la solicitud del informe del letrado o letrada informante en el trámite de admisibilidad del recurso de amparo núm. 8273-2022</w:t>
      </w:r>
    </w:p>
    <w:p w14:paraId="766C8062" w14:textId="77777777" w:rsidR="00576A90" w:rsidRDefault="00576A90" w:rsidP="00576A90">
      <w:pPr>
        <w:pStyle w:val="TextoNormal"/>
      </w:pPr>
    </w:p>
    <w:p w14:paraId="551894C9" w14:textId="77777777" w:rsidR="00576A90" w:rsidRDefault="00576A90" w:rsidP="00576A90">
      <w:pPr>
        <w:pStyle w:val="TextoNormal"/>
      </w:pPr>
      <w:r>
        <w:t>Según dispone el art. 44.2 del acuerdo de 5 de julio de 1990, del Pleno del Tribunal Constitucional, por el que se aprueba el Reglamento de organización y personal del Tribunal Constitucional (“Boletín Oficial del Estado” núm. 185, de 3 de agosto de 1990), los letrados y letradas al servicio del Tribunal Constitucional desempeñan funciones de estudio, informe o asesoramiento, que les son encomendadas en las materias de las que conoce el Tribunal. Eventualmente también pueden realizar funciones administrativas de nivel superior de no asignarse estas a otros funcionarios al servicio del Tribunal que reúnan la cualificación necesaria, pero en ningún caso está previsto que realicen funciones jurisdiccionales.</w:t>
      </w:r>
    </w:p>
    <w:p w14:paraId="3FE46AA8" w14:textId="77777777" w:rsidR="00576A90" w:rsidRDefault="00576A90" w:rsidP="00576A90">
      <w:pPr>
        <w:pStyle w:val="TextoNormal"/>
      </w:pPr>
    </w:p>
    <w:p w14:paraId="471250D0" w14:textId="77777777" w:rsidR="00576A90" w:rsidRDefault="00576A90" w:rsidP="00576A90">
      <w:pPr>
        <w:pStyle w:val="TextoNormal"/>
      </w:pPr>
      <w:r>
        <w:t>Por tanto, los informes que realizan los letrados y letradas del Tribunal en el marco de los procesos constitucionales son ajenos a la documentación jurisdiccional y, por esa razón, quedan fuera de las actuaciones jurisdiccionales a las que pueden tener acceso las partes en el procedimiento constitucional.</w:t>
      </w:r>
    </w:p>
    <w:p w14:paraId="071D787A" w14:textId="77777777" w:rsidR="00576A90" w:rsidRDefault="00576A90" w:rsidP="00576A90">
      <w:pPr>
        <w:pStyle w:val="TextoNormal"/>
      </w:pPr>
    </w:p>
    <w:p w14:paraId="188E050A" w14:textId="77777777" w:rsidR="00576A90" w:rsidRDefault="00576A90" w:rsidP="00576A90">
      <w:pPr>
        <w:pStyle w:val="TextoNormal"/>
      </w:pPr>
      <w:r>
        <w:t>Estos informes, de uso estrictamente interno a la labor del Tribunal, tampoco son documentación accesible en aplicación de lo previsto en la Ley 19/2013, de 9 de diciembre, de transparencia, acceso a la información pública y buen gobierno (Ley de transparencia), ya que quedarían dentro de las previsiones del art. 18 de dicha disposición legal, concerniente a las causas de inadmisión. Este precepto, en su apartado 1 b) establece que se inadmitirán a trámite, mediante resolución motivada, las solicitudes “(r)eferidas a información que tenga carácter auxiliar o de apoyo como la contenida en notas, borradores, opiniones, resúmenes, comunicaciones e informes internos o entre órganos o entidades administrativas”.</w:t>
      </w:r>
    </w:p>
    <w:p w14:paraId="695A1CAF" w14:textId="77777777" w:rsidR="00576A90" w:rsidRDefault="00576A90" w:rsidP="00576A90">
      <w:pPr>
        <w:pStyle w:val="TextoNormal"/>
      </w:pPr>
    </w:p>
    <w:p w14:paraId="662C9C85" w14:textId="5C13990B" w:rsidR="00576A90" w:rsidRDefault="00576A90" w:rsidP="00576A90">
      <w:pPr>
        <w:pStyle w:val="TextoNormal"/>
      </w:pPr>
      <w:r>
        <w:t>En este caso, y sin perjuicio de que el procedimiento de solicitud de la información requerida no se ajuste a las previsiones de la Ley de transparencia, ha de desestimarse la solicitud efectuada mediante otrosí, en el escrito de reposición porque el documento requerido se clasifica como de apoyo a la toma de decisiones de la Sección en relación con la admisibilidad del recurso de amparo.</w:t>
      </w:r>
    </w:p>
    <w:p w14:paraId="289AE1D1" w14:textId="77777777" w:rsidR="00576A90" w:rsidRDefault="00576A90" w:rsidP="00576A90">
      <w:pPr>
        <w:pStyle w:val="TextoNormal"/>
      </w:pPr>
    </w:p>
    <w:p w14:paraId="6638E27F" w14:textId="77777777" w:rsidR="00576A90" w:rsidRDefault="00576A90" w:rsidP="00576A90">
      <w:pPr>
        <w:pStyle w:val="TextoNormal"/>
      </w:pPr>
      <w:r>
        <w:t>Por lo expuesto, la Sección</w:t>
      </w:r>
    </w:p>
    <w:p w14:paraId="2CE517F2" w14:textId="7F687AB8" w:rsidR="00576A90" w:rsidRDefault="00576A90" w:rsidP="00576A90">
      <w:pPr>
        <w:pStyle w:val="TextoNormal"/>
      </w:pPr>
    </w:p>
    <w:p w14:paraId="4E72A155" w14:textId="77777777" w:rsidR="00576A90" w:rsidRDefault="00576A90" w:rsidP="00576A90">
      <w:pPr>
        <w:pStyle w:val="TextoNormalCentrado"/>
      </w:pPr>
      <w:r>
        <w:t>ACUERDA</w:t>
      </w:r>
    </w:p>
    <w:p w14:paraId="10747593" w14:textId="5ECF36B5" w:rsidR="00576A90" w:rsidRDefault="00576A90" w:rsidP="00576A90">
      <w:pPr>
        <w:pStyle w:val="TextoNormalCentrado"/>
      </w:pPr>
    </w:p>
    <w:p w14:paraId="281DE99F" w14:textId="77777777" w:rsidR="00576A90" w:rsidRDefault="00576A90" w:rsidP="00576A90">
      <w:pPr>
        <w:pStyle w:val="TextoNormal"/>
      </w:pPr>
      <w:r>
        <w:t>1º Comunicar a la representación letrada de doña Encarnación Espinosa Jaén que el magistrado ponente del recurso de amparo núm. 8273-2022 es don Ramón Sáez Valcárcel, y que la decisión de inadmisión a trámite de dicho recurso ha sido adoptada, de forma colegiada, por la Sección Cuarta del Tribunal Constitucional.</w:t>
      </w:r>
    </w:p>
    <w:p w14:paraId="53697DD8" w14:textId="77777777" w:rsidR="00576A90" w:rsidRDefault="00576A90" w:rsidP="00576A90">
      <w:pPr>
        <w:pStyle w:val="TextoNormal"/>
      </w:pPr>
    </w:p>
    <w:p w14:paraId="3CCA32FC" w14:textId="110D99D1" w:rsidR="00576A90" w:rsidRDefault="00576A90" w:rsidP="00576A90">
      <w:pPr>
        <w:pStyle w:val="TextoNormal"/>
      </w:pPr>
      <w:r>
        <w:t>2º Rechazar la solicitud de entrega del informe del letrado o letrada informante en el trámite de admisibilidad del recurso de amparo núm. 8273-2022.</w:t>
      </w:r>
    </w:p>
    <w:p w14:paraId="1727E984" w14:textId="77777777" w:rsidR="00576A90" w:rsidRDefault="00576A90" w:rsidP="00576A90">
      <w:pPr>
        <w:pStyle w:val="TextoNormal"/>
      </w:pPr>
    </w:p>
    <w:p w14:paraId="045B4624" w14:textId="77777777" w:rsidR="00576A90" w:rsidRDefault="00576A90" w:rsidP="00576A90">
      <w:pPr>
        <w:pStyle w:val="TextoNormal"/>
      </w:pPr>
      <w:r>
        <w:t>Madrid, a cinco de febrero de dos mil veinticuatro.</w:t>
      </w:r>
    </w:p>
    <w:p w14:paraId="4AE11AAC" w14:textId="4C5D290C" w:rsidR="00576A90" w:rsidRDefault="00576A90">
      <w:pPr>
        <w:spacing w:after="160" w:line="259" w:lineRule="auto"/>
        <w:rPr>
          <w:rFonts w:ascii="Times New Roman" w:eastAsia="Times New Roman" w:hAnsi="Times New Roman" w:cs="Times New Roman"/>
          <w:sz w:val="24"/>
          <w:szCs w:val="24"/>
          <w:lang w:eastAsia="es-ES"/>
        </w:rPr>
      </w:pPr>
      <w:r>
        <w:br w:type="page"/>
      </w:r>
    </w:p>
    <w:p w14:paraId="538253DE" w14:textId="77777777" w:rsidR="00576A90" w:rsidRDefault="00576A90" w:rsidP="00576A90">
      <w:pPr>
        <w:pStyle w:val="TtuloResolucin"/>
      </w:pPr>
      <w:bookmarkStart w:id="104" w:name="AUTO_2024_9"/>
      <w:r>
        <w:lastRenderedPageBreak/>
        <w:t>AUTO 9/2024, de 12 de febrero de 2024</w:t>
      </w:r>
    </w:p>
    <w:bookmarkEnd w:id="104"/>
    <w:p w14:paraId="53CA58DD" w14:textId="77777777" w:rsidR="00576A90" w:rsidRDefault="00576A90" w:rsidP="00576A90">
      <w:pPr>
        <w:pStyle w:val="TtuloResolucin"/>
      </w:pPr>
      <w:r>
        <w:t>Sala Segunda</w:t>
      </w:r>
    </w:p>
    <w:p w14:paraId="0EC836FC" w14:textId="77777777" w:rsidR="00576A90" w:rsidRDefault="00576A90" w:rsidP="00576A90">
      <w:pPr>
        <w:pStyle w:val="TextoNormalCentrado"/>
      </w:pPr>
      <w:r>
        <w:t>ECLI:ES:TC:2024:9A</w:t>
      </w:r>
    </w:p>
    <w:p w14:paraId="7CA9B1E1" w14:textId="376091DA" w:rsidR="00576A90" w:rsidRDefault="00576A90" w:rsidP="00576A90">
      <w:pPr>
        <w:pStyle w:val="TextoNormalCentrado"/>
      </w:pPr>
    </w:p>
    <w:p w14:paraId="71D7659B" w14:textId="77777777" w:rsidR="00576A90" w:rsidRDefault="00576A90" w:rsidP="00576A90">
      <w:pPr>
        <w:pStyle w:val="SntesisDescriptiva"/>
      </w:pPr>
      <w:r>
        <w:t>Excms. Srs. doña Inmaculada Montalbán Huertas, doña María Luisa Balaguer Callejón, don Ramón Sáez Valcárcel, don Enrique Arnaldo Alcubilla, don César Tolosa Tribiño y doña Laura Díez Bueso.</w:t>
      </w:r>
    </w:p>
    <w:p w14:paraId="585AA7BB" w14:textId="28E199D6" w:rsidR="00576A90" w:rsidRDefault="00576A90" w:rsidP="00576A90">
      <w:pPr>
        <w:pStyle w:val="SntesisDescriptiva"/>
      </w:pPr>
    </w:p>
    <w:p w14:paraId="75A70731" w14:textId="77777777" w:rsidR="00576A90" w:rsidRDefault="00576A90" w:rsidP="00576A90">
      <w:pPr>
        <w:pStyle w:val="SntesisDescriptiva"/>
      </w:pPr>
      <w:r>
        <w:t>Inadmite la solicitud de ejecución de la STC 69/2023, de 19 de junio, dictada en el recurso de amparo 3444-2020, promovida por el Ayuntamiento de Villanueva de Sijena (Huesca) en causa penal.</w:t>
      </w:r>
    </w:p>
    <w:p w14:paraId="0C4C7DBD" w14:textId="6D807F78" w:rsidR="00576A90" w:rsidRDefault="00576A90" w:rsidP="00576A90">
      <w:pPr>
        <w:pStyle w:val="SntesisDescriptiva"/>
      </w:pPr>
    </w:p>
    <w:p w14:paraId="39B8F15F" w14:textId="77777777" w:rsidR="00576A90" w:rsidRDefault="00576A90" w:rsidP="00576A90">
      <w:pPr>
        <w:pStyle w:val="SntesisDescriptiva"/>
      </w:pPr>
    </w:p>
    <w:p w14:paraId="25181CB4" w14:textId="77777777" w:rsidR="00576A90" w:rsidRDefault="00576A90" w:rsidP="00576A90">
      <w:pPr>
        <w:pStyle w:val="SntesisDescriptiva"/>
      </w:pPr>
    </w:p>
    <w:p w14:paraId="4CD09BA3" w14:textId="77777777" w:rsidR="00576A90" w:rsidRDefault="00576A90" w:rsidP="00576A90">
      <w:pPr>
        <w:pStyle w:val="TextoNormalNegritaCentrado"/>
      </w:pPr>
      <w:r>
        <w:t>AUTO</w:t>
      </w:r>
    </w:p>
    <w:p w14:paraId="73A8CA0E" w14:textId="2D5C6662" w:rsidR="00576A90" w:rsidRDefault="00576A90" w:rsidP="00576A90">
      <w:pPr>
        <w:pStyle w:val="TextoNormalNegritaCentrado"/>
      </w:pPr>
    </w:p>
    <w:p w14:paraId="521C55D1" w14:textId="77777777" w:rsidR="00576A90" w:rsidRDefault="00576A90" w:rsidP="00576A90">
      <w:pPr>
        <w:pStyle w:val="TextoNormalNegritaCentrado"/>
        <w:keepNext/>
      </w:pPr>
      <w:r>
        <w:t>I. Antecedentes</w:t>
      </w:r>
    </w:p>
    <w:p w14:paraId="75A573FB" w14:textId="675F67C1" w:rsidR="00576A90" w:rsidRDefault="00576A90" w:rsidP="00576A90">
      <w:pPr>
        <w:pStyle w:val="TextoNormalNegritaCentrado"/>
        <w:keepNext/>
      </w:pPr>
    </w:p>
    <w:p w14:paraId="533E4C66" w14:textId="59A00F19" w:rsidR="00576A90" w:rsidRDefault="00576A90" w:rsidP="00576A90">
      <w:pPr>
        <w:pStyle w:val="TextoNormal"/>
      </w:pPr>
      <w:r w:rsidRPr="00576A90">
        <w:rPr>
          <w:rStyle w:val="NumeroAFNegritaCaracter"/>
        </w:rPr>
        <w:t>1</w:t>
      </w:r>
      <w:r>
        <w:t>. Mediante escrito registrado en este tribunal el día 22 de enero de 2024, el abogado don Jorge Fernando Español Fumanal, en representación del Ayuntamiento de Villanueva de Sijena (Huesca), promovió incidente de ejecución de la STC 69/2023, de 19 de junio, dictada por la Sala Segunda del Tribunal en el recurso de amparo núm. 3444-2020 y solicitó la nulidad del auto de la Sala de lo Civil y Penal del Tribunal Superior de Justicia de Cataluña de 18 de enero de 2024, dictado en el procedimiento abreviado núm. 1-2023.</w:t>
      </w:r>
    </w:p>
    <w:p w14:paraId="6A3303D9" w14:textId="77777777" w:rsidR="00576A90" w:rsidRDefault="00576A90" w:rsidP="00576A90">
      <w:pPr>
        <w:pStyle w:val="TextoNormal"/>
      </w:pPr>
    </w:p>
    <w:p w14:paraId="4ECE981A" w14:textId="77777777" w:rsidR="00576A90" w:rsidRDefault="00576A90" w:rsidP="00576A90">
      <w:pPr>
        <w:pStyle w:val="TextoNormal"/>
      </w:pPr>
      <w:r w:rsidRPr="00576A90">
        <w:rPr>
          <w:rStyle w:val="NumeroAFNegritaCaracter"/>
        </w:rPr>
        <w:t>2</w:t>
      </w:r>
      <w:r>
        <w:t>. Los hechos de los que trae causa el incidente de ejecución son, en síntesis, los siguientes:</w:t>
      </w:r>
    </w:p>
    <w:p w14:paraId="3D27E3D8" w14:textId="77777777" w:rsidR="00576A90" w:rsidRDefault="00576A90" w:rsidP="00576A90">
      <w:pPr>
        <w:pStyle w:val="TextoNormal"/>
      </w:pPr>
    </w:p>
    <w:p w14:paraId="6C8B9CCC" w14:textId="77777777" w:rsidR="00576A90" w:rsidRDefault="00576A90" w:rsidP="00576A90">
      <w:pPr>
        <w:pStyle w:val="TextoNormal"/>
      </w:pPr>
      <w:r>
        <w:t>a) Por esta sala se dictó la STC 69/2023, en la que estimando el recurso de amparo interpuesto por don Lluís Puig Gordi, declaró vulnerado el derecho fundamental del demandante de amparo a la presunción de inocencia y acordó la nulidad de los autos de 5 de diciembre de 2019, 8 de enero y 25 de febrero de 2020, del Juzgado de Primera Instancia e Instrucción núm. 3 de Huesca, así como del auto de 11 de febrero de 2020, de la Sección Única de la Audiencia Provincial de Huesca. Asimismo, acordó retrotraer las actuaciones al momento inmediatamente anterior al dictado de la primera de esas resoluciones para que el órgano judicial dictara una nueva resolución que sea respetuosa con el derecho fundamental vulnerado.</w:t>
      </w:r>
    </w:p>
    <w:p w14:paraId="1D26A5A4" w14:textId="77777777" w:rsidR="00576A90" w:rsidRDefault="00576A90" w:rsidP="00576A90">
      <w:pPr>
        <w:pStyle w:val="TextoNormal"/>
      </w:pPr>
    </w:p>
    <w:p w14:paraId="184FD462" w14:textId="77777777" w:rsidR="00576A90" w:rsidRDefault="00576A90" w:rsidP="00576A90">
      <w:pPr>
        <w:pStyle w:val="TextoNormal"/>
      </w:pPr>
      <w:r>
        <w:t>La anulación de los autos se sustentó exclusivamente en que el auto de apertura del juicio oral y los que lo confirmaron, al pretender garantizar el cumplimiento de la pena de multa, vulneraron la presunción de inocencia (art. 24.2 CE).</w:t>
      </w:r>
    </w:p>
    <w:p w14:paraId="37A11388" w14:textId="77777777" w:rsidR="00576A90" w:rsidRDefault="00576A90" w:rsidP="00576A90">
      <w:pPr>
        <w:pStyle w:val="TextoNormal"/>
      </w:pPr>
    </w:p>
    <w:p w14:paraId="40140F70" w14:textId="77777777" w:rsidR="00576A90" w:rsidRDefault="00576A90" w:rsidP="00576A90">
      <w:pPr>
        <w:pStyle w:val="TextoNormal"/>
      </w:pPr>
      <w:r>
        <w:t xml:space="preserve">b) Previamente a la STC 69/2023, como consecuencia de la adquisición sobrevenida de la condición de diputado de don Lluís Puig Gordi, el Juzgado de lo Penal núm. 1 de Huesca acordó, con fecha 5 de octubre de 2022, elevar una exposición razonada a la Sala de lo Penal del Tribunal Supremo al considerar que había perdido la competencia objetiva para </w:t>
      </w:r>
      <w:r>
        <w:lastRenderedPageBreak/>
        <w:t>el enjuiciamiento de don Lluís Puig Gordi, por tener los diputados del Parlamento de Cataluña el fuero procesal especial que constituye el aforamiento.</w:t>
      </w:r>
    </w:p>
    <w:p w14:paraId="2CD495EC" w14:textId="77777777" w:rsidR="00576A90" w:rsidRDefault="00576A90" w:rsidP="00576A90">
      <w:pPr>
        <w:pStyle w:val="TextoNormal"/>
      </w:pPr>
    </w:p>
    <w:p w14:paraId="6F7AFECE" w14:textId="77777777" w:rsidR="00576A90" w:rsidRDefault="00576A90" w:rsidP="00576A90">
      <w:pPr>
        <w:pStyle w:val="TextoNormal"/>
      </w:pPr>
      <w:r>
        <w:t>El auto de la Sala de lo Penal del Tribunal Supremo de 20 de diciembre de 2022 declaró la competencia del Tribunal Superior de Justicia de Cataluña para el conocimiento de los hechos que se atribuían exclusivamente a don Lluís Puig Gordi.</w:t>
      </w:r>
    </w:p>
    <w:p w14:paraId="531BCECB" w14:textId="77777777" w:rsidR="00576A90" w:rsidRDefault="00576A90" w:rsidP="00576A90">
      <w:pPr>
        <w:pStyle w:val="TextoNormal"/>
      </w:pPr>
    </w:p>
    <w:p w14:paraId="78E36430" w14:textId="77777777" w:rsidR="00576A90" w:rsidRDefault="00576A90" w:rsidP="00576A90">
      <w:pPr>
        <w:pStyle w:val="TextoNormal"/>
      </w:pPr>
      <w:r>
        <w:t>c) En cumplimiento de dicha resolución, la Sala de lo Civil y Penal del Tribunal Superior de Justicia de Cataluña, por auto de 4 de diciembre de 2023, declaró la nulidad de todas las actuaciones referidas exclusivamente a don Lluís Puig Gordi, a partir del auto de 27 de junio de 2019, este incluido, del Juzgado de Primera Instancia e Instrucción núm. 3 de Huesca, por tanto, más allá de lo acordado por nuestra sentencia. Asimismo, se dispuso la incoación de las correspondientes diligencias previas a fin de investigar los hechos atribuidos a don Lluís Puig Gordi y designó magistrado instructor “para que adopte las resoluciones que correspondan en Derecho en relación con dicha investigación y con el pleno cumplimiento de lo dispuesto por el Tribunal Constitucional en su STC 69/2023, de 19 junio”.</w:t>
      </w:r>
    </w:p>
    <w:p w14:paraId="5804D790" w14:textId="77777777" w:rsidR="00576A90" w:rsidRDefault="00576A90" w:rsidP="00576A90">
      <w:pPr>
        <w:pStyle w:val="TextoNormal"/>
      </w:pPr>
    </w:p>
    <w:p w14:paraId="2A18726A" w14:textId="77777777" w:rsidR="00576A90" w:rsidRDefault="00576A90" w:rsidP="00576A90">
      <w:pPr>
        <w:pStyle w:val="TextoNormal"/>
      </w:pPr>
      <w:r>
        <w:t>d) Contra dicha resolución, interpusieron recursos de súplica la representación de don Lluís Puig Gordi que pretendía limitar la nulidad de actuaciones desde el auto de 5 de diciembre de 2019 y no a un momento anterior y también la acusación particular ejercida por el Ayuntamiento de Villanueva de Sijena que consideraba que el órgano judicial que debía ejecutar la STC 69/2023 era el Juzgado de Instrucción núm. 3 de Huesca y quien debía enjuiciar el delito era el Juzgado de lo Penal de Huesca, al considerar que el delito se había cometido en el Monasterio de Sijena, lugar al que debían ser devueltos los bienes.</w:t>
      </w:r>
    </w:p>
    <w:p w14:paraId="5DEB0BBB" w14:textId="77777777" w:rsidR="00576A90" w:rsidRDefault="00576A90" w:rsidP="00576A90">
      <w:pPr>
        <w:pStyle w:val="TextoNormal"/>
      </w:pPr>
    </w:p>
    <w:p w14:paraId="70FE165D" w14:textId="77777777" w:rsidR="00576A90" w:rsidRDefault="00576A90" w:rsidP="00576A90">
      <w:pPr>
        <w:pStyle w:val="TextoNormal"/>
      </w:pPr>
      <w:r>
        <w:t>e) Por auto de la Sala de lo Civil y Penal del Tribunal Superior de Justicia de Cataluña de 18 de enero de 2024 —contra el que se plantea el incidente de ejecución—, en lo que ahora interesa, se desestimó el recurso de súplica interpuesto por el Ayuntamiento de Villanueva de Sijena.</w:t>
      </w:r>
    </w:p>
    <w:p w14:paraId="2A77FD24" w14:textId="77777777" w:rsidR="00576A90" w:rsidRDefault="00576A90" w:rsidP="00576A90">
      <w:pPr>
        <w:pStyle w:val="TextoNormal"/>
      </w:pPr>
    </w:p>
    <w:p w14:paraId="46910AE4" w14:textId="7D0C91B9" w:rsidR="00576A90" w:rsidRDefault="00576A90" w:rsidP="00576A90">
      <w:pPr>
        <w:pStyle w:val="TextoNormal"/>
      </w:pPr>
      <w:r>
        <w:t>En la fundamentación se indica que “el único tribunal competente en el actual estado de las actuaciones para dar cumplimiento a lo dispuesto por el Tribunal Constitucional en su STC 69/2023 es, precisamente, esta sala, teniendo en cuenta, por un lado, que el Juzgado de Instrucción núm. 3 de Huesca no podría disponer la apertura del juicio oral contra el Iltre. don Lluís Puig i Gordi, por no ser competente en ningún caso para instruir una causa penal contra un diputado en activo del Parlament de Catalunya, y, por otro lado, que en la resolución del Tribunal Constitucional no se ha dispuesto nada respecto a lo decidido en firme por el Tribunal Supremo en su auto de 20 de diciembre de 2022, debiendo entenderse la expresión ‘órgano judicial’ de la parte dispositiva de la STC 69/2023 referida al que resulte competente en atención a las normas procesales que fueren de aplicación”.</w:t>
      </w:r>
    </w:p>
    <w:p w14:paraId="65EA037F" w14:textId="77777777" w:rsidR="00576A90" w:rsidRDefault="00576A90" w:rsidP="00576A90">
      <w:pPr>
        <w:pStyle w:val="TextoNormal"/>
      </w:pPr>
    </w:p>
    <w:p w14:paraId="187A3E55" w14:textId="77777777" w:rsidR="00576A90" w:rsidRDefault="00576A90" w:rsidP="00576A90">
      <w:pPr>
        <w:pStyle w:val="TextoNormal"/>
      </w:pPr>
      <w:r w:rsidRPr="00576A90">
        <w:rPr>
          <w:rStyle w:val="NumeroAFNegritaCaracter"/>
        </w:rPr>
        <w:t>3</w:t>
      </w:r>
      <w:r>
        <w:t xml:space="preserve">. En el escrito por el que se promueve el incidente de ejecución, la representación del Ayuntamiento de Villanueva de Sijena considera que el órgano judicial que debe ejecutar el fallo de la STC 69/2023 es el Juzgado de Instrucción núm. 3 de Huesca, a quien le ha sido notificada la referida sentencia. Reprocha al referido auto del Tribunal Supremo que hubiera atribuido la competencia para el enjuiciamiento al Tribunal Superior de Justicia de Cataluña, y le atribuye “un gravísimo error” porque se trata de un delito de resultado cuyo </w:t>
      </w:r>
      <w:r>
        <w:lastRenderedPageBreak/>
        <w:t>lugar de comisión era el dispuesto por el juez para la devolución de los bienes, esto es, el Monasterio de Sijena. Afirma que el auto del Tribunal Supremo es nulo porque la retroacción acordada por el Tribunal Constitucional le alcanza.</w:t>
      </w:r>
    </w:p>
    <w:p w14:paraId="75A73C7C" w14:textId="77777777" w:rsidR="00576A90" w:rsidRDefault="00576A90" w:rsidP="00576A90">
      <w:pPr>
        <w:pStyle w:val="TextoNormal"/>
      </w:pPr>
    </w:p>
    <w:p w14:paraId="157EE95A" w14:textId="3E790654" w:rsidR="00576A90" w:rsidRDefault="00576A90" w:rsidP="00576A90">
      <w:pPr>
        <w:pStyle w:val="TextoNormal"/>
      </w:pPr>
      <w:r>
        <w:t>Finalmente suplica que se dicte resolución declarando la nulidad del auto de 18 de enero de 2024 de la Sala de lo Civil y Penal del Tribunal Superior de Justicia de Cataluña, y en su virtud, se reclame del citado órgano judicial que, bajo los debidos apercibimientos, cumpla y respete la sentencia dictada en el presente proceso constitucional, debiendo devolver los autos al Juzgado de Instrucción núm. 3 de Huesca para que dicho juzgado dé el debido cumplimiento a la STC 69/2023.</w:t>
      </w:r>
    </w:p>
    <w:p w14:paraId="5528C909" w14:textId="77777777" w:rsidR="00576A90" w:rsidRDefault="00576A90" w:rsidP="00576A90">
      <w:pPr>
        <w:pStyle w:val="TextoNormal"/>
      </w:pPr>
    </w:p>
    <w:p w14:paraId="0E926257" w14:textId="77777777" w:rsidR="00576A90" w:rsidRDefault="00576A90" w:rsidP="00576A90">
      <w:pPr>
        <w:pStyle w:val="TextoNormalNegritaCentrado"/>
        <w:keepNext/>
      </w:pPr>
      <w:r>
        <w:t>II. Fundamentos jurídicos</w:t>
      </w:r>
    </w:p>
    <w:p w14:paraId="41E8114A" w14:textId="599D9CBA" w:rsidR="00576A90" w:rsidRDefault="00576A90" w:rsidP="00576A90">
      <w:pPr>
        <w:pStyle w:val="TextoNormalNegritaCentrado"/>
        <w:keepNext/>
      </w:pPr>
    </w:p>
    <w:p w14:paraId="575DC770" w14:textId="576B6A03" w:rsidR="00576A90" w:rsidRDefault="00576A90" w:rsidP="00576A90">
      <w:pPr>
        <w:pStyle w:val="TextoNormal"/>
      </w:pPr>
      <w:r w:rsidRPr="00576A90">
        <w:rPr>
          <w:rStyle w:val="NumeroAFNegritaCaracter"/>
        </w:rPr>
        <w:t>1</w:t>
      </w:r>
      <w:r>
        <w:t>. El Ayuntamiento de Villanueva de Sijena promueve incidente de ejecución al considerar que el auto de la Sala de lo Civil y Penal del Tribunal Superior de Justicia de Cataluña de 18 de enero de 2024, dictado en el procedimiento abreviado núm. 1-2023, por el que se designa magistrado instructor “para que adopte las resoluciones que correspondan en Derecho en relación con dicha investigación y con el pleno cumplimiento de lo dispuesto por el Tribunal Constitucional en su STC 69/2023, de 19 junio”, ha incumplido la STC 69/2023, dictada por esta sala en el recurso de amparo núm. 3444-2020. La razón del incumplimiento es que la competencia para la instrucción y el enjuiciamiento del delito de desobediencia que se imputa a don Lluís Puig Gordi le corresponde a los órganos judiciales de la ciudad de Huesca y no a la Sala de lo Civil y Penal del Tribunal Superior de Justicia de Cataluña. De modo que considera que es el Juzgado de Instrucción núm. 3 de Huesca el que debe dictar el nuevo auto de apertura de juicio oral.</w:t>
      </w:r>
    </w:p>
    <w:p w14:paraId="1CBCA457" w14:textId="77777777" w:rsidR="00576A90" w:rsidRDefault="00576A90" w:rsidP="00576A90">
      <w:pPr>
        <w:pStyle w:val="TextoNormal"/>
      </w:pPr>
    </w:p>
    <w:p w14:paraId="367D1A7F" w14:textId="77777777" w:rsidR="00576A90" w:rsidRDefault="00576A90" w:rsidP="00576A90">
      <w:pPr>
        <w:pStyle w:val="TextoNormal"/>
      </w:pPr>
      <w:r w:rsidRPr="00576A90">
        <w:rPr>
          <w:rStyle w:val="NumeroAFNegritaCaracter"/>
        </w:rPr>
        <w:t>2</w:t>
      </w:r>
      <w:r>
        <w:t>. El incidente de ejecución planteado debe ser inadmitido a trámite por varias razones que se expondrán a continuación:</w:t>
      </w:r>
    </w:p>
    <w:p w14:paraId="3BF18B7C" w14:textId="77777777" w:rsidR="00576A90" w:rsidRDefault="00576A90" w:rsidP="00576A90">
      <w:pPr>
        <w:pStyle w:val="TextoNormal"/>
      </w:pPr>
    </w:p>
    <w:p w14:paraId="0513EC53" w14:textId="77777777" w:rsidR="00576A90" w:rsidRDefault="00576A90" w:rsidP="00576A90">
      <w:pPr>
        <w:pStyle w:val="TextoNormal"/>
      </w:pPr>
      <w:r>
        <w:t>Hemos afirmado que la naturaleza subsidiaria y excepcional del recurso de amparo se comunica a los incidentes de ejecución que pudieran surgir en torno a las sentencias resolutorias del mismo, de modo que le corresponde al Tribunal apreciar de oficio la concurrencia o no de los requisitos para la admisión de los incidentes de ejecución [ATC 167/2022, de 28 de noviembre, FJ 3 b)]. Esto supone que al igual que corresponde al recurrente en amparo afirmar razonadamente el cumplimiento de los requisitos procesales de admisión del recurso de amparo, y aportar al Tribunal los elementos de convicción mínimos que permiten corroborar sus afirmaciones, esas mismas exigencias se le deben reclamar al interponer un incidente de ejecución de las sentencias de amparo dictadas por este tribunal. Hemos afirmado también que la finalidad del incidente de ejecución se satisface y quedan salvaguardados los derechos del promovente  “en aquellos casos en que el Tribunal Constitucional decide inadmitir el incidente de ejecución bien porque no se han cumplido los requisitos formales del planteamiento, […] bien porque el contenido de la solicitud formulada por quien promueve el incidente no se adecúa al cauce utilizado en el incidente de ejecución” (ATC 169/2019, de 16 de diciembre, FJ 2).</w:t>
      </w:r>
    </w:p>
    <w:p w14:paraId="72E06619" w14:textId="77777777" w:rsidR="00576A90" w:rsidRDefault="00576A90" w:rsidP="00576A90">
      <w:pPr>
        <w:pStyle w:val="TextoNormal"/>
      </w:pPr>
    </w:p>
    <w:p w14:paraId="1D24D018" w14:textId="77777777" w:rsidR="00576A90" w:rsidRDefault="00576A90" w:rsidP="00576A90">
      <w:pPr>
        <w:pStyle w:val="TextoNormal"/>
      </w:pPr>
      <w:r>
        <w:t xml:space="preserve">En la STC 69/2023, cuya ejecución se pretende, anulamos el auto de apertura de juicio oral dictado el 5 de diciembre de 2019 por el Juzgado de Primera Instancia e Instrucción </w:t>
      </w:r>
      <w:r>
        <w:lastRenderedPageBreak/>
        <w:t>núm. 3 de Huesca, y también los posteriores que lo confirmaron, al considerar vulnerado el derecho a la presunción de inocencia (art. 24.2 CE) de don Lluís Puig Gordi. Dicha vulneración se ocasionó al pretender garantizar en dicho auto el cumplimiento de la pena de multa, lo que produjo una anticipación de la pena y equiparó al acusado con el culpable, adelantando los efectos jurídicos de una eventual sentencia condenatoria.</w:t>
      </w:r>
    </w:p>
    <w:p w14:paraId="1F62666D" w14:textId="77777777" w:rsidR="00576A90" w:rsidRDefault="00576A90" w:rsidP="00576A90">
      <w:pPr>
        <w:pStyle w:val="TextoNormal"/>
      </w:pPr>
    </w:p>
    <w:p w14:paraId="00BAA4E7" w14:textId="77777777" w:rsidR="00576A90" w:rsidRDefault="00576A90" w:rsidP="00576A90">
      <w:pPr>
        <w:pStyle w:val="TextoNormal"/>
      </w:pPr>
      <w:r>
        <w:t>En la STC 69/2023, no efectuamos ningún pronunciamiento y tampoco en el recurso de amparo se promovió debate alguno —que de haberse planteado hubiera sido prematuro [por todas, STC 149/2022, de 29 de noviembre, FJ 3 a)]—, en relación con el órgano judicial que debía ser competente para decidir sobre la apertura del juicio oral. Por ello la pretensión del Ayuntamiento de Villanueva de Sijena que cuestiona la competencia del Tribunal Superior de Justicia de Cataluña sin conexión alguna con la STC 69/2023 que dice incumplida, no se adecúa al cauce del incidente de ejecución utilizado y desborda la finalidad constitucional del mismo, que no es otra, que la de garantizar la defensa de la posición institucional del Tribunal Constitucional y la efectividad de sus sentencias y resoluciones (entre otros, ATC 8/2022, de 24 de enero, FJ 2).</w:t>
      </w:r>
    </w:p>
    <w:p w14:paraId="3BA63D38" w14:textId="77777777" w:rsidR="00576A90" w:rsidRDefault="00576A90" w:rsidP="00576A90">
      <w:pPr>
        <w:pStyle w:val="TextoNormal"/>
      </w:pPr>
    </w:p>
    <w:p w14:paraId="0CA49F2C" w14:textId="29CC9776" w:rsidR="00576A90" w:rsidRDefault="00576A90" w:rsidP="00576A90">
      <w:pPr>
        <w:pStyle w:val="TextoNormal"/>
      </w:pPr>
      <w:r>
        <w:t>La absoluta falta de conexión entre lo resuelto en nuestra sentencia y el contenido de la ejecución que ahora se solicita, permite a esta sala acordar sin más trámite la inadmisión del incidente, sin necesidad de mayores diligencias ni concesión de audiencia a los demás interesados.</w:t>
      </w:r>
    </w:p>
    <w:p w14:paraId="41636044" w14:textId="77777777" w:rsidR="00576A90" w:rsidRDefault="00576A90" w:rsidP="00576A90">
      <w:pPr>
        <w:pStyle w:val="TextoNormal"/>
      </w:pPr>
    </w:p>
    <w:p w14:paraId="259D5DD4" w14:textId="77777777" w:rsidR="00576A90" w:rsidRDefault="00576A90" w:rsidP="00576A90">
      <w:pPr>
        <w:pStyle w:val="TextoNormal"/>
      </w:pPr>
      <w:r>
        <w:t>Por lo expuesto, la Sala</w:t>
      </w:r>
    </w:p>
    <w:p w14:paraId="21A81B5C" w14:textId="63B804CF" w:rsidR="00576A90" w:rsidRDefault="00576A90" w:rsidP="00576A90">
      <w:pPr>
        <w:pStyle w:val="TextoNormal"/>
      </w:pPr>
    </w:p>
    <w:p w14:paraId="3AAFFD08" w14:textId="77777777" w:rsidR="00576A90" w:rsidRDefault="00576A90" w:rsidP="00576A90">
      <w:pPr>
        <w:pStyle w:val="TextoNormalCentrado"/>
      </w:pPr>
      <w:r>
        <w:t>ACUERDA</w:t>
      </w:r>
    </w:p>
    <w:p w14:paraId="75AD33B5" w14:textId="10A590C8" w:rsidR="00576A90" w:rsidRDefault="00576A90" w:rsidP="00576A90">
      <w:pPr>
        <w:pStyle w:val="TextoNormalCentrado"/>
      </w:pPr>
    </w:p>
    <w:p w14:paraId="53EAED0D" w14:textId="7694E602" w:rsidR="00576A90" w:rsidRDefault="00576A90" w:rsidP="00576A90">
      <w:pPr>
        <w:pStyle w:val="TextoNormal"/>
      </w:pPr>
      <w:r>
        <w:t>Inadmitir el incidente de ejecución de la STC 69/2023, de 19 de junio, dictada en el recurso de amparo núm. 3444-2020.</w:t>
      </w:r>
    </w:p>
    <w:p w14:paraId="212EF43D" w14:textId="77777777" w:rsidR="00576A90" w:rsidRDefault="00576A90" w:rsidP="00576A90">
      <w:pPr>
        <w:pStyle w:val="TextoNormal"/>
      </w:pPr>
    </w:p>
    <w:p w14:paraId="3A3083B0" w14:textId="77777777" w:rsidR="00576A90" w:rsidRDefault="00576A90" w:rsidP="00576A90">
      <w:pPr>
        <w:pStyle w:val="TextoNormal"/>
      </w:pPr>
      <w:r>
        <w:t>Madrid, a doce de febrero de dos mil veinticuatro.</w:t>
      </w:r>
    </w:p>
    <w:p w14:paraId="6D402FF3" w14:textId="747D6440" w:rsidR="00576A90" w:rsidRDefault="00576A90">
      <w:pPr>
        <w:spacing w:after="160" w:line="259" w:lineRule="auto"/>
        <w:rPr>
          <w:rFonts w:ascii="Times New Roman" w:eastAsia="Times New Roman" w:hAnsi="Times New Roman" w:cs="Times New Roman"/>
          <w:sz w:val="24"/>
          <w:szCs w:val="24"/>
          <w:lang w:eastAsia="es-ES"/>
        </w:rPr>
      </w:pPr>
      <w:r>
        <w:br w:type="page"/>
      </w:r>
    </w:p>
    <w:p w14:paraId="6A0E0878" w14:textId="77777777" w:rsidR="00576A90" w:rsidRDefault="00576A90" w:rsidP="00576A90">
      <w:pPr>
        <w:pStyle w:val="TtuloResolucin"/>
      </w:pPr>
      <w:bookmarkStart w:id="105" w:name="AUTO_2024_10"/>
      <w:r>
        <w:lastRenderedPageBreak/>
        <w:t>AUTO 10/2024, de 12 de febrero de 2024</w:t>
      </w:r>
    </w:p>
    <w:bookmarkEnd w:id="105"/>
    <w:p w14:paraId="7AF4A5E2" w14:textId="77777777" w:rsidR="00576A90" w:rsidRDefault="00576A90" w:rsidP="00576A90">
      <w:pPr>
        <w:pStyle w:val="TtuloResolucin"/>
      </w:pPr>
      <w:r>
        <w:t>Sala Primera</w:t>
      </w:r>
    </w:p>
    <w:p w14:paraId="61ACFAA8" w14:textId="77777777" w:rsidR="00576A90" w:rsidRDefault="00576A90" w:rsidP="00576A90">
      <w:pPr>
        <w:pStyle w:val="TextoNormalCentrado"/>
      </w:pPr>
      <w:r>
        <w:t>ECLI:ES:TC:2024:10A</w:t>
      </w:r>
    </w:p>
    <w:p w14:paraId="35321B06" w14:textId="5E4394B6" w:rsidR="00576A90" w:rsidRDefault="00576A90" w:rsidP="00576A90">
      <w:pPr>
        <w:pStyle w:val="TextoNormalCentrado"/>
      </w:pPr>
    </w:p>
    <w:p w14:paraId="6A796650" w14:textId="77777777" w:rsidR="00576A90" w:rsidRDefault="00576A90" w:rsidP="00576A90">
      <w:pPr>
        <w:pStyle w:val="SntesisDescriptiva"/>
      </w:pPr>
      <w:r>
        <w:t>Excms. Srs. don Cándido Conde-Pumpido Tourón, don Ricardo Enríquez Sancho, doña Concepción Espejel Jorquera y doña María Luisa Segoviano Astaburuaga.</w:t>
      </w:r>
    </w:p>
    <w:p w14:paraId="4A2EBE5C" w14:textId="7E49A62F" w:rsidR="00576A90" w:rsidRDefault="00576A90" w:rsidP="00576A90">
      <w:pPr>
        <w:pStyle w:val="SntesisDescriptiva"/>
      </w:pPr>
    </w:p>
    <w:p w14:paraId="0119E726" w14:textId="77777777" w:rsidR="00576A90" w:rsidRDefault="00576A90" w:rsidP="00576A90">
      <w:pPr>
        <w:pStyle w:val="SntesisDescriptiva"/>
      </w:pPr>
      <w:r>
        <w:t>Acepta una abstención en el recurso de amparo 1209-2021, promovido en procedimiento parlamentario.</w:t>
      </w:r>
    </w:p>
    <w:p w14:paraId="378F5367" w14:textId="107F5CDB" w:rsidR="00576A90" w:rsidRDefault="00576A90" w:rsidP="00576A90">
      <w:pPr>
        <w:pStyle w:val="SntesisDescriptiva"/>
      </w:pPr>
    </w:p>
    <w:p w14:paraId="29288FB5" w14:textId="77777777" w:rsidR="00576A90" w:rsidRDefault="00576A90" w:rsidP="00576A90">
      <w:pPr>
        <w:pStyle w:val="SntesisDescriptiva"/>
      </w:pPr>
    </w:p>
    <w:p w14:paraId="57C2FAA7" w14:textId="77777777" w:rsidR="00576A90" w:rsidRDefault="00576A90" w:rsidP="00576A90">
      <w:pPr>
        <w:pStyle w:val="SntesisDescriptiva"/>
      </w:pPr>
    </w:p>
    <w:p w14:paraId="30CCAA38" w14:textId="77777777" w:rsidR="00576A90" w:rsidRDefault="00576A90" w:rsidP="00576A90">
      <w:pPr>
        <w:pStyle w:val="TextoNormalNegritaCentrado"/>
      </w:pPr>
      <w:r>
        <w:t>AUTO</w:t>
      </w:r>
    </w:p>
    <w:p w14:paraId="497B4D1E" w14:textId="1A4A55DC" w:rsidR="00576A90" w:rsidRDefault="00576A90" w:rsidP="00576A90">
      <w:pPr>
        <w:pStyle w:val="TextoNormalNegritaCentrado"/>
      </w:pPr>
    </w:p>
    <w:p w14:paraId="66BB092A" w14:textId="77777777" w:rsidR="00576A90" w:rsidRDefault="00576A90" w:rsidP="00576A90">
      <w:pPr>
        <w:pStyle w:val="TextoNormalNegritaCentrado"/>
        <w:keepNext/>
      </w:pPr>
      <w:r>
        <w:t>I. Antecedentes</w:t>
      </w:r>
    </w:p>
    <w:p w14:paraId="215CAD27" w14:textId="7B6B842F" w:rsidR="00576A90" w:rsidRDefault="00576A90" w:rsidP="00576A90">
      <w:pPr>
        <w:pStyle w:val="TextoNormalNegritaCentrado"/>
        <w:keepNext/>
      </w:pPr>
    </w:p>
    <w:p w14:paraId="7D97F854" w14:textId="39532D18" w:rsidR="00576A90" w:rsidRDefault="00576A90" w:rsidP="00576A90">
      <w:pPr>
        <w:pStyle w:val="TextoNormal"/>
      </w:pPr>
      <w:r w:rsidRPr="00576A90">
        <w:rPr>
          <w:rStyle w:val="NumeroAFNegritaCaracter"/>
        </w:rPr>
        <w:t>1</w:t>
      </w:r>
      <w:r>
        <w:t>. Por escrito de 5 de febrero de 2024, el magistrado don Juan Carlos Campo Moreno comunicó al señor presidente, a los efectos oportunos, su voluntad de abstenerse de intervenir en el conocimiento del recurso de amparo núm. 1209-2021, promovido por el Grupo Parlamentario Popular en el Congreso contra el acuerdo de la mesa del Congreso de los Diputados de 9 de febrero de 2021, por el que se desestima la petición de reconsideración planteada contra el anterior acuerdo de 13 de enero de 2021, sobre diversos aspectos relativos a la tramitación de la proposición de Ley Orgánica 4/2021, de 29 de marzo, por la que se modifica la Ley Orgánica 6/1985, de 1 de julio, del Poder Judicial, para el establecimiento del régimen jurídico aplicable al Consejo General del Poder Judicial en funciones.</w:t>
      </w:r>
    </w:p>
    <w:p w14:paraId="6E2E00AD" w14:textId="77777777" w:rsidR="00576A90" w:rsidRDefault="00576A90" w:rsidP="00576A90">
      <w:pPr>
        <w:pStyle w:val="TextoNormal"/>
      </w:pPr>
    </w:p>
    <w:p w14:paraId="72DA7EF0" w14:textId="11745E75" w:rsidR="00576A90" w:rsidRDefault="00576A90" w:rsidP="00576A90">
      <w:pPr>
        <w:pStyle w:val="TextoNormal"/>
      </w:pPr>
      <w:r w:rsidRPr="00576A90">
        <w:rPr>
          <w:rStyle w:val="NumeroAFNegritaCaracter"/>
        </w:rPr>
        <w:t>2</w:t>
      </w:r>
      <w:r>
        <w:t>. La solicitud de abstención se fundamenta en la relación personal que el magistrado mantiene con quien desempeñaba, al tiempo de dictarse las resoluciones impugnadas, el cargo de presidenta del Congreso de los Diputados, y que dictó, en tal calidad, una de las resoluciones parlamentarias impugnadas.</w:t>
      </w:r>
    </w:p>
    <w:p w14:paraId="73398A40" w14:textId="77777777" w:rsidR="00576A90" w:rsidRDefault="00576A90" w:rsidP="00576A90">
      <w:pPr>
        <w:pStyle w:val="TextoNormal"/>
      </w:pPr>
    </w:p>
    <w:p w14:paraId="7BBEA575" w14:textId="77777777" w:rsidR="00576A90" w:rsidRDefault="00576A90" w:rsidP="00576A90">
      <w:pPr>
        <w:pStyle w:val="TextoNormalNegritaCentrado"/>
        <w:keepNext/>
      </w:pPr>
      <w:r>
        <w:t>II. Fundamentos jurídicos</w:t>
      </w:r>
    </w:p>
    <w:p w14:paraId="7ED0E673" w14:textId="67567B22" w:rsidR="00576A90" w:rsidRDefault="00576A90" w:rsidP="00576A90">
      <w:pPr>
        <w:pStyle w:val="TextoNormalNegritaCentrado"/>
        <w:keepNext/>
      </w:pPr>
    </w:p>
    <w:p w14:paraId="27AB1D30" w14:textId="11CE7F7E" w:rsidR="00576A90" w:rsidRDefault="00576A90" w:rsidP="00576A90">
      <w:pPr>
        <w:pStyle w:val="TextoNormal"/>
      </w:pPr>
      <w:r w:rsidRPr="00576A90">
        <w:rPr>
          <w:rStyle w:val="TextoNormalNegritaCaracter"/>
        </w:rPr>
        <w:t xml:space="preserve">Único. </w:t>
      </w:r>
      <w:r>
        <w:t>Visto el contenido de la comunicación efectuada por el magistrado don Juan Carlos Campo Moreno, en virtud de lo previsto en los arts. 80 de la Ley Orgánica del Tribunal Constitucional y 221.4 de la Ley Orgánica del Poder Judicial (LOPJ), se estima justificada la causa de abstención formulada, que se fundamenta en la relación personal del magistrado con quien desempeñaba el cargo de presidenta del Congreso de los Diputados al tiempo de dictarse las resoluciones impugnadas, de acuerdo con las causas 1 y 14 del artículo 219 LOPJ, que definen como motivos de abstención: (i) el vínculo matrimonial o situación de hecho asimilable y el parentesco por consanguinidad o afinidad dentro del cuarto grado con las partes o el representante del Ministerio Fiscal (causa primera); (ii) en los procesos en que sea parte la administración pública, encontrarse el juez o magistrado con la autoridad o funcionario que hubiese dictado el acto o informado respecto del mismo o realizado el hecho por razón de los cuales se sigue el proceso en alguna de las circunstancias mencionadas en las causas 1 a 9, 12, 13 y 15 de este artículo (causa decimocuarta).</w:t>
      </w:r>
    </w:p>
    <w:p w14:paraId="7F1F590C" w14:textId="77777777" w:rsidR="00576A90" w:rsidRDefault="00576A90" w:rsidP="00576A90">
      <w:pPr>
        <w:pStyle w:val="TextoNormal"/>
      </w:pPr>
    </w:p>
    <w:p w14:paraId="129F5A2E" w14:textId="77777777" w:rsidR="00576A90" w:rsidRDefault="00576A90" w:rsidP="00576A90">
      <w:pPr>
        <w:pStyle w:val="TextoNormal"/>
      </w:pPr>
      <w:r>
        <w:t>Por lo expuesto, la Sala</w:t>
      </w:r>
    </w:p>
    <w:p w14:paraId="2A5EABAA" w14:textId="1422B5A6" w:rsidR="00576A90" w:rsidRDefault="00576A90" w:rsidP="00576A90">
      <w:pPr>
        <w:pStyle w:val="TextoNormal"/>
      </w:pPr>
    </w:p>
    <w:p w14:paraId="6359F3FF" w14:textId="77777777" w:rsidR="00576A90" w:rsidRDefault="00576A90" w:rsidP="00576A90">
      <w:pPr>
        <w:pStyle w:val="TextoNormalCentrado"/>
      </w:pPr>
      <w:r>
        <w:t>ACUERDA</w:t>
      </w:r>
    </w:p>
    <w:p w14:paraId="110AF166" w14:textId="6BDB9E6F" w:rsidR="00576A90" w:rsidRDefault="00576A90" w:rsidP="00576A90">
      <w:pPr>
        <w:pStyle w:val="TextoNormalCentrado"/>
      </w:pPr>
    </w:p>
    <w:p w14:paraId="45039328" w14:textId="35313E9F" w:rsidR="00576A90" w:rsidRDefault="00576A90" w:rsidP="00576A90">
      <w:pPr>
        <w:pStyle w:val="TextoNormal"/>
      </w:pPr>
      <w:r>
        <w:t>Estimar justificada la abstención formulada por el magistrado don Juan Carlos Campo Moreno en el recurso de amparo núm. 1209-2021, apartándole definitivamente del conocimiento del mismo, así como de todas sus incidencias.</w:t>
      </w:r>
    </w:p>
    <w:p w14:paraId="32AAE6FB" w14:textId="77777777" w:rsidR="00576A90" w:rsidRDefault="00576A90" w:rsidP="00576A90">
      <w:pPr>
        <w:pStyle w:val="TextoNormal"/>
      </w:pPr>
    </w:p>
    <w:p w14:paraId="659895C0" w14:textId="77777777" w:rsidR="00576A90" w:rsidRDefault="00576A90" w:rsidP="00576A90">
      <w:pPr>
        <w:pStyle w:val="TextoNormal"/>
      </w:pPr>
      <w:r>
        <w:t>Madrid, a doce de febrero de dos mil veinticuatro.</w:t>
      </w:r>
    </w:p>
    <w:p w14:paraId="1C1A9B01" w14:textId="44906566" w:rsidR="00576A90" w:rsidRDefault="00576A90">
      <w:pPr>
        <w:spacing w:after="160" w:line="259" w:lineRule="auto"/>
        <w:rPr>
          <w:rFonts w:ascii="Times New Roman" w:eastAsia="Times New Roman" w:hAnsi="Times New Roman" w:cs="Times New Roman"/>
          <w:sz w:val="24"/>
          <w:szCs w:val="24"/>
          <w:lang w:eastAsia="es-ES"/>
        </w:rPr>
      </w:pPr>
      <w:r>
        <w:br w:type="page"/>
      </w:r>
    </w:p>
    <w:p w14:paraId="531DC725" w14:textId="77777777" w:rsidR="00576A90" w:rsidRDefault="00576A90" w:rsidP="00576A90">
      <w:pPr>
        <w:pStyle w:val="TtuloResolucin"/>
      </w:pPr>
      <w:bookmarkStart w:id="106" w:name="AUTO_2024_11"/>
      <w:r>
        <w:lastRenderedPageBreak/>
        <w:t>AUTO 11/2024, de 12 de febrero de 2024</w:t>
      </w:r>
    </w:p>
    <w:bookmarkEnd w:id="106"/>
    <w:p w14:paraId="40662E59" w14:textId="77777777" w:rsidR="00576A90" w:rsidRDefault="00576A90" w:rsidP="00576A90">
      <w:pPr>
        <w:pStyle w:val="TtuloResolucin"/>
      </w:pPr>
      <w:r>
        <w:t>Sala Segunda</w:t>
      </w:r>
    </w:p>
    <w:p w14:paraId="36C3AD5E" w14:textId="77777777" w:rsidR="00576A90" w:rsidRDefault="00576A90" w:rsidP="00576A90">
      <w:pPr>
        <w:pStyle w:val="TextoNormalCentrado"/>
      </w:pPr>
      <w:r>
        <w:t>ECLI:ES:TC:2024:11A</w:t>
      </w:r>
    </w:p>
    <w:p w14:paraId="011C18C3" w14:textId="2DEEA1D8" w:rsidR="00576A90" w:rsidRDefault="00576A90" w:rsidP="00576A90">
      <w:pPr>
        <w:pStyle w:val="TextoNormalCentrado"/>
      </w:pPr>
    </w:p>
    <w:p w14:paraId="48B17ABC" w14:textId="77777777" w:rsidR="00576A90" w:rsidRDefault="00576A90" w:rsidP="00576A90">
      <w:pPr>
        <w:pStyle w:val="SntesisDescriptiva"/>
      </w:pPr>
      <w:r>
        <w:t>Excms. Srs. doña Inmaculada Montalbán Huertas, doña María Luisa Balaguer Callejón, don Ramón Sáez Valcárcel, don Enrique Arnaldo Alcubilla y doña Laura Díez Bueso.</w:t>
      </w:r>
    </w:p>
    <w:p w14:paraId="21B60796" w14:textId="5F4DDA02" w:rsidR="00576A90" w:rsidRDefault="00576A90" w:rsidP="00576A90">
      <w:pPr>
        <w:pStyle w:val="SntesisDescriptiva"/>
      </w:pPr>
    </w:p>
    <w:p w14:paraId="03C0C2E2" w14:textId="77777777" w:rsidR="00576A90" w:rsidRDefault="00576A90" w:rsidP="00576A90">
      <w:pPr>
        <w:pStyle w:val="SntesisDescriptiva"/>
      </w:pPr>
      <w:r>
        <w:t>Acepta una abstención en el recurso de amparo 2605-2021, promovido por don Mohamed El Bachiri en proceso contencioso administrativo.</w:t>
      </w:r>
    </w:p>
    <w:p w14:paraId="0BEAD2D6" w14:textId="4AA7003B" w:rsidR="00576A90" w:rsidRDefault="00576A90" w:rsidP="00576A90">
      <w:pPr>
        <w:pStyle w:val="SntesisDescriptiva"/>
      </w:pPr>
    </w:p>
    <w:p w14:paraId="04EA90E3" w14:textId="77777777" w:rsidR="00576A90" w:rsidRDefault="00576A90" w:rsidP="00576A90">
      <w:pPr>
        <w:pStyle w:val="SntesisDescriptiva"/>
      </w:pPr>
    </w:p>
    <w:p w14:paraId="60C351C2" w14:textId="77777777" w:rsidR="00576A90" w:rsidRDefault="00576A90" w:rsidP="00576A90">
      <w:pPr>
        <w:pStyle w:val="SntesisDescriptiva"/>
      </w:pPr>
    </w:p>
    <w:p w14:paraId="44E8433F" w14:textId="77777777" w:rsidR="00576A90" w:rsidRDefault="00576A90" w:rsidP="00576A90">
      <w:pPr>
        <w:pStyle w:val="TextoNormalNegritaCentrado"/>
      </w:pPr>
      <w:r>
        <w:t>AUTO</w:t>
      </w:r>
    </w:p>
    <w:p w14:paraId="74B3BA25" w14:textId="2DF902AC" w:rsidR="00576A90" w:rsidRDefault="00576A90" w:rsidP="00576A90">
      <w:pPr>
        <w:pStyle w:val="TextoNormalNegritaCentrado"/>
      </w:pPr>
    </w:p>
    <w:p w14:paraId="77F6AEB7" w14:textId="77777777" w:rsidR="00576A90" w:rsidRDefault="00576A90" w:rsidP="00576A90">
      <w:pPr>
        <w:pStyle w:val="TextoNormalNegritaCentrado"/>
        <w:keepNext/>
      </w:pPr>
      <w:r>
        <w:t>I. Antecedentes</w:t>
      </w:r>
    </w:p>
    <w:p w14:paraId="03453A78" w14:textId="11E0CBCA" w:rsidR="00576A90" w:rsidRDefault="00576A90" w:rsidP="00576A90">
      <w:pPr>
        <w:pStyle w:val="TextoNormalNegritaCentrado"/>
        <w:keepNext/>
      </w:pPr>
    </w:p>
    <w:p w14:paraId="63A8EE75" w14:textId="052A4A0D" w:rsidR="00576A90" w:rsidRDefault="00576A90" w:rsidP="00576A90">
      <w:pPr>
        <w:pStyle w:val="TextoNormal"/>
      </w:pPr>
      <w:r w:rsidRPr="00576A90">
        <w:rPr>
          <w:rStyle w:val="NumeroAFNegritaCaracter"/>
        </w:rPr>
        <w:t>1</w:t>
      </w:r>
      <w:r>
        <w:t>. Mediante escrito registrado en este tribunal el día 29 de abril de 2021 el procurador de los tribunales don Antonio Nicolás Vallellano, en nombre y representación de don Mohamed El Bachiri y bajo la dirección del letrado don José Manuel Beltrán Cristóbal, formuló demanda de amparo contra la providencia de la Sección Primera de la Sala de lo Contencioso-Administrativo del Tribunal Supremo, en el recurso de casación núm. 2863-2020.</w:t>
      </w:r>
    </w:p>
    <w:p w14:paraId="125DA854" w14:textId="77777777" w:rsidR="00576A90" w:rsidRDefault="00576A90" w:rsidP="00576A90">
      <w:pPr>
        <w:pStyle w:val="TextoNormal"/>
      </w:pPr>
    </w:p>
    <w:p w14:paraId="35E404D3" w14:textId="0A936208" w:rsidR="00576A90" w:rsidRDefault="00576A90" w:rsidP="00576A90">
      <w:pPr>
        <w:pStyle w:val="TextoNormal"/>
      </w:pPr>
      <w:r w:rsidRPr="00576A90">
        <w:rPr>
          <w:rStyle w:val="NumeroAFNegritaCaracter"/>
        </w:rPr>
        <w:t>2</w:t>
      </w:r>
      <w:r>
        <w:t>. Por escrito de 23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16A5364C" w14:textId="77777777" w:rsidR="00576A90" w:rsidRDefault="00576A90" w:rsidP="00576A90">
      <w:pPr>
        <w:pStyle w:val="TextoNormal"/>
      </w:pPr>
    </w:p>
    <w:p w14:paraId="4591B633" w14:textId="77777777" w:rsidR="00576A90" w:rsidRDefault="00576A90" w:rsidP="00576A90">
      <w:pPr>
        <w:pStyle w:val="TextoNormalNegritaCentrado"/>
        <w:keepNext/>
      </w:pPr>
      <w:r>
        <w:t>II. Fundamentos jurídicos</w:t>
      </w:r>
    </w:p>
    <w:p w14:paraId="3BBA69AD" w14:textId="7D47C65C" w:rsidR="00576A90" w:rsidRDefault="00576A90" w:rsidP="00576A90">
      <w:pPr>
        <w:pStyle w:val="TextoNormalNegritaCentrado"/>
        <w:keepNext/>
      </w:pPr>
    </w:p>
    <w:p w14:paraId="0797913A" w14:textId="281AED10" w:rsidR="00576A90" w:rsidRDefault="00576A90" w:rsidP="00576A90">
      <w:pPr>
        <w:pStyle w:val="TextoNormal"/>
      </w:pPr>
      <w:r w:rsidRPr="00576A90">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A23D281" w14:textId="77777777" w:rsidR="00576A90" w:rsidRDefault="00576A90" w:rsidP="00576A90">
      <w:pPr>
        <w:pStyle w:val="TextoNormal"/>
      </w:pPr>
    </w:p>
    <w:p w14:paraId="26A1F108" w14:textId="77777777" w:rsidR="00576A90" w:rsidRDefault="00576A90" w:rsidP="00576A90">
      <w:pPr>
        <w:pStyle w:val="TextoNormal"/>
      </w:pPr>
      <w:r>
        <w:t>Por lo expuesto, la Sala</w:t>
      </w:r>
    </w:p>
    <w:p w14:paraId="1A1049D4" w14:textId="34908097" w:rsidR="00576A90" w:rsidRDefault="00576A90" w:rsidP="00576A90">
      <w:pPr>
        <w:pStyle w:val="TextoNormal"/>
      </w:pPr>
    </w:p>
    <w:p w14:paraId="05434F82" w14:textId="77777777" w:rsidR="00576A90" w:rsidRDefault="00576A90" w:rsidP="00576A90">
      <w:pPr>
        <w:pStyle w:val="TextoNormalCentrado"/>
      </w:pPr>
      <w:r>
        <w:t>ACUERDA</w:t>
      </w:r>
    </w:p>
    <w:p w14:paraId="73F6501A" w14:textId="4B6BE52A" w:rsidR="00576A90" w:rsidRDefault="00576A90" w:rsidP="00576A90">
      <w:pPr>
        <w:pStyle w:val="TextoNormalCentrado"/>
      </w:pPr>
    </w:p>
    <w:p w14:paraId="11E3B30E" w14:textId="6758ED8F" w:rsidR="00576A90" w:rsidRDefault="00576A90" w:rsidP="00576A90">
      <w:pPr>
        <w:pStyle w:val="TextoNormal"/>
      </w:pPr>
      <w:r>
        <w:t>Estimar justificada la abstención formulada por el magistrado don César Tolosa Tribiño en el recurso de amparo núm. 2605-2021 y apartarle definitivamente del conocimiento del referido recurso y de todas sus incidencias.</w:t>
      </w:r>
    </w:p>
    <w:p w14:paraId="6E5526FA" w14:textId="77777777" w:rsidR="00576A90" w:rsidRDefault="00576A90" w:rsidP="00576A90">
      <w:pPr>
        <w:pStyle w:val="TextoNormal"/>
      </w:pPr>
    </w:p>
    <w:p w14:paraId="2C749DCE" w14:textId="77777777" w:rsidR="00576A90" w:rsidRDefault="00576A90" w:rsidP="00576A90">
      <w:pPr>
        <w:pStyle w:val="TextoNormal"/>
      </w:pPr>
      <w:r>
        <w:t>Madrid, a doce de febrero de dos mil veinticuatro.</w:t>
      </w:r>
    </w:p>
    <w:p w14:paraId="175CC7E2" w14:textId="587E436E" w:rsidR="00576A90" w:rsidRDefault="00576A90">
      <w:pPr>
        <w:spacing w:after="160" w:line="259" w:lineRule="auto"/>
        <w:rPr>
          <w:rFonts w:ascii="Times New Roman" w:eastAsia="Times New Roman" w:hAnsi="Times New Roman" w:cs="Times New Roman"/>
          <w:sz w:val="24"/>
          <w:szCs w:val="24"/>
          <w:lang w:eastAsia="es-ES"/>
        </w:rPr>
      </w:pPr>
      <w:r>
        <w:br w:type="page"/>
      </w:r>
    </w:p>
    <w:p w14:paraId="589551BE" w14:textId="77777777" w:rsidR="00576A90" w:rsidRDefault="00576A90" w:rsidP="00576A90">
      <w:pPr>
        <w:pStyle w:val="TtuloResolucin"/>
      </w:pPr>
      <w:bookmarkStart w:id="107" w:name="AUTO_2024_12"/>
      <w:r>
        <w:lastRenderedPageBreak/>
        <w:t>AUTO 12/2024, de 12 de febrero de 2024</w:t>
      </w:r>
    </w:p>
    <w:bookmarkEnd w:id="107"/>
    <w:p w14:paraId="07BC45AD" w14:textId="77777777" w:rsidR="00576A90" w:rsidRDefault="00576A90" w:rsidP="00576A90">
      <w:pPr>
        <w:pStyle w:val="TtuloResolucin"/>
      </w:pPr>
      <w:r>
        <w:t>Sala Segunda</w:t>
      </w:r>
    </w:p>
    <w:p w14:paraId="13B230AB" w14:textId="77777777" w:rsidR="00576A90" w:rsidRDefault="00576A90" w:rsidP="00576A90">
      <w:pPr>
        <w:pStyle w:val="TextoNormalCentrado"/>
      </w:pPr>
      <w:r>
        <w:t>ECLI:ES:TC:2024:12A</w:t>
      </w:r>
    </w:p>
    <w:p w14:paraId="016FAAAC" w14:textId="33F3312C" w:rsidR="00576A90" w:rsidRDefault="00576A90" w:rsidP="00576A90">
      <w:pPr>
        <w:pStyle w:val="TextoNormalCentrado"/>
      </w:pPr>
    </w:p>
    <w:p w14:paraId="095D9B12" w14:textId="77777777" w:rsidR="00576A90" w:rsidRDefault="00576A90" w:rsidP="00576A90">
      <w:pPr>
        <w:pStyle w:val="SntesisDescriptiva"/>
      </w:pPr>
      <w:r>
        <w:t>Excms. Srs. doña Inmaculada Montalbán Huertas, doña María Luisa Balaguer Callejón, don Enrique Arnaldo Alcubilla, don César Tolosa Tribiño y doña Laura Díez Bueso.</w:t>
      </w:r>
    </w:p>
    <w:p w14:paraId="0DB9D13B" w14:textId="2C9C75BD" w:rsidR="00576A90" w:rsidRDefault="00576A90" w:rsidP="00576A90">
      <w:pPr>
        <w:pStyle w:val="SntesisDescriptiva"/>
      </w:pPr>
    </w:p>
    <w:p w14:paraId="0C3EC2E3" w14:textId="77777777" w:rsidR="00576A90" w:rsidRDefault="00576A90" w:rsidP="00576A90">
      <w:pPr>
        <w:pStyle w:val="SntesisDescriptiva"/>
      </w:pPr>
      <w:r>
        <w:t>Acepta una abstención en el recurso de amparo 6168-2021, promovido por don Noureddine El Moumni en causa penal.</w:t>
      </w:r>
    </w:p>
    <w:p w14:paraId="4BF7FEB0" w14:textId="03F294AF" w:rsidR="00576A90" w:rsidRDefault="00576A90" w:rsidP="00576A90">
      <w:pPr>
        <w:pStyle w:val="SntesisDescriptiva"/>
      </w:pPr>
    </w:p>
    <w:p w14:paraId="40DDFFA1" w14:textId="77777777" w:rsidR="00576A90" w:rsidRDefault="00576A90" w:rsidP="00576A90">
      <w:pPr>
        <w:pStyle w:val="SntesisDescriptiva"/>
      </w:pPr>
    </w:p>
    <w:p w14:paraId="0B37110B" w14:textId="77777777" w:rsidR="00576A90" w:rsidRDefault="00576A90" w:rsidP="00576A90">
      <w:pPr>
        <w:pStyle w:val="SntesisDescriptiva"/>
      </w:pPr>
    </w:p>
    <w:p w14:paraId="72D659F3" w14:textId="77777777" w:rsidR="00576A90" w:rsidRDefault="00576A90" w:rsidP="00576A90">
      <w:pPr>
        <w:pStyle w:val="TextoNormalNegritaCentrado"/>
      </w:pPr>
      <w:r>
        <w:t>AUTO</w:t>
      </w:r>
    </w:p>
    <w:p w14:paraId="61C65A4E" w14:textId="11833D61" w:rsidR="00576A90" w:rsidRDefault="00576A90" w:rsidP="00576A90">
      <w:pPr>
        <w:pStyle w:val="TextoNormalNegritaCentrado"/>
      </w:pPr>
    </w:p>
    <w:p w14:paraId="472B6F2E" w14:textId="77777777" w:rsidR="00576A90" w:rsidRDefault="00576A90" w:rsidP="00576A90">
      <w:pPr>
        <w:pStyle w:val="TextoNormalNegritaCentrado"/>
        <w:keepNext/>
      </w:pPr>
      <w:r>
        <w:t>I. Antecedentes</w:t>
      </w:r>
    </w:p>
    <w:p w14:paraId="7AE4AA65" w14:textId="3169E964" w:rsidR="00576A90" w:rsidRDefault="00576A90" w:rsidP="00576A90">
      <w:pPr>
        <w:pStyle w:val="TextoNormalNegritaCentrado"/>
        <w:keepNext/>
      </w:pPr>
    </w:p>
    <w:p w14:paraId="44BBB318" w14:textId="77777777" w:rsidR="00576A90" w:rsidRDefault="00576A90" w:rsidP="00576A90">
      <w:pPr>
        <w:pStyle w:val="TextoNormal"/>
      </w:pPr>
      <w:r w:rsidRPr="00576A90">
        <w:rPr>
          <w:rStyle w:val="TextoNormalNegritaCaracter"/>
        </w:rPr>
        <w:t xml:space="preserve">Único. </w:t>
      </w:r>
      <w:r>
        <w:t>Mediante escrito registrado en este tribunal el 29 de septiembre de 2021, don Noureddine El Moumni, representado por el procurador de los tribunales don Argimiro Vázquez Guillén, bajo la dirección de la letrada doña Greta Komini, formuló demanda de amparo contra el auto del Pleno de la Sala de lo Penal de la Audiencia Nacional núm. 50/2021, de 20 de julio, por el que se desestima el recurso de súplica núm. 49-2021 interpuesto contra el auto de la Sección Primera de la Sala de lo Penal de la Audiencia Nacional de 22 de junio de 2021, pronunciado en el rollo de sala núm. 50-2020.</w:t>
      </w:r>
    </w:p>
    <w:p w14:paraId="77E1BC61" w14:textId="77777777" w:rsidR="00576A90" w:rsidRDefault="00576A90" w:rsidP="00576A90">
      <w:pPr>
        <w:pStyle w:val="TextoNormal"/>
      </w:pPr>
    </w:p>
    <w:p w14:paraId="4EFBF9FF" w14:textId="5F94DE4D" w:rsidR="00576A90" w:rsidRDefault="00576A90" w:rsidP="00576A90">
      <w:pPr>
        <w:pStyle w:val="TextoNormal"/>
      </w:pPr>
      <w:r>
        <w:t>Mediante escrito fechado el día 31 de enero de 2024, el magistrado don Ramón Sáez Valcárcel comunicó a los efectos oportunos su voluntad de abstenerse de intervenir en el conocimiento del recurso de amparo antes indicado, de conformidad con los arts. 80 de la Ley Orgánica del Tribunal Constitucional (LOTC) y 219.11 de la Ley Orgánica del Poder Judicial (LOPJ), por entender que concurría la causa contemplada en este último precepto (haber resuelto el pleito o causa en anterior instancia), por haber formado parte, en su condición de integrante del Pleno de la Sala de lo Penal de la Audiencia Nacional, del órgano judicial que dictó el auto núm. 50/2021, de 20 de julio, impugnado en el presente recurso de amparo.</w:t>
      </w:r>
    </w:p>
    <w:p w14:paraId="3F3991AD" w14:textId="77777777" w:rsidR="00576A90" w:rsidRDefault="00576A90" w:rsidP="00576A90">
      <w:pPr>
        <w:pStyle w:val="TextoNormal"/>
      </w:pPr>
    </w:p>
    <w:p w14:paraId="2EACBBD8" w14:textId="77777777" w:rsidR="00576A90" w:rsidRDefault="00576A90" w:rsidP="00576A90">
      <w:pPr>
        <w:pStyle w:val="TextoNormalNegritaCentrado"/>
        <w:keepNext/>
      </w:pPr>
      <w:r>
        <w:t>II. Fundamentos jurídicos</w:t>
      </w:r>
    </w:p>
    <w:p w14:paraId="47139177" w14:textId="4B3AED41" w:rsidR="00576A90" w:rsidRDefault="00576A90" w:rsidP="00576A90">
      <w:pPr>
        <w:pStyle w:val="TextoNormalNegritaCentrado"/>
        <w:keepNext/>
      </w:pPr>
    </w:p>
    <w:p w14:paraId="07CEB4A9" w14:textId="2470C5EE" w:rsidR="00576A90" w:rsidRDefault="00576A90" w:rsidP="00576A90">
      <w:pPr>
        <w:pStyle w:val="TextoNormal"/>
      </w:pPr>
      <w:r w:rsidRPr="00576A90">
        <w:rPr>
          <w:rStyle w:val="TextoNormalNegritaCaracter"/>
        </w:rPr>
        <w:t xml:space="preserve">Único. </w:t>
      </w:r>
      <w:r>
        <w:t>Vista la comunicación efectuada por el magistrado de esta Sala Segunda del Tribunal Constitucional, don Ramón Sáez Valcárcel, en virtud de lo previsto en los arts. 80 LOTC y 221.4 LOPJ, se estima justificada la causa de abstención formulada, puesto que el mencionado magistrado, en atención a haber formado parte del órgano judicial que dictó la resolución impugnada en amparo, está incurso en la causa 11 del art. 219 LOPJ.</w:t>
      </w:r>
    </w:p>
    <w:p w14:paraId="7391674D" w14:textId="77777777" w:rsidR="00576A90" w:rsidRDefault="00576A90" w:rsidP="00576A90">
      <w:pPr>
        <w:pStyle w:val="TextoNormal"/>
      </w:pPr>
    </w:p>
    <w:p w14:paraId="32928C7B" w14:textId="77777777" w:rsidR="00576A90" w:rsidRDefault="00576A90" w:rsidP="00576A90">
      <w:pPr>
        <w:pStyle w:val="TextoNormal"/>
      </w:pPr>
      <w:r>
        <w:t>Por lo expuesto, la Sala</w:t>
      </w:r>
    </w:p>
    <w:p w14:paraId="1AFF0F31" w14:textId="769E50E6" w:rsidR="00576A90" w:rsidRDefault="00576A90" w:rsidP="00576A90">
      <w:pPr>
        <w:pStyle w:val="TextoNormal"/>
      </w:pPr>
    </w:p>
    <w:p w14:paraId="4767D624" w14:textId="77777777" w:rsidR="00576A90" w:rsidRDefault="00576A90" w:rsidP="00576A90">
      <w:pPr>
        <w:pStyle w:val="TextoNormalCentrado"/>
      </w:pPr>
      <w:r>
        <w:t>ACUERDA</w:t>
      </w:r>
    </w:p>
    <w:p w14:paraId="7173BB11" w14:textId="7FDC7455" w:rsidR="00576A90" w:rsidRDefault="00576A90" w:rsidP="00576A90">
      <w:pPr>
        <w:pStyle w:val="TextoNormalCentrado"/>
      </w:pPr>
    </w:p>
    <w:p w14:paraId="4D11D1F2" w14:textId="3FB0055C" w:rsidR="00576A90" w:rsidRDefault="00576A90" w:rsidP="00576A90">
      <w:pPr>
        <w:pStyle w:val="TextoNormal"/>
      </w:pPr>
      <w:r>
        <w:lastRenderedPageBreak/>
        <w:t>Estimar justificada la abstención formulada por el magistrado don Ramón Sáez Valcárcel en el recurso de amparo núm. 6168-2021, apartándole definitivamente del conocimiento del referido recurso y de todas sus incidencias.</w:t>
      </w:r>
    </w:p>
    <w:p w14:paraId="312FD9F9" w14:textId="77777777" w:rsidR="00576A90" w:rsidRDefault="00576A90" w:rsidP="00576A90">
      <w:pPr>
        <w:pStyle w:val="TextoNormal"/>
      </w:pPr>
    </w:p>
    <w:p w14:paraId="0F3E9272" w14:textId="77777777" w:rsidR="00576A90" w:rsidRDefault="00576A90" w:rsidP="00576A90">
      <w:pPr>
        <w:pStyle w:val="TextoNormal"/>
      </w:pPr>
      <w:r>
        <w:t>Madrid, a doce de febrero de dos mil veinticuatro.</w:t>
      </w:r>
    </w:p>
    <w:p w14:paraId="1CE5DE3A" w14:textId="3B1F2AF1" w:rsidR="00576A90" w:rsidRDefault="00576A90">
      <w:pPr>
        <w:spacing w:after="160" w:line="259" w:lineRule="auto"/>
        <w:rPr>
          <w:rFonts w:ascii="Times New Roman" w:eastAsia="Times New Roman" w:hAnsi="Times New Roman" w:cs="Times New Roman"/>
          <w:sz w:val="24"/>
          <w:szCs w:val="24"/>
          <w:lang w:eastAsia="es-ES"/>
        </w:rPr>
      </w:pPr>
      <w:r>
        <w:br w:type="page"/>
      </w:r>
    </w:p>
    <w:p w14:paraId="77E76E0B" w14:textId="77777777" w:rsidR="00576A90" w:rsidRDefault="00576A90" w:rsidP="00576A90">
      <w:pPr>
        <w:pStyle w:val="TtuloResolucin"/>
      </w:pPr>
      <w:bookmarkStart w:id="108" w:name="AUTO_2024_13"/>
      <w:r>
        <w:lastRenderedPageBreak/>
        <w:t>AUTO 13/2024, de 12 de febrero de 2024</w:t>
      </w:r>
    </w:p>
    <w:bookmarkEnd w:id="108"/>
    <w:p w14:paraId="3D4FA3C5" w14:textId="77777777" w:rsidR="00576A90" w:rsidRDefault="00576A90" w:rsidP="00576A90">
      <w:pPr>
        <w:pStyle w:val="TtuloResolucin"/>
      </w:pPr>
      <w:r>
        <w:t>Sección Primera</w:t>
      </w:r>
    </w:p>
    <w:p w14:paraId="640302AE" w14:textId="77777777" w:rsidR="00576A90" w:rsidRDefault="00576A90" w:rsidP="00576A90">
      <w:pPr>
        <w:pStyle w:val="TextoNormalCentrado"/>
      </w:pPr>
      <w:r>
        <w:t>ECLI:ES:TC:2024:13A</w:t>
      </w:r>
    </w:p>
    <w:p w14:paraId="3E5D74B4" w14:textId="2252F80E" w:rsidR="00576A90" w:rsidRDefault="00576A90" w:rsidP="00576A90">
      <w:pPr>
        <w:pStyle w:val="TextoNormalCentrado"/>
      </w:pPr>
    </w:p>
    <w:p w14:paraId="591BEB2A" w14:textId="77777777" w:rsidR="00576A90" w:rsidRDefault="00576A90" w:rsidP="00576A90">
      <w:pPr>
        <w:pStyle w:val="SntesisDescriptiva"/>
      </w:pPr>
      <w:r>
        <w:t>Excms. Srs. don Cándido Conde-Pumpido Tourón, doña Concepción Espejel Jorquera y doña María Luisa Segoviano Astaburuaga.</w:t>
      </w:r>
    </w:p>
    <w:p w14:paraId="6055E87F" w14:textId="5AC52B53" w:rsidR="00576A90" w:rsidRDefault="00576A90" w:rsidP="00576A90">
      <w:pPr>
        <w:pStyle w:val="SntesisDescriptiva"/>
      </w:pPr>
    </w:p>
    <w:p w14:paraId="48CF2E52" w14:textId="77777777" w:rsidR="00576A90" w:rsidRDefault="00576A90" w:rsidP="00576A90">
      <w:pPr>
        <w:pStyle w:val="SntesisDescriptiva"/>
      </w:pPr>
      <w:r>
        <w:t>Desestima el recurso de súplica interpuesto por el Ministerio Fiscal en relación con la providencia de inadmisión del recurso de amparo 7623-2022, promovido por don Juan Carlos Bernal Troyano en causa penal.</w:t>
      </w:r>
    </w:p>
    <w:p w14:paraId="4C42426B" w14:textId="24FAE926" w:rsidR="00576A90" w:rsidRDefault="00576A90" w:rsidP="00576A90">
      <w:pPr>
        <w:pStyle w:val="SntesisDescriptiva"/>
      </w:pPr>
    </w:p>
    <w:p w14:paraId="5DBBA157" w14:textId="77777777" w:rsidR="00576A90" w:rsidRDefault="00576A90" w:rsidP="00576A90">
      <w:pPr>
        <w:pStyle w:val="SntesisDescriptiva"/>
      </w:pPr>
    </w:p>
    <w:p w14:paraId="0CE9531A" w14:textId="77777777" w:rsidR="00576A90" w:rsidRDefault="00576A90" w:rsidP="00576A90">
      <w:pPr>
        <w:pStyle w:val="SntesisDescriptiva"/>
      </w:pPr>
    </w:p>
    <w:p w14:paraId="49D3AD55" w14:textId="77777777" w:rsidR="00576A90" w:rsidRDefault="00576A90" w:rsidP="00576A90">
      <w:pPr>
        <w:pStyle w:val="TextoNormalNegritaCentrado"/>
      </w:pPr>
      <w:r>
        <w:t>AUTO</w:t>
      </w:r>
    </w:p>
    <w:p w14:paraId="2139020D" w14:textId="231077E1" w:rsidR="00576A90" w:rsidRDefault="00576A90" w:rsidP="00576A90">
      <w:pPr>
        <w:pStyle w:val="TextoNormalNegritaCentrado"/>
      </w:pPr>
    </w:p>
    <w:p w14:paraId="24877999" w14:textId="77777777" w:rsidR="00576A90" w:rsidRDefault="00576A90" w:rsidP="00576A90">
      <w:pPr>
        <w:pStyle w:val="TextoNormalNegritaCentrado"/>
        <w:keepNext/>
      </w:pPr>
      <w:r>
        <w:t>I. Antecedentes</w:t>
      </w:r>
    </w:p>
    <w:p w14:paraId="6707E779" w14:textId="3547F4CF" w:rsidR="00576A90" w:rsidRDefault="00576A90" w:rsidP="00576A90">
      <w:pPr>
        <w:pStyle w:val="TextoNormalNegritaCentrado"/>
        <w:keepNext/>
      </w:pPr>
    </w:p>
    <w:p w14:paraId="182B2C55" w14:textId="69ACB5F5" w:rsidR="00576A90" w:rsidRDefault="00576A90" w:rsidP="00576A90">
      <w:pPr>
        <w:pStyle w:val="TextoNormal"/>
      </w:pPr>
      <w:r w:rsidRPr="00576A90">
        <w:rPr>
          <w:rStyle w:val="NumeroAFNegritaCaracter"/>
        </w:rPr>
        <w:t>1</w:t>
      </w:r>
      <w:r>
        <w:t>. Don Juan Carlos Bernal Troyano, representado por la procuradora de los tribunales doña Sonia Martínez Serrano, bajo la dirección de la letrada doña Concepción Ferrández Campillo, formuló demanda de amparo contra las resoluciones mencionadas en el encabezamiento mediante escrito registrado en este tribunal el día 18 de noviembre de 2022.</w:t>
      </w:r>
    </w:p>
    <w:p w14:paraId="4B25F8F4" w14:textId="77777777" w:rsidR="00576A90" w:rsidRDefault="00576A90" w:rsidP="00576A90">
      <w:pPr>
        <w:pStyle w:val="TextoNormal"/>
      </w:pPr>
    </w:p>
    <w:p w14:paraId="7941E274" w14:textId="77777777" w:rsidR="00576A90" w:rsidRDefault="00576A90" w:rsidP="00576A90">
      <w:pPr>
        <w:pStyle w:val="TextoNormal"/>
      </w:pPr>
      <w:r w:rsidRPr="00576A90">
        <w:rPr>
          <w:rStyle w:val="NumeroAFNegritaCaracter"/>
        </w:rPr>
        <w:t>2</w:t>
      </w:r>
      <w:r>
        <w:t>. El recurso tiene su origen en los siguientes antecedentes:</w:t>
      </w:r>
    </w:p>
    <w:p w14:paraId="6C4D0445" w14:textId="77777777" w:rsidR="00576A90" w:rsidRDefault="00576A90" w:rsidP="00576A90">
      <w:pPr>
        <w:pStyle w:val="TextoNormal"/>
      </w:pPr>
    </w:p>
    <w:p w14:paraId="5B004ABA" w14:textId="77777777" w:rsidR="00576A90" w:rsidRDefault="00576A90" w:rsidP="00576A90">
      <w:pPr>
        <w:pStyle w:val="TextoNormal"/>
      </w:pPr>
      <w:r>
        <w:t>a) El recurrente formuló denuncia contra determinados agentes policiales por supuestos hechos acontecidos durante su detención en comisaría, que fue turnada al Juzgado de Instrucción núm. 3 de Alicante, dando lugar a las diligencias previas núm. 1835-2021.</w:t>
      </w:r>
    </w:p>
    <w:p w14:paraId="674D7961" w14:textId="77777777" w:rsidR="00576A90" w:rsidRDefault="00576A90" w:rsidP="00576A90">
      <w:pPr>
        <w:pStyle w:val="TextoNormal"/>
      </w:pPr>
    </w:p>
    <w:p w14:paraId="27318D94" w14:textId="77777777" w:rsidR="00576A90" w:rsidRDefault="00576A90" w:rsidP="00576A90">
      <w:pPr>
        <w:pStyle w:val="TextoNormal"/>
      </w:pPr>
      <w:r>
        <w:t>Las diligencias fueron sobreseídas provisionalmente por auto de 15 de febrero de 2022, que fue revocado en apelación por auto de la Sección Tercera de la Audiencia Provincial de Alicante de 20 de abril de 2022, “dejando sin efecto el sobreseimiento provisional acordado, al efecto de que se soliciten de la comisaría de Policía de Alicante las grabaciones de imágenes de los calabozos en que hubiera estado recluido don Juan Carlos Bernal Troyano entre las 22:00 horas del día 30 de abril y las 08:00 horas del día 1 de mayo de 2020, caso de que existan”.</w:t>
      </w:r>
    </w:p>
    <w:p w14:paraId="356468F3" w14:textId="77777777" w:rsidR="00576A90" w:rsidRDefault="00576A90" w:rsidP="00576A90">
      <w:pPr>
        <w:pStyle w:val="TextoNormal"/>
      </w:pPr>
    </w:p>
    <w:p w14:paraId="3AA60D89" w14:textId="77777777" w:rsidR="00576A90" w:rsidRDefault="00576A90" w:rsidP="00576A90">
      <w:pPr>
        <w:pStyle w:val="TextoNormal"/>
      </w:pPr>
      <w:r>
        <w:t>El Juzgado de Instrucción núm. 3 de Alicante, en ejecución de lo acordado en el citado auto, por providencia de 6 de mayo de 2022 acordó librar oficio a la comisaría de Policía de Alicante a fin de que remitiera las citadas grabaciones, lo que se llevó a efecto por oficio de 8 de mayo de 2022, siendo puesto en conocimiento de la representación del recurrente por Lexnet el día 10 de mayo de 2022.</w:t>
      </w:r>
    </w:p>
    <w:p w14:paraId="3E596A3D" w14:textId="77777777" w:rsidR="00576A90" w:rsidRDefault="00576A90" w:rsidP="00576A90">
      <w:pPr>
        <w:pStyle w:val="TextoNormal"/>
      </w:pPr>
    </w:p>
    <w:p w14:paraId="538A4CF1" w14:textId="77777777" w:rsidR="00576A90" w:rsidRDefault="00576A90" w:rsidP="00576A90">
      <w:pPr>
        <w:pStyle w:val="TextoNormal"/>
      </w:pPr>
      <w:r>
        <w:t>b) El recurrente, mediante escrito registrado el día 11 de mayo de 2022, solicitó al Juzgado de Instrucción núm. 3 de Alicante “a la vista de la resolución dictada por la Sección Tercera de la Audiencia Provincial de Alicante, y con el fin de un total esclarecimiento de los hechos que han sido denunciados por esta parte”, la práctica de determinadas diligencias de investigación adicionales a la remisión de las grabaciones.</w:t>
      </w:r>
    </w:p>
    <w:p w14:paraId="2652743A" w14:textId="77777777" w:rsidR="00576A90" w:rsidRDefault="00576A90" w:rsidP="00576A90">
      <w:pPr>
        <w:pStyle w:val="TextoNormal"/>
      </w:pPr>
    </w:p>
    <w:p w14:paraId="3DFD6A06" w14:textId="77777777" w:rsidR="00576A90" w:rsidRDefault="00576A90" w:rsidP="00576A90">
      <w:pPr>
        <w:pStyle w:val="TextoNormal"/>
      </w:pPr>
      <w:r>
        <w:t>La petición fue denegada por providencia de 12 de mayo de 2022 con fundamento en que el auto de apelación solo “acuerda dejar sin efecto el sobreseimiento provisional al efecto de solicitar las grabaciones de imágenes de los calabozos a que se refiere en su parte dispositiva, estando al resultado de la cumplimentación del oficio librado y acordado en providencia de 6 de mayo de 2022”, siendo notificada a la representación del recurrente por Lexnet el día 13 de mayo de 2022.</w:t>
      </w:r>
    </w:p>
    <w:p w14:paraId="4FC42E26" w14:textId="77777777" w:rsidR="00576A90" w:rsidRDefault="00576A90" w:rsidP="00576A90">
      <w:pPr>
        <w:pStyle w:val="TextoNormal"/>
      </w:pPr>
    </w:p>
    <w:p w14:paraId="5301C0E3" w14:textId="77777777" w:rsidR="00576A90" w:rsidRDefault="00576A90" w:rsidP="00576A90">
      <w:pPr>
        <w:pStyle w:val="TextoNormal"/>
      </w:pPr>
      <w:r>
        <w:t>El recurrente, mediante escrito registrado el 17 de mayo de 2022, interpuso recurso de reforma que fue desestimado por auto de 8 de junio de 2022 y confirmado también en apelación por auto de la Sección Tercera de la Audiencia Provincial de Alicante de 11 de octubre de 2022, pronunciado en el rollo de apelación núm. 601-2022.</w:t>
      </w:r>
    </w:p>
    <w:p w14:paraId="2A914136" w14:textId="77777777" w:rsidR="00576A90" w:rsidRDefault="00576A90" w:rsidP="00576A90">
      <w:pPr>
        <w:pStyle w:val="TextoNormal"/>
      </w:pPr>
    </w:p>
    <w:p w14:paraId="79073325" w14:textId="77777777" w:rsidR="00576A90" w:rsidRDefault="00576A90" w:rsidP="00576A90">
      <w:pPr>
        <w:pStyle w:val="TextoNormal"/>
      </w:pPr>
      <w:r>
        <w:t>c) La comisaría de Policía de Alicante, mediante oficio registrado el 18 de mayo de 2022, comunicó que no existían las grabaciones solicitadas, lo que fue puesto en conocimiento del recurrente por providencia de 24 de mayo de 2022 “a los efectos pertinentes”. No consta que el recurrente hiciera alegación en relación con esta comunicación.</w:t>
      </w:r>
    </w:p>
    <w:p w14:paraId="14DAE0D0" w14:textId="77777777" w:rsidR="00576A90" w:rsidRDefault="00576A90" w:rsidP="00576A90">
      <w:pPr>
        <w:pStyle w:val="TextoNormal"/>
      </w:pPr>
    </w:p>
    <w:p w14:paraId="03CE0E2E" w14:textId="16AAF947" w:rsidR="00576A90" w:rsidRDefault="00576A90" w:rsidP="00576A90">
      <w:pPr>
        <w:pStyle w:val="TextoNormal"/>
      </w:pPr>
      <w:r>
        <w:t>d) El Juzgado de Instrucción núm. 3 de Alicante, mediante providencia de 24 de octubre de 2022, acuerda, una vez recibido el auto resolutorio de la apelación, “estese al sobreseimiento provisional acordado por auto de fecha 15 de febrero de 2022 y archívense las actuaciones junto a las de su clase previo visto del Ministerio Fiscal”. No consta que dicha providencia haya sido objeto de impugnación por el recurrente.</w:t>
      </w:r>
    </w:p>
    <w:p w14:paraId="2FD0A79F" w14:textId="77777777" w:rsidR="00576A90" w:rsidRDefault="00576A90" w:rsidP="00576A90">
      <w:pPr>
        <w:pStyle w:val="TextoNormal"/>
      </w:pPr>
    </w:p>
    <w:p w14:paraId="3EC46890" w14:textId="0DDE084A" w:rsidR="00576A90" w:rsidRDefault="00576A90" w:rsidP="00576A90">
      <w:pPr>
        <w:pStyle w:val="TextoNormal"/>
      </w:pPr>
      <w:r w:rsidRPr="00576A90">
        <w:rPr>
          <w:rStyle w:val="NumeroAFNegritaCaracter"/>
        </w:rPr>
        <w:t>3</w:t>
      </w:r>
      <w:r>
        <w:t>. El recurrente aduce que las resoluciones impugnadas han vulnerado sus derechos a la igualdad (art. 14 CE), a la tutela judicial efectiva (art. 24.1 CE), a un proceso con todas las garantías y a utilizar los medios de prueba pertinentes para su defensa (art. 24.2 CE), ya que las resoluciones impugnadas han denegado la práctica de determinadas diligencias de investigación interesadas en su escrito de 11 de mayo de 2022.</w:t>
      </w:r>
    </w:p>
    <w:p w14:paraId="20416975" w14:textId="77777777" w:rsidR="00576A90" w:rsidRDefault="00576A90" w:rsidP="00576A90">
      <w:pPr>
        <w:pStyle w:val="TextoNormal"/>
      </w:pPr>
    </w:p>
    <w:p w14:paraId="09FA707D" w14:textId="35D34402" w:rsidR="00576A90" w:rsidRDefault="00576A90" w:rsidP="00576A90">
      <w:pPr>
        <w:pStyle w:val="TextoNormal"/>
      </w:pPr>
      <w:r w:rsidRPr="00576A90">
        <w:rPr>
          <w:rStyle w:val="NumeroAFNegritaCaracter"/>
        </w:rPr>
        <w:t>4</w:t>
      </w:r>
      <w:r>
        <w:t>. La Sección Segunda de este tribunal, mediante providencia de 9 de octubre de 2023, acordó no admitir a trámite el presente recurso de amparo con arreglo a lo previsto en el art. 50.1 a) de la Ley Orgánica del Tribunal Constitucional (LOTC), en relación con su art. 44.1 a), por no haber concluido el proceso abierto en la vía judicial.</w:t>
      </w:r>
    </w:p>
    <w:p w14:paraId="6F7C0174" w14:textId="77777777" w:rsidR="00576A90" w:rsidRDefault="00576A90" w:rsidP="00576A90">
      <w:pPr>
        <w:pStyle w:val="TextoNormal"/>
      </w:pPr>
    </w:p>
    <w:p w14:paraId="305E837E" w14:textId="126FBD0E" w:rsidR="00576A90" w:rsidRDefault="00576A90" w:rsidP="00576A90">
      <w:pPr>
        <w:pStyle w:val="TextoNormal"/>
      </w:pPr>
      <w:r w:rsidRPr="00576A90">
        <w:rPr>
          <w:rStyle w:val="NumeroAFNegritaCaracter"/>
        </w:rPr>
        <w:t>5</w:t>
      </w:r>
      <w:r>
        <w:t>. El Ministerio Fiscal, por escrito registrado el día 25 de octubre de 2023, interpuso recurso de súplica contra dicha providencia, solicitando que fuera dejada sin efecto la inadmisión por la causa prevista en la misma, con fundamento en que “en el presente caso, una vez desestimado el recurso de apelación, y, en consecuencia, confirmada la decisión de sobreseimiento de la causa, no puede afirmarse que no haya concluido el proceso abierto en la vía judicial”.</w:t>
      </w:r>
    </w:p>
    <w:p w14:paraId="15937F07" w14:textId="77777777" w:rsidR="00576A90" w:rsidRDefault="00576A90" w:rsidP="00576A90">
      <w:pPr>
        <w:pStyle w:val="TextoNormal"/>
      </w:pPr>
    </w:p>
    <w:p w14:paraId="66683184" w14:textId="7C5C8E60" w:rsidR="00576A90" w:rsidRDefault="00576A90" w:rsidP="00576A90">
      <w:pPr>
        <w:pStyle w:val="TextoNormal"/>
      </w:pPr>
      <w:r w:rsidRPr="00576A90">
        <w:rPr>
          <w:rStyle w:val="NumeroAFNegritaCaracter"/>
        </w:rPr>
        <w:t>6</w:t>
      </w:r>
      <w:r>
        <w:t>. La Secretaría de Justicia de la Sección Primera de este tribunal, por diligencia de ordenación de 26 de octubre de 2023, acordó dar traslado del recurso de súplica para alegaciones al demandante, quien por escrito registrado el día 30 de octubre de 2023 se adhirió al recurso formulado “al entender ajustados a derecho sus argumentos, que hacemos nuestros por economía procesal”.</w:t>
      </w:r>
    </w:p>
    <w:p w14:paraId="170F999F" w14:textId="77777777" w:rsidR="00576A90" w:rsidRDefault="00576A90" w:rsidP="00576A90">
      <w:pPr>
        <w:pStyle w:val="TextoNormal"/>
      </w:pPr>
    </w:p>
    <w:p w14:paraId="0BFAACE0" w14:textId="77777777" w:rsidR="00576A90" w:rsidRDefault="00576A90" w:rsidP="00576A90">
      <w:pPr>
        <w:pStyle w:val="TextoNormalNegritaCentrado"/>
        <w:keepNext/>
      </w:pPr>
      <w:r>
        <w:t>II. Fundamentos jurídicos</w:t>
      </w:r>
    </w:p>
    <w:p w14:paraId="1FD24AC4" w14:textId="44E7CEF0" w:rsidR="00576A90" w:rsidRDefault="00576A90" w:rsidP="00576A90">
      <w:pPr>
        <w:pStyle w:val="TextoNormalNegritaCentrado"/>
        <w:keepNext/>
      </w:pPr>
    </w:p>
    <w:p w14:paraId="04B755E4" w14:textId="77777777" w:rsidR="00576A90" w:rsidRDefault="00576A90" w:rsidP="00576A90">
      <w:pPr>
        <w:pStyle w:val="TextoNormal"/>
      </w:pPr>
      <w:r w:rsidRPr="00576A90">
        <w:rPr>
          <w:rStyle w:val="TextoNormalNegritaCaracter"/>
        </w:rPr>
        <w:t xml:space="preserve">Único. </w:t>
      </w:r>
      <w:r>
        <w:t>El examen de las actuaciones, a la vista de las alegaciones del Ministerio Fiscal expuestas en el recurso de súplica, determina que deba confirmarse la inadmisión del presente recurso por las razones expuestas en la providencia impugnada.</w:t>
      </w:r>
    </w:p>
    <w:p w14:paraId="66B21CEE" w14:textId="77777777" w:rsidR="00576A90" w:rsidRDefault="00576A90" w:rsidP="00576A90">
      <w:pPr>
        <w:pStyle w:val="TextoNormal"/>
      </w:pPr>
    </w:p>
    <w:p w14:paraId="69B33C1C" w14:textId="77777777" w:rsidR="00576A90" w:rsidRDefault="00576A90" w:rsidP="00576A90">
      <w:pPr>
        <w:pStyle w:val="TextoNormal"/>
      </w:pPr>
      <w:r>
        <w:t>El Tribunal constata lo siguiente:</w:t>
      </w:r>
    </w:p>
    <w:p w14:paraId="12D23A4B" w14:textId="77777777" w:rsidR="00576A90" w:rsidRDefault="00576A90" w:rsidP="00576A90">
      <w:pPr>
        <w:pStyle w:val="TextoNormal"/>
      </w:pPr>
    </w:p>
    <w:p w14:paraId="70E349CF" w14:textId="77777777" w:rsidR="00576A90" w:rsidRDefault="00576A90" w:rsidP="00576A90">
      <w:pPr>
        <w:pStyle w:val="TextoNormal"/>
      </w:pPr>
      <w:r>
        <w:t>(i) La resolución impugnada que ha dado lugar al presente recurso de amparo, tras su confirmación en reforma y apelación, es la providencia de 12 de mayo de 2022, por la que se deniega la práctica de determinadas diligencias de investigación solicitadas por el demandante, pero que, en ningún caso, acuerda el sobreseimiento de las actuaciones, sino que queda a la espera del resultado del requerimiento de la remisión de determinadas imágenes videográficas.</w:t>
      </w:r>
    </w:p>
    <w:p w14:paraId="66B05FED" w14:textId="77777777" w:rsidR="00576A90" w:rsidRDefault="00576A90" w:rsidP="00576A90">
      <w:pPr>
        <w:pStyle w:val="TextoNormal"/>
      </w:pPr>
    </w:p>
    <w:p w14:paraId="39847239" w14:textId="77777777" w:rsidR="00576A90" w:rsidRDefault="00576A90" w:rsidP="00576A90">
      <w:pPr>
        <w:pStyle w:val="TextoNormal"/>
      </w:pPr>
      <w:r>
        <w:t>(ii) Esa providencia fue adoptada (12 de mayo de 2022) y notificada al recurrente (13 de mayo de 2022) e impugnada en reforma (17 de mayo de 2022) con anterioridad a registrarse en el juzgado el oficio con el resultado negativo sobre la petición del requerimiento (18 de mayo de 2022) y de que dicho resultado fuera notificado al recurrente (24 de mayo de 2022).</w:t>
      </w:r>
    </w:p>
    <w:p w14:paraId="1F98AF01" w14:textId="77777777" w:rsidR="00576A90" w:rsidRDefault="00576A90" w:rsidP="00576A90">
      <w:pPr>
        <w:pStyle w:val="TextoNormal"/>
      </w:pPr>
    </w:p>
    <w:p w14:paraId="37F44BB7" w14:textId="77777777" w:rsidR="00576A90" w:rsidRDefault="00576A90" w:rsidP="00576A90">
      <w:pPr>
        <w:pStyle w:val="TextoNormal"/>
      </w:pPr>
      <w:r>
        <w:t>(iii) No fue hasta la providencia de 24 de octubre de 2022, cuando, una vez recibido el auto resolutorio de la apelación, se acuerda estar al sobreseimiento provisional acordado por el auto de fecha 15 de febrero de 2022 como consecuencia del resultado negativo del requerimiento de las imágenes efectuado y de la confirmación de que no resultaba procedente realizar ulteriores diligencias de investigación.</w:t>
      </w:r>
    </w:p>
    <w:p w14:paraId="2FA60AFC" w14:textId="77777777" w:rsidR="00576A90" w:rsidRDefault="00576A90" w:rsidP="00576A90">
      <w:pPr>
        <w:pStyle w:val="TextoNormal"/>
      </w:pPr>
    </w:p>
    <w:p w14:paraId="6F8F68AB" w14:textId="77777777" w:rsidR="00576A90" w:rsidRDefault="00576A90" w:rsidP="00576A90">
      <w:pPr>
        <w:pStyle w:val="TextoNormal"/>
      </w:pPr>
      <w:r>
        <w:t>Pues bien, estos antecedentes ponen de manifiesto que no se cumple el presupuesto fáctico, que ha servido de fundamento tanto para formular el recurso de amparo por el demandante como el recurso de súplica por el Ministerio Fiscal, de que la providencia de 12 de mayo de 2022 fuera una resolución de sobreseimiento provisional que pusiera fin a la vía judicial previa, habida cuenta de que es notorio que fue con posterioridad al dictado de esa providencia cuando se recibió el resultado del requerimiento efectuado y se acordó, a consecuencia de su resultado negativo, el nuevo sobreseimiento provisional de las actuaciones por providencia de 24 de octubre de 2022.</w:t>
      </w:r>
    </w:p>
    <w:p w14:paraId="43AF44FC" w14:textId="77777777" w:rsidR="00576A90" w:rsidRDefault="00576A90" w:rsidP="00576A90">
      <w:pPr>
        <w:pStyle w:val="TextoNormal"/>
      </w:pPr>
    </w:p>
    <w:p w14:paraId="1E233290" w14:textId="46214EB0" w:rsidR="00576A90" w:rsidRDefault="00576A90" w:rsidP="00576A90">
      <w:pPr>
        <w:pStyle w:val="TextoNormal"/>
      </w:pPr>
      <w:r>
        <w:t>Por tanto, este tribunal se reafirma en que la resolución impugnada no era una resolución de sobreseimiento provisional que ponía fin a la vía judicial previa, tal como exige el art. 44.1 a) LOTC, sino una mera resolución interlocutoria denegatoria de determinadas diligencias de investigación en el curso de una instrucción que en aquel momento no estaba archivada.</w:t>
      </w:r>
    </w:p>
    <w:p w14:paraId="539379FD" w14:textId="77777777" w:rsidR="00576A90" w:rsidRDefault="00576A90" w:rsidP="00576A90">
      <w:pPr>
        <w:pStyle w:val="TextoNormal"/>
      </w:pPr>
    </w:p>
    <w:p w14:paraId="2C0FE70B" w14:textId="77777777" w:rsidR="00576A90" w:rsidRDefault="00576A90" w:rsidP="00576A90">
      <w:pPr>
        <w:pStyle w:val="TextoNormal"/>
      </w:pPr>
      <w:r>
        <w:t>Por lo expuesto, la Sección</w:t>
      </w:r>
    </w:p>
    <w:p w14:paraId="67AEDC40" w14:textId="5D0BE2FD" w:rsidR="00576A90" w:rsidRDefault="00576A90" w:rsidP="00576A90">
      <w:pPr>
        <w:pStyle w:val="TextoNormal"/>
      </w:pPr>
    </w:p>
    <w:p w14:paraId="1B3F5BB5" w14:textId="77777777" w:rsidR="00576A90" w:rsidRDefault="00576A90" w:rsidP="00576A90">
      <w:pPr>
        <w:pStyle w:val="TextoNormalCentrado"/>
      </w:pPr>
      <w:r>
        <w:t>ACUERDA</w:t>
      </w:r>
    </w:p>
    <w:p w14:paraId="70AE9BA6" w14:textId="75961F65" w:rsidR="00576A90" w:rsidRDefault="00576A90" w:rsidP="00576A90">
      <w:pPr>
        <w:pStyle w:val="TextoNormalCentrado"/>
      </w:pPr>
    </w:p>
    <w:p w14:paraId="07BB16A4" w14:textId="2F603AA4" w:rsidR="00576A90" w:rsidRDefault="00576A90" w:rsidP="00576A90">
      <w:pPr>
        <w:pStyle w:val="TextoNormal"/>
      </w:pPr>
      <w:r>
        <w:lastRenderedPageBreak/>
        <w:t>Desestimar el recurso de súplica interpuesto por el Ministerio Fiscal contra la providencia de la Sección Primera de este tribunal de 9 de octubre de 2023.</w:t>
      </w:r>
    </w:p>
    <w:p w14:paraId="3856D125" w14:textId="77777777" w:rsidR="00576A90" w:rsidRDefault="00576A90" w:rsidP="00576A90">
      <w:pPr>
        <w:pStyle w:val="TextoNormal"/>
      </w:pPr>
    </w:p>
    <w:p w14:paraId="62030743" w14:textId="77777777" w:rsidR="00576A90" w:rsidRDefault="00576A90" w:rsidP="00576A90">
      <w:pPr>
        <w:pStyle w:val="TextoNormal"/>
      </w:pPr>
      <w:r>
        <w:t>Madrid, a doce de febrero de dos mil veinticuatro.</w:t>
      </w:r>
    </w:p>
    <w:p w14:paraId="52A2F844" w14:textId="0CA99EB7" w:rsidR="00576A90" w:rsidRDefault="00576A90">
      <w:pPr>
        <w:spacing w:after="160" w:line="259" w:lineRule="auto"/>
        <w:rPr>
          <w:rFonts w:ascii="Times New Roman" w:eastAsia="Times New Roman" w:hAnsi="Times New Roman" w:cs="Times New Roman"/>
          <w:sz w:val="24"/>
          <w:szCs w:val="24"/>
          <w:lang w:eastAsia="es-ES"/>
        </w:rPr>
      </w:pPr>
      <w:r>
        <w:br w:type="page"/>
      </w:r>
    </w:p>
    <w:p w14:paraId="0AF1C8A1" w14:textId="77777777" w:rsidR="00576A90" w:rsidRDefault="00576A90" w:rsidP="00576A90">
      <w:pPr>
        <w:pStyle w:val="TtuloResolucin"/>
      </w:pPr>
      <w:bookmarkStart w:id="109" w:name="AUTO_2024_14"/>
      <w:r>
        <w:lastRenderedPageBreak/>
        <w:t>AUTO 14/2024, de 13 de febrero de 2024</w:t>
      </w:r>
    </w:p>
    <w:bookmarkEnd w:id="109"/>
    <w:p w14:paraId="467A4F01" w14:textId="77777777" w:rsidR="00576A90" w:rsidRDefault="00576A90" w:rsidP="00576A90">
      <w:pPr>
        <w:pStyle w:val="TtuloResolucin"/>
      </w:pPr>
      <w:r>
        <w:t>Pleno</w:t>
      </w:r>
    </w:p>
    <w:p w14:paraId="0391858C" w14:textId="77777777" w:rsidR="00576A90" w:rsidRDefault="00576A90" w:rsidP="00576A90">
      <w:pPr>
        <w:pStyle w:val="TextoNormalCentrado"/>
      </w:pPr>
      <w:r>
        <w:t>ECLI:ES:TC:2024:14A</w:t>
      </w:r>
    </w:p>
    <w:p w14:paraId="455ECDEB" w14:textId="610E7AFF" w:rsidR="00576A90" w:rsidRDefault="00576A90" w:rsidP="00576A90">
      <w:pPr>
        <w:pStyle w:val="TextoNormalCentrado"/>
      </w:pPr>
    </w:p>
    <w:p w14:paraId="0B831D75" w14:textId="77777777" w:rsidR="00576A90" w:rsidRDefault="00576A90" w:rsidP="00576A90">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w:t>
      </w:r>
    </w:p>
    <w:p w14:paraId="33E3AF89" w14:textId="523D0F5C" w:rsidR="00576A90" w:rsidRDefault="00576A90" w:rsidP="00576A90">
      <w:pPr>
        <w:pStyle w:val="SntesisDescriptiva"/>
      </w:pPr>
    </w:p>
    <w:p w14:paraId="5F7BE3ED" w14:textId="77777777" w:rsidR="00576A90" w:rsidRDefault="00576A90" w:rsidP="00576A90">
      <w:pPr>
        <w:pStyle w:val="SntesisDescriptiva"/>
      </w:pPr>
      <w:r>
        <w:t>Acepta una abstención en el recurso de inconstitucionalidad núm. 2061-2022, interpuesto por más de cincuenta diputados del Grupo Parlamentario Popular en relación con la Ley 19/2021, de 20 de diciembre, por la que se establece el ingreso mínimo vital.</w:t>
      </w:r>
    </w:p>
    <w:p w14:paraId="10FF046D" w14:textId="22598624" w:rsidR="00576A90" w:rsidRDefault="00576A90" w:rsidP="00576A90">
      <w:pPr>
        <w:pStyle w:val="SntesisDescriptiva"/>
      </w:pPr>
    </w:p>
    <w:p w14:paraId="7E127E39" w14:textId="77777777" w:rsidR="00576A90" w:rsidRDefault="00576A90" w:rsidP="00576A90">
      <w:pPr>
        <w:pStyle w:val="SntesisDescriptiva"/>
      </w:pPr>
    </w:p>
    <w:p w14:paraId="469D13E9" w14:textId="77777777" w:rsidR="00576A90" w:rsidRDefault="00576A90" w:rsidP="00576A90">
      <w:pPr>
        <w:pStyle w:val="SntesisDescriptiva"/>
      </w:pPr>
    </w:p>
    <w:p w14:paraId="3880326F" w14:textId="77777777" w:rsidR="00576A90" w:rsidRDefault="00576A90" w:rsidP="00576A90">
      <w:pPr>
        <w:pStyle w:val="TextoNormalNegritaCentrado"/>
      </w:pPr>
      <w:r>
        <w:t>AUTO</w:t>
      </w:r>
    </w:p>
    <w:p w14:paraId="6D48F0FC" w14:textId="2251D5B5" w:rsidR="00576A90" w:rsidRDefault="00576A90" w:rsidP="00576A90">
      <w:pPr>
        <w:pStyle w:val="TextoNormalNegritaCentrado"/>
      </w:pPr>
    </w:p>
    <w:p w14:paraId="6057CD50" w14:textId="77777777" w:rsidR="00576A90" w:rsidRDefault="00576A90" w:rsidP="00576A90">
      <w:pPr>
        <w:pStyle w:val="TextoNormalNegritaCentrado"/>
        <w:keepNext/>
      </w:pPr>
      <w:r>
        <w:t>I. Antecedentes</w:t>
      </w:r>
    </w:p>
    <w:p w14:paraId="3F090376" w14:textId="57D6A3D3" w:rsidR="00576A90" w:rsidRDefault="00576A90" w:rsidP="00576A90">
      <w:pPr>
        <w:pStyle w:val="TextoNormalNegritaCentrado"/>
        <w:keepNext/>
      </w:pPr>
    </w:p>
    <w:p w14:paraId="5E78AAF2" w14:textId="62C79028" w:rsidR="00576A90" w:rsidRDefault="00576A90" w:rsidP="00576A90">
      <w:pPr>
        <w:pStyle w:val="TextoNormal"/>
      </w:pPr>
      <w:r w:rsidRPr="00576A90">
        <w:rPr>
          <w:rStyle w:val="NumeroAFNegritaCaracter"/>
        </w:rPr>
        <w:t>1</w:t>
      </w:r>
      <w:r>
        <w:t>. Por escrito fechado el día 1 de febrero de 2024, el magistrado don Juan Carlos Campo Moreno comunicó al señor presidente, a los efectos oportunos, su voluntad de abstenerse de intervenir en el conocimiento del recurso de inconstitucionalidad núm. 2061-2022.</w:t>
      </w:r>
    </w:p>
    <w:p w14:paraId="18FF1254" w14:textId="77777777" w:rsidR="00576A90" w:rsidRDefault="00576A90" w:rsidP="00576A90">
      <w:pPr>
        <w:pStyle w:val="TextoNormal"/>
      </w:pPr>
    </w:p>
    <w:p w14:paraId="709C9CBC" w14:textId="77777777" w:rsidR="00576A90" w:rsidRDefault="00576A90" w:rsidP="00576A90">
      <w:pPr>
        <w:pStyle w:val="TextoNormal"/>
      </w:pPr>
      <w:r w:rsidRPr="00576A90">
        <w:rPr>
          <w:rStyle w:val="NumeroAFNegritaCaracter"/>
        </w:rPr>
        <w:t>2</w:t>
      </w:r>
      <w:r>
        <w:t>. La solicitud de abstención se vincula al hecho de haber participado, en la condición de Ministro de Justicia, en el Consejo de Ministros de 29 de mayo de 2020, en el que se aprobó el Real Decreto-ley 20/2020, de 29 de mayo, por el que se establece el ingreso mínimo vital que después fue tramitado por las Cortes como proyecto de ley y dio lugar, finalmente, a la Ley 19/2021, de 20 de diciembre, por la que se establece el ingreso mínimo vital, siendo la disposición adicional quinta de esta ley (en la redacción dada por la Ley 22/2021, de 28 de diciembre, de presupuestos generales del Estado para el año 2022) la que resulta impugnada en el recurso de inconstitucionalidad núm. 2061-2022.</w:t>
      </w:r>
    </w:p>
    <w:p w14:paraId="00138277" w14:textId="77777777" w:rsidR="00576A90" w:rsidRDefault="00576A90" w:rsidP="00576A90">
      <w:pPr>
        <w:pStyle w:val="TextoNormal"/>
      </w:pPr>
    </w:p>
    <w:p w14:paraId="1F63DC8A" w14:textId="01F28332" w:rsidR="00576A90" w:rsidRDefault="00576A90" w:rsidP="00576A90">
      <w:pPr>
        <w:pStyle w:val="TextoNormal"/>
      </w:pPr>
      <w:r>
        <w:t>Considera el magistrado que su intervención, en su anterior condición de Ministro de Justicia, en el Consejo de Ministros referenciado integra, de acuerdo con los arts. 2, 5, 18, 22 y 24 de la Ley 50/1997, de 27 de noviembre, del Gobierno la causa de abstención recogida en el art. 219.13 de la Ley Orgánica del Poder Judicial (LOPJ), según la cual lo es: “Haber ocupado cargo público, desempeñado empleo o ejercido profesión con ocasión de los cuales haya participado directa o indirectamente en el asunto objeto del pleito o causa o en otro relacionado con el mismo”.</w:t>
      </w:r>
    </w:p>
    <w:p w14:paraId="0DFA92E9" w14:textId="77777777" w:rsidR="00576A90" w:rsidRDefault="00576A90" w:rsidP="00576A90">
      <w:pPr>
        <w:pStyle w:val="TextoNormal"/>
      </w:pPr>
    </w:p>
    <w:p w14:paraId="63EEAEA2" w14:textId="77777777" w:rsidR="00576A90" w:rsidRDefault="00576A90" w:rsidP="00576A90">
      <w:pPr>
        <w:pStyle w:val="TextoNormalNegritaCentrado"/>
        <w:keepNext/>
      </w:pPr>
      <w:r>
        <w:t>II. Fundamentos jurídicos</w:t>
      </w:r>
    </w:p>
    <w:p w14:paraId="4EC7C386" w14:textId="3FF2E2AC" w:rsidR="00A36835" w:rsidRDefault="00A36835" w:rsidP="00576A90">
      <w:pPr>
        <w:keepNext/>
      </w:pPr>
    </w:p>
    <w:p w14:paraId="56009268" w14:textId="14ACD188" w:rsidR="00576A90" w:rsidRDefault="00576A90" w:rsidP="00576A90">
      <w:pPr>
        <w:pStyle w:val="TextoNormal"/>
      </w:pPr>
      <w:r w:rsidRPr="00576A90">
        <w:rPr>
          <w:rStyle w:val="TextoNormalNegritaCaracter"/>
        </w:rPr>
        <w:t xml:space="preserve">Único. </w:t>
      </w:r>
      <w:r>
        <w:t xml:space="preserve">Visto el contenido de la comunicación efectuada por el magistrado don Juan Carlos Campo Moreno, en virtud de lo previsto en los arts. 80 de la Ley Orgánica del Tribunal Constitucional y 221.4 LOPJ, se estima justificada la causa de la abstención formulada. La participación del magistrado, en su anterior condición de Ministro de Justicia, en </w:t>
      </w:r>
      <w:r>
        <w:lastRenderedPageBreak/>
        <w:t>el Consejo de Ministros de 29 de mayo de 2020, integra, de acuerdo con los arts. 2, 5, 18, 22 y 24 de la Ley 50/1997, de 27 de noviembre, del Gobierno, la causa de abstención recogida en el art. 219.13 LOPJ: “Haber ocupado cargo público, desempeñado empleo o ejercido profesión con ocasión de los cuales haya participado directa o indirectamente en el asunto objeto del pleito o causa o en otro relacionado con el mismo”.</w:t>
      </w:r>
    </w:p>
    <w:p w14:paraId="24275EBC" w14:textId="77777777" w:rsidR="00576A90" w:rsidRDefault="00576A90" w:rsidP="00576A90">
      <w:pPr>
        <w:pStyle w:val="TextoNormal"/>
      </w:pPr>
    </w:p>
    <w:p w14:paraId="0BD3B5ED" w14:textId="77777777" w:rsidR="00576A90" w:rsidRDefault="00576A90" w:rsidP="00576A90">
      <w:pPr>
        <w:pStyle w:val="TextoNormal"/>
      </w:pPr>
      <w:r>
        <w:t>Por lo expuesto, el Pleno</w:t>
      </w:r>
    </w:p>
    <w:p w14:paraId="23B65D33" w14:textId="26224592" w:rsidR="00576A90" w:rsidRDefault="00576A90" w:rsidP="00576A90">
      <w:pPr>
        <w:pStyle w:val="TextoNormal"/>
      </w:pPr>
    </w:p>
    <w:p w14:paraId="424DD40A" w14:textId="77777777" w:rsidR="00576A90" w:rsidRDefault="00576A90" w:rsidP="00576A90">
      <w:pPr>
        <w:pStyle w:val="TextoNormalCentrado"/>
      </w:pPr>
      <w:r>
        <w:t>ACUERDA</w:t>
      </w:r>
    </w:p>
    <w:p w14:paraId="6DCEC945" w14:textId="310C5CB8" w:rsidR="00576A90" w:rsidRDefault="00576A90" w:rsidP="00576A90">
      <w:pPr>
        <w:pStyle w:val="TextoNormalCentrado"/>
      </w:pPr>
    </w:p>
    <w:p w14:paraId="1D62B7A2" w14:textId="77777777" w:rsidR="00576A90" w:rsidRDefault="00576A90" w:rsidP="00576A90">
      <w:pPr>
        <w:pStyle w:val="TextoNormal"/>
      </w:pPr>
      <w:r>
        <w:t>Estimar justificada la abstención formulada por el magistrado don Juan Carlos Campo Moreno, apartándole definitivamente del conocimiento del recurso de inconstitucionalidad núm. 2061-2022.</w:t>
      </w:r>
    </w:p>
    <w:p w14:paraId="72775B38" w14:textId="77777777" w:rsidR="00576A90" w:rsidRDefault="00576A90" w:rsidP="00576A90">
      <w:pPr>
        <w:pStyle w:val="TextoNormal"/>
      </w:pPr>
    </w:p>
    <w:p w14:paraId="4E7C75B1" w14:textId="67F35C2B" w:rsidR="00576A90" w:rsidRDefault="00576A90" w:rsidP="00576A90">
      <w:pPr>
        <w:pStyle w:val="TextoNormal"/>
      </w:pPr>
      <w:r>
        <w:t>Notifíquese a las partes.</w:t>
      </w:r>
    </w:p>
    <w:p w14:paraId="3BEE73C8" w14:textId="77777777" w:rsidR="00576A90" w:rsidRDefault="00576A90" w:rsidP="00576A90">
      <w:pPr>
        <w:pStyle w:val="TextoNormal"/>
      </w:pPr>
    </w:p>
    <w:p w14:paraId="05EBC40B" w14:textId="77777777" w:rsidR="00576A90" w:rsidRDefault="00576A90" w:rsidP="00576A90">
      <w:pPr>
        <w:pStyle w:val="TextoNormal"/>
      </w:pPr>
      <w:r>
        <w:t>Madrid, a trece de febrero de dos mil veinticuatro.</w:t>
      </w:r>
    </w:p>
    <w:p w14:paraId="01F4B14A" w14:textId="234211D1" w:rsidR="00576A90" w:rsidRDefault="00576A90">
      <w:pPr>
        <w:spacing w:after="160" w:line="259" w:lineRule="auto"/>
        <w:rPr>
          <w:rFonts w:ascii="Times New Roman" w:eastAsia="Times New Roman" w:hAnsi="Times New Roman" w:cs="Times New Roman"/>
          <w:sz w:val="24"/>
          <w:szCs w:val="24"/>
          <w:lang w:eastAsia="es-ES"/>
        </w:rPr>
      </w:pPr>
      <w:r>
        <w:br w:type="page"/>
      </w:r>
    </w:p>
    <w:p w14:paraId="48EED9B0" w14:textId="77777777" w:rsidR="00576A90" w:rsidRDefault="00576A90" w:rsidP="00576A90">
      <w:pPr>
        <w:pStyle w:val="TtuloResolucin"/>
      </w:pPr>
      <w:bookmarkStart w:id="110" w:name="AUTO_2024_15"/>
      <w:r>
        <w:lastRenderedPageBreak/>
        <w:t>AUTO 15/2024, de 13 de febrero de 2024</w:t>
      </w:r>
    </w:p>
    <w:bookmarkEnd w:id="110"/>
    <w:p w14:paraId="2DABBBEC" w14:textId="77777777" w:rsidR="00576A90" w:rsidRDefault="00576A90" w:rsidP="00576A90">
      <w:pPr>
        <w:pStyle w:val="TtuloResolucin"/>
      </w:pPr>
      <w:r>
        <w:t>Sala Primera</w:t>
      </w:r>
    </w:p>
    <w:p w14:paraId="6CD07C1E" w14:textId="77777777" w:rsidR="00576A90" w:rsidRDefault="00576A90" w:rsidP="00576A90">
      <w:pPr>
        <w:pStyle w:val="TextoNormalCentrado"/>
      </w:pPr>
      <w:r>
        <w:t>ECLI:ES:TC:2024:15A</w:t>
      </w:r>
    </w:p>
    <w:p w14:paraId="4B79A0CF" w14:textId="141B0D0E" w:rsidR="00576A90" w:rsidRDefault="00576A90" w:rsidP="00576A90">
      <w:pPr>
        <w:pStyle w:val="TextoNormalCentrado"/>
      </w:pPr>
    </w:p>
    <w:p w14:paraId="484E7FD9" w14:textId="77777777" w:rsidR="00576A90" w:rsidRDefault="00576A90" w:rsidP="00576A90">
      <w:pPr>
        <w:pStyle w:val="SntesisDescriptiva"/>
      </w:pPr>
      <w:r>
        <w:t>Excms. Srs. don Cándido Conde-Pumpido Tourón, don Ricardo Enríquez Sancho, doña Concepción Espejel Jorquera, doña María Luisa Segoviano Astaburuaga y don Juan Carlos Campo Moreno.</w:t>
      </w:r>
    </w:p>
    <w:p w14:paraId="132448C5" w14:textId="72086D1A" w:rsidR="00576A90" w:rsidRDefault="00576A90" w:rsidP="00576A90">
      <w:pPr>
        <w:pStyle w:val="SntesisDescriptiva"/>
      </w:pPr>
    </w:p>
    <w:p w14:paraId="10548BD6" w14:textId="77777777" w:rsidR="00576A90" w:rsidRDefault="00576A90" w:rsidP="00576A90">
      <w:pPr>
        <w:pStyle w:val="SntesisDescriptiva"/>
      </w:pPr>
      <w:r>
        <w:t>Deniega la suspensión en el recurso de amparo 8554-2022, promovido por don A.J.S., en procedimiento de jurisdicción voluntaria.</w:t>
      </w:r>
    </w:p>
    <w:p w14:paraId="62784454" w14:textId="3AE2228F" w:rsidR="00576A90" w:rsidRDefault="00576A90" w:rsidP="00576A90">
      <w:pPr>
        <w:pStyle w:val="SntesisDescriptiva"/>
      </w:pPr>
    </w:p>
    <w:p w14:paraId="14D88484" w14:textId="77777777" w:rsidR="00576A90" w:rsidRDefault="00576A90" w:rsidP="00576A90">
      <w:pPr>
        <w:pStyle w:val="SntesisDescriptiva"/>
      </w:pPr>
    </w:p>
    <w:p w14:paraId="7AAE2B7E" w14:textId="77777777" w:rsidR="00576A90" w:rsidRDefault="00576A90" w:rsidP="00576A90">
      <w:pPr>
        <w:pStyle w:val="SntesisDescriptiva"/>
      </w:pPr>
    </w:p>
    <w:p w14:paraId="03B85D43" w14:textId="77777777" w:rsidR="00576A90" w:rsidRDefault="00576A90" w:rsidP="00576A90">
      <w:pPr>
        <w:pStyle w:val="TextoNormalNegritaCentrado"/>
      </w:pPr>
      <w:r>
        <w:t>AUTO</w:t>
      </w:r>
    </w:p>
    <w:p w14:paraId="5CF45B97" w14:textId="256A8D38" w:rsidR="00576A90" w:rsidRDefault="00576A90" w:rsidP="00576A90">
      <w:pPr>
        <w:pStyle w:val="TextoNormalNegritaCentrado"/>
      </w:pPr>
    </w:p>
    <w:p w14:paraId="6F0C31DB" w14:textId="77777777" w:rsidR="00576A90" w:rsidRDefault="00576A90" w:rsidP="00576A90">
      <w:pPr>
        <w:pStyle w:val="TextoNormalNegritaCentrado"/>
        <w:keepNext/>
      </w:pPr>
      <w:r>
        <w:t>I. Antecedentes</w:t>
      </w:r>
    </w:p>
    <w:p w14:paraId="51DE6F65" w14:textId="5D6461E3" w:rsidR="00576A90" w:rsidRDefault="00576A90" w:rsidP="00576A90">
      <w:pPr>
        <w:pStyle w:val="TextoNormalNegritaCentrado"/>
        <w:keepNext/>
      </w:pPr>
    </w:p>
    <w:p w14:paraId="42569F56" w14:textId="6FBDE42F" w:rsidR="00576A90" w:rsidRDefault="00576A90" w:rsidP="00576A90">
      <w:pPr>
        <w:pStyle w:val="TextoNormal"/>
      </w:pPr>
      <w:r w:rsidRPr="00576A90">
        <w:rPr>
          <w:rStyle w:val="NumeroAFNegritaCaracter"/>
        </w:rPr>
        <w:t>1</w:t>
      </w:r>
      <w:r>
        <w:t>. Con fecha 27 de diciembre de 2022 tuvo entrada en el registro general de este tribunal escrito de la procuradora de los tribunales, doña María José Ríos Padrón, en nombre y representación de don A.J.S., asistido del letrado don Alexis José Aneas Fernández, en el que formaliza demanda de amparo contra las resoluciones que constan en el encabezamiento.</w:t>
      </w:r>
    </w:p>
    <w:p w14:paraId="7433FB20" w14:textId="77777777" w:rsidR="00576A90" w:rsidRDefault="00576A90" w:rsidP="00576A90">
      <w:pPr>
        <w:pStyle w:val="TextoNormal"/>
      </w:pPr>
    </w:p>
    <w:p w14:paraId="3A703EE8" w14:textId="77777777" w:rsidR="00576A90" w:rsidRDefault="00576A90" w:rsidP="00576A90">
      <w:pPr>
        <w:pStyle w:val="TextoNormal"/>
      </w:pPr>
      <w:r w:rsidRPr="00576A90">
        <w:rPr>
          <w:rStyle w:val="NumeroAFNegritaCaracter"/>
        </w:rPr>
        <w:t>2</w:t>
      </w:r>
      <w:r>
        <w:t>. Los hechos relevantes para la resolución de esta pieza de suspensión, tal y como se deducen de la demanda y la documentación hasta ahora aportada, son los siguientes:</w:t>
      </w:r>
    </w:p>
    <w:p w14:paraId="0F062772" w14:textId="77777777" w:rsidR="00576A90" w:rsidRDefault="00576A90" w:rsidP="00576A90">
      <w:pPr>
        <w:pStyle w:val="TextoNormal"/>
      </w:pPr>
    </w:p>
    <w:p w14:paraId="1C0D8862" w14:textId="77777777" w:rsidR="00576A90" w:rsidRDefault="00576A90" w:rsidP="00576A90">
      <w:pPr>
        <w:pStyle w:val="TextoNormal"/>
      </w:pPr>
      <w:r>
        <w:t>a) Al amparo de lo previsto en el art. 156 del Código civil el procurador don José Carlos Jiménez Segado, en representación de doña V.G.M., promovió el 17 de enero de 2022 expediente de jurisdicción voluntaria por divergencia en el ejercicio de la patria potestad respecto del otro progenitor —don A.J.S., ahora demandante de amparo— acerca de la facultad de decidir unilateralmente sobre la inoculación de la vacuna contra la covid-19 a sus hijas menores de edad, nacidas el 17 de diciembre de 2012 y el 30 de junio de 2014.</w:t>
      </w:r>
    </w:p>
    <w:p w14:paraId="03184BC9" w14:textId="77777777" w:rsidR="00576A90" w:rsidRDefault="00576A90" w:rsidP="00576A90">
      <w:pPr>
        <w:pStyle w:val="TextoNormal"/>
      </w:pPr>
    </w:p>
    <w:p w14:paraId="3C1B4774" w14:textId="77777777" w:rsidR="00576A90" w:rsidRDefault="00576A90" w:rsidP="00576A90">
      <w:pPr>
        <w:pStyle w:val="TextoNormal"/>
      </w:pPr>
      <w:r>
        <w:t>b) La solicitud dio lugar a la incoación del expediente de jurisdicción voluntaria núm. 168-2022 en el Juzgado de Primera Instancia núm. 16 de Málaga, que mediante el auto 102/2022, de 28 de abril, estimó la petición formulada, apoyada por el Ministerio Fiscal, y atribuyó a la solicitante "la facultad en exclusiva de decidir conforme a la recomendación médica oportuna sobre la vacunación a sus hijas menores contra el covid-19, sin necesidad de intervención del padre en tal decisión".</w:t>
      </w:r>
    </w:p>
    <w:p w14:paraId="3D477991" w14:textId="77777777" w:rsidR="00576A90" w:rsidRDefault="00576A90" w:rsidP="00576A90">
      <w:pPr>
        <w:pStyle w:val="TextoNormal"/>
      </w:pPr>
    </w:p>
    <w:p w14:paraId="22EF3ADA" w14:textId="77777777" w:rsidR="00576A90" w:rsidRDefault="00576A90" w:rsidP="00576A90">
      <w:pPr>
        <w:pStyle w:val="TextoNormal"/>
      </w:pPr>
      <w:r>
        <w:t>Expuesta de forma sintética, la decisión judicial se fundamenta en los siguientes argumentos:</w:t>
      </w:r>
    </w:p>
    <w:p w14:paraId="099DD841" w14:textId="77777777" w:rsidR="00576A90" w:rsidRDefault="00576A90" w:rsidP="00576A90">
      <w:pPr>
        <w:pStyle w:val="TextoNormal"/>
      </w:pPr>
    </w:p>
    <w:p w14:paraId="1069B9BD" w14:textId="77777777" w:rsidR="00576A90" w:rsidRDefault="00576A90" w:rsidP="00576A90">
      <w:pPr>
        <w:pStyle w:val="TextoNormal"/>
      </w:pPr>
      <w:r>
        <w:t xml:space="preserve">(i) La recomendación sanitaria autorizada en España para esta vacunación a menores de edad se basa en criterios de salud a favor del menor receptor, con el mismo sostén científico y médico que se aplica al resto de vacunas dado su carácter preventivo; así se han pronunciado la Comisión de Salud Pública del Sistema Nacional de Salud y la Asociación </w:t>
      </w:r>
      <w:r>
        <w:lastRenderedPageBreak/>
        <w:t>Española de Pediatría, y se ha comprobado la utilidad y efectos de la vacuna en el amplio rango de población ya vacunado, incluida la población infantil.</w:t>
      </w:r>
    </w:p>
    <w:p w14:paraId="063E0D5C" w14:textId="77777777" w:rsidR="00576A90" w:rsidRDefault="00576A90" w:rsidP="00576A90">
      <w:pPr>
        <w:pStyle w:val="TextoNormal"/>
      </w:pPr>
    </w:p>
    <w:p w14:paraId="492BE562" w14:textId="77777777" w:rsidR="00576A90" w:rsidRDefault="00576A90" w:rsidP="00576A90">
      <w:pPr>
        <w:pStyle w:val="TextoNormal"/>
      </w:pPr>
      <w:r>
        <w:t>(ii) El padre de las menores no ha ofrecido argumentos médicos referidos a las condiciones de aquellas que hicieran no recomendable vacunarlas, sino que se remite a argumentos generalistas sobre meras probabilidades de efectos secundarios.</w:t>
      </w:r>
    </w:p>
    <w:p w14:paraId="44212E83" w14:textId="77777777" w:rsidR="00576A90" w:rsidRDefault="00576A90" w:rsidP="00576A90">
      <w:pPr>
        <w:pStyle w:val="TextoNormal"/>
      </w:pPr>
    </w:p>
    <w:p w14:paraId="34768B46" w14:textId="77777777" w:rsidR="00576A90" w:rsidRDefault="00576A90" w:rsidP="00576A90">
      <w:pPr>
        <w:pStyle w:val="TextoNormal"/>
      </w:pPr>
      <w:r>
        <w:t>(iii) Las menores han recibido todo el calendario vacunal con consentimiento de ambos progenitores, resultando de conocimiento común que todas las vacunas pueden tener efectos secundarios, pese a lo cual no existió impedimento para su administración.</w:t>
      </w:r>
    </w:p>
    <w:p w14:paraId="4FDB3887" w14:textId="77777777" w:rsidR="00576A90" w:rsidRDefault="00576A90" w:rsidP="00576A90">
      <w:pPr>
        <w:pStyle w:val="TextoNormal"/>
      </w:pPr>
    </w:p>
    <w:p w14:paraId="31AD5FE8" w14:textId="77777777" w:rsidR="00576A90" w:rsidRDefault="00576A90" w:rsidP="00576A90">
      <w:pPr>
        <w:pStyle w:val="TextoNormal"/>
      </w:pPr>
      <w:r>
        <w:t xml:space="preserve">(iv) El criterio de la madre es el que puede realmente proteger el superior interés de las menores al no negarse a considerar la opción de vacunación, lo cual demuestra la correcta aplicación de un criterio de decisión fundado, que valora todas las posibilidades sin excluir </w:t>
      </w:r>
      <w:r w:rsidRPr="00576A90">
        <w:rPr>
          <w:i/>
        </w:rPr>
        <w:t>a priori</w:t>
      </w:r>
      <w:r>
        <w:t xml:space="preserve"> ninguna, criterio que será el finalmente determinante conforme a la recomendación médica.</w:t>
      </w:r>
    </w:p>
    <w:p w14:paraId="6A8AFCAB" w14:textId="77777777" w:rsidR="00576A90" w:rsidRDefault="00576A90" w:rsidP="00576A90">
      <w:pPr>
        <w:pStyle w:val="TextoNormal"/>
      </w:pPr>
    </w:p>
    <w:p w14:paraId="73229010" w14:textId="77777777" w:rsidR="00576A90" w:rsidRDefault="00576A90" w:rsidP="00576A90">
      <w:pPr>
        <w:pStyle w:val="TextoNormal"/>
      </w:pPr>
      <w:r>
        <w:t>c) El padre de las menores interpuso recurso de apelación contra la anterior resolución mediante escrito fechado el 26 de mayo de 2022, en el que alegó la vulneración: (i) del derecho a la tutela judicial efectiva (art. 24.1 CE), por déficit de motivación del auto impugnado, así como la infracción del art. 6.1 del Convenio para la protección de los derechos humanos y la dignidad del ser humano con respecto a las aplicaciones de la biología y la medicina (convenio relativo a los derechos humanos y la biomedicina; (iii) los arts. 8 y 9.5 de la Ley 41 /2002, de 14 de noviembre, básica reguladora de la autonomía del paciente y de derechos y obligaciones en materia de información y documentación clínica —por falta de consentimiento informado—; (iv) los arts. 3.1 c) y h), 3.2, 4 y 5 del Real Decreto 1090/2015, de 4 de diciembre, por el que se regulan los ensayos clínicos con medicamentos, los comités de ética de la investigación con medicamentos y el registro español de estudios clínicos; y (v) el art. 19.2 c) del Real Decreto Legislativo 1/2015, de 24 de julio, sobe la necesidad de prescripción médica. Asimismo, alegó "falta de jurisdicción" y la primacía del superior interés del menor respecto al interés social de la vacunación.</w:t>
      </w:r>
    </w:p>
    <w:p w14:paraId="13C682FF" w14:textId="77777777" w:rsidR="00576A90" w:rsidRDefault="00576A90" w:rsidP="00576A90">
      <w:pPr>
        <w:pStyle w:val="TextoNormal"/>
      </w:pPr>
    </w:p>
    <w:p w14:paraId="1E365D4E" w14:textId="77777777" w:rsidR="00576A90" w:rsidRDefault="00576A90" w:rsidP="00576A90">
      <w:pPr>
        <w:pStyle w:val="TextoNormal"/>
      </w:pPr>
      <w:r>
        <w:t>Al recurso de apelación se opusieron doña V.G.M., y el Ministerio Fiscal.</w:t>
      </w:r>
    </w:p>
    <w:p w14:paraId="516DC996" w14:textId="77777777" w:rsidR="00576A90" w:rsidRDefault="00576A90" w:rsidP="00576A90">
      <w:pPr>
        <w:pStyle w:val="TextoNormal"/>
      </w:pPr>
    </w:p>
    <w:p w14:paraId="2E0C603C" w14:textId="77777777" w:rsidR="00576A90" w:rsidRDefault="00576A90" w:rsidP="00576A90">
      <w:pPr>
        <w:pStyle w:val="TextoNormal"/>
      </w:pPr>
      <w:r>
        <w:t>d) La impugnación dio lugar al rollo de apelación civil núm. 1385-2022 de la Sección Sexta de la Audiencia Provincial de Málaga, que desestimó la apelación y confirmó el auto impugnado mediante el auto núm. 170/2022, de 13 de julio de 2022.</w:t>
      </w:r>
    </w:p>
    <w:p w14:paraId="199BA524" w14:textId="77777777" w:rsidR="00576A90" w:rsidRDefault="00576A90" w:rsidP="00576A90">
      <w:pPr>
        <w:pStyle w:val="TextoNormal"/>
      </w:pPr>
    </w:p>
    <w:p w14:paraId="43E19206" w14:textId="77777777" w:rsidR="00576A90" w:rsidRDefault="00576A90" w:rsidP="00576A90">
      <w:pPr>
        <w:pStyle w:val="TextoNormal"/>
      </w:pPr>
      <w:r>
        <w:t>Al margen de las cuestiones procesales planteadas en el recurso de apelación, en lo que ahora interesa para la resolución de este incidente de suspensión cautelar, la Sala centra el objeto de la controversia en que no se trata de si las menores han de ser vacunadas o no contra la covid-19, sino decidir, ante la discrepancia surgida entre los progenitores en el ejercicio de la patria potestad, si procede o no atribuir a la madre en exclusiva su ejercicio. Dicho lo anterior, el auto confirma que ha de recaer en la madre la atribución en exclusiva de la decisión sobre la vacunación a las hijas, con base en las siguientes consideraciones:</w:t>
      </w:r>
    </w:p>
    <w:p w14:paraId="3B60DFC6" w14:textId="77777777" w:rsidR="00576A90" w:rsidRDefault="00576A90" w:rsidP="00576A90">
      <w:pPr>
        <w:pStyle w:val="TextoNormal"/>
      </w:pPr>
    </w:p>
    <w:p w14:paraId="3BA38423" w14:textId="77777777" w:rsidR="00576A90" w:rsidRDefault="00576A90" w:rsidP="00576A90">
      <w:pPr>
        <w:pStyle w:val="TextoNormal"/>
      </w:pPr>
      <w:r>
        <w:t xml:space="preserve">(i) La solución que se adopte no puede estar presidida por la búsqueda de una verdad material de tipo científico (bondad o no de la vacuna), principio que no rige en el proceso </w:t>
      </w:r>
      <w:r>
        <w:lastRenderedPageBreak/>
        <w:t>civil a la vista de las limitaciones que para el mismo suponen los principios de alegación de parte, rogación y dispositivo. Consecuentemente, la Sala no entra en una polémica científica sobre las bondades o no de la vacuna frente a la covid-19 en menores de edad, pues es indiscutible que en el actual estado de conocimiento de los científicos y expertos en la materia existen opiniones y criterios encontrados, muchos de aparente solvencia y otros no tanto, circunstancia esta que excluye un examen científico pormenorizado de la abundante documentación sobre la cuestión aportada al procedimiento.</w:t>
      </w:r>
    </w:p>
    <w:p w14:paraId="26132CAB" w14:textId="77777777" w:rsidR="00576A90" w:rsidRDefault="00576A90" w:rsidP="00576A90">
      <w:pPr>
        <w:pStyle w:val="TextoNormal"/>
      </w:pPr>
    </w:p>
    <w:p w14:paraId="0B66B5AD" w14:textId="77777777" w:rsidR="00576A90" w:rsidRDefault="00576A90" w:rsidP="00576A90">
      <w:pPr>
        <w:pStyle w:val="TextoNormal"/>
      </w:pPr>
      <w:r>
        <w:t>(ii) Al tratarse de una decisión que afecta a menores de edad, su interés ha de presidir los criterios para la resolución que se adopte.</w:t>
      </w:r>
    </w:p>
    <w:p w14:paraId="07938E67" w14:textId="77777777" w:rsidR="00576A90" w:rsidRDefault="00576A90" w:rsidP="00576A90">
      <w:pPr>
        <w:pStyle w:val="TextoNormal"/>
      </w:pPr>
    </w:p>
    <w:p w14:paraId="1733EAA8" w14:textId="77777777" w:rsidR="00576A90" w:rsidRDefault="00576A90" w:rsidP="00576A90">
      <w:pPr>
        <w:pStyle w:val="TextoNormal"/>
      </w:pPr>
      <w:r>
        <w:t>(iii) Las objeciones del padre se centran en que nos encontraríamos ante una vacuna basada en una técnica novedosa, cuyos riesgos no estarían debidamente estudiados a medio/largo plazo y que podrían ocasionar efectos secundarios indeseados a las menores; alegación que se basa en argumentos de carácter generalista relativos a tales posibles efectos —precisa la Sala que todas las vacunas los tienen y las menores, según han reconocido los padres, han cumplido todo el calendario vacunal con el consentimiento de ambos, quienes son conscientes de que cualquier vacuna puede tener efectos secundarios— y si bien es cierto que se está ante una vacuna novedosa, basada en una técnica pionera y desarrollada en tiempo récord, ello no la convierte en un tratamiento inseguro o peligroso para la salud, porque la vacuna ha sido aprobada por la Agencia Europea de Medicamentos (EMA), y la cuestión es eminentemente técnica, en la que frente a interpretaciones subjetivas y parciales efectuadas por profanos en la materia, debe otorgarse prevalencia a las conclusiones que han alcanzado la mayoría de los expertos y especialistas tras el análisis objetivo de los datos clínicos que han arrojado los ensayos y experimentos realizados, siendo que la recomendación sanitaria autorizada en España para la vacunación de menores de edad se basa en criterios de salud, con el mismo sostén científico que se aplica al resto de vacunas, todas de carácter preventivo, y en tal sentido se han pronunciado la Comisión de Salud Pública del Consejo Interterritorial del Sistema Nacional de Salud y la Asociación Española de Pediatría.</w:t>
      </w:r>
    </w:p>
    <w:p w14:paraId="3AA43002" w14:textId="77777777" w:rsidR="00576A90" w:rsidRDefault="00576A90" w:rsidP="00576A90">
      <w:pPr>
        <w:pStyle w:val="TextoNormal"/>
      </w:pPr>
    </w:p>
    <w:p w14:paraId="72F935F8" w14:textId="48EE523B" w:rsidR="00576A90" w:rsidRDefault="00576A90" w:rsidP="00576A90">
      <w:pPr>
        <w:pStyle w:val="TextoNormal"/>
      </w:pPr>
      <w:r>
        <w:t xml:space="preserve">(iv) Frente a la ausencia de riesgo relevante en la administración de la vacuna, la Sala analiza los riesgos que para el paciente pudieran derivarse en caso de no serle dispensada. A este respecto, señala que la realidad cotidiana muestra la alta transmisibilidad del virus y la gravedad en muchos casos de las consecuencias de padecerlo. Es un hecho notorio que la vacuna en cuestión para los menores de entre cinco y doce años ha sido aprobada por la EMA y por la AEMPS; la OMS (Organización Mundial de la Salud) reconoce que la vacuna de Pfizer puede administrarse con seguridad en niños a partir de los cinco años; el Ministerio de Sanidad de España refiere que actualmente se dispone de una vacuna autorizada para administrar a este grupo de población de entre cinco y doce años (Comirnaty 10 μg/dosis, Pfizer-BioNTech); y el principal estudio que ha permitido autorizar el uso de esta vacuna en menores muestra que la administración de dos dosis es segura y eficaz en el indicado grupo de edad. Siendo cierto que la citada vacuna Comirnaty 10 μg/dosis está contraindicada en personas con antecedentes de reacciones alérgicas graves a una dosis previa de la propia vacuna o a algún componente de la misma, igualmente lo es que el padre de las menores manifestó que estas habían recibido toda la pauta de vacunación completa, aun siendo conscientes los padres de que cualquier vacuna puede tener efectos secundarios. Por último, la Sala declara que las menores están sanas y no padecen ningún </w:t>
      </w:r>
      <w:r>
        <w:lastRenderedPageBreak/>
        <w:t>tipo de alergia, sin que se haya aportado informe médico que desaconseje su vacunación frente a la covid-19.</w:t>
      </w:r>
    </w:p>
    <w:p w14:paraId="0EF811D2" w14:textId="77777777" w:rsidR="00576A90" w:rsidRDefault="00576A90" w:rsidP="00576A90">
      <w:pPr>
        <w:pStyle w:val="TextoNormal"/>
      </w:pPr>
    </w:p>
    <w:p w14:paraId="63484459" w14:textId="77777777" w:rsidR="00576A90" w:rsidRDefault="00576A90" w:rsidP="00576A90">
      <w:pPr>
        <w:pStyle w:val="TextoNormal"/>
      </w:pPr>
      <w:r w:rsidRPr="00576A90">
        <w:rPr>
          <w:rStyle w:val="NumeroAFNegritaCaracter"/>
        </w:rPr>
        <w:t>3</w:t>
      </w:r>
      <w:r>
        <w:t>. El recurrente en la demanda de amparo alega, en esencia, que las resoluciones judiciales impugnadas vulneran los derechos fundamentales a la tutela judicial efectiva (art. 24 CE) en relación con el principio de la seguridad jurídica (art. 9.3 CE), así como los derechos fundamentales a la integridad física y moral (art. 15 CE) y a la igualdad y no discriminación (art. 14 CE), al atribuir unilateralmente a uno de los progenitores, mediante resolución judicial dictada en procedimiento de jurisdicción voluntaria, la facultad de inocular a las hijas menores de edad “las denominadas vacunas contra la covid-19 —en su estatus actual—, esto es, como medicamento bajo distintivo triángulo negro, bajo autorización condicional y seguimiento adicional, y que, para confirmar la eficacia y seguridad el fabricante deberá enviar el informe del estudio clínico final para el estudio aleatorizado, controlado con placebo y con enmascaramiento en diciembre de 2023 (plazo ampliado cinco años más por los graves casos de pericarditis y miocarditis)”.</w:t>
      </w:r>
    </w:p>
    <w:p w14:paraId="6154B5E5" w14:textId="77777777" w:rsidR="00576A90" w:rsidRDefault="00576A90" w:rsidP="00576A90">
      <w:pPr>
        <w:pStyle w:val="TextoNormal"/>
      </w:pPr>
    </w:p>
    <w:p w14:paraId="4720C4C2" w14:textId="77777777" w:rsidR="00576A90" w:rsidRDefault="00576A90" w:rsidP="00576A90">
      <w:pPr>
        <w:pStyle w:val="TextoNormal"/>
      </w:pPr>
      <w:r>
        <w:t>Añade que “las menores han pasado la covid-19 por lo que ya poseen inmunidad natural que, como ha quedado acreditado es más perdurable y efectiva que la protección producida por las vacunas contra la covid-19 que solo producen una reacción inmunitaria contra la proteína ‘S’, justo aquella propensa a la mutación, causante de la fuga vacunal y la ineficacia de estas vacunas para frenar los contagios como quedó evidenciado ante la variante ómicron”.</w:t>
      </w:r>
    </w:p>
    <w:p w14:paraId="7A2AF9AD" w14:textId="77777777" w:rsidR="00576A90" w:rsidRDefault="00576A90" w:rsidP="00576A90">
      <w:pPr>
        <w:pStyle w:val="TextoNormal"/>
      </w:pPr>
    </w:p>
    <w:p w14:paraId="14BD81ED" w14:textId="77777777" w:rsidR="00576A90" w:rsidRDefault="00576A90" w:rsidP="00576A90">
      <w:pPr>
        <w:pStyle w:val="TextoNormal"/>
      </w:pPr>
      <w:r>
        <w:t>Afirma que hubo ausencia de consentimiento informado y que el interés superior del menor no debe menoscabarse a favor de un tercero, ya que en tal caso quedaría subordinado al supuesto interés de un tercero, además adulto.</w:t>
      </w:r>
    </w:p>
    <w:p w14:paraId="17A9711B" w14:textId="77777777" w:rsidR="00576A90" w:rsidRDefault="00576A90" w:rsidP="00576A90">
      <w:pPr>
        <w:pStyle w:val="TextoNormal"/>
      </w:pPr>
    </w:p>
    <w:p w14:paraId="4462E452" w14:textId="77777777" w:rsidR="00576A90" w:rsidRDefault="00576A90" w:rsidP="00576A90">
      <w:pPr>
        <w:pStyle w:val="TextoNormal"/>
      </w:pPr>
      <w:r>
        <w:t>Finalmente, ha quedado acreditado, a su juicio, que las vacunas contra la covid-19 no proporcionan inmunidad total, como reconoce la propia ficha técnica del medicamento, dado que no contiene SARS-CoV-2 atenuado, sino que provoca la producción endógena de la proteína S (una fracción minúscula del virus) en los inoculados, con el fin de generar anticuerpos contra esta proteína, por lo que no impide infectarse de SARS-CoV-2 y ser fuente de contagio en condiciones semejantes a la población no vacunada. Asimismo, no cabe invocar el interés social, pues ha quedado acreditado que las vacunas contra la covid-19 no impiden el contagio y la transmisión de las nuevas variantes (delta u ómicron, que muestran mutaciones en la proteína S) en los inoculados, y que Pfizer ha admitido a la FDA (Administración de Alimentos y Medicamentos del gobierno de Estados Unidos) las limitaciones del estudio de seguridad de la vacuna para menores de edad, dado que no evaluó los riesgos asociados al corazón (miocarditis, pericarditis, etc.), genotoxicidad ni carcinogenicidad.</w:t>
      </w:r>
    </w:p>
    <w:p w14:paraId="7D523A17" w14:textId="77777777" w:rsidR="00576A90" w:rsidRDefault="00576A90" w:rsidP="00576A90">
      <w:pPr>
        <w:pStyle w:val="TextoNormal"/>
      </w:pPr>
    </w:p>
    <w:p w14:paraId="1BADF71A" w14:textId="09FBFF1D" w:rsidR="00576A90" w:rsidRDefault="00576A90" w:rsidP="00576A90">
      <w:pPr>
        <w:pStyle w:val="TextoNormal"/>
      </w:pPr>
      <w:r>
        <w:t>Mediante otrosí interesa, sin cita del precepto legal en que se ampara, la suspensión cautelar de la ejecución de los autos dictados para evitar daños y perjuicios de imposible reparación y a fin de no hacer plenamente ineficaz la resolución que en este recurso pueda dictarse en caso de otorgarse el amparo.</w:t>
      </w:r>
    </w:p>
    <w:p w14:paraId="1C8947BA" w14:textId="77777777" w:rsidR="00576A90" w:rsidRDefault="00576A90" w:rsidP="00576A90">
      <w:pPr>
        <w:pStyle w:val="TextoNormal"/>
      </w:pPr>
    </w:p>
    <w:p w14:paraId="7F38A2B0" w14:textId="77777777" w:rsidR="00576A90" w:rsidRDefault="00576A90" w:rsidP="00576A90">
      <w:pPr>
        <w:pStyle w:val="TextoNormal"/>
      </w:pPr>
      <w:r w:rsidRPr="00576A90">
        <w:rPr>
          <w:rStyle w:val="NumeroAFNegritaCaracter"/>
        </w:rPr>
        <w:t>4</w:t>
      </w:r>
      <w:r>
        <w:t xml:space="preserve">. En virtud de providencia de 3 de julio de 2023, la Sección Primera de este tribunal acordó admitir a trámite el recurso, porque plantea un problema o afecta a una faceta de un </w:t>
      </w:r>
      <w:r>
        <w:lastRenderedPageBreak/>
        <w:t>derecho fundamental sobre el que no hay doctrina de este tribunal [STC 155/2009, de 25 de junio, FJ 2 a)] y porque el asunto suscitado trasciende del caso concreto ya que plantea una cuestión jurídica de relevante y general repercusión social o económica [STC 155/2009, FJ 2 g)].</w:t>
      </w:r>
    </w:p>
    <w:p w14:paraId="6163AC3D" w14:textId="77777777" w:rsidR="00576A90" w:rsidRDefault="00576A90" w:rsidP="00576A90">
      <w:pPr>
        <w:pStyle w:val="TextoNormal"/>
      </w:pPr>
    </w:p>
    <w:p w14:paraId="3CA8D7CD" w14:textId="1C1808D5" w:rsidR="00576A90" w:rsidRDefault="00576A90" w:rsidP="00576A90">
      <w:pPr>
        <w:pStyle w:val="TextoNormal"/>
      </w:pPr>
      <w:r>
        <w:t>En lo que ahora interesa, en la misma providencia se acordó la formación de pieza separada de suspensión.</w:t>
      </w:r>
    </w:p>
    <w:p w14:paraId="5F4129DB" w14:textId="77777777" w:rsidR="00576A90" w:rsidRDefault="00576A90" w:rsidP="00576A90">
      <w:pPr>
        <w:pStyle w:val="TextoNormal"/>
      </w:pPr>
    </w:p>
    <w:p w14:paraId="437CD16F" w14:textId="69CB876A" w:rsidR="00576A90" w:rsidRDefault="00576A90" w:rsidP="00576A90">
      <w:pPr>
        <w:pStyle w:val="TextoNormal"/>
      </w:pPr>
      <w:r w:rsidRPr="00576A90">
        <w:rPr>
          <w:rStyle w:val="NumeroAFNegritaCaracter"/>
        </w:rPr>
        <w:t>5</w:t>
      </w:r>
      <w:r>
        <w:t>. Por providencia de la misma fecha se acordó la formación de pieza separada de suspensión y, de conformidad con el art. 56 de la Ley Orgánica del Tribunal Constitucional (LOTC), conceder al demandante de amparo y al Ministerio Fiscal un plazo común de tres días para que alegasen lo que estimaran pertinente respecto a la solicitud de suspensión.</w:t>
      </w:r>
    </w:p>
    <w:p w14:paraId="4A7952FD" w14:textId="77777777" w:rsidR="00576A90" w:rsidRDefault="00576A90" w:rsidP="00576A90">
      <w:pPr>
        <w:pStyle w:val="TextoNormal"/>
      </w:pPr>
    </w:p>
    <w:p w14:paraId="6A615C64" w14:textId="77777777" w:rsidR="00576A90" w:rsidRDefault="00576A90" w:rsidP="00576A90">
      <w:pPr>
        <w:pStyle w:val="TextoNormal"/>
      </w:pPr>
      <w:r w:rsidRPr="00576A90">
        <w:rPr>
          <w:rStyle w:val="NumeroAFNegritaCaracter"/>
        </w:rPr>
        <w:t>6</w:t>
      </w:r>
      <w:r>
        <w:t>. El día 10 de julio de 2023, la representación procesal del demandante presentó escrito de alegaciones, en el que tras reproducir parcialmente las alegaciones sobre el fondo de su impugnación, en lo relativo a la petición de suspensión argumentó lo siguiente amparado en el art. 56 LOTC:</w:t>
      </w:r>
    </w:p>
    <w:p w14:paraId="2522A854" w14:textId="77777777" w:rsidR="00576A90" w:rsidRDefault="00576A90" w:rsidP="00576A90">
      <w:pPr>
        <w:pStyle w:val="TextoNormal"/>
      </w:pPr>
    </w:p>
    <w:p w14:paraId="765EF934" w14:textId="77777777" w:rsidR="00576A90" w:rsidRDefault="00576A90" w:rsidP="00576A90">
      <w:pPr>
        <w:pStyle w:val="TextoNormal"/>
      </w:pPr>
      <w:r>
        <w:t>(i) Comparte los argumentos del Pleno de este tribunal expuestos en el ATC 74/2021, de 20 de julio, que acuerda mantener la suspensión que afecta a lo dispuesto en el núm. 5 del art. 38.2 b) de la Ley 8/2008, de 10 de julio, de salud de Galicia, en la redacción dada por el apartado cinco del artículo único de la Ley de la Comunidad Autónoma de Galicia 8/2021, de 25 de febrero, que adopta la medida consistente en el “sometimiento a medidas profilácticas de prevención de la enfermedad, incluida la vacunación”; y en el ATC 112/2022, de 13 de julio, que mantiene la suspensión del inciso “este mismo precepto se aplicará a los efectos de la exigencia de vacunación” del art. 14.3 de la Ley del Parlamento Vasco 2/2021, de 24 de junio, de medidas para la gestión de la pandemia de covid-19. Concluye que, si la medida preventiva sanitaria publicada en estas dos normas autonómicas fue merecedora de la suspensión, con más razón debería suspenderse un auto dictado en un procedimiento de jurisdicción voluntaria.</w:t>
      </w:r>
    </w:p>
    <w:p w14:paraId="5C8E5165" w14:textId="77777777" w:rsidR="00576A90" w:rsidRDefault="00576A90" w:rsidP="00576A90">
      <w:pPr>
        <w:pStyle w:val="TextoNormal"/>
      </w:pPr>
    </w:p>
    <w:p w14:paraId="03195425" w14:textId="77777777" w:rsidR="00576A90" w:rsidRDefault="00576A90" w:rsidP="00576A90">
      <w:pPr>
        <w:pStyle w:val="TextoNormal"/>
      </w:pPr>
      <w:r>
        <w:t>(ii) En caso de obtener el amparo “sería imposible retrotraer los hechos al momento anterior a la inoculación. Sencillamente, los efectos serían irreconducibles a un mínimo estado previo al acto declarado como vulnerador del derecho fundamental a la integridad física”.</w:t>
      </w:r>
    </w:p>
    <w:p w14:paraId="73788837" w14:textId="77777777" w:rsidR="00576A90" w:rsidRDefault="00576A90" w:rsidP="00576A90">
      <w:pPr>
        <w:pStyle w:val="TextoNormal"/>
      </w:pPr>
    </w:p>
    <w:p w14:paraId="20259D11" w14:textId="77777777" w:rsidR="00576A90" w:rsidRDefault="00576A90" w:rsidP="00576A90">
      <w:pPr>
        <w:pStyle w:val="TextoNormal"/>
      </w:pPr>
      <w:r>
        <w:t>(iii) La OMS “ha declarado el fin de la emergencia de pandemia internacional” y “ha revaluado la utilidad de la vacunación contra la covid-19 en niños y adolescentes, dada la baja morbilidad en esta parte de la población, y el costoeficacia, ya que, admite la OMS que, mediante la transmisión masiva de la variante ómicron entre la población no vacunada y vacunada se ha producido un alto nivel de inmunidad debido a la infección”.</w:t>
      </w:r>
    </w:p>
    <w:p w14:paraId="59A8D2C2" w14:textId="77777777" w:rsidR="00576A90" w:rsidRDefault="00576A90" w:rsidP="00576A90">
      <w:pPr>
        <w:pStyle w:val="TextoNormal"/>
      </w:pPr>
    </w:p>
    <w:p w14:paraId="3DE84CC9" w14:textId="77777777" w:rsidR="00576A90" w:rsidRDefault="00576A90" w:rsidP="00576A90">
      <w:pPr>
        <w:pStyle w:val="TextoNormal"/>
      </w:pPr>
      <w:r>
        <w:t>(iv) Los datos de farmacovigilancia publicados por la AEMPS y el sistema de notificación de eventos adversos a las vacunas de EE UU (VAERS), así como la descripción de efectos adversos contenidos en los informes periódicos actualizados de seguridad aportados por Pfizer a la EMA, “describen un listado de reportes y posibles efectos adversos que cuestionan el balance beneficio riesgo”.</w:t>
      </w:r>
    </w:p>
    <w:p w14:paraId="2BE29908" w14:textId="77777777" w:rsidR="00576A90" w:rsidRDefault="00576A90" w:rsidP="00576A90">
      <w:pPr>
        <w:pStyle w:val="TextoNormal"/>
      </w:pPr>
    </w:p>
    <w:p w14:paraId="6FCE1DFA" w14:textId="77777777" w:rsidR="00576A90" w:rsidRDefault="00576A90" w:rsidP="00576A90">
      <w:pPr>
        <w:pStyle w:val="TextoNormal"/>
      </w:pPr>
      <w:r>
        <w:lastRenderedPageBreak/>
        <w:t>(v) Según “la ponencia de alertas [de salud pública y] planes de preparación y respuesta y [la] Comisión de Salud Pública, órgano asesor del Consejo Interterritorial del Sistema Nacional de Salud, reunido el 19 de noviembre de 2021, el 40 por 100 de la población vacunada se infecta y contagia a otros ante las nuevas variantes del SARS-CoV-2”.</w:t>
      </w:r>
    </w:p>
    <w:p w14:paraId="0CEF6A1C" w14:textId="77777777" w:rsidR="00576A90" w:rsidRDefault="00576A90" w:rsidP="00576A90">
      <w:pPr>
        <w:pStyle w:val="TextoNormal"/>
      </w:pPr>
    </w:p>
    <w:p w14:paraId="3D46BCB5" w14:textId="22CDA2A1" w:rsidR="00576A90" w:rsidRDefault="00576A90" w:rsidP="00576A90">
      <w:pPr>
        <w:pStyle w:val="TextoNormal"/>
      </w:pPr>
      <w:r>
        <w:t>En consecuencia, acordar en las circunstancias actuales la suspensión de ejecución de los autos recurridos no supone un daño a la salud de las menores, dada la baja morbilidad de la covid-19 en esta población; en cambio, la inoculación de la vacuna antes de dictarse sentencia en el presente recurso de amparo supondría el vaciamiento del núcleo del derecho fundamental a la integridad física, siendo esta acción irreversible. Por todo ello, reitera la petición de suspensión de la ejecución de los autos impugnados.</w:t>
      </w:r>
    </w:p>
    <w:p w14:paraId="7661EFCE" w14:textId="77777777" w:rsidR="00576A90" w:rsidRDefault="00576A90" w:rsidP="00576A90">
      <w:pPr>
        <w:pStyle w:val="TextoNormal"/>
      </w:pPr>
    </w:p>
    <w:p w14:paraId="385B5054" w14:textId="77777777" w:rsidR="00576A90" w:rsidRDefault="00576A90" w:rsidP="00576A90">
      <w:pPr>
        <w:pStyle w:val="TextoNormal"/>
      </w:pPr>
      <w:r w:rsidRPr="00576A90">
        <w:rPr>
          <w:rStyle w:val="NumeroAFNegritaCaracter"/>
        </w:rPr>
        <w:t>7</w:t>
      </w:r>
      <w:r>
        <w:t>. El escrito de alegaciones del Ministerio Fiscal tuvo entrada en el registro de este tribunal el día 25 de julio de 2023. Tras exponer los antecedentes del caso y la doctrina constitucional aplicable, en particular el ATC 139/2022, de 26 de octubre, interesó la desestimación de la pretensión de suspensión solicitada por las siguientes razones:</w:t>
      </w:r>
    </w:p>
    <w:p w14:paraId="118C4DD3" w14:textId="77777777" w:rsidR="00576A90" w:rsidRDefault="00576A90" w:rsidP="00576A90">
      <w:pPr>
        <w:pStyle w:val="TextoNormal"/>
      </w:pPr>
    </w:p>
    <w:p w14:paraId="6753E32A" w14:textId="77777777" w:rsidR="00576A90" w:rsidRDefault="00576A90" w:rsidP="00576A90">
      <w:pPr>
        <w:pStyle w:val="TextoNormal"/>
      </w:pPr>
      <w:r>
        <w:t>(i) El solicitante de la medida cautelar “no efectúa más razonamiento que el relativo a que la suspensión resulta procedente ‘a fin de no hacer plenamente ineficaz la resolución que en tal recurso pueda dictarse, caso de otorgarse el amparo’, sin mayores precisiones. Esa falta de alegación, prueba o justificación sobre lo irreparable, o sobre la dificultad de la reparación, de los perjuicios que se ocasionarían de seguirse la ejecución del acto impugnado, con el objeto de mostrar que la ejecución del acto recurrido podría privar a la demanda de amparo de su finalidad, sería suficiente para rechazar la pretensión de suspensión ejercitada por la parte demandante de amparo”.</w:t>
      </w:r>
    </w:p>
    <w:p w14:paraId="3A2D00BF" w14:textId="77777777" w:rsidR="00576A90" w:rsidRDefault="00576A90" w:rsidP="00576A90">
      <w:pPr>
        <w:pStyle w:val="TextoNormal"/>
      </w:pPr>
    </w:p>
    <w:p w14:paraId="0E6A3BA4" w14:textId="75346A35" w:rsidR="00576A90" w:rsidRDefault="00576A90" w:rsidP="00576A90">
      <w:pPr>
        <w:pStyle w:val="TextoNormal"/>
      </w:pPr>
      <w:r>
        <w:t>(ii) “El ATC 102/2023, de 6 de marzo, FJ 4, ha dejado sentado para caso similar al presente que ‘cualquier pronunciamiento cautelar que este tribunal pudiera hacer en favor de la suspensión solicitada debería analizar y anticipar el debate de fondo de la pretensión de amparo, dado que la decisión judicial cuestionada se apoya en considerar que la vacuna sometida a debate no supone un grave riesgo para la vida o salud del menor [ATC 139/2022, de 26 de octubre, FJ 3 b)]’, de modo que ‘[e]sa cuestión se integra en lo que constituye el fondo del recurso de amparo; por lo que, en todo caso, deberá ser abordada al dictar sentencia y no en este momento procesal previo’”. Criterio que ha sido reiterado en el ATC 181/2023, de 17 de abril, FJ 3, en el que se ha afirmado de nuevo que “cualquier pronunciamiento cautelar que este tribunal pudiera hacer en favor de la suspensión solicitada significaría entrar anticipadamente en el debate de fondo de la pretensión de amparo, dado que las decisiones judiciales contra las que va dirigida se apoyan en considerar que la vacuna no supone un grave riesgo para la vida o salud del menor [ATC 139/2022, de 26 de octubre, FJ 3 b)], a lo que el demandante opone que ante la eventualidad de que el menor pueda sufrir daños futuros, el principio de precaución demanda la adopción de la solución opuesta”, motivo por el cual “[e]sa cuestión se integra en lo que constituye el fondo del recurso de amparo, por lo que, en todo caso, deberá ser abordada al dictar sentencia y no en este momento procesal”.</w:t>
      </w:r>
    </w:p>
    <w:p w14:paraId="5AB2AF37" w14:textId="77777777" w:rsidR="00576A90" w:rsidRDefault="00576A90" w:rsidP="00576A90">
      <w:pPr>
        <w:pStyle w:val="TextoNormal"/>
      </w:pPr>
    </w:p>
    <w:p w14:paraId="4A3058BF" w14:textId="3C9EB1FF" w:rsidR="00576A90" w:rsidRDefault="00576A90" w:rsidP="00576A90">
      <w:pPr>
        <w:pStyle w:val="TextoNormal"/>
      </w:pPr>
      <w:r w:rsidRPr="00576A90">
        <w:rPr>
          <w:rStyle w:val="NumeroAFNegritaCaracter"/>
        </w:rPr>
        <w:t>8</w:t>
      </w:r>
      <w:r>
        <w:t>. En fecha 7 de septiembre de 2023, doña V.G.M., fue emplazada por el Juzgado de Primera Instancia núm. 16 de Málaga para comparecer en el presente proceso constitucio</w:t>
      </w:r>
      <w:r>
        <w:lastRenderedPageBreak/>
        <w:t>nal, lo que efectuó mediante escrito presentado el día 4 de diciembre de 2023 por el procurador que la representa, don José Carlos Jiménez Segado.</w:t>
      </w:r>
    </w:p>
    <w:p w14:paraId="62EFD05E" w14:textId="77777777" w:rsidR="00576A90" w:rsidRDefault="00576A90" w:rsidP="00576A90">
      <w:pPr>
        <w:pStyle w:val="TextoNormal"/>
      </w:pPr>
    </w:p>
    <w:p w14:paraId="427CB97A" w14:textId="77777777" w:rsidR="00576A90" w:rsidRDefault="00576A90" w:rsidP="00576A90">
      <w:pPr>
        <w:pStyle w:val="TextoNormal"/>
      </w:pPr>
      <w:r w:rsidRPr="00576A90">
        <w:rPr>
          <w:rStyle w:val="NumeroAFNegritaCaracter"/>
        </w:rPr>
        <w:t>9</w:t>
      </w:r>
      <w:r>
        <w:t>. Tras la subsanación del defecto de postulación, por diligencia de ordenación de 18 de diciembre de 2023 se tuvo al procurador don José Carlos Jiménez Segado por personado y parte en este proceso en nombre y representación de doña V.G.M.</w:t>
      </w:r>
    </w:p>
    <w:p w14:paraId="652CC357" w14:textId="77777777" w:rsidR="00576A90" w:rsidRDefault="00576A90" w:rsidP="00576A90">
      <w:pPr>
        <w:pStyle w:val="TextoNormal"/>
      </w:pPr>
    </w:p>
    <w:p w14:paraId="614C7C2E" w14:textId="45506DB5" w:rsidR="00576A90" w:rsidRDefault="00576A90" w:rsidP="00576A90">
      <w:pPr>
        <w:pStyle w:val="TextoNormal"/>
      </w:pPr>
      <w:r>
        <w:t>Mediante diligencia de ordenación de la misma fecha se acordó conceder un plazo de tres días a este procurador para que alegase lo que estimara pertinente en relación con la petición de suspensión.</w:t>
      </w:r>
    </w:p>
    <w:p w14:paraId="04918D23" w14:textId="77777777" w:rsidR="00576A90" w:rsidRDefault="00576A90" w:rsidP="00576A90">
      <w:pPr>
        <w:pStyle w:val="TextoNormal"/>
      </w:pPr>
    </w:p>
    <w:p w14:paraId="289CEB72" w14:textId="77777777" w:rsidR="00576A90" w:rsidRDefault="00576A90" w:rsidP="00576A90">
      <w:pPr>
        <w:pStyle w:val="TextoNormal"/>
      </w:pPr>
      <w:r w:rsidRPr="00576A90">
        <w:rPr>
          <w:rStyle w:val="NumeroAFNegritaCaracter"/>
        </w:rPr>
        <w:t>10</w:t>
      </w:r>
      <w:r>
        <w:t>. La representación procesal de doña V.G.M., presentó el 21 de diciembre de 2023 escrito de alegaciones, en el que se opuso a la petición de suspensión porque la recomendación sanitaria sobre vacunación de menores se basa en criterios de salud en favor del menor, con el mismo sostén científico y médico que se aplica al resto de vacunas, dado su carácter preventivo, a lo que se opone la contraparte con argumentos generalistas fundados en meras probabilidades de efectos secundarios. Añade que la suspensión solicitada a este tribunal no es lo deseable para la salud de las menores, pues la actitud dilatoria del demandante está provocando un grave retraso en la vacunación que podría acarrear problemas importantes si, a pesar de las recomendaciones médicas, la vacuna no es administrada a las menores.</w:t>
      </w:r>
    </w:p>
    <w:p w14:paraId="77019258" w14:textId="77777777" w:rsidR="00576A90" w:rsidRDefault="00576A90" w:rsidP="00576A90">
      <w:pPr>
        <w:pStyle w:val="TextoNormal"/>
      </w:pPr>
    </w:p>
    <w:p w14:paraId="5AE29195" w14:textId="5CCDE664" w:rsidR="00576A90" w:rsidRDefault="00576A90" w:rsidP="00576A90">
      <w:pPr>
        <w:pStyle w:val="TextoNormal"/>
      </w:pPr>
      <w:r>
        <w:t>Aduce que la suspensión supondría —y ya lo está haciendo, matiza— una grave perturbación a un interés constitucionalmente protegido y a los derechos fundamentales de las personas, ya que el derecho a la protección de la salud se consagra en el art. 43 CE, que otorga a los poderes públicos la organización y la tutela de la salud a través de medidas preventivas, prestaciones y servicios necesarios.</w:t>
      </w:r>
    </w:p>
    <w:p w14:paraId="0FDEBDA2" w14:textId="77777777" w:rsidR="00576A90" w:rsidRDefault="00576A90" w:rsidP="00576A90">
      <w:pPr>
        <w:pStyle w:val="TextoNormal"/>
      </w:pPr>
    </w:p>
    <w:p w14:paraId="610E5644" w14:textId="77777777" w:rsidR="00576A90" w:rsidRDefault="00576A90" w:rsidP="00576A90">
      <w:pPr>
        <w:pStyle w:val="TextoNormalNegritaCentrado"/>
        <w:keepNext/>
      </w:pPr>
      <w:r>
        <w:t>II. Fundamentos jurídicos</w:t>
      </w:r>
    </w:p>
    <w:p w14:paraId="60826E81" w14:textId="06D629CD" w:rsidR="00576A90" w:rsidRDefault="00576A90" w:rsidP="00576A90">
      <w:pPr>
        <w:pStyle w:val="TextoNormalNegritaCentrado"/>
        <w:keepNext/>
      </w:pPr>
    </w:p>
    <w:p w14:paraId="4D7D97A9" w14:textId="77777777" w:rsidR="00576A90" w:rsidRDefault="00576A90" w:rsidP="00576A90">
      <w:pPr>
        <w:pStyle w:val="TextoNormal"/>
      </w:pPr>
      <w:r w:rsidRPr="00576A90">
        <w:rPr>
          <w:rStyle w:val="NumeroAFNegritaCaracter"/>
        </w:rPr>
        <w:t>1</w:t>
      </w:r>
      <w:r>
        <w:t>. Como ha quedado reflejado en los antecedentes de esta resolución, el demandante de amparo interesa la suspensión de la ejecución de las resoluciones judiciales en cuya virtud se ha autorizado la vacunación contra la covid-19 a sus hijas menores de edad, nacidas el 17 de diciembre de 2012 y el 30 de junio de 2014.</w:t>
      </w:r>
    </w:p>
    <w:p w14:paraId="5D1487D2" w14:textId="77777777" w:rsidR="00576A90" w:rsidRDefault="00576A90" w:rsidP="00576A90">
      <w:pPr>
        <w:pStyle w:val="TextoNormal"/>
      </w:pPr>
    </w:p>
    <w:p w14:paraId="4860F768" w14:textId="77777777" w:rsidR="00576A90" w:rsidRDefault="00576A90" w:rsidP="00576A90">
      <w:pPr>
        <w:pStyle w:val="TextoNormal"/>
      </w:pPr>
      <w:r>
        <w:t>El Ministerio Fiscal interesa la denegación de la suspensión por las razones expuestas en el antecedente 7 de la presente resolución. Por su parte, la madre de las menores, parte actora en el proceso judicial y personada en el presente recurso de amparo, también se ha opuesto a la suspensión con los argumentos que se han resumido en el antecedente 10.</w:t>
      </w:r>
    </w:p>
    <w:p w14:paraId="5F75D2AF" w14:textId="77777777" w:rsidR="00576A90" w:rsidRDefault="00576A90" w:rsidP="00576A90">
      <w:pPr>
        <w:pStyle w:val="TextoNormal"/>
      </w:pPr>
    </w:p>
    <w:p w14:paraId="5611E548" w14:textId="28217158" w:rsidR="00576A90" w:rsidRDefault="00576A90" w:rsidP="00576A90">
      <w:pPr>
        <w:pStyle w:val="TextoNormal"/>
      </w:pPr>
      <w:r>
        <w:t xml:space="preserve">Al amparo de lo establecido en el art. 86.3 LOTC y en el acuerdo del Pleno del Tribunal Constitucional de 23 de julio de 2015, por el que se regula la exclusión de los datos de identidad personal en la publicación de las resoluciones jurisdiccionales (“Boletín Oficial del Estado” núm. 178, de 27 de julio de 2015), en atención a que el objeto de controversia de este proceso constitucional versa sobre personas que requieren un especial deber de tutela por su minoría de edad, en la presente resolución se identifican por sus iniciales a </w:t>
      </w:r>
      <w:r>
        <w:lastRenderedPageBreak/>
        <w:t>los intervinientes con la finalidad de preservar de modo efectivo el anonimato de las personas concernidas.</w:t>
      </w:r>
    </w:p>
    <w:p w14:paraId="5246F923" w14:textId="77777777" w:rsidR="00576A90" w:rsidRDefault="00576A90" w:rsidP="00576A90">
      <w:pPr>
        <w:pStyle w:val="TextoNormal"/>
      </w:pPr>
    </w:p>
    <w:p w14:paraId="44618F2C" w14:textId="77777777" w:rsidR="00576A90" w:rsidRDefault="00576A90" w:rsidP="00576A90">
      <w:pPr>
        <w:pStyle w:val="TextoNormal"/>
      </w:pPr>
      <w:r w:rsidRPr="00576A90">
        <w:rPr>
          <w:rStyle w:val="NumeroAFNegritaCaracter"/>
        </w:rPr>
        <w:t>2</w:t>
      </w:r>
      <w:r>
        <w:t>. En la resolución de este incidente de suspensión cautelar es necesario partir de lo dispuesto en el art. 56.1 LOTC que, como regla general, establece que “[l]a interposición del recurso de amparo no suspenderá los efectos del acto o sentencia impugnados”. No obstante, en su apartado 2 señala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14:paraId="39B380E8" w14:textId="77777777" w:rsidR="00576A90" w:rsidRDefault="00576A90" w:rsidP="00576A90">
      <w:pPr>
        <w:pStyle w:val="TextoNormal"/>
      </w:pPr>
    </w:p>
    <w:p w14:paraId="54A2014D" w14:textId="77777777" w:rsidR="00576A90" w:rsidRDefault="00576A90" w:rsidP="00576A90">
      <w:pPr>
        <w:pStyle w:val="TextoNormal"/>
      </w:pPr>
      <w:r>
        <w:t>La excepción a la regla general está sujeta a una doble condición: en primer lugar, que la ejecución del acto o resolución impugnados produzca un perjuicio que pudiera hacer perder al amparo su finalidad, para el caso de que fuera finalmente estimado; y, en segundo término, que la suspensión a su vez no genere una perturbación grave a un interés constitucionalmente protegido, ni a los derechos fundamentales o libertades de otra persona.</w:t>
      </w:r>
    </w:p>
    <w:p w14:paraId="60AC4615" w14:textId="77777777" w:rsidR="00576A90" w:rsidRDefault="00576A90" w:rsidP="00576A90">
      <w:pPr>
        <w:pStyle w:val="TextoNormal"/>
      </w:pPr>
    </w:p>
    <w:p w14:paraId="69E40EF3" w14:textId="3C793835" w:rsidR="00576A90" w:rsidRDefault="00576A90" w:rsidP="00576A90">
      <w:pPr>
        <w:pStyle w:val="TextoNormal"/>
      </w:pPr>
      <w:r>
        <w:t>Cuando el amparo constitucional se solicita respecto a resoluciones judiciales firmes, este tribunal tiene declarado (AATC 324/2023, de 19 de junio, FJ 2; y 325/2023, de 19 de junio, FJ 2, y en los autos en ellos citados) que la suspensión de la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esta naturaleza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En definitiva, se trata de preservar la presunción de legitimidad que alcanza a todas las actuaciones de los poderes públicos, presunción inherente a la entera actividad pública.</w:t>
      </w:r>
    </w:p>
    <w:p w14:paraId="4790350C" w14:textId="77777777" w:rsidR="00576A90" w:rsidRDefault="00576A90" w:rsidP="00576A90">
      <w:pPr>
        <w:pStyle w:val="TextoNormal"/>
      </w:pPr>
    </w:p>
    <w:p w14:paraId="26B0567C" w14:textId="77777777" w:rsidR="00576A90" w:rsidRDefault="00576A90" w:rsidP="00576A90">
      <w:pPr>
        <w:pStyle w:val="TextoNormal"/>
      </w:pPr>
      <w:r w:rsidRPr="00576A90">
        <w:rPr>
          <w:rStyle w:val="NumeroAFNegritaCaracter"/>
        </w:rPr>
        <w:t>3</w:t>
      </w:r>
      <w:r>
        <w:t>. La facultad de este tribunal de adoptar medidas cautelares en los procesos de amparo, reconocida en el art. 56 LOTC, se sustenta en la necesidad de asegurar la efectividad de las resoluciones que les pongan fin, esto es, de preservar la integridad del derecho fundamental cuya vulneración se denuncia, en tanto en cuanto la ejecución del acto o resolución impugnados pudiera ocasionar un perjuicio que hiciese perder al amparo su finalidad.</w:t>
      </w:r>
    </w:p>
    <w:p w14:paraId="58E53D63" w14:textId="77777777" w:rsidR="00576A90" w:rsidRDefault="00576A90" w:rsidP="00576A90">
      <w:pPr>
        <w:pStyle w:val="TextoNormal"/>
      </w:pPr>
    </w:p>
    <w:p w14:paraId="0D2676DF" w14:textId="77777777" w:rsidR="00576A90" w:rsidRDefault="00576A90" w:rsidP="00576A90">
      <w:pPr>
        <w:pStyle w:val="TextoNormal"/>
      </w:pPr>
      <w:r>
        <w:t>Como recuerdan los AATC 324/2023, FJ 3, y 325/2023, FJ 3, citados,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w:t>
      </w:r>
    </w:p>
    <w:p w14:paraId="1482C626" w14:textId="77777777" w:rsidR="00576A90" w:rsidRDefault="00576A90" w:rsidP="00576A90">
      <w:pPr>
        <w:pStyle w:val="TextoNormal"/>
      </w:pPr>
    </w:p>
    <w:p w14:paraId="21B3FB0D" w14:textId="77777777" w:rsidR="00576A90" w:rsidRDefault="00576A90" w:rsidP="00576A90">
      <w:pPr>
        <w:pStyle w:val="TextoNormal"/>
      </w:pPr>
      <w:r>
        <w:lastRenderedPageBreak/>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324/2023, FJ 3, y 325/2023, FJ 3).</w:t>
      </w:r>
    </w:p>
    <w:p w14:paraId="387E8DA1" w14:textId="77777777" w:rsidR="00576A90" w:rsidRDefault="00576A90" w:rsidP="00576A90">
      <w:pPr>
        <w:pStyle w:val="TextoNormal"/>
      </w:pPr>
    </w:p>
    <w:p w14:paraId="50370C3F" w14:textId="70B6205E" w:rsidR="00576A90" w:rsidRDefault="00576A90" w:rsidP="00576A90">
      <w:pPr>
        <w:pStyle w:val="TextoNormal"/>
      </w:pPr>
      <w:r>
        <w:t>En cuanto al concepto de perjuicio irreparable, debe entenderse que es “aquel que provoque que el restablecimiento del recurrente en los derechos fundamentales cuya vulneración denuncia sea tardío e impida definitivamente que la restauración sea efectiva […]. Los perjuicios irreparables deben ser reales, sin que sea posible alegar los futuros o hipotéticos o un simple temor; la pérdida de la finalidad del amparo no puede equipararse a la mayor o menor dificultad, molestia o incomodidad para el recurrente” (AATC 324/2023, FJ 3, y 325/2023, FJ 3).</w:t>
      </w:r>
    </w:p>
    <w:p w14:paraId="4DB4CDCA" w14:textId="77777777" w:rsidR="00576A90" w:rsidRDefault="00576A90" w:rsidP="00576A90">
      <w:pPr>
        <w:pStyle w:val="TextoNormal"/>
      </w:pPr>
    </w:p>
    <w:p w14:paraId="79EC7AA2" w14:textId="77777777" w:rsidR="00576A90" w:rsidRDefault="00576A90" w:rsidP="00576A90">
      <w:pPr>
        <w:pStyle w:val="TextoNormal"/>
      </w:pPr>
      <w:r w:rsidRPr="00576A90">
        <w:rPr>
          <w:rStyle w:val="NumeroAFNegritaCaracter"/>
        </w:rPr>
        <w:t>4</w:t>
      </w:r>
      <w:r>
        <w:t>. El Tribunal ha declarado asimismo en los AATC 324/2023, FJ 4, y 325/2023, FJ 4, que otro de los elementos que configuran la naturaleza excepcional de la suspensión de los actos impugnados en amparo es la necesidad de preservar la eficacia de un posible pronunciamiento estimatorio, sin prejuzgar cuál haya de ser el sentido de la futura sentencia que le ponga fin; y, en esta misma línea, que en este incidente procesal no cabe efectuar el análisis de la cuestión de fondo, ni cabe cuestionar las bases fácticas que la sustentan, ni tampoco anticipar indebidamente lo que debe ser resuelto en la oportuna sentencia.</w:t>
      </w:r>
    </w:p>
    <w:p w14:paraId="539D0564" w14:textId="77777777" w:rsidR="00576A90" w:rsidRDefault="00576A90" w:rsidP="00576A90">
      <w:pPr>
        <w:pStyle w:val="TextoNormal"/>
      </w:pPr>
    </w:p>
    <w:p w14:paraId="52A1A920" w14:textId="0E5A4C34" w:rsidR="00576A90" w:rsidRDefault="00576A90" w:rsidP="00576A90">
      <w:pPr>
        <w:pStyle w:val="TextoNormal"/>
      </w:pPr>
      <w:r>
        <w:t>En esta misma línea jurisprudencial, los autos de este tribunal tomados como precedentes próximos declaran (fundamento jurídico 4) que “expresando el desacuerdo parental una diferencia de criterio sobre cómo mejor proteger la salud del hijo común menor de edad y sobre la conveniencia o utilidad de la administración de la vacuna debatida, cualquier pronunciamiento cautelar que este tribunal pudiera hacer en favor de la suspensión solicitada debería analizar y anticipar el debate de fondo de la pretensión de amparo, dado que la decisión judicial cuestionada se apoya en considerar que la vacuna sometida a debate no supone un grave riesgo para la vida o salud de la menor [ATC 139/2022, de 26 de octubre, FJ 3 b)]. Esa cuestión se integra en lo que constituye el fondo del recurso de amparo; por lo que, en todo caso, deberá ser abordada al dictar sentencia y no en este momento procesal previo”.</w:t>
      </w:r>
    </w:p>
    <w:p w14:paraId="1E67E3A7" w14:textId="77777777" w:rsidR="00576A90" w:rsidRDefault="00576A90" w:rsidP="00576A90">
      <w:pPr>
        <w:pStyle w:val="TextoNormal"/>
      </w:pPr>
    </w:p>
    <w:p w14:paraId="5816FD80" w14:textId="77777777" w:rsidR="00576A90" w:rsidRDefault="00576A90" w:rsidP="00576A90">
      <w:pPr>
        <w:pStyle w:val="TextoNormal"/>
      </w:pPr>
      <w:r w:rsidRPr="00576A90">
        <w:rPr>
          <w:rStyle w:val="NumeroAFNegritaCaracter"/>
        </w:rPr>
        <w:t>5</w:t>
      </w:r>
      <w:r>
        <w:t>. En el presente caso, el escrito de alegaciones presentado por el demandante en este incidente de suspensión se apoya, en esencia, en los perjuicios irreparables o de difícil reparación para la vida o salud de las menores que pueden resultar de la administración de la vacuna contra la covid-19. Este planteamiento se identifica plenamente con lo que constituye el fondo del recurso de amparo que, en su caso, será abordado al dictar sentencia, sin que proceda en este incidente cautelar analizar y anticipar el debate de fondo de la pretensión de amparo, centrado en si la decisión judicial cuestionada de conceder a la madre en exclusiva la decisión sobre la administración de la vacuna contra la covid-19 a las menores de edad, se apoya erróneamente en conclusiones acerca de los posibles efectos favorables o adversos para su vida o salud, tras ponderar las razones contrapuestas de los respectivos progenitores.</w:t>
      </w:r>
    </w:p>
    <w:p w14:paraId="1CFBE5B1" w14:textId="77777777" w:rsidR="00576A90" w:rsidRDefault="00576A90" w:rsidP="00576A90">
      <w:pPr>
        <w:pStyle w:val="TextoNormal"/>
      </w:pPr>
    </w:p>
    <w:p w14:paraId="71824CFA" w14:textId="77777777" w:rsidR="00576A90" w:rsidRDefault="00576A90" w:rsidP="00576A90">
      <w:pPr>
        <w:pStyle w:val="TextoNormal"/>
      </w:pPr>
      <w:r>
        <w:t xml:space="preserve">En primer lugar, respecto a la alegación efectuada por la parte recurrente que trae a colación lo resuelto por el Pleno de este tribunal en los AATC 74/2021, de 20 de julio, y 112/2022, de 13 de julio, a propósito del mantenimiento de la suspensión </w:t>
      </w:r>
      <w:r w:rsidRPr="00576A90">
        <w:rPr>
          <w:i/>
        </w:rPr>
        <w:t>ex</w:t>
      </w:r>
      <w:r>
        <w:t xml:space="preserve"> art. 161.2 CE de la vigencia de normas legales autonómicas que prevén medidas de vacunación eventualmente forzosa de la población, el ATC 436/2023, de 25 de septiembre, FJ 3, declara que «ya contestamos sobre la irrelevancia de tal argumento en esta sede cautelar de amparo en el ATC 139/2022, de 26 de octubre, FJ 3 (entonces, en relación con la autorización judicial para vacunar a una persona mayor en situación de vulnerabilidad, en contra de la voluntad de su pariente y tutor); ocasión en la que afirmamos:</w:t>
      </w:r>
    </w:p>
    <w:p w14:paraId="7FB8BC06" w14:textId="77777777" w:rsidR="00576A90" w:rsidRDefault="00576A90" w:rsidP="00576A90">
      <w:pPr>
        <w:pStyle w:val="TextoNormal"/>
      </w:pPr>
    </w:p>
    <w:p w14:paraId="610B5EDF" w14:textId="77777777" w:rsidR="00576A90" w:rsidRDefault="00576A90" w:rsidP="00576A90">
      <w:pPr>
        <w:pStyle w:val="TextoNormal"/>
      </w:pPr>
      <w:r>
        <w:t>“Al respecto, interesa notar que el mantenimiento de la suspensión [acordada en el ATC 74/2021] trajo causa de que la vacunación obligatoria no es una medida preventiva que aparece contemplada en la Ley Orgánica 3/1986, de medidas especiales en materia de salud pública; y que la misma supone ‘una intervención corporal coactiva y practicada al margen de la voluntad del ciudadano, que ha de someterse a la vacunación si se adopta esta medida, so pena de poder ser sancionado, en caso de negativa injustificada a vacunarse’ (FJ 5).</w:t>
      </w:r>
    </w:p>
    <w:p w14:paraId="13470946" w14:textId="77777777" w:rsidR="00576A90" w:rsidRDefault="00576A90" w:rsidP="00576A90">
      <w:pPr>
        <w:pStyle w:val="TextoNormal"/>
      </w:pPr>
    </w:p>
    <w:p w14:paraId="6F1F9E33" w14:textId="77777777" w:rsidR="00576A90" w:rsidRDefault="00576A90" w:rsidP="00576A90">
      <w:pPr>
        <w:pStyle w:val="TextoNormal"/>
      </w:pPr>
      <w:r>
        <w:t>A la vista de lo expuesto, cumple decir que los supuestos de hecho contemplados en uno y otro caso no admiten parangón. Mientras la previsión normativa objeto de suspensión viene referida a una medida aplicable con carácter general cuyo incumplimiento puede resultar sancionado, en el presente caso la medida se adopta con una finalidad tuitiva, respecto de una persona que, según se expresa en las resoluciones judiciales, carece de aptitud para consentir sobre su vacunación.</w:t>
      </w:r>
    </w:p>
    <w:p w14:paraId="77AB0572" w14:textId="77777777" w:rsidR="00576A90" w:rsidRDefault="00576A90" w:rsidP="00576A90">
      <w:pPr>
        <w:pStyle w:val="TextoNormal"/>
      </w:pPr>
    </w:p>
    <w:p w14:paraId="2827527F" w14:textId="77777777" w:rsidR="00576A90" w:rsidRDefault="00576A90" w:rsidP="00576A90">
      <w:pPr>
        <w:pStyle w:val="TextoNormal"/>
      </w:pPr>
      <w:r>
        <w:t>En segundo término, se advierte que el mantenimiento de la suspensión del precepto fue fruto de la ponderación de los graves perjuicios irreparables o de difícil reparación que para el interés general habrían de producirse si se levantara la suspensión, en ese caso concreto (FJ 2). Por el contrario, en el ámbito del art. 56 LOTC, el interés general opera como factor determinante de la aplicación restrictiva de la suspensión, pues se asocia a la efectividad de las decisiones de los poderes públicos”».</w:t>
      </w:r>
    </w:p>
    <w:p w14:paraId="6AF5C5C1" w14:textId="77777777" w:rsidR="00576A90" w:rsidRDefault="00576A90" w:rsidP="00576A90">
      <w:pPr>
        <w:pStyle w:val="TextoNormal"/>
      </w:pPr>
    </w:p>
    <w:p w14:paraId="016B6008" w14:textId="15BC981D" w:rsidR="00576A90" w:rsidRDefault="00576A90" w:rsidP="00576A90">
      <w:pPr>
        <w:pStyle w:val="TextoNormal"/>
      </w:pPr>
      <w:r>
        <w:t>El conjunto de argumentos acabados de exponer determina la denegación de la medida cautelar interesada por el demandante.</w:t>
      </w:r>
    </w:p>
    <w:p w14:paraId="2F06E51B" w14:textId="77777777" w:rsidR="00576A90" w:rsidRDefault="00576A90" w:rsidP="00576A90">
      <w:pPr>
        <w:pStyle w:val="TextoNormal"/>
      </w:pPr>
    </w:p>
    <w:p w14:paraId="343B79F8" w14:textId="77777777" w:rsidR="00576A90" w:rsidRDefault="00576A90" w:rsidP="00576A90">
      <w:pPr>
        <w:pStyle w:val="TextoNormal"/>
      </w:pPr>
      <w:r>
        <w:t>Por lo expuesto, la Sala</w:t>
      </w:r>
    </w:p>
    <w:p w14:paraId="4ED34638" w14:textId="1A39BE05" w:rsidR="00576A90" w:rsidRDefault="00576A90" w:rsidP="00576A90">
      <w:pPr>
        <w:pStyle w:val="TextoNormal"/>
      </w:pPr>
    </w:p>
    <w:p w14:paraId="33E091F6" w14:textId="77777777" w:rsidR="00576A90" w:rsidRDefault="00576A90" w:rsidP="00576A90">
      <w:pPr>
        <w:pStyle w:val="TextoNormalCentrado"/>
      </w:pPr>
      <w:r>
        <w:t>ACUERDA</w:t>
      </w:r>
    </w:p>
    <w:p w14:paraId="45371440" w14:textId="6D10AD98" w:rsidR="00576A90" w:rsidRDefault="00576A90" w:rsidP="00576A90">
      <w:pPr>
        <w:pStyle w:val="TextoNormalCentrado"/>
      </w:pPr>
    </w:p>
    <w:p w14:paraId="4618FD0F" w14:textId="47B106C9" w:rsidR="00576A90" w:rsidRDefault="00576A90" w:rsidP="00576A90">
      <w:pPr>
        <w:pStyle w:val="TextoNormal"/>
      </w:pPr>
      <w:r>
        <w:t>Denegar la medida cautelar solicitada de suspensión de las resoluciones judiciales recurridas.</w:t>
      </w:r>
    </w:p>
    <w:p w14:paraId="4E36CC6A" w14:textId="77777777" w:rsidR="00576A90" w:rsidRDefault="00576A90" w:rsidP="00576A90">
      <w:pPr>
        <w:pStyle w:val="TextoNormal"/>
      </w:pPr>
    </w:p>
    <w:p w14:paraId="0293BAF2" w14:textId="77777777" w:rsidR="00576A90" w:rsidRDefault="00576A90" w:rsidP="00576A90">
      <w:pPr>
        <w:pStyle w:val="TextoNormal"/>
      </w:pPr>
      <w:r>
        <w:t>Madrid, a trece de febrero de dos mil veinticuatro.</w:t>
      </w:r>
    </w:p>
    <w:p w14:paraId="1E37837C" w14:textId="52BBFA59" w:rsidR="00576A90" w:rsidRDefault="00576A90">
      <w:pPr>
        <w:spacing w:after="160" w:line="259" w:lineRule="auto"/>
        <w:rPr>
          <w:rFonts w:ascii="Times New Roman" w:eastAsia="Times New Roman" w:hAnsi="Times New Roman" w:cs="Times New Roman"/>
          <w:sz w:val="24"/>
          <w:szCs w:val="24"/>
          <w:lang w:eastAsia="es-ES"/>
        </w:rPr>
      </w:pPr>
      <w:r>
        <w:br w:type="page"/>
      </w:r>
    </w:p>
    <w:p w14:paraId="5AA371CE" w14:textId="77777777" w:rsidR="00576A90" w:rsidRDefault="00576A90" w:rsidP="00576A90">
      <w:pPr>
        <w:pStyle w:val="TtuloResolucin"/>
      </w:pPr>
      <w:bookmarkStart w:id="111" w:name="AUTO_2024_16"/>
      <w:r>
        <w:lastRenderedPageBreak/>
        <w:t>AUTO 16/2024, de 19 de febrero de 2024</w:t>
      </w:r>
    </w:p>
    <w:bookmarkEnd w:id="111"/>
    <w:p w14:paraId="4E3FAFDE" w14:textId="77777777" w:rsidR="00576A90" w:rsidRDefault="00576A90" w:rsidP="00576A90">
      <w:pPr>
        <w:pStyle w:val="TtuloResolucin"/>
      </w:pPr>
      <w:r>
        <w:t>Sección Tercera</w:t>
      </w:r>
    </w:p>
    <w:p w14:paraId="5BE44B72" w14:textId="77777777" w:rsidR="00576A90" w:rsidRDefault="00576A90" w:rsidP="00576A90">
      <w:pPr>
        <w:pStyle w:val="TextoNormalCentrado"/>
      </w:pPr>
      <w:r>
        <w:t>ECLI:ES:TC:2024:16A</w:t>
      </w:r>
    </w:p>
    <w:p w14:paraId="5B39BB0B" w14:textId="50C976ED" w:rsidR="00576A90" w:rsidRDefault="00576A90" w:rsidP="00576A90">
      <w:pPr>
        <w:pStyle w:val="TextoNormalCentrado"/>
      </w:pPr>
    </w:p>
    <w:p w14:paraId="7F4742A7" w14:textId="77777777" w:rsidR="00576A90" w:rsidRDefault="00576A90" w:rsidP="00576A90">
      <w:pPr>
        <w:pStyle w:val="SntesisDescriptiva"/>
      </w:pPr>
      <w:r>
        <w:t>Excms. Srs. doña Inmaculada Montalbán Huertas y doña Laura Díez Bueso.</w:t>
      </w:r>
    </w:p>
    <w:p w14:paraId="4BD4F304" w14:textId="437BCBD3" w:rsidR="00576A90" w:rsidRDefault="00576A90" w:rsidP="00576A90">
      <w:pPr>
        <w:pStyle w:val="SntesisDescriptiva"/>
      </w:pPr>
    </w:p>
    <w:p w14:paraId="6054D236" w14:textId="77777777" w:rsidR="00576A90" w:rsidRDefault="00576A90" w:rsidP="00576A90">
      <w:pPr>
        <w:pStyle w:val="SntesisDescriptiva"/>
      </w:pPr>
      <w:r>
        <w:t>Acepta una abstención en el recurso de amparo 499-2024, promovido en proceso contencioso administrativo.</w:t>
      </w:r>
    </w:p>
    <w:p w14:paraId="7972F24E" w14:textId="49C687CE" w:rsidR="00576A90" w:rsidRDefault="00576A90" w:rsidP="00576A90">
      <w:pPr>
        <w:pStyle w:val="SntesisDescriptiva"/>
      </w:pPr>
    </w:p>
    <w:p w14:paraId="7D48277E" w14:textId="77777777" w:rsidR="00576A90" w:rsidRDefault="00576A90" w:rsidP="00576A90">
      <w:pPr>
        <w:pStyle w:val="SntesisDescriptiva"/>
      </w:pPr>
    </w:p>
    <w:p w14:paraId="6A45DFAB" w14:textId="77777777" w:rsidR="00576A90" w:rsidRDefault="00576A90" w:rsidP="00576A90">
      <w:pPr>
        <w:pStyle w:val="SntesisDescriptiva"/>
      </w:pPr>
    </w:p>
    <w:p w14:paraId="59EFB74B" w14:textId="77777777" w:rsidR="00576A90" w:rsidRDefault="00576A90" w:rsidP="00576A90">
      <w:pPr>
        <w:pStyle w:val="TextoNormalNegritaCentrado"/>
      </w:pPr>
      <w:r>
        <w:t>AUTO</w:t>
      </w:r>
    </w:p>
    <w:p w14:paraId="06409FBF" w14:textId="783D1230" w:rsidR="00576A90" w:rsidRDefault="00576A90" w:rsidP="00576A90">
      <w:pPr>
        <w:pStyle w:val="TextoNormalNegritaCentrado"/>
      </w:pPr>
    </w:p>
    <w:p w14:paraId="4E985535" w14:textId="77777777" w:rsidR="00576A90" w:rsidRDefault="00576A90" w:rsidP="00576A90">
      <w:pPr>
        <w:pStyle w:val="TextoNormalNegritaCentrado"/>
        <w:keepNext/>
      </w:pPr>
      <w:r>
        <w:t>I. Antecedentes</w:t>
      </w:r>
    </w:p>
    <w:p w14:paraId="2AE70064" w14:textId="7B06CAA0" w:rsidR="00576A90" w:rsidRDefault="00576A90" w:rsidP="00576A90">
      <w:pPr>
        <w:pStyle w:val="TextoNormalNegritaCentrado"/>
        <w:keepNext/>
      </w:pPr>
    </w:p>
    <w:p w14:paraId="36AD8F39" w14:textId="5EA8FDC6" w:rsidR="00576A90" w:rsidRDefault="00576A90" w:rsidP="00576A90">
      <w:pPr>
        <w:pStyle w:val="TextoNormal"/>
      </w:pPr>
      <w:r w:rsidRPr="00576A90">
        <w:rPr>
          <w:rStyle w:val="NumeroAFNegritaCaracter"/>
        </w:rPr>
        <w:t>1</w:t>
      </w:r>
      <w:r>
        <w:t>. Mediante escrito registrado en este tribunal el 24 de enero de 2024 el procurador de los tribunales don Fernando Esteban Cid, en nombre y representación de don José Martínez Rodríguez y bajo la dirección de la letrada doña Catherine Pérez-Ruibal del Águila, formuló demanda de amparo contra el auto de 19 de diciembre de 2022 dictado por la Sección Sexta de la Sala de lo Contencioso-Administrativo del Tribunal Supremo, en el recurso ordinario núm. 521-2024.</w:t>
      </w:r>
    </w:p>
    <w:p w14:paraId="247E6E76" w14:textId="77777777" w:rsidR="00576A90" w:rsidRDefault="00576A90" w:rsidP="00576A90">
      <w:pPr>
        <w:pStyle w:val="TextoNormal"/>
      </w:pPr>
    </w:p>
    <w:p w14:paraId="0A96DDB6" w14:textId="7AFF611D" w:rsidR="00576A90" w:rsidRDefault="00576A90" w:rsidP="00576A90">
      <w:pPr>
        <w:pStyle w:val="TextoNormal"/>
      </w:pPr>
      <w:r w:rsidRPr="00576A90">
        <w:rPr>
          <w:rStyle w:val="NumeroAFNegritaCaracter"/>
        </w:rPr>
        <w:t>2</w:t>
      </w:r>
      <w:r>
        <w:t>. Por escrito de 9 de febrero de 2024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Sexta de la Sala de lo Contencioso-Administrativo del Tribunal Supremo que dictó la resolución impugnada.</w:t>
      </w:r>
    </w:p>
    <w:p w14:paraId="7E86D256" w14:textId="77777777" w:rsidR="00576A90" w:rsidRDefault="00576A90" w:rsidP="00576A90">
      <w:pPr>
        <w:pStyle w:val="TextoNormal"/>
      </w:pPr>
    </w:p>
    <w:p w14:paraId="7907E97B" w14:textId="77777777" w:rsidR="00576A90" w:rsidRDefault="00576A90" w:rsidP="00576A90">
      <w:pPr>
        <w:pStyle w:val="TextoNormalNegritaCentrado"/>
        <w:keepNext/>
      </w:pPr>
      <w:r>
        <w:t>II. Fundamentos jurídicos</w:t>
      </w:r>
    </w:p>
    <w:p w14:paraId="599AE60E" w14:textId="2678880C" w:rsidR="00576A90" w:rsidRDefault="00576A90" w:rsidP="00576A90">
      <w:pPr>
        <w:pStyle w:val="TextoNormalNegritaCentrado"/>
        <w:keepNext/>
      </w:pPr>
    </w:p>
    <w:p w14:paraId="25A23087" w14:textId="77ED0F8A" w:rsidR="00576A90" w:rsidRDefault="00576A90" w:rsidP="00576A90">
      <w:pPr>
        <w:pStyle w:val="TextoNormal"/>
      </w:pPr>
      <w:r w:rsidRPr="00576A90">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5301E1B6" w14:textId="77777777" w:rsidR="00576A90" w:rsidRDefault="00576A90" w:rsidP="00576A90">
      <w:pPr>
        <w:pStyle w:val="TextoNormal"/>
      </w:pPr>
    </w:p>
    <w:p w14:paraId="7E4808AD" w14:textId="77777777" w:rsidR="00576A90" w:rsidRDefault="00576A90" w:rsidP="00576A90">
      <w:pPr>
        <w:pStyle w:val="TextoNormal"/>
      </w:pPr>
      <w:r>
        <w:t>Por lo expuesto, la Sección</w:t>
      </w:r>
    </w:p>
    <w:p w14:paraId="5DF7FD86" w14:textId="0DC5F4AB" w:rsidR="00576A90" w:rsidRDefault="00576A90" w:rsidP="00576A90">
      <w:pPr>
        <w:pStyle w:val="TextoNormal"/>
      </w:pPr>
    </w:p>
    <w:p w14:paraId="34405824" w14:textId="77777777" w:rsidR="00576A90" w:rsidRDefault="00576A90" w:rsidP="00576A90">
      <w:pPr>
        <w:pStyle w:val="TextoNormalCentrado"/>
      </w:pPr>
      <w:r>
        <w:t>ACUERDA</w:t>
      </w:r>
    </w:p>
    <w:p w14:paraId="0920A586" w14:textId="447AC0B9" w:rsidR="00576A90" w:rsidRDefault="00576A90" w:rsidP="00576A90">
      <w:pPr>
        <w:pStyle w:val="TextoNormalCentrado"/>
      </w:pPr>
    </w:p>
    <w:p w14:paraId="747B2495" w14:textId="33376CD4" w:rsidR="00576A90" w:rsidRDefault="00576A90" w:rsidP="00576A90">
      <w:pPr>
        <w:pStyle w:val="TextoNormal"/>
      </w:pPr>
      <w:r>
        <w:t>Estimar justificada la abstención formulada por el magistrado don César Tolosa Tribiño en el recurso de amparo núm. 499-2024 y apartarle definitivamente del conocimiento del referido recurso y de todas sus incidencias.</w:t>
      </w:r>
    </w:p>
    <w:p w14:paraId="4D4AE9EC" w14:textId="77777777" w:rsidR="00576A90" w:rsidRDefault="00576A90" w:rsidP="00576A90">
      <w:pPr>
        <w:pStyle w:val="TextoNormal"/>
      </w:pPr>
    </w:p>
    <w:p w14:paraId="49063533" w14:textId="77777777" w:rsidR="00576A90" w:rsidRDefault="00576A90" w:rsidP="00576A90">
      <w:pPr>
        <w:pStyle w:val="TextoNormal"/>
      </w:pPr>
      <w:r>
        <w:lastRenderedPageBreak/>
        <w:t>Madrid, a diecinueve de febrero de dos mil veinticuatro.</w:t>
      </w:r>
    </w:p>
    <w:p w14:paraId="74609260" w14:textId="37DC6104" w:rsidR="00576A90" w:rsidRDefault="00576A90">
      <w:pPr>
        <w:spacing w:after="160" w:line="259" w:lineRule="auto"/>
        <w:rPr>
          <w:rFonts w:ascii="Times New Roman" w:eastAsia="Times New Roman" w:hAnsi="Times New Roman" w:cs="Times New Roman"/>
          <w:sz w:val="24"/>
          <w:szCs w:val="24"/>
          <w:lang w:eastAsia="es-ES"/>
        </w:rPr>
      </w:pPr>
      <w:r>
        <w:br w:type="page"/>
      </w:r>
    </w:p>
    <w:p w14:paraId="43BD6020" w14:textId="77777777" w:rsidR="00576A90" w:rsidRDefault="00576A90" w:rsidP="00576A90">
      <w:pPr>
        <w:pStyle w:val="TtuloResolucin"/>
      </w:pPr>
      <w:bookmarkStart w:id="112" w:name="AUTO_2024_17"/>
      <w:r>
        <w:lastRenderedPageBreak/>
        <w:t>AUTO 17/2024, de 20 de febrero de 2024</w:t>
      </w:r>
    </w:p>
    <w:bookmarkEnd w:id="112"/>
    <w:p w14:paraId="73FC0BBC" w14:textId="77777777" w:rsidR="00576A90" w:rsidRDefault="00576A90" w:rsidP="00576A90">
      <w:pPr>
        <w:pStyle w:val="TtuloResolucin"/>
      </w:pPr>
      <w:r>
        <w:t>Sección Primera</w:t>
      </w:r>
    </w:p>
    <w:p w14:paraId="5026DB44" w14:textId="77777777" w:rsidR="00576A90" w:rsidRDefault="00576A90" w:rsidP="00576A90">
      <w:pPr>
        <w:pStyle w:val="TextoNormalCentrado"/>
      </w:pPr>
      <w:r>
        <w:t>ECLI:ES:TC:2024:17A</w:t>
      </w:r>
    </w:p>
    <w:p w14:paraId="6BE08A70" w14:textId="202BECC4" w:rsidR="00576A90" w:rsidRDefault="00576A90" w:rsidP="00576A90">
      <w:pPr>
        <w:pStyle w:val="TextoNormalCentrado"/>
      </w:pPr>
    </w:p>
    <w:p w14:paraId="58DB0163" w14:textId="77777777" w:rsidR="00576A90" w:rsidRDefault="00576A90" w:rsidP="00576A90">
      <w:pPr>
        <w:pStyle w:val="SntesisDescriptiva"/>
      </w:pPr>
      <w:r>
        <w:t>Excms. Srs. don Cándido Conde-Pumpido Tourón, doña Concepción Espejel Jorquera y doña María Luisa Segoviano Astaburuaga.</w:t>
      </w:r>
    </w:p>
    <w:p w14:paraId="037B429E" w14:textId="2AB76644" w:rsidR="00576A90" w:rsidRDefault="00576A90" w:rsidP="00576A90">
      <w:pPr>
        <w:pStyle w:val="SntesisDescriptiva"/>
      </w:pPr>
    </w:p>
    <w:p w14:paraId="51547998" w14:textId="77777777" w:rsidR="00576A90" w:rsidRDefault="00576A90" w:rsidP="00576A90">
      <w:pPr>
        <w:pStyle w:val="SntesisDescriptiva"/>
      </w:pPr>
      <w:r>
        <w:t>Desestima solicitud de revisión de diligencia de ordenación dictada en el recurso de amparo 5820-2022, promovido por don Giorgio Aresu en proceso contencioso administrativo.</w:t>
      </w:r>
    </w:p>
    <w:p w14:paraId="30CF5029" w14:textId="1C42FF9A" w:rsidR="00576A90" w:rsidRDefault="00576A90" w:rsidP="00576A90">
      <w:pPr>
        <w:pStyle w:val="SntesisDescriptiva"/>
      </w:pPr>
    </w:p>
    <w:p w14:paraId="40F49A91" w14:textId="77777777" w:rsidR="00576A90" w:rsidRDefault="00576A90" w:rsidP="00576A90">
      <w:pPr>
        <w:pStyle w:val="SntesisDescriptiva"/>
      </w:pPr>
    </w:p>
    <w:p w14:paraId="15EE360A" w14:textId="77777777" w:rsidR="00576A90" w:rsidRDefault="00576A90" w:rsidP="00576A90">
      <w:pPr>
        <w:pStyle w:val="SntesisDescriptiva"/>
      </w:pPr>
    </w:p>
    <w:p w14:paraId="3028D027" w14:textId="77777777" w:rsidR="00576A90" w:rsidRDefault="00576A90" w:rsidP="00576A90">
      <w:pPr>
        <w:pStyle w:val="TextoNormalNegritaCentrado"/>
      </w:pPr>
      <w:r>
        <w:t>AUTO</w:t>
      </w:r>
    </w:p>
    <w:p w14:paraId="22F2D4DD" w14:textId="58DCF827" w:rsidR="00576A90" w:rsidRDefault="00576A90" w:rsidP="00576A90">
      <w:pPr>
        <w:pStyle w:val="TextoNormalNegritaCentrado"/>
      </w:pPr>
    </w:p>
    <w:p w14:paraId="7B9FEF1A" w14:textId="77777777" w:rsidR="00576A90" w:rsidRDefault="00576A90" w:rsidP="00576A90">
      <w:pPr>
        <w:pStyle w:val="TextoNormalNegritaCentrado"/>
        <w:keepNext/>
      </w:pPr>
      <w:r>
        <w:t>I. Antecedentes</w:t>
      </w:r>
    </w:p>
    <w:p w14:paraId="6BAD0496" w14:textId="6795DF2F" w:rsidR="00576A90" w:rsidRDefault="00576A90" w:rsidP="00576A90">
      <w:pPr>
        <w:pStyle w:val="TextoNormalNegritaCentrado"/>
        <w:keepNext/>
      </w:pPr>
    </w:p>
    <w:p w14:paraId="1F4D61F2" w14:textId="28A59B5C" w:rsidR="00576A90" w:rsidRDefault="00576A90" w:rsidP="00576A90">
      <w:pPr>
        <w:pStyle w:val="TextoNormal"/>
      </w:pPr>
      <w:r w:rsidRPr="00576A90">
        <w:rPr>
          <w:rStyle w:val="NumeroAFNegritaCaracter"/>
        </w:rPr>
        <w:t>1</w:t>
      </w:r>
      <w:r>
        <w:t>. Por escrito presentado el día 2 de septiembre de 2022, don Giorgio Aresu representado por la procuradora de los tribunales doña Rosa María García Bardón, con la asistencia técnica del letrado don Manuel Ollé Sesé, presentó demanda de amparo contra la sentencia 58/2022, de 1 de febrero, de la Sección Segunda de la Audiencia Provincial de Palma de Mallorca, que revocando la sentencia 107/2021, de 6 de julio, del Juzgado de lo Penal núm. 1 de Eivissa dictada en el procedimiento abreviado núm. 166-2019, absolvió a la querellada por el demandante de amparo del delito de sustracción de menores que le imputaba; también se dirige contra el auto de 15 de junio de 2022 desestimatorio del incidente de nulidad de actuaciones promovido contra la sentencia de segunda instancia.</w:t>
      </w:r>
    </w:p>
    <w:p w14:paraId="3A99C3F1" w14:textId="77777777" w:rsidR="00576A90" w:rsidRDefault="00576A90" w:rsidP="00576A90">
      <w:pPr>
        <w:pStyle w:val="TextoNormal"/>
      </w:pPr>
    </w:p>
    <w:p w14:paraId="46D311E5" w14:textId="198D3FF1" w:rsidR="00576A90" w:rsidRDefault="00576A90" w:rsidP="00576A90">
      <w:pPr>
        <w:pStyle w:val="TextoNormal"/>
      </w:pPr>
      <w:r w:rsidRPr="00576A90">
        <w:rPr>
          <w:rStyle w:val="NumeroAFNegritaCaracter"/>
        </w:rPr>
        <w:t>2</w:t>
      </w:r>
      <w:r>
        <w:t>. Por providencia de 26 de junio de 2023, la Sección Primera de este Tribunal Constitucional acordó no admitir a trámite el recurso de amparo por no apreciar en el mismo la especial trascendencia constitucional que, como condición para su admisión, requiere el art. 50.1 b) de la Ley Orgánica del Tribunal Constitucional (LOTC) (STC 155/2009, de 25 de junio, FJ 2).</w:t>
      </w:r>
    </w:p>
    <w:p w14:paraId="17B70E7D" w14:textId="77777777" w:rsidR="00576A90" w:rsidRDefault="00576A90" w:rsidP="00576A90">
      <w:pPr>
        <w:pStyle w:val="TextoNormal"/>
      </w:pPr>
    </w:p>
    <w:p w14:paraId="561A88D8" w14:textId="59944E0F" w:rsidR="00576A90" w:rsidRDefault="00576A90" w:rsidP="00576A90">
      <w:pPr>
        <w:pStyle w:val="TextoNormal"/>
      </w:pPr>
      <w:r w:rsidRPr="00576A90">
        <w:rPr>
          <w:rStyle w:val="NumeroAFNegritaCaracter"/>
        </w:rPr>
        <w:t>3</w:t>
      </w:r>
      <w:r>
        <w:t>. Por escrito presentado el 3 de julio de 2023, la procuradora del demandante solicitó que se le facilitase testimonio o copia simple de todo el expediente del que se compone la tramitación del recurso, desde su presentación hasta la providencia de inadmisión, incluidos, en su caso, los informes de los letrados, con el fin de conocer los motivos jurídicos que dieron lugar a esta resolución y, si procede, recurrir ante otras instancias.</w:t>
      </w:r>
    </w:p>
    <w:p w14:paraId="366D4C39" w14:textId="77777777" w:rsidR="00576A90" w:rsidRDefault="00576A90" w:rsidP="00576A90">
      <w:pPr>
        <w:pStyle w:val="TextoNormal"/>
      </w:pPr>
    </w:p>
    <w:p w14:paraId="3DC8E242" w14:textId="4243FC45" w:rsidR="00576A90" w:rsidRDefault="00576A90" w:rsidP="00576A90">
      <w:pPr>
        <w:pStyle w:val="TextoNormal"/>
      </w:pPr>
      <w:r w:rsidRPr="00576A90">
        <w:rPr>
          <w:rStyle w:val="NumeroAFNegritaCaracter"/>
        </w:rPr>
        <w:t>4</w:t>
      </w:r>
      <w:r>
        <w:t>. Por diligencia de ordenación de 14 de julio de 2023, la Secretaría de Justicia de la Sección Primera de este tribunal tuvo por recibido el escrito, lo unió a las actuaciones y acordó no haber lugar a lo solicitado, toda vez que la procuradora podía acceder a la totalidad del expediente por vía digital.</w:t>
      </w:r>
    </w:p>
    <w:p w14:paraId="20795E56" w14:textId="77777777" w:rsidR="00576A90" w:rsidRDefault="00576A90" w:rsidP="00576A90">
      <w:pPr>
        <w:pStyle w:val="TextoNormal"/>
      </w:pPr>
    </w:p>
    <w:p w14:paraId="7B4BF1CE" w14:textId="2C01893E" w:rsidR="00576A90" w:rsidRDefault="00576A90" w:rsidP="00576A90">
      <w:pPr>
        <w:pStyle w:val="TextoNormal"/>
      </w:pPr>
      <w:r w:rsidRPr="00576A90">
        <w:rPr>
          <w:rStyle w:val="NumeroAFNegritaCaracter"/>
        </w:rPr>
        <w:t>5</w:t>
      </w:r>
      <w:r>
        <w:t xml:space="preserve">. Por escrito presentado el día 20 de julio de 2023, la procuradora del demandante manifestó que había accedido a la totalidad del expediente por vía digital y comprobado que en el mismo no obraba el informe o informes emitidos por los letrados, por lo que </w:t>
      </w:r>
      <w:r>
        <w:lastRenderedPageBreak/>
        <w:t>interesaba que se le facilitase testimonio o copia simple de los mismos a los efectos ya indicados en su anterior escrito.</w:t>
      </w:r>
    </w:p>
    <w:p w14:paraId="204D982D" w14:textId="77777777" w:rsidR="00576A90" w:rsidRDefault="00576A90" w:rsidP="00576A90">
      <w:pPr>
        <w:pStyle w:val="TextoNormal"/>
      </w:pPr>
    </w:p>
    <w:p w14:paraId="663486A3" w14:textId="081DFD13" w:rsidR="00576A90" w:rsidRDefault="00576A90" w:rsidP="00576A90">
      <w:pPr>
        <w:pStyle w:val="TextoNormal"/>
      </w:pPr>
      <w:r w:rsidRPr="00576A90">
        <w:rPr>
          <w:rStyle w:val="NumeroAFNegritaCaracter"/>
        </w:rPr>
        <w:t>6</w:t>
      </w:r>
      <w:r>
        <w:t>. Por diligencia de ordenación de 27 de julio de 2023 se acordó estar a la anterior resolución.</w:t>
      </w:r>
    </w:p>
    <w:p w14:paraId="06258D2C" w14:textId="77777777" w:rsidR="00576A90" w:rsidRDefault="00576A90" w:rsidP="00576A90">
      <w:pPr>
        <w:pStyle w:val="TextoNormal"/>
      </w:pPr>
    </w:p>
    <w:p w14:paraId="0C5C111C" w14:textId="5022A4B2" w:rsidR="00576A90" w:rsidRDefault="00576A90" w:rsidP="00576A90">
      <w:pPr>
        <w:pStyle w:val="TextoNormal"/>
      </w:pPr>
      <w:r w:rsidRPr="00576A90">
        <w:rPr>
          <w:rStyle w:val="NumeroAFNegritaCaracter"/>
        </w:rPr>
        <w:t>7</w:t>
      </w:r>
      <w:r>
        <w:t>. Por escrito presentado el 31 de julio de 2023, la procuradora del demandante manifestó que, dado que en el expediente digital no obraba informe o informes de los letrados de admisión en el marco del presente recurso de amparo, interesaba se le facilitase testimonio o copia de los mismos o, en su defecto, se le comunicase la razón por la que se denegó su solicitud.</w:t>
      </w:r>
    </w:p>
    <w:p w14:paraId="3466AD57" w14:textId="77777777" w:rsidR="00576A90" w:rsidRDefault="00576A90" w:rsidP="00576A90">
      <w:pPr>
        <w:pStyle w:val="TextoNormal"/>
      </w:pPr>
    </w:p>
    <w:p w14:paraId="512F2BD8" w14:textId="19B1D643" w:rsidR="00576A90" w:rsidRDefault="00576A90" w:rsidP="00576A90">
      <w:pPr>
        <w:pStyle w:val="TextoNormal"/>
      </w:pPr>
      <w:r w:rsidRPr="00576A90">
        <w:rPr>
          <w:rStyle w:val="NumeroAFNegritaCaracter"/>
        </w:rPr>
        <w:t>8</w:t>
      </w:r>
      <w:r>
        <w:t>. Por diligencia de ordenación de 11 de septiembre de 2023 se tuvo por presentado el escrito, se unió a las actuaciones, y se acordó estar a lo acordado en anteriores resoluciones.</w:t>
      </w:r>
    </w:p>
    <w:p w14:paraId="7583226E" w14:textId="77777777" w:rsidR="00576A90" w:rsidRDefault="00576A90" w:rsidP="00576A90">
      <w:pPr>
        <w:pStyle w:val="TextoNormal"/>
      </w:pPr>
    </w:p>
    <w:p w14:paraId="4831F2AD" w14:textId="77777777" w:rsidR="00576A90" w:rsidRDefault="00576A90" w:rsidP="00576A90">
      <w:pPr>
        <w:pStyle w:val="TextoNormal"/>
      </w:pPr>
      <w:r w:rsidRPr="00576A90">
        <w:rPr>
          <w:rStyle w:val="NumeroAFNegritaCaracter"/>
        </w:rPr>
        <w:t>9</w:t>
      </w:r>
      <w:r>
        <w:t>. Por escrito presentado el 15 de septiembre de 2023 la procuradora del demandante interpuso recurso de reposición contra la anterior diligencia en el que alegó la vulneración del derecho a la tutela judicial efectiva sin indefensión, en relación con el derecho a un proceso con todas las garantías (art. 24 CE) en conexión con el acceso a las actuaciones judiciales (arts. 105 y 120 CE), el derecho a un proceso equitativo [art. 6 del Convenio europeo de derechos humanos (CEDH)] y a un recurso efectivo (art. 13 CEDH), así como la infracción de los arts. 234.2 de la Ley Orgánica del Poder Judicial (LOPJ) y 13 y ss., de la Ley 39/2015, de 1 de octubre, del procedimiento administrativo común de las administraciones públicas.</w:t>
      </w:r>
    </w:p>
    <w:p w14:paraId="57373976" w14:textId="77777777" w:rsidR="00576A90" w:rsidRDefault="00576A90" w:rsidP="00576A90">
      <w:pPr>
        <w:pStyle w:val="TextoNormal"/>
      </w:pPr>
    </w:p>
    <w:p w14:paraId="62791EEB" w14:textId="77777777" w:rsidR="00576A90" w:rsidRDefault="00576A90" w:rsidP="00576A90">
      <w:pPr>
        <w:pStyle w:val="TextoNormal"/>
      </w:pPr>
      <w:r>
        <w:t>Alega que se ha denegado al demandante de amparo el acceso al expediente judicial completo, en concreto, al informe o informes emitidos por los letrados de admisión en el marco del recurso de amparo, pues si bien es cierto que se le ha remitido al expediente judicial íntegro, en el mismo no obra el informe interesado.</w:t>
      </w:r>
    </w:p>
    <w:p w14:paraId="3D2FDA34" w14:textId="77777777" w:rsidR="00576A90" w:rsidRDefault="00576A90" w:rsidP="00576A90">
      <w:pPr>
        <w:pStyle w:val="TextoNormal"/>
      </w:pPr>
    </w:p>
    <w:p w14:paraId="44BA182E" w14:textId="603C6786" w:rsidR="00576A90" w:rsidRDefault="00576A90" w:rsidP="00576A90">
      <w:pPr>
        <w:pStyle w:val="TextoNormal"/>
      </w:pPr>
      <w:r>
        <w:t>Invoca el derecho a obtener copias simples de los escritos y documentos que consten en autos, y que no estén declarados reservados o secretos, y a que se expidan los testimonios y certificados en los casos y forma establecidos en las leyes procesales, con citas del art. 234.2 LOPJ, de la Ley 18/2011, de 5 de julio, reguladora del uso de las tecnologías de la información y la comunicación en la administración de justicia, y de la Ley 39/2015, de 1 de octubre, del procedimiento administrativo común de las administraciones públicas, cuyo art. 13 d) reconoce el derecho de acceso a la información pública, archivos y registros, de acuerdo con lo previsto en la Ley 19/2013, de 9 de diciembre, de transparencia, acceso a la información pública y buen gobierno. Cita asimismo el art. 48 del Real Decreto 135/2021, de 2 de marzo, por el que se aprueba el Estatuto general de la abogacía española, que establece el deber del profesional de la abogacía de informar a su cliente, que deviene imposible si no se obtiene copia de determinadas actuaciones. Añade que el impedimento a obtener copia del repetido particular, que a su vez imposibilita conocer los concretos motivos jurídicos de la inadmisión del recurso de amparo, esenciales para la eventual interposición de ulteriores recursos, vulnera los derechos de acceso a las actuaciones judiciales, a la tutela judicial efectiva sin indefensión y a un proceso con todas las garan</w:t>
      </w:r>
      <w:r>
        <w:lastRenderedPageBreak/>
        <w:t>tías, por lo que en aras a garantizar estos derechos reitera su petición de traslado del informe o informes emitidos por los letrados.</w:t>
      </w:r>
    </w:p>
    <w:p w14:paraId="59A6B7B4" w14:textId="77777777" w:rsidR="00576A90" w:rsidRDefault="00576A90" w:rsidP="00576A90">
      <w:pPr>
        <w:pStyle w:val="TextoNormal"/>
      </w:pPr>
    </w:p>
    <w:p w14:paraId="65474EF0" w14:textId="7BAC3C9A" w:rsidR="00576A90" w:rsidRDefault="00576A90" w:rsidP="00576A90">
      <w:pPr>
        <w:pStyle w:val="TextoNormal"/>
      </w:pPr>
      <w:r w:rsidRPr="00576A90">
        <w:rPr>
          <w:rStyle w:val="NumeroAFNegritaCaracter"/>
        </w:rPr>
        <w:t>10</w:t>
      </w:r>
      <w:r>
        <w:t>. Por diligencia de ordenación de 18 de septiembre de 2023 se acordó dar traslado de este escrito al Ministerio Fiscal para que alegara lo que estimase oportuno en el plazo de tres días.</w:t>
      </w:r>
    </w:p>
    <w:p w14:paraId="593F7D08" w14:textId="77777777" w:rsidR="00576A90" w:rsidRDefault="00576A90" w:rsidP="00576A90">
      <w:pPr>
        <w:pStyle w:val="TextoNormal"/>
      </w:pPr>
    </w:p>
    <w:p w14:paraId="3250038A" w14:textId="77777777" w:rsidR="00576A90" w:rsidRDefault="00576A90" w:rsidP="00576A90">
      <w:pPr>
        <w:pStyle w:val="TextoNormal"/>
      </w:pPr>
      <w:r w:rsidRPr="00576A90">
        <w:rPr>
          <w:rStyle w:val="NumeroAFNegritaCaracter"/>
        </w:rPr>
        <w:t>11</w:t>
      </w:r>
      <w:r>
        <w:t>. Por escrito presentado el día 9 de octubre de 2023, el fiscal formula alegaciones en las que manifiesta, en primer lugar, que no va a suscitar la posible extemporaneidad del recurso de reposición, que debió interponerse contra la diligencia de ordenación de 27 de julio de 2023, en lugar de reiterar la petición de acceso al informe de los letrados, dado que dicha petición fue respondida por la diligencia de ordenación ahora recurrida en reposición.</w:t>
      </w:r>
    </w:p>
    <w:p w14:paraId="3DEFA519" w14:textId="77777777" w:rsidR="00576A90" w:rsidRDefault="00576A90" w:rsidP="00576A90">
      <w:pPr>
        <w:pStyle w:val="TextoNormal"/>
      </w:pPr>
    </w:p>
    <w:p w14:paraId="39731A77" w14:textId="4045BBF7" w:rsidR="00576A90" w:rsidRDefault="00576A90" w:rsidP="00576A90">
      <w:pPr>
        <w:pStyle w:val="TextoNormal"/>
      </w:pPr>
      <w:r>
        <w:t>El fiscal reproduce a continuación el art. 234.2 LOPJ y alega que se ha dado cabal cumplimiento al mismo, pues se ha autorizado a la representación procesal del demandante el acceso a la totalidad del expediente digital, que incluye el proceso judicial antecedente y todas las actuaciones procesales realizadas ante el Tribunal Constitucional. No forman parte de dicho expediente los informes de los letrados del Tribunal Constitucional porque, aun reconociendo el valor que debe dárseles, constituyen un simple instrumento de preparación de las resoluciones que se dicten, pero no constituyen ningún acto procesal legalmente previsto en la LOTC, y están sometidos a un régimen de secreto o reserva, según se desprende de los arts. 86.1 c) y 86.2 d) del Reglamento de organización y personal del Tribunal Constitucional.</w:t>
      </w:r>
    </w:p>
    <w:p w14:paraId="57FCC44F" w14:textId="77777777" w:rsidR="00576A90" w:rsidRDefault="00576A90" w:rsidP="00576A90">
      <w:pPr>
        <w:pStyle w:val="TextoNormal"/>
      </w:pPr>
    </w:p>
    <w:p w14:paraId="2F82EACB" w14:textId="77777777" w:rsidR="00576A90" w:rsidRDefault="00576A90" w:rsidP="00576A90">
      <w:pPr>
        <w:pStyle w:val="TextoNormalNegritaCentrado"/>
        <w:keepNext/>
      </w:pPr>
      <w:r>
        <w:t>II. Fundamentos jurídicos</w:t>
      </w:r>
    </w:p>
    <w:p w14:paraId="0AF8F898" w14:textId="0C659146" w:rsidR="00576A90" w:rsidRDefault="00576A90" w:rsidP="00576A90">
      <w:pPr>
        <w:pStyle w:val="TextoNormalNegritaCentrado"/>
        <w:keepNext/>
      </w:pPr>
    </w:p>
    <w:p w14:paraId="2DC7421B" w14:textId="77777777" w:rsidR="00576A90" w:rsidRDefault="00576A90" w:rsidP="00576A90">
      <w:pPr>
        <w:pStyle w:val="TextoNormal"/>
      </w:pPr>
      <w:r w:rsidRPr="00576A90">
        <w:rPr>
          <w:rStyle w:val="NumeroAFNegritaCaracter"/>
        </w:rPr>
        <w:t>1</w:t>
      </w:r>
      <w:r>
        <w:t>. La representación procesal de don Giorgio Aresu ha presentado escrito de 15 de septiembre de 2023 mediante el que interpone “recurso de reposición” contra la diligencia de ordenación de la Secretaría de Justicia de 11 de septiembre de 2023. En su escrito impugna que se haya denegado su solicitud de que se le hiciera entrega de copia del informe o informes emitidos por los letrados del Tribunal Constitucional con ocasión del trámite de admisibilidad de su recurso de amparo, que fue inadmitido por providencia de 26 de junio de 2023 por no apreciarse una especial trascendencia constitucional en los términos del art. 50.1 b) LOTC. El recurrente interesa que se revoque tal decisión y que se le entreguen las copias solicitadas, advirtiendo que todo impedimento que se le oponga a su acceso constituye una vulneración de sus derechos fundamentales a la tutela judicial efectiva y a un proceso con todas las garantías (art. 24.1 y 2 CE), así como una infracción de determinados preceptos legales que a su juicio imponen el acceso a tal tipo de documentación.</w:t>
      </w:r>
    </w:p>
    <w:p w14:paraId="3E178D9B" w14:textId="77777777" w:rsidR="00576A90" w:rsidRDefault="00576A90" w:rsidP="00576A90">
      <w:pPr>
        <w:pStyle w:val="TextoNormal"/>
      </w:pPr>
    </w:p>
    <w:p w14:paraId="76848491" w14:textId="2905A341" w:rsidR="00576A90" w:rsidRDefault="00576A90" w:rsidP="00576A90">
      <w:pPr>
        <w:pStyle w:val="TextoNormal"/>
      </w:pPr>
      <w:r>
        <w:t>El fiscal ante el Tribunal Constitucional, en su escrito de alegaciones, ha interesado la desestimación del recurso de reposición porque los informes de los letrados del Tribunal Constitucional no están comprendidos en las previsiones del art. 234.2 LOPJ, porque no forman parte del expediente judicial, y están sometidos a un deber de reserva, conforme a lo previsto en normas de naturaleza sancionadora contenidas en el Reglamento de organización y personal del Tribunal Constitucional.</w:t>
      </w:r>
    </w:p>
    <w:p w14:paraId="48A38843" w14:textId="77777777" w:rsidR="00576A90" w:rsidRDefault="00576A90" w:rsidP="00576A90">
      <w:pPr>
        <w:pStyle w:val="TextoNormal"/>
      </w:pPr>
    </w:p>
    <w:p w14:paraId="17570400" w14:textId="77777777" w:rsidR="00576A90" w:rsidRDefault="00576A90" w:rsidP="00576A90">
      <w:pPr>
        <w:pStyle w:val="TextoNormal"/>
      </w:pPr>
      <w:r w:rsidRPr="00576A90">
        <w:rPr>
          <w:rStyle w:val="NumeroAFNegritaCaracter"/>
        </w:rPr>
        <w:lastRenderedPageBreak/>
        <w:t>2</w:t>
      </w:r>
      <w:r>
        <w:t>. Antes de proceder a examinar la cuestión de fondo planteada en el escrito, se ha de precisar, siguiendo lo resuelto en los AATC 43/2012, de 9 de marzo, FJ 1; 179/2019, de 16 de diciembre, FJ 1; 106/2020, de 21 de septiembre, FJ 1; 16/2021, de 15 de febrero, FJ 1, y 6/2023, de 24 de enero, FJ único, que las diligencias de ordenación dictadas por los secretarios de justicia del Tribunal Constitucional no son recurribles en reposición ante el propio secretario de justicia que las haya dictado, sin perjuicio de que puedan ser revisables por la correspondiente Sección de este tribunal o, en su caso, por las Salas o el Pleno.</w:t>
      </w:r>
    </w:p>
    <w:p w14:paraId="62659905" w14:textId="77777777" w:rsidR="00576A90" w:rsidRDefault="00576A90" w:rsidP="00576A90">
      <w:pPr>
        <w:pStyle w:val="TextoNormal"/>
      </w:pPr>
    </w:p>
    <w:p w14:paraId="124FA64D" w14:textId="1E376026" w:rsidR="00576A90" w:rsidRDefault="00576A90" w:rsidP="00576A90">
      <w:pPr>
        <w:pStyle w:val="TextoNormal"/>
      </w:pPr>
      <w:r>
        <w:t>En consecuencia, no procede el recurso de reposición que la representación de don Giorgio Aresu pretende interponer contra la diligencia de ordenación de 11 de septiembre de 2023. No obstante, ello no impide que abordemos la pretensión que se formula en dicho recurso como una petición de revisión por este tribunal de lo acordado por el secretario de justicia de la Sección pues, en último término, cualquiera que sea la denominación o veste otorgada al escrito presentado hay que atender, siguiendo un criterio antiformalista, a lo que en el mismo se interesa, que no es sino una revisión de lo acordado en la diligencia de ordenación, para que sea dejada sin efecto.</w:t>
      </w:r>
    </w:p>
    <w:p w14:paraId="6AF000DB" w14:textId="77777777" w:rsidR="00576A90" w:rsidRDefault="00576A90" w:rsidP="00576A90">
      <w:pPr>
        <w:pStyle w:val="TextoNormal"/>
      </w:pPr>
    </w:p>
    <w:p w14:paraId="3CF995B0" w14:textId="77777777" w:rsidR="00576A90" w:rsidRDefault="00576A90" w:rsidP="00576A90">
      <w:pPr>
        <w:pStyle w:val="TextoNormal"/>
      </w:pPr>
      <w:r w:rsidRPr="00576A90">
        <w:rPr>
          <w:rStyle w:val="NumeroAFNegritaCaracter"/>
        </w:rPr>
        <w:t>3</w:t>
      </w:r>
      <w:r>
        <w:t>. La Ley Orgánica del Tribunal Constitucional (LOTC), en su título VIII, dice que los letrados son funcionarios al servicio del Tribunal [art. 96.1 b)], regidos por lo establecido en la misma ley y en el correspondiente reglamento de desarrollo (art. 96.2), con funciones de asistencia (art. 97.1 LOTC) consistente en el estudio, informe o asesoramiento que se les encomiende en las materias de las que conoce el Tribunal, sin perjuicio de la realización de las funciones administrativas de nivel superior que, en su caso, les puedan ser atribuidas (art. 44.2 del Reglamento de organización y personal del Tribunal Constitucional, aprobado por Acuerdo del Pleno del Tribunal Constitucional de 5 de julio de 1990).</w:t>
      </w:r>
    </w:p>
    <w:p w14:paraId="16B80E69" w14:textId="77777777" w:rsidR="00576A90" w:rsidRDefault="00576A90" w:rsidP="00576A90">
      <w:pPr>
        <w:pStyle w:val="TextoNormal"/>
      </w:pPr>
    </w:p>
    <w:p w14:paraId="4E4CBDEB" w14:textId="77777777" w:rsidR="00576A90" w:rsidRDefault="00576A90" w:rsidP="00576A90">
      <w:pPr>
        <w:pStyle w:val="TextoNormal"/>
      </w:pPr>
      <w:r>
        <w:t>La Ley Orgánica del Tribunal Constitucional no prevé una intervención propia de los letrados del Tribunal Constitucional en los procedimientos constitucionales, incluido el procedimiento constitucional de amparo, por lo que sus informes, notas y documentos agotan su eficacia en el ámbito interno y no trascienden a los mismos.</w:t>
      </w:r>
    </w:p>
    <w:p w14:paraId="429B3E22" w14:textId="77777777" w:rsidR="00576A90" w:rsidRDefault="00576A90" w:rsidP="00576A90">
      <w:pPr>
        <w:pStyle w:val="TextoNormal"/>
      </w:pPr>
    </w:p>
    <w:p w14:paraId="6164941F" w14:textId="77777777" w:rsidR="00576A90" w:rsidRDefault="00576A90" w:rsidP="00576A90">
      <w:pPr>
        <w:pStyle w:val="TextoNormal"/>
      </w:pPr>
      <w:r>
        <w:t>La publicidad de los procedimientos seguidos en el Tribunal Constitucional se rige, en lo no previsto en la LOTC, y en virtud de la cláusula remisoria de su art. 80.1, por las previsiones de la Ley Orgánica del Poder Judicial (LOPJ), cuyo art. 234.2 dice: “Las partes y cualquier persona que acredite un interés legítimo y directo tendrán derecho a obtener, en la forma dispuesta en las leyes procesales y, en su caso, en la Ley 18/2011, de 5 de julio, reguladora del uso de las tecnologías de la información y la comunicación en la Administración de Justicia, copias simples de los escritos y documentos que consten en los autos, no declarados secretos ni reservados. También tendrán derecho a que se les expidan los testimonios y certificados en los casos y a través del cauce establecido en las leyes procesales”.</w:t>
      </w:r>
    </w:p>
    <w:p w14:paraId="2E45B0D6" w14:textId="77777777" w:rsidR="00576A90" w:rsidRDefault="00576A90" w:rsidP="00576A90">
      <w:pPr>
        <w:pStyle w:val="TextoNormal"/>
      </w:pPr>
    </w:p>
    <w:p w14:paraId="7240AF09" w14:textId="77777777" w:rsidR="00576A90" w:rsidRDefault="00576A90" w:rsidP="00576A90">
      <w:pPr>
        <w:pStyle w:val="TextoNormal"/>
      </w:pPr>
      <w:r>
        <w:t>La resolución cuestionada deniega la entrega de unos informes que son, conforme a los preceptos de la Ley Orgánica del Tribunal Constitucional y del Reglamento de organización y personal del Tribunal Constitucional más arriba citados, meros documentos de trabajo interno, elaborados para conocimiento exclusivo de los magistrados del Tribunal Constitucional, como instrumento de apoyo a sus decisiones, carentes de efecto vinculante. No se les puede aplicar, por ello, la previsión contenida en el art. 234.2 LOPJ, que re</w:t>
      </w:r>
      <w:r>
        <w:lastRenderedPageBreak/>
        <w:t>conoce un derecho de acceso a las actuaciones judiciales objetivamente limitado a los escritos y documentos que consten en los autos.</w:t>
      </w:r>
    </w:p>
    <w:p w14:paraId="18708528" w14:textId="77777777" w:rsidR="00576A90" w:rsidRDefault="00576A90" w:rsidP="00576A90">
      <w:pPr>
        <w:pStyle w:val="TextoNormal"/>
      </w:pPr>
    </w:p>
    <w:p w14:paraId="27A93C93" w14:textId="77777777" w:rsidR="00576A90" w:rsidRDefault="00576A90" w:rsidP="00576A90">
      <w:pPr>
        <w:pStyle w:val="TextoNormal"/>
      </w:pPr>
      <w:r>
        <w:t>Estos informes tampoco son documentación accesible en aplicación de lo previsto en la Ley 19/2013, de 9 de diciembre, de transparencia, acceso a la información pública y buen gobierno, ya que quedarían dentro de las previsiones del art. 18 de dicha disposición legal, concerniente a las causas de inadmisión. Este precepto, en su apartado 1. b) establece que se inadmitirán a trámite, mediante resolución motivada, las solicitudes “[r]eferidas a información que tenga carácter auxiliar o de apoyo como la contenida en notas, borradores, opiniones, resúmenes, comunicaciones e informes internos o entre órganos o entidades administrativas”.</w:t>
      </w:r>
    </w:p>
    <w:p w14:paraId="7B824A25" w14:textId="77777777" w:rsidR="00576A90" w:rsidRDefault="00576A90" w:rsidP="00576A90">
      <w:pPr>
        <w:pStyle w:val="TextoNormal"/>
      </w:pPr>
    </w:p>
    <w:p w14:paraId="0DF14D0B" w14:textId="77777777" w:rsidR="00576A90" w:rsidRDefault="00576A90" w:rsidP="00576A90">
      <w:pPr>
        <w:pStyle w:val="TextoNormal"/>
      </w:pPr>
      <w:r>
        <w:t>Por las razones expuestas esta sección considera oportuno responder en sentido desestimatorio a la solicitud efectuada.</w:t>
      </w:r>
    </w:p>
    <w:p w14:paraId="1A0AF274" w14:textId="77777777" w:rsidR="00576A90" w:rsidRDefault="00576A90" w:rsidP="00576A90">
      <w:pPr>
        <w:pStyle w:val="TextoNormal"/>
      </w:pPr>
    </w:p>
    <w:p w14:paraId="56F322C9" w14:textId="77777777" w:rsidR="00576A90" w:rsidRDefault="00576A90" w:rsidP="00576A90">
      <w:pPr>
        <w:pStyle w:val="TextoNormal"/>
      </w:pPr>
      <w:r>
        <w:t>Por lo demás, la decisión cuestionada tampoco menoscaba los derechos fundamentales del actor, reconocidos en el art. 24 CE, pues este en modo alguno se ha visto privado del conocimiento de la causa de inadmisión de su recurso de amparo, que la providencia de 26 de junio de 2023 concreta, conforme al art. 50.3 LOTC, en la falta de especial trascendencia constitucional exigida en el art. 50.1 b) LOTC, que “se apreciará atendiendo a su importancia para la interpretación de la Constitución, para su aplicación o para su general eficacia, y para la determinación del contenido y alcance de los derechos fundamentales”, requisito cuya existencia o inexistencia corresponde apreciar en exclusiva al propio Tribunal Constitucional (por todas, SSTC 63/2022, de 10 de mayo, FJ 2, y 68/2022, de 2 de junio, FJ 2).</w:t>
      </w:r>
    </w:p>
    <w:p w14:paraId="7EE70497" w14:textId="77777777" w:rsidR="00576A90" w:rsidRDefault="00576A90" w:rsidP="00576A90">
      <w:pPr>
        <w:pStyle w:val="TextoNormal"/>
      </w:pPr>
    </w:p>
    <w:p w14:paraId="6B315B05" w14:textId="6B85117E" w:rsidR="00576A90" w:rsidRDefault="00576A90" w:rsidP="00576A90">
      <w:pPr>
        <w:pStyle w:val="TextoNormal"/>
      </w:pPr>
      <w:r>
        <w:t>Tampoco se le ha privado al actor de medios impugnatorios que estuvieran a su alcance, pues el art. 50.3 LOTC establece claramente que solo el Ministerio Fiscal tiene legitimación para recurrir en súplica la providencia de inadmisión del recurso de amparo, siendo el acceso al recurso un derecho que se incorpora a la tutela judicial en la configuración que le otorga cada una de las leyes reguladoras de los diversos órdenes jurisdiccionales (STC 254/2007, de 17 de diciembre, FJ 2).</w:t>
      </w:r>
    </w:p>
    <w:p w14:paraId="046BD5AA" w14:textId="77777777" w:rsidR="00576A90" w:rsidRDefault="00576A90" w:rsidP="00576A90">
      <w:pPr>
        <w:pStyle w:val="TextoNormal"/>
      </w:pPr>
    </w:p>
    <w:p w14:paraId="78503BE0" w14:textId="77777777" w:rsidR="00576A90" w:rsidRDefault="00576A90" w:rsidP="00576A90">
      <w:pPr>
        <w:pStyle w:val="TextoNormal"/>
      </w:pPr>
      <w:r>
        <w:t>Por lo expuesto, la Sección</w:t>
      </w:r>
    </w:p>
    <w:p w14:paraId="222BA9DE" w14:textId="002075B4" w:rsidR="00576A90" w:rsidRDefault="00576A90" w:rsidP="00576A90">
      <w:pPr>
        <w:pStyle w:val="TextoNormal"/>
      </w:pPr>
    </w:p>
    <w:p w14:paraId="34AF7DE6" w14:textId="77777777" w:rsidR="00576A90" w:rsidRDefault="00576A90" w:rsidP="00576A90">
      <w:pPr>
        <w:pStyle w:val="TextoNormalCentrado"/>
      </w:pPr>
      <w:r>
        <w:t>ACUERDA</w:t>
      </w:r>
    </w:p>
    <w:p w14:paraId="119139D8" w14:textId="0B64CA3F" w:rsidR="00576A90" w:rsidRDefault="00576A90" w:rsidP="00576A90">
      <w:pPr>
        <w:pStyle w:val="TextoNormalCentrado"/>
      </w:pPr>
    </w:p>
    <w:p w14:paraId="07D15AEE" w14:textId="059A1CAE" w:rsidR="00576A90" w:rsidRDefault="00576A90" w:rsidP="00576A90">
      <w:pPr>
        <w:pStyle w:val="TextoNormal"/>
      </w:pPr>
      <w:r>
        <w:t>No haber lugar a revisar la diligencia de ordenación del secretario de justicia de la Sección Primera del Tribunal Constitucional de 11 de septiembre de 2023, que confirmamos íntegramente.</w:t>
      </w:r>
    </w:p>
    <w:p w14:paraId="486191B9" w14:textId="77777777" w:rsidR="00576A90" w:rsidRDefault="00576A90" w:rsidP="00576A90">
      <w:pPr>
        <w:pStyle w:val="TextoNormal"/>
      </w:pPr>
    </w:p>
    <w:p w14:paraId="284930F1" w14:textId="77777777" w:rsidR="00576A90" w:rsidRDefault="00576A90" w:rsidP="00576A90">
      <w:pPr>
        <w:pStyle w:val="TextoNormal"/>
      </w:pPr>
      <w:r>
        <w:t>Madrid, a veinte de febrero de dos mil veinticuatro.</w:t>
      </w:r>
    </w:p>
    <w:p w14:paraId="3981E3FE" w14:textId="471465AF" w:rsidR="00576A90" w:rsidRDefault="00576A90">
      <w:pPr>
        <w:spacing w:after="160" w:line="259" w:lineRule="auto"/>
        <w:rPr>
          <w:rFonts w:ascii="Times New Roman" w:eastAsia="Times New Roman" w:hAnsi="Times New Roman" w:cs="Times New Roman"/>
          <w:sz w:val="24"/>
          <w:szCs w:val="24"/>
          <w:lang w:eastAsia="es-ES"/>
        </w:rPr>
      </w:pPr>
      <w:r>
        <w:br w:type="page"/>
      </w:r>
    </w:p>
    <w:p w14:paraId="5587E5AF" w14:textId="77777777" w:rsidR="00576A90" w:rsidRDefault="00576A90" w:rsidP="00576A90">
      <w:pPr>
        <w:pStyle w:val="TtuloResolucin"/>
      </w:pPr>
      <w:bookmarkStart w:id="113" w:name="AUTO_2024_18"/>
      <w:r>
        <w:lastRenderedPageBreak/>
        <w:t>AUTO 18/2024, de 26 de febrero de 2024</w:t>
      </w:r>
    </w:p>
    <w:bookmarkEnd w:id="113"/>
    <w:p w14:paraId="1F5E4B0A" w14:textId="77777777" w:rsidR="00576A90" w:rsidRDefault="00576A90" w:rsidP="00576A90">
      <w:pPr>
        <w:pStyle w:val="TtuloResolucin"/>
      </w:pPr>
      <w:r>
        <w:t>Sala Segunda</w:t>
      </w:r>
    </w:p>
    <w:p w14:paraId="33550C28" w14:textId="77777777" w:rsidR="00576A90" w:rsidRDefault="00576A90" w:rsidP="00576A90">
      <w:pPr>
        <w:pStyle w:val="TextoNormalCentrado"/>
      </w:pPr>
      <w:r>
        <w:t>ECLI:ES:TC:2024:18A</w:t>
      </w:r>
    </w:p>
    <w:p w14:paraId="3DA9740D" w14:textId="28D5F642" w:rsidR="00576A90" w:rsidRDefault="00576A90" w:rsidP="00576A90">
      <w:pPr>
        <w:pStyle w:val="TextoNormalCentrado"/>
      </w:pPr>
    </w:p>
    <w:p w14:paraId="5960AF5F" w14:textId="77777777" w:rsidR="00576A90" w:rsidRDefault="00576A90" w:rsidP="00576A90">
      <w:pPr>
        <w:pStyle w:val="SntesisDescriptiva"/>
      </w:pPr>
      <w:r>
        <w:t>Excms. Srs. doña Inmaculada Montalbán Huertas, doña María Luisa Balaguer Callejón, don Ramón Sáez Valcárcel y doña Laura Díez Bueso.</w:t>
      </w:r>
    </w:p>
    <w:p w14:paraId="58514735" w14:textId="4125920C" w:rsidR="00576A90" w:rsidRDefault="00576A90" w:rsidP="00576A90">
      <w:pPr>
        <w:pStyle w:val="SntesisDescriptiva"/>
      </w:pPr>
    </w:p>
    <w:p w14:paraId="60A10BEE" w14:textId="77777777" w:rsidR="00576A90" w:rsidRDefault="00576A90" w:rsidP="00576A90">
      <w:pPr>
        <w:pStyle w:val="SntesisDescriptiva"/>
      </w:pPr>
      <w:r>
        <w:t>Acepta una abstención en el recurso de amparo núm. 8026-2022, promovido en procedimiento parlamentario.</w:t>
      </w:r>
    </w:p>
    <w:p w14:paraId="1E252C05" w14:textId="13167C08" w:rsidR="00576A90" w:rsidRDefault="00576A90" w:rsidP="00576A90">
      <w:pPr>
        <w:pStyle w:val="SntesisDescriptiva"/>
      </w:pPr>
    </w:p>
    <w:p w14:paraId="2C0E4289" w14:textId="77777777" w:rsidR="00576A90" w:rsidRDefault="00576A90" w:rsidP="00576A90">
      <w:pPr>
        <w:pStyle w:val="SntesisDescriptiva"/>
      </w:pPr>
    </w:p>
    <w:p w14:paraId="46BE7F88" w14:textId="77777777" w:rsidR="00576A90" w:rsidRDefault="00576A90" w:rsidP="00576A90">
      <w:pPr>
        <w:pStyle w:val="SntesisDescriptiva"/>
      </w:pPr>
    </w:p>
    <w:p w14:paraId="744F4A20" w14:textId="77777777" w:rsidR="00576A90" w:rsidRDefault="00576A90" w:rsidP="00576A90">
      <w:pPr>
        <w:pStyle w:val="TextoNormalNegritaCentrado"/>
      </w:pPr>
      <w:r>
        <w:t>AUTO</w:t>
      </w:r>
    </w:p>
    <w:p w14:paraId="1595FD1F" w14:textId="361C3CA5" w:rsidR="00576A90" w:rsidRDefault="00576A90" w:rsidP="00576A90">
      <w:pPr>
        <w:pStyle w:val="TextoNormalNegritaCentrado"/>
      </w:pPr>
    </w:p>
    <w:p w14:paraId="3C81CD82" w14:textId="77777777" w:rsidR="00576A90" w:rsidRDefault="00576A90" w:rsidP="00576A90">
      <w:pPr>
        <w:pStyle w:val="TextoNormalNegritaCentrado"/>
        <w:keepNext/>
      </w:pPr>
      <w:r>
        <w:t>I. Antecedentes</w:t>
      </w:r>
    </w:p>
    <w:p w14:paraId="145E413C" w14:textId="7EF94966" w:rsidR="00576A90" w:rsidRDefault="00576A90" w:rsidP="00576A90">
      <w:pPr>
        <w:pStyle w:val="TextoNormalNegritaCentrado"/>
        <w:keepNext/>
      </w:pPr>
    </w:p>
    <w:p w14:paraId="0C15DEE1" w14:textId="77777777" w:rsidR="00576A90" w:rsidRDefault="00576A90" w:rsidP="00576A90">
      <w:pPr>
        <w:pStyle w:val="TextoNormal"/>
      </w:pPr>
      <w:r w:rsidRPr="00576A90">
        <w:rPr>
          <w:rStyle w:val="NumeroAFNegritaCaracter"/>
        </w:rPr>
        <w:t>1</w:t>
      </w:r>
      <w:r>
        <w:t xml:space="preserve">. Mediante escrito registrado en este tribunal el día 2 de diciembre de 2022, don Manuel Sánchez Puelles González-Carvajal, procurador de los tribunales, en nombre y representación de varios diputados y diputadas del Grupo Parlamentario Popular en el Congreso de los Diputados y don Jaime Eduardo de Olano Vela, en su condición de comisionado de los diputados recurrentes, interpone recurso de amparo contra los acuerdos de la mesa del Congreso de los Diputados de 8 de septiembre y 18 de octubre de 2022 relativos a la tramitación de la proposición de Ley Orgánica por la que se modifican los artículos 570 </w:t>
      </w:r>
      <w:r w:rsidRPr="00576A90">
        <w:rPr>
          <w:i/>
        </w:rPr>
        <w:t>bis</w:t>
      </w:r>
      <w:r>
        <w:t xml:space="preserve"> y 599 de la Ley Orgánica 6/1985, de 1 de julio, del Poder Judicial.</w:t>
      </w:r>
    </w:p>
    <w:p w14:paraId="25B3DC53" w14:textId="77777777" w:rsidR="00576A90" w:rsidRDefault="00576A90" w:rsidP="00576A90">
      <w:pPr>
        <w:pStyle w:val="TextoNormal"/>
      </w:pPr>
    </w:p>
    <w:p w14:paraId="1A8E2719" w14:textId="36DFDC5E" w:rsidR="00576A90" w:rsidRDefault="00576A90" w:rsidP="00576A90">
      <w:pPr>
        <w:pStyle w:val="TextoNormal"/>
      </w:pPr>
      <w:r>
        <w:t>En el suplico de la demanda de amparo, solicita que se declare vulnerado el derecho fundamental reconocido en el art. 23 CE y que se revoquen los referidos acuerdos tras declarar su nulidad: “así como declarando la nulidad de todos aquellos actos y normas que deriven de la tramitación legislativa en cuestión”.</w:t>
      </w:r>
    </w:p>
    <w:p w14:paraId="70D3AD2B" w14:textId="77777777" w:rsidR="00576A90" w:rsidRDefault="00576A90" w:rsidP="00576A90">
      <w:pPr>
        <w:pStyle w:val="TextoNormal"/>
      </w:pPr>
    </w:p>
    <w:p w14:paraId="2D025C1B" w14:textId="77777777" w:rsidR="00576A90" w:rsidRDefault="00576A90" w:rsidP="00576A90">
      <w:pPr>
        <w:pStyle w:val="TextoNormal"/>
      </w:pPr>
      <w:r w:rsidRPr="00576A90">
        <w:rPr>
          <w:rStyle w:val="NumeroAFNegritaCaracter"/>
        </w:rPr>
        <w:t>2</w:t>
      </w:r>
      <w:r>
        <w:t xml:space="preserve">. La Ley Orgánica 8/2022, de 27 de julio, de modificación de los artículos 570 </w:t>
      </w:r>
      <w:r w:rsidRPr="00576A90">
        <w:rPr>
          <w:i/>
        </w:rPr>
        <w:t>bis</w:t>
      </w:r>
      <w:r>
        <w:t xml:space="preserve"> y 599 de la Ley Orgánica 6/1985, de 1 de julio, del Poder Judicial, que trae causa de la referida proposición, publicada en el “Boletín Oficial del Estado”, núm. 180, de 28 de julio de 2022, dispone:</w:t>
      </w:r>
    </w:p>
    <w:p w14:paraId="2B241DF2" w14:textId="77777777" w:rsidR="00576A90" w:rsidRDefault="00576A90" w:rsidP="00576A90">
      <w:pPr>
        <w:pStyle w:val="TextoNormal"/>
      </w:pPr>
    </w:p>
    <w:p w14:paraId="6D110576" w14:textId="77777777" w:rsidR="00576A90" w:rsidRDefault="00576A90" w:rsidP="00576A90">
      <w:pPr>
        <w:pStyle w:val="TextoNormal"/>
      </w:pPr>
      <w:r>
        <w:t>“Artículo único. Modificación de la Ley Orgánica 6/1985, de 1 de julio, del Poder Judicial.</w:t>
      </w:r>
    </w:p>
    <w:p w14:paraId="70A78B02" w14:textId="77777777" w:rsidR="00576A90" w:rsidRDefault="00576A90" w:rsidP="00576A90">
      <w:pPr>
        <w:pStyle w:val="TextoNormal"/>
      </w:pPr>
    </w:p>
    <w:p w14:paraId="4110EB73" w14:textId="77777777" w:rsidR="00576A90" w:rsidRDefault="00576A90" w:rsidP="00576A90">
      <w:pPr>
        <w:pStyle w:val="TextoNormal"/>
      </w:pPr>
      <w:r>
        <w:t>La Ley Orgánica 6/1985, de 1 de julio, del Poder Judicial queda modificada como sigue:</w:t>
      </w:r>
    </w:p>
    <w:p w14:paraId="53B2D1AF" w14:textId="77777777" w:rsidR="00576A90" w:rsidRDefault="00576A90" w:rsidP="00576A90">
      <w:pPr>
        <w:pStyle w:val="TextoNormal"/>
      </w:pPr>
    </w:p>
    <w:p w14:paraId="279504FF" w14:textId="77777777" w:rsidR="00576A90" w:rsidRDefault="00576A90" w:rsidP="00576A90">
      <w:pPr>
        <w:pStyle w:val="TextoNormal"/>
      </w:pPr>
      <w:r>
        <w:t xml:space="preserve">Uno. Se introduce un nuevo numeral 1 en el apartado 1 del artículo 570 </w:t>
      </w:r>
      <w:r w:rsidRPr="00576A90">
        <w:rPr>
          <w:i/>
        </w:rPr>
        <w:t>bis</w:t>
      </w:r>
      <w:r>
        <w:t>, con el siguiente tenor, quedando renumerados los numerales de dicho apartado:</w:t>
      </w:r>
    </w:p>
    <w:p w14:paraId="212EB9F7" w14:textId="77777777" w:rsidR="00576A90" w:rsidRDefault="00576A90" w:rsidP="00576A90">
      <w:pPr>
        <w:pStyle w:val="TextoNormal"/>
      </w:pPr>
    </w:p>
    <w:p w14:paraId="73839D0A" w14:textId="77777777" w:rsidR="00576A90" w:rsidRDefault="00576A90" w:rsidP="00576A90">
      <w:pPr>
        <w:pStyle w:val="TextoNormal"/>
      </w:pPr>
      <w:r>
        <w:t>‘1. Proponer el nombramiento de dos magistrados del Tribunal Constitucional, en los términos previstos por el artículo 599.1.1’.</w:t>
      </w:r>
    </w:p>
    <w:p w14:paraId="15A455D7" w14:textId="77777777" w:rsidR="00576A90" w:rsidRDefault="00576A90" w:rsidP="00576A90">
      <w:pPr>
        <w:pStyle w:val="TextoNormal"/>
      </w:pPr>
    </w:p>
    <w:p w14:paraId="41872218" w14:textId="77777777" w:rsidR="00576A90" w:rsidRDefault="00576A90" w:rsidP="00576A90">
      <w:pPr>
        <w:pStyle w:val="TextoNormal"/>
      </w:pPr>
      <w:r>
        <w:lastRenderedPageBreak/>
        <w:t>Dos. Se modifica el numeral 1 del apartado 1 del artículo 599, quedando redactado como sigue:</w:t>
      </w:r>
    </w:p>
    <w:p w14:paraId="73727BB1" w14:textId="77777777" w:rsidR="00576A90" w:rsidRDefault="00576A90" w:rsidP="00576A90">
      <w:pPr>
        <w:pStyle w:val="TextoNormal"/>
      </w:pPr>
    </w:p>
    <w:p w14:paraId="4C0AE896" w14:textId="77777777" w:rsidR="00576A90" w:rsidRDefault="00576A90" w:rsidP="00576A90">
      <w:pPr>
        <w:pStyle w:val="TextoNormal"/>
      </w:pPr>
      <w:r>
        <w:t>‘1. La propuesta de nombramiento, por mayoría de tres quintos, de los dos magistrados del Tribunal Constitucional cuya designación corresponde al Consejo General del Poder Judicial, que tendrá que realizarse en el plazo máximo de tres meses a contar desde el día siguiente al vencimiento del mandato anterior’.”</w:t>
      </w:r>
    </w:p>
    <w:p w14:paraId="0DD50AD9" w14:textId="77777777" w:rsidR="00576A90" w:rsidRDefault="00576A90" w:rsidP="00576A90">
      <w:pPr>
        <w:pStyle w:val="TextoNormal"/>
      </w:pPr>
    </w:p>
    <w:p w14:paraId="4E7F37B6" w14:textId="77777777" w:rsidR="00576A90" w:rsidRDefault="00576A90" w:rsidP="00576A90">
      <w:pPr>
        <w:pStyle w:val="TextoNormal"/>
      </w:pPr>
      <w:r>
        <w:t>“Disposición final única. Entrada en vigor.</w:t>
      </w:r>
    </w:p>
    <w:p w14:paraId="05012D7D" w14:textId="77777777" w:rsidR="00576A90" w:rsidRDefault="00576A90" w:rsidP="00576A90">
      <w:pPr>
        <w:pStyle w:val="TextoNormal"/>
      </w:pPr>
    </w:p>
    <w:p w14:paraId="40C3B6DF" w14:textId="7F412A90" w:rsidR="00576A90" w:rsidRDefault="00576A90" w:rsidP="00576A90">
      <w:pPr>
        <w:pStyle w:val="TextoNormal"/>
      </w:pPr>
      <w:r>
        <w:t>La presente Ley Orgánica entrará en vigor el día siguiente al de su publicación en el ‘Boletín Oficial del Estado’.”</w:t>
      </w:r>
    </w:p>
    <w:p w14:paraId="71AEC3E2" w14:textId="77777777" w:rsidR="00576A90" w:rsidRDefault="00576A90" w:rsidP="00576A90">
      <w:pPr>
        <w:pStyle w:val="TextoNormal"/>
      </w:pPr>
    </w:p>
    <w:p w14:paraId="360D70E8" w14:textId="5C33EF07" w:rsidR="00576A90" w:rsidRDefault="00576A90" w:rsidP="00576A90">
      <w:pPr>
        <w:pStyle w:val="TextoNormal"/>
      </w:pPr>
      <w:r w:rsidRPr="00576A90">
        <w:rPr>
          <w:rStyle w:val="NumeroAFNegritaCaracter"/>
        </w:rPr>
        <w:t>3</w:t>
      </w:r>
      <w:r>
        <w:t xml:space="preserve">. Por ATC 521/2023, de 6 de noviembre, del Pleno, en relación con el recurso de inconstitucionalidad núm. 6914-2022 interpuesto contra la misma Ley Orgánica, se estimó que concurría en el magistrado don César Tolosa Tribiño la causa de abstención décima del art. 219 de la Ley Orgánica 6/1985, de 1 de julio, del Poder Judicial (LOPJ), por tener un interés directo en la causa, al depender la validez del nombramiento del magistrado de la constitucionalidad del referido artículo único de la Ley Orgánica 8/2022, de 27 de julio, de modificación de los artículos 570 </w:t>
      </w:r>
      <w:r w:rsidRPr="00576A90">
        <w:rPr>
          <w:i/>
        </w:rPr>
        <w:t>bis</w:t>
      </w:r>
      <w:r>
        <w:t xml:space="preserve"> y 599 de la Ley Orgánica 6/1985, de 1 de julio, del Poder Judicial apartándole definitivamente de dicho recurso y de todas sus incidencias.</w:t>
      </w:r>
    </w:p>
    <w:p w14:paraId="0DDEA6C2" w14:textId="77777777" w:rsidR="00576A90" w:rsidRDefault="00576A90" w:rsidP="00576A90">
      <w:pPr>
        <w:pStyle w:val="TextoNormal"/>
      </w:pPr>
    </w:p>
    <w:p w14:paraId="4B8A02D9" w14:textId="089C09FD" w:rsidR="00576A90" w:rsidRDefault="00576A90" w:rsidP="00576A90">
      <w:pPr>
        <w:pStyle w:val="TextoNormal"/>
      </w:pPr>
      <w:r w:rsidRPr="00576A90">
        <w:rPr>
          <w:rStyle w:val="NumeroAFNegritaCaracter"/>
        </w:rPr>
        <w:t>4</w:t>
      </w:r>
      <w:r>
        <w:t>. Por escrito de 6 de febrero de 2024, el magistrado don César Tolosa Tribiño comunicó a la señora vicepresidenta de este tribunal, a los efectos oportunos, su voluntad de abstenerse de intervenir en el conocimiento del recurso de amparo núm. 8026-2022.</w:t>
      </w:r>
    </w:p>
    <w:p w14:paraId="2D05D55A" w14:textId="77777777" w:rsidR="00576A90" w:rsidRDefault="00576A90" w:rsidP="00576A90">
      <w:pPr>
        <w:pStyle w:val="TextoNormal"/>
      </w:pPr>
    </w:p>
    <w:p w14:paraId="6E0CC2CB" w14:textId="2460A268" w:rsidR="00576A90" w:rsidRDefault="00576A90" w:rsidP="00576A90">
      <w:pPr>
        <w:pStyle w:val="TextoNormal"/>
      </w:pPr>
      <w:r w:rsidRPr="00576A90">
        <w:rPr>
          <w:rStyle w:val="NumeroAFNegritaCaracter"/>
        </w:rPr>
        <w:t>5</w:t>
      </w:r>
      <w:r>
        <w:t xml:space="preserve">. La solicitud de abstención se sustenta en la causa décima del art. 219 LOPJ por “[t]ener interés directo o indirecto en el pleito o causa”, al haber sido el magistrado nombrado a propuesta del Consejo General del Poder Judicial con sustento en el nuevo numeral 1 introducido en el apartado primero del artículo 570 </w:t>
      </w:r>
      <w:r w:rsidRPr="00576A90">
        <w:rPr>
          <w:i/>
        </w:rPr>
        <w:t>bis</w:t>
      </w:r>
      <w:r>
        <w:t>, cuya nulidad se solicita en el presente recurso, de modo que una eventual estimación del recurso de amparo y declaración de nulidad del precepto podría afectar a la validez del nombramiento del magistrado.</w:t>
      </w:r>
    </w:p>
    <w:p w14:paraId="6DF9DDA5" w14:textId="77777777" w:rsidR="00576A90" w:rsidRDefault="00576A90" w:rsidP="00576A90">
      <w:pPr>
        <w:pStyle w:val="TextoNormal"/>
      </w:pPr>
    </w:p>
    <w:p w14:paraId="40E0CC25" w14:textId="77777777" w:rsidR="00576A90" w:rsidRDefault="00576A90" w:rsidP="00576A90">
      <w:pPr>
        <w:pStyle w:val="TextoNormalNegritaCentrado"/>
        <w:keepNext/>
      </w:pPr>
      <w:r>
        <w:t>II. Fundamentos jurídicos</w:t>
      </w:r>
    </w:p>
    <w:p w14:paraId="4302D37C" w14:textId="5E781C41" w:rsidR="00576A90" w:rsidRDefault="00576A90" w:rsidP="00576A90">
      <w:pPr>
        <w:pStyle w:val="TextoNormalNegritaCentrado"/>
        <w:keepNext/>
      </w:pPr>
    </w:p>
    <w:p w14:paraId="607F4B76" w14:textId="77777777" w:rsidR="00576A90" w:rsidRDefault="00576A90" w:rsidP="00576A90">
      <w:pPr>
        <w:pStyle w:val="TextoNormal"/>
      </w:pPr>
      <w:r w:rsidRPr="00576A90">
        <w:rPr>
          <w:rStyle w:val="TextoNormalNegritaCaracter"/>
        </w:rPr>
        <w:t xml:space="preserve">Único. </w:t>
      </w:r>
      <w:r>
        <w:t xml:space="preserve">El objeto de la presente resolución es, de conformidad con lo previsto en el art. 10.1 k) de la Ley Orgánica del Tribunal Constitucional, resolver sobre la abstención formulada por el magistrado don César Tolosa Tribiño quien ha remitido a la Sala escrito de 6 de febrero de 2024 comunicando su voluntad de abstenerse de toda intervención en el presente recurso y sus incidencias por tener interés directo en la causa (art. 219.10 LOPJ), al sustentarse su nombramiento como magistrado del Tribunal Constitucional en el nuevo numeral 1 introducido en el apartado primero del artículo 570 </w:t>
      </w:r>
      <w:r w:rsidRPr="00576A90">
        <w:rPr>
          <w:i/>
        </w:rPr>
        <w:t>bis</w:t>
      </w:r>
      <w:r>
        <w:t xml:space="preserve"> por la Ley Orgánica 8/2022, de 27 de julio, de modificación de los artículos 570 </w:t>
      </w:r>
      <w:r w:rsidRPr="00576A90">
        <w:rPr>
          <w:i/>
        </w:rPr>
        <w:t>bis</w:t>
      </w:r>
      <w:r>
        <w:t xml:space="preserve"> y 599 de la Ley Orgánica 6/1985, de 1 de julio, cuya nulidad se pretende por los recurrentes.</w:t>
      </w:r>
    </w:p>
    <w:p w14:paraId="354F47EC" w14:textId="77777777" w:rsidR="00576A90" w:rsidRDefault="00576A90" w:rsidP="00576A90">
      <w:pPr>
        <w:pStyle w:val="TextoNormal"/>
      </w:pPr>
    </w:p>
    <w:p w14:paraId="0FD92335" w14:textId="7BE2BC75" w:rsidR="00576A90" w:rsidRDefault="00576A90" w:rsidP="00576A90">
      <w:pPr>
        <w:pStyle w:val="TextoNormal"/>
      </w:pPr>
      <w:r>
        <w:t>En atención a la circunstancia reseñada pudiendo depender la validez del nombramiento del magistrado de la nulidad del referido precepto debe estimarse justificada la absten</w:t>
      </w:r>
      <w:r>
        <w:lastRenderedPageBreak/>
        <w:t>ción al concurrir la causa décima del art. 219 LOPJ, por tener un interés directo en la causa.</w:t>
      </w:r>
    </w:p>
    <w:p w14:paraId="6797DFA9" w14:textId="77777777" w:rsidR="00576A90" w:rsidRDefault="00576A90" w:rsidP="00576A90">
      <w:pPr>
        <w:pStyle w:val="TextoNormal"/>
      </w:pPr>
    </w:p>
    <w:p w14:paraId="17577098" w14:textId="77777777" w:rsidR="00576A90" w:rsidRDefault="00576A90" w:rsidP="00576A90">
      <w:pPr>
        <w:pStyle w:val="TextoNormal"/>
      </w:pPr>
      <w:r>
        <w:t>Por lo expuesto, la Sala</w:t>
      </w:r>
    </w:p>
    <w:p w14:paraId="7A9A12EC" w14:textId="03D4D762" w:rsidR="00576A90" w:rsidRDefault="00576A90" w:rsidP="00576A90">
      <w:pPr>
        <w:pStyle w:val="TextoNormal"/>
      </w:pPr>
    </w:p>
    <w:p w14:paraId="6F9B7C65" w14:textId="77777777" w:rsidR="00576A90" w:rsidRDefault="00576A90" w:rsidP="00576A90">
      <w:pPr>
        <w:pStyle w:val="TextoNormalCentrado"/>
      </w:pPr>
      <w:r>
        <w:t>ACUERDA</w:t>
      </w:r>
    </w:p>
    <w:p w14:paraId="65E4DA9B" w14:textId="17A3525D" w:rsidR="00576A90" w:rsidRDefault="00576A90" w:rsidP="00576A90">
      <w:pPr>
        <w:pStyle w:val="TextoNormalCentrado"/>
      </w:pPr>
    </w:p>
    <w:p w14:paraId="13F867F0" w14:textId="3BB81B22" w:rsidR="00576A90" w:rsidRDefault="00576A90" w:rsidP="00576A90">
      <w:pPr>
        <w:pStyle w:val="TextoNormal"/>
      </w:pPr>
      <w:r>
        <w:t>Estimar la causa de abstención formulada por el magistrado don César Tolosa Tribiño en el recurso de amparo núm. 8026-2022, apartándole definitivamente del referido recurso y de todas sus incidencias.</w:t>
      </w:r>
    </w:p>
    <w:p w14:paraId="0F46435F" w14:textId="77777777" w:rsidR="00576A90" w:rsidRDefault="00576A90" w:rsidP="00576A90">
      <w:pPr>
        <w:pStyle w:val="TextoNormal"/>
      </w:pPr>
    </w:p>
    <w:p w14:paraId="64A4111F" w14:textId="77777777" w:rsidR="00576A90" w:rsidRDefault="00576A90" w:rsidP="00576A90">
      <w:pPr>
        <w:pStyle w:val="TextoNormal"/>
      </w:pPr>
      <w:r>
        <w:t>Madrid, a veintiséis de febrero de dos mil veinticuatro.</w:t>
      </w:r>
    </w:p>
    <w:p w14:paraId="5FAF5B94" w14:textId="65592763" w:rsidR="00576A90" w:rsidRDefault="00576A90">
      <w:pPr>
        <w:spacing w:after="160" w:line="259" w:lineRule="auto"/>
        <w:rPr>
          <w:rFonts w:ascii="Times New Roman" w:eastAsia="Times New Roman" w:hAnsi="Times New Roman" w:cs="Times New Roman"/>
          <w:sz w:val="24"/>
          <w:szCs w:val="24"/>
          <w:lang w:eastAsia="es-ES"/>
        </w:rPr>
      </w:pPr>
      <w:r>
        <w:br w:type="page"/>
      </w:r>
    </w:p>
    <w:p w14:paraId="331AF20C" w14:textId="77777777" w:rsidR="00576A90" w:rsidRDefault="00576A90" w:rsidP="00576A90">
      <w:pPr>
        <w:pStyle w:val="TtuloResolucin"/>
      </w:pPr>
      <w:bookmarkStart w:id="114" w:name="AUTO_2024_19"/>
      <w:r>
        <w:lastRenderedPageBreak/>
        <w:t>AUTO 19/2024, de 26 de febrero de 2024</w:t>
      </w:r>
    </w:p>
    <w:bookmarkEnd w:id="114"/>
    <w:p w14:paraId="76702BE5" w14:textId="77777777" w:rsidR="00576A90" w:rsidRDefault="00576A90" w:rsidP="00576A90">
      <w:pPr>
        <w:pStyle w:val="TtuloResolucin"/>
      </w:pPr>
      <w:r>
        <w:t>Sala Primera</w:t>
      </w:r>
    </w:p>
    <w:p w14:paraId="5A8A79B6" w14:textId="77777777" w:rsidR="00576A90" w:rsidRDefault="00576A90" w:rsidP="00576A90">
      <w:pPr>
        <w:pStyle w:val="TextoNormalCentrado"/>
      </w:pPr>
      <w:r>
        <w:t>ECLI:ES:TC:2024:19A</w:t>
      </w:r>
    </w:p>
    <w:p w14:paraId="604650ED" w14:textId="049B72A9" w:rsidR="00576A90" w:rsidRDefault="00576A90" w:rsidP="00576A90">
      <w:pPr>
        <w:pStyle w:val="TextoNormalCentrado"/>
      </w:pPr>
    </w:p>
    <w:p w14:paraId="1278D040" w14:textId="77777777" w:rsidR="00576A90" w:rsidRDefault="00576A90" w:rsidP="00576A90">
      <w:pPr>
        <w:pStyle w:val="SntesisDescriptiva"/>
      </w:pPr>
      <w:r>
        <w:t>Excms. Srs. don Cándido Conde-Pumpido Tourón, don Ricardo Enríquez Sancho, doña Concepción Espejel Jorquera, doña María Luisa Segoviano Astaburuaga y don Juan Carlos Campo Moreno.</w:t>
      </w:r>
    </w:p>
    <w:p w14:paraId="4047734C" w14:textId="101F0E6B" w:rsidR="00576A90" w:rsidRDefault="00576A90" w:rsidP="00576A90">
      <w:pPr>
        <w:pStyle w:val="SntesisDescriptiva"/>
      </w:pPr>
    </w:p>
    <w:p w14:paraId="627FDE9C" w14:textId="77777777" w:rsidR="00576A90" w:rsidRDefault="00576A90" w:rsidP="00576A90">
      <w:pPr>
        <w:pStyle w:val="SntesisDescriptiva"/>
      </w:pPr>
      <w:r>
        <w:t>Acuerda la suspensión en el recurso de amparo 3790-2023, promovido por dona Glenda Suyapa Dormes Medina en causa penal.</w:t>
      </w:r>
    </w:p>
    <w:p w14:paraId="67A24A06" w14:textId="57FEBC05" w:rsidR="00576A90" w:rsidRDefault="00576A90" w:rsidP="00576A90">
      <w:pPr>
        <w:pStyle w:val="SntesisDescriptiva"/>
      </w:pPr>
    </w:p>
    <w:p w14:paraId="3B4A040F" w14:textId="77777777" w:rsidR="00576A90" w:rsidRDefault="00576A90" w:rsidP="00576A90">
      <w:pPr>
        <w:pStyle w:val="SntesisDescriptiva"/>
      </w:pPr>
    </w:p>
    <w:p w14:paraId="5A16502B" w14:textId="77777777" w:rsidR="00576A90" w:rsidRDefault="00576A90" w:rsidP="00576A90">
      <w:pPr>
        <w:pStyle w:val="SntesisDescriptiva"/>
      </w:pPr>
    </w:p>
    <w:p w14:paraId="38FC462B" w14:textId="77777777" w:rsidR="00576A90" w:rsidRDefault="00576A90" w:rsidP="00576A90">
      <w:pPr>
        <w:pStyle w:val="TextoNormalNegritaCentrado"/>
      </w:pPr>
      <w:r>
        <w:t>AUTO</w:t>
      </w:r>
    </w:p>
    <w:p w14:paraId="078B9217" w14:textId="10702306" w:rsidR="00576A90" w:rsidRDefault="00576A90" w:rsidP="00576A90">
      <w:pPr>
        <w:pStyle w:val="TextoNormalNegritaCentrado"/>
      </w:pPr>
    </w:p>
    <w:p w14:paraId="3960CB53" w14:textId="77777777" w:rsidR="00576A90" w:rsidRDefault="00576A90" w:rsidP="00576A90">
      <w:pPr>
        <w:pStyle w:val="TextoNormalNegritaCentrado"/>
        <w:keepNext/>
      </w:pPr>
      <w:r>
        <w:t>I. Antecedentes</w:t>
      </w:r>
    </w:p>
    <w:p w14:paraId="33CFF833" w14:textId="4C7180A3" w:rsidR="00576A90" w:rsidRDefault="00576A90" w:rsidP="00576A90">
      <w:pPr>
        <w:pStyle w:val="TextoNormalNegritaCentrado"/>
        <w:keepNext/>
      </w:pPr>
    </w:p>
    <w:p w14:paraId="1A9A5D9D" w14:textId="77777777" w:rsidR="00576A90" w:rsidRDefault="00576A90" w:rsidP="00576A90">
      <w:pPr>
        <w:pStyle w:val="TextoNormal"/>
      </w:pPr>
      <w:r w:rsidRPr="00576A90">
        <w:rPr>
          <w:rStyle w:val="NumeroAFNegritaCaracter"/>
        </w:rPr>
        <w:t>1</w:t>
      </w:r>
      <w:r>
        <w:t>. Mediante escrito registrado en este tribunal el día 5 de junio de 2023, doña Glenda Suyapa Dormes Medina, representada por la procuradora de los tribunales doña María Isabel Monfort Sáez y bajo la dirección del letrado don Iván Andrés Mata Lousa, interpuso recurso de amparo contra el auto 454/2023, de 31 de mayo, de la Sección Sexta de la Audiencia Provincial de Madrid, por el que se desestima el recurso de apelación núm. 619-2023 interpuesto contra el auto del Juzgado de lo Penal núm. 12 de Madrid de 30 de marzo de 2023, por el que se desestima el recurso de reforma interpuesto contra el auto de 9 de febrero de 2023, que acuerda la revocación de suspensión de la ejecución de la pena de prisión, pronunciados en la ejecutoria penal núm. 462-2020, invocando el derecho a la tutela judicial efectiva (art. 24.1 CE), en relación con los derechos a la libertad (art. 17.1 CE) y a un proceso con todas las garantías (art. 24.2 CE).</w:t>
      </w:r>
    </w:p>
    <w:p w14:paraId="15E0FD55" w14:textId="77777777" w:rsidR="00576A90" w:rsidRDefault="00576A90" w:rsidP="00576A90">
      <w:pPr>
        <w:pStyle w:val="TextoNormal"/>
      </w:pPr>
    </w:p>
    <w:p w14:paraId="1AFD672A" w14:textId="3E7D8BED" w:rsidR="00576A90" w:rsidRDefault="00576A90" w:rsidP="00576A90">
      <w:pPr>
        <w:pStyle w:val="TextoNormal"/>
      </w:pPr>
      <w:r>
        <w:t>En la demanda se solicita, al amparo del art. 56 de la Ley Orgánica del Tribunal Constitucional (LOTC), la suspensión de las resoluciones judiciales impugnadas alegando que, tal como ya ha sido establecido por la jurisprudencia constitucional previa en casos semejantes, el cumplimiento de la revocación de la suspensión de la ejecución de las penas de prisión de un año, nueve meses y un día y la accesoria de inhabilitación especial del derecho de sufragio pasivo durante el tiempo de la condena haría perder al recurso de amparo su finalidad, no concurriendo tampoco en caso de acordarse esta medida cautelar una perturbación grave de los intereses generales ni de los derechos fundamentales de terceros.</w:t>
      </w:r>
    </w:p>
    <w:p w14:paraId="1F237EDA" w14:textId="77777777" w:rsidR="00576A90" w:rsidRDefault="00576A90" w:rsidP="00576A90">
      <w:pPr>
        <w:pStyle w:val="TextoNormal"/>
      </w:pPr>
    </w:p>
    <w:p w14:paraId="60B01E30" w14:textId="3FA828DC" w:rsidR="00576A90" w:rsidRDefault="00576A90" w:rsidP="00576A90">
      <w:pPr>
        <w:pStyle w:val="TextoNormal"/>
      </w:pPr>
      <w:r w:rsidRPr="00576A90">
        <w:rPr>
          <w:rStyle w:val="NumeroAFNegritaCaracter"/>
        </w:rPr>
        <w:t>2</w:t>
      </w:r>
      <w:r>
        <w:t>. La Sección Primera del Tribunal, por sendas providencias de 15 de enero de 2024, acordó, en la primera, entre otros aspectos, la admisión a trámite de la demanda de amparo y la formación de pieza separada para la sustanciación del incidente de suspensión; y, en la segunda, formar la oportuna pieza de suspensión y conceder a la recurrente y al Ministerio Fiscal el plazo común de tres días para que alegasen lo que estimasen pertinente.</w:t>
      </w:r>
    </w:p>
    <w:p w14:paraId="3EC67223" w14:textId="77777777" w:rsidR="00576A90" w:rsidRDefault="00576A90" w:rsidP="00576A90">
      <w:pPr>
        <w:pStyle w:val="TextoNormal"/>
      </w:pPr>
    </w:p>
    <w:p w14:paraId="771F3735" w14:textId="4D8405EB" w:rsidR="00576A90" w:rsidRDefault="00576A90" w:rsidP="00576A90">
      <w:pPr>
        <w:pStyle w:val="TextoNormal"/>
      </w:pPr>
      <w:r w:rsidRPr="00576A90">
        <w:rPr>
          <w:rStyle w:val="NumeroAFNegritaCaracter"/>
        </w:rPr>
        <w:t>3</w:t>
      </w:r>
      <w:r>
        <w:t xml:space="preserve">. El Ministerio Fiscal, por escrito registrado el día 2 de febrero de 2024, presentó alegaciones interesando la concesión de la suspensión solicitada de la pena de prisión. Argumenta, tras exponer la jurisprudencia constitucional en la materia, que el cumplimiento de </w:t>
      </w:r>
      <w:r>
        <w:lastRenderedPageBreak/>
        <w:t>una pena de prisión de un año, nueve meses y un día con motivo de la revocación de su suspensión: (i) causaría a la demandante un perjuicio irreparable en caso de estimarse el recurso de amparo, por tratarse de una pena privativa de libertad; y (ii) no se apreciaría una perturbación de los intereses generales, en atención a la entidad de la sanción, o de los derechos fundamentales de terceros.</w:t>
      </w:r>
    </w:p>
    <w:p w14:paraId="2C89CD61" w14:textId="77777777" w:rsidR="00576A90" w:rsidRDefault="00576A90" w:rsidP="00576A90">
      <w:pPr>
        <w:pStyle w:val="TextoNormal"/>
      </w:pPr>
    </w:p>
    <w:p w14:paraId="289C66D7" w14:textId="13221801" w:rsidR="00576A90" w:rsidRDefault="00576A90" w:rsidP="00576A90">
      <w:pPr>
        <w:pStyle w:val="TextoNormal"/>
      </w:pPr>
      <w:r w:rsidRPr="00576A90">
        <w:rPr>
          <w:rStyle w:val="NumeroAFNegritaCaracter"/>
        </w:rPr>
        <w:t>4</w:t>
      </w:r>
      <w:r>
        <w:t>. La demandante de amparo, por escrito registrado el día 18 de enero de 2024, presentó alegaciones reiterando las expuestas en la demanda de amparo.</w:t>
      </w:r>
    </w:p>
    <w:p w14:paraId="739B7378" w14:textId="77777777" w:rsidR="00576A90" w:rsidRDefault="00576A90" w:rsidP="00576A90">
      <w:pPr>
        <w:pStyle w:val="TextoNormal"/>
      </w:pPr>
    </w:p>
    <w:p w14:paraId="1ACC0A4A" w14:textId="77777777" w:rsidR="00576A90" w:rsidRDefault="00576A90" w:rsidP="00576A90">
      <w:pPr>
        <w:pStyle w:val="TextoNormalNegritaCentrado"/>
        <w:keepNext/>
      </w:pPr>
      <w:r>
        <w:t>II. Fundamentos jurídicos</w:t>
      </w:r>
    </w:p>
    <w:p w14:paraId="62B1944D" w14:textId="51934BB4" w:rsidR="00576A90" w:rsidRDefault="00576A90" w:rsidP="00576A90">
      <w:pPr>
        <w:pStyle w:val="TextoNormalNegritaCentrado"/>
        <w:keepNext/>
      </w:pPr>
    </w:p>
    <w:p w14:paraId="4A8BC0C0" w14:textId="0250477A" w:rsidR="00576A90" w:rsidRDefault="00576A90" w:rsidP="00576A90">
      <w:pPr>
        <w:pStyle w:val="TextoNormal"/>
      </w:pPr>
      <w:r w:rsidRPr="00576A90">
        <w:rPr>
          <w:rStyle w:val="NumeroAFNegritaCaracter"/>
        </w:rPr>
        <w:t>1</w:t>
      </w:r>
      <w:r>
        <w:t>. El objeto de esta pieza de suspensión consiste en determinar la procedencia de la medida cautelar instada por la demandante de amparo consistente en la suspensión de la ejecución de las resoluciones impugnadas en las que se acuerda la revocación de la suspensión de la pena de prisión de un año, nueve meses y un día impuesta por la comisión de un delito de estafa y fundamentada en el incumplimiento del plan de pagos impuesto para hacer frente a la responsabilidad civil establecida en la sentencia condenatoria.</w:t>
      </w:r>
    </w:p>
    <w:p w14:paraId="1BA302FD" w14:textId="77777777" w:rsidR="00576A90" w:rsidRDefault="00576A90" w:rsidP="00576A90">
      <w:pPr>
        <w:pStyle w:val="TextoNormal"/>
      </w:pPr>
    </w:p>
    <w:p w14:paraId="5704A3E8" w14:textId="77777777" w:rsidR="00576A90" w:rsidRDefault="00576A90" w:rsidP="00576A90">
      <w:pPr>
        <w:pStyle w:val="TextoNormal"/>
      </w:pPr>
      <w:r w:rsidRPr="00576A90">
        <w:rPr>
          <w:rStyle w:val="NumeroAFNegritaCaracter"/>
        </w:rPr>
        <w:t>2</w:t>
      </w:r>
      <w:r>
        <w:t>. El art. 56.1 LOTC dispone que la interposición de un recurso de amparo no suspenderá los efectos del acto o sentencia impugnados, concretando el art. 56.2 LOTC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de otra persona”.</w:t>
      </w:r>
    </w:p>
    <w:p w14:paraId="68E0F707" w14:textId="77777777" w:rsidR="00576A90" w:rsidRDefault="00576A90" w:rsidP="00576A90">
      <w:pPr>
        <w:pStyle w:val="TextoNormal"/>
      </w:pPr>
    </w:p>
    <w:p w14:paraId="088B4AEB" w14:textId="4D4D495B" w:rsidR="00576A90" w:rsidRDefault="00576A90" w:rsidP="00576A90">
      <w:pPr>
        <w:pStyle w:val="TextoNormal"/>
      </w:pPr>
      <w:r>
        <w:t>La jurisprudencia constitucional, en relación con la suspensión de las penas privativas de libertad, ha venido utilizando como criterio de ponderación prioritario el de la gravedad de la pena, aplicando de forma reiterada como directriz inicial la de que la pena sea superior o inferior a los cinco años de prisión, por ser la que sirve al legislador penal para diferenciar entre las penas graves y las menos graves. Junto a este criterio, también se han venido ponderando otras circunstancias relevantes, tales como, significativamente, la gravedad y naturaleza de los hechos enjuiciados y el bien jurídico protegido, su trascendencia social, la duración de la pena impuesta y el tiempo que reste de cumplimiento de la misma, circunstancias que expresan la reprobación que el ordenamiento asigna al hecho delictivo y, por consiguiente, la magnitud del interés general en su ejecución (así, por ejemplo, AATC 24/2023, de 6 de febrero, FJ 3, o 103/2023, de 6 de marzo, FJ 5).</w:t>
      </w:r>
    </w:p>
    <w:p w14:paraId="17C43D82" w14:textId="77777777" w:rsidR="00576A90" w:rsidRDefault="00576A90" w:rsidP="00576A90">
      <w:pPr>
        <w:pStyle w:val="TextoNormal"/>
      </w:pPr>
    </w:p>
    <w:p w14:paraId="28A8FBE8" w14:textId="77777777" w:rsidR="00576A90" w:rsidRDefault="00576A90" w:rsidP="00576A90">
      <w:pPr>
        <w:pStyle w:val="TextoNormal"/>
      </w:pPr>
      <w:r w:rsidRPr="00576A90">
        <w:rPr>
          <w:rStyle w:val="NumeroAFNegritaCaracter"/>
        </w:rPr>
        <w:t>3</w:t>
      </w:r>
      <w:r>
        <w:t>. La aplicación de la jurisprudencia constitucional expuesta determina, al igual que se ha hecho en supuestos semejantes precedentes (así, AATC 112/2020, de 21 de septiembre, o 103/2023), que el Tribunal acoja la solicitud formulada por la demandante de amparo y apoyada por el Ministerio Fiscal en sus alegaciones.</w:t>
      </w:r>
    </w:p>
    <w:p w14:paraId="7CCE7276" w14:textId="77777777" w:rsidR="00576A90" w:rsidRDefault="00576A90" w:rsidP="00576A90">
      <w:pPr>
        <w:pStyle w:val="TextoNormal"/>
      </w:pPr>
    </w:p>
    <w:p w14:paraId="186C25B1" w14:textId="77777777" w:rsidR="00576A90" w:rsidRDefault="00576A90" w:rsidP="00576A90">
      <w:pPr>
        <w:pStyle w:val="TextoNormal"/>
      </w:pPr>
      <w:r>
        <w:t>El Tribunal constata que concurren los requisitos que la jurisprudencia constitucional exige para otorgar la suspensión de la revocación de la ejecución de la pena privativa de libertad. Se trata de la revocación de una pena corta de prisión —un año, nueve meses y un día— por la comisión de un delito no violento —estafa— cuyo tipo básico tiene previs</w:t>
      </w:r>
      <w:r>
        <w:lastRenderedPageBreak/>
        <w:t>to una pena de prisión de seis meses a tres años [art. 248 del Código penal (CP)], que legalmente tiene la consideración de menos grave [art. 33.3 a) CP], y con motivo del incumplimiento del pago de responsabilidades civiles. La suspensión de esta revocación mientras se tramita este proceso de amparo no evidencia que se vaya a causar un perjuicio a los intereses generales o a los derechos de terceros, singularmente a los perjudicados por el hecho delictivo, para quienes se mantiene vigente su derecho al resarcimiento económico, y que, en cambio, de ejecutarse antes de recaer sentencia de este tribunal haría perder su finalidad al presente recurso.</w:t>
      </w:r>
    </w:p>
    <w:p w14:paraId="691A9179" w14:textId="77777777" w:rsidR="00576A90" w:rsidRDefault="00576A90" w:rsidP="00576A90">
      <w:pPr>
        <w:pStyle w:val="TextoNormal"/>
      </w:pPr>
    </w:p>
    <w:p w14:paraId="4BA69098" w14:textId="63BF2770" w:rsidR="00576A90" w:rsidRDefault="00576A90" w:rsidP="00576A90">
      <w:pPr>
        <w:pStyle w:val="TextoNormal"/>
      </w:pPr>
      <w:r>
        <w:t>Resulta por ello procedente decretar la suspensión cautelar en atención a su corta duración, tratando así de evitar que la previsible duración de este amparo pudiera conllevar la inefectividad de un eventual pronunciamiento estimatorio del recurso.</w:t>
      </w:r>
    </w:p>
    <w:p w14:paraId="696EF08F" w14:textId="77777777" w:rsidR="00576A90" w:rsidRDefault="00576A90" w:rsidP="00576A90">
      <w:pPr>
        <w:pStyle w:val="TextoNormal"/>
      </w:pPr>
    </w:p>
    <w:p w14:paraId="0670C989" w14:textId="77777777" w:rsidR="00576A90" w:rsidRDefault="00576A90" w:rsidP="00576A90">
      <w:pPr>
        <w:pStyle w:val="TextoNormal"/>
      </w:pPr>
      <w:r>
        <w:t>Por lo expuesto, la Sala</w:t>
      </w:r>
    </w:p>
    <w:p w14:paraId="51447A93" w14:textId="4B1F2F92" w:rsidR="00576A90" w:rsidRDefault="00576A90" w:rsidP="00576A90">
      <w:pPr>
        <w:pStyle w:val="TextoNormal"/>
      </w:pPr>
    </w:p>
    <w:p w14:paraId="534F6A42" w14:textId="77777777" w:rsidR="00576A90" w:rsidRDefault="00576A90" w:rsidP="00576A90">
      <w:pPr>
        <w:pStyle w:val="TextoNormalCentrado"/>
      </w:pPr>
      <w:r>
        <w:t>ACUERDA</w:t>
      </w:r>
    </w:p>
    <w:p w14:paraId="09711EFE" w14:textId="53BEA1BB" w:rsidR="00576A90" w:rsidRDefault="00576A90" w:rsidP="00576A90">
      <w:pPr>
        <w:pStyle w:val="TextoNormalCentrado"/>
      </w:pPr>
    </w:p>
    <w:p w14:paraId="474A24C4" w14:textId="02714B79" w:rsidR="00576A90" w:rsidRDefault="00576A90" w:rsidP="00576A90">
      <w:pPr>
        <w:pStyle w:val="TextoNormal"/>
      </w:pPr>
      <w:r>
        <w:t>Suspender la revocación de la suspensión de la ejecución de la pena de prisión de un año, nueve meses y un día acordada por el auto del Juzgado de lo Penal núm. 12 de Madrid de 9 de febrero de 2023, pronunciado en la ejecutoria penal núm. 462-2020.</w:t>
      </w:r>
    </w:p>
    <w:p w14:paraId="0D1979D0" w14:textId="77777777" w:rsidR="00576A90" w:rsidRDefault="00576A90" w:rsidP="00576A90">
      <w:pPr>
        <w:pStyle w:val="TextoNormal"/>
      </w:pPr>
    </w:p>
    <w:p w14:paraId="1E03E954" w14:textId="77777777" w:rsidR="00576A90" w:rsidRDefault="00576A90" w:rsidP="00576A90">
      <w:pPr>
        <w:pStyle w:val="TextoNormal"/>
      </w:pPr>
      <w:r>
        <w:t>Madrid, a veintiséis de febrero de dos mil veinticuatro.</w:t>
      </w:r>
    </w:p>
    <w:p w14:paraId="0123E2DF" w14:textId="58C3247B" w:rsidR="00576A90" w:rsidRDefault="00576A90">
      <w:pPr>
        <w:spacing w:after="160" w:line="259" w:lineRule="auto"/>
        <w:rPr>
          <w:rFonts w:ascii="Times New Roman" w:eastAsia="Times New Roman" w:hAnsi="Times New Roman" w:cs="Times New Roman"/>
          <w:sz w:val="24"/>
          <w:szCs w:val="24"/>
          <w:lang w:eastAsia="es-ES"/>
        </w:rPr>
      </w:pPr>
      <w:r>
        <w:br w:type="page"/>
      </w:r>
    </w:p>
    <w:p w14:paraId="1246241F" w14:textId="77777777" w:rsidR="00576A90" w:rsidRDefault="00576A90" w:rsidP="00576A90">
      <w:pPr>
        <w:pStyle w:val="TtuloResolucin"/>
      </w:pPr>
      <w:bookmarkStart w:id="115" w:name="AUTO_2024_20"/>
      <w:r>
        <w:lastRenderedPageBreak/>
        <w:t>AUTO 20/2024, de 27 de febrero de 2024</w:t>
      </w:r>
    </w:p>
    <w:bookmarkEnd w:id="115"/>
    <w:p w14:paraId="1FA704F4" w14:textId="77777777" w:rsidR="00576A90" w:rsidRDefault="00576A90" w:rsidP="00576A90">
      <w:pPr>
        <w:pStyle w:val="TtuloResolucin"/>
      </w:pPr>
      <w:r>
        <w:t>Pleno</w:t>
      </w:r>
    </w:p>
    <w:p w14:paraId="6B66DEF7" w14:textId="77777777" w:rsidR="00576A90" w:rsidRDefault="00576A90" w:rsidP="00576A90">
      <w:pPr>
        <w:pStyle w:val="TextoNormalCentrado"/>
      </w:pPr>
      <w:r>
        <w:t>ECLI:ES:TC:2024:20A</w:t>
      </w:r>
    </w:p>
    <w:p w14:paraId="7380AD67" w14:textId="2A892BED" w:rsidR="00576A90" w:rsidRDefault="00576A90" w:rsidP="00576A90">
      <w:pPr>
        <w:pStyle w:val="TextoNormalCentrado"/>
      </w:pPr>
    </w:p>
    <w:p w14:paraId="1005BB8F" w14:textId="77777777" w:rsidR="00576A90" w:rsidRDefault="00576A90" w:rsidP="00576A90">
      <w:pPr>
        <w:pStyle w:val="SntesisDescriptiva"/>
      </w:pPr>
      <w:r>
        <w:t>Excms. Srs. don Cándido Conde-Pumpido Tourón, doña Inmaculada Montalbán Huertas, don Ricardo Enríquez Sancho, doña María Luisa Balaguer Callejón, don Ramón Sáez Valcárcel, doña Concepción Espejel Jorquera, doña María Luisa Segoviano Astaburuaga, don César Tolosa Tribiño, don Juan Carlos Campo Moreno y doña Laura Díez Bueso.</w:t>
      </w:r>
    </w:p>
    <w:p w14:paraId="5669AED1" w14:textId="3BED0C82" w:rsidR="00576A90" w:rsidRDefault="00576A90" w:rsidP="00576A90">
      <w:pPr>
        <w:pStyle w:val="SntesisDescriptiva"/>
      </w:pPr>
    </w:p>
    <w:p w14:paraId="356D3888" w14:textId="77777777" w:rsidR="00576A90" w:rsidRDefault="00576A90" w:rsidP="00576A90">
      <w:pPr>
        <w:pStyle w:val="SntesisDescriptiva"/>
      </w:pPr>
      <w:r>
        <w:t>Inadmite a trámite la cuestión de inconstitucionalidad 4195-2023, planteada por la Sección Cuarta de la Audiencia Provincial de A Coruña en relación con el artículo 607 de la Ley de enjuiciamiento civil.</w:t>
      </w:r>
    </w:p>
    <w:p w14:paraId="61CD7C3C" w14:textId="2323F4A6" w:rsidR="00576A90" w:rsidRDefault="00576A90" w:rsidP="00576A90">
      <w:pPr>
        <w:pStyle w:val="SntesisDescriptiva"/>
      </w:pPr>
    </w:p>
    <w:p w14:paraId="3FBC23D0" w14:textId="77777777" w:rsidR="00576A90" w:rsidRDefault="00576A90" w:rsidP="00576A90">
      <w:pPr>
        <w:pStyle w:val="SntesisDescriptiva"/>
      </w:pPr>
    </w:p>
    <w:p w14:paraId="0F38BAAC" w14:textId="77777777" w:rsidR="00576A90" w:rsidRDefault="00576A90" w:rsidP="00576A90">
      <w:pPr>
        <w:pStyle w:val="SntesisDescriptiva"/>
      </w:pPr>
    </w:p>
    <w:p w14:paraId="11237DEF" w14:textId="77777777" w:rsidR="00576A90" w:rsidRDefault="00576A90" w:rsidP="00576A90">
      <w:pPr>
        <w:pStyle w:val="TextoNormalNegritaCentrado"/>
      </w:pPr>
      <w:r>
        <w:t>AUTO</w:t>
      </w:r>
    </w:p>
    <w:p w14:paraId="3EF4932F" w14:textId="47BF4E16" w:rsidR="00576A90" w:rsidRDefault="00576A90" w:rsidP="00576A90">
      <w:pPr>
        <w:pStyle w:val="TextoNormalNegritaCentrado"/>
      </w:pPr>
    </w:p>
    <w:p w14:paraId="34D53486" w14:textId="77777777" w:rsidR="00576A90" w:rsidRDefault="00576A90" w:rsidP="00576A90">
      <w:pPr>
        <w:pStyle w:val="TextoNormalNegritaCentrado"/>
        <w:keepNext/>
      </w:pPr>
      <w:r>
        <w:t>I. Antecedentes</w:t>
      </w:r>
    </w:p>
    <w:p w14:paraId="7BD6A8EC" w14:textId="751B5693" w:rsidR="00576A90" w:rsidRDefault="00576A90" w:rsidP="00576A90">
      <w:pPr>
        <w:pStyle w:val="TextoNormalNegritaCentrado"/>
        <w:keepNext/>
      </w:pPr>
    </w:p>
    <w:p w14:paraId="3665BF0E" w14:textId="3BE8DBD0" w:rsidR="00576A90" w:rsidRDefault="00576A90" w:rsidP="00576A90">
      <w:pPr>
        <w:pStyle w:val="TextoNormal"/>
      </w:pPr>
      <w:r w:rsidRPr="00576A90">
        <w:rPr>
          <w:rStyle w:val="NumeroAFNegritaCaracter"/>
        </w:rPr>
        <w:t>1</w:t>
      </w:r>
      <w:r>
        <w:t>. El 20 de junio de 2023, tuvo entrada en el registro general del Tribunal Constitucional oficio de la Sección Cuarta de la Audiencia Provincial de A Coruña por el que se remite, junto con el testimonio de las actuaciones (recurso de apelación núm. 674-2022 y ejecución forzosa en procesos de familia núm. 97-2019), el auto de 24 de mayo de 2023, por el que se plantea cuestión de inconstitucionalidad en relación con el art. 607 de la Ley de enjuiciamiento civil (LEC), en su proyección sobre la ejecución o el aseguramiento cautelar del derecho a percibir una pensión compensatoria por desequilibrio, judicialmente reconocido en una sentencia de divorcio o separación a favor de uno de los cónyuges frente al otro, por ser contrario al derecho a la tutela judicial efectiva (art. 24 CE), que abarca el derecho a que las resoluciones judiciales firmes se ejecuten (arts. 24.1, 117.3 y 118 CE), y al derecho fundamental a la igualdad ante la ley, sin discriminación por razón de sexo (art. 14 CE).</w:t>
      </w:r>
    </w:p>
    <w:p w14:paraId="58BD4339" w14:textId="77777777" w:rsidR="00576A90" w:rsidRDefault="00576A90" w:rsidP="00576A90">
      <w:pPr>
        <w:pStyle w:val="TextoNormal"/>
      </w:pPr>
    </w:p>
    <w:p w14:paraId="1CFD675E" w14:textId="77777777" w:rsidR="00576A90" w:rsidRDefault="00576A90" w:rsidP="00576A90">
      <w:pPr>
        <w:pStyle w:val="TextoNormal"/>
      </w:pPr>
      <w:r w:rsidRPr="00576A90">
        <w:rPr>
          <w:rStyle w:val="NumeroAFNegritaCaracter"/>
        </w:rPr>
        <w:t>2</w:t>
      </w:r>
      <w:r>
        <w:t>. Los hechos que pueden ser relevantes en este proceso constitucional son los siguientes:</w:t>
      </w:r>
    </w:p>
    <w:p w14:paraId="20857AFA" w14:textId="77777777" w:rsidR="00576A90" w:rsidRDefault="00576A90" w:rsidP="00576A90">
      <w:pPr>
        <w:pStyle w:val="TextoNormal"/>
      </w:pPr>
    </w:p>
    <w:p w14:paraId="510204BD" w14:textId="77777777" w:rsidR="00576A90" w:rsidRDefault="00576A90" w:rsidP="00576A90">
      <w:pPr>
        <w:pStyle w:val="TextoNormal"/>
      </w:pPr>
      <w:r>
        <w:t>a) En el Juzgado de Primera Instancia núm. 3 de A Coruña se sigue el procedimiento de ejecución forzosa en procesos de familia núm. 97-2019, iniciado a instancia de doña I.P.C., contra don M.O.L., para el abono de las pensiones que se fijaron en la sentencia de fecha 11 de enero de 2002, dictada en los autos de separación matrimonial núm. 286-2000. En dicha sentencia se estableció la obligación del pago de una pensión compensatoria para la esposa a cargo de don M.O.L., que fue fijada inicialmente en la cuantía de 300,51 € mensuales. Tras pasar a la situación de jubilación, el obligado a su pago promovió un procedimiento de modificación de medidas del que conoció el Juzgado de Primera Instancia núm. 3 de A Coruña que finalizó con una sentencia desestimatoria.</w:t>
      </w:r>
    </w:p>
    <w:p w14:paraId="28F26280" w14:textId="77777777" w:rsidR="00576A90" w:rsidRDefault="00576A90" w:rsidP="00576A90">
      <w:pPr>
        <w:pStyle w:val="TextoNormal"/>
      </w:pPr>
    </w:p>
    <w:p w14:paraId="5F00E59E" w14:textId="77777777" w:rsidR="00576A90" w:rsidRDefault="00576A90" w:rsidP="00576A90">
      <w:pPr>
        <w:pStyle w:val="TextoNormal"/>
      </w:pPr>
      <w:r>
        <w:t xml:space="preserve">b) En el procedimiento de ejecución núm. 97-2019 se acordó el despacho de ejecución mediante auto de 27 de junio de 2019. Tras diferentes trámites, por providencias de 9 de </w:t>
      </w:r>
      <w:r>
        <w:lastRenderedPageBreak/>
        <w:t>marzo y de 16 de septiembre de 2020, se acordó dirigir oficio al Instituto Nacional de la Seguridad Social para que, con cargo a la pensión de jubilación que percibe el ejecutado, procediese a retener mensualmente la cantidad de 428,51 € como medida de aseguramiento de la pensión compensatoria que tiene derecho a percibir doña I.P.C., ordenando el juzgado a la entidad pagadora el ingreso mensual de la suma retenida directamente en la cuenta de la ejecutante. La primera providencia en aplicación del art. 607 LEC, por tratarse de una pensión compensatoria, y la segunda en aplicación del art. 608 LEC.</w:t>
      </w:r>
    </w:p>
    <w:p w14:paraId="7F5D8B80" w14:textId="77777777" w:rsidR="00576A90" w:rsidRDefault="00576A90" w:rsidP="00576A90">
      <w:pPr>
        <w:pStyle w:val="TextoNormal"/>
      </w:pPr>
    </w:p>
    <w:p w14:paraId="39916FB0" w14:textId="77777777" w:rsidR="00576A90" w:rsidRDefault="00576A90" w:rsidP="00576A90">
      <w:pPr>
        <w:pStyle w:val="TextoNormal"/>
      </w:pPr>
      <w:r>
        <w:t>c) Don M.O.L., interpuso recurso de reposición contra esta segunda providencia en el que solicitaba la nulidad del embargo en lo que excedía de los límites establecidos en el art. 607 LEC. Fundamentaba su pretensión en una resolución de la Sección Quinta de la Audiencia Provincial de A Coruña, y en la doctrina jurisprudencial sobre la naturaleza no alimenticia de la pensión compensatoria. Dicho recurso fue desestimado por auto de 29 de enero de 2021.</w:t>
      </w:r>
    </w:p>
    <w:p w14:paraId="2C2095B1" w14:textId="77777777" w:rsidR="00576A90" w:rsidRDefault="00576A90" w:rsidP="00576A90">
      <w:pPr>
        <w:pStyle w:val="TextoNormal"/>
      </w:pPr>
    </w:p>
    <w:p w14:paraId="0993F82D" w14:textId="77777777" w:rsidR="00576A90" w:rsidRDefault="00576A90" w:rsidP="00576A90">
      <w:pPr>
        <w:pStyle w:val="TextoNormal"/>
      </w:pPr>
      <w:r>
        <w:t>d) Contra esta última resolución don M.O.L., presenta recurso de apelación en el que solicita que se respeten los límites de embargabilidad establecidos en el art. 607 LEC por carecer la pensión compensatoria de naturaleza alimenticia, lo que hace inaplicable el art. 608 LEC. Admitido a trámite, correspondió a la Sección Cuarta de la Audiencia Provincial con el núm. 674-2022.</w:t>
      </w:r>
    </w:p>
    <w:p w14:paraId="1E8D5DBC" w14:textId="77777777" w:rsidR="00576A90" w:rsidRDefault="00576A90" w:rsidP="00576A90">
      <w:pPr>
        <w:pStyle w:val="TextoNormal"/>
      </w:pPr>
    </w:p>
    <w:p w14:paraId="4F7CB0B6" w14:textId="77777777" w:rsidR="00576A90" w:rsidRDefault="00576A90" w:rsidP="00576A90">
      <w:pPr>
        <w:pStyle w:val="TextoNormal"/>
      </w:pPr>
      <w:r>
        <w:t>e) Tras la deliberación del recurso de apelación, señalada para el día 10 de enero de 2023, por providencia de 11 de enero de 2023 el órgano judicial otorgó trámite de audiencia a las partes [art. 35.2 de la Ley Orgánica del Tribunal Constitucional (LOTC)] y al Ministerio Fiscal sobre la pertinencia de plantear la cuestión de inconstitucionalidad respecto a “la inconstitucionalidad del artículo 607 LEC en su proyección sobre la efectividad del derecho reconocido a uno de los cónyuges en una sentencia de separación o divorcio a percibir del otro una pensión compensatoria por desequilibrio económico (artículo 97 CC) y, en particular, sobre la compatibilidad de la norma legal aplicable al caso —supuesto que no lo es el artículo 608 LEC, que se refiere a pensiones alimenticias— con el derecho fundamental a la tutela judicial efectiva (artículo 24 CE) y con el derecho a la igualdad sin discriminación del art.14 CE”.</w:t>
      </w:r>
    </w:p>
    <w:p w14:paraId="36CCFDCD" w14:textId="77777777" w:rsidR="00576A90" w:rsidRDefault="00576A90" w:rsidP="00576A90">
      <w:pPr>
        <w:pStyle w:val="TextoNormal"/>
      </w:pPr>
    </w:p>
    <w:p w14:paraId="58E2E238" w14:textId="77777777" w:rsidR="00576A90" w:rsidRDefault="00576A90" w:rsidP="00576A90">
      <w:pPr>
        <w:pStyle w:val="TextoNormal"/>
      </w:pPr>
      <w:r>
        <w:t>El recurrente se opuso al planteamiento de la cuestión de inconstitucionalidad. Alega que, “siguiendo a efectos dialécticos el planteamiento de la Sala, habría que señalar que su propuesta se quedaría corta, pues si lo que se pretende sostener es que las pensiones compensatorias y las de alimentos han de tener un trato igualitario, dicho planteamiento no solo afecta al artículo 608 de la LEC, sino también al articulado de las restantes normas del estado que establece para ambos casos un tratamiento desigual”. Argumento que desarrolla con posterioridad con varios ejemplos. De otra parte, sustenta su oposición al planteamiento de la cuestión en que la jurisprudencia del Tribunal Supremo ya ha afirmado la diferente naturaleza de la pensión de alimentos y de la pensión compensatoria.</w:t>
      </w:r>
    </w:p>
    <w:p w14:paraId="03B4A0F7" w14:textId="77777777" w:rsidR="00576A90" w:rsidRDefault="00576A90" w:rsidP="00576A90">
      <w:pPr>
        <w:pStyle w:val="TextoNormal"/>
      </w:pPr>
    </w:p>
    <w:p w14:paraId="71891933" w14:textId="77777777" w:rsidR="00576A90" w:rsidRDefault="00576A90" w:rsidP="00576A90">
      <w:pPr>
        <w:pStyle w:val="TextoNormal"/>
      </w:pPr>
      <w:r>
        <w:t xml:space="preserve">La parte recurrida se mostró conforme al planteamiento de la cuestión. Alega que considera acertado el planteamiento de la Sala sobre la cuestión relativa a la inconstitucionalidad del art. 607 LEC “[s]obre todo si se tienen en cuenta los casos, como el presente, en que la pensión compensatoria acordada en su día en el procedimiento de separación origen de la presente ejecución tiene un claro componente alimenticio, dado que [doña I.P.C.] </w:t>
      </w:r>
      <w:r>
        <w:lastRenderedPageBreak/>
        <w:t>carecía y carece de cualquier tipo de ingresos, razón también por lo que se desestimó la demanda de modificación de medidas que presentó [don M.O.L.]”.</w:t>
      </w:r>
    </w:p>
    <w:p w14:paraId="031D43A6" w14:textId="77777777" w:rsidR="00576A90" w:rsidRDefault="00576A90" w:rsidP="00576A90">
      <w:pPr>
        <w:pStyle w:val="TextoNormal"/>
      </w:pPr>
    </w:p>
    <w:p w14:paraId="04B0C26B" w14:textId="77777777" w:rsidR="00576A90" w:rsidRDefault="00576A90" w:rsidP="00576A90">
      <w:pPr>
        <w:pStyle w:val="TextoNormal"/>
      </w:pPr>
      <w:r>
        <w:t>f) Por auto de 9 de febrero de 2023, la Sala acordó plantear ante el Tribunal Constitucional cuestión de inconstitucionalidad en relación con el art. 607 LEC (embargo de sueldos y pensiones) en su proyección sobre la ejecución o el aseguramiento cautelar del derecho a percibir una pensión compensatoria por desequilibrio, judicialmente reconocido en una sentencia de divorcio o separación a favor de uno de los cónyuges frente al otro, por ser contrario al derecho a la tutela judicial efectiva (art. 24 CE), que abarca el derecho a que las resoluciones judiciales firmes se ejecuten (arts. 24.1, 117.3 y 118 CE), y al derecho fundamental a la igualdad ante la ley, sin discriminación por razón de sexo (art. 14 CE).</w:t>
      </w:r>
    </w:p>
    <w:p w14:paraId="259718F2" w14:textId="77777777" w:rsidR="00576A90" w:rsidRDefault="00576A90" w:rsidP="00576A90">
      <w:pPr>
        <w:pStyle w:val="TextoNormal"/>
      </w:pPr>
    </w:p>
    <w:p w14:paraId="1C0106F4" w14:textId="77777777" w:rsidR="00576A90" w:rsidRDefault="00576A90" w:rsidP="00576A90">
      <w:pPr>
        <w:pStyle w:val="TextoNormal"/>
      </w:pPr>
      <w:r>
        <w:t>g) Por providencia de 2 de marzo de 2023, a la vista de la diligencia de ordenación de la letrada de la administración de justicia en la que hacer constar que, revisadas las actuaciones, no consta la notificación al Ministerio Fiscal de la providencia de 11 de enero de 2023, se dispone la notificación al mismo del auto de 9 de febrero de 2023 para que alegue sobre la nulidad de este o la posible subsanación de las actuaciones.</w:t>
      </w:r>
    </w:p>
    <w:p w14:paraId="04F469F2" w14:textId="77777777" w:rsidR="00576A90" w:rsidRDefault="00576A90" w:rsidP="00576A90">
      <w:pPr>
        <w:pStyle w:val="TextoNormal"/>
      </w:pPr>
    </w:p>
    <w:p w14:paraId="73EDF26F" w14:textId="77777777" w:rsidR="00576A90" w:rsidRDefault="00576A90" w:rsidP="00576A90">
      <w:pPr>
        <w:pStyle w:val="TextoNormal"/>
      </w:pPr>
      <w:r>
        <w:t>h) El Ministerio Fiscal interpuso recurso de reposición contra la providencia de 11 de enero de 2023 por infracción del art. 35 LOTC. Entre otras razones, aduce que no se ha concretado con precisión el precepto cuestionado ya que se refiere al art. 607 LEC, sin indicar el párrafo que se cuestiona, y también se hace referencia a los arts. 97 del Código civil (CC) y 608 LEC. Considera que la mención de los tres preceptos plantea la posible duda interpretativa sobre su alcance más que su posible inconstitucionalidad. De otra parte, considera que la providencia no es precisa respecto a los preceptos constitucionales que se consideran infringidos. Se solicita se dicte nueva resolución dando traslado a las partes para que planteen alegaciones sobre el planteamiento de la cuestión de inconstitucionalidad.</w:t>
      </w:r>
    </w:p>
    <w:p w14:paraId="187F7F09" w14:textId="77777777" w:rsidR="00576A90" w:rsidRDefault="00576A90" w:rsidP="00576A90">
      <w:pPr>
        <w:pStyle w:val="TextoNormal"/>
      </w:pPr>
    </w:p>
    <w:p w14:paraId="5687E19A" w14:textId="77777777" w:rsidR="00576A90" w:rsidRDefault="00576A90" w:rsidP="00576A90">
      <w:pPr>
        <w:pStyle w:val="TextoNormal"/>
      </w:pPr>
      <w:r>
        <w:t>i) Por auto de 27 de abril de 2023 se declaró la nulidad del auto de 9 de febrero de 2023, no de la providencia, y se dio traslado al Ministerio Fiscal para que plantease las alegaciones oportunas en el marco de la providencia de 11 de enero de 2023. Se afirma al respecto que “[a] estas alturas, el Ministerio Fiscal conoce con precisión el sentido de las dudas que la Sala planteó a las partes y sobre las que estas formularon sus alegaciones, de modo que cualquier insuficiencia o falta de concreción de la providencia inicial ha quedado sobradamente subsanada […], proporcionando al Ministerio Fiscal el más preciso conocimiento del alcance de un problema jurídico-constitucional que, por otra parte, resultaba también de los términos del debate residenciado ante la Audiencia”. Se considera, de otra parte, que en la providencia se había concretado con precisión la norma cuestionada (art. 607 LEC) y es evidente que la duda inicialmente apunta al establecimiento legal de límites de embargabilidad aplicables a la efectividad del concreto derecho de crédito del cónyuge acreedor de la pensión compensatoria. Pone de manifiesto, en cuanto al art. 14 CE, que la providencia debe conectarse con el recurso de apelación en el marco de la cual se dicta y este, a su vez, con un litigio que enfrenta a los cónyuges, a una mujer acreedora de una pensión compensatoria y a un hombre obligado a pagarla, de modo que la indicación alude a la igualdad entre cónyuges y, particularmente, a la interdicción de la discriminación por razón de sexo.</w:t>
      </w:r>
    </w:p>
    <w:p w14:paraId="6E60851C" w14:textId="77777777" w:rsidR="00576A90" w:rsidRDefault="00576A90" w:rsidP="00576A90">
      <w:pPr>
        <w:pStyle w:val="TextoNormal"/>
      </w:pPr>
    </w:p>
    <w:p w14:paraId="42A57680" w14:textId="77777777" w:rsidR="00576A90" w:rsidRDefault="00576A90" w:rsidP="00576A90">
      <w:pPr>
        <w:pStyle w:val="TextoNormal"/>
      </w:pPr>
      <w:r>
        <w:t>j) Mediante escrito de 10 de mayo de 2023, el Ministerio Fiscal presentó alegaciones en las que reitera que la providencia de 11 de enero de 2023 infringe el art. 35 LOTC, en la medida en que no concreta con precisión la norma legal cuestionada ya que se refiere tanto al art. 607 LEC como a los arts. 97 CC y 608 LEC. También pone de manifiesto que no se indica el párrafo del art. 607 LEC que se cuestiona, ni se concreta el aspecto de los arts.14 y 24 CE que entiende que se contradicen. A su entender, no se cumple el trámite de audiencia ni, tampoco, el requisito del juicio de aplicabilidad de la cuestión de inconstitucionalidad respecto a los arts. 607 y 608 LEC, o en relación con los dos preceptos.</w:t>
      </w:r>
    </w:p>
    <w:p w14:paraId="39FD8B6C" w14:textId="77777777" w:rsidR="00576A90" w:rsidRDefault="00576A90" w:rsidP="00576A90">
      <w:pPr>
        <w:pStyle w:val="TextoNormal"/>
      </w:pPr>
    </w:p>
    <w:p w14:paraId="02EC7A3E" w14:textId="1B2E4350" w:rsidR="00576A90" w:rsidRDefault="00576A90" w:rsidP="00576A90">
      <w:pPr>
        <w:pStyle w:val="TextoNormal"/>
      </w:pPr>
      <w:r>
        <w:t>k) Por auto de 24 de mayo de 2023 se plantea cuestión de inconstitucionalidad en relación con el art. 607 LEC (embargo de sueldos y pensiones), en su proyección sobre la ejecución o el aseguramiento cautelar del derecho a percibir una pensión compensatoria por desequilibrio, judicialmente reconocido en una sentencia de divorcio o separación a favor de uno de los cónyuges frente al otro, por ser contrario al derecho a la tutela judicial efectiva (art. 24 CE), que abarca el derecho a que las resoluciones judiciales firmes se ejecuten (arts. 24.1, 117.3 y 118 CE), y al derecho fundamental a la igualdad ante la ley, sin discriminación por razón de sexo (art. 14 CE).</w:t>
      </w:r>
    </w:p>
    <w:p w14:paraId="1B840DF8" w14:textId="77777777" w:rsidR="00576A90" w:rsidRDefault="00576A90" w:rsidP="00576A90">
      <w:pPr>
        <w:pStyle w:val="TextoNormal"/>
      </w:pPr>
    </w:p>
    <w:p w14:paraId="3AB18FE6" w14:textId="77777777" w:rsidR="00576A90" w:rsidRDefault="00576A90" w:rsidP="00576A90">
      <w:pPr>
        <w:pStyle w:val="TextoNormal"/>
      </w:pPr>
      <w:r w:rsidRPr="00576A90">
        <w:rPr>
          <w:rStyle w:val="NumeroAFNegritaCaracter"/>
        </w:rPr>
        <w:t>3</w:t>
      </w:r>
      <w:r>
        <w:t>. Del contenido del auto de planteamiento de la cuestión de inconstitucionalidad interesa destacar lo siguiente:</w:t>
      </w:r>
    </w:p>
    <w:p w14:paraId="5EB90394" w14:textId="77777777" w:rsidR="00576A90" w:rsidRDefault="00576A90" w:rsidP="00576A90">
      <w:pPr>
        <w:pStyle w:val="TextoNormal"/>
      </w:pPr>
    </w:p>
    <w:p w14:paraId="5F04F5B6" w14:textId="77777777" w:rsidR="00576A90" w:rsidRDefault="00576A90" w:rsidP="00576A90">
      <w:pPr>
        <w:pStyle w:val="TextoNormal"/>
      </w:pPr>
      <w:r>
        <w:t xml:space="preserve">a) El órgano judicial, tras referirse a los antecedentes del procedimiento </w:t>
      </w:r>
      <w:r w:rsidRPr="00576A90">
        <w:rPr>
          <w:i/>
        </w:rPr>
        <w:t>a quo</w:t>
      </w:r>
      <w:r>
        <w:t>, descarta las objeciones planteadas en el informe del Ministerio Fiscal. Respecto al trámite de audiencia, considera que la insuficiencia informativa que el Ministerio Fiscal había apreciado en la providencia de 11 de enero de 2023, acerca del sentido del trámite inicial de audiencia y los términos básicos de la duda jurídica planteada, ha quedado sobradamente compensada —y, por lo tanto, subsanada— con su preciso conocimiento de todas las actuaciones posteriores (alegaciones de las partes y contenido del auto anulado), de modo que, al tiempo de abrirse para el Ministerio Fiscal el periodo de alegaciones que había sido previamente omitido, se encuentra en óptimas condiciones de conocimiento de todos los aspectos del problema jurídico con el que se enfrenta la Sala.</w:t>
      </w:r>
    </w:p>
    <w:p w14:paraId="0140194D" w14:textId="77777777" w:rsidR="00576A90" w:rsidRDefault="00576A90" w:rsidP="00576A90">
      <w:pPr>
        <w:pStyle w:val="TextoNormal"/>
      </w:pPr>
    </w:p>
    <w:p w14:paraId="345F255E" w14:textId="77777777" w:rsidR="00576A90" w:rsidRDefault="00576A90" w:rsidP="00576A90">
      <w:pPr>
        <w:pStyle w:val="TextoNormal"/>
      </w:pPr>
      <w:r>
        <w:t xml:space="preserve">b) Por otra parte, afirma que el art. 607 LEC es el precepto aplicable que, explica, ampara el derecho del obligado a que sea declarada la nulidad del embargo o medida de aseguramiento que exceda de los límites legales. En relación con el supuesto planteado en el procedimiento </w:t>
      </w:r>
      <w:r w:rsidRPr="00576A90">
        <w:rPr>
          <w:i/>
        </w:rPr>
        <w:t>a</w:t>
      </w:r>
      <w:r>
        <w:t xml:space="preserve"> </w:t>
      </w:r>
      <w:r w:rsidRPr="00576A90">
        <w:rPr>
          <w:i/>
        </w:rPr>
        <w:t>quo</w:t>
      </w:r>
      <w:r>
        <w:t xml:space="preserve">, el órgano judicial afirma que, conforme al citado art. 607 LEC, y a la vista del hipotético importe de la pensión de jubilación en el año 2021, la medida de aseguramiento no podría exceder de 142,32 €. A ello añade que la pensión compensatoria por desequilibrio (art. 97 CC) no es una pensión alimenticia, conforme a la jurisprudencia del Tribunal Supremo, por lo que no resulta de aplicación el art. 608 LEC. Pone de relieve que, en la práctica de los tribunales “se acude en ocasiones a la norma del artículo 608 LEC cuando la pensión compensatoria cumple, en el caso particular, una función alimenticia, es decir, cuando se trata del único o el principal medio de subsistencia con que cuenta la perceptora”. Sin embargo, a juicio de la Sala, no es posible interpretar que el art. 608 LEC sea aplicable a la pensión compensatoria, ya que dicha interpretación excede de los márgenes del art. 3 CC. Indica, de una parte, que el art. 608 LEC ha sido modificado por la Ley 15/2015, de 2 de julio, de la jurisdicción voluntaria, sin que dicha modificación </w:t>
      </w:r>
      <w:r>
        <w:lastRenderedPageBreak/>
        <w:t>solvente la cuestión planteada. Tampoco es posible la interpretación que equipare la pensión de alimentos y la pensión compensatoria, para permitir la superación de los límites del art. 607 LEC, realizando una interpretación con perspectiva de género (arts. 4 de la Ley Orgánica 3/2007, de 22 de marzo, para la igualdad efectiva de mujeres y hombres, y 4.3 de la Ley 15/2022, de 12 de julio, integral para la igualdad de trato y la no discriminación).</w:t>
      </w:r>
    </w:p>
    <w:p w14:paraId="6980B257" w14:textId="77777777" w:rsidR="00576A90" w:rsidRDefault="00576A90" w:rsidP="00576A90">
      <w:pPr>
        <w:pStyle w:val="TextoNormal"/>
      </w:pPr>
    </w:p>
    <w:p w14:paraId="714F4F10" w14:textId="77777777" w:rsidR="00576A90" w:rsidRDefault="00576A90" w:rsidP="00576A90">
      <w:pPr>
        <w:pStyle w:val="TextoNormal"/>
      </w:pPr>
      <w:r>
        <w:t>c) El auto expone que el presupuesto de la pensión compensatoria es el desequilibrio patrimonial tras el cese de la convivencia y como consecuencia de esa ruptura. Los elementos del art. 97 CC cumplen, según la jurisprudencia del Tribunal Supremo, la doble función de servir como determinantes del desequilibrio y como criterios para fijar el importe y la duración de la pensión. En una situación como la del litigio principal en la que los ingresos con los que se sostuvo la familia eran exclusivamente los del marido, primero por su salario y ahora por su pensión de jubilación, los términos actuales del subsistente desequilibrio son los de un cónyuge que ingresa mensualmente l439,40 € brutos y otro que carece de ingresos; bajo similares premisas se acordó en su día (año 2002) una pensión compensatoria a cargo del esposo, y de nuevo en consideración a esa misma situación ha sido recientemente confirmada la subsistencia e importe de la pensión, tras el intento de supresión/modificación que promovió don M.O.L., y que finalizó con la sentencia de esa misma sección de la Audiencia Provincial de 18 de marzo de 2021.</w:t>
      </w:r>
    </w:p>
    <w:p w14:paraId="2A95EBEA" w14:textId="77777777" w:rsidR="00576A90" w:rsidRDefault="00576A90" w:rsidP="00576A90">
      <w:pPr>
        <w:pStyle w:val="TextoNormal"/>
      </w:pPr>
    </w:p>
    <w:p w14:paraId="2E860E84" w14:textId="7D99E6E0" w:rsidR="00576A90" w:rsidRDefault="00576A90" w:rsidP="00576A90">
      <w:pPr>
        <w:pStyle w:val="TextoNormal"/>
      </w:pPr>
      <w:r>
        <w:t>d) Al entender del órgano judicial, la aplicación de la regla general de inembargabilidad del art. 607 LEC a la ejecución o el aseguramiento del derecho a la pensión compensatoria resulta contraria a los arts. 24 y 14 CE. Por una parte, la aplicación del art. 607 LEC deja sin efecto el derecho de crédito que una sentencia ha reconocido a uno de los cónyuges. De otra parte, una norma legal que tiene el efecto de neutralizar la efectividad de la pensión compensatoria reconocida a uno de los cónyuges, favoreciendo inicuamente a quien ha sido judicialmente condenado a compartir con el otro los beneficios de su posición tras la ruptura de la convivencia, comporta la vulneración del art. 14 CE ya que comporta una discriminación indirecta por razón de sexo (cita el art. 6.1 de la Ley 15/2022, de 12 de julio, integral para la igualdad de trato y la no discriminación). La norma perjudica particularmente a las mujeres, porque son normalmente mujeres —en muchos casos sin recursos propios, con pocas o nulas posibilidades de acceso a un empleo— las acreedoras frente a su cónyuge o excónyuge de la pensión compensatoria por desequilibrio; y lo hace restando o anulando la efectividad de un derecho que le ha sido judicialmente reconocido precisamente por razón de la concreta desigualdad en que el desequilibrio consiste.</w:t>
      </w:r>
    </w:p>
    <w:p w14:paraId="3C0ED8E3" w14:textId="77777777" w:rsidR="00576A90" w:rsidRDefault="00576A90" w:rsidP="00576A90">
      <w:pPr>
        <w:pStyle w:val="TextoNormal"/>
      </w:pPr>
    </w:p>
    <w:p w14:paraId="36E4CC7B" w14:textId="511829BE" w:rsidR="00576A90" w:rsidRDefault="00576A90" w:rsidP="00576A90">
      <w:pPr>
        <w:pStyle w:val="TextoNormal"/>
      </w:pPr>
      <w:r w:rsidRPr="00576A90">
        <w:rPr>
          <w:rStyle w:val="NumeroAFNegritaCaracter"/>
        </w:rPr>
        <w:t>4</w:t>
      </w:r>
      <w:r>
        <w:t>. Mediante providencia de 21 de noviembre de 2023, el Pleno, a los efectos que determina el art. 37.1 LOTC, acordó oír al fiscal general del Estado para que, en el plazo de diez días alegase lo que considerase conveniente acerca de la admisibilidad de la presente cuestión de inconstitucionalidad en relación con el cumplimiento de los requisitos procesales (trámite de audiencia y juicio de aplicabilidad y relevancia) y por si fuere notoriamente infundada.</w:t>
      </w:r>
    </w:p>
    <w:p w14:paraId="3349B118" w14:textId="77777777" w:rsidR="00576A90" w:rsidRDefault="00576A90" w:rsidP="00576A90">
      <w:pPr>
        <w:pStyle w:val="TextoNormal"/>
      </w:pPr>
    </w:p>
    <w:p w14:paraId="17E85CF4" w14:textId="77777777" w:rsidR="00576A90" w:rsidRDefault="00576A90" w:rsidP="00576A90">
      <w:pPr>
        <w:pStyle w:val="TextoNormal"/>
      </w:pPr>
      <w:r w:rsidRPr="00576A90">
        <w:rPr>
          <w:rStyle w:val="NumeroAFNegritaCaracter"/>
        </w:rPr>
        <w:t>5</w:t>
      </w:r>
      <w:r>
        <w:t xml:space="preserve">. El fiscal general del Estado evacuó el trámite conferido mediante escrito registrado en este tribunal el día 15 de enero de 2024, en el que interesa la inadmisión a trámite de la cuestión de inconstitucionalidad por las deficiencias apreciadas en relación con el cumplimiento de los requisitos procesales del art. 35.2 LOTC, relativos a la sustanciación del </w:t>
      </w:r>
      <w:r>
        <w:lastRenderedPageBreak/>
        <w:t>trámite de audiencia y la formulación de los juicios de aplicabilidad y relevancia, así como por la falta de una adecuada justificación de las dudas de constitucionalidad que dan lugar a que se considere notoriamente infundada.</w:t>
      </w:r>
    </w:p>
    <w:p w14:paraId="443CC01C" w14:textId="77777777" w:rsidR="00576A90" w:rsidRDefault="00576A90" w:rsidP="00576A90">
      <w:pPr>
        <w:pStyle w:val="TextoNormal"/>
      </w:pPr>
    </w:p>
    <w:p w14:paraId="0B16A24C" w14:textId="77777777" w:rsidR="00576A90" w:rsidRDefault="00576A90" w:rsidP="00576A90">
      <w:pPr>
        <w:pStyle w:val="TextoNormal"/>
      </w:pPr>
      <w:r>
        <w:t>a) Tras exponer los antecedentes de los que trae causa la presente cuestión, alude a la duda de constitucionalidad que plantea el órgano judicial y analiza el cumplimiento de los requisitos procesales. De una parte, el fiscal general del Estado estima que el trámite de alegaciones del art. 35.2 LOTC ha sido defectuosamente tramitado, en cuanto que el traslado se ha conferido a las partes en periodos diferentes, no se ha puesto de manifiesto la duda de constitucionalidad con la necesaria concreción, y el auto de planteamiento difiere del contenido inicialmente planteado a las partes.</w:t>
      </w:r>
    </w:p>
    <w:p w14:paraId="51206D91" w14:textId="77777777" w:rsidR="00576A90" w:rsidRDefault="00576A90" w:rsidP="00576A90">
      <w:pPr>
        <w:pStyle w:val="TextoNormal"/>
      </w:pPr>
    </w:p>
    <w:p w14:paraId="03142D85" w14:textId="77777777" w:rsidR="00576A90" w:rsidRDefault="00576A90" w:rsidP="00576A90">
      <w:pPr>
        <w:pStyle w:val="TextoNormal"/>
      </w:pPr>
      <w:r>
        <w:t>En primer lugar, pone de manifiesto que el trámite de audiencia se acordó mediante la providencia de 11 de enero de 2023, de la que únicamente se dio traslado a las partes. Una vez acordado el planteamiento de la cuestión, mediante auto de 9 de febrero de 2023, y tras proceder a la anulación de este último, se dio nuevo traslado de la providencia, esta vez de forma exclusiva al Ministerio Fiscal, de modo que el traslado no se ha realizado de modo simultáneo, sino sucesivo, lo que es contrario a la jurisprudencia constitucional (STC 222/2012, de 27 de noviembre, FJ 4, y ATC 526/2023, de 6 de noviembre).</w:t>
      </w:r>
    </w:p>
    <w:p w14:paraId="3149ABEE" w14:textId="77777777" w:rsidR="00576A90" w:rsidRDefault="00576A90" w:rsidP="00576A90">
      <w:pPr>
        <w:pStyle w:val="TextoNormal"/>
      </w:pPr>
    </w:p>
    <w:p w14:paraId="4ADBC7EA" w14:textId="77777777" w:rsidR="00576A90" w:rsidRDefault="00576A90" w:rsidP="00576A90">
      <w:pPr>
        <w:pStyle w:val="TextoNormal"/>
      </w:pPr>
      <w:r>
        <w:t>En segundo lugar, indica que en la providencia de 11 de enero de 2023 que fija los términos sobre los que las partes deben efectuar sus alegaciones, se observa un serio déficit en la identificación de la norma cuestionada y de los preceptos constitucionales que se consideran vulnerados, tal y como ya se puso de manifiesto por el Ministerio Fiscal, en el recurso de reposición contra dicha providencia y en el informe de 10 de mayo de 2023. De una parte, al identificar la norma cuestionada se mencionan distintos preceptos; el art. 607 LEC, que regula la inembargabilidad de los salarios y pensiones en las cuantías y con las condiciones que respectivamente se fijan en sus siete párrafos, sin que en la resolución se concrete a cuál de ellos se refiere la duda del órgano jurisdiccional. También se hace referencia, como no aplicable, al art. 608 LEC, que determina la excepción de la aplicación del artículo anterior en el caso de pagos de alimentos en que la obligación nace directamente de la ley y en los pronunciamientos de sentencias dictadas en procedimientos matrimoniales respecto de los alimentos a favor de cónyuges e hijos, en los que el Tribunal determinará la cuantía que puede ser embargada. Señala el fiscal general del Estado que, en el presente supuesto, el litigio versa sobre la pensión compensatoria por desequilibrio económico a favor de la esposa, fijada en la sentencia de separación, regulada en el art. 97 CC. Por tanto, surge la duda de si por el órgano jurisdiccional se plantea la inconstitucionalidad de la regla general o de la no inclusión del supuesto enjuiciado en la excepción.</w:t>
      </w:r>
    </w:p>
    <w:p w14:paraId="18F9C0F3" w14:textId="77777777" w:rsidR="00576A90" w:rsidRDefault="00576A90" w:rsidP="00576A90">
      <w:pPr>
        <w:pStyle w:val="TextoNormal"/>
      </w:pPr>
    </w:p>
    <w:p w14:paraId="1FE582BB" w14:textId="77777777" w:rsidR="00576A90" w:rsidRDefault="00576A90" w:rsidP="00576A90">
      <w:pPr>
        <w:pStyle w:val="TextoNormal"/>
      </w:pPr>
      <w:r>
        <w:t>Por otro lado, en la providencia se expresa que la contradicción con la norma constitucional lo sería con el derecho a la tutela judicial efectiva del art. 24 CE, sin mayor concreción, y con el art. 14 CE, que reconoce el derecho a la igualdad sin discriminación. En el art. 24 CE se contemplan diferentes facetas de este derecho, sin que en la providencia se identifique a cuál de ellos se vincula la duda de constitucionalidad. Lo mismo dice de la referencia genérica a la prohibición de discriminación, sin especificar el supuesto discriminatorio a que se puede referir. Atendidas las múltiples dimensiones que pueden desplegar los mencionados artículos constitucionales, entiende el fiscal general del Estado que su mera cita no ha permitido conocer a las partes en qué consistía la duda de constitucionali</w:t>
      </w:r>
      <w:r>
        <w:lastRenderedPageBreak/>
        <w:t>dad planteada y, por tanto, la misma, por sí sola, no puede considerarse en este caso suficiente para estimar alcanzada la finalidad del trámite. Cita a este respecto el ATC 104/2022, de 5 de julio, FJ 2.</w:t>
      </w:r>
    </w:p>
    <w:p w14:paraId="7E73D5D9" w14:textId="77777777" w:rsidR="00576A90" w:rsidRDefault="00576A90" w:rsidP="00576A90">
      <w:pPr>
        <w:pStyle w:val="TextoNormal"/>
      </w:pPr>
    </w:p>
    <w:p w14:paraId="4028FC01" w14:textId="77777777" w:rsidR="00576A90" w:rsidRDefault="00576A90" w:rsidP="00576A90">
      <w:pPr>
        <w:pStyle w:val="TextoNormal"/>
      </w:pPr>
      <w:r>
        <w:t>Asimismo, el Ministerio Fiscal pone de manifiesto que, en el propio auto de 24 de mayo de 2023, la Sala reconoce las deficiencias de que adolece la providencia de fecha 11 de enero que, por otra parte, se ha negado a rectificar al haber desestimado el recurso de reposición planteado por el fiscal. Por otra parte, considera que dichas deficiencias no han quedado subsanadas, sino que conducen a apreciar otro defecto, que es la discrepancia entre la providencia de apertura de trámite de audiencia y el auto de planteamiento, en la que se hacen concreciones respecto a la duda jurídica que no figuraban en aquella y, en consecuencia, se ha privado tanto a las partes como al Ministerio Fiscal de la posibilidad de efectuar las específicas alegaciones al respecto. En el presente caso, la inadecuada concreción de la norma legal y de los preceptos constitucionales que se consideran infringidos no permite entender que se pudo identificar correctamente la duda de constitucionalidad que se plantea el órgano judicial, y ello no puede considerarse corregido por las actuaciones posteriores (cita la STC 203/2014, de 15 de diciembre).</w:t>
      </w:r>
    </w:p>
    <w:p w14:paraId="0218E34D" w14:textId="77777777" w:rsidR="00576A90" w:rsidRDefault="00576A90" w:rsidP="00576A90">
      <w:pPr>
        <w:pStyle w:val="TextoNormal"/>
      </w:pPr>
    </w:p>
    <w:p w14:paraId="31BE804F" w14:textId="77777777" w:rsidR="00576A90" w:rsidRDefault="00576A90" w:rsidP="00576A90">
      <w:pPr>
        <w:pStyle w:val="TextoNormal"/>
      </w:pPr>
      <w:r>
        <w:t>b) El Ministerio Fiscal alega que no se ha realizado un correcto juicio sobre la aplicabilidad de la norma cuestionada y, por tanto, sobre su relevancia para la resolución del procedimiento judicial. La Sala considera que el art. 607 LEC es el aplicable al supuesto enjuiciado, por lo que niega que exista la confusión que se hizo constar por el Ministerio Fiscal, tanto en el recurso de reposición como en el escrito de alegaciones presentado, descartando que sea de aplicación el artículo siguiente, por tratarse de una pensión compensatoria por desequilibrio económico, regulada en el art. 97 CC, y no una pensión de alimentos, que es el supuesto contemplado en el art. 608 LEC.</w:t>
      </w:r>
    </w:p>
    <w:p w14:paraId="4EAB228E" w14:textId="77777777" w:rsidR="00576A90" w:rsidRDefault="00576A90" w:rsidP="00576A90">
      <w:pPr>
        <w:pStyle w:val="TextoNormal"/>
      </w:pPr>
    </w:p>
    <w:p w14:paraId="77FB52AE" w14:textId="77777777" w:rsidR="00576A90" w:rsidRDefault="00576A90" w:rsidP="00576A90">
      <w:pPr>
        <w:pStyle w:val="TextoNormal"/>
      </w:pPr>
      <w:r>
        <w:t>A la vista del razonamiento del órgano judicial, el fiscal general del Estado considera que en realidad está planteando la cuestión no sobre el mandato general contenido en el art. 607 LEC, que establece una serie de limitaciones en las cuantías en que procede el embargo de salarios y pensiones, sino sobre su proyección en un supuesto muy concreto, lo que supone que asocia la duda de inconstitucionalidad a que no se haya previsto en el art. 608 LEC la excepción en los supuestos del establecimiento de una pensión compensatoria conforme a lo dispuesto en el art. 97 CC. Se daría así lugar al planteamiento de una inconstitucionalidad por omisión, que tiene unos requisitos [ATC 67/2022, de 7 de abril, FJ 2 c)] que no concurren en el presente caso. En este, según el fiscal general del Estado, nos encontramos ante una duda interpretativa sobre el alcance del art. 608 LEC, cuya resolución determinará si se aplica o no el art. 607 LEC, si bien, como señala la STC 207/2014, de 15 de diciembre, FJ 4, “la finalidad de la cuestión de inconstitucionalidad no es en modo alguno resolver controversias interpretativas sobre la legalidad, surgidas entre órganos jurisdiccionales o dudas sobre el alcance de determinado precepto legal para lo cual el ordenamiento jurídico dispone de otros cauces”.</w:t>
      </w:r>
    </w:p>
    <w:p w14:paraId="3196AD7F" w14:textId="77777777" w:rsidR="00576A90" w:rsidRDefault="00576A90" w:rsidP="00576A90">
      <w:pPr>
        <w:pStyle w:val="TextoNormal"/>
      </w:pPr>
    </w:p>
    <w:p w14:paraId="6143051F" w14:textId="77777777" w:rsidR="00576A90" w:rsidRDefault="00576A90" w:rsidP="00576A90">
      <w:pPr>
        <w:pStyle w:val="TextoNormal"/>
      </w:pPr>
      <w:r>
        <w:t xml:space="preserve">c) Finalmente, el Ministerio Fiscal considera que el auto de planteamiento de la cuestión de inconstitucionalidad no ha justificado adecuadamente las dudas de inconstitucionalidad, lo que da lugar a que considere que la cuestión es notoriamente infundada (ATC 108/2017, de 18 de julio, FJ 5). Reitera que el órgano judicial plantea una duda interpretativa sobre el alcance del art. 608 LEC que, a su juicio, le conduce a aplicar el art. 607 LEC </w:t>
      </w:r>
      <w:r>
        <w:lastRenderedPageBreak/>
        <w:t>lo que, en el caso concreto, produce unas consecuencias que se consideran contrarias al derecho a la tutela judicial efectiva en su faceta de ejecución de las resoluciones judiciales firmes, y al principio de igualdad sin discriminación por razón de sexo, al perjudicar sobre todo a las mujeres, que son las que en la práctica integran la mayoría de las perceptoras de las pensiones compensatorias.</w:t>
      </w:r>
    </w:p>
    <w:p w14:paraId="20A6584E" w14:textId="77777777" w:rsidR="00576A90" w:rsidRDefault="00576A90" w:rsidP="00576A90">
      <w:pPr>
        <w:pStyle w:val="TextoNormal"/>
      </w:pPr>
    </w:p>
    <w:p w14:paraId="44B792B9" w14:textId="77777777" w:rsidR="00576A90" w:rsidRDefault="00576A90" w:rsidP="00576A90">
      <w:pPr>
        <w:pStyle w:val="TextoNormal"/>
      </w:pPr>
      <w:r>
        <w:t>La forma en la que la Sala interpreta el art. 608 LEC determinaría la aplicación del art. 607 LEC, si bien en dicha interpretación desconocería, a juicio del fiscal general del Estado, lo dispuesto en los arts. 4 y 7 de la Ley 15/2022, de 12 de julio, integral para la igualdad de trato y la no discriminación, que permitirían la aplicación alternativa que se realiza por otros órganos jurisdiccionales. En la consideración que hace el órgano jurisdiccional que plantea la cuestión, basada únicamente en una aséptica distinción entre la naturaleza jurídica de la pensión compensatoria y la obligación de prestar alimentos, se está desconociendo la fundamentación que ha permitido establecer la interpretación alternativa que se aplica por los órganos jurisdiccionales para salvar este efecto, y que se circunscribe específicamente a los supuestos en que la pensión acordada judicialmente constituye el principal o único medio que tiene para su subsistencia el perceptor, es decir, con independencia de la concreta denominación que reciba y de la función de compensar un desequilibrio patrimonial, que, efectivamente, no en todos los casos conduce a la privación de medios de sustento al acreedor. A juicio del fiscal general del Estado, el órgano que plantea la cuestión parte de una exclusiva premisa interpretativa, y descarta la aplicación de la alternativa efectuada por otros órganos jurisdiccionales, que rechaza sin ofrecer el necesario esfuerzo argumental para justificar la duda, y ello pese a que conoce que, en este caso concreto, la perceptora de la pensión depende de ella para su subsistencia. Añade que se da la circunstancia que es la misma Sección que dictó la resolución por la que se denegó la revisión de la cuantía de la pensión instada en procedimiento de modificación de medidas por el hoy apelante, según se aprecia en el razonamiento jurídico primero, párrafo 6, del auto de planteamiento, en el que, según la sentencia entonces dictada por la misma Sala se consideraba acreditado: “a) la falta de cotizaciones impide a la esposa acceder a una pensión de jubilación contributiva; b) la esposa se dedicó a la familia, incluida la crianza de los hijos del matrimonio; c) la esposa, no está en condiciones de acceder al mercado laboral de un modo pleno, por su edad, estado de salud y falta de cualificación profesional y de pensión, como disfruta el esposo”.</w:t>
      </w:r>
    </w:p>
    <w:p w14:paraId="698F0FC0" w14:textId="77777777" w:rsidR="00576A90" w:rsidRDefault="00576A90" w:rsidP="00576A90">
      <w:pPr>
        <w:pStyle w:val="TextoNormal"/>
      </w:pPr>
    </w:p>
    <w:p w14:paraId="18A84FA1" w14:textId="13333A5F" w:rsidR="00576A90" w:rsidRDefault="00576A90" w:rsidP="00576A90">
      <w:pPr>
        <w:pStyle w:val="TextoNormal"/>
      </w:pPr>
      <w:r>
        <w:t>Es decir, a juicio del fiscal general del Estado, el órgano judicial reconoce expresamente que existe una interpretación alternativa a la que formula como punto de partida de su duda de constitucionalidad, menciona incluso los argumentos que la posibilitan, y que serían claramente aplicables al supuesto que tiene pendiente de resolver, pese a lo cual no se inclina por ella alegando exclusivamente la diferente finalidad de una y otra prestación, consideradas en abstracto. Por tanto, según el Ministerio Fiscal, el órgano judicial no ha justificado suficientemente la exclusión de la posibilidad de que la otra interpretación apuntada tenga cabida en la norma legal cuestionada y con ello no ha fundamentado las razones que le llevan a considerarse sujeto a una opción interpretativa en detrimento de la otra. De todo ello, concluye el Ministerio Fiscal que las dudas de constitucionalidad planteadas en esta cuestión carecen de viabilidad suficiente y han de considerarse notoriamente infundadas, a los efectos previstos en el art. 37.1 LOTC.</w:t>
      </w:r>
    </w:p>
    <w:p w14:paraId="21FE105D" w14:textId="77777777" w:rsidR="00576A90" w:rsidRDefault="00576A90" w:rsidP="00576A90">
      <w:pPr>
        <w:pStyle w:val="TextoNormal"/>
      </w:pPr>
    </w:p>
    <w:p w14:paraId="2DDBE022" w14:textId="77777777" w:rsidR="00576A90" w:rsidRDefault="00576A90" w:rsidP="00576A90">
      <w:pPr>
        <w:pStyle w:val="TextoNormalNegritaCentrado"/>
        <w:keepNext/>
      </w:pPr>
      <w:r>
        <w:lastRenderedPageBreak/>
        <w:t>II. Fundamentos jurídicos</w:t>
      </w:r>
    </w:p>
    <w:p w14:paraId="1D965C9B" w14:textId="2C6B5D02" w:rsidR="00576A90" w:rsidRDefault="00576A90" w:rsidP="00576A90">
      <w:pPr>
        <w:pStyle w:val="TextoNormalNegritaCentrado"/>
        <w:keepNext/>
      </w:pPr>
    </w:p>
    <w:p w14:paraId="1526DC44" w14:textId="77777777" w:rsidR="00576A90" w:rsidRDefault="00576A90" w:rsidP="00576A90">
      <w:pPr>
        <w:pStyle w:val="TextoNormal"/>
      </w:pPr>
      <w:r w:rsidRPr="00576A90">
        <w:rPr>
          <w:rStyle w:val="NumeroAFNegritaCaracter"/>
        </w:rPr>
        <w:t>1</w:t>
      </w:r>
      <w:r>
        <w:t>. La Sección Cuarta de la Audiencia Provincial de A Coruña plantea una cuestión de inconstitucionalidad en relación con el art. 607 de la Ley de enjuiciamiento civil (LEC), en su proyección sobre la ejecución o el aseguramiento cautelar del derecho a percibir una pensión compensatoria por desequilibrio, judicialmente reconocido en una sentencia de divorcio o separación a favor de uno de los cónyuges frente al otro, por ser contrario al derecho a la tutela judicial efectiva (art. 24 CE), que abarca el derecho a que las resoluciones judiciales firmes se ejecuten (arts. 24.1, 117.3 y 118 CE), y al derecho fundamental a la igualdad ante la ley, sin discriminación por razón de sexo (art. 14 CE).</w:t>
      </w:r>
    </w:p>
    <w:p w14:paraId="4A05910B" w14:textId="77777777" w:rsidR="00576A90" w:rsidRDefault="00576A90" w:rsidP="00576A90">
      <w:pPr>
        <w:pStyle w:val="TextoNormal"/>
      </w:pPr>
    </w:p>
    <w:p w14:paraId="0B78ED11" w14:textId="1FD79728" w:rsidR="00576A90" w:rsidRDefault="00576A90" w:rsidP="00576A90">
      <w:pPr>
        <w:pStyle w:val="TextoNormal"/>
      </w:pPr>
      <w:r>
        <w:t>El fiscal general del Estado, en el trámite previsto en el art. 37.1 de la Ley Orgánica del Tribunal Constitucional (LOTC), como se ha dado cuenta en los antecedentes de esta resolución, se ha opuesto a la admisión de la presente cuestión de inconstitucionalidad por entender que no se cumplen los requisitos procesales exigidos por el art. 35 LOTC en cuanto al trámite de audiencia y a los juicios de aplicabilidad y de relevancia. También entiende que no se han justificado adecuadamente las dudas de inconstitucionalidad, lo que da lugar a que considere que la cuestión es notoriamente infundada (ATC 108/2017, de 18 de julio, FJ 5).</w:t>
      </w:r>
    </w:p>
    <w:p w14:paraId="0E1DB3B5" w14:textId="77777777" w:rsidR="00576A90" w:rsidRDefault="00576A90" w:rsidP="00576A90">
      <w:pPr>
        <w:pStyle w:val="TextoNormal"/>
      </w:pPr>
    </w:p>
    <w:p w14:paraId="6AFC77F0" w14:textId="77777777" w:rsidR="00576A90" w:rsidRDefault="00576A90" w:rsidP="00576A90">
      <w:pPr>
        <w:pStyle w:val="TextoNormal"/>
      </w:pPr>
      <w:r w:rsidRPr="00576A90">
        <w:rPr>
          <w:rStyle w:val="NumeroAFNegritaCaracter"/>
        </w:rPr>
        <w:t>2</w:t>
      </w:r>
      <w:r>
        <w:t xml:space="preserve">. El art. 37.1 LOTC permite a este tribunal rechazar </w:t>
      </w:r>
      <w:r w:rsidRPr="00576A90">
        <w:rPr>
          <w:i/>
        </w:rPr>
        <w:t>a limine</w:t>
      </w:r>
      <w:r>
        <w:t xml:space="preserve"> las cuestiones de inconstitucionalidad, mediante auto y sin otra audiencia que la del fiscal general del Estado, cuando faltaren las condiciones procesales o fuere notoriamente infundada la cuestión suscitada.</w:t>
      </w:r>
    </w:p>
    <w:p w14:paraId="6E16F2E6" w14:textId="77777777" w:rsidR="00576A90" w:rsidRDefault="00576A90" w:rsidP="00576A90">
      <w:pPr>
        <w:pStyle w:val="TextoNormal"/>
      </w:pPr>
    </w:p>
    <w:p w14:paraId="734C049A" w14:textId="7508297F" w:rsidR="00576A90" w:rsidRDefault="00576A90" w:rsidP="00576A90">
      <w:pPr>
        <w:pStyle w:val="TextoNormal"/>
      </w:pPr>
      <w:r>
        <w:t>El análisis de la cuestión de inconstitucionalidad que se somete a nuestra consideración revela la concurrencia de ambos motivos de inadmisión, pues no satisface las exigencias para promoverla que imponen los arts. 163 CE y 35 a 37 LOTC y, dada la forma en la que se ha formulado la duda de inconstitucionalidad, es notoriamente infundada.</w:t>
      </w:r>
    </w:p>
    <w:p w14:paraId="37DC1CD8" w14:textId="77777777" w:rsidR="00576A90" w:rsidRDefault="00576A90" w:rsidP="00576A90">
      <w:pPr>
        <w:pStyle w:val="TextoNormal"/>
      </w:pPr>
    </w:p>
    <w:p w14:paraId="1C532439" w14:textId="77777777" w:rsidR="00576A90" w:rsidRDefault="00576A90" w:rsidP="00576A90">
      <w:pPr>
        <w:pStyle w:val="TextoNormal"/>
      </w:pPr>
      <w:r w:rsidRPr="00576A90">
        <w:rPr>
          <w:rStyle w:val="NumeroAFNegritaCaracter"/>
        </w:rPr>
        <w:t>3</w:t>
      </w:r>
      <w:r>
        <w:t>. La realización del trámite de audiencia por parte del órgano judicial no se ha ajustado a las exigencias del art. 35.2 LOTC.</w:t>
      </w:r>
    </w:p>
    <w:p w14:paraId="17419F90" w14:textId="77777777" w:rsidR="00576A90" w:rsidRDefault="00576A90" w:rsidP="00576A90">
      <w:pPr>
        <w:pStyle w:val="TextoNormal"/>
      </w:pPr>
    </w:p>
    <w:p w14:paraId="7E54ADA2" w14:textId="77777777" w:rsidR="00576A90" w:rsidRDefault="00576A90" w:rsidP="00576A90">
      <w:pPr>
        <w:pStyle w:val="TextoNormal"/>
      </w:pPr>
      <w:r>
        <w:t>a) Como recuerda el ATC 526/2023, de 6 de noviembre, FJ 3 a), “[e]ste tribunal ha venido reiterando la necesidad de realizar correctamente el trámite de audiencia, insistiendo en la importancia de que todas las partes sean consultadas en relación con el planteamiento de la cuestión de inconstitucionalidad (por todos, ATC 13/2008, de 16 de enero). Asimismo, la doctrina constitucional viene señalando que el art. 35.2 LOTC dispone claramente que el plazo de diez días para que aleguen las partes y el Ministerio Fiscal ha de ser necesariamente común y no sucesivo (AATC 174/2007, de 27 de febrero, FJ 2; 127/2008, de 22 de mayo, FJ 2, y 220/2012, de 27 de noviembre, FJ 4)”.</w:t>
      </w:r>
    </w:p>
    <w:p w14:paraId="462218CD" w14:textId="77777777" w:rsidR="00576A90" w:rsidRDefault="00576A90" w:rsidP="00576A90">
      <w:pPr>
        <w:pStyle w:val="TextoNormal"/>
      </w:pPr>
    </w:p>
    <w:p w14:paraId="7183E1E0" w14:textId="77777777" w:rsidR="00576A90" w:rsidRDefault="00576A90" w:rsidP="00576A90">
      <w:pPr>
        <w:pStyle w:val="TextoNormal"/>
      </w:pPr>
      <w:r>
        <w:t xml:space="preserve">El trámite de audiencia a las partes y al Ministerio Fiscal no se ha concedido de forma simultánea y común, sino sucesiva y separada, como alega el fiscal general del Estado. De las actuaciones resulta que, por providencia de 11 de enero de 2023 se dio trámite de audiencia a las partes y al Ministerio Fiscal, si bien no se notificó a este último. Tras haber acordado el órgano judicial el planteamiento de la cuestión de inconstitucionalidad, por </w:t>
      </w:r>
      <w:r>
        <w:lastRenderedPageBreak/>
        <w:t>auto de 9 de febrero de 2023, se advirtió que no se había notificado al Ministerio Fiscal la providencia de 11 de enero de 2023. A consecuencia de dicha circunstancia, por providencia de 2 de marzo de 2023, se dispone la notificación al Ministerio Fiscal del auto de 9 de febrero de 2023 para que alegue sobre la nulidad de este o la posible subsanación de las actuaciones. El Ministerio Fiscal interpuso recurso de reposición contra la providencia de 11 de enero de 2023 por infracción del art. 35 LOTC. Por auto de 27 de abril de 2023 se anuló el auto de 9 de febrero de 2023, y se desestimó el recurso contra la providencia de 11 de enero de 2023, dándose traslado al Ministerio Fiscal para que formulara alegaciones sobre el planteamiento de la cuestión de inconstitucionalidad en los términos de la citada providencia de 11 de enero de 2023. Mediante escrito de 10 de mayo de 2023 el Ministerio Fiscal presentó alegaciones.</w:t>
      </w:r>
    </w:p>
    <w:p w14:paraId="3EC6D1C3" w14:textId="77777777" w:rsidR="00576A90" w:rsidRDefault="00576A90" w:rsidP="00576A90">
      <w:pPr>
        <w:pStyle w:val="TextoNormal"/>
      </w:pPr>
    </w:p>
    <w:p w14:paraId="56393E06" w14:textId="77777777" w:rsidR="00576A90" w:rsidRDefault="00576A90" w:rsidP="00576A90">
      <w:pPr>
        <w:pStyle w:val="TextoNormal"/>
      </w:pPr>
      <w:r>
        <w:t>De acuerdo con lo afirmado por el ATC 301/2023, de 6 de junio, FJ 2, únicamente existirá quiebra del trámite de audiencia “determinante de la inadmisión de la cuestión que se plantee, bien cuando no se haya oído a alguno de los sujetos designados en el art. 35.2 LOTC, bien cuando el trámite respecto de ellos no se hubiere realizado de manera simultánea (STC 55/2017, de 11 de mayo, FJ 2)”. En este caso, el trámite no se ha realizado de manera simultánea, ya que las partes alegaron tras la apertura del trámite de audiencia por providencia de 11 de enero de 2023 y el Ministerio Fiscal, como se ha señalado, tras darle trámite de audiencia el auto de 27 de abril de 2023.</w:t>
      </w:r>
    </w:p>
    <w:p w14:paraId="307AC88B" w14:textId="77777777" w:rsidR="00576A90" w:rsidRDefault="00576A90" w:rsidP="00576A90">
      <w:pPr>
        <w:pStyle w:val="TextoNormal"/>
      </w:pPr>
    </w:p>
    <w:p w14:paraId="2286E7ED" w14:textId="77777777" w:rsidR="00576A90" w:rsidRDefault="00576A90" w:rsidP="00576A90">
      <w:pPr>
        <w:pStyle w:val="TextoNormal"/>
      </w:pPr>
      <w:r>
        <w:t>b) De otra parte, el fiscal general del Estado ha puesto de manifiesto que la providencia de 11 de enero de 2023 tiene un déficit en la identificación de la norma cuestionada y de los preceptos que se consideran vulnerados. En primer lugar, porque menciona diferentes preceptos. Así, se refiere tanto al art. 607 LEC, pero sin especificar el apartado de dicho precepto del que duda, como al art. 608 LEC. Alega, asimismo, que en dicha providencia no se detalla la vertiente del derecho de los arts. 14 y 24 CE que el órgano judicial estima que pueden ser infringidos por el precepto cuestionado.</w:t>
      </w:r>
    </w:p>
    <w:p w14:paraId="3471CE9B" w14:textId="77777777" w:rsidR="00576A90" w:rsidRDefault="00576A90" w:rsidP="00576A90">
      <w:pPr>
        <w:pStyle w:val="TextoNormal"/>
      </w:pPr>
    </w:p>
    <w:p w14:paraId="528EDCC7" w14:textId="77777777" w:rsidR="00576A90" w:rsidRDefault="00576A90" w:rsidP="00576A90">
      <w:pPr>
        <w:pStyle w:val="TextoNormal"/>
      </w:pPr>
      <w:r>
        <w:t>En relación con dicha cuestión, en el ya citado ATC 301/2023, FJ 2, se hace referencia a la doctrina constitucional recordada en la STC 50/2015, de 5 de marzo, FJ 2 b), según la cual: “[p]ara cumplir adecuadamente con el trámite previsto en el artículo 35.2 LOTC, el juez no está obligado a detallar cada uno de los extremos de la cuestión de inconstitucionalidad sobre cuya conveniencia pueden pronunciarse las partes. Basta ‘identificar mínimamente la duda de constitucionalidad (indeterminación relativa) ante quienes han de ser oídos, para que sobre la misma puedan versar las alegaciones, exigiendo en todo caso tal indeterminación relativa que las partes hayan podido conocer el planteamiento de la inconstitucionalidad realizado por el órgano judicial y, atendiendo a las circunstancias del caso, situarlo en sus exactos términos constitucionales y pronunciarse sobre él, de modo que se haga posible cumplir con total garantía la finalidad del trámite’ (por todas, STC 166/2007, de 4 de julio, FJ 6)”.</w:t>
      </w:r>
    </w:p>
    <w:p w14:paraId="40F2BC85" w14:textId="77777777" w:rsidR="00576A90" w:rsidRDefault="00576A90" w:rsidP="00576A90">
      <w:pPr>
        <w:pStyle w:val="TextoNormal"/>
      </w:pPr>
    </w:p>
    <w:p w14:paraId="3BC909F8" w14:textId="77777777" w:rsidR="00576A90" w:rsidRDefault="00576A90" w:rsidP="00576A90">
      <w:pPr>
        <w:pStyle w:val="TextoNormal"/>
      </w:pPr>
      <w:r>
        <w:t xml:space="preserve">En este caso, a la vista de las alegaciones de las partes, no parece que las mismas hayan podido conocer el planteamiento de inconstitucionalidad realizado por el órgano judicial ya que, como ha quedado constancia en los antecedentes de la presente resolución, el recurrente alega sobre el art. 608 LEC y la parte recurrida en relación con el art. 607 LEC. En consecuencia, podemos concluir que la identificación de la duda de constitucionalidad formulada en la providencia por la cual se dio audiencia a las partes y al Ministerio Fiscal </w:t>
      </w:r>
      <w:r>
        <w:lastRenderedPageBreak/>
        <w:t>no ha permitido que las partes hayan podido conocer el planteamiento de la cuestión de inconstitucionalidad realizado por el órgano judicial y, atendiendo a las circunstancias del caso, situarlo en sus exactos términos constitucionales y pronunciarse sobre él, de modo que haga posible cumplir con total garantía la finalidad del trámite, tal y como exige la doctrina constitucional.</w:t>
      </w:r>
    </w:p>
    <w:p w14:paraId="7DCED909" w14:textId="77777777" w:rsidR="00576A90" w:rsidRDefault="00576A90" w:rsidP="00576A90">
      <w:pPr>
        <w:pStyle w:val="TextoNormal"/>
      </w:pPr>
    </w:p>
    <w:p w14:paraId="6E65BE1F" w14:textId="03691AC5" w:rsidR="00576A90" w:rsidRDefault="00576A90" w:rsidP="00576A90">
      <w:pPr>
        <w:pStyle w:val="TextoNormal"/>
      </w:pPr>
      <w:r>
        <w:t>Por lo tanto, cabe concluir que el trámite de audiencia a las partes y al Ministerio Fiscal no fue correctamente cumplimentado.</w:t>
      </w:r>
    </w:p>
    <w:p w14:paraId="69A995A2" w14:textId="77777777" w:rsidR="00576A90" w:rsidRDefault="00576A90" w:rsidP="00576A90">
      <w:pPr>
        <w:pStyle w:val="TextoNormal"/>
      </w:pPr>
    </w:p>
    <w:p w14:paraId="2AD48782" w14:textId="77777777" w:rsidR="00576A90" w:rsidRDefault="00576A90" w:rsidP="00576A90">
      <w:pPr>
        <w:pStyle w:val="TextoNormal"/>
      </w:pPr>
      <w:r w:rsidRPr="00576A90">
        <w:rPr>
          <w:rStyle w:val="NumeroAFNegritaCaracter"/>
        </w:rPr>
        <w:t>4</w:t>
      </w:r>
      <w:r>
        <w:t>. Son condiciones procesales de la cuestión de inconstitucionalidad que los preceptos cuestionados resulten “aplicable[s] al caso” (juicio de aplicabilidad) y que de su “validez dependa el fallo” (juicio de relevancia), tal y como exigen los arts. 163 CE y 35 LOTC. Es esta una doble condición necesaria y sucesiva para que este proceso mantenga su naturaleza incidental y no se convierta en un juicio abstracto de constitucionalidad desligado de las circunstancias del caso concreto, lo que daría lugar a una ampliación de la legitimación para interponer recurso abstracto o directo de inconstitucionalidad establecido en los arts. 162.1 a) CE y 32.1 LOTC.</w:t>
      </w:r>
    </w:p>
    <w:p w14:paraId="011B1EB3" w14:textId="77777777" w:rsidR="00576A90" w:rsidRDefault="00576A90" w:rsidP="00576A90">
      <w:pPr>
        <w:pStyle w:val="TextoNormal"/>
      </w:pPr>
    </w:p>
    <w:p w14:paraId="1265DE8E" w14:textId="77777777" w:rsidR="00576A90" w:rsidRDefault="00576A90" w:rsidP="00576A90">
      <w:pPr>
        <w:pStyle w:val="TextoNormal"/>
      </w:pPr>
      <w:r>
        <w:t>Conforme a reiterada doctrina constitucional (por todos, ATC 667/2023, de 12 de diciembre), “es competencia del órgano promotor de la cuestión tanto ‘determinar cuáles son efectivamente las normas aplicables al caso que ha de decidir’ (STC 17/1981, de 1 de junio, FJ 1), como exteriorizar el juicio de relevancia, esto es, ‘el esquema argumental dirigido a probar que el fallo del proceso judicial depende de la validez de la norma cuestionada’ (por todos, ATC 21/2001, de 30 de enero, FJ 1), pues ‘si bien la aplicabilidad de la norma es condición necesaria para que el fallo dependa de su validez, no es, en modo alguno, condición suficiente’ (ATC 111/2018, de 16 de octubre, FJ 2). Este juicio de relevancia ‘constituye una de las más esenciales condiciones procesales de las cuestiones de inconstitucionalidad en garantía de que su planteamiento no desborde la función de control concreto o incidental de la constitucionalidad de las leyes, por no versar sobre la norma de cuya validez depende el fallo, único objeto posible de este tipo de procedimientos’ [STC 150/2020, de 22 de octubre, FJ 2 b), citando la STC 104/2018, de 4 de octubre, FJ 2].</w:t>
      </w:r>
    </w:p>
    <w:p w14:paraId="4E5928A4" w14:textId="77777777" w:rsidR="00576A90" w:rsidRDefault="00576A90" w:rsidP="00576A90">
      <w:pPr>
        <w:pStyle w:val="TextoNormal"/>
      </w:pPr>
    </w:p>
    <w:p w14:paraId="6ACE6A19" w14:textId="77777777" w:rsidR="00576A90" w:rsidRDefault="00576A90" w:rsidP="00576A90">
      <w:pPr>
        <w:pStyle w:val="TextoNormal"/>
      </w:pPr>
      <w:r>
        <w:t>Sobre ambos juicios, de aplicabilidad y relevancia, este tribunal ejerce un control ‘meramente externo’ (ATC 159/2016, de 20 de septiembre, FJ 2), lo que significa que debe verificar su concurrencia a fin de que no se haga un uso de la cuestión de inconstitucionalidad ‘no acomodado a su naturaleza y finalidad propias’ (ATC 9/2019, de 12 de febrero, FJ 2, con cita de otros), pero no sustituir al órgano judicial en la determinación de ese nexo causal (STC 41/1990, de 15 de marzo, FJ 2), que es una tarea propiamente jurisdiccional y por tanto reservada a aquel (art. 117.3 CE).</w:t>
      </w:r>
    </w:p>
    <w:p w14:paraId="415650A7" w14:textId="77777777" w:rsidR="00576A90" w:rsidRDefault="00576A90" w:rsidP="00576A90">
      <w:pPr>
        <w:pStyle w:val="TextoNormal"/>
      </w:pPr>
    </w:p>
    <w:p w14:paraId="2CD3DEC7" w14:textId="77777777" w:rsidR="00576A90" w:rsidRDefault="00576A90" w:rsidP="00576A90">
      <w:pPr>
        <w:pStyle w:val="TextoNormal"/>
      </w:pPr>
      <w:r>
        <w:t xml:space="preserve">No es, en principio, el Tribunal Constitucional el que ha de decidir las cuestiones de hecho o de legalidad ordinaria que se susciten en el proceso </w:t>
      </w:r>
      <w:r w:rsidRPr="00576A90">
        <w:rPr>
          <w:i/>
        </w:rPr>
        <w:t>a quo</w:t>
      </w:r>
      <w:r>
        <w:t xml:space="preserve"> y que puedan tener repercusión con la relevancia de la duda de constitucionalidad que eleva el juez promotor. Estas apreciaciones corresponden inicialmente al órgano judicial en el ejercicio de la función que constitucionalmente le corresponde. Pero corresponde a este tribunal verificar que el órgano judicial ha argumentado suficientemente la relación entre su duda de constitucionalidad y el proceso que está pendiente ante él, pues de lo contrario la cuestión de </w:t>
      </w:r>
      <w:r>
        <w:lastRenderedPageBreak/>
        <w:t>inconstitucionalidad puede perder el carácter concreto que la caracteriza (ATC 20/2022, de 26 de enero, FJ 4). Y, consecuentemente, el Tribunal Constitucional, en el ejercicio de sus facultades de control externo del juicio formulado por los órganos judiciales al plantear la cuestión de inconstitucionalidad, puede declarar su inadmisibilidad por resultar inconsistente o errada la argumentación judicial sobre la aplicabilidad y relevancia de la norma cuestionada (ATC 173/2020, de 15 de diciembre, FJ 2)”.</w:t>
      </w:r>
    </w:p>
    <w:p w14:paraId="0B20B925" w14:textId="77777777" w:rsidR="00576A90" w:rsidRDefault="00576A90" w:rsidP="00576A90">
      <w:pPr>
        <w:pStyle w:val="TextoNormal"/>
      </w:pPr>
    </w:p>
    <w:p w14:paraId="4B87978E" w14:textId="77777777" w:rsidR="00576A90" w:rsidRDefault="00576A90" w:rsidP="00576A90">
      <w:pPr>
        <w:pStyle w:val="TextoNormal"/>
      </w:pPr>
      <w:r>
        <w:t xml:space="preserve">En el presente caso, debe considerarse que el auto de planteamiento de la cuestión de inconstitucionalidad no cumple dichos requisitos </w:t>
      </w:r>
      <w:r w:rsidRPr="00576A90">
        <w:rPr>
          <w:i/>
        </w:rPr>
        <w:t>ex</w:t>
      </w:r>
      <w:r>
        <w:t xml:space="preserve"> art. 35.2 LOTC.</w:t>
      </w:r>
    </w:p>
    <w:p w14:paraId="18DC7D6D" w14:textId="77777777" w:rsidR="00576A90" w:rsidRDefault="00576A90" w:rsidP="00576A90">
      <w:pPr>
        <w:pStyle w:val="TextoNormal"/>
      </w:pPr>
    </w:p>
    <w:p w14:paraId="510201D7" w14:textId="77777777" w:rsidR="00576A90" w:rsidRDefault="00576A90" w:rsidP="00576A90">
      <w:pPr>
        <w:pStyle w:val="TextoNormal"/>
      </w:pPr>
      <w:r>
        <w:t xml:space="preserve">a) En primer lugar, el juicio de aplicabilidad no puede considerarse adecuadamente formulado. Para llegar a dicha conclusión, se ha de tener presente que el problema que se suscita en el procedimiento </w:t>
      </w:r>
      <w:r w:rsidRPr="00576A90">
        <w:rPr>
          <w:i/>
        </w:rPr>
        <w:t>a quo</w:t>
      </w:r>
      <w:r>
        <w:t xml:space="preserve"> es, precisamente, la aplicación bien del art. 607 LEC, o bien del art. 608 LEC. El art. 607 LEC establece los límites de la embargabilidad y el art. 608 LEC excluye de dichos límites determinados supuestos. Para poder determinar si se aplica el art. 608 LEC se ha de averiguar la finalidad y la naturaleza jurídica de la pensión compensatoria (art. 97 CC).</w:t>
      </w:r>
    </w:p>
    <w:p w14:paraId="030F216E" w14:textId="77777777" w:rsidR="00576A90" w:rsidRDefault="00576A90" w:rsidP="00576A90">
      <w:pPr>
        <w:pStyle w:val="TextoNormal"/>
      </w:pPr>
    </w:p>
    <w:p w14:paraId="49287680" w14:textId="77777777" w:rsidR="00576A90" w:rsidRDefault="00576A90" w:rsidP="00576A90">
      <w:pPr>
        <w:pStyle w:val="TextoNormal"/>
      </w:pPr>
      <w:r>
        <w:t>Para el órgano judicial el precepto aplicable es el art. 607 LEC, de acuerdo con el cual es inembargable la pensión de jubilación, por lo que no se puede garantizar el pago de pensiones compensatorias. Por otro lado, entiende que el art. 608 LEC no incluye entre las excepciones a la aplicación del art. 607 LEC, la ejecución por condena al pago de pensiones compensatorias, pues solo se aplica, en su opinión, a la ejecución de sentencia que condene al pago de alimentos. En consecuencia, a su juicio, la falta de previsión legal para el aseguramiento de la pensión compensatoria es lo que determinaría la inconstitucionalidad de la norma cuestionada.</w:t>
      </w:r>
    </w:p>
    <w:p w14:paraId="129E3475" w14:textId="77777777" w:rsidR="00576A90" w:rsidRDefault="00576A90" w:rsidP="00576A90">
      <w:pPr>
        <w:pStyle w:val="TextoNormal"/>
      </w:pPr>
    </w:p>
    <w:p w14:paraId="1D692B7D" w14:textId="77777777" w:rsidR="00576A90" w:rsidRDefault="00576A90" w:rsidP="00576A90">
      <w:pPr>
        <w:pStyle w:val="TextoNormal"/>
      </w:pPr>
      <w:r>
        <w:t>Pues bien, como señala el fiscal general del Estado, la duda de inconstitucionalidad se proyecta, en realidad, sobre el art. 608 LEC, en la medida que, según el órgano judicial dicho precepto no incluye la pensión compensatoria, y por lo tanto determina la aplicación del art. 607 LEC. En definitiva, lo que el órgano judicial plantea no es una duda sobre la constitucionalidad del art. 607 LEC, sino la denuncia de la inconstitucionalidad por omisión del art. 608 LEC, por no haber previsto la posible embargabilidad de la pensión de jubilación para asegurar el pago de la pensión compensatoria.</w:t>
      </w:r>
    </w:p>
    <w:p w14:paraId="7181AC29" w14:textId="77777777" w:rsidR="00576A90" w:rsidRDefault="00576A90" w:rsidP="00576A90">
      <w:pPr>
        <w:pStyle w:val="TextoNormal"/>
      </w:pPr>
    </w:p>
    <w:p w14:paraId="48DF5382" w14:textId="77777777" w:rsidR="00576A90" w:rsidRDefault="00576A90" w:rsidP="00576A90">
      <w:pPr>
        <w:pStyle w:val="TextoNormal"/>
      </w:pPr>
      <w:r>
        <w:t>Consecuentemente, el juicio de aplicabilidad no puede considerarse que se haya realizado debidamente dado que, la aplicabilidad al caso del art. 607 LEC, depende de la interpretación que se realice del art. 608 LEC, precepto que en realidad cuestiona el órgano judicial.</w:t>
      </w:r>
    </w:p>
    <w:p w14:paraId="48B4D6B5" w14:textId="77777777" w:rsidR="00576A90" w:rsidRDefault="00576A90" w:rsidP="00576A90">
      <w:pPr>
        <w:pStyle w:val="TextoNormal"/>
      </w:pPr>
    </w:p>
    <w:p w14:paraId="4F4E6C2E" w14:textId="5CACC5DE" w:rsidR="00576A90" w:rsidRDefault="00576A90" w:rsidP="00576A90">
      <w:pPr>
        <w:pStyle w:val="TextoNormal"/>
      </w:pPr>
      <w:r>
        <w:t xml:space="preserve">b) El hecho de que la presente cuestión de inconstitucionalidad no cumpla el juicio de aplicabilidad conlleva, según reiterada jurisprudencia constitucional, el incumplimiento del juicio de relevancia. Ahora bien, aunque hubiéramos entendido que el art. 607 LEC era el precepto aplicable al caso, deberíamos concluir que el auto de planteamiento de la cuestión de inconstitucionalidad no cumpliría el requisito </w:t>
      </w:r>
      <w:r w:rsidRPr="00576A90">
        <w:rPr>
          <w:i/>
        </w:rPr>
        <w:t>ex</w:t>
      </w:r>
      <w:r>
        <w:t xml:space="preserve"> art. 35.2 LOTC por el que se exige al órgano judicial que especifique o justifique en qué medida la decisión del proceso depende de la validez de la norma en cuestión. La duda expresada por el órgano judicial se concreta en que la aplicación de la regla general de inembargabilidad del art. 607 LEC a la </w:t>
      </w:r>
      <w:r>
        <w:lastRenderedPageBreak/>
        <w:t>ejecución o el aseguramiento cautelar del derecho a percibir una pensión compensatoria reconocido en una sentencia de divorcio o separación resulta contraria al art. 24 CE, en la vertiente del derecho a que las resoluciones judiciales firmes se ejecuten, y al art. 14 CE, por discriminación indirecta por razón de sexo. Esto es, las vulneraciones que aprecia el órgano judicial derivan de la aplicación del precepto cuestionado a la ejecución o el aseguramiento del derecho a la pensión compensatoria. Parte, en consecuencia, el órgano judicial de que la ejecución o el aseguramiento de dicha pensión compensatoria dependen únicamente de que no se apliquen los límites del art. 607 LEC a la pensión de jubilación. No tiene en cuenta en su razonamiento que, aunque dichos límites afectan a la cuantía que puede embargarse mensualmente para hacerla efectiva, no impide el embargo para hacer frente al impago ni afecta a su obligatoriedad, sino que hace que el embargo se prolongue más en el tiempo, en atención a los valores en presencia. De otra parte, en la argumentación que sustenta la duda de constitucionalidad tampoco tiene en cuenta la posible existencia de otros bienes para hacer frente a la deuda (art. 1911 CC).</w:t>
      </w:r>
    </w:p>
    <w:p w14:paraId="209FB23F" w14:textId="77777777" w:rsidR="00576A90" w:rsidRDefault="00576A90" w:rsidP="00576A90">
      <w:pPr>
        <w:pStyle w:val="TextoNormal"/>
      </w:pPr>
    </w:p>
    <w:p w14:paraId="477A6F14" w14:textId="77777777" w:rsidR="00576A90" w:rsidRDefault="00576A90" w:rsidP="00576A90">
      <w:pPr>
        <w:pStyle w:val="TextoNormal"/>
      </w:pPr>
      <w:r w:rsidRPr="00576A90">
        <w:rPr>
          <w:rStyle w:val="NumeroAFNegritaCaracter"/>
        </w:rPr>
        <w:t>5</w:t>
      </w:r>
      <w:r>
        <w:t>. La doctrina constitucional viene exigiendo, entre los requisitos para la procedibilidad de un proceso constitucional de esta naturaleza, la carga de fundamentar de forma suficiente la inconstitucionalidad del precepto legal, carga que incumbe al órgano judicial proponente de la cuestión. En este caso, y en relación con la argumentación que sostiene la duda de constitucionalidad planteada, el fiscal general del Estado, en los términos que han sido recogidos pormenorizadamente en los antecedentes de esta resolución, afirma que la cuestión pudiera considerarse notoriamente infundada.</w:t>
      </w:r>
    </w:p>
    <w:p w14:paraId="203F00E9" w14:textId="77777777" w:rsidR="00576A90" w:rsidRDefault="00576A90" w:rsidP="00576A90">
      <w:pPr>
        <w:pStyle w:val="TextoNormal"/>
      </w:pPr>
    </w:p>
    <w:p w14:paraId="7E7EE43A" w14:textId="77777777" w:rsidR="00576A90" w:rsidRDefault="00576A90" w:rsidP="00576A90">
      <w:pPr>
        <w:pStyle w:val="TextoNormal"/>
      </w:pPr>
      <w:r>
        <w:t>a) Como recuerda, entre otros, el ATC 108/2017, FJ 5, “cuando lo que está en juego es la depuración del ordenamiento jurídico, ‘es carga del órgano judicial, no solo la de abrir la vía para que el Tribunal pueda pronunciarse, sino también la de colaborar con la justicia del Tribunal mediante un pormenorizado análisis de las graves cuestiones que se suscitan’ (SSTC 126/1987, de 16 de julio, FJ 3; 245/2004, de 16 de diciembre, FJ 3; 100/2012, de 8 de mayo, FJ 2; 60/2013, de 13 de marzo, FJ 2, y 110/2015, de 28 de mayo, FJ 11). En particular, es necesario que el razonamiento que cuestiona la constitucionalidad se exteriorice, proporcionando los elementos que lleven al mismo, de tal manera que las cuestiones solo pueden considerarse correctamente planteadas en relación con aquellos preceptos cuya vulneración resulte mínimamente fundada (SSTC 126/1987, FJ 3; 245/2004, FJ 3, y 100/2012, FJ 2)”.</w:t>
      </w:r>
    </w:p>
    <w:p w14:paraId="4436D724" w14:textId="77777777" w:rsidR="00576A90" w:rsidRDefault="00576A90" w:rsidP="00576A90">
      <w:pPr>
        <w:pStyle w:val="TextoNormal"/>
      </w:pPr>
    </w:p>
    <w:p w14:paraId="08662B1C" w14:textId="77777777" w:rsidR="00576A90" w:rsidRDefault="00576A90" w:rsidP="00576A90">
      <w:pPr>
        <w:pStyle w:val="TextoNormal"/>
      </w:pPr>
      <w:r>
        <w:t>Sigue dicha sentencia afirmando que “este Tribunal ha considerado ‘notoriamente infundada’ y ha inadmitido en consecuencia la correspondiente cuestión de inconstitucionalidad, cuando el órgano judicial omite la consideración de elementos fundamentales que inciden en su duda de constitucionalidad (entre otros, AATC 301/2014, de 16 de diciembre, FJ 4; 180/2015, de 3 de noviembre, FJ 4, y 104/2016, de 10 de mayo, FJ 2)”.</w:t>
      </w:r>
    </w:p>
    <w:p w14:paraId="0FECA712" w14:textId="77777777" w:rsidR="00576A90" w:rsidRDefault="00576A90" w:rsidP="00576A90">
      <w:pPr>
        <w:pStyle w:val="TextoNormal"/>
      </w:pPr>
    </w:p>
    <w:p w14:paraId="4254415F" w14:textId="77777777" w:rsidR="00576A90" w:rsidRDefault="00576A90" w:rsidP="00576A90">
      <w:pPr>
        <w:pStyle w:val="TextoNormal"/>
      </w:pPr>
      <w:r>
        <w:t xml:space="preserve">b) Como hemos puesto de relieve con anterioridad, la duda expresada en el auto de planteamiento de la cuestión de inconstitucionalidad se concretaría en que la aplicación de la regla general de inembargabilidad del art. 607 LEC a la ejecución o el aseguramiento cautelar del derecho a percibir una pensión compensatoria reconocido en una sentencia de divorcio o separación resulta contraria al art. 24 CE, en la vertiente del derecho a que las resoluciones judiciales firmes se ejecuten, y al art. 14 CE, por discriminación indirecta por razón de sexo. El fiscal general del Estado alega que, atendiendo a la fundamentación de </w:t>
      </w:r>
      <w:r>
        <w:lastRenderedPageBreak/>
        <w:t>la cuestión de inconstitucionalidad, se estaría planteando más que una duda de constitucionalidad del precepto cuestionado, un problema de legalidad ordinaria sobre la interpretación de los arts. 97 CC y 608 LEC.</w:t>
      </w:r>
    </w:p>
    <w:p w14:paraId="414ACA81" w14:textId="77777777" w:rsidR="00576A90" w:rsidRDefault="00576A90" w:rsidP="00576A90">
      <w:pPr>
        <w:pStyle w:val="TextoNormal"/>
      </w:pPr>
    </w:p>
    <w:p w14:paraId="24E00A03" w14:textId="77777777" w:rsidR="00576A90" w:rsidRDefault="00576A90" w:rsidP="00576A90">
      <w:pPr>
        <w:pStyle w:val="TextoNormal"/>
      </w:pPr>
      <w:r>
        <w:t xml:space="preserve">El procedimiento </w:t>
      </w:r>
      <w:r w:rsidRPr="00576A90">
        <w:rPr>
          <w:i/>
        </w:rPr>
        <w:t>a quo</w:t>
      </w:r>
      <w:r>
        <w:t xml:space="preserve"> versa sobre la pensión compensatoria por desequilibrio económico a favor de la esposa, fijada en sentencia, regulada en el art. 97 CC. Lo que se discute es, si en la ejecución de dicha sentencia resulta de aplicación el art. 607 LEC que establece límites al embargo de sueldos y pensiones o el art. 608 LEC que, precisamente, excluye la aplicación del art. 607 LEC “cuando se proceda por ejecución de sentencia que condene al pago de alimentos, en todos los casos en que la obligación de satisfacerlos nazca directamente de la ley, incluyendo los pronunciamientos de las sentencias dictadas en procesos de nulidad, separación o divorcio sobre alimentos debidos al cónyuge o a los hijos o de los decretos o escrituras públicas que formalicen el convenio regulador que los establezcan. En estos casos, así como en los de las medidas cautelares correspondientes, el tribunal fijará la cantidad que puede ser embargada”. Por tanto, la aplicación del art. 607 LEC de lo que depende, a su vez, es de la interpretación del art. 97 CC y del art. 608 LEC, es decir, si la pensión compensatoria se compadece de la misma naturaleza que una pensión de alimentos. Sin embargo, tal cuestión es claramente una cuestión de legalidad ordinaria, lo que ya advirtió este tribunal en la STC 79/2015, de 30 de abril, FJ 4, cuando afirmó que “[c]uestión distinta es que jueces y tribunales, en el ejercicio de su función jurisdiccional, determinen si pensiones reconocidas tras la desaparición del vínculo matrimonial y que han sido calificadas formalmente como alimenticias, deban ser consideradas o no como pensiones compensatorias de acuerdo con las circunstancias concretas del caso que estén conociendo”.</w:t>
      </w:r>
    </w:p>
    <w:p w14:paraId="35DF7CF1" w14:textId="77777777" w:rsidR="00576A90" w:rsidRDefault="00576A90" w:rsidP="00576A90">
      <w:pPr>
        <w:pStyle w:val="TextoNormal"/>
      </w:pPr>
    </w:p>
    <w:p w14:paraId="59AEA9DD" w14:textId="77777777" w:rsidR="00576A90" w:rsidRDefault="00576A90" w:rsidP="00576A90">
      <w:pPr>
        <w:pStyle w:val="TextoNormal"/>
      </w:pPr>
      <w:r>
        <w:t>c) La interpretación que realiza el órgano judicial no es la única posible porque, como él mismo manifiesta, algunas audiencias provinciales han aplicado el art. 608 LEC a las pensiones compensatorias.</w:t>
      </w:r>
    </w:p>
    <w:p w14:paraId="43E94A5D" w14:textId="77777777" w:rsidR="00576A90" w:rsidRDefault="00576A90" w:rsidP="00576A90">
      <w:pPr>
        <w:pStyle w:val="TextoNormal"/>
      </w:pPr>
    </w:p>
    <w:p w14:paraId="2434ED87" w14:textId="77777777" w:rsidR="00576A90" w:rsidRDefault="00576A90" w:rsidP="00576A90">
      <w:pPr>
        <w:pStyle w:val="TextoNormal"/>
      </w:pPr>
      <w:r>
        <w:t>Al margen de la corrección de la argumentación del órgano judicial, debemos convenir con el fiscal general del Estado que el órgano judicial no ha justificado suficientemente que tal interpretación no sea posible, y no ha fundamentado las razones que le llevan a considerarse sujeto a una opción interpretativa en detrimento de la otra.</w:t>
      </w:r>
    </w:p>
    <w:p w14:paraId="308741BC" w14:textId="77777777" w:rsidR="00576A90" w:rsidRDefault="00576A90" w:rsidP="00576A90">
      <w:pPr>
        <w:pStyle w:val="TextoNormal"/>
      </w:pPr>
    </w:p>
    <w:p w14:paraId="2AFAC929" w14:textId="77777777" w:rsidR="00576A90" w:rsidRDefault="00576A90" w:rsidP="00576A90">
      <w:pPr>
        <w:pStyle w:val="TextoNormal"/>
      </w:pPr>
      <w:r>
        <w:t xml:space="preserve">Las razones que esgrime el órgano judicial para afirmar que el art. 608 LEC no es aplicable a la pensión compensatoria no son suficientes, en tanto el tenor literal del art. 608 LEC, de manera excepcional, establece que cabe el embargo para el pago de alimentos, establecidos en sentencias dictadas en procesos de nulidad, separación o divorcio. Dado que no hay pensión de alimentos en dichos pronunciamientos, algunos órganos judiciales sustentan su interpretación en que el precepto se refiere a las pensiones compensatorias. En este sentido, resulta relevante que, como se ha dado cuenta en los antecedentes de esta resolución, el órgano judicial que ahora plantea la cuestión de inconstitucionalidad entendió, en un proceso judicial anterior, al denegar la revisión de la cuantía de la pensión compensatoria a la que se refiere el procedimiento </w:t>
      </w:r>
      <w:r w:rsidRPr="00576A90">
        <w:rPr>
          <w:i/>
        </w:rPr>
        <w:t>a quo</w:t>
      </w:r>
      <w:r>
        <w:t>, que la misma tenía un componente alimenticio.</w:t>
      </w:r>
    </w:p>
    <w:p w14:paraId="1BA35C6A" w14:textId="77777777" w:rsidR="00576A90" w:rsidRDefault="00576A90" w:rsidP="00576A90">
      <w:pPr>
        <w:pStyle w:val="TextoNormal"/>
      </w:pPr>
    </w:p>
    <w:p w14:paraId="5141D187" w14:textId="77777777" w:rsidR="00576A90" w:rsidRDefault="00576A90" w:rsidP="00576A90">
      <w:pPr>
        <w:pStyle w:val="TextoNormal"/>
      </w:pPr>
      <w:r>
        <w:t xml:space="preserve">En todo caso, ha de tenerse en cuenta que, como señala la STC 207/2014, de 15 de diciembre, FJ 4, “la finalidad de la cuestión de inconstitucionalidad no es en modo alguno </w:t>
      </w:r>
      <w:r>
        <w:lastRenderedPageBreak/>
        <w:t>resolver controversias interpretativas sobre la legalidad, surgidas entre órganos jurisdiccionales o dudas sobre el alcance de determinado precepto legal, para lo cual el ordenamiento jurídico dispone de otros cauces”.</w:t>
      </w:r>
    </w:p>
    <w:p w14:paraId="34D40DDE" w14:textId="77777777" w:rsidR="00576A90" w:rsidRDefault="00576A90" w:rsidP="00576A90">
      <w:pPr>
        <w:pStyle w:val="TextoNormal"/>
      </w:pPr>
    </w:p>
    <w:p w14:paraId="6FA421DE" w14:textId="77777777" w:rsidR="00576A90" w:rsidRDefault="00576A90" w:rsidP="00576A90">
      <w:pPr>
        <w:pStyle w:val="TextoNormal"/>
      </w:pPr>
      <w:r>
        <w:t>d) Las vulneraciones que aprecia el órgano judicial derivan de la aplicación del art. 607 LEC a un supuesto muy concreto, a la ejecución o el aseguramiento del derecho a la pensión compensatoria, pero, como hemos señalado con anterioridad, en la argumentación que sustenta la duda de constitucionalidad tampoco tiene en cuenta la posible existencia de otros bienes para hacer frente a la deuda (art. 1911 CC), para hacer efectivo el derecho de crédito nacido de la pensión compensatoria.</w:t>
      </w:r>
    </w:p>
    <w:p w14:paraId="4B778391" w14:textId="77777777" w:rsidR="00576A90" w:rsidRDefault="00576A90" w:rsidP="00576A90">
      <w:pPr>
        <w:pStyle w:val="TextoNormal"/>
      </w:pPr>
    </w:p>
    <w:p w14:paraId="6074310E" w14:textId="77777777" w:rsidR="00576A90" w:rsidRDefault="00576A90" w:rsidP="00576A90">
      <w:pPr>
        <w:pStyle w:val="TextoNormal"/>
      </w:pPr>
      <w:r>
        <w:t>e) Por último, ha de tenerse en cuenta que, según se infiere del auto de planteamiento de la cuestión de inconstitucionalidad, el órgano judicial parece discutir el sistema establecido en la Ley de enjuiciamiento civil en su aplicación a las pensiones compensatorias y, como se afirmó en los AATC 91/2020, de 9 de septiembre, FJ 3, y 532/2023 y 535/2023, ambos de 6 de noviembre, FJ 9, “debe advertirse que la cuestión de inconstitucionalidad no es cauce procesal idóneo para que los órganos jurisdiccionales puedan cuestionar de modo genérico o abstracto la constitucionalidad de un régimen o esquema legal por contraste con un modelo alternativo que no corresponde valorar a este Tribunal Constitucional por ser materia de la exclusiva competencia del legislador, que dispone, dentro de los límites constitucionales, de un amplio margen de libertad de elección que este tribunal ni puede ni debe restringir (en este sentido, AATC 113/2011, de 19 de julio, FJ 4)”.</w:t>
      </w:r>
    </w:p>
    <w:p w14:paraId="3BB50477" w14:textId="77777777" w:rsidR="00576A90" w:rsidRDefault="00576A90" w:rsidP="00576A90">
      <w:pPr>
        <w:pStyle w:val="TextoNormal"/>
      </w:pPr>
    </w:p>
    <w:p w14:paraId="1024B69D" w14:textId="04F85311" w:rsidR="00576A90" w:rsidRDefault="00576A90" w:rsidP="00576A90">
      <w:pPr>
        <w:pStyle w:val="TextoNormal"/>
      </w:pPr>
      <w:r>
        <w:t>En consecuencia, las dudas de constitucionalidad, en los términos en los que han sido planteadas carecen de viabilidad suficiente y han de considerarse notoriamente infundadas, a los efectos previstos en el art. 37.1 LOTC.</w:t>
      </w:r>
    </w:p>
    <w:p w14:paraId="5D8EB7B9" w14:textId="77777777" w:rsidR="00576A90" w:rsidRDefault="00576A90" w:rsidP="00576A90">
      <w:pPr>
        <w:pStyle w:val="TextoNormal"/>
      </w:pPr>
    </w:p>
    <w:p w14:paraId="1B8E2A0A" w14:textId="77777777" w:rsidR="00576A90" w:rsidRDefault="00576A90" w:rsidP="00576A90">
      <w:pPr>
        <w:pStyle w:val="TextoNormal"/>
      </w:pPr>
      <w:r>
        <w:t>Por lo expuesto, el Pleno</w:t>
      </w:r>
    </w:p>
    <w:p w14:paraId="5EA91BC6" w14:textId="189B5EBD" w:rsidR="00576A90" w:rsidRDefault="00576A90" w:rsidP="00576A90">
      <w:pPr>
        <w:pStyle w:val="TextoNormal"/>
      </w:pPr>
    </w:p>
    <w:p w14:paraId="3C7BC37D" w14:textId="77777777" w:rsidR="00576A90" w:rsidRDefault="00576A90" w:rsidP="00576A90">
      <w:pPr>
        <w:pStyle w:val="TextoNormalCentrado"/>
      </w:pPr>
      <w:r>
        <w:t>ACUERDA</w:t>
      </w:r>
    </w:p>
    <w:p w14:paraId="7770DDF0" w14:textId="3FFF3407" w:rsidR="00576A90" w:rsidRDefault="00576A90" w:rsidP="00576A90">
      <w:pPr>
        <w:pStyle w:val="TextoNormalCentrado"/>
      </w:pPr>
    </w:p>
    <w:p w14:paraId="1B4770B5" w14:textId="1EBB882D" w:rsidR="00576A90" w:rsidRDefault="00576A90" w:rsidP="00576A90">
      <w:pPr>
        <w:pStyle w:val="TextoNormal"/>
      </w:pPr>
      <w:r>
        <w:t>Inadmitir a trámite la presente cuestión de inconstitucionalidad.</w:t>
      </w:r>
    </w:p>
    <w:p w14:paraId="651D71FB" w14:textId="77777777" w:rsidR="00576A90" w:rsidRDefault="00576A90" w:rsidP="00576A90">
      <w:pPr>
        <w:pStyle w:val="TextoNormal"/>
      </w:pPr>
    </w:p>
    <w:p w14:paraId="73C35333" w14:textId="77777777" w:rsidR="00576A90" w:rsidRDefault="00576A90" w:rsidP="00576A90">
      <w:pPr>
        <w:pStyle w:val="TextoNormal"/>
      </w:pPr>
      <w:r>
        <w:t>Madrid, a veintisiete de febrero de dos mil veinticuatro.</w:t>
      </w:r>
    </w:p>
    <w:p w14:paraId="05285357" w14:textId="7711E79A" w:rsidR="00576A90" w:rsidRDefault="00576A90">
      <w:pPr>
        <w:spacing w:after="160" w:line="259" w:lineRule="auto"/>
        <w:rPr>
          <w:rFonts w:ascii="Times New Roman" w:eastAsia="Times New Roman" w:hAnsi="Times New Roman" w:cs="Times New Roman"/>
          <w:sz w:val="24"/>
          <w:szCs w:val="24"/>
          <w:lang w:eastAsia="es-ES"/>
        </w:rPr>
      </w:pPr>
      <w:r>
        <w:br w:type="page"/>
      </w:r>
    </w:p>
    <w:p w14:paraId="380BB169" w14:textId="77777777" w:rsidR="00576A90" w:rsidRDefault="00576A90" w:rsidP="00576A90">
      <w:pPr>
        <w:pStyle w:val="TtuloResolucin"/>
      </w:pPr>
      <w:bookmarkStart w:id="116" w:name="AUTO_2024_21"/>
      <w:r>
        <w:lastRenderedPageBreak/>
        <w:t>AUTO 21/2024, de 27 de febrero de 2024</w:t>
      </w:r>
    </w:p>
    <w:bookmarkEnd w:id="116"/>
    <w:p w14:paraId="1B91606C" w14:textId="77777777" w:rsidR="00576A90" w:rsidRDefault="00576A90" w:rsidP="00576A90">
      <w:pPr>
        <w:pStyle w:val="TtuloResolucin"/>
      </w:pPr>
      <w:r>
        <w:t>Pleno</w:t>
      </w:r>
    </w:p>
    <w:p w14:paraId="0FE083C7" w14:textId="77777777" w:rsidR="00576A90" w:rsidRDefault="00576A90" w:rsidP="00576A90">
      <w:pPr>
        <w:pStyle w:val="TtuloBOE"/>
      </w:pPr>
      <w:r>
        <w:t>(BOE núm. 82, de 3 de abril de 2024)</w:t>
      </w:r>
    </w:p>
    <w:p w14:paraId="443AE40A" w14:textId="77777777" w:rsidR="00576A90" w:rsidRDefault="00576A90" w:rsidP="00576A90">
      <w:pPr>
        <w:pStyle w:val="TextoNormalCentrado"/>
      </w:pPr>
      <w:r>
        <w:t>ECLI:ES:TC:2024:21A</w:t>
      </w:r>
    </w:p>
    <w:p w14:paraId="3D7E0D11" w14:textId="27C824DC" w:rsidR="00576A90" w:rsidRDefault="00576A90" w:rsidP="00576A90">
      <w:pPr>
        <w:pStyle w:val="TextoNormalCentrado"/>
      </w:pPr>
    </w:p>
    <w:p w14:paraId="7DC3AA51" w14:textId="77777777" w:rsidR="00576A90" w:rsidRDefault="00576A90" w:rsidP="00576A90">
      <w:pPr>
        <w:pStyle w:val="SntesisDescriptiva"/>
      </w:pPr>
      <w:r>
        <w:t>Excms. Srs. don Cándido Conde-Pumpido Tourón, doña Inmaculada Montalbán Huertas, don Ricardo Enríquez Sancho, doña María Luisa Balaguer Callejón, don Ramón Sáez Valcárcel, doña Concepción Espejel Jorquera, doña María Luisa Segoviano Astaburuaga, don César Tolosa Tribiño, don Juan Carlos Campo Moreno y doña Laura Díez Bueso.</w:t>
      </w:r>
    </w:p>
    <w:p w14:paraId="5047FE69" w14:textId="63B3A4BC" w:rsidR="00576A90" w:rsidRDefault="00576A90" w:rsidP="00576A90">
      <w:pPr>
        <w:pStyle w:val="SntesisDescriptiva"/>
      </w:pPr>
    </w:p>
    <w:p w14:paraId="1A130C7C" w14:textId="77777777" w:rsidR="00576A90" w:rsidRDefault="00576A90" w:rsidP="00576A90">
      <w:pPr>
        <w:pStyle w:val="SntesisDescriptiva"/>
      </w:pPr>
      <w:r>
        <w:t>Mantiene parcialmente la suspensión en el recurso de inconstitucionalidad 6243-2023, interpuesto por el presidente del Gobierno en relación con diversos preceptos de la Ley del Parlamento de Galicia 7/2022, de 27 de diciembre, de medidas fiscales y administrativas.</w:t>
      </w:r>
    </w:p>
    <w:p w14:paraId="122BC5C2" w14:textId="401C55C4" w:rsidR="00576A90" w:rsidRDefault="00576A90" w:rsidP="00576A90">
      <w:pPr>
        <w:pStyle w:val="SntesisDescriptiva"/>
      </w:pPr>
    </w:p>
    <w:p w14:paraId="167A404E" w14:textId="77777777" w:rsidR="00576A90" w:rsidRDefault="00576A90" w:rsidP="00576A90">
      <w:pPr>
        <w:pStyle w:val="SntesisDescriptiva"/>
      </w:pPr>
    </w:p>
    <w:p w14:paraId="388EB8E4" w14:textId="77777777" w:rsidR="00576A90" w:rsidRDefault="00576A90" w:rsidP="00576A90">
      <w:pPr>
        <w:pStyle w:val="SntesisDescriptiva"/>
      </w:pPr>
    </w:p>
    <w:p w14:paraId="60AD5A37" w14:textId="77777777" w:rsidR="00576A90" w:rsidRDefault="00576A90" w:rsidP="00576A90">
      <w:pPr>
        <w:pStyle w:val="TextoNormalNegritaCentrado"/>
      </w:pPr>
      <w:r>
        <w:t>AUTO</w:t>
      </w:r>
    </w:p>
    <w:p w14:paraId="21C49458" w14:textId="0D7BC7D1" w:rsidR="00576A90" w:rsidRDefault="00576A90" w:rsidP="00576A90">
      <w:pPr>
        <w:pStyle w:val="TextoNormalNegritaCentrado"/>
      </w:pPr>
    </w:p>
    <w:p w14:paraId="4334E68A" w14:textId="77777777" w:rsidR="00576A90" w:rsidRDefault="00576A90" w:rsidP="00576A90">
      <w:pPr>
        <w:pStyle w:val="TextoNormalNegritaCentrado"/>
        <w:keepNext/>
      </w:pPr>
      <w:r>
        <w:t>I. Antecedentes</w:t>
      </w:r>
    </w:p>
    <w:p w14:paraId="15DA9921" w14:textId="7E31451A" w:rsidR="00576A90" w:rsidRDefault="00576A90" w:rsidP="00576A90">
      <w:pPr>
        <w:pStyle w:val="TextoNormalNegritaCentrado"/>
        <w:keepNext/>
      </w:pPr>
    </w:p>
    <w:p w14:paraId="143E4881" w14:textId="77777777" w:rsidR="00576A90" w:rsidRDefault="00576A90" w:rsidP="00576A90">
      <w:pPr>
        <w:pStyle w:val="TextoNormal"/>
      </w:pPr>
      <w:r w:rsidRPr="00576A90">
        <w:rPr>
          <w:rStyle w:val="NumeroAFNegritaCaracter"/>
        </w:rPr>
        <w:t>1</w:t>
      </w:r>
      <w:r>
        <w:t>. Mediante escrito presentado en el registro de este Tribunal Constitucional el día 28 de septiembre de 2023, el abogado del Estado interpuso recurso de inconstitucionalidad en nombre del presidente del Gobierno contra los artículos 10 y 11 y la disposición transitoria primera de la Ley del Parlamento de Galicia 7/2022, de 27 de diciembre, de medidas fiscales y administrativas (en adelante, Ley 7/2022).</w:t>
      </w:r>
    </w:p>
    <w:p w14:paraId="5109539C" w14:textId="77777777" w:rsidR="00576A90" w:rsidRDefault="00576A90" w:rsidP="00576A90">
      <w:pPr>
        <w:pStyle w:val="TextoNormal"/>
      </w:pPr>
    </w:p>
    <w:p w14:paraId="747995E2" w14:textId="49647A68" w:rsidR="00576A90" w:rsidRDefault="00576A90" w:rsidP="00576A90">
      <w:pPr>
        <w:pStyle w:val="TextoNormal"/>
      </w:pPr>
      <w:r>
        <w:t>El abogado del Estado invocó el art. 161.2 CE a fin de que se produjera la suspensión de la aplicación de las disposiciones impugnadas.</w:t>
      </w:r>
    </w:p>
    <w:p w14:paraId="7FF74D4B" w14:textId="77777777" w:rsidR="00576A90" w:rsidRDefault="00576A90" w:rsidP="00576A90">
      <w:pPr>
        <w:pStyle w:val="TextoNormal"/>
      </w:pPr>
    </w:p>
    <w:p w14:paraId="0C0FEAC0" w14:textId="0ED24D0E" w:rsidR="00576A90" w:rsidRDefault="00576A90" w:rsidP="00576A90">
      <w:pPr>
        <w:pStyle w:val="TextoNormal"/>
      </w:pPr>
      <w:r w:rsidRPr="00576A90">
        <w:rPr>
          <w:rStyle w:val="NumeroAFNegritaCaracter"/>
        </w:rPr>
        <w:t>2</w:t>
      </w:r>
      <w:r>
        <w:t>. Por providencia de 24 de octubre de 2023 el Pleno del Tribunal Constitucional acordó admitir a trámite el recurso de inconstitucionalidad; dar traslado de la demanda y documentos presentados, conforme establece el artículo 34 de la Ley Orgánica del Tribunal Constitucional (LOTC), al Congreso de los Diputados y al Senado, por conducto de sus presidentes, así como al Parlamento de Galicia y a la Xunta de Galicia, por conducto de sus presidentes, al objeto de que en el plazo de quince días, puedan personarse en el proceso y formular las alegaciones que estimaren convenientes; tener por invocado por el presidente del Gobierno el artículo 161.2 de la Constitución, lo que, a su tenor y conforme dispone el artículo 30 LOTC, produce la suspensión de la vigencia y aplicación del inciso impugnado desde la fecha de la interposición del recurso —28 de septiembre de 2023— para las partes del proceso y desde el día en que aparezca publicada la suspensión en el “Boletín Oficial del Estado” para los terceros, lo que se comunicaría a los presidentes del Parlamento de Galicia y de la Xunta de Galicia; y publicar la incoación del recurso en el “Boletín Oficial del Estado” y en el “Diario Oficial de Galicia”.</w:t>
      </w:r>
    </w:p>
    <w:p w14:paraId="7A6BBADC" w14:textId="77777777" w:rsidR="00576A90" w:rsidRDefault="00576A90" w:rsidP="00576A90">
      <w:pPr>
        <w:pStyle w:val="TextoNormal"/>
      </w:pPr>
    </w:p>
    <w:p w14:paraId="3BB23168" w14:textId="268D2E04" w:rsidR="00576A90" w:rsidRDefault="00576A90" w:rsidP="00576A90">
      <w:pPr>
        <w:pStyle w:val="TextoNormal"/>
      </w:pPr>
      <w:r w:rsidRPr="00576A90">
        <w:rPr>
          <w:rStyle w:val="NumeroAFNegritaCaracter"/>
        </w:rPr>
        <w:t>3</w:t>
      </w:r>
      <w:r>
        <w:t>. Por escrito presentado en este tribunal el día 6 de noviembre de 2023, el presidente del Senado comunica el acuerdo de la mesa de la Cámara de personarse en el procedimiento, ofreciendo su colaboración a los efectos del artículo 88.1 LOTC. La misma co</w:t>
      </w:r>
      <w:r>
        <w:lastRenderedPageBreak/>
        <w:t>municación fue realizada por la presidenta del Congreso de los Diputados mediante escrito registrado el 8 de noviembre de 2023.</w:t>
      </w:r>
    </w:p>
    <w:p w14:paraId="3E4C65E5" w14:textId="77777777" w:rsidR="00576A90" w:rsidRDefault="00576A90" w:rsidP="00576A90">
      <w:pPr>
        <w:pStyle w:val="TextoNormal"/>
      </w:pPr>
    </w:p>
    <w:p w14:paraId="26A915E2" w14:textId="3FB941A3" w:rsidR="00576A90" w:rsidRDefault="00576A90" w:rsidP="00576A90">
      <w:pPr>
        <w:pStyle w:val="TextoNormal"/>
      </w:pPr>
      <w:r w:rsidRPr="00576A90">
        <w:rPr>
          <w:rStyle w:val="NumeroAFNegritaCaracter"/>
        </w:rPr>
        <w:t>4</w:t>
      </w:r>
      <w:r>
        <w:t>. Mediante escrito registrado el 10 de noviembre de 2023, el letrado de la Xunta de Galicia se personó en el procedimiento, solicitando la prórroga del plazo para formular alegaciones por el máximo legal del plazo concedido.</w:t>
      </w:r>
    </w:p>
    <w:p w14:paraId="4E49AB1A" w14:textId="77777777" w:rsidR="00576A90" w:rsidRDefault="00576A90" w:rsidP="00576A90">
      <w:pPr>
        <w:pStyle w:val="TextoNormal"/>
      </w:pPr>
    </w:p>
    <w:p w14:paraId="5AA93EB1" w14:textId="29D70037" w:rsidR="00576A90" w:rsidRDefault="00576A90" w:rsidP="00576A90">
      <w:pPr>
        <w:pStyle w:val="TextoNormal"/>
      </w:pPr>
      <w:r w:rsidRPr="00576A90">
        <w:rPr>
          <w:rStyle w:val="NumeroAFNegritaCaracter"/>
        </w:rPr>
        <w:t>5</w:t>
      </w:r>
      <w:r>
        <w:t>. Por diligencia de ordenación de 13 de noviembre de 2023, se tuvo por personado al letrado de la Xunta de Galicia y se acordó prorrogar en ocho días el plazo concedido para formular alegaciones.</w:t>
      </w:r>
    </w:p>
    <w:p w14:paraId="280BC518" w14:textId="77777777" w:rsidR="00576A90" w:rsidRDefault="00576A90" w:rsidP="00576A90">
      <w:pPr>
        <w:pStyle w:val="TextoNormal"/>
      </w:pPr>
    </w:p>
    <w:p w14:paraId="7883727F" w14:textId="6DB5F7A9" w:rsidR="00576A90" w:rsidRDefault="00576A90" w:rsidP="00576A90">
      <w:pPr>
        <w:pStyle w:val="TextoNormal"/>
      </w:pPr>
      <w:r w:rsidRPr="00576A90">
        <w:rPr>
          <w:rStyle w:val="NumeroAFNegritaCaracter"/>
        </w:rPr>
        <w:t>6</w:t>
      </w:r>
      <w:r>
        <w:t>. Mediante escrito presentado el 14 de noviembre de 2023, el Parlamento de Galicia, representado y defendido por los letrados de sus servicios jurídicos, se personó en el procedimiento y formuló alegaciones en relación con el recurso de inconstitucionalidad.</w:t>
      </w:r>
    </w:p>
    <w:p w14:paraId="69B916A3" w14:textId="77777777" w:rsidR="00576A90" w:rsidRDefault="00576A90" w:rsidP="00576A90">
      <w:pPr>
        <w:pStyle w:val="TextoNormal"/>
      </w:pPr>
    </w:p>
    <w:p w14:paraId="173A3C22" w14:textId="30219D39" w:rsidR="00576A90" w:rsidRDefault="00576A90" w:rsidP="00576A90">
      <w:pPr>
        <w:pStyle w:val="TextoNormal"/>
      </w:pPr>
      <w:r w:rsidRPr="00576A90">
        <w:rPr>
          <w:rStyle w:val="NumeroAFNegritaCaracter"/>
        </w:rPr>
        <w:t>7</w:t>
      </w:r>
      <w:r>
        <w:t>. El letrado de la Xunta de Galicia formuló sus alegaciones por escrito registrado el día 5 de diciembre de 2023.</w:t>
      </w:r>
    </w:p>
    <w:p w14:paraId="5C460E74" w14:textId="77777777" w:rsidR="00576A90" w:rsidRDefault="00576A90" w:rsidP="00576A90">
      <w:pPr>
        <w:pStyle w:val="TextoNormal"/>
      </w:pPr>
    </w:p>
    <w:p w14:paraId="11942159" w14:textId="19712713" w:rsidR="00576A90" w:rsidRDefault="00576A90" w:rsidP="00576A90">
      <w:pPr>
        <w:pStyle w:val="TextoNormal"/>
      </w:pPr>
      <w:r w:rsidRPr="00576A90">
        <w:rPr>
          <w:rStyle w:val="NumeroAFNegritaCaracter"/>
        </w:rPr>
        <w:t>8</w:t>
      </w:r>
      <w:r>
        <w:t>. Por diligencia de ordenación del secretario de justicia del Pleno de 12 de diciembre de 2023 se acordó que, próximo a finalizar el plazo de los cinco meses que señala el artículo 161.2 de la Constitución desde que se produjo la suspensión de los artículos 10 y 11 y la disposición transitoria primera de la Ley 7/2022, se oyese a las partes personadas para que, en el plazo de cinco días, expusiesen lo que considerasen conveniente acerca del mantenimiento o levantamiento de dicha suspensión.</w:t>
      </w:r>
    </w:p>
    <w:p w14:paraId="5A1DA211" w14:textId="77777777" w:rsidR="00576A90" w:rsidRDefault="00576A90" w:rsidP="00576A90">
      <w:pPr>
        <w:pStyle w:val="TextoNormal"/>
      </w:pPr>
    </w:p>
    <w:p w14:paraId="79F66499" w14:textId="77777777" w:rsidR="00576A90" w:rsidRDefault="00576A90" w:rsidP="00576A90">
      <w:pPr>
        <w:pStyle w:val="TextoNormal"/>
      </w:pPr>
      <w:r w:rsidRPr="00576A90">
        <w:rPr>
          <w:rStyle w:val="NumeroAFNegritaCaracter"/>
        </w:rPr>
        <w:t>9</w:t>
      </w:r>
      <w:r>
        <w:t>. Mediante escrito registrado el 18 de diciembre de 2023, el letrado de la Xunta de Galicia solicitó el levantamiento de la suspensión, sobre la base de las siguientes consideraciones:</w:t>
      </w:r>
    </w:p>
    <w:p w14:paraId="1058A8AB" w14:textId="77777777" w:rsidR="00576A90" w:rsidRDefault="00576A90" w:rsidP="00576A90">
      <w:pPr>
        <w:pStyle w:val="TextoNormal"/>
      </w:pPr>
    </w:p>
    <w:p w14:paraId="4D03431E" w14:textId="77777777" w:rsidR="00576A90" w:rsidRDefault="00576A90" w:rsidP="00576A90">
      <w:pPr>
        <w:pStyle w:val="TextoNormal"/>
      </w:pPr>
      <w:r>
        <w:t>a) Con cita de diversas resoluciones de este tribunal, pone de manifiesto que, en este incidente cautelar, se debe partir de la presunción de constitucionalidad de la ley autonómica, de que es al Gobierno central al que le corresponde demostrar los perjuicios irreparables que ocasionaría el levantamiento de la suspensión, de que tales perjuicios no pueden ser hipotéticos sino presentes y de que el interés general no es monopolio del Estado.</w:t>
      </w:r>
    </w:p>
    <w:p w14:paraId="62D71CF3" w14:textId="77777777" w:rsidR="00576A90" w:rsidRDefault="00576A90" w:rsidP="00576A90">
      <w:pPr>
        <w:pStyle w:val="TextoNormal"/>
      </w:pPr>
    </w:p>
    <w:p w14:paraId="234AC3E5" w14:textId="77777777" w:rsidR="00576A90" w:rsidRDefault="00576A90" w:rsidP="00576A90">
      <w:pPr>
        <w:pStyle w:val="TextoNormal"/>
      </w:pPr>
      <w:r>
        <w:t>b) Considera que, aunque el recurso de inconstitucionalidad se dirige formalmente contra los arts. 10 y 11 y la disposición transitoria primera de la Ley 7/2022, en realidad, de los preceptos impugnados solo se cuestiona el párrafo primero del artículo 10.1, el inciso final del artículo 11 y la disposición transitoria primera, que solo se recurre por conexión a los arts. 10 y 11, por lo que el examen acerca de la procedencia del levantamiento o el mantenimiento de la suspensión debería ceñirse únicamente a esto.</w:t>
      </w:r>
    </w:p>
    <w:p w14:paraId="5B51B739" w14:textId="77777777" w:rsidR="00576A90" w:rsidRDefault="00576A90" w:rsidP="00576A90">
      <w:pPr>
        <w:pStyle w:val="TextoNormal"/>
      </w:pPr>
    </w:p>
    <w:p w14:paraId="13D0F3BF" w14:textId="77777777" w:rsidR="00576A90" w:rsidRDefault="00576A90" w:rsidP="00576A90">
      <w:pPr>
        <w:pStyle w:val="TextoNormal"/>
      </w:pPr>
      <w:r>
        <w:t xml:space="preserve">c) En relación con el levantamiento de la suspensión del art. 10.1 de la Ley 7/2022, comienza señalando que la Ley 2/2013, de 29 de mayo, de protección y uso sostenible del litoral y de modificación de la Ley 22/1988, de 28 de julio, de costas, dio una nueva redacción, en lo que aquí interesa, a los artículos 92 y 95.1 de la Ley de costas (en adelante, </w:t>
      </w:r>
      <w:r>
        <w:lastRenderedPageBreak/>
        <w:t>LC), de donde resulta que la legislación estatal vigente, a diferencia de la redacción originaria, no regula nada sobre el plazo de la potestad de imponer la restitución de la legalidad cuando incide sobre la zona de servidumbre de protección de costas. Ello implica, a su juicio, que ese espacio normativo quede franco para que la ley autonómica lo ocupe, y así lo habría hecho a través del artículo 10.1 de la Ley 7/2022 al establecer un plazo máximo de quince años desde la terminación de las obras ilegales realizadas en la zona de servidumbre de protección de costas.</w:t>
      </w:r>
    </w:p>
    <w:p w14:paraId="3BBE3A5A" w14:textId="77777777" w:rsidR="00576A90" w:rsidRDefault="00576A90" w:rsidP="00576A90">
      <w:pPr>
        <w:pStyle w:val="TextoNormal"/>
      </w:pPr>
    </w:p>
    <w:p w14:paraId="6F472101" w14:textId="77777777" w:rsidR="00576A90" w:rsidRDefault="00576A90" w:rsidP="00576A90">
      <w:pPr>
        <w:pStyle w:val="TextoNormal"/>
      </w:pPr>
      <w:r>
        <w:t>El legislador autonómico gallego, ante el vacío normativo en la Ley de costas, interviene para otorgar seguridad jurídica sin impunidad, estableciendo un plazo —de quince años— muy amplio para el ejercicio de la imposición de la obligación de restitución, así como fijando que pasado ese plazo la edificación quede sometida a condicionantes estrictos y todo ello en coherencia con otras previsiones de la Ley de costas, pues quince años es el plazo que el legislador estatal prevé para que prescriba el deber de restitución una vez impuesto por la administración competente.</w:t>
      </w:r>
    </w:p>
    <w:p w14:paraId="6022CD1E" w14:textId="77777777" w:rsidR="00576A90" w:rsidRDefault="00576A90" w:rsidP="00576A90">
      <w:pPr>
        <w:pStyle w:val="TextoNormal"/>
      </w:pPr>
    </w:p>
    <w:p w14:paraId="0D24F377" w14:textId="77777777" w:rsidR="00576A90" w:rsidRDefault="00576A90" w:rsidP="00576A90">
      <w:pPr>
        <w:pStyle w:val="TextoNormal"/>
      </w:pPr>
      <w:r>
        <w:t>El legislador estatal podría cambiar de criterio y considerar que la determinación del plazo para la imposición de la obligación de reposición —incluida la determinación de que esa actuación administrativa no debe estar sujeta a plazo— debe ser implantada por el legislador estatal básico, pero mientras el legislador estatal no lo haga no puede pedir el mantenimiento de la suspensión ante el Tribunal Constitucional.</w:t>
      </w:r>
    </w:p>
    <w:p w14:paraId="6637A923" w14:textId="77777777" w:rsidR="00576A90" w:rsidRDefault="00576A90" w:rsidP="00576A90">
      <w:pPr>
        <w:pStyle w:val="TextoNormal"/>
      </w:pPr>
    </w:p>
    <w:p w14:paraId="7E605F32" w14:textId="77777777" w:rsidR="00576A90" w:rsidRDefault="00576A90" w:rsidP="00576A90">
      <w:pPr>
        <w:pStyle w:val="TextoNormal"/>
      </w:pPr>
      <w:r>
        <w:t>Continúa afirmando que la actuación concurrente de todas las administraciones con competencias confluyentes sobre las costas determina que difícilmente pueda hablarse de desprotección del espacio, a los efectos de decidir acerca del mantenimiento de la suspensión. Y añade que, de levantarse la suspensión, si finalmente se declarase inconstitucional el plazo de quince años previsto por la norma autonómica, el Tribunal Constitucional tiene la facultad de determinar cómo se aplicará la declaración de inconstitucionalidad a las declaraciones de prescripción que se pudiesen haber producido en vía administrativa, con el fin de evitar perjuicios al interés público.</w:t>
      </w:r>
    </w:p>
    <w:p w14:paraId="3A90219B" w14:textId="77777777" w:rsidR="00576A90" w:rsidRDefault="00576A90" w:rsidP="00576A90">
      <w:pPr>
        <w:pStyle w:val="TextoNormal"/>
      </w:pPr>
    </w:p>
    <w:p w14:paraId="7B92132A" w14:textId="77777777" w:rsidR="00576A90" w:rsidRDefault="00576A90" w:rsidP="00576A90">
      <w:pPr>
        <w:pStyle w:val="TextoNormal"/>
      </w:pPr>
      <w:r>
        <w:t>Por último, afirma que una razón para el levantamiento de la suspensión estriba en el principio de seguridad jurídica (art. 9.3 CE), haciendo especial énfasis en que el vacío normativo existente en la ley estatal afecta a una actuación administrativa que tiene una incidencia en el haz de derechos e intereses de los ciudadanos, y que la regla de prescripción que la ley gallega dispone no es infrecuente en otras legislaciones sectoriales, tanto en el ámbito estatal como en el autonómico.</w:t>
      </w:r>
    </w:p>
    <w:p w14:paraId="57DE1757" w14:textId="77777777" w:rsidR="00576A90" w:rsidRDefault="00576A90" w:rsidP="00576A90">
      <w:pPr>
        <w:pStyle w:val="TextoNormal"/>
      </w:pPr>
    </w:p>
    <w:p w14:paraId="7A025474" w14:textId="77777777" w:rsidR="00576A90" w:rsidRDefault="00576A90" w:rsidP="00576A90">
      <w:pPr>
        <w:pStyle w:val="TextoNormal"/>
      </w:pPr>
      <w:r>
        <w:t>d) Por lo que hace al artículo 11 de la Ley 7/2022, afirma que no hay ningún mandato contenido en el artículo 95.1 LC que resulte contradicho por el precepto impugnado, sino que el inciso recurrido completa la literalidad del segundo párrafo del artículo 95.1 LC, con la regulación del supuesto en que el recurso administrativo interpuesto no sea resuelto en plazo. Entiende, por ello, que no hay razones para mantener la suspensión del precepto autonómico impugnado, toda vez que el criterio seguido en este no solo respeta la Ley de costas, sino que reafirma el criterio establecido por la misma.</w:t>
      </w:r>
    </w:p>
    <w:p w14:paraId="243795CB" w14:textId="77777777" w:rsidR="00576A90" w:rsidRDefault="00576A90" w:rsidP="00576A90">
      <w:pPr>
        <w:pStyle w:val="TextoNormal"/>
      </w:pPr>
    </w:p>
    <w:p w14:paraId="3926256F" w14:textId="533396B0" w:rsidR="00576A90" w:rsidRDefault="00576A90" w:rsidP="00576A90">
      <w:pPr>
        <w:pStyle w:val="TextoNormal"/>
      </w:pPr>
      <w:r>
        <w:t xml:space="preserve">e) En cuanto a la disposición transitoria primera, afirma que solo se impugna por su conexión con los artículos 10 y 11 recurridos. En todo caso, con esta regulación se trata de </w:t>
      </w:r>
      <w:r>
        <w:lastRenderedPageBreak/>
        <w:t>dar una regla clara sobre la aplicación de tales preceptos y determinar sus efectos de cara a obras, actuaciones y construcciones existentes, y a procedimientos de restitución o reposición de la legalidad pendientes de ejecución en el momento de entrada en vigor de la Ley 7/2022.</w:t>
      </w:r>
    </w:p>
    <w:p w14:paraId="1E9D9947" w14:textId="77777777" w:rsidR="00576A90" w:rsidRDefault="00576A90" w:rsidP="00576A90">
      <w:pPr>
        <w:pStyle w:val="TextoNormal"/>
      </w:pPr>
    </w:p>
    <w:p w14:paraId="3D574016" w14:textId="77777777" w:rsidR="00576A90" w:rsidRDefault="00576A90" w:rsidP="00576A90">
      <w:pPr>
        <w:pStyle w:val="TextoNormal"/>
      </w:pPr>
      <w:r w:rsidRPr="00576A90">
        <w:rPr>
          <w:rStyle w:val="NumeroAFNegritaCaracter"/>
        </w:rPr>
        <w:t>10</w:t>
      </w:r>
      <w:r>
        <w:t>. El abogado del Estado interesó el mantenimiento de la suspensión inicialmente acordada, mediante escrito registrado el 19 de diciembre de 2023, acompañado de un informe emitido por la Secretaría General Técnica del Ministerio para la Transición Ecológica y el Reto Demográfico.</w:t>
      </w:r>
    </w:p>
    <w:p w14:paraId="26529032" w14:textId="77777777" w:rsidR="00576A90" w:rsidRDefault="00576A90" w:rsidP="00576A90">
      <w:pPr>
        <w:pStyle w:val="TextoNormal"/>
      </w:pPr>
    </w:p>
    <w:p w14:paraId="5A51C124" w14:textId="77777777" w:rsidR="00576A90" w:rsidRDefault="00576A90" w:rsidP="00576A90">
      <w:pPr>
        <w:pStyle w:val="TextoNormal"/>
      </w:pPr>
      <w:r>
        <w:t>Afirma que el levantamiento de la suspensión conllevaría efectos negativos, permanentes e irreversibles en la zona de servidumbre de protección y, por ende, en el dominio público marítimo terrestre, que deben evitarse. De no suspenderse la vigencia de la Ley, los órganos judiciales, deberán declarar la prescripción de la obligación de restitución de las cosas y su reposición al estado anterior. Ello imposibilitaría, de manera definitiva, la recuperación de los terrenos degradados con construcciones ilegales, generando efectos irreversibles en el sustrato físico sobre el que se proyectarían esas resoluciones o sentencias, con el consiguiente deterioro irrecuperable del medio ambiente litoral, al perpetuar la existencia de obras e instalaciones sobre la servidumbre de protección que la pueden dañar de manera irreparable.</w:t>
      </w:r>
    </w:p>
    <w:p w14:paraId="6A44DCF4" w14:textId="77777777" w:rsidR="00576A90" w:rsidRDefault="00576A90" w:rsidP="00576A90">
      <w:pPr>
        <w:pStyle w:val="TextoNormal"/>
      </w:pPr>
    </w:p>
    <w:p w14:paraId="45F5EEAE" w14:textId="77777777" w:rsidR="00576A90" w:rsidRDefault="00576A90" w:rsidP="00576A90">
      <w:pPr>
        <w:pStyle w:val="TextoNormal"/>
      </w:pPr>
      <w:r>
        <w:t>A lo anterior añade, que la suspensión de los preceptos en modo alguno generará una situación de vacío normativo o desregulación con respecto a la situación ya existente de la que se derive una necesaria intervención del legislador autonómico, puesto que resultarán de aplicación las previsiones de la legislación estatal.</w:t>
      </w:r>
    </w:p>
    <w:p w14:paraId="528D401B" w14:textId="77777777" w:rsidR="00576A90" w:rsidRDefault="00576A90" w:rsidP="00576A90">
      <w:pPr>
        <w:pStyle w:val="TextoNormal"/>
      </w:pPr>
    </w:p>
    <w:p w14:paraId="414DB8B4" w14:textId="77777777" w:rsidR="00576A90" w:rsidRDefault="00576A90" w:rsidP="00576A90">
      <w:pPr>
        <w:pStyle w:val="TextoNormal"/>
      </w:pPr>
      <w:r>
        <w:t>Por su parte, el informe de la Secretaría General Técnica del Ministerio para la Transición Ecológica y el Reto Demográfico aporta una serie de datos sobre la superficie de terreno sobre la que se proyectan los efectos de los preceptos impugnados, para después abundar —en la línea de lo razonado por la Abogacía del Estado— en la necesidad de mantener la suspensión inicialmente acordada para asegurar la protección del medio ambiente costero, de interés preferente. En este sentido, se citan múltiples sentencias de la Sala de lo Contencioso-Administrativo del Tribunal Superior de Justicia de Galicia que reflejarían actuaciones en las que, de haber sido de aplicación el plazo de prescripción de quince años previsto en la Ley 7/2022, no se habría podido ejercitar la acción de restitución sobre las edificaciones ilegales existentes en la zona de servidumbre de protección con el consecuente daño a la costa. El informe concluye con varios ejemplos de expedientes de reposición en zona de servidumbre de protección de costas, ilustrados con imágenes, obtenidas de la página web de la Agencia de Protección de la Legalidad Urbanística de la Xunta de Galicia, de la situación anterior y posterior a la demolición de las obras correspondientes, que de haber sido aplicable la ley autonómica impugnada no habrían podido llevarse a cabo.</w:t>
      </w:r>
    </w:p>
    <w:p w14:paraId="50EAC609" w14:textId="77777777" w:rsidR="00576A90" w:rsidRDefault="00576A90" w:rsidP="00576A90">
      <w:pPr>
        <w:pStyle w:val="TextoNormal"/>
      </w:pPr>
    </w:p>
    <w:p w14:paraId="75B4D326" w14:textId="60D54CC5" w:rsidR="00576A90" w:rsidRDefault="00576A90" w:rsidP="00576A90">
      <w:pPr>
        <w:pStyle w:val="TextoNormal"/>
      </w:pPr>
      <w:r>
        <w:t xml:space="preserve">Concluye el informe afirmando que, de aplicarse las normas impugnadas, quedaría impedida o gravemente obstaculizada la acción de reposición de las cosas a su estado anterior, generando daños físicos irreparables en la zona de servidumbre de protección que constituye una medida esencial de protección medioambiental del espacio costero y que, </w:t>
      </w:r>
      <w:r>
        <w:lastRenderedPageBreak/>
        <w:t>en el caso de Galicia, se proyecta sobre una superficie superior a los 100 000 metros cuadrados.</w:t>
      </w:r>
    </w:p>
    <w:p w14:paraId="7871B37A" w14:textId="77777777" w:rsidR="00576A90" w:rsidRDefault="00576A90" w:rsidP="00576A90">
      <w:pPr>
        <w:pStyle w:val="TextoNormal"/>
      </w:pPr>
    </w:p>
    <w:p w14:paraId="13ADD13B" w14:textId="77777777" w:rsidR="00576A90" w:rsidRDefault="00576A90" w:rsidP="00576A90">
      <w:pPr>
        <w:pStyle w:val="TextoNormal"/>
      </w:pPr>
      <w:r w:rsidRPr="00576A90">
        <w:rPr>
          <w:rStyle w:val="NumeroAFNegritaCaracter"/>
        </w:rPr>
        <w:t>11</w:t>
      </w:r>
      <w:r>
        <w:t>. Los letrados del Parlamento de Galicia interesaron el levantamiento de la suspensión mediante escrito registrado en este tribunal el 9 de enero de 2024, en el que resumidamente se exponía lo siguiente:</w:t>
      </w:r>
    </w:p>
    <w:p w14:paraId="5B8F8871" w14:textId="77777777" w:rsidR="00576A90" w:rsidRDefault="00576A90" w:rsidP="00576A90">
      <w:pPr>
        <w:pStyle w:val="TextoNormal"/>
      </w:pPr>
    </w:p>
    <w:p w14:paraId="33EB5FD7" w14:textId="77777777" w:rsidR="00576A90" w:rsidRDefault="00576A90" w:rsidP="00576A90">
      <w:pPr>
        <w:pStyle w:val="TextoNormal"/>
      </w:pPr>
      <w:r>
        <w:t>a) La permanencia de la suspensión de la vigencia de los preceptos recurridos hasta la decisión del fondo del asunto en el procedimiento principal impide el pleno ejercicio de las competencias de la Comunidad Autónoma de Galicia que han quedado formalmente plasmadas en los preceptos impugnados, esto es, las competencias para el establecimiento de normas adicionales de protección (artículos 149.1.23 y 148.1.9 CE y 27.30 del Estatuto de Autonomía para Galicia, aprobado por la Ley Orgánica 1/1981, de 6 de abril) y las competencias exclusivas en materia de ordenación del territorio y del litoral, urbanismo y vivienda (artículos 148.1.3 CE y 27.3 del Estatuto de Autonomía para Galicia).</w:t>
      </w:r>
    </w:p>
    <w:p w14:paraId="10C56A9B" w14:textId="77777777" w:rsidR="00576A90" w:rsidRDefault="00576A90" w:rsidP="00576A90">
      <w:pPr>
        <w:pStyle w:val="TextoNormal"/>
      </w:pPr>
    </w:p>
    <w:p w14:paraId="4B27858D" w14:textId="77777777" w:rsidR="00576A90" w:rsidRDefault="00576A90" w:rsidP="00576A90">
      <w:pPr>
        <w:pStyle w:val="TextoNormal"/>
      </w:pPr>
      <w:r>
        <w:t>b) El legislador autonómico gallego dispuso que el plazo para el ejercicio de la competencia autonómica para imponer la obligación de reposición de la legalidad e indemnización fuese de quince años a contar desde la terminación de las obras o actuaciones contrarias a la legalidad. El precepto impugnado tiene por finalidad no solo contribuir a proteger el dominio público marítimo-terrestre en la franja de terreno sobre la que existe una servidumbre legal de protección, sino también garantizar la seguridad jurídica para los administrados. De no haberse establecido ningún plazo se habría contribuido a mantener una situación de inseguridad jurídica y se habría propiciado la arbitrariedad de la administración al quedar indefinidamente abierto el tiempo para adoptar el acuerdo de imposición de dicha obligación.</w:t>
      </w:r>
    </w:p>
    <w:p w14:paraId="6E125A43" w14:textId="77777777" w:rsidR="00576A90" w:rsidRDefault="00576A90" w:rsidP="00576A90">
      <w:pPr>
        <w:pStyle w:val="TextoNormal"/>
      </w:pPr>
    </w:p>
    <w:p w14:paraId="26D7793E" w14:textId="68DBE4B6" w:rsidR="00576A90" w:rsidRDefault="00576A90" w:rsidP="00576A90">
      <w:pPr>
        <w:pStyle w:val="TextoNormal"/>
      </w:pPr>
      <w:r>
        <w:t>c) El alzamiento de la suspensión no producirá ningún perjuicio de difícil o imposible reparación ni al Estado ni a la Comunidad Autónoma de Galicia, puesto que el plazo establecido es lo suficientemente largo. Por el contrario, el mantenimiento de la suspensión hasta la resolución del litigio supondría, por una parte, cuestionar la competencia autonómica y, por otra, perpetuar una situación de inseguridad jurídica para el ciudadano.</w:t>
      </w:r>
    </w:p>
    <w:p w14:paraId="3A8E93AB" w14:textId="77777777" w:rsidR="00576A90" w:rsidRDefault="00576A90" w:rsidP="00576A90">
      <w:pPr>
        <w:pStyle w:val="TextoNormal"/>
      </w:pPr>
    </w:p>
    <w:p w14:paraId="7A91FF68" w14:textId="77777777" w:rsidR="00576A90" w:rsidRDefault="00576A90" w:rsidP="00576A90">
      <w:pPr>
        <w:pStyle w:val="TextoNormalNegritaCentrado"/>
        <w:keepNext/>
      </w:pPr>
      <w:r>
        <w:t>II. Fundamentos jurídicos</w:t>
      </w:r>
    </w:p>
    <w:p w14:paraId="186EC579" w14:textId="6C9A67EE" w:rsidR="00576A90" w:rsidRDefault="00576A90" w:rsidP="00576A90">
      <w:pPr>
        <w:pStyle w:val="TextoNormalNegritaCentrado"/>
        <w:keepNext/>
      </w:pPr>
    </w:p>
    <w:p w14:paraId="3B942FD0" w14:textId="77777777" w:rsidR="00576A90" w:rsidRDefault="00576A90" w:rsidP="00576A90">
      <w:pPr>
        <w:pStyle w:val="TextoNormal"/>
      </w:pPr>
      <w:r w:rsidRPr="00576A90">
        <w:rPr>
          <w:rStyle w:val="NumeroAFNegritaCaracter"/>
        </w:rPr>
        <w:t>1</w:t>
      </w:r>
      <w:r>
        <w:t>. El objeto de la presente resolución consiste en determinar si procede levantar o mantener la suspensión de la vigencia de los arts. 10 y 11 y la disposición transitoria primera de la Ley del Parlamento de Galicia 7/2022, de 27 de diciembre, de medidas fiscales y administrativas. Estas disposiciones quedaron suspendidas en su vigencia y aplicación como consecuencia de la invocación del artículo 161.2 CE al interponerse el recurso de inconstitucionalidad por el presidente del Gobierno.</w:t>
      </w:r>
    </w:p>
    <w:p w14:paraId="3EB39DD2" w14:textId="77777777" w:rsidR="00576A90" w:rsidRDefault="00576A90" w:rsidP="00576A90">
      <w:pPr>
        <w:pStyle w:val="TextoNormal"/>
      </w:pPr>
    </w:p>
    <w:p w14:paraId="2015BEFF" w14:textId="77777777" w:rsidR="00576A90" w:rsidRDefault="00576A90" w:rsidP="00576A90">
      <w:pPr>
        <w:pStyle w:val="TextoNormal"/>
      </w:pPr>
      <w:r>
        <w:t>a) El artículo 10 de la Ley 7/2022 dispone:</w:t>
      </w:r>
    </w:p>
    <w:p w14:paraId="0CA9EE71" w14:textId="77777777" w:rsidR="00576A90" w:rsidRDefault="00576A90" w:rsidP="00576A90">
      <w:pPr>
        <w:pStyle w:val="TextoNormal"/>
      </w:pPr>
    </w:p>
    <w:p w14:paraId="544EF67D" w14:textId="77777777" w:rsidR="00576A90" w:rsidRDefault="00576A90" w:rsidP="00576A90">
      <w:pPr>
        <w:pStyle w:val="TextoNormal"/>
      </w:pPr>
      <w:r>
        <w:t>“Artículo 10. Ejercicio de las competencias de la Comunidad Autónoma de Galicia para la reposición de la legalidad en la zona de servidumbre de protección del dominio público marítimo-terrestre</w:t>
      </w:r>
    </w:p>
    <w:p w14:paraId="2E47A48B" w14:textId="77777777" w:rsidR="00576A90" w:rsidRDefault="00576A90" w:rsidP="00576A90">
      <w:pPr>
        <w:pStyle w:val="TextoNormal"/>
      </w:pPr>
    </w:p>
    <w:p w14:paraId="2A3485D4" w14:textId="77777777" w:rsidR="00576A90" w:rsidRDefault="00576A90" w:rsidP="00576A90">
      <w:pPr>
        <w:pStyle w:val="TextoNormal"/>
      </w:pPr>
      <w:r>
        <w:t>1. El ejercicio de las competencias que corresponden a la Comunidad Autónoma de Galicia para imponer la obligación de restitución de las cosas y reposición a su estado anterior, con la indemnización de los daños irreparables y pérdidas causadas, en el caso de obras y actuaciones contrarias a lo dispuesto en la legislación en materia de costas realizadas en la zona de servidumbre de protección del dominio público marítimo-terrestre, deberá producirse dentro de un plazo de quince años, a contar desde la terminación de las obras o actuaciones contrarias a la legalidad.</w:t>
      </w:r>
    </w:p>
    <w:p w14:paraId="3ACF1E10" w14:textId="77777777" w:rsidR="00576A90" w:rsidRDefault="00576A90" w:rsidP="00576A90">
      <w:pPr>
        <w:pStyle w:val="TextoNormal"/>
      </w:pPr>
    </w:p>
    <w:p w14:paraId="25541FD8" w14:textId="77777777" w:rsidR="00576A90" w:rsidRDefault="00576A90" w:rsidP="00576A90">
      <w:pPr>
        <w:pStyle w:val="TextoNormal"/>
      </w:pPr>
      <w:r>
        <w:t>Se tomará como fecha de terminación de las obras o actuaciones realizadas la que resulte de su efectiva comprobación por la administración actuante, salvo que quede debidamente probada la terminación de las mismas en otra fecha distinta por cualquier medio de prueba admitido en derecho.</w:t>
      </w:r>
    </w:p>
    <w:p w14:paraId="366A350F" w14:textId="77777777" w:rsidR="00576A90" w:rsidRDefault="00576A90" w:rsidP="00576A90">
      <w:pPr>
        <w:pStyle w:val="TextoNormal"/>
      </w:pPr>
    </w:p>
    <w:p w14:paraId="432176C5" w14:textId="77777777" w:rsidR="00576A90" w:rsidRDefault="00576A90" w:rsidP="00576A90">
      <w:pPr>
        <w:pStyle w:val="TextoNormal"/>
      </w:pPr>
      <w:r>
        <w:t>2. Transcurrido el plazo para imponer la obligación de restitución de las cosas y reposición a su estado anterior establecido en el número anterior sin que se haya impuesto dicha obligación, solo se podrán realizar, previa solicitud de autorización del órgano autonómico competente en materia de zona de servidumbre de protección, las obras imprescindibles para la conservación y el mantenimiento del uso preexistente, sin que puedan incrementar el valor expropiatorio.</w:t>
      </w:r>
    </w:p>
    <w:p w14:paraId="36607791" w14:textId="77777777" w:rsidR="00576A90" w:rsidRDefault="00576A90" w:rsidP="00576A90">
      <w:pPr>
        <w:pStyle w:val="TextoNormal"/>
      </w:pPr>
    </w:p>
    <w:p w14:paraId="29A96D34" w14:textId="77777777" w:rsidR="00576A90" w:rsidRDefault="00576A90" w:rsidP="00576A90">
      <w:pPr>
        <w:pStyle w:val="TextoNormal"/>
      </w:pPr>
      <w:r>
        <w:t>3. A los efectos de lo dispuesto en el número 1, se considerarán finalizadas aquellas construcciones que aparezcan reflejadas en las fotografías del vuelo de costas 1989-1991, recogidas en el plan nacional de ortofotografía aérea histórico”.</w:t>
      </w:r>
    </w:p>
    <w:p w14:paraId="1BD71647" w14:textId="77777777" w:rsidR="00576A90" w:rsidRDefault="00576A90" w:rsidP="00576A90">
      <w:pPr>
        <w:pStyle w:val="TextoNormal"/>
      </w:pPr>
    </w:p>
    <w:p w14:paraId="7DDE841A" w14:textId="77777777" w:rsidR="00576A90" w:rsidRDefault="00576A90" w:rsidP="00576A90">
      <w:pPr>
        <w:pStyle w:val="TextoNormal"/>
      </w:pPr>
      <w:r>
        <w:t>El artículo 11 de la Ley 7/2022 establece:</w:t>
      </w:r>
    </w:p>
    <w:p w14:paraId="07E0F8F5" w14:textId="77777777" w:rsidR="00576A90" w:rsidRDefault="00576A90" w:rsidP="00576A90">
      <w:pPr>
        <w:pStyle w:val="TextoNormal"/>
      </w:pPr>
    </w:p>
    <w:p w14:paraId="2BE0D8EF" w14:textId="77777777" w:rsidR="00576A90" w:rsidRDefault="00576A90" w:rsidP="00576A90">
      <w:pPr>
        <w:pStyle w:val="TextoNormal"/>
      </w:pPr>
      <w:r>
        <w:t>“Artículo 11. Prescripción de la obligación de restitución o reposición de la legalidad por infracciones reguladas en la normativa en materia de costas cometidas en la zona de servidumbre de protección del dominio público marítimo-terrestre</w:t>
      </w:r>
    </w:p>
    <w:p w14:paraId="4C06D3FD" w14:textId="77777777" w:rsidR="00576A90" w:rsidRDefault="00576A90" w:rsidP="00576A90">
      <w:pPr>
        <w:pStyle w:val="TextoNormal"/>
      </w:pPr>
    </w:p>
    <w:p w14:paraId="578A6E79" w14:textId="77777777" w:rsidR="00576A90" w:rsidRDefault="00576A90" w:rsidP="00576A90">
      <w:pPr>
        <w:pStyle w:val="TextoNormal"/>
      </w:pPr>
      <w:r>
        <w:t>El plazo de prescripción de quince años previsto en el párrafo segundo del apartado 1 del artículo 95 de la Ley 22/1988, de 28 de julio, de costas, en cuanto a la restitución de las cosas y reposición a su estado anterior, por infracciones en la zona de servidumbre de protección del dominio público marítimo-terrestre, comenzará a computarse desde el dictado del acto por el que la administración acuerde su imposición. Esta regla será igualmente aplicable a los supuestos en que se interponga recurso administrativo frente al acto y la administración incumpla su obligación de resolver el recurso en los plazos legalmente previstos”.</w:t>
      </w:r>
    </w:p>
    <w:p w14:paraId="1201D4DA" w14:textId="77777777" w:rsidR="00576A90" w:rsidRDefault="00576A90" w:rsidP="00576A90">
      <w:pPr>
        <w:pStyle w:val="TextoNormal"/>
      </w:pPr>
    </w:p>
    <w:p w14:paraId="5E52C01F" w14:textId="77777777" w:rsidR="00576A90" w:rsidRDefault="00576A90" w:rsidP="00576A90">
      <w:pPr>
        <w:pStyle w:val="TextoNormal"/>
      </w:pPr>
      <w:r>
        <w:t>Por último, la disposición transitoria primera tiene el siguiente tenor literal:</w:t>
      </w:r>
    </w:p>
    <w:p w14:paraId="736872CD" w14:textId="77777777" w:rsidR="00576A90" w:rsidRDefault="00576A90" w:rsidP="00576A90">
      <w:pPr>
        <w:pStyle w:val="TextoNormal"/>
      </w:pPr>
    </w:p>
    <w:p w14:paraId="1A9EE8F9" w14:textId="77777777" w:rsidR="00576A90" w:rsidRDefault="00576A90" w:rsidP="00576A90">
      <w:pPr>
        <w:pStyle w:val="TextoNormal"/>
      </w:pPr>
      <w:r>
        <w:t>“Disposición transitoria primera. Aplicación de las previsiones de esta ley en cuanto a la restitución o reposición de la legalidad por infracciones reguladas en la normativa en materia de costas cometidas en la zona de servidumbre de protección del dominio público marítimo-terrestre</w:t>
      </w:r>
    </w:p>
    <w:p w14:paraId="3A49D0F1" w14:textId="77777777" w:rsidR="00576A90" w:rsidRDefault="00576A90" w:rsidP="00576A90">
      <w:pPr>
        <w:pStyle w:val="TextoNormal"/>
      </w:pPr>
    </w:p>
    <w:p w14:paraId="34728939" w14:textId="77777777" w:rsidR="00576A90" w:rsidRDefault="00576A90" w:rsidP="00576A90">
      <w:pPr>
        <w:pStyle w:val="TextoNormal"/>
      </w:pPr>
      <w:r>
        <w:lastRenderedPageBreak/>
        <w:t>1. Lo dispuesto en el artículo 10 será aplicable a las obras, actuaciones y construcciones existentes en el momento de la entrada en vigor de esta ley.</w:t>
      </w:r>
    </w:p>
    <w:p w14:paraId="1225394B" w14:textId="77777777" w:rsidR="00576A90" w:rsidRDefault="00576A90" w:rsidP="00576A90">
      <w:pPr>
        <w:pStyle w:val="TextoNormal"/>
      </w:pPr>
    </w:p>
    <w:p w14:paraId="0AB213DC" w14:textId="77777777" w:rsidR="00576A90" w:rsidRDefault="00576A90" w:rsidP="00576A90">
      <w:pPr>
        <w:pStyle w:val="TextoNormal"/>
      </w:pPr>
      <w:r>
        <w:t>2. Lo dispuesto en el artículo 11 será aplicable a los procedimientos de restitución o reposición de la legalidad pendientes de ejecución en el momento de la entrada en vigor de esta ley”.</w:t>
      </w:r>
    </w:p>
    <w:p w14:paraId="4C26CDA6" w14:textId="77777777" w:rsidR="00576A90" w:rsidRDefault="00576A90" w:rsidP="00576A90">
      <w:pPr>
        <w:pStyle w:val="TextoNormal"/>
      </w:pPr>
    </w:p>
    <w:p w14:paraId="0F66AD2C" w14:textId="77777777" w:rsidR="00576A90" w:rsidRDefault="00576A90" w:rsidP="00576A90">
      <w:pPr>
        <w:pStyle w:val="TextoNormal"/>
      </w:pPr>
      <w:r>
        <w:t>b) El recurso de inconstitucionalidad, de naturaleza exclusivamente competencial, denuncia la invasión de las competencias estatales para establecer el régimen jurídico del dominio público marítimo-terrestre y la legislación básica en materia de protección del medio ambiente litoral (art. 132.2 CE en relación con el art. 149.1.23 CE), en particular en lo que se refiere a la regulación de las condiciones de uso y aprovechamiento de los terrenos colindantes con el dominio público marítimo-terrestre, lo que comprendería también la regulación de las servidumbres.</w:t>
      </w:r>
    </w:p>
    <w:p w14:paraId="460CBAE0" w14:textId="77777777" w:rsidR="00576A90" w:rsidRDefault="00576A90" w:rsidP="00576A90">
      <w:pPr>
        <w:pStyle w:val="TextoNormal"/>
      </w:pPr>
    </w:p>
    <w:p w14:paraId="5027E009" w14:textId="77777777" w:rsidR="00576A90" w:rsidRDefault="00576A90" w:rsidP="00576A90">
      <w:pPr>
        <w:pStyle w:val="TextoNormal"/>
      </w:pPr>
      <w:r>
        <w:t>En este sentido, la impugnación del artículo 10 de la Ley 7/2022 se debe a que, a juicio del abogado del Estado, resulta inconstitucional el establecimiento por la Comunidad Autónoma de Galicia de un plazo de prescripción de la acción para imponer la reposición de la legalidad en la zona de servidumbre de protección, vulnerando y derogando la legislación básica estatal, ya que la Ley de costas (LC) no prevé limitación de plazo para su ejercicio.</w:t>
      </w:r>
    </w:p>
    <w:p w14:paraId="08BFBEC3" w14:textId="77777777" w:rsidR="00576A90" w:rsidRDefault="00576A90" w:rsidP="00576A90">
      <w:pPr>
        <w:pStyle w:val="TextoNormal"/>
      </w:pPr>
    </w:p>
    <w:p w14:paraId="653BBBEB" w14:textId="77777777" w:rsidR="00576A90" w:rsidRDefault="00576A90" w:rsidP="00576A90">
      <w:pPr>
        <w:pStyle w:val="TextoNormal"/>
      </w:pPr>
      <w:r>
        <w:t>Por su conexión con el artículo 10, se impugna también el apartado 1 de la disposición transitoria primera.</w:t>
      </w:r>
    </w:p>
    <w:p w14:paraId="3C727656" w14:textId="77777777" w:rsidR="00576A90" w:rsidRDefault="00576A90" w:rsidP="00576A90">
      <w:pPr>
        <w:pStyle w:val="TextoNormal"/>
      </w:pPr>
    </w:p>
    <w:p w14:paraId="1AEA325B" w14:textId="77777777" w:rsidR="00576A90" w:rsidRDefault="00576A90" w:rsidP="00576A90">
      <w:pPr>
        <w:pStyle w:val="TextoNormal"/>
      </w:pPr>
      <w:r>
        <w:t xml:space="preserve">Por lo que hace al art. 11 de la Ley 7/2022, el recurso de inconstitucionalidad se fundamenta en que la norma autonómica extiende la regla de cómputo del plazo de prescripción de quince años de la obligación de restituir las cosas y reponerlas al estado anterior, una vez impuesta dicha obligación en virtud de resolución administrativa, previsto en el art. 95.1 LC “a los supuestos en que se interponga recurso administrativo frente al acto y la administración incumpla su obligación de resolver el recurso en los plazos legalmente previstos”. Afirma la demanda que la regulación realizada por el art. 11 de la Ley 7/2022, en la medida en que no puede considerarse una norma adicional de protección, implica en realidad el ejercicio de una potestad de desarrollo normativo que ni el art. 149.1.23 CE, ni el art. 27.30 del Estatuto de Autonomía para Galicia (Ley Orgánica 1/1981, de 6 de abril) confieren a dicha comunidad autónoma en relación con la protección de las zonas de servidumbre de protección del dominio público marítimo-terrestre. Además, tras invocar la doctrina constitucional relativa a las </w:t>
      </w:r>
      <w:r w:rsidRPr="00576A90">
        <w:rPr>
          <w:i/>
        </w:rPr>
        <w:t>leges repetitae</w:t>
      </w:r>
      <w:r>
        <w:t xml:space="preserve"> [SSTC 54/2018, de 24 de mayo, FJ 6, y 51/2019, de 11 de abril, FJ 6 a)], considera que el precepto autonómico impugnado no cumple el requisito formal de hacer más comprensible el desarrollo normativo que realiza la comunidad autónoma en ejercicio de sus competencias propias ni el requisito material de que la reproducción de la normativa básica sea fiel y no incurra en alteraciones más o menos subrepticias de la misma.</w:t>
      </w:r>
    </w:p>
    <w:p w14:paraId="37E22429" w14:textId="77777777" w:rsidR="00576A90" w:rsidRDefault="00576A90" w:rsidP="00576A90">
      <w:pPr>
        <w:pStyle w:val="TextoNormal"/>
      </w:pPr>
    </w:p>
    <w:p w14:paraId="36D49258" w14:textId="7258D9D0" w:rsidR="00576A90" w:rsidRDefault="00576A90" w:rsidP="00576A90">
      <w:pPr>
        <w:pStyle w:val="TextoNormal"/>
      </w:pPr>
      <w:r>
        <w:t>Por su conexión con el art. 11, se impugna igualmente el apartado 2 de la disposición transitoria primera.</w:t>
      </w:r>
    </w:p>
    <w:p w14:paraId="4E7B3D5D" w14:textId="77777777" w:rsidR="00576A90" w:rsidRDefault="00576A90" w:rsidP="00576A90">
      <w:pPr>
        <w:pStyle w:val="TextoNormal"/>
      </w:pPr>
    </w:p>
    <w:p w14:paraId="10658F8B" w14:textId="77777777" w:rsidR="00576A90" w:rsidRDefault="00576A90" w:rsidP="00576A90">
      <w:pPr>
        <w:pStyle w:val="TextoNormal"/>
      </w:pPr>
      <w:r w:rsidRPr="00576A90">
        <w:rPr>
          <w:rStyle w:val="NumeroAFNegritaCaracter"/>
        </w:rPr>
        <w:lastRenderedPageBreak/>
        <w:t>2</w:t>
      </w:r>
      <w:r>
        <w:t>. Según doctrina constitucional consolidada (por todos, ATC 265/2023, de 23 de mayo), la naturaleza de este incidente cautelar y los parámetros que deben tenerse en cuenta para acordar el mantenimiento o levantamiento de la suspensión son los siguientes:</w:t>
      </w:r>
    </w:p>
    <w:p w14:paraId="7CA069C8" w14:textId="77777777" w:rsidR="00576A90" w:rsidRDefault="00576A90" w:rsidP="00576A90">
      <w:pPr>
        <w:pStyle w:val="TextoNormal"/>
      </w:pPr>
    </w:p>
    <w:p w14:paraId="1F591060" w14:textId="77777777" w:rsidR="00576A90" w:rsidRDefault="00576A90" w:rsidP="00576A90">
      <w:pPr>
        <w:pStyle w:val="TextoNormal"/>
      </w:pPr>
      <w:r>
        <w:t>a) Este incidente tiene autonomía respecto del procedimiento principal, por lo que solo en este último debe dilucidarse la validez o invalidez de las normas recurridas. El mantenimiento o levantamiento de la suspensión acordada previamente por la invocación del art. 161.2 CE —única cuestión que es objeto de este incidente— constituye una medida procesal cautelar cuya finalidad consiste en asegurar el objeto litigioso, evitando la producción de daños y perjuicios irreparables o de difícil reparación.</w:t>
      </w:r>
    </w:p>
    <w:p w14:paraId="4A2EB71F" w14:textId="77777777" w:rsidR="00576A90" w:rsidRDefault="00576A90" w:rsidP="00576A90">
      <w:pPr>
        <w:pStyle w:val="TextoNormal"/>
      </w:pPr>
    </w:p>
    <w:p w14:paraId="643462A4" w14:textId="77777777" w:rsidR="00576A90" w:rsidRDefault="00576A90" w:rsidP="00576A90">
      <w:pPr>
        <w:pStyle w:val="TextoNormal"/>
      </w:pPr>
      <w:r>
        <w:t>b) La naturaleza propia, genuinamente cautelar, que caracteriza a este incidente en el momento de acordar el mantenimiento o el levantamiento de la suspensión, delimita también el marco jurídico en el que debe desenvolverse. En primer lugar, el mantenimiento de la suspensión acordada cautelarmente tiene un carácter excepcional, pues las leyes gozan de la presunción de constitucionalidad, en cuanto expresión de la voluntad popular, mientras no se constate que han infringido la Constitución (por todos, ATC 277/2009, de 10 de diciembre, FJ 2). En segundo lugar, la decisión sobre el mantenimiento o el levantamiento de la suspensión debe desvincularse de la decisión sobre la cuestión de fondo, que deberá dirimirse mediante sentencia (por todos, AATC 12/2006, de 17 de enero, FJ 5, y 18/2007, de 18 de enero, FJ 5).</w:t>
      </w:r>
    </w:p>
    <w:p w14:paraId="7FF94789" w14:textId="77777777" w:rsidR="00576A90" w:rsidRDefault="00576A90" w:rsidP="00576A90">
      <w:pPr>
        <w:pStyle w:val="TextoNormal"/>
      </w:pPr>
    </w:p>
    <w:p w14:paraId="4FBD5BB6" w14:textId="77777777" w:rsidR="00576A90" w:rsidRDefault="00576A90" w:rsidP="00576A90">
      <w:pPr>
        <w:pStyle w:val="TextoNormal"/>
      </w:pPr>
      <w:r>
        <w:t>c) Los criterios que ha venido aplicando este tribunal para decidir estos casos son los siguientes: (i)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(ATC 51/2021, de 22 de abril); (ii) esta valoración debe efectuarse mediante el estricto examen de las situaciones de hecho creadas y al margen de la viabilidad de las pretensiones que se formulan en la demanda. La suspensión solo procede en presencia de perjuicios ciertos y efectivos, por lo que, si estos no concurren, debe atenderse a la presunción de validez de la ley; (iii) el mantenimiento de la suspensión “requiere que el Gobierno, a quien se debe la iniciativa, no solo invoque la existencia de aquellos perjuicios, sino que es igualmente necesario que demuestre, o al menos, razone consistentemente su procedencia y la imposibilidad o dificultad de su reparación” (por todos, ATC 51/2021).</w:t>
      </w:r>
    </w:p>
    <w:p w14:paraId="3BFD8A5F" w14:textId="77777777" w:rsidR="00576A90" w:rsidRDefault="00576A90" w:rsidP="00576A90">
      <w:pPr>
        <w:pStyle w:val="TextoNormal"/>
      </w:pPr>
    </w:p>
    <w:p w14:paraId="0E47B5DB" w14:textId="37A46222" w:rsidR="00576A90" w:rsidRDefault="00576A90" w:rsidP="00576A90">
      <w:pPr>
        <w:pStyle w:val="TextoNormal"/>
      </w:pPr>
      <w:r>
        <w:t>d) Es cierto que, fuera de los casos anteriores, este tribunal ha acordado el mantenimiento de la suspensión en los siguientes supuestos excepcionales sin entrar a valorar los perjuicios de imposible o difícil reparación que ello generaría: (i) cuando los preceptos impugnados guardan similitud con otros ya declarados inconstitucionales (AATC 78/1987, de 22 de enero, y 183/2011, de 14 de diciembre, entre otros); (ii) en los casos en los que el levantamiento de suspensión llevaría acarreado el bloqueo de las competencias estatales (ATC 63/2015, de 17 de marzo); (iii) o en aquellos supuestos que exceden de una situación normal de controversia debido a que suscitan cuestiones de gran relieve constitucional (ATC 53/2015, de 3 de marzo, FJ 3).</w:t>
      </w:r>
    </w:p>
    <w:p w14:paraId="4412AF6E" w14:textId="77777777" w:rsidR="00576A90" w:rsidRDefault="00576A90" w:rsidP="00576A90">
      <w:pPr>
        <w:pStyle w:val="TextoNormal"/>
      </w:pPr>
    </w:p>
    <w:p w14:paraId="0A4CBD24" w14:textId="77777777" w:rsidR="00576A90" w:rsidRDefault="00576A90" w:rsidP="00576A90">
      <w:pPr>
        <w:pStyle w:val="TextoNormal"/>
      </w:pPr>
      <w:r w:rsidRPr="00576A90">
        <w:rPr>
          <w:rStyle w:val="NumeroAFNegritaCaracter"/>
        </w:rPr>
        <w:t>3</w:t>
      </w:r>
      <w:r>
        <w:t xml:space="preserve">. Una vez expuesta nuestra doctrina, procede ahora analizar si debemos levantar o acordar el mantenimiento de la suspensión de los preceptos impugnados. El abogado del </w:t>
      </w:r>
      <w:r>
        <w:lastRenderedPageBreak/>
        <w:t>Estado no ha invocado que en este caso concurran supuestos excepcionales, por lo que resulta de aplicación el régimen general antes expuesto.</w:t>
      </w:r>
    </w:p>
    <w:p w14:paraId="623928CE" w14:textId="77777777" w:rsidR="00576A90" w:rsidRDefault="00576A90" w:rsidP="00576A90">
      <w:pPr>
        <w:pStyle w:val="TextoNormal"/>
      </w:pPr>
    </w:p>
    <w:p w14:paraId="1A192022" w14:textId="77777777" w:rsidR="00576A90" w:rsidRDefault="00576A90" w:rsidP="00576A90">
      <w:pPr>
        <w:pStyle w:val="TextoNormal"/>
      </w:pPr>
      <w:r>
        <w:t>Como ha quedado recogido en el apartado correspondiente de los antecedentes, el abogado del Estado, con apoyo en un informe emitido por el Ministerio para la Transición Ecológica y el Reto Demográfico, justifica la necesidad de mantener la suspensión de los preceptos impugnados invocando la tutela del medio ambiente litoral, como interés susceptible de protección preferente. A su juicio, el levantamiento de la suspensión conllevaría efectos negativos, permanentes e irreversibles en la zona de servidumbre de protección y, por ende, en el dominio público marítimo terrestre, que deben evitarse. De no suspenderse la vigencia de la ley, la comunidad autónoma y, en su caso, los órganos judiciales, deberán declarar la prescripción de la obligación de restitución de las cosas y su reposición al estado anterior. Ello imposibilitaría, de manera definitiva, la recuperación de los terrenos degradados con construcciones ilegales, generando efectos irreversibles con el consiguiente deterioro irrecuperable del medio ambiente litoral, al perpetuar la existencia de obras e instalaciones sobre la servidumbre de protección que la pueden dañar de manera irreparable.</w:t>
      </w:r>
    </w:p>
    <w:p w14:paraId="03978238" w14:textId="77777777" w:rsidR="00576A90" w:rsidRDefault="00576A90" w:rsidP="00576A90">
      <w:pPr>
        <w:pStyle w:val="TextoNormal"/>
      </w:pPr>
    </w:p>
    <w:p w14:paraId="5D784931" w14:textId="77777777" w:rsidR="00576A90" w:rsidRDefault="00576A90" w:rsidP="00576A90">
      <w:pPr>
        <w:pStyle w:val="TextoNormal"/>
      </w:pPr>
      <w:r>
        <w:t>a) Como puede apreciarse, la argumentación del abogado del Estado se refiere a todos los artículos impugnados en su conjunto sin particularizar las razones que, específicamente, habrían de justificar el mantenimiento de la suspensión de cada uno de ellos. A pesar de ello, este tribunal constata que todas sus alegaciones giran en torno a los perjuicios que para la protección del medio ambiente litoral se derivarían de la regulación, por la ley autonómica, de un plazo de prescripción para el ejercicio por la administración competente —la de la Comunidad Autónoma de Galicia, en este caso— de la acción para imponer la obligación de restitución de las cosas y la reposición al estado anterior, cuando dicha obligación afecta a obras y actuaciones ilegalmente realizadas en la zona de servidumbre de protección del dominio público marítimo-terrestre.</w:t>
      </w:r>
    </w:p>
    <w:p w14:paraId="1CC938B4" w14:textId="77777777" w:rsidR="00576A90" w:rsidRDefault="00576A90" w:rsidP="00576A90">
      <w:pPr>
        <w:pStyle w:val="TextoNormal"/>
      </w:pPr>
    </w:p>
    <w:p w14:paraId="42F62F10" w14:textId="77777777" w:rsidR="00576A90" w:rsidRDefault="00576A90" w:rsidP="00576A90">
      <w:pPr>
        <w:pStyle w:val="TextoNormal"/>
      </w:pPr>
      <w:r>
        <w:t>De los preceptos recurridos, solamente se refieren a la regulación del plazo de prescripción de la acción para imponer la reposición de la legalidad en la zona de servidumbre de protección el artículo 10 y el apartado primero de la disposición transitoria primera, en cuanto que esta última extiende la aplicación de lo dispuesto en el art. 10 a las obras, actuaciones y construcciones existentes en el momento de la entrada en vigor de la Ley 7/2022.</w:t>
      </w:r>
    </w:p>
    <w:p w14:paraId="18AB7AF9" w14:textId="77777777" w:rsidR="00576A90" w:rsidRDefault="00576A90" w:rsidP="00576A90">
      <w:pPr>
        <w:pStyle w:val="TextoNormal"/>
      </w:pPr>
    </w:p>
    <w:p w14:paraId="03B441A2" w14:textId="77777777" w:rsidR="00576A90" w:rsidRDefault="00576A90" w:rsidP="00576A90">
      <w:pPr>
        <w:pStyle w:val="TextoNormal"/>
      </w:pPr>
      <w:r>
        <w:t xml:space="preserve">El abogado del Estado, sobre el que recae la carga de exponer los motivos que justifiquen el mantenimiento de la suspensión inicialmente acordada </w:t>
      </w:r>
      <w:r w:rsidRPr="00576A90">
        <w:rPr>
          <w:i/>
        </w:rPr>
        <w:t>ex</w:t>
      </w:r>
      <w:r>
        <w:t xml:space="preserve"> art. 161.2 CE, no ha razonado mínimamente acerca de la existencia de perjuicios concretos susceptibles de producirse como consecuencia de las previsiones establecidas en el art. 11 y en el apartado 2 de la disposición transitoria primera. Estas disposiciones no regulan la prescripción de la acción de la administración para imponer la reposición de la legalidad en la zona de servidumbre, que es el supuesto contemplado en el art. 10, sino que precisan cómo ha de computarse el plazo de prescripción de quince años, previsto en el art. 95.1 LC, al que se sujeta la exigibilidad del cumplimiento de esta obligación de restitución de las costas y su reposición al estado anterior, una vez que ya ha sido declarada por la administración, supuesto bien distinto.</w:t>
      </w:r>
    </w:p>
    <w:p w14:paraId="6F5F0C3D" w14:textId="77777777" w:rsidR="00576A90" w:rsidRDefault="00576A90" w:rsidP="00576A90">
      <w:pPr>
        <w:pStyle w:val="TextoNormal"/>
      </w:pPr>
    </w:p>
    <w:p w14:paraId="583FDC35" w14:textId="77777777" w:rsidR="00576A90" w:rsidRDefault="00576A90" w:rsidP="00576A90">
      <w:pPr>
        <w:pStyle w:val="TextoNormal"/>
      </w:pPr>
      <w:r>
        <w:lastRenderedPageBreak/>
        <w:t>Por lo tanto, no habiéndose cumplido la carga de razonar el mantenimiento de la suspensión respecto del art. 11 y del apartado 2 de la disposición transitoria primera, procede levantar la suspensión inicialmente acordada, sin que sea necesaria mayor argumentación por parte de este tribunal (en sentido similar, ATC 80/2013, de 9 de abril, FJ 3). En consecuencia, nuestro enjuiciamiento a los efectos de decidir sobre la pertinencia del levantamiento de la suspensión debe limitarse al art. 10 y al apartado 1 de la disposición transitoria primera.</w:t>
      </w:r>
    </w:p>
    <w:p w14:paraId="1FC5120D" w14:textId="77777777" w:rsidR="00576A90" w:rsidRDefault="00576A90" w:rsidP="00576A90">
      <w:pPr>
        <w:pStyle w:val="TextoNormal"/>
      </w:pPr>
    </w:p>
    <w:p w14:paraId="31216EC9" w14:textId="77777777" w:rsidR="00576A90" w:rsidRDefault="00576A90" w:rsidP="00576A90">
      <w:pPr>
        <w:pStyle w:val="TextoNormal"/>
      </w:pPr>
      <w:r>
        <w:t>b) Antes de proceder a realizar la ponderación de los intereses concurrentes, debe hacerse una última precisión para acotar lo que debe constituir el objeto de nuestro enjuiciamiento en esta sede cautelar.</w:t>
      </w:r>
    </w:p>
    <w:p w14:paraId="2AA566E9" w14:textId="77777777" w:rsidR="00576A90" w:rsidRDefault="00576A90" w:rsidP="00576A90">
      <w:pPr>
        <w:pStyle w:val="TextoNormal"/>
      </w:pPr>
    </w:p>
    <w:p w14:paraId="36A2331F" w14:textId="77777777" w:rsidR="00576A90" w:rsidRDefault="00576A90" w:rsidP="00576A90">
      <w:pPr>
        <w:pStyle w:val="TextoNormal"/>
      </w:pPr>
      <w:r>
        <w:t>El letrado de la Xunta de Galicia ha puesto de manifiesto que, aunque el recurso de inconstitucionalidad se dirige formalmente contra el art. 10, en realidad solamente se cuestiona el párrafo primero del apartado 1 del mismo, en tanto que dicho párrafo es el que establece la duración de plazo de prescripción controvertido, de suerte que el objeto de esta pieza cautelar debería ceñirse únicamente a aquel y no a todo el art. 10.</w:t>
      </w:r>
    </w:p>
    <w:p w14:paraId="377B50D5" w14:textId="77777777" w:rsidR="00576A90" w:rsidRDefault="00576A90" w:rsidP="00576A90">
      <w:pPr>
        <w:pStyle w:val="TextoNormal"/>
      </w:pPr>
    </w:p>
    <w:p w14:paraId="4FF50C94" w14:textId="77777777" w:rsidR="00576A90" w:rsidRDefault="00576A90" w:rsidP="00576A90">
      <w:pPr>
        <w:pStyle w:val="TextoNormal"/>
      </w:pPr>
      <w:r>
        <w:t>Esta alegación no puede acogerse en los términos en los que ha sido planteada pues equivaldría a prejuzgar el fondo del recurso de inconstitucionalidad en el seno del incidente cautelar. Como razonamos en el ATC 80/2013, FJ 5, “[e]s preciso recordar que, en este momento procesal, no corresponde a este tribunal examinar el fondo del asunto, ni, por tanto, analizar la corrección de la argumentación acerca de la inconstitucionalidad del precepto recurrido o el suficiente o insuficiente cumplimiento de la carga argumental que sobre ello corresponde al recurrente. En el incidente de suspensión, este tribunal ha de pronunciarse únicamente sobre si procede o no el levantamiento de la suspensión y para ello hemos de tener en cuenta si el abogado del Estado ha cumplido con la carga de la argumentación del mantenimiento de la suspensión y no con la carga de la argumentación de la inconstitucionalidad del precepto recurrido”.</w:t>
      </w:r>
    </w:p>
    <w:p w14:paraId="4F27231C" w14:textId="77777777" w:rsidR="00576A90" w:rsidRDefault="00576A90" w:rsidP="00576A90">
      <w:pPr>
        <w:pStyle w:val="TextoNormal"/>
      </w:pPr>
    </w:p>
    <w:p w14:paraId="72ACF23A" w14:textId="77777777" w:rsidR="00576A90" w:rsidRDefault="00576A90" w:rsidP="00576A90">
      <w:pPr>
        <w:pStyle w:val="TextoNormal"/>
      </w:pPr>
      <w:r>
        <w:t>Hecha esta aclaración, este tribunal constata que las alegaciones efectuadas en orden a obtener el mantenimiento de la suspensión inicialmente acordada se centran, única y exclusivamente, en la sujeción de la acción de la administración para imponer la restitución de las cosas y la reposición a su estado anterior a un plazo de prescripción de quince años, prevista en el párrafo primero del art 10.1, así como a su aplicación retroactiva, establecida por el apartado 1 de la disposición transitoria primera. Así se desprende del contenido del informe que se acompaña con el escrito de alegaciones, en el que específicamente se alude a dicho párrafo primero del art. 10.1 y se omite cualquier consideración respecto del resto de apartados.</w:t>
      </w:r>
    </w:p>
    <w:p w14:paraId="6CCA4B2E" w14:textId="77777777" w:rsidR="00576A90" w:rsidRDefault="00576A90" w:rsidP="00576A90">
      <w:pPr>
        <w:pStyle w:val="TextoNormal"/>
      </w:pPr>
    </w:p>
    <w:p w14:paraId="1FCE20F2" w14:textId="69E21266" w:rsidR="00576A90" w:rsidRDefault="00576A90" w:rsidP="00576A90">
      <w:pPr>
        <w:pStyle w:val="TextoNormal"/>
      </w:pPr>
      <w:r>
        <w:t>Por ello, la ponderación de los intereses concurrentes que nos corresponde ha de limitarse a las disposiciones contenidas en el párrafo primero del apartado 1 del artículo 10 y al apartado 1 de la disposición transitoria primera, debiendo levantarse la suspensión del resto de apartados del artículo 10, respecto de los cuales no se ha cumplido por la parte recurrente la carga alegatoria que le incumbe.</w:t>
      </w:r>
    </w:p>
    <w:p w14:paraId="1B5446D0" w14:textId="77777777" w:rsidR="00576A90" w:rsidRDefault="00576A90" w:rsidP="00576A90">
      <w:pPr>
        <w:pStyle w:val="TextoNormal"/>
      </w:pPr>
    </w:p>
    <w:p w14:paraId="76AECD9A" w14:textId="77777777" w:rsidR="00576A90" w:rsidRDefault="00576A90" w:rsidP="00576A90">
      <w:pPr>
        <w:pStyle w:val="TextoNormal"/>
      </w:pPr>
      <w:r w:rsidRPr="00576A90">
        <w:rPr>
          <w:rStyle w:val="NumeroAFNegritaCaracter"/>
        </w:rPr>
        <w:lastRenderedPageBreak/>
        <w:t>4</w:t>
      </w:r>
      <w:r>
        <w:t>. Una vez delimitado lo que ha de constituir el objeto de nuestro enjuiciamiento en este incidente cautelar, corresponde a este tribunal realizar la pertinente ponderación de los intereses concurrentes.</w:t>
      </w:r>
    </w:p>
    <w:p w14:paraId="0344AAF8" w14:textId="77777777" w:rsidR="00576A90" w:rsidRDefault="00576A90" w:rsidP="00576A90">
      <w:pPr>
        <w:pStyle w:val="TextoNormal"/>
      </w:pPr>
    </w:p>
    <w:p w14:paraId="0337B183" w14:textId="77777777" w:rsidR="00576A90" w:rsidRDefault="00576A90" w:rsidP="00576A90">
      <w:pPr>
        <w:pStyle w:val="TextoNormal"/>
      </w:pPr>
      <w:r>
        <w:t>a) Como afirma el abogado del Estado, de no suspenderse la vigencia y aplicación de la ley, durante la pendencia del recurso de inconstitucionalidad, tanto la administración como, en su caso, los tribunales de lo contencioso-administrativo vendrían obligados, frente a obras y actuaciones ilegalmente realizadas en la zona de servidumbre de protección del dominio público marítimo-terrestre, a declarar prescrita la acción de la administración para imponer la restitución de las cosas y la reposición a su estado anterior, en aquellos casos en los que hubieran transcurrido más de quince años desde la terminación de las obras o actuaciones en cuestión. Como consecuencia de lo anterior, podrían generarse situaciones irreversibles consistentes en la consolidación de ocupaciones, usos o edificaciones ilegales en la zona de servidumbre de protección, con el consiguiente perjuicio a los fines e intereses medioambientales que justifican la existencia de dicha zona de servidumbre.</w:t>
      </w:r>
    </w:p>
    <w:p w14:paraId="78121DFB" w14:textId="77777777" w:rsidR="00576A90" w:rsidRDefault="00576A90" w:rsidP="00576A90">
      <w:pPr>
        <w:pStyle w:val="TextoNormal"/>
      </w:pPr>
    </w:p>
    <w:p w14:paraId="47C2D054" w14:textId="77777777" w:rsidR="00576A90" w:rsidRDefault="00576A90" w:rsidP="00576A90">
      <w:pPr>
        <w:pStyle w:val="TextoNormal"/>
      </w:pPr>
      <w:r>
        <w:t>Este tribunal tiene declarado que la carga que pesa sobre el recurrente en este incidente no comporta la necesidad de demostrar indubitadamente la existencia y cuantificación de los perjuicios invocados, sino la de argumentar de forma consistente sobre su existencia (ATC 35/2023, de 7 de febrero, FJ 4). A los efectos de este incidente prejudicial, este tribunal estima que los perjuicios sobre los que se sustenta la pretensión de mantenimiento de la suspensión inicialmente acordada pueden considerarse suficientemente justificados.</w:t>
      </w:r>
    </w:p>
    <w:p w14:paraId="144FA250" w14:textId="77777777" w:rsidR="00576A90" w:rsidRDefault="00576A90" w:rsidP="00576A90">
      <w:pPr>
        <w:pStyle w:val="TextoNormal"/>
      </w:pPr>
    </w:p>
    <w:p w14:paraId="445AAC13" w14:textId="77777777" w:rsidR="00576A90" w:rsidRDefault="00576A90" w:rsidP="00576A90">
      <w:pPr>
        <w:pStyle w:val="TextoNormal"/>
      </w:pPr>
      <w:r>
        <w:t>Efectivamente, en caso de no acordarse el mantenimiento de la suspensión, la pendencia del proceso constitucional puede dar ocasión al dictado de resoluciones administrativas o sentencias estimatorias de los tribunales de lo contencioso-administrativo declarando la prescripción de la acción de reposición de la legalidad a la que nos venimos refiriendo que, de ganar firmeza, impedirían o dificultarían gravemente que pudiera procederse contra las obras y actuaciones ilegalmente realizadas en la zona de servidumbre de protección.</w:t>
      </w:r>
    </w:p>
    <w:p w14:paraId="34C95CF2" w14:textId="77777777" w:rsidR="00576A90" w:rsidRDefault="00576A90" w:rsidP="00576A90">
      <w:pPr>
        <w:pStyle w:val="TextoNormal"/>
      </w:pPr>
    </w:p>
    <w:p w14:paraId="5E29BD47" w14:textId="77777777" w:rsidR="00576A90" w:rsidRDefault="00576A90" w:rsidP="00576A90">
      <w:pPr>
        <w:pStyle w:val="TextoNormal"/>
      </w:pPr>
      <w:r>
        <w:t>Por lo demás, este tribunal constata que la situación descrita no puede calificarse como un riesgo hipotético o meramente potencial, sino que se trata de un escenario verosímil en la aplicación de los preceptos recurridos. Como se justifica detalladamente en el informe del Ministerio para la Transición Ecológica y el Reto Demográfico, en los años inmediatamente anteriores a la entrada en vigor de la ley, han sido numerosas las sentencias que han resuelto casos en los que, de haberse aplicado el plazo de prescripción de quince años contemplado en la ley autonómica al que nos venimos refiriendo, no habría podido imponerse la obligación de reposición de las cosas a la situación anterior. Esto evidencia el carácter real, actual y efectivo de la problemática planteada por la parte actora.</w:t>
      </w:r>
    </w:p>
    <w:p w14:paraId="34B4820E" w14:textId="77777777" w:rsidR="00576A90" w:rsidRDefault="00576A90" w:rsidP="00576A90">
      <w:pPr>
        <w:pStyle w:val="TextoNormal"/>
      </w:pPr>
    </w:p>
    <w:p w14:paraId="04346109" w14:textId="77777777" w:rsidR="00576A90" w:rsidRDefault="00576A90" w:rsidP="00576A90">
      <w:pPr>
        <w:pStyle w:val="TextoNormal"/>
      </w:pPr>
      <w:r>
        <w:t>b) El mantenimiento de la suspensión que se solicita de este tribunal se justifica en la necesidad de salvaguardar los intereses ecológicos existentes en la zona de servidumbre de protección, que podrían verse afectados de manera irreversible o difícilmente reversible durante la pendencia del proceso.</w:t>
      </w:r>
    </w:p>
    <w:p w14:paraId="5C8124C9" w14:textId="77777777" w:rsidR="00576A90" w:rsidRDefault="00576A90" w:rsidP="00576A90">
      <w:pPr>
        <w:pStyle w:val="TextoNormal"/>
      </w:pPr>
    </w:p>
    <w:p w14:paraId="11D9A54D" w14:textId="77777777" w:rsidR="00576A90" w:rsidRDefault="00576A90" w:rsidP="00576A90">
      <w:pPr>
        <w:pStyle w:val="TextoNormal"/>
      </w:pPr>
      <w:r>
        <w:t xml:space="preserve">Es por ello que debe ahora recordarse que, a la hora de ponderar los intereses concurrentes en este tipo de incidentes cautelares, la doctrina de este tribunal viene reiterando que “en materia de suspensión cautelar la salvaguarda del interés ecológico merece la </w:t>
      </w:r>
      <w:r>
        <w:lastRenderedPageBreak/>
        <w:t>condición de interés preferente, dada la fragilidad e irreparabilidad de los perjuicios que se podrían producir en caso de su perturbación, por lo que solo cabe admitir su subordinación a otros intereses públicos o privados de carácter patrimonial cuando la lesión de estos suponga afectar a un sector económico de manera directa e inmediata, fundamental para la economía de la Nación, con posibles perjuicios económicos de muy difícil reparación, o bien cuando la aplicación de las medidas controvertidas fuera susceptible de provocar gravísimos efectos perjudiciales” (ATC 114/2011, de 19 de julio, FJ 4).</w:t>
      </w:r>
    </w:p>
    <w:p w14:paraId="58CD9909" w14:textId="77777777" w:rsidR="00576A90" w:rsidRDefault="00576A90" w:rsidP="00576A90">
      <w:pPr>
        <w:pStyle w:val="TextoNormal"/>
      </w:pPr>
    </w:p>
    <w:p w14:paraId="1A5127E3" w14:textId="77777777" w:rsidR="00576A90" w:rsidRDefault="00576A90" w:rsidP="00576A90">
      <w:pPr>
        <w:pStyle w:val="TextoNormal"/>
      </w:pPr>
      <w:r>
        <w:t>Esta doctrina ha sido aplicada particularmente a los supuestos en los que, como acontece aquí, los intereses medioambientales concernidos eran los propios de la zona de servidumbre de protección del dominio público marítimo-terrestre. De acuerdo con la Ley de costas, la servidumbre de protección recae sobre una zona de 100 metros medida tierra adentro desde el límite interior de la ribera del mar (art. 23.1) y comporta una serie de prohibiciones y limitaciones en cuanto al uso y ocupación de dicha franja de terreno (art. 25) que se justifican por la protección del dominio público marítimo-terrestre que “comprende la defensa de su integridad y de los fines de uso general a que está destinado; la preservación de sus características y elementos naturales y la prevención de las perjudiciales consecuencias de obras e instalaciones” (art. 20).</w:t>
      </w:r>
    </w:p>
    <w:p w14:paraId="1668CE24" w14:textId="77777777" w:rsidR="00576A90" w:rsidRDefault="00576A90" w:rsidP="00576A90">
      <w:pPr>
        <w:pStyle w:val="TextoNormal"/>
      </w:pPr>
    </w:p>
    <w:p w14:paraId="6B66B9AC" w14:textId="77777777" w:rsidR="00576A90" w:rsidRDefault="00576A90" w:rsidP="00576A90">
      <w:pPr>
        <w:pStyle w:val="TextoNormal"/>
      </w:pPr>
      <w:r>
        <w:t>Por ello, este tribunal ha destacado la relevancia que para la protección del medio ambiente litoral presenta la zona de servidumbre de protección. Ya en el ATC 34/2009, de 27 de enero, FJ 6, tuvimos ocasión de poner de manifiesto, con cita de la STC 149/1991, de 4 de julio, que “la finalidad inmediata de protección de la naturaleza que persiguen las normas que establecen limitaciones al uso de los terrenos colindantes con el dominio público marítimo-terrestre, de forma que las previsiones normativas que prohíben determinadas actuaciones en la zona de protección han sido consideradas normas de protección del medio ambiente costero que imponen determinadas limitaciones precisamente de cara a la conservación y preservación de las costas”. E igualmente afirmamos en los AATC 225/2009, de 27 de julio, FJ 6, y 277/2009, de 10 de diciembre, FJ 4, que “[e]sta regulación expresa el tradicional criterio de nuestra legislación de costas en relación con la sujeción de los terrenos colindantes con el dominio público a determinadas limitaciones o prohibiciones para la realización de ciertas actividades, conciliando de ese modo las exigencias de desarrollo con los imperativos de protección de los valores naturales y paisajísticos del litoral”.</w:t>
      </w:r>
    </w:p>
    <w:p w14:paraId="670EF7FD" w14:textId="77777777" w:rsidR="00576A90" w:rsidRDefault="00576A90" w:rsidP="00576A90">
      <w:pPr>
        <w:pStyle w:val="TextoNormal"/>
      </w:pPr>
    </w:p>
    <w:p w14:paraId="40DABDB3" w14:textId="77777777" w:rsidR="00576A90" w:rsidRDefault="00576A90" w:rsidP="00576A90">
      <w:pPr>
        <w:pStyle w:val="TextoNormal"/>
      </w:pPr>
      <w:r>
        <w:t>En este caso, como se ha razonado con anterioridad, la aplicación de las normas en cuestión es susceptible de provocar la consolidación de situaciones jurídicas irreversibles, que impidan la actuación de la administración frente a obras y actuaciones ilegalmente ejecutadas sobre la franja de terreno afectada por la servidumbre de protección, impidiendo de manera definitiva la restauración de los valores ambientales y paisajísticos de la costa gallega. Frente a la protección preferente que este tribunal viene dispensando en este tipo de incidentes a los intereses ecológicos, medioambientales y paisajísticos, no pueden prevalecer los intereses alegados por la Xunta de Galicia y el Parlamento de Galicia, pues no cabe apreciar que el mantenimiento de la suspensión sea susceptible de provocar una lesión de intereses públicos o privados de carácter patrimonial de tal calibre que suponga afectar a un sector económico de manera directa e inmediata, fundamental para la economía de la nación ni perjuicios económicos de muy difícil reparación.</w:t>
      </w:r>
    </w:p>
    <w:p w14:paraId="46253151" w14:textId="77777777" w:rsidR="00576A90" w:rsidRDefault="00576A90" w:rsidP="00576A90">
      <w:pPr>
        <w:pStyle w:val="TextoNormal"/>
      </w:pPr>
    </w:p>
    <w:p w14:paraId="63FCC9C9" w14:textId="0C09A1C6" w:rsidR="00576A90" w:rsidRDefault="00576A90" w:rsidP="00576A90">
      <w:pPr>
        <w:pStyle w:val="TextoNormal"/>
      </w:pPr>
      <w:r>
        <w:lastRenderedPageBreak/>
        <w:t>c) Por las razones expuestas, la ponderación de intereses en conflicto, y en especial la necesidad de la tutela de los intereses ecológicos presentes en la zona de servidumbre de protección, justifica la procedencia de mantener la suspensión inicialmente acordada respecto del párrafo primero del apartado 1 del artículo 10 y el apartado 1 de la disposición transitoria primera de la Ley 7/2022.</w:t>
      </w:r>
    </w:p>
    <w:p w14:paraId="7576EBE0" w14:textId="77777777" w:rsidR="00576A90" w:rsidRDefault="00576A90" w:rsidP="00576A90">
      <w:pPr>
        <w:pStyle w:val="TextoNormal"/>
      </w:pPr>
    </w:p>
    <w:p w14:paraId="7F9CA46A" w14:textId="77777777" w:rsidR="00576A90" w:rsidRDefault="00576A90" w:rsidP="00576A90">
      <w:pPr>
        <w:pStyle w:val="TextoNormal"/>
      </w:pPr>
      <w:r>
        <w:t>Por lo expuesto, el Pleno</w:t>
      </w:r>
    </w:p>
    <w:p w14:paraId="401DA7C1" w14:textId="4CB96676" w:rsidR="00576A90" w:rsidRDefault="00576A90" w:rsidP="00576A90">
      <w:pPr>
        <w:pStyle w:val="TextoNormal"/>
      </w:pPr>
    </w:p>
    <w:p w14:paraId="6710038E" w14:textId="77777777" w:rsidR="00576A90" w:rsidRDefault="00576A90" w:rsidP="00576A90">
      <w:pPr>
        <w:pStyle w:val="TextoNormalCentrado"/>
      </w:pPr>
      <w:r>
        <w:t>ACUERDA</w:t>
      </w:r>
    </w:p>
    <w:p w14:paraId="242E89E3" w14:textId="286C8AA7" w:rsidR="00576A90" w:rsidRDefault="00576A90" w:rsidP="00576A90">
      <w:pPr>
        <w:pStyle w:val="TextoNormalCentrado"/>
      </w:pPr>
    </w:p>
    <w:p w14:paraId="6265B94E" w14:textId="77777777" w:rsidR="00576A90" w:rsidRDefault="00576A90" w:rsidP="00576A90">
      <w:pPr>
        <w:pStyle w:val="TextoNormal"/>
      </w:pPr>
      <w:r>
        <w:t>1º Mantener la suspensión del párrafo primero del apartado 1 del artículo 10 y el apartado 1 de la disposición transitoria primera de la Ley del Parlamento de Galicia 7/2022, de 27 de diciembre, de medidas fiscales y administrativas.</w:t>
      </w:r>
    </w:p>
    <w:p w14:paraId="7BE6DC41" w14:textId="77777777" w:rsidR="00576A90" w:rsidRDefault="00576A90" w:rsidP="00576A90">
      <w:pPr>
        <w:pStyle w:val="TextoNormal"/>
      </w:pPr>
    </w:p>
    <w:p w14:paraId="53774FDE" w14:textId="2FAA02FC" w:rsidR="00576A90" w:rsidRDefault="00576A90" w:rsidP="00576A90">
      <w:pPr>
        <w:pStyle w:val="TextoNormal"/>
      </w:pPr>
      <w:r>
        <w:t>2º Levantar la suspensión del resto de preceptos impugnados.</w:t>
      </w:r>
    </w:p>
    <w:p w14:paraId="6A8F077E" w14:textId="77777777" w:rsidR="00576A90" w:rsidRDefault="00576A90" w:rsidP="00576A90">
      <w:pPr>
        <w:pStyle w:val="TextoNormal"/>
      </w:pPr>
    </w:p>
    <w:p w14:paraId="0C781353" w14:textId="77777777" w:rsidR="00576A90" w:rsidRDefault="00576A90" w:rsidP="00576A90">
      <w:pPr>
        <w:pStyle w:val="TextoNormal"/>
      </w:pPr>
      <w:r>
        <w:t>Madrid, a veintisiete de febrero de dos mil veinticuatro.</w:t>
      </w:r>
    </w:p>
    <w:p w14:paraId="4D506271" w14:textId="1FDD6D62" w:rsidR="00576A90" w:rsidRDefault="00576A90">
      <w:pPr>
        <w:spacing w:after="160" w:line="259" w:lineRule="auto"/>
        <w:rPr>
          <w:rFonts w:ascii="Times New Roman" w:eastAsia="Times New Roman" w:hAnsi="Times New Roman" w:cs="Times New Roman"/>
          <w:sz w:val="24"/>
          <w:szCs w:val="24"/>
          <w:lang w:eastAsia="es-ES"/>
        </w:rPr>
      </w:pPr>
      <w:r>
        <w:br w:type="page"/>
      </w:r>
    </w:p>
    <w:p w14:paraId="6A6A2670" w14:textId="77777777" w:rsidR="00576A90" w:rsidRDefault="00576A90" w:rsidP="00576A90">
      <w:pPr>
        <w:pStyle w:val="TtuloResolucin"/>
      </w:pPr>
      <w:bookmarkStart w:id="117" w:name="AUTO_2024_22"/>
      <w:r>
        <w:lastRenderedPageBreak/>
        <w:t>AUTO 22/2024, de 28 de febrero de 2024</w:t>
      </w:r>
    </w:p>
    <w:bookmarkEnd w:id="117"/>
    <w:p w14:paraId="4B303758" w14:textId="77777777" w:rsidR="00576A90" w:rsidRDefault="00576A90" w:rsidP="00576A90">
      <w:pPr>
        <w:pStyle w:val="TtuloResolucin"/>
      </w:pPr>
      <w:r>
        <w:t>Pleno</w:t>
      </w:r>
    </w:p>
    <w:p w14:paraId="165642CD" w14:textId="77777777" w:rsidR="00576A90" w:rsidRDefault="00576A90" w:rsidP="00576A90">
      <w:pPr>
        <w:pStyle w:val="TtuloBOE"/>
      </w:pPr>
      <w:r>
        <w:t>(BOE núm. 82, de 3 de abril de 2024)</w:t>
      </w:r>
    </w:p>
    <w:p w14:paraId="61439223" w14:textId="77777777" w:rsidR="00576A90" w:rsidRDefault="00576A90" w:rsidP="00576A90">
      <w:pPr>
        <w:pStyle w:val="TextoNormalCentrado"/>
      </w:pPr>
      <w:r>
        <w:t>ECLI:ES:TC:2024:22A</w:t>
      </w:r>
    </w:p>
    <w:p w14:paraId="617556A6" w14:textId="6D89F9DD" w:rsidR="00576A90" w:rsidRDefault="00576A90" w:rsidP="00576A90">
      <w:pPr>
        <w:pStyle w:val="TextoNormalCentrado"/>
      </w:pPr>
    </w:p>
    <w:p w14:paraId="26797133" w14:textId="77777777" w:rsidR="00576A90" w:rsidRDefault="00576A90" w:rsidP="00576A90">
      <w:pPr>
        <w:pStyle w:val="SntesisDescriptiva"/>
      </w:pPr>
      <w:r>
        <w:t>Excms. Srs. don Cándido Conde-Pumpido Tourón, doña Inmaculada Montalbán Huertas, don Ricardo Enríquez Sancho, doña María Luisa Balaguer Callejón, don Ramón Sáez Valcárcel, doña Concepción Espejel Jorquera, doña María Luisa Segoviano Astaburuaga, don César Tolosa Tribiño, don Juan Carlos Campo Moreno y doña Laura Díez Bueso.</w:t>
      </w:r>
    </w:p>
    <w:p w14:paraId="2AF42E50" w14:textId="7023BF94" w:rsidR="00576A90" w:rsidRDefault="00576A90" w:rsidP="00576A90">
      <w:pPr>
        <w:pStyle w:val="SntesisDescriptiva"/>
      </w:pPr>
    </w:p>
    <w:p w14:paraId="62C3F282" w14:textId="77777777" w:rsidR="00576A90" w:rsidRDefault="00576A90" w:rsidP="00576A90">
      <w:pPr>
        <w:pStyle w:val="SntesisDescriptiva"/>
      </w:pPr>
      <w:r>
        <w:t>Mantiene parcialmente la suspensión en el recurso de inconstitucionalidad 6521-2023, interpuesto por el presidente del Gobierno en relación con diversos preceptos de la Ley del Parlamento de Galicia 4/2023, de 6 de julio, de ordenación y gestión integrada del litoral de Galicia.</w:t>
      </w:r>
    </w:p>
    <w:p w14:paraId="56CF0CEA" w14:textId="125BB1E2" w:rsidR="00576A90" w:rsidRDefault="00576A90" w:rsidP="00576A90">
      <w:pPr>
        <w:pStyle w:val="SntesisDescriptiva"/>
      </w:pPr>
    </w:p>
    <w:p w14:paraId="068799FF" w14:textId="77777777" w:rsidR="00576A90" w:rsidRDefault="00576A90" w:rsidP="00576A90">
      <w:pPr>
        <w:pStyle w:val="SntesisDescriptiva"/>
      </w:pPr>
    </w:p>
    <w:p w14:paraId="706A59AD" w14:textId="77777777" w:rsidR="00576A90" w:rsidRDefault="00576A90" w:rsidP="00576A90">
      <w:pPr>
        <w:pStyle w:val="SntesisDescriptiva"/>
      </w:pPr>
    </w:p>
    <w:p w14:paraId="5707611A" w14:textId="77777777" w:rsidR="00576A90" w:rsidRDefault="00576A90" w:rsidP="00576A90">
      <w:pPr>
        <w:pStyle w:val="TextoNormalNegritaCentrado"/>
      </w:pPr>
      <w:r>
        <w:t>AUTO</w:t>
      </w:r>
    </w:p>
    <w:p w14:paraId="6D0165DF" w14:textId="69AE1924" w:rsidR="00576A90" w:rsidRDefault="00576A90" w:rsidP="00576A90">
      <w:pPr>
        <w:pStyle w:val="TextoNormalNegritaCentrado"/>
      </w:pPr>
    </w:p>
    <w:p w14:paraId="1B144562" w14:textId="77777777" w:rsidR="00576A90" w:rsidRDefault="00576A90" w:rsidP="00576A90">
      <w:pPr>
        <w:pStyle w:val="TextoNormalNegritaCentrado"/>
        <w:keepNext/>
      </w:pPr>
      <w:r>
        <w:t>I. Antecedentes</w:t>
      </w:r>
    </w:p>
    <w:p w14:paraId="29876F80" w14:textId="4BCD3919" w:rsidR="00576A90" w:rsidRDefault="00576A90" w:rsidP="00576A90">
      <w:pPr>
        <w:pStyle w:val="TextoNormalNegritaCentrado"/>
        <w:keepNext/>
      </w:pPr>
    </w:p>
    <w:p w14:paraId="324C3BE7" w14:textId="77777777" w:rsidR="00576A90" w:rsidRDefault="00576A90" w:rsidP="00576A90">
      <w:pPr>
        <w:pStyle w:val="TextoNormal"/>
      </w:pPr>
      <w:r w:rsidRPr="00576A90">
        <w:rPr>
          <w:rStyle w:val="NumeroAFNegritaCaracter"/>
        </w:rPr>
        <w:t>1</w:t>
      </w:r>
      <w:r>
        <w:t>. Mediante escrito presentado en el registro de este tribunal el día 11 de octubre de 2023, el abogado del Estado, en nombre del presidente del Gobierno, interpuso recurso de inconstitucionalidad frente a diversos apartados e incisos de otros tantos artículos, así como de la disposición final primera y la disposición final quinta de la Ley 4/2023, de 6 de julio, de ordenación y gestión integrada del litoral de Galicia (Ley 4/2023).</w:t>
      </w:r>
    </w:p>
    <w:p w14:paraId="4EA432DE" w14:textId="77777777" w:rsidR="00576A90" w:rsidRDefault="00576A90" w:rsidP="00576A90">
      <w:pPr>
        <w:pStyle w:val="TextoNormal"/>
      </w:pPr>
    </w:p>
    <w:p w14:paraId="61491D46" w14:textId="77777777" w:rsidR="00576A90" w:rsidRDefault="00576A90" w:rsidP="00576A90">
      <w:pPr>
        <w:pStyle w:val="TextoNormal"/>
      </w:pPr>
      <w:r>
        <w:t>Según el recurso, la Comunidad Autónoma de Galicia se ha extralimitado en sus competencias y ha invadido la competencia exclusiva del Estado derivada de su titularidad dominical (art. 132.2 CE) y ejercida a través de la Ley 22/1988, de 28 de julio, de costas y el Real Decreto 876/2014, de 10 de octubre, por el que se aprueba el Reglamento general de costas. Atribuye dicho vicio de inconstitucionalidad, en el fundamento tercero, a los arts. 1.2 d) y g); 2.1 y 2.2; 23.2 d), g) e i); 24.3 c), e) y f); 27.3 c); 34.2 a) y b), 34.3; 35.2 a), b) y c); 36.2 a), b) y c); 40.2 y 40.3; 41.2 a), b), c) y d); 46.3 a) y b); 48.3; 49.1 en el inciso “salvo que estén sujetos a declaración responsable de acuerdo con lo dispuesto en el apartado siguiente”; 49.2, 49.3 y 49.4; 57.3; 58.3 segundo párrafo, en el inciso final “[h]asta la celebración del convenio, corresponde a la persona titular del bien cumplir las obligaciones derivadas de la legislación de patrimonio cultural”; 60.3; y a la disposición final primera de la Ley 4/2023; y, en el fundamento quinto de su escrito de impugnación a los arts. 2.1 y 2.2; 3 a); 11.4 b) y 11.5 b); 35.3; 41.3; 46.2; 48.1, 48.4 y 48.5; 52; 53.1 inciso “todos los títulos de intervención requeridos por la normativa vigente”, 53.3 y 53.4; 62.5 inciso inicial “[c]uando el otorgamiento del título de ocupación corresponda a la administración general de la Comunidad Autónoma de Galicia conforme a lo previsto en el artículo 48”; y disposición final quinta en el inciso “salvo lo establecido en el artículo 48.1” de la Ley 4/2023.</w:t>
      </w:r>
    </w:p>
    <w:p w14:paraId="6932A9E6" w14:textId="77777777" w:rsidR="00576A90" w:rsidRDefault="00576A90" w:rsidP="00576A90">
      <w:pPr>
        <w:pStyle w:val="TextoNormal"/>
      </w:pPr>
    </w:p>
    <w:p w14:paraId="590FE6B9" w14:textId="77777777" w:rsidR="00576A90" w:rsidRDefault="00576A90" w:rsidP="00576A90">
      <w:pPr>
        <w:pStyle w:val="TextoNormal"/>
      </w:pPr>
      <w:r>
        <w:t xml:space="preserve">Por otra parte, considera que la Comunidad Autónoma de Galicia ha extendido sus competencias autonómicas sobre el mar territorial, censurando por ello en el fundamento </w:t>
      </w:r>
      <w:r>
        <w:lastRenderedPageBreak/>
        <w:t>cuarto del escrito de impugnación la constitucionalidad de los arts. 11.5 a); 12.5; 21.1 d) y e); 23.2 m); 25.1 c) y 64.3 de la Ley 4/2023.</w:t>
      </w:r>
    </w:p>
    <w:p w14:paraId="472EC9C2" w14:textId="77777777" w:rsidR="00576A90" w:rsidRDefault="00576A90" w:rsidP="00576A90">
      <w:pPr>
        <w:pStyle w:val="TextoNormal"/>
      </w:pPr>
    </w:p>
    <w:p w14:paraId="27AFF078" w14:textId="77777777" w:rsidR="00576A90" w:rsidRDefault="00576A90" w:rsidP="00576A90">
      <w:pPr>
        <w:pStyle w:val="TextoNormal"/>
      </w:pPr>
      <w:r>
        <w:t>También entiende vulnerada la competencia exclusiva del Estado sobre pesca en aguas exteriores (art. 149.1.19 CE) y por ello impugna, en el fundamento sexto del recurso los arts. 22.1 y 22.2 a), b), c) y d), en todo aquello que se refiera a la pesca marítima en aguas exteriores; 25.1 a) y b); y 59.2 inciso “teniendo la obligación de asegurar en todos los instrumentos de ordenación marina del litoral previstos en esta un régimen de zonificación y uso que garantice el acceso y la permanencia de las embarcaciones gallegas a los caladeros cuya regulación sea de su competencia”; y la disposición final primera, “además, del ya señalado artículo”.</w:t>
      </w:r>
    </w:p>
    <w:p w14:paraId="250BD2F7" w14:textId="77777777" w:rsidR="00576A90" w:rsidRDefault="00576A90" w:rsidP="00576A90">
      <w:pPr>
        <w:pStyle w:val="TextoNormal"/>
      </w:pPr>
    </w:p>
    <w:p w14:paraId="562146DF" w14:textId="77777777" w:rsidR="00576A90" w:rsidRDefault="00576A90" w:rsidP="00576A90">
      <w:pPr>
        <w:pStyle w:val="TextoNormal"/>
      </w:pPr>
      <w:r>
        <w:t>Finalmente, en el último fundamento del recurso de inconstitucionalidad se atribuyen diversas vulneraciones a los arts. 11.1 inciso “y la lucha contra la contaminación marina”, en cuanto se refiera a los vertidos mar-mar; 12.2; 25.1 d); 29.1; 46.5; y 55.2 de la Ley 4/2023, tanto por invadir competencias estatales sobre marina mercante como sobre el dominio público marítimo terrestre.</w:t>
      </w:r>
    </w:p>
    <w:p w14:paraId="435DECD1" w14:textId="77777777" w:rsidR="00576A90" w:rsidRDefault="00576A90" w:rsidP="00576A90">
      <w:pPr>
        <w:pStyle w:val="TextoNormal"/>
      </w:pPr>
    </w:p>
    <w:p w14:paraId="4724D82D" w14:textId="0552E512" w:rsidR="00576A90" w:rsidRDefault="00576A90" w:rsidP="00576A90">
      <w:pPr>
        <w:pStyle w:val="TextoNormal"/>
      </w:pPr>
      <w:r>
        <w:t>El abogado del Estado invocó los arts. 161.2 CE y 30 de la Ley Orgánica del Tribunal Constitucional (LOTC) a fin de que se produjera la suspensión de los preceptos e incisos impugnados.</w:t>
      </w:r>
    </w:p>
    <w:p w14:paraId="765D55B3" w14:textId="77777777" w:rsidR="00576A90" w:rsidRDefault="00576A90" w:rsidP="00576A90">
      <w:pPr>
        <w:pStyle w:val="TextoNormal"/>
      </w:pPr>
    </w:p>
    <w:p w14:paraId="2025186F" w14:textId="201BE62C" w:rsidR="00576A90" w:rsidRDefault="00576A90" w:rsidP="00576A90">
      <w:pPr>
        <w:pStyle w:val="TextoNormal"/>
      </w:pPr>
      <w:r w:rsidRPr="00576A90">
        <w:rPr>
          <w:rStyle w:val="NumeroAFNegritaCaracter"/>
        </w:rPr>
        <w:t>2</w:t>
      </w:r>
      <w:r>
        <w:t>. El Pleno del Tribunal, mediante providencia de 6 de noviembre de 2023, acordó admitir a trámite el recurso de inconstitucionalidad interpuesto y dar traslado de las actuaciones, conforme establece el art. 34 LOTC, al Congreso de los Diputados, al Senado, a la Xunta y al Parlamento de Galicia, al objeto de que en el plazo de quince días pudieran personarse en el proceso y formular las alegaciones que estimaran pertinentes; tener por invocado por el presidente del Gobierno el art. 161.2 CE, lo que a su tenor y conforme dispone el art. 30 LOTC, produjo la suspensión de la vigencia y aplicación de los preceptos impugnados desde la fecha de interposición del recurso para las partes del proceso, y desde el día en que aparezca publicada la suspensión en el “Boletín Oficial del Estado” para los terceros; y publicar la incoación del recurso en el “Boletín Oficial del Estado” y en el “Diario Oficial de Galicia”.</w:t>
      </w:r>
    </w:p>
    <w:p w14:paraId="3B3124EA" w14:textId="77777777" w:rsidR="00576A90" w:rsidRDefault="00576A90" w:rsidP="00576A90">
      <w:pPr>
        <w:pStyle w:val="TextoNormal"/>
      </w:pPr>
    </w:p>
    <w:p w14:paraId="332A7725" w14:textId="7BA33411" w:rsidR="00576A90" w:rsidRDefault="00576A90" w:rsidP="00576A90">
      <w:pPr>
        <w:pStyle w:val="TextoNormal"/>
      </w:pPr>
      <w:r w:rsidRPr="00576A90">
        <w:rPr>
          <w:rStyle w:val="NumeroAFNegritaCaracter"/>
        </w:rPr>
        <w:t>3</w:t>
      </w:r>
      <w:r>
        <w:t>. Por escritos registrados en este tribunal los días 18 y 19 de diciembre de 2023 los letrados del Parlamento y de la Xunta de Galicia formularon sus alegaciones solicitando la desestimación del recurso de inconstitucionalidad interpuesto, así como, por medio de otrosí, que se abriera el oportuno incidente en el que se oyera a las partes sobre el levantamiento de tal suspensión.</w:t>
      </w:r>
    </w:p>
    <w:p w14:paraId="187628FE" w14:textId="77777777" w:rsidR="00576A90" w:rsidRDefault="00576A90" w:rsidP="00576A90">
      <w:pPr>
        <w:pStyle w:val="TextoNormal"/>
      </w:pPr>
    </w:p>
    <w:p w14:paraId="4E60F058" w14:textId="7BEA6FE0" w:rsidR="00576A90" w:rsidRDefault="00576A90" w:rsidP="00576A90">
      <w:pPr>
        <w:pStyle w:val="TextoNormal"/>
      </w:pPr>
      <w:r w:rsidRPr="00576A90">
        <w:rPr>
          <w:rStyle w:val="NumeroAFNegritaCaracter"/>
        </w:rPr>
        <w:t>4</w:t>
      </w:r>
      <w:r>
        <w:t>. Por diligencia de ordenación del secretario del Pleno de 20 de diciembre de 2023, se concedió el plazo de cinco días a las partes personadas para que expusieran lo que considerasen conveniente acerca del mantenimiento o levantamiento de la suspensión de la ley impugnada.</w:t>
      </w:r>
    </w:p>
    <w:p w14:paraId="166F3E4E" w14:textId="77777777" w:rsidR="00576A90" w:rsidRDefault="00576A90" w:rsidP="00576A90">
      <w:pPr>
        <w:pStyle w:val="TextoNormal"/>
      </w:pPr>
    </w:p>
    <w:p w14:paraId="6B7E463F" w14:textId="77777777" w:rsidR="00576A90" w:rsidRDefault="00576A90" w:rsidP="00576A90">
      <w:pPr>
        <w:pStyle w:val="TextoNormal"/>
      </w:pPr>
      <w:r w:rsidRPr="00576A90">
        <w:rPr>
          <w:rStyle w:val="NumeroAFNegritaCaracter"/>
        </w:rPr>
        <w:lastRenderedPageBreak/>
        <w:t>5</w:t>
      </w:r>
      <w:r>
        <w:t>. El día 8 de enero de 2024 tuvo entrada en el registro general del tribunal las alegaciones de la Xunta de Galicia en las que solicitaba el levantamiento de la suspensión de la vigencia de los preceptos recurridos.</w:t>
      </w:r>
    </w:p>
    <w:p w14:paraId="1E4C6413" w14:textId="77777777" w:rsidR="00576A90" w:rsidRDefault="00576A90" w:rsidP="00576A90">
      <w:pPr>
        <w:pStyle w:val="TextoNormal"/>
      </w:pPr>
    </w:p>
    <w:p w14:paraId="065154E1" w14:textId="77777777" w:rsidR="00576A90" w:rsidRDefault="00576A90" w:rsidP="00576A90">
      <w:pPr>
        <w:pStyle w:val="TextoNormal"/>
      </w:pPr>
      <w:r>
        <w:t>A tal fin, efectúa un repaso de la doctrina constitucional aplicada para resolver estos incidentes. Argumenta que los acuerdos interpretativos alcanzados con otras comunidades autónomas en el marco de las comisiones bilaterales —a los que se refiere extensamente— se han recogido en diversos preceptos de la propia Ley 4/2023, por lo que difícilmente pueden ocasionarse perjuicios irreparables. Destaca que se han impugnado más preceptos que los apreciados como inconstitucionales por el Consejo de Estado y en ello apoya el levamiento de la suspensión de los preceptos en los que concurre dicha circunstancia. Reprocha el incumplimiento de la carga impugnatoria de muchos preceptos y afirma el amplio consenso obtenido en la aprobación de la Ley 4/2023, la importancia del litoral gallego y la finalidad de la citada ley. Recuerda las competencias de la Comunidad Autónoma de Galicia sobre el litoral.</w:t>
      </w:r>
    </w:p>
    <w:p w14:paraId="0B28E8DD" w14:textId="77777777" w:rsidR="00576A90" w:rsidRDefault="00576A90" w:rsidP="00576A90">
      <w:pPr>
        <w:pStyle w:val="TextoNormal"/>
      </w:pPr>
    </w:p>
    <w:p w14:paraId="721C2DAB" w14:textId="77777777" w:rsidR="00576A90" w:rsidRDefault="00576A90" w:rsidP="00576A90">
      <w:pPr>
        <w:pStyle w:val="TextoNormal"/>
      </w:pPr>
      <w:r>
        <w:t>A continuación, a lo largo de 200 páginas, expone las razones sobre el levantamiento de la suspensión, junto con otras que —desbordando este incidente— tienen que ver con el fondo de la impugnación y la discrepancia con los argumentos esgrimidos por el abogado del Estado —o la ausencia de los mismos— y que ya puso de manifiesto en las alegaciones frente al recurso de inconstitucionalidad.</w:t>
      </w:r>
    </w:p>
    <w:p w14:paraId="2900BBF1" w14:textId="77777777" w:rsidR="00576A90" w:rsidRDefault="00576A90" w:rsidP="00576A90">
      <w:pPr>
        <w:pStyle w:val="TextoNormal"/>
      </w:pPr>
    </w:p>
    <w:p w14:paraId="35EA7369" w14:textId="77777777" w:rsidR="00576A90" w:rsidRDefault="00576A90" w:rsidP="00576A90">
      <w:pPr>
        <w:pStyle w:val="TextoNormal"/>
      </w:pPr>
      <w:r>
        <w:t>En relación con las primeras, que es a las que nos debemos circunscribir, indica que la gestión de los títulos de ocupación no está en vigor (art. 48.1 y disposición final quinta) lo que determina la inexistencia de perjuicio presente e irreparable y además, donde la gestión es autonómica, el Estado se reserva funciones muy cualificadas de supervisión, como la emisión de informes preceptivos. Argumenta que preceptos similares a los impugnados aprobados en otras leyes autonómicas no han sido recurridos ante el Tribunal Constitucional.</w:t>
      </w:r>
    </w:p>
    <w:p w14:paraId="689A64A7" w14:textId="77777777" w:rsidR="00576A90" w:rsidRDefault="00576A90" w:rsidP="00576A90">
      <w:pPr>
        <w:pStyle w:val="TextoNormal"/>
      </w:pPr>
    </w:p>
    <w:p w14:paraId="1D447D26" w14:textId="77777777" w:rsidR="00576A90" w:rsidRDefault="00576A90" w:rsidP="00576A90">
      <w:pPr>
        <w:pStyle w:val="TextoNormal"/>
      </w:pPr>
      <w:r>
        <w:t>Sostiene que la previsión de criterios en relación con las directrices [art. 23.2 d), g), i) y m) de la Ley 4/2023]; las determinaciones del plan de ordenación costera [art. 24.3 c), e) y f)], del plan de ordenación marina [art. 25.1 a), b), c) y d)], y de los planes especiales de las playas [art.27.3 c)]; las estrategias [arts. 22.1 y 22.2 a), b), c) y d) y 57.3 de la ley 4/2023]; los trabajos preparatorios [art. 11.5.a) de la Ley 4/2023]; la emisión de informes (arts. 12.5 y 52 de la Ley 4/2023); los eventuales procedimientos integrados (en referencia a la impugnación de parte de los apartados 1, 3 y 4 del art. 53 de la Ley 4/2023); las previsiones contenidas en los instrumentos de ordenación del litoral (art. 59.2, en el inciso impugnado de la Ley 4/2023); los preceptos que pretenden luchar contra la contaminación marina (art. 11.1 en el inciso impugnado de la Ley 4/2023); el impulso de la implantación de establecimientos de la cadena mar-industria alimentaria en espacios portuarios (art. 12.2 de la Ley 4/2023); o por su carácter programático (art. 29.1 de la Ley 4/2023), no causan perjuicios irreparables y presentes.</w:t>
      </w:r>
    </w:p>
    <w:p w14:paraId="7E068175" w14:textId="77777777" w:rsidR="00576A90" w:rsidRDefault="00576A90" w:rsidP="00576A90">
      <w:pPr>
        <w:pStyle w:val="TextoNormal"/>
      </w:pPr>
    </w:p>
    <w:p w14:paraId="1507FD82" w14:textId="374A335B" w:rsidR="00576A90" w:rsidRDefault="00576A90" w:rsidP="00576A90">
      <w:pPr>
        <w:pStyle w:val="TextoNormal"/>
      </w:pPr>
      <w:r>
        <w:t>Niega también la existencia de tales perjuicios en relación con los usos permitidos, compatibles y prohibidos a que se refieren distintos artículos impugnados para las tres áreas de zonificación. También considera que mantener la suspensión de otros preceptos puede ocasionar confusión (en relación con la impugnación de los arts. 48.1, 58.3 y dispo</w:t>
      </w:r>
      <w:r>
        <w:lastRenderedPageBreak/>
        <w:t>sición final quinta en los incisos impugnados de la Ley 4/2023) o es innecesario, al respetarse la legislación estatal (arts. 60.3, 62.5, inciso final y 64.3 de la Ley 4/2023).</w:t>
      </w:r>
    </w:p>
    <w:p w14:paraId="1E2576FE" w14:textId="77777777" w:rsidR="00576A90" w:rsidRDefault="00576A90" w:rsidP="00576A90">
      <w:pPr>
        <w:pStyle w:val="TextoNormal"/>
      </w:pPr>
    </w:p>
    <w:p w14:paraId="2153384F" w14:textId="77777777" w:rsidR="00576A90" w:rsidRDefault="00576A90" w:rsidP="00576A90">
      <w:pPr>
        <w:pStyle w:val="TextoNormal"/>
      </w:pPr>
      <w:r w:rsidRPr="00576A90">
        <w:rPr>
          <w:rStyle w:val="NumeroAFNegritaCaracter"/>
        </w:rPr>
        <w:t>6</w:t>
      </w:r>
      <w:r>
        <w:t>. El día 10 de enero de 2024 presentó sus alegaciones el abogado del Estado, en las que solicita el mantenimiento de la suspensión. Considera que en el presente caso concurre, de forma notoria, el interés general en el mantenimiento de la suspensión. Indica que en el caso de que se levantara la suspensión se podrían producir perjuicios de imposible reparación si se estimara el recurso, al afectarse a un ámbito tan sensible como el mar territorial, el dominio público marítimo-terrestre y sus zonas de servidumbre. Entiende que la afectación medio ambiental de las posibles actuaciones de ejecución previstas en la Ley 4/2023 implican la necesaria proyección del principio de prudencia. A tal fin acompaña como anexos sendos informes de la Secretaría General Técnica del Ministerio para la Transición Ecológica y el Reto Demográfico y de la Dirección General de Ordenación Pesquera y Acuicultura del Ministerio de Agricultura, Pesca y Alimentación en los que se recogen los perjuicios irreparables y el daño al interés general que se producirían de levantarse la suspensión.</w:t>
      </w:r>
    </w:p>
    <w:p w14:paraId="7F642DC0" w14:textId="77777777" w:rsidR="00576A90" w:rsidRDefault="00576A90" w:rsidP="00576A90">
      <w:pPr>
        <w:pStyle w:val="TextoNormal"/>
      </w:pPr>
    </w:p>
    <w:p w14:paraId="3ED73BA2" w14:textId="77777777" w:rsidR="00576A90" w:rsidRDefault="00576A90" w:rsidP="00576A90">
      <w:pPr>
        <w:pStyle w:val="TextoNormal"/>
      </w:pPr>
      <w:r>
        <w:t>Sostiene que debe mantenerse la suspensión de todos los artículos que afectan a la delimitación de lo que se considera por la Ley 4/2023 “litoral”, atendido el ámbito territorial que resulta de la definición del mismo, pues de no mantenerse se permitiría a la comunidad autonómica la proyección de la competencia de ordenación del territorio sobre los límites del mar territorial, sobre el cual no tendría competencia al situarse fuera del término del municipio. Ello implicaría, por conexión con el resto de los artículos arriba citados, el ejercicio de competencias ejecutivas por la administración autonómica sobre una porción de terreno sobre la que no ostentan competencias. Es por ello por lo que considera que debe mantenerse la suspensión del art. 2.1 y 2 y, por conexión, los artículos 1.2 g), 11.5 a), 12.5, 21.1 d) y c), 23.2 d), g), i) y m), 24.3 f), 25.1 c), 27.3 c) y 64.3 de la Ley 4/2023 y por conexión el resto de los artículos que, en función de la definición de litoral, extienden las competencias de la Comunidad Autónoma de Galicia sin atribución estatutaria.</w:t>
      </w:r>
    </w:p>
    <w:p w14:paraId="3C4C7258" w14:textId="77777777" w:rsidR="00576A90" w:rsidRDefault="00576A90" w:rsidP="00576A90">
      <w:pPr>
        <w:pStyle w:val="TextoNormal"/>
      </w:pPr>
    </w:p>
    <w:p w14:paraId="2639154F" w14:textId="77777777" w:rsidR="00576A90" w:rsidRDefault="00576A90" w:rsidP="00576A90">
      <w:pPr>
        <w:pStyle w:val="TextoNormal"/>
      </w:pPr>
      <w:r>
        <w:t>Por otra parte, considera que no debe levantarse la suspensión de todas las disposiciones impugnadas que condicionan el ejercicio de las atribuciones legales a la existencia de traspasos de competencias. En este marco se encontrarían los arts. 1.2 d), 11.4 b), 11.5 b), 48, 62.5 y, por conexión, la disposición final quinta. Este conjunto de preceptos se refiere al ejercicio de las competencias de la comunidad autónoma para la gestión de unos títulos de ocupación sin haber asumido la competencia estatutariamente para ello. Considera que el levantamiento de la suspensión habilitaría a la Comunidad Autónoma de Galicia a exigir judicial o extrajudicialmente a la Administración General del Estado la realización de esos traspasos antes de que el Tribunal se pronuncie acerca de su constitucionalidad y sin asumir estatutariamente la competencia para recibir tal traspaso ni ejercer tales funciones.</w:t>
      </w:r>
    </w:p>
    <w:p w14:paraId="6F5B0F00" w14:textId="77777777" w:rsidR="00576A90" w:rsidRDefault="00576A90" w:rsidP="00576A90">
      <w:pPr>
        <w:pStyle w:val="TextoNormal"/>
      </w:pPr>
    </w:p>
    <w:p w14:paraId="45141272" w14:textId="77777777" w:rsidR="00576A90" w:rsidRDefault="00576A90" w:rsidP="00576A90">
      <w:pPr>
        <w:pStyle w:val="TextoNormal"/>
      </w:pPr>
      <w:r>
        <w:t xml:space="preserve">Añade que debe mantenerse la suspensión en relación con los artículos que permitirían la realización de cualquier actividad de ordenación económica o zonificación entre los límites interior y exterior del mar territorial. En concreto, el levantamiento de la suspensión del art. 22 permitiría a la Comunidad Autónoma de Galicia elaborar una estrategia de economía azul, que se apartara de la planificación estatal o colisionara directamente con </w:t>
      </w:r>
      <w:r>
        <w:lastRenderedPageBreak/>
        <w:t>ella, pudiendo afectar a las comunidades autónomas colindantes. Resalta la amplia afectación e impacto que tiene dicha estrategia atendida la continuidad de todo el litoral.</w:t>
      </w:r>
    </w:p>
    <w:p w14:paraId="640C124F" w14:textId="77777777" w:rsidR="00576A90" w:rsidRDefault="00576A90" w:rsidP="00576A90">
      <w:pPr>
        <w:pStyle w:val="TextoNormal"/>
      </w:pPr>
    </w:p>
    <w:p w14:paraId="6D611C10" w14:textId="77777777" w:rsidR="00576A90" w:rsidRDefault="00576A90" w:rsidP="00576A90">
      <w:pPr>
        <w:pStyle w:val="TextoNormal"/>
      </w:pPr>
      <w:r>
        <w:t>Por otra parte, el levantamiento de la suspensión de la aplicación del art. 25.1 de la Ley 4/2023 puede dar lugar a resoluciones y actos sobre la economía del mar, el desarrollo del espacio marítimo o aprovechamiento de recursos marinos incompatibles o contrarios a la planificación estatal en dichos aspectos y de imposible o muy difícil reparación una vez producidos. Esto es, puede llevar a la toma de decisiones y resoluciones por parte de la Xunta de Galicia respecto de la franja de mar territorial en el que se decidan aprovechamientos, pesquerías o uso de artes incompatibles con la regulación nacional y comunitaria. Añade que el levantamiento de la suspensión del art. 59 de la Ley 4/2023, puede dar lugar a la zonificación de la zona marina incompatible con los planes estatales.</w:t>
      </w:r>
    </w:p>
    <w:p w14:paraId="2EB4A0C9" w14:textId="77777777" w:rsidR="00576A90" w:rsidRDefault="00576A90" w:rsidP="00576A90">
      <w:pPr>
        <w:pStyle w:val="TextoNormal"/>
      </w:pPr>
    </w:p>
    <w:p w14:paraId="4C17C5E3" w14:textId="77777777" w:rsidR="00576A90" w:rsidRDefault="00576A90" w:rsidP="00576A90">
      <w:pPr>
        <w:pStyle w:val="TextoNormal"/>
      </w:pPr>
      <w:r>
        <w:t>Refiere que debe mantenerse la suspensión de los artículos que atribuyen a la Comunidad Autónoma de Galicia competencias para otorgar autorizaciones y concesiones de ocupación. De no suspenderse la vigencia de la ley y contraviniendo la legislación estatal de costas, podría la Comunidad Autónoma de Galicia tomar decisiones que implicarían la destrucción y/o la sustracción del uso público de espacios de dominio público marítimo-terrestre. Se generarían así efectos irreversibles en el sustrato físico sobre el que se proyectarían esas resoluciones o informes, con el consiguiente deterioro irrecuperable del medio ambiente litoral. Así las cosas, el interés ecológico preferente que justifica el mantenimiento de la suspensión obedece a la necesidad de protección del demanio público en su integridad física y jurídica, y la vinculación que al mismo tiene la servidumbre de protección.</w:t>
      </w:r>
    </w:p>
    <w:p w14:paraId="3619B5EA" w14:textId="77777777" w:rsidR="00576A90" w:rsidRDefault="00576A90" w:rsidP="00576A90">
      <w:pPr>
        <w:pStyle w:val="TextoNormal"/>
      </w:pPr>
    </w:p>
    <w:p w14:paraId="769B73DE" w14:textId="77777777" w:rsidR="00576A90" w:rsidRDefault="00576A90" w:rsidP="00576A90">
      <w:pPr>
        <w:pStyle w:val="TextoNormal"/>
      </w:pPr>
      <w:r>
        <w:t>Sostiene que los arts. 36 y 60 de la Ley 4/2023 contemplan la construcción de infraestructuras hidráulicas para el abastecimiento de poblaciones y el saneamiento y depuración de aguas residuales; el art. 55 de la Ley 4/2023 hace referencia a la industria mar-alimentaria; el art. 34 regula los usos permitidos en el área de protección ambiental; el art. 35 de la Ley 4/2023 se refiere a los usos compatibles del área de protección ambiental; los arts. 40, 41 y 42 a los usos compatibles, permitidos y prohibidos en el área de mejora ambiental y paisajística, afectando todos ellos al dominio público marítimo-terrestre y a la zona de especial protección.</w:t>
      </w:r>
    </w:p>
    <w:p w14:paraId="091FA67F" w14:textId="77777777" w:rsidR="00576A90" w:rsidRDefault="00576A90" w:rsidP="00576A90">
      <w:pPr>
        <w:pStyle w:val="TextoNormal"/>
      </w:pPr>
    </w:p>
    <w:p w14:paraId="6E728924" w14:textId="77777777" w:rsidR="00576A90" w:rsidRDefault="00576A90" w:rsidP="00576A90">
      <w:pPr>
        <w:pStyle w:val="TextoNormal"/>
      </w:pPr>
      <w:r>
        <w:t>Añade que los arts. 40.1 y 46 de la Ley 4/2023 incluyen usos que afectan al dominio público marítimo-terrestre y a sus valores naturales, mientras que el art. 49.2 de la Ley 4/2023 rebaja la protección del dominio público marítimo-terrestre y de la zona de especial protección y en sus apartados tercero y cuarto recoge una presunción legal sobre determinadas obras, instalaciones y actividades que se consideran susceptibles de desarrollarse sobre terrenos afectados por la servidumbre de costas.</w:t>
      </w:r>
    </w:p>
    <w:p w14:paraId="24FD15C6" w14:textId="77777777" w:rsidR="00576A90" w:rsidRDefault="00576A90" w:rsidP="00576A90">
      <w:pPr>
        <w:pStyle w:val="TextoNormal"/>
      </w:pPr>
    </w:p>
    <w:p w14:paraId="6278DB67" w14:textId="5521614D" w:rsidR="00576A90" w:rsidRDefault="00576A90" w:rsidP="00576A90">
      <w:pPr>
        <w:pStyle w:val="TextoNormal"/>
      </w:pPr>
      <w:r>
        <w:t>Finalmente se refiere a la afectación que tiene sobre el dominio público marítimo-terrestre la regulación de los arts. 57, 58 y la disposición final primera de la Ley 4/2023.</w:t>
      </w:r>
    </w:p>
    <w:p w14:paraId="6E43E972" w14:textId="77777777" w:rsidR="00576A90" w:rsidRDefault="00576A90" w:rsidP="00576A90">
      <w:pPr>
        <w:pStyle w:val="TextoNormal"/>
      </w:pPr>
    </w:p>
    <w:p w14:paraId="76F7AEA1" w14:textId="0E604C80" w:rsidR="00576A90" w:rsidRDefault="00576A90" w:rsidP="00576A90">
      <w:pPr>
        <w:pStyle w:val="TextoNormal"/>
      </w:pPr>
      <w:r w:rsidRPr="00576A90">
        <w:rPr>
          <w:rStyle w:val="NumeroAFNegritaCaracter"/>
        </w:rPr>
        <w:t>7</w:t>
      </w:r>
      <w:r>
        <w:t>. El día10 de enero de 2024, presentó sus alegaciones el Parlamento de Galicia, en las que solicita el levantamiento de la suspensión de los preceptos impugnados. Recuerda la doctrina constitucional que se proyecta sobre estos incidentes y defiende la constitucionalidad de la Ley 4/2023, refiriéndose a cada uno de los preceptos impugnados.</w:t>
      </w:r>
    </w:p>
    <w:p w14:paraId="4685D5C3" w14:textId="77777777" w:rsidR="00576A90" w:rsidRDefault="00576A90" w:rsidP="00576A90">
      <w:pPr>
        <w:pStyle w:val="TextoNormal"/>
      </w:pPr>
    </w:p>
    <w:p w14:paraId="41B88D8A" w14:textId="77777777" w:rsidR="00576A90" w:rsidRDefault="00576A90" w:rsidP="00576A90">
      <w:pPr>
        <w:pStyle w:val="TextoNormalNegritaCentrado"/>
        <w:keepNext/>
      </w:pPr>
      <w:r>
        <w:t>II. Fundamentos jurídicos</w:t>
      </w:r>
    </w:p>
    <w:p w14:paraId="4DC1AACB" w14:textId="19C1FAA0" w:rsidR="00576A90" w:rsidRDefault="00576A90" w:rsidP="00576A90">
      <w:pPr>
        <w:pStyle w:val="TextoNormalNegritaCentrado"/>
        <w:keepNext/>
      </w:pPr>
    </w:p>
    <w:p w14:paraId="6895291C" w14:textId="77777777" w:rsidR="00576A90" w:rsidRDefault="00576A90" w:rsidP="00576A90">
      <w:pPr>
        <w:pStyle w:val="TextoNormal"/>
      </w:pPr>
      <w:r w:rsidRPr="00576A90">
        <w:rPr>
          <w:rStyle w:val="NumeroAFNegritaCaracter"/>
        </w:rPr>
        <w:t>1</w:t>
      </w:r>
      <w:r>
        <w:t>. El objeto de la presente resolución consiste en determinar si procede levantar o mantener la suspensión de los arts. 1.2 d) y g); 2.1 y 2.2; 3 a); 11.1, 11.4 b), 11.5 a) y b); 12.2 y 12.5; 21.1 d) y e); 22.1 y 22.2 a), b), c) y d); 23.2 d), g), i) y m); 24.3 c), e) y f); 25.1 a), b), c) y d); 27.3 c); 29.1; 34.2 a) y b) y 34.3; 35.2 a), b) y c) y 35.3; 36.2 a), b) y c); 40.2 y 40.3; 41.2 a), b), c) y d) y 41.3; 46.2, 46.3 a) y b) y 46.5; 48.1, 3, 4 y 5; 49.1, 49.2, 49.3 y 49.4; 52; 53.1, 53.3 y 53.4; 55.2; 57.3; 58.3; 59.2; 60.3; 62.5; 64.3; disposición final primera y disposición final quinta de la Ley 4/2023, de 6 de julio, de ordenación y gestión integrada del litoral de Galicia, que se encuentran suspendidos en su aplicación como consecuencia de la invocación por el presidente del Gobierno de los arts. 161.2 CE y 30 LOTC en el recurso de inconstitucionalidad interpuesto contra ellos.</w:t>
      </w:r>
    </w:p>
    <w:p w14:paraId="4CD30177" w14:textId="77777777" w:rsidR="00576A90" w:rsidRDefault="00576A90" w:rsidP="00576A90">
      <w:pPr>
        <w:pStyle w:val="TextoNormal"/>
      </w:pPr>
    </w:p>
    <w:p w14:paraId="353636FF" w14:textId="77777777" w:rsidR="00576A90" w:rsidRDefault="00576A90" w:rsidP="00576A90">
      <w:pPr>
        <w:pStyle w:val="TextoNormal"/>
      </w:pPr>
      <w:r>
        <w:t>Dada la cantidad de preceptos de la Ley 4/2023 impugnados y sobre los que debemos pronunciarnos en orden al mantenimiento o levantamiento de la suspensión y atendida la significación que esta decisión supone a la afectación de intereses medioambientales, debemos referirnos, aunque sea de un modo escueto, al contenido, finalidad e impacto que sobre el objeto regulatorio resulta de la Ley 4/2023.</w:t>
      </w:r>
    </w:p>
    <w:p w14:paraId="24A8FBF7" w14:textId="77777777" w:rsidR="00576A90" w:rsidRDefault="00576A90" w:rsidP="00576A90">
      <w:pPr>
        <w:pStyle w:val="TextoNormal"/>
      </w:pPr>
    </w:p>
    <w:p w14:paraId="49D624C1" w14:textId="77777777" w:rsidR="00576A90" w:rsidRDefault="00576A90" w:rsidP="00576A90">
      <w:pPr>
        <w:pStyle w:val="TextoNormal"/>
      </w:pPr>
      <w:r>
        <w:t>Como indica la exposición de motivos de la ley 4/2023, Galicia es la comunidad autónoma con el litoral más largo de toda España, con uno de los ecosistemas marino-costeros más variados y ricos del mundo. La Ley 4/2023 aspira a la ordenación y gestión de ese litoral, cuya extensión se extiende hasta el límite exterior del mar territorial, desde un enfoque ecosistémico e integrado, con el convencimiento de asumir el protagonismo en su ordenación y gestión. Una regulación que contempla un cúmulo omnicomprensivo de fines y objetivos, que de modo detallado se exponen en la exposición de motivos de la ley antes citada, y que tienen como punto de arranque una amplia definición del litoral sobre el que recae un sistema integrado de instrumentos de ordenación, que pretenden servir de apoyo al crecimiento sostenible de los sectores productivos vinculados al mar y al aprovechamiento de los mares y océanos como motor de la economía.</w:t>
      </w:r>
    </w:p>
    <w:p w14:paraId="1A945457" w14:textId="77777777" w:rsidR="00576A90" w:rsidRDefault="00576A90" w:rsidP="00576A90">
      <w:pPr>
        <w:pStyle w:val="TextoNormal"/>
      </w:pPr>
    </w:p>
    <w:p w14:paraId="0467EC36" w14:textId="62B6C463" w:rsidR="00576A90" w:rsidRDefault="00576A90" w:rsidP="00576A90">
      <w:pPr>
        <w:pStyle w:val="TextoNormal"/>
      </w:pPr>
      <w:r>
        <w:t>Para el logro de tales propósitos la Ley 4/2023 establece la regulación de los usos y actividades del litoral —que es zonificado en tres áreas distintas, pero comprensivas, cada una de ellas, tanto del dominio público marítimo-terrestre como de la zona de especial protección— y distingue los usos permitidos, compatibles y prohibidos, atribuyéndose la gestión de los títulos de ocupación del demanio marítimo-terrestre.</w:t>
      </w:r>
    </w:p>
    <w:p w14:paraId="3E0BD4A0" w14:textId="77777777" w:rsidR="00576A90" w:rsidRDefault="00576A90" w:rsidP="00576A90">
      <w:pPr>
        <w:pStyle w:val="TextoNormal"/>
      </w:pPr>
    </w:p>
    <w:p w14:paraId="0F725C3B" w14:textId="6DC23D69" w:rsidR="00576A90" w:rsidRDefault="00576A90" w:rsidP="00576A90">
      <w:pPr>
        <w:pStyle w:val="TextoNormal"/>
      </w:pPr>
      <w:r w:rsidRPr="00576A90">
        <w:rPr>
          <w:rStyle w:val="NumeroAFNegritaCaracter"/>
        </w:rPr>
        <w:t>2</w:t>
      </w:r>
      <w:r>
        <w:t xml:space="preserve">. Expuesto lo anterior debemos empezar por recordar, atendido el contenido de las alegaciones formuladas por las partes, que los motivos de inconstitucionalidad deducidos en el recurso y controvertidos por la Xunta y el Parlamento de Galicia “son irrelevantes para resolver sobre la cuestión objeto de este incidente, pues según reiterada doctrina, al margen de algunos supuestos excepcionales en los que puede valorarse el </w:t>
      </w:r>
      <w:r w:rsidRPr="00576A90">
        <w:rPr>
          <w:i/>
        </w:rPr>
        <w:t>fumus boni iuris</w:t>
      </w:r>
      <w:r>
        <w:t xml:space="preserve">, que aquí no concurren, la decisión de levantar o mantener la suspensión debe adoptarse al margen de la viabilidad de las pretensiones que se formulan en la demanda y atendiendo exclusivamente a las situaciones de hecho derivadas del mantenimiento o levantamiento de la suspensión y a los perjuicios de imposible o difícil reparación que puedan </w:t>
      </w:r>
      <w:r>
        <w:lastRenderedPageBreak/>
        <w:t>derivarse tanto para el interés general y público como el particular o privado de las personas afectadas. En este sentido, ha de recordarse que el mantenimiento de la suspensión requiere que el Gobierno, a quien se debe la iniciativa, no solamente invoque la existencia de aquellos perjuicios, sino que debe igualmente demostrar o, al menos, razonar consistentemente su procedencia y la imposible o difícil reparación de los mismos” (entre los más recientes, ATC 83/2021, de 15 de septiembre, FJ 2).</w:t>
      </w:r>
    </w:p>
    <w:p w14:paraId="4E766AAB" w14:textId="77777777" w:rsidR="00576A90" w:rsidRDefault="00576A90" w:rsidP="00576A90">
      <w:pPr>
        <w:pStyle w:val="TextoNormal"/>
      </w:pPr>
    </w:p>
    <w:p w14:paraId="4A180CA7" w14:textId="194C5779" w:rsidR="00576A90" w:rsidRDefault="00576A90" w:rsidP="00576A90">
      <w:pPr>
        <w:pStyle w:val="TextoNormal"/>
      </w:pPr>
      <w:r w:rsidRPr="00576A90">
        <w:rPr>
          <w:rStyle w:val="NumeroAFNegritaCaracter"/>
        </w:rPr>
        <w:t>3</w:t>
      </w:r>
      <w:r>
        <w:t>. Tal y como resulta de los antecedentes, no se trata en este caso de la impugnación aislada de concretos preceptos, sino que el abogado del Estado con sustento en los dos informes aportados pone de manifiesto el impacto que la regulación de la Ley 4/2023 va a suponer sobre el dominio público marítimo terrestre atendida la propia definición y extensión del litoral que se acuña en la misma y el contenido de las competencias que se asumen sobre la gestión del litoral —que mermaría la protección que sobre el dominio público marítimo terrestre establece el Estado a través de su regulación— y proyecta ese planteamiento sobre los preceptos cuya suspensión pretende que se mantenga. Por su parte, la Xunta de Galicia defiende el levantamiento de la suspensión considerando que no existe el peligro presente e irreparable que se exige para mantener la suspensión.</w:t>
      </w:r>
    </w:p>
    <w:p w14:paraId="2B45420F" w14:textId="77777777" w:rsidR="00576A90" w:rsidRDefault="00576A90" w:rsidP="00576A90">
      <w:pPr>
        <w:pStyle w:val="TextoNormal"/>
      </w:pPr>
    </w:p>
    <w:p w14:paraId="33FC206E" w14:textId="77777777" w:rsidR="00576A90" w:rsidRDefault="00576A90" w:rsidP="00576A90">
      <w:pPr>
        <w:pStyle w:val="TextoNormal"/>
      </w:pPr>
      <w:r w:rsidRPr="00576A90">
        <w:rPr>
          <w:rStyle w:val="NumeroAFNegritaCaracter"/>
        </w:rPr>
        <w:t>4</w:t>
      </w:r>
      <w:r>
        <w:t>. Este tribunal tiene declarado que la carga que pesa sobre el recurrente en este incidente no comporta la necesidad de demostrar indubitadamente la existencia y cuantificación de los perjuicios invocados, sino la de argumentar de forma consistente sobre su existencia (ATC 35/2023, de 7 de febrero, FJ 4). En el presente caso, dicha justificación debe ser considerada suficiente pues se sustenta en que: (i) la Ley 4/2023 atribuye competencias a la Comunidad Autónoma de Galicia para realizar actuaciones de ejecución sobre el dominio público marítimo-terrestre y la zona de especial protección, y con ello afecta a su preservación por el Estado, que tiene atribuida la competencia como titular del demanio (art. 132.2 CE). La dependencia de la aprobación del decreto de traspasos para la gestión de los títulos de ocupación, no minora dicho perjuicio, al poderse reclamar su aprobación incluso judicialmente de no suspenderse los preceptos que habilitan la gestión de los títulos de ocupación; (ii) el levantamiento de la suspensión posibilitaría elaborar estrategias, instrumentos, que en clara contraposición a la planificación estatal, sean soporte de actos y resoluciones administrativas, de imposible o difícil anulación, en ámbitos como la ordenación de espacios marinos o de pesca, desarrollo del sector energético, aprovechamientos, pesquerías o usos de artes incompatibles con la regulación nacional y comunitaria; (iii) los preceptos impugnados contemplan la construcción de infraestructuras, instalaciones y establecimientos que afectan al demanio y a sus valores naturales o a la servidumbre de protección.</w:t>
      </w:r>
    </w:p>
    <w:p w14:paraId="2473C63B" w14:textId="77777777" w:rsidR="00576A90" w:rsidRDefault="00576A90" w:rsidP="00576A90">
      <w:pPr>
        <w:pStyle w:val="TextoNormal"/>
      </w:pPr>
    </w:p>
    <w:p w14:paraId="7B7F8F0F" w14:textId="77777777" w:rsidR="00576A90" w:rsidRDefault="00576A90" w:rsidP="00576A90">
      <w:pPr>
        <w:pStyle w:val="TextoNormal"/>
      </w:pPr>
      <w:r>
        <w:t>Es relevante destacar, atendida la tutela que se pretende, que a la hora de ponderar los intereses concurrentes en este tipo de incidentes cautelares, la doctrina de este tribunal viene reiterando que el riesgo de deterioro del medio ambiente es objeto de “consideración preferente en este tipo de incidentes”, pues “en materia de suspensión cautelar la salvaguarda del interés ecológico merece la condición de interés preferente, dada la fragilidad e irreparabilidad de los perjuicios que se podrían producir en caso de su perturbación, por lo que solo cabe admitir su subordinación a otros intereses públicos o privados de carácter patrimonial cuando la lesión de estos suponga afectar a un sector económico de manera directa e inmediata, fundamental para la economía de la Nación, con posibles perjuicios económicos de muy difícil reparación, o bien cuando la aplicación de las medidas contro</w:t>
      </w:r>
      <w:r>
        <w:lastRenderedPageBreak/>
        <w:t>vertidas fuera susceptible de provocar gravísimos efectos perjudiciales” (ATC 114/2011, de 19 de julio, FFJJ 4 y 6).</w:t>
      </w:r>
    </w:p>
    <w:p w14:paraId="0648937D" w14:textId="77777777" w:rsidR="00576A90" w:rsidRDefault="00576A90" w:rsidP="00576A90">
      <w:pPr>
        <w:pStyle w:val="TextoNormal"/>
      </w:pPr>
    </w:p>
    <w:p w14:paraId="02CFD8D0" w14:textId="7845D553" w:rsidR="00576A90" w:rsidRDefault="00576A90" w:rsidP="00576A90">
      <w:pPr>
        <w:pStyle w:val="TextoNormal"/>
      </w:pPr>
      <w:r>
        <w:t xml:space="preserve">En concreto hemos significado que “las actividades que utilizan como soporte físico los bienes integrantes del dominio público marítimo-terrestre pueden ser muy variadas, pero el ejercicio de dichas actividades ha de ser cohonestado con la necesaria protección de la integridad del demanio y la preservación, en la medida de lo posible, de sus características, pues tales bienes integran el medio ambiente susceptible de protección </w:t>
      </w:r>
      <w:r w:rsidRPr="00576A90">
        <w:rPr>
          <w:i/>
        </w:rPr>
        <w:t>ex</w:t>
      </w:r>
      <w:r>
        <w:t xml:space="preserve"> art. 45 CE, precepto constitucional que establece, como uno de los principios rectores de la política social y económica, la obligación de los poderes públicos de velar por la utilización racional de los recursos naturales con el fin de proteger y mejorar la calidad de vida y defender y restaurar el medio ambiente, apoyándose en la indispensable solidaridad colectiva” (ATC 34/2009, de 27 de enero, FJ 6).</w:t>
      </w:r>
    </w:p>
    <w:p w14:paraId="23357490" w14:textId="77777777" w:rsidR="00576A90" w:rsidRDefault="00576A90" w:rsidP="00576A90">
      <w:pPr>
        <w:pStyle w:val="TextoNormal"/>
      </w:pPr>
    </w:p>
    <w:p w14:paraId="7F90C56A" w14:textId="77777777" w:rsidR="00576A90" w:rsidRDefault="00576A90" w:rsidP="00576A90">
      <w:pPr>
        <w:pStyle w:val="TextoNormal"/>
      </w:pPr>
      <w:r w:rsidRPr="00576A90">
        <w:rPr>
          <w:rStyle w:val="NumeroAFNegritaCaracter"/>
        </w:rPr>
        <w:t>5</w:t>
      </w:r>
      <w:r>
        <w:t>. No procede entrar a valorar cuestiones tales como la proyección que sobre el dominio público marítimo terrestre y la zona de especial protección tienen las competencias autonómicas, la compatibilidad o no de la regulación autonómica con la legislación estatal, el respeto a la normativa de costas mediante el reiterado uso de cláusulas de salvaguarda, entre otras, al pertenecer al fondo del asunto discutido en el proceso principal y ser del todo ajenas al presente incidente. Nos corresponde apreciar exclusivamente si la aplicación de las disposiciones impugnadas no resulta indiferente desde la perspectiva del interés ecológico y medioambiental subyacente, al ocasionar situaciones que siendo irreversibles o de difícil reparación, menoscaben la integridad del demanio y los valores naturales en él protegidos.</w:t>
      </w:r>
    </w:p>
    <w:p w14:paraId="445652F7" w14:textId="77777777" w:rsidR="00576A90" w:rsidRDefault="00576A90" w:rsidP="00576A90">
      <w:pPr>
        <w:pStyle w:val="TextoNormal"/>
      </w:pPr>
    </w:p>
    <w:p w14:paraId="48913D60" w14:textId="77777777" w:rsidR="00576A90" w:rsidRDefault="00576A90" w:rsidP="00576A90">
      <w:pPr>
        <w:pStyle w:val="TextoNormal"/>
      </w:pPr>
      <w:r>
        <w:t>Dicho interés, de acuerdo con la doctrina que ya hemos recogido, ha de merecer consideración preferente en la resolución de este tipo de incidentes, máxime cuando las concretas normas impugnadas afectan a la regulación por el Estado del dominio público marítimo-terrestre y de la zona de especial protección, cuya finalidad responde a la obligación del legislador estatal de proteger el demanio marítimo-terrestre a fin de asegurar tanto el mantenimiento de su integridad física y jurídica, como su uso público y sus valores paisajísticos. Estas finalidades que ampara el art. 45 CE no pueden alcanzarse, sin embargo, sin limitar o condicionar de algún modo las utilizaciones del demanio y su uso y con él y, en consecuencia, tampoco sin incidir sobre la competencia que para la ordenación del territorio ostentan las comunidades autónomas costeras (STC 46/2007, FJ 12).</w:t>
      </w:r>
    </w:p>
    <w:p w14:paraId="36406C91" w14:textId="77777777" w:rsidR="00576A90" w:rsidRDefault="00576A90" w:rsidP="00576A90">
      <w:pPr>
        <w:pStyle w:val="TextoNormal"/>
      </w:pPr>
    </w:p>
    <w:p w14:paraId="353FAA35" w14:textId="77777777" w:rsidR="00576A90" w:rsidRDefault="00576A90" w:rsidP="00576A90">
      <w:pPr>
        <w:pStyle w:val="TextoNormal"/>
      </w:pPr>
      <w:r>
        <w:t>Es por ello que, limitados por la imposibilidad de enjuiciamiento del fondo de las cuestiones suscitadas, debemos mantener la suspensión de los preceptos que —habiendo sido impugnados— ha sido solicitada por el abogado del Estado. En efecto, la aplicación de tales normas es susceptible de provocar la consolidación de situaciones jurídicas irreversibles o cuya reparación no esté exenta de graves dificultades. En tal sentido, la aplicación de los preceptos impugnados, atendido su contenido, suponen la habilitación de determinados usos —cuestionados en el recurso—, y que, desde la perspectiva cautelar propia de este incidente, por mandato constitucional del art. 132.2 CE, deben llevar al mantenimiento de su suspensión.</w:t>
      </w:r>
    </w:p>
    <w:p w14:paraId="2B6A1879" w14:textId="77777777" w:rsidR="00576A90" w:rsidRDefault="00576A90" w:rsidP="00576A90">
      <w:pPr>
        <w:pStyle w:val="TextoNormal"/>
      </w:pPr>
    </w:p>
    <w:p w14:paraId="2BF9B01D" w14:textId="77777777" w:rsidR="00576A90" w:rsidRDefault="00576A90" w:rsidP="00576A90">
      <w:pPr>
        <w:pStyle w:val="TextoNormal"/>
      </w:pPr>
      <w:r>
        <w:t>En tal sentido, dicha afectación y las dificultades de reparación de los perjuicios resultan de que los preceptos: atribuyen el otorgamiento de la gestión del litoral y de la conce</w:t>
      </w:r>
      <w:r>
        <w:lastRenderedPageBreak/>
        <w:t>sión de títulos habilitantes para su utilización a la Comunidad Autónoma de Galicia, así como la regulación del patrimonio público litoral [art. 1.2 d) y g) de la Ley 4/2023]; preceptúan como ámbito de aplicación de la ley, al definir el litoral, precisamente el dominio público marítimo-terrestre, a cuya protección se encamina la regulación estatal (art. 2.1 y 2.2 de la Ley 4/2023); regulan la preparación de los instrumentos de ordenación del litoral [art. 11.5 a) de la Ley 4/2023]; fijan las directrices o las estrategias que constituirán el marco de referencia de los instrumentos de ordenación del litoral y por tanto del dominio público marítimo-terrestre [arts. 21.1 d); 22.1 y 22.2 a), b), c) y d); y, 23.2 d), g), i) y m) de la Ley 4/2023]; determinan en la planificación de los usos de los espacios terrestre e intermareal del litoral o de los espacios marinos [arts. 24.3 c), e) y f) y 25.1 a), b) y d) de la Ley 4/2023] o de las playas [art. 27.3 c) de la Ley 4/2023]; establecen los usos permitidos, compatibles y prohibidos sobre el dominio público marítimo-terrestre y la zona de especial protección, así como los usos de los bienes del demanio (arts. 34, 35, 36, 40, 41 y 46); permiten la ocupación del dominio público marítimo-terrestre para actividades e instalaciones determinadas (art. 48.3 de la Ley 4/2023); facilitan mediante el procedimiento de declaración, en sustitución de la autorización previa, ciertas instalaciones, obras y utilidades (art. 49 de la Ley 4/2023); permiten la explotación económica en términos turísticos de ciertos establecimientos ubicados en el demanio (art. 57.3 de la Ley 4/2023); regulan la responsabilidad sobre los bienes de interés cultural o catalogados ubicados en el dominio público marítimo-terrestre (art. 58.3 de la Ley 4/2023); prevén el emplazamiento de instalaciones en el demanio o en la zona de especial protección (arts. 55.2 y 60.3 de la Ley 4/2023); amplían los usos portuarios permitidos (disposición final primera de la Ley 4/2023); y, contemplan medidas sobre el sector energético en el dominio público marítimo-terrestre [art. 25.1 c) de la Ley 4/2023].</w:t>
      </w:r>
    </w:p>
    <w:p w14:paraId="29ADC679" w14:textId="77777777" w:rsidR="00576A90" w:rsidRDefault="00576A90" w:rsidP="00576A90">
      <w:pPr>
        <w:pStyle w:val="TextoNormal"/>
      </w:pPr>
    </w:p>
    <w:p w14:paraId="366B830B" w14:textId="09CF5BD0" w:rsidR="00576A90" w:rsidRDefault="00576A90" w:rsidP="00576A90">
      <w:pPr>
        <w:pStyle w:val="TextoNormal"/>
      </w:pPr>
      <w:r>
        <w:t>Por otra parte, la previsión de informes de calidad de las aguas para posibilitar ciertos usos en el dominio público marítimo-terrestre, encomendándose los mismos al Instituto Tecnológico para el Control del Medio Marino (arts. 12.5 y 64.3 de la Ley 4/2023) puede bloquear el ejercicio de las competencias estatales (art. 62.5 de la Ley 4/2023), o bien consolidar un trato de discriminación (art. 59.2 de la Ley 4/2023), que la sentencia que en su día se dictará, caso de ser estimatoria, no podría reparar.</w:t>
      </w:r>
    </w:p>
    <w:p w14:paraId="2C1B870C" w14:textId="77777777" w:rsidR="00576A90" w:rsidRDefault="00576A90" w:rsidP="00576A90">
      <w:pPr>
        <w:pStyle w:val="TextoNormal"/>
      </w:pPr>
    </w:p>
    <w:p w14:paraId="16AD2413" w14:textId="77777777" w:rsidR="00576A90" w:rsidRDefault="00576A90" w:rsidP="00576A90">
      <w:pPr>
        <w:pStyle w:val="TextoNormal"/>
      </w:pPr>
      <w:r w:rsidRPr="00576A90">
        <w:rPr>
          <w:rStyle w:val="NumeroAFNegritaCaracter"/>
        </w:rPr>
        <w:t>6</w:t>
      </w:r>
      <w:r>
        <w:t>. Por las razones expuestas, la ponderación de intereses en conflicto, y en especial la necesidad de tutela de los intereses ecológicos y medioambientales y la finalidad constitucional de preservación de la integridad del demanio y de sus valores naturales, se justifica la procedencia de mantener la suspensión inicialmente acordada de los preceptos que habían sido impugnados, debiendo aclarar que no ha lugar a suspender los artículos 21.1 c) y 42 de la Ley 4/2023, que no habían sido impugnados, mientras no procede mantener la suspensión de los artículos 21.1 e), 29.1, 52 y 53 de la Ley 4/2023, respecto de los que no se ha solicitado el mantenimiento de la suspensión.</w:t>
      </w:r>
    </w:p>
    <w:p w14:paraId="3F0B1883" w14:textId="77777777" w:rsidR="00576A90" w:rsidRDefault="00576A90" w:rsidP="00576A90">
      <w:pPr>
        <w:pStyle w:val="TextoNormal"/>
      </w:pPr>
    </w:p>
    <w:p w14:paraId="48055233" w14:textId="33302FEB" w:rsidR="00576A90" w:rsidRDefault="00576A90" w:rsidP="00576A90">
      <w:pPr>
        <w:pStyle w:val="TextoNormal"/>
      </w:pPr>
      <w:r>
        <w:t>Esto es, se debe mantener la suspensión de los arts. 1.2 d) y g); 2.1 y 2.2; 11.4 b), 11.5 a) y b); 12.5; 21.1 d); 22.1 y 22.2 a), b), c) y d); 23.2 d), g), i) y m); 24.3 c), e) y f); 25.1 a), b), c) y d); 27.3 c); 34.2 a) y b) y 34.3; 35.2 a), b) y c) y 35.3; 36.2 a), b) y c); 40.2 y 40.3; 41.2 a), b), c) y d) y 41.3; 46.2, 46.3 a) y b) y 46.5; 48.1, 48.3, 48.4 y 48.5; 49.1, 49.2, 49.3 y 49.4; 55.2; 57.3; 58.3; 59.2; 60.3; 62.5; 64.3; disposición final primera y disposición final quinta de la Ley del Parlamento de Galicia 4/2023, de 6 de julio, de ordenación y gestión integrada del litoral de Galicia.</w:t>
      </w:r>
    </w:p>
    <w:p w14:paraId="7395F1E8" w14:textId="77777777" w:rsidR="00576A90" w:rsidRDefault="00576A90" w:rsidP="00576A90">
      <w:pPr>
        <w:pStyle w:val="TextoNormal"/>
      </w:pPr>
    </w:p>
    <w:p w14:paraId="20858CA8" w14:textId="77777777" w:rsidR="00576A90" w:rsidRDefault="00576A90" w:rsidP="00576A90">
      <w:pPr>
        <w:pStyle w:val="TextoNormal"/>
      </w:pPr>
      <w:r>
        <w:t>Por lo expuesto, el Pleno</w:t>
      </w:r>
    </w:p>
    <w:p w14:paraId="528CB293" w14:textId="7AAB811F" w:rsidR="00576A90" w:rsidRDefault="00576A90" w:rsidP="00576A90">
      <w:pPr>
        <w:pStyle w:val="TextoNormal"/>
      </w:pPr>
    </w:p>
    <w:p w14:paraId="1A1CCDC8" w14:textId="77777777" w:rsidR="00576A90" w:rsidRDefault="00576A90" w:rsidP="00576A90">
      <w:pPr>
        <w:pStyle w:val="TextoNormalCentrado"/>
      </w:pPr>
      <w:r>
        <w:t>ACUERDA</w:t>
      </w:r>
    </w:p>
    <w:p w14:paraId="1FF06D3D" w14:textId="659B83D1" w:rsidR="00576A90" w:rsidRDefault="00576A90" w:rsidP="00576A90">
      <w:pPr>
        <w:pStyle w:val="TextoNormalCentrado"/>
      </w:pPr>
    </w:p>
    <w:p w14:paraId="02D1A045" w14:textId="77777777" w:rsidR="00576A90" w:rsidRDefault="00576A90" w:rsidP="00576A90">
      <w:pPr>
        <w:pStyle w:val="TextoNormal"/>
      </w:pPr>
      <w:r>
        <w:t>1º Mantener la suspensión de los arts. 1.2 d) y g); 2.1 y 2.2; 11.4 b), 11.5 a) y b); 12.5; 21.1 d); 22.1 y 22.2 a), b), c) y d); 23.2 d), g), i) y m); 24.3 c), e) y f); 25.1 a), b), c) y d); 27.3 c); 34.2 a) y b) y 34.3; 35.2 a), b) y c) y 35.3; 36.2 a), b) y c); 40.2 y 3; 41.2 a), b), c) y d) y 41.3; 46.2, 46.3 a) y b) y 46.5; 48.1, 3, 4 y 5; 49.1, 2, 3 y 4; 55.2; 57.3; 58.3; 59.2; 60.3; 62.5; 64.3; disposición final primera y disposición final quinta de la Ley 4/2023, de 6 de julio, de ordenación y gestión integrada del litoral de Galicia.</w:t>
      </w:r>
    </w:p>
    <w:p w14:paraId="3998B251" w14:textId="77777777" w:rsidR="00576A90" w:rsidRDefault="00576A90" w:rsidP="00576A90">
      <w:pPr>
        <w:pStyle w:val="TextoNormal"/>
      </w:pPr>
    </w:p>
    <w:p w14:paraId="6D07D7F4" w14:textId="31FD9189" w:rsidR="00576A90" w:rsidRDefault="00576A90" w:rsidP="00576A90">
      <w:pPr>
        <w:pStyle w:val="TextoNormal"/>
      </w:pPr>
      <w:r>
        <w:t>2º Levantar la suspensión del resto de preceptos impugnados.</w:t>
      </w:r>
    </w:p>
    <w:p w14:paraId="0E7220FA" w14:textId="77777777" w:rsidR="00576A90" w:rsidRDefault="00576A90" w:rsidP="00576A90">
      <w:pPr>
        <w:pStyle w:val="TextoNormal"/>
      </w:pPr>
    </w:p>
    <w:p w14:paraId="4E51F118" w14:textId="77777777" w:rsidR="00576A90" w:rsidRDefault="00576A90" w:rsidP="00576A90">
      <w:pPr>
        <w:pStyle w:val="TextoNormal"/>
      </w:pPr>
      <w:r>
        <w:t>Madrid, a veintiocho de febrero de dos mil veinticuatro.</w:t>
      </w:r>
    </w:p>
    <w:p w14:paraId="2D1A04D2" w14:textId="5A37BF02" w:rsidR="00576A90" w:rsidRDefault="00576A90">
      <w:pPr>
        <w:spacing w:after="160" w:line="259" w:lineRule="auto"/>
        <w:rPr>
          <w:rFonts w:ascii="Times New Roman" w:eastAsia="Times New Roman" w:hAnsi="Times New Roman" w:cs="Times New Roman"/>
          <w:sz w:val="24"/>
          <w:szCs w:val="24"/>
          <w:lang w:eastAsia="es-ES"/>
        </w:rPr>
      </w:pPr>
      <w:r>
        <w:br w:type="page"/>
      </w:r>
    </w:p>
    <w:p w14:paraId="4BEF1EFB" w14:textId="77777777" w:rsidR="00576A90" w:rsidRDefault="00576A90" w:rsidP="00576A90">
      <w:pPr>
        <w:pStyle w:val="TtuloResolucin"/>
      </w:pPr>
      <w:bookmarkStart w:id="118" w:name="AUTO_2024_23"/>
      <w:r>
        <w:lastRenderedPageBreak/>
        <w:t>AUTO 23/2024, de 4 de marzo de 2024</w:t>
      </w:r>
    </w:p>
    <w:bookmarkEnd w:id="118"/>
    <w:p w14:paraId="7556716A" w14:textId="77777777" w:rsidR="00576A90" w:rsidRDefault="00576A90" w:rsidP="00576A90">
      <w:pPr>
        <w:pStyle w:val="TtuloResolucin"/>
      </w:pPr>
      <w:r>
        <w:t>Sección Primera</w:t>
      </w:r>
    </w:p>
    <w:p w14:paraId="2395EC22" w14:textId="77777777" w:rsidR="00576A90" w:rsidRDefault="00576A90" w:rsidP="00576A90">
      <w:pPr>
        <w:pStyle w:val="TextoNormalCentrado"/>
      </w:pPr>
      <w:r>
        <w:t>ECLI:ES:TC:2024:23A</w:t>
      </w:r>
    </w:p>
    <w:p w14:paraId="7F97C99F" w14:textId="7D1ED9C9" w:rsidR="00576A90" w:rsidRDefault="00576A90" w:rsidP="00576A90">
      <w:pPr>
        <w:pStyle w:val="TextoNormalCentrado"/>
      </w:pPr>
    </w:p>
    <w:p w14:paraId="2528640A" w14:textId="77777777" w:rsidR="00576A90" w:rsidRDefault="00576A90" w:rsidP="00576A90">
      <w:pPr>
        <w:pStyle w:val="SntesisDescriptiva"/>
      </w:pPr>
      <w:r>
        <w:t>Excms. Srs. doña Concepción Espejel Jorquera y doña María Luisa Segoviano Astaburuaga.</w:t>
      </w:r>
    </w:p>
    <w:p w14:paraId="36151496" w14:textId="61C3873F" w:rsidR="00576A90" w:rsidRDefault="00576A90" w:rsidP="00576A90">
      <w:pPr>
        <w:pStyle w:val="SntesisDescriptiva"/>
      </w:pPr>
    </w:p>
    <w:p w14:paraId="2887E4EA" w14:textId="77777777" w:rsidR="00576A90" w:rsidRDefault="00576A90" w:rsidP="00576A90">
      <w:pPr>
        <w:pStyle w:val="SntesisDescriptiva"/>
      </w:pPr>
      <w:r>
        <w:t>Acepta una abstención en el recurso de amparo 7632-2023, promovido en proceso militar.</w:t>
      </w:r>
    </w:p>
    <w:p w14:paraId="2700D108" w14:textId="655FD554" w:rsidR="00576A90" w:rsidRDefault="00576A90" w:rsidP="00576A90">
      <w:pPr>
        <w:pStyle w:val="SntesisDescriptiva"/>
      </w:pPr>
    </w:p>
    <w:p w14:paraId="55B711C9" w14:textId="77777777" w:rsidR="00576A90" w:rsidRDefault="00576A90" w:rsidP="00576A90">
      <w:pPr>
        <w:pStyle w:val="SntesisDescriptiva"/>
      </w:pPr>
    </w:p>
    <w:p w14:paraId="7F4D78AE" w14:textId="77777777" w:rsidR="00576A90" w:rsidRDefault="00576A90" w:rsidP="00576A90">
      <w:pPr>
        <w:pStyle w:val="SntesisDescriptiva"/>
      </w:pPr>
    </w:p>
    <w:p w14:paraId="6D311191" w14:textId="77777777" w:rsidR="00576A90" w:rsidRDefault="00576A90" w:rsidP="00576A90">
      <w:pPr>
        <w:pStyle w:val="TextoNormalNegritaCentrado"/>
      </w:pPr>
      <w:r>
        <w:t>AUTO</w:t>
      </w:r>
    </w:p>
    <w:p w14:paraId="0F5B70C7" w14:textId="42024C2C" w:rsidR="00576A90" w:rsidRDefault="00576A90" w:rsidP="00576A90">
      <w:pPr>
        <w:pStyle w:val="TextoNormalNegritaCentrado"/>
      </w:pPr>
    </w:p>
    <w:p w14:paraId="0D855994" w14:textId="77777777" w:rsidR="00576A90" w:rsidRDefault="00576A90" w:rsidP="00576A90">
      <w:pPr>
        <w:pStyle w:val="TextoNormalNegritaCentrado"/>
        <w:keepNext/>
      </w:pPr>
      <w:r>
        <w:t>I. Antecedentes</w:t>
      </w:r>
    </w:p>
    <w:p w14:paraId="393A8D69" w14:textId="164FC6AB" w:rsidR="00576A90" w:rsidRDefault="00576A90" w:rsidP="00576A90">
      <w:pPr>
        <w:pStyle w:val="TextoNormalNegritaCentrado"/>
        <w:keepNext/>
      </w:pPr>
    </w:p>
    <w:p w14:paraId="3634ED5A" w14:textId="77777777" w:rsidR="00576A90" w:rsidRDefault="00576A90" w:rsidP="00576A90">
      <w:pPr>
        <w:pStyle w:val="TextoNormal"/>
      </w:pPr>
      <w:r w:rsidRPr="00576A90">
        <w:rPr>
          <w:rStyle w:val="TextoNormalNegritaCaracter"/>
        </w:rPr>
        <w:t xml:space="preserve">Único. </w:t>
      </w:r>
      <w:r>
        <w:t>En el recurso de amparo núm. 7632-2023 se impugna la sentencia 77/2023, de fecha 18 de octubre de 2023, dictada por la Sala de lo Militar del Tribunal Supremo, frente a la resolución de la señora ministra de Defensa de 10 de enero de 2023, por la que se acordaba imponer al recurrente la sanción disciplinaria de resolución de compromiso, como autor de una falta muy grave del art. 7.13 de la Ley Orgánica 12/2007, de 22 de octubre, de régimen disciplinario de la Guardia Civil.</w:t>
      </w:r>
    </w:p>
    <w:p w14:paraId="4F34CC83" w14:textId="77777777" w:rsidR="00576A90" w:rsidRDefault="00576A90" w:rsidP="00576A90">
      <w:pPr>
        <w:pStyle w:val="TextoNormal"/>
      </w:pPr>
    </w:p>
    <w:p w14:paraId="6830A1AF" w14:textId="7E80D908" w:rsidR="00576A90" w:rsidRDefault="00576A90" w:rsidP="00576A90">
      <w:pPr>
        <w:pStyle w:val="TextoNormal"/>
      </w:pPr>
      <w:r>
        <w:t>Mediante escrito de 4 de marzo de 2024 el magistrado don Cándido Conde-Pumpido Tourón comunicó a los efectos oportunos que se abstenía de intervenir en el antes indicado recurso de amparo, de conformidad con el art. 80 de la Ley Orgánica del Tribunal Constitucional, por concurrir la causa de abstención prevista en el artículo 219.15 de la Ley Orgánica del Poder Judicial (LOPJ).</w:t>
      </w:r>
    </w:p>
    <w:p w14:paraId="64421678" w14:textId="77777777" w:rsidR="00576A90" w:rsidRDefault="00576A90" w:rsidP="00576A90">
      <w:pPr>
        <w:pStyle w:val="TextoNormal"/>
      </w:pPr>
    </w:p>
    <w:p w14:paraId="1CDD8A3F" w14:textId="77777777" w:rsidR="00576A90" w:rsidRDefault="00576A90" w:rsidP="00576A90">
      <w:pPr>
        <w:pStyle w:val="TextoNormalNegritaCentrado"/>
        <w:keepNext/>
      </w:pPr>
      <w:r>
        <w:t>II. Fundamentos jurídicos</w:t>
      </w:r>
    </w:p>
    <w:p w14:paraId="755DB780" w14:textId="2755AD13" w:rsidR="00576A90" w:rsidRDefault="00576A90" w:rsidP="00576A90">
      <w:pPr>
        <w:pStyle w:val="TextoNormalNegritaCentrado"/>
        <w:keepNext/>
      </w:pPr>
    </w:p>
    <w:p w14:paraId="769EE361" w14:textId="54A9C4CE" w:rsidR="00576A90" w:rsidRDefault="00576A90" w:rsidP="00576A90">
      <w:pPr>
        <w:pStyle w:val="TextoNormal"/>
      </w:pPr>
      <w:r w:rsidRPr="00576A90">
        <w:rPr>
          <w:rStyle w:val="TextoNormalNegritaCaracter"/>
        </w:rPr>
        <w:t xml:space="preserve">Único. </w:t>
      </w:r>
      <w:r>
        <w:t>Vista la comunicación efectuada por don Cándido Conde-Pumpido Tourón magistrado de esta Sección Primera del Tribunal Constitucional, la Sección, en virtud de lo previsto en el art. 219.15 LOPJ, supletoria de la Ley Orgánica del Tribunal Constitucional (art. 80), estima justificada la causa de abstención formulada.</w:t>
      </w:r>
    </w:p>
    <w:p w14:paraId="021B1D3D" w14:textId="77777777" w:rsidR="00576A90" w:rsidRDefault="00576A90" w:rsidP="00576A90">
      <w:pPr>
        <w:pStyle w:val="TextoNormal"/>
      </w:pPr>
    </w:p>
    <w:p w14:paraId="2DEE186E" w14:textId="77777777" w:rsidR="00576A90" w:rsidRDefault="00576A90" w:rsidP="00576A90">
      <w:pPr>
        <w:pStyle w:val="TextoNormal"/>
      </w:pPr>
      <w:r>
        <w:t>Por lo expuesto, la Sección</w:t>
      </w:r>
    </w:p>
    <w:p w14:paraId="00186EBA" w14:textId="445C8F31" w:rsidR="00576A90" w:rsidRDefault="00576A90" w:rsidP="00576A90">
      <w:pPr>
        <w:pStyle w:val="TextoNormal"/>
      </w:pPr>
    </w:p>
    <w:p w14:paraId="7990D3CC" w14:textId="77777777" w:rsidR="00576A90" w:rsidRDefault="00576A90" w:rsidP="00576A90">
      <w:pPr>
        <w:pStyle w:val="TextoNormalCentrado"/>
      </w:pPr>
      <w:r>
        <w:t>ACUERDA</w:t>
      </w:r>
    </w:p>
    <w:p w14:paraId="56D61858" w14:textId="6E70D463" w:rsidR="00576A90" w:rsidRDefault="00576A90" w:rsidP="00576A90">
      <w:pPr>
        <w:pStyle w:val="TextoNormalCentrado"/>
      </w:pPr>
    </w:p>
    <w:p w14:paraId="4BB540BC" w14:textId="03814AC9" w:rsidR="00576A90" w:rsidRDefault="00576A90" w:rsidP="00576A90">
      <w:pPr>
        <w:pStyle w:val="TextoNormal"/>
      </w:pPr>
      <w:r>
        <w:t>Estimar justificada la abstención formulada por el magistrado don Cándido Conde-Pumpido Tourón en el recurso de amparo núm. 7632-2023, apartándole definitivamente del conocimiento del referido recurso y de todas sus incidencias.</w:t>
      </w:r>
    </w:p>
    <w:p w14:paraId="3F471A93" w14:textId="77777777" w:rsidR="00576A90" w:rsidRDefault="00576A90" w:rsidP="00576A90">
      <w:pPr>
        <w:pStyle w:val="TextoNormal"/>
      </w:pPr>
    </w:p>
    <w:p w14:paraId="2FA4DB3E" w14:textId="77777777" w:rsidR="00576A90" w:rsidRDefault="00576A90" w:rsidP="00576A90">
      <w:pPr>
        <w:pStyle w:val="TextoNormal"/>
      </w:pPr>
      <w:r>
        <w:t>Madrid, a cuatro de marzo de dos mil veinticuatro.</w:t>
      </w:r>
    </w:p>
    <w:p w14:paraId="3B300FE7" w14:textId="3DDEE13E" w:rsidR="00576A90" w:rsidRDefault="00576A90">
      <w:pPr>
        <w:spacing w:after="160" w:line="259" w:lineRule="auto"/>
        <w:rPr>
          <w:rFonts w:ascii="Times New Roman" w:eastAsia="Times New Roman" w:hAnsi="Times New Roman" w:cs="Times New Roman"/>
          <w:sz w:val="24"/>
          <w:szCs w:val="24"/>
          <w:lang w:eastAsia="es-ES"/>
        </w:rPr>
      </w:pPr>
      <w:r>
        <w:br w:type="page"/>
      </w:r>
    </w:p>
    <w:p w14:paraId="25F997A4" w14:textId="77777777" w:rsidR="00576A90" w:rsidRDefault="00576A90" w:rsidP="00576A90">
      <w:pPr>
        <w:pStyle w:val="TtuloResolucin"/>
      </w:pPr>
      <w:bookmarkStart w:id="119" w:name="AUTO_2024_24"/>
      <w:r>
        <w:lastRenderedPageBreak/>
        <w:t>AUTO 24/2024, de 14 de marzo de 2024</w:t>
      </w:r>
    </w:p>
    <w:bookmarkEnd w:id="119"/>
    <w:p w14:paraId="6DE763F4" w14:textId="77777777" w:rsidR="00576A90" w:rsidRDefault="00576A90" w:rsidP="00576A90">
      <w:pPr>
        <w:pStyle w:val="TtuloResolucin"/>
      </w:pPr>
      <w:r>
        <w:t>Sección Cuarta</w:t>
      </w:r>
    </w:p>
    <w:p w14:paraId="39189CE5" w14:textId="77777777" w:rsidR="00576A90" w:rsidRDefault="00576A90" w:rsidP="00576A90">
      <w:pPr>
        <w:pStyle w:val="TextoNormalCentrado"/>
      </w:pPr>
      <w:r>
        <w:t>ECLI:ES:TC:2024:24A</w:t>
      </w:r>
    </w:p>
    <w:p w14:paraId="5272054D" w14:textId="7B4249DD" w:rsidR="00576A90" w:rsidRDefault="00576A90" w:rsidP="00576A90">
      <w:pPr>
        <w:pStyle w:val="TextoNormalCentrado"/>
      </w:pPr>
    </w:p>
    <w:p w14:paraId="7E152FC5" w14:textId="77777777" w:rsidR="00576A90" w:rsidRDefault="00576A90" w:rsidP="00576A90">
      <w:pPr>
        <w:pStyle w:val="SntesisDescriptiva"/>
      </w:pPr>
      <w:r>
        <w:t>Excms. Srs. doña María Luisa Balaguer Callejón, don Ramón Sáez Valcárcel y don Enrique Arnaldo Alcubilla.</w:t>
      </w:r>
    </w:p>
    <w:p w14:paraId="495B68DE" w14:textId="52D2DA80" w:rsidR="00576A90" w:rsidRDefault="00576A90" w:rsidP="00576A90">
      <w:pPr>
        <w:pStyle w:val="SntesisDescriptiva"/>
      </w:pPr>
    </w:p>
    <w:p w14:paraId="1AB26C56" w14:textId="77777777" w:rsidR="00576A90" w:rsidRDefault="00576A90" w:rsidP="00576A90">
      <w:pPr>
        <w:pStyle w:val="SntesisDescriptiva"/>
      </w:pPr>
      <w:r>
        <w:t>Inadmite a trámite el recurso de amparo 1599-2024, promovido por el Grupo Parlamentario Vox en el Congreso de los Diputados en procedimiento parlamentario. Voto particular.</w:t>
      </w:r>
    </w:p>
    <w:p w14:paraId="0031BB97" w14:textId="0EF651F2" w:rsidR="00576A90" w:rsidRDefault="00576A90" w:rsidP="00576A90">
      <w:pPr>
        <w:pStyle w:val="SntesisDescriptiva"/>
      </w:pPr>
    </w:p>
    <w:p w14:paraId="05EE3B06" w14:textId="77777777" w:rsidR="00576A90" w:rsidRDefault="00576A90" w:rsidP="00576A90">
      <w:pPr>
        <w:pStyle w:val="SntesisDescriptiva"/>
      </w:pPr>
    </w:p>
    <w:p w14:paraId="03705ACF" w14:textId="77777777" w:rsidR="00576A90" w:rsidRDefault="00576A90" w:rsidP="00576A90">
      <w:pPr>
        <w:pStyle w:val="SntesisDescriptiva"/>
      </w:pPr>
    </w:p>
    <w:p w14:paraId="39B5E01D" w14:textId="77777777" w:rsidR="00576A90" w:rsidRDefault="00576A90" w:rsidP="00576A90">
      <w:pPr>
        <w:pStyle w:val="TextoNormalNegritaCentrado"/>
      </w:pPr>
      <w:r>
        <w:t>AUTO</w:t>
      </w:r>
    </w:p>
    <w:p w14:paraId="4DEE63EE" w14:textId="4D7C6EDD" w:rsidR="00576A90" w:rsidRDefault="00576A90" w:rsidP="00576A90">
      <w:pPr>
        <w:pStyle w:val="TextoNormalNegritaCentrado"/>
      </w:pPr>
    </w:p>
    <w:p w14:paraId="6E88EC8F" w14:textId="77777777" w:rsidR="00576A90" w:rsidRDefault="00576A90" w:rsidP="00576A90">
      <w:pPr>
        <w:pStyle w:val="TextoNormalNegritaCentrado"/>
        <w:keepNext/>
      </w:pPr>
      <w:r>
        <w:t>I. Antecedentes</w:t>
      </w:r>
    </w:p>
    <w:p w14:paraId="6D2D44D1" w14:textId="7CB6091F" w:rsidR="00576A90" w:rsidRDefault="00576A90" w:rsidP="00576A90">
      <w:pPr>
        <w:pStyle w:val="TextoNormalNegritaCentrado"/>
        <w:keepNext/>
      </w:pPr>
    </w:p>
    <w:p w14:paraId="51FBE346" w14:textId="66538FCE" w:rsidR="00576A90" w:rsidRDefault="00576A90" w:rsidP="00576A90">
      <w:pPr>
        <w:pStyle w:val="TextoNormal"/>
      </w:pPr>
      <w:r w:rsidRPr="00576A90">
        <w:rPr>
          <w:rStyle w:val="NumeroAFNegritaCaracter"/>
        </w:rPr>
        <w:t>1</w:t>
      </w:r>
      <w:r>
        <w:t xml:space="preserve">. El día 5 de marzo de 2024, la procuradora de los tribunales doña María Pilar Hidalgo López, en nombre y representación del Grupo Parlamentario Vox en el Congreso de los Diputados y de los señores diputados don Santiago Abascal Conde, doña María José Rodríguez de Millán Parro, don José María Figaredo Álvarez-Sala, doña María de la Cabeza Ruíz Solás, don Juan José Aizcorbe Torra, don Francisco José Alcaraz Martos, doña Blanca Armario González, don Alberto Teófilo Asarta Cuevas, don Jorge Campos Asensi, don Ricardo Chamorro Delmo, doña Rocío de Meer Méndez, don Emilio Jesús del Valle Rodríguez, don Pedro Fernández Hernández, don Tomás Fernández Ríos, don Carlos Flores Juberías, don David García Gomis, don Ignacio Gil Lázaro, don Jacobo González-Robatto Perote, don Carlos Hernández Quero, don Ignacio Hoces Íñiguez, don Ángel López Maraver, don Manuel Mariscal Zabala, doña Carina Mejías Sánchez, doña Lourdes Méndez Monasterio, don Francisco Javier Ortega Smith-Molina, don José Ramírez del Río, don Joaquín Robles López, don Andrés Alberto Rodríguez Almeida, doña María de los Reyes Romero Vilches, doña Patricia Rueda Perelló, don Pablo Sáez Alonso-Muñumer, don José María Sánchez García y doña Rocío Aguirre Gil de Biedma, y bajo la dirección letrada de doña Marta Castro Fuertes, interpone recurso de amparo contra la decisión </w:t>
      </w:r>
      <w:r w:rsidRPr="00576A90">
        <w:rPr>
          <w:i/>
        </w:rPr>
        <w:t>in voce</w:t>
      </w:r>
      <w:r>
        <w:t xml:space="preserve"> de la presidenta del Congreso de los Diputados de 30 de enero de 2024 y contra acuerdo de la mesa del Congreso de los Diputados, de 6 de febrero de 2024, por considerar que han sido vulnerados sus derechos del art. 23.2 CE.</w:t>
      </w:r>
    </w:p>
    <w:p w14:paraId="31EB4D7C" w14:textId="77777777" w:rsidR="00576A90" w:rsidRDefault="00576A90" w:rsidP="00576A90">
      <w:pPr>
        <w:pStyle w:val="TextoNormal"/>
      </w:pPr>
    </w:p>
    <w:p w14:paraId="51EC58A3" w14:textId="77777777" w:rsidR="00576A90" w:rsidRDefault="00576A90" w:rsidP="00576A90">
      <w:pPr>
        <w:pStyle w:val="TextoNormal"/>
      </w:pPr>
      <w:r w:rsidRPr="00576A90">
        <w:rPr>
          <w:rStyle w:val="NumeroAFNegritaCaracter"/>
        </w:rPr>
        <w:t>2</w:t>
      </w:r>
      <w:r>
        <w:t>. Los hechos relevantes para resolver el pretendido recurso de amparo son, sucintamente expuestos, los siguientes:</w:t>
      </w:r>
    </w:p>
    <w:p w14:paraId="7A16D1F3" w14:textId="77777777" w:rsidR="00576A90" w:rsidRDefault="00576A90" w:rsidP="00576A90">
      <w:pPr>
        <w:pStyle w:val="TextoNormal"/>
      </w:pPr>
    </w:p>
    <w:p w14:paraId="379A87F2" w14:textId="77777777" w:rsidR="00576A90" w:rsidRDefault="00576A90" w:rsidP="00576A90">
      <w:pPr>
        <w:pStyle w:val="TextoNormal"/>
      </w:pPr>
      <w:r>
        <w:t>a) En la sesión del Pleno del Congreso de los Diputados celebrada el día 30 de enero de 2024, a continuación de haberse sometido a debate y votación las enmiendas no incorporadas al dictamen de la Comisión de Justicia sobre la proposición de ley orgánica de amnistía para la normalización institucional, política y social en Cataluña, que fueron rechazadas, y a votación el citado dictamen, que fue aprobado por mayoría absoluta de 177 votos a favor y 172 en contra, se procedió a la votación final sobre el conjunto de la iniciativa legislativa por tener carácter orgánico, que fue rechazada por 171 votos a favor y 179 en contra.</w:t>
      </w:r>
    </w:p>
    <w:p w14:paraId="3B01004C" w14:textId="77777777" w:rsidR="00576A90" w:rsidRDefault="00576A90" w:rsidP="00576A90">
      <w:pPr>
        <w:pStyle w:val="TextoNormal"/>
      </w:pPr>
    </w:p>
    <w:p w14:paraId="2F6CC49F" w14:textId="77777777" w:rsidR="00576A90" w:rsidRDefault="00576A90" w:rsidP="00576A90">
      <w:pPr>
        <w:pStyle w:val="TextoNormal"/>
      </w:pPr>
      <w:r>
        <w:t>A continuación, a la vista del resultado de votación, la presidenta de la cámara anunció que:</w:t>
      </w:r>
    </w:p>
    <w:p w14:paraId="2CC8F36E" w14:textId="77777777" w:rsidR="00576A90" w:rsidRDefault="00576A90" w:rsidP="00576A90">
      <w:pPr>
        <w:pStyle w:val="TextoNormal"/>
      </w:pPr>
    </w:p>
    <w:p w14:paraId="1D531575" w14:textId="77777777" w:rsidR="00576A90" w:rsidRDefault="00576A90" w:rsidP="00576A90">
      <w:pPr>
        <w:pStyle w:val="TextoNormal"/>
      </w:pPr>
      <w:r>
        <w:t>“[A]l no haberse obtenido la mayoría absoluta de los miembros de la Cámara a la proposición de ley orgánica de amnistía para la normalización institucional, política y social en Cataluña, se devuelve a la Comisión de Justicia para que emita un nuevo dictamen, de conformidad con el artículo 131.2 del Reglamento”.</w:t>
      </w:r>
    </w:p>
    <w:p w14:paraId="7C559C34" w14:textId="77777777" w:rsidR="00576A90" w:rsidRDefault="00576A90" w:rsidP="00576A90">
      <w:pPr>
        <w:pStyle w:val="TextoNormal"/>
      </w:pPr>
    </w:p>
    <w:p w14:paraId="566881DA" w14:textId="77777777" w:rsidR="00576A90" w:rsidRDefault="00576A90" w:rsidP="00576A90">
      <w:pPr>
        <w:pStyle w:val="TextoNormal"/>
      </w:pPr>
      <w:r>
        <w:t xml:space="preserve">b) El portavoz del Grupo Parlamentario Vox, el 2 de febrero de 2024, solicitó a la mesa de la Cámara que acordase la nulidad del “acuerdo emitido </w:t>
      </w:r>
      <w:r w:rsidRPr="00576A90">
        <w:rPr>
          <w:i/>
        </w:rPr>
        <w:t>in voce</w:t>
      </w:r>
      <w:r>
        <w:t xml:space="preserve"> por parte de la presidente (</w:t>
      </w:r>
      <w:r w:rsidRPr="00576A90">
        <w:rPr>
          <w:i/>
        </w:rPr>
        <w:t>sic</w:t>
      </w:r>
      <w:r>
        <w:t>) del Congreso”, transcrito en el apartado anterior, y se declarase “que la proposición de ley orgánica de amnistía para la normalización institucional, política y social en Cataluña ha sido rechazada en su conjunto por el Pleno del Congreso de los Diputados y que, por tanto, el procedimiento legislativo ha terminado”.</w:t>
      </w:r>
    </w:p>
    <w:p w14:paraId="7E76D8B5" w14:textId="77777777" w:rsidR="00576A90" w:rsidRDefault="00576A90" w:rsidP="00576A90">
      <w:pPr>
        <w:pStyle w:val="TextoNormal"/>
      </w:pPr>
    </w:p>
    <w:p w14:paraId="2C6DFEF6" w14:textId="77777777" w:rsidR="00576A90" w:rsidRDefault="00576A90" w:rsidP="00576A90">
      <w:pPr>
        <w:pStyle w:val="TextoNormal"/>
      </w:pPr>
      <w:r>
        <w:t>En síntesis, sustentó su pretensión en el art. 79.1 del Reglamento del Congreso de los Diputados (RCD), a cuyo tenor: “[l]os acuerdos, para ser válidos, deberán ser aprobados por la mayoría simple de los miembros presentes del órgano correspondiente, sin perjuicio de las mayorías especiales que establezcan la Constitución, las leyes orgánicas o este Reglamento”. En su opinión, al no haberse alcanzado en la votación final sobre el conjunto de la proposición de ley la mayoría simple a su favor, la iniciativa legislativa, en aplicación del citado precepto reglamentario, había de entenderse rechazada y, en consecuencia, decaída. Considera que para que fuera aplicable el art. 131.2 RCD, que prevé la devolución del proyecto a la Comisión en caso de no conseguirse la mayoría absoluta en una votación final sobre el conjunto del texto al objeto de que emita un nuevo dictamen en el plazo de un mes, era necesario que la iniciativa legislativa hubiera alcanzado la mayoría simple en dicha votación final. En favor de su pretensión invocó sendos precedentes, que reitera en la demanda de amparo, en los que, no obtenida la mayoría absoluta en la votación final sobre el conjunto del texto y habiéndose alcanzado una mayoría simple se devolvió la propuesta legislativa a la Comisión para que emitiese un nuevo dictamen.</w:t>
      </w:r>
    </w:p>
    <w:p w14:paraId="7589F36C" w14:textId="77777777" w:rsidR="00576A90" w:rsidRDefault="00576A90" w:rsidP="00576A90">
      <w:pPr>
        <w:pStyle w:val="TextoNormal"/>
      </w:pPr>
    </w:p>
    <w:p w14:paraId="59AF6E6F" w14:textId="77777777" w:rsidR="00576A90" w:rsidRDefault="00576A90" w:rsidP="00576A90">
      <w:pPr>
        <w:pStyle w:val="TextoNormal"/>
      </w:pPr>
      <w:r>
        <w:t>c) La mesa de la Cámara en contestación a la solicitud del portavoz del Grupo Parlamentario Vox adoptó el siguiente acuerdo en la sesión de 6 de febrero de 2024:</w:t>
      </w:r>
    </w:p>
    <w:p w14:paraId="5A1299AA" w14:textId="77777777" w:rsidR="00576A90" w:rsidRDefault="00576A90" w:rsidP="00576A90">
      <w:pPr>
        <w:pStyle w:val="TextoNormal"/>
      </w:pPr>
    </w:p>
    <w:p w14:paraId="7A9D971E" w14:textId="5AB2DC22" w:rsidR="00576A90" w:rsidRDefault="00576A90" w:rsidP="00576A90">
      <w:pPr>
        <w:pStyle w:val="TextoNormal"/>
      </w:pPr>
      <w:r>
        <w:t>“Aclarar al grupo Parlamentario autor del presente escrito que, la Presidencia, en la sesión plenaria extraordinaria del pasado 30 de enero, realizada la votación de conjunto a que se refiere el artículo 131.2 del Reglamento en relación con la proposición de ley orgánica de referencia, no adoptó ningún acuerdo, sino que se limitó a constatar el resultado de dicha votación y a anunciar la consecuencia que, necesariamente y en aplicación del citado precepto, se deriva del mismo, siendo así que es a la mesa a la que le corresponde adoptar el acuerdo subsiguiente”.</w:t>
      </w:r>
    </w:p>
    <w:p w14:paraId="051D0469" w14:textId="77777777" w:rsidR="00576A90" w:rsidRDefault="00576A90" w:rsidP="00576A90">
      <w:pPr>
        <w:pStyle w:val="TextoNormal"/>
      </w:pPr>
    </w:p>
    <w:p w14:paraId="505FAC36" w14:textId="77777777" w:rsidR="00576A90" w:rsidRDefault="00576A90" w:rsidP="00576A90">
      <w:pPr>
        <w:pStyle w:val="TextoNormal"/>
      </w:pPr>
      <w:r w:rsidRPr="00576A90">
        <w:rPr>
          <w:rStyle w:val="NumeroAFNegritaCaracter"/>
        </w:rPr>
        <w:t>3</w:t>
      </w:r>
      <w:r>
        <w:t>. Los recurrentes alegan en su demanda la vulneración del art. 23 CE, por incorrecta interpretación de los arts. 79.1 y 131 RCD.</w:t>
      </w:r>
    </w:p>
    <w:p w14:paraId="212675D2" w14:textId="77777777" w:rsidR="00576A90" w:rsidRDefault="00576A90" w:rsidP="00576A90">
      <w:pPr>
        <w:pStyle w:val="TextoNormal"/>
      </w:pPr>
    </w:p>
    <w:p w14:paraId="6696783C" w14:textId="77777777" w:rsidR="00576A90" w:rsidRDefault="00576A90" w:rsidP="00576A90">
      <w:pPr>
        <w:pStyle w:val="TextoNormal"/>
      </w:pPr>
      <w:r>
        <w:t xml:space="preserve">Los arts. 81.2 CE y 131 RCD exigen para la aprobación de una propuesta de ley orgánica por el Congreso de los Diputados para su remisión al Senado la mayoría absoluta de </w:t>
      </w:r>
      <w:r>
        <w:lastRenderedPageBreak/>
        <w:t>los miembros de la Cámara en una votación final sobre el conjunto del texto. La cuestión en este caso controvertida consiste determinar qué consecuencias que la propuesta en la citada votación final no alcance siquiera el voto favorable de la mayoría simple de los miembros de la Cámara.</w:t>
      </w:r>
    </w:p>
    <w:p w14:paraId="5BF6C3A9" w14:textId="77777777" w:rsidR="00576A90" w:rsidRDefault="00576A90" w:rsidP="00576A90">
      <w:pPr>
        <w:pStyle w:val="TextoNormal"/>
      </w:pPr>
    </w:p>
    <w:p w14:paraId="54BEA605" w14:textId="77777777" w:rsidR="00576A90" w:rsidRDefault="00576A90" w:rsidP="00576A90">
      <w:pPr>
        <w:pStyle w:val="TextoNormal"/>
      </w:pPr>
      <w:r>
        <w:t>La presidenta y la mesa de la Cámara en los actos objeto de este recurso han entendido, con base en el art. 131.2 RCD que la propuesta, al no haber alcanzado la mayoría absoluta de los miembros de la Cámara en la votación final sobre el conjunto del texto, ha de ser devuelta a la Comisión para que emita un nuevo dictamen en el plazo de un mes. Esta interpretación la califican los recurrentes no sólo de errónea, sino de ilógica, arbitraria, contradictoria y, por ello, vulneradora del derecho fundamental al ejercicio del cargo representativo (art. 23.2 CE). A su juicio, la interpretación adecuada, conforme a las previsiones del RCD y al citado derecho fundamental, es la de que al no haber obtenido la propuesta legislativa en aquella votación la mayoría simple de los miembros de la Cámara, la iniciativa legislativa, al haber sido rechazada por la Cámara, ha de entenderse decaída. En apoyo de esta interpretación invocan el art. 79.1 RCD, conforme al cual “[l]os acuerdos, para ser válidos, deberán ser aprobados por la mayoría simple de los miembros presentes del órgano correspondiente, sin perjuicio de las mayorías especiales que establezcan la Constitución, las leyes orgánicas o este Reglamento”.</w:t>
      </w:r>
    </w:p>
    <w:p w14:paraId="1ACB2A05" w14:textId="77777777" w:rsidR="00576A90" w:rsidRDefault="00576A90" w:rsidP="00576A90">
      <w:pPr>
        <w:pStyle w:val="TextoNormal"/>
      </w:pPr>
    </w:p>
    <w:p w14:paraId="1A972456" w14:textId="77777777" w:rsidR="00576A90" w:rsidRDefault="00576A90" w:rsidP="00576A90">
      <w:pPr>
        <w:pStyle w:val="TextoNormal"/>
      </w:pPr>
      <w:r>
        <w:t>En este caso, la votación final sobre el conjunto del texto de la proposición de ley orgánica de amnistía, que fue rechazado por una mayoría absoluta de los miembros de la Cámara, no alcanzó, obviamente, el voto favorable de la mayoría simple para que fuera de aplicación la previsión del art. 131.2 RCD de su devolución a la Comisión para emitir un nuevo dictamen.</w:t>
      </w:r>
    </w:p>
    <w:p w14:paraId="13477763" w14:textId="77777777" w:rsidR="00576A90" w:rsidRDefault="00576A90" w:rsidP="00576A90">
      <w:pPr>
        <w:pStyle w:val="TextoNormal"/>
      </w:pPr>
    </w:p>
    <w:p w14:paraId="1C5E064A" w14:textId="77777777" w:rsidR="00576A90" w:rsidRDefault="00576A90" w:rsidP="00576A90">
      <w:pPr>
        <w:pStyle w:val="TextoNormal"/>
      </w:pPr>
      <w:r>
        <w:t>En la demanda, en favor de la interpretación que en ella se sostiene, invocan dos precedentes en los que la propuesta legislativa de carácter orgánico no alcanzó en la votación final sobre el conjunto del texto la mayoría absoluta de los miembros de la Cámara y se devolvieron a la Comisión para emitir un nuevo dictamen porque las iniciativas habían obtenido el respaldo de la mayoría simple. Ambos precedentes acreditan, a juicio de los recurrentes, que sólo se devuelven a la Comisión las iniciativas legislativas que no son rechazadas por la Cámara, sino aprobados, pero que no han obtenido el voto favorable de la mayoría absoluta de los miembros de la Cámara, pero sí el de la mayoría simple.</w:t>
      </w:r>
    </w:p>
    <w:p w14:paraId="25E7687E" w14:textId="77777777" w:rsidR="00576A90" w:rsidRDefault="00576A90" w:rsidP="00576A90">
      <w:pPr>
        <w:pStyle w:val="TextoNormal"/>
      </w:pPr>
    </w:p>
    <w:p w14:paraId="6DA41210" w14:textId="77777777" w:rsidR="00576A90" w:rsidRDefault="00576A90" w:rsidP="00576A90">
      <w:pPr>
        <w:pStyle w:val="TextoNormal"/>
      </w:pPr>
      <w:r>
        <w:t>Asimismo, se aduce que durante la XIV Legislatura, la Comisión de Interior, en su sesión de 14 de marzo de 2023, rechazó en votación el texto del informe de la ponencia, lo que determinó el fin de la tramitación parlamentaria de la propuesta legislativa.</w:t>
      </w:r>
    </w:p>
    <w:p w14:paraId="5B9295E5" w14:textId="77777777" w:rsidR="00576A90" w:rsidRDefault="00576A90" w:rsidP="00576A90">
      <w:pPr>
        <w:pStyle w:val="TextoNormal"/>
      </w:pPr>
    </w:p>
    <w:p w14:paraId="6A80B894" w14:textId="77777777" w:rsidR="00576A90" w:rsidRDefault="00576A90" w:rsidP="00576A90">
      <w:pPr>
        <w:pStyle w:val="TextoNormal"/>
      </w:pPr>
      <w:r>
        <w:t>En definitiva, la consecuencia del rechazo mayoritario por el Pleno del Congreso de los Diputados en la votación final sobre el conjunto del texto de la proposición de ley orgánica de amnistía (177 síes frente a 179 noes) debió de ser la finalización de la tramitación parlamentaria de la iniciativa legislativa.</w:t>
      </w:r>
    </w:p>
    <w:p w14:paraId="1D8758AA" w14:textId="77777777" w:rsidR="00576A90" w:rsidRDefault="00576A90" w:rsidP="00576A90">
      <w:pPr>
        <w:pStyle w:val="TextoNormal"/>
      </w:pPr>
    </w:p>
    <w:p w14:paraId="2358EF21" w14:textId="77777777" w:rsidR="00576A90" w:rsidRDefault="00576A90" w:rsidP="00576A90">
      <w:pPr>
        <w:pStyle w:val="TextoNormal"/>
      </w:pPr>
      <w:r>
        <w:t xml:space="preserve">La decisión de remitir la proposición de ley orgánica de amnistía a la Comisión para que emita un nuevo dictamen supone una vulneración frontal del </w:t>
      </w:r>
      <w:r w:rsidRPr="00576A90">
        <w:rPr>
          <w:i/>
        </w:rPr>
        <w:t>ius in officium</w:t>
      </w:r>
      <w:r>
        <w:t xml:space="preserve"> de los parlamentarios (art. 23.2 CE), que afecta al núcleo esencial de la actividad parlamentaria porque se aparta totalmente de lo dispuesto en los arts. 79.1 y 131 RCD, afectando a los </w:t>
      </w:r>
      <w:r>
        <w:lastRenderedPageBreak/>
        <w:t>derechos de los diputados de participar en una tramitación legal, en formular, debatir y votar enmiendas y, sobre todo, en que se respete la voluntad manifestada por la mayoría de la Cámara. La aplicación arbitraria que del Reglamento se ha hecho en este caso, incompatible con la letra y el espíritu de sus preceptos, produce también una quiebra de la igualdad de todos los parlamentarios en el ejercicio de sus funciones.</w:t>
      </w:r>
    </w:p>
    <w:p w14:paraId="492F8032" w14:textId="77777777" w:rsidR="00576A90" w:rsidRDefault="00576A90" w:rsidP="00576A90">
      <w:pPr>
        <w:pStyle w:val="TextoNormal"/>
      </w:pPr>
    </w:p>
    <w:p w14:paraId="19EE2E15" w14:textId="6C1F4590" w:rsidR="00576A90" w:rsidRDefault="00576A90" w:rsidP="00576A90">
      <w:pPr>
        <w:pStyle w:val="TextoNormal"/>
      </w:pPr>
      <w:r>
        <w:t xml:space="preserve">La vulneración de la citada normativa sería suficiente, en opinión de los recurrentes, para otorgar el amparo que solicitan, pues no sólo se ha lesionado el </w:t>
      </w:r>
      <w:r w:rsidRPr="00576A90">
        <w:rPr>
          <w:i/>
        </w:rPr>
        <w:t>ius in officium</w:t>
      </w:r>
      <w:r>
        <w:t xml:space="preserve"> de los diputados, sino que a ello se añade más gravedad aún si cabe, si se tiene en cuenta el contenido de la iniciativa parlamentaria al afectar a cuestiones de relevancia constitucional, que, se afirma en la demanda, son ajenas al objeto del presente proceso, pero en las que se insiste. Así, se dice a continuación que este tribunal conoce las importantes controversias suscitadas en cuando a la evidente inconstitucionalidad del texto de la iniciativa, que han sido puestos de manifiesto por una gran e importante mayoría de instituciones y organismos especialmente cualificados. “El contenido de la iniciativa [sostienen los recurrentes] es una verdadera reforma constitucional, realizada, sin embargo, por un procedimiento legislativo que no es el establecido por la propia Constitución para ello, y por ello ilegal”, y que “[e]stas graves afecciones constitucionales afectan, entre otros, y de forma fundamental al artículo 62 i) CE, y a la tramitación de la proposición de ley con carácter de urgencia en vez de realizarla a través de la correspondiente reforma constitucional, en su caso, conforme el procedimiento previsto en la Constitución y en los artículos 146 y 147 del Reglamento del Congreso”. Reiteran que tales cuestiones, que no son objeto del recurso y de la pretensión de amparo, se advierten “porque en caso de estimarse el amparo […] se evitarían arduas y complejas posteriores discusiones y recursos”.</w:t>
      </w:r>
    </w:p>
    <w:p w14:paraId="09EADB89" w14:textId="77777777" w:rsidR="00576A90" w:rsidRDefault="00576A90" w:rsidP="00576A90">
      <w:pPr>
        <w:pStyle w:val="TextoNormal"/>
      </w:pPr>
    </w:p>
    <w:p w14:paraId="128B2C82" w14:textId="77777777" w:rsidR="00576A90" w:rsidRDefault="00576A90" w:rsidP="00576A90">
      <w:pPr>
        <w:pStyle w:val="TextoNormal"/>
      </w:pPr>
      <w:r w:rsidRPr="00576A90">
        <w:rPr>
          <w:rStyle w:val="NumeroAFNegritaCaracter"/>
        </w:rPr>
        <w:t>4</w:t>
      </w:r>
      <w:r>
        <w:t xml:space="preserve">. El mismo día 5 de marzo de 2024, la procuradora de los tribunales doña María Pilar Hidalgo López, en nombre y representación Grupo Parlamentario Vox en el Congreso de los Diputados y de los señores diputados antes citados, bajo la dirección letrada de doña Marta Castro Fuertes, presentó escrito ante este tribunal, al amparo de los arts. 56.3 y 6 de la Ley Orgánica del Tribunal Constitucional (LOTC), solicitando medidas cautelares urgentes </w:t>
      </w:r>
      <w:r w:rsidRPr="00576A90">
        <w:rPr>
          <w:i/>
        </w:rPr>
        <w:t>inaudita parte debitoris</w:t>
      </w:r>
      <w:r>
        <w:t xml:space="preserve"> consistentes en la suspensión de la sesión de la Comisión de Justicia convocada para el 7 de marzo en la que se desarrollará un único punto del Orden del Día relativo al debate y votación del nuevo Dictamen de la Comisión sobre Proposición de ley orgánica de amnistía para la normalización institucional, política y social en Cataluña.</w:t>
      </w:r>
    </w:p>
    <w:p w14:paraId="6098FF9C" w14:textId="77777777" w:rsidR="00576A90" w:rsidRDefault="00576A90" w:rsidP="00576A90">
      <w:pPr>
        <w:pStyle w:val="TextoNormal"/>
      </w:pPr>
    </w:p>
    <w:p w14:paraId="76224E83" w14:textId="438BFD32" w:rsidR="00576A90" w:rsidRDefault="00576A90" w:rsidP="00576A90">
      <w:pPr>
        <w:pStyle w:val="TextoNormal"/>
      </w:pPr>
      <w:r>
        <w:t>Se alega que de no adoptarse la suspensión, con la tramitación de la iniciativa parlamentaria ante la Comisión prevista para el día 7 de marzo, la decisión que en su caso adopte el Tribunal recaerá una vez que la proposición de ley haya sido tramitada y aprobada por el Pleno, desencadenado de forma inmediata toda una serie de consecuencias jurídicas de hondo calado constitucional y cuyos efectos serían absolutamente irreversibles e irreparables, que harían perder al recurso su legítima finalidad.</w:t>
      </w:r>
    </w:p>
    <w:p w14:paraId="1D16AAD2" w14:textId="77777777" w:rsidR="00576A90" w:rsidRDefault="00576A90" w:rsidP="00576A90">
      <w:pPr>
        <w:pStyle w:val="TextoNormal"/>
      </w:pPr>
    </w:p>
    <w:p w14:paraId="73CAE882" w14:textId="4A46A78E" w:rsidR="00576A90" w:rsidRDefault="00576A90" w:rsidP="00576A90">
      <w:pPr>
        <w:pStyle w:val="TextoNormal"/>
      </w:pPr>
      <w:r w:rsidRPr="00576A90">
        <w:rPr>
          <w:rStyle w:val="NumeroAFNegritaCaracter"/>
        </w:rPr>
        <w:t>5</w:t>
      </w:r>
      <w:r>
        <w:t>. Por diligencia de ordenación de 6 de marzo de 2024 del secretario de justicia de la Sección Cuarta de este tribunal, se tiene por interpuesto el recurso de amparo.</w:t>
      </w:r>
    </w:p>
    <w:p w14:paraId="1C6F34CA" w14:textId="77777777" w:rsidR="00576A90" w:rsidRDefault="00576A90" w:rsidP="00576A90">
      <w:pPr>
        <w:pStyle w:val="TextoNormal"/>
      </w:pPr>
    </w:p>
    <w:p w14:paraId="130E7871" w14:textId="09EA8771" w:rsidR="00576A90" w:rsidRDefault="00576A90" w:rsidP="00576A90">
      <w:pPr>
        <w:pStyle w:val="TextoNormal"/>
      </w:pPr>
      <w:r w:rsidRPr="00576A90">
        <w:rPr>
          <w:rStyle w:val="NumeroAFNegritaCaracter"/>
        </w:rPr>
        <w:lastRenderedPageBreak/>
        <w:t>6</w:t>
      </w:r>
      <w:r>
        <w:t>. Por escrito de 7 de marzo de 2024, la representación legal de la parte presentó escrito en que se solicitaba que se corrigiera la diligencia de ordenación de 6 de marzo de 2024 y cuantos otros trámites correspondan, y se incluyan al resto de los treinta y dos diputados integrantes del Grupo Parlamentario Vox en el Congreso.</w:t>
      </w:r>
    </w:p>
    <w:p w14:paraId="00C03CBD" w14:textId="77777777" w:rsidR="00576A90" w:rsidRDefault="00576A90" w:rsidP="00576A90">
      <w:pPr>
        <w:pStyle w:val="TextoNormal"/>
      </w:pPr>
    </w:p>
    <w:p w14:paraId="57B95325" w14:textId="4D1D05DA" w:rsidR="00576A90" w:rsidRDefault="00576A90" w:rsidP="00576A90">
      <w:pPr>
        <w:pStyle w:val="TextoNormal"/>
      </w:pPr>
      <w:r w:rsidRPr="00576A90">
        <w:rPr>
          <w:rStyle w:val="NumeroAFNegritaCaracter"/>
        </w:rPr>
        <w:t>7</w:t>
      </w:r>
      <w:r>
        <w:t>. El mismo día 7 de marzo de 2024, mediante diligencia de ordenación del secretario de justicia de la Sección Cuarta de este tribunal, se acuerda incorporar el anterior escrito presentado por la procuradora doña María Pilar Hidalgo López y, visto su contenido, se rectifica la anterior diligencia de ordenación de 6 de marzo, en el sentido de hacer constar que la demanda se interpone por el Grupo Parlamentario Vox, integrado por don Santiago Abascal Conde y treinta y dos diputados más.</w:t>
      </w:r>
    </w:p>
    <w:p w14:paraId="7025A50F" w14:textId="77777777" w:rsidR="00576A90" w:rsidRDefault="00576A90" w:rsidP="00576A90">
      <w:pPr>
        <w:pStyle w:val="TextoNormal"/>
      </w:pPr>
    </w:p>
    <w:p w14:paraId="251057F0" w14:textId="3EF6FE00" w:rsidR="00576A90" w:rsidRDefault="00576A90" w:rsidP="00576A90">
      <w:pPr>
        <w:pStyle w:val="TextoNormal"/>
      </w:pPr>
      <w:r w:rsidRPr="00576A90">
        <w:rPr>
          <w:rStyle w:val="NumeroAFNegritaCaracter"/>
        </w:rPr>
        <w:t>8</w:t>
      </w:r>
      <w:r>
        <w:t xml:space="preserve">. El día 13 de marzo de 2024, la representación legal de la parte presentó escrito en que, y al amparo del artículo 56.3 y 6 LOTC, se solicitan medidas cautelares urgentes </w:t>
      </w:r>
      <w:r w:rsidRPr="00576A90">
        <w:rPr>
          <w:i/>
        </w:rPr>
        <w:t>inaudita parte debitoris</w:t>
      </w:r>
      <w:r>
        <w:t xml:space="preserve"> consistentes en la suspensión de la sesión plenaria del Congreso de los Diputados convocada para el día 14 de marzo en la que se desarrollará un único punto del orden del día relativo al debate y votación del nuevo dictamen de la Comisión sobre la proposición de ley orgánica de amnistía para la normalización institucional, política y social en Cataluña. Se reiteran, en esencia, los mismos argumentos en que se sostenía la petición de medidas cautelosísimas en escrito de 5 de marzo de 2023.</w:t>
      </w:r>
    </w:p>
    <w:p w14:paraId="24A65414" w14:textId="77777777" w:rsidR="00576A90" w:rsidRDefault="00576A90" w:rsidP="00576A90">
      <w:pPr>
        <w:pStyle w:val="TextoNormal"/>
      </w:pPr>
    </w:p>
    <w:p w14:paraId="4E283E2D" w14:textId="77777777" w:rsidR="00576A90" w:rsidRDefault="00576A90" w:rsidP="00576A90">
      <w:pPr>
        <w:pStyle w:val="TextoNormalNegritaCentrado"/>
        <w:keepNext/>
      </w:pPr>
      <w:r>
        <w:t>II. Fundamentos jurídicos</w:t>
      </w:r>
    </w:p>
    <w:p w14:paraId="0599A988" w14:textId="73097DB3" w:rsidR="00576A90" w:rsidRDefault="00576A90" w:rsidP="00576A90">
      <w:pPr>
        <w:pStyle w:val="TextoNormalNegritaCentrado"/>
        <w:keepNext/>
      </w:pPr>
    </w:p>
    <w:p w14:paraId="15DF60C0" w14:textId="77777777" w:rsidR="00576A90" w:rsidRDefault="00576A90" w:rsidP="00576A90">
      <w:pPr>
        <w:pStyle w:val="TextoNormal"/>
      </w:pPr>
      <w:r w:rsidRPr="00576A90">
        <w:rPr>
          <w:rStyle w:val="NumeroAFNegritaCaracter"/>
        </w:rPr>
        <w:t>1</w:t>
      </w:r>
      <w:r>
        <w:t xml:space="preserve">. </w:t>
      </w:r>
      <w:r w:rsidRPr="00576A90">
        <w:rPr>
          <w:i/>
        </w:rPr>
        <w:t>Objeto del recurso de amparo</w:t>
      </w:r>
    </w:p>
    <w:p w14:paraId="570B7B7E" w14:textId="77777777" w:rsidR="00576A90" w:rsidRDefault="00576A90" w:rsidP="00576A90">
      <w:pPr>
        <w:pStyle w:val="TextoNormal"/>
      </w:pPr>
    </w:p>
    <w:p w14:paraId="7B4A176C" w14:textId="77777777" w:rsidR="00576A90" w:rsidRDefault="00576A90" w:rsidP="00576A90">
      <w:pPr>
        <w:pStyle w:val="TextoNormal"/>
      </w:pPr>
      <w:r>
        <w:t xml:space="preserve">Los recurrentes en amparo impugnan la decisión </w:t>
      </w:r>
      <w:r w:rsidRPr="00576A90">
        <w:rPr>
          <w:i/>
        </w:rPr>
        <w:t>in voce</w:t>
      </w:r>
      <w:r>
        <w:t xml:space="preserve"> de la presidenta del Congreso de los Diputados de 30 de enero de 2024 y el acuerdo de la mesa del Congreso de los Diputados, de 6 de febrero de 2024, por considerar que han sido vulnerados sus derechos del art. 23. 2 CE.</w:t>
      </w:r>
    </w:p>
    <w:p w14:paraId="6F608478" w14:textId="77777777" w:rsidR="00576A90" w:rsidRDefault="00576A90" w:rsidP="00576A90">
      <w:pPr>
        <w:pStyle w:val="TextoNormal"/>
      </w:pPr>
    </w:p>
    <w:p w14:paraId="6EEDC3AC" w14:textId="77777777" w:rsidR="00576A90" w:rsidRDefault="00576A90" w:rsidP="00576A90">
      <w:pPr>
        <w:pStyle w:val="TextoNormal"/>
      </w:pPr>
      <w:r>
        <w:t xml:space="preserve">Sustancialmente, los recurrentes consideran que la decisión de remitir la proposición de ley orgánica de amnistía a la Comisión para que emita un nuevo dictamen supone una vulneración del </w:t>
      </w:r>
      <w:r w:rsidRPr="00576A90">
        <w:rPr>
          <w:i/>
        </w:rPr>
        <w:t>ius in officium</w:t>
      </w:r>
      <w:r>
        <w:t xml:space="preserve"> de los parlamentarios (art. 23.2 CE), que afecta al núcleo esencial de la actividad parlamentaria porque se aparta de lo dispuesto en los arts. 79.1 y 131 RCD, lesionando los derechos de los diputados a participar en una tramitación legal, a formular, debatir y votar enmiendas y, sobre todo, a que se respete la voluntad manifestada por la mayoría de la Cámara. La aplicación arbitraria que del Reglamento se ha hecho en este caso, incompatible con la letra y el espíritu de sus preceptos, produce también una quiebra de la igualdad de todos los parlamentarios en el ejercicio de sus funciones.</w:t>
      </w:r>
    </w:p>
    <w:p w14:paraId="55FBD511" w14:textId="77777777" w:rsidR="00576A90" w:rsidRDefault="00576A90" w:rsidP="00576A90">
      <w:pPr>
        <w:pStyle w:val="TextoNormal"/>
      </w:pPr>
    </w:p>
    <w:p w14:paraId="5D96B765" w14:textId="77777777" w:rsidR="00576A90" w:rsidRDefault="00576A90" w:rsidP="00576A90">
      <w:pPr>
        <w:pStyle w:val="TextoNormal"/>
      </w:pPr>
      <w:r>
        <w:t xml:space="preserve">Como se ha dicho más arriba, el mismo día que se interpuso el recurso de amparo ante este tribunal, los demandantes accionaron también, de hecho, con anterioridad a la demanda de amparo, un escrito en que se solicitaba la adopción inaudita parte, en virtud del art. 56.6 LOTC, de la suspensión de la sesión de la Comisión de Justicia del Congreso de los Diputados, convocada para el día 7 de marzo, a las 11:00 horas, con el único punto en el </w:t>
      </w:r>
      <w:r>
        <w:lastRenderedPageBreak/>
        <w:t>orden de día de debatir y aprobar un nuevo dictamen sobre la proposición de ley orgánica de amnistía para la normalización institucional, política y social en Cataluña.</w:t>
      </w:r>
    </w:p>
    <w:p w14:paraId="691560AF" w14:textId="77777777" w:rsidR="00576A90" w:rsidRDefault="00576A90" w:rsidP="00576A90">
      <w:pPr>
        <w:pStyle w:val="TextoNormal"/>
      </w:pPr>
    </w:p>
    <w:p w14:paraId="194F821D" w14:textId="77777777" w:rsidR="00576A90" w:rsidRDefault="00576A90" w:rsidP="00576A90">
      <w:pPr>
        <w:pStyle w:val="TextoNormal"/>
      </w:pPr>
      <w:r>
        <w:t>En todo caso, sí que debe llamarse la atención sobre la posible falta de agotamiento de la vía parlamentaria en la que habrían incurrido los recurrentes puesto que, como señala la mesa de la Cámara en su acuerdo adoptado el de 6 de febrero de 2024, en contestación a la solicitud del portavoz del Grupo Parlamentario Vox, “la Presidencia, en la sesión plenaria extraordinaria del pasado 30 de enero, […] se limitó a constatar el resultado de dicha votación y a anunciar la consecuencia que, necesariamente y en aplicación del citado precepto, se deriva del mismo, siendo así que es a la mesa a la que le corresponde adoptar el acuerdo subsiguiente”.</w:t>
      </w:r>
    </w:p>
    <w:p w14:paraId="09B28427" w14:textId="77777777" w:rsidR="00576A90" w:rsidRDefault="00576A90" w:rsidP="00576A90">
      <w:pPr>
        <w:pStyle w:val="TextoNormal"/>
      </w:pPr>
    </w:p>
    <w:p w14:paraId="7A06BCD7" w14:textId="77777777" w:rsidR="00576A90" w:rsidRDefault="00576A90" w:rsidP="00576A90">
      <w:pPr>
        <w:pStyle w:val="TextoNormal"/>
      </w:pPr>
      <w:r>
        <w:t>Así, el acuerdo formal contra el que debería haberse interpuesto el recurso de amparo, en su caso, es el de la mesa a los efectos del art. 131.2 del Reglamento del Congreso en que se decide lo siguiente:</w:t>
      </w:r>
    </w:p>
    <w:p w14:paraId="3C9B2011" w14:textId="77777777" w:rsidR="00576A90" w:rsidRDefault="00576A90" w:rsidP="00576A90">
      <w:pPr>
        <w:pStyle w:val="TextoNormal"/>
      </w:pPr>
    </w:p>
    <w:p w14:paraId="2E26821A" w14:textId="77777777" w:rsidR="00576A90" w:rsidRDefault="00576A90" w:rsidP="00576A90">
      <w:pPr>
        <w:pStyle w:val="TextoNormal"/>
      </w:pPr>
      <w:r>
        <w:t>“La Mesa de la Cámara, en su reunión del día de hoy, ha acordado comunicar a la Comisión de Justicia, que el Pleno del Congreso de los Diputados, en su sesión del día 30 de enero de 2024, debatió el dictamen sobre la proposición de ley orgánica de amnistía para la normalización institucional, política y social en Cataluña, presentada por el Grupo Parlamentario Socialista, publicada en el ‘BOCG. Congreso de los Diputados’, serie B, núm. 32-1, de 24 de noviembre de 2023, no obteniéndose el voto favorable de la mayoría absoluta de los miembros de la Cámara en la votación final sobre el conjunto del texto, produciéndose, en consecuencia, la devolución de la proposición de ley orgánica a la citada comisión que, conforme a lo dispuesto en el artículo 131.2 del Reglamento en relación con los artículos 93 y 94 del mismo, deberá emitir un nuevo dictamen en el plazo de quince días, que finalizará el próximo 21 de febrero. A tal efecto, se podrá tener en cuenta el texto del dictamen aprobado por la Comisión, las enmiendas mantenidas en relación con dicha proposición de ley orgánica y las enmiendas transaccionales que, en su caso, puedan formularse.</w:t>
      </w:r>
    </w:p>
    <w:p w14:paraId="12E00CAA" w14:textId="77777777" w:rsidR="00576A90" w:rsidRDefault="00576A90" w:rsidP="00576A90">
      <w:pPr>
        <w:pStyle w:val="TextoNormal"/>
      </w:pPr>
    </w:p>
    <w:p w14:paraId="6C698B0A" w14:textId="77777777" w:rsidR="00576A90" w:rsidRDefault="00576A90" w:rsidP="00576A90">
      <w:pPr>
        <w:pStyle w:val="TextoNormal"/>
      </w:pPr>
      <w:r>
        <w:t>Se ordena la publicación de conformidad con lo previsto en el artículo 97 del Reglamento de la Cámara”.</w:t>
      </w:r>
    </w:p>
    <w:p w14:paraId="54A016BC" w14:textId="77777777" w:rsidR="00576A90" w:rsidRDefault="00576A90" w:rsidP="00576A90">
      <w:pPr>
        <w:pStyle w:val="TextoNormal"/>
      </w:pPr>
    </w:p>
    <w:p w14:paraId="7BEB67A9" w14:textId="1C950629" w:rsidR="00576A90" w:rsidRDefault="00576A90" w:rsidP="00576A90">
      <w:pPr>
        <w:pStyle w:val="TextoNormal"/>
      </w:pPr>
      <w:r>
        <w:t>Aun así, la Sección Cuarta de este tribunal ha decidido dar una mínima respuesta a los recurrentes con los argumentos que llevan a su inadmisión.</w:t>
      </w:r>
    </w:p>
    <w:p w14:paraId="316CCE67" w14:textId="77777777" w:rsidR="00576A90" w:rsidRDefault="00576A90" w:rsidP="00576A90">
      <w:pPr>
        <w:pStyle w:val="TextoNormal"/>
      </w:pPr>
    </w:p>
    <w:p w14:paraId="0F1C23EA" w14:textId="77777777" w:rsidR="00576A90" w:rsidRDefault="00576A90" w:rsidP="00576A90">
      <w:pPr>
        <w:pStyle w:val="TextoNormal"/>
      </w:pPr>
      <w:r w:rsidRPr="00576A90">
        <w:rPr>
          <w:rStyle w:val="NumeroAFNegritaCaracter"/>
        </w:rPr>
        <w:t>2</w:t>
      </w:r>
      <w:r>
        <w:t xml:space="preserve">. </w:t>
      </w:r>
      <w:r w:rsidRPr="00576A90">
        <w:rPr>
          <w:i/>
        </w:rPr>
        <w:t>Sobre la inexistencia de las vulneraciones invocadas</w:t>
      </w:r>
    </w:p>
    <w:p w14:paraId="507D8CDE" w14:textId="77777777" w:rsidR="00576A90" w:rsidRDefault="00576A90" w:rsidP="00576A90">
      <w:pPr>
        <w:pStyle w:val="TextoNormal"/>
      </w:pPr>
    </w:p>
    <w:p w14:paraId="462B6BF5" w14:textId="77777777" w:rsidR="00576A90" w:rsidRDefault="00576A90" w:rsidP="00576A90">
      <w:pPr>
        <w:pStyle w:val="TextoNormal"/>
      </w:pPr>
      <w:r>
        <w:t xml:space="preserve">Las vulneraciones invocadas por las recurrentes derivadas de la comunicación </w:t>
      </w:r>
      <w:r w:rsidRPr="00576A90">
        <w:rPr>
          <w:i/>
        </w:rPr>
        <w:t>in voce</w:t>
      </w:r>
      <w:r>
        <w:t xml:space="preserve"> de la presidenta del Congreso de los Diputados y la posterior respuesta a la petición de reconsideración por la mesa el día 6 de febrero de 2024 carecen de sustento constitucional, cómo se exteriorizará a continuación y por tanto suponen la inadmisión del presente recurso de amparo.</w:t>
      </w:r>
    </w:p>
    <w:p w14:paraId="526DE599" w14:textId="77777777" w:rsidR="00576A90" w:rsidRDefault="00576A90" w:rsidP="00576A90">
      <w:pPr>
        <w:pStyle w:val="TextoNormal"/>
      </w:pPr>
    </w:p>
    <w:p w14:paraId="140428C1" w14:textId="77777777" w:rsidR="00576A90" w:rsidRDefault="00576A90" w:rsidP="00576A90">
      <w:pPr>
        <w:pStyle w:val="TextoNormal"/>
      </w:pPr>
      <w:r>
        <w:t xml:space="preserve">Los recurrentes alegan la vulneración del artículo 23.2 CE por la incorrecta interpretación de los artículos 79.1 y 131 del Reglamento del Congreso de los Diputados. Sustentan está supuesta lesión de sus derechos fundamentales, en primer lugar, en una interpretación </w:t>
      </w:r>
      <w:r>
        <w:lastRenderedPageBreak/>
        <w:t>errónea, ilógica, arbitraria, contradictora e inmotivada y, por todo ello, vulneradora del derecho fundamental.</w:t>
      </w:r>
    </w:p>
    <w:p w14:paraId="49202C96" w14:textId="77777777" w:rsidR="00576A90" w:rsidRDefault="00576A90" w:rsidP="00576A90">
      <w:pPr>
        <w:pStyle w:val="TextoNormal"/>
      </w:pPr>
    </w:p>
    <w:p w14:paraId="7ABE7A36" w14:textId="77777777" w:rsidR="00576A90" w:rsidRDefault="00576A90" w:rsidP="00576A90">
      <w:pPr>
        <w:pStyle w:val="TextoNormal"/>
      </w:pPr>
      <w:r>
        <w:t>La crítica que se lleva a cabo sobre la interpretación hecha por la presidenta y la mesa del Congreso encierra, en esencia, un desacuerdo con la lectura del Reglamento hecha por los órganos rectores de la Cámara, pero no existe argumento constitucional alguno que justifique la presunta vulneración del artículo 23.2 CE. Así, una lectura sistemática de los artículos 79.1 y el 131.2 RCD permite razonablemente llegar a la conclusión adoptada por la presidenta y la mesa del Congreso de remitir de nuevo la proposición de ley a la comisión competente para que en el plazo de un mes presente un nuevo dictamen. Por un lado, el art. 79. 1 RCD, ya trascrito, permite especialidades cuando se trata de leyes orgánicas y el art. 131.2 CE prevé que la aprobación de dichas leyes requerirá el voto favorable de la mayoría absoluta de los miembros del Congreso en una votación final sobre el conjunto del texto; ahora bien, también se prevé que, si no se consigue dicha mayoría, el proyecto sea devuelto a la Comisión, que deberá emitir nuevo dictamen en el plazo de un mes. Estamos dentro del ejercicio razonable de la autonomía parlamentaria. Como hemos dicho, por todas ahora STC 143/2016, FJ 5, este tribunal goza de una limitada perspectiva de control en esta jurisdicción de amparo parlamentario porque así lo exige el respeto a la autonomía de la Cámara en el ejercicio de sus funciones de interpretación de su propia normativa. Por ello debemos limitarnos a determinar si “la posición jurídica mantenida por la Cámara cuenta con una fundamentación sustentada en criterios hermenéuticos aceptados y reconocibles en la comunidad jurídica que impide que pueda afirmarse que sea una decisión que carece de la necesaria cobertura reglamentaria”. En la misma línea, “este tribunal ya ha reconocido que si bien los usos y prácticas parlamentarios constituyen un instrumento normativo dentro del ámbito de organización y funcionamiento de las Cámaras nunca pueden esgrimirse en contra de lo dispuesto por los reglamentos de las Cámaras (así, STC 57/2011, de 3 de mayo, FJ 7)”.</w:t>
      </w:r>
    </w:p>
    <w:p w14:paraId="155E9763" w14:textId="77777777" w:rsidR="00576A90" w:rsidRDefault="00576A90" w:rsidP="00576A90">
      <w:pPr>
        <w:pStyle w:val="TextoNormal"/>
      </w:pPr>
    </w:p>
    <w:p w14:paraId="3B1FECB0" w14:textId="77777777" w:rsidR="00576A90" w:rsidRDefault="00576A90" w:rsidP="00576A90">
      <w:pPr>
        <w:pStyle w:val="TextoNormal"/>
      </w:pPr>
      <w:r>
        <w:t xml:space="preserve">En segundo lugar, los recurrentes apuntan la existencia de dos precedentes que podrían servir para demostrar la desviación del criterio de la presidencia y la mesa del Congreso de los Diputados respecto de tramitaciones legislativas anteriores. En aquellas, pese a no haberse obtenido la mayoría absoluta en la votación final del conjunto, sí se devolvió el texto del dictamen a la comisión porque, aunque no la obtuvieron, sí tuvieron el respaldo de una mayoría simple. Respecto de este argumento los recurrentes obvian las bases constitucionales respecto de la igualdad en la aplicación de la ley, ya que como este tribunal ha reiterado en numerosas ocasiones que para poder utilizar como </w:t>
      </w:r>
      <w:r w:rsidRPr="00576A90">
        <w:rPr>
          <w:i/>
        </w:rPr>
        <w:t>tertium comparationis</w:t>
      </w:r>
      <w:r>
        <w:t xml:space="preserve"> antecedentes que pongan de manifiesto un trato desigual contrario al artículo 14 CE, los supuestos de hecho en que se adoptaron dichas decisiones deben ser iguales. En este caso, no obstante, las situaciones no presentan esta igualdad, puesto que en el presente supuesto de hecho la situación fue distinta: la votación del dictamen en el pleno sí que obtuvo la mayoría absoluta, pero fue la votación del conjunto del texto la que no alcanzó dicha mayoría.</w:t>
      </w:r>
    </w:p>
    <w:p w14:paraId="588F0E9B" w14:textId="77777777" w:rsidR="00576A90" w:rsidRDefault="00576A90" w:rsidP="00576A90">
      <w:pPr>
        <w:pStyle w:val="TextoNormal"/>
      </w:pPr>
    </w:p>
    <w:p w14:paraId="5C9A915D" w14:textId="77777777" w:rsidR="00576A90" w:rsidRDefault="00576A90" w:rsidP="00576A90">
      <w:pPr>
        <w:pStyle w:val="TextoNormal"/>
      </w:pPr>
      <w:r>
        <w:t xml:space="preserve">En tercer y último lugar, no se produce una lesión del </w:t>
      </w:r>
      <w:r w:rsidRPr="00576A90">
        <w:rPr>
          <w:i/>
        </w:rPr>
        <w:t>ius in officium</w:t>
      </w:r>
      <w:r>
        <w:t xml:space="preserve"> de los representantes del Grupo parlamentario Vox puesto que han podido participar en todas las fases del procedimiento y de diferentes formas, no viéndose afectadas, así, las diferentes facultades contempladas en el art. 23.2 CE.</w:t>
      </w:r>
    </w:p>
    <w:p w14:paraId="70693AEC" w14:textId="77777777" w:rsidR="00576A90" w:rsidRDefault="00576A90" w:rsidP="00576A90">
      <w:pPr>
        <w:pStyle w:val="TextoNormal"/>
      </w:pPr>
    </w:p>
    <w:p w14:paraId="7B7D7B3B" w14:textId="100661EE" w:rsidR="00576A90" w:rsidRDefault="00576A90" w:rsidP="00576A90">
      <w:pPr>
        <w:pStyle w:val="TextoNormal"/>
      </w:pPr>
      <w:r>
        <w:lastRenderedPageBreak/>
        <w:t>En suma, no concurren, pues, razones desde las que entender lesionados la pluralidad de derechos invocados.</w:t>
      </w:r>
    </w:p>
    <w:p w14:paraId="522746C2" w14:textId="77777777" w:rsidR="00576A90" w:rsidRDefault="00576A90" w:rsidP="00576A90">
      <w:pPr>
        <w:pStyle w:val="TextoNormal"/>
      </w:pPr>
    </w:p>
    <w:p w14:paraId="76EE99DF" w14:textId="77777777" w:rsidR="00576A90" w:rsidRDefault="00576A90" w:rsidP="00576A90">
      <w:pPr>
        <w:pStyle w:val="TextoNormal"/>
      </w:pPr>
      <w:r>
        <w:t>Por lo expuesto, la Sección</w:t>
      </w:r>
    </w:p>
    <w:p w14:paraId="6B21EFA1" w14:textId="0FF2F6B1" w:rsidR="00576A90" w:rsidRDefault="00576A90" w:rsidP="00576A90">
      <w:pPr>
        <w:pStyle w:val="TextoNormal"/>
      </w:pPr>
    </w:p>
    <w:p w14:paraId="165B3DBF" w14:textId="77777777" w:rsidR="00576A90" w:rsidRDefault="00576A90" w:rsidP="00576A90">
      <w:pPr>
        <w:pStyle w:val="TextoNormalCentrado"/>
      </w:pPr>
      <w:r>
        <w:t>ACUERDA</w:t>
      </w:r>
    </w:p>
    <w:p w14:paraId="52B3AB46" w14:textId="51BE8E05" w:rsidR="00576A90" w:rsidRDefault="00576A90" w:rsidP="00576A90">
      <w:pPr>
        <w:pStyle w:val="TextoNormalCentrado"/>
      </w:pPr>
    </w:p>
    <w:p w14:paraId="2D8A2E6B" w14:textId="77777777" w:rsidR="00576A90" w:rsidRDefault="00576A90" w:rsidP="00576A90">
      <w:pPr>
        <w:pStyle w:val="TextoNormal"/>
      </w:pPr>
      <w:r>
        <w:t>Inadmitir el recurso de amparo núm. 1599-2024, interpuesto por el Grupo Parlamentario Vox en el Congreso de los Diputados y los señores diputados don Santiago Abascal Conde, doña María José Rodríguez de Millán Parro, don José María Figaredo Álvarez-Sala, doña María de la Cabeza Ruíz Solás, don Juan José Aizcorbe Torra, don Francisco José Alcaraz Martos, doña Blanca Armario González, don Alberto Teófilo Asarta Cuevas, don Jorge Campos Asensi, don Ricardo Chamorro Delmo, doña Rocío de Meer Méndez, don Emilio Jesús del Valle Rodríguez, don Pedro Fernández Hernández, don Tomás Fernández Ríos, don Carlos Flores Juberías, don David García Gomis, don Ignacio Gil Lázaro, don Jacobo González-Robatto Perote, don Carlos Hernández Quero, don Ignacio Hoces Íñiguez, don Ángel López Maraver, don Manuel Mariscal Zabala, doña Carina Mejías Sánchez, doña Lourdes Méndez Monasterio, don Francisco Javier Ortega Smith-Molina, don José Ramírez del Río, don Joaquín Robles López, don Andrés Alberto Rodríguez Almeida, doña María de los Reyes Romero Vilches, doña Patricia Rueda Perelló, don Pablo Sáez Alonso-Muñumer, don José María Sánchez García y doña Rocío Aguirre Gil de Biedma, dada la manifiesta inexistencia de violación de un derecho fundamental tutelable en amparo.</w:t>
      </w:r>
    </w:p>
    <w:p w14:paraId="53D1C4DE" w14:textId="77777777" w:rsidR="00576A90" w:rsidRDefault="00576A90" w:rsidP="00576A90">
      <w:pPr>
        <w:pStyle w:val="TextoNormal"/>
      </w:pPr>
    </w:p>
    <w:p w14:paraId="7810F839" w14:textId="3F98561B" w:rsidR="00576A90" w:rsidRDefault="00576A90" w:rsidP="00576A90">
      <w:pPr>
        <w:pStyle w:val="TextoNormal"/>
      </w:pPr>
      <w:r>
        <w:t>Notifíquese con indicación de que, si el Ministerio Fiscal no hubiere interpuesto recurso de súplica en el plazo legal de tres días, se archivarán estas actuaciones sin más trámite (art. 50.3 LOTC).</w:t>
      </w:r>
    </w:p>
    <w:p w14:paraId="000D63C0" w14:textId="77777777" w:rsidR="00576A90" w:rsidRDefault="00576A90" w:rsidP="00576A90">
      <w:pPr>
        <w:pStyle w:val="TextoNormal"/>
      </w:pPr>
    </w:p>
    <w:p w14:paraId="3295ECAA" w14:textId="77777777" w:rsidR="00576A90" w:rsidRDefault="00576A90" w:rsidP="00576A90">
      <w:pPr>
        <w:pStyle w:val="TextoNormal"/>
      </w:pPr>
      <w:r>
        <w:t>Madrid, a catorce de marzo de dos mil veinticuatro.</w:t>
      </w:r>
    </w:p>
    <w:p w14:paraId="6C00C3DE" w14:textId="74671B79" w:rsidR="00576A90" w:rsidRDefault="00576A90" w:rsidP="00576A90">
      <w:pPr>
        <w:pStyle w:val="ParrafoNormal"/>
      </w:pPr>
    </w:p>
    <w:p w14:paraId="563F1EE3" w14:textId="77777777" w:rsidR="00576A90" w:rsidRDefault="00576A90" w:rsidP="00576A90">
      <w:pPr>
        <w:pStyle w:val="TextoNormalNegritaCentrado"/>
        <w:keepNext/>
      </w:pPr>
      <w:r>
        <w:t>Voto particular que formula el magistrado don Enrique Arnaldo Alcubilla al auto que inadmite el recurso de amparo núm. 1599-2024</w:t>
      </w:r>
    </w:p>
    <w:p w14:paraId="47FF863C" w14:textId="30CD7CF2" w:rsidR="00576A90" w:rsidRDefault="00576A90" w:rsidP="00576A90">
      <w:pPr>
        <w:pStyle w:val="TextoNormalNegritaCentrado"/>
        <w:keepNext/>
      </w:pPr>
    </w:p>
    <w:p w14:paraId="14181645" w14:textId="77777777" w:rsidR="00576A90" w:rsidRDefault="00576A90" w:rsidP="00576A90">
      <w:pPr>
        <w:pStyle w:val="TextoNormal"/>
      </w:pPr>
      <w:r>
        <w:t xml:space="preserve">En el ejercicio de la facultad que me confiere el art. 90.2 de la Ley Orgánica del Tribunal Constitucional (LOTC) y con respeto a la opinión de mis compañeros, formulo el presente voto particular al auto de inadmisión del recurso de amparo interpuesto por el Grupo Parlamentario Vox contra la decisión </w:t>
      </w:r>
      <w:r w:rsidRPr="00576A90">
        <w:rPr>
          <w:i/>
        </w:rPr>
        <w:t>in voce</w:t>
      </w:r>
      <w:r>
        <w:t xml:space="preserve"> de la presidenta del Congreso de los Diputados de 30 de enero de 2024 y el acuerdo de la mesa de la Cámara de 6 de febrero de 2024, de devolver la “proposición de ley orgánica de amnistía para la normalización institucional, política y social en Cataluña” a la Comisión de Justicia para emitir un nuevo dictamen, tras no haberse obtenido la mayoría absoluta de la Cámara en la votación de conjunto como requiere el artículo 81 CE.</w:t>
      </w:r>
    </w:p>
    <w:p w14:paraId="56155A53" w14:textId="77777777" w:rsidR="00576A90" w:rsidRDefault="00576A90" w:rsidP="00576A90">
      <w:pPr>
        <w:pStyle w:val="TextoNormal"/>
      </w:pPr>
    </w:p>
    <w:p w14:paraId="3396607C" w14:textId="77777777" w:rsidR="00576A90" w:rsidRDefault="00576A90" w:rsidP="00576A90">
      <w:pPr>
        <w:pStyle w:val="TextoNormal"/>
      </w:pPr>
      <w:r>
        <w:t>Considero que el recurso de amparo debió ser admitido, por no resultar inverosímil la vulneración alegada de los derechos de participación política (art. 23.2 CE) de los diputados del grupo recurrente y revestir el asunto planteado una especial trascendencia constitucional [art. 50.1 b) LOTC], en cuanto suscita una cuestión jurídica de “relevante y gene</w:t>
      </w:r>
      <w:r>
        <w:lastRenderedPageBreak/>
        <w:t>ral repercusión social”, que, además, tiene “unas consecuencias políticas generales” [STC 155/2009, de 25 de junio, FJ 2 g)], como seguidamente expondré.</w:t>
      </w:r>
    </w:p>
    <w:p w14:paraId="43894709" w14:textId="77777777" w:rsidR="00576A90" w:rsidRDefault="00576A90" w:rsidP="00576A90">
      <w:pPr>
        <w:pStyle w:val="TextoNormal"/>
      </w:pPr>
    </w:p>
    <w:p w14:paraId="5A3C333D" w14:textId="77777777" w:rsidR="00576A90" w:rsidRDefault="00576A90" w:rsidP="00576A90">
      <w:pPr>
        <w:pStyle w:val="TextoNormal"/>
      </w:pPr>
      <w:r>
        <w:t xml:space="preserve">La inadmisión del recurso de amparo impide a este tribunal pronunciarse en una sentencia sobre el fondo del asunto acerca de si la interpretación de los arts. 79.1 y 131.2 del Reglamento del Congreso de los Diputados (RCD) que ha realizado la presidenta de la Cámara, y confirmado luego la mesa, por mayoría, de cinco votos frente a cuatro, obviando los precedentes del uso parlamentario invocados por los recurrentes, es la más respetuosa con los derechos que a los diputados garantiza el art. 23.2 CE. El auto del que se disiente inadmite el recurso de amparo, por inexistencia de vulneración constitucional, con base en un entendimiento desorbitado de la autonomía parlamentaria, que vendría a dar cobertura a cualquier interpretación del Reglamento del Congreso, por incompatible que esta pudiera ser con la letra y el espíritu de los correspondientes preceptos reglamentarios. Si este tribunal dejó sentado en relación con la autonomía de las comunidades autónomas que no es soberanía, idéntica conclusión debe alcanzarse con la autonomía parlamentaria </w:t>
      </w:r>
      <w:r w:rsidRPr="00576A90">
        <w:rPr>
          <w:i/>
        </w:rPr>
        <w:t>ex</w:t>
      </w:r>
      <w:r>
        <w:t xml:space="preserve"> art. 72.1 CE y es que esta no puede entenderse como soberanía.</w:t>
      </w:r>
    </w:p>
    <w:p w14:paraId="0CB4CDAB" w14:textId="77777777" w:rsidR="00576A90" w:rsidRDefault="00576A90" w:rsidP="00576A90">
      <w:pPr>
        <w:pStyle w:val="TextoNormal"/>
      </w:pPr>
    </w:p>
    <w:p w14:paraId="7B041C9B" w14:textId="77777777" w:rsidR="00576A90" w:rsidRDefault="00576A90" w:rsidP="00576A90">
      <w:pPr>
        <w:pStyle w:val="TextoNormal"/>
      </w:pPr>
      <w:r>
        <w:t>La admisión a trámite del recurso hubiera permitido verificar si la tramitación del procedimiento legislativo se ajustó en este caso a los principios que, conforme a su normativa reguladora y a la interpretación que de la misma viene haciendo este tribunal, han de presidirlo. Ello en garantía no solo del derecho de la mayoría parlamentaria a adoptar las decisiones que legítimamente le corresponden, sino también del derecho de las minorías a participar en los procesos de formación de la ley, expresión de la voluntad popular que ha de integrar, a través precisamente del procedimiento legislativo, la plasmación del pluralismo político. La doctrina constitucional ha puesto de relieve la necesidad de asegurar el adecuado ejercicio de la función de representación política de las minorías parlamentarias en la oposición, pues el respeto a la posición y los derechos de las minorías actúa como elemento constitutivo del propio sistema, que legitima su propio funcionamiento. Sin respeto a los derechos de las minorías políticas no hay modo de preservar el pluralismo propio del Estado democrático de Derecho, elevado por el art. 1.1 CE a la categoría de “valor superior” de nuestro ordenamiento jurídico (STC 226/2016, de 22 de diciembre, FJ 5, por todas).</w:t>
      </w:r>
    </w:p>
    <w:p w14:paraId="5A024A63" w14:textId="77777777" w:rsidR="00576A90" w:rsidRDefault="00576A90" w:rsidP="00576A90">
      <w:pPr>
        <w:pStyle w:val="TextoNormal"/>
      </w:pPr>
    </w:p>
    <w:p w14:paraId="41B99C33" w14:textId="77777777" w:rsidR="00576A90" w:rsidRDefault="00576A90" w:rsidP="00576A90">
      <w:pPr>
        <w:pStyle w:val="TextoNormal"/>
      </w:pPr>
      <w:r>
        <w:t>Teniendo presente lo anterior, y a los exclusivos efectos de pronunciarnos sobre la procedencia de la admisión a trámite del recurso de amparo (primer inciso del art. 50.1 LOTC), procede señalar, como ya he indicado, que la alegada vulneración del derecho de los diputados recurrentes al ejercicio del cargo representativo de conformidad con lo establecido en la ley (art. 23.2 CE), en conexión con el derecho de los ciudadanos a participar en los asuntos públicos por medio de representantes libremente elegidos en comicios periódicos por sufragio universal (art. 23.1 CE), no carecía de verosimilitud, a la vista de las circunstancias concurrentes en el presente caso.</w:t>
      </w:r>
    </w:p>
    <w:p w14:paraId="04787AB1" w14:textId="77777777" w:rsidR="00576A90" w:rsidRDefault="00576A90" w:rsidP="00576A90">
      <w:pPr>
        <w:pStyle w:val="TextoNormal"/>
      </w:pPr>
    </w:p>
    <w:p w14:paraId="0D22E456" w14:textId="77777777" w:rsidR="00576A90" w:rsidRDefault="00576A90" w:rsidP="00576A90">
      <w:pPr>
        <w:pStyle w:val="TextoNormal"/>
      </w:pPr>
      <w:r>
        <w:t xml:space="preserve">En efecto, tal como se refleja en los antecedentes del auto, en la sesión del Pleno del Congreso de los Diputados celebrada el 30 de enero de 2024, a continuación de haberse sometido a debate y votación las enmiendas no incorporadas al que fueron rechazadas, y a tras someterse a votación el dictamen de la Comisión de Justicia sobre la “proposición de ley orgánica de amnistía para la normalización institucional, política y social en Cataluña” (que fue aprobado por 177 votos a favor frente a 172 en contra), se procedió a la votación </w:t>
      </w:r>
      <w:r>
        <w:lastRenderedPageBreak/>
        <w:t xml:space="preserve">final sobre el conjunto de la iniciativa legislativa por tener carácter orgánico, que fue rechazada por 171 votos a favor y 179 en contra. De esta manera, no alcanzó la preceptiva mayoría absoluta </w:t>
      </w:r>
      <w:r w:rsidRPr="00576A90">
        <w:rPr>
          <w:i/>
        </w:rPr>
        <w:t>ex</w:t>
      </w:r>
      <w:r>
        <w:t xml:space="preserve"> art. 81.2 CE y no sin razón los recurrentes entendían que, conforme a lo dispuesto en el art. 79.1 RCD, transcrito en el auto, al no haberse alcanzado en la votación final sobre el conjunto de la proposición de ley ni siquiera la mayoría simple a su favor, la iniciativa legislativa había de entenderse rechazada y, en consecuencia, decaída, por lo que no procedía su devolución a la Comisión de Justicia para que emitiera un nuevo dictamen, que fue lo acordado por la presidenta, en decisión luego confirmada por la mesa, pues, para que fuera aplicable el art. 131.2 RCD, que prevé la devolución del proyecto a la comisión en caso de no conseguirse la mayoría absoluta en una votación final sobre el conjunto del texto, al objeto de que emita un nuevo dictamen en el plazo de un mes, era necesario que la iniciativa legislativa hubiera alcanzado la mayoría simple en dicha votación final, lo que resulta palmario que no sucedió en el presente caso. En favor de su pretensión los recurrentes invocaron sendos precedentes, en los que, no obtenida la mayoría absoluta en la votación final sobre el conjunto del texto pero habiéndose alcanzado una mayoría simple se devolvió la propuesta legislativa a la comisión para que emitiese un nuevo dictamen, lo que, </w:t>
      </w:r>
      <w:r w:rsidRPr="00576A90">
        <w:rPr>
          <w:i/>
        </w:rPr>
        <w:t>a sensu contrario</w:t>
      </w:r>
      <w:r>
        <w:t>, conduce a entender que, si no se logra la mayoría simple, no cabe aplicar el art. 131.2 RCD para devolver el proyecto a la comisión, sino que, lisa y llanamente, la iniciativa legislativa ha de entenderse rechazada y, en consecuencia, concluido el procedimiento legislativo. Adujeron asimismo los recurrentes como precedente que, durante la XIV Legislatura, la Comisión de Interior, en sesión de 14 de marzo de 2023, rechazó en votación el texto del informe de la ponencia, lo que determinó el fin de la tramitación parlamentaria de la propuesta legislativa. Los usos y costumbre en el ámbito del Derecho Parlamentario cobran una especial relevancia por cuanto responden a la reiteración de una interpretación, sostenida a lo largo de diferentes legislaturas que generan el convencimiento de su vinculatoriedad jurídica de su obligatoriedad, de su respeto por los sucesivos órganos de gobierno de la Cámara. La vida parlamentaria es necesariamente fluida, abierta. El Reglamento parlamentario nunca puede entenderse dotado de completitud porque encorsetaría hasta la extenuación la vida parlamentaria. Requiere necesariamente su entendimiento de conformidad con los usos y costumbres parlamentarios que conforman precedentes.</w:t>
      </w:r>
    </w:p>
    <w:p w14:paraId="6DC18E67" w14:textId="77777777" w:rsidR="00576A90" w:rsidRDefault="00576A90" w:rsidP="00576A90">
      <w:pPr>
        <w:pStyle w:val="TextoNormal"/>
      </w:pPr>
    </w:p>
    <w:p w14:paraId="0DA72ACC" w14:textId="77777777" w:rsidR="00576A90" w:rsidRDefault="00576A90" w:rsidP="00576A90">
      <w:pPr>
        <w:pStyle w:val="TextoNormal"/>
      </w:pPr>
      <w:r>
        <w:t>La interpretación del Reglamento parlamentario que han realizado en este caso los órganos rectores de la Cámara, y que el auto del que se disiento da por buena (“estamos dentro del ejercicio razonable de la autonomía parlamentaria”, se afirma) dista mucho, a mi entender, de ajustarse a la letra y el espíritu de los arts. 79.1 y 131.2 RCD, desatiende sin justificación los precedentes invocados por los recurrentes (lo que implica desconocer la importancia de los usos y prácticas parlamentarios como instrumento normativo dentro del ámbito de organización y funcionamiento de las Cámaras), y está muy lejos de ser, me parece, la interpretación más respetuosa en relación con los derechos que a los diputados, particularmente a los de la minoría, por las razones indicadas, garantiza el art. 23.2 CE.</w:t>
      </w:r>
    </w:p>
    <w:p w14:paraId="5D8C6079" w14:textId="77777777" w:rsidR="00576A90" w:rsidRDefault="00576A90" w:rsidP="00576A90">
      <w:pPr>
        <w:pStyle w:val="TextoNormal"/>
      </w:pPr>
    </w:p>
    <w:p w14:paraId="418CF851" w14:textId="77777777" w:rsidR="00576A90" w:rsidRDefault="00576A90" w:rsidP="00576A90">
      <w:pPr>
        <w:pStyle w:val="TextoNormal"/>
      </w:pPr>
      <w:r>
        <w:t xml:space="preserve">Cierto es que no toda infracción del reglamento parlamentario depara necesariamente la vulneración del </w:t>
      </w:r>
      <w:r w:rsidRPr="00576A90">
        <w:rPr>
          <w:i/>
        </w:rPr>
        <w:t>ius in officium</w:t>
      </w:r>
      <w:r>
        <w:t xml:space="preserve"> de los parlamentarios, pero creo que en este caso no es descartable que esa lesión se haya producido, pues la decisión de la presidenta y de la mesa del Congreso de devolver la proposición de ley orgánica de amnistía a la Comisión, para que emitiera un nuevo dictamen, en lugar de declarar rechazada la iniciativa y, consiguientemente, terminado el procedimiento legislativo, no solo parece apartarse, en su letra y </w:t>
      </w:r>
      <w:r>
        <w:lastRenderedPageBreak/>
        <w:t xml:space="preserve">espíritu, de lo dispuesto en los arts. 79.1 y 131 RCD, sino que no es descartable que afecte al núcleo esencial de los derechos de los diputados recurrentes, que forman parte de la minoría, a participar en una tramitación parlamentaria conforme a Derecho y con plenas garantías de la Cámara, esto es, a la integridad del procedimiento legislativo. En definitiva, es muy verosímil que la interpretación y aplicación que de los preceptos reglamentarios han hecho los órganos rectores del Congreso en este caso ha producido una quiebra del </w:t>
      </w:r>
      <w:r w:rsidRPr="00576A90">
        <w:rPr>
          <w:i/>
        </w:rPr>
        <w:t>ius in officium</w:t>
      </w:r>
      <w:r>
        <w:t xml:space="preserve"> de los diputados recurrentes que el art. 23.2 CE garantiza.</w:t>
      </w:r>
    </w:p>
    <w:p w14:paraId="3BB640EB" w14:textId="77777777" w:rsidR="00576A90" w:rsidRDefault="00576A90" w:rsidP="00576A90">
      <w:pPr>
        <w:pStyle w:val="TextoNormal"/>
      </w:pPr>
    </w:p>
    <w:p w14:paraId="542843E9" w14:textId="77777777" w:rsidR="00576A90" w:rsidRDefault="00576A90" w:rsidP="00576A90">
      <w:pPr>
        <w:pStyle w:val="TextoNormal"/>
      </w:pPr>
      <w:r>
        <w:t xml:space="preserve">Se añade a lo anterior que este recurso de amparo presentaba la especial trascendencia constitucional que el art. 50.1 b) LOTC exige para la admisión a trámite. No hay que olvidar que los recursos de amparo parlamentarios (art. 42 LOTC), como lo es el que nos ocupa, tienen una particularidad relevante respecto del resto de los recursos de amparo, porque el marco de garantías del que disponen los eventuales recurrentes para invocar sus derechos fundamentales es más estrecho, al carecer de una vía jurisdiccional previa al amparo constitucional en la que postular la reparación de los derechos vulnerados. La doctrina de los </w:t>
      </w:r>
      <w:r w:rsidRPr="00576A90">
        <w:rPr>
          <w:i/>
        </w:rPr>
        <w:t>interna corporis acta</w:t>
      </w:r>
      <w:r>
        <w:t xml:space="preserve">, que sustenta este marco de garantías, y según la cual determinados actos parlamentarios no pueden ser objeto de control por los tribunales ordinarios, ha de conjugarse con el ejercicio del </w:t>
      </w:r>
      <w:r w:rsidRPr="00576A90">
        <w:rPr>
          <w:i/>
        </w:rPr>
        <w:t>ius in officium</w:t>
      </w:r>
      <w:r>
        <w:t xml:space="preserve"> por parte de los representantes políticos sin perturbaciones ilegítimas (art. 23.2 CE); y, en última instancia, con el derecho de los propios ciudadanos a participar en los asuntos públicos mediante sus representantes (art. 23.1 CE), lo que sitúa a los amparos parlamentarios en una posición especial a la hora de determinar su dimensión objetiva y valorar la especial trascendencia constitucional por parte de este tribunal, dada la repercusión general que tiene el ejercicio de la función representativa y que excede del ámbito particular del parlamentario y del grupo en el que se integra (SSTC 10/2018, de 5 febrero, FJ 2; 27/2018, de 5 de marzo, FJ 2, y 15/2022, de 8 de febrero, FJ 2, entre otras muchas).</w:t>
      </w:r>
    </w:p>
    <w:p w14:paraId="5EF29235" w14:textId="77777777" w:rsidR="00576A90" w:rsidRDefault="00576A90" w:rsidP="00576A90">
      <w:pPr>
        <w:pStyle w:val="TextoNormal"/>
      </w:pPr>
    </w:p>
    <w:p w14:paraId="3DC8934C" w14:textId="77777777" w:rsidR="00576A90" w:rsidRDefault="00576A90" w:rsidP="00576A90">
      <w:pPr>
        <w:pStyle w:val="TextoNormal"/>
      </w:pPr>
      <w:r>
        <w:t>En efecto, sucede que el asunto suscitado en este recurso de amparo parlamentario trascendía del caso concreto porque planteaba “una cuestión jurídica de relevante y general repercusión social” y además tenía “unas consecuencias políticas generales” [STC 155/2009, de 25 de junio, FJ 2 g)]. Lo que estaba en juego en el presente caso no es solo la eventual reparación del derecho fundamental de los diputados recurrentes en amparo al ejercicio de sus funciones representativas (art. 23.2 CE), sino también la integridad del procedimiento legislativo en la regulación de una cuestión fundamental para la estructura institucional del Estado y su régimen de mecanismos de garantía y control previstos en el ordenamiento, como es la aprobación de una ley de amnistía, cuyo encaje constitucional se presenta, cuanto menos, problemático.</w:t>
      </w:r>
    </w:p>
    <w:p w14:paraId="4E9B115B" w14:textId="77777777" w:rsidR="00576A90" w:rsidRDefault="00576A90" w:rsidP="00576A90">
      <w:pPr>
        <w:pStyle w:val="TextoNormal"/>
      </w:pPr>
    </w:p>
    <w:p w14:paraId="4CFB81FA" w14:textId="77777777" w:rsidR="00576A90" w:rsidRDefault="00576A90" w:rsidP="00576A90">
      <w:pPr>
        <w:pStyle w:val="TextoNormal"/>
      </w:pPr>
      <w:r>
        <w:t>En definitiva, la verosimilitud de la vulneración de los derechos de participación política (art. 23.2 CE) de los diputados del grupo parlamentario recurrente y la existencia de especial trascendencia constitucional en el asunto planteado, debieron conducir a este tribunal a acordar la admisión del recurso de amparo, de conformidad con el art. 50.1 LOTC, para dictar en su momento una sentencia sobre el fondo del asunto, en la que se examinara debidamente la queja del grupo parlamentario recurrente y se diera cumplida respuesta a la misma.</w:t>
      </w:r>
    </w:p>
    <w:p w14:paraId="5408124C" w14:textId="77777777" w:rsidR="00576A90" w:rsidRDefault="00576A90" w:rsidP="00576A90">
      <w:pPr>
        <w:pStyle w:val="TextoNormal"/>
      </w:pPr>
    </w:p>
    <w:p w14:paraId="63380FC2" w14:textId="6AD3AA5A" w:rsidR="00576A90" w:rsidRDefault="00576A90" w:rsidP="00576A90">
      <w:pPr>
        <w:pStyle w:val="TextoNormal"/>
      </w:pPr>
      <w:r>
        <w:t>Madrid, a dieciocho de marzo de dos mil veinticuatro.</w:t>
      </w:r>
    </w:p>
    <w:p w14:paraId="58C41F19" w14:textId="76E9DB8B" w:rsidR="00576A90" w:rsidRDefault="00576A90">
      <w:pPr>
        <w:spacing w:after="160" w:line="259" w:lineRule="auto"/>
        <w:rPr>
          <w:rFonts w:ascii="Times New Roman" w:eastAsia="Times New Roman" w:hAnsi="Times New Roman" w:cs="Times New Roman"/>
          <w:sz w:val="24"/>
          <w:szCs w:val="24"/>
          <w:lang w:eastAsia="es-ES"/>
        </w:rPr>
      </w:pPr>
      <w:r>
        <w:br w:type="page"/>
      </w:r>
    </w:p>
    <w:p w14:paraId="1F983612" w14:textId="77777777" w:rsidR="00576A90" w:rsidRDefault="00576A90" w:rsidP="00576A90">
      <w:pPr>
        <w:pStyle w:val="TtuloResolucin"/>
      </w:pPr>
      <w:bookmarkStart w:id="120" w:name="AUTO_2024_25"/>
      <w:r>
        <w:lastRenderedPageBreak/>
        <w:t>AUTO 25/2024, de 22 de marzo de 2024</w:t>
      </w:r>
    </w:p>
    <w:bookmarkEnd w:id="120"/>
    <w:p w14:paraId="5914EE0E" w14:textId="77777777" w:rsidR="00576A90" w:rsidRDefault="00576A90" w:rsidP="00576A90">
      <w:pPr>
        <w:pStyle w:val="TtuloResolucin"/>
      </w:pPr>
      <w:r>
        <w:t>Sección Primera</w:t>
      </w:r>
    </w:p>
    <w:p w14:paraId="327B565A" w14:textId="77777777" w:rsidR="00576A90" w:rsidRDefault="00576A90" w:rsidP="00576A90">
      <w:pPr>
        <w:pStyle w:val="TextoNormalCentrado"/>
      </w:pPr>
      <w:r>
        <w:t>ECLI:ES:TC:2024:25A</w:t>
      </w:r>
    </w:p>
    <w:p w14:paraId="20CB8575" w14:textId="3ACBAB67" w:rsidR="00576A90" w:rsidRDefault="00576A90" w:rsidP="00576A90">
      <w:pPr>
        <w:pStyle w:val="TextoNormalCentrado"/>
      </w:pPr>
    </w:p>
    <w:p w14:paraId="388071C7" w14:textId="77777777" w:rsidR="00576A90" w:rsidRDefault="00576A90" w:rsidP="00576A90">
      <w:pPr>
        <w:pStyle w:val="SntesisDescriptiva"/>
      </w:pPr>
      <w:r>
        <w:t>Excms. Srs. doña Concepción Espejel Jorquera y doña María Luisa Segoviano Astaburuaga.</w:t>
      </w:r>
    </w:p>
    <w:p w14:paraId="271DE964" w14:textId="418F7B78" w:rsidR="00576A90" w:rsidRDefault="00576A90" w:rsidP="00576A90">
      <w:pPr>
        <w:pStyle w:val="SntesisDescriptiva"/>
      </w:pPr>
    </w:p>
    <w:p w14:paraId="267C005E" w14:textId="77777777" w:rsidR="00576A90" w:rsidRDefault="00576A90" w:rsidP="00576A90">
      <w:pPr>
        <w:pStyle w:val="SntesisDescriptiva"/>
      </w:pPr>
      <w:r>
        <w:t>Acepta una abstención en el recurso de amparo 2394-2022, promovido en proceso contencioso administrativo.</w:t>
      </w:r>
    </w:p>
    <w:p w14:paraId="31779B71" w14:textId="54930036" w:rsidR="00576A90" w:rsidRDefault="00576A90" w:rsidP="00576A90">
      <w:pPr>
        <w:pStyle w:val="SntesisDescriptiva"/>
      </w:pPr>
    </w:p>
    <w:p w14:paraId="366FD2FB" w14:textId="77777777" w:rsidR="00576A90" w:rsidRDefault="00576A90" w:rsidP="00576A90">
      <w:pPr>
        <w:pStyle w:val="SntesisDescriptiva"/>
      </w:pPr>
    </w:p>
    <w:p w14:paraId="71D1ECA5" w14:textId="77777777" w:rsidR="00576A90" w:rsidRDefault="00576A90" w:rsidP="00576A90">
      <w:pPr>
        <w:pStyle w:val="SntesisDescriptiva"/>
      </w:pPr>
    </w:p>
    <w:p w14:paraId="390AA3E2" w14:textId="77777777" w:rsidR="00576A90" w:rsidRDefault="00576A90" w:rsidP="00576A90">
      <w:pPr>
        <w:pStyle w:val="TextoNormalNegritaCentrado"/>
      </w:pPr>
      <w:r>
        <w:t>AUTO</w:t>
      </w:r>
    </w:p>
    <w:p w14:paraId="377B0339" w14:textId="0537642C" w:rsidR="00576A90" w:rsidRDefault="00576A90" w:rsidP="00576A90">
      <w:pPr>
        <w:pStyle w:val="TextoNormalNegritaCentrado"/>
      </w:pPr>
    </w:p>
    <w:p w14:paraId="1D8883A0" w14:textId="77777777" w:rsidR="00576A90" w:rsidRDefault="00576A90" w:rsidP="00576A90">
      <w:pPr>
        <w:pStyle w:val="TextoNormalNegritaCentrado"/>
        <w:keepNext/>
      </w:pPr>
      <w:r>
        <w:t>I. Antecedentes</w:t>
      </w:r>
    </w:p>
    <w:p w14:paraId="38FA9ACE" w14:textId="0111A8E1" w:rsidR="00576A90" w:rsidRDefault="00576A90" w:rsidP="00576A90">
      <w:pPr>
        <w:pStyle w:val="TextoNormalNegritaCentrado"/>
        <w:keepNext/>
      </w:pPr>
    </w:p>
    <w:p w14:paraId="3BF44759" w14:textId="77777777" w:rsidR="00576A90" w:rsidRDefault="00576A90" w:rsidP="00576A90">
      <w:pPr>
        <w:pStyle w:val="TextoNormal"/>
      </w:pPr>
      <w:r w:rsidRPr="00576A90">
        <w:rPr>
          <w:rStyle w:val="TextoNormalNegritaCaracter"/>
        </w:rPr>
        <w:t xml:space="preserve">Único. </w:t>
      </w:r>
      <w:r>
        <w:t>En el recurso de amparo núm. 2394-2022 se impugnan la sentencia 1413/2021, de 1 de diciembre y providencia de fecha 17 de febrero de 2022, dictadas ambas por la Sección Sexta de la Sala de lo Contencioso-Administrativo del Tribunal Supremo que resuelven el recurso contencioso administrativo frente a la resolución de 25 de junio de 2020 dictada por el Pleno del Consejo General del Poder Judicial que desestimó recurso de alzada núm. 365-2019 interpuesto contra la resolución de la comisión disciplinaria del Consejo de 17 de julio de 2019.</w:t>
      </w:r>
    </w:p>
    <w:p w14:paraId="390D8E41" w14:textId="77777777" w:rsidR="00576A90" w:rsidRDefault="00576A90" w:rsidP="00576A90">
      <w:pPr>
        <w:pStyle w:val="TextoNormal"/>
      </w:pPr>
    </w:p>
    <w:p w14:paraId="18463BA1" w14:textId="0BCD319A" w:rsidR="00576A90" w:rsidRDefault="00576A90" w:rsidP="00576A90">
      <w:pPr>
        <w:pStyle w:val="TextoNormal"/>
      </w:pPr>
      <w:r>
        <w:t>Mediante escrito de 20 de marzo de 2024 el magistrado don Cándido Conde-Pumpido Tourón comunicó a los efectos oportunos que se abstenía de intervenir en el antes indicado recurso de amparo, de conformidad con el art. 80 de la Ley Orgánica del Tribunal Constitucional (LOTC), por concurrir la causa de abstención prevista en el artículo 219.15 de la Ley Orgánica del Poder Judicial (LOPJ).</w:t>
      </w:r>
    </w:p>
    <w:p w14:paraId="16B8275E" w14:textId="77777777" w:rsidR="00576A90" w:rsidRDefault="00576A90" w:rsidP="00576A90">
      <w:pPr>
        <w:pStyle w:val="TextoNormal"/>
      </w:pPr>
    </w:p>
    <w:p w14:paraId="2F99B5C5" w14:textId="77777777" w:rsidR="00576A90" w:rsidRDefault="00576A90" w:rsidP="00576A90">
      <w:pPr>
        <w:pStyle w:val="TextoNormalNegritaCentrado"/>
        <w:keepNext/>
      </w:pPr>
      <w:r>
        <w:t>II. Fundamentos jurídicos</w:t>
      </w:r>
    </w:p>
    <w:p w14:paraId="52428DDB" w14:textId="5E48F2DB" w:rsidR="00576A90" w:rsidRDefault="00576A90" w:rsidP="00576A90">
      <w:pPr>
        <w:pStyle w:val="TextoNormalNegritaCentrado"/>
        <w:keepNext/>
      </w:pPr>
    </w:p>
    <w:p w14:paraId="66FEC060" w14:textId="3437C1EF" w:rsidR="00576A90" w:rsidRDefault="00576A90" w:rsidP="00576A90">
      <w:pPr>
        <w:pStyle w:val="TextoNormal"/>
      </w:pPr>
      <w:r w:rsidRPr="00576A90">
        <w:rPr>
          <w:rStyle w:val="TextoNormalNegritaCaracter"/>
        </w:rPr>
        <w:t xml:space="preserve">Único. </w:t>
      </w:r>
      <w:r>
        <w:t>Vista la comunicación efectuada por don Cándido Conde-Pumpido Tourón magistrado de esta Sección Primera del Tribunal Constitucional, la Sección, en virtud de lo previsto en el art. 219.15 LOPJ, supletoria de la Ley Orgánica del Tribunal Constitucional (art. 80), estima justificada la causa de abstención formulada.</w:t>
      </w:r>
    </w:p>
    <w:p w14:paraId="5AE9923C" w14:textId="77777777" w:rsidR="00576A90" w:rsidRDefault="00576A90" w:rsidP="00576A90">
      <w:pPr>
        <w:pStyle w:val="TextoNormal"/>
      </w:pPr>
    </w:p>
    <w:p w14:paraId="4DAA7481" w14:textId="77777777" w:rsidR="00576A90" w:rsidRDefault="00576A90" w:rsidP="00576A90">
      <w:pPr>
        <w:pStyle w:val="TextoNormal"/>
      </w:pPr>
      <w:r>
        <w:t>Por lo expuesto, la Sección</w:t>
      </w:r>
    </w:p>
    <w:p w14:paraId="70A79653" w14:textId="683ED627" w:rsidR="00576A90" w:rsidRDefault="00576A90" w:rsidP="00576A90">
      <w:pPr>
        <w:pStyle w:val="TextoNormal"/>
      </w:pPr>
    </w:p>
    <w:p w14:paraId="5E60A1B5" w14:textId="77777777" w:rsidR="00576A90" w:rsidRDefault="00576A90" w:rsidP="00576A90">
      <w:pPr>
        <w:pStyle w:val="TextoNormalCentrado"/>
      </w:pPr>
      <w:r>
        <w:t>ACUERDA</w:t>
      </w:r>
    </w:p>
    <w:p w14:paraId="5A7D0878" w14:textId="09BACD3F" w:rsidR="00576A90" w:rsidRDefault="00576A90" w:rsidP="00576A90">
      <w:pPr>
        <w:pStyle w:val="TextoNormalCentrado"/>
      </w:pPr>
    </w:p>
    <w:p w14:paraId="1F15FE2D" w14:textId="29C4D87E" w:rsidR="00576A90" w:rsidRDefault="00576A90" w:rsidP="00576A90">
      <w:pPr>
        <w:pStyle w:val="TextoNormal"/>
      </w:pPr>
      <w:r>
        <w:t>Estimar justificada la abstención formulada por el magistrado don Cándido Conde-Pumpido Tourón en el recurso de amparo núm. 2394-2022, apartándole definitivamente del conocimiento del referido recurso y de todas sus incidencias.</w:t>
      </w:r>
    </w:p>
    <w:p w14:paraId="725900DE" w14:textId="77777777" w:rsidR="00576A90" w:rsidRDefault="00576A90" w:rsidP="00576A90">
      <w:pPr>
        <w:pStyle w:val="TextoNormal"/>
      </w:pPr>
    </w:p>
    <w:p w14:paraId="4AED694A" w14:textId="77777777" w:rsidR="00576A90" w:rsidRDefault="00576A90" w:rsidP="00576A90">
      <w:pPr>
        <w:pStyle w:val="TextoNormal"/>
      </w:pPr>
      <w:r>
        <w:t>Madrid, a veintidós de marzo de dos mil veinticuatro.</w:t>
      </w:r>
    </w:p>
    <w:p w14:paraId="7075E240" w14:textId="7575A10A" w:rsidR="00576A90" w:rsidRDefault="00576A90">
      <w:pPr>
        <w:spacing w:after="160" w:line="259" w:lineRule="auto"/>
        <w:rPr>
          <w:rFonts w:ascii="Times New Roman" w:eastAsia="Times New Roman" w:hAnsi="Times New Roman" w:cs="Times New Roman"/>
          <w:sz w:val="24"/>
          <w:szCs w:val="24"/>
          <w:lang w:eastAsia="es-ES"/>
        </w:rPr>
      </w:pPr>
      <w:r>
        <w:lastRenderedPageBreak/>
        <w:br w:type="page"/>
      </w:r>
    </w:p>
    <w:p w14:paraId="74729654" w14:textId="77777777" w:rsidR="00576A90" w:rsidRDefault="00576A90" w:rsidP="00576A90">
      <w:pPr>
        <w:pStyle w:val="TtuloResolucin"/>
      </w:pPr>
      <w:bookmarkStart w:id="121" w:name="AUTO_2024_26"/>
      <w:r>
        <w:lastRenderedPageBreak/>
        <w:t>AUTO 26/2024, de 8 de abril de 2024</w:t>
      </w:r>
    </w:p>
    <w:bookmarkEnd w:id="121"/>
    <w:p w14:paraId="1CA1266F" w14:textId="77777777" w:rsidR="00576A90" w:rsidRDefault="00576A90" w:rsidP="00576A90">
      <w:pPr>
        <w:pStyle w:val="TtuloResolucin"/>
      </w:pPr>
      <w:r>
        <w:t>Sala Segunda</w:t>
      </w:r>
    </w:p>
    <w:p w14:paraId="6B0B13E9" w14:textId="77777777" w:rsidR="00576A90" w:rsidRDefault="00576A90" w:rsidP="00576A90">
      <w:pPr>
        <w:pStyle w:val="TextoNormalCentrado"/>
      </w:pPr>
      <w:r>
        <w:t>ECLI:ES:TC:2024:26A</w:t>
      </w:r>
    </w:p>
    <w:p w14:paraId="1CE3C2B3" w14:textId="68B10B4A" w:rsidR="00576A90" w:rsidRDefault="00576A90" w:rsidP="00576A90">
      <w:pPr>
        <w:pStyle w:val="TextoNormalCentrado"/>
      </w:pPr>
    </w:p>
    <w:p w14:paraId="38920328" w14:textId="77777777" w:rsidR="00576A90" w:rsidRDefault="00576A90" w:rsidP="00576A90">
      <w:pPr>
        <w:pStyle w:val="SntesisDescriptiva"/>
      </w:pPr>
      <w:r>
        <w:t>Excms. Srs. doña Inmaculada Montalbán Huertas, doña María Luisa Balaguer Callejón, don Ramón Sáez Valcárcel, don Enrique Arnaldo Alcubilla, don César Tolosa Tribiño y doña Laura Díez Bueso.</w:t>
      </w:r>
    </w:p>
    <w:p w14:paraId="061234DA" w14:textId="03824B5E" w:rsidR="00576A90" w:rsidRDefault="00576A90" w:rsidP="00576A90">
      <w:pPr>
        <w:pStyle w:val="SntesisDescriptiva"/>
      </w:pPr>
    </w:p>
    <w:p w14:paraId="171BF326" w14:textId="77777777" w:rsidR="00576A90" w:rsidRDefault="00576A90" w:rsidP="00576A90">
      <w:pPr>
        <w:pStyle w:val="SntesisDescriptiva"/>
      </w:pPr>
      <w:r>
        <w:t>Desestima el recurso de súplica interpuesto en relación con el ATC 9/2024, de 12 de febrero, que inadmitió la solicitud de ejecución de la STC 69/2023, de 19 de junio, dictada en el recurso de amparo 3444-2020, promovido por el Ayuntamiento de Villanueva de Sijena (Huesca) en causa penal.</w:t>
      </w:r>
    </w:p>
    <w:p w14:paraId="11284F64" w14:textId="3B4D1499" w:rsidR="00576A90" w:rsidRDefault="00576A90" w:rsidP="00576A90">
      <w:pPr>
        <w:pStyle w:val="SntesisDescriptiva"/>
      </w:pPr>
    </w:p>
    <w:p w14:paraId="3FBE3C19" w14:textId="77777777" w:rsidR="00576A90" w:rsidRDefault="00576A90" w:rsidP="00576A90">
      <w:pPr>
        <w:pStyle w:val="SntesisDescriptiva"/>
      </w:pPr>
    </w:p>
    <w:p w14:paraId="26C18251" w14:textId="77777777" w:rsidR="00576A90" w:rsidRDefault="00576A90" w:rsidP="00576A90">
      <w:pPr>
        <w:pStyle w:val="SntesisDescriptiva"/>
      </w:pPr>
    </w:p>
    <w:p w14:paraId="6807A8F3" w14:textId="77777777" w:rsidR="00576A90" w:rsidRDefault="00576A90" w:rsidP="00576A90">
      <w:pPr>
        <w:pStyle w:val="TextoNormalNegritaCentrado"/>
      </w:pPr>
      <w:r>
        <w:t>AUTO</w:t>
      </w:r>
    </w:p>
    <w:p w14:paraId="3D59851A" w14:textId="2E540319" w:rsidR="00576A90" w:rsidRDefault="00576A90" w:rsidP="00576A90">
      <w:pPr>
        <w:pStyle w:val="TextoNormalNegritaCentrado"/>
      </w:pPr>
    </w:p>
    <w:p w14:paraId="40DB91D2" w14:textId="77777777" w:rsidR="00576A90" w:rsidRDefault="00576A90" w:rsidP="00576A90">
      <w:pPr>
        <w:pStyle w:val="TextoNormalNegritaCentrado"/>
        <w:keepNext/>
      </w:pPr>
      <w:r>
        <w:t>I. Antecedentes</w:t>
      </w:r>
    </w:p>
    <w:p w14:paraId="5174A521" w14:textId="02EFB411" w:rsidR="00576A90" w:rsidRDefault="00576A90" w:rsidP="00576A90">
      <w:pPr>
        <w:pStyle w:val="TextoNormalNegritaCentrado"/>
        <w:keepNext/>
      </w:pPr>
    </w:p>
    <w:p w14:paraId="0A1EADC0" w14:textId="77777777" w:rsidR="00576A90" w:rsidRDefault="00576A90" w:rsidP="00576A90">
      <w:pPr>
        <w:pStyle w:val="TextoNormal"/>
      </w:pPr>
      <w:r w:rsidRPr="00576A90">
        <w:rPr>
          <w:rStyle w:val="NumeroAFNegritaCaracter"/>
        </w:rPr>
        <w:t>1</w:t>
      </w:r>
      <w:r>
        <w:t>. Por esta sala se dictó la STC 69/2023, de 19 de junio, que estimó el recurso de amparo interpuesto por don Lluís Puig Gordi, declaró vulnerado el derecho fundamental del demandante de amparo a la presunción de inocencia y acordó la nulidad de los autos de 5 de diciembre de 2019, 8 de enero y 25 de febrero de 2020, del Juzgado de Primera Instancia núm. 3 de Huesca, así como del auto de 11 de febrero de 2020, de la Sección Única de la Audiencia Provincial de Huesca. Asimismo, acordó retrotraer las actuaciones al momento inmediatamente anterior al dictado de la primera de esas resoluciones para que el órgano judicial dictara una nueva resolución que sea respetuosa con el derecho fundamental vulnerado.</w:t>
      </w:r>
    </w:p>
    <w:p w14:paraId="4ED0EB60" w14:textId="77777777" w:rsidR="00576A90" w:rsidRDefault="00576A90" w:rsidP="00576A90">
      <w:pPr>
        <w:pStyle w:val="TextoNormal"/>
      </w:pPr>
    </w:p>
    <w:p w14:paraId="77C5DDA6" w14:textId="750EFB0B" w:rsidR="00576A90" w:rsidRDefault="00576A90" w:rsidP="00576A90">
      <w:pPr>
        <w:pStyle w:val="TextoNormal"/>
      </w:pPr>
      <w:r>
        <w:t>La anulación de los autos se sustentó exclusivamente en que el auto de apertura del juicio oral y los que lo confirmaron, al pretender garantizar el cumplimiento de la pena de multa vulneraron el derecho a la presunción de inocencia (art. 24.2 CE).</w:t>
      </w:r>
    </w:p>
    <w:p w14:paraId="58D21AA3" w14:textId="77777777" w:rsidR="00576A90" w:rsidRDefault="00576A90" w:rsidP="00576A90">
      <w:pPr>
        <w:pStyle w:val="TextoNormal"/>
      </w:pPr>
    </w:p>
    <w:p w14:paraId="40158237" w14:textId="4347D505" w:rsidR="00576A90" w:rsidRDefault="00576A90" w:rsidP="00576A90">
      <w:pPr>
        <w:pStyle w:val="TextoNormal"/>
      </w:pPr>
      <w:r w:rsidRPr="00576A90">
        <w:rPr>
          <w:rStyle w:val="NumeroAFNegritaCaracter"/>
        </w:rPr>
        <w:t>2</w:t>
      </w:r>
      <w:r>
        <w:t>. El 22 de enero de 2024 tuvo entrada en el registro del Tribunal Constitucional el escrito firmado por el abogado don Jorge-Fernando Español Fumanal, en representación del Ayuntamiento de Villanueva de Sijena (Huesca), por el que promovía un incidente de ejecución de la STC 69/2023, y solicitaba la nulidad del auto de la Sala de lo Civil y Penal del Tribunal Superior de Justicia de Cataluña de 18 de enero de 2024, dictado en el procedimiento abreviado núm. 1-2023.</w:t>
      </w:r>
    </w:p>
    <w:p w14:paraId="3C9E97BE" w14:textId="77777777" w:rsidR="00576A90" w:rsidRDefault="00576A90" w:rsidP="00576A90">
      <w:pPr>
        <w:pStyle w:val="TextoNormal"/>
      </w:pPr>
    </w:p>
    <w:p w14:paraId="73D4D803" w14:textId="476FE812" w:rsidR="00576A90" w:rsidRDefault="00576A90" w:rsidP="00576A90">
      <w:pPr>
        <w:pStyle w:val="TextoNormal"/>
      </w:pPr>
      <w:r w:rsidRPr="00576A90">
        <w:rPr>
          <w:rStyle w:val="NumeroAFNegritaCaracter"/>
        </w:rPr>
        <w:t>3</w:t>
      </w:r>
      <w:r>
        <w:t>. Mediante ATC 9/2024, de 12 de febrero, de esta sala, se acordó inadmitir el incidente de ejecución atendida la absoluta falta de conexión entre lo resuelto en la STC 69/2023 y el contenido de la ejecución que se solicitaba.</w:t>
      </w:r>
    </w:p>
    <w:p w14:paraId="0B8BE077" w14:textId="77777777" w:rsidR="00576A90" w:rsidRDefault="00576A90" w:rsidP="00576A90">
      <w:pPr>
        <w:pStyle w:val="TextoNormal"/>
      </w:pPr>
    </w:p>
    <w:p w14:paraId="743A670F" w14:textId="4C9B73CF" w:rsidR="00576A90" w:rsidRDefault="00576A90" w:rsidP="00576A90">
      <w:pPr>
        <w:pStyle w:val="TextoNormal"/>
      </w:pPr>
      <w:r w:rsidRPr="00576A90">
        <w:rPr>
          <w:rStyle w:val="NumeroAFNegritaCaracter"/>
        </w:rPr>
        <w:t>4</w:t>
      </w:r>
      <w:r>
        <w:t xml:space="preserve">. Con fecha 18 de febrero de 2024 tuvo entrada en el registro de este tribunal escrito de la representación procesal del Ayuntamiento de Villanueva de Sijena por el que se interpone recurso de súplica contra referido auto. El recurso insiste en la competencia del </w:t>
      </w:r>
      <w:r>
        <w:lastRenderedPageBreak/>
        <w:t>Juzgado de Primera Instancia e Instrucción núm. 3 de Huesca para la ejecución de la STC 69/2023, e indica que dicha sentencia se ha incumplido por haberse cambiado el órgano judicial que debía cumplir el fallo, a lo que añade que no se han devuelto las fianzas impuestas.</w:t>
      </w:r>
    </w:p>
    <w:p w14:paraId="369921F3" w14:textId="77777777" w:rsidR="00576A90" w:rsidRDefault="00576A90" w:rsidP="00576A90">
      <w:pPr>
        <w:pStyle w:val="TextoNormal"/>
      </w:pPr>
    </w:p>
    <w:p w14:paraId="545F7ED3" w14:textId="584D5475" w:rsidR="00576A90" w:rsidRDefault="00576A90" w:rsidP="00576A90">
      <w:pPr>
        <w:pStyle w:val="TextoNormal"/>
      </w:pPr>
      <w:r w:rsidRPr="00576A90">
        <w:rPr>
          <w:rStyle w:val="NumeroAFNegritaCaracter"/>
        </w:rPr>
        <w:t>5</w:t>
      </w:r>
      <w:r>
        <w:t>. Mediante diligencia de ordenación del secretario de justicia de esta sala, de 23 de febrero de 2024, se acordó dar traslado del recurso de súplica a las partes personadas para que, en el plazo de tres días, pudieran exponer lo que estimasen procedente en relación con el mismo.</w:t>
      </w:r>
    </w:p>
    <w:p w14:paraId="10F17E0E" w14:textId="77777777" w:rsidR="00576A90" w:rsidRDefault="00576A90" w:rsidP="00576A90">
      <w:pPr>
        <w:pStyle w:val="TextoNormal"/>
      </w:pPr>
    </w:p>
    <w:p w14:paraId="3D9A16E5" w14:textId="1558AE4E" w:rsidR="00576A90" w:rsidRDefault="00576A90" w:rsidP="00576A90">
      <w:pPr>
        <w:pStyle w:val="TextoNormal"/>
      </w:pPr>
      <w:r w:rsidRPr="00576A90">
        <w:rPr>
          <w:rStyle w:val="NumeroAFNegritaCaracter"/>
        </w:rPr>
        <w:t>6</w:t>
      </w:r>
      <w:r>
        <w:t xml:space="preserve">. El Ministerio Fiscal, por escrito presentado el 18 de marzo de 2024, solicitó la desestimación del recurso. Considera que los términos en los que se plantea el recurso de súplica vuelven a ser repetitivos de lo pretendido por el recurrente en el escrito por el que se promovió el incidente de ejecución, por lo que entiende que el recurso y su contenido no se ajustan a las condiciones del cauce procedimental del incidente de ejecución. Afirma, que la pretensión del recurrente ha sido ya contestada por el auto que ahora se impugna. Añade, que con posterioridad al escrito por el que se promovió el incidente de ejecución de la STC 69/2023, el magistrado instructor de la causa que se sigue en la Sala de lo Civil y Penal del Tribunal Superior de Justicia de Cataluña, ha dictado el auto de 31 de enero de 2024 que acuerda la apertura del juicio oral por los mismos hechos que en su día determinaron la apertura del juicio oral por el Juzgado de Primera Instancia e Instrucción núm. 3 de Huesca frente al señor Puig. Señala que dicho auto dispone, entre otros pronunciamientos, la nulidad de las actuaciones limitada a todas las practicadas en la causa desde el auto de 5 de diciembre de 2019 y la obligación de prestar fianza </w:t>
      </w:r>
      <w:r w:rsidRPr="00576A90">
        <w:rPr>
          <w:i/>
        </w:rPr>
        <w:t>ex delicto</w:t>
      </w:r>
      <w:r>
        <w:t xml:space="preserve"> por el señor Puig de conformidad con la STC 69/2023.</w:t>
      </w:r>
    </w:p>
    <w:p w14:paraId="1E355938" w14:textId="77777777" w:rsidR="00576A90" w:rsidRDefault="00576A90" w:rsidP="00576A90">
      <w:pPr>
        <w:pStyle w:val="TextoNormal"/>
      </w:pPr>
    </w:p>
    <w:p w14:paraId="4719BD5C" w14:textId="77777777" w:rsidR="00576A90" w:rsidRDefault="00576A90" w:rsidP="00576A90">
      <w:pPr>
        <w:pStyle w:val="TextoNormalNegritaCentrado"/>
        <w:keepNext/>
      </w:pPr>
      <w:r>
        <w:t>II. Fundamentos jurídicos</w:t>
      </w:r>
    </w:p>
    <w:p w14:paraId="1960D1B7" w14:textId="325A23BC" w:rsidR="00576A90" w:rsidRDefault="00576A90" w:rsidP="00576A90">
      <w:pPr>
        <w:pStyle w:val="TextoNormalNegritaCentrado"/>
        <w:keepNext/>
      </w:pPr>
    </w:p>
    <w:p w14:paraId="2411F0D5" w14:textId="77777777" w:rsidR="00576A90" w:rsidRDefault="00576A90" w:rsidP="00576A90">
      <w:pPr>
        <w:pStyle w:val="TextoNormal"/>
      </w:pPr>
      <w:r w:rsidRPr="00576A90">
        <w:rPr>
          <w:rStyle w:val="NumeroAFNegritaCaracter"/>
        </w:rPr>
        <w:t>1</w:t>
      </w:r>
      <w:r>
        <w:t>. El incidente de ejecución de la STC 69/2023 promovido por el Ayuntamiento de Villanueva de Sijena contra el auto de la Sala de lo Civil y Penal del Tribunal Superior de Justicia de Cataluña de 18 de enero de 2024, dictado en el procedimiento abreviado núm. 1-2023, por el que se designa magistrado instructor “para que adopte las resoluciones que correspondan en derecho en relación con dicha investigación y con el pleno cumplimiento de lo dispuesto por el Tribunal Constitucional en su STC 69/2023, de 19 junio”, fue inadmitido por ATC 9/2024, de 12 de febrero de esta sala, atendida la absoluta falta de conexión entre lo resuelto en la indicada sentencia y el contenido de la ejecución que se solicitaba.</w:t>
      </w:r>
    </w:p>
    <w:p w14:paraId="3C1C2236" w14:textId="77777777" w:rsidR="00576A90" w:rsidRDefault="00576A90" w:rsidP="00576A90">
      <w:pPr>
        <w:pStyle w:val="TextoNormal"/>
      </w:pPr>
    </w:p>
    <w:p w14:paraId="19335362" w14:textId="61ED21F8" w:rsidR="00576A90" w:rsidRDefault="00576A90" w:rsidP="00576A90">
      <w:pPr>
        <w:pStyle w:val="TextoNormal"/>
      </w:pPr>
      <w:r>
        <w:t>Contra el referido auto, el Ayuntamiento de Villanueva de Sijena ha interpuesto recurso de súplica que insiste en su argumento inicial y considera incumplida la STC 69/2023 al haberse modificado el órgano judicial que debía cumplir el fallo, e indica, que no se han devuelto las fianzas impuestas.</w:t>
      </w:r>
    </w:p>
    <w:p w14:paraId="7E08CF18" w14:textId="77777777" w:rsidR="00576A90" w:rsidRDefault="00576A90" w:rsidP="00576A90">
      <w:pPr>
        <w:pStyle w:val="TextoNormal"/>
      </w:pPr>
    </w:p>
    <w:p w14:paraId="4CCCF6C2" w14:textId="4D2A3708" w:rsidR="00576A90" w:rsidRDefault="00576A90" w:rsidP="00576A90">
      <w:pPr>
        <w:pStyle w:val="TextoNormal"/>
      </w:pPr>
      <w:r w:rsidRPr="00576A90">
        <w:rPr>
          <w:rStyle w:val="NumeroAFNegritaCaracter"/>
        </w:rPr>
        <w:t>2</w:t>
      </w:r>
      <w:r>
        <w:t>. El recurso de súplica debe ser desestimado pues, como afirma el Ministerio Fiscal, el recurrente se limita a reiterar las alegaciones que ya tuvieron respuesta pormenorizada al inadmitir el incidente de ejecución, por lo que a las mismas nos debemos remitir. Consi</w:t>
      </w:r>
      <w:r>
        <w:lastRenderedPageBreak/>
        <w:t>guientemente debemos reafirmar la absoluta falta de conexión entre lo resuelto en nuestra sentencia y el contenido de la ejecución pretendida. A ello añadimos ahora que tampoco del auto de la Sala de lo Civil y Penal del Tribunal Superior de Justicia de Cataluña contra el que se promueve el incidente de ejecución, resulta pronunciamiento alguno contrario a la devolución de la fianza.</w:t>
      </w:r>
    </w:p>
    <w:p w14:paraId="4F645534" w14:textId="77777777" w:rsidR="00576A90" w:rsidRDefault="00576A90" w:rsidP="00576A90">
      <w:pPr>
        <w:pStyle w:val="TextoNormal"/>
      </w:pPr>
    </w:p>
    <w:p w14:paraId="49873EDF" w14:textId="77777777" w:rsidR="00576A90" w:rsidRDefault="00576A90" w:rsidP="00576A90">
      <w:pPr>
        <w:pStyle w:val="TextoNormal"/>
      </w:pPr>
      <w:r>
        <w:t>Por lo expuesto, la Sala</w:t>
      </w:r>
    </w:p>
    <w:p w14:paraId="573A3513" w14:textId="6F131130" w:rsidR="00576A90" w:rsidRDefault="00576A90" w:rsidP="00576A90">
      <w:pPr>
        <w:pStyle w:val="TextoNormal"/>
      </w:pPr>
    </w:p>
    <w:p w14:paraId="202C87AE" w14:textId="77777777" w:rsidR="00576A90" w:rsidRDefault="00576A90" w:rsidP="00576A90">
      <w:pPr>
        <w:pStyle w:val="TextoNormalCentrado"/>
      </w:pPr>
      <w:r>
        <w:t>ACUERDA</w:t>
      </w:r>
    </w:p>
    <w:p w14:paraId="2E542A57" w14:textId="6DE909DE" w:rsidR="00576A90" w:rsidRDefault="00576A90" w:rsidP="00576A90">
      <w:pPr>
        <w:pStyle w:val="TextoNormalCentrado"/>
      </w:pPr>
    </w:p>
    <w:p w14:paraId="2EC7CA61" w14:textId="41ABC647" w:rsidR="00576A90" w:rsidRDefault="00576A90" w:rsidP="00576A90">
      <w:pPr>
        <w:pStyle w:val="TextoNormal"/>
      </w:pPr>
      <w:r>
        <w:t>Desestimar el recurso de súplica interpuesto por el Ayuntamiento de Villanueva de Sijena contra el ATC 9/2024, de 12 de febrero.</w:t>
      </w:r>
    </w:p>
    <w:p w14:paraId="0884ABD5" w14:textId="77777777" w:rsidR="00576A90" w:rsidRDefault="00576A90" w:rsidP="00576A90">
      <w:pPr>
        <w:pStyle w:val="TextoNormal"/>
      </w:pPr>
    </w:p>
    <w:p w14:paraId="2DB5D9E0" w14:textId="77777777" w:rsidR="00576A90" w:rsidRDefault="00576A90" w:rsidP="00576A90">
      <w:pPr>
        <w:pStyle w:val="TextoNormal"/>
      </w:pPr>
      <w:r>
        <w:t>Madrid, a ocho de abril de dos mil veinticuatro.</w:t>
      </w:r>
    </w:p>
    <w:p w14:paraId="678335AC" w14:textId="2FAEF734" w:rsidR="00576A90" w:rsidRDefault="00576A90">
      <w:pPr>
        <w:spacing w:after="160" w:line="259" w:lineRule="auto"/>
        <w:rPr>
          <w:rFonts w:ascii="Times New Roman" w:eastAsia="Times New Roman" w:hAnsi="Times New Roman" w:cs="Times New Roman"/>
          <w:sz w:val="24"/>
          <w:szCs w:val="24"/>
          <w:lang w:eastAsia="es-ES"/>
        </w:rPr>
      </w:pPr>
      <w:r>
        <w:br w:type="page"/>
      </w:r>
    </w:p>
    <w:p w14:paraId="4314F56E" w14:textId="77777777" w:rsidR="00576A90" w:rsidRDefault="00576A90" w:rsidP="00576A90">
      <w:pPr>
        <w:pStyle w:val="TtuloResolucin"/>
      </w:pPr>
      <w:bookmarkStart w:id="122" w:name="AUTO_2024_27"/>
      <w:r>
        <w:lastRenderedPageBreak/>
        <w:t>AUTO 27/2024, de 8 de abril de 2024</w:t>
      </w:r>
    </w:p>
    <w:bookmarkEnd w:id="122"/>
    <w:p w14:paraId="4D3283C3" w14:textId="77777777" w:rsidR="00576A90" w:rsidRDefault="00576A90" w:rsidP="00576A90">
      <w:pPr>
        <w:pStyle w:val="TtuloResolucin"/>
      </w:pPr>
      <w:r>
        <w:t>Sala Primera</w:t>
      </w:r>
    </w:p>
    <w:p w14:paraId="59461A6C" w14:textId="77777777" w:rsidR="00576A90" w:rsidRDefault="00576A90" w:rsidP="00576A90">
      <w:pPr>
        <w:pStyle w:val="TextoNormalCentrado"/>
      </w:pPr>
      <w:r>
        <w:t>ECLI:ES:TC:2024:27A</w:t>
      </w:r>
    </w:p>
    <w:p w14:paraId="5AD1F406" w14:textId="438B7CF8" w:rsidR="00576A90" w:rsidRDefault="00576A90" w:rsidP="00576A90">
      <w:pPr>
        <w:pStyle w:val="TextoNormalCentrado"/>
      </w:pPr>
    </w:p>
    <w:p w14:paraId="5E6D2C69" w14:textId="77777777" w:rsidR="00576A90" w:rsidRDefault="00576A90" w:rsidP="00576A90">
      <w:pPr>
        <w:pStyle w:val="SntesisDescriptiva"/>
      </w:pPr>
      <w:r>
        <w:t>Excms. Srs. don Cándido Conde-Pumpido Tourón, don Ricardo Enríquez Sancho, doña Concepción Espejel Jorquera, doña María Luisa Segoviano Astaburuaga y don Juan Carlos Campo Moreno.</w:t>
      </w:r>
    </w:p>
    <w:p w14:paraId="3049215A" w14:textId="00913A10" w:rsidR="00576A90" w:rsidRDefault="00576A90" w:rsidP="00576A90">
      <w:pPr>
        <w:pStyle w:val="SntesisDescriptiva"/>
      </w:pPr>
    </w:p>
    <w:p w14:paraId="39725C65" w14:textId="77777777" w:rsidR="00576A90" w:rsidRDefault="00576A90" w:rsidP="00576A90">
      <w:pPr>
        <w:pStyle w:val="SntesisDescriptiva"/>
      </w:pPr>
      <w:r>
        <w:t>Acuerda la suspensión parcial en el recurso de amparo 5242-2023, promovido por doña Wenzhou Zeng en causa penal.</w:t>
      </w:r>
    </w:p>
    <w:p w14:paraId="6DA153EA" w14:textId="611D3B21" w:rsidR="00576A90" w:rsidRDefault="00576A90" w:rsidP="00576A90">
      <w:pPr>
        <w:pStyle w:val="SntesisDescriptiva"/>
      </w:pPr>
    </w:p>
    <w:p w14:paraId="49589058" w14:textId="77777777" w:rsidR="00576A90" w:rsidRDefault="00576A90" w:rsidP="00576A90">
      <w:pPr>
        <w:pStyle w:val="SntesisDescriptiva"/>
      </w:pPr>
    </w:p>
    <w:p w14:paraId="3A3D66F5" w14:textId="77777777" w:rsidR="00576A90" w:rsidRDefault="00576A90" w:rsidP="00576A90">
      <w:pPr>
        <w:pStyle w:val="SntesisDescriptiva"/>
      </w:pPr>
    </w:p>
    <w:p w14:paraId="2766815B" w14:textId="77777777" w:rsidR="00576A90" w:rsidRDefault="00576A90" w:rsidP="00576A90">
      <w:pPr>
        <w:pStyle w:val="TextoNormalNegritaCentrado"/>
      </w:pPr>
      <w:r>
        <w:t>AUTO</w:t>
      </w:r>
    </w:p>
    <w:p w14:paraId="7B310C28" w14:textId="23AC6334" w:rsidR="00576A90" w:rsidRDefault="00576A90" w:rsidP="00576A90">
      <w:pPr>
        <w:pStyle w:val="TextoNormalNegritaCentrado"/>
      </w:pPr>
    </w:p>
    <w:p w14:paraId="12FEF724" w14:textId="77777777" w:rsidR="00576A90" w:rsidRDefault="00576A90" w:rsidP="00576A90">
      <w:pPr>
        <w:pStyle w:val="TextoNormalNegritaCentrado"/>
        <w:keepNext/>
      </w:pPr>
      <w:r>
        <w:t>I. Antecedentes</w:t>
      </w:r>
    </w:p>
    <w:p w14:paraId="53798D7A" w14:textId="7935760E" w:rsidR="00576A90" w:rsidRDefault="00576A90" w:rsidP="00576A90">
      <w:pPr>
        <w:pStyle w:val="TextoNormalNegritaCentrado"/>
        <w:keepNext/>
      </w:pPr>
    </w:p>
    <w:p w14:paraId="2C459994" w14:textId="73541111" w:rsidR="00576A90" w:rsidRDefault="00576A90" w:rsidP="00576A90">
      <w:pPr>
        <w:pStyle w:val="TextoNormal"/>
      </w:pPr>
      <w:r w:rsidRPr="00576A90">
        <w:rPr>
          <w:rStyle w:val="NumeroAFNegritaCaracter"/>
        </w:rPr>
        <w:t>1</w:t>
      </w:r>
      <w:r>
        <w:t>. Con fecha 25 de julio de 2023 tuvo entrada en el registro general de este Tribunal Constitucional un escrito del procurador de los tribunales don Luis Fernando Granados Bravo, actuando en representación de doña Wenzhou Zeng y bajo la defensa del abogado don Diego Artacho Martín-Lagos, por el que interpuso recurso de amparo contra las resoluciones que se han indicado en el encabezamiento.</w:t>
      </w:r>
    </w:p>
    <w:p w14:paraId="0A1A9B5F" w14:textId="77777777" w:rsidR="00576A90" w:rsidRDefault="00576A90" w:rsidP="00576A90">
      <w:pPr>
        <w:pStyle w:val="TextoNormal"/>
      </w:pPr>
    </w:p>
    <w:p w14:paraId="6D91F79C" w14:textId="77777777" w:rsidR="00576A90" w:rsidRDefault="00576A90" w:rsidP="00576A90">
      <w:pPr>
        <w:pStyle w:val="TextoNormal"/>
      </w:pPr>
      <w:r w:rsidRPr="00576A90">
        <w:rPr>
          <w:rStyle w:val="NumeroAFNegritaCaracter"/>
        </w:rPr>
        <w:t>2</w:t>
      </w:r>
      <w:r>
        <w:t>. Los hechos relevantes para la resolución de esta pieza de suspensión, son los siguientes:</w:t>
      </w:r>
    </w:p>
    <w:p w14:paraId="6D56E343" w14:textId="77777777" w:rsidR="00576A90" w:rsidRDefault="00576A90" w:rsidP="00576A90">
      <w:pPr>
        <w:pStyle w:val="TextoNormal"/>
      </w:pPr>
    </w:p>
    <w:p w14:paraId="2819904D" w14:textId="77777777" w:rsidR="00576A90" w:rsidRDefault="00576A90" w:rsidP="00576A90">
      <w:pPr>
        <w:pStyle w:val="TextoNormal"/>
      </w:pPr>
      <w:r>
        <w:t>a) El Juzgado de lo Penal núm. 26 de Barcelona dictó sentencia el 29 de diciembre de 2021 (procedimiento abreviado núm. 41-2019 Sección A) con la siguiente parte dispositiva, por lo que concierne a la demandante de amparo:</w:t>
      </w:r>
    </w:p>
    <w:p w14:paraId="59DA69BD" w14:textId="77777777" w:rsidR="00576A90" w:rsidRDefault="00576A90" w:rsidP="00576A90">
      <w:pPr>
        <w:pStyle w:val="TextoNormal"/>
      </w:pPr>
    </w:p>
    <w:p w14:paraId="349CD281" w14:textId="77777777" w:rsidR="00576A90" w:rsidRDefault="00576A90" w:rsidP="00576A90">
      <w:pPr>
        <w:pStyle w:val="TextoNormal"/>
      </w:pPr>
      <w:r>
        <w:t>“Que debo absolver y absuelvo a Wenzhou Zeng como autora responsable de cuatro delitos contra la hacienda pública en relación a los ejercicios de los años 2007, 2008, 2009 y 2011 del impuesto sobre el valor añadido por los que venía siendo acusada”.</w:t>
      </w:r>
    </w:p>
    <w:p w14:paraId="7D64EAC3" w14:textId="77777777" w:rsidR="00576A90" w:rsidRDefault="00576A90" w:rsidP="00576A90">
      <w:pPr>
        <w:pStyle w:val="TextoNormal"/>
      </w:pPr>
    </w:p>
    <w:p w14:paraId="55AC6176" w14:textId="77777777" w:rsidR="00576A90" w:rsidRDefault="00576A90" w:rsidP="00576A90">
      <w:pPr>
        <w:pStyle w:val="TextoNormal"/>
      </w:pPr>
      <w:r>
        <w:t>- Previamente, en el encabezamiento de la sentencia se hace constar que la Agencia Estatal de Administración Tributaria (AEAT) interviene en calidad de acusación particular, a través de la abogada del Estado personada en su nombre, y que es también parte acusadora el Ministerio Fiscal. Más adelante, en el antecedente de hecho quinto se indica que la abogada del Estado retiró la acusación formulada contra una coacusada persona física y otras dos personas jurídicas, pero mantuvo la acusación contra la ahora demandante de amparo. También mantuvo su acusación contra esta última el Ministerio Fiscal.</w:t>
      </w:r>
    </w:p>
    <w:p w14:paraId="65085B0D" w14:textId="77777777" w:rsidR="00576A90" w:rsidRDefault="00576A90" w:rsidP="00576A90">
      <w:pPr>
        <w:pStyle w:val="TextoNormal"/>
      </w:pPr>
    </w:p>
    <w:p w14:paraId="46047E80" w14:textId="77777777" w:rsidR="00576A90" w:rsidRDefault="00576A90" w:rsidP="00576A90">
      <w:pPr>
        <w:pStyle w:val="TextoNormal"/>
      </w:pPr>
      <w:r>
        <w:t>- En el apartado de hechos probados, la sentencia destaca en lo que importa a este amparo lo siguiente:</w:t>
      </w:r>
    </w:p>
    <w:p w14:paraId="039C2FBB" w14:textId="77777777" w:rsidR="00576A90" w:rsidRDefault="00576A90" w:rsidP="00576A90">
      <w:pPr>
        <w:pStyle w:val="TextoNormal"/>
      </w:pPr>
    </w:p>
    <w:p w14:paraId="19E1026D" w14:textId="77777777" w:rsidR="00576A90" w:rsidRDefault="00576A90" w:rsidP="00576A90">
      <w:pPr>
        <w:pStyle w:val="TextoNormal"/>
      </w:pPr>
      <w:r>
        <w:t>(i) Primero: que la acusada había constituido en fecha 23 de mayo de 2002 la sociedad Da Hua Zeng, S.L., “cuyo objeto social lo era la importación, exportación, comercializa</w:t>
      </w:r>
      <w:r>
        <w:lastRenderedPageBreak/>
        <w:t>ción, distribución y venta de artículos de menaje, papelería, plásticos, cristal, juguetes y complementos de vestir, así como alimentación y bebidas, productos textil de confección, calzado y artículos de cuero, siendo además la administradora de dicha sociedad durante los ejercicios económicos de 2007, 2008, 2009 y 2011, constándose que la mayor parte de las mercaderías importadas de China se comercializaban posteriormente en España”.</w:t>
      </w:r>
    </w:p>
    <w:p w14:paraId="36830E9F" w14:textId="77777777" w:rsidR="00576A90" w:rsidRDefault="00576A90" w:rsidP="00576A90">
      <w:pPr>
        <w:pStyle w:val="TextoNormal"/>
      </w:pPr>
    </w:p>
    <w:p w14:paraId="75F12EAA" w14:textId="77777777" w:rsidR="00576A90" w:rsidRDefault="00576A90" w:rsidP="00576A90">
      <w:pPr>
        <w:pStyle w:val="TextoNormal"/>
      </w:pPr>
      <w:r>
        <w:t>(ii) Cuarto: “En fecha 7 de octubre de 2011, tras haberse iniciado actuaciones de comprobación e investigación tributaria en relación al [impuesto sobre el valor añadido] (IVA) de 2007, 2008, 2009 y 2011 por la AEAT de Girona relativo a la supervisión y control del cumplimiento de las obligaciones tributarias por parte de los comerciantes minoristas de dicha provincia que identificaban como proveedor de su productos a la mercantil Da Hua Zeng,S.L., se personaron en las instalaciones de la referida mercantil miembros de la Inspección de Tributos de la AEAT y funcionarios de la Inspección Financiera y Aduanas, en los locales de aquella, sitos en la calle Industria núm. 602 de Badalona, y ello, mediante auto de fecha 7 de octubre de 2011 dictado por el Juzgado de lo Contenciosos-Administrativo núm. 1 de Barcelona; resolución que fue confirmada por la sentencia núm. 523 de 14 de mayo de 2012 dictada por la Sección Primera de la Sala de lo Contencioso-Administrativo del Tribunal Superior de Justicia de Catalunya”.</w:t>
      </w:r>
    </w:p>
    <w:p w14:paraId="28389057" w14:textId="77777777" w:rsidR="00576A90" w:rsidRDefault="00576A90" w:rsidP="00576A90">
      <w:pPr>
        <w:pStyle w:val="TextoNormal"/>
      </w:pPr>
    </w:p>
    <w:p w14:paraId="11DC4EFF" w14:textId="77777777" w:rsidR="00576A90" w:rsidRDefault="00576A90" w:rsidP="00576A90">
      <w:pPr>
        <w:pStyle w:val="TextoNormal"/>
      </w:pPr>
      <w:r>
        <w:t>- En el fundamento de derecho primero, la sentencia declara:</w:t>
      </w:r>
    </w:p>
    <w:p w14:paraId="675D1B68" w14:textId="77777777" w:rsidR="00576A90" w:rsidRDefault="00576A90" w:rsidP="00576A90">
      <w:pPr>
        <w:pStyle w:val="TextoNormal"/>
      </w:pPr>
    </w:p>
    <w:p w14:paraId="12E7B92B" w14:textId="77777777" w:rsidR="00576A90" w:rsidRDefault="00576A90" w:rsidP="00576A90">
      <w:pPr>
        <w:pStyle w:val="TextoNormal"/>
      </w:pPr>
      <w:r>
        <w:t>“Los hechos declarados probados con base a la prueba practicada en el acto del juicio oral con arreglo a los principios de inmediación, contradicción y oralidad, valorados conforme dispone el artículo 741 de la Ley de Enjuiciamiento Criminal, son penalmente atípicos al no concurrir el elemento subjetivo del delito contra la hacienda pública del artículo 305.1 [del Código penal] al no poder comprobarse que las sumas defraudadas del IVA de 2007, 2008, 2009 y 2011 superen los 120 000 € requisito del delito que se imputa a los acusados”.</w:t>
      </w:r>
    </w:p>
    <w:p w14:paraId="3E60DC37" w14:textId="77777777" w:rsidR="00576A90" w:rsidRDefault="00576A90" w:rsidP="00576A90">
      <w:pPr>
        <w:pStyle w:val="TextoNormal"/>
      </w:pPr>
    </w:p>
    <w:p w14:paraId="104C9C46" w14:textId="77777777" w:rsidR="00576A90" w:rsidRDefault="00576A90" w:rsidP="00576A90">
      <w:pPr>
        <w:pStyle w:val="TextoNormal"/>
      </w:pPr>
      <w:r>
        <w:t>- Para descartar que se hubiere acreditado el importe mínimo exigido (120 000 €) para considerar delito la defraudación del IVA en cada uno de los ejercicios fiscales objeto de inspección por la AEAT, el Juzgado de lo Penal estima la solicitud de la acusada para que se declare la nulidad de la diligencia de entrada y registro que había sido autorizada por el auto del Juzgado de lo Contencioso-Administrativo núm. 1 de Barcelona de 7 de octubre de 2011. Señala en este punto la sentencia (fundamento de derecho segundo):</w:t>
      </w:r>
    </w:p>
    <w:p w14:paraId="2187938B" w14:textId="77777777" w:rsidR="00576A90" w:rsidRDefault="00576A90" w:rsidP="00576A90">
      <w:pPr>
        <w:pStyle w:val="TextoNormal"/>
      </w:pPr>
    </w:p>
    <w:p w14:paraId="2F8B45BC" w14:textId="77777777" w:rsidR="00576A90" w:rsidRDefault="00576A90" w:rsidP="00576A90">
      <w:pPr>
        <w:pStyle w:val="TextoNormal"/>
      </w:pPr>
      <w:r>
        <w:t xml:space="preserve">“El auto de fecha 7 de octubre de 2011 incorporado en el documento electrónico y en CD de la AEAT en realidad es un auto genérico, no indica qué razones llevan a aconsejar en dicho momento la autorización judicial y la única referencia existente a la solicitud llevada a cabo por la AEAT se da en el antecedente de hecho segundo de la misma siendo que se trata de un ‘modelo’ al uso aplicable a cualquier otra sociedad que se quiera investigar sin ofrecer datos concretos y específicos para la que debe ser objeto de la diligencia de entrada y registro que se solicita. Se dirá y es cierto porque así consta en las actuaciones, que el mencionado auto de 7 de octubre de 2011 así como el ampliatorio de 20 de octubre de 2011 (obra este a los folios 2390 a 2393 del tomo VI), fue íntegramente confirmado por la sentencia de 14 de mayo de 2012 (véanse los folios 2394 y ss., tomo VI de la causa), dictada por la Sección Primera de la Sala de lo Contencioso-Administrativo del Tribunal Superior de Justicia de Catalunya. Pese a lo anterior, ello no impide la obligación </w:t>
      </w:r>
      <w:r>
        <w:lastRenderedPageBreak/>
        <w:t>de esta juzgadora examinar la petición de las defensas que la llevan a cabo en un procedimiento penal, que no contencioso, debiendo no solo tener en cuenta dicha petición de nulidad desde el punto de vista de la garantía constitucional a la inviolabilidad del domicilio aun siendo una persona jurídica, sino también debe tenerse en cuenta que en este procedimiento penal no se ha aportado más que lo que existe en la causa y es en dicho acervo probatorio en el que debe fundarse la solución a la cuestión planteada aquí, no conociendo si en el momento de resolverse el recurso planteado ante el [Tribunal Superior de Justicia] se aportó documentación adicional que fue condicionante de la resolución allí dictada y cuya existencia de ser así se ignora aquí y no se ha acompañado”.</w:t>
      </w:r>
    </w:p>
    <w:p w14:paraId="2FC2FB6D" w14:textId="77777777" w:rsidR="00576A90" w:rsidRDefault="00576A90" w:rsidP="00576A90">
      <w:pPr>
        <w:pStyle w:val="TextoNormal"/>
      </w:pPr>
    </w:p>
    <w:p w14:paraId="66DCF584" w14:textId="77777777" w:rsidR="00576A90" w:rsidRDefault="00576A90" w:rsidP="00576A90">
      <w:pPr>
        <w:pStyle w:val="TextoNormal"/>
      </w:pPr>
      <w:r>
        <w:t>- Tras hacer cita de la sentencia de la Sala de lo Contencioso-Administrativo del Tribunal Supremo núm. 1231/2020, de 1 de octubre, acerca de los requisitos necesarios para considerar como prueba de cargo en un proceso penal la documentación obtenida en una diligencia de entrada y registro autorizada por los tribunales de lo contencioso-administrativo, dice el Juzgado de lo Penal:</w:t>
      </w:r>
    </w:p>
    <w:p w14:paraId="7EAD8761" w14:textId="77777777" w:rsidR="00576A90" w:rsidRDefault="00576A90" w:rsidP="00576A90">
      <w:pPr>
        <w:pStyle w:val="TextoNormal"/>
      </w:pPr>
    </w:p>
    <w:p w14:paraId="6903416C" w14:textId="77777777" w:rsidR="00576A90" w:rsidRDefault="00576A90" w:rsidP="00576A90">
      <w:pPr>
        <w:pStyle w:val="TextoNormal"/>
      </w:pPr>
      <w:r>
        <w:t>“atendida la absoluta inconcreción y vaguedad de la solicitud, que no existe apoyo documental alguno de la misma, el propio contenido del auto que es genérico y lacónico y que podría valer para cualquier otra sociedad, como sospecha esta juzgadora ha tenido lugar en otras sociedades que fueron objeto de la misma diligencia en la misma fecha que la mercantil investigada, es claro que la diligencia de entrada y registro debe considerarse nula. Como se ha dicho ya era una solicitud genérica, sin apoyo alguno en acto administrativo previo, sin ningún dato que permitirá deducir que se estuviera ante una defraudación que no pudiera corregirse por los cauces ordinarios de inspección como consta se hizo con el ejercicio fiscal de 2010”.</w:t>
      </w:r>
    </w:p>
    <w:p w14:paraId="2267FFEE" w14:textId="77777777" w:rsidR="00576A90" w:rsidRDefault="00576A90" w:rsidP="00576A90">
      <w:pPr>
        <w:pStyle w:val="TextoNormal"/>
      </w:pPr>
    </w:p>
    <w:p w14:paraId="3ADE8AC9" w14:textId="77777777" w:rsidR="00576A90" w:rsidRDefault="00576A90" w:rsidP="00576A90">
      <w:pPr>
        <w:pStyle w:val="TextoNormal"/>
      </w:pPr>
      <w:r>
        <w:t>[…]</w:t>
      </w:r>
    </w:p>
    <w:p w14:paraId="51E9219D" w14:textId="77777777" w:rsidR="00576A90" w:rsidRDefault="00576A90" w:rsidP="00576A90">
      <w:pPr>
        <w:pStyle w:val="TextoNormal"/>
      </w:pPr>
    </w:p>
    <w:p w14:paraId="30DE4C00" w14:textId="77777777" w:rsidR="00576A90" w:rsidRDefault="00576A90" w:rsidP="00576A90">
      <w:pPr>
        <w:pStyle w:val="TextoNormal"/>
      </w:pPr>
      <w:r>
        <w:t>“[E]llo supone que dicha nulidad de la referida diligencia, y conlleva e implica que no puede ser tenida en cuenta y su consecuencia es la inexistencia de prueba alguna contra los acusados en relación a que las cuotas defraudadas del IVA de 2007, 2008, 2009 y 2011 lo sean por importe superior a los 120 000 € cuantía que es condición objetiva de punibilidad a los efectos del artículo 305 del Código Penal” (fundamento de derecho cuarto).</w:t>
      </w:r>
    </w:p>
    <w:p w14:paraId="0685B85C" w14:textId="77777777" w:rsidR="00576A90" w:rsidRDefault="00576A90" w:rsidP="00576A90">
      <w:pPr>
        <w:pStyle w:val="TextoNormal"/>
      </w:pPr>
    </w:p>
    <w:p w14:paraId="1D7BAE7C" w14:textId="77777777" w:rsidR="00576A90" w:rsidRDefault="00576A90" w:rsidP="00576A90">
      <w:pPr>
        <w:pStyle w:val="TextoNormal"/>
      </w:pPr>
      <w:r>
        <w:t>- La sentencia descarta a continuación que los informes periciales y la declaración de expertos en el juicio hayan podido servir a la acreditación de la cuantía económica mínima a efectos penales, y en cuanto a la aplicación del régimen de estimación indirecta para cuantificar las cuotas del IVA soportado, hace cita de la STC 57/2010, de 4 de octubre, respecto de las exigencias para su validez como prueba de cargo penal.</w:t>
      </w:r>
    </w:p>
    <w:p w14:paraId="61F36A06" w14:textId="77777777" w:rsidR="00576A90" w:rsidRDefault="00576A90" w:rsidP="00576A90">
      <w:pPr>
        <w:pStyle w:val="TextoNormal"/>
      </w:pPr>
    </w:p>
    <w:p w14:paraId="1963A8BE" w14:textId="77777777" w:rsidR="00576A90" w:rsidRDefault="00576A90" w:rsidP="00576A90">
      <w:pPr>
        <w:pStyle w:val="TextoNormal"/>
      </w:pPr>
      <w:r>
        <w:t>b) La AEAT interpuso recurso de apelación contra la antedicha sentencia, recurso que contó con la adhesión del Ministerio Fiscal.</w:t>
      </w:r>
    </w:p>
    <w:p w14:paraId="6FB8C61C" w14:textId="77777777" w:rsidR="00576A90" w:rsidRDefault="00576A90" w:rsidP="00576A90">
      <w:pPr>
        <w:pStyle w:val="TextoNormal"/>
      </w:pPr>
    </w:p>
    <w:p w14:paraId="25CF88CD" w14:textId="77777777" w:rsidR="00576A90" w:rsidRDefault="00576A90" w:rsidP="00576A90">
      <w:pPr>
        <w:pStyle w:val="TextoNormal"/>
      </w:pPr>
      <w:r>
        <w:t xml:space="preserve">(i) En el escrito de apelación la abogada del Estado adujo, como motivo primero y principal del recurso y con base en el art. 790.2 de la Ley de enjuiciamiento criminal (LECrim), el quebrantamiento de las normas y garantías procesales causado por la vulneración del derecho fundamental a la utilización de la prueba pertinente (art. 24.2 CE) de la parte acusadora, en concreto por haber declarado el Juzgado de lo Penal </w:t>
      </w:r>
      <w:r w:rsidRPr="00576A90">
        <w:rPr>
          <w:i/>
        </w:rPr>
        <w:t>a quo</w:t>
      </w:r>
      <w:r>
        <w:t xml:space="preserve"> la nulidad </w:t>
      </w:r>
      <w:r w:rsidRPr="00576A90">
        <w:rPr>
          <w:i/>
        </w:rPr>
        <w:t xml:space="preserve">de </w:t>
      </w:r>
      <w:r w:rsidRPr="00576A90">
        <w:rPr>
          <w:i/>
        </w:rPr>
        <w:lastRenderedPageBreak/>
        <w:t>facto</w:t>
      </w:r>
      <w:r>
        <w:t xml:space="preserve"> de la diligencia de entrada y registro en el domicilio de la sociedad Da Hua Zheng, S.L., practicada por la AEAT, que se amparaba en resoluciones que fueron declaradas firmes en el orden contencioso-administrativo (el citado auto de 7 de octubre de 2011 del Juzgado de lo Contencioso-Administrativo núm. 1 de Barcelona, confirmado por la sentencia de 14 de mayo de 2012 de la Sala de lo Contencioso-Administrativo del Tribunal Superior de Justicia de Cataluña). E invoca el art. 792 LECrim sobre los efectos de la estimación del recurso en tal caso: la retroacción de las actuaciones “al estado en el que se encontraba en el momento de cometerse la falta”.</w:t>
      </w:r>
    </w:p>
    <w:p w14:paraId="4BC57C5A" w14:textId="77777777" w:rsidR="00576A90" w:rsidRDefault="00576A90" w:rsidP="00576A90">
      <w:pPr>
        <w:pStyle w:val="TextoNormal"/>
      </w:pPr>
    </w:p>
    <w:p w14:paraId="0421B750" w14:textId="77777777" w:rsidR="00576A90" w:rsidRDefault="00576A90" w:rsidP="00576A90">
      <w:pPr>
        <w:pStyle w:val="TextoNormal"/>
      </w:pPr>
      <w:r>
        <w:t xml:space="preserve">Fundamenta este motivo la AEAT con cita —en ese orden— de las SSTC 142/2012, de 2 de julio, y 121/2009, de 18 de mayo, sobre el contenido del derecho fundamental a la utilización de la prueba pertinente del art. 24.2 CE; sentencias de las que deduce que se cumplen los requisitos para apreciar vulnerado este derecho fundamental, causándole indefensión por privar a dicha parte procesal de los documentos (“en soporte electrónico y en soporte papel”) que sostenían su pretensión, lo que ha resultado decisivo para el sentido del fallo del juzgado, siendo que aquella anulación “carece de toda base legal”. Prosigue el escrito desgranando sus argumentos desde el plano de la legalidad ordinaria, para considerar la improcedencia de la nulidad resuelta por el juzgado </w:t>
      </w:r>
      <w:r w:rsidRPr="00576A90">
        <w:rPr>
          <w:i/>
        </w:rPr>
        <w:t>a quo</w:t>
      </w:r>
      <w:r>
        <w:t>. A continuación invoca sentencias de este Tribunal Constitucional sobre la validez de la diligencia de entrada y registro en domicilio a instancia de la administración (ATC 129/1990, de 26 de marzo, y STC 50/1995, de 23 de febrero), cuando se acuerda previamente “a la notificación del inicio del procedimiento inspector”. Subsidiariamente, la abogada del Estado defiende que aunque la diligencia de entrada y registro se considerara nula, la prueba obtenida gracias a ella sigue siendo válida, con cita en su apoyo de sentencias del Tribunal Supremo.</w:t>
      </w:r>
    </w:p>
    <w:p w14:paraId="46186978" w14:textId="77777777" w:rsidR="00576A90" w:rsidRDefault="00576A90" w:rsidP="00576A90">
      <w:pPr>
        <w:pStyle w:val="TextoNormal"/>
      </w:pPr>
    </w:p>
    <w:p w14:paraId="31FBCCEB" w14:textId="77777777" w:rsidR="00576A90" w:rsidRDefault="00576A90" w:rsidP="00576A90">
      <w:pPr>
        <w:pStyle w:val="TextoNormal"/>
      </w:pPr>
      <w:r>
        <w:t>(ii) Como segundo motivo del recurso de apelación, la AEAT alega de nuevo el motivo legal de quebrantamiento de las normas y garantías procesales, ahora por haber incurrido la sentencia recurrida en “incongruencia interna”, entendida como falta de coherencia en la fundamentación. Afirma en ese sentido que pese a haber anulado “la totalidad del acervo probatorio recabado por la AEAT en las entradas domiciliarias practicadas”, la sentencia del juzgado “incomprensiblemente valora la prueba hallada para igualmente alcanzar un pronunciamiento finalmente absolutorio declarando probada la mecánica defraudatoria pero no la cuantificación de las cuotas”.</w:t>
      </w:r>
    </w:p>
    <w:p w14:paraId="75AB2A6F" w14:textId="77777777" w:rsidR="00576A90" w:rsidRDefault="00576A90" w:rsidP="00576A90">
      <w:pPr>
        <w:pStyle w:val="TextoNormal"/>
      </w:pPr>
    </w:p>
    <w:p w14:paraId="3CECD4D3" w14:textId="77777777" w:rsidR="00576A90" w:rsidRDefault="00576A90" w:rsidP="00576A90">
      <w:pPr>
        <w:pStyle w:val="TextoNormal"/>
      </w:pPr>
      <w:r>
        <w:t xml:space="preserve">(iii) El suplico del recurso de apelación solicita que con su estimación se anule la sentencia recurrida, con retroacción de las actuaciones al momento previo a celebrarse el juicio oral, que ha de repetirse ante magistrado-juez distinto “toda vez que el juez </w:t>
      </w:r>
      <w:r w:rsidRPr="00576A90">
        <w:rPr>
          <w:i/>
        </w:rPr>
        <w:t>a quo</w:t>
      </w:r>
      <w:r>
        <w:t xml:space="preserve"> ya ha realizado una valoración de la prueba por lo que no puede volver a dictar sentencia el mismo juez”.</w:t>
      </w:r>
    </w:p>
    <w:p w14:paraId="6B9F8132" w14:textId="77777777" w:rsidR="00576A90" w:rsidRDefault="00576A90" w:rsidP="00576A90">
      <w:pPr>
        <w:pStyle w:val="TextoNormal"/>
      </w:pPr>
    </w:p>
    <w:p w14:paraId="7DDF5523" w14:textId="77777777" w:rsidR="00576A90" w:rsidRDefault="00576A90" w:rsidP="00576A90">
      <w:pPr>
        <w:pStyle w:val="TextoNormal"/>
      </w:pPr>
      <w:r>
        <w:t>c) Tramitado el procedimiento, la Sección Vigésima Primera de la Audiencia Provincial de Barcelona, encargada del recurso (rollo de apelación núm. 58-2022), dictó sentencia el a de septiembre de 2022 con la siguiente dispositiva:</w:t>
      </w:r>
    </w:p>
    <w:p w14:paraId="44C68739" w14:textId="77777777" w:rsidR="00576A90" w:rsidRDefault="00576A90" w:rsidP="00576A90">
      <w:pPr>
        <w:pStyle w:val="TextoNormal"/>
      </w:pPr>
    </w:p>
    <w:p w14:paraId="71DA9318" w14:textId="77777777" w:rsidR="00576A90" w:rsidRDefault="00576A90" w:rsidP="00576A90">
      <w:pPr>
        <w:pStyle w:val="TextoNormal"/>
      </w:pPr>
      <w:r>
        <w:t>“Estimar el recurso de apelación interpuesto por la acusación particular que ejercita la Agencia Estatal de Administración Tributaria, con la adhesión del Ministerio Fiscal, contra la sentencia condenatoria [sic] dictada de 23 de diciembre de 2021 por el Juzgado de lo Penal número 26 de Barcelona, en sus diligencias de procedimiento abreviado núm. 41-</w:t>
      </w:r>
      <w:r>
        <w:lastRenderedPageBreak/>
        <w:t>2019, y declarar la nulidad del juicio y de la sentencia dictada, a fin de que se proceda a un nuevo señalamiento del juicio oral por un magistrado/a distinto, que deberá tener en cuenta lo resuelto en nuestra sentencia respecto a la validez de la entrada y registro efectuada”.</w:t>
      </w:r>
    </w:p>
    <w:p w14:paraId="532E9D9F" w14:textId="77777777" w:rsidR="00576A90" w:rsidRDefault="00576A90" w:rsidP="00576A90">
      <w:pPr>
        <w:pStyle w:val="TextoNormal"/>
      </w:pPr>
    </w:p>
    <w:p w14:paraId="465C1B78" w14:textId="77777777" w:rsidR="00576A90" w:rsidRDefault="00576A90" w:rsidP="00576A90">
      <w:pPr>
        <w:pStyle w:val="TextoNormal"/>
      </w:pPr>
      <w:r>
        <w:t>- Se explica en el fundamento de Derecho segundo de la sentencia:</w:t>
      </w:r>
    </w:p>
    <w:p w14:paraId="6D73D961" w14:textId="77777777" w:rsidR="00576A90" w:rsidRDefault="00576A90" w:rsidP="00576A90">
      <w:pPr>
        <w:pStyle w:val="TextoNormal"/>
      </w:pPr>
    </w:p>
    <w:p w14:paraId="6BB60FF9" w14:textId="77777777" w:rsidR="00576A90" w:rsidRDefault="00576A90" w:rsidP="00576A90">
      <w:pPr>
        <w:pStyle w:val="TextoNormal"/>
      </w:pPr>
      <w:r>
        <w:t>“La cuestión nuclear a resolver es si la jurisdicción penal puede declarar o no la nulidad de un auto de entrada y registro a favor de la Agencia Tributaria, dictado por un juzgado de lo contencioso-administrativo, que no fue recurrido en amparo y que devino firme en la jurisdicción contenciosa. Sobre esta cuestión contamos con dos precedentes en la Audiencia Provincial de Barcelona, como son las sentencias de la sección décima de fecha 30 de marzo de 2015 y 19 de abril de 2022, en sentido contrario a lo acordado en la sentencia ahora recurrida”.</w:t>
      </w:r>
    </w:p>
    <w:p w14:paraId="1EB6EE90" w14:textId="77777777" w:rsidR="00576A90" w:rsidRDefault="00576A90" w:rsidP="00576A90">
      <w:pPr>
        <w:pStyle w:val="TextoNormal"/>
      </w:pPr>
    </w:p>
    <w:p w14:paraId="7B52878D" w14:textId="77777777" w:rsidR="00576A90" w:rsidRDefault="00576A90" w:rsidP="00576A90">
      <w:pPr>
        <w:pStyle w:val="TextoNormal"/>
      </w:pPr>
      <w:r>
        <w:t xml:space="preserve">- Tras reproducir parte de la fundamentación de la última de las dos resoluciones que cita, contrarias ambas a que el juez de lo penal pueda revisar la validez de resoluciones firmes de los tribunales de lo contencioso-administrativo que autorizaron la entrada y registro en el domicilio, la sentencia de apelación añade que la petición efectuada por la defensa de la acusada en el juicio para que se acordara la nulidad del auto que autorizó la diligencia de entrada y registro en su empresa fue extemporánea; niega los defectos atribuidos a la resolución del Juzgado de lo Contencioso-Administrativo y discrepa de la decisión del órgano </w:t>
      </w:r>
      <w:r w:rsidRPr="00576A90">
        <w:rPr>
          <w:i/>
        </w:rPr>
        <w:t>a quo</w:t>
      </w:r>
      <w:r>
        <w:t xml:space="preserve"> de valorar la prueba documental recabada gracias al registro, luego de haber considerado nulo este último:</w:t>
      </w:r>
    </w:p>
    <w:p w14:paraId="7F08E423" w14:textId="77777777" w:rsidR="00576A90" w:rsidRDefault="00576A90" w:rsidP="00576A90">
      <w:pPr>
        <w:pStyle w:val="TextoNormal"/>
      </w:pPr>
    </w:p>
    <w:p w14:paraId="0A14851C" w14:textId="77777777" w:rsidR="00576A90" w:rsidRDefault="00576A90" w:rsidP="00576A90">
      <w:pPr>
        <w:pStyle w:val="TextoNormal"/>
      </w:pPr>
      <w:r>
        <w:t>“9. A mayor abundamiento, para el caso que considerásemos que el juez de lo penal tiene competencia para realizar un análisis de sujeción a los presupuestos legales y constitucionales del título habilitante de la medida de entrada y registro, a pesar de haber sido revisados los mismos presupuestos y la misma petición de nulidad ya en la segunda instancia por el Tribunal Superior de Justicia de Cataluña, y en la línea de lo acordado en [el] precedente que estamos analizando, dos son los argumentos que justificarían también la validez de la entrada:</w:t>
      </w:r>
    </w:p>
    <w:p w14:paraId="3C49BED9" w14:textId="77777777" w:rsidR="00576A90" w:rsidRDefault="00576A90" w:rsidP="00576A90">
      <w:pPr>
        <w:pStyle w:val="TextoNormal"/>
      </w:pPr>
    </w:p>
    <w:p w14:paraId="4D07CF97" w14:textId="77777777" w:rsidR="00576A90" w:rsidRDefault="00576A90" w:rsidP="00576A90">
      <w:pPr>
        <w:pStyle w:val="TextoNormal"/>
      </w:pPr>
      <w:r>
        <w:t xml:space="preserve">10. En primer lugar, motivos formales, por cuanto sobre la base de la doctrina consolidada del Tribunal Supremo, las defensas deberían haber cuestionado la no incorporación de toda la documentación que se contenía en el expediente administrativo como sustento para autorizar la entrada y registro en los escritos de defensa, invocándose por primera vez en fase de cuestiones previas, sin posibilidad de que las acusaciones pudieran completar lo que estimaran conveniente en respuesta a la impugnación. No puede aducirla sorpresivamente, privando a la acusación de la posibilidad de justificar la base de esa intervención que antes no se había puesto en duda de manera concreta y específica. Admitir que la audiencia previa del art. 786.2 LECrim es momento idóneo para ello, acarrea la necesidad de suspender el juicio oral en todos esos casos, en los que, por otra parte, a la petición de prueba por parte del fiscal podía rechazarse fundadamente pues comportaría la suspensión del juicio oral (SSTS 60/2020, de 20 de febrero; 350/2018, de 11 de julio, y 4/2014, de 2 enero, sobre la base del acuerdo del Pleno no jurisdiccional de fecha 26 de abril de 2009). </w:t>
      </w:r>
    </w:p>
    <w:p w14:paraId="6D34DF26" w14:textId="77777777" w:rsidR="00576A90" w:rsidRDefault="00576A90" w:rsidP="00576A90">
      <w:pPr>
        <w:pStyle w:val="TextoNormal"/>
      </w:pPr>
    </w:p>
    <w:p w14:paraId="03A50D06" w14:textId="77777777" w:rsidR="00576A90" w:rsidRDefault="00576A90" w:rsidP="00576A90">
      <w:pPr>
        <w:pStyle w:val="TextoNormal"/>
      </w:pPr>
      <w:r>
        <w:t>11. En segundo lugar, entrando en el fondo de la resolución administrativa, esta sala comparte los razonamientos profusos de la resolución de la Sala de lo Contencioso-</w:t>
      </w:r>
      <w:r>
        <w:lastRenderedPageBreak/>
        <w:t>Administrativo del [Tribunal Superior de Justicia] de Cataluña en la que se analizan los requisitos de proporcionalidad, necesidad e idoneidad (folios 2394 y siguientes). […]</w:t>
      </w:r>
    </w:p>
    <w:p w14:paraId="5F21FB83" w14:textId="77777777" w:rsidR="00576A90" w:rsidRDefault="00576A90" w:rsidP="00576A90">
      <w:pPr>
        <w:pStyle w:val="TextoNormal"/>
      </w:pPr>
    </w:p>
    <w:p w14:paraId="0D6782FF" w14:textId="77777777" w:rsidR="00576A90" w:rsidRDefault="00576A90" w:rsidP="00576A90">
      <w:pPr>
        <w:pStyle w:val="TextoNormal"/>
      </w:pPr>
      <w:r>
        <w:t>12. A mayor abundamiento, carece de coherencia y racionalidad, tal y como pone de manifiesto la Abogacía del Estado en su recurso; que habiendo declarado la nulidad de la entrada y registro la sentencia analice la totalidad de la prueba incautada sin justificación alguna sobre la aplicación de algunas de las teorías doctrinales y jurisprudenciales que permiten excluir la antijuricidad del artículo 11 de la Ley Orgánica del Poder Judicial.</w:t>
      </w:r>
    </w:p>
    <w:p w14:paraId="7B7CB357" w14:textId="77777777" w:rsidR="00576A90" w:rsidRDefault="00576A90" w:rsidP="00576A90">
      <w:pPr>
        <w:pStyle w:val="TextoNormal"/>
      </w:pPr>
    </w:p>
    <w:p w14:paraId="504C0050" w14:textId="77777777" w:rsidR="00576A90" w:rsidRDefault="00576A90" w:rsidP="00576A90">
      <w:pPr>
        <w:pStyle w:val="TextoNormal"/>
      </w:pPr>
      <w:r>
        <w:t>13. Por consiguiente, de conformidad con el art. 792.3 LECrim, procede acordar la nulidad de la sentencia por quebrantamiento de las normas relativas al derecho a la tutela efectiva (art. 24.2 CE) de todas las partes procesales en el proceso que comporta el derecho a utilizar todos los medios de prueba lícitos, retrotrayendo las actuaciones”.</w:t>
      </w:r>
    </w:p>
    <w:p w14:paraId="4E11E625" w14:textId="77777777" w:rsidR="00576A90" w:rsidRDefault="00576A90" w:rsidP="00576A90">
      <w:pPr>
        <w:pStyle w:val="TextoNormal"/>
      </w:pPr>
    </w:p>
    <w:p w14:paraId="426F49D5" w14:textId="77777777" w:rsidR="00576A90" w:rsidRDefault="00576A90" w:rsidP="00576A90">
      <w:pPr>
        <w:pStyle w:val="TextoNormal"/>
      </w:pPr>
      <w:r>
        <w:t>- Y en cuanto al alcance de la nulidad de la sentencia, la sección de apelación indica en el mismo fundamento de Derecho segundo:</w:t>
      </w:r>
    </w:p>
    <w:p w14:paraId="67D3A3E9" w14:textId="77777777" w:rsidR="00576A90" w:rsidRDefault="00576A90" w:rsidP="00576A90">
      <w:pPr>
        <w:pStyle w:val="TextoNormal"/>
      </w:pPr>
    </w:p>
    <w:p w14:paraId="7CB1D11C" w14:textId="77777777" w:rsidR="00576A90" w:rsidRDefault="00576A90" w:rsidP="00576A90">
      <w:pPr>
        <w:pStyle w:val="TextoNormal"/>
      </w:pPr>
      <w:r>
        <w:t>“La nulidad alcanza también a la celebración del juicio, a fin de que se señale nuevamente el juicio y se celebre otro en el que deberán tenerse en cuenta las pruebas declaradas lícitas. Tal y como determina la jurisprudencia de la Sala Segunda del Tribunal Supremo y la doctrina constitucional sobre imparcialidad objetiva y el art. 6 del Convenio europeo de derechos humanos debe ser otro juez el que celebre el nuevo juicio. Así lo impone la necesidad de preservar la imparcialidad del juzgador (SSTS 793/2013, de 28 de octubre, 710/2000, [de] 6 de julio; 548/2009, [de] 1 de junio y 287/2013, [de] 3 de abril; 135/2013, 15 de febrero y 212/2010, [de] 29 de enero, entre otras muchas). El juzgador ha quedado contaminado al haber valorado ya de forma conjunta las pruebas practicadas en el juicio oral, con exclusión de las que considera ‘ilícitas’, razón por la que ‘la imparcialidad objetiva’ quedaría comprometida si dictara la nueva sentencia”.</w:t>
      </w:r>
    </w:p>
    <w:p w14:paraId="1D9C0196" w14:textId="77777777" w:rsidR="00576A90" w:rsidRDefault="00576A90" w:rsidP="00576A90">
      <w:pPr>
        <w:pStyle w:val="TextoNormal"/>
      </w:pPr>
    </w:p>
    <w:p w14:paraId="5043E09E" w14:textId="77777777" w:rsidR="00576A90" w:rsidRDefault="00576A90" w:rsidP="00576A90">
      <w:pPr>
        <w:pStyle w:val="TextoNormal"/>
      </w:pPr>
      <w:r>
        <w:t>- La sentencia cuenta con un voto particular de uno de los magistrados de la Sección quien entiende que el recurso debió estimarse parcialmente, en el sentido de que si bien el Juzgado de lo Penal no podía declarar nulo el auto del Juzgado de lo Contencioso-Administrativo, sí podía valorar la legalidad de todas las fuentes de prueba propuestas, entre ellas la documental obtenida gracias a la diligencia de entrada y registro. En todo caso, como efecto de la estimación del recurso debió permitirse al mismo magistrado que dictó la recurrida el pronunciar una nueva sentencia, valorando libremente todas las fuentes de prueba, sin exclusión.</w:t>
      </w:r>
    </w:p>
    <w:p w14:paraId="27B36271" w14:textId="77777777" w:rsidR="00576A90" w:rsidRDefault="00576A90" w:rsidP="00576A90">
      <w:pPr>
        <w:pStyle w:val="TextoNormal"/>
      </w:pPr>
    </w:p>
    <w:p w14:paraId="0C743F7F" w14:textId="77777777" w:rsidR="00576A90" w:rsidRDefault="00576A90" w:rsidP="00576A90">
      <w:pPr>
        <w:pStyle w:val="TextoNormal"/>
      </w:pPr>
      <w:r>
        <w:t>d) Contra la sentencia de apelación interpuso la aquí demandante de amparo un incidente de nulidad de actuaciones, alegando que “vulnera gravemente el derecho fundamental a la tutela judicial efectiva en su vertiente de derecho de defensa (art. 24.1 CE), en conexión con el derecho a la inviolabilidad domiciliaria (art. 18.2 CE)”.</w:t>
      </w:r>
    </w:p>
    <w:p w14:paraId="443EB557" w14:textId="77777777" w:rsidR="00576A90" w:rsidRDefault="00576A90" w:rsidP="00576A90">
      <w:pPr>
        <w:pStyle w:val="TextoNormal"/>
      </w:pPr>
    </w:p>
    <w:p w14:paraId="5FC9E54B" w14:textId="77777777" w:rsidR="00576A90" w:rsidRDefault="00576A90" w:rsidP="00576A90">
      <w:pPr>
        <w:pStyle w:val="TextoNormal"/>
      </w:pPr>
      <w:r>
        <w:t xml:space="preserve">Fundamenta su queja en que la decisión de la Audiencia Provincial de Barcelona le ha negado el derecho a cuestionar en el trámite de cuestiones previas del juicio oral la falta de validez de la entrada y registro conforme a la doctrina fijada en las sentencias de la Sala de lo Contencioso-Administrativo del Tribunal Supremo núm. 1231/2020 y 1163/2021, de 23 de septiembre, a las que no hace referencia la sentencia de apelación. Rechaza también el </w:t>
      </w:r>
      <w:r>
        <w:lastRenderedPageBreak/>
        <w:t>criterio de esta última de impedir al juez “de fondo” penal el control de si la diligencia de entrada y registro ha vulnerado derechos fundamentales (en concreto, el derecho a la inviolabilidad del domicilio del art. 18 CE); control que ha reconocido la propia Sala de lo Contencioso-Administrativo del Tribunal Superior de Justicia de Cataluña en resoluciones que cita el escrito de nulidad. Se refiere luego a la imposibilidad de acordar una diligencia de entrada y registro antes de iniciarse un procedimiento administrativo (tributario), trayendo de nuevo a colación la STS 1231/2020 cuya doctrina, cuenta, dio lugar a la aprobación de la Ley 11/2021, de 9 de julio, de medidas de prevención y lucha contra el fraude fiscal, de transposición de la Directiva (UE) 2016/1164, del Consejo, de 12 de julio de 2016, por la que se establecen normas contra las prácticas de elusión fiscal que inciden directamente en el funcionamiento del mercado interior, de modificación de diversas normas tributarias y en materia de regulación del juego (en adelante, Ley 11/2021), que modificó los arts. 113 de la Ley General Tributaria y 8.6 de la Ley reguladora de la jurisdicción contencioso-administrativa; manteniendo en todo caso la Sala de lo Contencioso-Administrativo del alto tribunal el mismo criterio tras esa ley, como se lee en su sentencia 1163/2021, ya citada, donde además indica que la regulación del derecho a la inviolabilidad del domicilio solo puede hacerse por ley orgánica, no ordinaria. Sobre esta base, prosigue diciendo el escrito de nulidad, en el supuesto de autos la AEAT primero obtuvo la diligencia de entrada y registro y solo después notificó a la aquí recurrente el inicio de actuaciones de inspección contra ella, lo que supuso la vulneración de aquel derecho fundamental (art. 18.2 CE), lo que conlleva la nulidad de la medida de registro domiciliario y la absolución de aquella.</w:t>
      </w:r>
    </w:p>
    <w:p w14:paraId="262C1604" w14:textId="77777777" w:rsidR="00576A90" w:rsidRDefault="00576A90" w:rsidP="00576A90">
      <w:pPr>
        <w:pStyle w:val="TextoNormal"/>
      </w:pPr>
    </w:p>
    <w:p w14:paraId="3CC75343" w14:textId="77777777" w:rsidR="00576A90" w:rsidRDefault="00576A90" w:rsidP="00576A90">
      <w:pPr>
        <w:pStyle w:val="TextoNormal"/>
      </w:pPr>
      <w:r>
        <w:t xml:space="preserve">e) El incidente de nulidad fue desestimado mediante auto de la misma sección de apelación, de 1 de junio de 2023. Ante todo y “revisada de nuevo la sentencia” a la luz de los argumentos del escrito de nulidad, se considera correcto lo declarado en la sentencia acerca de la diligencia de entrada y registro practicada en el domicilio de la mercantil propiedad de la recurrente; y se descarta la queja doble de lesión de derechos fundamentales: (i) la de haber padecido indefensión (art. 24.1 CE), pues fue oída al deducir su oposición al recurso de apelación promovido por la AEAT, recordando que esta última ejercitó su derecho a interponer recurso contra la resolución judicial que perjudicaba su posición, y que corresponde al tribunal de alzada corregir la aplicación e interpretación del ordenamiento jurídico sostenido por el órgano inferior “en el orden jerárquico judicial”, </w:t>
      </w:r>
      <w:r w:rsidRPr="00576A90">
        <w:rPr>
          <w:i/>
        </w:rPr>
        <w:t>ex</w:t>
      </w:r>
      <w:r>
        <w:t xml:space="preserve"> art. 12.2 de la Ley Orgánica del Poder Judicial, y (ii) respecto de la lesión del art. 18.2 CE, porque lo “que pretende la parte solicitante es, en todo caso, una revisión, por la vía del incidente de nulidad, del criterio mantenido por la Sala en la sentencia cuya nulidad se insta”, de modo que “el criterio de la Sala se mantiene”.</w:t>
      </w:r>
    </w:p>
    <w:p w14:paraId="25B618E0" w14:textId="77777777" w:rsidR="00576A90" w:rsidRDefault="00576A90" w:rsidP="00576A90">
      <w:pPr>
        <w:pStyle w:val="TextoNormal"/>
      </w:pPr>
    </w:p>
    <w:p w14:paraId="29A05A6A" w14:textId="55E51EF1" w:rsidR="00576A90" w:rsidRDefault="00576A90" w:rsidP="00576A90">
      <w:pPr>
        <w:pStyle w:val="TextoNormal"/>
      </w:pPr>
      <w:r>
        <w:t>Con la desestimación del incidente de nulidad se acuerda en el mismo auto alzar la suspensión de la ejecución de la sentencia de apelación, que se había acordado por providencia de 14 de abril de 2023.</w:t>
      </w:r>
    </w:p>
    <w:p w14:paraId="3D183A4A" w14:textId="77777777" w:rsidR="00576A90" w:rsidRDefault="00576A90" w:rsidP="00576A90">
      <w:pPr>
        <w:pStyle w:val="TextoNormal"/>
      </w:pPr>
    </w:p>
    <w:p w14:paraId="5B98874D" w14:textId="77777777" w:rsidR="00576A90" w:rsidRDefault="00576A90" w:rsidP="00576A90">
      <w:pPr>
        <w:pStyle w:val="TextoNormal"/>
      </w:pPr>
      <w:r w:rsidRPr="00576A90">
        <w:rPr>
          <w:rStyle w:val="NumeroAFNegritaCaracter"/>
        </w:rPr>
        <w:t>3</w:t>
      </w:r>
      <w:r>
        <w:t>. La demanda de amparo reproduce sustancialmente los argumentos del escrito de nulidad de actuaciones, alegando que la sentencia de apelación y el auto que rechaza el incidente de nulidad promovido contra ella, incurren en la vulneración del derecho a la tutela judicial efectiva (art. 24.1 CE) en su vertiente del derecho de defensa, en conexión con el derecho a la inviolabilidad del domicilio (art. 18.2 CE), toda vez que la primera de ambas resoluciones declara la nulidad de la sentencia absolutoria del Juzgado de lo Penal y orde</w:t>
      </w:r>
      <w:r>
        <w:lastRenderedPageBreak/>
        <w:t>na la repetición del juicio oral pero debiendo tener en cuenta el juez que enjuicie de nuevo la causa, la validez de la diligencia de entrada y registro acordada en 2011 por el Juzgado de lo Contencioso-Administrativo competente.</w:t>
      </w:r>
    </w:p>
    <w:p w14:paraId="5537846B" w14:textId="77777777" w:rsidR="00576A90" w:rsidRDefault="00576A90" w:rsidP="00576A90">
      <w:pPr>
        <w:pStyle w:val="TextoNormal"/>
      </w:pPr>
    </w:p>
    <w:p w14:paraId="5DE19278" w14:textId="77777777" w:rsidR="00576A90" w:rsidRDefault="00576A90" w:rsidP="00576A90">
      <w:pPr>
        <w:pStyle w:val="TextoNormal"/>
      </w:pPr>
      <w:r>
        <w:t>Señala el escrito que la sentencia impugnada veda la posibilidad a dicha parte procesal de invocar la lesión del derecho a la inviolabilidad domiciliaria en el trámite de cuestiones previas del juicio oral, al no poder cuestionar la validez de aquella diligencia de entrada y registro, en concreto por no cumplirse con lo exigido en las sentencias de la Sala de lo Contencioso-Administrativo del Tribunal Supremo núm. 1231/2020 y 1163/2021. Cita a continuación la STC 12/2011, de 28 de febrero (indica por error, 28 de abril), sobre el contenido esencial del derecho fundamental a no padecer indefensión para insistir en que este derecho resulta conculcado por la sentencia impugnada en amparo; sentencia “que es firme” respecto a la prohibición de poder plantear de nuevo en el juicio oral la nulidad de la diligencia de entrada y registro que a su vez vulneró el derecho del art. 18.2 CE.</w:t>
      </w:r>
    </w:p>
    <w:p w14:paraId="39E7E80D" w14:textId="77777777" w:rsidR="00576A90" w:rsidRDefault="00576A90" w:rsidP="00576A90">
      <w:pPr>
        <w:pStyle w:val="TextoNormal"/>
      </w:pPr>
    </w:p>
    <w:p w14:paraId="3CA9C9D8" w14:textId="77777777" w:rsidR="00576A90" w:rsidRDefault="00576A90" w:rsidP="00576A90">
      <w:pPr>
        <w:pStyle w:val="TextoNormal"/>
      </w:pPr>
      <w:r>
        <w:t>Añade la demanda de amparo que el juez penal no está vinculado por el juicio de validez emitido por los tribunales de lo contencioso-administrativo, como tiene asentado la Sala de lo Penal del Tribunal Supremo en su sentencia 252/2018, de 24 de mayo, que reproduce en parte, por lo que la parte acusada tiene derecho a plantear en cuestiones previas la lesión del art. 18.2 CE por la diligencia de entrada y registro, pues el juez penal “del fondo” no está desprovisto del deber de garantizar la defensa de los derechos fundamentales en el procedimiento seguido ante él. Recuerda luego lo dicho en el escrito de nulidad acerca de la doctrina fijada por la STS, Sala Tercera, 1231/2020, la posterior aprobación de la Ley 11/2021, de medidas de prevención y lucha contra el fraude fiscal, y la STS 1163/2021 a propósito de la exigencia de una regulación con rango de ley orgánica para poder desarrollar las limitaciones al ejercicio del derecho fundamental a la inviolabilidad del domicilio; doctrina que las resoluciones recurridas incumplen, recordando también que en este caso la AEAT obtuvo primero la diligencia autorizando la medida y después le notificó a la demandante el inicio de las actuaciones de inspección en su contra.</w:t>
      </w:r>
    </w:p>
    <w:p w14:paraId="23E88198" w14:textId="77777777" w:rsidR="00576A90" w:rsidRDefault="00576A90" w:rsidP="00576A90">
      <w:pPr>
        <w:pStyle w:val="TextoNormal"/>
      </w:pPr>
    </w:p>
    <w:p w14:paraId="3AB8C836" w14:textId="77777777" w:rsidR="00576A90" w:rsidRDefault="00576A90" w:rsidP="00576A90">
      <w:pPr>
        <w:pStyle w:val="TextoNormal"/>
      </w:pPr>
      <w:r>
        <w:t>El suplico de la demanda solicita que se tenga por formulado recurso de amparo contra las dos resoluciones judiciales ya mencionadas dictadas por la Sección Vigésima Primera de la Audiencia Provincial de Barcelona, y que este Tribunal Constitucional dicte sentencia estimatoria que declare vulnerados los derechos fundamentales de la recurrente a la tutela judicial efectiva y a la inviolabilidad del domicilio.</w:t>
      </w:r>
    </w:p>
    <w:p w14:paraId="4CE0C7CE" w14:textId="77777777" w:rsidR="00576A90" w:rsidRDefault="00576A90" w:rsidP="00576A90">
      <w:pPr>
        <w:pStyle w:val="TextoNormal"/>
      </w:pPr>
    </w:p>
    <w:p w14:paraId="22213B92" w14:textId="08E7D7FE" w:rsidR="00576A90" w:rsidRDefault="00576A90" w:rsidP="00576A90">
      <w:pPr>
        <w:pStyle w:val="TextoNormal"/>
      </w:pPr>
      <w:r>
        <w:t>Por medio de otrosí digo, el escrito de demanda solicitó la “suspensión total” de la ejecución de la sentencia impugnada, dado que esta “puede causar un perjuicio irreparable en el derecho a la tutela judicial efectiva” de la recurrente; e interesó que “al tratarse de un supuesto de urgencia excepcional, de conformidad con el art. 56.6 LOTC” la Sala o Sección se pronunciase sobre dicha suspensión “en la misma resolución de admisión a trámite del presente recurso de amparo”. El escrito no argumenta nada acerca de la urgencia que se aduce.</w:t>
      </w:r>
    </w:p>
    <w:p w14:paraId="161E5FA0" w14:textId="77777777" w:rsidR="00576A90" w:rsidRDefault="00576A90" w:rsidP="00576A90">
      <w:pPr>
        <w:pStyle w:val="TextoNormal"/>
      </w:pPr>
    </w:p>
    <w:p w14:paraId="4125BB58" w14:textId="77777777" w:rsidR="00576A90" w:rsidRDefault="00576A90" w:rsidP="00576A90">
      <w:pPr>
        <w:pStyle w:val="TextoNormal"/>
      </w:pPr>
      <w:r w:rsidRPr="00576A90">
        <w:rPr>
          <w:rStyle w:val="NumeroAFNegritaCaracter"/>
        </w:rPr>
        <w:t>4</w:t>
      </w:r>
      <w:r>
        <w:t xml:space="preserve">. La Sala Primera, Sección Segunda, de este tribunal, dictó providencia el 15 de enero de 2024, del siguiente tenor: </w:t>
      </w:r>
    </w:p>
    <w:p w14:paraId="59AE3776" w14:textId="77777777" w:rsidR="00576A90" w:rsidRDefault="00576A90" w:rsidP="00576A90">
      <w:pPr>
        <w:pStyle w:val="TextoNormal"/>
      </w:pPr>
    </w:p>
    <w:p w14:paraId="12E2FE7C" w14:textId="77777777" w:rsidR="00576A90" w:rsidRDefault="00576A90" w:rsidP="00576A90">
      <w:pPr>
        <w:pStyle w:val="TextoNormal"/>
      </w:pPr>
      <w:r>
        <w:lastRenderedPageBreak/>
        <w:t>“La Sección Segunda ha examinado el recurso de amparo y ha acordado admitirlo a trámite, apreciando que concurre en el mismo una especial trascendencia constitucional (art. 50.1 LOTC) porque el recurso plantea un problema o afecta a una faceta de un derecho fundamental sobre el que no hay doctrina de este tribunal [STC 155/2009, FJ 2, a)].</w:t>
      </w:r>
    </w:p>
    <w:p w14:paraId="085A606C" w14:textId="77777777" w:rsidR="00576A90" w:rsidRDefault="00576A90" w:rsidP="00576A90">
      <w:pPr>
        <w:pStyle w:val="TextoNormal"/>
      </w:pPr>
    </w:p>
    <w:p w14:paraId="167BC2DA" w14:textId="77777777" w:rsidR="00576A90" w:rsidRDefault="00576A90" w:rsidP="00576A90">
      <w:pPr>
        <w:pStyle w:val="TextoNormal"/>
      </w:pPr>
      <w:r>
        <w:t>Por ello, en aplicación de lo dispuesto en el art. 51 LOTC, diríjase atenta comunicación a la Sección Vigésima Primera de la Audiencia Provincial de Barcelona a fin de que, en plazo que no exceda de diez días, remita certificación o fotocopia adverada de las actuaciones correspondientes al recurso de apelación 58-2022.</w:t>
      </w:r>
    </w:p>
    <w:p w14:paraId="7E2E1FC9" w14:textId="77777777" w:rsidR="00576A90" w:rsidRDefault="00576A90" w:rsidP="00576A90">
      <w:pPr>
        <w:pStyle w:val="TextoNormal"/>
      </w:pPr>
    </w:p>
    <w:p w14:paraId="1AFDEAFF" w14:textId="77777777" w:rsidR="00576A90" w:rsidRDefault="00576A90" w:rsidP="00576A90">
      <w:pPr>
        <w:pStyle w:val="TextoNormal"/>
      </w:pPr>
      <w:r>
        <w:t>Diríjase igualmente atenta comunicación al Juzgado de lo Penal núm. 26 de Barcelona a fin de que, en plazo que no exceda de diez días, remita certificación o fotocopia adverada de las actuaciones correspondientes al procedimiento abreviado 41-2019; debiendo previamente emplazarse, para que en el plazo de diez días puedan comparecer, si lo desean, en el recurso de amparo a quienes hubieran sido parte en el procedimiento, excepto la parte recurrente en amparo.</w:t>
      </w:r>
    </w:p>
    <w:p w14:paraId="4C2AFB03" w14:textId="77777777" w:rsidR="00576A90" w:rsidRDefault="00576A90" w:rsidP="00576A90">
      <w:pPr>
        <w:pStyle w:val="TextoNormal"/>
      </w:pPr>
    </w:p>
    <w:p w14:paraId="6479229A" w14:textId="77777777" w:rsidR="00576A90" w:rsidRDefault="00576A90" w:rsidP="00576A90">
      <w:pPr>
        <w:pStyle w:val="TextoNormal"/>
      </w:pPr>
      <w:r>
        <w:t>Y al ser el abogado del Estado, en representación de la administración, parte interesada notifíquese la presente resolución, que le servirá de emplazamiento, para que en el plazo de diez días pueda comparecer, si lo estima pertinente en el presente proceso constitucional, con traslado asimismo y a dichos efectos copia de la demandan presentada.</w:t>
      </w:r>
    </w:p>
    <w:p w14:paraId="7E70321A" w14:textId="77777777" w:rsidR="00576A90" w:rsidRDefault="00576A90" w:rsidP="00576A90">
      <w:pPr>
        <w:pStyle w:val="TextoNormal"/>
      </w:pPr>
    </w:p>
    <w:p w14:paraId="130F41E8" w14:textId="313F036F" w:rsidR="00576A90" w:rsidRDefault="00576A90" w:rsidP="00576A90">
      <w:pPr>
        <w:pStyle w:val="TextoNormal"/>
      </w:pPr>
      <w:r>
        <w:t>De conformidad con la solicitud de la parte actora, fórmese la correspondiente pieza separada de suspensión”.</w:t>
      </w:r>
    </w:p>
    <w:p w14:paraId="42E9F808" w14:textId="77777777" w:rsidR="00576A90" w:rsidRDefault="00576A90" w:rsidP="00576A90">
      <w:pPr>
        <w:pStyle w:val="TextoNormal"/>
      </w:pPr>
    </w:p>
    <w:p w14:paraId="5372BE13" w14:textId="42BA1648" w:rsidR="00576A90" w:rsidRDefault="00576A90" w:rsidP="00576A90">
      <w:pPr>
        <w:pStyle w:val="TextoNormal"/>
      </w:pPr>
      <w:r w:rsidRPr="00576A90">
        <w:rPr>
          <w:rStyle w:val="NumeroAFNegritaCaracter"/>
        </w:rPr>
        <w:t>5</w:t>
      </w:r>
      <w:r>
        <w:t>. Por nueva providencia dictada por la Sección Segunda de este tribunal en la misma fecha, 15 de enero de 2024, se dispuso “formar con el precedente testimonio la presente pieza separada de suspensión y, de conformidad con lo prevenido en el art. 56 LOTC, conceder un plazo común de tres días, al Ministerio Fiscal y a la solicitante del amparo, para que dentro de dicho término aleguen lo que estimen pertinente en relación con la petición de suspensión interesada”.</w:t>
      </w:r>
    </w:p>
    <w:p w14:paraId="237D1A85" w14:textId="77777777" w:rsidR="00576A90" w:rsidRDefault="00576A90" w:rsidP="00576A90">
      <w:pPr>
        <w:pStyle w:val="TextoNormal"/>
      </w:pPr>
    </w:p>
    <w:p w14:paraId="07E37F6E" w14:textId="77777777" w:rsidR="00576A90" w:rsidRDefault="00576A90" w:rsidP="00576A90">
      <w:pPr>
        <w:pStyle w:val="TextoNormal"/>
      </w:pPr>
      <w:r w:rsidRPr="00576A90">
        <w:rPr>
          <w:rStyle w:val="NumeroAFNegritaCaracter"/>
        </w:rPr>
        <w:t>6</w:t>
      </w:r>
      <w:r>
        <w:t>. Con fecha 30 de enero de 2024 el abogado del Estado, previamente notificado de la admisión a trámite del presente recurso de amparo, presentó escrito personándose en el mismo, con el suplico de que se le tuviera en la representación que ostenta por personado y parte, entendiéndose con él todos los posteriores trámites del procedimiento.</w:t>
      </w:r>
    </w:p>
    <w:p w14:paraId="30CE6777" w14:textId="77777777" w:rsidR="00576A90" w:rsidRDefault="00576A90" w:rsidP="00576A90">
      <w:pPr>
        <w:pStyle w:val="TextoNormal"/>
      </w:pPr>
    </w:p>
    <w:p w14:paraId="70D7FC11" w14:textId="390A7B48" w:rsidR="00576A90" w:rsidRDefault="00576A90" w:rsidP="00576A90">
      <w:pPr>
        <w:pStyle w:val="TextoNormal"/>
      </w:pPr>
      <w:r>
        <w:t>La Secretaría de Justicia de la Sección Segunda de este tribunal proveyó a lo solicitado dictando diligencia de ordenación el 7 de febrero de 2024, por la que “habiéndose personado en las actuaciones principales el abogado del Estado, en la representación que ostenta, de conformidad con lo prevenido en el art. 56 LOTC, se acuerda conceder un plazo de tres días a la indicada parte, para que dentro de dicho término alegue lo que estime pertinente en relación con la petición de suspensión interesada en el presente recurso”.</w:t>
      </w:r>
    </w:p>
    <w:p w14:paraId="3D50117A" w14:textId="77777777" w:rsidR="00576A90" w:rsidRDefault="00576A90" w:rsidP="00576A90">
      <w:pPr>
        <w:pStyle w:val="TextoNormal"/>
      </w:pPr>
    </w:p>
    <w:p w14:paraId="0C64F904" w14:textId="77777777" w:rsidR="00576A90" w:rsidRDefault="00576A90" w:rsidP="00576A90">
      <w:pPr>
        <w:pStyle w:val="TextoNormal"/>
      </w:pPr>
      <w:r w:rsidRPr="00576A90">
        <w:rPr>
          <w:rStyle w:val="NumeroAFNegritaCaracter"/>
        </w:rPr>
        <w:t>7</w:t>
      </w:r>
      <w:r>
        <w:t xml:space="preserve">. La representación procesal de la recurrente en amparo presentó su escrito de alegaciones el 18 de enero de 2024, en el que interesó que se acordase la suspensión “total” de la sentencia impugnada, “hasta la resolución definitiva del recurso de amparo”. Explica </w:t>
      </w:r>
      <w:r>
        <w:lastRenderedPageBreak/>
        <w:t>que de no acordarse así, el recurso interpuesto podría perder su finalidad dado que la resolución de estos procesos se prolonga varios años y para ese momento, aunque se concediera el amparo, “el juicio oral ya se habría celebrado, vedándose a esta parte la posibilidad de invocar en sede de cuestiones previas la vulneración del derecho fundamental a la inviolabilidad domiciliaria (art. 18.2 CE), lo que originaría un perjuicio irreparable para el derecho a la tutela judicial efectiva (art. 24.1 CE)” de la recurrente, “menoscabando sus medios de defensa y aumentando el riesgo de una sentencia condenatoria”. Por lo que al dictarse una sentencia estimatoria del amparo, prosigue diciendo, la recurrente “podría estar cumpliendo dichas penas” de prisión; además de que la sola repetición del juicio oral sometería a la demandante de amparo a la “pena de banquillo”, “situación que le generaría ansiedad, desasosiego y sufrimiento al verse obligada a enfrentarse de nuevo a un juicio oral”, en un proceso que se inició en 2013, “con los efectos perniciosos que conlleva para cualquier persona estar acusada durante tanto tiempo”.</w:t>
      </w:r>
    </w:p>
    <w:p w14:paraId="76EAF34F" w14:textId="77777777" w:rsidR="00576A90" w:rsidRDefault="00576A90" w:rsidP="00576A90">
      <w:pPr>
        <w:pStyle w:val="TextoNormal"/>
      </w:pPr>
    </w:p>
    <w:p w14:paraId="032391B8" w14:textId="7D85FF58" w:rsidR="00576A90" w:rsidRDefault="00576A90" w:rsidP="00576A90">
      <w:pPr>
        <w:pStyle w:val="TextoNormal"/>
      </w:pPr>
      <w:r>
        <w:t>Añade que si se acordase la suspensión “no comportaría graves perturbaciones a los intereses generales, ni a los derechos fundamentales o libertades públicas de un tercero”, teniendo en cuenta los hechos de los que se le acusa a la recurrente y el importe global de las cuotas defraudadas. Y cita en su apoyo el ATC 96/2021, de 28 de octubre, que otorgó la suspensión en un caso similar a este (anulación de una sentencia absolutoria con orden de repetición del juicio oral), cuyo fundamento jurídico 3 reproduce en gran parte.</w:t>
      </w:r>
    </w:p>
    <w:p w14:paraId="14A4BFEC" w14:textId="77777777" w:rsidR="00576A90" w:rsidRDefault="00576A90" w:rsidP="00576A90">
      <w:pPr>
        <w:pStyle w:val="TextoNormal"/>
      </w:pPr>
    </w:p>
    <w:p w14:paraId="1E05FE46" w14:textId="77777777" w:rsidR="00576A90" w:rsidRDefault="00576A90" w:rsidP="00576A90">
      <w:pPr>
        <w:pStyle w:val="TextoNormal"/>
      </w:pPr>
      <w:r w:rsidRPr="00576A90">
        <w:rPr>
          <w:rStyle w:val="NumeroAFNegritaCaracter"/>
        </w:rPr>
        <w:t>8</w:t>
      </w:r>
      <w:r>
        <w:t>. Por su lado, el fiscal ante este Tribunal Constitucional presentó su escrito de alegaciones el 6 de febrero de 2024 por el que interesó que se estimase la petición de suspensión, “ordenando la suspensión cautelar de la parte dispositiva de la sentencia” recurrida, “en el particular en el que se ordena celebrar un nuevo juicio contra la demandante de amparo por un tribunal compuesto por un magistrado diferente del que dictó la sentencia que allí se anula”.</w:t>
      </w:r>
    </w:p>
    <w:p w14:paraId="651EBDA4" w14:textId="77777777" w:rsidR="00576A90" w:rsidRDefault="00576A90" w:rsidP="00576A90">
      <w:pPr>
        <w:pStyle w:val="TextoNormal"/>
      </w:pPr>
    </w:p>
    <w:p w14:paraId="769BDFB5" w14:textId="0FC70D85" w:rsidR="00576A90" w:rsidRDefault="00576A90" w:rsidP="00576A90">
      <w:pPr>
        <w:pStyle w:val="TextoNormal"/>
      </w:pPr>
      <w:r>
        <w:t>Fundamenta su criterio exponiendo que en el presente caso “la suspensión se presenta como el medio más adecuado para mantener el procedimiento penal en una situación que permita, cuando resulte procedente, dar respuesta con plena eficacia a la denuncia de conculcación de sus derechos fundamentales formulada por la representación procesal de doña Wenzhou Zeng en este proceso constitucional de amparo. En este sentido, la celebración de un nuevo juicio oral devendría en un perjuicio irreparable si, finalmente, se apreciara la infracción constitucional denunciada· en el recurso de amparo. Además, no se constata que la adopción de la medida cautelar interesada pueda producir perturbación grave a un interés constitucionalmente protegido, o de los derechos fundamentales o libertades públicas de un tercero”.</w:t>
      </w:r>
    </w:p>
    <w:p w14:paraId="589D119E" w14:textId="77777777" w:rsidR="00576A90" w:rsidRDefault="00576A90" w:rsidP="00576A90">
      <w:pPr>
        <w:pStyle w:val="TextoNormal"/>
      </w:pPr>
    </w:p>
    <w:p w14:paraId="1A33461F" w14:textId="3C15CE28" w:rsidR="00576A90" w:rsidRDefault="00576A90" w:rsidP="00576A90">
      <w:pPr>
        <w:pStyle w:val="TextoNormal"/>
      </w:pPr>
      <w:r w:rsidRPr="00576A90">
        <w:rPr>
          <w:rStyle w:val="NumeroAFNegritaCaracter"/>
        </w:rPr>
        <w:t>9</w:t>
      </w:r>
      <w:r>
        <w:t>. Finalmente, con fecha 13 de febrero de 2024 la Abogacía del Estado presentó escrito de alegaciones donde se limitó a manifestar que “esta parte solicita que, a la vista de la jurisprudencia de este tribunal, se dicte resolución conforme a Derecho”.</w:t>
      </w:r>
    </w:p>
    <w:p w14:paraId="33E51372" w14:textId="77777777" w:rsidR="00576A90" w:rsidRDefault="00576A90" w:rsidP="00576A90">
      <w:pPr>
        <w:pStyle w:val="TextoNormal"/>
      </w:pPr>
    </w:p>
    <w:p w14:paraId="30AA0FD0" w14:textId="77777777" w:rsidR="00576A90" w:rsidRDefault="00576A90" w:rsidP="00576A90">
      <w:pPr>
        <w:pStyle w:val="TextoNormalNegritaCentrado"/>
        <w:keepNext/>
      </w:pPr>
      <w:r>
        <w:t>II. Fundamentos jurídicos</w:t>
      </w:r>
    </w:p>
    <w:p w14:paraId="6F64E387" w14:textId="0C799DDE" w:rsidR="00576A90" w:rsidRDefault="00576A90" w:rsidP="00576A90">
      <w:pPr>
        <w:pStyle w:val="TextoNormalNegritaCentrado"/>
        <w:keepNext/>
      </w:pPr>
    </w:p>
    <w:p w14:paraId="5A746E8E" w14:textId="77777777" w:rsidR="00576A90" w:rsidRDefault="00576A90" w:rsidP="00576A90">
      <w:pPr>
        <w:pStyle w:val="TextoNormal"/>
      </w:pPr>
      <w:r w:rsidRPr="00576A90">
        <w:rPr>
          <w:rStyle w:val="NumeroAFNegritaCaracter"/>
        </w:rPr>
        <w:t>1</w:t>
      </w:r>
      <w:r>
        <w:t xml:space="preserve">. Es objeto de la presente resolución la solicitud de suspensión de la sentencia firme de la Sección Vigésima Primera de la Audiencia Provincial de Barcelona impugnada en </w:t>
      </w:r>
      <w:r>
        <w:lastRenderedPageBreak/>
        <w:t xml:space="preserve">este proceso, que al estimar el recurso de apelación promovido por la AEAT y con la adhesión del Ministerio Fiscal, revocó la sentencia dictada por el Juzgado de lo Penal núm. 26 de la misma ciudad que había absuelto a la demandante de amparo de los delitos contra la hacienda pública de los que se le acusaba, ordenando asimismo la Audiencia la retroacción de actuaciones para que el juzgado </w:t>
      </w:r>
      <w:r w:rsidRPr="00576A90">
        <w:rPr>
          <w:i/>
        </w:rPr>
        <w:t>a quo</w:t>
      </w:r>
      <w:r>
        <w:t>, servido para dichos trámites por otro magistrado, celebrase de nuevo juicio oral y dictase sentencia teniendo en cuenta lo resuelto en apelación “respecto a la validez de la entrada y registro efectuada”.</w:t>
      </w:r>
    </w:p>
    <w:p w14:paraId="163A090E" w14:textId="77777777" w:rsidR="00576A90" w:rsidRDefault="00576A90" w:rsidP="00576A90">
      <w:pPr>
        <w:pStyle w:val="TextoNormal"/>
      </w:pPr>
    </w:p>
    <w:p w14:paraId="08B7FE26" w14:textId="2DDA56A4" w:rsidR="00576A90" w:rsidRDefault="00576A90" w:rsidP="00576A90">
      <w:pPr>
        <w:pStyle w:val="TextoNormal"/>
      </w:pPr>
      <w:r>
        <w:t>La demandante de amparo sostiene que la no suspensión podría hacer perder su finalidad al presente recurso, al ver disminuidas sus posibilidades de defensa en la segunda vista oral que habría de celebrarse y aumentar en paralelo por ello las de ser condenada a pena de prisión, además de los perjuicios personales que le acarrearía el tener que someterse de nuevo a juicio penal. Alega también que la suspensión no menoscaba el interés general ni el derecho de tercero. La pretensión de suspensión es apoyada por el fiscal ante este Tribunal Constitucional en su escrito de alegaciones en esta pieza incidental.</w:t>
      </w:r>
    </w:p>
    <w:p w14:paraId="613F4002" w14:textId="77777777" w:rsidR="00576A90" w:rsidRDefault="00576A90" w:rsidP="00576A90">
      <w:pPr>
        <w:pStyle w:val="TextoNormal"/>
      </w:pPr>
    </w:p>
    <w:p w14:paraId="715E2DF8" w14:textId="77777777" w:rsidR="00576A90" w:rsidRDefault="00576A90" w:rsidP="00576A90">
      <w:pPr>
        <w:pStyle w:val="TextoNormal"/>
      </w:pPr>
      <w:r w:rsidRPr="00576A90">
        <w:rPr>
          <w:rStyle w:val="NumeroAFNegritaCaracter"/>
        </w:rPr>
        <w:t>2</w:t>
      </w:r>
      <w:r>
        <w:t>. Como doctrina constitucional aplicable para resolver la pretensión de suspensión aquí deducida, procede traer a colación nuestro reciente ATC 4/2024, de 29 de enero, en el que tuvimos ocasión de declarar, con cita de otras resoluciones anteriores en el mismo sentido:</w:t>
      </w:r>
    </w:p>
    <w:p w14:paraId="0AA3D8C6" w14:textId="77777777" w:rsidR="00576A90" w:rsidRDefault="00576A90" w:rsidP="00576A90">
      <w:pPr>
        <w:pStyle w:val="TextoNormal"/>
      </w:pPr>
    </w:p>
    <w:p w14:paraId="1CCDCEC0" w14:textId="77777777" w:rsidR="00576A90" w:rsidRDefault="00576A90" w:rsidP="00576A90">
      <w:pPr>
        <w:pStyle w:val="TextoNormal"/>
      </w:pPr>
      <w:r>
        <w:t>- Fundamento jurídico 2: “En cuanto a la posibilidad de adoptar decisiones cautelares en el proceso de amparo, el art. 56.2 LOTC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esta razón, la pretensión cautelar analizada se configura como una medida de carácter excepcional y de aplicación restrictiva (por todos, AATC 117/2015, de 6 de julio, FJ 1, y 59/2017, de 24 de abril, FJ 1).</w:t>
      </w:r>
    </w:p>
    <w:p w14:paraId="61A0F78D" w14:textId="77777777" w:rsidR="00576A90" w:rsidRDefault="00576A90" w:rsidP="00576A90">
      <w:pPr>
        <w:pStyle w:val="TextoNormal"/>
      </w:pPr>
    </w:p>
    <w:p w14:paraId="395F3687" w14:textId="77777777" w:rsidR="00576A90" w:rsidRDefault="00576A90" w:rsidP="00576A90">
      <w:pPr>
        <w:pStyle w:val="TextoNormal"/>
      </w:pPr>
      <w:r>
        <w:t>Adicionalmente, para otorgar la tutela cautelar que prevé el art. 56 LOTC este tribunal viene exigiendo a quien la solicita que, ofreciendo un principio razonable de prueba, alegue o justifique la irreparabilidad o dificultad de la reparación de los perjuicios que se produciría de seguirse la ejecución del acto impugnado. Tal exigencia tiene por objeto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14:paraId="018DA579" w14:textId="77777777" w:rsidR="00576A90" w:rsidRDefault="00576A90" w:rsidP="00576A90">
      <w:pPr>
        <w:pStyle w:val="TextoNormal"/>
      </w:pPr>
    </w:p>
    <w:p w14:paraId="3187828E" w14:textId="559ECD7D" w:rsidR="00576A90" w:rsidRDefault="00576A90" w:rsidP="00576A90">
      <w:pPr>
        <w:pStyle w:val="TextoNormal"/>
      </w:pPr>
      <w:r>
        <w:t xml:space="preserve">- Fundamento jurídico 3: “De acuerdo con el art. 56.2 LOTC, y los precedentes que hemos reseñado, en atención a las circunstancias concurrentes en el presente caso, debemos apreciar, como hemos hecho en anteriores ocasiones (AATC 103/2001, de 3 de mayo; 170/2001, de 22 de junio; 277/2001, de 29 de octubre; 311/2001, de 18 de diciembre, y 174/2013, de 9 de septiembre), que la suspensión es el medio adecuado para mantener el </w:t>
      </w:r>
      <w:r>
        <w:lastRenderedPageBreak/>
        <w:t>procedimiento penal en una situación que permita, cuando proceda, dar respuesta con plena eficacia a las diferentes denuncias de conculcación de derechos fundamentales formuladas en este proceso constitucional, tanto en relación con la decisión revocatoria de una absolución previa como con los efectos procesales que a esta se anudan. En primer lugar, no se aprecia que esta medida pueda afectar, perturbándolos gravemente, a intereses constitucionalmente protegidos o a derechos fundamentales o libertades públicas de terceras personas. Antes bien, tiende a preservar el interés general, conjurando el riesgo de contradicción entre resoluciones judiciales, una absolutoria […], que podría recobrar su eficacia si llegara a estimarse el recurso de amparo y otra condenatoria —la que, en su caso, podría llegar a dictarse tras la reapertura del juicio oral cuya suspensión solicitan los recurrentes— (en un sentido similar, AATC 27/2021, de 15 de marzo; 96/2021, de 28 de octubre, y 26/2023, de 6 de febrero). En segundo lugar, si se rechazase la suspensión solicitada, la eventual estimación del recurso de amparo quedaría privada de efectividad, pues lo que los demandantes pretenden es precisamente impedir la repetición del juicio oral con distinto juzgador; de esta manera, su simple celebración constituiría, en sí misma, un perjuicio irreparable”.</w:t>
      </w:r>
    </w:p>
    <w:p w14:paraId="122B029A" w14:textId="77777777" w:rsidR="00576A90" w:rsidRDefault="00576A90" w:rsidP="00576A90">
      <w:pPr>
        <w:pStyle w:val="TextoNormal"/>
      </w:pPr>
    </w:p>
    <w:p w14:paraId="4B8E1F41" w14:textId="5776CE52" w:rsidR="00576A90" w:rsidRDefault="00576A90" w:rsidP="00576A90">
      <w:pPr>
        <w:pStyle w:val="TextoNormal"/>
      </w:pPr>
      <w:r w:rsidRPr="00576A90">
        <w:rPr>
          <w:rStyle w:val="NumeroAFNegritaCaracter"/>
        </w:rPr>
        <w:t>3</w:t>
      </w:r>
      <w:r>
        <w:t xml:space="preserve">. La aplicación de la doctrina de referencia conduce a estimar la petición de suspensión planteada, al corresponderse lo fallado por la sentencia que se impugna (nulidad de la resolución apelada y retroacción de actuaciones, con repetición del juicio oral ante el órgano judicial </w:t>
      </w:r>
      <w:r w:rsidRPr="00576A90">
        <w:rPr>
          <w:i/>
        </w:rPr>
        <w:t>a quo</w:t>
      </w:r>
      <w:r>
        <w:t xml:space="preserve"> a fin de que se dicte nueva sentencia), con el supuesto tutelado cautelarmente por este tribunal en las resoluciones citadas en el fundamento jurídico anterior. Por ello y hasta tanto se dicte sentencia en el presente recurso de amparo, quedan suspendidos los efectos que se anudan a la revocación de la sentencia apelada, los cuales concreta la parte dispositiva de la aquí recurrida.</w:t>
      </w:r>
    </w:p>
    <w:p w14:paraId="44D05066" w14:textId="77777777" w:rsidR="00576A90" w:rsidRDefault="00576A90" w:rsidP="00576A90">
      <w:pPr>
        <w:pStyle w:val="TextoNormal"/>
      </w:pPr>
    </w:p>
    <w:p w14:paraId="60824A96" w14:textId="77777777" w:rsidR="00576A90" w:rsidRDefault="00576A90" w:rsidP="00576A90">
      <w:pPr>
        <w:pStyle w:val="TextoNormal"/>
      </w:pPr>
      <w:r>
        <w:t>Por lo expuesto, la Sala</w:t>
      </w:r>
    </w:p>
    <w:p w14:paraId="248B076F" w14:textId="04A8F316" w:rsidR="00576A90" w:rsidRDefault="00576A90" w:rsidP="00576A90">
      <w:pPr>
        <w:pStyle w:val="TextoNormal"/>
      </w:pPr>
    </w:p>
    <w:p w14:paraId="07AFFBBC" w14:textId="77777777" w:rsidR="00576A90" w:rsidRDefault="00576A90" w:rsidP="00576A90">
      <w:pPr>
        <w:pStyle w:val="TextoNormalCentrado"/>
      </w:pPr>
      <w:r>
        <w:t>ACUERDA</w:t>
      </w:r>
    </w:p>
    <w:p w14:paraId="0C986F6E" w14:textId="4EF77E2A" w:rsidR="00576A90" w:rsidRDefault="00576A90" w:rsidP="00576A90">
      <w:pPr>
        <w:pStyle w:val="TextoNormalCentrado"/>
      </w:pPr>
    </w:p>
    <w:p w14:paraId="35A51107" w14:textId="2700EFFA" w:rsidR="00576A90" w:rsidRDefault="00576A90" w:rsidP="00576A90">
      <w:pPr>
        <w:pStyle w:val="TextoNormal"/>
      </w:pPr>
      <w:r>
        <w:t>La suspensión de la parte dispositiva de la sentencia de 1 de septiembre de 2022 dictada por la Sección Vigésima Primera de la Audiencia Provincial de Barcelona (rollo de apelación núm. 58-2022), en el particular en el que ordena “que se proceda a un nuevo señalamiento del juicio oral por un magistrado/a distinto, que deberá tener en cuenta lo resuelto en nuestra sentencia respecto a la validez de la entrada y registro efectuada”.</w:t>
      </w:r>
    </w:p>
    <w:p w14:paraId="154AFE45" w14:textId="77777777" w:rsidR="00576A90" w:rsidRDefault="00576A90" w:rsidP="00576A90">
      <w:pPr>
        <w:pStyle w:val="TextoNormal"/>
      </w:pPr>
    </w:p>
    <w:p w14:paraId="278A8300" w14:textId="77777777" w:rsidR="00576A90" w:rsidRDefault="00576A90" w:rsidP="00576A90">
      <w:pPr>
        <w:pStyle w:val="TextoNormal"/>
      </w:pPr>
      <w:r>
        <w:t>Madrid, a ocho de abril de dos mil veinticuatro.</w:t>
      </w:r>
    </w:p>
    <w:p w14:paraId="5F3B7FAB" w14:textId="089DAEB9" w:rsidR="00576A90" w:rsidRDefault="00576A90">
      <w:pPr>
        <w:spacing w:after="160" w:line="259" w:lineRule="auto"/>
        <w:rPr>
          <w:rFonts w:ascii="Times New Roman" w:eastAsia="Times New Roman" w:hAnsi="Times New Roman" w:cs="Times New Roman"/>
          <w:sz w:val="24"/>
          <w:szCs w:val="24"/>
          <w:lang w:eastAsia="es-ES"/>
        </w:rPr>
      </w:pPr>
      <w:r>
        <w:br w:type="page"/>
      </w:r>
    </w:p>
    <w:p w14:paraId="1849BC77" w14:textId="77777777" w:rsidR="00576A90" w:rsidRDefault="00576A90" w:rsidP="00576A90">
      <w:pPr>
        <w:pStyle w:val="TtuloResolucin"/>
      </w:pPr>
      <w:bookmarkStart w:id="123" w:name="AUTO_2024_28"/>
      <w:r>
        <w:lastRenderedPageBreak/>
        <w:t>AUTO 28/2024, de 9 de abril de 2024</w:t>
      </w:r>
    </w:p>
    <w:bookmarkEnd w:id="123"/>
    <w:p w14:paraId="141D5E91" w14:textId="77777777" w:rsidR="00576A90" w:rsidRDefault="00576A90" w:rsidP="00576A90">
      <w:pPr>
        <w:pStyle w:val="TtuloResolucin"/>
      </w:pPr>
      <w:r>
        <w:t>Sección Tercera</w:t>
      </w:r>
    </w:p>
    <w:p w14:paraId="02549A06" w14:textId="77777777" w:rsidR="00576A90" w:rsidRDefault="00576A90" w:rsidP="00576A90">
      <w:pPr>
        <w:pStyle w:val="TextoNormalCentrado"/>
      </w:pPr>
      <w:r>
        <w:t>ECLI:ES:TC:2024:28A</w:t>
      </w:r>
    </w:p>
    <w:p w14:paraId="303A985F" w14:textId="52F45458" w:rsidR="00576A90" w:rsidRDefault="00576A90" w:rsidP="00576A90">
      <w:pPr>
        <w:pStyle w:val="TextoNormalCentrado"/>
      </w:pPr>
    </w:p>
    <w:p w14:paraId="0FB0A006" w14:textId="77777777" w:rsidR="00576A90" w:rsidRDefault="00576A90" w:rsidP="00576A90">
      <w:pPr>
        <w:pStyle w:val="SntesisDescriptiva"/>
      </w:pPr>
      <w:r>
        <w:t>Excms. Srs. doña Inmaculada Montalbán Huertas y doña Laura Díez Bueso.</w:t>
      </w:r>
    </w:p>
    <w:p w14:paraId="51A5C921" w14:textId="6021E73B" w:rsidR="00576A90" w:rsidRDefault="00576A90" w:rsidP="00576A90">
      <w:pPr>
        <w:pStyle w:val="SntesisDescriptiva"/>
      </w:pPr>
    </w:p>
    <w:p w14:paraId="3576B2CE" w14:textId="77777777" w:rsidR="00576A90" w:rsidRDefault="00576A90" w:rsidP="00576A90">
      <w:pPr>
        <w:pStyle w:val="SntesisDescriptiva"/>
      </w:pPr>
      <w:r>
        <w:t>Acepta una abstención en el recurso de amparo 8472-2022, promovido en proceso contencioso-administrativo.</w:t>
      </w:r>
    </w:p>
    <w:p w14:paraId="058E1E4D" w14:textId="382D1B22" w:rsidR="00576A90" w:rsidRDefault="00576A90" w:rsidP="00576A90">
      <w:pPr>
        <w:pStyle w:val="SntesisDescriptiva"/>
      </w:pPr>
    </w:p>
    <w:p w14:paraId="6072FE56" w14:textId="77777777" w:rsidR="00576A90" w:rsidRDefault="00576A90" w:rsidP="00576A90">
      <w:pPr>
        <w:pStyle w:val="SntesisDescriptiva"/>
      </w:pPr>
    </w:p>
    <w:p w14:paraId="6C0137DA" w14:textId="77777777" w:rsidR="00576A90" w:rsidRDefault="00576A90" w:rsidP="00576A90">
      <w:pPr>
        <w:pStyle w:val="SntesisDescriptiva"/>
      </w:pPr>
    </w:p>
    <w:p w14:paraId="431DCC6D" w14:textId="77777777" w:rsidR="00576A90" w:rsidRDefault="00576A90" w:rsidP="00576A90">
      <w:pPr>
        <w:pStyle w:val="TextoNormalNegritaCentrado"/>
      </w:pPr>
      <w:r>
        <w:t>AUTO</w:t>
      </w:r>
    </w:p>
    <w:p w14:paraId="70A516FC" w14:textId="086FC679" w:rsidR="00576A90" w:rsidRDefault="00576A90" w:rsidP="00576A90">
      <w:pPr>
        <w:pStyle w:val="TextoNormalNegritaCentrado"/>
      </w:pPr>
    </w:p>
    <w:p w14:paraId="16EA60A0" w14:textId="77777777" w:rsidR="00576A90" w:rsidRDefault="00576A90" w:rsidP="00576A90">
      <w:pPr>
        <w:pStyle w:val="TextoNormalNegritaCentrado"/>
        <w:keepNext/>
      </w:pPr>
      <w:r>
        <w:t>I. Antecedentes</w:t>
      </w:r>
    </w:p>
    <w:p w14:paraId="0E07799A" w14:textId="4FD0C38A" w:rsidR="00576A90" w:rsidRDefault="00576A90" w:rsidP="00576A90">
      <w:pPr>
        <w:pStyle w:val="TextoNormalNegritaCentrado"/>
        <w:keepNext/>
      </w:pPr>
    </w:p>
    <w:p w14:paraId="67548919" w14:textId="2D0621F6" w:rsidR="00576A90" w:rsidRDefault="00576A90" w:rsidP="00576A90">
      <w:pPr>
        <w:pStyle w:val="TextoNormal"/>
      </w:pPr>
      <w:r w:rsidRPr="00576A90">
        <w:rPr>
          <w:rStyle w:val="NumeroAFNegritaCaracter"/>
        </w:rPr>
        <w:t>1</w:t>
      </w:r>
      <w:r>
        <w:t>. Mediante escrito registrado en este tribunal el 22 de diciembre de 2022 el procurador de los tribunales don José Manuel Jiménez López, en nombre y representación de Sociedad de Gestión de Activos Procedentes de la Reestructuración Bancaria, S.A., y bajo la dirección del letrado don Miró Ayats Vergés, formuló demanda de amparo contra la providencia de fecha 24 de noviembre de 2022, dictada por la Sala de lo Contencioso-Administrativo del Tribunal Supremo en recurso de casación núm. 476-2022.</w:t>
      </w:r>
    </w:p>
    <w:p w14:paraId="5B1F5693" w14:textId="77777777" w:rsidR="00576A90" w:rsidRDefault="00576A90" w:rsidP="00576A90">
      <w:pPr>
        <w:pStyle w:val="TextoNormal"/>
      </w:pPr>
    </w:p>
    <w:p w14:paraId="7C2C4019" w14:textId="5507168A" w:rsidR="00576A90" w:rsidRDefault="00576A90" w:rsidP="00576A90">
      <w:pPr>
        <w:pStyle w:val="TextoNormal"/>
      </w:pPr>
      <w:r w:rsidRPr="00576A90">
        <w:rPr>
          <w:rStyle w:val="NumeroAFNegritaCaracter"/>
        </w:rPr>
        <w:t>2</w:t>
      </w:r>
      <w:r>
        <w:t>. Por escrito de 9 de abril de 2024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14:paraId="5BE468D7" w14:textId="77777777" w:rsidR="00576A90" w:rsidRDefault="00576A90" w:rsidP="00576A90">
      <w:pPr>
        <w:pStyle w:val="TextoNormal"/>
      </w:pPr>
    </w:p>
    <w:p w14:paraId="37B04EEE" w14:textId="77777777" w:rsidR="00576A90" w:rsidRDefault="00576A90" w:rsidP="00576A90">
      <w:pPr>
        <w:pStyle w:val="TextoNormalNegritaCentrado"/>
        <w:keepNext/>
      </w:pPr>
      <w:r>
        <w:t>II. Fundamentos jurídicos</w:t>
      </w:r>
    </w:p>
    <w:p w14:paraId="0967D3C6" w14:textId="6F33F7A4" w:rsidR="00576A90" w:rsidRDefault="00576A90" w:rsidP="00576A90">
      <w:pPr>
        <w:pStyle w:val="TextoNormalNegritaCentrado"/>
        <w:keepNext/>
      </w:pPr>
    </w:p>
    <w:p w14:paraId="14852DED" w14:textId="26F8D94C" w:rsidR="00576A90" w:rsidRDefault="00576A90" w:rsidP="00576A90">
      <w:pPr>
        <w:pStyle w:val="TextoNormal"/>
      </w:pPr>
      <w:r w:rsidRPr="00576A90">
        <w:rPr>
          <w:rStyle w:val="TextoNormalNegritaCaracter"/>
        </w:rPr>
        <w:t xml:space="preserve">Único. </w:t>
      </w:r>
      <w:r>
        <w:t>Vista la comunicación efectuada por don César Tolosa Tribiño, magistrado de este tribunal, en virtud de lo previsto en los arts. 80 de la Ley Orgánica del Tribunal Constitucional (LOTC)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3E51F35" w14:textId="77777777" w:rsidR="00576A90" w:rsidRDefault="00576A90" w:rsidP="00576A90">
      <w:pPr>
        <w:pStyle w:val="TextoNormal"/>
      </w:pPr>
    </w:p>
    <w:p w14:paraId="7ABCCF14" w14:textId="77777777" w:rsidR="00576A90" w:rsidRDefault="00576A90" w:rsidP="00576A90">
      <w:pPr>
        <w:pStyle w:val="TextoNormal"/>
      </w:pPr>
      <w:r>
        <w:t>Por lo expuesto, la Sección</w:t>
      </w:r>
    </w:p>
    <w:p w14:paraId="2206A3AF" w14:textId="73C22971" w:rsidR="00576A90" w:rsidRDefault="00576A90" w:rsidP="00576A90">
      <w:pPr>
        <w:pStyle w:val="TextoNormal"/>
      </w:pPr>
    </w:p>
    <w:p w14:paraId="1153251F" w14:textId="77777777" w:rsidR="00576A90" w:rsidRDefault="00576A90" w:rsidP="00576A90">
      <w:pPr>
        <w:pStyle w:val="TextoNormalCentrado"/>
      </w:pPr>
      <w:r>
        <w:t>ACUERDA</w:t>
      </w:r>
    </w:p>
    <w:p w14:paraId="3A08BC9A" w14:textId="7C382793" w:rsidR="00576A90" w:rsidRDefault="00576A90" w:rsidP="00576A90">
      <w:pPr>
        <w:pStyle w:val="TextoNormalCentrado"/>
      </w:pPr>
    </w:p>
    <w:p w14:paraId="41B1DE06" w14:textId="5F9F6EB5" w:rsidR="00576A90" w:rsidRDefault="00576A90" w:rsidP="00576A90">
      <w:pPr>
        <w:pStyle w:val="TextoNormal"/>
      </w:pPr>
      <w:r>
        <w:t>Estimar justificada la abstención formulada por el magistrado don César Tolosa Tribiño en el recurso de amparo núm. 8472-2022 y apartarle definitivamente del conocimiento del referido recurso y de todas sus incidencias.</w:t>
      </w:r>
    </w:p>
    <w:p w14:paraId="46F0531E" w14:textId="77777777" w:rsidR="00576A90" w:rsidRDefault="00576A90" w:rsidP="00576A90">
      <w:pPr>
        <w:pStyle w:val="TextoNormal"/>
      </w:pPr>
    </w:p>
    <w:p w14:paraId="05B91D17" w14:textId="77777777" w:rsidR="00576A90" w:rsidRDefault="00576A90" w:rsidP="00576A90">
      <w:pPr>
        <w:pStyle w:val="TextoNormal"/>
      </w:pPr>
      <w:r>
        <w:lastRenderedPageBreak/>
        <w:t>Madrid, a nueve de abril de dos mil veinticuatro.</w:t>
      </w:r>
    </w:p>
    <w:p w14:paraId="1F158C67" w14:textId="18B8008B" w:rsidR="00576A90" w:rsidRDefault="00576A90">
      <w:pPr>
        <w:spacing w:after="160" w:line="259" w:lineRule="auto"/>
        <w:rPr>
          <w:rFonts w:ascii="Times New Roman" w:eastAsia="Times New Roman" w:hAnsi="Times New Roman" w:cs="Times New Roman"/>
          <w:sz w:val="24"/>
          <w:szCs w:val="24"/>
          <w:lang w:eastAsia="es-ES"/>
        </w:rPr>
      </w:pPr>
      <w:r>
        <w:br w:type="page"/>
      </w:r>
    </w:p>
    <w:p w14:paraId="2C360289" w14:textId="77777777" w:rsidR="00576A90" w:rsidRDefault="00576A90" w:rsidP="00576A90">
      <w:pPr>
        <w:pStyle w:val="TtuloResolucin"/>
      </w:pPr>
      <w:bookmarkStart w:id="124" w:name="AUTO_2024_29"/>
      <w:r>
        <w:lastRenderedPageBreak/>
        <w:t>AUTO 29/2024, de 9 de abril de 2024</w:t>
      </w:r>
    </w:p>
    <w:bookmarkEnd w:id="124"/>
    <w:p w14:paraId="3B899D93" w14:textId="77777777" w:rsidR="00576A90" w:rsidRDefault="00576A90" w:rsidP="00576A90">
      <w:pPr>
        <w:pStyle w:val="TtuloResolucin"/>
      </w:pPr>
      <w:r>
        <w:t>Pleno</w:t>
      </w:r>
    </w:p>
    <w:p w14:paraId="34F4ADCC" w14:textId="77777777" w:rsidR="00576A90" w:rsidRDefault="00576A90" w:rsidP="00576A90">
      <w:pPr>
        <w:pStyle w:val="TextoNormalCentrado"/>
      </w:pPr>
      <w:r>
        <w:t>ECLI:ES:TC:2024:29A</w:t>
      </w:r>
    </w:p>
    <w:p w14:paraId="1F0EBED8" w14:textId="13BC2C1A" w:rsidR="00576A90" w:rsidRDefault="00576A90" w:rsidP="00576A90">
      <w:pPr>
        <w:pStyle w:val="TextoNormalCentrado"/>
      </w:pPr>
    </w:p>
    <w:p w14:paraId="46497B3C" w14:textId="77777777" w:rsidR="00576A90" w:rsidRDefault="00576A90" w:rsidP="00576A90">
      <w:pPr>
        <w:pStyle w:val="SntesisDescriptiva"/>
      </w:pPr>
      <w:r>
        <w:t>Excms. Srs. doña Inmaculada Montalbán Huertas, don Ricardo Enríquez Sancho, doña María Luisa Balaguer Callejón, don Ramón Sáez Valcárcel, don Enrique Arnaldo Alcubilla, doña María Luisa Segoviano Astaburuaga, don Juan Carlos Campo Moreno y doña Laura Díez Bueso.</w:t>
      </w:r>
    </w:p>
    <w:p w14:paraId="100425E1" w14:textId="1E3A8693" w:rsidR="00576A90" w:rsidRDefault="00576A90" w:rsidP="00576A90">
      <w:pPr>
        <w:pStyle w:val="SntesisDescriptiva"/>
      </w:pPr>
    </w:p>
    <w:p w14:paraId="14D3B507" w14:textId="77777777" w:rsidR="00576A90" w:rsidRDefault="00576A90" w:rsidP="00576A90">
      <w:pPr>
        <w:pStyle w:val="SntesisDescriptiva"/>
      </w:pPr>
      <w:r>
        <w:t>Desestima el recurso de súplica interpuesto en relación con el ATC 490/2023, de 24 de octubre, que inadmitió las recusaciones formuladas en el recurso de amparo 5439-2023 y otros cuatro más, promovidos por don Carles Puigdemont i Casamajó, don Antoni Comín Oliveres y doña Clara Ponsatí i Obiols en causa penal.</w:t>
      </w:r>
    </w:p>
    <w:p w14:paraId="080392CC" w14:textId="41F5FC0F" w:rsidR="00576A90" w:rsidRDefault="00576A90" w:rsidP="00576A90">
      <w:pPr>
        <w:pStyle w:val="SntesisDescriptiva"/>
      </w:pPr>
    </w:p>
    <w:p w14:paraId="2B01D304" w14:textId="77777777" w:rsidR="00576A90" w:rsidRDefault="00576A90" w:rsidP="00576A90">
      <w:pPr>
        <w:pStyle w:val="SntesisDescriptiva"/>
      </w:pPr>
    </w:p>
    <w:p w14:paraId="76CFB199" w14:textId="77777777" w:rsidR="00576A90" w:rsidRDefault="00576A90" w:rsidP="00576A90">
      <w:pPr>
        <w:pStyle w:val="SntesisDescriptiva"/>
      </w:pPr>
    </w:p>
    <w:p w14:paraId="1F90D707" w14:textId="77777777" w:rsidR="00576A90" w:rsidRDefault="00576A90" w:rsidP="00576A90">
      <w:pPr>
        <w:pStyle w:val="TextoNormalNegritaCentrado"/>
      </w:pPr>
      <w:r>
        <w:t>AUTO</w:t>
      </w:r>
    </w:p>
    <w:p w14:paraId="4626C58A" w14:textId="58751AC5" w:rsidR="00576A90" w:rsidRDefault="00576A90" w:rsidP="00576A90">
      <w:pPr>
        <w:pStyle w:val="TextoNormalNegritaCentrado"/>
      </w:pPr>
    </w:p>
    <w:p w14:paraId="253846FD" w14:textId="77777777" w:rsidR="00576A90" w:rsidRDefault="00576A90" w:rsidP="00576A90">
      <w:pPr>
        <w:pStyle w:val="TextoNormalNegritaCentrado"/>
        <w:keepNext/>
      </w:pPr>
      <w:r>
        <w:t>I. Antecedentes</w:t>
      </w:r>
    </w:p>
    <w:p w14:paraId="3BEF3548" w14:textId="62DBCC44" w:rsidR="00576A90" w:rsidRDefault="00576A90" w:rsidP="00576A90">
      <w:pPr>
        <w:pStyle w:val="TextoNormalNegritaCentrado"/>
        <w:keepNext/>
      </w:pPr>
    </w:p>
    <w:p w14:paraId="6F9FB9B1" w14:textId="6E402B77" w:rsidR="00576A90" w:rsidRDefault="00576A90" w:rsidP="00576A90">
      <w:pPr>
        <w:pStyle w:val="TextoNormal"/>
      </w:pPr>
      <w:r w:rsidRPr="00576A90">
        <w:rPr>
          <w:rStyle w:val="NumeroAFNegritaCaracter"/>
        </w:rPr>
        <w:t>1</w:t>
      </w:r>
      <w:r>
        <w:t>. Con fecha 14 de noviembre de 2023, el procurador de los tribunales don Carlos Ricardo Estévez Sanz, actuando en nombre y representación de don Carles Puigdemont i Casamajó, don Antoni Comín Oliveres y doña Clara Ponsatí i Obiols, presentó escrito interponiendo recurso de súplica contra el auto de este tribunal de 24 de octubre de 2023, bajo la defensa del abogado don Gonzalo Boye.</w:t>
      </w:r>
    </w:p>
    <w:p w14:paraId="0D494113" w14:textId="77777777" w:rsidR="00576A90" w:rsidRDefault="00576A90" w:rsidP="00576A90">
      <w:pPr>
        <w:pStyle w:val="TextoNormal"/>
      </w:pPr>
    </w:p>
    <w:p w14:paraId="25FCE9F6" w14:textId="77777777" w:rsidR="00576A90" w:rsidRDefault="00576A90" w:rsidP="00576A90">
      <w:pPr>
        <w:pStyle w:val="TextoNormal"/>
      </w:pPr>
      <w:r w:rsidRPr="00576A90">
        <w:rPr>
          <w:rStyle w:val="NumeroAFNegritaCaracter"/>
        </w:rPr>
        <w:t>2</w:t>
      </w:r>
      <w:r>
        <w:t>. La resolución impugnada en súplica es el ATC 490/2023, de 24 de octubre, dictado por el Pleno de este Tribunal Constitucional, el cual acordó:</w:t>
      </w:r>
    </w:p>
    <w:p w14:paraId="3E67E020" w14:textId="77777777" w:rsidR="00576A90" w:rsidRDefault="00576A90" w:rsidP="00576A90">
      <w:pPr>
        <w:pStyle w:val="TextoNormal"/>
      </w:pPr>
    </w:p>
    <w:p w14:paraId="0EB76EC9" w14:textId="77777777" w:rsidR="00576A90" w:rsidRDefault="00576A90" w:rsidP="00576A90">
      <w:pPr>
        <w:pStyle w:val="TextoNormal"/>
      </w:pPr>
      <w:r>
        <w:t>“Inadmitir las recusaciones promovidas por don Carles Puigdemont i Casamajó, don Antoni Comín i Oliveres y doña Clara Ponsatí i Obiols, mediante sendos escritos de 14 de septiembre de 2023, en los recursos de amparo núm. 5439-2023, 5440-2023, 64-2020, 972-2021 y 2835-2021”.</w:t>
      </w:r>
    </w:p>
    <w:p w14:paraId="61911C3F" w14:textId="77777777" w:rsidR="00576A90" w:rsidRDefault="00576A90" w:rsidP="00576A90">
      <w:pPr>
        <w:pStyle w:val="TextoNormal"/>
      </w:pPr>
    </w:p>
    <w:p w14:paraId="41B6DC84" w14:textId="77777777" w:rsidR="00576A90" w:rsidRDefault="00576A90" w:rsidP="00576A90">
      <w:pPr>
        <w:pStyle w:val="TextoNormal"/>
      </w:pPr>
      <w:r>
        <w:t>Con esta resolución se dio respuesta a la pretensión de recusación formulada por quienes aparecen como parte actora en los recursos de amparo que se acaban de mencionar, contra los magistrados de este tribunal doña Concepción Espejel Jorquera y don César Tolosa Tribiño, por estar supuestamente incursos en las causas de parcialidad del art. 219.10 (“[t]ener interés directo o indirecto en el pleito o causa”) y 11 (“[h]aber participado en la instrucción de la causa penal o haber resuelto el pleito o causa en anterior instancia”), de la Ley Orgánica del Poder Judicial (LOPJ); en concreto por haber formado parte ambos magistrados de la Sección de Vacaciones que dictó el ATC 378/2023, de 9 de agosto, que inadmitió a trámite el presente recurso de amparo 5439-2023, y del que está pendiente a su vez de resolverse un recurso de súplica interpuesto por el fiscal ante este tribunal.</w:t>
      </w:r>
    </w:p>
    <w:p w14:paraId="0D48FB22" w14:textId="77777777" w:rsidR="00576A90" w:rsidRDefault="00576A90" w:rsidP="00576A90">
      <w:pPr>
        <w:pStyle w:val="TextoNormal"/>
      </w:pPr>
    </w:p>
    <w:p w14:paraId="2C5C414A" w14:textId="77777777" w:rsidR="00576A90" w:rsidRDefault="00576A90" w:rsidP="00576A90">
      <w:pPr>
        <w:pStyle w:val="TextoNormal"/>
      </w:pPr>
      <w:r>
        <w:lastRenderedPageBreak/>
        <w:t>En lo que ahora importa, que es la inadmisión de las recusaciones planteadas en los recursos de amparo arriba mencionados, entre ellos el presente recurso núm. 5439-2023, el ATC 490/2023 fundamentó su decisión en las razones siguientes:</w:t>
      </w:r>
    </w:p>
    <w:p w14:paraId="6BED31A8" w14:textId="77777777" w:rsidR="00576A90" w:rsidRDefault="00576A90" w:rsidP="00576A90">
      <w:pPr>
        <w:pStyle w:val="TextoNormal"/>
      </w:pPr>
    </w:p>
    <w:p w14:paraId="7DBBEA48" w14:textId="77777777" w:rsidR="00576A90" w:rsidRDefault="00576A90" w:rsidP="00576A90">
      <w:pPr>
        <w:pStyle w:val="TextoNormal"/>
      </w:pPr>
      <w:r>
        <w:t>(i) Con carácter previo, fundamento jurídico 1 b), se rechazó que doña Clara Ponsatí i Obiols tuviese legitimación para plantear la recusación de alguno de los magistrados de este tribunal en los recursos de amparo 5439-2023 y 64-2020, al no ser parte demandante en los mismos ni haber pedido su personación posterior en ellos. Por la misma razón se declaró así respecto de don Carles Puigdemont i Casamajó y don Antoni Comín i Oliveres, en cuanto a los recursos de amparo núm. 5440-2023 y 2835-2021.</w:t>
      </w:r>
    </w:p>
    <w:p w14:paraId="0480A8B7" w14:textId="77777777" w:rsidR="00576A90" w:rsidRDefault="00576A90" w:rsidP="00576A90">
      <w:pPr>
        <w:pStyle w:val="TextoNormal"/>
      </w:pPr>
    </w:p>
    <w:p w14:paraId="59B1B590" w14:textId="77777777" w:rsidR="00576A90" w:rsidRDefault="00576A90" w:rsidP="00576A90">
      <w:pPr>
        <w:pStyle w:val="TextoNormal"/>
      </w:pPr>
      <w:r>
        <w:t xml:space="preserve">(ii) Acerca de la composición de este tribunal para resolver las recusaciones formuladas, dejamos sentado, fundamento jurídico 1 e), que “[a]l afectar la recusación planteada, como se ha venido diciendo, solamente a dos de los magistrados de este tribunal, y pese a hallarse abstenido también en este recurso el Excmo. Sr. presidente don Cándido Conde-Pumpido Tourón (ATC 434/2023, de 12 de septiembre), se cumple con el </w:t>
      </w:r>
      <w:r w:rsidRPr="00576A90">
        <w:rPr>
          <w:i/>
        </w:rPr>
        <w:t>quorum</w:t>
      </w:r>
      <w:r>
        <w:t xml:space="preserve"> exigido para su resolución [art. 14 de la Ley Orgánica del Tribunal Constitucional (LOTC)], quedando excluidos de la correspondiente deliberación y fallo los magistrados recusados y el magistrado abstenido, conforme a las reglas generales para estos incidentes”. Criterio que resulta trasladable al presente trámite de resolución de los recursos de súplica interpuestos contra el ATC 490/2023.</w:t>
      </w:r>
    </w:p>
    <w:p w14:paraId="3CCBBFF2" w14:textId="77777777" w:rsidR="00576A90" w:rsidRDefault="00576A90" w:rsidP="00576A90">
      <w:pPr>
        <w:pStyle w:val="TextoNormal"/>
      </w:pPr>
    </w:p>
    <w:p w14:paraId="210BD8C0" w14:textId="77777777" w:rsidR="00576A90" w:rsidRDefault="00576A90" w:rsidP="00576A90">
      <w:pPr>
        <w:pStyle w:val="TextoNormal"/>
      </w:pPr>
      <w:r>
        <w:t xml:space="preserve">(iii) Tras recordar en el fundamento jurídico 1 f) la doctrina constitucional reiterada que posibilita la inadmisión de aquellas pretensiones de recusación dirigidas contra magistrados de este tribunal si se basan en meras afirmaciones carentes de todo sustento probatorio, el auto entra en el fundamento jurídico 2 al examen de los motivos planteados, constatando que se estaba justamente ante el supuesto de rechazo </w:t>
      </w:r>
      <w:r w:rsidRPr="00576A90">
        <w:rPr>
          <w:i/>
        </w:rPr>
        <w:t>ad limine</w:t>
      </w:r>
      <w:r>
        <w:t xml:space="preserve"> por motivos de fondo, teniendo en cuenta para ello la doctrina fijada en el ATC 31/2023, de 7 de febrero, FJ 3, “al resolver una queja de recusación sustancialmente similar a la que aquí se presenta”. En cuanto a la causa del art. 219.11 LOPJ, dijo el auto en primer lugar que no nos encontramos ante un procedimiento penal sino de amparo constitucional, donde no hay una fase de instrucción ni se divide en instancias. Respecto de la función atribuida a los magistrados, se recuerda que en el trámite de admisión del recurso de amparo debe examinarse el carácter verosímil o aparente de la hipotética lesión del derecho fundamental alegada en la demanda de amparo y si por tanto esta resulta descartable o no </w:t>
      </w:r>
      <w:r w:rsidRPr="00576A90">
        <w:rPr>
          <w:i/>
        </w:rPr>
        <w:t>ab initio</w:t>
      </w:r>
      <w:r>
        <w:t>. Modo este de proceder, sigue diciendo el ATC 31/2023, FJ 3, aplicado por el auto ahora recurrido en súplica, que comparte con otros tribunales de nuestro entorno como el Tribunal Europeo de Derechos Humanos.</w:t>
      </w:r>
    </w:p>
    <w:p w14:paraId="7C7631FE" w14:textId="77777777" w:rsidR="00576A90" w:rsidRDefault="00576A90" w:rsidP="00576A90">
      <w:pPr>
        <w:pStyle w:val="TextoNormal"/>
      </w:pPr>
    </w:p>
    <w:p w14:paraId="23026613" w14:textId="77777777" w:rsidR="00576A90" w:rsidRDefault="00576A90" w:rsidP="00576A90">
      <w:pPr>
        <w:pStyle w:val="TextoNormal"/>
      </w:pPr>
      <w:r>
        <w:t xml:space="preserve">Bajo esta perspectiva, el ATC 490/2023, FJ 2 d), descartó </w:t>
      </w:r>
      <w:r w:rsidRPr="00576A90">
        <w:rPr>
          <w:i/>
        </w:rPr>
        <w:t>prima facie</w:t>
      </w:r>
      <w:r>
        <w:t xml:space="preserve"> la concurrencia de la causa de parcialidad del art. 219.11 LOPJ. También la otra alegada por los recusantes, la del interés directo o indirecto en las resultas del proceso (art. 219.10 LOPJ), al no presentar la queja en este punto un recorrido argumental mínimo, pues se limitaba a decir que la Sección de Vacaciones no debió resolver sobre la admisión del recurso de amparo 5439-2023, cuestión esta ajena al incidente de recusación.</w:t>
      </w:r>
    </w:p>
    <w:p w14:paraId="1D2910D9" w14:textId="77777777" w:rsidR="00576A90" w:rsidRDefault="00576A90" w:rsidP="00576A90">
      <w:pPr>
        <w:pStyle w:val="TextoNormal"/>
      </w:pPr>
    </w:p>
    <w:p w14:paraId="3FAE6F8F" w14:textId="6C97EDF5" w:rsidR="00576A90" w:rsidRDefault="00576A90" w:rsidP="00576A90">
      <w:pPr>
        <w:pStyle w:val="TextoNormal"/>
      </w:pPr>
      <w:r>
        <w:t xml:space="preserve">(iv) Finalmente, en el fundamento jurídico 2 e) del ATC 490/2023 se denegó la petición de extensión de los efectos derivados de estimar la recusación formulada, a otros recursos </w:t>
      </w:r>
      <w:r>
        <w:lastRenderedPageBreak/>
        <w:t>de amparo, ya que tal estimación no se produjo. Se acordó por el contrario la inadmisión a trámite de dicha recusación, “‘por carecer manifiestamente de fundamento suficiente’ (ATC 107/2021, FJ 5)”.</w:t>
      </w:r>
    </w:p>
    <w:p w14:paraId="1E0ECD50" w14:textId="77777777" w:rsidR="00576A90" w:rsidRDefault="00576A90" w:rsidP="00576A90">
      <w:pPr>
        <w:pStyle w:val="TextoNormal"/>
      </w:pPr>
    </w:p>
    <w:p w14:paraId="5DA2B71F" w14:textId="77777777" w:rsidR="00576A90" w:rsidRDefault="00576A90" w:rsidP="00576A90">
      <w:pPr>
        <w:pStyle w:val="TextoNormal"/>
      </w:pPr>
      <w:r w:rsidRPr="00576A90">
        <w:rPr>
          <w:rStyle w:val="NumeroAFNegritaCaracter"/>
        </w:rPr>
        <w:t>3</w:t>
      </w:r>
      <w:r>
        <w:t>. En el escrito presentado el 14 de noviembre de 2023 en el presente recurso de amparo 5439-2023, donde el procurador que dice actuar en nombre de don Carles Puigdemont i Casamajó, don Antoni Comín Oliveres y doña Clara Ponsatí Obiols, formaliza recurso de súplica contra el ATC 490/2023, se aducen como fundamentos de dicha impugnación los siguientes:</w:t>
      </w:r>
    </w:p>
    <w:p w14:paraId="3C3E99C9" w14:textId="77777777" w:rsidR="00576A90" w:rsidRDefault="00576A90" w:rsidP="00576A90">
      <w:pPr>
        <w:pStyle w:val="TextoNormal"/>
      </w:pPr>
    </w:p>
    <w:p w14:paraId="4CBEF165" w14:textId="77777777" w:rsidR="00576A90" w:rsidRDefault="00576A90" w:rsidP="00576A90">
      <w:pPr>
        <w:pStyle w:val="TextoNormal"/>
      </w:pPr>
      <w:r>
        <w:t xml:space="preserve">a) En primer lugar se entiende vulnerado el derecho a la tutela judicial efectiva (art. 24.1 CE), por no haberse tramitado el incidente de recusación que se planteó contra los dos magistrados ya identificados, acordándose en cambio la inadmisión </w:t>
      </w:r>
      <w:r w:rsidRPr="00576A90">
        <w:rPr>
          <w:i/>
        </w:rPr>
        <w:t>a limine</w:t>
      </w:r>
      <w:r>
        <w:t xml:space="preserve"> por motivos de fondo de dichas recusaciones, “sin dar respuesta a los planteamientos claros, concretos y específicos en que esta parte formuló las recusaciones”. A su parecer una decisión de inadmisión a trámite solo es compatible con el derecho al juez imparcial y con el derecho al proceso debido, si se funda en el incumplimiento de requisitos formales para su tramitación. Cita al respecto el art. 80 LOTC, que reenvía en materia de abstención y recusación de sus magistrados al procedimiento del art. 223 LOPJ, precepto que a su vez hace referencia a la inadmisión por extemporaneidad de la solicitud de recusación, recordando como se reconoce en el ATC 490/2023, que su pretensión no era extemporánea. Finaliza diciendo que otras disposiciones de la Ley Orgánica del Poder Judicial aplicables, “no permiten, tampoco, hacer lo que ha hecho este Excmo. Tribunal”.</w:t>
      </w:r>
    </w:p>
    <w:p w14:paraId="246F3960" w14:textId="77777777" w:rsidR="00576A90" w:rsidRDefault="00576A90" w:rsidP="00576A90">
      <w:pPr>
        <w:pStyle w:val="TextoNormal"/>
      </w:pPr>
    </w:p>
    <w:p w14:paraId="7B0F3F66" w14:textId="77777777" w:rsidR="00576A90" w:rsidRDefault="00576A90" w:rsidP="00576A90">
      <w:pPr>
        <w:pStyle w:val="TextoNormal"/>
      </w:pPr>
      <w:r>
        <w:t>b) Como segundo motivo del recurso de súplica, se defiende la concurrencia de las causas de recusación que ya fueron alegadas en el escrito de 14 de septiembre de 2023 e inadmitidas en el ATC 490/2023. Así, tras manifestar su discrepancia con lo resuelto en este último, se reitera que “los magistrados recusados emitieron un juicio anticipado, en el trámite de admisión [del presente recurso de amparo 5439-2023, dictando el ATC 378/2023, de 9 de agosto, de la Sección de Vacaciones], sobre distintos argumentos sobre los que, de no mediar su recusación, habrán de resolver nuevamente en el momento de dictar sentencia en dichos procedimientos de amparo”, en referencia a los recursos de amparo que se indican en la parte dispositiva del ATC 490/2023, promovidos por alguno o varios de los aquí recusantes contra resoluciones dictadas por la Sala Segunda del Tribunal Supremo en la causa especial 20907-2017. Se insiste en que “dicha actuación” de ambos magistrados recusados queda comprendida en los motivos de parcialidad del art. 219.10 y 11 LOPJ, añadiendo: “tal y como se desprende del hecho de que la falta de imparcialidad de la Excma. Sra. Concepción Espejel Jorquera ya fuera denunciada en su día por esta parte, mediante el oportuno escrito de recusación, por motivo distinto, que, como dijimos en nuestro escrito de 14 de septiembre de 2023, se reitera por constituir antecedente evidente de esta nueva recusación”.</w:t>
      </w:r>
    </w:p>
    <w:p w14:paraId="097508BB" w14:textId="77777777" w:rsidR="00576A90" w:rsidRDefault="00576A90" w:rsidP="00576A90">
      <w:pPr>
        <w:pStyle w:val="TextoNormal"/>
      </w:pPr>
    </w:p>
    <w:p w14:paraId="5423E888" w14:textId="77777777" w:rsidR="00576A90" w:rsidRDefault="00576A90" w:rsidP="00576A90">
      <w:pPr>
        <w:pStyle w:val="TextoNormal"/>
      </w:pPr>
      <w:r>
        <w:t xml:space="preserve">Reitera igualmente que la falta de imparcialidad de ambos magistrados resulta del hecho de que la inadmisión del recurso de amparo 5439-2023 fuera acordada por la Sección de Vacaciones de este tribunal, “sin que artificialmente se pueda desconectar esta circunstancia a estos efectos, como se pretende en la resolución que es objeto de recurso de súplica”. Que el “juicio anticipado” emitido en el auto de 9 de agosto de 2023 “lo fue con vulneración del derecho al juez ordinario predeterminado por la ley”, pues no le correspondía </w:t>
      </w:r>
      <w:r>
        <w:lastRenderedPageBreak/>
        <w:t>resolver a la Sección de Vacaciones sobre esa admisión, “lo que, precisamente, como se indicaba en el escrito de recusación, pone de manifiesto el interés directo” de los magistrados Sra. Espejel Jorquera y Sr. Tolosa Tribiño “en relación con los recursos de amparo a los que se refiere el presente escrito de recusación, en detrimento de la debida imparcialidad”. En esta línea, insiste de nuevo en que la competencia de la Sección de Vacaciones sí es relevante en esta controversia sobre recusación, “no en cuanto a la incompetencia en sí misma, sino en cuanto a la apariencia de imparcialidad de quien se arroga una competencia que no le corresponde, de cara a inadmitir un recurso de forma absolutamente precipitada e inusual”; teniendo en cuenta, añade, “la incompatibilidad del artículo 4 del Acuerdo de 6 de julio de 2023, del Pleno del Tribunal Constitucional, por el que se establece el régimen de días inhábiles en los procesos constitucionales, con el artículo 8.1 de la Ley Orgánica del Tribunal Constitucional, que exige la constitución de secciones para cada una de las salas y, por el otro, el hecho de que nunca hasta el momento en el que se dictó el citado auto el Tribunal Constitucional había apreciado la urgencia excepcional a la que se refiere el artículo 56.6 de la Ley Orgánica del Tribunal Constitucional respecto de los previos recursos de amparo interpuestos por esta parte con objeto prácticamente idéntico al presente”. Continúa diciendo que el hecho de haber adoptado la resolución de 9 de agosto de 2023 acredita “su animadversión hacia los recurrentes”, y repite que ya se había alegado la parcialidad de la magistrada señora Espejel Jorquera en otros procesos con objeto “equiparable al presente, y que en el caso del Excmo. Sr. César Tolosa Tribiño ha puesto de manifiesto la resolución que es objeto del presente recurso de súplica”.</w:t>
      </w:r>
    </w:p>
    <w:p w14:paraId="128B9539" w14:textId="77777777" w:rsidR="00576A90" w:rsidRDefault="00576A90" w:rsidP="00576A90">
      <w:pPr>
        <w:pStyle w:val="TextoNormal"/>
      </w:pPr>
    </w:p>
    <w:p w14:paraId="19BDE773" w14:textId="29EDA938" w:rsidR="00576A90" w:rsidRDefault="00576A90" w:rsidP="00576A90">
      <w:pPr>
        <w:pStyle w:val="TextoNormal"/>
      </w:pPr>
      <w:r>
        <w:t xml:space="preserve">El escrito cita luego la sentencia del Tribunal de Justicia de la Unión Europea de 1 de julio de 2008, asuntos acumulados C-341/06 y C-342/06, </w:t>
      </w:r>
      <w:r w:rsidRPr="00576A90">
        <w:rPr>
          <w:i/>
        </w:rPr>
        <w:t>Chronopost y La Poste</w:t>
      </w:r>
      <w:r>
        <w:t>, sobre la importancia de la garantía de un tribunal independiente e imparcial; que las circunstancias de parcialidad indicadas también concurren en otros recursos de amparo interpuestos contra resoluciones de la Sala de lo Penal del Tribunal Supremo dictadas en la causa especial 20907-2017, por lo que “la presente recusación se debe extender a todos los recursos de amparo interpuestos por esta parte contra resoluciones judiciales dictadas en dicha causa”. Y finaliza vertiendo una vez más su discrepancia con el auto de 9 de agosto de 2023.</w:t>
      </w:r>
    </w:p>
    <w:p w14:paraId="104A202A" w14:textId="77777777" w:rsidR="00576A90" w:rsidRDefault="00576A90" w:rsidP="00576A90">
      <w:pPr>
        <w:pStyle w:val="TextoNormal"/>
      </w:pPr>
    </w:p>
    <w:p w14:paraId="75B51901" w14:textId="77777777" w:rsidR="00576A90" w:rsidRDefault="00576A90" w:rsidP="00576A90">
      <w:pPr>
        <w:pStyle w:val="TextoNormal"/>
      </w:pPr>
      <w:r w:rsidRPr="00576A90">
        <w:rPr>
          <w:rStyle w:val="NumeroAFNegritaCaracter"/>
        </w:rPr>
        <w:t>4</w:t>
      </w:r>
      <w:r>
        <w:t>. La Secretaría de Justicia del Pleno de este Tribunal Constitucional acordó, por diligencia de ordenación de 15 de noviembre de 2023, incorporar a las actuaciones el escrito de recurso de súplica presentado y dar traslado del mismo al Ministerio Fiscal, para que en el plazo de tres días pudiera formular alegaciones acerca de dicho recurso.</w:t>
      </w:r>
    </w:p>
    <w:p w14:paraId="27C2E065" w14:textId="77777777" w:rsidR="00576A90" w:rsidRDefault="00576A90" w:rsidP="00576A90">
      <w:pPr>
        <w:pStyle w:val="TextoNormal"/>
      </w:pPr>
    </w:p>
    <w:p w14:paraId="25B877C3" w14:textId="77777777" w:rsidR="00576A90" w:rsidRDefault="00576A90" w:rsidP="00576A90">
      <w:pPr>
        <w:pStyle w:val="TextoNormal"/>
      </w:pPr>
      <w:r>
        <w:t>Con fecha 20 de diciembre de 2023 presentó sus alegaciones por escrito el fiscal ante este tribunal, concluyendo que “procede desestimar el recurso de súplica interpuesto […], interesando la confirmación de la resolución recurrida —ATC 490/2023 de 24 de octubre— ya que los argumentos del recurso no han desvirtuado las razones que se tuvieron en cuenta para acordarla”.</w:t>
      </w:r>
    </w:p>
    <w:p w14:paraId="4D75CD46" w14:textId="77777777" w:rsidR="00576A90" w:rsidRDefault="00576A90" w:rsidP="00576A90">
      <w:pPr>
        <w:pStyle w:val="TextoNormal"/>
      </w:pPr>
    </w:p>
    <w:p w14:paraId="0F4C9CEA" w14:textId="77777777" w:rsidR="00576A90" w:rsidRDefault="00576A90" w:rsidP="00576A90">
      <w:pPr>
        <w:pStyle w:val="TextoNormal"/>
      </w:pPr>
      <w:r>
        <w:t xml:space="preserve">Luego de exponer los antecedentes de este procedimiento incidental de recusación, lo resuelto por el ATC 490/2023 y las alegaciones del escrito del recurso de súplica promovido contra dicha resolución, el fiscal rechaza en primer lugar que se haya producido una vulneración del derecho a la tutela judicial efectiva de los recusantes por haberse inadmitido su recusación por motivo de fondo, tal como aquellos alegan, recordando la reiterada doctrina constitucional en cuya virtud cabe acordar el rechazo </w:t>
      </w:r>
      <w:r w:rsidRPr="00576A90">
        <w:rPr>
          <w:i/>
        </w:rPr>
        <w:t>a limine</w:t>
      </w:r>
      <w:r>
        <w:t xml:space="preserve"> de la solicitud de </w:t>
      </w:r>
      <w:r>
        <w:lastRenderedPageBreak/>
        <w:t>recusación no solo por el incumplimiento de requisitos de forma, sino también cuando no se apoye en datos objetivos; lo que conecta a su vez —añade el fiscal— con lo establecido en el art. 223 LOPJ del que hace cita el escrito de súplica (únicamente respecto del plazo), precepto que en su apartado segundo también determina que el escrito de recusación debe expresar concreta y claramente la causa legal y los motivos en que se funde y acompañarlo de un principio de prueba, limitándose los aquí recusantes a aportar el auto de la Sección de Vacaciones de 9 de agosto de 2023.</w:t>
      </w:r>
    </w:p>
    <w:p w14:paraId="0C1FF17A" w14:textId="77777777" w:rsidR="00576A90" w:rsidRDefault="00576A90" w:rsidP="00576A90">
      <w:pPr>
        <w:pStyle w:val="TextoNormal"/>
      </w:pPr>
    </w:p>
    <w:p w14:paraId="6455D0B5" w14:textId="77777777" w:rsidR="00576A90" w:rsidRDefault="00576A90" w:rsidP="00576A90">
      <w:pPr>
        <w:pStyle w:val="TextoNormal"/>
      </w:pPr>
      <w:r>
        <w:t xml:space="preserve">En aplicación de “este marco legal y doctrinal”, prosigue diciendo el escrito de alegaciones del fiscal, es correcta la argumentación contenida en el ATC 490/2023 para denegar la causa legal de parcialidad del art. 219.11 LOPJ, en el sentido de que esta, referida a los procesos penales ante los tribunales ordinarios, no resulta trasladable a la actuación de los magistrados de este tribunal respecto de su actuación en los procesos constitucionales. A continuación, recuerda cómo el mismo ATC 490/2023 aplica la doctrina sentada en el previo ATC 31/2023, de 7 de febrero, FJ 3, para descartar una posible parcialidad de los magistrados que han de resolver sobre la admisibilidad de los recursos de amparo por el hecho de tener que realizar una valoración </w:t>
      </w:r>
      <w:r w:rsidRPr="00576A90">
        <w:rPr>
          <w:i/>
        </w:rPr>
        <w:t>prima facie</w:t>
      </w:r>
      <w:r>
        <w:t xml:space="preserve"> del fondo de cada demanda, lo que resulta imprescindible para poder ejercitar correctamente su función jurisdiccional de control en ese ámbito.</w:t>
      </w:r>
    </w:p>
    <w:p w14:paraId="3CD0F863" w14:textId="77777777" w:rsidR="00576A90" w:rsidRDefault="00576A90" w:rsidP="00576A90">
      <w:pPr>
        <w:pStyle w:val="TextoNormal"/>
      </w:pPr>
    </w:p>
    <w:p w14:paraId="67774293" w14:textId="77777777" w:rsidR="00576A90" w:rsidRDefault="00576A90" w:rsidP="00576A90">
      <w:pPr>
        <w:pStyle w:val="TextoNormal"/>
      </w:pPr>
      <w:r>
        <w:t>A continuación, el escrito de alegaciones se refiere a la supuesta concurrencia de la causa del art. 219.10 LOPJ (interés directo o indirecto en las resueltas del proceso), por haber resuelto la Sección de Vacaciones del Tribunal la inadmisión del presente recurso de amparo 5439-2023 mediante el dictado del ATC 378/2023 de 9 de agosto de 2023 y en la que participaron los dos magistrados recusados. Trae a colación el fiscal la respuesta denegatoria dada sobre esta otra causa de parcialidad por el ATC 490/2023, en cuanto a que tal reproche supone introducir indebidamente en el incidente de recusación lo que no es sino un motivo de impugnación contra el citado ATC 378/2023. Y recuerda que una depuración objetiva del mismo tipo ya la llevó a cabo el ATC 31/2023, FJ 2, ante un planteamiento similar de la parte ahí recusante (entonces respecto del voto particular que acompañaba al auto de admisión dictado en aquel recurso de amparo).</w:t>
      </w:r>
    </w:p>
    <w:p w14:paraId="2AFD65C4" w14:textId="77777777" w:rsidR="00576A90" w:rsidRDefault="00576A90" w:rsidP="00576A90">
      <w:pPr>
        <w:pStyle w:val="TextoNormal"/>
      </w:pPr>
    </w:p>
    <w:p w14:paraId="5891AA43" w14:textId="77777777" w:rsidR="00576A90" w:rsidRDefault="00576A90" w:rsidP="00576A90">
      <w:pPr>
        <w:pStyle w:val="TextoNormal"/>
      </w:pPr>
      <w:r>
        <w:t>Por otro lado, en cuanto a la mera aportación del ATC 378/2023 como “principio de prueba” de la mentada causa del art. 219.10 LOPJ, a la que alude el escrito de recusación, dice el Ministerio Público que de su lectura “difícilmente se puede deducir, como se pretende por los recurrentes, el resultado de animadversión hacia los mismos”, teniendo en cuenta que la actuación de los dos magistrados en el trámite de admisión responde “a una obligación en el ejercicio de la función de jurisdicción de amparo”. Con cita del ATC 17/2020, de 11 de febrero, FJ 3, acerca del concepto de interés directo o indirecto en el objeto del proceso como causa de recusación, colige el fiscal que “nada se especifica para justificar qué circunstancias concurren para entender que la intervención en aquel ATC 378/2023 proporcionaría a los magistrados recusados ‘una ventaja o beneficio o le evita una carga o perjuicio, para sí o para sus allegados’, efectuándose una mera afirmación carente de adecuado soporte argumental”.</w:t>
      </w:r>
    </w:p>
    <w:p w14:paraId="43ACBDEB" w14:textId="77777777" w:rsidR="00576A90" w:rsidRDefault="00576A90" w:rsidP="00576A90">
      <w:pPr>
        <w:pStyle w:val="TextoNormal"/>
      </w:pPr>
    </w:p>
    <w:p w14:paraId="2851100E" w14:textId="7CB5A6E9" w:rsidR="00576A90" w:rsidRDefault="00576A90" w:rsidP="00576A90">
      <w:pPr>
        <w:pStyle w:val="TextoNormal"/>
      </w:pPr>
      <w:r>
        <w:t xml:space="preserve">Finalmente, en cuanto a la posible extensión de efectos de la recusación a otros recursos de amparo promovidos a su vez contra resoluciones recaídas en la causa especial 20907-2017 de la Sala Segunda del Tribunal Supremo, el fiscal se remite a lo resuelto en </w:t>
      </w:r>
      <w:r>
        <w:lastRenderedPageBreak/>
        <w:t xml:space="preserve">el ATC 490/2023, FJ 2 e) sobre esta misma petición de extensión, en el sentido de denegarla por fundarse en los mismos hechos expuestos en la recusación del recurso 5439-2023, reiterando que se trata del correcto ejercicio de la función jurisdiccional atribuida a los magistrados de este Tribunal Constitucional en la fase de admisión de los recursos de amparo. Todo lo que refuerza, sostiene el fiscal, la inadmisión </w:t>
      </w:r>
      <w:r w:rsidRPr="00576A90">
        <w:rPr>
          <w:i/>
        </w:rPr>
        <w:t>a limine</w:t>
      </w:r>
      <w:r>
        <w:t xml:space="preserve"> de la recusación planteada.</w:t>
      </w:r>
    </w:p>
    <w:p w14:paraId="7656C768" w14:textId="77777777" w:rsidR="00576A90" w:rsidRDefault="00576A90" w:rsidP="00576A90">
      <w:pPr>
        <w:pStyle w:val="TextoNormal"/>
      </w:pPr>
    </w:p>
    <w:p w14:paraId="0AC94EE3" w14:textId="77777777" w:rsidR="00576A90" w:rsidRDefault="00576A90" w:rsidP="00576A90">
      <w:pPr>
        <w:pStyle w:val="TextoNormal"/>
      </w:pPr>
      <w:r w:rsidRPr="00576A90">
        <w:rPr>
          <w:rStyle w:val="NumeroAFNegritaCaracter"/>
        </w:rPr>
        <w:t>5</w:t>
      </w:r>
      <w:r>
        <w:t>. En los demás recursos indicados en la parte dispositiva del ATC 490/2023, se ha formalizado igualmente recurso de súplica contra dicha resolución. Así:</w:t>
      </w:r>
    </w:p>
    <w:p w14:paraId="340B9BCF" w14:textId="77777777" w:rsidR="00576A90" w:rsidRDefault="00576A90" w:rsidP="00576A90">
      <w:pPr>
        <w:pStyle w:val="TextoNormal"/>
      </w:pPr>
    </w:p>
    <w:p w14:paraId="0E6943C3" w14:textId="77777777" w:rsidR="00576A90" w:rsidRDefault="00576A90" w:rsidP="00576A90">
      <w:pPr>
        <w:pStyle w:val="TextoNormal"/>
      </w:pPr>
      <w:r>
        <w:t>a) Mediante escritos presentados en la misma fecha (14 de noviembre de 2023) y con idéntico contenido que el deducido en el recurso de amparo 5439-2023, los procuradores de los tribunales don Carlos Ricardo Estévez Sanz (para el recurso de amparo 5440-2023) y don Javier Fernández Estrada (para los recursos de amparo 64-2020, 972-2021 y 2835-2021), interpusieron recursos de súplica contra el ATC 490/2023, de 24 de octubre, actuando en nombre y representación para ese trámite de don Carles Puigdemont i Casamajó, don Antoni Comín Oliveres y doña Clara Ponsatí Obiols, siempre bajo la defensa del abogado don Gonzalo Boye.</w:t>
      </w:r>
    </w:p>
    <w:p w14:paraId="3766E15D" w14:textId="77777777" w:rsidR="00576A90" w:rsidRDefault="00576A90" w:rsidP="00576A90">
      <w:pPr>
        <w:pStyle w:val="TextoNormal"/>
      </w:pPr>
    </w:p>
    <w:p w14:paraId="36F0CFE5" w14:textId="77777777" w:rsidR="00576A90" w:rsidRDefault="00576A90" w:rsidP="00576A90">
      <w:pPr>
        <w:pStyle w:val="TextoNormal"/>
      </w:pPr>
      <w:r>
        <w:t>b) La Secretaría de Justicia del Pleno de este tribunal dictó diligencias de ordenación de 15 de noviembre de 2023, en los recursos de amparo 5440-2023, 64-2020, 972-2021 y 2835-2021, por las que acordó incorporar a las actuaciones el escrito de recusación presentado en cada uno de ellos, dando traslado al Ministerio Fiscal (solo a él, en el recurso 5440-2023) y a las demás partes personadas (en los demás recursos), para poder presentar alegaciones en el plazo de tres días con relación al recurso de súplica interpuesto.</w:t>
      </w:r>
    </w:p>
    <w:p w14:paraId="58194ED8" w14:textId="77777777" w:rsidR="00576A90" w:rsidRDefault="00576A90" w:rsidP="00576A90">
      <w:pPr>
        <w:pStyle w:val="TextoNormal"/>
      </w:pPr>
    </w:p>
    <w:p w14:paraId="7D5E880C" w14:textId="77777777" w:rsidR="00576A90" w:rsidRDefault="00576A90" w:rsidP="00576A90">
      <w:pPr>
        <w:pStyle w:val="TextoNormal"/>
      </w:pPr>
      <w:r>
        <w:t>c) El mismo fiscal ante este Tribunal Constitucional interviniente en el presente recurso 5439-2023, presentó escrito de alegaciones el 20 de diciembre de 2023 en los recursos 5440-2023, 64-2020, 972-2021 y 2835-2021, con el mismo contenido que el presentado en el recurso 5439-2023 y del que ya hemos dado cuenta en el antecedente anterior del presente auto.</w:t>
      </w:r>
    </w:p>
    <w:p w14:paraId="5581F201" w14:textId="77777777" w:rsidR="00576A90" w:rsidRDefault="00576A90" w:rsidP="00576A90">
      <w:pPr>
        <w:pStyle w:val="TextoNormal"/>
      </w:pPr>
    </w:p>
    <w:p w14:paraId="4643F32C" w14:textId="77777777" w:rsidR="00576A90" w:rsidRDefault="00576A90" w:rsidP="00576A90">
      <w:pPr>
        <w:pStyle w:val="TextoNormal"/>
      </w:pPr>
      <w:r>
        <w:t>d) Con fecha 17 de noviembre de 2023, presentó escrito de alegaciones con idéntico contenido el abogado del Estado en los recursos 64-2020, 972-2021 y 2835-2021, en los que ya estaba personado, limitándose a manifestar que “esta parte solicita la desestimación del recurso de súplica y la confirmación en todos sus términos del auto impugnado”.</w:t>
      </w:r>
    </w:p>
    <w:p w14:paraId="75C653B4" w14:textId="77777777" w:rsidR="00576A90" w:rsidRDefault="00576A90" w:rsidP="00576A90">
      <w:pPr>
        <w:pStyle w:val="TextoNormal"/>
      </w:pPr>
    </w:p>
    <w:p w14:paraId="538DC776" w14:textId="77777777" w:rsidR="00576A90" w:rsidRDefault="00576A90" w:rsidP="00576A90">
      <w:pPr>
        <w:pStyle w:val="TextoNormal"/>
      </w:pPr>
      <w:r>
        <w:t>e) Por último, la procuradora de los tribunales doña María del Pilar Hidalgo López, actuando en nombre y representación del partido político Vox, presentó el 21 de noviembre de 2023 sendos escritos de alegaciones con el mismo contenido en los recursos de amparo 64-2020, 972-2021 y 2835-2021, en los que ya estaba personado su representado, interesando que se tuvieran por hechas las alegaciones y se “desestime el recurso de amparo [</w:t>
      </w:r>
      <w:r w:rsidRPr="00576A90">
        <w:rPr>
          <w:i/>
        </w:rPr>
        <w:t>sic</w:t>
      </w:r>
      <w:r>
        <w:t>] presentado solicitada [</w:t>
      </w:r>
      <w:r w:rsidRPr="00576A90">
        <w:rPr>
          <w:i/>
        </w:rPr>
        <w:t>sic</w:t>
      </w:r>
      <w:r>
        <w:t>] por la parte contraria, condenándose al recusante al pago de las costas de este incidente”.</w:t>
      </w:r>
    </w:p>
    <w:p w14:paraId="3D9764D3" w14:textId="77777777" w:rsidR="00576A90" w:rsidRDefault="00576A90" w:rsidP="00576A90">
      <w:pPr>
        <w:pStyle w:val="TextoNormal"/>
      </w:pPr>
    </w:p>
    <w:p w14:paraId="53D4913A" w14:textId="77777777" w:rsidR="00576A90" w:rsidRDefault="00576A90" w:rsidP="00576A90">
      <w:pPr>
        <w:pStyle w:val="TextoNormal"/>
      </w:pPr>
      <w:r>
        <w:t xml:space="preserve">(i) Fundamenta su parecer la entidad personada afirmando, en primer lugar, la inexistencia de vulneración del derecho a la tutela judicial efectiva invocado en el recurso de súplica, pues el auto impugnado se halla “correctamente motivado”, sin que el art. 24.1 </w:t>
      </w:r>
      <w:r>
        <w:lastRenderedPageBreak/>
        <w:t>CE dé cobertura a los casos en los que simplemente se discrepa de la decisión judicial adoptada, como aquí sucede. Entiende que la parte recusante lo que pretende es que se aparte a los dos magistrados recusados de la decisión del recurso o recursos de amparo concernidos, sin que el escrito de súplica haya levantado la carga de argumentación que le correspondía de conectar los hechos que alega con la vulneración supuestamente producida, y cita en su respaldo las SSTC 176/2012, de 15 de octubre, y 246/2007, de 10 de diciembre, (indica por error, STC 256/2007), sobre la conformidad con el derecho a la tutela judicial efectiva de las decisiones de inadmisión o desestimación de las pretensiones. Remacha diciendo que el ATC 490/2023 fue congruente al resolver todas las cuestiones que se planteaban en la recusación y motivó cada uno de sus pronunciamientos.</w:t>
      </w:r>
    </w:p>
    <w:p w14:paraId="16C79C6B" w14:textId="77777777" w:rsidR="00576A90" w:rsidRDefault="00576A90" w:rsidP="00576A90">
      <w:pPr>
        <w:pStyle w:val="TextoNormal"/>
      </w:pPr>
    </w:p>
    <w:p w14:paraId="05AE6A29" w14:textId="77777777" w:rsidR="00576A90" w:rsidRDefault="00576A90" w:rsidP="00576A90">
      <w:pPr>
        <w:pStyle w:val="TextoNormal"/>
      </w:pPr>
      <w:r>
        <w:t xml:space="preserve">(ii) En segundo lugar, el escrito de alegaciones afirma la inexistencia de la falta de imparcialidad invocada por los recusantes, toda vez que “para obtener un pronunciamiento sobre la admisión, el Tribunal Constitucional debe examinar </w:t>
      </w:r>
      <w:r w:rsidRPr="00576A90">
        <w:rPr>
          <w:i/>
        </w:rPr>
        <w:t>prima facie</w:t>
      </w:r>
      <w:r>
        <w:t xml:space="preserve"> el fondo del asunto, sin perjuicio del análisis exhaustivo del fondo, [que] en su caso, se haga, en la sentencia”; pues sin aquella valoración “no es posible pronunciarse sobre la admisibilidad o inadmisibilidad de un recurso de amparo”, y es así como “se garantiza el derecho fundamental de defensa (art. 24 CE), ya que, de lo contrario, se estaría tomando una decisión sobre la admisión de un recurso sin valorar los elementos que fundamentan la decisión, actuando de manera arbitraria e inmotivada”; citando en su apoyo el ATC 426/1990, de 10 de diciembre. Ello no supone que los magistrados prejuzguen con ello la decisión definitiva, como dicen los recusantes. De ser las cosas como las plantean aquellos, “conduciría, inevitablemente, a la recusación de un número indefinido de jueces y magistrados, entrando en una dinámica nada deseable y contraria al principio de economía procesal y al derecho a un proceso sin dilaciones indebidas (en definitiva, contrario al derecho a la tutela judicial efectiva)”.</w:t>
      </w:r>
    </w:p>
    <w:p w14:paraId="0E72F1F6" w14:textId="77777777" w:rsidR="00576A90" w:rsidRDefault="00576A90" w:rsidP="00576A90">
      <w:pPr>
        <w:pStyle w:val="TextoNormal"/>
      </w:pPr>
    </w:p>
    <w:p w14:paraId="259222F3" w14:textId="6AC19C83" w:rsidR="00576A90" w:rsidRDefault="00576A90" w:rsidP="00576A90">
      <w:pPr>
        <w:pStyle w:val="TextoNormal"/>
      </w:pPr>
      <w:r>
        <w:t>(iii) Finalmente, el escrito de alegaciones se refiere a la “inexistencia de la acreditación de motivos de revocación”, en concreto sobre la supuesta animadversión de los dos magistrados recusados respecto de los recusantes, “cuestión sobre la que no existe la más mínima fundamentación fáctica y jurídica […], más allá de enunciar el eventual sostén legal en el que pretende ampararse”, lo que “no es sino muestra de la insostenibilidad de sus argumentos que, en realidad, únicamente pretende utilizarse con fines partidistas y hacer un uso espurio y torticero del Tribunal Constitucional, pretendiendo quebrantar la imparcialidad de sus funciones y la independencia de los magistrados que la componen”. Y finaliza sus alegaciones la entidad personada, reproduciendo pasajes del ATC 490/2023, con cita del anterior ATC 31/2023, descartando la falta de imparcialidad por el mero hecho de participar los magistrados de este tribunal en la fase de admisión de los recursos de amparo y con ello examinar la verosimilitud de la lesión o lesiones constitucionales denunciadas en cada demanda.</w:t>
      </w:r>
    </w:p>
    <w:p w14:paraId="70807FEE" w14:textId="77777777" w:rsidR="00576A90" w:rsidRDefault="00576A90" w:rsidP="00576A90">
      <w:pPr>
        <w:pStyle w:val="TextoNormal"/>
      </w:pPr>
    </w:p>
    <w:p w14:paraId="73CB28F8" w14:textId="77777777" w:rsidR="00576A90" w:rsidRDefault="00576A90" w:rsidP="00576A90">
      <w:pPr>
        <w:pStyle w:val="TextoNormalNegritaCentrado"/>
        <w:keepNext/>
      </w:pPr>
      <w:r>
        <w:t>II. Fundamentos jurídicos</w:t>
      </w:r>
    </w:p>
    <w:p w14:paraId="25ABC77B" w14:textId="4A1070FB" w:rsidR="00576A90" w:rsidRDefault="00576A90" w:rsidP="00576A90">
      <w:pPr>
        <w:pStyle w:val="TextoNormalNegritaCentrado"/>
        <w:keepNext/>
      </w:pPr>
    </w:p>
    <w:p w14:paraId="18983BDA" w14:textId="77777777" w:rsidR="00576A90" w:rsidRDefault="00576A90" w:rsidP="00576A90">
      <w:pPr>
        <w:pStyle w:val="TextoNormal"/>
      </w:pPr>
      <w:r w:rsidRPr="00576A90">
        <w:rPr>
          <w:rStyle w:val="NumeroAFNegritaCaracter"/>
        </w:rPr>
        <w:t>1</w:t>
      </w:r>
      <w:r>
        <w:t xml:space="preserve">. </w:t>
      </w:r>
      <w:r w:rsidRPr="00576A90">
        <w:rPr>
          <w:i/>
        </w:rPr>
        <w:t>Objeto de la presente resolución y consideraciones previas al enjuiciamiento de fondo</w:t>
      </w:r>
    </w:p>
    <w:p w14:paraId="6E40B5F0" w14:textId="77777777" w:rsidR="00576A90" w:rsidRDefault="00576A90" w:rsidP="00576A90">
      <w:pPr>
        <w:pStyle w:val="TextoNormal"/>
      </w:pPr>
    </w:p>
    <w:p w14:paraId="243B1854" w14:textId="77777777" w:rsidR="00576A90" w:rsidRDefault="00576A90" w:rsidP="00576A90">
      <w:pPr>
        <w:pStyle w:val="TextoNormal"/>
      </w:pPr>
      <w:r>
        <w:lastRenderedPageBreak/>
        <w:t>Corresponde resolver al Pleno de este tribunal el recurso de súplica interpuesto en el recurso de amparo 5439-2023 contra el ATC 490/2023, de 24 de octubre, que resolvió inadmitir a trámite por motivos de fondo la recusación de los magistrados doña Concepción Espejel Jorquera y don César Tolosa Tribiño, de quienes se pedía su apartamiento de este recurso por atribuírseles las causas legales de parcialidad del art. 219. 10 (“tener interés directo o indirecto en el pleito o causa”) y 11 LOPJ (“haber participado en la instrucción de la causa penal o haber resuelto el pleito o causa en anterior instancia”). Idéntico recurso de súplica se ha promovido en los recursos de amparo 5440-2023, 64-2020, 971-2021 y 2835-2021, a los que el citado ATC 490/2023 extendió en su parte dispositiva los efectos de aquella inadmisión, por lo que la respuesta que demos ahora vinculará igualmente a esos otros procesos.</w:t>
      </w:r>
    </w:p>
    <w:p w14:paraId="34300714" w14:textId="77777777" w:rsidR="00576A90" w:rsidRDefault="00576A90" w:rsidP="00576A90">
      <w:pPr>
        <w:pStyle w:val="TextoNormal"/>
      </w:pPr>
    </w:p>
    <w:p w14:paraId="6B3F9078" w14:textId="77777777" w:rsidR="00576A90" w:rsidRDefault="00576A90" w:rsidP="00576A90">
      <w:pPr>
        <w:pStyle w:val="TextoNormal"/>
      </w:pPr>
      <w:r>
        <w:t>Con carácter previo al examen de fondo de la impugnación planteada, procede realizar algunas consideraciones de orden procesal:</w:t>
      </w:r>
    </w:p>
    <w:p w14:paraId="1EA7BCB9" w14:textId="77777777" w:rsidR="00576A90" w:rsidRDefault="00576A90" w:rsidP="00576A90">
      <w:pPr>
        <w:pStyle w:val="TextoNormal"/>
      </w:pPr>
    </w:p>
    <w:p w14:paraId="23846A59" w14:textId="77777777" w:rsidR="00576A90" w:rsidRDefault="00576A90" w:rsidP="00576A90">
      <w:pPr>
        <w:pStyle w:val="TextoNormal"/>
      </w:pPr>
      <w:r>
        <w:t>a) La primera concierne a la legitimación para promover estos recursos de súplica. Como dejamos asentado en el ATC 490/2023, FJ 1 B) a), aunque el escrito se formula por el procurador interviniente en nombre y representación conjunta de don Carles Puigdemont i Casamajó, don Antoni Comín i Oliveres y doña Clara Ponsatí i Obiols, los dos primeros no eran parte (ni como demandante, ni como personados en el trámite de alegaciones del art. 52 LOTC) en los recursos de amparo 5440-2023 y 2835-2021, por lo que carecían de legitimación para activar una recusación contra los magistrados de este tribunal con relación a esos procesos. Mientras que la señora Ponsatí i Obiols a su vez no fue parte (en ningún concepto) en los recursos de amparo 5439-2023 y 64-2020, por lo que consiguientemente tampoco tenía legitimación para recusar a magistrados de este tribunal dentro de esos procesos.</w:t>
      </w:r>
    </w:p>
    <w:p w14:paraId="0D61082A" w14:textId="77777777" w:rsidR="00576A90" w:rsidRDefault="00576A90" w:rsidP="00576A90">
      <w:pPr>
        <w:pStyle w:val="TextoNormal"/>
      </w:pPr>
    </w:p>
    <w:p w14:paraId="430B6FD5" w14:textId="77777777" w:rsidR="00576A90" w:rsidRDefault="00576A90" w:rsidP="00576A90">
      <w:pPr>
        <w:pStyle w:val="TextoNormal"/>
      </w:pPr>
      <w:r>
        <w:t>El pronunciamiento entonces efectuado y en el que lógicamente nos ratificamos, ni siquiera ha sido motivo de cuestionamiento en los escritos de súplica que se han presentado en los recursos de amparo que ya se han identificado, por lo que lo declarado en este punto en el ATC 490/2023, ha devenido firme. De manera consecuente, procede declarar la concurrencia de esa misma falta de legitimación de quienes, indebidamente, se siguen presentando como una misma parte en todos los recursos de súplica presentados, en aquellos procesos donde en realidad no han ostentado tal posición procesal, conforme acabamos de indicar.</w:t>
      </w:r>
    </w:p>
    <w:p w14:paraId="06B7802E" w14:textId="77777777" w:rsidR="00576A90" w:rsidRDefault="00576A90" w:rsidP="00576A90">
      <w:pPr>
        <w:pStyle w:val="TextoNormal"/>
      </w:pPr>
    </w:p>
    <w:p w14:paraId="6EBF77D6" w14:textId="77777777" w:rsidR="00576A90" w:rsidRDefault="00576A90" w:rsidP="00576A90">
      <w:pPr>
        <w:pStyle w:val="TextoNormal"/>
      </w:pPr>
      <w:r>
        <w:t>b) Al igual que se indicó en el ATC 490/2023, FJ 2 e), y sirve también para este trámite de resolución de los recursos de súplica: “Al afectar la recusación planteada, como se ha venido diciendo, solamente a dos de los magistrados de este tribunal, y pese a hallarse abstenido también en este recurso el Excmo. Sr. presidente don Cándido Conde-Pumpido Tourón (ATC 434/2023, de 12 de septiembre), se cumple con el quórum exigido para su resolución (art. 14 LOTC), quedando excluidos de la correspondiente deliberación y fallo los magistrados recusados y el magistrado abstenido, conforme a las reglas generales para estos incidentes”.</w:t>
      </w:r>
    </w:p>
    <w:p w14:paraId="3FDEB8C6" w14:textId="77777777" w:rsidR="00576A90" w:rsidRDefault="00576A90" w:rsidP="00576A90">
      <w:pPr>
        <w:pStyle w:val="TextoNormal"/>
      </w:pPr>
    </w:p>
    <w:p w14:paraId="72707F8E" w14:textId="77777777" w:rsidR="00576A90" w:rsidRDefault="00576A90" w:rsidP="00576A90">
      <w:pPr>
        <w:pStyle w:val="TextoNormal"/>
      </w:pPr>
      <w:r>
        <w:t xml:space="preserve">c) El objeto de la presente resolución no consiste en dirimir si concurren o no las causas de recusación sobre los dos magistrados recusados que defienden los recusantes, cuestión que ya fue esclarecida en el ATC 490/2023, de 24 de octubre. Distintamente, el objeto de </w:t>
      </w:r>
      <w:r>
        <w:lastRenderedPageBreak/>
        <w:t>este, como de cualquier otro auto que resuelve un recurso de súplica interpuesto contra una resolución previa nuestra, se limita a determinar si esta última adolece de la incorrección jurídica que se le achaca debido a una errónea aplicación de las fuentes del ordenamiento que nos vinculan, o por un déficit de motivación de la resolución adoptada. Por consiguiente, resulta intrascendente el intento de los escritos de súplica por reiterar los hechos y motivos de su anterior escrito de recusación, pretendiendo de nuevo su enjuiciamiento.</w:t>
      </w:r>
    </w:p>
    <w:p w14:paraId="340392CB" w14:textId="77777777" w:rsidR="00576A90" w:rsidRDefault="00576A90" w:rsidP="00576A90">
      <w:pPr>
        <w:pStyle w:val="TextoNormal"/>
      </w:pPr>
    </w:p>
    <w:p w14:paraId="189FDA48" w14:textId="77777777" w:rsidR="00576A90" w:rsidRDefault="00576A90" w:rsidP="00576A90">
      <w:pPr>
        <w:pStyle w:val="TextoNormal"/>
      </w:pPr>
      <w:r>
        <w:t>Nada hemos de decir tampoco respecto de otros supuestos motivos de recusación que afectarían a la magistrada doña Concepción Espejel Jorquera, los cuales se dan por reproducidos en los escritos de súplica (“por constituir antecedente evidente de esta nueva recusación”), pese a reconocer que ya han sido rechazados en otros incidentes de recusación recaídos en otros recursos de amparo. Como hemos declarado recientemente en nuestro ATC 5/2024, de 30 de enero, FJ 2 a), a propósito de la recusación de magistrados de este tribunal, “[t]anto la preclusión como el efecto negativo de la cosa juzgada material son institutos jurídicos en garantía de la seguridad jurídica de las resoluciones jurisdiccionales, que persiguen evitar que quede indefinidamente abierta la posibilidad de plantear ante los tribunales pretensiones que ya han sido decididas en resolución firme, o que pudieron haberlo sido al fundarse en causas de pedir preexistentes en un momento anterior a aquel en que se formularon otras pretensiones ya afectadas por la litispendencia o la cosa juzgada material”.</w:t>
      </w:r>
    </w:p>
    <w:p w14:paraId="707E76B3" w14:textId="77777777" w:rsidR="00576A90" w:rsidRDefault="00576A90" w:rsidP="00576A90">
      <w:pPr>
        <w:pStyle w:val="TextoNormal"/>
      </w:pPr>
    </w:p>
    <w:p w14:paraId="05F87432" w14:textId="6E90121A" w:rsidR="00576A90" w:rsidRDefault="00576A90" w:rsidP="00576A90">
      <w:pPr>
        <w:pStyle w:val="TextoNormal"/>
      </w:pPr>
      <w:r>
        <w:t>d) Y continúa siendo también ajeno al objeto propio de este incidente de recusación, ahora en vía de recurso de súplica, toda referencia a la supuesta incompetencia de la Sección de Vacaciones para pronunciarse sobre la admisibilidad del recurso de amparo 5439-2023, como ya advertimos en el fundamento jurídico 2 b) (i) del ATC 490/2023, estando todavía pendiente la decisión sobre el recurso de súplica interpuesto por el fiscal ante este tribunal frente al ATC 378/2023 que lo inadmitió. No cabe por tanto pronunciarnos aquí sobre ello, una vez más.</w:t>
      </w:r>
    </w:p>
    <w:p w14:paraId="0C64486B" w14:textId="77777777" w:rsidR="00576A90" w:rsidRDefault="00576A90" w:rsidP="00576A90">
      <w:pPr>
        <w:pStyle w:val="TextoNormal"/>
      </w:pPr>
    </w:p>
    <w:p w14:paraId="726D255B" w14:textId="77777777" w:rsidR="00576A90" w:rsidRDefault="00576A90" w:rsidP="00576A90">
      <w:pPr>
        <w:pStyle w:val="TextoNormal"/>
      </w:pPr>
      <w:r w:rsidRPr="00576A90">
        <w:rPr>
          <w:rStyle w:val="NumeroAFNegritaCaracter"/>
        </w:rPr>
        <w:t>2</w:t>
      </w:r>
      <w:r>
        <w:t xml:space="preserve">. </w:t>
      </w:r>
      <w:r w:rsidRPr="00576A90">
        <w:rPr>
          <w:i/>
        </w:rPr>
        <w:t>Desestimación del recurso de súplica presentado</w:t>
      </w:r>
    </w:p>
    <w:p w14:paraId="6AC61074" w14:textId="77777777" w:rsidR="00576A90" w:rsidRDefault="00576A90" w:rsidP="00576A90">
      <w:pPr>
        <w:pStyle w:val="TextoNormal"/>
      </w:pPr>
    </w:p>
    <w:p w14:paraId="733F36F6" w14:textId="77777777" w:rsidR="00576A90" w:rsidRDefault="00576A90" w:rsidP="00576A90">
      <w:pPr>
        <w:pStyle w:val="TextoNormal"/>
      </w:pPr>
      <w:r>
        <w:t>Se adelanta que los motivos expresados por los recusantes en sus escritos de súplica, han de ser desestimados pues el ATC 490/2023 no ha producido las infracciones jurídicas que se esgrimen.</w:t>
      </w:r>
    </w:p>
    <w:p w14:paraId="5468038B" w14:textId="77777777" w:rsidR="00576A90" w:rsidRDefault="00576A90" w:rsidP="00576A90">
      <w:pPr>
        <w:pStyle w:val="TextoNormal"/>
      </w:pPr>
    </w:p>
    <w:p w14:paraId="5F95DC1F" w14:textId="77777777" w:rsidR="00576A90" w:rsidRDefault="00576A90" w:rsidP="00576A90">
      <w:pPr>
        <w:pStyle w:val="TextoNormal"/>
      </w:pPr>
      <w:r>
        <w:t>a) En efecto, por lo que respecta al primer motivo, la supuesta vulneración del derecho a la tutela judicial efectiva (art. 24.1 CE), no puede compartirse la tesis de los recusantes en el sentido de que la inadmisión a trámite de una solicitud de recusación solo puede acordarse por este tribunal por motivos formales, en concreto por extemporaneidad, y no por motivos de fondo.</w:t>
      </w:r>
    </w:p>
    <w:p w14:paraId="601616B0" w14:textId="77777777" w:rsidR="00576A90" w:rsidRDefault="00576A90" w:rsidP="00576A90">
      <w:pPr>
        <w:pStyle w:val="TextoNormal"/>
      </w:pPr>
    </w:p>
    <w:p w14:paraId="6105B67D" w14:textId="77777777" w:rsidR="00576A90" w:rsidRDefault="00576A90" w:rsidP="00576A90">
      <w:pPr>
        <w:pStyle w:val="TextoNormal"/>
      </w:pPr>
      <w:r>
        <w:t xml:space="preserve">De entrada, como pone de manifiesto el fiscal en su escrito de alegaciones, el art. 223 LOPJ que invocan aquellos y resulta de aplicación por remisión del art. 80 LOTC, no se refiere solo a la exigencia de la promoción tempestiva de la solicitud, sino también a que esta “deberá expresar concreta y claramente la causa legal y los motivos en que se funde, acompañando un principio de prueba sobre los mismos”. Lo que lógicamente y a </w:t>
      </w:r>
      <w:r w:rsidRPr="00576A90">
        <w:rPr>
          <w:i/>
        </w:rPr>
        <w:t xml:space="preserve">sensu </w:t>
      </w:r>
      <w:r w:rsidRPr="00576A90">
        <w:rPr>
          <w:i/>
        </w:rPr>
        <w:lastRenderedPageBreak/>
        <w:t>contrario</w:t>
      </w:r>
      <w:r>
        <w:t xml:space="preserve"> supone que el órgano competente no ha de dar trámite a las solicitudes que carezcan de tal contenido mínimo.</w:t>
      </w:r>
    </w:p>
    <w:p w14:paraId="56E60BA3" w14:textId="77777777" w:rsidR="00576A90" w:rsidRDefault="00576A90" w:rsidP="00576A90">
      <w:pPr>
        <w:pStyle w:val="TextoNormal"/>
      </w:pPr>
    </w:p>
    <w:p w14:paraId="02CB265E" w14:textId="77777777" w:rsidR="00576A90" w:rsidRDefault="00576A90" w:rsidP="00576A90">
      <w:pPr>
        <w:pStyle w:val="TextoNormal"/>
      </w:pPr>
      <w:r>
        <w:t xml:space="preserve">Pero además, en este aspecto el ATC 490/2023, FJ 1 B) f), se limita a hacer aplicación de una muy reiterada doctrina de este tribunal, de la que se hace cita prolija y que no es necesario reiterar aquí por ser obviamente conocida por los recusantes, que permite, en realidad obliga, a un rechazo </w:t>
      </w:r>
      <w:r w:rsidRPr="00576A90">
        <w:rPr>
          <w:i/>
        </w:rPr>
        <w:t>a limine</w:t>
      </w:r>
      <w:r>
        <w:t xml:space="preserve"> de aquellas pretensiones de recusación que resultan infundadas por no basarse en hechos concretos o no venir respaldadas por un principio de prueba capaz de generar una duda objetiva y razonable sobre la parcialidad del magistrado recusado. Precisamente lo que aquí sucede, como se razona en el fundamento jurídico 2 del ATC 490/2023.</w:t>
      </w:r>
    </w:p>
    <w:p w14:paraId="744D4669" w14:textId="77777777" w:rsidR="00576A90" w:rsidRDefault="00576A90" w:rsidP="00576A90">
      <w:pPr>
        <w:pStyle w:val="TextoNormal"/>
      </w:pPr>
    </w:p>
    <w:p w14:paraId="2833ADE5" w14:textId="77777777" w:rsidR="00576A90" w:rsidRDefault="00576A90" w:rsidP="00576A90">
      <w:pPr>
        <w:pStyle w:val="TextoNormal"/>
      </w:pPr>
      <w:r>
        <w:t xml:space="preserve">Además, como también se indicó en el fundamento jurídico 1 B) f) del auto ahora recurrido en súplica, el criterio de inadmisión por motivos de fondo resulta compatible con las exigencias del derecho a un proceso equitativo del art. 6 del Convenio europeo de derechos humanos (CEDH), con cita al efecto de la sentencia del Tribunal Europeo de Derechos Humanos de 9 de julio de 2015, asunto </w:t>
      </w:r>
      <w:r w:rsidRPr="00576A90">
        <w:rPr>
          <w:i/>
        </w:rPr>
        <w:t>A.K. c. Liechtenstein</w:t>
      </w:r>
      <w:r>
        <w:t xml:space="preserve">, que en su parágrafo (fundamento jurídico) 82 advierte que las solicitudes de apartamiento del juez de un proceso del que conoce, debido a su supuesta parcialidad, no debe paralizar la actividad de los tribunales de última instancia, como el nuestro. En el mismo sentido, entre otras, STEDH de 2 de marzo de 2021, asunto </w:t>
      </w:r>
      <w:r w:rsidRPr="00576A90">
        <w:rPr>
          <w:i/>
        </w:rPr>
        <w:t>Kolesnikova c. Rusia</w:t>
      </w:r>
      <w:r>
        <w:t>, § 55.</w:t>
      </w:r>
    </w:p>
    <w:p w14:paraId="4409EDA9" w14:textId="77777777" w:rsidR="00576A90" w:rsidRDefault="00576A90" w:rsidP="00576A90">
      <w:pPr>
        <w:pStyle w:val="TextoNormal"/>
      </w:pPr>
    </w:p>
    <w:p w14:paraId="2ADF264D" w14:textId="77777777" w:rsidR="00576A90" w:rsidRDefault="00576A90" w:rsidP="00576A90">
      <w:pPr>
        <w:pStyle w:val="TextoNormal"/>
      </w:pPr>
      <w:r>
        <w:t xml:space="preserve">La misma sentencia, </w:t>
      </w:r>
      <w:r w:rsidRPr="00576A90">
        <w:rPr>
          <w:i/>
        </w:rPr>
        <w:t>A.K. c. Liechtenstein</w:t>
      </w:r>
      <w:r>
        <w:t xml:space="preserve">, en su § 78, proclama de hecho que “[s]i un demandante basa sus mociones de prejuicio en motivos generales y abstractos, sin hacer referencia a hechos específicos y/o materiales que podrían haber suscitado dudas razonables en cuanto a la imparcialidad de los jueces, sus mociones de parcialidad podrían calificarse de abusivas”. Y la posterior STEDH de 3 de octubre de 2019, asunto </w:t>
      </w:r>
      <w:r w:rsidRPr="00576A90">
        <w:rPr>
          <w:i/>
        </w:rPr>
        <w:t>Pastörs c. Alemania</w:t>
      </w:r>
      <w:r>
        <w:t xml:space="preserve">, § 62, considera que las restricciones en los incidentes de control de la imparcialidad impuestas por los Estados, dirigidas a evitar la interrupción o suspensión de los procesos para examinar impugnaciones abusivas o irrelevantes, se “legitiman por el interés de una adecuada administración de justicia”. En esta misma perspectiva, el propio Tribunal Europeo de Derechos Humanos ha declarado inadmisible por infundada (arts. 35.3 y 35.4 CEDH) la demanda que alegaba la falta de imparcialidad (art. 6 CEDH) de magistrados de este Tribunal Constitucional, rechazada por un auto nuestro de inadmisión </w:t>
      </w:r>
      <w:r w:rsidRPr="00576A90">
        <w:rPr>
          <w:i/>
        </w:rPr>
        <w:t>a limine</w:t>
      </w:r>
      <w:r>
        <w:t xml:space="preserve"> sobre el fondo, entendiendo el tribunal europeo que lo relevante es si hay apariencia de vulneración de los derechos y libertades del Convenio, como en tal caso no se apreció: decisión de la Sección Tercera del Tribunal Europeo de Derechos Humanos, de 3 de noviembre de 2015, asunto </w:t>
      </w:r>
      <w:r w:rsidRPr="00576A90">
        <w:rPr>
          <w:i/>
        </w:rPr>
        <w:t>Arnaldo Otegi Mondragón c. España y otras 4 demandas</w:t>
      </w:r>
      <w:r>
        <w:t>, § 33 a 35 (con relación al ATC 202/2014, de 22 de julio).</w:t>
      </w:r>
    </w:p>
    <w:p w14:paraId="5302B57C" w14:textId="77777777" w:rsidR="00576A90" w:rsidRDefault="00576A90" w:rsidP="00576A90">
      <w:pPr>
        <w:pStyle w:val="TextoNormal"/>
      </w:pPr>
    </w:p>
    <w:p w14:paraId="258715B5" w14:textId="77777777" w:rsidR="00576A90" w:rsidRDefault="00576A90" w:rsidP="00576A90">
      <w:pPr>
        <w:pStyle w:val="TextoNormal"/>
      </w:pPr>
      <w:r>
        <w:t>Por último, sobre este primer motivo del recurso de súplica indicar que no es tampoco cierta la incongruencia omisiva que se atribuye al auto impugnado. En este se resolvió la pretensión de recusación que se planteó, examinando para ello los motivos que la sustentaban, excepto obviamente aquellos que resultaban ajenos al incidente mismo de recusación, como expresamente se dijo entonces y hemos recordado en la presente resolución.</w:t>
      </w:r>
    </w:p>
    <w:p w14:paraId="43D0AF29" w14:textId="77777777" w:rsidR="00576A90" w:rsidRDefault="00576A90" w:rsidP="00576A90">
      <w:pPr>
        <w:pStyle w:val="TextoNormal"/>
      </w:pPr>
    </w:p>
    <w:p w14:paraId="190C13D0" w14:textId="77777777" w:rsidR="00576A90" w:rsidRDefault="00576A90" w:rsidP="00576A90">
      <w:pPr>
        <w:pStyle w:val="TextoNormal"/>
      </w:pPr>
      <w:r>
        <w:t>b) En segundo lugar, no mejor suerte ha de correr el otro motivo del recurso de súplica, consistente en reiterar una vez más que los dos magistrados recusados prejuzgaron el fon</w:t>
      </w:r>
      <w:r>
        <w:lastRenderedPageBreak/>
        <w:t>do del recurso de amparo 5439-2023 al haber participado en el ATC 378/2023 que lo inadmitió por manifiesta inexistencia de violación de un derecho fundamental tutelable en amparo, lo que les impediría participar por ello en la sentencia definitiva (en la eventualidad, se entiende, de que la inadmisión resultase revocada y el recurso continúe su tramitación hasta el final)</w:t>
      </w:r>
    </w:p>
    <w:p w14:paraId="41E75948" w14:textId="77777777" w:rsidR="00576A90" w:rsidRDefault="00576A90" w:rsidP="00576A90">
      <w:pPr>
        <w:pStyle w:val="TextoNormal"/>
      </w:pPr>
    </w:p>
    <w:p w14:paraId="7CFE199D" w14:textId="77777777" w:rsidR="00576A90" w:rsidRDefault="00576A90" w:rsidP="00576A90">
      <w:pPr>
        <w:pStyle w:val="TextoNormal"/>
      </w:pPr>
      <w:r>
        <w:t>Pues bien, como ya fijamos como pauta de enjuiciamiento en el fundamento jurídico 1 de la presente resolución, no cabe volver a conocer de las circunstancias vertidas en el escrito de recusación. El ATC 490/2023, FJ 2, de manera razonable y motivada, con aplicación estricta de la doctrina fijada en el ATC 31/2023, de 7 de febrero, FJ 3, no ha considerado mínimamente acreditadas las causas del art. 219.10 y 11 LOPJ que los recusantes atribuyen a los magistrados señora Espejel Jorquera y señor Tolosa Tribiño, al confundir aquellos como una situación de parcialidad lo que entraña antes bien el correcto ejercicio de la función jurisdiccional de todos los magistrados de este tribunal, en el trámite de admisión de los recursos de amparo. Nada se dice en el escrito de súplica que lleve a pensar en un error de juicio del auto impugnado sobre dicha cuestión.</w:t>
      </w:r>
    </w:p>
    <w:p w14:paraId="48558B25" w14:textId="77777777" w:rsidR="00576A90" w:rsidRDefault="00576A90" w:rsidP="00576A90">
      <w:pPr>
        <w:pStyle w:val="TextoNormal"/>
      </w:pPr>
    </w:p>
    <w:p w14:paraId="1B29C8A6" w14:textId="77777777" w:rsidR="00576A90" w:rsidRDefault="00576A90" w:rsidP="00576A90">
      <w:pPr>
        <w:pStyle w:val="TextoNormal"/>
      </w:pPr>
      <w:r>
        <w:t>Igualmente, inconducentes en este procedimiento, ya lo advertimos, son las alusiones que traen de nuevo los escritos de súplica a la supuesta incompetencia de la Sección de Vacaciones para dictar el ATC 378/2023, las cuales quedan extramuros de este incidente de recusación.</w:t>
      </w:r>
    </w:p>
    <w:p w14:paraId="7030384A" w14:textId="77777777" w:rsidR="00576A90" w:rsidRDefault="00576A90" w:rsidP="00576A90">
      <w:pPr>
        <w:pStyle w:val="TextoNormal"/>
      </w:pPr>
    </w:p>
    <w:p w14:paraId="34205E76" w14:textId="7E2C2833" w:rsidR="00576A90" w:rsidRDefault="00576A90" w:rsidP="00576A90">
      <w:pPr>
        <w:pStyle w:val="TextoNormal"/>
      </w:pPr>
      <w:r>
        <w:t>En definitiva, no se suministran motivos que justifiquen una modificación de lo resuelto en el auto objeto del presente recurso de súplica, lo que determina su desestimación en los cinco recursos de amparo ya identificados.</w:t>
      </w:r>
    </w:p>
    <w:p w14:paraId="04A9AE4F" w14:textId="77777777" w:rsidR="00576A90" w:rsidRDefault="00576A90" w:rsidP="00576A90">
      <w:pPr>
        <w:pStyle w:val="TextoNormal"/>
      </w:pPr>
    </w:p>
    <w:p w14:paraId="210E793C" w14:textId="77777777" w:rsidR="00576A90" w:rsidRDefault="00576A90" w:rsidP="00576A90">
      <w:pPr>
        <w:pStyle w:val="TextoNormal"/>
      </w:pPr>
      <w:r>
        <w:t>Por lo expuesto, el Pleno</w:t>
      </w:r>
    </w:p>
    <w:p w14:paraId="55C7EB70" w14:textId="719FF888" w:rsidR="00576A90" w:rsidRDefault="00576A90" w:rsidP="00576A90">
      <w:pPr>
        <w:pStyle w:val="TextoNormal"/>
      </w:pPr>
    </w:p>
    <w:p w14:paraId="507C6D98" w14:textId="77777777" w:rsidR="00576A90" w:rsidRDefault="00576A90" w:rsidP="00576A90">
      <w:pPr>
        <w:pStyle w:val="TextoNormalCentrado"/>
      </w:pPr>
      <w:r>
        <w:t>ACUERDA</w:t>
      </w:r>
    </w:p>
    <w:p w14:paraId="7707C69D" w14:textId="005B7AA3" w:rsidR="00576A90" w:rsidRDefault="00576A90" w:rsidP="00576A90">
      <w:pPr>
        <w:pStyle w:val="TextoNormalCentrado"/>
      </w:pPr>
    </w:p>
    <w:p w14:paraId="20C95E1F" w14:textId="0E3D87E1" w:rsidR="00576A90" w:rsidRDefault="00576A90" w:rsidP="00576A90">
      <w:pPr>
        <w:pStyle w:val="TextoNormal"/>
      </w:pPr>
      <w:r>
        <w:t>Desestimar los recursos de súplica interpuestos por don Carles Puigdemont i Casamajó, don Antoni Comín i Oliveres y doña Clara Ponsatí i Obiols, contra el ATC 490/2023, de 24 de octubre, recaído en los recursos de amparo núm. 5439-2023; 5440-2023; 64-2020; 972-2021 y 2835-2021.</w:t>
      </w:r>
    </w:p>
    <w:p w14:paraId="32805125" w14:textId="77777777" w:rsidR="00576A90" w:rsidRDefault="00576A90" w:rsidP="00576A90">
      <w:pPr>
        <w:pStyle w:val="TextoNormal"/>
      </w:pPr>
    </w:p>
    <w:p w14:paraId="565F9B65" w14:textId="77777777" w:rsidR="00576A90" w:rsidRDefault="00576A90" w:rsidP="00576A90">
      <w:pPr>
        <w:pStyle w:val="TextoNormal"/>
      </w:pPr>
      <w:r>
        <w:t>Madrid, a nueve de abril de dos mil veinticuatro.</w:t>
      </w:r>
    </w:p>
    <w:p w14:paraId="26DA5617" w14:textId="2125700C" w:rsidR="00576A90" w:rsidRDefault="00576A90">
      <w:pPr>
        <w:spacing w:after="160" w:line="259" w:lineRule="auto"/>
        <w:rPr>
          <w:rFonts w:ascii="Times New Roman" w:eastAsia="Times New Roman" w:hAnsi="Times New Roman" w:cs="Times New Roman"/>
          <w:sz w:val="24"/>
          <w:szCs w:val="24"/>
          <w:lang w:eastAsia="es-ES"/>
        </w:rPr>
      </w:pPr>
      <w:r>
        <w:br w:type="page"/>
      </w:r>
    </w:p>
    <w:p w14:paraId="100CA7D1" w14:textId="77777777" w:rsidR="00576A90" w:rsidRDefault="00576A90" w:rsidP="00576A90">
      <w:pPr>
        <w:pStyle w:val="TtuloResolucin"/>
      </w:pPr>
      <w:bookmarkStart w:id="125" w:name="AUTO_2024_30"/>
      <w:r>
        <w:lastRenderedPageBreak/>
        <w:t>AUTO 30/2024, de 9 de abril de 2024</w:t>
      </w:r>
    </w:p>
    <w:bookmarkEnd w:id="125"/>
    <w:p w14:paraId="6E4B3358" w14:textId="77777777" w:rsidR="00576A90" w:rsidRDefault="00576A90" w:rsidP="00576A90">
      <w:pPr>
        <w:pStyle w:val="TtuloResolucin"/>
      </w:pPr>
      <w:r>
        <w:t>Pleno</w:t>
      </w:r>
    </w:p>
    <w:p w14:paraId="7FC81AC7" w14:textId="77777777" w:rsidR="00576A90" w:rsidRDefault="00576A90" w:rsidP="00576A90">
      <w:pPr>
        <w:pStyle w:val="TextoNormalCentrado"/>
      </w:pPr>
      <w:r>
        <w:t>ECLI:ES:TC:2024:30A</w:t>
      </w:r>
    </w:p>
    <w:p w14:paraId="7C80BD51" w14:textId="71EBD7F1" w:rsidR="00576A90" w:rsidRDefault="00576A90" w:rsidP="00576A90">
      <w:pPr>
        <w:pStyle w:val="TextoNormalCentrado"/>
      </w:pPr>
    </w:p>
    <w:p w14:paraId="635D360E" w14:textId="77777777" w:rsidR="00576A90" w:rsidRDefault="00576A90" w:rsidP="00576A90">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w:t>
      </w:r>
    </w:p>
    <w:p w14:paraId="288281C3" w14:textId="1B5D3F97" w:rsidR="00576A90" w:rsidRDefault="00576A90" w:rsidP="00576A90">
      <w:pPr>
        <w:pStyle w:val="SntesisDescriptiva"/>
      </w:pPr>
    </w:p>
    <w:p w14:paraId="6CAB4A77" w14:textId="77777777" w:rsidR="00576A90" w:rsidRDefault="00576A90" w:rsidP="00576A90">
      <w:pPr>
        <w:pStyle w:val="SntesisDescriptiva"/>
      </w:pPr>
      <w:r>
        <w:t>Inadmite a trámite la cuestión de inconstitucionalidad 7324-2023, planteada por el Juzgado de lo Social núm. 1 de Tortosa, en relación con el artículo 60.1 del texto refundido de la Ley general de la Seguridad Social, en la redacción dada por el Real Decreto-ley 3/2021, de 2 de febrero, y por el Real Decreto-ley 2/2023, de 16 de marzo.</w:t>
      </w:r>
    </w:p>
    <w:p w14:paraId="5D2360D1" w14:textId="6BB07CA9" w:rsidR="00576A90" w:rsidRDefault="00576A90" w:rsidP="00576A90">
      <w:pPr>
        <w:pStyle w:val="SntesisDescriptiva"/>
      </w:pPr>
    </w:p>
    <w:p w14:paraId="048FCBC9" w14:textId="77777777" w:rsidR="00576A90" w:rsidRDefault="00576A90" w:rsidP="00576A90">
      <w:pPr>
        <w:pStyle w:val="SntesisDescriptiva"/>
      </w:pPr>
    </w:p>
    <w:p w14:paraId="07B97CA4" w14:textId="77777777" w:rsidR="00576A90" w:rsidRDefault="00576A90" w:rsidP="00576A90">
      <w:pPr>
        <w:pStyle w:val="SntesisDescriptiva"/>
      </w:pPr>
    </w:p>
    <w:p w14:paraId="02AB7A47" w14:textId="77777777" w:rsidR="00576A90" w:rsidRDefault="00576A90" w:rsidP="00576A90">
      <w:pPr>
        <w:pStyle w:val="TextoNormalNegritaCentrado"/>
      </w:pPr>
      <w:r>
        <w:t>AUTO</w:t>
      </w:r>
    </w:p>
    <w:p w14:paraId="73F74AED" w14:textId="71025CB5" w:rsidR="00576A90" w:rsidRDefault="00576A90" w:rsidP="00576A90">
      <w:pPr>
        <w:pStyle w:val="TextoNormalNegritaCentrado"/>
      </w:pPr>
    </w:p>
    <w:p w14:paraId="45BC5316" w14:textId="77777777" w:rsidR="00576A90" w:rsidRDefault="00576A90" w:rsidP="00576A90">
      <w:pPr>
        <w:pStyle w:val="TextoNormalNegritaCentrado"/>
        <w:keepNext/>
      </w:pPr>
      <w:r>
        <w:t>I. Antecedentes</w:t>
      </w:r>
    </w:p>
    <w:p w14:paraId="2F490629" w14:textId="1F7E2774" w:rsidR="00576A90" w:rsidRDefault="00576A90" w:rsidP="00576A90">
      <w:pPr>
        <w:pStyle w:val="TextoNormalNegritaCentrado"/>
        <w:keepNext/>
      </w:pPr>
    </w:p>
    <w:p w14:paraId="6BE05D1B" w14:textId="77777777" w:rsidR="00576A90" w:rsidRDefault="00576A90" w:rsidP="00576A90">
      <w:pPr>
        <w:pStyle w:val="TextoNormal"/>
      </w:pPr>
      <w:r w:rsidRPr="00576A90">
        <w:rPr>
          <w:rStyle w:val="NumeroAFNegritaCaracter"/>
        </w:rPr>
        <w:t>1</w:t>
      </w:r>
      <w:r>
        <w:t>. El 22 de noviembre de 2023 tuvo entrada en el registro general del Tribunal Constitucional un oficio del Juzgado de lo Social núm. 1 de Tortosa al que se acompaña, junto con el testimonio del procedimiento correspondiente (núm. 122-2023), el auto de 14 de noviembre de 2023 por el que se acuerda plantear cuestión de inconstitucionalidad respecto del art. 60.1 del texto refundido de la Ley general de la Seguridad Social (TRLGSS, en adelante), en la redacción dada por el Real Decreto-ley 3/2021, de 2 de febrero, y por el Real Decreto-ley 2/2023, de 16 de marzo, por su posible contradicción con el art. 14 CE.</w:t>
      </w:r>
    </w:p>
    <w:p w14:paraId="3168B664" w14:textId="77777777" w:rsidR="00576A90" w:rsidRDefault="00576A90" w:rsidP="00576A90">
      <w:pPr>
        <w:pStyle w:val="TextoNormal"/>
      </w:pPr>
    </w:p>
    <w:p w14:paraId="6AD70C1E" w14:textId="77777777" w:rsidR="00576A90" w:rsidRDefault="00576A90" w:rsidP="00576A90">
      <w:pPr>
        <w:pStyle w:val="TextoNormal"/>
      </w:pPr>
      <w:r>
        <w:t>El art. 60.1 TRLGSS en su redacción vigente (resultante de las reformas introducidas por los citados decretos-leyes) establece el llamado “complemento de pensiones contributivas para la reducción de la brecha de género”, en los términos siguientes:</w:t>
      </w:r>
    </w:p>
    <w:p w14:paraId="1FEF74C0" w14:textId="77777777" w:rsidR="00576A90" w:rsidRDefault="00576A90" w:rsidP="00576A90">
      <w:pPr>
        <w:pStyle w:val="TextoNormal"/>
      </w:pPr>
    </w:p>
    <w:p w14:paraId="1BDF9917" w14:textId="77777777" w:rsidR="00576A90" w:rsidRDefault="00576A90" w:rsidP="00576A90">
      <w:pPr>
        <w:pStyle w:val="TextoNormal"/>
      </w:pPr>
      <w:r>
        <w:t>“1. Las mujeres que hayan tenido uno o más hijos o hijas y que sean beneficiarias de una pensión contributiva de jubilación, de incapacidad permanente o de viudedad, tendrán derecho a un complemento por cada hijo o hija, debido a la incidencia que, con carácter general, tiene la brecha de género en el importe de las pensiones contributivas de la Seguridad Social de las mujeres. El derecho al complemento por cada hijo o hija se reconocerá o mantendrá a la mujer siempre que no medie solicitud y reconocimiento del complemento en favor del otro progenitor y si este otro es también mujer, se reconocerá a aquella que sea titular de pensiones públicas cuya suma sea de menor cuantía.</w:t>
      </w:r>
    </w:p>
    <w:p w14:paraId="73E1057A" w14:textId="77777777" w:rsidR="00576A90" w:rsidRDefault="00576A90" w:rsidP="00576A90">
      <w:pPr>
        <w:pStyle w:val="TextoNormal"/>
      </w:pPr>
    </w:p>
    <w:p w14:paraId="71C578D6" w14:textId="77777777" w:rsidR="00576A90" w:rsidRDefault="00576A90" w:rsidP="00576A90">
      <w:pPr>
        <w:pStyle w:val="TextoNormal"/>
      </w:pPr>
      <w:r>
        <w:t>Para que los hombres puedan tener derecho al reconocimiento del complemento deberá concurrir alguno de los siguientes requisitos:</w:t>
      </w:r>
    </w:p>
    <w:p w14:paraId="50D91950" w14:textId="77777777" w:rsidR="00576A90" w:rsidRDefault="00576A90" w:rsidP="00576A90">
      <w:pPr>
        <w:pStyle w:val="TextoNormal"/>
      </w:pPr>
    </w:p>
    <w:p w14:paraId="110A4CBC" w14:textId="77777777" w:rsidR="00576A90" w:rsidRDefault="00576A90" w:rsidP="00576A90">
      <w:pPr>
        <w:pStyle w:val="TextoNormal"/>
      </w:pPr>
      <w:r>
        <w:t>a) Tener reconocida una pensión de viudedad por el fallecimiento del otro progenitor de los hijos o hijas en común, siempre que alguno de ellos tenga derecho a percibir una pensión de orfandad.</w:t>
      </w:r>
    </w:p>
    <w:p w14:paraId="3C740864" w14:textId="77777777" w:rsidR="00576A90" w:rsidRDefault="00576A90" w:rsidP="00576A90">
      <w:pPr>
        <w:pStyle w:val="TextoNormal"/>
      </w:pPr>
    </w:p>
    <w:p w14:paraId="68BF94AA" w14:textId="77777777" w:rsidR="00576A90" w:rsidRDefault="00576A90" w:rsidP="00576A90">
      <w:pPr>
        <w:pStyle w:val="TextoNormal"/>
      </w:pPr>
      <w:r>
        <w:t>b) Causar una pensión contributiva de jubilación o incapacidad permanente y haber interrumpido o haber visto afectada su carrera profesional con ocasión del nacimiento o adopción, con arreglo a las siguientes condiciones:</w:t>
      </w:r>
    </w:p>
    <w:p w14:paraId="447E29D4" w14:textId="77777777" w:rsidR="00576A90" w:rsidRDefault="00576A90" w:rsidP="00576A90">
      <w:pPr>
        <w:pStyle w:val="TextoNormal"/>
      </w:pPr>
    </w:p>
    <w:p w14:paraId="01EA5AC5" w14:textId="77777777" w:rsidR="00576A90" w:rsidRDefault="00576A90" w:rsidP="00576A90">
      <w:pPr>
        <w:pStyle w:val="TextoNormal"/>
      </w:pPr>
      <w:r>
        <w:t>1. En el supuesto de hijos o hijas nacidos o adoptados hasta el 31 de diciembre de 1994, tener más de ciento veinte días sin cotización entre los nueve meses anteriores al nacimiento y los tres años posteriores a dicha fecha o, en caso de adopción, entre la fecha de la resolución judicial por la que se constituya y los tres años siguientes, siempre que la suma de las cuantías de las pensiones reconocidas sea inferior a la suma de las pensiones que le corresponda a la mujer.</w:t>
      </w:r>
    </w:p>
    <w:p w14:paraId="6B841D31" w14:textId="77777777" w:rsidR="00576A90" w:rsidRDefault="00576A90" w:rsidP="00576A90">
      <w:pPr>
        <w:pStyle w:val="TextoNormal"/>
      </w:pPr>
    </w:p>
    <w:p w14:paraId="0A4FB6E7" w14:textId="77777777" w:rsidR="00576A90" w:rsidRDefault="00576A90" w:rsidP="00576A90">
      <w:pPr>
        <w:pStyle w:val="TextoNormal"/>
      </w:pPr>
      <w:r>
        <w:t>2. En el supuesto de hijos o hijas nacidos o adoptados desde el 1 de enero de 1995, que la suma de las bases de cotización de los veinticuatro meses siguientes al del nacimiento o al de la resolución judicial por la que se constituya la adopción sea inferior, en más de un 15 por 100, a la de los veinticuatro meses inmediatamente anteriores, siempre que la cuantía de las sumas de las pensiones reconocidas sea inferior a la suma de las pensiones que le corresponda a la mujer.</w:t>
      </w:r>
    </w:p>
    <w:p w14:paraId="3B26FFCE" w14:textId="77777777" w:rsidR="00576A90" w:rsidRDefault="00576A90" w:rsidP="00576A90">
      <w:pPr>
        <w:pStyle w:val="TextoNormal"/>
      </w:pPr>
    </w:p>
    <w:p w14:paraId="75E61A3F" w14:textId="77777777" w:rsidR="00576A90" w:rsidRDefault="00576A90" w:rsidP="00576A90">
      <w:pPr>
        <w:pStyle w:val="TextoNormal"/>
      </w:pPr>
      <w:r>
        <w:t>3. En cualquiera de los supuestos a que se refieren las condiciones 1 y 2 para el cálculo de períodos cotizados y de bases de cotización no se tendrán en cuenta los beneficios en la cotización establecidos en el artículo 237.</w:t>
      </w:r>
    </w:p>
    <w:p w14:paraId="1FBFDC58" w14:textId="77777777" w:rsidR="00576A90" w:rsidRDefault="00576A90" w:rsidP="00576A90">
      <w:pPr>
        <w:pStyle w:val="TextoNormal"/>
      </w:pPr>
    </w:p>
    <w:p w14:paraId="33960390" w14:textId="77777777" w:rsidR="00576A90" w:rsidRDefault="00576A90" w:rsidP="00576A90">
      <w:pPr>
        <w:pStyle w:val="TextoNormal"/>
      </w:pPr>
      <w:r>
        <w:t>4. Si los dos progenitores son hombres y se dan las condiciones anteriores en ambos, se reconocerá a aquel que sea titular de pensiones públicas cuya suma sea de menor cuantía.</w:t>
      </w:r>
    </w:p>
    <w:p w14:paraId="0CD1A9EB" w14:textId="77777777" w:rsidR="00576A90" w:rsidRDefault="00576A90" w:rsidP="00576A90">
      <w:pPr>
        <w:pStyle w:val="TextoNormal"/>
      </w:pPr>
    </w:p>
    <w:p w14:paraId="18C73718" w14:textId="0A38438F" w:rsidR="00576A90" w:rsidRDefault="00576A90" w:rsidP="00576A90">
      <w:pPr>
        <w:pStyle w:val="TextoNormal"/>
      </w:pPr>
      <w:r>
        <w:t>5. El requisito, para causar derecho al complemento, de que la suma de las pensiones reconocidas sea inferior a la suma de las pensiones que le corresponda al otro progenitor se exigirá en el momento en que ambos progenitores causen derecho a una prestación contributiva en los términos previstos en la norma”.</w:t>
      </w:r>
    </w:p>
    <w:p w14:paraId="1451BC2B" w14:textId="77777777" w:rsidR="00576A90" w:rsidRDefault="00576A90" w:rsidP="00576A90">
      <w:pPr>
        <w:pStyle w:val="TextoNormal"/>
      </w:pPr>
    </w:p>
    <w:p w14:paraId="401BC3AB" w14:textId="77777777" w:rsidR="00576A90" w:rsidRDefault="00576A90" w:rsidP="00576A90">
      <w:pPr>
        <w:pStyle w:val="TextoNormal"/>
      </w:pPr>
      <w:r w:rsidRPr="00576A90">
        <w:rPr>
          <w:rStyle w:val="NumeroAFNegritaCaracter"/>
        </w:rPr>
        <w:t>2</w:t>
      </w:r>
      <w:r>
        <w:t>. Los antecedentes de hecho de la cuestión son, sucintamente expuestos, los siguientes:</w:t>
      </w:r>
    </w:p>
    <w:p w14:paraId="01EFE781" w14:textId="77777777" w:rsidR="00576A90" w:rsidRDefault="00576A90" w:rsidP="00576A90">
      <w:pPr>
        <w:pStyle w:val="TextoNormal"/>
      </w:pPr>
    </w:p>
    <w:p w14:paraId="32AE2A0B" w14:textId="77777777" w:rsidR="00576A90" w:rsidRDefault="00576A90" w:rsidP="00576A90">
      <w:pPr>
        <w:pStyle w:val="TextoNormal"/>
      </w:pPr>
      <w:r>
        <w:t>a) Ante el Juzgado de lo Social núm. 1 de Tortosa se sigue el procedimiento en materia de Seguridad Social núm. 122-2023, en virtud de demanda formulada por don D.P.R., pensionista por invalidez en grado de incapacidad permanente total, y padre de dos hijos nacidos después del 1 de enero de 1995, contra la resolución del Instituto Nacional de la Seguridad Social (INSS) de 17 de noviembre de 2022, confirmada por resolución de 10 de febrero de 2023 (desestimatoria de la reclamación previa presentada por don D.P.R.), que denegó su solicitud de que se le reconociera el derecho a percibir el complemento de pensión previsto en el art. 60.1 TRLGSS, por no cumplir el solicitante el requisito de que la suma de las bases de cotización de los veinticuatro meses siguientes al nacimiento (o al de la resolución judicial por la que se constituya la adopción) sea inferior en más de un 15 por 100 a la de los veinticuatro meses anteriores.</w:t>
      </w:r>
    </w:p>
    <w:p w14:paraId="4B318A3E" w14:textId="77777777" w:rsidR="00576A90" w:rsidRDefault="00576A90" w:rsidP="00576A90">
      <w:pPr>
        <w:pStyle w:val="TextoNormal"/>
      </w:pPr>
    </w:p>
    <w:p w14:paraId="675FCA67" w14:textId="77777777" w:rsidR="00576A90" w:rsidRDefault="00576A90" w:rsidP="00576A90">
      <w:pPr>
        <w:pStyle w:val="TextoNormal"/>
      </w:pPr>
      <w:r>
        <w:t>b) Concluso el procedimiento y dentro del plazo para dictar sentencia, el juzgado dictó auto el 14 de septiembre de 2023 por el que, de conformidad con el art. 35 de la Ley Or</w:t>
      </w:r>
      <w:r>
        <w:lastRenderedPageBreak/>
        <w:t>gánica del Tribunal Constitucional (LOTC), acordó oír a las partes y al Ministerio Fiscal por plazo común de diez días, para que alegasen sobre la pertinencia de plantear cuestión de inconstitucionalidad respecto de los apartados antes señalados del art. 60.1 TRLGSS, según la redacción dada por el Real Decreto-ley 3/2021, de 2 de febrero, y por el Real Decreto-ley 2/2023, de 16 de marzo, por su posible contradicción con el art. 14 CE, que prohíbe la discriminación por razón de sexo. La duda de constitucionalidad estriba en que el referido precepto legal establece unos requisitos para acceder al complemento de pensiones contributivas para la reducción de la brecha de género “que son más gravosos cuando el beneficiario de la Seguridad Social es hombre respecto a cuando la persona solicitante es mujer”.</w:t>
      </w:r>
    </w:p>
    <w:p w14:paraId="43D20360" w14:textId="77777777" w:rsidR="00576A90" w:rsidRDefault="00576A90" w:rsidP="00576A90">
      <w:pPr>
        <w:pStyle w:val="TextoNormal"/>
      </w:pPr>
    </w:p>
    <w:p w14:paraId="528C353E" w14:textId="77777777" w:rsidR="00576A90" w:rsidRDefault="00576A90" w:rsidP="00576A90">
      <w:pPr>
        <w:pStyle w:val="TextoNormal"/>
      </w:pPr>
      <w:r>
        <w:t>c) El Ministerio Fiscal manifestó no oponerse al planteamiento de la cuestión de inconstitucionalidad, en los términos indicados en su escrito de alegaciones.</w:t>
      </w:r>
    </w:p>
    <w:p w14:paraId="1ABFC66F" w14:textId="77777777" w:rsidR="00576A90" w:rsidRDefault="00576A90" w:rsidP="00576A90">
      <w:pPr>
        <w:pStyle w:val="TextoNormal"/>
      </w:pPr>
    </w:p>
    <w:p w14:paraId="1F2F0147" w14:textId="77777777" w:rsidR="00576A90" w:rsidRDefault="00576A90" w:rsidP="00576A90">
      <w:pPr>
        <w:pStyle w:val="TextoNormal"/>
      </w:pPr>
      <w:r>
        <w:t>La representación procesal de don D.P.R. interesó que se plantease la cuestión.</w:t>
      </w:r>
    </w:p>
    <w:p w14:paraId="58AD6666" w14:textId="77777777" w:rsidR="00576A90" w:rsidRDefault="00576A90" w:rsidP="00576A90">
      <w:pPr>
        <w:pStyle w:val="TextoNormal"/>
      </w:pPr>
    </w:p>
    <w:p w14:paraId="35A4C5F1" w14:textId="77777777" w:rsidR="00576A90" w:rsidRDefault="00576A90" w:rsidP="00576A90">
      <w:pPr>
        <w:pStyle w:val="TextoNormal"/>
      </w:pPr>
      <w:r>
        <w:t>La letrada de la administración de la Seguridad Social manifestó su parecer contrario al planteamiento de la cuestión de inconstitucionalidad, razonando que el vigente art. 60.1 TRLGSS, que establece el complemento de pensiones contributivas para la reducción de la brecha de género, en sustitución del precedente complemento de maternidad por aportación demográfica que fue considerado por el Tribunal de Justicia de la Unión Europea como medida discriminatoria por razón de sexo contraria a la Directiva 79/7/CEE del Consejo, de 19 de diciembre de 1978, relativa a la aplicación progresiva del principio de igualdad de trato entre hombres y mujeres en materia de Seguridad Social (sentencia de 12 de diciembre de 2019, asunto C-450/18) se acomoda plenamente a la Constitución, así como al Derecho de la Unión Europea; la nueva regulación del complemento no vulnera el principio de igualdad ni implica un trato discriminatorio por razón de sexo lesivo del art. 14 CE, pues responde a una justificación objetiva y razonable desde el punto de vista constitucional, como es reducir la brecha de género en la cuantía de las pensiones de Seguridad Social que perciben las mujeres trabajadoras, para corregir la desventaja tradicional que sufren en sus pensiones por haber interrumpido su actividad laboral por el cuidado de los hijos, pero dejando la puerta abierta a que aquellos hombres que acrediten un perjuicio en su carrera de cotización por ese motivo puedan también tener acceso al complemento.</w:t>
      </w:r>
    </w:p>
    <w:p w14:paraId="7D512DAA" w14:textId="77777777" w:rsidR="00576A90" w:rsidRDefault="00576A90" w:rsidP="00576A90">
      <w:pPr>
        <w:pStyle w:val="TextoNormal"/>
      </w:pPr>
    </w:p>
    <w:p w14:paraId="5AD74298" w14:textId="5899AF8D" w:rsidR="00576A90" w:rsidRDefault="00576A90" w:rsidP="00576A90">
      <w:pPr>
        <w:pStyle w:val="TextoNormal"/>
      </w:pPr>
      <w:r>
        <w:t>d) El juzgado dictó el auto de 14 de noviembre de 2023 planteando la cuestión de inconstitucionalidad respecto de las indicadas prescripciones del art. 60.1 TRLGSS, en la redacción dada por el Real Decreto-ley 3/2021, de 2 de febrero, y por el Real Decreto-ley 2/2023, de 16 de marzo, por su posible contradicción con el art. 14 CE, en cuanto el complemento de pensiones contributivas para la reducción de la brecha de género que ese precepto regula incurriría en discriminación por razón de sexo de los varones pensionistas con hijos.</w:t>
      </w:r>
    </w:p>
    <w:p w14:paraId="1DA2DE27" w14:textId="77777777" w:rsidR="00576A90" w:rsidRDefault="00576A90" w:rsidP="00576A90">
      <w:pPr>
        <w:pStyle w:val="TextoNormal"/>
      </w:pPr>
    </w:p>
    <w:p w14:paraId="7F92267D" w14:textId="77777777" w:rsidR="00576A90" w:rsidRDefault="00576A90" w:rsidP="00576A90">
      <w:pPr>
        <w:pStyle w:val="TextoNormal"/>
      </w:pPr>
      <w:r w:rsidRPr="00576A90">
        <w:rPr>
          <w:rStyle w:val="NumeroAFNegritaCaracter"/>
        </w:rPr>
        <w:t>3</w:t>
      </w:r>
      <w:r>
        <w:t xml:space="preserve">. En el auto de planteamiento de la cuestión, tras referirse a los antecedentes de hecho del asunto y al cumplimiento del trámite de audiencia del art. 35.2 LOTC, el juzgado precisa que la duda de constitucionalidad se ciñe a los apartados del vigente art. 60.1 TRLGSS que transcribe, referidos a los requisitos para que los hombres puedan tener derecho al reconocimiento del complemento de pensiones contributivas para la reducción de la brecha de género. El juzgado entiende que esta regulación es contraria al derecho a la </w:t>
      </w:r>
      <w:r>
        <w:lastRenderedPageBreak/>
        <w:t>igualdad y a no sufrir discriminación por razón de sexo, garantizado por el art. 14 CE, por cuanto establece unos requisitos para acceder a ese complemento de pensiones “que son más gravosos cuando el beneficiario de la Seguridad Social es hombre respecto a cuando la persona solicitante es mujer”.</w:t>
      </w:r>
    </w:p>
    <w:p w14:paraId="150FFFA6" w14:textId="77777777" w:rsidR="00576A90" w:rsidRDefault="00576A90" w:rsidP="00576A90">
      <w:pPr>
        <w:pStyle w:val="TextoNormal"/>
      </w:pPr>
    </w:p>
    <w:p w14:paraId="096CC644" w14:textId="77777777" w:rsidR="00576A90" w:rsidRDefault="00576A90" w:rsidP="00576A90">
      <w:pPr>
        <w:pStyle w:val="TextoNormal"/>
      </w:pPr>
      <w:r>
        <w:t>La duda de constitucionalidad que formula el órgano judicial se articula a partir de los pronunciamientos contenidos en la sentencia del Tribunal de Justicia de la Unión Europea de 12 de diciembre de 2019, asunto C-450/18, que declaró que la anterior regulación del art. 60 TRLGSS, que reconocía a las mujeres que hubieran tenido dos o más hijos un complemento por maternidad en las pensiones contributivas del sistema de la Seguridad Social, por su aportación demográfica, constituía una discriminación por razón de sexo (de los trabajadores varones) contraria a la Directiva 79/7/CEE. El juzgado proponente de la presente cuestión considera que “las mismas circunstancias que constata la sentencia del Tribunal de Justicia de la Unión Europea de fecha 12 de diciembre de 2019 (caso C-450/18), concurren en la regulación del actual artículo 60.1 TRLGSS”.</w:t>
      </w:r>
    </w:p>
    <w:p w14:paraId="455C5132" w14:textId="77777777" w:rsidR="00576A90" w:rsidRDefault="00576A90" w:rsidP="00576A90">
      <w:pPr>
        <w:pStyle w:val="TextoNormal"/>
      </w:pPr>
    </w:p>
    <w:p w14:paraId="1E4160C2" w14:textId="77777777" w:rsidR="00576A90" w:rsidRDefault="00576A90" w:rsidP="00576A90">
      <w:pPr>
        <w:pStyle w:val="TextoNormal"/>
      </w:pPr>
      <w:r>
        <w:t xml:space="preserve">Razona el juzgado que, en el caso de que el solicitante sea un varón, el reconocimiento del complemento de brecha de género requiere la acreditación de determinadas desventajas en su carrera de seguro vinculadas al nacimiento del hijo, mientras que si se trata de una mujer no existe vinculación alguna a la desventaja sufrida en su carrera de seguro por el referido nacimiento, estableciéndose una presunción </w:t>
      </w:r>
      <w:r w:rsidRPr="00576A90">
        <w:rPr>
          <w:i/>
        </w:rPr>
        <w:t>iuris et de iure</w:t>
      </w:r>
      <w:r>
        <w:t xml:space="preserve"> de que existe tal perjuicio. Por ello el vigente art. 60.1 TRLGSS, al establecer un trato diferente en función del sexo constituye una norma discriminatoria, que “es contraria a la Directiva 79/7 en los términos que indica la sentencia del Tribunal de Justicia de la Unión Europea de fecha 12 de diciembre de 2019 (caso C-450/18)”. Pues, “tal y como señala el Tribunal de Justicia de la Unión Europea, la circunstancia de que las mujeres estén más afectadas por las desventajas profesionales derivadas del cuidado de los hijos/as porque, en general, asumen esta tarea, no puede excluir la posibilidad de comparación de su situación con la de un hombre que asuma tales cuidados. Tal y como aparece configurada la regulación del actual artículo 60.1 TRLGSS, no supera el filtro del análisis de una situación equivalente. A modo de ejemplo, un hombre que por la circunstancia de haberse dedicado al cuidado de hijos haya visto disminuidas sus bases de cotización en menos de un 15 por 100, no tendrá derecho al complemento, pero si esa misma circunstancia concurre en una mujer, sí tendrá derecho al referido complemento, al no vincularse el reconocimiento para las mujeres a que acrediten esa reducción del 15 por 100, o incluso la mujer tendrá derecho aun sin ver disminuidas sus bases de cotización con posterioridad al parto”.</w:t>
      </w:r>
    </w:p>
    <w:p w14:paraId="526E6C33" w14:textId="77777777" w:rsidR="00576A90" w:rsidRDefault="00576A90" w:rsidP="00576A90">
      <w:pPr>
        <w:pStyle w:val="TextoNormal"/>
      </w:pPr>
    </w:p>
    <w:p w14:paraId="673BD768" w14:textId="77777777" w:rsidR="00576A90" w:rsidRDefault="00576A90" w:rsidP="00576A90">
      <w:pPr>
        <w:pStyle w:val="TextoNormal"/>
      </w:pPr>
      <w:r>
        <w:t xml:space="preserve">El juzgado explicita en su auto de planteamiento de la cuestión los juicios de aplicabilidad y relevancia de la norma legal de cuya constitucionalidad duda en los términos siguientes. Señala que al demandante, pensionista por incapacidad permanente y padre de dos hijos nacidos con posterioridad a 1995 (en 2004 y 2007), le fue denegado por el INSS el complemento de pensión para la reducción de la brecha de género por no cumplir el requisito previsto en el art. 60.1 TRLGSS de que la suma de las bases de cotización de los veinticuatro meses siguientes al nacimiento o al de la resolución judicial por la que se constituya la adopción sea inferior en más de un 15 por 100 a la de los veinticuatro meses anteriores. En relación con el nacimiento del primer hijo, que tuvo lugar el 24 de febrero de 2004, la suma de las bases de cotización del periodo anterior (febrero de 2002 a enero de 2004) ascendió a 11 845 €, y la suma de las bases de cotización del periodo posterior </w:t>
      </w:r>
      <w:r>
        <w:lastRenderedPageBreak/>
        <w:t>(marzo de 2004 a febrero de 2006) ascendió 11 634 €, lo que supone que en el periodo posterior al nacimiento la suma de las bases de cotización del solicitante sufrió una disminución del 1,78 por 100 respecto del periodo anterior. En relación con el nacimiento del segundo hijo, que tuvo lugar el 10 de noviembre de 2007, la suma de las bases de cotización del periodo anterior (noviembre de 2005 a octubre de 2007) ascendió a 34 998,17 €, y la suma de las bases de cotización del periodo posterior (diciembre de 2007 a noviembre de 2009) ascendió 36 784,09 €, lo que supone que en el periodo posterior al nacimiento la suma de las bases de cotización del solicitante experimentó un aumento del 5,1 por 100 respecto del periodo anterior.</w:t>
      </w:r>
    </w:p>
    <w:p w14:paraId="52A0FC50" w14:textId="77777777" w:rsidR="00576A90" w:rsidRDefault="00576A90" w:rsidP="00576A90">
      <w:pPr>
        <w:pStyle w:val="TextoNormal"/>
      </w:pPr>
    </w:p>
    <w:p w14:paraId="5A272C20" w14:textId="0085B4D7" w:rsidR="00576A90" w:rsidRDefault="00576A90" w:rsidP="00576A90">
      <w:pPr>
        <w:pStyle w:val="TextoNormal"/>
      </w:pPr>
      <w:r>
        <w:t xml:space="preserve">En atención a lo expuesto, prosigue el juzgado, “resulta que en ninguno de los dos casos la suma de las bases de cotización del periodo posterior al nacimiento respecto de la suma de las bases de cotización del periodo anterior al nacimiento ha experimentado la reducción que exige el artículo 60 TRLGSS, por lo que aplicando la norma cuya constitucionalidad se cuestiona debería resolverse que D.P.R. no es tributario del complemento para la reducción de la brecha de género, lo que llevaría a la desestimación de la demanda”. Por el contrario, “si la norma cuestionada fuera nula por ser contraria al artículo 14 CE, se aplicaría la regla general prevista en el artículo 60.1 TRLGSS para las mujeres, que exige exclusivamente haber tenido uno o más hijos y ser beneficiaria de una pensión contributiva de incapacidad permanente, viudedad o jubilación”, y “estos requisitos sí se cumplen por parte del demandante D.P.R., pues es el progenitor de dos hijos tal y como se ha expuesto anteriormente y además es titular de una pensión contributiva de incapacidad permanente. […] En consecuencia, de declararse nula la norma cuya constitucionalidad se cuestiona, la solución a la presente </w:t>
      </w:r>
      <w:r w:rsidRPr="00576A90">
        <w:rPr>
          <w:i/>
        </w:rPr>
        <w:t>litis</w:t>
      </w:r>
      <w:r>
        <w:t xml:space="preserve"> sería la contraria, esto es, debería estimarse la pretensión de la parte actora, por lo que la decisión del presente proceso depende de la validez de la norma legal cuestionada”.</w:t>
      </w:r>
    </w:p>
    <w:p w14:paraId="0FD31D34" w14:textId="77777777" w:rsidR="00576A90" w:rsidRDefault="00576A90" w:rsidP="00576A90">
      <w:pPr>
        <w:pStyle w:val="TextoNormal"/>
      </w:pPr>
    </w:p>
    <w:p w14:paraId="6813C6C3" w14:textId="4735424A" w:rsidR="00576A90" w:rsidRDefault="00576A90" w:rsidP="00576A90">
      <w:pPr>
        <w:pStyle w:val="TextoNormal"/>
      </w:pPr>
      <w:r w:rsidRPr="00576A90">
        <w:rPr>
          <w:rStyle w:val="NumeroAFNegritaCaracter"/>
        </w:rPr>
        <w:t>4</w:t>
      </w:r>
      <w:r>
        <w:t>. Por providencia de 16 de enero de 2024, el Pleno del Tribunal Constitucional acordó, a los efectos que determina el art. 37.1 LOTC, oír al fiscal general del Estado para que, en plazo de diez días, alegare lo que considerase conveniente acerca de la admisibilidad de la presente cuestión de inconstitucionalidad, por falta de las condiciones procesales (juicio de aplicabilidad) y por si fuere notoriamente infundada.</w:t>
      </w:r>
    </w:p>
    <w:p w14:paraId="79280B53" w14:textId="77777777" w:rsidR="00576A90" w:rsidRDefault="00576A90" w:rsidP="00576A90">
      <w:pPr>
        <w:pStyle w:val="TextoNormal"/>
      </w:pPr>
    </w:p>
    <w:p w14:paraId="4FDE965E" w14:textId="77777777" w:rsidR="00576A90" w:rsidRDefault="00576A90" w:rsidP="00576A90">
      <w:pPr>
        <w:pStyle w:val="TextoNormal"/>
      </w:pPr>
      <w:r w:rsidRPr="00576A90">
        <w:rPr>
          <w:rStyle w:val="NumeroAFNegritaCaracter"/>
        </w:rPr>
        <w:t>5</w:t>
      </w:r>
      <w:r>
        <w:t>. Mediante escrito registrado en este tribunal el 8 de febrero de 2024, el fiscal general del Estado presentó sus alegaciones, en las que se pronuncia a favor de la inadmisión de la cuestión de inconstitucionalidad, por incorrecta formulación del juicio de aplicabilidad y por ser notoriamente infundada.</w:t>
      </w:r>
    </w:p>
    <w:p w14:paraId="697E42FE" w14:textId="77777777" w:rsidR="00576A90" w:rsidRDefault="00576A90" w:rsidP="00576A90">
      <w:pPr>
        <w:pStyle w:val="TextoNormal"/>
      </w:pPr>
    </w:p>
    <w:p w14:paraId="2BECB750" w14:textId="77777777" w:rsidR="00576A90" w:rsidRDefault="00576A90" w:rsidP="00576A90">
      <w:pPr>
        <w:pStyle w:val="TextoNormal"/>
      </w:pPr>
      <w:r>
        <w:t xml:space="preserve">En primer lugar, el fiscal general del Estado entiende que el juicio de aplicabilidad no puede entenderse correctamente formulado, porque la duda de inconstitucionalidad se proyecta sobre el art. 60.1 TRLGSS tanto en la redacción vigente en el momento el que se dictaron las resoluciones administrativas impugnadas en vía judicial (la dada por el Real Decreto-ley 3/2021 de 2 de febrero), como la vigente en la actualidad (dada por el Real Decreto-ley 2/2023 de 16 de marzo, que es la reproducida en el auto cuando concreta la parte del art. 60.1 TRLGSS que considera contraria al art. 14 CE), sin decir el juzgado promotor de la cuestión, de forma tajante, cuál de las dos versiones considera aplicable. Señala el fiscal que, si bien la diferencia entre una y otra versión, en la parte que se cuestiona, es mínima [la primera frase del requisito a) del art. 60.1 TRLGSS que dice en la </w:t>
      </w:r>
      <w:r>
        <w:lastRenderedPageBreak/>
        <w:t xml:space="preserve">versión de 2021: “[c]ausar una pensión de viudedad por fallecimiento del otro progenitor por los hijos o hijas en común”, se sustituye en la redacción de 2023 por: “[t]ener reconocida una pensión de viudedad por el fallecimiento del otro progenitor de los hijos o hijas en común”], esa diferencia no es jurídicamente irrelevante, pues no es lo mismo “causar”, que significa cumplir los requisitos que dan derecho a la pensión, que “tener reconocida una pensión”, esto es, tener ya reconocido el derecho a la pensión. Ello sin perjuicio de que el requisito a) no es aplicable al proceso </w:t>
      </w:r>
      <w:r w:rsidRPr="00576A90">
        <w:rPr>
          <w:i/>
        </w:rPr>
        <w:t>a quo</w:t>
      </w:r>
      <w:r>
        <w:t>, pues el demandante no pide el complemento por tener una pensión de viudedad, sino por ser pensionista por invalidez, lo que significa que no toda la parte del precepto que se menciona en el auto como contraria al art. 14 CE es aplicable en el proceso subyacente, pues al demandante se le ha denegado el complemento por aplicación de lo dispuesto en el requisito b), condición segunda, del art. 60.1 TRLGSS.</w:t>
      </w:r>
    </w:p>
    <w:p w14:paraId="6B32251F" w14:textId="77777777" w:rsidR="00576A90" w:rsidRDefault="00576A90" w:rsidP="00576A90">
      <w:pPr>
        <w:pStyle w:val="TextoNormal"/>
      </w:pPr>
    </w:p>
    <w:p w14:paraId="503BA241" w14:textId="77777777" w:rsidR="00576A90" w:rsidRDefault="00576A90" w:rsidP="00576A90">
      <w:pPr>
        <w:pStyle w:val="TextoNormal"/>
      </w:pPr>
      <w:r>
        <w:t>En cuanto al fondo del asunto, el fiscal entiende que la cuestión planteada resulta notoriamente infundada. En primer lugar, porque los argumentos del órgano judicial serían idóneos para plantear una cuestión prejudicial al Tribunal de Justicia de la Unión Europea, pero no para plantear una cuestión de inconstitucionalidad, pues la duda de constitucionalidad se centra en la sentencia de aquel tribunal de 12 de diciembre de 2019 (asunto C-450/18), que declaró contrario al Derecho de la Unión Europea, y en particular a lo dispuesto en la Directiva 79/7, el art. 60 TRLGSS en la redacción vigente en aquel momento, anterior a la del Real Decreto-ley 3/2021, de 2 de febrero. La existencia de una contradicción de una norma legal con la Directiva 79/7, si bien obliga a aplicar el derecho comunitario por su preferencia, no significa necesariamente que esa norma suponga una vulneración del derecho a la igualdad garantizado por el art. 14 CE y menos aún que suponga una discriminación por razón de sexo en perjuicio de los hombres. Por otra parte, a diferencia de lo que sucede en nuestra Constitución, que acoge en su art. 14 CE como contenidos diferenciados el derecho a la igualdad y las prohibiciones de discriminación, conforme tiene reiteradamente declarado la doctrina constitucional (por todas, STC 172/2021, de 7 de octubre, FFJJ 2 y 3), en la normativa comunitaria, y en concreto en la Directiva 79/7, así como en la referida sentencia del Tribunal de Justicia de la Unión Europea, se tratan como idénticos el principio de igualdad de trato entre hombres y mujeres y la prohibición de discriminación por razón de sexo. Si se modificó la redacción del art. 60.1 TRLGSS fue para adaptarla a la interpretación de la regulación de la normativa europea realizada por dicha sentencia, no porque el precepto fuese inconstitucional.</w:t>
      </w:r>
    </w:p>
    <w:p w14:paraId="3185112A" w14:textId="77777777" w:rsidR="00576A90" w:rsidRDefault="00576A90" w:rsidP="00576A90">
      <w:pPr>
        <w:pStyle w:val="TextoNormal"/>
      </w:pPr>
    </w:p>
    <w:p w14:paraId="65311FC9" w14:textId="77777777" w:rsidR="00576A90" w:rsidRDefault="00576A90" w:rsidP="00576A90">
      <w:pPr>
        <w:pStyle w:val="TextoNormal"/>
      </w:pPr>
      <w:r>
        <w:t xml:space="preserve">En todo caso, el fiscal entiende que, del mismo modo que la regulación del complemento de pensiones en la redacción del art. 60.1 TRLGSS anterior a la reforma introducida por el Real Decreto-ley 3/2021 no era contraria a lo dispuesto en el art. 14 CE, tampoco lo es la actual redacción de ese precepto legal. Ante todo, porque está plenamente justificada, conforme a la doctrina constitucional, la utilización de una medida de discriminación positiva (SSTC 109/1993 de 25 de marzo, FJ 5; 66/2014, de 5 de mayo, FJ 2, y 162/2016, de 3 de octubre, FJ 4, entre otras), como la establecida en el precepto cuestionado, con el fin de reparar los efectos de la brecha salarial entre hombres y mujeres, originada por el hecho contrastado de que la dedicación al cuidado de los hijos ha sido tradicionalmente mayor por parte de las mujeres, lo que se ha traducido en muchas ocasiones en la reducción de su actividad laboral e incluso en el abandono temporal o definitivo de esta, con la consiguiente incidencia negativa en las pensiones de las mujeres trabajadoras, dado el carácter contributivo de nuestro sistema de Seguridad Social. En la medida en que, tras la </w:t>
      </w:r>
      <w:r>
        <w:lastRenderedPageBreak/>
        <w:t>reforma operada por el Real Decreto-ley 3/2021, el art. 60.1 TRLGSS reconoce también a los varones el derecho a acceder al complemento de pensión, aunque deban reunir más requisitos que los exigidos a las mujeres, supone un refuerzo de los argumentos a favor de la constitucionalidad del precepto, dado que se cuestiona por el órgano judicial por “discriminar” a los hombres.</w:t>
      </w:r>
    </w:p>
    <w:p w14:paraId="354FFE9A" w14:textId="77777777" w:rsidR="00576A90" w:rsidRDefault="00576A90" w:rsidP="00576A90">
      <w:pPr>
        <w:pStyle w:val="TextoNormal"/>
      </w:pPr>
    </w:p>
    <w:p w14:paraId="1DCD1BB9" w14:textId="70677FC6" w:rsidR="00576A90" w:rsidRDefault="00576A90" w:rsidP="00576A90">
      <w:pPr>
        <w:pStyle w:val="TextoNormal"/>
      </w:pPr>
      <w:r>
        <w:t>En suma, el complemento cuestionado, en su regulación vigente, obedece a la finalidad constitucionalmente legítima de minorar la brecha de género en las pensiones (frente a lo que sucedía en la regulación precedente, en la que el objetivo perseguido por el complemento era recompensar la aportación demográfica de las mujeres a la Seguridad Social, lo que fue censurado por la referida sentencia del Tribunal de Justicia de la Unión Europea). Además, se articula como una medida temporal, pues el complemento, según establece la disposición adicional trigésima séptima TRLGSS, solo se mantendrá mientras la brecha de género de las pensiones de jubilación, causadas en el año anterior, sea superior al 5 por 100. Y, en fin, no se excluye a los varones del acceso al complemento, pues pueden tener derecho a este los pensionistas que demuestren haber sufrido perjuicios en su carrera profesional, por haber estado en una situación comparable a la de las mujeres trabajadoras. En consecuencia, el precepto cuestionado no vulnera el art. 14 CE.</w:t>
      </w:r>
    </w:p>
    <w:p w14:paraId="37DB7739" w14:textId="77777777" w:rsidR="00576A90" w:rsidRDefault="00576A90" w:rsidP="00576A90">
      <w:pPr>
        <w:pStyle w:val="TextoNormal"/>
      </w:pPr>
    </w:p>
    <w:p w14:paraId="6DA09B9E" w14:textId="77777777" w:rsidR="00576A90" w:rsidRDefault="00576A90" w:rsidP="00576A90">
      <w:pPr>
        <w:pStyle w:val="TextoNormalNegritaCentrado"/>
        <w:keepNext/>
      </w:pPr>
      <w:r>
        <w:t>II. Fundamentos jurídicos</w:t>
      </w:r>
    </w:p>
    <w:p w14:paraId="4929F832" w14:textId="6A237732" w:rsidR="00576A90" w:rsidRDefault="00576A90" w:rsidP="00576A90">
      <w:pPr>
        <w:pStyle w:val="TextoNormalNegritaCentrado"/>
        <w:keepNext/>
      </w:pPr>
    </w:p>
    <w:p w14:paraId="2CACA5A7" w14:textId="77777777" w:rsidR="00576A90" w:rsidRDefault="00576A90" w:rsidP="00576A90">
      <w:pPr>
        <w:pStyle w:val="TextoNormal"/>
      </w:pPr>
      <w:r w:rsidRPr="00576A90">
        <w:rPr>
          <w:rStyle w:val="NumeroAFNegritaCaracter"/>
        </w:rPr>
        <w:t>1</w:t>
      </w:r>
      <w:r>
        <w:t>. El Juzgado de lo Social núm. 1 de Tortosa plantea cuestión de inconstitucionalidad respecto del art. 60.1 del texto refundido de la Ley general de la Seguridad Social (TRLGSS, en adelante), en la redacción dada por el Real Decreto-ley 3/2021, de 2 de febrero, y por el Real Decreto-ley 2/2023, de 16 de marzo. Como ha quedado relatado en los antecedentes, el órgano judicial, a partir de los pronunciamientos contenidos en la sentencia del Tribunal de Justicia de la Unión Europea de 12 de diciembre de 2019, asunto C-450/18, estima que el precepto cuestionado vulnera el derecho a la igualdad y a no sufrir discriminación por razón de sexo, garantizado por el art. 14 CE, dado que establece unos requisitos para acceder al complemento de pensiones contributivas para la reducción de la brecha de género que son más gravosos cuando el solicitante es hombre respecto a cuando lo es una mujer.</w:t>
      </w:r>
    </w:p>
    <w:p w14:paraId="382017D4" w14:textId="77777777" w:rsidR="00576A90" w:rsidRDefault="00576A90" w:rsidP="00576A90">
      <w:pPr>
        <w:pStyle w:val="TextoNormal"/>
      </w:pPr>
    </w:p>
    <w:p w14:paraId="1CB8E2D8" w14:textId="0582928B" w:rsidR="00576A90" w:rsidRDefault="00576A90" w:rsidP="00576A90">
      <w:pPr>
        <w:pStyle w:val="TextoNormal"/>
      </w:pPr>
      <w:r>
        <w:t>El fiscal general del Estado, en el trámite previsto en el art. 37.1 LOTC, se ha opuesto a la admisión de la presente cuestión de inconstitucionalidad, por entender que no se cumplen los requisitos procesales exigidos por el art. 35 LOTC en cuanto a la adecuada formulación del juicio de aplicabilidad, y asimismo que la cuestión es notoriamente infundada.</w:t>
      </w:r>
    </w:p>
    <w:p w14:paraId="1939FDCD" w14:textId="77777777" w:rsidR="00576A90" w:rsidRDefault="00576A90" w:rsidP="00576A90">
      <w:pPr>
        <w:pStyle w:val="TextoNormal"/>
      </w:pPr>
    </w:p>
    <w:p w14:paraId="4C912E42" w14:textId="77777777" w:rsidR="00576A90" w:rsidRDefault="00576A90" w:rsidP="00576A90">
      <w:pPr>
        <w:pStyle w:val="TextoNormal"/>
      </w:pPr>
      <w:r w:rsidRPr="00576A90">
        <w:rPr>
          <w:rStyle w:val="NumeroAFNegritaCaracter"/>
        </w:rPr>
        <w:t>2</w:t>
      </w:r>
      <w:r>
        <w:t xml:space="preserve">. El art. 37.1 LOTC permite a este tribunal rechazar </w:t>
      </w:r>
      <w:r w:rsidRPr="00576A90">
        <w:rPr>
          <w:i/>
        </w:rPr>
        <w:t>a limine</w:t>
      </w:r>
      <w:r>
        <w:t xml:space="preserve"> las cuestiones de inconstitucionalidad, mediante auto y sin otra audiencia que la del fiscal general del Estado, cuando faltaren las condiciones procesales o fuere notoriamente infundada la cuestión suscitada.</w:t>
      </w:r>
    </w:p>
    <w:p w14:paraId="737DF2EE" w14:textId="77777777" w:rsidR="00576A90" w:rsidRDefault="00576A90" w:rsidP="00576A90">
      <w:pPr>
        <w:pStyle w:val="TextoNormal"/>
      </w:pPr>
    </w:p>
    <w:p w14:paraId="42173777" w14:textId="77777777" w:rsidR="00576A90" w:rsidRDefault="00576A90" w:rsidP="00576A90">
      <w:pPr>
        <w:pStyle w:val="TextoNormal"/>
      </w:pPr>
      <w:r>
        <w:t>Son condiciones procesales de la cuestión de inconstitucionalidad que los preceptos cuestionados resulten “aplicables al caso” (juicio de aplicabilidad) y que de su “validez dependa el fallo” (juicio de relevancia), tal como exigen los arts. 163 CE y 35 LOTC. Es esta una doble condición necesaria y sucesiva para que este proceso mantenga su naturale</w:t>
      </w:r>
      <w:r>
        <w:lastRenderedPageBreak/>
        <w:t>za incidental y no se convierta en un juicio abstracto de constitucionalidad desligado de las circunstancias del caso concreto, lo que daría lugar a una ampliación de la legitimación para interponer el recurso abstracto o directo de inconstitucionalidad establecida en el art. 162.1 a) CE y el art. 32.1 LOTC (por todas, STC 126/2022, de 11 de octubre, FJ 2).</w:t>
      </w:r>
    </w:p>
    <w:p w14:paraId="143AE3C2" w14:textId="77777777" w:rsidR="00576A90" w:rsidRDefault="00576A90" w:rsidP="00576A90">
      <w:pPr>
        <w:pStyle w:val="TextoNormal"/>
      </w:pPr>
    </w:p>
    <w:p w14:paraId="6532F7E7" w14:textId="77777777" w:rsidR="00576A90" w:rsidRDefault="00576A90" w:rsidP="00576A90">
      <w:pPr>
        <w:pStyle w:val="TextoNormal"/>
      </w:pPr>
      <w:r>
        <w:t>Conforme a reiterada doctrina constitucional, recogida, entre otras resoluciones, en el ATC 154/2022, de 16 de noviembre, FJ 3, es competencia del órgano judicial promotor de la cuestión tanto “‘determinar cuáles son efectivamente las normas aplicables al caso que ha de decidir’ (STC 17/1981, de 1 de junio, FJ 1), como exteriorizar el juicio de relevancia, esto es, ‘el esquema argumental dirigido a probar que el fallo del proceso judicial depende de la validez de la norma cuestionada’ (por todos, ATC 21/2001, de 30 de enero, FJ 1), pues ‘si bien la aplicabilidad de la norma es condición necesaria para que el fallo dependa de su validez, no es, en modo alguno, condición suficiente’ (ATC 111/2018, de 16 de octubre, FJ 2). Este juicio de relevancia ‘constituye una de las más esenciales condiciones procesales de las cuestiones de inconstitucionalidad en garantía de que su planteamiento no desborde la función de control concreto o incidental de la constitucionalidad de las leyes, por no versar sobre la norma de cuya validez depende el fallo, único objeto posible de este tipo de procedimientos’ [STC 150/2020, de 22 de octubre, FJ 2 b), citando la STC 104/2018, de 4 de octubre, FJ 2]”.</w:t>
      </w:r>
    </w:p>
    <w:p w14:paraId="66E6BD56" w14:textId="77777777" w:rsidR="00576A90" w:rsidRDefault="00576A90" w:rsidP="00576A90">
      <w:pPr>
        <w:pStyle w:val="TextoNormal"/>
      </w:pPr>
    </w:p>
    <w:p w14:paraId="6DB46484" w14:textId="77777777" w:rsidR="00576A90" w:rsidRDefault="00576A90" w:rsidP="00576A90">
      <w:pPr>
        <w:pStyle w:val="TextoNormal"/>
      </w:pPr>
      <w:r>
        <w:t>Sobre ambos juicios, de aplicabilidad y relevancia, este tribunal ejerce un control “meramente externo” (ATC 159/2016, de 20 de septiembre, FJ 2), lo que significa que debe verificar su concurrencia a fin de que no se haga un uso de la cuestión de inconstitucionalidad “no acomodado a su naturaleza y finalidad propias” (ATC 9/2019, de 12 de febrero, FJ 2, con cita de otros), pero no sustituir al órgano judicial en la determinación de ese nexo causal (STC 41/1990, de 15 de marzo, FJ 2), que es una tarea propiamente jurisdiccional y por tanto reservada a aquel (art. 117.3 CE).</w:t>
      </w:r>
    </w:p>
    <w:p w14:paraId="3E7B6F37" w14:textId="77777777" w:rsidR="00576A90" w:rsidRDefault="00576A90" w:rsidP="00576A90">
      <w:pPr>
        <w:pStyle w:val="TextoNormal"/>
      </w:pPr>
    </w:p>
    <w:p w14:paraId="509398A2" w14:textId="0A379FFF" w:rsidR="00576A90" w:rsidRDefault="00576A90" w:rsidP="00576A90">
      <w:pPr>
        <w:pStyle w:val="TextoNormal"/>
      </w:pPr>
      <w:r>
        <w:t xml:space="preserve">No es, en principio, como también se recordó en el citado ATC 154/2022, FJ 3, el Tribunal Constitucional el que ha de decidir las cuestiones de hecho o de legalidad ordinaria que se susciten en el proceso </w:t>
      </w:r>
      <w:r w:rsidRPr="00576A90">
        <w:rPr>
          <w:i/>
        </w:rPr>
        <w:t>a quo</w:t>
      </w:r>
      <w:r>
        <w:t xml:space="preserve"> y que puedan tener repercusión con la relevancia de la duda de constitucionalidad que eleva el juez promotor. Estas apreciaciones competen inicialmente al órgano judicial en el ejercicio de la función que constitucionalmente le corresponde. Pero corresponde a este tribunal verificar que el órgano judicial ha argumentado suficientemente la relación entre su duda de constitucionalidad y el proceso que está pendiente ante él, pues de lo contrario la cuestión de inconstitucionalidad puede perder el carácter concreto que la caracteriza (ATC 20/2022, de 26 de enero, FJ 4). Y, consecuentemente, el Tribunal Constitucional, en el ejercicio de sus facultades de control externo del juicio formulado por los órganos judiciales al plantear la cuestión de inconstitucionalidad, puede declarar su inadmisibilidad por resultar inconsistente o errada la argumentación judicial sobre la aplicabilidad y relevancia de la norma cuestionada (ATC 173/2020, de 15 de diciembre, FJ 2).</w:t>
      </w:r>
    </w:p>
    <w:p w14:paraId="44D366C1" w14:textId="77777777" w:rsidR="00576A90" w:rsidRDefault="00576A90" w:rsidP="00576A90">
      <w:pPr>
        <w:pStyle w:val="TextoNormal"/>
      </w:pPr>
    </w:p>
    <w:p w14:paraId="358AA235" w14:textId="77777777" w:rsidR="00576A90" w:rsidRDefault="00576A90" w:rsidP="00576A90">
      <w:pPr>
        <w:pStyle w:val="TextoNormal"/>
      </w:pPr>
      <w:r w:rsidRPr="00576A90">
        <w:rPr>
          <w:rStyle w:val="NumeroAFNegritaCaracter"/>
        </w:rPr>
        <w:t>3</w:t>
      </w:r>
      <w:r>
        <w:t>. En el presente caso, por las razones que se exponen a continuación, se aprecia que el auto de planteamiento no cumple el requisito, exigido por los arts. 163 CE y 35.1 LOTC, de justificar que el precepto legal cuestionado resulte “aplicable al caso” (juicio de aplicabilidad).</w:t>
      </w:r>
    </w:p>
    <w:p w14:paraId="4AA34AD6" w14:textId="77777777" w:rsidR="00576A90" w:rsidRDefault="00576A90" w:rsidP="00576A90">
      <w:pPr>
        <w:pStyle w:val="TextoNormal"/>
      </w:pPr>
    </w:p>
    <w:p w14:paraId="60079688" w14:textId="77777777" w:rsidR="00576A90" w:rsidRDefault="00576A90" w:rsidP="00576A90">
      <w:pPr>
        <w:pStyle w:val="TextoNormal"/>
      </w:pPr>
      <w:r>
        <w:lastRenderedPageBreak/>
        <w:t xml:space="preserve">En primer término, es obligado precisar que, aunque el auto de planteamiento cuestiona el art. 60.1 TRLGSS (transcrito en el primer antecedente de la presente resolución), de la fundamentación jurídica se desprende que el órgano judicial que promueve la cuestión ciñe su duda de constitucionalidad al párrafo segundo, letras a) y b) en sus condiciones primera y segunda, de dicho precepto. Por otra parte, como señala el fiscal general del Estado, el requisito al que se refiere la letra a) del párrafo segundo del art. 60.1 TRLGSS (cuya redacción fue modificada por el Real Decreto-ley 2/2023, de 16 de marzo, y referida a los varones perceptores de una pensión de viudedad) no es aplicable al proceso </w:t>
      </w:r>
      <w:r w:rsidRPr="00576A90">
        <w:rPr>
          <w:i/>
        </w:rPr>
        <w:t>a quo</w:t>
      </w:r>
      <w:r>
        <w:t>, pues al demandante, pensionista por invalidez, le ha sido denegado por el INSS el complemento de pensión por aplicación de lo dispuesto en el requisito b), condición segunda, del párrafo segundo del artículo 60.1 TRLGSS. Por tanto, es a este concreto inciso del precepto al que ha de entenderse referida la cuestión.</w:t>
      </w:r>
    </w:p>
    <w:p w14:paraId="4F6C6E3F" w14:textId="77777777" w:rsidR="00576A90" w:rsidRDefault="00576A90" w:rsidP="00576A90">
      <w:pPr>
        <w:pStyle w:val="TextoNormal"/>
      </w:pPr>
    </w:p>
    <w:p w14:paraId="7BD48997" w14:textId="77777777" w:rsidR="00576A90" w:rsidRDefault="00576A90" w:rsidP="00576A90">
      <w:pPr>
        <w:pStyle w:val="TextoNormal"/>
      </w:pPr>
      <w:r>
        <w:t>Efectuada la precisión que antecede, ha de advertirse que la duda de constitucionalidad que formula el órgano judicial respecto del art. 60.1 TRLGSS, en el inciso referido, aunque formalmente se refiera a la posible contradicción del precepto cuestionado con el art. 14 CE (en cuanto el complemento de pensiones incurriría en discriminación por razón de sexo de los pensionistas varones con hijos), se fundamenta en términos de contradicción con el Derecho de la Unión Europea.</w:t>
      </w:r>
    </w:p>
    <w:p w14:paraId="1930731D" w14:textId="77777777" w:rsidR="00576A90" w:rsidRDefault="00576A90" w:rsidP="00576A90">
      <w:pPr>
        <w:pStyle w:val="TextoNormal"/>
      </w:pPr>
    </w:p>
    <w:p w14:paraId="50DC44B8" w14:textId="77777777" w:rsidR="00576A90" w:rsidRDefault="00576A90" w:rsidP="00576A90">
      <w:pPr>
        <w:pStyle w:val="TextoNormal"/>
      </w:pPr>
      <w:r>
        <w:t>En efecto, lo que el órgano judicial proponente de la cuestión sostiene, como se ha visto, es que las mismas circunstancias que llevaron al Tribunal de Justicia de la Unión Europea a apreciar en su sentencia de 12 de diciembre de 2019 (asunto C-450/18), que la anterior regulación del art. 60 TRLGSS (que reconocía a las mujeres que hubieran tenido dos o más hijos un complemento por maternidad en las pensiones contributivas de la Seguridad Social, por su aportación demográfica) constituía una discriminación por razón de sexo (de los trabajadores varones) contraria a la Directiva 79/7/CEE del Consejo, relativa a la aplicación progresiva del principio de igualdad de trato entre hombres y mujeres en materia de Seguridad Social, concurren en la regulación del actual complemento de pensiones contributivas para la reducción de la brecha de género, contenida en el vigente art. 60.1 TRLGSS.</w:t>
      </w:r>
    </w:p>
    <w:p w14:paraId="537BE349" w14:textId="77777777" w:rsidR="00576A90" w:rsidRDefault="00576A90" w:rsidP="00576A90">
      <w:pPr>
        <w:pStyle w:val="TextoNormal"/>
      </w:pPr>
    </w:p>
    <w:p w14:paraId="41185910" w14:textId="77777777" w:rsidR="00576A90" w:rsidRDefault="00576A90" w:rsidP="00576A90">
      <w:pPr>
        <w:pStyle w:val="TextoNormal"/>
      </w:pPr>
      <w:r>
        <w:t>Así las cosas, es pertinente traer a colación la doctrina sentada por este tribunal en sus AATC 168/2016, de 4 de octubre; 183/2016, de 15 de noviembre; 202/2016, de 13 de diciembre, y 116/2020, de 22 de septiembre, entre otros, respecto de aquellos supuestos en los que el órgano judicial se encuentra ante la difícil tesitura de decidir si plantea ante nosotros la cuestión de inconstitucionalidad o la cuestión prejudicial ante el Tribunal de Justicia de la Unión Europa, cuando considere en un proceso que una norma con rango de ley, aplicable al caso y de cuya validez dependa el fallo, puede ser contraria a la Constitución y, al propio tiempo, albergue dudas sobre su compatibilidad con el Derecho de la Unión Europea.</w:t>
      </w:r>
    </w:p>
    <w:p w14:paraId="30105A03" w14:textId="77777777" w:rsidR="00576A90" w:rsidRDefault="00576A90" w:rsidP="00576A90">
      <w:pPr>
        <w:pStyle w:val="TextoNormal"/>
      </w:pPr>
    </w:p>
    <w:p w14:paraId="5880F896" w14:textId="77777777" w:rsidR="00576A90" w:rsidRDefault="00576A90" w:rsidP="00576A90">
      <w:pPr>
        <w:pStyle w:val="TextoNormal"/>
      </w:pPr>
      <w:r>
        <w:t xml:space="preserve">De acuerdo con esa doctrina, “conviene tener en cuenta al respecto que el Tribunal de Justicia de la Unión Europea solo admite la precedencia del planteamiento de la cuestión de inconstitucionalidad sobre la cuestión prejudicial del art. 267 del Tratado de funcionamiento de la Unión Europea (TFUE) en tanto no se perjudique su competencia para interpretar el Derecho de la Unión Europea: Sentencias del Tribunal de Justicia de la Unión Europea de 22 de junio de 2010, asunto </w:t>
      </w:r>
      <w:r w:rsidRPr="00576A90">
        <w:rPr>
          <w:i/>
        </w:rPr>
        <w:t>Melki y Abdeli</w:t>
      </w:r>
      <w:r>
        <w:t xml:space="preserve">; de 11 de septiembre de 2014, </w:t>
      </w:r>
      <w:r>
        <w:lastRenderedPageBreak/>
        <w:t xml:space="preserve">asunto </w:t>
      </w:r>
      <w:r w:rsidRPr="00576A90">
        <w:rPr>
          <w:i/>
        </w:rPr>
        <w:t>A c. B y otros</w:t>
      </w:r>
      <w:r>
        <w:t xml:space="preserve">; y de 4 de junio de 2015, asunto </w:t>
      </w:r>
      <w:r w:rsidRPr="00576A90">
        <w:rPr>
          <w:i/>
        </w:rPr>
        <w:t>Kernkraftwerke Lippe-Ems GmbH c. Hauptzollamt</w:t>
      </w:r>
      <w:r>
        <w:t xml:space="preserve"> </w:t>
      </w:r>
      <w:r w:rsidRPr="00576A90">
        <w:rPr>
          <w:i/>
        </w:rPr>
        <w:t>Osnabrück</w:t>
      </w:r>
      <w:r>
        <w:t xml:space="preserve">. De este modo, según la jurisprudencia del Tribunal de Justicia de la Unión Europea, un órgano jurisdiccional nacional que albergue dudas acerca de la compatibilidad de una normativa nacional, tanto con el Derecho de la Unión Europea como con la Constitución del Estado miembro de que se trate, no está privado de la facultad ni, en su caso, exento de la obligación, de plantear al Tribunal de Justicia de la Unión Europea cuestiones prejudiciales sobre la interpretación o la validez de ese Derecho por el hecho de que esté pendiente un procedimiento de control de la constitucionalidad de esa misma normativa ante el correspondiente Tribunal Constitucional. En suma, la jurisprudencia del Tribunal de Justicia de la Unión Europea pretende hacer valer la primacía del Derecho de la Unión vedando que los procesos constitucionales internos puedan impedir, dificultar o retrasar el planteamiento de una cuestión prejudicial </w:t>
      </w:r>
      <w:r w:rsidRPr="00576A90">
        <w:rPr>
          <w:i/>
        </w:rPr>
        <w:t>ex</w:t>
      </w:r>
      <w:r>
        <w:t xml:space="preserve"> art. 267 TFUE.</w:t>
      </w:r>
    </w:p>
    <w:p w14:paraId="7650D60B" w14:textId="77777777" w:rsidR="00576A90" w:rsidRDefault="00576A90" w:rsidP="00576A90">
      <w:pPr>
        <w:pStyle w:val="TextoNormal"/>
      </w:pPr>
    </w:p>
    <w:p w14:paraId="5845BB75" w14:textId="77777777" w:rsidR="00576A90" w:rsidRDefault="00576A90" w:rsidP="00576A90">
      <w:pPr>
        <w:pStyle w:val="TextoNormal"/>
      </w:pPr>
      <w:r>
        <w:t>Pues bien, al disponer los arts. 163 CE y 35.1 LOTC que la cuestión de inconstitucionalidad debe referirse siempre a una norma legal “aplicable al caso”, ha de entenderse que la prioridad en el planteamiento debe corresponder, por principio, a la cuestión prejudicial del art. 267 TFUE; la incompatibilidad de la ley nacional con el Derecho de la Unión Europea sería causa de su inaplicabilidad y, por tanto, faltaría una de las condiciones exigidas para la admisibilidad de la cuestión de inconstitucionalidad. Esta solo sería admisible si se ha descartado la posibilidad de que la ley cuestionada sea incompatible con el Derecho de la Unión y, en consecuencia, inaplicable.</w:t>
      </w:r>
    </w:p>
    <w:p w14:paraId="48EB52B5" w14:textId="77777777" w:rsidR="00576A90" w:rsidRDefault="00576A90" w:rsidP="00576A90">
      <w:pPr>
        <w:pStyle w:val="TextoNormal"/>
      </w:pPr>
    </w:p>
    <w:p w14:paraId="5031F0F8" w14:textId="77777777" w:rsidR="00576A90" w:rsidRDefault="00576A90" w:rsidP="00576A90">
      <w:pPr>
        <w:pStyle w:val="TextoNormal"/>
      </w:pPr>
      <w:r>
        <w:t>Dicho de otro modo, desde la perspectiva del ordenamiento jurídico español, el órgano judicial que duda de la constitucionalidad de una ley no podrá plantear cuestión sobre la misma ante el Tribunal Constitucional si al propio tiempo considera que esa ley es claramente incompatible con el Derecho de la Unión Europea, pues viene entonces obligado por este Derecho a no aplicarla. Si lo que sucede es que alberga dudas sobre la compatibilidad de esa ley con el Derecho de la Unión, lo que habrá de hacer es plantear primero la cuestión prejudicial ante el Tribunal de Justicia de la Unión Europea, de suerte que solo cuando este haya descartado la incompatibilidad de la norma nacional con el Derecho comunitario cabrá plantear la cuestión de inconstitucionalidad. Así lo advertimos en la STC 35/2016, de 3 de marzo, FJ 6, al afirmar que “[o]bviamente, la desestimación de una cuestión prejudicial planteada ante el Tribunal de Justicia de la Unión Europea no impide el planteamiento de una cuestión de inconstitucionalidad ante este Tribunal Constitucional en relación con el mismo precepto legal, pues una y otra jurisdicción tienen ámbitos diferentes (por todas, STC 28/1991, de 14 de febrero, FFJJ 4 a 6), ni condiciona el pronunciamiento de este tribunal en esa cuestión de inconstitucionalidad”.</w:t>
      </w:r>
    </w:p>
    <w:p w14:paraId="4F979976" w14:textId="77777777" w:rsidR="00576A90" w:rsidRDefault="00576A90" w:rsidP="00576A90">
      <w:pPr>
        <w:pStyle w:val="TextoNormal"/>
      </w:pPr>
    </w:p>
    <w:p w14:paraId="64F031C6" w14:textId="11485DBE" w:rsidR="00576A90" w:rsidRDefault="00576A90" w:rsidP="00576A90">
      <w:pPr>
        <w:pStyle w:val="TextoNormal"/>
      </w:pPr>
      <w:r>
        <w:t xml:space="preserve">“En efecto, una vez que el Tribunal de Justicia de la Unión Europea ha emitido un juicio positivo en la cuestión prejudicial sometida a su consideración, declarando que la norma legal nacional es compatible con el Derecho de la Unión Europea, entonces ya no hay duda acerca de que la norma legal es ‘aplicable al caso’ (arts. 163 CE y 35.1 LOTC). Desde esta perspectiva, ningún obstáculo existe para que el órgano judicial plantee la cuestión de inconstitucionalidad y, en definitiva, para que el Tribunal Constitucional se pronuncie sobre la constitucionalidad de esa norma. Por el contrario, si el juicio del Tribunal de Justicia de la Unión Europea sobre la cuestión prejudicial fuese negativo, declarando que la norma nacional es incompatible con el Derecho de la Unión, esa norma deviene, </w:t>
      </w:r>
      <w:r>
        <w:lastRenderedPageBreak/>
        <w:t>en consecuencia, inaplicable al caso, por lo que no cabría plantear cuestión de inconstitucionalidad” (AATC 168/2016, FJ 4, 202/2016, FJ 3, y 116/2020, FJ 3).</w:t>
      </w:r>
    </w:p>
    <w:p w14:paraId="76C964A9" w14:textId="77777777" w:rsidR="00576A90" w:rsidRDefault="00576A90" w:rsidP="00576A90">
      <w:pPr>
        <w:pStyle w:val="TextoNormal"/>
      </w:pPr>
    </w:p>
    <w:p w14:paraId="5A1523CC" w14:textId="77777777" w:rsidR="00576A90" w:rsidRDefault="00576A90" w:rsidP="00576A90">
      <w:pPr>
        <w:pStyle w:val="TextoNormal"/>
      </w:pPr>
      <w:r w:rsidRPr="00576A90">
        <w:rPr>
          <w:rStyle w:val="NumeroAFNegritaCaracter"/>
        </w:rPr>
        <w:t>4</w:t>
      </w:r>
      <w:r>
        <w:t>. De la doctrina transcrita se desprende, como hemos anticipado, que no puede entenderse cumplido el juicio de aplicabilidad en la presente cuestión de inconstitucionalidad, ya que al tiempo de promoverla el Juzgado de lo Social núm. 1 de Tortosa ha exteriorizado en el auto de planteamiento sus dudas acerca de la compatibilidad del actual art. 60.1 TRLGSS con el Derecho comunitario (en concreto con la Directiva 79/7/CEE del Consejo, conforme a la interpretación sentada por el Tribunal de Justicia de la Unión Europea en su sentencia de 12 de diciembre de 2019, asunto C-450/18), hasta el punto de que, en realidad, la duda de constitucionalidad se fundamenta en términos de contradicción con el Derecho de la Unión Europea. Por tanto, conforme a la referida doctrina constitucional, el órgano judicial venía obligado, bien a no aplicar dicho precepto legal (si entiende que es contrario al Derecho de la Unión Europea), bien a plantear previamente la cuestión prejudicial ante el Tribunal de Justicia de la Unión Europea (en cuyo caso, solo cuando haya quedado descartada la incompatibilidad de la norma nacional con el Derecho de la Unión cabría plantear la cuestión de inconstitucionalidad).</w:t>
      </w:r>
    </w:p>
    <w:p w14:paraId="60A71AA9" w14:textId="77777777" w:rsidR="00576A90" w:rsidRDefault="00576A90" w:rsidP="00576A90">
      <w:pPr>
        <w:pStyle w:val="TextoNormal"/>
      </w:pPr>
    </w:p>
    <w:p w14:paraId="36B191C7" w14:textId="2D74D206" w:rsidR="00576A90" w:rsidRDefault="00576A90" w:rsidP="00576A90">
      <w:pPr>
        <w:pStyle w:val="TextoNormal"/>
      </w:pPr>
      <w:r>
        <w:t xml:space="preserve">Sin embargo, el Juzgado de lo Social núm. 1 de Tortosa ha dado prioridad al planteamiento de la cuestión de inconstitucionalidad sobre el planteamiento de la cuestión prejudicial del art. 267 TFUE, cuando lo cierto es que la decisión acerca de la eventual incompatibilidad del actual art. 60.1 TRLGSS con el Derecho de la Unión Europa, de confirmarse, sería causa de su inaplicabilidad en el proceso </w:t>
      </w:r>
      <w:r w:rsidRPr="00576A90">
        <w:rPr>
          <w:i/>
        </w:rPr>
        <w:t>a quo</w:t>
      </w:r>
      <w:r>
        <w:t xml:space="preserve"> y, por tanto, faltaría una de las condiciones exigidas para la admisibilidad de la cuestión de inconstitucionalidad (art. 37.1 LOTC). Se insiste en que la fundamentación de la presente cuestión de inconstitucionalidad descansa en el argumento de que el actual complemento de pensión para la reducción de la brecha de género regulado en el vigente art. 60.1 TRLGSS incurre en la misma discriminación por razón de sexo (de los trabajadores varones), contraria a la Directiva 79/7/CEE del Consejo, que el Tribunal de Justicia de la Unión Europea apreció en el complemento por maternidad que regulaba el citado precepto legal en su redacción anterior a la reforma introducida por el Real Decreto-ley 3/2021, de 2 de febrero. Ello determina, en consecuencia, que proceda declarar la inadmisibilidad de esta cuestión por incumplimiento del requisito de la aplicabilidad (art. 37.1 LOTC).</w:t>
      </w:r>
    </w:p>
    <w:p w14:paraId="1338E291" w14:textId="77777777" w:rsidR="00576A90" w:rsidRDefault="00576A90" w:rsidP="00576A90">
      <w:pPr>
        <w:pStyle w:val="TextoNormal"/>
      </w:pPr>
    </w:p>
    <w:p w14:paraId="54BA6618" w14:textId="77777777" w:rsidR="00576A90" w:rsidRDefault="00576A90" w:rsidP="00576A90">
      <w:pPr>
        <w:pStyle w:val="TextoNormal"/>
      </w:pPr>
      <w:r>
        <w:t>Por lo expuesto, el Pleno</w:t>
      </w:r>
    </w:p>
    <w:p w14:paraId="47F60BA2" w14:textId="4529193F" w:rsidR="00576A90" w:rsidRDefault="00576A90" w:rsidP="00576A90">
      <w:pPr>
        <w:pStyle w:val="TextoNormal"/>
      </w:pPr>
    </w:p>
    <w:p w14:paraId="31534E8A" w14:textId="77777777" w:rsidR="00576A90" w:rsidRDefault="00576A90" w:rsidP="00576A90">
      <w:pPr>
        <w:pStyle w:val="TextoNormalCentrado"/>
      </w:pPr>
      <w:r>
        <w:t>ACUERDA</w:t>
      </w:r>
    </w:p>
    <w:p w14:paraId="40A7CDEA" w14:textId="00936340" w:rsidR="00576A90" w:rsidRDefault="00576A90" w:rsidP="00576A90">
      <w:pPr>
        <w:pStyle w:val="TextoNormalCentrado"/>
      </w:pPr>
    </w:p>
    <w:p w14:paraId="75A5B7ED" w14:textId="718DF974" w:rsidR="00576A90" w:rsidRDefault="00576A90" w:rsidP="00576A90">
      <w:pPr>
        <w:pStyle w:val="TextoNormal"/>
      </w:pPr>
      <w:r>
        <w:t>Inadmitir a trámite la presente cuestión de inconstitucionalidad.</w:t>
      </w:r>
    </w:p>
    <w:p w14:paraId="35CF75CE" w14:textId="77777777" w:rsidR="00576A90" w:rsidRDefault="00576A90" w:rsidP="00576A90">
      <w:pPr>
        <w:pStyle w:val="TextoNormal"/>
      </w:pPr>
    </w:p>
    <w:p w14:paraId="73216531" w14:textId="77777777" w:rsidR="00576A90" w:rsidRDefault="00576A90" w:rsidP="00576A90">
      <w:pPr>
        <w:pStyle w:val="TextoNormal"/>
      </w:pPr>
      <w:r>
        <w:t>Madrid, a nueve de abril de dos mil veinticuatro.</w:t>
      </w:r>
    </w:p>
    <w:p w14:paraId="5EC2F7AD" w14:textId="78A49AEF" w:rsidR="00576A90" w:rsidRDefault="00576A90">
      <w:pPr>
        <w:spacing w:after="160" w:line="259" w:lineRule="auto"/>
        <w:rPr>
          <w:rFonts w:ascii="Times New Roman" w:eastAsia="Times New Roman" w:hAnsi="Times New Roman" w:cs="Times New Roman"/>
          <w:sz w:val="24"/>
          <w:szCs w:val="24"/>
          <w:lang w:eastAsia="es-ES"/>
        </w:rPr>
      </w:pPr>
      <w:r>
        <w:br w:type="page"/>
      </w:r>
    </w:p>
    <w:p w14:paraId="323DB83E" w14:textId="77777777" w:rsidR="00576A90" w:rsidRDefault="00576A90" w:rsidP="00576A90">
      <w:pPr>
        <w:pStyle w:val="TtuloResolucin"/>
      </w:pPr>
      <w:bookmarkStart w:id="126" w:name="AUTO_2024_31"/>
      <w:r>
        <w:lastRenderedPageBreak/>
        <w:t>AUTO 31/2024, de 9 de abril de 2024</w:t>
      </w:r>
    </w:p>
    <w:bookmarkEnd w:id="126"/>
    <w:p w14:paraId="237D06D6" w14:textId="77777777" w:rsidR="00576A90" w:rsidRDefault="00576A90" w:rsidP="00576A90">
      <w:pPr>
        <w:pStyle w:val="TtuloResolucin"/>
      </w:pPr>
      <w:r>
        <w:t>Pleno</w:t>
      </w:r>
    </w:p>
    <w:p w14:paraId="0CAEBA30" w14:textId="77777777" w:rsidR="00576A90" w:rsidRDefault="00576A90" w:rsidP="00576A90">
      <w:pPr>
        <w:pStyle w:val="TextoNormalCentrado"/>
      </w:pPr>
      <w:r>
        <w:t>ECLI:ES:TC:2024:31A</w:t>
      </w:r>
    </w:p>
    <w:p w14:paraId="496A00C0" w14:textId="02AB9CE5" w:rsidR="00576A90" w:rsidRDefault="00576A90" w:rsidP="00576A90">
      <w:pPr>
        <w:pStyle w:val="TextoNormalCentrado"/>
      </w:pPr>
    </w:p>
    <w:p w14:paraId="15569390" w14:textId="77777777" w:rsidR="00576A90" w:rsidRDefault="00576A90" w:rsidP="00576A90">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w:t>
      </w:r>
    </w:p>
    <w:p w14:paraId="315ABA59" w14:textId="5705D203" w:rsidR="00576A90" w:rsidRDefault="00576A90" w:rsidP="00576A90">
      <w:pPr>
        <w:pStyle w:val="SntesisDescriptiva"/>
      </w:pPr>
    </w:p>
    <w:p w14:paraId="50075B39" w14:textId="77777777" w:rsidR="00576A90" w:rsidRDefault="00576A90" w:rsidP="00576A90">
      <w:pPr>
        <w:pStyle w:val="SntesisDescriptiva"/>
      </w:pPr>
      <w:r>
        <w:t>Inadmite una recusación formulada en el recurso de amparo 551-2024, promovido por don Antonio López Navidad en litigio social.</w:t>
      </w:r>
    </w:p>
    <w:p w14:paraId="55D55C6C" w14:textId="75476C01" w:rsidR="00576A90" w:rsidRDefault="00576A90" w:rsidP="00576A90">
      <w:pPr>
        <w:pStyle w:val="SntesisDescriptiva"/>
      </w:pPr>
    </w:p>
    <w:p w14:paraId="47A3544F" w14:textId="77777777" w:rsidR="00576A90" w:rsidRDefault="00576A90" w:rsidP="00576A90">
      <w:pPr>
        <w:pStyle w:val="SntesisDescriptiva"/>
      </w:pPr>
    </w:p>
    <w:p w14:paraId="1B5DFC1F" w14:textId="77777777" w:rsidR="00576A90" w:rsidRDefault="00576A90" w:rsidP="00576A90">
      <w:pPr>
        <w:pStyle w:val="SntesisDescriptiva"/>
      </w:pPr>
    </w:p>
    <w:p w14:paraId="018BD4EE" w14:textId="77777777" w:rsidR="00576A90" w:rsidRDefault="00576A90" w:rsidP="00576A90">
      <w:pPr>
        <w:pStyle w:val="TextoNormalNegritaCentrado"/>
      </w:pPr>
      <w:r>
        <w:t>AUTO</w:t>
      </w:r>
    </w:p>
    <w:p w14:paraId="48C2CE5A" w14:textId="74732CD5" w:rsidR="00576A90" w:rsidRDefault="00576A90" w:rsidP="00576A90">
      <w:pPr>
        <w:pStyle w:val="TextoNormalNegritaCentrado"/>
      </w:pPr>
    </w:p>
    <w:p w14:paraId="60949473" w14:textId="77777777" w:rsidR="00576A90" w:rsidRDefault="00576A90" w:rsidP="00576A90">
      <w:pPr>
        <w:pStyle w:val="TextoNormalNegritaCentrado"/>
        <w:keepNext/>
      </w:pPr>
      <w:r>
        <w:t>I. Antecedentes</w:t>
      </w:r>
    </w:p>
    <w:p w14:paraId="78BB23F3" w14:textId="3E5F1425" w:rsidR="00576A90" w:rsidRDefault="00576A90" w:rsidP="00576A90">
      <w:pPr>
        <w:pStyle w:val="TextoNormalNegritaCentrado"/>
        <w:keepNext/>
      </w:pPr>
    </w:p>
    <w:p w14:paraId="6E9FB0AA" w14:textId="77777777" w:rsidR="00576A90" w:rsidRDefault="00576A90" w:rsidP="00576A90">
      <w:pPr>
        <w:pStyle w:val="TextoNormal"/>
      </w:pPr>
      <w:r w:rsidRPr="00576A90">
        <w:rPr>
          <w:rStyle w:val="NumeroAFNegritaCaracter"/>
        </w:rPr>
        <w:t>1</w:t>
      </w:r>
      <w:r>
        <w:t>. Mediante escrito presentado el 26 de enero de 2024 en el registro general del Tribunal, el procurador de los tribunales don Guzmán de la Villa de la Serna, en nombre y representación de don Antonio López Navidad, interpuso recurso de amparo contra el auto de 26 de junio de 2023 de la Sala de Gobierno del Tribunal Supremo, que desestima el recurso de alzada interpuesto por el recurrente (expediente gubernativo núm. 34-2023) contra diversos autos dictados por la Sala de lo Social del Tribunal Supremo en el procedimiento de declaración de error judicial núm. 8-2020, y frente al acuerdo de 3 de mayo de 2023 de la misma Sala de Gobierno, por el que se inadmite la recusación de determinados magistrados del Tribunal Supremo (expediente núm. 47-2023). En su demanda de amparo el recurrente invoca la vulneración de sus derechos a la tutela judicial efectiva (art. 24.1 CE) y a un proceso con todas las garantías, en cuanto comprende el derecho a un juez imparcial (art. 24.2 CE).</w:t>
      </w:r>
    </w:p>
    <w:p w14:paraId="3E6754A2" w14:textId="77777777" w:rsidR="00576A90" w:rsidRDefault="00576A90" w:rsidP="00576A90">
      <w:pPr>
        <w:pStyle w:val="TextoNormal"/>
      </w:pPr>
    </w:p>
    <w:p w14:paraId="242499E6" w14:textId="35B52727" w:rsidR="00576A90" w:rsidRDefault="00576A90" w:rsidP="00576A90">
      <w:pPr>
        <w:pStyle w:val="TextoNormal"/>
      </w:pPr>
      <w:r>
        <w:t>El recurso de amparo, registrado con el núm. 551-2024, fue turnado, a efectos de adoptar la decisión correspondiente sobre su admisibilidad, a la Sección Tercera del Tribunal Constitucional, siendo designada ponente la magistrada doña Inmaculada Montalbán Huertas, lo que fue comunicado al procurador del recurrente mediante diligencia de ordenación del secretario de justicia de 30 de enero de 2024, notificada el 1 de febrero de 2024.</w:t>
      </w:r>
    </w:p>
    <w:p w14:paraId="379B3ACC" w14:textId="77777777" w:rsidR="00576A90" w:rsidRDefault="00576A90" w:rsidP="00576A90">
      <w:pPr>
        <w:pStyle w:val="TextoNormal"/>
      </w:pPr>
    </w:p>
    <w:p w14:paraId="3992D486" w14:textId="77777777" w:rsidR="00576A90" w:rsidRDefault="00576A90" w:rsidP="00576A90">
      <w:pPr>
        <w:pStyle w:val="TextoNormal"/>
      </w:pPr>
      <w:r w:rsidRPr="00576A90">
        <w:rPr>
          <w:rStyle w:val="NumeroAFNegritaCaracter"/>
        </w:rPr>
        <w:t>2</w:t>
      </w:r>
      <w:r>
        <w:t>. El 20 de febrero de 2024, la representación procesal del recurrente de amparo presentó en este tribunal un escrito en el que promovía incidente de recusación frente a los magistrados don Cándido Conde-Pumpido Tourón y don Juan Carlos Campo Moreno, y las magistradas doña María Luisa Segoviano Astaburuaga y doña Inmaculada Montalbán Huertas.</w:t>
      </w:r>
    </w:p>
    <w:p w14:paraId="1D80094A" w14:textId="77777777" w:rsidR="00576A90" w:rsidRDefault="00576A90" w:rsidP="00576A90">
      <w:pPr>
        <w:pStyle w:val="TextoNormal"/>
      </w:pPr>
    </w:p>
    <w:p w14:paraId="29C921DB" w14:textId="77777777" w:rsidR="00576A90" w:rsidRDefault="00576A90" w:rsidP="00576A90">
      <w:pPr>
        <w:pStyle w:val="TextoNormal"/>
      </w:pPr>
      <w:r>
        <w:t xml:space="preserve">En cuanto al magistrado don Cándido Conde-Pumpido Tourón, en el escrito de recusación se argumenta que está incurso en la causa 8 del art. 219 de la Ley Orgánica del Poder </w:t>
      </w:r>
      <w:r>
        <w:lastRenderedPageBreak/>
        <w:t>Judicial (LOPJ) (“[t]ener pleito pendiente con alguna” de las partes), así como en la causa 11 del art. 219 LOPJ (“[h]aber resuelto el pleito o causa en la anterior instancia”), por tener la condición de “codemandado” en el recurso de amparo, en la medida en que dicho magistrado habría sido ponente de un auto de 11 de marzo de 2016, dictado por la sala del art. 61 LOPJ, que disponía, según se afirma, la inadmisión de una previa demanda de error judicial (procedimiento núm. 9-2015) presentada por el recurrente frente a una sentencia dictada el 24 de junio de 2015 por la Sala de lo Social del Tribunal Supremo en el recurso de casación para la unificación de doctrina núm. 3125-2012.</w:t>
      </w:r>
    </w:p>
    <w:p w14:paraId="2CFE46FF" w14:textId="77777777" w:rsidR="00576A90" w:rsidRDefault="00576A90" w:rsidP="00576A90">
      <w:pPr>
        <w:pStyle w:val="TextoNormal"/>
      </w:pPr>
    </w:p>
    <w:p w14:paraId="451C2386" w14:textId="77777777" w:rsidR="00576A90" w:rsidRDefault="00576A90" w:rsidP="00576A90">
      <w:pPr>
        <w:pStyle w:val="TextoNormal"/>
      </w:pPr>
      <w:r>
        <w:t>Respecto de la magistrada doña María Luisa Segoviano Astaburuaga, se alegan las mismas causas de recusación en relación, esta vez, con la ya citada sentencia de 24 de junio de 2015 de la Sala de lo Social del Tribunal Supremo, pues la magistrada recusada habría formado parte, según se alega, del colegio de magistrados que inadmitió el referido recurso de casación para la unificación de doctrina núm. 3125-2012.</w:t>
      </w:r>
    </w:p>
    <w:p w14:paraId="7CE42D4F" w14:textId="77777777" w:rsidR="00576A90" w:rsidRDefault="00576A90" w:rsidP="00576A90">
      <w:pPr>
        <w:pStyle w:val="TextoNormal"/>
      </w:pPr>
    </w:p>
    <w:p w14:paraId="75213539" w14:textId="45A97468" w:rsidR="00576A90" w:rsidRDefault="00576A90" w:rsidP="00576A90">
      <w:pPr>
        <w:pStyle w:val="TextoNormal"/>
      </w:pPr>
      <w:r>
        <w:t>Respecto de la magistrada doña Inmaculada Montalbán Huertas y del magistrado don Juan Carlos Campo Moreno se alega que están incursos en la causa de recusación 11 del art. 219 LOPJ, porque “[a]mbos han intervenido como principales protagonistas” en el incidente de recusación promovido por el recurrente el 27 de julio de 2023 contra el magistrado don Cándido Conde-Pumpido Tourón y la magistrada doña María Luisa Segoviano Astaburuaga en el recurso de amparo núm. 4811-2023, la primera como presidenta del Pleno del Tribunal Constitucional que dictó el ATC 488/2023, de 24 de octubre, por el que se inadmiten a trámite esas recusaciones, y el segundo como magistrado ponente de dicho incidente de recusación.</w:t>
      </w:r>
    </w:p>
    <w:p w14:paraId="02D18CE6" w14:textId="77777777" w:rsidR="00576A90" w:rsidRDefault="00576A90" w:rsidP="00576A90">
      <w:pPr>
        <w:pStyle w:val="TextoNormal"/>
      </w:pPr>
    </w:p>
    <w:p w14:paraId="5CB541FC" w14:textId="77777777" w:rsidR="00576A90" w:rsidRDefault="00576A90" w:rsidP="00576A90">
      <w:pPr>
        <w:pStyle w:val="TextoNormalNegritaCentrado"/>
        <w:keepNext/>
      </w:pPr>
      <w:r>
        <w:t>II. Fundamentos jurídicos</w:t>
      </w:r>
    </w:p>
    <w:p w14:paraId="5A2DB2D0" w14:textId="2631B9E5" w:rsidR="00576A90" w:rsidRDefault="00576A90" w:rsidP="00576A90">
      <w:pPr>
        <w:pStyle w:val="TextoNormalNegritaCentrado"/>
        <w:keepNext/>
      </w:pPr>
    </w:p>
    <w:p w14:paraId="1036EB18" w14:textId="77777777" w:rsidR="00576A90" w:rsidRDefault="00576A90" w:rsidP="00576A90">
      <w:pPr>
        <w:pStyle w:val="TextoNormal"/>
      </w:pPr>
      <w:r w:rsidRPr="00576A90">
        <w:rPr>
          <w:rStyle w:val="NumeroAFNegritaCaracter"/>
        </w:rPr>
        <w:t>1</w:t>
      </w:r>
      <w:r>
        <w:t xml:space="preserve">. </w:t>
      </w:r>
      <w:r w:rsidRPr="00576A90">
        <w:rPr>
          <w:i/>
        </w:rPr>
        <w:t>Objeto de esta resolución</w:t>
      </w:r>
    </w:p>
    <w:p w14:paraId="7666F486" w14:textId="77777777" w:rsidR="00576A90" w:rsidRDefault="00576A90" w:rsidP="00576A90">
      <w:pPr>
        <w:pStyle w:val="TextoNormal"/>
      </w:pPr>
    </w:p>
    <w:p w14:paraId="2D199243" w14:textId="6280DABA" w:rsidR="00576A90" w:rsidRDefault="00576A90" w:rsidP="00576A90">
      <w:pPr>
        <w:pStyle w:val="TextoNormal"/>
      </w:pPr>
      <w:r>
        <w:t>El objeto de la presente resolución es dar respuesta a la solicitud de recusación del presidente y de otros tres magistrados de este tribunal para conocer del recurso de amparo núm. 551-2024, que está pendiente de una decisión sobre su admisibilidad en la Sección Tercera.</w:t>
      </w:r>
    </w:p>
    <w:p w14:paraId="2763144E" w14:textId="77777777" w:rsidR="00576A90" w:rsidRDefault="00576A90" w:rsidP="00576A90">
      <w:pPr>
        <w:pStyle w:val="TextoNormal"/>
      </w:pPr>
    </w:p>
    <w:p w14:paraId="40DC3754" w14:textId="77777777" w:rsidR="00576A90" w:rsidRDefault="00576A90" w:rsidP="00576A90">
      <w:pPr>
        <w:pStyle w:val="TextoNormal"/>
      </w:pPr>
      <w:r w:rsidRPr="00576A90">
        <w:rPr>
          <w:rStyle w:val="NumeroAFNegritaCaracter"/>
        </w:rPr>
        <w:t>2</w:t>
      </w:r>
      <w:r>
        <w:t xml:space="preserve">. </w:t>
      </w:r>
      <w:r w:rsidRPr="00576A90">
        <w:rPr>
          <w:i/>
        </w:rPr>
        <w:t>Composición del Pleno para conocer de la recusación</w:t>
      </w:r>
    </w:p>
    <w:p w14:paraId="41BA136A" w14:textId="77777777" w:rsidR="00576A90" w:rsidRDefault="00576A90" w:rsidP="00576A90">
      <w:pPr>
        <w:pStyle w:val="TextoNormal"/>
      </w:pPr>
    </w:p>
    <w:p w14:paraId="0B827397" w14:textId="77777777" w:rsidR="00576A90" w:rsidRDefault="00576A90" w:rsidP="00576A90">
      <w:pPr>
        <w:pStyle w:val="TextoNormal"/>
      </w:pPr>
      <w:r>
        <w:t>El art. 10.1 k) de la Ley Orgánica del Tribunal Constitucional (LOTC) atribuye al Pleno la competencia para resolver las recusaciones de los magistrados del Tribunal Constitucional. Al mismo tiempo, el art. 14 de la misma ley dispone que “[e]l Tribunal en Pleno puede adoptar acuerdos cuando estén presentes, al menos, dos tercios de los miembros que en cada momento lo compongan”.</w:t>
      </w:r>
    </w:p>
    <w:p w14:paraId="5C0D8E4A" w14:textId="77777777" w:rsidR="00576A90" w:rsidRDefault="00576A90" w:rsidP="00576A90">
      <w:pPr>
        <w:pStyle w:val="TextoNormal"/>
      </w:pPr>
    </w:p>
    <w:p w14:paraId="111585A9" w14:textId="77777777" w:rsidR="00576A90" w:rsidRDefault="00576A90" w:rsidP="00576A90">
      <w:pPr>
        <w:pStyle w:val="TextoNormal"/>
      </w:pPr>
      <w:r>
        <w:t xml:space="preserve">Aunque en la actualidad el Tribunal lo componen once miembros, ya que se encuentra vacante una plaza correspondiente al turno de nombramientos del Senado, el </w:t>
      </w:r>
      <w:r w:rsidRPr="00576A90">
        <w:rPr>
          <w:i/>
        </w:rPr>
        <w:t>quorum</w:t>
      </w:r>
      <w:r>
        <w:t xml:space="preserve"> para adoptar acuerdos sigue siendo de ocho magistrados, por lo que al ser cuatro los recusados solamente siete podrían formar sala para resolver el incidente de acuerdo con la regla ge</w:t>
      </w:r>
      <w:r>
        <w:lastRenderedPageBreak/>
        <w:t>neral del art. 227 LOPJ, de aplicación supletoria ante esta jurisdicción (art. 80 LOTC), que impide a los primeros resolver su propia recusación.</w:t>
      </w:r>
    </w:p>
    <w:p w14:paraId="24A85B4F" w14:textId="77777777" w:rsidR="00576A90" w:rsidRDefault="00576A90" w:rsidP="00576A90">
      <w:pPr>
        <w:pStyle w:val="TextoNormal"/>
      </w:pPr>
    </w:p>
    <w:p w14:paraId="57999022" w14:textId="77777777" w:rsidR="00576A90" w:rsidRDefault="00576A90" w:rsidP="00576A90">
      <w:pPr>
        <w:pStyle w:val="TextoNormal"/>
      </w:pPr>
      <w:r>
        <w:t>Cuando así sucede, “la singular conformación del Tribunal Constitucional, que se guía por las reglas generales de sustitución de magistrados contenidas en la Ley Orgánica del Poder Judicial, pero que por su naturaleza de órgano constitucional no admite la sustitución puntual o meramente circunstancial de los magistrados que lo componen, exige una flexibilización de las reglas generales y subsidiarias que rigen los institutos de la recusación y la abstención de los magistrados. Es imprescindible, para asegurar la propia funcionalidad del órgano constitucional, que la aplicación del régimen de recusación y de abstención no conduzca a resultados absurdos o gravemente perturbadores para las funciones que tiene constitucionalmente asignadas, excluir […] la aplicación del art. 227 LOPJ por el que se impide a los recusados formar parte del órgano que haya de decidir sobre su recusación” (ATC 70/2023, de 21 de febrero, FJ 2).</w:t>
      </w:r>
    </w:p>
    <w:p w14:paraId="3283B6AC" w14:textId="77777777" w:rsidR="00576A90" w:rsidRDefault="00576A90" w:rsidP="00576A90">
      <w:pPr>
        <w:pStyle w:val="TextoNormal"/>
      </w:pPr>
    </w:p>
    <w:p w14:paraId="108AC543" w14:textId="382A593C" w:rsidR="00576A90" w:rsidRDefault="00576A90" w:rsidP="00576A90">
      <w:pPr>
        <w:pStyle w:val="TextoNormal"/>
      </w:pPr>
      <w:r>
        <w:t xml:space="preserve">Solo así puede alcanzarse, en efecto, de acuerdo con lo dispuesto en el art. 14 LOTC, el </w:t>
      </w:r>
      <w:r w:rsidRPr="00576A90">
        <w:rPr>
          <w:i/>
        </w:rPr>
        <w:t>quorum</w:t>
      </w:r>
      <w:r>
        <w:t xml:space="preserve"> imprescindible para que el Tribunal pueda actuar. Otra solución supondría una paralización inaceptable del ejercicio de la jurisdicción constitucional, como tenemos reiteradamente declarado (entre otros, AATC 443/2007, de 27 de noviembre; 268/2013, de 19 de noviembre; 268/2014 y 269/2014, ambos de 4 de noviembre; 119/2017, de 7 de septiembre; 84/2020 y 85/2020, ambos de 21 de julio; 86/2021, de 16 de septiembre; 75/2022, de 27 de abril, y 70/2023, de 21 de febrero).</w:t>
      </w:r>
    </w:p>
    <w:p w14:paraId="7452169E" w14:textId="77777777" w:rsidR="00576A90" w:rsidRDefault="00576A90" w:rsidP="00576A90">
      <w:pPr>
        <w:pStyle w:val="TextoNormal"/>
      </w:pPr>
    </w:p>
    <w:p w14:paraId="41E86F9A" w14:textId="77777777" w:rsidR="00576A90" w:rsidRDefault="00576A90" w:rsidP="00576A90">
      <w:pPr>
        <w:pStyle w:val="TextoNormal"/>
      </w:pPr>
      <w:r w:rsidRPr="00576A90">
        <w:rPr>
          <w:rStyle w:val="NumeroAFNegritaCaracter"/>
        </w:rPr>
        <w:t>3</w:t>
      </w:r>
      <w:r>
        <w:t xml:space="preserve">. </w:t>
      </w:r>
      <w:r w:rsidRPr="00576A90">
        <w:rPr>
          <w:i/>
        </w:rPr>
        <w:t>Inadmisión</w:t>
      </w:r>
      <w:r>
        <w:t xml:space="preserve"> a limine </w:t>
      </w:r>
      <w:r w:rsidRPr="00576A90">
        <w:rPr>
          <w:i/>
        </w:rPr>
        <w:t>de la solicitud de recusación planteada</w:t>
      </w:r>
    </w:p>
    <w:p w14:paraId="75C71CF9" w14:textId="77777777" w:rsidR="00576A90" w:rsidRDefault="00576A90" w:rsidP="00576A90">
      <w:pPr>
        <w:pStyle w:val="TextoNormal"/>
      </w:pPr>
    </w:p>
    <w:p w14:paraId="7B5C6AA0" w14:textId="77777777" w:rsidR="00576A90" w:rsidRDefault="00576A90" w:rsidP="00576A90">
      <w:pPr>
        <w:pStyle w:val="TextoNormal"/>
      </w:pPr>
      <w:r>
        <w:t>Este tribunal ha reiterado la posibilidad de denegar la tramitación del incidente de recusación cuando razones procesales o de fondo así lo exijan; pudiendo producirse no solo como consecuencia de su defectuoso planteamiento procesal, en atención al momento en que se suscita, su reiteración, las circunstancias que la rodean, su planteamiento o las argumentaciones que la fundamentan, sino también cuando es formulada con manifiesto abuso de derecho o entraña fraude de ley o procesal de acuerdo con lo establecido en el art. 11.2 LOPJ (entre otros muchos, AATC 156/2022, de 16 de noviembre, FJ 2; 31/2023, de 7 de febrero, FJ 2, y 238/2023, de 9 de mayo, FJ único).</w:t>
      </w:r>
    </w:p>
    <w:p w14:paraId="1D565838" w14:textId="77777777" w:rsidR="00576A90" w:rsidRDefault="00576A90" w:rsidP="00576A90">
      <w:pPr>
        <w:pStyle w:val="TextoNormal"/>
      </w:pPr>
    </w:p>
    <w:p w14:paraId="6DC50AE5" w14:textId="77777777" w:rsidR="00576A90" w:rsidRDefault="00576A90" w:rsidP="00576A90">
      <w:pPr>
        <w:pStyle w:val="TextoNormal"/>
      </w:pPr>
      <w:r>
        <w:t>El Tribunal, en atención a la citada jurisprudencia, deniega liminarmente la tramitación de las recusaciones formuladas que han dado lugar al presente incidente por las razones siguientes:</w:t>
      </w:r>
    </w:p>
    <w:p w14:paraId="1EA01B6C" w14:textId="77777777" w:rsidR="00576A90" w:rsidRDefault="00576A90" w:rsidP="00576A90">
      <w:pPr>
        <w:pStyle w:val="TextoNormal"/>
      </w:pPr>
    </w:p>
    <w:p w14:paraId="68E35035" w14:textId="77777777" w:rsidR="00576A90" w:rsidRDefault="00576A90" w:rsidP="00576A90">
      <w:pPr>
        <w:pStyle w:val="TextoNormal"/>
      </w:pPr>
      <w:r>
        <w:t>a) La recusación de la magistrada doña Inmaculada Montalbán Huertas ha sido planteada de manera extemporánea, al formularse una vez superado el plazo de diez días al que se refiere el art. 223.1 LOPJ, aplicable en virtud de la remisión del art. 80 LOTC, desde el momento en que el recusante tuvo conocimiento efectivo de que dicha magistrada formaba parte de la sección del Tribunal que debe decidir sobre la admisión del presente recurso de amparo.</w:t>
      </w:r>
    </w:p>
    <w:p w14:paraId="68B0C6B1" w14:textId="77777777" w:rsidR="00576A90" w:rsidRDefault="00576A90" w:rsidP="00576A90">
      <w:pPr>
        <w:pStyle w:val="TextoNormal"/>
      </w:pPr>
    </w:p>
    <w:p w14:paraId="1EB3D8E0" w14:textId="77777777" w:rsidR="00576A90" w:rsidRDefault="00576A90" w:rsidP="00576A90">
      <w:pPr>
        <w:pStyle w:val="TextoNormal"/>
      </w:pPr>
      <w:r>
        <w:t>En efecto, la recusación que nos ocupa se promueve en un recurso de amparo cuyo conocimiento corresponde a la Sección Tercera del Tribunal Constitucional desde el 30 de enero de 2024, siendo designada ponente la magistrada doña Inmaculada Montalbán Huer</w:t>
      </w:r>
      <w:r>
        <w:lastRenderedPageBreak/>
        <w:t>tas, tal y como le fue comunicado a la representación procesal del recurrente el 1 de febrero de 2024, conforme quedó indicado en el relato de antecedentes. La composición de la sección es pública, notoria e invariable desde el momento en que se publica en el “Boletín Oficial del Estado” de 19 de enero de 2023 el acuerdo del Pleno del Tribunal Constitucional de 17 de enero de 2023 que dispone la actual composición de las salas y secciones del Tribunal, conforme al cual la Sección Tercera está integrada por doña Inmaculada Montalbán Huertas, don César Tolosa Tribiño y doña Laura Díez Bueso.</w:t>
      </w:r>
    </w:p>
    <w:p w14:paraId="67BA2F93" w14:textId="77777777" w:rsidR="00576A90" w:rsidRDefault="00576A90" w:rsidP="00576A90">
      <w:pPr>
        <w:pStyle w:val="TextoNormal"/>
      </w:pPr>
    </w:p>
    <w:p w14:paraId="4B3FFA95" w14:textId="77777777" w:rsidR="00576A90" w:rsidRDefault="00576A90" w:rsidP="00576A90">
      <w:pPr>
        <w:pStyle w:val="TextoNormal"/>
      </w:pPr>
      <w:r>
        <w:t>Cuando nos encontramos ante recursos de amparo en trámite de admisibilidad, como es el supuesto que ahora nos ocupa, resulta que, siendo competente la sección para conocer de ese trámite (art. 50.1 LOTC), el momento determinante para el cómputo del plazo de recusación (art. 223.1 LOPJ) viene dado por la fecha en que se hace pública la composición de la sección siempre y cuando, con posterioridad a esa fecha, no se produzcan alteraciones en la atribución del conocimiento del asunto a otra sección por cualquiera de las causas previstas en la ley.</w:t>
      </w:r>
    </w:p>
    <w:p w14:paraId="04DC7122" w14:textId="77777777" w:rsidR="00576A90" w:rsidRDefault="00576A90" w:rsidP="00576A90">
      <w:pPr>
        <w:pStyle w:val="TextoNormal"/>
      </w:pPr>
    </w:p>
    <w:p w14:paraId="26C33390" w14:textId="77777777" w:rsidR="00576A90" w:rsidRDefault="00576A90" w:rsidP="00576A90">
      <w:pPr>
        <w:pStyle w:val="TextoNormal"/>
      </w:pPr>
      <w:r>
        <w:t>Ello conduce a apreciar la extemporaneidad de la recusación de la magistrada doña Inmaculada Montalbán Huertas, por cuanto el incidente de recusación ha sido planteado el 20 de febrero de 2024, esto es, ya transcurrido el plazo de diez días hábiles (art. 223.1.1 LOPJ) desde la notificación a la representación procesal del recurrente, el 1 de febrero de 2024, de la primera resolución de este tribunal (diligencia de ordenación del secretario de justicia de 30 de enero de 2024) por la que se conoció que el recurso de amparo en el que se formula la recusación, registrado con el núm. 551-2024, ha sido turnado, a efectos de adoptar la decisión correspondiente sobre su admisibilidad, a la Sección Tercera del Tribunal (cuya composición es pública y notoria desde la publicación en el “Boletín Oficial del Estado” del referido acuerdo del Pleno del Tribunal Constitucional de 17 de enero de 2023) y que ha sido designada ponente la magistrada doña Inmaculada Montalbán Huertas.</w:t>
      </w:r>
    </w:p>
    <w:p w14:paraId="277FFCA2" w14:textId="77777777" w:rsidR="00576A90" w:rsidRDefault="00576A90" w:rsidP="00576A90">
      <w:pPr>
        <w:pStyle w:val="TextoNormal"/>
      </w:pPr>
    </w:p>
    <w:p w14:paraId="3EA2C9A0" w14:textId="10683F8D" w:rsidR="00576A90" w:rsidRDefault="00576A90" w:rsidP="00576A90">
      <w:pPr>
        <w:pStyle w:val="TextoNormal"/>
      </w:pPr>
      <w:r>
        <w:t>b) La recusación de los magistrados don Cándido Conde-Pumpido Tourón y don Juan Carlos Campo Moreno y de la magistrada doña María Luisa Segoviano Astaburuaga resulta improcedente en este momento procesal, ya que estos magistrados no forman parte de la Sección Tercera del Tribunal, que debe decidir sobre la admisión del presente recurso de amparo, conforme a lo anteriormente señalado.</w:t>
      </w:r>
    </w:p>
    <w:p w14:paraId="58C6F759" w14:textId="77777777" w:rsidR="00576A90" w:rsidRDefault="00576A90" w:rsidP="00576A90">
      <w:pPr>
        <w:pStyle w:val="TextoNormal"/>
      </w:pPr>
    </w:p>
    <w:p w14:paraId="1D8B0488" w14:textId="77777777" w:rsidR="00576A90" w:rsidRDefault="00576A90" w:rsidP="00576A90">
      <w:pPr>
        <w:pStyle w:val="TextoNormal"/>
      </w:pPr>
      <w:r>
        <w:t>Por lo expuesto, el Pleno</w:t>
      </w:r>
    </w:p>
    <w:p w14:paraId="3B01695C" w14:textId="4033C7F6" w:rsidR="00576A90" w:rsidRDefault="00576A90" w:rsidP="00576A90">
      <w:pPr>
        <w:pStyle w:val="TextoNormal"/>
      </w:pPr>
    </w:p>
    <w:p w14:paraId="493D9436" w14:textId="77777777" w:rsidR="00576A90" w:rsidRDefault="00576A90" w:rsidP="00576A90">
      <w:pPr>
        <w:pStyle w:val="TextoNormalCentrado"/>
      </w:pPr>
      <w:r>
        <w:t>ACUERDA</w:t>
      </w:r>
    </w:p>
    <w:p w14:paraId="534E8368" w14:textId="0614062D" w:rsidR="00576A90" w:rsidRDefault="00576A90" w:rsidP="00576A90">
      <w:pPr>
        <w:pStyle w:val="TextoNormalCentrado"/>
      </w:pPr>
    </w:p>
    <w:p w14:paraId="5F6F48D7" w14:textId="4B4A3CB7" w:rsidR="00576A90" w:rsidRDefault="00576A90" w:rsidP="00576A90">
      <w:pPr>
        <w:pStyle w:val="TextoNormal"/>
      </w:pPr>
      <w:r>
        <w:t>Inadmitir la recusación promovida en el recurso de amparo núm. 551-2024.</w:t>
      </w:r>
    </w:p>
    <w:p w14:paraId="259F03D7" w14:textId="77777777" w:rsidR="00576A90" w:rsidRDefault="00576A90" w:rsidP="00576A90">
      <w:pPr>
        <w:pStyle w:val="TextoNormal"/>
      </w:pPr>
    </w:p>
    <w:p w14:paraId="1879B700" w14:textId="77777777" w:rsidR="00576A90" w:rsidRDefault="00576A90" w:rsidP="00576A90">
      <w:pPr>
        <w:pStyle w:val="TextoNormal"/>
      </w:pPr>
      <w:r>
        <w:t>Madrid, a nueve de abril de dos mil veinticuatro.</w:t>
      </w:r>
    </w:p>
    <w:p w14:paraId="71F921F3" w14:textId="7D985DBC" w:rsidR="00576A90" w:rsidRDefault="00576A90">
      <w:pPr>
        <w:spacing w:after="160" w:line="259" w:lineRule="auto"/>
        <w:rPr>
          <w:rFonts w:ascii="Times New Roman" w:eastAsia="Times New Roman" w:hAnsi="Times New Roman" w:cs="Times New Roman"/>
          <w:sz w:val="24"/>
          <w:szCs w:val="24"/>
          <w:lang w:eastAsia="es-ES"/>
        </w:rPr>
      </w:pPr>
      <w:r>
        <w:br w:type="page"/>
      </w:r>
    </w:p>
    <w:p w14:paraId="2AE8E868" w14:textId="77777777" w:rsidR="00576A90" w:rsidRDefault="00576A90" w:rsidP="00576A90">
      <w:pPr>
        <w:pStyle w:val="TtuloResolucin"/>
      </w:pPr>
      <w:bookmarkStart w:id="127" w:name="AUTO_2024_32"/>
      <w:r>
        <w:lastRenderedPageBreak/>
        <w:t>AUTO 32/2024, de 9 de abril de 2024</w:t>
      </w:r>
    </w:p>
    <w:bookmarkEnd w:id="127"/>
    <w:p w14:paraId="4564D28E" w14:textId="77777777" w:rsidR="00576A90" w:rsidRDefault="00576A90" w:rsidP="00576A90">
      <w:pPr>
        <w:pStyle w:val="TtuloResolucin"/>
      </w:pPr>
      <w:r>
        <w:t>Pleno</w:t>
      </w:r>
    </w:p>
    <w:p w14:paraId="07C9935E" w14:textId="77777777" w:rsidR="00576A90" w:rsidRDefault="00576A90" w:rsidP="00576A90">
      <w:pPr>
        <w:pStyle w:val="TextoNormalCentrado"/>
      </w:pPr>
      <w:r>
        <w:t>ECLI:ES:TC:2024:32A</w:t>
      </w:r>
    </w:p>
    <w:p w14:paraId="1E51A0A8" w14:textId="3C8CFCC3" w:rsidR="00576A90" w:rsidRDefault="00576A90" w:rsidP="00576A90">
      <w:pPr>
        <w:pStyle w:val="TextoNormalCentrado"/>
      </w:pPr>
    </w:p>
    <w:p w14:paraId="25EC207B" w14:textId="77777777" w:rsidR="00576A90" w:rsidRDefault="00576A90" w:rsidP="00576A90">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w:t>
      </w:r>
    </w:p>
    <w:p w14:paraId="2EA7D409" w14:textId="3E999B6B" w:rsidR="00576A90" w:rsidRDefault="00576A90" w:rsidP="00576A90">
      <w:pPr>
        <w:pStyle w:val="SntesisDescriptiva"/>
      </w:pPr>
    </w:p>
    <w:p w14:paraId="127D6FB3" w14:textId="77777777" w:rsidR="00576A90" w:rsidRDefault="00576A90" w:rsidP="00576A90">
      <w:pPr>
        <w:pStyle w:val="SntesisDescriptiva"/>
      </w:pPr>
      <w:r>
        <w:t>Inadmite una recusación formulada en el recurso de amparo 773-2024, promovido por don Antonio López Navidad en litigio social.</w:t>
      </w:r>
    </w:p>
    <w:p w14:paraId="4B6A7F49" w14:textId="4FA1EFE8" w:rsidR="00576A90" w:rsidRDefault="00576A90" w:rsidP="00576A90">
      <w:pPr>
        <w:pStyle w:val="SntesisDescriptiva"/>
      </w:pPr>
    </w:p>
    <w:p w14:paraId="48BD654A" w14:textId="77777777" w:rsidR="00576A90" w:rsidRDefault="00576A90" w:rsidP="00576A90">
      <w:pPr>
        <w:pStyle w:val="SntesisDescriptiva"/>
      </w:pPr>
    </w:p>
    <w:p w14:paraId="4EB6E5BC" w14:textId="77777777" w:rsidR="00576A90" w:rsidRDefault="00576A90" w:rsidP="00576A90">
      <w:pPr>
        <w:pStyle w:val="SntesisDescriptiva"/>
      </w:pPr>
    </w:p>
    <w:p w14:paraId="052EDC49" w14:textId="77777777" w:rsidR="00576A90" w:rsidRDefault="00576A90" w:rsidP="00576A90">
      <w:pPr>
        <w:pStyle w:val="TextoNormalNegritaCentrado"/>
      </w:pPr>
      <w:r>
        <w:t>AUTO</w:t>
      </w:r>
    </w:p>
    <w:p w14:paraId="3D0F8893" w14:textId="17F74C17" w:rsidR="00576A90" w:rsidRDefault="00576A90" w:rsidP="00576A90">
      <w:pPr>
        <w:pStyle w:val="TextoNormalNegritaCentrado"/>
      </w:pPr>
    </w:p>
    <w:p w14:paraId="58BF9D0D" w14:textId="77777777" w:rsidR="00576A90" w:rsidRDefault="00576A90" w:rsidP="00576A90">
      <w:pPr>
        <w:pStyle w:val="TextoNormalNegritaCentrado"/>
        <w:keepNext/>
      </w:pPr>
      <w:r>
        <w:t>I. Antecedentes</w:t>
      </w:r>
    </w:p>
    <w:p w14:paraId="6C6BF996" w14:textId="0552E8F4" w:rsidR="00576A90" w:rsidRDefault="00576A90" w:rsidP="00576A90">
      <w:pPr>
        <w:pStyle w:val="TextoNormalNegritaCentrado"/>
        <w:keepNext/>
      </w:pPr>
    </w:p>
    <w:p w14:paraId="6717C79D" w14:textId="77777777" w:rsidR="00576A90" w:rsidRDefault="00576A90" w:rsidP="00576A90">
      <w:pPr>
        <w:pStyle w:val="TextoNormal"/>
      </w:pPr>
      <w:r w:rsidRPr="00576A90">
        <w:rPr>
          <w:rStyle w:val="NumeroAFNegritaCaracter"/>
        </w:rPr>
        <w:t>1</w:t>
      </w:r>
      <w:r>
        <w:t>. Mediante escrito presentado el día 5 de febrero de 2024 en el registro general del Tribunal, el procurador de los tribunales don Guzmán de la Villa de la Serna, en nombre y representación de don Antonio López Navidad, interpuso recurso de amparo contra las siguientes resoluciones dictadas por la Sala de lo Social del Tribunal Supremo en el proceso de error judicial núm. 2-2019, instado por el ahora demandante de amparo: la providencia de 3 de diciembre de 2020, de señalamiento para la votación y fallo de la demanda por error judicial, y de designación de los magistrados que compondrán la sala; el auto de 25 de enero de 2021, desestimatorio del recurso de reposición interpuesto contra la providencia de fecha 3 de diciembre de 2020; la sentencia núm. 90/2021, de 26 de enero, que desestima la demanda de error judicial presentada contra la sentencia dictada el día 18 de julio de 2014, por la Sala de lo Social del Tribunal Superior de Justicia de Cataluña en el recurso de suplicación núm. 3133-2014, confirmatoria de la dictada el 13 de diciembre de 2013 por el Juzgado de lo Social núm. 17 de Barcelona, en los autos núm. 1004-2012; el auto de 23 de junio de 2021, que inadmite el incidente de recusación promovido por don Antonio López Navidad frente a la entonces presidenta de la Sala Cuarta del Tribunal Supremo, doña María Luisa Segoviano Astaburuaga, y de la magistrada de la misma sala, doña Rosa María Virolés Piñol; el auto de 1 de junio de 2022, desestimatorio del incidente de nulidad de actuaciones planteado contra el auto de 23 de junio de 2021; el auto de 17 de julio de 2023, que acuerda el archivo de las actuaciones; y la providencia de 29 de noviembre de 2023, que inadmite el incidente de nulidad de actuaciones formulado contra el auto de archivo de 17 de julio de 2023.</w:t>
      </w:r>
    </w:p>
    <w:p w14:paraId="5C0F5EED" w14:textId="77777777" w:rsidR="00576A90" w:rsidRDefault="00576A90" w:rsidP="00576A90">
      <w:pPr>
        <w:pStyle w:val="TextoNormal"/>
      </w:pPr>
    </w:p>
    <w:p w14:paraId="62D3E695" w14:textId="54B98D01" w:rsidR="00576A90" w:rsidRDefault="00576A90" w:rsidP="00576A90">
      <w:pPr>
        <w:pStyle w:val="TextoNormal"/>
      </w:pPr>
      <w:r>
        <w:t>En la demanda de amparo el recurrente invoca la vulneración de sus derechos a la tutela judicial efectiva (art. 24.1 CE) y a un proceso con todas las garantías, en cuanto comprende el derecho a un juez imparcial (art. 24.2 CE).</w:t>
      </w:r>
    </w:p>
    <w:p w14:paraId="113D6116" w14:textId="77777777" w:rsidR="00576A90" w:rsidRDefault="00576A90" w:rsidP="00576A90">
      <w:pPr>
        <w:pStyle w:val="TextoNormal"/>
      </w:pPr>
    </w:p>
    <w:p w14:paraId="59164E4F" w14:textId="77777777" w:rsidR="00576A90" w:rsidRDefault="00576A90" w:rsidP="00576A90">
      <w:pPr>
        <w:pStyle w:val="TextoNormal"/>
      </w:pPr>
      <w:r w:rsidRPr="00576A90">
        <w:rPr>
          <w:rStyle w:val="NumeroAFNegritaCaracter"/>
        </w:rPr>
        <w:t>2</w:t>
      </w:r>
      <w:r>
        <w:t xml:space="preserve">. El 20 de febrero de 2024, la representación procesal del recurrente de amparo presentó en este tribunal un escrito en el que promovía incidente de recusación frente a los </w:t>
      </w:r>
      <w:r>
        <w:lastRenderedPageBreak/>
        <w:t>magistrados don Cándido Conde-Pumpido Tourón y don Juan Carlos Campo Moreno, y las magistradas doña Inmaculada Montalbán Huertas y doña María Luisa Segoviano Astaburuaga.</w:t>
      </w:r>
    </w:p>
    <w:p w14:paraId="38A91570" w14:textId="77777777" w:rsidR="00576A90" w:rsidRDefault="00576A90" w:rsidP="00576A90">
      <w:pPr>
        <w:pStyle w:val="TextoNormal"/>
      </w:pPr>
    </w:p>
    <w:p w14:paraId="637C829B" w14:textId="77777777" w:rsidR="00576A90" w:rsidRDefault="00576A90" w:rsidP="00576A90">
      <w:pPr>
        <w:pStyle w:val="TextoNormal"/>
      </w:pPr>
      <w:r>
        <w:t>En cuanto al magistrado don Cándido Conde-Pumpido Tourón, en el escrito de recusación se argumenta que está incurso en la causa 8 del art. 219 de la Ley Orgánica del Poder Judicial (LOPJ) (“[t]ener pleito pendiente con alguna” de las partes), así como en la causa 11 del art. 219 LOPJ (“[h]aber resuelto el pleito o causa en la anterior instancia”), por tener la condición de “codemandado” en el recurso de amparo y por haber sido ponente de un auto de 11 de marzo de 2016, dictado por la sala prevista en el artículo 61 LOPJ, y que disponía, según se afirma, la inadmisión de una previa demanda de error judicial (procedimiento núm. 9-2015) presentada por el recurrente frente a una sentencia dictada el 24 de junio de 2015 por la Sala de lo Social del Tribunal Supremo, en el recurso de casación para la unificación de doctrina núm. 3125-2012.</w:t>
      </w:r>
    </w:p>
    <w:p w14:paraId="5E4B5B24" w14:textId="77777777" w:rsidR="00576A90" w:rsidRDefault="00576A90" w:rsidP="00576A90">
      <w:pPr>
        <w:pStyle w:val="TextoNormal"/>
      </w:pPr>
    </w:p>
    <w:p w14:paraId="0FB52F18" w14:textId="77777777" w:rsidR="00576A90" w:rsidRDefault="00576A90" w:rsidP="00576A90">
      <w:pPr>
        <w:pStyle w:val="TextoNormal"/>
      </w:pPr>
      <w:r>
        <w:t>Respecto de la magistrada doña María Luisa Segoviano Astaburuaga, plantea el recusante las mismas causas de recusación acabadas de reseñar (art. 219.8 y 11 LOPJ), esta vez por haber formado parte la magistrada recusada del colegio de magistrados que resolvió el referido recurso de casación para la unificación de doctrina núm. 3125-2012, a lo que añade lo siguiente:</w:t>
      </w:r>
    </w:p>
    <w:p w14:paraId="039EE576" w14:textId="77777777" w:rsidR="00576A90" w:rsidRDefault="00576A90" w:rsidP="00576A90">
      <w:pPr>
        <w:pStyle w:val="TextoNormal"/>
      </w:pPr>
    </w:p>
    <w:p w14:paraId="4FBF42C5" w14:textId="77777777" w:rsidR="00576A90" w:rsidRDefault="00576A90" w:rsidP="00576A90">
      <w:pPr>
        <w:pStyle w:val="TextoNormal"/>
      </w:pPr>
      <w:r>
        <w:t>(i) La ponente en el proceso de error judicial núm. 8-2020, la magistrada señora Arastey Sahún, solicitó el 17 de marzo de 2021 el señalamiento para votación y fallo a la entonces presidenta de la Sala de lo Social del Tribunal Supremo, ahora recusada, que lo efectuó siete meses más tarde cuando la señora Arastrey se incorporó al Tribunal de Justicia de la Unión Europea y en respuesta a la petición de impulso procesal. En la providencia de señalamiento asimismo designó “ponente sustituta a dedo”, a la magistrada señora Ureste García.</w:t>
      </w:r>
    </w:p>
    <w:p w14:paraId="52042203" w14:textId="77777777" w:rsidR="00576A90" w:rsidRDefault="00576A90" w:rsidP="00576A90">
      <w:pPr>
        <w:pStyle w:val="TextoNormal"/>
      </w:pPr>
    </w:p>
    <w:p w14:paraId="311961A1" w14:textId="77777777" w:rsidR="00576A90" w:rsidRDefault="00576A90" w:rsidP="00576A90">
      <w:pPr>
        <w:pStyle w:val="TextoNormal"/>
      </w:pPr>
      <w:r>
        <w:t>(ii) En el auto de inadmisión del recurso de casación para unificación de doctrina núm. 3739-2014, no se hizo referencia a la sentencia firme de 9 de mayo de 2024, sino que se basó en exclusiva en el escrito de impugnación del recurso de suplicación que dio lugar a la sentencia de 18 de julio de 2024.</w:t>
      </w:r>
    </w:p>
    <w:p w14:paraId="1BB5D422" w14:textId="77777777" w:rsidR="00576A90" w:rsidRDefault="00576A90" w:rsidP="00576A90">
      <w:pPr>
        <w:pStyle w:val="TextoNormal"/>
      </w:pPr>
    </w:p>
    <w:p w14:paraId="202910F1" w14:textId="77777777" w:rsidR="00576A90" w:rsidRDefault="00576A90" w:rsidP="00576A90">
      <w:pPr>
        <w:pStyle w:val="TextoNormal"/>
      </w:pPr>
      <w:r>
        <w:t>(iii) El 3 de diciembre de 2020 dictó una providencia por la que designó nueva ponente a la magistrada doña Rosa María Virolés Piñol y a los otros dos miembros de la Sala, doña María Luz García de Paredes y don Juan Molins García-Atance; a ello añade que la señora Virolés en el auto de 23 de junio de 2021 decidió “proclamarse a sí misma ‘nueva’ ponente”.</w:t>
      </w:r>
    </w:p>
    <w:p w14:paraId="3BDD5B37" w14:textId="77777777" w:rsidR="00576A90" w:rsidRDefault="00576A90" w:rsidP="00576A90">
      <w:pPr>
        <w:pStyle w:val="TextoNormal"/>
      </w:pPr>
    </w:p>
    <w:p w14:paraId="07EA2107" w14:textId="0DD32C7D" w:rsidR="00576A90" w:rsidRDefault="00576A90" w:rsidP="00576A90">
      <w:pPr>
        <w:pStyle w:val="TextoNormal"/>
      </w:pPr>
      <w:r>
        <w:t xml:space="preserve">Y respecto a la magistrada doña Inmaculada Montalbán Huertas y al magistrado don Juan Carlos Campo Moreno, alega que están incursos en la causa de recusación 11 del art. 219 LOPJ, porque “ambos han intervenido como principales protagonistas” en el incidente de recusación promovido por el recurrente el 27 de julio de 2023 contra el magistrado don Cándido Conde-Pumpido Tourón y la magistrada doña María Luisa Segoviano Astaburuaga, en el recurso de amparo núm. 4811-2023, la primera como presidenta por sustitución del Pleno del Tribunal Constitucional que dictó el ATC 488/2023, de 24 de octubre, </w:t>
      </w:r>
      <w:r>
        <w:lastRenderedPageBreak/>
        <w:t>por el que se inadmiten a trámite esas recusaciones, y el segundo como magistrado ponente de dicho incidente de recusación.</w:t>
      </w:r>
    </w:p>
    <w:p w14:paraId="37458BFB" w14:textId="77777777" w:rsidR="00576A90" w:rsidRDefault="00576A90" w:rsidP="00576A90">
      <w:pPr>
        <w:pStyle w:val="TextoNormal"/>
      </w:pPr>
    </w:p>
    <w:p w14:paraId="6BA51D17" w14:textId="3859FBB6" w:rsidR="00576A90" w:rsidRDefault="00576A90" w:rsidP="00576A90">
      <w:pPr>
        <w:pStyle w:val="TextoNormal"/>
      </w:pPr>
      <w:r w:rsidRPr="00576A90">
        <w:rPr>
          <w:rStyle w:val="NumeroAFNegritaCaracter"/>
        </w:rPr>
        <w:t>3</w:t>
      </w:r>
      <w:r>
        <w:t>. Por diligencia de ordenación de 8 de marzo de 2024, notificada al procurador del demandante el 12 de marzo de 2024, se acuerda formar pieza separada y designar ponente del incidente de recusación a la magistrada doña Concepción Espejel Jorquera.</w:t>
      </w:r>
    </w:p>
    <w:p w14:paraId="5DE3EF3A" w14:textId="77777777" w:rsidR="00576A90" w:rsidRDefault="00576A90" w:rsidP="00576A90">
      <w:pPr>
        <w:pStyle w:val="TextoNormal"/>
      </w:pPr>
    </w:p>
    <w:p w14:paraId="3DB02647" w14:textId="77777777" w:rsidR="00576A90" w:rsidRDefault="00576A90" w:rsidP="00576A90">
      <w:pPr>
        <w:pStyle w:val="TextoNormalNegritaCentrado"/>
        <w:keepNext/>
      </w:pPr>
      <w:r>
        <w:t>II. Fundamentos jurídicos</w:t>
      </w:r>
    </w:p>
    <w:p w14:paraId="792CD42B" w14:textId="47D47C44" w:rsidR="00576A90" w:rsidRDefault="00576A90" w:rsidP="00576A90">
      <w:pPr>
        <w:pStyle w:val="TextoNormalNegritaCentrado"/>
        <w:keepNext/>
      </w:pPr>
    </w:p>
    <w:p w14:paraId="3592CC42" w14:textId="77777777" w:rsidR="00576A90" w:rsidRDefault="00576A90" w:rsidP="00576A90">
      <w:pPr>
        <w:pStyle w:val="TextoNormal"/>
      </w:pPr>
      <w:r w:rsidRPr="00576A90">
        <w:rPr>
          <w:rStyle w:val="NumeroAFNegritaCaracter"/>
        </w:rPr>
        <w:t>1</w:t>
      </w:r>
      <w:r>
        <w:t xml:space="preserve">. </w:t>
      </w:r>
      <w:r w:rsidRPr="00576A90">
        <w:rPr>
          <w:i/>
        </w:rPr>
        <w:t>Objeto de esta resolución</w:t>
      </w:r>
    </w:p>
    <w:p w14:paraId="7455BB62" w14:textId="77777777" w:rsidR="00576A90" w:rsidRDefault="00576A90" w:rsidP="00576A90">
      <w:pPr>
        <w:pStyle w:val="TextoNormal"/>
      </w:pPr>
    </w:p>
    <w:p w14:paraId="64F94EAA" w14:textId="36E97E24" w:rsidR="00576A90" w:rsidRDefault="00576A90" w:rsidP="00576A90">
      <w:pPr>
        <w:pStyle w:val="TextoNormal"/>
      </w:pPr>
      <w:r>
        <w:t>El objeto de la presente resolución es dar respuesta a la solicitud de recusación del presidente y de otros tres magistrados de este tribunal para conocer del recurso de amparo núm. 773-2024, que está pendiente de una decisión sobre su admisibilidad en la Sección Primera.</w:t>
      </w:r>
    </w:p>
    <w:p w14:paraId="237EC9AA" w14:textId="77777777" w:rsidR="00576A90" w:rsidRDefault="00576A90" w:rsidP="00576A90">
      <w:pPr>
        <w:pStyle w:val="TextoNormal"/>
      </w:pPr>
    </w:p>
    <w:p w14:paraId="398BEBD8" w14:textId="77777777" w:rsidR="00576A90" w:rsidRDefault="00576A90" w:rsidP="00576A90">
      <w:pPr>
        <w:pStyle w:val="TextoNormal"/>
      </w:pPr>
      <w:r w:rsidRPr="00576A90">
        <w:rPr>
          <w:rStyle w:val="NumeroAFNegritaCaracter"/>
        </w:rPr>
        <w:t>2</w:t>
      </w:r>
      <w:r>
        <w:t xml:space="preserve">. </w:t>
      </w:r>
      <w:r w:rsidRPr="00576A90">
        <w:rPr>
          <w:i/>
        </w:rPr>
        <w:t>Composición del Pleno para conocer de la recusación</w:t>
      </w:r>
    </w:p>
    <w:p w14:paraId="7D64EF14" w14:textId="77777777" w:rsidR="00576A90" w:rsidRDefault="00576A90" w:rsidP="00576A90">
      <w:pPr>
        <w:pStyle w:val="TextoNormal"/>
      </w:pPr>
    </w:p>
    <w:p w14:paraId="1C0A2459" w14:textId="77777777" w:rsidR="00576A90" w:rsidRDefault="00576A90" w:rsidP="00576A90">
      <w:pPr>
        <w:pStyle w:val="TextoNormal"/>
      </w:pPr>
      <w:r>
        <w:t>El art. 10.1 k) de la Ley Orgánica del Tribunal Constitucional (LOTC) atribuye al Pleno la competencia para resolver las recusaciones de los magistrados del Tribunal Constitucional. Al mismo tiempo, el art. 14 de la misma ley dispone que “[e]l Tribunal en Pleno puede adoptar acuerdos cuando estén presentes, al menos, dos tercios de los miembros que en cada momento lo compongan”.</w:t>
      </w:r>
    </w:p>
    <w:p w14:paraId="2DEE9AF5" w14:textId="77777777" w:rsidR="00576A90" w:rsidRDefault="00576A90" w:rsidP="00576A90">
      <w:pPr>
        <w:pStyle w:val="TextoNormal"/>
      </w:pPr>
    </w:p>
    <w:p w14:paraId="3AC88029" w14:textId="77777777" w:rsidR="00576A90" w:rsidRDefault="00576A90" w:rsidP="00576A90">
      <w:pPr>
        <w:pStyle w:val="TextoNormal"/>
      </w:pPr>
      <w:r>
        <w:t xml:space="preserve">Aunque en la actualidad el Tribunal lo componen once miembros, ya que se encuentra vacante una plaza correspondiente al turno de nombramientos del Senado, el </w:t>
      </w:r>
      <w:r w:rsidRPr="00576A90">
        <w:rPr>
          <w:i/>
        </w:rPr>
        <w:t>quorum</w:t>
      </w:r>
      <w:r>
        <w:t xml:space="preserve"> para adoptar acuerdos sigue siendo de ocho magistrados, por lo que al ser cuatro los recusados solamente siete podrían formar sala para resolver el incidente de acuerdo con la regla general del art. 227 LOPJ, de aplicación supletoria ante esta jurisdicción (art. 80 LOTC), que impide a los primeros resolver su propia recusación.</w:t>
      </w:r>
    </w:p>
    <w:p w14:paraId="71F4955A" w14:textId="77777777" w:rsidR="00576A90" w:rsidRDefault="00576A90" w:rsidP="00576A90">
      <w:pPr>
        <w:pStyle w:val="TextoNormal"/>
      </w:pPr>
    </w:p>
    <w:p w14:paraId="3C6099E0" w14:textId="77777777" w:rsidR="00576A90" w:rsidRDefault="00576A90" w:rsidP="00576A90">
      <w:pPr>
        <w:pStyle w:val="TextoNormal"/>
      </w:pPr>
      <w:r>
        <w:t>Cuando así sucede, “la singular conformación del Tribunal Constitucional, que se guía por las reglas generales de sustitución de magistrados contenidas en la Ley Orgánica del Poder Judicial, pero que por su naturaleza de órgano constitucional no admite la sustitución puntual o meramente circunstancial de los magistrados que lo componen, exige una flexibilización de las reglas generales y subsidiarias que rigen los institutos de la recusación y la abstención de los magistrados. Es imprescindible, para asegurar la propia funcionalidad del órgano constitucional, que la aplicación del régimen de recusación y de abstención no conduzca a resultados absurdos o gravemente perturbadores para las funciones que tiene constitucionalmente asignadas, excluir […] la aplicación del art. 227 LOPJ por el que se impide a los recusados formar parte del órgano que haya de decidir sobre su recusación” (ATC 70/2023, de 21 de febrero, FJ 2).</w:t>
      </w:r>
    </w:p>
    <w:p w14:paraId="40A67860" w14:textId="77777777" w:rsidR="00576A90" w:rsidRDefault="00576A90" w:rsidP="00576A90">
      <w:pPr>
        <w:pStyle w:val="TextoNormal"/>
      </w:pPr>
    </w:p>
    <w:p w14:paraId="12DAD63D" w14:textId="259E0B05" w:rsidR="00576A90" w:rsidRDefault="00576A90" w:rsidP="00576A90">
      <w:pPr>
        <w:pStyle w:val="TextoNormal"/>
      </w:pPr>
      <w:r>
        <w:t xml:space="preserve">Solo así puede alcanzarse, en efecto, de acuerdo con lo dispuesto en el art. 14 LOTC, el </w:t>
      </w:r>
      <w:r w:rsidRPr="00576A90">
        <w:rPr>
          <w:i/>
        </w:rPr>
        <w:t>quorum</w:t>
      </w:r>
      <w:r>
        <w:t xml:space="preserve"> imprescindible para que el Tribunal pueda actuar. Otra solución supondría una paralización inaceptable del ejercicio de la jurisdicción constitucional, como tenemos reiteradamente declarado (entre otros, AATC 443/2007, de 27 de noviembre; 268/2013, de </w:t>
      </w:r>
      <w:r>
        <w:lastRenderedPageBreak/>
        <w:t>19 de noviembre; 268/2014 y 269/2014, ambos de 4 de noviembre; 119/2017, de 7 de septiembre; 84/2020 y 85/2020, ambos de 21 de julio; 86/2021, de 16 de septiembre; 75/2022, de 27 de abril, y 70/2023, de 21 de febrero).</w:t>
      </w:r>
    </w:p>
    <w:p w14:paraId="5FC5D96B" w14:textId="77777777" w:rsidR="00576A90" w:rsidRDefault="00576A90" w:rsidP="00576A90">
      <w:pPr>
        <w:pStyle w:val="TextoNormal"/>
      </w:pPr>
    </w:p>
    <w:p w14:paraId="59F62B80" w14:textId="77777777" w:rsidR="00576A90" w:rsidRDefault="00576A90" w:rsidP="00576A90">
      <w:pPr>
        <w:pStyle w:val="TextoNormal"/>
      </w:pPr>
      <w:r w:rsidRPr="00576A90">
        <w:rPr>
          <w:rStyle w:val="NumeroAFNegritaCaracter"/>
        </w:rPr>
        <w:t>3</w:t>
      </w:r>
      <w:r>
        <w:t xml:space="preserve">. </w:t>
      </w:r>
      <w:r w:rsidRPr="00576A90">
        <w:rPr>
          <w:i/>
        </w:rPr>
        <w:t>Inadmisión</w:t>
      </w:r>
      <w:r>
        <w:t xml:space="preserve"> a limine </w:t>
      </w:r>
      <w:r w:rsidRPr="00576A90">
        <w:rPr>
          <w:i/>
        </w:rPr>
        <w:t>de la solicitud de recusación planteada</w:t>
      </w:r>
    </w:p>
    <w:p w14:paraId="2CDC5BCE" w14:textId="77777777" w:rsidR="00576A90" w:rsidRDefault="00576A90" w:rsidP="00576A90">
      <w:pPr>
        <w:pStyle w:val="TextoNormal"/>
      </w:pPr>
    </w:p>
    <w:p w14:paraId="4D9AEFF8" w14:textId="77777777" w:rsidR="00576A90" w:rsidRDefault="00576A90" w:rsidP="00576A90">
      <w:pPr>
        <w:pStyle w:val="TextoNormal"/>
      </w:pPr>
      <w:r>
        <w:t>Este tribunal ha reiterado la posibilidad de denegar la tramitación del incidente de recusación cuando razones procesales o de fondo así lo exijan; pudiendo producirse no solo como consecuencia de su defectuoso planteamiento procesal, en atención al momento en que se suscita, su reiteración, las circunstancias que la rodean, su planteamiento o las argumentaciones que la fundamentan, sino también cuando es formulada con manifiesto abuso de derecho o entraña fraude de ley o procesal de acuerdo con lo establecido en el art. 11.2 LOPJ (entre otros muchos, AATC 156/2022, de 16 de noviembre, FJ 2; 31/2023, de 7 de febrero, FJ 2, y 238/2023, de 9 de mayo, FJ único).</w:t>
      </w:r>
    </w:p>
    <w:p w14:paraId="0BB27751" w14:textId="77777777" w:rsidR="00576A90" w:rsidRDefault="00576A90" w:rsidP="00576A90">
      <w:pPr>
        <w:pStyle w:val="TextoNormal"/>
      </w:pPr>
    </w:p>
    <w:p w14:paraId="39ADAC05" w14:textId="77777777" w:rsidR="00576A90" w:rsidRDefault="00576A90" w:rsidP="00576A90">
      <w:pPr>
        <w:pStyle w:val="TextoNormal"/>
      </w:pPr>
      <w:r>
        <w:t>El Tribunal, en atención a la citada jurisprudencia, deniega liminarmente la tramitación de las recusaciones formuladas que han dado lugar al presente incidente, por las razones siguientes:</w:t>
      </w:r>
    </w:p>
    <w:p w14:paraId="464A808D" w14:textId="77777777" w:rsidR="00576A90" w:rsidRDefault="00576A90" w:rsidP="00576A90">
      <w:pPr>
        <w:pStyle w:val="TextoNormal"/>
      </w:pPr>
    </w:p>
    <w:p w14:paraId="3CC3E521" w14:textId="77777777" w:rsidR="00576A90" w:rsidRDefault="00576A90" w:rsidP="00576A90">
      <w:pPr>
        <w:pStyle w:val="TextoNormal"/>
      </w:pPr>
      <w:r>
        <w:t>a) En relación con la recusación del magistrado don Cándido Conde-Pumpido Tourón, presidente de este tribunal y de su Sección Primera —la cual debe decidir sobre la admisión del presente recurso de amparo—, no concurre ninguna de las dos causas que afirma el recusante:</w:t>
      </w:r>
    </w:p>
    <w:p w14:paraId="4603FE6B" w14:textId="77777777" w:rsidR="00576A90" w:rsidRDefault="00576A90" w:rsidP="00576A90">
      <w:pPr>
        <w:pStyle w:val="TextoNormal"/>
      </w:pPr>
    </w:p>
    <w:p w14:paraId="43FD552F" w14:textId="77777777" w:rsidR="00576A90" w:rsidRDefault="00576A90" w:rsidP="00576A90">
      <w:pPr>
        <w:pStyle w:val="TextoNormal"/>
      </w:pPr>
      <w:r>
        <w:t>(i) La prevista en el art. 219.8 LOPJ (“[t]ener pleito pendiente con alguna” de las partes en el proceso), es notoriamente infundada, dado que el magistrado señor Conde-Pumpido Tourón carece en este proceso constitucional de la condición de “codemandado” que le atribuye el recusante, al no hallarse comprendido en ninguno de los supuestos contemplados en el art. 47.1 LOTC.</w:t>
      </w:r>
    </w:p>
    <w:p w14:paraId="38BCA142" w14:textId="77777777" w:rsidR="00576A90" w:rsidRDefault="00576A90" w:rsidP="00576A90">
      <w:pPr>
        <w:pStyle w:val="TextoNormal"/>
      </w:pPr>
    </w:p>
    <w:p w14:paraId="7BCA9575" w14:textId="77777777" w:rsidR="00576A90" w:rsidRDefault="00576A90" w:rsidP="00576A90">
      <w:pPr>
        <w:pStyle w:val="TextoNormal"/>
      </w:pPr>
      <w:r>
        <w:t>(ii) En cuanto a la recusación por la causa 11 del artículo 219 LOPJ (“[h]aber resuelto el pleito o causa en anterior instancia”), coincide en sus términos con la recusación que el mismo recusante planteó el 27 de julio de 2023 en el recurso de amparo núm. 4811-2023 y que fue inadmitida por el ATC 488/2023, de 24 de octubre, cuyos fundamentos damos aquí por reproducidos, a los que cabe añadir que la resolución a la que el recurrente vincula la alegada falta de imparcialidad no fue dictada en el proceso por error judicial del que dimanan las resoluciones que son objeto del presente recurso de amparo.</w:t>
      </w:r>
    </w:p>
    <w:p w14:paraId="6AD2B2AC" w14:textId="77777777" w:rsidR="00576A90" w:rsidRDefault="00576A90" w:rsidP="00576A90">
      <w:pPr>
        <w:pStyle w:val="TextoNormal"/>
      </w:pPr>
    </w:p>
    <w:p w14:paraId="5C98D3E8" w14:textId="77777777" w:rsidR="00576A90" w:rsidRDefault="00576A90" w:rsidP="00576A90">
      <w:pPr>
        <w:pStyle w:val="TextoNormal"/>
      </w:pPr>
      <w:r>
        <w:t>b) En relación con la recusación de la magistrada de la Sección Primera de este tribunal, doña María Luisa Segoviano Astaburuaga, no puede prosperar por las siguientes razones:</w:t>
      </w:r>
    </w:p>
    <w:p w14:paraId="067BCF8D" w14:textId="77777777" w:rsidR="00576A90" w:rsidRDefault="00576A90" w:rsidP="00576A90">
      <w:pPr>
        <w:pStyle w:val="TextoNormal"/>
      </w:pPr>
    </w:p>
    <w:p w14:paraId="2C0DDC21" w14:textId="77777777" w:rsidR="00576A90" w:rsidRDefault="00576A90" w:rsidP="00576A90">
      <w:pPr>
        <w:pStyle w:val="TextoNormal"/>
      </w:pPr>
      <w:r>
        <w:t xml:space="preserve">(i) Como acabamos de indicar respecto a la recusación del presidente de este tribunal, las causas 8 y 11 del art. 219 LOPJ invocadas en este incidente de recusación, por figurar como “codemandada” en este recurso de amparo y por haber formado parte de la Sala de lo Social que resolvió el recurso de casación para la unificación de doctrina núm. 3125-2012, en primer lugar hay que dar por reproducidos los argumentos acabados de exponer determinantes de su rechazo </w:t>
      </w:r>
      <w:r w:rsidRPr="00576A90">
        <w:rPr>
          <w:i/>
        </w:rPr>
        <w:t>a limine</w:t>
      </w:r>
      <w:r>
        <w:t>; y en segundo lugar, además de coincidir con la re</w:t>
      </w:r>
      <w:r>
        <w:lastRenderedPageBreak/>
        <w:t>cusación planteada en el recurso de amparo núm. 4811-2023, cuya inadmisión se produjo mediante el ATC 488/2023, de 24 de octubre, la resolución que resolvió el citado recurso de casación, a la que se anuda la falta de imparcialidad y de cuya fundamentación además discrepa el recusante, se dictó en un recurso de casación que no constituye una instancia anterior (art. 219.11 LOPJ) del proceso de error judicial en el que se dictaron las resoluciones impugnadas en el presente recurso de amparo.</w:t>
      </w:r>
    </w:p>
    <w:p w14:paraId="0958659B" w14:textId="77777777" w:rsidR="00576A90" w:rsidRDefault="00576A90" w:rsidP="00576A90">
      <w:pPr>
        <w:pStyle w:val="TextoNormal"/>
      </w:pPr>
    </w:p>
    <w:p w14:paraId="2B3394AE" w14:textId="77777777" w:rsidR="00576A90" w:rsidRDefault="00576A90" w:rsidP="00576A90">
      <w:pPr>
        <w:pStyle w:val="TextoNormal"/>
      </w:pPr>
      <w:r>
        <w:t>(ii) Y en lo atinente a las circunstancias alegadas por el recusante en relación con la providencia de 3 de diciembre de 2020, de señalamiento para votación y fallo en el proceso de error judicial núm. 8-2020 y de designación del colegio de magistrados que había de resolverlo, constituye un acto de impulso procesal que en nada prejuzgó la sentencia dictada en el citado proceso y en la que ninguna intervención tuvo la magistrada ahora recusada. Por otra parte, los juicios de intenciones que el demandante atribuye a la magistrada recusada no pasan de ser la expresión de meras conjeturas sin apariencia alguna de verisimilitud.</w:t>
      </w:r>
    </w:p>
    <w:p w14:paraId="2935A7A4" w14:textId="77777777" w:rsidR="00576A90" w:rsidRDefault="00576A90" w:rsidP="00576A90">
      <w:pPr>
        <w:pStyle w:val="TextoNormal"/>
      </w:pPr>
    </w:p>
    <w:p w14:paraId="6A25E29F" w14:textId="348835A0" w:rsidR="00576A90" w:rsidRDefault="00576A90" w:rsidP="00576A90">
      <w:pPr>
        <w:pStyle w:val="TextoNormal"/>
      </w:pPr>
      <w:r>
        <w:t>c) En cuanto a la recusación de la vicepresidenta de este tribunal, la magistrada doña Inmaculada Montalbán Huertas, y del magistrado don Juan Carlos Campo Moreno, resulta improcedente en este momento procesal, ya que ninguno forma parte de la Sección Primera que debe decidir sobre la admisión del presente recurso de amparo, conforme a lo anteriormente señalado.</w:t>
      </w:r>
    </w:p>
    <w:p w14:paraId="483376B0" w14:textId="77777777" w:rsidR="00576A90" w:rsidRDefault="00576A90" w:rsidP="00576A90">
      <w:pPr>
        <w:pStyle w:val="TextoNormal"/>
      </w:pPr>
    </w:p>
    <w:p w14:paraId="18C31E95" w14:textId="77777777" w:rsidR="00576A90" w:rsidRDefault="00576A90" w:rsidP="00576A90">
      <w:pPr>
        <w:pStyle w:val="TextoNormal"/>
      </w:pPr>
      <w:r>
        <w:t>Por lo expuesto, el Pleno</w:t>
      </w:r>
    </w:p>
    <w:p w14:paraId="01DC30B0" w14:textId="7744782C" w:rsidR="00576A90" w:rsidRDefault="00576A90" w:rsidP="00576A90">
      <w:pPr>
        <w:pStyle w:val="TextoNormal"/>
      </w:pPr>
    </w:p>
    <w:p w14:paraId="15F5D7D3" w14:textId="77777777" w:rsidR="00576A90" w:rsidRDefault="00576A90" w:rsidP="00576A90">
      <w:pPr>
        <w:pStyle w:val="TextoNormalCentrado"/>
      </w:pPr>
      <w:r>
        <w:t>ACUERDA</w:t>
      </w:r>
    </w:p>
    <w:p w14:paraId="603CC09F" w14:textId="15B68415" w:rsidR="00576A90" w:rsidRDefault="00576A90" w:rsidP="00576A90">
      <w:pPr>
        <w:pStyle w:val="TextoNormalCentrado"/>
      </w:pPr>
    </w:p>
    <w:p w14:paraId="603EEC81" w14:textId="69040AC5" w:rsidR="00576A90" w:rsidRDefault="00576A90" w:rsidP="00576A90">
      <w:pPr>
        <w:pStyle w:val="TextoNormal"/>
      </w:pPr>
      <w:r>
        <w:t>Inadmitir la recusación promovida por don Antonio López Navidad en el recurso de amparo núm. 773-2024.</w:t>
      </w:r>
    </w:p>
    <w:p w14:paraId="2C33C168" w14:textId="77777777" w:rsidR="00576A90" w:rsidRDefault="00576A90" w:rsidP="00576A90">
      <w:pPr>
        <w:pStyle w:val="TextoNormal"/>
      </w:pPr>
    </w:p>
    <w:p w14:paraId="421C75EE" w14:textId="77777777" w:rsidR="00576A90" w:rsidRDefault="00576A90" w:rsidP="00576A90">
      <w:pPr>
        <w:pStyle w:val="TextoNormal"/>
      </w:pPr>
      <w:r>
        <w:t>Madrid, a nueve de abril de dos mil veinticuatro.</w:t>
      </w:r>
    </w:p>
    <w:p w14:paraId="676D7119" w14:textId="6C98AA0A" w:rsidR="00576A90" w:rsidRDefault="00576A90">
      <w:pPr>
        <w:spacing w:after="160" w:line="259" w:lineRule="auto"/>
        <w:rPr>
          <w:rFonts w:ascii="Times New Roman" w:eastAsia="Times New Roman" w:hAnsi="Times New Roman" w:cs="Times New Roman"/>
          <w:sz w:val="24"/>
          <w:szCs w:val="24"/>
          <w:lang w:eastAsia="es-ES"/>
        </w:rPr>
      </w:pPr>
      <w:r>
        <w:br w:type="page"/>
      </w:r>
    </w:p>
    <w:p w14:paraId="3DB4F43C" w14:textId="77777777" w:rsidR="00576A90" w:rsidRDefault="00576A90" w:rsidP="00576A90">
      <w:pPr>
        <w:pStyle w:val="TtuloResolucin"/>
      </w:pPr>
      <w:bookmarkStart w:id="128" w:name="AUTO_2024_33"/>
      <w:r>
        <w:lastRenderedPageBreak/>
        <w:t>AUTO 33/2024, de 9 de abril de 2024</w:t>
      </w:r>
    </w:p>
    <w:bookmarkEnd w:id="128"/>
    <w:p w14:paraId="086E0772" w14:textId="77777777" w:rsidR="00576A90" w:rsidRDefault="00576A90" w:rsidP="00576A90">
      <w:pPr>
        <w:pStyle w:val="TtuloResolucin"/>
      </w:pPr>
      <w:r>
        <w:t>Pleno</w:t>
      </w:r>
    </w:p>
    <w:p w14:paraId="790AA5D8" w14:textId="77777777" w:rsidR="00576A90" w:rsidRDefault="00576A90" w:rsidP="00576A90">
      <w:pPr>
        <w:pStyle w:val="TextoNormalCentrado"/>
      </w:pPr>
      <w:r>
        <w:t>ECLI:ES:TC:2024:33A</w:t>
      </w:r>
    </w:p>
    <w:p w14:paraId="749813FA" w14:textId="094361C6" w:rsidR="00576A90" w:rsidRDefault="00576A90" w:rsidP="00576A90">
      <w:pPr>
        <w:pStyle w:val="TextoNormalCentrado"/>
      </w:pPr>
    </w:p>
    <w:p w14:paraId="5BCA363F" w14:textId="77777777" w:rsidR="00576A90" w:rsidRDefault="00576A90" w:rsidP="00576A90">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w:t>
      </w:r>
    </w:p>
    <w:p w14:paraId="7B15D818" w14:textId="532F61DD" w:rsidR="00576A90" w:rsidRDefault="00576A90" w:rsidP="00576A90">
      <w:pPr>
        <w:pStyle w:val="SntesisDescriptiva"/>
      </w:pPr>
    </w:p>
    <w:p w14:paraId="3D937AB1" w14:textId="77777777" w:rsidR="00576A90" w:rsidRDefault="00576A90" w:rsidP="00576A90">
      <w:pPr>
        <w:pStyle w:val="SntesisDescriptiva"/>
      </w:pPr>
      <w:r>
        <w:t>Inadmite una recusación formulada en el recurso de amparo 787-2024, promovido por don Antonio López Navidad en litigio social.</w:t>
      </w:r>
    </w:p>
    <w:p w14:paraId="03362C5D" w14:textId="50508F3A" w:rsidR="00576A90" w:rsidRDefault="00576A90" w:rsidP="00576A90">
      <w:pPr>
        <w:pStyle w:val="SntesisDescriptiva"/>
      </w:pPr>
    </w:p>
    <w:p w14:paraId="0E0D1CD1" w14:textId="77777777" w:rsidR="00576A90" w:rsidRDefault="00576A90" w:rsidP="00576A90">
      <w:pPr>
        <w:pStyle w:val="SntesisDescriptiva"/>
      </w:pPr>
    </w:p>
    <w:p w14:paraId="1E86DA4E" w14:textId="77777777" w:rsidR="00576A90" w:rsidRDefault="00576A90" w:rsidP="00576A90">
      <w:pPr>
        <w:pStyle w:val="SntesisDescriptiva"/>
      </w:pPr>
    </w:p>
    <w:p w14:paraId="5AF45D17" w14:textId="77777777" w:rsidR="00576A90" w:rsidRDefault="00576A90" w:rsidP="00576A90">
      <w:pPr>
        <w:pStyle w:val="TextoNormalNegritaCentrado"/>
      </w:pPr>
      <w:r>
        <w:t>AUTO</w:t>
      </w:r>
    </w:p>
    <w:p w14:paraId="033C520D" w14:textId="3C2462F0" w:rsidR="00576A90" w:rsidRDefault="00576A90" w:rsidP="00576A90">
      <w:pPr>
        <w:pStyle w:val="TextoNormalNegritaCentrado"/>
      </w:pPr>
    </w:p>
    <w:p w14:paraId="3F772BA0" w14:textId="77777777" w:rsidR="00576A90" w:rsidRDefault="00576A90" w:rsidP="00576A90">
      <w:pPr>
        <w:pStyle w:val="TextoNormalNegritaCentrado"/>
        <w:keepNext/>
      </w:pPr>
      <w:r>
        <w:t>I. Antecedentes</w:t>
      </w:r>
    </w:p>
    <w:p w14:paraId="68FCF3C5" w14:textId="4B20AC1A" w:rsidR="00576A90" w:rsidRDefault="00576A90" w:rsidP="00576A90">
      <w:pPr>
        <w:pStyle w:val="TextoNormalNegritaCentrado"/>
        <w:keepNext/>
      </w:pPr>
    </w:p>
    <w:p w14:paraId="73FAAFF5" w14:textId="77777777" w:rsidR="00576A90" w:rsidRDefault="00576A90" w:rsidP="00576A90">
      <w:pPr>
        <w:pStyle w:val="TextoNormal"/>
      </w:pPr>
      <w:r w:rsidRPr="00576A90">
        <w:rPr>
          <w:rStyle w:val="NumeroAFNegritaCaracter"/>
        </w:rPr>
        <w:t>1</w:t>
      </w:r>
      <w:r>
        <w:t>. Mediante escrito presentado el 5 de febrero de 2024 en el registro general del Tribunal, el procurador de los tribunales don Guzmán de la Villa de la Serna, en nombre y representación de don Antonio López Navidad, interpuso recurso de amparo contra la providencia de la Sala de lo Social del Tribunal Supremo de 21 de diciembre de 2021, por la que se designa por necesidades de servicio nueva ponente en el procedimiento de declaración de error judicial núm. 8-2020 y las resoluciones posteriormente dictadas por la Sala de lo Social del Tribunal Supremo en el mismo procedimiento: sentencia de 2 de febrero de 2022, que desestima la demanda por error judicial; los autos de 2 de febrero de 2022, de 24 de febrero de 2022, de 12 de mayo de 2022 y de 23 de noviembre de 2022; así como la providencia de 15 de junio de 2022.</w:t>
      </w:r>
    </w:p>
    <w:p w14:paraId="0F46A822" w14:textId="77777777" w:rsidR="00576A90" w:rsidRDefault="00576A90" w:rsidP="00576A90">
      <w:pPr>
        <w:pStyle w:val="TextoNormal"/>
      </w:pPr>
    </w:p>
    <w:p w14:paraId="648DEB8E" w14:textId="77777777" w:rsidR="00576A90" w:rsidRDefault="00576A90" w:rsidP="00576A90">
      <w:pPr>
        <w:pStyle w:val="TextoNormal"/>
      </w:pPr>
      <w:r>
        <w:t>En su demanda de amparo el recurrente invoca la vulneración de sus derechos a la tutela judicial efectiva (art. 24.1 CE) y a un proceso con todas las garantías, en cuanto comprende el derecho a un juez imparcial (art. 24.2 CE).</w:t>
      </w:r>
    </w:p>
    <w:p w14:paraId="1AF3121F" w14:textId="77777777" w:rsidR="00576A90" w:rsidRDefault="00576A90" w:rsidP="00576A90">
      <w:pPr>
        <w:pStyle w:val="TextoNormal"/>
      </w:pPr>
    </w:p>
    <w:p w14:paraId="65D6402C" w14:textId="0DBAA912" w:rsidR="00576A90" w:rsidRDefault="00576A90" w:rsidP="00576A90">
      <w:pPr>
        <w:pStyle w:val="TextoNormal"/>
      </w:pPr>
      <w:r>
        <w:t>El recurso de amparo, registrado con el núm. 787-2024, fue turnado, a efectos de adoptar la decisión correspondiente sobre su admisibilidad, a la Sección Segunda de este tribunal, siendo designado ponente el magistrado don Juan Carlos Campo Moreno. Por diligencia de ordenación de la secretaria de justicia, de 7 de febrero de 2024, notificada el 8 de febrero de 2024, se concedió al recurrente un plazo de diez días hábiles para que aportara determinada documentación.</w:t>
      </w:r>
    </w:p>
    <w:p w14:paraId="65933055" w14:textId="77777777" w:rsidR="00576A90" w:rsidRDefault="00576A90" w:rsidP="00576A90">
      <w:pPr>
        <w:pStyle w:val="TextoNormal"/>
      </w:pPr>
    </w:p>
    <w:p w14:paraId="29E0F42B" w14:textId="77777777" w:rsidR="00576A90" w:rsidRDefault="00576A90" w:rsidP="00576A90">
      <w:pPr>
        <w:pStyle w:val="TextoNormal"/>
      </w:pPr>
      <w:r w:rsidRPr="00576A90">
        <w:rPr>
          <w:rStyle w:val="NumeroAFNegritaCaracter"/>
        </w:rPr>
        <w:t>2</w:t>
      </w:r>
      <w:r>
        <w:t>. El 20 de febrero de 2024, la representación procesal del recurrente de amparo presentó en este tribunal un escrito en el que promovía incidente de recusación frente a los magistrados don Cándido Conde-Pumpido Tourón y don Juan Carlos Campo Moreno y las magistradas doña María Luisa Segoviano Astaburuaga y doña Inmaculada Montalbán Huertas.</w:t>
      </w:r>
    </w:p>
    <w:p w14:paraId="4FD575BD" w14:textId="77777777" w:rsidR="00576A90" w:rsidRDefault="00576A90" w:rsidP="00576A90">
      <w:pPr>
        <w:pStyle w:val="TextoNormal"/>
      </w:pPr>
    </w:p>
    <w:p w14:paraId="68B28824" w14:textId="77777777" w:rsidR="00576A90" w:rsidRDefault="00576A90" w:rsidP="00576A90">
      <w:pPr>
        <w:pStyle w:val="TextoNormal"/>
      </w:pPr>
      <w:r>
        <w:lastRenderedPageBreak/>
        <w:t>En cuanto al magistrado don Cándido Conde-Pumpido Tourón, en el escrito de recusación se argumenta que está incurso en la causa 8 del art. 219 de la Ley Orgánica del Poder Judicial (LOPJ) (“[t]ener pleito pendiente con alguna” de las partes), así como en la causa 11 del art. 219 LOPJ (“[h]aber resuelto el pleito o causa en la anterior instancia”), por tener la condición de “codemandado” en el recurso de amparo, en la medida en que dicho magistrado habría sido ponente de un auto de 11 de marzo de 2016, dictado por la sala del art. 61 LOPJ, que disponía, según se afirma, la inadmisión de una previa demanda de error judicial (procedimiento núm. 9-2015) presentada por el recurrente frente a una sentencia dictada el 24 de junio de 2015 por la Sala de lo Social del Tribunal Supremo en el recurso de casación para la unificación de doctrina núm. 3125-2012.</w:t>
      </w:r>
    </w:p>
    <w:p w14:paraId="246AAB13" w14:textId="77777777" w:rsidR="00576A90" w:rsidRDefault="00576A90" w:rsidP="00576A90">
      <w:pPr>
        <w:pStyle w:val="TextoNormal"/>
      </w:pPr>
    </w:p>
    <w:p w14:paraId="59EEECC0" w14:textId="77777777" w:rsidR="00576A90" w:rsidRDefault="00576A90" w:rsidP="00576A90">
      <w:pPr>
        <w:pStyle w:val="TextoNormal"/>
      </w:pPr>
      <w:r>
        <w:t>Respecto de la magistrada doña María Luisa Segoviano Astaburuaga, se alegan las mismas causas de recusación en relación, esta vez, con la ya citada sentencia de 24 de junio de 2015 de la Sala de lo Social del Tribunal Supremo, pues la magistrada recusada habría formado parte, según se alega, del colegio de magistrados que inadmitió el referido recurso de casación para la unificación de doctrina núm. 3125-2012.</w:t>
      </w:r>
    </w:p>
    <w:p w14:paraId="40330D8A" w14:textId="77777777" w:rsidR="00576A90" w:rsidRDefault="00576A90" w:rsidP="00576A90">
      <w:pPr>
        <w:pStyle w:val="TextoNormal"/>
      </w:pPr>
    </w:p>
    <w:p w14:paraId="7B8D48F1" w14:textId="1863BFA7" w:rsidR="00576A90" w:rsidRDefault="00576A90" w:rsidP="00576A90">
      <w:pPr>
        <w:pStyle w:val="TextoNormal"/>
      </w:pPr>
      <w:r>
        <w:t>Respecto de la magistrada doña Inmaculada Montalbán Huertas y del magistrado don Juan Carlos Campo Moreno se alega que están incursos en la causa de recusación 11 del art. 219 LOPJ, porque “[a]mbos han intervenido como principales protagonistas” en el incidente de recusación promovido por el recurrente el 27 de julio de 2023 contra el magistrado don Cándido Conde-Pumpido Tourón y la magistrada doña María Luisa Segoviano Astaburuaga en el recurso de amparo núm. 4811-2023, la primera como presidenta del Pleno del Tribunal Constitucional que dictó el ATC 488/2023, de 24 de octubre, por el que se inadmiten a trámite esas recusaciones, y el segundo como magistrado ponente de dicho incidente de recusación.</w:t>
      </w:r>
    </w:p>
    <w:p w14:paraId="6031FE05" w14:textId="77777777" w:rsidR="00576A90" w:rsidRDefault="00576A90" w:rsidP="00576A90">
      <w:pPr>
        <w:pStyle w:val="TextoNormal"/>
      </w:pPr>
    </w:p>
    <w:p w14:paraId="71EAE0FE" w14:textId="77777777" w:rsidR="00576A90" w:rsidRDefault="00576A90" w:rsidP="00576A90">
      <w:pPr>
        <w:pStyle w:val="TextoNormalNegritaCentrado"/>
        <w:keepNext/>
      </w:pPr>
      <w:r>
        <w:t>II. Fundamentos jurídicos</w:t>
      </w:r>
    </w:p>
    <w:p w14:paraId="6986D42E" w14:textId="7486C971" w:rsidR="00576A90" w:rsidRDefault="00576A90" w:rsidP="00576A90">
      <w:pPr>
        <w:pStyle w:val="TextoNormalNegritaCentrado"/>
        <w:keepNext/>
      </w:pPr>
    </w:p>
    <w:p w14:paraId="6B972814" w14:textId="77777777" w:rsidR="00576A90" w:rsidRDefault="00576A90" w:rsidP="00576A90">
      <w:pPr>
        <w:pStyle w:val="TextoNormal"/>
      </w:pPr>
      <w:r w:rsidRPr="00576A90">
        <w:rPr>
          <w:rStyle w:val="NumeroAFNegritaCaracter"/>
        </w:rPr>
        <w:t>1</w:t>
      </w:r>
      <w:r>
        <w:t xml:space="preserve">. </w:t>
      </w:r>
      <w:r w:rsidRPr="00576A90">
        <w:rPr>
          <w:i/>
        </w:rPr>
        <w:t>Objeto de esta resolución</w:t>
      </w:r>
    </w:p>
    <w:p w14:paraId="366FA16A" w14:textId="77777777" w:rsidR="00576A90" w:rsidRDefault="00576A90" w:rsidP="00576A90">
      <w:pPr>
        <w:pStyle w:val="TextoNormal"/>
      </w:pPr>
    </w:p>
    <w:p w14:paraId="3772B33B" w14:textId="7B882472" w:rsidR="00576A90" w:rsidRDefault="00576A90" w:rsidP="00576A90">
      <w:pPr>
        <w:pStyle w:val="TextoNormal"/>
      </w:pPr>
      <w:r>
        <w:t>El objeto de la presente resolución es dar respuesta a la solicitud de recusación del presidente y de otros tres magistrados de este tribunal para conocer del recurso de amparo núm. 787-2024, que está pendiente de una decisión sobre su admisibilidad en la Sección Segunda.</w:t>
      </w:r>
    </w:p>
    <w:p w14:paraId="473E3471" w14:textId="77777777" w:rsidR="00576A90" w:rsidRDefault="00576A90" w:rsidP="00576A90">
      <w:pPr>
        <w:pStyle w:val="TextoNormal"/>
      </w:pPr>
    </w:p>
    <w:p w14:paraId="25516D70" w14:textId="77777777" w:rsidR="00576A90" w:rsidRDefault="00576A90" w:rsidP="00576A90">
      <w:pPr>
        <w:pStyle w:val="TextoNormal"/>
      </w:pPr>
      <w:r w:rsidRPr="00576A90">
        <w:rPr>
          <w:rStyle w:val="NumeroAFNegritaCaracter"/>
        </w:rPr>
        <w:t>2</w:t>
      </w:r>
      <w:r>
        <w:t xml:space="preserve">. </w:t>
      </w:r>
      <w:r w:rsidRPr="00576A90">
        <w:rPr>
          <w:i/>
        </w:rPr>
        <w:t>Composición del Pleno para conocer de la recusación</w:t>
      </w:r>
    </w:p>
    <w:p w14:paraId="156FFD37" w14:textId="77777777" w:rsidR="00576A90" w:rsidRDefault="00576A90" w:rsidP="00576A90">
      <w:pPr>
        <w:pStyle w:val="TextoNormal"/>
      </w:pPr>
    </w:p>
    <w:p w14:paraId="25FE5458" w14:textId="77777777" w:rsidR="00576A90" w:rsidRDefault="00576A90" w:rsidP="00576A90">
      <w:pPr>
        <w:pStyle w:val="TextoNormal"/>
      </w:pPr>
      <w:r>
        <w:t>El art. 10.1 k) de la Ley Orgánica del Tribunal Constitucional (LOTC) atribuye al Pleno la competencia para resolver las recusaciones de los magistrados del Tribunal Constitucional. Al mismo tiempo, el art. 14 de la misma ley dispone que “[e]l Tribunal en Pleno puede adoptar acuerdos cuando estén presentes, al menos, dos tercios de los miembros que en cada momento lo compongan”.</w:t>
      </w:r>
    </w:p>
    <w:p w14:paraId="143B206E" w14:textId="77777777" w:rsidR="00576A90" w:rsidRDefault="00576A90" w:rsidP="00576A90">
      <w:pPr>
        <w:pStyle w:val="TextoNormal"/>
      </w:pPr>
    </w:p>
    <w:p w14:paraId="1851CD9F" w14:textId="77777777" w:rsidR="00576A90" w:rsidRDefault="00576A90" w:rsidP="00576A90">
      <w:pPr>
        <w:pStyle w:val="TextoNormal"/>
      </w:pPr>
      <w:r>
        <w:t xml:space="preserve">Aunque en la actualidad el Tribunal lo componen once miembros, ya que se encuentra vacante una plaza correspondiente al turno de nombramientos del Senado, el </w:t>
      </w:r>
      <w:r w:rsidRPr="00576A90">
        <w:rPr>
          <w:i/>
        </w:rPr>
        <w:t>quorum</w:t>
      </w:r>
      <w:r>
        <w:t xml:space="preserve"> para adoptar acuerdos sigue siendo de ocho magistrados, por lo que al ser cuatro los recusados </w:t>
      </w:r>
      <w:r>
        <w:lastRenderedPageBreak/>
        <w:t>solamente siete podrían formar sala para resolver el incidente de acuerdo con la regla general del art. 227 LOPJ, de aplicación supletoria ante esta jurisdicción (art. 80 LOTC), que impide a los primeros resolver su propia recusación.</w:t>
      </w:r>
    </w:p>
    <w:p w14:paraId="529BF9F8" w14:textId="77777777" w:rsidR="00576A90" w:rsidRDefault="00576A90" w:rsidP="00576A90">
      <w:pPr>
        <w:pStyle w:val="TextoNormal"/>
      </w:pPr>
    </w:p>
    <w:p w14:paraId="709F67DE" w14:textId="77777777" w:rsidR="00576A90" w:rsidRDefault="00576A90" w:rsidP="00576A90">
      <w:pPr>
        <w:pStyle w:val="TextoNormal"/>
      </w:pPr>
      <w:r>
        <w:t>Cuando así sucede, “la singular conformación del Tribunal Constitucional, que se guía por las reglas generales de sustitución de magistrados contenidas en la Ley Orgánica del Poder Judicial, pero que por su naturaleza de órgano constitucional no admite la sustitución puntual o meramente circunstancial de los magistrados que lo componen, exige una flexibilización de las reglas generales y subsidiarias que rigen los institutos de la recusación y la abstención de los magistrados. Es imprescindible, para asegurar la propia funcionalidad del órgano constitucional, que la aplicación del régimen de recusación y de abstención no conduzca a resultados absurdos o gravemente perturbadores para las funciones que tiene constitucionalmente asignadas, excluir […] la aplicación del art. 227 LOPJ por el que se impide a los recusados formar parte del órgano que haya de decidir sobre su recusación” (ATC 70/2023, de 21 de febrero, FJ 2).</w:t>
      </w:r>
    </w:p>
    <w:p w14:paraId="4D4A1B53" w14:textId="77777777" w:rsidR="00576A90" w:rsidRDefault="00576A90" w:rsidP="00576A90">
      <w:pPr>
        <w:pStyle w:val="TextoNormal"/>
      </w:pPr>
    </w:p>
    <w:p w14:paraId="07396C08" w14:textId="7846DD67" w:rsidR="00576A90" w:rsidRDefault="00576A90" w:rsidP="00576A90">
      <w:pPr>
        <w:pStyle w:val="TextoNormal"/>
      </w:pPr>
      <w:r>
        <w:t xml:space="preserve">Solo así puede alcanzarse, en efecto, de acuerdo con lo dispuesto en el art. 14 LOTC, el </w:t>
      </w:r>
      <w:r w:rsidRPr="00576A90">
        <w:rPr>
          <w:i/>
        </w:rPr>
        <w:t>quorum</w:t>
      </w:r>
      <w:r>
        <w:t xml:space="preserve"> imprescindible para que el Tribunal pueda actuar. Otra solución supondría una paralización inaceptable del ejercicio de la jurisdicción constitucional, como tenemos reiteradamente declarado (entre otros, AATC 443/2007, de 27 de noviembre; 268/2013, de 19 de noviembre; 268/2014 y 269/2014, ambos de 4 de noviembre;119/2017, de 7 de septiembre; 84/2020 y 85/2020, ambos de 21 de julio; 86/2021, de 16 de septiembre; 75/2022, de 27 de abril, y 70/2023, de 21 de febrero).</w:t>
      </w:r>
    </w:p>
    <w:p w14:paraId="4FAB89EC" w14:textId="77777777" w:rsidR="00576A90" w:rsidRDefault="00576A90" w:rsidP="00576A90">
      <w:pPr>
        <w:pStyle w:val="TextoNormal"/>
      </w:pPr>
    </w:p>
    <w:p w14:paraId="197D7B8F" w14:textId="77777777" w:rsidR="00576A90" w:rsidRDefault="00576A90" w:rsidP="00576A90">
      <w:pPr>
        <w:pStyle w:val="TextoNormal"/>
      </w:pPr>
      <w:r w:rsidRPr="00576A90">
        <w:rPr>
          <w:rStyle w:val="NumeroAFNegritaCaracter"/>
        </w:rPr>
        <w:t>3</w:t>
      </w:r>
      <w:r>
        <w:t xml:space="preserve">. </w:t>
      </w:r>
      <w:r w:rsidRPr="00576A90">
        <w:rPr>
          <w:i/>
        </w:rPr>
        <w:t>Inadmisión</w:t>
      </w:r>
      <w:r>
        <w:t xml:space="preserve"> a limine </w:t>
      </w:r>
      <w:r w:rsidRPr="00576A90">
        <w:rPr>
          <w:i/>
        </w:rPr>
        <w:t>de la solicitud de recusación planteada</w:t>
      </w:r>
    </w:p>
    <w:p w14:paraId="77EB0728" w14:textId="77777777" w:rsidR="00576A90" w:rsidRDefault="00576A90" w:rsidP="00576A90">
      <w:pPr>
        <w:pStyle w:val="TextoNormal"/>
      </w:pPr>
    </w:p>
    <w:p w14:paraId="73403967" w14:textId="77777777" w:rsidR="00576A90" w:rsidRDefault="00576A90" w:rsidP="00576A90">
      <w:pPr>
        <w:pStyle w:val="TextoNormal"/>
      </w:pPr>
      <w:r>
        <w:t>Este tribunal ha reiterado la posibilidad de denegar la tramitación del incidente de recusación cuando razones procesales o de fondo así lo exijan; pudiendo producirse no solo como consecuencia de su defectuoso planteamiento procesal, en atención al momento en que se suscita, su reiteración, las circunstancias que la rodean, su planteamiento o las argumentaciones que la fundamentan, sino también cuando es formulada con manifiesto abuso de derecho o entraña fraude de ley o procesal de acuerdo con lo establecido en el art. 11.2 LOPJ (entre otros muchos, AATC 156/2022, de 16 de noviembre, FJ 2; 31/2023, de 7 de febrero, FJ 2, y 238/2023, de 9 de mayo, FJ único).</w:t>
      </w:r>
    </w:p>
    <w:p w14:paraId="1C776DDF" w14:textId="77777777" w:rsidR="00576A90" w:rsidRDefault="00576A90" w:rsidP="00576A90">
      <w:pPr>
        <w:pStyle w:val="TextoNormal"/>
      </w:pPr>
    </w:p>
    <w:p w14:paraId="546FAD37" w14:textId="77777777" w:rsidR="00576A90" w:rsidRDefault="00576A90" w:rsidP="00576A90">
      <w:pPr>
        <w:pStyle w:val="TextoNormal"/>
      </w:pPr>
      <w:r>
        <w:t>El Tribunal, en atención a la citada jurisprudencia, deniega liminarmente la tramitación de las recusaciones formuladas que han dado lugar al presente incidente por las razones siguientes:</w:t>
      </w:r>
    </w:p>
    <w:p w14:paraId="65F7CAD4" w14:textId="77777777" w:rsidR="00576A90" w:rsidRDefault="00576A90" w:rsidP="00576A90">
      <w:pPr>
        <w:pStyle w:val="TextoNormal"/>
      </w:pPr>
    </w:p>
    <w:p w14:paraId="3EA568B7" w14:textId="77777777" w:rsidR="00576A90" w:rsidRDefault="00576A90" w:rsidP="00576A90">
      <w:pPr>
        <w:pStyle w:val="TextoNormal"/>
      </w:pPr>
      <w:r>
        <w:t>a) El actor fundamenta, en primer lugar, la recusación del magistrado don Juan Carlos Campo Moreno en la causa prevista en el art. 219.11 LOPJ, conforme a la cual el magistrado o magistrada que ha resuelto un pleito o causa “en anterior instancia” queda obligado a abstenerse de su conocimiento. En nuestra doctrina, dicha causa de abstención queda claramente circunscrita a quien ha intervenido “en el mismo pleito con ocasión de una anterior instancia”, por lo que cualquier otra interpretación que pretenda dársele a la citada causa de recusación tendría la naturaleza extensiva, o incluso analógica, que nuestra doctrina proscribe categóricamente (ATC 454/2006, de 12 de diciembre, FJ 6).</w:t>
      </w:r>
    </w:p>
    <w:p w14:paraId="59BF4635" w14:textId="77777777" w:rsidR="00576A90" w:rsidRDefault="00576A90" w:rsidP="00576A90">
      <w:pPr>
        <w:pStyle w:val="TextoNormal"/>
      </w:pPr>
    </w:p>
    <w:p w14:paraId="586D2BED" w14:textId="77777777" w:rsidR="00576A90" w:rsidRDefault="00576A90" w:rsidP="00576A90">
      <w:pPr>
        <w:pStyle w:val="TextoNormal"/>
      </w:pPr>
      <w:r>
        <w:lastRenderedPageBreak/>
        <w:t>El pleito en el que se dictaron las resoluciones recurridas en amparo es el procedimiento de declaración de error judicial núm. 8-2020, seguido ante la Sala de lo Social del Tribunal Supremo. El antecedente inmediato de este procedimiento es, a su vez, el recurso de suplicación 6244-2014, formulado frente a la sentencia de 9 de mayo de 2014 dictada por el Juzgado de lo Social núm. 25 de Barcelona, en los autos núm. 518-2011.</w:t>
      </w:r>
    </w:p>
    <w:p w14:paraId="49984039" w14:textId="77777777" w:rsidR="00576A90" w:rsidRDefault="00576A90" w:rsidP="00576A90">
      <w:pPr>
        <w:pStyle w:val="TextoNormal"/>
      </w:pPr>
    </w:p>
    <w:p w14:paraId="393E2FB5" w14:textId="77777777" w:rsidR="00576A90" w:rsidRDefault="00576A90" w:rsidP="00576A90">
      <w:pPr>
        <w:pStyle w:val="TextoNormal"/>
      </w:pPr>
      <w:r>
        <w:t>Pues bien, el actor no alega que el magistrado recusado tuviera intervención en el referido pleito (núm. 8-2020), ni tampoco en los procedimientos judiciales antecedentes. Alega, antes bien, que ha intervenido en otros procesos distintos que también fueron promovidos por él, en particular, en el recurso de amparo núm. 4811-2023, en el que se dictó ATC 488/2023, de 24 de octubre, no admitiendo a trámite las recusaciones también formuladas en dicho recurso de amparo.</w:t>
      </w:r>
    </w:p>
    <w:p w14:paraId="536711EA" w14:textId="77777777" w:rsidR="00576A90" w:rsidRDefault="00576A90" w:rsidP="00576A90">
      <w:pPr>
        <w:pStyle w:val="TextoNormal"/>
      </w:pPr>
    </w:p>
    <w:p w14:paraId="236C4093" w14:textId="77777777" w:rsidR="00576A90" w:rsidRDefault="00576A90" w:rsidP="00576A90">
      <w:pPr>
        <w:pStyle w:val="TextoNormal"/>
      </w:pPr>
      <w:r>
        <w:t>Se aprecia por ello que la invocación, como fundamento de la recusación formulada, de la causa prevista en el art. 219.11 LOPJ carece manifiestamente de fundamento, pues el incidente de recusación del recurso de amparo 4811-2023 alegado por el actor, en el que pudo intervenir el magistrado recusado, no constituye, en modo alguno, instancias previas del pleito que ha dado lugar al presente recurso de amparo. Resulta claro, por ello, que esta causa de recusación está defectuosamente formulada y debe procederse a su inadmisión</w:t>
      </w:r>
      <w:r w:rsidRPr="00576A90">
        <w:rPr>
          <w:i/>
        </w:rPr>
        <w:t xml:space="preserve"> in limin</w:t>
      </w:r>
      <w:r>
        <w:t>e.</w:t>
      </w:r>
    </w:p>
    <w:p w14:paraId="1B69A71C" w14:textId="77777777" w:rsidR="00576A90" w:rsidRDefault="00576A90" w:rsidP="00576A90">
      <w:pPr>
        <w:pStyle w:val="TextoNormal"/>
      </w:pPr>
    </w:p>
    <w:p w14:paraId="0F6A6522" w14:textId="123B19D5" w:rsidR="00576A90" w:rsidRDefault="00576A90" w:rsidP="00576A90">
      <w:pPr>
        <w:pStyle w:val="TextoNormal"/>
      </w:pPr>
      <w:r>
        <w:t>b) La recusación de los magistrados don Cándido Conde-Pumpido Tourón y de las magistradas doña María Luisa Segoviano Astaburuaga y doña Inmaculada Montalbán Huertas resulta improcedente en este momento procesal, ya que estos magistrados no forman parte de la Sección Segunda del Tribunal, que debe decidir sobre la admisión del presente recurso de amparo, conforme a lo anteriormente señalado.</w:t>
      </w:r>
    </w:p>
    <w:p w14:paraId="33F77B9E" w14:textId="77777777" w:rsidR="00576A90" w:rsidRDefault="00576A90" w:rsidP="00576A90">
      <w:pPr>
        <w:pStyle w:val="TextoNormal"/>
      </w:pPr>
    </w:p>
    <w:p w14:paraId="51363E2F" w14:textId="77777777" w:rsidR="00576A90" w:rsidRDefault="00576A90" w:rsidP="00576A90">
      <w:pPr>
        <w:pStyle w:val="TextoNormal"/>
      </w:pPr>
      <w:r>
        <w:t>Por lo expuesto, el Pleno</w:t>
      </w:r>
    </w:p>
    <w:p w14:paraId="2AA64C2E" w14:textId="48C5395B" w:rsidR="00576A90" w:rsidRDefault="00576A90" w:rsidP="00576A90">
      <w:pPr>
        <w:pStyle w:val="TextoNormal"/>
      </w:pPr>
    </w:p>
    <w:p w14:paraId="3071E10A" w14:textId="77777777" w:rsidR="00576A90" w:rsidRDefault="00576A90" w:rsidP="00576A90">
      <w:pPr>
        <w:pStyle w:val="TextoNormalCentrado"/>
      </w:pPr>
      <w:r>
        <w:t>ACUERDA</w:t>
      </w:r>
    </w:p>
    <w:p w14:paraId="3A708DFD" w14:textId="0B03EB98" w:rsidR="00576A90" w:rsidRDefault="00576A90" w:rsidP="00576A90">
      <w:pPr>
        <w:pStyle w:val="TextoNormalCentrado"/>
      </w:pPr>
    </w:p>
    <w:p w14:paraId="44B0192E" w14:textId="32C2D3A0" w:rsidR="00576A90" w:rsidRDefault="00576A90" w:rsidP="00576A90">
      <w:pPr>
        <w:pStyle w:val="TextoNormal"/>
      </w:pPr>
      <w:r>
        <w:t>Inadmitir la recusación promovida en el recurso de amparo núm. 787-2024.</w:t>
      </w:r>
    </w:p>
    <w:p w14:paraId="0C75297A" w14:textId="77777777" w:rsidR="00576A90" w:rsidRDefault="00576A90" w:rsidP="00576A90">
      <w:pPr>
        <w:pStyle w:val="TextoNormal"/>
      </w:pPr>
    </w:p>
    <w:p w14:paraId="32AAA1A7" w14:textId="77777777" w:rsidR="00576A90" w:rsidRDefault="00576A90" w:rsidP="00576A90">
      <w:pPr>
        <w:pStyle w:val="TextoNormal"/>
      </w:pPr>
      <w:r>
        <w:t>Madrid, a nueve de abril de dos mil veinticuatro.</w:t>
      </w:r>
    </w:p>
    <w:p w14:paraId="73859D99" w14:textId="67FBF582" w:rsidR="00576A90" w:rsidRDefault="00576A90">
      <w:pPr>
        <w:spacing w:after="160" w:line="259" w:lineRule="auto"/>
        <w:rPr>
          <w:rFonts w:ascii="Times New Roman" w:eastAsia="Times New Roman" w:hAnsi="Times New Roman" w:cs="Times New Roman"/>
          <w:sz w:val="24"/>
          <w:szCs w:val="24"/>
          <w:lang w:eastAsia="es-ES"/>
        </w:rPr>
      </w:pPr>
      <w:r>
        <w:br w:type="page"/>
      </w:r>
    </w:p>
    <w:p w14:paraId="2F0C95DD" w14:textId="77777777" w:rsidR="00576A90" w:rsidRDefault="00576A90" w:rsidP="00576A90">
      <w:pPr>
        <w:pStyle w:val="TtuloResolucin"/>
      </w:pPr>
      <w:bookmarkStart w:id="129" w:name="AUTO_2024_34"/>
      <w:r>
        <w:lastRenderedPageBreak/>
        <w:t>AUTO 34/2024, de 12 de abril de 2024</w:t>
      </w:r>
    </w:p>
    <w:bookmarkEnd w:id="129"/>
    <w:p w14:paraId="32627783" w14:textId="77777777" w:rsidR="00576A90" w:rsidRDefault="00576A90" w:rsidP="00576A90">
      <w:pPr>
        <w:pStyle w:val="TtuloResolucin"/>
      </w:pPr>
      <w:r>
        <w:t>Sección Tercera</w:t>
      </w:r>
    </w:p>
    <w:p w14:paraId="4C3BE505" w14:textId="77777777" w:rsidR="00576A90" w:rsidRDefault="00576A90" w:rsidP="00576A90">
      <w:pPr>
        <w:pStyle w:val="TextoNormalCentrado"/>
      </w:pPr>
      <w:r>
        <w:t>ECLI:ES:TC:2024:34A</w:t>
      </w:r>
    </w:p>
    <w:p w14:paraId="50316455" w14:textId="11E2FE21" w:rsidR="00576A90" w:rsidRDefault="00576A90" w:rsidP="00576A90">
      <w:pPr>
        <w:pStyle w:val="TextoNormalCentrado"/>
      </w:pPr>
    </w:p>
    <w:p w14:paraId="1CD82996" w14:textId="77777777" w:rsidR="00576A90" w:rsidRDefault="00576A90" w:rsidP="00576A90">
      <w:pPr>
        <w:pStyle w:val="SntesisDescriptiva"/>
      </w:pPr>
      <w:r>
        <w:t>Excms. Srs. doña Inmaculada Montalbán Huertas, don César Tolosa Tribiño y doña Laura Díez Bueso.</w:t>
      </w:r>
    </w:p>
    <w:p w14:paraId="1154121F" w14:textId="6147DC38" w:rsidR="00576A90" w:rsidRDefault="00576A90" w:rsidP="00576A90">
      <w:pPr>
        <w:pStyle w:val="SntesisDescriptiva"/>
      </w:pPr>
    </w:p>
    <w:p w14:paraId="24FA559A" w14:textId="77777777" w:rsidR="00576A90" w:rsidRDefault="00576A90" w:rsidP="00576A90">
      <w:pPr>
        <w:pStyle w:val="SntesisDescriptiva"/>
      </w:pPr>
      <w:r>
        <w:t>Estima el recurso de súplica interpuesto por el Ministerio Fiscal en relación con la providencia de inadmisión del recurso de amparo 8125-2022, promovido por la entidad Kuailian App OÜ en causa penal.</w:t>
      </w:r>
    </w:p>
    <w:p w14:paraId="3620ED1E" w14:textId="28356F44" w:rsidR="00576A90" w:rsidRDefault="00576A90" w:rsidP="00576A90">
      <w:pPr>
        <w:pStyle w:val="SntesisDescriptiva"/>
      </w:pPr>
    </w:p>
    <w:p w14:paraId="0E04C59B" w14:textId="77777777" w:rsidR="00576A90" w:rsidRDefault="00576A90" w:rsidP="00576A90">
      <w:pPr>
        <w:pStyle w:val="SntesisDescriptiva"/>
      </w:pPr>
    </w:p>
    <w:p w14:paraId="4CA46D10" w14:textId="77777777" w:rsidR="00576A90" w:rsidRDefault="00576A90" w:rsidP="00576A90">
      <w:pPr>
        <w:pStyle w:val="SntesisDescriptiva"/>
      </w:pPr>
    </w:p>
    <w:p w14:paraId="5A63BF32" w14:textId="77777777" w:rsidR="00576A90" w:rsidRDefault="00576A90" w:rsidP="00576A90">
      <w:pPr>
        <w:pStyle w:val="TextoNormalNegritaCentrado"/>
      </w:pPr>
      <w:r>
        <w:t>AUTO</w:t>
      </w:r>
    </w:p>
    <w:p w14:paraId="3248BA46" w14:textId="2B1EDF28" w:rsidR="00576A90" w:rsidRDefault="00576A90" w:rsidP="00576A90">
      <w:pPr>
        <w:pStyle w:val="TextoNormalNegritaCentrado"/>
      </w:pPr>
    </w:p>
    <w:p w14:paraId="07B16A73" w14:textId="77777777" w:rsidR="00576A90" w:rsidRDefault="00576A90" w:rsidP="00576A90">
      <w:pPr>
        <w:pStyle w:val="TextoNormalNegritaCentrado"/>
        <w:keepNext/>
      </w:pPr>
      <w:r>
        <w:t>I. Antecedentes</w:t>
      </w:r>
    </w:p>
    <w:p w14:paraId="60414D83" w14:textId="44478B22" w:rsidR="00576A90" w:rsidRDefault="00576A90" w:rsidP="00576A90">
      <w:pPr>
        <w:pStyle w:val="TextoNormalNegritaCentrado"/>
        <w:keepNext/>
      </w:pPr>
    </w:p>
    <w:p w14:paraId="4ED0B77E" w14:textId="2D485822" w:rsidR="00576A90" w:rsidRDefault="00576A90" w:rsidP="00576A90">
      <w:pPr>
        <w:pStyle w:val="TextoNormal"/>
      </w:pPr>
      <w:r w:rsidRPr="00576A90">
        <w:rPr>
          <w:rStyle w:val="NumeroAFNegritaCaracter"/>
        </w:rPr>
        <w:t>1</w:t>
      </w:r>
      <w:r>
        <w:t>. El día 7 de diciembre de 2022 a las 14:32 horas tuvo entrada en el registro general de este tribunal el recurso de amparo interpuesto por la entidad Kuailian App OÜ contra el auto 813/2022, de 19 de octubre, dictado por la Sección Vigesimotercera de la Audiencia Provincial de Madrid, en el rollo de apelación núm. 1064-2022.</w:t>
      </w:r>
    </w:p>
    <w:p w14:paraId="34848270" w14:textId="77777777" w:rsidR="00576A90" w:rsidRDefault="00576A90" w:rsidP="00576A90">
      <w:pPr>
        <w:pStyle w:val="TextoNormal"/>
      </w:pPr>
    </w:p>
    <w:p w14:paraId="66E6F061" w14:textId="62EEAD21" w:rsidR="00576A90" w:rsidRDefault="00576A90" w:rsidP="00576A90">
      <w:pPr>
        <w:pStyle w:val="TextoNormal"/>
      </w:pPr>
      <w:r w:rsidRPr="00576A90">
        <w:rPr>
          <w:rStyle w:val="NumeroAFNegritaCaracter"/>
        </w:rPr>
        <w:t>2</w:t>
      </w:r>
      <w:r>
        <w:t>. Con fecha 8 de noviembre de 2023 la Sección Tercera de este tribunal dictó providencia de inadmisión con arreglo a lo dispuesto en el art. 50.1 a) de la Ley Orgánica del Tribunal Constitucional (LOTC), en relación con su art. 44.2, al incurrir el recurso en extemporaneidad.</w:t>
      </w:r>
    </w:p>
    <w:p w14:paraId="0D5F6E1C" w14:textId="77777777" w:rsidR="00576A90" w:rsidRDefault="00576A90" w:rsidP="00576A90">
      <w:pPr>
        <w:pStyle w:val="TextoNormal"/>
      </w:pPr>
    </w:p>
    <w:p w14:paraId="79DA306B" w14:textId="27D4FA53" w:rsidR="00576A90" w:rsidRDefault="00576A90" w:rsidP="00576A90">
      <w:pPr>
        <w:pStyle w:val="TextoNormal"/>
      </w:pPr>
      <w:r w:rsidRPr="00576A90">
        <w:rPr>
          <w:rStyle w:val="NumeroAFNegritaCaracter"/>
        </w:rPr>
        <w:t>3</w:t>
      </w:r>
      <w:r>
        <w:t>. Con fecha 21 de noviembre de 2023, la demandante de amparo presentó escrito ante este tribunal alegando que, como puede acreditarse con el acuse de notificación que adjunta, el auto objeto del recurso de amparo, le fue enviado vía Lexnet a su procuradora el día 19 de octubre de 2022 a las 22:44 horas y recepcionada el siguiente día 20 de octubre a las 13:59 horas, por lo que de conformidad con las normas procesales que rigen el procedimiento, ha de entenderse que el recurso de amparo fue interpuesto en forma y dentro del plazo del art. 44.2 LOTC.</w:t>
      </w:r>
    </w:p>
    <w:p w14:paraId="3BC0BF6E" w14:textId="77777777" w:rsidR="00576A90" w:rsidRDefault="00576A90" w:rsidP="00576A90">
      <w:pPr>
        <w:pStyle w:val="TextoNormal"/>
      </w:pPr>
    </w:p>
    <w:p w14:paraId="5595C458" w14:textId="77777777" w:rsidR="00576A90" w:rsidRDefault="00576A90" w:rsidP="00576A90">
      <w:pPr>
        <w:pStyle w:val="TextoNormal"/>
      </w:pPr>
      <w:r w:rsidRPr="00576A90">
        <w:rPr>
          <w:rStyle w:val="NumeroAFNegritaCaracter"/>
        </w:rPr>
        <w:t>4</w:t>
      </w:r>
      <w:r>
        <w:t xml:space="preserve">. El Ministerio Fiscal, mediante escrito registrado en este tribunal el 20 de diciembre de 2023, interpuso recurso de súplica </w:t>
      </w:r>
      <w:r w:rsidRPr="00576A90">
        <w:rPr>
          <w:i/>
        </w:rPr>
        <w:t>ex</w:t>
      </w:r>
      <w:r>
        <w:t xml:space="preserve"> art. 50.3 LOTC, en el que interesa que se deje sin efecto la providencia recurrida, sin perjuicio de la adopción de la resolución procedente en orden a la admisión o no del recurso de amparo. El motivo del recurso se basa en que si bien en la demanda de amparo la recurrente afirma que el auto impugnado le fue notificado el día 18 de octubre de 2022, adjuntando copia de una primera certificación expedida por la audiencia provincial en la que solo consta que le fue notificada la resolución “en fecha 19 de octubre de 2022” (sin precisar la hora), posteriormente, tras el dictado de la providencia de inadmisión del recurso de amparo, se ha presentado un documento “que tiene toda la apariencia de ser verdadero” según el cual el auto habría sido remitido vía Lexnet por el Ilustre Colegio de Procuradores a la procuradora de la demandante de ampa</w:t>
      </w:r>
      <w:r>
        <w:lastRenderedPageBreak/>
        <w:t>ro el 20 de octubre de 2022 a las 7:26 horas y había sido recogido por ella ese mismo día a las 13:59 horas.</w:t>
      </w:r>
    </w:p>
    <w:p w14:paraId="51841CE5" w14:textId="77777777" w:rsidR="00576A90" w:rsidRDefault="00576A90" w:rsidP="00576A90">
      <w:pPr>
        <w:pStyle w:val="TextoNormal"/>
      </w:pPr>
    </w:p>
    <w:p w14:paraId="07E720DB" w14:textId="6BF53D2D" w:rsidR="00576A90" w:rsidRDefault="00576A90" w:rsidP="00576A90">
      <w:pPr>
        <w:pStyle w:val="TextoNormal"/>
      </w:pPr>
      <w:r>
        <w:t>En consecuencia, a su juicio, iniciando el cómputo del plazo el día 20 de octubre de 2022, el recurso de amparo estaría presentado en plazo, pues este finalizaba el 7 de diciembre a las 15:00 horas y el escrito de demanda tuvo entrada en el registro de este tribunal ese mismo día a las 14:32 horas.</w:t>
      </w:r>
    </w:p>
    <w:p w14:paraId="30B984C5" w14:textId="77777777" w:rsidR="00576A90" w:rsidRDefault="00576A90" w:rsidP="00576A90">
      <w:pPr>
        <w:pStyle w:val="TextoNormal"/>
      </w:pPr>
    </w:p>
    <w:p w14:paraId="743F5669" w14:textId="4BDA4996" w:rsidR="00576A90" w:rsidRDefault="00576A90" w:rsidP="00576A90">
      <w:pPr>
        <w:pStyle w:val="TextoNormal"/>
      </w:pPr>
      <w:r w:rsidRPr="00576A90">
        <w:rPr>
          <w:rStyle w:val="NumeroAFNegritaCaracter"/>
        </w:rPr>
        <w:t>5</w:t>
      </w:r>
      <w:r>
        <w:t>. Con fecha 18 de diciembre de 2023, la demandante de amparo presentó nuevo escrito, acompañando certificación de la Sección Vigesimotercera de la Audiencia Provincial de Madrid, por el que se acredita que el auto núm. 813/2022 objeto del presente recurso de amparo fue enviado vía Lexnet a su representante legal el día 19 de octubre de 2022 a las 22:44 horas. En su virtud, suplica que se rectifique el contenido de la providencia de inadmisión dictada por la Sección Tercera de este tribunal el 8 de noviembre de 2023, dado “el error material del que adolece”.</w:t>
      </w:r>
    </w:p>
    <w:p w14:paraId="60707D6A" w14:textId="77777777" w:rsidR="00576A90" w:rsidRDefault="00576A90" w:rsidP="00576A90">
      <w:pPr>
        <w:pStyle w:val="TextoNormal"/>
      </w:pPr>
    </w:p>
    <w:p w14:paraId="42C539B5" w14:textId="76824F68" w:rsidR="00576A90" w:rsidRDefault="00576A90" w:rsidP="00576A90">
      <w:pPr>
        <w:pStyle w:val="TextoNormal"/>
      </w:pPr>
      <w:r w:rsidRPr="00576A90">
        <w:rPr>
          <w:rStyle w:val="NumeroAFNegritaCaracter"/>
        </w:rPr>
        <w:t>6</w:t>
      </w:r>
      <w:r>
        <w:t>. Mediante providencia de 21 de diciembre de 2023 se acordó unir a las actuaciones los precedentes escritos de la recurrente y del Ministerio Fiscal, dándose traslado al Ministerio Fiscal y a la parte para que en el plazo común de tres días alegasen lo que estimaran pertinente en relación con el recurso de súplica formulado (art. 93.2 LOTC).</w:t>
      </w:r>
    </w:p>
    <w:p w14:paraId="60FD23D5" w14:textId="77777777" w:rsidR="00576A90" w:rsidRDefault="00576A90" w:rsidP="00576A90">
      <w:pPr>
        <w:pStyle w:val="TextoNormal"/>
      </w:pPr>
    </w:p>
    <w:p w14:paraId="4739A460" w14:textId="0963CBD9" w:rsidR="00576A90" w:rsidRDefault="00576A90" w:rsidP="00576A90">
      <w:pPr>
        <w:pStyle w:val="TextoNormal"/>
      </w:pPr>
      <w:r w:rsidRPr="00576A90">
        <w:rPr>
          <w:rStyle w:val="NumeroAFNegritaCaracter"/>
        </w:rPr>
        <w:t>7</w:t>
      </w:r>
      <w:r>
        <w:t>. La parte recurrente formuló alegaciones mediante escrito registrado el 8 de enero de 2024 reiterando lo manifestado en su solicitud de rectificación material de la providencia de inadmisión de su recurso de amparo.</w:t>
      </w:r>
    </w:p>
    <w:p w14:paraId="31F2A4AA" w14:textId="77777777" w:rsidR="00576A90" w:rsidRDefault="00576A90" w:rsidP="00576A90">
      <w:pPr>
        <w:pStyle w:val="TextoNormal"/>
      </w:pPr>
    </w:p>
    <w:p w14:paraId="5F54A61D" w14:textId="080DDD6B" w:rsidR="00576A90" w:rsidRDefault="00576A90" w:rsidP="00576A90">
      <w:pPr>
        <w:pStyle w:val="TextoNormal"/>
      </w:pPr>
      <w:r w:rsidRPr="00576A90">
        <w:rPr>
          <w:rStyle w:val="NumeroAFNegritaCaracter"/>
        </w:rPr>
        <w:t>8</w:t>
      </w:r>
      <w:r>
        <w:t>. El Ministerio Fiscal formuló alegaciones mediante escrito presentado el 23 de enero de 2024, ratificándose en su recurso de súplica, añadiendo que la documentación aportada posteriormente en la causa confirma que el recurso de amparo se presentó en plazo. Sin embargo, subraya que ningún error material le es imputable a la providencia de inadmisión de este tribunal, sino a la propia demandante, pues la fecha de notificación expresada en la demanda era incorrecta (18 de octubre de 2022) por lo que tal error debe serle imputado exclusivamente a ella.</w:t>
      </w:r>
    </w:p>
    <w:p w14:paraId="2D15FB22" w14:textId="77777777" w:rsidR="00576A90" w:rsidRDefault="00576A90" w:rsidP="00576A90">
      <w:pPr>
        <w:pStyle w:val="TextoNormal"/>
      </w:pPr>
    </w:p>
    <w:p w14:paraId="60F6A3EF" w14:textId="77777777" w:rsidR="00576A90" w:rsidRDefault="00576A90" w:rsidP="00576A90">
      <w:pPr>
        <w:pStyle w:val="TextoNormalNegritaCentrado"/>
        <w:keepNext/>
      </w:pPr>
      <w:r>
        <w:t>II. Fundamentos jurídicos</w:t>
      </w:r>
    </w:p>
    <w:p w14:paraId="7B563D2D" w14:textId="3675D199" w:rsidR="00576A90" w:rsidRDefault="00576A90" w:rsidP="00576A90">
      <w:pPr>
        <w:pStyle w:val="TextoNormalNegritaCentrado"/>
        <w:keepNext/>
      </w:pPr>
    </w:p>
    <w:p w14:paraId="3D9ED990" w14:textId="20159504" w:rsidR="00576A90" w:rsidRDefault="00576A90" w:rsidP="00576A90">
      <w:pPr>
        <w:pStyle w:val="TextoNormal"/>
      </w:pPr>
      <w:r w:rsidRPr="00576A90">
        <w:rPr>
          <w:rStyle w:val="NumeroAFNegritaCaracter"/>
        </w:rPr>
        <w:t>1</w:t>
      </w:r>
      <w:r>
        <w:t>. A la vista de las actuaciones hemos de concluir que, sin que ello conlleve pronunciamiento alguno sobre cualquier otra causa de inadmisión, el recurso de súplica del fiscal ha de ser estimado, en cuanto solicita dejar sin efecto la providencia de inadmisión de fecha 8 de noviembre de 2023 dictada por la Sección Tercera de este tribunal, dado que se basa en la extemporaneidad de la demanda de amparo cuando la realidad es que fue interpuesta en plazo.</w:t>
      </w:r>
    </w:p>
    <w:p w14:paraId="378A23BB" w14:textId="77777777" w:rsidR="00576A90" w:rsidRDefault="00576A90" w:rsidP="00576A90">
      <w:pPr>
        <w:pStyle w:val="TextoNormal"/>
      </w:pPr>
    </w:p>
    <w:p w14:paraId="7373AC8E" w14:textId="77777777" w:rsidR="00576A90" w:rsidRDefault="00576A90" w:rsidP="00576A90">
      <w:pPr>
        <w:pStyle w:val="TextoNormal"/>
      </w:pPr>
      <w:r w:rsidRPr="00576A90">
        <w:rPr>
          <w:rStyle w:val="NumeroAFNegritaCaracter"/>
        </w:rPr>
        <w:t>2</w:t>
      </w:r>
      <w:r>
        <w:t xml:space="preserve">. La entidad recurrente en amparo no satisfizo en su momento la carga procesal de acreditar con la demanda la propia tempestividad de la misma, sino que ha sido posteriormente, una vez inadmitida la misma por extemporánea, cuando ha aportado certificación completa de la Sección Vigesimotercera de la Audiencia Provincial de Madrid en la que se </w:t>
      </w:r>
      <w:r>
        <w:lastRenderedPageBreak/>
        <w:t>señala que el auto impugnado en este proceso de amparo fue notificado vía Lexnet a la procuradora de la demandante de amparo el 19 de octubre de 2022 a las 22:44 horas, por lo que de conformidad con lo dispuesto en el art. 151.2 de la Ley de enjuiciamiento civil, se entiende efectuada al día siguiente, esto es el 20 de octubre de 2022.</w:t>
      </w:r>
    </w:p>
    <w:p w14:paraId="6ABAE7CA" w14:textId="77777777" w:rsidR="00576A90" w:rsidRDefault="00576A90" w:rsidP="00576A90">
      <w:pPr>
        <w:pStyle w:val="TextoNormal"/>
      </w:pPr>
    </w:p>
    <w:p w14:paraId="14AA8CA2" w14:textId="77777777" w:rsidR="00576A90" w:rsidRDefault="00576A90" w:rsidP="00576A90">
      <w:pPr>
        <w:pStyle w:val="TextoNormal"/>
      </w:pPr>
      <w:r>
        <w:t>Es reiterada doctrina de este tribunal que la notificación al procurador es la notificación hecha al representante procesal de la parte y que surte plenos efectos respecto del plazo para la interposición del recurso de amparo, con independencia de la existencia o no de notificación personal al interesado y del momento en que esta se produzca (STC 204/2005, de 18 de julio, FJ 1).</w:t>
      </w:r>
    </w:p>
    <w:p w14:paraId="0E9A0727" w14:textId="77777777" w:rsidR="00576A90" w:rsidRDefault="00576A90" w:rsidP="00576A90">
      <w:pPr>
        <w:pStyle w:val="TextoNormal"/>
      </w:pPr>
    </w:p>
    <w:p w14:paraId="3E24FEB5" w14:textId="58646AB8" w:rsidR="00576A90" w:rsidRDefault="00576A90" w:rsidP="00576A90">
      <w:pPr>
        <w:pStyle w:val="TextoNormal"/>
      </w:pPr>
      <w:r>
        <w:t xml:space="preserve">Así pues, de conformidad con la expresa doctrina constitucional, el </w:t>
      </w:r>
      <w:r w:rsidRPr="00576A90">
        <w:rPr>
          <w:i/>
        </w:rPr>
        <w:t>dies a quo</w:t>
      </w:r>
      <w:r>
        <w:t xml:space="preserve"> del plazo de treinta días que para interponer el recurso de amparo establece el art. 44.2 LOTC fue el 21 de octubre de 2022, esto es, el día siguiente al de la notificación del auto 813/2022, de 19 de octubre, dictado por la Sección Vigesimotercera de la Audiencia Provincial de Madrid, en el rollo de apelación núm. 1064-2022 a la procuradora de la recurrente, de modo que cuando la demanda de amparo se interpuso en el registro general de este tribunal, el día 7 de diciembre de 2022, no había transcurrido el indicado plazo de treinta días, por lo que la demanda no incurrió en la causa de inadmisión señalada en la recurrida providencia de 8 de noviembre de 2023.</w:t>
      </w:r>
    </w:p>
    <w:p w14:paraId="1C1951A8" w14:textId="77777777" w:rsidR="00576A90" w:rsidRDefault="00576A90" w:rsidP="00576A90">
      <w:pPr>
        <w:pStyle w:val="TextoNormal"/>
      </w:pPr>
    </w:p>
    <w:p w14:paraId="4970E7A3" w14:textId="7D6A5676" w:rsidR="00576A90" w:rsidRDefault="00576A90" w:rsidP="00576A90">
      <w:pPr>
        <w:pStyle w:val="TextoNormal"/>
      </w:pPr>
      <w:r w:rsidRPr="00576A90">
        <w:rPr>
          <w:rStyle w:val="NumeroAFNegritaCaracter"/>
        </w:rPr>
        <w:t>3</w:t>
      </w:r>
      <w:r>
        <w:t>. Por último, debe insistirse, no obstante, en que el recurso de súplica previsto en el art. 50.3 LOTC (correspondiente al art. 50.2 del mismo cuerpo legal, en la redacción anterior a la Ley Orgánica 6/2007, de 24 de mayo, por la que se modifica la Ley Orgánica 2/1979, de 3 de octubre, del Tribunal Constitucional) tiene como finalidad específica reconsiderar la providencia recurrida por el Ministerio Público, sin que su estimación implique la admisión del recurso de amparo. En particular, en el presente caso, de acuerdo con lo solicitado por el fiscal, procede dejar sin efecto la providencia recurrida en súplica en cuanto aprecia extemporaneidad del recurso de amparo. Pero aquí debe detenerse la presente resolución, dejando pendiente el estudio y decisión sobre la admisión o inadmisión del recurso de amparo por razones distintas a las aquí resueltas y reponiendo por tanto las actuaciones al momento anterior a dictarse la providencia anulada (por todos, ATC 35/2009, de 4 de febrero).</w:t>
      </w:r>
    </w:p>
    <w:p w14:paraId="24EBB727" w14:textId="77777777" w:rsidR="00576A90" w:rsidRDefault="00576A90" w:rsidP="00576A90">
      <w:pPr>
        <w:pStyle w:val="TextoNormal"/>
      </w:pPr>
    </w:p>
    <w:p w14:paraId="5EDC9FF4" w14:textId="77777777" w:rsidR="00576A90" w:rsidRDefault="00576A90" w:rsidP="00576A90">
      <w:pPr>
        <w:pStyle w:val="TextoNormal"/>
      </w:pPr>
      <w:r>
        <w:t>Por lo expuesto, la Sección</w:t>
      </w:r>
    </w:p>
    <w:p w14:paraId="41778E29" w14:textId="229590B1" w:rsidR="00576A90" w:rsidRDefault="00576A90" w:rsidP="00576A90">
      <w:pPr>
        <w:pStyle w:val="TextoNormal"/>
      </w:pPr>
    </w:p>
    <w:p w14:paraId="17AF5A67" w14:textId="77777777" w:rsidR="00576A90" w:rsidRDefault="00576A90" w:rsidP="00576A90">
      <w:pPr>
        <w:pStyle w:val="TextoNormalCentrado"/>
      </w:pPr>
      <w:r>
        <w:t>ACUERDA</w:t>
      </w:r>
    </w:p>
    <w:p w14:paraId="3C28E063" w14:textId="0735028C" w:rsidR="00576A90" w:rsidRDefault="00576A90" w:rsidP="00576A90">
      <w:pPr>
        <w:pStyle w:val="TextoNormalCentrado"/>
      </w:pPr>
    </w:p>
    <w:p w14:paraId="50575BDC" w14:textId="77777777" w:rsidR="00576A90" w:rsidRDefault="00576A90" w:rsidP="00576A90">
      <w:pPr>
        <w:pStyle w:val="TextoNormal"/>
      </w:pPr>
      <w:r>
        <w:t>Estimar el recurso de súplica interpuesto por el Ministerio Fiscal y, en consecuencia:</w:t>
      </w:r>
    </w:p>
    <w:p w14:paraId="415DB635" w14:textId="77777777" w:rsidR="00576A90" w:rsidRDefault="00576A90" w:rsidP="00576A90">
      <w:pPr>
        <w:pStyle w:val="TextoNormal"/>
      </w:pPr>
    </w:p>
    <w:p w14:paraId="5467273E" w14:textId="77777777" w:rsidR="00576A90" w:rsidRDefault="00576A90" w:rsidP="00576A90">
      <w:pPr>
        <w:pStyle w:val="TextoNormal"/>
      </w:pPr>
      <w:r>
        <w:t>1º Dejar sin efecto la providencia de 8 de noviembre de 2023 que declaró la inadmisión del recurso de amparo núm. 8125-2022.</w:t>
      </w:r>
    </w:p>
    <w:p w14:paraId="428B45D8" w14:textId="77777777" w:rsidR="00576A90" w:rsidRDefault="00576A90" w:rsidP="00576A90">
      <w:pPr>
        <w:pStyle w:val="TextoNormal"/>
      </w:pPr>
    </w:p>
    <w:p w14:paraId="7E669C46" w14:textId="3C42D754" w:rsidR="00576A90" w:rsidRDefault="00576A90" w:rsidP="00576A90">
      <w:pPr>
        <w:pStyle w:val="TextoNormal"/>
      </w:pPr>
      <w:r>
        <w:t>2º Reponer las actuaciones al momento anterior a dictarse la providencia anulada.</w:t>
      </w:r>
    </w:p>
    <w:p w14:paraId="4DAF2266" w14:textId="77777777" w:rsidR="00576A90" w:rsidRDefault="00576A90" w:rsidP="00576A90">
      <w:pPr>
        <w:pStyle w:val="TextoNormal"/>
      </w:pPr>
    </w:p>
    <w:p w14:paraId="6503D1B6" w14:textId="77777777" w:rsidR="00576A90" w:rsidRDefault="00576A90" w:rsidP="00576A90">
      <w:pPr>
        <w:pStyle w:val="TextoNormal"/>
      </w:pPr>
      <w:r>
        <w:t>Madrid, a doce de abril de dos mil veinticuatro.</w:t>
      </w:r>
    </w:p>
    <w:p w14:paraId="01D83492" w14:textId="5E657990" w:rsidR="00576A90" w:rsidRDefault="00576A90">
      <w:pPr>
        <w:spacing w:after="160" w:line="259" w:lineRule="auto"/>
        <w:rPr>
          <w:rFonts w:ascii="Times New Roman" w:eastAsia="Times New Roman" w:hAnsi="Times New Roman" w:cs="Times New Roman"/>
          <w:sz w:val="24"/>
          <w:szCs w:val="24"/>
          <w:lang w:eastAsia="es-ES"/>
        </w:rPr>
      </w:pPr>
      <w:r>
        <w:br w:type="page"/>
      </w:r>
    </w:p>
    <w:p w14:paraId="2ABA9177" w14:textId="77777777" w:rsidR="00576A90" w:rsidRDefault="00576A90" w:rsidP="00576A90">
      <w:pPr>
        <w:pStyle w:val="TtuloResolucin"/>
      </w:pPr>
      <w:bookmarkStart w:id="130" w:name="AUTO_2024_35"/>
      <w:r>
        <w:lastRenderedPageBreak/>
        <w:t>AUTO 35/2024, de 23 de abril de 2024</w:t>
      </w:r>
    </w:p>
    <w:bookmarkEnd w:id="130"/>
    <w:p w14:paraId="49332C2C" w14:textId="77777777" w:rsidR="00576A90" w:rsidRDefault="00576A90" w:rsidP="00576A90">
      <w:pPr>
        <w:pStyle w:val="TtuloResolucin"/>
      </w:pPr>
      <w:r>
        <w:t>Sala Segunda</w:t>
      </w:r>
    </w:p>
    <w:p w14:paraId="7DC4BE6A" w14:textId="77777777" w:rsidR="00576A90" w:rsidRDefault="00576A90" w:rsidP="00576A90">
      <w:pPr>
        <w:pStyle w:val="TextoNormalCentrado"/>
      </w:pPr>
      <w:r>
        <w:t>ECLI:ES:TC:2024:35A</w:t>
      </w:r>
    </w:p>
    <w:p w14:paraId="69DF9B7C" w14:textId="425CD0D8" w:rsidR="00576A90" w:rsidRDefault="00576A90" w:rsidP="00576A90">
      <w:pPr>
        <w:pStyle w:val="TextoNormalCentrado"/>
      </w:pPr>
    </w:p>
    <w:p w14:paraId="63F71C67" w14:textId="77777777" w:rsidR="00576A90" w:rsidRDefault="00576A90" w:rsidP="00576A90">
      <w:pPr>
        <w:pStyle w:val="SntesisDescriptiva"/>
      </w:pPr>
      <w:r>
        <w:t>Excms. Srs. doña Inmaculada Montalbán Huertas, doña María Luisa Balaguer Callejón, don Ramón Sáez Valcárcel, don Enrique Arnaldo Alcubilla y doña Laura Díez Bueso.</w:t>
      </w:r>
    </w:p>
    <w:p w14:paraId="05944738" w14:textId="247CD4A9" w:rsidR="00576A90" w:rsidRDefault="00576A90" w:rsidP="00576A90">
      <w:pPr>
        <w:pStyle w:val="SntesisDescriptiva"/>
      </w:pPr>
    </w:p>
    <w:p w14:paraId="5F27BFF2" w14:textId="77777777" w:rsidR="00576A90" w:rsidRDefault="00576A90" w:rsidP="00576A90">
      <w:pPr>
        <w:pStyle w:val="SntesisDescriptiva"/>
      </w:pPr>
      <w:r>
        <w:t>Acepta una abstención en el recurso de amparo 285-2023, promovido por don Nikita Bakutin en proceso contencioso-administrativo.</w:t>
      </w:r>
    </w:p>
    <w:p w14:paraId="64C8C440" w14:textId="051DB14E" w:rsidR="00576A90" w:rsidRDefault="00576A90" w:rsidP="00576A90">
      <w:pPr>
        <w:pStyle w:val="SntesisDescriptiva"/>
      </w:pPr>
    </w:p>
    <w:p w14:paraId="58477E19" w14:textId="77777777" w:rsidR="00576A90" w:rsidRDefault="00576A90" w:rsidP="00576A90">
      <w:pPr>
        <w:pStyle w:val="SntesisDescriptiva"/>
      </w:pPr>
    </w:p>
    <w:p w14:paraId="04C9490D" w14:textId="77777777" w:rsidR="00576A90" w:rsidRDefault="00576A90" w:rsidP="00576A90">
      <w:pPr>
        <w:pStyle w:val="SntesisDescriptiva"/>
      </w:pPr>
    </w:p>
    <w:p w14:paraId="07514F2D" w14:textId="77777777" w:rsidR="00576A90" w:rsidRDefault="00576A90" w:rsidP="00576A90">
      <w:pPr>
        <w:pStyle w:val="TextoNormalNegritaCentrado"/>
      </w:pPr>
      <w:r>
        <w:t>AUTO</w:t>
      </w:r>
    </w:p>
    <w:p w14:paraId="24CDCA8D" w14:textId="05E04204" w:rsidR="00576A90" w:rsidRDefault="00576A90" w:rsidP="00576A90">
      <w:pPr>
        <w:pStyle w:val="TextoNormalNegritaCentrado"/>
      </w:pPr>
    </w:p>
    <w:p w14:paraId="50F4FD7B" w14:textId="77777777" w:rsidR="00576A90" w:rsidRDefault="00576A90" w:rsidP="00576A90">
      <w:pPr>
        <w:pStyle w:val="TextoNormalNegritaCentrado"/>
        <w:keepNext/>
      </w:pPr>
      <w:r>
        <w:t>I. Antecedentes</w:t>
      </w:r>
    </w:p>
    <w:p w14:paraId="4B158397" w14:textId="1366270E" w:rsidR="00576A90" w:rsidRDefault="00576A90" w:rsidP="00576A90">
      <w:pPr>
        <w:pStyle w:val="TextoNormalNegritaCentrado"/>
        <w:keepNext/>
      </w:pPr>
    </w:p>
    <w:p w14:paraId="0D8FD16A" w14:textId="761B8182" w:rsidR="00576A90" w:rsidRDefault="00576A90" w:rsidP="00576A90">
      <w:pPr>
        <w:pStyle w:val="TextoNormal"/>
      </w:pPr>
      <w:r w:rsidRPr="00576A90">
        <w:rPr>
          <w:rStyle w:val="NumeroAFNegritaCaracter"/>
        </w:rPr>
        <w:t>1</w:t>
      </w:r>
      <w:r>
        <w:t>. Mediante escrito registrado electrónicamente en este tribunal el 18 de enero de 2023 la procuradora de los tribunales doña María Luisa Martín Burgos, en representación de don Nikita Bakutin, interpuso recurso de amparo contra las resoluciones indicadas en el encabezamiento, que fue registrado con el núm. 285-2023.</w:t>
      </w:r>
    </w:p>
    <w:p w14:paraId="0EB6E018" w14:textId="77777777" w:rsidR="00576A90" w:rsidRDefault="00576A90" w:rsidP="00576A90">
      <w:pPr>
        <w:pStyle w:val="TextoNormal"/>
      </w:pPr>
    </w:p>
    <w:p w14:paraId="0CB96647" w14:textId="5F5C2E62" w:rsidR="00576A90" w:rsidRDefault="00576A90" w:rsidP="00576A90">
      <w:pPr>
        <w:pStyle w:val="TextoNormal"/>
      </w:pPr>
      <w:r w:rsidRPr="00576A90">
        <w:rPr>
          <w:rStyle w:val="NumeroAFNegritaCaracter"/>
        </w:rPr>
        <w:t>2</w:t>
      </w:r>
      <w:r>
        <w:t>. Por escrito de 22 de abril de 2024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providencia de 30 de noviembre de 2022 impugnada.</w:t>
      </w:r>
    </w:p>
    <w:p w14:paraId="4CE9BFC5" w14:textId="77777777" w:rsidR="00576A90" w:rsidRDefault="00576A90" w:rsidP="00576A90">
      <w:pPr>
        <w:pStyle w:val="TextoNormal"/>
      </w:pPr>
    </w:p>
    <w:p w14:paraId="0504549D" w14:textId="77777777" w:rsidR="00576A90" w:rsidRDefault="00576A90" w:rsidP="00576A90">
      <w:pPr>
        <w:pStyle w:val="TextoNormalNegritaCentrado"/>
        <w:keepNext/>
      </w:pPr>
      <w:r>
        <w:t>II. Fundamentos jurídicos</w:t>
      </w:r>
    </w:p>
    <w:p w14:paraId="3ADCD92D" w14:textId="45847188" w:rsidR="00576A90" w:rsidRDefault="00576A90" w:rsidP="00576A90">
      <w:pPr>
        <w:pStyle w:val="TextoNormalNegritaCentrado"/>
        <w:keepNext/>
      </w:pPr>
    </w:p>
    <w:p w14:paraId="46EF7304" w14:textId="350C1FE2" w:rsidR="00576A90" w:rsidRDefault="00576A90" w:rsidP="00576A90">
      <w:pPr>
        <w:pStyle w:val="TextoNormal"/>
      </w:pPr>
      <w:r w:rsidRPr="00576A90">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57E386E" w14:textId="77777777" w:rsidR="00576A90" w:rsidRDefault="00576A90" w:rsidP="00576A90">
      <w:pPr>
        <w:pStyle w:val="TextoNormal"/>
      </w:pPr>
    </w:p>
    <w:p w14:paraId="6B0807C1" w14:textId="77777777" w:rsidR="00576A90" w:rsidRDefault="00576A90" w:rsidP="00576A90">
      <w:pPr>
        <w:pStyle w:val="TextoNormal"/>
      </w:pPr>
      <w:r>
        <w:t>Por lo expuesto, la Sala</w:t>
      </w:r>
    </w:p>
    <w:p w14:paraId="3511B819" w14:textId="03D0598C" w:rsidR="00576A90" w:rsidRDefault="00576A90" w:rsidP="00576A90">
      <w:pPr>
        <w:pStyle w:val="TextoNormal"/>
      </w:pPr>
    </w:p>
    <w:p w14:paraId="4A685C20" w14:textId="77777777" w:rsidR="00576A90" w:rsidRDefault="00576A90" w:rsidP="00576A90">
      <w:pPr>
        <w:pStyle w:val="TextoNormalCentrado"/>
      </w:pPr>
      <w:r>
        <w:t>ACUERDA</w:t>
      </w:r>
    </w:p>
    <w:p w14:paraId="564EAE92" w14:textId="238BEF4F" w:rsidR="00576A90" w:rsidRDefault="00576A90" w:rsidP="00576A90">
      <w:pPr>
        <w:pStyle w:val="TextoNormalCentrado"/>
      </w:pPr>
    </w:p>
    <w:p w14:paraId="44F72F7A" w14:textId="77777777" w:rsidR="00576A90" w:rsidRDefault="00576A90" w:rsidP="00576A90">
      <w:pPr>
        <w:pStyle w:val="TextoNormal"/>
      </w:pPr>
      <w:r>
        <w:t>Aceptar la abstención formulada por el magistrado don César Tolosa Tribiño en el recurso de amparo núm. 285-2023, y apartarle definitivamente del referido recurso y de todas sus incidencias.</w:t>
      </w:r>
    </w:p>
    <w:p w14:paraId="4ADBC48E" w14:textId="77777777" w:rsidR="00576A90" w:rsidRDefault="00576A90" w:rsidP="00576A90">
      <w:pPr>
        <w:pStyle w:val="TextoNormal"/>
      </w:pPr>
    </w:p>
    <w:p w14:paraId="7459B444" w14:textId="4ACC5B35" w:rsidR="00576A90" w:rsidRDefault="00576A90" w:rsidP="00576A90">
      <w:pPr>
        <w:pStyle w:val="TextoNormal"/>
      </w:pPr>
      <w:r>
        <w:lastRenderedPageBreak/>
        <w:t>Contra la presente resolución no cabe recurso alguno (art. 221.4 LOPJ).</w:t>
      </w:r>
    </w:p>
    <w:p w14:paraId="07319315" w14:textId="77777777" w:rsidR="00576A90" w:rsidRDefault="00576A90" w:rsidP="00576A90">
      <w:pPr>
        <w:pStyle w:val="TextoNormal"/>
      </w:pPr>
    </w:p>
    <w:p w14:paraId="52B94E7C" w14:textId="77777777" w:rsidR="00576A90" w:rsidRDefault="00576A90" w:rsidP="00576A90">
      <w:pPr>
        <w:pStyle w:val="TextoNormal"/>
      </w:pPr>
      <w:r>
        <w:t>Madrid, a veintitrés de abril de dos mil veinticuatro.</w:t>
      </w:r>
    </w:p>
    <w:p w14:paraId="18071BD7" w14:textId="63C3CEF6" w:rsidR="00576A90" w:rsidRDefault="00576A90">
      <w:pPr>
        <w:spacing w:after="160" w:line="259" w:lineRule="auto"/>
        <w:rPr>
          <w:rFonts w:ascii="Times New Roman" w:eastAsia="Times New Roman" w:hAnsi="Times New Roman" w:cs="Times New Roman"/>
          <w:sz w:val="24"/>
          <w:szCs w:val="24"/>
          <w:lang w:eastAsia="es-ES"/>
        </w:rPr>
      </w:pPr>
      <w:r>
        <w:br w:type="page"/>
      </w:r>
    </w:p>
    <w:p w14:paraId="78A87FA9" w14:textId="77777777" w:rsidR="00576A90" w:rsidRDefault="00576A90" w:rsidP="00576A90">
      <w:pPr>
        <w:pStyle w:val="TtuloResolucin"/>
      </w:pPr>
      <w:bookmarkStart w:id="131" w:name="AUTO_2024_36"/>
      <w:r>
        <w:lastRenderedPageBreak/>
        <w:t>AUTO 36/2024, de 23 de abril de 2024</w:t>
      </w:r>
    </w:p>
    <w:bookmarkEnd w:id="131"/>
    <w:p w14:paraId="46037B79" w14:textId="77777777" w:rsidR="00576A90" w:rsidRDefault="00576A90" w:rsidP="00576A90">
      <w:pPr>
        <w:pStyle w:val="TtuloResolucin"/>
      </w:pPr>
      <w:r>
        <w:t>Sala Segunda</w:t>
      </w:r>
    </w:p>
    <w:p w14:paraId="3E73F33F" w14:textId="77777777" w:rsidR="00576A90" w:rsidRDefault="00576A90" w:rsidP="00576A90">
      <w:pPr>
        <w:pStyle w:val="TextoNormalCentrado"/>
      </w:pPr>
      <w:r>
        <w:t>ECLI:ES:TC:2024:36A</w:t>
      </w:r>
    </w:p>
    <w:p w14:paraId="60165050" w14:textId="5313ECE5" w:rsidR="00576A90" w:rsidRDefault="00576A90" w:rsidP="00576A90">
      <w:pPr>
        <w:pStyle w:val="TextoNormalCentrado"/>
      </w:pPr>
    </w:p>
    <w:p w14:paraId="5571FDCE" w14:textId="77777777" w:rsidR="00576A90" w:rsidRDefault="00576A90" w:rsidP="00576A90">
      <w:pPr>
        <w:pStyle w:val="SntesisDescriptiva"/>
      </w:pPr>
      <w:r>
        <w:t>Excms. Srs. doña Inmaculada Montalbán Huertas, doña María Luisa Balaguer Callejón, don Ramón Sáez Valcárcel, don Enrique Arnaldo Alcubilla y doña Laura Díez Bueso.</w:t>
      </w:r>
    </w:p>
    <w:p w14:paraId="1C5150E1" w14:textId="76988D4F" w:rsidR="00576A90" w:rsidRDefault="00576A90" w:rsidP="00576A90">
      <w:pPr>
        <w:pStyle w:val="SntesisDescriptiva"/>
      </w:pPr>
    </w:p>
    <w:p w14:paraId="7E4B8BD8" w14:textId="77777777" w:rsidR="00576A90" w:rsidRDefault="00576A90" w:rsidP="00576A90">
      <w:pPr>
        <w:pStyle w:val="SntesisDescriptiva"/>
      </w:pPr>
      <w:r>
        <w:t>Acuerda la suspensión en el recurso de amparo 285-2023, promovido por don Nikita Bakutin en proceso contencioso-administrativo.</w:t>
      </w:r>
    </w:p>
    <w:p w14:paraId="602437DA" w14:textId="687F7F82" w:rsidR="00576A90" w:rsidRDefault="00576A90" w:rsidP="00576A90">
      <w:pPr>
        <w:pStyle w:val="SntesisDescriptiva"/>
      </w:pPr>
    </w:p>
    <w:p w14:paraId="59069281" w14:textId="77777777" w:rsidR="00576A90" w:rsidRDefault="00576A90" w:rsidP="00576A90">
      <w:pPr>
        <w:pStyle w:val="SntesisDescriptiva"/>
      </w:pPr>
    </w:p>
    <w:p w14:paraId="6E4B18C5" w14:textId="77777777" w:rsidR="00576A90" w:rsidRDefault="00576A90" w:rsidP="00576A90">
      <w:pPr>
        <w:pStyle w:val="SntesisDescriptiva"/>
      </w:pPr>
    </w:p>
    <w:p w14:paraId="2A5C5C4E" w14:textId="77777777" w:rsidR="00576A90" w:rsidRDefault="00576A90" w:rsidP="00576A90">
      <w:pPr>
        <w:pStyle w:val="TextoNormalNegritaCentrado"/>
      </w:pPr>
      <w:r>
        <w:t>AUTO</w:t>
      </w:r>
    </w:p>
    <w:p w14:paraId="5D41D425" w14:textId="41746BE7" w:rsidR="00576A90" w:rsidRDefault="00576A90" w:rsidP="00576A90">
      <w:pPr>
        <w:pStyle w:val="TextoNormalNegritaCentrado"/>
      </w:pPr>
    </w:p>
    <w:p w14:paraId="141EACA0" w14:textId="77777777" w:rsidR="00576A90" w:rsidRDefault="00576A90" w:rsidP="00576A90">
      <w:pPr>
        <w:pStyle w:val="TextoNormalNegritaCentrado"/>
        <w:keepNext/>
      </w:pPr>
      <w:r>
        <w:t>I. Antecedentes</w:t>
      </w:r>
    </w:p>
    <w:p w14:paraId="305D7263" w14:textId="0BFA15B0" w:rsidR="00576A90" w:rsidRDefault="00576A90" w:rsidP="00576A90">
      <w:pPr>
        <w:pStyle w:val="TextoNormalNegritaCentrado"/>
        <w:keepNext/>
      </w:pPr>
    </w:p>
    <w:p w14:paraId="68E7A0BB" w14:textId="6F169305" w:rsidR="00576A90" w:rsidRDefault="00576A90" w:rsidP="00576A90">
      <w:pPr>
        <w:pStyle w:val="TextoNormal"/>
      </w:pPr>
      <w:r w:rsidRPr="00576A90">
        <w:rPr>
          <w:rStyle w:val="NumeroAFNegritaCaracter"/>
        </w:rPr>
        <w:t>1</w:t>
      </w:r>
      <w:r>
        <w:t>. El 18 de enero de 2023 tuvo entrada en el registro general de este Tribunal Constitucional un escrito de la procuradora doña María Luisa Martín Burgos, en representación de don Nikita Bakutin, asistido por la letrada doña María Chamorro García-Pozo, por el que interpuso recurso de amparo contra la resolución de 21 de noviembre de 2018 de la Subdelegación del Gobierno en Barcelona, por la que se acordó en el expediente sancionador 080220180001710 la expulsión del territorio nacional del ahora recurrente en amparo con prohibición de entrada durante cinco años, así como contra la sentencia 167/2019, de 13 de junio, del Juzgado de lo Contencioso-Administrativo núm. 3 de Barcelona, dictada en el recurso contencioso administrativo núm. 18-2019, contra la sentencia 998/2021, de 8 de marzo, de la Sección Segunda de la Sala de lo Contencioso-Administrativo del Tribunal Superior de Justicia de Cataluña, dictada en apelación, que la confirma.</w:t>
      </w:r>
    </w:p>
    <w:p w14:paraId="059F6CAD" w14:textId="77777777" w:rsidR="00576A90" w:rsidRDefault="00576A90" w:rsidP="00576A90">
      <w:pPr>
        <w:pStyle w:val="TextoNormal"/>
      </w:pPr>
    </w:p>
    <w:p w14:paraId="2C2C5ECF" w14:textId="77777777" w:rsidR="00576A90" w:rsidRDefault="00576A90" w:rsidP="00576A90">
      <w:pPr>
        <w:pStyle w:val="TextoNormal"/>
      </w:pPr>
      <w:r w:rsidRPr="00576A90">
        <w:rPr>
          <w:rStyle w:val="NumeroAFNegritaCaracter"/>
        </w:rPr>
        <w:t>2</w:t>
      </w:r>
      <w:r>
        <w:t>. Los hechos relevantes para la resolución de esta pieza de suspensión son los siguientes:</w:t>
      </w:r>
    </w:p>
    <w:p w14:paraId="0C5D4473" w14:textId="77777777" w:rsidR="00576A90" w:rsidRDefault="00576A90" w:rsidP="00576A90">
      <w:pPr>
        <w:pStyle w:val="TextoNormal"/>
      </w:pPr>
    </w:p>
    <w:p w14:paraId="68D0F7F6" w14:textId="77777777" w:rsidR="00576A90" w:rsidRDefault="00576A90" w:rsidP="00576A90">
      <w:pPr>
        <w:pStyle w:val="TextoNormal"/>
      </w:pPr>
      <w:r>
        <w:t>a) El 21 de noviembre de 2018, la Subdelegación del Gobierno en Barcelona decretó la expulsión del territorio nacional del ahora recurrente en amparo, de nacionalidad rusa, con prohibición de entrada durante cinco años, por infracción de lo dispuesto en el art. 53.1 a) de la Ley Orgánica 4/2000, de 11 de enero, sobre derechos y libertades de los extranjeros en España y su integración social (LOEx), al encontrarse irregularmente en territorio español.</w:t>
      </w:r>
    </w:p>
    <w:p w14:paraId="3A6A5987" w14:textId="77777777" w:rsidR="00576A90" w:rsidRDefault="00576A90" w:rsidP="00576A90">
      <w:pPr>
        <w:pStyle w:val="TextoNormal"/>
      </w:pPr>
    </w:p>
    <w:p w14:paraId="10D81052" w14:textId="77777777" w:rsidR="00576A90" w:rsidRDefault="00576A90" w:rsidP="00576A90">
      <w:pPr>
        <w:pStyle w:val="TextoNormal"/>
      </w:pPr>
      <w:r>
        <w:t>b) Contra la resolución administrativa de expulsión se interpuso recurso contencioso-administrativo, lo que dio lugar al procedimiento abreviado núm. 18-2019. Dicho recurso fue desestimado por sentencia 167/2019, de 13 de junio, del Juzgado de lo Contencioso-Administrativo núm. 3 de Barcelona.</w:t>
      </w:r>
    </w:p>
    <w:p w14:paraId="5697D697" w14:textId="77777777" w:rsidR="00576A90" w:rsidRDefault="00576A90" w:rsidP="00576A90">
      <w:pPr>
        <w:pStyle w:val="TextoNormal"/>
      </w:pPr>
    </w:p>
    <w:p w14:paraId="11275FDF" w14:textId="77777777" w:rsidR="00576A90" w:rsidRDefault="00576A90" w:rsidP="00576A90">
      <w:pPr>
        <w:pStyle w:val="TextoNormal"/>
      </w:pPr>
      <w:r>
        <w:t>c) Interpuesto el correspondiente recurso de apelación, este fue desestimado por sentencia 998/2021, de 8 de marzo, dictada por la Sección Segunda de la Sala de lo Contencioso-Administrativo del Tribunal Superior de justicia de Cataluña.</w:t>
      </w:r>
    </w:p>
    <w:p w14:paraId="3C08199A" w14:textId="77777777" w:rsidR="00576A90" w:rsidRDefault="00576A90" w:rsidP="00576A90">
      <w:pPr>
        <w:pStyle w:val="TextoNormal"/>
      </w:pPr>
    </w:p>
    <w:p w14:paraId="6589C528" w14:textId="0F8472B6" w:rsidR="00576A90" w:rsidRDefault="00576A90" w:rsidP="00576A90">
      <w:pPr>
        <w:pStyle w:val="TextoNormal"/>
      </w:pPr>
      <w:r>
        <w:lastRenderedPageBreak/>
        <w:t>d) Por providencia de 30 de noviembre de 2022 de la Sección Primera de la Sala de lo Contencioso-Administrativo del Tribunal Supremo fue inadmitido el recurso de casación frente a la sentencia anterior.</w:t>
      </w:r>
    </w:p>
    <w:p w14:paraId="7080E4F4" w14:textId="77777777" w:rsidR="00576A90" w:rsidRDefault="00576A90" w:rsidP="00576A90">
      <w:pPr>
        <w:pStyle w:val="TextoNormal"/>
      </w:pPr>
    </w:p>
    <w:p w14:paraId="6D32F0F6" w14:textId="11AE5AB8" w:rsidR="00576A90" w:rsidRDefault="00576A90" w:rsidP="00576A90">
      <w:pPr>
        <w:pStyle w:val="TextoNormal"/>
      </w:pPr>
      <w:r w:rsidRPr="00576A90">
        <w:rPr>
          <w:rStyle w:val="NumeroAFNegritaCaracter"/>
        </w:rPr>
        <w:t>3</w:t>
      </w:r>
      <w:r>
        <w:t>. La demanda de amparo considera que las resoluciones impugnadas le han vulnerado el derecho fundamental a la tutela judicial efectiva (art. 24.1 CE), en su vertiente del derecho a obtener una resolución fundada en Derecho al no haberse ponderado las circunstancias personales y familiares concurrentes. También interesa, por otrosí, la suspensión de las resoluciones recurridas en amparo dado que la ejecución ocasionaría al demandante un perjuicio de imposible o difícil reparación que haría perder al amparo su finalidad. Alega que, de no acordarse la suspensión, podría ser expulsado en cualquier momento quedando separado de la única familia que tiene, su madre, quien además le mantiene económicamente. Asimismo, expresa que la suspensión no supone perturbación grave para los intereses generales ni genera ningún daño grave a los derechos o libertades de terceros, sin mayor argumentación.</w:t>
      </w:r>
    </w:p>
    <w:p w14:paraId="320823E3" w14:textId="77777777" w:rsidR="00576A90" w:rsidRDefault="00576A90" w:rsidP="00576A90">
      <w:pPr>
        <w:pStyle w:val="TextoNormal"/>
      </w:pPr>
    </w:p>
    <w:p w14:paraId="552E5B73" w14:textId="180D612E" w:rsidR="00576A90" w:rsidRDefault="00576A90" w:rsidP="00576A90">
      <w:pPr>
        <w:pStyle w:val="TextoNormal"/>
      </w:pPr>
      <w:r w:rsidRPr="00576A90">
        <w:rPr>
          <w:rStyle w:val="NumeroAFNegritaCaracter"/>
        </w:rPr>
        <w:t>4</w:t>
      </w:r>
      <w:r>
        <w:t>. La Sección Cuarta del Tribunal Constitucional, por sendas providencias de 11 de marzo de 2024, acordó, en la primera, admitir a trámite el recurso de amparo apreciando la concurrencia de especial trascendencia constitucional [art. 50.1 de la Ley Orgánica del Tribunal Constitucional (LOTC)] “porque el recurso puede dar ocasión al Tribunal para aclarar o cambiar su doctrina, como consecuencia de un cambio en la doctrina de los órganos de garantía encargados de la interpretación de los tratados y acuerdos internacionales a los que se refiere el art. 10.2 CE” [STC 155/2009, de 25 de junio, FJ 2 b)], y la formación de pieza separada para la sustanciación del incidente de suspensión; y, en la segunda, formar la oportuna pieza separada para la tramitación del incidente de suspensión y conceder al recurrente y al Ministerio Fiscal el plazo común de tres días para que alegaran lo que estimaran pertinente sobre la suspensión solicitada.</w:t>
      </w:r>
    </w:p>
    <w:p w14:paraId="7C228122" w14:textId="77777777" w:rsidR="00576A90" w:rsidRDefault="00576A90" w:rsidP="00576A90">
      <w:pPr>
        <w:pStyle w:val="TextoNormal"/>
      </w:pPr>
    </w:p>
    <w:p w14:paraId="4CD31A33" w14:textId="1131954B" w:rsidR="00576A90" w:rsidRDefault="00576A90" w:rsidP="00576A90">
      <w:pPr>
        <w:pStyle w:val="TextoNormal"/>
      </w:pPr>
      <w:r w:rsidRPr="00576A90">
        <w:rPr>
          <w:rStyle w:val="NumeroAFNegritaCaracter"/>
        </w:rPr>
        <w:t>5</w:t>
      </w:r>
      <w:r>
        <w:t>. El recurrente, por escrito registrado el 19 de marzo de 2024, presentó alegaciones reiterando los motivos por los que instó la suspensión de las resoluciones impugnadas, añadiendo que la actual situación de guerra en Rusia justifica suspender la ejecución en virtud del principio de no devolución establecido en el art. 31.1 de la Convención de Ginebra.</w:t>
      </w:r>
    </w:p>
    <w:p w14:paraId="482D0393" w14:textId="77777777" w:rsidR="00576A90" w:rsidRDefault="00576A90" w:rsidP="00576A90">
      <w:pPr>
        <w:pStyle w:val="TextoNormal"/>
      </w:pPr>
    </w:p>
    <w:p w14:paraId="761563DB" w14:textId="77777777" w:rsidR="00576A90" w:rsidRDefault="00576A90" w:rsidP="00576A90">
      <w:pPr>
        <w:pStyle w:val="TextoNormal"/>
      </w:pPr>
      <w:r w:rsidRPr="00576A90">
        <w:rPr>
          <w:rStyle w:val="NumeroAFNegritaCaracter"/>
        </w:rPr>
        <w:t>6</w:t>
      </w:r>
      <w:r>
        <w:t>. El día 10 de abril de 2024 tuvo entrada en el registro del Tribunal el escrito de alegaciones del Ministerio Fiscal. Tras extractar los antecedentes del caso, la fiscal expone la doctrina de este tribunal sobre la cuestión planteada, con cita y reseña de los AATC 40/2021, de 19 de abril, FJ 2, y 55/2021, de 10 de mayo, FJ 2.</w:t>
      </w:r>
    </w:p>
    <w:p w14:paraId="24B11E48" w14:textId="77777777" w:rsidR="00576A90" w:rsidRDefault="00576A90" w:rsidP="00576A90">
      <w:pPr>
        <w:pStyle w:val="TextoNormal"/>
      </w:pPr>
    </w:p>
    <w:p w14:paraId="486B4C0C" w14:textId="17561C52" w:rsidR="00576A90" w:rsidRDefault="00576A90" w:rsidP="00576A90">
      <w:pPr>
        <w:pStyle w:val="TextoNormal"/>
      </w:pPr>
      <w:r>
        <w:t>En aplicación de esa doctrina, el Ministerio Fiscal considera que procede acceder a la medida cautelar solicitada, reconociendo la existencia de la irreparabilidad del perjuicio alegado en caso de que no se acordara la suspensión cautelar solicitada, y la no apreciación de perturbación grave de los intereses generales (más allá del interés general en la efectividad de las resoluciones judiciales definitivas) ni de derechos de terceros, conforme a lo dispuesto en el art. 56.2 LOTC.</w:t>
      </w:r>
    </w:p>
    <w:p w14:paraId="74F7C53B" w14:textId="77777777" w:rsidR="00576A90" w:rsidRDefault="00576A90" w:rsidP="00576A90">
      <w:pPr>
        <w:pStyle w:val="TextoNormal"/>
      </w:pPr>
    </w:p>
    <w:p w14:paraId="6BD6DF88" w14:textId="17988227" w:rsidR="00576A90" w:rsidRDefault="00576A90" w:rsidP="00576A90">
      <w:pPr>
        <w:pStyle w:val="TextoNormal"/>
      </w:pPr>
      <w:r w:rsidRPr="00576A90">
        <w:rPr>
          <w:rStyle w:val="NumeroAFNegritaCaracter"/>
        </w:rPr>
        <w:lastRenderedPageBreak/>
        <w:t>7</w:t>
      </w:r>
      <w:r>
        <w:t>. Por diligencia del secretario de justicia de la Sección Cuarta de este tribunal, de 18 de abril de 2024, se hizo constar que, según información de la Subdelegación del Gobierno en Barcelona, la orden de expulsión está vigente y se encuentra en estado “dictada”, si bien no ha sido ejecutada.</w:t>
      </w:r>
    </w:p>
    <w:p w14:paraId="4EB7B70D" w14:textId="77777777" w:rsidR="00576A90" w:rsidRDefault="00576A90" w:rsidP="00576A90">
      <w:pPr>
        <w:pStyle w:val="TextoNormal"/>
      </w:pPr>
    </w:p>
    <w:p w14:paraId="1D43788B" w14:textId="45EF379B" w:rsidR="00576A90" w:rsidRDefault="00576A90" w:rsidP="00576A90">
      <w:pPr>
        <w:pStyle w:val="TextoNormal"/>
      </w:pPr>
      <w:r w:rsidRPr="00576A90">
        <w:rPr>
          <w:rStyle w:val="NumeroAFNegritaCaracter"/>
        </w:rPr>
        <w:t>8</w:t>
      </w:r>
      <w:r>
        <w:t>. Mediante ATC 35/2024, de 23 de abril, la Sala Segunda ha estimado justificada la abstención formulada por el magistrado don César Tolosa Tribiño en el presente recurso de amparo, núm. 285-2023, apartándole definitivamente del referido recurso y de todas sus incidencias.</w:t>
      </w:r>
    </w:p>
    <w:p w14:paraId="6095AAD6" w14:textId="77777777" w:rsidR="00576A90" w:rsidRDefault="00576A90" w:rsidP="00576A90">
      <w:pPr>
        <w:pStyle w:val="TextoNormal"/>
      </w:pPr>
    </w:p>
    <w:p w14:paraId="0C6268C4" w14:textId="77777777" w:rsidR="00576A90" w:rsidRDefault="00576A90" w:rsidP="00576A90">
      <w:pPr>
        <w:pStyle w:val="TextoNormalNegritaCentrado"/>
        <w:keepNext/>
      </w:pPr>
      <w:r>
        <w:t>II. Fundamentos jurídicos</w:t>
      </w:r>
    </w:p>
    <w:p w14:paraId="51326997" w14:textId="1609ADEF" w:rsidR="00576A90" w:rsidRDefault="00576A90" w:rsidP="00576A90">
      <w:pPr>
        <w:pStyle w:val="TextoNormalNegritaCentrado"/>
        <w:keepNext/>
      </w:pPr>
    </w:p>
    <w:p w14:paraId="4E6D2D04" w14:textId="10AAF0F6" w:rsidR="00576A90" w:rsidRDefault="00576A90" w:rsidP="00576A90">
      <w:pPr>
        <w:pStyle w:val="TextoNormal"/>
      </w:pPr>
      <w:r w:rsidRPr="00576A90">
        <w:rPr>
          <w:rStyle w:val="NumeroAFNegritaCaracter"/>
        </w:rPr>
        <w:t>1</w:t>
      </w:r>
      <w:r>
        <w:t>. El objeto de esta pieza es determinar la procedencia o no de la medida cautelar instada por la parte recurrente en amparo, consistente en la suspensión de la ejecución de la resolución administrativa por la que se acordó su expulsión del territorio nacional. Considera que, una vez admitido a trámite el recurso, la ejecución de esa sanción le causaría un perjuicio irreparable para el caso de que finalmente se estimara el amparo. Por su parte, el Ministerio Fiscal se ha mostrado favorable a la medida cautelar solicitada, por los motivos ya expuestos en los antecedentes de esta resolución.</w:t>
      </w:r>
    </w:p>
    <w:p w14:paraId="30F7D003" w14:textId="77777777" w:rsidR="00576A90" w:rsidRDefault="00576A90" w:rsidP="00576A90">
      <w:pPr>
        <w:pStyle w:val="TextoNormal"/>
      </w:pPr>
    </w:p>
    <w:p w14:paraId="696CC46F" w14:textId="77777777" w:rsidR="00576A90" w:rsidRDefault="00576A90" w:rsidP="00576A90">
      <w:pPr>
        <w:pStyle w:val="TextoNormal"/>
      </w:pPr>
      <w:r w:rsidRPr="00576A90">
        <w:rPr>
          <w:rStyle w:val="NumeroAFNegritaCaracter"/>
        </w:rPr>
        <w:t>2</w:t>
      </w:r>
      <w:r>
        <w:t>. 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y 1/2010, de 11 de enero,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y 12/2009, de 26 de enero). En este sentido, este tribunal ha entendido por perjuicio irreparable aquel que provoque que el restablecimiento del recurrente en el derecho constitucional vulnerado sea tardío y convierta el amparo en meramente ilusorio y nominal (por todos AATC 274/2008, de 15 de septiembre; 26/2009, de 26 de enero, y 173/2009, de 1 de junio).</w:t>
      </w:r>
    </w:p>
    <w:p w14:paraId="28729D15" w14:textId="77777777" w:rsidR="00576A90" w:rsidRDefault="00576A90" w:rsidP="00576A90">
      <w:pPr>
        <w:pStyle w:val="TextoNormal"/>
      </w:pPr>
    </w:p>
    <w:p w14:paraId="7EC01005" w14:textId="70B44D83" w:rsidR="00576A90" w:rsidRDefault="00576A90" w:rsidP="00576A90">
      <w:pPr>
        <w:pStyle w:val="TextoNormal"/>
      </w:pPr>
      <w:r>
        <w:t>Resulta, en definitiva, que la protección del interés general que subyace a la ejecución de lo juzgado debe ceder en aquellos supuestos en los que, de no acordarse la suspensión, el amparo perdería toda finalidad, lo que explica que, en principio, proceda suspender aquellos pronunciamientos judiciales que no admiten la reparación o la restitución íntegra de lo ejecutado (por todos, AATC 44/2008, de 11 de febrero, FJ 1; 59/2008, de 20 de febrero, FJ 1; 67/2008, de 25 de febrero, FJ 1; 109/2008, de 14 de abril, FJ 1; 111/2008, de 14 de abril, FJ 1; 118/2008, de 28 de abril, FJ 1, y 172/2008, de 23 de junio, FJ 1).</w:t>
      </w:r>
    </w:p>
    <w:p w14:paraId="5ACE157F" w14:textId="77777777" w:rsidR="00576A90" w:rsidRDefault="00576A90" w:rsidP="00576A90">
      <w:pPr>
        <w:pStyle w:val="TextoNormal"/>
      </w:pPr>
    </w:p>
    <w:p w14:paraId="74A09FA2" w14:textId="77777777" w:rsidR="00576A90" w:rsidRDefault="00576A90" w:rsidP="00576A90">
      <w:pPr>
        <w:pStyle w:val="TextoNormal"/>
      </w:pPr>
      <w:r w:rsidRPr="00576A90">
        <w:rPr>
          <w:rStyle w:val="NumeroAFNegritaCaracter"/>
        </w:rPr>
        <w:lastRenderedPageBreak/>
        <w:t>3</w:t>
      </w:r>
      <w:r>
        <w:t>. En el caso de las resoluciones de expulsión, la jurisprudencia constitucional ha reiterado que su ejecución “podría convertir en ilusoria una eventual concesión del amparo, porque, por un lado, lo que se trataría de impedir con el recurso ya habría tenido lugar y, por otro, pese a que una eventual concesión del amparo pudiera tener como consecuencia la posibilidad de que el recurrente regresase a nuestro país, los perjuicios de carácter personal, económico y familiar serían de imposible resarcimiento” (AATC 82/1999, de 12 de abril, FJ 2; 356/2008, de 10 de noviembre, FJ único; 156/2010, de 15 de noviembre, FJ único; 66/2012, de 16 de abril, FJ 2; 116/2013, de 20 de mayo, FJ 2; 90/2015, de 25 de mayo, FJ 2; 47/2016, de 29 de febrero, FJ 2, y 133/2016, de 22 de junio, FJ 2). Doctrina reiterada en los más recientes AATC 40/2021, de 19 de abril, FJ 2; 55/2021, de 10 de mayo, FJ 2; 62/2022, de 4 de abril, FJ 5, y 98/2022, de 16 de junio, FJ 3, entre otros.</w:t>
      </w:r>
    </w:p>
    <w:p w14:paraId="45D7CD1C" w14:textId="77777777" w:rsidR="00576A90" w:rsidRDefault="00576A90" w:rsidP="00576A90">
      <w:pPr>
        <w:pStyle w:val="TextoNormal"/>
      </w:pPr>
    </w:p>
    <w:p w14:paraId="4DB32009" w14:textId="5A3B3E00" w:rsidR="00576A90" w:rsidRDefault="00576A90" w:rsidP="00576A90">
      <w:pPr>
        <w:pStyle w:val="TextoNormal"/>
      </w:pPr>
      <w:r>
        <w:t>De ahí que en el presente caso, en aplicación de lo expuesto y de acuerdo con lo solicitado por la fiscal, resulta procedente acordar la suspensión de la ejecución de la sanción impuesta al recurrente, consistente en la expulsión del territorio nacional y la prohibición de entrada durante cinco años, atendiendo a las circunstancias personales y familiares que se reflejan en las actuaciones y al hecho de que no cabe apreciar que dicha suspensión pueda originar una perturbación grave de los intereses generales ni de los derechos fundamentales o libertades públicas de un tercero.</w:t>
      </w:r>
    </w:p>
    <w:p w14:paraId="32739D72" w14:textId="77777777" w:rsidR="00576A90" w:rsidRDefault="00576A90" w:rsidP="00576A90">
      <w:pPr>
        <w:pStyle w:val="TextoNormal"/>
      </w:pPr>
    </w:p>
    <w:p w14:paraId="29BA3AE2" w14:textId="77777777" w:rsidR="00576A90" w:rsidRDefault="00576A90" w:rsidP="00576A90">
      <w:pPr>
        <w:pStyle w:val="TextoNormal"/>
      </w:pPr>
      <w:r>
        <w:t>Por lo expuesto, la Sala</w:t>
      </w:r>
    </w:p>
    <w:p w14:paraId="7F3CBD02" w14:textId="582BF747" w:rsidR="00576A90" w:rsidRDefault="00576A90" w:rsidP="00576A90">
      <w:pPr>
        <w:pStyle w:val="TextoNormal"/>
      </w:pPr>
    </w:p>
    <w:p w14:paraId="5A2B88A1" w14:textId="77777777" w:rsidR="00576A90" w:rsidRDefault="00576A90" w:rsidP="00576A90">
      <w:pPr>
        <w:pStyle w:val="TextoNormalCentrado"/>
      </w:pPr>
      <w:r>
        <w:t>ACUERDA</w:t>
      </w:r>
    </w:p>
    <w:p w14:paraId="7A3EF62C" w14:textId="5C76F1EA" w:rsidR="00576A90" w:rsidRDefault="00576A90" w:rsidP="00576A90">
      <w:pPr>
        <w:pStyle w:val="TextoNormalCentrado"/>
      </w:pPr>
    </w:p>
    <w:p w14:paraId="4765E883" w14:textId="04B447FC" w:rsidR="00576A90" w:rsidRDefault="00576A90" w:rsidP="00576A90">
      <w:pPr>
        <w:pStyle w:val="TextoNormal"/>
      </w:pPr>
      <w:r>
        <w:t>Suspender la ejecución de la sanción de expulsión del territorio nacional y prohibición de entrada durante cinco años impuesta al actor en la resolución de la Subdelegación del Gobierno en Barcelona de 21 de noviembre de 2018 en el marco del expediente sancionador núm. 080220180001710, y confirmada en las sentencias dictadas por la Sala de lo Contencioso-Administrativo (Sección Segunda) del Tribunal Superior de Justicia de Cataluña el 8 de marzo de 2021 y por el Juzgado de lo Contencioso-Administrativo núm. 3 de Barcelona el 13 de junio de 2019.</w:t>
      </w:r>
    </w:p>
    <w:p w14:paraId="3EE69C20" w14:textId="77777777" w:rsidR="00576A90" w:rsidRDefault="00576A90" w:rsidP="00576A90">
      <w:pPr>
        <w:pStyle w:val="TextoNormal"/>
      </w:pPr>
    </w:p>
    <w:p w14:paraId="5BF764D7" w14:textId="77777777" w:rsidR="00576A90" w:rsidRDefault="00576A90" w:rsidP="00576A90">
      <w:pPr>
        <w:pStyle w:val="TextoNormal"/>
      </w:pPr>
      <w:r>
        <w:t>Madrid, a veintitrés de abril de dos mil veinticuatro.</w:t>
      </w:r>
    </w:p>
    <w:p w14:paraId="2366ACB9" w14:textId="34FCFC04" w:rsidR="00576A90" w:rsidRDefault="00576A90">
      <w:pPr>
        <w:spacing w:after="160" w:line="259" w:lineRule="auto"/>
        <w:rPr>
          <w:rFonts w:ascii="Times New Roman" w:eastAsia="Times New Roman" w:hAnsi="Times New Roman" w:cs="Times New Roman"/>
          <w:sz w:val="24"/>
          <w:szCs w:val="24"/>
          <w:lang w:eastAsia="es-ES"/>
        </w:rPr>
      </w:pPr>
      <w:r>
        <w:br w:type="page"/>
      </w:r>
    </w:p>
    <w:p w14:paraId="440C5355" w14:textId="77777777" w:rsidR="00576A90" w:rsidRDefault="00576A90" w:rsidP="00576A90">
      <w:pPr>
        <w:pStyle w:val="TtuloResolucin"/>
      </w:pPr>
      <w:bookmarkStart w:id="132" w:name="AUTO_2024_37"/>
      <w:r>
        <w:lastRenderedPageBreak/>
        <w:t>AUTO 37/2024, de 23 de abril de 2024</w:t>
      </w:r>
    </w:p>
    <w:bookmarkEnd w:id="132"/>
    <w:p w14:paraId="42C98AEC" w14:textId="77777777" w:rsidR="00576A90" w:rsidRDefault="00576A90" w:rsidP="00576A90">
      <w:pPr>
        <w:pStyle w:val="TtuloResolucin"/>
      </w:pPr>
      <w:r>
        <w:t>Pleno</w:t>
      </w:r>
    </w:p>
    <w:p w14:paraId="39BCF580" w14:textId="77777777" w:rsidR="00576A90" w:rsidRDefault="00576A90" w:rsidP="00576A90">
      <w:pPr>
        <w:pStyle w:val="TtuloBOE"/>
      </w:pPr>
      <w:r>
        <w:t>(BOE núm. 131, de 30 de mayo de 2024)</w:t>
      </w:r>
    </w:p>
    <w:p w14:paraId="46F0451A" w14:textId="77777777" w:rsidR="00576A90" w:rsidRDefault="00576A90" w:rsidP="00576A90">
      <w:pPr>
        <w:pStyle w:val="TextoNormalCentrado"/>
      </w:pPr>
      <w:r>
        <w:t>ECLI:ES:TC:2024:37A</w:t>
      </w:r>
    </w:p>
    <w:p w14:paraId="568C32E6" w14:textId="5B898CED" w:rsidR="00576A90" w:rsidRDefault="00576A90" w:rsidP="00576A90">
      <w:pPr>
        <w:pStyle w:val="TextoNormalCentrado"/>
      </w:pPr>
    </w:p>
    <w:p w14:paraId="68F1F3D6" w14:textId="77777777" w:rsidR="00576A90" w:rsidRDefault="00576A90" w:rsidP="00576A90">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w:t>
      </w:r>
    </w:p>
    <w:p w14:paraId="436085B1" w14:textId="3365F197" w:rsidR="00576A90" w:rsidRDefault="00576A90" w:rsidP="00576A90">
      <w:pPr>
        <w:pStyle w:val="SntesisDescriptiva"/>
      </w:pPr>
    </w:p>
    <w:p w14:paraId="513D0C96" w14:textId="77777777" w:rsidR="00576A90" w:rsidRDefault="00576A90" w:rsidP="00576A90">
      <w:pPr>
        <w:pStyle w:val="SntesisDescriptiva"/>
      </w:pPr>
      <w:r>
        <w:t>Levanta la suspensión en el recurso de inconstitucionalidad 8042-2023, interpuesto por el presidente del Gobierno en relación con diversos preceptos del Decreto-ley del Gobierno de Aragón 1/2023, de 20 de marzo, de medidas urgentes para el impulso de la transición energética y el consumo de cercanía en Aragón.</w:t>
      </w:r>
    </w:p>
    <w:p w14:paraId="51C6444F" w14:textId="6EFBE996" w:rsidR="00576A90" w:rsidRDefault="00576A90" w:rsidP="00576A90">
      <w:pPr>
        <w:pStyle w:val="SntesisDescriptiva"/>
      </w:pPr>
    </w:p>
    <w:p w14:paraId="06E35F84" w14:textId="77777777" w:rsidR="00576A90" w:rsidRDefault="00576A90" w:rsidP="00576A90">
      <w:pPr>
        <w:pStyle w:val="SntesisDescriptiva"/>
      </w:pPr>
    </w:p>
    <w:p w14:paraId="700545EC" w14:textId="77777777" w:rsidR="00576A90" w:rsidRDefault="00576A90" w:rsidP="00576A90">
      <w:pPr>
        <w:pStyle w:val="SntesisDescriptiva"/>
      </w:pPr>
    </w:p>
    <w:p w14:paraId="1A86234D" w14:textId="77777777" w:rsidR="00576A90" w:rsidRDefault="00576A90" w:rsidP="00576A90">
      <w:pPr>
        <w:pStyle w:val="TextoNormalNegritaCentrado"/>
      </w:pPr>
      <w:r>
        <w:t>AUTO</w:t>
      </w:r>
    </w:p>
    <w:p w14:paraId="54D966F6" w14:textId="334FE161" w:rsidR="00576A90" w:rsidRDefault="00576A90" w:rsidP="00576A90">
      <w:pPr>
        <w:pStyle w:val="TextoNormalNegritaCentrado"/>
      </w:pPr>
    </w:p>
    <w:p w14:paraId="03DCB0D8" w14:textId="77777777" w:rsidR="00576A90" w:rsidRDefault="00576A90" w:rsidP="00576A90">
      <w:pPr>
        <w:pStyle w:val="TextoNormalNegritaCentrado"/>
        <w:keepNext/>
      </w:pPr>
      <w:r>
        <w:t>I. Antecedentes</w:t>
      </w:r>
    </w:p>
    <w:p w14:paraId="4840B7E4" w14:textId="75DB947F" w:rsidR="00576A90" w:rsidRDefault="00576A90" w:rsidP="00576A90">
      <w:pPr>
        <w:pStyle w:val="TextoNormalNegritaCentrado"/>
        <w:keepNext/>
      </w:pPr>
    </w:p>
    <w:p w14:paraId="7290A353" w14:textId="77777777" w:rsidR="00576A90" w:rsidRDefault="00576A90" w:rsidP="00576A90">
      <w:pPr>
        <w:pStyle w:val="TextoNormal"/>
      </w:pPr>
      <w:r w:rsidRPr="00576A90">
        <w:rPr>
          <w:rStyle w:val="NumeroAFNegritaCaracter"/>
        </w:rPr>
        <w:t>1</w:t>
      </w:r>
      <w:r>
        <w:t>. Mediante escrito registrado en este tribunal el día 21 de diciembre de 2023, el abogado del Estado interpuso, en nombre del presidente del Gobierno, recurso de inconstitucionalidad contra los artículos 4; 5, apartados 1, 2 y 4; 6; 7, apartados 1, 2, y letras a), b) y c) del apartado 3; 12, apartado 2 en cuanto al inciso “Las redes interiores podrán establecerse en cualquier nivel de tensión a efectos de autoconsumo” y 3, en cuanto al inciso “y a establecer y operar redes interiores de cualquier nivel de tensión para establecer sistemas de autoconsumo”; 13, apartados 2, 3 y 4; 19; 22.2; 33; 38; 39; 40, apartados 2 y 3; 59; la disposición adicional cuarta; la disposición adicional quinta, y la disposición transitoria tercera del Decreto-ley del Gobierno de Aragón 1/2023, de 20 de marzo, de medidas urgentes para el impulso de la transición energética y el consumo de cercanía en Aragón.</w:t>
      </w:r>
    </w:p>
    <w:p w14:paraId="134C5AE5" w14:textId="77777777" w:rsidR="00576A90" w:rsidRDefault="00576A90" w:rsidP="00576A90">
      <w:pPr>
        <w:pStyle w:val="TextoNormal"/>
      </w:pPr>
    </w:p>
    <w:p w14:paraId="7B996260" w14:textId="21B8E9FA" w:rsidR="00576A90" w:rsidRDefault="00576A90" w:rsidP="00576A90">
      <w:pPr>
        <w:pStyle w:val="TextoNormal"/>
      </w:pPr>
      <w:r>
        <w:t>El abogado del Estado invocó el art. 161.2 CE en relación con el art. 30 de la Ley Orgánica del Tribunal Constitucional (LOTC), a los efectos de que se produjera la suspensión de la aplicación de los preceptos impugnados.</w:t>
      </w:r>
    </w:p>
    <w:p w14:paraId="44A75DEF" w14:textId="77777777" w:rsidR="00576A90" w:rsidRDefault="00576A90" w:rsidP="00576A90">
      <w:pPr>
        <w:pStyle w:val="TextoNormal"/>
      </w:pPr>
    </w:p>
    <w:p w14:paraId="1165B84F" w14:textId="665D130C" w:rsidR="00576A90" w:rsidRDefault="00576A90" w:rsidP="00576A90">
      <w:pPr>
        <w:pStyle w:val="TextoNormal"/>
      </w:pPr>
      <w:r w:rsidRPr="00576A90">
        <w:rPr>
          <w:rStyle w:val="NumeroAFNegritaCaracter"/>
        </w:rPr>
        <w:t>2</w:t>
      </w:r>
      <w:r>
        <w:t xml:space="preserve">. Por providencia de 30 de enero de 2024 el Pleno del Tribunal Constitucional, a propuesta de la Sección Tercera, acordó admitir a trámite el recurso de inconstitucionalidad, dar traslado de la demanda y documentos presentados, conforme establece el art. 34 LOTC, al Congreso de los Diputados y al Senado, por conducto de sus presidentes, así como a las Cortes de Aragón y al Gobierno de Aragón, por conducto de sus presidentes, al objeto de que, en el plazo de quince días, puedan personarse en el proceso y formular las alegaciones que estimaren convenientes; tener por invocado por el presidente del Gobierno el art. 161.2 de la Constitución, lo que, a su tenor y conforme dispone el art. 30 LOTC, produce la suspensión de la vigencia y aplicación de los preceptos impugnados, desde la fecha de interposición del recurso —21 de diciembre de 2023— para las partes </w:t>
      </w:r>
      <w:r>
        <w:lastRenderedPageBreak/>
        <w:t>del proceso y desde el día en que aparezca publicada la suspensión en el “Boletín Oficial del Estado” para los terceros, lo que se comunicará a los presidentes de los citados órganos autonómicos, así como publicar la incoación del recurso en el “Boletín Oficial del Estado” y en el “Boletín Oficial de Aragón”.</w:t>
      </w:r>
    </w:p>
    <w:p w14:paraId="5FFD4580" w14:textId="77777777" w:rsidR="00576A90" w:rsidRDefault="00576A90" w:rsidP="00576A90">
      <w:pPr>
        <w:pStyle w:val="TextoNormal"/>
      </w:pPr>
    </w:p>
    <w:p w14:paraId="0B5454CF" w14:textId="491FBB34" w:rsidR="00576A90" w:rsidRDefault="00576A90" w:rsidP="00576A90">
      <w:pPr>
        <w:pStyle w:val="TextoNormal"/>
      </w:pPr>
      <w:r w:rsidRPr="00576A90">
        <w:rPr>
          <w:rStyle w:val="NumeroAFNegritaCaracter"/>
        </w:rPr>
        <w:t>3</w:t>
      </w:r>
      <w:r>
        <w:t>. Mediante escrito registrado en este tribunal el 8 de febrero de 2024, la representación procesal del Gobierno de Aragón comparece en el proceso y solicita se le conceda prórroga del plazo para formular alegaciones. Por diligencia de ordenación de la Secretaría de Justicia del Pleno de 8 de febrero de 2024 se le prorrogó en ocho días el plazo de alegaciones inicialmente conferido, a contar desde el día siguiente al de expiración del ordinario.</w:t>
      </w:r>
    </w:p>
    <w:p w14:paraId="5D1628D2" w14:textId="77777777" w:rsidR="00576A90" w:rsidRDefault="00576A90" w:rsidP="00576A90">
      <w:pPr>
        <w:pStyle w:val="TextoNormal"/>
      </w:pPr>
    </w:p>
    <w:p w14:paraId="5AFF763C" w14:textId="46066784" w:rsidR="00576A90" w:rsidRDefault="00576A90" w:rsidP="00576A90">
      <w:pPr>
        <w:pStyle w:val="TextoNormal"/>
      </w:pPr>
      <w:r w:rsidRPr="00576A90">
        <w:rPr>
          <w:rStyle w:val="NumeroAFNegritaCaracter"/>
        </w:rPr>
        <w:t>4</w:t>
      </w:r>
      <w:r>
        <w:t>. Por escrito registrado en este tribunal el 9 de febrero de 2024, la presidenta del Congreso de los Diputados comunica el acuerdo de la mesa de la Cámara en el sentido de personarse en el proceso, ofreciendo su colaboración a los efectos del art. 88.1 LOTC.</w:t>
      </w:r>
    </w:p>
    <w:p w14:paraId="5DDDA3D2" w14:textId="77777777" w:rsidR="00576A90" w:rsidRDefault="00576A90" w:rsidP="00576A90">
      <w:pPr>
        <w:pStyle w:val="TextoNormal"/>
      </w:pPr>
    </w:p>
    <w:p w14:paraId="7FFE454B" w14:textId="58B555F1" w:rsidR="00576A90" w:rsidRDefault="00576A90" w:rsidP="00576A90">
      <w:pPr>
        <w:pStyle w:val="TextoNormal"/>
      </w:pPr>
      <w:r w:rsidRPr="00576A90">
        <w:rPr>
          <w:rStyle w:val="NumeroAFNegritaCaracter"/>
        </w:rPr>
        <w:t>5</w:t>
      </w:r>
      <w:r>
        <w:t>. El presidente del Senado, por escrito registrado en este tribunal el 15 de febrero de 2024, comunica el acuerdo de la mesa de la Cámara en el sentido de personarse en el proceso, ofreciendo su colaboración a los efectos del art. 88.1 LOTC.</w:t>
      </w:r>
    </w:p>
    <w:p w14:paraId="316B491B" w14:textId="77777777" w:rsidR="00576A90" w:rsidRDefault="00576A90" w:rsidP="00576A90">
      <w:pPr>
        <w:pStyle w:val="TextoNormal"/>
      </w:pPr>
    </w:p>
    <w:p w14:paraId="68EA10AF" w14:textId="678573D3" w:rsidR="00576A90" w:rsidRDefault="00576A90" w:rsidP="00576A90">
      <w:pPr>
        <w:pStyle w:val="TextoNormal"/>
      </w:pPr>
      <w:r w:rsidRPr="00576A90">
        <w:rPr>
          <w:rStyle w:val="NumeroAFNegritaCaracter"/>
        </w:rPr>
        <w:t>6</w:t>
      </w:r>
      <w:r>
        <w:t>. Mediante escrito registrado el día 21 de febrero de 2024, la letrada de las Cortes de Aragón comparece en el proceso y solicita se le conceda prórroga del plazo para formular alegaciones. Por diligencia de ordenación de la Secretaría de Justicia del Pleno de 22 de febrero de 2024 se le prorrogó en ocho días el plazo de alegaciones inicialmente conferido, a contar desde el día siguiente al de expiración del ordinario.</w:t>
      </w:r>
    </w:p>
    <w:p w14:paraId="349C5332" w14:textId="77777777" w:rsidR="00576A90" w:rsidRDefault="00576A90" w:rsidP="00576A90">
      <w:pPr>
        <w:pStyle w:val="TextoNormal"/>
      </w:pPr>
    </w:p>
    <w:p w14:paraId="1C42D281" w14:textId="251CEBDF" w:rsidR="00576A90" w:rsidRDefault="00576A90" w:rsidP="00576A90">
      <w:pPr>
        <w:pStyle w:val="TextoNormal"/>
      </w:pPr>
      <w:r w:rsidRPr="00576A90">
        <w:rPr>
          <w:rStyle w:val="NumeroAFNegritaCaracter"/>
        </w:rPr>
        <w:t>7</w:t>
      </w:r>
      <w:r>
        <w:t>. La letrada de las Cortes de Aragón formuló sus alegaciones mediante escrito que tuvo entrada en el registro de este tribunal el día 8 de marzo de 2024, en las que interesa la desestimación del recurso. Asimismo, solicita mediante otrosí que, al haberse decretado la suspensión de la vigencia y aplicación de los preceptos impugnados, sin necesidad de agotar el plazo de cinco meses al que hace referencia el art. 161.2 CE, se dé audiencia para formular sus alegaciones sobre la pertinencia de ratificar o levantar la suspensión de los preceptos impugnados.</w:t>
      </w:r>
    </w:p>
    <w:p w14:paraId="269EC98A" w14:textId="77777777" w:rsidR="00576A90" w:rsidRDefault="00576A90" w:rsidP="00576A90">
      <w:pPr>
        <w:pStyle w:val="TextoNormal"/>
      </w:pPr>
    </w:p>
    <w:p w14:paraId="71FFBAB5" w14:textId="7AAAA78A" w:rsidR="00576A90" w:rsidRDefault="00576A90" w:rsidP="00576A90">
      <w:pPr>
        <w:pStyle w:val="TextoNormal"/>
      </w:pPr>
      <w:r w:rsidRPr="00576A90">
        <w:rPr>
          <w:rStyle w:val="NumeroAFNegritaCaracter"/>
        </w:rPr>
        <w:t>8</w:t>
      </w:r>
      <w:r>
        <w:t>. El 8 de marzo de 2024 también tuvo entrada en el registro de este tribunal escrito de la representación procesal del Gobierno de Aragón formulando sus alegaciones, en las que interesa la desestimación del recurso.</w:t>
      </w:r>
    </w:p>
    <w:p w14:paraId="59CBA882" w14:textId="77777777" w:rsidR="00576A90" w:rsidRDefault="00576A90" w:rsidP="00576A90">
      <w:pPr>
        <w:pStyle w:val="TextoNormal"/>
      </w:pPr>
    </w:p>
    <w:p w14:paraId="795D842F" w14:textId="3D0D0B17" w:rsidR="00576A90" w:rsidRDefault="00576A90" w:rsidP="00576A90">
      <w:pPr>
        <w:pStyle w:val="TextoNormal"/>
      </w:pPr>
      <w:r w:rsidRPr="00576A90">
        <w:rPr>
          <w:rStyle w:val="NumeroAFNegritaCaracter"/>
        </w:rPr>
        <w:t>9</w:t>
      </w:r>
      <w:r>
        <w:t>. Por diligencia de ordenación del secretario de justicia del Pleno de 11 de marzo de 2024, se acordó que, próximo a finalizar el plazo de los cinco meses que señala el art. 161.2 CE desde que se produjo la suspensión del precepto impugnado, se oiga a las partes personadas para que, en el plazo de cinco días, expongan lo que consideren conveniente acerca del mantenimiento o levantamiento de dicha suspensión.</w:t>
      </w:r>
    </w:p>
    <w:p w14:paraId="20A1AEF8" w14:textId="77777777" w:rsidR="00576A90" w:rsidRDefault="00576A90" w:rsidP="00576A90">
      <w:pPr>
        <w:pStyle w:val="TextoNormal"/>
      </w:pPr>
    </w:p>
    <w:p w14:paraId="5D35E742" w14:textId="77777777" w:rsidR="00576A90" w:rsidRDefault="00576A90" w:rsidP="00576A90">
      <w:pPr>
        <w:pStyle w:val="TextoNormal"/>
      </w:pPr>
      <w:r w:rsidRPr="00576A90">
        <w:rPr>
          <w:rStyle w:val="NumeroAFNegritaCaracter"/>
        </w:rPr>
        <w:t>10</w:t>
      </w:r>
      <w:r>
        <w:t>. La representación procesal del Gobierno de Aragón interesó el levantamiento de la suspensión por escrito registrado el día 18 de marzo de 2024.</w:t>
      </w:r>
    </w:p>
    <w:p w14:paraId="268269CA" w14:textId="77777777" w:rsidR="00576A90" w:rsidRDefault="00576A90" w:rsidP="00576A90">
      <w:pPr>
        <w:pStyle w:val="TextoNormal"/>
      </w:pPr>
    </w:p>
    <w:p w14:paraId="32027360" w14:textId="5E3AFFA4" w:rsidR="00576A90" w:rsidRDefault="00576A90" w:rsidP="00576A90">
      <w:pPr>
        <w:pStyle w:val="TextoNormal"/>
      </w:pPr>
      <w:r>
        <w:t>En sus alegaciones pone de relieve que ninguna justificación se ha señalado por el Gobierno de España sobre los posibles perjuicios, y tampoco consta en las actuaciones ninguna justificación, ni tan siquiera referencial, a la existencia de perjuicios. De esta forma ante la ausencia de indicación de existencia de perjuicios defiende que no puede pronunciarse sobre su razonabilidad, su justificación o su imposible o difícil reparación e interesa que se levante la suspensión de los preceptos impugnados.</w:t>
      </w:r>
    </w:p>
    <w:p w14:paraId="543EAA99" w14:textId="77777777" w:rsidR="00576A90" w:rsidRDefault="00576A90" w:rsidP="00576A90">
      <w:pPr>
        <w:pStyle w:val="TextoNormal"/>
      </w:pPr>
    </w:p>
    <w:p w14:paraId="0BF8152A" w14:textId="77777777" w:rsidR="00576A90" w:rsidRDefault="00576A90" w:rsidP="00576A90">
      <w:pPr>
        <w:pStyle w:val="TextoNormal"/>
      </w:pPr>
      <w:r w:rsidRPr="00576A90">
        <w:rPr>
          <w:rStyle w:val="NumeroAFNegritaCaracter"/>
        </w:rPr>
        <w:t>11</w:t>
      </w:r>
      <w:r>
        <w:t>. El abogado del Estado solicitó el mantenimiento de la suspensión inicialmente acordada por escrito registrado el día 19 de marzo de 2024, en el que, tras hacer referencia a la doctrina constitucional relativa a este tipo de incidentes se limita a indicar que:</w:t>
      </w:r>
    </w:p>
    <w:p w14:paraId="790D17FC" w14:textId="77777777" w:rsidR="00576A90" w:rsidRDefault="00576A90" w:rsidP="00576A90">
      <w:pPr>
        <w:pStyle w:val="TextoNormal"/>
      </w:pPr>
    </w:p>
    <w:p w14:paraId="646F7641" w14:textId="77777777" w:rsidR="00576A90" w:rsidRDefault="00576A90" w:rsidP="00576A90">
      <w:pPr>
        <w:pStyle w:val="TextoNormal"/>
      </w:pPr>
      <w:r>
        <w:t>“1.- Para analizar ese aspecto puramente conectado con una eventual irreversibilidad de</w:t>
      </w:r>
    </w:p>
    <w:p w14:paraId="60061650" w14:textId="77777777" w:rsidR="00576A90" w:rsidRDefault="00576A90" w:rsidP="00576A90">
      <w:pPr>
        <w:pStyle w:val="TextoNormal"/>
      </w:pPr>
      <w:r>
        <w:t>situaciones que se llegaren a crear, se aporta como documento adjunto un informe elaborado por la Dirección General de Política Energética y Minas, del Ministerio para la Transición Ecológica y el Reto Demográfico, de 1 de marzo de 2023, acerca del [</w:t>
      </w:r>
      <w:r w:rsidRPr="00576A90">
        <w:rPr>
          <w:i/>
        </w:rPr>
        <w:t>sic</w:t>
      </w:r>
      <w:r>
        <w:t>] tal extremo.</w:t>
      </w:r>
    </w:p>
    <w:p w14:paraId="72B0548D" w14:textId="77777777" w:rsidR="00576A90" w:rsidRDefault="00576A90" w:rsidP="00576A90">
      <w:pPr>
        <w:pStyle w:val="TextoNormal"/>
      </w:pPr>
    </w:p>
    <w:p w14:paraId="77CEB62A" w14:textId="77777777" w:rsidR="00576A90" w:rsidRDefault="00576A90" w:rsidP="00576A90">
      <w:pPr>
        <w:pStyle w:val="TextoNormal"/>
      </w:pPr>
      <w:r>
        <w:t>Dicho informe, a efectos de no resultar por nuestra parte repetitivos, declaramos ahora que lo asumimos íntegramente y a él nos remitimos para justifica [</w:t>
      </w:r>
      <w:r w:rsidRPr="00576A90">
        <w:rPr>
          <w:i/>
        </w:rPr>
        <w:t>sic</w:t>
      </w:r>
      <w:r>
        <w:t>] la necesidad de mantener la suspensión de algunos de los preceptos recurridos en tanto que el mismo no sostiene ni justifica explícitamente la necesidad del mantenimiento de todos los preceptos recurridos del decreto-ley autonómico objeto de impugnación.</w:t>
      </w:r>
    </w:p>
    <w:p w14:paraId="44CE328C" w14:textId="77777777" w:rsidR="00576A90" w:rsidRDefault="00576A90" w:rsidP="00576A90">
      <w:pPr>
        <w:pStyle w:val="TextoNormal"/>
      </w:pPr>
    </w:p>
    <w:p w14:paraId="0A379086" w14:textId="77777777" w:rsidR="00576A90" w:rsidRDefault="00576A90" w:rsidP="00576A90">
      <w:pPr>
        <w:pStyle w:val="TextoNormal"/>
      </w:pPr>
      <w:r>
        <w:t>2.- Así, en consecuencia, y en virtud de lo manifestado, esta Abogacía del Estado al Tribunal.</w:t>
      </w:r>
    </w:p>
    <w:p w14:paraId="4D95F3F9" w14:textId="77777777" w:rsidR="00576A90" w:rsidRDefault="00576A90" w:rsidP="00576A90">
      <w:pPr>
        <w:pStyle w:val="TextoNormal"/>
      </w:pPr>
    </w:p>
    <w:p w14:paraId="595471EE" w14:textId="77777777" w:rsidR="00576A90" w:rsidRDefault="00576A90" w:rsidP="00576A90">
      <w:pPr>
        <w:pStyle w:val="TextoNormal"/>
      </w:pPr>
      <w:r>
        <w:t>Suplica</w:t>
      </w:r>
    </w:p>
    <w:p w14:paraId="78F5E98C" w14:textId="77777777" w:rsidR="00576A90" w:rsidRDefault="00576A90" w:rsidP="00576A90">
      <w:pPr>
        <w:pStyle w:val="TextoNormal"/>
      </w:pPr>
    </w:p>
    <w:p w14:paraId="07F987C7" w14:textId="1613C5B9" w:rsidR="00576A90" w:rsidRDefault="00576A90" w:rsidP="00576A90">
      <w:pPr>
        <w:pStyle w:val="TextoNormal"/>
      </w:pPr>
      <w:r>
        <w:t>Que, teniendo por presentado este escrito, se digne admitirlo, tener por evacuado el trámite conferido y, en su día, acordar al menos el mantenimiento parcial en lo que se refiere a las medidas que el informe de 1 de marzo de 2024, asumido por este escrito procesal, expone como medidas cuyo mantenimiento de su suspensión resulta necesaria, del Decreto-ley 1/2023, de 20 de marzo, del Gobierno de Aragón, de medidas urgentes para el impulso de la transición energética y el consumo de cercanía, impugnado en el recurso de inconstitucionalidad núm. 8042-2023”.</w:t>
      </w:r>
    </w:p>
    <w:p w14:paraId="62E32816" w14:textId="77777777" w:rsidR="00576A90" w:rsidRDefault="00576A90" w:rsidP="00576A90">
      <w:pPr>
        <w:pStyle w:val="TextoNormal"/>
      </w:pPr>
    </w:p>
    <w:p w14:paraId="2615E539" w14:textId="77777777" w:rsidR="00576A90" w:rsidRDefault="00576A90" w:rsidP="00576A90">
      <w:pPr>
        <w:pStyle w:val="TextoNormal"/>
      </w:pPr>
      <w:r w:rsidRPr="00576A90">
        <w:rPr>
          <w:rStyle w:val="NumeroAFNegritaCaracter"/>
        </w:rPr>
        <w:t>12</w:t>
      </w:r>
      <w:r>
        <w:t>. La letrada de las Cortes de Aragón, mediante escrito presentado el día 27 de marzo de 2024, interesó el levantamiento de la suspensión de los preceptos impugnados.</w:t>
      </w:r>
    </w:p>
    <w:p w14:paraId="09B37C89" w14:textId="77777777" w:rsidR="00576A90" w:rsidRDefault="00576A90" w:rsidP="00576A90">
      <w:pPr>
        <w:pStyle w:val="TextoNormal"/>
      </w:pPr>
    </w:p>
    <w:p w14:paraId="3605E678" w14:textId="77777777" w:rsidR="00576A90" w:rsidRDefault="00576A90" w:rsidP="00576A90">
      <w:pPr>
        <w:pStyle w:val="TextoNormal"/>
      </w:pPr>
      <w:r>
        <w:t>Tras poner de relieve el carácter excepcional de la medida de suspensión prevista en el art. 161.2 CE, así como la posibilidad de acordar su levantamiento antes del transcurso de cinco meses establecido en dicho precepto, razona sobre la improcedencia de mantener la suspensión de la norma impugnada basándose para ello en las alegaciones que a continuación se exponen de forma sintética.</w:t>
      </w:r>
    </w:p>
    <w:p w14:paraId="659B4ACF" w14:textId="77777777" w:rsidR="00576A90" w:rsidRDefault="00576A90" w:rsidP="00576A90">
      <w:pPr>
        <w:pStyle w:val="TextoNormal"/>
      </w:pPr>
    </w:p>
    <w:p w14:paraId="7F4822F7" w14:textId="77777777" w:rsidR="00576A90" w:rsidRDefault="00576A90" w:rsidP="00576A90">
      <w:pPr>
        <w:pStyle w:val="TextoNormal"/>
      </w:pPr>
      <w:r>
        <w:t xml:space="preserve">(i) Corresponde al Gobierno de la Nación razonar de forma consistente acerca de la concurrencia de graves perjuicios de imposible o muy difícil reparación que se causaría a </w:t>
      </w:r>
      <w:r>
        <w:lastRenderedPageBreak/>
        <w:t>los intereses generales de no mantenerse la suspensión de la norma impugnada. Fuera de este supuesto, la doctrina constitucional también ha admitido de forma excepcional el mantenimiento de la suspensión cuando los preceptos impugnados guardan similitud con otros ya declarados inconstitucionales (AATC 78/1987, de 22 de enero, y 183/2011, de 14 de diciembre, entre otros), bloquean competencias estatales (ATC 63/2015, de 17 de marzo) o exceden de una situación normal de controversia debido a que suscitan cuestiones de gran relieve constitucional. Dado que ninguno de estos tres últimos criterios concurre en este supuesto, debe ser el examen de los intereses en conflicto el único criterio que se aplique para determinar la procedencia del mantenimiento de la suspensión, haciendo especial énfasis en que en el escrito de recurso presentado por la Abogacía del Estado no existen argumentos concretos que demuestren o razonen de modo consistente los eventuales perjuicios al interés público estatal, de difícil e imposible reparación, derivados de la aplicación de la normativa aragonesa impugnada.</w:t>
      </w:r>
    </w:p>
    <w:p w14:paraId="74FDE8DA" w14:textId="77777777" w:rsidR="00576A90" w:rsidRDefault="00576A90" w:rsidP="00576A90">
      <w:pPr>
        <w:pStyle w:val="TextoNormal"/>
      </w:pPr>
    </w:p>
    <w:p w14:paraId="0CADA1EF" w14:textId="77777777" w:rsidR="00576A90" w:rsidRDefault="00576A90" w:rsidP="00576A90">
      <w:pPr>
        <w:pStyle w:val="TextoNormal"/>
      </w:pPr>
      <w:r>
        <w:t>(ii) La suspensión de los preceptos impugnados está produciendo perjuicios al interés público de la Comunidad Autónoma de Aragón, no al del Estado o al de terceros. Comienza exponiendo que la controversia en este procedimiento es exclusivamente competencial en materia energética y consiste en la determinación de si la norma aragonesa respeta o no la normativa básica estatal en las materias objeto del decreto-ley impugnado, siendo un ámbito en el que la competencia es compartida. Así, con apoyo en el ATC 3/2003, de 14 de enero, FJ 5 señala que la existencia de dos legislaciones diferentes no puede convertirse en los procesos de discrepancia competencial en principio determinante del mantenimiento de la suspensión. A continuación, examina específicamente el art. 4 del Decreto-ley 1/2023, de 20 de marzo, que regula el “consumo eléctrico de cercanía”, y el art. 59 que regula la “gestión y agregación de demanda”.</w:t>
      </w:r>
    </w:p>
    <w:p w14:paraId="71BD4170" w14:textId="77777777" w:rsidR="00576A90" w:rsidRDefault="00576A90" w:rsidP="00576A90">
      <w:pPr>
        <w:pStyle w:val="TextoNormal"/>
      </w:pPr>
    </w:p>
    <w:p w14:paraId="228C7A23" w14:textId="77777777" w:rsidR="00576A90" w:rsidRDefault="00576A90" w:rsidP="00576A90">
      <w:pPr>
        <w:pStyle w:val="TextoNormal"/>
      </w:pPr>
      <w:r>
        <w:t>En relación con el art. 4 motiva que lo que se contiene es una definición novedosa inseparable del resto del decreto-ley simplemente para agrupar elementos que son novedosos, y ni para este artículo ni para aquellos que se anudan de forma necesaria con él, se alcanza a ver dónde puede estar el perjuicio de imposible o difícil reparación. Añadiendo que tampoco hay ningún elemento en la argumentación del Estado que permita anticipar perjuicios concretos de difícil o imposible reparación. Siendo así además que la norma estuvo vigente desde el 20 de marzo de 2023 hasta la interposición del recurso de inconstitucionalidad el 21 de diciembre de 2023, y en todo este tiempo se ha caracterizado por producir sus efectos de forma pacífica y en ausencia de conflicto sin consecuencia negativa alguna para el Estado.</w:t>
      </w:r>
    </w:p>
    <w:p w14:paraId="774778F1" w14:textId="77777777" w:rsidR="00576A90" w:rsidRDefault="00576A90" w:rsidP="00576A90">
      <w:pPr>
        <w:pStyle w:val="TextoNormal"/>
      </w:pPr>
    </w:p>
    <w:p w14:paraId="66247BC8" w14:textId="77777777" w:rsidR="00576A90" w:rsidRDefault="00576A90" w:rsidP="00576A90">
      <w:pPr>
        <w:pStyle w:val="TextoNormal"/>
      </w:pPr>
      <w:r>
        <w:t>Más concretamente, en relación con la regulación de las líneas directas respecto de las cuales el abogado del Estado entiende que inciden en el correcto funcionamiento del sistema eléctrico atendiendo al principio de red única, sostiene el letrado de las Cortes de Aragón que esos eventuales perjuicios tienen como punto de partida la conexión a la red, que no se produce en el supuesto de las líneas directas, y, faltando esta, la consecuencia alegada no podría nunca producirse.</w:t>
      </w:r>
    </w:p>
    <w:p w14:paraId="3FA344E4" w14:textId="77777777" w:rsidR="00576A90" w:rsidRDefault="00576A90" w:rsidP="00576A90">
      <w:pPr>
        <w:pStyle w:val="TextoNormal"/>
      </w:pPr>
    </w:p>
    <w:p w14:paraId="5DE31A5D" w14:textId="77777777" w:rsidR="00576A90" w:rsidRDefault="00576A90" w:rsidP="00576A90">
      <w:pPr>
        <w:pStyle w:val="TextoNormal"/>
      </w:pPr>
      <w:r>
        <w:t xml:space="preserve">Respecto al art. 59 que regula la gestión y agregación de la demanda, y sobre la que el abogado del Estado en la demanda indicó que esta regulación produciría importantes repercusiones económicas tanto en términos de coste para el conjunto del sistema eléctrico como para los consumidores finales de energía, explica que la regulación no difiere de la </w:t>
      </w:r>
      <w:r>
        <w:lastRenderedPageBreak/>
        <w:t>recogida en la Ley 24/2013, de 26 de diciembre, del sector eléctrico (LSE), y que estas alegaciones no pueden sino entenderse como referidas a unos perjuicios hipotéticos e inciertos que no pueden ser suficientes para determinar el mantenimiento de la suspensión. Y, en cualquier caso, un perjuicio de orden económico es indemnizable, por lo que no podría servir de soporte a una decisión de mantenimiento de la suspensión, con apoyo en el ATC 181/2011, de 13 de diciembre, FJ 5.</w:t>
      </w:r>
    </w:p>
    <w:p w14:paraId="3584D74E" w14:textId="77777777" w:rsidR="00576A90" w:rsidRDefault="00576A90" w:rsidP="00576A90">
      <w:pPr>
        <w:pStyle w:val="TextoNormal"/>
      </w:pPr>
    </w:p>
    <w:p w14:paraId="0B895B15" w14:textId="1905BB13" w:rsidR="00576A90" w:rsidRDefault="00576A90" w:rsidP="00576A90">
      <w:pPr>
        <w:pStyle w:val="TextoNormal"/>
      </w:pPr>
      <w:r>
        <w:t>Concluye así que no se demuestra que el interés del Estado resulte afectado por la norma aragonesa ni el de terceros, sino más bien el interés afectado por la suspensión es el de la Comunidad Autónoma de Aragón a la que se le causan perjuicios ciertos, reales y efectivos.</w:t>
      </w:r>
    </w:p>
    <w:p w14:paraId="245D06CF" w14:textId="77777777" w:rsidR="00576A90" w:rsidRDefault="00576A90" w:rsidP="00576A90">
      <w:pPr>
        <w:pStyle w:val="TextoNormal"/>
      </w:pPr>
    </w:p>
    <w:p w14:paraId="6ADBAF8F" w14:textId="77777777" w:rsidR="00576A90" w:rsidRDefault="00576A90" w:rsidP="00576A90">
      <w:pPr>
        <w:pStyle w:val="TextoNormalNegritaCentrado"/>
        <w:keepNext/>
      </w:pPr>
      <w:r>
        <w:t>II. Fundamentos jurídicos</w:t>
      </w:r>
    </w:p>
    <w:p w14:paraId="2E2BF15D" w14:textId="66D740BE" w:rsidR="00576A90" w:rsidRDefault="00576A90" w:rsidP="00576A90">
      <w:pPr>
        <w:pStyle w:val="TextoNormalNegritaCentrado"/>
        <w:keepNext/>
      </w:pPr>
    </w:p>
    <w:p w14:paraId="55ADD997" w14:textId="77777777" w:rsidR="00576A90" w:rsidRDefault="00576A90" w:rsidP="00576A90">
      <w:pPr>
        <w:pStyle w:val="TextoNormal"/>
      </w:pPr>
      <w:r w:rsidRPr="00576A90">
        <w:rPr>
          <w:rStyle w:val="NumeroAFNegritaCaracter"/>
        </w:rPr>
        <w:t>1</w:t>
      </w:r>
      <w:r>
        <w:t>. El objeto de la presente resolución consiste en determinar si procede levantar o mantener la suspensión de la vigencia de los artículos 4; 5, apartados 1, 2 y 4; 6; 7, apartados 1, 2, y letras a), b) y c) del apartado 3; 12, apartado 2 en cuanto al inciso “Las redes interiores podrán establecerse en cualquier nivel de tensión a efectos de autoconsumo” y 3, en cuanto al inciso “y a establecer y operar redes interiores de cualquier nivel de tensión para establecer sistemas de autoconsumo”; 13, apartados 2, 3 y 4; 19; 22.2; 33; 38; 39; 40, apartados 2 y 3; 59; la disposición adicional cuarta; la disposición adicional quinta, y la disposición transitoria tercera del Decreto-ley del Gobierno de Aragón 1/2023, de 20 de marzo, de medidas urgentes para el impulso de la transición energética y el consumo de cercanía en Aragón.</w:t>
      </w:r>
    </w:p>
    <w:p w14:paraId="42F1D948" w14:textId="77777777" w:rsidR="00576A90" w:rsidRDefault="00576A90" w:rsidP="00576A90">
      <w:pPr>
        <w:pStyle w:val="TextoNormal"/>
      </w:pPr>
    </w:p>
    <w:p w14:paraId="10B6C058" w14:textId="3A1377A7" w:rsidR="00576A90" w:rsidRDefault="00576A90" w:rsidP="00576A90">
      <w:pPr>
        <w:pStyle w:val="TextoNormal"/>
      </w:pPr>
      <w:r>
        <w:t>El recurso se fundamenta en dos motivos, la falta de presupuesto habilitante (art. 86.1 CE) para ser aprobada la norma mediante un decreto-ley, y la vulneración de la legislación básica sobre bases y coordinación de la planificación general de la actividad económica (149.1.13), y bases de régimen minero y energético (art. 149.1.25 CE), concretamente de determinados preceptos de la Ley 24/2013, de 26 de diciembre, del sector eléctrico (LSE).</w:t>
      </w:r>
    </w:p>
    <w:p w14:paraId="56C4ED3A" w14:textId="77777777" w:rsidR="00576A90" w:rsidRDefault="00576A90" w:rsidP="00576A90">
      <w:pPr>
        <w:pStyle w:val="TextoNormal"/>
      </w:pPr>
    </w:p>
    <w:p w14:paraId="2CF1A31E" w14:textId="77777777" w:rsidR="00576A90" w:rsidRDefault="00576A90" w:rsidP="00576A90">
      <w:pPr>
        <w:pStyle w:val="TextoNormal"/>
      </w:pPr>
      <w:r w:rsidRPr="00576A90">
        <w:rPr>
          <w:rStyle w:val="NumeroAFNegritaCaracter"/>
        </w:rPr>
        <w:t>2</w:t>
      </w:r>
      <w:r>
        <w:t>. Según doctrina constitucional consolidada, recogida recientemente el ATC 265/2023, de 23 de mayo, la naturaleza de este incidente cautelar y los parámetros que deben tenerse en cuenta para acordar el mantenimiento o levantamiento de la suspensión son los siguientes:</w:t>
      </w:r>
    </w:p>
    <w:p w14:paraId="4EC440C6" w14:textId="77777777" w:rsidR="00576A90" w:rsidRDefault="00576A90" w:rsidP="00576A90">
      <w:pPr>
        <w:pStyle w:val="TextoNormal"/>
      </w:pPr>
    </w:p>
    <w:p w14:paraId="38EBBECF" w14:textId="77777777" w:rsidR="00576A90" w:rsidRDefault="00576A90" w:rsidP="00576A90">
      <w:pPr>
        <w:pStyle w:val="TextoNormal"/>
      </w:pPr>
      <w:r>
        <w:t>a) Este incidente tiene autonomía respecto del procedimiento principal, por lo que solo en este último debe dilucidarse la validez o invalidez de las normas recurridas. El mantenimiento o levantamiento de la suspensión acordada previamente por la invocación del art. 161.2 CE —única cuestión que es objeto de este incidente— constituye una medida procesal cautelar cuya finalidad consiste en asegurar el objeto litigioso, evitando la producción de daños y perjuicios irreparables o de difícil reparación.</w:t>
      </w:r>
    </w:p>
    <w:p w14:paraId="7945FB85" w14:textId="77777777" w:rsidR="00576A90" w:rsidRDefault="00576A90" w:rsidP="00576A90">
      <w:pPr>
        <w:pStyle w:val="TextoNormal"/>
      </w:pPr>
    </w:p>
    <w:p w14:paraId="0148D6E6" w14:textId="77777777" w:rsidR="00576A90" w:rsidRDefault="00576A90" w:rsidP="00576A90">
      <w:pPr>
        <w:pStyle w:val="TextoNormal"/>
      </w:pPr>
      <w:r>
        <w:t xml:space="preserve">b) La naturaleza propia, genuinamente cautelar, que caracteriza a este incidente en el momento de acordar el mantenimiento o el levantamiento de la suspensión, delimita también el marco jurídico en el que debe desenvolverse. En primer lugar, el mantenimiento de la suspensión acordada cautelarmente tiene un carácter excepcional, pues las leyes gozan </w:t>
      </w:r>
      <w:r>
        <w:lastRenderedPageBreak/>
        <w:t>de la presunción de constitucionalidad, en cuanto expresión de la voluntad popular, mientras no se constate que han infringido la Constitución (por todos, ATC 277/2009, de 10 de diciembre, FJ 2). En segundo lugar, la decisión sobre el mantenimiento o el levantamiento de la suspensión debe desvincularse de la decisión sobre la cuestión de fondo, que deberá dirimirse mediante sentencia (por todos, AATC 12/2006, de 17 de enero, FJ 5, y 18/2007, de 18 de enero, FJ 5).</w:t>
      </w:r>
    </w:p>
    <w:p w14:paraId="6E1125F5" w14:textId="77777777" w:rsidR="00576A90" w:rsidRDefault="00576A90" w:rsidP="00576A90">
      <w:pPr>
        <w:pStyle w:val="TextoNormal"/>
      </w:pPr>
    </w:p>
    <w:p w14:paraId="208B5856" w14:textId="77777777" w:rsidR="00576A90" w:rsidRDefault="00576A90" w:rsidP="00576A90">
      <w:pPr>
        <w:pStyle w:val="TextoNormal"/>
      </w:pPr>
      <w:r>
        <w:t>c) Los criterios que ha venido aplicando este tribunal para decidir estos casos son los siguientes: (i)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(ATC 51/2021, de 22 de abril); (ii) esta valoración debe efectuarse mediante el estricto examen de las situaciones de hecho creadas y al margen de la viabilidad de las pretensiones que se formulan en la demanda. La suspensión solo procede en presencia de perjuicios ciertos y efectivos, por lo que, si estos no concurren, debe atenderse a la presunción de validez de la ley; (iii) el mantenimiento de la suspensión “requiere que el Gobierno, a quien se debe la iniciativa, no solo invoque la existencia de aquellos perjuicios, sino que es igualmente necesario que demuestre, o al menos, razone consistentemente su procedencia y la imposibilidad o dificultad de su reparación” (por todos, ATC 51/2021, de 22 de abril).</w:t>
      </w:r>
    </w:p>
    <w:p w14:paraId="559F1470" w14:textId="77777777" w:rsidR="00576A90" w:rsidRDefault="00576A90" w:rsidP="00576A90">
      <w:pPr>
        <w:pStyle w:val="TextoNormal"/>
      </w:pPr>
    </w:p>
    <w:p w14:paraId="7D4959F7" w14:textId="4FAD7E1A" w:rsidR="00576A90" w:rsidRDefault="00576A90" w:rsidP="00576A90">
      <w:pPr>
        <w:pStyle w:val="TextoNormal"/>
      </w:pPr>
      <w:r>
        <w:t>d) Es cierto que, fuera de los casos anteriores, este tribunal ha acordado el mantenimiento de la suspensión en los siguientes supuestos excepcionales sin entrar a valorar los perjuicios de imposible o difícil reparación que ello generaría: (i) cuando los preceptos impugnados guardan similitud con otros ya declarados inconstitucionales (AATC 78/1987, de 22 de enero, y 183/2011, de 14 de diciembre, entre otros); (ii) en los casos en los que el levantamiento de suspensión llevaría acarreado el bloqueo de las competencias estatales (ATC 63/2015, de 17 de marzo); y (iii) o en aquellos supuestos que exceden de una situación normal de controversia debido a que suscitan cuestiones de gran relieve constitucional (ATC 53/2015, de 3 de marzo, FJ 3).</w:t>
      </w:r>
    </w:p>
    <w:p w14:paraId="12DF1D8A" w14:textId="77777777" w:rsidR="00576A90" w:rsidRDefault="00576A90" w:rsidP="00576A90">
      <w:pPr>
        <w:pStyle w:val="TextoNormal"/>
      </w:pPr>
    </w:p>
    <w:p w14:paraId="6A5D998B" w14:textId="77777777" w:rsidR="00576A90" w:rsidRDefault="00576A90" w:rsidP="00576A90">
      <w:pPr>
        <w:pStyle w:val="TextoNormal"/>
      </w:pPr>
      <w:r w:rsidRPr="00576A90">
        <w:rPr>
          <w:rStyle w:val="NumeroAFNegritaCaracter"/>
        </w:rPr>
        <w:t>3</w:t>
      </w:r>
      <w:r>
        <w:t>. Una vez expuesta nuestra doctrina, procede con carácter previo al análisis de si debemos levantar o acordar el mantenimiento de la suspensión de los preceptos impugnados, examinar si el Gobierno ha cumplido con la carga que se le impone de “alegar y justificar cumplidamente las circunstancias que hayan de actuar como fundamento de una eventual suspensión”, exigencia que viene motivada por el carácter excepcional de esta medida cautelar que demora la efectividad de una ley autonómica (ATC 347/1995, 19 de diciembre, FJ 1).</w:t>
      </w:r>
    </w:p>
    <w:p w14:paraId="3ED4DB4A" w14:textId="77777777" w:rsidR="00576A90" w:rsidRDefault="00576A90" w:rsidP="00576A90">
      <w:pPr>
        <w:pStyle w:val="TextoNormal"/>
      </w:pPr>
    </w:p>
    <w:p w14:paraId="2CCFB5B9" w14:textId="77777777" w:rsidR="00576A90" w:rsidRDefault="00576A90" w:rsidP="00576A90">
      <w:pPr>
        <w:pStyle w:val="TextoNormal"/>
      </w:pPr>
      <w:r>
        <w:t>En el incidente que nos ocupa lo primero que tenemos que poner de manifiesto es que el abogado del Estado en representación del Gobierno ha solicitado mantener la suspensión de “algunos de los preceptos recurridos” del Decreto-Ley del Gobierno de Aragón 1/2023, de 20 de marzo, de medidas urgentes para el impulso de la transición energética y el consumo de cercanía. No obstante, no identifica cuales son estos preceptos limitándose a remitirse a las medidas que el informe de 1 de marzo de 2024, que aporta como anexo, “expone como medidas cuyo mantenimiento de su suspensión resulta necesaria”. Añade que ello es así a la vista de que dicho informe “no sostiene ni justifica explícitamente la necesidad del mantenimiento de todos los preceptos recurridos del Decreto-Ley autonómi</w:t>
      </w:r>
      <w:r>
        <w:lastRenderedPageBreak/>
        <w:t>co objeto de impugnación”. Dicha manifestación se reproduce en idénticos términos en el suplico.</w:t>
      </w:r>
    </w:p>
    <w:p w14:paraId="0D35317F" w14:textId="77777777" w:rsidR="00576A90" w:rsidRDefault="00576A90" w:rsidP="00576A90">
      <w:pPr>
        <w:pStyle w:val="TextoNormal"/>
      </w:pPr>
    </w:p>
    <w:p w14:paraId="2083502C" w14:textId="77777777" w:rsidR="00576A90" w:rsidRDefault="00576A90" w:rsidP="00576A90">
      <w:pPr>
        <w:pStyle w:val="TextoNormal"/>
      </w:pPr>
      <w:r>
        <w:t>Con esta afirmación no puede entenderse cumplida la carga que tiene la representación procesal del Estado de identificar qué preceptos considera necesario mantener o levantar la suspensión, concreción que a él le correspondía sin perjuicio de que pudiera aportar un informe para sustentar la eventual irreversibilidad de situaciones que se llegaren a crear. Tampoco el informe que se aporta elaborado por la Dirección General de Política Energética y Minas lleva a cabo esta identificación de forma concreta hablando en algunos casos de preceptos, o apartados de los mismos, cuya suspensión es necesario mantener como mínimo; y en otros supuestos se habla en términos condicionales de la posibilidad de levantar la suspensión de determinados preceptos o simplemente dicho levantamiento sería posible “a efectos meramente dialécticos”. A mayor abundamiento, este último informe cuando habla de los efectos graves que acarrearía el levantamiento de la suspensión lo hace en términos apodícticos, sin fundamentar dicho perjuicio, y la mayor parte de las veces en términos condicionales, dado que el perjuicio es meramente “potencial” y depende del tipo de instalación de que se trate, sin especificar ni motivar qué instalaciones sí pueden tener ese efecto y cuáles no.</w:t>
      </w:r>
    </w:p>
    <w:p w14:paraId="77838E80" w14:textId="77777777" w:rsidR="00576A90" w:rsidRDefault="00576A90" w:rsidP="00576A90">
      <w:pPr>
        <w:pStyle w:val="TextoNormal"/>
      </w:pPr>
    </w:p>
    <w:p w14:paraId="1A99CDCF" w14:textId="7922CA63" w:rsidR="00576A90" w:rsidRDefault="00576A90" w:rsidP="00576A90">
      <w:pPr>
        <w:pStyle w:val="TextoNormal"/>
      </w:pPr>
      <w:r>
        <w:t>Debemos recordar que “este tribunal ha de estar a las manifestaciones de las partes sobre las diversas consecuencias fácticas de mantener o levantar una suspensión sin que pueda ni deba tratar de averiguarlas por sí propio, pues dependen con frecuencia de circunstancias que solo las partes están en condiciones de conocer” (ATC 1201/1987, de 27 de octubre, FJ único). Lo que inevitablemente se extiende también a la necesidad de concretar los preceptos cuyo mantenimiento de la suspensión se interesa, habida cuenta de que “el mantenimiento de la suspensión automática —en cuanto excepción a la regla general que debe ser el mantenimiento de la vigencia y eficacia que toda norma posee— requiere que el Gobierno, a quien se le debe la iniciativa, aporte y razone con detalle los argumentos que la justifiquen” (ATC 38/2000, de 7 de febrero, FJ 1).</w:t>
      </w:r>
    </w:p>
    <w:p w14:paraId="150256FE" w14:textId="77777777" w:rsidR="00576A90" w:rsidRDefault="00576A90" w:rsidP="00576A90">
      <w:pPr>
        <w:pStyle w:val="TextoNormal"/>
      </w:pPr>
    </w:p>
    <w:p w14:paraId="69360508" w14:textId="586BE59D" w:rsidR="00576A90" w:rsidRDefault="00576A90" w:rsidP="00576A90">
      <w:pPr>
        <w:pStyle w:val="TextoNormal"/>
      </w:pPr>
      <w:r w:rsidRPr="00576A90">
        <w:rPr>
          <w:rStyle w:val="NumeroAFNegritaCaracter"/>
        </w:rPr>
        <w:t>4</w:t>
      </w:r>
      <w:r>
        <w:t>. Procede, por tanto, levantar la suspensión de la aplicación de los preceptos impugnados en el presente recurso de inconstitucionalidad.</w:t>
      </w:r>
    </w:p>
    <w:p w14:paraId="4C9E195C" w14:textId="77777777" w:rsidR="00576A90" w:rsidRDefault="00576A90" w:rsidP="00576A90">
      <w:pPr>
        <w:pStyle w:val="TextoNormal"/>
      </w:pPr>
    </w:p>
    <w:p w14:paraId="5644B031" w14:textId="77777777" w:rsidR="00576A90" w:rsidRDefault="00576A90" w:rsidP="00576A90">
      <w:pPr>
        <w:pStyle w:val="TextoNormal"/>
      </w:pPr>
      <w:r>
        <w:t>Por lo expuesto, el Pleno</w:t>
      </w:r>
    </w:p>
    <w:p w14:paraId="6DF48660" w14:textId="58D3F401" w:rsidR="00576A90" w:rsidRDefault="00576A90" w:rsidP="00576A90">
      <w:pPr>
        <w:pStyle w:val="TextoNormal"/>
      </w:pPr>
    </w:p>
    <w:p w14:paraId="09F049E9" w14:textId="77777777" w:rsidR="00576A90" w:rsidRDefault="00576A90" w:rsidP="00576A90">
      <w:pPr>
        <w:pStyle w:val="TextoNormalCentrado"/>
      </w:pPr>
      <w:r>
        <w:t>ACUERDA</w:t>
      </w:r>
    </w:p>
    <w:p w14:paraId="5175E431" w14:textId="32BFFA40" w:rsidR="00576A90" w:rsidRDefault="00576A90" w:rsidP="00576A90">
      <w:pPr>
        <w:pStyle w:val="TextoNormalCentrado"/>
      </w:pPr>
    </w:p>
    <w:p w14:paraId="2BC50D7E" w14:textId="77777777" w:rsidR="00576A90" w:rsidRDefault="00576A90" w:rsidP="00576A90">
      <w:pPr>
        <w:pStyle w:val="TextoNormal"/>
      </w:pPr>
      <w:r>
        <w:t>Levantar la suspensión de los artículos 4; 5, apartados 1, 2 y 4; 6; 7, apartados 1, 2, y letras a), b) y c) del apartado 3; 12, apartado 2 en cuanto al inciso “Las redes interiores podrán establecerse en cualquier nivel de tensión a efectos de autoconsumo” y 3, en cuanto al inciso “y a establecer y operar redes interiores de cualquier nivel de tensión para establecer sistemas de autoconsumo”; 13, apartados 2, 3 y 4; 19; 22.2; 33; 38; 39; 40, apartados 2 y 3; 59; la disposición adicional cuarta; la disposición adicional quinta, y la disposición transitoria tercera del Decreto-ley del Gobierno de Aragón 1/2023, de 20 de marzo, de medidas urgentes para el impulso de la transición energética y el consumo de cercanía en Aragón.</w:t>
      </w:r>
    </w:p>
    <w:p w14:paraId="35C647D4" w14:textId="77777777" w:rsidR="00576A90" w:rsidRDefault="00576A90" w:rsidP="00576A90">
      <w:pPr>
        <w:pStyle w:val="TextoNormal"/>
      </w:pPr>
    </w:p>
    <w:p w14:paraId="5A05E40D" w14:textId="2F3D393B" w:rsidR="00576A90" w:rsidRDefault="00576A90" w:rsidP="00576A90">
      <w:pPr>
        <w:pStyle w:val="TextoNormal"/>
      </w:pPr>
      <w:r>
        <w:lastRenderedPageBreak/>
        <w:t>Publíquese este auto en el “Boletín Oficial del Estado”.</w:t>
      </w:r>
    </w:p>
    <w:p w14:paraId="78ADBC65" w14:textId="77777777" w:rsidR="00576A90" w:rsidRDefault="00576A90" w:rsidP="00576A90">
      <w:pPr>
        <w:pStyle w:val="TextoNormal"/>
      </w:pPr>
    </w:p>
    <w:p w14:paraId="181A3658" w14:textId="77777777" w:rsidR="00576A90" w:rsidRDefault="00576A90" w:rsidP="00576A90">
      <w:pPr>
        <w:pStyle w:val="TextoNormal"/>
      </w:pPr>
      <w:r>
        <w:t>Madrid, a veintitrés de abril de dos mil veinticuatro.</w:t>
      </w:r>
    </w:p>
    <w:p w14:paraId="5DD76AFF" w14:textId="2C30982C" w:rsidR="00576A90" w:rsidRDefault="00576A90">
      <w:pPr>
        <w:spacing w:after="160" w:line="259" w:lineRule="auto"/>
        <w:rPr>
          <w:rFonts w:ascii="Times New Roman" w:eastAsia="Times New Roman" w:hAnsi="Times New Roman" w:cs="Times New Roman"/>
          <w:sz w:val="24"/>
          <w:szCs w:val="24"/>
          <w:lang w:eastAsia="es-ES"/>
        </w:rPr>
      </w:pPr>
      <w:r>
        <w:br w:type="page"/>
      </w:r>
    </w:p>
    <w:p w14:paraId="12C53765" w14:textId="77777777" w:rsidR="00576A90" w:rsidRDefault="00576A90" w:rsidP="00576A90">
      <w:pPr>
        <w:pStyle w:val="TtuloResolucin"/>
      </w:pPr>
      <w:bookmarkStart w:id="133" w:name="AUTO_2024_38"/>
      <w:r>
        <w:lastRenderedPageBreak/>
        <w:t>AUTO 38/2024, de 6 de mayo de 2024</w:t>
      </w:r>
    </w:p>
    <w:bookmarkEnd w:id="133"/>
    <w:p w14:paraId="06C72DA6" w14:textId="77777777" w:rsidR="00576A90" w:rsidRDefault="00576A90" w:rsidP="00576A90">
      <w:pPr>
        <w:pStyle w:val="TtuloResolucin"/>
      </w:pPr>
      <w:r>
        <w:t>Sala Segunda</w:t>
      </w:r>
    </w:p>
    <w:p w14:paraId="0173689E" w14:textId="77777777" w:rsidR="00576A90" w:rsidRDefault="00576A90" w:rsidP="00576A90">
      <w:pPr>
        <w:pStyle w:val="TextoNormalCentrado"/>
      </w:pPr>
      <w:r>
        <w:t>ECLI:ES:TC:2024:38A</w:t>
      </w:r>
    </w:p>
    <w:p w14:paraId="7D136844" w14:textId="6C93E98B" w:rsidR="00576A90" w:rsidRDefault="00576A90" w:rsidP="00576A90">
      <w:pPr>
        <w:pStyle w:val="TextoNormalCentrado"/>
      </w:pPr>
    </w:p>
    <w:p w14:paraId="23816971" w14:textId="77777777" w:rsidR="00576A90" w:rsidRDefault="00576A90" w:rsidP="00576A90">
      <w:pPr>
        <w:pStyle w:val="SntesisDescriptiva"/>
      </w:pPr>
      <w:r>
        <w:t>Excms. Srs. doña Inmaculada Montalbán Huertas, doña María Luisa Balaguer Callejón, don Ramón Sáez Valcárcel, don Enrique Arnaldo Alcubilla, don César Tolosa Tribiño y doña Laura Díez Bueso.</w:t>
      </w:r>
    </w:p>
    <w:p w14:paraId="3B35FB1F" w14:textId="20EF9DB2" w:rsidR="00576A90" w:rsidRDefault="00576A90" w:rsidP="00576A90">
      <w:pPr>
        <w:pStyle w:val="SntesisDescriptiva"/>
      </w:pPr>
    </w:p>
    <w:p w14:paraId="04EA8D62" w14:textId="77777777" w:rsidR="00576A90" w:rsidRDefault="00576A90" w:rsidP="00576A90">
      <w:pPr>
        <w:pStyle w:val="SntesisDescriptiva"/>
      </w:pPr>
      <w:r>
        <w:t>Acuerda el desistimiento en la pieza separada de suspensión en el recurso de amparo 1372-2022, promovido por doña Olga Villanueva Illana en pleito civil.</w:t>
      </w:r>
    </w:p>
    <w:p w14:paraId="5F4BFE90" w14:textId="0171C6F6" w:rsidR="00576A90" w:rsidRDefault="00576A90" w:rsidP="00576A90">
      <w:pPr>
        <w:pStyle w:val="SntesisDescriptiva"/>
      </w:pPr>
    </w:p>
    <w:p w14:paraId="3E1BE6C1" w14:textId="77777777" w:rsidR="00576A90" w:rsidRDefault="00576A90" w:rsidP="00576A90">
      <w:pPr>
        <w:pStyle w:val="SntesisDescriptiva"/>
      </w:pPr>
    </w:p>
    <w:p w14:paraId="22058837" w14:textId="77777777" w:rsidR="00576A90" w:rsidRDefault="00576A90" w:rsidP="00576A90">
      <w:pPr>
        <w:pStyle w:val="SntesisDescriptiva"/>
      </w:pPr>
    </w:p>
    <w:p w14:paraId="3AF277BA" w14:textId="77777777" w:rsidR="00576A90" w:rsidRDefault="00576A90" w:rsidP="00576A90">
      <w:pPr>
        <w:pStyle w:val="TextoNormalNegritaCentrado"/>
      </w:pPr>
      <w:r>
        <w:t>AUTO</w:t>
      </w:r>
    </w:p>
    <w:p w14:paraId="3C654284" w14:textId="13B5A7C9" w:rsidR="00576A90" w:rsidRDefault="00576A90" w:rsidP="00576A90">
      <w:pPr>
        <w:pStyle w:val="TextoNormalNegritaCentrado"/>
      </w:pPr>
    </w:p>
    <w:p w14:paraId="13A6AA31" w14:textId="77777777" w:rsidR="00576A90" w:rsidRDefault="00576A90" w:rsidP="00576A90">
      <w:pPr>
        <w:pStyle w:val="TextoNormalNegritaCentrado"/>
        <w:keepNext/>
      </w:pPr>
      <w:r>
        <w:t>I. Antecedentes</w:t>
      </w:r>
    </w:p>
    <w:p w14:paraId="29CA2BF9" w14:textId="4C05C014" w:rsidR="00576A90" w:rsidRDefault="00576A90" w:rsidP="00576A90">
      <w:pPr>
        <w:pStyle w:val="TextoNormalNegritaCentrado"/>
        <w:keepNext/>
      </w:pPr>
    </w:p>
    <w:p w14:paraId="079EFB69" w14:textId="77777777" w:rsidR="00576A90" w:rsidRDefault="00576A90" w:rsidP="00576A90">
      <w:pPr>
        <w:pStyle w:val="TextoNormal"/>
      </w:pPr>
      <w:r w:rsidRPr="00576A90">
        <w:rPr>
          <w:rStyle w:val="NumeroAFNegritaCaracter"/>
        </w:rPr>
        <w:t>1</w:t>
      </w:r>
      <w:r>
        <w:t>. Por escrito registrado en este tribunal el 2 de marzo de 2022, la procuradora de los tribunales doña Cristina Jiménez de la Plata García de Blas, obrando en nombre y representación de doña Olga Villanueva Illana, y bajo la dirección letrada de don Fernando Gabriel Ortega Gil, interpuso recurso de amparo contra: (i) el auto núm. 441/2017 dictado por el Juzgado de Primera Instancia núm. 26 de Madrid el día 10 de noviembre de 2017, que puso fin al procedimiento ordinario núm. 1240-2016 por estimación de una excepción de cosa juzgada; (ii) el auto dictado por el mismo juzgado el día 1 de diciembre de 2017 por el que se denegó la aclaración de la anterior resolución, pedida por la hoy demandante de amparo; y (iii) el auto núm. 4/2022 de 13 de enero de 2022, dictado por la Audiencia Provincial de Madrid, Sección 28 de refuerzo, por el que se desestimó el recurso de apelación interpuesto por la demandante de amparo contra el auto de 10 de noviembre de 2017.</w:t>
      </w:r>
    </w:p>
    <w:p w14:paraId="4ED29763" w14:textId="77777777" w:rsidR="00576A90" w:rsidRDefault="00576A90" w:rsidP="00576A90">
      <w:pPr>
        <w:pStyle w:val="TextoNormal"/>
      </w:pPr>
    </w:p>
    <w:p w14:paraId="5313DABE" w14:textId="0E7F620C" w:rsidR="00576A90" w:rsidRDefault="00576A90" w:rsidP="00576A90">
      <w:pPr>
        <w:pStyle w:val="TextoNormal"/>
      </w:pPr>
      <w:r>
        <w:t>En el escrito de interposición del recurso de amparo se solicitaba, por medio de otrosí, la anotación preventiva de la demanda de amparo en el registro de la propiedad y la suspensión cautelar del procedimiento de desahucio por precario núm. 769-2018 que se viene tramitando ante el Juzgado de Primera Instancia núm. 46 de Madrid frente a la demandante de amparo. Esta petición se justificaba invocando los perjuicios irreparables que se irrogarían a la demandante de amparo si llegase a ser lanzada de la finca objeto de todos los procedimientos habidos entre las partes —ejecutivo, declarativo ordinario y verbal de desahucio—, y dicha finca resultara transmitida a tercero en virtud de contrato que hiciera imposible la recuperación de la posesión, caso de llegar a prosperar el recurso de amparo. Se alegaba también que ninguna de las medidas cautelares interesadas suponía una perturbación grave para los intereses generales ni dilación alguna del procedimiento de desahucio, dado que se encontraba ya suspendido en el momento de presentarse la demanda de amparo por decisión del propio Juzgado de Primera Instancia núm. 46 de Madrid.</w:t>
      </w:r>
    </w:p>
    <w:p w14:paraId="2024E9E0" w14:textId="77777777" w:rsidR="00576A90" w:rsidRDefault="00576A90" w:rsidP="00576A90">
      <w:pPr>
        <w:pStyle w:val="TextoNormal"/>
      </w:pPr>
    </w:p>
    <w:p w14:paraId="2FE5A168" w14:textId="6F40BFC0" w:rsidR="00576A90" w:rsidRDefault="00576A90" w:rsidP="00576A90">
      <w:pPr>
        <w:pStyle w:val="TextoNormal"/>
      </w:pPr>
      <w:r w:rsidRPr="00576A90">
        <w:rPr>
          <w:rStyle w:val="NumeroAFNegritaCaracter"/>
        </w:rPr>
        <w:t>2</w:t>
      </w:r>
      <w:r>
        <w:t xml:space="preserve">. La demanda de amparo fue admitida a trámite mediante providencia de la Sección Tercera de este tribunal de 22 de mayo de 2023, que apreció la concurrencia en el mismo de una especial trascendencia constitucional porque “el recurso el recurso plantea un problema o afecta a una faceta de un derecho fundamental sobre el que no hay doctrina de </w:t>
      </w:r>
      <w:r>
        <w:lastRenderedPageBreak/>
        <w:t>este tribunal [STC 155/2009, FJ 2 a)]”. En esta misma providencia se ordenó formar pieza separada de medidas cautelares.</w:t>
      </w:r>
    </w:p>
    <w:p w14:paraId="521C257E" w14:textId="77777777" w:rsidR="00576A90" w:rsidRDefault="00576A90" w:rsidP="00576A90">
      <w:pPr>
        <w:pStyle w:val="TextoNormal"/>
      </w:pPr>
    </w:p>
    <w:p w14:paraId="04B501C6" w14:textId="3B9DED9B" w:rsidR="00576A90" w:rsidRDefault="00576A90" w:rsidP="00576A90">
      <w:pPr>
        <w:pStyle w:val="TextoNormal"/>
      </w:pPr>
      <w:r w:rsidRPr="00576A90">
        <w:rPr>
          <w:rStyle w:val="NumeroAFNegritaCaracter"/>
        </w:rPr>
        <w:t>3</w:t>
      </w:r>
      <w:r>
        <w:t>. Por auto de esta sala 428/2023, de 11 de septiembre, se acordó denegar las dos medidas cautelares interesadas: suspensión del juicio verbal de desahucio y anotación preventiva de la demanda de amparo en el registro de la propiedad. La razón fundamental que se dio para denegar la medida cautelar de suspensión fue que el juicio verbal de desahucio estaba ya suspendido por resolución del Juzgado de Primera Instancia núm. 46 de Madrid, con lo que no existía un riesgo cierto y actual de que pudiera llegar a producirse el resultado perjudicial irreparable (lanzamiento) que servía de fundamento a la pretensión cautelar.</w:t>
      </w:r>
    </w:p>
    <w:p w14:paraId="0B7723FB" w14:textId="77777777" w:rsidR="00576A90" w:rsidRDefault="00576A90" w:rsidP="00576A90">
      <w:pPr>
        <w:pStyle w:val="TextoNormal"/>
      </w:pPr>
    </w:p>
    <w:p w14:paraId="07F0A196" w14:textId="07730E64" w:rsidR="00576A90" w:rsidRDefault="00576A90" w:rsidP="00576A90">
      <w:pPr>
        <w:pStyle w:val="TextoNormal"/>
      </w:pPr>
      <w:r w:rsidRPr="00576A90">
        <w:rPr>
          <w:rStyle w:val="NumeroAFNegritaCaracter"/>
        </w:rPr>
        <w:t>4</w:t>
      </w:r>
      <w:r>
        <w:t>. El día 29 de enero de 2024 la representación procesal de doña Olga Villanueva Illana presentó nueva solicitud de suspensión cautelar, fundamentada en el alzamiento de la suspensión del procedimiento de desahucio acordado por el Juzgado de Primera Instancia núm. 46 de Madrid. La demandante argumentaba que la reanudación en la tramitación de esta causa genera un riesgo cierto y actual de que se produzca su lanzamiento de la finca litigiosa, lo que constituiría un perjuicio de imposible reparación que vaciaría de contenido el recurso de amparo. El día 2 de febrero de 2024 la parte aportó, como documental adicional, copia de la diligencia de ordenación dictada el 30 de enero de 2024 por el Juzgado de Primera Instancia núm. 46 de Madrid, por la que se señalaba el día 29 de abril de 2024 para la práctica del lanzamiento.</w:t>
      </w:r>
    </w:p>
    <w:p w14:paraId="4F922278" w14:textId="77777777" w:rsidR="00576A90" w:rsidRDefault="00576A90" w:rsidP="00576A90">
      <w:pPr>
        <w:pStyle w:val="TextoNormal"/>
      </w:pPr>
    </w:p>
    <w:p w14:paraId="44F6394A" w14:textId="72981642" w:rsidR="00576A90" w:rsidRDefault="00576A90" w:rsidP="00576A90">
      <w:pPr>
        <w:pStyle w:val="TextoNormal"/>
      </w:pPr>
      <w:r w:rsidRPr="00576A90">
        <w:rPr>
          <w:rStyle w:val="NumeroAFNegritaCaracter"/>
        </w:rPr>
        <w:t>5</w:t>
      </w:r>
      <w:r>
        <w:t>. Mediante providencia de 21 de marzo de 2024 se acordó formar pieza separada para la tramitación del incidente de suspensión y conceder un plazo común de tres días a las partes y al Ministerio Fiscal para alegar cuanto estimasen conveniente acerca de la medida cautelar interesada.</w:t>
      </w:r>
    </w:p>
    <w:p w14:paraId="035416EE" w14:textId="77777777" w:rsidR="00576A90" w:rsidRDefault="00576A90" w:rsidP="00576A90">
      <w:pPr>
        <w:pStyle w:val="TextoNormal"/>
      </w:pPr>
    </w:p>
    <w:p w14:paraId="42305641" w14:textId="1D375FF0" w:rsidR="00576A90" w:rsidRDefault="00576A90" w:rsidP="00576A90">
      <w:pPr>
        <w:pStyle w:val="TextoNormal"/>
      </w:pPr>
      <w:r w:rsidRPr="00576A90">
        <w:rPr>
          <w:rStyle w:val="NumeroAFNegritaCaracter"/>
        </w:rPr>
        <w:t>6</w:t>
      </w:r>
      <w:r>
        <w:t>. El día 26 de marzo de 2024, la representación procesal de doña Olga Villanueva Illana presentó escrito comunicando a este tribunal que había alcanzado un acuerdo extrajudicial con el propietario de la vivienda que incluía la suspensión de la diligencia de lanzamiento, motivo por el cual solicitaba que se dejara sin efecto la solicitud de medida cautelar de suspensión deducida en sus anteriores escritos.</w:t>
      </w:r>
    </w:p>
    <w:p w14:paraId="68FA156D" w14:textId="77777777" w:rsidR="00576A90" w:rsidRDefault="00576A90" w:rsidP="00576A90">
      <w:pPr>
        <w:pStyle w:val="TextoNormal"/>
      </w:pPr>
    </w:p>
    <w:p w14:paraId="059B0730" w14:textId="77D204F0" w:rsidR="00576A90" w:rsidRDefault="00576A90" w:rsidP="00576A90">
      <w:pPr>
        <w:pStyle w:val="TextoNormal"/>
      </w:pPr>
      <w:r w:rsidRPr="00576A90">
        <w:rPr>
          <w:rStyle w:val="NumeroAFNegritaCaracter"/>
        </w:rPr>
        <w:t>7</w:t>
      </w:r>
      <w:r>
        <w:t>. El mismo día 26 de marzo de 2024 tuvo entrada en el registro de este tribunal el escrito presentado por la representación procesal de la entidad Buildingcenter, S.A.U., interesando la desestimación de la medida de suspensión cautelar interesada por la demandante de amparo.</w:t>
      </w:r>
    </w:p>
    <w:p w14:paraId="5B7A4351" w14:textId="77777777" w:rsidR="00576A90" w:rsidRDefault="00576A90" w:rsidP="00576A90">
      <w:pPr>
        <w:pStyle w:val="TextoNormal"/>
      </w:pPr>
    </w:p>
    <w:p w14:paraId="3FE5FB92" w14:textId="560793EA" w:rsidR="00576A90" w:rsidRDefault="00576A90" w:rsidP="00576A90">
      <w:pPr>
        <w:pStyle w:val="TextoNormal"/>
      </w:pPr>
      <w:r w:rsidRPr="00576A90">
        <w:rPr>
          <w:rStyle w:val="NumeroAFNegritaCaracter"/>
        </w:rPr>
        <w:t>8</w:t>
      </w:r>
      <w:r>
        <w:t>. El día 1 de abril de 2024 tuvo entrada en el registro de este tribunal el escrito de alegaciones presentado por la representación procesal de la entidad Caixabank, S.A., en el que la parte se oponía igualmente a la adopción de la medida cautelar de suspensión interesada por la demandante de amparo.</w:t>
      </w:r>
    </w:p>
    <w:p w14:paraId="6999BA31" w14:textId="77777777" w:rsidR="00576A90" w:rsidRDefault="00576A90" w:rsidP="00576A90">
      <w:pPr>
        <w:pStyle w:val="TextoNormal"/>
      </w:pPr>
    </w:p>
    <w:p w14:paraId="2041AB2E" w14:textId="42368892" w:rsidR="00576A90" w:rsidRDefault="00576A90" w:rsidP="00576A90">
      <w:pPr>
        <w:pStyle w:val="TextoNormal"/>
      </w:pPr>
      <w:r w:rsidRPr="00576A90">
        <w:rPr>
          <w:rStyle w:val="NumeroAFNegritaCaracter"/>
        </w:rPr>
        <w:t>9</w:t>
      </w:r>
      <w:r>
        <w:t>. El Ministerio Fiscal presentó su escrito alegaciones el día 17 de abril de 2024. En él se interesaba que se tuviera por desistida a la parte de la referida medida cautelar debido a la carencia de objeto sobrevenida por el acuerdo extrajudicial alcanzado.</w:t>
      </w:r>
    </w:p>
    <w:p w14:paraId="52D8037B" w14:textId="77777777" w:rsidR="00576A90" w:rsidRDefault="00576A90" w:rsidP="00576A90">
      <w:pPr>
        <w:pStyle w:val="TextoNormal"/>
      </w:pPr>
    </w:p>
    <w:p w14:paraId="6E70AA81" w14:textId="77777777" w:rsidR="00576A90" w:rsidRDefault="00576A90" w:rsidP="00576A90">
      <w:pPr>
        <w:pStyle w:val="TextoNormalNegritaCentrado"/>
        <w:keepNext/>
      </w:pPr>
      <w:r>
        <w:t>II. Fundamentos jurídicos</w:t>
      </w:r>
    </w:p>
    <w:p w14:paraId="609CFFB5" w14:textId="020AABE2" w:rsidR="00576A90" w:rsidRDefault="00576A90" w:rsidP="00576A90">
      <w:pPr>
        <w:pStyle w:val="TextoNormalNegritaCentrado"/>
        <w:keepNext/>
      </w:pPr>
    </w:p>
    <w:p w14:paraId="7E319583" w14:textId="77777777" w:rsidR="00576A90" w:rsidRDefault="00576A90" w:rsidP="00576A90">
      <w:pPr>
        <w:pStyle w:val="TextoNormal"/>
      </w:pPr>
      <w:r w:rsidRPr="00576A90">
        <w:rPr>
          <w:rStyle w:val="TextoNormalNegritaCaracter"/>
        </w:rPr>
        <w:t xml:space="preserve">Único. </w:t>
      </w:r>
      <w:r>
        <w:t>Entre las formas de terminación del recurso de amparo figura la del desistimiento mencionada por el art. 86.1 de la Ley Orgánica del Tribunal Constitucional (LOTC), a la que es de aplicación supletoria la legislación procesal ordinaria (art. 80 LOTC). Esta forma de terminación habrá de aplicarse igualmente, por la lógica del sistema, a los incidentes que pudieran surgir dentro del proceso de amparo en relación con otras peticiones de las partes diferentes de la principal, señaladamente en relación con las medidas cautelares (ATC 437/2023, de 26 de septiembre).</w:t>
      </w:r>
    </w:p>
    <w:p w14:paraId="29A3EE71" w14:textId="77777777" w:rsidR="00576A90" w:rsidRDefault="00576A90" w:rsidP="00576A90">
      <w:pPr>
        <w:pStyle w:val="TextoNormal"/>
      </w:pPr>
    </w:p>
    <w:p w14:paraId="648B3775" w14:textId="77777777" w:rsidR="00576A90" w:rsidRDefault="00576A90" w:rsidP="00576A90">
      <w:pPr>
        <w:pStyle w:val="TextoNormal"/>
      </w:pPr>
      <w:r>
        <w:t>El desistimiento aparece regulado en el art. 20 de la Ley 1/2000, de 7 de enero, de enjuiciamiento civil, con arreglo al cual, si el demandante desiste de su pretensión después de que el demandado haya sido emplazado, el desistimiento se admitirá y se acordará el sobreseimiento y archivo de la petición deducida si, dentro de un plazo de diez días, el demandado muestra su conformidad o no se opone al mismo.</w:t>
      </w:r>
    </w:p>
    <w:p w14:paraId="3F0DCBCA" w14:textId="77777777" w:rsidR="00576A90" w:rsidRDefault="00576A90" w:rsidP="00576A90">
      <w:pPr>
        <w:pStyle w:val="TextoNormal"/>
      </w:pPr>
    </w:p>
    <w:p w14:paraId="7D52C8DF" w14:textId="77777777" w:rsidR="00576A90" w:rsidRDefault="00576A90" w:rsidP="00576A90">
      <w:pPr>
        <w:pStyle w:val="TextoNormal"/>
      </w:pPr>
      <w:r>
        <w:t>En el presente caso, la representación procesal de la demandante de la tutela cautelar ha presentado en tiempo y forma su desistimiento de dicha pretensión cautelar y ninguna de las restantes partes personadas en el procedimiento de amparo ha mostrado su oposición al mismo.</w:t>
      </w:r>
    </w:p>
    <w:p w14:paraId="183370E9" w14:textId="77777777" w:rsidR="00576A90" w:rsidRDefault="00576A90" w:rsidP="00576A90">
      <w:pPr>
        <w:pStyle w:val="TextoNormal"/>
      </w:pPr>
    </w:p>
    <w:p w14:paraId="036FBB05" w14:textId="15FBC196" w:rsidR="00576A90" w:rsidRDefault="00576A90" w:rsidP="00576A90">
      <w:pPr>
        <w:pStyle w:val="TextoNormal"/>
      </w:pPr>
      <w:r>
        <w:t>En consecuencia, procede aceptar el desistimiento de la demandante de amparo exclusivamente en relación con la medida cautelar de suspensión del procedimiento de desahucio por precario núm. 769-2018 que se viene tramitando ante el Juzgado de Primera Instancia núm. 46 de Madrid, y sin perjuicio de lo que al final se determine en la sentencia que resuelva sobre el fondo del recurso principal, respecto del cual no ha habido desistimiento de la parte demandante.</w:t>
      </w:r>
    </w:p>
    <w:p w14:paraId="52BA10A1" w14:textId="77777777" w:rsidR="00576A90" w:rsidRDefault="00576A90" w:rsidP="00576A90">
      <w:pPr>
        <w:pStyle w:val="TextoNormal"/>
      </w:pPr>
    </w:p>
    <w:p w14:paraId="375B0326" w14:textId="77777777" w:rsidR="00576A90" w:rsidRDefault="00576A90" w:rsidP="00576A90">
      <w:pPr>
        <w:pStyle w:val="TextoNormal"/>
      </w:pPr>
      <w:r>
        <w:t>Por lo expuesto, la Sala</w:t>
      </w:r>
    </w:p>
    <w:p w14:paraId="396AA915" w14:textId="4BE550D6" w:rsidR="00576A90" w:rsidRDefault="00576A90" w:rsidP="00576A90">
      <w:pPr>
        <w:pStyle w:val="TextoNormal"/>
      </w:pPr>
    </w:p>
    <w:p w14:paraId="7FB77965" w14:textId="77777777" w:rsidR="00576A90" w:rsidRDefault="00576A90" w:rsidP="00576A90">
      <w:pPr>
        <w:pStyle w:val="TextoNormalCentrado"/>
      </w:pPr>
      <w:r>
        <w:t>ACUERDA</w:t>
      </w:r>
    </w:p>
    <w:p w14:paraId="3F699E9C" w14:textId="51F6AF7F" w:rsidR="00576A90" w:rsidRDefault="00576A90" w:rsidP="00576A90">
      <w:pPr>
        <w:pStyle w:val="TextoNormalCentrado"/>
      </w:pPr>
    </w:p>
    <w:p w14:paraId="36C37176" w14:textId="1613B525" w:rsidR="00576A90" w:rsidRDefault="00576A90" w:rsidP="00576A90">
      <w:pPr>
        <w:pStyle w:val="TextoNormal"/>
      </w:pPr>
      <w:r>
        <w:t>Aceptar el desistimiento formulado por la representación procesal de doña Olga Villanueva Illana, respecto de la suspensión cautelar del procedimiento de desahucio por precario núm. 769-2018, que se viene tramitando ante el Juzgado de Primera Instancia núm. 46 de Madrid, y acordar el archivo de la presente pieza separada de suspensión.</w:t>
      </w:r>
    </w:p>
    <w:p w14:paraId="148612E2" w14:textId="77777777" w:rsidR="00576A90" w:rsidRDefault="00576A90" w:rsidP="00576A90">
      <w:pPr>
        <w:pStyle w:val="TextoNormal"/>
      </w:pPr>
    </w:p>
    <w:p w14:paraId="42FC673A" w14:textId="77777777" w:rsidR="00576A90" w:rsidRDefault="00576A90" w:rsidP="00576A90">
      <w:pPr>
        <w:pStyle w:val="TextoNormal"/>
      </w:pPr>
      <w:r>
        <w:t>Madrid, a seis de mayo de dos mil veinticuatro.</w:t>
      </w:r>
    </w:p>
    <w:p w14:paraId="6B46F961" w14:textId="1CD9E38B" w:rsidR="00576A90" w:rsidRDefault="00576A90">
      <w:pPr>
        <w:spacing w:after="160" w:line="259" w:lineRule="auto"/>
        <w:rPr>
          <w:rFonts w:ascii="Times New Roman" w:eastAsia="Times New Roman" w:hAnsi="Times New Roman" w:cs="Times New Roman"/>
          <w:sz w:val="24"/>
          <w:szCs w:val="24"/>
          <w:lang w:eastAsia="es-ES"/>
        </w:rPr>
      </w:pPr>
      <w:r>
        <w:br w:type="page"/>
      </w:r>
    </w:p>
    <w:p w14:paraId="1856032B" w14:textId="77777777" w:rsidR="00576A90" w:rsidRDefault="00576A90" w:rsidP="00576A90">
      <w:pPr>
        <w:pStyle w:val="TtuloResolucin"/>
      </w:pPr>
      <w:bookmarkStart w:id="134" w:name="AUTO_2024_39"/>
      <w:r>
        <w:lastRenderedPageBreak/>
        <w:t>AUTO 39/2024, de 6 de mayo de 2024</w:t>
      </w:r>
    </w:p>
    <w:bookmarkEnd w:id="134"/>
    <w:p w14:paraId="191D1B06" w14:textId="77777777" w:rsidR="00576A90" w:rsidRDefault="00576A90" w:rsidP="00576A90">
      <w:pPr>
        <w:pStyle w:val="TtuloResolucin"/>
      </w:pPr>
      <w:r>
        <w:t>Sección Cuarta</w:t>
      </w:r>
    </w:p>
    <w:p w14:paraId="1F8CEF62" w14:textId="77777777" w:rsidR="00576A90" w:rsidRDefault="00576A90" w:rsidP="00576A90">
      <w:pPr>
        <w:pStyle w:val="TextoNormalCentrado"/>
      </w:pPr>
      <w:r>
        <w:t>ECLI:ES:TC:2024:39A</w:t>
      </w:r>
    </w:p>
    <w:p w14:paraId="4D2B6B7D" w14:textId="15C772D4" w:rsidR="00576A90" w:rsidRDefault="00576A90" w:rsidP="00576A90">
      <w:pPr>
        <w:pStyle w:val="TextoNormalCentrado"/>
      </w:pPr>
    </w:p>
    <w:p w14:paraId="014EF153" w14:textId="77777777" w:rsidR="00576A90" w:rsidRDefault="00576A90" w:rsidP="00576A90">
      <w:pPr>
        <w:pStyle w:val="SntesisDescriptiva"/>
      </w:pPr>
      <w:r>
        <w:t>Excms. Srs. doña María Luisa Balaguer Callejón, don Ramón Sáez Valcárcel y don Enrique Arnaldo Alcubilla.</w:t>
      </w:r>
    </w:p>
    <w:p w14:paraId="644D7CE7" w14:textId="0BBD8974" w:rsidR="00576A90" w:rsidRDefault="00576A90" w:rsidP="00576A90">
      <w:pPr>
        <w:pStyle w:val="SntesisDescriptiva"/>
      </w:pPr>
    </w:p>
    <w:p w14:paraId="006AFF60" w14:textId="77777777" w:rsidR="00576A90" w:rsidRDefault="00576A90" w:rsidP="00576A90">
      <w:pPr>
        <w:pStyle w:val="SntesisDescriptiva"/>
      </w:pPr>
      <w:r>
        <w:t>Desestima el recurso de súplica interpuesto por el Ministerio Fiscal en relación con la providencia de inadmisión del recurso de amparo 2930-2023, promovido por don Francisco Medina Castillo en causa penal.</w:t>
      </w:r>
    </w:p>
    <w:p w14:paraId="388110B6" w14:textId="4A6ADB47" w:rsidR="00576A90" w:rsidRDefault="00576A90" w:rsidP="00576A90">
      <w:pPr>
        <w:pStyle w:val="SntesisDescriptiva"/>
      </w:pPr>
    </w:p>
    <w:p w14:paraId="0A63DB6D" w14:textId="77777777" w:rsidR="00576A90" w:rsidRDefault="00576A90" w:rsidP="00576A90">
      <w:pPr>
        <w:pStyle w:val="SntesisDescriptiva"/>
      </w:pPr>
    </w:p>
    <w:p w14:paraId="0B9320CC" w14:textId="77777777" w:rsidR="00576A90" w:rsidRDefault="00576A90" w:rsidP="00576A90">
      <w:pPr>
        <w:pStyle w:val="SntesisDescriptiva"/>
      </w:pPr>
    </w:p>
    <w:p w14:paraId="408883BA" w14:textId="77777777" w:rsidR="00576A90" w:rsidRDefault="00576A90" w:rsidP="00576A90">
      <w:pPr>
        <w:pStyle w:val="TextoNormalNegritaCentrado"/>
      </w:pPr>
      <w:r>
        <w:t>AUTO</w:t>
      </w:r>
    </w:p>
    <w:p w14:paraId="176EA258" w14:textId="0A56D726" w:rsidR="00576A90" w:rsidRDefault="00576A90" w:rsidP="00576A90">
      <w:pPr>
        <w:pStyle w:val="TextoNormalNegritaCentrado"/>
      </w:pPr>
    </w:p>
    <w:p w14:paraId="04877642" w14:textId="77777777" w:rsidR="00576A90" w:rsidRDefault="00576A90" w:rsidP="00576A90">
      <w:pPr>
        <w:pStyle w:val="TextoNormalNegritaCentrado"/>
        <w:keepNext/>
      </w:pPr>
      <w:r>
        <w:t>I. Antecedentes</w:t>
      </w:r>
    </w:p>
    <w:p w14:paraId="5948B474" w14:textId="553F9D6E" w:rsidR="00576A90" w:rsidRDefault="00576A90" w:rsidP="00576A90">
      <w:pPr>
        <w:pStyle w:val="TextoNormalNegritaCentrado"/>
        <w:keepNext/>
      </w:pPr>
    </w:p>
    <w:p w14:paraId="5CC4818E" w14:textId="00F6A44F" w:rsidR="00576A90" w:rsidRDefault="00576A90" w:rsidP="00576A90">
      <w:pPr>
        <w:pStyle w:val="TextoNormal"/>
      </w:pPr>
      <w:r w:rsidRPr="00576A90">
        <w:rPr>
          <w:rStyle w:val="NumeroAFNegritaCaracter"/>
        </w:rPr>
        <w:t>1</w:t>
      </w:r>
      <w:r>
        <w:t>. Por escrito presentado en este tribunal el 27 de octubre de 2023, el procurador de los tribunales don Alejandro González Salinas, bajo la dirección letrada de doña María Consolación Rojo Sanz, ambos designados de oficio para la representación y defensa de don Francisco Medina Castillo, interpuso recurso de amparo contra el auto dictado por la Sección Tercera de la Audiencia Provincial de Sevilla en el recurso de apelación núm. 3191-2023, de 12 de abril de 2023, que confirmó el auto dictado por el Juzgado de lo Penal núm. 10 de Sevilla en la ejecutoria núm. 67-2019, de 23 de enero de 2023, que había revocado la suspensión de la ejecución de la pena concedida en su día al demandante.</w:t>
      </w:r>
    </w:p>
    <w:p w14:paraId="4A5A2B5C" w14:textId="77777777" w:rsidR="00576A90" w:rsidRDefault="00576A90" w:rsidP="00576A90">
      <w:pPr>
        <w:pStyle w:val="TextoNormal"/>
      </w:pPr>
    </w:p>
    <w:p w14:paraId="5AAEC1BE" w14:textId="77777777" w:rsidR="00576A90" w:rsidRDefault="00576A90" w:rsidP="00576A90">
      <w:pPr>
        <w:pStyle w:val="TextoNormal"/>
      </w:pPr>
      <w:r w:rsidRPr="00576A90">
        <w:rPr>
          <w:rStyle w:val="NumeroAFNegritaCaracter"/>
        </w:rPr>
        <w:t>2</w:t>
      </w:r>
      <w:r>
        <w:t>. Son antecedentes relevantes en el marco del recurso de amparo los siguientes:</w:t>
      </w:r>
    </w:p>
    <w:p w14:paraId="52909D23" w14:textId="77777777" w:rsidR="00576A90" w:rsidRDefault="00576A90" w:rsidP="00576A90">
      <w:pPr>
        <w:pStyle w:val="TextoNormal"/>
      </w:pPr>
    </w:p>
    <w:p w14:paraId="7F98D29E" w14:textId="77777777" w:rsidR="00576A90" w:rsidRDefault="00576A90" w:rsidP="00576A90">
      <w:pPr>
        <w:pStyle w:val="TextoNormal"/>
      </w:pPr>
      <w:r>
        <w:t>a) Mediante auto dictado por el Juzgado de lo Penal núm. 10 de Sevilla en la ejecutoria núm. 67-2019, de 30 de julio de 2020, se decretó la suspensión de la ejecución de la pena privativa de libertad impuesta por ese mismo juzgado a don Francisco Medina Castillo, condicionada a la realización de 36 días de trabajos en beneficio de la comunidad y al pago de la responsabilidad civil, que ascendía a la suma de 144,40 €.</w:t>
      </w:r>
    </w:p>
    <w:p w14:paraId="162C2326" w14:textId="77777777" w:rsidR="00576A90" w:rsidRDefault="00576A90" w:rsidP="00576A90">
      <w:pPr>
        <w:pStyle w:val="TextoNormal"/>
      </w:pPr>
    </w:p>
    <w:p w14:paraId="3E5E7E8E" w14:textId="77777777" w:rsidR="00576A90" w:rsidRDefault="00576A90" w:rsidP="00576A90">
      <w:pPr>
        <w:pStyle w:val="TextoNormal"/>
      </w:pPr>
      <w:r>
        <w:t>b) Mediante auto dictado por el Juzgado de lo Penal núm. 10 de Sevilla en la ejecutoria núm. 67-2019, de 23 de enero de 2023, fue revocado a don Francisco Medina Castillo el beneficio de la suspensión de la ejecución “por no abonar la responsabilidad civil en los plazos a los que se comprometió en el requerimiento efectuado el 2 de diciembre de 2020”, acordándose en igual resolución ejecutar el fallo suspendido.</w:t>
      </w:r>
    </w:p>
    <w:p w14:paraId="4577A892" w14:textId="77777777" w:rsidR="00576A90" w:rsidRDefault="00576A90" w:rsidP="00576A90">
      <w:pPr>
        <w:pStyle w:val="TextoNormal"/>
      </w:pPr>
    </w:p>
    <w:p w14:paraId="6F938522" w14:textId="55E6325C" w:rsidR="00576A90" w:rsidRDefault="00576A90" w:rsidP="00576A90">
      <w:pPr>
        <w:pStyle w:val="TextoNormal"/>
      </w:pPr>
      <w:r>
        <w:t>c) Frente a la anterior decisión, el 17 de febrero de 2023 la parte interpuso recurso de apelación, que conoció la Sección Tercera de la Audiencia Provincial de Sevilla. El procedimiento finalizó por auto de 12 de abril de 2023, confirmatorio de la resolución del juzgado de lo penal. Tal resolución fue notificada a la parte interesada el día 14 de abril de 2023.</w:t>
      </w:r>
    </w:p>
    <w:p w14:paraId="1CA87D7A" w14:textId="77777777" w:rsidR="00576A90" w:rsidRDefault="00576A90" w:rsidP="00576A90">
      <w:pPr>
        <w:pStyle w:val="TextoNormal"/>
      </w:pPr>
    </w:p>
    <w:p w14:paraId="38C59AD0" w14:textId="41F31FE6" w:rsidR="00576A90" w:rsidRDefault="00576A90" w:rsidP="00576A90">
      <w:pPr>
        <w:pStyle w:val="TextoNormal"/>
      </w:pPr>
      <w:r w:rsidRPr="00576A90">
        <w:rPr>
          <w:rStyle w:val="NumeroAFNegritaCaracter"/>
        </w:rPr>
        <w:lastRenderedPageBreak/>
        <w:t>3</w:t>
      </w:r>
      <w:r>
        <w:t>. Una vez finalizada la vía judicial ordinaria, don Francisco Medina Castillo, en su propio nombre y representación, el 4 de mayo de 2023, presentó el formulario de extracto de la demanda regulado en el acuerdo del Pleno del Tribunal Constitucional de 15 de marzo de 2023 (“Boletín Oficial del Estado” de 23 de marzo de 2023), descargable en la sede electrónica de este tribunal, donde, entre otras cosas, solicitaba que “se haga atento oficio de este tribunal al Ilustre Colegio de Abogados de Madrid a fin que me asignen letrado y procurador del turno de oficio para presentar recurso de amparo”.</w:t>
      </w:r>
    </w:p>
    <w:p w14:paraId="69F8C2C3" w14:textId="77777777" w:rsidR="00576A90" w:rsidRDefault="00576A90" w:rsidP="00576A90">
      <w:pPr>
        <w:pStyle w:val="TextoNormal"/>
      </w:pPr>
    </w:p>
    <w:p w14:paraId="57AD5B6F" w14:textId="79F857EF" w:rsidR="00576A90" w:rsidRDefault="00576A90" w:rsidP="00576A90">
      <w:pPr>
        <w:pStyle w:val="TextoNormal"/>
      </w:pPr>
      <w:r w:rsidRPr="00576A90">
        <w:rPr>
          <w:rStyle w:val="NumeroAFNegritaCaracter"/>
        </w:rPr>
        <w:t>4</w:t>
      </w:r>
      <w:r>
        <w:t>. Mediante diligencia de ordenación de 8 de mayo de 2023, el secretario de justicia de la Sección Cuarta de este tribunal, examinado el escrito y documentación presentada por don Francisco Medina Castillo, en el que manifiesta su voluntad de interponer recurso de amparo, se puso en su conocimiento lo siguiente: (i) el recurso de amparo solo procede contra disposiciones, actos jurídicos o vías de hecho de los poderes públicos que menoscaben los derechos fundamentales y libertades públicas reconocidos en los artículos 14 a 29 CE y, en su caso art. 30; (ii) ha de aportarse, junto con la demanda, copia de la resolución impugnada, y de las que trae causa; (iii) es también preciso que la resolución recurrida sea firme, es decir, que se hayan agotado todos los recursos judiciales existentes para la defensa de los derechos antes indicados; (iv) la pretensión de amparo debe deducirse dentro del plazo legal [arts. 43.2 y 44.2 de la Ley Orgánica del Tribunal Constitucional (LOTC)]; (v) el demandante de amparo debe comparecer representado por procurador —debidamente apoderado— y asistido de abogado ejerciente en España, y formular la demanda con los requisitos del art. 49 LOTC o, interesar que le sean designados del turno de oficio si carece de medios para sufragarlos, en cuyo caso deberá acreditar haber gozado de asistencia jurídica gratuita en la vía judicial previa, requisito que deberá ser acreditado mediante la copia de la correspondiente resolución; (vi) de no haber gozado del beneficio de justicia gratuita en la vía judicial previa, deberá solicitarla al servicio de orientación jurídica del Ilustre Colegio de Abogados de Madrid o ante el juez decano de su domicilio, remitiendo copia de la petición a este tribunal para simple constancia de esta. Por último, se le otorgaba un plazo de diez días para que, en caso de estimar que reunía todos los requisitos, lo acreditase, con la advertencia de que, de no verificarlo, se acordaría la inadmisión del recurso.</w:t>
      </w:r>
    </w:p>
    <w:p w14:paraId="3C91C21F" w14:textId="77777777" w:rsidR="00576A90" w:rsidRDefault="00576A90" w:rsidP="00576A90">
      <w:pPr>
        <w:pStyle w:val="TextoNormal"/>
      </w:pPr>
    </w:p>
    <w:p w14:paraId="7369BB2C" w14:textId="01B75844" w:rsidR="00576A90" w:rsidRDefault="00576A90" w:rsidP="00576A90">
      <w:pPr>
        <w:pStyle w:val="TextoNormal"/>
      </w:pPr>
      <w:r w:rsidRPr="00576A90">
        <w:rPr>
          <w:rStyle w:val="NumeroAFNegritaCaracter"/>
        </w:rPr>
        <w:t>5</w:t>
      </w:r>
      <w:r>
        <w:t>. A dicha diligencia, el recurrente contestó con un escrito de 15 de mayo de 2023 en que se solicitaba del tribunal que “admita […] este escrito, junto con los documentos que los acompañan, que a mi entender han lesionado mis derechos: auto de revocación del j. penal de Sevilla; recurso de apelación contra dicha revocación; auto de apelación desestimatorio de la Audiencia Provincial de Sevilla y [diligencia de ordenación] de la ejecutoria 67-2019 del j. penal 10 Sevilla, aportando también la sentencia del juzgado penal 10 Sevilla. Estos documentos entiendo suficientes para pronunciarse sobre las cautelares”.</w:t>
      </w:r>
    </w:p>
    <w:p w14:paraId="36C0D006" w14:textId="77777777" w:rsidR="00576A90" w:rsidRDefault="00576A90" w:rsidP="00576A90">
      <w:pPr>
        <w:pStyle w:val="TextoNormal"/>
      </w:pPr>
    </w:p>
    <w:p w14:paraId="7CAE4D75" w14:textId="15957C32" w:rsidR="00576A90" w:rsidRDefault="00576A90" w:rsidP="00576A90">
      <w:pPr>
        <w:pStyle w:val="TextoNormal"/>
      </w:pPr>
      <w:r w:rsidRPr="00576A90">
        <w:rPr>
          <w:rStyle w:val="NumeroAFNegritaCaracter"/>
        </w:rPr>
        <w:t>6</w:t>
      </w:r>
      <w:r>
        <w:t xml:space="preserve">. Mediante diligencia de ordenación de 22 de mayo de 2023, el secretario de justicia de la Sección Cuarta de este tribunal, ordenó que se uniera a la documentación el precedente escrito y documentos presentados por don Francisco Medina Castillo y que se dirigiera comunicación al Ilustre Colegio de Abogados de Madrid a fin de que, conforme a lo dispuesto en la Ley 1/1996, de 10 de enero, y en el acuerdo del Pleno de este tribunal de 18 de junio de 1996, sobre asistencia jurídica gratuita, se designase, si procede, abogado y procurador del turno de oficio que defendiera y representara respectivamente al recurrente </w:t>
      </w:r>
      <w:r>
        <w:lastRenderedPageBreak/>
        <w:t>en amparo, acompañándose a dicha comunicación los documentos remitidos por el interesado.</w:t>
      </w:r>
    </w:p>
    <w:p w14:paraId="44860FEC" w14:textId="77777777" w:rsidR="00576A90" w:rsidRDefault="00576A90" w:rsidP="00576A90">
      <w:pPr>
        <w:pStyle w:val="TextoNormal"/>
      </w:pPr>
    </w:p>
    <w:p w14:paraId="1C54DD78" w14:textId="7EC114B0" w:rsidR="00576A90" w:rsidRDefault="00576A90" w:rsidP="00576A90">
      <w:pPr>
        <w:pStyle w:val="TextoNormal"/>
      </w:pPr>
      <w:r w:rsidRPr="00576A90">
        <w:rPr>
          <w:rStyle w:val="NumeroAFNegritaCaracter"/>
        </w:rPr>
        <w:t>7</w:t>
      </w:r>
      <w:r>
        <w:t>. El 9 de septiembre de 2023 tuvo entrada en el registro del Tribunal Constitucional comunicación de designación de letrado y procurador de oficio emitida por el Ilustre Colegio de Abogados de Madrid.</w:t>
      </w:r>
    </w:p>
    <w:p w14:paraId="4EFC9F3D" w14:textId="77777777" w:rsidR="00576A90" w:rsidRDefault="00576A90" w:rsidP="00576A90">
      <w:pPr>
        <w:pStyle w:val="TextoNormal"/>
      </w:pPr>
    </w:p>
    <w:p w14:paraId="5EEF7259" w14:textId="38B61D82" w:rsidR="00576A90" w:rsidRDefault="00576A90" w:rsidP="00576A90">
      <w:pPr>
        <w:pStyle w:val="TextoNormal"/>
      </w:pPr>
      <w:r w:rsidRPr="00576A90">
        <w:rPr>
          <w:rStyle w:val="NumeroAFNegritaCaracter"/>
        </w:rPr>
        <w:t>8</w:t>
      </w:r>
      <w:r>
        <w:t>. Mediante diligencia de ordenación de 8 de septiembre de 2023, el secretario de justicia de la Sección Cuarta de este tribunal tuvo por designados del turno de oficio como procurador a don Alejandro González Salinas y como abogada a doña María Consolación Rojo Sanz. Se ordenaba que tal designación fuera notificada a los mismos y al recurrente en amparo, y entregara copia de los escritos presentados en el presente recurso al expresado procurador para que los pasase a estudio de la citada abogada, a fin de que formalizaran la demanda de amparo en el plazo legal (arts. 43 y 44 LOTC). Esta diligencia fue notificada a la representación de la parte el 11 de septiembre de 2023, con efectos a día 12 de septiembre.</w:t>
      </w:r>
    </w:p>
    <w:p w14:paraId="5FE34312" w14:textId="77777777" w:rsidR="00576A90" w:rsidRDefault="00576A90" w:rsidP="00576A90">
      <w:pPr>
        <w:pStyle w:val="TextoNormal"/>
      </w:pPr>
    </w:p>
    <w:p w14:paraId="4F69BB26" w14:textId="114E08D6" w:rsidR="00576A90" w:rsidRDefault="00576A90" w:rsidP="00576A90">
      <w:pPr>
        <w:pStyle w:val="TextoNormal"/>
      </w:pPr>
      <w:r w:rsidRPr="00576A90">
        <w:rPr>
          <w:rStyle w:val="NumeroAFNegritaCaracter"/>
        </w:rPr>
        <w:t>9</w:t>
      </w:r>
      <w:r>
        <w:t>. El 27 de octubre de 2023, don Alejandro González Salinas, procurador de los tribunales, bajo la dirección letrada de doña María Consolación Rojo Sanz, presentó el escrito de amparo en el registro del Tribunal Constitucional. La demanda de amparo se dirige contra las resoluciones citadas más arriba, cuya nulidad se solicita por vulneración de los arts. 24 y 17 CE y de la doctrina de la STC 32/2022, de 7 de marzo, “al no haber sido dada audiencia previa al recurrente para explicar los motivos del impago”.</w:t>
      </w:r>
    </w:p>
    <w:p w14:paraId="4A6127E7" w14:textId="77777777" w:rsidR="00576A90" w:rsidRDefault="00576A90" w:rsidP="00576A90">
      <w:pPr>
        <w:pStyle w:val="TextoNormal"/>
      </w:pPr>
    </w:p>
    <w:p w14:paraId="409D78B8" w14:textId="417C92BB" w:rsidR="00576A90" w:rsidRDefault="00576A90" w:rsidP="00576A90">
      <w:pPr>
        <w:pStyle w:val="TextoNormal"/>
      </w:pPr>
      <w:r w:rsidRPr="00576A90">
        <w:rPr>
          <w:rStyle w:val="NumeroAFNegritaCaracter"/>
        </w:rPr>
        <w:t>10</w:t>
      </w:r>
      <w:r>
        <w:t>. Por diligencia de ordenación de 30 de octubre de 2023, del secretario de justicia de la Sección Cuarta de este tribunal, de conformidad con el art. 49.4 LOTC, se concedía un plazo de diez días hábiles a la representación de la parte para que aportara debidamente cumplimentado el formulario de extracto de la demanda regulado en el acuerdo del Pleno del Tribunal Constitucional de 15 de marzo de 2023 (“BOE” de 23 de marzo de 2023). Tal requerimiento fue atendido por el recurrente mediante escrito registrado en este tribunal el 15 de noviembre de 2023.</w:t>
      </w:r>
    </w:p>
    <w:p w14:paraId="5785C754" w14:textId="77777777" w:rsidR="00576A90" w:rsidRDefault="00576A90" w:rsidP="00576A90">
      <w:pPr>
        <w:pStyle w:val="TextoNormal"/>
      </w:pPr>
    </w:p>
    <w:p w14:paraId="31C682E2" w14:textId="09748FE2" w:rsidR="00576A90" w:rsidRDefault="00576A90" w:rsidP="00576A90">
      <w:pPr>
        <w:pStyle w:val="TextoNormal"/>
      </w:pPr>
      <w:r w:rsidRPr="00576A90">
        <w:rPr>
          <w:rStyle w:val="NumeroAFNegritaCaracter"/>
        </w:rPr>
        <w:t>11</w:t>
      </w:r>
      <w:r>
        <w:t>. Mediante providencia de 10 de enero de 2024, la Sección Cuarta de este tribunal acordó no admitir a trámite el recurso de amparo con arreglo a lo previsto en el art. 50.1 a) LOTC, en relación con su art. 44.2, toda vez que el recurso había sido presentado fuera de plazo.</w:t>
      </w:r>
    </w:p>
    <w:p w14:paraId="117C9E7D" w14:textId="77777777" w:rsidR="00576A90" w:rsidRDefault="00576A90" w:rsidP="00576A90">
      <w:pPr>
        <w:pStyle w:val="TextoNormal"/>
      </w:pPr>
    </w:p>
    <w:p w14:paraId="40CA3357" w14:textId="7A28C791" w:rsidR="00576A90" w:rsidRDefault="00576A90" w:rsidP="00576A90">
      <w:pPr>
        <w:pStyle w:val="TextoNormal"/>
      </w:pPr>
      <w:r w:rsidRPr="00576A90">
        <w:rPr>
          <w:rStyle w:val="NumeroAFNegritaCaracter"/>
        </w:rPr>
        <w:t>12</w:t>
      </w:r>
      <w:r>
        <w:t xml:space="preserve">. Mediante escrito registrado el 6 de febrero de 2024, el Ministerio Fiscal interpuso recurso de súplica </w:t>
      </w:r>
      <w:r w:rsidRPr="00576A90">
        <w:rPr>
          <w:i/>
        </w:rPr>
        <w:t>ex</w:t>
      </w:r>
      <w:r>
        <w:t xml:space="preserve"> art. 50.3 LOTC contra la providencia de 10 de enero de 2024. Expone que, sin perjuicio de la posible presencia de otras causas de inadmisión en el recurso de amparo, habiendo sido notificada la resolución recurrida en amparo —el auto dictado por la Sección Tercera de la Audiencia Provincial de Sevilla en el recurso de apelación núm. 3191-2023, de 12 de abril de 2023— el día 14 de abril de 2023, el plazo para entablar el recurso de amparo habría de finalizar a las 15:00 horas del día 1 de junio de 2023, de modo que habiéndose entablado la demanda el día 4 de mayo de 2023, resulta evidente que el recurso de amparo fue interpuesto dentro del plazo legalmente establecido para ello.</w:t>
      </w:r>
    </w:p>
    <w:p w14:paraId="1B5D45AA" w14:textId="77777777" w:rsidR="00576A90" w:rsidRDefault="00576A90" w:rsidP="00576A90">
      <w:pPr>
        <w:pStyle w:val="TextoNormal"/>
      </w:pPr>
    </w:p>
    <w:p w14:paraId="77B9DF5A" w14:textId="7B98E571" w:rsidR="00576A90" w:rsidRDefault="00576A90" w:rsidP="00576A90">
      <w:pPr>
        <w:pStyle w:val="TextoNormal"/>
      </w:pPr>
      <w:r w:rsidRPr="00576A90">
        <w:rPr>
          <w:rStyle w:val="NumeroAFNegritaCaracter"/>
        </w:rPr>
        <w:t>13</w:t>
      </w:r>
      <w:r>
        <w:t>. Mediante diligencia de ordenación del secretario de justicia de la Sección Cuarta de 7 de febrero de 2024, se tuvo por recibido escrito del Ministerio Fiscal y se acordó dar traslado del recurso de súplica a la representación del demandante de amparo y concederle un plazo de tres días a fin de que alegase lo que estimara pertinente al respecto.</w:t>
      </w:r>
    </w:p>
    <w:p w14:paraId="2D2E53B4" w14:textId="77777777" w:rsidR="00576A90" w:rsidRDefault="00576A90" w:rsidP="00576A90">
      <w:pPr>
        <w:pStyle w:val="TextoNormal"/>
      </w:pPr>
    </w:p>
    <w:p w14:paraId="7AED21F5" w14:textId="10059C02" w:rsidR="00576A90" w:rsidRDefault="00576A90" w:rsidP="00576A90">
      <w:pPr>
        <w:pStyle w:val="TextoNormal"/>
      </w:pPr>
      <w:r w:rsidRPr="00576A90">
        <w:rPr>
          <w:rStyle w:val="NumeroAFNegritaCaracter"/>
        </w:rPr>
        <w:t>14</w:t>
      </w:r>
      <w:r>
        <w:t>. La parte recurrente formuló alegaciones mediante escrito registrado el 14 de febrero de 2024, en el que muestra su conformidad con el criterio del Ministerio Fiscal e interesa que se admita a trámite el recurso de súplica y se sustancie conforme al procedimiento legalmente establecido.</w:t>
      </w:r>
    </w:p>
    <w:p w14:paraId="7C40F774" w14:textId="77777777" w:rsidR="00576A90" w:rsidRDefault="00576A90" w:rsidP="00576A90">
      <w:pPr>
        <w:pStyle w:val="TextoNormal"/>
      </w:pPr>
    </w:p>
    <w:p w14:paraId="4BB8E316" w14:textId="77777777" w:rsidR="00576A90" w:rsidRDefault="00576A90" w:rsidP="00576A90">
      <w:pPr>
        <w:pStyle w:val="TextoNormalNegritaCentrado"/>
        <w:keepNext/>
      </w:pPr>
      <w:r>
        <w:t>II. Fundamentos jurídicos</w:t>
      </w:r>
    </w:p>
    <w:p w14:paraId="431B6C99" w14:textId="0E220F7D" w:rsidR="00576A90" w:rsidRDefault="00576A90" w:rsidP="00576A90">
      <w:pPr>
        <w:pStyle w:val="TextoNormalNegritaCentrado"/>
        <w:keepNext/>
      </w:pPr>
    </w:p>
    <w:p w14:paraId="38A489E3" w14:textId="77777777" w:rsidR="00576A90" w:rsidRDefault="00576A90" w:rsidP="00576A90">
      <w:pPr>
        <w:pStyle w:val="TextoNormal"/>
      </w:pPr>
      <w:r w:rsidRPr="00576A90">
        <w:rPr>
          <w:rStyle w:val="TextoNormalNegritaCaracter"/>
        </w:rPr>
        <w:t xml:space="preserve">Único. </w:t>
      </w:r>
      <w:r w:rsidRPr="00576A90">
        <w:rPr>
          <w:i/>
        </w:rPr>
        <w:t>Desestimación del recurso de súplica</w:t>
      </w:r>
    </w:p>
    <w:p w14:paraId="16A498D3" w14:textId="77777777" w:rsidR="00576A90" w:rsidRDefault="00576A90" w:rsidP="00576A90">
      <w:pPr>
        <w:pStyle w:val="TextoNormal"/>
      </w:pPr>
    </w:p>
    <w:p w14:paraId="72290E9A" w14:textId="77777777" w:rsidR="00576A90" w:rsidRDefault="00576A90" w:rsidP="00576A90">
      <w:pPr>
        <w:pStyle w:val="TextoNormal"/>
      </w:pPr>
      <w:r>
        <w:t>El fiscal ante el Tribunal Constitucional ha interpuesto recurso de súplica frente a la providencia de la Sección Cuarta de 10 de enero de 2024, que acordó no admitir a trámite el recurso de amparo núm. 2930-2023 con arreglo a lo previsto en el art. 50.1 a) LOTC, en relación con su art. 44.2, toda vez que el recurso había sido presentado fuera de plazo.</w:t>
      </w:r>
    </w:p>
    <w:p w14:paraId="3461B4DE" w14:textId="77777777" w:rsidR="00576A90" w:rsidRDefault="00576A90" w:rsidP="00576A90">
      <w:pPr>
        <w:pStyle w:val="TextoNormal"/>
      </w:pPr>
    </w:p>
    <w:p w14:paraId="743BC851" w14:textId="77777777" w:rsidR="00576A90" w:rsidRDefault="00576A90" w:rsidP="00576A90">
      <w:pPr>
        <w:pStyle w:val="TextoNormal"/>
      </w:pPr>
      <w:r>
        <w:t>El recurso de súplica ha de ser desestimado. Como se señala en los antecedentes, en contra de lo alegado por el Ministerio Fiscal, la demanda de amparo no fue presentada el día 4 de mayo de 2023, sino el 27 de octubre de 2023. El día 4 de mayo, el recurrente cumplimentó el formulario que se encuentra en la sede electrónica de este tribunal, introducido por acuerdo de 15 de marzo de 2023, del Pleno del Tribunal Constitucional, publicado en el “BOE” el 23 de marzo de 2023. Sin embargo, la presentación de dicho formulario no equivale a la presentación de la demanda de amparo.</w:t>
      </w:r>
    </w:p>
    <w:p w14:paraId="4875FAD3" w14:textId="77777777" w:rsidR="00576A90" w:rsidRDefault="00576A90" w:rsidP="00576A90">
      <w:pPr>
        <w:pStyle w:val="TextoNormal"/>
      </w:pPr>
    </w:p>
    <w:p w14:paraId="62F2E72C" w14:textId="77777777" w:rsidR="00576A90" w:rsidRDefault="00576A90" w:rsidP="00576A90">
      <w:pPr>
        <w:pStyle w:val="TextoNormal"/>
      </w:pPr>
      <w:r>
        <w:t>El art. 49 LOTC establece lo siguiente:</w:t>
      </w:r>
    </w:p>
    <w:p w14:paraId="328CB918" w14:textId="77777777" w:rsidR="00576A90" w:rsidRDefault="00576A90" w:rsidP="00576A90">
      <w:pPr>
        <w:pStyle w:val="TextoNormal"/>
      </w:pPr>
    </w:p>
    <w:p w14:paraId="1E190430" w14:textId="77777777" w:rsidR="00576A90" w:rsidRDefault="00576A90" w:rsidP="00576A90">
      <w:pPr>
        <w:pStyle w:val="TextoNormal"/>
      </w:pPr>
      <w:r>
        <w:t>“1. El recurso de amparo constitucional se iniciará mediante demanda en la que se expondrán con claridad y concisión los hechos que la fundamenten, se citarán los preceptos constitucionales que se estimen infringidos y se fijará con precisión el amparo que se solicita para preservar o restablecer el derecho o libertad que se considere vulnerado. En todo caso, la demanda justificará la especial trascendencia constitucional del recurso.</w:t>
      </w:r>
    </w:p>
    <w:p w14:paraId="7C104CB6" w14:textId="77777777" w:rsidR="00576A90" w:rsidRDefault="00576A90" w:rsidP="00576A90">
      <w:pPr>
        <w:pStyle w:val="TextoNormal"/>
      </w:pPr>
    </w:p>
    <w:p w14:paraId="147F9E26" w14:textId="77777777" w:rsidR="00576A90" w:rsidRDefault="00576A90" w:rsidP="00576A90">
      <w:pPr>
        <w:pStyle w:val="TextoNormal"/>
      </w:pPr>
      <w:r>
        <w:t>2. Con la demanda se acompañarán:</w:t>
      </w:r>
    </w:p>
    <w:p w14:paraId="5D0AC16C" w14:textId="77777777" w:rsidR="00576A90" w:rsidRDefault="00576A90" w:rsidP="00576A90">
      <w:pPr>
        <w:pStyle w:val="TextoNormal"/>
      </w:pPr>
    </w:p>
    <w:p w14:paraId="6081BE8D" w14:textId="77777777" w:rsidR="00576A90" w:rsidRDefault="00576A90" w:rsidP="00576A90">
      <w:pPr>
        <w:pStyle w:val="TextoNormal"/>
      </w:pPr>
      <w:r>
        <w:t>a) El documento que acredite la representación del solicitante del amparo.</w:t>
      </w:r>
    </w:p>
    <w:p w14:paraId="54C1BDFB" w14:textId="77777777" w:rsidR="00576A90" w:rsidRDefault="00576A90" w:rsidP="00576A90">
      <w:pPr>
        <w:pStyle w:val="TextoNormal"/>
      </w:pPr>
    </w:p>
    <w:p w14:paraId="13684432" w14:textId="77777777" w:rsidR="00576A90" w:rsidRDefault="00576A90" w:rsidP="00576A90">
      <w:pPr>
        <w:pStyle w:val="TextoNormal"/>
      </w:pPr>
      <w:r>
        <w:t>b) En su caso, la copia, traslado o certificación de la resolución recaída en el procedimiento judicial o administrativo.</w:t>
      </w:r>
    </w:p>
    <w:p w14:paraId="679E2A89" w14:textId="77777777" w:rsidR="00576A90" w:rsidRDefault="00576A90" w:rsidP="00576A90">
      <w:pPr>
        <w:pStyle w:val="TextoNormal"/>
      </w:pPr>
    </w:p>
    <w:p w14:paraId="441D204F" w14:textId="77777777" w:rsidR="00576A90" w:rsidRDefault="00576A90" w:rsidP="00576A90">
      <w:pPr>
        <w:pStyle w:val="TextoNormal"/>
      </w:pPr>
      <w:r>
        <w:t>3. A la demanda se acompañarán también tantas copias literales de la misma y de los documentos presentados como partes en el previo proceso, si lo hubiere, y una más para el Ministerio Fiscal.</w:t>
      </w:r>
    </w:p>
    <w:p w14:paraId="79446977" w14:textId="77777777" w:rsidR="00576A90" w:rsidRDefault="00576A90" w:rsidP="00576A90">
      <w:pPr>
        <w:pStyle w:val="TextoNormal"/>
      </w:pPr>
    </w:p>
    <w:p w14:paraId="6C098E2F" w14:textId="77777777" w:rsidR="00576A90" w:rsidRDefault="00576A90" w:rsidP="00576A90">
      <w:pPr>
        <w:pStyle w:val="TextoNormal"/>
      </w:pPr>
      <w:r>
        <w:lastRenderedPageBreak/>
        <w:t>4. De incumplirse cualquiera de los requisitos establecidos en los apartados que anteceden, las Secretarías de Justicia lo pondrán de manifiesto al interesado en el plazo de diez días, con el apercibimiento de que, de no subsanarse el defecto, se acordará la inadmisión del recurso”.</w:t>
      </w:r>
    </w:p>
    <w:p w14:paraId="39336DC6" w14:textId="77777777" w:rsidR="00576A90" w:rsidRDefault="00576A90" w:rsidP="00576A90">
      <w:pPr>
        <w:pStyle w:val="TextoNormal"/>
      </w:pPr>
    </w:p>
    <w:p w14:paraId="6EBBB415" w14:textId="77777777" w:rsidR="00576A90" w:rsidRDefault="00576A90" w:rsidP="00576A90">
      <w:pPr>
        <w:pStyle w:val="TextoNormal"/>
      </w:pPr>
      <w:r>
        <w:t>En virtud de este artículo y su contenido, el secretario de justicia de la Sección Cuarta de este tribunal, por diligencia de ordenación de 8 de mayo de 2023, examinado el escrito del recurrente, en el que manifestaba su voluntad de interponer recurso de amparo, se dirigió a él para que indicarle que, de acuerdo con el artículo 49 LOTC trascrito, debía cumplimentar necesariamente una serie de requisitos, entre ellos presentar una demanda, contar con la debida representación jurídica —tal y como prevé el art. 81 LOTC— y registrar la documentación oportuna, para entender que el recurso de amparo había sido efectivamente interpuesto. Todo este proceso finalizó con la presentación en la sede electrónica del Tribunal el 27 de octubre de 2023 de la demanda de amparo por la representación de la parte, junto con el formulario, y demás documentación.</w:t>
      </w:r>
    </w:p>
    <w:p w14:paraId="264E07D1" w14:textId="77777777" w:rsidR="00576A90" w:rsidRDefault="00576A90" w:rsidP="00576A90">
      <w:pPr>
        <w:pStyle w:val="TextoNormal"/>
      </w:pPr>
    </w:p>
    <w:p w14:paraId="351483ED" w14:textId="7593CA27" w:rsidR="00576A90" w:rsidRDefault="00576A90" w:rsidP="00576A90">
      <w:pPr>
        <w:pStyle w:val="TextoNormal"/>
      </w:pPr>
      <w:r>
        <w:t>Así, el recurso se formalizó el 27 de octubre de 2023, a las 12:09 horas, fuera del plazo legal de treinta días hábiles (art. 44.2 LOTC), concedido por la diligencia de ordenación del secretario de Justicia de la Sección Cuarta de la Sala Segunda de este tribunal de 8 de setiembre de 2023. Según el art. 80 LOTC en cuestión de plazos es de aplicación supletoria la Ley de enjuiciamiento civil (LEC) y, en este caso, los arts. 151.2 y 135 LEC. De lo que resulta que la diligencia de ordenación del secretario de justicia fue enviada el día 8 de septiembre de 2023, el procurador la recibió el 11 de septiembre de 2023, a las 12:19 horas, con efectos a 12 de septiembre de 2023 (art. 151.2 LEC), según el registro de notificaciones, con lo que el plazo finalizaba el 26 de octubre de 2023 a las 15:00 horas (art. 135.5 LEC).</w:t>
      </w:r>
    </w:p>
    <w:p w14:paraId="60D01904" w14:textId="77777777" w:rsidR="00576A90" w:rsidRDefault="00576A90" w:rsidP="00576A90">
      <w:pPr>
        <w:pStyle w:val="TextoNormal"/>
      </w:pPr>
    </w:p>
    <w:p w14:paraId="52D43D15" w14:textId="77777777" w:rsidR="00576A90" w:rsidRDefault="00576A90" w:rsidP="00576A90">
      <w:pPr>
        <w:pStyle w:val="TextoNormal"/>
      </w:pPr>
      <w:r>
        <w:t>Por lo expuesto, la Sección</w:t>
      </w:r>
    </w:p>
    <w:p w14:paraId="3BC88CB4" w14:textId="17CA9C20" w:rsidR="00576A90" w:rsidRDefault="00576A90" w:rsidP="00576A90">
      <w:pPr>
        <w:pStyle w:val="TextoNormal"/>
      </w:pPr>
    </w:p>
    <w:p w14:paraId="258682DB" w14:textId="77777777" w:rsidR="00576A90" w:rsidRDefault="00576A90" w:rsidP="00576A90">
      <w:pPr>
        <w:pStyle w:val="TextoNormalCentrado"/>
      </w:pPr>
      <w:r>
        <w:t>ACUERDA</w:t>
      </w:r>
    </w:p>
    <w:p w14:paraId="33ECDD7C" w14:textId="20F9AD9F" w:rsidR="00576A90" w:rsidRDefault="00576A90" w:rsidP="00576A90">
      <w:pPr>
        <w:pStyle w:val="TextoNormalCentrado"/>
      </w:pPr>
    </w:p>
    <w:p w14:paraId="282617FB" w14:textId="5872AF41" w:rsidR="00576A90" w:rsidRDefault="00576A90" w:rsidP="00576A90">
      <w:pPr>
        <w:pStyle w:val="TextoNormal"/>
      </w:pPr>
      <w:r>
        <w:t>Desestimar el recurso de súplica interpuesto por el Ministerio Fiscal.</w:t>
      </w:r>
    </w:p>
    <w:p w14:paraId="7DE3F450" w14:textId="77777777" w:rsidR="00576A90" w:rsidRDefault="00576A90" w:rsidP="00576A90">
      <w:pPr>
        <w:pStyle w:val="TextoNormal"/>
      </w:pPr>
    </w:p>
    <w:p w14:paraId="69302329" w14:textId="77777777" w:rsidR="00576A90" w:rsidRDefault="00576A90" w:rsidP="00576A90">
      <w:pPr>
        <w:pStyle w:val="TextoNormal"/>
      </w:pPr>
      <w:r>
        <w:t>Madrid, a seis de mayo de dos mil veinticuatro.</w:t>
      </w:r>
    </w:p>
    <w:p w14:paraId="052B6802" w14:textId="6D41D516" w:rsidR="00576A90" w:rsidRDefault="00576A90">
      <w:pPr>
        <w:spacing w:after="160" w:line="259" w:lineRule="auto"/>
        <w:rPr>
          <w:rFonts w:ascii="Times New Roman" w:eastAsia="Times New Roman" w:hAnsi="Times New Roman" w:cs="Times New Roman"/>
          <w:sz w:val="24"/>
          <w:szCs w:val="24"/>
          <w:lang w:eastAsia="es-ES"/>
        </w:rPr>
      </w:pPr>
      <w:r>
        <w:br w:type="page"/>
      </w:r>
    </w:p>
    <w:p w14:paraId="0706673D" w14:textId="77777777" w:rsidR="00576A90" w:rsidRDefault="00576A90" w:rsidP="00576A90">
      <w:pPr>
        <w:pStyle w:val="TtuloResolucin"/>
      </w:pPr>
      <w:bookmarkStart w:id="135" w:name="AUTO_2024_40"/>
      <w:r>
        <w:lastRenderedPageBreak/>
        <w:t>AUTO 40/2024, de 6 de mayo de 2024</w:t>
      </w:r>
    </w:p>
    <w:bookmarkEnd w:id="135"/>
    <w:p w14:paraId="0A725A43" w14:textId="77777777" w:rsidR="00576A90" w:rsidRDefault="00576A90" w:rsidP="00576A90">
      <w:pPr>
        <w:pStyle w:val="TtuloResolucin"/>
      </w:pPr>
      <w:r>
        <w:t>Sala Segunda</w:t>
      </w:r>
    </w:p>
    <w:p w14:paraId="2EAB3ACB" w14:textId="77777777" w:rsidR="00576A90" w:rsidRDefault="00576A90" w:rsidP="00576A90">
      <w:pPr>
        <w:pStyle w:val="TextoNormalCentrado"/>
      </w:pPr>
      <w:r>
        <w:t>ECLI:ES:TC:2024:40A</w:t>
      </w:r>
    </w:p>
    <w:p w14:paraId="192A716D" w14:textId="0C4E309A" w:rsidR="00576A90" w:rsidRDefault="00576A90" w:rsidP="00576A90">
      <w:pPr>
        <w:pStyle w:val="TextoNormalCentrado"/>
      </w:pPr>
    </w:p>
    <w:p w14:paraId="5BED9926" w14:textId="77777777" w:rsidR="00576A90" w:rsidRDefault="00576A90" w:rsidP="00576A90">
      <w:pPr>
        <w:pStyle w:val="SntesisDescriptiva"/>
      </w:pPr>
      <w:r>
        <w:t>Excms. Srs. doña Inmaculada Montalbán Huertas, doña María Luisa Balaguer Callejón, don Ramón Sáez Valcárcel, don Enrique Arnaldo Alcubilla, don César Tolosa Tribiño y doña Laura Díez Bueso.</w:t>
      </w:r>
    </w:p>
    <w:p w14:paraId="0B349D38" w14:textId="7C802A8F" w:rsidR="00576A90" w:rsidRDefault="00576A90" w:rsidP="00576A90">
      <w:pPr>
        <w:pStyle w:val="SntesisDescriptiva"/>
      </w:pPr>
    </w:p>
    <w:p w14:paraId="31CFE687" w14:textId="77777777" w:rsidR="00576A90" w:rsidRDefault="00576A90" w:rsidP="00576A90">
      <w:pPr>
        <w:pStyle w:val="SntesisDescriptiva"/>
      </w:pPr>
      <w:r>
        <w:t>Acuerda la suspensión parcial en el recurso de amparo 4668-2023, promovido por doña Ana Taboada Coma en pleito civil.</w:t>
      </w:r>
    </w:p>
    <w:p w14:paraId="1CBE8955" w14:textId="54A750B4" w:rsidR="00576A90" w:rsidRDefault="00576A90" w:rsidP="00576A90">
      <w:pPr>
        <w:pStyle w:val="SntesisDescriptiva"/>
      </w:pPr>
    </w:p>
    <w:p w14:paraId="10EFB864" w14:textId="77777777" w:rsidR="00576A90" w:rsidRDefault="00576A90" w:rsidP="00576A90">
      <w:pPr>
        <w:pStyle w:val="SntesisDescriptiva"/>
      </w:pPr>
    </w:p>
    <w:p w14:paraId="1FFE931B" w14:textId="77777777" w:rsidR="00576A90" w:rsidRDefault="00576A90" w:rsidP="00576A90">
      <w:pPr>
        <w:pStyle w:val="SntesisDescriptiva"/>
      </w:pPr>
    </w:p>
    <w:p w14:paraId="7473CB74" w14:textId="77777777" w:rsidR="00576A90" w:rsidRDefault="00576A90" w:rsidP="00576A90">
      <w:pPr>
        <w:pStyle w:val="TextoNormalNegritaCentrado"/>
      </w:pPr>
      <w:r>
        <w:t>AUTO</w:t>
      </w:r>
    </w:p>
    <w:p w14:paraId="7DFCF3A1" w14:textId="6C1B7566" w:rsidR="00576A90" w:rsidRDefault="00576A90" w:rsidP="00576A90">
      <w:pPr>
        <w:pStyle w:val="TextoNormalNegritaCentrado"/>
      </w:pPr>
    </w:p>
    <w:p w14:paraId="4C149C71" w14:textId="77777777" w:rsidR="00576A90" w:rsidRDefault="00576A90" w:rsidP="00576A90">
      <w:pPr>
        <w:pStyle w:val="TextoNormalNegritaCentrado"/>
        <w:keepNext/>
      </w:pPr>
      <w:r>
        <w:t>I. Antecedentes</w:t>
      </w:r>
    </w:p>
    <w:p w14:paraId="3E1D2C94" w14:textId="00440230" w:rsidR="00576A90" w:rsidRDefault="00576A90" w:rsidP="00576A90">
      <w:pPr>
        <w:pStyle w:val="TextoNormalNegritaCentrado"/>
        <w:keepNext/>
      </w:pPr>
    </w:p>
    <w:p w14:paraId="74A15B52" w14:textId="77777777" w:rsidR="00576A90" w:rsidRDefault="00576A90" w:rsidP="00576A90">
      <w:pPr>
        <w:pStyle w:val="TextoNormal"/>
      </w:pPr>
      <w:r w:rsidRPr="00576A90">
        <w:rPr>
          <w:rStyle w:val="NumeroAFNegritaCaracter"/>
        </w:rPr>
        <w:t>1</w:t>
      </w:r>
      <w:r>
        <w:t>. Doña Ana Taboada Coma, representada por la procuradora de los tribunales doña Isabel Afonso Rodríguez, presentó el 5 de julio de 2023 en el registro de este tribunal demanda de amparo contra la sentencia de la Sala de lo Civil del Tribunal Supremo de 22 de mayo de 2023, que desestima el recurso de casación núm. 7533-2021, interpuesto frente a la sentencia dictada por la Sección Sexta de la Audiencia Provincial de Oviedo el 23 de julio de 2021, que desestima a su vez el recurso de apelación núm. 273-2021, interpuesto contra la sentencia dictada el 5 de marzo de 2021 por el Juzgado de Primera Instancia núm. 5 de Oviedo en el procedimiento ordinario núm. 135-2020, sobre derecho al honor.</w:t>
      </w:r>
    </w:p>
    <w:p w14:paraId="4C2BF930" w14:textId="77777777" w:rsidR="00576A90" w:rsidRDefault="00576A90" w:rsidP="00576A90">
      <w:pPr>
        <w:pStyle w:val="TextoNormal"/>
      </w:pPr>
    </w:p>
    <w:p w14:paraId="256DD992" w14:textId="1ECBB384" w:rsidR="00576A90" w:rsidRDefault="00576A90" w:rsidP="00576A90">
      <w:pPr>
        <w:pStyle w:val="TextoNormal"/>
      </w:pPr>
      <w:r>
        <w:t>La sentencia de primera instancia, confirmada en apelación y casación, estimó en parte la demanda formulada por don Agustín Iglesias Caunedo contra la ahora recurrente en amparo y la agrupación política “Somos Oviedo”, declarando que los demandados han llevado a cabo una intromisión ilegítima en el derecho al honor del actor y condenándoles a publicar a su costa el fallo de la sentencia, en los mismos medios utilizados para vulnerar el honor del actor (Radio Televisión del Principado de Asturias y la red social Twitter), al cese inmediato de la intromisión y a satisfacer a este la suma de 3000 €, junto con el interés correspondiente, en concepto de indemnización por los daños y perjuicios ocasionados.</w:t>
      </w:r>
    </w:p>
    <w:p w14:paraId="6961A3AE" w14:textId="77777777" w:rsidR="00576A90" w:rsidRDefault="00576A90" w:rsidP="00576A90">
      <w:pPr>
        <w:pStyle w:val="TextoNormal"/>
      </w:pPr>
    </w:p>
    <w:p w14:paraId="09E9CFEE" w14:textId="77777777" w:rsidR="00576A90" w:rsidRDefault="00576A90" w:rsidP="00576A90">
      <w:pPr>
        <w:pStyle w:val="TextoNormal"/>
      </w:pPr>
      <w:r w:rsidRPr="00576A90">
        <w:rPr>
          <w:rStyle w:val="NumeroAFNegritaCaracter"/>
        </w:rPr>
        <w:t>2</w:t>
      </w:r>
      <w:r>
        <w:t>. En la demanda de amparo se denuncia que las sentencias impugnadas han vulnerado el derecho de la recurrente a expresar y difundir libremente los pensamientos, ideas y opiniones mediante la palabra, el escrito o cualquier otro medio de reproducción [art. 20.1 d) CE], por lo que se solicita que se declare la nulidad de esas sentencias.</w:t>
      </w:r>
    </w:p>
    <w:p w14:paraId="027B2768" w14:textId="77777777" w:rsidR="00576A90" w:rsidRDefault="00576A90" w:rsidP="00576A90">
      <w:pPr>
        <w:pStyle w:val="TextoNormal"/>
      </w:pPr>
    </w:p>
    <w:p w14:paraId="3018D01E" w14:textId="10E6DC75" w:rsidR="00576A90" w:rsidRDefault="00576A90" w:rsidP="00576A90">
      <w:pPr>
        <w:pStyle w:val="TextoNormal"/>
      </w:pPr>
      <w:r>
        <w:t>Por otrosí, de acuerdo con lo previsto en el art. 56.2 de la Ley Orgánica del Tribunal Constitucional (LOTC), la recurrente solicita la suspensión de la ejecución de los pronunciamientos condenatorios de la sentencia de primera instancia, confirmada en apelación y casación, referidos a la obligación de publicar a su costa el fallo de esa sentencia en Radio Televisión del Principado de Asturias y en su perfil de la red social Twitter (actualmente “X”), a fin de evitar el perjuicio irreparable que esa publicación acarrearía para la credibilidad de la recurrente, de suerte que haría perder su finalidad al recurso de amparo.</w:t>
      </w:r>
    </w:p>
    <w:p w14:paraId="4B0080F8" w14:textId="77777777" w:rsidR="00576A90" w:rsidRDefault="00576A90" w:rsidP="00576A90">
      <w:pPr>
        <w:pStyle w:val="TextoNormal"/>
      </w:pPr>
    </w:p>
    <w:p w14:paraId="2A19E05A" w14:textId="2355CC65" w:rsidR="00576A90" w:rsidRDefault="00576A90" w:rsidP="00576A90">
      <w:pPr>
        <w:pStyle w:val="TextoNormal"/>
      </w:pPr>
      <w:r w:rsidRPr="00576A90">
        <w:rPr>
          <w:rStyle w:val="NumeroAFNegritaCaracter"/>
        </w:rPr>
        <w:t>3</w:t>
      </w:r>
      <w:r>
        <w:t>. Por providencia de 26 de febrero de 2024 de la Sección Cuarta de este tribunal se acordó la admisión a trámite del recurso de amparo, al apreciar que concurre en el mismo una especial transcendencia constitucional (art. 50.1 LOTC), porque el recurso puede dar ocasión al Tribunal para aclarar o cambiar su doctrina, como consecuencia de un proceso de reflexión interna [STC 155/2009, de 25 de junio, FJ 2 b)].</w:t>
      </w:r>
    </w:p>
    <w:p w14:paraId="622C136D" w14:textId="77777777" w:rsidR="00576A90" w:rsidRDefault="00576A90" w:rsidP="00576A90">
      <w:pPr>
        <w:pStyle w:val="TextoNormal"/>
      </w:pPr>
    </w:p>
    <w:p w14:paraId="183936FF" w14:textId="18A8001B" w:rsidR="00576A90" w:rsidRDefault="00576A90" w:rsidP="00576A90">
      <w:pPr>
        <w:pStyle w:val="TextoNormal"/>
      </w:pPr>
      <w:r w:rsidRPr="00576A90">
        <w:rPr>
          <w:rStyle w:val="NumeroAFNegritaCaracter"/>
        </w:rPr>
        <w:t>4</w:t>
      </w:r>
      <w:r>
        <w:t>. Mediante otra providencia de la misma fecha se acordó formar la correspondiente pieza separada de suspensión y, de conformidad con lo previsto en el art. 56 LOTC, conceder un plazo común de tres días al Ministerio Fiscal y a la recurrente en amparo para que alegaran lo que estimaran pertinente en relación con la petición de suspensión interesada.</w:t>
      </w:r>
    </w:p>
    <w:p w14:paraId="5024688E" w14:textId="77777777" w:rsidR="00576A90" w:rsidRDefault="00576A90" w:rsidP="00576A90">
      <w:pPr>
        <w:pStyle w:val="TextoNormal"/>
      </w:pPr>
    </w:p>
    <w:p w14:paraId="6B84E863" w14:textId="39092432" w:rsidR="00576A90" w:rsidRDefault="00576A90" w:rsidP="00576A90">
      <w:pPr>
        <w:pStyle w:val="TextoNormal"/>
      </w:pPr>
      <w:r w:rsidRPr="00576A90">
        <w:rPr>
          <w:rStyle w:val="NumeroAFNegritaCaracter"/>
        </w:rPr>
        <w:t>5</w:t>
      </w:r>
      <w:r>
        <w:t>. La representación de la recurrente, mediante escrito presentado el 4 de marzo de 2024, reiteró su petición de que este tribunal proceda a suspender la ejecución de los pronunciamientos no dinerarios contenidos en el fallo de la sentencia dictada por el Juzgado de Primera Instancia núm. 5 de Oviedo en el procedimiento ordinario núm. 135-2020, reproduciendo en lo sustancial lo alegado al respecto en la demanda de amparo.</w:t>
      </w:r>
    </w:p>
    <w:p w14:paraId="59875C71" w14:textId="77777777" w:rsidR="00576A90" w:rsidRDefault="00576A90" w:rsidP="00576A90">
      <w:pPr>
        <w:pStyle w:val="TextoNormal"/>
      </w:pPr>
    </w:p>
    <w:p w14:paraId="3EB8C271" w14:textId="0D68707D" w:rsidR="00576A90" w:rsidRDefault="00576A90" w:rsidP="00576A90">
      <w:pPr>
        <w:pStyle w:val="TextoNormal"/>
      </w:pPr>
      <w:r w:rsidRPr="00576A90">
        <w:rPr>
          <w:rStyle w:val="NumeroAFNegritaCaracter"/>
        </w:rPr>
        <w:t>6</w:t>
      </w:r>
      <w:r>
        <w:t>. En su escrito de alegaciones, presentado el 13 de marzo de 2024, el Ministerio Fiscal, con cita de doctrina constitucional sobre la suspensión en los recursos de amparo, en particular de la dictada en relación con pronunciamientos relativos a la obligación de publicar el contenido de resoluciones judiciales en medios de comunicación (cita expresamente los AATC 288/2001, de 26 de noviembre, y 210/2008, de 7 de julio), se muestra favorable a que se conceda la suspensión solicitada, puesto que, de lo contrario, se podría causar a la recurrente un perjuicio que haría perder al recurso de amparo su finalidad, sin que la suspensión de la ejecución pueda entrañar una perturbación grave a un interés constitucionalmente protegido o a los derechos fundamentales o libertades públicas de un tercero.</w:t>
      </w:r>
    </w:p>
    <w:p w14:paraId="5435BE43" w14:textId="77777777" w:rsidR="00576A90" w:rsidRDefault="00576A90" w:rsidP="00576A90">
      <w:pPr>
        <w:pStyle w:val="TextoNormal"/>
      </w:pPr>
    </w:p>
    <w:p w14:paraId="41F3F0BF" w14:textId="77777777" w:rsidR="00576A90" w:rsidRDefault="00576A90" w:rsidP="00576A90">
      <w:pPr>
        <w:pStyle w:val="TextoNormalNegritaCentrado"/>
        <w:keepNext/>
      </w:pPr>
      <w:r>
        <w:t>II. Fundamentos jurídicos</w:t>
      </w:r>
    </w:p>
    <w:p w14:paraId="66B76CBE" w14:textId="25D39B27" w:rsidR="00576A90" w:rsidRDefault="00576A90" w:rsidP="00576A90">
      <w:pPr>
        <w:pStyle w:val="TextoNormalNegritaCentrado"/>
        <w:keepNext/>
      </w:pPr>
    </w:p>
    <w:p w14:paraId="3A4C4C8E" w14:textId="77777777" w:rsidR="00576A90" w:rsidRDefault="00576A90" w:rsidP="00576A90">
      <w:pPr>
        <w:pStyle w:val="TextoNormal"/>
      </w:pPr>
      <w:r w:rsidRPr="00576A90">
        <w:rPr>
          <w:rStyle w:val="NumeroAFNegritaCaracter"/>
        </w:rPr>
        <w:t>1</w:t>
      </w:r>
      <w:r>
        <w:t>. Dispone el art. 56.2 LOTC que la sala que conozca de un recurso de amparo únicamente suspenderá la ejecución del acto de los poderes públicos por razón del cual se reclame el amparo constitucional cuando la ejecución hubiere de ocasionar un perjuicio al recurrente que haría perder al amparo su finalidad; previéndose en el segundo inciso de este mismo precepto que la suspensión, no obstante, podrá denegarse cuando de aquella pueda seguirse perturbación grave a un interés constitucionalmente protegido, o de los derechos fundamentales o libertades públicas de un tercero.</w:t>
      </w:r>
    </w:p>
    <w:p w14:paraId="53562853" w14:textId="77777777" w:rsidR="00576A90" w:rsidRDefault="00576A90" w:rsidP="00576A90">
      <w:pPr>
        <w:pStyle w:val="TextoNormal"/>
      </w:pPr>
    </w:p>
    <w:p w14:paraId="2D947B2A" w14:textId="77777777" w:rsidR="00576A90" w:rsidRDefault="00576A90" w:rsidP="00576A90">
      <w:pPr>
        <w:pStyle w:val="TextoNormal"/>
      </w:pPr>
      <w:r>
        <w:t xml:space="preserve">Este tribunal viene recordando que el art. 56.1 LOTC establece como principio general que “la interposición del recurso de amparo no suspenderá los efectos del acto o sentencia impugnados”, lo cual es consecuencia de la presunción de legitimidad que alcanza a todas las actuaciones de los poderes públicos, y que es inherente a la entera actividad pública, ya sea legislativa, ejecutiva o judicial. Este carácter restrictivo de la suspensión deriva de la necesidad de preservar el interés general, de la garantía de la efectividad de las decisiones </w:t>
      </w:r>
      <w:r>
        <w:lastRenderedPageBreak/>
        <w:t>de los poderes públicos, y del aseguramiento de la ejecución de las resoluciones dictadas por jueces y tribunales, en el ejercicio de la potestad jurisdiccional que les confiere el art. 117.3 CE (en este sentido, entre otros muchos, se pronuncian los AATC 2/2001, de 15 de enero, FJ 1; 4/2006, de 16 de enero, FJ 1; 127/2010, de 4 de octubre, FJ 1, y 38/2018, de 22 de marzo, FJ 3, por todos).</w:t>
      </w:r>
    </w:p>
    <w:p w14:paraId="717CFE94" w14:textId="77777777" w:rsidR="00576A90" w:rsidRDefault="00576A90" w:rsidP="00576A90">
      <w:pPr>
        <w:pStyle w:val="TextoNormal"/>
      </w:pPr>
    </w:p>
    <w:p w14:paraId="57DA6042" w14:textId="47EDA617" w:rsidR="00576A90" w:rsidRDefault="00576A90" w:rsidP="00576A90">
      <w:pPr>
        <w:pStyle w:val="TextoNormal"/>
      </w:pPr>
      <w:r>
        <w:t>Por ello la adopción de la medida cautelar de suspensión resulta pertinente solo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en el caso de una sentencia estimatoria de este tribunal, sea tardío e impida definitivamente que la restauración sea efectiva (por todos, AATC 198/2006, de 19 de junio, FJ 1, y 138/2022, de 24 de octubre, FJ 1).</w:t>
      </w:r>
    </w:p>
    <w:p w14:paraId="23111A77" w14:textId="77777777" w:rsidR="00576A90" w:rsidRDefault="00576A90" w:rsidP="00576A90">
      <w:pPr>
        <w:pStyle w:val="TextoNormal"/>
      </w:pPr>
    </w:p>
    <w:p w14:paraId="11084124" w14:textId="54AF0868" w:rsidR="00576A90" w:rsidRDefault="00576A90" w:rsidP="00576A90">
      <w:pPr>
        <w:pStyle w:val="TextoNormal"/>
      </w:pPr>
      <w:r w:rsidRPr="00576A90">
        <w:rPr>
          <w:rStyle w:val="NumeroAFNegritaCaracter"/>
        </w:rPr>
        <w:t>2</w:t>
      </w:r>
      <w:r>
        <w:t>. En lo que al presente caso afecta, debe recordarse que hemos venido declarando que procede la suspensión de la obligación de publicar rectificaciones o el contenido de resoluciones judiciales en aquellos medios de comunicación en los que se publicó la noticia o la opinión que dio lugar al litigio del que trae causa el recurso de amparo, pues ello podría generar perjuicios irreparables, con lo que el amparo perdería su finalidad, a lo que se añade que la suspensión de la ejecución de la sentencia impugnada solo en ese extremo no afecta a los intereses generales y, si bien supone un aplazamiento de la satisfacción de los derechos de un tercero, no representa una desaparición ni una perturbación grave de los mismos, que quedan únicamente pendientes de resolución última de este Tribunal Constitucional (entre otros muchos, AATC 123/1996, de 20 de mayo, FJ 5; 211/1999, de 13 de septiembre, FJ 4; 288/2001, de 26 de noviembre, FJ, y 201/2008, de 7 de julio, FJ 2).</w:t>
      </w:r>
    </w:p>
    <w:p w14:paraId="5AD5459B" w14:textId="77777777" w:rsidR="00576A90" w:rsidRDefault="00576A90" w:rsidP="00576A90">
      <w:pPr>
        <w:pStyle w:val="TextoNormal"/>
      </w:pPr>
    </w:p>
    <w:p w14:paraId="142DA199" w14:textId="58151F82" w:rsidR="00576A90" w:rsidRDefault="00576A90" w:rsidP="00576A90">
      <w:pPr>
        <w:pStyle w:val="TextoNormal"/>
      </w:pPr>
      <w:r w:rsidRPr="00576A90">
        <w:rPr>
          <w:rStyle w:val="NumeroAFNegritaCaracter"/>
        </w:rPr>
        <w:t>3</w:t>
      </w:r>
      <w:r>
        <w:t>. En aplicación de la doctrina referida, procede acordar la suspensión interesada de la sentencia dictada el 5 de marzo de 2021 por el Juzgado de Primera Instancia núm. 5 de Oviedo en el procedimiento ordinario núm. 135-2020, en lo referente al pronunciamiento de condena a la recurrente en amparo de publicar a su costa el fallo de la sentencia, en los mismos medios que difundieron las manifestaciones de la recurrente consideradas en dicha resolución judicial, confirmada en apelación y casación lesivas del derecho al honor del actor (Radio Televisión del Principado de Asturias y red social Twitter, actualmente “X”), pues si tal publicación se llevase a cabo se ocasionaría un perjuicio que haría perder al amparo su finalidad en caso de que finalmente fuera otorgado por este tribunal, sin que se produzca por otra parte afectación grave de los intereses generales, sino únicamente el aplazamiento de la eventual satisfacción del derecho de un tercero, que quedará pendiente de la definitiva resolución del presente recurso de amparo.</w:t>
      </w:r>
    </w:p>
    <w:p w14:paraId="23073FCF" w14:textId="77777777" w:rsidR="00576A90" w:rsidRDefault="00576A90" w:rsidP="00576A90">
      <w:pPr>
        <w:pStyle w:val="TextoNormal"/>
      </w:pPr>
    </w:p>
    <w:p w14:paraId="72CF18F2" w14:textId="77777777" w:rsidR="00576A90" w:rsidRDefault="00576A90" w:rsidP="00576A90">
      <w:pPr>
        <w:pStyle w:val="TextoNormal"/>
      </w:pPr>
      <w:r>
        <w:t>Por lo expuesto, la Sala</w:t>
      </w:r>
    </w:p>
    <w:p w14:paraId="540A5C51" w14:textId="2C84842A" w:rsidR="00576A90" w:rsidRDefault="00576A90" w:rsidP="00576A90">
      <w:pPr>
        <w:pStyle w:val="TextoNormal"/>
      </w:pPr>
    </w:p>
    <w:p w14:paraId="26444B61" w14:textId="77777777" w:rsidR="00576A90" w:rsidRDefault="00576A90" w:rsidP="00576A90">
      <w:pPr>
        <w:pStyle w:val="TextoNormalCentrado"/>
      </w:pPr>
      <w:r>
        <w:t>ACUERDA</w:t>
      </w:r>
    </w:p>
    <w:p w14:paraId="28DF2C5F" w14:textId="14B60757" w:rsidR="00576A90" w:rsidRDefault="00576A90" w:rsidP="00576A90">
      <w:pPr>
        <w:pStyle w:val="TextoNormalCentrado"/>
      </w:pPr>
    </w:p>
    <w:p w14:paraId="7FD89F13" w14:textId="3989293E" w:rsidR="00576A90" w:rsidRDefault="00576A90" w:rsidP="00576A90">
      <w:pPr>
        <w:pStyle w:val="TextoNormal"/>
      </w:pPr>
      <w:r>
        <w:t>Suspender la ejecución de la sentencia dictada el 5 de marzo de 2021 por el Juzgado de Primera Instancia núm. 5 de Oviedo en el procedimiento ordinario núm. 135-2020, en lo que respecta a la publicación de su fallo en los mismos medios que difundieron las mani</w:t>
      </w:r>
      <w:r>
        <w:lastRenderedPageBreak/>
        <w:t>festaciones de la recurrente en amparo consideradas en dicha resolución judicial lesivas del derecho al honor.</w:t>
      </w:r>
    </w:p>
    <w:p w14:paraId="429F2484" w14:textId="77777777" w:rsidR="00576A90" w:rsidRDefault="00576A90" w:rsidP="00576A90">
      <w:pPr>
        <w:pStyle w:val="TextoNormal"/>
      </w:pPr>
    </w:p>
    <w:p w14:paraId="227BB7A6" w14:textId="77777777" w:rsidR="00576A90" w:rsidRDefault="00576A90" w:rsidP="00576A90">
      <w:pPr>
        <w:pStyle w:val="TextoNormal"/>
      </w:pPr>
      <w:r>
        <w:t>Madrid, a seis de mayo de dos mil veinticuatro.</w:t>
      </w:r>
    </w:p>
    <w:p w14:paraId="7DD280F9" w14:textId="0FAABE88" w:rsidR="00576A90" w:rsidRDefault="00576A90">
      <w:pPr>
        <w:spacing w:after="160" w:line="259" w:lineRule="auto"/>
        <w:rPr>
          <w:rFonts w:ascii="Times New Roman" w:eastAsia="Times New Roman" w:hAnsi="Times New Roman" w:cs="Times New Roman"/>
          <w:sz w:val="24"/>
          <w:szCs w:val="24"/>
          <w:lang w:eastAsia="es-ES"/>
        </w:rPr>
      </w:pPr>
      <w:r>
        <w:br w:type="page"/>
      </w:r>
    </w:p>
    <w:p w14:paraId="4EF4EFB9" w14:textId="77777777" w:rsidR="00576A90" w:rsidRDefault="00576A90" w:rsidP="00576A90">
      <w:pPr>
        <w:pStyle w:val="TtuloResolucin"/>
      </w:pPr>
      <w:bookmarkStart w:id="136" w:name="AUTO_2024_41"/>
      <w:r>
        <w:lastRenderedPageBreak/>
        <w:t>AUTO 41/2024, de 7 de mayo de 2024</w:t>
      </w:r>
    </w:p>
    <w:bookmarkEnd w:id="136"/>
    <w:p w14:paraId="48670B3C" w14:textId="77777777" w:rsidR="00576A90" w:rsidRDefault="00576A90" w:rsidP="00576A90">
      <w:pPr>
        <w:pStyle w:val="TtuloResolucin"/>
      </w:pPr>
      <w:r>
        <w:t>Pleno</w:t>
      </w:r>
    </w:p>
    <w:p w14:paraId="57EE9DED" w14:textId="77777777" w:rsidR="00576A90" w:rsidRDefault="00576A90" w:rsidP="00576A90">
      <w:pPr>
        <w:pStyle w:val="TextoNormalCentrado"/>
      </w:pPr>
      <w:r>
        <w:t>ECLI:ES:TC:2024:41A</w:t>
      </w:r>
    </w:p>
    <w:p w14:paraId="52696CD9" w14:textId="3181B44C" w:rsidR="00576A90" w:rsidRDefault="00576A90" w:rsidP="00576A90">
      <w:pPr>
        <w:pStyle w:val="TextoNormalCentrado"/>
      </w:pPr>
    </w:p>
    <w:p w14:paraId="5CA7D4A0" w14:textId="77777777" w:rsidR="00576A90" w:rsidRDefault="00576A90" w:rsidP="00576A90">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w:t>
      </w:r>
    </w:p>
    <w:p w14:paraId="657997FC" w14:textId="1B490DEC" w:rsidR="00576A90" w:rsidRDefault="00576A90" w:rsidP="00576A90">
      <w:pPr>
        <w:pStyle w:val="SntesisDescriptiva"/>
      </w:pPr>
    </w:p>
    <w:p w14:paraId="3D9D5226" w14:textId="77777777" w:rsidR="00576A90" w:rsidRDefault="00576A90" w:rsidP="00576A90">
      <w:pPr>
        <w:pStyle w:val="SntesisDescriptiva"/>
      </w:pPr>
      <w:r>
        <w:t>Inadmite a trámite la cuestión de inconstitucionalidad 7754-2023, planteada por la Sección Primera de la Sala de lo Contencioso-Administrativo del Tribunal Superior de Justicia de Illes Balears, en relación con el art. 2.2 c) de la Ley del Parlamento de las Illes Balears 8/2019, de 19 de febrero, de residuos y suelos contaminados de las Illes Balears.</w:t>
      </w:r>
    </w:p>
    <w:p w14:paraId="52C10F13" w14:textId="76D3FCFC" w:rsidR="00576A90" w:rsidRDefault="00576A90" w:rsidP="00576A90">
      <w:pPr>
        <w:pStyle w:val="SntesisDescriptiva"/>
      </w:pPr>
    </w:p>
    <w:p w14:paraId="634906FE" w14:textId="77777777" w:rsidR="00576A90" w:rsidRDefault="00576A90" w:rsidP="00576A90">
      <w:pPr>
        <w:pStyle w:val="SntesisDescriptiva"/>
      </w:pPr>
    </w:p>
    <w:p w14:paraId="683FE675" w14:textId="77777777" w:rsidR="00576A90" w:rsidRDefault="00576A90" w:rsidP="00576A90">
      <w:pPr>
        <w:pStyle w:val="SntesisDescriptiva"/>
      </w:pPr>
    </w:p>
    <w:p w14:paraId="1FC18D68" w14:textId="77777777" w:rsidR="00576A90" w:rsidRDefault="00576A90" w:rsidP="00576A90">
      <w:pPr>
        <w:pStyle w:val="TextoNormalNegritaCentrado"/>
      </w:pPr>
      <w:r>
        <w:t>AUTO</w:t>
      </w:r>
    </w:p>
    <w:p w14:paraId="39B6125F" w14:textId="18EB8E5F" w:rsidR="00576A90" w:rsidRDefault="00576A90" w:rsidP="00576A90">
      <w:pPr>
        <w:pStyle w:val="TextoNormalNegritaCentrado"/>
      </w:pPr>
    </w:p>
    <w:p w14:paraId="540DFD51" w14:textId="77777777" w:rsidR="00576A90" w:rsidRDefault="00576A90" w:rsidP="00576A90">
      <w:pPr>
        <w:pStyle w:val="TextoNormalNegritaCentrado"/>
        <w:keepNext/>
      </w:pPr>
      <w:r>
        <w:t>I. Antecedentes</w:t>
      </w:r>
    </w:p>
    <w:p w14:paraId="708EC6C7" w14:textId="306CABF7" w:rsidR="00576A90" w:rsidRDefault="00576A90" w:rsidP="00576A90">
      <w:pPr>
        <w:pStyle w:val="TextoNormalNegritaCentrado"/>
        <w:keepNext/>
      </w:pPr>
    </w:p>
    <w:p w14:paraId="2DE6A996" w14:textId="1D10D40D" w:rsidR="00576A90" w:rsidRDefault="00576A90" w:rsidP="00576A90">
      <w:pPr>
        <w:pStyle w:val="TextoNormal"/>
      </w:pPr>
      <w:r w:rsidRPr="00576A90">
        <w:rPr>
          <w:rStyle w:val="NumeroAFNegritaCaracter"/>
        </w:rPr>
        <w:t>1</w:t>
      </w:r>
      <w:r>
        <w:t>. El 17 de septiembre de 2019, Ecoembalajes España, S.A. (en adelante, Ecoembes) interpuso recurso contencioso-administrativo, ante la Sala de lo Contencioso-Administrativo del Tribunal Superior de Justicia de Illes Balears, contra el plan director sectorial de residuos no peligrosos de la isla de Mallorca, aprobado por el Pleno del Consejo Insular de Mallorca en su sesión del día 9 de mayo de 2019 y publicado en el “Boletín Oficial de las Illes Balears” núm. 81, de 18 de junio de 2019.</w:t>
      </w:r>
    </w:p>
    <w:p w14:paraId="0854C63A" w14:textId="77777777" w:rsidR="00576A90" w:rsidRDefault="00576A90" w:rsidP="00576A90">
      <w:pPr>
        <w:pStyle w:val="TextoNormal"/>
      </w:pPr>
    </w:p>
    <w:p w14:paraId="1BE12C70" w14:textId="77777777" w:rsidR="00576A90" w:rsidRDefault="00576A90" w:rsidP="00576A90">
      <w:pPr>
        <w:pStyle w:val="TextoNormal"/>
      </w:pPr>
      <w:r w:rsidRPr="00576A90">
        <w:rPr>
          <w:rStyle w:val="NumeroAFNegritaCaracter"/>
        </w:rPr>
        <w:t>2</w:t>
      </w:r>
      <w:r>
        <w:t>. Admitido a trámite el recurso contencioso-administrativo, tramitado con el núm. 384-2019, y recabado el expediente administrativo, Ecoembes formalizó demanda en la que terminaba suplicando que se declarara la nulidad de los objetivos de reciclado y reutilización de envases previstos en el apartado 3.2 (Objetivos específicos) del anexo IV (Líneas estratégicas de gestión de residuos no peligrosos de la isla de Mallorca). La demanda se fundamentaba sobre dos motivos de impugnación.</w:t>
      </w:r>
    </w:p>
    <w:p w14:paraId="4F583CCD" w14:textId="77777777" w:rsidR="00576A90" w:rsidRDefault="00576A90" w:rsidP="00576A90">
      <w:pPr>
        <w:pStyle w:val="TextoNormal"/>
      </w:pPr>
    </w:p>
    <w:p w14:paraId="7B0E6D21" w14:textId="77777777" w:rsidR="00576A90" w:rsidRDefault="00576A90" w:rsidP="00576A90">
      <w:pPr>
        <w:pStyle w:val="TextoNormal"/>
      </w:pPr>
      <w:r>
        <w:t>a) En el primer motivo sostenía que el apartado 3.2 del anexo IV del plan recogía objetivos de reciclaje y reutilización de envases que constituían un supuesto de responsabilidad ampliada del productor, contrarios a los previstos en la normativa estatal básica.</w:t>
      </w:r>
    </w:p>
    <w:p w14:paraId="2FA2A762" w14:textId="77777777" w:rsidR="00576A90" w:rsidRDefault="00576A90" w:rsidP="00576A90">
      <w:pPr>
        <w:pStyle w:val="TextoNormal"/>
      </w:pPr>
    </w:p>
    <w:p w14:paraId="72EFA6EE" w14:textId="77777777" w:rsidR="00576A90" w:rsidRDefault="00576A90" w:rsidP="00576A90">
      <w:pPr>
        <w:pStyle w:val="TextoNormal"/>
      </w:pPr>
      <w:r>
        <w:t>Indicaba en la demanda que dichos objetivos de reciclaje y reutilización de envases eran superiores a los establecidos en la normativa de la Unión Europea [Directiva 94/62/CE, del Parlamento Europeo y del Consejo, de 20 de diciembre de 1994, en la redacción dada por la Directiva (UE) 2018/852, de 30 de mayo de 2018] y estatal (Ley 11/1997, de 24 de abril, Real Decreto 252/2006, de 3 de marzo, y plan estatal marco de gestión de residuos 2016-2022).</w:t>
      </w:r>
    </w:p>
    <w:p w14:paraId="377489C9" w14:textId="77777777" w:rsidR="00576A90" w:rsidRDefault="00576A90" w:rsidP="00576A90">
      <w:pPr>
        <w:pStyle w:val="TextoNormal"/>
      </w:pPr>
    </w:p>
    <w:p w14:paraId="7241CDA6" w14:textId="77777777" w:rsidR="00576A90" w:rsidRDefault="00576A90" w:rsidP="00576A90">
      <w:pPr>
        <w:pStyle w:val="TextoNormal"/>
      </w:pPr>
      <w:r>
        <w:lastRenderedPageBreak/>
        <w:t>La fijación de estos objetivos constituye, a juicio de la demandante, una medida de responsabilidad ampliada del productor, de conformidad con lo dispuesto en el art. 31 de la Ley 22/2011, de 28 de julio, de residuos y suelos contaminados y que, por ello, solo puede acordarse mediante real decreto aprobado por el Consejo de Ministros, sin que pueda llevarse a cabo mediante normativa autonómica.</w:t>
      </w:r>
    </w:p>
    <w:p w14:paraId="54BB1B3F" w14:textId="77777777" w:rsidR="00576A90" w:rsidRDefault="00576A90" w:rsidP="00576A90">
      <w:pPr>
        <w:pStyle w:val="TextoNormal"/>
      </w:pPr>
    </w:p>
    <w:p w14:paraId="460BB8DC" w14:textId="77777777" w:rsidR="00576A90" w:rsidRDefault="00576A90" w:rsidP="00576A90">
      <w:pPr>
        <w:pStyle w:val="TextoNormal"/>
      </w:pPr>
      <w:r>
        <w:t>Los objetivos de reciclado y reutilización de envases previstos en el plan director recurrido reproducen los establecidos en el art. 2.2 de la Ley del Parlamento de las Illes Balears 8/2019, de 19 de febrero, de residuos y suelos contaminados de las Illes Balears, apartados c), j) y k), de manera que la constitucionalidad de estos apartados constituye una cuestión decisiva para determinar si los subapartados recurridos del apartado 3.2 del anexo IV del plan son o no ajustados a Derecho.</w:t>
      </w:r>
    </w:p>
    <w:p w14:paraId="36F1833A" w14:textId="77777777" w:rsidR="00576A90" w:rsidRDefault="00576A90" w:rsidP="00576A90">
      <w:pPr>
        <w:pStyle w:val="TextoNormal"/>
      </w:pPr>
    </w:p>
    <w:p w14:paraId="1BAB47F4" w14:textId="77777777" w:rsidR="00576A90" w:rsidRDefault="00576A90" w:rsidP="00576A90">
      <w:pPr>
        <w:pStyle w:val="TextoNormal"/>
      </w:pPr>
      <w:r>
        <w:t>b) El segundo motivo de la demanda denunciaba que la introducción de objetivos de reciclado y reutilización de envases en el plan director recurrido suponía una modificación sustancial del mismo respecto de la versión inicial de la iniciativa, por lo que debería haber sido sometida a un nuevo trámite de información pública. La omisión de este trámite acarrearía la nulidad del apartado 3.2 del anexo IV del plan.</w:t>
      </w:r>
    </w:p>
    <w:p w14:paraId="757B5AF6" w14:textId="77777777" w:rsidR="00576A90" w:rsidRDefault="00576A90" w:rsidP="00576A90">
      <w:pPr>
        <w:pStyle w:val="TextoNormal"/>
      </w:pPr>
    </w:p>
    <w:p w14:paraId="79CFF2C7" w14:textId="4146E2E1" w:rsidR="00576A90" w:rsidRDefault="00576A90" w:rsidP="00576A90">
      <w:pPr>
        <w:pStyle w:val="TextoNormal"/>
      </w:pPr>
      <w:r>
        <w:t>c) Mediante el cuarto otrosí digo la parte actora solicitaba el planteamiento de cuestión de inconstitucionalidad frente a los apartados c), j) y k) del art. 2.2 de la Ley del Parlamento de las Illes Balears 8/2019, de 19 de febrero, de residuos y suelos contaminados de las Illes Balears, por considerar, en síntesis, que se trata de objetivos de reciclado y reutilización de envases superiores a los establecidos en la normativa estatal, que constituyen medidas de responsabilidad ampliada del productor que corresponde adoptar al Consejo de Ministros y no a las comunidades autónomas, conforme al art. 31.3 de la Ley 22/2011, de 28 de julio, de residuos y suelos contaminados. Por lo tanto, los apartados indicados de la ley autonómica vulneran la competencia estatal recogida en los arts. 149.1.13 y 149.1.23 CE.</w:t>
      </w:r>
    </w:p>
    <w:p w14:paraId="160FB5B8" w14:textId="77777777" w:rsidR="00576A90" w:rsidRDefault="00576A90" w:rsidP="00576A90">
      <w:pPr>
        <w:pStyle w:val="TextoNormal"/>
      </w:pPr>
    </w:p>
    <w:p w14:paraId="6AF1D0FE" w14:textId="3A9E71F0" w:rsidR="00576A90" w:rsidRDefault="00576A90" w:rsidP="00576A90">
      <w:pPr>
        <w:pStyle w:val="TextoNormal"/>
      </w:pPr>
      <w:r w:rsidRPr="00576A90">
        <w:rPr>
          <w:rStyle w:val="NumeroAFNegritaCaracter"/>
        </w:rPr>
        <w:t>3</w:t>
      </w:r>
      <w:r>
        <w:t>. Mediante providencia de 4 de febrero de 2020, la Sala tomó conocimiento de la solicitud de planteamiento de cuestión de inconstitucionalidad, indicando que resolvería sobre la misma en el momento de dictar sentencia. En la misma resolución se ordenó la continuación de las actuaciones, confiriendo traslado para contestar a la demanda a la administración demandada, esto es, el Consell Insular de Mallorca.</w:t>
      </w:r>
    </w:p>
    <w:p w14:paraId="0733C048" w14:textId="77777777" w:rsidR="00576A90" w:rsidRDefault="00576A90" w:rsidP="00576A90">
      <w:pPr>
        <w:pStyle w:val="TextoNormal"/>
      </w:pPr>
    </w:p>
    <w:p w14:paraId="0BB73EFE" w14:textId="77777777" w:rsidR="00576A90" w:rsidRDefault="00576A90" w:rsidP="00576A90">
      <w:pPr>
        <w:pStyle w:val="TextoNormal"/>
      </w:pPr>
      <w:r w:rsidRPr="00576A90">
        <w:rPr>
          <w:rStyle w:val="NumeroAFNegritaCaracter"/>
        </w:rPr>
        <w:t>4</w:t>
      </w:r>
      <w:r>
        <w:t>. El Consell Insular de Mallorca contestó a la demanda mediante escrito presentado el 6 de marzo de 2020, en el que solicitaba la desestimación del recurso contencioso-administrativo.</w:t>
      </w:r>
    </w:p>
    <w:p w14:paraId="460C4713" w14:textId="77777777" w:rsidR="00576A90" w:rsidRDefault="00576A90" w:rsidP="00576A90">
      <w:pPr>
        <w:pStyle w:val="TextoNormal"/>
      </w:pPr>
    </w:p>
    <w:p w14:paraId="758DFB3B" w14:textId="77777777" w:rsidR="00576A90" w:rsidRDefault="00576A90" w:rsidP="00576A90">
      <w:pPr>
        <w:pStyle w:val="TextoNormal"/>
      </w:pPr>
      <w:r>
        <w:t>a) El escrito de contestación comenzaba oponiendo la falta de legitimación activa de Ecoembes para impugnar los objetivos concretos de preparación para la reutilización y reciclaje de biorresiduos, vidrio, madera y textil.</w:t>
      </w:r>
    </w:p>
    <w:p w14:paraId="114C299F" w14:textId="77777777" w:rsidR="00576A90" w:rsidRDefault="00576A90" w:rsidP="00576A90">
      <w:pPr>
        <w:pStyle w:val="TextoNormal"/>
      </w:pPr>
    </w:p>
    <w:p w14:paraId="49FD4BC1" w14:textId="77777777" w:rsidR="00576A90" w:rsidRDefault="00576A90" w:rsidP="00576A90">
      <w:pPr>
        <w:pStyle w:val="TextoNormal"/>
      </w:pPr>
      <w:r>
        <w:t>b) En relación con el primer motivo de impugnación, opuso las siguientes consideraciones:</w:t>
      </w:r>
    </w:p>
    <w:p w14:paraId="3981BA53" w14:textId="77777777" w:rsidR="00576A90" w:rsidRDefault="00576A90" w:rsidP="00576A90">
      <w:pPr>
        <w:pStyle w:val="TextoNormal"/>
      </w:pPr>
    </w:p>
    <w:p w14:paraId="63AC7176" w14:textId="77777777" w:rsidR="00576A90" w:rsidRDefault="00576A90" w:rsidP="00576A90">
      <w:pPr>
        <w:pStyle w:val="TextoNormal"/>
      </w:pPr>
      <w:r>
        <w:lastRenderedPageBreak/>
        <w:t xml:space="preserve">(i) La Administración General del Estado no había cuestionado el art. 2 de la Ley 8/2019, en el marco del procedimiento de resolución de discrepancias </w:t>
      </w:r>
      <w:r w:rsidRPr="00576A90">
        <w:rPr>
          <w:i/>
        </w:rPr>
        <w:t>ex</w:t>
      </w:r>
      <w:r>
        <w:t xml:space="preserve"> art. 33.2 LOTC impulsado en su día respecto de otros preceptos de dicha ley autonómica.</w:t>
      </w:r>
    </w:p>
    <w:p w14:paraId="5FEA7F49" w14:textId="77777777" w:rsidR="00576A90" w:rsidRDefault="00576A90" w:rsidP="00576A90">
      <w:pPr>
        <w:pStyle w:val="TextoNormal"/>
      </w:pPr>
    </w:p>
    <w:p w14:paraId="2CD127BA" w14:textId="77777777" w:rsidR="00576A90" w:rsidRDefault="00576A90" w:rsidP="00576A90">
      <w:pPr>
        <w:pStyle w:val="TextoNormal"/>
      </w:pPr>
      <w:r>
        <w:t>(ii) Los objetivos contemplados en la legislación estatal estaban ya desfasados porque no recogían las modificaciones introducidas por las Directivas 2018/851 y 2018/852, cuyo plazo de trasposición finalizaba el 5 de julio de 2020. Aduce en este sentido que la trasposición de las directivas comunitarias no es competencia exclusiva del Estado y que los objetivos fijados por la legislación autonómica son conformes a los principios de primacía y efecto directo.</w:t>
      </w:r>
    </w:p>
    <w:p w14:paraId="33FC5FE0" w14:textId="77777777" w:rsidR="00576A90" w:rsidRDefault="00576A90" w:rsidP="00576A90">
      <w:pPr>
        <w:pStyle w:val="TextoNormal"/>
      </w:pPr>
    </w:p>
    <w:p w14:paraId="121E8E47" w14:textId="77777777" w:rsidR="00576A90" w:rsidRDefault="00576A90" w:rsidP="00576A90">
      <w:pPr>
        <w:pStyle w:val="TextoNormal"/>
      </w:pPr>
      <w:r>
        <w:t>(iii) Los objetivos del plan director recurrido no vulneran la legislación estatal que ya ha quedado desfasada al no prever los objetivos actualizados.</w:t>
      </w:r>
    </w:p>
    <w:p w14:paraId="2485DF48" w14:textId="77777777" w:rsidR="00576A90" w:rsidRDefault="00576A90" w:rsidP="00576A90">
      <w:pPr>
        <w:pStyle w:val="TextoNormal"/>
      </w:pPr>
    </w:p>
    <w:p w14:paraId="5E20C30A" w14:textId="77777777" w:rsidR="00576A90" w:rsidRDefault="00576A90" w:rsidP="00576A90">
      <w:pPr>
        <w:pStyle w:val="TextoNormal"/>
      </w:pPr>
      <w:r>
        <w:t>(iv) El art. 31.3 de la Ley 22/2011, de 28 de julio, de residuos y suelos contaminados, sobre responsabilidad ampliada del productor, solo tiene la condición de legislación básica de medio ambiente por lo que, de acuerdo con el art. 149.1.23 CE, la normativa estatal no impide que las comunidades autónomas puedan dictar normas adicionales de protección.</w:t>
      </w:r>
    </w:p>
    <w:p w14:paraId="27B986EC" w14:textId="77777777" w:rsidR="00576A90" w:rsidRDefault="00576A90" w:rsidP="00576A90">
      <w:pPr>
        <w:pStyle w:val="TextoNormal"/>
      </w:pPr>
    </w:p>
    <w:p w14:paraId="3DAE5467" w14:textId="77777777" w:rsidR="00576A90" w:rsidRDefault="00576A90" w:rsidP="00576A90">
      <w:pPr>
        <w:pStyle w:val="TextoNormal"/>
      </w:pPr>
      <w:r>
        <w:t>(v) No se aprecia vulneración de la competencia estatal sobre las bases y la coordinación de la planificación general de la actividad económica (art. 149.1.13 CE), apelando a la doctrina constitucional que ha venido sosteniendo que unidad de mercado “no significa uniformidad”.</w:t>
      </w:r>
    </w:p>
    <w:p w14:paraId="71A4B659" w14:textId="77777777" w:rsidR="00576A90" w:rsidRDefault="00576A90" w:rsidP="00576A90">
      <w:pPr>
        <w:pStyle w:val="TextoNormal"/>
      </w:pPr>
    </w:p>
    <w:p w14:paraId="0D57ED9C" w14:textId="625CE90A" w:rsidR="00576A90" w:rsidRDefault="00576A90" w:rsidP="00576A90">
      <w:pPr>
        <w:pStyle w:val="TextoNormal"/>
      </w:pPr>
      <w:r>
        <w:t>c) En cuanto al segundo motivo de impugnación, alegó que la introducción del punto 3.2 dentro del anexo IV del plan director recurrido no vulnera el derecho de participación de Ecoembes porque no supone un cambio del modelo inicial del plan, sino que los objetivos mínimos de reciclaje y reutilización son mera trasposición de los establecidos en la ley autonómica, en cuyo procedimiento de elaboración se llevó a cabo un trámite de participación en el que se consultó, entre otras entidades, precisamente a Ecoembes.</w:t>
      </w:r>
    </w:p>
    <w:p w14:paraId="3C5AA46C" w14:textId="77777777" w:rsidR="00576A90" w:rsidRDefault="00576A90" w:rsidP="00576A90">
      <w:pPr>
        <w:pStyle w:val="TextoNormal"/>
      </w:pPr>
    </w:p>
    <w:p w14:paraId="037D43AF" w14:textId="77777777" w:rsidR="00576A90" w:rsidRDefault="00576A90" w:rsidP="00576A90">
      <w:pPr>
        <w:pStyle w:val="TextoNormal"/>
      </w:pPr>
      <w:r w:rsidRPr="00576A90">
        <w:rPr>
          <w:rStyle w:val="NumeroAFNegritaCaracter"/>
        </w:rPr>
        <w:t>5</w:t>
      </w:r>
      <w:r>
        <w:t>. Acto seguido, procedió a contestar a la demanda la parte codemandada, la Comunidad Autónoma de las Illes Balears, adhiriéndose íntegramente a la contestación a la demanda presentada por el Consell Insular de Mallorca.</w:t>
      </w:r>
    </w:p>
    <w:p w14:paraId="754B2BB8" w14:textId="77777777" w:rsidR="00576A90" w:rsidRDefault="00576A90" w:rsidP="00576A90">
      <w:pPr>
        <w:pStyle w:val="TextoNormal"/>
      </w:pPr>
    </w:p>
    <w:p w14:paraId="205C6A58" w14:textId="77777777" w:rsidR="00576A90" w:rsidRDefault="00576A90" w:rsidP="00576A90">
      <w:pPr>
        <w:pStyle w:val="TextoNormal"/>
      </w:pPr>
      <w:r>
        <w:t>a) En términos coincidentes con el escrito de contestación a la demanda del Consell Insular de Mallorca, alegó también la falta de legitimación activa de la parte actora.</w:t>
      </w:r>
    </w:p>
    <w:p w14:paraId="092D1CDC" w14:textId="77777777" w:rsidR="00576A90" w:rsidRDefault="00576A90" w:rsidP="00576A90">
      <w:pPr>
        <w:pStyle w:val="TextoNormal"/>
      </w:pPr>
    </w:p>
    <w:p w14:paraId="3D614DC5" w14:textId="77777777" w:rsidR="00576A90" w:rsidRDefault="00576A90" w:rsidP="00576A90">
      <w:pPr>
        <w:pStyle w:val="TextoNormal"/>
      </w:pPr>
      <w:r>
        <w:t>b) En cuanto a la vulneración de la competencia estatal, señalaba que la Ley estatal 22/2011 no está adaptada a las modificaciones de las directivas de 2018 pero que la Ley del Parlamento de las Illes Balears 8/2019 supuso un avance al incorporar las previsiones de aquellas y establecer objetivos más ambiciosos.</w:t>
      </w:r>
    </w:p>
    <w:p w14:paraId="3BCB571F" w14:textId="77777777" w:rsidR="00576A90" w:rsidRDefault="00576A90" w:rsidP="00576A90">
      <w:pPr>
        <w:pStyle w:val="TextoNormal"/>
      </w:pPr>
    </w:p>
    <w:p w14:paraId="0B5BF4DA" w14:textId="77777777" w:rsidR="00576A90" w:rsidRDefault="00576A90" w:rsidP="00576A90">
      <w:pPr>
        <w:pStyle w:val="TextoNormal"/>
      </w:pPr>
      <w:r>
        <w:t xml:space="preserve">A su juicio, nos encontramos ante materia de medio ambiente, ostentando la Comunidad Autónoma de las Illes Balears competencia exclusiva en materia de protección del medio ambiente, ecología y espacios naturales, sin perjuicio de la legislación básica del Estado, y para el dictado de normas adicionales de protección, todo ello de acuerdo con el art. 30.46 de su Estatuto de Autonomía. Añade que la competencia estatal </w:t>
      </w:r>
      <w:r w:rsidRPr="00576A90">
        <w:rPr>
          <w:i/>
        </w:rPr>
        <w:t>ex</w:t>
      </w:r>
      <w:r>
        <w:t xml:space="preserve"> art. 149.1.23 </w:t>
      </w:r>
      <w:r>
        <w:lastRenderedPageBreak/>
        <w:t>CE comprende la legislación básica sobre protección del medio ambiente, pero admite que las comunidades autónomas puedan dictar normas adicionales de protección, por lo que los objetivos fijados en la ley estatal son de mínimos y las comunidades autónomas puede establecer objetivos que deberán respetar los estatales y europeos, pero pueden mejorar el nivel de protección con el establecimiento de objetivos superiores.</w:t>
      </w:r>
    </w:p>
    <w:p w14:paraId="12A6FE3E" w14:textId="77777777" w:rsidR="00576A90" w:rsidRDefault="00576A90" w:rsidP="00576A90">
      <w:pPr>
        <w:pStyle w:val="TextoNormal"/>
      </w:pPr>
    </w:p>
    <w:p w14:paraId="0089FDD6" w14:textId="77777777" w:rsidR="00576A90" w:rsidRDefault="00576A90" w:rsidP="00576A90">
      <w:pPr>
        <w:pStyle w:val="TextoNormal"/>
      </w:pPr>
      <w:r>
        <w:t>Por otra parte, sostenía que el establecimiento mediante ley autonómica de objetivos de reciclaje y reutilización de envases superiores a los objetivos mínimos estatales no constituye un supuesto de establecimiento de medidas de responsabilidad ampliada del productor porque no se está imponiendo una nueva obligación a los productores en el marco de la responsabilidad ampliada del productor, sino que la Comunidad Autónoma está ejerciendo una competencia atribuida constitucionalmente para establecimiento de normas adicionales de protección del medio ambiente.</w:t>
      </w:r>
    </w:p>
    <w:p w14:paraId="2D027FAD" w14:textId="77777777" w:rsidR="00576A90" w:rsidRDefault="00576A90" w:rsidP="00576A90">
      <w:pPr>
        <w:pStyle w:val="TextoNormal"/>
      </w:pPr>
    </w:p>
    <w:p w14:paraId="1A5B7B9A" w14:textId="77777777" w:rsidR="00576A90" w:rsidRDefault="00576A90" w:rsidP="00576A90">
      <w:pPr>
        <w:pStyle w:val="TextoNormal"/>
      </w:pPr>
      <w:r>
        <w:t>c) En cuanto a la omisión del trámite de información pública, se remitía a las alegaciones del Consell Insular de Mallorca, insistiendo en que los objetivos recogidos en el plan director recurrido venían impuestos por la Ley del Parlamento de las Illes Balears 8/2019, por lo que el Consell Insular carecía de discrecionalidad para apartarse de los objetivos establecidos por una norma jerárquicamente superior.</w:t>
      </w:r>
    </w:p>
    <w:p w14:paraId="4BBB2BB1" w14:textId="77777777" w:rsidR="00576A90" w:rsidRDefault="00576A90" w:rsidP="00576A90">
      <w:pPr>
        <w:pStyle w:val="TextoNormal"/>
      </w:pPr>
    </w:p>
    <w:p w14:paraId="6A931D37" w14:textId="611896FE" w:rsidR="00576A90" w:rsidRDefault="00576A90" w:rsidP="00576A90">
      <w:pPr>
        <w:pStyle w:val="TextoNormal"/>
      </w:pPr>
      <w:r>
        <w:t>d) Por último, mediante tercer otrosí digo, defendía la improcedencia de plantear la cuestión de inconstitucionalidad, afirmando la conformidad del art. 2 de la Ley del Parlamento de las Illes Balears 8/2019 con el art. 149.1.23 CE. Y añadió que el Estado no cuestionó la constitucionalidad de dicho precepto en el procedimiento de resolución de controversias entablado en su momento al amparo del art. 33.2 LOTC.</w:t>
      </w:r>
    </w:p>
    <w:p w14:paraId="580495F5" w14:textId="77777777" w:rsidR="00576A90" w:rsidRDefault="00576A90" w:rsidP="00576A90">
      <w:pPr>
        <w:pStyle w:val="TextoNormal"/>
      </w:pPr>
    </w:p>
    <w:p w14:paraId="00C0D64A" w14:textId="0B090A1A" w:rsidR="00576A90" w:rsidRDefault="00576A90" w:rsidP="00576A90">
      <w:pPr>
        <w:pStyle w:val="TextoNormal"/>
      </w:pPr>
      <w:r w:rsidRPr="00576A90">
        <w:rPr>
          <w:rStyle w:val="NumeroAFNegritaCaracter"/>
        </w:rPr>
        <w:t>6</w:t>
      </w:r>
      <w:r>
        <w:t>. A la vista de las alegaciones sobre la falta de legitimación activa recogidas en la contestación a la demanda de la Comunidad Autónoma de las Illes Balears, Ecoembes, al amparo del art. 60.2 de la Ley 29/1998, de 13 de julio, reguladora de la jurisdicción contencioso-administrativa (LJCA), solicitó el recibimiento del pleito a prueba aportando como documental su autorización como entidad gestora de un sistema integrado de gestión de residuos de envases y envases usados de la Comunidad Autónoma de las Illes Balears, así como su renovación.</w:t>
      </w:r>
    </w:p>
    <w:p w14:paraId="32FEB472" w14:textId="77777777" w:rsidR="00576A90" w:rsidRDefault="00576A90" w:rsidP="00576A90">
      <w:pPr>
        <w:pStyle w:val="TextoNormal"/>
      </w:pPr>
    </w:p>
    <w:p w14:paraId="4766B540" w14:textId="4A44372F" w:rsidR="00576A90" w:rsidRDefault="00576A90" w:rsidP="00576A90">
      <w:pPr>
        <w:pStyle w:val="TextoNormal"/>
      </w:pPr>
      <w:r w:rsidRPr="00576A90">
        <w:rPr>
          <w:rStyle w:val="NumeroAFNegritaCaracter"/>
        </w:rPr>
        <w:t>7</w:t>
      </w:r>
      <w:r>
        <w:t>. Por auto de 13 de abril de 2021, se acordó recibir a prueba el procedimiento admitiendo la documental aportada por Ecoembes.</w:t>
      </w:r>
    </w:p>
    <w:p w14:paraId="1B37FC80" w14:textId="77777777" w:rsidR="00576A90" w:rsidRDefault="00576A90" w:rsidP="00576A90">
      <w:pPr>
        <w:pStyle w:val="TextoNormal"/>
      </w:pPr>
    </w:p>
    <w:p w14:paraId="356A8AEC" w14:textId="77777777" w:rsidR="00576A90" w:rsidRDefault="00576A90" w:rsidP="00576A90">
      <w:pPr>
        <w:pStyle w:val="TextoNormal"/>
      </w:pPr>
      <w:r w:rsidRPr="00576A90">
        <w:rPr>
          <w:rStyle w:val="NumeroAFNegritaCaracter"/>
        </w:rPr>
        <w:t>8</w:t>
      </w:r>
      <w:r>
        <w:t>. Ecoembes presentó escrito de conclusiones manifestando que su pretensión se ceñía a la declaración de nulidad del apartado 3.2 del anexo IV del plan director sectorial de residuos no peligrosos de la isla de Mallorca, en lo que se refiere a los siguientes extremos: (i) la exigencia de “[r]eciclar como mínimo, antes del año 2030, un 75 por 100 de los residuos de envases no industriales” por tratarse de un objetivo superior al previsto en la normativa estatal básica; y (ii) el establecimiento de unos objetivos de reutilización de envases de bebida por tratarse de objetivos que ni siquiera están previstos en la normativa estatal básica.</w:t>
      </w:r>
    </w:p>
    <w:p w14:paraId="33B4FE6D" w14:textId="77777777" w:rsidR="00576A90" w:rsidRDefault="00576A90" w:rsidP="00576A90">
      <w:pPr>
        <w:pStyle w:val="TextoNormal"/>
      </w:pPr>
    </w:p>
    <w:p w14:paraId="73310A4A" w14:textId="77777777" w:rsidR="00576A90" w:rsidRDefault="00576A90" w:rsidP="00576A90">
      <w:pPr>
        <w:pStyle w:val="TextoNormal"/>
      </w:pPr>
      <w:r>
        <w:lastRenderedPageBreak/>
        <w:t>Precisado lo anterior, efectuó, en síntesis, las alegaciones que siguen: (i) defendió su legitimación activa para la interposición del recurso contencioso-administrativo; (ii) reiteró que el plan director recurrido establecía medidas de responsabilidad ampliada del productor en materia de envases contrarias a lo previsto en la normativa estatal, insistiendo en que la fijación de medidas de responsabilidad ampliada del productor es competencia exclusiva del Estado (con cita de la STS de 15 de diciembre de 2016 y de las más recientes SSTS 1121/2020, 1120/2020, 1123/2020 y 1124/2020, todas de 27 de julio de 2020); y (iii) renunció al motivo de impugnación relativo a la omisión del trámite de información pública.</w:t>
      </w:r>
    </w:p>
    <w:p w14:paraId="1E3ABF7D" w14:textId="77777777" w:rsidR="00576A90" w:rsidRDefault="00576A90" w:rsidP="00576A90">
      <w:pPr>
        <w:pStyle w:val="TextoNormal"/>
      </w:pPr>
    </w:p>
    <w:p w14:paraId="6B41A991" w14:textId="3E020CC4" w:rsidR="00576A90" w:rsidRDefault="00576A90" w:rsidP="00576A90">
      <w:pPr>
        <w:pStyle w:val="TextoNormal"/>
      </w:pPr>
      <w:r>
        <w:t>Mediante primer otrosí digo reiteraba la solicitud de planteamiento de cuestión de inconstitucionalidad en relación con los apartados c), j) y k) del art. 2.2 de la Ley del Parlamento de las Illes Balears 8/2019.</w:t>
      </w:r>
    </w:p>
    <w:p w14:paraId="60E5E01C" w14:textId="77777777" w:rsidR="00576A90" w:rsidRDefault="00576A90" w:rsidP="00576A90">
      <w:pPr>
        <w:pStyle w:val="TextoNormal"/>
      </w:pPr>
    </w:p>
    <w:p w14:paraId="67390ED7" w14:textId="4B3A9DED" w:rsidR="00576A90" w:rsidRDefault="00576A90" w:rsidP="00576A90">
      <w:pPr>
        <w:pStyle w:val="TextoNormal"/>
      </w:pPr>
      <w:r w:rsidRPr="00576A90">
        <w:rPr>
          <w:rStyle w:val="NumeroAFNegritaCaracter"/>
        </w:rPr>
        <w:t>9</w:t>
      </w:r>
      <w:r>
        <w:t>. Mediante providencia de 31 de mayo de 2021, la Sala tuvo por solicitado el planteamiento de la cuestión de inconstitucionalidad, difiriendo de nuevo el pronunciamiento sobre la procedencia o improcedencia de la misma al momento procesal oportuno, esto es, el de votación y fallo. En dicha providencia, acordó conceder trámite de conclusiones a las administraciones demandada y codemandada.</w:t>
      </w:r>
    </w:p>
    <w:p w14:paraId="24A409AC" w14:textId="77777777" w:rsidR="00576A90" w:rsidRDefault="00576A90" w:rsidP="00576A90">
      <w:pPr>
        <w:pStyle w:val="TextoNormal"/>
      </w:pPr>
    </w:p>
    <w:p w14:paraId="44BFB2F8" w14:textId="2B789540" w:rsidR="00576A90" w:rsidRDefault="00576A90" w:rsidP="00576A90">
      <w:pPr>
        <w:pStyle w:val="TextoNormal"/>
      </w:pPr>
      <w:r w:rsidRPr="00576A90">
        <w:rPr>
          <w:rStyle w:val="NumeroAFNegritaCaracter"/>
        </w:rPr>
        <w:t>10</w:t>
      </w:r>
      <w:r>
        <w:t>. En su escrito de conclusiones, el Consell Insular de Mallorca desistió de la excepción procesal relativa a la falta de legitimación activa de Ecoembes. En cuanto al fondo del asunto, sostuvo que los objetivos de reciclado y reutilización de envases controvertidos son conformes al Derecho de la Unión Europea y que la legislación estatal (la Ley 22/2011) no los contempla porque todavía no se ha adaptado a las Directivas de 2018 pendientes de trasposición. Dicho esto, en cuanto a la constitucionalidad del art. 2 de la Ley del Parlamento de las Illes Balears 8/2019, tras sostener que el Estado no tiene el monopolio para la trasposición del Derecho de la Unión Europea, defendió la competencia autonómica para fijar normas adicionales de protección del medio ambiente con base en la STC 100/2020, de 22 de julio. Y volvió a destacar que el Estado no cuestionó el art. 2 de la Ley del Parlamento de las Illes Balears 8/2019, a diferencia de lo que ocurrió con otros preceptos de dicha Ley.</w:t>
      </w:r>
    </w:p>
    <w:p w14:paraId="197D5019" w14:textId="77777777" w:rsidR="00576A90" w:rsidRDefault="00576A90" w:rsidP="00576A90">
      <w:pPr>
        <w:pStyle w:val="TextoNormal"/>
      </w:pPr>
    </w:p>
    <w:p w14:paraId="1C8C0ACF" w14:textId="376CFA05" w:rsidR="00576A90" w:rsidRDefault="00576A90" w:rsidP="00576A90">
      <w:pPr>
        <w:pStyle w:val="TextoNormal"/>
      </w:pPr>
      <w:r w:rsidRPr="00576A90">
        <w:rPr>
          <w:rStyle w:val="NumeroAFNegritaCaracter"/>
        </w:rPr>
        <w:t>11</w:t>
      </w:r>
      <w:r>
        <w:t>. La Comunidad Autónoma de las Illes Balears presentó escrito de conclusiones en el que desistió igualmente de la alegación referida a la falta de legitimación activa de Ecoembes. En cuanto al fondo del asunto insistió de nuevo en la competencia autonómica para dictar normas adicionales de protección del medio ambiente y en que la fijación de objetivos de reciclaje y reutilización de envases por encima de los objetivos mínimos fijados por la legislación estatal básica no constituyen medidas de responsabilidad ampliada del productor a los efectos de lo dispuesto en el art. 31 de la Ley 22/2011.</w:t>
      </w:r>
    </w:p>
    <w:p w14:paraId="741CB01F" w14:textId="77777777" w:rsidR="00576A90" w:rsidRDefault="00576A90" w:rsidP="00576A90">
      <w:pPr>
        <w:pStyle w:val="TextoNormal"/>
      </w:pPr>
    </w:p>
    <w:p w14:paraId="35CF7B53" w14:textId="73BAE056" w:rsidR="00576A90" w:rsidRDefault="00576A90" w:rsidP="00576A90">
      <w:pPr>
        <w:pStyle w:val="TextoNormal"/>
      </w:pPr>
      <w:r w:rsidRPr="00576A90">
        <w:rPr>
          <w:rStyle w:val="NumeroAFNegritaCaracter"/>
        </w:rPr>
        <w:t>12</w:t>
      </w:r>
      <w:r>
        <w:t>. Mediante providencia de 1 de julio de 2021 se declaró concluso el procedimiento y pendiente de señalamiento para votación y fallo. Por providencia de 30 de junio de 2023 se señaló para votación y fallo el 19 de julio de 2023.</w:t>
      </w:r>
    </w:p>
    <w:p w14:paraId="40797C5A" w14:textId="77777777" w:rsidR="00576A90" w:rsidRDefault="00576A90" w:rsidP="00576A90">
      <w:pPr>
        <w:pStyle w:val="TextoNormal"/>
      </w:pPr>
    </w:p>
    <w:p w14:paraId="2E79698F" w14:textId="095E0374" w:rsidR="00576A90" w:rsidRDefault="00576A90" w:rsidP="00576A90">
      <w:pPr>
        <w:pStyle w:val="TextoNormal"/>
      </w:pPr>
      <w:r w:rsidRPr="00576A90">
        <w:rPr>
          <w:rStyle w:val="NumeroAFNegritaCaracter"/>
        </w:rPr>
        <w:t>13</w:t>
      </w:r>
      <w:r>
        <w:t xml:space="preserve">. Mediante providencia de 27 de julio de 2023 la Sala de lo Contencioso-Administrativo del Tribunal Superior de Justicia de las Illes Balears acordó oír a las partes </w:t>
      </w:r>
      <w:r>
        <w:lastRenderedPageBreak/>
        <w:t>y al Ministerio Fiscal por plazo de diez días acerca de la posible inconstitucionalidad de los apartados c), j) y k) del art. 2.2 de la Ley del Parlamento de las Illes Balears 8/2019, de 19 de febrero, de residuos y suelos contaminados de las Illes Balears, por vulneración de la competencia estatal para adoptar medidas de responsabilidad ampliada del productor, establecida en el art. 31.3 de la Ley 22/2011 —actual art. 37.2 de la Ley 7/2022, de 8 de abril, de residuos y suelos contaminados para una economía circular— en relación con los artículos 149.1.13 y 149.1.23 CE.</w:t>
      </w:r>
    </w:p>
    <w:p w14:paraId="6CB2DEE5" w14:textId="77777777" w:rsidR="00576A90" w:rsidRDefault="00576A90" w:rsidP="00576A90">
      <w:pPr>
        <w:pStyle w:val="TextoNormal"/>
      </w:pPr>
    </w:p>
    <w:p w14:paraId="7E29ECD9" w14:textId="77777777" w:rsidR="00576A90" w:rsidRDefault="00576A90" w:rsidP="00576A90">
      <w:pPr>
        <w:pStyle w:val="TextoNormal"/>
      </w:pPr>
      <w:r w:rsidRPr="00576A90">
        <w:rPr>
          <w:rStyle w:val="NumeroAFNegritaCaracter"/>
        </w:rPr>
        <w:t>14</w:t>
      </w:r>
      <w:r>
        <w:t>. Por escrito de 14 de septiembre de 2023 formuló sus alegaciones la Comunidad Autónoma de las Illes Balears, oponiéndose al planteamiento de la cuestión de inconstitucionalidad. En su escrito explicó que la Comunidad Autónoma es competente para el establecimiento de objetivos superiores a los previstos en la normativa europea y estatal conforme a los arts. 30.46 de su Estatuto de Autonomía y 149.1.23 CE, que le permiten dictar normas adicionales de protección del medio ambiente.</w:t>
      </w:r>
    </w:p>
    <w:p w14:paraId="51B850CF" w14:textId="77777777" w:rsidR="00576A90" w:rsidRDefault="00576A90" w:rsidP="00576A90">
      <w:pPr>
        <w:pStyle w:val="TextoNormal"/>
      </w:pPr>
    </w:p>
    <w:p w14:paraId="5D572128" w14:textId="77777777" w:rsidR="00576A90" w:rsidRDefault="00576A90" w:rsidP="00576A90">
      <w:pPr>
        <w:pStyle w:val="TextoNormal"/>
      </w:pPr>
      <w:r>
        <w:t>Después de trascribir el art. 31 de la Ley 22/2011 (hoy derogada) y el art. 37 de la Ley 7/2022 (que regula en la actualidad la responsabilidad ampliada del productor), explicó que:</w:t>
      </w:r>
    </w:p>
    <w:p w14:paraId="7930EA86" w14:textId="77777777" w:rsidR="00576A90" w:rsidRDefault="00576A90" w:rsidP="00576A90">
      <w:pPr>
        <w:pStyle w:val="TextoNormal"/>
      </w:pPr>
    </w:p>
    <w:p w14:paraId="28A01307" w14:textId="77777777" w:rsidR="00576A90" w:rsidRDefault="00576A90" w:rsidP="00576A90">
      <w:pPr>
        <w:pStyle w:val="TextoNormal"/>
      </w:pPr>
      <w:r>
        <w:t>“[E]s evidente que el establecimiento mediante ley autonómica de objetivos de reciclaje de residuos de envases y reutilización de envases superiores a los objetivos mínimos previstos en la normativa europea y estatal no se trata de un supuesto de establecimiento de medidas de responsabilidad ampliada del productor del producto. Con la aprobación de dichos objetivos no se está imponiendo una nueva obligación a los productores […] en el marco de la responsabilidad ampliada del productor, sino que la Comunidad Autónoma está ejerciendo una competencia atribuida constitucionalmente para el establecimiento de normas adicionales de protección en materia de medio ambiente y, concretamente en materia de prevención y gestión de residuos.</w:t>
      </w:r>
    </w:p>
    <w:p w14:paraId="3B3F311C" w14:textId="77777777" w:rsidR="00576A90" w:rsidRDefault="00576A90" w:rsidP="00576A90">
      <w:pPr>
        <w:pStyle w:val="TextoNormal"/>
      </w:pPr>
    </w:p>
    <w:p w14:paraId="3024F88B" w14:textId="77777777" w:rsidR="00576A90" w:rsidRDefault="00576A90" w:rsidP="00576A90">
      <w:pPr>
        <w:pStyle w:val="TextoNormal"/>
      </w:pPr>
      <w:r>
        <w:t>[…]</w:t>
      </w:r>
    </w:p>
    <w:p w14:paraId="13B95768" w14:textId="77777777" w:rsidR="00576A90" w:rsidRDefault="00576A90" w:rsidP="00576A90">
      <w:pPr>
        <w:pStyle w:val="TextoNormal"/>
      </w:pPr>
    </w:p>
    <w:p w14:paraId="18F06A3D" w14:textId="77777777" w:rsidR="00576A90" w:rsidRDefault="00576A90" w:rsidP="00576A90">
      <w:pPr>
        <w:pStyle w:val="TextoNormal"/>
      </w:pPr>
      <w:r>
        <w:t>En el caso que nos ocupa no estamos ante una imposición a los productores […] de una medida de responsabilidad ampliada del artículo 31.2 citado anteriormente, que solo podría adoptar el Estado por real decreto. Esta fijación de objetivos de reciclado y reutilización de envases se impone en el régimen general de la responsabilidad de los gestores de residuos, y queda al margen de esa responsabilidad ampliada, pues sus destinatarios son todos los operadores implicados en la gestión de residuos”.</w:t>
      </w:r>
    </w:p>
    <w:p w14:paraId="59EC6969" w14:textId="77777777" w:rsidR="00576A90" w:rsidRDefault="00576A90" w:rsidP="00576A90">
      <w:pPr>
        <w:pStyle w:val="TextoNormal"/>
      </w:pPr>
    </w:p>
    <w:p w14:paraId="05EE5A61" w14:textId="5E1A36A9" w:rsidR="00576A90" w:rsidRDefault="00576A90" w:rsidP="00576A90">
      <w:pPr>
        <w:pStyle w:val="TextoNormal"/>
      </w:pPr>
      <w:r>
        <w:t xml:space="preserve">Al decir de la parte, la normativa estatal sobre responsabilidad ampliada del productor se dictó con base en el título competencial previsto en el art. 149.1.23 CE y no en la competencia sobre las bases y la coordinación de la planificación general de la actividad económica del art. 149.1.13 CE. Finalmente, reiteró que el Estado no cuestionó los objetivos previstos en el art. 2.2 de la Ley del Parlamento de las Illes Balears 8/2019 en el procedimiento de resolución de discrepancias entablado </w:t>
      </w:r>
      <w:r w:rsidRPr="00576A90">
        <w:rPr>
          <w:i/>
        </w:rPr>
        <w:t>ex</w:t>
      </w:r>
      <w:r>
        <w:t xml:space="preserve"> art. 33.2 LOTC.</w:t>
      </w:r>
    </w:p>
    <w:p w14:paraId="29D805AD" w14:textId="77777777" w:rsidR="00576A90" w:rsidRDefault="00576A90" w:rsidP="00576A90">
      <w:pPr>
        <w:pStyle w:val="TextoNormal"/>
      </w:pPr>
    </w:p>
    <w:p w14:paraId="491C618F" w14:textId="494CF130" w:rsidR="00576A90" w:rsidRDefault="00576A90" w:rsidP="00576A90">
      <w:pPr>
        <w:pStyle w:val="TextoNormal"/>
      </w:pPr>
      <w:r w:rsidRPr="00576A90">
        <w:rPr>
          <w:rStyle w:val="NumeroAFNegritaCaracter"/>
        </w:rPr>
        <w:t>15</w:t>
      </w:r>
      <w:r>
        <w:t>. Por diligencia de ordenación de 19 de septiembre de 2023 se tuvo por presentado el escrito de la Comunidad Autónoma de las Illes Balears. En la misma diligencia de or</w:t>
      </w:r>
      <w:r>
        <w:lastRenderedPageBreak/>
        <w:t>denación se acordó lo siguiente: “Visto que por error se ha omitido el oportuno traslado al Ministerio Fiscal se acuerda darle traslado de la providencia de 27 de julio de 2023”.</w:t>
      </w:r>
    </w:p>
    <w:p w14:paraId="183D4C1A" w14:textId="77777777" w:rsidR="00576A90" w:rsidRDefault="00576A90" w:rsidP="00576A90">
      <w:pPr>
        <w:pStyle w:val="TextoNormal"/>
      </w:pPr>
    </w:p>
    <w:p w14:paraId="59DFB753" w14:textId="77777777" w:rsidR="00576A90" w:rsidRDefault="00576A90" w:rsidP="00576A90">
      <w:pPr>
        <w:pStyle w:val="TextoNormal"/>
      </w:pPr>
      <w:r w:rsidRPr="00576A90">
        <w:rPr>
          <w:rStyle w:val="NumeroAFNegritaCaracter"/>
        </w:rPr>
        <w:t>16</w:t>
      </w:r>
      <w:r>
        <w:t>. Ecoembes presentó escrito de alegaciones en el que afirmaba la necesidad de plantear cuestión de inconstitucionalidad pues los objetivos de reciclaje y reutilización previstos en el apartado 3.2 del anexo IV del plan director sectorial de residuos no peligrosos de la isla de Mallorca impugnados tenían su origen directo e inmediato en las letras c), j) y k) del art. 2.2 de la Ley del Parlamento de las Illes Balears 8/2019, cuya constitucionalidad se cuestiona.</w:t>
      </w:r>
    </w:p>
    <w:p w14:paraId="7AA6372A" w14:textId="77777777" w:rsidR="00576A90" w:rsidRDefault="00576A90" w:rsidP="00576A90">
      <w:pPr>
        <w:pStyle w:val="TextoNormal"/>
      </w:pPr>
    </w:p>
    <w:p w14:paraId="2AA179C7" w14:textId="77777777" w:rsidR="00576A90" w:rsidRDefault="00576A90" w:rsidP="00576A90">
      <w:pPr>
        <w:pStyle w:val="TextoNormal"/>
      </w:pPr>
      <w:r>
        <w:t xml:space="preserve">Señaló que los objetivos de reciclaje y reutilización de envases fijados por la ley autonómica son medidas de responsabilidad ampliada del productor que solo puede fijar el Estado mediante real decreto del Consejo de Ministros, conforme al art. 31.3 de la Ley 22/2011 y el actual art. 37.2 de la Ley 7/2022, dictados con base en las competencias estatales </w:t>
      </w:r>
      <w:r w:rsidRPr="00576A90">
        <w:rPr>
          <w:i/>
        </w:rPr>
        <w:t>ex</w:t>
      </w:r>
      <w:r>
        <w:t xml:space="preserve"> arts. 149.1.13 y 149.1.23 CE.</w:t>
      </w:r>
    </w:p>
    <w:p w14:paraId="4426534F" w14:textId="77777777" w:rsidR="00576A90" w:rsidRDefault="00576A90" w:rsidP="00576A90">
      <w:pPr>
        <w:pStyle w:val="TextoNormal"/>
      </w:pPr>
    </w:p>
    <w:p w14:paraId="5684455E" w14:textId="77777777" w:rsidR="00576A90" w:rsidRDefault="00576A90" w:rsidP="00576A90">
      <w:pPr>
        <w:pStyle w:val="TextoNormal"/>
      </w:pPr>
      <w:r>
        <w:t>Con cita de jurisprudencia del Tribunal Supremo, argumentó que, en relación con la responsabilidad ampliada del productor en materia de residuos, el título competencial prevalente es el art. 149.1.13 CE y la competencia para establecer medidas de esta índole corresponde al Estado. Igualmente alegó que la STC 100/2020 no es incompatible con su planteamiento, toda vez que en dicha sentencia no se tuvo en cuenta —porque el Gobierno no lo alegó— la competencia estatal en materia de responsabilidad ampliada del productor al enjuiciar el art. 23 de la Ley Foral 14/2018, de 18 de junio, de residuos y su fiscalidad.</w:t>
      </w:r>
    </w:p>
    <w:p w14:paraId="0662B781" w14:textId="77777777" w:rsidR="00576A90" w:rsidRDefault="00576A90" w:rsidP="00576A90">
      <w:pPr>
        <w:pStyle w:val="TextoNormal"/>
      </w:pPr>
    </w:p>
    <w:p w14:paraId="6596814C" w14:textId="0CA51C0D" w:rsidR="00576A90" w:rsidRDefault="00576A90" w:rsidP="00576A90">
      <w:pPr>
        <w:pStyle w:val="TextoNormal"/>
      </w:pPr>
      <w:r>
        <w:t xml:space="preserve">Sentado lo anterior, defendió que los apartados c), j) y k) del art. 2.2 de la Ley del Parlamento de las Illes Balears 8/2019 se oponen, por un lado, al objetivo de reciclado de envases establecido en el art. 10.1 c) del Real Decreto 1055/2022, de 27 de diciembre, de envases y residuos de envases, y a los objetivos de reutilización de envases establecidos en los arts. 8.1 y 8.2 del citado Real Decreto 1055/2022 que, además, solo se establecen como objetivos meramente aspiracionales y no vinculantes. Por lo tanto, en su opinión, nos encontramos ante un supuesto de inconstitucionalidad mediata y los preceptos de la Ley del Parlamento de las Illes Balears 8/2019 cuestionados constituyen una invasión ilegítima por parte de la Comunidad Autónoma de las Illes Balears de las competencias que el Estado tiene atribuidas </w:t>
      </w:r>
      <w:r w:rsidRPr="00576A90">
        <w:rPr>
          <w:i/>
        </w:rPr>
        <w:t>ex</w:t>
      </w:r>
      <w:r>
        <w:t xml:space="preserve"> arts. 149.1.13 y 149.1.23 CE.</w:t>
      </w:r>
    </w:p>
    <w:p w14:paraId="523A4D22" w14:textId="77777777" w:rsidR="00576A90" w:rsidRDefault="00576A90" w:rsidP="00576A90">
      <w:pPr>
        <w:pStyle w:val="TextoNormal"/>
      </w:pPr>
    </w:p>
    <w:p w14:paraId="09449C48" w14:textId="77777777" w:rsidR="00576A90" w:rsidRDefault="00576A90" w:rsidP="00576A90">
      <w:pPr>
        <w:pStyle w:val="TextoNormal"/>
      </w:pPr>
      <w:r w:rsidRPr="00576A90">
        <w:rPr>
          <w:rStyle w:val="NumeroAFNegritaCaracter"/>
        </w:rPr>
        <w:t>17</w:t>
      </w:r>
      <w:r>
        <w:t>. Mediante escrito de 27 de septiembre de 2023, el Consell Insular de Mallorca manifestó su oposición al planteamiento de la cuestión de inconstitucionalidad. Comenzó su exposición señalando que, al tratarse de una controversia de índole competencial, la constitucionalidad del art. 2.2 de la Ley del Parlamento de las Illes Balears 8/2019 debe hacerse teniendo en cuenta la normativa vigente al tiempo de plantearse la cuestión de inconstitucionalidad. Por ello, la normativa estatal a tener en cuenta es la Ley 7/2022, de 8 de abril, de residuos y suelos contaminados para una economía circular, y el Real Decreto 1055/2022, de 27 de diciembre, de envases y residuos de envases.</w:t>
      </w:r>
    </w:p>
    <w:p w14:paraId="43D5600A" w14:textId="77777777" w:rsidR="00576A90" w:rsidRDefault="00576A90" w:rsidP="00576A90">
      <w:pPr>
        <w:pStyle w:val="TextoNormal"/>
      </w:pPr>
    </w:p>
    <w:p w14:paraId="66010EB9" w14:textId="77777777" w:rsidR="00576A90" w:rsidRDefault="00576A90" w:rsidP="00576A90">
      <w:pPr>
        <w:pStyle w:val="TextoNormal"/>
      </w:pPr>
      <w:r>
        <w:t>A su juicio, los objetivos de la del Parlamento de las Illes Balears Ley 8/2019 son de gestión de residuos y no medidas de responsabilidad ampliada del productor. Afirma que la Ley 7/2022 reconoce competencia a las comunidades autónomas para establecer objeti</w:t>
      </w:r>
      <w:r>
        <w:lastRenderedPageBreak/>
        <w:t>vos de reutilización y reciclado. Además, no existe contradicción entre los objetivos de la ley autonómica y los de la legislación estatal vigente, sino que son complementarios.</w:t>
      </w:r>
    </w:p>
    <w:p w14:paraId="51A5020D" w14:textId="77777777" w:rsidR="00576A90" w:rsidRDefault="00576A90" w:rsidP="00576A90">
      <w:pPr>
        <w:pStyle w:val="TextoNormal"/>
      </w:pPr>
    </w:p>
    <w:p w14:paraId="0167EA43" w14:textId="77777777" w:rsidR="00576A90" w:rsidRDefault="00576A90" w:rsidP="00576A90">
      <w:pPr>
        <w:pStyle w:val="TextoNormal"/>
      </w:pPr>
      <w:r>
        <w:t xml:space="preserve">En su escrito reiteró que el Estado no tiene el monopolio para la trasposición del Derecho de la Unión Europea y que las comunidades autónomas, al amparo de la competencia para dictar normas adicionales de protección del medio ambiente </w:t>
      </w:r>
      <w:r w:rsidRPr="00576A90">
        <w:rPr>
          <w:i/>
        </w:rPr>
        <w:t>ex</w:t>
      </w:r>
      <w:r>
        <w:t xml:space="preserve"> art. 149.1.23 CE, pueden aprobar normas con niveles de protección más altos que la normativa estatal (STC 100/2020, de 22 de julio), así como que la unidad de mercado no implica la imposibilidad de que exista cierta diversidad entre las regulaciones estatal y autonómicas, por lo que tampoco se vulnera la competencia estatal prevista en el art. 149.1.13 CE.</w:t>
      </w:r>
    </w:p>
    <w:p w14:paraId="38BEDEA7" w14:textId="77777777" w:rsidR="00576A90" w:rsidRDefault="00576A90" w:rsidP="00576A90">
      <w:pPr>
        <w:pStyle w:val="TextoNormal"/>
      </w:pPr>
    </w:p>
    <w:p w14:paraId="2697DA52" w14:textId="32703928" w:rsidR="00576A90" w:rsidRDefault="00576A90" w:rsidP="00576A90">
      <w:pPr>
        <w:pStyle w:val="TextoNormal"/>
      </w:pPr>
      <w:r>
        <w:t xml:space="preserve">Por último, volvió a manifestar que el Estado no había cuestionado los objetivos previstos en el art. 2.2 de la Ley del Parlamento de las Illes Balears 8/2019 en el procedimiento de resolución de discrepancias entablado </w:t>
      </w:r>
      <w:r w:rsidRPr="00576A90">
        <w:rPr>
          <w:i/>
        </w:rPr>
        <w:t>ex</w:t>
      </w:r>
      <w:r>
        <w:t xml:space="preserve"> art. 33.2 LOTC.</w:t>
      </w:r>
    </w:p>
    <w:p w14:paraId="343BB4F7" w14:textId="77777777" w:rsidR="00576A90" w:rsidRDefault="00576A90" w:rsidP="00576A90">
      <w:pPr>
        <w:pStyle w:val="TextoNormal"/>
      </w:pPr>
    </w:p>
    <w:p w14:paraId="45E94EAD" w14:textId="67EBBF7A" w:rsidR="00576A90" w:rsidRDefault="00576A90" w:rsidP="00576A90">
      <w:pPr>
        <w:pStyle w:val="TextoNormal"/>
      </w:pPr>
      <w:r w:rsidRPr="00576A90">
        <w:rPr>
          <w:rStyle w:val="NumeroAFNegritaCaracter"/>
        </w:rPr>
        <w:t>18</w:t>
      </w:r>
      <w:r>
        <w:t>. Por su parte, el Ministerio Fiscal formuló alegaciones el 28 de septiembre de 2023. Resumidamente, manifestó: (i) que era el momento procesal oportuno para plantear la cuestión de inconstitucionalidad porque el pleito se encuentra concluso; (ii) que la norma cuya constitucionalidad se cuestiona era aplicable al procedimiento, por lo que se superaría el juicio de aplicabilidad; (iii) que el juicio de relevancia era poco dudoso porque si el texto del art. 2.2 c), j) y k) de la Ley del Parlamento de las Illes Balears 8/2019 fuera declarado inconstitucional por invasión de las competencias exclusivas estatales ello determinaría la estimación del recurso contencioso-administrativo; y (iv) que un eventual auto de planteamiento de la cuestión de inconstitucionalidad debería contener una motivación reforzada porque la legislación básica estatal, en su preámbulo y en la disposición final undécima, deja libertad a las comunidades autónomas para dictar normas adicionales de protección del medio ambiente en el ejercicio de sus competencias constitucionalmente atribuidas, fijando objetivos más ambiciosos que los marcados por la normativa básica.</w:t>
      </w:r>
    </w:p>
    <w:p w14:paraId="3A33DFF0" w14:textId="77777777" w:rsidR="00576A90" w:rsidRDefault="00576A90" w:rsidP="00576A90">
      <w:pPr>
        <w:pStyle w:val="TextoNormal"/>
      </w:pPr>
    </w:p>
    <w:p w14:paraId="4FDCEB6F" w14:textId="77777777" w:rsidR="00576A90" w:rsidRDefault="00576A90" w:rsidP="00576A90">
      <w:pPr>
        <w:pStyle w:val="TextoNormal"/>
      </w:pPr>
      <w:r w:rsidRPr="00576A90">
        <w:rPr>
          <w:rStyle w:val="NumeroAFNegritaCaracter"/>
        </w:rPr>
        <w:t>19</w:t>
      </w:r>
      <w:r>
        <w:t>. La Sección Primera de la Sala de lo Contencioso-Administrativo del Tribunal Superior de Justicia de las Illes Balears, por auto de 14 de noviembre de 2023, acordó plantear cuestión de inconstitucionalidad en relación con el apartado 2.c) del art. 2 de la Ley del Parlamento de las Illes Balears 8/2019, de 19 de febrero, de residuos y suelos contaminados de las Illes Balears. Tras resumir el objeto del proceso contencioso-administrativo y los hitos fundamentales de su tramitación, expone la fundamentación jurídica del planteamiento de la cuestión de inconstitucionalidad que puede sintetizarse en los siguientes términos:</w:t>
      </w:r>
    </w:p>
    <w:p w14:paraId="7A2A14A6" w14:textId="77777777" w:rsidR="00576A90" w:rsidRDefault="00576A90" w:rsidP="00576A90">
      <w:pPr>
        <w:pStyle w:val="TextoNormal"/>
      </w:pPr>
    </w:p>
    <w:p w14:paraId="07EFFB5B" w14:textId="77777777" w:rsidR="00576A90" w:rsidRDefault="00576A90" w:rsidP="00576A90">
      <w:pPr>
        <w:pStyle w:val="TextoNormal"/>
      </w:pPr>
      <w:r>
        <w:t>a) En el razonamiento jurídico primero cita los apartados c), j) y k) del art. 2 de la Ley del Parlamento de las Illes Balears 8/2019, de 19 de febrero, de residuos y suelos contaminados de las Illes Balears. Explica que la demanda pretende que se declare la nulidad de los objetivos fijados en el apartado 3.2 del anexo IV del plan director sectorial de residuos no peligrosos de la isla de Mallorca, en concreto la exigencia de “[r]eciclar como mínimo, antes del año 2030, un 75 por 100 de los residuos de envases no industriales” y el establecimiento de objetivos de reutilización de envases de bebida. También expone que tales objetivos están basados en los preceptos de la ley autonómica cuya constitucionalidad se cuestiona.</w:t>
      </w:r>
    </w:p>
    <w:p w14:paraId="0A11E05C" w14:textId="77777777" w:rsidR="00576A90" w:rsidRDefault="00576A90" w:rsidP="00576A90">
      <w:pPr>
        <w:pStyle w:val="TextoNormal"/>
      </w:pPr>
    </w:p>
    <w:p w14:paraId="1EF65348" w14:textId="77777777" w:rsidR="00576A90" w:rsidRDefault="00576A90" w:rsidP="00576A90">
      <w:pPr>
        <w:pStyle w:val="TextoNormal"/>
      </w:pPr>
      <w:r>
        <w:lastRenderedPageBreak/>
        <w:t>Pone de relieve que la legislación estatal vigente al tiempo de aprobarse la Ley del Parlamento de las Illes Balears 8/2019 ha sido derogada y sustituida por la Ley 7/2022, de 8 de abril, de residuos y suelos contaminados para una economía circular, y el Real Decreto 1055/2022, de 27 de diciembre, de envases y residuos de envases, indicando que ha de estarse a estas últimas normas pues es, en su caso, con estas con las que podría producirse el choque de inconstitucionalidad.</w:t>
      </w:r>
    </w:p>
    <w:p w14:paraId="0B6778CC" w14:textId="77777777" w:rsidR="00576A90" w:rsidRDefault="00576A90" w:rsidP="00576A90">
      <w:pPr>
        <w:pStyle w:val="TextoNormal"/>
      </w:pPr>
    </w:p>
    <w:p w14:paraId="275981F7" w14:textId="77777777" w:rsidR="00576A90" w:rsidRDefault="00576A90" w:rsidP="00576A90">
      <w:pPr>
        <w:pStyle w:val="TextoNormal"/>
      </w:pPr>
      <w:r>
        <w:t>b) En el razonamiento jurídico segundo expone la distribución de competencias en materia de responsabilidad ampliada del productor, a partir de la jurisprudencia del Tribunal Supremo contenida en las SSTS 2636/2016, de 15 de diciembre, y 1124/2020, de 27 de julio, de las que se desprende que las medidas de responsabilidad ampliada del productor solo pueden establecerse en virtud de real decreto del Consejo de Ministros para garantizar la unidad del funcionamiento del mercado interior. Expone que el establecimiento de objetivos superiores a los fijados por el Estado supone “un aumento de la responsabilidad ampliada, que también afecta directamente a los productores”.</w:t>
      </w:r>
    </w:p>
    <w:p w14:paraId="18DF63C0" w14:textId="77777777" w:rsidR="00576A90" w:rsidRDefault="00576A90" w:rsidP="00576A90">
      <w:pPr>
        <w:pStyle w:val="TextoNormal"/>
      </w:pPr>
    </w:p>
    <w:p w14:paraId="42479B4E" w14:textId="77777777" w:rsidR="00576A90" w:rsidRDefault="00576A90" w:rsidP="00576A90">
      <w:pPr>
        <w:pStyle w:val="TextoNormal"/>
      </w:pPr>
      <w:r>
        <w:t>c) El razonamiento jurídico tercero analiza la posible inconstitucionalidad de los apartados c), j) y k) del art. 2.2 de la Ley del Parlamento de las Illes Balears 8/2019, de 19 de febrero, de residuos y suelos contaminados de las Illes Balears. Señala el auto que “hay que comprobar si las medidas adoptadas en el Plan director sectorial de residuos no peligrosos de la isla de Mallorca, y que son trascripción de la Ley 8/2019, de 19 de febrero, de residuos y suelos contaminados de las Illes Balears objeto de esta cuestión, afectan a la responsabilidad ampliada del productor y, posteriormente, si, en su caso, invaden la competencia estatal básica”.</w:t>
      </w:r>
    </w:p>
    <w:p w14:paraId="239D2AF8" w14:textId="77777777" w:rsidR="00576A90" w:rsidRDefault="00576A90" w:rsidP="00576A90">
      <w:pPr>
        <w:pStyle w:val="TextoNormal"/>
      </w:pPr>
    </w:p>
    <w:p w14:paraId="7BB109F7" w14:textId="77777777" w:rsidR="00576A90" w:rsidRDefault="00576A90" w:rsidP="00576A90">
      <w:pPr>
        <w:pStyle w:val="TextoNormal"/>
      </w:pPr>
      <w:r>
        <w:t>(i) Trascribe el art. 10.1 c) del Real Decreto 1055/2020 y concluye que el objetivo de reciclaje que establece (70 por 100 en peso de todos los residuos de envases) es menos exigente que el regulado en la letra c) del art. 2.2 de la Ley del Parlamento de las Illes Balears 8/2019. Señala que, dado que el art. 17.1 e) del Real Decreto 1055/2022 dispone que una de las obligaciones de los productores es alcanzar, como mínimo, los objetivos de reciclado fijados en el citado artículo 10, es una norma de carácter vinculante, de modo que sí afecta a la responsabilidad ampliada del productor.</w:t>
      </w:r>
    </w:p>
    <w:p w14:paraId="7116CEB5" w14:textId="77777777" w:rsidR="00576A90" w:rsidRDefault="00576A90" w:rsidP="00576A90">
      <w:pPr>
        <w:pStyle w:val="TextoNormal"/>
      </w:pPr>
    </w:p>
    <w:p w14:paraId="3410BB5E" w14:textId="77777777" w:rsidR="00576A90" w:rsidRDefault="00576A90" w:rsidP="00576A90">
      <w:pPr>
        <w:pStyle w:val="TextoNormal"/>
      </w:pPr>
      <w:r>
        <w:t xml:space="preserve">(ii) En cuanto a los objetivos de reutilización de envases fijados en las letras j) y k) del art. 2.2 de la Ley del Parlamento de las Illes Balears 8/2019, pone de manifiesto que al tiempo de dictarse la ley autonómica la normativa estatal no establecía objetivos de reutilización de envases pero que actualmente sí se contemplan en el artículo 8 del Real Decreto 1055/2022. Explica también que se trata de meras metas o aspiraciones de la normativa estatal porque el art. 8.1 del citado real decreto dispone que “se avanzará en alcanzar los siguientes objetivos de reutilización a nivel estatal”. Por lo tanto, entiende la Sala que “la normativa autonómica en cuanto que no supera ese objetivo encontraría, aunque sea </w:t>
      </w:r>
      <w:r w:rsidRPr="00576A90">
        <w:rPr>
          <w:i/>
        </w:rPr>
        <w:t>a posteriori</w:t>
      </w:r>
      <w:r>
        <w:t xml:space="preserve">, respaldo en la norma básica estatal y no invadiría las competencias estatales. El término </w:t>
      </w:r>
      <w:r w:rsidRPr="00576A90">
        <w:rPr>
          <w:i/>
        </w:rPr>
        <w:t>avanzar</w:t>
      </w:r>
      <w:r>
        <w:t xml:space="preserve"> deja la puerta abierta a que las comunidades autónomas tomen medidas para alcanzar esos objetivos, de lo contrario sería una disposición inocua, sin ningún efecto y que limitaría la competencia autonómica”.</w:t>
      </w:r>
    </w:p>
    <w:p w14:paraId="2F99B045" w14:textId="77777777" w:rsidR="00576A90" w:rsidRDefault="00576A90" w:rsidP="00576A90">
      <w:pPr>
        <w:pStyle w:val="TextoNormal"/>
      </w:pPr>
    </w:p>
    <w:p w14:paraId="0DBBAE3B" w14:textId="77777777" w:rsidR="00576A90" w:rsidRDefault="00576A90" w:rsidP="00576A90">
      <w:pPr>
        <w:pStyle w:val="TextoNormal"/>
      </w:pPr>
      <w:r>
        <w:t>Por ello, el objeto de la cuestión de inconstitucionalidad se reduce a la letra c) del art. 2.2 de la Ley del Parlamento de las Illes Balears 8/2019.</w:t>
      </w:r>
    </w:p>
    <w:p w14:paraId="4F19B343" w14:textId="77777777" w:rsidR="00576A90" w:rsidRDefault="00576A90" w:rsidP="00576A90">
      <w:pPr>
        <w:pStyle w:val="TextoNormal"/>
      </w:pPr>
    </w:p>
    <w:p w14:paraId="7C42F657" w14:textId="77777777" w:rsidR="00576A90" w:rsidRDefault="00576A90" w:rsidP="00576A90">
      <w:pPr>
        <w:pStyle w:val="TextoNormal"/>
      </w:pPr>
      <w:r>
        <w:t>d) Expuesto todo lo anterior, en el razonamiento jurídico cuarto lleva a cabo el “planteamiento de la cuestión de inconstitucionalidad”.</w:t>
      </w:r>
    </w:p>
    <w:p w14:paraId="5C58F43C" w14:textId="77777777" w:rsidR="00576A90" w:rsidRDefault="00576A90" w:rsidP="00576A90">
      <w:pPr>
        <w:pStyle w:val="TextoNormal"/>
      </w:pPr>
    </w:p>
    <w:p w14:paraId="4268A00B" w14:textId="77777777" w:rsidR="00576A90" w:rsidRDefault="00576A90" w:rsidP="00576A90">
      <w:pPr>
        <w:pStyle w:val="TextoNormal"/>
      </w:pPr>
      <w:r>
        <w:t xml:space="preserve">Después de trascribir el art. 35.2 LOTC, señala que ha de partirse del marco constitucional de distribución de competencias. Explica que el art. 31.3 de la Ley 22/2011 es una norma básica adoptada en el ejercicio de las competencias estatales previstas </w:t>
      </w:r>
      <w:r w:rsidRPr="00576A90">
        <w:rPr>
          <w:i/>
        </w:rPr>
        <w:t>ex</w:t>
      </w:r>
      <w:r>
        <w:t xml:space="preserve"> arts. 149.1.23 y 149.1.13 CE. Este artículo atribuye al Consejo de Ministros la competencia para establecer, mediante real decreto, medidas de responsabilidad ampliada del productor. A partir de aquí, y con cita de las SSTC 77/1985 y 100/2020, entiende que el art. 10.1 c) del Real Decreto 1055/2022, que establece el objetivo global de reciclado de envases para el año 2030, constituye legislación básica, dictada al amparo de los arts. 149.1.13 y 149.1.23 CE (disposición final segunda del Real Decreto 1055/2022).</w:t>
      </w:r>
    </w:p>
    <w:p w14:paraId="56B37BE2" w14:textId="77777777" w:rsidR="00576A90" w:rsidRDefault="00576A90" w:rsidP="00576A90">
      <w:pPr>
        <w:pStyle w:val="TextoNormal"/>
      </w:pPr>
    </w:p>
    <w:p w14:paraId="4305891F" w14:textId="77777777" w:rsidR="00576A90" w:rsidRDefault="00576A90" w:rsidP="00576A90">
      <w:pPr>
        <w:pStyle w:val="TextoNormal"/>
      </w:pPr>
      <w:r>
        <w:t>Razona el auto:</w:t>
      </w:r>
    </w:p>
    <w:p w14:paraId="7505B3A6" w14:textId="77777777" w:rsidR="00576A90" w:rsidRDefault="00576A90" w:rsidP="00576A90">
      <w:pPr>
        <w:pStyle w:val="TextoNormal"/>
      </w:pPr>
    </w:p>
    <w:p w14:paraId="2947B785" w14:textId="77777777" w:rsidR="00576A90" w:rsidRDefault="00576A90" w:rsidP="00576A90">
      <w:pPr>
        <w:pStyle w:val="TextoNormal"/>
      </w:pPr>
      <w:r>
        <w:t>“[S]e puede plantear que una vez establecido lo básico al tratarse de materia de medio ambiente supondría un mínimo, que nada impediría que las comunidades autónomas con competencia en la materia establezcan unos niveles de protección más altos, como ha señalado el Tribunal Constitucional en varias sentencias, la última de ellas la anteriormente citada 100/2020, de 22 de julio […]</w:t>
      </w:r>
    </w:p>
    <w:p w14:paraId="3343FEAF" w14:textId="77777777" w:rsidR="00576A90" w:rsidRDefault="00576A90" w:rsidP="00576A90">
      <w:pPr>
        <w:pStyle w:val="TextoNormal"/>
      </w:pPr>
    </w:p>
    <w:p w14:paraId="140414F8" w14:textId="77777777" w:rsidR="00576A90" w:rsidRDefault="00576A90" w:rsidP="00576A90">
      <w:pPr>
        <w:pStyle w:val="TextoNormal"/>
      </w:pPr>
      <w:r>
        <w:t>Sin embargo, si bien la materia objeto del recurso se trata de medio ambiente, aquí, a su vez, entran en juego otros valores como es el correcto funcionamiento del mercado interior que se puede ver afectado con regímenes diferentes y que se alude en la norma por el legislador estatal, así como puede afectar a la planificación de la economía, por lo que correspondería al Tribunal Constitucional dilucidar en qué medida pueden entrar en colisión esos valores con las normas que disciplinan el medio ambiente, no siendo competencia de este tribunal realizar una ponderación de la legislación con la Constitución”.</w:t>
      </w:r>
    </w:p>
    <w:p w14:paraId="08B81335" w14:textId="77777777" w:rsidR="00576A90" w:rsidRDefault="00576A90" w:rsidP="00576A90">
      <w:pPr>
        <w:pStyle w:val="TextoNormal"/>
      </w:pPr>
    </w:p>
    <w:p w14:paraId="693627D2" w14:textId="77777777" w:rsidR="00576A90" w:rsidRDefault="00576A90" w:rsidP="00576A90">
      <w:pPr>
        <w:pStyle w:val="TextoNormal"/>
      </w:pPr>
      <w:r>
        <w:t>Según lo expuesto, continúa diciendo el auto que las comunidades autónomas podrían desarrollar lo previsto en los reales decretos sectoriales que regulen la responsabilidad ampliada del productor, pero no adoptar medidas de responsabilidad ampliada del productor que no estén previstas en la legislación básica estatal contenida en los citados reales decretos.</w:t>
      </w:r>
    </w:p>
    <w:p w14:paraId="3E876293" w14:textId="77777777" w:rsidR="00576A90" w:rsidRDefault="00576A90" w:rsidP="00576A90">
      <w:pPr>
        <w:pStyle w:val="TextoNormal"/>
      </w:pPr>
    </w:p>
    <w:p w14:paraId="0160704D" w14:textId="77777777" w:rsidR="00576A90" w:rsidRDefault="00576A90" w:rsidP="00576A90">
      <w:pPr>
        <w:pStyle w:val="TextoNormal"/>
      </w:pPr>
      <w:r>
        <w:t xml:space="preserve">A juicio de la Sala, la imposición a los productores de la obligación de alcanzar unos objetivos de reciclado [letra c) del art. 2.2 de la Ley del Parlamento de las Illes Balears 8/2019] más exigentes que los establecidos en la normativa estatal básica supone el establecimiento de medidas que en virtud del art. 31.3 de la Ley 22/2011 (actual artículo 37.2 de la Ley 7/2022) solo pueden regularse mediante real decreto aprobado por el Consejo de Ministros. Por consiguiente, el precepto de la Ley del Parlamento de las Illes Balears 8/2019 invadiría las competencias que el Estado tiene atribuidas en exclusiva </w:t>
      </w:r>
      <w:r w:rsidRPr="00576A90">
        <w:rPr>
          <w:i/>
        </w:rPr>
        <w:t>ex</w:t>
      </w:r>
      <w:r>
        <w:t xml:space="preserve"> arts. 149.1.13 y 149.1.23 de la Constitución.</w:t>
      </w:r>
    </w:p>
    <w:p w14:paraId="63D80125" w14:textId="77777777" w:rsidR="00576A90" w:rsidRDefault="00576A90" w:rsidP="00576A90">
      <w:pPr>
        <w:pStyle w:val="TextoNormal"/>
      </w:pPr>
    </w:p>
    <w:p w14:paraId="182A595E" w14:textId="4D331B1D" w:rsidR="00576A90" w:rsidRDefault="00576A90" w:rsidP="00576A90">
      <w:pPr>
        <w:pStyle w:val="TextoNormal"/>
      </w:pPr>
      <w:r>
        <w:t xml:space="preserve">Concluye el auto señalando que resulta determinante para el sentido del fallo que se haya de dictar la decisión acerca de la competencia de la Comunidad Autónoma para legislar en materia de responsabilidad ampliada del productor, por lo que resulta procedente </w:t>
      </w:r>
      <w:r>
        <w:lastRenderedPageBreak/>
        <w:t>elevar cuestión de inconstitucionalidad en relación con el apartado 2.c) del art. 2 de la Ley del Parlamento de las Illes Balears 8/2019, de 19 de febrero, de residuos y suelos contaminados de las Illes Balears.</w:t>
      </w:r>
    </w:p>
    <w:p w14:paraId="7C17830F" w14:textId="77777777" w:rsidR="00576A90" w:rsidRDefault="00576A90" w:rsidP="00576A90">
      <w:pPr>
        <w:pStyle w:val="TextoNormal"/>
      </w:pPr>
    </w:p>
    <w:p w14:paraId="39F75943" w14:textId="5C776A4A" w:rsidR="00576A90" w:rsidRDefault="00576A90" w:rsidP="00576A90">
      <w:pPr>
        <w:pStyle w:val="TextoNormal"/>
      </w:pPr>
      <w:r w:rsidRPr="00576A90">
        <w:rPr>
          <w:rStyle w:val="NumeroAFNegritaCaracter"/>
        </w:rPr>
        <w:t>20</w:t>
      </w:r>
      <w:r>
        <w:t>. Mediante providencia de 27 de febrero de 2024, el Pleno del Tribunal Constitucional acordó oír al fiscal general del Estado para que, en el plazo de diez días, y a los efectos que determina el art. 37.1 LOTC, alegase lo que considerase conveniente acerca de la admisibilidad de la presente cuestión de inconstitucionalidad, por si fuere notoriamente infundada.</w:t>
      </w:r>
    </w:p>
    <w:p w14:paraId="5D4D6909" w14:textId="77777777" w:rsidR="00576A90" w:rsidRDefault="00576A90" w:rsidP="00576A90">
      <w:pPr>
        <w:pStyle w:val="TextoNormal"/>
      </w:pPr>
    </w:p>
    <w:p w14:paraId="3379D80B" w14:textId="77777777" w:rsidR="00576A90" w:rsidRDefault="00576A90" w:rsidP="00576A90">
      <w:pPr>
        <w:pStyle w:val="TextoNormal"/>
      </w:pPr>
      <w:r w:rsidRPr="00576A90">
        <w:rPr>
          <w:rStyle w:val="NumeroAFNegritaCaracter"/>
        </w:rPr>
        <w:t>21</w:t>
      </w:r>
      <w:r>
        <w:t>. El fiscal jefe de la Fiscalía ante el Tribunal Constitucional, actuando por delegación del fiscal general del Estado, evacuó el trámite conferido mediante escrito registrado en este tribunal el 20 de marzo de 2024, interesando la inadmisión de la presente cuestión de inconstitucionalidad por resultar notoriamente infundada.</w:t>
      </w:r>
    </w:p>
    <w:p w14:paraId="1BDE1065" w14:textId="77777777" w:rsidR="00576A90" w:rsidRDefault="00576A90" w:rsidP="00576A90">
      <w:pPr>
        <w:pStyle w:val="TextoNormal"/>
      </w:pPr>
    </w:p>
    <w:p w14:paraId="37FD3A21" w14:textId="77777777" w:rsidR="00576A90" w:rsidRDefault="00576A90" w:rsidP="00576A90">
      <w:pPr>
        <w:pStyle w:val="TextoNormal"/>
      </w:pPr>
      <w:r>
        <w:t>Tras exponer los antecedentes del caso, para centrar el objeto de debate, trascribe el precepto cuestionado, los arts. 149.1.13 y 149.1.23 CE, el art. 30.46 del Estatuto de Autonomía de las Illes Balears, los arts. 31.3 de la Ley 22/2011 y 27.2 de la Ley 7/2022, el art. 10.1 c) del Real Decreto 1055/2022 y el art. 6 de la Directiva 94/62/CE, relativa a los envases y residuos de envases, en la redacción dada por la Directiva (UE) 2018/852.</w:t>
      </w:r>
    </w:p>
    <w:p w14:paraId="40F1A7A6" w14:textId="77777777" w:rsidR="00576A90" w:rsidRDefault="00576A90" w:rsidP="00576A90">
      <w:pPr>
        <w:pStyle w:val="TextoNormal"/>
      </w:pPr>
    </w:p>
    <w:p w14:paraId="5F40BFC1" w14:textId="77777777" w:rsidR="00576A90" w:rsidRDefault="00576A90" w:rsidP="00576A90">
      <w:pPr>
        <w:pStyle w:val="TextoNormal"/>
      </w:pPr>
      <w:r>
        <w:t>Expuesto lo anterior, con cita de la STC 100/2020, razona que, tratándose de disposiciones en materia de residuos cuya finalidad es la protección del medio ambiente, el título competencial prevalente y que ha de utilizarse como canon es el art. 149.1.23 CE, que atribuye al Estado la competencia para dictar la legislación básica sobre protección del medioambiente, sin perjuicio de la competencia de las comunidades autónomas para establecer normas adicionales de protección.</w:t>
      </w:r>
    </w:p>
    <w:p w14:paraId="47F00239" w14:textId="77777777" w:rsidR="00576A90" w:rsidRDefault="00576A90" w:rsidP="00576A90">
      <w:pPr>
        <w:pStyle w:val="TextoNormal"/>
      </w:pPr>
    </w:p>
    <w:p w14:paraId="7F9713E3" w14:textId="77777777" w:rsidR="00576A90" w:rsidRDefault="00576A90" w:rsidP="00576A90">
      <w:pPr>
        <w:pStyle w:val="TextoNormal"/>
      </w:pPr>
      <w:r>
        <w:t>Considera que el auto de planteamiento no tiene en cuenta que los objetivos de reciclaje establecidos para 2030 por la normativa europea y la estatal están calificados como “mínimos”, por lo que nada impide que la norma autonómica fije unos objetivos más ambiciosos, que deben calificarse como normas adicionales con niveles más elevados de protección, al amparo de lo establecido en el art. 149.1.23 CE.</w:t>
      </w:r>
    </w:p>
    <w:p w14:paraId="5B4F3BA8" w14:textId="77777777" w:rsidR="00576A90" w:rsidRDefault="00576A90" w:rsidP="00576A90">
      <w:pPr>
        <w:pStyle w:val="TextoNormal"/>
      </w:pPr>
    </w:p>
    <w:p w14:paraId="4D6515D2" w14:textId="54D43915" w:rsidR="00576A90" w:rsidRDefault="00576A90" w:rsidP="00576A90">
      <w:pPr>
        <w:pStyle w:val="TextoNormal"/>
      </w:pPr>
      <w:r>
        <w:t>Por último, añade que el auto de planteamiento pone el énfasis en que la norma cuestionada implicaría una extensión de la responsabilidad ampliada del productor, que sería competencia exclusiva del Estado conforme al art. 149.1.13 CE, sin argumentar, justificar ni cuantificar hasta qué punto la norma cuestionada entra en colisión con otros valores constitucionales.</w:t>
      </w:r>
    </w:p>
    <w:p w14:paraId="22DF6A57" w14:textId="77777777" w:rsidR="00576A90" w:rsidRDefault="00576A90" w:rsidP="00576A90">
      <w:pPr>
        <w:pStyle w:val="TextoNormal"/>
      </w:pPr>
    </w:p>
    <w:p w14:paraId="3DEFE2E2" w14:textId="77777777" w:rsidR="00576A90" w:rsidRDefault="00576A90" w:rsidP="00576A90">
      <w:pPr>
        <w:pStyle w:val="TextoNormalNegritaCentrado"/>
        <w:keepNext/>
      </w:pPr>
      <w:r>
        <w:t>II. Fundamentos jurídicos</w:t>
      </w:r>
    </w:p>
    <w:p w14:paraId="31E9AED9" w14:textId="6CE590C6" w:rsidR="00576A90" w:rsidRDefault="00576A90" w:rsidP="00576A90">
      <w:pPr>
        <w:pStyle w:val="TextoNormalNegritaCentrado"/>
        <w:keepNext/>
      </w:pPr>
    </w:p>
    <w:p w14:paraId="26F5376B" w14:textId="77777777" w:rsidR="00576A90" w:rsidRDefault="00576A90" w:rsidP="00576A90">
      <w:pPr>
        <w:pStyle w:val="TextoNormal"/>
      </w:pPr>
      <w:r w:rsidRPr="00576A90">
        <w:rPr>
          <w:rStyle w:val="NumeroAFNegritaCaracter"/>
        </w:rPr>
        <w:t>1</w:t>
      </w:r>
      <w:r>
        <w:t>. La Sección Primera de la Sala de lo Contencioso-Administrativo del Tribunal Superior de Justicia de las Illes Balears plantea cuestión de inconstitucionalidad en relación con el art. 2.2 c) de la Ley del Parlamento de las Illes Balears 8/2019, de 19 de febrero, de residuos y suelos contaminados de las Illes Balears. Este precepto establece como objetivo “en materia de prevención, reutilización, preparación para la reutilización y reciclaje”:</w:t>
      </w:r>
    </w:p>
    <w:p w14:paraId="675840A8" w14:textId="77777777" w:rsidR="00576A90" w:rsidRDefault="00576A90" w:rsidP="00576A90">
      <w:pPr>
        <w:pStyle w:val="TextoNormal"/>
      </w:pPr>
    </w:p>
    <w:p w14:paraId="31E961A7" w14:textId="77777777" w:rsidR="00576A90" w:rsidRDefault="00576A90" w:rsidP="00576A90">
      <w:pPr>
        <w:pStyle w:val="TextoNormal"/>
      </w:pPr>
      <w:r>
        <w:t>“c) Reciclar como mínimo, antes del año 2030, un 75 por 100 de los residuos de envases no industriales, entendiendo como tales la valorización material de los generados”.</w:t>
      </w:r>
    </w:p>
    <w:p w14:paraId="73924F2C" w14:textId="77777777" w:rsidR="00576A90" w:rsidRDefault="00576A90" w:rsidP="00576A90">
      <w:pPr>
        <w:pStyle w:val="TextoNormal"/>
      </w:pPr>
    </w:p>
    <w:p w14:paraId="23C1AE98" w14:textId="77777777" w:rsidR="00576A90" w:rsidRDefault="00576A90" w:rsidP="00576A90">
      <w:pPr>
        <w:pStyle w:val="TextoNormal"/>
      </w:pPr>
      <w:r>
        <w:t xml:space="preserve">Como ha quedado expuesto en detalle en los antecedentes, el órgano judicial considera que el precepto cuestionado, al regular un objetivo de reciclado de envases para el año 2030, está incidiendo en el régimen de responsabilidad ampliada del productor, en contraposición a la legislación estatal básica dictada </w:t>
      </w:r>
      <w:r w:rsidRPr="00576A90">
        <w:rPr>
          <w:i/>
        </w:rPr>
        <w:t>ex</w:t>
      </w:r>
      <w:r>
        <w:t xml:space="preserve"> arts. 149.1.13 y 149.1.23 CE. A juicio de la Sala de instancia, el precepto cuestionado contravendría lo dispuesto en el art. 31.5 de la Ley 22/2011, de 28 de julio, de residuos y suelos contaminados, hoy derogado y sustituido por el art. 37.2 de la Ley 7/2022, de 8 de abril, de residuos y suelos contaminados para una economía circular, en cuya virtud queda reservada al Estado la competencia para regular la responsabilidad ampliada del productor, por medio de real decreto del Consejo de Ministros. Además, el precepto autonómico habría incurrido en inconstitucionalidad mediata al haber establecido un objetivo de reciclado de envases superior o más ambicioso al previsto con carácter básico en el art. 10.1 c) del Real Decreto 1055/2022, de 27 de diciembre, de envases y residuos de envases.</w:t>
      </w:r>
    </w:p>
    <w:p w14:paraId="1E15E9AF" w14:textId="77777777" w:rsidR="00576A90" w:rsidRDefault="00576A90" w:rsidP="00576A90">
      <w:pPr>
        <w:pStyle w:val="TextoNormal"/>
      </w:pPr>
    </w:p>
    <w:p w14:paraId="51CFF182" w14:textId="11F6AA6E" w:rsidR="00576A90" w:rsidRDefault="00576A90" w:rsidP="00576A90">
      <w:pPr>
        <w:pStyle w:val="TextoNormal"/>
      </w:pPr>
      <w:r>
        <w:t>Por su parte, el fiscal general del Estado, en el trámite previsto en el art. 37.1 LOTC, ha interesado la inadmisión de la cuestión de inconstitucionalidad considerando que la misma es notoriamente infundada. Estima que el título competencial prevalente es, en este caso, el art. 149.1.23 CE y que, desde esta perspectiva, el precepto autonómico no contraviene la normativa básica estatal, puesto que los objetivos de reciclado de envases establecidos en esta son objetivos mínimos, de suerte que la normativa autonómica puede establecer objetivos superiores que tendrían la consideración de normas adicionales de protección del medio ambiente.</w:t>
      </w:r>
    </w:p>
    <w:p w14:paraId="558EAAFB" w14:textId="77777777" w:rsidR="00576A90" w:rsidRDefault="00576A90" w:rsidP="00576A90">
      <w:pPr>
        <w:pStyle w:val="TextoNormal"/>
      </w:pPr>
    </w:p>
    <w:p w14:paraId="508CAD1C" w14:textId="265E6850" w:rsidR="00576A90" w:rsidRDefault="00576A90" w:rsidP="00576A90">
      <w:pPr>
        <w:pStyle w:val="TextoNormal"/>
      </w:pPr>
      <w:r w:rsidRPr="00576A90">
        <w:rPr>
          <w:rStyle w:val="NumeroAFNegritaCaracter"/>
        </w:rPr>
        <w:t>2</w:t>
      </w:r>
      <w:r>
        <w:t xml:space="preserve">. El art. 37.1 LOTC permite a este tribunal rechazar </w:t>
      </w:r>
      <w:r w:rsidRPr="00576A90">
        <w:rPr>
          <w:i/>
        </w:rPr>
        <w:t>a limine</w:t>
      </w:r>
      <w:r>
        <w:t xml:space="preserve"> las cuestiones de inconstitucionalidad, mediante auto y sin otra audiencia que la del fiscal general del Estado, cuando faltaren las condiciones procesales o fuere notoriamente infundada la cuestión suscitada. Este tribunal estima que la cuestión planteada por la Sala de lo Contencioso-Administrativo del Tribunal Superior de Justicia de las Illes Balears es notoriamente infundada.</w:t>
      </w:r>
    </w:p>
    <w:p w14:paraId="0CD2A1C0" w14:textId="77777777" w:rsidR="00576A90" w:rsidRDefault="00576A90" w:rsidP="00576A90">
      <w:pPr>
        <w:pStyle w:val="TextoNormal"/>
      </w:pPr>
    </w:p>
    <w:p w14:paraId="6D083AB4" w14:textId="77777777" w:rsidR="00576A90" w:rsidRDefault="00576A90" w:rsidP="00576A90">
      <w:pPr>
        <w:pStyle w:val="TextoNormal"/>
      </w:pPr>
      <w:r w:rsidRPr="00576A90">
        <w:rPr>
          <w:rStyle w:val="NumeroAFNegritaCaracter"/>
        </w:rPr>
        <w:t>3</w:t>
      </w:r>
      <w:r>
        <w:t>. De acuerdo con la tesis expuesta en el auto de planteamiento, la cuestión que nos ocupa describe un supuesto de inconstitucionalidad mediata, toda vez que la posible infracción constitucional no derivaría de la incompatibilidad directa del precepto impugnado con la Constitución, sino de su eventual contradicción con la legislación estatal básica. En estos casos, de acuerdo con la doctrina constitucional, resulta preciso verificar que concurren las dos condiciones siguientes: (i) que la norma estatal que se considera infringida por la ley autonómica sea básica, en el doble sentido material y formal; y (ii) que la contradicción entre ambas normas, estatal y autonómica, sea efectiva e insalvable por vía interpretativa [SSTC 39/2014, de 11 de marzo, FJ 3; 82/2017, de 22 de junio, FJ 5; 109/2017, de 21 de septiembre, FJ 2; 161/2019, de 12 de diciembre, FJ 6, 16/2020, de 28 de enero, FJ 3, y 100/2020, de 22 de julio, FJ 3 A)].</w:t>
      </w:r>
    </w:p>
    <w:p w14:paraId="59FB0E01" w14:textId="77777777" w:rsidR="00576A90" w:rsidRDefault="00576A90" w:rsidP="00576A90">
      <w:pPr>
        <w:pStyle w:val="TextoNormal"/>
      </w:pPr>
    </w:p>
    <w:p w14:paraId="64D5270B" w14:textId="77777777" w:rsidR="00576A90" w:rsidRDefault="00576A90" w:rsidP="00576A90">
      <w:pPr>
        <w:pStyle w:val="TextoNormal"/>
      </w:pPr>
      <w:r>
        <w:t>Para llevar a cabo esta doble operación, es necesario, en primer lugar, dilucidar cuál es la norma estatal que ha de tomarse como parámetro de contraste. En esta labor de indaga</w:t>
      </w:r>
      <w:r>
        <w:lastRenderedPageBreak/>
        <w:t xml:space="preserve">ción ha de significarse que durante la pendencia del proceso </w:t>
      </w:r>
      <w:r w:rsidRPr="00576A90">
        <w:rPr>
          <w:i/>
        </w:rPr>
        <w:t>a quo</w:t>
      </w:r>
      <w:r>
        <w:t xml:space="preserve"> se ha producido la derogación de la Ley 22/2011, vigente al tiempo de interponerse el recurso contencioso-administrativo de que dimana la presente cuestión de inconstitucionalidad. Dicha disposición ha sido sustituida por la Ley 7/2022, que es la norma vigente en la actualidad y también al tiempo en que la Sala de instancia procedió a elevar la presente cuestión. Este problema de sucesión temporal de las normas tiene su reflejo igualmente en la normativa reglamentaria estatal.</w:t>
      </w:r>
    </w:p>
    <w:p w14:paraId="3D1A8FBF" w14:textId="77777777" w:rsidR="00576A90" w:rsidRDefault="00576A90" w:rsidP="00576A90">
      <w:pPr>
        <w:pStyle w:val="TextoNormal"/>
      </w:pPr>
    </w:p>
    <w:p w14:paraId="40404B1C" w14:textId="77777777" w:rsidR="00576A90" w:rsidRDefault="00576A90" w:rsidP="00576A90">
      <w:pPr>
        <w:pStyle w:val="TextoNormal"/>
      </w:pPr>
      <w:r>
        <w:t xml:space="preserve">En este sentido, hemos declarado que la doctrina del </w:t>
      </w:r>
      <w:r w:rsidRPr="00576A90">
        <w:rPr>
          <w:i/>
        </w:rPr>
        <w:t>ius superveniens</w:t>
      </w:r>
      <w:r>
        <w:t xml:space="preserve">, acuñada por este tribunal, en cuya virtud “el control de las normas que incurren en un posible exceso competencial ha de hacerse de acuerdo con las normas del bloque de la constitucionalidad vigentes al momento de dictar sentencia (por todas, STC 184/2011, de 23 de noviembre, FJ 3, y las allí citadas), no resulta aplicable a las cuestiones de inconstitucionalidad (SSTC 4/2011, de 14 de febrero, FJ 3; 184/2011, de 23 de noviembre, FJ 3; 86/2012, de 18 de abril, FJ 3, y 191/2012, de 29 de octubre, FJ 2)” [STC 134/2019, de 13 de noviembre, FJ 3 b)]. En estos casos, como explicamos en el ATC 116/2014, de 8 de abril, “la norma estatal de contraste que se tiene en cuenta para determinar si existe una vulneración competencial no es la ley estatal vigente en el momento de dictar sentencia, sino (i) la que estaba vigente en el momento de plantear la cuestión de inconstitucionalidad (SSTC 4/2011, 184/2011, 181/2012, 191/2012 y 137/2013 ), o bien (ii) la que estaba vigente en el momento de aprobarse el acto recurrido en el proceso judicial </w:t>
      </w:r>
      <w:r w:rsidRPr="00576A90">
        <w:rPr>
          <w:i/>
        </w:rPr>
        <w:t>a quo</w:t>
      </w:r>
      <w:r>
        <w:t xml:space="preserve"> (SSTC 196/2012, de 31 de octubre, y 60/2013, de 13 de marzo)” (FJ 4).</w:t>
      </w:r>
    </w:p>
    <w:p w14:paraId="567EC828" w14:textId="77777777" w:rsidR="00576A90" w:rsidRDefault="00576A90" w:rsidP="00576A90">
      <w:pPr>
        <w:pStyle w:val="TextoNormal"/>
      </w:pPr>
    </w:p>
    <w:p w14:paraId="3AA2B80A" w14:textId="77777777" w:rsidR="00576A90" w:rsidRDefault="00576A90" w:rsidP="00576A90">
      <w:pPr>
        <w:pStyle w:val="TextoNormal"/>
      </w:pPr>
      <w:r>
        <w:t>Así las cosas, como quiera que, en este caso, la cuestión de inconstitucionalidad se plantea en un recurso contencioso-administrativo directo entablado contra una disposición de carácter general (el plan director sectorial de residuos no peligrosos de la isla de Mallorca) y no contra un acto administrativo, la normativa estatal cuya vulneración podría determinar la inconstitucionalidad del precepto legal autonómico cuestionado habrá de ser la vigente en el momento en que la Sala de instancia planteó la cuestión de inconstitucionalidad. Por lo tanto, las normas estatales que han de tenerse en cuenta son el art. 37.2 de la Ley 7/2022 y el art. 10.1 c) del Real Decreto 1055/2022.</w:t>
      </w:r>
    </w:p>
    <w:p w14:paraId="0273B429" w14:textId="77777777" w:rsidR="00576A90" w:rsidRDefault="00576A90" w:rsidP="00576A90">
      <w:pPr>
        <w:pStyle w:val="TextoNormal"/>
      </w:pPr>
    </w:p>
    <w:p w14:paraId="2F906FC5" w14:textId="77777777" w:rsidR="00576A90" w:rsidRDefault="00576A90" w:rsidP="00576A90">
      <w:pPr>
        <w:pStyle w:val="TextoNormal"/>
      </w:pPr>
      <w:r>
        <w:t>El art. 37.2 de la Ley 7/2022 dispone:</w:t>
      </w:r>
    </w:p>
    <w:p w14:paraId="0C1DD22D" w14:textId="77777777" w:rsidR="00576A90" w:rsidRDefault="00576A90" w:rsidP="00576A90">
      <w:pPr>
        <w:pStyle w:val="TextoNormal"/>
      </w:pPr>
    </w:p>
    <w:p w14:paraId="3A94F553" w14:textId="77777777" w:rsidR="00576A90" w:rsidRDefault="00576A90" w:rsidP="00576A90">
      <w:pPr>
        <w:pStyle w:val="TextoNormal"/>
      </w:pPr>
      <w:r>
        <w:t>“Estas obligaciones se establecerán mediante real decreto aprobado por el Consejo de Ministros, teniendo en cuenta su viabilidad técnica y económica, el conjunto de impactos ambientales y sobre la salud humana, y respetando la necesidad de garantizar el correcto funcionamiento del mercado interior. Cuando estas obligaciones incluyan un régimen de responsabilidad ampliada del productor, este deberá cumplir los requisitos mínimos generales establecidos en el capítulo II”.</w:t>
      </w:r>
    </w:p>
    <w:p w14:paraId="75617736" w14:textId="77777777" w:rsidR="00576A90" w:rsidRDefault="00576A90" w:rsidP="00576A90">
      <w:pPr>
        <w:pStyle w:val="TextoNormal"/>
      </w:pPr>
    </w:p>
    <w:p w14:paraId="33FDA9D9" w14:textId="77777777" w:rsidR="00576A90" w:rsidRDefault="00576A90" w:rsidP="00576A90">
      <w:pPr>
        <w:pStyle w:val="TextoNormal"/>
      </w:pPr>
      <w:r>
        <w:t>Por su parte, el art. 10.1 c) del Real Decreto 1055/2022 establece:</w:t>
      </w:r>
    </w:p>
    <w:p w14:paraId="630C0B9B" w14:textId="77777777" w:rsidR="00576A90" w:rsidRDefault="00576A90" w:rsidP="00576A90">
      <w:pPr>
        <w:pStyle w:val="TextoNormal"/>
      </w:pPr>
    </w:p>
    <w:p w14:paraId="334B815A" w14:textId="77777777" w:rsidR="00576A90" w:rsidRDefault="00576A90" w:rsidP="00576A90">
      <w:pPr>
        <w:pStyle w:val="TextoNormal"/>
      </w:pPr>
      <w:r>
        <w:t>“1. Deberán cumplirse, en el ámbito de todo el territorio del Estado, los siguientes objetivos de reciclaje y valorización:</w:t>
      </w:r>
    </w:p>
    <w:p w14:paraId="1EFEEBD3" w14:textId="77777777" w:rsidR="00576A90" w:rsidRDefault="00576A90" w:rsidP="00576A90">
      <w:pPr>
        <w:pStyle w:val="TextoNormal"/>
      </w:pPr>
    </w:p>
    <w:p w14:paraId="6F8C732C" w14:textId="77777777" w:rsidR="00576A90" w:rsidRDefault="00576A90" w:rsidP="00576A90">
      <w:pPr>
        <w:pStyle w:val="TextoNormal"/>
      </w:pPr>
      <w:r>
        <w:t>[…]</w:t>
      </w:r>
    </w:p>
    <w:p w14:paraId="6A09E78C" w14:textId="77777777" w:rsidR="00576A90" w:rsidRDefault="00576A90" w:rsidP="00576A90">
      <w:pPr>
        <w:pStyle w:val="TextoNormal"/>
      </w:pPr>
    </w:p>
    <w:p w14:paraId="52D85B0D" w14:textId="6B540CFC" w:rsidR="00576A90" w:rsidRDefault="00576A90" w:rsidP="00576A90">
      <w:pPr>
        <w:pStyle w:val="TextoNormal"/>
      </w:pPr>
      <w:r>
        <w:lastRenderedPageBreak/>
        <w:t>c) En 2030, se reciclará un mínimo del 70 por 100 en peso de todos los residuos de envases”.</w:t>
      </w:r>
    </w:p>
    <w:p w14:paraId="46E80E3A" w14:textId="77777777" w:rsidR="00576A90" w:rsidRDefault="00576A90" w:rsidP="00576A90">
      <w:pPr>
        <w:pStyle w:val="TextoNormal"/>
      </w:pPr>
    </w:p>
    <w:p w14:paraId="281776F1" w14:textId="77777777" w:rsidR="00576A90" w:rsidRDefault="00576A90" w:rsidP="00576A90">
      <w:pPr>
        <w:pStyle w:val="TextoNormal"/>
      </w:pPr>
      <w:r w:rsidRPr="00576A90">
        <w:rPr>
          <w:rStyle w:val="NumeroAFNegritaCaracter"/>
        </w:rPr>
        <w:t>4</w:t>
      </w:r>
      <w:r>
        <w:t>. Una vez identificadas las normas estatales que han de tomarse en consideración, estamos ya en disposición de realizar el correspondiente juicio de constitucionalidad mediata para lo cual, en primer lugar, ha de efectuarse el encuadramiento competencial de las normas en liza. Para ello conviene recordar que en esta tarea el Tribunal no se encuentra vinculado por las incardinaciones competenciales contenidas en las normas sometidas a su enjuiciamiento ni tampoco por el encuadramiento competencial que realicen las partes en el proceso [por todas, STC 132/2019, de 13 de noviembre, FJ 4 d)].</w:t>
      </w:r>
    </w:p>
    <w:p w14:paraId="147E4D02" w14:textId="77777777" w:rsidR="00576A90" w:rsidRDefault="00576A90" w:rsidP="00576A90">
      <w:pPr>
        <w:pStyle w:val="TextoNormal"/>
      </w:pPr>
    </w:p>
    <w:p w14:paraId="0FF493BC" w14:textId="77777777" w:rsidR="00576A90" w:rsidRDefault="00576A90" w:rsidP="00576A90">
      <w:pPr>
        <w:pStyle w:val="TextoNormal"/>
      </w:pPr>
      <w:r>
        <w:t>a) El órgano judicial estima que el art. 2.2 c) de la Ley del Parlamento de las Illes Balears 8/2019 vulnera las competencias estatales previstas en los arts. 149.1.23 y 149.1.13 CE, a cuyo amparo habrían sido dictados el art. 37.2 de la Ley 7/2022 (apartado 2 de la disposición final undécima), y el art. 10.1 c) del Real Decreto 1055/2022 (disposición final segunda).</w:t>
      </w:r>
    </w:p>
    <w:p w14:paraId="5018FB2D" w14:textId="77777777" w:rsidR="00576A90" w:rsidRDefault="00576A90" w:rsidP="00576A90">
      <w:pPr>
        <w:pStyle w:val="TextoNormal"/>
      </w:pPr>
    </w:p>
    <w:p w14:paraId="6A3DE4F0" w14:textId="77777777" w:rsidR="00576A90" w:rsidRDefault="00576A90" w:rsidP="00576A90">
      <w:pPr>
        <w:pStyle w:val="TextoNormal"/>
      </w:pPr>
      <w:r>
        <w:t>(i) El art. 149.1.23 CE atribuye al Estado competencia sobre la “[l]egislación básica sobre protección del medio ambiente, sin perjuicio de las facultades de las comunidades autónomas de establecer normas adicionales de protección”. Por su parte, el art. 30.46 del Estatuto de Autonomía de las Illes Balears, Ley Orgánica 1/2007, de 28 de febrero, atribuye a la Comunidad Autónoma competencia exclusiva sobre “[p]rotección del medio ambiente, ecología y espacios naturales protegidos, sin perjuicio de la legislación básica del Estado. Normas adicionales de protección del medio ambiente”.</w:t>
      </w:r>
    </w:p>
    <w:p w14:paraId="74CCB76A" w14:textId="77777777" w:rsidR="00576A90" w:rsidRDefault="00576A90" w:rsidP="00576A90">
      <w:pPr>
        <w:pStyle w:val="TextoNormal"/>
      </w:pPr>
    </w:p>
    <w:p w14:paraId="62FCAC71" w14:textId="77777777" w:rsidR="00576A90" w:rsidRDefault="00576A90" w:rsidP="00576A90">
      <w:pPr>
        <w:pStyle w:val="TextoNormal"/>
      </w:pPr>
      <w:r>
        <w:t>Como señaló la STC 100/2020, “en materia de medio ambiente, lo básico, como propio de la competencia estatal en esta materia, cumple, como ya se ha señalado, ‘una función de ordenación mediante mínimos que han de respetarse en todo caso, pero que pueden permitir que las comunidades autónomas con competencias en la materia establezcan niveles de protección más altos’ (SSTC 101/2005, de 20 de abril, FJ 5, y 15/2018, de 22 de febrero, FJ 5, entre otras muchas). De acuerdo con la jurisprudencia constitucional, lo genérico o lo detallado, lo abstracto o lo concreto de cada norma no es el criterio decisivo para calificar como básica una norma de protección del medio ambiente, sino su propia finalidad tuitiva [SSTC 102/1995, FJ 9, y 69/2013, de 14 de marzo, FJ 6 b)]” [FJ 3 B) a)].</w:t>
      </w:r>
    </w:p>
    <w:p w14:paraId="79EFBAE6" w14:textId="77777777" w:rsidR="00576A90" w:rsidRDefault="00576A90" w:rsidP="00576A90">
      <w:pPr>
        <w:pStyle w:val="TextoNormal"/>
      </w:pPr>
    </w:p>
    <w:p w14:paraId="06EB571B" w14:textId="77777777" w:rsidR="00576A90" w:rsidRDefault="00576A90" w:rsidP="00576A90">
      <w:pPr>
        <w:pStyle w:val="TextoNormal"/>
      </w:pPr>
      <w:r>
        <w:t>(ii) Por su parte, el art. 149.1.13 CE reserva al Estado la competencia sobre “[b]ases y coordinación de la planificación general de la actividad económica”. Como declaró este tribunal en la ya citada STC 100/2020, FJ 3 B) b), se trata de “una regla de carácter transversal en el orden económico que responde a la ‘necesaria coherencia de la política económica’ y que ‘exige decisiones unitarias que aseguren un tratamiento uniforme de determinados problemas en orden a la consecución de dichos objetivos y evite que, dada la interdependencia de las actuaciones llevadas a cabo en las distintas partes del territorio, se produzcan resultados disfuncionales y disgregadores’ (STC 186/1988, FJ 2)”. En esa misma sentencia, explicamos también que “el art. 149.1.13 CE exige una lectura restrictiva, puesto que una excesivamente amplia podría constreñir e incluso vaciar las competencias sectoriales legítimas de las comunidades autónomas (SSTC 29/1986, FJ 4, y 141/2014, FJ 5). Este tribunal ha señalado que ‘el posible riesgo de que por este cauce se produzca un vaciamiento de las concretas competencias autonómicas en materia económi</w:t>
      </w:r>
      <w:r>
        <w:lastRenderedPageBreak/>
        <w:t>ca obliga a enjuiciar en cada caso la constitucionalidad de la medida estatal que limita la competencia asumida por una comunidad autónoma como exclusiva en su estatuto, lo que implica un examen detenido de la finalidad de la norma estatal de acuerdo con su objetivo predominante, así como su posible correspondencia con intereses y fines generales que precisen de una actuación unitaria en el conjunto del Estado [por todas, STC 225/1993, de 8 de julio, FJ 3 d)]’ (STC 143/2012, de 2 de julio, FJ 3). Asimismo, es doctrina de este tribunal que no toda medida que incida en la actividad económica puede incardinarse en este título. Para ello es preciso, como se ha indicado, que tenga ‘una incidencia directa y significativa sobre la actividad económica general, pues de no ser así se vaciaría de contenido una materia y un título competencial más específico’ (SSTC 21/1999, de 25 de febrero, FJ 5, y 141/2014, FJ 5)”.</w:t>
      </w:r>
    </w:p>
    <w:p w14:paraId="034A370A" w14:textId="77777777" w:rsidR="00576A90" w:rsidRDefault="00576A90" w:rsidP="00576A90">
      <w:pPr>
        <w:pStyle w:val="TextoNormal"/>
      </w:pPr>
    </w:p>
    <w:p w14:paraId="2787F82F" w14:textId="77777777" w:rsidR="00576A90" w:rsidRDefault="00576A90" w:rsidP="00576A90">
      <w:pPr>
        <w:pStyle w:val="TextoNormal"/>
      </w:pPr>
      <w:r>
        <w:t>b) Dados los títulos competenciales invocados por el órgano judicial promotor de la cuestión, para efectuar correctamente el encuadramiento competencial “habrá que atender a la finalidad sustantiva principal, a la cual se orienta la disposición en entredicho, a fin de determinar en cada caso cuál es el título específico y, por ello, prevalente” [STC 54/2018, de 24 de mayo, FJ 6 a)].</w:t>
      </w:r>
    </w:p>
    <w:p w14:paraId="549DA269" w14:textId="77777777" w:rsidR="00576A90" w:rsidRDefault="00576A90" w:rsidP="00576A90">
      <w:pPr>
        <w:pStyle w:val="TextoNormal"/>
      </w:pPr>
    </w:p>
    <w:p w14:paraId="2A7AF15D" w14:textId="77777777" w:rsidR="00576A90" w:rsidRDefault="00576A90" w:rsidP="00576A90">
      <w:pPr>
        <w:pStyle w:val="TextoNormal"/>
      </w:pPr>
      <w:r>
        <w:t>En este sentido, la Ley 7/2022 tiene una finalidad esencialmente tuitiva del medio ambiente. Así resulta de lo dispuesto en su art. 1.2, cuando establece que su finalidad es “la prevención y la reducción de la generación de residuos y de los impactos adversos de su generación y gestión, la reducción del impacto global del uso de los recursos y la mejora de la eficiencia de dicho uso con el objeto de, en última instancia, proteger el medio ambiente y la salud humana y efectuar la transición a una economía circular y baja en carbono con modelos empresariales, productos y materiales innovadores y sostenibles para garantizar el funcionamiento eficiente del mercado interior y la competitividad de España a largo plazo”. Esto cohonesta con los objetivos expresados en el preámbulo de la ley, en donde se hace referencia a la reducción de “los efectos negativos de la generación y gestión de los residuos en la salud humana y el medio ambiente”, a la “lucha contra el cambio climático” y a la necesidad de “proteger el medio marino”.</w:t>
      </w:r>
    </w:p>
    <w:p w14:paraId="560B44C5" w14:textId="77777777" w:rsidR="00576A90" w:rsidRDefault="00576A90" w:rsidP="00576A90">
      <w:pPr>
        <w:pStyle w:val="TextoNormal"/>
      </w:pPr>
    </w:p>
    <w:p w14:paraId="14A479CC" w14:textId="77777777" w:rsidR="00576A90" w:rsidRDefault="00576A90" w:rsidP="00576A90">
      <w:pPr>
        <w:pStyle w:val="TextoNormal"/>
      </w:pPr>
      <w:r>
        <w:t>Con base en la habilitación reglamentaria prevista en la disposición final cuarta de la Ley 7/2022, se dicta el Real Decreto 1055/2022, cuyo art. 1.1 ya establece que esta norma “tiene por objeto establecer el régimen jurídico aplicable a los envases y residuos de envases con el objetivo de prevenir y reducir su impacto en el medio ambiente a lo largo de todo su ciclo de vida”.</w:t>
      </w:r>
    </w:p>
    <w:p w14:paraId="4F18A398" w14:textId="77777777" w:rsidR="00576A90" w:rsidRDefault="00576A90" w:rsidP="00576A90">
      <w:pPr>
        <w:pStyle w:val="TextoNormal"/>
      </w:pPr>
    </w:p>
    <w:p w14:paraId="50181F8B" w14:textId="77777777" w:rsidR="00576A90" w:rsidRDefault="00576A90" w:rsidP="00576A90">
      <w:pPr>
        <w:pStyle w:val="TextoNormal"/>
      </w:pPr>
      <w:r>
        <w:t>Por su parte, la protección medioambiental es también la finalidad primordial de la Ley del Parlamento de las Illes Balears 8/2019. Así lo expresa el art. 2.1 cuando refiere que se “pretende alcanzar una mayor calidad del medio ambiente y una mayor protección de la salud humana” y lo confirma la exposición de motivos cuando expresa que “el legislador autonómico […] ha optado en esta materia por completar la legislación básica estatal y por mejorar el nivel de protección medioambiental”.</w:t>
      </w:r>
    </w:p>
    <w:p w14:paraId="48848758" w14:textId="77777777" w:rsidR="00576A90" w:rsidRDefault="00576A90" w:rsidP="00576A90">
      <w:pPr>
        <w:pStyle w:val="TextoNormal"/>
      </w:pPr>
    </w:p>
    <w:p w14:paraId="326D9A69" w14:textId="77777777" w:rsidR="00576A90" w:rsidRDefault="00576A90" w:rsidP="00576A90">
      <w:pPr>
        <w:pStyle w:val="TextoNormal"/>
      </w:pPr>
      <w:r>
        <w:t xml:space="preserve">c) De cuanto antecede se colige que las normas estatales y la ley autonómica en conflicto se adoptan con el objetivo principal de hacer frente a los problemas medioambientales que se derivan de la generación y la gestión de residuos, ya sea con carácter general, como </w:t>
      </w:r>
      <w:r>
        <w:lastRenderedPageBreak/>
        <w:t>en el caso de la Ley 7/2022, ya sea en referencia a un flujo de residuos en especial, como acontece con el Real Decreto 1055/2022 relativo a los residuos de envases.</w:t>
      </w:r>
    </w:p>
    <w:p w14:paraId="1C94F329" w14:textId="77777777" w:rsidR="00576A90" w:rsidRDefault="00576A90" w:rsidP="00576A90">
      <w:pPr>
        <w:pStyle w:val="TextoNormal"/>
      </w:pPr>
    </w:p>
    <w:p w14:paraId="2FCE533B" w14:textId="77777777" w:rsidR="00576A90" w:rsidRDefault="00576A90" w:rsidP="00576A90">
      <w:pPr>
        <w:pStyle w:val="TextoNormal"/>
      </w:pPr>
      <w:r>
        <w:t>No obstante, como ya tuvo ocasión de apuntar este tribunal en la STC 100/2020, FJ 3 D), al referirse a los residuos de las bolsas de plástico, la conclusión anterior no impide que las medidas que venimos examinando puedan tener también una finalidad económica ni puede llevarnos a descartar que las normas enjuiciadas puedan tener incidencia en la actividad económica. Ahora bien, como también se razonó entonces, “para que el legislador estatal, al amparo de la competencia que le atribuye el art. 149.1.13 CE, pueda establecer una regulación uniforme sobre esta materia no basta con que las medidas adoptadas tengan incidencia en la actividad económica […] sino que es preciso que tenga[n] ‘una incidencia directa y significativa sobre la actividad económica general, pues de no ser así se vaciaría de contenido una materia y un título competencial más específico’ (SSTC 21/1999, de 25 de febrero, FJ 5, y 141/2014, FJ 5)”. Y continuamos afirmando que “para que estas medidas puedan estar justificadas será preciso que la actividad regulatoria ejercida por las comunidades autónomas en el ejercicio de sus competencias tenga entidad suficiente para ocasionar una distorsión sustancial en el funcionamiento del mercado”.</w:t>
      </w:r>
    </w:p>
    <w:p w14:paraId="73DB0338" w14:textId="77777777" w:rsidR="00576A90" w:rsidRDefault="00576A90" w:rsidP="00576A90">
      <w:pPr>
        <w:pStyle w:val="TextoNormal"/>
      </w:pPr>
    </w:p>
    <w:p w14:paraId="6B5BE597" w14:textId="77777777" w:rsidR="00576A90" w:rsidRDefault="00576A90" w:rsidP="00576A90">
      <w:pPr>
        <w:pStyle w:val="TextoNormal"/>
      </w:pPr>
      <w:r>
        <w:t>Este tribunal no niega que la regulación de los objetivos de reciclado de residuos de envases que lleva a cabo el precepto cuestionado pueda tener cierto impacto económico, así como tampoco puede obviar la relevancia económica de la responsabilidad ampliada del productor toda vez que, precisamente en relación con esta última, el propio art. 37.2 de la Ley 7/2022 exige que, al establecer las obligaciones del régimen de responsabilidad ampliada del productor, se tenga en cuenta, entre otros elementos, la “necesidad de garantizar el correcto funcionamiento del mercado interior”. Sin embargo, a los efectos de este trámite liminar de inadmisión, y refiriéndonos en concreto al caso que nos ocupa, lo cierto es que el auto de planteamiento no ofrece elementos de juicio que permitan alcanzar la conclusión de que el objetivo de reciclaje previsto en el precepto cuestionado pueda tener la entidad suficiente como para ocasionar una distorsión sustancial en el funcionamiento del mercado que es lo que, con arreglo a nuestra jurisprudencia, justificaría el establecimiento de una regulación estatal uniforme.</w:t>
      </w:r>
    </w:p>
    <w:p w14:paraId="3E71E2F5" w14:textId="77777777" w:rsidR="00576A90" w:rsidRDefault="00576A90" w:rsidP="00576A90">
      <w:pPr>
        <w:pStyle w:val="TextoNormal"/>
      </w:pPr>
    </w:p>
    <w:p w14:paraId="15D3F323" w14:textId="0E9CAB9F" w:rsidR="00576A90" w:rsidRDefault="00576A90" w:rsidP="00576A90">
      <w:pPr>
        <w:pStyle w:val="TextoNormal"/>
      </w:pPr>
      <w:r>
        <w:t>En consecuencia, debe convenirse con el fiscal general del Estado en que la finalidad primordial que persiguen las normas en conflicto es la protección del medio ambiente, por lo que las normas en conflicto han de analizarse bajo el prisma de los arts. 149.1.23 CE y 30.46 del Estatuto de Autonomía de las Illes Balears.</w:t>
      </w:r>
    </w:p>
    <w:p w14:paraId="1C8399E0" w14:textId="77777777" w:rsidR="00576A90" w:rsidRDefault="00576A90" w:rsidP="00576A90">
      <w:pPr>
        <w:pStyle w:val="TextoNormal"/>
      </w:pPr>
    </w:p>
    <w:p w14:paraId="27FDF6B1" w14:textId="77777777" w:rsidR="00576A90" w:rsidRDefault="00576A90" w:rsidP="00576A90">
      <w:pPr>
        <w:pStyle w:val="TextoNormal"/>
      </w:pPr>
      <w:r w:rsidRPr="00576A90">
        <w:rPr>
          <w:rStyle w:val="NumeroAFNegritaCaracter"/>
        </w:rPr>
        <w:t>5</w:t>
      </w:r>
      <w:r>
        <w:t>. Realizadas las consideraciones precedentes, procede efectuar el juicio de constitucionalidad mediata del art. 2.2 c) de la Ley del Parlamento de las Illes Balears 8/2019, lo que, como avanzamos, exige verificar la concurrencia de dos requisitos cumulativos: (i) si los arts. 37.2 de la Ley 7/2022 y 10.1 c) del Real Decreto 1055/2020 son formal y materialmente básicos; y (ii) si la contradicción entre estos y el precepto autonómico cuestionado es efectiva e insalvable por vía interpretativa (</w:t>
      </w:r>
      <w:r w:rsidRPr="00576A90">
        <w:rPr>
          <w:i/>
        </w:rPr>
        <w:t>supra</w:t>
      </w:r>
      <w:r>
        <w:t>, FJ 3).</w:t>
      </w:r>
    </w:p>
    <w:p w14:paraId="3FB57BF9" w14:textId="77777777" w:rsidR="00576A90" w:rsidRDefault="00576A90" w:rsidP="00576A90">
      <w:pPr>
        <w:pStyle w:val="TextoNormal"/>
      </w:pPr>
    </w:p>
    <w:p w14:paraId="36D3F385" w14:textId="77777777" w:rsidR="00576A90" w:rsidRDefault="00576A90" w:rsidP="00576A90">
      <w:pPr>
        <w:pStyle w:val="TextoNormal"/>
      </w:pPr>
      <w:r>
        <w:t>a) En relación con el primero de los requisitos, baste con señalar que la Sala de instancia afirma, acertadamente, el carácter formal y materialmente básico de los preceptos estatales que selecciona como normas de contraste.</w:t>
      </w:r>
    </w:p>
    <w:p w14:paraId="27F4FDC6" w14:textId="77777777" w:rsidR="00576A90" w:rsidRDefault="00576A90" w:rsidP="00576A90">
      <w:pPr>
        <w:pStyle w:val="TextoNormal"/>
      </w:pPr>
    </w:p>
    <w:p w14:paraId="4FE982AE" w14:textId="77777777" w:rsidR="00576A90" w:rsidRDefault="00576A90" w:rsidP="00576A90">
      <w:pPr>
        <w:pStyle w:val="TextoNormal"/>
      </w:pPr>
      <w:r>
        <w:lastRenderedPageBreak/>
        <w:t>Desde el punto de vista formal, ninguna duda cabe albergar acerca del carácter formalmente básico del art. 37.2 de la Ley 7/2022. Por su parte, aunque el art. 10.1 c) del Real Decreto 1055/2022 tiene rango reglamentario, ello no impide afirmar su carácter formalmente básico, con arreglo a la doctrina constitucional, siempre que tal circunstancia venga justificada “por su contenido técnico o por su carácter coyuntural o estacional, circunstancial y, en suma, sometido a cambios o variaciones frecuentes e inesperadas” (SSTC 102/1995, de 26 de junio, FJ 8; 15/2018, de 22 de febrero, FJ 5, y 100/2020, FJ 4). Y en este caso el establecimiento de los objetivos de reciclaje para cada flujo de residuos en particular presenta un carácter marcadamente técnico, por lo que se justifica que la disposición final cuarta de la Ley 7/2022 remita su regulación a un reglamento.</w:t>
      </w:r>
    </w:p>
    <w:p w14:paraId="60029748" w14:textId="77777777" w:rsidR="00576A90" w:rsidRDefault="00576A90" w:rsidP="00576A90">
      <w:pPr>
        <w:pStyle w:val="TextoNormal"/>
      </w:pPr>
    </w:p>
    <w:p w14:paraId="4EB82A56" w14:textId="77777777" w:rsidR="00576A90" w:rsidRDefault="00576A90" w:rsidP="00576A90">
      <w:pPr>
        <w:pStyle w:val="TextoNormal"/>
      </w:pPr>
      <w:r>
        <w:t>Desde el punto de vista material, lo básico en materia de medio ambiente cumple una función de ordenación de mínimos que han de respetarse en todo caso, pero que permiten que las comunidades autónomas establezcan niveles de protección más altos [</w:t>
      </w:r>
      <w:r w:rsidRPr="00576A90">
        <w:rPr>
          <w:i/>
        </w:rPr>
        <w:t>supra</w:t>
      </w:r>
      <w:r>
        <w:t>, FJ 4 a) (i)]. En relación con el art. 37.2 de la Ley 7/2022, se ha de afirmar el cumplimiento de este requisito pues, si bien el precepto remite la regulación de las obligaciones del régimen de responsabilidad ampliada del productor a un real decreto del Consejo de Ministros, nada en su redacción impide que las comunidades autónomas con competencias en la materia puedan ejercerlas, estableciendo normas adicionales de protección, siempre que lo hagan dentro del marco que establezca dicha regulación estatal. Y a idéntica conclusión se ha de llegar en lo que atañe al art. 10.1 c) del Real Decreto 1055/2022, puesto que la medida que en el mismo se establece debe cumplirse “en el ámbito de todo el territorio del Estado”, si bien se trata de un objetivo “mínimo”, lo que determina que, como advertimos en el caso examinado en la STC 100/2020, las comunidades autónomas no pueden rebajar ese nivel de protección pero nada obsta para que puedan adoptar normas adicionales con estándares de protección medioambiental más elevados, siempre que tales disposiciones no entren en colisión con otros valores constitucionales.</w:t>
      </w:r>
    </w:p>
    <w:p w14:paraId="642BF69B" w14:textId="77777777" w:rsidR="00576A90" w:rsidRDefault="00576A90" w:rsidP="00576A90">
      <w:pPr>
        <w:pStyle w:val="TextoNormal"/>
      </w:pPr>
    </w:p>
    <w:p w14:paraId="2F540BCC" w14:textId="77777777" w:rsidR="00576A90" w:rsidRDefault="00576A90" w:rsidP="00576A90">
      <w:pPr>
        <w:pStyle w:val="TextoNormal"/>
      </w:pPr>
      <w:r>
        <w:t>b) Sentado lo anterior, queda solo por examinar el segundo de los requisitos, esto es, si el precepto cuestionado incurre en una contradicción insalvable con los preceptos estatales invocados. Es precisamente en este eslabón del razonamiento constitucional donde se advierte que la cuestión de inconstitucionalidad resulta manifiestamente infundada, pues este tribunal no aprecia la existencia de contradicción entre los arts. 37.2 de la Ley 7/2022 y 10.1 c) del Real Decreto 1055/2022 y el art. 2.2 c) de la Ley del Parlamento de las Illes Balears 8/2019 ni, por ende, de vulneración competencial.</w:t>
      </w:r>
    </w:p>
    <w:p w14:paraId="5661F909" w14:textId="77777777" w:rsidR="00576A90" w:rsidRDefault="00576A90" w:rsidP="00576A90">
      <w:pPr>
        <w:pStyle w:val="TextoNormal"/>
      </w:pPr>
    </w:p>
    <w:p w14:paraId="720D054E" w14:textId="77777777" w:rsidR="00576A90" w:rsidRDefault="00576A90" w:rsidP="00576A90">
      <w:pPr>
        <w:pStyle w:val="TextoNormal"/>
      </w:pPr>
      <w:r>
        <w:t>(i) Comenzando por el examen de la supuesta contradicción con el art. 37.2 de la Ley 7/2022, el auto de planteamiento no contiene una argumentación suficientemente expresiva de las razones por las que estima que el objetivo de reciclado de envases no industriales previsto en el art. 2.2 c) de la Ley del Parlamento de las Illes Balears 8/2019 incide en el régimen de responsabilidad ampliada del productor. No puede este tribunal dejar de llamar la atención acerca del hecho de que en el razonamiento jurídico tercero del auto de planteamiento se anuncie la intención de examinar si las medidas controvertidas afectan a la responsabilidad ampliada del productor y si, de ser así, invaden las competencias estatales, y luego se expliquen los motivos por los que el órgano judicial aprecia que el art. 10.1 c) del Real Decreto 1055/2022 sí forma parte de dicho régimen jurídico, pero no se aduzca razón alguna en virtud de la cual haya de considerarse que el objetivo regulado en el pre</w:t>
      </w:r>
      <w:r>
        <w:lastRenderedPageBreak/>
        <w:t>cepto autonómico cuya inconstitucionalidad se postula constituye una obligación integrante del meritado régimen de responsabilidad ampliada del productor.</w:t>
      </w:r>
    </w:p>
    <w:p w14:paraId="004606EB" w14:textId="77777777" w:rsidR="00576A90" w:rsidRDefault="00576A90" w:rsidP="00576A90">
      <w:pPr>
        <w:pStyle w:val="TextoNormal"/>
      </w:pPr>
    </w:p>
    <w:p w14:paraId="38F14821" w14:textId="77777777" w:rsidR="00576A90" w:rsidRDefault="00576A90" w:rsidP="00576A90">
      <w:pPr>
        <w:pStyle w:val="TextoNormal"/>
      </w:pPr>
      <w:r>
        <w:t>Además, las “obligaciones” a las que se refiere el art. 37.2 de la Ley 7/2022 son las enumeradas en el art. 37.1 de la misma ley, ninguna de las cuales hace mención expresa a objetivos de reciclaje, menos aún a objetivos específicamente relacionados con el reciclado de residuos de envases, por lo que difícilmente puede sostenerse que entre el art. 37.2 de la Ley 7/2022 y el precepto autonómico cuestionado exista una contradicción efectiva y absolutamente insoslayable que pueda conducir a declarar su inconstitucionalidad.</w:t>
      </w:r>
    </w:p>
    <w:p w14:paraId="22AFB117" w14:textId="77777777" w:rsidR="00576A90" w:rsidRDefault="00576A90" w:rsidP="00576A90">
      <w:pPr>
        <w:pStyle w:val="TextoNormal"/>
      </w:pPr>
    </w:p>
    <w:p w14:paraId="1D5F796E" w14:textId="77777777" w:rsidR="00576A90" w:rsidRDefault="00576A90" w:rsidP="00576A90">
      <w:pPr>
        <w:pStyle w:val="TextoNormal"/>
      </w:pPr>
      <w:r>
        <w:t>(ii) Por otro lado, tampoco se aprecia contradicción entre el precepto cuestionado y el art. 10.1 c) del Real Decreto 1055/2022.</w:t>
      </w:r>
    </w:p>
    <w:p w14:paraId="1E2A80C8" w14:textId="77777777" w:rsidR="00576A90" w:rsidRDefault="00576A90" w:rsidP="00576A90">
      <w:pPr>
        <w:pStyle w:val="TextoNormal"/>
      </w:pPr>
    </w:p>
    <w:p w14:paraId="1737B213" w14:textId="77777777" w:rsidR="00576A90" w:rsidRDefault="00576A90" w:rsidP="00576A90">
      <w:pPr>
        <w:pStyle w:val="TextoNormal"/>
      </w:pPr>
      <w:r>
        <w:t>Como indica la disposición final tercera del Real Decreto 1055/2022, a través del mismo se transpone al ordenamiento jurídico español la Directiva (UE) 2018/852 del Parlamento Europeo y del Consejo, de 30 de mayo de 2018, por la que se modifica la Directiva 94/62/CE del Parlamento Europeo y del Consejo, de 20 de diciembre de 1994, relativa a los envases y residuos de envases. El art. 6.1 h) de la Directiva 94/62/CE, en su redacción vigente, establece que “a más tardar el 31 de diciembre de 2030, se reciclará un mínimo del 70 por 100 en peso de todos los residuos de envases”.</w:t>
      </w:r>
    </w:p>
    <w:p w14:paraId="66EFEA6C" w14:textId="77777777" w:rsidR="00576A90" w:rsidRDefault="00576A90" w:rsidP="00576A90">
      <w:pPr>
        <w:pStyle w:val="TextoNormal"/>
      </w:pPr>
    </w:p>
    <w:p w14:paraId="1D5F3905" w14:textId="77777777" w:rsidR="00576A90" w:rsidRDefault="00576A90" w:rsidP="00576A90">
      <w:pPr>
        <w:pStyle w:val="TextoNormal"/>
      </w:pPr>
      <w:r>
        <w:t>Siguiendo el objetivo mínimo marcado por el Derecho de la Unión Europea, el art. 10.1 c) del Real Decreto 1055/2022 establece, para 2030, el mismo objetivo de reciclaje de “un mínimo del 70 por 100 en peso de todos los residuos de envases”. Se trata, en todo caso, como la propia norma indica, de un objetivo “mínimo”, de manera que las comunidades autónomas que hayan asumido la competencia para dictar normas adicionales de protección del medio ambiente (art. 30.46 del Estatuto de Autonomía de las Illes Balears) pueden establecer objetivos adicionales, más ambiciosos a los previstos con carácter de mínimos en la normativa estatal básica y que establezcan un nivel superior de protección medioambiental.</w:t>
      </w:r>
    </w:p>
    <w:p w14:paraId="548358C9" w14:textId="77777777" w:rsidR="00576A90" w:rsidRDefault="00576A90" w:rsidP="00576A90">
      <w:pPr>
        <w:pStyle w:val="TextoNormal"/>
      </w:pPr>
    </w:p>
    <w:p w14:paraId="3910CB8F" w14:textId="77777777" w:rsidR="00576A90" w:rsidRDefault="00576A90" w:rsidP="00576A90">
      <w:pPr>
        <w:pStyle w:val="TextoNormal"/>
      </w:pPr>
      <w:r>
        <w:t>Así acontece en el caso examinado, en el que el art. 2.2 c) de la Ley del Parlamento de las Illes Balears 8/2019, respetando en todo caso el nivel de protección establecido por el objetivo mínimo establecido para todo el territorio del Estado, lo complementa estableciendo un objetivo de reciclaje superior para las Illes Balears, consistente en reciclar, como mínimo, antes del año 2030, un 75 por 100 de los residuos de envases no industriales. En definitiva, el precepto cuestionado no es contrario a lo dispuesto en el art. 10.1 c) del Real Decreto 1055/2022, como legislación básica en materia de medioambiente, puesto que establece un nivel de protección adicional o más elevado. Y, además, no puede dejar de apuntarse que ni siquiera fija un objetivo superior en relación con todo tipo de residuos de envases, sino que el incremento adicional del objetivo de reciclaje se refiere únicamente a los envases no industriales.</w:t>
      </w:r>
    </w:p>
    <w:p w14:paraId="35C44A3B" w14:textId="77777777" w:rsidR="00576A90" w:rsidRDefault="00576A90" w:rsidP="00576A90">
      <w:pPr>
        <w:pStyle w:val="TextoNormal"/>
      </w:pPr>
    </w:p>
    <w:p w14:paraId="0F7B4268" w14:textId="7AF178D9" w:rsidR="00576A90" w:rsidRDefault="00576A90" w:rsidP="00576A90">
      <w:pPr>
        <w:pStyle w:val="TextoNormal"/>
      </w:pPr>
      <w:r>
        <w:t xml:space="preserve">Por todo lo expuesto, del contenido del auto de planteamiento no se desprende y este tribunal tampoco aprecia que exista una contradicción absoluta e insalvable entre el precepto cuestionado y los preceptos estatales indicados como parámetros de contraste, de manera que no puede sino concluirse que el precepto cuestionado no vulnera el orden </w:t>
      </w:r>
      <w:r>
        <w:lastRenderedPageBreak/>
        <w:t>constitucional de distribución de competencias. En consecuencia, la cuestión de inconstitucionalidad ha de ser inadmitida por resultar notoriamente infundada.</w:t>
      </w:r>
    </w:p>
    <w:p w14:paraId="123CABBE" w14:textId="77777777" w:rsidR="00576A90" w:rsidRDefault="00576A90" w:rsidP="00576A90">
      <w:pPr>
        <w:pStyle w:val="TextoNormal"/>
      </w:pPr>
    </w:p>
    <w:p w14:paraId="549703B8" w14:textId="77777777" w:rsidR="00576A90" w:rsidRDefault="00576A90" w:rsidP="00576A90">
      <w:pPr>
        <w:pStyle w:val="TextoNormal"/>
      </w:pPr>
      <w:r>
        <w:t>Por lo expuesto, el Pleno</w:t>
      </w:r>
    </w:p>
    <w:p w14:paraId="48304BA5" w14:textId="7FD2C9DC" w:rsidR="00576A90" w:rsidRDefault="00576A90" w:rsidP="00576A90">
      <w:pPr>
        <w:pStyle w:val="TextoNormal"/>
      </w:pPr>
    </w:p>
    <w:p w14:paraId="356410F2" w14:textId="77777777" w:rsidR="00576A90" w:rsidRDefault="00576A90" w:rsidP="00576A90">
      <w:pPr>
        <w:pStyle w:val="TextoNormalCentrado"/>
      </w:pPr>
      <w:r>
        <w:t>ACUERDA</w:t>
      </w:r>
    </w:p>
    <w:p w14:paraId="6E072E7F" w14:textId="248FA2C4" w:rsidR="00576A90" w:rsidRDefault="00576A90" w:rsidP="00576A90">
      <w:pPr>
        <w:pStyle w:val="TextoNormalCentrado"/>
      </w:pPr>
    </w:p>
    <w:p w14:paraId="2FF9B959" w14:textId="1A4858CF" w:rsidR="00576A90" w:rsidRDefault="00576A90" w:rsidP="00576A90">
      <w:pPr>
        <w:pStyle w:val="TextoNormal"/>
      </w:pPr>
      <w:r>
        <w:t>Inadmitir a trámite la presente cuestión de inconstitucionalidad.</w:t>
      </w:r>
    </w:p>
    <w:p w14:paraId="2FCF3876" w14:textId="77777777" w:rsidR="00576A90" w:rsidRDefault="00576A90" w:rsidP="00576A90">
      <w:pPr>
        <w:pStyle w:val="TextoNormal"/>
      </w:pPr>
    </w:p>
    <w:p w14:paraId="5A94D00E" w14:textId="77777777" w:rsidR="00576A90" w:rsidRDefault="00576A90" w:rsidP="00576A90">
      <w:pPr>
        <w:pStyle w:val="TextoNormal"/>
      </w:pPr>
      <w:r>
        <w:t>Madrid, a siete de mayo de dos mil veinticuatro.</w:t>
      </w:r>
    </w:p>
    <w:p w14:paraId="575B6874" w14:textId="68C310B7" w:rsidR="00576A90" w:rsidRDefault="00576A90">
      <w:pPr>
        <w:spacing w:after="160" w:line="259" w:lineRule="auto"/>
        <w:rPr>
          <w:rFonts w:ascii="Times New Roman" w:eastAsia="Times New Roman" w:hAnsi="Times New Roman" w:cs="Times New Roman"/>
          <w:sz w:val="24"/>
          <w:szCs w:val="24"/>
          <w:lang w:eastAsia="es-ES"/>
        </w:rPr>
      </w:pPr>
      <w:r>
        <w:br w:type="page"/>
      </w:r>
    </w:p>
    <w:p w14:paraId="79A6A9F8" w14:textId="77777777" w:rsidR="00576A90" w:rsidRDefault="00576A90" w:rsidP="00576A90">
      <w:pPr>
        <w:pStyle w:val="TtuloResolucin"/>
      </w:pPr>
      <w:bookmarkStart w:id="137" w:name="AUTO_2024_42"/>
      <w:r>
        <w:lastRenderedPageBreak/>
        <w:t>AUTO 42/2024, de 7 de mayo de 2024</w:t>
      </w:r>
    </w:p>
    <w:bookmarkEnd w:id="137"/>
    <w:p w14:paraId="175934D1" w14:textId="77777777" w:rsidR="00576A90" w:rsidRDefault="00576A90" w:rsidP="00576A90">
      <w:pPr>
        <w:pStyle w:val="TtuloResolucin"/>
      </w:pPr>
      <w:r>
        <w:t>Pleno</w:t>
      </w:r>
    </w:p>
    <w:p w14:paraId="597397B8" w14:textId="77777777" w:rsidR="00576A90" w:rsidRDefault="00576A90" w:rsidP="00576A90">
      <w:pPr>
        <w:pStyle w:val="TextoNormalCentrado"/>
      </w:pPr>
      <w:r>
        <w:t>ECLI:ES:TC:2024:42A</w:t>
      </w:r>
    </w:p>
    <w:p w14:paraId="0153EE6D" w14:textId="0BEE8BBD" w:rsidR="00576A90" w:rsidRDefault="00576A90" w:rsidP="00576A90">
      <w:pPr>
        <w:pStyle w:val="TextoNormalCentrado"/>
      </w:pPr>
    </w:p>
    <w:p w14:paraId="62ED8176" w14:textId="77777777" w:rsidR="00576A90" w:rsidRDefault="00576A90" w:rsidP="00576A90">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w:t>
      </w:r>
    </w:p>
    <w:p w14:paraId="0F049AF7" w14:textId="7591516C" w:rsidR="00576A90" w:rsidRDefault="00576A90" w:rsidP="00576A90">
      <w:pPr>
        <w:pStyle w:val="SntesisDescriptiva"/>
      </w:pPr>
    </w:p>
    <w:p w14:paraId="1D8A5A90" w14:textId="77777777" w:rsidR="00576A90" w:rsidRDefault="00576A90" w:rsidP="00576A90">
      <w:pPr>
        <w:pStyle w:val="SntesisDescriptiva"/>
      </w:pPr>
      <w:r>
        <w:t>Inadmite las recusaciones formuladas en el recurso de amparo 907-2024, promovido por don Fernando Argote Pons y doña Miren Garbiñe Garagarza Echaniz en causa penal.</w:t>
      </w:r>
    </w:p>
    <w:p w14:paraId="755F897F" w14:textId="6D2AC9BD" w:rsidR="00576A90" w:rsidRDefault="00576A90" w:rsidP="00576A90">
      <w:pPr>
        <w:pStyle w:val="SntesisDescriptiva"/>
      </w:pPr>
    </w:p>
    <w:p w14:paraId="0B1E7655" w14:textId="77777777" w:rsidR="00576A90" w:rsidRDefault="00576A90" w:rsidP="00576A90">
      <w:pPr>
        <w:pStyle w:val="SntesisDescriptiva"/>
      </w:pPr>
    </w:p>
    <w:p w14:paraId="7BAA8E9B" w14:textId="77777777" w:rsidR="00576A90" w:rsidRDefault="00576A90" w:rsidP="00576A90">
      <w:pPr>
        <w:pStyle w:val="SntesisDescriptiva"/>
      </w:pPr>
    </w:p>
    <w:p w14:paraId="1FB5438D" w14:textId="77777777" w:rsidR="00576A90" w:rsidRDefault="00576A90" w:rsidP="00576A90">
      <w:pPr>
        <w:pStyle w:val="TextoNormalNegritaCentrado"/>
      </w:pPr>
      <w:r>
        <w:t>AUTO</w:t>
      </w:r>
    </w:p>
    <w:p w14:paraId="3169E5F3" w14:textId="46A76AB4" w:rsidR="00576A90" w:rsidRDefault="00576A90" w:rsidP="00576A90">
      <w:pPr>
        <w:pStyle w:val="TextoNormalNegritaCentrado"/>
      </w:pPr>
    </w:p>
    <w:p w14:paraId="6E4E268E" w14:textId="77777777" w:rsidR="00576A90" w:rsidRDefault="00576A90" w:rsidP="00576A90">
      <w:pPr>
        <w:pStyle w:val="TextoNormalNegritaCentrado"/>
        <w:keepNext/>
      </w:pPr>
      <w:r>
        <w:t>I. Antecedentes</w:t>
      </w:r>
    </w:p>
    <w:p w14:paraId="294315C9" w14:textId="0DA782B6" w:rsidR="00576A90" w:rsidRDefault="00576A90" w:rsidP="00576A90">
      <w:pPr>
        <w:pStyle w:val="TextoNormalNegritaCentrado"/>
        <w:keepNext/>
      </w:pPr>
    </w:p>
    <w:p w14:paraId="229C3397" w14:textId="15E53226" w:rsidR="00576A90" w:rsidRDefault="00576A90" w:rsidP="00576A90">
      <w:pPr>
        <w:pStyle w:val="TextoNormal"/>
      </w:pPr>
      <w:r w:rsidRPr="00576A90">
        <w:rPr>
          <w:rStyle w:val="NumeroAFNegritaCaracter"/>
        </w:rPr>
        <w:t>1</w:t>
      </w:r>
      <w:r>
        <w:t>. Don Fernando Argote Pons y doña Miren Garbiñe Garagarza Echaniz, representados por la procuradora de los tribunales doña Silvia Albaladejo Díaz-Alabart y bajo la dirección letrada del primero, interpusieron recurso de amparo contra la diligencia de ordenación de la Sección Primera de la Audiencia Provincial de Gipuzkoa de 15 de diciembre de 2023 pronunciada en el rollo de apelación núm. 513-2023, mediante escrito registrado en este tribunal el 9 de febrero de 2024, dando lugar al recurso de amparo núm. 907-2024 turnado a la Sección Cuarta del Tribunal para la decisión sobre su admisibilidad, lo que fue comunicado a los demandantes por diligencia de ordenación de 14 de febrero de 2024.</w:t>
      </w:r>
    </w:p>
    <w:p w14:paraId="61B3A28A" w14:textId="77777777" w:rsidR="00576A90" w:rsidRDefault="00576A90" w:rsidP="00576A90">
      <w:pPr>
        <w:pStyle w:val="TextoNormal"/>
      </w:pPr>
    </w:p>
    <w:p w14:paraId="743FD4F3" w14:textId="77777777" w:rsidR="00576A90" w:rsidRDefault="00576A90" w:rsidP="00576A90">
      <w:pPr>
        <w:pStyle w:val="TextoNormal"/>
      </w:pPr>
      <w:r w:rsidRPr="00576A90">
        <w:rPr>
          <w:rStyle w:val="NumeroAFNegritaCaracter"/>
        </w:rPr>
        <w:t>2</w:t>
      </w:r>
      <w:r>
        <w:t>. Los demandantes, por escrito registrado en el Tribunal el 21 de febrero de 2024, entre otros extremos, instaron la recusación de los magistrados y magistrada de la Sección Cuarta del Tribunal Constitucional, doña María Luisa Balaguer Callejón, don Ramón Sáez Valcárcel y don Enrique Arnaldo Alcubilla, con fundamento en la pérdida de la apariencia de su imparcialidad judicial por las tres razones siguientes:</w:t>
      </w:r>
    </w:p>
    <w:p w14:paraId="5F2BE793" w14:textId="77777777" w:rsidR="00576A90" w:rsidRDefault="00576A90" w:rsidP="00576A90">
      <w:pPr>
        <w:pStyle w:val="TextoNormal"/>
      </w:pPr>
    </w:p>
    <w:p w14:paraId="0DB79E1B" w14:textId="77777777" w:rsidR="00576A90" w:rsidRDefault="00576A90" w:rsidP="00576A90">
      <w:pPr>
        <w:pStyle w:val="TextoNormal"/>
      </w:pPr>
      <w:r>
        <w:t>a) No se ha producido una comunicación previa de la composición del Tribunal, lo que “determina la infracción del derecho a un tribunal independiente e imparcial y produce indefensión a la parte recurrente”.</w:t>
      </w:r>
    </w:p>
    <w:p w14:paraId="2152CA79" w14:textId="77777777" w:rsidR="00576A90" w:rsidRDefault="00576A90" w:rsidP="00576A90">
      <w:pPr>
        <w:pStyle w:val="TextoNormal"/>
      </w:pPr>
    </w:p>
    <w:p w14:paraId="7A5C18CD" w14:textId="77777777" w:rsidR="00576A90" w:rsidRDefault="00576A90" w:rsidP="00576A90">
      <w:pPr>
        <w:pStyle w:val="TextoNormal"/>
      </w:pPr>
      <w:r>
        <w:t>b) Su vinculación política, ya que, siendo objeto del recurso de amparo denuncias por corrupción de determinados políticos del Partido Nacionalista Vasco (PNV), se da la circunstancia de que los dos primeros “han sido promovidos a su cargo por el PSOE, cuyo socio preferente en el Gobierno es el PNV” y el tercero “ha sido promovido por el Partido Popular, partido que aspira a obtener el apoyo del PNV para formar Gobierno”.</w:t>
      </w:r>
    </w:p>
    <w:p w14:paraId="6EA32706" w14:textId="77777777" w:rsidR="00576A90" w:rsidRDefault="00576A90" w:rsidP="00576A90">
      <w:pPr>
        <w:pStyle w:val="TextoNormal"/>
      </w:pPr>
    </w:p>
    <w:p w14:paraId="278F0B45" w14:textId="6ADA46CA" w:rsidR="00576A90" w:rsidRDefault="00576A90" w:rsidP="00576A90">
      <w:pPr>
        <w:pStyle w:val="TextoNormal"/>
      </w:pPr>
      <w:r>
        <w:t>c) La Sección Cuarta del Tribunal, con la misma composición subjetiva, “acordó inadmitir a trámite dos recursos de esta representación por motivos arbitrarios y parciales”, que son los referidos a los recursos de amparo núm. 192-2024 y 216-2024.</w:t>
      </w:r>
    </w:p>
    <w:p w14:paraId="2B3C7269" w14:textId="77777777" w:rsidR="00576A90" w:rsidRDefault="00576A90" w:rsidP="00576A90">
      <w:pPr>
        <w:pStyle w:val="TextoNormal"/>
      </w:pPr>
    </w:p>
    <w:p w14:paraId="5104F2BB" w14:textId="5BB7E1F4" w:rsidR="00576A90" w:rsidRDefault="00576A90" w:rsidP="00576A90">
      <w:pPr>
        <w:pStyle w:val="TextoNormal"/>
      </w:pPr>
      <w:r w:rsidRPr="00576A90">
        <w:rPr>
          <w:rStyle w:val="NumeroAFNegritaCaracter"/>
        </w:rPr>
        <w:t>3</w:t>
      </w:r>
      <w:r>
        <w:t>. La Secretaría de Justicia del Pleno del Tribunal, mediante diligencia de ordenación de 17 de abril de 2024, tuvo por recibido el anterior escrito en el que se formulan las mencionadas recusaciones y acuerda designar a la magistrada doña María Luisa Segoviano Astaburuaga, a la que por turno corresponde, para que proponga al Pleno la resolución que proceda.</w:t>
      </w:r>
    </w:p>
    <w:p w14:paraId="77E36D7A" w14:textId="77777777" w:rsidR="00576A90" w:rsidRDefault="00576A90" w:rsidP="00576A90">
      <w:pPr>
        <w:pStyle w:val="TextoNormal"/>
      </w:pPr>
    </w:p>
    <w:p w14:paraId="773777D7" w14:textId="03F61537" w:rsidR="00576A90" w:rsidRDefault="00576A90" w:rsidP="00576A90">
      <w:pPr>
        <w:pStyle w:val="TextoNormal"/>
      </w:pPr>
      <w:r w:rsidRPr="00576A90">
        <w:rPr>
          <w:rStyle w:val="NumeroAFNegritaCaracter"/>
        </w:rPr>
        <w:t>4</w:t>
      </w:r>
      <w:r>
        <w:t>. Los demandantes de amparo, por escrito registrado en el Tribunal el 18 de abril de 2024, entre otros extremos, instaron la recusación de la magistrada doña María Luisa Segoviano Astaburuaga, con fundamento en las mismas razones alegadas en relación con los magistrados de la Sección Cuarta al reproducir lo expuesto en un escrito presentado en el recurso de amparo 2909-2023 cuando el mismo ya había sido inadmitido a trámite de forma firme, lo que motivó su rechazo.</w:t>
      </w:r>
    </w:p>
    <w:p w14:paraId="7F8E22D3" w14:textId="77777777" w:rsidR="00576A90" w:rsidRDefault="00576A90" w:rsidP="00576A90">
      <w:pPr>
        <w:pStyle w:val="TextoNormal"/>
      </w:pPr>
    </w:p>
    <w:p w14:paraId="5A03867E" w14:textId="77777777" w:rsidR="00576A90" w:rsidRDefault="00576A90" w:rsidP="00576A90">
      <w:pPr>
        <w:pStyle w:val="TextoNormalNegritaCentrado"/>
        <w:keepNext/>
      </w:pPr>
      <w:r>
        <w:t>II. Fundamentos jurídicos</w:t>
      </w:r>
    </w:p>
    <w:p w14:paraId="0A5C3FD5" w14:textId="100990C5" w:rsidR="00576A90" w:rsidRDefault="00576A90" w:rsidP="00576A90">
      <w:pPr>
        <w:pStyle w:val="TextoNormalNegritaCentrado"/>
        <w:keepNext/>
      </w:pPr>
    </w:p>
    <w:p w14:paraId="2A887954" w14:textId="77777777" w:rsidR="00576A90" w:rsidRDefault="00576A90" w:rsidP="00576A90">
      <w:pPr>
        <w:pStyle w:val="TextoNormal"/>
      </w:pPr>
      <w:r w:rsidRPr="00576A90">
        <w:rPr>
          <w:rStyle w:val="TextoNormalNegritaCaracter"/>
        </w:rPr>
        <w:t xml:space="preserve">Único. </w:t>
      </w:r>
      <w:r>
        <w:t>El objeto de la presente resolución es dar respuesta a la solicitud de recusación de los magistrados que componen la Sección Cuarta del Tribunal a la que ha correspondido el conocimiento sobre la admisibilidad del recurso de amparo núm. 907-2024, y de la magistrada que ha sido designada como ponente por turno objetivo para su resolución, que se han fundamentado en las razones expuestas en los antecedentes de esta resolución.</w:t>
      </w:r>
    </w:p>
    <w:p w14:paraId="278B24B3" w14:textId="77777777" w:rsidR="00576A90" w:rsidRDefault="00576A90" w:rsidP="00576A90">
      <w:pPr>
        <w:pStyle w:val="TextoNormal"/>
      </w:pPr>
    </w:p>
    <w:p w14:paraId="5311BF3D" w14:textId="77777777" w:rsidR="00576A90" w:rsidRDefault="00576A90" w:rsidP="00576A90">
      <w:pPr>
        <w:pStyle w:val="TextoNormal"/>
      </w:pPr>
      <w:r>
        <w:t xml:space="preserve">El Tribunal ha reiterado que en supuestos, como el presente, en los que las recusaciones afectan al </w:t>
      </w:r>
      <w:r w:rsidRPr="00576A90">
        <w:rPr>
          <w:i/>
        </w:rPr>
        <w:t>quorum</w:t>
      </w:r>
      <w:r>
        <w:t xml:space="preserve"> mínimo del Pleno del Tribunal para decidir sobre las mismas, “la salvaguarda del ejercicio de la jurisdicción constitucional reclama, y justifica al mismo tiempo que, para dictar esta resolución, no deba excluirse de la conformación del Pleno a ninguno de sus magistrados presentes” [así, AATC 107/2021, de 15 de diciembre, FJ 3 B); 75/2022, de 27 de abril, FJ 2, o 104/2023, de 7 de marzo, FJ 2]. Ello determina que en este caso no se prescinda en la composición subjetiva del Pleno de las magistradas y magistrados recusados y que se mantenga la ponencia de la magistrada recusada, que fue designada por estricto turno objetivo.</w:t>
      </w:r>
    </w:p>
    <w:p w14:paraId="0A28C93E" w14:textId="77777777" w:rsidR="00576A90" w:rsidRDefault="00576A90" w:rsidP="00576A90">
      <w:pPr>
        <w:pStyle w:val="TextoNormal"/>
      </w:pPr>
    </w:p>
    <w:p w14:paraId="212607BC" w14:textId="77777777" w:rsidR="00576A90" w:rsidRDefault="00576A90" w:rsidP="00576A90">
      <w:pPr>
        <w:pStyle w:val="TextoNormal"/>
      </w:pPr>
      <w:r>
        <w:t>El Tribunal ha reiterado la posibilidad de denegar la tramitación del incidente de recusación cuando razones procesales o de fondo así lo exijan; pudiendo producirse no solo como consecuencia de su defectuoso planteamiento procesal, en atención al momento en que se suscita, su reiteración, las circunstancias que la rodean, su planteamiento o las argumentaciones que la fundamentan, sino también cuando es formulada con manifiesto abuso de derecho o entrañan fraude de ley o procesal de acuerdo con lo establecido en el art. 11.2 de la Ley Orgánica del Poder Judicial (así, AATC 156/2022, de 16 de noviembre, FJ 2; 31/2023, de 7 de febrero, FJ 2, o 490/2023, de 24 de octubre, FJ 1).</w:t>
      </w:r>
    </w:p>
    <w:p w14:paraId="607F78EE" w14:textId="77777777" w:rsidR="00576A90" w:rsidRDefault="00576A90" w:rsidP="00576A90">
      <w:pPr>
        <w:pStyle w:val="TextoNormal"/>
      </w:pPr>
    </w:p>
    <w:p w14:paraId="47AFAFAD" w14:textId="77777777" w:rsidR="00576A90" w:rsidRDefault="00576A90" w:rsidP="00576A90">
      <w:pPr>
        <w:pStyle w:val="TextoNormal"/>
      </w:pPr>
      <w:r>
        <w:t>El Tribunal, en atención a la citada jurisprudencia, deniega liminarmente la tramitación de las recusaciones formuladas que han dado lugar al presente incidente por las razones siguientes:</w:t>
      </w:r>
    </w:p>
    <w:p w14:paraId="4803C3C4" w14:textId="77777777" w:rsidR="00576A90" w:rsidRDefault="00576A90" w:rsidP="00576A90">
      <w:pPr>
        <w:pStyle w:val="TextoNormal"/>
      </w:pPr>
    </w:p>
    <w:p w14:paraId="49EE6BD0" w14:textId="77777777" w:rsidR="00576A90" w:rsidRDefault="00576A90" w:rsidP="00576A90">
      <w:pPr>
        <w:pStyle w:val="TextoNormal"/>
      </w:pPr>
      <w:r>
        <w:t xml:space="preserve">a) La diligencia de ordenación de 14 de febrero de 2024 pronunciada en el presente recurso de amparo puso en conocimiento de los demandantes la sección del Tribunal a la </w:t>
      </w:r>
      <w:r>
        <w:lastRenderedPageBreak/>
        <w:t>que había correspondido el conocimiento sobre su admisibilidad. La diligencia de ordenación de 8 de mayo de 2023 hizo lo propio en el recurso de amparo 2909-2023, por lo que respecta a la recusación de la magistrada ponente de la presente resolución. Estas comunicaciones, puestas en relación con la publicidad que de la conformación de las salas y secciones de este tribunal dispensa la publicación en el “Boletín Oficial del Estado” del acuerdo de 17 de enero de 2023, del Pleno del Tribunal Constitucional, por el que se dispone la composición de las salas y secciones del Tribunal Constitucional (“BOE” núm. 16, de 19 de enero de 2023), obliga a rechazar la alegación de los demandantes sobre la eventual pérdida de la apariencia de imparcialidad vinculada a la alegada falta de comunicación previa de la composición del Tribunal por carecer siquiera del necesario sustento fáctico y no haberse puesto tampoco en relación con alguna causa de recusación o circunstancia relevante que permita evidenciar de qué manera pueda afectar a la apariencia de parcialidad de los magistrados recusados.</w:t>
      </w:r>
    </w:p>
    <w:p w14:paraId="6B0B9DF0" w14:textId="77777777" w:rsidR="00576A90" w:rsidRDefault="00576A90" w:rsidP="00576A90">
      <w:pPr>
        <w:pStyle w:val="TextoNormal"/>
      </w:pPr>
    </w:p>
    <w:p w14:paraId="52A11C11" w14:textId="77777777" w:rsidR="00576A90" w:rsidRDefault="00576A90" w:rsidP="00576A90">
      <w:pPr>
        <w:pStyle w:val="TextoNormal"/>
      </w:pPr>
      <w:r>
        <w:t>b) La alegación de los recusantes, en la que se sugiere que la existencia de una vinculación política de los magistrados recusados con determinados partidos políticos derivada del proceso de su elección como magistrados constitucionales implica una pérdida de la apariencia de su imparcialidad judicial, debe ser rechazada. Del proceso de selección de los magistrados constitucionales recusados no cabe derivar la vinculación política sugerida por los recurrentes, habida cuenta de que de la participación en ese proceso de los Plenos del Congreso y del Senado, el Consejo de Ministros o el Consejo General del Poder Judicial, que aparece regulada en la Constitución y en la Ley Orgánica del Tribunal Constitucional, no puede concluirse ninguna vinculación política de los magistrados constitucionales con unos partidos en concreto ni, mucho menos, de manera derivada con otros partidos políticos afines o coaligados con aquellos. Por otra parte, de manera mucho más general, este tribunal ya ha reiterado que la sola afinidad ideológica de un magistrado de este tribunal con algún partido político legalmente constituido no puede traducirse en causa de abstención o recusación, ni siquiera si esa afinidad se traduce en la probada afiliación formal a dicha organización, salvo que hubiera llegado a ostentar un cargo dirigente dentro de su estructura (así, AATC 72/2022, de 27 de abril, FJ 3; 149/2022, de 15 de noviembre, FJ 4, o 156/2022, de 16 de noviembre, FJ 4).</w:t>
      </w:r>
    </w:p>
    <w:p w14:paraId="6DFA6060" w14:textId="77777777" w:rsidR="00576A90" w:rsidRDefault="00576A90" w:rsidP="00576A90">
      <w:pPr>
        <w:pStyle w:val="TextoNormal"/>
      </w:pPr>
    </w:p>
    <w:p w14:paraId="34B1DD9B" w14:textId="77777777" w:rsidR="00576A90" w:rsidRDefault="00576A90" w:rsidP="00576A90">
      <w:pPr>
        <w:pStyle w:val="TextoNormal"/>
      </w:pPr>
      <w:r>
        <w:t>c) La sola intervención de los magistrados recusados en anteriores procesos en esta jurisdicción, aunque fuera desfavorable a los intereses de los recusantes y estos discrepen respecto de ella, en tanto que responde al cumplimiento de sus funciones constitucionales, no permite sustentar la concurrencia de ninguna causa de recusación —no precisada tampoco por los recusantes— en la que amparar la eventual pérdida de su imparcialidad judicial, tal como ya ha sido establecido por jurisprudencia constitucional reiterada incluso en relación con decisiones de admisibilidad relativas al mismo proceso constitucional (así, ATC 31/2023, de 7 de febrero, FJ 3).</w:t>
      </w:r>
    </w:p>
    <w:p w14:paraId="62B66657" w14:textId="77777777" w:rsidR="00576A90" w:rsidRDefault="00576A90" w:rsidP="00576A90">
      <w:pPr>
        <w:pStyle w:val="TextoNormal"/>
      </w:pPr>
    </w:p>
    <w:p w14:paraId="56DE0348" w14:textId="127314CB" w:rsidR="00576A90" w:rsidRDefault="00576A90" w:rsidP="00576A90">
      <w:pPr>
        <w:pStyle w:val="TextoNormal"/>
      </w:pPr>
      <w:r>
        <w:t>La inadmisión de las recusaciones determina que deba acordarse devolver a la Sección Cuarta del Tribunal con su actual y legal composición el conocimiento sobre el presente recurso de amparo.</w:t>
      </w:r>
    </w:p>
    <w:p w14:paraId="3E6CD3E6" w14:textId="77777777" w:rsidR="00576A90" w:rsidRDefault="00576A90" w:rsidP="00576A90">
      <w:pPr>
        <w:pStyle w:val="TextoNormal"/>
      </w:pPr>
    </w:p>
    <w:p w14:paraId="70D7A125" w14:textId="77777777" w:rsidR="00576A90" w:rsidRDefault="00576A90" w:rsidP="00576A90">
      <w:pPr>
        <w:pStyle w:val="TextoNormal"/>
      </w:pPr>
      <w:r>
        <w:t>Por lo expuesto, el Pleno</w:t>
      </w:r>
    </w:p>
    <w:p w14:paraId="463272E7" w14:textId="186EE1C2" w:rsidR="00576A90" w:rsidRDefault="00576A90" w:rsidP="00576A90">
      <w:pPr>
        <w:pStyle w:val="TextoNormal"/>
      </w:pPr>
    </w:p>
    <w:p w14:paraId="0C574790" w14:textId="77777777" w:rsidR="00576A90" w:rsidRDefault="00576A90" w:rsidP="00576A90">
      <w:pPr>
        <w:pStyle w:val="TextoNormalCentrado"/>
      </w:pPr>
      <w:r>
        <w:t>ACUERDA</w:t>
      </w:r>
    </w:p>
    <w:p w14:paraId="0BEFD780" w14:textId="0B2B0479" w:rsidR="00576A90" w:rsidRDefault="00576A90" w:rsidP="00576A90">
      <w:pPr>
        <w:pStyle w:val="TextoNormalCentrado"/>
      </w:pPr>
    </w:p>
    <w:p w14:paraId="79CDE317" w14:textId="6A8DEC1A" w:rsidR="00576A90" w:rsidRDefault="00576A90" w:rsidP="00576A90">
      <w:pPr>
        <w:pStyle w:val="TextoNormal"/>
      </w:pPr>
      <w:r>
        <w:t>No admitir a trámite las recusaciones formuladas en el recurso de amparo núm. 907-2024 y la devolución de las actuaciones a la Sección Cuarta del Tribunal.</w:t>
      </w:r>
    </w:p>
    <w:p w14:paraId="76BD714D" w14:textId="77777777" w:rsidR="00576A90" w:rsidRDefault="00576A90" w:rsidP="00576A90">
      <w:pPr>
        <w:pStyle w:val="TextoNormal"/>
      </w:pPr>
    </w:p>
    <w:p w14:paraId="3C2C3969" w14:textId="77777777" w:rsidR="00576A90" w:rsidRDefault="00576A90" w:rsidP="00576A90">
      <w:pPr>
        <w:pStyle w:val="TextoNormal"/>
      </w:pPr>
      <w:r>
        <w:t>Madrid, a siete de mayo de dos mil veinticuatro.</w:t>
      </w:r>
    </w:p>
    <w:p w14:paraId="1CA90C6E" w14:textId="1C4EA2AB" w:rsidR="00576A90" w:rsidRDefault="00576A90">
      <w:pPr>
        <w:spacing w:after="160" w:line="259" w:lineRule="auto"/>
        <w:rPr>
          <w:rFonts w:ascii="Times New Roman" w:eastAsia="Times New Roman" w:hAnsi="Times New Roman" w:cs="Times New Roman"/>
          <w:sz w:val="24"/>
          <w:szCs w:val="24"/>
          <w:lang w:eastAsia="es-ES"/>
        </w:rPr>
      </w:pPr>
      <w:r>
        <w:br w:type="page"/>
      </w:r>
    </w:p>
    <w:p w14:paraId="6C5E93A5" w14:textId="77777777" w:rsidR="00576A90" w:rsidRDefault="00576A90" w:rsidP="00576A90">
      <w:pPr>
        <w:pStyle w:val="TtuloResolucin"/>
      </w:pPr>
      <w:bookmarkStart w:id="138" w:name="AUTO_2024_43"/>
      <w:r>
        <w:lastRenderedPageBreak/>
        <w:t>AUTO 43/2024, de 9 de mayo de 2024</w:t>
      </w:r>
    </w:p>
    <w:bookmarkEnd w:id="138"/>
    <w:p w14:paraId="64AB14A6" w14:textId="77777777" w:rsidR="00576A90" w:rsidRDefault="00576A90" w:rsidP="00576A90">
      <w:pPr>
        <w:pStyle w:val="TtuloResolucin"/>
      </w:pPr>
      <w:r>
        <w:t>Sección Primera</w:t>
      </w:r>
    </w:p>
    <w:p w14:paraId="7F34E9BB" w14:textId="77777777" w:rsidR="00576A90" w:rsidRDefault="00576A90" w:rsidP="00576A90">
      <w:pPr>
        <w:pStyle w:val="TextoNormalCentrado"/>
      </w:pPr>
      <w:r>
        <w:t>ECLI:ES:TC:2024:43A</w:t>
      </w:r>
    </w:p>
    <w:p w14:paraId="56541949" w14:textId="735AD89D" w:rsidR="00576A90" w:rsidRDefault="00576A90" w:rsidP="00576A90">
      <w:pPr>
        <w:pStyle w:val="TextoNormalCentrado"/>
      </w:pPr>
    </w:p>
    <w:p w14:paraId="686FF03E" w14:textId="77777777" w:rsidR="00576A90" w:rsidRDefault="00576A90" w:rsidP="00576A90">
      <w:pPr>
        <w:pStyle w:val="SntesisDescriptiva"/>
      </w:pPr>
      <w:r>
        <w:t>Excms. Srs. don Cándido Conde-Pumpido Tourón y doña Concepción Espejel Jorquera.</w:t>
      </w:r>
    </w:p>
    <w:p w14:paraId="0B5F317E" w14:textId="5DFA5A88" w:rsidR="00576A90" w:rsidRDefault="00576A90" w:rsidP="00576A90">
      <w:pPr>
        <w:pStyle w:val="SntesisDescriptiva"/>
      </w:pPr>
    </w:p>
    <w:p w14:paraId="007D6995" w14:textId="77777777" w:rsidR="00576A90" w:rsidRDefault="00576A90" w:rsidP="00576A90">
      <w:pPr>
        <w:pStyle w:val="SntesisDescriptiva"/>
      </w:pPr>
      <w:r>
        <w:t>Acepta una abstención en el recurso de amparo 522-2024, promovido por don Jacinto Ntutumu Oyana en causa penal.</w:t>
      </w:r>
    </w:p>
    <w:p w14:paraId="24AAFEE5" w14:textId="4F015096" w:rsidR="00576A90" w:rsidRDefault="00576A90" w:rsidP="00576A90">
      <w:pPr>
        <w:pStyle w:val="SntesisDescriptiva"/>
      </w:pPr>
    </w:p>
    <w:p w14:paraId="770708F5" w14:textId="77777777" w:rsidR="00576A90" w:rsidRDefault="00576A90" w:rsidP="00576A90">
      <w:pPr>
        <w:pStyle w:val="SntesisDescriptiva"/>
      </w:pPr>
    </w:p>
    <w:p w14:paraId="78E41B35" w14:textId="77777777" w:rsidR="00576A90" w:rsidRDefault="00576A90" w:rsidP="00576A90">
      <w:pPr>
        <w:pStyle w:val="SntesisDescriptiva"/>
      </w:pPr>
    </w:p>
    <w:p w14:paraId="08853F43" w14:textId="77777777" w:rsidR="00576A90" w:rsidRDefault="00576A90" w:rsidP="00576A90">
      <w:pPr>
        <w:pStyle w:val="TextoNormalNegritaCentrado"/>
      </w:pPr>
      <w:r>
        <w:t>AUTO</w:t>
      </w:r>
    </w:p>
    <w:p w14:paraId="07CE1392" w14:textId="07D16E68" w:rsidR="00576A90" w:rsidRDefault="00576A90" w:rsidP="00576A90">
      <w:pPr>
        <w:pStyle w:val="TextoNormalNegritaCentrado"/>
      </w:pPr>
    </w:p>
    <w:p w14:paraId="3CD225F8" w14:textId="77777777" w:rsidR="00576A90" w:rsidRDefault="00576A90" w:rsidP="00576A90">
      <w:pPr>
        <w:pStyle w:val="TextoNormalNegritaCentrado"/>
        <w:keepNext/>
      </w:pPr>
      <w:r>
        <w:t>I. Antecedentes</w:t>
      </w:r>
    </w:p>
    <w:p w14:paraId="6AD36173" w14:textId="4A4E66FF" w:rsidR="00576A90" w:rsidRDefault="00576A90" w:rsidP="00576A90">
      <w:pPr>
        <w:pStyle w:val="TextoNormalNegritaCentrado"/>
        <w:keepNext/>
      </w:pPr>
    </w:p>
    <w:p w14:paraId="65366732" w14:textId="5A9D82E1" w:rsidR="00576A90" w:rsidRDefault="00576A90" w:rsidP="00576A90">
      <w:pPr>
        <w:pStyle w:val="TextoNormal"/>
      </w:pPr>
      <w:r w:rsidRPr="00576A90">
        <w:rPr>
          <w:rStyle w:val="NumeroAFNegritaCaracter"/>
        </w:rPr>
        <w:t>1</w:t>
      </w:r>
      <w:r>
        <w:t>. El 8 de marzo de 2024, don Jacinto Ntutumu Oyana, representado por el procurador de los tribunales don Alejandro Buiza Medina, presentó demanda de amparo contra la providencia de la Sala de lo Penal del Tribunal Supremo de 23 de noviembre de 2023, por la que se inadmite el recurso de casación núm. 7934-2021 interpuesto contra la sentencia de la Audiencia Provincial de Palencia núm. 48/2022, de 16 de septiembre, por la que se desestima el recurso de apelación núm. 36-2022, interpuesto contra la sentencia del Juzgado de lo Penal núm. 1 de Palencia 93/2022, de 14 de marzo, pronunciada en el procedimiento abreviado núm. 269-2021, dando lugar al recurso de amparo núm. 522-2024, cuya ponencia ha correspondido por turno objetivo de reparto a la magistrada doña María Luisa Segoviano Astaburuaga.</w:t>
      </w:r>
    </w:p>
    <w:p w14:paraId="51D11795" w14:textId="77777777" w:rsidR="00576A90" w:rsidRDefault="00576A90" w:rsidP="00576A90">
      <w:pPr>
        <w:pStyle w:val="TextoNormal"/>
      </w:pPr>
    </w:p>
    <w:p w14:paraId="757F703C" w14:textId="40E0F1E3" w:rsidR="00576A90" w:rsidRDefault="00576A90" w:rsidP="00576A90">
      <w:pPr>
        <w:pStyle w:val="TextoNormal"/>
      </w:pPr>
      <w:r w:rsidRPr="00576A90">
        <w:rPr>
          <w:rStyle w:val="NumeroAFNegritaCaracter"/>
        </w:rPr>
        <w:t>2</w:t>
      </w:r>
      <w:r>
        <w:t>. Mediante escrito de 7 de mayo de 2024 la magistrada doña María Luisa Segoviano Astaburuaga comunicó su voluntad de abstenerse en el conocimiento del presente recurso de amparo y todas sus incidencias, al concurrir la causa establecida en el art. 219.15 de la  Ley Orgánica del Poder Judicial (LOPJ), ya que mantiene parentesco dentro del segundo grado de consanguinidad con el juez o magistrado que ha dictado una de las resoluciones a valorar en el presente procedimiento de amparo, ya que su hermano formó parte de la sección de la Audiencia Provincial de Palencia que confirmó en apelación la resolución impugnada en este recurso de amparo.</w:t>
      </w:r>
    </w:p>
    <w:p w14:paraId="3EF13FCA" w14:textId="77777777" w:rsidR="00576A90" w:rsidRDefault="00576A90" w:rsidP="00576A90">
      <w:pPr>
        <w:pStyle w:val="TextoNormal"/>
      </w:pPr>
    </w:p>
    <w:p w14:paraId="59BA607B" w14:textId="77777777" w:rsidR="00576A90" w:rsidRDefault="00576A90" w:rsidP="00576A90">
      <w:pPr>
        <w:pStyle w:val="TextoNormalNegritaCentrado"/>
        <w:keepNext/>
      </w:pPr>
      <w:r>
        <w:t>II. Fundamentos jurídicos</w:t>
      </w:r>
    </w:p>
    <w:p w14:paraId="65B7B3DD" w14:textId="537C118E" w:rsidR="00576A90" w:rsidRDefault="00576A90" w:rsidP="00576A90">
      <w:pPr>
        <w:pStyle w:val="TextoNormalNegritaCentrado"/>
        <w:keepNext/>
      </w:pPr>
    </w:p>
    <w:p w14:paraId="5086F09D" w14:textId="09AE09D2" w:rsidR="00576A90" w:rsidRDefault="00576A90" w:rsidP="00576A90">
      <w:pPr>
        <w:pStyle w:val="TextoNormal"/>
      </w:pPr>
      <w:r w:rsidRPr="00576A90">
        <w:rPr>
          <w:rStyle w:val="TextoNormalNegritaCaracter"/>
        </w:rPr>
        <w:t xml:space="preserve">Único. </w:t>
      </w:r>
      <w:r>
        <w:t>Vista la comunicación efectuada por doña María Luisa Segoviano Astaburuaga, en virtud de lo previsto en los arts. 80 de la Ley Orgánica del Tribunal Constitucional y 221.4 LOPJ, se estima justificada la causa de abstención formulada, puesto que la mencionada magistrada, al mantener parentesco dentro del segundo grado de consanguinidad con el juez o magistrado que ha dictado una de las resoluciones a valorar en el presente procedimiento de amparo, está incursa en la causa de abstención decimoquinta del art. 219 LOPJ.</w:t>
      </w:r>
    </w:p>
    <w:p w14:paraId="5401D679" w14:textId="77777777" w:rsidR="00576A90" w:rsidRDefault="00576A90" w:rsidP="00576A90">
      <w:pPr>
        <w:pStyle w:val="TextoNormal"/>
      </w:pPr>
    </w:p>
    <w:p w14:paraId="4781F549" w14:textId="77777777" w:rsidR="00576A90" w:rsidRDefault="00576A90" w:rsidP="00576A90">
      <w:pPr>
        <w:pStyle w:val="TextoNormal"/>
      </w:pPr>
      <w:r>
        <w:t>Por lo expuesto, la Sección</w:t>
      </w:r>
    </w:p>
    <w:p w14:paraId="08B61D71" w14:textId="4D9425FB" w:rsidR="00576A90" w:rsidRDefault="00576A90" w:rsidP="00576A90">
      <w:pPr>
        <w:pStyle w:val="TextoNormal"/>
      </w:pPr>
    </w:p>
    <w:p w14:paraId="207E6C3F" w14:textId="77777777" w:rsidR="00576A90" w:rsidRDefault="00576A90" w:rsidP="00576A90">
      <w:pPr>
        <w:pStyle w:val="TextoNormalCentrado"/>
      </w:pPr>
      <w:r>
        <w:lastRenderedPageBreak/>
        <w:t>ACUERDA</w:t>
      </w:r>
    </w:p>
    <w:p w14:paraId="6EB20DE8" w14:textId="3FCC6D00" w:rsidR="00576A90" w:rsidRDefault="00576A90" w:rsidP="00576A90">
      <w:pPr>
        <w:pStyle w:val="TextoNormalCentrado"/>
      </w:pPr>
    </w:p>
    <w:p w14:paraId="2EDA88C1" w14:textId="10BD2A49" w:rsidR="00576A90" w:rsidRDefault="00576A90" w:rsidP="00576A90">
      <w:pPr>
        <w:pStyle w:val="TextoNormal"/>
      </w:pPr>
      <w:r>
        <w:t>Estimar justificada la abstención formulada por la magistrada doña María Luisa Segoviano Astaburuaga en el recurso de amparo núm. 522-2024 y apartarla definitivamente del conocimiento del referido recurso y de todas sus incidencias.</w:t>
      </w:r>
    </w:p>
    <w:p w14:paraId="16DC80D0" w14:textId="77777777" w:rsidR="00576A90" w:rsidRDefault="00576A90" w:rsidP="00576A90">
      <w:pPr>
        <w:pStyle w:val="TextoNormal"/>
      </w:pPr>
    </w:p>
    <w:p w14:paraId="446DFD81" w14:textId="77777777" w:rsidR="00576A90" w:rsidRDefault="00576A90" w:rsidP="00576A90">
      <w:pPr>
        <w:pStyle w:val="TextoNormal"/>
      </w:pPr>
      <w:r>
        <w:t>Madrid, a nueve de mayo de dos mil veinticuatro.</w:t>
      </w:r>
    </w:p>
    <w:p w14:paraId="6FD68EC8" w14:textId="15308186" w:rsidR="00576A90" w:rsidRDefault="00576A90">
      <w:pPr>
        <w:spacing w:after="160" w:line="259" w:lineRule="auto"/>
        <w:rPr>
          <w:rFonts w:ascii="Times New Roman" w:eastAsia="Times New Roman" w:hAnsi="Times New Roman" w:cs="Times New Roman"/>
          <w:sz w:val="24"/>
          <w:szCs w:val="24"/>
          <w:lang w:eastAsia="es-ES"/>
        </w:rPr>
      </w:pPr>
      <w:r>
        <w:br w:type="page"/>
      </w:r>
    </w:p>
    <w:p w14:paraId="62468BB2" w14:textId="77777777" w:rsidR="00576A90" w:rsidRDefault="00576A90" w:rsidP="00576A90">
      <w:pPr>
        <w:pStyle w:val="TtuloResolucin"/>
      </w:pPr>
      <w:bookmarkStart w:id="139" w:name="AUTO_2024_44"/>
      <w:r>
        <w:lastRenderedPageBreak/>
        <w:t>AUTO 44/2024, de 10 de mayo de 2024</w:t>
      </w:r>
    </w:p>
    <w:bookmarkEnd w:id="139"/>
    <w:p w14:paraId="0A4F2F7A" w14:textId="77777777" w:rsidR="00576A90" w:rsidRDefault="00576A90" w:rsidP="00576A90">
      <w:pPr>
        <w:pStyle w:val="TtuloResolucin"/>
      </w:pPr>
      <w:r>
        <w:t>Sección Primera</w:t>
      </w:r>
    </w:p>
    <w:p w14:paraId="37A42B4D" w14:textId="77777777" w:rsidR="00576A90" w:rsidRDefault="00576A90" w:rsidP="00576A90">
      <w:pPr>
        <w:pStyle w:val="TextoNormalCentrado"/>
      </w:pPr>
      <w:r>
        <w:t>ECLI:ES:TC:2024:44A</w:t>
      </w:r>
    </w:p>
    <w:p w14:paraId="2FA421BA" w14:textId="46AEB6B5" w:rsidR="00576A90" w:rsidRDefault="00576A90" w:rsidP="00576A90">
      <w:pPr>
        <w:pStyle w:val="TextoNormalCentrado"/>
      </w:pPr>
    </w:p>
    <w:p w14:paraId="424E3EB6" w14:textId="77777777" w:rsidR="00576A90" w:rsidRDefault="00576A90" w:rsidP="00576A90">
      <w:pPr>
        <w:pStyle w:val="SntesisDescriptiva"/>
      </w:pPr>
      <w:r>
        <w:t>Excms. Srs. doña Concepción Espejel Jorquera y don Juan Carlos Campo Moreno.</w:t>
      </w:r>
    </w:p>
    <w:p w14:paraId="6106FBD6" w14:textId="63F8291E" w:rsidR="00576A90" w:rsidRDefault="00576A90" w:rsidP="00576A90">
      <w:pPr>
        <w:pStyle w:val="SntesisDescriptiva"/>
      </w:pPr>
    </w:p>
    <w:p w14:paraId="26DF61B6" w14:textId="77777777" w:rsidR="00576A90" w:rsidRDefault="00576A90" w:rsidP="00576A90">
      <w:pPr>
        <w:pStyle w:val="SntesisDescriptiva"/>
      </w:pPr>
      <w:r>
        <w:t>Acepta una abstención en el recurso de amparo 6420-2021, promovido en proceso contencioso-administrativo.</w:t>
      </w:r>
    </w:p>
    <w:p w14:paraId="6156B0CB" w14:textId="55C94EC3" w:rsidR="00576A90" w:rsidRDefault="00576A90" w:rsidP="00576A90">
      <w:pPr>
        <w:pStyle w:val="SntesisDescriptiva"/>
      </w:pPr>
    </w:p>
    <w:p w14:paraId="3BC3BBA9" w14:textId="77777777" w:rsidR="00576A90" w:rsidRDefault="00576A90" w:rsidP="00576A90">
      <w:pPr>
        <w:pStyle w:val="SntesisDescriptiva"/>
      </w:pPr>
    </w:p>
    <w:p w14:paraId="14288970" w14:textId="77777777" w:rsidR="00576A90" w:rsidRDefault="00576A90" w:rsidP="00576A90">
      <w:pPr>
        <w:pStyle w:val="SntesisDescriptiva"/>
      </w:pPr>
    </w:p>
    <w:p w14:paraId="2A50CE73" w14:textId="77777777" w:rsidR="00576A90" w:rsidRDefault="00576A90" w:rsidP="00576A90">
      <w:pPr>
        <w:pStyle w:val="TextoNormalNegritaCentrado"/>
      </w:pPr>
      <w:r>
        <w:t>AUTO</w:t>
      </w:r>
    </w:p>
    <w:p w14:paraId="7D9CEEA7" w14:textId="087C7994" w:rsidR="00576A90" w:rsidRDefault="00576A90" w:rsidP="00576A90">
      <w:pPr>
        <w:pStyle w:val="TextoNormalNegritaCentrado"/>
      </w:pPr>
    </w:p>
    <w:p w14:paraId="2327DE34" w14:textId="77777777" w:rsidR="00576A90" w:rsidRDefault="00576A90" w:rsidP="00576A90">
      <w:pPr>
        <w:pStyle w:val="TextoNormalNegritaCentrado"/>
        <w:keepNext/>
      </w:pPr>
      <w:r>
        <w:t>I. Antecedentes</w:t>
      </w:r>
    </w:p>
    <w:p w14:paraId="37F18AE3" w14:textId="4869EFF8" w:rsidR="00576A90" w:rsidRDefault="00576A90" w:rsidP="00576A90">
      <w:pPr>
        <w:pStyle w:val="TextoNormalNegritaCentrado"/>
        <w:keepNext/>
      </w:pPr>
    </w:p>
    <w:p w14:paraId="3CFDA97E" w14:textId="77777777" w:rsidR="00576A90" w:rsidRDefault="00576A90" w:rsidP="00576A90">
      <w:pPr>
        <w:pStyle w:val="TextoNormal"/>
      </w:pPr>
      <w:r w:rsidRPr="00576A90">
        <w:rPr>
          <w:rStyle w:val="TextoNormalNegritaCaracter"/>
        </w:rPr>
        <w:t xml:space="preserve">Único. </w:t>
      </w:r>
      <w:r>
        <w:t>El 8 de octubre de 2021, doña María José Hernández Vitoria, representada por la procuradora de los tribunales doña Erika Ena Pérez, presentó demanda de amparo contra la providencia de la Sección Sexta de la Sala de lo Contencioso-Administrativo del Tribunal Supremo de 22 de julio de 2021, por la que se inadmite el incidente de nulidad de actuaciones interpuesto contra la sentencia núm. 798/2021, de 4 de junio, pronunciada en el procedimiento ordinario núm. 13-2020, por la que se estima el recurso contencioso-administrativo interpuesto contra el acuerdo del Pleno del Consejo General del Poder Judicial de 27 de febrero de 2020, resolutorio del expediente de revisión de oficio núm. 288-2019 del acuerdo de la Comisión Permanente de dicho órgano constitucional de 7 de marzo de 2019, dando lugar al recurso de amparo núm. 6420-2021.</w:t>
      </w:r>
    </w:p>
    <w:p w14:paraId="67E3C0AB" w14:textId="77777777" w:rsidR="00576A90" w:rsidRDefault="00576A90" w:rsidP="00576A90">
      <w:pPr>
        <w:pStyle w:val="TextoNormal"/>
      </w:pPr>
    </w:p>
    <w:p w14:paraId="1BA68B9D" w14:textId="20A624DB" w:rsidR="00576A90" w:rsidRDefault="00576A90" w:rsidP="00576A90">
      <w:pPr>
        <w:pStyle w:val="TextoNormal"/>
      </w:pPr>
      <w:r>
        <w:t>Mediante escrito de 7 de mayo de 2024 el presidente del Tribunal, don Cándido Conde-Pumpido Tourón, comunicó su voluntad de abstenerse en el conocimiento del presente recurso de amparo y todas sus incidencias, ya que podría producirse una apariencia de pérdida de la necesaria imparcialidad judicial, al concurrir la causa de abstención decimocuarta, en relación con la decimoquinta, del art. 219 de la Ley Orgánica del Poder Judicial (LOPJ), debido a su vínculo conyugal con una de las vocales del Consejo General del Poder Judicial que participó en el acuerdo del Pleno.</w:t>
      </w:r>
    </w:p>
    <w:p w14:paraId="66D6D7D9" w14:textId="77777777" w:rsidR="00576A90" w:rsidRDefault="00576A90" w:rsidP="00576A90">
      <w:pPr>
        <w:pStyle w:val="TextoNormal"/>
      </w:pPr>
    </w:p>
    <w:p w14:paraId="369F4369" w14:textId="77777777" w:rsidR="00576A90" w:rsidRDefault="00576A90" w:rsidP="00576A90">
      <w:pPr>
        <w:pStyle w:val="TextoNormalNegritaCentrado"/>
        <w:keepNext/>
      </w:pPr>
      <w:r>
        <w:t>II. Fundamentos jurídicos</w:t>
      </w:r>
    </w:p>
    <w:p w14:paraId="7EF35FA1" w14:textId="59A8AA6F" w:rsidR="00576A90" w:rsidRDefault="00576A90" w:rsidP="00576A90">
      <w:pPr>
        <w:pStyle w:val="TextoNormalNegritaCentrado"/>
        <w:keepNext/>
      </w:pPr>
    </w:p>
    <w:p w14:paraId="6493D8D1" w14:textId="4F63A507" w:rsidR="00576A90" w:rsidRDefault="00576A90" w:rsidP="00576A90">
      <w:pPr>
        <w:pStyle w:val="TextoNormal"/>
      </w:pPr>
      <w:r w:rsidRPr="00576A90">
        <w:rPr>
          <w:rStyle w:val="TextoNormalNegritaCaracter"/>
        </w:rPr>
        <w:t xml:space="preserve">Único. </w:t>
      </w:r>
      <w:r>
        <w:t>Vista la comunicación efectuada por don Cándido Conde-Pumpido Tourón, en virtud de lo previsto en los arts. 80 de la Ley Orgánica del Tribunal Constitucional y 221.4 LOPJ, se estima justificada la causa de abstención formulada, puesto que el mencionado magistrado está incurso en la causa de abstención decimocuarta, en relación con la decimoquinta, del art. 219 LOPJ.</w:t>
      </w:r>
    </w:p>
    <w:p w14:paraId="03F172E5" w14:textId="77777777" w:rsidR="00576A90" w:rsidRDefault="00576A90" w:rsidP="00576A90">
      <w:pPr>
        <w:pStyle w:val="TextoNormal"/>
      </w:pPr>
    </w:p>
    <w:p w14:paraId="06A4F4CC" w14:textId="77777777" w:rsidR="00576A90" w:rsidRDefault="00576A90" w:rsidP="00576A90">
      <w:pPr>
        <w:pStyle w:val="TextoNormal"/>
      </w:pPr>
      <w:r>
        <w:t>Por lo expuesto, la Sección</w:t>
      </w:r>
    </w:p>
    <w:p w14:paraId="5B564166" w14:textId="1717C9C9" w:rsidR="00576A90" w:rsidRDefault="00576A90" w:rsidP="00576A90">
      <w:pPr>
        <w:pStyle w:val="TextoNormal"/>
      </w:pPr>
    </w:p>
    <w:p w14:paraId="2B51DD18" w14:textId="77777777" w:rsidR="00576A90" w:rsidRDefault="00576A90" w:rsidP="00576A90">
      <w:pPr>
        <w:pStyle w:val="TextoNormalCentrado"/>
      </w:pPr>
      <w:r>
        <w:t>ACUERDA</w:t>
      </w:r>
    </w:p>
    <w:p w14:paraId="16A55347" w14:textId="5F7875F3" w:rsidR="00576A90" w:rsidRDefault="00576A90" w:rsidP="00576A90">
      <w:pPr>
        <w:pStyle w:val="TextoNormalCentrado"/>
      </w:pPr>
    </w:p>
    <w:p w14:paraId="30356424" w14:textId="0B4F85BC" w:rsidR="00576A90" w:rsidRDefault="00576A90" w:rsidP="00576A90">
      <w:pPr>
        <w:pStyle w:val="TextoNormal"/>
      </w:pPr>
      <w:r>
        <w:lastRenderedPageBreak/>
        <w:t>Estimar justificada la abstención formulada por el magistrado don Cándido Conde-Pumpido Tourón en el recurso de amparo núm. 6420-2021, apartándole definitivamente del conocimiento del referido recurso y de todas sus incidencias.</w:t>
      </w:r>
    </w:p>
    <w:p w14:paraId="5AB299A1" w14:textId="77777777" w:rsidR="00576A90" w:rsidRDefault="00576A90" w:rsidP="00576A90">
      <w:pPr>
        <w:pStyle w:val="TextoNormal"/>
      </w:pPr>
    </w:p>
    <w:p w14:paraId="67CA3602" w14:textId="77777777" w:rsidR="00576A90" w:rsidRDefault="00576A90" w:rsidP="00576A90">
      <w:pPr>
        <w:pStyle w:val="TextoNormal"/>
      </w:pPr>
      <w:r>
        <w:t>Madrid, a diez de mayo de dos mil veinticuatro.</w:t>
      </w:r>
    </w:p>
    <w:p w14:paraId="77E175CC" w14:textId="1F7105C1" w:rsidR="00576A90" w:rsidRDefault="00576A90">
      <w:pPr>
        <w:spacing w:after="160" w:line="259" w:lineRule="auto"/>
        <w:rPr>
          <w:rFonts w:ascii="Times New Roman" w:eastAsia="Times New Roman" w:hAnsi="Times New Roman" w:cs="Times New Roman"/>
          <w:sz w:val="24"/>
          <w:szCs w:val="24"/>
          <w:lang w:eastAsia="es-ES"/>
        </w:rPr>
      </w:pPr>
      <w:r>
        <w:br w:type="page"/>
      </w:r>
    </w:p>
    <w:p w14:paraId="7D013B3D" w14:textId="77777777" w:rsidR="00576A90" w:rsidRDefault="00576A90" w:rsidP="00576A90">
      <w:pPr>
        <w:pStyle w:val="TtuloResolucin"/>
      </w:pPr>
      <w:bookmarkStart w:id="140" w:name="AUTO_2024_45"/>
      <w:r>
        <w:lastRenderedPageBreak/>
        <w:t>AUTO 45/2024, de 10 de mayo de 2024</w:t>
      </w:r>
    </w:p>
    <w:bookmarkEnd w:id="140"/>
    <w:p w14:paraId="5BF81685" w14:textId="77777777" w:rsidR="00576A90" w:rsidRDefault="00576A90" w:rsidP="00576A90">
      <w:pPr>
        <w:pStyle w:val="TtuloResolucin"/>
      </w:pPr>
      <w:r>
        <w:t>Sección Primera</w:t>
      </w:r>
    </w:p>
    <w:p w14:paraId="69AF0146" w14:textId="77777777" w:rsidR="00576A90" w:rsidRDefault="00576A90" w:rsidP="00576A90">
      <w:pPr>
        <w:pStyle w:val="TextoNormalCentrado"/>
      </w:pPr>
      <w:r>
        <w:t>ECLI:ES:TC:2024:45A</w:t>
      </w:r>
    </w:p>
    <w:p w14:paraId="1C1479CF" w14:textId="5891BA90" w:rsidR="00576A90" w:rsidRDefault="00576A90" w:rsidP="00576A90">
      <w:pPr>
        <w:pStyle w:val="TextoNormalCentrado"/>
      </w:pPr>
    </w:p>
    <w:p w14:paraId="0C83FE73" w14:textId="77777777" w:rsidR="00576A90" w:rsidRDefault="00576A90" w:rsidP="00576A90">
      <w:pPr>
        <w:pStyle w:val="SntesisDescriptiva"/>
      </w:pPr>
      <w:r>
        <w:t>Excms. Srs. doña Concepción Espejel Jorquera y doña María Luisa Segoviano Astaburuaga.</w:t>
      </w:r>
    </w:p>
    <w:p w14:paraId="750FBE12" w14:textId="77FBA8B4" w:rsidR="00576A90" w:rsidRDefault="00576A90" w:rsidP="00576A90">
      <w:pPr>
        <w:pStyle w:val="SntesisDescriptiva"/>
      </w:pPr>
    </w:p>
    <w:p w14:paraId="30F96C83" w14:textId="77777777" w:rsidR="00576A90" w:rsidRDefault="00576A90" w:rsidP="00576A90">
      <w:pPr>
        <w:pStyle w:val="SntesisDescriptiva"/>
      </w:pPr>
      <w:r>
        <w:t>Acepta una abstención en el recurso de amparo 2143-2024, promovido en proceso militar.</w:t>
      </w:r>
    </w:p>
    <w:p w14:paraId="20A6BE80" w14:textId="37E6EC06" w:rsidR="00576A90" w:rsidRDefault="00576A90" w:rsidP="00576A90">
      <w:pPr>
        <w:pStyle w:val="SntesisDescriptiva"/>
      </w:pPr>
    </w:p>
    <w:p w14:paraId="7011FE6E" w14:textId="77777777" w:rsidR="00576A90" w:rsidRDefault="00576A90" w:rsidP="00576A90">
      <w:pPr>
        <w:pStyle w:val="SntesisDescriptiva"/>
      </w:pPr>
    </w:p>
    <w:p w14:paraId="1C002C37" w14:textId="77777777" w:rsidR="00576A90" w:rsidRDefault="00576A90" w:rsidP="00576A90">
      <w:pPr>
        <w:pStyle w:val="SntesisDescriptiva"/>
      </w:pPr>
    </w:p>
    <w:p w14:paraId="2432A4B1" w14:textId="77777777" w:rsidR="00576A90" w:rsidRDefault="00576A90" w:rsidP="00576A90">
      <w:pPr>
        <w:pStyle w:val="TextoNormalNegritaCentrado"/>
      </w:pPr>
      <w:r>
        <w:t>AUTO</w:t>
      </w:r>
    </w:p>
    <w:p w14:paraId="5BEED8CE" w14:textId="7500365E" w:rsidR="00576A90" w:rsidRDefault="00576A90" w:rsidP="00576A90">
      <w:pPr>
        <w:pStyle w:val="TextoNormalNegritaCentrado"/>
      </w:pPr>
    </w:p>
    <w:p w14:paraId="5533D475" w14:textId="77777777" w:rsidR="00576A90" w:rsidRDefault="00576A90" w:rsidP="00576A90">
      <w:pPr>
        <w:pStyle w:val="TextoNormalNegritaCentrado"/>
        <w:keepNext/>
      </w:pPr>
      <w:r>
        <w:t>I. Antecedentes</w:t>
      </w:r>
    </w:p>
    <w:p w14:paraId="59D28E89" w14:textId="7DB2F37C" w:rsidR="00576A90" w:rsidRDefault="00576A90" w:rsidP="00576A90">
      <w:pPr>
        <w:pStyle w:val="TextoNormalNegritaCentrado"/>
        <w:keepNext/>
      </w:pPr>
    </w:p>
    <w:p w14:paraId="7D109A9F" w14:textId="77777777" w:rsidR="00576A90" w:rsidRDefault="00576A90" w:rsidP="00576A90">
      <w:pPr>
        <w:pStyle w:val="TextoNormal"/>
      </w:pPr>
      <w:r w:rsidRPr="00576A90">
        <w:rPr>
          <w:rStyle w:val="TextoNormalNegritaCaracter"/>
        </w:rPr>
        <w:t xml:space="preserve">Único. </w:t>
      </w:r>
      <w:r>
        <w:t>En el recurso de amparo núm. 2143-2024 se impugna la sentencia 4/2024, de 7 de febrero, dictada por la Sala de lo Militar del Tribunal Supremo, frente a la sentencia pronunciada por el Tribunal Militar Territorial Primero de 23 de febrero de 2023 (sumario núm. 11-01-2019) que condenó al recurrente como autor de un delito de abuso de autoridad [art. 47 del Código penal militar (CPM)], en su modalidad de cometer sobre un subordinado actos de agresión sexual en concurso ideal heterogéneo con un delito de agresión sexual del art. 178.1 del Código penal, a la pena, entre otras, de dos años, nueve meses y un día de prisión.</w:t>
      </w:r>
    </w:p>
    <w:p w14:paraId="45F90500" w14:textId="77777777" w:rsidR="00576A90" w:rsidRDefault="00576A90" w:rsidP="00576A90">
      <w:pPr>
        <w:pStyle w:val="TextoNormal"/>
      </w:pPr>
    </w:p>
    <w:p w14:paraId="073DB0C7" w14:textId="4B41DFD5" w:rsidR="00576A90" w:rsidRDefault="00576A90" w:rsidP="00576A90">
      <w:pPr>
        <w:pStyle w:val="TextoNormal"/>
      </w:pPr>
      <w:r>
        <w:t>Mediante escrito de 8 de mayo de 2024 el magistrado don Cándido Conde-Pumpido Tourón comunicó a los efectos oportunos que se abstenía de intervenir en el antes indicado recurso de amparo, de conformidad con el art. 80 de la Ley Orgánica del Tribunal Constitucional (LOTC), por concurrir la causa de abstención prevista en el artículo 219.15 de la Ley Orgánica del Poder Judicial (LOPJ), dado que su cónyuge ha formado parte del órgano judicial que ha dictado la sentencia de casación impugnada en el presente recurso de amparo.</w:t>
      </w:r>
    </w:p>
    <w:p w14:paraId="3A47EEA0" w14:textId="77777777" w:rsidR="00576A90" w:rsidRDefault="00576A90" w:rsidP="00576A90">
      <w:pPr>
        <w:pStyle w:val="TextoNormal"/>
      </w:pPr>
    </w:p>
    <w:p w14:paraId="0BDE6A97" w14:textId="77777777" w:rsidR="00576A90" w:rsidRDefault="00576A90" w:rsidP="00576A90">
      <w:pPr>
        <w:pStyle w:val="TextoNormalNegritaCentrado"/>
        <w:keepNext/>
      </w:pPr>
      <w:r>
        <w:t>II. Fundamentos jurídicos</w:t>
      </w:r>
    </w:p>
    <w:p w14:paraId="5F422CD2" w14:textId="08BE6968" w:rsidR="00576A90" w:rsidRDefault="00576A90" w:rsidP="00576A90">
      <w:pPr>
        <w:pStyle w:val="TextoNormalNegritaCentrado"/>
        <w:keepNext/>
      </w:pPr>
    </w:p>
    <w:p w14:paraId="23BFA780" w14:textId="5F72A51F" w:rsidR="00576A90" w:rsidRDefault="00576A90" w:rsidP="00576A90">
      <w:pPr>
        <w:pStyle w:val="TextoNormal"/>
      </w:pPr>
      <w:r w:rsidRPr="00576A90">
        <w:rPr>
          <w:rStyle w:val="TextoNormalNegritaCaracter"/>
        </w:rPr>
        <w:t xml:space="preserve">Único. </w:t>
      </w:r>
      <w:r>
        <w:t>Vista la comunicación efectuada por don Cándido Conde-Pumpido Tourón, magistrado de esta Sección Primera del Tribunal Constitucional, la Sección, en virtud de lo previsto en el art. 219.15 LOPJ, supletoria de la Ley Orgánica del Tribunal Constitucional (art. 80), estima justificada la causa de abstención formulada.</w:t>
      </w:r>
    </w:p>
    <w:p w14:paraId="3B1FCFD7" w14:textId="77777777" w:rsidR="00576A90" w:rsidRDefault="00576A90" w:rsidP="00576A90">
      <w:pPr>
        <w:pStyle w:val="TextoNormal"/>
      </w:pPr>
    </w:p>
    <w:p w14:paraId="5CBAE03C" w14:textId="77777777" w:rsidR="00576A90" w:rsidRDefault="00576A90" w:rsidP="00576A90">
      <w:pPr>
        <w:pStyle w:val="TextoNormal"/>
      </w:pPr>
      <w:r>
        <w:t>Por lo expuesto, la Sección</w:t>
      </w:r>
    </w:p>
    <w:p w14:paraId="01E3209C" w14:textId="0166B859" w:rsidR="00576A90" w:rsidRDefault="00576A90" w:rsidP="00576A90">
      <w:pPr>
        <w:pStyle w:val="TextoNormal"/>
      </w:pPr>
    </w:p>
    <w:p w14:paraId="341F7A7A" w14:textId="77777777" w:rsidR="00576A90" w:rsidRDefault="00576A90" w:rsidP="00576A90">
      <w:pPr>
        <w:pStyle w:val="TextoNormalCentrado"/>
      </w:pPr>
      <w:r>
        <w:t>ACUERDA</w:t>
      </w:r>
    </w:p>
    <w:p w14:paraId="137C330F" w14:textId="1EBF835E" w:rsidR="00576A90" w:rsidRDefault="00576A90" w:rsidP="00576A90">
      <w:pPr>
        <w:pStyle w:val="TextoNormalCentrado"/>
      </w:pPr>
    </w:p>
    <w:p w14:paraId="2094CFA1" w14:textId="07EE13DB" w:rsidR="00576A90" w:rsidRDefault="00576A90" w:rsidP="00576A90">
      <w:pPr>
        <w:pStyle w:val="TextoNormal"/>
      </w:pPr>
      <w:r>
        <w:t>Estimar justificada la abstención formulada por el magistrado don Cándido Conde-Pumpido Tourón en el recurso de amparo núm. 2143-2024, apartándole definitivamente del conocimiento del referido recurso y de todas sus incidencias.</w:t>
      </w:r>
    </w:p>
    <w:p w14:paraId="67748500" w14:textId="77777777" w:rsidR="00576A90" w:rsidRDefault="00576A90" w:rsidP="00576A90">
      <w:pPr>
        <w:pStyle w:val="TextoNormal"/>
      </w:pPr>
    </w:p>
    <w:p w14:paraId="7C0160CD" w14:textId="77777777" w:rsidR="00576A90" w:rsidRDefault="00576A90" w:rsidP="00576A90">
      <w:pPr>
        <w:pStyle w:val="TextoNormal"/>
      </w:pPr>
      <w:r>
        <w:lastRenderedPageBreak/>
        <w:t>Madrid, a diez de mayo de dos mil veinticuatro.</w:t>
      </w:r>
    </w:p>
    <w:p w14:paraId="77334344" w14:textId="04A87C4C" w:rsidR="00576A90" w:rsidRDefault="00576A90">
      <w:pPr>
        <w:spacing w:after="160" w:line="259" w:lineRule="auto"/>
        <w:rPr>
          <w:rFonts w:ascii="Times New Roman" w:eastAsia="Times New Roman" w:hAnsi="Times New Roman" w:cs="Times New Roman"/>
          <w:sz w:val="24"/>
          <w:szCs w:val="24"/>
          <w:lang w:eastAsia="es-ES"/>
        </w:rPr>
      </w:pPr>
      <w:r>
        <w:br w:type="page"/>
      </w:r>
    </w:p>
    <w:p w14:paraId="7CA893B3" w14:textId="77777777" w:rsidR="00576A90" w:rsidRDefault="00576A90" w:rsidP="00576A90">
      <w:pPr>
        <w:pStyle w:val="TtuloResolucin"/>
      </w:pPr>
      <w:bookmarkStart w:id="141" w:name="AUTO_2024_46"/>
      <w:r>
        <w:lastRenderedPageBreak/>
        <w:t>AUTO 46/2024, de 10 de mayo de 2024</w:t>
      </w:r>
    </w:p>
    <w:bookmarkEnd w:id="141"/>
    <w:p w14:paraId="6736385B" w14:textId="77777777" w:rsidR="00576A90" w:rsidRDefault="00576A90" w:rsidP="00576A90">
      <w:pPr>
        <w:pStyle w:val="TtuloResolucin"/>
      </w:pPr>
      <w:r>
        <w:t>Sección Primera</w:t>
      </w:r>
    </w:p>
    <w:p w14:paraId="5A9733B4" w14:textId="77777777" w:rsidR="00576A90" w:rsidRDefault="00576A90" w:rsidP="00576A90">
      <w:pPr>
        <w:pStyle w:val="TextoNormalCentrado"/>
      </w:pPr>
      <w:r>
        <w:t>ECLI:ES:TC:2024:46A</w:t>
      </w:r>
    </w:p>
    <w:p w14:paraId="3BFDA345" w14:textId="0C6D5D0B" w:rsidR="00576A90" w:rsidRDefault="00576A90" w:rsidP="00576A90">
      <w:pPr>
        <w:pStyle w:val="TextoNormalCentrado"/>
      </w:pPr>
    </w:p>
    <w:p w14:paraId="3D65A9CA" w14:textId="77777777" w:rsidR="00576A90" w:rsidRDefault="00576A90" w:rsidP="00576A90">
      <w:pPr>
        <w:pStyle w:val="SntesisDescriptiva"/>
      </w:pPr>
      <w:r>
        <w:t>Excms. Srs. doña Concepción Espejel Jorquera y doña María Luisa Segoviano Astaburuaga.</w:t>
      </w:r>
    </w:p>
    <w:p w14:paraId="3CBA8139" w14:textId="59FC4165" w:rsidR="00576A90" w:rsidRDefault="00576A90" w:rsidP="00576A90">
      <w:pPr>
        <w:pStyle w:val="SntesisDescriptiva"/>
      </w:pPr>
    </w:p>
    <w:p w14:paraId="648BD320" w14:textId="77777777" w:rsidR="00576A90" w:rsidRDefault="00576A90" w:rsidP="00576A90">
      <w:pPr>
        <w:pStyle w:val="SntesisDescriptiva"/>
      </w:pPr>
      <w:r>
        <w:t>Acepta una abstención en el recurso de amparo 2196-2024, promovido en proceso militar.</w:t>
      </w:r>
    </w:p>
    <w:p w14:paraId="7462FC2F" w14:textId="147195C8" w:rsidR="00576A90" w:rsidRDefault="00576A90" w:rsidP="00576A90">
      <w:pPr>
        <w:pStyle w:val="SntesisDescriptiva"/>
      </w:pPr>
    </w:p>
    <w:p w14:paraId="2A69CDD3" w14:textId="77777777" w:rsidR="00576A90" w:rsidRDefault="00576A90" w:rsidP="00576A90">
      <w:pPr>
        <w:pStyle w:val="SntesisDescriptiva"/>
      </w:pPr>
    </w:p>
    <w:p w14:paraId="6D82C2F9" w14:textId="77777777" w:rsidR="00576A90" w:rsidRDefault="00576A90" w:rsidP="00576A90">
      <w:pPr>
        <w:pStyle w:val="SntesisDescriptiva"/>
      </w:pPr>
    </w:p>
    <w:p w14:paraId="352F3303" w14:textId="77777777" w:rsidR="00576A90" w:rsidRDefault="00576A90" w:rsidP="00576A90">
      <w:pPr>
        <w:pStyle w:val="TextoNormalNegritaCentrado"/>
      </w:pPr>
      <w:r>
        <w:t>AUTO</w:t>
      </w:r>
    </w:p>
    <w:p w14:paraId="07721A6B" w14:textId="3F6C34B7" w:rsidR="00576A90" w:rsidRDefault="00576A90" w:rsidP="00576A90">
      <w:pPr>
        <w:pStyle w:val="TextoNormalNegritaCentrado"/>
      </w:pPr>
    </w:p>
    <w:p w14:paraId="4D1E2C5F" w14:textId="77777777" w:rsidR="00576A90" w:rsidRDefault="00576A90" w:rsidP="00576A90">
      <w:pPr>
        <w:pStyle w:val="TextoNormalNegritaCentrado"/>
        <w:keepNext/>
      </w:pPr>
      <w:r>
        <w:t>I. Antecedentes</w:t>
      </w:r>
    </w:p>
    <w:p w14:paraId="2A015052" w14:textId="0F7315F6" w:rsidR="00576A90" w:rsidRDefault="00576A90" w:rsidP="00576A90">
      <w:pPr>
        <w:pStyle w:val="TextoNormalNegritaCentrado"/>
        <w:keepNext/>
      </w:pPr>
    </w:p>
    <w:p w14:paraId="38625F6B" w14:textId="77777777" w:rsidR="00576A90" w:rsidRDefault="00576A90" w:rsidP="00576A90">
      <w:pPr>
        <w:pStyle w:val="TextoNormal"/>
      </w:pPr>
      <w:r w:rsidRPr="00576A90">
        <w:rPr>
          <w:rStyle w:val="TextoNormalNegritaCaracter"/>
        </w:rPr>
        <w:t xml:space="preserve">Único. </w:t>
      </w:r>
      <w:r>
        <w:t>En el recurso de amparo núm. 2196-2024 se impugna la sentencia 92/2023, de 14 de diciembre, dictada por la Sala de lo Militar del Tribunal Supremo, frente a la sentencia pronunciada por el Tribunal Militar Territorial Segundo, de 29 de marzo (sumario núm. 23-03-2019), que condena al recurrente como autor responsable de dos delitos de abuso de autoridad del art. 48 del Código penal militar (CPM) sin las circunstancias eximentes o modificativas de la responsabilidad criminal a las penas de ocho meses de prisión y seis meses de prisión respectivamente. En concepto de responsabilidades civiles deberá abonar a don Francisco Jordi Páez la cantidad de 600 €; y como autor responsable de un delito contra la eficacia del servicio del artículo 77.1 CPM a la pena de dos años, ocho meses y veintiséis días de prisión con las accesorias legales de suspensión de empleo, suspensión de cargo público y derecho de sufragio pasivo durante el tiempo de la condena principal. En concepto de responsabilidad civil deberá indemnizar a los padres del soldado fallecido la cantidad total de 208 294,82 €.</w:t>
      </w:r>
    </w:p>
    <w:p w14:paraId="00F7124F" w14:textId="77777777" w:rsidR="00576A90" w:rsidRDefault="00576A90" w:rsidP="00576A90">
      <w:pPr>
        <w:pStyle w:val="TextoNormal"/>
      </w:pPr>
    </w:p>
    <w:p w14:paraId="3F2B7E1B" w14:textId="57089056" w:rsidR="00576A90" w:rsidRDefault="00576A90" w:rsidP="00576A90">
      <w:pPr>
        <w:pStyle w:val="TextoNormal"/>
      </w:pPr>
      <w:r>
        <w:t>Mediante escrito de 8 de mayo de 2024 el magistrado don Cándido Conde-Pumpido Tourón comunicó a los efectos oportunos que se abstenía de intervenir en el antes indicado recurso de amparo, de conformidad con el art. 80 de la Ley Orgánica del Tribunal Constitucional (LOTC), por concurrir la causa de abstención prevista en el artículo 219.15 de la Ley Orgánica del Poder Judicial (LOPJ), dado que su cónyuge ha formado parte del órgano judicial que ha dictado la sentencia de casación impugnada en el presente recurso de amparo.</w:t>
      </w:r>
    </w:p>
    <w:p w14:paraId="5FFD63B1" w14:textId="77777777" w:rsidR="00576A90" w:rsidRDefault="00576A90" w:rsidP="00576A90">
      <w:pPr>
        <w:pStyle w:val="TextoNormal"/>
      </w:pPr>
    </w:p>
    <w:p w14:paraId="278B6D51" w14:textId="77777777" w:rsidR="00576A90" w:rsidRDefault="00576A90" w:rsidP="00576A90">
      <w:pPr>
        <w:pStyle w:val="TextoNormalNegritaCentrado"/>
        <w:keepNext/>
      </w:pPr>
      <w:r>
        <w:t>II. Fundamentos jurídicos</w:t>
      </w:r>
    </w:p>
    <w:p w14:paraId="1F533E9D" w14:textId="5795C3F5" w:rsidR="00576A90" w:rsidRDefault="00576A90" w:rsidP="00576A90">
      <w:pPr>
        <w:pStyle w:val="TextoNormalNegritaCentrado"/>
        <w:keepNext/>
      </w:pPr>
    </w:p>
    <w:p w14:paraId="0AC9680F" w14:textId="6738E181" w:rsidR="00576A90" w:rsidRDefault="00576A90" w:rsidP="00576A90">
      <w:pPr>
        <w:pStyle w:val="TextoNormal"/>
      </w:pPr>
      <w:r w:rsidRPr="00576A90">
        <w:rPr>
          <w:rStyle w:val="TextoNormalNegritaCaracter"/>
        </w:rPr>
        <w:t xml:space="preserve">Único. </w:t>
      </w:r>
      <w:r>
        <w:t>Vista la comunicación efectuada por don Cándido Conde-Pumpido Tourón, magistrado de esta Sección Primera del Tribunal Constitucional, la Sección, en virtud de lo previsto en el art. 219.15 LOPJ, supletoria de la Ley Orgánica del Tribunal Constitucional (art. 80), estima justificada la causa de abstención formulada.</w:t>
      </w:r>
    </w:p>
    <w:p w14:paraId="278E91C0" w14:textId="77777777" w:rsidR="00576A90" w:rsidRDefault="00576A90" w:rsidP="00576A90">
      <w:pPr>
        <w:pStyle w:val="TextoNormal"/>
      </w:pPr>
    </w:p>
    <w:p w14:paraId="6A427D0E" w14:textId="77777777" w:rsidR="00576A90" w:rsidRDefault="00576A90" w:rsidP="00576A90">
      <w:pPr>
        <w:pStyle w:val="TextoNormal"/>
      </w:pPr>
      <w:r>
        <w:t>Por lo expuesto, la Sección</w:t>
      </w:r>
    </w:p>
    <w:p w14:paraId="24A85C3D" w14:textId="69E75205" w:rsidR="00576A90" w:rsidRDefault="00576A90" w:rsidP="00576A90">
      <w:pPr>
        <w:pStyle w:val="TextoNormal"/>
      </w:pPr>
    </w:p>
    <w:p w14:paraId="0E5021E8" w14:textId="77777777" w:rsidR="00576A90" w:rsidRDefault="00576A90" w:rsidP="00576A90">
      <w:pPr>
        <w:pStyle w:val="TextoNormalCentrado"/>
      </w:pPr>
      <w:r>
        <w:t>ACUERDA</w:t>
      </w:r>
    </w:p>
    <w:p w14:paraId="669D7504" w14:textId="419F10B1" w:rsidR="00576A90" w:rsidRDefault="00576A90" w:rsidP="00576A90">
      <w:pPr>
        <w:pStyle w:val="TextoNormalCentrado"/>
      </w:pPr>
    </w:p>
    <w:p w14:paraId="1E4A3FFB" w14:textId="21854E1C" w:rsidR="00576A90" w:rsidRDefault="00576A90" w:rsidP="00576A90">
      <w:pPr>
        <w:pStyle w:val="TextoNormal"/>
      </w:pPr>
      <w:r>
        <w:t>Estimar justificada la abstención formulada por el magistrado don Cándido Conde-Pumpido Tourón en el recurso de amparo núm. 2196-2024, apartándole definitivamente del conocimiento del referido recurso y de todas sus incidencias.</w:t>
      </w:r>
    </w:p>
    <w:p w14:paraId="65BCE4F8" w14:textId="77777777" w:rsidR="00576A90" w:rsidRDefault="00576A90" w:rsidP="00576A90">
      <w:pPr>
        <w:pStyle w:val="TextoNormal"/>
      </w:pPr>
    </w:p>
    <w:p w14:paraId="66385A45" w14:textId="77777777" w:rsidR="00576A90" w:rsidRDefault="00576A90" w:rsidP="00576A90">
      <w:pPr>
        <w:pStyle w:val="TextoNormal"/>
      </w:pPr>
      <w:r>
        <w:t>Madrid, a diez de mayo de dos mil veinticuatro.</w:t>
      </w:r>
    </w:p>
    <w:p w14:paraId="6B40B857" w14:textId="2CECDA04" w:rsidR="00576A90" w:rsidRDefault="00576A90">
      <w:pPr>
        <w:spacing w:after="160" w:line="259" w:lineRule="auto"/>
        <w:rPr>
          <w:rFonts w:ascii="Times New Roman" w:eastAsia="Times New Roman" w:hAnsi="Times New Roman" w:cs="Times New Roman"/>
          <w:sz w:val="24"/>
          <w:szCs w:val="24"/>
          <w:lang w:eastAsia="es-ES"/>
        </w:rPr>
      </w:pPr>
      <w:r>
        <w:br w:type="page"/>
      </w:r>
    </w:p>
    <w:p w14:paraId="301A3173" w14:textId="77777777" w:rsidR="00576A90" w:rsidRDefault="00576A90" w:rsidP="00576A90">
      <w:pPr>
        <w:pStyle w:val="TtuloResolucin"/>
      </w:pPr>
      <w:bookmarkStart w:id="142" w:name="AUTO_2024_47"/>
      <w:r>
        <w:lastRenderedPageBreak/>
        <w:t>AUTO 47/2024, de 14 de mayo de 2024</w:t>
      </w:r>
    </w:p>
    <w:bookmarkEnd w:id="142"/>
    <w:p w14:paraId="2E46F469" w14:textId="77777777" w:rsidR="00576A90" w:rsidRDefault="00576A90" w:rsidP="00576A90">
      <w:pPr>
        <w:pStyle w:val="TtuloResolucin"/>
      </w:pPr>
      <w:r>
        <w:t>Sección Cuarta</w:t>
      </w:r>
    </w:p>
    <w:p w14:paraId="75E17642" w14:textId="77777777" w:rsidR="00576A90" w:rsidRDefault="00576A90" w:rsidP="00576A90">
      <w:pPr>
        <w:pStyle w:val="TtuloBOE"/>
      </w:pPr>
      <w:r>
        <w:t>(BOE núm. 140, de 10 de junio de 2024)</w:t>
      </w:r>
    </w:p>
    <w:p w14:paraId="22633976" w14:textId="77777777" w:rsidR="00576A90" w:rsidRDefault="00576A90" w:rsidP="00576A90">
      <w:pPr>
        <w:pStyle w:val="TextoNormalCentrado"/>
      </w:pPr>
      <w:r>
        <w:t>ECLI:ES:TC:2024:47A</w:t>
      </w:r>
    </w:p>
    <w:p w14:paraId="62384949" w14:textId="24606DDB" w:rsidR="00576A90" w:rsidRDefault="00576A90" w:rsidP="00576A90">
      <w:pPr>
        <w:pStyle w:val="TextoNormalCentrado"/>
      </w:pPr>
    </w:p>
    <w:p w14:paraId="4E3FFFA8" w14:textId="77777777" w:rsidR="00576A90" w:rsidRDefault="00576A90" w:rsidP="00576A90">
      <w:pPr>
        <w:pStyle w:val="SntesisDescriptiva"/>
      </w:pPr>
      <w:r>
        <w:t>Excms. Srs. doña María Luisa Balaguer Callejón, don Ramón Sáez Valcárcel y don Enrique Arnaldo Alcubilla.</w:t>
      </w:r>
    </w:p>
    <w:p w14:paraId="2BE95C19" w14:textId="327F0718" w:rsidR="00576A90" w:rsidRDefault="00576A90" w:rsidP="00576A90">
      <w:pPr>
        <w:pStyle w:val="SntesisDescriptiva"/>
      </w:pPr>
    </w:p>
    <w:p w14:paraId="73A6FF88" w14:textId="77777777" w:rsidR="00576A90" w:rsidRDefault="00576A90" w:rsidP="00576A90">
      <w:pPr>
        <w:pStyle w:val="SntesisDescriptiva"/>
      </w:pPr>
      <w:r>
        <w:t>Inadmite a trámite el recurso de amparo 1562-2023, promovido por doña Cristina Ibarrola Guillén en procedimiento parlamentario. Voto particular.</w:t>
      </w:r>
    </w:p>
    <w:p w14:paraId="5C8E67C6" w14:textId="5E3007C5" w:rsidR="00576A90" w:rsidRDefault="00576A90" w:rsidP="00576A90">
      <w:pPr>
        <w:pStyle w:val="SntesisDescriptiva"/>
      </w:pPr>
    </w:p>
    <w:p w14:paraId="441A05B2" w14:textId="77777777" w:rsidR="00576A90" w:rsidRDefault="00576A90" w:rsidP="00576A90">
      <w:pPr>
        <w:pStyle w:val="SntesisDescriptiva"/>
      </w:pPr>
    </w:p>
    <w:p w14:paraId="4216C3A9" w14:textId="77777777" w:rsidR="00576A90" w:rsidRDefault="00576A90" w:rsidP="00576A90">
      <w:pPr>
        <w:pStyle w:val="SntesisDescriptiva"/>
      </w:pPr>
    </w:p>
    <w:p w14:paraId="74368380" w14:textId="77777777" w:rsidR="00576A90" w:rsidRDefault="00576A90" w:rsidP="00576A90">
      <w:pPr>
        <w:pStyle w:val="TextoNormalNegritaCentrado"/>
      </w:pPr>
      <w:r>
        <w:t>AUTO</w:t>
      </w:r>
    </w:p>
    <w:p w14:paraId="6C4BF2B0" w14:textId="38AA316A" w:rsidR="00576A90" w:rsidRDefault="00576A90" w:rsidP="00576A90">
      <w:pPr>
        <w:pStyle w:val="TextoNormalNegritaCentrado"/>
      </w:pPr>
    </w:p>
    <w:p w14:paraId="783609AB" w14:textId="77777777" w:rsidR="00576A90" w:rsidRDefault="00576A90" w:rsidP="00576A90">
      <w:pPr>
        <w:pStyle w:val="TextoNormalNegritaCentrado"/>
        <w:keepNext/>
      </w:pPr>
      <w:r>
        <w:t>I. Antecedentes</w:t>
      </w:r>
    </w:p>
    <w:p w14:paraId="1CBBA0BB" w14:textId="6511D570" w:rsidR="00576A90" w:rsidRDefault="00576A90" w:rsidP="00576A90">
      <w:pPr>
        <w:pStyle w:val="TextoNormalNegritaCentrado"/>
        <w:keepNext/>
      </w:pPr>
    </w:p>
    <w:p w14:paraId="7BBD7D2B" w14:textId="21BF9D19" w:rsidR="00576A90" w:rsidRDefault="00576A90" w:rsidP="00576A90">
      <w:pPr>
        <w:pStyle w:val="TextoNormal"/>
      </w:pPr>
      <w:r w:rsidRPr="00576A90">
        <w:rPr>
          <w:rStyle w:val="NumeroAFNegritaCaracter"/>
        </w:rPr>
        <w:t>1</w:t>
      </w:r>
      <w:r>
        <w:t>. El día 8 de marzo de 2023, el procurador de los tribunales don Nohel Alain de Dorrmochea Guiot, en nombre y representación de doña Cristina Ibarrola Guillén, parlamentaria foral del Parlamento de Navarra, y bajo la dirección letrada de don Guillermo Chaverri Reparaz, interpone recurso de amparo contra nueve acuerdos de la junta de portavoces del Parlamento de Navarra fechados el 12 de diciembre de 2022, por considerar que estos vulneran sus derechos del art. 23.2 CE.</w:t>
      </w:r>
    </w:p>
    <w:p w14:paraId="7BAD7FBF" w14:textId="77777777" w:rsidR="00576A90" w:rsidRDefault="00576A90" w:rsidP="00576A90">
      <w:pPr>
        <w:pStyle w:val="TextoNormal"/>
      </w:pPr>
    </w:p>
    <w:p w14:paraId="3E1F6AA2" w14:textId="77777777" w:rsidR="00576A90" w:rsidRDefault="00576A90" w:rsidP="00576A90">
      <w:pPr>
        <w:pStyle w:val="TextoNormal"/>
      </w:pPr>
      <w:r w:rsidRPr="00576A90">
        <w:rPr>
          <w:rStyle w:val="NumeroAFNegritaCaracter"/>
        </w:rPr>
        <w:t>2</w:t>
      </w:r>
      <w:r>
        <w:t>. Los hechos relevantes para examinar la admisibilidad del recurso de amparo son, sucintamente expuestos, los siguientes:</w:t>
      </w:r>
    </w:p>
    <w:p w14:paraId="072AFF2B" w14:textId="77777777" w:rsidR="00576A90" w:rsidRDefault="00576A90" w:rsidP="00576A90">
      <w:pPr>
        <w:pStyle w:val="TextoNormal"/>
      </w:pPr>
    </w:p>
    <w:p w14:paraId="3D428891" w14:textId="77777777" w:rsidR="00576A90" w:rsidRDefault="00576A90" w:rsidP="00576A90">
      <w:pPr>
        <w:pStyle w:val="TextoNormal"/>
      </w:pPr>
      <w:r>
        <w:t>a) La recurrente en amparo, doña Cristina Ibarrola Guillén, parlamentaria foral del Parlamento de Navarra adscrita al Grupo Parlamentario Navarra Suma (Unión del Pueblo Navarro, Ciudadanos, Partido Popular) en la X legislatura, solicitó a la mesa de las Cortes de Navarra, el 17 de noviembre de 2022, las siguientes comparecencias:</w:t>
      </w:r>
    </w:p>
    <w:p w14:paraId="44FD2BC7" w14:textId="77777777" w:rsidR="00576A90" w:rsidRDefault="00576A90" w:rsidP="00576A90">
      <w:pPr>
        <w:pStyle w:val="TextoNormal"/>
      </w:pPr>
    </w:p>
    <w:p w14:paraId="42F0649C" w14:textId="77777777" w:rsidR="00576A90" w:rsidRDefault="00576A90" w:rsidP="00576A90">
      <w:pPr>
        <w:pStyle w:val="TextoNormal"/>
      </w:pPr>
      <w:r>
        <w:t>1.- Director general de Corporación Pública Empresarial de Navarra (10-22-COM-00105).</w:t>
      </w:r>
    </w:p>
    <w:p w14:paraId="7CF68391" w14:textId="77777777" w:rsidR="00576A90" w:rsidRDefault="00576A90" w:rsidP="00576A90">
      <w:pPr>
        <w:pStyle w:val="TextoNormal"/>
      </w:pPr>
    </w:p>
    <w:p w14:paraId="792D2527" w14:textId="77777777" w:rsidR="00576A90" w:rsidRDefault="00576A90" w:rsidP="00576A90">
      <w:pPr>
        <w:pStyle w:val="TextoNormal"/>
      </w:pPr>
      <w:r>
        <w:t>2.- Directora general de Política Empresarial, Proyección Internacional y Trabajo (10-22-COM-00111).</w:t>
      </w:r>
    </w:p>
    <w:p w14:paraId="4F7C020E" w14:textId="77777777" w:rsidR="00576A90" w:rsidRDefault="00576A90" w:rsidP="00576A90">
      <w:pPr>
        <w:pStyle w:val="TextoNormal"/>
      </w:pPr>
    </w:p>
    <w:p w14:paraId="1D58DB24" w14:textId="77777777" w:rsidR="00576A90" w:rsidRDefault="00576A90" w:rsidP="00576A90">
      <w:pPr>
        <w:pStyle w:val="TextoNormal"/>
      </w:pPr>
      <w:r>
        <w:t>3.- Jefa del Servicio de Régimen Jurídico del Servicio Navarro de Salud-Osasunbidea (10-22-COM-00112).</w:t>
      </w:r>
    </w:p>
    <w:p w14:paraId="2ACE97B7" w14:textId="77777777" w:rsidR="00576A90" w:rsidRDefault="00576A90" w:rsidP="00576A90">
      <w:pPr>
        <w:pStyle w:val="TextoNormal"/>
      </w:pPr>
    </w:p>
    <w:p w14:paraId="620A404F" w14:textId="77777777" w:rsidR="00576A90" w:rsidRDefault="00576A90" w:rsidP="00576A90">
      <w:pPr>
        <w:pStyle w:val="TextoNormal"/>
      </w:pPr>
      <w:r>
        <w:t>4.- Director general de Intervención (10-22-COM-00114).</w:t>
      </w:r>
    </w:p>
    <w:p w14:paraId="6BAD6B76" w14:textId="77777777" w:rsidR="00576A90" w:rsidRDefault="00576A90" w:rsidP="00576A90">
      <w:pPr>
        <w:pStyle w:val="TextoNormal"/>
      </w:pPr>
    </w:p>
    <w:p w14:paraId="6A34C76C" w14:textId="77777777" w:rsidR="00576A90" w:rsidRDefault="00576A90" w:rsidP="00576A90">
      <w:pPr>
        <w:pStyle w:val="TextoNormal"/>
      </w:pPr>
      <w:r>
        <w:t>5.- Jefa de sección de control financiero permanente y auditoría (10-22-COM-00115).</w:t>
      </w:r>
    </w:p>
    <w:p w14:paraId="18782121" w14:textId="77777777" w:rsidR="00576A90" w:rsidRDefault="00576A90" w:rsidP="00576A90">
      <w:pPr>
        <w:pStyle w:val="TextoNormal"/>
      </w:pPr>
    </w:p>
    <w:p w14:paraId="13A64D10" w14:textId="77777777" w:rsidR="00576A90" w:rsidRDefault="00576A90" w:rsidP="00576A90">
      <w:pPr>
        <w:pStyle w:val="TextoNormal"/>
      </w:pPr>
      <w:r>
        <w:t>6.- Directora del Servicio de Control Financiero Permanente y Auditoría (10-22-COM-00106).</w:t>
      </w:r>
    </w:p>
    <w:p w14:paraId="5533ECDD" w14:textId="77777777" w:rsidR="00576A90" w:rsidRDefault="00576A90" w:rsidP="00576A90">
      <w:pPr>
        <w:pStyle w:val="TextoNormal"/>
      </w:pPr>
    </w:p>
    <w:p w14:paraId="30C7DB21" w14:textId="77777777" w:rsidR="00576A90" w:rsidRDefault="00576A90" w:rsidP="00576A90">
      <w:pPr>
        <w:pStyle w:val="TextoNormal"/>
      </w:pPr>
      <w:r>
        <w:t>7.- Directora de Servicio de Intervención (10-22-COM-00107).</w:t>
      </w:r>
    </w:p>
    <w:p w14:paraId="5384A701" w14:textId="77777777" w:rsidR="00576A90" w:rsidRDefault="00576A90" w:rsidP="00576A90">
      <w:pPr>
        <w:pStyle w:val="TextoNormal"/>
      </w:pPr>
    </w:p>
    <w:p w14:paraId="7BA9943E" w14:textId="77777777" w:rsidR="00576A90" w:rsidRDefault="00576A90" w:rsidP="00576A90">
      <w:pPr>
        <w:pStyle w:val="TextoNormal"/>
      </w:pPr>
      <w:r>
        <w:t>8.- Directora de Servicio de Patrimonio (10-22-COM-00108).</w:t>
      </w:r>
    </w:p>
    <w:p w14:paraId="798F7154" w14:textId="77777777" w:rsidR="00576A90" w:rsidRDefault="00576A90" w:rsidP="00576A90">
      <w:pPr>
        <w:pStyle w:val="TextoNormal"/>
      </w:pPr>
    </w:p>
    <w:p w14:paraId="663D8198" w14:textId="77777777" w:rsidR="00576A90" w:rsidRDefault="00576A90" w:rsidP="00576A90">
      <w:pPr>
        <w:pStyle w:val="TextoNormal"/>
      </w:pPr>
      <w:r>
        <w:t>9.- Director gerente del Servicio Navarro de Salud-Osasunbidea (10-22-COM-00109).</w:t>
      </w:r>
    </w:p>
    <w:p w14:paraId="2EA474AA" w14:textId="77777777" w:rsidR="00576A90" w:rsidRDefault="00576A90" w:rsidP="00576A90">
      <w:pPr>
        <w:pStyle w:val="TextoNormal"/>
      </w:pPr>
    </w:p>
    <w:p w14:paraId="3CD75DBF" w14:textId="77777777" w:rsidR="00576A90" w:rsidRDefault="00576A90" w:rsidP="00576A90">
      <w:pPr>
        <w:pStyle w:val="TextoNormal"/>
      </w:pPr>
      <w:r>
        <w:t>10.- Presidenta del Gobierno de Navarra (10-22-COM-00104).</w:t>
      </w:r>
    </w:p>
    <w:p w14:paraId="483C83FC" w14:textId="77777777" w:rsidR="00576A90" w:rsidRDefault="00576A90" w:rsidP="00576A90">
      <w:pPr>
        <w:pStyle w:val="TextoNormal"/>
      </w:pPr>
    </w:p>
    <w:p w14:paraId="6FB49962" w14:textId="77777777" w:rsidR="00576A90" w:rsidRDefault="00576A90" w:rsidP="00576A90">
      <w:pPr>
        <w:pStyle w:val="TextoNormal"/>
      </w:pPr>
      <w:r>
        <w:t>11.- Consejero de Desarrollo Económico y Empresarial (10-22-COM-00110).</w:t>
      </w:r>
    </w:p>
    <w:p w14:paraId="3F549769" w14:textId="77777777" w:rsidR="00576A90" w:rsidRDefault="00576A90" w:rsidP="00576A90">
      <w:pPr>
        <w:pStyle w:val="TextoNormal"/>
      </w:pPr>
    </w:p>
    <w:p w14:paraId="47B20939" w14:textId="77777777" w:rsidR="00576A90" w:rsidRDefault="00576A90" w:rsidP="00576A90">
      <w:pPr>
        <w:pStyle w:val="TextoNormal"/>
      </w:pPr>
      <w:r>
        <w:t>Todas las comparecencias tenían por objeto recabar información sobre la compra de mascarillas y equipos de protección individual (EPIs) al inicio de la crisis sanitaria provocada por la covid-19, por parte de SODENA (Sociedad de Desarrollo de Navarra), instrumento financiero del Gobierno de Navarra para el desarrollo de proyectos de la Comunidad Foral. En la solicitud no se identifica si se solicita la tramitación de las comparecencias ante la junta de portavoces, conforme al art. 44.7 del texto refundido del Reglamento del Parlamento de Navarra de 24 de marzo de 2011 (en adelante RPN), o ante la comisión competente conforme al art. 56.1 b) RPN.</w:t>
      </w:r>
    </w:p>
    <w:p w14:paraId="10D135AC" w14:textId="77777777" w:rsidR="00576A90" w:rsidRDefault="00576A90" w:rsidP="00576A90">
      <w:pPr>
        <w:pStyle w:val="TextoNormal"/>
      </w:pPr>
    </w:p>
    <w:p w14:paraId="51135E9B" w14:textId="77777777" w:rsidR="00576A90" w:rsidRDefault="00576A90" w:rsidP="00576A90">
      <w:pPr>
        <w:pStyle w:val="TextoNormal"/>
      </w:pPr>
      <w:r>
        <w:t>b) En reunión celebrada el 21 de noviembre de 2022, la junta de portavoces únicamente acordó instar la comparecencia de la presidenta del Gobierno de Navarra y del consejero de Desarrollo Económico y Empresarial del Gobierno de Navarra (comparecencias núms. 10 y 11 del listado anterior), ante la comisión que determinase la mesa de la Cámara y al objeto de celebrar una sesión informativa sobre el asunto al que se hace referencia en el escrito del grupo parlamentario Navarra Suma, y ello de conformidad con lo dispuesto en el art. 203 RPN.</w:t>
      </w:r>
    </w:p>
    <w:p w14:paraId="6C52AC59" w14:textId="77777777" w:rsidR="00576A90" w:rsidRDefault="00576A90" w:rsidP="00576A90">
      <w:pPr>
        <w:pStyle w:val="TextoNormal"/>
      </w:pPr>
    </w:p>
    <w:p w14:paraId="2EF43853" w14:textId="77777777" w:rsidR="00576A90" w:rsidRDefault="00576A90" w:rsidP="00576A90">
      <w:pPr>
        <w:pStyle w:val="TextoNormal"/>
      </w:pPr>
      <w:r>
        <w:t>En esa misma reunión, la mesa y la junta de portavoces acordaron encomendar a los servicios jurídicos del Parlamento un informe sobre la competencia de la junta para inadmitir iniciativas referidas a peticiones de comparecencia de funcionarios, autoridades y personas que no son miembros del Gobierno de Navarra.</w:t>
      </w:r>
    </w:p>
    <w:p w14:paraId="25B55171" w14:textId="77777777" w:rsidR="00576A90" w:rsidRDefault="00576A90" w:rsidP="00576A90">
      <w:pPr>
        <w:pStyle w:val="TextoNormal"/>
      </w:pPr>
    </w:p>
    <w:p w14:paraId="3F56B96E" w14:textId="77777777" w:rsidR="00576A90" w:rsidRDefault="00576A90" w:rsidP="00576A90">
      <w:pPr>
        <w:pStyle w:val="TextoNormal"/>
      </w:pPr>
      <w:r>
        <w:t xml:space="preserve">c) Evacuado dicho informe el 7 de diciembre de 2022, este sostiene que (i) la mesa de la Cámara, previa audiencia de la junta de portavoces, en el ejercicio de sus funciones de calificación y admisión de las solicitudes de comparecencias de funcionarios y autoridades, deberá limitarse a verificar que se cumplen los requisitos exigidos por el reglamento y dar al escrito el curso que corresponda, sin que esté facultada para alterar dicho cauce normativo; (ii) una vez calificadas y admitidas a trámite la solicitudes por la mesa, la decisión de celebración o no de la comparecencia dependerá de la voluntad del órgano correspondiente, esto es de la junta de portavoces o comisión, no existiendo un derecho a que se acuerde la comparecencia solicitada; (iii) los nueve escritos examinados son formulados a título individual por la señora Ibarrola, como portavoz de la comisión de salud, y se dirigen a la mesa de la Cámara, que puede calificarlos como comparecencia de funcionarios o autoridades, sabiendo que no se cita el precepto del reglamento que permite saber si se solicita su tramitación ante la junta de portavoces (art. 44.7 RPN) o ante la comisión competente [art. 56.1 b) RPN]. Esta insuficiencia permitiría inadmitir a trámite las solicitudes, aunque el proceder de la mesa y de la junta en otras ocasiones ha sido admitirlas a pesar de </w:t>
      </w:r>
      <w:r>
        <w:lastRenderedPageBreak/>
        <w:t>su indebida formulación; (iv) corresponde a la mesa, previa audiencia de la junta de portavoces y tras calificar las solicitudes de comparecencia, optar por inadmitirlas para su debida formulación conforme a lo expuesto. No obstante, también cabe que decida su admisión a trámite y las remita o bien a la junta de portavoces (art. 44.7 RPN) o a las comisiones competentes [art. 56.1 b) RPN] para que, en su caso, sean dichos órganos los que se pronuncien y decidan finalmente sobre la celebración o no de las citadas comparecencias según su régimen ordinario de acuerdos. A la mesa y a la junta de portavoces corresponde adoptar la decisión que estime más pertinente.</w:t>
      </w:r>
    </w:p>
    <w:p w14:paraId="18E9C2F7" w14:textId="77777777" w:rsidR="00576A90" w:rsidRDefault="00576A90" w:rsidP="00576A90">
      <w:pPr>
        <w:pStyle w:val="TextoNormal"/>
      </w:pPr>
    </w:p>
    <w:p w14:paraId="48B40BAB" w14:textId="77777777" w:rsidR="00576A90" w:rsidRDefault="00576A90" w:rsidP="00576A90">
      <w:pPr>
        <w:pStyle w:val="TextoNormal"/>
      </w:pPr>
      <w:r>
        <w:t>d) Visto el informe, el 12 de diciembre de 2022 se celebró sesión de la junta de portavoces del Parlamento de Navarra donde se adoptaron, entre otros, los acuerdos de rechazo de las solicitudes de comparecencia listados del 1 al 9. En cada uno de los acuerdos de rechazo se afirma que “los servicios jurídicos han elaborado un informe en el que se manifiesta que compete a la mesa de la Cámara, previa audiencia de la junta de portavoces, ejercer la función de calificación y admisión de las solicitudes de comparecencias de funcionarios, autoridades y personas, recayendo la decisión de la celebración o no de la comparecencia, en la voluntad del órgano correspondiente, que conforme al reglamento corresponde o bien a la junta de portavoces (art. 44.7), o bien a las Comisiones competentes [art. 56.1 b)]. Por tanto, conforme a la normativa parlamentaria de aplicación, ha sido examinada la solicitud y realizada su calificación y admisión por parte de la mesa, previa audiencia de la junta de portavoces, atribuyendo a esta última la decisión sobre su celebración”.</w:t>
      </w:r>
    </w:p>
    <w:p w14:paraId="66243573" w14:textId="77777777" w:rsidR="00576A90" w:rsidRDefault="00576A90" w:rsidP="00576A90">
      <w:pPr>
        <w:pStyle w:val="TextoNormal"/>
      </w:pPr>
    </w:p>
    <w:p w14:paraId="17BE64B7" w14:textId="66EC63FB" w:rsidR="00576A90" w:rsidRDefault="00576A90" w:rsidP="00576A90">
      <w:pPr>
        <w:pStyle w:val="TextoNormal"/>
      </w:pPr>
      <w:r>
        <w:t xml:space="preserve">e) Según el art. 44 RPN, las decisiones de la mesa del Parlamento (art. 37.2 RPN) así como los acuerdos de la mesa de comisión (art. 129.2 RPN) son revisables por la junta de portavoces, pero estas últimas no son susceptibles de recurso alguno, por tanto, los acuerdos de 12 de diciembre de 2022 se recurren directamente en amparo </w:t>
      </w:r>
      <w:r w:rsidRPr="00576A90">
        <w:rPr>
          <w:i/>
        </w:rPr>
        <w:t>ex</w:t>
      </w:r>
      <w:r>
        <w:t xml:space="preserve"> art. 42 de la Ley Orgánica del Tribunal Constitucional (LOTC).</w:t>
      </w:r>
    </w:p>
    <w:p w14:paraId="2C982406" w14:textId="77777777" w:rsidR="00576A90" w:rsidRDefault="00576A90" w:rsidP="00576A90">
      <w:pPr>
        <w:pStyle w:val="TextoNormal"/>
      </w:pPr>
    </w:p>
    <w:p w14:paraId="60ADB292" w14:textId="77777777" w:rsidR="00576A90" w:rsidRDefault="00576A90" w:rsidP="00576A90">
      <w:pPr>
        <w:pStyle w:val="TextoNormal"/>
      </w:pPr>
      <w:r w:rsidRPr="00576A90">
        <w:rPr>
          <w:rStyle w:val="NumeroAFNegritaCaracter"/>
        </w:rPr>
        <w:t>3</w:t>
      </w:r>
      <w:r>
        <w:t>. La recurrente alega en su demanda la vulneración del art. 23 CE, por incorrecta aplicación de los arts. 11 de la Ley Orgánica de reintegración y amejoramiento del régimen foral de Navarra (LORAFNA) y 13.2, 44, 56 y 203 RPN y por falta de motivación suficiente de los acuerdos parlamentarios impugnados.</w:t>
      </w:r>
    </w:p>
    <w:p w14:paraId="11133ED6" w14:textId="77777777" w:rsidR="00576A90" w:rsidRDefault="00576A90" w:rsidP="00576A90">
      <w:pPr>
        <w:pStyle w:val="TextoNormal"/>
      </w:pPr>
    </w:p>
    <w:p w14:paraId="6B8E68A0" w14:textId="77777777" w:rsidR="00576A90" w:rsidRDefault="00576A90" w:rsidP="00576A90">
      <w:pPr>
        <w:pStyle w:val="TextoNormal"/>
      </w:pPr>
      <w:r>
        <w:t>a) En primer término se denuncia la vulneración del derecho de acceso en condiciones de igualdad al cargo público (art. 23.2 CE), en relación con el derecho de los ciudadanos a participar en los asuntos públicos a través de sus representantes (art. 23.1 CE), todo ello en relación con el art. 11 LORAFNA, con los arts. 13.2, 44, 56 y 203 RPN y con la costumbre parlamentaria.</w:t>
      </w:r>
    </w:p>
    <w:p w14:paraId="1FC37EB7" w14:textId="77777777" w:rsidR="00576A90" w:rsidRDefault="00576A90" w:rsidP="00576A90">
      <w:pPr>
        <w:pStyle w:val="TextoNormal"/>
      </w:pPr>
    </w:p>
    <w:p w14:paraId="22CF6360" w14:textId="77777777" w:rsidR="00576A90" w:rsidRDefault="00576A90" w:rsidP="00576A90">
      <w:pPr>
        <w:pStyle w:val="TextoNormal"/>
      </w:pPr>
      <w:r>
        <w:t>Entiende la recurrente que se ha visto privada del ejercicio de su derecho de participación en asuntos públicos al haberse limitado su labor de control al Gobierno foral. En particular sostiene que una vez que un parlamentario foral solicita la comparecencia de un miembro del Gobierno de Navarra, de sus organismos públicos, sociedades o fundaciones públicas, o de terceras personas, es costumbre que la mesa admita la petición de comparecencia y la junta de portavoces acuerde requerir la presencia de la persona solicitada, para que comparezca en la comisión que al efecto se determine (arts. 44, 56 y 203 RPN), cosa que, en esta ocasión, no ha sucedido.</w:t>
      </w:r>
    </w:p>
    <w:p w14:paraId="4C3A0CA7" w14:textId="77777777" w:rsidR="00576A90" w:rsidRDefault="00576A90" w:rsidP="00576A90">
      <w:pPr>
        <w:pStyle w:val="TextoNormal"/>
      </w:pPr>
    </w:p>
    <w:p w14:paraId="5804A23D" w14:textId="77777777" w:rsidR="00576A90" w:rsidRDefault="00576A90" w:rsidP="00576A90">
      <w:pPr>
        <w:pStyle w:val="TextoNormal"/>
      </w:pPr>
      <w:r>
        <w:t xml:space="preserve">Tras exponer el contenido de los preceptos invocados, y la jurisprudencia constitucional sobre el alcance del </w:t>
      </w:r>
      <w:r w:rsidRPr="00576A90">
        <w:rPr>
          <w:i/>
        </w:rPr>
        <w:t>ius in oficium</w:t>
      </w:r>
      <w:r>
        <w:t xml:space="preserve"> y sobre el valor de la costumbre parlamentaria como fuente de derechos (con cita de las SSTC 23/2015, de 16 de febrero; 199/2016, de 28 de noviembre, FJ 3, y 38/2022, de 11 de marzo), esta parte alega que respecto de los usos y costumbres del Parlamento de Navarra, venía siendo práctica habitual la admisión a trámite de toda solicitud de comparecencia formulada por uno o varios parlamentarios o grupos parlamentarios, tal y como reconocen los propios servicios jurídicos de la Cámara en su informe jurídico. Insiste la demanda en que, cuando las solicitudes de comparecencias aparecen recogidas en el reglamento, como es el presente caso —arts. 44 y 56 RPN— y más cuando su finalidad es la de control al Gobierno autonómico, dicha facultad ha de entenderse dentro del núcleo básico de la función parlamentaria garantizado por el artículo 23.2 CE. En el presente caso, continúa la recurrente, se ha limitado la facultad de control del Gobierno ya que los nueve acuerdos recurridos rechazan las comparecencias de nueve altos cargos, funcionarios o cargos de libre designación del Gobierno de Navarra, que son personas clave para conocer qué ocurrió con los contratos de compraventa de mascarillas en los que participó la administración de la comunidad foral.</w:t>
      </w:r>
    </w:p>
    <w:p w14:paraId="1D9BEB69" w14:textId="77777777" w:rsidR="00576A90" w:rsidRDefault="00576A90" w:rsidP="00576A90">
      <w:pPr>
        <w:pStyle w:val="TextoNormal"/>
      </w:pPr>
    </w:p>
    <w:p w14:paraId="4E67909A" w14:textId="77777777" w:rsidR="00576A90" w:rsidRDefault="00576A90" w:rsidP="00576A90">
      <w:pPr>
        <w:pStyle w:val="TextoNormal"/>
      </w:pPr>
      <w:r>
        <w:t>La demanda sostiene asimismo que como el voto en la junta de portavoces es proporcional al número de parlamentarios de cada grupo (</w:t>
      </w:r>
      <w:r w:rsidRPr="00576A90">
        <w:rPr>
          <w:i/>
        </w:rPr>
        <w:t>ex</w:t>
      </w:r>
      <w:r>
        <w:t xml:space="preserve"> art. 43.5 RPN), debería haberse tenido por presentada la solicitud por el grupo Navarra Suma, en el sentido de lo previsto por el art. 203.2 RPN, que prevé un criterio automático para la aprobación de la comparecencia cuando la misma fuera solicitada por, al menos, una quinta parte de los miembros del Parlamento, lo que se cumple en el caso del grupo Navarra Suma, que cuenta con veinte parlamentarios de los cincuenta que conforman el Parlamento de Navarra.</w:t>
      </w:r>
    </w:p>
    <w:p w14:paraId="41289824" w14:textId="77777777" w:rsidR="00576A90" w:rsidRDefault="00576A90" w:rsidP="00576A90">
      <w:pPr>
        <w:pStyle w:val="TextoNormal"/>
      </w:pPr>
    </w:p>
    <w:p w14:paraId="15EDE6CA" w14:textId="77777777" w:rsidR="00576A90" w:rsidRDefault="00576A90" w:rsidP="00576A90">
      <w:pPr>
        <w:pStyle w:val="TextoNormal"/>
      </w:pPr>
      <w:r>
        <w:t>b) En segundo lugar, la recurrente denuncia falta de motivación de los acuerdos de la junta de portavoces, ausencia que vulneraría el derecho de acceso en condiciones de igualdad al cargo público (art. 23.2 CE). Entiende esta parte que los acuerdos recurridos de la junta de portavoces se limitan a reproducir el contenido de la solicitud efectuada, así como a referirse a la elaboración de un informe de los servicios jurídicos y a señalar que el acuerdo adoptado es el de rechazar las solicitudes de comparecencia. No se alega motivo alguno por el que se justifique el rechazo, más cuando es uso y costumbre del Parlamento de Navarra que, una vez se solicita una comparecencia, la misma se tramite siempre de forma automática con arreglo a lo dispuesto en el reglamento. La cita de las SSTC 32/2017, de 27 de febrero, y 38/2022, lleva a concluir que no se ha respetado el canon de motivación constitucionalmente exigible, porque no se ha motivado materialmente en modo alguno en qué se ha basado la junta de portavoces para rechazar las solicitudes de comparecencia efectuadas.</w:t>
      </w:r>
    </w:p>
    <w:p w14:paraId="4DD8871D" w14:textId="77777777" w:rsidR="00576A90" w:rsidRDefault="00576A90" w:rsidP="00576A90">
      <w:pPr>
        <w:pStyle w:val="TextoNormal"/>
      </w:pPr>
    </w:p>
    <w:p w14:paraId="2A91E121" w14:textId="119A01E8" w:rsidR="00576A90" w:rsidRDefault="00576A90" w:rsidP="00576A90">
      <w:pPr>
        <w:pStyle w:val="TextoNormal"/>
      </w:pPr>
      <w:r>
        <w:t xml:space="preserve">c) Por último, y en relación con la especial trascendencia constitucional que presentaría el recurso de amparo, la demanda alega literal y exclusivamente lo siguiente: “Entendemos que los dos motivos alegados tienen especial trascendencia constitucional en tanto que, en caso de que no se restablezcan por el Tribunal Constitucional los derechos que le asisten a mi representada, nos encontraríamos ante una vulneración de los mismos y de una modificación de los usos y costumbres parlamentarios, que afectan directamente al núcleo de la función representativa que ostenta el parlamentario en tanto que ejerce sus funciones de control de la actividad del Gobierno. En el presente caso nos encontramos </w:t>
      </w:r>
      <w:r>
        <w:lastRenderedPageBreak/>
        <w:t xml:space="preserve">ante una decisión arbitraria, no justificada y que vulnera la práctica parlamentaria habitual, lesionando el derecho fundamental (art. 23 CE) que le asiste a mi representada, afectando al </w:t>
      </w:r>
      <w:r w:rsidRPr="00576A90">
        <w:rPr>
          <w:i/>
        </w:rPr>
        <w:t>ius in officium</w:t>
      </w:r>
      <w:r>
        <w:t xml:space="preserve"> del parlamentario”.</w:t>
      </w:r>
    </w:p>
    <w:p w14:paraId="4C9CD26C" w14:textId="77777777" w:rsidR="00576A90" w:rsidRDefault="00576A90" w:rsidP="00576A90">
      <w:pPr>
        <w:pStyle w:val="TextoNormal"/>
      </w:pPr>
    </w:p>
    <w:p w14:paraId="5FC69574" w14:textId="6D124CE3" w:rsidR="00576A90" w:rsidRDefault="00576A90" w:rsidP="00576A90">
      <w:pPr>
        <w:pStyle w:val="TextoNormal"/>
      </w:pPr>
      <w:r w:rsidRPr="00576A90">
        <w:rPr>
          <w:rStyle w:val="NumeroAFNegritaCaracter"/>
        </w:rPr>
        <w:t>4</w:t>
      </w:r>
      <w:r>
        <w:t>. Por diligencia de ordenación de 10 de marzo de 2023 del secretario de justicia de la Sección Cuarta de este tribunal, se tiene por recibido el escrito interponiendo recurso de amparo, concediendo al procurador de la recurrente en amparo diez días para que aporte copia de los acuerdos de la junta de portavoces del Parlamento de Navarra que son objeto del recurso.</w:t>
      </w:r>
    </w:p>
    <w:p w14:paraId="4BC5FA7A" w14:textId="77777777" w:rsidR="00576A90" w:rsidRDefault="00576A90" w:rsidP="00576A90">
      <w:pPr>
        <w:pStyle w:val="TextoNormal"/>
      </w:pPr>
    </w:p>
    <w:p w14:paraId="41E1E108" w14:textId="1182D789" w:rsidR="00576A90" w:rsidRDefault="00576A90" w:rsidP="00576A90">
      <w:pPr>
        <w:pStyle w:val="TextoNormal"/>
      </w:pPr>
      <w:r w:rsidRPr="00576A90">
        <w:rPr>
          <w:rStyle w:val="NumeroAFNegritaCaracter"/>
        </w:rPr>
        <w:t>5</w:t>
      </w:r>
      <w:r>
        <w:t>. Mediante escrito registrado en el Tribunal el día 14 de marzo de 2023 se aportan al proceso los documentos requeridos.</w:t>
      </w:r>
    </w:p>
    <w:p w14:paraId="279412B9" w14:textId="77777777" w:rsidR="00576A90" w:rsidRDefault="00576A90" w:rsidP="00576A90">
      <w:pPr>
        <w:pStyle w:val="TextoNormal"/>
      </w:pPr>
    </w:p>
    <w:p w14:paraId="20ABE831" w14:textId="77777777" w:rsidR="00576A90" w:rsidRDefault="00576A90" w:rsidP="00576A90">
      <w:pPr>
        <w:pStyle w:val="TextoNormalNegritaCentrado"/>
        <w:keepNext/>
      </w:pPr>
      <w:r>
        <w:t>II. Fundamentos jurídicos</w:t>
      </w:r>
    </w:p>
    <w:p w14:paraId="4E41A887" w14:textId="47EB15B0" w:rsidR="00576A90" w:rsidRDefault="00576A90" w:rsidP="00576A90">
      <w:pPr>
        <w:pStyle w:val="TextoNormalNegritaCentrado"/>
        <w:keepNext/>
      </w:pPr>
    </w:p>
    <w:p w14:paraId="4B427167" w14:textId="77777777" w:rsidR="00576A90" w:rsidRDefault="00576A90" w:rsidP="00576A90">
      <w:pPr>
        <w:pStyle w:val="TextoNormal"/>
      </w:pPr>
      <w:r w:rsidRPr="00576A90">
        <w:rPr>
          <w:rStyle w:val="NumeroAFNegritaCaracter"/>
        </w:rPr>
        <w:t>1</w:t>
      </w:r>
      <w:r>
        <w:t xml:space="preserve">. </w:t>
      </w:r>
      <w:r w:rsidRPr="00576A90">
        <w:rPr>
          <w:i/>
        </w:rPr>
        <w:t>Objeto del recurso de amparo</w:t>
      </w:r>
    </w:p>
    <w:p w14:paraId="1A215B48" w14:textId="77777777" w:rsidR="00576A90" w:rsidRDefault="00576A90" w:rsidP="00576A90">
      <w:pPr>
        <w:pStyle w:val="TextoNormal"/>
      </w:pPr>
    </w:p>
    <w:p w14:paraId="787E9336" w14:textId="6161C45B" w:rsidR="00576A90" w:rsidRDefault="00576A90" w:rsidP="00576A90">
      <w:pPr>
        <w:pStyle w:val="TextoNormal"/>
      </w:pPr>
      <w:r>
        <w:t>La recurrente en amparo, parlamentaria foral en la X legislatura del Parlamento de Navarra e integrante del grupo parlamentario Navarra Suma (Unión del Pueblo Navarro, Ciudadanos, Partido Popular), solicitó a la mesa de las Cortes de Navarra, el 17 de noviembre de 2022 un total de once comparecencias de distintas personas, con la finalidad de que dieran cuenta de la gestión relativa a la compra de EPIs y mascarillas durante el período inicial de la crisis sanitaria provocada por la covid-19. De todas ellas fueron inicialmente acordadas por la junta de portavoces dos comparecencias relativas a cargos del Gobierno foral, solicitándose informe al servicio jurídico de la Cámara respecto de las demás, referidas a personas que no formaban parte del Gobierno de Navarra. Tras la evacuación del informe y atendiendo al contenido de este, la mesa de la Cámara da trámite de la solicitud a la junta de portavoces que acordó rechazar las comparecencias solicitadas. Esos acuerdos de rechazo son los que conforman el objeto del recurso de amparo y a los mismos se imputa la vulneración del art. 23 CE, por incorrecta aplicación de los arts. 11 LORAFNA y 13.2, 44, 56 y 203 RPN, además de considerar que lesionan el derecho de acceso en condiciones de igualdad al cargo público (art. 23.2 de la CE) al tratarse de resoluciones inmotivadas.</w:t>
      </w:r>
    </w:p>
    <w:p w14:paraId="439E82DA" w14:textId="77777777" w:rsidR="00576A90" w:rsidRDefault="00576A90" w:rsidP="00576A90">
      <w:pPr>
        <w:pStyle w:val="TextoNormal"/>
      </w:pPr>
    </w:p>
    <w:p w14:paraId="692228F3" w14:textId="77777777" w:rsidR="00576A90" w:rsidRDefault="00576A90" w:rsidP="00576A90">
      <w:pPr>
        <w:pStyle w:val="TextoNormal"/>
      </w:pPr>
      <w:r w:rsidRPr="00576A90">
        <w:rPr>
          <w:rStyle w:val="NumeroAFNegritaCaracter"/>
        </w:rPr>
        <w:t>2</w:t>
      </w:r>
      <w:r>
        <w:t xml:space="preserve">. </w:t>
      </w:r>
      <w:r w:rsidRPr="00576A90">
        <w:rPr>
          <w:i/>
        </w:rPr>
        <w:t>Sobre el cumplimiento de los requisitos procesales para la admisión a trámite</w:t>
      </w:r>
    </w:p>
    <w:p w14:paraId="6A81C8E0" w14:textId="77777777" w:rsidR="00576A90" w:rsidRDefault="00576A90" w:rsidP="00576A90">
      <w:pPr>
        <w:pStyle w:val="TextoNormal"/>
      </w:pPr>
    </w:p>
    <w:p w14:paraId="7D7816F4" w14:textId="77777777" w:rsidR="00576A90" w:rsidRDefault="00576A90" w:rsidP="00576A90">
      <w:pPr>
        <w:pStyle w:val="TextoNormal"/>
      </w:pPr>
      <w:r>
        <w:t>La demanda parece cumplir los requisitos procesales exigidos por los artículos 49.1 y 50.1 a), ambos de la Ley Orgánica del Tribunal Constitucional. Los acuerdos impugnados son firmes, por cuanto no existe previsión de recurso interno alguno frente a las decisiones de la junta de portavoces que es, en cambio, el órgano encargado de revisar las decisiones de la mesa de las que discrepen los grupos parlamentarios o los parlamentarios forales.</w:t>
      </w:r>
    </w:p>
    <w:p w14:paraId="6B219CB7" w14:textId="77777777" w:rsidR="00576A90" w:rsidRDefault="00576A90" w:rsidP="00576A90">
      <w:pPr>
        <w:pStyle w:val="TextoNormal"/>
      </w:pPr>
    </w:p>
    <w:p w14:paraId="35B9E250" w14:textId="77777777" w:rsidR="00576A90" w:rsidRDefault="00576A90" w:rsidP="00576A90">
      <w:pPr>
        <w:pStyle w:val="TextoNormal"/>
      </w:pPr>
      <w:r>
        <w:t xml:space="preserve">Si bien en otro tipo de amparos podríamos calificar de insuficiente la justificación de la especial trascendencia constitucional, porque ni se cita la STC 155/2009, de 25 de junio, ni se hace referencia a ninguno de sus apartados y se reconduce toda la justificación a la lesión del derecho fundamental cuya vulneración se denuncia, sin disociar adecuadamente </w:t>
      </w:r>
      <w:r>
        <w:lastRenderedPageBreak/>
        <w:t>la argumentación tendente a evidenciar la existencia de la lesión del art. 23 CE y los razonamientos específicamente dirigidos a justificar que el recurso presenta especial trascendencia constitucional (por todos, ATC 20/2017, de 6 de febrero, FJ 2), al tratarse de un amparo parlamentario el juicio sobre la suficiencia de la justificación puede ser más flexible. En particular en este caso, en que la ausencia de previsión interna por el Reglamento del Parlamento de Navarra de una vía de revisión de la decisión cuestionada en sede parlamentaria, hace que el único reexamen posible de la decisión parlamentaria sea el que pueda llegar a efectuar, en su caso, esta jurisdicción constitucional.</w:t>
      </w:r>
    </w:p>
    <w:p w14:paraId="27AF4EAB" w14:textId="77777777" w:rsidR="00576A90" w:rsidRDefault="00576A90" w:rsidP="00576A90">
      <w:pPr>
        <w:pStyle w:val="TextoNormal"/>
      </w:pPr>
    </w:p>
    <w:p w14:paraId="4C74BF92" w14:textId="77777777" w:rsidR="00576A90" w:rsidRDefault="00576A90" w:rsidP="00576A90">
      <w:pPr>
        <w:pStyle w:val="TextoNormal"/>
      </w:pPr>
      <w:r>
        <w:t>Y la misma consideración sirve a la hora de evaluar la concurrencia del requisito de especial trascendencia constitucional en la demanda de amparo. En este sentido es preciso recordar que la jurisprudencia del Tribunal (por todas, valga citar la STC 46/2023, de 10 de mayo) establece que: “los recursos de amparo regulados en el artículo 42 LOTC ‘tienen una particularidad respecto del resto de los recursos de amparo, en cuanto al marco de garantías del que disponen los eventuales recurrentes para invocar sus derechos fundamentales, cual es la ausencia de una vía jurisdiccional previa al amparo constitucional en la que postular la reparación de los derechos vulnerados […] lo que sitúa a los amparos parlamentarios en una posición especial a la hora de determinar su dimensión objetiva y valorar la especial trascendencia constitucional por parte de este tribunal (STC 155/2009, FJ 2), dada la repercusión general que tiene el ejercicio de la función representativa y que excede del ámbito particular del parlamentario y del grupo en el que se integra (STC 200/2014, de 15 de diciembre, FJ 2, entre otras)’. En el mismo sentido, SSTC 42/2019, de 27 de marzo, FJ 2; 110/2019, de 2 de octubre, FJ 1, y 97/2020, de 21 de julio, FJ 2 B) a), entre otras resoluciones” (FJ 5 y jurisprudencia allí citada).</w:t>
      </w:r>
    </w:p>
    <w:p w14:paraId="57267D25" w14:textId="77777777" w:rsidR="00576A90" w:rsidRDefault="00576A90" w:rsidP="00576A90">
      <w:pPr>
        <w:pStyle w:val="TextoNormal"/>
      </w:pPr>
    </w:p>
    <w:p w14:paraId="5A19730A" w14:textId="45B8982A" w:rsidR="00576A90" w:rsidRDefault="00576A90" w:rsidP="00576A90">
      <w:pPr>
        <w:pStyle w:val="TextoNormal"/>
      </w:pPr>
      <w:r>
        <w:t>Por tanto, y a pesar de la defectuosa justificación de la especial trascendencia constitucional, se debería concluir que el asunto no carece de la necesaria trascendencia que podría llegar a justificar la inadmisión a trámite.</w:t>
      </w:r>
    </w:p>
    <w:p w14:paraId="382008F1" w14:textId="77777777" w:rsidR="00576A90" w:rsidRDefault="00576A90" w:rsidP="00576A90">
      <w:pPr>
        <w:pStyle w:val="TextoNormal"/>
      </w:pPr>
    </w:p>
    <w:p w14:paraId="13C67B10" w14:textId="77777777" w:rsidR="00576A90" w:rsidRDefault="00576A90" w:rsidP="00576A90">
      <w:pPr>
        <w:pStyle w:val="TextoNormal"/>
      </w:pPr>
      <w:r w:rsidRPr="00576A90">
        <w:rPr>
          <w:rStyle w:val="NumeroAFNegritaCaracter"/>
        </w:rPr>
        <w:t>3</w:t>
      </w:r>
      <w:r>
        <w:t xml:space="preserve">. </w:t>
      </w:r>
      <w:r w:rsidRPr="00576A90">
        <w:rPr>
          <w:i/>
        </w:rPr>
        <w:t>Sobre la inexistencia de las vulneraciones invocadas</w:t>
      </w:r>
    </w:p>
    <w:p w14:paraId="0608C15B" w14:textId="77777777" w:rsidR="00576A90" w:rsidRDefault="00576A90" w:rsidP="00576A90">
      <w:pPr>
        <w:pStyle w:val="TextoNormal"/>
      </w:pPr>
    </w:p>
    <w:p w14:paraId="277BAACC" w14:textId="77777777" w:rsidR="00576A90" w:rsidRDefault="00576A90" w:rsidP="00576A90">
      <w:pPr>
        <w:pStyle w:val="TextoNormal"/>
      </w:pPr>
      <w:r>
        <w:t>A pesar de la ausencia de óbices procesales que justifiquen la inadmisión del presente recurso de amparo, el examen de la verosimilitud de la vulneración alegada no permite formular el mismo juicio preliminar positivo, lo que lleva a la sección a concluir que el recurso de amparo debe ser inadmitido dada la manifiesta inexistencia de violación en este caso de un derecho fundamental tutelable en amparo.</w:t>
      </w:r>
    </w:p>
    <w:p w14:paraId="0C1DAFDA" w14:textId="77777777" w:rsidR="00576A90" w:rsidRDefault="00576A90" w:rsidP="00576A90">
      <w:pPr>
        <w:pStyle w:val="TextoNormal"/>
      </w:pPr>
    </w:p>
    <w:p w14:paraId="0EBB9A56" w14:textId="77777777" w:rsidR="00576A90" w:rsidRDefault="00576A90" w:rsidP="00576A90">
      <w:pPr>
        <w:pStyle w:val="TextoNormal"/>
      </w:pPr>
      <w:r>
        <w:t>Para formular este juicio preliminar es necesario formular dos consideraciones previas, relativas al contenido de los acuerdos y del informe de los servicios jurídicos de la Cámara, que permitirán justificar adecuadamente la conclusión final.</w:t>
      </w:r>
    </w:p>
    <w:p w14:paraId="39C3D4DA" w14:textId="77777777" w:rsidR="00576A90" w:rsidRDefault="00576A90" w:rsidP="00576A90">
      <w:pPr>
        <w:pStyle w:val="TextoNormal"/>
      </w:pPr>
    </w:p>
    <w:p w14:paraId="52C0FC4D" w14:textId="77777777" w:rsidR="00576A90" w:rsidRDefault="00576A90" w:rsidP="00576A90">
      <w:pPr>
        <w:pStyle w:val="TextoNormal"/>
      </w:pPr>
      <w:r>
        <w:t>A) El contenido exacto de los acuerdos</w:t>
      </w:r>
    </w:p>
    <w:p w14:paraId="08577B3B" w14:textId="77777777" w:rsidR="00576A90" w:rsidRDefault="00576A90" w:rsidP="00576A90">
      <w:pPr>
        <w:pStyle w:val="TextoNormal"/>
      </w:pPr>
    </w:p>
    <w:p w14:paraId="329B08D4" w14:textId="77777777" w:rsidR="00576A90" w:rsidRDefault="00576A90" w:rsidP="00576A90">
      <w:pPr>
        <w:pStyle w:val="TextoNormal"/>
      </w:pPr>
      <w:r>
        <w:t xml:space="preserve">Los acuerdos impugnados, en un total de nueve, adoptados por la junta de portavoces del Parlamento de Navarra, recogen cada uno de ellos la fecha de la sesión, celebrada el día 12 de diciembre de 2022, para identificar seguidamente la solicitud de comparecencia concreta realizada por doña Cristina Ibarrola Guillén (grupo parlamentario Navarra Suma) y el objeto de la misma. Tras ello, todos los acuerdos incluyen el siguiente argumento: </w:t>
      </w:r>
      <w:r>
        <w:lastRenderedPageBreak/>
        <w:t>“[l]os servicios jurídicos han elaborado un informe en el que se manifiesta que compete a la mesa de la Cámara, previa audiencia de la junta de portavoces, ejercer la función de calificación y admisión de las solicitudes de comparecencias de funcionarios, autoridades y personas, recayendo la decisión de la celebración o no de la comparecencia, en la voluntad del órgano correspondiente, que conforme al reglamento corresponde o bien a la junta de portavoces (art. 44.7), o bien a las comisiones competentes [art. 56.1 b)]. Por tanto, conforme a la normativa parlamentaria de aplicación, ha sido examinada la solicitud y realizada su calificación y admisión por parte de la mesa, previa audiencia de la junta de portavoces, atribuyendo a esta última la decisión sobre su celebración”. Tras lo cual, en cada uno de los acuerdos se resuelve, de conformidad con lo expuesto y con lo dispuesto en el artículo 44.7 RPN, el rechazo de la solicitud de comparecencia realizada.</w:t>
      </w:r>
    </w:p>
    <w:p w14:paraId="42E2AC72" w14:textId="77777777" w:rsidR="00576A90" w:rsidRDefault="00576A90" w:rsidP="00576A90">
      <w:pPr>
        <w:pStyle w:val="TextoNormal"/>
      </w:pPr>
    </w:p>
    <w:p w14:paraId="4CAE968F" w14:textId="77777777" w:rsidR="00576A90" w:rsidRDefault="00576A90" w:rsidP="00576A90">
      <w:pPr>
        <w:pStyle w:val="TextoNormal"/>
      </w:pPr>
      <w:r>
        <w:t>Por tanto, a pesar de las alegaciones que contiene la demanda de amparo, de la lectura de los acuerdos se puede deducir sin dificultad: (i) que la solicitud de comparecencia ha sido admitida a trámite por la mesa, previa audiencia de la junta de portavoces, para luego ser reenviada de nuevo a la junta; (ii) que es la junta de portavoces quien decide si la comparecencia ha de celebrarse o no, porque en ella recae esa decisión; y (iii) que el procedimiento previo, y la forma en que se toma la decisión final, viene sostenida argumentalmente por el informe de los letrados de la Cámara.</w:t>
      </w:r>
    </w:p>
    <w:p w14:paraId="13C387FC" w14:textId="77777777" w:rsidR="00576A90" w:rsidRDefault="00576A90" w:rsidP="00576A90">
      <w:pPr>
        <w:pStyle w:val="TextoNormal"/>
      </w:pPr>
    </w:p>
    <w:p w14:paraId="740CB21F" w14:textId="77777777" w:rsidR="00576A90" w:rsidRDefault="00576A90" w:rsidP="00576A90">
      <w:pPr>
        <w:pStyle w:val="TextoNormal"/>
      </w:pPr>
      <w:r>
        <w:t>B) El contenido del informe de los letrados de la Cámara</w:t>
      </w:r>
    </w:p>
    <w:p w14:paraId="57289F6D" w14:textId="77777777" w:rsidR="00576A90" w:rsidRDefault="00576A90" w:rsidP="00576A90">
      <w:pPr>
        <w:pStyle w:val="TextoNormal"/>
      </w:pPr>
    </w:p>
    <w:p w14:paraId="59410A1B" w14:textId="77777777" w:rsidR="00576A90" w:rsidRDefault="00576A90" w:rsidP="00576A90">
      <w:pPr>
        <w:pStyle w:val="TextoNormal"/>
      </w:pPr>
      <w:r>
        <w:t>El informe de los letrados de la Cámara, sostiene, sintéticamente, lo siguiente respecto de las solicitudes de comparecencia de funcionarios, autoridades y personas en el Parlamento de Navarra:</w:t>
      </w:r>
    </w:p>
    <w:p w14:paraId="01C510F4" w14:textId="77777777" w:rsidR="00576A90" w:rsidRDefault="00576A90" w:rsidP="00576A90">
      <w:pPr>
        <w:pStyle w:val="TextoNormal"/>
      </w:pPr>
    </w:p>
    <w:p w14:paraId="36422B89" w14:textId="77777777" w:rsidR="00576A90" w:rsidRDefault="00576A90" w:rsidP="00576A90">
      <w:pPr>
        <w:pStyle w:val="TextoNormal"/>
      </w:pPr>
      <w:r>
        <w:t>a) Que difieren en su tramitación las comparecencias de los miembros del Gobierno de Navarra, reguladas en el artículo 203.2 RPN y la celebración de sesiones de trabajo previstas en el artículo 54.3 RPN.</w:t>
      </w:r>
    </w:p>
    <w:p w14:paraId="73857088" w14:textId="77777777" w:rsidR="00576A90" w:rsidRDefault="00576A90" w:rsidP="00576A90">
      <w:pPr>
        <w:pStyle w:val="TextoNormal"/>
      </w:pPr>
    </w:p>
    <w:p w14:paraId="1491A9D9" w14:textId="77777777" w:rsidR="00576A90" w:rsidRDefault="00576A90" w:rsidP="00576A90">
      <w:pPr>
        <w:pStyle w:val="TextoNormal"/>
      </w:pPr>
      <w:r>
        <w:t>b) Que de lo previsto en los arts. 44.7 y 56.1 RPN, se deriva claramente que son dos los órganos a los que el reglamento atribuye la facultad de acordar la comparecencia de autoridades, funcionarios públicos y otras personas: la junta de portavoces y las comisiones. Y, por tanto, a diferencia de los supuestos contemplados en el art. 203.2 RPN, en estos casos no se establece un derecho del parlamentario o de los grupos parlamentarios a la celebración de la comparecencia solicitada, sino —por el contrario— una facultad de los órganos competentes para acordarla o denegarla de manera discrecional, a la vista de las circunstancias concurrentes.</w:t>
      </w:r>
    </w:p>
    <w:p w14:paraId="79F29A9B" w14:textId="77777777" w:rsidR="00576A90" w:rsidRDefault="00576A90" w:rsidP="00576A90">
      <w:pPr>
        <w:pStyle w:val="TextoNormal"/>
      </w:pPr>
    </w:p>
    <w:p w14:paraId="0AD37616" w14:textId="77777777" w:rsidR="00576A90" w:rsidRDefault="00576A90" w:rsidP="00576A90">
      <w:pPr>
        <w:pStyle w:val="TextoNormal"/>
      </w:pPr>
      <w:r>
        <w:t>c) Que nada se dice ni en el art. 44 ni en el 56 RPN, respecto al tema de quién puede instar la solicitud o petición de este tipo de comparecencia (parlamentario o grupo parlamentario). La práctica sistemática ha supuesto la admisión a trámite de toda solicitud de comparecencia, formulada por uno o varios parlamentarios o grupos parlamentarios, si se reúnen los restantes requisitos reglamentarios.</w:t>
      </w:r>
    </w:p>
    <w:p w14:paraId="78F96A3C" w14:textId="77777777" w:rsidR="00576A90" w:rsidRDefault="00576A90" w:rsidP="00576A90">
      <w:pPr>
        <w:pStyle w:val="TextoNormal"/>
      </w:pPr>
    </w:p>
    <w:p w14:paraId="319725A4" w14:textId="77777777" w:rsidR="00576A90" w:rsidRDefault="00576A90" w:rsidP="00576A90">
      <w:pPr>
        <w:pStyle w:val="TextoNormal"/>
      </w:pPr>
      <w:r>
        <w:t>d) Que si la solicitud de comparecencia se ajusta a la previsión del art. 56 RPN, parecería obligada la exigencia de pertenencia a dicha comisión cuando el requerimiento es formulado por un parlamentario a título individual. Ahora bien, como no se prevé expresa</w:t>
      </w:r>
      <w:r>
        <w:lastRenderedPageBreak/>
        <w:t>mente, en virtud del principio de interpretación más favorable a la eficacia de los derechos fundamentales, no procedería su inadmisión por tal motivo (STC 177/2002, de 14 de octubre, FJ 3).</w:t>
      </w:r>
    </w:p>
    <w:p w14:paraId="26EC0007" w14:textId="77777777" w:rsidR="00576A90" w:rsidRDefault="00576A90" w:rsidP="00576A90">
      <w:pPr>
        <w:pStyle w:val="TextoNormal"/>
      </w:pPr>
    </w:p>
    <w:p w14:paraId="6C654E87" w14:textId="77777777" w:rsidR="00576A90" w:rsidRDefault="00576A90" w:rsidP="00576A90">
      <w:pPr>
        <w:pStyle w:val="TextoNormal"/>
      </w:pPr>
      <w:r>
        <w:t>e) Que nada dice el reglamento sobre el procedimiento a seguir para la adopción del acuerdo en cuestión. En el caso de la junta de portavoces se procederá según su régimen ordinario de acuerdos y por tanto se debatirá en sesión plenaria de este órgano y la toma de decisión se adoptará conforme al voto ponderado que caracteriza dicha toma de decisiones (art. 43.5 RPN).</w:t>
      </w:r>
    </w:p>
    <w:p w14:paraId="7A1CB176" w14:textId="77777777" w:rsidR="00576A90" w:rsidRDefault="00576A90" w:rsidP="00576A90">
      <w:pPr>
        <w:pStyle w:val="TextoNormal"/>
      </w:pPr>
    </w:p>
    <w:p w14:paraId="30DD7C43" w14:textId="77777777" w:rsidR="00576A90" w:rsidRDefault="00576A90" w:rsidP="00576A90">
      <w:pPr>
        <w:pStyle w:val="TextoNormal"/>
      </w:pPr>
      <w:r>
        <w:t>f) Que, en el caso que nos ocupa, la mesa de la Cámara, previa audiencia de la junta de portavoces, en el ejercicio de sus funciones de calificación y admisión de las solicitudes de comparecencias de funcionarios, autoridades y personas deberá limitarse a verificar que se cumplen los requisitos exigidos por el reglamento y dar al escrito el curso que corresponda, sin que esté facultada para alterar, con criterios de oportunidad política, dicho cauce normativo. Y que, una vez que las solicitudes hayan sido calificadas y admitidas a trámite por la mesa, la decisión de celebración o no de la comparecencia dependerá de la voluntad del órgano correspondiente: junta de portavoces o comisión. Sostiene en este punto concreto el informe que no existe un derecho a que se acuerde la comparecencia solicitada, siendo esta una facultad que ejercerán los órganos de la Cámara competentes. A diferencia de lo que ocurre con las solicitudes de información escrita, que se configuran como un derecho reconocido a los parlamentarios individualmente considerados (art. 14 RPN), o de los supuestos contemplados en el art. 203.2 RPN, en los que si la solicitud se realiza al menos, “por una quinta parte de los miembros del Parlamento o de los Grupos Parlamentarios que, como mínimo, tengan tal representación”, la junta de portavoces acordará la convocatoria de la sesión informativa.</w:t>
      </w:r>
    </w:p>
    <w:p w14:paraId="3C19C421" w14:textId="77777777" w:rsidR="00576A90" w:rsidRDefault="00576A90" w:rsidP="00576A90">
      <w:pPr>
        <w:pStyle w:val="TextoNormal"/>
      </w:pPr>
    </w:p>
    <w:p w14:paraId="7C442BDA" w14:textId="77777777" w:rsidR="00576A90" w:rsidRDefault="00576A90" w:rsidP="00576A90">
      <w:pPr>
        <w:pStyle w:val="TextoNormal"/>
      </w:pPr>
      <w:r>
        <w:t>g) Que en la solicitud no se identifica si solicita su tramitación ante la junta de portavoces conforme al art. 44.7 RPN o ante la comisión competente conforme al art. 56.1 b) RPN, y que ello sería causa suficiente para considerar que las solicitudes no reúnen los requisitos establecidos por la normativa vigente siendo susceptibles de no ser admitidas a trámite. A pesar de lo dicho, el informe reconoce que la práctica previa de la mesa y la junta de portavoces del Parlamento de Navarra ha sido la de admitir a trámite las solicitudes a pesar de la insuficiente o no debida formulación de estas. Y concluye el informe afirmando que: “corresponde a la mesa, previa audiencia de la junta de portavoces, y tras calificar las solicitudes de comparecencia, que opte por inadmitirlas para su debida formulación conforme a lo expuesto. No obstante, también cabe que decida su admisión a trámite y las remita o bien a la junta de portavoces (art. 44.7) o a las comisiones competentes [art. 56.1 b)] para que, en su caso, sean dichos órganos los que se pronuncien y decidan finalmente sobre la celebración o no de las citadas comparecencias según su régimen ordinario de acuerdos. A la mesa y a la junta de portavoces corresponde adoptar la decisión que estime más pertinente”.</w:t>
      </w:r>
    </w:p>
    <w:p w14:paraId="3943804B" w14:textId="77777777" w:rsidR="00576A90" w:rsidRDefault="00576A90" w:rsidP="00576A90">
      <w:pPr>
        <w:pStyle w:val="TextoNormal"/>
      </w:pPr>
    </w:p>
    <w:p w14:paraId="4F0537D5" w14:textId="77777777" w:rsidR="00576A90" w:rsidRDefault="00576A90" w:rsidP="00576A90">
      <w:pPr>
        <w:pStyle w:val="TextoNormal"/>
      </w:pPr>
      <w:r>
        <w:t>C) La valoración sobre la verosimilitud de la lesión denunciada</w:t>
      </w:r>
    </w:p>
    <w:p w14:paraId="0C97BE0A" w14:textId="77777777" w:rsidR="00576A90" w:rsidRDefault="00576A90" w:rsidP="00576A90">
      <w:pPr>
        <w:pStyle w:val="TextoNormal"/>
      </w:pPr>
    </w:p>
    <w:p w14:paraId="197E9B8B" w14:textId="77777777" w:rsidR="00576A90" w:rsidRDefault="00576A90" w:rsidP="00576A90">
      <w:pPr>
        <w:pStyle w:val="TextoNormal"/>
      </w:pPr>
      <w:r>
        <w:t>Del contenido del reglamento, y de la interpretación realizada por los servicios jurídicos de la Cámara se deduce:</w:t>
      </w:r>
    </w:p>
    <w:p w14:paraId="11E7C424" w14:textId="77777777" w:rsidR="00576A90" w:rsidRDefault="00576A90" w:rsidP="00576A90">
      <w:pPr>
        <w:pStyle w:val="TextoNormal"/>
      </w:pPr>
    </w:p>
    <w:p w14:paraId="5D6ABB6C" w14:textId="77777777" w:rsidR="00576A90" w:rsidRDefault="00576A90" w:rsidP="00576A90">
      <w:pPr>
        <w:pStyle w:val="TextoNormal"/>
      </w:pPr>
      <w:r>
        <w:lastRenderedPageBreak/>
        <w:t>a) Que, frente a lo defendido en la demanda, la práctica parlamentaria ha sido respetada. Esta práctica se refiere a la admisión a trámite de la solicitud de comparecencia, tal y como se expresa en el informe de los servicios jurídicos de la Cámara, y no a la aprobación de la celebración de la comparecencia. Y, en este caso, los acuerdos ponen de manifiesto que las solicitudes han sido admitidas a trámite, a pesar de los fallos formales de que adolecían y que hubieran podido justificar, en una interpretación rigurosa del ejercicio del derecho del art. 23 CE, la inadmisión a trámite de las solicitudes.</w:t>
      </w:r>
    </w:p>
    <w:p w14:paraId="71A7B636" w14:textId="77777777" w:rsidR="00576A90" w:rsidRDefault="00576A90" w:rsidP="00576A90">
      <w:pPr>
        <w:pStyle w:val="TextoNormal"/>
      </w:pPr>
    </w:p>
    <w:p w14:paraId="5D13E85E" w14:textId="77777777" w:rsidR="00576A90" w:rsidRDefault="00576A90" w:rsidP="00576A90">
      <w:pPr>
        <w:pStyle w:val="TextoNormal"/>
      </w:pPr>
      <w:r>
        <w:t>Por tanto, la mesa ha hecho una proyección de su labor calificadora que favorece el ejercicio del derecho invocado. Y, al hacer esa proyección, además, ha respetado la costumbre parlamentaria, que, ante el silencio del reglamento, admite la tramitación de solicitudes de comparecencia de autoridades tanto si las formula un grupo parlamentario, como si lo hace un parlamentario individualmente considerado. La recurrente pretende extender la costumbre a la aprobación de la comparecencia, pero no es posible reconducir a costumbre parlamentaria una reiteración en la posición política de un determinado órgano, en este caso la junta de portavoces, que puede cambiar porque pueden hacerlo las mayorías en el seno del órgano, o la voluntad política de quienes lo integran. Que se hayan reiterado en su caso acuerdos previos de la junta para aprobar la celebración de comparecencias, no significa que de ello deba derivarse una costumbre parlamentaria de obligado cumplimiento.</w:t>
      </w:r>
    </w:p>
    <w:p w14:paraId="56C863C2" w14:textId="77777777" w:rsidR="00576A90" w:rsidRDefault="00576A90" w:rsidP="00576A90">
      <w:pPr>
        <w:pStyle w:val="TextoNormal"/>
      </w:pPr>
    </w:p>
    <w:p w14:paraId="38F80CBB" w14:textId="77777777" w:rsidR="00576A90" w:rsidRDefault="00576A90" w:rsidP="00576A90">
      <w:pPr>
        <w:pStyle w:val="TextoNormal"/>
      </w:pPr>
      <w:r>
        <w:t>b) Que, frente a lo sostenido por la recurrente de amparo en su demanda, los acuerdos contienen una motivación suficiente sobre la decisión adoptada. La mesa de la Cámara ha procedido a admitir las solicitudes basándose en el informe de los letrados, al que remiten los acuerdos y que son públicos y contienen una motivación extensa y suficiente. La decisión de no aprobar las comparecencias es una decisión política, basada en el juego de las mayorías, y en las reglas de adopción de acuerdos que presiden la toma de decisiones de la junta de portavoces, por tanto, en ese caso, no cabe exigir una motivación técnica que deba sostener la decisión. En este caso, la recurrente parece indicar que la decisión no es política, sino reglada, y que la regla que impone la decisión procede del uso parlamentario. Pero ya hemos argumentado, en el apartado anterior, que esto no es así.</w:t>
      </w:r>
    </w:p>
    <w:p w14:paraId="57C9A2F9" w14:textId="77777777" w:rsidR="00576A90" w:rsidRDefault="00576A90" w:rsidP="00576A90">
      <w:pPr>
        <w:pStyle w:val="TextoNormal"/>
      </w:pPr>
    </w:p>
    <w:p w14:paraId="2DBF5B4A" w14:textId="77777777" w:rsidR="00576A90" w:rsidRDefault="00576A90" w:rsidP="00576A90">
      <w:pPr>
        <w:pStyle w:val="TextoNormal"/>
      </w:pPr>
      <w:r>
        <w:t>En este caso, no estamos ante una decisión de admisión o inadmisión de la mesa que deba ser motivada para ajustarse, en caso de denegación, al respeto al derecho fundamental invocado por la demandante en amparo (sobre la exigencia de motivación de las decisiones de admisión o inadmisión de las mesas pueden citarse las SSTC 161/1988, de 20 de septiembre, FJ 9; 107/2001, de 23 de abril, FJ 7; 203/2001, de 15 de octubre, FJ 4; 177/2002, de 14 de octubre, FJ 10). Estamos ante una decisión política de un órgano político. Por otro lado, la decisión de la junta de portavoces tampoco impide a la recurrente en amparo ejercer, por otra vía, su i</w:t>
      </w:r>
      <w:r w:rsidRPr="00576A90">
        <w:rPr>
          <w:i/>
        </w:rPr>
        <w:t>us in officium</w:t>
      </w:r>
      <w:r>
        <w:t xml:space="preserve">, en la vertiente del ejercicio de la facultad de control parlamentario sobre el Gobierno. La diputada foral pertenece a un grupo parlamentario, y hace parte también de una comisión. Según el Reglamento del Parlamento de Navarra, la junta de portavoces tiene competencia, para “requerir la presencia de autoridades, funcionarios y personas conforme a lo previsto en el art. 56” (art. 44.7 RPN). Este artículo 56 RPN prevé las comparecencias en comisión, estableciendo en el apartado 1 b) que las Comisiones, por conducto del Presidente, podrán “[r]equerir la presencia ante ellas de los miembros de la Diputación Foral, así como de las autoridades y funcionarios públicos competentes por razón de la materia objeto del debate, para que informen acerca de los </w:t>
      </w:r>
      <w:r>
        <w:lastRenderedPageBreak/>
        <w:t>extremos sobre los que fueran consultados”, así como pueden “[s]olicitar la presencia de cualesquiera otras personas con la misma finalidad”, tal y como establece el apartado c) del mismo art. 56.1 RPN. Por tanto, la diputada foral podría utilizar el cauce de solicitar, a través de la comisión, la comparecencia solicitada.</w:t>
      </w:r>
    </w:p>
    <w:p w14:paraId="1735CA64" w14:textId="77777777" w:rsidR="00576A90" w:rsidRDefault="00576A90" w:rsidP="00576A90">
      <w:pPr>
        <w:pStyle w:val="TextoNormal"/>
      </w:pPr>
    </w:p>
    <w:p w14:paraId="3B777B82" w14:textId="77777777" w:rsidR="00576A90" w:rsidRDefault="00576A90" w:rsidP="00576A90">
      <w:pPr>
        <w:pStyle w:val="TextoNormal"/>
      </w:pPr>
      <w:r>
        <w:t>El art. 23.2 CE, que reconoce el derecho de los ciudadanos “a acceder en condiciones de igualdad a las funciones y cargos públicos, con los requisitos que señalen las leyes”, no solo garantiza el acceso igualitario a las funciones y cargos públicos, sino también que los que hayan accedido a los mismos se mantengan en ellos y los desempeñen de conformidad con lo que la ley disponga (SSTC 5/1983, de 4 de febrero, FJ 3; 10/1983, de 21 de febrero, FJ 2; 28/1984, de 28 de febrero, FJ 2; 32/1985, de 6 de marzo, FJ 3; 161/1988, de 20 de septiembre, FJ 6, entre otras). Esta garantía añadida resulta de particular relevancia cuando, como ocurre en el presente caso, la petición de amparo es deducida por los representantes parlamentarios en defensa del ejercicio de sus funciones, ya que en tal supuesto aparece también afectado el derecho de los ciudadanos a participar en los asuntos públicos a través de sus representantes, reconocido en el art. 23.1 CE (SSTC 161/1988, de 20 de septiembre, FJ 6; 181/1989, de 3 de noviembre, FJ 4; 205/1990, de 13 de diciembre, FJ 4, y 177/2002, de 14 de octubre, FJ 3).</w:t>
      </w:r>
    </w:p>
    <w:p w14:paraId="6A7B9AD7" w14:textId="77777777" w:rsidR="00576A90" w:rsidRDefault="00576A90" w:rsidP="00576A90">
      <w:pPr>
        <w:pStyle w:val="TextoNormal"/>
      </w:pPr>
    </w:p>
    <w:p w14:paraId="0C874DFA" w14:textId="77777777" w:rsidR="00576A90" w:rsidRDefault="00576A90" w:rsidP="00576A90">
      <w:pPr>
        <w:pStyle w:val="TextoNormal"/>
      </w:pPr>
      <w:r>
        <w:t xml:space="preserve">En una línea jurisprudencial que se inicia con las SSTC 5/1983, de 4 de febrero, y 10/1983, de 21 de febrero, este tribunal ha establecido una directa conexión entre el derecho de un parlamentario </w:t>
      </w:r>
      <w:r w:rsidRPr="00576A90">
        <w:rPr>
          <w:i/>
        </w:rPr>
        <w:t>ex</w:t>
      </w:r>
      <w:r>
        <w:t xml:space="preserve"> art. 23.2 CE y el que la Constitución atribuye a los ciudadanos a participar en los asuntos públicos (art. 23.1 CE), pues puede decirse que son primordialmente los representantes políticos de los ciudadanos quienes dan efectividad a su derecho a participar en los asuntos públicos. De suerte que el derecho del art. 23.2, así como, indirectamente, el que el art. 23.1 CE reconoce a los ciudadanos, quedaría vacío de contenido, o sería ineficaz, si el representante político se viese privado del mismo o perturbado en su ejercicio [SSTC 38/1999, de 22 de marzo, FJ 2; 107/2001, de 23 de abril, FJ 3 a); 203/2001, de 15 de octubre, FJ 2, y 177/2002, de 14 de octubre, FJ 3].</w:t>
      </w:r>
    </w:p>
    <w:p w14:paraId="1EE4F6B7" w14:textId="77777777" w:rsidR="00576A90" w:rsidRDefault="00576A90" w:rsidP="00576A90">
      <w:pPr>
        <w:pStyle w:val="TextoNormal"/>
      </w:pPr>
    </w:p>
    <w:p w14:paraId="42A76241" w14:textId="77777777" w:rsidR="00576A90" w:rsidRDefault="00576A90" w:rsidP="00576A90">
      <w:pPr>
        <w:pStyle w:val="TextoNormal"/>
      </w:pPr>
      <w:r>
        <w:t xml:space="preserve">Ahora bien, ha de recordarse asimismo que, como inequívocamente se desprende del inciso final del propio art. 23.2 CE, el derecho a que estamos haciendo referencia es un derecho de configuración legal, y esa configuración comprende los reglamentos parlamentarios, a los que compete fijar y ordenar los derechos y atribuciones que a los parlamentarios corresponden, los cuales, una vez creados, quedan integrados en el estatuto propio del cargo, con la consecuencia de que podrán sus titulares, al amparo del art. 23.2 CE, reclamar la protección del </w:t>
      </w:r>
      <w:r w:rsidRPr="00576A90">
        <w:rPr>
          <w:i/>
        </w:rPr>
        <w:t>ius in officium</w:t>
      </w:r>
      <w:r>
        <w:t xml:space="preserve"> que consideren ilegítimamente constreñido o ignorado por actos del poder público, incluidos los provenientes del propio órgano en el que se integren; y, en concreto, podrán hacerlo ante este tribunal por el cauce del recurso de amparo, según lo previsto en el art. 42 de nuestra ley orgánica [SSTC 161/1988, de 20 de septiembre, FJ 7; 38/1999, de 22 de marzo, FJ 2; 27/2000, de 31 de enero, FJ 4; 107/2001, de 23 de abril, FJ 3 a); 203/2001, de 15 de octubre, FJ 2, y 177/2002, de 14 de octubre, FJ 3].</w:t>
      </w:r>
    </w:p>
    <w:p w14:paraId="55070F5A" w14:textId="77777777" w:rsidR="00576A90" w:rsidRDefault="00576A90" w:rsidP="00576A90">
      <w:pPr>
        <w:pStyle w:val="TextoNormal"/>
      </w:pPr>
    </w:p>
    <w:p w14:paraId="26C0388B" w14:textId="77777777" w:rsidR="00576A90" w:rsidRDefault="00576A90" w:rsidP="00576A90">
      <w:pPr>
        <w:pStyle w:val="TextoNormal"/>
      </w:pPr>
      <w:r>
        <w:t>En el supuesto que nos ocupa, la configuración reglamentaria de la facultad de solicitar comparecencias de autoridades y personas que no integran el Gobierno foral no permite derivar un derecho subjetivo del parlamentario a formular dicha solicitud. Se trata de una facultad de las comisiones, pero no de los diputados individualmente considerados. A pe</w:t>
      </w:r>
      <w:r>
        <w:lastRenderedPageBreak/>
        <w:t>sar de ello, la costumbre parlamentaria ha extendido el derecho a los diputados forales. Y ese derecho a efectuar la solicitud sí ha sido observado en los términos descritos en los párrafos antecedentes. Lo que no puede derivarse ni del reglamento de la Cámara, ni de la costumbre o usos parlamentarios, es un derecho incondicionado a que la solicitud de comparecencia sea aprobada. Esta aprobación es un acto de naturaleza eminentemente política y se ajusta a una decisión política, sea de la comisión, sea de la junta de portavoces, y por esa razón la negativa a aprobar la comparecencia no puede entenderse como un menoscabo del derecho de participación política que reconoce el art. 23 CE en las condiciones que acaban de ser expuestas.</w:t>
      </w:r>
    </w:p>
    <w:p w14:paraId="10A52E80" w14:textId="77777777" w:rsidR="00576A90" w:rsidRDefault="00576A90" w:rsidP="00576A90">
      <w:pPr>
        <w:pStyle w:val="TextoNormal"/>
      </w:pPr>
    </w:p>
    <w:p w14:paraId="6FC04F72" w14:textId="08EAF6F4" w:rsidR="00576A90" w:rsidRDefault="00576A90" w:rsidP="00576A90">
      <w:pPr>
        <w:pStyle w:val="TextoNormal"/>
      </w:pPr>
      <w:r>
        <w:t>En suma, no concurren, pues, razones desde las que entender lesionados los derechos invocados.</w:t>
      </w:r>
    </w:p>
    <w:p w14:paraId="4BACE727" w14:textId="77777777" w:rsidR="00576A90" w:rsidRDefault="00576A90" w:rsidP="00576A90">
      <w:pPr>
        <w:pStyle w:val="TextoNormal"/>
      </w:pPr>
    </w:p>
    <w:p w14:paraId="36EC5075" w14:textId="77777777" w:rsidR="00576A90" w:rsidRDefault="00576A90" w:rsidP="00576A90">
      <w:pPr>
        <w:pStyle w:val="TextoNormal"/>
      </w:pPr>
      <w:r>
        <w:t>Por lo expuesto, la Sección</w:t>
      </w:r>
    </w:p>
    <w:p w14:paraId="20009961" w14:textId="5208CEA4" w:rsidR="00576A90" w:rsidRDefault="00576A90" w:rsidP="00576A90">
      <w:pPr>
        <w:pStyle w:val="TextoNormal"/>
      </w:pPr>
    </w:p>
    <w:p w14:paraId="725E2891" w14:textId="77777777" w:rsidR="00576A90" w:rsidRDefault="00576A90" w:rsidP="00576A90">
      <w:pPr>
        <w:pStyle w:val="TextoNormalCentrado"/>
      </w:pPr>
      <w:r>
        <w:t>ACUERDA</w:t>
      </w:r>
    </w:p>
    <w:p w14:paraId="3289C842" w14:textId="6AD46CC8" w:rsidR="00576A90" w:rsidRDefault="00576A90" w:rsidP="00576A90">
      <w:pPr>
        <w:pStyle w:val="TextoNormalCentrado"/>
      </w:pPr>
    </w:p>
    <w:p w14:paraId="256AA320" w14:textId="77777777" w:rsidR="00576A90" w:rsidRDefault="00576A90" w:rsidP="00576A90">
      <w:pPr>
        <w:pStyle w:val="TextoNormal"/>
      </w:pPr>
      <w:r>
        <w:t>Inadmitir el recurso de amparo núm. 1562-2023, interpuesto por doña Cristina Ibarrola Guillén contra los acuerdos de la junta de portavoces del Parlamento de Navarra fechados el 12 de diciembre de 2022, dada la manifiesta inexistencia de violación del derecho fundamental invocado en el recurso y tutelable en amparo.</w:t>
      </w:r>
    </w:p>
    <w:p w14:paraId="469258DA" w14:textId="77777777" w:rsidR="00576A90" w:rsidRDefault="00576A90" w:rsidP="00576A90">
      <w:pPr>
        <w:pStyle w:val="TextoNormal"/>
      </w:pPr>
    </w:p>
    <w:p w14:paraId="72357A06" w14:textId="77777777" w:rsidR="00576A90" w:rsidRDefault="00576A90" w:rsidP="00576A90">
      <w:pPr>
        <w:pStyle w:val="TextoNormal"/>
      </w:pPr>
      <w:r>
        <w:t>Notifíquese con indicación de que, si el Ministerio Fiscal no hubiere interpuesto recurso de súplica en el plazo legal de tres días, se archivarán estas actuaciones sin más trámite (art. 50.3 LOTC).</w:t>
      </w:r>
    </w:p>
    <w:p w14:paraId="2AAE8CB2" w14:textId="77777777" w:rsidR="00576A90" w:rsidRDefault="00576A90" w:rsidP="00576A90">
      <w:pPr>
        <w:pStyle w:val="TextoNormal"/>
      </w:pPr>
    </w:p>
    <w:p w14:paraId="428ABBE3" w14:textId="055849DB" w:rsidR="00576A90" w:rsidRDefault="00576A90" w:rsidP="00576A90">
      <w:pPr>
        <w:pStyle w:val="TextoNormal"/>
      </w:pPr>
      <w:r>
        <w:t>Publíquese este auto en el “Boletín Oficial del Estado”.</w:t>
      </w:r>
    </w:p>
    <w:p w14:paraId="13B40B22" w14:textId="77777777" w:rsidR="00576A90" w:rsidRDefault="00576A90" w:rsidP="00576A90">
      <w:pPr>
        <w:pStyle w:val="TextoNormal"/>
      </w:pPr>
    </w:p>
    <w:p w14:paraId="4CDD43C5" w14:textId="77777777" w:rsidR="00576A90" w:rsidRDefault="00576A90" w:rsidP="00576A90">
      <w:pPr>
        <w:pStyle w:val="TextoNormal"/>
      </w:pPr>
      <w:r>
        <w:t>Madrid, a catorce de mayo de dos mil veinticuatro.</w:t>
      </w:r>
    </w:p>
    <w:p w14:paraId="3109D89E" w14:textId="61C7E65C" w:rsidR="00576A90" w:rsidRDefault="00576A90" w:rsidP="00576A90">
      <w:pPr>
        <w:pStyle w:val="ParrafoNormal"/>
      </w:pPr>
    </w:p>
    <w:p w14:paraId="108E17D5" w14:textId="77777777" w:rsidR="00576A90" w:rsidRDefault="00576A90" w:rsidP="00576A90">
      <w:pPr>
        <w:pStyle w:val="TextoNormalNegritaCentrado"/>
        <w:keepNext/>
      </w:pPr>
      <w:r>
        <w:t>Voto particular que formula el magistrado don Enrique Arnaldo Alcubilla al auto de la Sección Cuarta que inadmite el recurso de amparo núm. 1562-2023</w:t>
      </w:r>
    </w:p>
    <w:p w14:paraId="56CB479D" w14:textId="4F8731CB" w:rsidR="00576A90" w:rsidRDefault="00576A90" w:rsidP="00576A90">
      <w:pPr>
        <w:pStyle w:val="TextoNormalNegritaCentrado"/>
        <w:keepNext/>
      </w:pPr>
    </w:p>
    <w:p w14:paraId="0F926133" w14:textId="77777777" w:rsidR="00576A90" w:rsidRDefault="00576A90" w:rsidP="00576A90">
      <w:pPr>
        <w:pStyle w:val="TextoNormal"/>
      </w:pPr>
      <w:r>
        <w:t>En el ejercicio de la facultad que me confiere el art. 90.2 de la Ley Orgánica del Tribunal Constitucional (LOTC) y con respeto a la opinión de mis compañeros, formulo el presente voto particular al auto de inadmisión del recurso de amparo núm. 1562-2023, interpuesto por doña Cristina Ibarrola Guillén, parlamentaria foral del Parlamento de Navarra adscrita al Grupo Parlamentario Navarra Suma (Unión del Pueblo Navarro, Ciudadanos, Partido Popular) en la X legislatura, contra determinados acuerdos de la junta de portavoces de dicha Cámara que rechazaron comparecencias solicitadas por la recurrente. Por las razones que seguidamente expondré, considero que este recurso de amparo parlamentario debió ser admitido a trámite, para que este tribunal pudiera dar una respuesta de fondo a la queja planteada por la recurrente.</w:t>
      </w:r>
    </w:p>
    <w:p w14:paraId="231D0CBE" w14:textId="77777777" w:rsidR="00576A90" w:rsidRDefault="00576A90" w:rsidP="00576A90">
      <w:pPr>
        <w:pStyle w:val="TextoNormal"/>
      </w:pPr>
    </w:p>
    <w:p w14:paraId="10C28016" w14:textId="77777777" w:rsidR="00576A90" w:rsidRDefault="00576A90" w:rsidP="00576A90">
      <w:pPr>
        <w:pStyle w:val="TextoNormal"/>
      </w:pPr>
      <w:r>
        <w:t xml:space="preserve">1. </w:t>
      </w:r>
      <w:r w:rsidRPr="00576A90">
        <w:rPr>
          <w:i/>
        </w:rPr>
        <w:t>Objeto del recurso de amparo y fundamento de la inadmisión</w:t>
      </w:r>
    </w:p>
    <w:p w14:paraId="0F3304F6" w14:textId="77777777" w:rsidR="00576A90" w:rsidRDefault="00576A90" w:rsidP="00576A90">
      <w:pPr>
        <w:pStyle w:val="TextoNormal"/>
      </w:pPr>
    </w:p>
    <w:p w14:paraId="20E30072" w14:textId="77777777" w:rsidR="00576A90" w:rsidRDefault="00576A90" w:rsidP="00576A90">
      <w:pPr>
        <w:pStyle w:val="TextoNormal"/>
      </w:pPr>
      <w:r>
        <w:lastRenderedPageBreak/>
        <w:t>Como se refleja en el relato de antecedentes del auto, la recurrente en amparo había solicitado a la mesa del Parlamento de Navarra comparecencias de determinadas autoridades y funcionarios del Gobierno y la administración pública de la comunidad foral, que tenían por objeto recabar información sobre la compra de mascarillas y equipos de protección individual al inicio de la crisis sanitaria provocada por la covid-19, por parte de SODENA (Sociedad de Desarrollo de Navarra), instrumento financiero del Gobierno de Navarra para el desarrollo de proyectos de la Comunidad Foral). Nueve de las once comparecencias solicitadas fueron rechazadas por los acuerdos de 12 de diciembre de 2022 de la junta de portavoces, que son el objeto del presente recurso de amparo. La recurrente sostenía que esos acuerdos le han impedido el ejercicio de su derecho de participación en asuntos públicos (art. 23.2 CE), al haber limitado injustificadamente su labor de control al Gobierno foral.</w:t>
      </w:r>
    </w:p>
    <w:p w14:paraId="4D4CDD93" w14:textId="77777777" w:rsidR="00576A90" w:rsidRDefault="00576A90" w:rsidP="00576A90">
      <w:pPr>
        <w:pStyle w:val="TextoNormal"/>
      </w:pPr>
    </w:p>
    <w:p w14:paraId="0619C334" w14:textId="77777777" w:rsidR="00576A90" w:rsidRDefault="00576A90" w:rsidP="00576A90">
      <w:pPr>
        <w:pStyle w:val="TextoNormal"/>
      </w:pPr>
      <w:r>
        <w:t>El auto del que discrepo, tras aceptar —no sin reticencias— en su fundamento jurídico segundo que el asunto planteado reviste especial trascendencia constitucional, sustenta la inadmisión del recurso de amparo (fundamento jurídico tercero) en la afirmación de la inexistencia de la vulneración del derecho garantizado por el art. 23.2 CE, porque entiende que la práctica parlamentaria ha sido respetada y los acuerdos impugnados contienen una motivación suficiente de la decisión adoptada, teniendo en cuenta que no es una decisión de admisión o inadmisión de la mesa que daba ser motivada sino una decisión política de un órgano político. Concluye el auto afirmando en este sentido que “la configuración reglamentaria de la facultad de solicitar comparecencias de autoridades y personas que no integran el Gobierno foral no permite derivar un derecho subjetivo del parlamentario a formular dicha solicitud. Se trata de una facultad de las comisiones, pero no de los diputados individualmente considerados. A pesar de ello, la costumbre parlamentaria ha extendido el derecho a los diputados forales. Y ese derecho a efectuar la solicitud sí ha sido observado en los términos descritos en los párrafos antecedentes. Lo que no puede derivarse ni del Reglamento de la Cámara, ni de la costumbre o usos parlamentarios, es un derecho incondicionado a que la solicitud de comparecencia sea aprobada. Esta aprobación es un acto de naturaleza eminentemente política y se ajusta a una decisión política, sea de la comisión, sea de la junta de portavoces, y por esa razón la negativa a aprobar la comparecencia no puede entenderse como un menoscabo del derecho de participación política que reconoce el art. 23 CE en las condiciones que acaban de ser expuestas”.</w:t>
      </w:r>
    </w:p>
    <w:p w14:paraId="4AC1EE2E" w14:textId="77777777" w:rsidR="00576A90" w:rsidRDefault="00576A90" w:rsidP="00576A90">
      <w:pPr>
        <w:pStyle w:val="TextoNormal"/>
      </w:pPr>
    </w:p>
    <w:p w14:paraId="4FACE035" w14:textId="77777777" w:rsidR="00576A90" w:rsidRDefault="00576A90" w:rsidP="00576A90">
      <w:pPr>
        <w:pStyle w:val="TextoNormal"/>
      </w:pPr>
      <w:r>
        <w:t xml:space="preserve">2. </w:t>
      </w:r>
      <w:r w:rsidRPr="00576A90">
        <w:rPr>
          <w:i/>
        </w:rPr>
        <w:t>El recurso de amparo cumplía todos los requisitos, tanto procesales como sustantivos, para su admisión a trámite</w:t>
      </w:r>
    </w:p>
    <w:p w14:paraId="5643DBC1" w14:textId="77777777" w:rsidR="00576A90" w:rsidRDefault="00576A90" w:rsidP="00576A90">
      <w:pPr>
        <w:pStyle w:val="TextoNormal"/>
      </w:pPr>
    </w:p>
    <w:p w14:paraId="762227A7" w14:textId="77777777" w:rsidR="00576A90" w:rsidRDefault="00576A90" w:rsidP="00576A90">
      <w:pPr>
        <w:pStyle w:val="TextoNormal"/>
      </w:pPr>
      <w:r>
        <w:t>Como he dicho, discrepo del auto aprobado por la mayoría de la Sección Cuarta, pues considero que el recurso de amparo debió ser admitido, para resolver en su momento mediante sentencia sobre la queja planteada por la recurrente, pues no solo es que la demanda de amparo cumpla los requisitos procesales exigidos por la Ley Orgánica del Tribunal Constitucional, como el auto no deja de reconocer (fundamento jurídico segundo), sino que, además, la vulneración del derecho garantizado por el art. 23.2 CE en que se fundamenta resulta verosímil, y el asunto planteado presenta una especial trascendencia constitucional, como exige el art. 50.1 b) LOTC para la admisión.</w:t>
      </w:r>
    </w:p>
    <w:p w14:paraId="2DB4A761" w14:textId="77777777" w:rsidR="00576A90" w:rsidRDefault="00576A90" w:rsidP="00576A90">
      <w:pPr>
        <w:pStyle w:val="TextoNormal"/>
      </w:pPr>
    </w:p>
    <w:p w14:paraId="2A636B8C" w14:textId="77777777" w:rsidR="00576A90" w:rsidRDefault="00576A90" w:rsidP="00576A90">
      <w:pPr>
        <w:pStyle w:val="TextoNormal"/>
      </w:pPr>
      <w:r>
        <w:t xml:space="preserve">En cuanto a este último requisito, introducido como es sabido por la Ley Orgánica 6/2007, de 24 de mayo, no puedo dejar de advertir que, si bien el auto del que disiento </w:t>
      </w:r>
      <w:r>
        <w:lastRenderedPageBreak/>
        <w:t xml:space="preserve">viene a aceptar que se cumple en este caso, lo hace incurriendo en la incorrección de tratarlo como un requisito procesal, cuando lo es sustantivo o material, al entremezclarlo con la carga que al recurrente le impone el art. 49.1 </w:t>
      </w:r>
      <w:r w:rsidRPr="00576A90">
        <w:rPr>
          <w:i/>
        </w:rPr>
        <w:t>in fine</w:t>
      </w:r>
      <w:r>
        <w:t xml:space="preserve"> LOTC de justificar la especial trascendencia constitucional de su recurso de amparo (requisito de justificación, este sí, de carácter procesal). Al recurrente le incumbe la carga de exponer en su demanda de amparo las razones por las que considera que el asunto suscitado trasciende al supuesto concreto por revestir una especial trascendencia constitucional y a este tribunal apreciar si, en efecto, esa especial trascendencia constitucional concurre en el caso (sin que en esa apreciación esté condicionado por lo alegado por el recurrente).</w:t>
      </w:r>
    </w:p>
    <w:p w14:paraId="7EACEF0F" w14:textId="77777777" w:rsidR="00576A90" w:rsidRDefault="00576A90" w:rsidP="00576A90">
      <w:pPr>
        <w:pStyle w:val="TextoNormal"/>
      </w:pPr>
    </w:p>
    <w:p w14:paraId="6E14640A" w14:textId="77777777" w:rsidR="00576A90" w:rsidRDefault="00576A90" w:rsidP="00576A90">
      <w:pPr>
        <w:pStyle w:val="TextoNormal"/>
      </w:pPr>
      <w:r>
        <w:t>Me importa, en todo caso, dejar constancia de que resulta extravagante, cuanto menos, inadmitir un recurso de amparo en el que expresamente se ha aceptado que la cuestión planteada en este reviste especial trascendencia constitucional, como sucede en el auto al que dirijo este voto particular. Máxime cuando se trata de un recurso de amparo parlamentario (art. 42 LOTC), en el que la revisión de la conformidad del acto parlamentario impugnado con los derechos fundamentales garantizados por la Constitución solo puede ser abordada por el Tribunal Constitucional.</w:t>
      </w:r>
    </w:p>
    <w:p w14:paraId="2DB16F76" w14:textId="77777777" w:rsidR="00576A90" w:rsidRDefault="00576A90" w:rsidP="00576A90">
      <w:pPr>
        <w:pStyle w:val="TextoNormal"/>
      </w:pPr>
    </w:p>
    <w:p w14:paraId="7A998BE4" w14:textId="77777777" w:rsidR="00576A90" w:rsidRDefault="00576A90" w:rsidP="00576A90">
      <w:pPr>
        <w:pStyle w:val="TextoNormal"/>
      </w:pPr>
      <w:r>
        <w:t xml:space="preserve">A mi entender, apreciar que un determinado recurso de amparo reviste especial trascendencia constitucional, conforme al art. 50.1 b) LOTC, presupone aceptar que la vulneración de derechos fundamentales alegada en dicho recurso no carece, </w:t>
      </w:r>
      <w:r w:rsidRPr="00576A90">
        <w:rPr>
          <w:i/>
        </w:rPr>
        <w:t>prima facie</w:t>
      </w:r>
      <w:r>
        <w:t xml:space="preserve"> al menos, de verosimilitud. La reforma introducida por la Ley Orgánica 6/2007, añade esa dimensión objetiva para la admisión del recurso de amparo en que la especial trascendencia constitucional consiste, pero el recurso de amparo sigue siendo un instrumento procesal orientado a reparar las lesiones causadas en los derechos fundamentales del demandante de amparo. Así lo ha recordado el Pleno del Tribunal Constitucional en su capital STC 155/2009, de 25 de junio, FJ 2, al precisar que, tras la reforma introducida por la citada Ley Orgánica 6/2007, “para la admisión del recurso de amparo no es suficiente la mera lesión de un derecho fundamental o libertad pública del recurrente tutelable en amparo [arts. 53.2 y 161.1 b) CE y 41 LOTC], sino que además es indispensable, en lo que ahora interesa, la especial trascendencia constitucional del recurso [art. 50.1 b) LOTC]. El recurso de amparo, en todo caso, sigue siendo un recurso de tutela de derechos fundamentales”.</w:t>
      </w:r>
    </w:p>
    <w:p w14:paraId="4F49CED5" w14:textId="77777777" w:rsidR="00576A90" w:rsidRDefault="00576A90" w:rsidP="00576A90">
      <w:pPr>
        <w:pStyle w:val="TextoNormal"/>
      </w:pPr>
    </w:p>
    <w:p w14:paraId="01A772C2" w14:textId="77777777" w:rsidR="00576A90" w:rsidRDefault="00576A90" w:rsidP="00576A90">
      <w:pPr>
        <w:pStyle w:val="TextoNormal"/>
      </w:pPr>
      <w:r>
        <w:t>Hecha la precisión que antecede, considero que, en efecto, el recurso de amparo revestía especial trascendencia constitucional (como el propio auto no deja de reconocer, se insiste), al concurrir dos de los supuestos que, de acuerdo con la doctrina establecida en la citada STC 155/2009, FJ 2, permiten apreciar que un recurso de amparo cumple ese requisito. De una parte, se trataba de un amparo parlamentario que trasciende del caso concreto al plantear una cuestión jurídica relevante que tiene, además, unas consecuencias políticas generales [STC 155/2009, FJ 2 g)]. De otra, el recurso podía dar ocasión al Tribunal para aclarar o cambiar su doctrina, como consecuencia de un proceso de reflexión interna [STC 155/2009, FJ 2 b)], como a continuación expondré.</w:t>
      </w:r>
    </w:p>
    <w:p w14:paraId="24A087F0" w14:textId="77777777" w:rsidR="00576A90" w:rsidRDefault="00576A90" w:rsidP="00576A90">
      <w:pPr>
        <w:pStyle w:val="TextoNormal"/>
      </w:pPr>
    </w:p>
    <w:p w14:paraId="610DCF07" w14:textId="77777777" w:rsidR="00576A90" w:rsidRDefault="00576A90" w:rsidP="00576A90">
      <w:pPr>
        <w:pStyle w:val="TextoNormal"/>
      </w:pPr>
      <w:r>
        <w:t>El primer supuesto de especial trascendencia constitucional que concurría en este caso, el enunciado en el apartado g) de la STC 155/2009, FJ 2, es el que el propio auto viene a apreciar (fundamento jurídico segundo). Ahora bien, en mi opinión, concurre asimismo, como he señalado, el supuesto enunciado en el apartado b) de la STC 155/2009, FJ 2, tal y como expresé en la deliberación sobre la admisibilidad de este recurso. En efecto, conside</w:t>
      </w:r>
      <w:r>
        <w:lastRenderedPageBreak/>
        <w:t>ro que es sumamente necesario aclarar la doctrina constitucional relativa al procedimiento parlamentario sobre las comparecencias. Y diferenciar, expresamente, entre la iniciativa para solicitar una comparecencia y la decisión sobre su pertinencia, esto es, la decisión sobre su celebración. El presente recurso de amparo brindaba a este tribunal la oportunidad, lamentablemente desaprovechada, de aclarar y perfilar esa doctrina.</w:t>
      </w:r>
    </w:p>
    <w:p w14:paraId="55FC5604" w14:textId="77777777" w:rsidR="00576A90" w:rsidRDefault="00576A90" w:rsidP="00576A90">
      <w:pPr>
        <w:pStyle w:val="TextoNormal"/>
      </w:pPr>
    </w:p>
    <w:p w14:paraId="655BF28B" w14:textId="77777777" w:rsidR="00576A90" w:rsidRDefault="00576A90" w:rsidP="00576A90">
      <w:pPr>
        <w:pStyle w:val="TextoNormal"/>
      </w:pPr>
      <w:r>
        <w:t>En la actualidad, la diferencia entre dichos momentos del procedimiento parlamentario de las comparecencias, que tiene consecuencias relevantes en cuanto a su tutela por el Tribunal Constitucional, no aparece nítidamente diferenciada en la jurisprudencia constitucional, como a continuación expondremos. Por lo tanto, habría sido necesario aclarar dichos extremos en sentencia para poder descartar la verosimilitud de la lesión del derecho garantizado por el art. 23.2 que invocaba la recurrente.</w:t>
      </w:r>
    </w:p>
    <w:p w14:paraId="7CA2DA4A" w14:textId="77777777" w:rsidR="00576A90" w:rsidRDefault="00576A90" w:rsidP="00576A90">
      <w:pPr>
        <w:pStyle w:val="TextoNormal"/>
      </w:pPr>
    </w:p>
    <w:p w14:paraId="39A22F2A" w14:textId="77777777" w:rsidR="00576A90" w:rsidRDefault="00576A90" w:rsidP="00576A90">
      <w:pPr>
        <w:pStyle w:val="TextoNormal"/>
      </w:pPr>
      <w:r>
        <w:t>La sección, sin embargo, ha optado por la inadmisión del recurso de amparo sin aclarar las cuestiones expuestas y sin tener en cuenta que, incluso si se aplica la actual jurisprudencia constitucional sobre la cuestión, no se podía haber descartado la verosimilitud de la lesión aducida en el presente recurso de amparo en el examen liminar que de este cabe hacer por este tribunal en la fase de admisión. Buena prueba de ello es que el auto del que disiento concluye que el recurso de amparo ha de ser inadmitido, por inexistencia de vulneración, sin cita alguna de jurisprudencia constitucional sobre las comparecencias parlamentarias en el razonamiento en el que se sustenta esa conclusión (fundamento jurídico tercero).</w:t>
      </w:r>
    </w:p>
    <w:p w14:paraId="55BB1232" w14:textId="77777777" w:rsidR="00576A90" w:rsidRDefault="00576A90" w:rsidP="00576A90">
      <w:pPr>
        <w:pStyle w:val="TextoNormal"/>
      </w:pPr>
    </w:p>
    <w:p w14:paraId="4FB1FD49" w14:textId="77777777" w:rsidR="00576A90" w:rsidRDefault="00576A90" w:rsidP="00576A90">
      <w:pPr>
        <w:pStyle w:val="TextoNormal"/>
      </w:pPr>
      <w:r>
        <w:t>No puedo sino mostrar mi discrepancia con ese razonamiento, por cuanto:</w:t>
      </w:r>
    </w:p>
    <w:p w14:paraId="3A2F2BFB" w14:textId="77777777" w:rsidR="00576A90" w:rsidRDefault="00576A90" w:rsidP="00576A90">
      <w:pPr>
        <w:pStyle w:val="TextoNormal"/>
      </w:pPr>
    </w:p>
    <w:p w14:paraId="08129262" w14:textId="77777777" w:rsidR="00576A90" w:rsidRDefault="00576A90" w:rsidP="00576A90">
      <w:pPr>
        <w:pStyle w:val="TextoNormal"/>
      </w:pPr>
      <w:r>
        <w:t>a) En ningún momento el auto hace referencia a que, respecto a las solicitudes de comparecencia que aparecen previstas en las normas o usos parlamentarios, el Tribunal Constitucional ha destacado que, “en cuanto su finalidad sea el control del Gobierno, dicha facultad ha de entenderse incluida dentro del núcleo básico de la función parlamentaria garantizado por el art. 23.2 CE” (SSTC 177/2002, de 14 de octubre, FJ 5; 208/2003 de 1 de diciembre, FJ 5; 33/2010, de 19 de julio, FJ 5; 23/2015, de 16 de febrero, FJ 5).</w:t>
      </w:r>
    </w:p>
    <w:p w14:paraId="019D0CB7" w14:textId="77777777" w:rsidR="00576A90" w:rsidRDefault="00576A90" w:rsidP="00576A90">
      <w:pPr>
        <w:pStyle w:val="TextoNormal"/>
      </w:pPr>
    </w:p>
    <w:p w14:paraId="240F9811" w14:textId="77777777" w:rsidR="00576A90" w:rsidRDefault="00576A90" w:rsidP="00576A90">
      <w:pPr>
        <w:pStyle w:val="TextoNormal"/>
      </w:pPr>
      <w:r>
        <w:t>b) De otra parte, y como he señalado, resulta necesario aclarar nuestra doctrina sobre las comparecencias. No se nos diga que, a la vista de lo afirmado tanto en la STC 1/2015, de 19 de enero, como en la STC 191/2013, de 18 de noviembre, FJ 5, podría considerarse que el Tribunal Constitucional ha diferenciado entre las dos fases del procedimiento de solicitud de comparecencias, ya que, al resolver dichos recursos de amparo, entendió que la inadmisión de las comparecencias había privado al órgano competente de resolver sobre estas, pues, en todo caso, esa conclusión no se deriva ni de la STC 74/2009, de 23 de marzo, FJ 4, ni de la STC 33/2010, de 19 de julio, FJ 5.</w:t>
      </w:r>
    </w:p>
    <w:p w14:paraId="6FA54625" w14:textId="77777777" w:rsidR="00576A90" w:rsidRDefault="00576A90" w:rsidP="00576A90">
      <w:pPr>
        <w:pStyle w:val="TextoNormal"/>
      </w:pPr>
    </w:p>
    <w:p w14:paraId="371E2204" w14:textId="77777777" w:rsidR="00576A90" w:rsidRDefault="00576A90" w:rsidP="00576A90">
      <w:pPr>
        <w:pStyle w:val="TextoNormal"/>
      </w:pPr>
      <w:r>
        <w:t>No me parece irrelevante recordar que en el voto particular formulado por el magistrado don Vicente Conde Martín de Hijas a la primera de estas sentencias, y al que se remite en la segunda, se puso de manifiesto que “constituye error de la sentencia exigir de la mesa la fundamentación del acuerdo, que lógicamente no se está refiriendo a lo que correspondía a su función técnica de tramitación de la solicitud de comparecencia, pues la mesa tramitó la iniciativa parlamentaria, sino a la decisión de la junta de sindics de no acordar su celebración, que trasladó al grupo parlamentario autor de la iniciativa, lo que obvia</w:t>
      </w:r>
      <w:r>
        <w:lastRenderedPageBreak/>
        <w:t xml:space="preserve">mente no estaba al alcance de la mesa. Tal error, además parte, a su vez, de una exigencia no suficientemente explicitada en la sentencia, de que la junta de sindics, órgano cuyas decisiones en este caso no son de carácter técnico, sino estrictamente político, debiera explicar por su parte las razones para denegar la comparecencia solicitada. Consideración del estricto carácter político de la decisión que es extensible en el supuesto que nos ocupa al peculiar órgano </w:t>
      </w:r>
      <w:r w:rsidRPr="00576A90">
        <w:rPr>
          <w:i/>
        </w:rPr>
        <w:t>ad hoc</w:t>
      </w:r>
      <w:r>
        <w:t xml:space="preserve"> que, según lo dispuesto en el art. 162.1 del reglamento aplicable, constituyen la mesa y la junta de sindics” (tanto valdría para la junta de portavoces, en el caso que nos ocupa). En definitiva, en dichas sentencias no se diferencian los dos momentos del procedimiento de solicitud de comparecencia y en ambas se apreció la vulneración del art. 23.2 CE, sin tener en cuenta el carácter político de la decisión de la junta de portavoces (junta de sindics allí), exigiendo motivación a dicha decisión.</w:t>
      </w:r>
    </w:p>
    <w:p w14:paraId="50CFB36D" w14:textId="77777777" w:rsidR="00576A90" w:rsidRDefault="00576A90" w:rsidP="00576A90">
      <w:pPr>
        <w:pStyle w:val="TextoNormal"/>
      </w:pPr>
    </w:p>
    <w:p w14:paraId="407544A9" w14:textId="77777777" w:rsidR="00576A90" w:rsidRDefault="00576A90" w:rsidP="00576A90">
      <w:pPr>
        <w:pStyle w:val="TextoNormal"/>
      </w:pPr>
      <w:r>
        <w:t>c) En cualquier caso, la exigencia o no de motivación de la decisión de no celebración de una comparecencia tampoco está muy clara en nuestra jurisprudencia, pese a lo afirmado en el auto. En la reciente STC 30/2024, de 28 de febrero, FJ 4, el Pleno del Tribunal no descartó la exigencia de motivación en este tipo de decisiones y analizó dicha motivación para descartar la vulneración que había sido aducida en el recurso de amparo. Así, en la STC 30/2024, FJ 4, se afirma que “no cabe entender lesionado el derecho invocado puesto que contiene una motivación expresa para su rechazo” y, tras el análisis del acuerdo impugnado, concluye que no cabe afirmar que “su motivación esté manifiestamente desprovista de razonabilidad en atención al fin institucional propio de la función que quiso ejercerse y los motivos aducidos para impedir su ejercicio vinculados a la previa decisión de la mesa de la Cámara de la tramitación de la iniciativa por el procedimiento de urgencia y lo avanzado de la tramitación, incluyendo que había finalizado la posibilidad de presentación de enmiendas y había sido informado por la ponencia cinco días antes de que se formulara la petición de comparecencia por las demandantes de amparo”. Este escrutinio, sin embargo, no se lleva a cabo en el auto del que discrepo.</w:t>
      </w:r>
    </w:p>
    <w:p w14:paraId="0E4D27F2" w14:textId="77777777" w:rsidR="00576A90" w:rsidRDefault="00576A90" w:rsidP="00576A90">
      <w:pPr>
        <w:pStyle w:val="TextoNormal"/>
      </w:pPr>
    </w:p>
    <w:p w14:paraId="7B8BE3E0" w14:textId="77777777" w:rsidR="00576A90" w:rsidRDefault="00576A90" w:rsidP="00576A90">
      <w:pPr>
        <w:pStyle w:val="TextoNormal"/>
      </w:pPr>
      <w:r>
        <w:t>d) Por último, debería haberse tenido en cuenta que la recurrente aduce que en la legislatura en la que se adoptan los acuerdos que dan lugar al presente recurso de amparo, había una práctica parlamentaria conforme a la cual se celebraban todas las comparecencias que se solicitaban. A la demanda adjuntaba solicitudes de comparecencia de los grupos parlamentarios y solicitaba la práctica de la prueba para que el Parlamento de Navarra aportase los acuerdos de los órganos competentes de la cámara por los que se acordó la celebración de comparecencias durante la X legislatura (2019-2023), de acuerdo con las solicitudes de los grupos parlamentarios aportadas como documentos núms. 25 y 26 junto a la demanda de amparo.</w:t>
      </w:r>
    </w:p>
    <w:p w14:paraId="0A7E363E" w14:textId="77777777" w:rsidR="00576A90" w:rsidRDefault="00576A90" w:rsidP="00576A90">
      <w:pPr>
        <w:pStyle w:val="TextoNormal"/>
      </w:pPr>
    </w:p>
    <w:p w14:paraId="16556452" w14:textId="77777777" w:rsidR="00576A90" w:rsidRDefault="00576A90" w:rsidP="00576A90">
      <w:pPr>
        <w:pStyle w:val="TextoNormal"/>
      </w:pPr>
      <w:r>
        <w:t xml:space="preserve">Sin perjuicio del carácter limitado que nuestra jurisprudencia ha otorgado al precedente parlamentario, habría sido necesario el análisis de si efectivamente se ha producido un cambio </w:t>
      </w:r>
      <w:r w:rsidRPr="00576A90">
        <w:rPr>
          <w:i/>
        </w:rPr>
        <w:t>de facto</w:t>
      </w:r>
      <w:r>
        <w:t xml:space="preserve">, si era necesario motivar el apartamiento de la junta de portavoces de sus decisiones anteriores, y si se ha garantizado el ejercicio del cargo en condiciones de igualdad, teniendo en cuenta, además, que el término de comparación se refiere a la misma legislatura. El análisis de esta cuestión, insisto, habría requerido la admisión a trámite del recurso de amparo, para resolver en sentencia entrando en el fondo del asunto. En definitiva, habría sido necesario analizar si se ha producido un trato diferenciado y carente de justificación respecto a una diputada, que pudiera lesionar el derecho a la igualdad en el </w:t>
      </w:r>
      <w:r>
        <w:lastRenderedPageBreak/>
        <w:t>ejercicio del cargo público representativo que materialmente constituye el contenido del art. 23.2 CE (en dicho sentido, STC 44/1995, de 13 de febrero, FJ 5).</w:t>
      </w:r>
    </w:p>
    <w:p w14:paraId="5CB4800A" w14:textId="77777777" w:rsidR="00576A90" w:rsidRDefault="00576A90" w:rsidP="00576A90">
      <w:pPr>
        <w:pStyle w:val="TextoNormal"/>
      </w:pPr>
    </w:p>
    <w:p w14:paraId="3B7EC8B7" w14:textId="77777777" w:rsidR="00576A90" w:rsidRDefault="00576A90" w:rsidP="00576A90">
      <w:pPr>
        <w:pStyle w:val="TextoNormal"/>
      </w:pPr>
      <w:r>
        <w:t>En efecto, en casos como el presente, en los que se articulan los instrumentos para ejercer el control del Gobierno, a través de las solicitudes de comparecencia, que forman parte del núcleo esencial del derecho fundamental de los parlamentarios garantizado por el art. 23.2 CE, era pertinente la admisión a trámite del recurso de amparo para poder haber analizado y despejado todas las dudas que suscita la adecuación a ese derecho fundamental de decisiones de las Cámaras como las impugnadas en este recurso de amparo en el que, como he señalado en anteriores votos particulares, “está en juego el ejercicio de este derecho que nuclea la democracia representativa”.</w:t>
      </w:r>
    </w:p>
    <w:p w14:paraId="7BA20DD6" w14:textId="77777777" w:rsidR="00576A90" w:rsidRDefault="00576A90" w:rsidP="00576A90">
      <w:pPr>
        <w:pStyle w:val="TextoNormal"/>
      </w:pPr>
    </w:p>
    <w:p w14:paraId="672E42DB" w14:textId="77777777" w:rsidR="00576A90" w:rsidRDefault="00576A90" w:rsidP="00576A90">
      <w:pPr>
        <w:pStyle w:val="TextoNormal"/>
      </w:pPr>
      <w:r>
        <w:t>En conclusión, la verosimilitud de la vulneración del derecho de participación política (art. 23.2 CE) de la diputada recurrente en amparo y la existencia de especial trascendencia constitucional en el asunto planteado, debieron conducir a este tribunal a acordar la admisión del recurso de amparo, de conformidad con el art. 50.1 LOTC, para dictar en su momento una sentencia sobre el fondo del asunto, en la que se aclarara la jurisprudencia constitucional relativa al procedimiento parlamentario sobre las comparecencias, en los términos apuntados, y se resolviera a continuación sobre la alegada vulneración del derecho de la recurrente al ejercicio de sus funciones representativas en condiciones de igualdad en atención a las concretas circunstancias del caso.</w:t>
      </w:r>
    </w:p>
    <w:p w14:paraId="2AB3A522" w14:textId="77777777" w:rsidR="00576A90" w:rsidRDefault="00576A90" w:rsidP="00576A90">
      <w:pPr>
        <w:pStyle w:val="TextoNormal"/>
      </w:pPr>
    </w:p>
    <w:p w14:paraId="4B86B8FD" w14:textId="5A9400CE" w:rsidR="00576A90" w:rsidRDefault="00576A90" w:rsidP="00576A90">
      <w:pPr>
        <w:pStyle w:val="TextoNormal"/>
      </w:pPr>
      <w:r>
        <w:t>Madrid, a catorce de mayo de dos mil veinticuatro.</w:t>
      </w:r>
    </w:p>
    <w:p w14:paraId="58A6A0DD" w14:textId="0B762E9B" w:rsidR="00576A90" w:rsidRDefault="00576A90">
      <w:pPr>
        <w:spacing w:after="160" w:line="259" w:lineRule="auto"/>
        <w:rPr>
          <w:rFonts w:ascii="Times New Roman" w:eastAsia="Times New Roman" w:hAnsi="Times New Roman" w:cs="Times New Roman"/>
          <w:sz w:val="24"/>
          <w:szCs w:val="24"/>
          <w:lang w:eastAsia="es-ES"/>
        </w:rPr>
      </w:pPr>
      <w:r>
        <w:br w:type="page"/>
      </w:r>
    </w:p>
    <w:p w14:paraId="1222B10F" w14:textId="77777777" w:rsidR="00576A90" w:rsidRDefault="00576A90" w:rsidP="00576A90">
      <w:pPr>
        <w:pStyle w:val="TtuloResolucin"/>
      </w:pPr>
      <w:bookmarkStart w:id="143" w:name="AUTO_2024_48"/>
      <w:r>
        <w:lastRenderedPageBreak/>
        <w:t>AUTO 48/2024, de 20 de mayo de 2024</w:t>
      </w:r>
    </w:p>
    <w:bookmarkEnd w:id="143"/>
    <w:p w14:paraId="6270ACF6" w14:textId="77777777" w:rsidR="00576A90" w:rsidRDefault="00576A90" w:rsidP="00576A90">
      <w:pPr>
        <w:pStyle w:val="TtuloResolucin"/>
      </w:pPr>
      <w:r>
        <w:t>Sala Primera</w:t>
      </w:r>
    </w:p>
    <w:p w14:paraId="222BF798" w14:textId="77777777" w:rsidR="00576A90" w:rsidRDefault="00576A90" w:rsidP="00576A90">
      <w:pPr>
        <w:pStyle w:val="TextoNormalCentrado"/>
      </w:pPr>
      <w:r>
        <w:t>ECLI:ES:TC:2024:48A</w:t>
      </w:r>
    </w:p>
    <w:p w14:paraId="2C0ED1EE" w14:textId="4F98561A" w:rsidR="00576A90" w:rsidRDefault="00576A90" w:rsidP="00576A90">
      <w:pPr>
        <w:pStyle w:val="TextoNormalCentrado"/>
      </w:pPr>
    </w:p>
    <w:p w14:paraId="78AE08A2" w14:textId="77777777" w:rsidR="00576A90" w:rsidRDefault="00576A90" w:rsidP="00576A90">
      <w:pPr>
        <w:pStyle w:val="SntesisDescriptiva"/>
      </w:pPr>
      <w:r>
        <w:t>Excms. Srs. don Cándido Conde-Pumpido Tourón, don Ricardo Enríquez Sancho, doña Concepción Espejel Jorquera, doña María Luisa Segoviano Astaburuaga y don Juan Carlos Campo Moreno.</w:t>
      </w:r>
    </w:p>
    <w:p w14:paraId="67068640" w14:textId="005930B4" w:rsidR="00576A90" w:rsidRDefault="00576A90" w:rsidP="00576A90">
      <w:pPr>
        <w:pStyle w:val="SntesisDescriptiva"/>
      </w:pPr>
    </w:p>
    <w:p w14:paraId="7C5FF6F0" w14:textId="77777777" w:rsidR="00576A90" w:rsidRDefault="00576A90" w:rsidP="00576A90">
      <w:pPr>
        <w:pStyle w:val="SntesisDescriptiva"/>
      </w:pPr>
      <w:r>
        <w:t>Deniega la suspensión en el recurso de amparo 1443-2023, promovido por veintinueve participantes en procedimiento selectivo de promoción interna en proceso contencioso-administrativo.</w:t>
      </w:r>
    </w:p>
    <w:p w14:paraId="46037752" w14:textId="0E054CCC" w:rsidR="00576A90" w:rsidRDefault="00576A90" w:rsidP="00576A90">
      <w:pPr>
        <w:pStyle w:val="SntesisDescriptiva"/>
      </w:pPr>
    </w:p>
    <w:p w14:paraId="47F64C90" w14:textId="77777777" w:rsidR="00576A90" w:rsidRDefault="00576A90" w:rsidP="00576A90">
      <w:pPr>
        <w:pStyle w:val="SntesisDescriptiva"/>
      </w:pPr>
    </w:p>
    <w:p w14:paraId="1B750237" w14:textId="77777777" w:rsidR="00576A90" w:rsidRDefault="00576A90" w:rsidP="00576A90">
      <w:pPr>
        <w:pStyle w:val="SntesisDescriptiva"/>
      </w:pPr>
    </w:p>
    <w:p w14:paraId="50236748" w14:textId="77777777" w:rsidR="00576A90" w:rsidRDefault="00576A90" w:rsidP="00576A90">
      <w:pPr>
        <w:pStyle w:val="TextoNormalNegritaCentrado"/>
      </w:pPr>
      <w:r>
        <w:t>AUTO</w:t>
      </w:r>
    </w:p>
    <w:p w14:paraId="3E57A82B" w14:textId="43DB539C" w:rsidR="00576A90" w:rsidRDefault="00576A90" w:rsidP="00576A90">
      <w:pPr>
        <w:pStyle w:val="TextoNormalNegritaCentrado"/>
      </w:pPr>
    </w:p>
    <w:p w14:paraId="57676A57" w14:textId="77777777" w:rsidR="00576A90" w:rsidRDefault="00576A90" w:rsidP="00576A90">
      <w:pPr>
        <w:pStyle w:val="TextoNormalNegritaCentrado"/>
        <w:keepNext/>
      </w:pPr>
      <w:r>
        <w:t>I. Antecedentes</w:t>
      </w:r>
    </w:p>
    <w:p w14:paraId="01B926CE" w14:textId="371262DC" w:rsidR="00576A90" w:rsidRDefault="00576A90" w:rsidP="00576A90">
      <w:pPr>
        <w:pStyle w:val="TextoNormalNegritaCentrado"/>
        <w:keepNext/>
      </w:pPr>
    </w:p>
    <w:p w14:paraId="305221CB" w14:textId="77777777" w:rsidR="00576A90" w:rsidRDefault="00576A90" w:rsidP="00576A90">
      <w:pPr>
        <w:pStyle w:val="TextoNormal"/>
      </w:pPr>
      <w:r w:rsidRPr="00576A90">
        <w:rPr>
          <w:rStyle w:val="NumeroAFNegritaCaracter"/>
        </w:rPr>
        <w:t>1</w:t>
      </w:r>
      <w:r>
        <w:t>. Mediante escrito registrado en el Tribunal el 3 de marzo de 2023, la procuradora de los tribunales doña Carmen Armesto Tinoco, en nombre y representación de los demandantes citados en el encabezamiento de esta resolución, bajo la dirección del letrado don Pedro Tenorio Sánchez, interpuso recurso de amparo contra el auto del Juzgado de lo Contencioso-Administrativo núm. 30 de Madrid de 2 de febrero de 2023, por el que se desestima el incidente de nulidad de actuaciones interpuesto contra la sentencia núm. 226/2021, de 10 de junio de 2021, pronunciada en el procedimiento abreviado núm. 351-2017, en la que se acuerda la anulación de las listas provisional y definitiva de aspirantes que superaron la segunda prueba de la fase de oposición para el ingreso por promoción interna en el cuerpo de técnicos de gestión de administración general, grupo A, subgrupo A2, de la Comunidad de Madrid, convocada por Orden de la Consejería de Presidencia, Justicia y Portavocía del Gobierno 1305/2017, de 5 de mayo.</w:t>
      </w:r>
    </w:p>
    <w:p w14:paraId="156E6323" w14:textId="77777777" w:rsidR="00576A90" w:rsidRDefault="00576A90" w:rsidP="00576A90">
      <w:pPr>
        <w:pStyle w:val="TextoNormal"/>
      </w:pPr>
    </w:p>
    <w:p w14:paraId="3AC35EC1" w14:textId="77777777" w:rsidR="00576A90" w:rsidRDefault="00576A90" w:rsidP="00576A90">
      <w:pPr>
        <w:pStyle w:val="TextoNormal"/>
      </w:pPr>
      <w:r>
        <w:t>En la demanda se solicita, al amparo del art. 56 de la Ley Orgánica del Tribunal Constitucional (LOTC), la suspensión del auto del Juzgado de lo Contencioso-Administrativo núm. 30 de Madrid núm. 266-2022, de 17 de noviembre de 2022, pronunciado en el incidente de ejecución de títulos judiciales núm. 45-2022, a que dio lugar la citada sentencia núm. 226/2021, de 10 de junio de 2021, en el que se acuerda, entre otros extremos, no tener por ejecutada por la administración la citada sentencia y requerir a la administración para que en el plazo improrrogable de un mes proceda a convocar a todos los aspirantes que realizaron el segundo ejercicio de la fase de oposición para su nueva celebración. La solicitud de suspensión se fundamenta en que la celebración de esta nueva convocatoria causaría un perjuicio de imposible o difícil reparación a los demandantes, que adquirieron la condición de funcionarios por la superación de dicho proceso selectivo.</w:t>
      </w:r>
    </w:p>
    <w:p w14:paraId="2B1107B9" w14:textId="77777777" w:rsidR="00576A90" w:rsidRDefault="00576A90" w:rsidP="00576A90">
      <w:pPr>
        <w:pStyle w:val="TextoNormal"/>
      </w:pPr>
    </w:p>
    <w:p w14:paraId="3092F023" w14:textId="045C46E4" w:rsidR="00576A90" w:rsidRDefault="00576A90" w:rsidP="00576A90">
      <w:pPr>
        <w:pStyle w:val="TextoNormal"/>
      </w:pPr>
      <w:r>
        <w:t xml:space="preserve">Los demandantes también ponen de manifiesto que la ejecución del auto cuya suspensión se solicita fue suspendida por providencia de 15 de diciembre de 2022 “en tanto en cuanto no sea firme el mismo, y en consecuencia, el plazo de un mes concedido en el mismo empezaría a correr desde que dicha resolución adquiera firmeza, y ello pese a que la tramitación de la apelación es en un solo efecto (art. 80 LJCA), dado que la ejecución </w:t>
      </w:r>
      <w:r>
        <w:lastRenderedPageBreak/>
        <w:t>inmediata del auto supondría perjuicio irreparable que dificultaría de forma notable la ejecución de la sentencia firme y de la que pende en este momento un incidente de nulidad”.</w:t>
      </w:r>
    </w:p>
    <w:p w14:paraId="33D8792B" w14:textId="77777777" w:rsidR="00576A90" w:rsidRDefault="00576A90" w:rsidP="00576A90">
      <w:pPr>
        <w:pStyle w:val="TextoNormal"/>
      </w:pPr>
    </w:p>
    <w:p w14:paraId="18F3DE8C" w14:textId="3A04FEDD" w:rsidR="00576A90" w:rsidRDefault="00576A90" w:rsidP="00576A90">
      <w:pPr>
        <w:pStyle w:val="TextoNormal"/>
      </w:pPr>
      <w:r w:rsidRPr="00576A90">
        <w:rPr>
          <w:rStyle w:val="NumeroAFNegritaCaracter"/>
        </w:rPr>
        <w:t>2</w:t>
      </w:r>
      <w:r>
        <w:t>. La Sección Primera del Tribunal, por sendas providencias de 8 de abril de 2024, acordó, en la primera, entre otros extremos, la admisión a trámite de la demanda de amparo y la formación de pieza separada para la sustanciación del incidente de suspensión; y, en la segunda, formar la oportuna pieza de suspensión y conceder a los demandantes y al Ministerio Fiscal el plazo común de tres días para que alegasen lo que estimasen pertinente.</w:t>
      </w:r>
    </w:p>
    <w:p w14:paraId="0C9EA7F5" w14:textId="77777777" w:rsidR="00576A90" w:rsidRDefault="00576A90" w:rsidP="00576A90">
      <w:pPr>
        <w:pStyle w:val="TextoNormal"/>
      </w:pPr>
    </w:p>
    <w:p w14:paraId="73DBEAAA" w14:textId="6699C480" w:rsidR="00576A90" w:rsidRDefault="00576A90" w:rsidP="00576A90">
      <w:pPr>
        <w:pStyle w:val="TextoNormal"/>
      </w:pPr>
      <w:r w:rsidRPr="00576A90">
        <w:rPr>
          <w:rStyle w:val="NumeroAFNegritaCaracter"/>
        </w:rPr>
        <w:t>3</w:t>
      </w:r>
      <w:r>
        <w:t>. El Ministerio Fiscal, por escrito registrado el 26 de abril de 2024, presentó alegaciones interesando la denegación de la suspensión solicitada argumentando, tras exponer la jurisprudencia constitucional en la materia, que los demandantes no han acreditado, como es carga alegatoria y probatoria que les incumbe respecto de los perjuicios que alegan, que el auto núm. 266/2022, de 17 de noviembre, haya adquirido firmeza y, por tanto, que se haya cumplido la condición establecida en la providencia de 15 de diciembre de 2022 para su ejecución; todo ello “sin perjuicio de que, en el caso de que el órgano judicial acordara, por haber adquirido firmeza el auto de 17 de noviembre de 2022, reanudar la ejecución de la resolución, pudieran los recurrentes volver a interesar la adopción de la medida cautelar instada”.</w:t>
      </w:r>
    </w:p>
    <w:p w14:paraId="0B411A68" w14:textId="77777777" w:rsidR="00576A90" w:rsidRDefault="00576A90" w:rsidP="00576A90">
      <w:pPr>
        <w:pStyle w:val="TextoNormal"/>
      </w:pPr>
    </w:p>
    <w:p w14:paraId="71DC17A8" w14:textId="2D26663C" w:rsidR="00576A90" w:rsidRDefault="00576A90" w:rsidP="00576A90">
      <w:pPr>
        <w:pStyle w:val="TextoNormal"/>
      </w:pPr>
      <w:r w:rsidRPr="00576A90">
        <w:rPr>
          <w:rStyle w:val="NumeroAFNegritaCaracter"/>
        </w:rPr>
        <w:t>4</w:t>
      </w:r>
      <w:r>
        <w:t>. Los demandantes de amparo, por escrito registrado el 11 de abril de 2024, presentaron alegaciones insistiendo en que la ejecución del auto cuya suspensión se solicita haría al amparo perder su finalidad causándoles perjuicios de imposible o difícil reparación sin que, por el contrario, su suspensión sea susceptible de provocar una perturbación grave de un interés constitucionalmente protegido ni perjuicios a los derechos fundamentales o libertades públicas de terceros.</w:t>
      </w:r>
    </w:p>
    <w:p w14:paraId="138431A5" w14:textId="77777777" w:rsidR="00576A90" w:rsidRDefault="00576A90" w:rsidP="00576A90">
      <w:pPr>
        <w:pStyle w:val="TextoNormal"/>
      </w:pPr>
    </w:p>
    <w:p w14:paraId="38180A54" w14:textId="77777777" w:rsidR="00576A90" w:rsidRDefault="00576A90" w:rsidP="00576A90">
      <w:pPr>
        <w:pStyle w:val="TextoNormalNegritaCentrado"/>
        <w:keepNext/>
      </w:pPr>
      <w:r>
        <w:t>II. Fundamentos jurídicos</w:t>
      </w:r>
    </w:p>
    <w:p w14:paraId="00004ADE" w14:textId="2644CA77" w:rsidR="00576A90" w:rsidRDefault="00576A90" w:rsidP="00576A90">
      <w:pPr>
        <w:pStyle w:val="TextoNormalNegritaCentrado"/>
        <w:keepNext/>
      </w:pPr>
    </w:p>
    <w:p w14:paraId="12DEA692" w14:textId="77777777" w:rsidR="00576A90" w:rsidRDefault="00576A90" w:rsidP="00576A90">
      <w:pPr>
        <w:pStyle w:val="TextoNormal"/>
      </w:pPr>
      <w:r w:rsidRPr="00576A90">
        <w:rPr>
          <w:rStyle w:val="TextoNormalNegritaCaracter"/>
        </w:rPr>
        <w:t xml:space="preserve">Único. </w:t>
      </w:r>
      <w:r>
        <w:t>El objeto de esta pieza de suspensión consiste en determinar la procedencia de la medida cautelar instada por los demandantes de amparo consistente en la suspensión de la ejecución del auto del Juzgado de lo Contencioso-Administrativo núm. 30 de Madrid 266/2022, de 17 de noviembre, en el que se acuerda, entre otros extremos, requerir a la administración para que en el plazo improrrogable de un mes procediera a convocar a todos los aspirantes que realizaron el segundo ejercicio de la fase de oposición para su nueva celebración.</w:t>
      </w:r>
    </w:p>
    <w:p w14:paraId="28060596" w14:textId="77777777" w:rsidR="00576A90" w:rsidRDefault="00576A90" w:rsidP="00576A90">
      <w:pPr>
        <w:pStyle w:val="TextoNormal"/>
      </w:pPr>
    </w:p>
    <w:p w14:paraId="6A631D02" w14:textId="77777777" w:rsidR="00576A90" w:rsidRDefault="00576A90" w:rsidP="00576A90">
      <w:pPr>
        <w:pStyle w:val="TextoNormal"/>
      </w:pPr>
      <w:r>
        <w:t>La jurisprudencia constitucional ha reiterado, en interpretación del art. 56 LOTC, por un lado, que es una carga procesal exigible al solicitante de la medida cautelar que alegue, pruebe o justifique, ofreciendo un principio razonable de prueba, la irreparabilidad o dificultad de la reparación de los perjuicios de seguirse la ejecución del acto impugnado (así, por ejemplo, AATC 91/2022, de 13 de junio, FJ 3, o 334/2023, de 3 de julio, FJ 2) y, por otro, que el perjuicio alegado, además de concreto, debe ser real y actual, no pudiendo consistir en meras hipótesis de futuro o en simples temores de la parte recurrente (así, por ejemplo, AATC 51/2022, de 7 de marzo, FJ 3, o 136/2022, de 24 de octubre, FJ 3), lo que ha determinado que el Tribunal haya rechazado la suspensión de resoluciones cuya ejecu</w:t>
      </w:r>
      <w:r>
        <w:lastRenderedPageBreak/>
        <w:t>ción ya permanecía suspendida en la vía judicial afirmando que en esos casos “no concurre tampoco el riesgo de que la ejecución del acto impugnado hiciera perder al recurso de amparo su finalidad (art. 56.2 LOTC)” (ATC 12/2022, de 24 de enero, FJ 3).</w:t>
      </w:r>
    </w:p>
    <w:p w14:paraId="3E9667FF" w14:textId="77777777" w:rsidR="00576A90" w:rsidRDefault="00576A90" w:rsidP="00576A90">
      <w:pPr>
        <w:pStyle w:val="TextoNormal"/>
      </w:pPr>
    </w:p>
    <w:p w14:paraId="4F39F433" w14:textId="77777777" w:rsidR="00576A90" w:rsidRDefault="00576A90" w:rsidP="00576A90">
      <w:pPr>
        <w:pStyle w:val="TextoNormal"/>
      </w:pPr>
      <w:r>
        <w:t>En el presente caso, tal como también ha interesado el Ministerio Fiscal, resulta procedente denegar la medida cautelar instada por los demandantes. El Tribunal constata, por un lado, que la ejecución del auto cuya suspensión se solicita está suspendida por providencia de 15 de diciembre de 2022 hasta que alcance firmeza, una vez que se resuelva el recurso de apelación interpuesto contra el mismo; y, por otro, que no está acreditado en las actuaciones aportadas por los demandantes, ni ha sido aducido por estos en la demanda o en el trámite de alegaciones, que dicho auto haya adquirido firmeza y, por tanto, que se haya cumplido la condición establecida en la providencia de 15 de diciembre de 2022 para su ejecución. Ello impide apreciar en este caso el cumplimiento de los debidos requisitos de la existencia de un riesgo de que el recurso de amparo pudiera perder su finalidad y de la actualidad del eventual perjuicio alegado como presupuesto para la adopción de la medida cautelar solicitada, como es carga alegatoria y probatoria que incumbe a los demandantes de amparo.</w:t>
      </w:r>
    </w:p>
    <w:p w14:paraId="09325BCD" w14:textId="77777777" w:rsidR="00576A90" w:rsidRDefault="00576A90" w:rsidP="00576A90">
      <w:pPr>
        <w:pStyle w:val="TextoNormal"/>
      </w:pPr>
    </w:p>
    <w:p w14:paraId="00666AA6" w14:textId="38E7730D" w:rsidR="00576A90" w:rsidRDefault="00576A90" w:rsidP="00576A90">
      <w:pPr>
        <w:pStyle w:val="TextoNormal"/>
      </w:pPr>
      <w:r>
        <w:t>La denegación de esta medida cautelar se adopta sin perjuicio de lo que pudiera acordarse, al amparo del art. 57 LOTC, en caso de una alteración sobrevenida de las actuales circunstancias de suspensión en la que se mantiene el citado auto en la vía judicial.</w:t>
      </w:r>
    </w:p>
    <w:p w14:paraId="7A656442" w14:textId="77777777" w:rsidR="00576A90" w:rsidRDefault="00576A90" w:rsidP="00576A90">
      <w:pPr>
        <w:pStyle w:val="TextoNormal"/>
      </w:pPr>
    </w:p>
    <w:p w14:paraId="4392B00C" w14:textId="77777777" w:rsidR="00576A90" w:rsidRDefault="00576A90" w:rsidP="00576A90">
      <w:pPr>
        <w:pStyle w:val="TextoNormal"/>
      </w:pPr>
      <w:r>
        <w:t>Por lo expuesto, la Sala</w:t>
      </w:r>
    </w:p>
    <w:p w14:paraId="6A8938FD" w14:textId="2D5C28B7" w:rsidR="00576A90" w:rsidRDefault="00576A90" w:rsidP="00576A90">
      <w:pPr>
        <w:pStyle w:val="TextoNormal"/>
      </w:pPr>
    </w:p>
    <w:p w14:paraId="5BF2E00E" w14:textId="77777777" w:rsidR="00576A90" w:rsidRDefault="00576A90" w:rsidP="00576A90">
      <w:pPr>
        <w:pStyle w:val="TextoNormalCentrado"/>
      </w:pPr>
      <w:r>
        <w:t>ACUERDA</w:t>
      </w:r>
    </w:p>
    <w:p w14:paraId="09A0BC71" w14:textId="766A029B" w:rsidR="00576A90" w:rsidRDefault="00576A90" w:rsidP="00576A90">
      <w:pPr>
        <w:pStyle w:val="TextoNormalCentrado"/>
      </w:pPr>
    </w:p>
    <w:p w14:paraId="01019752" w14:textId="3516DB90" w:rsidR="00576A90" w:rsidRDefault="00576A90" w:rsidP="00576A90">
      <w:pPr>
        <w:pStyle w:val="TextoNormal"/>
      </w:pPr>
      <w:r>
        <w:t>Denegar la medida cautelar de suspensión solicitada.</w:t>
      </w:r>
    </w:p>
    <w:p w14:paraId="0544CCF6" w14:textId="77777777" w:rsidR="00576A90" w:rsidRDefault="00576A90" w:rsidP="00576A90">
      <w:pPr>
        <w:pStyle w:val="TextoNormal"/>
      </w:pPr>
    </w:p>
    <w:p w14:paraId="58C1B913" w14:textId="77777777" w:rsidR="00576A90" w:rsidRDefault="00576A90" w:rsidP="00576A90">
      <w:pPr>
        <w:pStyle w:val="TextoNormal"/>
      </w:pPr>
      <w:r>
        <w:t>Madrid, a veinte de mayo de dos mil veinticuatro.</w:t>
      </w:r>
    </w:p>
    <w:p w14:paraId="0131B31D" w14:textId="6AB10CDD" w:rsidR="00576A90" w:rsidRDefault="00576A90">
      <w:pPr>
        <w:spacing w:after="160" w:line="259" w:lineRule="auto"/>
        <w:rPr>
          <w:rFonts w:ascii="Times New Roman" w:eastAsia="Times New Roman" w:hAnsi="Times New Roman" w:cs="Times New Roman"/>
          <w:sz w:val="24"/>
          <w:szCs w:val="24"/>
          <w:lang w:eastAsia="es-ES"/>
        </w:rPr>
      </w:pPr>
      <w:r>
        <w:br w:type="page"/>
      </w:r>
    </w:p>
    <w:p w14:paraId="053C0E40" w14:textId="77777777" w:rsidR="00576A90" w:rsidRDefault="00576A90" w:rsidP="00576A90">
      <w:pPr>
        <w:pStyle w:val="TtuloResolucin"/>
      </w:pPr>
      <w:bookmarkStart w:id="144" w:name="AUTO_2024_49"/>
      <w:r>
        <w:lastRenderedPageBreak/>
        <w:t>AUTO 49/2024, de 20 de mayo de 2024</w:t>
      </w:r>
    </w:p>
    <w:bookmarkEnd w:id="144"/>
    <w:p w14:paraId="75F02283" w14:textId="77777777" w:rsidR="00576A90" w:rsidRDefault="00576A90" w:rsidP="00576A90">
      <w:pPr>
        <w:pStyle w:val="TtuloResolucin"/>
      </w:pPr>
      <w:r>
        <w:t>Sala Segunda</w:t>
      </w:r>
    </w:p>
    <w:p w14:paraId="4E72F14D" w14:textId="77777777" w:rsidR="00576A90" w:rsidRDefault="00576A90" w:rsidP="00576A90">
      <w:pPr>
        <w:pStyle w:val="TextoNormalCentrado"/>
      </w:pPr>
      <w:r>
        <w:t>ECLI:ES:TC:2024:49A</w:t>
      </w:r>
    </w:p>
    <w:p w14:paraId="0B828FAC" w14:textId="2ACE7BDF" w:rsidR="00576A90" w:rsidRDefault="00576A90" w:rsidP="00576A90">
      <w:pPr>
        <w:pStyle w:val="TextoNormalCentrado"/>
      </w:pPr>
    </w:p>
    <w:p w14:paraId="4AB15327" w14:textId="77777777" w:rsidR="00576A90" w:rsidRDefault="00576A90" w:rsidP="00576A90">
      <w:pPr>
        <w:pStyle w:val="SntesisDescriptiva"/>
      </w:pPr>
      <w:r>
        <w:t>Excms. Srs. doña Inmaculada Montalbán Huertas, doña María Luisa Balaguer Callejón, don Ramón Sáez Valcárcel, don Enrique Arnaldo Alcubilla y don César Tolosa Tribiño.</w:t>
      </w:r>
    </w:p>
    <w:p w14:paraId="632D7F20" w14:textId="6372EB14" w:rsidR="00576A90" w:rsidRDefault="00576A90" w:rsidP="00576A90">
      <w:pPr>
        <w:pStyle w:val="SntesisDescriptiva"/>
      </w:pPr>
    </w:p>
    <w:p w14:paraId="2F016AA5" w14:textId="77777777" w:rsidR="00576A90" w:rsidRDefault="00576A90" w:rsidP="00576A90">
      <w:pPr>
        <w:pStyle w:val="SntesisDescriptiva"/>
      </w:pPr>
      <w:r>
        <w:t>Acuerda el desistimiento y el archivo de actuaciones en el recurso de amparo 6609-2023, promovido por doña Marta Cañadas Berrio en procedimiento de la Fiscalía Europea.</w:t>
      </w:r>
    </w:p>
    <w:p w14:paraId="5A45ADF2" w14:textId="3E2F133A" w:rsidR="00576A90" w:rsidRDefault="00576A90" w:rsidP="00576A90">
      <w:pPr>
        <w:pStyle w:val="SntesisDescriptiva"/>
      </w:pPr>
    </w:p>
    <w:p w14:paraId="1038E26D" w14:textId="77777777" w:rsidR="00576A90" w:rsidRDefault="00576A90" w:rsidP="00576A90">
      <w:pPr>
        <w:pStyle w:val="SntesisDescriptiva"/>
      </w:pPr>
    </w:p>
    <w:p w14:paraId="1C057221" w14:textId="77777777" w:rsidR="00576A90" w:rsidRDefault="00576A90" w:rsidP="00576A90">
      <w:pPr>
        <w:pStyle w:val="SntesisDescriptiva"/>
      </w:pPr>
    </w:p>
    <w:p w14:paraId="6B0AFA9E" w14:textId="77777777" w:rsidR="00576A90" w:rsidRDefault="00576A90" w:rsidP="00576A90">
      <w:pPr>
        <w:pStyle w:val="TextoNormalNegritaCentrado"/>
      </w:pPr>
      <w:r>
        <w:t>AUTO</w:t>
      </w:r>
    </w:p>
    <w:p w14:paraId="52768DFA" w14:textId="29318012" w:rsidR="00576A90" w:rsidRDefault="00576A90" w:rsidP="00576A90">
      <w:pPr>
        <w:pStyle w:val="TextoNormalNegritaCentrado"/>
      </w:pPr>
    </w:p>
    <w:p w14:paraId="68C6007B" w14:textId="77777777" w:rsidR="00576A90" w:rsidRDefault="00576A90" w:rsidP="00576A90">
      <w:pPr>
        <w:pStyle w:val="TextoNormalNegritaCentrado"/>
        <w:keepNext/>
      </w:pPr>
      <w:r>
        <w:t>I. Antecedentes</w:t>
      </w:r>
    </w:p>
    <w:p w14:paraId="16537855" w14:textId="1B3C062F" w:rsidR="00576A90" w:rsidRDefault="00576A90" w:rsidP="00576A90">
      <w:pPr>
        <w:pStyle w:val="TextoNormalNegritaCentrado"/>
        <w:keepNext/>
      </w:pPr>
    </w:p>
    <w:p w14:paraId="3F56F0F7" w14:textId="5FF5C584" w:rsidR="00576A90" w:rsidRDefault="00576A90" w:rsidP="00576A90">
      <w:pPr>
        <w:pStyle w:val="TextoNormal"/>
      </w:pPr>
      <w:r w:rsidRPr="00576A90">
        <w:rPr>
          <w:rStyle w:val="NumeroAFNegritaCaracter"/>
        </w:rPr>
        <w:t>1</w:t>
      </w:r>
      <w:r>
        <w:t>. Por escrito que tuvo entrada en el registro general de este tribunal el día 18 de octubre de 2023 el procurador de los tribunales don Jose Ramón Couto Aguilar, en representación de doña Marta Cañadas Berrio, interpuso recurso de amparo contra el auto de 8 de marzo de 2023 de la Sección Tercera de la Sala de lo Penal de la Audiencia Nacional y contra la providencia de 6 de octubre de 2023, que inadmitió a trámite la solicitud de nulidad de actuaciones frente al anterior, dictados ambos en el marco del recurso de apelación núm. 300-2023, contra el auto de 11 de julio de 2023 del Juzgado Central de Instrucción núm. 6 en el procedimiento de Fiscalía Europea núm. 40-2022.</w:t>
      </w:r>
    </w:p>
    <w:p w14:paraId="166803FC" w14:textId="77777777" w:rsidR="00576A90" w:rsidRDefault="00576A90" w:rsidP="00576A90">
      <w:pPr>
        <w:pStyle w:val="TextoNormal"/>
      </w:pPr>
    </w:p>
    <w:p w14:paraId="59E0AB4D" w14:textId="77777777" w:rsidR="00576A90" w:rsidRDefault="00576A90" w:rsidP="00576A90">
      <w:pPr>
        <w:pStyle w:val="TextoNormal"/>
      </w:pPr>
      <w:r w:rsidRPr="00576A90">
        <w:rPr>
          <w:rStyle w:val="NumeroAFNegritaCaracter"/>
        </w:rPr>
        <w:t>2</w:t>
      </w:r>
      <w:r>
        <w:t>. Las circunstancias del procedimiento de instancia que resultan relevantes de cara a la tramitación del presente recurso de amparo son las siguientes:</w:t>
      </w:r>
    </w:p>
    <w:p w14:paraId="199B11FE" w14:textId="77777777" w:rsidR="00576A90" w:rsidRDefault="00576A90" w:rsidP="00576A90">
      <w:pPr>
        <w:pStyle w:val="TextoNormal"/>
      </w:pPr>
    </w:p>
    <w:p w14:paraId="1F8914A0" w14:textId="77777777" w:rsidR="00576A90" w:rsidRDefault="00576A90" w:rsidP="00576A90">
      <w:pPr>
        <w:pStyle w:val="TextoNormal"/>
      </w:pPr>
      <w:r>
        <w:t>a) El 22 de mayo de 2023, en el seno del procedimiento ante la Fiscalía Europea núm. 40-2022, seguido por un posible delito de fraude de subvenciones, se dictó decreto acordando requerir a la demandante de amparo para que prestase fianza por una cuantía total de 2 692 961,08 €, cantidad calculada en función de la pena de multa y la posible responsabilidad civil derivada del delito.</w:t>
      </w:r>
    </w:p>
    <w:p w14:paraId="4CF3A252" w14:textId="77777777" w:rsidR="00576A90" w:rsidRDefault="00576A90" w:rsidP="00576A90">
      <w:pPr>
        <w:pStyle w:val="TextoNormal"/>
      </w:pPr>
    </w:p>
    <w:p w14:paraId="332083EB" w14:textId="77777777" w:rsidR="00576A90" w:rsidRDefault="00576A90" w:rsidP="00576A90">
      <w:pPr>
        <w:pStyle w:val="TextoNormal"/>
      </w:pPr>
      <w:r>
        <w:t>b) El decreto de la Fiscalía Europea fue objeto de impugnación por la representación procesal de doña Marta Cañadas Berrio alegándose, entre otros extremos, la pertinencia de reducir la fianza determinándola únicamente conforme a la responsabilidad civil derivada de delito.</w:t>
      </w:r>
    </w:p>
    <w:p w14:paraId="001853C0" w14:textId="77777777" w:rsidR="00576A90" w:rsidRDefault="00576A90" w:rsidP="00576A90">
      <w:pPr>
        <w:pStyle w:val="TextoNormal"/>
      </w:pPr>
    </w:p>
    <w:p w14:paraId="15F7322B" w14:textId="77777777" w:rsidR="00576A90" w:rsidRDefault="00576A90" w:rsidP="00576A90">
      <w:pPr>
        <w:pStyle w:val="TextoNormal"/>
      </w:pPr>
      <w:r>
        <w:t xml:space="preserve">c) El recurso fue desestimado por el Juzgado Central de Instrucción núm. 6 mediante auto fechado el 11 de julio de 2023. En lo que interesa al presente recurso de amparo la resolución judicial sostenía, respecto de la fianza, que: “el art. 127 </w:t>
      </w:r>
      <w:r w:rsidRPr="00576A90">
        <w:rPr>
          <w:i/>
        </w:rPr>
        <w:t>octies</w:t>
      </w:r>
      <w:r>
        <w:t xml:space="preserve"> del C.P. [Código penal] permite adoptar medidas cautelares para asegurar el futuro decomiso de los bienes y efectos del delito. En el mismo sentido el art. 53 de la LOFE [Ley Orgánica 9/2021, de 1 de julio, de aplicación del Reglamento (UE) 2017/1939 del Consejo, de 12 de octubre de 2017, por el que se establece una cooperación reforzada para la creación de la Fiscalía Europea] dispone que la finalidad de las medidas cautelares reales no solo puede incluir el </w:t>
      </w:r>
      <w:r>
        <w:lastRenderedPageBreak/>
        <w:t>aseguramiento de responsabilidades civiles, las multas y las costas, sino también como del decomiso que en el futuro pueda acordarse respecto de los efectos, instrumentos y productos del delito. También se requiere que exista una proporcionalidad y una ponderación en la aplicación de la medida. Debe existir una relación entre el delito que se está permitiendo (</w:t>
      </w:r>
      <w:r w:rsidRPr="00576A90">
        <w:rPr>
          <w:i/>
        </w:rPr>
        <w:t>sic</w:t>
      </w:r>
      <w:r>
        <w:t>) y la carga que supone la adopción de la medida. En este caso, dada la gravedad del delito y la necesidad de la adopción de la medida, se entiende que el juicio de ponderación está suficientemente justificado. Esto implica que la medida tiene que ser acorde con lo que se está persiguiendo y buscando, es decir, que su adopción y su práctica debe de ceñirse estrictamente a aquello que se ha pedido, y para aquello para lo que se ha adoptado, y desde luego las medidas propuestas lo son en atención a todo lo ya expuesto” (FJ 4).</w:t>
      </w:r>
    </w:p>
    <w:p w14:paraId="58C1FE61" w14:textId="77777777" w:rsidR="00576A90" w:rsidRDefault="00576A90" w:rsidP="00576A90">
      <w:pPr>
        <w:pStyle w:val="TextoNormal"/>
      </w:pPr>
    </w:p>
    <w:p w14:paraId="18F4FE54" w14:textId="77777777" w:rsidR="00576A90" w:rsidRDefault="00576A90" w:rsidP="00576A90">
      <w:pPr>
        <w:pStyle w:val="TextoNormal"/>
      </w:pPr>
      <w:r>
        <w:t>d) Interpuesto recurso de apelación, en el que además se alegaba incongruencia omisiva por no haberse dado adecuada respuesta al motivo de impugnación relativo a la determinación de la fianza en función de la multa, fue dictado auto de 8 de septiembre de 2023 por la Sala de lo Penal de la Audiencia Nacional desestimando el recurso sobre la base a la siguiente argumentación relativa a la cuantía de la fianza: “la extensión de las fianzas viene expresamente regulada en el artículo 53 de la LOFE. Precisamente, en aplicación del meritado precepto la cantidad de 2 692 961,08 € se corresponde con la suma de 1 346 480,54 € de multa, más 673 240,27 € de responsabilidades civiles, más el tercio correspondiente, esto es, dentro del marco expresamente fijado por el precepto legal”.</w:t>
      </w:r>
    </w:p>
    <w:p w14:paraId="2F5606B9" w14:textId="77777777" w:rsidR="00576A90" w:rsidRDefault="00576A90" w:rsidP="00576A90">
      <w:pPr>
        <w:pStyle w:val="TextoNormal"/>
      </w:pPr>
    </w:p>
    <w:p w14:paraId="5EFD8ADC" w14:textId="77777777" w:rsidR="00576A90" w:rsidRDefault="00576A90" w:rsidP="00576A90">
      <w:pPr>
        <w:pStyle w:val="TextoNormal"/>
      </w:pPr>
      <w:r>
        <w:t>e) Dicha resolución fue objeto de un incidente de nulidad de actuaciones en que se alegaba la vulneración del derecho a la presunción de inocencia en relación con la determinación de la fianza, además de esgrimirse la sentencia estimatoria del Tribunal Constitucional 69/2023, de 19 de junio de 2023, que denegaba la posibilidad de fijar la fianza en función de la multa que, en su caso, pudiese ser impuesta al investigado. El incidente fue inadmitido por providencia de 6 de octubre de 2023 señalando que la cuestión planteada ya fue resuelta en el auto cuya nulidad se pretende.</w:t>
      </w:r>
    </w:p>
    <w:p w14:paraId="04F8ACC9" w14:textId="77777777" w:rsidR="00576A90" w:rsidRDefault="00576A90" w:rsidP="00576A90">
      <w:pPr>
        <w:pStyle w:val="TextoNormal"/>
      </w:pPr>
    </w:p>
    <w:p w14:paraId="1C1EA920" w14:textId="0CB10DF7" w:rsidR="00576A90" w:rsidRDefault="00576A90" w:rsidP="00576A90">
      <w:pPr>
        <w:pStyle w:val="TextoNormal"/>
      </w:pPr>
      <w:r>
        <w:t xml:space="preserve">f) La demanda de amparo se plantea contra las resoluciones referenciadas en el encabezamiento alegando vulneración del derecho a la presunción de inocencia (art. 24.2 CE). Considera la demandante que el decreto de la Fiscalía Europea, posteriormente ratificado por el juez de garantías y por las resoluciones judiciales sucesivas, supone la vulneración del derecho a la presunción de inocencia </w:t>
      </w:r>
      <w:r w:rsidRPr="00576A90">
        <w:rPr>
          <w:i/>
        </w:rPr>
        <w:t>ex</w:t>
      </w:r>
      <w:r>
        <w:t xml:space="preserve"> art. 24.2 CE al haber acordado una fianza por un importe de dos millones de euros sin haberse tomado siquiera declaración como investigada y sin haber realizado una imputación formal de los hechos delictivos.</w:t>
      </w:r>
    </w:p>
    <w:p w14:paraId="3E352F90" w14:textId="77777777" w:rsidR="00576A90" w:rsidRDefault="00576A90" w:rsidP="00576A90">
      <w:pPr>
        <w:pStyle w:val="TextoNormal"/>
      </w:pPr>
    </w:p>
    <w:p w14:paraId="06F64CC2" w14:textId="77777777" w:rsidR="00576A90" w:rsidRDefault="00576A90" w:rsidP="00576A90">
      <w:pPr>
        <w:pStyle w:val="TextoNormal"/>
      </w:pPr>
      <w:r w:rsidRPr="00576A90">
        <w:rPr>
          <w:rStyle w:val="NumeroAFNegritaCaracter"/>
        </w:rPr>
        <w:t>3</w:t>
      </w:r>
      <w:r>
        <w:t>. Por providencia de la Sección Cuarta de este tribunal de 12 de febrero de 2024, se admitió a trámite el recurso de amparo apreciando la concurrencia de una especial transcendencia constitucional (art. 50.1 de la Ley Orgánica del Tribunal Constitucional: LOTC), al plantear el recurso un problema o afectar a una faceta de un derecho fundamental sobre el que no hay doctrina de este tribunal [STC 155/2009, de 25 de junio, FJ 2 a)]. Además, se considera que la posible vulneración del derecho fundamental que se denuncia pudiera provenir de la ley o de otra disposición de carácter general [STC 155/2009, FJ 2 c)].</w:t>
      </w:r>
    </w:p>
    <w:p w14:paraId="2E7B5AEB" w14:textId="77777777" w:rsidR="00576A90" w:rsidRDefault="00576A90" w:rsidP="00576A90">
      <w:pPr>
        <w:pStyle w:val="TextoNormal"/>
      </w:pPr>
    </w:p>
    <w:p w14:paraId="407CF9E8" w14:textId="0FC50D73" w:rsidR="00576A90" w:rsidRDefault="00576A90" w:rsidP="00576A90">
      <w:pPr>
        <w:pStyle w:val="TextoNormal"/>
      </w:pPr>
      <w:r>
        <w:t xml:space="preserve">La providencia da la instrucción de comunicar a la Sección Tercera de la Sala de lo Penal de la Audiencia Nacional y a la Fiscalía Europea en Madrid la admisión a trámite del </w:t>
      </w:r>
      <w:r>
        <w:lastRenderedPageBreak/>
        <w:t>recurso de amparo a fin de que, en plazo que no exceda de diez días, remitan testimonio íntegro de lo actuado en el recurso de apelación núm. 300-2023 y en el procedimiento Fiscalía Europea núm. 40-2022, respectivamente. También se insta a dirigir comunicación al Juzgado Central de Instrucción núm. 6 a fin de que, en plazo que no exceda de diez días, remita testimonio de las actuaciones correspondientes al expediente “Garantías procedimiento Fiscalía Europea núm. 3-2022”.</w:t>
      </w:r>
    </w:p>
    <w:p w14:paraId="77EB5E52" w14:textId="77777777" w:rsidR="00576A90" w:rsidRDefault="00576A90" w:rsidP="00576A90">
      <w:pPr>
        <w:pStyle w:val="TextoNormal"/>
      </w:pPr>
    </w:p>
    <w:p w14:paraId="43E3C427" w14:textId="6A67B9E7" w:rsidR="00576A90" w:rsidRDefault="00576A90" w:rsidP="00576A90">
      <w:pPr>
        <w:pStyle w:val="TextoNormal"/>
      </w:pPr>
      <w:r w:rsidRPr="00576A90">
        <w:rPr>
          <w:rStyle w:val="NumeroAFNegritaCaracter"/>
        </w:rPr>
        <w:t>4</w:t>
      </w:r>
      <w:r>
        <w:t>. En la misma fecha la Sala acuerda formar pieza separada para la tramitación del incidente de suspensión cautelar de los pronunciamientos impugnados. Conforme determina el artículo 56 de la Ley Orgánica de este tribunal, se concede un plazo común de tres días a la parte recurrente y al Ministerio Fiscal para que aleguen lo que estimen pertinente sobre dicha suspensión.</w:t>
      </w:r>
    </w:p>
    <w:p w14:paraId="30B216A3" w14:textId="77777777" w:rsidR="00576A90" w:rsidRDefault="00576A90" w:rsidP="00576A90">
      <w:pPr>
        <w:pStyle w:val="TextoNormal"/>
      </w:pPr>
    </w:p>
    <w:p w14:paraId="1D5DBC7B" w14:textId="0CC50BA4" w:rsidR="00576A90" w:rsidRDefault="00576A90" w:rsidP="00576A90">
      <w:pPr>
        <w:pStyle w:val="TextoNormal"/>
      </w:pPr>
      <w:r w:rsidRPr="00576A90">
        <w:rPr>
          <w:rStyle w:val="NumeroAFNegritaCaracter"/>
        </w:rPr>
        <w:t>5</w:t>
      </w:r>
      <w:r>
        <w:t>. El 14 de febrero de 2024 tuvo entrada en el registro de este tribunal un escrito presentado por el procurador don Jose Ramón Couto Aguilar, en representación de doña Marta Cañadas Berrio, en el que desiste del recurso de amparo interpuesto, al haber accedido la Fiscalía Europea a su petición mediante decreto de 25 de octubre de 2023. En este decreto la Fiscalía fija como finanza únicamente la cantidad correspondiente a las responsabilidades civiles, esto es, la cantidad de 673 240,27 €, sin incluir las eventuales penas de multa y sin incrementar dicha cantidad en un tercio. La recurrente interesa, por tanto, que se dicte auto por el que se acuerde el archivo del presente proceso de amparo por desistimiento. El día 20 de febrero de 2024, tras ser requerido poder especial para el desistimiento a la representación procesal de la parte, la recurrente en amparo presenta un nuevo escrito, firmado el día 19, ratificando su voluntad personal de desistimiento.</w:t>
      </w:r>
    </w:p>
    <w:p w14:paraId="33FE4403" w14:textId="77777777" w:rsidR="00576A90" w:rsidRDefault="00576A90" w:rsidP="00576A90">
      <w:pPr>
        <w:pStyle w:val="TextoNormal"/>
      </w:pPr>
    </w:p>
    <w:p w14:paraId="2B53281B" w14:textId="30365AEB" w:rsidR="00576A90" w:rsidRDefault="00576A90" w:rsidP="00576A90">
      <w:pPr>
        <w:pStyle w:val="TextoNormal"/>
      </w:pPr>
      <w:r w:rsidRPr="00576A90">
        <w:rPr>
          <w:rStyle w:val="NumeroAFNegritaCaracter"/>
        </w:rPr>
        <w:t>6</w:t>
      </w:r>
      <w:r>
        <w:t>. Por diligencia de ordenación de 19 de febrero de 2024 se acordó dar traslado al Ministerio Fiscal por plazo de tres días para que alegara lo que estimara pertinente sobre el escrito de desistimiento presentado.</w:t>
      </w:r>
    </w:p>
    <w:p w14:paraId="3B9AC98B" w14:textId="77777777" w:rsidR="00576A90" w:rsidRDefault="00576A90" w:rsidP="00576A90">
      <w:pPr>
        <w:pStyle w:val="TextoNormal"/>
      </w:pPr>
    </w:p>
    <w:p w14:paraId="018F4AFA" w14:textId="2734F6D8" w:rsidR="00576A90" w:rsidRDefault="00576A90" w:rsidP="00576A90">
      <w:pPr>
        <w:pStyle w:val="TextoNormal"/>
      </w:pPr>
      <w:r w:rsidRPr="00576A90">
        <w:rPr>
          <w:rStyle w:val="NumeroAFNegritaCaracter"/>
        </w:rPr>
        <w:t>7</w:t>
      </w:r>
      <w:r>
        <w:t>. Por escrito presentado el 28 de febrero de 2024, la Abogacía del Estado solicita su personación en el presente recurso de amparo. Mediante diligencia de ordenación se la tiene por personada y se le da traslado del escrito de desistimiento con el objeto de que, en el plazo de tres días, alegue lo que considere pertinente a este respecto.</w:t>
      </w:r>
    </w:p>
    <w:p w14:paraId="1C84EC53" w14:textId="77777777" w:rsidR="00576A90" w:rsidRDefault="00576A90" w:rsidP="00576A90">
      <w:pPr>
        <w:pStyle w:val="TextoNormal"/>
      </w:pPr>
    </w:p>
    <w:p w14:paraId="48AA79D1" w14:textId="37F11A72" w:rsidR="00576A90" w:rsidRDefault="00576A90" w:rsidP="00576A90">
      <w:pPr>
        <w:pStyle w:val="TextoNormal"/>
      </w:pPr>
      <w:r w:rsidRPr="00576A90">
        <w:rPr>
          <w:rStyle w:val="NumeroAFNegritaCaracter"/>
        </w:rPr>
        <w:t>8</w:t>
      </w:r>
      <w:r>
        <w:t>. También el 28 de febrero se registra el escrito de alegaciones de la Fiscalía en relación con la pieza separada de medidas cautelares, interesando esta parte el archivo del incidente de suspensión por pérdida sobrevenida de su objeto y, subsidiariamente su desestimación por no estar acreditada la existencia de un perjuicio irreparable en los términos establecidos por la doctrina del Tribunal Constitucional.</w:t>
      </w:r>
    </w:p>
    <w:p w14:paraId="3893D06D" w14:textId="77777777" w:rsidR="00576A90" w:rsidRDefault="00576A90" w:rsidP="00576A90">
      <w:pPr>
        <w:pStyle w:val="TextoNormal"/>
      </w:pPr>
    </w:p>
    <w:p w14:paraId="0302E363" w14:textId="20D9EFF5" w:rsidR="00576A90" w:rsidRDefault="00576A90" w:rsidP="00576A90">
      <w:pPr>
        <w:pStyle w:val="TextoNormal"/>
      </w:pPr>
      <w:r w:rsidRPr="00576A90">
        <w:rPr>
          <w:rStyle w:val="NumeroAFNegritaCaracter"/>
        </w:rPr>
        <w:t>9</w:t>
      </w:r>
      <w:r>
        <w:t>. Mediante escrito registrado el 5 de marzo de 2024, el abogado del Estado suplica que se le tenga como no opuesto al desistimiento.</w:t>
      </w:r>
    </w:p>
    <w:p w14:paraId="581E69A7" w14:textId="77777777" w:rsidR="00576A90" w:rsidRDefault="00576A90" w:rsidP="00576A90">
      <w:pPr>
        <w:pStyle w:val="TextoNormal"/>
      </w:pPr>
    </w:p>
    <w:p w14:paraId="753B0794" w14:textId="77777777" w:rsidR="00576A90" w:rsidRDefault="00576A90" w:rsidP="00576A90">
      <w:pPr>
        <w:pStyle w:val="TextoNormal"/>
      </w:pPr>
      <w:r w:rsidRPr="00576A90">
        <w:rPr>
          <w:rStyle w:val="NumeroAFNegritaCaracter"/>
        </w:rPr>
        <w:t>10</w:t>
      </w:r>
      <w:r>
        <w:t>. Por escrito registrado el 15 de marzo de 2024, el Ministerio Fiscal expone sus alegaciones interesando que se acoja el desistimiento y se acuerde la terminación y archivo del procedimiento.</w:t>
      </w:r>
    </w:p>
    <w:p w14:paraId="07DA5777" w14:textId="77777777" w:rsidR="00576A90" w:rsidRDefault="00576A90" w:rsidP="00576A90">
      <w:pPr>
        <w:pStyle w:val="TextoNormal"/>
      </w:pPr>
    </w:p>
    <w:p w14:paraId="337128CA" w14:textId="77777777" w:rsidR="00576A90" w:rsidRDefault="00576A90" w:rsidP="00576A90">
      <w:pPr>
        <w:pStyle w:val="TextoNormal"/>
      </w:pPr>
      <w:r>
        <w:t>En el escrito de la Fiscalía se pone de relieve que, sin perjuicio de estimar la legitimidad del desistimiento de la recurrente por cumplir los presupuestos formales y haber acreditado que su causa es la de haber obtenido el restablecimiento del derecho fundamental que consideraba vulnerado, podría subsistir un interés general en la continuación del procedimiento para obtener un pronunciamiento de fondo.</w:t>
      </w:r>
    </w:p>
    <w:p w14:paraId="27CDFAF7" w14:textId="77777777" w:rsidR="00576A90" w:rsidRDefault="00576A90" w:rsidP="00576A90">
      <w:pPr>
        <w:pStyle w:val="TextoNormal"/>
      </w:pPr>
    </w:p>
    <w:p w14:paraId="026754B4" w14:textId="77777777" w:rsidR="00576A90" w:rsidRDefault="00576A90" w:rsidP="00576A90">
      <w:pPr>
        <w:pStyle w:val="TextoNormal"/>
      </w:pPr>
      <w:r>
        <w:t>Esa subsistencia se vincula con la causa de especial trascendencia incluida en la providencia de admisión y referida a que la posible vulneración del derecho fundamental que se denuncia podría proceder de la ley u otra disposición de carácter general [STC 155/2009, FJ 2 c)]. Argumenta el Ministerio Fiscal que el decreto de la Fiscalía Europea de 22 de mayo de 2023, al que se imputa de manera directa la vulneración del derecho a la presunción de inocencia (art. 24.2 CE) por exigir la prestación de finanza para garantizar la pena de multa, se sustenta en lo dispuesto en el art. 53 LOFE, que incluye las multas que pudieran imponerse en el procedimiento en el concepto de responsabilidades pecuniarias objeto de aseguramiento por la medida cautelar. Por tanto, existe una dimensión objetiva en el recurso de amparo, asociada a la depuración del ordenamiento, que podría considerarse como interés general prevalente para excepcionar la admisión de la voluntad de la recurrente de poner término al procedimiento.</w:t>
      </w:r>
    </w:p>
    <w:p w14:paraId="34B78127" w14:textId="77777777" w:rsidR="00576A90" w:rsidRDefault="00576A90" w:rsidP="00576A90">
      <w:pPr>
        <w:pStyle w:val="TextoNormal"/>
      </w:pPr>
    </w:p>
    <w:p w14:paraId="13540936" w14:textId="483D4C39" w:rsidR="00576A90" w:rsidRDefault="00576A90" w:rsidP="00576A90">
      <w:pPr>
        <w:pStyle w:val="TextoNormal"/>
      </w:pPr>
      <w:r>
        <w:t>No obstante estas consideraciones generales, la Fiscalía ante el Tribunal Constitucional termina por descartar la existencia del interés general prevalente, señalando que: (i) la STC 69/2023 ya se ha pronunciado sobre el alcance del derecho fundamental a la presunción de inocencia en relación con la exigencia de fianza para garantizar las penas de multa, por lo que no sería necesario elevar la autocuestión para pronunciarse sobre la vulneración del derecho fundamental que es objeto del recurso de amparo; (ii) no concurre el presupuesto del juicio de relevancia para que la Sala del Tribunal Constitucional se plantee elevar al Pleno la cuestión de inconstitucionalidad, ya que existiendo doctrina previa al respecto, la autocuestión sería consecuencia de haberse pronunciado ya el Tribunal sobre el alcance del derecho fundamental a la presunción de inocencia; (iii) aunque la terminación anticipada del procedimiento por desistimiento implica la subsistencia de la norma supuestamente inconstitucional del art. 53 de la Ley Orgánica 9/2021, la pérdida de oportunidad para declarar la inconstitucionalidad del precepto legal no supone una perturbación en el sistema constitucional, en la medida en que el Tribunal Constitucional ya ha fijado doctrina sobre el alcance del derecho en relación a la exigencia de fianza, habiendo sido restablecido el derecho en el caso concreto con el decreto de Fiscalía de 25 de octubre de 2023; (iv) la norma legal de la que trae causa la vulneración del derecho fundamental es de aplicación por el fiscal europeo delegado y la Fiscalía Europea nacional ha integrado la doctrina de la STC 69/2023, modificando el criterio anterior y emitiendo el nuevo decreto de 25 de octubre de 2023. Y lo anterior sin perjuicio de que una potencial aplicación futura del precepto reabriría la posibilidad de que el Tribunal se pronunciara sobre su inconstitucionalidad en el marco de un proceso constitucional que no hubiera perdido sobrevenidamente su objeto.</w:t>
      </w:r>
    </w:p>
    <w:p w14:paraId="4F0C893A" w14:textId="77777777" w:rsidR="00576A90" w:rsidRDefault="00576A90" w:rsidP="00576A90">
      <w:pPr>
        <w:pStyle w:val="TextoNormal"/>
      </w:pPr>
    </w:p>
    <w:p w14:paraId="193EF047" w14:textId="77777777" w:rsidR="00576A90" w:rsidRDefault="00576A90" w:rsidP="00576A90">
      <w:pPr>
        <w:pStyle w:val="TextoNormalNegritaCentrado"/>
        <w:keepNext/>
      </w:pPr>
      <w:r>
        <w:lastRenderedPageBreak/>
        <w:t>II. Fundamentos jurídicos</w:t>
      </w:r>
    </w:p>
    <w:p w14:paraId="2B8D0590" w14:textId="5C1B2A9F" w:rsidR="00576A90" w:rsidRDefault="00576A90" w:rsidP="00576A90">
      <w:pPr>
        <w:pStyle w:val="TextoNormalNegritaCentrado"/>
        <w:keepNext/>
      </w:pPr>
    </w:p>
    <w:p w14:paraId="4C624FC0" w14:textId="77777777" w:rsidR="00576A90" w:rsidRDefault="00576A90" w:rsidP="00576A90">
      <w:pPr>
        <w:pStyle w:val="TextoNormal"/>
      </w:pPr>
      <w:r w:rsidRPr="00576A90">
        <w:rPr>
          <w:rStyle w:val="NumeroAFNegritaCaracter"/>
        </w:rPr>
        <w:t>1</w:t>
      </w:r>
      <w:r>
        <w:t>. Constituye el objeto del presente auto resolver sobre la petición de desistimiento de la pretensión de amparo solicitada por la recurrente en sendos escritos registrados el 14 y el 20 de febrero de 2024.</w:t>
      </w:r>
    </w:p>
    <w:p w14:paraId="24E0C238" w14:textId="77777777" w:rsidR="00576A90" w:rsidRDefault="00576A90" w:rsidP="00576A90">
      <w:pPr>
        <w:pStyle w:val="TextoNormal"/>
      </w:pPr>
    </w:p>
    <w:p w14:paraId="59886F52" w14:textId="77777777" w:rsidR="00576A90" w:rsidRDefault="00576A90" w:rsidP="00576A90">
      <w:pPr>
        <w:pStyle w:val="TextoNormal"/>
      </w:pPr>
      <w:r>
        <w:t>En relación con el desistimiento, la Ley Orgánica del Tribunal Constitucional prevé en el art. 86.1 que la decisión al respecto adopte la forma de auto, aplicándose respecto de esta figura procesal, con carácter supletorio, los preceptos de la Ley Orgánica del Poder Judicial y de la Ley de enjuiciamiento civil (art. 80), que se refiere al desistimiento en los arts. 19.1, 20.2 y 3.</w:t>
      </w:r>
    </w:p>
    <w:p w14:paraId="04B059FE" w14:textId="77777777" w:rsidR="00576A90" w:rsidRDefault="00576A90" w:rsidP="00576A90">
      <w:pPr>
        <w:pStyle w:val="TextoNormal"/>
      </w:pPr>
    </w:p>
    <w:p w14:paraId="7528623A" w14:textId="77777777" w:rsidR="00576A90" w:rsidRDefault="00576A90" w:rsidP="00576A90">
      <w:pPr>
        <w:pStyle w:val="TextoNormal"/>
      </w:pPr>
      <w:r>
        <w:t>Por otra parte, este tribunal ha admitido que el desistimiento puede ser parcial, cuando afecta a alguna de las pretensiones en caso de pluralidad del objeto, y total, cuando se refiere a todas o a la única pretensión deducida en el proceso (SSTC 96/1990, de 24 de mayo, FJ 1, y 237/1992, de 15 de diciembre; AATC 33/1993, de 26 de enero; 173/1997, de 20 de mayo; 79/2008, de 11 de marzo, y 288/2013, de 17 de diciembre, entre otros muchos). Así pues, puede estimarse como forma admitida para poner fin a un proceso de amparo, total o parcialmente, la manifestación de la voluntad de desistir por parte de su promotor, siempre que las partes personadas presten su conformidad al desistimiento o no se opusiere a él dentro del plazo conferido a tal efecto, tal y como se dispone en el art. 20.3 de la Ley de enjuiciamiento civil.</w:t>
      </w:r>
    </w:p>
    <w:p w14:paraId="13D4FF0C" w14:textId="77777777" w:rsidR="00576A90" w:rsidRDefault="00576A90" w:rsidP="00576A90">
      <w:pPr>
        <w:pStyle w:val="TextoNormal"/>
      </w:pPr>
    </w:p>
    <w:p w14:paraId="7B0473BE" w14:textId="2929B796" w:rsidR="00576A90" w:rsidRDefault="00576A90" w:rsidP="00576A90">
      <w:pPr>
        <w:pStyle w:val="TextoNormal"/>
      </w:pPr>
      <w:r>
        <w:t>En el caso presente la pretensión de desistimiento analizada aparece revestida de los requisitos legales, al constar la voluntad personal expresa de desistimiento ratificada por la recurrente en amparo en escrito registrado el 20 de febrero de 2024. Además, no han mostrado oposición al desistimiento ni el abogado del Estado, ni el Ministerio Fiscal, de lo que se deduce que no genera perjuicio alguno a las partes una eventual estimación del desistimiento de la recurrente en amparo.</w:t>
      </w:r>
    </w:p>
    <w:p w14:paraId="578E57BD" w14:textId="77777777" w:rsidR="00576A90" w:rsidRDefault="00576A90" w:rsidP="00576A90">
      <w:pPr>
        <w:pStyle w:val="TextoNormal"/>
      </w:pPr>
    </w:p>
    <w:p w14:paraId="5328D0E6" w14:textId="77777777" w:rsidR="00576A90" w:rsidRDefault="00576A90" w:rsidP="00576A90">
      <w:pPr>
        <w:pStyle w:val="TextoNormal"/>
      </w:pPr>
      <w:r w:rsidRPr="00576A90">
        <w:rPr>
          <w:rStyle w:val="NumeroAFNegritaCaracter"/>
        </w:rPr>
        <w:t>2</w:t>
      </w:r>
      <w:r>
        <w:t>. Cuestión más compleja es la referida a la persistencia de un interés general o público que pudiera condicionar la aceptación del desistimiento.</w:t>
      </w:r>
    </w:p>
    <w:p w14:paraId="1C5B4379" w14:textId="77777777" w:rsidR="00576A90" w:rsidRDefault="00576A90" w:rsidP="00576A90">
      <w:pPr>
        <w:pStyle w:val="TextoNormal"/>
      </w:pPr>
    </w:p>
    <w:p w14:paraId="7FA6349A" w14:textId="77777777" w:rsidR="00576A90" w:rsidRDefault="00576A90" w:rsidP="00576A90">
      <w:pPr>
        <w:pStyle w:val="TextoNormal"/>
      </w:pPr>
      <w:r>
        <w:t>Si bien la regla general por la que se guía nuestra actuación es la de atender la solicitud de quien interpone el recurso de amparo, titular del interés cuya actuación sirve de soporte a su legitimación en el proceso (ATC 34/1993, de 26 de enero, FJ 2, entre otros), inspirándonos en que la jurisdicción de amparo es una jurisdicción rogada (ATC 89/2013, de 6 de mayo, FJ 2), esta regla admite excepciones, de modo que el Tribunal no queda vinculado de forma absoluta por la voluntad unilateral de la parte que formula el desistimiento (STC 362/1993, de 13 de diciembre, entre otras).</w:t>
      </w:r>
    </w:p>
    <w:p w14:paraId="0E084489" w14:textId="77777777" w:rsidR="00576A90" w:rsidRDefault="00576A90" w:rsidP="00576A90">
      <w:pPr>
        <w:pStyle w:val="TextoNormal"/>
      </w:pPr>
    </w:p>
    <w:p w14:paraId="703E6C3F" w14:textId="77777777" w:rsidR="00576A90" w:rsidRDefault="00576A90" w:rsidP="00576A90">
      <w:pPr>
        <w:pStyle w:val="TextoNormal"/>
      </w:pPr>
      <w:r>
        <w:t>Algunas de esas excepciones, como argumentamos en el ATC 89/2013, “ya fueron acogidas en algunas resoluciones anteriores a la Ley Orgánica 6/2007, atendiendo a la trascendencia objetiva del contenido del recurso en cuestión. Ahora bien, la introducción de la exigencia de la especial trascendencia constitucional, como requisito ineludible de admisión del recurso de amparo, dota de mayor relevancia a la incidencia de este aspecto a la hora de adoptar una decisión sobre la aceptación de un desistimiento. La acentuada di</w:t>
      </w:r>
      <w:r>
        <w:lastRenderedPageBreak/>
        <w:t>mensión objetiva del recurso de amparo a partir de aquella reforma, tendrá su reflejo inevitablemente en la valoración de la concurrencia de un interés que trascienda al propio de las partes” (FJ 2).</w:t>
      </w:r>
    </w:p>
    <w:p w14:paraId="0D4130A2" w14:textId="77777777" w:rsidR="00576A90" w:rsidRDefault="00576A90" w:rsidP="00576A90">
      <w:pPr>
        <w:pStyle w:val="TextoNormal"/>
      </w:pPr>
    </w:p>
    <w:p w14:paraId="53976B4D" w14:textId="1347CFA1" w:rsidR="00576A90" w:rsidRDefault="00576A90" w:rsidP="00576A90">
      <w:pPr>
        <w:pStyle w:val="TextoNormal"/>
      </w:pPr>
      <w:r>
        <w:t>Y en este supuesto excepcional nos encontramos con el presente recurso de amparo. Tal y como sostiene la Fiscalía en su escrito de alegaciones, el proceso actual posee una dimensión objetiva reforzada, en la medida en que una de las razones que justificó su admisión a trámite fue la posibilidad de que la lesión del derecho a la presunción de inocencia (</w:t>
      </w:r>
      <w:r w:rsidRPr="00576A90">
        <w:rPr>
          <w:i/>
        </w:rPr>
        <w:t>ex</w:t>
      </w:r>
      <w:r>
        <w:t xml:space="preserve"> art. 24.2 CE) pudiera proceder no tanto de la actuación de la Fiscalía Europea, cuanto de la norma en la que dicha Fiscalía sustentaba dicha actuación, esto es, en el art. 53 de la Ley Orgánica 9/2021, de 1 de julio, de aplicación del Reglamento (UE) 2017/1939 del Consejo, de 12 de octubre de 2017, por el que se establece una cooperación reforzada para la creación de la Fiscalía Europea.</w:t>
      </w:r>
    </w:p>
    <w:p w14:paraId="0B23D4D9" w14:textId="77777777" w:rsidR="00576A90" w:rsidRDefault="00576A90" w:rsidP="00576A90">
      <w:pPr>
        <w:pStyle w:val="TextoNormal"/>
      </w:pPr>
    </w:p>
    <w:p w14:paraId="37BB24FC" w14:textId="77777777" w:rsidR="00576A90" w:rsidRDefault="00576A90" w:rsidP="00576A90">
      <w:pPr>
        <w:pStyle w:val="TextoNormal"/>
      </w:pPr>
      <w:r w:rsidRPr="00576A90">
        <w:rPr>
          <w:rStyle w:val="NumeroAFNegritaCaracter"/>
        </w:rPr>
        <w:t>3</w:t>
      </w:r>
      <w:r>
        <w:t>. El art. 53 de la Ley Orgánica 9/2021 establece, al referirse a las medidas de aseguramiento de las responsabilidades pecuniarias, que “[d]esde que resulten indicios racionales de la comisión de un hecho delictivo por persona determinada, el fiscal europeo delegado, de oficio o a instancia de parte, podrá adoptar mediante decreto las medidas cautelares dirigidas al aseguramiento de todas las responsabilidades pecuniarias que puedan derivarse del mismo, incluidas las responsabilidades civiles, las multas y las costas, así como del decomiso que en el futuro pueda acordarse respecto de los efectos, instrumentos y productos del delito”.</w:t>
      </w:r>
    </w:p>
    <w:p w14:paraId="47D9EE6E" w14:textId="77777777" w:rsidR="00576A90" w:rsidRDefault="00576A90" w:rsidP="00576A90">
      <w:pPr>
        <w:pStyle w:val="TextoNormal"/>
      </w:pPr>
    </w:p>
    <w:p w14:paraId="6C1E2E08" w14:textId="77777777" w:rsidR="00576A90" w:rsidRDefault="00576A90" w:rsidP="00576A90">
      <w:pPr>
        <w:pStyle w:val="TextoNormal"/>
      </w:pPr>
      <w:r>
        <w:t>Y la duda de constitucionalidad deriva de la interpretación que hace la STC 69/2023, de 19 de junio, respecto de la integración de la multa dentro de la noción de responsabilidades pecuniarias a que se refiere el art. 589 de la Ley de enjuiciamiento criminal. Este último precepto establece que “[c]uando del sumario resulten indicios de criminalidad contra una persona, se mandará por el juez que preste fianza bastante para asegurar las responsabilidades pecuniarias que en definitiva puedan declararse procedentes, decretándose en el mismo auto el embargo de bienes suficientes para cubrir dichas responsabilidades si no prestare la fianza”. Al no definir este artículo qué conceptos incluyen las responsabilidades pecuniarias, el órgano judicial de la instancia, en el procedimiento previo a la interposición del recurso de amparo que resuelve la STC 69/2023, deduce de la prelación de pagos a efectuar por el penado o responsable civil subsidiario, contenida en el art. 126.1.5 del Código penal, que la multa también está entre los conceptos incluidos en las responsabilidades pecuniarias cautelares. Pero la sentencia de amparo corrige esta interpretación judicial afirmando que la misma vulnera el art. 24.2 CE, porque la multa presenta diferencias significativas con el resto de partidas que quedarían comprendidas dentro del concepto de responsabilidades pecuniarias, y esas diferencias justificarían la exclusión de la multa de esa noción, porque “la instructora, al ponderar la posible condena del acusado para fijar el importe de la fianza, cuantificando esta en atención a la pena de multa interesada por la acusación particular, cuyo pago obliga a adelantar al acusado causando una restricción temporal de poder de disposición de ese último sobre sus bienes, anticipa una pena que no ha sido declarada en sentencia y vulnera, de este modo, la presunción de inocencia del recurrente”.</w:t>
      </w:r>
    </w:p>
    <w:p w14:paraId="0662C0B8" w14:textId="77777777" w:rsidR="00576A90" w:rsidRDefault="00576A90" w:rsidP="00576A90">
      <w:pPr>
        <w:pStyle w:val="TextoNormal"/>
      </w:pPr>
    </w:p>
    <w:p w14:paraId="114D1F6C" w14:textId="27851483" w:rsidR="00576A90" w:rsidRDefault="00576A90" w:rsidP="00576A90">
      <w:pPr>
        <w:pStyle w:val="TextoNormal"/>
      </w:pPr>
      <w:r>
        <w:t xml:space="preserve">De esta jurisprudencia se derivaría que, al incluir el art. 53 de la Ley Orgánica 9/2021 la multa entre los conceptos a integrar en la definición de las medidas cautelares dirigidas </w:t>
      </w:r>
      <w:r>
        <w:lastRenderedPageBreak/>
        <w:t>al aseguramiento de todas las responsabilidades pecuniarias, este también sería contrario al art. 24.2 CE. Al ser este precepto el que sustentaba la fijación de la finanza contestada en el proceso de instancia, su eventual inconstitucionalidad condicionaría el mantenimiento de la fianza o su modificación, que es lo solicitado precisamente por la parte recurrente en amparo.</w:t>
      </w:r>
    </w:p>
    <w:p w14:paraId="797B6701" w14:textId="77777777" w:rsidR="00576A90" w:rsidRDefault="00576A90" w:rsidP="00576A90">
      <w:pPr>
        <w:pStyle w:val="TextoNormal"/>
      </w:pPr>
    </w:p>
    <w:p w14:paraId="55EEAD94" w14:textId="77777777" w:rsidR="00576A90" w:rsidRDefault="00576A90" w:rsidP="00576A90">
      <w:pPr>
        <w:pStyle w:val="TextoNormal"/>
      </w:pPr>
      <w:r w:rsidRPr="00576A90">
        <w:rPr>
          <w:rStyle w:val="NumeroAFNegritaCaracter"/>
        </w:rPr>
        <w:t>4</w:t>
      </w:r>
      <w:r>
        <w:t>. El interés objetivo en depurar el ordenamiento de normas contrarias a la Constitución, podría justificar el rechazo del desistimiento, pero sería conveniente que la continuación del proceso fuera propuesta por quien ostentase la debida legitimación al respecto (ATC 89/2013, FJ 3), es decir, por el Ministerio Fiscal, a quien “incumbe la defensa de la legalidad en los procesos de amparo, la defensa de los derechos de los ciudadanos y del interés público tutelado por la ley, según el art. 47.2 LOTC”. En el presente recurso de amparo el fiscal ante el Tribunal Constitucional no se opone a la terminación del recurso de amparo por aceptación del desistimiento y ello sobre la base de los argumentos expuestos en los antecedentes, argumentos que esta Sala asume en el siguiente sentido.</w:t>
      </w:r>
    </w:p>
    <w:p w14:paraId="6D3412E4" w14:textId="77777777" w:rsidR="00576A90" w:rsidRDefault="00576A90" w:rsidP="00576A90">
      <w:pPr>
        <w:pStyle w:val="TextoNormal"/>
      </w:pPr>
    </w:p>
    <w:p w14:paraId="19C51FB4" w14:textId="77777777" w:rsidR="00576A90" w:rsidRDefault="00576A90" w:rsidP="00576A90">
      <w:pPr>
        <w:pStyle w:val="TextoNormal"/>
      </w:pPr>
      <w:r>
        <w:t>La satisfacción procesal de la pretensión material del recurso de amparo, esto es la modificación de la cuantía de la fianza determinada por decreto del fiscal europeo pone de manifiesto que capacidad de la Fiscalía para adaptar sus decretos a la jurisprudencia constitucional sin necesidad de modificar la norma de cobertura.</w:t>
      </w:r>
    </w:p>
    <w:p w14:paraId="40634DD9" w14:textId="77777777" w:rsidR="00576A90" w:rsidRDefault="00576A90" w:rsidP="00576A90">
      <w:pPr>
        <w:pStyle w:val="TextoNormal"/>
      </w:pPr>
    </w:p>
    <w:p w14:paraId="3606B5AC" w14:textId="64638F84" w:rsidR="00576A90" w:rsidRDefault="00576A90" w:rsidP="00576A90">
      <w:pPr>
        <w:pStyle w:val="TextoNormal"/>
      </w:pPr>
      <w:r>
        <w:t>El 22 de mayo de 2023 se dicta el primer decreto del fiscal fijando la fianza controvertida. El 25 de julio se publica en el “Boletín Oficial del Estado” la STC 69/2023, aprobada el día 19 de junio. Y el 25 de octubre de 2023, tras solicitud de modificación del decreto por parte de la representación procesal de la recurrente en amparo, la Fiscalía Europea, aún sin citar la STC 69/2023, excluye la multa de las responsabilidades patrimoniales que determinan la fijación de la fianza, reduciendo la misma en la cuantía solicitada. Por tanto, se deduce de la descripción cronológica de los hechos que la Fiscalía Europea puede modular la cuantía de la fianza solicitada adaptándose a la jurisprudencia constitucional porque el marco normativo de cobertura, esto es el art. 53 Ley Orgánica 9/2021 le da margen suficiente para ello. Esta circunstancia relativiza en gran medida el alcance objetivo del recurso de amparo al que se hacía previa referencia.</w:t>
      </w:r>
    </w:p>
    <w:p w14:paraId="56FC841E" w14:textId="77777777" w:rsidR="00576A90" w:rsidRDefault="00576A90" w:rsidP="00576A90">
      <w:pPr>
        <w:pStyle w:val="TextoNormal"/>
      </w:pPr>
    </w:p>
    <w:p w14:paraId="7E9DAA96" w14:textId="77777777" w:rsidR="00576A90" w:rsidRDefault="00576A90" w:rsidP="00576A90">
      <w:pPr>
        <w:pStyle w:val="TextoNormal"/>
      </w:pPr>
      <w:r w:rsidRPr="00576A90">
        <w:rPr>
          <w:rStyle w:val="NumeroAFNegritaCaracter"/>
        </w:rPr>
        <w:t>5</w:t>
      </w:r>
      <w:r>
        <w:t>. Como argumento adicional que sustenta la aceptación del desistimiento puede acudirse a la naturaleza y correlación entre el recurso de amparo y la cuestión interna de constitucionalidad.</w:t>
      </w:r>
    </w:p>
    <w:p w14:paraId="635634AF" w14:textId="77777777" w:rsidR="00576A90" w:rsidRDefault="00576A90" w:rsidP="00576A90">
      <w:pPr>
        <w:pStyle w:val="TextoNormal"/>
      </w:pPr>
    </w:p>
    <w:p w14:paraId="7D1546BF" w14:textId="77777777" w:rsidR="00576A90" w:rsidRDefault="00576A90" w:rsidP="00576A90">
      <w:pPr>
        <w:pStyle w:val="TextoNormal"/>
      </w:pPr>
      <w:r>
        <w:t xml:space="preserve">Así, el recurso de amparo no es el proceso constitucional propicio para la depuración del ordenamiento jurídico de las fuentes legales contrarias al texto constitucional. Por esa razón en legislador orgánico previó en el art. 55.2 LOTC la posibilidad de conectar el recurso de amparo con uno de los procesos de control de constitucionalidad de las normas, concretamente con la cuestión de inconstitucionalidad planteada por jueces y tribunales, en el bien entendido de que el Tribunal Constitucional es juez de garantías en el proceso de amparo. Ahora bien, para respetar la naturaleza procesal de la cuestión de inconstitucionalidad y del recurso de amparo, es preciso que, para pasar del amparo a la cuestión se den las siguientes condiciones procesales: “en el supuesto de que el recurso de amparo debiera ser estimado porque, a juicio de la Sala o, en su caso, la Sección, la ley aplicada lesione derechos fundamentales o libertades públicas, se elevará la cuestión al Pleno con </w:t>
      </w:r>
      <w:r>
        <w:lastRenderedPageBreak/>
        <w:t>suspensión del plazo para dictar sentencia, de conformidad con lo prevenido en los artículos 35 y siguientes”. Es decir, es presupuesto del planteamiento de la cuestión de inconstitucionalidad que el proceso de amparo esté en condiciones procesales de ser eventualmente estimado.</w:t>
      </w:r>
    </w:p>
    <w:p w14:paraId="4D35350B" w14:textId="77777777" w:rsidR="00576A90" w:rsidRDefault="00576A90" w:rsidP="00576A90">
      <w:pPr>
        <w:pStyle w:val="TextoNormal"/>
      </w:pPr>
    </w:p>
    <w:p w14:paraId="5CA9F511" w14:textId="77777777" w:rsidR="00576A90" w:rsidRDefault="00576A90" w:rsidP="00576A90">
      <w:pPr>
        <w:pStyle w:val="TextoNormal"/>
      </w:pPr>
      <w:r>
        <w:t xml:space="preserve">Como se sostuvo en la STC 149/2000, de 1 de junio, “las especialidades de la denominada autocuestión o cuestión interna de inconstitucionalidad no pueden hacer olvidar que de la propia dicción del art. 55.2 LOTC se desprende su carácter de procedimiento de control concreto, lo que obligaría al Pleno a ceñir su examen en el perímetro del debate trabado en el recurso de amparo previo”. Esta afirmación se completa, tras la reforma del procedimiento por la Ley Orgánica 6/2007, de 24 de mayo, con la contenida en el ATC 3/2019, de 28 de enero, donde se sostiene que “la cuestión de inconstitucionalidad, incluso en la modalidad de cuestión interna o autocuestión que reconoce el artículo 55.2 LOTC, en relación con los artículos 35 y siguientes de esta última, no puede calificarse como un proceso de control abstracto sobre la constitucionalidad de una norma legal, sino que el fallo de la sentencia que recayere ha de tener siempre una proyección concreta sobre el resultado del proceso </w:t>
      </w:r>
      <w:r w:rsidRPr="00576A90">
        <w:rPr>
          <w:i/>
        </w:rPr>
        <w:t>a quo</w:t>
      </w:r>
      <w:r>
        <w:t xml:space="preserve"> (por todas, STC 55/2017, de 11 de mayo, FJ 2, y las que ahí se citan). Lo que se extiende precisamente en los casos del artículo 55.2 LOTC, al proceso de amparo en el que se plantea dicha iniciativa”.</w:t>
      </w:r>
    </w:p>
    <w:p w14:paraId="422C92D2" w14:textId="77777777" w:rsidR="00576A90" w:rsidRDefault="00576A90" w:rsidP="00576A90">
      <w:pPr>
        <w:pStyle w:val="TextoNormal"/>
      </w:pPr>
    </w:p>
    <w:p w14:paraId="3942ED5F" w14:textId="77777777" w:rsidR="00576A90" w:rsidRDefault="00576A90" w:rsidP="00576A90">
      <w:pPr>
        <w:pStyle w:val="TextoNormal"/>
      </w:pPr>
      <w:r>
        <w:t>Por los motivos expuestos, carecería de sentido elevar al Pleno una cuestión de inconstitucionalidad si la sentencia que este dictase no iba a poder ser aplicada a la resolución del correspondiente recurso de amparo, al tener que inadmitirse este último por haber decaído su objeto gracias a la satisfacción procesal del mismo. Dicho en otros términos, en el supuesto que nos ocupa, el recurso de amparo no podría estar, en ninguna circunstancia, en condiciones de ser estimado, porque se ha producido la satisfacción de la pretensión en el mismo proceso de la instancia.</w:t>
      </w:r>
    </w:p>
    <w:p w14:paraId="276787A6" w14:textId="77777777" w:rsidR="00576A90" w:rsidRDefault="00576A90" w:rsidP="00576A90">
      <w:pPr>
        <w:pStyle w:val="TextoNormal"/>
      </w:pPr>
    </w:p>
    <w:p w14:paraId="39A53BAD" w14:textId="281ABC57" w:rsidR="00576A90" w:rsidRDefault="00576A90" w:rsidP="00576A90">
      <w:pPr>
        <w:pStyle w:val="TextoNormal"/>
      </w:pPr>
      <w:r>
        <w:t>Por tanto, no se darían las condiciones básicas para elevar la cuestión de inconstitucionalidad, de modo que el interés objetivo del amparo habría decaído, y con él la persistencia de un interés general o público que pudiera condicionar la aceptación del desistimiento.</w:t>
      </w:r>
    </w:p>
    <w:p w14:paraId="47E18705" w14:textId="77777777" w:rsidR="00576A90" w:rsidRDefault="00576A90" w:rsidP="00576A90">
      <w:pPr>
        <w:pStyle w:val="TextoNormal"/>
      </w:pPr>
    </w:p>
    <w:p w14:paraId="084176E7" w14:textId="77777777" w:rsidR="00576A90" w:rsidRDefault="00576A90" w:rsidP="00576A90">
      <w:pPr>
        <w:pStyle w:val="TextoNormal"/>
      </w:pPr>
      <w:r>
        <w:t>Por lo expuesto, la Sala</w:t>
      </w:r>
    </w:p>
    <w:p w14:paraId="1BFDE48D" w14:textId="7635C7DE" w:rsidR="00576A90" w:rsidRDefault="00576A90" w:rsidP="00576A90">
      <w:pPr>
        <w:pStyle w:val="TextoNormal"/>
      </w:pPr>
    </w:p>
    <w:p w14:paraId="2A2BC6FD" w14:textId="77777777" w:rsidR="00576A90" w:rsidRDefault="00576A90" w:rsidP="00576A90">
      <w:pPr>
        <w:pStyle w:val="TextoNormalCentrado"/>
      </w:pPr>
      <w:r>
        <w:t>ACUERDA</w:t>
      </w:r>
    </w:p>
    <w:p w14:paraId="7E5BF033" w14:textId="281AE0B8" w:rsidR="00576A90" w:rsidRDefault="00576A90" w:rsidP="00576A90">
      <w:pPr>
        <w:pStyle w:val="TextoNormalCentrado"/>
      </w:pPr>
    </w:p>
    <w:p w14:paraId="0B13C266" w14:textId="10158405" w:rsidR="00576A90" w:rsidRDefault="00576A90" w:rsidP="00576A90">
      <w:pPr>
        <w:pStyle w:val="TextoNormal"/>
      </w:pPr>
      <w:r>
        <w:t>Tener por apartada y desistida del presente recurso de amparo a doña Marta Cañadas Berrio, debiendo tal desistimiento surtir plenos efectos. Procédase al archivo de las actuaciones.</w:t>
      </w:r>
    </w:p>
    <w:p w14:paraId="702B79F9" w14:textId="77777777" w:rsidR="00576A90" w:rsidRDefault="00576A90" w:rsidP="00576A90">
      <w:pPr>
        <w:pStyle w:val="TextoNormal"/>
      </w:pPr>
    </w:p>
    <w:p w14:paraId="2D793755" w14:textId="77777777" w:rsidR="00576A90" w:rsidRDefault="00576A90" w:rsidP="00576A90">
      <w:pPr>
        <w:pStyle w:val="TextoNormal"/>
      </w:pPr>
      <w:r>
        <w:t>Madrid, a veinte de mayo de dos mil veinticuatro.</w:t>
      </w:r>
    </w:p>
    <w:p w14:paraId="7626A390" w14:textId="435DBAA8" w:rsidR="00576A90" w:rsidRDefault="00576A90">
      <w:pPr>
        <w:spacing w:after="160" w:line="259" w:lineRule="auto"/>
        <w:rPr>
          <w:rFonts w:ascii="Times New Roman" w:eastAsia="Times New Roman" w:hAnsi="Times New Roman" w:cs="Times New Roman"/>
          <w:sz w:val="24"/>
          <w:szCs w:val="24"/>
          <w:lang w:eastAsia="es-ES"/>
        </w:rPr>
      </w:pPr>
      <w:r>
        <w:br w:type="page"/>
      </w:r>
    </w:p>
    <w:p w14:paraId="5247AB7C" w14:textId="77777777" w:rsidR="00576A90" w:rsidRDefault="00576A90" w:rsidP="00576A90">
      <w:pPr>
        <w:pStyle w:val="TtuloResolucin"/>
      </w:pPr>
      <w:bookmarkStart w:id="145" w:name="AUTO_2024_50"/>
      <w:r>
        <w:lastRenderedPageBreak/>
        <w:t>AUTO 50/2024, de 21 de mayo de 2024</w:t>
      </w:r>
    </w:p>
    <w:bookmarkEnd w:id="145"/>
    <w:p w14:paraId="46601EC9" w14:textId="77777777" w:rsidR="00576A90" w:rsidRDefault="00576A90" w:rsidP="00576A90">
      <w:pPr>
        <w:pStyle w:val="TtuloResolucin"/>
      </w:pPr>
      <w:r>
        <w:t>Pleno</w:t>
      </w:r>
    </w:p>
    <w:p w14:paraId="1AACFB65" w14:textId="77777777" w:rsidR="00576A90" w:rsidRDefault="00576A90" w:rsidP="00576A90">
      <w:pPr>
        <w:pStyle w:val="TextoNormalCentrado"/>
      </w:pPr>
      <w:r>
        <w:t>ECLI:ES:TC:2024:50A</w:t>
      </w:r>
    </w:p>
    <w:p w14:paraId="7487EBF8" w14:textId="1D7488B3" w:rsidR="00576A90" w:rsidRDefault="00576A90" w:rsidP="00576A90">
      <w:pPr>
        <w:pStyle w:val="TextoNormalCentrado"/>
      </w:pPr>
    </w:p>
    <w:p w14:paraId="04D38FA5" w14:textId="77777777" w:rsidR="00576A90" w:rsidRDefault="00576A90" w:rsidP="00576A90">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y don Juan Carlos Campo Moreno.</w:t>
      </w:r>
    </w:p>
    <w:p w14:paraId="182C805B" w14:textId="363405E9" w:rsidR="00576A90" w:rsidRDefault="00576A90" w:rsidP="00576A90">
      <w:pPr>
        <w:pStyle w:val="SntesisDescriptiva"/>
      </w:pPr>
    </w:p>
    <w:p w14:paraId="45A60493" w14:textId="77777777" w:rsidR="00576A90" w:rsidRDefault="00576A90" w:rsidP="00576A90">
      <w:pPr>
        <w:pStyle w:val="SntesisDescriptiva"/>
      </w:pPr>
      <w:r>
        <w:t>Acepta una abstención en la cuestión de inconstitucionalidad 2796-2024, planteada por la Sala de lo Contencioso-Administrativo del Tribunal Superior de Justicia de Castilla-La Mancha con sede en Albacete, en relación con las disposiciones adicionales sexta y octava de la Ley 20/2021, de 28 de diciembre, de medidas urgentes para la reducción de la temporalidad en el empleo público.</w:t>
      </w:r>
    </w:p>
    <w:p w14:paraId="3AB49E27" w14:textId="070AD550" w:rsidR="00576A90" w:rsidRDefault="00576A90" w:rsidP="00576A90">
      <w:pPr>
        <w:pStyle w:val="SntesisDescriptiva"/>
      </w:pPr>
    </w:p>
    <w:p w14:paraId="628BA524" w14:textId="77777777" w:rsidR="00576A90" w:rsidRDefault="00576A90" w:rsidP="00576A90">
      <w:pPr>
        <w:pStyle w:val="SntesisDescriptiva"/>
      </w:pPr>
    </w:p>
    <w:p w14:paraId="39859B87" w14:textId="77777777" w:rsidR="00576A90" w:rsidRDefault="00576A90" w:rsidP="00576A90">
      <w:pPr>
        <w:pStyle w:val="SntesisDescriptiva"/>
      </w:pPr>
    </w:p>
    <w:p w14:paraId="22A9141E" w14:textId="77777777" w:rsidR="00576A90" w:rsidRDefault="00576A90" w:rsidP="00576A90">
      <w:pPr>
        <w:pStyle w:val="TextoNormalNegritaCentrado"/>
      </w:pPr>
      <w:r>
        <w:t>AUTO</w:t>
      </w:r>
    </w:p>
    <w:p w14:paraId="327AF131" w14:textId="3183A6F7" w:rsidR="00576A90" w:rsidRDefault="00576A90" w:rsidP="00576A90">
      <w:pPr>
        <w:pStyle w:val="TextoNormalNegritaCentrado"/>
      </w:pPr>
    </w:p>
    <w:p w14:paraId="6E80630C" w14:textId="77777777" w:rsidR="00576A90" w:rsidRDefault="00576A90" w:rsidP="00576A90">
      <w:pPr>
        <w:pStyle w:val="TextoNormalNegritaCentrado"/>
        <w:keepNext/>
      </w:pPr>
      <w:r>
        <w:t>I. Antecedentes</w:t>
      </w:r>
    </w:p>
    <w:p w14:paraId="4D914C79" w14:textId="5A2F9552" w:rsidR="00576A90" w:rsidRDefault="00576A90" w:rsidP="00576A90">
      <w:pPr>
        <w:pStyle w:val="TextoNormalNegritaCentrado"/>
        <w:keepNext/>
      </w:pPr>
    </w:p>
    <w:p w14:paraId="725EACF3" w14:textId="54AA4AAD" w:rsidR="00576A90" w:rsidRDefault="00576A90" w:rsidP="00576A90">
      <w:pPr>
        <w:pStyle w:val="TextoNormal"/>
      </w:pPr>
      <w:r w:rsidRPr="00576A90">
        <w:rPr>
          <w:rStyle w:val="NumeroAFNegritaCaracter"/>
        </w:rPr>
        <w:t>1</w:t>
      </w:r>
      <w:r>
        <w:t>. Por escrito fechado el día 16 de mayo de 2024, el magistrado don Juan Carlos Campo Moreno comunicó al señor presidente, a los efectos oportunos, su voluntad de abstenerse de intervenir en el conocimiento de la cuestión de inconstitucionalidad núm. 2796-2024.</w:t>
      </w:r>
    </w:p>
    <w:p w14:paraId="24EB3799" w14:textId="77777777" w:rsidR="00576A90" w:rsidRDefault="00576A90" w:rsidP="00576A90">
      <w:pPr>
        <w:pStyle w:val="TextoNormal"/>
      </w:pPr>
    </w:p>
    <w:p w14:paraId="726B6C5D" w14:textId="299DFC49" w:rsidR="00576A90" w:rsidRDefault="00576A90" w:rsidP="00576A90">
      <w:pPr>
        <w:pStyle w:val="TextoNormal"/>
      </w:pPr>
      <w:r w:rsidRPr="00576A90">
        <w:rPr>
          <w:rStyle w:val="NumeroAFNegritaCaracter"/>
        </w:rPr>
        <w:t>2</w:t>
      </w:r>
      <w:r>
        <w:t>. La solicitud de abstención se vincula a la participación del magistrado, en su anterior condición de ministro de Justicia, en el Consejo de Ministros de 6 de julio de 2021, por el que se aprobó el Real Decreto-ley 14/2021, de 6 de julio, de medidas urgentes para la reducción de la temporalidad en el empleo público, que dio lugar, tras su tramitación como proyecto de ley, a la Ley 20/2021, de 28 de diciembre, de igual denominación, que es objeto de la cuestión de inconstitucionalidad planteada.</w:t>
      </w:r>
    </w:p>
    <w:p w14:paraId="49A4B4B6" w14:textId="77777777" w:rsidR="00576A90" w:rsidRDefault="00576A90" w:rsidP="00576A90">
      <w:pPr>
        <w:pStyle w:val="TextoNormal"/>
      </w:pPr>
    </w:p>
    <w:p w14:paraId="4A8CFC4F" w14:textId="77777777" w:rsidR="00576A90" w:rsidRDefault="00576A90" w:rsidP="00576A90">
      <w:pPr>
        <w:pStyle w:val="TextoNormalNegritaCentrado"/>
        <w:keepNext/>
      </w:pPr>
      <w:r>
        <w:t>II. Fundamentos jurídicos</w:t>
      </w:r>
    </w:p>
    <w:p w14:paraId="27825DEC" w14:textId="4F59FEB3" w:rsidR="00576A90" w:rsidRDefault="00576A90" w:rsidP="00576A90">
      <w:pPr>
        <w:pStyle w:val="TextoNormalNegritaCentrado"/>
        <w:keepNext/>
      </w:pPr>
    </w:p>
    <w:p w14:paraId="1107E870" w14:textId="0C84CC71" w:rsidR="00576A90" w:rsidRDefault="00576A90" w:rsidP="00576A90">
      <w:pPr>
        <w:pStyle w:val="TextoNormal"/>
      </w:pPr>
      <w:r w:rsidRPr="00576A90">
        <w:rPr>
          <w:rStyle w:val="TextoNormalNegritaCaracter"/>
        </w:rPr>
        <w:t xml:space="preserve">Único. </w:t>
      </w:r>
      <w:r>
        <w:t>Visto el contenido de la comunicación efectuada por el magistrado don Juan Carlos Campo Moreno, en virtud de lo previsto en los arts. 80 de la Ley Orgánica del Tribunal Constitucional (LOTC) y 221.4 de la Ley Orgánica del Poder Judicial (LOPJ), se estima justificada la causa de la abstención formulada, pues la intervención del magistrado, en su anterior condición de ministro de Justicia, en el Consejo de Ministros de 6 de julio de 2021, integra, de acuerdo con los arts. 2, 5, 18, 22 y 24 de la Ley 50/1997, de 27 de noviembre, del Gobierno, la causa de abstención recogida en el art. 219.13 LOPJ, según la cual lo es “[h]aber ocupado cargo público, desempeñado empleo o ejercido profesión con ocasión de los cuales haya participado directa o indirectamente en el asunto objeto del pleito o causa o en otro relacionado con el mismo”.</w:t>
      </w:r>
    </w:p>
    <w:p w14:paraId="6F5DC0DE" w14:textId="77777777" w:rsidR="00576A90" w:rsidRDefault="00576A90" w:rsidP="00576A90">
      <w:pPr>
        <w:pStyle w:val="TextoNormal"/>
      </w:pPr>
    </w:p>
    <w:p w14:paraId="0A09D6D7" w14:textId="77777777" w:rsidR="00576A90" w:rsidRDefault="00576A90" w:rsidP="00576A90">
      <w:pPr>
        <w:pStyle w:val="TextoNormal"/>
      </w:pPr>
      <w:r>
        <w:lastRenderedPageBreak/>
        <w:t>Por lo expuesto, el Pleno</w:t>
      </w:r>
    </w:p>
    <w:p w14:paraId="3BA1A84B" w14:textId="43C224C8" w:rsidR="00576A90" w:rsidRDefault="00576A90" w:rsidP="00576A90">
      <w:pPr>
        <w:pStyle w:val="TextoNormal"/>
      </w:pPr>
    </w:p>
    <w:p w14:paraId="18625B43" w14:textId="77777777" w:rsidR="00576A90" w:rsidRDefault="00576A90" w:rsidP="00576A90">
      <w:pPr>
        <w:pStyle w:val="TextoNormalCentrado"/>
      </w:pPr>
      <w:r>
        <w:t>ACUERDA</w:t>
      </w:r>
    </w:p>
    <w:p w14:paraId="5C36C156" w14:textId="3BA3DD02" w:rsidR="00576A90" w:rsidRDefault="00576A90" w:rsidP="00576A90">
      <w:pPr>
        <w:pStyle w:val="TextoNormalCentrado"/>
      </w:pPr>
    </w:p>
    <w:p w14:paraId="71F0BE27" w14:textId="3BBBC68B" w:rsidR="00576A90" w:rsidRDefault="00576A90" w:rsidP="00576A90">
      <w:pPr>
        <w:pStyle w:val="TextoNormal"/>
      </w:pPr>
      <w:r>
        <w:t>Estimar justificada la abstención formulada por el magistrado don Juan Carlos Campo Moreno, apartándole definitivamente de la cuestión de inconstitucionalidad 2796-2024.</w:t>
      </w:r>
    </w:p>
    <w:p w14:paraId="37EE9F1B" w14:textId="77777777" w:rsidR="00576A90" w:rsidRDefault="00576A90" w:rsidP="00576A90">
      <w:pPr>
        <w:pStyle w:val="TextoNormal"/>
      </w:pPr>
    </w:p>
    <w:p w14:paraId="45D38150" w14:textId="77777777" w:rsidR="00576A90" w:rsidRDefault="00576A90" w:rsidP="00576A90">
      <w:pPr>
        <w:pStyle w:val="TextoNormal"/>
      </w:pPr>
      <w:r>
        <w:t>Madrid, a veintiuno de mayo de dos mil veinticuatro.</w:t>
      </w:r>
    </w:p>
    <w:p w14:paraId="5A82FF62" w14:textId="6E8C37AD" w:rsidR="00576A90" w:rsidRDefault="00576A90">
      <w:pPr>
        <w:spacing w:after="160" w:line="259" w:lineRule="auto"/>
        <w:rPr>
          <w:rFonts w:ascii="Times New Roman" w:eastAsia="Times New Roman" w:hAnsi="Times New Roman" w:cs="Times New Roman"/>
          <w:sz w:val="24"/>
          <w:szCs w:val="24"/>
          <w:lang w:eastAsia="es-ES"/>
        </w:rPr>
      </w:pPr>
      <w:r>
        <w:br w:type="page"/>
      </w:r>
    </w:p>
    <w:p w14:paraId="5D7C6038" w14:textId="77777777" w:rsidR="00576A90" w:rsidRDefault="00576A90" w:rsidP="00576A90">
      <w:pPr>
        <w:pStyle w:val="TtuloResolucin"/>
      </w:pPr>
      <w:bookmarkStart w:id="146" w:name="AUTO_2024_51"/>
      <w:r>
        <w:lastRenderedPageBreak/>
        <w:t>AUTO 51/2024, de 27 de mayo de 2024</w:t>
      </w:r>
    </w:p>
    <w:bookmarkEnd w:id="146"/>
    <w:p w14:paraId="79D60436" w14:textId="77777777" w:rsidR="00576A90" w:rsidRDefault="00576A90" w:rsidP="00576A90">
      <w:pPr>
        <w:pStyle w:val="TtuloResolucin"/>
      </w:pPr>
      <w:r>
        <w:t>Sección Primera</w:t>
      </w:r>
    </w:p>
    <w:p w14:paraId="57D5636C" w14:textId="77777777" w:rsidR="00576A90" w:rsidRDefault="00576A90" w:rsidP="00576A90">
      <w:pPr>
        <w:pStyle w:val="TextoNormalCentrado"/>
      </w:pPr>
      <w:r>
        <w:t>ECLI:ES:TC:2024:51A</w:t>
      </w:r>
    </w:p>
    <w:p w14:paraId="3A9E5934" w14:textId="67D0FF0C" w:rsidR="00576A90" w:rsidRDefault="00576A90" w:rsidP="00576A90">
      <w:pPr>
        <w:pStyle w:val="TextoNormalCentrado"/>
      </w:pPr>
    </w:p>
    <w:p w14:paraId="7CFE5448" w14:textId="77777777" w:rsidR="00576A90" w:rsidRDefault="00576A90" w:rsidP="00576A90">
      <w:pPr>
        <w:pStyle w:val="SntesisDescriptiva"/>
      </w:pPr>
      <w:r>
        <w:t>Excms. Srs. don Cándido Conde-Pumpido Tourón, doña Concepción Espejel Jorquera y doña María Luisa Segoviano Astaburuaga.</w:t>
      </w:r>
    </w:p>
    <w:p w14:paraId="3DAF097C" w14:textId="7F0BA678" w:rsidR="00576A90" w:rsidRDefault="00576A90" w:rsidP="00576A90">
      <w:pPr>
        <w:pStyle w:val="SntesisDescriptiva"/>
      </w:pPr>
    </w:p>
    <w:p w14:paraId="01FA2D12" w14:textId="77777777" w:rsidR="00576A90" w:rsidRDefault="00576A90" w:rsidP="00576A90">
      <w:pPr>
        <w:pStyle w:val="SntesisDescriptiva"/>
      </w:pPr>
      <w:r>
        <w:t>Estima el recurso de súplica interpuesto por el Ministerio Fiscal en relación con la providencia de inadmisión, e inadmite a trámite el recurso de amparo 1064-2024, promovido por doña Ángeles Núñez Moya en causa penal.</w:t>
      </w:r>
    </w:p>
    <w:p w14:paraId="4CA823FF" w14:textId="6979D556" w:rsidR="00576A90" w:rsidRDefault="00576A90" w:rsidP="00576A90">
      <w:pPr>
        <w:pStyle w:val="SntesisDescriptiva"/>
      </w:pPr>
    </w:p>
    <w:p w14:paraId="0D196680" w14:textId="77777777" w:rsidR="00576A90" w:rsidRDefault="00576A90" w:rsidP="00576A90">
      <w:pPr>
        <w:pStyle w:val="SntesisDescriptiva"/>
      </w:pPr>
    </w:p>
    <w:p w14:paraId="55DC0AF0" w14:textId="77777777" w:rsidR="00576A90" w:rsidRDefault="00576A90" w:rsidP="00576A90">
      <w:pPr>
        <w:pStyle w:val="SntesisDescriptiva"/>
      </w:pPr>
    </w:p>
    <w:p w14:paraId="1A297913" w14:textId="77777777" w:rsidR="00576A90" w:rsidRDefault="00576A90" w:rsidP="00576A90">
      <w:pPr>
        <w:pStyle w:val="TextoNormalNegritaCentrado"/>
      </w:pPr>
      <w:r>
        <w:t>AUTO</w:t>
      </w:r>
    </w:p>
    <w:p w14:paraId="113C2B7A" w14:textId="4C5CAB6E" w:rsidR="00576A90" w:rsidRDefault="00576A90" w:rsidP="00576A90">
      <w:pPr>
        <w:pStyle w:val="TextoNormalNegritaCentrado"/>
      </w:pPr>
    </w:p>
    <w:p w14:paraId="5AE5C911" w14:textId="77777777" w:rsidR="00576A90" w:rsidRDefault="00576A90" w:rsidP="00576A90">
      <w:pPr>
        <w:pStyle w:val="TextoNormalNegritaCentrado"/>
        <w:keepNext/>
      </w:pPr>
      <w:r>
        <w:t>I. Antecedentes</w:t>
      </w:r>
    </w:p>
    <w:p w14:paraId="5C1B1918" w14:textId="169E8876" w:rsidR="00576A90" w:rsidRDefault="00576A90" w:rsidP="00576A90">
      <w:pPr>
        <w:pStyle w:val="TextoNormalNegritaCentrado"/>
        <w:keepNext/>
      </w:pPr>
    </w:p>
    <w:p w14:paraId="54028836" w14:textId="77777777" w:rsidR="00576A90" w:rsidRDefault="00576A90" w:rsidP="00576A90">
      <w:pPr>
        <w:pStyle w:val="TextoNormal"/>
      </w:pPr>
      <w:r w:rsidRPr="00576A90">
        <w:rPr>
          <w:rStyle w:val="NumeroAFNegritaCaracter"/>
        </w:rPr>
        <w:t>1</w:t>
      </w:r>
      <w:r>
        <w:t>. Cronológicamente expuestos, son antecedentes procesales relevantes para la resolución del presente recurso de súplica, los siguientes:</w:t>
      </w:r>
    </w:p>
    <w:p w14:paraId="5DB60334" w14:textId="77777777" w:rsidR="00576A90" w:rsidRDefault="00576A90" w:rsidP="00576A90">
      <w:pPr>
        <w:pStyle w:val="TextoNormal"/>
      </w:pPr>
    </w:p>
    <w:p w14:paraId="6AF6F984" w14:textId="77777777" w:rsidR="00576A90" w:rsidRDefault="00576A90" w:rsidP="00576A90">
      <w:pPr>
        <w:pStyle w:val="TextoNormal"/>
      </w:pPr>
      <w:r>
        <w:t>a) En el marco del juicio sobre delitos leves núm. 107-2022, en el que la ahora demandante de amparo tenía la condición de denunciante, el Juzgado de Instrucción núm. 3 de Vilanova i la Geltrú dictó la sentencia núm. 74/2023, de 21 de junio de 2023, por la que condenó a don Álex Manso Martí como autor responsable de un delito leve de daños [art. 263.1 del Código penal (CP)] y lo absolvió del delito leve de amenazas, del cual no consta la calificación jurídica en la sentencia.</w:t>
      </w:r>
    </w:p>
    <w:p w14:paraId="6A7B8F85" w14:textId="77777777" w:rsidR="00576A90" w:rsidRDefault="00576A90" w:rsidP="00576A90">
      <w:pPr>
        <w:pStyle w:val="TextoNormal"/>
      </w:pPr>
    </w:p>
    <w:p w14:paraId="025BF118" w14:textId="77777777" w:rsidR="00576A90" w:rsidRDefault="00576A90" w:rsidP="00576A90">
      <w:pPr>
        <w:pStyle w:val="TextoNormal"/>
      </w:pPr>
      <w:r>
        <w:t>b) Frente a la anterior resolución, el condenado interpuso recurso de apelación que fue estimado en sentencia de 28 de diciembre de 2023, dictada por la Sección Sexta de la Audiencia Provincial de Barcelona en el rollo de apelación núm. 161-2023, que revocó la resolución impugnada y absolvió al entonces recurrente de los delitos leves de daños y de amenazas, objeto de acusación.</w:t>
      </w:r>
    </w:p>
    <w:p w14:paraId="64FDA97E" w14:textId="77777777" w:rsidR="00576A90" w:rsidRDefault="00576A90" w:rsidP="00576A90">
      <w:pPr>
        <w:pStyle w:val="TextoNormal"/>
      </w:pPr>
    </w:p>
    <w:p w14:paraId="10A99B46" w14:textId="55F9BA93" w:rsidR="00576A90" w:rsidRDefault="00576A90" w:rsidP="00576A90">
      <w:pPr>
        <w:pStyle w:val="TextoNormal"/>
      </w:pPr>
      <w:r>
        <w:t>c) La demandante planteó incidente de nulidad de actuaciones, que fue desestimado por la citada Sección mediante auto de 8 de febrero de 2024.</w:t>
      </w:r>
    </w:p>
    <w:p w14:paraId="495365C8" w14:textId="77777777" w:rsidR="00576A90" w:rsidRDefault="00576A90" w:rsidP="00576A90">
      <w:pPr>
        <w:pStyle w:val="TextoNormal"/>
      </w:pPr>
    </w:p>
    <w:p w14:paraId="16B6A637" w14:textId="77777777" w:rsidR="00576A90" w:rsidRDefault="00576A90" w:rsidP="00576A90">
      <w:pPr>
        <w:pStyle w:val="TextoNormal"/>
      </w:pPr>
      <w:r w:rsidRPr="00576A90">
        <w:rPr>
          <w:rStyle w:val="NumeroAFNegritaCaracter"/>
        </w:rPr>
        <w:t>2</w:t>
      </w:r>
      <w:r>
        <w:t>. La demandante, representada por el procurador don Carlos Alfonso Castro Serrano y asistida por la abogada doña Bárbara Vidal Núñez, interpuso recurso de amparo que tuvo entrada por vía telemática en el registro general de este tribunal el día 15 de febrero de 2024.</w:t>
      </w:r>
    </w:p>
    <w:p w14:paraId="15B29A76" w14:textId="77777777" w:rsidR="00576A90" w:rsidRDefault="00576A90" w:rsidP="00576A90">
      <w:pPr>
        <w:pStyle w:val="TextoNormal"/>
      </w:pPr>
    </w:p>
    <w:p w14:paraId="12E19B51" w14:textId="77777777" w:rsidR="00576A90" w:rsidRDefault="00576A90" w:rsidP="00576A90">
      <w:pPr>
        <w:pStyle w:val="TextoNormal"/>
      </w:pPr>
      <w:r>
        <w:t xml:space="preserve">La recurrente alega en amparo las siguientes vulneraciones que imputa directa y exclusivamente a la sentencia dictada en el recurso de apelación: (i) violación del derecho a un proceso con todas las garantías (art. 24.2 CE), en relación con el principio de inmediación en la valoración de las pruebas, dado que la sentencia recurrida realizó una nueva valoración sobre la identidad de la persona que aparece en unas fotos, sin haber visto en persona al acusado, tal y como se produjo su identificación en el acto del juicio; y (ii) violación del </w:t>
      </w:r>
      <w:r>
        <w:lastRenderedPageBreak/>
        <w:t>derecho a utilizar los medios de prueba pertinentes para la defensa (art. 24.2 CE), porque la sentencia recurrida “realiza una nueva valoración sobre la declaración de la testigo y de las fotos aportadas por esta a razón de que su existencia no consta en la denuncia. Sin embargo, no existe normativa alguna que prohíba ni clasifique las pruebas con mayor o menor valor probatorio, según el momento procesal en el que han sido aportadas, ni tampoco que prohíba aquellas que no hayan sido aportadas con la denuncia o con carácter previo a la celebración del juicio oral”.</w:t>
      </w:r>
    </w:p>
    <w:p w14:paraId="2D7EDE94" w14:textId="77777777" w:rsidR="00576A90" w:rsidRDefault="00576A90" w:rsidP="00576A90">
      <w:pPr>
        <w:pStyle w:val="TextoNormal"/>
      </w:pPr>
    </w:p>
    <w:p w14:paraId="5E27ABF2" w14:textId="77777777" w:rsidR="00576A90" w:rsidRDefault="00576A90" w:rsidP="00576A90">
      <w:pPr>
        <w:pStyle w:val="TextoNormal"/>
      </w:pPr>
      <w:r>
        <w:t>En cuanto a la justificación de la especial trascendencia constitucional, la demandante afirma que la sentencia impugnada contrasta con la doctrina sentada en la STC 167/2002, de 18 de septiembre, “sobre la exigencia de respetar las garantías de publicidad, inmediación y contradicción en la valoración de las pruebas en la segunda instancia penal, adaptando la interpretación constitucional del derecho a un proceso con todas las garantías del art. 24.2 CE a las exigencias del art. 6.1 del Convenio europeo para la protección de los derechos humanos y de las libertades fundamentales, en la interpretación que de dicho precepto viene haciendo el Tribunal Europeo de Derechos Humanos”.</w:t>
      </w:r>
    </w:p>
    <w:p w14:paraId="11910B57" w14:textId="77777777" w:rsidR="00576A90" w:rsidRDefault="00576A90" w:rsidP="00576A90">
      <w:pPr>
        <w:pStyle w:val="TextoNormal"/>
      </w:pPr>
    </w:p>
    <w:p w14:paraId="083AE004" w14:textId="77777777" w:rsidR="00576A90" w:rsidRDefault="00576A90" w:rsidP="00576A90">
      <w:pPr>
        <w:pStyle w:val="TextoNormal"/>
      </w:pPr>
      <w:r>
        <w:t xml:space="preserve">Añade que la STC 25/2022, de 23 de febrero, declara, en referencia a la sentencia del Tribunal Supremo núm. 477/2020, de 28 de septiembre, que “la segunda instancia debe revisar el asunto con especial incidencia en el examen sobre la validez, suficiencia y razonabilidad de la motivación contenida en la resolución impugnada pero sin realizar una nueva valoración de la prueba que solo es posible desde la inmediación, como sin embargo ha sucedido en la sentencia recurrida respecto a la declaración de la testigo y las fotografías realizadas con el móvil por esta (nueva realidad social y medio de prueba disponible para la mayoría de los ciudadanos), propuestas ambas al inicio del juicio oral y valoradas como prueba de cargo suficiente en primera instancia al haber tenido el juzgado en frente al condenado y poder corroborarlas </w:t>
      </w:r>
      <w:r w:rsidRPr="00576A90">
        <w:rPr>
          <w:i/>
        </w:rPr>
        <w:t>in situ</w:t>
      </w:r>
      <w:r>
        <w:t xml:space="preserve">, pero revaloradas en segunda instancia </w:t>
      </w:r>
      <w:r w:rsidRPr="00576A90">
        <w:rPr>
          <w:i/>
        </w:rPr>
        <w:t>a sensu contrario</w:t>
      </w:r>
      <w:r>
        <w:t xml:space="preserve"> en contra del principio de inmediación y del derecho de defensa, sin nueva vista oral efectuada en apelación, modificando los hechos probados y absolviendo la condena en esa revisión”. Para concluir en este punto afirmando que el recurso de amparo “atiende así a uno de los criterios legales que dotan de especial trascendencia constitucional al recurso de amparo, citado en el art. 50.1 b) LOTC, a saber: aquel que se dirige a velar por la aplicación y general eficacia de la Constitución [...] por contravenir la doctrina asentada por este tribunal para perjuicio de esta justiciable”.</w:t>
      </w:r>
    </w:p>
    <w:p w14:paraId="7434EBA8" w14:textId="77777777" w:rsidR="00576A90" w:rsidRDefault="00576A90" w:rsidP="00576A90">
      <w:pPr>
        <w:pStyle w:val="TextoNormal"/>
      </w:pPr>
    </w:p>
    <w:p w14:paraId="54AEA7C1" w14:textId="270BF607" w:rsidR="00576A90" w:rsidRDefault="00576A90" w:rsidP="00576A90">
      <w:pPr>
        <w:pStyle w:val="TextoNormal"/>
      </w:pPr>
      <w:r>
        <w:t>En el suplico de la demanda, la recurrente solicita que se declare la nulidad de la sentencia de apelación y el reconocimiento de la vulneración de su derecho a un proceso con todas las garantías. No formula pretensión alguna frente al auto de 8 de febrero de 2024, desestimatorio del incidente de nulidad de actuaciones. Por otra parte, la demanda no vino acompañada de copia de resolución alguna.</w:t>
      </w:r>
    </w:p>
    <w:p w14:paraId="03969493" w14:textId="77777777" w:rsidR="00576A90" w:rsidRDefault="00576A90" w:rsidP="00576A90">
      <w:pPr>
        <w:pStyle w:val="TextoNormal"/>
      </w:pPr>
    </w:p>
    <w:p w14:paraId="06CF5073" w14:textId="6F8FB06F" w:rsidR="00576A90" w:rsidRDefault="00576A90" w:rsidP="00576A90">
      <w:pPr>
        <w:pStyle w:val="TextoNormal"/>
      </w:pPr>
      <w:r w:rsidRPr="00576A90">
        <w:rPr>
          <w:rStyle w:val="NumeroAFNegritaCaracter"/>
        </w:rPr>
        <w:t>3</w:t>
      </w:r>
      <w:r>
        <w:t>. Una vez turnado el recurso de amparo a la Sección Primera, Sala Primera, de este tribunal, mediante diligencia de ordenación de 19 de febrero de 2024 se acordó conceder a la recurrente un plazo de tres días para que, además de presentar acreditaciones en materia de postulación procesal, aportase copia de las respectivas sentencias dictadas en primera y segunda instancia. El 21 de febrero de 2024 el procurador de la demandante atendió al requerimiento con aportación de copia de las dos sentencias. En esta ocasión tampoco aportó copia del auto desestimatorio del incidente de nulidad.</w:t>
      </w:r>
    </w:p>
    <w:p w14:paraId="57561AED" w14:textId="77777777" w:rsidR="00576A90" w:rsidRDefault="00576A90" w:rsidP="00576A90">
      <w:pPr>
        <w:pStyle w:val="TextoNormal"/>
      </w:pPr>
    </w:p>
    <w:p w14:paraId="12694101" w14:textId="77777777" w:rsidR="00576A90" w:rsidRDefault="00576A90" w:rsidP="00576A90">
      <w:pPr>
        <w:pStyle w:val="TextoNormal"/>
      </w:pPr>
      <w:r w:rsidRPr="00576A90">
        <w:rPr>
          <w:rStyle w:val="NumeroAFNegritaCaracter"/>
        </w:rPr>
        <w:t>4</w:t>
      </w:r>
      <w:r>
        <w:t>. El recurso de amparo presentado por la demandante fue analizado por esta Sección Primera que, mediante providencia de 19 de abril de 2024, acordó no admitirlo a trámite con arreglo a lo previsto en el art. 50.1 a) de la Ley Orgánica del Tribunal Constitucional (LOTC), en relación con el art. 44.1 a) LOTC, toda vez que la recurrente no ha agotado debidamente los medios de impugnación dentro de la vía judicial [no interposición del incidente de nulidad de actuaciones previsto en el art. 241.1 de la Ley Orgánica del Poder Judicial (LOPJ)].</w:t>
      </w:r>
    </w:p>
    <w:p w14:paraId="02160C1B" w14:textId="77777777" w:rsidR="00576A90" w:rsidRDefault="00576A90" w:rsidP="00576A90">
      <w:pPr>
        <w:pStyle w:val="TextoNormal"/>
      </w:pPr>
    </w:p>
    <w:p w14:paraId="36DDD383" w14:textId="22DB1B49" w:rsidR="00576A90" w:rsidRDefault="00576A90" w:rsidP="00576A90">
      <w:pPr>
        <w:pStyle w:val="TextoNormal"/>
      </w:pPr>
      <w:r>
        <w:t>En el sello del registro de entrada en la Fiscalía ante el Tribunal Constitucional, estampado en copia de la citada providencia de inadmisión, consta como fecha de recepción el día 6 de mayo de 2024.</w:t>
      </w:r>
    </w:p>
    <w:p w14:paraId="3F78F532" w14:textId="77777777" w:rsidR="00576A90" w:rsidRDefault="00576A90" w:rsidP="00576A90">
      <w:pPr>
        <w:pStyle w:val="TextoNormal"/>
      </w:pPr>
    </w:p>
    <w:p w14:paraId="261FF4C1" w14:textId="77777777" w:rsidR="00576A90" w:rsidRDefault="00576A90" w:rsidP="00576A90">
      <w:pPr>
        <w:pStyle w:val="TextoNormal"/>
      </w:pPr>
      <w:r w:rsidRPr="00576A90">
        <w:rPr>
          <w:rStyle w:val="NumeroAFNegritaCaracter"/>
        </w:rPr>
        <w:t>5</w:t>
      </w:r>
      <w:r>
        <w:t>. El 22 de abril de 2024 el procurador de la demandante presentó en el registro general de este tribunal un escrito en el que alega que “no es cierto que esta parte no haya agotado la vía judicial mediante la interposición del correspondiente incidente de nulidad de actuaciones previo”, tal y como se indicó en el fundamento jurídico IV del recurso de amparo y, a tal efecto, aporta copia tanto del incidente de nulidad de actuaciones como del auto que lo desestima, fechado el 8 de febrero de 2024 y notificado el siguiente día 15.</w:t>
      </w:r>
    </w:p>
    <w:p w14:paraId="3D2D1A74" w14:textId="77777777" w:rsidR="00576A90" w:rsidRDefault="00576A90" w:rsidP="00576A90">
      <w:pPr>
        <w:pStyle w:val="TextoNormal"/>
      </w:pPr>
    </w:p>
    <w:p w14:paraId="6140F0BA" w14:textId="2BE48F5C" w:rsidR="00576A90" w:rsidRDefault="00576A90" w:rsidP="00576A90">
      <w:pPr>
        <w:pStyle w:val="TextoNormal"/>
      </w:pPr>
      <w:r>
        <w:t>Al inicio del escrito la demandante solicita “aclaración y rectificación de error”, si bien en el suplico interesa que “previo traslado al Ministerio fiscal a los efectos de un posible recurso de súplica”, se “resuelva conforme a Derecho y en base a la verdad objetiva obrante en autos”.</w:t>
      </w:r>
    </w:p>
    <w:p w14:paraId="487F8DBE" w14:textId="77777777" w:rsidR="00576A90" w:rsidRDefault="00576A90" w:rsidP="00576A90">
      <w:pPr>
        <w:pStyle w:val="TextoNormal"/>
      </w:pPr>
    </w:p>
    <w:p w14:paraId="405B3DBD" w14:textId="77777777" w:rsidR="00576A90" w:rsidRDefault="00576A90" w:rsidP="00576A90">
      <w:pPr>
        <w:pStyle w:val="TextoNormal"/>
      </w:pPr>
      <w:r w:rsidRPr="00576A90">
        <w:rPr>
          <w:rStyle w:val="NumeroAFNegritaCaracter"/>
        </w:rPr>
        <w:t>6</w:t>
      </w:r>
      <w:r>
        <w:t>. Mediante escrito registrado el 9 de mayo de 2024, el fiscal ante el Tribunal Constitucional interpuso recurso de súplica contra la providencia de inadmisión. En atención a los antecedentes reseñados, afirma en esencia que la demandante de amparo interpuso incidente de nulidad frente a la sentencia de apelación, que fue resuelto por auto de 8 de febrero de 2024, que lo desestimó. El art. 44.1 a) LOTC exige, como uno de los requisitos para la posible admisión del recurso de amparo, haber agotado “todos los medios de impugnación previstos por las normas procesales para el caso concreto dentro de la vía judicial”. Añade el fiscal que la sentencia de la Audiencia Provincial era firme y contra la misma no cabía recurso alguno, ante lo cual la recurrente, de conformidad con el art. 241 LOPJ, procedió a promover incidente de nulidad por vulneración por parte de la sentencia de derechos fundamentales, agotando así debidamente los medios de impugnación dentro de la vía judicial.</w:t>
      </w:r>
    </w:p>
    <w:p w14:paraId="7C853E74" w14:textId="77777777" w:rsidR="00576A90" w:rsidRDefault="00576A90" w:rsidP="00576A90">
      <w:pPr>
        <w:pStyle w:val="TextoNormal"/>
      </w:pPr>
    </w:p>
    <w:p w14:paraId="6561F18B" w14:textId="5B897B82" w:rsidR="00576A90" w:rsidRDefault="00576A90" w:rsidP="00576A90">
      <w:pPr>
        <w:pStyle w:val="TextoNormal"/>
      </w:pPr>
      <w:r>
        <w:t>El Ministerio Fiscal interesa la estimación de su recurso y que se deje sin efecto la providencia de inadmisión de 19 de abril de 2024, con reposición de las actuaciones al momento anterior al dictado de la providencia impugnada en súplica.</w:t>
      </w:r>
    </w:p>
    <w:p w14:paraId="66916D52" w14:textId="77777777" w:rsidR="00576A90" w:rsidRDefault="00576A90" w:rsidP="00576A90">
      <w:pPr>
        <w:pStyle w:val="TextoNormal"/>
      </w:pPr>
    </w:p>
    <w:p w14:paraId="0646ED35" w14:textId="77777777" w:rsidR="00576A90" w:rsidRDefault="00576A90" w:rsidP="00576A90">
      <w:pPr>
        <w:pStyle w:val="TextoNormal"/>
      </w:pPr>
      <w:r w:rsidRPr="00576A90">
        <w:rPr>
          <w:rStyle w:val="NumeroAFNegritaCaracter"/>
        </w:rPr>
        <w:t>7</w:t>
      </w:r>
      <w:r>
        <w:t>. Mediante diligencia de ordenación de 10 de mayo de 2024, se acordó dar traslado del recurso de súplica a la representación procesal de la recurrente, concediéndole un plazo de tres días a fin de que pudiese alegar lo que estimase pertinente (art. 93.2 LOTC).</w:t>
      </w:r>
    </w:p>
    <w:p w14:paraId="1E8CED69" w14:textId="77777777" w:rsidR="00576A90" w:rsidRDefault="00576A90" w:rsidP="00576A90">
      <w:pPr>
        <w:pStyle w:val="TextoNormal"/>
      </w:pPr>
    </w:p>
    <w:p w14:paraId="68708F07" w14:textId="1F7CA086" w:rsidR="00576A90" w:rsidRDefault="00576A90" w:rsidP="00576A90">
      <w:pPr>
        <w:pStyle w:val="TextoNormal"/>
      </w:pPr>
      <w:r>
        <w:lastRenderedPageBreak/>
        <w:t>La demandante formuló sus alegaciones mediante escrito registrado el 16 de mayo de 2024, en el que se adhirió al recurso de súplica interpuesto por el fiscal.</w:t>
      </w:r>
    </w:p>
    <w:p w14:paraId="72D827D5" w14:textId="77777777" w:rsidR="00576A90" w:rsidRDefault="00576A90" w:rsidP="00576A90">
      <w:pPr>
        <w:pStyle w:val="TextoNormal"/>
      </w:pPr>
    </w:p>
    <w:p w14:paraId="69BA6B15" w14:textId="77777777" w:rsidR="00576A90" w:rsidRDefault="00576A90" w:rsidP="00576A90">
      <w:pPr>
        <w:pStyle w:val="TextoNormalNegritaCentrado"/>
        <w:keepNext/>
      </w:pPr>
      <w:r>
        <w:t>II. Fundamentos jurídicos</w:t>
      </w:r>
    </w:p>
    <w:p w14:paraId="7DC4304A" w14:textId="6A7D733A" w:rsidR="00576A90" w:rsidRDefault="00576A90" w:rsidP="00576A90">
      <w:pPr>
        <w:pStyle w:val="TextoNormalNegritaCentrado"/>
        <w:keepNext/>
      </w:pPr>
    </w:p>
    <w:p w14:paraId="26DB8BE6" w14:textId="77777777" w:rsidR="00576A90" w:rsidRDefault="00576A90" w:rsidP="00576A90">
      <w:pPr>
        <w:pStyle w:val="TextoNormal"/>
      </w:pPr>
      <w:r w:rsidRPr="00576A90">
        <w:rPr>
          <w:rStyle w:val="NumeroAFNegritaCaracter"/>
        </w:rPr>
        <w:t>1</w:t>
      </w:r>
      <w:r>
        <w:t xml:space="preserve">. </w:t>
      </w:r>
      <w:r w:rsidRPr="00576A90">
        <w:rPr>
          <w:i/>
        </w:rPr>
        <w:t>Objeto del recurso y posiciones de las partes</w:t>
      </w:r>
    </w:p>
    <w:p w14:paraId="4C465BE6" w14:textId="77777777" w:rsidR="00576A90" w:rsidRDefault="00576A90" w:rsidP="00576A90">
      <w:pPr>
        <w:pStyle w:val="TextoNormal"/>
      </w:pPr>
    </w:p>
    <w:p w14:paraId="2A437D8A" w14:textId="77777777" w:rsidR="00576A90" w:rsidRDefault="00576A90" w:rsidP="00576A90">
      <w:pPr>
        <w:pStyle w:val="TextoNormal"/>
      </w:pPr>
      <w:r>
        <w:t>Como ha quedado expuesto en los antecedentes, el presente recurso de súplica presentado por el fiscal ante el Tribunal Constitucional, tiene por objeto la providencia de esta Sección Primera de 19 de abril de 2024, que acordó no admitir a trámite el recurso de amparo con arreglo a lo previsto en el art. 50.1 a) LOTC, en relación con el art. 44.1 a) LOTC, al no haberse agotado debidamente los medios de impugnación dentro de la vía judicial (no interposición del incidente de nulidad de actuaciones previsto en el art. 241.1 LOPJ).</w:t>
      </w:r>
    </w:p>
    <w:p w14:paraId="31A580B0" w14:textId="77777777" w:rsidR="00576A90" w:rsidRDefault="00576A90" w:rsidP="00576A90">
      <w:pPr>
        <w:pStyle w:val="TextoNormal"/>
      </w:pPr>
    </w:p>
    <w:p w14:paraId="5D7171AF" w14:textId="77777777" w:rsidR="00576A90" w:rsidRDefault="00576A90" w:rsidP="00576A90">
      <w:pPr>
        <w:pStyle w:val="TextoNormal"/>
      </w:pPr>
      <w:r>
        <w:t>En su impugnación, el Ministerio Fiscal alega que la recurrente planteó incidente de nulidad de actuaciones ante la Sección Sexta de la Audiencia Provincial de Barcelona, frente a la sentencia dictada en segunda instancia de fecha 28 de diciembre de 2023, a la que imputa la vulneración de derechos fundamentales, incidente que fue resuelto en sentido desestimatorio mediante auto de 8 de febrero de 2024. En consecuencia, el Ministerio Fiscal interesa que se deje sin efecto la providencia de 19 de abril de 2024 que acordó la inadmisión del recurso de amparo, con reposición de las actuaciones al momento anterior a su dictado.</w:t>
      </w:r>
    </w:p>
    <w:p w14:paraId="36178C38" w14:textId="77777777" w:rsidR="00576A90" w:rsidRDefault="00576A90" w:rsidP="00576A90">
      <w:pPr>
        <w:pStyle w:val="TextoNormal"/>
      </w:pPr>
    </w:p>
    <w:p w14:paraId="252098E8" w14:textId="3329913B" w:rsidR="00576A90" w:rsidRDefault="00576A90" w:rsidP="00576A90">
      <w:pPr>
        <w:pStyle w:val="TextoNormal"/>
      </w:pPr>
      <w:r>
        <w:t>Por su parte, la demandante, en escrito presentado el 22 de abril de 2024, solicitó al inicio “aclaración y rectificación de error”, aunque en el suplico interesó que “previo traslado al Ministerio fiscal a los efectos de un posible recurso de súplica”, se “resuelva conforme a Derecho y en base a la verdad objetiva obrante en autos”, pronunciándose en el trámite de alegaciones al recurso de súplica en el sentido de adherirse a la impugnación planteada por el fiscal, lo cual determina que sea innecesario un pronunciamiento expreso relativo a la aclaración y rectificación de error solicitada en un primer momento por la actora.</w:t>
      </w:r>
    </w:p>
    <w:p w14:paraId="30BE4557" w14:textId="77777777" w:rsidR="00576A90" w:rsidRDefault="00576A90" w:rsidP="00576A90">
      <w:pPr>
        <w:pStyle w:val="TextoNormal"/>
      </w:pPr>
    </w:p>
    <w:p w14:paraId="3F1427B5" w14:textId="77777777" w:rsidR="00576A90" w:rsidRDefault="00576A90" w:rsidP="00576A90">
      <w:pPr>
        <w:pStyle w:val="TextoNormal"/>
      </w:pPr>
      <w:r w:rsidRPr="00576A90">
        <w:rPr>
          <w:rStyle w:val="NumeroAFNegritaCaracter"/>
        </w:rPr>
        <w:t>2</w:t>
      </w:r>
      <w:r>
        <w:t xml:space="preserve">. </w:t>
      </w:r>
      <w:r w:rsidRPr="00576A90">
        <w:rPr>
          <w:i/>
        </w:rPr>
        <w:t>Resolución del recurso de súplica</w:t>
      </w:r>
    </w:p>
    <w:p w14:paraId="68118ED4" w14:textId="77777777" w:rsidR="00576A90" w:rsidRDefault="00576A90" w:rsidP="00576A90">
      <w:pPr>
        <w:pStyle w:val="TextoNormal"/>
      </w:pPr>
    </w:p>
    <w:p w14:paraId="74B5308D" w14:textId="77777777" w:rsidR="00576A90" w:rsidRDefault="00576A90" w:rsidP="00576A90">
      <w:pPr>
        <w:pStyle w:val="TextoNormal"/>
      </w:pPr>
      <w:r>
        <w:t>El recurso de súplica del fiscal ha de ser estimado. La demandante de amparo planteó un incidente de nulidad de actuaciones del art. 241.1 LOPJ frente a la sentencia dictada en segunda instancia, al ser una resolución firme contra la que no cabía recurso alguno y a la que imputa la vulneración de derechos fundamentales que son objeto de la demanda de amparo.</w:t>
      </w:r>
    </w:p>
    <w:p w14:paraId="3C7B072C" w14:textId="77777777" w:rsidR="00576A90" w:rsidRDefault="00576A90" w:rsidP="00576A90">
      <w:pPr>
        <w:pStyle w:val="TextoNormal"/>
      </w:pPr>
    </w:p>
    <w:p w14:paraId="099E6C39" w14:textId="77777777" w:rsidR="00576A90" w:rsidRDefault="00576A90" w:rsidP="00576A90">
      <w:pPr>
        <w:pStyle w:val="TextoNormal"/>
      </w:pPr>
      <w:r>
        <w:t xml:space="preserve">Por tal motivo, para preservar la subsidiariedad del recurso de amparo, la recurrente utilizó la vía impugnatoria de que disponía frente a una sentencia firme, con la finalidad de obtener en vía judicial la reparación de los derechos fundamentales que afirma vulnerados, por lo que agotó debidamente la vía judicial previa a la interposición del recurso de amparo en cumplimiento del requisito de admisibilidad previsto en el art. 50.1 b) LOTC, lo que </w:t>
      </w:r>
      <w:r>
        <w:lastRenderedPageBreak/>
        <w:t>determina que deba dejarse sin efecto la providencia de 19 de abril de 2024 dictada por esta Sección Primera, que acordó la inadmisión del recurso de amparo.</w:t>
      </w:r>
    </w:p>
    <w:p w14:paraId="30494CCF" w14:textId="77777777" w:rsidR="00576A90" w:rsidRDefault="00576A90" w:rsidP="00576A90">
      <w:pPr>
        <w:pStyle w:val="TextoNormal"/>
      </w:pPr>
    </w:p>
    <w:p w14:paraId="04DFE757" w14:textId="1877969B" w:rsidR="00576A90" w:rsidRDefault="00576A90" w:rsidP="00576A90">
      <w:pPr>
        <w:pStyle w:val="TextoNormal"/>
      </w:pPr>
      <w:r>
        <w:t>La estimación del recurso de súplica también determina, a fin de evitar dilaciones, que se analice nuevamente en este momento el cumplimiento por la recurrente de los demás requisitos del recurso de amparo que quedaron excluidos de análisis en su momento, al apreciarse el óbice procesal determinante de la inadmisión que ahora se deja sin efecto. En este sentido, se pronuncia el Ministerio Fiscal al interesar la reposición de las actuaciones al momento anterior a la providencia de inadmisión.</w:t>
      </w:r>
    </w:p>
    <w:p w14:paraId="39616927" w14:textId="77777777" w:rsidR="00576A90" w:rsidRDefault="00576A90" w:rsidP="00576A90">
      <w:pPr>
        <w:pStyle w:val="TextoNormal"/>
      </w:pPr>
    </w:p>
    <w:p w14:paraId="4A743C35" w14:textId="77777777" w:rsidR="00576A90" w:rsidRDefault="00576A90" w:rsidP="00576A90">
      <w:pPr>
        <w:pStyle w:val="TextoNormal"/>
      </w:pPr>
      <w:r w:rsidRPr="00576A90">
        <w:rPr>
          <w:rStyle w:val="NumeroAFNegritaCaracter"/>
        </w:rPr>
        <w:t>3</w:t>
      </w:r>
      <w:r>
        <w:t xml:space="preserve">. </w:t>
      </w:r>
      <w:r w:rsidRPr="00576A90">
        <w:rPr>
          <w:i/>
        </w:rPr>
        <w:t>Doctrina constitucional sobre la especial trascendencia constitucional</w:t>
      </w:r>
    </w:p>
    <w:p w14:paraId="0FC856FB" w14:textId="77777777" w:rsidR="00576A90" w:rsidRDefault="00576A90" w:rsidP="00576A90">
      <w:pPr>
        <w:pStyle w:val="TextoNormal"/>
      </w:pPr>
    </w:p>
    <w:p w14:paraId="553DE71B" w14:textId="77777777" w:rsidR="00576A90" w:rsidRDefault="00576A90" w:rsidP="00576A90">
      <w:pPr>
        <w:pStyle w:val="TextoNormal"/>
      </w:pPr>
      <w:r>
        <w:t>Cumplidos los requisitos procesales del recurso de amparo, incluida la carga de justificar suficientemente la especial trascendencia constitucional de la demanda, procede determinar si el recurso de amparo planteado presenta la especial trascendencia constitucional a que se refiere el art. 50.1 b) LOTC, como requisito material de admisibilidad.</w:t>
      </w:r>
    </w:p>
    <w:p w14:paraId="70601474" w14:textId="77777777" w:rsidR="00576A90" w:rsidRDefault="00576A90" w:rsidP="00576A90">
      <w:pPr>
        <w:pStyle w:val="TextoNormal"/>
      </w:pPr>
    </w:p>
    <w:p w14:paraId="7BA948A3" w14:textId="77777777" w:rsidR="00576A90" w:rsidRDefault="00576A90" w:rsidP="00576A90">
      <w:pPr>
        <w:pStyle w:val="TextoNormal"/>
      </w:pPr>
      <w:r>
        <w:t>a) En relación con la especial trascendencia constitucional, el Pleno de este tribunal ha declarado en la STC 37/2019, de 26 de marzo, FJ 3, que «[t]ras la reforma operada por la Ley Orgánica 6/2007, de 24 de mayo, el último inciso del art 49.1 de la Ley Orgánica del Tribunal Constitucional (LOTC) impone al recurrente el gravamen relativo a que “en todo caso, la demanda justificará la especial trascendencia constitucional del recurso”; mientras que el art. 50.1 b) LOTC condiciona la admisión del recurso de amparo, a que “el contenido del recurso justifique una decisión sobre el fondo por parte del Tribunal Constitucional en razón de su especial trascendencia constitucional, que se apreciará atendiendo a su importancia para la interpretación de la Constitución, para su aplicación o general eficacia, y para la determinación del contenido y alcance de los derechos fundamentales”. Este tribunal ha tenido ocasión, a tal efecto, de pronunciarse sobre esta materia; y así hemos distinguido entre la justificación de la especial trascendencia constitucional, como requisito procesal que debe cumplir toda demanda (art. 49.1 LOTC), y la existencia misma de la especial trascendencia constitucional, cuya apreciación corresponde al Tribunal. [...]</w:t>
      </w:r>
    </w:p>
    <w:p w14:paraId="4EB5E9E6" w14:textId="77777777" w:rsidR="00576A90" w:rsidRDefault="00576A90" w:rsidP="00576A90">
      <w:pPr>
        <w:pStyle w:val="TextoNormal"/>
      </w:pPr>
    </w:p>
    <w:p w14:paraId="003A612A" w14:textId="77777777" w:rsidR="00576A90" w:rsidRDefault="00576A90" w:rsidP="00576A90">
      <w:pPr>
        <w:pStyle w:val="TextoNormal"/>
      </w:pPr>
      <w:r>
        <w:t>En cuanto a la concurrencia de especial transcendencia constitucional, hemos advertido que “[e]l carácter notablemente flexible e indeterminado tanto del concepto de ‘especial trascendencia constitucional’ como de los tres criterios que la propia Ley ofrece para su caracterización (‘su importancia para la interpretación de la Constitución, para su aplicación o para su general eficacia, y para la determinación del contenido y alcance de los derechos fundamentales’) ha llevado a este tribunal a realizar un esfuerzo de concreción en la STC 155/2009, de 25 de junio, en la que se identifican, sin ánimo exhaustivo, determinados supuestos, como propiciadores de la apreciación de esa especial trascendencia constitucional; en el bien entendido de que esa enumeración no ha de ser considerada como un elenco definitivamente cerrado de casos en los que un recurso de amparo tiene especial trascendencia constitucional, pues a ello se opone el carácter dinámico del ejercicio de la jurisdicción constitucional, en cuyo desempeño no puede descartarse, a partir de la casuística que se presente, la necesidad de perfilar o depurar conceptos, redefinir supuestos contemplados, añadir otros nuevos o excluir alguno inicialmente incluido” [STC 1/2019, de 14 de enero, FJ 2 c)]».</w:t>
      </w:r>
    </w:p>
    <w:p w14:paraId="666D8D0A" w14:textId="77777777" w:rsidR="00576A90" w:rsidRDefault="00576A90" w:rsidP="00576A90">
      <w:pPr>
        <w:pStyle w:val="TextoNormal"/>
      </w:pPr>
    </w:p>
    <w:p w14:paraId="0621BAF4" w14:textId="2C92FE26" w:rsidR="00576A90" w:rsidRDefault="00576A90" w:rsidP="00576A90">
      <w:pPr>
        <w:pStyle w:val="TextoNormal"/>
      </w:pPr>
      <w:r>
        <w:lastRenderedPageBreak/>
        <w:t>b) Asimismo, este tribunal ha declarado reiteradamente que es de su exclusiva competencia apreciar la concurrencia de este requisito en las demandas de amparo. Entre los precedentes más próximos, las SSTC 63/2022, de 10 de mayo, FJ 2, y 68/2022, de 2 de junio, FJ 2, declaran que corresponde “únicamente a este tribunal apreciar en cada caso la existencia o inexistencia de esa especial trascendencia constitucional, esto es, si el contenido del recurso justifica una decisión sobre el fondo, atendiendo, conforme al art. 50.1 b) LOTC, ‘a su importancia para la interpretación de la Constitución, para su aplicación o para su general eficacia, y para la determinación del contenido y alcance de los derechos fundamentales’ (por todas, SSTC 166/2016, de 6 de octubre, FJ 2; 136/2017, de 27 de noviembre, FJ 2; 80/2020, de 15 de julio, FJ 2, y 155/2020, de 4 de noviembre, FJ 2)”.</w:t>
      </w:r>
    </w:p>
    <w:p w14:paraId="37B00169" w14:textId="77777777" w:rsidR="00576A90" w:rsidRDefault="00576A90" w:rsidP="00576A90">
      <w:pPr>
        <w:pStyle w:val="TextoNormal"/>
      </w:pPr>
    </w:p>
    <w:p w14:paraId="5ECB711E" w14:textId="77777777" w:rsidR="00576A90" w:rsidRDefault="00576A90" w:rsidP="00576A90">
      <w:pPr>
        <w:pStyle w:val="TextoNormal"/>
      </w:pPr>
      <w:r w:rsidRPr="00576A90">
        <w:rPr>
          <w:rStyle w:val="NumeroAFNegritaCaracter"/>
        </w:rPr>
        <w:t>4</w:t>
      </w:r>
      <w:r>
        <w:t xml:space="preserve">. </w:t>
      </w:r>
      <w:r w:rsidRPr="00576A90">
        <w:rPr>
          <w:i/>
        </w:rPr>
        <w:t>Inadmisión del recurso de amparo por falta de especial trascendencia constitucional</w:t>
      </w:r>
    </w:p>
    <w:p w14:paraId="77A55C2B" w14:textId="77777777" w:rsidR="00576A90" w:rsidRDefault="00576A90" w:rsidP="00576A90">
      <w:pPr>
        <w:pStyle w:val="TextoNormal"/>
      </w:pPr>
    </w:p>
    <w:p w14:paraId="1AC71413" w14:textId="77777777" w:rsidR="00576A90" w:rsidRDefault="00576A90" w:rsidP="00576A90">
      <w:pPr>
        <w:pStyle w:val="TextoNormal"/>
      </w:pPr>
      <w:r>
        <w:t>a) Tal como ha quedado reseñado en los antecedentes de este auto, la demandante, que no cita ninguno de los supuestos enumerados de forma abierta en la STC 155/2009, FJ 2, considera que la trascendencia constitucional de su recurso se manifiesta en que la sentencia impugnada dictada en apelación, al haber revalorado en contra del principio de inmediación y del derecho de defensa una declaración testifical y las fotografías tomadas con un teléfono móvil, modificó los hechos probados de la sentencia de primera instancia, revocó la condena y absolvió al acusado; a su juicio, esta revisión contrasta con la doctrina sentada en la STC 167/2002, de 18 de septiembre, sobre la exigencia de respetar las garantías de publicidad, inmediación y contradicción en la valoración de las pruebas en la segunda instancia penal, como manifestación del derecho a un proceso con todas las garantías (art. 24.2 CE) y a las exigencias del art. 6.1 del Convenio europeo para la protección de los derechos humanos y de las libertades fundamentales, en la interpretación que del mismo viene haciendo el Tribunal Europeo de Derechos Humanos.</w:t>
      </w:r>
    </w:p>
    <w:p w14:paraId="2CAFB2FD" w14:textId="77777777" w:rsidR="00576A90" w:rsidRDefault="00576A90" w:rsidP="00576A90">
      <w:pPr>
        <w:pStyle w:val="TextoNormal"/>
      </w:pPr>
    </w:p>
    <w:p w14:paraId="7460545D" w14:textId="77777777" w:rsidR="00576A90" w:rsidRDefault="00576A90" w:rsidP="00576A90">
      <w:pPr>
        <w:pStyle w:val="TextoNormal"/>
      </w:pPr>
      <w:r>
        <w:t>b) La argumentación de la demandante con la que pretende justificar la especial trascendencia constitucional viene formulada en términos de lesión, sin alzar por tanto la carga de argumentar en qué medida su recurso reviste “importancia para la interpretación de la Constitución, para su aplicación o para su general eficacia, y para la determinación del contenido y alcance de los derechos fundamentales”, tal como se exige del contenido del recurso en el art. 50.1 b) LOTC.</w:t>
      </w:r>
    </w:p>
    <w:p w14:paraId="1DBC7B6B" w14:textId="77777777" w:rsidR="00576A90" w:rsidRDefault="00576A90" w:rsidP="00576A90">
      <w:pPr>
        <w:pStyle w:val="TextoNormal"/>
      </w:pPr>
    </w:p>
    <w:p w14:paraId="06B92038" w14:textId="77777777" w:rsidR="00576A90" w:rsidRDefault="00576A90" w:rsidP="00576A90">
      <w:pPr>
        <w:pStyle w:val="TextoNormal"/>
      </w:pPr>
      <w:r>
        <w:t xml:space="preserve">En segundo lugar, en relación con el canon de control constitucional de las sentencias penales que, con ocasión de un recurso de apelación, revocan la sentencia condenatoria dictada en primera instancia y absuelven al acusado, este tribunal ha declarado que la STC 167/2002, de 18 de septiembre —invocada por la demandante en el presente recurso de amparo para fundar la especial trascendencia constitucional—, “se ocupó del alcance de las garantías constitucionales para quien resulta condenado en la segunda instancia, tras revisar una previa absolución, inspirándose en la doctrina del Tribunal Europeo de Derechos Humanos (entre otras, SSTEDH de 26 de mayo de 1988, caso </w:t>
      </w:r>
      <w:r w:rsidRPr="00576A90">
        <w:rPr>
          <w:i/>
        </w:rPr>
        <w:t>Ekbatani c. Suecia</w:t>
      </w:r>
      <w:r>
        <w:t xml:space="preserve">, o de 27 de junio de 2000, caso </w:t>
      </w:r>
      <w:r w:rsidRPr="00576A90">
        <w:rPr>
          <w:i/>
        </w:rPr>
        <w:t>Constantinescu c. Rumanía</w:t>
      </w:r>
      <w:r>
        <w:t>). Según esa doctrina, el respeto a los principios de publicidad, inmediación y contradicción, que forman parte del contenido del derecho a un proceso con todas las garantías (art. 24.2 CE), impone inexorablemente que toda condena articulada sobre pruebas personales se fundamente en una actividad pro</w:t>
      </w:r>
      <w:r>
        <w:lastRenderedPageBreak/>
        <w:t>batoria que el órgano judicial haya examinado directa y personalmente en un debate público, en el que se respete la posibilidad de contradicción.</w:t>
      </w:r>
    </w:p>
    <w:p w14:paraId="65FD932F" w14:textId="77777777" w:rsidR="00576A90" w:rsidRDefault="00576A90" w:rsidP="00576A90">
      <w:pPr>
        <w:pStyle w:val="TextoNormal"/>
      </w:pPr>
    </w:p>
    <w:p w14:paraId="06409AB7" w14:textId="77777777" w:rsidR="00576A90" w:rsidRDefault="00576A90" w:rsidP="00576A90">
      <w:pPr>
        <w:pStyle w:val="TextoNormal"/>
      </w:pPr>
      <w:r>
        <w:t>[...] frente a esa tipología de casos, en el presente asunto el apelante solicitaba en aquel motivo del recurso su propia absolución, y que nuestra jurisprudencia no veda, como se ha visto, dicha valoración probatoria cuando se trata de sentencias condenatorias en primera instancia, aunque tampoco la previa celebración de vista si el órgano judicial lo considera necesario para responder con todas las garantías a la pretensión formulada. [...]</w:t>
      </w:r>
    </w:p>
    <w:p w14:paraId="6CB5C217" w14:textId="77777777" w:rsidR="00576A90" w:rsidRDefault="00576A90" w:rsidP="00576A90">
      <w:pPr>
        <w:pStyle w:val="TextoNormal"/>
      </w:pPr>
    </w:p>
    <w:p w14:paraId="1E96C949" w14:textId="77777777" w:rsidR="00576A90" w:rsidRDefault="00576A90" w:rsidP="00576A90">
      <w:pPr>
        <w:pStyle w:val="TextoNormal"/>
      </w:pPr>
      <w:r>
        <w:t xml:space="preserve">Lo único que no puede admitirse es la invocación la STC 167/2002, de 18 de septiembre, para negar el derecho al recurso frente a la condena penal impuesta en primera instancia. Precisamente en esa misma sentencia el Pleno del Tribunal dispuso que el recurso de apelación en el procedimiento penal abreviado, tal y como aparece configurado en nuestro ordenamiento, otorga plenas facultades o plena jurisdicción al tribunal </w:t>
      </w:r>
      <w:r w:rsidRPr="00576A90">
        <w:rPr>
          <w:i/>
        </w:rPr>
        <w:t>ad quem</w:t>
      </w:r>
      <w:r>
        <w:t xml:space="preserve"> para resolver cuantas cuestiones se planteen, sean de hecho o de Derecho. Su carácter, reiteradamente proclamado por este tribunal, de </w:t>
      </w:r>
      <w:r w:rsidRPr="00576A90">
        <w:rPr>
          <w:i/>
        </w:rPr>
        <w:t>novum iudicium</w:t>
      </w:r>
      <w:r>
        <w:t xml:space="preserve">, con el llamado efecto devolutivo, conlleva que el juzgador </w:t>
      </w:r>
      <w:r w:rsidRPr="00576A90">
        <w:rPr>
          <w:i/>
        </w:rPr>
        <w:t>ad quem</w:t>
      </w:r>
      <w:r>
        <w:t xml:space="preserve"> asuma la plena jurisdicción sobre el caso, en idéntica situación que el juez </w:t>
      </w:r>
      <w:r w:rsidRPr="00576A90">
        <w:rPr>
          <w:i/>
        </w:rPr>
        <w:t>a quo</w:t>
      </w:r>
      <w:r>
        <w:t>, no solo por lo que respecta a la subsunción de los hechos en la norma, sino también para la determinación de tales hechos a través de la valoración de la prueba, pudiendo revisar y corregir la ponderación llevada a cabo por el jue</w:t>
      </w:r>
      <w:r w:rsidRPr="00576A90">
        <w:rPr>
          <w:i/>
        </w:rPr>
        <w:t>z a q</w:t>
      </w:r>
      <w:r>
        <w:t>uo.</w:t>
      </w:r>
    </w:p>
    <w:p w14:paraId="471F5E21" w14:textId="77777777" w:rsidR="00576A90" w:rsidRDefault="00576A90" w:rsidP="00576A90">
      <w:pPr>
        <w:pStyle w:val="TextoNormal"/>
      </w:pPr>
    </w:p>
    <w:p w14:paraId="6E618ECF" w14:textId="77777777" w:rsidR="00576A90" w:rsidRDefault="00576A90" w:rsidP="00576A90">
      <w:pPr>
        <w:pStyle w:val="TextoNormal"/>
      </w:pPr>
      <w:r>
        <w:t xml:space="preserve">Esto así, que en el ejercicio de las facultades que la Ley de enjuiciamiento criminal otorga al tribunal </w:t>
      </w:r>
      <w:r w:rsidRPr="00576A90">
        <w:rPr>
          <w:i/>
        </w:rPr>
        <w:t>ad quem</w:t>
      </w:r>
      <w:r>
        <w:t xml:space="preserve"> deban respetarse en todo caso las garantías constitucionales establecidas en el art. 24.2 CE, antes enunciadas, con celebración si es menester de vista en apelación, no puede argüirse para impedir en casos como el actual, de condena en primera instancia, el derecho a la revisión del fallo condenatorio y la pena por un tribunal superior, esto es, el derecho a un recurso efectivo y a la segunda instancia penal. Es, por lo demás, el derecho consagrado en el art. 14.5 del Pacto internacional de derechos civiles y políticos y en el art. 2 del Protocolo 7 del Convenio europeo para la protección de los derechos humanos y de las libertades fundamentales (ratificado por España el 28 de agosto de 2009, ‘Boletín Oficial del Estado’ de 15 de octubre de 2009) y que forma parte de las garantías del proceso justo consagradas en el art. 24.2 CE (por todas, SSTC 42/1982, de 5 de julio, FJ 3; 76/1982, de 14 de diciembre, FJ 5; 70/2002, de 3 de abril, FJ 7, y 116/2006, de 24 de abril, FJ 5), pues toda persona declarada culpable de un delito tiene derecho a que el fallo condenatorio y la pena que se le haya impuesto sean sometidos a un tribunal superior y a que un tribunal superior controle la corrección del juicio realizado en primera instancia, revisando la correcta aplicación de las reglas que han permitido la declaración de culpabilidad y la imposición de la pena en el caso concreto (SSTC 70/2002, de 3 de abril, FJ 7; 105/2003, de 2 de junio, FJ 2, y 136/2006, de 8 de mayo, FJ 3)” (STC 184/2013, de 4 de noviembre, FFJJ 6 y 7).</w:t>
      </w:r>
    </w:p>
    <w:p w14:paraId="209DA5C3" w14:textId="77777777" w:rsidR="00576A90" w:rsidRDefault="00576A90" w:rsidP="00576A90">
      <w:pPr>
        <w:pStyle w:val="TextoNormal"/>
      </w:pPr>
    </w:p>
    <w:p w14:paraId="178FEE0A" w14:textId="4F37B877" w:rsidR="00576A90" w:rsidRDefault="00576A90" w:rsidP="00576A90">
      <w:pPr>
        <w:pStyle w:val="TextoNormal"/>
      </w:pPr>
      <w:r>
        <w:t>Queda constatada, por tanto, la existencia de precedentes constitucionales que se han pronunciado sobre aquello que en el presente recurso de amparo se alega como causa de especial trascendencia constitucional, lo que determina su inadmisión al no cumplir el requisito previsto en el art. 50.1 b) LOTC.</w:t>
      </w:r>
    </w:p>
    <w:p w14:paraId="1F370131" w14:textId="77777777" w:rsidR="00576A90" w:rsidRDefault="00576A90" w:rsidP="00576A90">
      <w:pPr>
        <w:pStyle w:val="TextoNormal"/>
      </w:pPr>
    </w:p>
    <w:p w14:paraId="5BFBE4AC" w14:textId="77777777" w:rsidR="00576A90" w:rsidRDefault="00576A90" w:rsidP="00576A90">
      <w:pPr>
        <w:pStyle w:val="TextoNormal"/>
      </w:pPr>
      <w:r>
        <w:t>Por lo expuesto, la Sección</w:t>
      </w:r>
    </w:p>
    <w:p w14:paraId="477862C4" w14:textId="7071E21A" w:rsidR="00576A90" w:rsidRDefault="00576A90" w:rsidP="00576A90">
      <w:pPr>
        <w:pStyle w:val="TextoNormal"/>
      </w:pPr>
    </w:p>
    <w:p w14:paraId="370E630E" w14:textId="77777777" w:rsidR="00576A90" w:rsidRDefault="00576A90" w:rsidP="00576A90">
      <w:pPr>
        <w:pStyle w:val="TextoNormalCentrado"/>
      </w:pPr>
      <w:r>
        <w:lastRenderedPageBreak/>
        <w:t>ACUERDA</w:t>
      </w:r>
    </w:p>
    <w:p w14:paraId="25C94297" w14:textId="350C61BD" w:rsidR="00576A90" w:rsidRDefault="00576A90" w:rsidP="00576A90">
      <w:pPr>
        <w:pStyle w:val="TextoNormalCentrado"/>
      </w:pPr>
    </w:p>
    <w:p w14:paraId="387AC877" w14:textId="77777777" w:rsidR="00576A90" w:rsidRDefault="00576A90" w:rsidP="00576A90">
      <w:pPr>
        <w:pStyle w:val="TextoNormal"/>
      </w:pPr>
      <w:r>
        <w:t>1º Estimar el recurso de súplica interpuesto por el Ministerio Fiscal y, en consecuencia, dejar sin efecto la providencia impugnada de 19 de abril de 2024, de inadmisión a trámite del recurso amparo interpuesto por doña Ángeles Núñez Moya.</w:t>
      </w:r>
    </w:p>
    <w:p w14:paraId="3569EB50" w14:textId="77777777" w:rsidR="00576A90" w:rsidRDefault="00576A90" w:rsidP="00576A90">
      <w:pPr>
        <w:pStyle w:val="TextoNormal"/>
      </w:pPr>
    </w:p>
    <w:p w14:paraId="15829678" w14:textId="187129D0" w:rsidR="00576A90" w:rsidRDefault="00576A90" w:rsidP="00576A90">
      <w:pPr>
        <w:pStyle w:val="TextoNormal"/>
      </w:pPr>
      <w:r>
        <w:t>2º Inadmitir el presente recurso de amparo al no apreciar en el mismo la especial trascendencia constitucional que requiere el art. 50.1 b) LOTC (STC 155/2009, de 25 de junio, FJ 2).</w:t>
      </w:r>
    </w:p>
    <w:p w14:paraId="4FD7A992" w14:textId="77777777" w:rsidR="00576A90" w:rsidRDefault="00576A90" w:rsidP="00576A90">
      <w:pPr>
        <w:pStyle w:val="TextoNormal"/>
      </w:pPr>
    </w:p>
    <w:p w14:paraId="2BBF2A5A" w14:textId="77777777" w:rsidR="00576A90" w:rsidRDefault="00576A90" w:rsidP="00576A90">
      <w:pPr>
        <w:pStyle w:val="TextoNormal"/>
      </w:pPr>
      <w:r>
        <w:t>Madrid, a veintisiete de mayo de dos mil veinticuatro.</w:t>
      </w:r>
    </w:p>
    <w:p w14:paraId="2B1B0DC4" w14:textId="47EBDF63" w:rsidR="00576A90" w:rsidRDefault="00576A90">
      <w:pPr>
        <w:spacing w:after="160" w:line="259" w:lineRule="auto"/>
        <w:rPr>
          <w:rFonts w:ascii="Times New Roman" w:eastAsia="Times New Roman" w:hAnsi="Times New Roman" w:cs="Times New Roman"/>
          <w:sz w:val="24"/>
          <w:szCs w:val="24"/>
          <w:lang w:eastAsia="es-ES"/>
        </w:rPr>
      </w:pPr>
      <w:r>
        <w:br w:type="page"/>
      </w:r>
    </w:p>
    <w:p w14:paraId="60B88B53" w14:textId="77777777" w:rsidR="00576A90" w:rsidRDefault="00576A90" w:rsidP="00576A90">
      <w:pPr>
        <w:pStyle w:val="TtuloResolucin"/>
      </w:pPr>
      <w:bookmarkStart w:id="147" w:name="AUTO_2024_52"/>
      <w:r>
        <w:lastRenderedPageBreak/>
        <w:t>AUTO 52/2024, de 29 de mayo de 2024</w:t>
      </w:r>
    </w:p>
    <w:bookmarkEnd w:id="147"/>
    <w:p w14:paraId="563D3B74" w14:textId="77777777" w:rsidR="00576A90" w:rsidRDefault="00576A90" w:rsidP="00576A90">
      <w:pPr>
        <w:pStyle w:val="TtuloResolucin"/>
      </w:pPr>
      <w:r>
        <w:t>Sección Cuarta</w:t>
      </w:r>
    </w:p>
    <w:p w14:paraId="028E97F2" w14:textId="77777777" w:rsidR="00576A90" w:rsidRDefault="00576A90" w:rsidP="00576A90">
      <w:pPr>
        <w:pStyle w:val="TextoNormalCentrado"/>
      </w:pPr>
      <w:r>
        <w:t>ECLI:ES:TC:2024:52A</w:t>
      </w:r>
    </w:p>
    <w:p w14:paraId="64F929AB" w14:textId="45C06FD2" w:rsidR="00576A90" w:rsidRDefault="00576A90" w:rsidP="00576A90">
      <w:pPr>
        <w:pStyle w:val="TextoNormalCentrado"/>
      </w:pPr>
    </w:p>
    <w:p w14:paraId="3E510B89" w14:textId="77777777" w:rsidR="00576A90" w:rsidRDefault="00576A90" w:rsidP="00576A90">
      <w:pPr>
        <w:pStyle w:val="SntesisDescriptiva"/>
      </w:pPr>
      <w:r>
        <w:t>Excms. Srs. doña María Luisa Balaguer Callejón, don Ramón Sáez Valcárcel y don Enrique Arnaldo Alcubilla.</w:t>
      </w:r>
    </w:p>
    <w:p w14:paraId="5CB7CCFE" w14:textId="12400D75" w:rsidR="00576A90" w:rsidRDefault="00576A90" w:rsidP="00576A90">
      <w:pPr>
        <w:pStyle w:val="SntesisDescriptiva"/>
      </w:pPr>
    </w:p>
    <w:p w14:paraId="0A93D341" w14:textId="77777777" w:rsidR="00576A90" w:rsidRDefault="00576A90" w:rsidP="00576A90">
      <w:pPr>
        <w:pStyle w:val="SntesisDescriptiva"/>
      </w:pPr>
      <w:r>
        <w:t>Inadmite a trámite el recurso de amparo 1492-2023, promovido por doña María Dolores Merino Chacón en procedimiento parlamentario. Voto particular.</w:t>
      </w:r>
    </w:p>
    <w:p w14:paraId="02FA86B0" w14:textId="600DC036" w:rsidR="00576A90" w:rsidRDefault="00576A90" w:rsidP="00576A90">
      <w:pPr>
        <w:pStyle w:val="SntesisDescriptiva"/>
      </w:pPr>
    </w:p>
    <w:p w14:paraId="269847BA" w14:textId="77777777" w:rsidR="00576A90" w:rsidRDefault="00576A90" w:rsidP="00576A90">
      <w:pPr>
        <w:pStyle w:val="SntesisDescriptiva"/>
      </w:pPr>
    </w:p>
    <w:p w14:paraId="324DDBE3" w14:textId="77777777" w:rsidR="00576A90" w:rsidRDefault="00576A90" w:rsidP="00576A90">
      <w:pPr>
        <w:pStyle w:val="SntesisDescriptiva"/>
      </w:pPr>
    </w:p>
    <w:p w14:paraId="787976D2" w14:textId="77777777" w:rsidR="00576A90" w:rsidRDefault="00576A90" w:rsidP="00576A90">
      <w:pPr>
        <w:pStyle w:val="TextoNormalNegritaCentrado"/>
      </w:pPr>
      <w:r>
        <w:t>AUTO</w:t>
      </w:r>
    </w:p>
    <w:p w14:paraId="7ECD2D16" w14:textId="2047AB0B" w:rsidR="00576A90" w:rsidRDefault="00576A90" w:rsidP="00576A90">
      <w:pPr>
        <w:pStyle w:val="TextoNormalNegritaCentrado"/>
      </w:pPr>
    </w:p>
    <w:p w14:paraId="10A698AB" w14:textId="77777777" w:rsidR="00576A90" w:rsidRDefault="00576A90" w:rsidP="00576A90">
      <w:pPr>
        <w:pStyle w:val="TextoNormalNegritaCentrado"/>
        <w:keepNext/>
      </w:pPr>
      <w:r>
        <w:t>I. Antecedentes</w:t>
      </w:r>
    </w:p>
    <w:p w14:paraId="6CC5D65D" w14:textId="7CBD9914" w:rsidR="00576A90" w:rsidRDefault="00576A90" w:rsidP="00576A90">
      <w:pPr>
        <w:pStyle w:val="TextoNormalNegritaCentrado"/>
        <w:keepNext/>
      </w:pPr>
    </w:p>
    <w:p w14:paraId="3F8B3989" w14:textId="392D557F" w:rsidR="00576A90" w:rsidRDefault="00576A90" w:rsidP="00576A90">
      <w:pPr>
        <w:pStyle w:val="TextoNormal"/>
      </w:pPr>
      <w:r w:rsidRPr="00576A90">
        <w:rPr>
          <w:rStyle w:val="NumeroAFNegritaCaracter"/>
        </w:rPr>
        <w:t>1</w:t>
      </w:r>
      <w:r>
        <w:t>. El día 6 de marzo de 2023, el procurador de los tribunales don Vicente Ruigómez Muriedas, en nombre y representación de doña María Dolores Merino Chacón, portavoz del Grupo Parlamentario Popular en las Cortes de Castilla-La Mancha, y bajo la dirección letrada de don Agustín Conde Bajén, interpone recurso de amparo contra el acuerdo de la mesa de las Cortes de Castilla-La Mancha, de 7 de noviembre de 2022, de inadmisión a trámite de la solicitud de interpelación urgente al presidente de la Junta de Comunidades de Castilla-La Mancha, “en relación con sus declaraciones sobre la posible modificación del Código penal al respecto de los líderes del proceso independentista de Cataluña”, así como contra el acuerdo de 12 de diciembre de 2022 de la misma mesa que desestima la reconsideración formulada contra el primer acuerdo mencionado, por considerar que ha sido vulnerado su derecho a ejercer las funciones representativas (art. 23.2 CE).</w:t>
      </w:r>
    </w:p>
    <w:p w14:paraId="763B5CDF" w14:textId="77777777" w:rsidR="00576A90" w:rsidRDefault="00576A90" w:rsidP="00576A90">
      <w:pPr>
        <w:pStyle w:val="TextoNormal"/>
      </w:pPr>
    </w:p>
    <w:p w14:paraId="4606276D" w14:textId="77777777" w:rsidR="00576A90" w:rsidRDefault="00576A90" w:rsidP="00576A90">
      <w:pPr>
        <w:pStyle w:val="TextoNormal"/>
      </w:pPr>
      <w:r w:rsidRPr="00576A90">
        <w:rPr>
          <w:rStyle w:val="NumeroAFNegritaCaracter"/>
        </w:rPr>
        <w:t>2</w:t>
      </w:r>
      <w:r>
        <w:t>. Los hechos relevantes para resolver el pretendido recurso de amparo son, sucintamente expuestos, los siguientes:</w:t>
      </w:r>
    </w:p>
    <w:p w14:paraId="69AA3CD7" w14:textId="77777777" w:rsidR="00576A90" w:rsidRDefault="00576A90" w:rsidP="00576A90">
      <w:pPr>
        <w:pStyle w:val="TextoNormal"/>
      </w:pPr>
    </w:p>
    <w:p w14:paraId="46E4BD2E" w14:textId="77777777" w:rsidR="00576A90" w:rsidRDefault="00576A90" w:rsidP="00576A90">
      <w:pPr>
        <w:pStyle w:val="TextoNormal"/>
      </w:pPr>
      <w:r>
        <w:t>a) El 3 de noviembre de 2022, la portavoz del Grupo Parlamentario Popular, doña María Dolores Merino Chacón, presentó en el registro de las Cortes de Castilla-La Mancha un escrito en el que formulaba solicitud de “interpelación urgente al presidente de la Junta de Comunidades de Castilla-La Mancha […] ‘en relación con sus declaraciones sobre la posible modificación del Código penal al respecto de los líderes del proceso independentista en Cataluña’”, realizadas el 27 de octubre de 2022 con ocasión de un viaje a Bruselas en el que se reunió con el comisario de Agricultura y Desarrollo Rural de la Unión Europea. El presidente de Castilla-La Mancha no se limitó a hablar del contenido de su reunión con el comisario de Agricultura, sino que, por el contrario, se prodigó en consideraciones sobre los condenados por el proceso independentista en Cataluña, la reforma del Código penal en lo relativo al delito de sedición y la necesidad de proteger la Constitución. De esas declaraciones se hicieron amplio eco diversos medios de comunicación de ámbito nacional y regional.</w:t>
      </w:r>
    </w:p>
    <w:p w14:paraId="6A0B3042" w14:textId="77777777" w:rsidR="00576A90" w:rsidRDefault="00576A90" w:rsidP="00576A90">
      <w:pPr>
        <w:pStyle w:val="TextoNormal"/>
      </w:pPr>
    </w:p>
    <w:p w14:paraId="0D9641D4" w14:textId="77777777" w:rsidR="00576A90" w:rsidRDefault="00576A90" w:rsidP="00576A90">
      <w:pPr>
        <w:pStyle w:val="TextoNormal"/>
      </w:pPr>
      <w:r>
        <w:t xml:space="preserve">b) El 4 de noviembre de 2022, el presidente de las Cortes de Castilla-La Mancha manifestó que la iniciativa “no cumple los requisitos del artículo 184.1 del Reglamento al no </w:t>
      </w:r>
      <w:r>
        <w:lastRenderedPageBreak/>
        <w:t>tener como objeto ‘los motivos o propósitos del Consejo de Gobierno en cuestiones de política general, incluso las referidas a una consejería en cualquiera de sus programas’”. Por esta misma causa, el 7 de noviembre de 2022, la mesa de las Cortes acordó no admitir a trámite la interpelación.</w:t>
      </w:r>
    </w:p>
    <w:p w14:paraId="2D7D43E5" w14:textId="77777777" w:rsidR="00576A90" w:rsidRDefault="00576A90" w:rsidP="00576A90">
      <w:pPr>
        <w:pStyle w:val="TextoNormal"/>
      </w:pPr>
    </w:p>
    <w:p w14:paraId="3D1F3BCC" w14:textId="77777777" w:rsidR="00576A90" w:rsidRDefault="00576A90" w:rsidP="00576A90">
      <w:pPr>
        <w:pStyle w:val="TextoNormal"/>
      </w:pPr>
      <w:r>
        <w:t>c) El 21 de noviembre de 2022, doña María Dolores Merino Chacón formula recurso de reconsideración contra dicho acuerdo de la mesa, en el que, tras exponer las razones jurídicas que considera aplicables al caso, solicita que se deje sin efecto el acuerdo impugnado y se dicte otro por el que su iniciativa de interpelación sea calificada favorablemente y admitida a trámite.</w:t>
      </w:r>
    </w:p>
    <w:p w14:paraId="7C499551" w14:textId="77777777" w:rsidR="00576A90" w:rsidRDefault="00576A90" w:rsidP="00576A90">
      <w:pPr>
        <w:pStyle w:val="TextoNormal"/>
      </w:pPr>
    </w:p>
    <w:p w14:paraId="781F6B4E" w14:textId="77777777" w:rsidR="00576A90" w:rsidRDefault="00576A90" w:rsidP="00576A90">
      <w:pPr>
        <w:pStyle w:val="TextoNormal"/>
      </w:pPr>
      <w:r>
        <w:t>d) Al efecto de poder resolver sobre dicho recurso de reconsideración, se solicita informe a los servicios jurídicos de la Cámara, que es emitido, el 7 de diciembre de 2022, por el letrado-director. En dicho informe, tras exponer la doctrina del Tribunal Constitucional sobre las facultades de las mesas de los parlamentos respecto de la admisión a trámite de iniciativas parlamentarias (SSTC 95/1994, de 21 de marzo; 41/1995, de 13 de febrero; 118/1995, de 17 de julio; 124/1995, de 18 de julio; 38/1999, de 22 de marzo; 177/2002, de 14 de octubre; 40/2003, de 27 de febrero; 201/2014, de 15 de diciembre; 1/2015 de 19 de enero, y ATC 304/1996, de 28 de octubre), el letrado-director concluye que el acuerdo de la mesa del 7 de noviembre de 2022 “no cumpliría el canon de motivación adecuada y suficiente exigida por el Tribunal Constitucional, al no poder comprobarse si la causa aducida para el rechazo es adecuada y si el acuerdo parlamentario es razonable y razonado”. Ello no impediría, no obstante, que “en vía de reconsideración la mesa, que es el único órgano legitimado para apreciar si los contenidos de la interpelación presentada cumplen las condiciones reglamentarias, pueda, en su caso, exteriorizar una motivación suficiente y adecuada para inadmitir la interpelación presentada, lo que también ha sido validado por el Tribunal Constitucional en supuestos similares (STC 225/1992, de 14 de diciembre)”.</w:t>
      </w:r>
    </w:p>
    <w:p w14:paraId="72FDA8CF" w14:textId="77777777" w:rsidR="00576A90" w:rsidRDefault="00576A90" w:rsidP="00576A90">
      <w:pPr>
        <w:pStyle w:val="TextoNormal"/>
      </w:pPr>
    </w:p>
    <w:p w14:paraId="1CDE3727" w14:textId="77777777" w:rsidR="00576A90" w:rsidRDefault="00576A90" w:rsidP="00576A90">
      <w:pPr>
        <w:pStyle w:val="TextoNormal"/>
      </w:pPr>
      <w:r>
        <w:t>e) El 12 de diciembre de 2022 la mesa de las Cortes de Castilla-La Mancha desestima la reconsideración formulada en los términos siguientes:</w:t>
      </w:r>
    </w:p>
    <w:p w14:paraId="73A978D6" w14:textId="77777777" w:rsidR="00576A90" w:rsidRDefault="00576A90" w:rsidP="00576A90">
      <w:pPr>
        <w:pStyle w:val="TextoNormal"/>
      </w:pPr>
    </w:p>
    <w:p w14:paraId="63AC8A7D" w14:textId="77777777" w:rsidR="00576A90" w:rsidRDefault="00576A90" w:rsidP="00576A90">
      <w:pPr>
        <w:pStyle w:val="TextoNormal"/>
      </w:pPr>
      <w:r>
        <w:t>“Según el artículo 184.1 del Reglamento de la Cámara, ‘las interpelaciones se presentarán por escrito ante la mesa de las Cortes y tendrán por objeto los motivos o propósitos de la conducta del Consejo de Gobierno en cuestiones de política general, incluso las referidas a una consejería en cualquiera de sus programas’. Esta iniciativa parlamentaria tiene, por tanto, unos motivos tasados por el Reglamento.</w:t>
      </w:r>
    </w:p>
    <w:p w14:paraId="41CE0F7D" w14:textId="77777777" w:rsidR="00576A90" w:rsidRDefault="00576A90" w:rsidP="00576A90">
      <w:pPr>
        <w:pStyle w:val="TextoNormal"/>
      </w:pPr>
    </w:p>
    <w:p w14:paraId="29CB7132" w14:textId="29CAE679" w:rsidR="00576A90" w:rsidRDefault="00576A90" w:rsidP="00576A90">
      <w:pPr>
        <w:pStyle w:val="TextoNormal"/>
      </w:pPr>
      <w:r>
        <w:t>El objeto sobre el que versa la interpelación son unas declaraciones a la prensa del presidente de la Junta de Comunidades y secretario general del Partido Socialista de Castilla-La Mancha-PSOE sobre la conveniencia de una posible modificación del Código penal; lo cual no encuentra acomodo en el objeto propio de las interpelaciones ya que sobre dicho cuerpo legal y la política penal en general, competencia exclusiva del Estado según el artículo 149.1.6 de la Constitución, es imposible constitucionalmente que pueda existir conducta o intervención del Consejo de Gobierno ni de ninguna de las consejerías”.</w:t>
      </w:r>
    </w:p>
    <w:p w14:paraId="4435AF82" w14:textId="77777777" w:rsidR="00576A90" w:rsidRDefault="00576A90" w:rsidP="00576A90">
      <w:pPr>
        <w:pStyle w:val="TextoNormal"/>
      </w:pPr>
    </w:p>
    <w:p w14:paraId="69D34099" w14:textId="77777777" w:rsidR="00576A90" w:rsidRDefault="00576A90" w:rsidP="00576A90">
      <w:pPr>
        <w:pStyle w:val="TextoNormal"/>
      </w:pPr>
      <w:r w:rsidRPr="00576A90">
        <w:rPr>
          <w:rStyle w:val="NumeroAFNegritaCaracter"/>
        </w:rPr>
        <w:t>3</w:t>
      </w:r>
      <w:r>
        <w:t>. La recurrente alega en su demanda de amparo la vulneración del derecho fundamental a ejercer sus funciones representativas (art. 23.2 CE), en relación con el derecho fun</w:t>
      </w:r>
      <w:r>
        <w:lastRenderedPageBreak/>
        <w:t>damental de los ciudadanos a participar en tales asuntos a través de sus representantes (art. 23.1 CE), al entender que la decisión de la mesa afecta al núcleo de la función representativa, en concreto, a la función de control de la acción del Gobierno.</w:t>
      </w:r>
    </w:p>
    <w:p w14:paraId="16C02982" w14:textId="77777777" w:rsidR="00576A90" w:rsidRDefault="00576A90" w:rsidP="00576A90">
      <w:pPr>
        <w:pStyle w:val="TextoNormal"/>
      </w:pPr>
    </w:p>
    <w:p w14:paraId="52192AE1" w14:textId="77777777" w:rsidR="00576A90" w:rsidRDefault="00576A90" w:rsidP="00576A90">
      <w:pPr>
        <w:pStyle w:val="TextoNormal"/>
      </w:pPr>
      <w:r>
        <w:t>Tras recordar cómo se encuentran reguladas las interpelaciones en el Reglamento de las Cortes de Castilla (RCCM), señala que, aunque este “concibe la interpelación como un instrumento que permite suscitar el debate de los diputados con el Gobierno sobre cuestiones ‘de política general’ que determinen la ‘conducta o propósitos del Consejo de Gobierno’, o ‘incluso’ sobre ‘los programas que afecten a una consejería’[,] [l]o que el citado precepto del RCCM no dice es que esas cuestiones de política general deban ser de política general dentro de las competencias de la Junta de Comunidades de Castilla-La Mancha, o que sean generales en Castilla-La Mancha, pero que no afecten al resto del país”.</w:t>
      </w:r>
    </w:p>
    <w:p w14:paraId="43075592" w14:textId="77777777" w:rsidR="00576A90" w:rsidRDefault="00576A90" w:rsidP="00576A90">
      <w:pPr>
        <w:pStyle w:val="TextoNormal"/>
      </w:pPr>
    </w:p>
    <w:p w14:paraId="7B161FB3" w14:textId="77777777" w:rsidR="00576A90" w:rsidRDefault="00576A90" w:rsidP="00576A90">
      <w:pPr>
        <w:pStyle w:val="TextoNormal"/>
      </w:pPr>
      <w:r>
        <w:t>Según la recurrente, “[s]i a los presidentes autonómicos se les permite deliberar entre sí y con el presidente del Gobierno sobre asuntos de interés para el Estado, y si a los parlamentos autonómicos se les permite remitir a las Cortes proposiciones de ley, es evidente que de los debates en esos parlamentos autonómicos no tienen por qué quedar excluidos asuntos de interés general que trasciendan del estricto marco estatutario”, sin que ello suponga defender “que los parlamentos autonómicos tengan la capacidad de aprobar acuerdos de contenido jurídico (en el amplio sentido del término recogido en la STC 42/2014, de 25 de marzo) que excedan de su marco estatutario, pero sí que pueden suscitar debates de contenido político que vayan más allá de ese marco estatutario y que pueden derivar incluso en proposiciones de ley que se remitirían a la sede de la soberanía nacional”.</w:t>
      </w:r>
    </w:p>
    <w:p w14:paraId="7AAAF7FD" w14:textId="77777777" w:rsidR="00576A90" w:rsidRDefault="00576A90" w:rsidP="00576A90">
      <w:pPr>
        <w:pStyle w:val="TextoNormal"/>
      </w:pPr>
    </w:p>
    <w:p w14:paraId="26142566" w14:textId="77777777" w:rsidR="00576A90" w:rsidRDefault="00576A90" w:rsidP="00576A90">
      <w:pPr>
        <w:pStyle w:val="TextoNormal"/>
      </w:pPr>
      <w:r>
        <w:t>Consecuentemente, en su opinión, “de la expresión ‘cuestiones de política general’, empleada por el artículo 183 RCCM al señalar el objeto de las interpelaciones, no pueden quedar excluidas aquellas cuestiones políticas que no versen sobre las competencias autonómicas, pero que puedan ser de interés político en la región”. Por eso, sostiene que, al hacer una interpretación del artículo 183 RCCM, la mesa “debió hacerlo de modo extensivo y no restrictivo”, ya que “la Constitución ha introducido un principio de interpretación del ordenamiento jurídico en el sentido más favorable al ejercicio y disfrute de los derechos fundamentales que ha de ser tenido en cuenta por todos los poderes públicos STC 76/1987, de 25 de mayo, FJ 2; doctrina que reitera la STC 24/1990, de 15 de febrero, FJ 2)”.</w:t>
      </w:r>
    </w:p>
    <w:p w14:paraId="7F03477A" w14:textId="77777777" w:rsidR="00576A90" w:rsidRDefault="00576A90" w:rsidP="00576A90">
      <w:pPr>
        <w:pStyle w:val="TextoNormal"/>
      </w:pPr>
    </w:p>
    <w:p w14:paraId="5A686539" w14:textId="77777777" w:rsidR="00576A90" w:rsidRDefault="00576A90" w:rsidP="00576A90">
      <w:pPr>
        <w:pStyle w:val="TextoNormal"/>
      </w:pPr>
      <w:r>
        <w:t>Además, para encuadrar la iniciativa objeto del presente recurso en el marco de los precedentes, se ha de tener en cuenta, según sostiene la recurrente, que “la mesa ha venido calificando y admitiendo a trámite solicitudes de debate general sobre temas relacionados con la interpelación objeto de este recurso, como son los pactos del Gobierno de España con ‘los independentistas’, las declaraciones del presidente de Castilla-La Mancha ‘sobre los independentistas’, o incluso sobre la inclusión de un representante del grupo parlamentario de EH Bildu en la Comisión de Secretos Oficiales del Congreso de los Diputados”. Y, en tal sentido, apela al respeto de los usos parlamentarios, en tanto que fuente normativa del derecho parlamentario, lo que permite entender que el precedente parlamentario genera el derecho a que la norma del Reglamento “se aplique con criterio de igualdad al previamente empleado”. Además, observa que “[n]o se aporta [...] precedente alguno de inadmisión a trámite de una solicitud de interpelación sobre la base de que la cuestión po</w:t>
      </w:r>
      <w:r>
        <w:lastRenderedPageBreak/>
        <w:t>lítica que contenga no sea de política regional o referida a competencias estatutarias de la región”.</w:t>
      </w:r>
    </w:p>
    <w:p w14:paraId="0C9FDB7C" w14:textId="77777777" w:rsidR="00576A90" w:rsidRDefault="00576A90" w:rsidP="00576A90">
      <w:pPr>
        <w:pStyle w:val="TextoNormal"/>
      </w:pPr>
    </w:p>
    <w:p w14:paraId="0153020B" w14:textId="76C2E596" w:rsidR="00576A90" w:rsidRDefault="00576A90" w:rsidP="00576A90">
      <w:pPr>
        <w:pStyle w:val="TextoNormal"/>
      </w:pPr>
      <w:r>
        <w:t xml:space="preserve">En conclusión, para la recurrente, “[l]a negativa de la mesa de las Cortes de Castilla-La Mancha […] supuso impedir a los representantes de la minoría la celebración de un debate parlamentario con el […] presidente sobre un asunto que él mismo había introducido en la opinión pública; debate que hubiera implicado un contraste de opiniones, refutación de argumentos y que podría haber concluido con la votación de una moción consecuencia de la interpelación. Al vetar esa iniciativa se restringió indebidamente el pluralismo político, se hurtó a las Cortes convertirse en el foro del debate político de los representantes de los ciudadanos, se negó el ejercicio de la función de control del Gobierno que es esencial en toda democracia representativa real, y se impidió a los diputados de la minoría el ejercicio de su magistratura por aplastamiento de la mayoría”. Lo que conlleva una lesión del </w:t>
      </w:r>
      <w:r w:rsidRPr="00576A90">
        <w:rPr>
          <w:i/>
        </w:rPr>
        <w:t>ius in officium</w:t>
      </w:r>
      <w:r>
        <w:t xml:space="preserve"> de la diputada firmante de la iniciativa que alcanza al núcleo esencial del derecho del art. 23 CE. De ahí que considere que procede que el Tribunal Constitucional estime el presente recurso de amparo, y acuerde declarar que se ha vulnerado el derecho fundamental de los recurrentes a ejercer sus funciones representativas (art. 23.2 CE), así como la nulidad de los acuerdos de 7 de noviembre de 2022 y de 12 de diciembre de 2022 de la mesa de las Cortes de Castilla-La Mancha.</w:t>
      </w:r>
    </w:p>
    <w:p w14:paraId="35A2BB6A" w14:textId="77777777" w:rsidR="00576A90" w:rsidRDefault="00576A90" w:rsidP="00576A90">
      <w:pPr>
        <w:pStyle w:val="TextoNormal"/>
      </w:pPr>
    </w:p>
    <w:p w14:paraId="7ECD60EC" w14:textId="280C3B9E" w:rsidR="00576A90" w:rsidRDefault="00576A90" w:rsidP="00576A90">
      <w:pPr>
        <w:pStyle w:val="TextoNormal"/>
      </w:pPr>
      <w:r w:rsidRPr="00576A90">
        <w:rPr>
          <w:rStyle w:val="NumeroAFNegritaCaracter"/>
        </w:rPr>
        <w:t>4</w:t>
      </w:r>
      <w:r>
        <w:t>. Por diligencia de ordenación de 9 de marzo de 2023 del secretario de justicia de la Sección Cuarta (Sala Segunda) de este tribunal, se tiene por interpuesto el recurso de amparo.</w:t>
      </w:r>
    </w:p>
    <w:p w14:paraId="5CB48BB3" w14:textId="77777777" w:rsidR="00576A90" w:rsidRDefault="00576A90" w:rsidP="00576A90">
      <w:pPr>
        <w:pStyle w:val="TextoNormal"/>
      </w:pPr>
    </w:p>
    <w:p w14:paraId="27CA1AF1" w14:textId="141D704E" w:rsidR="00576A90" w:rsidRDefault="00576A90" w:rsidP="00576A90">
      <w:pPr>
        <w:pStyle w:val="TextoNormal"/>
      </w:pPr>
      <w:r w:rsidRPr="00576A90">
        <w:rPr>
          <w:rStyle w:val="NumeroAFNegritaCaracter"/>
        </w:rPr>
        <w:t>5</w:t>
      </w:r>
      <w:r>
        <w:t>. Por error material, una vez deliberado el asunto y decidida la inadmisión del recurso por inexistencia de lesión del derecho fundamental, se redactó y notificó providencia de inadmisión con fecha de 7 de mayo de 2024. Sin embargo, el Tribunal había acordado formalizar la inadmisión por medio de auto para permitir que el magistrado discrepante pudiera justificar y hacer pública su posición.</w:t>
      </w:r>
    </w:p>
    <w:p w14:paraId="27FCEA72" w14:textId="77777777" w:rsidR="00576A90" w:rsidRDefault="00576A90" w:rsidP="00576A90">
      <w:pPr>
        <w:pStyle w:val="TextoNormal"/>
      </w:pPr>
    </w:p>
    <w:p w14:paraId="02508110" w14:textId="77777777" w:rsidR="00576A90" w:rsidRDefault="00576A90" w:rsidP="00576A90">
      <w:pPr>
        <w:pStyle w:val="TextoNormalNegritaCentrado"/>
        <w:keepNext/>
      </w:pPr>
      <w:r>
        <w:t>II. Fundamentos jurídicos</w:t>
      </w:r>
    </w:p>
    <w:p w14:paraId="15DB14EF" w14:textId="10BEC9CD" w:rsidR="00576A90" w:rsidRDefault="00576A90" w:rsidP="00576A90">
      <w:pPr>
        <w:pStyle w:val="TextoNormalNegritaCentrado"/>
        <w:keepNext/>
      </w:pPr>
    </w:p>
    <w:p w14:paraId="66A6EF4D" w14:textId="77777777" w:rsidR="00576A90" w:rsidRDefault="00576A90" w:rsidP="00576A90">
      <w:pPr>
        <w:pStyle w:val="TextoNormal"/>
      </w:pPr>
      <w:r w:rsidRPr="00576A90">
        <w:rPr>
          <w:rStyle w:val="NumeroAFNegritaCaracter"/>
        </w:rPr>
        <w:t>1</w:t>
      </w:r>
      <w:r>
        <w:t xml:space="preserve">. </w:t>
      </w:r>
      <w:r w:rsidRPr="00576A90">
        <w:rPr>
          <w:i/>
        </w:rPr>
        <w:t>Objeto del recurso de amparo</w:t>
      </w:r>
    </w:p>
    <w:p w14:paraId="3F5D6043" w14:textId="77777777" w:rsidR="00576A90" w:rsidRDefault="00576A90" w:rsidP="00576A90">
      <w:pPr>
        <w:pStyle w:val="TextoNormal"/>
      </w:pPr>
    </w:p>
    <w:p w14:paraId="55D9A2B7" w14:textId="51F55EC6" w:rsidR="00576A90" w:rsidRDefault="00576A90" w:rsidP="00576A90">
      <w:pPr>
        <w:pStyle w:val="TextoNormal"/>
      </w:pPr>
      <w:r>
        <w:t>La recurrente en amparo impugna los acuerdos de la mesa de las Cortes de Castilla-La Mancha, de 7 de noviembre de 2022, de inadmisión a trámite de la solicitud de interpelación urgente, y de 12 de diciembre de 2022, de desestimación de la reconsideración formulada contra el primer acuerdo, alegando la vulneración del derecho fundamental a ejercer sus funciones representativas, según lo dispuesto en el art. 23.2 CE, en relación con el derecho fundamental de los ciudadanos a participar a través de sus representantes, previsto en el art. 23.1 CE, al entender que la decisión afecta al núcleo de la función representativa, en concreto, a la función de control de la acción del Gobierno.</w:t>
      </w:r>
    </w:p>
    <w:p w14:paraId="69C6A8FD" w14:textId="77777777" w:rsidR="00576A90" w:rsidRDefault="00576A90" w:rsidP="00576A90">
      <w:pPr>
        <w:pStyle w:val="TextoNormal"/>
      </w:pPr>
    </w:p>
    <w:p w14:paraId="6046C0F3" w14:textId="77777777" w:rsidR="00576A90" w:rsidRDefault="00576A90" w:rsidP="00576A90">
      <w:pPr>
        <w:pStyle w:val="TextoNormal"/>
      </w:pPr>
      <w:r w:rsidRPr="00576A90">
        <w:rPr>
          <w:rStyle w:val="NumeroAFNegritaCaracter"/>
        </w:rPr>
        <w:t>2</w:t>
      </w:r>
      <w:r>
        <w:t xml:space="preserve">. </w:t>
      </w:r>
      <w:r w:rsidRPr="00576A90">
        <w:rPr>
          <w:i/>
        </w:rPr>
        <w:t>Sobre la inexistencia de la vulneración invocada</w:t>
      </w:r>
    </w:p>
    <w:p w14:paraId="5FF41DB7" w14:textId="77777777" w:rsidR="00576A90" w:rsidRDefault="00576A90" w:rsidP="00576A90">
      <w:pPr>
        <w:pStyle w:val="TextoNormal"/>
      </w:pPr>
    </w:p>
    <w:p w14:paraId="7E8153BE" w14:textId="77777777" w:rsidR="00576A90" w:rsidRDefault="00576A90" w:rsidP="00576A90">
      <w:pPr>
        <w:pStyle w:val="TextoNormal"/>
      </w:pPr>
      <w:r>
        <w:lastRenderedPageBreak/>
        <w:t>La vulneración del art. 23.2 CE (en relación con el art. 23.1 CE) invocada por la recurrente carece de sustento constitucional, tal y como se expondrá a continuación, por lo que se ha de acordar la inadmisión del presente recurso de amparo.</w:t>
      </w:r>
    </w:p>
    <w:p w14:paraId="5CEA976F" w14:textId="77777777" w:rsidR="00576A90" w:rsidRDefault="00576A90" w:rsidP="00576A90">
      <w:pPr>
        <w:pStyle w:val="TextoNormal"/>
      </w:pPr>
    </w:p>
    <w:p w14:paraId="1898496D" w14:textId="77777777" w:rsidR="00576A90" w:rsidRDefault="00576A90" w:rsidP="00576A90">
      <w:pPr>
        <w:pStyle w:val="TextoNormal"/>
      </w:pPr>
      <w:r>
        <w:t>Tal y como se ha señalado, la inadmisión a trámite de la interpelación formulada por la recurrente en amparo, portavoz del Grupo Parlamentario Popular en las Cortes de Castilla-La Mancha, se justifica, según la mesa, en el hecho que aquella no tiene como objeto “los motivos o propósitos del Consejo de Gobierno en cuestiones de política general, incluso las referidas a una consejería en cualquiera de sus programas”, tal y como requiere el art. 184.1 RCCM. Más concretamente, en la resolución de la solicitud de reconsideración, la mesa sostuvo que “[e]l objeto sobre el que versa la interpelación son unas declaraciones a la prensa del presidente de la Junta de Comunidades y secretario general del Partido Socialista de Castilla-La Mancha-PSOE sobre la conveniencia de una posible modificación del Código penal; lo cual no encuentra acomodo en el objeto propio de las interpelaciones ya que sobre dicho cuerpo legal y la política penal en general, competencia exclusiva del Estado según el artículo 149.1.6 de la Constitución, es imposible constitucionalmente que pueda existir conducta o intervención del Consejo de Gobierno ni de ninguna de las consejerías”.</w:t>
      </w:r>
    </w:p>
    <w:p w14:paraId="786280D4" w14:textId="77777777" w:rsidR="00576A90" w:rsidRDefault="00576A90" w:rsidP="00576A90">
      <w:pPr>
        <w:pStyle w:val="TextoNormal"/>
      </w:pPr>
    </w:p>
    <w:p w14:paraId="347D348B" w14:textId="77777777" w:rsidR="00576A90" w:rsidRDefault="00576A90" w:rsidP="00576A90">
      <w:pPr>
        <w:pStyle w:val="TextoNormal"/>
      </w:pPr>
      <w:r>
        <w:t>A tal efecto, se ha de señalar que, aunque resulta evidente que el Gobierno de Castilla-La Mancha carece de competencia alguna para la reforma del Código penal, ello no obsta para que el debate suscitado en torno a su posible modificación presente trascendencia política, y que, en consecuencia, quepa entender que las declaraciones que hizo el presidente de Castilla-La Mancha ante la prensa, que tuvieron un amplio eco mediático, puedan ser susceptibles de debate parlamentario, si así lo consideran oportuno o conveniente los diputados autonómicos.</w:t>
      </w:r>
    </w:p>
    <w:p w14:paraId="67CA7FB0" w14:textId="77777777" w:rsidR="00576A90" w:rsidRDefault="00576A90" w:rsidP="00576A90">
      <w:pPr>
        <w:pStyle w:val="TextoNormal"/>
      </w:pPr>
    </w:p>
    <w:p w14:paraId="39D50DD1" w14:textId="77777777" w:rsidR="00576A90" w:rsidRDefault="00576A90" w:rsidP="00576A90">
      <w:pPr>
        <w:pStyle w:val="TextoNormal"/>
      </w:pPr>
      <w:r>
        <w:t>Si bien esto parece aceptable, resulta controvertido que el instrumento elegido por la diputada recurrente para llevar a cabo tal control gubernamental sea el adecuado. A tal efecto, se ha de tener en cuenta que el Reglamento de las Cortes de Castilla-La Mancha dedica su título VIII a la regulación de las interpelaciones y las preguntas, y que, en relación con estas últimas, el artículo 187 RCCLM establece que “[l]os Diputados podrán formular preguntas al Consejo de Gobierno, y a cada uno de sus miembros, que tengan por objeto la interrogación sobre un hecho, una situación o una información, sobre si el Consejo de Gobierno va a remitir a la Cámara algún documento o informarles acerca de cualquier tema”. Dada la generalidad con que se expresa este precepto, no resulta difícil deducir que si la diputada recurrente en amparo hubiera presentado mediante escrito dirigido a la mesa de la Cámara una pregunta con el mismo objeto con que se formuló la interpelación discutida, ningún problema debiera haber habido para que fuera admitida a trámite, dado que el apartado 3 de ese mismo artículo 187 RCCM únicamente dispone que “[n]o será admitida a trámite pregunta de exclusivo interés personal por parte del diputado que la formule, ni tampoco las que supongan consulta de índole estrictamente jurídica”, lo que no es el caso.</w:t>
      </w:r>
    </w:p>
    <w:p w14:paraId="6D2A93E0" w14:textId="77777777" w:rsidR="00576A90" w:rsidRDefault="00576A90" w:rsidP="00576A90">
      <w:pPr>
        <w:pStyle w:val="TextoNormal"/>
      </w:pPr>
    </w:p>
    <w:p w14:paraId="268CE9C6" w14:textId="77777777" w:rsidR="00576A90" w:rsidRDefault="00576A90" w:rsidP="00576A90">
      <w:pPr>
        <w:pStyle w:val="TextoNormal"/>
      </w:pPr>
      <w:r>
        <w:t>Sin embargo, en el caso de las interpelaciones sucede algo distinto, tanto por lo que dispone el ya mencionado artículo 184.1 RCCM en relación con su objeto, como por el hecho de que, como establece el artículo 186.1 RCCM, “toda interpelación podrá dar lugar a una moción en la que la Cámara manifieste su posición”. De esa conexión entre interpe</w:t>
      </w:r>
      <w:r>
        <w:lastRenderedPageBreak/>
        <w:t>lación y subsecuente posible moción podría derivarse —como ha hecho la mesa— que tanto una como otra han de versar sobre cuestiones de competencia autonómica, dado que lo propio de las últimas (las mociones) es que su contenido encaje dentro del ámbito competencial autonómico, en la medida en que corresponde a la comisión competente de las Cortes controlar después su cumplimiento, debiendo el Consejo de Gobierno, acabado el plazo que se fije para este, dar cuenta del mismo ante dicha comisión (art. 186.3 RCCM). Esta ha sido la interpretación llevada a cabo por la mesa, y la misma no ha de considerarse como una restricción desproporcionada de la función de control gubernamental que corresponde ejercer a la Cámara parlamentaria.</w:t>
      </w:r>
    </w:p>
    <w:p w14:paraId="6C4D8162" w14:textId="77777777" w:rsidR="00576A90" w:rsidRDefault="00576A90" w:rsidP="00576A90">
      <w:pPr>
        <w:pStyle w:val="TextoNormal"/>
      </w:pPr>
    </w:p>
    <w:p w14:paraId="17CD110D" w14:textId="7469836F" w:rsidR="00576A90" w:rsidRDefault="00576A90" w:rsidP="00576A90">
      <w:pPr>
        <w:pStyle w:val="TextoNormal"/>
      </w:pPr>
      <w:r>
        <w:t xml:space="preserve">En consecuencia, no cabe apreciar lesión del </w:t>
      </w:r>
      <w:r w:rsidRPr="00576A90">
        <w:rPr>
          <w:i/>
        </w:rPr>
        <w:t>ius in officium</w:t>
      </w:r>
      <w:r>
        <w:t xml:space="preserve"> reconocido en el art. 23.2 CE.</w:t>
      </w:r>
    </w:p>
    <w:p w14:paraId="64FE3C19" w14:textId="77777777" w:rsidR="00576A90" w:rsidRDefault="00576A90" w:rsidP="00576A90">
      <w:pPr>
        <w:pStyle w:val="TextoNormal"/>
      </w:pPr>
    </w:p>
    <w:p w14:paraId="19DAB23D" w14:textId="77777777" w:rsidR="00576A90" w:rsidRDefault="00576A90" w:rsidP="00576A90">
      <w:pPr>
        <w:pStyle w:val="TextoNormal"/>
      </w:pPr>
      <w:r>
        <w:t>Por lo expuesto, la Sección</w:t>
      </w:r>
    </w:p>
    <w:p w14:paraId="2B3D060D" w14:textId="5F1DEB5A" w:rsidR="00576A90" w:rsidRDefault="00576A90" w:rsidP="00576A90">
      <w:pPr>
        <w:pStyle w:val="TextoNormal"/>
      </w:pPr>
    </w:p>
    <w:p w14:paraId="3D965C08" w14:textId="77777777" w:rsidR="00576A90" w:rsidRDefault="00576A90" w:rsidP="00576A90">
      <w:pPr>
        <w:pStyle w:val="TextoNormalCentrado"/>
      </w:pPr>
      <w:r>
        <w:t>ACUERDA</w:t>
      </w:r>
    </w:p>
    <w:p w14:paraId="64EA7E2E" w14:textId="12F78AD9" w:rsidR="00576A90" w:rsidRDefault="00576A90" w:rsidP="00576A90">
      <w:pPr>
        <w:pStyle w:val="TextoNormalCentrado"/>
      </w:pPr>
    </w:p>
    <w:p w14:paraId="369953E6" w14:textId="77777777" w:rsidR="00576A90" w:rsidRDefault="00576A90" w:rsidP="00576A90">
      <w:pPr>
        <w:pStyle w:val="TextoNormal"/>
      </w:pPr>
      <w:r>
        <w:t>Inadmitir el recurso de amparo núm. 1492-2023, interpuesto por doña María Dolores Merino Chacón, portavoz del Grupo Parlamentario Popular en las Cortes de Castilla-La Mancha, dada la manifiesta inexistencia de violación de un derecho fundamental tutelable en amparo.</w:t>
      </w:r>
    </w:p>
    <w:p w14:paraId="7FCD62EB" w14:textId="77777777" w:rsidR="00576A90" w:rsidRDefault="00576A90" w:rsidP="00576A90">
      <w:pPr>
        <w:pStyle w:val="TextoNormal"/>
      </w:pPr>
    </w:p>
    <w:p w14:paraId="3C445C86" w14:textId="77777777" w:rsidR="00576A90" w:rsidRDefault="00576A90" w:rsidP="00576A90">
      <w:pPr>
        <w:pStyle w:val="TextoNormal"/>
      </w:pPr>
      <w:r>
        <w:t>La presente resolución sustituye a la providencia de 7 de mayo pasado.</w:t>
      </w:r>
    </w:p>
    <w:p w14:paraId="48B57E76" w14:textId="77777777" w:rsidR="00576A90" w:rsidRDefault="00576A90" w:rsidP="00576A90">
      <w:pPr>
        <w:pStyle w:val="TextoNormal"/>
      </w:pPr>
    </w:p>
    <w:p w14:paraId="583D2BAE" w14:textId="129F36D2" w:rsidR="00576A90" w:rsidRDefault="00576A90" w:rsidP="00576A90">
      <w:pPr>
        <w:pStyle w:val="TextoNormal"/>
      </w:pPr>
      <w:r>
        <w:t>Notifíquese con indicación de que, si el Ministerio Fiscal no hubiere interpuesto recurso de súplica en el plazo legal de tres días, se archivarán estas actuaciones sin más trámite (art. 50.3 LOTC).</w:t>
      </w:r>
    </w:p>
    <w:p w14:paraId="7B29C4E0" w14:textId="77777777" w:rsidR="00576A90" w:rsidRDefault="00576A90" w:rsidP="00576A90">
      <w:pPr>
        <w:pStyle w:val="TextoNormal"/>
      </w:pPr>
    </w:p>
    <w:p w14:paraId="2A547B5D" w14:textId="77777777" w:rsidR="00576A90" w:rsidRDefault="00576A90" w:rsidP="00576A90">
      <w:pPr>
        <w:pStyle w:val="TextoNormal"/>
      </w:pPr>
      <w:r>
        <w:t>Madrid, a veintinueve de mayo de dos mil veinticuatro.</w:t>
      </w:r>
    </w:p>
    <w:p w14:paraId="26E80086" w14:textId="2D68D8DE" w:rsidR="00576A90" w:rsidRDefault="00576A90" w:rsidP="00576A90">
      <w:pPr>
        <w:pStyle w:val="ParrafoNormal"/>
      </w:pPr>
    </w:p>
    <w:p w14:paraId="47F77269" w14:textId="77777777" w:rsidR="00576A90" w:rsidRDefault="00576A90" w:rsidP="00576A90">
      <w:pPr>
        <w:pStyle w:val="TextoNormalNegritaCentrado"/>
        <w:keepNext/>
      </w:pPr>
      <w:r>
        <w:t>Voto particular que formula el magistrado don Enrique Arnaldo Alcubilla al auto de la Sección Cuarta que inadmite el recurso de amparo núm. 1492-2023</w:t>
      </w:r>
    </w:p>
    <w:p w14:paraId="1E9EEA2D" w14:textId="518A76AC" w:rsidR="00576A90" w:rsidRDefault="00576A90" w:rsidP="00576A90">
      <w:pPr>
        <w:pStyle w:val="TextoNormalNegritaCentrado"/>
        <w:keepNext/>
      </w:pPr>
    </w:p>
    <w:p w14:paraId="64D50ED4" w14:textId="77777777" w:rsidR="00576A90" w:rsidRDefault="00576A90" w:rsidP="00576A90">
      <w:pPr>
        <w:pStyle w:val="TextoNormal"/>
      </w:pPr>
      <w:r>
        <w:t>En el ejercicio de la facultad que me confiere el art. 90.2 de la Ley Orgánica del Tribunal Constitucional (LOTC) y con respeto a la opinión de mis compañeros, formulo el presente voto particular al auto de inadmisión del recurso de amparo núm. 1492-2023, interpuesto por doña María Dolores Merino Chacón, portavoz del Grupo Parlamentario Popular en las Cortes de Castilla-La Mancha, contra el acuerdo de la mesa de las Cortes de Castilla-La Mancha de 7 de noviembre de 2022, por el que se inadmite a trámite la solicitud de interpelación urgente al presidente de la Junta de Comunidades de Castilla-La Mancha, “en relación con sus declaraciones sobre la posible modificación del Código penal al respecto de los líderes del proceso independentista de Cataluña”, así como contra el acuerdo de 12 de diciembre de 2022 de la misma mesa, que desestima la reconsideración formulada contra el primer acuerdo mencionado.</w:t>
      </w:r>
    </w:p>
    <w:p w14:paraId="02A3052A" w14:textId="77777777" w:rsidR="00576A90" w:rsidRDefault="00576A90" w:rsidP="00576A90">
      <w:pPr>
        <w:pStyle w:val="TextoNormal"/>
      </w:pPr>
    </w:p>
    <w:p w14:paraId="2232DEB4" w14:textId="77777777" w:rsidR="00576A90" w:rsidRDefault="00576A90" w:rsidP="00576A90">
      <w:pPr>
        <w:pStyle w:val="TextoNormal"/>
      </w:pPr>
      <w:r>
        <w:lastRenderedPageBreak/>
        <w:t>Considero que este recurso de amparo parlamentario debió ser admitido a trámite, para que este tribunal pudiera dar una respuesta de fondo a la queja planteada, por no resultar inverosímil la vulneración alegada del derecho de participación política (art. 23.2 CE) de la diputada recurrente y revestir el asunto una especial trascendencia constitucional [art. 50.1 b) LOTC], en cuanto suscita una cuestión jurídica de “relevante y general repercusión social”, que, además, tiene “unas consecuencias políticas generales” [STC 155/2009, de 25 de junio, FJ 2 g)], como seguidamente expondré.</w:t>
      </w:r>
    </w:p>
    <w:p w14:paraId="67F8692B" w14:textId="77777777" w:rsidR="00576A90" w:rsidRDefault="00576A90" w:rsidP="00576A90">
      <w:pPr>
        <w:pStyle w:val="TextoNormal"/>
      </w:pPr>
    </w:p>
    <w:p w14:paraId="279BDEFE" w14:textId="77777777" w:rsidR="00576A90" w:rsidRDefault="00576A90" w:rsidP="00576A90">
      <w:pPr>
        <w:pStyle w:val="TextoNormal"/>
      </w:pPr>
      <w:r>
        <w:t xml:space="preserve">1. </w:t>
      </w:r>
      <w:r w:rsidRPr="00576A90">
        <w:rPr>
          <w:i/>
        </w:rPr>
        <w:t>Objeto del recurso de amparo y fundamento de la inadmisión</w:t>
      </w:r>
    </w:p>
    <w:p w14:paraId="56ADDB92" w14:textId="77777777" w:rsidR="00576A90" w:rsidRDefault="00576A90" w:rsidP="00576A90">
      <w:pPr>
        <w:pStyle w:val="TextoNormal"/>
      </w:pPr>
    </w:p>
    <w:p w14:paraId="61AD1683" w14:textId="77777777" w:rsidR="00576A90" w:rsidRDefault="00576A90" w:rsidP="00576A90">
      <w:pPr>
        <w:pStyle w:val="TextoNormal"/>
      </w:pPr>
      <w:r>
        <w:t>Como se refleja en el relato de antecedentes del auto, la recurrente en amparo había presentado en el registro de las Cortes de Castilla-La Mancha un escrito en el que formulaba solicitud de interpelación urgente al presidente de la Junta de Comunidades de Castilla-La Mancha “en relación con sus declaraciones sobre la posible modificación del Código penal al respecto de los líderes del proceso independentista en Cataluña”, realizadas el 27 de octubre de 2022 con ocasión de un viaje a Bruselas en el que se reunió con el comisario de Agricultura y Desarrollo Rural de la Unión Europea. El presidente de Castilla-La Mancha no se limitó a hablar del contenido de su reunión con el comisario europeo, sino que, por el contrario, se prodigó en consideraciones sobre los condenados por el proceso independentista en Cataluña, la reforma del Código penal en lo relativo al delito de sedición y la necesidad de proteger la Constitución. De esas declaraciones se hicieron amplio eco diversos medios de comunicación de ámbito nacional y regional.</w:t>
      </w:r>
    </w:p>
    <w:p w14:paraId="30BFAF8D" w14:textId="77777777" w:rsidR="00576A90" w:rsidRDefault="00576A90" w:rsidP="00576A90">
      <w:pPr>
        <w:pStyle w:val="TextoNormal"/>
      </w:pPr>
    </w:p>
    <w:p w14:paraId="776763E2" w14:textId="77777777" w:rsidR="00576A90" w:rsidRDefault="00576A90" w:rsidP="00576A90">
      <w:pPr>
        <w:pStyle w:val="TextoNormal"/>
      </w:pPr>
      <w:r>
        <w:t>La mesa de las Cortes de Castilla-La Mancha acordó el 7 de noviembre de 2022 no admitir a trámite la interpelación, por entender que la iniciativa no cumple los requisitos del art. 184.1 del Reglamento de la Cámara, al no tener como objeto “los motivos o propósitos del Consejo de Gobierno en cuestiones de política general, incluso las referidas a una consejería en cualquiera de sus programas”. La solicitud de reconsideración fue rechazada por acuerdo de 12 de diciembre de 2022, con el mismo fundamento.</w:t>
      </w:r>
    </w:p>
    <w:p w14:paraId="5E4BE60E" w14:textId="77777777" w:rsidR="00576A90" w:rsidRDefault="00576A90" w:rsidP="00576A90">
      <w:pPr>
        <w:pStyle w:val="TextoNormal"/>
      </w:pPr>
    </w:p>
    <w:p w14:paraId="4E4CE292" w14:textId="77777777" w:rsidR="00576A90" w:rsidRDefault="00576A90" w:rsidP="00576A90">
      <w:pPr>
        <w:pStyle w:val="TextoNormal"/>
      </w:pPr>
      <w:r>
        <w:t>La recurrente sostenía en su demanda de amparo que esos acuerdos le han impedido el ejercicio de su derecho de participación en asuntos públicos (art. 23.2 CE), en relación con el derecho fundamental de los ciudadanos a participar en tales asuntos a través de sus representantes (art. 23.1 CE), al haber limitado injustificadamente su labor de control de la acción del Gobierno autonómico, que afecta al núcleo de la función representativa de los parlamentarios.</w:t>
      </w:r>
    </w:p>
    <w:p w14:paraId="7957B0A4" w14:textId="77777777" w:rsidR="00576A90" w:rsidRDefault="00576A90" w:rsidP="00576A90">
      <w:pPr>
        <w:pStyle w:val="TextoNormal"/>
      </w:pPr>
    </w:p>
    <w:p w14:paraId="17E60602" w14:textId="77777777" w:rsidR="00576A90" w:rsidRDefault="00576A90" w:rsidP="00576A90">
      <w:pPr>
        <w:pStyle w:val="TextoNormal"/>
      </w:pPr>
      <w:r>
        <w:t xml:space="preserve">El auto del que discrepo sustenta la inadmisión del recurso de amparo (fundamento jurídico 2) en la afirmación de la inexistencia de la vulneración del derecho garantizado por el art. 23.2 CE, porque entiende que, a la vista de los arts. 184.1 y 186.1 del Reglamento de las Cortes de Castilla-La Mancha (RCCM), existe una “conexión entre interpelación y subsecuente posible moción”, de la que “podría derivarse —como ha hecho la mesa— que tanto una como otra han de versar sobre cuestiones de competencia autonómica”, lo que conduce a apreciar que la decisión de la mesa de inadmitir la interpelación “no ha de considerarse como una restricción desproporcionada de la función de control gubernamental que corresponde ejercer a la Cámara parlamentaria”, por lo que, “en consecuencia, no cabe apreciar lesión del </w:t>
      </w:r>
      <w:r w:rsidRPr="00576A90">
        <w:rPr>
          <w:i/>
        </w:rPr>
        <w:t>ius in officium</w:t>
      </w:r>
      <w:r>
        <w:t xml:space="preserve"> reconocido en el art. 23.2 CE”.</w:t>
      </w:r>
    </w:p>
    <w:p w14:paraId="6C3279EF" w14:textId="77777777" w:rsidR="00576A90" w:rsidRDefault="00576A90" w:rsidP="00576A90">
      <w:pPr>
        <w:pStyle w:val="TextoNormal"/>
      </w:pPr>
    </w:p>
    <w:p w14:paraId="33ACC701" w14:textId="77777777" w:rsidR="00576A90" w:rsidRDefault="00576A90" w:rsidP="00576A90">
      <w:pPr>
        <w:pStyle w:val="TextoNormal"/>
      </w:pPr>
      <w:r>
        <w:lastRenderedPageBreak/>
        <w:t xml:space="preserve">2. </w:t>
      </w:r>
      <w:r w:rsidRPr="00576A90">
        <w:rPr>
          <w:i/>
        </w:rPr>
        <w:t>Verosimilitud de la vulneración constitucional alegada en el recurso de amparo</w:t>
      </w:r>
    </w:p>
    <w:p w14:paraId="7707BF92" w14:textId="77777777" w:rsidR="00576A90" w:rsidRDefault="00576A90" w:rsidP="00576A90">
      <w:pPr>
        <w:pStyle w:val="TextoNormal"/>
      </w:pPr>
    </w:p>
    <w:p w14:paraId="34A05DB3" w14:textId="77777777" w:rsidR="00576A90" w:rsidRDefault="00576A90" w:rsidP="00576A90">
      <w:pPr>
        <w:pStyle w:val="TextoNormal"/>
      </w:pPr>
      <w:r>
        <w:t>La inadmisión del recurso de amparo impide a este tribunal pronunciarse en una sentencia sobre el fondo del asunto acerca de si la interpretación del art. 184.1 RCCM que ha realizado la mesa de las Cortes de Castilla-La Mancha en los acuerdos impugnados, obviando los precedentes del uso parlamentario invocados por la recurrente, a los que hace expresa referencia en su demanda de amparo, es la más respetuosa con los derechos que a los diputados garantiza el art. 23.2 CE.</w:t>
      </w:r>
    </w:p>
    <w:p w14:paraId="734A72FE" w14:textId="77777777" w:rsidR="00576A90" w:rsidRDefault="00576A90" w:rsidP="00576A90">
      <w:pPr>
        <w:pStyle w:val="TextoNormal"/>
      </w:pPr>
    </w:p>
    <w:p w14:paraId="344B9A13" w14:textId="77777777" w:rsidR="00576A90" w:rsidRDefault="00576A90" w:rsidP="00576A90">
      <w:pPr>
        <w:pStyle w:val="TextoNormal"/>
      </w:pPr>
      <w:r>
        <w:t>Frente al parecer mayoritario de la Sección Cuarta, considero que el recurso de amparo debió ser admitido, pues, en primer lugar, la vulneración del derecho garantizado por el art. 23.2 CE en que se fundamenta resulta más que verosímil. Y ello porque al inadmitir la mesa de la Cámara la iniciativa parlamentaria de fiscalización de la actuación del Gobierno autonómico pura y simplemente imposibilita su debate por el Pleno de las Cortes de Castilla-La Mancha. Veta a los promotores de la iniciativa siquiera su planteamiento, es decir, la exposición y defensa de las razones en que se sustenta la interpelación con su inmediata deliberación, en los términos que establece el Reglamento de la Cámara.</w:t>
      </w:r>
    </w:p>
    <w:p w14:paraId="0A4B5F37" w14:textId="77777777" w:rsidR="00576A90" w:rsidRDefault="00576A90" w:rsidP="00576A90">
      <w:pPr>
        <w:pStyle w:val="TextoNormal"/>
      </w:pPr>
    </w:p>
    <w:p w14:paraId="5854638C" w14:textId="77777777" w:rsidR="00576A90" w:rsidRDefault="00576A90" w:rsidP="00576A90">
      <w:pPr>
        <w:pStyle w:val="TextoNormal"/>
      </w:pPr>
      <w:r>
        <w:t>La interpelación al Gobierno o a sus miembros es un medio de información y de control al servicio de los diputados y de los grupos parlamentarios a través del cual se insta a que el Gobierno explique los motivos o propósitos de su conducta, de su actuación, de sus criterios o previsiones en cuestiones de política general. Siendo un medio de información y control (a disposición muy en particular de los diputados y de los grupos que conforman las minorías parlamentarias), la inadmisión a trámite de la interpelación por la mesa de las Cortes de Castilla-La Mancha es una decisión que lesiona el derecho fundamental de la recurrente al ejercicio de sus funciones de participación política en condiciones de igualdad (art. 23.2), pues impide su labor de control de la acción del Gobierno autonómico, que afecta al núcleo de la función representativa de los parlamentarios. Importa recordar que la doctrina constitucional ha puesto de relieve la necesidad de asegurar el adecuado ejercicio de la función de control político de las minorías parlamentarias en la oposición, pues el respeto a la posición y los derechos de las minorías actúa como elemento constitutivo del propio sistema, que legitima su propio funcionamiento. Sin respeto a los derechos de las minorías políticas no hay modo de preservar el pluralismo propio del Estado democrático de Derecho, elevado por el art. 1.1 CE a la categoría de “valor superior” de nuestro ordenamiento jurídico (STC 226/2016, de 22 de diciembre, FJ 5, por todas).</w:t>
      </w:r>
    </w:p>
    <w:p w14:paraId="0150A303" w14:textId="77777777" w:rsidR="00576A90" w:rsidRDefault="00576A90" w:rsidP="00576A90">
      <w:pPr>
        <w:pStyle w:val="TextoNormal"/>
      </w:pPr>
    </w:p>
    <w:p w14:paraId="0DDE8D9F" w14:textId="77777777" w:rsidR="00576A90" w:rsidRDefault="00576A90" w:rsidP="00576A90">
      <w:pPr>
        <w:pStyle w:val="TextoNormal"/>
      </w:pPr>
      <w:r>
        <w:t xml:space="preserve">La interpretación del reglamento parlamentario que ha realizado en este caso la mesa de las Cortes de Castilla-La Mancha, y que el auto del que se disiento no solo da por buena (esa interpretación “no ha de considerarse como una restricción desproporcionada de la función de control gubernamental que corresponde ejercer a la Cámara parlamentaria”, se afirma), sino que incluso intenta reforzar (invocando un precepto, el art. 186.1 RCCM, que no fundamenta la decisión impugnada en amparo): (a) dista mucho de ajustarse a la letra y el espíritu del art. 184 RCCM en relación con las interpelaciones; (b) desatiende sin justificación los precedentes invocados por la recurrente en amparo (lo que implica desconocer la importancia de los usos y prácticas parlamentarios como instrumento normativo dentro del ámbito de organización y funcionamiento de las cámaras parlamentarias); y (c) está muy lejos de ser, la interpretación más respetuosa en relación con los derechos que a </w:t>
      </w:r>
      <w:r>
        <w:lastRenderedPageBreak/>
        <w:t>los diputados, particularmente a los de la minoría, por las razones indicadas, garantiza el art. 23.2 CE.</w:t>
      </w:r>
    </w:p>
    <w:p w14:paraId="49010CE9" w14:textId="77777777" w:rsidR="00576A90" w:rsidRDefault="00576A90" w:rsidP="00576A90">
      <w:pPr>
        <w:pStyle w:val="TextoNormal"/>
      </w:pPr>
    </w:p>
    <w:p w14:paraId="5C5328DC" w14:textId="77777777" w:rsidR="00576A90" w:rsidRDefault="00576A90" w:rsidP="00576A90">
      <w:pPr>
        <w:pStyle w:val="TextoNormal"/>
      </w:pPr>
      <w:r>
        <w:t>La razón esgrimida por la mesa de las Cortes de Castilla-La Mancha para inadmitir la interpelación (que no se corresponde con una cuestión de política general que sea competencia del Gobierno autonómico) no puede justificar la ablación del derecho de la recurrente y del grupo parlamentario al que representa a la participación política garantizado por el art. 23.2 CE. En el mejor de los casos, si la mesa de la Cámara hubiera entendido que lo planteado no podía ser objeto de una interpelación, pero sí de una pregunta, entonces debería haber recalificado la iniciativa parlamentaria como tal, antes de proceder a su inadmisión, frustrando así el ejercicio de un instrumento de control de los diputados de la Cámara.</w:t>
      </w:r>
    </w:p>
    <w:p w14:paraId="02C112D8" w14:textId="77777777" w:rsidR="00576A90" w:rsidRDefault="00576A90" w:rsidP="00576A90">
      <w:pPr>
        <w:pStyle w:val="TextoNormal"/>
      </w:pPr>
    </w:p>
    <w:p w14:paraId="0496C7DD" w14:textId="77777777" w:rsidR="00576A90" w:rsidRDefault="00576A90" w:rsidP="00576A90">
      <w:pPr>
        <w:pStyle w:val="TextoNormal"/>
      </w:pPr>
      <w:r>
        <w:t>Añádase a lo anterior que debería haberse tenido en cuenta que la recurrente aduce en su demanda de amparo que la mesa de las Cortes de Castilla-La Mancha se ha apartado en este caso de lo que constituía una práctica parlamentaria consolidada, en dicha Cámara, pues la mesa venía admitiendo a trámite todas las interpelaciones que se solicitaban en materias similares a la interpelación ahora inadmitida como son los pactos del Gobierno de España con los grupos políticos independentistas, las declaraciones del presidente de Castilla-La Mancha sobre los mismos, o incluso sobre la inclusión de un representante del grupo parlamentario de EH Bildu en la Comisión de Secretos Oficiales del Congreso de los Diputados.</w:t>
      </w:r>
    </w:p>
    <w:p w14:paraId="2B6FFE88" w14:textId="77777777" w:rsidR="00576A90" w:rsidRDefault="00576A90" w:rsidP="00576A90">
      <w:pPr>
        <w:pStyle w:val="TextoNormal"/>
      </w:pPr>
    </w:p>
    <w:p w14:paraId="083D3603" w14:textId="77777777" w:rsidR="00576A90" w:rsidRDefault="00576A90" w:rsidP="00576A90">
      <w:pPr>
        <w:pStyle w:val="TextoNormal"/>
      </w:pPr>
      <w:r>
        <w:t xml:space="preserve">Sin perjuicio del carácter limitado que nuestra jurisprudencia ha otorgado al precedente parlamentario —cuestión sobre la que habría que volver a considerar para su aclaración y matización—, habría sido necesario el análisis de si efectivamente se ha producido un cambio </w:t>
      </w:r>
      <w:r w:rsidRPr="00576A90">
        <w:rPr>
          <w:i/>
        </w:rPr>
        <w:t>de facto</w:t>
      </w:r>
      <w:r>
        <w:t>, si era necesario motivar el apartamiento de la mesa de la Cámara de sus decisiones anteriores, y si se ha garantizado el ejercicio del cargo en condiciones de igualdad. El análisis de esta cuestión, insisto, habría requerido la admisión a trámite del recurso de amparo, para resolver en sentencia entrando en el fondo del asunto. En definitiva, habría sido necesario analizar si se ha producido un trato diferenciado y carente de justificación respecto a una diputada, que pudiera lesionar el derecho a la igualdad en el ejercicio del cargo público representativo que materialmente constituye el contenido del art. 23.2 CE (en dicho sentido, STC 44/1995, de 13 de febrero, FJ 5).</w:t>
      </w:r>
    </w:p>
    <w:p w14:paraId="576EE9D8" w14:textId="77777777" w:rsidR="00576A90" w:rsidRDefault="00576A90" w:rsidP="00576A90">
      <w:pPr>
        <w:pStyle w:val="TextoNormal"/>
      </w:pPr>
    </w:p>
    <w:p w14:paraId="7CDA8247" w14:textId="77777777" w:rsidR="00576A90" w:rsidRDefault="00576A90" w:rsidP="00576A90">
      <w:pPr>
        <w:pStyle w:val="TextoNormal"/>
      </w:pPr>
      <w:r>
        <w:t xml:space="preserve">3. </w:t>
      </w:r>
      <w:r w:rsidRPr="00576A90">
        <w:rPr>
          <w:i/>
        </w:rPr>
        <w:t>Especial trascendencia constitucional del presente recurso de amparo</w:t>
      </w:r>
    </w:p>
    <w:p w14:paraId="4D90A548" w14:textId="77777777" w:rsidR="00576A90" w:rsidRDefault="00576A90" w:rsidP="00576A90">
      <w:pPr>
        <w:pStyle w:val="TextoNormal"/>
      </w:pPr>
    </w:p>
    <w:p w14:paraId="5070B496" w14:textId="77777777" w:rsidR="00576A90" w:rsidRDefault="00576A90" w:rsidP="00576A90">
      <w:pPr>
        <w:pStyle w:val="TextoNormal"/>
      </w:pPr>
      <w:r>
        <w:t>Además de ser verosímil la alegada vulneración del derecho fundamental que garantiza el art. 23.2 CE, sucede que este recurso de amparo presenta, como he dicho ya, la especial trascendencia constitucional que el art. 50.1 b) LOTC exige para la admisión a trámite, al concurrir dos de los supuestos que, de acuerdo con la doctrina establecida en la STC 155/2009, de 25 de junio, FJ 2, permiten apreciar que un recurso de amparo cumple ese requisito. De una parte, se trata de un amparo parlamentario que trasciende del caso concreto al plantear una cuestión jurídica relevante que tiene, además, unas consecuencias políticas generales [STC 155/2009, FJ 2 g)]. De otra, el recurso daba ocasión al Tribunal para aclarar o perfilar su doctrina [STC 155/2009, FJ 2 b)] relativa a las interpelaciones parlamentarias.</w:t>
      </w:r>
    </w:p>
    <w:p w14:paraId="60D66EE2" w14:textId="77777777" w:rsidR="00576A90" w:rsidRDefault="00576A90" w:rsidP="00576A90">
      <w:pPr>
        <w:pStyle w:val="TextoNormal"/>
      </w:pPr>
    </w:p>
    <w:p w14:paraId="33594962" w14:textId="77777777" w:rsidR="00576A90" w:rsidRDefault="00576A90" w:rsidP="00576A90">
      <w:pPr>
        <w:pStyle w:val="TextoNormal"/>
      </w:pPr>
      <w:r>
        <w:lastRenderedPageBreak/>
        <w:t xml:space="preserve">En cuanto a lo primero, no hay que olvidar que los recursos de amparo parlamentarios (art. 42 LOTC), como lo es el que nos ocupa, tienen una particularidad relevante respecto del resto de los recursos de amparo, porque el marco de garantías del que disponen los eventuales recurrentes para invocar sus derechos fundamentales es más estrecho, al carecer de una vía jurisdiccional previa al amparo constitucional en la que postular la reparación de los derechos vulnerados. La doctrina de los </w:t>
      </w:r>
      <w:r w:rsidRPr="00576A90">
        <w:rPr>
          <w:i/>
        </w:rPr>
        <w:t>interna corporis acta</w:t>
      </w:r>
      <w:r>
        <w:t xml:space="preserve">, que sustenta este marco de garantías, y según la cual determinados actos parlamentarios no pueden ser objeto de control por los tribunales ordinarios, ha de conjugarse con el ejercicio del </w:t>
      </w:r>
      <w:r w:rsidRPr="00576A90">
        <w:rPr>
          <w:i/>
        </w:rPr>
        <w:t>ius in officium</w:t>
      </w:r>
      <w:r>
        <w:t xml:space="preserve"> por parte de los representantes políticos sin perturbaciones ilegítimas (art. 23.2 CE); y, en última instancia, con el derecho de los propios ciudadanos a participar en los asuntos públicos mediante sus representantes (art. 23.1 CE), lo que sitúa a los amparos parlamentarios en una posición especial a la hora de determinar su dimensión objetiva y valorar la especial trascendencia constitucional por parte de este tribunal, dada la repercusión general que tiene el ejercicio de la función representativa y que excede del ámbito particular del parlamentario y del grupo en el que se integra (SSTC 10/2018, de 5 febrero, FJ 2; 27/2018, de 5 de marzo, FJ 2, y 15/2022, de 8 de febrero, FJ 2, entre otras muchas).</w:t>
      </w:r>
    </w:p>
    <w:p w14:paraId="3D1D9A9A" w14:textId="77777777" w:rsidR="00576A90" w:rsidRDefault="00576A90" w:rsidP="00576A90">
      <w:pPr>
        <w:pStyle w:val="TextoNormal"/>
      </w:pPr>
    </w:p>
    <w:p w14:paraId="0A8C65BA" w14:textId="77777777" w:rsidR="00576A90" w:rsidRDefault="00576A90" w:rsidP="00576A90">
      <w:pPr>
        <w:pStyle w:val="TextoNormal"/>
      </w:pPr>
      <w:r>
        <w:t>En cuanto a lo segundo, es lo cierto que el presente recurso de amparo brindaba a este tribunal la oportunidad, lamentablemente desaprovechada, de aclarar y completar, en su caso, su doctrina acerca de las interpelaciones parlamentarias.</w:t>
      </w:r>
    </w:p>
    <w:p w14:paraId="4AA3786D" w14:textId="77777777" w:rsidR="00576A90" w:rsidRDefault="00576A90" w:rsidP="00576A90">
      <w:pPr>
        <w:pStyle w:val="TextoNormal"/>
      </w:pPr>
    </w:p>
    <w:p w14:paraId="506E1AAE" w14:textId="77777777" w:rsidR="00576A90" w:rsidRDefault="00576A90" w:rsidP="00576A90">
      <w:pPr>
        <w:pStyle w:val="TextoNormal"/>
      </w:pPr>
      <w:r>
        <w:t xml:space="preserve">De la doctrina sentada en las SSTC 200/2014 y 201/2014, de 15 de diciembre, se desprende que las interpelaciones, junto con las preguntas, se conforman como tradicionales instrumentos de control e información parlamentaria y forman parte del </w:t>
      </w:r>
      <w:r w:rsidRPr="00576A90">
        <w:rPr>
          <w:i/>
        </w:rPr>
        <w:t>ius in officium</w:t>
      </w:r>
      <w:r>
        <w:t xml:space="preserve"> de los representantes políticos y de los propios grupos parlamentarios cuando el Reglamento de la Cámara de que se trate les atribuye la facultad de plantearlas (como sucede en el caso del Reglamento de las Cortes de Castilla-La Mancha). A diferencia de las preguntas, cuyo contenido es más concreto, las interpelaciones tienen una naturaleza más general, sin perjuicio de que haya de atenderse a la concreta configuración que haya realizado el Reglamento de la Cámara. En este sentido, “el control formal de admisión puede modularse materialmente solo si así lo ha establecido el reglamento parlamentario pues […] a la mesa solo le compete verificar la regularidad jurídica y la viabilidad procesal de la iniciativa, esto es, examinar si la iniciativa cumple los requisitos formales exigidos por la norma reglamentaria” (SSTC 200/2014, FJ 9, y 201/2014, FJ 5).</w:t>
      </w:r>
    </w:p>
    <w:p w14:paraId="1455EF49" w14:textId="77777777" w:rsidR="00576A90" w:rsidRDefault="00576A90" w:rsidP="00576A90">
      <w:pPr>
        <w:pStyle w:val="TextoNormal"/>
      </w:pPr>
    </w:p>
    <w:p w14:paraId="3203227D" w14:textId="77777777" w:rsidR="00576A90" w:rsidRDefault="00576A90" w:rsidP="00576A90">
      <w:pPr>
        <w:pStyle w:val="TextoNormal"/>
      </w:pPr>
      <w:r>
        <w:t>4</w:t>
      </w:r>
      <w:r w:rsidRPr="00576A90">
        <w:rPr>
          <w:i/>
        </w:rPr>
        <w:t>. A modo de conclusi</w:t>
      </w:r>
      <w:r>
        <w:t>ón</w:t>
      </w:r>
    </w:p>
    <w:p w14:paraId="13D38EC0" w14:textId="77777777" w:rsidR="00576A90" w:rsidRDefault="00576A90" w:rsidP="00576A90">
      <w:pPr>
        <w:pStyle w:val="TextoNormal"/>
      </w:pPr>
    </w:p>
    <w:p w14:paraId="4FA5BD06" w14:textId="77777777" w:rsidR="00576A90" w:rsidRDefault="00576A90" w:rsidP="00576A90">
      <w:pPr>
        <w:pStyle w:val="TextoNormal"/>
      </w:pPr>
      <w:r>
        <w:t>En casos como el presente, en los que se articulan los instrumentos para ejercer el control del Gobierno, que forman parte del núcleo esencial del derecho fundamental de los parlamentarios garantizado por el art. 23.2 CE, era pertinente la admisión a trámite del recurso de amparo para poder haber analizado y despejado todas las dudas que suscita la adecuación a ese derecho fundamental de decisiones de las cámaras como la impugnada en este recurso de amparo en el que, como he señalado en anteriores votos particulares, “está en juego el ejercicio de este derecho que nuclea la democracia representativa”.</w:t>
      </w:r>
    </w:p>
    <w:p w14:paraId="622E16E0" w14:textId="77777777" w:rsidR="00576A90" w:rsidRDefault="00576A90" w:rsidP="00576A90">
      <w:pPr>
        <w:pStyle w:val="TextoNormal"/>
      </w:pPr>
    </w:p>
    <w:p w14:paraId="77751944" w14:textId="77777777" w:rsidR="00576A90" w:rsidRDefault="00576A90" w:rsidP="00576A90">
      <w:pPr>
        <w:pStyle w:val="TextoNormal"/>
      </w:pPr>
      <w:r>
        <w:t xml:space="preserve">La verosimilitud de la vulneración del derecho de participación política en condiciones de igualdad (art. 23.2 CE) que se imputa a los acuerdos impugnados de la mesa de las Cortes de Castilla-La Mancha y la existencia de especial trascendencia constitucional en el </w:t>
      </w:r>
      <w:r>
        <w:lastRenderedPageBreak/>
        <w:t>asunto planteado, debieron conducir a este tribunal a acordar la admisión del recurso de amparo, de conformidad con el art. 50.1 LOTC, para dictar en su momento una sentencia sobre el fondo del asunto, en la que se examinara debidamente la queja de la diputada recurrente y se diera cumplida respuesta a la misma.</w:t>
      </w:r>
    </w:p>
    <w:p w14:paraId="4A805740" w14:textId="77777777" w:rsidR="00576A90" w:rsidRDefault="00576A90" w:rsidP="00576A90">
      <w:pPr>
        <w:pStyle w:val="TextoNormal"/>
      </w:pPr>
    </w:p>
    <w:p w14:paraId="1335D19C" w14:textId="38A00E90" w:rsidR="00576A90" w:rsidRDefault="00576A90" w:rsidP="00576A90">
      <w:pPr>
        <w:pStyle w:val="TextoNormal"/>
      </w:pPr>
      <w:r>
        <w:t>Madrid, a veintinueve de mayo de dos mil veinticuatro.</w:t>
      </w:r>
    </w:p>
    <w:p w14:paraId="23A7AC54" w14:textId="728AC6E3" w:rsidR="00576A90" w:rsidRDefault="00576A90">
      <w:pPr>
        <w:spacing w:after="160" w:line="259" w:lineRule="auto"/>
        <w:rPr>
          <w:rFonts w:ascii="Times New Roman" w:eastAsia="Times New Roman" w:hAnsi="Times New Roman" w:cs="Times New Roman"/>
          <w:sz w:val="24"/>
          <w:szCs w:val="24"/>
          <w:lang w:eastAsia="es-ES"/>
        </w:rPr>
      </w:pPr>
      <w:r>
        <w:br w:type="page"/>
      </w:r>
    </w:p>
    <w:p w14:paraId="3D850BBC" w14:textId="77777777" w:rsidR="00576A90" w:rsidRDefault="00576A90" w:rsidP="00576A90">
      <w:pPr>
        <w:pStyle w:val="TtuloResolucin"/>
      </w:pPr>
      <w:bookmarkStart w:id="148" w:name="AUTO_2024_53"/>
      <w:r>
        <w:lastRenderedPageBreak/>
        <w:t>AUTO 53/2024, de 3 de junio de 2024</w:t>
      </w:r>
    </w:p>
    <w:bookmarkEnd w:id="148"/>
    <w:p w14:paraId="54F46E22" w14:textId="77777777" w:rsidR="00576A90" w:rsidRDefault="00576A90" w:rsidP="00576A90">
      <w:pPr>
        <w:pStyle w:val="TtuloResolucin"/>
      </w:pPr>
      <w:r>
        <w:t>Sala Primera</w:t>
      </w:r>
    </w:p>
    <w:p w14:paraId="2E91D3D2" w14:textId="77777777" w:rsidR="00576A90" w:rsidRDefault="00576A90" w:rsidP="00576A90">
      <w:pPr>
        <w:pStyle w:val="TextoNormalCentrado"/>
      </w:pPr>
      <w:r>
        <w:t>ECLI:ES:TC:2024:53A</w:t>
      </w:r>
    </w:p>
    <w:p w14:paraId="5446C140" w14:textId="397091B0" w:rsidR="00576A90" w:rsidRDefault="00576A90" w:rsidP="00576A90">
      <w:pPr>
        <w:pStyle w:val="TextoNormalCentrado"/>
      </w:pPr>
    </w:p>
    <w:p w14:paraId="1975719B" w14:textId="77777777" w:rsidR="00576A90" w:rsidRDefault="00576A90" w:rsidP="00576A90">
      <w:pPr>
        <w:pStyle w:val="SntesisDescriptiva"/>
      </w:pPr>
      <w:r>
        <w:t>Excms. Srs. don Cándido Conde-Pumpido Tourón, don Ricardo Enríquez Sancho, doña Concepción Espejel Jorquera, doña María Luisa Segoviano Astaburuaga y don Juan Carlos Campo Moreno.</w:t>
      </w:r>
    </w:p>
    <w:p w14:paraId="30B6EFCF" w14:textId="751A9FE8" w:rsidR="00576A90" w:rsidRDefault="00576A90" w:rsidP="00576A90">
      <w:pPr>
        <w:pStyle w:val="SntesisDescriptiva"/>
      </w:pPr>
    </w:p>
    <w:p w14:paraId="3E89193C" w14:textId="77777777" w:rsidR="00576A90" w:rsidRDefault="00576A90" w:rsidP="00576A90">
      <w:pPr>
        <w:pStyle w:val="SntesisDescriptiva"/>
      </w:pPr>
      <w:r>
        <w:t>Deniega la suspensión en el recurso de amparo 4330-2023, promovido por doña J.G.V., y doña A.P.G., en causa penal.</w:t>
      </w:r>
    </w:p>
    <w:p w14:paraId="74217763" w14:textId="42EDF97D" w:rsidR="00576A90" w:rsidRDefault="00576A90" w:rsidP="00576A90">
      <w:pPr>
        <w:pStyle w:val="SntesisDescriptiva"/>
      </w:pPr>
    </w:p>
    <w:p w14:paraId="28C19342" w14:textId="77777777" w:rsidR="00576A90" w:rsidRDefault="00576A90" w:rsidP="00576A90">
      <w:pPr>
        <w:pStyle w:val="SntesisDescriptiva"/>
      </w:pPr>
    </w:p>
    <w:p w14:paraId="66FDAEBF" w14:textId="77777777" w:rsidR="00576A90" w:rsidRDefault="00576A90" w:rsidP="00576A90">
      <w:pPr>
        <w:pStyle w:val="SntesisDescriptiva"/>
      </w:pPr>
    </w:p>
    <w:p w14:paraId="0DB0C851" w14:textId="77777777" w:rsidR="00576A90" w:rsidRDefault="00576A90" w:rsidP="00576A90">
      <w:pPr>
        <w:pStyle w:val="TextoNormalNegritaCentrado"/>
      </w:pPr>
      <w:r>
        <w:t>AUTO</w:t>
      </w:r>
    </w:p>
    <w:p w14:paraId="3BB3BE3E" w14:textId="79961501" w:rsidR="00576A90" w:rsidRDefault="00576A90" w:rsidP="00576A90">
      <w:pPr>
        <w:pStyle w:val="TextoNormalNegritaCentrado"/>
      </w:pPr>
    </w:p>
    <w:p w14:paraId="75C719DB" w14:textId="77777777" w:rsidR="00576A90" w:rsidRDefault="00576A90" w:rsidP="00576A90">
      <w:pPr>
        <w:pStyle w:val="TextoNormalNegritaCentrado"/>
        <w:keepNext/>
      </w:pPr>
      <w:r>
        <w:t>I. Antecedentes</w:t>
      </w:r>
    </w:p>
    <w:p w14:paraId="06274CF9" w14:textId="2CC0A6AE" w:rsidR="00576A90" w:rsidRDefault="00576A90" w:rsidP="00576A90">
      <w:pPr>
        <w:pStyle w:val="TextoNormalNegritaCentrado"/>
        <w:keepNext/>
      </w:pPr>
    </w:p>
    <w:p w14:paraId="06D2589C" w14:textId="2307FFAA" w:rsidR="00576A90" w:rsidRDefault="00576A90" w:rsidP="00576A90">
      <w:pPr>
        <w:pStyle w:val="TextoNormal"/>
      </w:pPr>
      <w:r w:rsidRPr="00576A90">
        <w:rPr>
          <w:rStyle w:val="NumeroAFNegritaCaracter"/>
        </w:rPr>
        <w:t>1</w:t>
      </w:r>
      <w:r>
        <w:t>. Con fecha 23 de junio de 2023 tuvo entrada en el registro general de este Tribunal Constitucional un escrito de la procuradora de los tribunales doña Sara Leonis Parra, actuando en representación de doña J.G.V. y doña A.P.G., bajo la defensa del abogado don Pablo Figueiras Reguera, por el que interpuso recurso de amparo contra las resoluciones identificadas en el encabezamiento.</w:t>
      </w:r>
    </w:p>
    <w:p w14:paraId="4F683A39" w14:textId="77777777" w:rsidR="00576A90" w:rsidRDefault="00576A90" w:rsidP="00576A90">
      <w:pPr>
        <w:pStyle w:val="TextoNormal"/>
      </w:pPr>
    </w:p>
    <w:p w14:paraId="5CB7119B" w14:textId="77777777" w:rsidR="00576A90" w:rsidRDefault="00576A90" w:rsidP="00576A90">
      <w:pPr>
        <w:pStyle w:val="TextoNormal"/>
      </w:pPr>
      <w:r w:rsidRPr="00576A90">
        <w:rPr>
          <w:rStyle w:val="NumeroAFNegritaCaracter"/>
        </w:rPr>
        <w:t>2</w:t>
      </w:r>
      <w:r>
        <w:t>. Los hechos relevantes para la resolución de esta pieza de suspensión, son los siguientes:</w:t>
      </w:r>
    </w:p>
    <w:p w14:paraId="75D9502E" w14:textId="77777777" w:rsidR="00576A90" w:rsidRDefault="00576A90" w:rsidP="00576A90">
      <w:pPr>
        <w:pStyle w:val="TextoNormal"/>
      </w:pPr>
    </w:p>
    <w:p w14:paraId="0BC7A917" w14:textId="77777777" w:rsidR="00576A90" w:rsidRDefault="00576A90" w:rsidP="00576A90">
      <w:pPr>
        <w:pStyle w:val="TextoNormal"/>
      </w:pPr>
      <w:r>
        <w:t>a) La Sección Segunda de la Audiencia Provincial de Lugo dictó sentencia el 20 de enero de 2022 en el procedimiento ordinario núm. 4-2021, con la siguiente dispositiva:</w:t>
      </w:r>
    </w:p>
    <w:p w14:paraId="133C28A0" w14:textId="77777777" w:rsidR="00576A90" w:rsidRDefault="00576A90" w:rsidP="00576A90">
      <w:pPr>
        <w:pStyle w:val="TextoNormal"/>
      </w:pPr>
    </w:p>
    <w:p w14:paraId="448C2AC1" w14:textId="77777777" w:rsidR="00576A90" w:rsidRDefault="00576A90" w:rsidP="00576A90">
      <w:pPr>
        <w:pStyle w:val="TextoNormal"/>
      </w:pPr>
      <w:r>
        <w:t>“Fallamos: Que condenamos al acusado [J.M.E.R.] como autor criminalmente responsable de un delito de agresión sexual a persona menor de dieciséis años del artículo 183, apartados 1, 2, 3 del Código penal a las siguientes penas:</w:t>
      </w:r>
    </w:p>
    <w:p w14:paraId="521D911E" w14:textId="77777777" w:rsidR="00576A90" w:rsidRDefault="00576A90" w:rsidP="00576A90">
      <w:pPr>
        <w:pStyle w:val="TextoNormal"/>
      </w:pPr>
    </w:p>
    <w:p w14:paraId="4A265F57" w14:textId="77777777" w:rsidR="00576A90" w:rsidRDefault="00576A90" w:rsidP="00576A90">
      <w:pPr>
        <w:pStyle w:val="TextoNormal"/>
      </w:pPr>
      <w:r>
        <w:t>.- Pena de prisión de doce años con la accesoria de inhabilitación absoluta durante el tiempo de la condena, conforme al artículo 55 del Código penal.</w:t>
      </w:r>
    </w:p>
    <w:p w14:paraId="3BA2C7C0" w14:textId="77777777" w:rsidR="00576A90" w:rsidRDefault="00576A90" w:rsidP="00576A90">
      <w:pPr>
        <w:pStyle w:val="TextoNormal"/>
      </w:pPr>
    </w:p>
    <w:p w14:paraId="229464B5" w14:textId="77777777" w:rsidR="00576A90" w:rsidRDefault="00576A90" w:rsidP="00576A90">
      <w:pPr>
        <w:pStyle w:val="TextoNormal"/>
      </w:pPr>
      <w:r>
        <w:t>.- Prohibición de aproximarse a la víctima [A.P.G.] y de acudir o aproximarse a su domicilio o lugar de trabajo o estudio, en un radio de 500 metros, así como prohibición de comunicarse con ella por cualquier medio o por persona interpuesta, durante un plazo de catorce años.</w:t>
      </w:r>
    </w:p>
    <w:p w14:paraId="3540D10F" w14:textId="77777777" w:rsidR="00576A90" w:rsidRDefault="00576A90" w:rsidP="00576A90">
      <w:pPr>
        <w:pStyle w:val="TextoNormal"/>
      </w:pPr>
    </w:p>
    <w:p w14:paraId="57C90FDD" w14:textId="77777777" w:rsidR="00576A90" w:rsidRDefault="00576A90" w:rsidP="00576A90">
      <w:pPr>
        <w:pStyle w:val="TextoNormal"/>
      </w:pPr>
      <w:r>
        <w:t>. - Libertad vigilada durante un plazo de cinco años para su cumplimiento posterior a la pena privativa de libertad, (cuyo contenido se concretará conforme al artículo 106 y por el procedimiento previsto en el artículo 98, al que se remite el apartado 2 del artículo 106 del Código).</w:t>
      </w:r>
    </w:p>
    <w:p w14:paraId="5BFD36DD" w14:textId="77777777" w:rsidR="00576A90" w:rsidRDefault="00576A90" w:rsidP="00576A90">
      <w:pPr>
        <w:pStyle w:val="TextoNormal"/>
      </w:pPr>
    </w:p>
    <w:p w14:paraId="183AF953" w14:textId="77777777" w:rsidR="00576A90" w:rsidRDefault="00576A90" w:rsidP="00576A90">
      <w:pPr>
        <w:pStyle w:val="TextoNormal"/>
      </w:pPr>
      <w:r>
        <w:lastRenderedPageBreak/>
        <w:t>. - Pena de inhabilitación para los ejercicios de patria potestad, tutela, curatela, guardia y custodia así como acogimiento durante un periodo de cinco años.</w:t>
      </w:r>
    </w:p>
    <w:p w14:paraId="061104DD" w14:textId="77777777" w:rsidR="00576A90" w:rsidRDefault="00576A90" w:rsidP="00576A90">
      <w:pPr>
        <w:pStyle w:val="TextoNormal"/>
      </w:pPr>
    </w:p>
    <w:p w14:paraId="3FAD3538" w14:textId="77777777" w:rsidR="00576A90" w:rsidRDefault="00576A90" w:rsidP="00576A90">
      <w:pPr>
        <w:pStyle w:val="TextoNormal"/>
      </w:pPr>
      <w:r>
        <w:t>En concepto de responsabilidad civil el acusado indemnizará a [A.P.G.] en la cantidad de 30 000 € por los daños físicos y morales que le causó, y al SERGAS [Servicio Gallego de Salud] por las asistencias que se hayan prestado o presten a consecuencia de estos hechos a la víctima (y que actualmente s.e.u.o. ascienden a 1827,07 € - folio 567). Todo ello con los intereses conforme a los artículos 1108 del Código civil y 576 de la Ley de enjuiciamiento civil”.</w:t>
      </w:r>
    </w:p>
    <w:p w14:paraId="04301377" w14:textId="77777777" w:rsidR="00576A90" w:rsidRDefault="00576A90" w:rsidP="00576A90">
      <w:pPr>
        <w:pStyle w:val="TextoNormal"/>
      </w:pPr>
    </w:p>
    <w:p w14:paraId="1E4D6304" w14:textId="77777777" w:rsidR="00576A90" w:rsidRDefault="00576A90" w:rsidP="00576A90">
      <w:pPr>
        <w:pStyle w:val="TextoNormal"/>
      </w:pPr>
      <w:r>
        <w:t>Por medio de auto de la misma audiencia provincial y sección, de 18 de marzo de 2022 (se indica por error en su encabezamiento: 3 de enero de 2022), se procedió a rectificar un error material de la sentencia, afectante en concreto a la condena a la pena de inhabilitación para los ejercicios de patria potestad, tutela, curatela, guardia y custodia así como acogimiento, que quedó fijada en un año. El resto de la dispositiva se mantuvo igual.</w:t>
      </w:r>
    </w:p>
    <w:p w14:paraId="35BEA9C0" w14:textId="77777777" w:rsidR="00576A90" w:rsidRDefault="00576A90" w:rsidP="00576A90">
      <w:pPr>
        <w:pStyle w:val="TextoNormal"/>
      </w:pPr>
    </w:p>
    <w:p w14:paraId="761D3BE9" w14:textId="77777777" w:rsidR="00576A90" w:rsidRDefault="00576A90" w:rsidP="00576A90">
      <w:pPr>
        <w:pStyle w:val="TextoNormal"/>
      </w:pPr>
      <w:r>
        <w:t>b) Con fecha 13 de febrero de 2023, la Sección Segunda ya indicada dictó auto en ejecutoria 14-2022, procediendo a la revisión de las condenas impuestas en la sentencia de 20 de enero de 2022 (aclarada por auto de 18 de marzo del mismo año), con motivo de la entrada en vigor de la Ley Orgánica 10/2022, de 6 de septiembre, de garantía integral de la libertad sexual, que reformó diversos preceptos del título VIII, libro II, del Código penal, relativo a los delitos contra la libertad sexual. Tras exponer en sus fundamentos jurídicos los argumentos favorables a una reducción de las penas impuestas al acusado, el auto acordó en su parte dispositiva:</w:t>
      </w:r>
    </w:p>
    <w:p w14:paraId="6EBF8C68" w14:textId="77777777" w:rsidR="00576A90" w:rsidRDefault="00576A90" w:rsidP="00576A90">
      <w:pPr>
        <w:pStyle w:val="TextoNormal"/>
      </w:pPr>
    </w:p>
    <w:p w14:paraId="03F55393" w14:textId="77777777" w:rsidR="00576A90" w:rsidRDefault="00576A90" w:rsidP="00576A90">
      <w:pPr>
        <w:pStyle w:val="TextoNormal"/>
      </w:pPr>
      <w:r>
        <w:t>“La Sala acuerda:</w:t>
      </w:r>
    </w:p>
    <w:p w14:paraId="43397E56" w14:textId="77777777" w:rsidR="00576A90" w:rsidRDefault="00576A90" w:rsidP="00576A90">
      <w:pPr>
        <w:pStyle w:val="TextoNormal"/>
      </w:pPr>
    </w:p>
    <w:p w14:paraId="0951ED83" w14:textId="77777777" w:rsidR="00576A90" w:rsidRDefault="00576A90" w:rsidP="00576A90">
      <w:pPr>
        <w:pStyle w:val="TextoNormal"/>
      </w:pPr>
      <w:r>
        <w:t>Revisar la sentencia de 20 de enero de 2022, rectificada por auto de 18 de marzo de 2022, por la que se condenó a [J.M.E.R.] como autor criminalmente responsable de un delito de agresión sexual a persona menor de dieciséis años, tipificado por el artículo 183 apartados 1, 2 y 3 del Código penal vigente a la fecha de los hechos, a las siguientes penas, en el sentido de que conforme a los artículos 181, apartados 1, 2 y 3 y 192.3 del Código penal vigente, conforme a la modificación operada por la por la Ley Orgánica 10/2022, de 6 de septiembre, de garantía integral de la libertad sexual, las nuevas penas a que queda sujeto dicho penado son las siguientes:</w:t>
      </w:r>
    </w:p>
    <w:p w14:paraId="6520E81B" w14:textId="77777777" w:rsidR="00576A90" w:rsidRDefault="00576A90" w:rsidP="00576A90">
      <w:pPr>
        <w:pStyle w:val="TextoNormal"/>
      </w:pPr>
    </w:p>
    <w:p w14:paraId="3EF5DD63" w14:textId="77777777" w:rsidR="00576A90" w:rsidRDefault="00576A90" w:rsidP="00576A90">
      <w:pPr>
        <w:pStyle w:val="TextoNormal"/>
      </w:pPr>
      <w:r>
        <w:t>- Pena de prisión de diez años con la accesoria de inhabilitación absoluta durante el tiempo de la condena, conforme al artículo 55 del Código.</w:t>
      </w:r>
    </w:p>
    <w:p w14:paraId="686D313A" w14:textId="77777777" w:rsidR="00576A90" w:rsidRDefault="00576A90" w:rsidP="00576A90">
      <w:pPr>
        <w:pStyle w:val="TextoNormal"/>
      </w:pPr>
    </w:p>
    <w:p w14:paraId="29F89314" w14:textId="77777777" w:rsidR="00576A90" w:rsidRDefault="00576A90" w:rsidP="00576A90">
      <w:pPr>
        <w:pStyle w:val="TextoNormal"/>
      </w:pPr>
      <w:r>
        <w:t>- Prohibición de aproximarse a la víctima [A.P.G.] y de acudir o aproximarse a su domicilio o lugar de trabajo o estudio, en un radio de 500 metros, así como prohibición de comunicarse con ella por cualquier medio o por persona interpuesta, durante un plazo de doce años.</w:t>
      </w:r>
    </w:p>
    <w:p w14:paraId="6F9B7EE7" w14:textId="77777777" w:rsidR="00576A90" w:rsidRDefault="00576A90" w:rsidP="00576A90">
      <w:pPr>
        <w:pStyle w:val="TextoNormal"/>
      </w:pPr>
    </w:p>
    <w:p w14:paraId="59AF006C" w14:textId="77777777" w:rsidR="00576A90" w:rsidRDefault="00576A90" w:rsidP="00576A90">
      <w:pPr>
        <w:pStyle w:val="TextoNormal"/>
      </w:pPr>
      <w:r>
        <w:t>- Pena de inhabilitación especial para cualquier profesión. oficio o actividades. sean o no retribuidos. que conlleve contacto regular y directo con personas menores de edad. por un tiempo de quince años.</w:t>
      </w:r>
    </w:p>
    <w:p w14:paraId="63475954" w14:textId="77777777" w:rsidR="00576A90" w:rsidRDefault="00576A90" w:rsidP="00576A90">
      <w:pPr>
        <w:pStyle w:val="TextoNormal"/>
      </w:pPr>
    </w:p>
    <w:p w14:paraId="5E9D4380" w14:textId="77777777" w:rsidR="00576A90" w:rsidRDefault="00576A90" w:rsidP="00576A90">
      <w:pPr>
        <w:pStyle w:val="TextoNormal"/>
      </w:pPr>
      <w:r>
        <w:lastRenderedPageBreak/>
        <w:t xml:space="preserve">- Pena de inhabilitación para los ejercicios de patria potestad tutela, curatela, guardia y custodia. así como acogimiento durante un periodo de cuatro años. Se practicará un nuevo requerimiento, se realizará una nueva anotación en el Registro Civil y también una liquidación de la condena, tomando como </w:t>
      </w:r>
      <w:r w:rsidRPr="00576A90">
        <w:rPr>
          <w:i/>
        </w:rPr>
        <w:t>dies a quo</w:t>
      </w:r>
      <w:r>
        <w:t xml:space="preserve"> el del primer requerimiento (12 de abril de 2022).</w:t>
      </w:r>
    </w:p>
    <w:p w14:paraId="1B35F7BE" w14:textId="77777777" w:rsidR="00576A90" w:rsidRDefault="00576A90" w:rsidP="00576A90">
      <w:pPr>
        <w:pStyle w:val="TextoNormal"/>
      </w:pPr>
    </w:p>
    <w:p w14:paraId="13346CBA" w14:textId="77777777" w:rsidR="00576A90" w:rsidRDefault="00576A90" w:rsidP="00576A90">
      <w:pPr>
        <w:pStyle w:val="TextoNormal"/>
      </w:pPr>
      <w:r>
        <w:t>El resto de los pronunciamientos se mantienen iguales:</w:t>
      </w:r>
    </w:p>
    <w:p w14:paraId="5C1B0A2B" w14:textId="77777777" w:rsidR="00576A90" w:rsidRDefault="00576A90" w:rsidP="00576A90">
      <w:pPr>
        <w:pStyle w:val="TextoNormal"/>
      </w:pPr>
    </w:p>
    <w:p w14:paraId="064C8413" w14:textId="77777777" w:rsidR="00576A90" w:rsidRDefault="00576A90" w:rsidP="00576A90">
      <w:pPr>
        <w:pStyle w:val="TextoNormal"/>
      </w:pPr>
      <w:r>
        <w:t>- Libertad vigilada durante un plazo de cinco años para su cumplimiento posterior a la pena privativa de libertad (de diez años, cuyo contenido se concretará conforme al artículo 106 y por el procedimiento previsto en el artículo 98, al que se remite el apartado 2 del artículo 106 del Código).</w:t>
      </w:r>
    </w:p>
    <w:p w14:paraId="2BA348CE" w14:textId="77777777" w:rsidR="00576A90" w:rsidRDefault="00576A90" w:rsidP="00576A90">
      <w:pPr>
        <w:pStyle w:val="TextoNormal"/>
      </w:pPr>
    </w:p>
    <w:p w14:paraId="2BDCEC8D" w14:textId="77777777" w:rsidR="00576A90" w:rsidRDefault="00576A90" w:rsidP="00576A90">
      <w:pPr>
        <w:pStyle w:val="TextoNormal"/>
      </w:pPr>
      <w:r>
        <w:t>- En concepto de responsabilidad civil indemnizar a [A.P.G.] en la cantidad de 30 000 € por los daños físicos y morales que le causó, y al SERGAS por las asistencias que se hayan prestado o presten a consecuencia de estos hechos a la víctima (s.e.u.o 1827,07 € - folio 567). Todo ello con los intereses conforme a los artículos 1.108 del Código Civil y 576 de la Ley de enjuiciamiento civil”.</w:t>
      </w:r>
    </w:p>
    <w:p w14:paraId="1D2A5737" w14:textId="77777777" w:rsidR="00576A90" w:rsidRDefault="00576A90" w:rsidP="00576A90">
      <w:pPr>
        <w:pStyle w:val="TextoNormal"/>
      </w:pPr>
    </w:p>
    <w:p w14:paraId="437D45F7" w14:textId="77777777" w:rsidR="00576A90" w:rsidRDefault="00576A90" w:rsidP="00576A90">
      <w:pPr>
        <w:pStyle w:val="TextoNormal"/>
      </w:pPr>
      <w:r>
        <w:t>Como pie de recurso se indicó en el mismo auto:</w:t>
      </w:r>
    </w:p>
    <w:p w14:paraId="585FBCF1" w14:textId="77777777" w:rsidR="00576A90" w:rsidRDefault="00576A90" w:rsidP="00576A90">
      <w:pPr>
        <w:pStyle w:val="TextoNormal"/>
      </w:pPr>
    </w:p>
    <w:p w14:paraId="4A41608C" w14:textId="77777777" w:rsidR="00576A90" w:rsidRDefault="00576A90" w:rsidP="00576A90">
      <w:pPr>
        <w:pStyle w:val="TextoNormal"/>
      </w:pPr>
      <w:r>
        <w:t>“Notifíquese el presente auto al Ministerio Fiscal y a las demás partes personadas y de modo personal al penado, con instrucción de que contra este cabe interponer recurso de apelación ante esta Audiencia para ante la Sala de lo Civil y Penal del Tribunal Superior de Justicia dentro de los diez días siguientes a la última notificación de la presente resolución”.</w:t>
      </w:r>
    </w:p>
    <w:p w14:paraId="2CCAAC73" w14:textId="77777777" w:rsidR="00576A90" w:rsidRDefault="00576A90" w:rsidP="00576A90">
      <w:pPr>
        <w:pStyle w:val="TextoNormal"/>
      </w:pPr>
    </w:p>
    <w:p w14:paraId="5C347435" w14:textId="77777777" w:rsidR="00576A90" w:rsidRDefault="00576A90" w:rsidP="00576A90">
      <w:pPr>
        <w:pStyle w:val="TextoNormal"/>
      </w:pPr>
      <w:r>
        <w:t>El auto cuenta con un voto particular de una magistrada de la Sección, que entiende que la sentencia no debió ser revisada.</w:t>
      </w:r>
    </w:p>
    <w:p w14:paraId="34DAC323" w14:textId="77777777" w:rsidR="00576A90" w:rsidRDefault="00576A90" w:rsidP="00576A90">
      <w:pPr>
        <w:pStyle w:val="TextoNormal"/>
      </w:pPr>
    </w:p>
    <w:p w14:paraId="444EF133" w14:textId="77777777" w:rsidR="00576A90" w:rsidRDefault="00576A90" w:rsidP="00576A90">
      <w:pPr>
        <w:pStyle w:val="TextoNormal"/>
      </w:pPr>
      <w:r>
        <w:t>c) La representante legal de las dos demandantes de amparo presentó escrito de recurso de apelación contra el auto de 13 de febrero de 2023, al que atribuyó la vulneración de los arts. 2, 181, 183 y las disposiciones transitorias primera y segunda, preceptos todos del Código penal; así como la conculcación del derecho a la tutela judicial efectiva del art. 24.1 CE.</w:t>
      </w:r>
    </w:p>
    <w:p w14:paraId="32E440F2" w14:textId="77777777" w:rsidR="00576A90" w:rsidRDefault="00576A90" w:rsidP="00576A90">
      <w:pPr>
        <w:pStyle w:val="TextoNormal"/>
      </w:pPr>
    </w:p>
    <w:p w14:paraId="21E077BF" w14:textId="77777777" w:rsidR="00576A90" w:rsidRDefault="00576A90" w:rsidP="00576A90">
      <w:pPr>
        <w:pStyle w:val="TextoNormal"/>
      </w:pPr>
      <w:r>
        <w:t>d) Con fecha 24 de abril de 2023, la Sala de lo Civil y Penal del Tribunal Superior de Justicia de Galicia, actuando como Sala de lo Penal, dictó auto por el que acordó inadmitir el recurso de apelación interpuesto, al no preverse en la Ley de enjuiciamiento criminal (LECrim) y tampoco en la Ley Orgánica 10/2022, un régimen específico de impugnación de los autos de revisión de condenas. En sus razonamientos jurídicos, la Sala expone los motivos de esta decisión:</w:t>
      </w:r>
    </w:p>
    <w:p w14:paraId="371BB5F2" w14:textId="77777777" w:rsidR="00576A90" w:rsidRDefault="00576A90" w:rsidP="00576A90">
      <w:pPr>
        <w:pStyle w:val="TextoNormal"/>
      </w:pPr>
    </w:p>
    <w:p w14:paraId="600201D9" w14:textId="77777777" w:rsidR="00576A90" w:rsidRDefault="00576A90" w:rsidP="00576A90">
      <w:pPr>
        <w:pStyle w:val="TextoNormal"/>
      </w:pPr>
      <w:r>
        <w:t xml:space="preserve">“Primero. - A partir de la Ley Orgánica 10/1995, de 23 de noviembre, del Código penal, el legislador estatal, que en tantas ocasiones lo reformó al igual que en no menor medida reformó la Ley de enjuiciamiento criminal, singularmente mediante la Ley 41/2015, de 5 de octubre, rehusó sin embargo establecer un régimen de impugnabilidad de los autos </w:t>
      </w:r>
      <w:r>
        <w:lastRenderedPageBreak/>
        <w:t>de revisión —o de no revisión— de una sentencia firme como consecuencia de la entrada en vigor de una legislación más favorable.</w:t>
      </w:r>
    </w:p>
    <w:p w14:paraId="53F94F3B" w14:textId="77777777" w:rsidR="00576A90" w:rsidRDefault="00576A90" w:rsidP="00576A90">
      <w:pPr>
        <w:pStyle w:val="TextoNormal"/>
      </w:pPr>
    </w:p>
    <w:p w14:paraId="6000F89E" w14:textId="77777777" w:rsidR="00576A90" w:rsidRDefault="00576A90" w:rsidP="00576A90">
      <w:pPr>
        <w:pStyle w:val="TextoNormal"/>
      </w:pPr>
      <w:r>
        <w:t>Es indudable que bien pudo haber establecido tal régimen de recurribilidad, pero el caso es que lo obvió. Y no sería ello debido a la carencia de precedentes: el párrafo tercero de la disposición transitoria de la Ley Orgánica 8/1983, de 25 de junio, de reforma urgente y parcial del Código penal, predicó la susceptibilidad de los autos dictados por un juzgado o por una audiencia resolviendo sobre la revisión para ser recurridos respectivamente en apelación o en casación. No habremos de insistir en que en la Ley Orgánica 10/2022, de 6 de septiembre, de garantía integral de la libertad sexual, tampoco se encuentra rastro de la —en concreto— apelabilidad de los susodichos autos de revisión o de no revisión de una audiencia ante las Salas de lo Civil y Penal de los Tribunales Superiores de Justicia.</w:t>
      </w:r>
    </w:p>
    <w:p w14:paraId="02F4FC33" w14:textId="77777777" w:rsidR="00576A90" w:rsidRDefault="00576A90" w:rsidP="00576A90">
      <w:pPr>
        <w:pStyle w:val="TextoNormal"/>
      </w:pPr>
    </w:p>
    <w:p w14:paraId="3C202C5E" w14:textId="77777777" w:rsidR="00576A90" w:rsidRDefault="00576A90" w:rsidP="00576A90">
      <w:pPr>
        <w:pStyle w:val="TextoNormal"/>
      </w:pPr>
      <w:r>
        <w:t xml:space="preserve">Podrá estimarse que el régimen establecido en la precitada Ley Orgánica 8/1983 resulta más lógico y coherente que el actualmente vigente en el que en rigor los autos de una audiencia recaídos en torno a la revisión o no revisión (e incluso aquellos en que se acuerda no abrir ese incidente por considerarlo improcedente), son únicamente susceptibles de recurso de súplica </w:t>
      </w:r>
      <w:r w:rsidRPr="00576A90">
        <w:rPr>
          <w:i/>
        </w:rPr>
        <w:t>ex</w:t>
      </w:r>
      <w:r>
        <w:t xml:space="preserve"> art. 236 LECrim si se trata —como en el caso— de la decisión de una audiencia. Más coherente y lógico en principio, pero no tanto a la postre si reparamos en que en particular el auto que modifica una sentencia firme mal que bien puede entenderse que la complementa por cuanto complementar una resolución es incompatible con rectificar ‘lo que hubiere acordado’ (argument</w:t>
      </w:r>
      <w:r w:rsidRPr="00576A90">
        <w:rPr>
          <w:i/>
        </w:rPr>
        <w:t xml:space="preserve">o </w:t>
      </w:r>
      <w:r>
        <w:t>ex art. 215.3 LEC, invocabl</w:t>
      </w:r>
      <w:r w:rsidRPr="00576A90">
        <w:rPr>
          <w:i/>
        </w:rPr>
        <w:t xml:space="preserve">e </w:t>
      </w:r>
      <w:r>
        <w:t>ex art. 4 LEC).</w:t>
      </w:r>
    </w:p>
    <w:p w14:paraId="3E17305E" w14:textId="77777777" w:rsidR="00576A90" w:rsidRDefault="00576A90" w:rsidP="00576A90">
      <w:pPr>
        <w:pStyle w:val="TextoNormal"/>
      </w:pPr>
    </w:p>
    <w:p w14:paraId="0BBC3967" w14:textId="77777777" w:rsidR="00576A90" w:rsidRDefault="00576A90" w:rsidP="00576A90">
      <w:pPr>
        <w:pStyle w:val="TextoNormal"/>
      </w:pPr>
      <w:r>
        <w:t>Segundo. - Sea como fuere, lo cierto e indudable es que la realidad normativa vigente excluye cualquier recurso devolutivo contra los autos en cuestión o, si se prefiere, el legislador, pudiéndolo haber previsto, no lo previó.</w:t>
      </w:r>
    </w:p>
    <w:p w14:paraId="5681F027" w14:textId="77777777" w:rsidR="00576A90" w:rsidRDefault="00576A90" w:rsidP="00576A90">
      <w:pPr>
        <w:pStyle w:val="TextoNormal"/>
      </w:pPr>
    </w:p>
    <w:p w14:paraId="5B01EA03" w14:textId="77777777" w:rsidR="00576A90" w:rsidRDefault="00576A90" w:rsidP="00576A90">
      <w:pPr>
        <w:pStyle w:val="TextoNormal"/>
      </w:pPr>
      <w:r>
        <w:t xml:space="preserve">En este sentido, ignoramos cuál es la cobertura, no siendo la existente propiamente legal, a la que se acoge el apelado auto revisor de condena dictado por la audiencia para haber indicado las partes que contra el mismo se podía interponer recurso de apelación sujeto al conocimiento de esta Sala de lo Civil y Penal. Podemos dar por supuesto que esa cobertura es implícitamente jurisprudencial del mismo modo que lo es, de manera expresa, para el Ministerio Fiscal en algún informe emitido previamente acerca de nuestra competencia para conocer del recurso de apelación interpuesto; informe en el que, al margen de la mera cita del artículo 846 </w:t>
      </w:r>
      <w:r w:rsidRPr="00576A90">
        <w:rPr>
          <w:i/>
        </w:rPr>
        <w:t>ter</w:t>
      </w:r>
      <w:r>
        <w:t xml:space="preserve"> LECrim, se sostiene dicha competencia sobre la base de un ‘criterio jurisprudencial consolidado’ por la Sala Segunda del Tribunal Supremo y muy en especial sobre la base de una de las directrices (la novena del apartado tercero) del decreto de la Fiscalía General del Estado de 21 de noviembre de 2022; directriz reducida a invocar y transcribir parte de la STS 606/2018, de 28 de noviembre, a los efectos de asegurar que ‘contra las resoluciones resolviendo revisión de las sentencias condenatorias firmes podrán interponerse los mismos recursos que, en su caso, cabrían contra la sentencia condenatoria’.</w:t>
      </w:r>
    </w:p>
    <w:p w14:paraId="5F69F148" w14:textId="77777777" w:rsidR="00576A90" w:rsidRDefault="00576A90" w:rsidP="00576A90">
      <w:pPr>
        <w:pStyle w:val="TextoNormal"/>
      </w:pPr>
    </w:p>
    <w:p w14:paraId="47C89880" w14:textId="77777777" w:rsidR="00576A90" w:rsidRDefault="00576A90" w:rsidP="00576A90">
      <w:pPr>
        <w:pStyle w:val="TextoNormal"/>
      </w:pPr>
      <w:r>
        <w:t xml:space="preserve">El respeto que, como es natural y obligado, nos merece semejante criterio, no nos ha de conducir a asumirlo so pena, en caso contrario, de vincularnos a la viabilidad jurisprudencial, pero no legal, de un recurso de apelación, máxime cuando la Sala Segunda, en la precitada sentencia de referencia, reconoce, en primer lugar, que el legislador (a partir de </w:t>
      </w:r>
      <w:r>
        <w:lastRenderedPageBreak/>
        <w:t>1995) no ha ‘aclarado’ el régimen de impugnabilidad de los autos de revisión o no revisión que nos ocupan; en segundo lugar, que ‘la proyección del régimen general de la Ley procesal penal arrastraría a un escenario en que solo sería factible un recurso de súplica si se trata —como es el caso— de una audiencia’; y, en tercer lugar, que la tesis del propio Tribunal Supremo en orden a la apelabilidad de esas resoluciones de una audiencia ante el Tribunal Superior de Justicia, antes de la ulterior casación, carece de ‘explícito soporte legal’.</w:t>
      </w:r>
    </w:p>
    <w:p w14:paraId="155BE77E" w14:textId="77777777" w:rsidR="00576A90" w:rsidRDefault="00576A90" w:rsidP="00576A90">
      <w:pPr>
        <w:pStyle w:val="TextoNormal"/>
      </w:pPr>
    </w:p>
    <w:p w14:paraId="00C6CD71" w14:textId="77777777" w:rsidR="00576A90" w:rsidRDefault="00576A90" w:rsidP="00576A90">
      <w:pPr>
        <w:pStyle w:val="TextoNormal"/>
      </w:pPr>
      <w:r>
        <w:t xml:space="preserve">Carece, entendemos, de soporte legal, y para percatarse de ello no hay más que atender al competencialmente determinante artículo 846.1 </w:t>
      </w:r>
      <w:r w:rsidRPr="00576A90">
        <w:rPr>
          <w:i/>
        </w:rPr>
        <w:t>ter</w:t>
      </w:r>
      <w:r>
        <w:t xml:space="preserve"> LECrim y a confrontarlo, v.gr., con el artículo 999 LECrim. En definitiva, habrá que convenir que la indicada apelabilidad, jurisprudencialmente reconocida, pugna a su vez con la previsión legal </w:t>
      </w:r>
      <w:r w:rsidRPr="00576A90">
        <w:rPr>
          <w:i/>
        </w:rPr>
        <w:t>ex</w:t>
      </w:r>
      <w:r>
        <w:t xml:space="preserve"> art. 236 LECrim tocante a que el recurso de apelación contra los autos de los tribunales de lo criminal podrá interponerse ‘únicamente en aquellos casos expresamente previstos en la Ley’”.</w:t>
      </w:r>
    </w:p>
    <w:p w14:paraId="3143C5FE" w14:textId="77777777" w:rsidR="00576A90" w:rsidRDefault="00576A90" w:rsidP="00576A90">
      <w:pPr>
        <w:pStyle w:val="TextoNormal"/>
      </w:pPr>
    </w:p>
    <w:p w14:paraId="5CE6A1FE" w14:textId="77777777" w:rsidR="00576A90" w:rsidRDefault="00576A90" w:rsidP="00576A90">
      <w:pPr>
        <w:pStyle w:val="TextoNormal"/>
      </w:pPr>
      <w:r>
        <w:t>e) Contra el auto de 24 de abril de 2023 la representante procesal de las dos demandantes de amparo promovió recurso de súplica, invocando la vulneración del art. 24.1 CE en su vertiente de derecho de acceso a los recursos legalmente establecidos, puesto que “está claro que el legislador y la Constitución otorgan el derecho a que las resoluciones judiciales puedan ser objeto de revisión en el término más amplio del término [</w:t>
      </w:r>
      <w:r w:rsidRPr="00576A90">
        <w:rPr>
          <w:i/>
        </w:rPr>
        <w:t>sic</w:t>
      </w:r>
      <w:r>
        <w:t>] […]. Y lo que está claro, es que este tipo de resolución, con la importancia que tiene, pues nada menos que modifica una sentencia penal firme, no ha de ser menos. Y lo que consideramos evidente, es que ni [el] legislador ni la Constitución pretenden excluir de [la] posibilidad de revisión un acto o resolución de tal calado como esta. Pues de ser así, habrían excluido expresamente esta posibilidad para este tipo de autos, cosa que no han hecho, puesto que a nuestro entender además, sería ilegal, pues se vedaría a esta parte de su legítimo derecho de revisión de una resolución judicial injusta”.</w:t>
      </w:r>
    </w:p>
    <w:p w14:paraId="62937A4E" w14:textId="77777777" w:rsidR="00576A90" w:rsidRDefault="00576A90" w:rsidP="00576A90">
      <w:pPr>
        <w:pStyle w:val="TextoNormal"/>
      </w:pPr>
    </w:p>
    <w:p w14:paraId="3A8ACA35" w14:textId="77777777" w:rsidR="00576A90" w:rsidRDefault="00576A90" w:rsidP="00576A90">
      <w:pPr>
        <w:pStyle w:val="TextoNormal"/>
      </w:pPr>
      <w:r>
        <w:t xml:space="preserve">Se alegó la infracción también del art. 846 </w:t>
      </w:r>
      <w:r w:rsidRPr="00576A90">
        <w:rPr>
          <w:i/>
        </w:rPr>
        <w:t>ter</w:t>
      </w:r>
      <w:r>
        <w:t xml:space="preserve"> LECrim, “de la directriz novena del apartado tercero del decreto de la Fiscalía General del Estado de 21 de noviembre de 2022”, y la inobservancia del criterio sentado en esta materia por la Sala Segunda del Tribunal Supremo en sus sentencias 154/2015, de 17 de marzo, y 606/2018, de 28 de noviembre; con cita a continuación de la STC 30/2009, de 26 de enero, respecto de la confianza legítima que es de esperar de la instrucción de recursos facilitada por los órganos judiciales. Deduce así el escrito que “es intención del legislador, y en todo caso de nuestro Tribunal Supremo y Tribunal Constitucional, ser flexibles y conceder la posibilidad de recurso en caso de oscuridad normativa, y no al contrario, esto es vetar tales posibilidades”.</w:t>
      </w:r>
    </w:p>
    <w:p w14:paraId="285CCB9D" w14:textId="77777777" w:rsidR="00576A90" w:rsidRDefault="00576A90" w:rsidP="00576A90">
      <w:pPr>
        <w:pStyle w:val="TextoNormal"/>
      </w:pPr>
    </w:p>
    <w:p w14:paraId="01EA4DE2" w14:textId="77777777" w:rsidR="00576A90" w:rsidRDefault="00576A90" w:rsidP="00576A90">
      <w:pPr>
        <w:pStyle w:val="TextoNormal"/>
      </w:pPr>
      <w:r>
        <w:t>El escrito suplicó a la Sala revocar el auto impugnado, a fin de dictar otro que acordase admitir el recurso de apelación interpuesto, resolviendo el fondo de lo planteado en el mismo.</w:t>
      </w:r>
    </w:p>
    <w:p w14:paraId="53D05C86" w14:textId="77777777" w:rsidR="00576A90" w:rsidRDefault="00576A90" w:rsidP="00576A90">
      <w:pPr>
        <w:pStyle w:val="TextoNormal"/>
      </w:pPr>
    </w:p>
    <w:p w14:paraId="5131F20E" w14:textId="77777777" w:rsidR="00576A90" w:rsidRDefault="00576A90" w:rsidP="00576A90">
      <w:pPr>
        <w:pStyle w:val="TextoNormal"/>
      </w:pPr>
      <w:r>
        <w:t>El Ministerio Fiscal también promovió recurso de súplica contra la misma resolución.</w:t>
      </w:r>
    </w:p>
    <w:p w14:paraId="57C406BD" w14:textId="77777777" w:rsidR="00576A90" w:rsidRDefault="00576A90" w:rsidP="00576A90">
      <w:pPr>
        <w:pStyle w:val="TextoNormal"/>
      </w:pPr>
    </w:p>
    <w:p w14:paraId="05AADB4F" w14:textId="77777777" w:rsidR="00576A90" w:rsidRDefault="00576A90" w:rsidP="00576A90">
      <w:pPr>
        <w:pStyle w:val="TextoNormal"/>
      </w:pPr>
      <w:r>
        <w:t>f) Con fecha 25 de mayo de 2023, la Sala de lo Civil y Penal del Tribunal Superior de Justicia de Galicia dictó auto desestimando los recursos de súplica presentados, confirmando así la resolución impugnada con arreglo a los siguientes fundamentos de Derecho:</w:t>
      </w:r>
    </w:p>
    <w:p w14:paraId="15820BAD" w14:textId="77777777" w:rsidR="00576A90" w:rsidRDefault="00576A90" w:rsidP="00576A90">
      <w:pPr>
        <w:pStyle w:val="TextoNormal"/>
      </w:pPr>
    </w:p>
    <w:p w14:paraId="650D8953" w14:textId="77777777" w:rsidR="00576A90" w:rsidRDefault="00576A90" w:rsidP="00576A90">
      <w:pPr>
        <w:pStyle w:val="TextoNormal"/>
      </w:pPr>
      <w:r>
        <w:lastRenderedPageBreak/>
        <w:t>«Primero.- El Ministerio Fiscal en su recurso cita abundantes resoluciones disímiles con la nuestra de otros tribunales superiores de justicia y del Tribunal Supremo y pone de manifiesto su conformidad con lo que prescribe a los señores fiscales la Fiscalía General del Estado, pero no rebate específicamente las razones en las que se ha basado la Sala para acordar lo que consideramos en el auto de 24 de abril de 2023, remitiéndonos a lo en él expuesto ante la ausencia por su parte de nuevos argumentos.</w:t>
      </w:r>
    </w:p>
    <w:p w14:paraId="45538607" w14:textId="77777777" w:rsidR="00576A90" w:rsidRDefault="00576A90" w:rsidP="00576A90">
      <w:pPr>
        <w:pStyle w:val="TextoNormal"/>
      </w:pPr>
    </w:p>
    <w:p w14:paraId="16277A80" w14:textId="77777777" w:rsidR="00576A90" w:rsidRDefault="00576A90" w:rsidP="00576A90">
      <w:pPr>
        <w:pStyle w:val="TextoNormal"/>
      </w:pPr>
      <w:r>
        <w:t>Segundo.- La otra parte recurrente cita el artículo 24.l de la Constitución, que establece el derecho a la tutela judicial efectiva e incluye y otorga, a su juicio, el derecho de acceso a los recursos legalmente establecidos a las partes interesadas en un proceso judicial.</w:t>
      </w:r>
    </w:p>
    <w:p w14:paraId="430C9AAC" w14:textId="77777777" w:rsidR="00576A90" w:rsidRDefault="00576A90" w:rsidP="00576A90">
      <w:pPr>
        <w:pStyle w:val="TextoNormal"/>
      </w:pPr>
    </w:p>
    <w:p w14:paraId="5CD2C635" w14:textId="77777777" w:rsidR="00576A90" w:rsidRDefault="00576A90" w:rsidP="00576A90">
      <w:pPr>
        <w:pStyle w:val="TextoNormal"/>
      </w:pPr>
      <w:r>
        <w:t xml:space="preserve">Considera así que el legislador y la Constitución otorgan el derecho a que las decisiones judiciales puedan ser objeto de revisión ampliamente y que, por tanto, puedan ser objeto de revisión, corrección o consideración por un tribunal superior. “Y lo que está claro, es que este tipo de resolución, con la importancia que tiene, pues nada menos que modifica una sentencia penal firme, no ha de ser menos”. </w:t>
      </w:r>
    </w:p>
    <w:p w14:paraId="405D1487" w14:textId="77777777" w:rsidR="00576A90" w:rsidRDefault="00576A90" w:rsidP="00576A90">
      <w:pPr>
        <w:pStyle w:val="TextoNormal"/>
      </w:pPr>
    </w:p>
    <w:p w14:paraId="4254BE4A" w14:textId="77777777" w:rsidR="00576A90" w:rsidRDefault="00576A90" w:rsidP="00576A90">
      <w:pPr>
        <w:pStyle w:val="TextoNormal"/>
      </w:pPr>
      <w:r>
        <w:t>Precisamente lo que no está es claro y, si tanta importancia tiene, quizás el legislador debiera haber incluido un recurso para tan trascend[e]ntal cuestión, pero no lo ha hecho. “No ha de ser menos” es una valoración, un anhelo, u</w:t>
      </w:r>
      <w:r w:rsidRPr="00576A90">
        <w:rPr>
          <w:i/>
        </w:rPr>
        <w:t>n desiderat</w:t>
      </w:r>
      <w:r>
        <w:t>um, pero no una realidad.</w:t>
      </w:r>
    </w:p>
    <w:p w14:paraId="6489A890" w14:textId="77777777" w:rsidR="00576A90" w:rsidRDefault="00576A90" w:rsidP="00576A90">
      <w:pPr>
        <w:pStyle w:val="TextoNormal"/>
      </w:pPr>
    </w:p>
    <w:p w14:paraId="0D9C4A37" w14:textId="77777777" w:rsidR="00576A90" w:rsidRDefault="00576A90" w:rsidP="00576A90">
      <w:pPr>
        <w:pStyle w:val="TextoNormal"/>
      </w:pPr>
      <w:r>
        <w:t>Lo que es indudable es que nuestra resolución de fecha 24 de abril de 2023 explica pormenorizadamente los motivos por los que entendemos que no cabe un recurso no previsto legalmente por mucho que pudiera ser razonable que la ley sí lo previera. De hecho, cuando el legislador quiere reformar una ley (sustantiva o adjetiva) lo hace con la amplitud deseada, y la incesante actividad legislativa de nuestro Parlamento en la última época da buena muestra de ello. Si hubiera querido modificar el régimen de recursos existente frente a las resoluciones de las audiencias bastaba con haberlo hecho, máxime cuando se reformó el Código penal y era evidente que se iban a producir unas revisiones de condena que beneficiarían a una de las partes y perjudicarían a otra.</w:t>
      </w:r>
    </w:p>
    <w:p w14:paraId="5667BAB5" w14:textId="77777777" w:rsidR="00576A90" w:rsidRDefault="00576A90" w:rsidP="00576A90">
      <w:pPr>
        <w:pStyle w:val="TextoNormal"/>
      </w:pPr>
    </w:p>
    <w:p w14:paraId="51757E27" w14:textId="77777777" w:rsidR="00576A90" w:rsidRDefault="00576A90" w:rsidP="00576A90">
      <w:pPr>
        <w:pStyle w:val="TextoNormal"/>
      </w:pPr>
      <w:r>
        <w:t>Tercero.- Se nos dice en segundo lugar que “el recurso de apelación frente al auto de revisión tiene perfecto encaje en el artículo 846 de la Ley de enjuiciamiento criminal, pues si el auto modifica una sentencia firme, dicho auto ha de tener el mismo recurso que dicha sentencia que está modificando, esto es el recurso de apelación ante el Tribunal Superior de Justicia. A mayor abundamiento, no existiendo ‘prohibición’ expresa por el legislador, ha de entenderse que cabe dicho recurso, y ello precisamente en aras a hacer valer el derecho de tutela judicial efectiva; y no realizarse, permítasenos la expresión, una interpretación tan restrictiva como la realizada por la Sala, pues entendemos que, en un caso de ‘oscuridad normativa’ como el presente, ha de primar el derecho a revisión de una resolución judicial que consideramos injusta, más que a vetar tal derecho por falta de una mayor aclaración (que no prohibición)”.</w:t>
      </w:r>
    </w:p>
    <w:p w14:paraId="6C6A17D2" w14:textId="77777777" w:rsidR="00576A90" w:rsidRDefault="00576A90" w:rsidP="00576A90">
      <w:pPr>
        <w:pStyle w:val="TextoNormal"/>
      </w:pPr>
    </w:p>
    <w:p w14:paraId="48C17AAB" w14:textId="77777777" w:rsidR="00576A90" w:rsidRDefault="00576A90" w:rsidP="00576A90">
      <w:pPr>
        <w:pStyle w:val="TextoNormal"/>
      </w:pPr>
      <w:r>
        <w:t xml:space="preserve">Resulta, sin embargo, como ya dijimos en el auto combatido, que carece de soporte legal, y para percatarse de ello no hay más que atender al competencialmente determinante artículo 846.1 </w:t>
      </w:r>
      <w:r w:rsidRPr="00576A90">
        <w:rPr>
          <w:i/>
        </w:rPr>
        <w:t>ter</w:t>
      </w:r>
      <w:r>
        <w:t xml:space="preserve"> LECrim y a confrontarlo, v.gr., con el artículo 999 LECrim. En definitiva, habrá que convenir que la indicada apelabilidad, jurisprudencialmente reconocida, pugna a su vez con la previsión legal </w:t>
      </w:r>
      <w:r w:rsidRPr="00576A90">
        <w:rPr>
          <w:i/>
        </w:rPr>
        <w:t>ex</w:t>
      </w:r>
      <w:r>
        <w:t xml:space="preserve"> artículo 236 LECrim tocante a que el recurso de </w:t>
      </w:r>
      <w:r>
        <w:lastRenderedPageBreak/>
        <w:t>apelación contra los autos de los Tribunales de lo criminal podrá interponerse “únicamente en aquellos casos expresamente previstos en la Ley”.</w:t>
      </w:r>
    </w:p>
    <w:p w14:paraId="2930E428" w14:textId="77777777" w:rsidR="00576A90" w:rsidRDefault="00576A90" w:rsidP="00576A90">
      <w:pPr>
        <w:pStyle w:val="TextoNormal"/>
      </w:pPr>
    </w:p>
    <w:p w14:paraId="30B1672C" w14:textId="1BE330AF" w:rsidR="00576A90" w:rsidRDefault="00576A90" w:rsidP="00576A90">
      <w:pPr>
        <w:pStyle w:val="TextoNormal"/>
      </w:pPr>
      <w:r>
        <w:t xml:space="preserve">Por tanto, podrá reclamarse que “ha de tener el mismo recurso que dicha sentencia que está modificando”, que “ha de entenderse que cabe dicho recurso” o que “ha de primar el derecho a revisión de una resolución judicial que consideramos injusta”, pero los arts. 236 y 846 </w:t>
      </w:r>
      <w:r w:rsidRPr="00576A90">
        <w:rPr>
          <w:i/>
        </w:rPr>
        <w:t>ter</w:t>
      </w:r>
      <w:r>
        <w:t>, ambos de la Ley de enjuiciamiento criminal, no lo autorizan. Solo confundiendo los deseos con la realidad puede decirse, como hace la representación letrada de la recurrente, que “es intención del legislador, y en todo caso de nuestro Tribunal Supremo y Tribunal Constitucional, ser flexibles y conceder la posibilidad de recurso en caso de oscuridad normativa, y no al contrario, esto es vetar tales posibilidades”. Si tan deseoso estuviese el legislador de dotar de recurso de apelación a las revisiones de condena efectuadas por las audiencias lo tenía en su mano, como hizo al reformar en pocos meses y por dos veces la legislación penal sexual de la que deriva precisamente la revisión que se pretende. Y no lo ha hecho en ninguna de ellas pese a lo que ha venido sucediendo y que es de general conocimiento».</w:t>
      </w:r>
    </w:p>
    <w:p w14:paraId="30510077" w14:textId="77777777" w:rsidR="00576A90" w:rsidRDefault="00576A90" w:rsidP="00576A90">
      <w:pPr>
        <w:pStyle w:val="TextoNormal"/>
      </w:pPr>
    </w:p>
    <w:p w14:paraId="62EF85D7" w14:textId="77777777" w:rsidR="00576A90" w:rsidRDefault="00576A90" w:rsidP="00576A90">
      <w:pPr>
        <w:pStyle w:val="TextoNormal"/>
      </w:pPr>
      <w:r w:rsidRPr="00576A90">
        <w:rPr>
          <w:rStyle w:val="NumeroAFNegritaCaracter"/>
        </w:rPr>
        <w:t>3</w:t>
      </w:r>
      <w:r>
        <w:t>. La demanda de amparo se dirige contra los autos de 24 de abril de 2023 y 25 de mayo de 2023 de la Sala de lo Civil y Penal del Tribunal Superior de Justicia de Galicia, por vulneración de los derechos fundamentales de las recurrentes a la tutela judicial efectiva (art. 24.1 CE); a un procedimiento con todas las garantías (art. 24.2 CE) y a la igualdad ante la ley del art. 14 de la Constitución, al negarse a resolver dicho órgano judicial el recurso de apelación interpuesto por aquellas contra el auto de la Sección Segunda de la Audiencia Provincial de Lugo, de 13 de febrero de 2023 que acordó revisar su sentencia de 20 de enero de 2022 (rectificada por auto de 18 de marzo de 2022 en cuanto a la pena de inhabilitación para los ejercicios de patria potestad, tutela, curatela, guarda y custodia y acogimiento), rebajando este auto de 13 de febrero de 2023 la pena de prisión de doce a diez años, por el delito de agresión sexual a víctima menor de dieciséis años a que fue condenado el acusado.</w:t>
      </w:r>
    </w:p>
    <w:p w14:paraId="6C113DCB" w14:textId="77777777" w:rsidR="00576A90" w:rsidRDefault="00576A90" w:rsidP="00576A90">
      <w:pPr>
        <w:pStyle w:val="TextoNormal"/>
      </w:pPr>
    </w:p>
    <w:p w14:paraId="48ECBD09" w14:textId="77777777" w:rsidR="00576A90" w:rsidRDefault="00576A90" w:rsidP="00576A90">
      <w:pPr>
        <w:pStyle w:val="TextoNormal"/>
      </w:pPr>
      <w:r>
        <w:t>a) En la demanda de amparo se reconoce de entrada que existe una “oscuridad normativa” en cuanto “al modo y forma de impugnar un auto de revisión de sentencia firme”, si bien discrepa de los argumentos dados por la Sala del Tribunal Superior de Justicia para negar tal posibilidad, reiterando lo ya expuesto en el recurso de súplica respecto a que “el legislador y la Constitución” otorgan el derecho a que las resoluciones judiciales puedan ser objeto de revisión en términos amplios. Además, dice, “si en un proceso penal, el órgano juzgador ha de ser distinto al órgano sentenciador, a fin de preservar la integridad, objetividad etc. del procedimiento, es obvio, que la sentencia que se dicte pueda ser revisada por un órgano distinto y superior al sentenciador”; también cuando se trata de la modificación de una sentencia firme, “al igual que la sentencia misma” se puede recurrir. Reitera también el argumento del recurso de súplica de que ni el legislador ni la Constitución pretenden excluir la posibilidad de revisión de un acto o resolución de tal calado como esta. “Pues de ser así, habrían excluido expresamente esta posibilidad […], cosa que no han hecho ni la Ley de enjuiciamiento criminal ni la Ley Orgánica 10/2022, de 6 de septiembre”; lo contrario supondría vedar a dicha parte de su “legítimo derecho de revisión de una resolución judicial injusta”.</w:t>
      </w:r>
    </w:p>
    <w:p w14:paraId="1599E257" w14:textId="77777777" w:rsidR="00576A90" w:rsidRDefault="00576A90" w:rsidP="00576A90">
      <w:pPr>
        <w:pStyle w:val="TextoNormal"/>
      </w:pPr>
    </w:p>
    <w:p w14:paraId="006FF0E6" w14:textId="77777777" w:rsidR="00576A90" w:rsidRDefault="00576A90" w:rsidP="00576A90">
      <w:pPr>
        <w:pStyle w:val="TextoNormal"/>
      </w:pPr>
      <w:r>
        <w:lastRenderedPageBreak/>
        <w:t>Continúa diciendo que dicho recurso de apelación “tiene perfecto encaje en el artículo 846 de la LECrim”, pues el auto que revisa la condena debe tener el mismo régimen de impugnación que la sentencia que se ha modificado; por ello resulta válido el ofrecimiento de dicho recurso efectuada por el auto de 13 de febrero de 2023 de la Audiencia Provincial. Sigue luego la invocación de las SSTS 606/2018, de 28 de noviembre, y 154/2015, de 17 de marzo; así como de la STC 30/2009, de 26 de enero, sobre instrucción de recursos. Remacha este primer motivo de la demanda de amparo recordando el recurso de súplica en cuanto a la afirmación de que es “intención del legislador, y en todo caso de nuestro Tribunal Supremo y Tribunal Constitucional, ser flexibles y conceder la posibilidad de recurso en caso de oscuridad normativa, y no al contrario, esto es vetar tales posibilidades”.</w:t>
      </w:r>
    </w:p>
    <w:p w14:paraId="04C074F3" w14:textId="77777777" w:rsidR="00576A90" w:rsidRDefault="00576A90" w:rsidP="00576A90">
      <w:pPr>
        <w:pStyle w:val="TextoNormal"/>
      </w:pPr>
    </w:p>
    <w:p w14:paraId="374DD396" w14:textId="77777777" w:rsidR="00576A90" w:rsidRDefault="00576A90" w:rsidP="00576A90">
      <w:pPr>
        <w:pStyle w:val="TextoNormal"/>
      </w:pPr>
      <w:r>
        <w:t>b) Como segundo motivo, la demanda aduce que falta una “doctrina unificadora sobre la materia por nuestros altos tribunales”, lo que da lugar a “diferentes criterios y resoluciones”, “vedando a parte de los justiciables el derecho al recurso. Lo que es inadmisible y contrario a nuestra Constitución en tanto a la igualdad ante la ley de todos los ciudadanos”. Se citan a continuación resoluciones dictadas por las Salas de lo Civil y Penal de varios tribunales superiores de justicia de las comunidades autónomas, de lo que resultaría un “agravio comparativo” en el caso de aquellas salas que niegan la posibilidad de recurso, lo que “choca con los principios de igualdad ante la ley, la tutela judicial efectiva y la prohibición de la existencia de arbitrariedad en la actuación de los poderes públicos, derechos amparados por nuestra Constitución”.</w:t>
      </w:r>
    </w:p>
    <w:p w14:paraId="049ECE2A" w14:textId="77777777" w:rsidR="00576A90" w:rsidRDefault="00576A90" w:rsidP="00576A90">
      <w:pPr>
        <w:pStyle w:val="TextoNormal"/>
      </w:pPr>
    </w:p>
    <w:p w14:paraId="5718F5ED" w14:textId="77777777" w:rsidR="00576A90" w:rsidRDefault="00576A90" w:rsidP="00576A90">
      <w:pPr>
        <w:pStyle w:val="TextoNormal"/>
      </w:pPr>
      <w:r>
        <w:t>c) Y por último en cuanto a su fundamentación material, la demanda alega que está clara “la repercusión social que el presente asunto representa, pues a consecuencia de la Ley Orgánica 10/2022, son múltiples los casos en los que se están produciendo revisiones de sentencia y no se puede permitir la existencia de criterios dispares entre distintos tribunales superiores de justicia a la hora de determinar la posibilidad o no de apelación respecto a los autos de revisión”. Cita a continuación la STS 199/2016, en la que a su vez se hace referencia a la doctrina de este Tribunal Constitucional sobre el derecho a la tutela judicial efectiva en su vertiente de derecho a obtener una resolución fundada en Derecho, y cuál es el canon de control en amparo por posibles vulneraciones de este derecho fundamental.</w:t>
      </w:r>
    </w:p>
    <w:p w14:paraId="456E5ED3" w14:textId="77777777" w:rsidR="00576A90" w:rsidRDefault="00576A90" w:rsidP="00576A90">
      <w:pPr>
        <w:pStyle w:val="TextoNormal"/>
      </w:pPr>
    </w:p>
    <w:p w14:paraId="58B34F5F" w14:textId="77777777" w:rsidR="00576A90" w:rsidRDefault="00576A90" w:rsidP="00576A90">
      <w:pPr>
        <w:pStyle w:val="TextoNormal"/>
      </w:pPr>
      <w:r>
        <w:t>d) El suplico de la demanda solicita tener por interpuesto recurso de amparo contra las resoluciones judiciales que impugna, y que se dicte sentencia estimatoria “con reconocimiento expreso de su derecho a una tutela judicial efectiva”; la nulidad de dichas resoluciones; y como medidas de reparación del derecho fundamental vulnerado que se “declare haber lugar a que por parte del Tribunal Superior de Justicia de Galicia se acuerde admitir a trámite el recurso de apelación planteado por esta parte frente al auto de revisión de sentencia de fecha 13 de febrero de 2023 dictado por la Ilma. Audiencia Provincial de Lugo (ejecutoria 14-2022 Rollo 4-2021) y resolver en cuanto al fondo del asunto el citado recurso”; decretando asimismo “la retroacción de actuaciones al momento inmediatamente anterior al de dictado del auto de 24 de abril de 2023 dictado por el Tribunal Superior de Justicia de Galicia, a fin de que se dicte otra resolución acordando admitir a tramitación el recurso de apelación y resolver en cuanto al fondo la impugnación planteada en el mismo”.</w:t>
      </w:r>
    </w:p>
    <w:p w14:paraId="71EDD0D8" w14:textId="77777777" w:rsidR="00576A90" w:rsidRDefault="00576A90" w:rsidP="00576A90">
      <w:pPr>
        <w:pStyle w:val="TextoNormal"/>
      </w:pPr>
    </w:p>
    <w:p w14:paraId="3B7848DF" w14:textId="6A20B998" w:rsidR="00576A90" w:rsidRDefault="00576A90" w:rsidP="00576A90">
      <w:pPr>
        <w:pStyle w:val="TextoNormal"/>
      </w:pPr>
      <w:r>
        <w:t xml:space="preserve">e) Por medio de “primer otrosí digo”, el escrito de demanda solicitó con base en el art. 56 de la Ley Orgánica del Tribunal Constitucional (LOTC) la suspensión, tanto de los dos </w:t>
      </w:r>
      <w:r>
        <w:lastRenderedPageBreak/>
        <w:t>autos impugnados de la Sala de lo Civil y Penal del Tribunal Superior de Justicia de Galicia, como de “la eventual firmeza del auto de revisión de sentencia de fecha 13 de febrero de 2023” de la Sección Segunda de la Audiencia Provincial de Lugo (ejecutoria 14-2022, Rollo 4-2021). Suspensión esta última que se considera “imprescindible, por cuanto, de lo contrario, la ejecución de las penas establecidas en las referidas sentencias harían [</w:t>
      </w:r>
      <w:r w:rsidRPr="00576A90">
        <w:rPr>
          <w:i/>
        </w:rPr>
        <w:t>sic</w:t>
      </w:r>
      <w:r>
        <w:t>] perder al presente recurso de amparo su finalidad, máxime teniendo en cuenta que el condenado en la sentencia […] podría gracias a un eventual retraso en la tramitación del presente recurso, obtener unos beneficios penitenciarios que entendemos para nada le corresponden”.</w:t>
      </w:r>
    </w:p>
    <w:p w14:paraId="4848DFCA" w14:textId="77777777" w:rsidR="00576A90" w:rsidRDefault="00576A90" w:rsidP="00576A90">
      <w:pPr>
        <w:pStyle w:val="TextoNormal"/>
      </w:pPr>
    </w:p>
    <w:p w14:paraId="0186CCA7" w14:textId="77777777" w:rsidR="00576A90" w:rsidRDefault="00576A90" w:rsidP="00576A90">
      <w:pPr>
        <w:pStyle w:val="TextoNormal"/>
      </w:pPr>
      <w:r w:rsidRPr="00576A90">
        <w:rPr>
          <w:rStyle w:val="NumeroAFNegritaCaracter"/>
        </w:rPr>
        <w:t>4</w:t>
      </w:r>
      <w:r>
        <w:t>. La Sala Primera, Sección Segunda, de este tribunal, dictó providencia el 8 de abril de 2024, del siguiente tenor:</w:t>
      </w:r>
    </w:p>
    <w:p w14:paraId="7D25977D" w14:textId="77777777" w:rsidR="00576A90" w:rsidRDefault="00576A90" w:rsidP="00576A90">
      <w:pPr>
        <w:pStyle w:val="TextoNormal"/>
      </w:pPr>
    </w:p>
    <w:p w14:paraId="2F956243" w14:textId="77777777" w:rsidR="00576A90" w:rsidRDefault="00576A90" w:rsidP="00576A90">
      <w:pPr>
        <w:pStyle w:val="TextoNormal"/>
      </w:pPr>
      <w:r>
        <w:t>“La Sección ha examinado el recurso de amparo y ha acordado admitirlo a trámite, apreciando que concurre en el mismo una especial trascendencia constitucional (art. 50.1 LOTC) porque el recurso plantea un problema o afecta a una faceta de un derecho fundamental sobre el que no hay doctrina de este tribunal [STC 155/2009, de 25 de junio, FJ 2 a)].</w:t>
      </w:r>
    </w:p>
    <w:p w14:paraId="18A4A1A2" w14:textId="77777777" w:rsidR="00576A90" w:rsidRDefault="00576A90" w:rsidP="00576A90">
      <w:pPr>
        <w:pStyle w:val="TextoNormal"/>
      </w:pPr>
    </w:p>
    <w:p w14:paraId="028E489D" w14:textId="77777777" w:rsidR="00576A90" w:rsidRDefault="00576A90" w:rsidP="00576A90">
      <w:pPr>
        <w:pStyle w:val="TextoNormal"/>
      </w:pPr>
      <w:r>
        <w:t>Por ello, en aplicación de lo dispuesto en el art. 51 LOTC, diríjase atenta comunicación a la Sección Segunda de la Audiencia Provincial de Lugo a fin de que, en plazo que no exceda de diez días, remita certificación o fotocopia adverada de las actuaciones correspondientes al recurso de apelación 32-2023.</w:t>
      </w:r>
    </w:p>
    <w:p w14:paraId="1E819939" w14:textId="77777777" w:rsidR="00576A90" w:rsidRDefault="00576A90" w:rsidP="00576A90">
      <w:pPr>
        <w:pStyle w:val="TextoNormal"/>
      </w:pPr>
    </w:p>
    <w:p w14:paraId="42BED36D" w14:textId="77777777" w:rsidR="00576A90" w:rsidRDefault="00576A90" w:rsidP="00576A90">
      <w:pPr>
        <w:pStyle w:val="TextoNormal"/>
      </w:pPr>
      <w:r>
        <w:t>Diríjase igualmente atenta comunicación a la Sección Segunda de la Audiencia Provincial de Lugo a fin de que, en plazo que no exceda de diez días, remita certificación o fotocopia adverada de las actuaciones correspondientes a la ejecutoria 14-2022; debiendo previamente emplazarse, para que en el plazo de diez días puedan comparecer, si lo desean, en el recurso de amparo a quienes hubieran sido parte en el procedimiento, excepto la parte recurrente en amparo.</w:t>
      </w:r>
    </w:p>
    <w:p w14:paraId="7ED9890A" w14:textId="77777777" w:rsidR="00576A90" w:rsidRDefault="00576A90" w:rsidP="00576A90">
      <w:pPr>
        <w:pStyle w:val="TextoNormal"/>
      </w:pPr>
    </w:p>
    <w:p w14:paraId="4D50CC1B" w14:textId="7F5981A1" w:rsidR="00576A90" w:rsidRDefault="00576A90" w:rsidP="00576A90">
      <w:pPr>
        <w:pStyle w:val="TextoNormal"/>
      </w:pPr>
      <w:r>
        <w:t>De conformidad con la solicitud de la parte actora, fórmese la correspondiente pieza separada de suspensión”.</w:t>
      </w:r>
    </w:p>
    <w:p w14:paraId="47E4E3B5" w14:textId="77777777" w:rsidR="00576A90" w:rsidRDefault="00576A90" w:rsidP="00576A90">
      <w:pPr>
        <w:pStyle w:val="TextoNormal"/>
      </w:pPr>
    </w:p>
    <w:p w14:paraId="32AFEB9C" w14:textId="552B9A4F" w:rsidR="00576A90" w:rsidRDefault="00576A90" w:rsidP="00576A90">
      <w:pPr>
        <w:pStyle w:val="TextoNormal"/>
      </w:pPr>
      <w:r w:rsidRPr="00576A90">
        <w:rPr>
          <w:rStyle w:val="NumeroAFNegritaCaracter"/>
        </w:rPr>
        <w:t>5</w:t>
      </w:r>
      <w:r>
        <w:t>. Por nueva providencia dictada por la Sección Segunda de este tribunal en la misma fecha, 8 de abril de 2024, se dispuso “formar con el precedente testimonio la presente pieza separada de suspensión y, de conformidad con lo prevenido en el art. 56 de la Ley Orgánica del Tribunal Constitucional, conceder un plazo común de tres días, al Ministerio Fiscal y a la solicitante del amparo, para que dentro de dicho término aleguen lo que estimen pertinente en relación con la petición de suspensión interesada”.</w:t>
      </w:r>
    </w:p>
    <w:p w14:paraId="166054B1" w14:textId="77777777" w:rsidR="00576A90" w:rsidRDefault="00576A90" w:rsidP="00576A90">
      <w:pPr>
        <w:pStyle w:val="TextoNormal"/>
      </w:pPr>
    </w:p>
    <w:p w14:paraId="7DBB741F" w14:textId="77777777" w:rsidR="00576A90" w:rsidRDefault="00576A90" w:rsidP="00576A90">
      <w:pPr>
        <w:pStyle w:val="TextoNormal"/>
      </w:pPr>
      <w:r w:rsidRPr="00576A90">
        <w:rPr>
          <w:rStyle w:val="NumeroAFNegritaCaracter"/>
        </w:rPr>
        <w:t>6</w:t>
      </w:r>
      <w:r>
        <w:t>. Con fecha 12 de abril de 2024 la representante procesal de las dos demandantes de amparo presentó escrito de alegaciones en esta pieza, interesando se acceda a la suspensión ya instada de los autos impugnados en el recurso y de la “eventual firmeza” del auto de la Audiencia Provincial de Lugo de 13 de febrero de 2023 (ejecutoria 14-2022).</w:t>
      </w:r>
    </w:p>
    <w:p w14:paraId="39A67715" w14:textId="77777777" w:rsidR="00576A90" w:rsidRDefault="00576A90" w:rsidP="00576A90">
      <w:pPr>
        <w:pStyle w:val="TextoNormal"/>
      </w:pPr>
    </w:p>
    <w:p w14:paraId="14950DBC" w14:textId="77777777" w:rsidR="00576A90" w:rsidRDefault="00576A90" w:rsidP="00576A90">
      <w:pPr>
        <w:pStyle w:val="TextoNormal"/>
      </w:pPr>
      <w:r>
        <w:lastRenderedPageBreak/>
        <w:t>a) Además de reiterar lo alegado en el “primer otrosí digo” de su escrito de demanda, se añade en el presente escrito que el recurso de amparo podría perder su finalidad por cuanto el condenado en la sentencia podría, “gracias a un eventual retraso en la tramitación del presente recurso, obtener unos beneficios penitenciarios que entendemos para nada le corresponden”. Tras recordar la pena de prisión a la que fue condenado el acusado por la sentencia de 20 de enero de 2022, rebajada tras la solicitud de revisión (a la que dicha parte y el Ministerio Fiscal se opusieron) en aplicación de la Ley Orgánica 10/2022, de 6 de septiembre, aquel “podría obtener beneficios penitenciarios que no deberían corresponderle (entre ellos, por ejemplo, cumplimiento de una cuarta parte de la condena a los dos años y medio en vez de a los tres; cumplimiento de una tercera parte a los cuarenta meses en vez de a los cuarenta y ocho …), lo que implicaría que el presente recurso pudiera perder su finalidad cuánto más se demore su resolución”.</w:t>
      </w:r>
    </w:p>
    <w:p w14:paraId="7424C56A" w14:textId="77777777" w:rsidR="00576A90" w:rsidRDefault="00576A90" w:rsidP="00576A90">
      <w:pPr>
        <w:pStyle w:val="TextoNormal"/>
      </w:pPr>
    </w:p>
    <w:p w14:paraId="7C1EC222" w14:textId="77777777" w:rsidR="00576A90" w:rsidRDefault="00576A90" w:rsidP="00576A90">
      <w:pPr>
        <w:pStyle w:val="TextoNormal"/>
      </w:pPr>
      <w:r>
        <w:t>b) Alega asimismo la parte demandante de amparo, que la suspensión no ocasionaría “perturbación grave a un interés constitucionalmente protegido, ni a los derechos fundamentales o libertades de otra persona”: (i) de un lado, porque “precisamente se salvaguardan los de la parte promovente, esto es ver cumplido su legítimo derecho a recurso sin que el condenado se beneficie de la eventual demora de la tramitación del recurso de amparo y obtenga beneficios penitenciarios que en justicia no le corresponden”; (ii) y de otro lado, porque “ningún derecho fundamental o libertad se le menoscaba al reo con la suspensión del auto de revisión de condena y sus efectos, toda vez que, cuando menos, teniendo una condena de prisión de diez años (aunque el objetivo de esta parte es que se mantenga en los doce que se le impusieron en su día), el presente recurso de amparo, se resolverá a muy buen seguro antes de su cumplimiento, y ningún perjuicio se le causaría a aquel por esta razón”.</w:t>
      </w:r>
    </w:p>
    <w:p w14:paraId="060FD5A5" w14:textId="77777777" w:rsidR="00576A90" w:rsidRDefault="00576A90" w:rsidP="00576A90">
      <w:pPr>
        <w:pStyle w:val="TextoNormal"/>
      </w:pPr>
    </w:p>
    <w:p w14:paraId="65AF1801" w14:textId="77777777" w:rsidR="00576A90" w:rsidRDefault="00576A90" w:rsidP="00576A90">
      <w:pPr>
        <w:pStyle w:val="TextoNormal"/>
      </w:pPr>
      <w:r>
        <w:t>c) Dicho lo anterior, añade el escrito de alegaciones que “caso que no fuera así, y por alguna razón el presente recurso de amparo se demorase y peligrase algún derecho del reo”, cabría aplicar lo dispuesto en el art. 57 LOTC sobre modificación de lo resuelto previamente en la pieza de suspensión, en virtud de circunstancias sobrevenidas o desconocidas cuando se sustanció el incidente.</w:t>
      </w:r>
    </w:p>
    <w:p w14:paraId="61136825" w14:textId="77777777" w:rsidR="00576A90" w:rsidRDefault="00576A90" w:rsidP="00576A90">
      <w:pPr>
        <w:pStyle w:val="TextoNormal"/>
      </w:pPr>
    </w:p>
    <w:p w14:paraId="276F227E" w14:textId="76906092" w:rsidR="00576A90" w:rsidRDefault="00576A90" w:rsidP="00576A90">
      <w:pPr>
        <w:pStyle w:val="TextoNormal"/>
      </w:pPr>
      <w:r>
        <w:t>Concluyen así las recurrentes: “Es por ello que los derechos del reo siempre estarían salvaguardados, mientras que los de esta parte, si el aquel obtiene algún beneficio penitenciario que no le corresponde, vería vedados sus derechos constitucionales, y supondría un quebranto irreparable para mi mandante”.</w:t>
      </w:r>
    </w:p>
    <w:p w14:paraId="72D3544C" w14:textId="77777777" w:rsidR="00576A90" w:rsidRDefault="00576A90" w:rsidP="00576A90">
      <w:pPr>
        <w:pStyle w:val="TextoNormal"/>
      </w:pPr>
    </w:p>
    <w:p w14:paraId="23B0176D" w14:textId="77777777" w:rsidR="00576A90" w:rsidRDefault="00576A90" w:rsidP="00576A90">
      <w:pPr>
        <w:pStyle w:val="TextoNormal"/>
      </w:pPr>
      <w:r w:rsidRPr="00576A90">
        <w:rPr>
          <w:rStyle w:val="NumeroAFNegritaCaracter"/>
        </w:rPr>
        <w:t>7</w:t>
      </w:r>
      <w:r>
        <w:t>. El fiscal ante este Tribunal Constitucional formalizó escrito de alegaciones en la presente pieza incidental el 26 de abril de 2024, por el que interesó “se desestime íntegramente la pretensión de suspensión” de las demandantes.</w:t>
      </w:r>
    </w:p>
    <w:p w14:paraId="75796430" w14:textId="77777777" w:rsidR="00576A90" w:rsidRDefault="00576A90" w:rsidP="00576A90">
      <w:pPr>
        <w:pStyle w:val="TextoNormal"/>
      </w:pPr>
    </w:p>
    <w:p w14:paraId="4223F9CE" w14:textId="77777777" w:rsidR="00576A90" w:rsidRDefault="00576A90" w:rsidP="00576A90">
      <w:pPr>
        <w:pStyle w:val="TextoNormal"/>
      </w:pPr>
      <w:r>
        <w:t>a) Luego de transcribir los dos apartados del art. 56 LOTC, señala el fiscal que la posibilidad de suspender el acto o sentencia impugnados constituye una excepción determinada por una doble condición: que la ejecución de aquellos pudiera hacer perder al amparo su finalidad si finalmente fuera estimado, y que la suspensión no genere a su vez una perturbación grave a un interés constitucionalmente protegido, ni a los derechos fundamentales o libertades de otra persona. Cita a renglón seguido el ATC 103/2023, de 6 de marzo, FJ 2, sobre la necesidad de interpretar restrictivamente los parámetros para adoptar la sus</w:t>
      </w:r>
      <w:r>
        <w:lastRenderedPageBreak/>
        <w:t>pensión en este ámbito, ponderando los dos factores ya indicados; debiendo tenerse en cuenta —según el mismo ATC 103/2023— que tratándose de resoluciones judiciales firmes su suspensión entraña siempre, en sí misma, una perturbación de la función jurisdiccional que comprende la potestad de hacer ejecutar lo juzgado (art. 117.3 CE), lo que ahonda en la excepcionalidad de la medida de suspensión. Que, de nuevo con base en el ATC 103/2023, ahora FJ 4, donde se citan otras resoluciones anteriores, la perspectiva única que ha de tenerse en cuenta es la de la preservación de la eficacia de un posible pronunciamiento estimatorio, sin prejuzgar cuál haya de ser el sentido de la futura sentencia que resuelva el amparo; por lo que no procede examinar “ni la concurrencia ni la ausencia de apariencia de buen derecho de la pretensión de amparo, criterio este del que no se vale la regulación del artículo 56 LOTC para conceder o denegar la protección cautelar pretendida”.</w:t>
      </w:r>
    </w:p>
    <w:p w14:paraId="3C9CC9D0" w14:textId="77777777" w:rsidR="00576A90" w:rsidRDefault="00576A90" w:rsidP="00576A90">
      <w:pPr>
        <w:pStyle w:val="TextoNormal"/>
      </w:pPr>
    </w:p>
    <w:p w14:paraId="24679E84" w14:textId="77777777" w:rsidR="00576A90" w:rsidRDefault="00576A90" w:rsidP="00576A90">
      <w:pPr>
        <w:pStyle w:val="TextoNormal"/>
      </w:pPr>
      <w:r>
        <w:t>Añade el escrito en sus consideraciones generales, que igualmente la doctrina constitucional viene exigiendo a la parte que solicita la suspensión que “alegue, pruebe o justifique, ofreciendo un principio razonable de prueba, la irreparabilidad o dificultad de la reparación de los perjuicios de seguirse la ejecución del acto impugnado”, haciendo perder al recurso de amparo su finalidad (con cita de los AATC 147/2017, de 13 de noviembre, FJ 1, y 130/2022, de 10 de octubre, FJ 4). Entendiendo por “perjuicio irreparable” aquel que el restablecimiento del recurrente en sus derechos fundamentales cuya vulneración denuncia sea tardío e impida definitivamente que su restauración sea efectiva; esto es, perjuicios reales, no futuros o hipotéticos (con cita de los AATC 137/2017, de 16 de octubre, y 130/2022, FJ 4).</w:t>
      </w:r>
    </w:p>
    <w:p w14:paraId="40609CCC" w14:textId="77777777" w:rsidR="00576A90" w:rsidRDefault="00576A90" w:rsidP="00576A90">
      <w:pPr>
        <w:pStyle w:val="TextoNormal"/>
      </w:pPr>
    </w:p>
    <w:p w14:paraId="3F1366D5" w14:textId="77777777" w:rsidR="00576A90" w:rsidRDefault="00576A90" w:rsidP="00576A90">
      <w:pPr>
        <w:pStyle w:val="TextoNormal"/>
      </w:pPr>
      <w:r>
        <w:t>b) En aplicación de estas normas y de la doctrina constitucional, a la pretensión cautelar deducida por las demandantes de amparo, considera el fiscal ante este tribunal, en primer lugar, que dicha suspensión “nunca podría alcanzar al auto dictado por la Sección Segunda de la Audiencia Provincial de Lugo” el 13 de febrero de 2023 que acordó la revisión de la condena impuesta al acusado, “habida cuenta de que tal resolución no ha sido recurrida en esta vía constitucional de amparo”.</w:t>
      </w:r>
    </w:p>
    <w:p w14:paraId="0EB8E434" w14:textId="77777777" w:rsidR="00576A90" w:rsidRDefault="00576A90" w:rsidP="00576A90">
      <w:pPr>
        <w:pStyle w:val="TextoNormal"/>
      </w:pPr>
    </w:p>
    <w:p w14:paraId="6B997DA6" w14:textId="4509B9FD" w:rsidR="00576A90" w:rsidRDefault="00576A90" w:rsidP="00576A90">
      <w:pPr>
        <w:pStyle w:val="TextoNormal"/>
      </w:pPr>
      <w:r>
        <w:t>Y. en segundo lugar, respecto de una posible suspensión de los dos autos de la Sala de lo Civil y Penal del Tribunal Superior de Justicia de Galicia que sí han sido recurridos, atendidos los términos con que las demandantes justifican su solicitud resulta “que el perjuicio invocado […] no se desprende” de ambos autos, “sino de una resolución no impugnada” en este amparo, el “ya repetido auto de […] 13 de febrero de 2023”. En todo caso, remacha el fiscal en su escrito, “en la demanda de amparo es de apreciar además una completa falta de alegación, prueba o justificación sobre lo irreparable, o sobre la dificultad de la reparación, de los perjuicios que se ocasionarían a la parte demandante de amparo de seguirse la ejecución de los actos jurisdiccionales que sí han sido impugnados ante ese Tribunal Constitucional, […] con el objeto de mostrar que la ejecución de los actos recurridos podría privar a la demanda de amparo de su finalidad, lo cual habrá de impedir asimismo que se acceda a la pretensión suspensiva”.</w:t>
      </w:r>
    </w:p>
    <w:p w14:paraId="6F6D47CA" w14:textId="77777777" w:rsidR="00576A90" w:rsidRDefault="00576A90" w:rsidP="00576A90">
      <w:pPr>
        <w:pStyle w:val="TextoNormal"/>
      </w:pPr>
    </w:p>
    <w:p w14:paraId="1C578F7E" w14:textId="77777777" w:rsidR="00576A90" w:rsidRDefault="00576A90" w:rsidP="00576A90">
      <w:pPr>
        <w:pStyle w:val="TextoNormal"/>
      </w:pPr>
      <w:r w:rsidRPr="00576A90">
        <w:rPr>
          <w:rStyle w:val="NumeroAFNegritaCaracter"/>
        </w:rPr>
        <w:t>8</w:t>
      </w:r>
      <w:r>
        <w:t>. Con fecha 23 de abril de 2024 la procuradora de los tribunales doña Sara Lázaro Rodríguez, actuando en nombre y representación de don J.M.E.R., manifestó que en virtud del emplazamiento efectuado por diligencia de ordenación de 16 de abril de 2024 se personaba como parte recurrida, bajo la dirección letrada de don Miguel Ángel Caraduje So</w:t>
      </w:r>
      <w:r>
        <w:lastRenderedPageBreak/>
        <w:t>moza, si bien al ser su representación del turno de oficio solicitó que se oficiase “al Ilustre Colegio de Abogados de Madrid y al Ilustre Colegio de Procuradores de Madrid, para asignar nueva representación y defensa”.</w:t>
      </w:r>
    </w:p>
    <w:p w14:paraId="3DEE3AAE" w14:textId="77777777" w:rsidR="00576A90" w:rsidRDefault="00576A90" w:rsidP="00576A90">
      <w:pPr>
        <w:pStyle w:val="TextoNormal"/>
      </w:pPr>
    </w:p>
    <w:p w14:paraId="35260C2A" w14:textId="77777777" w:rsidR="00576A90" w:rsidRDefault="00576A90" w:rsidP="00576A90">
      <w:pPr>
        <w:pStyle w:val="TextoNormal"/>
      </w:pPr>
      <w:r>
        <w:t>Por diligencia de ordenación de la Secretaría de Justicia de la Sección Segunda de este tribunal, de 7 de mayo de 2024, se acordó conceder plazo de diez días a la procuradora de la parte personada (por error material se la identifica como doña Sara Leonis Parraun; error que la propia Secretaría subsanó por nueva diligencia de 13 de mayo de 2024, indicando que se refería en realidad a la procuradora doña Sara Lázaro Rodríguez). En todo caso, el propio 7 de mayo de 2024 la procuradora doña Sara Lázaro Rodríguez aportó la resolución de reconocimiento de asistencia jurídica gratuita que se le había solicitado.</w:t>
      </w:r>
    </w:p>
    <w:p w14:paraId="0BDD092D" w14:textId="77777777" w:rsidR="00576A90" w:rsidRDefault="00576A90" w:rsidP="00576A90">
      <w:pPr>
        <w:pStyle w:val="TextoNormal"/>
      </w:pPr>
    </w:p>
    <w:p w14:paraId="074E9351" w14:textId="09D4DE1B" w:rsidR="00576A90" w:rsidRDefault="00576A90" w:rsidP="00576A90">
      <w:pPr>
        <w:pStyle w:val="TextoNormal"/>
      </w:pPr>
      <w:r>
        <w:t>Por su lado, con fecha 3 de mayo de 2024 el abogado del Estado jefe ante este Tribunal Constitucional presentó escrito manifestando que se personaba en este procedimiento de amparo en la representación que ostenta, debiendo entenderse con él los posteriores trámites.</w:t>
      </w:r>
    </w:p>
    <w:p w14:paraId="6F196CFB" w14:textId="77777777" w:rsidR="00576A90" w:rsidRDefault="00576A90" w:rsidP="00576A90">
      <w:pPr>
        <w:pStyle w:val="TextoNormal"/>
      </w:pPr>
    </w:p>
    <w:p w14:paraId="0EF69412" w14:textId="77777777" w:rsidR="00576A90" w:rsidRDefault="00576A90" w:rsidP="00576A90">
      <w:pPr>
        <w:pStyle w:val="TextoNormal"/>
      </w:pPr>
      <w:r w:rsidRPr="00576A90">
        <w:rPr>
          <w:rStyle w:val="NumeroAFNegritaCaracter"/>
        </w:rPr>
        <w:t>9</w:t>
      </w:r>
      <w:r>
        <w:t>. En virtud de diligencia de ordenación de la Secretaría de Justicia de la Sección Segunda de este tribunal de 9 de mayo de 2024, se acordó tener por efectuada por los respectivos colegios profesionales la designación del procurador don Óscar Jesús Castellanos Quinteros y del letrado don Miguel Ortego Ruíz, en representación y defensa de don J.M.E.R.</w:t>
      </w:r>
    </w:p>
    <w:p w14:paraId="6F31D26D" w14:textId="77777777" w:rsidR="00576A90" w:rsidRDefault="00576A90" w:rsidP="00576A90">
      <w:pPr>
        <w:pStyle w:val="TextoNormal"/>
      </w:pPr>
    </w:p>
    <w:p w14:paraId="128747D6" w14:textId="101B555E" w:rsidR="00576A90" w:rsidRDefault="00576A90" w:rsidP="00576A90">
      <w:pPr>
        <w:pStyle w:val="TextoNormal"/>
      </w:pPr>
      <w:r>
        <w:t>Por otra diligencia de ordenación dictada por la Secretaría de Justicia en la misma fecha, 9 de mayo de 2024, se acordó conceder un plazo común de tres días al representante procesal de la parte personada y al abogado del Estado, “para que dentro de dicho término aleguen lo que estimen pertinente en relación con la petición de suspensión interesada”.</w:t>
      </w:r>
    </w:p>
    <w:p w14:paraId="2E34138C" w14:textId="77777777" w:rsidR="00576A90" w:rsidRDefault="00576A90" w:rsidP="00576A90">
      <w:pPr>
        <w:pStyle w:val="TextoNormal"/>
      </w:pPr>
    </w:p>
    <w:p w14:paraId="25CC7924" w14:textId="77777777" w:rsidR="00576A90" w:rsidRDefault="00576A90" w:rsidP="00576A90">
      <w:pPr>
        <w:pStyle w:val="TextoNormal"/>
      </w:pPr>
      <w:r w:rsidRPr="00576A90">
        <w:rPr>
          <w:rStyle w:val="NumeroAFNegritaCaracter"/>
        </w:rPr>
        <w:t>10</w:t>
      </w:r>
      <w:r>
        <w:t>. Con fecha 14 de mayo de 2024, el abogado del Estado actuante en esta pieza presentó su escrito de alegaciones interesando que este tribunal proceda a “denegar la suspensión de las resoluciones objeto de recurso”.</w:t>
      </w:r>
    </w:p>
    <w:p w14:paraId="0AB1ABED" w14:textId="77777777" w:rsidR="00576A90" w:rsidRDefault="00576A90" w:rsidP="00576A90">
      <w:pPr>
        <w:pStyle w:val="TextoNormal"/>
      </w:pPr>
    </w:p>
    <w:p w14:paraId="6DF92252" w14:textId="77777777" w:rsidR="00576A90" w:rsidRDefault="00576A90" w:rsidP="00576A90">
      <w:pPr>
        <w:pStyle w:val="TextoNormal"/>
      </w:pPr>
      <w:r>
        <w:t xml:space="preserve">a) Señala que tomando como base que la Ley Orgánica 10/2022, de 6 de septiembre, no prevé “la posibilidad de apelación frente al auto de revisión de condena en aplicación de la misma”, aunque ello sea materia de legalidad ordinaria “afectante al fondo del asunto”, resulta que el derecho fundamental a la tutela judicial efectiva es de configuración legal (con cita de la STC 186/2015, de 21 de septiembre) y su canon de control constitucional es el del error material patente, la arbitrariedad o la manifiesta irrazonabilidad, “que no es el caso”. En lo que importa a la decisión de suspender </w:t>
      </w:r>
      <w:r w:rsidRPr="00576A90">
        <w:rPr>
          <w:i/>
        </w:rPr>
        <w:t>ex</w:t>
      </w:r>
      <w:r>
        <w:t xml:space="preserve"> art. 56 LOTC, dice el abogado del Estado que “el </w:t>
      </w:r>
      <w:r w:rsidRPr="00576A90">
        <w:rPr>
          <w:i/>
        </w:rPr>
        <w:t>fumus boni iuris</w:t>
      </w:r>
      <w:r>
        <w:t xml:space="preserve"> o el </w:t>
      </w:r>
      <w:r w:rsidRPr="00576A90">
        <w:rPr>
          <w:i/>
        </w:rPr>
        <w:t>periculum in mora</w:t>
      </w:r>
      <w:r>
        <w:t xml:space="preserve"> apuntan en este supuesto a la no variabilidad de un auto de revisión de sentencia, dictado en el caso, de conformidad con la Ley Orgánica 10/2022 referida, por la Audiencia Provincial de Lugo, de fecha 13 de febrero de 2023”, auto luego recurrido en apelación y súplica que fueron denegados por los dos autos del Tribunal Superior de Justicia “objeto directo estos del recurso de amparo”.</w:t>
      </w:r>
    </w:p>
    <w:p w14:paraId="58B1BBCF" w14:textId="77777777" w:rsidR="00576A90" w:rsidRDefault="00576A90" w:rsidP="00576A90">
      <w:pPr>
        <w:pStyle w:val="TextoNormal"/>
      </w:pPr>
    </w:p>
    <w:p w14:paraId="578258B8" w14:textId="77777777" w:rsidR="00576A90" w:rsidRDefault="00576A90" w:rsidP="00576A90">
      <w:pPr>
        <w:pStyle w:val="TextoNormal"/>
      </w:pPr>
      <w:r>
        <w:t xml:space="preserve">El no conceder la medida cautelar que se solicita, añade, “no hace perder al amparo interpuesto finalidad alguna, pues aparte de dejar claro </w:t>
      </w:r>
      <w:r w:rsidRPr="00576A90">
        <w:rPr>
          <w:i/>
        </w:rPr>
        <w:t>a priori</w:t>
      </w:r>
      <w:r>
        <w:t xml:space="preserve"> el propio ordenamiento cuál es el efecto que genera la aplicación de la Ley 10/2022 y su incidencia en el mismo orde</w:t>
      </w:r>
      <w:r>
        <w:lastRenderedPageBreak/>
        <w:t>namiento penal sectorial y aplicación de las penas por delitos contra la libertad sexual tenemos que a primera vista se apreciaría una adecuación del auto de revisión a los postulados de dicha ley”.</w:t>
      </w:r>
    </w:p>
    <w:p w14:paraId="15662E9F" w14:textId="77777777" w:rsidR="00576A90" w:rsidRDefault="00576A90" w:rsidP="00576A90">
      <w:pPr>
        <w:pStyle w:val="TextoNormal"/>
      </w:pPr>
    </w:p>
    <w:p w14:paraId="5D1F29E3" w14:textId="2DF73D50" w:rsidR="00576A90" w:rsidRDefault="00576A90" w:rsidP="00576A90">
      <w:pPr>
        <w:pStyle w:val="TextoNormal"/>
      </w:pPr>
      <w:r>
        <w:t>b) En segundo y último lugar, sostiene el abogado del Estado que “no se aprecia alteración de la situación personal de la víctima recurrente ahora en amparo como consecuencia de la efectividad y aplicación del auto de revisión y de los ulteriores de inadmisión de los recursos contra el mismo. El mantenimiento de su eficacia no hace perder, por lo tanto, al amparo su finalidad porque se siga aplicando la pena revisada, sin perjuicio de lo que pueda decidirse en sentencia definitiva en el propio proceso de amparo”.</w:t>
      </w:r>
    </w:p>
    <w:p w14:paraId="43552748" w14:textId="77777777" w:rsidR="00576A90" w:rsidRDefault="00576A90" w:rsidP="00576A90">
      <w:pPr>
        <w:pStyle w:val="TextoNormal"/>
      </w:pPr>
    </w:p>
    <w:p w14:paraId="210EFA1A" w14:textId="77777777" w:rsidR="00576A90" w:rsidRDefault="00576A90" w:rsidP="00576A90">
      <w:pPr>
        <w:pStyle w:val="TextoNormal"/>
      </w:pPr>
      <w:r w:rsidRPr="00576A90">
        <w:rPr>
          <w:rStyle w:val="NumeroAFNegritaCaracter"/>
        </w:rPr>
        <w:t>11</w:t>
      </w:r>
      <w:r>
        <w:t>. Finalmente, con fecha 17 de mayo de 2024 el representante procesal de don J.M.E.R. presentó escrito de alegaciones en esta pieza, interesando se le tuviera por opuesto a la suspensión, y que el Tribunal acuerde no acceder a esta última.</w:t>
      </w:r>
    </w:p>
    <w:p w14:paraId="7515181D" w14:textId="77777777" w:rsidR="00576A90" w:rsidRDefault="00576A90" w:rsidP="00576A90">
      <w:pPr>
        <w:pStyle w:val="TextoNormal"/>
      </w:pPr>
    </w:p>
    <w:p w14:paraId="4AA49E22" w14:textId="08FB090C" w:rsidR="00576A90" w:rsidRDefault="00576A90" w:rsidP="00576A90">
      <w:pPr>
        <w:pStyle w:val="TextoNormal"/>
      </w:pPr>
      <w:r>
        <w:t>Fundamenta su pretensión en que la regla general es la no suspensión conforme al art. 56.1 LOTC; que en este caso no concurren los requisitos para su otorgamiento ni las demandantes de amparo los han “advertido”, en concreto que el recurso de amparo pudiera perder su finalidad y que la suspensión no genere perturbación grave a un interés constitucionalmente protegido o a los derechos fundamentales o libertades de otra persona. Añade que, aunque no se acuerde la suspensión “la eficacia del amparo es plena” y que, en cambio, con la suspensión “se vulneraría y restringirían derechos fundamentales de mi cliente que salvo excepción muy justificada, que no es el caso, no ha lugar”.</w:t>
      </w:r>
    </w:p>
    <w:p w14:paraId="2EF903B4" w14:textId="77777777" w:rsidR="00576A90" w:rsidRDefault="00576A90" w:rsidP="00576A90">
      <w:pPr>
        <w:pStyle w:val="TextoNormal"/>
      </w:pPr>
    </w:p>
    <w:p w14:paraId="52F68084" w14:textId="6FFE8302" w:rsidR="00576A90" w:rsidRDefault="00576A90" w:rsidP="00576A90">
      <w:pPr>
        <w:pStyle w:val="TextoNormal"/>
      </w:pPr>
      <w:r w:rsidRPr="00576A90">
        <w:rPr>
          <w:rStyle w:val="NumeroAFNegritaCaracter"/>
        </w:rPr>
        <w:t>12</w:t>
      </w:r>
      <w:r>
        <w:t>. Mediante diligencia de la Secretaría de Justicia de 20 de mayo de 2024, se hizo constar “haberse recibido los precedentes escritos de alegaciones del Ministerio Fiscal, del abogado del Estado y de los procuradores doña Sara Leonis Parra y don Oscar Jesús Castellanos Quintero, quedando la presente pieza de suspensión, para deliberación cuando por turno corresponda, doy fe”.</w:t>
      </w:r>
    </w:p>
    <w:p w14:paraId="783B316A" w14:textId="77777777" w:rsidR="00576A90" w:rsidRDefault="00576A90" w:rsidP="00576A90">
      <w:pPr>
        <w:pStyle w:val="TextoNormal"/>
      </w:pPr>
    </w:p>
    <w:p w14:paraId="32F55DA9" w14:textId="77777777" w:rsidR="00576A90" w:rsidRDefault="00576A90" w:rsidP="00576A90">
      <w:pPr>
        <w:pStyle w:val="TextoNormalNegritaCentrado"/>
        <w:keepNext/>
      </w:pPr>
      <w:r>
        <w:t>II. Fundamentos jurídicos</w:t>
      </w:r>
    </w:p>
    <w:p w14:paraId="634973EF" w14:textId="13F1812D" w:rsidR="00576A90" w:rsidRDefault="00576A90" w:rsidP="00576A90">
      <w:pPr>
        <w:pStyle w:val="TextoNormalNegritaCentrado"/>
        <w:keepNext/>
      </w:pPr>
    </w:p>
    <w:p w14:paraId="5F367F8E" w14:textId="77777777" w:rsidR="00576A90" w:rsidRDefault="00576A90" w:rsidP="00576A90">
      <w:pPr>
        <w:pStyle w:val="TextoNormal"/>
      </w:pPr>
      <w:r w:rsidRPr="00576A90">
        <w:rPr>
          <w:rStyle w:val="NumeroAFNegritaCaracter"/>
        </w:rPr>
        <w:t>1</w:t>
      </w:r>
      <w:r>
        <w:t>. Es objeto de esta pieza incidental el resolver la solicitud de suspensión de los dos autos impugnados en el presente recurso de amparo dictados por la Sala de lo Civil y Penal del Tribunal Superior de Justicia de Galicia, de 24 de abril de 2023 y 25 de mayo de 2023, los cuales negaron (el primero inadmitiendo y el segundo desestimando el recurso de súplica contra el anterior) a las dos demandantes la posibilidad de recurrir en apelación contra el auto de la Sección Segunda de la Audiencia Provincial de Lugo, de 13 de febrero de 2023, que procedió a revisar la sentencia de condena dictada por este último órgano judicial el 20 de enero de 2022 (aclarada por auto de 18 de marzo del mismo año), con el resultado, en lo que importa a este recurso de amparo, de haber reducido la pena de prisión impuesta al acusado, de los doce a los diez años. Además, tanto en el escrito de demanda como en el de alegaciones presentado en este procedimiento cautelar, se pide también la suspensión del citado auto de 13 de febrero de 2023, resolución esta que no fue impugnada en este amparo, al sostener que de lo contrario el recurso perdería su finalidad al aproximarse el tiempo en el que el condenado —aquí personado como parte— pudiera empezar a recibir beneficios penitenciarios.</w:t>
      </w:r>
    </w:p>
    <w:p w14:paraId="48BBDB53" w14:textId="77777777" w:rsidR="00576A90" w:rsidRDefault="00576A90" w:rsidP="00576A90">
      <w:pPr>
        <w:pStyle w:val="TextoNormal"/>
      </w:pPr>
    </w:p>
    <w:p w14:paraId="00ABD2D5" w14:textId="77777777" w:rsidR="00576A90" w:rsidRDefault="00576A90" w:rsidP="00576A90">
      <w:pPr>
        <w:pStyle w:val="TextoNormal"/>
      </w:pPr>
      <w:r>
        <w:t>El fiscal ante este Tribunal Constitucional ha formulado alegaciones afirmando que no cabe en ningún caso la suspensión del auto de 13 de febrero de 2023 por no haber sido recurrido en este amparo, y que en cuanto a los autos del Tribunal Superior de Justicia que sí lo han sido, no procede conceder la suspensión pues no se ha acreditado que su ejecución pueda traer consigo la dificultad de reparación de los derechos de las demandantes.</w:t>
      </w:r>
    </w:p>
    <w:p w14:paraId="28A0AD0B" w14:textId="77777777" w:rsidR="00576A90" w:rsidRDefault="00576A90" w:rsidP="00576A90">
      <w:pPr>
        <w:pStyle w:val="TextoNormal"/>
      </w:pPr>
    </w:p>
    <w:p w14:paraId="291F0899" w14:textId="77777777" w:rsidR="00576A90" w:rsidRDefault="00576A90" w:rsidP="00576A90">
      <w:pPr>
        <w:pStyle w:val="TextoNormal"/>
      </w:pPr>
      <w:r>
        <w:t xml:space="preserve">El abogado del Estado a su vez se manifiesta contrario a la suspensión solicitada, porque el </w:t>
      </w:r>
      <w:r w:rsidRPr="00576A90">
        <w:rPr>
          <w:i/>
        </w:rPr>
        <w:t>fumus boni iuris</w:t>
      </w:r>
      <w:r>
        <w:t xml:space="preserve"> y el </w:t>
      </w:r>
      <w:r w:rsidRPr="00576A90">
        <w:rPr>
          <w:i/>
        </w:rPr>
        <w:t>periculum in mora</w:t>
      </w:r>
      <w:r>
        <w:t xml:space="preserve"> apuntan a la no variabilidad del auto de 13 de febrero de 2023, y porque no se aprecia que de no suspenderse el recurso de amparo perdería su finalidad.</w:t>
      </w:r>
    </w:p>
    <w:p w14:paraId="6EEBEAEC" w14:textId="77777777" w:rsidR="00576A90" w:rsidRDefault="00576A90" w:rsidP="00576A90">
      <w:pPr>
        <w:pStyle w:val="TextoNormal"/>
      </w:pPr>
    </w:p>
    <w:p w14:paraId="350D7068" w14:textId="77777777" w:rsidR="00576A90" w:rsidRDefault="00576A90" w:rsidP="00576A90">
      <w:pPr>
        <w:pStyle w:val="TextoNormal"/>
      </w:pPr>
      <w:r>
        <w:t>Finalmente, quien resultó condenado por la sentencia que luego ha revisado la Audiencia Provincial, también personado como parte en este proceso constitucional, ha presentado alegaciones oponiéndose a la suspensión por no darse los requisitos del art. 56 LOTC y porque de concederse se le restringirían a él derechos fundamentales sin motivo.</w:t>
      </w:r>
    </w:p>
    <w:p w14:paraId="502748D2" w14:textId="77777777" w:rsidR="00576A90" w:rsidRDefault="00576A90" w:rsidP="00576A90">
      <w:pPr>
        <w:pStyle w:val="TextoNormal"/>
      </w:pPr>
    </w:p>
    <w:p w14:paraId="66A29266" w14:textId="77777777" w:rsidR="00576A90" w:rsidRDefault="00576A90" w:rsidP="00576A90">
      <w:pPr>
        <w:pStyle w:val="TextoNormal"/>
      </w:pPr>
      <w:r>
        <w:t xml:space="preserve">Así trabado este debate, nos corresponde determinar en primer lugar si formalmente es posible solicitar la suspensión </w:t>
      </w:r>
      <w:r w:rsidRPr="00576A90">
        <w:rPr>
          <w:i/>
        </w:rPr>
        <w:t>ex</w:t>
      </w:r>
      <w:r>
        <w:t xml:space="preserve"> art. 56 LOTC del auto de 13 de febrero de 2023 de la Audiencia Provincial de Lugo que no ha sido impugnado en este proceso de amparo; y, en segundo lugar, si concurren motivos para acordar la suspensión de aquellas resoluciones sobre las que debamos pronunciarnos.</w:t>
      </w:r>
    </w:p>
    <w:p w14:paraId="2C520E50" w14:textId="77777777" w:rsidR="00576A90" w:rsidRDefault="00576A90" w:rsidP="00576A90">
      <w:pPr>
        <w:pStyle w:val="TextoNormal"/>
      </w:pPr>
    </w:p>
    <w:p w14:paraId="19972106" w14:textId="6BAC6E3F" w:rsidR="00576A90" w:rsidRDefault="00576A90" w:rsidP="00576A90">
      <w:pPr>
        <w:pStyle w:val="TextoNormal"/>
      </w:pPr>
      <w:r>
        <w:t>Antes, sin embargo, de proseguir, debe advertirse que al ser una de las dos demandantes de amparo una menor de edad y además víctima de un delito de agresión sexual, en aplicación de lo establecido en el art. 86.3 LOTC (sobre medidas de protección de los derechos del art. 18.4 CE) y en el artículo 1 del acuerdo del Pleno del Tribunal Constitucional de 23 de julio de 2015 (que protege el anonimato de los menores y de las víctimas de “delitos de cuya difusión se deriven especiales perjuicios”), por el que se regula la exclusión de los datos de identidad personal en la publicación de las resoluciones jurisdiccionales (“Boletín Oficial del Estado” núm. 178, de 27 de julio de 2015), en atención a que el objeto de controversia de este proceso constitucional versa sobre una persona que requiere un especial deber de tutela debido precisamente a las dos circunstancias mencionadas, en la presente resolución se identifican por sus iniciales a los intervinientes en este proceso, con la finalidad de preservar de modo efectivo el anonimato de la persona concernida.</w:t>
      </w:r>
    </w:p>
    <w:p w14:paraId="309B6ED8" w14:textId="77777777" w:rsidR="00576A90" w:rsidRDefault="00576A90" w:rsidP="00576A90">
      <w:pPr>
        <w:pStyle w:val="TextoNormal"/>
      </w:pPr>
    </w:p>
    <w:p w14:paraId="0DB0B187" w14:textId="77777777" w:rsidR="00576A90" w:rsidRDefault="00576A90" w:rsidP="00576A90">
      <w:pPr>
        <w:pStyle w:val="TextoNormal"/>
      </w:pPr>
      <w:r w:rsidRPr="00576A90">
        <w:rPr>
          <w:rStyle w:val="NumeroAFNegritaCaracter"/>
        </w:rPr>
        <w:t>2</w:t>
      </w:r>
      <w:r>
        <w:t>. Sentado lo que antecede, en cuanto a la primera cuestión que hemos precisado debe aquí resolverse, este tribunal tiene dictada doctrina reiterada en cuya virtud cuando de manera específica se trata de recursos de amparo interpuestos por vulneración del derecho al recurso (art. 24.1 CE), como aquí, contra resoluciones que imponen una sanción, es posible solicitar en la pieza incidental del art. 56 LOTC la suspensión también de la resolución que impone dicha sanción, al existir una conexión causal entre esta y las que han sido impugnadas, pues de la posibilidad de conceder recurso pende a su vez la firmeza y ejecutividad de la resolución punitiva. Así lo hemos dicho tratándose de sanciones penales (AATC 910/1985, de 13 de diciembre, y 75/2020, de 20 de julio, FJ 2), y de sanciones administrativas (ATC 150/2020, de 30 de noviembre). En estos supuestos, obviamente, la decisión última de suspender dicha resolución judicial a la que se extiende el pronuncia</w:t>
      </w:r>
      <w:r>
        <w:lastRenderedPageBreak/>
        <w:t>miento en esta pieza, exige acreditar la concurrencia de los requisitos del art. 56 LOTC. Así, señala el ATC 75/2020, FJ 2, que:</w:t>
      </w:r>
    </w:p>
    <w:p w14:paraId="1DFDCA85" w14:textId="77777777" w:rsidR="00576A90" w:rsidRDefault="00576A90" w:rsidP="00576A90">
      <w:pPr>
        <w:pStyle w:val="TextoNormal"/>
      </w:pPr>
    </w:p>
    <w:p w14:paraId="291F6ED4" w14:textId="77777777" w:rsidR="00576A90" w:rsidRDefault="00576A90" w:rsidP="00576A90">
      <w:pPr>
        <w:pStyle w:val="TextoNormal"/>
      </w:pPr>
      <w:r>
        <w:t>“La afirmación de que solo procede la suspensión de aquellas resoluciones que hayan sido impugnadas en el respectivo recurso de amparo, resulta cierta como regla general y encuentra reflejo en la propia letra del art. 56.2 de la Ley Orgánica del Tribunal Constitucional (‘cuando la ejecución del acto o sentencia impugnados produzca un perjuicio al recurrente que pudiera hacer perder al amparo su finalidad, la Sala, o la Sección […] podrá disponer la suspensión, total o parcial, de sus efectos […]’).</w:t>
      </w:r>
    </w:p>
    <w:p w14:paraId="24C10086" w14:textId="77777777" w:rsidR="00576A90" w:rsidRDefault="00576A90" w:rsidP="00576A90">
      <w:pPr>
        <w:pStyle w:val="TextoNormal"/>
      </w:pPr>
    </w:p>
    <w:p w14:paraId="48A9D033" w14:textId="77777777" w:rsidR="00576A90" w:rsidRDefault="00576A90" w:rsidP="00576A90">
      <w:pPr>
        <w:pStyle w:val="TextoNormal"/>
      </w:pPr>
      <w:r>
        <w:t>Sin embargo, dicha regla no está exenta de excepciones. Existen situaciones en las que el Tribunal ha reconocido que las vulneraciones denunciadas en la demanda de amparo respecto de una o más resoluciones concretas, proyectan sus efectos de manera causal sobre otras resoluciones ya sean posteriores o anteriores del mismo procedimiento, y eventualmente incluso sobre actuaciones jurisdiccionales distintas […]. Por tanto, si se justifica adecuadamente por el demandante la conexión causal entre la resolución impugnada y la que se pide suspender, y por qué de no acordarse esto último el recurso de amparo interpuesto perdería su finalidad, la medida sería susceptible de acordarse”.</w:t>
      </w:r>
    </w:p>
    <w:p w14:paraId="1592BB70" w14:textId="77777777" w:rsidR="00576A90" w:rsidRDefault="00576A90" w:rsidP="00576A90">
      <w:pPr>
        <w:pStyle w:val="TextoNormal"/>
      </w:pPr>
    </w:p>
    <w:p w14:paraId="2CD34159" w14:textId="1C217075" w:rsidR="00576A90" w:rsidRDefault="00576A90" w:rsidP="00576A90">
      <w:pPr>
        <w:pStyle w:val="TextoNormal"/>
      </w:pPr>
      <w:r>
        <w:t>En el presente caso es clara la conexión causal entre los actos impugnados en este amparo, que niegan la posibilidad de recurso de apelación del auto de la Audiencia Provincial que revisa las penas impuestas al acusado, rebajando la de prisión, comportando así la firmeza de este último y la eventualidad de que se produzcan circunstancias en el tratamiento penitenciario del reo que, al decir de las demandantes de amparo —ahora se verá si con éxito—, harían perder su finalidad al recurso que han promovido, al tener que esperar hasta el dictado de la sentencia de este tribunal. Procede, por tanto, en aplicación de la doctrina que se ha indicado, que examinemos la pretensión cautelar deducida también respecto del auto de 13 de febrero de 2023.</w:t>
      </w:r>
    </w:p>
    <w:p w14:paraId="47E3ADBA" w14:textId="77777777" w:rsidR="00576A90" w:rsidRDefault="00576A90" w:rsidP="00576A90">
      <w:pPr>
        <w:pStyle w:val="TextoNormal"/>
      </w:pPr>
    </w:p>
    <w:p w14:paraId="0EAA0349" w14:textId="77777777" w:rsidR="00576A90" w:rsidRDefault="00576A90" w:rsidP="00576A90">
      <w:pPr>
        <w:pStyle w:val="TextoNormal"/>
      </w:pPr>
      <w:r w:rsidRPr="00576A90">
        <w:rPr>
          <w:rStyle w:val="NumeroAFNegritaCaracter"/>
        </w:rPr>
        <w:t>3</w:t>
      </w:r>
      <w:r>
        <w:t>. El ATC 103/2023, de 6 de marzo, dictado en un amparo penal y que cita el Ministerio Fiscal en su escrito de alegaciones, hace repaso de nuestra doctrina sobre la suspensión de resoluciones judiciales firmes en los siguientes términos:</w:t>
      </w:r>
    </w:p>
    <w:p w14:paraId="3B04AAEB" w14:textId="77777777" w:rsidR="00576A90" w:rsidRDefault="00576A90" w:rsidP="00576A90">
      <w:pPr>
        <w:pStyle w:val="TextoNormal"/>
      </w:pPr>
    </w:p>
    <w:p w14:paraId="1DE958BD" w14:textId="77777777" w:rsidR="00576A90" w:rsidRDefault="00576A90" w:rsidP="00576A90">
      <w:pPr>
        <w:pStyle w:val="TextoNormal"/>
      </w:pPr>
      <w:r>
        <w:t>- Fundamento jurídico 2: “Para resolver este incidente cautelar es necesario partir de lo que dispone el art. 56.1 LOTC que, como regla general, establece que ‘la interposición del recurso de amparo no suspenderá los efectos del acto o sentencia impugnados’. No obstante, su apartado 2,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La excepción a la regla general viene así determinada por una doble condición: en primer lugar, que la ejecución del acto o resolución impugnados produzca un perjuicio que pudiera hacer perder al amparo su finalidad, para el caso de que fuera finalmente estimado; y en segundo término, que la suspensión no genere, a su vez, una perturbación grave a un interés constitucionalmente protegido, ni a los derechos fundamentales o libertades de otra persona.</w:t>
      </w:r>
    </w:p>
    <w:p w14:paraId="7DE26A27" w14:textId="77777777" w:rsidR="00576A90" w:rsidRDefault="00576A90" w:rsidP="00576A90">
      <w:pPr>
        <w:pStyle w:val="TextoNormal"/>
      </w:pPr>
    </w:p>
    <w:p w14:paraId="0490FE8E" w14:textId="77777777" w:rsidR="00576A90" w:rsidRDefault="00576A90" w:rsidP="00576A90">
      <w:pPr>
        <w:pStyle w:val="TextoNormal"/>
      </w:pPr>
      <w:r>
        <w:lastRenderedPageBreak/>
        <w:t>Al ser la suspensión una excepción a la regla general, los parámetros para su adopción han de estar basados en criterios de interpretación restrictiva. Para acordar la medida cautelar solicitada, han de ponderarse dos circunstancias que han de ser valoradas desde su respectiva y diversa naturaleza. Así, la concurrencia del perjuicio irreparable determinante de la posible pérdida de la finalidad del amparo no puede deslindarse de la previa ausencia de una perturbación grave para un interés constitucionalmente protegido. Conforme al art. 56.2 LOTC, la medida cautelar de suspensión de la ejecución de la resolución impugnada ha de estar orientada a evitar que el amparo pierda su finalidad, siempre y cuando la suspensión no ocasione una perturbación grave a un interés constitucionalmente protegido ni a los derechos fundamentales o libertades de otra persona”.</w:t>
      </w:r>
    </w:p>
    <w:p w14:paraId="23E7616B" w14:textId="77777777" w:rsidR="00576A90" w:rsidRDefault="00576A90" w:rsidP="00576A90">
      <w:pPr>
        <w:pStyle w:val="TextoNormal"/>
      </w:pPr>
    </w:p>
    <w:p w14:paraId="5993E768" w14:textId="77777777" w:rsidR="00576A90" w:rsidRDefault="00576A90" w:rsidP="00576A90">
      <w:pPr>
        <w:pStyle w:val="TextoNormal"/>
      </w:pPr>
      <w:r>
        <w:t>- Fundamento jurídico 3: “Cuando el amparo constitucional se solicita respecto a resoluciones judiciales firmes, este tribunal tiene declarado (AATC 190/2015, de 5 de noviembre, FJ 2, y 130/2022, de 10 de octubre, FJ 3, y los autos en ellos citados) que la suspensión de la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esta naturaleza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En definitiva, se trata de preservar la presunción de legitimidad que alcanza a todas las actuaciones de los poderes públicos, presunción inherente a la entera actividad pública”.</w:t>
      </w:r>
    </w:p>
    <w:p w14:paraId="0F2DB9F3" w14:textId="77777777" w:rsidR="00576A90" w:rsidRDefault="00576A90" w:rsidP="00576A90">
      <w:pPr>
        <w:pStyle w:val="TextoNormal"/>
      </w:pPr>
    </w:p>
    <w:p w14:paraId="7EEF34F2" w14:textId="77777777" w:rsidR="00576A90" w:rsidRDefault="00576A90" w:rsidP="00576A90">
      <w:pPr>
        <w:pStyle w:val="TextoNormal"/>
      </w:pPr>
      <w:r>
        <w:t>- Fundamento jurídico 4: «La facultad de este tribunal de adoptar medidas cautelares en los procesos de amparo, reconocida en el art. 56 LOTC, se sustenta en la necesidad de asegurar la efectividad de las resoluciones que les pongan fin, esto es, de preservar la integridad del derecho fundamental cuya vulneración se denuncia, en tanto en cuanto la ejecución del acto o resolución impugnados pudiera ocasionar un perjuicio que hiciese perder al amparo su finalidad.</w:t>
      </w:r>
    </w:p>
    <w:p w14:paraId="586019F5" w14:textId="77777777" w:rsidR="00576A90" w:rsidRDefault="00576A90" w:rsidP="00576A90">
      <w:pPr>
        <w:pStyle w:val="TextoNormal"/>
      </w:pPr>
    </w:p>
    <w:p w14:paraId="507A5B2F" w14:textId="77777777" w:rsidR="00576A90" w:rsidRDefault="00576A90" w:rsidP="00576A90">
      <w:pPr>
        <w:pStyle w:val="TextoNormal"/>
      </w:pPr>
      <w:r>
        <w:t>Como recuerda el ATC 130/2022, de 10 de octubre, FJ 4, con cita del ATC 55/2018, de 22 de mayo, FJ 2 c), “la perspectiva única que ha de ser tenida en cuenta para decidir sobre cualquier pretensión cautelar formulada en el proceso de amparo ha de ser la de la preservación de la eficacia de un posible pronunciamiento estimatorio, sin prejuzgar cuál haya de ser el sentido de la futura sentencia que le ponga fin […]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w:t>
      </w:r>
    </w:p>
    <w:p w14:paraId="4F17CE77" w14:textId="77777777" w:rsidR="00576A90" w:rsidRDefault="00576A90" w:rsidP="00576A90">
      <w:pPr>
        <w:pStyle w:val="TextoNormal"/>
      </w:pPr>
    </w:p>
    <w:p w14:paraId="0A1F3A60" w14:textId="77777777" w:rsidR="00576A90" w:rsidRDefault="00576A90" w:rsidP="00576A90">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w:t>
      </w:r>
      <w:r>
        <w:lastRenderedPageBreak/>
        <w:t>cional vulnerado sea tardío y convirtiendo en meramente ilusorio y nominal el amparo” (AATC 147/2017, de 13 de noviembre, FJ 1, y 130/2022, de 10 de octubre, FJ 4).</w:t>
      </w:r>
    </w:p>
    <w:p w14:paraId="3ECE2A68" w14:textId="77777777" w:rsidR="00576A90" w:rsidRDefault="00576A90" w:rsidP="00576A90">
      <w:pPr>
        <w:pStyle w:val="TextoNormal"/>
      </w:pPr>
    </w:p>
    <w:p w14:paraId="1F2A3FB5" w14:textId="73EC73BD" w:rsidR="00576A90" w:rsidRDefault="00576A90" w:rsidP="00576A90">
      <w:pPr>
        <w:pStyle w:val="TextoNormal"/>
      </w:pPr>
      <w:r>
        <w:t>Como “perjuicio irreparable” debe entenderse “aquel que provoque que el restablecimiento del recurrente en los derechos fundamentales cuya vulneración denuncia sea tardío e impida definitivamente que la restauración sea efectiva […]. Los perjuicios irreparables deben ser reales, sin que sea posible alegar los futuros o hipotéticos o un simple temor; la pérdida de la finalidad del amparo no puede equipararse a la mayor o menor dificultad, molestia o incomodidad para el recurrente” (ATC 137/2017, de 16 de octubre, FJ 1, y 130/2022, de 10 de octubre, FJ 4)».</w:t>
      </w:r>
    </w:p>
    <w:p w14:paraId="7DBC0719" w14:textId="77777777" w:rsidR="00576A90" w:rsidRDefault="00576A90" w:rsidP="00576A90">
      <w:pPr>
        <w:pStyle w:val="TextoNormal"/>
      </w:pPr>
    </w:p>
    <w:p w14:paraId="55FEAF40" w14:textId="77777777" w:rsidR="00576A90" w:rsidRDefault="00576A90" w:rsidP="00576A90">
      <w:pPr>
        <w:pStyle w:val="TextoNormal"/>
      </w:pPr>
      <w:r w:rsidRPr="00576A90">
        <w:rPr>
          <w:rStyle w:val="NumeroAFNegritaCaracter"/>
        </w:rPr>
        <w:t>4</w:t>
      </w:r>
      <w:r>
        <w:t>. La aplicación de la doctrina citada en el anterior fundamento jurídico conduce a desestimar la solicitud de suspensión interesada.</w:t>
      </w:r>
    </w:p>
    <w:p w14:paraId="637E1FA8" w14:textId="77777777" w:rsidR="00576A90" w:rsidRDefault="00576A90" w:rsidP="00576A90">
      <w:pPr>
        <w:pStyle w:val="TextoNormal"/>
      </w:pPr>
    </w:p>
    <w:p w14:paraId="305216C4" w14:textId="77777777" w:rsidR="00576A90" w:rsidRDefault="00576A90" w:rsidP="00576A90">
      <w:pPr>
        <w:pStyle w:val="TextoNormal"/>
      </w:pPr>
      <w:r>
        <w:t>a) En primer lugar, respecto de los autos (impugnados) de la Sala de lo Civil y Penal del Tribunal Superior de Justicia de Galicia, ha de darse la razón al fiscal en el sentido de que los escritos procesales de las recurrentes de amparo no argumentan nada que justifique por qué su no suspensión podría hacer perder al recurso interpuesto su finalidad; ni tal riesgo se atisba del contenido y efectos propios de ambas resoluciones, quedando extramuros de la decisión de esta pieza incidental cualquier consideración acerca de los motivos de fondo planteados en la demanda.</w:t>
      </w:r>
    </w:p>
    <w:p w14:paraId="2EF77BED" w14:textId="77777777" w:rsidR="00576A90" w:rsidRDefault="00576A90" w:rsidP="00576A90">
      <w:pPr>
        <w:pStyle w:val="TextoNormal"/>
      </w:pPr>
    </w:p>
    <w:p w14:paraId="2A508302" w14:textId="77777777" w:rsidR="00576A90" w:rsidRDefault="00576A90" w:rsidP="00576A90">
      <w:pPr>
        <w:pStyle w:val="TextoNormal"/>
      </w:pPr>
      <w:r>
        <w:t>b) Igual suerte denegatoria ha de correr la solicitud de las recurrentes, de suspender el auto de 13 de febrero de 2023 que revisó la sentencia de condena tras la entrada en vigor de la Ley Orgánica 10/2022, de 6 de septiembre, de garantía integral de la libertad sexual. El peligro de que el recurso de amparo pierda su finalidad se ciñe a la eventualidad de que el condenado pudiera empezar a disfrutar de beneficios penitenciarios que “para nada le corresponden”. Esta última es desde luego una apreciación que no solamente deviene ajena al ámbito de esta pieza incidental sino, de hecho, a todo el presente recurso de amparo, pues atañe en último grado a los motivos que sostienen el fondo del recurso de apelación contra aquel auto de febrero de 2023, de los que en ningún caso nos tocaría conocer en este proceso constitucional.</w:t>
      </w:r>
    </w:p>
    <w:p w14:paraId="493BF831" w14:textId="77777777" w:rsidR="00576A90" w:rsidRDefault="00576A90" w:rsidP="00576A90">
      <w:pPr>
        <w:pStyle w:val="TextoNormal"/>
      </w:pPr>
    </w:p>
    <w:p w14:paraId="5205D802" w14:textId="77777777" w:rsidR="00576A90" w:rsidRDefault="00576A90" w:rsidP="00576A90">
      <w:pPr>
        <w:pStyle w:val="TextoNormal"/>
      </w:pPr>
      <w:r>
        <w:t>Al margen de ello, lo cierto es que las demandantes no concretan cuáles serían esos beneficios penitenciarios cercanos en el tiempo (solo indican datos sobre plazos de cumplimiento de la pena de prisión), ni si estos han sido solicitados por el condenado, ni sobre todo en qué medida su otorgamiento impediría que la estimación de la demanda de amparo desplegase sus efectos reparadores en cuanto a acordar la reapertura en la tramitación del recurso de apelación mencionado. Baste recordar, por otro lado, que además de la imposición de una pena de diez años de prisión tras la revisión de la sentencia de condena, se mantiene también la prohibición de aproximarse a la víctima o de comunicarse con ella durante un plazo de doce años, así como un régimen de libertad vigilada de cinco años.</w:t>
      </w:r>
    </w:p>
    <w:p w14:paraId="416274EF" w14:textId="77777777" w:rsidR="00576A90" w:rsidRDefault="00576A90" w:rsidP="00576A90">
      <w:pPr>
        <w:pStyle w:val="TextoNormal"/>
      </w:pPr>
    </w:p>
    <w:p w14:paraId="38AD46B3" w14:textId="77777777" w:rsidR="00576A90" w:rsidRDefault="00576A90" w:rsidP="00576A90">
      <w:pPr>
        <w:pStyle w:val="TextoNormal"/>
      </w:pPr>
      <w:r>
        <w:t>Es evidente que el presente recurso de amparo, que en su pieza principal ya está en el trámite de alegaciones del art. 52 LOTC, quedará resuelto si no aparecen incidencias extraordinarias, en el plazo máximo de un año.</w:t>
      </w:r>
    </w:p>
    <w:p w14:paraId="7F4A5150" w14:textId="77777777" w:rsidR="00576A90" w:rsidRDefault="00576A90" w:rsidP="00576A90">
      <w:pPr>
        <w:pStyle w:val="TextoNormal"/>
      </w:pPr>
    </w:p>
    <w:p w14:paraId="2EAFCBB7" w14:textId="611E6BD6" w:rsidR="00576A90" w:rsidRDefault="00576A90" w:rsidP="00576A90">
      <w:pPr>
        <w:pStyle w:val="TextoNormal"/>
      </w:pPr>
      <w:r>
        <w:lastRenderedPageBreak/>
        <w:t xml:space="preserve">Y en todo caso y tal y como invocaron las demandantes de amparo, en caso de aparecer circunstancias sobrevenidas que siempre tendrían que justificarse, susceptibles de modificar esta decisión, podrá la misma revisarse </w:t>
      </w:r>
      <w:r w:rsidRPr="00576A90">
        <w:rPr>
          <w:i/>
        </w:rPr>
        <w:t>ex</w:t>
      </w:r>
      <w:r>
        <w:t xml:space="preserve"> art. 57 LOTC.</w:t>
      </w:r>
    </w:p>
    <w:p w14:paraId="33ACDFF8" w14:textId="77777777" w:rsidR="00576A90" w:rsidRDefault="00576A90" w:rsidP="00576A90">
      <w:pPr>
        <w:pStyle w:val="TextoNormal"/>
      </w:pPr>
    </w:p>
    <w:p w14:paraId="5C2A6C34" w14:textId="77777777" w:rsidR="00576A90" w:rsidRDefault="00576A90" w:rsidP="00576A90">
      <w:pPr>
        <w:pStyle w:val="TextoNormal"/>
      </w:pPr>
      <w:r>
        <w:t>Por lo expuesto, la Sala</w:t>
      </w:r>
    </w:p>
    <w:p w14:paraId="7C9C16F5" w14:textId="0B29C2FF" w:rsidR="00576A90" w:rsidRDefault="00576A90" w:rsidP="00576A90">
      <w:pPr>
        <w:pStyle w:val="TextoNormal"/>
      </w:pPr>
    </w:p>
    <w:p w14:paraId="29206FC3" w14:textId="77777777" w:rsidR="00576A90" w:rsidRDefault="00576A90" w:rsidP="00576A90">
      <w:pPr>
        <w:pStyle w:val="TextoNormalCentrado"/>
      </w:pPr>
      <w:r>
        <w:t>ACUERDA</w:t>
      </w:r>
    </w:p>
    <w:p w14:paraId="0332913B" w14:textId="45FA29BF" w:rsidR="00576A90" w:rsidRDefault="00576A90" w:rsidP="00576A90">
      <w:pPr>
        <w:pStyle w:val="TextoNormalCentrado"/>
      </w:pPr>
    </w:p>
    <w:p w14:paraId="11739CA6" w14:textId="1B4D3717" w:rsidR="00576A90" w:rsidRDefault="00576A90" w:rsidP="00576A90">
      <w:pPr>
        <w:pStyle w:val="TextoNormal"/>
      </w:pPr>
      <w:r>
        <w:t>Denegar la suspensión solicitada.</w:t>
      </w:r>
    </w:p>
    <w:p w14:paraId="53E24D96" w14:textId="77777777" w:rsidR="00576A90" w:rsidRDefault="00576A90" w:rsidP="00576A90">
      <w:pPr>
        <w:pStyle w:val="TextoNormal"/>
      </w:pPr>
    </w:p>
    <w:p w14:paraId="5AFE0110" w14:textId="77777777" w:rsidR="00576A90" w:rsidRDefault="00576A90" w:rsidP="00576A90">
      <w:pPr>
        <w:pStyle w:val="TextoNormal"/>
      </w:pPr>
      <w:r>
        <w:t>Madrid, a tres de junio de dos mil veinticuatro.</w:t>
      </w:r>
    </w:p>
    <w:p w14:paraId="6A46C390" w14:textId="37C95257" w:rsidR="00576A90" w:rsidRDefault="00576A90">
      <w:pPr>
        <w:spacing w:after="160" w:line="259" w:lineRule="auto"/>
        <w:rPr>
          <w:rFonts w:ascii="Times New Roman" w:eastAsia="Times New Roman" w:hAnsi="Times New Roman" w:cs="Times New Roman"/>
          <w:sz w:val="24"/>
          <w:szCs w:val="24"/>
          <w:lang w:eastAsia="es-ES"/>
        </w:rPr>
      </w:pPr>
      <w:r>
        <w:br w:type="page"/>
      </w:r>
    </w:p>
    <w:p w14:paraId="42BE310D" w14:textId="77777777" w:rsidR="00576A90" w:rsidRDefault="00576A90" w:rsidP="00576A90">
      <w:pPr>
        <w:pStyle w:val="TtuloResolucin"/>
      </w:pPr>
      <w:bookmarkStart w:id="149" w:name="AUTO_2024_54"/>
      <w:r>
        <w:lastRenderedPageBreak/>
        <w:t>AUTO 54/2024, de 3 de junio de 2024</w:t>
      </w:r>
    </w:p>
    <w:bookmarkEnd w:id="149"/>
    <w:p w14:paraId="7710C525" w14:textId="77777777" w:rsidR="00576A90" w:rsidRDefault="00576A90" w:rsidP="00576A90">
      <w:pPr>
        <w:pStyle w:val="TtuloResolucin"/>
      </w:pPr>
      <w:r>
        <w:t>Sala Segunda</w:t>
      </w:r>
    </w:p>
    <w:p w14:paraId="69740632" w14:textId="77777777" w:rsidR="00576A90" w:rsidRDefault="00576A90" w:rsidP="00576A90">
      <w:pPr>
        <w:pStyle w:val="TextoNormalCentrado"/>
      </w:pPr>
      <w:r>
        <w:t>ECLI:ES:TC:2024:54A</w:t>
      </w:r>
    </w:p>
    <w:p w14:paraId="06C43E49" w14:textId="31962E1E" w:rsidR="00576A90" w:rsidRDefault="00576A90" w:rsidP="00576A90">
      <w:pPr>
        <w:pStyle w:val="TextoNormalCentrado"/>
      </w:pPr>
    </w:p>
    <w:p w14:paraId="39157718" w14:textId="77777777" w:rsidR="00576A90" w:rsidRDefault="00576A90" w:rsidP="00576A90">
      <w:pPr>
        <w:pStyle w:val="SntesisDescriptiva"/>
      </w:pPr>
      <w:r>
        <w:t>Excms. Srs. doña Inmaculada Montalbán Huertas, doña María Luisa Balaguer Callejón, don Ramón Sáez Valcárcel, don Enrique Arnaldo Alcubilla, don César Tolosa Tribiño y doña Laura Díez Bueso.</w:t>
      </w:r>
    </w:p>
    <w:p w14:paraId="648279EE" w14:textId="7C8C9AA4" w:rsidR="00576A90" w:rsidRDefault="00576A90" w:rsidP="00576A90">
      <w:pPr>
        <w:pStyle w:val="SntesisDescriptiva"/>
      </w:pPr>
    </w:p>
    <w:p w14:paraId="290ABD69" w14:textId="77777777" w:rsidR="00576A90" w:rsidRDefault="00576A90" w:rsidP="00576A90">
      <w:pPr>
        <w:pStyle w:val="SntesisDescriptiva"/>
      </w:pPr>
      <w:r>
        <w:t>Deniega la suspensión en el recurso de amparo 4594-2023, promovido por don Francisco Javier Pulgarín Milara en pleito civil.</w:t>
      </w:r>
    </w:p>
    <w:p w14:paraId="30E16ADC" w14:textId="52CD4CDE" w:rsidR="00576A90" w:rsidRDefault="00576A90" w:rsidP="00576A90">
      <w:pPr>
        <w:pStyle w:val="SntesisDescriptiva"/>
      </w:pPr>
    </w:p>
    <w:p w14:paraId="5BEC63C1" w14:textId="77777777" w:rsidR="00576A90" w:rsidRDefault="00576A90" w:rsidP="00576A90">
      <w:pPr>
        <w:pStyle w:val="SntesisDescriptiva"/>
      </w:pPr>
    </w:p>
    <w:p w14:paraId="3BBFA924" w14:textId="77777777" w:rsidR="00576A90" w:rsidRDefault="00576A90" w:rsidP="00576A90">
      <w:pPr>
        <w:pStyle w:val="SntesisDescriptiva"/>
      </w:pPr>
    </w:p>
    <w:p w14:paraId="6F18FE6B" w14:textId="77777777" w:rsidR="00576A90" w:rsidRDefault="00576A90" w:rsidP="00576A90">
      <w:pPr>
        <w:pStyle w:val="TextoNormalNegritaCentrado"/>
      </w:pPr>
      <w:r>
        <w:t>AUTO</w:t>
      </w:r>
    </w:p>
    <w:p w14:paraId="79BF8726" w14:textId="43B0C241" w:rsidR="00576A90" w:rsidRDefault="00576A90" w:rsidP="00576A90">
      <w:pPr>
        <w:pStyle w:val="TextoNormalNegritaCentrado"/>
      </w:pPr>
    </w:p>
    <w:p w14:paraId="22AE2920" w14:textId="77777777" w:rsidR="00576A90" w:rsidRDefault="00576A90" w:rsidP="00576A90">
      <w:pPr>
        <w:pStyle w:val="TextoNormalNegritaCentrado"/>
        <w:keepNext/>
      </w:pPr>
      <w:r>
        <w:t>I. Antecedentes</w:t>
      </w:r>
    </w:p>
    <w:p w14:paraId="1EBB8AD4" w14:textId="1BC9AAE7" w:rsidR="00576A90" w:rsidRDefault="00576A90" w:rsidP="00576A90">
      <w:pPr>
        <w:pStyle w:val="TextoNormalNegritaCentrado"/>
        <w:keepNext/>
      </w:pPr>
    </w:p>
    <w:p w14:paraId="40C97F41" w14:textId="77777777" w:rsidR="00576A90" w:rsidRDefault="00576A90" w:rsidP="00576A90">
      <w:pPr>
        <w:pStyle w:val="TextoNormal"/>
      </w:pPr>
      <w:r w:rsidRPr="00576A90">
        <w:rPr>
          <w:rStyle w:val="NumeroAFNegritaCaracter"/>
        </w:rPr>
        <w:t>1</w:t>
      </w:r>
      <w:r>
        <w:t>. Don Francisco Javier Pulgarín Milara, representado por el procurador de los tribunales don Luis Fernando Álvarez Wiese, presentó el 3 de julio de 2023 en el registro de este tribunal demanda de amparo contra las providencias de 16 y 24 de mayo de 2023 de la Sección Decimoprimera de la Audiencia Provincial de Barcelona, recaídas en el recurso de apelación núm. 838-2021, interpuesto contra la sentencia dictada el 27 de diciembre de 2019 por el Juzgado de Primera Instancia e Instrucción núm. 5 de El Prat de Llobregat en el procedimiento declarativo núm. 27-2018, sobre reclamación de cantidad derivada de un contrato de préstamo, seguido frente al ahora demandante de amparo a instancias de la TTI Finance, S.A.R.L.</w:t>
      </w:r>
    </w:p>
    <w:p w14:paraId="3024B543" w14:textId="77777777" w:rsidR="00576A90" w:rsidRDefault="00576A90" w:rsidP="00576A90">
      <w:pPr>
        <w:pStyle w:val="TextoNormal"/>
      </w:pPr>
    </w:p>
    <w:p w14:paraId="1393C051" w14:textId="5472917E" w:rsidR="00576A90" w:rsidRDefault="00576A90" w:rsidP="00576A90">
      <w:pPr>
        <w:pStyle w:val="TextoNormal"/>
      </w:pPr>
      <w:r>
        <w:t>La sentencia de primera instancia desestimó la demanda, acogiendo las excepciones procesales opuestas por la parte demandada. El recurso de apelación interpuesto por la actora contra esa sentencia fue estimado parcialmente por la Sección Decimoprimera de la Audiencia Provincial de Barcelona mediante sentencia de 30 de marzo de 2023 que, tras rechazar la alegada falta de representación procesal de la sociedad recurrente, condenó al apelado al pago de la cantidad de 6544,14 €, más los intereses legales. Promovido por este un incidente de nulidad de actuaciones fundado en la infracción del art. 24.1 CE por no acoger la sentencia la alegación referida a la falta de acreditación de la representación procesal de la apelante, la Audiencia Provincial inadmitió el incidente mediante providencia de 16 de mayo de 2023. Contra esta formuló el ahora demandante de amparo una solicitud de aclaración, que fue rechazada por providencia de 24 de mayo de 2023.</w:t>
      </w:r>
    </w:p>
    <w:p w14:paraId="4028A148" w14:textId="77777777" w:rsidR="00576A90" w:rsidRDefault="00576A90" w:rsidP="00576A90">
      <w:pPr>
        <w:pStyle w:val="TextoNormal"/>
      </w:pPr>
    </w:p>
    <w:p w14:paraId="3A0D7EDF" w14:textId="77777777" w:rsidR="00576A90" w:rsidRDefault="00576A90" w:rsidP="00576A90">
      <w:pPr>
        <w:pStyle w:val="TextoNormal"/>
      </w:pPr>
      <w:r w:rsidRPr="00576A90">
        <w:rPr>
          <w:rStyle w:val="NumeroAFNegritaCaracter"/>
        </w:rPr>
        <w:t>2</w:t>
      </w:r>
      <w:r>
        <w:t>. En la demanda de amparo se denuncia que las providencias impugnadas han quebrantado el derecho del recurrente a la tutela judicial efectiva sin indefensión (art. 24.1 CE), por lo que se solicita que se declare la nulidad de esas resoluciones, con retroacción de las actuaciones al momento anterior del dictado de la primera de ellas, al objeto de que el órgano judicial dicte nueva resolución, respetuosa con el derecho fundamental que se entiende vulnerado.</w:t>
      </w:r>
    </w:p>
    <w:p w14:paraId="67054F9B" w14:textId="77777777" w:rsidR="00576A90" w:rsidRDefault="00576A90" w:rsidP="00576A90">
      <w:pPr>
        <w:pStyle w:val="TextoNormal"/>
      </w:pPr>
    </w:p>
    <w:p w14:paraId="72150FF0" w14:textId="136FB9CA" w:rsidR="00576A90" w:rsidRDefault="00576A90" w:rsidP="00576A90">
      <w:pPr>
        <w:pStyle w:val="TextoNormal"/>
      </w:pPr>
      <w:r>
        <w:lastRenderedPageBreak/>
        <w:t>Por otrosí, de acuerdo con lo previsto en el art. 56.2 de la Ley Orgánica del Tribunal Constitucional (LOTC), el recurrente solicita la suspensión de la ejecución de las resoluciones judiciales impugnadas, a fin de evitar que el recurso de amparo pudiera perder su finalidad.</w:t>
      </w:r>
    </w:p>
    <w:p w14:paraId="1EC1EFCA" w14:textId="77777777" w:rsidR="00576A90" w:rsidRDefault="00576A90" w:rsidP="00576A90">
      <w:pPr>
        <w:pStyle w:val="TextoNormal"/>
      </w:pPr>
    </w:p>
    <w:p w14:paraId="7F010C36" w14:textId="04E8514C" w:rsidR="00576A90" w:rsidRDefault="00576A90" w:rsidP="00576A90">
      <w:pPr>
        <w:pStyle w:val="TextoNormal"/>
      </w:pPr>
      <w:r w:rsidRPr="00576A90">
        <w:rPr>
          <w:rStyle w:val="NumeroAFNegritaCaracter"/>
        </w:rPr>
        <w:t>3</w:t>
      </w:r>
      <w:r>
        <w:t>. Por providencia de 8 de abril de 2024, la Sección Cuarta de este tribunal acordó la admisión a trámite del recurso de amparo, al apreciar que concurre en el mismo una especial transcendencia constitucional (art. 50.1 LOTC), como consecuencia de que el órgano judicial pudiera haber incurrido en una negativa manifiesta del deber de acatamiento de la doctrina de este tribunal [STC 155/2009, de 25 de junio, FJ 2 f)].</w:t>
      </w:r>
    </w:p>
    <w:p w14:paraId="55A55830" w14:textId="77777777" w:rsidR="00576A90" w:rsidRDefault="00576A90" w:rsidP="00576A90">
      <w:pPr>
        <w:pStyle w:val="TextoNormal"/>
      </w:pPr>
    </w:p>
    <w:p w14:paraId="62CBB7F9" w14:textId="72C2E1F0" w:rsidR="00576A90" w:rsidRDefault="00576A90" w:rsidP="00576A90">
      <w:pPr>
        <w:pStyle w:val="TextoNormal"/>
      </w:pPr>
      <w:r w:rsidRPr="00576A90">
        <w:rPr>
          <w:rStyle w:val="NumeroAFNegritaCaracter"/>
        </w:rPr>
        <w:t>4</w:t>
      </w:r>
      <w:r>
        <w:t>. Mediante otra providencia de la misma fecha se acordó formar la correspondiente pieza separada de suspensión y, de conformidad con lo previsto en el art. 56 LOTC, conceder un plazo común de tres días al Ministerio Fiscal y al recurrente en amparo para que alegaran lo que estimaran pertinente en relación con la petición de suspensión interesada.</w:t>
      </w:r>
    </w:p>
    <w:p w14:paraId="198CDF37" w14:textId="77777777" w:rsidR="00576A90" w:rsidRDefault="00576A90" w:rsidP="00576A90">
      <w:pPr>
        <w:pStyle w:val="TextoNormal"/>
      </w:pPr>
    </w:p>
    <w:p w14:paraId="7FE610DA" w14:textId="62989C39" w:rsidR="00576A90" w:rsidRDefault="00576A90" w:rsidP="00576A90">
      <w:pPr>
        <w:pStyle w:val="TextoNormal"/>
      </w:pPr>
      <w:r w:rsidRPr="00576A90">
        <w:rPr>
          <w:rStyle w:val="NumeroAFNegritaCaracter"/>
        </w:rPr>
        <w:t>5</w:t>
      </w:r>
      <w:r>
        <w:t xml:space="preserve">. La representación del recurrente, mediante escrito presentado el 16 de abril de 2024, se ratificó en su petición de que este tribunal proceda a suspender la ejecución de las resoluciones impugnadas, señalando que, de no ser así, existe el riesgo de que el recurso de amparo pierda su finalidad, dado que la sociedad actora en el proceso </w:t>
      </w:r>
      <w:r w:rsidRPr="00576A90">
        <w:rPr>
          <w:i/>
        </w:rPr>
        <w:t>a quo</w:t>
      </w:r>
      <w:r>
        <w:t xml:space="preserve"> tiene su domicilio social fuera de España, lo que podría dar lugar a que, aunque finalmente fuese revocada la sentencia condenatoria al pago de cantidad, el recurrente no recuperase lo abonado.</w:t>
      </w:r>
    </w:p>
    <w:p w14:paraId="19950753" w14:textId="77777777" w:rsidR="00576A90" w:rsidRDefault="00576A90" w:rsidP="00576A90">
      <w:pPr>
        <w:pStyle w:val="TextoNormal"/>
      </w:pPr>
    </w:p>
    <w:p w14:paraId="05C84F98" w14:textId="6E5B277B" w:rsidR="00576A90" w:rsidRDefault="00576A90" w:rsidP="00576A90">
      <w:pPr>
        <w:pStyle w:val="TextoNormal"/>
      </w:pPr>
      <w:r w:rsidRPr="00576A90">
        <w:rPr>
          <w:rStyle w:val="NumeroAFNegritaCaracter"/>
        </w:rPr>
        <w:t>6</w:t>
      </w:r>
      <w:r>
        <w:t>. En su escrito de alegaciones, presentado el 26 de abril de 2024, el Ministerio Fiscal, con cita de doctrina constitucional sobre la suspensión en los recursos de amparo, en particular de la dictada en relación con pronunciamientos de contenido patrimonial (cita expresamente, entre otros, los AATC 66/2008, de 25 de febrero; 25/2009, de 26 de enero; 199/2010, de 21 de octubre; 69/2016, de 11 de abril, y 117/2018, de 29 de octubre), así como respecto de la obligación del recurrente de acreditar los perjuicios que se le irrogarían de no accederse a la suspensión (cita, entre otros, los AATC 36/2007, de 12 de febrero, y 39/2008, de 11 de febrero), se opone a la concesión de la suspensión solicitada, puesto que el recurrente no justifica, ni siquiera de modo somero, en qué medida la decisión de no acordarse la suspensión de las providencias impugnadas le podría suponer un perjuicio de imposible reparación que hiciera perder al recurso de amparo su finalidad en caso de que fuera otorgado, de manera que ha incumplido la carga argumentativa que le corresponde. Ello sin perjuicio de señalar que ese eventual perjuicio derivaría de la ejecución de una sentencia, no impugnada, que le condena al pago de una determinada cantidad, sin que conste siquiera si se ha ejecutado ese pronunciamiento condenatorio.</w:t>
      </w:r>
    </w:p>
    <w:p w14:paraId="2830E353" w14:textId="77777777" w:rsidR="00576A90" w:rsidRDefault="00576A90" w:rsidP="00576A90">
      <w:pPr>
        <w:pStyle w:val="TextoNormal"/>
      </w:pPr>
    </w:p>
    <w:p w14:paraId="47152086" w14:textId="77777777" w:rsidR="00576A90" w:rsidRDefault="00576A90" w:rsidP="00576A90">
      <w:pPr>
        <w:pStyle w:val="TextoNormalNegritaCentrado"/>
        <w:keepNext/>
      </w:pPr>
      <w:r>
        <w:t>II. Fundamentos jurídicos</w:t>
      </w:r>
    </w:p>
    <w:p w14:paraId="31E1FF1E" w14:textId="4604F418" w:rsidR="00576A90" w:rsidRDefault="00576A90" w:rsidP="00576A90">
      <w:pPr>
        <w:pStyle w:val="TextoNormalNegritaCentrado"/>
        <w:keepNext/>
      </w:pPr>
    </w:p>
    <w:p w14:paraId="3E50FF78" w14:textId="77777777" w:rsidR="00576A90" w:rsidRDefault="00576A90" w:rsidP="00576A90">
      <w:pPr>
        <w:pStyle w:val="TextoNormal"/>
      </w:pPr>
      <w:r w:rsidRPr="00576A90">
        <w:rPr>
          <w:rStyle w:val="NumeroAFNegritaCaracter"/>
        </w:rPr>
        <w:t>1</w:t>
      </w:r>
      <w:r>
        <w:t>. Dispone el art. 56.2 de la Ley Orgánica del Tribunal Constitucional (LOTC) que la sala que conozca de un recurso de amparo únicamente suspenderá la ejecución del acto de los poderes públicos por razón del cual se reclame el amparo constitucional “cuando la ejecución del acto o sentencia impugnados produzca  un perjuicio al recurrente que pudie</w:t>
      </w:r>
      <w:r>
        <w:lastRenderedPageBreak/>
        <w:t>ra hacer perder al amparo su finalidad”; previéndose en el segundo inciso de este mismo precepto que la suspensión, no obstante, podrá denegarse cuando de aquella pueda seguirse perturbación grave a un interés constitucionalmente protegido, o de los derechos fundamentales o libertades públicas de un tercero.</w:t>
      </w:r>
    </w:p>
    <w:p w14:paraId="0448864F" w14:textId="77777777" w:rsidR="00576A90" w:rsidRDefault="00576A90" w:rsidP="00576A90">
      <w:pPr>
        <w:pStyle w:val="TextoNormal"/>
      </w:pPr>
    </w:p>
    <w:p w14:paraId="19E57205" w14:textId="77777777" w:rsidR="00576A90" w:rsidRDefault="00576A90" w:rsidP="00576A90">
      <w:pPr>
        <w:pStyle w:val="TextoNormal"/>
      </w:pPr>
      <w:r>
        <w:t>Este tribunal viene recordando que el art. 56.1 LOTC establece como principio general que “la interposición del recurso de amparo no suspenderá los efectos del acto o sentencia impugnados”, lo cual es consecuencia de la presunción de legitimidad que alcanza a todas las actuaciones de los poderes públicos, y que es inherente a la entera actividad pública, ya sea legislativa, ejecutiva o judicial. Este carácter restrictivo de la suspensión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(en este sentido, entre otros muchos, se pronuncian los AATC 2/2001, de 15 de enero, FJ 1; 4/2006, de 16 de enero, FJ 1; 127/2010, de 4 de octubre, FJ 1, y 38/2018, de 22 de marzo, FJ 3, por todos).</w:t>
      </w:r>
    </w:p>
    <w:p w14:paraId="3A9BE709" w14:textId="77777777" w:rsidR="00576A90" w:rsidRDefault="00576A90" w:rsidP="00576A90">
      <w:pPr>
        <w:pStyle w:val="TextoNormal"/>
      </w:pPr>
    </w:p>
    <w:p w14:paraId="126E2EE7" w14:textId="77777777" w:rsidR="00576A90" w:rsidRDefault="00576A90" w:rsidP="00576A90">
      <w:pPr>
        <w:pStyle w:val="TextoNormal"/>
      </w:pPr>
      <w:r>
        <w:t>Por ello la adopción de la medida cautelar de suspensión resulta pertinente solo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en el caso de una sentencia estimatoria de este tribunal, sea tardío e impida definitivamente que la restauración sea efectiva (por todos, AATC 198/2006, de 19 de junio, FJ 1, y 138/2022, de 24 de octubre, FJ 1). La acreditación del perjuicio es carga del recurrente, quien debe precisar los concretos perjuicios que de la ejecución se deriven, así como justificar o argumentar razonadamente la irreparabilidad de los mismos (por todos, ATC 39/2008, de 11 de febrero, FJ 1).</w:t>
      </w:r>
    </w:p>
    <w:p w14:paraId="26514244" w14:textId="77777777" w:rsidR="00576A90" w:rsidRDefault="00576A90" w:rsidP="00576A90">
      <w:pPr>
        <w:pStyle w:val="TextoNormal"/>
      </w:pPr>
    </w:p>
    <w:p w14:paraId="178F2686" w14:textId="43FB452E" w:rsidR="00576A90" w:rsidRDefault="00576A90" w:rsidP="00576A90">
      <w:pPr>
        <w:pStyle w:val="TextoNormal"/>
      </w:pPr>
      <w:r>
        <w:t>En este sentido, respecto de las resoluciones judiciales con contenido patrimonial este tribunal viene señalando que “en principio, no causan perjuicios irreparables por más que puedan producir efectos desfavorables a quien demanda el amparo, puesto que su reparación posterior, en caso de estimarse este, es meramente económica y por ello no dificultosa, por lo que, en general, no procede su suspensión” (entre otros muchos, AATC 275/1990, de 2 de julio, FJ 2; 95/2015, de 25 de mayo, FJ 2, y 69/2016 de 11 de abril, FJ 2).</w:t>
      </w:r>
    </w:p>
    <w:p w14:paraId="3B85B3DD" w14:textId="77777777" w:rsidR="00576A90" w:rsidRDefault="00576A90" w:rsidP="00576A90">
      <w:pPr>
        <w:pStyle w:val="TextoNormal"/>
      </w:pPr>
    </w:p>
    <w:p w14:paraId="49599B74" w14:textId="42B951EF" w:rsidR="00576A90" w:rsidRDefault="00576A90" w:rsidP="00576A90">
      <w:pPr>
        <w:pStyle w:val="TextoNormal"/>
      </w:pPr>
      <w:r w:rsidRPr="00576A90">
        <w:rPr>
          <w:rStyle w:val="NumeroAFNegritaCaracter"/>
        </w:rPr>
        <w:t>2</w:t>
      </w:r>
      <w:r>
        <w:t xml:space="preserve">. La aplicación de esta consolidada doctrina constitucional en el presente caso conduce derechamente al rechazo de la solicitud de suspensión de la ejecución de las providencias impugnadas, ante la falta de cumplimiento por parte del recurrente de la carga que le corresponde de precisar los concretos perjuicios que de la ejecución se deriven, así como justificar o argumentar razonadamente la irreparabilidad de estos, pues se limita a afirmar que la ejecución de esas resoluciones haría perder al amparo su finalidad, aludiendo al hecho de que la sociedad actora en ese proceso </w:t>
      </w:r>
      <w:r w:rsidRPr="00576A90">
        <w:rPr>
          <w:i/>
        </w:rPr>
        <w:t>a quo</w:t>
      </w:r>
      <w:r>
        <w:t xml:space="preserve"> tiene su domicilio social fuera de España. Asiste la razón al Ministerio Fiscal cuando señala que ese eventual perjuicio al que se refiere el recurrente en amparo derivaría no de la ejecución de las providencias recurridas en amparo, sino de la ejecución de una sentencia, no impugnada, que le condena al pago de una determinada cantidad, sin que conste siquiera si se ha ejecutado ese pronunciamiento condenatorio de contenido patrimonial.</w:t>
      </w:r>
    </w:p>
    <w:p w14:paraId="59CAB601" w14:textId="77777777" w:rsidR="00576A90" w:rsidRDefault="00576A90" w:rsidP="00576A90">
      <w:pPr>
        <w:pStyle w:val="TextoNormal"/>
      </w:pPr>
    </w:p>
    <w:p w14:paraId="05EEE682" w14:textId="77777777" w:rsidR="00576A90" w:rsidRDefault="00576A90" w:rsidP="00576A90">
      <w:pPr>
        <w:pStyle w:val="TextoNormal"/>
      </w:pPr>
      <w:r>
        <w:t>Por lo expuesto, la Sala</w:t>
      </w:r>
    </w:p>
    <w:p w14:paraId="51514BAC" w14:textId="36D0DE5A" w:rsidR="00576A90" w:rsidRDefault="00576A90" w:rsidP="00576A90">
      <w:pPr>
        <w:pStyle w:val="TextoNormal"/>
      </w:pPr>
    </w:p>
    <w:p w14:paraId="72B43415" w14:textId="77777777" w:rsidR="00576A90" w:rsidRDefault="00576A90" w:rsidP="00576A90">
      <w:pPr>
        <w:pStyle w:val="TextoNormalCentrado"/>
      </w:pPr>
      <w:r>
        <w:t>ACUERDA</w:t>
      </w:r>
    </w:p>
    <w:p w14:paraId="30F44310" w14:textId="25BD856C" w:rsidR="00576A90" w:rsidRDefault="00576A90" w:rsidP="00576A90">
      <w:pPr>
        <w:pStyle w:val="TextoNormalCentrado"/>
      </w:pPr>
    </w:p>
    <w:p w14:paraId="376B5F05" w14:textId="2D291B3C" w:rsidR="00576A90" w:rsidRDefault="00576A90" w:rsidP="00576A90">
      <w:pPr>
        <w:pStyle w:val="TextoNormal"/>
      </w:pPr>
      <w:r>
        <w:t>Denegar la suspensión solicitada.</w:t>
      </w:r>
    </w:p>
    <w:p w14:paraId="1F6238DC" w14:textId="77777777" w:rsidR="00576A90" w:rsidRDefault="00576A90" w:rsidP="00576A90">
      <w:pPr>
        <w:pStyle w:val="TextoNormal"/>
      </w:pPr>
    </w:p>
    <w:p w14:paraId="1CDD11B8" w14:textId="77777777" w:rsidR="00576A90" w:rsidRDefault="00576A90" w:rsidP="00576A90">
      <w:pPr>
        <w:pStyle w:val="TextoNormal"/>
      </w:pPr>
      <w:r>
        <w:t>Madrid, a tres de junio de dos mil veinticuatro.</w:t>
      </w:r>
    </w:p>
    <w:p w14:paraId="04967BED" w14:textId="1C1CE5AD" w:rsidR="00576A90" w:rsidRDefault="00576A90">
      <w:pPr>
        <w:spacing w:after="160" w:line="259" w:lineRule="auto"/>
        <w:rPr>
          <w:rFonts w:ascii="Times New Roman" w:eastAsia="Times New Roman" w:hAnsi="Times New Roman" w:cs="Times New Roman"/>
          <w:sz w:val="24"/>
          <w:szCs w:val="24"/>
          <w:lang w:eastAsia="es-ES"/>
        </w:rPr>
      </w:pPr>
      <w:r>
        <w:br w:type="page"/>
      </w:r>
    </w:p>
    <w:p w14:paraId="3E75D20A" w14:textId="77777777" w:rsidR="00576A90" w:rsidRDefault="00576A90" w:rsidP="00576A90">
      <w:pPr>
        <w:pStyle w:val="TtuloResolucin"/>
      </w:pPr>
      <w:bookmarkStart w:id="150" w:name="AUTO_2024_55"/>
      <w:r>
        <w:lastRenderedPageBreak/>
        <w:t>AUTO 55/2024, de 3 de junio de 2024</w:t>
      </w:r>
    </w:p>
    <w:bookmarkEnd w:id="150"/>
    <w:p w14:paraId="633A5963" w14:textId="77777777" w:rsidR="00576A90" w:rsidRDefault="00576A90" w:rsidP="00576A90">
      <w:pPr>
        <w:pStyle w:val="TtuloResolucin"/>
      </w:pPr>
      <w:r>
        <w:t>Sala Primera</w:t>
      </w:r>
    </w:p>
    <w:p w14:paraId="702F0FDD" w14:textId="77777777" w:rsidR="00576A90" w:rsidRDefault="00576A90" w:rsidP="00576A90">
      <w:pPr>
        <w:pStyle w:val="TextoNormalCentrado"/>
      </w:pPr>
      <w:r>
        <w:t>ECLI:ES:TC:2024:55A</w:t>
      </w:r>
    </w:p>
    <w:p w14:paraId="74659CBF" w14:textId="793B3A0D" w:rsidR="00576A90" w:rsidRDefault="00576A90" w:rsidP="00576A90">
      <w:pPr>
        <w:pStyle w:val="TextoNormalCentrado"/>
      </w:pPr>
    </w:p>
    <w:p w14:paraId="4068C437" w14:textId="77777777" w:rsidR="00576A90" w:rsidRDefault="00576A90" w:rsidP="00576A90">
      <w:pPr>
        <w:pStyle w:val="SntesisDescriptiva"/>
      </w:pPr>
      <w:r>
        <w:t>Excms. Srs. don Cándido Conde-Pumpido Tourón, don Ricardo Enríquez Sancho, doña Concepción Espejel Jorquera, doña María Luisa Segoviano Astaburuaga y don Juan Carlos Campo Moreno.</w:t>
      </w:r>
    </w:p>
    <w:p w14:paraId="27203D28" w14:textId="1AD6E054" w:rsidR="00576A90" w:rsidRDefault="00576A90" w:rsidP="00576A90">
      <w:pPr>
        <w:pStyle w:val="SntesisDescriptiva"/>
      </w:pPr>
    </w:p>
    <w:p w14:paraId="7F7EB81B" w14:textId="77777777" w:rsidR="00576A90" w:rsidRDefault="00576A90" w:rsidP="00576A90">
      <w:pPr>
        <w:pStyle w:val="SntesisDescriptiva"/>
      </w:pPr>
      <w:r>
        <w:t>Deniega la suspensión en el recurso de amparo 7510-2023, promovido por La Opinión de Málaga, S.L., en pleito civil.</w:t>
      </w:r>
    </w:p>
    <w:p w14:paraId="70D2BC36" w14:textId="5F8B5668" w:rsidR="00576A90" w:rsidRDefault="00576A90" w:rsidP="00576A90">
      <w:pPr>
        <w:pStyle w:val="SntesisDescriptiva"/>
      </w:pPr>
    </w:p>
    <w:p w14:paraId="699C2A8E" w14:textId="77777777" w:rsidR="00576A90" w:rsidRDefault="00576A90" w:rsidP="00576A90">
      <w:pPr>
        <w:pStyle w:val="SntesisDescriptiva"/>
      </w:pPr>
    </w:p>
    <w:p w14:paraId="167DA1F3" w14:textId="77777777" w:rsidR="00576A90" w:rsidRDefault="00576A90" w:rsidP="00576A90">
      <w:pPr>
        <w:pStyle w:val="SntesisDescriptiva"/>
      </w:pPr>
    </w:p>
    <w:p w14:paraId="49E936B6" w14:textId="77777777" w:rsidR="00576A90" w:rsidRDefault="00576A90" w:rsidP="00576A90">
      <w:pPr>
        <w:pStyle w:val="TextoNormalNegritaCentrado"/>
      </w:pPr>
      <w:r>
        <w:t>AUTO</w:t>
      </w:r>
    </w:p>
    <w:p w14:paraId="6575294B" w14:textId="5ABE199B" w:rsidR="00576A90" w:rsidRDefault="00576A90" w:rsidP="00576A90">
      <w:pPr>
        <w:pStyle w:val="TextoNormalNegritaCentrado"/>
      </w:pPr>
    </w:p>
    <w:p w14:paraId="0370C8EB" w14:textId="77777777" w:rsidR="00576A90" w:rsidRDefault="00576A90" w:rsidP="00576A90">
      <w:pPr>
        <w:pStyle w:val="TextoNormalNegritaCentrado"/>
        <w:keepNext/>
      </w:pPr>
      <w:r>
        <w:t>I. Antecedentes</w:t>
      </w:r>
    </w:p>
    <w:p w14:paraId="3EB57683" w14:textId="52904340" w:rsidR="00576A90" w:rsidRDefault="00576A90" w:rsidP="00576A90">
      <w:pPr>
        <w:pStyle w:val="TextoNormalNegritaCentrado"/>
        <w:keepNext/>
      </w:pPr>
    </w:p>
    <w:p w14:paraId="4F322B89" w14:textId="36408431" w:rsidR="00576A90" w:rsidRDefault="00576A90" w:rsidP="00576A90">
      <w:pPr>
        <w:pStyle w:val="TextoNormal"/>
      </w:pPr>
      <w:r w:rsidRPr="00576A90">
        <w:rPr>
          <w:rStyle w:val="NumeroAFNegritaCaracter"/>
        </w:rPr>
        <w:t>1</w:t>
      </w:r>
      <w:r>
        <w:t>. El día 28 de noviembre de 2023, La Opinión de Málaga, S.L., representada por la procuradora de los tribunales, doña Patricia Gómez Martínez, asistida por el letrado don Ramón Luis García García, interpuso recurso de amparo contra la sentencia núm. 1035/2023, de 27 de junio, de la Sala de lo Civil del Tribunal Supremo, y su providencia de 9 de octubre de 2023.</w:t>
      </w:r>
    </w:p>
    <w:p w14:paraId="25C8E2AB" w14:textId="77777777" w:rsidR="00576A90" w:rsidRDefault="00576A90" w:rsidP="00576A90">
      <w:pPr>
        <w:pStyle w:val="TextoNormal"/>
      </w:pPr>
    </w:p>
    <w:p w14:paraId="4A2E26D0" w14:textId="77777777" w:rsidR="00576A90" w:rsidRDefault="00576A90" w:rsidP="00576A90">
      <w:pPr>
        <w:pStyle w:val="TextoNormal"/>
      </w:pPr>
      <w:r w:rsidRPr="00576A90">
        <w:rPr>
          <w:rStyle w:val="NumeroAFNegritaCaracter"/>
        </w:rPr>
        <w:t>2</w:t>
      </w:r>
      <w:r>
        <w:t>. Los hechos relevantes son los siguientes:</w:t>
      </w:r>
    </w:p>
    <w:p w14:paraId="2FFC073E" w14:textId="77777777" w:rsidR="00576A90" w:rsidRDefault="00576A90" w:rsidP="00576A90">
      <w:pPr>
        <w:pStyle w:val="TextoNormal"/>
      </w:pPr>
    </w:p>
    <w:p w14:paraId="29F380CE" w14:textId="77777777" w:rsidR="00576A90" w:rsidRDefault="00576A90" w:rsidP="00576A90">
      <w:pPr>
        <w:pStyle w:val="TextoNormal"/>
      </w:pPr>
      <w:r>
        <w:t xml:space="preserve">a) Por sentencia de 11 de febrero de 2021 del Juzgado de Primera Instancia núm. 6 de L’Hospitalet de Llobregat se desestimó la demanda interpuesta por don Cristian Opazos Menor contra La Opinión de Málaga, S.L., en la que impetraba la tutela civil de su derecho al honor y a la propia imagen, solicitando el pago de una compensación económica y otras medidas reparadoras, por la difusión en la edición digital de dicho diario, de un vídeo reportaje elaborado por la agencia de noticias Atlas, perteneciente al Grupo Audiovisual Mediaset España Comunicación, S.A.U., en el que se informaba del asesinato de un interno en un centro penitenciario cometido por otro recluso, un boxeador apodado “el Nene”, reportaje que intercalaba imágenes de don Cristian Opazos Menor, en el que concurría la doble circunstancia de ser boxeador </w:t>
      </w:r>
      <w:r w:rsidRPr="00576A90">
        <w:rPr>
          <w:i/>
        </w:rPr>
        <w:t>amateur</w:t>
      </w:r>
      <w:r>
        <w:t xml:space="preserve"> y de estar interno en el mismo centro penitenciario. El juzgado consideró que la parte demandada se había limitado a reproducir el material obtenido de una agencia de noticias, citando su procedencia y sin reelaborarla, y que por tal motivo no era apreciable falta de diligencia.</w:t>
      </w:r>
    </w:p>
    <w:p w14:paraId="2BA6866E" w14:textId="77777777" w:rsidR="00576A90" w:rsidRDefault="00576A90" w:rsidP="00576A90">
      <w:pPr>
        <w:pStyle w:val="TextoNormal"/>
      </w:pPr>
    </w:p>
    <w:p w14:paraId="71E01E70" w14:textId="77777777" w:rsidR="00576A90" w:rsidRDefault="00576A90" w:rsidP="00576A90">
      <w:pPr>
        <w:pStyle w:val="TextoNormal"/>
      </w:pPr>
      <w:r>
        <w:t>b) Don Cristian Opazos Menor interpuso recurso de apelación que fue desestimado por sentencia de 28 de marzo de 2022 de la Sección Decimoséptima de la Audiencia Provincial de Barcelona, que consideró aplicable la doctrina del reportaje neutral porque la demandada transmitió la noticia pero no la hizo propia, por lo que no era responsable del error.</w:t>
      </w:r>
    </w:p>
    <w:p w14:paraId="202A8575" w14:textId="77777777" w:rsidR="00576A90" w:rsidRDefault="00576A90" w:rsidP="00576A90">
      <w:pPr>
        <w:pStyle w:val="TextoNormal"/>
      </w:pPr>
    </w:p>
    <w:p w14:paraId="41B00457" w14:textId="4FFFFD1C" w:rsidR="00576A90" w:rsidRDefault="00576A90" w:rsidP="00576A90">
      <w:pPr>
        <w:pStyle w:val="TextoNormal"/>
      </w:pPr>
      <w:r>
        <w:t xml:space="preserve">c) Don Cristian Opazos Menor interpuso recurso de casación que fue estimado parcialmente en sentencia núm. 1035/2023, de 27 de junio, de la Sala de lo Civil del Tribunal </w:t>
      </w:r>
      <w:r>
        <w:lastRenderedPageBreak/>
        <w:t>Supremo, que, remitiéndose a los fundamentos de un pronunciamiento anterior, declaró que La Opinión de Málaga, S.L., había incurrido en intromisión ilegítima en su derecho al honor y a la propia imagen, no siendo de aplicación al caso la doctrina del reportaje neutral, y le imponía el pago de una indemnización de 3000 € en concepto de daño moral, junto con otras medidas de reparación. Contra esta sentencia, La Opinión de Málaga, S.L., promovió incidente de nulidad de actuaciones que fue inadmitido por providencia de 9 de octubre de 2023.</w:t>
      </w:r>
    </w:p>
    <w:p w14:paraId="0BC7037E" w14:textId="77777777" w:rsidR="00576A90" w:rsidRDefault="00576A90" w:rsidP="00576A90">
      <w:pPr>
        <w:pStyle w:val="TextoNormal"/>
      </w:pPr>
    </w:p>
    <w:p w14:paraId="12256265" w14:textId="4A87847A" w:rsidR="00576A90" w:rsidRDefault="00576A90" w:rsidP="00576A90">
      <w:pPr>
        <w:pStyle w:val="TextoNormal"/>
      </w:pPr>
      <w:r w:rsidRPr="00576A90">
        <w:rPr>
          <w:rStyle w:val="NumeroAFNegritaCaracter"/>
        </w:rPr>
        <w:t>3</w:t>
      </w:r>
      <w:r>
        <w:t>. En su demanda de amparo, La Opinión de Málaga, S.L., denuncia que la sentencia de la Sala de lo Civil del Tribunal Supremo ha vulnerado su derecho a la libertad de información [art. 20.1 d) CE] en conexión con el derecho a la tutela judicial efectiva (art. 24.1 CE), entre otros motivos, porque rehúsa aplicar la doctrina del reportaje neutral mediante un matiz que genera inseguridad jurídica, al exigir al medio que transmite la noticia un deber de vigilancia que lo vacía de contenido. En el suplico solicita la nulidad de la sentencia, y, por otrosí, la suspensión de su fallo “habida cuenta de que su ejecución puede producir un perjuicio irreparable, en el sentido de no poder recuperar el importe de la condena dineraria, en caso de que fuera estimada la nulidad solicitada”.</w:t>
      </w:r>
    </w:p>
    <w:p w14:paraId="2206AC08" w14:textId="77777777" w:rsidR="00576A90" w:rsidRDefault="00576A90" w:rsidP="00576A90">
      <w:pPr>
        <w:pStyle w:val="TextoNormal"/>
      </w:pPr>
    </w:p>
    <w:p w14:paraId="7CAF5FC8" w14:textId="1801949B" w:rsidR="00576A90" w:rsidRDefault="00576A90" w:rsidP="00576A90">
      <w:pPr>
        <w:pStyle w:val="TextoNormal"/>
      </w:pPr>
      <w:r w:rsidRPr="00576A90">
        <w:rPr>
          <w:rStyle w:val="NumeroAFNegritaCaracter"/>
        </w:rPr>
        <w:t>4</w:t>
      </w:r>
      <w:r>
        <w:t>. Por providencia de 8 de abril de 2024, la Sección Primera de este tribunal admitió a trámite el recurso de amparo, apreciando la concurrencia de una especial trascendencia constitucional porque plantea un problema o afecta a una faceta de un derecho fundamental sobre el que no hay doctrina de este tribunal [STC 155/2009, de 25 de junio, FJ 2 a)].</w:t>
      </w:r>
    </w:p>
    <w:p w14:paraId="3E0F24DC" w14:textId="77777777" w:rsidR="00576A90" w:rsidRDefault="00576A90" w:rsidP="00576A90">
      <w:pPr>
        <w:pStyle w:val="TextoNormal"/>
      </w:pPr>
    </w:p>
    <w:p w14:paraId="0D62E376" w14:textId="58F6561F" w:rsidR="00576A90" w:rsidRDefault="00576A90" w:rsidP="00576A90">
      <w:pPr>
        <w:pStyle w:val="TextoNormal"/>
      </w:pPr>
      <w:r w:rsidRPr="00576A90">
        <w:rPr>
          <w:rStyle w:val="NumeroAFNegritaCaracter"/>
        </w:rPr>
        <w:t>5</w:t>
      </w:r>
      <w:r>
        <w:t>. Por providencia de la misma fecha se acordó formar pieza separada de suspensión y conceder, conforme a lo previsto en el art. 56 de la Ley Orgánica del Tribunal Constitucional (LOTC), un plazo común de tres días al Ministerio Fiscal y a la solicitante de amparo para presentar alegaciones sobre la suspensión pedida.</w:t>
      </w:r>
    </w:p>
    <w:p w14:paraId="6D637B21" w14:textId="77777777" w:rsidR="00576A90" w:rsidRDefault="00576A90" w:rsidP="00576A90">
      <w:pPr>
        <w:pStyle w:val="TextoNormal"/>
      </w:pPr>
    </w:p>
    <w:p w14:paraId="3036D72D" w14:textId="42E9A254" w:rsidR="00576A90" w:rsidRDefault="00576A90" w:rsidP="00576A90">
      <w:pPr>
        <w:pStyle w:val="TextoNormal"/>
      </w:pPr>
      <w:r w:rsidRPr="00576A90">
        <w:rPr>
          <w:rStyle w:val="NumeroAFNegritaCaracter"/>
        </w:rPr>
        <w:t>6</w:t>
      </w:r>
      <w:r>
        <w:t>. Por escrito presentado el 12 de abril de 2024, la entidad demandante se ratificó en la solicitud de suspensión y sus fundamentos, añadiendo que ningún perjuicio sufriría la otra parte al haberse consignado en el juzgado el importe de la condena.</w:t>
      </w:r>
    </w:p>
    <w:p w14:paraId="1D899C2A" w14:textId="77777777" w:rsidR="00576A90" w:rsidRDefault="00576A90" w:rsidP="00576A90">
      <w:pPr>
        <w:pStyle w:val="TextoNormal"/>
      </w:pPr>
    </w:p>
    <w:p w14:paraId="72DA9EDC" w14:textId="44A39484" w:rsidR="00576A90" w:rsidRDefault="00576A90" w:rsidP="00576A90">
      <w:pPr>
        <w:pStyle w:val="TextoNormal"/>
      </w:pPr>
      <w:r w:rsidRPr="00576A90">
        <w:rPr>
          <w:rStyle w:val="NumeroAFNegritaCaracter"/>
        </w:rPr>
        <w:t>7</w:t>
      </w:r>
      <w:r>
        <w:t>. Por escrito presentado el 26 de abril de 2024, el fiscal ante el Tribunal Constitucional presentó alegaciones en las que interesó la denegación de la medida cautelar solicitada porque: (i) según la doctrina constitucional los perjuicios de contenido patrimonial no pueden considerarse, en principio, causa suficiente para acordar la suspensión de una resolución judicial firme, salvo que se trate de perjuicios difícilmente reparables por su entidad o por la irreversibilidad de las situaciones jurídicas que puedan producirse, y (ii) la demandante no ha levantado la carga de acreditar que la ejecución de la resolución judicial vaya a producirle un perjuicio que haga perder al amparo su finalidad.</w:t>
      </w:r>
    </w:p>
    <w:p w14:paraId="62CCEC59" w14:textId="77777777" w:rsidR="00576A90" w:rsidRDefault="00576A90" w:rsidP="00576A90">
      <w:pPr>
        <w:pStyle w:val="TextoNormal"/>
      </w:pPr>
    </w:p>
    <w:p w14:paraId="7AFA7470" w14:textId="77777777" w:rsidR="00576A90" w:rsidRDefault="00576A90" w:rsidP="00576A90">
      <w:pPr>
        <w:pStyle w:val="TextoNormalNegritaCentrado"/>
        <w:keepNext/>
      </w:pPr>
      <w:r>
        <w:t>II. Fundamentos jurídicos</w:t>
      </w:r>
    </w:p>
    <w:p w14:paraId="4964D3CF" w14:textId="3C1E8C55" w:rsidR="00576A90" w:rsidRDefault="00576A90" w:rsidP="00576A90">
      <w:pPr>
        <w:pStyle w:val="TextoNormalNegritaCentrado"/>
        <w:keepNext/>
      </w:pPr>
    </w:p>
    <w:p w14:paraId="44B0A22A" w14:textId="3423D2A1" w:rsidR="00576A90" w:rsidRDefault="00576A90" w:rsidP="00576A90">
      <w:pPr>
        <w:pStyle w:val="TextoNormal"/>
      </w:pPr>
      <w:r w:rsidRPr="00576A90">
        <w:rPr>
          <w:rStyle w:val="NumeroAFNegritaCaracter"/>
        </w:rPr>
        <w:t>1</w:t>
      </w:r>
      <w:r>
        <w:t>. Como se refleja en los antecedentes, la sociedad demandante solicita la suspensión de la ejecución del fallo de la sentencia núm. 1035/2023, de 27 de junio, de la Sala de lo Civil del Tribunal Supremo, que le condena al pago de una indemnización de 3000 €. Ale</w:t>
      </w:r>
      <w:r>
        <w:lastRenderedPageBreak/>
        <w:t>ga el perjuicio que le irrogaría no poder recuperar dicha cantidad en caso de ser estimado el amparo. El fiscal en su escrito de alegaciones interesa la desestimación de la medida cautelar, con cita de doctrina constitucional que establece que los perjuicios de naturaleza patrimonial no deben tener la consideración de irreparables, a los efectos del art. 56 LOTC, salvo casos excepcionales, y que no se ha cumplido la carga de determinar, más allá de la genérica afirmación del perjuicio patrimonial, que la ejecución de la resolución judicial pudiera hacer perder al amparo su finalidad.</w:t>
      </w:r>
    </w:p>
    <w:p w14:paraId="04D0FC10" w14:textId="77777777" w:rsidR="00576A90" w:rsidRDefault="00576A90" w:rsidP="00576A90">
      <w:pPr>
        <w:pStyle w:val="TextoNormal"/>
      </w:pPr>
    </w:p>
    <w:p w14:paraId="2B4AB49B" w14:textId="77777777" w:rsidR="00576A90" w:rsidRDefault="00576A90" w:rsidP="00576A90">
      <w:pPr>
        <w:pStyle w:val="TextoNormal"/>
      </w:pPr>
      <w:r w:rsidRPr="00576A90">
        <w:rPr>
          <w:rStyle w:val="NumeroAFNegritaCaracter"/>
        </w:rPr>
        <w:t>2</w:t>
      </w:r>
      <w:r>
        <w:t>. El art. 56.2 LOTC dispone que cuando la ejecución del acto o sentencia impugnados produzca un perjuicio al recurrente que pudiera hacer perder al amparo su finalidad, se podrá acordar, de oficio o a instancia del recurrente, la suspensión, total o parcial, de sus efectos, siempre y cuando la suspensión no ocasione perturbación grave a un interés constitucionalmente protegido, ni a los derechos fundamentales o libertades de otra persona.</w:t>
      </w:r>
    </w:p>
    <w:p w14:paraId="3F41830D" w14:textId="77777777" w:rsidR="00576A90" w:rsidRDefault="00576A90" w:rsidP="00576A90">
      <w:pPr>
        <w:pStyle w:val="TextoNormal"/>
      </w:pPr>
    </w:p>
    <w:p w14:paraId="5E54F4B1" w14:textId="77777777" w:rsidR="00576A90" w:rsidRDefault="00576A90" w:rsidP="00576A90">
      <w:pPr>
        <w:pStyle w:val="TextoNormal"/>
      </w:pPr>
      <w:r>
        <w:t>Se trata de una medida de carácter excepcional y de aplicación restrictiva (por todos, AATC 117/2015, de 6 de julio, FJ 1, y 59/2017, de 24 de abril, FJ 1), por lo que la regla general es la improcedencia de la suspensión de las resoluciones judiciales, por la perturbación de la función jurisdiccional que la misma supone, salvo en los casos en los que se acredite tanto el carácter irreparable del perjuicio para los derechos fundamentales, como la pérdida de la finalidad del amparo en caso de mantenerse la ejecución de la resolución (por todos, AATC 40/2008, de 11 de febrero; 59/2008, de 20 de febrero; 2/2009, de 12 de enero, y 12/2009, de 26 de enero).</w:t>
      </w:r>
    </w:p>
    <w:p w14:paraId="2740B630" w14:textId="77777777" w:rsidR="00576A90" w:rsidRDefault="00576A90" w:rsidP="00576A90">
      <w:pPr>
        <w:pStyle w:val="TextoNormal"/>
      </w:pPr>
    </w:p>
    <w:p w14:paraId="6044DFB0" w14:textId="77777777" w:rsidR="00576A90" w:rsidRDefault="00576A90" w:rsidP="00576A90">
      <w:pPr>
        <w:pStyle w:val="TextoNormal"/>
      </w:pPr>
      <w:r>
        <w:t>Por perjuicio irreparable se ha de entender aquel que provoque que el restablecimiento del recurrente en el derecho constitucional vulnerado sea tardío y convierta el amparo en meramente ilusorio y nominal (por todos, AATC 274/2008, de 15 de septiembre; 26/2009, de 26 de enero, y 173/2009, de 1 de junio). La protección del interés general que subyace a la ejecución de lo juzgado debe ceder en aquellos supuestos en los que, de no acordarse la suspensión, el amparo perdería toda finalidad, lo que explica que, en principio, proceda suspender aquellos pronunciamientos judiciales que no admiten la reparación o la restitución íntegra de lo ejecutado (AATC 44/2008, de 11 de febrero, FJ 1; 59/2008, FJ 1; 67/2008, de 25 de febrero, FJ 1; 109/2008, de 14 de abril, FJ 1; 111/2008, de 14 de abril, FJ 1; 118/2008, de 28 de abril, FJ 1, y 172/2008, de 23 de junio, FJ 1).</w:t>
      </w:r>
    </w:p>
    <w:p w14:paraId="1C933914" w14:textId="77777777" w:rsidR="00576A90" w:rsidRDefault="00576A90" w:rsidP="00576A90">
      <w:pPr>
        <w:pStyle w:val="TextoNormal"/>
      </w:pPr>
    </w:p>
    <w:p w14:paraId="09CC8306" w14:textId="77777777" w:rsidR="00576A90" w:rsidRDefault="00576A90" w:rsidP="00576A90">
      <w:pPr>
        <w:pStyle w:val="TextoNormal"/>
      </w:pPr>
      <w:r>
        <w:t>Este tribunal ha establecido asimismo, como criterio general, la improcedencia de la suspensión de la ejecución de aquellos fallos judiciales que admiten la restitución íntegra de lo ejecutado —como sucede, como regla general, en las condenas de contenido patrimonial— a diferencia de aquellos otros en los que, por afectar a bienes o derechos del recurrente de imposible o muy difícil restitución a su estado anterior, procede acordarla, lo cual sucede, por ejemplo, en las condenas a penas privativas de libertad (por todos, AATC 251/2000, de 30 de octubre, FJ 1; 63/2001, de 26 de marzo, FJ 1; 170/2001, de 22 de junio, FJ 1; 9/2003, de 20 de enero, FJ 1; 338/2005, de 26 de septiembre, FJ 1; 286/2007, de 18 de junio, FJ 1, y 233/2008, de 21 de julio, FJ 1).</w:t>
      </w:r>
    </w:p>
    <w:p w14:paraId="5CE8C7CA" w14:textId="77777777" w:rsidR="00576A90" w:rsidRDefault="00576A90" w:rsidP="00576A90">
      <w:pPr>
        <w:pStyle w:val="TextoNormal"/>
      </w:pPr>
    </w:p>
    <w:p w14:paraId="4EE4ACB0" w14:textId="77777777" w:rsidR="00576A90" w:rsidRDefault="00576A90" w:rsidP="00576A90">
      <w:pPr>
        <w:pStyle w:val="TextoNormal"/>
      </w:pPr>
      <w:r>
        <w:t xml:space="preserve">Se ha accedido a la suspensión en casos en que la ejecución acarrea perjuicios patrimoniales difícilmente reparables por su entidad, por la imposibilidad de repercutir su costo o por la irreversibilidad de las situaciones jurídicas que puedan producirse, como cuando se </w:t>
      </w:r>
      <w:r>
        <w:lastRenderedPageBreak/>
        <w:t>produce la transmisión irrecuperable del dominio sobre un bien determinado (AATC 565/1986, de 2 de julio, FJ único, y 52/1989, de 30 de enero, FJ único).</w:t>
      </w:r>
    </w:p>
    <w:p w14:paraId="61BDF81A" w14:textId="77777777" w:rsidR="00576A90" w:rsidRDefault="00576A90" w:rsidP="00576A90">
      <w:pPr>
        <w:pStyle w:val="TextoNormal"/>
      </w:pPr>
    </w:p>
    <w:p w14:paraId="42BC8172" w14:textId="1C52B429" w:rsidR="00576A90" w:rsidRDefault="00576A90" w:rsidP="00576A90">
      <w:pPr>
        <w:pStyle w:val="TextoNormal"/>
      </w:pPr>
      <w:r>
        <w:t>Adicionalmente, este tribunal viene exigiendo a quien solicita la adopción de la medida cautelar de suspensión del acto o resolución judicial recurrido que alegue o justifique, ofreciendo un principio razonable de prueba, el carácter no reparable o la dificultad de la reparación de los perjuicios derivados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FJ 1, y 147/2017, de 13 de noviembre, FJ 1].</w:t>
      </w:r>
    </w:p>
    <w:p w14:paraId="55A2F100" w14:textId="77777777" w:rsidR="00576A90" w:rsidRDefault="00576A90" w:rsidP="00576A90">
      <w:pPr>
        <w:pStyle w:val="TextoNormal"/>
      </w:pPr>
    </w:p>
    <w:p w14:paraId="30FDDFDA" w14:textId="46FD67BE" w:rsidR="00576A90" w:rsidRDefault="00576A90" w:rsidP="00576A90">
      <w:pPr>
        <w:pStyle w:val="TextoNormal"/>
      </w:pPr>
      <w:r w:rsidRPr="00576A90">
        <w:rPr>
          <w:rStyle w:val="NumeroAFNegritaCaracter"/>
        </w:rPr>
        <w:t>3</w:t>
      </w:r>
      <w:r>
        <w:t>. La aplicación de la doctrina constitucional expuesta al caso aquí examinado conduce, de acuerdo con lo manifestado en sus alegaciones por el fiscal, a declarar improcedente la suspensión solicitada, porque la demandante se limita a afirmar que el pago de la indemnización que le ha sido impuesta —cuyo importe ya ha consignado, según manifiesta en sus alegaciones posteriores— le puede ocasionar un perjuicio irreparable. Se trata de una afirmación apodíctica, que no sirve para alzar la carga procesal que corresponde a todo recurrente que pretende la suspensión de la ejecutividad de una resolución judicial firme, porque en su argumentación no se atisba razón alguna que permita considerar, de una manera objetiva y fundada, que el pago de la condena vaya a ocasionar una situación irreversible que convierta en ilusorio y nominal el amparo solicitado de este tribunal.</w:t>
      </w:r>
    </w:p>
    <w:p w14:paraId="454F651D" w14:textId="77777777" w:rsidR="00576A90" w:rsidRDefault="00576A90" w:rsidP="00576A90">
      <w:pPr>
        <w:pStyle w:val="TextoNormal"/>
      </w:pPr>
    </w:p>
    <w:p w14:paraId="490171D5" w14:textId="77777777" w:rsidR="00576A90" w:rsidRDefault="00576A90" w:rsidP="00576A90">
      <w:pPr>
        <w:pStyle w:val="TextoNormal"/>
      </w:pPr>
      <w:r>
        <w:t>Por lo expuesto, la Sala</w:t>
      </w:r>
    </w:p>
    <w:p w14:paraId="622C3CDC" w14:textId="56279EBC" w:rsidR="00576A90" w:rsidRDefault="00576A90" w:rsidP="00576A90">
      <w:pPr>
        <w:pStyle w:val="TextoNormal"/>
      </w:pPr>
    </w:p>
    <w:p w14:paraId="112B1368" w14:textId="77777777" w:rsidR="00576A90" w:rsidRDefault="00576A90" w:rsidP="00576A90">
      <w:pPr>
        <w:pStyle w:val="TextoNormalCentrado"/>
      </w:pPr>
      <w:r>
        <w:t>ACUERDA</w:t>
      </w:r>
    </w:p>
    <w:p w14:paraId="229F9C51" w14:textId="603CA24B" w:rsidR="00576A90" w:rsidRDefault="00576A90" w:rsidP="00576A90">
      <w:pPr>
        <w:pStyle w:val="TextoNormalCentrado"/>
      </w:pPr>
    </w:p>
    <w:p w14:paraId="04E44AAA" w14:textId="45110186" w:rsidR="00576A90" w:rsidRDefault="00576A90" w:rsidP="00576A90">
      <w:pPr>
        <w:pStyle w:val="TextoNormal"/>
      </w:pPr>
      <w:r>
        <w:t>Denegar la suspensión solicitada.</w:t>
      </w:r>
    </w:p>
    <w:p w14:paraId="5DE71CFE" w14:textId="77777777" w:rsidR="00576A90" w:rsidRDefault="00576A90" w:rsidP="00576A90">
      <w:pPr>
        <w:pStyle w:val="TextoNormal"/>
      </w:pPr>
    </w:p>
    <w:p w14:paraId="0534E8D8" w14:textId="77777777" w:rsidR="00576A90" w:rsidRDefault="00576A90" w:rsidP="00576A90">
      <w:pPr>
        <w:pStyle w:val="TextoNormal"/>
      </w:pPr>
      <w:r>
        <w:t>Madrid, a tres de junio de dos mil veinticuatro.</w:t>
      </w:r>
    </w:p>
    <w:p w14:paraId="6813B427" w14:textId="56F339F9" w:rsidR="00576A90" w:rsidRDefault="00576A90">
      <w:pPr>
        <w:spacing w:after="160" w:line="259" w:lineRule="auto"/>
        <w:rPr>
          <w:rFonts w:ascii="Times New Roman" w:eastAsia="Times New Roman" w:hAnsi="Times New Roman" w:cs="Times New Roman"/>
          <w:sz w:val="24"/>
          <w:szCs w:val="24"/>
          <w:lang w:eastAsia="es-ES"/>
        </w:rPr>
      </w:pPr>
      <w:r>
        <w:br w:type="page"/>
      </w:r>
    </w:p>
    <w:p w14:paraId="5CDA9AF7" w14:textId="77777777" w:rsidR="00576A90" w:rsidRDefault="00576A90" w:rsidP="00576A90">
      <w:pPr>
        <w:pStyle w:val="TtuloResolucin"/>
      </w:pPr>
      <w:bookmarkStart w:id="151" w:name="AUTO_2024_56"/>
      <w:r>
        <w:lastRenderedPageBreak/>
        <w:t>AUTO 56/2024, de 4 de junio de 2024</w:t>
      </w:r>
    </w:p>
    <w:bookmarkEnd w:id="151"/>
    <w:p w14:paraId="100FD4AA" w14:textId="77777777" w:rsidR="00576A90" w:rsidRDefault="00576A90" w:rsidP="00576A90">
      <w:pPr>
        <w:pStyle w:val="TtuloResolucin"/>
      </w:pPr>
      <w:r>
        <w:t>Pleno</w:t>
      </w:r>
    </w:p>
    <w:p w14:paraId="22B37FEE" w14:textId="77777777" w:rsidR="00576A90" w:rsidRDefault="00576A90" w:rsidP="00576A90">
      <w:pPr>
        <w:pStyle w:val="TextoNormalCentrado"/>
      </w:pPr>
      <w:r>
        <w:t>ECLI:ES:TC:2024:56A</w:t>
      </w:r>
    </w:p>
    <w:p w14:paraId="1996A7DA" w14:textId="43B21A9B" w:rsidR="00576A90" w:rsidRDefault="00576A90" w:rsidP="00576A90">
      <w:pPr>
        <w:pStyle w:val="TextoNormalCentrado"/>
      </w:pPr>
    </w:p>
    <w:p w14:paraId="6BFDB7C6" w14:textId="77777777" w:rsidR="00576A90" w:rsidRDefault="00576A90" w:rsidP="00576A90">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Juan Carlos Campo Moreno y doña Laura Díez Bueso.</w:t>
      </w:r>
    </w:p>
    <w:p w14:paraId="71784A18" w14:textId="7E5DB535" w:rsidR="00576A90" w:rsidRDefault="00576A90" w:rsidP="00576A90">
      <w:pPr>
        <w:pStyle w:val="SntesisDescriptiva"/>
      </w:pPr>
    </w:p>
    <w:p w14:paraId="7F6E3638" w14:textId="77777777" w:rsidR="00576A90" w:rsidRDefault="00576A90" w:rsidP="00576A90">
      <w:pPr>
        <w:pStyle w:val="SntesisDescriptiva"/>
      </w:pPr>
      <w:r>
        <w:t>Acepta una abstención en la cuestión de inconstitucionalidad 2714-2024, planteada por la Sala de lo Contencioso-Administrativo del Tribunal Superior de Justicia de Madrid, en relación con el artículo 23 de la Ley 38/1988, de 28 de diciembre, de demarcación y de planta judicial.</w:t>
      </w:r>
    </w:p>
    <w:p w14:paraId="29DDB8A9" w14:textId="7725C7C8" w:rsidR="00576A90" w:rsidRDefault="00576A90" w:rsidP="00576A90">
      <w:pPr>
        <w:pStyle w:val="SntesisDescriptiva"/>
      </w:pPr>
    </w:p>
    <w:p w14:paraId="5298D874" w14:textId="77777777" w:rsidR="00576A90" w:rsidRDefault="00576A90" w:rsidP="00576A90">
      <w:pPr>
        <w:pStyle w:val="SntesisDescriptiva"/>
      </w:pPr>
    </w:p>
    <w:p w14:paraId="4B60D63E" w14:textId="77777777" w:rsidR="00576A90" w:rsidRDefault="00576A90" w:rsidP="00576A90">
      <w:pPr>
        <w:pStyle w:val="SntesisDescriptiva"/>
      </w:pPr>
    </w:p>
    <w:p w14:paraId="379E5F3A" w14:textId="77777777" w:rsidR="00576A90" w:rsidRDefault="00576A90" w:rsidP="00576A90">
      <w:pPr>
        <w:pStyle w:val="TextoNormalNegritaCentrado"/>
      </w:pPr>
      <w:r>
        <w:t>AUTO</w:t>
      </w:r>
    </w:p>
    <w:p w14:paraId="4B3A1FA8" w14:textId="0FDD4B4C" w:rsidR="00576A90" w:rsidRDefault="00576A90" w:rsidP="00576A90">
      <w:pPr>
        <w:pStyle w:val="TextoNormalNegritaCentrado"/>
      </w:pPr>
    </w:p>
    <w:p w14:paraId="298CE33D" w14:textId="77777777" w:rsidR="00576A90" w:rsidRDefault="00576A90" w:rsidP="00576A90">
      <w:pPr>
        <w:pStyle w:val="TextoNormalNegritaCentrado"/>
        <w:keepNext/>
      </w:pPr>
      <w:r>
        <w:t>I. Antecedentes</w:t>
      </w:r>
    </w:p>
    <w:p w14:paraId="43A213AD" w14:textId="3BD9B1F5" w:rsidR="00576A90" w:rsidRDefault="00576A90" w:rsidP="00576A90">
      <w:pPr>
        <w:pStyle w:val="TextoNormalNegritaCentrado"/>
        <w:keepNext/>
      </w:pPr>
    </w:p>
    <w:p w14:paraId="7DD3E69B" w14:textId="5B626A54" w:rsidR="00576A90" w:rsidRDefault="00576A90" w:rsidP="00576A90">
      <w:pPr>
        <w:pStyle w:val="TextoNormal"/>
      </w:pPr>
      <w:r w:rsidRPr="00576A90">
        <w:rPr>
          <w:rStyle w:val="NumeroAFNegritaCaracter"/>
        </w:rPr>
        <w:t>1</w:t>
      </w:r>
      <w:r>
        <w:t>. Con fecha 18 de abril de 2024 tuvo entrada en el registro de este tribunal un oficio de la Sección Séptima de la Sala de lo Contencioso-Administrativo del Tribunal Superior de Justicia de Madrid, al que se acompañaba, junto al testimonio del procedimiento ordinario núm. 682-2022 y del auto de 11 de abril de 2024, por el que se acuerda plantear cuestión de inconstitucionalidad en relación con el art. 23 de la Ley 38/1988, de 28 de diciembre, de demarcación y de planta judicial, por su posible contradicción con los arts. 14 y 23 CE.</w:t>
      </w:r>
    </w:p>
    <w:p w14:paraId="3A5109C8" w14:textId="77777777" w:rsidR="00576A90" w:rsidRDefault="00576A90" w:rsidP="00576A90">
      <w:pPr>
        <w:pStyle w:val="TextoNormal"/>
      </w:pPr>
    </w:p>
    <w:p w14:paraId="26BDD03A" w14:textId="0B4162E8" w:rsidR="00576A90" w:rsidRDefault="00576A90" w:rsidP="00576A90">
      <w:pPr>
        <w:pStyle w:val="TextoNormal"/>
      </w:pPr>
      <w:r w:rsidRPr="00576A90">
        <w:rPr>
          <w:rStyle w:val="NumeroAFNegritaCaracter"/>
        </w:rPr>
        <w:t>2</w:t>
      </w:r>
      <w:r>
        <w:t>. Por escrito de 27 de mayo de 2024, el magistrado don César Tolosa Tribiño comunicó su abstención en el presente recurso de amparo y todas sus incidencias, por entender que concurrían las causas establecidas en el artículo 219.12, 13 y 16 de la Ley Orgánica del Poder Judicial (LOPJ), toda vez que el procedimiento de inconstitucionalidad trae causa de la reclamación administrativa y posterior recurso contencioso-administrativo formulados por M.T.H. frente al Ministerio de Justicia por no reconocerle el complemento específico como letrada coordinadora del área de lo contencioso-administrativo del Gabinete Técnico del Tribunal Supremo. Indica que las retribuciones controvertidas se devengaron en el periodo en que M.T.H. dependía funcionalmente del magistrado en tanto presidente de la Sala de lo Contencioso-Administrativo del Tribunal Supremo, que en dicha condición firmó una petición dirigida al indicado ministerio a fin de que se le reconociera el referido complemento, formando criterio sobre la viabilidad de la reclamación de la que trae causa el presente procedimiento de inconstitucionalidad.</w:t>
      </w:r>
    </w:p>
    <w:p w14:paraId="41B66628" w14:textId="77777777" w:rsidR="00576A90" w:rsidRDefault="00576A90" w:rsidP="00576A90">
      <w:pPr>
        <w:pStyle w:val="TextoNormal"/>
      </w:pPr>
    </w:p>
    <w:p w14:paraId="391314A8" w14:textId="77777777" w:rsidR="00576A90" w:rsidRDefault="00576A90" w:rsidP="00576A90">
      <w:pPr>
        <w:pStyle w:val="TextoNormalNegritaCentrado"/>
        <w:keepNext/>
      </w:pPr>
      <w:r>
        <w:t>II. Fundamentos jurídicos</w:t>
      </w:r>
    </w:p>
    <w:p w14:paraId="17B5C5A1" w14:textId="336B5E72" w:rsidR="00576A90" w:rsidRDefault="00576A90" w:rsidP="00576A90">
      <w:pPr>
        <w:pStyle w:val="TextoNormalNegritaCentrado"/>
        <w:keepNext/>
      </w:pPr>
    </w:p>
    <w:p w14:paraId="120F14D1" w14:textId="1D12935B" w:rsidR="00576A90" w:rsidRDefault="00576A90" w:rsidP="00576A90">
      <w:pPr>
        <w:pStyle w:val="TextoNormal"/>
      </w:pPr>
      <w:r w:rsidRPr="00576A90">
        <w:rPr>
          <w:rStyle w:val="TextoNormalNegritaCaracter"/>
        </w:rPr>
        <w:t xml:space="preserve">Único. </w:t>
      </w:r>
      <w:r>
        <w:t xml:space="preserve">Vista la comunicación efectuada por don César Tolosa Tribiño, magistrado de este tribunal, en virtud de lo previsto en los arts. 80 de la Ley Orgánica del Tribunal Constitucional y 221.4 LOPJ, se estiman justificadas las causas de abstención formuladas, </w:t>
      </w:r>
      <w:r>
        <w:lastRenderedPageBreak/>
        <w:t>puesto que atendida la dependencia funcional que tenía M.T.H. en el momento de la reclamación administrativa formulada y la intervención que efectuó en apoyo de dicha reclamación, que obra en el expediente administrativo, en la que anticipó criterio sobre el fondo de la cuestión de la que trae causa el presente proceso de inconstitucionalidad, está incurso en las causas de abstención de los párrafos 12, 13 y 16 del art. 219 LOPJ.</w:t>
      </w:r>
    </w:p>
    <w:p w14:paraId="15BAE99D" w14:textId="77777777" w:rsidR="00576A90" w:rsidRDefault="00576A90" w:rsidP="00576A90">
      <w:pPr>
        <w:pStyle w:val="TextoNormal"/>
      </w:pPr>
    </w:p>
    <w:p w14:paraId="06F3D748" w14:textId="77777777" w:rsidR="00576A90" w:rsidRDefault="00576A90" w:rsidP="00576A90">
      <w:pPr>
        <w:pStyle w:val="TextoNormal"/>
      </w:pPr>
      <w:r>
        <w:t>Por lo expuesto, el Pleno</w:t>
      </w:r>
    </w:p>
    <w:p w14:paraId="3EC7DDF3" w14:textId="149A852D" w:rsidR="00576A90" w:rsidRDefault="00576A90" w:rsidP="00576A90">
      <w:pPr>
        <w:pStyle w:val="TextoNormal"/>
      </w:pPr>
    </w:p>
    <w:p w14:paraId="04AC6919" w14:textId="77777777" w:rsidR="00576A90" w:rsidRDefault="00576A90" w:rsidP="00576A90">
      <w:pPr>
        <w:pStyle w:val="TextoNormalCentrado"/>
      </w:pPr>
      <w:r>
        <w:t>ACUERDA</w:t>
      </w:r>
    </w:p>
    <w:p w14:paraId="7E1EEDB1" w14:textId="03919FCF" w:rsidR="00576A90" w:rsidRDefault="00576A90" w:rsidP="00576A90">
      <w:pPr>
        <w:pStyle w:val="TextoNormalCentrado"/>
      </w:pPr>
    </w:p>
    <w:p w14:paraId="6F373E6C" w14:textId="3562AF5E" w:rsidR="00576A90" w:rsidRDefault="00576A90" w:rsidP="00576A90">
      <w:pPr>
        <w:pStyle w:val="TextoNormal"/>
      </w:pPr>
      <w:r>
        <w:t>Estimar justificada la abstención formulada por el magistrado don César Tolosa Tribiño en la cuestión de inconstitucionalidad núm. 2714-2024 y apartarle definitivamente del conocimiento del referido recurso y de todas sus incidencias.</w:t>
      </w:r>
    </w:p>
    <w:p w14:paraId="4A96F069" w14:textId="77777777" w:rsidR="00576A90" w:rsidRDefault="00576A90" w:rsidP="00576A90">
      <w:pPr>
        <w:pStyle w:val="TextoNormal"/>
      </w:pPr>
    </w:p>
    <w:p w14:paraId="384D797C" w14:textId="77777777" w:rsidR="00576A90" w:rsidRDefault="00576A90" w:rsidP="00576A90">
      <w:pPr>
        <w:pStyle w:val="TextoNormal"/>
      </w:pPr>
      <w:r>
        <w:t>Madrid, a cuatro de junio de dos mil veinticuatro.</w:t>
      </w:r>
    </w:p>
    <w:p w14:paraId="4EE00415" w14:textId="03098574" w:rsidR="00576A90" w:rsidRDefault="00576A90">
      <w:pPr>
        <w:spacing w:after="160" w:line="259" w:lineRule="auto"/>
        <w:rPr>
          <w:rFonts w:ascii="Times New Roman" w:eastAsia="Times New Roman" w:hAnsi="Times New Roman" w:cs="Times New Roman"/>
          <w:sz w:val="24"/>
          <w:szCs w:val="24"/>
          <w:lang w:eastAsia="es-ES"/>
        </w:rPr>
      </w:pPr>
      <w:r>
        <w:br w:type="page"/>
      </w:r>
    </w:p>
    <w:p w14:paraId="2B05849D" w14:textId="77777777" w:rsidR="00576A90" w:rsidRDefault="00576A90" w:rsidP="00576A90">
      <w:pPr>
        <w:pStyle w:val="TtuloResolucin"/>
      </w:pPr>
      <w:bookmarkStart w:id="152" w:name="AUTO_2024_57"/>
      <w:r>
        <w:lastRenderedPageBreak/>
        <w:t>AUTO 57/2024, de 17 de junio de 2024</w:t>
      </w:r>
    </w:p>
    <w:bookmarkEnd w:id="152"/>
    <w:p w14:paraId="49ED1213" w14:textId="77777777" w:rsidR="00576A90" w:rsidRDefault="00576A90" w:rsidP="00576A90">
      <w:pPr>
        <w:pStyle w:val="TtuloResolucin"/>
      </w:pPr>
      <w:r>
        <w:t>Pleno</w:t>
      </w:r>
    </w:p>
    <w:p w14:paraId="6CC2BBC5" w14:textId="77777777" w:rsidR="00576A90" w:rsidRDefault="00576A90" w:rsidP="00576A90">
      <w:pPr>
        <w:pStyle w:val="TtuloBOE"/>
      </w:pPr>
      <w:r>
        <w:t>(BOE núm. 179, de 25 de julio de 2024)</w:t>
      </w:r>
    </w:p>
    <w:p w14:paraId="6EDA0F8B" w14:textId="77777777" w:rsidR="00576A90" w:rsidRDefault="00576A90" w:rsidP="00576A90">
      <w:pPr>
        <w:pStyle w:val="TextoNormalCentrado"/>
      </w:pPr>
      <w:r>
        <w:t>ECLI:ES:TC:2024:57A</w:t>
      </w:r>
    </w:p>
    <w:p w14:paraId="758B2FB0" w14:textId="77B17B74" w:rsidR="00576A90" w:rsidRDefault="00576A90" w:rsidP="00576A90">
      <w:pPr>
        <w:pStyle w:val="TextoNormalCentrado"/>
      </w:pPr>
    </w:p>
    <w:p w14:paraId="3B308E88" w14:textId="77777777" w:rsidR="00576A90" w:rsidRDefault="00576A90" w:rsidP="00576A90">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y don Juan Carlos Campo Moreno.</w:t>
      </w:r>
    </w:p>
    <w:p w14:paraId="46D568C7" w14:textId="15035069" w:rsidR="00576A90" w:rsidRDefault="00576A90" w:rsidP="00576A90">
      <w:pPr>
        <w:pStyle w:val="SntesisDescriptiva"/>
      </w:pPr>
    </w:p>
    <w:p w14:paraId="09FD0D83" w14:textId="77777777" w:rsidR="00576A90" w:rsidRDefault="00576A90" w:rsidP="00576A90">
      <w:pPr>
        <w:pStyle w:val="SntesisDescriptiva"/>
      </w:pPr>
      <w:r>
        <w:t>Inadmite a trámite el recurso de amparo 7261-2022, promovido por don Francisco Ventura Losada en causa penal. Votos particulares.</w:t>
      </w:r>
    </w:p>
    <w:p w14:paraId="48ACE2F0" w14:textId="2B8AE196" w:rsidR="00576A90" w:rsidRDefault="00576A90" w:rsidP="00576A90">
      <w:pPr>
        <w:pStyle w:val="SntesisDescriptiva"/>
      </w:pPr>
    </w:p>
    <w:p w14:paraId="22B6D131" w14:textId="77777777" w:rsidR="00576A90" w:rsidRDefault="00576A90" w:rsidP="00576A90">
      <w:pPr>
        <w:pStyle w:val="SntesisDescriptiva"/>
      </w:pPr>
    </w:p>
    <w:p w14:paraId="14FDC047" w14:textId="77777777" w:rsidR="00576A90" w:rsidRDefault="00576A90" w:rsidP="00576A90">
      <w:pPr>
        <w:pStyle w:val="SntesisDescriptiva"/>
      </w:pPr>
    </w:p>
    <w:p w14:paraId="5966C447" w14:textId="77777777" w:rsidR="00576A90" w:rsidRDefault="00576A90" w:rsidP="00576A90">
      <w:pPr>
        <w:pStyle w:val="TextoNormalNegritaCentrado"/>
      </w:pPr>
      <w:r>
        <w:t>AUTO</w:t>
      </w:r>
    </w:p>
    <w:p w14:paraId="33DD9B45" w14:textId="579A66CE" w:rsidR="00576A90" w:rsidRDefault="00576A90" w:rsidP="00576A90">
      <w:pPr>
        <w:pStyle w:val="TextoNormalNegritaCentrado"/>
      </w:pPr>
    </w:p>
    <w:p w14:paraId="1991FA33" w14:textId="77777777" w:rsidR="00576A90" w:rsidRDefault="00576A90" w:rsidP="00576A90">
      <w:pPr>
        <w:pStyle w:val="TextoNormalNegritaCentrado"/>
        <w:keepNext/>
      </w:pPr>
      <w:r>
        <w:t>I. Antecedentes</w:t>
      </w:r>
    </w:p>
    <w:p w14:paraId="07313122" w14:textId="0536922A" w:rsidR="00576A90" w:rsidRDefault="00576A90" w:rsidP="00576A90">
      <w:pPr>
        <w:pStyle w:val="TextoNormalNegritaCentrado"/>
        <w:keepNext/>
      </w:pPr>
    </w:p>
    <w:p w14:paraId="51ADDE99" w14:textId="0A0247A4" w:rsidR="00576A90" w:rsidRDefault="00576A90" w:rsidP="00576A90">
      <w:pPr>
        <w:pStyle w:val="TextoNormal"/>
      </w:pPr>
      <w:r w:rsidRPr="00576A90">
        <w:rPr>
          <w:rStyle w:val="NumeroAFNegritaCaracter"/>
        </w:rPr>
        <w:t>1</w:t>
      </w:r>
      <w:r>
        <w:t>. Don Francisco Ventura Losada, representado por la procuradora de los tribunales doña Eloísa García Martín y asistido de la abogada doña Aràdia Ruiz Blanco, interpuso recurso de amparo, mediante escrito presentado en el registro electrónico de este tribunal el 7 de noviembre de 2022, contra el auto de 1 de junio de 2022 del Juzgado de Instrucción núm. 2 de Valencia, que decretó el sobreseimiento libre y archivo de las diligencias previas núm. 923-2022, y contra el auto núm. 769/2022, de 12 de septiembre, de la Sección Segunda de la Audiencia Provincial de Valencia, que desestimó el recurso de apelación núm. 882-2022.</w:t>
      </w:r>
    </w:p>
    <w:p w14:paraId="02C01B9E" w14:textId="77777777" w:rsidR="00576A90" w:rsidRDefault="00576A90" w:rsidP="00576A90">
      <w:pPr>
        <w:pStyle w:val="TextoNormal"/>
      </w:pPr>
    </w:p>
    <w:p w14:paraId="75C0924B" w14:textId="77777777" w:rsidR="00576A90" w:rsidRDefault="00576A90" w:rsidP="00576A90">
      <w:pPr>
        <w:pStyle w:val="TextoNormal"/>
      </w:pPr>
      <w:r w:rsidRPr="00576A90">
        <w:rPr>
          <w:rStyle w:val="NumeroAFNegritaCaracter"/>
        </w:rPr>
        <w:t>2</w:t>
      </w:r>
      <w:r>
        <w:t>. Los antecedentes relevantes del recurso de amparo son los siguientes:</w:t>
      </w:r>
    </w:p>
    <w:p w14:paraId="18CEC5C6" w14:textId="77777777" w:rsidR="00576A90" w:rsidRDefault="00576A90" w:rsidP="00576A90">
      <w:pPr>
        <w:pStyle w:val="TextoNormal"/>
      </w:pPr>
    </w:p>
    <w:p w14:paraId="69ACF34E" w14:textId="77777777" w:rsidR="00576A90" w:rsidRDefault="00576A90" w:rsidP="00576A90">
      <w:pPr>
        <w:pStyle w:val="TextoNormal"/>
      </w:pPr>
      <w:r>
        <w:t>a) El recurrente presentó querella el día 13 de mayo de 2022 en los juzgados de Valencia, por crímenes de lesa humanidad en concurso real con un delito de torturas contra distintas personas a quienes identificaba por su nombre y apellidos como “miembros de la Brigada Político Social de Valencia y del Juzgado Militar” y contra “todas aquellas personas que hubieran tenido intervención directa o indirecta en los hechos denunciados”, que se consideraban cometidos de forma generalizada y sistemática.</w:t>
      </w:r>
    </w:p>
    <w:p w14:paraId="12C736AB" w14:textId="77777777" w:rsidR="00576A90" w:rsidRDefault="00576A90" w:rsidP="00576A90">
      <w:pPr>
        <w:pStyle w:val="TextoNormal"/>
      </w:pPr>
    </w:p>
    <w:p w14:paraId="0A89F0A3" w14:textId="77777777" w:rsidR="00576A90" w:rsidRDefault="00576A90" w:rsidP="00576A90">
      <w:pPr>
        <w:pStyle w:val="TextoNormal"/>
      </w:pPr>
      <w:r>
        <w:t>En los hechos de la querella se relataba, en síntesis, que el señor Ventura Losada fue detenido con ocasión de la manifestación del primero de mayo de 1967, que fue golpeado en los calabozos de la comisaría y que presenció golpes y torturas a otros compañeros, aunque a él no lo “torturaron físicamente con tanta intensidad como al resto”, por la intercesión de un tío suyo “muy beato y relacionado con personas del clero [que] fue a la comisaría a interesarse por él”. Fue trasladado a la cárcel modelo de Valencia y sometido a un consejo de guerra que se celebró el 29 de agosto de 1967. Acusado por el fiscal togado por insultos a las Fuerzas Armadas y agresión a dos sargentos, con solicitud de una pena de prisión de cuatro años, fue condenado en sentencia de 29 de agosto de 1967 a la pena soli</w:t>
      </w:r>
      <w:r>
        <w:lastRenderedPageBreak/>
        <w:t>citada, que cumplió en los penales de Ocaña y Jaén. Por estos hechos estuvo detenido y en prisión preventiva desde el 1 de mayo hasta el 14 de septiembre de 1967 y en prisión desde el 19 de septiembre de 1967 hasta el 14 de octubre de 1970. Asimismo, fue juzgado por el Tribunal de Orden Público por delito de manifestación no pacífica y condenado en sentencia de 6 de mayo de 1970 a una pena de prisión de seis meses, que cumplió en la modelo de Valencia. Tras cumplir condena, se reincorporó a trabajar, en 1974, en la Empresa Municipal de Transportes, de donde fue despedido después de que le “hicieron llegar a la empresa el certificado de antecedentes penales”. Seguidamente empezó a trabajar en la empresa Dragados y participó en una huelga de cuarenta días para demandar mejoras de las condiciones laborales. En plena huelga, en una reunión de los trabajadores, la empresa llamó a la Guardia Civil y esta se presentó en la sede, “lo encañonaron con una pistola por la espalda, lo metieron en un coche detenido y lo tuvieron toda la noche en el calabozo. La consecuencia fue un nuevo despido junto a dieciséis compañeros más”.</w:t>
      </w:r>
    </w:p>
    <w:p w14:paraId="298AA953" w14:textId="77777777" w:rsidR="00576A90" w:rsidRDefault="00576A90" w:rsidP="00576A90">
      <w:pPr>
        <w:pStyle w:val="TextoNormal"/>
      </w:pPr>
    </w:p>
    <w:p w14:paraId="3D2F95B2" w14:textId="77777777" w:rsidR="00576A90" w:rsidRDefault="00576A90" w:rsidP="00576A90">
      <w:pPr>
        <w:pStyle w:val="TextoNormal"/>
      </w:pPr>
      <w:r>
        <w:t>b) El Juzgado de Instrucción núm. 2 de Valencia, al que se turnó la querella, tras el informe del Ministerio Fiscal solicitando el sobreseimiento libre por prescripción y por aplicación de la Ley 46/1977, de 15 de octubre, de amnistía, decretó, mediante auto de 1 de junio de 2022, el sobreseimiento libre y archivo de la causa, al no ser los hechos constitutivos de delito, conforme a lo dispuesto en los arts. 637.2 y 779.1.1 de la Ley de enjuiciamiento criminal (LECrim).</w:t>
      </w:r>
    </w:p>
    <w:p w14:paraId="2B5581B4" w14:textId="77777777" w:rsidR="00576A90" w:rsidRDefault="00576A90" w:rsidP="00576A90">
      <w:pPr>
        <w:pStyle w:val="TextoNormal"/>
      </w:pPr>
    </w:p>
    <w:p w14:paraId="0DDA29B8" w14:textId="77777777" w:rsidR="00576A90" w:rsidRDefault="00576A90" w:rsidP="00576A90">
      <w:pPr>
        <w:pStyle w:val="TextoNormal"/>
      </w:pPr>
      <w:r>
        <w:t xml:space="preserve">Según el auto de sobreseimiento, el fiscal llevaba razón y, además, la doctrina del ATC 80/2021, de 15 de septiembre, que inadmitió el recurso de amparo núm. 5781-2018 contra una decisión de inadmisión de una querella por hechos semejantes a los aquí denunciados, confirmaba su atipicidad y la imposibilidad de su persecución penal: (i) la descripción de los hechos no se ajustaba a la existencia de un plan sistemático y generalizado contra una parte determinada de la población civil, elemento típico necesario del delito de lesa humanidad del art. 7 del Estatuto de la Corte Penal Internacional de 17 de julio de 1998; (ii) el plazo de prescripción de los delitos de lesiones y de lesiones por torturas habría transcurrido con creces, de acuerdo con el art. 131 del Código penal (CP), estando “en consecuencia extinta la responsabilidad criminal de los querellados” y (iii), frente a la alegación de que los delitos denunciados estaban contemplados en normas de carácter convencional y consuetudinario internacional originadas en los principios de Núremberg, la resolución reflejaba que el ATC 80/2021 había establecido que “el derecho consuetudinario internacional como fuente penal es insuficiente por no responder a los principios de </w:t>
      </w:r>
      <w:r w:rsidRPr="00576A90">
        <w:rPr>
          <w:i/>
        </w:rPr>
        <w:t>lex scripta, praevia</w:t>
      </w:r>
      <w:r>
        <w:t xml:space="preserve"> y </w:t>
      </w:r>
      <w:r w:rsidRPr="00576A90">
        <w:rPr>
          <w:i/>
        </w:rPr>
        <w:t>certa</w:t>
      </w:r>
      <w:r>
        <w:t>”.</w:t>
      </w:r>
    </w:p>
    <w:p w14:paraId="7B4EB337" w14:textId="77777777" w:rsidR="00576A90" w:rsidRDefault="00576A90" w:rsidP="00576A90">
      <w:pPr>
        <w:pStyle w:val="TextoNormal"/>
      </w:pPr>
    </w:p>
    <w:p w14:paraId="48CE9411" w14:textId="77777777" w:rsidR="00576A90" w:rsidRDefault="00576A90" w:rsidP="00576A90">
      <w:pPr>
        <w:pStyle w:val="TextoNormal"/>
      </w:pPr>
      <w:r>
        <w:t>c) Contra el auto de sobreseimiento libre el recurrente interpuso recurso de apelación alegando la vulneración de su derecho a la tutela judicial efectiva, en su vertiente de acceso a la jurisdicción (art. 24.1 CE). Citaba distinta normativa internacional, resoluciones de tribunales y los votos particulares del ATC 80/2021 para recordar la obligación del Estado de perseguir los crímenes internacionales y las torturas cometidas en su territorio y cuestionar que el delito de lesa humanidad estuviese prescrito; afirmaba que las torturas padecidas eran un método planificado, sistemático y generalizado utilizado por la policía política de la dictadura franquista contra los opositores políticos que eran detenidos, con lo que el crimen individual tenía lugar en un contexto de ataque masivo o sistemático contra un grupo de la población civil.</w:t>
      </w:r>
    </w:p>
    <w:p w14:paraId="516AF6B2" w14:textId="77777777" w:rsidR="00576A90" w:rsidRDefault="00576A90" w:rsidP="00576A90">
      <w:pPr>
        <w:pStyle w:val="TextoNormal"/>
      </w:pPr>
    </w:p>
    <w:p w14:paraId="55E2F6A8" w14:textId="77777777" w:rsidR="00576A90" w:rsidRDefault="00576A90" w:rsidP="00576A90">
      <w:pPr>
        <w:pStyle w:val="TextoNormal"/>
      </w:pPr>
      <w:r>
        <w:lastRenderedPageBreak/>
        <w:t>El Ministerio Fiscal se opuso al recurso: los hechos estaban prescritos y era de aplicación adicional la Ley 46/1977, de amnistía, siendo tanto la prescripción del delito como la amnistía causas de extinción de la responsabilidad criminal, previstas, respectivamente, en el art. 130.6 CP y en el art. 6, párrafo primero, de la Ley 46/1977, de ahí el sobreseimiento libre acordado.</w:t>
      </w:r>
    </w:p>
    <w:p w14:paraId="27E9D735" w14:textId="77777777" w:rsidR="00576A90" w:rsidRDefault="00576A90" w:rsidP="00576A90">
      <w:pPr>
        <w:pStyle w:val="TextoNormal"/>
      </w:pPr>
    </w:p>
    <w:p w14:paraId="7D94EB20" w14:textId="6A1803C5" w:rsidR="00576A90" w:rsidRDefault="00576A90" w:rsidP="00576A90">
      <w:pPr>
        <w:pStyle w:val="TextoNormal"/>
      </w:pPr>
      <w:r>
        <w:t>La Sección Segunda de la Audiencia Provincial de Valencia, en su auto núm. 769/2022, de 12 de septiembre, tras reflejar las alegaciones de las partes, el contenido del auto recurrido y recordar la doctrina constitucional sobre el derecho de acceso a la jurisdicción (</w:t>
      </w:r>
      <w:r w:rsidRPr="00576A90">
        <w:rPr>
          <w:i/>
        </w:rPr>
        <w:t>ius ut procedatur</w:t>
      </w:r>
      <w:r>
        <w:t>), desestimó el recurso y confirmó la decisión del juzgado por sus propios fundamentos.</w:t>
      </w:r>
    </w:p>
    <w:p w14:paraId="0A35E83B" w14:textId="77777777" w:rsidR="00576A90" w:rsidRDefault="00576A90" w:rsidP="00576A90">
      <w:pPr>
        <w:pStyle w:val="TextoNormal"/>
      </w:pPr>
    </w:p>
    <w:p w14:paraId="4E53A48F" w14:textId="77777777" w:rsidR="00576A90" w:rsidRDefault="00576A90" w:rsidP="00576A90">
      <w:pPr>
        <w:pStyle w:val="TextoNormal"/>
      </w:pPr>
      <w:r w:rsidRPr="00576A90">
        <w:rPr>
          <w:rStyle w:val="NumeroAFNegritaCaracter"/>
        </w:rPr>
        <w:t>3</w:t>
      </w:r>
      <w:r>
        <w:t>. En su demanda de amparo el recurrente alega que se le ha vulnerado su derecho a la tutela judicial efectiva, en su vertiente de derecho de acceso a la jurisdicción, a consecuencia de no haberse investigado penalmente unos hechos que considera que son constitutivos de crímenes de lesa humanidad y torturas, que están previstos en el Derecho internacional penal, que son de naturaleza imprescriptible y que no son amnistiables. Solicita la anulación de las resoluciones impugnadas, “ordenándose la apertura de las correspondientes diligencias penales contra los querellados”.</w:t>
      </w:r>
    </w:p>
    <w:p w14:paraId="28AF28A5" w14:textId="77777777" w:rsidR="00576A90" w:rsidRDefault="00576A90" w:rsidP="00576A90">
      <w:pPr>
        <w:pStyle w:val="TextoNormal"/>
      </w:pPr>
    </w:p>
    <w:p w14:paraId="20C0D23C" w14:textId="77777777" w:rsidR="00576A90" w:rsidRDefault="00576A90" w:rsidP="00576A90">
      <w:pPr>
        <w:pStyle w:val="TextoNormal"/>
      </w:pPr>
      <w:r>
        <w:t>El desarrollo argumental de su escrito, que recuerda al contenido del recurso de amparo núm. 5781-2018 que dio lugar al ATC 80/2021, puede sintetizarse como sigue:</w:t>
      </w:r>
    </w:p>
    <w:p w14:paraId="6C232D49" w14:textId="77777777" w:rsidR="00576A90" w:rsidRDefault="00576A90" w:rsidP="00576A90">
      <w:pPr>
        <w:pStyle w:val="TextoNormal"/>
      </w:pPr>
    </w:p>
    <w:p w14:paraId="6B03DF4D" w14:textId="77777777" w:rsidR="00576A90" w:rsidRDefault="00576A90" w:rsidP="00576A90">
      <w:pPr>
        <w:pStyle w:val="TextoNormal"/>
      </w:pPr>
      <w:r>
        <w:t xml:space="preserve">Según el recurrente, la tipificación en nuestro país por la Ley Orgánica 15/2003, de 25 de noviembre, de los delitos de lesa humanidad en el art. 607 </w:t>
      </w:r>
      <w:r w:rsidRPr="00576A90">
        <w:rPr>
          <w:i/>
        </w:rPr>
        <w:t>bis</w:t>
      </w:r>
      <w:r>
        <w:t xml:space="preserve"> CP, con carácter imprescriptible (art. 131.4 CP redactado por la Ley Orgánica 15/2003), no es obstáculo para que los hechos de la querella reciban dicha calificación y tratamiento, aunque aquellos tipos penales no estuviesen vigentes. Porque, a su juicio, distintas normas, instrumentos y resoluciones internacionales de fecha anterior a los hechos, que tienen carácter imperativo (</w:t>
      </w:r>
      <w:r w:rsidRPr="00576A90">
        <w:rPr>
          <w:i/>
        </w:rPr>
        <w:t>ius cogens</w:t>
      </w:r>
      <w:r>
        <w:t>) y con eficacia frente a todos (</w:t>
      </w:r>
      <w:r w:rsidRPr="00576A90">
        <w:rPr>
          <w:i/>
        </w:rPr>
        <w:t>erga omnes</w:t>
      </w:r>
      <w:r>
        <w:t>), obligan a los Estados a investigarlos y permiten atribuirles la calificación de crímenes de lesa humanidad respetando las garantías del principio de legalidad penal y sus exigencias de accesibilidad y previsibilidad.</w:t>
      </w:r>
    </w:p>
    <w:p w14:paraId="55D9DA8D" w14:textId="77777777" w:rsidR="00576A90" w:rsidRDefault="00576A90" w:rsidP="00576A90">
      <w:pPr>
        <w:pStyle w:val="TextoNormal"/>
      </w:pPr>
    </w:p>
    <w:p w14:paraId="3D3AEFB3" w14:textId="77777777" w:rsidR="00576A90" w:rsidRDefault="00576A90" w:rsidP="00576A90">
      <w:pPr>
        <w:pStyle w:val="TextoNormal"/>
      </w:pPr>
      <w:r>
        <w:t>Así, entre otras, el demandante cita: la Convención I y IV de La Haya sobre leyes y costumbres de la guerra terrestre de 1899 y 1907; la definición de los crímenes contra la humanidad del art. 6 c) del Estatuto de Londres del Tribunal Militar Internacional de Núremberg de 8 de agosto de 1945 y del art. 5 c) de la Carta del Tribunal Militar Internacional de Tokio de 26 de abril de 1946; la Ley núm. 10 del Consejo de Control Aliado de 20 de diciembre de 1945; la resolución núm. 3 de 13 de febrero de 1946 de la Asamblea General de Naciones Unidas, que confirmó los principios de Núremberg, o la Convención sobre la imprescriptibilidad de los crímenes de guerra y de los crímenes de lesa humanidad de 26 de noviembre de 1968. En materia de prohibición de la tortura, destaca: el art. 5 de la Declaración universal de los derechos humanos de 10 de diciembre de 1948, el art. 3 del Convenio europeo de derechos humanos (CEDH) de 4 de noviembre de 1950, el art. 7 del Pacto internacional de derechos civiles y políticos (PIDCP) de 19 de diciembre de 1966 o la Convención contra la tortura y otros tratos o penas crueles, inhumanos o degradantes de Naciones Unidas de 10 de diciembre de 1984.</w:t>
      </w:r>
    </w:p>
    <w:p w14:paraId="41CCE559" w14:textId="77777777" w:rsidR="00576A90" w:rsidRDefault="00576A90" w:rsidP="00576A90">
      <w:pPr>
        <w:pStyle w:val="TextoNormal"/>
      </w:pPr>
    </w:p>
    <w:p w14:paraId="70AEFC9C" w14:textId="77777777" w:rsidR="00576A90" w:rsidRDefault="00576A90" w:rsidP="00576A90">
      <w:pPr>
        <w:pStyle w:val="TextoNormal"/>
      </w:pPr>
      <w:r>
        <w:lastRenderedPageBreak/>
        <w:t xml:space="preserve">Para el recurrente esta calificación excluye, a su vez, la vulneración del principio de irretroactividad de la ley penal desfavorable y determina que no entre en juego ni la prescripción ni la Ley 46/1977, de amnistía. En apoyo de su postura, entre otras alegaciones, aduce que, en estos supuestos, según el art. 7.2 CEDH, la ausencia de una ley penal nacional no impedirá el juicio o la condena de una persona culpable de una acción o de una omisión que, en el momento de su comisión, constituía delito según los principios generales del derecho reconocido por las naciones civilizadas. Alude también a la jurisprudencia del Tribunal Europeo de Derechos Humanos (SSTEDH, Gran Sala, asunto </w:t>
      </w:r>
      <w:r w:rsidRPr="00576A90">
        <w:rPr>
          <w:i/>
        </w:rPr>
        <w:t>Kononov c. Letonia</w:t>
      </w:r>
      <w:r>
        <w:t xml:space="preserve">, de 17 de mayo de 2010, y asunto </w:t>
      </w:r>
      <w:r w:rsidRPr="00576A90">
        <w:rPr>
          <w:i/>
        </w:rPr>
        <w:t>Mocanu y otros c. Rumanía</w:t>
      </w:r>
      <w:r>
        <w:t>, de 17 de septiembre de 2014) para la que, según interpreta, no hay límite temporal para la persecución de estos crímenes. Critica extensamente, por considerarla contraria al Derecho internacional, la sentencia de la Sala Segunda del Tribunal Supremo núm. 101/2012, de 27 de febrero, que estableció que “aun cuando los Tratados Internacionales sobre la materia fijaran la imprescriptibilidad de los delitos contra la humanidad, esa exigencia que ha sido llevada a nuestro ordenamiento jurídico interno, tiene una aplicación de futuro y no es procedente otorgarle una interpretación retroactiva por impedirlo la seguridad jurídica y el art. 9.3 de la Constitución y arts. 1 y 2 del Código penal […] Una ley de amnistía, que excluya la responsabilidad penal, puede ser considerada como una actuación que restringe e impide a la víctima el recurso efectivo para reaccionar frente a la vulneración de un derecho. Ahora bien, las exigencias del principio de legalidad a los que nos venimos refiriendo, hacen que estos derechos sean exigibles frente a las vulneraciones sufridas con posterioridad a la entrada en vigor del Pacto y el Convenio, y así lo ha interpretado el Comité encargado de su vigilancia en sus decisiones (véanse, las resoluciones 275/1988 y 343, 344 y 345 de 1988 en las que el Comité de Derechos Humanos de Naciones Unidas recuerda que el Pacto ‘no puede aplicarse retroactivamente’)”.</w:t>
      </w:r>
    </w:p>
    <w:p w14:paraId="0BA7B89B" w14:textId="77777777" w:rsidR="00576A90" w:rsidRDefault="00576A90" w:rsidP="00576A90">
      <w:pPr>
        <w:pStyle w:val="TextoNormal"/>
      </w:pPr>
    </w:p>
    <w:p w14:paraId="00E5C35A" w14:textId="77777777" w:rsidR="00576A90" w:rsidRDefault="00576A90" w:rsidP="00576A90">
      <w:pPr>
        <w:pStyle w:val="TextoNormal"/>
      </w:pPr>
      <w:r>
        <w:t>Sostiene que las resoluciones judiciales que acordaron el sobreseimiento libre no efectuaron el correspondiente “control de convencionalidad” (arts. 96 CE y STC 140/2018, de 20 de diciembre), con el fin de desplazar la normativa interna que colisionaba con los tratados internacionales suscritos por España que resultaban de aplicación preferente. Y cita resoluciones e informes de órganos o grupos de trabajo de organismos internacionales sobre España que instan al Estado a adoptar las medidas legislativas y de otra índole necesarias para que los actos de tortura y las desapariciones forzadas no sean delitos sujetos a amnistía o prescripción.</w:t>
      </w:r>
    </w:p>
    <w:p w14:paraId="26C98F0B" w14:textId="77777777" w:rsidR="00576A90" w:rsidRDefault="00576A90" w:rsidP="00576A90">
      <w:pPr>
        <w:pStyle w:val="TextoNormal"/>
      </w:pPr>
    </w:p>
    <w:p w14:paraId="0B709976" w14:textId="768DBC8F" w:rsidR="00576A90" w:rsidRDefault="00576A90" w:rsidP="00576A90">
      <w:pPr>
        <w:pStyle w:val="TextoNormal"/>
      </w:pPr>
      <w:r>
        <w:t>El párrafo siguiente de la demanda resumiría la tesis del recurso de amparo: “Por tanto, el Estado Español debe aplicar el llamado Derecho de Núremberg. No se olvide que hoy nadie discute que el crimen de lesa humanidad, al menos, desde 1950, fecha de la confirmación de los principios de Núremberg, goza del carácter de crimen internacional consuetudinario que obliga a los Estados a su persecución”.</w:t>
      </w:r>
    </w:p>
    <w:p w14:paraId="0E4F7F37" w14:textId="77777777" w:rsidR="00576A90" w:rsidRDefault="00576A90" w:rsidP="00576A90">
      <w:pPr>
        <w:pStyle w:val="TextoNormal"/>
      </w:pPr>
    </w:p>
    <w:p w14:paraId="3C79B4FF" w14:textId="2ED24848" w:rsidR="00576A90" w:rsidRDefault="00576A90" w:rsidP="00576A90">
      <w:pPr>
        <w:pStyle w:val="TextoNormal"/>
      </w:pPr>
      <w:r w:rsidRPr="00576A90">
        <w:rPr>
          <w:rStyle w:val="NumeroAFNegritaCaracter"/>
        </w:rPr>
        <w:t>4</w:t>
      </w:r>
      <w:r>
        <w:t>. El Pleno de este tribunal, en su reunión de 27 de febrero de 2024, a propuesta de la Sala Segunda en su sesión celebrada el 12 de febrero anterior, acordó recabar para sí el conocimiento del presente recurso de amparo [art.10.1 n) LOTC] y, en sesión de 7 de mayo, acordó atribuir la ponencia al presidente, al anunciar voto particular el magistrado al que inicialmente se turnó el recurso, señor Sáez Valcárcel.</w:t>
      </w:r>
    </w:p>
    <w:p w14:paraId="2FE75FAE" w14:textId="77777777" w:rsidR="00576A90" w:rsidRDefault="00576A90" w:rsidP="00576A90">
      <w:pPr>
        <w:pStyle w:val="TextoNormal"/>
      </w:pPr>
    </w:p>
    <w:p w14:paraId="099A7F90" w14:textId="77777777" w:rsidR="00576A90" w:rsidRDefault="00576A90" w:rsidP="00576A90">
      <w:pPr>
        <w:pStyle w:val="TextoNormalNegritaCentrado"/>
        <w:keepNext/>
      </w:pPr>
      <w:r>
        <w:lastRenderedPageBreak/>
        <w:t>II. Fundamentos jurídicos</w:t>
      </w:r>
    </w:p>
    <w:p w14:paraId="0C2AEB8C" w14:textId="659B15A6" w:rsidR="00576A90" w:rsidRDefault="00576A90" w:rsidP="00576A90">
      <w:pPr>
        <w:pStyle w:val="TextoNormalNegritaCentrado"/>
        <w:keepNext/>
      </w:pPr>
    </w:p>
    <w:p w14:paraId="203E9071" w14:textId="77777777" w:rsidR="00576A90" w:rsidRDefault="00576A90" w:rsidP="00576A90">
      <w:pPr>
        <w:pStyle w:val="TextoNormal"/>
      </w:pPr>
      <w:r w:rsidRPr="00576A90">
        <w:rPr>
          <w:rStyle w:val="NumeroAFNegritaCaracter"/>
        </w:rPr>
        <w:t>1</w:t>
      </w:r>
      <w:r>
        <w:t>. El presente recurso de amparo se interpone contra el auto de 1 de junio de 2022 del Juzgado de Instrucción núm. 2 de Valencia, confirmado en apelación por el auto núm. 769/2022, de 12 de septiembre, de la Sección Segunda de la Audiencia Provincial de Valencia, que decretó el sobreseimiento libre de la querella del recurrente en la que este denunciaba hechos del periodo comprendido entre 1967 y 1974 durante la dictadura franquista, ya resumidos en los antecedentes, que reputa constitutivos de delitos de lesa humanidad en concurso real con un delito de torturas, ambos de naturaleza imprescriptible y no amnistiable.</w:t>
      </w:r>
    </w:p>
    <w:p w14:paraId="4DE9C4FF" w14:textId="77777777" w:rsidR="00576A90" w:rsidRDefault="00576A90" w:rsidP="00576A90">
      <w:pPr>
        <w:pStyle w:val="TextoNormal"/>
      </w:pPr>
    </w:p>
    <w:p w14:paraId="167D783D" w14:textId="10DA5C05" w:rsidR="00576A90" w:rsidRDefault="00576A90" w:rsidP="00576A90">
      <w:pPr>
        <w:pStyle w:val="TextoNormal"/>
      </w:pPr>
      <w:r>
        <w:t>El demandante sostiene que la decisión de sobreseimiento libre sin realizar ninguna pesquisa para esclarecer hechos tan graves y enjuiciar a sus responsables contraviene el Derecho internacional penal aplicable y vulnera su derecho a la tutela judicial efectiva, en su vertiente de derecho de acceso a la jurisdicción (art. 24.1 CE).</w:t>
      </w:r>
    </w:p>
    <w:p w14:paraId="03BE6E2C" w14:textId="77777777" w:rsidR="00576A90" w:rsidRDefault="00576A90" w:rsidP="00576A90">
      <w:pPr>
        <w:pStyle w:val="TextoNormal"/>
      </w:pPr>
    </w:p>
    <w:p w14:paraId="1D6E8B20" w14:textId="77777777" w:rsidR="00576A90" w:rsidRDefault="00576A90" w:rsidP="00576A90">
      <w:pPr>
        <w:pStyle w:val="TextoNormal"/>
      </w:pPr>
      <w:r w:rsidRPr="00576A90">
        <w:rPr>
          <w:rStyle w:val="NumeroAFNegritaCaracter"/>
        </w:rPr>
        <w:t>2</w:t>
      </w:r>
      <w:r>
        <w:t>. El objeto y la argumentación de este recurso, como también se ha señalado en los antecedentes, son similares a los del recurso de amparo núm. 5781-2018, que fue inadmitido mediante ATC 80/2021, de 15 de septiembre, del Pleno, por manifiesta falta de lesión del derecho fundamental invocado.</w:t>
      </w:r>
    </w:p>
    <w:p w14:paraId="7AE5EC9E" w14:textId="77777777" w:rsidR="00576A90" w:rsidRDefault="00576A90" w:rsidP="00576A90">
      <w:pPr>
        <w:pStyle w:val="TextoNormal"/>
      </w:pPr>
    </w:p>
    <w:p w14:paraId="4106B34C" w14:textId="77777777" w:rsidR="00576A90" w:rsidRDefault="00576A90" w:rsidP="00576A90">
      <w:pPr>
        <w:pStyle w:val="TextoNormal"/>
      </w:pPr>
      <w:r>
        <w:t>Diversas demandas de amparo como la presente han tenido entrada en este tribunal con posterioridad al dictado del ATC 80/2021. En ellas se consignan, con especificación de los hechos propios de cada caso, argumentos muy similares a los del recurso de amparo núm. 5781-2018 con la única novedad, como sucede en la demanda que aquí se analiza, de extractar los votos particulares del ATC 80/2021.</w:t>
      </w:r>
    </w:p>
    <w:p w14:paraId="1AAB72B5" w14:textId="77777777" w:rsidR="00576A90" w:rsidRDefault="00576A90" w:rsidP="00576A90">
      <w:pPr>
        <w:pStyle w:val="TextoNormal"/>
      </w:pPr>
    </w:p>
    <w:p w14:paraId="674245F1" w14:textId="54E692D5" w:rsidR="00576A90" w:rsidRDefault="00576A90" w:rsidP="00576A90">
      <w:pPr>
        <w:pStyle w:val="TextoNormal"/>
      </w:pPr>
      <w:r>
        <w:t>Asimismo, algunas de las resoluciones judiciales impugnadas en tales demandas, como, por ejemplo, el auto de la Sección Tercera de la Audiencia Provincial de Valencia, núm. 873/2022, de 20 de julio (apelación núm. 1201-2022), objeto de impugnación en el recurso de amparo núm. 6567-2022, que fue inadmitido mediante providencia de 20 de septiembre de 2023 de la Sección Tercera de la Sala Segunda de este tribunal, dada la manifiesta inexistencia de violación del derecho fundamental, aluden a la Ley 20/2022, de 19 de octubre, de memoria democrática, en vigor el 21 de octubre de 2022 (disposición final novena), y, en particular, a su art. 2.3, para descartar que esta ley resulte aplicable atendiendo a la doctrina del ATC 80/2021. Según el citado precepto “[t]odas las leyes del Estado español, incluida la Ley 46/1977, de 15 de octubre, de amnistía, se interpretarán y aplicarán de conformidad con el Derecho internacional convencional y consuetudinario y, en particular, con el Derecho Internacional humanitario, según el cual los crímenes de guerra, de lesa humanidad, genocidio y tortura tienen la consideración de imprescriptibles y no amnistiables”.</w:t>
      </w:r>
    </w:p>
    <w:p w14:paraId="74183E98" w14:textId="77777777" w:rsidR="00576A90" w:rsidRDefault="00576A90" w:rsidP="00576A90">
      <w:pPr>
        <w:pStyle w:val="TextoNormal"/>
      </w:pPr>
    </w:p>
    <w:p w14:paraId="1D6247A8" w14:textId="77777777" w:rsidR="00576A90" w:rsidRDefault="00576A90" w:rsidP="00576A90">
      <w:pPr>
        <w:pStyle w:val="TextoNormal"/>
      </w:pPr>
      <w:r w:rsidRPr="00576A90">
        <w:rPr>
          <w:rStyle w:val="NumeroAFNegritaCaracter"/>
        </w:rPr>
        <w:t>3</w:t>
      </w:r>
      <w:r>
        <w:t>. Las anteriores circunstancias relativas a la sucesión de procesos de amparo con idéntico objeto al examinado en el ATC 80/2021 y la vigencia de la nueva Ley 20/2022 no alteran la aplicación de la doctrina fijada en el citado ATC 80/2021, que mantiene su “consiguiente proyección general a asuntos análogos en la medida en que, efectivamente, lo sean” (ATC 80/2021, FJ 2).</w:t>
      </w:r>
    </w:p>
    <w:p w14:paraId="330A7121" w14:textId="77777777" w:rsidR="00576A90" w:rsidRDefault="00576A90" w:rsidP="00576A90">
      <w:pPr>
        <w:pStyle w:val="TextoNormal"/>
      </w:pPr>
    </w:p>
    <w:p w14:paraId="140ACA47" w14:textId="10A14DFE" w:rsidR="00576A90" w:rsidRDefault="00576A90" w:rsidP="00576A90">
      <w:pPr>
        <w:pStyle w:val="TextoNormal"/>
      </w:pPr>
      <w:r>
        <w:t>La Ley 20/2022, por un lado, no sustituye al Tribunal Constitucional en la interpretación de los derechos fundamentales y, por otro, no cumple con la reserva de ley orgánica necesaria para la definición de los delitos y sus penas (STC 140/1986, de 11 de noviembre, FJ 5, y ATC 80/2021, FJ 2), por lo que su articulado no habilita para que las normas del Derecho internacional penal se conviertan en fuente directa o indirecta del Derecho penal para investigar y juzgar hechos que no estaban tipificados en la ley penal nacional entonces vigente, aplicándoles ahora las características de imprescriptibilidad y de no ser susceptibles de amnistía.</w:t>
      </w:r>
    </w:p>
    <w:p w14:paraId="1EB73028" w14:textId="77777777" w:rsidR="00576A90" w:rsidRDefault="00576A90" w:rsidP="00576A90">
      <w:pPr>
        <w:pStyle w:val="TextoNormal"/>
      </w:pPr>
    </w:p>
    <w:p w14:paraId="6657DEF9" w14:textId="77777777" w:rsidR="00576A90" w:rsidRDefault="00576A90" w:rsidP="00576A90">
      <w:pPr>
        <w:pStyle w:val="TextoNormal"/>
      </w:pPr>
      <w:r w:rsidRPr="00576A90">
        <w:rPr>
          <w:rStyle w:val="NumeroAFNegritaCaracter"/>
        </w:rPr>
        <w:t>4</w:t>
      </w:r>
      <w:r>
        <w:t>. El derecho a la tutela judicial efectiva, en su vertiente de derecho de acceso a la jurisdicción y a la investigación penal (</w:t>
      </w:r>
      <w:r w:rsidRPr="00576A90">
        <w:rPr>
          <w:i/>
        </w:rPr>
        <w:t>ius ut procedatur</w:t>
      </w:r>
      <w:r>
        <w:t>; art. 24.1 CE), que el demandante alega vulnerado por la decisión de sobreseimiento libre, se halla unido al principio de legalidad penal (art. 25.1 CE), puesto que la apertura del procedimiento penal resultaría improcedente si los hechos de la investigación no reuniesen los caracteres de delito o resultara aplicable alguna causa legal de extinción de la responsabilidad penal.</w:t>
      </w:r>
    </w:p>
    <w:p w14:paraId="4F3F0DEE" w14:textId="77777777" w:rsidR="00576A90" w:rsidRDefault="00576A90" w:rsidP="00576A90">
      <w:pPr>
        <w:pStyle w:val="TextoNormal"/>
      </w:pPr>
    </w:p>
    <w:p w14:paraId="521602AD" w14:textId="77777777" w:rsidR="00576A90" w:rsidRDefault="00576A90" w:rsidP="00576A90">
      <w:pPr>
        <w:pStyle w:val="TextoNormal"/>
      </w:pPr>
      <w:r>
        <w:t>Frente a los autos impugnados el recurrente sostiene que las exigencias del principio de legalidad penal quedarían satisfechas con la necesaria aplicación del Derecho internacional penal que permitiría calificar los hechos denunciados como crímenes contra la humanidad lo que, a su vez, determinaría la inaplicación de la prescripción y de la Ley de amnistía, posibilitando su investigación penal.</w:t>
      </w:r>
    </w:p>
    <w:p w14:paraId="68FB61C6" w14:textId="77777777" w:rsidR="00576A90" w:rsidRDefault="00576A90" w:rsidP="00576A90">
      <w:pPr>
        <w:pStyle w:val="TextoNormal"/>
      </w:pPr>
    </w:p>
    <w:p w14:paraId="3AC5C620" w14:textId="77777777" w:rsidR="00576A90" w:rsidRDefault="00576A90" w:rsidP="00576A90">
      <w:pPr>
        <w:pStyle w:val="TextoNormal"/>
      </w:pPr>
      <w:r>
        <w:t xml:space="preserve">Sin embargo, como dijimos en el ATC 80/2021 a cuya fundamentación se remiten las resoluciones impugnadas, el Derecho internacional penal, en especial el consuetudinario, como fuente de tipos penales de carácter imprescriptible y no amnistiable resulta incompatible con el principio de legalidad penal porque tal Derecho no satisface las garantías de </w:t>
      </w:r>
      <w:r w:rsidRPr="00576A90">
        <w:rPr>
          <w:i/>
        </w:rPr>
        <w:t>lex scripta, praevia y certa</w:t>
      </w:r>
      <w:r>
        <w:t>. Estas garantías “impiden que se apliquen en nuestro espacio constitucional figuras delictivas definidas en ámbitos parcialmente ajenos a nuestro ordenamiento de forma abierta, cambiante, no homogénea ni consolidada en una redacción precisa y que, además, no establecen de forma específica la penalidad que corresponde a la conducta sancionada” [ATC 80/2021, FFJJ 3 b) y 4].</w:t>
      </w:r>
    </w:p>
    <w:p w14:paraId="72D4FE61" w14:textId="77777777" w:rsidR="00576A90" w:rsidRDefault="00576A90" w:rsidP="00576A90">
      <w:pPr>
        <w:pStyle w:val="TextoNormal"/>
      </w:pPr>
    </w:p>
    <w:p w14:paraId="27200C8F" w14:textId="77777777" w:rsidR="00576A90" w:rsidRDefault="00576A90" w:rsidP="00576A90">
      <w:pPr>
        <w:pStyle w:val="TextoNormal"/>
      </w:pPr>
      <w:r>
        <w:t xml:space="preserve">Por tales razones los hechos de la querella reflejados en los antecedentes, cuyo relato se extiende a los años de la dictadura de 1967 a 1974, no pueden calificarse como crímenes contra la humanidad, dado que el delito de lesa humanidad no existía en nuestro ordenamiento jurídico en ese tiempo. Este delito se introdujo en el Código penal actual como art. 607 </w:t>
      </w:r>
      <w:r w:rsidRPr="00576A90">
        <w:rPr>
          <w:i/>
        </w:rPr>
        <w:t>bis</w:t>
      </w:r>
      <w:r>
        <w:t xml:space="preserve"> (que tipifica, entre otras conductas, la tortura de personas custodiadas), por la Ley Orgánica 15/2003, de 25 de noviembre, vigente desde el 1 de octubre de 2004, delito al que se atribuye un carácter imprescriptible (art. 131.4 CP, redactado por la Ley Orgánica 15/2003). “Desde el momento en que no es posible investigar los hechos como crimen de lesa humanidad al ser una calificación inviable, decaen también las consecuencias que el demandante vincula a la calificación como crimen internacional en orden a remover obstáculos a su persecución, esto es, la imprescriptibilidad y la amnistía de tales crímenes. Al derivarse de las resoluciones de instancia impugnadas en amparo esta comprensión del principio de legalidad penal, no puede imputarse a las mismas la ausencia de razonabilidad o la arbitrariedad en la argumentación” (ATC 80/2021, FJ 4).</w:t>
      </w:r>
    </w:p>
    <w:p w14:paraId="5F628E41" w14:textId="77777777" w:rsidR="00576A90" w:rsidRDefault="00576A90" w:rsidP="00576A90">
      <w:pPr>
        <w:pStyle w:val="TextoNormal"/>
      </w:pPr>
    </w:p>
    <w:p w14:paraId="66685BEE" w14:textId="77777777" w:rsidR="00576A90" w:rsidRDefault="00576A90" w:rsidP="00576A90">
      <w:pPr>
        <w:pStyle w:val="TextoNormal"/>
      </w:pPr>
      <w:r>
        <w:lastRenderedPageBreak/>
        <w:t>Ante la insuficiencia de las normas del Derecho internacional penal para calificar los hechos como delito de lesa humanidad, así como para atribuir un carácter imprescriptible al delito de torturas, tampoco resulta viable la apertura de un procedimiento penal para investigar los hechos calificándolos como delitos comunes de lesiones o torturas, dado que la responsabilidad penal estaría extinguida al operar la prescripción, tal y como aprecian las resoluciones impugnadas. Como se señala en el ATC 80/2021, FJ 5, y resulta plenamente aplicable al presente caso a la vista de la fecha de los hechos denunciados, “incluso si se atiende a la fecha del último suceso (1974), han pasado más de cuarenta años entre su comisión y su denuncia y el Código penal aplicable preveía un plazo máximo de prescripción de veinte años (art. 113 CP 1973) […]. [L]a pretensión de imprescriptibilidad de los hechos denunciados supone la quiebra de la garantía de irretroactividad y, con carácter general, de la tutela de la seguridad jurídica y la libertad que orienta las garantías penales, entre las que se encuentra la figura de la prescripción […]. [D]e ninguna manera es posible ampliar los plazos o aplicar causas de interrupción retroactivamente. En este marco, la opción defendida en las resoluciones impugnadas, que aprecian la prescripción, resulta acorde con la doctrina de este tribunal (por todas, STC 63/2005, de 14 de marzo, FJ 5), y, con ello, acorde con el canon de razonabilidad del derecho de acceso a la jurisdicción”.</w:t>
      </w:r>
    </w:p>
    <w:p w14:paraId="09F5858D" w14:textId="77777777" w:rsidR="00576A90" w:rsidRDefault="00576A90" w:rsidP="00576A90">
      <w:pPr>
        <w:pStyle w:val="TextoNormal"/>
      </w:pPr>
    </w:p>
    <w:p w14:paraId="636E998F" w14:textId="5F18D595" w:rsidR="00576A90" w:rsidRDefault="00576A90" w:rsidP="00576A90">
      <w:pPr>
        <w:pStyle w:val="TextoNormal"/>
      </w:pPr>
      <w:r>
        <w:t>Y es que “no cabe imponer a los tribunales nacionales una investigación y castigo penal frente a conductas sobre las que han operado causas legales extintivas de la responsabilidad penal y, menos aún, una rebaja de las garantías del derecho a la legalidad penal” (ATC 80/2021, FJ 6). “Que no existiera una prohibición de prescripción o amnistía al tiempo de los hechos y que ni siquiera el estado actual del Derecho internacional permita concluir que existe una prohibición absoluta de tales figuras pone de relieve la razonabilidad de los autos impugnados al atender a la prescripción de los delitos comunes y a su cobertura por la Ley de amnistía” (ATC 80/2021, FJ 7).</w:t>
      </w:r>
    </w:p>
    <w:p w14:paraId="1EF0DD85" w14:textId="77777777" w:rsidR="00576A90" w:rsidRDefault="00576A90" w:rsidP="00576A90">
      <w:pPr>
        <w:pStyle w:val="TextoNormal"/>
      </w:pPr>
    </w:p>
    <w:p w14:paraId="1CF7BD04" w14:textId="77777777" w:rsidR="00576A90" w:rsidRDefault="00576A90" w:rsidP="00576A90">
      <w:pPr>
        <w:pStyle w:val="TextoNormal"/>
      </w:pPr>
      <w:r w:rsidRPr="00576A90">
        <w:rPr>
          <w:rStyle w:val="NumeroAFNegritaCaracter"/>
        </w:rPr>
        <w:t>5</w:t>
      </w:r>
      <w:r>
        <w:t>. En consecuencia, el sobreseimiento libre de la causa instruida como consecuencia de la querella del demandante, decretado y confirmado por los órganos judiciales en garantía del principio de legalidad penal se efectuó de conformidad con la doctrina de nuestro ATC 80/2021, lo que conduce a la inadmisión del recurso de amparo por manifiesta falta de vulneración del derecho fundamental invocado [arts. 41.2, 44.1 y 50.1 a) LOTC].</w:t>
      </w:r>
    </w:p>
    <w:p w14:paraId="14EB6880" w14:textId="77777777" w:rsidR="00576A90" w:rsidRDefault="00576A90" w:rsidP="00576A90">
      <w:pPr>
        <w:pStyle w:val="TextoNormal"/>
      </w:pPr>
    </w:p>
    <w:p w14:paraId="3FEA025B" w14:textId="77777777" w:rsidR="00576A90" w:rsidRDefault="00576A90" w:rsidP="00576A90">
      <w:pPr>
        <w:pStyle w:val="TextoNormal"/>
      </w:pPr>
      <w:r>
        <w:t>Como concluimos en el ATC 80/2021, FJ 7, “el principio de legalidad garantizado por el art. 25.1 de nuestra Constitución y el de irretroactividad de las disposiciones sancionadoras desfavorables (art. 9.3 CE), impiden necesariamente que una vez extinguida la responsabilidad penal por hechos ocurridos hace más de cuarenta años, al haberse agotado los plazos máximos de prescripción determinados expresamente en el momento de cometerse los hechos, pueda revivirse con posterioridad una responsabilidad penal ya inexistente y, en consecuencia, que puedan ser investigadas penalmente las acciones imputadas a los supuestos responsables.</w:t>
      </w:r>
    </w:p>
    <w:p w14:paraId="51609341" w14:textId="77777777" w:rsidR="00576A90" w:rsidRDefault="00576A90" w:rsidP="00576A90">
      <w:pPr>
        <w:pStyle w:val="TextoNormal"/>
      </w:pPr>
    </w:p>
    <w:p w14:paraId="5296585C" w14:textId="01A26D29" w:rsidR="00576A90" w:rsidRDefault="00576A90" w:rsidP="00576A90">
      <w:pPr>
        <w:pStyle w:val="TextoNormal"/>
      </w:pPr>
      <w:r>
        <w:t>Ello no determina, en absoluto, la imposibilidad de activar la búsqueda de la verdad, de realizar investigaciones de otra índole o de proceder a las reparaciones pertinentes, a través de procedimientos, judiciales o extrajudiciales, ajenos en todo caso a la finalidad esencial del proceso penal, que no puede estar dirigido en ningún caso a la exigencia de una responsabilidad penal ya inexistente”. Y estas reparaciones y procedimientos distintos al proceso penal están contemplados en la Ley de memoria democrática.</w:t>
      </w:r>
    </w:p>
    <w:p w14:paraId="4261B27E" w14:textId="77777777" w:rsidR="00576A90" w:rsidRDefault="00576A90" w:rsidP="00576A90">
      <w:pPr>
        <w:pStyle w:val="TextoNormal"/>
      </w:pPr>
    </w:p>
    <w:p w14:paraId="766300DD" w14:textId="77777777" w:rsidR="00576A90" w:rsidRDefault="00576A90" w:rsidP="00576A90">
      <w:pPr>
        <w:pStyle w:val="TextoNormal"/>
      </w:pPr>
      <w:r>
        <w:t>Por lo expuesto, el Pleno</w:t>
      </w:r>
    </w:p>
    <w:p w14:paraId="37BA3326" w14:textId="7D490C1F" w:rsidR="00576A90" w:rsidRDefault="00576A90" w:rsidP="00576A90">
      <w:pPr>
        <w:pStyle w:val="TextoNormal"/>
      </w:pPr>
    </w:p>
    <w:p w14:paraId="39E2F5E8" w14:textId="77777777" w:rsidR="00576A90" w:rsidRDefault="00576A90" w:rsidP="00576A90">
      <w:pPr>
        <w:pStyle w:val="TextoNormalCentrado"/>
      </w:pPr>
      <w:r>
        <w:t>ACUERDA</w:t>
      </w:r>
    </w:p>
    <w:p w14:paraId="6BAB60FD" w14:textId="28B4C47F" w:rsidR="00576A90" w:rsidRDefault="00576A90" w:rsidP="00576A90">
      <w:pPr>
        <w:pStyle w:val="TextoNormalCentrado"/>
      </w:pPr>
    </w:p>
    <w:p w14:paraId="57E8C3DE" w14:textId="17AF097F" w:rsidR="00576A90" w:rsidRDefault="00576A90" w:rsidP="00576A90">
      <w:pPr>
        <w:pStyle w:val="TextoNormal"/>
      </w:pPr>
      <w:r>
        <w:t>Inadmitir el recurso de amparo núm. 7261-2022 interpuesto por don Francisco Ventura Losada.</w:t>
      </w:r>
    </w:p>
    <w:p w14:paraId="362405D4" w14:textId="77777777" w:rsidR="00576A90" w:rsidRDefault="00576A90" w:rsidP="00576A90">
      <w:pPr>
        <w:pStyle w:val="TextoNormal"/>
      </w:pPr>
    </w:p>
    <w:p w14:paraId="27F3FAC5" w14:textId="77777777" w:rsidR="00576A90" w:rsidRDefault="00576A90" w:rsidP="00576A90">
      <w:pPr>
        <w:pStyle w:val="TextoNormal"/>
      </w:pPr>
      <w:r>
        <w:t>Madrid, a diecisiete de junio de dos mil veinticuatro.</w:t>
      </w:r>
    </w:p>
    <w:p w14:paraId="6AD0A445" w14:textId="613ACDBF" w:rsidR="00576A90" w:rsidRDefault="00576A90" w:rsidP="00576A90">
      <w:pPr>
        <w:pStyle w:val="ParrafoNormal"/>
      </w:pPr>
    </w:p>
    <w:p w14:paraId="26D46185" w14:textId="77777777" w:rsidR="00576A90" w:rsidRDefault="00576A90" w:rsidP="00576A90">
      <w:pPr>
        <w:pStyle w:val="TextoNormalNegritaCentrado"/>
        <w:keepNext/>
      </w:pPr>
      <w:r>
        <w:t>Voto particular que formula la magistrada doña María Luisa Balaguer Callejón al auto dictado en el recurso de amparo núm. 7261-2022</w:t>
      </w:r>
    </w:p>
    <w:p w14:paraId="2CD24E1E" w14:textId="1B0B9809" w:rsidR="00576A90" w:rsidRDefault="00576A90" w:rsidP="00576A90">
      <w:pPr>
        <w:pStyle w:val="TextoNormalNegritaCentrado"/>
        <w:keepNext/>
      </w:pPr>
    </w:p>
    <w:p w14:paraId="06DA8E71" w14:textId="77777777" w:rsidR="00576A90" w:rsidRDefault="00576A90" w:rsidP="00576A90">
      <w:pPr>
        <w:pStyle w:val="TextoNormal"/>
      </w:pPr>
      <w:r>
        <w:t>En el ejercicio de la facultad que me confiere el art. 90.2 de la Ley Orgánica del Tribunal Constitucional, y con el máximo respeto a la opinión de la mayoría, formulo el presente voto particular frente al auto dictado en el recurso de amparo núm. 7261-2022.</w:t>
      </w:r>
    </w:p>
    <w:p w14:paraId="0760BBBD" w14:textId="77777777" w:rsidR="00576A90" w:rsidRDefault="00576A90" w:rsidP="00576A90">
      <w:pPr>
        <w:pStyle w:val="TextoNormal"/>
      </w:pPr>
    </w:p>
    <w:p w14:paraId="4A800A25" w14:textId="77777777" w:rsidR="00576A90" w:rsidRDefault="00576A90" w:rsidP="00576A90">
      <w:pPr>
        <w:pStyle w:val="TextoNormal"/>
      </w:pPr>
      <w:r>
        <w:t>Las razones de mi discrepancia son las mismas que han quedado detalladamente expuestas en el voto particular formulado al ATC 80/2021, de 15 de septiembre, dictado en el recurso de amparo núm. 5781-2018, al que me remito.</w:t>
      </w:r>
    </w:p>
    <w:p w14:paraId="2785E8A4" w14:textId="77777777" w:rsidR="00576A90" w:rsidRDefault="00576A90" w:rsidP="00576A90">
      <w:pPr>
        <w:pStyle w:val="TextoNormal"/>
      </w:pPr>
    </w:p>
    <w:p w14:paraId="0BEC5554" w14:textId="7F633D2A" w:rsidR="00576A90" w:rsidRDefault="00576A90" w:rsidP="00576A90">
      <w:pPr>
        <w:pStyle w:val="TextoNormal"/>
      </w:pPr>
      <w:r>
        <w:t>Madrid, a diecisiete de junio de dos mil veinticuatro.</w:t>
      </w:r>
    </w:p>
    <w:p w14:paraId="19BDEA0C" w14:textId="77777777" w:rsidR="00576A90" w:rsidRDefault="00576A90" w:rsidP="00576A90">
      <w:pPr>
        <w:pStyle w:val="TextoNormal"/>
      </w:pPr>
    </w:p>
    <w:p w14:paraId="42F24B8C" w14:textId="77777777" w:rsidR="00576A90" w:rsidRDefault="00576A90" w:rsidP="00576A90">
      <w:pPr>
        <w:pStyle w:val="TextoNormalNegritaCentrado"/>
        <w:keepNext/>
      </w:pPr>
      <w:r>
        <w:t>Voto particular discrepante que formula el magistrado don Ramón Sáez Valcárcel al auto que inadmite el recurso de amparo núm. 7261-2022</w:t>
      </w:r>
    </w:p>
    <w:p w14:paraId="1C14F348" w14:textId="6AC5D7BD" w:rsidR="00576A90" w:rsidRDefault="00576A90" w:rsidP="00576A90">
      <w:pPr>
        <w:pStyle w:val="TextoNormalNegritaCentrado"/>
        <w:keepNext/>
      </w:pPr>
    </w:p>
    <w:p w14:paraId="27A4A0D9" w14:textId="77777777" w:rsidR="00576A90" w:rsidRDefault="00576A90" w:rsidP="00576A90">
      <w:pPr>
        <w:pStyle w:val="TextoNormal"/>
      </w:pPr>
      <w:r>
        <w:t>1. Considero que el recurso de amparo debió ser admitido. Una vez en vigor la Ley 20/2022, de 19 de octubre, de memoria democrática, que reconoce el derecho a la verdad y a la justicia de las víctimas de violaciones de derechos humanos, provocadas por acciones de las autoridades y los agentes de la dictadura, y la obligación correlativa del Estado de investigar, el Tribunal no puede seguir inadmitiendo las demandas de amparo —ante el archivo de denuncias y querellas por delitos de torturas cometidos en el último periodo de la dictadura por la policía política— con la justificación de que no existe responsabilidad penal porque los crímenes habrían prescrito y habrían sido amnistiados, como si el marco normativo no hubiera sufrido una relevante modificación. Me parece razonable que el Tribunal se planteara, mediante la apertura del proceso constitucional, si debía revisar su doctrina para permitir el acceso a la jurisdicción penal, bajo la cobertura del derecho fundamental a la tutela judicial efectiva (art. 24.1 CE), de las víctimas de dichos crímenes.</w:t>
      </w:r>
    </w:p>
    <w:p w14:paraId="40310714" w14:textId="77777777" w:rsidR="00576A90" w:rsidRDefault="00576A90" w:rsidP="00576A90">
      <w:pPr>
        <w:pStyle w:val="TextoNormal"/>
      </w:pPr>
    </w:p>
    <w:p w14:paraId="6FAD5EB3" w14:textId="77777777" w:rsidR="00576A90" w:rsidRDefault="00576A90" w:rsidP="00576A90">
      <w:pPr>
        <w:pStyle w:val="TextoNormal"/>
      </w:pPr>
      <w:r>
        <w:t xml:space="preserve">2. El señor Ventura Losada presentó querella en mayo de 2022 contra miembros de la Brigada político social de Valencia. Según relataba, fue detenido en 1967 cuando se manifestaba el primero de mayo y golpeado en la comisaría, donde fue testigo de las violencias y torturas ejercidas sobre otros compañeros. Le encarcelaron, fue juzgado en consejo de guerra y condenado a cuatro años de prisión por insultos a las Fuerzas Armadas y agresión a dos agentes. Por el mismo hecho fue condenado por el Tribunal de Orden Público por delito de manifestación ilegal a seis meses de prisión. Cumplidas las penas, se reincorporó </w:t>
      </w:r>
      <w:r>
        <w:lastRenderedPageBreak/>
        <w:t>a su puesto de trabajo en la Empresa Municipal de Transporte, siendo despedido a causa de sus antecedentes penales. El juzgado de instrucción que conoció de su querella, siguiendo el criterio del fiscal, sin realizar diligencia alguna, sobreseyó libremente la causa por prescripción del delito y aplicación de la Ley 46/1977, de amnistía. El recurso de apelación reivindicaba el derecho de acceso a la jurisdicción del art. 24.1 CE y fue desestimado por la Audiencia Provincial. En la demanda de amparo se invoca el derecho fundamental a que los hechos sean investigados, entendiendo que no han prescrito ni son amnistiables porque deben considerarse delitos contra la humanidad en concurso con delito de torturas.</w:t>
      </w:r>
    </w:p>
    <w:p w14:paraId="2D704BB4" w14:textId="77777777" w:rsidR="00576A90" w:rsidRDefault="00576A90" w:rsidP="00576A90">
      <w:pPr>
        <w:pStyle w:val="TextoNormal"/>
      </w:pPr>
    </w:p>
    <w:p w14:paraId="7D9DFE9D" w14:textId="77777777" w:rsidR="00576A90" w:rsidRDefault="00576A90" w:rsidP="00576A90">
      <w:pPr>
        <w:pStyle w:val="TextoNormal"/>
      </w:pPr>
      <w:r>
        <w:t>3. El caso presenta una especial singularidad que la decisión de la mayoría no toma en consideración. La violencia ejercida sobre el demandante en los calabozos de las dependencias policiales, mientras se hallaba detenido, no puede examinarse aisladamente prescindiendo del contexto de sistematicidad y generalidad de la brutalidad desplegada por la policía política de la dictadura y la utilización de la tortura como técnica de destrucción de la disidencia; todo ello en el periodo histórico conocido como tardofranquismo, tres décadas después del final de la guerra civil. El auto del que discrepo no introduce en el análisis elementos relevantes: los hechos no pudieron ser denunciados en la dictadura, por razones obvias, pero tampoco posteriormente porque fueron objeto de la Ley de amnistía en octubre de 1977. Es decir, el ordenamiento jurídico de España no ha ofrecido hasta la ley de 2022 un cauce procesal para que las víctimas pudieran acceder a la jurisdicción. Por lo tanto, dejando al margen la impunidad en que permanecen dichos crímenes y la ausencia de deslegitimación jurídica y ética del aparato torturador de la dictadura, en ningún momento el demandante pudo ejercer su derecho fundamental a la tutela judicial efectiva, que integra en su contenido material el derecho humano a un recurso efectivo en los supuestos de vulneración de los propios derechos humanos.</w:t>
      </w:r>
    </w:p>
    <w:p w14:paraId="2AEBEF6D" w14:textId="77777777" w:rsidR="00576A90" w:rsidRDefault="00576A90" w:rsidP="00576A90">
      <w:pPr>
        <w:pStyle w:val="TextoNormal"/>
      </w:pPr>
    </w:p>
    <w:p w14:paraId="28ADE2E0" w14:textId="77777777" w:rsidR="00576A90" w:rsidRDefault="00576A90" w:rsidP="00576A90">
      <w:pPr>
        <w:pStyle w:val="TextoNormal"/>
      </w:pPr>
      <w:r>
        <w:t>4. En la resolución de la que discrepo se resume la doctrina del auto 80/2021, de 15 de septiembre, que justifica la falta de lesión del derecho fundamental a la tutela judicial efectiva (art. 24.1 CE). El Tribunal reafirma los mismos argumentos considerando que la Ley de memoria democrática no aporta razones nuevas que pudieran motivar el enjuiciamiento de la queja. La aplicación de esta doctrina al caso obliga a asumir presupuestos muy cuestionables. Por un lado, que el delito habría prescrito en plena dictadura. De otro, que la amnistía fue un efecto directo de la ley, en contra de lo que la norma dice en su art. 9: los jueces aplicarán en cada caso la amnistía; es decir, previa identificación de los hechos, de los responsables y de las víctimas, en el seno del proceso. Una pauta que sería, esta sí, compatible con la apertura de una investigación, imprescindible para determinar la concurrencia del supuesto de hecho que la ley de amnistía contempla.</w:t>
      </w:r>
    </w:p>
    <w:p w14:paraId="4874775B" w14:textId="77777777" w:rsidR="00576A90" w:rsidRDefault="00576A90" w:rsidP="00576A90">
      <w:pPr>
        <w:pStyle w:val="TextoNormal"/>
      </w:pPr>
    </w:p>
    <w:p w14:paraId="31C33948" w14:textId="77777777" w:rsidR="00576A90" w:rsidRDefault="00576A90" w:rsidP="00576A90">
      <w:pPr>
        <w:pStyle w:val="TextoNormal"/>
      </w:pPr>
      <w:r>
        <w:t>5. El demandante ha invocado su derecho a la tutela judicial efectiva del art. 24.1 CE como cobertura para que se desenvuelva una investigación de las conductas violentas que le victimizaron durante su detención en dependencias policiales en el año 1967. La motivación de la resolución de la que disiento se resguarda en categorías jurídico penales, pero el criterio constitucional de decisión, el parámetro de control y la argumentación sobre la admisibilidad del recuso deberían girar sobre el derecho fundamental a la tutela judicial efectiva y la obligación estatal de investigar, que incluso podría plantearse como compatible —agotada una investigación efectiva, con identificación de hechos, autores y partícipes— con la declaración posterior de extinción de la responsabilidad criminal.</w:t>
      </w:r>
    </w:p>
    <w:p w14:paraId="2F6EFF46" w14:textId="77777777" w:rsidR="00576A90" w:rsidRDefault="00576A90" w:rsidP="00576A90">
      <w:pPr>
        <w:pStyle w:val="TextoNormal"/>
      </w:pPr>
    </w:p>
    <w:p w14:paraId="7B01132D" w14:textId="77777777" w:rsidR="00576A90" w:rsidRDefault="00576A90" w:rsidP="00576A90">
      <w:pPr>
        <w:pStyle w:val="TextoNormal"/>
      </w:pPr>
      <w:r>
        <w:t xml:space="preserve">6. El derecho fundamental de acceso al proceso, la garantía jurisdiccional del art. 24.1 CE —pilar básico del Estado de Derecho—, debe integrar en su contenido material la posibilidad de actuación que a las víctimas de vulneraciones de derechos humanos otorga el derecho a un recurso efectivo ante una instancia nacional, que enuncian el art. 2.3 a) del Pacto internacional de derechos civiles y políticos y el art. 13 del Convenio europeo de derechos humanos (máxime, como recogen estos preceptos, cuando la violación del derecho o libertad hubiera sido cometida por personas que actuaban en ejercicio de funciones oficiales). Derecho humano a la justicia que genera una obligación para el Estado de poner a disposición de la víctima un recurso efectivo no solo en la ley, sino fundamentalmente en la práctica, es decir, que sea adecuado y accesible. Una obligación estatal de facilitar los medios, de proveer a la víctima de un cauce procesal dirigido por una autoridad imparcial e independiente que permita el esclarecimiento de los hechos y la reparación de la lesión; su ejercicio no puede ser impedido injustificadamente por actos u omisiones de las autoridades nacionales (STEDH de 8 de abril de 2004, asunto </w:t>
      </w:r>
      <w:r w:rsidRPr="00576A90">
        <w:rPr>
          <w:i/>
        </w:rPr>
        <w:t>Özal y otros c. Turquía</w:t>
      </w:r>
      <w:r>
        <w:t>, § 59).</w:t>
      </w:r>
    </w:p>
    <w:p w14:paraId="68E5A0A0" w14:textId="77777777" w:rsidR="00576A90" w:rsidRDefault="00576A90" w:rsidP="00576A90">
      <w:pPr>
        <w:pStyle w:val="TextoNormal"/>
      </w:pPr>
    </w:p>
    <w:p w14:paraId="3D1192EE" w14:textId="77777777" w:rsidR="00576A90" w:rsidRDefault="00576A90" w:rsidP="00576A90">
      <w:pPr>
        <w:pStyle w:val="TextoNormal"/>
      </w:pPr>
      <w:r>
        <w:t>Los derechos a la verdad y a la justicia de las víctimas de violaciones de derechos humanos conllevan en el Derecho internacional de los derechos humanos elementos de especial protección para garantizar el acceso al proceso, según los tratados ratificados por España (PIDCP, CEDH, art. 12 de la Convención contra la tortura y otros tratos o penas crueles, inhumanos y degradantes, entre otros). Estas normas forman parte del ordenamiento interno y determinan el contenido de los derechos fundamentales (art. 96.2 y 10. 2 CE). En concreto, el estándar superior de garantía del derecho humano a un recurso efectivo, en relación con los derechos a la verdad y la justicia, reside en su capacidad de resistencia frente a políticas nacionales que traten de impedir o hacer imposible la investigación de los crímenes, como las que extinguen la responsabilidad penal (prescripción y amnistías). El deber de investigar las violaciones de derechos humanos se configura así en el Derecho internacional con carácter casi absoluto. Esta nueva perspectiva debería ser atendida por nuestra doctrina para actualizar el contenido del derecho fundamental con una interpretación conforme con el Derecho internacional de los derechos humanos.</w:t>
      </w:r>
    </w:p>
    <w:p w14:paraId="0A0284D8" w14:textId="77777777" w:rsidR="00576A90" w:rsidRDefault="00576A90" w:rsidP="00576A90">
      <w:pPr>
        <w:pStyle w:val="TextoNormal"/>
      </w:pPr>
    </w:p>
    <w:p w14:paraId="5E94CD21" w14:textId="77777777" w:rsidR="00576A90" w:rsidRDefault="00576A90" w:rsidP="00576A90">
      <w:pPr>
        <w:pStyle w:val="TextoNormal"/>
      </w:pPr>
      <w:r>
        <w:t>Aunque el Derecho internacional no sea canon autónomo del juicio de constitucionalidad, una vez incorporado dicho estándar de superior protección, por la vía de la interpretación conforme del art. 10.2 CE, al contenido material del derecho fundamental a la tutela judicial efectiva, este, el derecho fundamental ya actualizado, se configura como parámetro de control que permite otorgar amparo a la víctima de violación de un derecho humano frente a una resolución judicial que le niega el acceso a la jurisdicción. Porque los tratados determinan, directa o indirectamente, el contenido constitucionalmente declarado de los derechos fundamentales (STC 236/2007, FJ 5).</w:t>
      </w:r>
    </w:p>
    <w:p w14:paraId="296B82BA" w14:textId="77777777" w:rsidR="00576A90" w:rsidRDefault="00576A90" w:rsidP="00576A90">
      <w:pPr>
        <w:pStyle w:val="TextoNormal"/>
      </w:pPr>
    </w:p>
    <w:p w14:paraId="55C4F809" w14:textId="77777777" w:rsidR="00576A90" w:rsidRDefault="00576A90" w:rsidP="00576A90">
      <w:pPr>
        <w:pStyle w:val="TextoNormal"/>
      </w:pPr>
      <w:r>
        <w:t>7. También forma parte del contenido del derecho fundamental concernido, cuando de la vulneración del derecho a no ser sometido a torturas se trata, no solo la iniciación y desarrollo de una investigación, sino también que resulte una indagación eficaz. El Tribunal ha elaborado una doctrina sobre los requerimientos que el derecho fundamental a la tutela judicial efectiva en relación con el derecho a no ser sometido a torturas u otros tratos inhumanos o degradantes (art. 15 CE) impone a las decisiones judiciales de archivo y sobreseimiento de denuncias cuyo objeto fueren conductas de agentes estatales, esencial</w:t>
      </w:r>
      <w:r>
        <w:lastRenderedPageBreak/>
        <w:t>mente cuando la víctima se encuentra sometida a custodia o privada de libertad. Una doctrina que conviene traer aquí por su íntima conexión. Pues, la Constitución dirige un mandato a los jueces para que desarrollen una investigación suficiente, efectiva y exhaustiva de las denuncias contra agentes estatales en coherencia con el carácter absoluto de la prohibición de la tortura.</w:t>
      </w:r>
    </w:p>
    <w:p w14:paraId="55DD9F18" w14:textId="77777777" w:rsidR="00576A90" w:rsidRDefault="00576A90" w:rsidP="00576A90">
      <w:pPr>
        <w:pStyle w:val="TextoNormal"/>
      </w:pPr>
    </w:p>
    <w:p w14:paraId="5E661678" w14:textId="77777777" w:rsidR="00576A90" w:rsidRDefault="00576A90" w:rsidP="00576A90">
      <w:pPr>
        <w:pStyle w:val="TextoNormal"/>
      </w:pPr>
      <w:r>
        <w:t>8. La Ley de memoria democrática es un dato nuevo que aporta elementos distintivos que afectan a nuestra doctrina, algo que la resolución de inadmisión descarta sin mayores consideraciones. En mi opinión la deferencia del Tribunal hacia el legislador pedía otra respuesta.</w:t>
      </w:r>
    </w:p>
    <w:p w14:paraId="72EED17B" w14:textId="77777777" w:rsidR="00576A90" w:rsidRDefault="00576A90" w:rsidP="00576A90">
      <w:pPr>
        <w:pStyle w:val="TextoNormal"/>
      </w:pPr>
    </w:p>
    <w:p w14:paraId="694D1026" w14:textId="77777777" w:rsidR="00576A90" w:rsidRDefault="00576A90" w:rsidP="00576A90">
      <w:pPr>
        <w:pStyle w:val="TextoNormal"/>
      </w:pPr>
      <w:r>
        <w:t>La Ley contiene, en lo que interesa a la decisión de admisión del presente recurso de amparo, declaraciones sobre los derechos de las víctimas de violaciones de normas internacionales de derechos humanos y del Derecho internacional humanitario, que según el legislador vienen a incorporarse en el derecho fundamental a la tutela judicial efectiva en relación con el derecho a no ser sometido a tortura. Todo ello en virtud de la mencionada cláusula de apertura al Derecho internacional de los derechos humanos del art. 10.2 CE, que se cita en el art. 2.2 de la Ley de memoria democrática como principio general. Por un lado, se considera víctima a quienes padecieron torturas y malos tratos [art. 3.1 c)], como es el caso del demandante. Se enuncia un derecho subjetivo a la justicia que garantizará “la investigación de las violaciones de los derechos humanos” (art. 29.1); que se considera proyección de “la tutela judicial en los procedimientos encaminados a la obtención de una declaración judicial sobre la realidad y las circunstancias de hechos pasados” relacionados con las víctimas que la ley reconoce (art. 29.2). Para la realización del derecho a la justicia se crea un fiscal de Sala de Derechos Humanos y Memoria Democrática con la misión de “investigación de los hechos que constituyan violaciones de Derecho internacional de derechos humanos y del Derecho internacional humanitario” (art. 28).</w:t>
      </w:r>
    </w:p>
    <w:p w14:paraId="344E552F" w14:textId="77777777" w:rsidR="00576A90" w:rsidRDefault="00576A90" w:rsidP="00576A90">
      <w:pPr>
        <w:pStyle w:val="TextoNormal"/>
      </w:pPr>
    </w:p>
    <w:p w14:paraId="7187F2D4" w14:textId="77777777" w:rsidR="00576A90" w:rsidRDefault="00576A90" w:rsidP="00576A90">
      <w:pPr>
        <w:pStyle w:val="TextoNormal"/>
      </w:pPr>
      <w:r>
        <w:t>Los conceptos que el legislador emplea no dejan lugar a dudas de que está integrando en el derecho fundamental a la tutela judicial del 24.1 CE nuevos elementos, en concreto la obligación de investigar, que la doctrina constitucional no ha recogido. Porque cuando la ley habla de investigación, de tutela judicial, de procedimientos orientados a declarar judicialmente la existencia de una realidad sobre los hechos pasados, solo puede referirse a la garantía jurisdiccional, a la necesaria apertura de un proceso penal que permita el esclarecimiento de los hechos.</w:t>
      </w:r>
    </w:p>
    <w:p w14:paraId="2A96FBCA" w14:textId="77777777" w:rsidR="00576A90" w:rsidRDefault="00576A90" w:rsidP="00576A90">
      <w:pPr>
        <w:pStyle w:val="TextoNormal"/>
      </w:pPr>
    </w:p>
    <w:p w14:paraId="3493DA30" w14:textId="77777777" w:rsidR="00576A90" w:rsidRDefault="00576A90" w:rsidP="00576A90">
      <w:pPr>
        <w:pStyle w:val="TextoNormal"/>
      </w:pPr>
      <w:r>
        <w:t xml:space="preserve">Y, es más, como principio general el art. 2.3 de la Ley de memoria democrática declara que la Ley 46/1977, de 15 de octubre, de amnistía, y el resto de las leyes “se interpretarán y aplicarán de conformidad con el Derecho internacional […] según el cual los crímenes de guerra, de lesa humanidad, genocidio y tortura tienen la consideración de imprescriptibles y no amnistiables”. De esta manera, aunque España no haya suscrito la Convención sobre imprescriptibilidad de los crímenes de guerra y de los crímenes de lesa humanidad [resolución 2391 (XXIII), de 26 de noviembre de 1968, de la Asamblea General de Naciones Unidas], el legislador ha ido más allá al reconocer como regla de </w:t>
      </w:r>
      <w:r w:rsidRPr="00576A90">
        <w:rPr>
          <w:i/>
        </w:rPr>
        <w:t>ius cogens</w:t>
      </w:r>
      <w:r>
        <w:t xml:space="preserve"> internacional —que obliga a todos los Estados— la resistencia al instituto de la prescripción de la obligación de investigar y perseguir no solo de esos dos delitos, sino también del genocidio y de las torturas, además de afirmar que no pueden ser amnistiados. La doctrina del Tribunal Constitucional sigue negando este estándar del Derecho internacional que, en mi </w:t>
      </w:r>
      <w:r>
        <w:lastRenderedPageBreak/>
        <w:t>opinión, debería motivar la actualización del derecho fundamental a la tutela judicial en su vertiente de acceso al proceso, para incorporarlo a su contenido material.</w:t>
      </w:r>
    </w:p>
    <w:p w14:paraId="7F409306" w14:textId="77777777" w:rsidR="00576A90" w:rsidRDefault="00576A90" w:rsidP="00576A90">
      <w:pPr>
        <w:pStyle w:val="TextoNormal"/>
      </w:pPr>
    </w:p>
    <w:p w14:paraId="7D3765EA" w14:textId="77777777" w:rsidR="00576A90" w:rsidRDefault="00576A90" w:rsidP="00576A90">
      <w:pPr>
        <w:pStyle w:val="TextoNormal"/>
      </w:pPr>
      <w:r>
        <w:t>9. La Ley tiene una clara incidencia en el derecho de acceso a la jurisdicción penal como recurso efectivo de las víctimas de torturas y de otras graves violaciones de los derechos humanos. El legislador ha abordado una tarea de ampliación de los derechos de las víctimas que requiere de la colaboración del Tribunal Constitucional, que puede actualizar los derechos fundamentales, en el caso el de tutela judicial efectiva, para incorporar los niveles de superior protección de los tratados internacionales de derechos humanos suscritos por España y hacer viable la apertura de diligencias procesales penales para la investigación de las graves y sistemáticas vulneraciones de derechos humanos ejecutadas por agentes del Estado durante la dictadura, cauce de realización del derecho a la justicia y a la verdad del que aquellas son titulares.</w:t>
      </w:r>
    </w:p>
    <w:p w14:paraId="2D34D968" w14:textId="77777777" w:rsidR="00576A90" w:rsidRDefault="00576A90" w:rsidP="00576A90">
      <w:pPr>
        <w:pStyle w:val="TextoNormal"/>
      </w:pPr>
    </w:p>
    <w:p w14:paraId="175DB800" w14:textId="77777777" w:rsidR="00576A90" w:rsidRDefault="00576A90" w:rsidP="00576A90">
      <w:pPr>
        <w:pStyle w:val="TextoNormal"/>
      </w:pPr>
      <w:r>
        <w:t>La debida deferencia con el legislador democrático parecía recomendar que el Tribunal admitiera la demanda y en el seno del proceso constitucional de amparo reflexionase si procedía mantener, matizar o modificar la doctrina sobre la investigación de los crímenes de la dictadura en el periodo del tardofranquismo. En este punto radicaba, sin lugar a duda, la especial trascendencia constitucional que planteaba el recurso.</w:t>
      </w:r>
    </w:p>
    <w:p w14:paraId="21C743FD" w14:textId="77777777" w:rsidR="00576A90" w:rsidRDefault="00576A90" w:rsidP="00576A90">
      <w:pPr>
        <w:pStyle w:val="TextoNormal"/>
      </w:pPr>
    </w:p>
    <w:p w14:paraId="5C1EEC53" w14:textId="7487F8F4" w:rsidR="00576A90" w:rsidRDefault="00576A90" w:rsidP="00576A90">
      <w:pPr>
        <w:pStyle w:val="TextoNormal"/>
      </w:pPr>
      <w:r>
        <w:t>Madrid, a dieciocho de junio de dos mil veinticuatro.</w:t>
      </w:r>
    </w:p>
    <w:p w14:paraId="415DFD32" w14:textId="4DC743ED" w:rsidR="00576A90" w:rsidRDefault="00576A90">
      <w:pPr>
        <w:spacing w:after="160" w:line="259" w:lineRule="auto"/>
        <w:rPr>
          <w:rFonts w:ascii="Times New Roman" w:eastAsia="Times New Roman" w:hAnsi="Times New Roman" w:cs="Times New Roman"/>
          <w:sz w:val="24"/>
          <w:szCs w:val="24"/>
          <w:lang w:eastAsia="es-ES"/>
        </w:rPr>
      </w:pPr>
      <w:r>
        <w:br w:type="page"/>
      </w:r>
    </w:p>
    <w:p w14:paraId="264D8088" w14:textId="77777777" w:rsidR="00576A90" w:rsidRDefault="00576A90" w:rsidP="00576A90">
      <w:pPr>
        <w:pStyle w:val="TtuloResolucin"/>
      </w:pPr>
      <w:bookmarkStart w:id="153" w:name="AUTO_2024_58"/>
      <w:r>
        <w:lastRenderedPageBreak/>
        <w:t>AUTO 58/2024, de 17 de junio de 2024</w:t>
      </w:r>
    </w:p>
    <w:bookmarkEnd w:id="153"/>
    <w:p w14:paraId="513B297D" w14:textId="77777777" w:rsidR="00576A90" w:rsidRDefault="00576A90" w:rsidP="00576A90">
      <w:pPr>
        <w:pStyle w:val="TtuloResolucin"/>
      </w:pPr>
      <w:r>
        <w:t>Pleno</w:t>
      </w:r>
    </w:p>
    <w:p w14:paraId="54C9AF12" w14:textId="77777777" w:rsidR="00576A90" w:rsidRDefault="00576A90" w:rsidP="00576A90">
      <w:pPr>
        <w:pStyle w:val="TextoNormalCentrado"/>
      </w:pPr>
      <w:r>
        <w:t>ECLI:ES:TC:2024:58A</w:t>
      </w:r>
    </w:p>
    <w:p w14:paraId="324BB094" w14:textId="1CC1E061" w:rsidR="00576A90" w:rsidRDefault="00576A90" w:rsidP="00576A90">
      <w:pPr>
        <w:pStyle w:val="TextoNormalCentrado"/>
      </w:pPr>
    </w:p>
    <w:p w14:paraId="0656FF95" w14:textId="77777777" w:rsidR="00576A90" w:rsidRDefault="00576A90" w:rsidP="00576A90">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y don Juan Carlos Campo Moreno.</w:t>
      </w:r>
    </w:p>
    <w:p w14:paraId="6948FE80" w14:textId="4CC6EBF5" w:rsidR="00576A90" w:rsidRDefault="00576A90" w:rsidP="00576A90">
      <w:pPr>
        <w:pStyle w:val="SntesisDescriptiva"/>
      </w:pPr>
    </w:p>
    <w:p w14:paraId="49F15BFA" w14:textId="77777777" w:rsidR="00576A90" w:rsidRDefault="00576A90" w:rsidP="00576A90">
      <w:pPr>
        <w:pStyle w:val="SntesisDescriptiva"/>
      </w:pPr>
      <w:r>
        <w:t>Inadmite a trámite la cuestión prejudicial de validez 2239-2024, planteada por el Juzgado de lo Contencioso-Administrativo núm. 3 de Donostia-San Sebastián en relación con diversos preceptos de la Norma Foral del territorio histórico de Gipuzkoa 16/1989, de 5 de julio, relativos al impuesto sobre el incremento de valor de los terrenos de naturaleza urbana.</w:t>
      </w:r>
    </w:p>
    <w:p w14:paraId="5EBEB187" w14:textId="1F6D94C7" w:rsidR="00576A90" w:rsidRDefault="00576A90" w:rsidP="00576A90">
      <w:pPr>
        <w:pStyle w:val="SntesisDescriptiva"/>
      </w:pPr>
    </w:p>
    <w:p w14:paraId="178F6CFC" w14:textId="77777777" w:rsidR="00576A90" w:rsidRDefault="00576A90" w:rsidP="00576A90">
      <w:pPr>
        <w:pStyle w:val="SntesisDescriptiva"/>
      </w:pPr>
    </w:p>
    <w:p w14:paraId="70CC3A31" w14:textId="77777777" w:rsidR="00576A90" w:rsidRDefault="00576A90" w:rsidP="00576A90">
      <w:pPr>
        <w:pStyle w:val="SntesisDescriptiva"/>
      </w:pPr>
    </w:p>
    <w:p w14:paraId="26C6452F" w14:textId="77777777" w:rsidR="00576A90" w:rsidRDefault="00576A90" w:rsidP="00576A90">
      <w:pPr>
        <w:pStyle w:val="TextoNormalNegritaCentrado"/>
      </w:pPr>
      <w:r>
        <w:t>AUTO</w:t>
      </w:r>
    </w:p>
    <w:p w14:paraId="1A928C7D" w14:textId="03246869" w:rsidR="00576A90" w:rsidRDefault="00576A90" w:rsidP="00576A90">
      <w:pPr>
        <w:pStyle w:val="TextoNormalNegritaCentrado"/>
      </w:pPr>
    </w:p>
    <w:p w14:paraId="1488C904" w14:textId="77777777" w:rsidR="00576A90" w:rsidRDefault="00576A90" w:rsidP="00576A90">
      <w:pPr>
        <w:pStyle w:val="TextoNormalNegritaCentrado"/>
        <w:keepNext/>
      </w:pPr>
      <w:r>
        <w:t>I. Antecedentes</w:t>
      </w:r>
    </w:p>
    <w:p w14:paraId="2211F2BB" w14:textId="2599B385" w:rsidR="00576A90" w:rsidRDefault="00576A90" w:rsidP="00576A90">
      <w:pPr>
        <w:pStyle w:val="TextoNormalNegritaCentrado"/>
        <w:keepNext/>
      </w:pPr>
    </w:p>
    <w:p w14:paraId="08D98A40" w14:textId="6346DFE5" w:rsidR="00576A90" w:rsidRDefault="00576A90" w:rsidP="00576A90">
      <w:pPr>
        <w:pStyle w:val="TextoNormal"/>
      </w:pPr>
      <w:r w:rsidRPr="00576A90">
        <w:rPr>
          <w:rStyle w:val="NumeroAFNegritaCaracter"/>
        </w:rPr>
        <w:t>1</w:t>
      </w:r>
      <w:r>
        <w:t>. El día 2 de abril de 2024 tuvo entrada en el registro general del Tribunal el oficio del letrado de la administración de justicia del Juzgado de lo Contencioso-Administrativo núm. 3 de Donostia-San Sebastián remitiendo testimonio del auto de 19 de marzo de 2024 dictado en el procedimiento abreviado núm. 427-2022, en que el juzgado acuerda plantear “cuestión de inconstitucionalidad” en relación con el artículo 4.1, párrafo segundo, 4.2 a) y 4.3 de la Norma Foral del territorio histórico de Gipuzkoa 16/1989, de 5 de julio, del impuesto sobre el incremento del valor de los terrenos de naturaleza urbana, “en su regulación anterior a la modificación efectuada por Decreto Foral-Norma 7/2021, de 16 de noviembre, de adaptación de la Norma Foral 16/1989, […] a la jurisprudencia del Tribunal Constitucional”, por contravenir el principio de capacidad económica del art. 31.1 CE. Junto con el testimonio del auto se remitió también copia testimoniada de las actuaciones judiciales y del expediente administrativo.</w:t>
      </w:r>
    </w:p>
    <w:p w14:paraId="24DA380D" w14:textId="77777777" w:rsidR="00576A90" w:rsidRDefault="00576A90" w:rsidP="00576A90">
      <w:pPr>
        <w:pStyle w:val="TextoNormal"/>
      </w:pPr>
    </w:p>
    <w:p w14:paraId="17D43A95" w14:textId="77777777" w:rsidR="00576A90" w:rsidRDefault="00576A90" w:rsidP="00576A90">
      <w:pPr>
        <w:pStyle w:val="TextoNormal"/>
      </w:pPr>
      <w:r w:rsidRPr="00576A90">
        <w:rPr>
          <w:rStyle w:val="NumeroAFNegritaCaracter"/>
        </w:rPr>
        <w:t>2</w:t>
      </w:r>
      <w:r>
        <w:t>. El planteamiento de la cuestión prejudicial de validez trae causa de los siguientes antecedentes:</w:t>
      </w:r>
    </w:p>
    <w:p w14:paraId="57B69A50" w14:textId="77777777" w:rsidR="00576A90" w:rsidRDefault="00576A90" w:rsidP="00576A90">
      <w:pPr>
        <w:pStyle w:val="TextoNormal"/>
      </w:pPr>
    </w:p>
    <w:p w14:paraId="3103A287" w14:textId="77777777" w:rsidR="00576A90" w:rsidRDefault="00576A90" w:rsidP="00576A90">
      <w:pPr>
        <w:pStyle w:val="TextoNormal"/>
      </w:pPr>
      <w:r>
        <w:t>a) Don J.K.B.I., doña M.C.I.M. y doña M.A.B.I. interpusieron recurso contencioso-administrativo contra las liquidaciones del impuesto sobre el incremento del valor de los terrenos de naturaleza urbana (IIVTNU) giradas por el Ayuntamiento de Andoain como consecuencia de la adquisición por título de herencia de distintas propiedades urbanas, y contra las resoluciones de los recursos de reposición interpuestos contra esas liquidaciones.</w:t>
      </w:r>
    </w:p>
    <w:p w14:paraId="66601420" w14:textId="77777777" w:rsidR="00576A90" w:rsidRDefault="00576A90" w:rsidP="00576A90">
      <w:pPr>
        <w:pStyle w:val="TextoNormal"/>
      </w:pPr>
    </w:p>
    <w:p w14:paraId="5FDE61D1" w14:textId="77777777" w:rsidR="00576A90" w:rsidRDefault="00576A90" w:rsidP="00576A90">
      <w:pPr>
        <w:pStyle w:val="TextoNormal"/>
      </w:pPr>
      <w:r>
        <w:t xml:space="preserve">b) En su recurso contencioso-administrativo, los recurrentes alegaron que los preceptos forales aplicados son inconstitucionales por los motivos expuestos en la STC 182/2021, de  </w:t>
      </w:r>
      <w:r>
        <w:lastRenderedPageBreak/>
        <w:t>26 de octubre, que declaró inconstitucionales y nulos los arts. 107.1, párrafo segundo, 107.2 a) y 107.4 del texto refundido de la Ley reguladora de las haciendas locales (TRLHL). El Ayuntamiento de Andoain solicitó la desestimación del recurso argumentando que los preceptos de la Norma Foral 16/1989 no estaban afectados por la citada STC 182/2021.</w:t>
      </w:r>
    </w:p>
    <w:p w14:paraId="5EABCC63" w14:textId="77777777" w:rsidR="00576A90" w:rsidRDefault="00576A90" w:rsidP="00576A90">
      <w:pPr>
        <w:pStyle w:val="TextoNormal"/>
      </w:pPr>
    </w:p>
    <w:p w14:paraId="6E671AE8" w14:textId="77777777" w:rsidR="00576A90" w:rsidRDefault="00576A90" w:rsidP="00576A90">
      <w:pPr>
        <w:pStyle w:val="TextoNormal"/>
      </w:pPr>
      <w:r>
        <w:t>c) Una vez concluso el procedimiento, el juzgado dictó providencia de 20 de febrero de 2023 dando traslado a las partes personadas y al Ministerio Fiscal sobre el posible planteamiento de “cuestión de inconstitucionalidad del art. 4 de la Norma Foral 16/1989, reguladora del impuestos sobre el incremento de valor de los terrenos de naturaleza urbana, en su redacción anterior al 17 de noviembre de 2021, por concurrir motivos análogos por los que se declaró la inconstitucionalidad de los arts. 107.1, párrafo segundo, 107.2 a) y 107.4 del el texto refundido de la Ley reguladora de las haciendas locales, aprobado por el Real Decreto Legislativo 2/2004 de 5 de marzo, en virtud de la STC 182/2021, de 26 de octubre”.</w:t>
      </w:r>
    </w:p>
    <w:p w14:paraId="449D5178" w14:textId="77777777" w:rsidR="00576A90" w:rsidRDefault="00576A90" w:rsidP="00576A90">
      <w:pPr>
        <w:pStyle w:val="TextoNormal"/>
      </w:pPr>
    </w:p>
    <w:p w14:paraId="03D4B07E" w14:textId="77777777" w:rsidR="00576A90" w:rsidRDefault="00576A90" w:rsidP="00576A90">
      <w:pPr>
        <w:pStyle w:val="TextoNormal"/>
      </w:pPr>
      <w:r>
        <w:t>d) Presentadas estas alegaciones y promovida por auto de 20 de marzo de 2023 cuestión prejudicial de validez, esta fue inadmitida a trámite por ATC 486/2023, de 24 de octubre. Con cita de los AATC 154/2022, de 16 de noviembre, y 68/2022, de 7 de abril, este ATC 486/2023 consideró que “el órgano judicial no había efectuado debidamente el juicio de relevancia porque no había formulado su propio juicio al respecto ni había expresado las razones por las que entendía que tales preceptos eran determinantes para el caso que había de resolver; máxime cuando ni tan siquiera se había puesto de manifiesto la existencia o no, en el caso concreto, del incremento patrimonial revelador de la riqueza susceptible de gravamen en el hecho imponible” [FJ 2 b)].</w:t>
      </w:r>
    </w:p>
    <w:p w14:paraId="7EE64B0C" w14:textId="77777777" w:rsidR="00576A90" w:rsidRDefault="00576A90" w:rsidP="00576A90">
      <w:pPr>
        <w:pStyle w:val="TextoNormal"/>
      </w:pPr>
    </w:p>
    <w:p w14:paraId="19919763" w14:textId="77777777" w:rsidR="00576A90" w:rsidRDefault="00576A90" w:rsidP="00576A90">
      <w:pPr>
        <w:pStyle w:val="TextoNormal"/>
      </w:pPr>
      <w:r>
        <w:t>e) El juzgado recibió certificación del ATC 486/2023 el 15 de noviembre de 2023, que notificó a las partes.</w:t>
      </w:r>
    </w:p>
    <w:p w14:paraId="42815D42" w14:textId="77777777" w:rsidR="00576A90" w:rsidRDefault="00576A90" w:rsidP="00576A90">
      <w:pPr>
        <w:pStyle w:val="TextoNormal"/>
      </w:pPr>
    </w:p>
    <w:p w14:paraId="707C07E4" w14:textId="59A90BE3" w:rsidR="00576A90" w:rsidRDefault="00576A90" w:rsidP="00576A90">
      <w:pPr>
        <w:pStyle w:val="TextoNormal"/>
      </w:pPr>
      <w:r>
        <w:t>f) El 29 de noviembre la representación de don J.K.B.I. presentó un escrito en el que solicita que, habiéndose publicado en “Boletín Oficial del Estado” la providencia de admisión de la cuestión prejudicial de validez 5349-2023 sobre las mismas normas forales fiscales cuestionadas, se acuerde la suspensión del procedimiento contencioso-administrativo hasta su resolución. Por diligencia de ordenación de la misma fecha se tuvo por unido el anterior escrito y quedaron las actuaciones “a la espera del traslado que S.Sª acuerde dar a las partes antes de resolver”.</w:t>
      </w:r>
    </w:p>
    <w:p w14:paraId="56FA55DF" w14:textId="77777777" w:rsidR="00576A90" w:rsidRDefault="00576A90" w:rsidP="00576A90">
      <w:pPr>
        <w:pStyle w:val="TextoNormal"/>
      </w:pPr>
    </w:p>
    <w:p w14:paraId="30FFF7E4" w14:textId="77777777" w:rsidR="00576A90" w:rsidRDefault="00576A90" w:rsidP="00576A90">
      <w:pPr>
        <w:pStyle w:val="TextoNormal"/>
      </w:pPr>
      <w:r w:rsidRPr="00576A90">
        <w:rPr>
          <w:rStyle w:val="NumeroAFNegritaCaracter"/>
        </w:rPr>
        <w:t>3</w:t>
      </w:r>
      <w:r>
        <w:t>. Por auto de 19 de marzo de 2024 el juzgado acordó plantear nuevamente “cuestión de inconstitucionalidad en relación con el art. 4.1, párrafo segundo, art. 4.2 a) y art. 4.3 de la Norma Foral 16/1989, de 5 de julio, del territorio histórico de Guipuzcoa, reguladora del impuestos sobre el incremento de valor de los terrenos de naturaleza urbana, por contravenir el principio de capacidad económica como criterio de imposición, artículo 31.1 de la Constitución española”.</w:t>
      </w:r>
    </w:p>
    <w:p w14:paraId="2DCB5B76" w14:textId="77777777" w:rsidR="00576A90" w:rsidRDefault="00576A90" w:rsidP="00576A90">
      <w:pPr>
        <w:pStyle w:val="TextoNormal"/>
      </w:pPr>
    </w:p>
    <w:p w14:paraId="3E626D85" w14:textId="77777777" w:rsidR="00576A90" w:rsidRDefault="00576A90" w:rsidP="00576A90">
      <w:pPr>
        <w:pStyle w:val="TextoNormal"/>
      </w:pPr>
      <w:r>
        <w:t xml:space="preserve">El auto de planteamiento identifica las liquidaciones objeto de recurso, giradas sobre el hecho imponible producido “en fecha 7 de enero de 2021”. Sobre esta base, el auto considera “necesario” plantear la cuestión prejudicial de validez. Remitiéndose al ATC 188/2023, de 18 de abril, expone su “razonamiento concreto” sobre la aplicabilidad del </w:t>
      </w:r>
      <w:r>
        <w:lastRenderedPageBreak/>
        <w:t>Decreto Foral-Norma 2/2017, de 28 de marzo, que modificó la Norma Foral 16/1989. Concluye que la derogación de este Decreto 2/2017 por nuevo Decreto Foral-Norma 7/2021, “carece de relevancia en el caso concreto enjuiciado” porque “no habiéndose establecido en este último su aplicación retroactiva, se aplica la regla general contenida en el art. 9.2 de la Norma Foral 2/2005, de 8 de marzo, general tributaria del territorio histórico de Gipuzkoa, que expresamente dispone que las normas tributarias no tendrán efecto retroactivo si no dispusieren lo contrario”.</w:t>
      </w:r>
    </w:p>
    <w:p w14:paraId="4B32BB4D" w14:textId="77777777" w:rsidR="00576A90" w:rsidRDefault="00576A90" w:rsidP="00576A90">
      <w:pPr>
        <w:pStyle w:val="TextoNormal"/>
      </w:pPr>
    </w:p>
    <w:p w14:paraId="5F732D17" w14:textId="1E87AA1B" w:rsidR="00576A90" w:rsidRDefault="00576A90" w:rsidP="00576A90">
      <w:pPr>
        <w:pStyle w:val="TextoNormal"/>
      </w:pPr>
      <w:r>
        <w:t>Añade, con nueva referencia al ATC 188/2023, que existió efectivamente incremento de valor de los terrenos porque las partes demandantes se muestran conformes y aceptan ese incremento de valor. Por consiguiente, habiéndose producido un incremento de valor, resulta “directamente aplicable al caso” el art. 4.1, párrafo segundo, el art. 4.2 a) y el art. 4.3 de la Norma Foral 16/1989 “en la redacción vigente que se aplicó en las liquidaciones impugnadas”, cuya constitucionalidad se cuestiona por identidad con el caso de la STC 182/2021 que reproduce por extenso. Hace lo propio con los arts. 107.1, párrafo segundo, 107.2 a) y 107.4 TRLHL, anulados en aquella sentencia, y con los preceptos de la Norma Foral 16/1989 respecto de los que plantea cuestión prejudicial.</w:t>
      </w:r>
    </w:p>
    <w:p w14:paraId="67E32D45" w14:textId="77777777" w:rsidR="00576A90" w:rsidRDefault="00576A90" w:rsidP="00576A90">
      <w:pPr>
        <w:pStyle w:val="TextoNormal"/>
      </w:pPr>
    </w:p>
    <w:p w14:paraId="4355B84B" w14:textId="76852378" w:rsidR="00576A90" w:rsidRDefault="00576A90" w:rsidP="00576A90">
      <w:pPr>
        <w:pStyle w:val="TextoNormal"/>
      </w:pPr>
      <w:r w:rsidRPr="00576A90">
        <w:rPr>
          <w:rStyle w:val="NumeroAFNegritaCaracter"/>
        </w:rPr>
        <w:t>4</w:t>
      </w:r>
      <w:r>
        <w:t>. Por providencia de 7 de mayo de 2024, el Pleno del Tribunal Constitucional acordó, a los efectos que determina el art. 37.1 de la Ley Orgánica del Tribunal Constitucional (LOTC), oír al fiscal general del Estado para que en el plazo de diez días alegase lo que considerase conveniente en relación con la posible pérdida sobrevenida de objeto de la cuestión prejudicial de validez, a la vista de la STC 46/2024, de 12 de marzo.</w:t>
      </w:r>
    </w:p>
    <w:p w14:paraId="053C0BCA" w14:textId="77777777" w:rsidR="00576A90" w:rsidRDefault="00576A90" w:rsidP="00576A90">
      <w:pPr>
        <w:pStyle w:val="TextoNormal"/>
      </w:pPr>
    </w:p>
    <w:p w14:paraId="02786698" w14:textId="296461AF" w:rsidR="00576A90" w:rsidRDefault="00576A90" w:rsidP="00576A90">
      <w:pPr>
        <w:pStyle w:val="TextoNormal"/>
      </w:pPr>
      <w:r w:rsidRPr="00576A90">
        <w:rPr>
          <w:rStyle w:val="NumeroAFNegritaCaracter"/>
        </w:rPr>
        <w:t>5</w:t>
      </w:r>
      <w:r>
        <w:t>. El fiscal general del Estado presentó sus alegaciones el 31 de mayo de 2024. En ellas constata que los preceptos cuestionados han sido ya declarados inconstitucionales y nulos en la STC 46/2024, de 12 de marzo, por lo que procede, de acuerdo con la doctrina constitucional que cita, declarar la pérdida sobrevenida de objeto de la cuestión prejudicial de validez.</w:t>
      </w:r>
    </w:p>
    <w:p w14:paraId="3DF2B6AC" w14:textId="77777777" w:rsidR="00576A90" w:rsidRDefault="00576A90" w:rsidP="00576A90">
      <w:pPr>
        <w:pStyle w:val="TextoNormal"/>
      </w:pPr>
    </w:p>
    <w:p w14:paraId="5C54DF84" w14:textId="77777777" w:rsidR="00576A90" w:rsidRDefault="00576A90" w:rsidP="00576A90">
      <w:pPr>
        <w:pStyle w:val="TextoNormalNegritaCentrado"/>
        <w:keepNext/>
      </w:pPr>
      <w:r>
        <w:t>II. Fundamentos jurídicos</w:t>
      </w:r>
    </w:p>
    <w:p w14:paraId="53D2D0AD" w14:textId="599C4D78" w:rsidR="00576A90" w:rsidRDefault="00576A90" w:rsidP="00576A90">
      <w:pPr>
        <w:pStyle w:val="TextoNormalNegritaCentrado"/>
        <w:keepNext/>
      </w:pPr>
    </w:p>
    <w:p w14:paraId="69FB8473" w14:textId="77777777" w:rsidR="00576A90" w:rsidRDefault="00576A90" w:rsidP="00576A90">
      <w:pPr>
        <w:pStyle w:val="TextoNormal"/>
      </w:pPr>
      <w:r w:rsidRPr="00576A90">
        <w:rPr>
          <w:rStyle w:val="NumeroAFNegritaCaracter"/>
        </w:rPr>
        <w:t>1</w:t>
      </w:r>
      <w:r>
        <w:t xml:space="preserve">. </w:t>
      </w:r>
      <w:r w:rsidRPr="00576A90">
        <w:rPr>
          <w:i/>
        </w:rPr>
        <w:t>Objeto de la cuestión prejudicial de validez</w:t>
      </w:r>
    </w:p>
    <w:p w14:paraId="526EBDEB" w14:textId="77777777" w:rsidR="00576A90" w:rsidRDefault="00576A90" w:rsidP="00576A90">
      <w:pPr>
        <w:pStyle w:val="TextoNormal"/>
      </w:pPr>
    </w:p>
    <w:p w14:paraId="196D4DE2" w14:textId="77777777" w:rsidR="00576A90" w:rsidRDefault="00576A90" w:rsidP="00576A90">
      <w:pPr>
        <w:pStyle w:val="TextoNormal"/>
      </w:pPr>
      <w:r>
        <w:t>El Juzgado de lo Contencioso-Administrativo núm. 3 de Donostia-San Sebastián promueve, al amparo de la disposición adicional quinta, apartado 1 LOTC, cuestión prejudicial de validez en relación con los arts. 4.1, párrafo segundo, 4.2 a) y 4.3 de la Norma Foral 16/1989, de 5 de julio, del territorio histórico de Gipuzkoa, del impuesto sobre el incremento del valor de los terrenos de naturaleza urbana (IIVTNU), en la redacción vigente con anterioridad a la modificación efectuada por el Decreto Foral-Norma 7/2021, de 16 de noviembre, de adaptación de la Norma Foral 16/1989 a la jurisprudencia del Tribunal Constitucional, que es la redacción aplicable por razones temporales al caso que debe resolver.</w:t>
      </w:r>
    </w:p>
    <w:p w14:paraId="03184098" w14:textId="77777777" w:rsidR="00576A90" w:rsidRDefault="00576A90" w:rsidP="00576A90">
      <w:pPr>
        <w:pStyle w:val="TextoNormal"/>
      </w:pPr>
    </w:p>
    <w:p w14:paraId="753F5072" w14:textId="22BDC442" w:rsidR="00576A90" w:rsidRDefault="00576A90" w:rsidP="00576A90">
      <w:pPr>
        <w:pStyle w:val="TextoNormal"/>
      </w:pPr>
      <w:r>
        <w:t xml:space="preserve">Para el órgano promotor los citados preceptos pueden ser contrarios al principio de capacidad económica como criterio de imposición garantizado por el art. 31.1 CE, tal como fue interpretado este principio por la STC 182/2021, de 26 de octubre, en relación con la </w:t>
      </w:r>
      <w:r>
        <w:lastRenderedPageBreak/>
        <w:t>regulación del IIVTNU contenida en el texto refundido de la Ley reguladora de las haciendas locales, aprobado por el Real Decreto Legislativo 2/2004, de 5 de marzo.</w:t>
      </w:r>
    </w:p>
    <w:p w14:paraId="694D745D" w14:textId="77777777" w:rsidR="00576A90" w:rsidRDefault="00576A90" w:rsidP="00576A90">
      <w:pPr>
        <w:pStyle w:val="TextoNormal"/>
      </w:pPr>
    </w:p>
    <w:p w14:paraId="70545C84" w14:textId="77777777" w:rsidR="00576A90" w:rsidRDefault="00576A90" w:rsidP="00576A90">
      <w:pPr>
        <w:pStyle w:val="TextoNormal"/>
      </w:pPr>
      <w:r w:rsidRPr="00576A90">
        <w:rPr>
          <w:rStyle w:val="NumeroAFNegritaCaracter"/>
        </w:rPr>
        <w:t>2</w:t>
      </w:r>
      <w:r>
        <w:t xml:space="preserve">. </w:t>
      </w:r>
      <w:r w:rsidRPr="00576A90">
        <w:rPr>
          <w:i/>
        </w:rPr>
        <w:t>Pérdida de objeto</w:t>
      </w:r>
    </w:p>
    <w:p w14:paraId="6F838EEB" w14:textId="77777777" w:rsidR="00576A90" w:rsidRDefault="00576A90" w:rsidP="00576A90">
      <w:pPr>
        <w:pStyle w:val="TextoNormal"/>
      </w:pPr>
    </w:p>
    <w:p w14:paraId="57C2126E" w14:textId="6571474E" w:rsidR="00576A90" w:rsidRDefault="00576A90" w:rsidP="00576A90">
      <w:pPr>
        <w:pStyle w:val="TextoNormal"/>
      </w:pPr>
      <w:r>
        <w:t xml:space="preserve">La STC 46/2024, de 12 de marzo, ha declarado inconstitucionales y nulos los preceptos cuestionados en la misma redacción temporalmente aplicable al caso </w:t>
      </w:r>
      <w:r w:rsidRPr="00576A90">
        <w:rPr>
          <w:i/>
        </w:rPr>
        <w:t>a quo</w:t>
      </w:r>
      <w:r>
        <w:t xml:space="preserve">, con la limitación de efectos señalada en su fundamento jurídico 4. Una limitación de efectos que no alcanza al proceso </w:t>
      </w:r>
      <w:r w:rsidRPr="00576A90">
        <w:rPr>
          <w:i/>
        </w:rPr>
        <w:t>a quo</w:t>
      </w:r>
      <w:r>
        <w:t xml:space="preserve"> ya que las liquidaciones recurridas ante el juzgado promotor de la cuestión lo fueron antes de la fecha de la citada STC 46/2024. Esto determina, según doctrina reiterada de este tribunal (AATC 101/2017, de 4 de julio, y 36/2023, de 7 de febrero, entre otros), la inadmisión por pérdida sobrevenida de objeto de la presente cuestión prejudicial de validez.</w:t>
      </w:r>
    </w:p>
    <w:p w14:paraId="585F6AD0" w14:textId="77777777" w:rsidR="00576A90" w:rsidRDefault="00576A90" w:rsidP="00576A90">
      <w:pPr>
        <w:pStyle w:val="TextoNormal"/>
      </w:pPr>
    </w:p>
    <w:p w14:paraId="380F6740" w14:textId="77777777" w:rsidR="00576A90" w:rsidRDefault="00576A90" w:rsidP="00576A90">
      <w:pPr>
        <w:pStyle w:val="TextoNormal"/>
      </w:pPr>
      <w:r>
        <w:t>Por lo expuesto, el Pleno</w:t>
      </w:r>
    </w:p>
    <w:p w14:paraId="6C0D1736" w14:textId="4D405526" w:rsidR="00576A90" w:rsidRDefault="00576A90" w:rsidP="00576A90">
      <w:pPr>
        <w:pStyle w:val="TextoNormal"/>
      </w:pPr>
    </w:p>
    <w:p w14:paraId="7F357573" w14:textId="77777777" w:rsidR="00576A90" w:rsidRDefault="00576A90" w:rsidP="00576A90">
      <w:pPr>
        <w:pStyle w:val="TextoNormalCentrado"/>
      </w:pPr>
      <w:r>
        <w:t>ACUERDA</w:t>
      </w:r>
    </w:p>
    <w:p w14:paraId="1B85D1D7" w14:textId="77CFEFF5" w:rsidR="00576A90" w:rsidRDefault="00576A90" w:rsidP="00576A90">
      <w:pPr>
        <w:pStyle w:val="TextoNormalCentrado"/>
      </w:pPr>
    </w:p>
    <w:p w14:paraId="279B780E" w14:textId="12596DEE" w:rsidR="00576A90" w:rsidRDefault="00576A90" w:rsidP="00576A90">
      <w:pPr>
        <w:pStyle w:val="TextoNormal"/>
      </w:pPr>
      <w:r>
        <w:t>Inadmitir a trámite la presente cuestión prejudicial de validez, por pérdida sobrevenida de su objeto.</w:t>
      </w:r>
    </w:p>
    <w:p w14:paraId="6D148644" w14:textId="77777777" w:rsidR="00576A90" w:rsidRDefault="00576A90" w:rsidP="00576A90">
      <w:pPr>
        <w:pStyle w:val="TextoNormal"/>
      </w:pPr>
    </w:p>
    <w:p w14:paraId="1E7B1782" w14:textId="77777777" w:rsidR="00576A90" w:rsidRDefault="00576A90" w:rsidP="00576A90">
      <w:pPr>
        <w:pStyle w:val="TextoNormal"/>
      </w:pPr>
      <w:r>
        <w:t>Madrid, a diecisiete de junio de dos mil veinticuatro.</w:t>
      </w:r>
    </w:p>
    <w:p w14:paraId="37298F16" w14:textId="50630965" w:rsidR="00576A90" w:rsidRDefault="00576A90">
      <w:pPr>
        <w:spacing w:after="160" w:line="259" w:lineRule="auto"/>
        <w:rPr>
          <w:rFonts w:ascii="Times New Roman" w:eastAsia="Times New Roman" w:hAnsi="Times New Roman" w:cs="Times New Roman"/>
          <w:sz w:val="24"/>
          <w:szCs w:val="24"/>
          <w:lang w:eastAsia="es-ES"/>
        </w:rPr>
      </w:pPr>
      <w:r>
        <w:br w:type="page"/>
      </w:r>
    </w:p>
    <w:p w14:paraId="1FA995FF" w14:textId="77777777" w:rsidR="00576A90" w:rsidRDefault="00576A90" w:rsidP="00576A90">
      <w:pPr>
        <w:pStyle w:val="TtuloResolucin"/>
      </w:pPr>
      <w:bookmarkStart w:id="154" w:name="AUTO_2024_59"/>
      <w:r>
        <w:lastRenderedPageBreak/>
        <w:t>AUTO 59/2024, de 17 de junio de 2024</w:t>
      </w:r>
    </w:p>
    <w:bookmarkEnd w:id="154"/>
    <w:p w14:paraId="1C21F9F9" w14:textId="77777777" w:rsidR="00576A90" w:rsidRDefault="00576A90" w:rsidP="00576A90">
      <w:pPr>
        <w:pStyle w:val="TtuloResolucin"/>
      </w:pPr>
      <w:r>
        <w:t>Pleno</w:t>
      </w:r>
    </w:p>
    <w:p w14:paraId="32B3592C" w14:textId="77777777" w:rsidR="00576A90" w:rsidRDefault="00576A90" w:rsidP="00576A90">
      <w:pPr>
        <w:pStyle w:val="TextoNormalCentrado"/>
      </w:pPr>
      <w:r>
        <w:t>ECLI:ES:TC:2024:59A</w:t>
      </w:r>
    </w:p>
    <w:p w14:paraId="5AEA9F05" w14:textId="75E3795A" w:rsidR="00576A90" w:rsidRDefault="00576A90" w:rsidP="00576A90">
      <w:pPr>
        <w:pStyle w:val="TextoNormalCentrado"/>
      </w:pPr>
    </w:p>
    <w:p w14:paraId="680066BF" w14:textId="77777777" w:rsidR="00576A90" w:rsidRDefault="00576A90" w:rsidP="00576A90">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y don Juan Carlos Campo Moreno.</w:t>
      </w:r>
    </w:p>
    <w:p w14:paraId="6F5E85FA" w14:textId="6E4F01AE" w:rsidR="00576A90" w:rsidRDefault="00576A90" w:rsidP="00576A90">
      <w:pPr>
        <w:pStyle w:val="SntesisDescriptiva"/>
      </w:pPr>
    </w:p>
    <w:p w14:paraId="642F2811" w14:textId="77777777" w:rsidR="00576A90" w:rsidRDefault="00576A90" w:rsidP="00576A90">
      <w:pPr>
        <w:pStyle w:val="SntesisDescriptiva"/>
      </w:pPr>
      <w:r>
        <w:t>Acepta una abstención en la cuestión de inconstitucionalidad 2525-2024, planteada por la Sala de lo Contencioso-Administrativo del Tribunal Superior de Justicia de la Comunidad Valenciana, en relación con la disposición adicional decimocuarta de la Ley 27/2014, de 27 de noviembre, del impuesto sobre sociedades.</w:t>
      </w:r>
    </w:p>
    <w:p w14:paraId="17BC94C9" w14:textId="203674E5" w:rsidR="00576A90" w:rsidRDefault="00576A90" w:rsidP="00576A90">
      <w:pPr>
        <w:pStyle w:val="SntesisDescriptiva"/>
      </w:pPr>
    </w:p>
    <w:p w14:paraId="0C436B04" w14:textId="77777777" w:rsidR="00576A90" w:rsidRDefault="00576A90" w:rsidP="00576A90">
      <w:pPr>
        <w:pStyle w:val="SntesisDescriptiva"/>
      </w:pPr>
    </w:p>
    <w:p w14:paraId="220AA2BB" w14:textId="77777777" w:rsidR="00576A90" w:rsidRDefault="00576A90" w:rsidP="00576A90">
      <w:pPr>
        <w:pStyle w:val="SntesisDescriptiva"/>
      </w:pPr>
    </w:p>
    <w:p w14:paraId="2F266EC3" w14:textId="77777777" w:rsidR="00576A90" w:rsidRDefault="00576A90" w:rsidP="00576A90">
      <w:pPr>
        <w:pStyle w:val="TextoNormalNegritaCentrado"/>
      </w:pPr>
      <w:r>
        <w:t>AUTO</w:t>
      </w:r>
    </w:p>
    <w:p w14:paraId="37C667A6" w14:textId="518324C5" w:rsidR="00576A90" w:rsidRDefault="00576A90" w:rsidP="00576A90">
      <w:pPr>
        <w:pStyle w:val="TextoNormalNegritaCentrado"/>
      </w:pPr>
    </w:p>
    <w:p w14:paraId="0DAC53C6" w14:textId="77777777" w:rsidR="00576A90" w:rsidRDefault="00576A90" w:rsidP="00576A90">
      <w:pPr>
        <w:pStyle w:val="TextoNormalNegritaCentrado"/>
        <w:keepNext/>
      </w:pPr>
      <w:r>
        <w:t>I. Antecedentes</w:t>
      </w:r>
    </w:p>
    <w:p w14:paraId="5D361598" w14:textId="7EE76220" w:rsidR="00576A90" w:rsidRDefault="00576A90" w:rsidP="00576A90">
      <w:pPr>
        <w:pStyle w:val="TextoNormalNegritaCentrado"/>
        <w:keepNext/>
      </w:pPr>
    </w:p>
    <w:p w14:paraId="74B99D40" w14:textId="0FD29C8F" w:rsidR="00576A90" w:rsidRDefault="00576A90" w:rsidP="00576A90">
      <w:pPr>
        <w:pStyle w:val="TextoNormal"/>
      </w:pPr>
      <w:r w:rsidRPr="00576A90">
        <w:rPr>
          <w:rStyle w:val="NumeroAFNegritaCaracter"/>
        </w:rPr>
        <w:t>1</w:t>
      </w:r>
      <w:r>
        <w:t>. Por escrito de 5 de junio de 2024, el magistrado don Juan Carlos Campo Moreno comunicó al señor presidente, a los efectos oportunos, su voluntad de abstenerse de intervenir en el conocimiento de la cuestión de inconstitucionalidad núm. 2525-2024.</w:t>
      </w:r>
    </w:p>
    <w:p w14:paraId="56EB8982" w14:textId="77777777" w:rsidR="00576A90" w:rsidRDefault="00576A90" w:rsidP="00576A90">
      <w:pPr>
        <w:pStyle w:val="TextoNormal"/>
      </w:pPr>
    </w:p>
    <w:p w14:paraId="1CF88A6B" w14:textId="6E362E72" w:rsidR="00576A90" w:rsidRDefault="00576A90" w:rsidP="00576A90">
      <w:pPr>
        <w:pStyle w:val="TextoNormal"/>
      </w:pPr>
      <w:r w:rsidRPr="00576A90">
        <w:rPr>
          <w:rStyle w:val="NumeroAFNegritaCaracter"/>
        </w:rPr>
        <w:t>2</w:t>
      </w:r>
      <w:r>
        <w:t>. La solicitud de abstención se vincula al hecho de haber participado el magistrado, en la condición de diputado, en la votación del Pleno del Congreso de los Diputados de 28 de junio de 2018, en la que se aprobó la Ley 6/2018, de 3 de julio, de presupuestos generales del Estado para el año 2018, que da nueva redacción a la disposición adicional decimocuarta de la Ley 27/2014, de 27 de noviembre, del impuesto sobre sociedades.</w:t>
      </w:r>
    </w:p>
    <w:p w14:paraId="45688CE3" w14:textId="77777777" w:rsidR="00576A90" w:rsidRDefault="00576A90" w:rsidP="00576A90">
      <w:pPr>
        <w:pStyle w:val="TextoNormal"/>
      </w:pPr>
    </w:p>
    <w:p w14:paraId="573B8A50" w14:textId="77777777" w:rsidR="00576A90" w:rsidRDefault="00576A90" w:rsidP="00576A90">
      <w:pPr>
        <w:pStyle w:val="TextoNormalNegritaCentrado"/>
        <w:keepNext/>
      </w:pPr>
      <w:r>
        <w:t>II. Fundamentos jurídicos</w:t>
      </w:r>
    </w:p>
    <w:p w14:paraId="14E95877" w14:textId="56F384D4" w:rsidR="00576A90" w:rsidRDefault="00576A90" w:rsidP="00576A90">
      <w:pPr>
        <w:pStyle w:val="TextoNormalNegritaCentrado"/>
        <w:keepNext/>
      </w:pPr>
    </w:p>
    <w:p w14:paraId="2D4D686D" w14:textId="4B7BE368" w:rsidR="00576A90" w:rsidRDefault="00576A90" w:rsidP="00576A90">
      <w:pPr>
        <w:pStyle w:val="TextoNormal"/>
      </w:pPr>
      <w:r w:rsidRPr="00576A90">
        <w:rPr>
          <w:rStyle w:val="TextoNormalNegritaCaracter"/>
        </w:rPr>
        <w:t xml:space="preserve">Único. </w:t>
      </w:r>
      <w:r>
        <w:t>Visto el contenido de la comunicación efectuada por el magistrado don Juan Carlos Campo Moreno, en virtud de lo previsto en los arts. 80 de la Ley Orgánica del Tribunal Constitucional (LOTC) y 221.4 de la Ley Orgánica del Poder Judicial (LOPJ), se estima justificada la causa de abstención formulada, pues la participación del magistrado, en su anterior condición de diputado, en la votación del Pleno del Congreso de los Diputados de 28 de junio de 2018, en la que se aprobó la Ley 6/2018, de 3 de julio, de presupuestos generales del Estado, que da nueva redacción a la disposición adicional decimocuarta de la Ley 27/2014, de 27 de noviembre (objeto de la cuestión de inconstitucionalidad núm. 2525-2024), integra la causa de abstención recogida en el art. 219.13 LOPJ, según la cual lo es: “[h[aber ocupado cargo público, desempeñado empleo o ejercido profesión con ocasión de los cuales haya participado directa o indirectamente en el asunto objeto del pleito o causa o en otro relacionado con el mismo”.</w:t>
      </w:r>
    </w:p>
    <w:p w14:paraId="430907DE" w14:textId="77777777" w:rsidR="00576A90" w:rsidRDefault="00576A90" w:rsidP="00576A90">
      <w:pPr>
        <w:pStyle w:val="TextoNormal"/>
      </w:pPr>
    </w:p>
    <w:p w14:paraId="5D25EEFC" w14:textId="77777777" w:rsidR="00576A90" w:rsidRDefault="00576A90" w:rsidP="00576A90">
      <w:pPr>
        <w:pStyle w:val="TextoNormal"/>
      </w:pPr>
      <w:r>
        <w:t>Por lo expuesto, el Pleno</w:t>
      </w:r>
    </w:p>
    <w:p w14:paraId="585C74AB" w14:textId="6DF4A334" w:rsidR="00576A90" w:rsidRDefault="00576A90" w:rsidP="00576A90">
      <w:pPr>
        <w:pStyle w:val="TextoNormal"/>
      </w:pPr>
    </w:p>
    <w:p w14:paraId="43095547" w14:textId="77777777" w:rsidR="00576A90" w:rsidRDefault="00576A90" w:rsidP="00576A90">
      <w:pPr>
        <w:pStyle w:val="TextoNormalCentrado"/>
      </w:pPr>
      <w:r>
        <w:t>ACUERDA</w:t>
      </w:r>
    </w:p>
    <w:p w14:paraId="6BFD2532" w14:textId="6988E014" w:rsidR="00576A90" w:rsidRDefault="00576A90" w:rsidP="00576A90">
      <w:pPr>
        <w:pStyle w:val="TextoNormalCentrado"/>
      </w:pPr>
    </w:p>
    <w:p w14:paraId="2BA0C5F6" w14:textId="77777777" w:rsidR="00576A90" w:rsidRDefault="00576A90" w:rsidP="00576A90">
      <w:pPr>
        <w:pStyle w:val="TextoNormal"/>
      </w:pPr>
      <w:r>
        <w:t>Estimar justificada la abstención formulada por el magistrado don Juan Carlos Campo Moreno, apartándole definitivamente del conocimiento de la cuestión de inconstitucionalidad núm. 2525-2024.</w:t>
      </w:r>
    </w:p>
    <w:p w14:paraId="46DAFA63" w14:textId="77777777" w:rsidR="00576A90" w:rsidRDefault="00576A90" w:rsidP="00576A90">
      <w:pPr>
        <w:pStyle w:val="TextoNormal"/>
      </w:pPr>
    </w:p>
    <w:p w14:paraId="05F21D7D" w14:textId="59C4919D" w:rsidR="00576A90" w:rsidRDefault="00576A90" w:rsidP="00576A90">
      <w:pPr>
        <w:pStyle w:val="TextoNormal"/>
      </w:pPr>
      <w:r>
        <w:t>Notifíquese a las partes.</w:t>
      </w:r>
    </w:p>
    <w:p w14:paraId="27AED48C" w14:textId="77777777" w:rsidR="00576A90" w:rsidRDefault="00576A90" w:rsidP="00576A90">
      <w:pPr>
        <w:pStyle w:val="TextoNormal"/>
      </w:pPr>
    </w:p>
    <w:p w14:paraId="23A135B2" w14:textId="77777777" w:rsidR="00576A90" w:rsidRDefault="00576A90" w:rsidP="00576A90">
      <w:pPr>
        <w:pStyle w:val="TextoNormal"/>
      </w:pPr>
      <w:r>
        <w:t>Madrid, a diecisiete de junio de dos mil veinticuatro.</w:t>
      </w:r>
    </w:p>
    <w:p w14:paraId="5DF3FE77" w14:textId="7476113D" w:rsidR="00576A90" w:rsidRDefault="00576A90">
      <w:pPr>
        <w:spacing w:after="160" w:line="259" w:lineRule="auto"/>
        <w:rPr>
          <w:rFonts w:ascii="Times New Roman" w:eastAsia="Times New Roman" w:hAnsi="Times New Roman" w:cs="Times New Roman"/>
          <w:sz w:val="24"/>
          <w:szCs w:val="24"/>
          <w:lang w:eastAsia="es-ES"/>
        </w:rPr>
      </w:pPr>
      <w:r>
        <w:br w:type="page"/>
      </w:r>
    </w:p>
    <w:p w14:paraId="71E2A101" w14:textId="77777777" w:rsidR="00576A90" w:rsidRDefault="00576A90" w:rsidP="00576A90">
      <w:pPr>
        <w:pStyle w:val="TtuloResolucin"/>
      </w:pPr>
      <w:bookmarkStart w:id="155" w:name="AUTO_2024_60"/>
      <w:r>
        <w:lastRenderedPageBreak/>
        <w:t>AUTO 60/2024, de 17 de junio de 2024</w:t>
      </w:r>
    </w:p>
    <w:bookmarkEnd w:id="155"/>
    <w:p w14:paraId="6C3E01EE" w14:textId="77777777" w:rsidR="00576A90" w:rsidRDefault="00576A90" w:rsidP="00576A90">
      <w:pPr>
        <w:pStyle w:val="TtuloResolucin"/>
      </w:pPr>
      <w:r>
        <w:t>Pleno</w:t>
      </w:r>
    </w:p>
    <w:p w14:paraId="0495E34F" w14:textId="77777777" w:rsidR="00576A90" w:rsidRDefault="00576A90" w:rsidP="00576A90">
      <w:pPr>
        <w:pStyle w:val="TextoNormalCentrado"/>
      </w:pPr>
      <w:r>
        <w:t>ECLI:ES:TC:2024:60A</w:t>
      </w:r>
    </w:p>
    <w:p w14:paraId="35C9C9F5" w14:textId="19559DDD" w:rsidR="00576A90" w:rsidRDefault="00576A90" w:rsidP="00576A90">
      <w:pPr>
        <w:pStyle w:val="TextoNormalCentrado"/>
      </w:pPr>
    </w:p>
    <w:p w14:paraId="02384DA4" w14:textId="77777777" w:rsidR="00576A90" w:rsidRDefault="00576A90" w:rsidP="00576A90">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y don Juan Carlos Campo Moreno.</w:t>
      </w:r>
    </w:p>
    <w:p w14:paraId="1F3044F7" w14:textId="3AC066E6" w:rsidR="00576A90" w:rsidRDefault="00576A90" w:rsidP="00576A90">
      <w:pPr>
        <w:pStyle w:val="SntesisDescriptiva"/>
      </w:pPr>
    </w:p>
    <w:p w14:paraId="3E9DB2C1" w14:textId="77777777" w:rsidR="00576A90" w:rsidRDefault="00576A90" w:rsidP="00576A90">
      <w:pPr>
        <w:pStyle w:val="SntesisDescriptiva"/>
      </w:pPr>
      <w:r>
        <w:t>Inadmite las recusaciones formuladas en el recurso de amparo 3102-2024, promovido por don Fernando Argote Pons y doña Miren Garbiñe Garagarza Echaniz en causa penal.</w:t>
      </w:r>
    </w:p>
    <w:p w14:paraId="1666E901" w14:textId="05057D1F" w:rsidR="00576A90" w:rsidRDefault="00576A90" w:rsidP="00576A90">
      <w:pPr>
        <w:pStyle w:val="SntesisDescriptiva"/>
      </w:pPr>
    </w:p>
    <w:p w14:paraId="0DBA7924" w14:textId="77777777" w:rsidR="00576A90" w:rsidRDefault="00576A90" w:rsidP="00576A90">
      <w:pPr>
        <w:pStyle w:val="SntesisDescriptiva"/>
      </w:pPr>
    </w:p>
    <w:p w14:paraId="588A4333" w14:textId="77777777" w:rsidR="00576A90" w:rsidRDefault="00576A90" w:rsidP="00576A90">
      <w:pPr>
        <w:pStyle w:val="SntesisDescriptiva"/>
      </w:pPr>
    </w:p>
    <w:p w14:paraId="4D589F21" w14:textId="77777777" w:rsidR="00576A90" w:rsidRDefault="00576A90" w:rsidP="00576A90">
      <w:pPr>
        <w:pStyle w:val="TextoNormalNegritaCentrado"/>
      </w:pPr>
      <w:r>
        <w:t>AUTO</w:t>
      </w:r>
    </w:p>
    <w:p w14:paraId="1FDA8CB9" w14:textId="1E5566E2" w:rsidR="00576A90" w:rsidRDefault="00576A90" w:rsidP="00576A90">
      <w:pPr>
        <w:pStyle w:val="TextoNormalNegritaCentrado"/>
      </w:pPr>
    </w:p>
    <w:p w14:paraId="308D3CA5" w14:textId="77777777" w:rsidR="00576A90" w:rsidRDefault="00576A90" w:rsidP="00576A90">
      <w:pPr>
        <w:pStyle w:val="TextoNormalNegritaCentrado"/>
        <w:keepNext/>
      </w:pPr>
      <w:r>
        <w:t>I. Antecedentes</w:t>
      </w:r>
    </w:p>
    <w:p w14:paraId="629E164F" w14:textId="65CACFA8" w:rsidR="00576A90" w:rsidRDefault="00576A90" w:rsidP="00576A90">
      <w:pPr>
        <w:pStyle w:val="TextoNormalNegritaCentrado"/>
        <w:keepNext/>
      </w:pPr>
    </w:p>
    <w:p w14:paraId="6A25BC00" w14:textId="77777777" w:rsidR="00576A90" w:rsidRDefault="00576A90" w:rsidP="00576A90">
      <w:pPr>
        <w:pStyle w:val="TextoNormal"/>
      </w:pPr>
      <w:r w:rsidRPr="00576A90">
        <w:rPr>
          <w:rStyle w:val="NumeroAFNegritaCaracter"/>
        </w:rPr>
        <w:t>1</w:t>
      </w:r>
      <w:r>
        <w:t>. Mediante escrito presentado el 29 de abril de 2024, en el registro general del Tribunal, don Fernando Argote Pons y doña Miren Garbiñe Garagarza Echaniz interpusieron recurso de amparo, registrado con el núm. 3102-2024, contra el auto núm. 122/2024, de 8 de marzo, de la Audiencia Provincial de Gipuzkoa alegando la vulneración de su derecho a la tutela judicial efectiva (art. 24.1 CE).</w:t>
      </w:r>
    </w:p>
    <w:p w14:paraId="53965FEF" w14:textId="77777777" w:rsidR="00576A90" w:rsidRDefault="00576A90" w:rsidP="00576A90">
      <w:pPr>
        <w:pStyle w:val="TextoNormal"/>
      </w:pPr>
    </w:p>
    <w:p w14:paraId="1E886769" w14:textId="3BE77D0F" w:rsidR="00576A90" w:rsidRDefault="00576A90" w:rsidP="00576A90">
      <w:pPr>
        <w:pStyle w:val="TextoNormal"/>
      </w:pPr>
      <w:r>
        <w:t>El recurso de amparo fue turnado, a efectos de adoptar la decisión correspondiente sobre su admisibilidad, a la Sección Cuarta de este tribunal.</w:t>
      </w:r>
    </w:p>
    <w:p w14:paraId="5F8DCB7A" w14:textId="77777777" w:rsidR="00576A90" w:rsidRDefault="00576A90" w:rsidP="00576A90">
      <w:pPr>
        <w:pStyle w:val="TextoNormal"/>
      </w:pPr>
    </w:p>
    <w:p w14:paraId="5D4316D0" w14:textId="77777777" w:rsidR="00576A90" w:rsidRDefault="00576A90" w:rsidP="00576A90">
      <w:pPr>
        <w:pStyle w:val="TextoNormal"/>
      </w:pPr>
      <w:r w:rsidRPr="00576A90">
        <w:rPr>
          <w:rStyle w:val="NumeroAFNegritaCaracter"/>
        </w:rPr>
        <w:t>2</w:t>
      </w:r>
      <w:r>
        <w:t>. En la propia demanda de amparo se formula, mediante otrosí, recusación de los once magistrados que componen el Pleno del Tribunal Constitucional, a los que se alude nominalmente y a los que se atribuyen “vinculaciones políticas” que son “de conocimiento público” y que afectarían al proceso judicial del que dimana la demanda de amparo, promovido, según se alega, frente a “políticos del PNV [Partido Nacionalista Vasco] denunciados por corrupción”.</w:t>
      </w:r>
    </w:p>
    <w:p w14:paraId="30D034EA" w14:textId="77777777" w:rsidR="00576A90" w:rsidRDefault="00576A90" w:rsidP="00576A90">
      <w:pPr>
        <w:pStyle w:val="TextoNormal"/>
      </w:pPr>
    </w:p>
    <w:p w14:paraId="40EEF90E" w14:textId="2AC37665" w:rsidR="00576A90" w:rsidRDefault="00576A90" w:rsidP="00576A90">
      <w:pPr>
        <w:pStyle w:val="TextoNormal"/>
      </w:pPr>
      <w:r>
        <w:t>Esta circunstancia inhabilitaría a los miembros del Tribunal Constitucional para resolver el recurso de amparo “en atención a los vínculos entre los políticos en general y el PNV y el Partido Socialista Obrero Español (PSOE), en particular, socios en los gobiernos vasco y central”. A continuación, los recurrentes se refieren nominalmente a cada uno de los magistrados y magistradas que componen el Pleno para indicar que o bien “han sido promovidos a su cargo por el PSOE, cuyo socio preferente en el Gobierno es el PNV” o bien han sido “promovidos por el Partido Popular, partido que aspira a obtener el apoyo del PNV para formar Gobierno”.</w:t>
      </w:r>
    </w:p>
    <w:p w14:paraId="0432E8A6" w14:textId="77777777" w:rsidR="00576A90" w:rsidRDefault="00576A90" w:rsidP="00576A90">
      <w:pPr>
        <w:pStyle w:val="TextoNormal"/>
      </w:pPr>
    </w:p>
    <w:p w14:paraId="354545A5" w14:textId="77777777" w:rsidR="00576A90" w:rsidRDefault="00576A90" w:rsidP="00576A90">
      <w:pPr>
        <w:pStyle w:val="TextoNormalNegritaCentrado"/>
        <w:keepNext/>
      </w:pPr>
      <w:r>
        <w:lastRenderedPageBreak/>
        <w:t>II. Fundamentos jurídicos</w:t>
      </w:r>
    </w:p>
    <w:p w14:paraId="022E9880" w14:textId="509D1541" w:rsidR="00576A90" w:rsidRDefault="00576A90" w:rsidP="00576A90">
      <w:pPr>
        <w:pStyle w:val="TextoNormalNegritaCentrado"/>
        <w:keepNext/>
      </w:pPr>
    </w:p>
    <w:p w14:paraId="0945A6E7" w14:textId="77777777" w:rsidR="00576A90" w:rsidRDefault="00576A90" w:rsidP="00576A90">
      <w:pPr>
        <w:pStyle w:val="TextoNormal"/>
      </w:pPr>
      <w:r w:rsidRPr="00576A90">
        <w:rPr>
          <w:rStyle w:val="TextoNormalNegritaCaracter"/>
        </w:rPr>
        <w:t xml:space="preserve">Único. </w:t>
      </w:r>
      <w:r>
        <w:t>El objeto de la presente resolución es dar respuesta a la solicitud de recusación de los once magistrados y magistradas que actualmente componen este tribunal en relación con el recurso de amparo núm. 3102-2024, que está pendiente de una decisión sobre su admisibilidad en la Sección Cuarta.</w:t>
      </w:r>
    </w:p>
    <w:p w14:paraId="0FF70733" w14:textId="77777777" w:rsidR="00576A90" w:rsidRDefault="00576A90" w:rsidP="00576A90">
      <w:pPr>
        <w:pStyle w:val="TextoNormal"/>
      </w:pPr>
    </w:p>
    <w:p w14:paraId="1BD969EC" w14:textId="77777777" w:rsidR="00576A90" w:rsidRDefault="00576A90" w:rsidP="00576A90">
      <w:pPr>
        <w:pStyle w:val="TextoNormal"/>
      </w:pPr>
      <w:r>
        <w:t>En relación con dicha solicitud han de hacerse las siguientes consideraciones:</w:t>
      </w:r>
    </w:p>
    <w:p w14:paraId="56325CD0" w14:textId="77777777" w:rsidR="00576A90" w:rsidRDefault="00576A90" w:rsidP="00576A90">
      <w:pPr>
        <w:pStyle w:val="TextoNormal"/>
      </w:pPr>
    </w:p>
    <w:p w14:paraId="32FCD766" w14:textId="77777777" w:rsidR="00576A90" w:rsidRDefault="00576A90" w:rsidP="00576A90">
      <w:pPr>
        <w:pStyle w:val="TextoNormal"/>
      </w:pPr>
      <w:r>
        <w:t>a) En primer lugar, debe recordarse que el Pleno de este tribunal resulta competente para conocer de una recusación que afecta a todos sus miembros, pues es doctrina reiterada de este tribunal que cuando se recusa a la totalidad de sus miembros es inaplicable el art. 227 de la Ley Orgánica del Poder Judicial (LOPJ; entre otros, AATC 269/2014, de 4 de noviembre, FJ 1, y 62/2020, de 17 de junio, FJ 2), pues otra solución supondría una paralización inaceptable del ejercicio de la jurisdicción constitucional (AATC 80/2005, de 17 de febrero; 443/2007, de 27 de noviembre; 126/2008, de 14 de mayo; 268/2014, de 4 de noviembre; 269/2014, y 62/2020, FJ 2).</w:t>
      </w:r>
    </w:p>
    <w:p w14:paraId="3E8AE22A" w14:textId="77777777" w:rsidR="00576A90" w:rsidRDefault="00576A90" w:rsidP="00576A90">
      <w:pPr>
        <w:pStyle w:val="TextoNormal"/>
      </w:pPr>
    </w:p>
    <w:p w14:paraId="4F07E7DD" w14:textId="77777777" w:rsidR="00576A90" w:rsidRDefault="00576A90" w:rsidP="00576A90">
      <w:pPr>
        <w:pStyle w:val="TextoNormal"/>
      </w:pPr>
      <w:r>
        <w:t>b) Ha de reseñarse, igualmente, que este tribunal ha admitido la posibilidad de denegar la tramitación de un incidente de recusación cuando razones procesales o de fondo así lo exijan (AATC 109/1981, de 30 de octubre, y 269/2014, entre otros muchos), lo que puede ser consecuencia de su defectuoso planteamiento procesal o de la existencia de una situación de manifiesto abuso de derecho o de fraude de ley o procesal (art. 11.2 LOPJ), tal y como reiteradamente ha sostenido la jurisprudencia constitucional (AATC 383/2006, de 2 de noviembre, FJ 2; 394/2006, de 7 de noviembre, FJ 2, y 119/2017, de 7 de septiembre, FJ 3).</w:t>
      </w:r>
    </w:p>
    <w:p w14:paraId="07D2E5A1" w14:textId="77777777" w:rsidR="00576A90" w:rsidRDefault="00576A90" w:rsidP="00576A90">
      <w:pPr>
        <w:pStyle w:val="TextoNormal"/>
      </w:pPr>
    </w:p>
    <w:p w14:paraId="26D252A4" w14:textId="77777777" w:rsidR="00576A90" w:rsidRDefault="00576A90" w:rsidP="00576A90">
      <w:pPr>
        <w:pStyle w:val="TextoNormal"/>
      </w:pPr>
      <w:r>
        <w:t xml:space="preserve">c) Entre los motivos que justifican el rechazo </w:t>
      </w:r>
      <w:r w:rsidRPr="00576A90">
        <w:rPr>
          <w:i/>
        </w:rPr>
        <w:t>a limine</w:t>
      </w:r>
      <w:r>
        <w:t xml:space="preserve"> se incluyen los supuestos en los que la recusación se dirige contra la totalidad de los magistrados que forman el Tribunal Constitucional. En relación con este tipo de recusaciones este tribunal ha señalado que “vienen a coincidir dos órdenes de peculiaridades. El primero deriva de la especificidad del Tribunal Constitucional, órgano constitucional único en su género, no integrado en el poder judicial, compuesto por doce únicos magistrados, sin posibilidad alguna de sustitución interna, a cuyo Pleno corresponde la competencia en materia de recusación de sus magistrados [art. 10.1 k) LOTC]. El segundo y principal deriva de la naturaleza misma de la recusación, en la que, propiamente, no se recusa a los magistrados, sino al propio Tribunal Constitucional (ATC 380/1993, de 21 de diciembre, FJ 4). El tribunal ha apreciado que, como en estos casos la recusación va referida al órgano mismo y no a sus integrantes, ‘carece de sustantividad jurídica’ y no es acreedora de una decisión sobre el fondo (ATC 269/2014, de 4 de noviembre, FJ 2). Por ello, las recusaciones que se formulan contra todo el colegio de magistrados ‘son impertinentes y abusivas y deben ser rechazadas sin más’ (AATC 80/2005, de 17 de febrero, FJ 5)” (ATC 62/2020, de 17 de junio, FJ 3).</w:t>
      </w:r>
    </w:p>
    <w:p w14:paraId="74FD3C23" w14:textId="77777777" w:rsidR="00576A90" w:rsidRDefault="00576A90" w:rsidP="00576A90">
      <w:pPr>
        <w:pStyle w:val="TextoNormal"/>
      </w:pPr>
    </w:p>
    <w:p w14:paraId="35A370D8" w14:textId="77777777" w:rsidR="00576A90" w:rsidRDefault="00576A90" w:rsidP="00576A90">
      <w:pPr>
        <w:pStyle w:val="TextoNormal"/>
      </w:pPr>
      <w:r>
        <w:t xml:space="preserve">d) Como ya se dijo en el ATC 62/2020, FJ 3, la inadmisión liminar a que se refiere la jurisprudencia citada en la letra anterior no se asocia al empleo de una determinada terminología en la redacción del incidente, sino al objeto y finalidad real de la recusación planteada. En el presente caso, aunque formalmente se recusa individualmente a cada uno de los magistrados, la recusación tiene como objeto recusar al Tribunal Constitucional. La </w:t>
      </w:r>
      <w:r>
        <w:lastRenderedPageBreak/>
        <w:t>referencia personalizada a cada uno de los magistrados no impide apreciar que sea una recusación genérica de todo el colegio de magistrados, pues (i) se recusa a todos los magistrados, (ii) las causas de recusación invocadas son las mismas para todos ellos y, lo que es determinante, (iii) no se fundamenta en la existencia de circunstancias objetivas que pudieran poner en duda su imparcialidad, sino que se formula una conjetura o sospecha generalizada.</w:t>
      </w:r>
    </w:p>
    <w:p w14:paraId="08BEE607" w14:textId="77777777" w:rsidR="00576A90" w:rsidRDefault="00576A90" w:rsidP="00576A90">
      <w:pPr>
        <w:pStyle w:val="TextoNormal"/>
      </w:pPr>
    </w:p>
    <w:p w14:paraId="7C190DB6" w14:textId="77777777" w:rsidR="00576A90" w:rsidRDefault="00576A90" w:rsidP="00576A90">
      <w:pPr>
        <w:pStyle w:val="TextoNormal"/>
      </w:pPr>
      <w:r>
        <w:t>Este planteamiento es incompatible con la naturaleza del Tribunal Constitucional que, como se ha señalado, es un tribunal único en su género cuyos miembros son insustituibles y a quien le corresponde resolver los procesos constitucionales que la Constitución y su Ley Orgánica le atribuye, sin que pueda eximirse de esta función por una mera especulación del recurrente sobre la parcialidad de sus componentes.</w:t>
      </w:r>
    </w:p>
    <w:p w14:paraId="127CF478" w14:textId="77777777" w:rsidR="00576A90" w:rsidRDefault="00576A90" w:rsidP="00576A90">
      <w:pPr>
        <w:pStyle w:val="TextoNormal"/>
      </w:pPr>
    </w:p>
    <w:p w14:paraId="232650AC" w14:textId="68E831B0" w:rsidR="00576A90" w:rsidRDefault="00576A90" w:rsidP="00576A90">
      <w:pPr>
        <w:pStyle w:val="TextoNormal"/>
      </w:pPr>
      <w:r>
        <w:t>Así pues, la argumentación dada por quien promueve este incidente no puede prosperar. La tacha dirigida contra todos los magistrados que conforman este tribunal es equivalente a la descalificación del órgano mismo para conocer del presente recurso de amparo, por lo que, de acuerdo con la jurisprudencia constitucional, la recusación formulada carece de sustantividad jurídica y no es acreedora de una decisión sobre el fondo (ATC 268/2014, FJ 2; 269/2014, FJ 2; 119/2017, FJ 3;125/2017, de 20 septiembre, FJ 5, y 132/2017, de 3 de octubre).</w:t>
      </w:r>
    </w:p>
    <w:p w14:paraId="25A942F7" w14:textId="77777777" w:rsidR="00576A90" w:rsidRDefault="00576A90" w:rsidP="00576A90">
      <w:pPr>
        <w:pStyle w:val="TextoNormal"/>
      </w:pPr>
    </w:p>
    <w:p w14:paraId="452FB062" w14:textId="77777777" w:rsidR="00576A90" w:rsidRDefault="00576A90" w:rsidP="00576A90">
      <w:pPr>
        <w:pStyle w:val="TextoNormal"/>
      </w:pPr>
      <w:r>
        <w:t>Por lo expuesto, el Pleno</w:t>
      </w:r>
    </w:p>
    <w:p w14:paraId="25F52D02" w14:textId="49CC7EF7" w:rsidR="00576A90" w:rsidRDefault="00576A90" w:rsidP="00576A90">
      <w:pPr>
        <w:pStyle w:val="TextoNormal"/>
      </w:pPr>
    </w:p>
    <w:p w14:paraId="2C16FBEB" w14:textId="77777777" w:rsidR="00576A90" w:rsidRDefault="00576A90" w:rsidP="00576A90">
      <w:pPr>
        <w:pStyle w:val="TextoNormalCentrado"/>
      </w:pPr>
      <w:r>
        <w:t>ACUERDA</w:t>
      </w:r>
    </w:p>
    <w:p w14:paraId="1FB872FE" w14:textId="02204C2D" w:rsidR="00576A90" w:rsidRDefault="00576A90" w:rsidP="00576A90">
      <w:pPr>
        <w:pStyle w:val="TextoNormalCentrado"/>
      </w:pPr>
    </w:p>
    <w:p w14:paraId="5FDE6834" w14:textId="72506D07" w:rsidR="00576A90" w:rsidRDefault="00576A90" w:rsidP="00576A90">
      <w:pPr>
        <w:pStyle w:val="TextoNormal"/>
      </w:pPr>
      <w:r>
        <w:t>No admitir a trámite las recusaciones formuladas en el recurso de amparo núm. 3102-2024 y la devolución de las actuaciones a la Sección Cuarta del Tribunal.</w:t>
      </w:r>
    </w:p>
    <w:p w14:paraId="76DEA268" w14:textId="77777777" w:rsidR="00576A90" w:rsidRDefault="00576A90" w:rsidP="00576A90">
      <w:pPr>
        <w:pStyle w:val="TextoNormal"/>
      </w:pPr>
    </w:p>
    <w:p w14:paraId="054E19A6" w14:textId="77777777" w:rsidR="00576A90" w:rsidRDefault="00576A90" w:rsidP="00601EEA">
      <w:pPr>
        <w:pStyle w:val="TextoNormal"/>
      </w:pPr>
      <w:r>
        <w:t>Madrid, a diecisiete de junio de dos mil veinticuatro.</w:t>
      </w:r>
    </w:p>
    <w:p w14:paraId="03B08334" w14:textId="25A625C7" w:rsidR="00601EEA" w:rsidRDefault="00601EEA">
      <w:pPr>
        <w:spacing w:after="160" w:line="259" w:lineRule="auto"/>
        <w:rPr>
          <w:rFonts w:ascii="Times New Roman" w:eastAsia="Times New Roman" w:hAnsi="Times New Roman" w:cs="Times New Roman"/>
          <w:sz w:val="24"/>
          <w:szCs w:val="24"/>
          <w:lang w:eastAsia="es-ES"/>
        </w:rPr>
      </w:pPr>
      <w:r>
        <w:br w:type="page"/>
      </w:r>
    </w:p>
    <w:p w14:paraId="72040C7F" w14:textId="77777777" w:rsidR="00601EEA" w:rsidRDefault="00601EEA" w:rsidP="00576A90">
      <w:pPr>
        <w:pStyle w:val="ParrafoNormal"/>
      </w:pPr>
    </w:p>
    <w:p w14:paraId="29DFB2D8" w14:textId="77777777" w:rsidR="00601EEA" w:rsidRDefault="00601EEA" w:rsidP="00601EEA">
      <w:pPr>
        <w:pStyle w:val="TextoNormal"/>
      </w:pPr>
    </w:p>
    <w:p w14:paraId="032E018B" w14:textId="77777777" w:rsidR="00601EEA" w:rsidRDefault="00601EEA" w:rsidP="00601EEA">
      <w:pPr>
        <w:pStyle w:val="TextoNormal"/>
      </w:pPr>
    </w:p>
    <w:p w14:paraId="2490DE48" w14:textId="77777777" w:rsidR="00601EEA" w:rsidRDefault="00601EEA" w:rsidP="00601EEA">
      <w:pPr>
        <w:pStyle w:val="TextoNormal"/>
      </w:pPr>
    </w:p>
    <w:p w14:paraId="182782AC" w14:textId="77777777" w:rsidR="00601EEA" w:rsidRDefault="00601EEA" w:rsidP="00601EEA">
      <w:pPr>
        <w:pStyle w:val="Ttulondice"/>
        <w:suppressAutoHyphens/>
      </w:pPr>
      <w:r>
        <w:t>3. ÍNDICE DE DISPOSICIONES CON FUERZA DE LEY IMPUGNADAS</w:t>
      </w:r>
    </w:p>
    <w:p w14:paraId="3CEAF7FD" w14:textId="1D38692C" w:rsidR="00601EEA" w:rsidRDefault="00601EEA" w:rsidP="00601EEA">
      <w:pPr>
        <w:pStyle w:val="TextoNormal"/>
        <w:suppressAutoHyphens/>
      </w:pPr>
    </w:p>
    <w:p w14:paraId="4DB37AF4" w14:textId="77777777" w:rsidR="00601EEA" w:rsidRDefault="00601EEA" w:rsidP="00601EEA">
      <w:pPr>
        <w:pStyle w:val="TextoNormal"/>
        <w:suppressAutoHyphens/>
      </w:pPr>
    </w:p>
    <w:p w14:paraId="5B3307B3" w14:textId="77777777" w:rsidR="00601EEA" w:rsidRDefault="00601EEA" w:rsidP="00601EEA">
      <w:pPr>
        <w:pStyle w:val="TextoNormal"/>
        <w:suppressAutoHyphens/>
      </w:pPr>
    </w:p>
    <w:p w14:paraId="5D13090B" w14:textId="77777777" w:rsidR="00601EEA" w:rsidRDefault="00601EEA" w:rsidP="00601EEA">
      <w:pPr>
        <w:pStyle w:val="TextoNormal"/>
        <w:suppressAutoHyphens/>
      </w:pPr>
    </w:p>
    <w:p w14:paraId="6F88CFE9" w14:textId="77777777" w:rsidR="00601EEA" w:rsidRDefault="00601EEA" w:rsidP="00601EEA">
      <w:pPr>
        <w:pStyle w:val="TextoNormal"/>
        <w:suppressAutoHyphens/>
      </w:pPr>
    </w:p>
    <w:p w14:paraId="1B2A6F9E" w14:textId="77777777" w:rsidR="00601EEA" w:rsidRDefault="00601EEA" w:rsidP="00601EEA">
      <w:pPr>
        <w:pStyle w:val="TextoNormal"/>
        <w:suppressAutoHyphens/>
      </w:pPr>
    </w:p>
    <w:p w14:paraId="59BDC975" w14:textId="77777777" w:rsidR="00601EEA" w:rsidRDefault="00601EEA" w:rsidP="00601EEA">
      <w:pPr>
        <w:pStyle w:val="TextoNormal"/>
        <w:suppressAutoHyphens/>
      </w:pPr>
    </w:p>
    <w:p w14:paraId="019EB214" w14:textId="77777777" w:rsidR="00601EEA" w:rsidRDefault="00601EEA" w:rsidP="00601EEA">
      <w:pPr>
        <w:pStyle w:val="TextoNormal"/>
        <w:suppressAutoHyphens/>
      </w:pPr>
    </w:p>
    <w:p w14:paraId="7E6CD7CD" w14:textId="77777777" w:rsidR="00601EEA" w:rsidRDefault="00601EEA" w:rsidP="00601EEA">
      <w:pPr>
        <w:pStyle w:val="TextoNormal"/>
        <w:suppressAutoHyphens/>
      </w:pPr>
    </w:p>
    <w:p w14:paraId="7D4F13C3" w14:textId="77777777" w:rsidR="00601EEA" w:rsidRDefault="00601EEA" w:rsidP="00601EEA">
      <w:pPr>
        <w:pStyle w:val="TextoNormal"/>
      </w:pPr>
    </w:p>
    <w:p w14:paraId="2F5133CF" w14:textId="77777777" w:rsidR="00601EEA" w:rsidRDefault="00601EEA" w:rsidP="00601EEA">
      <w:pPr>
        <w:pStyle w:val="TextoNormal"/>
      </w:pPr>
      <w:bookmarkStart w:id="156" w:name="INDICE22802"/>
      <w:bookmarkEnd w:id="156"/>
    </w:p>
    <w:p w14:paraId="429D7C07" w14:textId="77777777" w:rsidR="00601EEA" w:rsidRDefault="00601EEA" w:rsidP="00601EEA">
      <w:pPr>
        <w:pStyle w:val="TextoIndiceNivel2"/>
        <w:suppressAutoHyphens/>
      </w:pPr>
      <w:r>
        <w:t>A) Disposiciones con fuerza de ley del Estado</w:t>
      </w:r>
    </w:p>
    <w:p w14:paraId="239FFDE2" w14:textId="4BDB9986" w:rsidR="00601EEA" w:rsidRDefault="00601EEA" w:rsidP="00601EEA">
      <w:pPr>
        <w:pStyle w:val="TextoIndiceNivel2"/>
      </w:pPr>
    </w:p>
    <w:p w14:paraId="640EE0F0" w14:textId="77777777" w:rsidR="00601EEA" w:rsidRDefault="00601EEA" w:rsidP="00601EEA">
      <w:pPr>
        <w:pStyle w:val="TextoNormalNegritaCursivandice"/>
        <w:keepNext/>
      </w:pPr>
      <w:r>
        <w:t>Ley 1/2000, de 7 de enero, de enjuiciamiento civil</w:t>
      </w:r>
    </w:p>
    <w:p w14:paraId="1A406584" w14:textId="27C19286" w:rsidR="00601EEA" w:rsidRDefault="00601EEA" w:rsidP="00601EEA">
      <w:pPr>
        <w:pStyle w:val="SangriaFrancesaArticulo"/>
      </w:pPr>
      <w:r w:rsidRPr="00601EEA">
        <w:rPr>
          <w:rStyle w:val="TextoNormalNegritaCaracter"/>
        </w:rPr>
        <w:t>Artículo 607.</w:t>
      </w:r>
      <w:r w:rsidRPr="00601EEA">
        <w:rPr>
          <w:rStyle w:val="TextoNormalCaracter"/>
        </w:rPr>
        <w:t>-</w:t>
      </w:r>
      <w:r>
        <w:t xml:space="preserve"> Auto </w:t>
      </w:r>
      <w:hyperlink w:anchor="AUTO_2024_20" w:history="1">
        <w:r w:rsidRPr="00601EEA">
          <w:rPr>
            <w:rStyle w:val="TextoNormalCaracter"/>
          </w:rPr>
          <w:t>20/2024</w:t>
        </w:r>
      </w:hyperlink>
      <w:r>
        <w:t>.</w:t>
      </w:r>
    </w:p>
    <w:p w14:paraId="6692C311" w14:textId="2752457C" w:rsidR="00601EEA" w:rsidRDefault="00601EEA" w:rsidP="00601EEA">
      <w:pPr>
        <w:pStyle w:val="SangriaFrancesaArticulo"/>
      </w:pPr>
    </w:p>
    <w:p w14:paraId="39494F33" w14:textId="77777777" w:rsidR="00601EEA" w:rsidRDefault="00601EEA" w:rsidP="00601EEA">
      <w:pPr>
        <w:pStyle w:val="TextoNormalNegritaCursivandice"/>
        <w:keepNext/>
      </w:pPr>
      <w:r>
        <w:t>Ley Orgánica 8/2007, de 4 de julio, sobre financiación de los partidos políticos</w:t>
      </w:r>
    </w:p>
    <w:p w14:paraId="37B114AB" w14:textId="435D9CA0" w:rsidR="00601EEA" w:rsidRDefault="00601EEA" w:rsidP="00601EEA">
      <w:pPr>
        <w:pStyle w:val="SangriaFrancesaArticulo"/>
      </w:pPr>
      <w:r w:rsidRPr="00601EEA">
        <w:rPr>
          <w:rStyle w:val="TextoNormalNegritaCaracter"/>
        </w:rPr>
        <w:t>Artículo 17 bis.1</w:t>
      </w:r>
      <w:r>
        <w:t xml:space="preserve"> (redactado por la Ley Orgánica 3/2015, de 30 de marzo) inciso "b) serán inferiores a cincuenta mil euros"</w:t>
      </w:r>
      <w:r w:rsidRPr="00601EEA">
        <w:rPr>
          <w:rStyle w:val="TextoNormalNegritaCaracter"/>
        </w:rPr>
        <w:t>.</w:t>
      </w:r>
      <w:r w:rsidRPr="00601EEA">
        <w:rPr>
          <w:rStyle w:val="TextoNormalCaracter"/>
        </w:rPr>
        <w:t>-</w:t>
      </w:r>
      <w:r>
        <w:t xml:space="preserve"> Sentencia </w:t>
      </w:r>
      <w:hyperlink w:anchor="SENTENCIA_2024_69" w:history="1">
        <w:r w:rsidRPr="00601EEA">
          <w:rPr>
            <w:rStyle w:val="TextoNormalCaracter"/>
          </w:rPr>
          <w:t>69/2024</w:t>
        </w:r>
      </w:hyperlink>
      <w:r>
        <w:t xml:space="preserve"> (anula).</w:t>
      </w:r>
    </w:p>
    <w:p w14:paraId="52B01755" w14:textId="018D5B23" w:rsidR="00601EEA" w:rsidRDefault="00601EEA" w:rsidP="00601EEA">
      <w:pPr>
        <w:pStyle w:val="SangriaFrancesaArticulo"/>
      </w:pPr>
      <w:r w:rsidRPr="00601EEA">
        <w:rPr>
          <w:rStyle w:val="TextoNormalNegritaCaracter"/>
        </w:rPr>
        <w:t>Artículo 17 bis.1 último párrafo</w:t>
      </w:r>
      <w:r>
        <w:t xml:space="preserve"> (redactado por la Ley Orgánica 3/2015, de 30 de marzo)</w:t>
      </w:r>
      <w:r w:rsidRPr="00601EEA">
        <w:rPr>
          <w:rStyle w:val="TextoNormalNegritaCaracter"/>
        </w:rPr>
        <w:t>.</w:t>
      </w:r>
      <w:r w:rsidRPr="00601EEA">
        <w:rPr>
          <w:rStyle w:val="TextoNormalCaracter"/>
        </w:rPr>
        <w:t>-</w:t>
      </w:r>
      <w:r>
        <w:t xml:space="preserve"> Sentencia </w:t>
      </w:r>
      <w:hyperlink w:anchor="SENTENCIA_2024_74" w:history="1">
        <w:r w:rsidRPr="00601EEA">
          <w:rPr>
            <w:rStyle w:val="TextoNormalCaracter"/>
          </w:rPr>
          <w:t>74/2024</w:t>
        </w:r>
      </w:hyperlink>
      <w:r>
        <w:t>.</w:t>
      </w:r>
    </w:p>
    <w:p w14:paraId="293E22E3" w14:textId="77AC67D2" w:rsidR="00601EEA" w:rsidRDefault="00601EEA" w:rsidP="00601EEA">
      <w:pPr>
        <w:pStyle w:val="SangriaFrancesaArticulo"/>
      </w:pPr>
      <w:r w:rsidRPr="00601EEA">
        <w:rPr>
          <w:rStyle w:val="TextoNormalNegritaCaracter"/>
        </w:rPr>
        <w:t>Artículo 17 bis.2 b)</w:t>
      </w:r>
      <w:r>
        <w:t xml:space="preserve"> (redactado por la Ley Orgánica 3/2015, de 30 de marzo) inciso "sin que en ningún caso pueda ser inferior a veinticinco mil euros"</w:t>
      </w:r>
      <w:r w:rsidRPr="00601EEA">
        <w:rPr>
          <w:rStyle w:val="TextoNormalNegritaCaracter"/>
        </w:rPr>
        <w:t>.</w:t>
      </w:r>
      <w:r w:rsidRPr="00601EEA">
        <w:rPr>
          <w:rStyle w:val="TextoNormalCaracter"/>
        </w:rPr>
        <w:t>-</w:t>
      </w:r>
      <w:r>
        <w:t xml:space="preserve"> Sentencia </w:t>
      </w:r>
      <w:hyperlink w:anchor="SENTENCIA_2024_69" w:history="1">
        <w:r w:rsidRPr="00601EEA">
          <w:rPr>
            <w:rStyle w:val="TextoNormalCaracter"/>
          </w:rPr>
          <w:t>69/2024</w:t>
        </w:r>
      </w:hyperlink>
      <w:r>
        <w:t xml:space="preserve"> (anula).</w:t>
      </w:r>
    </w:p>
    <w:p w14:paraId="2534A445" w14:textId="2AA65E52" w:rsidR="00601EEA" w:rsidRDefault="00601EEA" w:rsidP="00601EEA">
      <w:pPr>
        <w:pStyle w:val="SangriaFrancesaArticulo"/>
      </w:pPr>
      <w:r w:rsidRPr="00601EEA">
        <w:rPr>
          <w:rStyle w:val="TextoNormalNegritaCaracter"/>
        </w:rPr>
        <w:t>Artículo 17 bis.3 b)</w:t>
      </w:r>
      <w:r>
        <w:t xml:space="preserve"> (redactado por la Ley Orgánica 3/2015, de 30 de marzo) inciso "sin que en ningún caso pueda ser inferior a cinco mil euros"</w:t>
      </w:r>
      <w:r w:rsidRPr="00601EEA">
        <w:rPr>
          <w:rStyle w:val="TextoNormalNegritaCaracter"/>
        </w:rPr>
        <w:t>.</w:t>
      </w:r>
      <w:r w:rsidRPr="00601EEA">
        <w:rPr>
          <w:rStyle w:val="TextoNormalCaracter"/>
        </w:rPr>
        <w:t>-</w:t>
      </w:r>
      <w:r>
        <w:t xml:space="preserve"> Sentencia </w:t>
      </w:r>
      <w:hyperlink w:anchor="SENTENCIA_2024_69" w:history="1">
        <w:r w:rsidRPr="00601EEA">
          <w:rPr>
            <w:rStyle w:val="TextoNormalCaracter"/>
          </w:rPr>
          <w:t>69/2024</w:t>
        </w:r>
      </w:hyperlink>
      <w:r>
        <w:t xml:space="preserve"> (anula).</w:t>
      </w:r>
    </w:p>
    <w:p w14:paraId="277738E0" w14:textId="23CDB20F" w:rsidR="00601EEA" w:rsidRDefault="00601EEA" w:rsidP="00601EEA">
      <w:pPr>
        <w:pStyle w:val="SangriaFrancesaArticulo"/>
      </w:pPr>
    </w:p>
    <w:p w14:paraId="11447851" w14:textId="77777777" w:rsidR="00601EEA" w:rsidRDefault="00601EEA" w:rsidP="00601EEA">
      <w:pPr>
        <w:pStyle w:val="TextoNormalNegritaCursivandice"/>
        <w:keepNext/>
      </w:pPr>
      <w:r>
        <w:t>Ley 30/2015, de 9 de septiembre, por la que se regula el sistema de formación profesional para el empleo en el ámbito laboral</w:t>
      </w:r>
    </w:p>
    <w:p w14:paraId="6D1D8F7E" w14:textId="50B60C44" w:rsidR="00601EEA" w:rsidRDefault="00601EEA" w:rsidP="00601EEA">
      <w:pPr>
        <w:pStyle w:val="SangriaFrancesaArticulo"/>
      </w:pPr>
      <w:r w:rsidRPr="00601EEA">
        <w:rPr>
          <w:rStyle w:val="TextoNormalNegritaCaracter"/>
        </w:rPr>
        <w:t>Artículo 1.2, incisos “organizaciones sindicales más representativas” o “representativas en el correspondiente ámbito de actuación”.</w:t>
      </w:r>
      <w:r w:rsidRPr="00601EEA">
        <w:rPr>
          <w:rStyle w:val="TextoNormalCaracter"/>
        </w:rPr>
        <w:t>-</w:t>
      </w:r>
      <w:r>
        <w:t xml:space="preserve"> Sentencia </w:t>
      </w:r>
      <w:hyperlink w:anchor="SENTENCIA_2024_63" w:history="1">
        <w:r w:rsidRPr="00601EEA">
          <w:rPr>
            <w:rStyle w:val="TextoNormalCaracter"/>
          </w:rPr>
          <w:t>63/2024</w:t>
        </w:r>
      </w:hyperlink>
      <w:r>
        <w:t>.</w:t>
      </w:r>
    </w:p>
    <w:p w14:paraId="1A1969F5" w14:textId="0385CB9C" w:rsidR="00601EEA" w:rsidRDefault="00601EEA" w:rsidP="00601EEA">
      <w:pPr>
        <w:pStyle w:val="SangriaFrancesaArticulo"/>
      </w:pPr>
      <w:r w:rsidRPr="00601EEA">
        <w:rPr>
          <w:rStyle w:val="TextoNormalNegritaCaracter"/>
        </w:rPr>
        <w:t>Artículo 5.1, párrafo 2, incisos “organizaciones sindicales más representativas” o “representativas en el correspondiente ámbito de actuación”.</w:t>
      </w:r>
      <w:r w:rsidRPr="00601EEA">
        <w:rPr>
          <w:rStyle w:val="TextoNormalCaracter"/>
        </w:rPr>
        <w:t>-</w:t>
      </w:r>
      <w:r>
        <w:t xml:space="preserve"> Sentencia </w:t>
      </w:r>
      <w:hyperlink w:anchor="SENTENCIA_2024_63" w:history="1">
        <w:r w:rsidRPr="00601EEA">
          <w:rPr>
            <w:rStyle w:val="TextoNormalCaracter"/>
          </w:rPr>
          <w:t>63/2024</w:t>
        </w:r>
      </w:hyperlink>
      <w:r>
        <w:t>.</w:t>
      </w:r>
    </w:p>
    <w:p w14:paraId="6A0AE13D" w14:textId="76099ED5" w:rsidR="00601EEA" w:rsidRDefault="00601EEA" w:rsidP="00601EEA">
      <w:pPr>
        <w:pStyle w:val="SangriaFrancesaArticulo"/>
      </w:pPr>
      <w:r w:rsidRPr="00601EEA">
        <w:rPr>
          <w:rStyle w:val="TextoNormalNegritaCaracter"/>
        </w:rPr>
        <w:t>Artículo 10.2 a), incisos “organizaciones sindicales más representativas” o “representativas en el correspondiente ámbito de actuación”.</w:t>
      </w:r>
      <w:r w:rsidRPr="00601EEA">
        <w:rPr>
          <w:rStyle w:val="TextoNormalCaracter"/>
        </w:rPr>
        <w:t>-</w:t>
      </w:r>
      <w:r>
        <w:t xml:space="preserve"> Sentencia </w:t>
      </w:r>
      <w:hyperlink w:anchor="SENTENCIA_2024_63" w:history="1">
        <w:r w:rsidRPr="00601EEA">
          <w:rPr>
            <w:rStyle w:val="TextoNormalCaracter"/>
          </w:rPr>
          <w:t>63/2024</w:t>
        </w:r>
      </w:hyperlink>
      <w:r>
        <w:t>.</w:t>
      </w:r>
    </w:p>
    <w:p w14:paraId="49811D06" w14:textId="73802A4C" w:rsidR="00601EEA" w:rsidRDefault="00601EEA" w:rsidP="00601EEA">
      <w:pPr>
        <w:pStyle w:val="SangriaFrancesaArticulo"/>
      </w:pPr>
      <w:r w:rsidRPr="00601EEA">
        <w:rPr>
          <w:rStyle w:val="TextoNormalNegritaCaracter"/>
        </w:rPr>
        <w:t>Artículo 10.2 b), incisos “organizaciones sindicales más representativas” o “representativas en el correspondiente ámbito de actuación”.</w:t>
      </w:r>
      <w:r w:rsidRPr="00601EEA">
        <w:rPr>
          <w:rStyle w:val="TextoNormalCaracter"/>
        </w:rPr>
        <w:t>-</w:t>
      </w:r>
      <w:r>
        <w:t xml:space="preserve"> Sentencia </w:t>
      </w:r>
      <w:hyperlink w:anchor="SENTENCIA_2024_63" w:history="1">
        <w:r w:rsidRPr="00601EEA">
          <w:rPr>
            <w:rStyle w:val="TextoNormalCaracter"/>
          </w:rPr>
          <w:t>63/2024</w:t>
        </w:r>
      </w:hyperlink>
      <w:r>
        <w:t>.</w:t>
      </w:r>
    </w:p>
    <w:p w14:paraId="32517E18" w14:textId="41F2FA39" w:rsidR="00601EEA" w:rsidRDefault="00601EEA" w:rsidP="00601EEA">
      <w:pPr>
        <w:pStyle w:val="SangriaFrancesaArticulo"/>
      </w:pPr>
      <w:r w:rsidRPr="00601EEA">
        <w:rPr>
          <w:rStyle w:val="TextoNormalNegritaCaracter"/>
        </w:rPr>
        <w:lastRenderedPageBreak/>
        <w:t>Artículo 11.1, incisos “organizaciones sindicales más representativas” o “representativas en el correspondiente ámbito de actuación”.</w:t>
      </w:r>
      <w:r w:rsidRPr="00601EEA">
        <w:rPr>
          <w:rStyle w:val="TextoNormalCaracter"/>
        </w:rPr>
        <w:t>-</w:t>
      </w:r>
      <w:r>
        <w:t xml:space="preserve"> Sentencia </w:t>
      </w:r>
      <w:hyperlink w:anchor="SENTENCIA_2024_63" w:history="1">
        <w:r w:rsidRPr="00601EEA">
          <w:rPr>
            <w:rStyle w:val="TextoNormalCaracter"/>
          </w:rPr>
          <w:t>63/2024</w:t>
        </w:r>
      </w:hyperlink>
      <w:r>
        <w:t>.</w:t>
      </w:r>
    </w:p>
    <w:p w14:paraId="7468A516" w14:textId="076915B8" w:rsidR="00601EEA" w:rsidRDefault="00601EEA" w:rsidP="00601EEA">
      <w:pPr>
        <w:pStyle w:val="SangriaFrancesaArticulo"/>
      </w:pPr>
      <w:r w:rsidRPr="00601EEA">
        <w:rPr>
          <w:rStyle w:val="TextoNormalNegritaCaracter"/>
        </w:rPr>
        <w:t>Artículo 13, incisos “organizaciones sindicales más representativas” o “representativas en el correspondiente ámbito de actuación”.</w:t>
      </w:r>
      <w:r w:rsidRPr="00601EEA">
        <w:rPr>
          <w:rStyle w:val="TextoNormalCaracter"/>
        </w:rPr>
        <w:t>-</w:t>
      </w:r>
      <w:r>
        <w:t xml:space="preserve"> Sentencia </w:t>
      </w:r>
      <w:hyperlink w:anchor="SENTENCIA_2024_63" w:history="1">
        <w:r w:rsidRPr="00601EEA">
          <w:rPr>
            <w:rStyle w:val="TextoNormalCaracter"/>
          </w:rPr>
          <w:t>63/2024</w:t>
        </w:r>
      </w:hyperlink>
      <w:r>
        <w:t>.</w:t>
      </w:r>
    </w:p>
    <w:p w14:paraId="104C6877" w14:textId="311A4037" w:rsidR="00601EEA" w:rsidRDefault="00601EEA" w:rsidP="00601EEA">
      <w:pPr>
        <w:pStyle w:val="SangriaFrancesaArticulo"/>
      </w:pPr>
      <w:r w:rsidRPr="00601EEA">
        <w:rPr>
          <w:rStyle w:val="TextoNormalNegritaCaracter"/>
        </w:rPr>
        <w:t>Artículo 21.1, incisos “organizaciones sindicales más representativas” o “representativas en el correspondiente ámbito de actuación”.</w:t>
      </w:r>
      <w:r w:rsidRPr="00601EEA">
        <w:rPr>
          <w:rStyle w:val="TextoNormalCaracter"/>
        </w:rPr>
        <w:t>-</w:t>
      </w:r>
      <w:r>
        <w:t xml:space="preserve"> Sentencia </w:t>
      </w:r>
      <w:hyperlink w:anchor="SENTENCIA_2024_63" w:history="1">
        <w:r w:rsidRPr="00601EEA">
          <w:rPr>
            <w:rStyle w:val="TextoNormalCaracter"/>
          </w:rPr>
          <w:t>63/2024</w:t>
        </w:r>
      </w:hyperlink>
      <w:r>
        <w:t>.</w:t>
      </w:r>
    </w:p>
    <w:p w14:paraId="47298853" w14:textId="14001073" w:rsidR="00601EEA" w:rsidRDefault="00601EEA" w:rsidP="00601EEA">
      <w:pPr>
        <w:pStyle w:val="SangriaFrancesaArticulo"/>
      </w:pPr>
      <w:r w:rsidRPr="00601EEA">
        <w:rPr>
          <w:rStyle w:val="TextoNormalNegritaCaracter"/>
        </w:rPr>
        <w:t>Artículo 25.1, incisos “organizaciones sindicales más representativas” o “representativas en el correspondiente ámbito de actuación”.</w:t>
      </w:r>
      <w:r w:rsidRPr="00601EEA">
        <w:rPr>
          <w:rStyle w:val="TextoNormalCaracter"/>
        </w:rPr>
        <w:t>-</w:t>
      </w:r>
      <w:r>
        <w:t xml:space="preserve"> Sentencia </w:t>
      </w:r>
      <w:hyperlink w:anchor="SENTENCIA_2024_63" w:history="1">
        <w:r w:rsidRPr="00601EEA">
          <w:rPr>
            <w:rStyle w:val="TextoNormalCaracter"/>
          </w:rPr>
          <w:t>63/2024</w:t>
        </w:r>
      </w:hyperlink>
      <w:r>
        <w:t>.</w:t>
      </w:r>
    </w:p>
    <w:p w14:paraId="63027891" w14:textId="099F1431" w:rsidR="00601EEA" w:rsidRDefault="00601EEA" w:rsidP="00601EEA">
      <w:pPr>
        <w:pStyle w:val="SangriaFrancesaArticulo"/>
      </w:pPr>
      <w:r w:rsidRPr="00601EEA">
        <w:rPr>
          <w:rStyle w:val="TextoNormalNegritaCaracter"/>
        </w:rPr>
        <w:t>Artículo 26.1, incisos “organizaciones sindicales más representativas” o “representativas en el correspondiente ámbito de actuación”.</w:t>
      </w:r>
      <w:r w:rsidRPr="00601EEA">
        <w:rPr>
          <w:rStyle w:val="TextoNormalCaracter"/>
        </w:rPr>
        <w:t>-</w:t>
      </w:r>
      <w:r>
        <w:t xml:space="preserve"> Sentencia </w:t>
      </w:r>
      <w:hyperlink w:anchor="SENTENCIA_2024_63" w:history="1">
        <w:r w:rsidRPr="00601EEA">
          <w:rPr>
            <w:rStyle w:val="TextoNormalCaracter"/>
          </w:rPr>
          <w:t>63/2024</w:t>
        </w:r>
      </w:hyperlink>
      <w:r>
        <w:t>.</w:t>
      </w:r>
    </w:p>
    <w:p w14:paraId="5625BCC7" w14:textId="41F7560B" w:rsidR="00601EEA" w:rsidRDefault="00601EEA" w:rsidP="00601EEA">
      <w:pPr>
        <w:pStyle w:val="SangriaFrancesaArticulo"/>
      </w:pPr>
      <w:r w:rsidRPr="00601EEA">
        <w:rPr>
          <w:rStyle w:val="TextoNormalNegritaCaracter"/>
        </w:rPr>
        <w:t>Disposición adicional primera, incisos “organizaciones sindicales más representativas” o “representativas en el correspondiente ámbito de actuación”.</w:t>
      </w:r>
      <w:r w:rsidRPr="00601EEA">
        <w:rPr>
          <w:rStyle w:val="TextoNormalCaracter"/>
        </w:rPr>
        <w:t>-</w:t>
      </w:r>
      <w:r>
        <w:t xml:space="preserve"> Sentencia </w:t>
      </w:r>
      <w:hyperlink w:anchor="SENTENCIA_2024_63" w:history="1">
        <w:r w:rsidRPr="00601EEA">
          <w:rPr>
            <w:rStyle w:val="TextoNormalCaracter"/>
          </w:rPr>
          <w:t>63/2024</w:t>
        </w:r>
      </w:hyperlink>
      <w:r>
        <w:t>.</w:t>
      </w:r>
    </w:p>
    <w:p w14:paraId="262C383F" w14:textId="11855963" w:rsidR="00601EEA" w:rsidRDefault="00601EEA" w:rsidP="00601EEA">
      <w:pPr>
        <w:pStyle w:val="SangriaFrancesaArticulo"/>
      </w:pPr>
      <w:r w:rsidRPr="00601EEA">
        <w:rPr>
          <w:rStyle w:val="TextoNormalNegritaCaracter"/>
        </w:rPr>
        <w:t>Disposición final cuarta, incisos “organizaciones sindicales más representativas” o “representativas en el correspondiente ámbito de actuación”.</w:t>
      </w:r>
      <w:r w:rsidRPr="00601EEA">
        <w:rPr>
          <w:rStyle w:val="TextoNormalCaracter"/>
        </w:rPr>
        <w:t>-</w:t>
      </w:r>
      <w:r>
        <w:t xml:space="preserve"> Sentencia </w:t>
      </w:r>
      <w:hyperlink w:anchor="SENTENCIA_2024_63" w:history="1">
        <w:r w:rsidRPr="00601EEA">
          <w:rPr>
            <w:rStyle w:val="TextoNormalCaracter"/>
          </w:rPr>
          <w:t>63/2024</w:t>
        </w:r>
      </w:hyperlink>
      <w:r>
        <w:t>.</w:t>
      </w:r>
    </w:p>
    <w:p w14:paraId="7E9642B7" w14:textId="5074C36E" w:rsidR="00601EEA" w:rsidRDefault="00601EEA" w:rsidP="00601EEA">
      <w:pPr>
        <w:pStyle w:val="SangriaFrancesaArticulo"/>
      </w:pPr>
      <w:r w:rsidRPr="00601EEA">
        <w:rPr>
          <w:rStyle w:val="TextoNormalNegritaCaracter"/>
        </w:rPr>
        <w:t>Disposición final quinta, apartado dos, incisos “organizaciones sindicales más representativas” o “representativas en el correspondiente ámbito de actuación”.</w:t>
      </w:r>
      <w:r w:rsidRPr="00601EEA">
        <w:rPr>
          <w:rStyle w:val="TextoNormalCaracter"/>
        </w:rPr>
        <w:t>-</w:t>
      </w:r>
      <w:r>
        <w:t xml:space="preserve"> Sentencia </w:t>
      </w:r>
      <w:hyperlink w:anchor="SENTENCIA_2024_63" w:history="1">
        <w:r w:rsidRPr="00601EEA">
          <w:rPr>
            <w:rStyle w:val="TextoNormalCaracter"/>
          </w:rPr>
          <w:t>63/2024</w:t>
        </w:r>
      </w:hyperlink>
      <w:r>
        <w:t>.</w:t>
      </w:r>
    </w:p>
    <w:p w14:paraId="6711DF2E" w14:textId="70C4F148" w:rsidR="00601EEA" w:rsidRDefault="00601EEA" w:rsidP="00601EEA">
      <w:pPr>
        <w:pStyle w:val="SangriaFrancesaArticulo"/>
      </w:pPr>
      <w:r w:rsidRPr="00601EEA">
        <w:rPr>
          <w:rStyle w:val="TextoNormalNegritaCaracter"/>
        </w:rPr>
        <w:t>Disposición final quinta, apartado uno, apartado dos, incisos “organizaciones sindicales más representativas” o “representativas en el correspondiente ámbito de actuación”.</w:t>
      </w:r>
      <w:r w:rsidRPr="00601EEA">
        <w:rPr>
          <w:rStyle w:val="TextoNormalCaracter"/>
        </w:rPr>
        <w:t>-</w:t>
      </w:r>
      <w:r>
        <w:t xml:space="preserve"> Sentencia </w:t>
      </w:r>
      <w:hyperlink w:anchor="SENTENCIA_2024_63" w:history="1">
        <w:r w:rsidRPr="00601EEA">
          <w:rPr>
            <w:rStyle w:val="TextoNormalCaracter"/>
          </w:rPr>
          <w:t>63/2024</w:t>
        </w:r>
      </w:hyperlink>
      <w:r>
        <w:t>.</w:t>
      </w:r>
    </w:p>
    <w:p w14:paraId="2D9C748F" w14:textId="663053F6" w:rsidR="00601EEA" w:rsidRDefault="00601EEA" w:rsidP="00601EEA">
      <w:pPr>
        <w:pStyle w:val="SangriaFrancesaArticulo"/>
      </w:pPr>
    </w:p>
    <w:p w14:paraId="7408BC80" w14:textId="77777777" w:rsidR="00601EEA" w:rsidRDefault="00601EEA" w:rsidP="00601EEA">
      <w:pPr>
        <w:pStyle w:val="TextoNormalNegritaCursivandice"/>
        <w:keepNext/>
      </w:pPr>
      <w:r>
        <w:t>Real Decreto Legislativo 8/2015, de 30 de octubre, por el que se aprueba el texto refundido de la Ley general de la Seguridad Social</w:t>
      </w:r>
    </w:p>
    <w:p w14:paraId="185A7A6B" w14:textId="55F4376F" w:rsidR="00601EEA" w:rsidRDefault="00601EEA" w:rsidP="00601EEA">
      <w:pPr>
        <w:pStyle w:val="SangriaFrancesaArticulo"/>
      </w:pPr>
      <w:r w:rsidRPr="00601EEA">
        <w:rPr>
          <w:rStyle w:val="TextoNormalNegritaCaracter"/>
        </w:rPr>
        <w:t>Artículo 60.1.</w:t>
      </w:r>
      <w:r w:rsidRPr="00601EEA">
        <w:rPr>
          <w:rStyle w:val="TextoNormalCaracter"/>
        </w:rPr>
        <w:t>-</w:t>
      </w:r>
      <w:r>
        <w:t xml:space="preserve"> Auto </w:t>
      </w:r>
      <w:hyperlink w:anchor="AUTO_2024_30" w:history="1">
        <w:r w:rsidRPr="00601EEA">
          <w:rPr>
            <w:rStyle w:val="TextoNormalCaracter"/>
          </w:rPr>
          <w:t>30/2024</w:t>
        </w:r>
      </w:hyperlink>
      <w:r>
        <w:t>.</w:t>
      </w:r>
    </w:p>
    <w:p w14:paraId="72985DD5" w14:textId="7047E975" w:rsidR="00601EEA" w:rsidRDefault="00601EEA" w:rsidP="00601EEA">
      <w:pPr>
        <w:pStyle w:val="SangriaFrancesaArticulo"/>
      </w:pPr>
      <w:r w:rsidRPr="00601EEA">
        <w:rPr>
          <w:rStyle w:val="TextoNormalNegritaCaracter"/>
        </w:rPr>
        <w:t>Artículo 60.1</w:t>
      </w:r>
      <w:r>
        <w:t xml:space="preserve"> (redactado por el Real Decreto-ley 2/2023, de 16 de marzo)</w:t>
      </w:r>
      <w:r w:rsidRPr="00601EEA">
        <w:rPr>
          <w:rStyle w:val="TextoNormalNegritaCaracter"/>
        </w:rPr>
        <w:t>.</w:t>
      </w:r>
      <w:r w:rsidRPr="00601EEA">
        <w:rPr>
          <w:rStyle w:val="TextoNormalCaracter"/>
        </w:rPr>
        <w:t>-</w:t>
      </w:r>
      <w:r>
        <w:t xml:space="preserve"> Auto </w:t>
      </w:r>
      <w:hyperlink w:anchor="AUTO_2024_30" w:history="1">
        <w:r w:rsidRPr="00601EEA">
          <w:rPr>
            <w:rStyle w:val="TextoNormalCaracter"/>
          </w:rPr>
          <w:t>30/2024</w:t>
        </w:r>
      </w:hyperlink>
      <w:r>
        <w:t>.</w:t>
      </w:r>
    </w:p>
    <w:p w14:paraId="268B8BF2" w14:textId="4E705A19" w:rsidR="00601EEA" w:rsidRDefault="00601EEA" w:rsidP="00601EEA">
      <w:pPr>
        <w:pStyle w:val="SangriaFrancesaArticulo"/>
      </w:pPr>
      <w:r w:rsidRPr="00601EEA">
        <w:rPr>
          <w:rStyle w:val="TextoNormalNegritaCaracter"/>
        </w:rPr>
        <w:t>Artículo 60.1</w:t>
      </w:r>
      <w:r>
        <w:t xml:space="preserve"> (redactado por el Real Decreto-ley 3/2021, de 2 de febrero)</w:t>
      </w:r>
      <w:r w:rsidRPr="00601EEA">
        <w:rPr>
          <w:rStyle w:val="TextoNormalNegritaCaracter"/>
        </w:rPr>
        <w:t>.</w:t>
      </w:r>
      <w:r w:rsidRPr="00601EEA">
        <w:rPr>
          <w:rStyle w:val="TextoNormalCaracter"/>
        </w:rPr>
        <w:t>-</w:t>
      </w:r>
      <w:r>
        <w:t xml:space="preserve"> Auto </w:t>
      </w:r>
      <w:hyperlink w:anchor="AUTO_2024_30" w:history="1">
        <w:r w:rsidRPr="00601EEA">
          <w:rPr>
            <w:rStyle w:val="TextoNormalCaracter"/>
          </w:rPr>
          <w:t>30/2024</w:t>
        </w:r>
      </w:hyperlink>
      <w:r>
        <w:t>.</w:t>
      </w:r>
    </w:p>
    <w:p w14:paraId="13940E62" w14:textId="31F88824" w:rsidR="00601EEA" w:rsidRDefault="00601EEA" w:rsidP="00601EEA">
      <w:pPr>
        <w:pStyle w:val="SangriaFrancesaArticulo"/>
      </w:pPr>
    </w:p>
    <w:p w14:paraId="0E0A7E26" w14:textId="77777777" w:rsidR="00601EEA" w:rsidRDefault="00601EEA" w:rsidP="00601EEA">
      <w:pPr>
        <w:pStyle w:val="TextoNormalNegritaCursivandice"/>
        <w:keepNext/>
      </w:pPr>
      <w:r>
        <w:t>Real Decreto-ley 3/2016, de 2 de diciembre, por el que se adoptan medidas en el ámbito tributario dirigidas a la consolidación de las finanzas públicas y otras medidas urgentes en materia social</w:t>
      </w:r>
    </w:p>
    <w:p w14:paraId="497B07F4" w14:textId="423E2575" w:rsidR="00601EEA" w:rsidRDefault="00601EEA" w:rsidP="00601EEA">
      <w:pPr>
        <w:pStyle w:val="SangriaFrancesaArticulo"/>
      </w:pPr>
      <w:r w:rsidRPr="00601EEA">
        <w:rPr>
          <w:rStyle w:val="TextoNormalNegritaCaracter"/>
        </w:rPr>
        <w:t>Artículo 3.1 apartados 1, 2.</w:t>
      </w:r>
      <w:r w:rsidRPr="00601EEA">
        <w:rPr>
          <w:rStyle w:val="TextoNormalCaracter"/>
        </w:rPr>
        <w:t>-</w:t>
      </w:r>
      <w:r>
        <w:t xml:space="preserve"> Sentencia </w:t>
      </w:r>
      <w:hyperlink w:anchor="SENTENCIA_2024_11" w:history="1">
        <w:r w:rsidRPr="00601EEA">
          <w:rPr>
            <w:rStyle w:val="TextoNormalCaracter"/>
          </w:rPr>
          <w:t>11/2024</w:t>
        </w:r>
      </w:hyperlink>
      <w:r>
        <w:t xml:space="preserve"> (declara inconstitucional).</w:t>
      </w:r>
    </w:p>
    <w:p w14:paraId="1D3B5ECB" w14:textId="06613945" w:rsidR="00601EEA" w:rsidRDefault="00601EEA" w:rsidP="00601EEA">
      <w:pPr>
        <w:pStyle w:val="SangriaFrancesaArticulo"/>
      </w:pPr>
      <w:r w:rsidRPr="00601EEA">
        <w:rPr>
          <w:rStyle w:val="TextoNormalNegritaCaracter"/>
        </w:rPr>
        <w:t>Artículo 3.1 apartados 1, 2.</w:t>
      </w:r>
      <w:r w:rsidRPr="00601EEA">
        <w:rPr>
          <w:rStyle w:val="TextoNormalCaracter"/>
        </w:rPr>
        <w:t>-</w:t>
      </w:r>
      <w:r>
        <w:t xml:space="preserve"> Sentencia </w:t>
      </w:r>
      <w:hyperlink w:anchor="SENTENCIA_2024_16" w:history="1">
        <w:r w:rsidRPr="00601EEA">
          <w:rPr>
            <w:rStyle w:val="TextoNormalCaracter"/>
          </w:rPr>
          <w:t>16/2024</w:t>
        </w:r>
      </w:hyperlink>
      <w:r>
        <w:t>.</w:t>
      </w:r>
    </w:p>
    <w:p w14:paraId="7527FB85" w14:textId="19E910EF" w:rsidR="00601EEA" w:rsidRDefault="00601EEA" w:rsidP="00601EEA">
      <w:pPr>
        <w:pStyle w:val="SangriaFrancesaArticulo"/>
      </w:pPr>
    </w:p>
    <w:p w14:paraId="114A451B" w14:textId="77777777" w:rsidR="00601EEA" w:rsidRDefault="00601EEA" w:rsidP="00601EEA">
      <w:pPr>
        <w:pStyle w:val="TextoNormalNegritaCursivandice"/>
        <w:keepNext/>
      </w:pPr>
      <w:r>
        <w:t>Ley Orgánica 4/2021, de 29 de marzo, por la que se modifica la Ley Orgánica 6/1985, de 1 de julio, del Poder Judicial, para el establecimiento del régimen jurídico aplicable al Consejo General del Poder Judicial en funciones</w:t>
      </w:r>
    </w:p>
    <w:p w14:paraId="1779C342" w14:textId="14082189"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15" w:history="1">
        <w:r w:rsidRPr="00601EEA">
          <w:rPr>
            <w:rStyle w:val="TextoNormalCaracter"/>
          </w:rPr>
          <w:t>15/2024</w:t>
        </w:r>
      </w:hyperlink>
      <w:r>
        <w:t>.</w:t>
      </w:r>
    </w:p>
    <w:p w14:paraId="5257B4B4" w14:textId="09BC4A44" w:rsidR="00601EEA" w:rsidRDefault="00601EEA" w:rsidP="00601EEA">
      <w:pPr>
        <w:pStyle w:val="SangriaFrancesaArticulo"/>
      </w:pPr>
    </w:p>
    <w:p w14:paraId="7705CAC7" w14:textId="77777777" w:rsidR="00601EEA" w:rsidRDefault="00601EEA" w:rsidP="00601EEA">
      <w:pPr>
        <w:pStyle w:val="TextoNormalNegritaCursivandice"/>
        <w:keepNext/>
      </w:pPr>
      <w:r>
        <w:t>Real Decreto-ley 16/2021, de 3 de agosto, por el que se adoptan medidas de protección social para hacer frente a situaciones de vulnerabilidad social y económica</w:t>
      </w:r>
    </w:p>
    <w:p w14:paraId="18A7FF70" w14:textId="1559C358" w:rsidR="00601EEA" w:rsidRDefault="00601EEA" w:rsidP="00601EEA">
      <w:pPr>
        <w:pStyle w:val="SangriaFrancesaArticulo"/>
      </w:pPr>
      <w:r w:rsidRPr="00601EEA">
        <w:rPr>
          <w:rStyle w:val="TextoNormalNegritaCaracter"/>
        </w:rPr>
        <w:t>Artículo 2.2.</w:t>
      </w:r>
      <w:r w:rsidRPr="00601EEA">
        <w:rPr>
          <w:rStyle w:val="TextoNormalCaracter"/>
        </w:rPr>
        <w:t>-</w:t>
      </w:r>
      <w:r>
        <w:t xml:space="preserve"> Sentencia </w:t>
      </w:r>
      <w:hyperlink w:anchor="SENTENCIA_2024_7" w:history="1">
        <w:r w:rsidRPr="00601EEA">
          <w:rPr>
            <w:rStyle w:val="TextoNormalCaracter"/>
          </w:rPr>
          <w:t>7/2024</w:t>
        </w:r>
      </w:hyperlink>
      <w:r>
        <w:t>.</w:t>
      </w:r>
    </w:p>
    <w:p w14:paraId="40BC2999" w14:textId="0D94986B" w:rsidR="00601EEA" w:rsidRDefault="00601EEA" w:rsidP="00601EEA">
      <w:pPr>
        <w:pStyle w:val="SangriaFrancesaArticulo"/>
      </w:pPr>
    </w:p>
    <w:p w14:paraId="65DB7344" w14:textId="77777777" w:rsidR="00601EEA" w:rsidRDefault="00601EEA" w:rsidP="00601EEA">
      <w:pPr>
        <w:pStyle w:val="TextoNormalNegritaCursivandice"/>
        <w:keepNext/>
      </w:pPr>
      <w:r>
        <w:lastRenderedPageBreak/>
        <w:t>Ley 19/2021, de 20 de diciembre, por la que se establece el ingreso mínimo vital</w:t>
      </w:r>
    </w:p>
    <w:p w14:paraId="17549E5C" w14:textId="2A730DE8" w:rsidR="00601EEA" w:rsidRDefault="00601EEA" w:rsidP="00601EEA">
      <w:pPr>
        <w:pStyle w:val="SangriaFrancesaArticulo"/>
      </w:pPr>
      <w:r w:rsidRPr="00601EEA">
        <w:rPr>
          <w:rStyle w:val="TextoNormalNegritaCaracter"/>
        </w:rPr>
        <w:t>Disposición adicional quinta.</w:t>
      </w:r>
      <w:r w:rsidRPr="00601EEA">
        <w:rPr>
          <w:rStyle w:val="TextoNormalCaracter"/>
        </w:rPr>
        <w:t>-</w:t>
      </w:r>
      <w:r>
        <w:t xml:space="preserve"> Sentencias </w:t>
      </w:r>
      <w:hyperlink w:anchor="SENTENCIA_2024_19" w:history="1">
        <w:r w:rsidRPr="00601EEA">
          <w:rPr>
            <w:rStyle w:val="TextoNormalCaracter"/>
          </w:rPr>
          <w:t>19/2024</w:t>
        </w:r>
      </w:hyperlink>
      <w:r>
        <w:t xml:space="preserve">; </w:t>
      </w:r>
      <w:hyperlink w:anchor="SENTENCIA_2024_32" w:history="1">
        <w:r w:rsidRPr="00601EEA">
          <w:rPr>
            <w:rStyle w:val="TextoNormalCaracter"/>
          </w:rPr>
          <w:t>32/2024</w:t>
        </w:r>
      </w:hyperlink>
      <w:r>
        <w:t>.</w:t>
      </w:r>
    </w:p>
    <w:p w14:paraId="2A598C63" w14:textId="1E01B7EB" w:rsidR="00601EEA" w:rsidRDefault="00601EEA" w:rsidP="00601EEA">
      <w:pPr>
        <w:pStyle w:val="SangriaFrancesaArticulo"/>
      </w:pPr>
      <w:r w:rsidRPr="00601EEA">
        <w:rPr>
          <w:rStyle w:val="TextoNormalNegritaCaracter"/>
        </w:rPr>
        <w:t>Disposición adicional quinta, párrafo primero</w:t>
      </w:r>
      <w:r>
        <w:t xml:space="preserve"> (redactado por la Ley 22/2021, de 28 de diciembre)</w:t>
      </w:r>
      <w:r w:rsidRPr="00601EEA">
        <w:rPr>
          <w:rStyle w:val="TextoNormalNegritaCaracter"/>
        </w:rPr>
        <w:t>.</w:t>
      </w:r>
      <w:r w:rsidRPr="00601EEA">
        <w:rPr>
          <w:rStyle w:val="TextoNormalCaracter"/>
        </w:rPr>
        <w:t>-</w:t>
      </w:r>
      <w:r>
        <w:t xml:space="preserve"> Sentencia </w:t>
      </w:r>
      <w:hyperlink w:anchor="SENTENCIA_2024_19" w:history="1">
        <w:r w:rsidRPr="00601EEA">
          <w:rPr>
            <w:rStyle w:val="TextoNormalCaracter"/>
          </w:rPr>
          <w:t>19/2024</w:t>
        </w:r>
      </w:hyperlink>
      <w:r>
        <w:t>.</w:t>
      </w:r>
    </w:p>
    <w:p w14:paraId="009B61A9" w14:textId="63FE358F" w:rsidR="00601EEA" w:rsidRDefault="00601EEA" w:rsidP="00601EEA">
      <w:pPr>
        <w:pStyle w:val="SangriaFrancesaArticulo"/>
      </w:pPr>
    </w:p>
    <w:p w14:paraId="3FFA5AEF" w14:textId="77777777" w:rsidR="00601EEA" w:rsidRDefault="00601EEA" w:rsidP="00601EEA">
      <w:pPr>
        <w:pStyle w:val="TextoNormalNegritaCursivandice"/>
        <w:keepNext/>
      </w:pPr>
      <w:r>
        <w:t>Ley 22/2021, de 28 de diciembre, de presupuestos generales del Estado para el año 2022</w:t>
      </w:r>
    </w:p>
    <w:p w14:paraId="31480164" w14:textId="189DDE55" w:rsidR="00601EEA" w:rsidRDefault="00601EEA" w:rsidP="00601EEA">
      <w:pPr>
        <w:pStyle w:val="SangriaFrancesaArticulo"/>
      </w:pPr>
      <w:r w:rsidRPr="00601EEA">
        <w:rPr>
          <w:rStyle w:val="TextoNormalNegritaCaracter"/>
        </w:rPr>
        <w:t>Disposición final primera.</w:t>
      </w:r>
      <w:r w:rsidRPr="00601EEA">
        <w:rPr>
          <w:rStyle w:val="TextoNormalCaracter"/>
        </w:rPr>
        <w:t>-</w:t>
      </w:r>
      <w:r>
        <w:t xml:space="preserve"> Sentencia </w:t>
      </w:r>
      <w:hyperlink w:anchor="SENTENCIA_2024_67" w:history="1">
        <w:r w:rsidRPr="00601EEA">
          <w:rPr>
            <w:rStyle w:val="TextoNormalCaracter"/>
          </w:rPr>
          <w:t>67/2024</w:t>
        </w:r>
      </w:hyperlink>
      <w:r>
        <w:t xml:space="preserve"> (anula).</w:t>
      </w:r>
    </w:p>
    <w:p w14:paraId="37152749" w14:textId="7FA9804E" w:rsidR="00601EEA" w:rsidRDefault="00601EEA" w:rsidP="00601EEA">
      <w:pPr>
        <w:pStyle w:val="SangriaFrancesaArticulo"/>
      </w:pPr>
      <w:r w:rsidRPr="00601EEA">
        <w:rPr>
          <w:rStyle w:val="TextoNormalNegritaCaracter"/>
        </w:rPr>
        <w:t>Disposición final primera.</w:t>
      </w:r>
      <w:r w:rsidRPr="00601EEA">
        <w:rPr>
          <w:rStyle w:val="TextoNormalCaracter"/>
        </w:rPr>
        <w:t>-</w:t>
      </w:r>
      <w:r>
        <w:t xml:space="preserve"> Sentencia </w:t>
      </w:r>
      <w:hyperlink w:anchor="SENTENCIA_2024_73" w:history="1">
        <w:r w:rsidRPr="00601EEA">
          <w:rPr>
            <w:rStyle w:val="TextoNormalCaracter"/>
          </w:rPr>
          <w:t>73/2024</w:t>
        </w:r>
      </w:hyperlink>
      <w:r>
        <w:t>.</w:t>
      </w:r>
    </w:p>
    <w:p w14:paraId="70CA0727" w14:textId="62AB5508" w:rsidR="00601EEA" w:rsidRDefault="00601EEA" w:rsidP="00601EEA">
      <w:pPr>
        <w:pStyle w:val="SangriaFrancesaArticulo"/>
      </w:pPr>
      <w:r w:rsidRPr="00601EEA">
        <w:rPr>
          <w:rStyle w:val="TextoNormalNegritaCaracter"/>
        </w:rPr>
        <w:t>Disposición final trigésima.</w:t>
      </w:r>
      <w:r w:rsidRPr="00601EEA">
        <w:rPr>
          <w:rStyle w:val="TextoNormalCaracter"/>
        </w:rPr>
        <w:t>-</w:t>
      </w:r>
      <w:r>
        <w:t xml:space="preserve"> Sentencias </w:t>
      </w:r>
      <w:hyperlink w:anchor="SENTENCIA_2024_19" w:history="1">
        <w:r w:rsidRPr="00601EEA">
          <w:rPr>
            <w:rStyle w:val="TextoNormalCaracter"/>
          </w:rPr>
          <w:t>19/2024</w:t>
        </w:r>
      </w:hyperlink>
      <w:r>
        <w:t xml:space="preserve">; </w:t>
      </w:r>
      <w:hyperlink w:anchor="SENTENCIA_2024_32" w:history="1">
        <w:r w:rsidRPr="00601EEA">
          <w:rPr>
            <w:rStyle w:val="TextoNormalCaracter"/>
          </w:rPr>
          <w:t>32/2024</w:t>
        </w:r>
      </w:hyperlink>
      <w:r>
        <w:t>.</w:t>
      </w:r>
    </w:p>
    <w:p w14:paraId="7E83DC38" w14:textId="23A44A7B" w:rsidR="00601EEA" w:rsidRDefault="00601EEA" w:rsidP="00601EEA">
      <w:pPr>
        <w:pStyle w:val="SangriaFrancesaArticulo"/>
      </w:pPr>
    </w:p>
    <w:p w14:paraId="272BDE6F" w14:textId="77777777" w:rsidR="00601EEA" w:rsidRDefault="00601EEA" w:rsidP="00601EEA">
      <w:pPr>
        <w:pStyle w:val="TextoNormalNegritaCursivandice"/>
        <w:keepNext/>
      </w:pPr>
      <w:r>
        <w:t>Ley Orgánica 4/2022, de 12 de abril, por la que se modifica la Ley Orgánica 10/1995, de 23 de noviembre, del Código penal, para penalizar el acoso a las mujeres que acuden a clínicas para la interrupción voluntaria del embarazo</w:t>
      </w:r>
    </w:p>
    <w:p w14:paraId="3B1F99FA" w14:textId="52637FDD" w:rsidR="00601EEA" w:rsidRDefault="00601EEA" w:rsidP="00601EEA">
      <w:pPr>
        <w:pStyle w:val="SangriaFrancesaArticulo"/>
      </w:pPr>
      <w:r w:rsidRPr="00601EEA">
        <w:rPr>
          <w:rStyle w:val="TextoNormalNegritaCaracter"/>
        </w:rPr>
        <w:t>Artículo único.</w:t>
      </w:r>
      <w:r w:rsidRPr="00601EEA">
        <w:rPr>
          <w:rStyle w:val="TextoNormalCaracter"/>
        </w:rPr>
        <w:t>-</w:t>
      </w:r>
      <w:r>
        <w:t xml:space="preserve"> Sentencia </w:t>
      </w:r>
      <w:hyperlink w:anchor="SENTENCIA_2024_75" w:history="1">
        <w:r w:rsidRPr="00601EEA">
          <w:rPr>
            <w:rStyle w:val="TextoNormalCaracter"/>
          </w:rPr>
          <w:t>75/2024</w:t>
        </w:r>
      </w:hyperlink>
      <w:r>
        <w:t>.</w:t>
      </w:r>
    </w:p>
    <w:p w14:paraId="174CC7B0" w14:textId="77957111" w:rsidR="00601EEA" w:rsidRDefault="00601EEA" w:rsidP="00601EEA">
      <w:pPr>
        <w:pStyle w:val="SangriaFrancesaArticulo"/>
      </w:pPr>
    </w:p>
    <w:p w14:paraId="07D210E4" w14:textId="77777777" w:rsidR="00601EEA" w:rsidRDefault="00601EEA" w:rsidP="00601EEA">
      <w:pPr>
        <w:pStyle w:val="TextoNormalNegritaCursivandice"/>
        <w:keepNext/>
      </w:pPr>
      <w:r>
        <w:t>Ley 15/2022, de 12 de julio, integral para la igualdad de trato y la no discriminación</w:t>
      </w:r>
    </w:p>
    <w:p w14:paraId="6FB26D18" w14:textId="1499AB6D" w:rsidR="00601EEA" w:rsidRDefault="00601EEA" w:rsidP="00601EEA">
      <w:pPr>
        <w:pStyle w:val="SangriaFrancesaArticulo"/>
      </w:pPr>
      <w:r w:rsidRPr="00601EEA">
        <w:rPr>
          <w:rStyle w:val="TextoNormalNegritaCaracter"/>
        </w:rPr>
        <w:t>Artículo 4.4.</w:t>
      </w:r>
      <w:r w:rsidRPr="00601EEA">
        <w:rPr>
          <w:rStyle w:val="TextoNormalCaracter"/>
        </w:rPr>
        <w:t>-</w:t>
      </w:r>
      <w:r>
        <w:t xml:space="preserve"> Sentencia </w:t>
      </w:r>
      <w:hyperlink w:anchor="SENTENCIA_2024_89" w:history="1">
        <w:r w:rsidRPr="00601EEA">
          <w:rPr>
            <w:rStyle w:val="TextoNormalCaracter"/>
          </w:rPr>
          <w:t>89/2024</w:t>
        </w:r>
      </w:hyperlink>
      <w:r>
        <w:t>.</w:t>
      </w:r>
    </w:p>
    <w:p w14:paraId="182865D2" w14:textId="32F29A3B" w:rsidR="00601EEA" w:rsidRDefault="00601EEA" w:rsidP="00601EEA">
      <w:pPr>
        <w:pStyle w:val="SangriaFrancesaArticulo"/>
      </w:pPr>
      <w:r w:rsidRPr="00601EEA">
        <w:rPr>
          <w:rStyle w:val="TextoNormalNegritaCaracter"/>
        </w:rPr>
        <w:t>Artículo 9.1.</w:t>
      </w:r>
      <w:r w:rsidRPr="00601EEA">
        <w:rPr>
          <w:rStyle w:val="TextoNormalCaracter"/>
        </w:rPr>
        <w:t>-</w:t>
      </w:r>
      <w:r>
        <w:t xml:space="preserve"> Sentencia </w:t>
      </w:r>
      <w:hyperlink w:anchor="SENTENCIA_2024_89" w:history="1">
        <w:r w:rsidRPr="00601EEA">
          <w:rPr>
            <w:rStyle w:val="TextoNormalCaracter"/>
          </w:rPr>
          <w:t>89/2024</w:t>
        </w:r>
      </w:hyperlink>
      <w:r>
        <w:t>.</w:t>
      </w:r>
    </w:p>
    <w:p w14:paraId="3FE64D63" w14:textId="47BB90D8" w:rsidR="00601EEA" w:rsidRDefault="00601EEA" w:rsidP="00601EEA">
      <w:pPr>
        <w:pStyle w:val="SangriaFrancesaArticulo"/>
      </w:pPr>
      <w:r w:rsidRPr="00601EEA">
        <w:rPr>
          <w:rStyle w:val="TextoNormalNegritaCaracter"/>
        </w:rPr>
        <w:t>Artículo 13.2.</w:t>
      </w:r>
      <w:r w:rsidRPr="00601EEA">
        <w:rPr>
          <w:rStyle w:val="TextoNormalCaracter"/>
        </w:rPr>
        <w:t>-</w:t>
      </w:r>
      <w:r>
        <w:t xml:space="preserve"> Sentencia </w:t>
      </w:r>
      <w:hyperlink w:anchor="SENTENCIA_2024_89" w:history="1">
        <w:r w:rsidRPr="00601EEA">
          <w:rPr>
            <w:rStyle w:val="TextoNormalCaracter"/>
          </w:rPr>
          <w:t>89/2024</w:t>
        </w:r>
      </w:hyperlink>
      <w:r>
        <w:t>.</w:t>
      </w:r>
    </w:p>
    <w:p w14:paraId="16C54FBA" w14:textId="0B66C48F" w:rsidR="00601EEA" w:rsidRDefault="00601EEA" w:rsidP="00601EEA">
      <w:pPr>
        <w:pStyle w:val="SangriaFrancesaArticulo"/>
      </w:pPr>
      <w:r w:rsidRPr="00601EEA">
        <w:rPr>
          <w:rStyle w:val="TextoNormalNegritaCaracter"/>
        </w:rPr>
        <w:t>Artículo 20.2.</w:t>
      </w:r>
      <w:r w:rsidRPr="00601EEA">
        <w:rPr>
          <w:rStyle w:val="TextoNormalCaracter"/>
        </w:rPr>
        <w:t>-</w:t>
      </w:r>
      <w:r>
        <w:t xml:space="preserve"> Sentencia </w:t>
      </w:r>
      <w:hyperlink w:anchor="SENTENCIA_2024_89" w:history="1">
        <w:r w:rsidRPr="00601EEA">
          <w:rPr>
            <w:rStyle w:val="TextoNormalCaracter"/>
          </w:rPr>
          <w:t>89/2024</w:t>
        </w:r>
      </w:hyperlink>
      <w:r>
        <w:t>.</w:t>
      </w:r>
    </w:p>
    <w:p w14:paraId="2C172674" w14:textId="6D71D5D9" w:rsidR="00601EEA" w:rsidRDefault="00601EEA" w:rsidP="00601EEA">
      <w:pPr>
        <w:pStyle w:val="SangriaFrancesaArticulo"/>
      </w:pPr>
      <w:r w:rsidRPr="00601EEA">
        <w:rPr>
          <w:rStyle w:val="TextoNormalNegritaCaracter"/>
        </w:rPr>
        <w:t>Artículo 47.2.</w:t>
      </w:r>
      <w:r w:rsidRPr="00601EEA">
        <w:rPr>
          <w:rStyle w:val="TextoNormalCaracter"/>
        </w:rPr>
        <w:t>-</w:t>
      </w:r>
      <w:r>
        <w:t xml:space="preserve"> Sentencia </w:t>
      </w:r>
      <w:hyperlink w:anchor="SENTENCIA_2024_89" w:history="1">
        <w:r w:rsidRPr="00601EEA">
          <w:rPr>
            <w:rStyle w:val="TextoNormalCaracter"/>
          </w:rPr>
          <w:t>89/2024</w:t>
        </w:r>
      </w:hyperlink>
      <w:r>
        <w:t>.</w:t>
      </w:r>
    </w:p>
    <w:p w14:paraId="60D37635" w14:textId="7407B959" w:rsidR="00601EEA" w:rsidRDefault="00601EEA" w:rsidP="00601EEA">
      <w:pPr>
        <w:pStyle w:val="SangriaFrancesaArticulo"/>
      </w:pPr>
      <w:r w:rsidRPr="00601EEA">
        <w:rPr>
          <w:rStyle w:val="TextoNormalNegritaCaracter"/>
        </w:rPr>
        <w:t>Artículo 47.3 d).</w:t>
      </w:r>
      <w:r w:rsidRPr="00601EEA">
        <w:rPr>
          <w:rStyle w:val="TextoNormalCaracter"/>
        </w:rPr>
        <w:t>-</w:t>
      </w:r>
      <w:r>
        <w:t xml:space="preserve"> Sentencia </w:t>
      </w:r>
      <w:hyperlink w:anchor="SENTENCIA_2024_89" w:history="1">
        <w:r w:rsidRPr="00601EEA">
          <w:rPr>
            <w:rStyle w:val="TextoNormalCaracter"/>
          </w:rPr>
          <w:t>89/2024</w:t>
        </w:r>
      </w:hyperlink>
      <w:r>
        <w:t>.</w:t>
      </w:r>
    </w:p>
    <w:p w14:paraId="7CAACBC7" w14:textId="45A41854" w:rsidR="00601EEA" w:rsidRDefault="00601EEA" w:rsidP="00601EEA">
      <w:pPr>
        <w:pStyle w:val="SangriaFrancesaArticulo"/>
      </w:pPr>
      <w:r w:rsidRPr="00601EEA">
        <w:rPr>
          <w:rStyle w:val="TextoNormalNegritaCaracter"/>
        </w:rPr>
        <w:t>Artículo 47.4 d).</w:t>
      </w:r>
      <w:r w:rsidRPr="00601EEA">
        <w:rPr>
          <w:rStyle w:val="TextoNormalCaracter"/>
        </w:rPr>
        <w:t>-</w:t>
      </w:r>
      <w:r>
        <w:t xml:space="preserve"> Sentencia </w:t>
      </w:r>
      <w:hyperlink w:anchor="SENTENCIA_2024_89" w:history="1">
        <w:r w:rsidRPr="00601EEA">
          <w:rPr>
            <w:rStyle w:val="TextoNormalCaracter"/>
          </w:rPr>
          <w:t>89/2024</w:t>
        </w:r>
      </w:hyperlink>
      <w:r>
        <w:t>.</w:t>
      </w:r>
    </w:p>
    <w:p w14:paraId="2D7B6237" w14:textId="7173A5C1" w:rsidR="00601EEA" w:rsidRDefault="00601EEA" w:rsidP="00601EEA">
      <w:pPr>
        <w:pStyle w:val="SangriaFrancesaArticulo"/>
      </w:pPr>
    </w:p>
    <w:p w14:paraId="3333B9A5" w14:textId="77777777" w:rsidR="00601EEA" w:rsidRDefault="00601EEA" w:rsidP="00601EEA">
      <w:pPr>
        <w:pStyle w:val="TextoNormalNegritaCursivandice"/>
        <w:keepNext/>
      </w:pPr>
      <w:r>
        <w:t>Real Decreto-ley 14/2022, de 1 de agosto, de medidas de sostenibilidad económica en el ámbito del transporte, en materia de becas y ayudas al estudio, así como de medidas de ahorro, eficiencia energética y de reducción de la dependencia energética del gas natural</w:t>
      </w:r>
    </w:p>
    <w:p w14:paraId="2936982C" w14:textId="3D2607B9" w:rsidR="00601EEA" w:rsidRDefault="00601EEA" w:rsidP="00601EEA">
      <w:pPr>
        <w:pStyle w:val="SangriaFrancesaArticulo"/>
      </w:pPr>
      <w:r w:rsidRPr="00601EEA">
        <w:rPr>
          <w:rStyle w:val="TextoNormalNegritaCaracter"/>
        </w:rPr>
        <w:t>Artículo 29.</w:t>
      </w:r>
      <w:r w:rsidRPr="00601EEA">
        <w:rPr>
          <w:rStyle w:val="TextoNormalCaracter"/>
        </w:rPr>
        <w:t>-</w:t>
      </w:r>
      <w:r>
        <w:t xml:space="preserve"> Sentencia </w:t>
      </w:r>
      <w:hyperlink w:anchor="SENTENCIA_2024_20" w:history="1">
        <w:r w:rsidRPr="00601EEA">
          <w:rPr>
            <w:rStyle w:val="TextoNormalCaracter"/>
          </w:rPr>
          <w:t>20/2024</w:t>
        </w:r>
      </w:hyperlink>
      <w:r>
        <w:t>.</w:t>
      </w:r>
    </w:p>
    <w:p w14:paraId="74F9FC27" w14:textId="354B6A37" w:rsidR="00601EEA" w:rsidRDefault="00601EEA" w:rsidP="00601EEA">
      <w:pPr>
        <w:pStyle w:val="SangriaFrancesaArticulo"/>
      </w:pPr>
    </w:p>
    <w:p w14:paraId="6CB09C0B" w14:textId="77777777" w:rsidR="00601EEA" w:rsidRDefault="00601EEA" w:rsidP="00601EEA">
      <w:pPr>
        <w:pStyle w:val="TextoNormalNegritaCursivandice"/>
        <w:keepNext/>
      </w:pPr>
      <w:r>
        <w:t>Ley Orgánica 1/2023, de 28 de febrero, por la que se modifica la Ley Orgánica 2/2010, de 3 de marzo, de salud sexual y reproductiva y de la interrupción voluntaria del embarazo</w:t>
      </w:r>
    </w:p>
    <w:p w14:paraId="3035FE76" w14:textId="37FA358C" w:rsidR="00601EEA" w:rsidRDefault="00601EEA" w:rsidP="00601EEA">
      <w:pPr>
        <w:pStyle w:val="SangriaFrancesaArticulo"/>
      </w:pPr>
      <w:r w:rsidRPr="00601EEA">
        <w:rPr>
          <w:rStyle w:val="TextoNormalNegritaCaracter"/>
        </w:rPr>
        <w:t>Artículo único, apartado 3.</w:t>
      </w:r>
      <w:r w:rsidRPr="00601EEA">
        <w:rPr>
          <w:rStyle w:val="TextoNormalCaracter"/>
        </w:rPr>
        <w:t>-</w:t>
      </w:r>
      <w:r>
        <w:t xml:space="preserve"> Sentencia </w:t>
      </w:r>
      <w:hyperlink w:anchor="SENTENCIA_2024_92" w:history="1">
        <w:r w:rsidRPr="00601EEA">
          <w:rPr>
            <w:rStyle w:val="TextoNormalCaracter"/>
          </w:rPr>
          <w:t>92/2024</w:t>
        </w:r>
      </w:hyperlink>
      <w:r>
        <w:t>.</w:t>
      </w:r>
    </w:p>
    <w:p w14:paraId="6D05B72C" w14:textId="38C41CF8" w:rsidR="00601EEA" w:rsidRDefault="00601EEA" w:rsidP="00601EEA">
      <w:pPr>
        <w:pStyle w:val="SangriaFrancesaArticulo"/>
      </w:pPr>
      <w:r w:rsidRPr="00601EEA">
        <w:rPr>
          <w:rStyle w:val="TextoNormalNegritaCaracter"/>
        </w:rPr>
        <w:t>Artículo único, apartado 6.</w:t>
      </w:r>
      <w:r w:rsidRPr="00601EEA">
        <w:rPr>
          <w:rStyle w:val="TextoNormalCaracter"/>
        </w:rPr>
        <w:t>-</w:t>
      </w:r>
      <w:r>
        <w:t xml:space="preserve"> Sentencia </w:t>
      </w:r>
      <w:hyperlink w:anchor="SENTENCIA_2024_92" w:history="1">
        <w:r w:rsidRPr="00601EEA">
          <w:rPr>
            <w:rStyle w:val="TextoNormalCaracter"/>
          </w:rPr>
          <w:t>92/2024</w:t>
        </w:r>
      </w:hyperlink>
      <w:r>
        <w:t>.</w:t>
      </w:r>
    </w:p>
    <w:p w14:paraId="411025AA" w14:textId="609C1942" w:rsidR="00601EEA" w:rsidRDefault="00601EEA" w:rsidP="00601EEA">
      <w:pPr>
        <w:pStyle w:val="SangriaFrancesaArticulo"/>
      </w:pPr>
      <w:r w:rsidRPr="00601EEA">
        <w:rPr>
          <w:rStyle w:val="TextoNormalNegritaCaracter"/>
        </w:rPr>
        <w:t>Artículo único, apartado 7.</w:t>
      </w:r>
      <w:r w:rsidRPr="00601EEA">
        <w:rPr>
          <w:rStyle w:val="TextoNormalCaracter"/>
        </w:rPr>
        <w:t>-</w:t>
      </w:r>
      <w:r>
        <w:t xml:space="preserve"> Sentencia </w:t>
      </w:r>
      <w:hyperlink w:anchor="SENTENCIA_2024_92" w:history="1">
        <w:r w:rsidRPr="00601EEA">
          <w:rPr>
            <w:rStyle w:val="TextoNormalCaracter"/>
          </w:rPr>
          <w:t>92/2024</w:t>
        </w:r>
      </w:hyperlink>
      <w:r>
        <w:t>.</w:t>
      </w:r>
    </w:p>
    <w:p w14:paraId="0055062F" w14:textId="41D9A7EF" w:rsidR="00601EEA" w:rsidRDefault="00601EEA" w:rsidP="00601EEA">
      <w:pPr>
        <w:pStyle w:val="SangriaFrancesaArticulo"/>
      </w:pPr>
      <w:r w:rsidRPr="00601EEA">
        <w:rPr>
          <w:rStyle w:val="TextoNormalNegritaCaracter"/>
        </w:rPr>
        <w:t>Artículo único, apartado 8.</w:t>
      </w:r>
      <w:r w:rsidRPr="00601EEA">
        <w:rPr>
          <w:rStyle w:val="TextoNormalCaracter"/>
        </w:rPr>
        <w:t>-</w:t>
      </w:r>
      <w:r>
        <w:t xml:space="preserve"> Sentencia </w:t>
      </w:r>
      <w:hyperlink w:anchor="SENTENCIA_2024_92" w:history="1">
        <w:r w:rsidRPr="00601EEA">
          <w:rPr>
            <w:rStyle w:val="TextoNormalCaracter"/>
          </w:rPr>
          <w:t>92/2024</w:t>
        </w:r>
      </w:hyperlink>
      <w:r>
        <w:t>.</w:t>
      </w:r>
    </w:p>
    <w:p w14:paraId="372967B8" w14:textId="0CFF5E90" w:rsidR="00601EEA" w:rsidRDefault="00601EEA" w:rsidP="00601EEA">
      <w:pPr>
        <w:pStyle w:val="SangriaFrancesaArticulo"/>
      </w:pPr>
      <w:r w:rsidRPr="00601EEA">
        <w:rPr>
          <w:rStyle w:val="TextoNormalNegritaCaracter"/>
        </w:rPr>
        <w:t>Artículo único, apartado 9.</w:t>
      </w:r>
      <w:r w:rsidRPr="00601EEA">
        <w:rPr>
          <w:rStyle w:val="TextoNormalCaracter"/>
        </w:rPr>
        <w:t>-</w:t>
      </w:r>
      <w:r>
        <w:t xml:space="preserve"> Sentencia </w:t>
      </w:r>
      <w:hyperlink w:anchor="SENTENCIA_2024_92" w:history="1">
        <w:r w:rsidRPr="00601EEA">
          <w:rPr>
            <w:rStyle w:val="TextoNormalCaracter"/>
          </w:rPr>
          <w:t>92/2024</w:t>
        </w:r>
      </w:hyperlink>
      <w:r>
        <w:t>.</w:t>
      </w:r>
    </w:p>
    <w:p w14:paraId="1A946B05" w14:textId="538A56C8" w:rsidR="00601EEA" w:rsidRDefault="00601EEA" w:rsidP="00601EEA">
      <w:pPr>
        <w:pStyle w:val="SangriaFrancesaArticulo"/>
      </w:pPr>
      <w:r w:rsidRPr="00601EEA">
        <w:rPr>
          <w:rStyle w:val="TextoNormalNegritaCaracter"/>
        </w:rPr>
        <w:t>Artículo único, apartado 11.</w:t>
      </w:r>
      <w:r w:rsidRPr="00601EEA">
        <w:rPr>
          <w:rStyle w:val="TextoNormalCaracter"/>
        </w:rPr>
        <w:t>-</w:t>
      </w:r>
      <w:r>
        <w:t xml:space="preserve"> Sentencia </w:t>
      </w:r>
      <w:hyperlink w:anchor="SENTENCIA_2024_92" w:history="1">
        <w:r w:rsidRPr="00601EEA">
          <w:rPr>
            <w:rStyle w:val="TextoNormalCaracter"/>
          </w:rPr>
          <w:t>92/2024</w:t>
        </w:r>
      </w:hyperlink>
      <w:r>
        <w:t>.</w:t>
      </w:r>
    </w:p>
    <w:p w14:paraId="52E5A420" w14:textId="4C77795A" w:rsidR="00601EEA" w:rsidRDefault="00601EEA" w:rsidP="00601EEA">
      <w:pPr>
        <w:pStyle w:val="SangriaFrancesaArticulo"/>
      </w:pPr>
      <w:r w:rsidRPr="00601EEA">
        <w:rPr>
          <w:rStyle w:val="TextoNormalNegritaCaracter"/>
        </w:rPr>
        <w:t>Artículo único, apartado 12.</w:t>
      </w:r>
      <w:r w:rsidRPr="00601EEA">
        <w:rPr>
          <w:rStyle w:val="TextoNormalCaracter"/>
        </w:rPr>
        <w:t>-</w:t>
      </w:r>
      <w:r>
        <w:t xml:space="preserve"> Sentencia </w:t>
      </w:r>
      <w:hyperlink w:anchor="SENTENCIA_2024_92" w:history="1">
        <w:r w:rsidRPr="00601EEA">
          <w:rPr>
            <w:rStyle w:val="TextoNormalCaracter"/>
          </w:rPr>
          <w:t>92/2024</w:t>
        </w:r>
      </w:hyperlink>
      <w:r>
        <w:t>.</w:t>
      </w:r>
    </w:p>
    <w:p w14:paraId="651A4637" w14:textId="351AE1DC" w:rsidR="00601EEA" w:rsidRDefault="00601EEA" w:rsidP="00601EEA">
      <w:pPr>
        <w:pStyle w:val="SangriaFrancesaArticulo"/>
      </w:pPr>
      <w:r w:rsidRPr="00601EEA">
        <w:rPr>
          <w:rStyle w:val="TextoNormalNegritaCaracter"/>
        </w:rPr>
        <w:t>Artículo único, apartado 13.</w:t>
      </w:r>
      <w:r w:rsidRPr="00601EEA">
        <w:rPr>
          <w:rStyle w:val="TextoNormalCaracter"/>
        </w:rPr>
        <w:t>-</w:t>
      </w:r>
      <w:r>
        <w:t xml:space="preserve"> Sentencia </w:t>
      </w:r>
      <w:hyperlink w:anchor="SENTENCIA_2024_92" w:history="1">
        <w:r w:rsidRPr="00601EEA">
          <w:rPr>
            <w:rStyle w:val="TextoNormalCaracter"/>
          </w:rPr>
          <w:t>92/2024</w:t>
        </w:r>
      </w:hyperlink>
      <w:r>
        <w:t>.</w:t>
      </w:r>
    </w:p>
    <w:p w14:paraId="7EBB3E8C" w14:textId="20C9769B" w:rsidR="00601EEA" w:rsidRDefault="00601EEA" w:rsidP="00601EEA">
      <w:pPr>
        <w:pStyle w:val="SangriaFrancesaArticulo"/>
      </w:pPr>
      <w:r w:rsidRPr="00601EEA">
        <w:rPr>
          <w:rStyle w:val="TextoNormalNegritaCaracter"/>
        </w:rPr>
        <w:t>Artículo único, apartado 14.</w:t>
      </w:r>
      <w:r w:rsidRPr="00601EEA">
        <w:rPr>
          <w:rStyle w:val="TextoNormalCaracter"/>
        </w:rPr>
        <w:t>-</w:t>
      </w:r>
      <w:r>
        <w:t xml:space="preserve"> Sentencia </w:t>
      </w:r>
      <w:hyperlink w:anchor="SENTENCIA_2024_92" w:history="1">
        <w:r w:rsidRPr="00601EEA">
          <w:rPr>
            <w:rStyle w:val="TextoNormalCaracter"/>
          </w:rPr>
          <w:t>92/2024</w:t>
        </w:r>
      </w:hyperlink>
      <w:r>
        <w:t>.</w:t>
      </w:r>
    </w:p>
    <w:p w14:paraId="28FD48E3" w14:textId="35DDB6D2" w:rsidR="00601EEA" w:rsidRDefault="00601EEA" w:rsidP="00601EEA">
      <w:pPr>
        <w:pStyle w:val="SangriaFrancesaArticulo"/>
      </w:pPr>
      <w:r w:rsidRPr="00601EEA">
        <w:rPr>
          <w:rStyle w:val="TextoNormalNegritaCaracter"/>
        </w:rPr>
        <w:t>Artículo único, apartado 19.</w:t>
      </w:r>
      <w:r w:rsidRPr="00601EEA">
        <w:rPr>
          <w:rStyle w:val="TextoNormalCaracter"/>
        </w:rPr>
        <w:t>-</w:t>
      </w:r>
      <w:r>
        <w:t xml:space="preserve"> Sentencia </w:t>
      </w:r>
      <w:hyperlink w:anchor="SENTENCIA_2024_92" w:history="1">
        <w:r w:rsidRPr="00601EEA">
          <w:rPr>
            <w:rStyle w:val="TextoNormalCaracter"/>
          </w:rPr>
          <w:t>92/2024</w:t>
        </w:r>
      </w:hyperlink>
      <w:r>
        <w:t>.</w:t>
      </w:r>
    </w:p>
    <w:p w14:paraId="1C71F370" w14:textId="1FDB14F0" w:rsidR="00601EEA" w:rsidRDefault="00601EEA" w:rsidP="00601EEA">
      <w:pPr>
        <w:pStyle w:val="SangriaFrancesaArticulo"/>
      </w:pPr>
      <w:r w:rsidRPr="00601EEA">
        <w:rPr>
          <w:rStyle w:val="TextoNormalNegritaCaracter"/>
        </w:rPr>
        <w:t>Artículo único, apartado 22.</w:t>
      </w:r>
      <w:r w:rsidRPr="00601EEA">
        <w:rPr>
          <w:rStyle w:val="TextoNormalCaracter"/>
        </w:rPr>
        <w:t>-</w:t>
      </w:r>
      <w:r>
        <w:t xml:space="preserve"> Sentencia </w:t>
      </w:r>
      <w:hyperlink w:anchor="SENTENCIA_2024_92" w:history="1">
        <w:r w:rsidRPr="00601EEA">
          <w:rPr>
            <w:rStyle w:val="TextoNormalCaracter"/>
          </w:rPr>
          <w:t>92/2024</w:t>
        </w:r>
      </w:hyperlink>
      <w:r>
        <w:t>.</w:t>
      </w:r>
    </w:p>
    <w:p w14:paraId="75099961" w14:textId="4E0900BB" w:rsidR="00601EEA" w:rsidRDefault="00601EEA" w:rsidP="00601EEA">
      <w:pPr>
        <w:pStyle w:val="SangriaFrancesaArticulo"/>
      </w:pPr>
      <w:r w:rsidRPr="00601EEA">
        <w:rPr>
          <w:rStyle w:val="TextoNormalNegritaCaracter"/>
        </w:rPr>
        <w:t>Disposición final segunda.</w:t>
      </w:r>
      <w:r w:rsidRPr="00601EEA">
        <w:rPr>
          <w:rStyle w:val="TextoNormalCaracter"/>
        </w:rPr>
        <w:t>-</w:t>
      </w:r>
      <w:r>
        <w:t xml:space="preserve"> Sentencia </w:t>
      </w:r>
      <w:hyperlink w:anchor="SENTENCIA_2024_92" w:history="1">
        <w:r w:rsidRPr="00601EEA">
          <w:rPr>
            <w:rStyle w:val="TextoNormalCaracter"/>
          </w:rPr>
          <w:t>92/2024</w:t>
        </w:r>
      </w:hyperlink>
      <w:r>
        <w:t>.</w:t>
      </w:r>
    </w:p>
    <w:p w14:paraId="6215FE95" w14:textId="00D48BF3" w:rsidR="00601EEA" w:rsidRDefault="00601EEA" w:rsidP="00601EEA">
      <w:pPr>
        <w:pStyle w:val="SangriaFrancesaArticulo"/>
      </w:pPr>
    </w:p>
    <w:p w14:paraId="4B81156F" w14:textId="77777777" w:rsidR="00601EEA" w:rsidRDefault="00601EEA" w:rsidP="00601EEA">
      <w:pPr>
        <w:pStyle w:val="TextoNormalNegritaCursivandice"/>
        <w:keepNext/>
      </w:pPr>
      <w:r>
        <w:t>Ley 12/2023, de 24 de mayo, por el derecho a la vivienda</w:t>
      </w:r>
    </w:p>
    <w:p w14:paraId="102827F3" w14:textId="06F95C5A" w:rsidR="00601EEA" w:rsidRDefault="00601EEA" w:rsidP="00601EEA">
      <w:pPr>
        <w:pStyle w:val="SangriaFrancesaArticulo"/>
      </w:pPr>
      <w:r w:rsidRPr="00601EEA">
        <w:rPr>
          <w:rStyle w:val="TextoNormalNegritaCaracter"/>
        </w:rPr>
        <w:t>Artículo 3 f).</w:t>
      </w:r>
      <w:r w:rsidRPr="00601EEA">
        <w:rPr>
          <w:rStyle w:val="TextoNormalCaracter"/>
        </w:rPr>
        <w:t>-</w:t>
      </w:r>
      <w:r>
        <w:t xml:space="preserve"> Sentencia </w:t>
      </w:r>
      <w:hyperlink w:anchor="SENTENCIA_2024_79" w:history="1">
        <w:r w:rsidRPr="00601EEA">
          <w:rPr>
            <w:rStyle w:val="TextoNormalCaracter"/>
          </w:rPr>
          <w:t>79/2024</w:t>
        </w:r>
      </w:hyperlink>
      <w:r>
        <w:t>.</w:t>
      </w:r>
    </w:p>
    <w:p w14:paraId="1942205A" w14:textId="7473ADFD" w:rsidR="00601EEA" w:rsidRDefault="00601EEA" w:rsidP="00601EEA">
      <w:pPr>
        <w:pStyle w:val="SangriaFrancesaArticulo"/>
      </w:pPr>
      <w:r w:rsidRPr="00601EEA">
        <w:rPr>
          <w:rStyle w:val="TextoNormalNegritaCaracter"/>
        </w:rPr>
        <w:t>Artículo 3 g).</w:t>
      </w:r>
      <w:r w:rsidRPr="00601EEA">
        <w:rPr>
          <w:rStyle w:val="TextoNormalCaracter"/>
        </w:rPr>
        <w:t>-</w:t>
      </w:r>
      <w:r>
        <w:t xml:space="preserve"> Sentencia </w:t>
      </w:r>
      <w:hyperlink w:anchor="SENTENCIA_2024_79" w:history="1">
        <w:r w:rsidRPr="00601EEA">
          <w:rPr>
            <w:rStyle w:val="TextoNormalCaracter"/>
          </w:rPr>
          <w:t>79/2024</w:t>
        </w:r>
      </w:hyperlink>
      <w:r>
        <w:t>.</w:t>
      </w:r>
    </w:p>
    <w:p w14:paraId="3E19474F" w14:textId="470AF225" w:rsidR="00601EEA" w:rsidRDefault="00601EEA" w:rsidP="00601EEA">
      <w:pPr>
        <w:pStyle w:val="SangriaFrancesaArticulo"/>
      </w:pPr>
      <w:r w:rsidRPr="00601EEA">
        <w:rPr>
          <w:rStyle w:val="TextoNormalNegritaCaracter"/>
        </w:rPr>
        <w:t>Artículo 3 k).</w:t>
      </w:r>
      <w:r w:rsidRPr="00601EEA">
        <w:rPr>
          <w:rStyle w:val="TextoNormalCaracter"/>
        </w:rPr>
        <w:t>-</w:t>
      </w:r>
      <w:r>
        <w:t xml:space="preserve"> Sentencia </w:t>
      </w:r>
      <w:hyperlink w:anchor="SENTENCIA_2024_79" w:history="1">
        <w:r w:rsidRPr="00601EEA">
          <w:rPr>
            <w:rStyle w:val="TextoNormalCaracter"/>
          </w:rPr>
          <w:t>79/2024</w:t>
        </w:r>
      </w:hyperlink>
      <w:r>
        <w:t>.</w:t>
      </w:r>
    </w:p>
    <w:p w14:paraId="0DEB8C1F" w14:textId="14BA77DB" w:rsidR="00601EEA" w:rsidRDefault="00601EEA" w:rsidP="00601EEA">
      <w:pPr>
        <w:pStyle w:val="SangriaFrancesaArticulo"/>
      </w:pPr>
      <w:r w:rsidRPr="00601EEA">
        <w:rPr>
          <w:rStyle w:val="TextoNormalNegritaCaracter"/>
        </w:rPr>
        <w:t>Artículo 8 a).</w:t>
      </w:r>
      <w:r w:rsidRPr="00601EEA">
        <w:rPr>
          <w:rStyle w:val="TextoNormalCaracter"/>
        </w:rPr>
        <w:t>-</w:t>
      </w:r>
      <w:r>
        <w:t xml:space="preserve"> Sentencia </w:t>
      </w:r>
      <w:hyperlink w:anchor="SENTENCIA_2024_79" w:history="1">
        <w:r w:rsidRPr="00601EEA">
          <w:rPr>
            <w:rStyle w:val="TextoNormalCaracter"/>
          </w:rPr>
          <w:t>79/2024</w:t>
        </w:r>
      </w:hyperlink>
      <w:r>
        <w:t>.</w:t>
      </w:r>
    </w:p>
    <w:p w14:paraId="7BD03544" w14:textId="6A0A0229" w:rsidR="00601EEA" w:rsidRDefault="00601EEA" w:rsidP="00601EEA">
      <w:pPr>
        <w:pStyle w:val="SangriaFrancesaArticulo"/>
      </w:pPr>
      <w:r w:rsidRPr="00601EEA">
        <w:rPr>
          <w:rStyle w:val="TextoNormalNegritaCaracter"/>
        </w:rPr>
        <w:t>Artículo 8 c).</w:t>
      </w:r>
      <w:r w:rsidRPr="00601EEA">
        <w:rPr>
          <w:rStyle w:val="TextoNormalCaracter"/>
        </w:rPr>
        <w:t>-</w:t>
      </w:r>
      <w:r>
        <w:t xml:space="preserve"> Sentencia </w:t>
      </w:r>
      <w:hyperlink w:anchor="SENTENCIA_2024_79" w:history="1">
        <w:r w:rsidRPr="00601EEA">
          <w:rPr>
            <w:rStyle w:val="TextoNormalCaracter"/>
          </w:rPr>
          <w:t>79/2024</w:t>
        </w:r>
      </w:hyperlink>
      <w:r>
        <w:t>.</w:t>
      </w:r>
    </w:p>
    <w:p w14:paraId="03CA31A7" w14:textId="44390F61" w:rsidR="00601EEA" w:rsidRDefault="00601EEA" w:rsidP="00601EEA">
      <w:pPr>
        <w:pStyle w:val="SangriaFrancesaArticulo"/>
      </w:pPr>
      <w:r w:rsidRPr="00601EEA">
        <w:rPr>
          <w:rStyle w:val="TextoNormalNegritaCaracter"/>
        </w:rPr>
        <w:t>Artículo 9 e).</w:t>
      </w:r>
      <w:r w:rsidRPr="00601EEA">
        <w:rPr>
          <w:rStyle w:val="TextoNormalCaracter"/>
        </w:rPr>
        <w:t>-</w:t>
      </w:r>
      <w:r>
        <w:t xml:space="preserve"> Sentencia </w:t>
      </w:r>
      <w:hyperlink w:anchor="SENTENCIA_2024_79" w:history="1">
        <w:r w:rsidRPr="00601EEA">
          <w:rPr>
            <w:rStyle w:val="TextoNormalCaracter"/>
          </w:rPr>
          <w:t>79/2024</w:t>
        </w:r>
      </w:hyperlink>
      <w:r>
        <w:t>.</w:t>
      </w:r>
    </w:p>
    <w:p w14:paraId="0B2B9485" w14:textId="5ECC1EE9" w:rsidR="00601EEA" w:rsidRDefault="00601EEA" w:rsidP="00601EEA">
      <w:pPr>
        <w:pStyle w:val="SangriaFrancesaArticulo"/>
      </w:pPr>
      <w:r w:rsidRPr="00601EEA">
        <w:rPr>
          <w:rStyle w:val="TextoNormalNegritaCaracter"/>
        </w:rPr>
        <w:t>Artículo 11.1 e).</w:t>
      </w:r>
      <w:r w:rsidRPr="00601EEA">
        <w:rPr>
          <w:rStyle w:val="TextoNormalCaracter"/>
        </w:rPr>
        <w:t>-</w:t>
      </w:r>
      <w:r>
        <w:t xml:space="preserve"> Sentencia </w:t>
      </w:r>
      <w:hyperlink w:anchor="SENTENCIA_2024_79" w:history="1">
        <w:r w:rsidRPr="00601EEA">
          <w:rPr>
            <w:rStyle w:val="TextoNormalCaracter"/>
          </w:rPr>
          <w:t>79/2024</w:t>
        </w:r>
      </w:hyperlink>
      <w:r>
        <w:t>.</w:t>
      </w:r>
    </w:p>
    <w:p w14:paraId="347B8FA3" w14:textId="684A3B9A" w:rsidR="00601EEA" w:rsidRDefault="00601EEA" w:rsidP="00601EEA">
      <w:pPr>
        <w:pStyle w:val="SangriaFrancesaArticulo"/>
      </w:pPr>
      <w:r w:rsidRPr="00601EEA">
        <w:rPr>
          <w:rStyle w:val="TextoNormalNegritaCaracter"/>
        </w:rPr>
        <w:t>Artículo 15.1 e).</w:t>
      </w:r>
      <w:r w:rsidRPr="00601EEA">
        <w:rPr>
          <w:rStyle w:val="TextoNormalCaracter"/>
        </w:rPr>
        <w:t>-</w:t>
      </w:r>
      <w:r>
        <w:t xml:space="preserve"> Sentencia </w:t>
      </w:r>
      <w:hyperlink w:anchor="SENTENCIA_2024_79" w:history="1">
        <w:r w:rsidRPr="00601EEA">
          <w:rPr>
            <w:rStyle w:val="TextoNormalCaracter"/>
          </w:rPr>
          <w:t>79/2024</w:t>
        </w:r>
      </w:hyperlink>
      <w:r>
        <w:t>.</w:t>
      </w:r>
    </w:p>
    <w:p w14:paraId="34AFC207" w14:textId="26527C62" w:rsidR="00601EEA" w:rsidRDefault="00601EEA" w:rsidP="00601EEA">
      <w:pPr>
        <w:pStyle w:val="SangriaFrancesaArticulo"/>
      </w:pPr>
      <w:r w:rsidRPr="00601EEA">
        <w:rPr>
          <w:rStyle w:val="TextoNormalNegritaCaracter"/>
        </w:rPr>
        <w:t>Artículo 16.</w:t>
      </w:r>
      <w:r w:rsidRPr="00601EEA">
        <w:rPr>
          <w:rStyle w:val="TextoNormalCaracter"/>
        </w:rPr>
        <w:t>-</w:t>
      </w:r>
      <w:r>
        <w:t xml:space="preserve"> Sentencia </w:t>
      </w:r>
      <w:hyperlink w:anchor="SENTENCIA_2024_79" w:history="1">
        <w:r w:rsidRPr="00601EEA">
          <w:rPr>
            <w:rStyle w:val="TextoNormalCaracter"/>
          </w:rPr>
          <w:t>79/2024</w:t>
        </w:r>
      </w:hyperlink>
      <w:r>
        <w:t xml:space="preserve"> (anula).</w:t>
      </w:r>
    </w:p>
    <w:p w14:paraId="1313525E" w14:textId="4F843B5F" w:rsidR="00601EEA" w:rsidRDefault="00601EEA" w:rsidP="00601EEA">
      <w:pPr>
        <w:pStyle w:val="SangriaFrancesaArticulo"/>
      </w:pPr>
      <w:r w:rsidRPr="00601EEA">
        <w:rPr>
          <w:rStyle w:val="TextoNormalNegritaCaracter"/>
        </w:rPr>
        <w:t>Artículo 18.2.</w:t>
      </w:r>
      <w:r w:rsidRPr="00601EEA">
        <w:rPr>
          <w:rStyle w:val="TextoNormalCaracter"/>
        </w:rPr>
        <w:t>-</w:t>
      </w:r>
      <w:r>
        <w:t xml:space="preserve"> Sentencia </w:t>
      </w:r>
      <w:hyperlink w:anchor="SENTENCIA_2024_79" w:history="1">
        <w:r w:rsidRPr="00601EEA">
          <w:rPr>
            <w:rStyle w:val="TextoNormalCaracter"/>
          </w:rPr>
          <w:t>79/2024</w:t>
        </w:r>
      </w:hyperlink>
      <w:r>
        <w:t>.</w:t>
      </w:r>
    </w:p>
    <w:p w14:paraId="3142FEAC" w14:textId="09872645" w:rsidR="00601EEA" w:rsidRDefault="00601EEA" w:rsidP="00601EEA">
      <w:pPr>
        <w:pStyle w:val="SangriaFrancesaArticulo"/>
      </w:pPr>
      <w:r w:rsidRPr="00601EEA">
        <w:rPr>
          <w:rStyle w:val="TextoNormalNegritaCaracter"/>
        </w:rPr>
        <w:t>Artículo 18.3.</w:t>
      </w:r>
      <w:r w:rsidRPr="00601EEA">
        <w:rPr>
          <w:rStyle w:val="TextoNormalCaracter"/>
        </w:rPr>
        <w:t>-</w:t>
      </w:r>
      <w:r>
        <w:t xml:space="preserve"> Sentencia </w:t>
      </w:r>
      <w:hyperlink w:anchor="SENTENCIA_2024_79" w:history="1">
        <w:r w:rsidRPr="00601EEA">
          <w:rPr>
            <w:rStyle w:val="TextoNormalCaracter"/>
          </w:rPr>
          <w:t>79/2024</w:t>
        </w:r>
      </w:hyperlink>
      <w:r>
        <w:t>.</w:t>
      </w:r>
    </w:p>
    <w:p w14:paraId="7A217DA7" w14:textId="098806A4" w:rsidR="00601EEA" w:rsidRDefault="00601EEA" w:rsidP="00601EEA">
      <w:pPr>
        <w:pStyle w:val="SangriaFrancesaArticulo"/>
      </w:pPr>
      <w:r w:rsidRPr="00601EEA">
        <w:rPr>
          <w:rStyle w:val="TextoNormalNegritaCaracter"/>
        </w:rPr>
        <w:t>Artículo 18.4.</w:t>
      </w:r>
      <w:r w:rsidRPr="00601EEA">
        <w:rPr>
          <w:rStyle w:val="TextoNormalCaracter"/>
        </w:rPr>
        <w:t>-</w:t>
      </w:r>
      <w:r>
        <w:t xml:space="preserve"> Sentencia </w:t>
      </w:r>
      <w:hyperlink w:anchor="SENTENCIA_2024_79" w:history="1">
        <w:r w:rsidRPr="00601EEA">
          <w:rPr>
            <w:rStyle w:val="TextoNormalCaracter"/>
          </w:rPr>
          <w:t>79/2024</w:t>
        </w:r>
      </w:hyperlink>
      <w:r>
        <w:t>.</w:t>
      </w:r>
    </w:p>
    <w:p w14:paraId="1D7E57AD" w14:textId="7EABE2DE" w:rsidR="00601EEA" w:rsidRDefault="00601EEA" w:rsidP="00601EEA">
      <w:pPr>
        <w:pStyle w:val="SangriaFrancesaArticulo"/>
      </w:pPr>
      <w:r w:rsidRPr="00601EEA">
        <w:rPr>
          <w:rStyle w:val="TextoNormalNegritaCaracter"/>
        </w:rPr>
        <w:t>Artículo 19.1 inciso segundo.</w:t>
      </w:r>
      <w:r w:rsidRPr="00601EEA">
        <w:rPr>
          <w:rStyle w:val="TextoNormalCaracter"/>
        </w:rPr>
        <w:t>-</w:t>
      </w:r>
      <w:r>
        <w:t xml:space="preserve"> Sentencia </w:t>
      </w:r>
      <w:hyperlink w:anchor="SENTENCIA_2024_79" w:history="1">
        <w:r w:rsidRPr="00601EEA">
          <w:rPr>
            <w:rStyle w:val="TextoNormalCaracter"/>
          </w:rPr>
          <w:t>79/2024</w:t>
        </w:r>
      </w:hyperlink>
      <w:r>
        <w:t>.</w:t>
      </w:r>
    </w:p>
    <w:p w14:paraId="17585E47" w14:textId="411A7844" w:rsidR="00601EEA" w:rsidRDefault="00601EEA" w:rsidP="00601EEA">
      <w:pPr>
        <w:pStyle w:val="SangriaFrancesaArticulo"/>
      </w:pPr>
      <w:r w:rsidRPr="00601EEA">
        <w:rPr>
          <w:rStyle w:val="TextoNormalNegritaCaracter"/>
        </w:rPr>
        <w:t>Artículo 19.3.</w:t>
      </w:r>
      <w:r w:rsidRPr="00601EEA">
        <w:rPr>
          <w:rStyle w:val="TextoNormalCaracter"/>
        </w:rPr>
        <w:t>-</w:t>
      </w:r>
      <w:r>
        <w:t xml:space="preserve"> Sentencia </w:t>
      </w:r>
      <w:hyperlink w:anchor="SENTENCIA_2024_79" w:history="1">
        <w:r w:rsidRPr="00601EEA">
          <w:rPr>
            <w:rStyle w:val="TextoNormalCaracter"/>
          </w:rPr>
          <w:t>79/2024</w:t>
        </w:r>
      </w:hyperlink>
      <w:r>
        <w:t xml:space="preserve"> (anula parcialmente).</w:t>
      </w:r>
    </w:p>
    <w:p w14:paraId="7AF4F1C0" w14:textId="71C6E24E" w:rsidR="00601EEA" w:rsidRDefault="00601EEA" w:rsidP="00601EEA">
      <w:pPr>
        <w:pStyle w:val="SangriaFrancesaArticulo"/>
      </w:pPr>
      <w:r w:rsidRPr="00601EEA">
        <w:rPr>
          <w:rStyle w:val="TextoNormalNegritaCaracter"/>
        </w:rPr>
        <w:t>Artículo 19.3 a partir del inciso "que incluirá, con respecto a las viviendas de titularidad del gran tenedor en la zona de mercado residencial tensionado, al menos, los siguientes datos".</w:t>
      </w:r>
      <w:r w:rsidRPr="00601EEA">
        <w:rPr>
          <w:rStyle w:val="TextoNormalCaracter"/>
        </w:rPr>
        <w:t>-</w:t>
      </w:r>
      <w:r>
        <w:t xml:space="preserve"> Sentencia </w:t>
      </w:r>
      <w:hyperlink w:anchor="SENTENCIA_2024_79" w:history="1">
        <w:r w:rsidRPr="00601EEA">
          <w:rPr>
            <w:rStyle w:val="TextoNormalCaracter"/>
          </w:rPr>
          <w:t>79/2024</w:t>
        </w:r>
      </w:hyperlink>
      <w:r>
        <w:t xml:space="preserve"> (anula).</w:t>
      </w:r>
    </w:p>
    <w:p w14:paraId="6F596598" w14:textId="4AA18AAD" w:rsidR="00601EEA" w:rsidRDefault="00601EEA" w:rsidP="00601EEA">
      <w:pPr>
        <w:pStyle w:val="SangriaFrancesaArticulo"/>
      </w:pPr>
      <w:r w:rsidRPr="00601EEA">
        <w:rPr>
          <w:rStyle w:val="TextoNormalNegritaCaracter"/>
        </w:rPr>
        <w:t>Artículo 27.1, tercer párrafo.</w:t>
      </w:r>
      <w:r w:rsidRPr="00601EEA">
        <w:rPr>
          <w:rStyle w:val="TextoNormalCaracter"/>
        </w:rPr>
        <w:t>-</w:t>
      </w:r>
      <w:r>
        <w:t xml:space="preserve"> Sentencia </w:t>
      </w:r>
      <w:hyperlink w:anchor="SENTENCIA_2024_79" w:history="1">
        <w:r w:rsidRPr="00601EEA">
          <w:rPr>
            <w:rStyle w:val="TextoNormalCaracter"/>
          </w:rPr>
          <w:t>79/2024</w:t>
        </w:r>
      </w:hyperlink>
      <w:r>
        <w:t xml:space="preserve"> (anula).</w:t>
      </w:r>
    </w:p>
    <w:p w14:paraId="7EF399A7" w14:textId="72541639" w:rsidR="00601EEA" w:rsidRDefault="00601EEA" w:rsidP="00601EEA">
      <w:pPr>
        <w:pStyle w:val="SangriaFrancesaArticulo"/>
      </w:pPr>
      <w:r w:rsidRPr="00601EEA">
        <w:rPr>
          <w:rStyle w:val="TextoNormalNegritaCaracter"/>
        </w:rPr>
        <w:t>Artículo 27.3.</w:t>
      </w:r>
      <w:r w:rsidRPr="00601EEA">
        <w:rPr>
          <w:rStyle w:val="TextoNormalCaracter"/>
        </w:rPr>
        <w:t>-</w:t>
      </w:r>
      <w:r>
        <w:t xml:space="preserve"> Sentencia </w:t>
      </w:r>
      <w:hyperlink w:anchor="SENTENCIA_2024_79" w:history="1">
        <w:r w:rsidRPr="00601EEA">
          <w:rPr>
            <w:rStyle w:val="TextoNormalCaracter"/>
          </w:rPr>
          <w:t>79/2024</w:t>
        </w:r>
      </w:hyperlink>
      <w:r>
        <w:t xml:space="preserve"> (anula).</w:t>
      </w:r>
    </w:p>
    <w:p w14:paraId="7E1FDB96" w14:textId="147BE7FD" w:rsidR="00601EEA" w:rsidRDefault="00601EEA" w:rsidP="00601EEA">
      <w:pPr>
        <w:pStyle w:val="SangriaFrancesaArticulo"/>
      </w:pPr>
      <w:r w:rsidRPr="00601EEA">
        <w:rPr>
          <w:rStyle w:val="TextoNormalNegritaCaracter"/>
        </w:rPr>
        <w:t>Artículo 28.</w:t>
      </w:r>
      <w:r w:rsidRPr="00601EEA">
        <w:rPr>
          <w:rStyle w:val="TextoNormalCaracter"/>
        </w:rPr>
        <w:t>-</w:t>
      </w:r>
      <w:r>
        <w:t xml:space="preserve"> Sentencia </w:t>
      </w:r>
      <w:hyperlink w:anchor="SENTENCIA_2024_79" w:history="1">
        <w:r w:rsidRPr="00601EEA">
          <w:rPr>
            <w:rStyle w:val="TextoNormalCaracter"/>
          </w:rPr>
          <w:t>79/2024</w:t>
        </w:r>
      </w:hyperlink>
      <w:r>
        <w:t>.</w:t>
      </w:r>
    </w:p>
    <w:p w14:paraId="17B0A296" w14:textId="26E1F45F" w:rsidR="00601EEA" w:rsidRDefault="00601EEA" w:rsidP="00601EEA">
      <w:pPr>
        <w:pStyle w:val="SangriaFrancesaArticulo"/>
      </w:pPr>
      <w:r w:rsidRPr="00601EEA">
        <w:rPr>
          <w:rStyle w:val="TextoNormalNegritaCaracter"/>
        </w:rPr>
        <w:t>Artículo 29.</w:t>
      </w:r>
      <w:r w:rsidRPr="00601EEA">
        <w:rPr>
          <w:rStyle w:val="TextoNormalCaracter"/>
        </w:rPr>
        <w:t>-</w:t>
      </w:r>
      <w:r>
        <w:t xml:space="preserve"> Sentencia </w:t>
      </w:r>
      <w:hyperlink w:anchor="SENTENCIA_2024_79" w:history="1">
        <w:r w:rsidRPr="00601EEA">
          <w:rPr>
            <w:rStyle w:val="TextoNormalCaracter"/>
          </w:rPr>
          <w:t>79/2024</w:t>
        </w:r>
      </w:hyperlink>
      <w:r>
        <w:t>.</w:t>
      </w:r>
    </w:p>
    <w:p w14:paraId="37FA75D4" w14:textId="669153BE" w:rsidR="00601EEA" w:rsidRDefault="00601EEA" w:rsidP="00601EEA">
      <w:pPr>
        <w:pStyle w:val="SangriaFrancesaArticulo"/>
      </w:pPr>
      <w:r w:rsidRPr="00601EEA">
        <w:rPr>
          <w:rStyle w:val="TextoNormalNegritaCaracter"/>
        </w:rPr>
        <w:t>Artículo 32.</w:t>
      </w:r>
      <w:r w:rsidRPr="00601EEA">
        <w:rPr>
          <w:rStyle w:val="TextoNormalCaracter"/>
        </w:rPr>
        <w:t>-</w:t>
      </w:r>
      <w:r>
        <w:t xml:space="preserve"> Sentencia </w:t>
      </w:r>
      <w:hyperlink w:anchor="SENTENCIA_2024_79" w:history="1">
        <w:r w:rsidRPr="00601EEA">
          <w:rPr>
            <w:rStyle w:val="TextoNormalCaracter"/>
          </w:rPr>
          <w:t>79/2024</w:t>
        </w:r>
      </w:hyperlink>
      <w:r>
        <w:t>.</w:t>
      </w:r>
    </w:p>
    <w:p w14:paraId="6F118535" w14:textId="3357D079" w:rsidR="00601EEA" w:rsidRDefault="00601EEA" w:rsidP="00601EEA">
      <w:pPr>
        <w:pStyle w:val="SangriaFrancesaArticulo"/>
      </w:pPr>
      <w:r w:rsidRPr="00601EEA">
        <w:rPr>
          <w:rStyle w:val="TextoNormalNegritaCaracter"/>
        </w:rPr>
        <w:t>Artículo 33.</w:t>
      </w:r>
      <w:r w:rsidRPr="00601EEA">
        <w:rPr>
          <w:rStyle w:val="TextoNormalCaracter"/>
        </w:rPr>
        <w:t>-</w:t>
      </w:r>
      <w:r>
        <w:t xml:space="preserve"> Sentencia </w:t>
      </w:r>
      <w:hyperlink w:anchor="SENTENCIA_2024_79" w:history="1">
        <w:r w:rsidRPr="00601EEA">
          <w:rPr>
            <w:rStyle w:val="TextoNormalCaracter"/>
          </w:rPr>
          <w:t>79/2024</w:t>
        </w:r>
      </w:hyperlink>
      <w:r>
        <w:t>.</w:t>
      </w:r>
    </w:p>
    <w:p w14:paraId="2AEEBA41" w14:textId="4F58138F" w:rsidR="00601EEA" w:rsidRDefault="00601EEA" w:rsidP="00601EEA">
      <w:pPr>
        <w:pStyle w:val="SangriaFrancesaArticulo"/>
      </w:pPr>
      <w:r w:rsidRPr="00601EEA">
        <w:rPr>
          <w:rStyle w:val="TextoNormalNegritaCaracter"/>
        </w:rPr>
        <w:t>Artículo 34.</w:t>
      </w:r>
      <w:r w:rsidRPr="00601EEA">
        <w:rPr>
          <w:rStyle w:val="TextoNormalCaracter"/>
        </w:rPr>
        <w:t>-</w:t>
      </w:r>
      <w:r>
        <w:t xml:space="preserve"> Sentencia </w:t>
      </w:r>
      <w:hyperlink w:anchor="SENTENCIA_2024_79" w:history="1">
        <w:r w:rsidRPr="00601EEA">
          <w:rPr>
            <w:rStyle w:val="TextoNormalCaracter"/>
          </w:rPr>
          <w:t>79/2024</w:t>
        </w:r>
      </w:hyperlink>
      <w:r>
        <w:t>.</w:t>
      </w:r>
    </w:p>
    <w:p w14:paraId="64FAC04F" w14:textId="78B8F434" w:rsidR="00601EEA" w:rsidRDefault="00601EEA" w:rsidP="00601EEA">
      <w:pPr>
        <w:pStyle w:val="SangriaFrancesaArticulo"/>
      </w:pPr>
      <w:r w:rsidRPr="00601EEA">
        <w:rPr>
          <w:rStyle w:val="TextoNormalNegritaCaracter"/>
        </w:rPr>
        <w:t>Artículo 35.</w:t>
      </w:r>
      <w:r w:rsidRPr="00601EEA">
        <w:rPr>
          <w:rStyle w:val="TextoNormalCaracter"/>
        </w:rPr>
        <w:t>-</w:t>
      </w:r>
      <w:r>
        <w:t xml:space="preserve"> Sentencia </w:t>
      </w:r>
      <w:hyperlink w:anchor="SENTENCIA_2024_79" w:history="1">
        <w:r w:rsidRPr="00601EEA">
          <w:rPr>
            <w:rStyle w:val="TextoNormalCaracter"/>
          </w:rPr>
          <w:t>79/2024</w:t>
        </w:r>
      </w:hyperlink>
      <w:r>
        <w:t>.</w:t>
      </w:r>
    </w:p>
    <w:p w14:paraId="5CFDB122" w14:textId="23AFAA65" w:rsidR="00601EEA" w:rsidRDefault="00601EEA" w:rsidP="00601EEA">
      <w:pPr>
        <w:pStyle w:val="SangriaFrancesaArticulo"/>
      </w:pPr>
      <w:r w:rsidRPr="00601EEA">
        <w:rPr>
          <w:rStyle w:val="TextoNormalNegritaCaracter"/>
        </w:rPr>
        <w:t>Artículo 36.</w:t>
      </w:r>
      <w:r w:rsidRPr="00601EEA">
        <w:rPr>
          <w:rStyle w:val="TextoNormalCaracter"/>
        </w:rPr>
        <w:t>-</w:t>
      </w:r>
      <w:r>
        <w:t xml:space="preserve"> Sentencia </w:t>
      </w:r>
      <w:hyperlink w:anchor="SENTENCIA_2024_79" w:history="1">
        <w:r w:rsidRPr="00601EEA">
          <w:rPr>
            <w:rStyle w:val="TextoNormalCaracter"/>
          </w:rPr>
          <w:t>79/2024</w:t>
        </w:r>
      </w:hyperlink>
      <w:r>
        <w:t>.</w:t>
      </w:r>
    </w:p>
    <w:p w14:paraId="3C17FC46" w14:textId="31B9A67D" w:rsidR="00601EEA" w:rsidRDefault="00601EEA" w:rsidP="00601EEA">
      <w:pPr>
        <w:pStyle w:val="SangriaFrancesaArticulo"/>
      </w:pPr>
      <w:r w:rsidRPr="00601EEA">
        <w:rPr>
          <w:rStyle w:val="TextoNormalNegritaCaracter"/>
        </w:rPr>
        <w:t>Disposición adicional tercera.</w:t>
      </w:r>
      <w:r w:rsidRPr="00601EEA">
        <w:rPr>
          <w:rStyle w:val="TextoNormalCaracter"/>
        </w:rPr>
        <w:t>-</w:t>
      </w:r>
      <w:r>
        <w:t xml:space="preserve"> Sentencia </w:t>
      </w:r>
      <w:hyperlink w:anchor="SENTENCIA_2024_79" w:history="1">
        <w:r w:rsidRPr="00601EEA">
          <w:rPr>
            <w:rStyle w:val="TextoNormalCaracter"/>
          </w:rPr>
          <w:t>79/2024</w:t>
        </w:r>
      </w:hyperlink>
      <w:r>
        <w:t>.</w:t>
      </w:r>
    </w:p>
    <w:p w14:paraId="77DAFB25" w14:textId="6424466B" w:rsidR="00601EEA" w:rsidRDefault="00601EEA" w:rsidP="00601EEA">
      <w:pPr>
        <w:pStyle w:val="SangriaFrancesaArticulo"/>
      </w:pPr>
      <w:r w:rsidRPr="00601EEA">
        <w:rPr>
          <w:rStyle w:val="TextoNormalNegritaCaracter"/>
        </w:rPr>
        <w:t>Disposición transitoria primera.</w:t>
      </w:r>
      <w:r w:rsidRPr="00601EEA">
        <w:rPr>
          <w:rStyle w:val="TextoNormalCaracter"/>
        </w:rPr>
        <w:t>-</w:t>
      </w:r>
      <w:r>
        <w:t xml:space="preserve"> Sentencia </w:t>
      </w:r>
      <w:hyperlink w:anchor="SENTENCIA_2024_79" w:history="1">
        <w:r w:rsidRPr="00601EEA">
          <w:rPr>
            <w:rStyle w:val="TextoNormalCaracter"/>
          </w:rPr>
          <w:t>79/2024</w:t>
        </w:r>
      </w:hyperlink>
      <w:r>
        <w:t xml:space="preserve"> (anula).</w:t>
      </w:r>
    </w:p>
    <w:p w14:paraId="67ED0679" w14:textId="2BA1A2C0" w:rsidR="00601EEA" w:rsidRDefault="00601EEA" w:rsidP="00601EEA">
      <w:pPr>
        <w:pStyle w:val="SangriaFrancesaArticulo"/>
      </w:pPr>
      <w:r w:rsidRPr="00601EEA">
        <w:rPr>
          <w:rStyle w:val="TextoNormalNegritaCaracter"/>
        </w:rPr>
        <w:t>Disposición final primera, apartado 1.</w:t>
      </w:r>
      <w:r w:rsidRPr="00601EEA">
        <w:rPr>
          <w:rStyle w:val="TextoNormalCaracter"/>
        </w:rPr>
        <w:t>-</w:t>
      </w:r>
      <w:r>
        <w:t xml:space="preserve"> Sentencia </w:t>
      </w:r>
      <w:hyperlink w:anchor="SENTENCIA_2024_79" w:history="1">
        <w:r w:rsidRPr="00601EEA">
          <w:rPr>
            <w:rStyle w:val="TextoNormalCaracter"/>
          </w:rPr>
          <w:t>79/2024</w:t>
        </w:r>
      </w:hyperlink>
      <w:r>
        <w:t>.</w:t>
      </w:r>
    </w:p>
    <w:p w14:paraId="66341C23" w14:textId="66410A4B" w:rsidR="00601EEA" w:rsidRDefault="00601EEA" w:rsidP="00601EEA">
      <w:pPr>
        <w:pStyle w:val="SangriaFrancesaArticulo"/>
      </w:pPr>
      <w:r w:rsidRPr="00601EEA">
        <w:rPr>
          <w:rStyle w:val="TextoNormalNegritaCaracter"/>
        </w:rPr>
        <w:t>Disposición final primera, apartado 3.</w:t>
      </w:r>
      <w:r w:rsidRPr="00601EEA">
        <w:rPr>
          <w:rStyle w:val="TextoNormalCaracter"/>
        </w:rPr>
        <w:t>-</w:t>
      </w:r>
      <w:r>
        <w:t xml:space="preserve"> Sentencia </w:t>
      </w:r>
      <w:hyperlink w:anchor="SENTENCIA_2024_79" w:history="1">
        <w:r w:rsidRPr="00601EEA">
          <w:rPr>
            <w:rStyle w:val="TextoNormalCaracter"/>
          </w:rPr>
          <w:t>79/2024</w:t>
        </w:r>
      </w:hyperlink>
      <w:r>
        <w:t>.</w:t>
      </w:r>
    </w:p>
    <w:p w14:paraId="2F49F8E2" w14:textId="58E8E1DC" w:rsidR="00601EEA" w:rsidRDefault="00601EEA" w:rsidP="00601EEA">
      <w:pPr>
        <w:pStyle w:val="SangriaFrancesaArticulo"/>
      </w:pPr>
      <w:r w:rsidRPr="00601EEA">
        <w:rPr>
          <w:rStyle w:val="TextoNormalNegritaCaracter"/>
        </w:rPr>
        <w:t>Disposición final primera, apartado 6.</w:t>
      </w:r>
      <w:r w:rsidRPr="00601EEA">
        <w:rPr>
          <w:rStyle w:val="TextoNormalCaracter"/>
        </w:rPr>
        <w:t>-</w:t>
      </w:r>
      <w:r>
        <w:t xml:space="preserve"> Sentencia </w:t>
      </w:r>
      <w:hyperlink w:anchor="SENTENCIA_2024_79" w:history="1">
        <w:r w:rsidRPr="00601EEA">
          <w:rPr>
            <w:rStyle w:val="TextoNormalCaracter"/>
          </w:rPr>
          <w:t>79/2024</w:t>
        </w:r>
      </w:hyperlink>
      <w:r>
        <w:t>.</w:t>
      </w:r>
    </w:p>
    <w:p w14:paraId="708A61CB" w14:textId="0F2DC976" w:rsidR="00601EEA" w:rsidRDefault="00601EEA" w:rsidP="00601EEA">
      <w:pPr>
        <w:pStyle w:val="SangriaFrancesaArticulo"/>
      </w:pPr>
      <w:r w:rsidRPr="00601EEA">
        <w:rPr>
          <w:rStyle w:val="TextoNormalNegritaCaracter"/>
        </w:rPr>
        <w:t>Disposición final cuarta.</w:t>
      </w:r>
      <w:r w:rsidRPr="00601EEA">
        <w:rPr>
          <w:rStyle w:val="TextoNormalCaracter"/>
        </w:rPr>
        <w:t>-</w:t>
      </w:r>
      <w:r>
        <w:t xml:space="preserve"> Sentencia </w:t>
      </w:r>
      <w:hyperlink w:anchor="SENTENCIA_2024_79" w:history="1">
        <w:r w:rsidRPr="00601EEA">
          <w:rPr>
            <w:rStyle w:val="TextoNormalCaracter"/>
          </w:rPr>
          <w:t>79/2024</w:t>
        </w:r>
      </w:hyperlink>
      <w:r>
        <w:t>.</w:t>
      </w:r>
    </w:p>
    <w:p w14:paraId="66B31F04" w14:textId="00B9BCBD" w:rsidR="00601EEA" w:rsidRDefault="00601EEA" w:rsidP="00601EEA">
      <w:pPr>
        <w:pStyle w:val="TextoNormal"/>
      </w:pPr>
    </w:p>
    <w:p w14:paraId="2AB64239" w14:textId="77777777" w:rsidR="00601EEA" w:rsidRDefault="00601EEA" w:rsidP="00601EEA">
      <w:pPr>
        <w:pStyle w:val="SangriaFrancesaArticulo"/>
      </w:pPr>
      <w:bookmarkStart w:id="157" w:name="INDICE22806"/>
    </w:p>
    <w:bookmarkEnd w:id="157"/>
    <w:p w14:paraId="6089A82A" w14:textId="77777777" w:rsidR="00601EEA" w:rsidRDefault="00601EEA" w:rsidP="00601EEA">
      <w:pPr>
        <w:pStyle w:val="TextoIndiceNivel2"/>
        <w:suppressAutoHyphens/>
      </w:pPr>
      <w:r>
        <w:t>B) Disposiciones con fuerza de ley de las Comunidades Autónomas</w:t>
      </w:r>
    </w:p>
    <w:p w14:paraId="5753FADC" w14:textId="4BCBB272" w:rsidR="00601EEA" w:rsidRDefault="00601EEA" w:rsidP="00601EEA">
      <w:pPr>
        <w:pStyle w:val="TextoNormal"/>
      </w:pPr>
    </w:p>
    <w:p w14:paraId="7DAE2E54" w14:textId="77777777" w:rsidR="00601EEA" w:rsidRDefault="00601EEA" w:rsidP="00601EEA">
      <w:pPr>
        <w:pStyle w:val="TextoNormalNegritaCentrado"/>
        <w:suppressAutoHyphens/>
      </w:pPr>
      <w:r w:rsidRPr="00601EEA">
        <w:rPr>
          <w:rStyle w:val="TextoNormalNegritaCentradoSombreado"/>
        </w:rPr>
        <w:t>B.1) Andalucía</w:t>
      </w:r>
    </w:p>
    <w:p w14:paraId="54FAFE32" w14:textId="3BF69490" w:rsidR="00601EEA" w:rsidRDefault="00601EEA" w:rsidP="00601EEA">
      <w:pPr>
        <w:pStyle w:val="TextoNormalNegritaCentrado"/>
      </w:pPr>
    </w:p>
    <w:p w14:paraId="1E572D8C" w14:textId="77777777" w:rsidR="00601EEA" w:rsidRDefault="00601EEA" w:rsidP="00601EEA">
      <w:pPr>
        <w:pStyle w:val="TextoNormalNegritaCursivandice"/>
        <w:keepNext/>
      </w:pPr>
      <w:r>
        <w:t>Comunidad Autónoma de Andalucía. Ley 7/2021, de 1 de diciembre, de impulso para la sostenibilidad del territorio de Andalucía</w:t>
      </w:r>
    </w:p>
    <w:p w14:paraId="33FB0C51" w14:textId="58A2678A"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25" w:history="1">
        <w:r w:rsidRPr="00601EEA">
          <w:rPr>
            <w:rStyle w:val="TextoNormalCaracter"/>
          </w:rPr>
          <w:t>25/2024</w:t>
        </w:r>
      </w:hyperlink>
      <w:r>
        <w:t>.</w:t>
      </w:r>
    </w:p>
    <w:p w14:paraId="5A4D3994" w14:textId="51588DCF" w:rsidR="00601EEA" w:rsidRDefault="00601EEA" w:rsidP="00601EEA">
      <w:pPr>
        <w:pStyle w:val="SangriaFrancesaArticulo"/>
      </w:pPr>
      <w:r w:rsidRPr="00601EEA">
        <w:rPr>
          <w:rStyle w:val="TextoNormalNegritaCaracter"/>
        </w:rPr>
        <w:t>Artículo 19.1 a).</w:t>
      </w:r>
      <w:r w:rsidRPr="00601EEA">
        <w:rPr>
          <w:rStyle w:val="TextoNormalCaracter"/>
        </w:rPr>
        <w:t>-</w:t>
      </w:r>
      <w:r>
        <w:t xml:space="preserve"> Sentencia </w:t>
      </w:r>
      <w:hyperlink w:anchor="SENTENCIA_2024_25" w:history="1">
        <w:r w:rsidRPr="00601EEA">
          <w:rPr>
            <w:rStyle w:val="TextoNormalCaracter"/>
          </w:rPr>
          <w:t>25/2024</w:t>
        </w:r>
      </w:hyperlink>
      <w:r>
        <w:t xml:space="preserve"> (interpreta).</w:t>
      </w:r>
    </w:p>
    <w:p w14:paraId="03B549A6" w14:textId="381432D2" w:rsidR="00601EEA" w:rsidRDefault="00601EEA" w:rsidP="00601EEA">
      <w:pPr>
        <w:pStyle w:val="SangriaFrancesaArticulo"/>
      </w:pPr>
      <w:r w:rsidRPr="00601EEA">
        <w:rPr>
          <w:rStyle w:val="TextoNormalNegritaCaracter"/>
        </w:rPr>
        <w:t>Artículo 21.1.</w:t>
      </w:r>
      <w:r w:rsidRPr="00601EEA">
        <w:rPr>
          <w:rStyle w:val="TextoNormalCaracter"/>
        </w:rPr>
        <w:t>-</w:t>
      </w:r>
      <w:r>
        <w:t xml:space="preserve"> Sentencia </w:t>
      </w:r>
      <w:hyperlink w:anchor="SENTENCIA_2024_25" w:history="1">
        <w:r w:rsidRPr="00601EEA">
          <w:rPr>
            <w:rStyle w:val="TextoNormalCaracter"/>
          </w:rPr>
          <w:t>25/2024</w:t>
        </w:r>
      </w:hyperlink>
      <w:r>
        <w:t>.</w:t>
      </w:r>
    </w:p>
    <w:p w14:paraId="15A93BD3" w14:textId="331B2E3D" w:rsidR="00601EEA" w:rsidRDefault="00601EEA" w:rsidP="00601EEA">
      <w:pPr>
        <w:pStyle w:val="SangriaFrancesaArticulo"/>
      </w:pPr>
      <w:r w:rsidRPr="00601EEA">
        <w:rPr>
          <w:rStyle w:val="TextoNormalNegritaCaracter"/>
        </w:rPr>
        <w:lastRenderedPageBreak/>
        <w:t>Artículo 21.1 inciso "a las energías renovables".</w:t>
      </w:r>
      <w:r w:rsidRPr="00601EEA">
        <w:rPr>
          <w:rStyle w:val="TextoNormalCaracter"/>
        </w:rPr>
        <w:t>-</w:t>
      </w:r>
      <w:r>
        <w:t xml:space="preserve"> Sentencia </w:t>
      </w:r>
      <w:hyperlink w:anchor="SENTENCIA_2024_25" w:history="1">
        <w:r w:rsidRPr="00601EEA">
          <w:rPr>
            <w:rStyle w:val="TextoNormalCaracter"/>
          </w:rPr>
          <w:t>25/2024</w:t>
        </w:r>
      </w:hyperlink>
      <w:r>
        <w:t xml:space="preserve"> (interpreta).</w:t>
      </w:r>
    </w:p>
    <w:p w14:paraId="68AB41FA" w14:textId="6BE7F970" w:rsidR="00601EEA" w:rsidRDefault="00601EEA" w:rsidP="00601EEA">
      <w:pPr>
        <w:pStyle w:val="SangriaFrancesaArticulo"/>
      </w:pPr>
      <w:r w:rsidRPr="00601EEA">
        <w:rPr>
          <w:rStyle w:val="TextoNormalNegritaCaracter"/>
        </w:rPr>
        <w:t>Artículo 21.1 inciso "actividades mineras".</w:t>
      </w:r>
      <w:r w:rsidRPr="00601EEA">
        <w:rPr>
          <w:rStyle w:val="TextoNormalCaracter"/>
        </w:rPr>
        <w:t>-</w:t>
      </w:r>
      <w:r>
        <w:t xml:space="preserve"> Sentencia </w:t>
      </w:r>
      <w:hyperlink w:anchor="SENTENCIA_2024_25" w:history="1">
        <w:r w:rsidRPr="00601EEA">
          <w:rPr>
            <w:rStyle w:val="TextoNormalCaracter"/>
          </w:rPr>
          <w:t>25/2024</w:t>
        </w:r>
      </w:hyperlink>
      <w:r>
        <w:t xml:space="preserve"> (interpreta).</w:t>
      </w:r>
    </w:p>
    <w:p w14:paraId="2F1EA02E" w14:textId="39F5A5EA" w:rsidR="00601EEA" w:rsidRDefault="00601EEA" w:rsidP="00601EEA">
      <w:pPr>
        <w:pStyle w:val="SangriaFrancesaArticulo"/>
      </w:pPr>
      <w:r w:rsidRPr="00601EEA">
        <w:rPr>
          <w:rStyle w:val="TextoNormalNegritaCaracter"/>
        </w:rPr>
        <w:t>Artículo 21.1 inciso "mineros".</w:t>
      </w:r>
      <w:r w:rsidRPr="00601EEA">
        <w:rPr>
          <w:rStyle w:val="TextoNormalCaracter"/>
        </w:rPr>
        <w:t>-</w:t>
      </w:r>
      <w:r>
        <w:t xml:space="preserve"> Sentencia </w:t>
      </w:r>
      <w:hyperlink w:anchor="SENTENCIA_2024_25" w:history="1">
        <w:r w:rsidRPr="00601EEA">
          <w:rPr>
            <w:rStyle w:val="TextoNormalCaracter"/>
          </w:rPr>
          <w:t>25/2024</w:t>
        </w:r>
      </w:hyperlink>
      <w:r>
        <w:t xml:space="preserve"> (interpreta).</w:t>
      </w:r>
    </w:p>
    <w:p w14:paraId="3F01D61A" w14:textId="2E58C46A" w:rsidR="00601EEA" w:rsidRDefault="00601EEA" w:rsidP="00601EEA">
      <w:pPr>
        <w:pStyle w:val="SangriaFrancesaArticulo"/>
      </w:pPr>
      <w:r w:rsidRPr="00601EEA">
        <w:rPr>
          <w:rStyle w:val="TextoNormalNegritaCaracter"/>
        </w:rPr>
        <w:t>Artículo 21.2 b).</w:t>
      </w:r>
      <w:r w:rsidRPr="00601EEA">
        <w:rPr>
          <w:rStyle w:val="TextoNormalCaracter"/>
        </w:rPr>
        <w:t>-</w:t>
      </w:r>
      <w:r>
        <w:t xml:space="preserve"> Sentencia </w:t>
      </w:r>
      <w:hyperlink w:anchor="SENTENCIA_2024_25" w:history="1">
        <w:r w:rsidRPr="00601EEA">
          <w:rPr>
            <w:rStyle w:val="TextoNormalCaracter"/>
          </w:rPr>
          <w:t>25/2024</w:t>
        </w:r>
      </w:hyperlink>
      <w:r>
        <w:t>.</w:t>
      </w:r>
    </w:p>
    <w:p w14:paraId="1B9C2B8D" w14:textId="7533AF90" w:rsidR="00601EEA" w:rsidRDefault="00601EEA" w:rsidP="00601EEA">
      <w:pPr>
        <w:pStyle w:val="SangriaFrancesaArticulo"/>
      </w:pPr>
      <w:r w:rsidRPr="00601EEA">
        <w:rPr>
          <w:rStyle w:val="TextoNormalNegritaCaracter"/>
        </w:rPr>
        <w:t>Artículo 22.1.</w:t>
      </w:r>
      <w:r w:rsidRPr="00601EEA">
        <w:rPr>
          <w:rStyle w:val="TextoNormalCaracter"/>
        </w:rPr>
        <w:t>-</w:t>
      </w:r>
      <w:r>
        <w:t xml:space="preserve"> Sentencia </w:t>
      </w:r>
      <w:hyperlink w:anchor="SENTENCIA_2024_25" w:history="1">
        <w:r w:rsidRPr="00601EEA">
          <w:rPr>
            <w:rStyle w:val="TextoNormalCaracter"/>
          </w:rPr>
          <w:t>25/2024</w:t>
        </w:r>
      </w:hyperlink>
      <w:r>
        <w:t>.</w:t>
      </w:r>
    </w:p>
    <w:p w14:paraId="52003BB2" w14:textId="1345FFD7" w:rsidR="00601EEA" w:rsidRDefault="00601EEA" w:rsidP="00601EEA">
      <w:pPr>
        <w:pStyle w:val="SangriaFrancesaArticulo"/>
      </w:pPr>
      <w:r w:rsidRPr="00601EEA">
        <w:rPr>
          <w:rStyle w:val="TextoNormalNegritaCaracter"/>
        </w:rPr>
        <w:t>Artículo 22.2.</w:t>
      </w:r>
      <w:r w:rsidRPr="00601EEA">
        <w:rPr>
          <w:rStyle w:val="TextoNormalCaracter"/>
        </w:rPr>
        <w:t>-</w:t>
      </w:r>
      <w:r>
        <w:t xml:space="preserve"> Sentencia </w:t>
      </w:r>
      <w:hyperlink w:anchor="SENTENCIA_2024_25" w:history="1">
        <w:r w:rsidRPr="00601EEA">
          <w:rPr>
            <w:rStyle w:val="TextoNormalCaracter"/>
          </w:rPr>
          <w:t>25/2024</w:t>
        </w:r>
      </w:hyperlink>
      <w:r>
        <w:t>.</w:t>
      </w:r>
    </w:p>
    <w:p w14:paraId="6B554411" w14:textId="1C7C1677" w:rsidR="00601EEA" w:rsidRDefault="00601EEA" w:rsidP="00601EEA">
      <w:pPr>
        <w:pStyle w:val="SangriaFrancesaArticulo"/>
      </w:pPr>
      <w:r w:rsidRPr="00601EEA">
        <w:rPr>
          <w:rStyle w:val="TextoNormalNegritaCaracter"/>
        </w:rPr>
        <w:t>Artículo 22.2 inciso "Asimismo, vinculadas a estas actuaciones, podrán autorizarse conjuntamente edificaciones destinadas a uso residencial, debiendo garantizarse la proporcionalidad y vinculación entre ambas".</w:t>
      </w:r>
      <w:r w:rsidRPr="00601EEA">
        <w:rPr>
          <w:rStyle w:val="TextoNormalCaracter"/>
        </w:rPr>
        <w:t>-</w:t>
      </w:r>
      <w:r>
        <w:t xml:space="preserve"> Sentencia </w:t>
      </w:r>
      <w:hyperlink w:anchor="SENTENCIA_2024_25" w:history="1">
        <w:r w:rsidRPr="00601EEA">
          <w:rPr>
            <w:rStyle w:val="TextoNormalCaracter"/>
          </w:rPr>
          <w:t>25/2024</w:t>
        </w:r>
      </w:hyperlink>
      <w:r>
        <w:t xml:space="preserve"> (anula).</w:t>
      </w:r>
    </w:p>
    <w:p w14:paraId="7C7FC6D4" w14:textId="72FDA2C8" w:rsidR="00601EEA" w:rsidRDefault="00601EEA" w:rsidP="00601EEA">
      <w:pPr>
        <w:pStyle w:val="SangriaFrancesaArticulo"/>
      </w:pPr>
      <w:r w:rsidRPr="00601EEA">
        <w:rPr>
          <w:rStyle w:val="TextoNormalNegritaCaracter"/>
        </w:rPr>
        <w:t>Artículo 50.</w:t>
      </w:r>
      <w:r w:rsidRPr="00601EEA">
        <w:rPr>
          <w:rStyle w:val="TextoNormalCaracter"/>
        </w:rPr>
        <w:t>-</w:t>
      </w:r>
      <w:r>
        <w:t xml:space="preserve"> Sentencia </w:t>
      </w:r>
      <w:hyperlink w:anchor="SENTENCIA_2024_25" w:history="1">
        <w:r w:rsidRPr="00601EEA">
          <w:rPr>
            <w:rStyle w:val="TextoNormalCaracter"/>
          </w:rPr>
          <w:t>25/2024</w:t>
        </w:r>
      </w:hyperlink>
      <w:r>
        <w:t>.</w:t>
      </w:r>
    </w:p>
    <w:p w14:paraId="1399FBF0" w14:textId="0409648B" w:rsidR="00601EEA" w:rsidRDefault="00601EEA" w:rsidP="00601EEA">
      <w:pPr>
        <w:pStyle w:val="SangriaFrancesaArticulo"/>
      </w:pPr>
      <w:r w:rsidRPr="00601EEA">
        <w:rPr>
          <w:rStyle w:val="TextoNormalNegritaCaracter"/>
        </w:rPr>
        <w:t>Artículo 53.</w:t>
      </w:r>
      <w:r w:rsidRPr="00601EEA">
        <w:rPr>
          <w:rStyle w:val="TextoNormalCaracter"/>
        </w:rPr>
        <w:t>-</w:t>
      </w:r>
      <w:r>
        <w:t xml:space="preserve"> Sentencia </w:t>
      </w:r>
      <w:hyperlink w:anchor="SENTENCIA_2024_25" w:history="1">
        <w:r w:rsidRPr="00601EEA">
          <w:rPr>
            <w:rStyle w:val="TextoNormalCaracter"/>
          </w:rPr>
          <w:t>25/2024</w:t>
        </w:r>
      </w:hyperlink>
      <w:r>
        <w:t>.</w:t>
      </w:r>
    </w:p>
    <w:p w14:paraId="6BB637FA" w14:textId="702054F6" w:rsidR="00601EEA" w:rsidRDefault="00601EEA" w:rsidP="00601EEA">
      <w:pPr>
        <w:pStyle w:val="SangriaFrancesaArticulo"/>
      </w:pPr>
      <w:r w:rsidRPr="00601EEA">
        <w:rPr>
          <w:rStyle w:val="TextoNormalNegritaCaracter"/>
        </w:rPr>
        <w:t>Artículo 137.2 f).</w:t>
      </w:r>
      <w:r w:rsidRPr="00601EEA">
        <w:rPr>
          <w:rStyle w:val="TextoNormalCaracter"/>
        </w:rPr>
        <w:t>-</w:t>
      </w:r>
      <w:r>
        <w:t xml:space="preserve"> Sentencia </w:t>
      </w:r>
      <w:hyperlink w:anchor="SENTENCIA_2024_25" w:history="1">
        <w:r w:rsidRPr="00601EEA">
          <w:rPr>
            <w:rStyle w:val="TextoNormalCaracter"/>
          </w:rPr>
          <w:t>25/2024</w:t>
        </w:r>
      </w:hyperlink>
      <w:r>
        <w:t>.</w:t>
      </w:r>
    </w:p>
    <w:p w14:paraId="60D75CDF" w14:textId="21F7FAEB" w:rsidR="00601EEA" w:rsidRDefault="00601EEA" w:rsidP="00601EEA">
      <w:pPr>
        <w:pStyle w:val="SangriaFrancesaArticulo"/>
      </w:pPr>
      <w:r w:rsidRPr="00601EEA">
        <w:rPr>
          <w:rStyle w:val="TextoNormalNegritaCaracter"/>
        </w:rPr>
        <w:t>Artículo 137.2 f) inciso "mineros".</w:t>
      </w:r>
      <w:r w:rsidRPr="00601EEA">
        <w:rPr>
          <w:rStyle w:val="TextoNormalCaracter"/>
        </w:rPr>
        <w:t>-</w:t>
      </w:r>
      <w:r>
        <w:t xml:space="preserve"> Sentencia </w:t>
      </w:r>
      <w:hyperlink w:anchor="SENTENCIA_2024_25" w:history="1">
        <w:r w:rsidRPr="00601EEA">
          <w:rPr>
            <w:rStyle w:val="TextoNormalCaracter"/>
          </w:rPr>
          <w:t>25/2024</w:t>
        </w:r>
      </w:hyperlink>
      <w:r>
        <w:t xml:space="preserve"> (anula).</w:t>
      </w:r>
    </w:p>
    <w:p w14:paraId="57400C2B" w14:textId="4676D6AF" w:rsidR="00601EEA" w:rsidRDefault="00601EEA" w:rsidP="00601EEA">
      <w:pPr>
        <w:pStyle w:val="SangriaFrancesaArticulo"/>
      </w:pPr>
      <w:r w:rsidRPr="00601EEA">
        <w:rPr>
          <w:rStyle w:val="TextoNormalNegritaCaracter"/>
        </w:rPr>
        <w:t>Artículo 151.1.</w:t>
      </w:r>
      <w:r w:rsidRPr="00601EEA">
        <w:rPr>
          <w:rStyle w:val="TextoNormalCaracter"/>
        </w:rPr>
        <w:t>-</w:t>
      </w:r>
      <w:r>
        <w:t xml:space="preserve"> Sentencia </w:t>
      </w:r>
      <w:hyperlink w:anchor="SENTENCIA_2024_25" w:history="1">
        <w:r w:rsidRPr="00601EEA">
          <w:rPr>
            <w:rStyle w:val="TextoNormalCaracter"/>
          </w:rPr>
          <w:t>25/2024</w:t>
        </w:r>
      </w:hyperlink>
      <w:r>
        <w:t>.</w:t>
      </w:r>
    </w:p>
    <w:p w14:paraId="103B1430" w14:textId="33F3FFEB" w:rsidR="00601EEA" w:rsidRDefault="00601EEA" w:rsidP="00601EEA">
      <w:pPr>
        <w:pStyle w:val="SangriaFrancesaArticulo"/>
      </w:pPr>
      <w:r w:rsidRPr="00601EEA">
        <w:rPr>
          <w:rStyle w:val="TextoNormalNegritaCaracter"/>
        </w:rPr>
        <w:t>Artículo 153.1, párrafo 2.</w:t>
      </w:r>
      <w:r w:rsidRPr="00601EEA">
        <w:rPr>
          <w:rStyle w:val="TextoNormalCaracter"/>
        </w:rPr>
        <w:t>-</w:t>
      </w:r>
      <w:r>
        <w:t xml:space="preserve"> Sentencia </w:t>
      </w:r>
      <w:hyperlink w:anchor="SENTENCIA_2024_25" w:history="1">
        <w:r w:rsidRPr="00601EEA">
          <w:rPr>
            <w:rStyle w:val="TextoNormalCaracter"/>
          </w:rPr>
          <w:t>25/2024</w:t>
        </w:r>
      </w:hyperlink>
      <w:r>
        <w:t>.</w:t>
      </w:r>
    </w:p>
    <w:p w14:paraId="06547F42" w14:textId="48C61AFE" w:rsidR="00601EEA" w:rsidRDefault="00601EEA" w:rsidP="00601EEA">
      <w:pPr>
        <w:pStyle w:val="SangriaFrancesaArticulo"/>
      </w:pPr>
      <w:r w:rsidRPr="00601EEA">
        <w:rPr>
          <w:rStyle w:val="TextoNormalNegritaCaracter"/>
        </w:rPr>
        <w:t>Disposición adicional cuarta.</w:t>
      </w:r>
      <w:r w:rsidRPr="00601EEA">
        <w:rPr>
          <w:rStyle w:val="TextoNormalCaracter"/>
        </w:rPr>
        <w:t>-</w:t>
      </w:r>
      <w:r>
        <w:t xml:space="preserve"> Sentencia </w:t>
      </w:r>
      <w:hyperlink w:anchor="SENTENCIA_2024_25" w:history="1">
        <w:r w:rsidRPr="00601EEA">
          <w:rPr>
            <w:rStyle w:val="TextoNormalCaracter"/>
          </w:rPr>
          <w:t>25/2024</w:t>
        </w:r>
      </w:hyperlink>
      <w:r>
        <w:t>.</w:t>
      </w:r>
    </w:p>
    <w:p w14:paraId="653901AD" w14:textId="324321BD" w:rsidR="00601EEA" w:rsidRDefault="00601EEA" w:rsidP="00601EEA">
      <w:pPr>
        <w:pStyle w:val="SangriaFrancesaArticulo"/>
      </w:pPr>
      <w:r w:rsidRPr="00601EEA">
        <w:rPr>
          <w:rStyle w:val="TextoNormalNegritaCaracter"/>
        </w:rPr>
        <w:t>Disposición adicional cuarta, apartado 1.</w:t>
      </w:r>
      <w:r w:rsidRPr="00601EEA">
        <w:rPr>
          <w:rStyle w:val="TextoNormalCaracter"/>
        </w:rPr>
        <w:t>-</w:t>
      </w:r>
      <w:r>
        <w:t xml:space="preserve"> Sentencia </w:t>
      </w:r>
      <w:hyperlink w:anchor="SENTENCIA_2024_25" w:history="1">
        <w:r w:rsidRPr="00601EEA">
          <w:rPr>
            <w:rStyle w:val="TextoNormalCaracter"/>
          </w:rPr>
          <w:t>25/2024</w:t>
        </w:r>
      </w:hyperlink>
      <w:r>
        <w:t xml:space="preserve"> (anula).</w:t>
      </w:r>
    </w:p>
    <w:p w14:paraId="39C048AB" w14:textId="22E7421B" w:rsidR="00601EEA" w:rsidRDefault="00601EEA" w:rsidP="00601EEA">
      <w:pPr>
        <w:pStyle w:val="SangriaFrancesaArticulo"/>
      </w:pPr>
      <w:r w:rsidRPr="00601EEA">
        <w:rPr>
          <w:rStyle w:val="TextoNormalNegritaCaracter"/>
        </w:rPr>
        <w:t>Disposición adicional cuarta, apartado 2.</w:t>
      </w:r>
      <w:r w:rsidRPr="00601EEA">
        <w:rPr>
          <w:rStyle w:val="TextoNormalCaracter"/>
        </w:rPr>
        <w:t>-</w:t>
      </w:r>
      <w:r>
        <w:t xml:space="preserve"> Sentencia </w:t>
      </w:r>
      <w:hyperlink w:anchor="SENTENCIA_2024_25" w:history="1">
        <w:r w:rsidRPr="00601EEA">
          <w:rPr>
            <w:rStyle w:val="TextoNormalCaracter"/>
          </w:rPr>
          <w:t>25/2024</w:t>
        </w:r>
      </w:hyperlink>
      <w:r>
        <w:t xml:space="preserve"> (anula).</w:t>
      </w:r>
    </w:p>
    <w:p w14:paraId="57A4D9F4" w14:textId="65151EF7" w:rsidR="00601EEA" w:rsidRDefault="00601EEA" w:rsidP="00601EEA">
      <w:pPr>
        <w:pStyle w:val="SangriaFrancesaArticulo"/>
      </w:pPr>
      <w:r w:rsidRPr="00601EEA">
        <w:rPr>
          <w:rStyle w:val="TextoNormalNegritaCaracter"/>
        </w:rPr>
        <w:t>Disposición derogatoria única, apartado 2 f).</w:t>
      </w:r>
      <w:r w:rsidRPr="00601EEA">
        <w:rPr>
          <w:rStyle w:val="TextoNormalCaracter"/>
        </w:rPr>
        <w:t>-</w:t>
      </w:r>
      <w:r>
        <w:t xml:space="preserve"> Sentencia </w:t>
      </w:r>
      <w:hyperlink w:anchor="SENTENCIA_2024_25" w:history="1">
        <w:r w:rsidRPr="00601EEA">
          <w:rPr>
            <w:rStyle w:val="TextoNormalCaracter"/>
          </w:rPr>
          <w:t>25/2024</w:t>
        </w:r>
      </w:hyperlink>
      <w:r>
        <w:t>.</w:t>
      </w:r>
    </w:p>
    <w:p w14:paraId="4F2727EE" w14:textId="2C33BB4A" w:rsidR="00601EEA" w:rsidRDefault="00601EEA" w:rsidP="00601EEA">
      <w:pPr>
        <w:pStyle w:val="TextoNormal"/>
      </w:pPr>
    </w:p>
    <w:p w14:paraId="2D5ECD1D" w14:textId="77777777" w:rsidR="00601EEA" w:rsidRDefault="00601EEA" w:rsidP="00601EEA">
      <w:pPr>
        <w:pStyle w:val="TextoNormalNegritaCentrado"/>
        <w:suppressAutoHyphens/>
      </w:pPr>
      <w:r w:rsidRPr="00601EEA">
        <w:rPr>
          <w:rStyle w:val="TextoNormalNegritaCentradoSombreado"/>
        </w:rPr>
        <w:t>B.2) Aragón</w:t>
      </w:r>
    </w:p>
    <w:p w14:paraId="3E5F26BE" w14:textId="635E2282" w:rsidR="00601EEA" w:rsidRDefault="00601EEA" w:rsidP="00601EEA">
      <w:pPr>
        <w:pStyle w:val="TextoNormalNegritaCentrado"/>
      </w:pPr>
    </w:p>
    <w:p w14:paraId="53A5EED8" w14:textId="77777777" w:rsidR="00601EEA" w:rsidRDefault="00601EEA" w:rsidP="00601EEA">
      <w:pPr>
        <w:pStyle w:val="TextoNormalNegritaCursivandice"/>
        <w:keepNext/>
      </w:pPr>
      <w:r>
        <w:t>Comunidad Autónoma de Aragón. Decreto-ley 1/2023, de 20 de marzo, de medidas urgentes para el impulso de la transición energética y el consumo de cercanía en Aragón</w:t>
      </w:r>
    </w:p>
    <w:p w14:paraId="592CA759" w14:textId="28946095" w:rsidR="00601EEA" w:rsidRDefault="00601EEA" w:rsidP="00601EEA">
      <w:pPr>
        <w:pStyle w:val="SangriaFrancesaArticulo"/>
      </w:pPr>
      <w:r w:rsidRPr="00601EEA">
        <w:rPr>
          <w:rStyle w:val="TextoNormalNegritaCaracter"/>
        </w:rPr>
        <w:t>Artículo 4.</w:t>
      </w:r>
      <w:r w:rsidRPr="00601EEA">
        <w:rPr>
          <w:rStyle w:val="TextoNormalCaracter"/>
        </w:rPr>
        <w:t>-</w:t>
      </w:r>
      <w:r>
        <w:t xml:space="preserve"> Auto </w:t>
      </w:r>
      <w:hyperlink w:anchor="AUTO_2024_37" w:history="1">
        <w:r w:rsidRPr="00601EEA">
          <w:rPr>
            <w:rStyle w:val="TextoNormalCaracter"/>
          </w:rPr>
          <w:t>37/2024</w:t>
        </w:r>
      </w:hyperlink>
      <w:r>
        <w:t>.</w:t>
      </w:r>
    </w:p>
    <w:p w14:paraId="73B2F611" w14:textId="15E9E180" w:rsidR="00601EEA" w:rsidRDefault="00601EEA" w:rsidP="00601EEA">
      <w:pPr>
        <w:pStyle w:val="SangriaFrancesaArticulo"/>
      </w:pPr>
      <w:r w:rsidRPr="00601EEA">
        <w:rPr>
          <w:rStyle w:val="TextoNormalNegritaCaracter"/>
        </w:rPr>
        <w:t>Artículo 5 apartados 1, 2, 4.</w:t>
      </w:r>
      <w:r w:rsidRPr="00601EEA">
        <w:rPr>
          <w:rStyle w:val="TextoNormalCaracter"/>
        </w:rPr>
        <w:t>-</w:t>
      </w:r>
      <w:r>
        <w:t xml:space="preserve"> Auto </w:t>
      </w:r>
      <w:hyperlink w:anchor="AUTO_2024_37" w:history="1">
        <w:r w:rsidRPr="00601EEA">
          <w:rPr>
            <w:rStyle w:val="TextoNormalCaracter"/>
          </w:rPr>
          <w:t>37/2024</w:t>
        </w:r>
      </w:hyperlink>
      <w:r>
        <w:t>.</w:t>
      </w:r>
    </w:p>
    <w:p w14:paraId="0ADED0BD" w14:textId="04076065" w:rsidR="00601EEA" w:rsidRDefault="00601EEA" w:rsidP="00601EEA">
      <w:pPr>
        <w:pStyle w:val="SangriaFrancesaArticulo"/>
      </w:pPr>
      <w:r w:rsidRPr="00601EEA">
        <w:rPr>
          <w:rStyle w:val="TextoNormalNegritaCaracter"/>
        </w:rPr>
        <w:t>Artículo 6.</w:t>
      </w:r>
      <w:r w:rsidRPr="00601EEA">
        <w:rPr>
          <w:rStyle w:val="TextoNormalCaracter"/>
        </w:rPr>
        <w:t>-</w:t>
      </w:r>
      <w:r>
        <w:t xml:space="preserve"> Auto </w:t>
      </w:r>
      <w:hyperlink w:anchor="AUTO_2024_37" w:history="1">
        <w:r w:rsidRPr="00601EEA">
          <w:rPr>
            <w:rStyle w:val="TextoNormalCaracter"/>
          </w:rPr>
          <w:t>37/2024</w:t>
        </w:r>
      </w:hyperlink>
      <w:r>
        <w:t>.</w:t>
      </w:r>
    </w:p>
    <w:p w14:paraId="1883DE55" w14:textId="2C381829" w:rsidR="00601EEA" w:rsidRDefault="00601EEA" w:rsidP="00601EEA">
      <w:pPr>
        <w:pStyle w:val="SangriaFrancesaArticulo"/>
      </w:pPr>
      <w:r w:rsidRPr="00601EEA">
        <w:rPr>
          <w:rStyle w:val="TextoNormalNegritaCaracter"/>
        </w:rPr>
        <w:t>Artículo 7 apartados 1, 2, 3 epígrafes a), b), c).</w:t>
      </w:r>
      <w:r w:rsidRPr="00601EEA">
        <w:rPr>
          <w:rStyle w:val="TextoNormalCaracter"/>
        </w:rPr>
        <w:t>-</w:t>
      </w:r>
      <w:r>
        <w:t xml:space="preserve"> Auto </w:t>
      </w:r>
      <w:hyperlink w:anchor="AUTO_2024_37" w:history="1">
        <w:r w:rsidRPr="00601EEA">
          <w:rPr>
            <w:rStyle w:val="TextoNormalCaracter"/>
          </w:rPr>
          <w:t>37/2024</w:t>
        </w:r>
      </w:hyperlink>
      <w:r>
        <w:t>.</w:t>
      </w:r>
    </w:p>
    <w:p w14:paraId="5CA52D77" w14:textId="3146C2F8" w:rsidR="00601EEA" w:rsidRDefault="00601EEA" w:rsidP="00601EEA">
      <w:pPr>
        <w:pStyle w:val="SangriaFrancesaArticulo"/>
      </w:pPr>
      <w:r w:rsidRPr="00601EEA">
        <w:rPr>
          <w:rStyle w:val="TextoNormalNegritaCaracter"/>
        </w:rPr>
        <w:t>Artículo 12 apartados 2 inciso "Las redes interiores podrán establecerse en cualquier nivel de tensión a efectos de autoconsumo", 3 inciso "y a establecer y operar redes interiores de cualquier nivel de tension para establecer sistemas de autoconsumo".</w:t>
      </w:r>
      <w:r w:rsidRPr="00601EEA">
        <w:rPr>
          <w:rStyle w:val="TextoNormalCaracter"/>
        </w:rPr>
        <w:t>-</w:t>
      </w:r>
      <w:r>
        <w:t xml:space="preserve"> Auto </w:t>
      </w:r>
      <w:hyperlink w:anchor="AUTO_2024_37" w:history="1">
        <w:r w:rsidRPr="00601EEA">
          <w:rPr>
            <w:rStyle w:val="TextoNormalCaracter"/>
          </w:rPr>
          <w:t>37/2024</w:t>
        </w:r>
      </w:hyperlink>
      <w:r>
        <w:t>.</w:t>
      </w:r>
    </w:p>
    <w:p w14:paraId="3D3DDFCB" w14:textId="66404450" w:rsidR="00601EEA" w:rsidRDefault="00601EEA" w:rsidP="00601EEA">
      <w:pPr>
        <w:pStyle w:val="SangriaFrancesaArticulo"/>
      </w:pPr>
      <w:r w:rsidRPr="00601EEA">
        <w:rPr>
          <w:rStyle w:val="TextoNormalNegritaCaracter"/>
        </w:rPr>
        <w:t>Artículo 13 apartados 2, 3, 4.</w:t>
      </w:r>
      <w:r w:rsidRPr="00601EEA">
        <w:rPr>
          <w:rStyle w:val="TextoNormalCaracter"/>
        </w:rPr>
        <w:t>-</w:t>
      </w:r>
      <w:r>
        <w:t xml:space="preserve"> Auto </w:t>
      </w:r>
      <w:hyperlink w:anchor="AUTO_2024_37" w:history="1">
        <w:r w:rsidRPr="00601EEA">
          <w:rPr>
            <w:rStyle w:val="TextoNormalCaracter"/>
          </w:rPr>
          <w:t>37/2024</w:t>
        </w:r>
      </w:hyperlink>
      <w:r>
        <w:t>.</w:t>
      </w:r>
    </w:p>
    <w:p w14:paraId="0475D107" w14:textId="4EAB3EC7" w:rsidR="00601EEA" w:rsidRDefault="00601EEA" w:rsidP="00601EEA">
      <w:pPr>
        <w:pStyle w:val="SangriaFrancesaArticulo"/>
      </w:pPr>
      <w:r w:rsidRPr="00601EEA">
        <w:rPr>
          <w:rStyle w:val="TextoNormalNegritaCaracter"/>
        </w:rPr>
        <w:t>Artículo 19.</w:t>
      </w:r>
      <w:r w:rsidRPr="00601EEA">
        <w:rPr>
          <w:rStyle w:val="TextoNormalCaracter"/>
        </w:rPr>
        <w:t>-</w:t>
      </w:r>
      <w:r>
        <w:t xml:space="preserve"> Auto </w:t>
      </w:r>
      <w:hyperlink w:anchor="AUTO_2024_37" w:history="1">
        <w:r w:rsidRPr="00601EEA">
          <w:rPr>
            <w:rStyle w:val="TextoNormalCaracter"/>
          </w:rPr>
          <w:t>37/2024</w:t>
        </w:r>
      </w:hyperlink>
      <w:r>
        <w:t>.</w:t>
      </w:r>
    </w:p>
    <w:p w14:paraId="78EDE44A" w14:textId="498C3CC5" w:rsidR="00601EEA" w:rsidRDefault="00601EEA" w:rsidP="00601EEA">
      <w:pPr>
        <w:pStyle w:val="SangriaFrancesaArticulo"/>
      </w:pPr>
      <w:r w:rsidRPr="00601EEA">
        <w:rPr>
          <w:rStyle w:val="TextoNormalNegritaCaracter"/>
        </w:rPr>
        <w:t>Artículo 22.2.</w:t>
      </w:r>
      <w:r w:rsidRPr="00601EEA">
        <w:rPr>
          <w:rStyle w:val="TextoNormalCaracter"/>
        </w:rPr>
        <w:t>-</w:t>
      </w:r>
      <w:r>
        <w:t xml:space="preserve"> Auto </w:t>
      </w:r>
      <w:hyperlink w:anchor="AUTO_2024_37" w:history="1">
        <w:r w:rsidRPr="00601EEA">
          <w:rPr>
            <w:rStyle w:val="TextoNormalCaracter"/>
          </w:rPr>
          <w:t>37/2024</w:t>
        </w:r>
      </w:hyperlink>
      <w:r>
        <w:t>.</w:t>
      </w:r>
    </w:p>
    <w:p w14:paraId="637AFAC5" w14:textId="1B082AAF" w:rsidR="00601EEA" w:rsidRDefault="00601EEA" w:rsidP="00601EEA">
      <w:pPr>
        <w:pStyle w:val="SangriaFrancesaArticulo"/>
      </w:pPr>
      <w:r w:rsidRPr="00601EEA">
        <w:rPr>
          <w:rStyle w:val="TextoNormalNegritaCaracter"/>
        </w:rPr>
        <w:t>Artículo 33.</w:t>
      </w:r>
      <w:r w:rsidRPr="00601EEA">
        <w:rPr>
          <w:rStyle w:val="TextoNormalCaracter"/>
        </w:rPr>
        <w:t>-</w:t>
      </w:r>
      <w:r>
        <w:t xml:space="preserve"> Auto </w:t>
      </w:r>
      <w:hyperlink w:anchor="AUTO_2024_37" w:history="1">
        <w:r w:rsidRPr="00601EEA">
          <w:rPr>
            <w:rStyle w:val="TextoNormalCaracter"/>
          </w:rPr>
          <w:t>37/2024</w:t>
        </w:r>
      </w:hyperlink>
      <w:r>
        <w:t>.</w:t>
      </w:r>
    </w:p>
    <w:p w14:paraId="62D3A301" w14:textId="15933BB6" w:rsidR="00601EEA" w:rsidRDefault="00601EEA" w:rsidP="00601EEA">
      <w:pPr>
        <w:pStyle w:val="SangriaFrancesaArticulo"/>
      </w:pPr>
      <w:r w:rsidRPr="00601EEA">
        <w:rPr>
          <w:rStyle w:val="TextoNormalNegritaCaracter"/>
        </w:rPr>
        <w:t>Artículo 38.</w:t>
      </w:r>
      <w:r w:rsidRPr="00601EEA">
        <w:rPr>
          <w:rStyle w:val="TextoNormalCaracter"/>
        </w:rPr>
        <w:t>-</w:t>
      </w:r>
      <w:r>
        <w:t xml:space="preserve"> Auto </w:t>
      </w:r>
      <w:hyperlink w:anchor="AUTO_2024_37" w:history="1">
        <w:r w:rsidRPr="00601EEA">
          <w:rPr>
            <w:rStyle w:val="TextoNormalCaracter"/>
          </w:rPr>
          <w:t>37/2024</w:t>
        </w:r>
      </w:hyperlink>
      <w:r>
        <w:t>.</w:t>
      </w:r>
    </w:p>
    <w:p w14:paraId="1E9AFDAB" w14:textId="79EDA723" w:rsidR="00601EEA" w:rsidRDefault="00601EEA" w:rsidP="00601EEA">
      <w:pPr>
        <w:pStyle w:val="SangriaFrancesaArticulo"/>
      </w:pPr>
      <w:r w:rsidRPr="00601EEA">
        <w:rPr>
          <w:rStyle w:val="TextoNormalNegritaCaracter"/>
        </w:rPr>
        <w:t>Artículo 39.</w:t>
      </w:r>
      <w:r w:rsidRPr="00601EEA">
        <w:rPr>
          <w:rStyle w:val="TextoNormalCaracter"/>
        </w:rPr>
        <w:t>-</w:t>
      </w:r>
      <w:r>
        <w:t xml:space="preserve"> Auto </w:t>
      </w:r>
      <w:hyperlink w:anchor="AUTO_2024_37" w:history="1">
        <w:r w:rsidRPr="00601EEA">
          <w:rPr>
            <w:rStyle w:val="TextoNormalCaracter"/>
          </w:rPr>
          <w:t>37/2024</w:t>
        </w:r>
      </w:hyperlink>
      <w:r>
        <w:t>.</w:t>
      </w:r>
    </w:p>
    <w:p w14:paraId="4A5919F7" w14:textId="71CF664F" w:rsidR="00601EEA" w:rsidRDefault="00601EEA" w:rsidP="00601EEA">
      <w:pPr>
        <w:pStyle w:val="SangriaFrancesaArticulo"/>
      </w:pPr>
      <w:r w:rsidRPr="00601EEA">
        <w:rPr>
          <w:rStyle w:val="TextoNormalNegritaCaracter"/>
        </w:rPr>
        <w:t>Artículo 40 apartados 2, 3.</w:t>
      </w:r>
      <w:r w:rsidRPr="00601EEA">
        <w:rPr>
          <w:rStyle w:val="TextoNormalCaracter"/>
        </w:rPr>
        <w:t>-</w:t>
      </w:r>
      <w:r>
        <w:t xml:space="preserve"> Auto </w:t>
      </w:r>
      <w:hyperlink w:anchor="AUTO_2024_37" w:history="1">
        <w:r w:rsidRPr="00601EEA">
          <w:rPr>
            <w:rStyle w:val="TextoNormalCaracter"/>
          </w:rPr>
          <w:t>37/2024</w:t>
        </w:r>
      </w:hyperlink>
      <w:r>
        <w:t>.</w:t>
      </w:r>
    </w:p>
    <w:p w14:paraId="001A0799" w14:textId="311D6742" w:rsidR="00601EEA" w:rsidRDefault="00601EEA" w:rsidP="00601EEA">
      <w:pPr>
        <w:pStyle w:val="SangriaFrancesaArticulo"/>
      </w:pPr>
      <w:r w:rsidRPr="00601EEA">
        <w:rPr>
          <w:rStyle w:val="TextoNormalNegritaCaracter"/>
        </w:rPr>
        <w:t>Artículo 59.</w:t>
      </w:r>
      <w:r w:rsidRPr="00601EEA">
        <w:rPr>
          <w:rStyle w:val="TextoNormalCaracter"/>
        </w:rPr>
        <w:t>-</w:t>
      </w:r>
      <w:r>
        <w:t xml:space="preserve"> Auto </w:t>
      </w:r>
      <w:hyperlink w:anchor="AUTO_2024_37" w:history="1">
        <w:r w:rsidRPr="00601EEA">
          <w:rPr>
            <w:rStyle w:val="TextoNormalCaracter"/>
          </w:rPr>
          <w:t>37/2024</w:t>
        </w:r>
      </w:hyperlink>
      <w:r>
        <w:t>.</w:t>
      </w:r>
    </w:p>
    <w:p w14:paraId="12FC5E52" w14:textId="6C6A68C1" w:rsidR="00601EEA" w:rsidRDefault="00601EEA" w:rsidP="00601EEA">
      <w:pPr>
        <w:pStyle w:val="SangriaFrancesaArticulo"/>
      </w:pPr>
      <w:r w:rsidRPr="00601EEA">
        <w:rPr>
          <w:rStyle w:val="TextoNormalNegritaCaracter"/>
        </w:rPr>
        <w:t>Disposición adicional cuarta.</w:t>
      </w:r>
      <w:r w:rsidRPr="00601EEA">
        <w:rPr>
          <w:rStyle w:val="TextoNormalCaracter"/>
        </w:rPr>
        <w:t>-</w:t>
      </w:r>
      <w:r>
        <w:t xml:space="preserve"> Auto </w:t>
      </w:r>
      <w:hyperlink w:anchor="AUTO_2024_37" w:history="1">
        <w:r w:rsidRPr="00601EEA">
          <w:rPr>
            <w:rStyle w:val="TextoNormalCaracter"/>
          </w:rPr>
          <w:t>37/2024</w:t>
        </w:r>
      </w:hyperlink>
      <w:r>
        <w:t>.</w:t>
      </w:r>
    </w:p>
    <w:p w14:paraId="6E8F6504" w14:textId="5EB87C30" w:rsidR="00601EEA" w:rsidRDefault="00601EEA" w:rsidP="00601EEA">
      <w:pPr>
        <w:pStyle w:val="SangriaFrancesaArticulo"/>
      </w:pPr>
      <w:r w:rsidRPr="00601EEA">
        <w:rPr>
          <w:rStyle w:val="TextoNormalNegritaCaracter"/>
        </w:rPr>
        <w:t>Disposición adicional quinta.</w:t>
      </w:r>
      <w:r w:rsidRPr="00601EEA">
        <w:rPr>
          <w:rStyle w:val="TextoNormalCaracter"/>
        </w:rPr>
        <w:t>-</w:t>
      </w:r>
      <w:r>
        <w:t xml:space="preserve"> Auto </w:t>
      </w:r>
      <w:hyperlink w:anchor="AUTO_2024_37" w:history="1">
        <w:r w:rsidRPr="00601EEA">
          <w:rPr>
            <w:rStyle w:val="TextoNormalCaracter"/>
          </w:rPr>
          <w:t>37/2024</w:t>
        </w:r>
      </w:hyperlink>
      <w:r>
        <w:t>.</w:t>
      </w:r>
    </w:p>
    <w:p w14:paraId="25C129F6" w14:textId="69B16AD2" w:rsidR="00601EEA" w:rsidRDefault="00601EEA" w:rsidP="00601EEA">
      <w:pPr>
        <w:pStyle w:val="SangriaFrancesaArticulo"/>
      </w:pPr>
      <w:r w:rsidRPr="00601EEA">
        <w:rPr>
          <w:rStyle w:val="TextoNormalNegritaCaracter"/>
        </w:rPr>
        <w:t>Disposición transitoria tercera.</w:t>
      </w:r>
      <w:r w:rsidRPr="00601EEA">
        <w:rPr>
          <w:rStyle w:val="TextoNormalCaracter"/>
        </w:rPr>
        <w:t>-</w:t>
      </w:r>
      <w:r>
        <w:t xml:space="preserve"> Auto </w:t>
      </w:r>
      <w:hyperlink w:anchor="AUTO_2024_37" w:history="1">
        <w:r w:rsidRPr="00601EEA">
          <w:rPr>
            <w:rStyle w:val="TextoNormalCaracter"/>
          </w:rPr>
          <w:t>37/2024</w:t>
        </w:r>
      </w:hyperlink>
      <w:r>
        <w:t>.</w:t>
      </w:r>
    </w:p>
    <w:p w14:paraId="00FF6097" w14:textId="602926C4" w:rsidR="00601EEA" w:rsidRDefault="00601EEA" w:rsidP="00601EEA">
      <w:pPr>
        <w:pStyle w:val="TextoNormal"/>
      </w:pPr>
    </w:p>
    <w:p w14:paraId="2B2B41D8" w14:textId="77777777" w:rsidR="00601EEA" w:rsidRDefault="00601EEA" w:rsidP="00601EEA">
      <w:pPr>
        <w:pStyle w:val="TextoNormalNegritaCentrado"/>
        <w:suppressAutoHyphens/>
      </w:pPr>
      <w:r w:rsidRPr="00601EEA">
        <w:rPr>
          <w:rStyle w:val="TextoNormalNegritaCentradoSombreado"/>
        </w:rPr>
        <w:lastRenderedPageBreak/>
        <w:t>B.3) Baleares</w:t>
      </w:r>
    </w:p>
    <w:p w14:paraId="4880822E" w14:textId="050EFDCD" w:rsidR="00601EEA" w:rsidRDefault="00601EEA" w:rsidP="00601EEA">
      <w:pPr>
        <w:pStyle w:val="TextoNormalNegritaCentrado"/>
      </w:pPr>
    </w:p>
    <w:p w14:paraId="466098BD" w14:textId="77777777" w:rsidR="00601EEA" w:rsidRDefault="00601EEA" w:rsidP="00601EEA">
      <w:pPr>
        <w:pStyle w:val="TextoNormalNegritaCursivandice"/>
        <w:keepNext/>
      </w:pPr>
      <w:r>
        <w:t>Comunidad Autónoma de las Illes Balears. Ley 8/2019, de 19 de febrero, de residuos y suelos contaminados de las Illes Balears</w:t>
      </w:r>
    </w:p>
    <w:p w14:paraId="7725802E" w14:textId="56665D51" w:rsidR="00601EEA" w:rsidRDefault="00601EEA" w:rsidP="00601EEA">
      <w:pPr>
        <w:pStyle w:val="SangriaFrancesaArticulo"/>
      </w:pPr>
      <w:r w:rsidRPr="00601EEA">
        <w:rPr>
          <w:rStyle w:val="TextoNormalNegritaCaracter"/>
        </w:rPr>
        <w:t>Artículo 2.2 c).</w:t>
      </w:r>
      <w:r w:rsidRPr="00601EEA">
        <w:rPr>
          <w:rStyle w:val="TextoNormalCaracter"/>
        </w:rPr>
        <w:t>-</w:t>
      </w:r>
      <w:r>
        <w:t xml:space="preserve"> Auto </w:t>
      </w:r>
      <w:hyperlink w:anchor="AUTO_2024_41" w:history="1">
        <w:r w:rsidRPr="00601EEA">
          <w:rPr>
            <w:rStyle w:val="TextoNormalCaracter"/>
          </w:rPr>
          <w:t>41/2024</w:t>
        </w:r>
      </w:hyperlink>
      <w:r>
        <w:t>.</w:t>
      </w:r>
    </w:p>
    <w:p w14:paraId="0F2DD9DE" w14:textId="6D0BC22F" w:rsidR="00601EEA" w:rsidRDefault="00601EEA" w:rsidP="00601EEA">
      <w:pPr>
        <w:pStyle w:val="TextoNormal"/>
      </w:pPr>
    </w:p>
    <w:p w14:paraId="34FEBD14" w14:textId="77777777" w:rsidR="00601EEA" w:rsidRDefault="00601EEA" w:rsidP="00601EEA">
      <w:pPr>
        <w:pStyle w:val="TextoNormalNegritaCentrado"/>
        <w:suppressAutoHyphens/>
      </w:pPr>
      <w:r w:rsidRPr="00601EEA">
        <w:rPr>
          <w:rStyle w:val="TextoNormalNegritaCentradoSombreado"/>
        </w:rPr>
        <w:t>B.4) Cataluña</w:t>
      </w:r>
    </w:p>
    <w:p w14:paraId="106248BD" w14:textId="258D3388" w:rsidR="00601EEA" w:rsidRDefault="00601EEA" w:rsidP="00601EEA">
      <w:pPr>
        <w:pStyle w:val="TextoNormalNegritaCentrado"/>
      </w:pPr>
    </w:p>
    <w:p w14:paraId="36F0CFA2" w14:textId="77777777" w:rsidR="00601EEA" w:rsidRDefault="00601EEA" w:rsidP="00601EEA">
      <w:pPr>
        <w:pStyle w:val="TextoNormalNegritaCursivandice"/>
        <w:keepNext/>
      </w:pPr>
      <w:r>
        <w:t>Comunidad Autónoma de Cataluña. Ley 17/2020, de 22 de diciembre, de modificación de la Ley 5/2008, del derecho de las mujeres a erradicar la violencia machista</w:t>
      </w:r>
    </w:p>
    <w:p w14:paraId="34288668" w14:textId="535938B4" w:rsidR="00601EEA" w:rsidRDefault="00601EEA" w:rsidP="00601EEA">
      <w:pPr>
        <w:pStyle w:val="SangriaFrancesaArticulo"/>
      </w:pPr>
      <w:r w:rsidRPr="00601EEA">
        <w:rPr>
          <w:rStyle w:val="TextoNormalNegritaCaracter"/>
        </w:rPr>
        <w:t>Artículo 1.</w:t>
      </w:r>
      <w:r w:rsidRPr="00601EEA">
        <w:rPr>
          <w:rStyle w:val="TextoNormalCaracter"/>
        </w:rPr>
        <w:t>-</w:t>
      </w:r>
      <w:r>
        <w:t xml:space="preserve"> Sentencia </w:t>
      </w:r>
      <w:hyperlink w:anchor="SENTENCIA_2024_44" w:history="1">
        <w:r w:rsidRPr="00601EEA">
          <w:rPr>
            <w:rStyle w:val="TextoNormalCaracter"/>
          </w:rPr>
          <w:t>44/2024</w:t>
        </w:r>
      </w:hyperlink>
      <w:r>
        <w:t>.</w:t>
      </w:r>
    </w:p>
    <w:p w14:paraId="0D5C185E" w14:textId="68884070" w:rsidR="00601EEA" w:rsidRDefault="00601EEA" w:rsidP="00601EEA">
      <w:pPr>
        <w:pStyle w:val="SangriaFrancesaArticulo"/>
      </w:pPr>
      <w:r w:rsidRPr="00601EEA">
        <w:rPr>
          <w:rStyle w:val="TextoNormalNegritaCaracter"/>
        </w:rPr>
        <w:t>Artículo 2.</w:t>
      </w:r>
      <w:r w:rsidRPr="00601EEA">
        <w:rPr>
          <w:rStyle w:val="TextoNormalCaracter"/>
        </w:rPr>
        <w:t>-</w:t>
      </w:r>
      <w:r>
        <w:t xml:space="preserve"> Sentencia </w:t>
      </w:r>
      <w:hyperlink w:anchor="SENTENCIA_2024_44" w:history="1">
        <w:r w:rsidRPr="00601EEA">
          <w:rPr>
            <w:rStyle w:val="TextoNormalCaracter"/>
          </w:rPr>
          <w:t>44/2024</w:t>
        </w:r>
      </w:hyperlink>
      <w:r>
        <w:t>.</w:t>
      </w:r>
    </w:p>
    <w:p w14:paraId="66C855CD" w14:textId="64718C49" w:rsidR="00601EEA" w:rsidRDefault="00601EEA" w:rsidP="00601EEA">
      <w:pPr>
        <w:pStyle w:val="SangriaFrancesaArticulo"/>
      </w:pPr>
      <w:r w:rsidRPr="00601EEA">
        <w:rPr>
          <w:rStyle w:val="TextoNormalNegritaCaracter"/>
        </w:rPr>
        <w:t>Artículo 3.</w:t>
      </w:r>
      <w:r w:rsidRPr="00601EEA">
        <w:rPr>
          <w:rStyle w:val="TextoNormalCaracter"/>
        </w:rPr>
        <w:t>-</w:t>
      </w:r>
      <w:r>
        <w:t xml:space="preserve"> Sentencia </w:t>
      </w:r>
      <w:hyperlink w:anchor="SENTENCIA_2024_44" w:history="1">
        <w:r w:rsidRPr="00601EEA">
          <w:rPr>
            <w:rStyle w:val="TextoNormalCaracter"/>
          </w:rPr>
          <w:t>44/2024</w:t>
        </w:r>
      </w:hyperlink>
      <w:r>
        <w:t>.</w:t>
      </w:r>
    </w:p>
    <w:p w14:paraId="780135AE" w14:textId="7D96517C" w:rsidR="00601EEA" w:rsidRDefault="00601EEA" w:rsidP="00601EEA">
      <w:pPr>
        <w:pStyle w:val="SangriaFrancesaArticulo"/>
      </w:pPr>
      <w:r w:rsidRPr="00601EEA">
        <w:rPr>
          <w:rStyle w:val="TextoNormalNegritaCaracter"/>
        </w:rPr>
        <w:t>Artículo 16.</w:t>
      </w:r>
      <w:r w:rsidRPr="00601EEA">
        <w:rPr>
          <w:rStyle w:val="TextoNormalCaracter"/>
        </w:rPr>
        <w:t>-</w:t>
      </w:r>
      <w:r>
        <w:t xml:space="preserve"> Sentencia </w:t>
      </w:r>
      <w:hyperlink w:anchor="SENTENCIA_2024_44" w:history="1">
        <w:r w:rsidRPr="00601EEA">
          <w:rPr>
            <w:rStyle w:val="TextoNormalCaracter"/>
          </w:rPr>
          <w:t>44/2024</w:t>
        </w:r>
      </w:hyperlink>
      <w:r>
        <w:t xml:space="preserve"> (anula).</w:t>
      </w:r>
    </w:p>
    <w:p w14:paraId="245CD9A2" w14:textId="1915E50F" w:rsidR="00601EEA" w:rsidRDefault="00601EEA" w:rsidP="00601EEA">
      <w:pPr>
        <w:pStyle w:val="TextoNormal"/>
      </w:pPr>
    </w:p>
    <w:p w14:paraId="06079327" w14:textId="77777777" w:rsidR="00601EEA" w:rsidRDefault="00601EEA" w:rsidP="00601EEA">
      <w:pPr>
        <w:pStyle w:val="TextoNormalNegritaCentrado"/>
        <w:suppressAutoHyphens/>
      </w:pPr>
      <w:r w:rsidRPr="00601EEA">
        <w:rPr>
          <w:rStyle w:val="TextoNormalNegritaCentradoSombreado"/>
        </w:rPr>
        <w:t>B.5) Galicia</w:t>
      </w:r>
    </w:p>
    <w:p w14:paraId="60AC8A13" w14:textId="5639E4B3" w:rsidR="00601EEA" w:rsidRDefault="00601EEA" w:rsidP="00601EEA">
      <w:pPr>
        <w:pStyle w:val="TextoNormalNegritaCentrado"/>
      </w:pPr>
    </w:p>
    <w:p w14:paraId="09AC73D2" w14:textId="77777777" w:rsidR="00601EEA" w:rsidRDefault="00601EEA" w:rsidP="00601EEA">
      <w:pPr>
        <w:pStyle w:val="TextoNormalNegritaCursivandice"/>
        <w:keepNext/>
      </w:pPr>
      <w:r>
        <w:t>Comunidad Autónoma de Galicia. Ley 7/2022, de 27 de diciembre, de medidas fiscales y administrativas</w:t>
      </w:r>
    </w:p>
    <w:p w14:paraId="52DA6250" w14:textId="0E48FAFD" w:rsidR="00601EEA" w:rsidRDefault="00601EEA" w:rsidP="00601EEA">
      <w:pPr>
        <w:pStyle w:val="SangriaFrancesaArticulo"/>
      </w:pPr>
      <w:r w:rsidRPr="00601EEA">
        <w:rPr>
          <w:rStyle w:val="TextoNormalNegritaCaracter"/>
        </w:rPr>
        <w:t>Artículo 10.</w:t>
      </w:r>
      <w:r w:rsidRPr="00601EEA">
        <w:rPr>
          <w:rStyle w:val="TextoNormalCaracter"/>
        </w:rPr>
        <w:t>-</w:t>
      </w:r>
      <w:r>
        <w:t xml:space="preserve"> Auto </w:t>
      </w:r>
      <w:hyperlink w:anchor="AUTO_2024_21" w:history="1">
        <w:r w:rsidRPr="00601EEA">
          <w:rPr>
            <w:rStyle w:val="TextoNormalCaracter"/>
          </w:rPr>
          <w:t>21/2024</w:t>
        </w:r>
      </w:hyperlink>
      <w:r>
        <w:t>.</w:t>
      </w:r>
    </w:p>
    <w:p w14:paraId="724BAF7B" w14:textId="1C256C1A" w:rsidR="00601EEA" w:rsidRDefault="00601EEA" w:rsidP="00601EEA">
      <w:pPr>
        <w:pStyle w:val="SangriaFrancesaArticulo"/>
      </w:pPr>
      <w:r w:rsidRPr="00601EEA">
        <w:rPr>
          <w:rStyle w:val="TextoNormalNegritaCaracter"/>
        </w:rPr>
        <w:t>Artículo 10.</w:t>
      </w:r>
      <w:r w:rsidRPr="00601EEA">
        <w:rPr>
          <w:rStyle w:val="TextoNormalCaracter"/>
        </w:rPr>
        <w:t>-</w:t>
      </w:r>
      <w:r>
        <w:t xml:space="preserve"> Sentencia </w:t>
      </w:r>
      <w:hyperlink w:anchor="SENTENCIA_2024_76" w:history="1">
        <w:r w:rsidRPr="00601EEA">
          <w:rPr>
            <w:rStyle w:val="TextoNormalCaracter"/>
          </w:rPr>
          <w:t>76/2024</w:t>
        </w:r>
      </w:hyperlink>
      <w:r>
        <w:t xml:space="preserve"> (anula).</w:t>
      </w:r>
    </w:p>
    <w:p w14:paraId="1F821DE6" w14:textId="0A2E391C" w:rsidR="00601EEA" w:rsidRDefault="00601EEA" w:rsidP="00601EEA">
      <w:pPr>
        <w:pStyle w:val="SangriaFrancesaArticulo"/>
      </w:pPr>
      <w:r w:rsidRPr="00601EEA">
        <w:rPr>
          <w:rStyle w:val="TextoNormalNegritaCaracter"/>
        </w:rPr>
        <w:t>Artículo 10.1, párrafo primero.</w:t>
      </w:r>
      <w:r w:rsidRPr="00601EEA">
        <w:rPr>
          <w:rStyle w:val="TextoNormalCaracter"/>
        </w:rPr>
        <w:t>-</w:t>
      </w:r>
      <w:r>
        <w:t xml:space="preserve"> Sentencia </w:t>
      </w:r>
      <w:hyperlink w:anchor="SENTENCIA_2024_91" w:history="1">
        <w:r w:rsidRPr="00601EEA">
          <w:rPr>
            <w:rStyle w:val="TextoNormalCaracter"/>
          </w:rPr>
          <w:t>91/2024</w:t>
        </w:r>
      </w:hyperlink>
      <w:r>
        <w:t>.</w:t>
      </w:r>
    </w:p>
    <w:p w14:paraId="7CA8367B" w14:textId="07FE8D6F" w:rsidR="00601EEA" w:rsidRDefault="00601EEA" w:rsidP="00601EEA">
      <w:pPr>
        <w:pStyle w:val="SangriaFrancesaArticulo"/>
      </w:pPr>
      <w:r w:rsidRPr="00601EEA">
        <w:rPr>
          <w:rStyle w:val="TextoNormalNegritaCaracter"/>
        </w:rPr>
        <w:t>Artículo 11.</w:t>
      </w:r>
      <w:r w:rsidRPr="00601EEA">
        <w:rPr>
          <w:rStyle w:val="TextoNormalCaracter"/>
        </w:rPr>
        <w:t>-</w:t>
      </w:r>
      <w:r>
        <w:t xml:space="preserve"> Auto </w:t>
      </w:r>
      <w:hyperlink w:anchor="AUTO_2024_21" w:history="1">
        <w:r w:rsidRPr="00601EEA">
          <w:rPr>
            <w:rStyle w:val="TextoNormalCaracter"/>
          </w:rPr>
          <w:t>21/2024</w:t>
        </w:r>
      </w:hyperlink>
      <w:r>
        <w:t>.</w:t>
      </w:r>
    </w:p>
    <w:p w14:paraId="66314863" w14:textId="26B9F15E" w:rsidR="00601EEA" w:rsidRDefault="00601EEA" w:rsidP="00601EEA">
      <w:pPr>
        <w:pStyle w:val="SangriaFrancesaArticulo"/>
      </w:pPr>
      <w:r w:rsidRPr="00601EEA">
        <w:rPr>
          <w:rStyle w:val="TextoNormalNegritaCaracter"/>
        </w:rPr>
        <w:t>Artículo 11.</w:t>
      </w:r>
      <w:r w:rsidRPr="00601EEA">
        <w:rPr>
          <w:rStyle w:val="TextoNormalCaracter"/>
        </w:rPr>
        <w:t>-</w:t>
      </w:r>
      <w:r>
        <w:t xml:space="preserve"> Sentencia </w:t>
      </w:r>
      <w:hyperlink w:anchor="SENTENCIA_2024_76" w:history="1">
        <w:r w:rsidRPr="00601EEA">
          <w:rPr>
            <w:rStyle w:val="TextoNormalCaracter"/>
          </w:rPr>
          <w:t>76/2024</w:t>
        </w:r>
      </w:hyperlink>
      <w:r>
        <w:t xml:space="preserve"> (anula).</w:t>
      </w:r>
    </w:p>
    <w:p w14:paraId="613328DB" w14:textId="328E5AC7" w:rsidR="00601EEA" w:rsidRDefault="00601EEA" w:rsidP="00601EEA">
      <w:pPr>
        <w:pStyle w:val="SangriaFrancesaArticulo"/>
      </w:pPr>
      <w:r w:rsidRPr="00601EEA">
        <w:rPr>
          <w:rStyle w:val="TextoNormalNegritaCaracter"/>
        </w:rPr>
        <w:t>Disposición transitoria primera.</w:t>
      </w:r>
      <w:r w:rsidRPr="00601EEA">
        <w:rPr>
          <w:rStyle w:val="TextoNormalCaracter"/>
        </w:rPr>
        <w:t>-</w:t>
      </w:r>
      <w:r>
        <w:t xml:space="preserve"> Auto </w:t>
      </w:r>
      <w:hyperlink w:anchor="AUTO_2024_21" w:history="1">
        <w:r w:rsidRPr="00601EEA">
          <w:rPr>
            <w:rStyle w:val="TextoNormalCaracter"/>
          </w:rPr>
          <w:t>21/2024</w:t>
        </w:r>
      </w:hyperlink>
      <w:r>
        <w:t>.</w:t>
      </w:r>
    </w:p>
    <w:p w14:paraId="5D4DB0D3" w14:textId="7282A02C" w:rsidR="00601EEA" w:rsidRDefault="00601EEA" w:rsidP="00601EEA">
      <w:pPr>
        <w:pStyle w:val="SangriaFrancesaArticulo"/>
      </w:pPr>
      <w:r w:rsidRPr="00601EEA">
        <w:rPr>
          <w:rStyle w:val="TextoNormalNegritaCaracter"/>
        </w:rPr>
        <w:t>Disposición transitoria primera.</w:t>
      </w:r>
      <w:r w:rsidRPr="00601EEA">
        <w:rPr>
          <w:rStyle w:val="TextoNormalCaracter"/>
        </w:rPr>
        <w:t>-</w:t>
      </w:r>
      <w:r>
        <w:t xml:space="preserve"> Sentencia </w:t>
      </w:r>
      <w:hyperlink w:anchor="SENTENCIA_2024_76" w:history="1">
        <w:r w:rsidRPr="00601EEA">
          <w:rPr>
            <w:rStyle w:val="TextoNormalCaracter"/>
          </w:rPr>
          <w:t>76/2024</w:t>
        </w:r>
      </w:hyperlink>
      <w:r>
        <w:t xml:space="preserve"> (anula).</w:t>
      </w:r>
    </w:p>
    <w:p w14:paraId="0903F53E" w14:textId="0AB8F539" w:rsidR="00601EEA" w:rsidRDefault="00601EEA" w:rsidP="00601EEA">
      <w:pPr>
        <w:pStyle w:val="SangriaFrancesaArticulo"/>
      </w:pPr>
      <w:r w:rsidRPr="00601EEA">
        <w:rPr>
          <w:rStyle w:val="TextoNormalNegritaCaracter"/>
        </w:rPr>
        <w:t>Disposición transitoria primera.</w:t>
      </w:r>
      <w:r w:rsidRPr="00601EEA">
        <w:rPr>
          <w:rStyle w:val="TextoNormalCaracter"/>
        </w:rPr>
        <w:t>-</w:t>
      </w:r>
      <w:r>
        <w:t xml:space="preserve"> Sentencia </w:t>
      </w:r>
      <w:hyperlink w:anchor="SENTENCIA_2024_91" w:history="1">
        <w:r w:rsidRPr="00601EEA">
          <w:rPr>
            <w:rStyle w:val="TextoNormalCaracter"/>
          </w:rPr>
          <w:t>91/2024</w:t>
        </w:r>
      </w:hyperlink>
      <w:r>
        <w:t>.</w:t>
      </w:r>
    </w:p>
    <w:p w14:paraId="108091A3" w14:textId="2F5FCB38" w:rsidR="00601EEA" w:rsidRDefault="00601EEA" w:rsidP="00601EEA">
      <w:pPr>
        <w:pStyle w:val="SangriaFrancesaArticulo"/>
      </w:pPr>
    </w:p>
    <w:p w14:paraId="5C3FAFA3" w14:textId="77777777" w:rsidR="00601EEA" w:rsidRDefault="00601EEA" w:rsidP="00601EEA">
      <w:pPr>
        <w:pStyle w:val="TextoNormalNegritaCursivandice"/>
        <w:keepNext/>
      </w:pPr>
      <w:r>
        <w:t>Comunidad Autónoma de Galicia. Ley 4/2023, de 6 de julio, de ordenación y gestión integrada del litoral de Galicia</w:t>
      </w:r>
    </w:p>
    <w:p w14:paraId="46FB409A" w14:textId="26CE1512" w:rsidR="00601EEA" w:rsidRDefault="00601EEA" w:rsidP="00601EEA">
      <w:pPr>
        <w:pStyle w:val="SangriaFrancesaArticulo"/>
        <w:keepNext/>
      </w:pPr>
      <w:r w:rsidRPr="00601EEA">
        <w:rPr>
          <w:rStyle w:val="TextoNormalNegritaCaracter"/>
        </w:rPr>
        <w:t>Artículo 1.2 d).</w:t>
      </w:r>
      <w:r w:rsidRPr="00601EEA">
        <w:rPr>
          <w:rStyle w:val="TextoNormalCaracter"/>
        </w:rPr>
        <w:t>-</w:t>
      </w:r>
      <w:r>
        <w:t xml:space="preserve"> Sentencia </w:t>
      </w:r>
      <w:hyperlink w:anchor="SENTENCIA_2024_68" w:history="1">
        <w:r w:rsidRPr="00601EEA">
          <w:rPr>
            <w:rStyle w:val="TextoNormalCaracter"/>
          </w:rPr>
          <w:t>68/2024</w:t>
        </w:r>
      </w:hyperlink>
      <w:r>
        <w:t>.</w:t>
      </w:r>
    </w:p>
    <w:p w14:paraId="06074870" w14:textId="5DFF02ED"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6DD212EB" w14:textId="7346A371" w:rsidR="00601EEA" w:rsidRDefault="00601EEA" w:rsidP="00601EEA">
      <w:pPr>
        <w:pStyle w:val="SangriaFrancesaArticulo"/>
      </w:pPr>
      <w:r w:rsidRPr="00601EEA">
        <w:rPr>
          <w:rStyle w:val="TextoNormalNegritaCaracter"/>
        </w:rPr>
        <w:t>Artículo 1.2 g).</w:t>
      </w:r>
      <w:r w:rsidRPr="00601EEA">
        <w:rPr>
          <w:rStyle w:val="TextoNormalCaracter"/>
        </w:rPr>
        <w:t>-</w:t>
      </w:r>
      <w:r>
        <w:t xml:space="preserve"> Sentencia </w:t>
      </w:r>
      <w:hyperlink w:anchor="SENTENCIA_2024_68" w:history="1">
        <w:r w:rsidRPr="00601EEA">
          <w:rPr>
            <w:rStyle w:val="TextoNormalCaracter"/>
          </w:rPr>
          <w:t>68/2024</w:t>
        </w:r>
      </w:hyperlink>
      <w:r>
        <w:t>.</w:t>
      </w:r>
    </w:p>
    <w:p w14:paraId="7EF4B034" w14:textId="1B4023D0"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3461ADBE" w14:textId="23320288" w:rsidR="00601EEA" w:rsidRDefault="00601EEA" w:rsidP="00601EEA">
      <w:pPr>
        <w:pStyle w:val="SangriaFrancesaArticulo"/>
      </w:pPr>
      <w:r w:rsidRPr="00601EEA">
        <w:rPr>
          <w:rStyle w:val="TextoNormalNegritaCaracter"/>
        </w:rPr>
        <w:t>Artículo 2.1.</w:t>
      </w:r>
      <w:r w:rsidRPr="00601EEA">
        <w:rPr>
          <w:rStyle w:val="TextoNormalCaracter"/>
        </w:rPr>
        <w:t>-</w:t>
      </w:r>
      <w:r>
        <w:t xml:space="preserve"> Sentencia </w:t>
      </w:r>
      <w:hyperlink w:anchor="SENTENCIA_2024_68" w:history="1">
        <w:r w:rsidRPr="00601EEA">
          <w:rPr>
            <w:rStyle w:val="TextoNormalCaracter"/>
          </w:rPr>
          <w:t>68/2024</w:t>
        </w:r>
      </w:hyperlink>
      <w:r>
        <w:t>.</w:t>
      </w:r>
    </w:p>
    <w:p w14:paraId="3D2EA729" w14:textId="57D43CE7"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4B716C53" w14:textId="0535E2EA" w:rsidR="00601EEA" w:rsidRDefault="00601EEA" w:rsidP="00601EEA">
      <w:pPr>
        <w:pStyle w:val="SangriaFrancesaArticulo"/>
      </w:pPr>
      <w:r w:rsidRPr="00601EEA">
        <w:rPr>
          <w:rStyle w:val="TextoNormalNegritaCaracter"/>
        </w:rPr>
        <w:t>Artículo 2.2.</w:t>
      </w:r>
      <w:r w:rsidRPr="00601EEA">
        <w:rPr>
          <w:rStyle w:val="TextoNormalCaracter"/>
        </w:rPr>
        <w:t>-</w:t>
      </w:r>
      <w:r>
        <w:t xml:space="preserve"> Sentencia </w:t>
      </w:r>
      <w:hyperlink w:anchor="SENTENCIA_2024_68" w:history="1">
        <w:r w:rsidRPr="00601EEA">
          <w:rPr>
            <w:rStyle w:val="TextoNormalCaracter"/>
          </w:rPr>
          <w:t>68/2024</w:t>
        </w:r>
      </w:hyperlink>
      <w:r>
        <w:t>.</w:t>
      </w:r>
    </w:p>
    <w:p w14:paraId="404BED92" w14:textId="28C5AE4C"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43393BA6" w14:textId="464A5C1C" w:rsidR="00601EEA" w:rsidRDefault="00601EEA" w:rsidP="00601EEA">
      <w:pPr>
        <w:pStyle w:val="SangriaFrancesaArticulo"/>
      </w:pPr>
      <w:r w:rsidRPr="00601EEA">
        <w:rPr>
          <w:rStyle w:val="TextoNormalNegritaCaracter"/>
        </w:rPr>
        <w:t>Artículo 3 a).</w:t>
      </w:r>
      <w:r w:rsidRPr="00601EEA">
        <w:rPr>
          <w:rStyle w:val="TextoNormalCaracter"/>
        </w:rPr>
        <w:t>-</w:t>
      </w:r>
      <w:r>
        <w:t xml:space="preserve"> Sentencia </w:t>
      </w:r>
      <w:hyperlink w:anchor="SENTENCIA_2024_68" w:history="1">
        <w:r w:rsidRPr="00601EEA">
          <w:rPr>
            <w:rStyle w:val="TextoNormalCaracter"/>
          </w:rPr>
          <w:t>68/2024</w:t>
        </w:r>
      </w:hyperlink>
      <w:r>
        <w:t>.</w:t>
      </w:r>
    </w:p>
    <w:p w14:paraId="18D4EC7E" w14:textId="1534CD22"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6AEF43F6" w14:textId="37FCA3CC" w:rsidR="00601EEA" w:rsidRDefault="00601EEA" w:rsidP="00601EEA">
      <w:pPr>
        <w:pStyle w:val="SangriaFrancesaArticulo"/>
      </w:pPr>
      <w:r w:rsidRPr="00601EEA">
        <w:rPr>
          <w:rStyle w:val="TextoNormalNegritaCaracter"/>
        </w:rPr>
        <w:t>Artículo 11.1.</w:t>
      </w:r>
      <w:r w:rsidRPr="00601EEA">
        <w:rPr>
          <w:rStyle w:val="TextoNormalCaracter"/>
        </w:rPr>
        <w:t>-</w:t>
      </w:r>
      <w:r>
        <w:t xml:space="preserve"> Sentencia </w:t>
      </w:r>
      <w:hyperlink w:anchor="SENTENCIA_2024_68" w:history="1">
        <w:r w:rsidRPr="00601EEA">
          <w:rPr>
            <w:rStyle w:val="TextoNormalCaracter"/>
          </w:rPr>
          <w:t>68/2024</w:t>
        </w:r>
      </w:hyperlink>
      <w:r>
        <w:t>.</w:t>
      </w:r>
    </w:p>
    <w:p w14:paraId="0E014CA3" w14:textId="33242834"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455212CF" w14:textId="62D5E146" w:rsidR="00601EEA" w:rsidRDefault="00601EEA" w:rsidP="00601EEA">
      <w:pPr>
        <w:pStyle w:val="SangriaFrancesaArticulo"/>
      </w:pPr>
      <w:r w:rsidRPr="00601EEA">
        <w:rPr>
          <w:rStyle w:val="TextoNormalNegritaCaracter"/>
        </w:rPr>
        <w:t>Artículo 11.4 b).</w:t>
      </w:r>
      <w:r w:rsidRPr="00601EEA">
        <w:rPr>
          <w:rStyle w:val="TextoNormalCaracter"/>
        </w:rPr>
        <w:t>-</w:t>
      </w:r>
      <w:r>
        <w:t xml:space="preserve"> Sentencia </w:t>
      </w:r>
      <w:hyperlink w:anchor="SENTENCIA_2024_68" w:history="1">
        <w:r w:rsidRPr="00601EEA">
          <w:rPr>
            <w:rStyle w:val="TextoNormalCaracter"/>
          </w:rPr>
          <w:t>68/2024</w:t>
        </w:r>
      </w:hyperlink>
      <w:r>
        <w:t>.</w:t>
      </w:r>
    </w:p>
    <w:p w14:paraId="158B46A1" w14:textId="3F6A70D8"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7BC3E56F" w14:textId="2B618E73" w:rsidR="00601EEA" w:rsidRDefault="00601EEA" w:rsidP="00601EEA">
      <w:pPr>
        <w:pStyle w:val="SangriaFrancesaArticulo"/>
      </w:pPr>
      <w:r w:rsidRPr="00601EEA">
        <w:rPr>
          <w:rStyle w:val="TextoNormalNegritaCaracter"/>
        </w:rPr>
        <w:lastRenderedPageBreak/>
        <w:t>Artículo 11.5 a).</w:t>
      </w:r>
      <w:r w:rsidRPr="00601EEA">
        <w:rPr>
          <w:rStyle w:val="TextoNormalCaracter"/>
        </w:rPr>
        <w:t>-</w:t>
      </w:r>
      <w:r>
        <w:t xml:space="preserve"> Sentencia </w:t>
      </w:r>
      <w:hyperlink w:anchor="SENTENCIA_2024_68" w:history="1">
        <w:r w:rsidRPr="00601EEA">
          <w:rPr>
            <w:rStyle w:val="TextoNormalCaracter"/>
          </w:rPr>
          <w:t>68/2024</w:t>
        </w:r>
      </w:hyperlink>
      <w:r>
        <w:t>.</w:t>
      </w:r>
    </w:p>
    <w:p w14:paraId="061F8E8E" w14:textId="2689F63E"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114A8E21" w14:textId="24F91B07" w:rsidR="00601EEA" w:rsidRDefault="00601EEA" w:rsidP="00601EEA">
      <w:pPr>
        <w:pStyle w:val="SangriaFrancesaArticulo"/>
      </w:pPr>
      <w:r w:rsidRPr="00601EEA">
        <w:rPr>
          <w:rStyle w:val="TextoNormalNegritaCaracter"/>
        </w:rPr>
        <w:t>Artículo 11.5 b).</w:t>
      </w:r>
      <w:r w:rsidRPr="00601EEA">
        <w:rPr>
          <w:rStyle w:val="TextoNormalCaracter"/>
        </w:rPr>
        <w:t>-</w:t>
      </w:r>
      <w:r>
        <w:t xml:space="preserve"> Sentencia </w:t>
      </w:r>
      <w:hyperlink w:anchor="SENTENCIA_2024_68" w:history="1">
        <w:r w:rsidRPr="00601EEA">
          <w:rPr>
            <w:rStyle w:val="TextoNormalCaracter"/>
          </w:rPr>
          <w:t>68/2024</w:t>
        </w:r>
      </w:hyperlink>
      <w:r>
        <w:t>.</w:t>
      </w:r>
    </w:p>
    <w:p w14:paraId="7A7B77A3" w14:textId="241E2346"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38855ABA" w14:textId="30A9BA3D" w:rsidR="00601EEA" w:rsidRDefault="00601EEA" w:rsidP="00601EEA">
      <w:pPr>
        <w:pStyle w:val="SangriaFrancesaArticulo"/>
      </w:pPr>
      <w:r w:rsidRPr="00601EEA">
        <w:rPr>
          <w:rStyle w:val="TextoNormalNegritaCaracter"/>
        </w:rPr>
        <w:t>Artículo 12.2.</w:t>
      </w:r>
      <w:r w:rsidRPr="00601EEA">
        <w:rPr>
          <w:rStyle w:val="TextoNormalCaracter"/>
        </w:rPr>
        <w:t>-</w:t>
      </w:r>
      <w:r>
        <w:t xml:space="preserve"> Sentencia </w:t>
      </w:r>
      <w:hyperlink w:anchor="SENTENCIA_2024_68" w:history="1">
        <w:r w:rsidRPr="00601EEA">
          <w:rPr>
            <w:rStyle w:val="TextoNormalCaracter"/>
          </w:rPr>
          <w:t>68/2024</w:t>
        </w:r>
      </w:hyperlink>
      <w:r>
        <w:t>.</w:t>
      </w:r>
    </w:p>
    <w:p w14:paraId="4C10457B" w14:textId="0660AEBD"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3461632E" w14:textId="2FA4EE76" w:rsidR="00601EEA" w:rsidRDefault="00601EEA" w:rsidP="00601EEA">
      <w:pPr>
        <w:pStyle w:val="SangriaFrancesaArticulo"/>
      </w:pPr>
      <w:r w:rsidRPr="00601EEA">
        <w:rPr>
          <w:rStyle w:val="TextoNormalNegritaCaracter"/>
        </w:rPr>
        <w:t>Artículo 12.5.</w:t>
      </w:r>
      <w:r w:rsidRPr="00601EEA">
        <w:rPr>
          <w:rStyle w:val="TextoNormalCaracter"/>
        </w:rPr>
        <w:t>-</w:t>
      </w:r>
      <w:r>
        <w:t xml:space="preserve"> Sentencia </w:t>
      </w:r>
      <w:hyperlink w:anchor="SENTENCIA_2024_68" w:history="1">
        <w:r w:rsidRPr="00601EEA">
          <w:rPr>
            <w:rStyle w:val="TextoNormalCaracter"/>
          </w:rPr>
          <w:t>68/2024</w:t>
        </w:r>
      </w:hyperlink>
      <w:r>
        <w:t>.</w:t>
      </w:r>
    </w:p>
    <w:p w14:paraId="18BB10F4" w14:textId="56DAE760"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48752C6C" w14:textId="2576D6BC" w:rsidR="00601EEA" w:rsidRDefault="00601EEA" w:rsidP="00601EEA">
      <w:pPr>
        <w:pStyle w:val="SangriaFrancesaArticulo"/>
      </w:pPr>
      <w:r w:rsidRPr="00601EEA">
        <w:rPr>
          <w:rStyle w:val="TextoNormalNegritaCaracter"/>
        </w:rPr>
        <w:t>Artículo 21.1 d).</w:t>
      </w:r>
      <w:r w:rsidRPr="00601EEA">
        <w:rPr>
          <w:rStyle w:val="TextoNormalCaracter"/>
        </w:rPr>
        <w:t>-</w:t>
      </w:r>
      <w:r>
        <w:t xml:space="preserve"> Sentencia </w:t>
      </w:r>
      <w:hyperlink w:anchor="SENTENCIA_2024_68" w:history="1">
        <w:r w:rsidRPr="00601EEA">
          <w:rPr>
            <w:rStyle w:val="TextoNormalCaracter"/>
          </w:rPr>
          <w:t>68/2024</w:t>
        </w:r>
      </w:hyperlink>
      <w:r>
        <w:t>.</w:t>
      </w:r>
    </w:p>
    <w:p w14:paraId="68FB83BF" w14:textId="0BFAF1C8"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643A2613" w14:textId="45F9D0A8" w:rsidR="00601EEA" w:rsidRDefault="00601EEA" w:rsidP="00601EEA">
      <w:pPr>
        <w:pStyle w:val="SangriaFrancesaArticulo"/>
      </w:pPr>
      <w:r w:rsidRPr="00601EEA">
        <w:rPr>
          <w:rStyle w:val="TextoNormalNegritaCaracter"/>
        </w:rPr>
        <w:t>Artículo 21.1 e).</w:t>
      </w:r>
      <w:r w:rsidRPr="00601EEA">
        <w:rPr>
          <w:rStyle w:val="TextoNormalCaracter"/>
        </w:rPr>
        <w:t>-</w:t>
      </w:r>
      <w:r>
        <w:t xml:space="preserve"> Sentencia </w:t>
      </w:r>
      <w:hyperlink w:anchor="SENTENCIA_2024_68" w:history="1">
        <w:r w:rsidRPr="00601EEA">
          <w:rPr>
            <w:rStyle w:val="TextoNormalCaracter"/>
          </w:rPr>
          <w:t>68/2024</w:t>
        </w:r>
      </w:hyperlink>
      <w:r>
        <w:t>.</w:t>
      </w:r>
    </w:p>
    <w:p w14:paraId="366A5C39" w14:textId="1F75C0D8"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0A8DC1AE" w14:textId="56F8D11F" w:rsidR="00601EEA" w:rsidRDefault="00601EEA" w:rsidP="00601EEA">
      <w:pPr>
        <w:pStyle w:val="SangriaFrancesaArticulo"/>
      </w:pPr>
      <w:r w:rsidRPr="00601EEA">
        <w:rPr>
          <w:rStyle w:val="TextoNormalNegritaCaracter"/>
        </w:rPr>
        <w:t>Artículo 22.1.</w:t>
      </w:r>
      <w:r w:rsidRPr="00601EEA">
        <w:rPr>
          <w:rStyle w:val="TextoNormalCaracter"/>
        </w:rPr>
        <w:t>-</w:t>
      </w:r>
      <w:r>
        <w:t xml:space="preserve"> Sentencia </w:t>
      </w:r>
      <w:hyperlink w:anchor="SENTENCIA_2024_68" w:history="1">
        <w:r w:rsidRPr="00601EEA">
          <w:rPr>
            <w:rStyle w:val="TextoNormalCaracter"/>
          </w:rPr>
          <w:t>68/2024</w:t>
        </w:r>
      </w:hyperlink>
      <w:r>
        <w:t>.</w:t>
      </w:r>
    </w:p>
    <w:p w14:paraId="457A6772" w14:textId="1C9085A8"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231128DB" w14:textId="2126832A" w:rsidR="00601EEA" w:rsidRDefault="00601EEA" w:rsidP="00601EEA">
      <w:pPr>
        <w:pStyle w:val="SangriaFrancesaArticulo"/>
      </w:pPr>
      <w:r w:rsidRPr="00601EEA">
        <w:rPr>
          <w:rStyle w:val="TextoNormalNegritaCaracter"/>
        </w:rPr>
        <w:t>Artículo 22.2 a).</w:t>
      </w:r>
      <w:r w:rsidRPr="00601EEA">
        <w:rPr>
          <w:rStyle w:val="TextoNormalCaracter"/>
        </w:rPr>
        <w:t>-</w:t>
      </w:r>
      <w:r>
        <w:t xml:space="preserve"> Sentencia </w:t>
      </w:r>
      <w:hyperlink w:anchor="SENTENCIA_2024_68" w:history="1">
        <w:r w:rsidRPr="00601EEA">
          <w:rPr>
            <w:rStyle w:val="TextoNormalCaracter"/>
          </w:rPr>
          <w:t>68/2024</w:t>
        </w:r>
      </w:hyperlink>
      <w:r>
        <w:t>.</w:t>
      </w:r>
    </w:p>
    <w:p w14:paraId="1E8342BF" w14:textId="47FF72D3"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0388DAC1" w14:textId="29BD42E8" w:rsidR="00601EEA" w:rsidRDefault="00601EEA" w:rsidP="00601EEA">
      <w:pPr>
        <w:pStyle w:val="SangriaFrancesaArticulo"/>
      </w:pPr>
      <w:r w:rsidRPr="00601EEA">
        <w:rPr>
          <w:rStyle w:val="TextoNormalNegritaCaracter"/>
        </w:rPr>
        <w:t>Artículo 22.2 b).</w:t>
      </w:r>
      <w:r w:rsidRPr="00601EEA">
        <w:rPr>
          <w:rStyle w:val="TextoNormalCaracter"/>
        </w:rPr>
        <w:t>-</w:t>
      </w:r>
      <w:r>
        <w:t xml:space="preserve"> Sentencia </w:t>
      </w:r>
      <w:hyperlink w:anchor="SENTENCIA_2024_68" w:history="1">
        <w:r w:rsidRPr="00601EEA">
          <w:rPr>
            <w:rStyle w:val="TextoNormalCaracter"/>
          </w:rPr>
          <w:t>68/2024</w:t>
        </w:r>
      </w:hyperlink>
      <w:r>
        <w:t>.</w:t>
      </w:r>
    </w:p>
    <w:p w14:paraId="43CFBB94" w14:textId="633D23DC"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23193682" w14:textId="6DA535FD" w:rsidR="00601EEA" w:rsidRDefault="00601EEA" w:rsidP="00601EEA">
      <w:pPr>
        <w:pStyle w:val="SangriaFrancesaArticulo"/>
      </w:pPr>
      <w:r w:rsidRPr="00601EEA">
        <w:rPr>
          <w:rStyle w:val="TextoNormalNegritaCaracter"/>
        </w:rPr>
        <w:t>Artículo 22.2 c).</w:t>
      </w:r>
      <w:r w:rsidRPr="00601EEA">
        <w:rPr>
          <w:rStyle w:val="TextoNormalCaracter"/>
        </w:rPr>
        <w:t>-</w:t>
      </w:r>
      <w:r>
        <w:t xml:space="preserve"> Sentencia </w:t>
      </w:r>
      <w:hyperlink w:anchor="SENTENCIA_2024_68" w:history="1">
        <w:r w:rsidRPr="00601EEA">
          <w:rPr>
            <w:rStyle w:val="TextoNormalCaracter"/>
          </w:rPr>
          <w:t>68/2024</w:t>
        </w:r>
      </w:hyperlink>
      <w:r>
        <w:t>.</w:t>
      </w:r>
    </w:p>
    <w:p w14:paraId="7D851218" w14:textId="5D569A3F"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2F45EF24" w14:textId="28529C8D" w:rsidR="00601EEA" w:rsidRDefault="00601EEA" w:rsidP="00601EEA">
      <w:pPr>
        <w:pStyle w:val="SangriaFrancesaArticulo"/>
      </w:pPr>
      <w:r w:rsidRPr="00601EEA">
        <w:rPr>
          <w:rStyle w:val="TextoNormalNegritaCaracter"/>
        </w:rPr>
        <w:t>Artículo 22.2 d).</w:t>
      </w:r>
      <w:r w:rsidRPr="00601EEA">
        <w:rPr>
          <w:rStyle w:val="TextoNormalCaracter"/>
        </w:rPr>
        <w:t>-</w:t>
      </w:r>
      <w:r>
        <w:t xml:space="preserve"> Sentencia </w:t>
      </w:r>
      <w:hyperlink w:anchor="SENTENCIA_2024_68" w:history="1">
        <w:r w:rsidRPr="00601EEA">
          <w:rPr>
            <w:rStyle w:val="TextoNormalCaracter"/>
          </w:rPr>
          <w:t>68/2024</w:t>
        </w:r>
      </w:hyperlink>
      <w:r>
        <w:t>.</w:t>
      </w:r>
    </w:p>
    <w:p w14:paraId="670AC2DB" w14:textId="01B2366E"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292F6CA8" w14:textId="56264BF9" w:rsidR="00601EEA" w:rsidRDefault="00601EEA" w:rsidP="00601EEA">
      <w:pPr>
        <w:pStyle w:val="SangriaFrancesaArticulo"/>
      </w:pPr>
      <w:r w:rsidRPr="00601EEA">
        <w:rPr>
          <w:rStyle w:val="TextoNormalNegritaCaracter"/>
        </w:rPr>
        <w:t>Artículo 23.2 d).</w:t>
      </w:r>
      <w:r w:rsidRPr="00601EEA">
        <w:rPr>
          <w:rStyle w:val="TextoNormalCaracter"/>
        </w:rPr>
        <w:t>-</w:t>
      </w:r>
      <w:r>
        <w:t xml:space="preserve"> Sentencia </w:t>
      </w:r>
      <w:hyperlink w:anchor="SENTENCIA_2024_68" w:history="1">
        <w:r w:rsidRPr="00601EEA">
          <w:rPr>
            <w:rStyle w:val="TextoNormalCaracter"/>
          </w:rPr>
          <w:t>68/2024</w:t>
        </w:r>
      </w:hyperlink>
      <w:r>
        <w:t>.</w:t>
      </w:r>
    </w:p>
    <w:p w14:paraId="5F9F757E" w14:textId="7931D328"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517C368A" w14:textId="1C7BDB92" w:rsidR="00601EEA" w:rsidRDefault="00601EEA" w:rsidP="00601EEA">
      <w:pPr>
        <w:pStyle w:val="SangriaFrancesaArticulo"/>
      </w:pPr>
      <w:r w:rsidRPr="00601EEA">
        <w:rPr>
          <w:rStyle w:val="TextoNormalNegritaCaracter"/>
        </w:rPr>
        <w:t>Artículo 23.2 g).</w:t>
      </w:r>
      <w:r w:rsidRPr="00601EEA">
        <w:rPr>
          <w:rStyle w:val="TextoNormalCaracter"/>
        </w:rPr>
        <w:t>-</w:t>
      </w:r>
      <w:r>
        <w:t xml:space="preserve"> Sentencia </w:t>
      </w:r>
      <w:hyperlink w:anchor="SENTENCIA_2024_68" w:history="1">
        <w:r w:rsidRPr="00601EEA">
          <w:rPr>
            <w:rStyle w:val="TextoNormalCaracter"/>
          </w:rPr>
          <w:t>68/2024</w:t>
        </w:r>
      </w:hyperlink>
      <w:r>
        <w:t>.</w:t>
      </w:r>
    </w:p>
    <w:p w14:paraId="5F73D2EE" w14:textId="2BEE5AF8"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4D705016" w14:textId="6DF479BC" w:rsidR="00601EEA" w:rsidRDefault="00601EEA" w:rsidP="00601EEA">
      <w:pPr>
        <w:pStyle w:val="SangriaFrancesaArticulo"/>
      </w:pPr>
      <w:r w:rsidRPr="00601EEA">
        <w:rPr>
          <w:rStyle w:val="TextoNormalNegritaCaracter"/>
        </w:rPr>
        <w:t>Artículo 23.2 i).</w:t>
      </w:r>
      <w:r w:rsidRPr="00601EEA">
        <w:rPr>
          <w:rStyle w:val="TextoNormalCaracter"/>
        </w:rPr>
        <w:t>-</w:t>
      </w:r>
      <w:r>
        <w:t xml:space="preserve"> Sentencia </w:t>
      </w:r>
      <w:hyperlink w:anchor="SENTENCIA_2024_68" w:history="1">
        <w:r w:rsidRPr="00601EEA">
          <w:rPr>
            <w:rStyle w:val="TextoNormalCaracter"/>
          </w:rPr>
          <w:t>68/2024</w:t>
        </w:r>
      </w:hyperlink>
      <w:r>
        <w:t>.</w:t>
      </w:r>
    </w:p>
    <w:p w14:paraId="29881593" w14:textId="45F4AAD1"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50314E4A" w14:textId="249BC698" w:rsidR="00601EEA" w:rsidRDefault="00601EEA" w:rsidP="00601EEA">
      <w:pPr>
        <w:pStyle w:val="SangriaFrancesaArticulo"/>
      </w:pPr>
      <w:r w:rsidRPr="00601EEA">
        <w:rPr>
          <w:rStyle w:val="TextoNormalNegritaCaracter"/>
        </w:rPr>
        <w:t>Artículo 23.2 m).</w:t>
      </w:r>
      <w:r w:rsidRPr="00601EEA">
        <w:rPr>
          <w:rStyle w:val="TextoNormalCaracter"/>
        </w:rPr>
        <w:t>-</w:t>
      </w:r>
      <w:r>
        <w:t xml:space="preserve"> Sentencia </w:t>
      </w:r>
      <w:hyperlink w:anchor="SENTENCIA_2024_68" w:history="1">
        <w:r w:rsidRPr="00601EEA">
          <w:rPr>
            <w:rStyle w:val="TextoNormalCaracter"/>
          </w:rPr>
          <w:t>68/2024</w:t>
        </w:r>
      </w:hyperlink>
      <w:r>
        <w:t>.</w:t>
      </w:r>
    </w:p>
    <w:p w14:paraId="682B47AF" w14:textId="5B453ABC"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0CAC718A" w14:textId="1E006577" w:rsidR="00601EEA" w:rsidRDefault="00601EEA" w:rsidP="00601EEA">
      <w:pPr>
        <w:pStyle w:val="SangriaFrancesaArticulo"/>
      </w:pPr>
      <w:r w:rsidRPr="00601EEA">
        <w:rPr>
          <w:rStyle w:val="TextoNormalNegritaCaracter"/>
        </w:rPr>
        <w:t>Artículo 24.3 c).</w:t>
      </w:r>
      <w:r w:rsidRPr="00601EEA">
        <w:rPr>
          <w:rStyle w:val="TextoNormalCaracter"/>
        </w:rPr>
        <w:t>-</w:t>
      </w:r>
      <w:r>
        <w:t xml:space="preserve"> Sentencia </w:t>
      </w:r>
      <w:hyperlink w:anchor="SENTENCIA_2024_68" w:history="1">
        <w:r w:rsidRPr="00601EEA">
          <w:rPr>
            <w:rStyle w:val="TextoNormalCaracter"/>
          </w:rPr>
          <w:t>68/2024</w:t>
        </w:r>
      </w:hyperlink>
      <w:r>
        <w:t>.</w:t>
      </w:r>
    </w:p>
    <w:p w14:paraId="5F5D6F1A" w14:textId="5606F200"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1006DA49" w14:textId="33B20FE2" w:rsidR="00601EEA" w:rsidRDefault="00601EEA" w:rsidP="00601EEA">
      <w:pPr>
        <w:pStyle w:val="SangriaFrancesaArticulo"/>
      </w:pPr>
      <w:r w:rsidRPr="00601EEA">
        <w:rPr>
          <w:rStyle w:val="TextoNormalNegritaCaracter"/>
        </w:rPr>
        <w:t>Artículo 24.3 e).</w:t>
      </w:r>
      <w:r w:rsidRPr="00601EEA">
        <w:rPr>
          <w:rStyle w:val="TextoNormalCaracter"/>
        </w:rPr>
        <w:t>-</w:t>
      </w:r>
      <w:r>
        <w:t xml:space="preserve"> Sentencia </w:t>
      </w:r>
      <w:hyperlink w:anchor="SENTENCIA_2024_68" w:history="1">
        <w:r w:rsidRPr="00601EEA">
          <w:rPr>
            <w:rStyle w:val="TextoNormalCaracter"/>
          </w:rPr>
          <w:t>68/2024</w:t>
        </w:r>
      </w:hyperlink>
      <w:r>
        <w:t>.</w:t>
      </w:r>
    </w:p>
    <w:p w14:paraId="47CFE73F" w14:textId="28D256FD"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150D9611" w14:textId="0CA10092" w:rsidR="00601EEA" w:rsidRDefault="00601EEA" w:rsidP="00601EEA">
      <w:pPr>
        <w:pStyle w:val="SangriaFrancesaArticulo"/>
      </w:pPr>
      <w:r w:rsidRPr="00601EEA">
        <w:rPr>
          <w:rStyle w:val="TextoNormalNegritaCaracter"/>
        </w:rPr>
        <w:t>Artículo 24.3 f).</w:t>
      </w:r>
      <w:r w:rsidRPr="00601EEA">
        <w:rPr>
          <w:rStyle w:val="TextoNormalCaracter"/>
        </w:rPr>
        <w:t>-</w:t>
      </w:r>
      <w:r>
        <w:t xml:space="preserve"> Sentencia </w:t>
      </w:r>
      <w:hyperlink w:anchor="SENTENCIA_2024_68" w:history="1">
        <w:r w:rsidRPr="00601EEA">
          <w:rPr>
            <w:rStyle w:val="TextoNormalCaracter"/>
          </w:rPr>
          <w:t>68/2024</w:t>
        </w:r>
      </w:hyperlink>
      <w:r>
        <w:t>.</w:t>
      </w:r>
    </w:p>
    <w:p w14:paraId="6F82E83D" w14:textId="0679BB29"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34B99BAF" w14:textId="1AF9BB5F" w:rsidR="00601EEA" w:rsidRDefault="00601EEA" w:rsidP="00601EEA">
      <w:pPr>
        <w:pStyle w:val="SangriaFrancesaArticulo"/>
      </w:pPr>
      <w:r w:rsidRPr="00601EEA">
        <w:rPr>
          <w:rStyle w:val="TextoNormalNegritaCaracter"/>
        </w:rPr>
        <w:t>Artículo 25.1 a).</w:t>
      </w:r>
      <w:r w:rsidRPr="00601EEA">
        <w:rPr>
          <w:rStyle w:val="TextoNormalCaracter"/>
        </w:rPr>
        <w:t>-</w:t>
      </w:r>
      <w:r>
        <w:t xml:space="preserve"> Sentencia </w:t>
      </w:r>
      <w:hyperlink w:anchor="SENTENCIA_2024_68" w:history="1">
        <w:r w:rsidRPr="00601EEA">
          <w:rPr>
            <w:rStyle w:val="TextoNormalCaracter"/>
          </w:rPr>
          <w:t>68/2024</w:t>
        </w:r>
      </w:hyperlink>
      <w:r>
        <w:t>.</w:t>
      </w:r>
    </w:p>
    <w:p w14:paraId="4BE693E3" w14:textId="086330CB"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1894156A" w14:textId="21447C91" w:rsidR="00601EEA" w:rsidRDefault="00601EEA" w:rsidP="00601EEA">
      <w:pPr>
        <w:pStyle w:val="SangriaFrancesaArticulo"/>
      </w:pPr>
      <w:r w:rsidRPr="00601EEA">
        <w:rPr>
          <w:rStyle w:val="TextoNormalNegritaCaracter"/>
        </w:rPr>
        <w:t>Artículo 25.1 b).</w:t>
      </w:r>
      <w:r w:rsidRPr="00601EEA">
        <w:rPr>
          <w:rStyle w:val="TextoNormalCaracter"/>
        </w:rPr>
        <w:t>-</w:t>
      </w:r>
      <w:r>
        <w:t xml:space="preserve"> Sentencia </w:t>
      </w:r>
      <w:hyperlink w:anchor="SENTENCIA_2024_68" w:history="1">
        <w:r w:rsidRPr="00601EEA">
          <w:rPr>
            <w:rStyle w:val="TextoNormalCaracter"/>
          </w:rPr>
          <w:t>68/2024</w:t>
        </w:r>
      </w:hyperlink>
      <w:r>
        <w:t>.</w:t>
      </w:r>
    </w:p>
    <w:p w14:paraId="4B933938" w14:textId="1C4904C9"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49C1A452" w14:textId="6F29CA4A" w:rsidR="00601EEA" w:rsidRDefault="00601EEA" w:rsidP="00601EEA">
      <w:pPr>
        <w:pStyle w:val="SangriaFrancesaArticulo"/>
      </w:pPr>
      <w:r w:rsidRPr="00601EEA">
        <w:rPr>
          <w:rStyle w:val="TextoNormalNegritaCaracter"/>
        </w:rPr>
        <w:t>Artículo 25.1 c).</w:t>
      </w:r>
      <w:r w:rsidRPr="00601EEA">
        <w:rPr>
          <w:rStyle w:val="TextoNormalCaracter"/>
        </w:rPr>
        <w:t>-</w:t>
      </w:r>
      <w:r>
        <w:t xml:space="preserve"> Sentencia </w:t>
      </w:r>
      <w:hyperlink w:anchor="SENTENCIA_2024_68" w:history="1">
        <w:r w:rsidRPr="00601EEA">
          <w:rPr>
            <w:rStyle w:val="TextoNormalCaracter"/>
          </w:rPr>
          <w:t>68/2024</w:t>
        </w:r>
      </w:hyperlink>
      <w:r>
        <w:t>.</w:t>
      </w:r>
    </w:p>
    <w:p w14:paraId="72BA054E" w14:textId="3D4B5814"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7FA8E503" w14:textId="5D9ED367" w:rsidR="00601EEA" w:rsidRDefault="00601EEA" w:rsidP="00601EEA">
      <w:pPr>
        <w:pStyle w:val="SangriaFrancesaArticulo"/>
      </w:pPr>
      <w:r w:rsidRPr="00601EEA">
        <w:rPr>
          <w:rStyle w:val="TextoNormalNegritaCaracter"/>
        </w:rPr>
        <w:t>Artículo 25.1 d).</w:t>
      </w:r>
      <w:r w:rsidRPr="00601EEA">
        <w:rPr>
          <w:rStyle w:val="TextoNormalCaracter"/>
        </w:rPr>
        <w:t>-</w:t>
      </w:r>
      <w:r>
        <w:t xml:space="preserve"> Sentencia </w:t>
      </w:r>
      <w:hyperlink w:anchor="SENTENCIA_2024_68" w:history="1">
        <w:r w:rsidRPr="00601EEA">
          <w:rPr>
            <w:rStyle w:val="TextoNormalCaracter"/>
          </w:rPr>
          <w:t>68/2024</w:t>
        </w:r>
      </w:hyperlink>
      <w:r>
        <w:t>.</w:t>
      </w:r>
    </w:p>
    <w:p w14:paraId="77BF1A0C" w14:textId="551ABBEA"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135A3B67" w14:textId="2C027D3F" w:rsidR="00601EEA" w:rsidRDefault="00601EEA" w:rsidP="00601EEA">
      <w:pPr>
        <w:pStyle w:val="SangriaFrancesaArticulo"/>
      </w:pPr>
      <w:r w:rsidRPr="00601EEA">
        <w:rPr>
          <w:rStyle w:val="TextoNormalNegritaCaracter"/>
        </w:rPr>
        <w:t>Artículo 27.3 c).</w:t>
      </w:r>
      <w:r w:rsidRPr="00601EEA">
        <w:rPr>
          <w:rStyle w:val="TextoNormalCaracter"/>
        </w:rPr>
        <w:t>-</w:t>
      </w:r>
      <w:r>
        <w:t xml:space="preserve"> Sentencia </w:t>
      </w:r>
      <w:hyperlink w:anchor="SENTENCIA_2024_68" w:history="1">
        <w:r w:rsidRPr="00601EEA">
          <w:rPr>
            <w:rStyle w:val="TextoNormalCaracter"/>
          </w:rPr>
          <w:t>68/2024</w:t>
        </w:r>
      </w:hyperlink>
      <w:r>
        <w:t>.</w:t>
      </w:r>
    </w:p>
    <w:p w14:paraId="7637FB51" w14:textId="453677EB"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176953A5" w14:textId="294FE53B" w:rsidR="00601EEA" w:rsidRDefault="00601EEA" w:rsidP="00601EEA">
      <w:pPr>
        <w:pStyle w:val="SangriaFrancesaArticulo"/>
      </w:pPr>
      <w:r w:rsidRPr="00601EEA">
        <w:rPr>
          <w:rStyle w:val="TextoNormalNegritaCaracter"/>
        </w:rPr>
        <w:t>Artículo 29.1.</w:t>
      </w:r>
      <w:r w:rsidRPr="00601EEA">
        <w:rPr>
          <w:rStyle w:val="TextoNormalCaracter"/>
        </w:rPr>
        <w:t>-</w:t>
      </w:r>
      <w:r>
        <w:t xml:space="preserve"> Sentencia </w:t>
      </w:r>
      <w:hyperlink w:anchor="SENTENCIA_2024_68" w:history="1">
        <w:r w:rsidRPr="00601EEA">
          <w:rPr>
            <w:rStyle w:val="TextoNormalCaracter"/>
          </w:rPr>
          <w:t>68/2024</w:t>
        </w:r>
      </w:hyperlink>
      <w:r>
        <w:t>.</w:t>
      </w:r>
    </w:p>
    <w:p w14:paraId="4A2B312E" w14:textId="19178DC1"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3AFD18C3" w14:textId="3A814926" w:rsidR="00601EEA" w:rsidRDefault="00601EEA" w:rsidP="00601EEA">
      <w:pPr>
        <w:pStyle w:val="SangriaFrancesaArticulo"/>
      </w:pPr>
      <w:r w:rsidRPr="00601EEA">
        <w:rPr>
          <w:rStyle w:val="TextoNormalNegritaCaracter"/>
        </w:rPr>
        <w:lastRenderedPageBreak/>
        <w:t>Artículo 34.2 a).</w:t>
      </w:r>
      <w:r w:rsidRPr="00601EEA">
        <w:rPr>
          <w:rStyle w:val="TextoNormalCaracter"/>
        </w:rPr>
        <w:t>-</w:t>
      </w:r>
      <w:r>
        <w:t xml:space="preserve"> Sentencia </w:t>
      </w:r>
      <w:hyperlink w:anchor="SENTENCIA_2024_68" w:history="1">
        <w:r w:rsidRPr="00601EEA">
          <w:rPr>
            <w:rStyle w:val="TextoNormalCaracter"/>
          </w:rPr>
          <w:t>68/2024</w:t>
        </w:r>
      </w:hyperlink>
      <w:r>
        <w:t>.</w:t>
      </w:r>
    </w:p>
    <w:p w14:paraId="2DD837AC" w14:textId="6114CF0C"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22A38016" w14:textId="00AC298A" w:rsidR="00601EEA" w:rsidRDefault="00601EEA" w:rsidP="00601EEA">
      <w:pPr>
        <w:pStyle w:val="SangriaFrancesaArticulo"/>
      </w:pPr>
      <w:r w:rsidRPr="00601EEA">
        <w:rPr>
          <w:rStyle w:val="TextoNormalNegritaCaracter"/>
        </w:rPr>
        <w:t>Artículo 34.2 b).</w:t>
      </w:r>
      <w:r w:rsidRPr="00601EEA">
        <w:rPr>
          <w:rStyle w:val="TextoNormalCaracter"/>
        </w:rPr>
        <w:t>-</w:t>
      </w:r>
      <w:r>
        <w:t xml:space="preserve"> Sentencia </w:t>
      </w:r>
      <w:hyperlink w:anchor="SENTENCIA_2024_68" w:history="1">
        <w:r w:rsidRPr="00601EEA">
          <w:rPr>
            <w:rStyle w:val="TextoNormalCaracter"/>
          </w:rPr>
          <w:t>68/2024</w:t>
        </w:r>
      </w:hyperlink>
      <w:r>
        <w:t>.</w:t>
      </w:r>
    </w:p>
    <w:p w14:paraId="6C4534A3" w14:textId="0BB0692E"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7FDDC50E" w14:textId="45C04B6A" w:rsidR="00601EEA" w:rsidRDefault="00601EEA" w:rsidP="00601EEA">
      <w:pPr>
        <w:pStyle w:val="SangriaFrancesaArticulo"/>
      </w:pPr>
      <w:r w:rsidRPr="00601EEA">
        <w:rPr>
          <w:rStyle w:val="TextoNormalNegritaCaracter"/>
        </w:rPr>
        <w:t>Artículo 34.3.</w:t>
      </w:r>
      <w:r w:rsidRPr="00601EEA">
        <w:rPr>
          <w:rStyle w:val="TextoNormalCaracter"/>
        </w:rPr>
        <w:t>-</w:t>
      </w:r>
      <w:r>
        <w:t xml:space="preserve"> Sentencia </w:t>
      </w:r>
      <w:hyperlink w:anchor="SENTENCIA_2024_68" w:history="1">
        <w:r w:rsidRPr="00601EEA">
          <w:rPr>
            <w:rStyle w:val="TextoNormalCaracter"/>
          </w:rPr>
          <w:t>68/2024</w:t>
        </w:r>
      </w:hyperlink>
      <w:r>
        <w:t>.</w:t>
      </w:r>
    </w:p>
    <w:p w14:paraId="4261CA88" w14:textId="6B34C31A"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3A40D0A2" w14:textId="0F97B067" w:rsidR="00601EEA" w:rsidRDefault="00601EEA" w:rsidP="00601EEA">
      <w:pPr>
        <w:pStyle w:val="SangriaFrancesaArticulo"/>
      </w:pPr>
      <w:r w:rsidRPr="00601EEA">
        <w:rPr>
          <w:rStyle w:val="TextoNormalNegritaCaracter"/>
        </w:rPr>
        <w:t>Artículo 35.2 a).</w:t>
      </w:r>
      <w:r w:rsidRPr="00601EEA">
        <w:rPr>
          <w:rStyle w:val="TextoNormalCaracter"/>
        </w:rPr>
        <w:t>-</w:t>
      </w:r>
      <w:r>
        <w:t xml:space="preserve"> Sentencia </w:t>
      </w:r>
      <w:hyperlink w:anchor="SENTENCIA_2024_68" w:history="1">
        <w:r w:rsidRPr="00601EEA">
          <w:rPr>
            <w:rStyle w:val="TextoNormalCaracter"/>
          </w:rPr>
          <w:t>68/2024</w:t>
        </w:r>
      </w:hyperlink>
      <w:r>
        <w:t>.</w:t>
      </w:r>
    </w:p>
    <w:p w14:paraId="3C2914AC" w14:textId="544CA4B3"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1131E987" w14:textId="26395BF4" w:rsidR="00601EEA" w:rsidRDefault="00601EEA" w:rsidP="00601EEA">
      <w:pPr>
        <w:pStyle w:val="SangriaFrancesaArticulo"/>
      </w:pPr>
      <w:r w:rsidRPr="00601EEA">
        <w:rPr>
          <w:rStyle w:val="TextoNormalNegritaCaracter"/>
        </w:rPr>
        <w:t>Artículo 35.2 b).</w:t>
      </w:r>
      <w:r w:rsidRPr="00601EEA">
        <w:rPr>
          <w:rStyle w:val="TextoNormalCaracter"/>
        </w:rPr>
        <w:t>-</w:t>
      </w:r>
      <w:r>
        <w:t xml:space="preserve"> Sentencia </w:t>
      </w:r>
      <w:hyperlink w:anchor="SENTENCIA_2024_68" w:history="1">
        <w:r w:rsidRPr="00601EEA">
          <w:rPr>
            <w:rStyle w:val="TextoNormalCaracter"/>
          </w:rPr>
          <w:t>68/2024</w:t>
        </w:r>
      </w:hyperlink>
      <w:r>
        <w:t>.</w:t>
      </w:r>
    </w:p>
    <w:p w14:paraId="7DD0AC9F" w14:textId="6FA4F32A"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40367A61" w14:textId="3CEFEF5A" w:rsidR="00601EEA" w:rsidRDefault="00601EEA" w:rsidP="00601EEA">
      <w:pPr>
        <w:pStyle w:val="SangriaFrancesaArticulo"/>
      </w:pPr>
      <w:r w:rsidRPr="00601EEA">
        <w:rPr>
          <w:rStyle w:val="TextoNormalNegritaCaracter"/>
        </w:rPr>
        <w:t>Artículo 35.2 c).</w:t>
      </w:r>
      <w:r w:rsidRPr="00601EEA">
        <w:rPr>
          <w:rStyle w:val="TextoNormalCaracter"/>
        </w:rPr>
        <w:t>-</w:t>
      </w:r>
      <w:r>
        <w:t xml:space="preserve"> Sentencia </w:t>
      </w:r>
      <w:hyperlink w:anchor="SENTENCIA_2024_68" w:history="1">
        <w:r w:rsidRPr="00601EEA">
          <w:rPr>
            <w:rStyle w:val="TextoNormalCaracter"/>
          </w:rPr>
          <w:t>68/2024</w:t>
        </w:r>
      </w:hyperlink>
      <w:r>
        <w:t>.</w:t>
      </w:r>
    </w:p>
    <w:p w14:paraId="61465C29" w14:textId="2520E841"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46B33034" w14:textId="3CA7324A" w:rsidR="00601EEA" w:rsidRDefault="00601EEA" w:rsidP="00601EEA">
      <w:pPr>
        <w:pStyle w:val="SangriaFrancesaArticulo"/>
      </w:pPr>
      <w:r w:rsidRPr="00601EEA">
        <w:rPr>
          <w:rStyle w:val="TextoNormalNegritaCaracter"/>
        </w:rPr>
        <w:t>Artículo 35.3.</w:t>
      </w:r>
      <w:r w:rsidRPr="00601EEA">
        <w:rPr>
          <w:rStyle w:val="TextoNormalCaracter"/>
        </w:rPr>
        <w:t>-</w:t>
      </w:r>
      <w:r>
        <w:t xml:space="preserve"> Sentencia </w:t>
      </w:r>
      <w:hyperlink w:anchor="SENTENCIA_2024_68" w:history="1">
        <w:r w:rsidRPr="00601EEA">
          <w:rPr>
            <w:rStyle w:val="TextoNormalCaracter"/>
          </w:rPr>
          <w:t>68/2024</w:t>
        </w:r>
      </w:hyperlink>
      <w:r>
        <w:t>.</w:t>
      </w:r>
    </w:p>
    <w:p w14:paraId="22C84111" w14:textId="613D5B4D"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0320E3C9" w14:textId="15B869CC" w:rsidR="00601EEA" w:rsidRDefault="00601EEA" w:rsidP="00601EEA">
      <w:pPr>
        <w:pStyle w:val="SangriaFrancesaArticulo"/>
      </w:pPr>
      <w:r w:rsidRPr="00601EEA">
        <w:rPr>
          <w:rStyle w:val="TextoNormalNegritaCaracter"/>
        </w:rPr>
        <w:t>Artículo 36.2 a).</w:t>
      </w:r>
      <w:r w:rsidRPr="00601EEA">
        <w:rPr>
          <w:rStyle w:val="TextoNormalCaracter"/>
        </w:rPr>
        <w:t>-</w:t>
      </w:r>
      <w:r>
        <w:t xml:space="preserve"> Sentencia </w:t>
      </w:r>
      <w:hyperlink w:anchor="SENTENCIA_2024_68" w:history="1">
        <w:r w:rsidRPr="00601EEA">
          <w:rPr>
            <w:rStyle w:val="TextoNormalCaracter"/>
          </w:rPr>
          <w:t>68/2024</w:t>
        </w:r>
      </w:hyperlink>
      <w:r>
        <w:t>.</w:t>
      </w:r>
    </w:p>
    <w:p w14:paraId="2DEF4987" w14:textId="5BF2AF74"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5894CFE7" w14:textId="55390F77" w:rsidR="00601EEA" w:rsidRDefault="00601EEA" w:rsidP="00601EEA">
      <w:pPr>
        <w:pStyle w:val="SangriaFrancesaArticulo"/>
      </w:pPr>
      <w:r w:rsidRPr="00601EEA">
        <w:rPr>
          <w:rStyle w:val="TextoNormalNegritaCaracter"/>
        </w:rPr>
        <w:t>Artículo 36.2 b).</w:t>
      </w:r>
      <w:r w:rsidRPr="00601EEA">
        <w:rPr>
          <w:rStyle w:val="TextoNormalCaracter"/>
        </w:rPr>
        <w:t>-</w:t>
      </w:r>
      <w:r>
        <w:t xml:space="preserve"> Sentencia </w:t>
      </w:r>
      <w:hyperlink w:anchor="SENTENCIA_2024_68" w:history="1">
        <w:r w:rsidRPr="00601EEA">
          <w:rPr>
            <w:rStyle w:val="TextoNormalCaracter"/>
          </w:rPr>
          <w:t>68/2024</w:t>
        </w:r>
      </w:hyperlink>
      <w:r>
        <w:t>.</w:t>
      </w:r>
    </w:p>
    <w:p w14:paraId="434643BD" w14:textId="748C0F28"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5173E195" w14:textId="0DA1D907" w:rsidR="00601EEA" w:rsidRDefault="00601EEA" w:rsidP="00601EEA">
      <w:pPr>
        <w:pStyle w:val="SangriaFrancesaArticulo"/>
      </w:pPr>
      <w:r w:rsidRPr="00601EEA">
        <w:rPr>
          <w:rStyle w:val="TextoNormalNegritaCaracter"/>
        </w:rPr>
        <w:t>Artículo 36.2 c).</w:t>
      </w:r>
      <w:r w:rsidRPr="00601EEA">
        <w:rPr>
          <w:rStyle w:val="TextoNormalCaracter"/>
        </w:rPr>
        <w:t>-</w:t>
      </w:r>
      <w:r>
        <w:t xml:space="preserve"> Sentencia </w:t>
      </w:r>
      <w:hyperlink w:anchor="SENTENCIA_2024_68" w:history="1">
        <w:r w:rsidRPr="00601EEA">
          <w:rPr>
            <w:rStyle w:val="TextoNormalCaracter"/>
          </w:rPr>
          <w:t>68/2024</w:t>
        </w:r>
      </w:hyperlink>
      <w:r>
        <w:t>.</w:t>
      </w:r>
    </w:p>
    <w:p w14:paraId="46410974" w14:textId="4ED2CD76"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7CBEA0E4" w14:textId="4C742F5E" w:rsidR="00601EEA" w:rsidRDefault="00601EEA" w:rsidP="00601EEA">
      <w:pPr>
        <w:pStyle w:val="SangriaFrancesaArticulo"/>
      </w:pPr>
      <w:r w:rsidRPr="00601EEA">
        <w:rPr>
          <w:rStyle w:val="TextoNormalNegritaCaracter"/>
        </w:rPr>
        <w:t>Artículo 40.2.</w:t>
      </w:r>
      <w:r w:rsidRPr="00601EEA">
        <w:rPr>
          <w:rStyle w:val="TextoNormalCaracter"/>
        </w:rPr>
        <w:t>-</w:t>
      </w:r>
      <w:r>
        <w:t xml:space="preserve"> Sentencia </w:t>
      </w:r>
      <w:hyperlink w:anchor="SENTENCIA_2024_68" w:history="1">
        <w:r w:rsidRPr="00601EEA">
          <w:rPr>
            <w:rStyle w:val="TextoNormalCaracter"/>
          </w:rPr>
          <w:t>68/2024</w:t>
        </w:r>
      </w:hyperlink>
      <w:r>
        <w:t>.</w:t>
      </w:r>
    </w:p>
    <w:p w14:paraId="591A0602" w14:textId="3ABE2798"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65334F69" w14:textId="34090FFD" w:rsidR="00601EEA" w:rsidRDefault="00601EEA" w:rsidP="00601EEA">
      <w:pPr>
        <w:pStyle w:val="SangriaFrancesaArticulo"/>
      </w:pPr>
      <w:r w:rsidRPr="00601EEA">
        <w:rPr>
          <w:rStyle w:val="TextoNormalNegritaCaracter"/>
        </w:rPr>
        <w:t>Artículo 40.3.</w:t>
      </w:r>
      <w:r w:rsidRPr="00601EEA">
        <w:rPr>
          <w:rStyle w:val="TextoNormalCaracter"/>
        </w:rPr>
        <w:t>-</w:t>
      </w:r>
      <w:r>
        <w:t xml:space="preserve"> Sentencia </w:t>
      </w:r>
      <w:hyperlink w:anchor="SENTENCIA_2024_68" w:history="1">
        <w:r w:rsidRPr="00601EEA">
          <w:rPr>
            <w:rStyle w:val="TextoNormalCaracter"/>
          </w:rPr>
          <w:t>68/2024</w:t>
        </w:r>
      </w:hyperlink>
      <w:r>
        <w:t>.</w:t>
      </w:r>
    </w:p>
    <w:p w14:paraId="0C537849" w14:textId="2464B618"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1C748C00" w14:textId="2C9C24D6" w:rsidR="00601EEA" w:rsidRDefault="00601EEA" w:rsidP="00601EEA">
      <w:pPr>
        <w:pStyle w:val="SangriaFrancesaArticulo"/>
      </w:pPr>
      <w:r w:rsidRPr="00601EEA">
        <w:rPr>
          <w:rStyle w:val="TextoNormalNegritaCaracter"/>
        </w:rPr>
        <w:t>Artículo 41.2 a).</w:t>
      </w:r>
      <w:r w:rsidRPr="00601EEA">
        <w:rPr>
          <w:rStyle w:val="TextoNormalCaracter"/>
        </w:rPr>
        <w:t>-</w:t>
      </w:r>
      <w:r>
        <w:t xml:space="preserve"> Sentencia </w:t>
      </w:r>
      <w:hyperlink w:anchor="SENTENCIA_2024_68" w:history="1">
        <w:r w:rsidRPr="00601EEA">
          <w:rPr>
            <w:rStyle w:val="TextoNormalCaracter"/>
          </w:rPr>
          <w:t>68/2024</w:t>
        </w:r>
      </w:hyperlink>
      <w:r>
        <w:t>.</w:t>
      </w:r>
    </w:p>
    <w:p w14:paraId="3BB1CFED" w14:textId="2D922465"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1D363D2C" w14:textId="050C8C5E" w:rsidR="00601EEA" w:rsidRDefault="00601EEA" w:rsidP="00601EEA">
      <w:pPr>
        <w:pStyle w:val="SangriaFrancesaArticulo"/>
      </w:pPr>
      <w:r w:rsidRPr="00601EEA">
        <w:rPr>
          <w:rStyle w:val="TextoNormalNegritaCaracter"/>
        </w:rPr>
        <w:t>Artículo 41.2 b).</w:t>
      </w:r>
      <w:r w:rsidRPr="00601EEA">
        <w:rPr>
          <w:rStyle w:val="TextoNormalCaracter"/>
        </w:rPr>
        <w:t>-</w:t>
      </w:r>
      <w:r>
        <w:t xml:space="preserve"> Sentencia </w:t>
      </w:r>
      <w:hyperlink w:anchor="SENTENCIA_2024_68" w:history="1">
        <w:r w:rsidRPr="00601EEA">
          <w:rPr>
            <w:rStyle w:val="TextoNormalCaracter"/>
          </w:rPr>
          <w:t>68/2024</w:t>
        </w:r>
      </w:hyperlink>
      <w:r>
        <w:t>.</w:t>
      </w:r>
    </w:p>
    <w:p w14:paraId="24DF0728" w14:textId="57E264E1"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764C4E96" w14:textId="4A6E2FF9" w:rsidR="00601EEA" w:rsidRDefault="00601EEA" w:rsidP="00601EEA">
      <w:pPr>
        <w:pStyle w:val="SangriaFrancesaArticulo"/>
      </w:pPr>
      <w:r w:rsidRPr="00601EEA">
        <w:rPr>
          <w:rStyle w:val="TextoNormalNegritaCaracter"/>
        </w:rPr>
        <w:t>Artículo 41.2 c).</w:t>
      </w:r>
      <w:r w:rsidRPr="00601EEA">
        <w:rPr>
          <w:rStyle w:val="TextoNormalCaracter"/>
        </w:rPr>
        <w:t>-</w:t>
      </w:r>
      <w:r>
        <w:t xml:space="preserve"> Sentencia </w:t>
      </w:r>
      <w:hyperlink w:anchor="SENTENCIA_2024_68" w:history="1">
        <w:r w:rsidRPr="00601EEA">
          <w:rPr>
            <w:rStyle w:val="TextoNormalCaracter"/>
          </w:rPr>
          <w:t>68/2024</w:t>
        </w:r>
      </w:hyperlink>
      <w:r>
        <w:t>.</w:t>
      </w:r>
    </w:p>
    <w:p w14:paraId="4D4C52B3" w14:textId="58BA2D34"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0F6AD7FF" w14:textId="1F911193" w:rsidR="00601EEA" w:rsidRDefault="00601EEA" w:rsidP="00601EEA">
      <w:pPr>
        <w:pStyle w:val="SangriaFrancesaArticulo"/>
      </w:pPr>
      <w:r w:rsidRPr="00601EEA">
        <w:rPr>
          <w:rStyle w:val="TextoNormalNegritaCaracter"/>
        </w:rPr>
        <w:t>Artículo 41.2 d).</w:t>
      </w:r>
      <w:r w:rsidRPr="00601EEA">
        <w:rPr>
          <w:rStyle w:val="TextoNormalCaracter"/>
        </w:rPr>
        <w:t>-</w:t>
      </w:r>
      <w:r>
        <w:t xml:space="preserve"> Sentencia </w:t>
      </w:r>
      <w:hyperlink w:anchor="SENTENCIA_2024_68" w:history="1">
        <w:r w:rsidRPr="00601EEA">
          <w:rPr>
            <w:rStyle w:val="TextoNormalCaracter"/>
          </w:rPr>
          <w:t>68/2024</w:t>
        </w:r>
      </w:hyperlink>
      <w:r>
        <w:t>.</w:t>
      </w:r>
    </w:p>
    <w:p w14:paraId="6A5D6C36" w14:textId="5B61E949"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4B8D5221" w14:textId="1300FC6E" w:rsidR="00601EEA" w:rsidRDefault="00601EEA" w:rsidP="00601EEA">
      <w:pPr>
        <w:pStyle w:val="SangriaFrancesaArticulo"/>
      </w:pPr>
      <w:r w:rsidRPr="00601EEA">
        <w:rPr>
          <w:rStyle w:val="TextoNormalNegritaCaracter"/>
        </w:rPr>
        <w:t>Artículo 41.3.</w:t>
      </w:r>
      <w:r w:rsidRPr="00601EEA">
        <w:rPr>
          <w:rStyle w:val="TextoNormalCaracter"/>
        </w:rPr>
        <w:t>-</w:t>
      </w:r>
      <w:r>
        <w:t xml:space="preserve"> Sentencia </w:t>
      </w:r>
      <w:hyperlink w:anchor="SENTENCIA_2024_68" w:history="1">
        <w:r w:rsidRPr="00601EEA">
          <w:rPr>
            <w:rStyle w:val="TextoNormalCaracter"/>
          </w:rPr>
          <w:t>68/2024</w:t>
        </w:r>
      </w:hyperlink>
      <w:r>
        <w:t>.</w:t>
      </w:r>
    </w:p>
    <w:p w14:paraId="6C0FF50B" w14:textId="780B9450"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06A62B13" w14:textId="21189906" w:rsidR="00601EEA" w:rsidRDefault="00601EEA" w:rsidP="00601EEA">
      <w:pPr>
        <w:pStyle w:val="SangriaFrancesaArticulo"/>
      </w:pPr>
      <w:r w:rsidRPr="00601EEA">
        <w:rPr>
          <w:rStyle w:val="TextoNormalNegritaCaracter"/>
        </w:rPr>
        <w:t>Artículo 46.2.</w:t>
      </w:r>
      <w:r w:rsidRPr="00601EEA">
        <w:rPr>
          <w:rStyle w:val="TextoNormalCaracter"/>
        </w:rPr>
        <w:t>-</w:t>
      </w:r>
      <w:r>
        <w:t xml:space="preserve"> Sentencia </w:t>
      </w:r>
      <w:hyperlink w:anchor="SENTENCIA_2024_68" w:history="1">
        <w:r w:rsidRPr="00601EEA">
          <w:rPr>
            <w:rStyle w:val="TextoNormalCaracter"/>
          </w:rPr>
          <w:t>68/2024</w:t>
        </w:r>
      </w:hyperlink>
      <w:r>
        <w:t>.</w:t>
      </w:r>
    </w:p>
    <w:p w14:paraId="06D48BD1" w14:textId="29306F1B"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3467005B" w14:textId="7A1E0549" w:rsidR="00601EEA" w:rsidRDefault="00601EEA" w:rsidP="00601EEA">
      <w:pPr>
        <w:pStyle w:val="SangriaFrancesaArticulo"/>
      </w:pPr>
      <w:r w:rsidRPr="00601EEA">
        <w:rPr>
          <w:rStyle w:val="TextoNormalNegritaCaracter"/>
        </w:rPr>
        <w:t>Artículo 46.3 a).</w:t>
      </w:r>
      <w:r w:rsidRPr="00601EEA">
        <w:rPr>
          <w:rStyle w:val="TextoNormalCaracter"/>
        </w:rPr>
        <w:t>-</w:t>
      </w:r>
      <w:r>
        <w:t xml:space="preserve"> Sentencia </w:t>
      </w:r>
      <w:hyperlink w:anchor="SENTENCIA_2024_68" w:history="1">
        <w:r w:rsidRPr="00601EEA">
          <w:rPr>
            <w:rStyle w:val="TextoNormalCaracter"/>
          </w:rPr>
          <w:t>68/2024</w:t>
        </w:r>
      </w:hyperlink>
      <w:r>
        <w:t>.</w:t>
      </w:r>
    </w:p>
    <w:p w14:paraId="0EF3EFDC" w14:textId="19390EF1"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6CBFDDB4" w14:textId="2C6F6019" w:rsidR="00601EEA" w:rsidRDefault="00601EEA" w:rsidP="00601EEA">
      <w:pPr>
        <w:pStyle w:val="SangriaFrancesaArticulo"/>
      </w:pPr>
      <w:r w:rsidRPr="00601EEA">
        <w:rPr>
          <w:rStyle w:val="TextoNormalNegritaCaracter"/>
        </w:rPr>
        <w:t>Artículo 46.3 b).</w:t>
      </w:r>
      <w:r w:rsidRPr="00601EEA">
        <w:rPr>
          <w:rStyle w:val="TextoNormalCaracter"/>
        </w:rPr>
        <w:t>-</w:t>
      </w:r>
      <w:r>
        <w:t xml:space="preserve"> Sentencia </w:t>
      </w:r>
      <w:hyperlink w:anchor="SENTENCIA_2024_68" w:history="1">
        <w:r w:rsidRPr="00601EEA">
          <w:rPr>
            <w:rStyle w:val="TextoNormalCaracter"/>
          </w:rPr>
          <w:t>68/2024</w:t>
        </w:r>
      </w:hyperlink>
      <w:r>
        <w:t>.</w:t>
      </w:r>
    </w:p>
    <w:p w14:paraId="39B9C44D" w14:textId="4AAE8370"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149EEEC7" w14:textId="1A12FDE5" w:rsidR="00601EEA" w:rsidRDefault="00601EEA" w:rsidP="00601EEA">
      <w:pPr>
        <w:pStyle w:val="SangriaFrancesaArticulo"/>
      </w:pPr>
      <w:r w:rsidRPr="00601EEA">
        <w:rPr>
          <w:rStyle w:val="TextoNormalNegritaCaracter"/>
        </w:rPr>
        <w:t>Artículo 46.5.</w:t>
      </w:r>
      <w:r w:rsidRPr="00601EEA">
        <w:rPr>
          <w:rStyle w:val="TextoNormalCaracter"/>
        </w:rPr>
        <w:t>-</w:t>
      </w:r>
      <w:r>
        <w:t xml:space="preserve"> Sentencia </w:t>
      </w:r>
      <w:hyperlink w:anchor="SENTENCIA_2024_68" w:history="1">
        <w:r w:rsidRPr="00601EEA">
          <w:rPr>
            <w:rStyle w:val="TextoNormalCaracter"/>
          </w:rPr>
          <w:t>68/2024</w:t>
        </w:r>
      </w:hyperlink>
      <w:r>
        <w:t>.</w:t>
      </w:r>
    </w:p>
    <w:p w14:paraId="4DC9CC37" w14:textId="2D8FD1AD"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034D0BFA" w14:textId="6BB60794" w:rsidR="00601EEA" w:rsidRDefault="00601EEA" w:rsidP="00601EEA">
      <w:pPr>
        <w:pStyle w:val="SangriaFrancesaArticulo"/>
      </w:pPr>
      <w:r w:rsidRPr="00601EEA">
        <w:rPr>
          <w:rStyle w:val="TextoNormalNegritaCaracter"/>
        </w:rPr>
        <w:t>Artículo 48.1.</w:t>
      </w:r>
      <w:r w:rsidRPr="00601EEA">
        <w:rPr>
          <w:rStyle w:val="TextoNormalCaracter"/>
        </w:rPr>
        <w:t>-</w:t>
      </w:r>
      <w:r>
        <w:t xml:space="preserve"> Sentencia </w:t>
      </w:r>
      <w:hyperlink w:anchor="SENTENCIA_2024_68" w:history="1">
        <w:r w:rsidRPr="00601EEA">
          <w:rPr>
            <w:rStyle w:val="TextoNormalCaracter"/>
          </w:rPr>
          <w:t>68/2024</w:t>
        </w:r>
      </w:hyperlink>
      <w:r>
        <w:t>.</w:t>
      </w:r>
    </w:p>
    <w:p w14:paraId="642944A8" w14:textId="639D6A5B"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3A4EF58F" w14:textId="2626BD54" w:rsidR="00601EEA" w:rsidRDefault="00601EEA" w:rsidP="00601EEA">
      <w:pPr>
        <w:pStyle w:val="SangriaFrancesaArticulo"/>
      </w:pPr>
      <w:r w:rsidRPr="00601EEA">
        <w:rPr>
          <w:rStyle w:val="TextoNormalNegritaCaracter"/>
        </w:rPr>
        <w:t>Artículo 48.3.</w:t>
      </w:r>
      <w:r w:rsidRPr="00601EEA">
        <w:rPr>
          <w:rStyle w:val="TextoNormalCaracter"/>
        </w:rPr>
        <w:t>-</w:t>
      </w:r>
      <w:r>
        <w:t xml:space="preserve"> Sentencia </w:t>
      </w:r>
      <w:hyperlink w:anchor="SENTENCIA_2024_68" w:history="1">
        <w:r w:rsidRPr="00601EEA">
          <w:rPr>
            <w:rStyle w:val="TextoNormalCaracter"/>
          </w:rPr>
          <w:t>68/2024</w:t>
        </w:r>
      </w:hyperlink>
      <w:r>
        <w:t>.</w:t>
      </w:r>
    </w:p>
    <w:p w14:paraId="5338283D" w14:textId="4019AA1E"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5FB4AADB" w14:textId="7CFF646E" w:rsidR="00601EEA" w:rsidRDefault="00601EEA" w:rsidP="00601EEA">
      <w:pPr>
        <w:pStyle w:val="SangriaFrancesaArticulo"/>
      </w:pPr>
      <w:r w:rsidRPr="00601EEA">
        <w:rPr>
          <w:rStyle w:val="TextoNormalNegritaCaracter"/>
        </w:rPr>
        <w:t>Artículo 48.4.</w:t>
      </w:r>
      <w:r w:rsidRPr="00601EEA">
        <w:rPr>
          <w:rStyle w:val="TextoNormalCaracter"/>
        </w:rPr>
        <w:t>-</w:t>
      </w:r>
      <w:r>
        <w:t xml:space="preserve"> Sentencia </w:t>
      </w:r>
      <w:hyperlink w:anchor="SENTENCIA_2024_68" w:history="1">
        <w:r w:rsidRPr="00601EEA">
          <w:rPr>
            <w:rStyle w:val="TextoNormalCaracter"/>
          </w:rPr>
          <w:t>68/2024</w:t>
        </w:r>
      </w:hyperlink>
      <w:r>
        <w:t>.</w:t>
      </w:r>
    </w:p>
    <w:p w14:paraId="279A7CA1" w14:textId="6536627A"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637675D1" w14:textId="1D836819" w:rsidR="00601EEA" w:rsidRDefault="00601EEA" w:rsidP="00601EEA">
      <w:pPr>
        <w:pStyle w:val="SangriaFrancesaArticulo"/>
      </w:pPr>
      <w:r w:rsidRPr="00601EEA">
        <w:rPr>
          <w:rStyle w:val="TextoNormalNegritaCaracter"/>
        </w:rPr>
        <w:lastRenderedPageBreak/>
        <w:t>Artículo 48.5.</w:t>
      </w:r>
      <w:r w:rsidRPr="00601EEA">
        <w:rPr>
          <w:rStyle w:val="TextoNormalCaracter"/>
        </w:rPr>
        <w:t>-</w:t>
      </w:r>
      <w:r>
        <w:t xml:space="preserve"> Sentencia </w:t>
      </w:r>
      <w:hyperlink w:anchor="SENTENCIA_2024_68" w:history="1">
        <w:r w:rsidRPr="00601EEA">
          <w:rPr>
            <w:rStyle w:val="TextoNormalCaracter"/>
          </w:rPr>
          <w:t>68/2024</w:t>
        </w:r>
      </w:hyperlink>
      <w:r>
        <w:t>.</w:t>
      </w:r>
    </w:p>
    <w:p w14:paraId="165FC432" w14:textId="24165750"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0A8B2A28" w14:textId="245AA1BD" w:rsidR="00601EEA" w:rsidRDefault="00601EEA" w:rsidP="00601EEA">
      <w:pPr>
        <w:pStyle w:val="SangriaFrancesaArticulo"/>
      </w:pPr>
      <w:r w:rsidRPr="00601EEA">
        <w:rPr>
          <w:rStyle w:val="TextoNormalNegritaCaracter"/>
        </w:rPr>
        <w:t>Artículo 49.1.</w:t>
      </w:r>
      <w:r w:rsidRPr="00601EEA">
        <w:rPr>
          <w:rStyle w:val="TextoNormalCaracter"/>
        </w:rPr>
        <w:t>-</w:t>
      </w:r>
      <w:r>
        <w:t xml:space="preserve"> Sentencia </w:t>
      </w:r>
      <w:hyperlink w:anchor="SENTENCIA_2024_68" w:history="1">
        <w:r w:rsidRPr="00601EEA">
          <w:rPr>
            <w:rStyle w:val="TextoNormalCaracter"/>
          </w:rPr>
          <w:t>68/2024</w:t>
        </w:r>
      </w:hyperlink>
      <w:r>
        <w:t>.</w:t>
      </w:r>
    </w:p>
    <w:p w14:paraId="6DFD82F3" w14:textId="76603C3B"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4FD74B37" w14:textId="672880CC" w:rsidR="00601EEA" w:rsidRDefault="00601EEA" w:rsidP="00601EEA">
      <w:pPr>
        <w:pStyle w:val="SangriaFrancesaArticulo"/>
      </w:pPr>
      <w:r w:rsidRPr="00601EEA">
        <w:rPr>
          <w:rStyle w:val="TextoNormalNegritaCaracter"/>
        </w:rPr>
        <w:t>Artículo 49.2.</w:t>
      </w:r>
      <w:r w:rsidRPr="00601EEA">
        <w:rPr>
          <w:rStyle w:val="TextoNormalCaracter"/>
        </w:rPr>
        <w:t>-</w:t>
      </w:r>
      <w:r>
        <w:t xml:space="preserve"> Sentencia </w:t>
      </w:r>
      <w:hyperlink w:anchor="SENTENCIA_2024_68" w:history="1">
        <w:r w:rsidRPr="00601EEA">
          <w:rPr>
            <w:rStyle w:val="TextoNormalCaracter"/>
          </w:rPr>
          <w:t>68/2024</w:t>
        </w:r>
      </w:hyperlink>
      <w:r>
        <w:t>.</w:t>
      </w:r>
    </w:p>
    <w:p w14:paraId="39A75FF9" w14:textId="36B2A826"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513D1966" w14:textId="6D4F402F" w:rsidR="00601EEA" w:rsidRDefault="00601EEA" w:rsidP="00601EEA">
      <w:pPr>
        <w:pStyle w:val="SangriaFrancesaArticulo"/>
      </w:pPr>
      <w:r w:rsidRPr="00601EEA">
        <w:rPr>
          <w:rStyle w:val="TextoNormalNegritaCaracter"/>
        </w:rPr>
        <w:t>Artículo 49.3.</w:t>
      </w:r>
      <w:r w:rsidRPr="00601EEA">
        <w:rPr>
          <w:rStyle w:val="TextoNormalCaracter"/>
        </w:rPr>
        <w:t>-</w:t>
      </w:r>
      <w:r>
        <w:t xml:space="preserve"> Sentencia </w:t>
      </w:r>
      <w:hyperlink w:anchor="SENTENCIA_2024_68" w:history="1">
        <w:r w:rsidRPr="00601EEA">
          <w:rPr>
            <w:rStyle w:val="TextoNormalCaracter"/>
          </w:rPr>
          <w:t>68/2024</w:t>
        </w:r>
      </w:hyperlink>
      <w:r>
        <w:t>.</w:t>
      </w:r>
    </w:p>
    <w:p w14:paraId="2211B9C3" w14:textId="2E6AB06E"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5CEABFC6" w14:textId="49570652" w:rsidR="00601EEA" w:rsidRDefault="00601EEA" w:rsidP="00601EEA">
      <w:pPr>
        <w:pStyle w:val="SangriaFrancesaArticulo"/>
      </w:pPr>
      <w:r w:rsidRPr="00601EEA">
        <w:rPr>
          <w:rStyle w:val="TextoNormalNegritaCaracter"/>
        </w:rPr>
        <w:t>Artículo 49.4.</w:t>
      </w:r>
      <w:r w:rsidRPr="00601EEA">
        <w:rPr>
          <w:rStyle w:val="TextoNormalCaracter"/>
        </w:rPr>
        <w:t>-</w:t>
      </w:r>
      <w:r>
        <w:t xml:space="preserve"> Sentencia </w:t>
      </w:r>
      <w:hyperlink w:anchor="SENTENCIA_2024_68" w:history="1">
        <w:r w:rsidRPr="00601EEA">
          <w:rPr>
            <w:rStyle w:val="TextoNormalCaracter"/>
          </w:rPr>
          <w:t>68/2024</w:t>
        </w:r>
      </w:hyperlink>
      <w:r>
        <w:t>.</w:t>
      </w:r>
    </w:p>
    <w:p w14:paraId="70FAC9EB" w14:textId="5CF52798"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65FBBC22" w14:textId="6C9B2C4D" w:rsidR="00601EEA" w:rsidRDefault="00601EEA" w:rsidP="00601EEA">
      <w:pPr>
        <w:pStyle w:val="SangriaFrancesaArticulo"/>
      </w:pPr>
      <w:r w:rsidRPr="00601EEA">
        <w:rPr>
          <w:rStyle w:val="TextoNormalNegritaCaracter"/>
        </w:rPr>
        <w:t>Artículo 52.</w:t>
      </w:r>
      <w:r w:rsidRPr="00601EEA">
        <w:rPr>
          <w:rStyle w:val="TextoNormalCaracter"/>
        </w:rPr>
        <w:t>-</w:t>
      </w:r>
      <w:r>
        <w:t xml:space="preserve"> Sentencia </w:t>
      </w:r>
      <w:hyperlink w:anchor="SENTENCIA_2024_68" w:history="1">
        <w:r w:rsidRPr="00601EEA">
          <w:rPr>
            <w:rStyle w:val="TextoNormalCaracter"/>
          </w:rPr>
          <w:t>68/2024</w:t>
        </w:r>
      </w:hyperlink>
      <w:r>
        <w:t>.</w:t>
      </w:r>
    </w:p>
    <w:p w14:paraId="3EAE9D27" w14:textId="149842CD"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45BC0E1A" w14:textId="6441D218" w:rsidR="00601EEA" w:rsidRDefault="00601EEA" w:rsidP="00601EEA">
      <w:pPr>
        <w:pStyle w:val="SangriaFrancesaArticulo"/>
      </w:pPr>
      <w:r w:rsidRPr="00601EEA">
        <w:rPr>
          <w:rStyle w:val="TextoNormalNegritaCaracter"/>
        </w:rPr>
        <w:t>Artículo 53.1.</w:t>
      </w:r>
      <w:r w:rsidRPr="00601EEA">
        <w:rPr>
          <w:rStyle w:val="TextoNormalCaracter"/>
        </w:rPr>
        <w:t>-</w:t>
      </w:r>
      <w:r>
        <w:t xml:space="preserve"> Sentencia </w:t>
      </w:r>
      <w:hyperlink w:anchor="SENTENCIA_2024_68" w:history="1">
        <w:r w:rsidRPr="00601EEA">
          <w:rPr>
            <w:rStyle w:val="TextoNormalCaracter"/>
          </w:rPr>
          <w:t>68/2024</w:t>
        </w:r>
      </w:hyperlink>
      <w:r>
        <w:t>.</w:t>
      </w:r>
    </w:p>
    <w:p w14:paraId="1A17CC92" w14:textId="035ED28C"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7A08640F" w14:textId="63A87A69" w:rsidR="00601EEA" w:rsidRDefault="00601EEA" w:rsidP="00601EEA">
      <w:pPr>
        <w:pStyle w:val="SangriaFrancesaArticulo"/>
      </w:pPr>
      <w:r w:rsidRPr="00601EEA">
        <w:rPr>
          <w:rStyle w:val="TextoNormalNegritaCaracter"/>
        </w:rPr>
        <w:t>Artículo 53.3.</w:t>
      </w:r>
      <w:r w:rsidRPr="00601EEA">
        <w:rPr>
          <w:rStyle w:val="TextoNormalCaracter"/>
        </w:rPr>
        <w:t>-</w:t>
      </w:r>
      <w:r>
        <w:t xml:space="preserve"> Sentencia </w:t>
      </w:r>
      <w:hyperlink w:anchor="SENTENCIA_2024_68" w:history="1">
        <w:r w:rsidRPr="00601EEA">
          <w:rPr>
            <w:rStyle w:val="TextoNormalCaracter"/>
          </w:rPr>
          <w:t>68/2024</w:t>
        </w:r>
      </w:hyperlink>
      <w:r>
        <w:t>.</w:t>
      </w:r>
    </w:p>
    <w:p w14:paraId="11C3CC0B" w14:textId="4FAE656B"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020D1BE9" w14:textId="45C720BD" w:rsidR="00601EEA" w:rsidRDefault="00601EEA" w:rsidP="00601EEA">
      <w:pPr>
        <w:pStyle w:val="SangriaFrancesaArticulo"/>
      </w:pPr>
      <w:r w:rsidRPr="00601EEA">
        <w:rPr>
          <w:rStyle w:val="TextoNormalNegritaCaracter"/>
        </w:rPr>
        <w:t>Artículo 53.4.</w:t>
      </w:r>
      <w:r w:rsidRPr="00601EEA">
        <w:rPr>
          <w:rStyle w:val="TextoNormalCaracter"/>
        </w:rPr>
        <w:t>-</w:t>
      </w:r>
      <w:r>
        <w:t xml:space="preserve"> Sentencia </w:t>
      </w:r>
      <w:hyperlink w:anchor="SENTENCIA_2024_68" w:history="1">
        <w:r w:rsidRPr="00601EEA">
          <w:rPr>
            <w:rStyle w:val="TextoNormalCaracter"/>
          </w:rPr>
          <w:t>68/2024</w:t>
        </w:r>
      </w:hyperlink>
      <w:r>
        <w:t>.</w:t>
      </w:r>
    </w:p>
    <w:p w14:paraId="523FDCC5" w14:textId="4A39176A"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1A9CA754" w14:textId="22489150" w:rsidR="00601EEA" w:rsidRDefault="00601EEA" w:rsidP="00601EEA">
      <w:pPr>
        <w:pStyle w:val="SangriaFrancesaArticulo"/>
      </w:pPr>
      <w:r w:rsidRPr="00601EEA">
        <w:rPr>
          <w:rStyle w:val="TextoNormalNegritaCaracter"/>
        </w:rPr>
        <w:t>Artículo 55.2.</w:t>
      </w:r>
      <w:r w:rsidRPr="00601EEA">
        <w:rPr>
          <w:rStyle w:val="TextoNormalCaracter"/>
        </w:rPr>
        <w:t>-</w:t>
      </w:r>
      <w:r>
        <w:t xml:space="preserve"> Sentencia </w:t>
      </w:r>
      <w:hyperlink w:anchor="SENTENCIA_2024_68" w:history="1">
        <w:r w:rsidRPr="00601EEA">
          <w:rPr>
            <w:rStyle w:val="TextoNormalCaracter"/>
          </w:rPr>
          <w:t>68/2024</w:t>
        </w:r>
      </w:hyperlink>
      <w:r>
        <w:t>.</w:t>
      </w:r>
    </w:p>
    <w:p w14:paraId="06672F94" w14:textId="601639CC"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2A8D7FAF" w14:textId="3FA9B843" w:rsidR="00601EEA" w:rsidRDefault="00601EEA" w:rsidP="00601EEA">
      <w:pPr>
        <w:pStyle w:val="SangriaFrancesaArticulo"/>
      </w:pPr>
      <w:r w:rsidRPr="00601EEA">
        <w:rPr>
          <w:rStyle w:val="TextoNormalNegritaCaracter"/>
        </w:rPr>
        <w:t>Artículo 55.2, párrafo primero.</w:t>
      </w:r>
      <w:r w:rsidRPr="00601EEA">
        <w:rPr>
          <w:rStyle w:val="TextoNormalCaracter"/>
        </w:rPr>
        <w:t>-</w:t>
      </w:r>
      <w:r>
        <w:t xml:space="preserve"> Sentencia </w:t>
      </w:r>
      <w:hyperlink w:anchor="SENTENCIA_2024_68" w:history="1">
        <w:r w:rsidRPr="00601EEA">
          <w:rPr>
            <w:rStyle w:val="TextoNormalCaracter"/>
          </w:rPr>
          <w:t>68/2024</w:t>
        </w:r>
      </w:hyperlink>
      <w:r>
        <w:t xml:space="preserve"> (interpreta).</w:t>
      </w:r>
    </w:p>
    <w:p w14:paraId="70B7BC5E" w14:textId="1D0E357D" w:rsidR="00601EEA" w:rsidRDefault="00601EEA" w:rsidP="00601EEA">
      <w:pPr>
        <w:pStyle w:val="SangriaFrancesaArticulo"/>
      </w:pPr>
      <w:r w:rsidRPr="00601EEA">
        <w:rPr>
          <w:rStyle w:val="TextoNormalNegritaCaracter"/>
        </w:rPr>
        <w:t>Artículo 57.3.</w:t>
      </w:r>
      <w:r w:rsidRPr="00601EEA">
        <w:rPr>
          <w:rStyle w:val="TextoNormalCaracter"/>
        </w:rPr>
        <w:t>-</w:t>
      </w:r>
      <w:r>
        <w:t xml:space="preserve"> Sentencia </w:t>
      </w:r>
      <w:hyperlink w:anchor="SENTENCIA_2024_68" w:history="1">
        <w:r w:rsidRPr="00601EEA">
          <w:rPr>
            <w:rStyle w:val="TextoNormalCaracter"/>
          </w:rPr>
          <w:t>68/2024</w:t>
        </w:r>
      </w:hyperlink>
      <w:r>
        <w:t>.</w:t>
      </w:r>
    </w:p>
    <w:p w14:paraId="270C5D1F" w14:textId="6DB21889"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71893659" w14:textId="257FCCE7" w:rsidR="00601EEA" w:rsidRDefault="00601EEA" w:rsidP="00601EEA">
      <w:pPr>
        <w:pStyle w:val="SangriaFrancesaArticulo"/>
      </w:pPr>
      <w:r w:rsidRPr="00601EEA">
        <w:rPr>
          <w:rStyle w:val="TextoNormalNegritaCaracter"/>
        </w:rPr>
        <w:t>Artículo 58.3.</w:t>
      </w:r>
      <w:r w:rsidRPr="00601EEA">
        <w:rPr>
          <w:rStyle w:val="TextoNormalCaracter"/>
        </w:rPr>
        <w:t>-</w:t>
      </w:r>
      <w:r>
        <w:t xml:space="preserve"> Sentencia </w:t>
      </w:r>
      <w:hyperlink w:anchor="SENTENCIA_2024_68" w:history="1">
        <w:r w:rsidRPr="00601EEA">
          <w:rPr>
            <w:rStyle w:val="TextoNormalCaracter"/>
          </w:rPr>
          <w:t>68/2024</w:t>
        </w:r>
      </w:hyperlink>
      <w:r>
        <w:t>.</w:t>
      </w:r>
    </w:p>
    <w:p w14:paraId="09AF82A2" w14:textId="3A40BDD8"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235CA49D" w14:textId="0B2AA12F" w:rsidR="00601EEA" w:rsidRDefault="00601EEA" w:rsidP="00601EEA">
      <w:pPr>
        <w:pStyle w:val="SangriaFrancesaArticulo"/>
      </w:pPr>
      <w:r w:rsidRPr="00601EEA">
        <w:rPr>
          <w:rStyle w:val="TextoNormalNegritaCaracter"/>
        </w:rPr>
        <w:t>Artículo 59.2.</w:t>
      </w:r>
      <w:r w:rsidRPr="00601EEA">
        <w:rPr>
          <w:rStyle w:val="TextoNormalCaracter"/>
        </w:rPr>
        <w:t>-</w:t>
      </w:r>
      <w:r>
        <w:t xml:space="preserve"> Sentencia </w:t>
      </w:r>
      <w:hyperlink w:anchor="SENTENCIA_2024_68" w:history="1">
        <w:r w:rsidRPr="00601EEA">
          <w:rPr>
            <w:rStyle w:val="TextoNormalCaracter"/>
          </w:rPr>
          <w:t>68/2024</w:t>
        </w:r>
      </w:hyperlink>
      <w:r>
        <w:t>.</w:t>
      </w:r>
    </w:p>
    <w:p w14:paraId="3D1F971B" w14:textId="44EF400D"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4966799F" w14:textId="0CAEE2EF" w:rsidR="00601EEA" w:rsidRDefault="00601EEA" w:rsidP="00601EEA">
      <w:pPr>
        <w:pStyle w:val="SangriaFrancesaArticulo"/>
      </w:pPr>
      <w:r w:rsidRPr="00601EEA">
        <w:rPr>
          <w:rStyle w:val="TextoNormalNegritaCaracter"/>
        </w:rPr>
        <w:t>Artículo 59.2 inciso "gallegas".</w:t>
      </w:r>
      <w:r w:rsidRPr="00601EEA">
        <w:rPr>
          <w:rStyle w:val="TextoNormalCaracter"/>
        </w:rPr>
        <w:t>-</w:t>
      </w:r>
      <w:r>
        <w:t xml:space="preserve"> Sentencia </w:t>
      </w:r>
      <w:hyperlink w:anchor="SENTENCIA_2024_68" w:history="1">
        <w:r w:rsidRPr="00601EEA">
          <w:rPr>
            <w:rStyle w:val="TextoNormalCaracter"/>
          </w:rPr>
          <w:t>68/2024</w:t>
        </w:r>
      </w:hyperlink>
      <w:r>
        <w:t xml:space="preserve"> (anula).</w:t>
      </w:r>
    </w:p>
    <w:p w14:paraId="255D4F58" w14:textId="463332D4" w:rsidR="00601EEA" w:rsidRDefault="00601EEA" w:rsidP="00601EEA">
      <w:pPr>
        <w:pStyle w:val="SangriaFrancesaArticulo"/>
      </w:pPr>
      <w:r w:rsidRPr="00601EEA">
        <w:rPr>
          <w:rStyle w:val="TextoNormalNegritaCaracter"/>
        </w:rPr>
        <w:t>Artículo 60.3.</w:t>
      </w:r>
      <w:r w:rsidRPr="00601EEA">
        <w:rPr>
          <w:rStyle w:val="TextoNormalCaracter"/>
        </w:rPr>
        <w:t>-</w:t>
      </w:r>
      <w:r>
        <w:t xml:space="preserve"> Auto </w:t>
      </w:r>
      <w:hyperlink w:anchor="AUTO_2024_22" w:history="1">
        <w:r w:rsidRPr="00601EEA">
          <w:rPr>
            <w:rStyle w:val="TextoNormalCaracter"/>
          </w:rPr>
          <w:t>22/2024</w:t>
        </w:r>
      </w:hyperlink>
      <w:r>
        <w:t>.</w:t>
      </w:r>
    </w:p>
    <w:p w14:paraId="46DFBA41" w14:textId="05FD1449" w:rsidR="00601EEA" w:rsidRDefault="00601EEA" w:rsidP="00601EEA">
      <w:pPr>
        <w:pStyle w:val="SangriaFrancesaArticulo"/>
      </w:pPr>
      <w:r w:rsidRPr="00601EEA">
        <w:rPr>
          <w:rStyle w:val="TextoNormalNegritaCaracter"/>
        </w:rPr>
        <w:t>Artículo 60.3.</w:t>
      </w:r>
      <w:r w:rsidRPr="00601EEA">
        <w:rPr>
          <w:rStyle w:val="TextoNormalCaracter"/>
        </w:rPr>
        <w:t>-</w:t>
      </w:r>
      <w:r>
        <w:t xml:space="preserve"> Sentencia </w:t>
      </w:r>
      <w:hyperlink w:anchor="SENTENCIA_2024_68" w:history="1">
        <w:r w:rsidRPr="00601EEA">
          <w:rPr>
            <w:rStyle w:val="TextoNormalCaracter"/>
          </w:rPr>
          <w:t>68/2024</w:t>
        </w:r>
      </w:hyperlink>
      <w:r>
        <w:t xml:space="preserve"> (anula).</w:t>
      </w:r>
    </w:p>
    <w:p w14:paraId="5BA60624" w14:textId="6A8A16E9" w:rsidR="00601EEA" w:rsidRDefault="00601EEA" w:rsidP="00601EEA">
      <w:pPr>
        <w:pStyle w:val="SangriaFrancesaArticulo"/>
      </w:pPr>
      <w:r w:rsidRPr="00601EEA">
        <w:rPr>
          <w:rStyle w:val="TextoNormalNegritaCaracter"/>
        </w:rPr>
        <w:t>Artículo 62.5.</w:t>
      </w:r>
      <w:r w:rsidRPr="00601EEA">
        <w:rPr>
          <w:rStyle w:val="TextoNormalCaracter"/>
        </w:rPr>
        <w:t>-</w:t>
      </w:r>
      <w:r>
        <w:t xml:space="preserve"> Sentencia </w:t>
      </w:r>
      <w:hyperlink w:anchor="SENTENCIA_2024_68" w:history="1">
        <w:r w:rsidRPr="00601EEA">
          <w:rPr>
            <w:rStyle w:val="TextoNormalCaracter"/>
          </w:rPr>
          <w:t>68/2024</w:t>
        </w:r>
      </w:hyperlink>
      <w:r>
        <w:t>.</w:t>
      </w:r>
    </w:p>
    <w:p w14:paraId="1CECA5A1" w14:textId="7C58F1DD"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710DAA7D" w14:textId="4E9703B7" w:rsidR="00601EEA" w:rsidRDefault="00601EEA" w:rsidP="00601EEA">
      <w:pPr>
        <w:pStyle w:val="SangriaFrancesaArticulo"/>
      </w:pPr>
      <w:r w:rsidRPr="00601EEA">
        <w:rPr>
          <w:rStyle w:val="TextoNormalNegritaCaracter"/>
        </w:rPr>
        <w:t>Artículo 64.3.</w:t>
      </w:r>
      <w:r w:rsidRPr="00601EEA">
        <w:rPr>
          <w:rStyle w:val="TextoNormalCaracter"/>
        </w:rPr>
        <w:t>-</w:t>
      </w:r>
      <w:r>
        <w:t xml:space="preserve"> Sentencia </w:t>
      </w:r>
      <w:hyperlink w:anchor="SENTENCIA_2024_68" w:history="1">
        <w:r w:rsidRPr="00601EEA">
          <w:rPr>
            <w:rStyle w:val="TextoNormalCaracter"/>
          </w:rPr>
          <w:t>68/2024</w:t>
        </w:r>
      </w:hyperlink>
      <w:r>
        <w:t>.</w:t>
      </w:r>
    </w:p>
    <w:p w14:paraId="7E4461D0" w14:textId="2566DC6A"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700C0B9A" w14:textId="520CB1CB" w:rsidR="00601EEA" w:rsidRDefault="00601EEA" w:rsidP="00601EEA">
      <w:pPr>
        <w:pStyle w:val="SangriaFrancesaArticulo"/>
      </w:pPr>
      <w:r w:rsidRPr="00601EEA">
        <w:rPr>
          <w:rStyle w:val="TextoNormalNegritaCaracter"/>
        </w:rPr>
        <w:t>Disposición final primera.</w:t>
      </w:r>
      <w:r w:rsidRPr="00601EEA">
        <w:rPr>
          <w:rStyle w:val="TextoNormalCaracter"/>
        </w:rPr>
        <w:t>-</w:t>
      </w:r>
      <w:r>
        <w:t xml:space="preserve"> Sentencia </w:t>
      </w:r>
      <w:hyperlink w:anchor="SENTENCIA_2024_68" w:history="1">
        <w:r w:rsidRPr="00601EEA">
          <w:rPr>
            <w:rStyle w:val="TextoNormalCaracter"/>
          </w:rPr>
          <w:t>68/2024</w:t>
        </w:r>
      </w:hyperlink>
      <w:r>
        <w:t>.</w:t>
      </w:r>
    </w:p>
    <w:p w14:paraId="2F56DE73" w14:textId="32E78A49"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4B5CB6A1" w14:textId="0188B4BC" w:rsidR="00601EEA" w:rsidRDefault="00601EEA" w:rsidP="00601EEA">
      <w:pPr>
        <w:pStyle w:val="SangriaFrancesaArticulo"/>
      </w:pPr>
      <w:r w:rsidRPr="00601EEA">
        <w:rPr>
          <w:rStyle w:val="TextoNormalNegritaCaracter"/>
        </w:rPr>
        <w:t>Disposición final quinta.</w:t>
      </w:r>
      <w:r w:rsidRPr="00601EEA">
        <w:rPr>
          <w:rStyle w:val="TextoNormalCaracter"/>
        </w:rPr>
        <w:t>-</w:t>
      </w:r>
      <w:r>
        <w:t xml:space="preserve"> Sentencia </w:t>
      </w:r>
      <w:hyperlink w:anchor="SENTENCIA_2024_68" w:history="1">
        <w:r w:rsidRPr="00601EEA">
          <w:rPr>
            <w:rStyle w:val="TextoNormalCaracter"/>
          </w:rPr>
          <w:t>68/2024</w:t>
        </w:r>
      </w:hyperlink>
      <w:r>
        <w:t>.</w:t>
      </w:r>
    </w:p>
    <w:p w14:paraId="2E2BB972" w14:textId="4742CFBE" w:rsidR="00601EEA" w:rsidRDefault="00601EEA" w:rsidP="00601EEA">
      <w:pPr>
        <w:pStyle w:val="SangriaIzquierdaArticulo"/>
      </w:pPr>
      <w:r>
        <w:t xml:space="preserve">Auto </w:t>
      </w:r>
      <w:hyperlink w:anchor="AUTO_2024_22" w:history="1">
        <w:r w:rsidRPr="00601EEA">
          <w:rPr>
            <w:rStyle w:val="TextoNormalCaracter"/>
          </w:rPr>
          <w:t>22/2024</w:t>
        </w:r>
      </w:hyperlink>
      <w:r>
        <w:t>.</w:t>
      </w:r>
    </w:p>
    <w:p w14:paraId="758249AE" w14:textId="225190C6" w:rsidR="00601EEA" w:rsidRDefault="00601EEA" w:rsidP="00601EEA">
      <w:pPr>
        <w:pStyle w:val="TextoNormal"/>
      </w:pPr>
    </w:p>
    <w:p w14:paraId="2E990BBA" w14:textId="77777777" w:rsidR="00601EEA" w:rsidRDefault="00601EEA" w:rsidP="00601EEA">
      <w:pPr>
        <w:pStyle w:val="TextoNormalNegritaCentrado"/>
        <w:suppressAutoHyphens/>
      </w:pPr>
      <w:r w:rsidRPr="00601EEA">
        <w:rPr>
          <w:rStyle w:val="TextoNormalNegritaCentradoSombreado"/>
        </w:rPr>
        <w:t>B.6) Madrid</w:t>
      </w:r>
    </w:p>
    <w:p w14:paraId="161FBE7C" w14:textId="5ADB6AB2" w:rsidR="00601EEA" w:rsidRDefault="00601EEA" w:rsidP="00601EEA">
      <w:pPr>
        <w:pStyle w:val="TextoNormalNegritaCentrado"/>
      </w:pPr>
    </w:p>
    <w:p w14:paraId="732EF37B" w14:textId="77777777" w:rsidR="00601EEA" w:rsidRDefault="00601EEA" w:rsidP="00601EEA">
      <w:pPr>
        <w:pStyle w:val="TextoNormalNegritaCursivandice"/>
        <w:keepNext/>
      </w:pPr>
      <w:r>
        <w:t>Comunidad de Madrid. Ley 20/1998, de 27 de noviembre, de ordenación y coordinación de los transportes urbanos de la Comunidad de Madrid</w:t>
      </w:r>
    </w:p>
    <w:p w14:paraId="03FB77C7" w14:textId="5C1559BF" w:rsidR="00601EEA" w:rsidRDefault="00601EEA" w:rsidP="00601EEA">
      <w:pPr>
        <w:pStyle w:val="SangriaFrancesaArticulo"/>
      </w:pPr>
      <w:r w:rsidRPr="00601EEA">
        <w:rPr>
          <w:rStyle w:val="TextoNormalNegritaCaracter"/>
        </w:rPr>
        <w:t>Capítulo III, sección segunda</w:t>
      </w:r>
      <w:r>
        <w:t xml:space="preserve"> (redactada por la Ley 5/2022, de 9 de junio)</w:t>
      </w:r>
      <w:r w:rsidRPr="00601EEA">
        <w:rPr>
          <w:rStyle w:val="TextoNormalNegritaCaracter"/>
        </w:rPr>
        <w:t>.</w:t>
      </w:r>
      <w:r w:rsidRPr="00601EEA">
        <w:rPr>
          <w:rStyle w:val="TextoNormalCaracter"/>
        </w:rPr>
        <w:t>-</w:t>
      </w:r>
      <w:r>
        <w:t xml:space="preserve"> Sentencia </w:t>
      </w:r>
      <w:hyperlink w:anchor="SENTENCIA_2024_88" w:history="1">
        <w:r w:rsidRPr="00601EEA">
          <w:rPr>
            <w:rStyle w:val="TextoNormalCaracter"/>
          </w:rPr>
          <w:t>88/2024</w:t>
        </w:r>
      </w:hyperlink>
      <w:r>
        <w:t>.</w:t>
      </w:r>
    </w:p>
    <w:p w14:paraId="7DAA4504" w14:textId="0B238908" w:rsidR="00601EEA" w:rsidRDefault="00601EEA" w:rsidP="00601EEA">
      <w:pPr>
        <w:pStyle w:val="SangriaFrancesaArticulo"/>
      </w:pPr>
      <w:r w:rsidRPr="00601EEA">
        <w:rPr>
          <w:rStyle w:val="TextoNormalNegritaCaracter"/>
        </w:rPr>
        <w:t>Artículo 14 quater</w:t>
      </w:r>
      <w:r>
        <w:t xml:space="preserve"> (redactado por la Ley 5/2022, de 9 de junio)</w:t>
      </w:r>
      <w:r w:rsidRPr="00601EEA">
        <w:rPr>
          <w:rStyle w:val="TextoNormalNegritaCaracter"/>
        </w:rPr>
        <w:t>.</w:t>
      </w:r>
      <w:r w:rsidRPr="00601EEA">
        <w:rPr>
          <w:rStyle w:val="TextoNormalCaracter"/>
        </w:rPr>
        <w:t>-</w:t>
      </w:r>
      <w:r>
        <w:t xml:space="preserve"> Sentencia </w:t>
      </w:r>
      <w:hyperlink w:anchor="SENTENCIA_2024_88" w:history="1">
        <w:r w:rsidRPr="00601EEA">
          <w:rPr>
            <w:rStyle w:val="TextoNormalCaracter"/>
          </w:rPr>
          <w:t>88/2024</w:t>
        </w:r>
      </w:hyperlink>
      <w:r>
        <w:t>.</w:t>
      </w:r>
    </w:p>
    <w:p w14:paraId="72EC3776" w14:textId="69978D5F" w:rsidR="00601EEA" w:rsidRDefault="00601EEA" w:rsidP="00601EEA">
      <w:pPr>
        <w:pStyle w:val="SangriaFrancesaArticulo"/>
      </w:pPr>
      <w:r w:rsidRPr="00601EEA">
        <w:rPr>
          <w:rStyle w:val="TextoNormalNegritaCaracter"/>
        </w:rPr>
        <w:t>Artículo 14 ter</w:t>
      </w:r>
      <w:r>
        <w:t xml:space="preserve"> (redactado por la Ley 5/2022, de 9 de junio)</w:t>
      </w:r>
      <w:r w:rsidRPr="00601EEA">
        <w:rPr>
          <w:rStyle w:val="TextoNormalNegritaCaracter"/>
        </w:rPr>
        <w:t>.</w:t>
      </w:r>
      <w:r w:rsidRPr="00601EEA">
        <w:rPr>
          <w:rStyle w:val="TextoNormalCaracter"/>
        </w:rPr>
        <w:t>-</w:t>
      </w:r>
      <w:r>
        <w:t xml:space="preserve"> Sentencia </w:t>
      </w:r>
      <w:hyperlink w:anchor="SENTENCIA_2024_88" w:history="1">
        <w:r w:rsidRPr="00601EEA">
          <w:rPr>
            <w:rStyle w:val="TextoNormalCaracter"/>
          </w:rPr>
          <w:t>88/2024</w:t>
        </w:r>
      </w:hyperlink>
      <w:r>
        <w:t>.</w:t>
      </w:r>
    </w:p>
    <w:p w14:paraId="3964EAA5" w14:textId="33D27F40" w:rsidR="00601EEA" w:rsidRDefault="00601EEA" w:rsidP="00601EEA">
      <w:pPr>
        <w:pStyle w:val="SangriaFrancesaArticulo"/>
      </w:pPr>
      <w:r w:rsidRPr="00601EEA">
        <w:rPr>
          <w:rStyle w:val="TextoNormalNegritaCaracter"/>
        </w:rPr>
        <w:lastRenderedPageBreak/>
        <w:t>Disposición adicional cuarta</w:t>
      </w:r>
      <w:r>
        <w:t xml:space="preserve"> (redactada por la Ley 5/2022, de 9 de junio)</w:t>
      </w:r>
      <w:r w:rsidRPr="00601EEA">
        <w:rPr>
          <w:rStyle w:val="TextoNormalNegritaCaracter"/>
        </w:rPr>
        <w:t>.</w:t>
      </w:r>
      <w:r w:rsidRPr="00601EEA">
        <w:rPr>
          <w:rStyle w:val="TextoNormalCaracter"/>
        </w:rPr>
        <w:t>-</w:t>
      </w:r>
      <w:r>
        <w:t xml:space="preserve"> Sentencia </w:t>
      </w:r>
      <w:hyperlink w:anchor="SENTENCIA_2024_88" w:history="1">
        <w:r w:rsidRPr="00601EEA">
          <w:rPr>
            <w:rStyle w:val="TextoNormalCaracter"/>
          </w:rPr>
          <w:t>88/2024</w:t>
        </w:r>
      </w:hyperlink>
      <w:r>
        <w:t>.</w:t>
      </w:r>
    </w:p>
    <w:p w14:paraId="7CBE22A4" w14:textId="2543E996" w:rsidR="00601EEA" w:rsidRDefault="00601EEA" w:rsidP="00601EEA">
      <w:pPr>
        <w:pStyle w:val="SangriaFrancesaArticulo"/>
      </w:pPr>
    </w:p>
    <w:p w14:paraId="696DCCCE" w14:textId="77777777" w:rsidR="00601EEA" w:rsidRDefault="00601EEA" w:rsidP="00601EEA">
      <w:pPr>
        <w:pStyle w:val="TextoNormalNegritaCursivandice"/>
        <w:keepNext/>
      </w:pPr>
      <w:r>
        <w:t>Comunidad de Madrid. Ley 1/2020, de 8 de octubre, por la que se modifica la Ley 9/2001, de 17 de julio, del suelo de la Comunidad de Madrid, para el impulso y reactivación de la actividad urbanística</w:t>
      </w:r>
    </w:p>
    <w:p w14:paraId="44BE0D6F" w14:textId="6CB668AE"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29" w:history="1">
        <w:r w:rsidRPr="00601EEA">
          <w:rPr>
            <w:rStyle w:val="TextoNormalCaracter"/>
          </w:rPr>
          <w:t>29/2024</w:t>
        </w:r>
      </w:hyperlink>
      <w:r>
        <w:t>.</w:t>
      </w:r>
    </w:p>
    <w:p w14:paraId="032F56C1" w14:textId="4A1FE5C2" w:rsidR="00601EEA" w:rsidRDefault="00601EEA" w:rsidP="00601EEA">
      <w:pPr>
        <w:pStyle w:val="SangriaFrancesaArticulo"/>
      </w:pPr>
    </w:p>
    <w:p w14:paraId="6AE671AF" w14:textId="77777777" w:rsidR="00601EEA" w:rsidRDefault="00601EEA" w:rsidP="00601EEA">
      <w:pPr>
        <w:pStyle w:val="TextoNormalNegritaCursivandice"/>
        <w:keepNext/>
      </w:pPr>
      <w:r>
        <w:t>Comunidad de Madrid. Ley 5/2022, de 9 de junio, por la que se modifica la Ley 20/1998, de 27 de noviembre, de ordenación y coordinación de los transportes urbanos de la Comunidad de Madrid</w:t>
      </w:r>
    </w:p>
    <w:p w14:paraId="7F7D0A76" w14:textId="60019AC2"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88" w:history="1">
        <w:r w:rsidRPr="00601EEA">
          <w:rPr>
            <w:rStyle w:val="TextoNormalCaracter"/>
          </w:rPr>
          <w:t>88/2024</w:t>
        </w:r>
      </w:hyperlink>
      <w:r>
        <w:t>.</w:t>
      </w:r>
    </w:p>
    <w:p w14:paraId="296A3B8F" w14:textId="6B7B97D7" w:rsidR="00601EEA" w:rsidRDefault="00601EEA" w:rsidP="00601EEA">
      <w:pPr>
        <w:pStyle w:val="TextoNormal"/>
      </w:pPr>
    </w:p>
    <w:p w14:paraId="41E19586" w14:textId="77777777" w:rsidR="00601EEA" w:rsidRDefault="00601EEA" w:rsidP="00601EEA">
      <w:pPr>
        <w:pStyle w:val="TextoNormalNegritaCentrado"/>
        <w:suppressAutoHyphens/>
      </w:pPr>
      <w:r w:rsidRPr="00601EEA">
        <w:rPr>
          <w:rStyle w:val="TextoNormalNegritaCentradoSombreado"/>
        </w:rPr>
        <w:t>B.7) Navarra</w:t>
      </w:r>
    </w:p>
    <w:p w14:paraId="068C8B0F" w14:textId="58BF670F" w:rsidR="00601EEA" w:rsidRDefault="00601EEA" w:rsidP="00601EEA">
      <w:pPr>
        <w:pStyle w:val="TextoNormalNegritaCentrado"/>
      </w:pPr>
    </w:p>
    <w:p w14:paraId="1D6BB700" w14:textId="77777777" w:rsidR="00601EEA" w:rsidRDefault="00601EEA" w:rsidP="00601EEA">
      <w:pPr>
        <w:pStyle w:val="TextoNormalNegritaCursivandice"/>
        <w:keepNext/>
      </w:pPr>
      <w:r>
        <w:t>Comunidad Foral de Navarra. Ley Foral 2/2018, de 13 de abril, de contratos públicos</w:t>
      </w:r>
    </w:p>
    <w:p w14:paraId="1CC6C29A" w14:textId="6DF5F98F" w:rsidR="00601EEA" w:rsidRDefault="00601EEA" w:rsidP="00601EEA">
      <w:pPr>
        <w:pStyle w:val="SangriaFrancesaArticulo"/>
      </w:pPr>
      <w:r w:rsidRPr="00601EEA">
        <w:rPr>
          <w:rStyle w:val="TextoNormalNegritaCaracter"/>
        </w:rPr>
        <w:t>Artículo 7.1 l)</w:t>
      </w:r>
      <w:r>
        <w:t xml:space="preserve"> (redactado por la Ley Foral 17/2021, de 21 de octubre)</w:t>
      </w:r>
      <w:r w:rsidRPr="00601EEA">
        <w:rPr>
          <w:rStyle w:val="TextoNormalNegritaCaracter"/>
        </w:rPr>
        <w:t>.</w:t>
      </w:r>
      <w:r w:rsidRPr="00601EEA">
        <w:rPr>
          <w:rStyle w:val="TextoNormalCaracter"/>
        </w:rPr>
        <w:t>-</w:t>
      </w:r>
      <w:r>
        <w:t xml:space="preserve"> Sentencia </w:t>
      </w:r>
      <w:hyperlink w:anchor="SENTENCIA_2024_65" w:history="1">
        <w:r w:rsidRPr="00601EEA">
          <w:rPr>
            <w:rStyle w:val="TextoNormalCaracter"/>
          </w:rPr>
          <w:t>65/2024</w:t>
        </w:r>
      </w:hyperlink>
      <w:r>
        <w:t xml:space="preserve"> (anula).</w:t>
      </w:r>
    </w:p>
    <w:p w14:paraId="5E8179B6" w14:textId="245DF352" w:rsidR="00601EEA" w:rsidRDefault="00601EEA" w:rsidP="00601EEA">
      <w:pPr>
        <w:pStyle w:val="SangriaFrancesaArticulo"/>
      </w:pPr>
      <w:r w:rsidRPr="00601EEA">
        <w:rPr>
          <w:rStyle w:val="TextoNormalNegritaCaracter"/>
        </w:rPr>
        <w:t>Artículo 7.1 m)</w:t>
      </w:r>
      <w:r>
        <w:t xml:space="preserve"> (redactado por la Ley Foral 17/2021, de 21 de octubre)</w:t>
      </w:r>
      <w:r w:rsidRPr="00601EEA">
        <w:rPr>
          <w:rStyle w:val="TextoNormalNegritaCaracter"/>
        </w:rPr>
        <w:t>.</w:t>
      </w:r>
      <w:r w:rsidRPr="00601EEA">
        <w:rPr>
          <w:rStyle w:val="TextoNormalCaracter"/>
        </w:rPr>
        <w:t>-</w:t>
      </w:r>
      <w:r>
        <w:t xml:space="preserve"> Sentencia </w:t>
      </w:r>
      <w:hyperlink w:anchor="SENTENCIA_2024_65" w:history="1">
        <w:r w:rsidRPr="00601EEA">
          <w:rPr>
            <w:rStyle w:val="TextoNormalCaracter"/>
          </w:rPr>
          <w:t>65/2024</w:t>
        </w:r>
      </w:hyperlink>
      <w:r>
        <w:t>.</w:t>
      </w:r>
    </w:p>
    <w:p w14:paraId="27DC2F62" w14:textId="1239FB1F" w:rsidR="00601EEA" w:rsidRDefault="00601EEA" w:rsidP="00601EEA">
      <w:pPr>
        <w:pStyle w:val="SangriaFrancesaArticulo"/>
      </w:pPr>
      <w:r w:rsidRPr="00601EEA">
        <w:rPr>
          <w:rStyle w:val="TextoNormalNegritaCaracter"/>
        </w:rPr>
        <w:t>Disposición adicional vigesimoprimera</w:t>
      </w:r>
      <w:r>
        <w:t xml:space="preserve"> (redactada por la Ley Foral 17/2021, de 21 de octubre)</w:t>
      </w:r>
      <w:r w:rsidRPr="00601EEA">
        <w:rPr>
          <w:rStyle w:val="TextoNormalNegritaCaracter"/>
        </w:rPr>
        <w:t>.</w:t>
      </w:r>
      <w:r w:rsidRPr="00601EEA">
        <w:rPr>
          <w:rStyle w:val="TextoNormalCaracter"/>
        </w:rPr>
        <w:t>-</w:t>
      </w:r>
      <w:r>
        <w:t xml:space="preserve"> Sentencia </w:t>
      </w:r>
      <w:hyperlink w:anchor="SENTENCIA_2024_65" w:history="1">
        <w:r w:rsidRPr="00601EEA">
          <w:rPr>
            <w:rStyle w:val="TextoNormalCaracter"/>
          </w:rPr>
          <w:t>65/2024</w:t>
        </w:r>
      </w:hyperlink>
      <w:r>
        <w:t>.</w:t>
      </w:r>
    </w:p>
    <w:p w14:paraId="63590E8A" w14:textId="6A8FC096" w:rsidR="00601EEA" w:rsidRDefault="00601EEA" w:rsidP="00601EEA">
      <w:pPr>
        <w:pStyle w:val="SangriaFrancesaArticulo"/>
      </w:pPr>
    </w:p>
    <w:p w14:paraId="09978DA0" w14:textId="77777777" w:rsidR="00601EEA" w:rsidRDefault="00601EEA" w:rsidP="00601EEA">
      <w:pPr>
        <w:pStyle w:val="TextoNormalNegritaCursivandice"/>
        <w:keepNext/>
      </w:pPr>
      <w:r>
        <w:t>Comunidad Foral de Navarra. Ley Foral 17/2021, de 21 de octubre, por la que se modifica la Ley Foral 2/2018, de 13 de abril, de contratos públicos</w:t>
      </w:r>
    </w:p>
    <w:p w14:paraId="320AB381" w14:textId="3FAFAF5B" w:rsidR="00601EEA" w:rsidRDefault="00601EEA" w:rsidP="00601EEA">
      <w:pPr>
        <w:pStyle w:val="SangriaFrancesaArticulo"/>
      </w:pPr>
      <w:r w:rsidRPr="00601EEA">
        <w:rPr>
          <w:rStyle w:val="TextoNormalNegritaCaracter"/>
        </w:rPr>
        <w:t>Artículo único, apartado sesenta y cinco.</w:t>
      </w:r>
      <w:r w:rsidRPr="00601EEA">
        <w:rPr>
          <w:rStyle w:val="TextoNormalCaracter"/>
        </w:rPr>
        <w:t>-</w:t>
      </w:r>
      <w:r>
        <w:t xml:space="preserve"> Sentencia </w:t>
      </w:r>
      <w:hyperlink w:anchor="SENTENCIA_2024_65" w:history="1">
        <w:r w:rsidRPr="00601EEA">
          <w:rPr>
            <w:rStyle w:val="TextoNormalCaracter"/>
          </w:rPr>
          <w:t>65/2024</w:t>
        </w:r>
      </w:hyperlink>
      <w:r>
        <w:t>.</w:t>
      </w:r>
    </w:p>
    <w:p w14:paraId="55E2CA85" w14:textId="691C1A0C" w:rsidR="00601EEA" w:rsidRDefault="00601EEA" w:rsidP="00601EEA">
      <w:pPr>
        <w:pStyle w:val="SangriaFrancesaArticulo"/>
      </w:pPr>
      <w:r w:rsidRPr="00601EEA">
        <w:rPr>
          <w:rStyle w:val="TextoNormalNegritaCaracter"/>
        </w:rPr>
        <w:t>Artículo único, apartado dos.</w:t>
      </w:r>
      <w:r w:rsidRPr="00601EEA">
        <w:rPr>
          <w:rStyle w:val="TextoNormalCaracter"/>
        </w:rPr>
        <w:t>-</w:t>
      </w:r>
      <w:r>
        <w:t xml:space="preserve"> Sentencia </w:t>
      </w:r>
      <w:hyperlink w:anchor="SENTENCIA_2024_65" w:history="1">
        <w:r w:rsidRPr="00601EEA">
          <w:rPr>
            <w:rStyle w:val="TextoNormalCaracter"/>
          </w:rPr>
          <w:t>65/2024</w:t>
        </w:r>
      </w:hyperlink>
      <w:r>
        <w:t xml:space="preserve"> (anula parcialmente).</w:t>
      </w:r>
    </w:p>
    <w:p w14:paraId="4CC81A99" w14:textId="33B13E5E" w:rsidR="00601EEA" w:rsidRDefault="00601EEA">
      <w:pPr>
        <w:spacing w:after="160" w:line="259" w:lineRule="auto"/>
        <w:rPr>
          <w:rFonts w:ascii="Times New Roman" w:eastAsia="Times New Roman" w:hAnsi="Times New Roman" w:cs="Times New Roman"/>
          <w:sz w:val="24"/>
          <w:szCs w:val="24"/>
          <w:lang w:eastAsia="es-ES"/>
        </w:rPr>
      </w:pPr>
      <w:r>
        <w:br w:type="page"/>
      </w:r>
    </w:p>
    <w:p w14:paraId="31B26D5F" w14:textId="77777777" w:rsidR="00601EEA" w:rsidRDefault="00601EEA" w:rsidP="00601EEA">
      <w:pPr>
        <w:pStyle w:val="SangriaFrancesaArticulo"/>
      </w:pPr>
    </w:p>
    <w:p w14:paraId="0B306818" w14:textId="77777777" w:rsidR="00601EEA" w:rsidRDefault="00601EEA" w:rsidP="00601EEA">
      <w:pPr>
        <w:pStyle w:val="TextoNormal"/>
      </w:pPr>
    </w:p>
    <w:p w14:paraId="7C5EADD0" w14:textId="77777777" w:rsidR="00601EEA" w:rsidRDefault="00601EEA" w:rsidP="00601EEA">
      <w:pPr>
        <w:pStyle w:val="TextoNormal"/>
      </w:pPr>
    </w:p>
    <w:p w14:paraId="243CCC44" w14:textId="77777777" w:rsidR="00601EEA" w:rsidRDefault="00601EEA" w:rsidP="00601EEA">
      <w:pPr>
        <w:pStyle w:val="TextoNormal"/>
      </w:pPr>
    </w:p>
    <w:p w14:paraId="789CB244" w14:textId="77777777" w:rsidR="00601EEA" w:rsidRDefault="00601EEA" w:rsidP="00601EEA">
      <w:pPr>
        <w:pStyle w:val="Ttulondice"/>
        <w:suppressAutoHyphens/>
      </w:pPr>
      <w:r>
        <w:t>4. ÍNDICE DE DISPOSICIONES GENERALES Y RESOLUCIONES IMPUGNADAS</w:t>
      </w:r>
    </w:p>
    <w:p w14:paraId="67549FAD" w14:textId="347E9EBE" w:rsidR="00601EEA" w:rsidRDefault="00601EEA" w:rsidP="00601EEA">
      <w:pPr>
        <w:pStyle w:val="TextoNormal"/>
        <w:suppressAutoHyphens/>
      </w:pPr>
    </w:p>
    <w:p w14:paraId="130B752B" w14:textId="77777777" w:rsidR="00601EEA" w:rsidRDefault="00601EEA" w:rsidP="00601EEA">
      <w:pPr>
        <w:pStyle w:val="TextoNormal"/>
        <w:suppressAutoHyphens/>
      </w:pPr>
    </w:p>
    <w:p w14:paraId="7E0AF16E" w14:textId="77777777" w:rsidR="00601EEA" w:rsidRDefault="00601EEA" w:rsidP="00601EEA">
      <w:pPr>
        <w:pStyle w:val="TextoNormal"/>
        <w:suppressAutoHyphens/>
      </w:pPr>
    </w:p>
    <w:p w14:paraId="2E4546FA" w14:textId="77777777" w:rsidR="00601EEA" w:rsidRDefault="00601EEA" w:rsidP="00601EEA">
      <w:pPr>
        <w:pStyle w:val="TextoNormal"/>
        <w:suppressAutoHyphens/>
      </w:pPr>
    </w:p>
    <w:p w14:paraId="22A50184" w14:textId="77777777" w:rsidR="00601EEA" w:rsidRDefault="00601EEA" w:rsidP="00601EEA">
      <w:pPr>
        <w:pStyle w:val="TextoNormal"/>
        <w:suppressAutoHyphens/>
      </w:pPr>
    </w:p>
    <w:p w14:paraId="0DB0178A" w14:textId="77777777" w:rsidR="00601EEA" w:rsidRDefault="00601EEA" w:rsidP="00601EEA">
      <w:pPr>
        <w:pStyle w:val="TextoNormal"/>
        <w:suppressAutoHyphens/>
      </w:pPr>
    </w:p>
    <w:p w14:paraId="55828BD9" w14:textId="77777777" w:rsidR="00601EEA" w:rsidRDefault="00601EEA" w:rsidP="00601EEA">
      <w:pPr>
        <w:pStyle w:val="TextoNormal"/>
        <w:suppressAutoHyphens/>
      </w:pPr>
    </w:p>
    <w:p w14:paraId="734E97A4" w14:textId="77777777" w:rsidR="00601EEA" w:rsidRDefault="00601EEA" w:rsidP="00601EEA">
      <w:pPr>
        <w:pStyle w:val="TextoNormal"/>
        <w:suppressAutoHyphens/>
      </w:pPr>
    </w:p>
    <w:p w14:paraId="3FFB8133" w14:textId="77777777" w:rsidR="00601EEA" w:rsidRDefault="00601EEA" w:rsidP="00601EEA">
      <w:pPr>
        <w:pStyle w:val="TextoNormal"/>
        <w:suppressAutoHyphens/>
      </w:pPr>
    </w:p>
    <w:p w14:paraId="234135FD" w14:textId="77777777" w:rsidR="00601EEA" w:rsidRDefault="00601EEA" w:rsidP="00601EEA">
      <w:pPr>
        <w:pStyle w:val="TextoNormal"/>
      </w:pPr>
    </w:p>
    <w:p w14:paraId="622AF391" w14:textId="77777777" w:rsidR="00601EEA" w:rsidRDefault="00601EEA" w:rsidP="00601EEA">
      <w:pPr>
        <w:pStyle w:val="TextoNormal"/>
      </w:pPr>
      <w:bookmarkStart w:id="158" w:name="INDICE22803"/>
      <w:bookmarkEnd w:id="158"/>
    </w:p>
    <w:p w14:paraId="43DFE3A6" w14:textId="77777777" w:rsidR="00601EEA" w:rsidRDefault="00601EEA" w:rsidP="00601EEA">
      <w:pPr>
        <w:pStyle w:val="TextoIndiceNivel2"/>
        <w:suppressAutoHyphens/>
      </w:pPr>
      <w:r>
        <w:t>A) Disposiciones del Estado</w:t>
      </w:r>
    </w:p>
    <w:p w14:paraId="33209694" w14:textId="043D6F34" w:rsidR="00601EEA" w:rsidRDefault="00601EEA" w:rsidP="00601EEA">
      <w:pPr>
        <w:pStyle w:val="TextoIndiceNivel2"/>
      </w:pPr>
    </w:p>
    <w:p w14:paraId="27B45051" w14:textId="77777777" w:rsidR="00601EEA" w:rsidRDefault="00601EEA" w:rsidP="00601EEA">
      <w:pPr>
        <w:pStyle w:val="TextoNormalNegritaCursivandice"/>
        <w:keepNext/>
      </w:pPr>
      <w:r>
        <w:t>Resolución de 21 de noviembre de 2018 de la Subdelegación del Gobierno en Barcelona, en materia de expulsión del territorio nacional</w:t>
      </w:r>
    </w:p>
    <w:p w14:paraId="50FCE6D0" w14:textId="566A67B3" w:rsidR="00601EEA" w:rsidRDefault="00601EEA" w:rsidP="00601EEA">
      <w:pPr>
        <w:pStyle w:val="SangriaFrancesaArticulo"/>
      </w:pPr>
      <w:r w:rsidRPr="00601EEA">
        <w:rPr>
          <w:rStyle w:val="TextoNormalNegritaCaracter"/>
        </w:rPr>
        <w:t>En general.</w:t>
      </w:r>
      <w:r w:rsidRPr="00601EEA">
        <w:rPr>
          <w:rStyle w:val="TextoNormalCaracter"/>
        </w:rPr>
        <w:t>-</w:t>
      </w:r>
      <w:r>
        <w:t xml:space="preserve"> Auto </w:t>
      </w:r>
      <w:hyperlink w:anchor="AUTO_2024_36" w:history="1">
        <w:r w:rsidRPr="00601EEA">
          <w:rPr>
            <w:rStyle w:val="TextoNormalCaracter"/>
          </w:rPr>
          <w:t>36/2024</w:t>
        </w:r>
      </w:hyperlink>
      <w:r>
        <w:t>.</w:t>
      </w:r>
    </w:p>
    <w:p w14:paraId="23140A1F" w14:textId="52D503BA" w:rsidR="00601EEA" w:rsidRDefault="00601EEA" w:rsidP="00601EEA">
      <w:pPr>
        <w:pStyle w:val="SangriaFrancesaArticulo"/>
      </w:pPr>
    </w:p>
    <w:p w14:paraId="10764FDE" w14:textId="77777777" w:rsidR="00601EEA" w:rsidRDefault="00601EEA" w:rsidP="00601EEA">
      <w:pPr>
        <w:pStyle w:val="TextoNormalNegritaCursivandice"/>
        <w:keepNext/>
      </w:pPr>
      <w:r>
        <w:t>Resolución de 15 de enero de 2019 de la Subdelegación del Gobierno en Castellón. En materia de expulsión del territorio nacional</w:t>
      </w:r>
    </w:p>
    <w:p w14:paraId="58C7CCCB" w14:textId="729E9F7D"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49" w:history="1">
        <w:r w:rsidRPr="00601EEA">
          <w:rPr>
            <w:rStyle w:val="TextoNormalCaracter"/>
          </w:rPr>
          <w:t>49/2024</w:t>
        </w:r>
      </w:hyperlink>
      <w:r>
        <w:t xml:space="preserve"> (anula).</w:t>
      </w:r>
    </w:p>
    <w:p w14:paraId="061901CA" w14:textId="08665497" w:rsidR="00601EEA" w:rsidRDefault="00601EEA" w:rsidP="00601EEA">
      <w:pPr>
        <w:pStyle w:val="SangriaFrancesaArticulo"/>
      </w:pPr>
    </w:p>
    <w:p w14:paraId="1A4B1F04" w14:textId="77777777" w:rsidR="00601EEA" w:rsidRDefault="00601EEA" w:rsidP="00601EEA">
      <w:pPr>
        <w:pStyle w:val="TextoNormalNegritaCursivandice"/>
        <w:keepNext/>
      </w:pPr>
      <w:r>
        <w:t>Acuerdo 10/2020, de 28 de enero, de la Junta Electoral Central sobre proclamación de candidatos electos al Parlamento Europeo y expedición de credencial</w:t>
      </w:r>
    </w:p>
    <w:p w14:paraId="59DC7A74" w14:textId="657258A5"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64" w:history="1">
        <w:r w:rsidRPr="00601EEA">
          <w:rPr>
            <w:rStyle w:val="TextoNormalCaracter"/>
          </w:rPr>
          <w:t>64/2024</w:t>
        </w:r>
      </w:hyperlink>
      <w:r>
        <w:t>.</w:t>
      </w:r>
    </w:p>
    <w:p w14:paraId="2503056F" w14:textId="7FF44A8A" w:rsidR="00601EEA" w:rsidRDefault="00601EEA" w:rsidP="00601EEA">
      <w:pPr>
        <w:pStyle w:val="SangriaFrancesaArticulo"/>
      </w:pPr>
    </w:p>
    <w:p w14:paraId="395A689C" w14:textId="77777777" w:rsidR="00601EEA" w:rsidRDefault="00601EEA" w:rsidP="00601EEA">
      <w:pPr>
        <w:pStyle w:val="TextoNormalNegritaCursivandice"/>
        <w:keepNext/>
      </w:pPr>
      <w:r>
        <w:t>Acuerdo 11/2020, de 28 de enero, de la Junta Electoral Central sobre proclamación de candidatos electos al Parlamento Europeo y expedición de credencial</w:t>
      </w:r>
    </w:p>
    <w:p w14:paraId="52AE99AB" w14:textId="60DB5566"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64" w:history="1">
        <w:r w:rsidRPr="00601EEA">
          <w:rPr>
            <w:rStyle w:val="TextoNormalCaracter"/>
          </w:rPr>
          <w:t>64/2024</w:t>
        </w:r>
      </w:hyperlink>
      <w:r>
        <w:t>.</w:t>
      </w:r>
    </w:p>
    <w:p w14:paraId="364D3167" w14:textId="4A6D003A" w:rsidR="00601EEA" w:rsidRDefault="00601EEA" w:rsidP="00601EEA">
      <w:pPr>
        <w:pStyle w:val="SangriaFrancesaArticulo"/>
      </w:pPr>
    </w:p>
    <w:p w14:paraId="3DB91316" w14:textId="77777777" w:rsidR="00601EEA" w:rsidRDefault="00601EEA" w:rsidP="00601EEA">
      <w:pPr>
        <w:pStyle w:val="TextoNormalNegritaCursivandice"/>
        <w:keepNext/>
      </w:pPr>
      <w:r>
        <w:t>Acuerdo 14/2020, de 30 de enero, de la Junta Electoral Central sobre proclamación de candidatos electos al Parlamento Europeo y expedición de credencial</w:t>
      </w:r>
    </w:p>
    <w:p w14:paraId="09585D10" w14:textId="0E8C6591"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64" w:history="1">
        <w:r w:rsidRPr="00601EEA">
          <w:rPr>
            <w:rStyle w:val="TextoNormalCaracter"/>
          </w:rPr>
          <w:t>64/2024</w:t>
        </w:r>
      </w:hyperlink>
      <w:r>
        <w:t>.</w:t>
      </w:r>
    </w:p>
    <w:p w14:paraId="1AB42681" w14:textId="0C35DC7D" w:rsidR="00601EEA" w:rsidRDefault="00601EEA" w:rsidP="00601EEA">
      <w:pPr>
        <w:pStyle w:val="SangriaFrancesaArticulo"/>
      </w:pPr>
    </w:p>
    <w:p w14:paraId="381E92E3" w14:textId="77777777" w:rsidR="00601EEA" w:rsidRDefault="00601EEA" w:rsidP="00601EEA">
      <w:pPr>
        <w:pStyle w:val="TextoNormalNegritaCursivandice"/>
        <w:keepNext/>
      </w:pPr>
      <w:r>
        <w:lastRenderedPageBreak/>
        <w:t>Acuerdo de la mesa del Congreso de los Diputados, de 13 de enero de 2021, sobre la tramitación de la proposición de ley orgánica por la que se modifica la Ley Orgánica 6/1985, de 1 de julio, del Poder Judicial. Acuerdo de la mesa del Congreso de los Diputados, de 9 de febrero de 2021, rechazando la petición de reconsideración contra el acuerdo anterior.</w:t>
      </w:r>
    </w:p>
    <w:p w14:paraId="72676017" w14:textId="77D574B3"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30" w:history="1">
        <w:r w:rsidRPr="00601EEA">
          <w:rPr>
            <w:rStyle w:val="TextoNormalCaracter"/>
          </w:rPr>
          <w:t>30/2024</w:t>
        </w:r>
      </w:hyperlink>
      <w:r>
        <w:t>.</w:t>
      </w:r>
    </w:p>
    <w:p w14:paraId="015C18D0" w14:textId="45308B93" w:rsidR="00601EEA" w:rsidRDefault="00601EEA" w:rsidP="00601EEA">
      <w:pPr>
        <w:pStyle w:val="SangriaFrancesaArticulo"/>
      </w:pPr>
    </w:p>
    <w:p w14:paraId="1EED0B6B" w14:textId="77777777" w:rsidR="00601EEA" w:rsidRDefault="00601EEA" w:rsidP="00601EEA">
      <w:pPr>
        <w:pStyle w:val="TextoNormalNegritaCursivandice"/>
        <w:keepNext/>
      </w:pPr>
      <w:r>
        <w:t>Acuerdo de la presidenta del Congreso de los Diputados de 4 de febrero de 2021. Acuerdo de la mesa del Congreso de los Diputados de 9 de febrero de 2021, en materia de convalidación de los reales decretos-leyes</w:t>
      </w:r>
    </w:p>
    <w:p w14:paraId="08F8291E" w14:textId="397DFBE5"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10" w:history="1">
        <w:r w:rsidRPr="00601EEA">
          <w:rPr>
            <w:rStyle w:val="TextoNormalCaracter"/>
          </w:rPr>
          <w:t>10/2024</w:t>
        </w:r>
      </w:hyperlink>
      <w:r>
        <w:t>.</w:t>
      </w:r>
    </w:p>
    <w:p w14:paraId="37642EDB" w14:textId="196669DE" w:rsidR="00601EEA" w:rsidRDefault="00601EEA" w:rsidP="00601EEA">
      <w:pPr>
        <w:pStyle w:val="SangriaFrancesaArticulo"/>
      </w:pPr>
    </w:p>
    <w:p w14:paraId="4528BA7B" w14:textId="77777777" w:rsidR="00601EEA" w:rsidRDefault="00601EEA" w:rsidP="00601EEA">
      <w:pPr>
        <w:pStyle w:val="TextoNormalNegritaCursivandice"/>
        <w:keepNext/>
      </w:pPr>
      <w:r>
        <w:t>Acuerdo de la mesa de la Comisión de Justicia del Congreso de los Diputados, de 16 de febrero de 2021, sobre la tramitación de la proposición de ley orgánica por la que se modifica la Ley Orgánica 6/1985, de 1 de julio, del Poder Judicial</w:t>
      </w:r>
    </w:p>
    <w:p w14:paraId="66E847AE" w14:textId="5D850D33"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30" w:history="1">
        <w:r w:rsidRPr="00601EEA">
          <w:rPr>
            <w:rStyle w:val="TextoNormalCaracter"/>
          </w:rPr>
          <w:t>30/2024</w:t>
        </w:r>
      </w:hyperlink>
      <w:r>
        <w:t>.</w:t>
      </w:r>
    </w:p>
    <w:p w14:paraId="3D1E4800" w14:textId="4DBD0150" w:rsidR="00601EEA" w:rsidRDefault="00601EEA" w:rsidP="00601EEA">
      <w:pPr>
        <w:pStyle w:val="SangriaFrancesaArticulo"/>
      </w:pPr>
    </w:p>
    <w:p w14:paraId="4F7CAD1F" w14:textId="77777777" w:rsidR="00601EEA" w:rsidRDefault="00601EEA" w:rsidP="00601EEA">
      <w:pPr>
        <w:pStyle w:val="TextoNormalNegritaCursivandice"/>
        <w:keepNext/>
      </w:pPr>
      <w:r>
        <w:t>Acuerdo de la presidenta del Congreso de los Diputados de 22 de octubre de 2021, en materia de ejecución de sentencias</w:t>
      </w:r>
    </w:p>
    <w:p w14:paraId="6396B622" w14:textId="2DE491FD"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18" w:history="1">
        <w:r w:rsidRPr="00601EEA">
          <w:rPr>
            <w:rStyle w:val="TextoNormalCaracter"/>
          </w:rPr>
          <w:t>18/2024</w:t>
        </w:r>
      </w:hyperlink>
      <w:r>
        <w:t xml:space="preserve"> (anula).</w:t>
      </w:r>
    </w:p>
    <w:p w14:paraId="13AB8F0C" w14:textId="379B8053" w:rsidR="00601EEA" w:rsidRDefault="00601EEA" w:rsidP="00601EEA">
      <w:pPr>
        <w:pStyle w:val="SangriaFrancesaArticulo"/>
      </w:pPr>
    </w:p>
    <w:p w14:paraId="6BF0F1E7" w14:textId="77777777" w:rsidR="00601EEA" w:rsidRDefault="00601EEA" w:rsidP="00601EEA">
      <w:pPr>
        <w:pStyle w:val="TextoNormalNegritaCursivandice"/>
        <w:keepNext/>
      </w:pPr>
      <w:r>
        <w:t>Acuerdo de la mesa del Congreso de los Diputados de 6 de febrero de 2024. Decisión in voce de la presidenta del Congreso de los Diputados de 30 de enero de 2024 en materia de procedimiento legislativo</w:t>
      </w:r>
    </w:p>
    <w:p w14:paraId="5361D90D" w14:textId="6F3BD6A5" w:rsidR="00601EEA" w:rsidRDefault="00601EEA" w:rsidP="00601EEA">
      <w:pPr>
        <w:pStyle w:val="SangriaFrancesaArticulo"/>
      </w:pPr>
      <w:r w:rsidRPr="00601EEA">
        <w:rPr>
          <w:rStyle w:val="TextoNormalNegritaCaracter"/>
        </w:rPr>
        <w:t>En general.</w:t>
      </w:r>
      <w:r w:rsidRPr="00601EEA">
        <w:rPr>
          <w:rStyle w:val="TextoNormalCaracter"/>
        </w:rPr>
        <w:t>-</w:t>
      </w:r>
      <w:r>
        <w:t xml:space="preserve"> Auto </w:t>
      </w:r>
      <w:hyperlink w:anchor="AUTO_2024_24" w:history="1">
        <w:r w:rsidRPr="00601EEA">
          <w:rPr>
            <w:rStyle w:val="TextoNormalCaracter"/>
          </w:rPr>
          <w:t>24/2024</w:t>
        </w:r>
      </w:hyperlink>
      <w:r>
        <w:t>.</w:t>
      </w:r>
    </w:p>
    <w:p w14:paraId="7A402038" w14:textId="092108F8" w:rsidR="00601EEA" w:rsidRDefault="00601EEA" w:rsidP="00601EEA">
      <w:pPr>
        <w:pStyle w:val="TextoNormal"/>
      </w:pPr>
    </w:p>
    <w:p w14:paraId="3B3159A9" w14:textId="77777777" w:rsidR="00601EEA" w:rsidRDefault="00601EEA" w:rsidP="00601EEA">
      <w:pPr>
        <w:pStyle w:val="SangriaFrancesaArticulo"/>
      </w:pPr>
      <w:bookmarkStart w:id="159" w:name="INDICE22824"/>
    </w:p>
    <w:bookmarkEnd w:id="159"/>
    <w:p w14:paraId="4C8E7160" w14:textId="77777777" w:rsidR="00601EEA" w:rsidRDefault="00601EEA" w:rsidP="00601EEA">
      <w:pPr>
        <w:pStyle w:val="TextoIndiceNivel2"/>
        <w:suppressAutoHyphens/>
      </w:pPr>
      <w:r>
        <w:t>B) Disposiciones de las Comunidades y Ciudades Autónomas</w:t>
      </w:r>
    </w:p>
    <w:p w14:paraId="0CD85EF6" w14:textId="63BFB4F8" w:rsidR="00601EEA" w:rsidRDefault="00601EEA" w:rsidP="00601EEA">
      <w:pPr>
        <w:pStyle w:val="TextoNormal"/>
      </w:pPr>
    </w:p>
    <w:p w14:paraId="618EF20C" w14:textId="77777777" w:rsidR="00601EEA" w:rsidRDefault="00601EEA" w:rsidP="00601EEA">
      <w:pPr>
        <w:pStyle w:val="TextoNormalNegritaCentrado"/>
        <w:suppressAutoHyphens/>
      </w:pPr>
      <w:r w:rsidRPr="00601EEA">
        <w:rPr>
          <w:rStyle w:val="TextoNormalNegritaCentradoSombreado"/>
        </w:rPr>
        <w:t>B.1) Castilla-La Mancha</w:t>
      </w:r>
    </w:p>
    <w:p w14:paraId="0CF25251" w14:textId="474C9F7A" w:rsidR="00601EEA" w:rsidRDefault="00601EEA" w:rsidP="00601EEA">
      <w:pPr>
        <w:pStyle w:val="TextoNormalNegritaCentrado"/>
      </w:pPr>
    </w:p>
    <w:p w14:paraId="0768CF9F" w14:textId="77777777" w:rsidR="00601EEA" w:rsidRDefault="00601EEA" w:rsidP="00601EEA">
      <w:pPr>
        <w:pStyle w:val="TextoNormalNegritaCursivandice"/>
        <w:keepNext/>
      </w:pPr>
      <w:r>
        <w:t>Comunidad Autónoma de Castilla-La Mancha. Acuerdo de la mesa de las Cortes de Castilla-La Mancha, de 7 de noviembre de 2022, sobre solicitud de interpelación urgente. Acuerdo de la mesa de las Cortes de Castilla-La Mancha, de 12 de diciembre de 2022, rechazando la petición de reconsideración contra el acuerdo anterior</w:t>
      </w:r>
    </w:p>
    <w:p w14:paraId="5DD1E737" w14:textId="6184BDF5" w:rsidR="00601EEA" w:rsidRDefault="00601EEA" w:rsidP="00601EEA">
      <w:pPr>
        <w:pStyle w:val="SangriaFrancesaArticulo"/>
      </w:pPr>
      <w:r w:rsidRPr="00601EEA">
        <w:rPr>
          <w:rStyle w:val="TextoNormalNegritaCaracter"/>
        </w:rPr>
        <w:t>En general.</w:t>
      </w:r>
      <w:r w:rsidRPr="00601EEA">
        <w:rPr>
          <w:rStyle w:val="TextoNormalCaracter"/>
        </w:rPr>
        <w:t>-</w:t>
      </w:r>
      <w:r>
        <w:t xml:space="preserve"> Auto </w:t>
      </w:r>
      <w:hyperlink w:anchor="AUTO_2024_52" w:history="1">
        <w:r w:rsidRPr="00601EEA">
          <w:rPr>
            <w:rStyle w:val="TextoNormalCaracter"/>
          </w:rPr>
          <w:t>52/2024</w:t>
        </w:r>
      </w:hyperlink>
      <w:r>
        <w:t>.</w:t>
      </w:r>
    </w:p>
    <w:p w14:paraId="076B5D5C" w14:textId="3CE950EA" w:rsidR="00601EEA" w:rsidRDefault="00601EEA" w:rsidP="00601EEA">
      <w:pPr>
        <w:pStyle w:val="TextoNormal"/>
      </w:pPr>
    </w:p>
    <w:p w14:paraId="783D4761" w14:textId="77777777" w:rsidR="00601EEA" w:rsidRDefault="00601EEA" w:rsidP="00601EEA">
      <w:pPr>
        <w:pStyle w:val="TextoNormalNegritaCentrado"/>
        <w:suppressAutoHyphens/>
      </w:pPr>
      <w:r w:rsidRPr="00601EEA">
        <w:rPr>
          <w:rStyle w:val="TextoNormalNegritaCentradoSombreado"/>
        </w:rPr>
        <w:t>B.2) Cataluña</w:t>
      </w:r>
    </w:p>
    <w:p w14:paraId="76A53799" w14:textId="3B52F2E6" w:rsidR="00601EEA" w:rsidRDefault="00601EEA" w:rsidP="00601EEA">
      <w:pPr>
        <w:pStyle w:val="TextoNormalNegritaCentrado"/>
      </w:pPr>
    </w:p>
    <w:p w14:paraId="7662D146" w14:textId="77777777" w:rsidR="00601EEA" w:rsidRDefault="00601EEA" w:rsidP="00601EEA">
      <w:pPr>
        <w:pStyle w:val="TextoNormalNegritaCursivandice"/>
        <w:keepNext/>
      </w:pPr>
      <w:r>
        <w:t>Comunidad Autónoma de Cataluña. Acuerdos de la mesa del Parlamento de Cataluña de 18 y de 19 de abril de 2023, sobre la regulación transitoria del voto te</w:t>
      </w:r>
      <w:r>
        <w:lastRenderedPageBreak/>
        <w:t>lemático y la habilitación de voto telemático a un diputado. Acuerdo de 19 de abril de 2023 por el que se desestiman las reconsideraciones solicitadas respecto de los anteriores</w:t>
      </w:r>
    </w:p>
    <w:p w14:paraId="6CA6951F" w14:textId="05F56A6A"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86" w:history="1">
        <w:r w:rsidRPr="00601EEA">
          <w:rPr>
            <w:rStyle w:val="TextoNormalCaracter"/>
          </w:rPr>
          <w:t>86/2024</w:t>
        </w:r>
      </w:hyperlink>
      <w:r>
        <w:t>.</w:t>
      </w:r>
    </w:p>
    <w:p w14:paraId="4327BCBE" w14:textId="66808CCD" w:rsidR="00601EEA" w:rsidRDefault="00601EEA" w:rsidP="00601EEA">
      <w:pPr>
        <w:pStyle w:val="TextoNormal"/>
      </w:pPr>
    </w:p>
    <w:p w14:paraId="69DB4B52" w14:textId="77777777" w:rsidR="00601EEA" w:rsidRDefault="00601EEA" w:rsidP="00601EEA">
      <w:pPr>
        <w:pStyle w:val="TextoNormalNegritaCentrado"/>
        <w:suppressAutoHyphens/>
      </w:pPr>
      <w:r w:rsidRPr="00601EEA">
        <w:rPr>
          <w:rStyle w:val="TextoNormalNegritaCentradoSombreado"/>
        </w:rPr>
        <w:t>B.3) Navarra</w:t>
      </w:r>
    </w:p>
    <w:p w14:paraId="3AD38821" w14:textId="601A3E77" w:rsidR="00601EEA" w:rsidRDefault="00601EEA" w:rsidP="00601EEA">
      <w:pPr>
        <w:pStyle w:val="TextoNormalNegritaCentrado"/>
      </w:pPr>
    </w:p>
    <w:p w14:paraId="52C6C4E0" w14:textId="77777777" w:rsidR="00601EEA" w:rsidRDefault="00601EEA" w:rsidP="00601EEA">
      <w:pPr>
        <w:pStyle w:val="TextoNormalNegritaCursivandice"/>
        <w:keepNext/>
      </w:pPr>
      <w:r>
        <w:t>Acuerdos de 12 de diciembre de 2022, de la Junta de Portavoces del Parlamento de Navarra en materia de instancia a diversas comparecencias informativas</w:t>
      </w:r>
    </w:p>
    <w:p w14:paraId="3CC70873" w14:textId="6E858083" w:rsidR="00601EEA" w:rsidRDefault="00601EEA" w:rsidP="00601EEA">
      <w:pPr>
        <w:pStyle w:val="SangriaFrancesaArticulo"/>
      </w:pPr>
      <w:r w:rsidRPr="00601EEA">
        <w:rPr>
          <w:rStyle w:val="TextoNormalNegritaCaracter"/>
        </w:rPr>
        <w:t>En general.</w:t>
      </w:r>
      <w:r w:rsidRPr="00601EEA">
        <w:rPr>
          <w:rStyle w:val="TextoNormalCaracter"/>
        </w:rPr>
        <w:t>-</w:t>
      </w:r>
      <w:r>
        <w:t xml:space="preserve"> Auto </w:t>
      </w:r>
      <w:hyperlink w:anchor="AUTO_2024_47" w:history="1">
        <w:r w:rsidRPr="00601EEA">
          <w:rPr>
            <w:rStyle w:val="TextoNormalCaracter"/>
          </w:rPr>
          <w:t>47/2024</w:t>
        </w:r>
      </w:hyperlink>
      <w:r>
        <w:t>.</w:t>
      </w:r>
    </w:p>
    <w:p w14:paraId="5ABCAE71" w14:textId="137CFB72" w:rsidR="00601EEA" w:rsidRDefault="00601EEA" w:rsidP="00601EEA">
      <w:pPr>
        <w:pStyle w:val="TextoNormal"/>
      </w:pPr>
    </w:p>
    <w:p w14:paraId="212C7DE0" w14:textId="77777777" w:rsidR="00601EEA" w:rsidRDefault="00601EEA" w:rsidP="00601EEA">
      <w:pPr>
        <w:pStyle w:val="SangriaFrancesaArticulo"/>
      </w:pPr>
      <w:bookmarkStart w:id="160" w:name="INDICE22825"/>
    </w:p>
    <w:bookmarkEnd w:id="160"/>
    <w:p w14:paraId="1E72B05D" w14:textId="77777777" w:rsidR="00601EEA" w:rsidRDefault="00601EEA" w:rsidP="00601EEA">
      <w:pPr>
        <w:pStyle w:val="TextoIndiceNivel2"/>
        <w:suppressAutoHyphens/>
      </w:pPr>
      <w:r>
        <w:t>C) Disposiciones de territorios históricos y corporaciones locales</w:t>
      </w:r>
    </w:p>
    <w:p w14:paraId="0F9AA739" w14:textId="3B0DE0B7" w:rsidR="00601EEA" w:rsidRDefault="00601EEA" w:rsidP="00601EEA">
      <w:pPr>
        <w:pStyle w:val="TextoNormal"/>
      </w:pPr>
    </w:p>
    <w:p w14:paraId="799E7AF3" w14:textId="77777777" w:rsidR="00601EEA" w:rsidRDefault="00601EEA" w:rsidP="00601EEA">
      <w:pPr>
        <w:pStyle w:val="TextoNormalNegritaCentrado"/>
        <w:suppressAutoHyphens/>
      </w:pPr>
      <w:r w:rsidRPr="00601EEA">
        <w:rPr>
          <w:rStyle w:val="TextoNormalNegritaCentradoSombreado"/>
        </w:rPr>
        <w:t>C.4) Territorios históricos</w:t>
      </w:r>
    </w:p>
    <w:p w14:paraId="3849D117" w14:textId="02E72C63" w:rsidR="00601EEA" w:rsidRDefault="00601EEA" w:rsidP="00601EEA">
      <w:pPr>
        <w:pStyle w:val="TextoNormal"/>
      </w:pPr>
    </w:p>
    <w:p w14:paraId="6298E84E" w14:textId="77777777" w:rsidR="00601EEA" w:rsidRDefault="00601EEA" w:rsidP="00601EEA">
      <w:pPr>
        <w:pStyle w:val="TextoNormalNegritaCentradoSubrayado"/>
        <w:suppressAutoHyphens/>
      </w:pPr>
      <w:r>
        <w:t>C.4.1) Gipuzkoa</w:t>
      </w:r>
    </w:p>
    <w:p w14:paraId="3DD1559E" w14:textId="22CE622C" w:rsidR="00601EEA" w:rsidRDefault="00601EEA" w:rsidP="00601EEA">
      <w:pPr>
        <w:pStyle w:val="TextoNormalNegritaCentradoSubrayado"/>
      </w:pPr>
    </w:p>
    <w:p w14:paraId="0C4BA2DB" w14:textId="77777777" w:rsidR="00601EEA" w:rsidRDefault="00601EEA" w:rsidP="00601EEA">
      <w:pPr>
        <w:pStyle w:val="TextoNormalNegritaCursivandice"/>
        <w:keepNext/>
      </w:pPr>
      <w:r>
        <w:t>Territorio Histórico de Gipuzkoa. Norma Foral 16/1989, de 5 de julio, del impuesto sobre el incremento de valor de los terrenos de naturaleza urbana</w:t>
      </w:r>
    </w:p>
    <w:p w14:paraId="1DF59D28" w14:textId="2F3C0D69" w:rsidR="00601EEA" w:rsidRDefault="00601EEA" w:rsidP="00601EEA">
      <w:pPr>
        <w:pStyle w:val="SangriaFrancesaArticulo"/>
      </w:pPr>
      <w:r w:rsidRPr="00601EEA">
        <w:rPr>
          <w:rStyle w:val="TextoNormalNegritaCaracter"/>
        </w:rPr>
        <w:t>Artículo 4.1.</w:t>
      </w:r>
      <w:r w:rsidRPr="00601EEA">
        <w:rPr>
          <w:rStyle w:val="TextoNormalCaracter"/>
        </w:rPr>
        <w:t>-</w:t>
      </w:r>
      <w:r>
        <w:t xml:space="preserve"> Sentencia </w:t>
      </w:r>
      <w:hyperlink w:anchor="SENTENCIA_2024_46" w:history="1">
        <w:r w:rsidRPr="00601EEA">
          <w:rPr>
            <w:rStyle w:val="TextoNormalCaracter"/>
          </w:rPr>
          <w:t>46/2024</w:t>
        </w:r>
      </w:hyperlink>
      <w:r>
        <w:t xml:space="preserve"> (anula).</w:t>
      </w:r>
    </w:p>
    <w:p w14:paraId="5D864606" w14:textId="585FB864" w:rsidR="00601EEA" w:rsidRDefault="00601EEA" w:rsidP="00601EEA">
      <w:pPr>
        <w:pStyle w:val="SangriaFrancesaArticulo"/>
      </w:pPr>
      <w:r w:rsidRPr="00601EEA">
        <w:rPr>
          <w:rStyle w:val="TextoNormalNegritaCaracter"/>
        </w:rPr>
        <w:t>Artículo 4.1 párrafo 2.</w:t>
      </w:r>
      <w:r w:rsidRPr="00601EEA">
        <w:rPr>
          <w:rStyle w:val="TextoNormalCaracter"/>
        </w:rPr>
        <w:t>-</w:t>
      </w:r>
      <w:r>
        <w:t xml:space="preserve"> Auto </w:t>
      </w:r>
      <w:hyperlink w:anchor="AUTO_2024_58" w:history="1">
        <w:r w:rsidRPr="00601EEA">
          <w:rPr>
            <w:rStyle w:val="TextoNormalCaracter"/>
          </w:rPr>
          <w:t>58/2024</w:t>
        </w:r>
      </w:hyperlink>
      <w:r>
        <w:t>.</w:t>
      </w:r>
    </w:p>
    <w:p w14:paraId="242DAFB7" w14:textId="63DCA87F" w:rsidR="00601EEA" w:rsidRDefault="00601EEA" w:rsidP="00601EEA">
      <w:pPr>
        <w:pStyle w:val="SangriaFrancesaArticulo"/>
      </w:pPr>
      <w:r w:rsidRPr="00601EEA">
        <w:rPr>
          <w:rStyle w:val="TextoNormalNegritaCaracter"/>
        </w:rPr>
        <w:t>Artículo 4.2 a).</w:t>
      </w:r>
      <w:r w:rsidRPr="00601EEA">
        <w:rPr>
          <w:rStyle w:val="TextoNormalCaracter"/>
        </w:rPr>
        <w:t>-</w:t>
      </w:r>
      <w:r>
        <w:t xml:space="preserve"> Auto </w:t>
      </w:r>
      <w:hyperlink w:anchor="AUTO_2024_58" w:history="1">
        <w:r w:rsidRPr="00601EEA">
          <w:rPr>
            <w:rStyle w:val="TextoNormalCaracter"/>
          </w:rPr>
          <w:t>58/2024</w:t>
        </w:r>
      </w:hyperlink>
      <w:r>
        <w:t>.</w:t>
      </w:r>
    </w:p>
    <w:p w14:paraId="0B4BCC87" w14:textId="5617730A" w:rsidR="00601EEA" w:rsidRDefault="00601EEA" w:rsidP="00601EEA">
      <w:pPr>
        <w:pStyle w:val="SangriaFrancesaArticulo"/>
      </w:pPr>
      <w:r w:rsidRPr="00601EEA">
        <w:rPr>
          <w:rStyle w:val="TextoNormalNegritaCaracter"/>
        </w:rPr>
        <w:t>Artículo 4.2 a).</w:t>
      </w:r>
      <w:r w:rsidRPr="00601EEA">
        <w:rPr>
          <w:rStyle w:val="TextoNormalCaracter"/>
        </w:rPr>
        <w:t>-</w:t>
      </w:r>
      <w:r>
        <w:t xml:space="preserve"> Sentencia </w:t>
      </w:r>
      <w:hyperlink w:anchor="SENTENCIA_2024_46" w:history="1">
        <w:r w:rsidRPr="00601EEA">
          <w:rPr>
            <w:rStyle w:val="TextoNormalCaracter"/>
          </w:rPr>
          <w:t>46/2024</w:t>
        </w:r>
      </w:hyperlink>
      <w:r>
        <w:t xml:space="preserve"> (anula).</w:t>
      </w:r>
    </w:p>
    <w:p w14:paraId="09EF5D10" w14:textId="4DB31632" w:rsidR="00601EEA" w:rsidRDefault="00601EEA" w:rsidP="00601EEA">
      <w:pPr>
        <w:pStyle w:val="SangriaFrancesaArticulo"/>
      </w:pPr>
      <w:r w:rsidRPr="00601EEA">
        <w:rPr>
          <w:rStyle w:val="TextoNormalNegritaCaracter"/>
        </w:rPr>
        <w:t>Artículo 4.3.</w:t>
      </w:r>
      <w:r w:rsidRPr="00601EEA">
        <w:rPr>
          <w:rStyle w:val="TextoNormalCaracter"/>
        </w:rPr>
        <w:t>-</w:t>
      </w:r>
      <w:r>
        <w:t xml:space="preserve"> Auto </w:t>
      </w:r>
      <w:hyperlink w:anchor="AUTO_2024_58" w:history="1">
        <w:r w:rsidRPr="00601EEA">
          <w:rPr>
            <w:rStyle w:val="TextoNormalCaracter"/>
          </w:rPr>
          <w:t>58/2024</w:t>
        </w:r>
      </w:hyperlink>
      <w:r>
        <w:t>.</w:t>
      </w:r>
    </w:p>
    <w:p w14:paraId="56572E56" w14:textId="2476355B" w:rsidR="00601EEA" w:rsidRDefault="00601EEA" w:rsidP="00601EEA">
      <w:pPr>
        <w:pStyle w:val="SangriaFrancesaArticulo"/>
      </w:pPr>
      <w:r w:rsidRPr="00601EEA">
        <w:rPr>
          <w:rStyle w:val="TextoNormalNegritaCaracter"/>
        </w:rPr>
        <w:t>Artículo 4.3.</w:t>
      </w:r>
      <w:r w:rsidRPr="00601EEA">
        <w:rPr>
          <w:rStyle w:val="TextoNormalCaracter"/>
        </w:rPr>
        <w:t>-</w:t>
      </w:r>
      <w:r>
        <w:t xml:space="preserve"> Sentencia </w:t>
      </w:r>
      <w:hyperlink w:anchor="SENTENCIA_2024_46" w:history="1">
        <w:r w:rsidRPr="00601EEA">
          <w:rPr>
            <w:rStyle w:val="TextoNormalCaracter"/>
          </w:rPr>
          <w:t>46/2024</w:t>
        </w:r>
      </w:hyperlink>
      <w:r>
        <w:t xml:space="preserve"> (anula).</w:t>
      </w:r>
    </w:p>
    <w:p w14:paraId="5094AFD7" w14:textId="732ABB7F" w:rsidR="00601EEA" w:rsidRDefault="00601EEA">
      <w:pPr>
        <w:spacing w:after="160" w:line="259" w:lineRule="auto"/>
        <w:rPr>
          <w:rFonts w:ascii="Times New Roman" w:eastAsia="Times New Roman" w:hAnsi="Times New Roman" w:cs="Times New Roman"/>
          <w:sz w:val="24"/>
          <w:szCs w:val="24"/>
          <w:lang w:eastAsia="es-ES"/>
        </w:rPr>
      </w:pPr>
      <w:r>
        <w:br w:type="page"/>
      </w:r>
    </w:p>
    <w:p w14:paraId="4967E2A9" w14:textId="77777777" w:rsidR="00601EEA" w:rsidRDefault="00601EEA" w:rsidP="00601EEA">
      <w:pPr>
        <w:pStyle w:val="SangriaFrancesaArticulo"/>
      </w:pPr>
    </w:p>
    <w:p w14:paraId="1312B13C" w14:textId="77777777" w:rsidR="00601EEA" w:rsidRDefault="00601EEA" w:rsidP="00601EEA">
      <w:pPr>
        <w:pStyle w:val="TextoNormal"/>
      </w:pPr>
    </w:p>
    <w:p w14:paraId="7EFD5C15" w14:textId="77777777" w:rsidR="00601EEA" w:rsidRDefault="00601EEA" w:rsidP="00601EEA">
      <w:pPr>
        <w:pStyle w:val="TextoNormal"/>
      </w:pPr>
    </w:p>
    <w:p w14:paraId="3A2AF818" w14:textId="77777777" w:rsidR="00601EEA" w:rsidRDefault="00601EEA" w:rsidP="00601EEA">
      <w:pPr>
        <w:pStyle w:val="TextoNormal"/>
      </w:pPr>
    </w:p>
    <w:p w14:paraId="1BD800AC" w14:textId="77777777" w:rsidR="00601EEA" w:rsidRDefault="00601EEA" w:rsidP="00601EEA">
      <w:pPr>
        <w:pStyle w:val="Ttulondice"/>
        <w:suppressAutoHyphens/>
      </w:pPr>
      <w:r>
        <w:t>5. ÍNDICE DE DISPOSICIONES CITADAS</w:t>
      </w:r>
    </w:p>
    <w:p w14:paraId="4C8C10C0" w14:textId="346B84F2" w:rsidR="00601EEA" w:rsidRDefault="00601EEA" w:rsidP="00601EEA">
      <w:pPr>
        <w:pStyle w:val="TextoNormal"/>
        <w:suppressAutoHyphens/>
      </w:pPr>
    </w:p>
    <w:p w14:paraId="04DEAB57" w14:textId="77777777" w:rsidR="00601EEA" w:rsidRDefault="00601EEA" w:rsidP="00601EEA">
      <w:pPr>
        <w:pStyle w:val="TextoNormal"/>
        <w:suppressAutoHyphens/>
      </w:pPr>
    </w:p>
    <w:p w14:paraId="143FA423" w14:textId="77777777" w:rsidR="00601EEA" w:rsidRDefault="00601EEA" w:rsidP="00601EEA">
      <w:pPr>
        <w:pStyle w:val="TextoNormal"/>
        <w:suppressAutoHyphens/>
      </w:pPr>
    </w:p>
    <w:p w14:paraId="592650BF" w14:textId="77777777" w:rsidR="00601EEA" w:rsidRDefault="00601EEA" w:rsidP="00601EEA">
      <w:pPr>
        <w:pStyle w:val="TextoNormal"/>
        <w:suppressAutoHyphens/>
      </w:pPr>
    </w:p>
    <w:p w14:paraId="1B916D1B" w14:textId="77777777" w:rsidR="00601EEA" w:rsidRDefault="00601EEA" w:rsidP="00601EEA">
      <w:pPr>
        <w:pStyle w:val="TextoNormal"/>
        <w:suppressAutoHyphens/>
      </w:pPr>
    </w:p>
    <w:p w14:paraId="415FC381" w14:textId="77777777" w:rsidR="00601EEA" w:rsidRDefault="00601EEA" w:rsidP="00601EEA">
      <w:pPr>
        <w:pStyle w:val="TextoNormal"/>
        <w:suppressAutoHyphens/>
      </w:pPr>
    </w:p>
    <w:p w14:paraId="3F3B6E6D" w14:textId="77777777" w:rsidR="00601EEA" w:rsidRDefault="00601EEA" w:rsidP="00601EEA">
      <w:pPr>
        <w:pStyle w:val="TextoNormal"/>
        <w:suppressAutoHyphens/>
      </w:pPr>
    </w:p>
    <w:p w14:paraId="62F57B52" w14:textId="77777777" w:rsidR="00601EEA" w:rsidRDefault="00601EEA" w:rsidP="00601EEA">
      <w:pPr>
        <w:pStyle w:val="TextoNormal"/>
        <w:suppressAutoHyphens/>
      </w:pPr>
    </w:p>
    <w:p w14:paraId="65DC4FEE" w14:textId="77777777" w:rsidR="00601EEA" w:rsidRDefault="00601EEA" w:rsidP="00601EEA">
      <w:pPr>
        <w:pStyle w:val="TextoNormal"/>
        <w:suppressAutoHyphens/>
      </w:pPr>
    </w:p>
    <w:p w14:paraId="420D4617" w14:textId="77777777" w:rsidR="00601EEA" w:rsidRDefault="00601EEA" w:rsidP="00601EEA">
      <w:pPr>
        <w:pStyle w:val="TextoNormal"/>
      </w:pPr>
    </w:p>
    <w:p w14:paraId="3FC0920F" w14:textId="77777777" w:rsidR="00601EEA" w:rsidRDefault="00601EEA" w:rsidP="00601EEA">
      <w:pPr>
        <w:pStyle w:val="TextoNormal"/>
      </w:pPr>
      <w:bookmarkStart w:id="161" w:name="INDICE22804"/>
      <w:bookmarkEnd w:id="161"/>
    </w:p>
    <w:p w14:paraId="7A4AEFE0" w14:textId="77777777" w:rsidR="00601EEA" w:rsidRDefault="00601EEA" w:rsidP="00601EEA">
      <w:pPr>
        <w:pStyle w:val="TextoIndiceNivel2"/>
        <w:suppressAutoHyphens/>
      </w:pPr>
      <w:r>
        <w:t>A) Constitución</w:t>
      </w:r>
    </w:p>
    <w:p w14:paraId="549A2750" w14:textId="38E31289" w:rsidR="00601EEA" w:rsidRDefault="00601EEA" w:rsidP="00601EEA">
      <w:pPr>
        <w:pStyle w:val="TextoIndiceNivel2"/>
      </w:pPr>
    </w:p>
    <w:p w14:paraId="22E14A87" w14:textId="77777777" w:rsidR="00601EEA" w:rsidRDefault="00601EEA" w:rsidP="00601EEA">
      <w:pPr>
        <w:pStyle w:val="TextoNormalNegritaCursivandice"/>
        <w:keepNext/>
      </w:pPr>
      <w:r>
        <w:t>Constitución española, de 27 de diciembre de 1978</w:t>
      </w:r>
    </w:p>
    <w:p w14:paraId="26D4FBE1" w14:textId="574A7CDE" w:rsidR="00601EEA" w:rsidRDefault="00601EEA" w:rsidP="00601EEA">
      <w:pPr>
        <w:pStyle w:val="SangriaFrancesaArticulo"/>
        <w:keepNext/>
      </w:pPr>
      <w:r w:rsidRPr="00601EEA">
        <w:rPr>
          <w:rStyle w:val="TextoNormalNegritaCaracter"/>
        </w:rPr>
        <w:t>En general.</w:t>
      </w:r>
      <w:r w:rsidRPr="00601EEA">
        <w:rPr>
          <w:rStyle w:val="TextoNormalCaracter"/>
        </w:rPr>
        <w:t>-</w:t>
      </w:r>
      <w:r>
        <w:t xml:space="preserve"> Sentencias </w:t>
      </w:r>
      <w:hyperlink w:anchor="SENTENCIA_2024_65" w:history="1">
        <w:r w:rsidRPr="00601EEA">
          <w:rPr>
            <w:rStyle w:val="TextoNormalCaracter"/>
          </w:rPr>
          <w:t>65/2024</w:t>
        </w:r>
      </w:hyperlink>
      <w:r>
        <w:t xml:space="preserve">, f. 4; </w:t>
      </w:r>
      <w:hyperlink w:anchor="SENTENCIA_2024_68" w:history="1">
        <w:r w:rsidRPr="00601EEA">
          <w:rPr>
            <w:rStyle w:val="TextoNormalCaracter"/>
          </w:rPr>
          <w:t>68/2024</w:t>
        </w:r>
      </w:hyperlink>
      <w:r>
        <w:t xml:space="preserve">, f. 5; </w:t>
      </w:r>
      <w:hyperlink w:anchor="SENTENCIA_2024_75" w:history="1">
        <w:r w:rsidRPr="00601EEA">
          <w:rPr>
            <w:rStyle w:val="TextoNormalCaracter"/>
          </w:rPr>
          <w:t>75/2024</w:t>
        </w:r>
      </w:hyperlink>
      <w:r>
        <w:t xml:space="preserve">, VP I; </w:t>
      </w:r>
      <w:hyperlink w:anchor="SENTENCIA_2024_87" w:history="1">
        <w:r w:rsidRPr="00601EEA">
          <w:rPr>
            <w:rStyle w:val="TextoNormalCaracter"/>
          </w:rPr>
          <w:t>87/2024</w:t>
        </w:r>
      </w:hyperlink>
      <w:r>
        <w:t>, VP II.</w:t>
      </w:r>
    </w:p>
    <w:p w14:paraId="0AAA9E2A" w14:textId="09BE22FC" w:rsidR="00601EEA" w:rsidRDefault="00601EEA" w:rsidP="00601EEA">
      <w:pPr>
        <w:pStyle w:val="SangriaIzquierdaArticulo"/>
      </w:pPr>
      <w:r>
        <w:t xml:space="preserve">Autos </w:t>
      </w:r>
      <w:hyperlink w:anchor="AUTO_2024_21" w:history="1">
        <w:r w:rsidRPr="00601EEA">
          <w:rPr>
            <w:rStyle w:val="TextoNormalCaracter"/>
          </w:rPr>
          <w:t>21/2024</w:t>
        </w:r>
      </w:hyperlink>
      <w:r>
        <w:t xml:space="preserve">, f. 2; </w:t>
      </w:r>
      <w:hyperlink w:anchor="AUTO_2024_42" w:history="1">
        <w:r w:rsidRPr="00601EEA">
          <w:rPr>
            <w:rStyle w:val="TextoNormalCaracter"/>
          </w:rPr>
          <w:t>42/2024</w:t>
        </w:r>
      </w:hyperlink>
      <w:r>
        <w:t xml:space="preserve">, f. único; </w:t>
      </w:r>
      <w:hyperlink w:anchor="AUTO_2024_60" w:history="1">
        <w:r w:rsidRPr="00601EEA">
          <w:rPr>
            <w:rStyle w:val="TextoNormalCaracter"/>
          </w:rPr>
          <w:t>60/2024</w:t>
        </w:r>
      </w:hyperlink>
      <w:r>
        <w:t>, f. único.</w:t>
      </w:r>
    </w:p>
    <w:p w14:paraId="2A2F1D16" w14:textId="068FFE1B" w:rsidR="00601EEA" w:rsidRDefault="00601EEA" w:rsidP="00601EEA">
      <w:pPr>
        <w:pStyle w:val="SangriaFrancesaArticulo"/>
      </w:pPr>
      <w:r w:rsidRPr="00601EEA">
        <w:rPr>
          <w:rStyle w:val="TextoNormalNegritaCaracter"/>
        </w:rPr>
        <w:t>Título preliminar.</w:t>
      </w:r>
      <w:r w:rsidRPr="00601EEA">
        <w:rPr>
          <w:rStyle w:val="TextoNormalCaracter"/>
        </w:rPr>
        <w:t>-</w:t>
      </w:r>
      <w:r>
        <w:t xml:space="preserve"> Sentencia </w:t>
      </w:r>
      <w:hyperlink w:anchor="SENTENCIA_2024_63" w:history="1">
        <w:r w:rsidRPr="00601EEA">
          <w:rPr>
            <w:rStyle w:val="TextoNormalCaracter"/>
          </w:rPr>
          <w:t>63/2024</w:t>
        </w:r>
      </w:hyperlink>
      <w:r>
        <w:t>, f. 4.</w:t>
      </w:r>
    </w:p>
    <w:p w14:paraId="62A51ACC" w14:textId="4F013A40" w:rsidR="00601EEA" w:rsidRDefault="00601EEA" w:rsidP="00601EEA">
      <w:pPr>
        <w:pStyle w:val="SangriaFrancesaArticulo"/>
      </w:pPr>
      <w:r w:rsidRPr="00601EEA">
        <w:rPr>
          <w:rStyle w:val="TextoNormalNegritaCaracter"/>
        </w:rPr>
        <w:t>Título I.</w:t>
      </w:r>
      <w:r w:rsidRPr="00601EEA">
        <w:rPr>
          <w:rStyle w:val="TextoNormalCaracter"/>
        </w:rPr>
        <w:t>-</w:t>
      </w:r>
      <w:r>
        <w:t xml:space="preserve"> Sentencia </w:t>
      </w:r>
      <w:hyperlink w:anchor="SENTENCIA_2024_11" w:history="1">
        <w:r w:rsidRPr="00601EEA">
          <w:rPr>
            <w:rStyle w:val="TextoNormalCaracter"/>
          </w:rPr>
          <w:t>11/2024</w:t>
        </w:r>
      </w:hyperlink>
      <w:r>
        <w:t>, f. 2.</w:t>
      </w:r>
    </w:p>
    <w:p w14:paraId="63204292" w14:textId="6928682D" w:rsidR="00601EEA" w:rsidRDefault="00601EEA" w:rsidP="00601EEA">
      <w:pPr>
        <w:pStyle w:val="SangriaFrancesaArticulo"/>
      </w:pPr>
      <w:r w:rsidRPr="00601EEA">
        <w:rPr>
          <w:rStyle w:val="TextoNormalNegritaCaracter"/>
        </w:rPr>
        <w:t>Título I, capítulo II.</w:t>
      </w:r>
      <w:r w:rsidRPr="00601EEA">
        <w:rPr>
          <w:rStyle w:val="TextoNormalCaracter"/>
        </w:rPr>
        <w:t>-</w:t>
      </w:r>
      <w:r>
        <w:t xml:space="preserve"> Sentencias </w:t>
      </w:r>
      <w:hyperlink w:anchor="SENTENCIA_2024_79" w:history="1">
        <w:r w:rsidRPr="00601EEA">
          <w:rPr>
            <w:rStyle w:val="TextoNormalCaracter"/>
          </w:rPr>
          <w:t>79/2024</w:t>
        </w:r>
      </w:hyperlink>
      <w:r>
        <w:t xml:space="preserve">, VP; </w:t>
      </w:r>
      <w:hyperlink w:anchor="SENTENCIA_2024_89" w:history="1">
        <w:r w:rsidRPr="00601EEA">
          <w:rPr>
            <w:rStyle w:val="TextoNormalCaracter"/>
          </w:rPr>
          <w:t>89/2024</w:t>
        </w:r>
      </w:hyperlink>
      <w:r>
        <w:t>, VP II.</w:t>
      </w:r>
    </w:p>
    <w:p w14:paraId="2D139F07" w14:textId="45F7283F" w:rsidR="00601EEA" w:rsidRDefault="00601EEA" w:rsidP="00601EEA">
      <w:pPr>
        <w:pStyle w:val="SangriaFrancesaArticulo"/>
      </w:pPr>
      <w:r w:rsidRPr="00601EEA">
        <w:rPr>
          <w:rStyle w:val="TextoNormalNegritaCaracter"/>
        </w:rPr>
        <w:t>Título I, capítulo II, sección primera.</w:t>
      </w:r>
      <w:r w:rsidRPr="00601EEA">
        <w:rPr>
          <w:rStyle w:val="TextoNormalCaracter"/>
        </w:rPr>
        <w:t>-</w:t>
      </w:r>
      <w:r>
        <w:t xml:space="preserve"> Sentencia </w:t>
      </w:r>
      <w:hyperlink w:anchor="SENTENCIA_2024_89" w:history="1">
        <w:r w:rsidRPr="00601EEA">
          <w:rPr>
            <w:rStyle w:val="TextoNormalCaracter"/>
          </w:rPr>
          <w:t>89/2024</w:t>
        </w:r>
      </w:hyperlink>
      <w:r>
        <w:t>, VP II.</w:t>
      </w:r>
    </w:p>
    <w:p w14:paraId="251FC8DA" w14:textId="42C9013B" w:rsidR="00601EEA" w:rsidRDefault="00601EEA" w:rsidP="00601EEA">
      <w:pPr>
        <w:pStyle w:val="SangriaFrancesaArticulo"/>
      </w:pPr>
      <w:r w:rsidRPr="00601EEA">
        <w:rPr>
          <w:rStyle w:val="TextoNormalNegritaCaracter"/>
        </w:rPr>
        <w:t>Título I, capítulo III.</w:t>
      </w:r>
      <w:r w:rsidRPr="00601EEA">
        <w:rPr>
          <w:rStyle w:val="TextoNormalCaracter"/>
        </w:rPr>
        <w:t>-</w:t>
      </w:r>
      <w:r>
        <w:t xml:space="preserve"> Sentencia </w:t>
      </w:r>
      <w:hyperlink w:anchor="SENTENCIA_2024_79" w:history="1">
        <w:r w:rsidRPr="00601EEA">
          <w:rPr>
            <w:rStyle w:val="TextoNormalCaracter"/>
          </w:rPr>
          <w:t>79/2024</w:t>
        </w:r>
      </w:hyperlink>
      <w:r>
        <w:t>, f. 3, VP.</w:t>
      </w:r>
    </w:p>
    <w:p w14:paraId="1924D847" w14:textId="28FA31C1" w:rsidR="00601EEA" w:rsidRDefault="00601EEA" w:rsidP="00601EEA">
      <w:pPr>
        <w:pStyle w:val="SangriaFrancesaArticulo"/>
      </w:pPr>
      <w:r w:rsidRPr="00601EEA">
        <w:rPr>
          <w:rStyle w:val="TextoNormalNegritaCaracter"/>
        </w:rPr>
        <w:t>Título V.</w:t>
      </w:r>
      <w:r w:rsidRPr="00601EEA">
        <w:rPr>
          <w:rStyle w:val="TextoNormalCaracter"/>
        </w:rPr>
        <w:t>-</w:t>
      </w:r>
      <w:r>
        <w:t xml:space="preserve"> Sentencia </w:t>
      </w:r>
      <w:hyperlink w:anchor="SENTENCIA_2024_93" w:history="1">
        <w:r w:rsidRPr="00601EEA">
          <w:rPr>
            <w:rStyle w:val="TextoNormalCaracter"/>
          </w:rPr>
          <w:t>93/2024</w:t>
        </w:r>
      </w:hyperlink>
      <w:r>
        <w:t>, f. 4.</w:t>
      </w:r>
    </w:p>
    <w:p w14:paraId="7BCC9D2A" w14:textId="7DA2370A" w:rsidR="00601EEA" w:rsidRDefault="00601EEA" w:rsidP="00601EEA">
      <w:pPr>
        <w:pStyle w:val="SangriaFrancesaArticulo"/>
      </w:pPr>
      <w:r w:rsidRPr="00601EEA">
        <w:rPr>
          <w:rStyle w:val="TextoNormalNegritaCaracter"/>
        </w:rPr>
        <w:t>Título X.</w:t>
      </w:r>
      <w:r w:rsidRPr="00601EEA">
        <w:rPr>
          <w:rStyle w:val="TextoNormalCaracter"/>
        </w:rPr>
        <w:t>-</w:t>
      </w:r>
      <w:r>
        <w:t xml:space="preserve"> Sentencia </w:t>
      </w:r>
      <w:hyperlink w:anchor="SENTENCIA_2024_15" w:history="1">
        <w:r w:rsidRPr="00601EEA">
          <w:rPr>
            <w:rStyle w:val="TextoNormalCaracter"/>
          </w:rPr>
          <w:t>15/2024</w:t>
        </w:r>
      </w:hyperlink>
      <w:r>
        <w:t>, f. 1.</w:t>
      </w:r>
    </w:p>
    <w:p w14:paraId="26EE931E" w14:textId="70E21940" w:rsidR="00601EEA" w:rsidRDefault="00601EEA" w:rsidP="00601EEA">
      <w:pPr>
        <w:pStyle w:val="SangriaFrancesaArticulo"/>
      </w:pPr>
      <w:r w:rsidRPr="00601EEA">
        <w:rPr>
          <w:rStyle w:val="TextoNormalNegritaCaracter"/>
        </w:rPr>
        <w:t>Preámbulo.</w:t>
      </w:r>
      <w:r w:rsidRPr="00601EEA">
        <w:rPr>
          <w:rStyle w:val="TextoNormalCaracter"/>
        </w:rPr>
        <w:t>-</w:t>
      </w:r>
      <w:r>
        <w:t xml:space="preserve"> Sentencia </w:t>
      </w:r>
      <w:hyperlink w:anchor="SENTENCIA_2024_15" w:history="1">
        <w:r w:rsidRPr="00601EEA">
          <w:rPr>
            <w:rStyle w:val="TextoNormalCaracter"/>
          </w:rPr>
          <w:t>15/2024</w:t>
        </w:r>
      </w:hyperlink>
      <w:r>
        <w:t>, VP II.</w:t>
      </w:r>
    </w:p>
    <w:p w14:paraId="36EE082F" w14:textId="395903FE" w:rsidR="00601EEA" w:rsidRDefault="00601EEA" w:rsidP="00601EEA">
      <w:pPr>
        <w:pStyle w:val="SangriaFrancesaArticulo"/>
      </w:pPr>
      <w:r w:rsidRPr="00601EEA">
        <w:rPr>
          <w:rStyle w:val="TextoNormalNegritaCaracter"/>
        </w:rPr>
        <w:t>Artículo 1.</w:t>
      </w:r>
      <w:r w:rsidRPr="00601EEA">
        <w:rPr>
          <w:rStyle w:val="TextoNormalCaracter"/>
        </w:rPr>
        <w:t>-</w:t>
      </w:r>
      <w:r>
        <w:t xml:space="preserve"> Sentencias </w:t>
      </w:r>
      <w:hyperlink w:anchor="SENTENCIA_2024_44" w:history="1">
        <w:r w:rsidRPr="00601EEA">
          <w:rPr>
            <w:rStyle w:val="TextoNormalCaracter"/>
          </w:rPr>
          <w:t>44/2024</w:t>
        </w:r>
      </w:hyperlink>
      <w:r>
        <w:t xml:space="preserve">, f. 5; </w:t>
      </w:r>
      <w:hyperlink w:anchor="SENTENCIA_2024_72" w:history="1">
        <w:r w:rsidRPr="00601EEA">
          <w:rPr>
            <w:rStyle w:val="TextoNormalCaracter"/>
          </w:rPr>
          <w:t>72/2024</w:t>
        </w:r>
      </w:hyperlink>
      <w:r>
        <w:t xml:space="preserve">, f. 4; </w:t>
      </w:r>
      <w:hyperlink w:anchor="SENTENCIA_2024_89" w:history="1">
        <w:r w:rsidRPr="00601EEA">
          <w:rPr>
            <w:rStyle w:val="TextoNormalCaracter"/>
          </w:rPr>
          <w:t>89/2024</w:t>
        </w:r>
      </w:hyperlink>
      <w:r>
        <w:t xml:space="preserve">, f. 4; </w:t>
      </w:r>
      <w:hyperlink w:anchor="SENTENCIA_2024_92" w:history="1">
        <w:r w:rsidRPr="00601EEA">
          <w:rPr>
            <w:rStyle w:val="TextoNormalCaracter"/>
          </w:rPr>
          <w:t>92/2024</w:t>
        </w:r>
      </w:hyperlink>
      <w:r>
        <w:t>, f. 1, VP III.</w:t>
      </w:r>
    </w:p>
    <w:p w14:paraId="042A8242" w14:textId="688EA9FC" w:rsidR="00601EEA" w:rsidRDefault="00601EEA" w:rsidP="00601EEA">
      <w:pPr>
        <w:pStyle w:val="SangriaFrancesaArticulo"/>
      </w:pPr>
      <w:r w:rsidRPr="00601EEA">
        <w:rPr>
          <w:rStyle w:val="TextoNormalNegritaCaracter"/>
        </w:rPr>
        <w:t>Artículo 1.1.</w:t>
      </w:r>
      <w:r w:rsidRPr="00601EEA">
        <w:rPr>
          <w:rStyle w:val="TextoNormalCaracter"/>
        </w:rPr>
        <w:t>-</w:t>
      </w:r>
      <w:r>
        <w:t xml:space="preserve"> Sentencias </w:t>
      </w:r>
      <w:hyperlink w:anchor="SENTENCIA_2024_8" w:history="1">
        <w:r w:rsidRPr="00601EEA">
          <w:rPr>
            <w:rStyle w:val="TextoNormalCaracter"/>
          </w:rPr>
          <w:t>8/2024</w:t>
        </w:r>
      </w:hyperlink>
      <w:r>
        <w:t xml:space="preserve">, f. 6; </w:t>
      </w:r>
      <w:hyperlink w:anchor="SENTENCIA_2024_10" w:history="1">
        <w:r w:rsidRPr="00601EEA">
          <w:rPr>
            <w:rStyle w:val="TextoNormalCaracter"/>
          </w:rPr>
          <w:t>10/2024</w:t>
        </w:r>
      </w:hyperlink>
      <w:r>
        <w:t xml:space="preserve">, VP I; </w:t>
      </w:r>
      <w:hyperlink w:anchor="SENTENCIA_2024_11" w:history="1">
        <w:r w:rsidRPr="00601EEA">
          <w:rPr>
            <w:rStyle w:val="TextoNormalCaracter"/>
          </w:rPr>
          <w:t>11/2024</w:t>
        </w:r>
      </w:hyperlink>
      <w:r>
        <w:t xml:space="preserve">, VP; </w:t>
      </w:r>
      <w:hyperlink w:anchor="SENTENCIA_2024_25" w:history="1">
        <w:r w:rsidRPr="00601EEA">
          <w:rPr>
            <w:rStyle w:val="TextoNormalCaracter"/>
          </w:rPr>
          <w:t>25/2024</w:t>
        </w:r>
      </w:hyperlink>
      <w:r>
        <w:t xml:space="preserve">, ff. 1, 3; </w:t>
      </w:r>
      <w:hyperlink w:anchor="SENTENCIA_2024_26" w:history="1">
        <w:r w:rsidRPr="00601EEA">
          <w:rPr>
            <w:rStyle w:val="TextoNormalCaracter"/>
          </w:rPr>
          <w:t>26/2024</w:t>
        </w:r>
      </w:hyperlink>
      <w:r>
        <w:t xml:space="preserve">, ff. 2, 5; </w:t>
      </w:r>
      <w:hyperlink w:anchor="SENTENCIA_2024_29" w:history="1">
        <w:r w:rsidRPr="00601EEA">
          <w:rPr>
            <w:rStyle w:val="TextoNormalCaracter"/>
          </w:rPr>
          <w:t>29/2024</w:t>
        </w:r>
      </w:hyperlink>
      <w:r>
        <w:t xml:space="preserve">, f. 1; </w:t>
      </w:r>
      <w:hyperlink w:anchor="SENTENCIA_2024_44" w:history="1">
        <w:r w:rsidRPr="00601EEA">
          <w:rPr>
            <w:rStyle w:val="TextoNormalCaracter"/>
          </w:rPr>
          <w:t>44/2024</w:t>
        </w:r>
      </w:hyperlink>
      <w:r>
        <w:t xml:space="preserve">, VP II; </w:t>
      </w:r>
      <w:hyperlink w:anchor="SENTENCIA_2024_48" w:history="1">
        <w:r w:rsidRPr="00601EEA">
          <w:rPr>
            <w:rStyle w:val="TextoNormalCaracter"/>
          </w:rPr>
          <w:t>48/2024</w:t>
        </w:r>
      </w:hyperlink>
      <w:r>
        <w:t xml:space="preserve">, VP I; </w:t>
      </w:r>
      <w:hyperlink w:anchor="SENTENCIA_2024_63" w:history="1">
        <w:r w:rsidRPr="00601EEA">
          <w:rPr>
            <w:rStyle w:val="TextoNormalCaracter"/>
          </w:rPr>
          <w:t>63/2024</w:t>
        </w:r>
      </w:hyperlink>
      <w:r>
        <w:t xml:space="preserve">, f. 4; </w:t>
      </w:r>
      <w:hyperlink w:anchor="SENTENCIA_2024_75" w:history="1">
        <w:r w:rsidRPr="00601EEA">
          <w:rPr>
            <w:rStyle w:val="TextoNormalCaracter"/>
          </w:rPr>
          <w:t>75/2024</w:t>
        </w:r>
      </w:hyperlink>
      <w:r>
        <w:t xml:space="preserve">, f. 5, VP II; </w:t>
      </w:r>
      <w:hyperlink w:anchor="SENTENCIA_2024_89" w:history="1">
        <w:r w:rsidRPr="00601EEA">
          <w:rPr>
            <w:rStyle w:val="TextoNormalCaracter"/>
          </w:rPr>
          <w:t>89/2024</w:t>
        </w:r>
      </w:hyperlink>
      <w:r>
        <w:t xml:space="preserve">, ff. 2, 3; </w:t>
      </w:r>
      <w:hyperlink w:anchor="SENTENCIA_2024_92" w:history="1">
        <w:r w:rsidRPr="00601EEA">
          <w:rPr>
            <w:rStyle w:val="TextoNormalCaracter"/>
          </w:rPr>
          <w:t>92/2024</w:t>
        </w:r>
      </w:hyperlink>
      <w:r>
        <w:t xml:space="preserve">, ff. 2, 3, 5; </w:t>
      </w:r>
      <w:hyperlink w:anchor="SENTENCIA_2024_93" w:history="1">
        <w:r w:rsidRPr="00601EEA">
          <w:rPr>
            <w:rStyle w:val="TextoNormalCaracter"/>
          </w:rPr>
          <w:t>93/2024</w:t>
        </w:r>
      </w:hyperlink>
      <w:r>
        <w:t>, f. 4, VP II.</w:t>
      </w:r>
    </w:p>
    <w:p w14:paraId="3354FFF6" w14:textId="2AD07116" w:rsidR="00601EEA" w:rsidRDefault="00601EEA" w:rsidP="00601EEA">
      <w:pPr>
        <w:pStyle w:val="SangriaIzquierdaArticulo"/>
      </w:pPr>
      <w:r>
        <w:t xml:space="preserve">Auto </w:t>
      </w:r>
      <w:hyperlink w:anchor="AUTO_2024_52" w:history="1">
        <w:r w:rsidRPr="00601EEA">
          <w:rPr>
            <w:rStyle w:val="TextoNormalCaracter"/>
          </w:rPr>
          <w:t>52/2024</w:t>
        </w:r>
      </w:hyperlink>
      <w:r>
        <w:t>, VP.</w:t>
      </w:r>
    </w:p>
    <w:p w14:paraId="13F2518F" w14:textId="017829D4" w:rsidR="00601EEA" w:rsidRDefault="00601EEA" w:rsidP="00601EEA">
      <w:pPr>
        <w:pStyle w:val="SangriaFrancesaArticulo"/>
      </w:pPr>
      <w:r w:rsidRPr="00601EEA">
        <w:rPr>
          <w:rStyle w:val="TextoNormalNegritaCaracter"/>
        </w:rPr>
        <w:t>Artículo 1.2.</w:t>
      </w:r>
      <w:r w:rsidRPr="00601EEA">
        <w:rPr>
          <w:rStyle w:val="TextoNormalCaracter"/>
        </w:rPr>
        <w:t>-</w:t>
      </w:r>
      <w:r>
        <w:t xml:space="preserve"> Sentencia </w:t>
      </w:r>
      <w:hyperlink w:anchor="SENTENCIA_2024_93" w:history="1">
        <w:r w:rsidRPr="00601EEA">
          <w:rPr>
            <w:rStyle w:val="TextoNormalCaracter"/>
          </w:rPr>
          <w:t>93/2024</w:t>
        </w:r>
      </w:hyperlink>
      <w:r>
        <w:t>, f. 4.</w:t>
      </w:r>
    </w:p>
    <w:p w14:paraId="7314B32E" w14:textId="28EBA539" w:rsidR="00601EEA" w:rsidRDefault="00601EEA" w:rsidP="00601EEA">
      <w:pPr>
        <w:pStyle w:val="SangriaFrancesaArticulo"/>
      </w:pPr>
      <w:r w:rsidRPr="00601EEA">
        <w:rPr>
          <w:rStyle w:val="TextoNormalNegritaCaracter"/>
        </w:rPr>
        <w:t>Artículo 1.3.</w:t>
      </w:r>
      <w:r w:rsidRPr="00601EEA">
        <w:rPr>
          <w:rStyle w:val="TextoNormalCaracter"/>
        </w:rPr>
        <w:t>-</w:t>
      </w:r>
      <w:r>
        <w:t xml:space="preserve"> Sentencia </w:t>
      </w:r>
      <w:hyperlink w:anchor="SENTENCIA_2024_93" w:history="1">
        <w:r w:rsidRPr="00601EEA">
          <w:rPr>
            <w:rStyle w:val="TextoNormalCaracter"/>
          </w:rPr>
          <w:t>93/2024</w:t>
        </w:r>
      </w:hyperlink>
      <w:r>
        <w:t>, f. 4.</w:t>
      </w:r>
    </w:p>
    <w:p w14:paraId="4BA1E6A2" w14:textId="0DC6ED81" w:rsidR="00601EEA" w:rsidRDefault="00601EEA" w:rsidP="00601EEA">
      <w:pPr>
        <w:pStyle w:val="SangriaFrancesaArticulo"/>
      </w:pPr>
      <w:r w:rsidRPr="00601EEA">
        <w:rPr>
          <w:rStyle w:val="TextoNormalNegritaCaracter"/>
        </w:rPr>
        <w:t>Artículo 2.</w:t>
      </w:r>
      <w:r w:rsidRPr="00601EEA">
        <w:rPr>
          <w:rStyle w:val="TextoNormalCaracter"/>
        </w:rPr>
        <w:t>-</w:t>
      </w:r>
      <w:r>
        <w:t xml:space="preserve"> Sentencia </w:t>
      </w:r>
      <w:hyperlink w:anchor="SENTENCIA_2024_17" w:history="1">
        <w:r w:rsidRPr="00601EEA">
          <w:rPr>
            <w:rStyle w:val="TextoNormalCaracter"/>
          </w:rPr>
          <w:t>17/2024</w:t>
        </w:r>
      </w:hyperlink>
      <w:r>
        <w:t>, ff. 2, 3.</w:t>
      </w:r>
    </w:p>
    <w:p w14:paraId="51BB6A8F" w14:textId="78A48049" w:rsidR="00601EEA" w:rsidRDefault="00601EEA" w:rsidP="00601EEA">
      <w:pPr>
        <w:pStyle w:val="SangriaFrancesaArticulo"/>
      </w:pPr>
      <w:r w:rsidRPr="00601EEA">
        <w:rPr>
          <w:rStyle w:val="TextoNormalNegritaCaracter"/>
        </w:rPr>
        <w:t>Artículo 6.</w:t>
      </w:r>
      <w:r w:rsidRPr="00601EEA">
        <w:rPr>
          <w:rStyle w:val="TextoNormalCaracter"/>
        </w:rPr>
        <w:t>-</w:t>
      </w:r>
      <w:r>
        <w:t xml:space="preserve"> Sentencias </w:t>
      </w:r>
      <w:hyperlink w:anchor="SENTENCIA_2024_44" w:history="1">
        <w:r w:rsidRPr="00601EEA">
          <w:rPr>
            <w:rStyle w:val="TextoNormalCaracter"/>
          </w:rPr>
          <w:t>44/2024</w:t>
        </w:r>
      </w:hyperlink>
      <w:r>
        <w:t xml:space="preserve">, f. 5; </w:t>
      </w:r>
      <w:hyperlink w:anchor="SENTENCIA_2024_66" w:history="1">
        <w:r w:rsidRPr="00601EEA">
          <w:rPr>
            <w:rStyle w:val="TextoNormalCaracter"/>
          </w:rPr>
          <w:t>66/2024</w:t>
        </w:r>
      </w:hyperlink>
      <w:r>
        <w:t xml:space="preserve">, f. 2; </w:t>
      </w:r>
      <w:hyperlink w:anchor="SENTENCIA_2024_69" w:history="1">
        <w:r w:rsidRPr="00601EEA">
          <w:rPr>
            <w:rStyle w:val="TextoNormalCaracter"/>
          </w:rPr>
          <w:t>69/2024</w:t>
        </w:r>
      </w:hyperlink>
      <w:r>
        <w:t>, ff. 4, 5.</w:t>
      </w:r>
    </w:p>
    <w:p w14:paraId="09C7762E" w14:textId="139F018B" w:rsidR="00601EEA" w:rsidRDefault="00601EEA" w:rsidP="00601EEA">
      <w:pPr>
        <w:pStyle w:val="SangriaFrancesaArticulo"/>
      </w:pPr>
      <w:r w:rsidRPr="00601EEA">
        <w:rPr>
          <w:rStyle w:val="TextoNormalNegritaCaracter"/>
        </w:rPr>
        <w:t>Artículo 7.</w:t>
      </w:r>
      <w:r w:rsidRPr="00601EEA">
        <w:rPr>
          <w:rStyle w:val="TextoNormalCaracter"/>
        </w:rPr>
        <w:t>-</w:t>
      </w:r>
      <w:r>
        <w:t xml:space="preserve"> Sentencia </w:t>
      </w:r>
      <w:hyperlink w:anchor="SENTENCIA_2024_63" w:history="1">
        <w:r w:rsidRPr="00601EEA">
          <w:rPr>
            <w:rStyle w:val="TextoNormalCaracter"/>
          </w:rPr>
          <w:t>63/2024</w:t>
        </w:r>
      </w:hyperlink>
      <w:r>
        <w:t>, f. 4.</w:t>
      </w:r>
    </w:p>
    <w:p w14:paraId="1BEE0F32" w14:textId="01EEF9E3" w:rsidR="00601EEA" w:rsidRDefault="00601EEA" w:rsidP="00601EEA">
      <w:pPr>
        <w:pStyle w:val="SangriaFrancesaArticulo"/>
      </w:pPr>
      <w:r w:rsidRPr="00601EEA">
        <w:rPr>
          <w:rStyle w:val="TextoNormalNegritaCaracter"/>
        </w:rPr>
        <w:t>Artículo 9.1.</w:t>
      </w:r>
      <w:r w:rsidRPr="00601EEA">
        <w:rPr>
          <w:rStyle w:val="TextoNormalCaracter"/>
        </w:rPr>
        <w:t>-</w:t>
      </w:r>
      <w:r>
        <w:t xml:space="preserve"> Sentencias </w:t>
      </w:r>
      <w:hyperlink w:anchor="SENTENCIA_2024_65" w:history="1">
        <w:r w:rsidRPr="00601EEA">
          <w:rPr>
            <w:rStyle w:val="TextoNormalCaracter"/>
          </w:rPr>
          <w:t>65/2024</w:t>
        </w:r>
      </w:hyperlink>
      <w:r>
        <w:t xml:space="preserve">, f. 4; </w:t>
      </w:r>
      <w:hyperlink w:anchor="SENTENCIA_2024_93" w:history="1">
        <w:r w:rsidRPr="00601EEA">
          <w:rPr>
            <w:rStyle w:val="TextoNormalCaracter"/>
          </w:rPr>
          <w:t>93/2024</w:t>
        </w:r>
      </w:hyperlink>
      <w:r>
        <w:t>, f. 4, VP II.</w:t>
      </w:r>
    </w:p>
    <w:p w14:paraId="4F7497B8" w14:textId="2E2EEA53" w:rsidR="00601EEA" w:rsidRDefault="00601EEA" w:rsidP="00601EEA">
      <w:pPr>
        <w:pStyle w:val="SangriaFrancesaArticulo"/>
      </w:pPr>
      <w:r w:rsidRPr="00601EEA">
        <w:rPr>
          <w:rStyle w:val="TextoNormalNegritaCaracter"/>
        </w:rPr>
        <w:t>Artículo 9.2.</w:t>
      </w:r>
      <w:r w:rsidRPr="00601EEA">
        <w:rPr>
          <w:rStyle w:val="TextoNormalCaracter"/>
        </w:rPr>
        <w:t>-</w:t>
      </w:r>
      <w:r>
        <w:t xml:space="preserve"> Sentencias </w:t>
      </w:r>
      <w:hyperlink w:anchor="SENTENCIA_2024_22" w:history="1">
        <w:r w:rsidRPr="00601EEA">
          <w:rPr>
            <w:rStyle w:val="TextoNormalCaracter"/>
          </w:rPr>
          <w:t>22/2024</w:t>
        </w:r>
      </w:hyperlink>
      <w:r>
        <w:t xml:space="preserve">, f. 3; </w:t>
      </w:r>
      <w:hyperlink w:anchor="SENTENCIA_2024_48" w:history="1">
        <w:r w:rsidRPr="00601EEA">
          <w:rPr>
            <w:rStyle w:val="TextoNormalCaracter"/>
          </w:rPr>
          <w:t>48/2024</w:t>
        </w:r>
      </w:hyperlink>
      <w:r>
        <w:t xml:space="preserve">, ff. 1, 2, VP I; </w:t>
      </w:r>
      <w:hyperlink w:anchor="SENTENCIA_2024_63" w:history="1">
        <w:r w:rsidRPr="00601EEA">
          <w:rPr>
            <w:rStyle w:val="TextoNormalCaracter"/>
          </w:rPr>
          <w:t>63/2024</w:t>
        </w:r>
      </w:hyperlink>
      <w:r>
        <w:t xml:space="preserve">, f. 4; </w:t>
      </w:r>
      <w:hyperlink w:anchor="SENTENCIA_2024_89" w:history="1">
        <w:r w:rsidRPr="00601EEA">
          <w:rPr>
            <w:rStyle w:val="TextoNormalCaracter"/>
          </w:rPr>
          <w:t>89/2024</w:t>
        </w:r>
      </w:hyperlink>
      <w:r>
        <w:t xml:space="preserve">, ff. 2 a 4; </w:t>
      </w:r>
      <w:hyperlink w:anchor="SENTENCIA_2024_92" w:history="1">
        <w:r w:rsidRPr="00601EEA">
          <w:rPr>
            <w:rStyle w:val="TextoNormalCaracter"/>
          </w:rPr>
          <w:t>92/2024</w:t>
        </w:r>
      </w:hyperlink>
      <w:r>
        <w:t>, f. 3, VP III.</w:t>
      </w:r>
    </w:p>
    <w:p w14:paraId="53E68259" w14:textId="0850B363" w:rsidR="00601EEA" w:rsidRDefault="00601EEA" w:rsidP="00601EEA">
      <w:pPr>
        <w:pStyle w:val="SangriaFrancesaArticulo"/>
      </w:pPr>
      <w:r w:rsidRPr="00601EEA">
        <w:rPr>
          <w:rStyle w:val="TextoNormalNegritaCaracter"/>
        </w:rPr>
        <w:t>Artículo 9.3.</w:t>
      </w:r>
      <w:r w:rsidRPr="00601EEA">
        <w:rPr>
          <w:rStyle w:val="TextoNormalCaracter"/>
        </w:rPr>
        <w:t>-</w:t>
      </w:r>
      <w:r>
        <w:t xml:space="preserve"> Sentencias </w:t>
      </w:r>
      <w:hyperlink w:anchor="SENTENCIA_2024_2" w:history="1">
        <w:r w:rsidRPr="00601EEA">
          <w:rPr>
            <w:rStyle w:val="TextoNormalCaracter"/>
          </w:rPr>
          <w:t>2/2024</w:t>
        </w:r>
      </w:hyperlink>
      <w:r>
        <w:t xml:space="preserve">, ff. 1, 3; </w:t>
      </w:r>
      <w:hyperlink w:anchor="SENTENCIA_2024_8" w:history="1">
        <w:r w:rsidRPr="00601EEA">
          <w:rPr>
            <w:rStyle w:val="TextoNormalCaracter"/>
          </w:rPr>
          <w:t>8/2024</w:t>
        </w:r>
      </w:hyperlink>
      <w:r>
        <w:t xml:space="preserve">, f. 6, VP I; </w:t>
      </w:r>
      <w:hyperlink w:anchor="SENTENCIA_2024_11" w:history="1">
        <w:r w:rsidRPr="00601EEA">
          <w:rPr>
            <w:rStyle w:val="TextoNormalCaracter"/>
          </w:rPr>
          <w:t>11/2024</w:t>
        </w:r>
      </w:hyperlink>
      <w:r>
        <w:t xml:space="preserve">, ff. 4, 5, VP; </w:t>
      </w:r>
      <w:hyperlink w:anchor="SENTENCIA_2024_14" w:history="1">
        <w:r w:rsidRPr="00601EEA">
          <w:rPr>
            <w:rStyle w:val="TextoNormalCaracter"/>
          </w:rPr>
          <w:t>14/2024</w:t>
        </w:r>
      </w:hyperlink>
      <w:r>
        <w:t xml:space="preserve">, f. 3; </w:t>
      </w:r>
      <w:hyperlink w:anchor="SENTENCIA_2024_18" w:history="1">
        <w:r w:rsidRPr="00601EEA">
          <w:rPr>
            <w:rStyle w:val="TextoNormalCaracter"/>
          </w:rPr>
          <w:t>18/2024</w:t>
        </w:r>
      </w:hyperlink>
      <w:r>
        <w:t xml:space="preserve">, f. único, VP; </w:t>
      </w:r>
      <w:hyperlink w:anchor="SENTENCIA_2024_25" w:history="1">
        <w:r w:rsidRPr="00601EEA">
          <w:rPr>
            <w:rStyle w:val="TextoNormalCaracter"/>
          </w:rPr>
          <w:t>25/2024</w:t>
        </w:r>
      </w:hyperlink>
      <w:r>
        <w:t xml:space="preserve">, f. 13; </w:t>
      </w:r>
      <w:hyperlink w:anchor="SENTENCIA_2024_29" w:history="1">
        <w:r w:rsidRPr="00601EEA">
          <w:rPr>
            <w:rStyle w:val="TextoNormalCaracter"/>
          </w:rPr>
          <w:t>29/2024</w:t>
        </w:r>
      </w:hyperlink>
      <w:r>
        <w:t xml:space="preserve">, f. 1; </w:t>
      </w:r>
      <w:hyperlink w:anchor="SENTENCIA_2024_38" w:history="1">
        <w:r w:rsidRPr="00601EEA">
          <w:rPr>
            <w:rStyle w:val="TextoNormalCaracter"/>
          </w:rPr>
          <w:t>38/2024</w:t>
        </w:r>
      </w:hyperlink>
      <w:r>
        <w:t xml:space="preserve">, f. 1; </w:t>
      </w:r>
      <w:hyperlink w:anchor="SENTENCIA_2024_46" w:history="1">
        <w:r w:rsidRPr="00601EEA">
          <w:rPr>
            <w:rStyle w:val="TextoNormalCaracter"/>
          </w:rPr>
          <w:t>46/2024</w:t>
        </w:r>
      </w:hyperlink>
      <w:r>
        <w:t xml:space="preserve">, f. 4, VP I; </w:t>
      </w:r>
      <w:hyperlink w:anchor="SENTENCIA_2024_65" w:history="1">
        <w:r w:rsidRPr="00601EEA">
          <w:rPr>
            <w:rStyle w:val="TextoNormalCaracter"/>
          </w:rPr>
          <w:t>65/2024</w:t>
        </w:r>
      </w:hyperlink>
      <w:r>
        <w:t xml:space="preserve">, f. 5; </w:t>
      </w:r>
      <w:hyperlink w:anchor="SENTENCIA_2024_67" w:history="1">
        <w:r w:rsidRPr="00601EEA">
          <w:rPr>
            <w:rStyle w:val="TextoNormalCaracter"/>
          </w:rPr>
          <w:t>67/2024</w:t>
        </w:r>
      </w:hyperlink>
      <w:r>
        <w:t xml:space="preserve">, ff. 1 a 3, VP; </w:t>
      </w:r>
      <w:hyperlink w:anchor="SENTENCIA_2024_69" w:history="1">
        <w:r w:rsidRPr="00601EEA">
          <w:rPr>
            <w:rStyle w:val="TextoNormalCaracter"/>
          </w:rPr>
          <w:t>69/2024</w:t>
        </w:r>
      </w:hyperlink>
      <w:r>
        <w:t xml:space="preserve">, ff. 1, 5; </w:t>
      </w:r>
      <w:hyperlink w:anchor="SENTENCIA_2024_73" w:history="1">
        <w:r w:rsidRPr="00601EEA">
          <w:rPr>
            <w:rStyle w:val="TextoNormalCaracter"/>
          </w:rPr>
          <w:t>73/2024</w:t>
        </w:r>
      </w:hyperlink>
      <w:r>
        <w:t xml:space="preserve">, </w:t>
      </w:r>
      <w:r>
        <w:lastRenderedPageBreak/>
        <w:t xml:space="preserve">f. 1; </w:t>
      </w:r>
      <w:hyperlink w:anchor="SENTENCIA_2024_75" w:history="1">
        <w:r w:rsidRPr="00601EEA">
          <w:rPr>
            <w:rStyle w:val="TextoNormalCaracter"/>
          </w:rPr>
          <w:t>75/2024</w:t>
        </w:r>
      </w:hyperlink>
      <w:r>
        <w:t xml:space="preserve">, f. 3; </w:t>
      </w:r>
      <w:hyperlink w:anchor="SENTENCIA_2024_86" w:history="1">
        <w:r w:rsidRPr="00601EEA">
          <w:rPr>
            <w:rStyle w:val="TextoNormalCaracter"/>
          </w:rPr>
          <w:t>86/2024</w:t>
        </w:r>
      </w:hyperlink>
      <w:r>
        <w:t xml:space="preserve">, f. 3; </w:t>
      </w:r>
      <w:hyperlink w:anchor="SENTENCIA_2024_87" w:history="1">
        <w:r w:rsidRPr="00601EEA">
          <w:rPr>
            <w:rStyle w:val="TextoNormalCaracter"/>
          </w:rPr>
          <w:t>87/2024</w:t>
        </w:r>
      </w:hyperlink>
      <w:r>
        <w:t xml:space="preserve">, ff. 1, 4; </w:t>
      </w:r>
      <w:hyperlink w:anchor="SENTENCIA_2024_89" w:history="1">
        <w:r w:rsidRPr="00601EEA">
          <w:rPr>
            <w:rStyle w:val="TextoNormalCaracter"/>
          </w:rPr>
          <w:t>89/2024</w:t>
        </w:r>
      </w:hyperlink>
      <w:r>
        <w:t xml:space="preserve">, f. 5; </w:t>
      </w:r>
      <w:hyperlink w:anchor="SENTENCIA_2024_92" w:history="1">
        <w:r w:rsidRPr="00601EEA">
          <w:rPr>
            <w:rStyle w:val="TextoNormalCaracter"/>
          </w:rPr>
          <w:t>92/2024</w:t>
        </w:r>
      </w:hyperlink>
      <w:r>
        <w:t>, ff. 1, 3, 4, 6 a 8, VP IV.</w:t>
      </w:r>
    </w:p>
    <w:p w14:paraId="4AA5E93C" w14:textId="1598095A" w:rsidR="00601EEA" w:rsidRDefault="00601EEA" w:rsidP="00601EEA">
      <w:pPr>
        <w:pStyle w:val="SangriaFrancesaArticulo"/>
      </w:pPr>
      <w:r w:rsidRPr="00601EEA">
        <w:rPr>
          <w:rStyle w:val="TextoNormalNegritaCaracter"/>
        </w:rPr>
        <w:t>Artículo 9.3</w:t>
      </w:r>
      <w:r>
        <w:t xml:space="preserve"> (interdicción de la arbitrariedad de los poderes públicos)</w:t>
      </w:r>
      <w:r w:rsidRPr="00601EEA">
        <w:rPr>
          <w:rStyle w:val="TextoNormalNegritaCaracter"/>
        </w:rPr>
        <w:t>.</w:t>
      </w:r>
      <w:r w:rsidRPr="00601EEA">
        <w:rPr>
          <w:rStyle w:val="TextoNormalCaracter"/>
        </w:rPr>
        <w:t>-</w:t>
      </w:r>
      <w:r>
        <w:t xml:space="preserve"> Sentencias </w:t>
      </w:r>
      <w:hyperlink w:anchor="SENTENCIA_2024_15" w:history="1">
        <w:r w:rsidRPr="00601EEA">
          <w:rPr>
            <w:rStyle w:val="TextoNormalCaracter"/>
          </w:rPr>
          <w:t>15/2024</w:t>
        </w:r>
      </w:hyperlink>
      <w:r>
        <w:t xml:space="preserve">, ff. 1, 2, 4, 7, 8; </w:t>
      </w:r>
      <w:hyperlink w:anchor="SENTENCIA_2024_25" w:history="1">
        <w:r w:rsidRPr="00601EEA">
          <w:rPr>
            <w:rStyle w:val="TextoNormalCaracter"/>
          </w:rPr>
          <w:t>25/2024</w:t>
        </w:r>
      </w:hyperlink>
      <w:r>
        <w:t xml:space="preserve">, ff. 1, 12, 13; </w:t>
      </w:r>
      <w:hyperlink w:anchor="SENTENCIA_2024_61" w:history="1">
        <w:r w:rsidRPr="00601EEA">
          <w:rPr>
            <w:rStyle w:val="TextoNormalCaracter"/>
          </w:rPr>
          <w:t>61/2024</w:t>
        </w:r>
      </w:hyperlink>
      <w:r>
        <w:t>, VP.</w:t>
      </w:r>
    </w:p>
    <w:p w14:paraId="4F3970E3" w14:textId="763ADC47" w:rsidR="00601EEA" w:rsidRDefault="00601EEA" w:rsidP="00601EEA">
      <w:pPr>
        <w:pStyle w:val="SangriaFrancesaArticulo"/>
      </w:pPr>
      <w:r w:rsidRPr="00601EEA">
        <w:rPr>
          <w:rStyle w:val="TextoNormalNegritaCaracter"/>
        </w:rPr>
        <w:t>Artículo 9.3</w:t>
      </w:r>
      <w:r>
        <w:t xml:space="preserve"> (principio de legalidad)</w:t>
      </w:r>
      <w:r w:rsidRPr="00601EEA">
        <w:rPr>
          <w:rStyle w:val="TextoNormalNegritaCaracter"/>
        </w:rPr>
        <w:t>.</w:t>
      </w:r>
      <w:r w:rsidRPr="00601EEA">
        <w:rPr>
          <w:rStyle w:val="TextoNormalCaracter"/>
        </w:rPr>
        <w:t>-</w:t>
      </w:r>
      <w:r>
        <w:t xml:space="preserve"> Sentencias </w:t>
      </w:r>
      <w:hyperlink w:anchor="SENTENCIA_2024_25" w:history="1">
        <w:r w:rsidRPr="00601EEA">
          <w:rPr>
            <w:rStyle w:val="TextoNormalCaracter"/>
          </w:rPr>
          <w:t>25/2024</w:t>
        </w:r>
      </w:hyperlink>
      <w:r>
        <w:t xml:space="preserve">, ff. 1, 11; </w:t>
      </w:r>
      <w:hyperlink w:anchor="SENTENCIA_2024_93" w:history="1">
        <w:r w:rsidRPr="00601EEA">
          <w:rPr>
            <w:rStyle w:val="TextoNormalCaracter"/>
          </w:rPr>
          <w:t>93/2024</w:t>
        </w:r>
      </w:hyperlink>
      <w:r>
        <w:t>, f. 3, VP II.</w:t>
      </w:r>
    </w:p>
    <w:p w14:paraId="45C46CED" w14:textId="1351D1AA" w:rsidR="00601EEA" w:rsidRDefault="00601EEA" w:rsidP="00601EEA">
      <w:pPr>
        <w:pStyle w:val="SangriaFrancesaArticulo"/>
      </w:pPr>
      <w:r w:rsidRPr="00601EEA">
        <w:rPr>
          <w:rStyle w:val="TextoNormalNegritaCaracter"/>
        </w:rPr>
        <w:t>Artículo 9.3</w:t>
      </w:r>
      <w:r>
        <w:t xml:space="preserve"> (publicidad de las normas)</w:t>
      </w:r>
      <w:r w:rsidRPr="00601EEA">
        <w:rPr>
          <w:rStyle w:val="TextoNormalNegritaCaracter"/>
        </w:rPr>
        <w:t>.</w:t>
      </w:r>
      <w:r w:rsidRPr="00601EEA">
        <w:rPr>
          <w:rStyle w:val="TextoNormalCaracter"/>
        </w:rPr>
        <w:t>-</w:t>
      </w:r>
      <w:r>
        <w:t xml:space="preserve"> Sentencia </w:t>
      </w:r>
      <w:hyperlink w:anchor="SENTENCIA_2024_93" w:history="1">
        <w:r w:rsidRPr="00601EEA">
          <w:rPr>
            <w:rStyle w:val="TextoNormalCaracter"/>
          </w:rPr>
          <w:t>93/2024</w:t>
        </w:r>
      </w:hyperlink>
      <w:r>
        <w:t>, VP I.</w:t>
      </w:r>
    </w:p>
    <w:p w14:paraId="7E000419" w14:textId="41D7931F" w:rsidR="00601EEA" w:rsidRDefault="00601EEA" w:rsidP="00601EEA">
      <w:pPr>
        <w:pStyle w:val="SangriaFrancesaArticulo"/>
      </w:pPr>
      <w:r w:rsidRPr="00601EEA">
        <w:rPr>
          <w:rStyle w:val="TextoNormalNegritaCaracter"/>
        </w:rPr>
        <w:t>Artículo 9.3</w:t>
      </w:r>
      <w:r>
        <w:t xml:space="preserve"> (seguridad jurídica)</w:t>
      </w:r>
      <w:r w:rsidRPr="00601EEA">
        <w:rPr>
          <w:rStyle w:val="TextoNormalNegritaCaracter"/>
        </w:rPr>
        <w:t>.</w:t>
      </w:r>
      <w:r w:rsidRPr="00601EEA">
        <w:rPr>
          <w:rStyle w:val="TextoNormalCaracter"/>
        </w:rPr>
        <w:t>-</w:t>
      </w:r>
      <w:r>
        <w:t xml:space="preserve"> Sentencias </w:t>
      </w:r>
      <w:hyperlink w:anchor="SENTENCIA_2024_3" w:history="1">
        <w:r w:rsidRPr="00601EEA">
          <w:rPr>
            <w:rStyle w:val="TextoNormalCaracter"/>
          </w:rPr>
          <w:t>3/2024</w:t>
        </w:r>
      </w:hyperlink>
      <w:r>
        <w:t xml:space="preserve">, ff. 1, 3; </w:t>
      </w:r>
      <w:hyperlink w:anchor="SENTENCIA_2024_9" w:history="1">
        <w:r w:rsidRPr="00601EEA">
          <w:rPr>
            <w:rStyle w:val="TextoNormalCaracter"/>
          </w:rPr>
          <w:t>9/2024</w:t>
        </w:r>
      </w:hyperlink>
      <w:r>
        <w:t xml:space="preserve">, f. 1; </w:t>
      </w:r>
      <w:hyperlink w:anchor="SENTENCIA_2024_11" w:history="1">
        <w:r w:rsidRPr="00601EEA">
          <w:rPr>
            <w:rStyle w:val="TextoNormalCaracter"/>
          </w:rPr>
          <w:t>11/2024</w:t>
        </w:r>
      </w:hyperlink>
      <w:r>
        <w:t xml:space="preserve">, f.1; </w:t>
      </w:r>
      <w:hyperlink w:anchor="SENTENCIA_2024_25" w:history="1">
        <w:r w:rsidRPr="00601EEA">
          <w:rPr>
            <w:rStyle w:val="TextoNormalCaracter"/>
          </w:rPr>
          <w:t>25/2024</w:t>
        </w:r>
      </w:hyperlink>
      <w:r>
        <w:t xml:space="preserve">, ff. 1, 5, 7; </w:t>
      </w:r>
      <w:hyperlink w:anchor="SENTENCIA_2024_28" w:history="1">
        <w:r w:rsidRPr="00601EEA">
          <w:rPr>
            <w:rStyle w:val="TextoNormalCaracter"/>
          </w:rPr>
          <w:t>28/2024</w:t>
        </w:r>
      </w:hyperlink>
      <w:r>
        <w:t xml:space="preserve">, VP; </w:t>
      </w:r>
      <w:hyperlink w:anchor="SENTENCIA_2024_44" w:history="1">
        <w:r w:rsidRPr="00601EEA">
          <w:rPr>
            <w:rStyle w:val="TextoNormalCaracter"/>
          </w:rPr>
          <w:t>44/2024</w:t>
        </w:r>
      </w:hyperlink>
      <w:r>
        <w:t xml:space="preserve">, VP II; </w:t>
      </w:r>
      <w:hyperlink w:anchor="SENTENCIA_2024_76" w:history="1">
        <w:r w:rsidRPr="00601EEA">
          <w:rPr>
            <w:rStyle w:val="TextoNormalCaracter"/>
          </w:rPr>
          <w:t>76/2024</w:t>
        </w:r>
      </w:hyperlink>
      <w:r>
        <w:t xml:space="preserve">, VP; </w:t>
      </w:r>
      <w:hyperlink w:anchor="SENTENCIA_2024_79" w:history="1">
        <w:r w:rsidRPr="00601EEA">
          <w:rPr>
            <w:rStyle w:val="TextoNormalCaracter"/>
          </w:rPr>
          <w:t>79/2024</w:t>
        </w:r>
      </w:hyperlink>
      <w:r>
        <w:t>, ff. 1, 2.</w:t>
      </w:r>
    </w:p>
    <w:p w14:paraId="0F2FA4DC" w14:textId="556B0102" w:rsidR="00601EEA" w:rsidRDefault="00601EEA" w:rsidP="00601EEA">
      <w:pPr>
        <w:pStyle w:val="SangriaFrancesaArticulo"/>
      </w:pPr>
      <w:r w:rsidRPr="00601EEA">
        <w:rPr>
          <w:rStyle w:val="TextoNormalNegritaCaracter"/>
        </w:rPr>
        <w:t>Artículo 10.</w:t>
      </w:r>
      <w:r w:rsidRPr="00601EEA">
        <w:rPr>
          <w:rStyle w:val="TextoNormalCaracter"/>
        </w:rPr>
        <w:t>-</w:t>
      </w:r>
      <w:r>
        <w:t xml:space="preserve"> Sentencias </w:t>
      </w:r>
      <w:hyperlink w:anchor="SENTENCIA_2024_25" w:history="1">
        <w:r w:rsidRPr="00601EEA">
          <w:rPr>
            <w:rStyle w:val="TextoNormalCaracter"/>
          </w:rPr>
          <w:t>25/2024</w:t>
        </w:r>
      </w:hyperlink>
      <w:r>
        <w:t xml:space="preserve">, f. 6; </w:t>
      </w:r>
      <w:hyperlink w:anchor="SENTENCIA_2024_28" w:history="1">
        <w:r w:rsidRPr="00601EEA">
          <w:rPr>
            <w:rStyle w:val="TextoNormalCaracter"/>
          </w:rPr>
          <w:t>28/2024</w:t>
        </w:r>
      </w:hyperlink>
      <w:r>
        <w:t xml:space="preserve">, ff. 1, 2; </w:t>
      </w:r>
      <w:hyperlink w:anchor="SENTENCIA_2024_71" w:history="1">
        <w:r w:rsidRPr="00601EEA">
          <w:rPr>
            <w:rStyle w:val="TextoNormalCaracter"/>
          </w:rPr>
          <w:t>71/2024</w:t>
        </w:r>
      </w:hyperlink>
      <w:r>
        <w:t xml:space="preserve">, f. único; </w:t>
      </w:r>
      <w:hyperlink w:anchor="SENTENCIA_2024_92" w:history="1">
        <w:r w:rsidRPr="00601EEA">
          <w:rPr>
            <w:rStyle w:val="TextoNormalCaracter"/>
          </w:rPr>
          <w:t>92/2024</w:t>
        </w:r>
      </w:hyperlink>
      <w:r>
        <w:t>, ff. 4, 6, 8.</w:t>
      </w:r>
    </w:p>
    <w:p w14:paraId="3172FEB9" w14:textId="75DEC0DB" w:rsidR="00601EEA" w:rsidRDefault="00601EEA" w:rsidP="00601EEA">
      <w:pPr>
        <w:pStyle w:val="SangriaFrancesaArticulo"/>
      </w:pPr>
      <w:r w:rsidRPr="00601EEA">
        <w:rPr>
          <w:rStyle w:val="TextoNormalNegritaCaracter"/>
        </w:rPr>
        <w:t>Artículo 10.1.</w:t>
      </w:r>
      <w:r w:rsidRPr="00601EEA">
        <w:rPr>
          <w:rStyle w:val="TextoNormalCaracter"/>
        </w:rPr>
        <w:t>-</w:t>
      </w:r>
      <w:r>
        <w:t xml:space="preserve"> Sentencias </w:t>
      </w:r>
      <w:hyperlink w:anchor="SENTENCIA_2024_1" w:history="1">
        <w:r w:rsidRPr="00601EEA">
          <w:rPr>
            <w:rStyle w:val="TextoNormalCaracter"/>
          </w:rPr>
          <w:t>1/2024</w:t>
        </w:r>
      </w:hyperlink>
      <w:r>
        <w:t xml:space="preserve">, f. 2; </w:t>
      </w:r>
      <w:hyperlink w:anchor="SENTENCIA_2024_8" w:history="1">
        <w:r w:rsidRPr="00601EEA">
          <w:rPr>
            <w:rStyle w:val="TextoNormalCaracter"/>
          </w:rPr>
          <w:t>8/2024</w:t>
        </w:r>
      </w:hyperlink>
      <w:r>
        <w:t xml:space="preserve">, f. 6; </w:t>
      </w:r>
      <w:hyperlink w:anchor="SENTENCIA_2024_22" w:history="1">
        <w:r w:rsidRPr="00601EEA">
          <w:rPr>
            <w:rStyle w:val="TextoNormalCaracter"/>
          </w:rPr>
          <w:t>22/2024</w:t>
        </w:r>
      </w:hyperlink>
      <w:r>
        <w:t xml:space="preserve">, f. 3; </w:t>
      </w:r>
      <w:hyperlink w:anchor="SENTENCIA_2024_28" w:history="1">
        <w:r w:rsidRPr="00601EEA">
          <w:rPr>
            <w:rStyle w:val="TextoNormalCaracter"/>
          </w:rPr>
          <w:t>28/2024</w:t>
        </w:r>
      </w:hyperlink>
      <w:r>
        <w:t xml:space="preserve">, ff. 3 a 6, VP; </w:t>
      </w:r>
      <w:hyperlink w:anchor="SENTENCIA_2024_35" w:history="1">
        <w:r w:rsidRPr="00601EEA">
          <w:rPr>
            <w:rStyle w:val="TextoNormalCaracter"/>
          </w:rPr>
          <w:t>35/2024</w:t>
        </w:r>
      </w:hyperlink>
      <w:r>
        <w:t xml:space="preserve">, f. 2; </w:t>
      </w:r>
      <w:hyperlink w:anchor="SENTENCIA_2024_75" w:history="1">
        <w:r w:rsidRPr="00601EEA">
          <w:rPr>
            <w:rStyle w:val="TextoNormalCaracter"/>
          </w:rPr>
          <w:t>75/2024</w:t>
        </w:r>
      </w:hyperlink>
      <w:r>
        <w:t xml:space="preserve">, f. 5, VP II; </w:t>
      </w:r>
      <w:hyperlink w:anchor="SENTENCIA_2024_79" w:history="1">
        <w:r w:rsidRPr="00601EEA">
          <w:rPr>
            <w:rStyle w:val="TextoNormalCaracter"/>
          </w:rPr>
          <w:t>79/2024</w:t>
        </w:r>
      </w:hyperlink>
      <w:r>
        <w:t xml:space="preserve">, VP; </w:t>
      </w:r>
      <w:hyperlink w:anchor="SENTENCIA_2024_81" w:history="1">
        <w:r w:rsidRPr="00601EEA">
          <w:rPr>
            <w:rStyle w:val="TextoNormalCaracter"/>
          </w:rPr>
          <w:t>81/2024</w:t>
        </w:r>
      </w:hyperlink>
      <w:r>
        <w:t xml:space="preserve">, f. 3; </w:t>
      </w:r>
      <w:hyperlink w:anchor="SENTENCIA_2024_87" w:history="1">
        <w:r w:rsidRPr="00601EEA">
          <w:rPr>
            <w:rStyle w:val="TextoNormalCaracter"/>
          </w:rPr>
          <w:t>87/2024</w:t>
        </w:r>
      </w:hyperlink>
      <w:r>
        <w:t xml:space="preserve">, f. 4; </w:t>
      </w:r>
      <w:hyperlink w:anchor="SENTENCIA_2024_92" w:history="1">
        <w:r w:rsidRPr="00601EEA">
          <w:rPr>
            <w:rStyle w:val="TextoNormalCaracter"/>
          </w:rPr>
          <w:t>92/2024</w:t>
        </w:r>
      </w:hyperlink>
      <w:r>
        <w:t>, ff. 2, 4 a 8, VP III, VP IV.</w:t>
      </w:r>
    </w:p>
    <w:p w14:paraId="24984529" w14:textId="58E4F341" w:rsidR="00601EEA" w:rsidRDefault="00601EEA" w:rsidP="00601EEA">
      <w:pPr>
        <w:pStyle w:val="SangriaFrancesaArticulo"/>
      </w:pPr>
      <w:r w:rsidRPr="00601EEA">
        <w:rPr>
          <w:rStyle w:val="TextoNormalNegritaCaracter"/>
        </w:rPr>
        <w:t>Artículo 10.2.</w:t>
      </w:r>
      <w:r w:rsidRPr="00601EEA">
        <w:rPr>
          <w:rStyle w:val="TextoNormalCaracter"/>
        </w:rPr>
        <w:t>-</w:t>
      </w:r>
      <w:r>
        <w:t xml:space="preserve"> Sentencias </w:t>
      </w:r>
      <w:hyperlink w:anchor="SENTENCIA_2024_9" w:history="1">
        <w:r w:rsidRPr="00601EEA">
          <w:rPr>
            <w:rStyle w:val="TextoNormalCaracter"/>
          </w:rPr>
          <w:t>9/2024</w:t>
        </w:r>
      </w:hyperlink>
      <w:r>
        <w:t xml:space="preserve">, VP II; </w:t>
      </w:r>
      <w:hyperlink w:anchor="SENTENCIA_2024_24" w:history="1">
        <w:r w:rsidRPr="00601EEA">
          <w:rPr>
            <w:rStyle w:val="TextoNormalCaracter"/>
          </w:rPr>
          <w:t>24/2024</w:t>
        </w:r>
      </w:hyperlink>
      <w:r>
        <w:t xml:space="preserve">, f. 2; </w:t>
      </w:r>
      <w:hyperlink w:anchor="SENTENCIA_2024_26" w:history="1">
        <w:r w:rsidRPr="00601EEA">
          <w:rPr>
            <w:rStyle w:val="TextoNormalCaracter"/>
          </w:rPr>
          <w:t>26/2024</w:t>
        </w:r>
      </w:hyperlink>
      <w:r>
        <w:t xml:space="preserve">, ff. 2, 4; </w:t>
      </w:r>
      <w:hyperlink w:anchor="SENTENCIA_2024_28" w:history="1">
        <w:r w:rsidRPr="00601EEA">
          <w:rPr>
            <w:rStyle w:val="TextoNormalCaracter"/>
          </w:rPr>
          <w:t>28/2024</w:t>
        </w:r>
      </w:hyperlink>
      <w:r>
        <w:t xml:space="preserve">, ff. 3, 5; </w:t>
      </w:r>
      <w:hyperlink w:anchor="SENTENCIA_2024_38" w:history="1">
        <w:r w:rsidRPr="00601EEA">
          <w:rPr>
            <w:rStyle w:val="TextoNormalCaracter"/>
          </w:rPr>
          <w:t>38/2024</w:t>
        </w:r>
      </w:hyperlink>
      <w:r>
        <w:t xml:space="preserve">, f. 1; </w:t>
      </w:r>
      <w:hyperlink w:anchor="SENTENCIA_2024_48" w:history="1">
        <w:r w:rsidRPr="00601EEA">
          <w:rPr>
            <w:rStyle w:val="TextoNormalCaracter"/>
          </w:rPr>
          <w:t>48/2024</w:t>
        </w:r>
      </w:hyperlink>
      <w:r>
        <w:t xml:space="preserve">, f. 2, VP I; </w:t>
      </w:r>
      <w:hyperlink w:anchor="SENTENCIA_2024_49" w:history="1">
        <w:r w:rsidRPr="00601EEA">
          <w:rPr>
            <w:rStyle w:val="TextoNormalCaracter"/>
          </w:rPr>
          <w:t>49/2024</w:t>
        </w:r>
      </w:hyperlink>
      <w:r>
        <w:t xml:space="preserve">, f. 2; </w:t>
      </w:r>
      <w:hyperlink w:anchor="SENTENCIA_2024_61" w:history="1">
        <w:r w:rsidRPr="00601EEA">
          <w:rPr>
            <w:rStyle w:val="TextoNormalCaracter"/>
          </w:rPr>
          <w:t>61/2024</w:t>
        </w:r>
      </w:hyperlink>
      <w:r>
        <w:t xml:space="preserve">, f. 4; </w:t>
      </w:r>
      <w:hyperlink w:anchor="SENTENCIA_2024_66" w:history="1">
        <w:r w:rsidRPr="00601EEA">
          <w:rPr>
            <w:rStyle w:val="TextoNormalCaracter"/>
          </w:rPr>
          <w:t>66/2024</w:t>
        </w:r>
      </w:hyperlink>
      <w:r>
        <w:t xml:space="preserve">, f. 1; </w:t>
      </w:r>
      <w:hyperlink w:anchor="SENTENCIA_2024_72" w:history="1">
        <w:r w:rsidRPr="00601EEA">
          <w:rPr>
            <w:rStyle w:val="TextoNormalCaracter"/>
          </w:rPr>
          <w:t>72/2024</w:t>
        </w:r>
      </w:hyperlink>
      <w:r>
        <w:t xml:space="preserve">, f. 4, VP; </w:t>
      </w:r>
      <w:hyperlink w:anchor="SENTENCIA_2024_79" w:history="1">
        <w:r w:rsidRPr="00601EEA">
          <w:rPr>
            <w:rStyle w:val="TextoNormalCaracter"/>
          </w:rPr>
          <w:t>79/2024</w:t>
        </w:r>
      </w:hyperlink>
      <w:r>
        <w:t xml:space="preserve">, f. 3; </w:t>
      </w:r>
      <w:hyperlink w:anchor="SENTENCIA_2024_80" w:history="1">
        <w:r w:rsidRPr="00601EEA">
          <w:rPr>
            <w:rStyle w:val="TextoNormalCaracter"/>
          </w:rPr>
          <w:t>80/2024</w:t>
        </w:r>
      </w:hyperlink>
      <w:r>
        <w:t xml:space="preserve">, f. 4; </w:t>
      </w:r>
      <w:hyperlink w:anchor="SENTENCIA_2024_87" w:history="1">
        <w:r w:rsidRPr="00601EEA">
          <w:rPr>
            <w:rStyle w:val="TextoNormalCaracter"/>
          </w:rPr>
          <w:t>87/2024</w:t>
        </w:r>
      </w:hyperlink>
      <w:r>
        <w:t xml:space="preserve">, VP II; </w:t>
      </w:r>
      <w:hyperlink w:anchor="SENTENCIA_2024_92" w:history="1">
        <w:r w:rsidRPr="00601EEA">
          <w:rPr>
            <w:rStyle w:val="TextoNormalCaracter"/>
          </w:rPr>
          <w:t>92/2024</w:t>
        </w:r>
      </w:hyperlink>
      <w:r>
        <w:t>, f. 5.</w:t>
      </w:r>
    </w:p>
    <w:p w14:paraId="19C6CF85" w14:textId="198CEAF0" w:rsidR="00601EEA" w:rsidRDefault="00601EEA" w:rsidP="00601EEA">
      <w:pPr>
        <w:pStyle w:val="SangriaIzquierdaArticulo"/>
      </w:pPr>
      <w:r>
        <w:t xml:space="preserve">Auto </w:t>
      </w:r>
      <w:hyperlink w:anchor="AUTO_2024_57" w:history="1">
        <w:r w:rsidRPr="00601EEA">
          <w:rPr>
            <w:rStyle w:val="TextoNormalCaracter"/>
          </w:rPr>
          <w:t>57/2024</w:t>
        </w:r>
      </w:hyperlink>
      <w:r>
        <w:t>, VP II.</w:t>
      </w:r>
    </w:p>
    <w:p w14:paraId="0C75F647" w14:textId="6926BCC7" w:rsidR="00601EEA" w:rsidRDefault="00601EEA" w:rsidP="00601EEA">
      <w:pPr>
        <w:pStyle w:val="SangriaFrancesaArticulo"/>
      </w:pPr>
      <w:r w:rsidRPr="00601EEA">
        <w:rPr>
          <w:rStyle w:val="TextoNormalNegritaCaracter"/>
        </w:rPr>
        <w:t>Artículo 12.</w:t>
      </w:r>
      <w:r w:rsidRPr="00601EEA">
        <w:rPr>
          <w:rStyle w:val="TextoNormalCaracter"/>
        </w:rPr>
        <w:t>-</w:t>
      </w:r>
      <w:r>
        <w:t xml:space="preserve"> Sentencia </w:t>
      </w:r>
      <w:hyperlink w:anchor="SENTENCIA_2024_92" w:history="1">
        <w:r w:rsidRPr="00601EEA">
          <w:rPr>
            <w:rStyle w:val="TextoNormalCaracter"/>
          </w:rPr>
          <w:t>92/2024</w:t>
        </w:r>
      </w:hyperlink>
      <w:r>
        <w:t>, f. 6.</w:t>
      </w:r>
    </w:p>
    <w:p w14:paraId="345DB551" w14:textId="0A717DEF" w:rsidR="00601EEA" w:rsidRDefault="00601EEA" w:rsidP="00601EEA">
      <w:pPr>
        <w:pStyle w:val="SangriaFrancesaArticulo"/>
      </w:pPr>
      <w:r w:rsidRPr="00601EEA">
        <w:rPr>
          <w:rStyle w:val="TextoNormalNegritaCaracter"/>
        </w:rPr>
        <w:t>Artículo 13.</w:t>
      </w:r>
      <w:r w:rsidRPr="00601EEA">
        <w:rPr>
          <w:rStyle w:val="TextoNormalCaracter"/>
        </w:rPr>
        <w:t>-</w:t>
      </w:r>
      <w:r>
        <w:t xml:space="preserve"> Sentencias </w:t>
      </w:r>
      <w:hyperlink w:anchor="SENTENCIA_2024_37" w:history="1">
        <w:r w:rsidRPr="00601EEA">
          <w:rPr>
            <w:rStyle w:val="TextoNormalCaracter"/>
          </w:rPr>
          <w:t>37/2024</w:t>
        </w:r>
      </w:hyperlink>
      <w:r>
        <w:t xml:space="preserve">, VP; </w:t>
      </w:r>
      <w:hyperlink w:anchor="SENTENCIA_2024_42" w:history="1">
        <w:r w:rsidRPr="00601EEA">
          <w:rPr>
            <w:rStyle w:val="TextoNormalCaracter"/>
          </w:rPr>
          <w:t>42/2024</w:t>
        </w:r>
      </w:hyperlink>
      <w:r>
        <w:t xml:space="preserve">, VP; </w:t>
      </w:r>
      <w:hyperlink w:anchor="SENTENCIA_2024_43" w:history="1">
        <w:r w:rsidRPr="00601EEA">
          <w:rPr>
            <w:rStyle w:val="TextoNormalCaracter"/>
          </w:rPr>
          <w:t>43/2024</w:t>
        </w:r>
      </w:hyperlink>
      <w:r>
        <w:t>, VP I.</w:t>
      </w:r>
    </w:p>
    <w:p w14:paraId="6A6DE0B3" w14:textId="7616B027" w:rsidR="00601EEA" w:rsidRDefault="00601EEA" w:rsidP="00601EEA">
      <w:pPr>
        <w:pStyle w:val="SangriaFrancesaArticulo"/>
      </w:pPr>
      <w:r w:rsidRPr="00601EEA">
        <w:rPr>
          <w:rStyle w:val="TextoNormalNegritaCaracter"/>
        </w:rPr>
        <w:t>Artículo 14.</w:t>
      </w:r>
      <w:r w:rsidRPr="00601EEA">
        <w:rPr>
          <w:rStyle w:val="TextoNormalCaracter"/>
        </w:rPr>
        <w:t>-</w:t>
      </w:r>
      <w:r>
        <w:t xml:space="preserve"> Sentencias </w:t>
      </w:r>
      <w:hyperlink w:anchor="SENTENCIA_2024_2" w:history="1">
        <w:r w:rsidRPr="00601EEA">
          <w:rPr>
            <w:rStyle w:val="TextoNormalCaracter"/>
          </w:rPr>
          <w:t>2/2024</w:t>
        </w:r>
      </w:hyperlink>
      <w:r>
        <w:t xml:space="preserve">, f. 2; </w:t>
      </w:r>
      <w:hyperlink w:anchor="SENTENCIA_2024_3" w:history="1">
        <w:r w:rsidRPr="00601EEA">
          <w:rPr>
            <w:rStyle w:val="TextoNormalCaracter"/>
          </w:rPr>
          <w:t>3/2024</w:t>
        </w:r>
      </w:hyperlink>
      <w:r>
        <w:t xml:space="preserve">, ff. 1, 3; </w:t>
      </w:r>
      <w:hyperlink w:anchor="SENTENCIA_2024_4" w:history="1">
        <w:r w:rsidRPr="00601EEA">
          <w:rPr>
            <w:rStyle w:val="TextoNormalCaracter"/>
          </w:rPr>
          <w:t>4/2024</w:t>
        </w:r>
      </w:hyperlink>
      <w:r>
        <w:t xml:space="preserve">, ff. 1, 2; </w:t>
      </w:r>
      <w:hyperlink w:anchor="SENTENCIA_2024_6" w:history="1">
        <w:r w:rsidRPr="00601EEA">
          <w:rPr>
            <w:rStyle w:val="TextoNormalCaracter"/>
          </w:rPr>
          <w:t>6/2024</w:t>
        </w:r>
      </w:hyperlink>
      <w:r>
        <w:t xml:space="preserve">, f. 2; </w:t>
      </w:r>
      <w:hyperlink w:anchor="SENTENCIA_2024_11" w:history="1">
        <w:r w:rsidRPr="00601EEA">
          <w:rPr>
            <w:rStyle w:val="TextoNormalCaracter"/>
          </w:rPr>
          <w:t>11/2024</w:t>
        </w:r>
      </w:hyperlink>
      <w:r>
        <w:t xml:space="preserve">, f. 4; </w:t>
      </w:r>
      <w:hyperlink w:anchor="SENTENCIA_2024_14" w:history="1">
        <w:r w:rsidRPr="00601EEA">
          <w:rPr>
            <w:rStyle w:val="TextoNormalCaracter"/>
          </w:rPr>
          <w:t>14/2024</w:t>
        </w:r>
      </w:hyperlink>
      <w:r>
        <w:t xml:space="preserve">, f. 2; </w:t>
      </w:r>
      <w:hyperlink w:anchor="SENTENCIA_2024_18" w:history="1">
        <w:r w:rsidRPr="00601EEA">
          <w:rPr>
            <w:rStyle w:val="TextoNormalCaracter"/>
          </w:rPr>
          <w:t>18/2024</w:t>
        </w:r>
      </w:hyperlink>
      <w:r>
        <w:t xml:space="preserve">, f. único, VP; </w:t>
      </w:r>
      <w:hyperlink w:anchor="SENTENCIA_2024_22" w:history="1">
        <w:r w:rsidRPr="00601EEA">
          <w:rPr>
            <w:rStyle w:val="TextoNormalCaracter"/>
          </w:rPr>
          <w:t>22/2024</w:t>
        </w:r>
      </w:hyperlink>
      <w:r>
        <w:t xml:space="preserve">, ff. 1 a 4; </w:t>
      </w:r>
      <w:hyperlink w:anchor="SENTENCIA_2024_24" w:history="1">
        <w:r w:rsidRPr="00601EEA">
          <w:rPr>
            <w:rStyle w:val="TextoNormalCaracter"/>
          </w:rPr>
          <w:t>24/2024</w:t>
        </w:r>
      </w:hyperlink>
      <w:r>
        <w:t xml:space="preserve">, f. 2; </w:t>
      </w:r>
      <w:hyperlink w:anchor="SENTENCIA_2024_25" w:history="1">
        <w:r w:rsidRPr="00601EEA">
          <w:rPr>
            <w:rStyle w:val="TextoNormalCaracter"/>
          </w:rPr>
          <w:t>25/2024</w:t>
        </w:r>
      </w:hyperlink>
      <w:r>
        <w:t xml:space="preserve">, ff. 1, 6, 11, 12; </w:t>
      </w:r>
      <w:hyperlink w:anchor="SENTENCIA_2024_28" w:history="1">
        <w:r w:rsidRPr="00601EEA">
          <w:rPr>
            <w:rStyle w:val="TextoNormalCaracter"/>
          </w:rPr>
          <w:t>28/2024</w:t>
        </w:r>
      </w:hyperlink>
      <w:r>
        <w:t xml:space="preserve">, ff. 1 a 3; </w:t>
      </w:r>
      <w:hyperlink w:anchor="SENTENCIA_2024_32" w:history="1">
        <w:r w:rsidRPr="00601EEA">
          <w:rPr>
            <w:rStyle w:val="TextoNormalCaracter"/>
          </w:rPr>
          <w:t>32/2024</w:t>
        </w:r>
      </w:hyperlink>
      <w:r>
        <w:t xml:space="preserve">, ff. 1, 2; </w:t>
      </w:r>
      <w:hyperlink w:anchor="SENTENCIA_2024_41" w:history="1">
        <w:r w:rsidRPr="00601EEA">
          <w:rPr>
            <w:rStyle w:val="TextoNormalCaracter"/>
          </w:rPr>
          <w:t>41/2024</w:t>
        </w:r>
      </w:hyperlink>
      <w:r>
        <w:t xml:space="preserve">, f. 2; </w:t>
      </w:r>
      <w:hyperlink w:anchor="SENTENCIA_2024_48" w:history="1">
        <w:r w:rsidRPr="00601EEA">
          <w:rPr>
            <w:rStyle w:val="TextoNormalCaracter"/>
          </w:rPr>
          <w:t>48/2024</w:t>
        </w:r>
      </w:hyperlink>
      <w:r>
        <w:t xml:space="preserve">, ff. 1, 2, 4 a 6, VP I; </w:t>
      </w:r>
      <w:hyperlink w:anchor="SENTENCIA_2024_54" w:history="1">
        <w:r w:rsidRPr="00601EEA">
          <w:rPr>
            <w:rStyle w:val="TextoNormalCaracter"/>
          </w:rPr>
          <w:t>54/2024</w:t>
        </w:r>
      </w:hyperlink>
      <w:r>
        <w:t xml:space="preserve">, f. 1; </w:t>
      </w:r>
      <w:hyperlink w:anchor="SENTENCIA_2024_56" w:history="1">
        <w:r w:rsidRPr="00601EEA">
          <w:rPr>
            <w:rStyle w:val="TextoNormalCaracter"/>
          </w:rPr>
          <w:t>56/2024</w:t>
        </w:r>
      </w:hyperlink>
      <w:r>
        <w:t xml:space="preserve">, f. 2; </w:t>
      </w:r>
      <w:hyperlink w:anchor="SENTENCIA_2024_63" w:history="1">
        <w:r w:rsidRPr="00601EEA">
          <w:rPr>
            <w:rStyle w:val="TextoNormalCaracter"/>
          </w:rPr>
          <w:t>63/2024</w:t>
        </w:r>
      </w:hyperlink>
      <w:r>
        <w:t xml:space="preserve">, ff. 1, 2, 4, 5; </w:t>
      </w:r>
      <w:hyperlink w:anchor="SENTENCIA_2024_66" w:history="1">
        <w:r w:rsidRPr="00601EEA">
          <w:rPr>
            <w:rStyle w:val="TextoNormalCaracter"/>
          </w:rPr>
          <w:t>66/2024</w:t>
        </w:r>
      </w:hyperlink>
      <w:r>
        <w:t xml:space="preserve">, ff. 1, 2, 6; </w:t>
      </w:r>
      <w:hyperlink w:anchor="SENTENCIA_2024_71" w:history="1">
        <w:r w:rsidRPr="00601EEA">
          <w:rPr>
            <w:rStyle w:val="TextoNormalCaracter"/>
          </w:rPr>
          <w:t>71/2024</w:t>
        </w:r>
      </w:hyperlink>
      <w:r>
        <w:t xml:space="preserve">, f. único; </w:t>
      </w:r>
      <w:hyperlink w:anchor="SENTENCIA_2024_75" w:history="1">
        <w:r w:rsidRPr="00601EEA">
          <w:rPr>
            <w:rStyle w:val="TextoNormalCaracter"/>
          </w:rPr>
          <w:t>75/2024</w:t>
        </w:r>
      </w:hyperlink>
      <w:r>
        <w:t xml:space="preserve">, ff. 1, 5, VP II; </w:t>
      </w:r>
      <w:hyperlink w:anchor="SENTENCIA_2024_81" w:history="1">
        <w:r w:rsidRPr="00601EEA">
          <w:rPr>
            <w:rStyle w:val="TextoNormalCaracter"/>
          </w:rPr>
          <w:t>81/2024</w:t>
        </w:r>
      </w:hyperlink>
      <w:r>
        <w:t xml:space="preserve">, ff. 1, 3, 4; </w:t>
      </w:r>
      <w:hyperlink w:anchor="SENTENCIA_2024_88" w:history="1">
        <w:r w:rsidRPr="00601EEA">
          <w:rPr>
            <w:rStyle w:val="TextoNormalCaracter"/>
          </w:rPr>
          <w:t>88/2024</w:t>
        </w:r>
      </w:hyperlink>
      <w:r>
        <w:t xml:space="preserve">, ff. 1, 3, 7; </w:t>
      </w:r>
      <w:hyperlink w:anchor="SENTENCIA_2024_89" w:history="1">
        <w:r w:rsidRPr="00601EEA">
          <w:rPr>
            <w:rStyle w:val="TextoNormalCaracter"/>
          </w:rPr>
          <w:t>89/2024</w:t>
        </w:r>
      </w:hyperlink>
      <w:r>
        <w:t xml:space="preserve">, ff. 2 a 4, VP II; </w:t>
      </w:r>
      <w:hyperlink w:anchor="SENTENCIA_2024_92" w:history="1">
        <w:r w:rsidRPr="00601EEA">
          <w:rPr>
            <w:rStyle w:val="TextoNormalCaracter"/>
          </w:rPr>
          <w:t>92/2024</w:t>
        </w:r>
      </w:hyperlink>
      <w:r>
        <w:t>, ff. 1, 3, 4, 8, 9, VP III, VP IV.</w:t>
      </w:r>
    </w:p>
    <w:p w14:paraId="61C3800C" w14:textId="2880863D" w:rsidR="00601EEA" w:rsidRDefault="00601EEA" w:rsidP="00601EEA">
      <w:pPr>
        <w:pStyle w:val="SangriaIzquierdaArticulo"/>
      </w:pPr>
      <w:r>
        <w:t xml:space="preserve">Autos </w:t>
      </w:r>
      <w:hyperlink w:anchor="AUTO_2024_20" w:history="1">
        <w:r w:rsidRPr="00601EEA">
          <w:rPr>
            <w:rStyle w:val="TextoNormalCaracter"/>
          </w:rPr>
          <w:t>20/2024</w:t>
        </w:r>
      </w:hyperlink>
      <w:r>
        <w:t xml:space="preserve">, ff. 1, 3 a 5; </w:t>
      </w:r>
      <w:hyperlink w:anchor="AUTO_2024_24" w:history="1">
        <w:r w:rsidRPr="00601EEA">
          <w:rPr>
            <w:rStyle w:val="TextoNormalCaracter"/>
          </w:rPr>
          <w:t>24/2024</w:t>
        </w:r>
      </w:hyperlink>
      <w:r>
        <w:t xml:space="preserve">, f. 2; </w:t>
      </w:r>
      <w:hyperlink w:anchor="AUTO_2024_30" w:history="1">
        <w:r w:rsidRPr="00601EEA">
          <w:rPr>
            <w:rStyle w:val="TextoNormalCaracter"/>
          </w:rPr>
          <w:t>30/2024</w:t>
        </w:r>
      </w:hyperlink>
      <w:r>
        <w:t>, ff. 1, 3.</w:t>
      </w:r>
    </w:p>
    <w:p w14:paraId="22730B6B" w14:textId="3ECE2532" w:rsidR="00601EEA" w:rsidRDefault="00601EEA" w:rsidP="00601EEA">
      <w:pPr>
        <w:pStyle w:val="SangriaFrancesaArticulo"/>
      </w:pPr>
      <w:r w:rsidRPr="00601EEA">
        <w:rPr>
          <w:rStyle w:val="TextoNormalNegritaCaracter"/>
        </w:rPr>
        <w:t>Artículo 14</w:t>
      </w:r>
      <w:r>
        <w:t xml:space="preserve"> (igualdad ante la ley)</w:t>
      </w:r>
      <w:r w:rsidRPr="00601EEA">
        <w:rPr>
          <w:rStyle w:val="TextoNormalNegritaCaracter"/>
        </w:rPr>
        <w:t>.</w:t>
      </w:r>
      <w:r w:rsidRPr="00601EEA">
        <w:rPr>
          <w:rStyle w:val="TextoNormalCaracter"/>
        </w:rPr>
        <w:t>-</w:t>
      </w:r>
      <w:r>
        <w:t xml:space="preserve"> Sentencias </w:t>
      </w:r>
      <w:hyperlink w:anchor="SENTENCIA_2024_11" w:history="1">
        <w:r w:rsidRPr="00601EEA">
          <w:rPr>
            <w:rStyle w:val="TextoNormalCaracter"/>
          </w:rPr>
          <w:t>11/2024</w:t>
        </w:r>
      </w:hyperlink>
      <w:r>
        <w:t xml:space="preserve">, f. 1; </w:t>
      </w:r>
      <w:hyperlink w:anchor="SENTENCIA_2024_66" w:history="1">
        <w:r w:rsidRPr="00601EEA">
          <w:rPr>
            <w:rStyle w:val="TextoNormalCaracter"/>
          </w:rPr>
          <w:t>66/2024</w:t>
        </w:r>
      </w:hyperlink>
      <w:r>
        <w:t xml:space="preserve">, f. 2; </w:t>
      </w:r>
      <w:hyperlink w:anchor="SENTENCIA_2024_71" w:history="1">
        <w:r w:rsidRPr="00601EEA">
          <w:rPr>
            <w:rStyle w:val="TextoNormalCaracter"/>
          </w:rPr>
          <w:t>71/2024</w:t>
        </w:r>
      </w:hyperlink>
      <w:r>
        <w:t>, f. único.</w:t>
      </w:r>
    </w:p>
    <w:p w14:paraId="23D0C81B" w14:textId="13DC6CAE" w:rsidR="00601EEA" w:rsidRDefault="00601EEA" w:rsidP="00601EEA">
      <w:pPr>
        <w:pStyle w:val="SangriaFrancesaArticulo"/>
      </w:pPr>
      <w:r w:rsidRPr="00601EEA">
        <w:rPr>
          <w:rStyle w:val="TextoNormalNegritaCaracter"/>
        </w:rPr>
        <w:t>Artículo 14, segundo inciso.</w:t>
      </w:r>
      <w:r w:rsidRPr="00601EEA">
        <w:rPr>
          <w:rStyle w:val="TextoNormalCaracter"/>
        </w:rPr>
        <w:t>-</w:t>
      </w:r>
      <w:r>
        <w:t xml:space="preserve"> Sentencias </w:t>
      </w:r>
      <w:hyperlink w:anchor="SENTENCIA_2024_66" w:history="1">
        <w:r w:rsidRPr="00601EEA">
          <w:rPr>
            <w:rStyle w:val="TextoNormalCaracter"/>
          </w:rPr>
          <w:t>66/2024</w:t>
        </w:r>
      </w:hyperlink>
      <w:r>
        <w:t xml:space="preserve">, f. 6; </w:t>
      </w:r>
      <w:hyperlink w:anchor="SENTENCIA_2024_81" w:history="1">
        <w:r w:rsidRPr="00601EEA">
          <w:rPr>
            <w:rStyle w:val="TextoNormalCaracter"/>
          </w:rPr>
          <w:t>81/2024</w:t>
        </w:r>
      </w:hyperlink>
      <w:r>
        <w:t>, f. 3.</w:t>
      </w:r>
    </w:p>
    <w:p w14:paraId="2D7849E8" w14:textId="4867D0B5" w:rsidR="00601EEA" w:rsidRDefault="00601EEA" w:rsidP="00601EEA">
      <w:pPr>
        <w:pStyle w:val="SangriaFrancesaArticulo"/>
      </w:pPr>
      <w:r w:rsidRPr="00601EEA">
        <w:rPr>
          <w:rStyle w:val="TextoNormalNegritaCaracter"/>
        </w:rPr>
        <w:t>Artículos 14 a 38.</w:t>
      </w:r>
      <w:r w:rsidRPr="00601EEA">
        <w:rPr>
          <w:rStyle w:val="TextoNormalCaracter"/>
        </w:rPr>
        <w:t>-</w:t>
      </w:r>
      <w:r>
        <w:t xml:space="preserve"> Sentencia </w:t>
      </w:r>
      <w:hyperlink w:anchor="SENTENCIA_2024_79" w:history="1">
        <w:r w:rsidRPr="00601EEA">
          <w:rPr>
            <w:rStyle w:val="TextoNormalCaracter"/>
          </w:rPr>
          <w:t>79/2024</w:t>
        </w:r>
      </w:hyperlink>
      <w:r>
        <w:t>, VP.</w:t>
      </w:r>
    </w:p>
    <w:p w14:paraId="33AF0892" w14:textId="7350BD44" w:rsidR="00601EEA" w:rsidRDefault="00601EEA" w:rsidP="00601EEA">
      <w:pPr>
        <w:pStyle w:val="SangriaFrancesaArticulo"/>
      </w:pPr>
      <w:r w:rsidRPr="00601EEA">
        <w:rPr>
          <w:rStyle w:val="TextoNormalNegritaCaracter"/>
        </w:rPr>
        <w:t>Artículo 15.</w:t>
      </w:r>
      <w:r w:rsidRPr="00601EEA">
        <w:rPr>
          <w:rStyle w:val="TextoNormalCaracter"/>
        </w:rPr>
        <w:t>-</w:t>
      </w:r>
      <w:r>
        <w:t xml:space="preserve"> Sentencias </w:t>
      </w:r>
      <w:hyperlink w:anchor="SENTENCIA_2024_1" w:history="1">
        <w:r w:rsidRPr="00601EEA">
          <w:rPr>
            <w:rStyle w:val="TextoNormalCaracter"/>
          </w:rPr>
          <w:t>1/2024</w:t>
        </w:r>
      </w:hyperlink>
      <w:r>
        <w:t xml:space="preserve">, f. 3; </w:t>
      </w:r>
      <w:hyperlink w:anchor="SENTENCIA_2024_4" w:history="1">
        <w:r w:rsidRPr="00601EEA">
          <w:rPr>
            <w:rStyle w:val="TextoNormalCaracter"/>
          </w:rPr>
          <w:t>4/2024</w:t>
        </w:r>
      </w:hyperlink>
      <w:r>
        <w:t xml:space="preserve">, ff. 1 a 3; </w:t>
      </w:r>
      <w:hyperlink w:anchor="SENTENCIA_2024_5" w:history="1">
        <w:r w:rsidRPr="00601EEA">
          <w:rPr>
            <w:rStyle w:val="TextoNormalCaracter"/>
          </w:rPr>
          <w:t>5/2024</w:t>
        </w:r>
      </w:hyperlink>
      <w:r>
        <w:t xml:space="preserve">, ff. 2, 3; </w:t>
      </w:r>
      <w:hyperlink w:anchor="SENTENCIA_2024_6" w:history="1">
        <w:r w:rsidRPr="00601EEA">
          <w:rPr>
            <w:rStyle w:val="TextoNormalCaracter"/>
          </w:rPr>
          <w:t>6/2024</w:t>
        </w:r>
      </w:hyperlink>
      <w:r>
        <w:t xml:space="preserve">, ff. 2, 3; </w:t>
      </w:r>
      <w:hyperlink w:anchor="SENTENCIA_2024_13" w:history="1">
        <w:r w:rsidRPr="00601EEA">
          <w:rPr>
            <w:rStyle w:val="TextoNormalCaracter"/>
          </w:rPr>
          <w:t>13/2024</w:t>
        </w:r>
      </w:hyperlink>
      <w:r>
        <w:t xml:space="preserve">, ff. 2, 3; </w:t>
      </w:r>
      <w:hyperlink w:anchor="SENTENCIA_2024_14" w:history="1">
        <w:r w:rsidRPr="00601EEA">
          <w:rPr>
            <w:rStyle w:val="TextoNormalCaracter"/>
          </w:rPr>
          <w:t>14/2024</w:t>
        </w:r>
      </w:hyperlink>
      <w:r>
        <w:t xml:space="preserve">, ff. 2, 4; </w:t>
      </w:r>
      <w:hyperlink w:anchor="SENTENCIA_2024_24" w:history="1">
        <w:r w:rsidRPr="00601EEA">
          <w:rPr>
            <w:rStyle w:val="TextoNormalCaracter"/>
          </w:rPr>
          <w:t>24/2024</w:t>
        </w:r>
      </w:hyperlink>
      <w:r>
        <w:t xml:space="preserve">, ff. 2, 3; </w:t>
      </w:r>
      <w:hyperlink w:anchor="SENTENCIA_2024_26" w:history="1">
        <w:r w:rsidRPr="00601EEA">
          <w:rPr>
            <w:rStyle w:val="TextoNormalCaracter"/>
          </w:rPr>
          <w:t>26/2024</w:t>
        </w:r>
      </w:hyperlink>
      <w:r>
        <w:t xml:space="preserve">, f. 4; </w:t>
      </w:r>
      <w:hyperlink w:anchor="SENTENCIA_2024_28" w:history="1">
        <w:r w:rsidRPr="00601EEA">
          <w:rPr>
            <w:rStyle w:val="TextoNormalCaracter"/>
          </w:rPr>
          <w:t>28/2024</w:t>
        </w:r>
      </w:hyperlink>
      <w:r>
        <w:t xml:space="preserve">, ff. 1, 3; </w:t>
      </w:r>
      <w:hyperlink w:anchor="SENTENCIA_2024_33" w:history="1">
        <w:r w:rsidRPr="00601EEA">
          <w:rPr>
            <w:rStyle w:val="TextoNormalCaracter"/>
          </w:rPr>
          <w:t>33/2024</w:t>
        </w:r>
      </w:hyperlink>
      <w:r>
        <w:t xml:space="preserve">, ff. 1, 2; </w:t>
      </w:r>
      <w:hyperlink w:anchor="SENTENCIA_2024_34" w:history="1">
        <w:r w:rsidRPr="00601EEA">
          <w:rPr>
            <w:rStyle w:val="TextoNormalCaracter"/>
          </w:rPr>
          <w:t>34/2024</w:t>
        </w:r>
      </w:hyperlink>
      <w:r>
        <w:t xml:space="preserve">, ff. 1, 7; </w:t>
      </w:r>
      <w:hyperlink w:anchor="SENTENCIA_2024_35" w:history="1">
        <w:r w:rsidRPr="00601EEA">
          <w:rPr>
            <w:rStyle w:val="TextoNormalCaracter"/>
          </w:rPr>
          <w:t>35/2024</w:t>
        </w:r>
      </w:hyperlink>
      <w:r>
        <w:t xml:space="preserve">, ff. 1 a 3, VP; </w:t>
      </w:r>
      <w:hyperlink w:anchor="SENTENCIA_2024_41" w:history="1">
        <w:r w:rsidRPr="00601EEA">
          <w:rPr>
            <w:rStyle w:val="TextoNormalCaracter"/>
          </w:rPr>
          <w:t>41/2024</w:t>
        </w:r>
      </w:hyperlink>
      <w:r>
        <w:t xml:space="preserve">, ff. 2, 3; </w:t>
      </w:r>
      <w:hyperlink w:anchor="SENTENCIA_2024_48" w:history="1">
        <w:r w:rsidRPr="00601EEA">
          <w:rPr>
            <w:rStyle w:val="TextoNormalCaracter"/>
          </w:rPr>
          <w:t>48/2024</w:t>
        </w:r>
      </w:hyperlink>
      <w:r>
        <w:t xml:space="preserve">, ff. 1, 2, VP I; </w:t>
      </w:r>
      <w:hyperlink w:anchor="SENTENCIA_2024_56" w:history="1">
        <w:r w:rsidRPr="00601EEA">
          <w:rPr>
            <w:rStyle w:val="TextoNormalCaracter"/>
          </w:rPr>
          <w:t>56/2024</w:t>
        </w:r>
      </w:hyperlink>
      <w:r>
        <w:t xml:space="preserve">, ff. 2, 3; </w:t>
      </w:r>
      <w:hyperlink w:anchor="SENTENCIA_2024_58" w:history="1">
        <w:r w:rsidRPr="00601EEA">
          <w:rPr>
            <w:rStyle w:val="TextoNormalCaracter"/>
          </w:rPr>
          <w:t>58/2024</w:t>
        </w:r>
      </w:hyperlink>
      <w:r>
        <w:t xml:space="preserve">, ff. 2, 3; </w:t>
      </w:r>
      <w:hyperlink w:anchor="SENTENCIA_2024_59" w:history="1">
        <w:r w:rsidRPr="00601EEA">
          <w:rPr>
            <w:rStyle w:val="TextoNormalCaracter"/>
          </w:rPr>
          <w:t>59/2024</w:t>
        </w:r>
      </w:hyperlink>
      <w:r>
        <w:t xml:space="preserve">, ff. 2, 3; </w:t>
      </w:r>
      <w:hyperlink w:anchor="SENTENCIA_2024_60" w:history="1">
        <w:r w:rsidRPr="00601EEA">
          <w:rPr>
            <w:rStyle w:val="TextoNormalCaracter"/>
          </w:rPr>
          <w:t>60/2024</w:t>
        </w:r>
      </w:hyperlink>
      <w:r>
        <w:t xml:space="preserve">, ff. 2, 3; </w:t>
      </w:r>
      <w:hyperlink w:anchor="SENTENCIA_2024_61" w:history="1">
        <w:r w:rsidRPr="00601EEA">
          <w:rPr>
            <w:rStyle w:val="TextoNormalCaracter"/>
          </w:rPr>
          <w:t>61/2024</w:t>
        </w:r>
      </w:hyperlink>
      <w:r>
        <w:t xml:space="preserve">, ff. 1 a 3, 5; </w:t>
      </w:r>
      <w:hyperlink w:anchor="SENTENCIA_2024_71" w:history="1">
        <w:r w:rsidRPr="00601EEA">
          <w:rPr>
            <w:rStyle w:val="TextoNormalCaracter"/>
          </w:rPr>
          <w:t>71/2024</w:t>
        </w:r>
      </w:hyperlink>
      <w:r>
        <w:t xml:space="preserve">, f. único; </w:t>
      </w:r>
      <w:hyperlink w:anchor="SENTENCIA_2024_75" w:history="1">
        <w:r w:rsidRPr="00601EEA">
          <w:rPr>
            <w:rStyle w:val="TextoNormalCaracter"/>
          </w:rPr>
          <w:t>75/2024</w:t>
        </w:r>
      </w:hyperlink>
      <w:r>
        <w:t xml:space="preserve">, f. 5, VP I, VP II; </w:t>
      </w:r>
      <w:hyperlink w:anchor="SENTENCIA_2024_83" w:history="1">
        <w:r w:rsidRPr="00601EEA">
          <w:rPr>
            <w:rStyle w:val="TextoNormalCaracter"/>
          </w:rPr>
          <w:t>83/2024</w:t>
        </w:r>
      </w:hyperlink>
      <w:r>
        <w:t xml:space="preserve">, ff. 2, 3; </w:t>
      </w:r>
      <w:hyperlink w:anchor="SENTENCIA_2024_89" w:history="1">
        <w:r w:rsidRPr="00601EEA">
          <w:rPr>
            <w:rStyle w:val="TextoNormalCaracter"/>
          </w:rPr>
          <w:t>89/2024</w:t>
        </w:r>
      </w:hyperlink>
      <w:r>
        <w:t xml:space="preserve">, VP II; </w:t>
      </w:r>
      <w:hyperlink w:anchor="SENTENCIA_2024_92" w:history="1">
        <w:r w:rsidRPr="00601EEA">
          <w:rPr>
            <w:rStyle w:val="TextoNormalCaracter"/>
          </w:rPr>
          <w:t>92/2024</w:t>
        </w:r>
      </w:hyperlink>
      <w:r>
        <w:t>, ff. 1, 2, 4, 6 a 8, VP I, VP II, VP III, VP IV.</w:t>
      </w:r>
    </w:p>
    <w:p w14:paraId="16EB1A5C" w14:textId="1CFBB81A" w:rsidR="00601EEA" w:rsidRDefault="00601EEA" w:rsidP="00601EEA">
      <w:pPr>
        <w:pStyle w:val="SangriaIzquierdaArticulo"/>
      </w:pPr>
      <w:r>
        <w:t xml:space="preserve">Autos </w:t>
      </w:r>
      <w:hyperlink w:anchor="AUTO_2024_1" w:history="1">
        <w:r w:rsidRPr="00601EEA">
          <w:rPr>
            <w:rStyle w:val="TextoNormalCaracter"/>
          </w:rPr>
          <w:t>1/2024</w:t>
        </w:r>
      </w:hyperlink>
      <w:r>
        <w:t xml:space="preserve">, f. 3; </w:t>
      </w:r>
      <w:hyperlink w:anchor="AUTO_2024_57" w:history="1">
        <w:r w:rsidRPr="00601EEA">
          <w:rPr>
            <w:rStyle w:val="TextoNormalCaracter"/>
          </w:rPr>
          <w:t>57/2024</w:t>
        </w:r>
      </w:hyperlink>
      <w:r>
        <w:t>, VP II.</w:t>
      </w:r>
    </w:p>
    <w:p w14:paraId="7D146A20" w14:textId="6C82F690" w:rsidR="00601EEA" w:rsidRDefault="00601EEA" w:rsidP="00601EEA">
      <w:pPr>
        <w:pStyle w:val="SangriaFrancesaArticulo"/>
      </w:pPr>
      <w:r w:rsidRPr="00601EEA">
        <w:rPr>
          <w:rStyle w:val="TextoNormalNegritaCaracter"/>
        </w:rPr>
        <w:t>Artículo 15 c).</w:t>
      </w:r>
      <w:r w:rsidRPr="00601EEA">
        <w:rPr>
          <w:rStyle w:val="TextoNormalCaracter"/>
        </w:rPr>
        <w:t>-</w:t>
      </w:r>
      <w:r>
        <w:t xml:space="preserve"> Sentencia </w:t>
      </w:r>
      <w:hyperlink w:anchor="SENTENCIA_2024_92" w:history="1">
        <w:r w:rsidRPr="00601EEA">
          <w:rPr>
            <w:rStyle w:val="TextoNormalCaracter"/>
          </w:rPr>
          <w:t>92/2024</w:t>
        </w:r>
      </w:hyperlink>
      <w:r>
        <w:t>, f. 8.</w:t>
      </w:r>
    </w:p>
    <w:p w14:paraId="0E10C9CE" w14:textId="21B40D98" w:rsidR="00601EEA" w:rsidRDefault="00601EEA" w:rsidP="00601EEA">
      <w:pPr>
        <w:pStyle w:val="SangriaFrancesaArticulo"/>
      </w:pPr>
      <w:r w:rsidRPr="00601EEA">
        <w:rPr>
          <w:rStyle w:val="TextoNormalNegritaCaracter"/>
        </w:rPr>
        <w:t>Artículo 16.</w:t>
      </w:r>
      <w:r w:rsidRPr="00601EEA">
        <w:rPr>
          <w:rStyle w:val="TextoNormalCaracter"/>
        </w:rPr>
        <w:t>-</w:t>
      </w:r>
      <w:r>
        <w:t xml:space="preserve"> Sentencias </w:t>
      </w:r>
      <w:hyperlink w:anchor="SENTENCIA_2024_6" w:history="1">
        <w:r w:rsidRPr="00601EEA">
          <w:rPr>
            <w:rStyle w:val="TextoNormalCaracter"/>
          </w:rPr>
          <w:t>6/2024</w:t>
        </w:r>
      </w:hyperlink>
      <w:r>
        <w:t xml:space="preserve">, f. 2; </w:t>
      </w:r>
      <w:hyperlink w:anchor="SENTENCIA_2024_18" w:history="1">
        <w:r w:rsidRPr="00601EEA">
          <w:rPr>
            <w:rStyle w:val="TextoNormalCaracter"/>
          </w:rPr>
          <w:t>18/2024</w:t>
        </w:r>
      </w:hyperlink>
      <w:r>
        <w:t xml:space="preserve">, f. único, VP; </w:t>
      </w:r>
      <w:hyperlink w:anchor="SENTENCIA_2024_64" w:history="1">
        <w:r w:rsidRPr="00601EEA">
          <w:rPr>
            <w:rStyle w:val="TextoNormalCaracter"/>
          </w:rPr>
          <w:t>64/2024</w:t>
        </w:r>
      </w:hyperlink>
      <w:r>
        <w:t xml:space="preserve">, f. único; </w:t>
      </w:r>
      <w:hyperlink w:anchor="SENTENCIA_2024_75" w:history="1">
        <w:r w:rsidRPr="00601EEA">
          <w:rPr>
            <w:rStyle w:val="TextoNormalCaracter"/>
          </w:rPr>
          <w:t>75/2024</w:t>
        </w:r>
      </w:hyperlink>
      <w:r>
        <w:t xml:space="preserve">, ff. 1, 5, VP II; </w:t>
      </w:r>
      <w:hyperlink w:anchor="SENTENCIA_2024_92" w:history="1">
        <w:r w:rsidRPr="00601EEA">
          <w:rPr>
            <w:rStyle w:val="TextoNormalCaracter"/>
          </w:rPr>
          <w:t>92/2024</w:t>
        </w:r>
      </w:hyperlink>
      <w:r>
        <w:t>, ff. 4, 6.</w:t>
      </w:r>
    </w:p>
    <w:p w14:paraId="65E958B6" w14:textId="6A6A8C7A" w:rsidR="00601EEA" w:rsidRDefault="00601EEA" w:rsidP="00601EEA">
      <w:pPr>
        <w:pStyle w:val="SangriaFrancesaArticulo"/>
      </w:pPr>
      <w:r w:rsidRPr="00601EEA">
        <w:rPr>
          <w:rStyle w:val="TextoNormalNegritaCaracter"/>
        </w:rPr>
        <w:t>Artículo 16.1.</w:t>
      </w:r>
      <w:r w:rsidRPr="00601EEA">
        <w:rPr>
          <w:rStyle w:val="TextoNormalCaracter"/>
        </w:rPr>
        <w:t>-</w:t>
      </w:r>
      <w:r>
        <w:t xml:space="preserve"> Sentencias </w:t>
      </w:r>
      <w:hyperlink w:anchor="SENTENCIA_2024_26" w:history="1">
        <w:r w:rsidRPr="00601EEA">
          <w:rPr>
            <w:rStyle w:val="TextoNormalCaracter"/>
          </w:rPr>
          <w:t>26/2024</w:t>
        </w:r>
      </w:hyperlink>
      <w:r>
        <w:t xml:space="preserve">, ff. 1, 2, 4, 5, VP I; </w:t>
      </w:r>
      <w:hyperlink w:anchor="SENTENCIA_2024_62" w:history="1">
        <w:r w:rsidRPr="00601EEA">
          <w:rPr>
            <w:rStyle w:val="TextoNormalCaracter"/>
          </w:rPr>
          <w:t>62/2024</w:t>
        </w:r>
      </w:hyperlink>
      <w:r>
        <w:t xml:space="preserve">, ff. 1, 2; </w:t>
      </w:r>
      <w:hyperlink w:anchor="SENTENCIA_2024_75" w:history="1">
        <w:r w:rsidRPr="00601EEA">
          <w:rPr>
            <w:rStyle w:val="TextoNormalCaracter"/>
          </w:rPr>
          <w:t>75/2024</w:t>
        </w:r>
      </w:hyperlink>
      <w:r>
        <w:t xml:space="preserve">, f. 1, VP II; </w:t>
      </w:r>
      <w:hyperlink w:anchor="SENTENCIA_2024_89" w:history="1">
        <w:r w:rsidRPr="00601EEA">
          <w:rPr>
            <w:rStyle w:val="TextoNormalCaracter"/>
          </w:rPr>
          <w:t>89/2024</w:t>
        </w:r>
      </w:hyperlink>
      <w:r>
        <w:t xml:space="preserve">, ff. 2, 4; </w:t>
      </w:r>
      <w:hyperlink w:anchor="SENTENCIA_2024_92" w:history="1">
        <w:r w:rsidRPr="00601EEA">
          <w:rPr>
            <w:rStyle w:val="TextoNormalCaracter"/>
          </w:rPr>
          <w:t>92/2024</w:t>
        </w:r>
      </w:hyperlink>
      <w:r>
        <w:t>, ff. 1, 3 a 5, 8, VP II, VP IV.</w:t>
      </w:r>
    </w:p>
    <w:p w14:paraId="1F0BF32E" w14:textId="7C90CF5B" w:rsidR="00601EEA" w:rsidRDefault="00601EEA" w:rsidP="00601EEA">
      <w:pPr>
        <w:pStyle w:val="SangriaFrancesaArticulo"/>
      </w:pPr>
      <w:r w:rsidRPr="00601EEA">
        <w:rPr>
          <w:rStyle w:val="TextoNormalNegritaCaracter"/>
        </w:rPr>
        <w:t>Artículo 16.2.</w:t>
      </w:r>
      <w:r w:rsidRPr="00601EEA">
        <w:rPr>
          <w:rStyle w:val="TextoNormalCaracter"/>
        </w:rPr>
        <w:t>-</w:t>
      </w:r>
      <w:r>
        <w:t xml:space="preserve"> Sentencia </w:t>
      </w:r>
      <w:hyperlink w:anchor="SENTENCIA_2024_92" w:history="1">
        <w:r w:rsidRPr="00601EEA">
          <w:rPr>
            <w:rStyle w:val="TextoNormalCaracter"/>
          </w:rPr>
          <w:t>92/2024</w:t>
        </w:r>
      </w:hyperlink>
      <w:r>
        <w:t>, ff. 5, 9.</w:t>
      </w:r>
    </w:p>
    <w:p w14:paraId="3E329B39" w14:textId="3CD0A183" w:rsidR="00601EEA" w:rsidRDefault="00601EEA" w:rsidP="00601EEA">
      <w:pPr>
        <w:pStyle w:val="SangriaFrancesaArticulo"/>
      </w:pPr>
      <w:r w:rsidRPr="00601EEA">
        <w:rPr>
          <w:rStyle w:val="TextoNormalNegritaCaracter"/>
        </w:rPr>
        <w:t>Artículo 16.3.</w:t>
      </w:r>
      <w:r w:rsidRPr="00601EEA">
        <w:rPr>
          <w:rStyle w:val="TextoNormalCaracter"/>
        </w:rPr>
        <w:t>-</w:t>
      </w:r>
      <w:r>
        <w:t xml:space="preserve"> Sentencia </w:t>
      </w:r>
      <w:hyperlink w:anchor="SENTENCIA_2024_26" w:history="1">
        <w:r w:rsidRPr="00601EEA">
          <w:rPr>
            <w:rStyle w:val="TextoNormalCaracter"/>
          </w:rPr>
          <w:t>26/2024</w:t>
        </w:r>
      </w:hyperlink>
      <w:r>
        <w:t>, ff. 2, 5, VP I.</w:t>
      </w:r>
    </w:p>
    <w:p w14:paraId="6B1677E7" w14:textId="3A737EA1" w:rsidR="00601EEA" w:rsidRDefault="00601EEA" w:rsidP="00601EEA">
      <w:pPr>
        <w:pStyle w:val="SangriaFrancesaArticulo"/>
      </w:pPr>
      <w:r w:rsidRPr="00601EEA">
        <w:rPr>
          <w:rStyle w:val="TextoNormalNegritaCaracter"/>
        </w:rPr>
        <w:t>Artículo 17.</w:t>
      </w:r>
      <w:r w:rsidRPr="00601EEA">
        <w:rPr>
          <w:rStyle w:val="TextoNormalCaracter"/>
        </w:rPr>
        <w:t>-</w:t>
      </w:r>
      <w:r>
        <w:t xml:space="preserve"> Sentencias </w:t>
      </w:r>
      <w:hyperlink w:anchor="SENTENCIA_2024_17" w:history="1">
        <w:r w:rsidRPr="00601EEA">
          <w:rPr>
            <w:rStyle w:val="TextoNormalCaracter"/>
          </w:rPr>
          <w:t>17/2024</w:t>
        </w:r>
      </w:hyperlink>
      <w:r>
        <w:t xml:space="preserve">, ff. 2 a 4; </w:t>
      </w:r>
      <w:hyperlink w:anchor="SENTENCIA_2024_33" w:history="1">
        <w:r w:rsidRPr="00601EEA">
          <w:rPr>
            <w:rStyle w:val="TextoNormalCaracter"/>
          </w:rPr>
          <w:t>33/2024</w:t>
        </w:r>
      </w:hyperlink>
      <w:r>
        <w:t xml:space="preserve">, f. 1; </w:t>
      </w:r>
      <w:hyperlink w:anchor="SENTENCIA_2024_36" w:history="1">
        <w:r w:rsidRPr="00601EEA">
          <w:rPr>
            <w:rStyle w:val="TextoNormalCaracter"/>
          </w:rPr>
          <w:t>36/2024</w:t>
        </w:r>
      </w:hyperlink>
      <w:r>
        <w:t xml:space="preserve">, ff. 2, 5; </w:t>
      </w:r>
      <w:hyperlink w:anchor="SENTENCIA_2024_37" w:history="1">
        <w:r w:rsidRPr="00601EEA">
          <w:rPr>
            <w:rStyle w:val="TextoNormalCaracter"/>
          </w:rPr>
          <w:t>37/2024</w:t>
        </w:r>
      </w:hyperlink>
      <w:r>
        <w:t xml:space="preserve">, ff. 2, 4, VP; </w:t>
      </w:r>
      <w:hyperlink w:anchor="SENTENCIA_2024_40" w:history="1">
        <w:r w:rsidRPr="00601EEA">
          <w:rPr>
            <w:rStyle w:val="TextoNormalCaracter"/>
          </w:rPr>
          <w:t>40/2024</w:t>
        </w:r>
      </w:hyperlink>
      <w:r>
        <w:t xml:space="preserve">, ff. 1, 2; </w:t>
      </w:r>
      <w:hyperlink w:anchor="SENTENCIA_2024_42" w:history="1">
        <w:r w:rsidRPr="00601EEA">
          <w:rPr>
            <w:rStyle w:val="TextoNormalCaracter"/>
          </w:rPr>
          <w:t>42/2024</w:t>
        </w:r>
      </w:hyperlink>
      <w:r>
        <w:t xml:space="preserve">, f. 4, VP; </w:t>
      </w:r>
      <w:hyperlink w:anchor="SENTENCIA_2024_43" w:history="1">
        <w:r w:rsidRPr="00601EEA">
          <w:rPr>
            <w:rStyle w:val="TextoNormalCaracter"/>
          </w:rPr>
          <w:t>43/2024</w:t>
        </w:r>
      </w:hyperlink>
      <w:r>
        <w:t xml:space="preserve">, ff. 2, 5, VP I; </w:t>
      </w:r>
      <w:hyperlink w:anchor="SENTENCIA_2024_48" w:history="1">
        <w:r w:rsidRPr="00601EEA">
          <w:rPr>
            <w:rStyle w:val="TextoNormalCaracter"/>
          </w:rPr>
          <w:t>48/2024</w:t>
        </w:r>
      </w:hyperlink>
      <w:r>
        <w:t xml:space="preserve">, VP I; </w:t>
      </w:r>
      <w:hyperlink w:anchor="SENTENCIA_2024_52" w:history="1">
        <w:r w:rsidRPr="00601EEA">
          <w:rPr>
            <w:rStyle w:val="TextoNormalCaracter"/>
          </w:rPr>
          <w:t>52/2024</w:t>
        </w:r>
      </w:hyperlink>
      <w:r>
        <w:t xml:space="preserve">, f. 4; </w:t>
      </w:r>
      <w:hyperlink w:anchor="SENTENCIA_2024_57" w:history="1">
        <w:r w:rsidRPr="00601EEA">
          <w:rPr>
            <w:rStyle w:val="TextoNormalCaracter"/>
          </w:rPr>
          <w:t>57/2024</w:t>
        </w:r>
      </w:hyperlink>
      <w:r>
        <w:t xml:space="preserve">, f. 5; </w:t>
      </w:r>
      <w:hyperlink w:anchor="SENTENCIA_2024_64" w:history="1">
        <w:r w:rsidRPr="00601EEA">
          <w:rPr>
            <w:rStyle w:val="TextoNormalCaracter"/>
          </w:rPr>
          <w:t>64/2024</w:t>
        </w:r>
      </w:hyperlink>
      <w:r>
        <w:t xml:space="preserve">, f. único; </w:t>
      </w:r>
      <w:hyperlink w:anchor="SENTENCIA_2024_85" w:history="1">
        <w:r w:rsidRPr="00601EEA">
          <w:rPr>
            <w:rStyle w:val="TextoNormalCaracter"/>
          </w:rPr>
          <w:t>85/2024</w:t>
        </w:r>
      </w:hyperlink>
      <w:r>
        <w:t>, f. 2.</w:t>
      </w:r>
    </w:p>
    <w:p w14:paraId="3A982926" w14:textId="0477AA0C" w:rsidR="00601EEA" w:rsidRDefault="00601EEA" w:rsidP="00601EEA">
      <w:pPr>
        <w:pStyle w:val="SangriaFrancesaArticulo"/>
      </w:pPr>
      <w:r w:rsidRPr="00601EEA">
        <w:rPr>
          <w:rStyle w:val="TextoNormalNegritaCaracter"/>
        </w:rPr>
        <w:lastRenderedPageBreak/>
        <w:t>Artículo 17.1.</w:t>
      </w:r>
      <w:r w:rsidRPr="00601EEA">
        <w:rPr>
          <w:rStyle w:val="TextoNormalCaracter"/>
        </w:rPr>
        <w:t>-</w:t>
      </w:r>
      <w:r>
        <w:t xml:space="preserve"> Sentencias </w:t>
      </w:r>
      <w:hyperlink w:anchor="SENTENCIA_2024_17" w:history="1">
        <w:r w:rsidRPr="00601EEA">
          <w:rPr>
            <w:rStyle w:val="TextoNormalCaracter"/>
          </w:rPr>
          <w:t>17/2024</w:t>
        </w:r>
      </w:hyperlink>
      <w:r>
        <w:t xml:space="preserve">, ff. 1, 3; </w:t>
      </w:r>
      <w:hyperlink w:anchor="SENTENCIA_2024_33" w:history="1">
        <w:r w:rsidRPr="00601EEA">
          <w:rPr>
            <w:rStyle w:val="TextoNormalCaracter"/>
          </w:rPr>
          <w:t>33/2024</w:t>
        </w:r>
      </w:hyperlink>
      <w:r>
        <w:t xml:space="preserve">, f. 1; </w:t>
      </w:r>
      <w:hyperlink w:anchor="SENTENCIA_2024_39" w:history="1">
        <w:r w:rsidRPr="00601EEA">
          <w:rPr>
            <w:rStyle w:val="TextoNormalCaracter"/>
          </w:rPr>
          <w:t>39/2024</w:t>
        </w:r>
      </w:hyperlink>
      <w:r>
        <w:t xml:space="preserve">, ff. 1 a 5; </w:t>
      </w:r>
      <w:hyperlink w:anchor="SENTENCIA_2024_40" w:history="1">
        <w:r w:rsidRPr="00601EEA">
          <w:rPr>
            <w:rStyle w:val="TextoNormalCaracter"/>
          </w:rPr>
          <w:t>40/2024</w:t>
        </w:r>
      </w:hyperlink>
      <w:r>
        <w:t xml:space="preserve">, ff. 1 a 5; </w:t>
      </w:r>
      <w:hyperlink w:anchor="SENTENCIA_2024_51" w:history="1">
        <w:r w:rsidRPr="00601EEA">
          <w:rPr>
            <w:rStyle w:val="TextoNormalCaracter"/>
          </w:rPr>
          <w:t>51/2024</w:t>
        </w:r>
      </w:hyperlink>
      <w:r>
        <w:t xml:space="preserve">, f. 1; </w:t>
      </w:r>
      <w:hyperlink w:anchor="SENTENCIA_2024_70" w:history="1">
        <w:r w:rsidRPr="00601EEA">
          <w:rPr>
            <w:rStyle w:val="TextoNormalCaracter"/>
          </w:rPr>
          <w:t>70/2024</w:t>
        </w:r>
      </w:hyperlink>
      <w:r>
        <w:t xml:space="preserve">, ff. 1, 2, 4, 5; </w:t>
      </w:r>
      <w:hyperlink w:anchor="SENTENCIA_2024_78" w:history="1">
        <w:r w:rsidRPr="00601EEA">
          <w:rPr>
            <w:rStyle w:val="TextoNormalCaracter"/>
          </w:rPr>
          <w:t>78/2024</w:t>
        </w:r>
      </w:hyperlink>
      <w:r>
        <w:t xml:space="preserve">, f. único; </w:t>
      </w:r>
      <w:hyperlink w:anchor="SENTENCIA_2024_85" w:history="1">
        <w:r w:rsidRPr="00601EEA">
          <w:rPr>
            <w:rStyle w:val="TextoNormalCaracter"/>
          </w:rPr>
          <w:t>85/2024</w:t>
        </w:r>
      </w:hyperlink>
      <w:r>
        <w:t>, ff. 1 a 4.</w:t>
      </w:r>
    </w:p>
    <w:p w14:paraId="30715DD0" w14:textId="786FCC22" w:rsidR="00601EEA" w:rsidRDefault="00601EEA" w:rsidP="00601EEA">
      <w:pPr>
        <w:pStyle w:val="SangriaFrancesaArticulo"/>
      </w:pPr>
      <w:r w:rsidRPr="00601EEA">
        <w:rPr>
          <w:rStyle w:val="TextoNormalNegritaCaracter"/>
        </w:rPr>
        <w:t>Artículo 17.3.</w:t>
      </w:r>
      <w:r w:rsidRPr="00601EEA">
        <w:rPr>
          <w:rStyle w:val="TextoNormalCaracter"/>
        </w:rPr>
        <w:t>-</w:t>
      </w:r>
      <w:r>
        <w:t xml:space="preserve"> Sentencias </w:t>
      </w:r>
      <w:hyperlink w:anchor="SENTENCIA_2024_34" w:history="1">
        <w:r w:rsidRPr="00601EEA">
          <w:rPr>
            <w:rStyle w:val="TextoNormalCaracter"/>
          </w:rPr>
          <w:t>34/2024</w:t>
        </w:r>
      </w:hyperlink>
      <w:r>
        <w:t xml:space="preserve">, f. 1; </w:t>
      </w:r>
      <w:hyperlink w:anchor="SENTENCIA_2024_36" w:history="1">
        <w:r w:rsidRPr="00601EEA">
          <w:rPr>
            <w:rStyle w:val="TextoNormalCaracter"/>
          </w:rPr>
          <w:t>36/2024</w:t>
        </w:r>
      </w:hyperlink>
      <w:r>
        <w:t xml:space="preserve">, f. 1; </w:t>
      </w:r>
      <w:hyperlink w:anchor="SENTENCIA_2024_37" w:history="1">
        <w:r w:rsidRPr="00601EEA">
          <w:rPr>
            <w:rStyle w:val="TextoNormalCaracter"/>
          </w:rPr>
          <w:t>37/2024</w:t>
        </w:r>
      </w:hyperlink>
      <w:r>
        <w:t xml:space="preserve">, f. 1; </w:t>
      </w:r>
      <w:hyperlink w:anchor="SENTENCIA_2024_40" w:history="1">
        <w:r w:rsidRPr="00601EEA">
          <w:rPr>
            <w:rStyle w:val="TextoNormalCaracter"/>
          </w:rPr>
          <w:t>40/2024</w:t>
        </w:r>
      </w:hyperlink>
      <w:r>
        <w:t xml:space="preserve">, ff. 1, 2, 4; </w:t>
      </w:r>
      <w:hyperlink w:anchor="SENTENCIA_2024_42" w:history="1">
        <w:r w:rsidRPr="00601EEA">
          <w:rPr>
            <w:rStyle w:val="TextoNormalCaracter"/>
          </w:rPr>
          <w:t>42/2024</w:t>
        </w:r>
      </w:hyperlink>
      <w:r>
        <w:t xml:space="preserve">, f. 1; </w:t>
      </w:r>
      <w:hyperlink w:anchor="SENTENCIA_2024_43" w:history="1">
        <w:r w:rsidRPr="00601EEA">
          <w:rPr>
            <w:rStyle w:val="TextoNormalCaracter"/>
          </w:rPr>
          <w:t>43/2024</w:t>
        </w:r>
      </w:hyperlink>
      <w:r>
        <w:t xml:space="preserve">, f. 1; </w:t>
      </w:r>
      <w:hyperlink w:anchor="SENTENCIA_2024_52" w:history="1">
        <w:r w:rsidRPr="00601EEA">
          <w:rPr>
            <w:rStyle w:val="TextoNormalCaracter"/>
          </w:rPr>
          <w:t>52/2024</w:t>
        </w:r>
      </w:hyperlink>
      <w:r>
        <w:t xml:space="preserve">, f. 1; </w:t>
      </w:r>
      <w:hyperlink w:anchor="SENTENCIA_2024_57" w:history="1">
        <w:r w:rsidRPr="00601EEA">
          <w:rPr>
            <w:rStyle w:val="TextoNormalCaracter"/>
          </w:rPr>
          <w:t>57/2024</w:t>
        </w:r>
      </w:hyperlink>
      <w:r>
        <w:t xml:space="preserve">, f. 1; </w:t>
      </w:r>
      <w:hyperlink w:anchor="SENTENCIA_2024_85" w:history="1">
        <w:r w:rsidRPr="00601EEA">
          <w:rPr>
            <w:rStyle w:val="TextoNormalCaracter"/>
          </w:rPr>
          <w:t>85/2024</w:t>
        </w:r>
      </w:hyperlink>
      <w:r>
        <w:t>, ff. 1, 2.</w:t>
      </w:r>
    </w:p>
    <w:p w14:paraId="6AF260AB" w14:textId="18629799" w:rsidR="00601EEA" w:rsidRDefault="00601EEA" w:rsidP="00601EEA">
      <w:pPr>
        <w:pStyle w:val="SangriaFrancesaArticulo"/>
      </w:pPr>
      <w:r w:rsidRPr="00601EEA">
        <w:rPr>
          <w:rStyle w:val="TextoNormalNegritaCaracter"/>
        </w:rPr>
        <w:t>Artículo 17.4.</w:t>
      </w:r>
      <w:r w:rsidRPr="00601EEA">
        <w:rPr>
          <w:rStyle w:val="TextoNormalCaracter"/>
        </w:rPr>
        <w:t>-</w:t>
      </w:r>
      <w:r>
        <w:t xml:space="preserve"> Sentencia </w:t>
      </w:r>
      <w:hyperlink w:anchor="SENTENCIA_2024_85" w:history="1">
        <w:r w:rsidRPr="00601EEA">
          <w:rPr>
            <w:rStyle w:val="TextoNormalCaracter"/>
          </w:rPr>
          <w:t>85/2024</w:t>
        </w:r>
      </w:hyperlink>
      <w:r>
        <w:t>, ff. 1 a 4.</w:t>
      </w:r>
    </w:p>
    <w:p w14:paraId="77BC5CB8" w14:textId="0286E768" w:rsidR="00601EEA" w:rsidRDefault="00601EEA" w:rsidP="00601EEA">
      <w:pPr>
        <w:pStyle w:val="SangriaFrancesaArticulo"/>
      </w:pPr>
      <w:r w:rsidRPr="00601EEA">
        <w:rPr>
          <w:rStyle w:val="TextoNormalNegritaCaracter"/>
        </w:rPr>
        <w:t>Artículo 18.</w:t>
      </w:r>
      <w:r w:rsidRPr="00601EEA">
        <w:rPr>
          <w:rStyle w:val="TextoNormalCaracter"/>
        </w:rPr>
        <w:t>-</w:t>
      </w:r>
      <w:r>
        <w:t xml:space="preserve"> Sentencias </w:t>
      </w:r>
      <w:hyperlink w:anchor="SENTENCIA_2024_4" w:history="1">
        <w:r w:rsidRPr="00601EEA">
          <w:rPr>
            <w:rStyle w:val="TextoNormalCaracter"/>
          </w:rPr>
          <w:t>4/2024</w:t>
        </w:r>
      </w:hyperlink>
      <w:r>
        <w:t xml:space="preserve">, f. 1; </w:t>
      </w:r>
      <w:hyperlink w:anchor="SENTENCIA_2024_28" w:history="1">
        <w:r w:rsidRPr="00601EEA">
          <w:rPr>
            <w:rStyle w:val="TextoNormalCaracter"/>
          </w:rPr>
          <w:t>28/2024</w:t>
        </w:r>
      </w:hyperlink>
      <w:r>
        <w:t xml:space="preserve">, ff. 1, 2; </w:t>
      </w:r>
      <w:hyperlink w:anchor="SENTENCIA_2024_64" w:history="1">
        <w:r w:rsidRPr="00601EEA">
          <w:rPr>
            <w:rStyle w:val="TextoNormalCaracter"/>
          </w:rPr>
          <w:t>64/2024</w:t>
        </w:r>
      </w:hyperlink>
      <w:r>
        <w:t xml:space="preserve">, f. único; </w:t>
      </w:r>
      <w:hyperlink w:anchor="SENTENCIA_2024_71" w:history="1">
        <w:r w:rsidRPr="00601EEA">
          <w:rPr>
            <w:rStyle w:val="TextoNormalCaracter"/>
          </w:rPr>
          <w:t>71/2024</w:t>
        </w:r>
      </w:hyperlink>
      <w:r>
        <w:t xml:space="preserve">, f. único; </w:t>
      </w:r>
      <w:hyperlink w:anchor="SENTENCIA_2024_75" w:history="1">
        <w:r w:rsidRPr="00601EEA">
          <w:rPr>
            <w:rStyle w:val="TextoNormalCaracter"/>
          </w:rPr>
          <w:t>75/2024</w:t>
        </w:r>
      </w:hyperlink>
      <w:r>
        <w:t>, f. 1.</w:t>
      </w:r>
    </w:p>
    <w:p w14:paraId="22DDA454" w14:textId="43B0B19E" w:rsidR="00601EEA" w:rsidRDefault="00601EEA" w:rsidP="00601EEA">
      <w:pPr>
        <w:pStyle w:val="SangriaFrancesaArticulo"/>
      </w:pPr>
      <w:r w:rsidRPr="00601EEA">
        <w:rPr>
          <w:rStyle w:val="TextoNormalNegritaCaracter"/>
        </w:rPr>
        <w:t>Artículo 18.1.</w:t>
      </w:r>
      <w:r w:rsidRPr="00601EEA">
        <w:rPr>
          <w:rStyle w:val="TextoNormalCaracter"/>
        </w:rPr>
        <w:t>-</w:t>
      </w:r>
      <w:r>
        <w:t xml:space="preserve"> Sentencias </w:t>
      </w:r>
      <w:hyperlink w:anchor="SENTENCIA_2024_4" w:history="1">
        <w:r w:rsidRPr="00601EEA">
          <w:rPr>
            <w:rStyle w:val="TextoNormalCaracter"/>
          </w:rPr>
          <w:t>4/2024</w:t>
        </w:r>
      </w:hyperlink>
      <w:r>
        <w:t xml:space="preserve">, f. 2; </w:t>
      </w:r>
      <w:hyperlink w:anchor="SENTENCIA_2024_6" w:history="1">
        <w:r w:rsidRPr="00601EEA">
          <w:rPr>
            <w:rStyle w:val="TextoNormalCaracter"/>
          </w:rPr>
          <w:t>6/2024</w:t>
        </w:r>
      </w:hyperlink>
      <w:r>
        <w:t xml:space="preserve">, f. 2; </w:t>
      </w:r>
      <w:hyperlink w:anchor="SENTENCIA_2024_28" w:history="1">
        <w:r w:rsidRPr="00601EEA">
          <w:rPr>
            <w:rStyle w:val="TextoNormalCaracter"/>
          </w:rPr>
          <w:t>28/2024</w:t>
        </w:r>
      </w:hyperlink>
      <w:r>
        <w:t xml:space="preserve">, ff. 1, 3; </w:t>
      </w:r>
      <w:hyperlink w:anchor="SENTENCIA_2024_71" w:history="1">
        <w:r w:rsidRPr="00601EEA">
          <w:rPr>
            <w:rStyle w:val="TextoNormalCaracter"/>
          </w:rPr>
          <w:t>71/2024</w:t>
        </w:r>
      </w:hyperlink>
      <w:r>
        <w:t xml:space="preserve">, f. único; </w:t>
      </w:r>
      <w:hyperlink w:anchor="SENTENCIA_2024_75" w:history="1">
        <w:r w:rsidRPr="00601EEA">
          <w:rPr>
            <w:rStyle w:val="TextoNormalCaracter"/>
          </w:rPr>
          <w:t>75/2024</w:t>
        </w:r>
      </w:hyperlink>
      <w:r>
        <w:t xml:space="preserve">, f. 1; </w:t>
      </w:r>
      <w:hyperlink w:anchor="SENTENCIA_2024_80" w:history="1">
        <w:r w:rsidRPr="00601EEA">
          <w:rPr>
            <w:rStyle w:val="TextoNormalCaracter"/>
          </w:rPr>
          <w:t>80/2024</w:t>
        </w:r>
      </w:hyperlink>
      <w:r>
        <w:t xml:space="preserve">, f. 3; </w:t>
      </w:r>
      <w:hyperlink w:anchor="SENTENCIA_2024_87" w:history="1">
        <w:r w:rsidRPr="00601EEA">
          <w:rPr>
            <w:rStyle w:val="TextoNormalCaracter"/>
          </w:rPr>
          <w:t>87/2024</w:t>
        </w:r>
      </w:hyperlink>
      <w:r>
        <w:t xml:space="preserve">, ff. 1, 4, 5, VP II, VP III; </w:t>
      </w:r>
      <w:hyperlink w:anchor="SENTENCIA_2024_92" w:history="1">
        <w:r w:rsidRPr="00601EEA">
          <w:rPr>
            <w:rStyle w:val="TextoNormalCaracter"/>
          </w:rPr>
          <w:t>92/2024</w:t>
        </w:r>
      </w:hyperlink>
      <w:r>
        <w:t>, ff. 6, 9.</w:t>
      </w:r>
    </w:p>
    <w:p w14:paraId="5B77E27C" w14:textId="1123D10C" w:rsidR="00601EEA" w:rsidRDefault="00601EEA" w:rsidP="00601EEA">
      <w:pPr>
        <w:pStyle w:val="SangriaFrancesaArticulo"/>
      </w:pPr>
      <w:r w:rsidRPr="00601EEA">
        <w:rPr>
          <w:rStyle w:val="TextoNormalNegritaCaracter"/>
        </w:rPr>
        <w:t>Artículo 18.2.</w:t>
      </w:r>
      <w:r w:rsidRPr="00601EEA">
        <w:rPr>
          <w:rStyle w:val="TextoNormalCaracter"/>
        </w:rPr>
        <w:t>-</w:t>
      </w:r>
      <w:r>
        <w:t xml:space="preserve"> Sentencia </w:t>
      </w:r>
      <w:hyperlink w:anchor="SENTENCIA_2024_87" w:history="1">
        <w:r w:rsidRPr="00601EEA">
          <w:rPr>
            <w:rStyle w:val="TextoNormalCaracter"/>
          </w:rPr>
          <w:t>87/2024</w:t>
        </w:r>
      </w:hyperlink>
      <w:r>
        <w:t>, f. 4, VP II.</w:t>
      </w:r>
    </w:p>
    <w:p w14:paraId="3DC63E11" w14:textId="301F225C" w:rsidR="00601EEA" w:rsidRDefault="00601EEA" w:rsidP="00601EEA">
      <w:pPr>
        <w:pStyle w:val="SangriaFrancesaArticulo"/>
      </w:pPr>
      <w:r w:rsidRPr="00601EEA">
        <w:rPr>
          <w:rStyle w:val="TextoNormalNegritaCaracter"/>
        </w:rPr>
        <w:t>Artículo 18.3.</w:t>
      </w:r>
      <w:r w:rsidRPr="00601EEA">
        <w:rPr>
          <w:rStyle w:val="TextoNormalCaracter"/>
        </w:rPr>
        <w:t>-</w:t>
      </w:r>
      <w:r>
        <w:t xml:space="preserve"> Sentencia </w:t>
      </w:r>
      <w:hyperlink w:anchor="SENTENCIA_2024_87" w:history="1">
        <w:r w:rsidRPr="00601EEA">
          <w:rPr>
            <w:rStyle w:val="TextoNormalCaracter"/>
          </w:rPr>
          <w:t>87/2024</w:t>
        </w:r>
      </w:hyperlink>
      <w:r>
        <w:t>, f. 4, VP II.</w:t>
      </w:r>
    </w:p>
    <w:p w14:paraId="3386C9F7" w14:textId="44CF178B" w:rsidR="00601EEA" w:rsidRDefault="00601EEA" w:rsidP="00601EEA">
      <w:pPr>
        <w:pStyle w:val="SangriaFrancesaArticulo"/>
      </w:pPr>
      <w:r w:rsidRPr="00601EEA">
        <w:rPr>
          <w:rStyle w:val="TextoNormalNegritaCaracter"/>
        </w:rPr>
        <w:t>Artículo 18.4.</w:t>
      </w:r>
      <w:r w:rsidRPr="00601EEA">
        <w:rPr>
          <w:rStyle w:val="TextoNormalCaracter"/>
        </w:rPr>
        <w:t>-</w:t>
      </w:r>
      <w:r>
        <w:t xml:space="preserve"> Sentencias </w:t>
      </w:r>
      <w:hyperlink w:anchor="SENTENCIA_2024_80" w:history="1">
        <w:r w:rsidRPr="00601EEA">
          <w:rPr>
            <w:rStyle w:val="TextoNormalCaracter"/>
          </w:rPr>
          <w:t>80/2024</w:t>
        </w:r>
      </w:hyperlink>
      <w:r>
        <w:t xml:space="preserve">, f. 3; </w:t>
      </w:r>
      <w:hyperlink w:anchor="SENTENCIA_2024_92" w:history="1">
        <w:r w:rsidRPr="00601EEA">
          <w:rPr>
            <w:rStyle w:val="TextoNormalCaracter"/>
          </w:rPr>
          <w:t>92/2024</w:t>
        </w:r>
      </w:hyperlink>
      <w:r>
        <w:t>, ff. 1, 9.</w:t>
      </w:r>
    </w:p>
    <w:p w14:paraId="7DD9EE7B" w14:textId="659ACBFE" w:rsidR="00601EEA" w:rsidRDefault="00601EEA" w:rsidP="00601EEA">
      <w:pPr>
        <w:pStyle w:val="SangriaIzquierdaArticulo"/>
      </w:pPr>
      <w:r>
        <w:t xml:space="preserve">Auto </w:t>
      </w:r>
      <w:hyperlink w:anchor="AUTO_2024_53" w:history="1">
        <w:r w:rsidRPr="00601EEA">
          <w:rPr>
            <w:rStyle w:val="TextoNormalCaracter"/>
          </w:rPr>
          <w:t>53/2024</w:t>
        </w:r>
      </w:hyperlink>
      <w:r>
        <w:t>, f. 1.</w:t>
      </w:r>
    </w:p>
    <w:p w14:paraId="4F1C23BF" w14:textId="769F35CD" w:rsidR="00601EEA" w:rsidRDefault="00601EEA" w:rsidP="00601EEA">
      <w:pPr>
        <w:pStyle w:val="SangriaFrancesaArticulo"/>
      </w:pPr>
      <w:r w:rsidRPr="00601EEA">
        <w:rPr>
          <w:rStyle w:val="TextoNormalNegritaCaracter"/>
        </w:rPr>
        <w:t>Artículo 19.</w:t>
      </w:r>
      <w:r w:rsidRPr="00601EEA">
        <w:rPr>
          <w:rStyle w:val="TextoNormalCaracter"/>
        </w:rPr>
        <w:t>-</w:t>
      </w:r>
      <w:r>
        <w:t xml:space="preserve"> Sentencias </w:t>
      </w:r>
      <w:hyperlink w:anchor="SENTENCIA_2024_17" w:history="1">
        <w:r w:rsidRPr="00601EEA">
          <w:rPr>
            <w:rStyle w:val="TextoNormalCaracter"/>
          </w:rPr>
          <w:t>17/2024</w:t>
        </w:r>
      </w:hyperlink>
      <w:r>
        <w:t xml:space="preserve">, ff. 1, 3; </w:t>
      </w:r>
      <w:hyperlink w:anchor="SENTENCIA_2024_36" w:history="1">
        <w:r w:rsidRPr="00601EEA">
          <w:rPr>
            <w:rStyle w:val="TextoNormalCaracter"/>
          </w:rPr>
          <w:t>36/2024</w:t>
        </w:r>
      </w:hyperlink>
      <w:r>
        <w:t xml:space="preserve">, f. 2; </w:t>
      </w:r>
      <w:hyperlink w:anchor="SENTENCIA_2024_37" w:history="1">
        <w:r w:rsidRPr="00601EEA">
          <w:rPr>
            <w:rStyle w:val="TextoNormalCaracter"/>
          </w:rPr>
          <w:t>37/2024</w:t>
        </w:r>
      </w:hyperlink>
      <w:r>
        <w:t xml:space="preserve">, f. 2; </w:t>
      </w:r>
      <w:hyperlink w:anchor="SENTENCIA_2024_43" w:history="1">
        <w:r w:rsidRPr="00601EEA">
          <w:rPr>
            <w:rStyle w:val="TextoNormalCaracter"/>
          </w:rPr>
          <w:t>43/2024</w:t>
        </w:r>
      </w:hyperlink>
      <w:r>
        <w:t xml:space="preserve">, f. 2; </w:t>
      </w:r>
      <w:hyperlink w:anchor="SENTENCIA_2024_64" w:history="1">
        <w:r w:rsidRPr="00601EEA">
          <w:rPr>
            <w:rStyle w:val="TextoNormalCaracter"/>
          </w:rPr>
          <w:t>64/2024</w:t>
        </w:r>
      </w:hyperlink>
      <w:r>
        <w:t>, f. único.</w:t>
      </w:r>
    </w:p>
    <w:p w14:paraId="372EED06" w14:textId="43B17D91" w:rsidR="00601EEA" w:rsidRDefault="00601EEA" w:rsidP="00601EEA">
      <w:pPr>
        <w:pStyle w:val="SangriaFrancesaArticulo"/>
      </w:pPr>
      <w:r w:rsidRPr="00601EEA">
        <w:rPr>
          <w:rStyle w:val="TextoNormalNegritaCaracter"/>
        </w:rPr>
        <w:t>Artículo 20.</w:t>
      </w:r>
      <w:r w:rsidRPr="00601EEA">
        <w:rPr>
          <w:rStyle w:val="TextoNormalCaracter"/>
        </w:rPr>
        <w:t>-</w:t>
      </w:r>
      <w:r>
        <w:t xml:space="preserve"> Sentencias </w:t>
      </w:r>
      <w:hyperlink w:anchor="SENTENCIA_2024_44" w:history="1">
        <w:r w:rsidRPr="00601EEA">
          <w:rPr>
            <w:rStyle w:val="TextoNormalCaracter"/>
          </w:rPr>
          <w:t>44/2024</w:t>
        </w:r>
      </w:hyperlink>
      <w:r>
        <w:t xml:space="preserve">, ff. 1, 2, 5; </w:t>
      </w:r>
      <w:hyperlink w:anchor="SENTENCIA_2024_75" w:history="1">
        <w:r w:rsidRPr="00601EEA">
          <w:rPr>
            <w:rStyle w:val="TextoNormalCaracter"/>
          </w:rPr>
          <w:t>75/2024</w:t>
        </w:r>
      </w:hyperlink>
      <w:r>
        <w:t>, ff. 1, 5, VP II.</w:t>
      </w:r>
    </w:p>
    <w:p w14:paraId="0B16030E" w14:textId="5E4AA5C1" w:rsidR="00601EEA" w:rsidRDefault="00601EEA" w:rsidP="00601EEA">
      <w:pPr>
        <w:pStyle w:val="SangriaIzquierdaArticulo"/>
      </w:pPr>
      <w:r>
        <w:t xml:space="preserve">Auto </w:t>
      </w:r>
      <w:hyperlink w:anchor="AUTO_2024_21" w:history="1">
        <w:r w:rsidRPr="00601EEA">
          <w:rPr>
            <w:rStyle w:val="TextoNormalCaracter"/>
          </w:rPr>
          <w:t>21/2024</w:t>
        </w:r>
      </w:hyperlink>
      <w:r>
        <w:t>, f. 4.</w:t>
      </w:r>
    </w:p>
    <w:p w14:paraId="694D07EA" w14:textId="2662B60A" w:rsidR="00601EEA" w:rsidRDefault="00601EEA" w:rsidP="00601EEA">
      <w:pPr>
        <w:pStyle w:val="SangriaFrancesaArticulo"/>
      </w:pPr>
      <w:r w:rsidRPr="00601EEA">
        <w:rPr>
          <w:rStyle w:val="TextoNormalNegritaCaracter"/>
        </w:rPr>
        <w:t>Artículo 20.1.</w:t>
      </w:r>
      <w:r w:rsidRPr="00601EEA">
        <w:rPr>
          <w:rStyle w:val="TextoNormalCaracter"/>
        </w:rPr>
        <w:t>-</w:t>
      </w:r>
      <w:r>
        <w:t xml:space="preserve"> Sentencia </w:t>
      </w:r>
      <w:hyperlink w:anchor="SENTENCIA_2024_62" w:history="1">
        <w:r w:rsidRPr="00601EEA">
          <w:rPr>
            <w:rStyle w:val="TextoNormalCaracter"/>
          </w:rPr>
          <w:t>62/2024</w:t>
        </w:r>
      </w:hyperlink>
      <w:r>
        <w:t>, ff. 1, 2.</w:t>
      </w:r>
    </w:p>
    <w:p w14:paraId="3F8148B9" w14:textId="12FB147B" w:rsidR="00601EEA" w:rsidRDefault="00601EEA" w:rsidP="00601EEA">
      <w:pPr>
        <w:pStyle w:val="SangriaFrancesaArticulo"/>
      </w:pPr>
      <w:r w:rsidRPr="00601EEA">
        <w:rPr>
          <w:rStyle w:val="TextoNormalNegritaCaracter"/>
        </w:rPr>
        <w:t>Artículo 20.1 a).</w:t>
      </w:r>
      <w:r w:rsidRPr="00601EEA">
        <w:rPr>
          <w:rStyle w:val="TextoNormalCaracter"/>
        </w:rPr>
        <w:t>-</w:t>
      </w:r>
      <w:r>
        <w:t xml:space="preserve"> Sentencia </w:t>
      </w:r>
      <w:hyperlink w:anchor="SENTENCIA_2024_75" w:history="1">
        <w:r w:rsidRPr="00601EEA">
          <w:rPr>
            <w:rStyle w:val="TextoNormalCaracter"/>
          </w:rPr>
          <w:t>75/2024</w:t>
        </w:r>
      </w:hyperlink>
      <w:r>
        <w:t>, VP II.</w:t>
      </w:r>
    </w:p>
    <w:p w14:paraId="7A642D59" w14:textId="17EE2CCD" w:rsidR="00601EEA" w:rsidRDefault="00601EEA" w:rsidP="00601EEA">
      <w:pPr>
        <w:pStyle w:val="SangriaFrancesaArticulo"/>
      </w:pPr>
      <w:r w:rsidRPr="00601EEA">
        <w:rPr>
          <w:rStyle w:val="TextoNormalNegritaCaracter"/>
        </w:rPr>
        <w:t>Artículo 21.</w:t>
      </w:r>
      <w:r w:rsidRPr="00601EEA">
        <w:rPr>
          <w:rStyle w:val="TextoNormalCaracter"/>
        </w:rPr>
        <w:t>-</w:t>
      </w:r>
      <w:r>
        <w:t xml:space="preserve"> Sentencias </w:t>
      </w:r>
      <w:hyperlink w:anchor="SENTENCIA_2024_8" w:history="1">
        <w:r w:rsidRPr="00601EEA">
          <w:rPr>
            <w:rStyle w:val="TextoNormalCaracter"/>
          </w:rPr>
          <w:t>8/2024</w:t>
        </w:r>
      </w:hyperlink>
      <w:r>
        <w:t xml:space="preserve">, ff. 1, 5; </w:t>
      </w:r>
      <w:hyperlink w:anchor="SENTENCIA_2024_18" w:history="1">
        <w:r w:rsidRPr="00601EEA">
          <w:rPr>
            <w:rStyle w:val="TextoNormalCaracter"/>
          </w:rPr>
          <w:t>18/2024</w:t>
        </w:r>
      </w:hyperlink>
      <w:r>
        <w:t xml:space="preserve">, f. único, VP; </w:t>
      </w:r>
      <w:hyperlink w:anchor="SENTENCIA_2024_62" w:history="1">
        <w:r w:rsidRPr="00601EEA">
          <w:rPr>
            <w:rStyle w:val="TextoNormalCaracter"/>
          </w:rPr>
          <w:t>62/2024</w:t>
        </w:r>
      </w:hyperlink>
      <w:r>
        <w:t xml:space="preserve">, ff. 1, 2; </w:t>
      </w:r>
      <w:hyperlink w:anchor="SENTENCIA_2024_75" w:history="1">
        <w:r w:rsidRPr="00601EEA">
          <w:rPr>
            <w:rStyle w:val="TextoNormalCaracter"/>
          </w:rPr>
          <w:t>75/2024</w:t>
        </w:r>
      </w:hyperlink>
      <w:r>
        <w:t>, ff. 1, 5, VP II.</w:t>
      </w:r>
    </w:p>
    <w:p w14:paraId="5F1800A3" w14:textId="12D41874" w:rsidR="00601EEA" w:rsidRDefault="00601EEA" w:rsidP="00601EEA">
      <w:pPr>
        <w:pStyle w:val="SangriaFrancesaArticulo"/>
      </w:pPr>
      <w:r w:rsidRPr="00601EEA">
        <w:rPr>
          <w:rStyle w:val="TextoNormalNegritaCaracter"/>
        </w:rPr>
        <w:t>Artículo 21.2.</w:t>
      </w:r>
      <w:r w:rsidRPr="00601EEA">
        <w:rPr>
          <w:rStyle w:val="TextoNormalCaracter"/>
        </w:rPr>
        <w:t>-</w:t>
      </w:r>
      <w:r>
        <w:t xml:space="preserve"> Sentencia </w:t>
      </w:r>
      <w:hyperlink w:anchor="SENTENCIA_2024_8" w:history="1">
        <w:r w:rsidRPr="00601EEA">
          <w:rPr>
            <w:rStyle w:val="TextoNormalCaracter"/>
          </w:rPr>
          <w:t>8/2024</w:t>
        </w:r>
      </w:hyperlink>
      <w:r>
        <w:t>, f. 5.</w:t>
      </w:r>
    </w:p>
    <w:p w14:paraId="395EAD96" w14:textId="216BE4DD" w:rsidR="00601EEA" w:rsidRDefault="00601EEA" w:rsidP="00601EEA">
      <w:pPr>
        <w:pStyle w:val="SangriaFrancesaArticulo"/>
      </w:pPr>
      <w:r w:rsidRPr="00601EEA">
        <w:rPr>
          <w:rStyle w:val="TextoNormalNegritaCaracter"/>
        </w:rPr>
        <w:t>Artículo 22.</w:t>
      </w:r>
      <w:r w:rsidRPr="00601EEA">
        <w:rPr>
          <w:rStyle w:val="TextoNormalCaracter"/>
        </w:rPr>
        <w:t>-</w:t>
      </w:r>
      <w:r>
        <w:t xml:space="preserve"> Sentencia </w:t>
      </w:r>
      <w:hyperlink w:anchor="SENTENCIA_2024_44" w:history="1">
        <w:r w:rsidRPr="00601EEA">
          <w:rPr>
            <w:rStyle w:val="TextoNormalCaracter"/>
          </w:rPr>
          <w:t>44/2024</w:t>
        </w:r>
      </w:hyperlink>
      <w:r>
        <w:t>, ff. 1, 2, 5.</w:t>
      </w:r>
    </w:p>
    <w:p w14:paraId="7746B19F" w14:textId="2D8991AE" w:rsidR="00601EEA" w:rsidRDefault="00601EEA" w:rsidP="00601EEA">
      <w:pPr>
        <w:pStyle w:val="SangriaFrancesaArticulo"/>
      </w:pPr>
      <w:r w:rsidRPr="00601EEA">
        <w:rPr>
          <w:rStyle w:val="TextoNormalNegritaCaracter"/>
        </w:rPr>
        <w:t>Artículo 22.2.</w:t>
      </w:r>
      <w:r w:rsidRPr="00601EEA">
        <w:rPr>
          <w:rStyle w:val="TextoNormalCaracter"/>
        </w:rPr>
        <w:t>-</w:t>
      </w:r>
      <w:r>
        <w:t xml:space="preserve"> Sentencia </w:t>
      </w:r>
      <w:hyperlink w:anchor="SENTENCIA_2024_44" w:history="1">
        <w:r w:rsidRPr="00601EEA">
          <w:rPr>
            <w:rStyle w:val="TextoNormalCaracter"/>
          </w:rPr>
          <w:t>44/2024</w:t>
        </w:r>
      </w:hyperlink>
      <w:r>
        <w:t>, f. 5.</w:t>
      </w:r>
    </w:p>
    <w:p w14:paraId="36709C08" w14:textId="01E6E8B5" w:rsidR="00601EEA" w:rsidRDefault="00601EEA" w:rsidP="00601EEA">
      <w:pPr>
        <w:pStyle w:val="SangriaFrancesaArticulo"/>
      </w:pPr>
      <w:r w:rsidRPr="00601EEA">
        <w:rPr>
          <w:rStyle w:val="TextoNormalNegritaCaracter"/>
        </w:rPr>
        <w:t>Artículo 23.</w:t>
      </w:r>
      <w:r w:rsidRPr="00601EEA">
        <w:rPr>
          <w:rStyle w:val="TextoNormalCaracter"/>
        </w:rPr>
        <w:t>-</w:t>
      </w:r>
      <w:r>
        <w:t xml:space="preserve"> Sentencias </w:t>
      </w:r>
      <w:hyperlink w:anchor="SENTENCIA_2024_10" w:history="1">
        <w:r w:rsidRPr="00601EEA">
          <w:rPr>
            <w:rStyle w:val="TextoNormalCaracter"/>
          </w:rPr>
          <w:t>10/2024</w:t>
        </w:r>
      </w:hyperlink>
      <w:r>
        <w:t xml:space="preserve">, VP I; </w:t>
      </w:r>
      <w:hyperlink w:anchor="SENTENCIA_2024_15" w:history="1">
        <w:r w:rsidRPr="00601EEA">
          <w:rPr>
            <w:rStyle w:val="TextoNormalCaracter"/>
          </w:rPr>
          <w:t>15/2024</w:t>
        </w:r>
      </w:hyperlink>
      <w:r>
        <w:t xml:space="preserve">, ff. 1, 2, 8, VP II; </w:t>
      </w:r>
      <w:hyperlink w:anchor="SENTENCIA_2024_18" w:history="1">
        <w:r w:rsidRPr="00601EEA">
          <w:rPr>
            <w:rStyle w:val="TextoNormalCaracter"/>
          </w:rPr>
          <w:t>18/2024</w:t>
        </w:r>
      </w:hyperlink>
      <w:r>
        <w:t xml:space="preserve">, f. único; </w:t>
      </w:r>
      <w:hyperlink w:anchor="SENTENCIA_2024_30" w:history="1">
        <w:r w:rsidRPr="00601EEA">
          <w:rPr>
            <w:rStyle w:val="TextoNormalCaracter"/>
          </w:rPr>
          <w:t>30/2024</w:t>
        </w:r>
      </w:hyperlink>
      <w:r>
        <w:t xml:space="preserve">, ff. 3, 4, VP II; </w:t>
      </w:r>
      <w:hyperlink w:anchor="SENTENCIA_2024_44" w:history="1">
        <w:r w:rsidRPr="00601EEA">
          <w:rPr>
            <w:rStyle w:val="TextoNormalCaracter"/>
          </w:rPr>
          <w:t>44/2024</w:t>
        </w:r>
      </w:hyperlink>
      <w:r>
        <w:t xml:space="preserve">, ff. 1, 2, 5; </w:t>
      </w:r>
      <w:hyperlink w:anchor="SENTENCIA_2024_50" w:history="1">
        <w:r w:rsidRPr="00601EEA">
          <w:rPr>
            <w:rStyle w:val="TextoNormalCaracter"/>
          </w:rPr>
          <w:t>50/2024</w:t>
        </w:r>
      </w:hyperlink>
      <w:r>
        <w:t xml:space="preserve">, f. 1; </w:t>
      </w:r>
      <w:hyperlink w:anchor="SENTENCIA_2024_62" w:history="1">
        <w:r w:rsidRPr="00601EEA">
          <w:rPr>
            <w:rStyle w:val="TextoNormalCaracter"/>
          </w:rPr>
          <w:t>62/2024</w:t>
        </w:r>
      </w:hyperlink>
      <w:r>
        <w:t xml:space="preserve">, f. 1; </w:t>
      </w:r>
      <w:hyperlink w:anchor="SENTENCIA_2024_64" w:history="1">
        <w:r w:rsidRPr="00601EEA">
          <w:rPr>
            <w:rStyle w:val="TextoNormalCaracter"/>
          </w:rPr>
          <w:t>64/2024</w:t>
        </w:r>
      </w:hyperlink>
      <w:r>
        <w:t xml:space="preserve">, f. único; </w:t>
      </w:r>
      <w:hyperlink w:anchor="SENTENCIA_2024_66" w:history="1">
        <w:r w:rsidRPr="00601EEA">
          <w:rPr>
            <w:rStyle w:val="TextoNormalCaracter"/>
          </w:rPr>
          <w:t>66/2024</w:t>
        </w:r>
      </w:hyperlink>
      <w:r>
        <w:t xml:space="preserve">, ff. 1, 4, 6; </w:t>
      </w:r>
      <w:hyperlink w:anchor="SENTENCIA_2024_68" w:history="1">
        <w:r w:rsidRPr="00601EEA">
          <w:rPr>
            <w:rStyle w:val="TextoNormalCaracter"/>
          </w:rPr>
          <w:t>68/2024</w:t>
        </w:r>
      </w:hyperlink>
      <w:r>
        <w:t>, f. 8.</w:t>
      </w:r>
    </w:p>
    <w:p w14:paraId="42A2DC16" w14:textId="53A1109E" w:rsidR="00601EEA" w:rsidRDefault="00601EEA" w:rsidP="00601EEA">
      <w:pPr>
        <w:pStyle w:val="SangriaIzquierdaArticulo"/>
      </w:pPr>
      <w:r>
        <w:t xml:space="preserve">Auto </w:t>
      </w:r>
      <w:hyperlink w:anchor="AUTO_2024_47" w:history="1">
        <w:r w:rsidRPr="00601EEA">
          <w:rPr>
            <w:rStyle w:val="TextoNormalCaracter"/>
          </w:rPr>
          <w:t>47/2024</w:t>
        </w:r>
      </w:hyperlink>
      <w:r>
        <w:t>, ff. 1 a 3, VP.</w:t>
      </w:r>
    </w:p>
    <w:p w14:paraId="7D8D3289" w14:textId="16200248" w:rsidR="00601EEA" w:rsidRDefault="00601EEA" w:rsidP="00601EEA">
      <w:pPr>
        <w:pStyle w:val="SangriaFrancesaArticulo"/>
      </w:pPr>
      <w:r w:rsidRPr="00601EEA">
        <w:rPr>
          <w:rStyle w:val="TextoNormalNegritaCaracter"/>
        </w:rPr>
        <w:t>Artículo 23.1.</w:t>
      </w:r>
      <w:r w:rsidRPr="00601EEA">
        <w:rPr>
          <w:rStyle w:val="TextoNormalCaracter"/>
        </w:rPr>
        <w:t>-</w:t>
      </w:r>
      <w:r>
        <w:t xml:space="preserve"> Sentencias </w:t>
      </w:r>
      <w:hyperlink w:anchor="SENTENCIA_2024_10" w:history="1">
        <w:r w:rsidRPr="00601EEA">
          <w:rPr>
            <w:rStyle w:val="TextoNormalCaracter"/>
          </w:rPr>
          <w:t>10/2024</w:t>
        </w:r>
      </w:hyperlink>
      <w:r>
        <w:t xml:space="preserve">, f. 2; </w:t>
      </w:r>
      <w:hyperlink w:anchor="SENTENCIA_2024_15" w:history="1">
        <w:r w:rsidRPr="00601EEA">
          <w:rPr>
            <w:rStyle w:val="TextoNormalCaracter"/>
          </w:rPr>
          <w:t>15/2024</w:t>
        </w:r>
      </w:hyperlink>
      <w:r>
        <w:t xml:space="preserve">, ff. 2, 3; </w:t>
      </w:r>
      <w:hyperlink w:anchor="SENTENCIA_2024_31" w:history="1">
        <w:r w:rsidRPr="00601EEA">
          <w:rPr>
            <w:rStyle w:val="TextoNormalCaracter"/>
          </w:rPr>
          <w:t>31/2024</w:t>
        </w:r>
      </w:hyperlink>
      <w:r>
        <w:t xml:space="preserve">, f. único; </w:t>
      </w:r>
      <w:hyperlink w:anchor="SENTENCIA_2024_62" w:history="1">
        <w:r w:rsidRPr="00601EEA">
          <w:rPr>
            <w:rStyle w:val="TextoNormalCaracter"/>
          </w:rPr>
          <w:t>62/2024</w:t>
        </w:r>
      </w:hyperlink>
      <w:r>
        <w:t xml:space="preserve">, f. 2; </w:t>
      </w:r>
      <w:hyperlink w:anchor="SENTENCIA_2024_64" w:history="1">
        <w:r w:rsidRPr="00601EEA">
          <w:rPr>
            <w:rStyle w:val="TextoNormalCaracter"/>
          </w:rPr>
          <w:t>64/2024</w:t>
        </w:r>
      </w:hyperlink>
      <w:r>
        <w:t xml:space="preserve">, f. único; </w:t>
      </w:r>
      <w:hyperlink w:anchor="SENTENCIA_2024_69" w:history="1">
        <w:r w:rsidRPr="00601EEA">
          <w:rPr>
            <w:rStyle w:val="TextoNormalCaracter"/>
          </w:rPr>
          <w:t>69/2024</w:t>
        </w:r>
      </w:hyperlink>
      <w:r>
        <w:t xml:space="preserve">, ff. 4 a 6; </w:t>
      </w:r>
      <w:hyperlink w:anchor="SENTENCIA_2024_86" w:history="1">
        <w:r w:rsidRPr="00601EEA">
          <w:rPr>
            <w:rStyle w:val="TextoNormalCaracter"/>
          </w:rPr>
          <w:t>86/2024</w:t>
        </w:r>
      </w:hyperlink>
      <w:r>
        <w:t>, f. 3.</w:t>
      </w:r>
    </w:p>
    <w:p w14:paraId="188F7ADB" w14:textId="4A60C872" w:rsidR="00601EEA" w:rsidRDefault="00601EEA" w:rsidP="00601EEA">
      <w:pPr>
        <w:pStyle w:val="SangriaIzquierdaArticulo"/>
      </w:pPr>
      <w:r>
        <w:t xml:space="preserve">Autos </w:t>
      </w:r>
      <w:hyperlink w:anchor="AUTO_2024_21" w:history="1">
        <w:r w:rsidRPr="00601EEA">
          <w:rPr>
            <w:rStyle w:val="TextoNormalCaracter"/>
          </w:rPr>
          <w:t>21/2024</w:t>
        </w:r>
      </w:hyperlink>
      <w:r>
        <w:t xml:space="preserve">, f. 4; </w:t>
      </w:r>
      <w:hyperlink w:anchor="AUTO_2024_47" w:history="1">
        <w:r w:rsidRPr="00601EEA">
          <w:rPr>
            <w:rStyle w:val="TextoNormalCaracter"/>
          </w:rPr>
          <w:t>47/2024</w:t>
        </w:r>
      </w:hyperlink>
      <w:r>
        <w:t xml:space="preserve">, f. 3; </w:t>
      </w:r>
      <w:hyperlink w:anchor="AUTO_2024_52" w:history="1">
        <w:r w:rsidRPr="00601EEA">
          <w:rPr>
            <w:rStyle w:val="TextoNormalCaracter"/>
          </w:rPr>
          <w:t>52/2024</w:t>
        </w:r>
      </w:hyperlink>
      <w:r>
        <w:t>, ff. 1, 2, VP.</w:t>
      </w:r>
    </w:p>
    <w:p w14:paraId="79C70467" w14:textId="5FEB26B9" w:rsidR="00601EEA" w:rsidRDefault="00601EEA" w:rsidP="00601EEA">
      <w:pPr>
        <w:pStyle w:val="SangriaFrancesaArticulo"/>
      </w:pPr>
      <w:r w:rsidRPr="00601EEA">
        <w:rPr>
          <w:rStyle w:val="TextoNormalNegritaCaracter"/>
        </w:rPr>
        <w:t>Artículo 23.1 y 2.</w:t>
      </w:r>
      <w:r w:rsidRPr="00601EEA">
        <w:rPr>
          <w:rStyle w:val="TextoNormalCaracter"/>
        </w:rPr>
        <w:t>-</w:t>
      </w:r>
      <w:r>
        <w:t xml:space="preserve"> Sentencia </w:t>
      </w:r>
      <w:hyperlink w:anchor="SENTENCIA_2024_50" w:history="1">
        <w:r w:rsidRPr="00601EEA">
          <w:rPr>
            <w:rStyle w:val="TextoNormalCaracter"/>
          </w:rPr>
          <w:t>50/2024</w:t>
        </w:r>
      </w:hyperlink>
      <w:r>
        <w:t>, f. 1.</w:t>
      </w:r>
    </w:p>
    <w:p w14:paraId="6446A2CA" w14:textId="1F5D6691" w:rsidR="00601EEA" w:rsidRDefault="00601EEA" w:rsidP="00601EEA">
      <w:pPr>
        <w:pStyle w:val="SangriaFrancesaArticulo"/>
      </w:pPr>
      <w:r w:rsidRPr="00601EEA">
        <w:rPr>
          <w:rStyle w:val="TextoNormalNegritaCaracter"/>
        </w:rPr>
        <w:t>Artículo 23.2.</w:t>
      </w:r>
      <w:r w:rsidRPr="00601EEA">
        <w:rPr>
          <w:rStyle w:val="TextoNormalCaracter"/>
        </w:rPr>
        <w:t>-</w:t>
      </w:r>
      <w:r>
        <w:t xml:space="preserve"> Sentencias </w:t>
      </w:r>
      <w:hyperlink w:anchor="SENTENCIA_2024_8" w:history="1">
        <w:r w:rsidRPr="00601EEA">
          <w:rPr>
            <w:rStyle w:val="TextoNormalCaracter"/>
          </w:rPr>
          <w:t>8/2024</w:t>
        </w:r>
      </w:hyperlink>
      <w:r>
        <w:t xml:space="preserve">, ff. 1, 6; </w:t>
      </w:r>
      <w:hyperlink w:anchor="SENTENCIA_2024_10" w:history="1">
        <w:r w:rsidRPr="00601EEA">
          <w:rPr>
            <w:rStyle w:val="TextoNormalCaracter"/>
          </w:rPr>
          <w:t>10/2024</w:t>
        </w:r>
      </w:hyperlink>
      <w:r>
        <w:t xml:space="preserve">, ff. 1, 2, VP I; </w:t>
      </w:r>
      <w:hyperlink w:anchor="SENTENCIA_2024_15" w:history="1">
        <w:r w:rsidRPr="00601EEA">
          <w:rPr>
            <w:rStyle w:val="TextoNormalCaracter"/>
          </w:rPr>
          <w:t>15/2024</w:t>
        </w:r>
      </w:hyperlink>
      <w:r>
        <w:t xml:space="preserve">, ff. 3, 4, VP II; </w:t>
      </w:r>
      <w:hyperlink w:anchor="SENTENCIA_2024_18" w:history="1">
        <w:r w:rsidRPr="00601EEA">
          <w:rPr>
            <w:rStyle w:val="TextoNormalCaracter"/>
          </w:rPr>
          <w:t>18/2024</w:t>
        </w:r>
      </w:hyperlink>
      <w:r>
        <w:t xml:space="preserve">, f. único, VP; </w:t>
      </w:r>
      <w:hyperlink w:anchor="SENTENCIA_2024_20" w:history="1">
        <w:r w:rsidRPr="00601EEA">
          <w:rPr>
            <w:rStyle w:val="TextoNormalCaracter"/>
          </w:rPr>
          <w:t>20/2024</w:t>
        </w:r>
      </w:hyperlink>
      <w:r>
        <w:t xml:space="preserve">, ff. 1, 3; </w:t>
      </w:r>
      <w:hyperlink w:anchor="SENTENCIA_2024_25" w:history="1">
        <w:r w:rsidRPr="00601EEA">
          <w:rPr>
            <w:rStyle w:val="TextoNormalCaracter"/>
          </w:rPr>
          <w:t>25/2024</w:t>
        </w:r>
      </w:hyperlink>
      <w:r>
        <w:t xml:space="preserve">, ff. 1, 3; </w:t>
      </w:r>
      <w:hyperlink w:anchor="SENTENCIA_2024_29" w:history="1">
        <w:r w:rsidRPr="00601EEA">
          <w:rPr>
            <w:rStyle w:val="TextoNormalCaracter"/>
          </w:rPr>
          <w:t>29/2024</w:t>
        </w:r>
      </w:hyperlink>
      <w:r>
        <w:t xml:space="preserve">, ff. 1, 2; </w:t>
      </w:r>
      <w:hyperlink w:anchor="SENTENCIA_2024_30" w:history="1">
        <w:r w:rsidRPr="00601EEA">
          <w:rPr>
            <w:rStyle w:val="TextoNormalCaracter"/>
          </w:rPr>
          <w:t>30/2024</w:t>
        </w:r>
      </w:hyperlink>
      <w:r>
        <w:t xml:space="preserve">, ff. 1, 4, VP I, VP II; </w:t>
      </w:r>
      <w:hyperlink w:anchor="SENTENCIA_2024_31" w:history="1">
        <w:r w:rsidRPr="00601EEA">
          <w:rPr>
            <w:rStyle w:val="TextoNormalCaracter"/>
          </w:rPr>
          <w:t>31/2024</w:t>
        </w:r>
      </w:hyperlink>
      <w:r>
        <w:t xml:space="preserve">, f. único; </w:t>
      </w:r>
      <w:hyperlink w:anchor="SENTENCIA_2024_45" w:history="1">
        <w:r w:rsidRPr="00601EEA">
          <w:rPr>
            <w:rStyle w:val="TextoNormalCaracter"/>
          </w:rPr>
          <w:t>45/2024</w:t>
        </w:r>
      </w:hyperlink>
      <w:r>
        <w:t xml:space="preserve">, f. 1; </w:t>
      </w:r>
      <w:hyperlink w:anchor="SENTENCIA_2024_50" w:history="1">
        <w:r w:rsidRPr="00601EEA">
          <w:rPr>
            <w:rStyle w:val="TextoNormalCaracter"/>
          </w:rPr>
          <w:t>50/2024</w:t>
        </w:r>
      </w:hyperlink>
      <w:r>
        <w:t xml:space="preserve">, ff. 2, 4; </w:t>
      </w:r>
      <w:hyperlink w:anchor="SENTENCIA_2024_62" w:history="1">
        <w:r w:rsidRPr="00601EEA">
          <w:rPr>
            <w:rStyle w:val="TextoNormalCaracter"/>
          </w:rPr>
          <w:t>62/2024</w:t>
        </w:r>
      </w:hyperlink>
      <w:r>
        <w:t xml:space="preserve">, f. 2; </w:t>
      </w:r>
      <w:hyperlink w:anchor="SENTENCIA_2024_64" w:history="1">
        <w:r w:rsidRPr="00601EEA">
          <w:rPr>
            <w:rStyle w:val="TextoNormalCaracter"/>
          </w:rPr>
          <w:t>64/2024</w:t>
        </w:r>
      </w:hyperlink>
      <w:r>
        <w:t xml:space="preserve">, f. único; </w:t>
      </w:r>
      <w:hyperlink w:anchor="SENTENCIA_2024_66" w:history="1">
        <w:r w:rsidRPr="00601EEA">
          <w:rPr>
            <w:rStyle w:val="TextoNormalCaracter"/>
          </w:rPr>
          <w:t>66/2024</w:t>
        </w:r>
      </w:hyperlink>
      <w:r>
        <w:t xml:space="preserve">, ff. 2, 3; </w:t>
      </w:r>
      <w:hyperlink w:anchor="SENTENCIA_2024_86" w:history="1">
        <w:r w:rsidRPr="00601EEA">
          <w:rPr>
            <w:rStyle w:val="TextoNormalCaracter"/>
          </w:rPr>
          <w:t>86/2024</w:t>
        </w:r>
      </w:hyperlink>
      <w:r>
        <w:t>, ff. 1, 3.</w:t>
      </w:r>
    </w:p>
    <w:p w14:paraId="170EB3DE" w14:textId="7FAA59F8" w:rsidR="00601EEA" w:rsidRDefault="00601EEA" w:rsidP="00601EEA">
      <w:pPr>
        <w:pStyle w:val="SangriaIzquierdaArticulo"/>
      </w:pPr>
      <w:r>
        <w:t xml:space="preserve">Autos </w:t>
      </w:r>
      <w:hyperlink w:anchor="AUTO_2024_24" w:history="1">
        <w:r w:rsidRPr="00601EEA">
          <w:rPr>
            <w:rStyle w:val="TextoNormalCaracter"/>
          </w:rPr>
          <w:t>24/2024</w:t>
        </w:r>
      </w:hyperlink>
      <w:r>
        <w:t xml:space="preserve">, ff. 1, 2; </w:t>
      </w:r>
      <w:hyperlink w:anchor="AUTO_2024_47" w:history="1">
        <w:r w:rsidRPr="00601EEA">
          <w:rPr>
            <w:rStyle w:val="TextoNormalCaracter"/>
          </w:rPr>
          <w:t>47/2024</w:t>
        </w:r>
      </w:hyperlink>
      <w:r>
        <w:t xml:space="preserve">, ff. 1, 3, VP; </w:t>
      </w:r>
      <w:hyperlink w:anchor="AUTO_2024_52" w:history="1">
        <w:r w:rsidRPr="00601EEA">
          <w:rPr>
            <w:rStyle w:val="TextoNormalCaracter"/>
          </w:rPr>
          <w:t>52/2024</w:t>
        </w:r>
      </w:hyperlink>
      <w:r>
        <w:t>, ff. 1, 2, VP.</w:t>
      </w:r>
    </w:p>
    <w:p w14:paraId="5426E262" w14:textId="6E8A0DF7" w:rsidR="00601EEA" w:rsidRDefault="00601EEA" w:rsidP="00601EEA">
      <w:pPr>
        <w:pStyle w:val="SangriaFrancesaArticulo"/>
      </w:pPr>
      <w:r w:rsidRPr="00601EEA">
        <w:rPr>
          <w:rStyle w:val="TextoNormalNegritaCaracter"/>
        </w:rPr>
        <w:t>Artículo 24.</w:t>
      </w:r>
      <w:r w:rsidRPr="00601EEA">
        <w:rPr>
          <w:rStyle w:val="TextoNormalCaracter"/>
        </w:rPr>
        <w:t>-</w:t>
      </w:r>
      <w:r>
        <w:t xml:space="preserve"> Sentencias </w:t>
      </w:r>
      <w:hyperlink w:anchor="SENTENCIA_2024_9" w:history="1">
        <w:r w:rsidRPr="00601EEA">
          <w:rPr>
            <w:rStyle w:val="TextoNormalCaracter"/>
          </w:rPr>
          <w:t>9/2024</w:t>
        </w:r>
      </w:hyperlink>
      <w:r>
        <w:t xml:space="preserve">, f. 3; </w:t>
      </w:r>
      <w:hyperlink w:anchor="SENTENCIA_2024_12" w:history="1">
        <w:r w:rsidRPr="00601EEA">
          <w:rPr>
            <w:rStyle w:val="TextoNormalCaracter"/>
          </w:rPr>
          <w:t>12/2024</w:t>
        </w:r>
      </w:hyperlink>
      <w:r>
        <w:t xml:space="preserve">, f. 2; </w:t>
      </w:r>
      <w:hyperlink w:anchor="SENTENCIA_2024_17" w:history="1">
        <w:r w:rsidRPr="00601EEA">
          <w:rPr>
            <w:rStyle w:val="TextoNormalCaracter"/>
          </w:rPr>
          <w:t>17/2024</w:t>
        </w:r>
      </w:hyperlink>
      <w:r>
        <w:t xml:space="preserve">, f. 4; </w:t>
      </w:r>
      <w:hyperlink w:anchor="SENTENCIA_2024_18" w:history="1">
        <w:r w:rsidRPr="00601EEA">
          <w:rPr>
            <w:rStyle w:val="TextoNormalCaracter"/>
          </w:rPr>
          <w:t>18/2024</w:t>
        </w:r>
      </w:hyperlink>
      <w:r>
        <w:t xml:space="preserve">, f. único, VP; </w:t>
      </w:r>
      <w:hyperlink w:anchor="SENTENCIA_2024_21" w:history="1">
        <w:r w:rsidRPr="00601EEA">
          <w:rPr>
            <w:rStyle w:val="TextoNormalCaracter"/>
          </w:rPr>
          <w:t>21/2024</w:t>
        </w:r>
      </w:hyperlink>
      <w:r>
        <w:t xml:space="preserve">, f. 3; </w:t>
      </w:r>
      <w:hyperlink w:anchor="SENTENCIA_2024_28" w:history="1">
        <w:r w:rsidRPr="00601EEA">
          <w:rPr>
            <w:rStyle w:val="TextoNormalCaracter"/>
          </w:rPr>
          <w:t>28/2024</w:t>
        </w:r>
      </w:hyperlink>
      <w:r>
        <w:t xml:space="preserve">, f. 4, VP; </w:t>
      </w:r>
      <w:hyperlink w:anchor="SENTENCIA_2024_34" w:history="1">
        <w:r w:rsidRPr="00601EEA">
          <w:rPr>
            <w:rStyle w:val="TextoNormalCaracter"/>
          </w:rPr>
          <w:t>34/2024</w:t>
        </w:r>
      </w:hyperlink>
      <w:r>
        <w:t xml:space="preserve">, f. 6; </w:t>
      </w:r>
      <w:hyperlink w:anchor="SENTENCIA_2024_36" w:history="1">
        <w:r w:rsidRPr="00601EEA">
          <w:rPr>
            <w:rStyle w:val="TextoNormalCaracter"/>
          </w:rPr>
          <w:t>36/2024</w:t>
        </w:r>
      </w:hyperlink>
      <w:r>
        <w:t xml:space="preserve">, f. 5; </w:t>
      </w:r>
      <w:hyperlink w:anchor="SENTENCIA_2024_37" w:history="1">
        <w:r w:rsidRPr="00601EEA">
          <w:rPr>
            <w:rStyle w:val="TextoNormalCaracter"/>
          </w:rPr>
          <w:t>37/2024</w:t>
        </w:r>
      </w:hyperlink>
      <w:r>
        <w:t xml:space="preserve">, f. 4; </w:t>
      </w:r>
      <w:hyperlink w:anchor="SENTENCIA_2024_42" w:history="1">
        <w:r w:rsidRPr="00601EEA">
          <w:rPr>
            <w:rStyle w:val="TextoNormalCaracter"/>
          </w:rPr>
          <w:t>42/2024</w:t>
        </w:r>
      </w:hyperlink>
      <w:r>
        <w:t xml:space="preserve">, f. 4; </w:t>
      </w:r>
      <w:hyperlink w:anchor="SENTENCIA_2024_43" w:history="1">
        <w:r w:rsidRPr="00601EEA">
          <w:rPr>
            <w:rStyle w:val="TextoNormalCaracter"/>
          </w:rPr>
          <w:t>43/2024</w:t>
        </w:r>
      </w:hyperlink>
      <w:r>
        <w:t xml:space="preserve">, f. 5; </w:t>
      </w:r>
      <w:hyperlink w:anchor="SENTENCIA_2024_48" w:history="1">
        <w:r w:rsidRPr="00601EEA">
          <w:rPr>
            <w:rStyle w:val="TextoNormalCaracter"/>
          </w:rPr>
          <w:t>48/2024</w:t>
        </w:r>
      </w:hyperlink>
      <w:r>
        <w:t xml:space="preserve">, VP I; </w:t>
      </w:r>
      <w:hyperlink w:anchor="SENTENCIA_2024_49" w:history="1">
        <w:r w:rsidRPr="00601EEA">
          <w:rPr>
            <w:rStyle w:val="TextoNormalCaracter"/>
          </w:rPr>
          <w:t>49/2024</w:t>
        </w:r>
      </w:hyperlink>
      <w:r>
        <w:t xml:space="preserve">, f. 2; </w:t>
      </w:r>
      <w:hyperlink w:anchor="SENTENCIA_2024_50" w:history="1">
        <w:r w:rsidRPr="00601EEA">
          <w:rPr>
            <w:rStyle w:val="TextoNormalCaracter"/>
          </w:rPr>
          <w:t>50/2024</w:t>
        </w:r>
      </w:hyperlink>
      <w:r>
        <w:t xml:space="preserve">, f. 1; </w:t>
      </w:r>
      <w:hyperlink w:anchor="SENTENCIA_2024_52" w:history="1">
        <w:r w:rsidRPr="00601EEA">
          <w:rPr>
            <w:rStyle w:val="TextoNormalCaracter"/>
          </w:rPr>
          <w:t>52/2024</w:t>
        </w:r>
      </w:hyperlink>
      <w:r>
        <w:t xml:space="preserve">, f. 4; </w:t>
      </w:r>
      <w:hyperlink w:anchor="SENTENCIA_2024_57" w:history="1">
        <w:r w:rsidRPr="00601EEA">
          <w:rPr>
            <w:rStyle w:val="TextoNormalCaracter"/>
          </w:rPr>
          <w:t>57/2024</w:t>
        </w:r>
      </w:hyperlink>
      <w:r>
        <w:t xml:space="preserve">, f. 5; </w:t>
      </w:r>
      <w:hyperlink w:anchor="SENTENCIA_2024_59" w:history="1">
        <w:r w:rsidRPr="00601EEA">
          <w:rPr>
            <w:rStyle w:val="TextoNormalCaracter"/>
          </w:rPr>
          <w:t>59/2024</w:t>
        </w:r>
      </w:hyperlink>
      <w:r>
        <w:t xml:space="preserve">, f. 2; </w:t>
      </w:r>
      <w:hyperlink w:anchor="SENTENCIA_2024_66" w:history="1">
        <w:r w:rsidRPr="00601EEA">
          <w:rPr>
            <w:rStyle w:val="TextoNormalCaracter"/>
          </w:rPr>
          <w:t>66/2024</w:t>
        </w:r>
      </w:hyperlink>
      <w:r>
        <w:t xml:space="preserve">, ff. 3, 4; </w:t>
      </w:r>
      <w:hyperlink w:anchor="SENTENCIA_2024_70" w:history="1">
        <w:r w:rsidRPr="00601EEA">
          <w:rPr>
            <w:rStyle w:val="TextoNormalCaracter"/>
          </w:rPr>
          <w:t>70/2024</w:t>
        </w:r>
      </w:hyperlink>
      <w:r>
        <w:t xml:space="preserve">, f. 1; </w:t>
      </w:r>
      <w:hyperlink w:anchor="SENTENCIA_2024_72" w:history="1">
        <w:r w:rsidRPr="00601EEA">
          <w:rPr>
            <w:rStyle w:val="TextoNormalCaracter"/>
          </w:rPr>
          <w:t>72/2024</w:t>
        </w:r>
      </w:hyperlink>
      <w:r>
        <w:t xml:space="preserve">, f. 4; </w:t>
      </w:r>
      <w:hyperlink w:anchor="SENTENCIA_2024_81" w:history="1">
        <w:r w:rsidRPr="00601EEA">
          <w:rPr>
            <w:rStyle w:val="TextoNormalCaracter"/>
          </w:rPr>
          <w:t>81/2024</w:t>
        </w:r>
      </w:hyperlink>
      <w:r>
        <w:t xml:space="preserve">, f. 4; </w:t>
      </w:r>
      <w:hyperlink w:anchor="SENTENCIA_2024_93" w:history="1">
        <w:r w:rsidRPr="00601EEA">
          <w:rPr>
            <w:rStyle w:val="TextoNormalCaracter"/>
          </w:rPr>
          <w:t>93/2024</w:t>
        </w:r>
      </w:hyperlink>
      <w:r>
        <w:t>, VP II.</w:t>
      </w:r>
    </w:p>
    <w:p w14:paraId="6300D097" w14:textId="00555037" w:rsidR="00601EEA" w:rsidRDefault="00601EEA" w:rsidP="00601EEA">
      <w:pPr>
        <w:pStyle w:val="SangriaIzquierdaArticulo"/>
      </w:pPr>
      <w:r>
        <w:t xml:space="preserve">Autos </w:t>
      </w:r>
      <w:hyperlink w:anchor="AUTO_2024_17" w:history="1">
        <w:r w:rsidRPr="00601EEA">
          <w:rPr>
            <w:rStyle w:val="TextoNormalCaracter"/>
          </w:rPr>
          <w:t>17/2024</w:t>
        </w:r>
      </w:hyperlink>
      <w:r>
        <w:t xml:space="preserve">, f. 3; </w:t>
      </w:r>
      <w:hyperlink w:anchor="AUTO_2024_20" w:history="1">
        <w:r w:rsidRPr="00601EEA">
          <w:rPr>
            <w:rStyle w:val="TextoNormalCaracter"/>
          </w:rPr>
          <w:t>20/2024</w:t>
        </w:r>
      </w:hyperlink>
      <w:r>
        <w:t>, ff. 1, 3 a 5.</w:t>
      </w:r>
    </w:p>
    <w:p w14:paraId="6FD7CD21" w14:textId="686D9FDE" w:rsidR="00601EEA" w:rsidRDefault="00601EEA" w:rsidP="00601EEA">
      <w:pPr>
        <w:pStyle w:val="SangriaFrancesaArticulo"/>
      </w:pPr>
      <w:r w:rsidRPr="00601EEA">
        <w:rPr>
          <w:rStyle w:val="TextoNormalNegritaCaracter"/>
        </w:rPr>
        <w:t>Artículo 24.1.</w:t>
      </w:r>
      <w:r w:rsidRPr="00601EEA">
        <w:rPr>
          <w:rStyle w:val="TextoNormalCaracter"/>
        </w:rPr>
        <w:t>-</w:t>
      </w:r>
      <w:r>
        <w:t xml:space="preserve"> Sentencias </w:t>
      </w:r>
      <w:hyperlink w:anchor="SENTENCIA_2024_1" w:history="1">
        <w:r w:rsidRPr="00601EEA">
          <w:rPr>
            <w:rStyle w:val="TextoNormalCaracter"/>
          </w:rPr>
          <w:t>1/2024</w:t>
        </w:r>
      </w:hyperlink>
      <w:r>
        <w:t xml:space="preserve">, ff. 1, 2, 5; </w:t>
      </w:r>
      <w:hyperlink w:anchor="SENTENCIA_2024_2" w:history="1">
        <w:r w:rsidRPr="00601EEA">
          <w:rPr>
            <w:rStyle w:val="TextoNormalCaracter"/>
          </w:rPr>
          <w:t>2/2024</w:t>
        </w:r>
      </w:hyperlink>
      <w:r>
        <w:t xml:space="preserve">, ff. 1, 3; </w:t>
      </w:r>
      <w:hyperlink w:anchor="SENTENCIA_2024_3" w:history="1">
        <w:r w:rsidRPr="00601EEA">
          <w:rPr>
            <w:rStyle w:val="TextoNormalCaracter"/>
          </w:rPr>
          <w:t>3/2024</w:t>
        </w:r>
      </w:hyperlink>
      <w:r>
        <w:t xml:space="preserve">, ff. 1, 3, 4; </w:t>
      </w:r>
      <w:hyperlink w:anchor="SENTENCIA_2024_4" w:history="1">
        <w:r w:rsidRPr="00601EEA">
          <w:rPr>
            <w:rStyle w:val="TextoNormalCaracter"/>
          </w:rPr>
          <w:t>4/2024</w:t>
        </w:r>
      </w:hyperlink>
      <w:r>
        <w:t xml:space="preserve">, ff. 1, 2; </w:t>
      </w:r>
      <w:hyperlink w:anchor="SENTENCIA_2024_5" w:history="1">
        <w:r w:rsidRPr="00601EEA">
          <w:rPr>
            <w:rStyle w:val="TextoNormalCaracter"/>
          </w:rPr>
          <w:t>5/2024</w:t>
        </w:r>
      </w:hyperlink>
      <w:r>
        <w:t xml:space="preserve">, f. 2; </w:t>
      </w:r>
      <w:hyperlink w:anchor="SENTENCIA_2024_6" w:history="1">
        <w:r w:rsidRPr="00601EEA">
          <w:rPr>
            <w:rStyle w:val="TextoNormalCaracter"/>
          </w:rPr>
          <w:t>6/2024</w:t>
        </w:r>
      </w:hyperlink>
      <w:r>
        <w:t xml:space="preserve">, f. 2; </w:t>
      </w:r>
      <w:hyperlink w:anchor="SENTENCIA_2024_7" w:history="1">
        <w:r w:rsidRPr="00601EEA">
          <w:rPr>
            <w:rStyle w:val="TextoNormalCaracter"/>
          </w:rPr>
          <w:t>7/2024</w:t>
        </w:r>
      </w:hyperlink>
      <w:r>
        <w:t xml:space="preserve">, ff. 1, 2; </w:t>
      </w:r>
      <w:hyperlink w:anchor="SENTENCIA_2024_9" w:history="1">
        <w:r w:rsidRPr="00601EEA">
          <w:rPr>
            <w:rStyle w:val="TextoNormalCaracter"/>
          </w:rPr>
          <w:t>9/2024</w:t>
        </w:r>
      </w:hyperlink>
      <w:r>
        <w:t xml:space="preserve">, ff. 1 a 6, VP I, VP II; </w:t>
      </w:r>
      <w:hyperlink w:anchor="SENTENCIA_2024_12" w:history="1">
        <w:r w:rsidRPr="00601EEA">
          <w:rPr>
            <w:rStyle w:val="TextoNormalCaracter"/>
          </w:rPr>
          <w:t>12/2024</w:t>
        </w:r>
      </w:hyperlink>
      <w:r>
        <w:t xml:space="preserve">, f. 1; </w:t>
      </w:r>
      <w:hyperlink w:anchor="SENTENCIA_2024_13" w:history="1">
        <w:r w:rsidRPr="00601EEA">
          <w:rPr>
            <w:rStyle w:val="TextoNormalCaracter"/>
          </w:rPr>
          <w:t>13/2024</w:t>
        </w:r>
      </w:hyperlink>
      <w:r>
        <w:t xml:space="preserve">, f. 2; </w:t>
      </w:r>
      <w:hyperlink w:anchor="SENTENCIA_2024_14" w:history="1">
        <w:r w:rsidRPr="00601EEA">
          <w:rPr>
            <w:rStyle w:val="TextoNormalCaracter"/>
          </w:rPr>
          <w:t>14/2024</w:t>
        </w:r>
      </w:hyperlink>
      <w:r>
        <w:t xml:space="preserve">, ff. 2, 3; </w:t>
      </w:r>
      <w:hyperlink w:anchor="SENTENCIA_2024_15" w:history="1">
        <w:r w:rsidRPr="00601EEA">
          <w:rPr>
            <w:rStyle w:val="TextoNormalCaracter"/>
          </w:rPr>
          <w:t>15/2024</w:t>
        </w:r>
      </w:hyperlink>
      <w:r>
        <w:t xml:space="preserve">, f. 3; </w:t>
      </w:r>
      <w:hyperlink w:anchor="SENTENCIA_2024_17" w:history="1">
        <w:r w:rsidRPr="00601EEA">
          <w:rPr>
            <w:rStyle w:val="TextoNormalCaracter"/>
          </w:rPr>
          <w:t>17/2024</w:t>
        </w:r>
      </w:hyperlink>
      <w:r>
        <w:t xml:space="preserve">, ff. 1 a 3; </w:t>
      </w:r>
      <w:hyperlink w:anchor="SENTENCIA_2024_21" w:history="1">
        <w:r w:rsidRPr="00601EEA">
          <w:rPr>
            <w:rStyle w:val="TextoNormalCaracter"/>
          </w:rPr>
          <w:t>21/2024</w:t>
        </w:r>
      </w:hyperlink>
      <w:r>
        <w:t xml:space="preserve">, ff. 1, 4; </w:t>
      </w:r>
      <w:hyperlink w:anchor="SENTENCIA_2024_23" w:history="1">
        <w:r w:rsidRPr="00601EEA">
          <w:rPr>
            <w:rStyle w:val="TextoNormalCaracter"/>
          </w:rPr>
          <w:t>23/2024</w:t>
        </w:r>
      </w:hyperlink>
      <w:r>
        <w:t xml:space="preserve">, ff. 1, 2; </w:t>
      </w:r>
      <w:hyperlink w:anchor="SENTENCIA_2024_27" w:history="1">
        <w:r w:rsidRPr="00601EEA">
          <w:rPr>
            <w:rStyle w:val="TextoNormalCaracter"/>
          </w:rPr>
          <w:t>27/2024</w:t>
        </w:r>
      </w:hyperlink>
      <w:r>
        <w:t xml:space="preserve">, ff. 1 a 4; </w:t>
      </w:r>
      <w:hyperlink w:anchor="SENTENCIA_2024_28" w:history="1">
        <w:r w:rsidRPr="00601EEA">
          <w:rPr>
            <w:rStyle w:val="TextoNormalCaracter"/>
          </w:rPr>
          <w:t>28/2024</w:t>
        </w:r>
      </w:hyperlink>
      <w:r>
        <w:t xml:space="preserve">, ff. 1, 3 a 6, VP; </w:t>
      </w:r>
      <w:hyperlink w:anchor="SENTENCIA_2024_33" w:history="1">
        <w:r w:rsidRPr="00601EEA">
          <w:rPr>
            <w:rStyle w:val="TextoNormalCaracter"/>
          </w:rPr>
          <w:t>33/2024</w:t>
        </w:r>
      </w:hyperlink>
      <w:r>
        <w:t xml:space="preserve">, ff. 1, 2; </w:t>
      </w:r>
      <w:hyperlink w:anchor="SENTENCIA_2024_34" w:history="1">
        <w:r w:rsidRPr="00601EEA">
          <w:rPr>
            <w:rStyle w:val="TextoNormalCaracter"/>
          </w:rPr>
          <w:t>34/2024</w:t>
        </w:r>
      </w:hyperlink>
      <w:r>
        <w:t xml:space="preserve">, f. 1; </w:t>
      </w:r>
      <w:hyperlink w:anchor="SENTENCIA_2024_35" w:history="1">
        <w:r w:rsidRPr="00601EEA">
          <w:rPr>
            <w:rStyle w:val="TextoNormalCaracter"/>
          </w:rPr>
          <w:t>35/2024</w:t>
        </w:r>
      </w:hyperlink>
      <w:r>
        <w:t xml:space="preserve">, ff. 1 a 3, VP; </w:t>
      </w:r>
      <w:hyperlink w:anchor="SENTENCIA_2024_36" w:history="1">
        <w:r w:rsidRPr="00601EEA">
          <w:rPr>
            <w:rStyle w:val="TextoNormalCaracter"/>
          </w:rPr>
          <w:t>36/2024</w:t>
        </w:r>
      </w:hyperlink>
      <w:r>
        <w:t xml:space="preserve">, ff. 1 a 3, 6; </w:t>
      </w:r>
      <w:hyperlink w:anchor="SENTENCIA_2024_37" w:history="1">
        <w:r w:rsidRPr="00601EEA">
          <w:rPr>
            <w:rStyle w:val="TextoNormalCaracter"/>
          </w:rPr>
          <w:t>37/2024</w:t>
        </w:r>
      </w:hyperlink>
      <w:r>
        <w:t xml:space="preserve">, </w:t>
      </w:r>
      <w:r>
        <w:lastRenderedPageBreak/>
        <w:t xml:space="preserve">ff. 1, 2, VP; </w:t>
      </w:r>
      <w:hyperlink w:anchor="SENTENCIA_2024_38" w:history="1">
        <w:r w:rsidRPr="00601EEA">
          <w:rPr>
            <w:rStyle w:val="TextoNormalCaracter"/>
          </w:rPr>
          <w:t>38/2024</w:t>
        </w:r>
      </w:hyperlink>
      <w:r>
        <w:t xml:space="preserve">, ff. 1, 2; </w:t>
      </w:r>
      <w:hyperlink w:anchor="SENTENCIA_2024_39" w:history="1">
        <w:r w:rsidRPr="00601EEA">
          <w:rPr>
            <w:rStyle w:val="TextoNormalCaracter"/>
          </w:rPr>
          <w:t>39/2024</w:t>
        </w:r>
      </w:hyperlink>
      <w:r>
        <w:t xml:space="preserve">, ff. 1 a 5; </w:t>
      </w:r>
      <w:hyperlink w:anchor="SENTENCIA_2024_40" w:history="1">
        <w:r w:rsidRPr="00601EEA">
          <w:rPr>
            <w:rStyle w:val="TextoNormalCaracter"/>
          </w:rPr>
          <w:t>40/2024</w:t>
        </w:r>
      </w:hyperlink>
      <w:r>
        <w:t xml:space="preserve">, ff. 1, 4; </w:t>
      </w:r>
      <w:hyperlink w:anchor="SENTENCIA_2024_41" w:history="1">
        <w:r w:rsidRPr="00601EEA">
          <w:rPr>
            <w:rStyle w:val="TextoNormalCaracter"/>
          </w:rPr>
          <w:t>41/2024</w:t>
        </w:r>
      </w:hyperlink>
      <w:r>
        <w:t xml:space="preserve">, f. 2; </w:t>
      </w:r>
      <w:hyperlink w:anchor="SENTENCIA_2024_42" w:history="1">
        <w:r w:rsidRPr="00601EEA">
          <w:rPr>
            <w:rStyle w:val="TextoNormalCaracter"/>
          </w:rPr>
          <w:t>42/2024</w:t>
        </w:r>
      </w:hyperlink>
      <w:r>
        <w:t xml:space="preserve">, f. 1, VP; </w:t>
      </w:r>
      <w:hyperlink w:anchor="SENTENCIA_2024_43" w:history="1">
        <w:r w:rsidRPr="00601EEA">
          <w:rPr>
            <w:rStyle w:val="TextoNormalCaracter"/>
          </w:rPr>
          <w:t>43/2024</w:t>
        </w:r>
      </w:hyperlink>
      <w:r>
        <w:t xml:space="preserve">, ff. 1 a 3, 6, VP I; </w:t>
      </w:r>
      <w:hyperlink w:anchor="SENTENCIA_2024_47" w:history="1">
        <w:r w:rsidRPr="00601EEA">
          <w:rPr>
            <w:rStyle w:val="TextoNormalCaracter"/>
          </w:rPr>
          <w:t>47/2024</w:t>
        </w:r>
      </w:hyperlink>
      <w:r>
        <w:t xml:space="preserve">, ff. 2 a 4; </w:t>
      </w:r>
      <w:hyperlink w:anchor="SENTENCIA_2024_48" w:history="1">
        <w:r w:rsidRPr="00601EEA">
          <w:rPr>
            <w:rStyle w:val="TextoNormalCaracter"/>
          </w:rPr>
          <w:t>48/2024</w:t>
        </w:r>
      </w:hyperlink>
      <w:r>
        <w:t xml:space="preserve">, ff. 1, 2, 4 a 6, VP II; </w:t>
      </w:r>
      <w:hyperlink w:anchor="SENTENCIA_2024_49" w:history="1">
        <w:r w:rsidRPr="00601EEA">
          <w:rPr>
            <w:rStyle w:val="TextoNormalCaracter"/>
          </w:rPr>
          <w:t>49/2024</w:t>
        </w:r>
      </w:hyperlink>
      <w:r>
        <w:t xml:space="preserve">, ff. 1, 2; </w:t>
      </w:r>
      <w:hyperlink w:anchor="SENTENCIA_2024_50" w:history="1">
        <w:r w:rsidRPr="00601EEA">
          <w:rPr>
            <w:rStyle w:val="TextoNormalCaracter"/>
          </w:rPr>
          <w:t>50/2024</w:t>
        </w:r>
      </w:hyperlink>
      <w:r>
        <w:t xml:space="preserve">, ff. 1, 2, 4, 5; </w:t>
      </w:r>
      <w:hyperlink w:anchor="SENTENCIA_2024_51" w:history="1">
        <w:r w:rsidRPr="00601EEA">
          <w:rPr>
            <w:rStyle w:val="TextoNormalCaracter"/>
          </w:rPr>
          <w:t>51/2024</w:t>
        </w:r>
      </w:hyperlink>
      <w:r>
        <w:t xml:space="preserve">, f. 1; </w:t>
      </w:r>
      <w:hyperlink w:anchor="SENTENCIA_2024_52" w:history="1">
        <w:r w:rsidRPr="00601EEA">
          <w:rPr>
            <w:rStyle w:val="TextoNormalCaracter"/>
          </w:rPr>
          <w:t>52/2024</w:t>
        </w:r>
      </w:hyperlink>
      <w:r>
        <w:t xml:space="preserve">, f. 1; </w:t>
      </w:r>
      <w:hyperlink w:anchor="SENTENCIA_2024_53" w:history="1">
        <w:r w:rsidRPr="00601EEA">
          <w:rPr>
            <w:rStyle w:val="TextoNormalCaracter"/>
          </w:rPr>
          <w:t>53/2024</w:t>
        </w:r>
      </w:hyperlink>
      <w:r>
        <w:t xml:space="preserve">, ff. 1 a 3, 5; </w:t>
      </w:r>
      <w:hyperlink w:anchor="SENTENCIA_2024_54" w:history="1">
        <w:r w:rsidRPr="00601EEA">
          <w:rPr>
            <w:rStyle w:val="TextoNormalCaracter"/>
          </w:rPr>
          <w:t>54/2024</w:t>
        </w:r>
      </w:hyperlink>
      <w:r>
        <w:t xml:space="preserve">, ff. 1 a 3; </w:t>
      </w:r>
      <w:hyperlink w:anchor="SENTENCIA_2024_55" w:history="1">
        <w:r w:rsidRPr="00601EEA">
          <w:rPr>
            <w:rStyle w:val="TextoNormalCaracter"/>
          </w:rPr>
          <w:t>55/2024</w:t>
        </w:r>
      </w:hyperlink>
      <w:r>
        <w:t xml:space="preserve">, ff. 1, 3, 4; </w:t>
      </w:r>
      <w:hyperlink w:anchor="SENTENCIA_2024_56" w:history="1">
        <w:r w:rsidRPr="00601EEA">
          <w:rPr>
            <w:rStyle w:val="TextoNormalCaracter"/>
          </w:rPr>
          <w:t>56/2024</w:t>
        </w:r>
      </w:hyperlink>
      <w:r>
        <w:t xml:space="preserve">, f. 2; </w:t>
      </w:r>
      <w:hyperlink w:anchor="SENTENCIA_2024_57" w:history="1">
        <w:r w:rsidRPr="00601EEA">
          <w:rPr>
            <w:rStyle w:val="TextoNormalCaracter"/>
          </w:rPr>
          <w:t>57/2024</w:t>
        </w:r>
      </w:hyperlink>
      <w:r>
        <w:t xml:space="preserve">, f. 1; </w:t>
      </w:r>
      <w:hyperlink w:anchor="SENTENCIA_2024_58" w:history="1">
        <w:r w:rsidRPr="00601EEA">
          <w:rPr>
            <w:rStyle w:val="TextoNormalCaracter"/>
          </w:rPr>
          <w:t>58/2024</w:t>
        </w:r>
      </w:hyperlink>
      <w:r>
        <w:t xml:space="preserve">, f. 2; </w:t>
      </w:r>
      <w:hyperlink w:anchor="SENTENCIA_2024_59" w:history="1">
        <w:r w:rsidRPr="00601EEA">
          <w:rPr>
            <w:rStyle w:val="TextoNormalCaracter"/>
          </w:rPr>
          <w:t>59/2024</w:t>
        </w:r>
      </w:hyperlink>
      <w:r>
        <w:t xml:space="preserve">, f. 2; </w:t>
      </w:r>
      <w:hyperlink w:anchor="SENTENCIA_2024_60" w:history="1">
        <w:r w:rsidRPr="00601EEA">
          <w:rPr>
            <w:rStyle w:val="TextoNormalCaracter"/>
          </w:rPr>
          <w:t>60/2024</w:t>
        </w:r>
      </w:hyperlink>
      <w:r>
        <w:t xml:space="preserve">, f. 2; </w:t>
      </w:r>
      <w:hyperlink w:anchor="SENTENCIA_2024_61" w:history="1">
        <w:r w:rsidRPr="00601EEA">
          <w:rPr>
            <w:rStyle w:val="TextoNormalCaracter"/>
          </w:rPr>
          <w:t>61/2024</w:t>
        </w:r>
      </w:hyperlink>
      <w:r>
        <w:t xml:space="preserve">, ff. 1 a 4, VP; </w:t>
      </w:r>
      <w:hyperlink w:anchor="SENTENCIA_2024_62" w:history="1">
        <w:r w:rsidRPr="00601EEA">
          <w:rPr>
            <w:rStyle w:val="TextoNormalCaracter"/>
          </w:rPr>
          <w:t>62/2024</w:t>
        </w:r>
      </w:hyperlink>
      <w:r>
        <w:t xml:space="preserve">, ff. 1, 2; </w:t>
      </w:r>
      <w:hyperlink w:anchor="SENTENCIA_2024_66" w:history="1">
        <w:r w:rsidRPr="00601EEA">
          <w:rPr>
            <w:rStyle w:val="TextoNormalCaracter"/>
          </w:rPr>
          <w:t>66/2024</w:t>
        </w:r>
      </w:hyperlink>
      <w:r>
        <w:t xml:space="preserve">, ff. 1 a 6; </w:t>
      </w:r>
      <w:hyperlink w:anchor="SENTENCIA_2024_70" w:history="1">
        <w:r w:rsidRPr="00601EEA">
          <w:rPr>
            <w:rStyle w:val="TextoNormalCaracter"/>
          </w:rPr>
          <w:t>70/2024</w:t>
        </w:r>
      </w:hyperlink>
      <w:r>
        <w:t xml:space="preserve">, ff. 1, 3 a 5; </w:t>
      </w:r>
      <w:hyperlink w:anchor="SENTENCIA_2024_71" w:history="1">
        <w:r w:rsidRPr="00601EEA">
          <w:rPr>
            <w:rStyle w:val="TextoNormalCaracter"/>
          </w:rPr>
          <w:t>71/2024</w:t>
        </w:r>
      </w:hyperlink>
      <w:r>
        <w:t xml:space="preserve">, f. único; </w:t>
      </w:r>
      <w:hyperlink w:anchor="SENTENCIA_2024_72" w:history="1">
        <w:r w:rsidRPr="00601EEA">
          <w:rPr>
            <w:rStyle w:val="TextoNormalCaracter"/>
          </w:rPr>
          <w:t>72/2024</w:t>
        </w:r>
      </w:hyperlink>
      <w:r>
        <w:t xml:space="preserve">, ff. 1, 3, 4, 6, 7, VP; </w:t>
      </w:r>
      <w:hyperlink w:anchor="SENTENCIA_2024_77" w:history="1">
        <w:r w:rsidRPr="00601EEA">
          <w:rPr>
            <w:rStyle w:val="TextoNormalCaracter"/>
          </w:rPr>
          <w:t>77/2024</w:t>
        </w:r>
      </w:hyperlink>
      <w:r>
        <w:t xml:space="preserve">, ff. 1 a 4; </w:t>
      </w:r>
      <w:hyperlink w:anchor="SENTENCIA_2024_78" w:history="1">
        <w:r w:rsidRPr="00601EEA">
          <w:rPr>
            <w:rStyle w:val="TextoNormalCaracter"/>
          </w:rPr>
          <w:t>78/2024</w:t>
        </w:r>
      </w:hyperlink>
      <w:r>
        <w:t xml:space="preserve">, f. único; </w:t>
      </w:r>
      <w:hyperlink w:anchor="SENTENCIA_2024_80" w:history="1">
        <w:r w:rsidRPr="00601EEA">
          <w:rPr>
            <w:rStyle w:val="TextoNormalCaracter"/>
          </w:rPr>
          <w:t>80/2024</w:t>
        </w:r>
      </w:hyperlink>
      <w:r>
        <w:t xml:space="preserve">, ff. 1, 4 a 6; </w:t>
      </w:r>
      <w:hyperlink w:anchor="SENTENCIA_2024_81" w:history="1">
        <w:r w:rsidRPr="00601EEA">
          <w:rPr>
            <w:rStyle w:val="TextoNormalCaracter"/>
          </w:rPr>
          <w:t>81/2024</w:t>
        </w:r>
      </w:hyperlink>
      <w:r>
        <w:t xml:space="preserve">, f. 1; </w:t>
      </w:r>
      <w:hyperlink w:anchor="SENTENCIA_2024_82" w:history="1">
        <w:r w:rsidRPr="00601EEA">
          <w:rPr>
            <w:rStyle w:val="TextoNormalCaracter"/>
          </w:rPr>
          <w:t>82/2024</w:t>
        </w:r>
      </w:hyperlink>
      <w:r>
        <w:t xml:space="preserve">, ff. 1, 3, 4; </w:t>
      </w:r>
      <w:hyperlink w:anchor="SENTENCIA_2024_83" w:history="1">
        <w:r w:rsidRPr="00601EEA">
          <w:rPr>
            <w:rStyle w:val="TextoNormalCaracter"/>
          </w:rPr>
          <w:t>83/2024</w:t>
        </w:r>
      </w:hyperlink>
      <w:r>
        <w:t xml:space="preserve">, f. 2; </w:t>
      </w:r>
      <w:hyperlink w:anchor="SENTENCIA_2024_84" w:history="1">
        <w:r w:rsidRPr="00601EEA">
          <w:rPr>
            <w:rStyle w:val="TextoNormalCaracter"/>
          </w:rPr>
          <w:t>84/2024</w:t>
        </w:r>
      </w:hyperlink>
      <w:r>
        <w:t xml:space="preserve">, f. 1; </w:t>
      </w:r>
      <w:hyperlink w:anchor="SENTENCIA_2024_85" w:history="1">
        <w:r w:rsidRPr="00601EEA">
          <w:rPr>
            <w:rStyle w:val="TextoNormalCaracter"/>
          </w:rPr>
          <w:t>85/2024</w:t>
        </w:r>
      </w:hyperlink>
      <w:r>
        <w:t xml:space="preserve">, f. 2; </w:t>
      </w:r>
      <w:hyperlink w:anchor="SENTENCIA_2024_87" w:history="1">
        <w:r w:rsidRPr="00601EEA">
          <w:rPr>
            <w:rStyle w:val="TextoNormalCaracter"/>
          </w:rPr>
          <w:t>87/2024</w:t>
        </w:r>
      </w:hyperlink>
      <w:r>
        <w:t xml:space="preserve">, f. 1, VP III; </w:t>
      </w:r>
      <w:hyperlink w:anchor="SENTENCIA_2024_90" w:history="1">
        <w:r w:rsidRPr="00601EEA">
          <w:rPr>
            <w:rStyle w:val="TextoNormalCaracter"/>
          </w:rPr>
          <w:t>90/2024</w:t>
        </w:r>
      </w:hyperlink>
      <w:r>
        <w:t xml:space="preserve">, ff. 1, 2; </w:t>
      </w:r>
      <w:hyperlink w:anchor="SENTENCIA_2024_92" w:history="1">
        <w:r w:rsidRPr="00601EEA">
          <w:rPr>
            <w:rStyle w:val="TextoNormalCaracter"/>
          </w:rPr>
          <w:t>92/2024</w:t>
        </w:r>
      </w:hyperlink>
      <w:r>
        <w:t>, f. 6.</w:t>
      </w:r>
    </w:p>
    <w:p w14:paraId="42ABFF4D" w14:textId="41EF6624" w:rsidR="00601EEA" w:rsidRDefault="00601EEA" w:rsidP="00601EEA">
      <w:pPr>
        <w:pStyle w:val="SangriaIzquierdaArticulo"/>
      </w:pPr>
      <w:r>
        <w:t xml:space="preserve">Autos </w:t>
      </w:r>
      <w:hyperlink w:anchor="AUTO_2024_17" w:history="1">
        <w:r w:rsidRPr="00601EEA">
          <w:rPr>
            <w:rStyle w:val="TextoNormalCaracter"/>
          </w:rPr>
          <w:t>17/2024</w:t>
        </w:r>
      </w:hyperlink>
      <w:r>
        <w:t xml:space="preserve">, f. 1; </w:t>
      </w:r>
      <w:hyperlink w:anchor="AUTO_2024_20" w:history="1">
        <w:r w:rsidRPr="00601EEA">
          <w:rPr>
            <w:rStyle w:val="TextoNormalCaracter"/>
          </w:rPr>
          <w:t>20/2024</w:t>
        </w:r>
      </w:hyperlink>
      <w:r>
        <w:t xml:space="preserve">, f. 1; </w:t>
      </w:r>
      <w:hyperlink w:anchor="AUTO_2024_29" w:history="1">
        <w:r w:rsidRPr="00601EEA">
          <w:rPr>
            <w:rStyle w:val="TextoNormalCaracter"/>
          </w:rPr>
          <w:t>29/2024</w:t>
        </w:r>
      </w:hyperlink>
      <w:r>
        <w:t xml:space="preserve">, f. 2; </w:t>
      </w:r>
      <w:hyperlink w:anchor="AUTO_2024_53" w:history="1">
        <w:r w:rsidRPr="00601EEA">
          <w:rPr>
            <w:rStyle w:val="TextoNormalCaracter"/>
          </w:rPr>
          <w:t>53/2024</w:t>
        </w:r>
      </w:hyperlink>
      <w:r>
        <w:t xml:space="preserve">, f. 2; </w:t>
      </w:r>
      <w:hyperlink w:anchor="AUTO_2024_57" w:history="1">
        <w:r w:rsidRPr="00601EEA">
          <w:rPr>
            <w:rStyle w:val="TextoNormalCaracter"/>
          </w:rPr>
          <w:t>57/2024</w:t>
        </w:r>
      </w:hyperlink>
      <w:r>
        <w:t>, ff. 1, 4, VP II.</w:t>
      </w:r>
    </w:p>
    <w:p w14:paraId="7B504219" w14:textId="39BE1475" w:rsidR="00601EEA" w:rsidRDefault="00601EEA" w:rsidP="00601EEA">
      <w:pPr>
        <w:pStyle w:val="SangriaFrancesaArticulo"/>
      </w:pPr>
      <w:r w:rsidRPr="00601EEA">
        <w:rPr>
          <w:rStyle w:val="TextoNormalNegritaCaracter"/>
        </w:rPr>
        <w:t>Artículo 24.2.</w:t>
      </w:r>
      <w:r w:rsidRPr="00601EEA">
        <w:rPr>
          <w:rStyle w:val="TextoNormalCaracter"/>
        </w:rPr>
        <w:t>-</w:t>
      </w:r>
      <w:r>
        <w:t xml:space="preserve"> Sentencias </w:t>
      </w:r>
      <w:hyperlink w:anchor="SENTENCIA_2024_1" w:history="1">
        <w:r w:rsidRPr="00601EEA">
          <w:rPr>
            <w:rStyle w:val="TextoNormalCaracter"/>
          </w:rPr>
          <w:t>1/2024</w:t>
        </w:r>
      </w:hyperlink>
      <w:r>
        <w:t xml:space="preserve">, f. 1; </w:t>
      </w:r>
      <w:hyperlink w:anchor="SENTENCIA_2024_5" w:history="1">
        <w:r w:rsidRPr="00601EEA">
          <w:rPr>
            <w:rStyle w:val="TextoNormalCaracter"/>
          </w:rPr>
          <w:t>5/2024</w:t>
        </w:r>
      </w:hyperlink>
      <w:r>
        <w:t xml:space="preserve">, f. 2; </w:t>
      </w:r>
      <w:hyperlink w:anchor="SENTENCIA_2024_6" w:history="1">
        <w:r w:rsidRPr="00601EEA">
          <w:rPr>
            <w:rStyle w:val="TextoNormalCaracter"/>
          </w:rPr>
          <w:t>6/2024</w:t>
        </w:r>
      </w:hyperlink>
      <w:r>
        <w:t xml:space="preserve">, f. 2; </w:t>
      </w:r>
      <w:hyperlink w:anchor="SENTENCIA_2024_8" w:history="1">
        <w:r w:rsidRPr="00601EEA">
          <w:rPr>
            <w:rStyle w:val="TextoNormalCaracter"/>
          </w:rPr>
          <w:t>8/2024</w:t>
        </w:r>
      </w:hyperlink>
      <w:r>
        <w:t xml:space="preserve">, ff. 1, 3, 4, VP II; </w:t>
      </w:r>
      <w:hyperlink w:anchor="SENTENCIA_2024_9" w:history="1">
        <w:r w:rsidRPr="00601EEA">
          <w:rPr>
            <w:rStyle w:val="TextoNormalCaracter"/>
          </w:rPr>
          <w:t>9/2024</w:t>
        </w:r>
      </w:hyperlink>
      <w:r>
        <w:t xml:space="preserve">, ff. 4, 5; </w:t>
      </w:r>
      <w:hyperlink w:anchor="SENTENCIA_2024_13" w:history="1">
        <w:r w:rsidRPr="00601EEA">
          <w:rPr>
            <w:rStyle w:val="TextoNormalCaracter"/>
          </w:rPr>
          <w:t>13/2024</w:t>
        </w:r>
      </w:hyperlink>
      <w:r>
        <w:t xml:space="preserve">, f. 2; </w:t>
      </w:r>
      <w:hyperlink w:anchor="SENTENCIA_2024_17" w:history="1">
        <w:r w:rsidRPr="00601EEA">
          <w:rPr>
            <w:rStyle w:val="TextoNormalCaracter"/>
          </w:rPr>
          <w:t>17/2024</w:t>
        </w:r>
      </w:hyperlink>
      <w:r>
        <w:t xml:space="preserve">, f. 1; </w:t>
      </w:r>
      <w:hyperlink w:anchor="SENTENCIA_2024_36" w:history="1">
        <w:r w:rsidRPr="00601EEA">
          <w:rPr>
            <w:rStyle w:val="TextoNormalCaracter"/>
          </w:rPr>
          <w:t>36/2024</w:t>
        </w:r>
      </w:hyperlink>
      <w:r>
        <w:t xml:space="preserve">, ff. 1 a 3; </w:t>
      </w:r>
      <w:hyperlink w:anchor="SENTENCIA_2024_40" w:history="1">
        <w:r w:rsidRPr="00601EEA">
          <w:rPr>
            <w:rStyle w:val="TextoNormalCaracter"/>
          </w:rPr>
          <w:t>40/2024</w:t>
        </w:r>
      </w:hyperlink>
      <w:r>
        <w:t xml:space="preserve">, f. 5; </w:t>
      </w:r>
      <w:hyperlink w:anchor="SENTENCIA_2024_43" w:history="1">
        <w:r w:rsidRPr="00601EEA">
          <w:rPr>
            <w:rStyle w:val="TextoNormalCaracter"/>
          </w:rPr>
          <w:t>43/2024</w:t>
        </w:r>
      </w:hyperlink>
      <w:r>
        <w:t xml:space="preserve">, ff. 1 a 3, VPI; </w:t>
      </w:r>
      <w:hyperlink w:anchor="SENTENCIA_2024_47" w:history="1">
        <w:r w:rsidRPr="00601EEA">
          <w:rPr>
            <w:rStyle w:val="TextoNormalCaracter"/>
          </w:rPr>
          <w:t>47/2024</w:t>
        </w:r>
      </w:hyperlink>
      <w:r>
        <w:t xml:space="preserve">, f. 1; </w:t>
      </w:r>
      <w:hyperlink w:anchor="SENTENCIA_2024_48" w:history="1">
        <w:r w:rsidRPr="00601EEA">
          <w:rPr>
            <w:rStyle w:val="TextoNormalCaracter"/>
          </w:rPr>
          <w:t>48/2024</w:t>
        </w:r>
      </w:hyperlink>
      <w:r>
        <w:t xml:space="preserve">, VP II; </w:t>
      </w:r>
      <w:hyperlink w:anchor="SENTENCIA_2024_54" w:history="1">
        <w:r w:rsidRPr="00601EEA">
          <w:rPr>
            <w:rStyle w:val="TextoNormalCaracter"/>
          </w:rPr>
          <w:t>54/2024</w:t>
        </w:r>
      </w:hyperlink>
      <w:r>
        <w:t xml:space="preserve">, f. 1; </w:t>
      </w:r>
      <w:hyperlink w:anchor="SENTENCIA_2024_59" w:history="1">
        <w:r w:rsidRPr="00601EEA">
          <w:rPr>
            <w:rStyle w:val="TextoNormalCaracter"/>
          </w:rPr>
          <w:t>59/2024</w:t>
        </w:r>
      </w:hyperlink>
      <w:r>
        <w:t xml:space="preserve">, f. 2; </w:t>
      </w:r>
      <w:hyperlink w:anchor="SENTENCIA_2024_62" w:history="1">
        <w:r w:rsidRPr="00601EEA">
          <w:rPr>
            <w:rStyle w:val="TextoNormalCaracter"/>
          </w:rPr>
          <w:t>62/2024</w:t>
        </w:r>
      </w:hyperlink>
      <w:r>
        <w:t xml:space="preserve">, ff. 1, 2; </w:t>
      </w:r>
      <w:hyperlink w:anchor="SENTENCIA_2024_66" w:history="1">
        <w:r w:rsidRPr="00601EEA">
          <w:rPr>
            <w:rStyle w:val="TextoNormalCaracter"/>
          </w:rPr>
          <w:t>66/2024</w:t>
        </w:r>
      </w:hyperlink>
      <w:r>
        <w:t xml:space="preserve">, f. 2; </w:t>
      </w:r>
      <w:hyperlink w:anchor="SENTENCIA_2024_72" w:history="1">
        <w:r w:rsidRPr="00601EEA">
          <w:rPr>
            <w:rStyle w:val="TextoNormalCaracter"/>
          </w:rPr>
          <w:t>72/2024</w:t>
        </w:r>
      </w:hyperlink>
      <w:r>
        <w:t xml:space="preserve">, ff. 1, 4, 5, 7, VP; </w:t>
      </w:r>
      <w:hyperlink w:anchor="SENTENCIA_2024_77" w:history="1">
        <w:r w:rsidRPr="00601EEA">
          <w:rPr>
            <w:rStyle w:val="TextoNormalCaracter"/>
          </w:rPr>
          <w:t>77/2024</w:t>
        </w:r>
      </w:hyperlink>
      <w:r>
        <w:t xml:space="preserve">, ff. 1 a 3; </w:t>
      </w:r>
      <w:hyperlink w:anchor="SENTENCIA_2024_80" w:history="1">
        <w:r w:rsidRPr="00601EEA">
          <w:rPr>
            <w:rStyle w:val="TextoNormalCaracter"/>
          </w:rPr>
          <w:t>80/2024</w:t>
        </w:r>
      </w:hyperlink>
      <w:r>
        <w:t xml:space="preserve">, ff. 1, 3 a 6; </w:t>
      </w:r>
      <w:hyperlink w:anchor="SENTENCIA_2024_83" w:history="1">
        <w:r w:rsidRPr="00601EEA">
          <w:rPr>
            <w:rStyle w:val="TextoNormalCaracter"/>
          </w:rPr>
          <w:t>83/2024</w:t>
        </w:r>
      </w:hyperlink>
      <w:r>
        <w:t xml:space="preserve">, f. 2; </w:t>
      </w:r>
      <w:hyperlink w:anchor="SENTENCIA_2024_84" w:history="1">
        <w:r w:rsidRPr="00601EEA">
          <w:rPr>
            <w:rStyle w:val="TextoNormalCaracter"/>
          </w:rPr>
          <w:t>84/2024</w:t>
        </w:r>
      </w:hyperlink>
      <w:r>
        <w:t xml:space="preserve">, f. 1; </w:t>
      </w:r>
      <w:hyperlink w:anchor="SENTENCIA_2024_85" w:history="1">
        <w:r w:rsidRPr="00601EEA">
          <w:rPr>
            <w:rStyle w:val="TextoNormalCaracter"/>
          </w:rPr>
          <w:t>85/2024</w:t>
        </w:r>
      </w:hyperlink>
      <w:r>
        <w:t xml:space="preserve">, ff. 1, 3; </w:t>
      </w:r>
      <w:hyperlink w:anchor="SENTENCIA_2024_87" w:history="1">
        <w:r w:rsidRPr="00601EEA">
          <w:rPr>
            <w:rStyle w:val="TextoNormalCaracter"/>
          </w:rPr>
          <w:t>87/2024</w:t>
        </w:r>
      </w:hyperlink>
      <w:r>
        <w:t xml:space="preserve">, ff. 1 a 3, VP III; </w:t>
      </w:r>
      <w:hyperlink w:anchor="SENTENCIA_2024_90" w:history="1">
        <w:r w:rsidRPr="00601EEA">
          <w:rPr>
            <w:rStyle w:val="TextoNormalCaracter"/>
          </w:rPr>
          <w:t>90/2024</w:t>
        </w:r>
      </w:hyperlink>
      <w:r>
        <w:t>, ff. 1, 2.</w:t>
      </w:r>
    </w:p>
    <w:p w14:paraId="392FD87B" w14:textId="7DE0E959" w:rsidR="00601EEA" w:rsidRDefault="00601EEA" w:rsidP="00601EEA">
      <w:pPr>
        <w:pStyle w:val="SangriaIzquierdaArticulo"/>
      </w:pPr>
      <w:r>
        <w:t xml:space="preserve">Autos </w:t>
      </w:r>
      <w:hyperlink w:anchor="AUTO_2024_9" w:history="1">
        <w:r w:rsidRPr="00601EEA">
          <w:rPr>
            <w:rStyle w:val="TextoNormalCaracter"/>
          </w:rPr>
          <w:t>9/2024</w:t>
        </w:r>
      </w:hyperlink>
      <w:r>
        <w:t xml:space="preserve">, f. 2; </w:t>
      </w:r>
      <w:hyperlink w:anchor="AUTO_2024_17" w:history="1">
        <w:r w:rsidRPr="00601EEA">
          <w:rPr>
            <w:rStyle w:val="TextoNormalCaracter"/>
          </w:rPr>
          <w:t>17/2024</w:t>
        </w:r>
      </w:hyperlink>
      <w:r>
        <w:t xml:space="preserve">, f. 1; </w:t>
      </w:r>
      <w:hyperlink w:anchor="AUTO_2024_49" w:history="1">
        <w:r w:rsidRPr="00601EEA">
          <w:rPr>
            <w:rStyle w:val="TextoNormalCaracter"/>
          </w:rPr>
          <w:t>49/2024</w:t>
        </w:r>
      </w:hyperlink>
      <w:r>
        <w:t xml:space="preserve">, ff. 2, 3; </w:t>
      </w:r>
      <w:hyperlink w:anchor="AUTO_2024_51" w:history="1">
        <w:r w:rsidRPr="00601EEA">
          <w:rPr>
            <w:rStyle w:val="TextoNormalCaracter"/>
          </w:rPr>
          <w:t>51/2024</w:t>
        </w:r>
      </w:hyperlink>
      <w:r>
        <w:t>, f. 4.</w:t>
      </w:r>
    </w:p>
    <w:p w14:paraId="27592273" w14:textId="46A48BD6" w:rsidR="00601EEA" w:rsidRDefault="00601EEA" w:rsidP="00601EEA">
      <w:pPr>
        <w:pStyle w:val="SangriaFrancesaArticulo"/>
      </w:pPr>
      <w:r w:rsidRPr="00601EEA">
        <w:rPr>
          <w:rStyle w:val="TextoNormalNegritaCaracter"/>
        </w:rPr>
        <w:t>Artículo 24.2</w:t>
      </w:r>
      <w:r>
        <w:t xml:space="preserve"> (derecho a la asistencia de letrado)</w:t>
      </w:r>
      <w:r w:rsidRPr="00601EEA">
        <w:rPr>
          <w:rStyle w:val="TextoNormalNegritaCaracter"/>
        </w:rPr>
        <w:t>.</w:t>
      </w:r>
      <w:r w:rsidRPr="00601EEA">
        <w:rPr>
          <w:rStyle w:val="TextoNormalCaracter"/>
        </w:rPr>
        <w:t>-</w:t>
      </w:r>
      <w:r>
        <w:t xml:space="preserve"> Sentencia </w:t>
      </w:r>
      <w:hyperlink w:anchor="SENTENCIA_2024_66" w:history="1">
        <w:r w:rsidRPr="00601EEA">
          <w:rPr>
            <w:rStyle w:val="TextoNormalCaracter"/>
          </w:rPr>
          <w:t>66/2024</w:t>
        </w:r>
      </w:hyperlink>
      <w:r>
        <w:t>, f. 2.</w:t>
      </w:r>
    </w:p>
    <w:p w14:paraId="5C1FD81F" w14:textId="612F1C47" w:rsidR="00601EEA" w:rsidRDefault="00601EEA" w:rsidP="00601EEA">
      <w:pPr>
        <w:pStyle w:val="SangriaFrancesaArticulo"/>
      </w:pPr>
      <w:r w:rsidRPr="00601EEA">
        <w:rPr>
          <w:rStyle w:val="TextoNormalNegritaCaracter"/>
        </w:rPr>
        <w:t>Artículo 24.2</w:t>
      </w:r>
      <w:r>
        <w:t xml:space="preserve"> (derecho a la defensa)</w:t>
      </w:r>
      <w:r w:rsidRPr="00601EEA">
        <w:rPr>
          <w:rStyle w:val="TextoNormalNegritaCaracter"/>
        </w:rPr>
        <w:t>.</w:t>
      </w:r>
      <w:r w:rsidRPr="00601EEA">
        <w:rPr>
          <w:rStyle w:val="TextoNormalCaracter"/>
        </w:rPr>
        <w:t>-</w:t>
      </w:r>
      <w:r>
        <w:t xml:space="preserve"> Sentencias </w:t>
      </w:r>
      <w:hyperlink w:anchor="SENTENCIA_2024_42" w:history="1">
        <w:r w:rsidRPr="00601EEA">
          <w:rPr>
            <w:rStyle w:val="TextoNormalCaracter"/>
          </w:rPr>
          <w:t>42/2024</w:t>
        </w:r>
      </w:hyperlink>
      <w:r>
        <w:t xml:space="preserve">, f. 1; </w:t>
      </w:r>
      <w:hyperlink w:anchor="SENTENCIA_2024_53" w:history="1">
        <w:r w:rsidRPr="00601EEA">
          <w:rPr>
            <w:rStyle w:val="TextoNormalCaracter"/>
          </w:rPr>
          <w:t>53/2024</w:t>
        </w:r>
      </w:hyperlink>
      <w:r>
        <w:t xml:space="preserve">, f. 3; </w:t>
      </w:r>
      <w:hyperlink w:anchor="SENTENCIA_2024_66" w:history="1">
        <w:r w:rsidRPr="00601EEA">
          <w:rPr>
            <w:rStyle w:val="TextoNormalCaracter"/>
          </w:rPr>
          <w:t>66/2024</w:t>
        </w:r>
      </w:hyperlink>
      <w:r>
        <w:t>, f. 2.</w:t>
      </w:r>
    </w:p>
    <w:p w14:paraId="0436A8DB" w14:textId="598736E5" w:rsidR="00601EEA" w:rsidRDefault="00601EEA" w:rsidP="00601EEA">
      <w:pPr>
        <w:pStyle w:val="SangriaFrancesaArticulo"/>
      </w:pPr>
      <w:r w:rsidRPr="00601EEA">
        <w:rPr>
          <w:rStyle w:val="TextoNormalNegritaCaracter"/>
        </w:rPr>
        <w:t>Artículo 24.2</w:t>
      </w:r>
      <w:r>
        <w:t xml:space="preserve"> (derecho a la presunción de inocencia)</w:t>
      </w:r>
      <w:r w:rsidRPr="00601EEA">
        <w:rPr>
          <w:rStyle w:val="TextoNormalNegritaCaracter"/>
        </w:rPr>
        <w:t>.</w:t>
      </w:r>
      <w:r w:rsidRPr="00601EEA">
        <w:rPr>
          <w:rStyle w:val="TextoNormalCaracter"/>
        </w:rPr>
        <w:t>-</w:t>
      </w:r>
      <w:r>
        <w:t xml:space="preserve"> Sentencia </w:t>
      </w:r>
      <w:hyperlink w:anchor="SENTENCIA_2024_40" w:history="1">
        <w:r w:rsidRPr="00601EEA">
          <w:rPr>
            <w:rStyle w:val="TextoNormalCaracter"/>
          </w:rPr>
          <w:t>40/2024</w:t>
        </w:r>
      </w:hyperlink>
      <w:r>
        <w:t>, ff. 1, 5.</w:t>
      </w:r>
    </w:p>
    <w:p w14:paraId="5A47383D" w14:textId="45F2D858" w:rsidR="00601EEA" w:rsidRDefault="00601EEA" w:rsidP="00601EEA">
      <w:pPr>
        <w:pStyle w:val="SangriaFrancesaArticulo"/>
      </w:pPr>
      <w:r w:rsidRPr="00601EEA">
        <w:rPr>
          <w:rStyle w:val="TextoNormalNegritaCaracter"/>
        </w:rPr>
        <w:t>Artículo 24.2</w:t>
      </w:r>
      <w:r>
        <w:t xml:space="preserve"> (derecho a un proceso con todas las garantías)</w:t>
      </w:r>
      <w:r w:rsidRPr="00601EEA">
        <w:rPr>
          <w:rStyle w:val="TextoNormalNegritaCaracter"/>
        </w:rPr>
        <w:t>.</w:t>
      </w:r>
      <w:r w:rsidRPr="00601EEA">
        <w:rPr>
          <w:rStyle w:val="TextoNormalCaracter"/>
        </w:rPr>
        <w:t>-</w:t>
      </w:r>
      <w:r>
        <w:t xml:space="preserve"> Sentencias </w:t>
      </w:r>
      <w:hyperlink w:anchor="SENTENCIA_2024_34" w:history="1">
        <w:r w:rsidRPr="00601EEA">
          <w:rPr>
            <w:rStyle w:val="TextoNormalCaracter"/>
          </w:rPr>
          <w:t>34/2024</w:t>
        </w:r>
      </w:hyperlink>
      <w:r>
        <w:t xml:space="preserve">, ff. 1, 7; </w:t>
      </w:r>
      <w:hyperlink w:anchor="SENTENCIA_2024_37" w:history="1">
        <w:r w:rsidRPr="00601EEA">
          <w:rPr>
            <w:rStyle w:val="TextoNormalCaracter"/>
          </w:rPr>
          <w:t>37/2024</w:t>
        </w:r>
      </w:hyperlink>
      <w:r>
        <w:t xml:space="preserve">, ff. 1, 2, VP; </w:t>
      </w:r>
      <w:hyperlink w:anchor="SENTENCIA_2024_42" w:history="1">
        <w:r w:rsidRPr="00601EEA">
          <w:rPr>
            <w:rStyle w:val="TextoNormalCaracter"/>
          </w:rPr>
          <w:t>42/2024</w:t>
        </w:r>
      </w:hyperlink>
      <w:r>
        <w:t xml:space="preserve">, f. 1, VP; </w:t>
      </w:r>
      <w:hyperlink w:anchor="SENTENCIA_2024_51" w:history="1">
        <w:r w:rsidRPr="00601EEA">
          <w:rPr>
            <w:rStyle w:val="TextoNormalCaracter"/>
          </w:rPr>
          <w:t>51/2024</w:t>
        </w:r>
      </w:hyperlink>
      <w:r>
        <w:t xml:space="preserve">, f. 1; </w:t>
      </w:r>
      <w:hyperlink w:anchor="SENTENCIA_2024_52" w:history="1">
        <w:r w:rsidRPr="00601EEA">
          <w:rPr>
            <w:rStyle w:val="TextoNormalCaracter"/>
          </w:rPr>
          <w:t>52/2024</w:t>
        </w:r>
      </w:hyperlink>
      <w:r>
        <w:t xml:space="preserve">, f. 1; </w:t>
      </w:r>
      <w:hyperlink w:anchor="SENTENCIA_2024_57" w:history="1">
        <w:r w:rsidRPr="00601EEA">
          <w:rPr>
            <w:rStyle w:val="TextoNormalCaracter"/>
          </w:rPr>
          <w:t>57/2024</w:t>
        </w:r>
      </w:hyperlink>
      <w:r>
        <w:t xml:space="preserve">, f. 1; </w:t>
      </w:r>
      <w:hyperlink w:anchor="SENTENCIA_2024_66" w:history="1">
        <w:r w:rsidRPr="00601EEA">
          <w:rPr>
            <w:rStyle w:val="TextoNormalCaracter"/>
          </w:rPr>
          <w:t>66/2024</w:t>
        </w:r>
      </w:hyperlink>
      <w:r>
        <w:t>, ff. 1 a 5.</w:t>
      </w:r>
    </w:p>
    <w:p w14:paraId="58653558" w14:textId="1EBA39EF" w:rsidR="00601EEA" w:rsidRDefault="00601EEA" w:rsidP="00601EEA">
      <w:pPr>
        <w:pStyle w:val="SangriaFrancesaArticulo"/>
      </w:pPr>
      <w:r w:rsidRPr="00601EEA">
        <w:rPr>
          <w:rStyle w:val="TextoNormalNegritaCaracter"/>
        </w:rPr>
        <w:t>Artículo 25.</w:t>
      </w:r>
      <w:r w:rsidRPr="00601EEA">
        <w:rPr>
          <w:rStyle w:val="TextoNormalCaracter"/>
        </w:rPr>
        <w:t>-</w:t>
      </w:r>
      <w:r>
        <w:t xml:space="preserve"> Sentencias </w:t>
      </w:r>
      <w:hyperlink w:anchor="SENTENCIA_2024_8" w:history="1">
        <w:r w:rsidRPr="00601EEA">
          <w:rPr>
            <w:rStyle w:val="TextoNormalCaracter"/>
          </w:rPr>
          <w:t>8/2024</w:t>
        </w:r>
      </w:hyperlink>
      <w:r>
        <w:t xml:space="preserve">, VP I; </w:t>
      </w:r>
      <w:hyperlink w:anchor="SENTENCIA_2024_17" w:history="1">
        <w:r w:rsidRPr="00601EEA">
          <w:rPr>
            <w:rStyle w:val="TextoNormalCaracter"/>
          </w:rPr>
          <w:t>17/2024</w:t>
        </w:r>
      </w:hyperlink>
      <w:r>
        <w:t xml:space="preserve">, f. 4; </w:t>
      </w:r>
      <w:hyperlink w:anchor="SENTENCIA_2024_18" w:history="1">
        <w:r w:rsidRPr="00601EEA">
          <w:rPr>
            <w:rStyle w:val="TextoNormalCaracter"/>
          </w:rPr>
          <w:t>18/2024</w:t>
        </w:r>
      </w:hyperlink>
      <w:r>
        <w:t xml:space="preserve">, f. único; </w:t>
      </w:r>
      <w:hyperlink w:anchor="SENTENCIA_2024_49" w:history="1">
        <w:r w:rsidRPr="00601EEA">
          <w:rPr>
            <w:rStyle w:val="TextoNormalCaracter"/>
          </w:rPr>
          <w:t>49/2024</w:t>
        </w:r>
      </w:hyperlink>
      <w:r>
        <w:t>, f. 2.</w:t>
      </w:r>
    </w:p>
    <w:p w14:paraId="2569D262" w14:textId="062D3904" w:rsidR="00601EEA" w:rsidRDefault="00601EEA" w:rsidP="00601EEA">
      <w:pPr>
        <w:pStyle w:val="SangriaIzquierdaArticulo"/>
      </w:pPr>
      <w:r>
        <w:t xml:space="preserve">Auto </w:t>
      </w:r>
      <w:hyperlink w:anchor="AUTO_2024_21" w:history="1">
        <w:r w:rsidRPr="00601EEA">
          <w:rPr>
            <w:rStyle w:val="TextoNormalCaracter"/>
          </w:rPr>
          <w:t>21/2024</w:t>
        </w:r>
      </w:hyperlink>
      <w:r>
        <w:t>, f. 4.</w:t>
      </w:r>
    </w:p>
    <w:p w14:paraId="5895F9BF" w14:textId="17B24B71" w:rsidR="00601EEA" w:rsidRDefault="00601EEA" w:rsidP="00601EEA">
      <w:pPr>
        <w:pStyle w:val="SangriaFrancesaArticulo"/>
      </w:pPr>
      <w:r w:rsidRPr="00601EEA">
        <w:rPr>
          <w:rStyle w:val="TextoNormalNegritaCaracter"/>
        </w:rPr>
        <w:t>Artículo 25.1.</w:t>
      </w:r>
      <w:r w:rsidRPr="00601EEA">
        <w:rPr>
          <w:rStyle w:val="TextoNormalCaracter"/>
        </w:rPr>
        <w:t>-</w:t>
      </w:r>
      <w:r>
        <w:t xml:space="preserve"> Sentencias </w:t>
      </w:r>
      <w:hyperlink w:anchor="SENTENCIA_2024_8" w:history="1">
        <w:r w:rsidRPr="00601EEA">
          <w:rPr>
            <w:rStyle w:val="TextoNormalCaracter"/>
          </w:rPr>
          <w:t>8/2024</w:t>
        </w:r>
      </w:hyperlink>
      <w:r>
        <w:t xml:space="preserve">, ff. 1, 6, VP I; </w:t>
      </w:r>
      <w:hyperlink w:anchor="SENTENCIA_2024_9" w:history="1">
        <w:r w:rsidRPr="00601EEA">
          <w:rPr>
            <w:rStyle w:val="TextoNormalCaracter"/>
          </w:rPr>
          <w:t>9/2024</w:t>
        </w:r>
      </w:hyperlink>
      <w:r>
        <w:t xml:space="preserve">, f. 3; </w:t>
      </w:r>
      <w:hyperlink w:anchor="SENTENCIA_2024_18" w:history="1">
        <w:r w:rsidRPr="00601EEA">
          <w:rPr>
            <w:rStyle w:val="TextoNormalCaracter"/>
          </w:rPr>
          <w:t>18/2024</w:t>
        </w:r>
      </w:hyperlink>
      <w:r>
        <w:t xml:space="preserve">, VP; </w:t>
      </w:r>
      <w:hyperlink w:anchor="SENTENCIA_2024_34" w:history="1">
        <w:r w:rsidRPr="00601EEA">
          <w:rPr>
            <w:rStyle w:val="TextoNormalCaracter"/>
          </w:rPr>
          <w:t>34/2024</w:t>
        </w:r>
      </w:hyperlink>
      <w:r>
        <w:t xml:space="preserve">, f. 1; </w:t>
      </w:r>
      <w:hyperlink w:anchor="SENTENCIA_2024_48" w:history="1">
        <w:r w:rsidRPr="00601EEA">
          <w:rPr>
            <w:rStyle w:val="TextoNormalCaracter"/>
          </w:rPr>
          <w:t>48/2024</w:t>
        </w:r>
      </w:hyperlink>
      <w:r>
        <w:t xml:space="preserve">, VP II; </w:t>
      </w:r>
      <w:hyperlink w:anchor="SENTENCIA_2024_49" w:history="1">
        <w:r w:rsidRPr="00601EEA">
          <w:rPr>
            <w:rStyle w:val="TextoNormalCaracter"/>
          </w:rPr>
          <w:t>49/2024</w:t>
        </w:r>
      </w:hyperlink>
      <w:r>
        <w:t xml:space="preserve">, ff. 1 a 3; </w:t>
      </w:r>
      <w:hyperlink w:anchor="SENTENCIA_2024_63" w:history="1">
        <w:r w:rsidRPr="00601EEA">
          <w:rPr>
            <w:rStyle w:val="TextoNormalCaracter"/>
          </w:rPr>
          <w:t>63/2024</w:t>
        </w:r>
      </w:hyperlink>
      <w:r>
        <w:t xml:space="preserve">, f. 5; </w:t>
      </w:r>
      <w:hyperlink w:anchor="SENTENCIA_2024_69" w:history="1">
        <w:r w:rsidRPr="00601EEA">
          <w:rPr>
            <w:rStyle w:val="TextoNormalCaracter"/>
          </w:rPr>
          <w:t>69/2024</w:t>
        </w:r>
      </w:hyperlink>
      <w:r>
        <w:t xml:space="preserve">, ff. 1, 3 a 6; </w:t>
      </w:r>
      <w:hyperlink w:anchor="SENTENCIA_2024_72" w:history="1">
        <w:r w:rsidRPr="00601EEA">
          <w:rPr>
            <w:rStyle w:val="TextoNormalCaracter"/>
          </w:rPr>
          <w:t>72/2024</w:t>
        </w:r>
      </w:hyperlink>
      <w:r>
        <w:t xml:space="preserve">, f. 4; </w:t>
      </w:r>
      <w:hyperlink w:anchor="SENTENCIA_2024_74" w:history="1">
        <w:r w:rsidRPr="00601EEA">
          <w:rPr>
            <w:rStyle w:val="TextoNormalCaracter"/>
          </w:rPr>
          <w:t>74/2024</w:t>
        </w:r>
      </w:hyperlink>
      <w:r>
        <w:t xml:space="preserve">, f. 1; </w:t>
      </w:r>
      <w:hyperlink w:anchor="SENTENCIA_2024_75" w:history="1">
        <w:r w:rsidRPr="00601EEA">
          <w:rPr>
            <w:rStyle w:val="TextoNormalCaracter"/>
          </w:rPr>
          <w:t>75/2024</w:t>
        </w:r>
      </w:hyperlink>
      <w:r>
        <w:t xml:space="preserve">, ff. 1, 3, 4, VP II; </w:t>
      </w:r>
      <w:hyperlink w:anchor="SENTENCIA_2024_87" w:history="1">
        <w:r w:rsidRPr="00601EEA">
          <w:rPr>
            <w:rStyle w:val="TextoNormalCaracter"/>
          </w:rPr>
          <w:t>87/2024</w:t>
        </w:r>
      </w:hyperlink>
      <w:r>
        <w:t xml:space="preserve">, f. 3, VP III; </w:t>
      </w:r>
      <w:hyperlink w:anchor="SENTENCIA_2024_89" w:history="1">
        <w:r w:rsidRPr="00601EEA">
          <w:rPr>
            <w:rStyle w:val="TextoNormalCaracter"/>
          </w:rPr>
          <w:t>89/2024</w:t>
        </w:r>
      </w:hyperlink>
      <w:r>
        <w:t xml:space="preserve">, f. 5, VP III; </w:t>
      </w:r>
      <w:hyperlink w:anchor="SENTENCIA_2024_93" w:history="1">
        <w:r w:rsidRPr="00601EEA">
          <w:rPr>
            <w:rStyle w:val="TextoNormalCaracter"/>
          </w:rPr>
          <w:t>93/2024</w:t>
        </w:r>
      </w:hyperlink>
      <w:r>
        <w:t>, ff. 1, 3 a 5, VP I, VP II.</w:t>
      </w:r>
    </w:p>
    <w:p w14:paraId="3C987A14" w14:textId="2A35C11E" w:rsidR="00601EEA" w:rsidRDefault="00601EEA" w:rsidP="00601EEA">
      <w:pPr>
        <w:pStyle w:val="SangriaIzquierdaArticulo"/>
      </w:pPr>
      <w:r>
        <w:t xml:space="preserve">Auto </w:t>
      </w:r>
      <w:hyperlink w:anchor="AUTO_2024_57" w:history="1">
        <w:r w:rsidRPr="00601EEA">
          <w:rPr>
            <w:rStyle w:val="TextoNormalCaracter"/>
          </w:rPr>
          <w:t>57/2024</w:t>
        </w:r>
      </w:hyperlink>
      <w:r>
        <w:t>, ff. 4, 5.</w:t>
      </w:r>
    </w:p>
    <w:p w14:paraId="20B610EB" w14:textId="356D9FB7" w:rsidR="00601EEA" w:rsidRDefault="00601EEA" w:rsidP="00601EEA">
      <w:pPr>
        <w:pStyle w:val="SangriaFrancesaArticulo"/>
      </w:pPr>
      <w:r w:rsidRPr="00601EEA">
        <w:rPr>
          <w:rStyle w:val="TextoNormalNegritaCaracter"/>
        </w:rPr>
        <w:t>Artículo 25.2.</w:t>
      </w:r>
      <w:r w:rsidRPr="00601EEA">
        <w:rPr>
          <w:rStyle w:val="TextoNormalCaracter"/>
        </w:rPr>
        <w:t>-</w:t>
      </w:r>
      <w:r>
        <w:t xml:space="preserve"> Sentencia </w:t>
      </w:r>
      <w:hyperlink w:anchor="SENTENCIA_2024_53" w:history="1">
        <w:r w:rsidRPr="00601EEA">
          <w:rPr>
            <w:rStyle w:val="TextoNormalCaracter"/>
          </w:rPr>
          <w:t>53/2024</w:t>
        </w:r>
      </w:hyperlink>
      <w:r>
        <w:t>, ff. 1, 2, 4, 5.</w:t>
      </w:r>
    </w:p>
    <w:p w14:paraId="0A7BC750" w14:textId="05C1ADEB" w:rsidR="00601EEA" w:rsidRDefault="00601EEA" w:rsidP="00601EEA">
      <w:pPr>
        <w:pStyle w:val="SangriaFrancesaArticulo"/>
      </w:pPr>
      <w:r w:rsidRPr="00601EEA">
        <w:rPr>
          <w:rStyle w:val="TextoNormalNegritaCaracter"/>
        </w:rPr>
        <w:t>Artículo 27.</w:t>
      </w:r>
      <w:r w:rsidRPr="00601EEA">
        <w:rPr>
          <w:rStyle w:val="TextoNormalCaracter"/>
        </w:rPr>
        <w:t>-</w:t>
      </w:r>
      <w:r>
        <w:t xml:space="preserve"> Sentencias </w:t>
      </w:r>
      <w:hyperlink w:anchor="SENTENCIA_2024_79" w:history="1">
        <w:r w:rsidRPr="00601EEA">
          <w:rPr>
            <w:rStyle w:val="TextoNormalCaracter"/>
          </w:rPr>
          <w:t>79/2024</w:t>
        </w:r>
      </w:hyperlink>
      <w:r>
        <w:t xml:space="preserve">, VP; </w:t>
      </w:r>
      <w:hyperlink w:anchor="SENTENCIA_2024_89" w:history="1">
        <w:r w:rsidRPr="00601EEA">
          <w:rPr>
            <w:rStyle w:val="TextoNormalCaracter"/>
          </w:rPr>
          <w:t>89/2024</w:t>
        </w:r>
      </w:hyperlink>
      <w:r>
        <w:t xml:space="preserve">, f. 4, VP I; </w:t>
      </w:r>
      <w:hyperlink w:anchor="SENTENCIA_2024_92" w:history="1">
        <w:r w:rsidRPr="00601EEA">
          <w:rPr>
            <w:rStyle w:val="TextoNormalCaracter"/>
          </w:rPr>
          <w:t>92/2024</w:t>
        </w:r>
      </w:hyperlink>
      <w:r>
        <w:t>, f. 6.</w:t>
      </w:r>
    </w:p>
    <w:p w14:paraId="7A65B9EE" w14:textId="7AC0A6D2" w:rsidR="00601EEA" w:rsidRDefault="00601EEA" w:rsidP="00601EEA">
      <w:pPr>
        <w:pStyle w:val="SangriaFrancesaArticulo"/>
      </w:pPr>
      <w:r w:rsidRPr="00601EEA">
        <w:rPr>
          <w:rStyle w:val="TextoNormalNegritaCaracter"/>
        </w:rPr>
        <w:t>Artículo 27.1.</w:t>
      </w:r>
      <w:r w:rsidRPr="00601EEA">
        <w:rPr>
          <w:rStyle w:val="TextoNormalCaracter"/>
        </w:rPr>
        <w:t>-</w:t>
      </w:r>
      <w:r>
        <w:t xml:space="preserve"> Sentencia </w:t>
      </w:r>
      <w:hyperlink w:anchor="SENTENCIA_2024_26" w:history="1">
        <w:r w:rsidRPr="00601EEA">
          <w:rPr>
            <w:rStyle w:val="TextoNormalCaracter"/>
          </w:rPr>
          <w:t>26/2024</w:t>
        </w:r>
      </w:hyperlink>
      <w:r>
        <w:t>, ff. 2, VP I.</w:t>
      </w:r>
    </w:p>
    <w:p w14:paraId="166314AA" w14:textId="394F50FE" w:rsidR="00601EEA" w:rsidRDefault="00601EEA" w:rsidP="00601EEA">
      <w:pPr>
        <w:pStyle w:val="SangriaFrancesaArticulo"/>
      </w:pPr>
      <w:r w:rsidRPr="00601EEA">
        <w:rPr>
          <w:rStyle w:val="TextoNormalNegritaCaracter"/>
        </w:rPr>
        <w:t>Artículo 27.2.</w:t>
      </w:r>
      <w:r w:rsidRPr="00601EEA">
        <w:rPr>
          <w:rStyle w:val="TextoNormalCaracter"/>
        </w:rPr>
        <w:t>-</w:t>
      </w:r>
      <w:r>
        <w:t xml:space="preserve"> Sentencias </w:t>
      </w:r>
      <w:hyperlink w:anchor="SENTENCIA_2024_26" w:history="1">
        <w:r w:rsidRPr="00601EEA">
          <w:rPr>
            <w:rStyle w:val="TextoNormalCaracter"/>
          </w:rPr>
          <w:t>26/2024</w:t>
        </w:r>
      </w:hyperlink>
      <w:r>
        <w:t xml:space="preserve">, f. 2, VP I, VP II; </w:t>
      </w:r>
      <w:hyperlink w:anchor="SENTENCIA_2024_92" w:history="1">
        <w:r w:rsidRPr="00601EEA">
          <w:rPr>
            <w:rStyle w:val="TextoNormalCaracter"/>
          </w:rPr>
          <w:t>92/2024</w:t>
        </w:r>
      </w:hyperlink>
      <w:r>
        <w:t>, f. 5.</w:t>
      </w:r>
    </w:p>
    <w:p w14:paraId="66B3124B" w14:textId="66309D6B" w:rsidR="00601EEA" w:rsidRDefault="00601EEA" w:rsidP="00601EEA">
      <w:pPr>
        <w:pStyle w:val="SangriaFrancesaArticulo"/>
      </w:pPr>
      <w:r w:rsidRPr="00601EEA">
        <w:rPr>
          <w:rStyle w:val="TextoNormalNegritaCaracter"/>
        </w:rPr>
        <w:t>Artículo 27.3.</w:t>
      </w:r>
      <w:r w:rsidRPr="00601EEA">
        <w:rPr>
          <w:rStyle w:val="TextoNormalCaracter"/>
        </w:rPr>
        <w:t>-</w:t>
      </w:r>
      <w:r>
        <w:t xml:space="preserve"> Sentencias </w:t>
      </w:r>
      <w:hyperlink w:anchor="SENTENCIA_2024_26" w:history="1">
        <w:r w:rsidRPr="00601EEA">
          <w:rPr>
            <w:rStyle w:val="TextoNormalCaracter"/>
          </w:rPr>
          <w:t>26/2024</w:t>
        </w:r>
      </w:hyperlink>
      <w:r>
        <w:t xml:space="preserve">, ff. 1, 2, 4, 5, VP I; </w:t>
      </w:r>
      <w:hyperlink w:anchor="SENTENCIA_2024_89" w:history="1">
        <w:r w:rsidRPr="00601EEA">
          <w:rPr>
            <w:rStyle w:val="TextoNormalCaracter"/>
          </w:rPr>
          <w:t>89/2024</w:t>
        </w:r>
      </w:hyperlink>
      <w:r>
        <w:t xml:space="preserve">, ff. 4, VP I, VP II; </w:t>
      </w:r>
      <w:hyperlink w:anchor="SENTENCIA_2024_92" w:history="1">
        <w:r w:rsidRPr="00601EEA">
          <w:rPr>
            <w:rStyle w:val="TextoNormalCaracter"/>
          </w:rPr>
          <w:t>92/2024</w:t>
        </w:r>
      </w:hyperlink>
      <w:r>
        <w:t>, ff. 1, 5, 6, VP I.</w:t>
      </w:r>
    </w:p>
    <w:p w14:paraId="53BFA364" w14:textId="38A19C49" w:rsidR="00601EEA" w:rsidRDefault="00601EEA" w:rsidP="00601EEA">
      <w:pPr>
        <w:pStyle w:val="SangriaFrancesaArticulo"/>
      </w:pPr>
      <w:r w:rsidRPr="00601EEA">
        <w:rPr>
          <w:rStyle w:val="TextoNormalNegritaCaracter"/>
        </w:rPr>
        <w:t>Artículo 27.6.</w:t>
      </w:r>
      <w:r w:rsidRPr="00601EEA">
        <w:rPr>
          <w:rStyle w:val="TextoNormalCaracter"/>
        </w:rPr>
        <w:t>-</w:t>
      </w:r>
      <w:r>
        <w:t xml:space="preserve"> Sentencias </w:t>
      </w:r>
      <w:hyperlink w:anchor="SENTENCIA_2024_26" w:history="1">
        <w:r w:rsidRPr="00601EEA">
          <w:rPr>
            <w:rStyle w:val="TextoNormalCaracter"/>
          </w:rPr>
          <w:t>26/2024</w:t>
        </w:r>
      </w:hyperlink>
      <w:r>
        <w:t xml:space="preserve">, f. 2; </w:t>
      </w:r>
      <w:hyperlink w:anchor="SENTENCIA_2024_89" w:history="1">
        <w:r w:rsidRPr="00601EEA">
          <w:rPr>
            <w:rStyle w:val="TextoNormalCaracter"/>
          </w:rPr>
          <w:t>89/2024</w:t>
        </w:r>
      </w:hyperlink>
      <w:r>
        <w:t>, VP I.</w:t>
      </w:r>
    </w:p>
    <w:p w14:paraId="5125131F" w14:textId="76A34541" w:rsidR="00601EEA" w:rsidRDefault="00601EEA" w:rsidP="00601EEA">
      <w:pPr>
        <w:pStyle w:val="SangriaFrancesaArticulo"/>
      </w:pPr>
      <w:r w:rsidRPr="00601EEA">
        <w:rPr>
          <w:rStyle w:val="TextoNormalNegritaCaracter"/>
        </w:rPr>
        <w:t>Artículo 27.8.</w:t>
      </w:r>
      <w:r w:rsidRPr="00601EEA">
        <w:rPr>
          <w:rStyle w:val="TextoNormalCaracter"/>
        </w:rPr>
        <w:t>-</w:t>
      </w:r>
      <w:r>
        <w:t xml:space="preserve"> Sentencia </w:t>
      </w:r>
      <w:hyperlink w:anchor="SENTENCIA_2024_92" w:history="1">
        <w:r w:rsidRPr="00601EEA">
          <w:rPr>
            <w:rStyle w:val="TextoNormalCaracter"/>
          </w:rPr>
          <w:t>92/2024</w:t>
        </w:r>
      </w:hyperlink>
      <w:r>
        <w:t>, f. 5.</w:t>
      </w:r>
    </w:p>
    <w:p w14:paraId="074A6FDB" w14:textId="3C63EEE3" w:rsidR="00601EEA" w:rsidRDefault="00601EEA" w:rsidP="00601EEA">
      <w:pPr>
        <w:pStyle w:val="SangriaFrancesaArticulo"/>
      </w:pPr>
      <w:r w:rsidRPr="00601EEA">
        <w:rPr>
          <w:rStyle w:val="TextoNormalNegritaCaracter"/>
        </w:rPr>
        <w:t>Artículo 27.9.</w:t>
      </w:r>
      <w:r w:rsidRPr="00601EEA">
        <w:rPr>
          <w:rStyle w:val="TextoNormalCaracter"/>
        </w:rPr>
        <w:t>-</w:t>
      </w:r>
      <w:r>
        <w:t xml:space="preserve"> Sentencias </w:t>
      </w:r>
      <w:hyperlink w:anchor="SENTENCIA_2024_89" w:history="1">
        <w:r w:rsidRPr="00601EEA">
          <w:rPr>
            <w:rStyle w:val="TextoNormalCaracter"/>
          </w:rPr>
          <w:t>89/2024</w:t>
        </w:r>
      </w:hyperlink>
      <w:r>
        <w:t xml:space="preserve">, f. 4, VP I, VP III; </w:t>
      </w:r>
      <w:hyperlink w:anchor="SENTENCIA_2024_92" w:history="1">
        <w:r w:rsidRPr="00601EEA">
          <w:rPr>
            <w:rStyle w:val="TextoNormalCaracter"/>
          </w:rPr>
          <w:t>92/2024</w:t>
        </w:r>
      </w:hyperlink>
      <w:r>
        <w:t>, f. 4.</w:t>
      </w:r>
    </w:p>
    <w:p w14:paraId="4064291B" w14:textId="3C528A4F" w:rsidR="00601EEA" w:rsidRDefault="00601EEA" w:rsidP="00601EEA">
      <w:pPr>
        <w:pStyle w:val="SangriaFrancesaArticulo"/>
      </w:pPr>
      <w:r w:rsidRPr="00601EEA">
        <w:rPr>
          <w:rStyle w:val="TextoNormalNegritaCaracter"/>
        </w:rPr>
        <w:t>Artículo 28.</w:t>
      </w:r>
      <w:r w:rsidRPr="00601EEA">
        <w:rPr>
          <w:rStyle w:val="TextoNormalCaracter"/>
        </w:rPr>
        <w:t>-</w:t>
      </w:r>
      <w:r>
        <w:t xml:space="preserve"> Sentencia </w:t>
      </w:r>
      <w:hyperlink w:anchor="SENTENCIA_2024_63" w:history="1">
        <w:r w:rsidRPr="00601EEA">
          <w:rPr>
            <w:rStyle w:val="TextoNormalCaracter"/>
          </w:rPr>
          <w:t>63/2024</w:t>
        </w:r>
      </w:hyperlink>
      <w:r>
        <w:t>, ff. 1, 2, 4, 5.</w:t>
      </w:r>
    </w:p>
    <w:p w14:paraId="0492C3CD" w14:textId="3DBD39FF" w:rsidR="00601EEA" w:rsidRDefault="00601EEA" w:rsidP="00601EEA">
      <w:pPr>
        <w:pStyle w:val="SangriaFrancesaArticulo"/>
      </w:pPr>
      <w:r w:rsidRPr="00601EEA">
        <w:rPr>
          <w:rStyle w:val="TextoNormalNegritaCaracter"/>
        </w:rPr>
        <w:t>Artículo 28.1.</w:t>
      </w:r>
      <w:r w:rsidRPr="00601EEA">
        <w:rPr>
          <w:rStyle w:val="TextoNormalCaracter"/>
        </w:rPr>
        <w:t>-</w:t>
      </w:r>
      <w:r>
        <w:t xml:space="preserve"> Sentencia </w:t>
      </w:r>
      <w:hyperlink w:anchor="SENTENCIA_2024_63" w:history="1">
        <w:r w:rsidRPr="00601EEA">
          <w:rPr>
            <w:rStyle w:val="TextoNormalCaracter"/>
          </w:rPr>
          <w:t>63/2024</w:t>
        </w:r>
      </w:hyperlink>
      <w:r>
        <w:t>, ff. 4, 5.</w:t>
      </w:r>
    </w:p>
    <w:p w14:paraId="45956FE3" w14:textId="3215FB09" w:rsidR="00601EEA" w:rsidRDefault="00601EEA" w:rsidP="00601EEA">
      <w:pPr>
        <w:pStyle w:val="SangriaFrancesaArticulo"/>
      </w:pPr>
      <w:r w:rsidRPr="00601EEA">
        <w:rPr>
          <w:rStyle w:val="TextoNormalNegritaCaracter"/>
        </w:rPr>
        <w:t>Artículo 29.</w:t>
      </w:r>
      <w:r w:rsidRPr="00601EEA">
        <w:rPr>
          <w:rStyle w:val="TextoNormalCaracter"/>
        </w:rPr>
        <w:t>-</w:t>
      </w:r>
      <w:r>
        <w:t xml:space="preserve"> Sentencia </w:t>
      </w:r>
      <w:hyperlink w:anchor="SENTENCIA_2024_89" w:history="1">
        <w:r w:rsidRPr="00601EEA">
          <w:rPr>
            <w:rStyle w:val="TextoNormalCaracter"/>
          </w:rPr>
          <w:t>89/2024</w:t>
        </w:r>
      </w:hyperlink>
      <w:r>
        <w:t>, VP II.</w:t>
      </w:r>
    </w:p>
    <w:p w14:paraId="0F8CF032" w14:textId="7F651D3F" w:rsidR="00601EEA" w:rsidRDefault="00601EEA" w:rsidP="00601EEA">
      <w:pPr>
        <w:pStyle w:val="SangriaFrancesaArticulo"/>
      </w:pPr>
      <w:r w:rsidRPr="00601EEA">
        <w:rPr>
          <w:rStyle w:val="TextoNormalNegritaCaracter"/>
        </w:rPr>
        <w:t>Artículo 31.1.</w:t>
      </w:r>
      <w:r w:rsidRPr="00601EEA">
        <w:rPr>
          <w:rStyle w:val="TextoNormalCaracter"/>
        </w:rPr>
        <w:t>-</w:t>
      </w:r>
      <w:r>
        <w:t xml:space="preserve"> Sentencias </w:t>
      </w:r>
      <w:hyperlink w:anchor="SENTENCIA_2024_11" w:history="1">
        <w:r w:rsidRPr="00601EEA">
          <w:rPr>
            <w:rStyle w:val="TextoNormalCaracter"/>
          </w:rPr>
          <w:t>11/2024</w:t>
        </w:r>
      </w:hyperlink>
      <w:r>
        <w:t xml:space="preserve">, ff. 2 a 4, VP; </w:t>
      </w:r>
      <w:hyperlink w:anchor="SENTENCIA_2024_16" w:history="1">
        <w:r w:rsidRPr="00601EEA">
          <w:rPr>
            <w:rStyle w:val="TextoNormalCaracter"/>
          </w:rPr>
          <w:t>16/2024</w:t>
        </w:r>
      </w:hyperlink>
      <w:r>
        <w:t xml:space="preserve">, ff. 1, 2; </w:t>
      </w:r>
      <w:hyperlink w:anchor="SENTENCIA_2024_46" w:history="1">
        <w:r w:rsidRPr="00601EEA">
          <w:rPr>
            <w:rStyle w:val="TextoNormalCaracter"/>
          </w:rPr>
          <w:t>46/2024</w:t>
        </w:r>
      </w:hyperlink>
      <w:r>
        <w:t xml:space="preserve">, ff. 1, 3; </w:t>
      </w:r>
      <w:hyperlink w:anchor="SENTENCIA_2024_69" w:history="1">
        <w:r w:rsidRPr="00601EEA">
          <w:rPr>
            <w:rStyle w:val="TextoNormalCaracter"/>
          </w:rPr>
          <w:t>69/2024</w:t>
        </w:r>
      </w:hyperlink>
      <w:r>
        <w:t>, f. 4.</w:t>
      </w:r>
    </w:p>
    <w:p w14:paraId="53DCC5A7" w14:textId="732C7BA4" w:rsidR="00601EEA" w:rsidRDefault="00601EEA" w:rsidP="00601EEA">
      <w:pPr>
        <w:pStyle w:val="SangriaIzquierdaArticulo"/>
      </w:pPr>
      <w:r>
        <w:t xml:space="preserve">Auto </w:t>
      </w:r>
      <w:hyperlink w:anchor="AUTO_2024_58" w:history="1">
        <w:r w:rsidRPr="00601EEA">
          <w:rPr>
            <w:rStyle w:val="TextoNormalCaracter"/>
          </w:rPr>
          <w:t>58/2024</w:t>
        </w:r>
      </w:hyperlink>
      <w:r>
        <w:t>, f. 1.</w:t>
      </w:r>
    </w:p>
    <w:p w14:paraId="29384522" w14:textId="6B676352" w:rsidR="00601EEA" w:rsidRDefault="00601EEA" w:rsidP="00601EEA">
      <w:pPr>
        <w:pStyle w:val="SangriaFrancesaArticulo"/>
      </w:pPr>
      <w:r w:rsidRPr="00601EEA">
        <w:rPr>
          <w:rStyle w:val="TextoNormalNegritaCaracter"/>
        </w:rPr>
        <w:t>Artículo 31.1</w:t>
      </w:r>
      <w:r>
        <w:t xml:space="preserve"> (capacidad económica)</w:t>
      </w:r>
      <w:r w:rsidRPr="00601EEA">
        <w:rPr>
          <w:rStyle w:val="TextoNormalNegritaCaracter"/>
        </w:rPr>
        <w:t>.</w:t>
      </w:r>
      <w:r w:rsidRPr="00601EEA">
        <w:rPr>
          <w:rStyle w:val="TextoNormalCaracter"/>
        </w:rPr>
        <w:t>-</w:t>
      </w:r>
      <w:r>
        <w:t xml:space="preserve"> Sentencia </w:t>
      </w:r>
      <w:hyperlink w:anchor="SENTENCIA_2024_11" w:history="1">
        <w:r w:rsidRPr="00601EEA">
          <w:rPr>
            <w:rStyle w:val="TextoNormalCaracter"/>
          </w:rPr>
          <w:t>11/2024</w:t>
        </w:r>
      </w:hyperlink>
      <w:r>
        <w:t>, f. 1.</w:t>
      </w:r>
    </w:p>
    <w:p w14:paraId="2289BBDF" w14:textId="44D96AA6" w:rsidR="00601EEA" w:rsidRDefault="00601EEA" w:rsidP="00601EEA">
      <w:pPr>
        <w:pStyle w:val="SangriaFrancesaArticulo"/>
      </w:pPr>
      <w:r w:rsidRPr="00601EEA">
        <w:rPr>
          <w:rStyle w:val="TextoNormalNegritaCaracter"/>
        </w:rPr>
        <w:lastRenderedPageBreak/>
        <w:t>Artículo 31.3.</w:t>
      </w:r>
      <w:r w:rsidRPr="00601EEA">
        <w:rPr>
          <w:rStyle w:val="TextoNormalCaracter"/>
        </w:rPr>
        <w:t>-</w:t>
      </w:r>
      <w:r>
        <w:t xml:space="preserve"> Sentencia </w:t>
      </w:r>
      <w:hyperlink w:anchor="SENTENCIA_2024_11" w:history="1">
        <w:r w:rsidRPr="00601EEA">
          <w:rPr>
            <w:rStyle w:val="TextoNormalCaracter"/>
          </w:rPr>
          <w:t>11/2024</w:t>
        </w:r>
      </w:hyperlink>
      <w:r>
        <w:t>, f. 2.</w:t>
      </w:r>
    </w:p>
    <w:p w14:paraId="626A476B" w14:textId="5F100CCE" w:rsidR="00601EEA" w:rsidRDefault="00601EEA" w:rsidP="00601EEA">
      <w:pPr>
        <w:pStyle w:val="SangriaFrancesaArticulo"/>
      </w:pPr>
      <w:r w:rsidRPr="00601EEA">
        <w:rPr>
          <w:rStyle w:val="TextoNormalNegritaCaracter"/>
        </w:rPr>
        <w:t>Artículo 32.1.</w:t>
      </w:r>
      <w:r w:rsidRPr="00601EEA">
        <w:rPr>
          <w:rStyle w:val="TextoNormalCaracter"/>
        </w:rPr>
        <w:t>-</w:t>
      </w:r>
      <w:r>
        <w:t xml:space="preserve"> Sentencia </w:t>
      </w:r>
      <w:hyperlink w:anchor="SENTENCIA_2024_63" w:history="1">
        <w:r w:rsidRPr="00601EEA">
          <w:rPr>
            <w:rStyle w:val="TextoNormalCaracter"/>
          </w:rPr>
          <w:t>63/2024</w:t>
        </w:r>
      </w:hyperlink>
      <w:r>
        <w:t>, f. 2.</w:t>
      </w:r>
    </w:p>
    <w:p w14:paraId="2671DE72" w14:textId="08171A84" w:rsidR="00601EEA" w:rsidRDefault="00601EEA" w:rsidP="00601EEA">
      <w:pPr>
        <w:pStyle w:val="SangriaFrancesaArticulo"/>
      </w:pPr>
      <w:r w:rsidRPr="00601EEA">
        <w:rPr>
          <w:rStyle w:val="TextoNormalNegritaCaracter"/>
        </w:rPr>
        <w:t>Artículo 33.</w:t>
      </w:r>
      <w:r w:rsidRPr="00601EEA">
        <w:rPr>
          <w:rStyle w:val="TextoNormalCaracter"/>
        </w:rPr>
        <w:t>-</w:t>
      </w:r>
      <w:r>
        <w:t xml:space="preserve"> Sentencias </w:t>
      </w:r>
      <w:hyperlink w:anchor="SENTENCIA_2024_7" w:history="1">
        <w:r w:rsidRPr="00601EEA">
          <w:rPr>
            <w:rStyle w:val="TextoNormalCaracter"/>
          </w:rPr>
          <w:t>7/2024</w:t>
        </w:r>
      </w:hyperlink>
      <w:r>
        <w:t xml:space="preserve">, ff. 1, 2, 5 a 7, VP; </w:t>
      </w:r>
      <w:hyperlink w:anchor="SENTENCIA_2024_53" w:history="1">
        <w:r w:rsidRPr="00601EEA">
          <w:rPr>
            <w:rStyle w:val="TextoNormalCaracter"/>
          </w:rPr>
          <w:t>53/2024</w:t>
        </w:r>
      </w:hyperlink>
      <w:r>
        <w:t xml:space="preserve">, ff. 1, 2; </w:t>
      </w:r>
      <w:hyperlink w:anchor="SENTENCIA_2024_79" w:history="1">
        <w:r w:rsidRPr="00601EEA">
          <w:rPr>
            <w:rStyle w:val="TextoNormalCaracter"/>
          </w:rPr>
          <w:t>79/2024</w:t>
        </w:r>
      </w:hyperlink>
      <w:r>
        <w:t>, VP.</w:t>
      </w:r>
    </w:p>
    <w:p w14:paraId="7A2D40C6" w14:textId="70CCE7DE" w:rsidR="00601EEA" w:rsidRDefault="00601EEA" w:rsidP="00601EEA">
      <w:pPr>
        <w:pStyle w:val="SangriaFrancesaArticulo"/>
      </w:pPr>
      <w:r w:rsidRPr="00601EEA">
        <w:rPr>
          <w:rStyle w:val="TextoNormalNegritaCaracter"/>
        </w:rPr>
        <w:t>Artículo 33.1.</w:t>
      </w:r>
      <w:r w:rsidRPr="00601EEA">
        <w:rPr>
          <w:rStyle w:val="TextoNormalCaracter"/>
        </w:rPr>
        <w:t>-</w:t>
      </w:r>
      <w:r>
        <w:t xml:space="preserve"> Sentencias </w:t>
      </w:r>
      <w:hyperlink w:anchor="SENTENCIA_2024_68" w:history="1">
        <w:r w:rsidRPr="00601EEA">
          <w:rPr>
            <w:rStyle w:val="TextoNormalCaracter"/>
          </w:rPr>
          <w:t>68/2024</w:t>
        </w:r>
      </w:hyperlink>
      <w:r>
        <w:t xml:space="preserve">, f. 5; </w:t>
      </w:r>
      <w:hyperlink w:anchor="SENTENCIA_2024_79" w:history="1">
        <w:r w:rsidRPr="00601EEA">
          <w:rPr>
            <w:rStyle w:val="TextoNormalCaracter"/>
          </w:rPr>
          <w:t>79/2024</w:t>
        </w:r>
      </w:hyperlink>
      <w:r>
        <w:t>, f. 3.</w:t>
      </w:r>
    </w:p>
    <w:p w14:paraId="4D0E055B" w14:textId="38A9F811" w:rsidR="00601EEA" w:rsidRDefault="00601EEA" w:rsidP="00601EEA">
      <w:pPr>
        <w:pStyle w:val="SangriaFrancesaArticulo"/>
      </w:pPr>
      <w:r w:rsidRPr="00601EEA">
        <w:rPr>
          <w:rStyle w:val="TextoNormalNegritaCaracter"/>
        </w:rPr>
        <w:t>Artículo 33.2.</w:t>
      </w:r>
      <w:r w:rsidRPr="00601EEA">
        <w:rPr>
          <w:rStyle w:val="TextoNormalCaracter"/>
        </w:rPr>
        <w:t>-</w:t>
      </w:r>
      <w:r>
        <w:t xml:space="preserve"> Sentencias </w:t>
      </w:r>
      <w:hyperlink w:anchor="SENTENCIA_2024_68" w:history="1">
        <w:r w:rsidRPr="00601EEA">
          <w:rPr>
            <w:rStyle w:val="TextoNormalCaracter"/>
          </w:rPr>
          <w:t>68/2024</w:t>
        </w:r>
      </w:hyperlink>
      <w:r>
        <w:t xml:space="preserve">, f. 5; </w:t>
      </w:r>
      <w:hyperlink w:anchor="SENTENCIA_2024_79" w:history="1">
        <w:r w:rsidRPr="00601EEA">
          <w:rPr>
            <w:rStyle w:val="TextoNormalCaracter"/>
          </w:rPr>
          <w:t>79/2024</w:t>
        </w:r>
      </w:hyperlink>
      <w:r>
        <w:t>, ff. 3, 6.</w:t>
      </w:r>
    </w:p>
    <w:p w14:paraId="64C83C00" w14:textId="0C379556" w:rsidR="00601EEA" w:rsidRDefault="00601EEA" w:rsidP="00601EEA">
      <w:pPr>
        <w:pStyle w:val="SangriaFrancesaArticulo"/>
      </w:pPr>
      <w:r w:rsidRPr="00601EEA">
        <w:rPr>
          <w:rStyle w:val="TextoNormalNegritaCaracter"/>
        </w:rPr>
        <w:t>Artículo 33.3.</w:t>
      </w:r>
      <w:r w:rsidRPr="00601EEA">
        <w:rPr>
          <w:rStyle w:val="TextoNormalCaracter"/>
        </w:rPr>
        <w:t>-</w:t>
      </w:r>
      <w:r>
        <w:t xml:space="preserve"> Sentencia </w:t>
      </w:r>
      <w:hyperlink w:anchor="SENTENCIA_2024_7" w:history="1">
        <w:r w:rsidRPr="00601EEA">
          <w:rPr>
            <w:rStyle w:val="TextoNormalCaracter"/>
          </w:rPr>
          <w:t>7/2024</w:t>
        </w:r>
      </w:hyperlink>
      <w:r>
        <w:t>, VP.</w:t>
      </w:r>
    </w:p>
    <w:p w14:paraId="4D03EC21" w14:textId="43763A37" w:rsidR="00601EEA" w:rsidRDefault="00601EEA" w:rsidP="00601EEA">
      <w:pPr>
        <w:pStyle w:val="SangriaFrancesaArticulo"/>
      </w:pPr>
      <w:r w:rsidRPr="00601EEA">
        <w:rPr>
          <w:rStyle w:val="TextoNormalNegritaCaracter"/>
        </w:rPr>
        <w:t>Artículo 35.</w:t>
      </w:r>
      <w:r w:rsidRPr="00601EEA">
        <w:rPr>
          <w:rStyle w:val="TextoNormalCaracter"/>
        </w:rPr>
        <w:t>-</w:t>
      </w:r>
      <w:r>
        <w:t xml:space="preserve"> Sentencia </w:t>
      </w:r>
      <w:hyperlink w:anchor="SENTENCIA_2024_63" w:history="1">
        <w:r w:rsidRPr="00601EEA">
          <w:rPr>
            <w:rStyle w:val="TextoNormalCaracter"/>
          </w:rPr>
          <w:t>63/2024</w:t>
        </w:r>
      </w:hyperlink>
      <w:r>
        <w:t>, f. 2.</w:t>
      </w:r>
    </w:p>
    <w:p w14:paraId="51B1D6FD" w14:textId="2ECADE93" w:rsidR="00601EEA" w:rsidRDefault="00601EEA" w:rsidP="00601EEA">
      <w:pPr>
        <w:pStyle w:val="SangriaFrancesaArticulo"/>
      </w:pPr>
      <w:r w:rsidRPr="00601EEA">
        <w:rPr>
          <w:rStyle w:val="TextoNormalNegritaCaracter"/>
        </w:rPr>
        <w:t>Artículo 37.1.</w:t>
      </w:r>
      <w:r w:rsidRPr="00601EEA">
        <w:rPr>
          <w:rStyle w:val="TextoNormalCaracter"/>
        </w:rPr>
        <w:t>-</w:t>
      </w:r>
      <w:r>
        <w:t xml:space="preserve"> Auto </w:t>
      </w:r>
      <w:hyperlink w:anchor="AUTO_2024_20" w:history="1">
        <w:r w:rsidRPr="00601EEA">
          <w:rPr>
            <w:rStyle w:val="TextoNormalCaracter"/>
          </w:rPr>
          <w:t>20/2024</w:t>
        </w:r>
      </w:hyperlink>
      <w:r>
        <w:t>, f. 5.</w:t>
      </w:r>
    </w:p>
    <w:p w14:paraId="05188D4F" w14:textId="31608C6A" w:rsidR="00601EEA" w:rsidRDefault="00601EEA" w:rsidP="00601EEA">
      <w:pPr>
        <w:pStyle w:val="SangriaFrancesaArticulo"/>
      </w:pPr>
      <w:r w:rsidRPr="00601EEA">
        <w:rPr>
          <w:rStyle w:val="TextoNormalNegritaCaracter"/>
        </w:rPr>
        <w:t>Artículo 38.</w:t>
      </w:r>
      <w:r w:rsidRPr="00601EEA">
        <w:rPr>
          <w:rStyle w:val="TextoNormalCaracter"/>
        </w:rPr>
        <w:t>-</w:t>
      </w:r>
      <w:r>
        <w:t xml:space="preserve"> Sentencias </w:t>
      </w:r>
      <w:hyperlink w:anchor="SENTENCIA_2024_79" w:history="1">
        <w:r w:rsidRPr="00601EEA">
          <w:rPr>
            <w:rStyle w:val="TextoNormalCaracter"/>
          </w:rPr>
          <w:t>79/2024</w:t>
        </w:r>
      </w:hyperlink>
      <w:r>
        <w:t xml:space="preserve">, VP; </w:t>
      </w:r>
      <w:hyperlink w:anchor="SENTENCIA_2024_89" w:history="1">
        <w:r w:rsidRPr="00601EEA">
          <w:rPr>
            <w:rStyle w:val="TextoNormalCaracter"/>
          </w:rPr>
          <w:t>89/2024</w:t>
        </w:r>
      </w:hyperlink>
      <w:r>
        <w:t>, f. 3.</w:t>
      </w:r>
    </w:p>
    <w:p w14:paraId="08B70FF6" w14:textId="5A5A61A1" w:rsidR="00601EEA" w:rsidRDefault="00601EEA" w:rsidP="00601EEA">
      <w:pPr>
        <w:pStyle w:val="SangriaFrancesaArticulo"/>
      </w:pPr>
      <w:r w:rsidRPr="00601EEA">
        <w:rPr>
          <w:rStyle w:val="TextoNormalNegritaCaracter"/>
        </w:rPr>
        <w:t>Artículo 39.</w:t>
      </w:r>
      <w:r w:rsidRPr="00601EEA">
        <w:rPr>
          <w:rStyle w:val="TextoNormalCaracter"/>
        </w:rPr>
        <w:t>-</w:t>
      </w:r>
      <w:r>
        <w:t xml:space="preserve"> Sentencias </w:t>
      </w:r>
      <w:hyperlink w:anchor="SENTENCIA_2024_2" w:history="1">
        <w:r w:rsidRPr="00601EEA">
          <w:rPr>
            <w:rStyle w:val="TextoNormalCaracter"/>
          </w:rPr>
          <w:t>2/2024</w:t>
        </w:r>
      </w:hyperlink>
      <w:r>
        <w:t xml:space="preserve">, ff. 2, 3; </w:t>
      </w:r>
      <w:hyperlink w:anchor="SENTENCIA_2024_26" w:history="1">
        <w:r w:rsidRPr="00601EEA">
          <w:rPr>
            <w:rStyle w:val="TextoNormalCaracter"/>
          </w:rPr>
          <w:t>26/2024</w:t>
        </w:r>
      </w:hyperlink>
      <w:r>
        <w:t xml:space="preserve">, f. 4; </w:t>
      </w:r>
      <w:hyperlink w:anchor="SENTENCIA_2024_28" w:history="1">
        <w:r w:rsidRPr="00601EEA">
          <w:rPr>
            <w:rStyle w:val="TextoNormalCaracter"/>
          </w:rPr>
          <w:t>28/2024</w:t>
        </w:r>
      </w:hyperlink>
      <w:r>
        <w:t xml:space="preserve">, ff. 1, 4 a 6, VP; </w:t>
      </w:r>
      <w:hyperlink w:anchor="SENTENCIA_2024_53" w:history="1">
        <w:r w:rsidRPr="00601EEA">
          <w:rPr>
            <w:rStyle w:val="TextoNormalCaracter"/>
          </w:rPr>
          <w:t>53/2024</w:t>
        </w:r>
      </w:hyperlink>
      <w:r>
        <w:t xml:space="preserve">, ff. 1 a 5; </w:t>
      </w:r>
      <w:hyperlink w:anchor="SENTENCIA_2024_82" w:history="1">
        <w:r w:rsidRPr="00601EEA">
          <w:rPr>
            <w:rStyle w:val="TextoNormalCaracter"/>
          </w:rPr>
          <w:t>82/2024</w:t>
        </w:r>
      </w:hyperlink>
      <w:r>
        <w:t xml:space="preserve">, ff. 2, 4; </w:t>
      </w:r>
      <w:hyperlink w:anchor="SENTENCIA_2024_92" w:history="1">
        <w:r w:rsidRPr="00601EEA">
          <w:rPr>
            <w:rStyle w:val="TextoNormalCaracter"/>
          </w:rPr>
          <w:t>92/2024</w:t>
        </w:r>
      </w:hyperlink>
      <w:r>
        <w:t>, f. 6.</w:t>
      </w:r>
    </w:p>
    <w:p w14:paraId="6126E1C0" w14:textId="15C7748C" w:rsidR="00601EEA" w:rsidRDefault="00601EEA" w:rsidP="00601EEA">
      <w:pPr>
        <w:pStyle w:val="SangriaFrancesaArticulo"/>
      </w:pPr>
      <w:r w:rsidRPr="00601EEA">
        <w:rPr>
          <w:rStyle w:val="TextoNormalNegritaCaracter"/>
        </w:rPr>
        <w:t>Artículo 39.1.</w:t>
      </w:r>
      <w:r w:rsidRPr="00601EEA">
        <w:rPr>
          <w:rStyle w:val="TextoNormalCaracter"/>
        </w:rPr>
        <w:t>-</w:t>
      </w:r>
      <w:r>
        <w:t xml:space="preserve"> Sentencias </w:t>
      </w:r>
      <w:hyperlink w:anchor="SENTENCIA_2024_2" w:history="1">
        <w:r w:rsidRPr="00601EEA">
          <w:rPr>
            <w:rStyle w:val="TextoNormalCaracter"/>
          </w:rPr>
          <w:t>2/2024</w:t>
        </w:r>
      </w:hyperlink>
      <w:r>
        <w:t xml:space="preserve">, ff. 1, 2; </w:t>
      </w:r>
      <w:hyperlink w:anchor="SENTENCIA_2024_28" w:history="1">
        <w:r w:rsidRPr="00601EEA">
          <w:rPr>
            <w:rStyle w:val="TextoNormalCaracter"/>
          </w:rPr>
          <w:t>28/2024</w:t>
        </w:r>
      </w:hyperlink>
      <w:r>
        <w:t xml:space="preserve">, f. 5; </w:t>
      </w:r>
      <w:hyperlink w:anchor="SENTENCIA_2024_82" w:history="1">
        <w:r w:rsidRPr="00601EEA">
          <w:rPr>
            <w:rStyle w:val="TextoNormalCaracter"/>
          </w:rPr>
          <w:t>82/2024</w:t>
        </w:r>
      </w:hyperlink>
      <w:r>
        <w:t>, ff. 1, 3.</w:t>
      </w:r>
    </w:p>
    <w:p w14:paraId="07D85FAC" w14:textId="0DCD908A" w:rsidR="00601EEA" w:rsidRDefault="00601EEA" w:rsidP="00601EEA">
      <w:pPr>
        <w:pStyle w:val="SangriaFrancesaArticulo"/>
      </w:pPr>
      <w:r w:rsidRPr="00601EEA">
        <w:rPr>
          <w:rStyle w:val="TextoNormalNegritaCaracter"/>
        </w:rPr>
        <w:t>Artículo 39.2.</w:t>
      </w:r>
      <w:r w:rsidRPr="00601EEA">
        <w:rPr>
          <w:rStyle w:val="TextoNormalCaracter"/>
        </w:rPr>
        <w:t>-</w:t>
      </w:r>
      <w:r>
        <w:t xml:space="preserve"> Sentencias </w:t>
      </w:r>
      <w:hyperlink w:anchor="SENTENCIA_2024_2" w:history="1">
        <w:r w:rsidRPr="00601EEA">
          <w:rPr>
            <w:rStyle w:val="TextoNormalCaracter"/>
          </w:rPr>
          <w:t>2/2024</w:t>
        </w:r>
      </w:hyperlink>
      <w:r>
        <w:t xml:space="preserve">, ff. 1, 2; </w:t>
      </w:r>
      <w:hyperlink w:anchor="SENTENCIA_2024_28" w:history="1">
        <w:r w:rsidRPr="00601EEA">
          <w:rPr>
            <w:rStyle w:val="TextoNormalCaracter"/>
          </w:rPr>
          <w:t>28/2024</w:t>
        </w:r>
      </w:hyperlink>
      <w:r>
        <w:t xml:space="preserve">, f. 5; </w:t>
      </w:r>
      <w:hyperlink w:anchor="SENTENCIA_2024_82" w:history="1">
        <w:r w:rsidRPr="00601EEA">
          <w:rPr>
            <w:rStyle w:val="TextoNormalCaracter"/>
          </w:rPr>
          <w:t>82/2024</w:t>
        </w:r>
      </w:hyperlink>
      <w:r>
        <w:t xml:space="preserve">, f. 2; </w:t>
      </w:r>
      <w:hyperlink w:anchor="SENTENCIA_2024_92" w:history="1">
        <w:r w:rsidRPr="00601EEA">
          <w:rPr>
            <w:rStyle w:val="TextoNormalCaracter"/>
          </w:rPr>
          <w:t>92/2024</w:t>
        </w:r>
      </w:hyperlink>
      <w:r>
        <w:t>, ff. 1, 7, VP III, VP IV.</w:t>
      </w:r>
    </w:p>
    <w:p w14:paraId="7FA94FBD" w14:textId="13F002E2" w:rsidR="00601EEA" w:rsidRDefault="00601EEA" w:rsidP="00601EEA">
      <w:pPr>
        <w:pStyle w:val="SangriaFrancesaArticulo"/>
      </w:pPr>
      <w:r w:rsidRPr="00601EEA">
        <w:rPr>
          <w:rStyle w:val="TextoNormalNegritaCaracter"/>
        </w:rPr>
        <w:t>Artículo 39.3.</w:t>
      </w:r>
      <w:r w:rsidRPr="00601EEA">
        <w:rPr>
          <w:rStyle w:val="TextoNormalCaracter"/>
        </w:rPr>
        <w:t>-</w:t>
      </w:r>
      <w:r>
        <w:t xml:space="preserve"> Sentencias </w:t>
      </w:r>
      <w:hyperlink w:anchor="SENTENCIA_2024_2" w:history="1">
        <w:r w:rsidRPr="00601EEA">
          <w:rPr>
            <w:rStyle w:val="TextoNormalCaracter"/>
          </w:rPr>
          <w:t>2/2024</w:t>
        </w:r>
      </w:hyperlink>
      <w:r>
        <w:t xml:space="preserve">, ff. 1, 2; </w:t>
      </w:r>
      <w:hyperlink w:anchor="SENTENCIA_2024_28" w:history="1">
        <w:r w:rsidRPr="00601EEA">
          <w:rPr>
            <w:rStyle w:val="TextoNormalCaracter"/>
          </w:rPr>
          <w:t>28/2024</w:t>
        </w:r>
      </w:hyperlink>
      <w:r>
        <w:t xml:space="preserve">, f. 5; </w:t>
      </w:r>
      <w:hyperlink w:anchor="SENTENCIA_2024_92" w:history="1">
        <w:r w:rsidRPr="00601EEA">
          <w:rPr>
            <w:rStyle w:val="TextoNormalCaracter"/>
          </w:rPr>
          <w:t>92/2024</w:t>
        </w:r>
      </w:hyperlink>
      <w:r>
        <w:t>, ff. 1, 6, VP III.</w:t>
      </w:r>
    </w:p>
    <w:p w14:paraId="2C0E5B77" w14:textId="09C37B8C" w:rsidR="00601EEA" w:rsidRDefault="00601EEA" w:rsidP="00601EEA">
      <w:pPr>
        <w:pStyle w:val="SangriaFrancesaArticulo"/>
      </w:pPr>
      <w:r w:rsidRPr="00601EEA">
        <w:rPr>
          <w:rStyle w:val="TextoNormalNegritaCaracter"/>
        </w:rPr>
        <w:t>Artículo 39.4.</w:t>
      </w:r>
      <w:r w:rsidRPr="00601EEA">
        <w:rPr>
          <w:rStyle w:val="TextoNormalCaracter"/>
        </w:rPr>
        <w:t>-</w:t>
      </w:r>
      <w:r>
        <w:t xml:space="preserve"> Sentencias </w:t>
      </w:r>
      <w:hyperlink w:anchor="SENTENCIA_2024_2" w:history="1">
        <w:r w:rsidRPr="00601EEA">
          <w:rPr>
            <w:rStyle w:val="TextoNormalCaracter"/>
          </w:rPr>
          <w:t>2/2024</w:t>
        </w:r>
      </w:hyperlink>
      <w:r>
        <w:t xml:space="preserve">, f. 2; </w:t>
      </w:r>
      <w:hyperlink w:anchor="SENTENCIA_2024_26" w:history="1">
        <w:r w:rsidRPr="00601EEA">
          <w:rPr>
            <w:rStyle w:val="TextoNormalCaracter"/>
          </w:rPr>
          <w:t>26/2024</w:t>
        </w:r>
      </w:hyperlink>
      <w:r>
        <w:t xml:space="preserve">, f. 4; </w:t>
      </w:r>
      <w:hyperlink w:anchor="SENTENCIA_2024_28" w:history="1">
        <w:r w:rsidRPr="00601EEA">
          <w:rPr>
            <w:rStyle w:val="TextoNormalCaracter"/>
          </w:rPr>
          <w:t>28/2024</w:t>
        </w:r>
      </w:hyperlink>
      <w:r>
        <w:t xml:space="preserve">, f. 5; </w:t>
      </w:r>
      <w:hyperlink w:anchor="SENTENCIA_2024_92" w:history="1">
        <w:r w:rsidRPr="00601EEA">
          <w:rPr>
            <w:rStyle w:val="TextoNormalCaracter"/>
          </w:rPr>
          <w:t>92/2024</w:t>
        </w:r>
      </w:hyperlink>
      <w:r>
        <w:t>, f. 6.</w:t>
      </w:r>
    </w:p>
    <w:p w14:paraId="1456D9C9" w14:textId="3A1D4DC9" w:rsidR="00601EEA" w:rsidRDefault="00601EEA" w:rsidP="00601EEA">
      <w:pPr>
        <w:pStyle w:val="SangriaFrancesaArticulo"/>
      </w:pPr>
      <w:r w:rsidRPr="00601EEA">
        <w:rPr>
          <w:rStyle w:val="TextoNormalNegritaCaracter"/>
        </w:rPr>
        <w:t>Artículos 39 a 52.</w:t>
      </w:r>
      <w:r w:rsidRPr="00601EEA">
        <w:rPr>
          <w:rStyle w:val="TextoNormalCaracter"/>
        </w:rPr>
        <w:t>-</w:t>
      </w:r>
      <w:r>
        <w:t xml:space="preserve"> Sentencia </w:t>
      </w:r>
      <w:hyperlink w:anchor="SENTENCIA_2024_79" w:history="1">
        <w:r w:rsidRPr="00601EEA">
          <w:rPr>
            <w:rStyle w:val="TextoNormalCaracter"/>
          </w:rPr>
          <w:t>79/2024</w:t>
        </w:r>
      </w:hyperlink>
      <w:r>
        <w:t>, VP.</w:t>
      </w:r>
    </w:p>
    <w:p w14:paraId="71BC2857" w14:textId="4207A4C0" w:rsidR="00601EEA" w:rsidRDefault="00601EEA" w:rsidP="00601EEA">
      <w:pPr>
        <w:pStyle w:val="SangriaFrancesaArticulo"/>
      </w:pPr>
      <w:r w:rsidRPr="00601EEA">
        <w:rPr>
          <w:rStyle w:val="TextoNormalNegritaCaracter"/>
        </w:rPr>
        <w:t>Artículo 41.</w:t>
      </w:r>
      <w:r w:rsidRPr="00601EEA">
        <w:rPr>
          <w:rStyle w:val="TextoNormalCaracter"/>
        </w:rPr>
        <w:t>-</w:t>
      </w:r>
      <w:r>
        <w:t xml:space="preserve"> Sentencias </w:t>
      </w:r>
      <w:hyperlink w:anchor="SENTENCIA_2024_19" w:history="1">
        <w:r w:rsidRPr="00601EEA">
          <w:rPr>
            <w:rStyle w:val="TextoNormalCaracter"/>
          </w:rPr>
          <w:t>19/2024</w:t>
        </w:r>
      </w:hyperlink>
      <w:r>
        <w:t xml:space="preserve">, f. 3; </w:t>
      </w:r>
      <w:hyperlink w:anchor="SENTENCIA_2024_32" w:history="1">
        <w:r w:rsidRPr="00601EEA">
          <w:rPr>
            <w:rStyle w:val="TextoNormalCaracter"/>
          </w:rPr>
          <w:t>32/2024</w:t>
        </w:r>
      </w:hyperlink>
      <w:r>
        <w:t>, ff. 1, 2.</w:t>
      </w:r>
    </w:p>
    <w:p w14:paraId="66C3E3C3" w14:textId="1E414E4F" w:rsidR="00601EEA" w:rsidRDefault="00601EEA" w:rsidP="00601EEA">
      <w:pPr>
        <w:pStyle w:val="SangriaFrancesaArticulo"/>
      </w:pPr>
      <w:r w:rsidRPr="00601EEA">
        <w:rPr>
          <w:rStyle w:val="TextoNormalNegritaCaracter"/>
        </w:rPr>
        <w:t>Artículo 43.</w:t>
      </w:r>
      <w:r w:rsidRPr="00601EEA">
        <w:rPr>
          <w:rStyle w:val="TextoNormalCaracter"/>
        </w:rPr>
        <w:t>-</w:t>
      </w:r>
      <w:r>
        <w:t xml:space="preserve"> Sentencias </w:t>
      </w:r>
      <w:hyperlink w:anchor="SENTENCIA_2024_24" w:history="1">
        <w:r w:rsidRPr="00601EEA">
          <w:rPr>
            <w:rStyle w:val="TextoNormalCaracter"/>
          </w:rPr>
          <w:t>24/2024</w:t>
        </w:r>
      </w:hyperlink>
      <w:r>
        <w:t xml:space="preserve">, f. 2; </w:t>
      </w:r>
      <w:hyperlink w:anchor="SENTENCIA_2024_75" w:history="1">
        <w:r w:rsidRPr="00601EEA">
          <w:rPr>
            <w:rStyle w:val="TextoNormalCaracter"/>
          </w:rPr>
          <w:t>75/2024</w:t>
        </w:r>
      </w:hyperlink>
      <w:r>
        <w:t xml:space="preserve">, f. 5; </w:t>
      </w:r>
      <w:hyperlink w:anchor="SENTENCIA_2024_79" w:history="1">
        <w:r w:rsidRPr="00601EEA">
          <w:rPr>
            <w:rStyle w:val="TextoNormalCaracter"/>
          </w:rPr>
          <w:t>79/2024</w:t>
        </w:r>
      </w:hyperlink>
      <w:r>
        <w:t>, VP.</w:t>
      </w:r>
    </w:p>
    <w:p w14:paraId="0AC87048" w14:textId="342C5FB5" w:rsidR="00601EEA" w:rsidRDefault="00601EEA" w:rsidP="00601EEA">
      <w:pPr>
        <w:pStyle w:val="SangriaFrancesaArticulo"/>
      </w:pPr>
      <w:r w:rsidRPr="00601EEA">
        <w:rPr>
          <w:rStyle w:val="TextoNormalNegritaCaracter"/>
        </w:rPr>
        <w:t>Artículo 45.</w:t>
      </w:r>
      <w:r w:rsidRPr="00601EEA">
        <w:rPr>
          <w:rStyle w:val="TextoNormalCaracter"/>
        </w:rPr>
        <w:t>-</w:t>
      </w:r>
      <w:r>
        <w:t xml:space="preserve"> Sentencias </w:t>
      </w:r>
      <w:hyperlink w:anchor="SENTENCIA_2024_25" w:history="1">
        <w:r w:rsidRPr="00601EEA">
          <w:rPr>
            <w:rStyle w:val="TextoNormalCaracter"/>
          </w:rPr>
          <w:t>25/2024</w:t>
        </w:r>
      </w:hyperlink>
      <w:r>
        <w:t xml:space="preserve">, ff. 1, 11, 13; </w:t>
      </w:r>
      <w:hyperlink w:anchor="SENTENCIA_2024_68" w:history="1">
        <w:r w:rsidRPr="00601EEA">
          <w:rPr>
            <w:rStyle w:val="TextoNormalCaracter"/>
          </w:rPr>
          <w:t>68/2024</w:t>
        </w:r>
      </w:hyperlink>
      <w:r>
        <w:t xml:space="preserve">, ff. 5, 8, VP I; </w:t>
      </w:r>
      <w:hyperlink w:anchor="SENTENCIA_2024_76" w:history="1">
        <w:r w:rsidRPr="00601EEA">
          <w:rPr>
            <w:rStyle w:val="TextoNormalCaracter"/>
          </w:rPr>
          <w:t>76/2024</w:t>
        </w:r>
      </w:hyperlink>
      <w:r>
        <w:t xml:space="preserve">, f. 3; </w:t>
      </w:r>
      <w:hyperlink w:anchor="SENTENCIA_2024_79" w:history="1">
        <w:r w:rsidRPr="00601EEA">
          <w:rPr>
            <w:rStyle w:val="TextoNormalCaracter"/>
          </w:rPr>
          <w:t>79/2024</w:t>
        </w:r>
      </w:hyperlink>
      <w:r>
        <w:t>, VP.</w:t>
      </w:r>
    </w:p>
    <w:p w14:paraId="5EB1241A" w14:textId="7B05A484" w:rsidR="00601EEA" w:rsidRDefault="00601EEA" w:rsidP="00601EEA">
      <w:pPr>
        <w:pStyle w:val="SangriaIzquierdaArticulo"/>
      </w:pPr>
      <w:r>
        <w:t xml:space="preserve">Auto </w:t>
      </w:r>
      <w:hyperlink w:anchor="AUTO_2024_22" w:history="1">
        <w:r w:rsidRPr="00601EEA">
          <w:rPr>
            <w:rStyle w:val="TextoNormalCaracter"/>
          </w:rPr>
          <w:t>22/2024</w:t>
        </w:r>
      </w:hyperlink>
      <w:r>
        <w:t>, ff. 4, 5.</w:t>
      </w:r>
    </w:p>
    <w:p w14:paraId="26E29847" w14:textId="013E3FE0" w:rsidR="00601EEA" w:rsidRDefault="00601EEA" w:rsidP="00601EEA">
      <w:pPr>
        <w:pStyle w:val="SangriaFrancesaArticulo"/>
      </w:pPr>
      <w:r w:rsidRPr="00601EEA">
        <w:rPr>
          <w:rStyle w:val="TextoNormalNegritaCaracter"/>
        </w:rPr>
        <w:t>Artículo 47.</w:t>
      </w:r>
      <w:r w:rsidRPr="00601EEA">
        <w:rPr>
          <w:rStyle w:val="TextoNormalCaracter"/>
        </w:rPr>
        <w:t>-</w:t>
      </w:r>
      <w:r>
        <w:t xml:space="preserve"> Sentencias </w:t>
      </w:r>
      <w:hyperlink w:anchor="SENTENCIA_2024_7" w:history="1">
        <w:r w:rsidRPr="00601EEA">
          <w:rPr>
            <w:rStyle w:val="TextoNormalCaracter"/>
          </w:rPr>
          <w:t>7/2024</w:t>
        </w:r>
      </w:hyperlink>
      <w:r>
        <w:t xml:space="preserve">, VP; </w:t>
      </w:r>
      <w:hyperlink w:anchor="SENTENCIA_2024_38" w:history="1">
        <w:r w:rsidRPr="00601EEA">
          <w:rPr>
            <w:rStyle w:val="TextoNormalCaracter"/>
          </w:rPr>
          <w:t>38/2024</w:t>
        </w:r>
      </w:hyperlink>
      <w:r>
        <w:t xml:space="preserve">, f. 1; </w:t>
      </w:r>
      <w:hyperlink w:anchor="SENTENCIA_2024_79" w:history="1">
        <w:r w:rsidRPr="00601EEA">
          <w:rPr>
            <w:rStyle w:val="TextoNormalCaracter"/>
          </w:rPr>
          <w:t>79/2024</w:t>
        </w:r>
      </w:hyperlink>
      <w:r>
        <w:t>, ff. 3, 4, 9, VP.</w:t>
      </w:r>
    </w:p>
    <w:p w14:paraId="1DC032CC" w14:textId="69E51788" w:rsidR="00601EEA" w:rsidRDefault="00601EEA" w:rsidP="00601EEA">
      <w:pPr>
        <w:pStyle w:val="SangriaFrancesaArticulo"/>
      </w:pPr>
      <w:r w:rsidRPr="00601EEA">
        <w:rPr>
          <w:rStyle w:val="TextoNormalNegritaCaracter"/>
        </w:rPr>
        <w:t>Artículo 47, primer inciso.</w:t>
      </w:r>
      <w:r w:rsidRPr="00601EEA">
        <w:rPr>
          <w:rStyle w:val="TextoNormalCaracter"/>
        </w:rPr>
        <w:t>-</w:t>
      </w:r>
      <w:r>
        <w:t xml:space="preserve"> Sentencia </w:t>
      </w:r>
      <w:hyperlink w:anchor="SENTENCIA_2024_79" w:history="1">
        <w:r w:rsidRPr="00601EEA">
          <w:rPr>
            <w:rStyle w:val="TextoNormalCaracter"/>
          </w:rPr>
          <w:t>79/2024</w:t>
        </w:r>
      </w:hyperlink>
      <w:r>
        <w:t>, VP.</w:t>
      </w:r>
    </w:p>
    <w:p w14:paraId="15EE51DB" w14:textId="0D090A3B" w:rsidR="00601EEA" w:rsidRDefault="00601EEA" w:rsidP="00601EEA">
      <w:pPr>
        <w:pStyle w:val="SangriaFrancesaArticulo"/>
      </w:pPr>
      <w:r w:rsidRPr="00601EEA">
        <w:rPr>
          <w:rStyle w:val="TextoNormalNegritaCaracter"/>
        </w:rPr>
        <w:t>Artículo 49.</w:t>
      </w:r>
      <w:r w:rsidRPr="00601EEA">
        <w:rPr>
          <w:rStyle w:val="TextoNormalCaracter"/>
        </w:rPr>
        <w:t>-</w:t>
      </w:r>
      <w:r>
        <w:t xml:space="preserve"> Sentencias </w:t>
      </w:r>
      <w:hyperlink w:anchor="SENTENCIA_2024_71" w:history="1">
        <w:r w:rsidRPr="00601EEA">
          <w:rPr>
            <w:rStyle w:val="TextoNormalCaracter"/>
          </w:rPr>
          <w:t>71/2024</w:t>
        </w:r>
      </w:hyperlink>
      <w:r>
        <w:t xml:space="preserve">, f. único; </w:t>
      </w:r>
      <w:hyperlink w:anchor="SENTENCIA_2024_79" w:history="1">
        <w:r w:rsidRPr="00601EEA">
          <w:rPr>
            <w:rStyle w:val="TextoNormalCaracter"/>
          </w:rPr>
          <w:t>79/2024</w:t>
        </w:r>
      </w:hyperlink>
      <w:r>
        <w:t>, f. 3, VP.</w:t>
      </w:r>
    </w:p>
    <w:p w14:paraId="00FF20FC" w14:textId="4265CF82" w:rsidR="00601EEA" w:rsidRDefault="00601EEA" w:rsidP="00601EEA">
      <w:pPr>
        <w:pStyle w:val="SangriaFrancesaArticulo"/>
      </w:pPr>
      <w:r w:rsidRPr="00601EEA">
        <w:rPr>
          <w:rStyle w:val="TextoNormalNegritaCaracter"/>
        </w:rPr>
        <w:t>Artículo 49</w:t>
      </w:r>
      <w:r>
        <w:t xml:space="preserve"> (redactado por la reforma constitucional de 15 de febrero de 2024)</w:t>
      </w:r>
      <w:r w:rsidRPr="00601EEA">
        <w:rPr>
          <w:rStyle w:val="TextoNormalNegritaCaracter"/>
        </w:rPr>
        <w:t>.</w:t>
      </w:r>
      <w:r w:rsidRPr="00601EEA">
        <w:rPr>
          <w:rStyle w:val="TextoNormalCaracter"/>
        </w:rPr>
        <w:t>-</w:t>
      </w:r>
      <w:r>
        <w:t xml:space="preserve"> Sentencia </w:t>
      </w:r>
      <w:hyperlink w:anchor="SENTENCIA_2024_71" w:history="1">
        <w:r w:rsidRPr="00601EEA">
          <w:rPr>
            <w:rStyle w:val="TextoNormalCaracter"/>
          </w:rPr>
          <w:t>71/2024</w:t>
        </w:r>
      </w:hyperlink>
      <w:r>
        <w:t>, f. único.</w:t>
      </w:r>
    </w:p>
    <w:p w14:paraId="73DE42A4" w14:textId="22D6956D" w:rsidR="00601EEA" w:rsidRDefault="00601EEA" w:rsidP="00601EEA">
      <w:pPr>
        <w:pStyle w:val="SangriaFrancesaArticulo"/>
      </w:pPr>
      <w:r w:rsidRPr="00601EEA">
        <w:rPr>
          <w:rStyle w:val="TextoNormalNegritaCaracter"/>
        </w:rPr>
        <w:t>Artículo 50.</w:t>
      </w:r>
      <w:r w:rsidRPr="00601EEA">
        <w:rPr>
          <w:rStyle w:val="TextoNormalCaracter"/>
        </w:rPr>
        <w:t>-</w:t>
      </w:r>
      <w:r>
        <w:t xml:space="preserve"> Sentencia </w:t>
      </w:r>
      <w:hyperlink w:anchor="SENTENCIA_2024_79" w:history="1">
        <w:r w:rsidRPr="00601EEA">
          <w:rPr>
            <w:rStyle w:val="TextoNormalCaracter"/>
          </w:rPr>
          <w:t>79/2024</w:t>
        </w:r>
      </w:hyperlink>
      <w:r>
        <w:t>, f. 3, VP.</w:t>
      </w:r>
    </w:p>
    <w:p w14:paraId="3A940B51" w14:textId="39F609AE" w:rsidR="00601EEA" w:rsidRDefault="00601EEA" w:rsidP="00601EEA">
      <w:pPr>
        <w:pStyle w:val="SangriaFrancesaArticulo"/>
      </w:pPr>
      <w:r w:rsidRPr="00601EEA">
        <w:rPr>
          <w:rStyle w:val="TextoNormalNegritaCaracter"/>
        </w:rPr>
        <w:t>Artículo 53.</w:t>
      </w:r>
      <w:r w:rsidRPr="00601EEA">
        <w:rPr>
          <w:rStyle w:val="TextoNormalCaracter"/>
        </w:rPr>
        <w:t>-</w:t>
      </w:r>
      <w:r>
        <w:t xml:space="preserve"> Sentencia </w:t>
      </w:r>
      <w:hyperlink w:anchor="SENTENCIA_2024_7" w:history="1">
        <w:r w:rsidRPr="00601EEA">
          <w:rPr>
            <w:rStyle w:val="TextoNormalCaracter"/>
          </w:rPr>
          <w:t>7/2024</w:t>
        </w:r>
      </w:hyperlink>
      <w:r>
        <w:t>, f. 5.</w:t>
      </w:r>
    </w:p>
    <w:p w14:paraId="614150E0" w14:textId="4EA16EFE" w:rsidR="00601EEA" w:rsidRDefault="00601EEA" w:rsidP="00601EEA">
      <w:pPr>
        <w:pStyle w:val="SangriaFrancesaArticulo"/>
      </w:pPr>
      <w:r w:rsidRPr="00601EEA">
        <w:rPr>
          <w:rStyle w:val="TextoNormalNegritaCaracter"/>
        </w:rPr>
        <w:t>Artículo 53.1.</w:t>
      </w:r>
      <w:r w:rsidRPr="00601EEA">
        <w:rPr>
          <w:rStyle w:val="TextoNormalCaracter"/>
        </w:rPr>
        <w:t>-</w:t>
      </w:r>
      <w:r>
        <w:t xml:space="preserve"> Sentencia </w:t>
      </w:r>
      <w:hyperlink w:anchor="SENTENCIA_2024_7" w:history="1">
        <w:r w:rsidRPr="00601EEA">
          <w:rPr>
            <w:rStyle w:val="TextoNormalCaracter"/>
          </w:rPr>
          <w:t>7/2024</w:t>
        </w:r>
      </w:hyperlink>
      <w:r>
        <w:t>, VP.</w:t>
      </w:r>
    </w:p>
    <w:p w14:paraId="75C88DE1" w14:textId="246FE696" w:rsidR="00601EEA" w:rsidRDefault="00601EEA" w:rsidP="00601EEA">
      <w:pPr>
        <w:pStyle w:val="SangriaFrancesaArticulo"/>
      </w:pPr>
      <w:r w:rsidRPr="00601EEA">
        <w:rPr>
          <w:rStyle w:val="TextoNormalNegritaCaracter"/>
        </w:rPr>
        <w:t>Artículo 53.2.</w:t>
      </w:r>
      <w:r w:rsidRPr="00601EEA">
        <w:rPr>
          <w:rStyle w:val="TextoNormalCaracter"/>
        </w:rPr>
        <w:t>-</w:t>
      </w:r>
      <w:r>
        <w:t xml:space="preserve"> Sentencias </w:t>
      </w:r>
      <w:hyperlink w:anchor="SENTENCIA_2024_2" w:history="1">
        <w:r w:rsidRPr="00601EEA">
          <w:rPr>
            <w:rStyle w:val="TextoNormalCaracter"/>
          </w:rPr>
          <w:t>2/2024</w:t>
        </w:r>
      </w:hyperlink>
      <w:r>
        <w:t xml:space="preserve">, f. 1; </w:t>
      </w:r>
      <w:hyperlink w:anchor="SENTENCIA_2024_24" w:history="1">
        <w:r w:rsidRPr="00601EEA">
          <w:rPr>
            <w:rStyle w:val="TextoNormalCaracter"/>
          </w:rPr>
          <w:t>24/2024</w:t>
        </w:r>
      </w:hyperlink>
      <w:r>
        <w:t xml:space="preserve">, f. 2; </w:t>
      </w:r>
      <w:hyperlink w:anchor="SENTENCIA_2024_39" w:history="1">
        <w:r w:rsidRPr="00601EEA">
          <w:rPr>
            <w:rStyle w:val="TextoNormalCaracter"/>
          </w:rPr>
          <w:t>39/2024</w:t>
        </w:r>
      </w:hyperlink>
      <w:r>
        <w:t xml:space="preserve">, f. 2; </w:t>
      </w:r>
      <w:hyperlink w:anchor="SENTENCIA_2024_49" w:history="1">
        <w:r w:rsidRPr="00601EEA">
          <w:rPr>
            <w:rStyle w:val="TextoNormalCaracter"/>
          </w:rPr>
          <w:t>49/2024</w:t>
        </w:r>
      </w:hyperlink>
      <w:r>
        <w:t xml:space="preserve">, f. 2; </w:t>
      </w:r>
      <w:hyperlink w:anchor="SENTENCIA_2024_87" w:history="1">
        <w:r w:rsidRPr="00601EEA">
          <w:rPr>
            <w:rStyle w:val="TextoNormalCaracter"/>
          </w:rPr>
          <w:t>87/2024</w:t>
        </w:r>
      </w:hyperlink>
      <w:r>
        <w:t xml:space="preserve">, f. 1; </w:t>
      </w:r>
      <w:hyperlink w:anchor="SENTENCIA_2024_89" w:history="1">
        <w:r w:rsidRPr="00601EEA">
          <w:rPr>
            <w:rStyle w:val="TextoNormalCaracter"/>
          </w:rPr>
          <w:t>89/2024</w:t>
        </w:r>
      </w:hyperlink>
      <w:r>
        <w:t xml:space="preserve">, VP II; </w:t>
      </w:r>
      <w:hyperlink w:anchor="SENTENCIA_2024_92" w:history="1">
        <w:r w:rsidRPr="00601EEA">
          <w:rPr>
            <w:rStyle w:val="TextoNormalCaracter"/>
          </w:rPr>
          <w:t>92/2024</w:t>
        </w:r>
      </w:hyperlink>
      <w:r>
        <w:t>, VP III.</w:t>
      </w:r>
    </w:p>
    <w:p w14:paraId="6EF436AB" w14:textId="58A55CBA" w:rsidR="00601EEA" w:rsidRDefault="00601EEA" w:rsidP="00601EEA">
      <w:pPr>
        <w:pStyle w:val="SangriaIzquierdaArticulo"/>
      </w:pPr>
      <w:r>
        <w:t xml:space="preserve">Auto </w:t>
      </w:r>
      <w:hyperlink w:anchor="AUTO_2024_47" w:history="1">
        <w:r w:rsidRPr="00601EEA">
          <w:rPr>
            <w:rStyle w:val="TextoNormalCaracter"/>
          </w:rPr>
          <w:t>47/2024</w:t>
        </w:r>
      </w:hyperlink>
      <w:r>
        <w:t>, VP.</w:t>
      </w:r>
    </w:p>
    <w:p w14:paraId="39747C46" w14:textId="390D6C7F" w:rsidR="00601EEA" w:rsidRDefault="00601EEA" w:rsidP="00601EEA">
      <w:pPr>
        <w:pStyle w:val="SangriaFrancesaArticulo"/>
      </w:pPr>
      <w:r w:rsidRPr="00601EEA">
        <w:rPr>
          <w:rStyle w:val="TextoNormalNegritaCaracter"/>
        </w:rPr>
        <w:t>Artículo 53.3.</w:t>
      </w:r>
      <w:r w:rsidRPr="00601EEA">
        <w:rPr>
          <w:rStyle w:val="TextoNormalCaracter"/>
        </w:rPr>
        <w:t>-</w:t>
      </w:r>
      <w:r>
        <w:t xml:space="preserve"> Sentencias </w:t>
      </w:r>
      <w:hyperlink w:anchor="SENTENCIA_2024_79" w:history="1">
        <w:r w:rsidRPr="00601EEA">
          <w:rPr>
            <w:rStyle w:val="TextoNormalCaracter"/>
          </w:rPr>
          <w:t>79/2024</w:t>
        </w:r>
      </w:hyperlink>
      <w:r>
        <w:t xml:space="preserve">, f. 3, VP; </w:t>
      </w:r>
      <w:hyperlink w:anchor="SENTENCIA_2024_92" w:history="1">
        <w:r w:rsidRPr="00601EEA">
          <w:rPr>
            <w:rStyle w:val="TextoNormalCaracter"/>
          </w:rPr>
          <w:t>92/2024</w:t>
        </w:r>
      </w:hyperlink>
      <w:r>
        <w:t>, VP III.</w:t>
      </w:r>
    </w:p>
    <w:p w14:paraId="71E07514" w14:textId="1482023C" w:rsidR="00601EEA" w:rsidRDefault="00601EEA" w:rsidP="00601EEA">
      <w:pPr>
        <w:pStyle w:val="SangriaFrancesaArticulo"/>
      </w:pPr>
      <w:r w:rsidRPr="00601EEA">
        <w:rPr>
          <w:rStyle w:val="TextoNormalNegritaCaracter"/>
        </w:rPr>
        <w:t>Artículo 56.1.</w:t>
      </w:r>
      <w:r w:rsidRPr="00601EEA">
        <w:rPr>
          <w:rStyle w:val="TextoNormalCaracter"/>
        </w:rPr>
        <w:t>-</w:t>
      </w:r>
      <w:r>
        <w:t xml:space="preserve"> Sentencia </w:t>
      </w:r>
      <w:hyperlink w:anchor="SENTENCIA_2024_8" w:history="1">
        <w:r w:rsidRPr="00601EEA">
          <w:rPr>
            <w:rStyle w:val="TextoNormalCaracter"/>
          </w:rPr>
          <w:t>8/2024</w:t>
        </w:r>
      </w:hyperlink>
      <w:r>
        <w:t>, VP I.</w:t>
      </w:r>
    </w:p>
    <w:p w14:paraId="2A903638" w14:textId="3C2C4323" w:rsidR="00601EEA" w:rsidRDefault="00601EEA" w:rsidP="00601EEA">
      <w:pPr>
        <w:pStyle w:val="SangriaFrancesaArticulo"/>
      </w:pPr>
      <w:r w:rsidRPr="00601EEA">
        <w:rPr>
          <w:rStyle w:val="TextoNormalNegritaCaracter"/>
        </w:rPr>
        <w:t>Artículo 56.3.</w:t>
      </w:r>
      <w:r w:rsidRPr="00601EEA">
        <w:rPr>
          <w:rStyle w:val="TextoNormalCaracter"/>
        </w:rPr>
        <w:t>-</w:t>
      </w:r>
      <w:r>
        <w:t xml:space="preserve"> Sentencia </w:t>
      </w:r>
      <w:hyperlink w:anchor="SENTENCIA_2024_93" w:history="1">
        <w:r w:rsidRPr="00601EEA">
          <w:rPr>
            <w:rStyle w:val="TextoNormalCaracter"/>
          </w:rPr>
          <w:t>93/2024</w:t>
        </w:r>
      </w:hyperlink>
      <w:r>
        <w:t>, VP II.</w:t>
      </w:r>
    </w:p>
    <w:p w14:paraId="6BA93D01" w14:textId="33E0EFBF" w:rsidR="00601EEA" w:rsidRDefault="00601EEA" w:rsidP="00601EEA">
      <w:pPr>
        <w:pStyle w:val="SangriaFrancesaArticulo"/>
      </w:pPr>
      <w:r w:rsidRPr="00601EEA">
        <w:rPr>
          <w:rStyle w:val="TextoNormalNegritaCaracter"/>
        </w:rPr>
        <w:t>Artículo 66.1.</w:t>
      </w:r>
      <w:r w:rsidRPr="00601EEA">
        <w:rPr>
          <w:rStyle w:val="TextoNormalCaracter"/>
        </w:rPr>
        <w:t>-</w:t>
      </w:r>
      <w:r>
        <w:t xml:space="preserve"> Sentencias </w:t>
      </w:r>
      <w:hyperlink w:anchor="SENTENCIA_2024_18" w:history="1">
        <w:r w:rsidRPr="00601EEA">
          <w:rPr>
            <w:rStyle w:val="TextoNormalCaracter"/>
          </w:rPr>
          <w:t>18/2024</w:t>
        </w:r>
      </w:hyperlink>
      <w:r>
        <w:t xml:space="preserve">, VP; </w:t>
      </w:r>
      <w:hyperlink w:anchor="SENTENCIA_2024_20" w:history="1">
        <w:r w:rsidRPr="00601EEA">
          <w:rPr>
            <w:rStyle w:val="TextoNormalCaracter"/>
          </w:rPr>
          <w:t>20/2024</w:t>
        </w:r>
      </w:hyperlink>
      <w:r>
        <w:t xml:space="preserve">, VP; </w:t>
      </w:r>
      <w:hyperlink w:anchor="SENTENCIA_2024_93" w:history="1">
        <w:r w:rsidRPr="00601EEA">
          <w:rPr>
            <w:rStyle w:val="TextoNormalCaracter"/>
          </w:rPr>
          <w:t>93/2024</w:t>
        </w:r>
      </w:hyperlink>
      <w:r>
        <w:t>, f. 4.</w:t>
      </w:r>
    </w:p>
    <w:p w14:paraId="6F92E5E0" w14:textId="112A073A" w:rsidR="00601EEA" w:rsidRDefault="00601EEA" w:rsidP="00601EEA">
      <w:pPr>
        <w:pStyle w:val="SangriaFrancesaArticulo"/>
      </w:pPr>
      <w:r w:rsidRPr="00601EEA">
        <w:rPr>
          <w:rStyle w:val="TextoNormalNegritaCaracter"/>
        </w:rPr>
        <w:t>Artículo 66.2.</w:t>
      </w:r>
      <w:r w:rsidRPr="00601EEA">
        <w:rPr>
          <w:rStyle w:val="TextoNormalCaracter"/>
        </w:rPr>
        <w:t>-</w:t>
      </w:r>
      <w:r>
        <w:t xml:space="preserve"> Sentencias </w:t>
      </w:r>
      <w:hyperlink w:anchor="SENTENCIA_2024_67" w:history="1">
        <w:r w:rsidRPr="00601EEA">
          <w:rPr>
            <w:rStyle w:val="TextoNormalCaracter"/>
          </w:rPr>
          <w:t>67/2024</w:t>
        </w:r>
      </w:hyperlink>
      <w:r>
        <w:t xml:space="preserve">, ff. 1 a 4, VP; </w:t>
      </w:r>
      <w:hyperlink w:anchor="SENTENCIA_2024_93" w:history="1">
        <w:r w:rsidRPr="00601EEA">
          <w:rPr>
            <w:rStyle w:val="TextoNormalCaracter"/>
          </w:rPr>
          <w:t>93/2024</w:t>
        </w:r>
      </w:hyperlink>
      <w:r>
        <w:t>, f. 4.</w:t>
      </w:r>
    </w:p>
    <w:p w14:paraId="0BD35D8F" w14:textId="125E37BA" w:rsidR="00601EEA" w:rsidRDefault="00601EEA" w:rsidP="00601EEA">
      <w:pPr>
        <w:pStyle w:val="SangriaFrancesaArticulo"/>
      </w:pPr>
      <w:r w:rsidRPr="00601EEA">
        <w:rPr>
          <w:rStyle w:val="TextoNormalNegritaCaracter"/>
        </w:rPr>
        <w:t>Artículo 71.1.</w:t>
      </w:r>
      <w:r w:rsidRPr="00601EEA">
        <w:rPr>
          <w:rStyle w:val="TextoNormalCaracter"/>
        </w:rPr>
        <w:t>-</w:t>
      </w:r>
      <w:r>
        <w:t xml:space="preserve"> Sentencia </w:t>
      </w:r>
      <w:hyperlink w:anchor="SENTENCIA_2024_93" w:history="1">
        <w:r w:rsidRPr="00601EEA">
          <w:rPr>
            <w:rStyle w:val="TextoNormalCaracter"/>
          </w:rPr>
          <w:t>93/2024</w:t>
        </w:r>
      </w:hyperlink>
      <w:r>
        <w:t>, VP II.</w:t>
      </w:r>
    </w:p>
    <w:p w14:paraId="50CED4E5" w14:textId="67883C6B" w:rsidR="00601EEA" w:rsidRDefault="00601EEA" w:rsidP="00601EEA">
      <w:pPr>
        <w:pStyle w:val="SangriaFrancesaArticulo"/>
      </w:pPr>
      <w:r w:rsidRPr="00601EEA">
        <w:rPr>
          <w:rStyle w:val="TextoNormalNegritaCaracter"/>
        </w:rPr>
        <w:t>Artículo 72.</w:t>
      </w:r>
      <w:r w:rsidRPr="00601EEA">
        <w:rPr>
          <w:rStyle w:val="TextoNormalCaracter"/>
        </w:rPr>
        <w:t>-</w:t>
      </w:r>
      <w:r>
        <w:t xml:space="preserve"> Sentencia </w:t>
      </w:r>
      <w:hyperlink w:anchor="SENTENCIA_2024_10" w:history="1">
        <w:r w:rsidRPr="00601EEA">
          <w:rPr>
            <w:rStyle w:val="TextoNormalCaracter"/>
          </w:rPr>
          <w:t>10/2024</w:t>
        </w:r>
      </w:hyperlink>
      <w:r>
        <w:t>, f. 2.</w:t>
      </w:r>
    </w:p>
    <w:p w14:paraId="6AE0679F" w14:textId="601B66F3" w:rsidR="00601EEA" w:rsidRDefault="00601EEA" w:rsidP="00601EEA">
      <w:pPr>
        <w:pStyle w:val="SangriaFrancesaArticulo"/>
      </w:pPr>
      <w:r w:rsidRPr="00601EEA">
        <w:rPr>
          <w:rStyle w:val="TextoNormalNegritaCaracter"/>
        </w:rPr>
        <w:t>Artículo 72.1.</w:t>
      </w:r>
      <w:r w:rsidRPr="00601EEA">
        <w:rPr>
          <w:rStyle w:val="TextoNormalCaracter"/>
        </w:rPr>
        <w:t>-</w:t>
      </w:r>
      <w:r>
        <w:t xml:space="preserve"> Sentencias </w:t>
      </w:r>
      <w:hyperlink w:anchor="SENTENCIA_2024_10" w:history="1">
        <w:r w:rsidRPr="00601EEA">
          <w:rPr>
            <w:rStyle w:val="TextoNormalCaracter"/>
          </w:rPr>
          <w:t>10/2024</w:t>
        </w:r>
      </w:hyperlink>
      <w:r>
        <w:t xml:space="preserve">, f. 2; </w:t>
      </w:r>
      <w:hyperlink w:anchor="SENTENCIA_2024_30" w:history="1">
        <w:r w:rsidRPr="00601EEA">
          <w:rPr>
            <w:rStyle w:val="TextoNormalCaracter"/>
          </w:rPr>
          <w:t>30/2024</w:t>
        </w:r>
      </w:hyperlink>
      <w:r>
        <w:t>, f. 4.</w:t>
      </w:r>
    </w:p>
    <w:p w14:paraId="6467A9DA" w14:textId="195EB8D2" w:rsidR="00601EEA" w:rsidRDefault="00601EEA" w:rsidP="00601EEA">
      <w:pPr>
        <w:pStyle w:val="SangriaFrancesaArticulo"/>
      </w:pPr>
      <w:r w:rsidRPr="00601EEA">
        <w:rPr>
          <w:rStyle w:val="TextoNormalNegritaCaracter"/>
        </w:rPr>
        <w:t>Artículo 79.3.</w:t>
      </w:r>
      <w:r w:rsidRPr="00601EEA">
        <w:rPr>
          <w:rStyle w:val="TextoNormalCaracter"/>
        </w:rPr>
        <w:t>-</w:t>
      </w:r>
      <w:r>
        <w:t xml:space="preserve"> Sentencia </w:t>
      </w:r>
      <w:hyperlink w:anchor="SENTENCIA_2024_86" w:history="1">
        <w:r w:rsidRPr="00601EEA">
          <w:rPr>
            <w:rStyle w:val="TextoNormalCaracter"/>
          </w:rPr>
          <w:t>86/2024</w:t>
        </w:r>
      </w:hyperlink>
      <w:r>
        <w:t>, f. 3.</w:t>
      </w:r>
    </w:p>
    <w:p w14:paraId="74CCFD19" w14:textId="404CE69D" w:rsidR="00601EEA" w:rsidRDefault="00601EEA" w:rsidP="00601EEA">
      <w:pPr>
        <w:pStyle w:val="SangriaFrancesaArticulo"/>
      </w:pPr>
      <w:r w:rsidRPr="00601EEA">
        <w:rPr>
          <w:rStyle w:val="TextoNormalNegritaCaracter"/>
        </w:rPr>
        <w:t>Artículo 81.</w:t>
      </w:r>
      <w:r w:rsidRPr="00601EEA">
        <w:rPr>
          <w:rStyle w:val="TextoNormalCaracter"/>
        </w:rPr>
        <w:t>-</w:t>
      </w:r>
      <w:r>
        <w:t xml:space="preserve"> Sentencia </w:t>
      </w:r>
      <w:hyperlink w:anchor="SENTENCIA_2024_89" w:history="1">
        <w:r w:rsidRPr="00601EEA">
          <w:rPr>
            <w:rStyle w:val="TextoNormalCaracter"/>
          </w:rPr>
          <w:t>89/2024</w:t>
        </w:r>
      </w:hyperlink>
      <w:r>
        <w:t>, VP I.</w:t>
      </w:r>
    </w:p>
    <w:p w14:paraId="276F43EA" w14:textId="518DE6F8" w:rsidR="00601EEA" w:rsidRDefault="00601EEA" w:rsidP="00601EEA">
      <w:pPr>
        <w:pStyle w:val="SangriaFrancesaArticulo"/>
      </w:pPr>
      <w:r w:rsidRPr="00601EEA">
        <w:rPr>
          <w:rStyle w:val="TextoNormalNegritaCaracter"/>
        </w:rPr>
        <w:t>Artículo 81.1.</w:t>
      </w:r>
      <w:r w:rsidRPr="00601EEA">
        <w:rPr>
          <w:rStyle w:val="TextoNormalCaracter"/>
        </w:rPr>
        <w:t>-</w:t>
      </w:r>
      <w:r>
        <w:t xml:space="preserve"> Sentencias </w:t>
      </w:r>
      <w:hyperlink w:anchor="SENTENCIA_2024_44" w:history="1">
        <w:r w:rsidRPr="00601EEA">
          <w:rPr>
            <w:rStyle w:val="TextoNormalCaracter"/>
          </w:rPr>
          <w:t>44/2024</w:t>
        </w:r>
      </w:hyperlink>
      <w:r>
        <w:t xml:space="preserve">, ff. 1 a 3, 5, 6, VP II; </w:t>
      </w:r>
      <w:hyperlink w:anchor="SENTENCIA_2024_87" w:history="1">
        <w:r w:rsidRPr="00601EEA">
          <w:rPr>
            <w:rStyle w:val="TextoNormalCaracter"/>
          </w:rPr>
          <w:t>87/2024</w:t>
        </w:r>
      </w:hyperlink>
      <w:r>
        <w:t xml:space="preserve">, VP II; </w:t>
      </w:r>
      <w:hyperlink w:anchor="SENTENCIA_2024_89" w:history="1">
        <w:r w:rsidRPr="00601EEA">
          <w:rPr>
            <w:rStyle w:val="TextoNormalCaracter"/>
          </w:rPr>
          <w:t>89/2024</w:t>
        </w:r>
      </w:hyperlink>
      <w:r>
        <w:t>, f. 4, VP I, VP II, VP III.</w:t>
      </w:r>
    </w:p>
    <w:p w14:paraId="1D80E252" w14:textId="798FC4C0" w:rsidR="00601EEA" w:rsidRDefault="00601EEA" w:rsidP="00601EEA">
      <w:pPr>
        <w:pStyle w:val="SangriaFrancesaArticulo"/>
      </w:pPr>
      <w:r w:rsidRPr="00601EEA">
        <w:rPr>
          <w:rStyle w:val="TextoNormalNegritaCaracter"/>
        </w:rPr>
        <w:t>Artículo 86.1.</w:t>
      </w:r>
      <w:r w:rsidRPr="00601EEA">
        <w:rPr>
          <w:rStyle w:val="TextoNormalCaracter"/>
        </w:rPr>
        <w:t>-</w:t>
      </w:r>
      <w:r>
        <w:t xml:space="preserve"> Sentencias </w:t>
      </w:r>
      <w:hyperlink w:anchor="SENTENCIA_2024_7" w:history="1">
        <w:r w:rsidRPr="00601EEA">
          <w:rPr>
            <w:rStyle w:val="TextoNormalCaracter"/>
          </w:rPr>
          <w:t>7/2024</w:t>
        </w:r>
      </w:hyperlink>
      <w:r>
        <w:t xml:space="preserve">, ff. 1 a 7, VP; </w:t>
      </w:r>
      <w:hyperlink w:anchor="SENTENCIA_2024_10" w:history="1">
        <w:r w:rsidRPr="00601EEA">
          <w:rPr>
            <w:rStyle w:val="TextoNormalCaracter"/>
          </w:rPr>
          <w:t>10/2024</w:t>
        </w:r>
      </w:hyperlink>
      <w:r>
        <w:t xml:space="preserve">, VP I; </w:t>
      </w:r>
      <w:hyperlink w:anchor="SENTENCIA_2024_11" w:history="1">
        <w:r w:rsidRPr="00601EEA">
          <w:rPr>
            <w:rStyle w:val="TextoNormalCaracter"/>
          </w:rPr>
          <w:t>11/2024</w:t>
        </w:r>
      </w:hyperlink>
      <w:r>
        <w:t xml:space="preserve">, ff. 1 a 4; </w:t>
      </w:r>
      <w:hyperlink w:anchor="SENTENCIA_2024_16" w:history="1">
        <w:r w:rsidRPr="00601EEA">
          <w:rPr>
            <w:rStyle w:val="TextoNormalCaracter"/>
          </w:rPr>
          <w:t>16/2024</w:t>
        </w:r>
      </w:hyperlink>
      <w:r>
        <w:t xml:space="preserve">, ff. 1, 2; </w:t>
      </w:r>
      <w:hyperlink w:anchor="SENTENCIA_2024_20" w:history="1">
        <w:r w:rsidRPr="00601EEA">
          <w:rPr>
            <w:rStyle w:val="TextoNormalCaracter"/>
          </w:rPr>
          <w:t>20/2024</w:t>
        </w:r>
      </w:hyperlink>
      <w:r>
        <w:t xml:space="preserve">, ff. 1 a 3, VP; </w:t>
      </w:r>
      <w:hyperlink w:anchor="SENTENCIA_2024_29" w:history="1">
        <w:r w:rsidRPr="00601EEA">
          <w:rPr>
            <w:rStyle w:val="TextoNormalCaracter"/>
          </w:rPr>
          <w:t>29/2024</w:t>
        </w:r>
      </w:hyperlink>
      <w:r>
        <w:t>, f. 2.</w:t>
      </w:r>
    </w:p>
    <w:p w14:paraId="17E58C19" w14:textId="713C774F" w:rsidR="00601EEA" w:rsidRDefault="00601EEA" w:rsidP="00601EEA">
      <w:pPr>
        <w:pStyle w:val="SangriaIzquierdaArticulo"/>
      </w:pPr>
      <w:r>
        <w:t xml:space="preserve">Auto </w:t>
      </w:r>
      <w:hyperlink w:anchor="AUTO_2024_37" w:history="1">
        <w:r w:rsidRPr="00601EEA">
          <w:rPr>
            <w:rStyle w:val="TextoNormalCaracter"/>
          </w:rPr>
          <w:t>37/2024</w:t>
        </w:r>
      </w:hyperlink>
      <w:r>
        <w:t>, f. 1.</w:t>
      </w:r>
    </w:p>
    <w:p w14:paraId="35ABD686" w14:textId="0B268183" w:rsidR="00601EEA" w:rsidRDefault="00601EEA" w:rsidP="00601EEA">
      <w:pPr>
        <w:pStyle w:val="SangriaFrancesaArticulo"/>
      </w:pPr>
      <w:r w:rsidRPr="00601EEA">
        <w:rPr>
          <w:rStyle w:val="TextoNormalNegritaCaracter"/>
        </w:rPr>
        <w:lastRenderedPageBreak/>
        <w:t>Artículo 86.2.</w:t>
      </w:r>
      <w:r w:rsidRPr="00601EEA">
        <w:rPr>
          <w:rStyle w:val="TextoNormalCaracter"/>
        </w:rPr>
        <w:t>-</w:t>
      </w:r>
      <w:r>
        <w:t xml:space="preserve"> Sentencias </w:t>
      </w:r>
      <w:hyperlink w:anchor="SENTENCIA_2024_10" w:history="1">
        <w:r w:rsidRPr="00601EEA">
          <w:rPr>
            <w:rStyle w:val="TextoNormalCaracter"/>
          </w:rPr>
          <w:t>10/2024</w:t>
        </w:r>
      </w:hyperlink>
      <w:r>
        <w:t xml:space="preserve">, VP I; </w:t>
      </w:r>
      <w:hyperlink w:anchor="SENTENCIA_2024_20" w:history="1">
        <w:r w:rsidRPr="00601EEA">
          <w:rPr>
            <w:rStyle w:val="TextoNormalCaracter"/>
          </w:rPr>
          <w:t>20/2024</w:t>
        </w:r>
      </w:hyperlink>
      <w:r>
        <w:t>, f. 3.</w:t>
      </w:r>
    </w:p>
    <w:p w14:paraId="626D674B" w14:textId="3EA487A2" w:rsidR="00601EEA" w:rsidRDefault="00601EEA" w:rsidP="00601EEA">
      <w:pPr>
        <w:pStyle w:val="SangriaFrancesaArticulo"/>
      </w:pPr>
      <w:r w:rsidRPr="00601EEA">
        <w:rPr>
          <w:rStyle w:val="TextoNormalNegritaCaracter"/>
        </w:rPr>
        <w:t>Artículo 86.3.</w:t>
      </w:r>
      <w:r w:rsidRPr="00601EEA">
        <w:rPr>
          <w:rStyle w:val="TextoNormalCaracter"/>
        </w:rPr>
        <w:t>-</w:t>
      </w:r>
      <w:r>
        <w:t xml:space="preserve"> Sentencia </w:t>
      </w:r>
      <w:hyperlink w:anchor="SENTENCIA_2024_10" w:history="1">
        <w:r w:rsidRPr="00601EEA">
          <w:rPr>
            <w:rStyle w:val="TextoNormalCaracter"/>
          </w:rPr>
          <w:t>10/2024</w:t>
        </w:r>
      </w:hyperlink>
      <w:r>
        <w:t>, ff. 1, 4, VP I.</w:t>
      </w:r>
    </w:p>
    <w:p w14:paraId="4D5EBDA7" w14:textId="74AEE8E3" w:rsidR="00601EEA" w:rsidRDefault="00601EEA" w:rsidP="00601EEA">
      <w:pPr>
        <w:pStyle w:val="SangriaFrancesaArticulo"/>
      </w:pPr>
      <w:r w:rsidRPr="00601EEA">
        <w:rPr>
          <w:rStyle w:val="TextoNormalNegritaCaracter"/>
        </w:rPr>
        <w:t>Artículo 87.3.</w:t>
      </w:r>
      <w:r w:rsidRPr="00601EEA">
        <w:rPr>
          <w:rStyle w:val="TextoNormalCaracter"/>
        </w:rPr>
        <w:t>-</w:t>
      </w:r>
      <w:r>
        <w:t xml:space="preserve"> Sentencia </w:t>
      </w:r>
      <w:hyperlink w:anchor="SENTENCIA_2024_11" w:history="1">
        <w:r w:rsidRPr="00601EEA">
          <w:rPr>
            <w:rStyle w:val="TextoNormalCaracter"/>
          </w:rPr>
          <w:t>11/2024</w:t>
        </w:r>
      </w:hyperlink>
      <w:r>
        <w:t>, f. 2.</w:t>
      </w:r>
    </w:p>
    <w:p w14:paraId="6647489D" w14:textId="120547D5" w:rsidR="00601EEA" w:rsidRDefault="00601EEA" w:rsidP="00601EEA">
      <w:pPr>
        <w:pStyle w:val="SangriaFrancesaArticulo"/>
      </w:pPr>
      <w:r w:rsidRPr="00601EEA">
        <w:rPr>
          <w:rStyle w:val="TextoNormalNegritaCaracter"/>
        </w:rPr>
        <w:t>Artículo 88.</w:t>
      </w:r>
      <w:r w:rsidRPr="00601EEA">
        <w:rPr>
          <w:rStyle w:val="TextoNormalCaracter"/>
        </w:rPr>
        <w:t>-</w:t>
      </w:r>
      <w:r>
        <w:t xml:space="preserve"> Sentencias </w:t>
      </w:r>
      <w:hyperlink w:anchor="SENTENCIA_2024_10" w:history="1">
        <w:r w:rsidRPr="00601EEA">
          <w:rPr>
            <w:rStyle w:val="TextoNormalCaracter"/>
          </w:rPr>
          <w:t>10/2024</w:t>
        </w:r>
      </w:hyperlink>
      <w:r>
        <w:t xml:space="preserve">, ff. 1, 4, VP I; </w:t>
      </w:r>
      <w:hyperlink w:anchor="SENTENCIA_2024_15" w:history="1">
        <w:r w:rsidRPr="00601EEA">
          <w:rPr>
            <w:rStyle w:val="TextoNormalCaracter"/>
          </w:rPr>
          <w:t>15/2024</w:t>
        </w:r>
      </w:hyperlink>
      <w:r>
        <w:t xml:space="preserve">, VP II; </w:t>
      </w:r>
      <w:hyperlink w:anchor="SENTENCIA_2024_30" w:history="1">
        <w:r w:rsidRPr="00601EEA">
          <w:rPr>
            <w:rStyle w:val="TextoNormalCaracter"/>
          </w:rPr>
          <w:t>30/2024</w:t>
        </w:r>
      </w:hyperlink>
      <w:r>
        <w:t xml:space="preserve">, VP II; </w:t>
      </w:r>
      <w:hyperlink w:anchor="SENTENCIA_2024_93" w:history="1">
        <w:r w:rsidRPr="00601EEA">
          <w:rPr>
            <w:rStyle w:val="TextoNormalCaracter"/>
          </w:rPr>
          <w:t>93/2024</w:t>
        </w:r>
      </w:hyperlink>
      <w:r>
        <w:t>, f. 4, VP I.</w:t>
      </w:r>
    </w:p>
    <w:p w14:paraId="2356B552" w14:textId="0ECDC206" w:rsidR="00601EEA" w:rsidRDefault="00601EEA" w:rsidP="00601EEA">
      <w:pPr>
        <w:pStyle w:val="SangriaFrancesaArticulo"/>
      </w:pPr>
      <w:r w:rsidRPr="00601EEA">
        <w:rPr>
          <w:rStyle w:val="TextoNormalNegritaCaracter"/>
        </w:rPr>
        <w:t>Artículo 89.1.</w:t>
      </w:r>
      <w:r w:rsidRPr="00601EEA">
        <w:rPr>
          <w:rStyle w:val="TextoNormalCaracter"/>
        </w:rPr>
        <w:t>-</w:t>
      </w:r>
      <w:r>
        <w:t xml:space="preserve"> Sentencia </w:t>
      </w:r>
      <w:hyperlink w:anchor="SENTENCIA_2024_15" w:history="1">
        <w:r w:rsidRPr="00601EEA">
          <w:rPr>
            <w:rStyle w:val="TextoNormalCaracter"/>
          </w:rPr>
          <w:t>15/2024</w:t>
        </w:r>
      </w:hyperlink>
      <w:r>
        <w:t>, f. 3.</w:t>
      </w:r>
    </w:p>
    <w:p w14:paraId="00D78332" w14:textId="0349CE07" w:rsidR="00601EEA" w:rsidRDefault="00601EEA" w:rsidP="00601EEA">
      <w:pPr>
        <w:pStyle w:val="SangriaFrancesaArticulo"/>
      </w:pPr>
      <w:r w:rsidRPr="00601EEA">
        <w:rPr>
          <w:rStyle w:val="TextoNormalNegritaCaracter"/>
        </w:rPr>
        <w:t>Artículo 90.2.</w:t>
      </w:r>
      <w:r w:rsidRPr="00601EEA">
        <w:rPr>
          <w:rStyle w:val="TextoNormalCaracter"/>
        </w:rPr>
        <w:t>-</w:t>
      </w:r>
      <w:r>
        <w:t xml:space="preserve"> Sentencia </w:t>
      </w:r>
      <w:hyperlink w:anchor="SENTENCIA_2024_46" w:history="1">
        <w:r w:rsidRPr="00601EEA">
          <w:rPr>
            <w:rStyle w:val="TextoNormalCaracter"/>
          </w:rPr>
          <w:t>46/2024</w:t>
        </w:r>
      </w:hyperlink>
      <w:r>
        <w:t>, VP I.</w:t>
      </w:r>
    </w:p>
    <w:p w14:paraId="5A180C5F" w14:textId="3D498436" w:rsidR="00601EEA" w:rsidRDefault="00601EEA" w:rsidP="00601EEA">
      <w:pPr>
        <w:pStyle w:val="SangriaFrancesaArticulo"/>
      </w:pPr>
      <w:r w:rsidRPr="00601EEA">
        <w:rPr>
          <w:rStyle w:val="TextoNormalNegritaCaracter"/>
        </w:rPr>
        <w:t>Artículo 93.</w:t>
      </w:r>
      <w:r w:rsidRPr="00601EEA">
        <w:rPr>
          <w:rStyle w:val="TextoNormalCaracter"/>
        </w:rPr>
        <w:t>-</w:t>
      </w:r>
      <w:r>
        <w:t xml:space="preserve"> Sentencias </w:t>
      </w:r>
      <w:hyperlink w:anchor="SENTENCIA_2024_15" w:history="1">
        <w:r w:rsidRPr="00601EEA">
          <w:rPr>
            <w:rStyle w:val="TextoNormalCaracter"/>
          </w:rPr>
          <w:t>15/2024</w:t>
        </w:r>
      </w:hyperlink>
      <w:r>
        <w:t xml:space="preserve">, ff. 1 a 3, 8, VP II; </w:t>
      </w:r>
      <w:hyperlink w:anchor="SENTENCIA_2024_30" w:history="1">
        <w:r w:rsidRPr="00601EEA">
          <w:rPr>
            <w:rStyle w:val="TextoNormalCaracter"/>
          </w:rPr>
          <w:t>30/2024</w:t>
        </w:r>
      </w:hyperlink>
      <w:r>
        <w:t>, VP II.</w:t>
      </w:r>
    </w:p>
    <w:p w14:paraId="24DB6CAD" w14:textId="6D9CB163" w:rsidR="00601EEA" w:rsidRDefault="00601EEA" w:rsidP="00601EEA">
      <w:pPr>
        <w:pStyle w:val="SangriaFrancesaArticulo"/>
      </w:pPr>
      <w:r w:rsidRPr="00601EEA">
        <w:rPr>
          <w:rStyle w:val="TextoNormalNegritaCaracter"/>
        </w:rPr>
        <w:t>Artículo 96.</w:t>
      </w:r>
      <w:r w:rsidRPr="00601EEA">
        <w:rPr>
          <w:rStyle w:val="TextoNormalCaracter"/>
        </w:rPr>
        <w:t>-</w:t>
      </w:r>
      <w:r>
        <w:t xml:space="preserve"> Sentencia </w:t>
      </w:r>
      <w:hyperlink w:anchor="SENTENCIA_2024_17" w:history="1">
        <w:r w:rsidRPr="00601EEA">
          <w:rPr>
            <w:rStyle w:val="TextoNormalCaracter"/>
          </w:rPr>
          <w:t>17/2024</w:t>
        </w:r>
      </w:hyperlink>
      <w:r>
        <w:t>, f. 3.</w:t>
      </w:r>
    </w:p>
    <w:p w14:paraId="6CAC9C08" w14:textId="66136F57" w:rsidR="00601EEA" w:rsidRDefault="00601EEA" w:rsidP="00601EEA">
      <w:pPr>
        <w:pStyle w:val="SangriaFrancesaArticulo"/>
      </w:pPr>
      <w:r w:rsidRPr="00601EEA">
        <w:rPr>
          <w:rStyle w:val="TextoNormalNegritaCaracter"/>
        </w:rPr>
        <w:t>Artículo 96</w:t>
      </w:r>
      <w:r>
        <w:t xml:space="preserve"> (incumplimiento de los convenios de doble imposición suscritos por España)</w:t>
      </w:r>
      <w:r w:rsidRPr="00601EEA">
        <w:rPr>
          <w:rStyle w:val="TextoNormalNegritaCaracter"/>
        </w:rPr>
        <w:t>.</w:t>
      </w:r>
      <w:r w:rsidRPr="00601EEA">
        <w:rPr>
          <w:rStyle w:val="TextoNormalCaracter"/>
        </w:rPr>
        <w:t>-</w:t>
      </w:r>
      <w:r>
        <w:t xml:space="preserve"> Sentencia </w:t>
      </w:r>
      <w:hyperlink w:anchor="SENTENCIA_2024_11" w:history="1">
        <w:r w:rsidRPr="00601EEA">
          <w:rPr>
            <w:rStyle w:val="TextoNormalCaracter"/>
          </w:rPr>
          <w:t>11/2024</w:t>
        </w:r>
      </w:hyperlink>
      <w:r>
        <w:t>, f. 1.</w:t>
      </w:r>
    </w:p>
    <w:p w14:paraId="4A7EE816" w14:textId="510DCBBD" w:rsidR="00601EEA" w:rsidRDefault="00601EEA" w:rsidP="00601EEA">
      <w:pPr>
        <w:pStyle w:val="SangriaFrancesaArticulo"/>
      </w:pPr>
      <w:r w:rsidRPr="00601EEA">
        <w:rPr>
          <w:rStyle w:val="TextoNormalNegritaCaracter"/>
        </w:rPr>
        <w:t>Artículo 96.1.</w:t>
      </w:r>
      <w:r w:rsidRPr="00601EEA">
        <w:rPr>
          <w:rStyle w:val="TextoNormalCaracter"/>
        </w:rPr>
        <w:t>-</w:t>
      </w:r>
      <w:r>
        <w:t xml:space="preserve"> Sentencias </w:t>
      </w:r>
      <w:hyperlink w:anchor="SENTENCIA_2024_11" w:history="1">
        <w:r w:rsidRPr="00601EEA">
          <w:rPr>
            <w:rStyle w:val="TextoNormalCaracter"/>
          </w:rPr>
          <w:t>11/2024</w:t>
        </w:r>
      </w:hyperlink>
      <w:r>
        <w:t xml:space="preserve">, f. 4; </w:t>
      </w:r>
      <w:hyperlink w:anchor="SENTENCIA_2024_38" w:history="1">
        <w:r w:rsidRPr="00601EEA">
          <w:rPr>
            <w:rStyle w:val="TextoNormalCaracter"/>
          </w:rPr>
          <w:t>38/2024</w:t>
        </w:r>
      </w:hyperlink>
      <w:r>
        <w:t xml:space="preserve">, f. 1; </w:t>
      </w:r>
      <w:hyperlink w:anchor="SENTENCIA_2024_48" w:history="1">
        <w:r w:rsidRPr="00601EEA">
          <w:rPr>
            <w:rStyle w:val="TextoNormalCaracter"/>
          </w:rPr>
          <w:t>48/2024</w:t>
        </w:r>
      </w:hyperlink>
      <w:r>
        <w:t xml:space="preserve">, f. 2; </w:t>
      </w:r>
      <w:hyperlink w:anchor="SENTENCIA_2024_61" w:history="1">
        <w:r w:rsidRPr="00601EEA">
          <w:rPr>
            <w:rStyle w:val="TextoNormalCaracter"/>
          </w:rPr>
          <w:t>61/2024</w:t>
        </w:r>
      </w:hyperlink>
      <w:r>
        <w:t>, ff. 2, 4.</w:t>
      </w:r>
    </w:p>
    <w:p w14:paraId="41FD944A" w14:textId="03851C89" w:rsidR="00601EEA" w:rsidRDefault="00601EEA" w:rsidP="00601EEA">
      <w:pPr>
        <w:pStyle w:val="SangriaFrancesaArticulo"/>
      </w:pPr>
      <w:r w:rsidRPr="00601EEA">
        <w:rPr>
          <w:rStyle w:val="TextoNormalNegritaCaracter"/>
        </w:rPr>
        <w:t>Artículo 96.2.</w:t>
      </w:r>
      <w:r w:rsidRPr="00601EEA">
        <w:rPr>
          <w:rStyle w:val="TextoNormalCaracter"/>
        </w:rPr>
        <w:t>-</w:t>
      </w:r>
      <w:r>
        <w:t xml:space="preserve"> Auto </w:t>
      </w:r>
      <w:hyperlink w:anchor="AUTO_2024_57" w:history="1">
        <w:r w:rsidRPr="00601EEA">
          <w:rPr>
            <w:rStyle w:val="TextoNormalCaracter"/>
          </w:rPr>
          <w:t>57/2024</w:t>
        </w:r>
      </w:hyperlink>
      <w:r>
        <w:t>, VP II.</w:t>
      </w:r>
    </w:p>
    <w:p w14:paraId="13C9314A" w14:textId="712472EF" w:rsidR="00601EEA" w:rsidRDefault="00601EEA" w:rsidP="00601EEA">
      <w:pPr>
        <w:pStyle w:val="SangriaFrancesaArticulo"/>
      </w:pPr>
      <w:r w:rsidRPr="00601EEA">
        <w:rPr>
          <w:rStyle w:val="TextoNormalNegritaCaracter"/>
        </w:rPr>
        <w:t>Artículo 97.</w:t>
      </w:r>
      <w:r w:rsidRPr="00601EEA">
        <w:rPr>
          <w:rStyle w:val="TextoNormalCaracter"/>
        </w:rPr>
        <w:t>-</w:t>
      </w:r>
      <w:r>
        <w:t xml:space="preserve"> Sentencias </w:t>
      </w:r>
      <w:hyperlink w:anchor="SENTENCIA_2024_20" w:history="1">
        <w:r w:rsidRPr="00601EEA">
          <w:rPr>
            <w:rStyle w:val="TextoNormalCaracter"/>
          </w:rPr>
          <w:t>20/2024</w:t>
        </w:r>
      </w:hyperlink>
      <w:r>
        <w:t xml:space="preserve">, VP; </w:t>
      </w:r>
      <w:hyperlink w:anchor="SENTENCIA_2024_93" w:history="1">
        <w:r w:rsidRPr="00601EEA">
          <w:rPr>
            <w:rStyle w:val="TextoNormalCaracter"/>
          </w:rPr>
          <w:t>93/2024</w:t>
        </w:r>
      </w:hyperlink>
      <w:r>
        <w:t>, f. 4, VP II.</w:t>
      </w:r>
    </w:p>
    <w:p w14:paraId="0CB598D5" w14:textId="4A201624" w:rsidR="00601EEA" w:rsidRDefault="00601EEA" w:rsidP="00601EEA">
      <w:pPr>
        <w:pStyle w:val="SangriaFrancesaArticulo"/>
      </w:pPr>
      <w:r w:rsidRPr="00601EEA">
        <w:rPr>
          <w:rStyle w:val="TextoNormalNegritaCaracter"/>
        </w:rPr>
        <w:t>Artículo 103.</w:t>
      </w:r>
      <w:r w:rsidRPr="00601EEA">
        <w:rPr>
          <w:rStyle w:val="TextoNormalCaracter"/>
        </w:rPr>
        <w:t>-</w:t>
      </w:r>
      <w:r>
        <w:t xml:space="preserve"> Sentencia </w:t>
      </w:r>
      <w:hyperlink w:anchor="SENTENCIA_2024_93" w:history="1">
        <w:r w:rsidRPr="00601EEA">
          <w:rPr>
            <w:rStyle w:val="TextoNormalCaracter"/>
          </w:rPr>
          <w:t>93/2024</w:t>
        </w:r>
      </w:hyperlink>
      <w:r>
        <w:t>, VP II.</w:t>
      </w:r>
    </w:p>
    <w:p w14:paraId="1B8FAB29" w14:textId="7928DDA9" w:rsidR="00601EEA" w:rsidRDefault="00601EEA" w:rsidP="00601EEA">
      <w:pPr>
        <w:pStyle w:val="SangriaFrancesaArticulo"/>
      </w:pPr>
      <w:r w:rsidRPr="00601EEA">
        <w:rPr>
          <w:rStyle w:val="TextoNormalNegritaCaracter"/>
        </w:rPr>
        <w:t>Artículo 103.1.</w:t>
      </w:r>
      <w:r w:rsidRPr="00601EEA">
        <w:rPr>
          <w:rStyle w:val="TextoNormalCaracter"/>
        </w:rPr>
        <w:t>-</w:t>
      </w:r>
      <w:r>
        <w:t xml:space="preserve"> Sentencias </w:t>
      </w:r>
      <w:hyperlink w:anchor="SENTENCIA_2024_89" w:history="1">
        <w:r w:rsidRPr="00601EEA">
          <w:rPr>
            <w:rStyle w:val="TextoNormalCaracter"/>
          </w:rPr>
          <w:t>89/2024</w:t>
        </w:r>
      </w:hyperlink>
      <w:r>
        <w:t xml:space="preserve">, f. 2; </w:t>
      </w:r>
      <w:hyperlink w:anchor="SENTENCIA_2024_92" w:history="1">
        <w:r w:rsidRPr="00601EEA">
          <w:rPr>
            <w:rStyle w:val="TextoNormalCaracter"/>
          </w:rPr>
          <w:t>92/2024</w:t>
        </w:r>
      </w:hyperlink>
      <w:r>
        <w:t>, ff. 1, 3 a 5.</w:t>
      </w:r>
    </w:p>
    <w:p w14:paraId="6A8F2242" w14:textId="7B43F29F" w:rsidR="00601EEA" w:rsidRDefault="00601EEA" w:rsidP="00601EEA">
      <w:pPr>
        <w:pStyle w:val="SangriaFrancesaArticulo"/>
      </w:pPr>
      <w:r w:rsidRPr="00601EEA">
        <w:rPr>
          <w:rStyle w:val="TextoNormalNegritaCaracter"/>
        </w:rPr>
        <w:t>Artículo 103.3.</w:t>
      </w:r>
      <w:r w:rsidRPr="00601EEA">
        <w:rPr>
          <w:rStyle w:val="TextoNormalCaracter"/>
        </w:rPr>
        <w:t>-</w:t>
      </w:r>
      <w:r>
        <w:t xml:space="preserve"> Sentencia </w:t>
      </w:r>
      <w:hyperlink w:anchor="SENTENCIA_2024_15" w:history="1">
        <w:r w:rsidRPr="00601EEA">
          <w:rPr>
            <w:rStyle w:val="TextoNormalCaracter"/>
          </w:rPr>
          <w:t>15/2024</w:t>
        </w:r>
      </w:hyperlink>
      <w:r>
        <w:t>, f. 4.</w:t>
      </w:r>
    </w:p>
    <w:p w14:paraId="691A2679" w14:textId="5227B43B" w:rsidR="00601EEA" w:rsidRDefault="00601EEA" w:rsidP="00601EEA">
      <w:pPr>
        <w:pStyle w:val="SangriaFrancesaArticulo"/>
      </w:pPr>
      <w:r w:rsidRPr="00601EEA">
        <w:rPr>
          <w:rStyle w:val="TextoNormalNegritaCaracter"/>
        </w:rPr>
        <w:t>Artículo 106.</w:t>
      </w:r>
      <w:r w:rsidRPr="00601EEA">
        <w:rPr>
          <w:rStyle w:val="TextoNormalCaracter"/>
        </w:rPr>
        <w:t>-</w:t>
      </w:r>
      <w:r>
        <w:t xml:space="preserve"> Sentencia </w:t>
      </w:r>
      <w:hyperlink w:anchor="SENTENCIA_2024_93" w:history="1">
        <w:r w:rsidRPr="00601EEA">
          <w:rPr>
            <w:rStyle w:val="TextoNormalCaracter"/>
          </w:rPr>
          <w:t>93/2024</w:t>
        </w:r>
      </w:hyperlink>
      <w:r>
        <w:t>, f. 4.</w:t>
      </w:r>
    </w:p>
    <w:p w14:paraId="5FBAD045" w14:textId="1BC3633A" w:rsidR="00601EEA" w:rsidRDefault="00601EEA" w:rsidP="00601EEA">
      <w:pPr>
        <w:pStyle w:val="SangriaFrancesaArticulo"/>
      </w:pPr>
      <w:r w:rsidRPr="00601EEA">
        <w:rPr>
          <w:rStyle w:val="TextoNormalNegritaCaracter"/>
        </w:rPr>
        <w:t>Artículo 109.</w:t>
      </w:r>
      <w:r w:rsidRPr="00601EEA">
        <w:rPr>
          <w:rStyle w:val="TextoNormalCaracter"/>
        </w:rPr>
        <w:t>-</w:t>
      </w:r>
      <w:r>
        <w:t xml:space="preserve"> Sentencias </w:t>
      </w:r>
      <w:hyperlink w:anchor="SENTENCIA_2024_10" w:history="1">
        <w:r w:rsidRPr="00601EEA">
          <w:rPr>
            <w:rStyle w:val="TextoNormalCaracter"/>
          </w:rPr>
          <w:t>10/2024</w:t>
        </w:r>
      </w:hyperlink>
      <w:r>
        <w:t xml:space="preserve">, f. 1, VP I; </w:t>
      </w:r>
      <w:hyperlink w:anchor="SENTENCIA_2024_30" w:history="1">
        <w:r w:rsidRPr="00601EEA">
          <w:rPr>
            <w:rStyle w:val="TextoNormalCaracter"/>
          </w:rPr>
          <w:t>30/2024</w:t>
        </w:r>
      </w:hyperlink>
      <w:r>
        <w:t>, VP II.</w:t>
      </w:r>
    </w:p>
    <w:p w14:paraId="6188104D" w14:textId="1F436D7C" w:rsidR="00601EEA" w:rsidRDefault="00601EEA" w:rsidP="00601EEA">
      <w:pPr>
        <w:pStyle w:val="SangriaFrancesaArticulo"/>
      </w:pPr>
      <w:r w:rsidRPr="00601EEA">
        <w:rPr>
          <w:rStyle w:val="TextoNormalNegritaCaracter"/>
        </w:rPr>
        <w:t>Artículo 116.</w:t>
      </w:r>
      <w:r w:rsidRPr="00601EEA">
        <w:rPr>
          <w:rStyle w:val="TextoNormalCaracter"/>
        </w:rPr>
        <w:t>-</w:t>
      </w:r>
      <w:r>
        <w:t xml:space="preserve"> Sentencia </w:t>
      </w:r>
      <w:hyperlink w:anchor="SENTENCIA_2024_15" w:history="1">
        <w:r w:rsidRPr="00601EEA">
          <w:rPr>
            <w:rStyle w:val="TextoNormalCaracter"/>
          </w:rPr>
          <w:t>15/2024</w:t>
        </w:r>
      </w:hyperlink>
      <w:r>
        <w:t>, ff. 2, 5.</w:t>
      </w:r>
    </w:p>
    <w:p w14:paraId="547895B0" w14:textId="28B5498C" w:rsidR="00601EEA" w:rsidRDefault="00601EEA" w:rsidP="00601EEA">
      <w:pPr>
        <w:pStyle w:val="SangriaFrancesaArticulo"/>
      </w:pPr>
      <w:r w:rsidRPr="00601EEA">
        <w:rPr>
          <w:rStyle w:val="TextoNormalNegritaCaracter"/>
        </w:rPr>
        <w:t>Artículo 116.2.</w:t>
      </w:r>
      <w:r w:rsidRPr="00601EEA">
        <w:rPr>
          <w:rStyle w:val="TextoNormalCaracter"/>
        </w:rPr>
        <w:t>-</w:t>
      </w:r>
      <w:r>
        <w:t xml:space="preserve"> Sentencia </w:t>
      </w:r>
      <w:hyperlink w:anchor="SENTENCIA_2024_7" w:history="1">
        <w:r w:rsidRPr="00601EEA">
          <w:rPr>
            <w:rStyle w:val="TextoNormalCaracter"/>
          </w:rPr>
          <w:t>7/2024</w:t>
        </w:r>
      </w:hyperlink>
      <w:r>
        <w:t>, VP.</w:t>
      </w:r>
    </w:p>
    <w:p w14:paraId="45086D1C" w14:textId="1897F738" w:rsidR="00601EEA" w:rsidRDefault="00601EEA" w:rsidP="00601EEA">
      <w:pPr>
        <w:pStyle w:val="SangriaFrancesaArticulo"/>
      </w:pPr>
      <w:r w:rsidRPr="00601EEA">
        <w:rPr>
          <w:rStyle w:val="TextoNormalNegritaCaracter"/>
        </w:rPr>
        <w:t>Artículo 117.</w:t>
      </w:r>
      <w:r w:rsidRPr="00601EEA">
        <w:rPr>
          <w:rStyle w:val="TextoNormalCaracter"/>
        </w:rPr>
        <w:t>-</w:t>
      </w:r>
      <w:r>
        <w:t xml:space="preserve"> Sentencias </w:t>
      </w:r>
      <w:hyperlink w:anchor="SENTENCIA_2024_7" w:history="1">
        <w:r w:rsidRPr="00601EEA">
          <w:rPr>
            <w:rStyle w:val="TextoNormalCaracter"/>
          </w:rPr>
          <w:t>7/2024</w:t>
        </w:r>
      </w:hyperlink>
      <w:r>
        <w:t xml:space="preserve">, ff. 1, 2; </w:t>
      </w:r>
      <w:hyperlink w:anchor="SENTENCIA_2024_61" w:history="1">
        <w:r w:rsidRPr="00601EEA">
          <w:rPr>
            <w:rStyle w:val="TextoNormalCaracter"/>
          </w:rPr>
          <w:t>61/2024</w:t>
        </w:r>
      </w:hyperlink>
      <w:r>
        <w:t>, VP.</w:t>
      </w:r>
    </w:p>
    <w:p w14:paraId="45A786E6" w14:textId="1559BCAC" w:rsidR="00601EEA" w:rsidRDefault="00601EEA" w:rsidP="00601EEA">
      <w:pPr>
        <w:pStyle w:val="SangriaFrancesaArticulo"/>
      </w:pPr>
      <w:r w:rsidRPr="00601EEA">
        <w:rPr>
          <w:rStyle w:val="TextoNormalNegritaCaracter"/>
        </w:rPr>
        <w:t>Artículo 117.1.</w:t>
      </w:r>
      <w:r w:rsidRPr="00601EEA">
        <w:rPr>
          <w:rStyle w:val="TextoNormalCaracter"/>
        </w:rPr>
        <w:t>-</w:t>
      </w:r>
      <w:r>
        <w:t xml:space="preserve"> Sentencias </w:t>
      </w:r>
      <w:hyperlink w:anchor="SENTENCIA_2024_8" w:history="1">
        <w:r w:rsidRPr="00601EEA">
          <w:rPr>
            <w:rStyle w:val="TextoNormalCaracter"/>
          </w:rPr>
          <w:t>8/2024</w:t>
        </w:r>
      </w:hyperlink>
      <w:r>
        <w:t xml:space="preserve">, VP I; </w:t>
      </w:r>
      <w:hyperlink w:anchor="SENTENCIA_2024_15" w:history="1">
        <w:r w:rsidRPr="00601EEA">
          <w:rPr>
            <w:rStyle w:val="TextoNormalCaracter"/>
          </w:rPr>
          <w:t>15/2024</w:t>
        </w:r>
      </w:hyperlink>
      <w:r>
        <w:t xml:space="preserve">, f. 3; </w:t>
      </w:r>
      <w:hyperlink w:anchor="SENTENCIA_2024_93" w:history="1">
        <w:r w:rsidRPr="00601EEA">
          <w:rPr>
            <w:rStyle w:val="TextoNormalCaracter"/>
          </w:rPr>
          <w:t>93/2024</w:t>
        </w:r>
      </w:hyperlink>
      <w:r>
        <w:t>, ff. 3, 4.</w:t>
      </w:r>
    </w:p>
    <w:p w14:paraId="1A290A55" w14:textId="589C028A" w:rsidR="00601EEA" w:rsidRDefault="00601EEA" w:rsidP="00601EEA">
      <w:pPr>
        <w:pStyle w:val="SangriaFrancesaArticulo"/>
      </w:pPr>
      <w:r w:rsidRPr="00601EEA">
        <w:rPr>
          <w:rStyle w:val="TextoNormalNegritaCaracter"/>
        </w:rPr>
        <w:t>Artículo 117.3.</w:t>
      </w:r>
      <w:r w:rsidRPr="00601EEA">
        <w:rPr>
          <w:rStyle w:val="TextoNormalCaracter"/>
        </w:rPr>
        <w:t>-</w:t>
      </w:r>
      <w:r>
        <w:t xml:space="preserve"> Sentencias </w:t>
      </w:r>
      <w:hyperlink w:anchor="SENTENCIA_2024_2" w:history="1">
        <w:r w:rsidRPr="00601EEA">
          <w:rPr>
            <w:rStyle w:val="TextoNormalCaracter"/>
          </w:rPr>
          <w:t>2/2024</w:t>
        </w:r>
      </w:hyperlink>
      <w:r>
        <w:t xml:space="preserve">, f. 1; </w:t>
      </w:r>
      <w:hyperlink w:anchor="SENTENCIA_2024_8" w:history="1">
        <w:r w:rsidRPr="00601EEA">
          <w:rPr>
            <w:rStyle w:val="TextoNormalCaracter"/>
          </w:rPr>
          <w:t>8/2024</w:t>
        </w:r>
      </w:hyperlink>
      <w:r>
        <w:t xml:space="preserve">, f. 6; </w:t>
      </w:r>
      <w:hyperlink w:anchor="SENTENCIA_2024_26" w:history="1">
        <w:r w:rsidRPr="00601EEA">
          <w:rPr>
            <w:rStyle w:val="TextoNormalCaracter"/>
          </w:rPr>
          <w:t>26/2024</w:t>
        </w:r>
      </w:hyperlink>
      <w:r>
        <w:t xml:space="preserve">, VP I; </w:t>
      </w:r>
      <w:hyperlink w:anchor="SENTENCIA_2024_48" w:history="1">
        <w:r w:rsidRPr="00601EEA">
          <w:rPr>
            <w:rStyle w:val="TextoNormalCaracter"/>
          </w:rPr>
          <w:t>48/2024</w:t>
        </w:r>
      </w:hyperlink>
      <w:r>
        <w:t xml:space="preserve">, f. 3; </w:t>
      </w:r>
      <w:hyperlink w:anchor="SENTENCIA_2024_55" w:history="1">
        <w:r w:rsidRPr="00601EEA">
          <w:rPr>
            <w:rStyle w:val="TextoNormalCaracter"/>
          </w:rPr>
          <w:t>55/2024</w:t>
        </w:r>
      </w:hyperlink>
      <w:r>
        <w:t xml:space="preserve">, f. 3; </w:t>
      </w:r>
      <w:hyperlink w:anchor="SENTENCIA_2024_76" w:history="1">
        <w:r w:rsidRPr="00601EEA">
          <w:rPr>
            <w:rStyle w:val="TextoNormalCaracter"/>
          </w:rPr>
          <w:t>76/2024</w:t>
        </w:r>
      </w:hyperlink>
      <w:r>
        <w:t xml:space="preserve">, VP; </w:t>
      </w:r>
      <w:hyperlink w:anchor="SENTENCIA_2024_80" w:history="1">
        <w:r w:rsidRPr="00601EEA">
          <w:rPr>
            <w:rStyle w:val="TextoNormalCaracter"/>
          </w:rPr>
          <w:t>80/2024</w:t>
        </w:r>
      </w:hyperlink>
      <w:r>
        <w:t xml:space="preserve">, f. 4; </w:t>
      </w:r>
      <w:hyperlink w:anchor="SENTENCIA_2024_82" w:history="1">
        <w:r w:rsidRPr="00601EEA">
          <w:rPr>
            <w:rStyle w:val="TextoNormalCaracter"/>
          </w:rPr>
          <w:t>82/2024</w:t>
        </w:r>
      </w:hyperlink>
      <w:r>
        <w:t xml:space="preserve">, f. 2; </w:t>
      </w:r>
      <w:hyperlink w:anchor="SENTENCIA_2024_93" w:history="1">
        <w:r w:rsidRPr="00601EEA">
          <w:rPr>
            <w:rStyle w:val="TextoNormalCaracter"/>
          </w:rPr>
          <w:t>93/2024</w:t>
        </w:r>
      </w:hyperlink>
      <w:r>
        <w:t>, ff. 3, 4, VP II.</w:t>
      </w:r>
    </w:p>
    <w:p w14:paraId="1F285440" w14:textId="4E2DE945" w:rsidR="00601EEA" w:rsidRDefault="00601EEA" w:rsidP="00601EEA">
      <w:pPr>
        <w:pStyle w:val="SangriaIzquierdaArticulo"/>
      </w:pPr>
      <w:r>
        <w:t xml:space="preserve">Autos </w:t>
      </w:r>
      <w:hyperlink w:anchor="AUTO_2024_15" w:history="1">
        <w:r w:rsidRPr="00601EEA">
          <w:rPr>
            <w:rStyle w:val="TextoNormalCaracter"/>
          </w:rPr>
          <w:t>15/2024</w:t>
        </w:r>
      </w:hyperlink>
      <w:r>
        <w:t xml:space="preserve">, f. 2; </w:t>
      </w:r>
      <w:hyperlink w:anchor="AUTO_2024_20" w:history="1">
        <w:r w:rsidRPr="00601EEA">
          <w:rPr>
            <w:rStyle w:val="TextoNormalCaracter"/>
          </w:rPr>
          <w:t>20/2024</w:t>
        </w:r>
      </w:hyperlink>
      <w:r>
        <w:t xml:space="preserve">, ff. 1, 4; </w:t>
      </w:r>
      <w:hyperlink w:anchor="AUTO_2024_30" w:history="1">
        <w:r w:rsidRPr="00601EEA">
          <w:rPr>
            <w:rStyle w:val="TextoNormalCaracter"/>
          </w:rPr>
          <w:t>30/2024</w:t>
        </w:r>
      </w:hyperlink>
      <w:r>
        <w:t xml:space="preserve">, f. 2; </w:t>
      </w:r>
      <w:hyperlink w:anchor="AUTO_2024_36" w:history="1">
        <w:r w:rsidRPr="00601EEA">
          <w:rPr>
            <w:rStyle w:val="TextoNormalCaracter"/>
          </w:rPr>
          <w:t>36/2024</w:t>
        </w:r>
      </w:hyperlink>
      <w:r>
        <w:t xml:space="preserve">, f. 2; </w:t>
      </w:r>
      <w:hyperlink w:anchor="AUTO_2024_40" w:history="1">
        <w:r w:rsidRPr="00601EEA">
          <w:rPr>
            <w:rStyle w:val="TextoNormalCaracter"/>
          </w:rPr>
          <w:t>40/2024</w:t>
        </w:r>
      </w:hyperlink>
      <w:r>
        <w:t xml:space="preserve">, f. 1; </w:t>
      </w:r>
      <w:hyperlink w:anchor="AUTO_2024_53" w:history="1">
        <w:r w:rsidRPr="00601EEA">
          <w:rPr>
            <w:rStyle w:val="TextoNormalCaracter"/>
          </w:rPr>
          <w:t>53/2024</w:t>
        </w:r>
      </w:hyperlink>
      <w:r>
        <w:t xml:space="preserve">, f. 3; </w:t>
      </w:r>
      <w:hyperlink w:anchor="AUTO_2024_54" w:history="1">
        <w:r w:rsidRPr="00601EEA">
          <w:rPr>
            <w:rStyle w:val="TextoNormalCaracter"/>
          </w:rPr>
          <w:t>54/2024</w:t>
        </w:r>
      </w:hyperlink>
      <w:r>
        <w:t>, f. 1.</w:t>
      </w:r>
    </w:p>
    <w:p w14:paraId="589EB547" w14:textId="7A92BF6A" w:rsidR="00601EEA" w:rsidRDefault="00601EEA" w:rsidP="00601EEA">
      <w:pPr>
        <w:pStyle w:val="SangriaFrancesaArticulo"/>
      </w:pPr>
      <w:r w:rsidRPr="00601EEA">
        <w:rPr>
          <w:rStyle w:val="TextoNormalNegritaCaracter"/>
        </w:rPr>
        <w:t>Artículo 117.4.</w:t>
      </w:r>
      <w:r w:rsidRPr="00601EEA">
        <w:rPr>
          <w:rStyle w:val="TextoNormalCaracter"/>
        </w:rPr>
        <w:t>-</w:t>
      </w:r>
      <w:r>
        <w:t xml:space="preserve"> Sentencia </w:t>
      </w:r>
      <w:hyperlink w:anchor="SENTENCIA_2024_82" w:history="1">
        <w:r w:rsidRPr="00601EEA">
          <w:rPr>
            <w:rStyle w:val="TextoNormalCaracter"/>
          </w:rPr>
          <w:t>82/2024</w:t>
        </w:r>
      </w:hyperlink>
      <w:r>
        <w:t>, f. 2.</w:t>
      </w:r>
    </w:p>
    <w:p w14:paraId="4823970C" w14:textId="4A577C2C" w:rsidR="00601EEA" w:rsidRDefault="00601EEA" w:rsidP="00601EEA">
      <w:pPr>
        <w:pStyle w:val="SangriaFrancesaArticulo"/>
      </w:pPr>
      <w:r w:rsidRPr="00601EEA">
        <w:rPr>
          <w:rStyle w:val="TextoNormalNegritaCaracter"/>
        </w:rPr>
        <w:t>Artículo 118.</w:t>
      </w:r>
      <w:r w:rsidRPr="00601EEA">
        <w:rPr>
          <w:rStyle w:val="TextoNormalCaracter"/>
        </w:rPr>
        <w:t>-</w:t>
      </w:r>
      <w:r>
        <w:t xml:space="preserve"> Sentencia </w:t>
      </w:r>
      <w:hyperlink w:anchor="SENTENCIA_2024_7" w:history="1">
        <w:r w:rsidRPr="00601EEA">
          <w:rPr>
            <w:rStyle w:val="TextoNormalCaracter"/>
          </w:rPr>
          <w:t>7/2024</w:t>
        </w:r>
      </w:hyperlink>
      <w:r>
        <w:t>, ff. 1, 2.</w:t>
      </w:r>
    </w:p>
    <w:p w14:paraId="0020C64B" w14:textId="729EABD5" w:rsidR="00601EEA" w:rsidRDefault="00601EEA" w:rsidP="00601EEA">
      <w:pPr>
        <w:pStyle w:val="SangriaIzquierdaArticulo"/>
      </w:pPr>
      <w:r>
        <w:t xml:space="preserve">Auto </w:t>
      </w:r>
      <w:hyperlink w:anchor="AUTO_2024_20" w:history="1">
        <w:r w:rsidRPr="00601EEA">
          <w:rPr>
            <w:rStyle w:val="TextoNormalCaracter"/>
          </w:rPr>
          <w:t>20/2024</w:t>
        </w:r>
      </w:hyperlink>
      <w:r>
        <w:t>, f. 1.</w:t>
      </w:r>
    </w:p>
    <w:p w14:paraId="2885183A" w14:textId="5DA910F7" w:rsidR="00601EEA" w:rsidRDefault="00601EEA" w:rsidP="00601EEA">
      <w:pPr>
        <w:pStyle w:val="SangriaFrancesaArticulo"/>
      </w:pPr>
      <w:r w:rsidRPr="00601EEA">
        <w:rPr>
          <w:rStyle w:val="TextoNormalNegritaCaracter"/>
        </w:rPr>
        <w:t>Artículo 120.3.</w:t>
      </w:r>
      <w:r w:rsidRPr="00601EEA">
        <w:rPr>
          <w:rStyle w:val="TextoNormalCaracter"/>
        </w:rPr>
        <w:t>-</w:t>
      </w:r>
      <w:r>
        <w:t xml:space="preserve"> Sentencias </w:t>
      </w:r>
      <w:hyperlink w:anchor="SENTENCIA_2024_8" w:history="1">
        <w:r w:rsidRPr="00601EEA">
          <w:rPr>
            <w:rStyle w:val="TextoNormalCaracter"/>
          </w:rPr>
          <w:t>8/2024</w:t>
        </w:r>
      </w:hyperlink>
      <w:r>
        <w:t xml:space="preserve">, VP II; </w:t>
      </w:r>
      <w:hyperlink w:anchor="SENTENCIA_2024_27" w:history="1">
        <w:r w:rsidRPr="00601EEA">
          <w:rPr>
            <w:rStyle w:val="TextoNormalCaracter"/>
          </w:rPr>
          <w:t>27/2024</w:t>
        </w:r>
      </w:hyperlink>
      <w:r>
        <w:t xml:space="preserve">, f. 3; </w:t>
      </w:r>
      <w:hyperlink w:anchor="SENTENCIA_2024_38" w:history="1">
        <w:r w:rsidRPr="00601EEA">
          <w:rPr>
            <w:rStyle w:val="TextoNormalCaracter"/>
          </w:rPr>
          <w:t>38/2024</w:t>
        </w:r>
      </w:hyperlink>
      <w:r>
        <w:t xml:space="preserve">, f. 2; </w:t>
      </w:r>
      <w:hyperlink w:anchor="SENTENCIA_2024_72" w:history="1">
        <w:r w:rsidRPr="00601EEA">
          <w:rPr>
            <w:rStyle w:val="TextoNormalCaracter"/>
          </w:rPr>
          <w:t>72/2024</w:t>
        </w:r>
      </w:hyperlink>
      <w:r>
        <w:t xml:space="preserve">, f. 4; </w:t>
      </w:r>
      <w:hyperlink w:anchor="SENTENCIA_2024_80" w:history="1">
        <w:r w:rsidRPr="00601EEA">
          <w:rPr>
            <w:rStyle w:val="TextoNormalCaracter"/>
          </w:rPr>
          <w:t>80/2024</w:t>
        </w:r>
      </w:hyperlink>
      <w:r>
        <w:t>, f. 4.</w:t>
      </w:r>
    </w:p>
    <w:p w14:paraId="33B7CD7B" w14:textId="1EC75B28" w:rsidR="00601EEA" w:rsidRDefault="00601EEA" w:rsidP="00601EEA">
      <w:pPr>
        <w:pStyle w:val="SangriaFrancesaArticulo"/>
      </w:pPr>
      <w:r w:rsidRPr="00601EEA">
        <w:rPr>
          <w:rStyle w:val="TextoNormalNegritaCaracter"/>
        </w:rPr>
        <w:t>Artículo 121.</w:t>
      </w:r>
      <w:r w:rsidRPr="00601EEA">
        <w:rPr>
          <w:rStyle w:val="TextoNormalCaracter"/>
        </w:rPr>
        <w:t>-</w:t>
      </w:r>
      <w:r>
        <w:t xml:space="preserve"> Sentencia </w:t>
      </w:r>
      <w:hyperlink w:anchor="SENTENCIA_2024_61" w:history="1">
        <w:r w:rsidRPr="00601EEA">
          <w:rPr>
            <w:rStyle w:val="TextoNormalCaracter"/>
          </w:rPr>
          <w:t>61/2024</w:t>
        </w:r>
      </w:hyperlink>
      <w:r>
        <w:t>, VP.</w:t>
      </w:r>
    </w:p>
    <w:p w14:paraId="682A9733" w14:textId="7962E88D" w:rsidR="00601EEA" w:rsidRDefault="00601EEA" w:rsidP="00601EEA">
      <w:pPr>
        <w:pStyle w:val="SangriaFrancesaArticulo"/>
      </w:pPr>
      <w:r w:rsidRPr="00601EEA">
        <w:rPr>
          <w:rStyle w:val="TextoNormalNegritaCaracter"/>
        </w:rPr>
        <w:t>Artículo 122.</w:t>
      </w:r>
      <w:r w:rsidRPr="00601EEA">
        <w:rPr>
          <w:rStyle w:val="TextoNormalCaracter"/>
        </w:rPr>
        <w:t>-</w:t>
      </w:r>
      <w:r>
        <w:t xml:space="preserve"> Sentencia </w:t>
      </w:r>
      <w:hyperlink w:anchor="SENTENCIA_2024_15" w:history="1">
        <w:r w:rsidRPr="00601EEA">
          <w:rPr>
            <w:rStyle w:val="TextoNormalCaracter"/>
          </w:rPr>
          <w:t>15/2024</w:t>
        </w:r>
      </w:hyperlink>
      <w:r>
        <w:t>, ff. 1, 2, 4, 5.</w:t>
      </w:r>
    </w:p>
    <w:p w14:paraId="730C13D8" w14:textId="0588BA7B" w:rsidR="00601EEA" w:rsidRDefault="00601EEA" w:rsidP="00601EEA">
      <w:pPr>
        <w:pStyle w:val="SangriaFrancesaArticulo"/>
      </w:pPr>
      <w:r w:rsidRPr="00601EEA">
        <w:rPr>
          <w:rStyle w:val="TextoNormalNegritaCaracter"/>
        </w:rPr>
        <w:t>Artículo 122.1.</w:t>
      </w:r>
      <w:r w:rsidRPr="00601EEA">
        <w:rPr>
          <w:rStyle w:val="TextoNormalCaracter"/>
        </w:rPr>
        <w:t>-</w:t>
      </w:r>
      <w:r>
        <w:t xml:space="preserve"> Sentencia </w:t>
      </w:r>
      <w:hyperlink w:anchor="SENTENCIA_2024_15" w:history="1">
        <w:r w:rsidRPr="00601EEA">
          <w:rPr>
            <w:rStyle w:val="TextoNormalCaracter"/>
          </w:rPr>
          <w:t>15/2024</w:t>
        </w:r>
      </w:hyperlink>
      <w:r>
        <w:t>, f. 4.</w:t>
      </w:r>
    </w:p>
    <w:p w14:paraId="37654B9C" w14:textId="57283FDC" w:rsidR="00601EEA" w:rsidRDefault="00601EEA" w:rsidP="00601EEA">
      <w:pPr>
        <w:pStyle w:val="SangriaFrancesaArticulo"/>
      </w:pPr>
      <w:r w:rsidRPr="00601EEA">
        <w:rPr>
          <w:rStyle w:val="TextoNormalNegritaCaracter"/>
        </w:rPr>
        <w:t>Artículo 122.2.</w:t>
      </w:r>
      <w:r w:rsidRPr="00601EEA">
        <w:rPr>
          <w:rStyle w:val="TextoNormalCaracter"/>
        </w:rPr>
        <w:t>-</w:t>
      </w:r>
      <w:r>
        <w:t xml:space="preserve"> Sentencia </w:t>
      </w:r>
      <w:hyperlink w:anchor="SENTENCIA_2024_15" w:history="1">
        <w:r w:rsidRPr="00601EEA">
          <w:rPr>
            <w:rStyle w:val="TextoNormalCaracter"/>
          </w:rPr>
          <w:t>15/2024</w:t>
        </w:r>
      </w:hyperlink>
      <w:r>
        <w:t>, ff. 4, 5, 8, VP II.</w:t>
      </w:r>
    </w:p>
    <w:p w14:paraId="7B5DAC92" w14:textId="3C7FAFC3" w:rsidR="00601EEA" w:rsidRDefault="00601EEA" w:rsidP="00601EEA">
      <w:pPr>
        <w:pStyle w:val="SangriaFrancesaArticulo"/>
      </w:pPr>
      <w:r w:rsidRPr="00601EEA">
        <w:rPr>
          <w:rStyle w:val="TextoNormalNegritaCaracter"/>
        </w:rPr>
        <w:t>Artículo 122.3.</w:t>
      </w:r>
      <w:r w:rsidRPr="00601EEA">
        <w:rPr>
          <w:rStyle w:val="TextoNormalCaracter"/>
        </w:rPr>
        <w:t>-</w:t>
      </w:r>
      <w:r>
        <w:t xml:space="preserve"> Sentencia </w:t>
      </w:r>
      <w:hyperlink w:anchor="SENTENCIA_2024_15" w:history="1">
        <w:r w:rsidRPr="00601EEA">
          <w:rPr>
            <w:rStyle w:val="TextoNormalCaracter"/>
          </w:rPr>
          <w:t>15/2024</w:t>
        </w:r>
      </w:hyperlink>
      <w:r>
        <w:t>, ff. 4, 5, 8.</w:t>
      </w:r>
    </w:p>
    <w:p w14:paraId="1FC152F3" w14:textId="00D91F3F" w:rsidR="00601EEA" w:rsidRDefault="00601EEA" w:rsidP="00601EEA">
      <w:pPr>
        <w:pStyle w:val="SangriaFrancesaArticulo"/>
      </w:pPr>
      <w:r w:rsidRPr="00601EEA">
        <w:rPr>
          <w:rStyle w:val="TextoNormalNegritaCaracter"/>
        </w:rPr>
        <w:t>Artículo 123.</w:t>
      </w:r>
      <w:r w:rsidRPr="00601EEA">
        <w:rPr>
          <w:rStyle w:val="TextoNormalCaracter"/>
        </w:rPr>
        <w:t>-</w:t>
      </w:r>
      <w:r>
        <w:t xml:space="preserve"> Sentencias </w:t>
      </w:r>
      <w:hyperlink w:anchor="SENTENCIA_2024_72" w:history="1">
        <w:r w:rsidRPr="00601EEA">
          <w:rPr>
            <w:rStyle w:val="TextoNormalCaracter"/>
          </w:rPr>
          <w:t>72/2024</w:t>
        </w:r>
      </w:hyperlink>
      <w:r>
        <w:t xml:space="preserve">, VP; </w:t>
      </w:r>
      <w:hyperlink w:anchor="SENTENCIA_2024_93" w:history="1">
        <w:r w:rsidRPr="00601EEA">
          <w:rPr>
            <w:rStyle w:val="TextoNormalCaracter"/>
          </w:rPr>
          <w:t>93/2024</w:t>
        </w:r>
      </w:hyperlink>
      <w:r>
        <w:t>, VP II.</w:t>
      </w:r>
    </w:p>
    <w:p w14:paraId="0C0F662C" w14:textId="655CF8E4" w:rsidR="00601EEA" w:rsidRDefault="00601EEA" w:rsidP="00601EEA">
      <w:pPr>
        <w:pStyle w:val="SangriaFrancesaArticulo"/>
      </w:pPr>
      <w:r w:rsidRPr="00601EEA">
        <w:rPr>
          <w:rStyle w:val="TextoNormalNegritaCaracter"/>
        </w:rPr>
        <w:t>Artículo 123.1.</w:t>
      </w:r>
      <w:r w:rsidRPr="00601EEA">
        <w:rPr>
          <w:rStyle w:val="TextoNormalCaracter"/>
        </w:rPr>
        <w:t>-</w:t>
      </w:r>
      <w:r>
        <w:t xml:space="preserve"> Sentencias </w:t>
      </w:r>
      <w:hyperlink w:anchor="SENTENCIA_2024_18" w:history="1">
        <w:r w:rsidRPr="00601EEA">
          <w:rPr>
            <w:rStyle w:val="TextoNormalCaracter"/>
          </w:rPr>
          <w:t>18/2024</w:t>
        </w:r>
      </w:hyperlink>
      <w:r>
        <w:t xml:space="preserve">, VP; </w:t>
      </w:r>
      <w:hyperlink w:anchor="SENTENCIA_2024_48" w:history="1">
        <w:r w:rsidRPr="00601EEA">
          <w:rPr>
            <w:rStyle w:val="TextoNormalCaracter"/>
          </w:rPr>
          <w:t>48/2024</w:t>
        </w:r>
      </w:hyperlink>
      <w:r>
        <w:t xml:space="preserve">, f. 3; </w:t>
      </w:r>
      <w:hyperlink w:anchor="SENTENCIA_2024_93" w:history="1">
        <w:r w:rsidRPr="00601EEA">
          <w:rPr>
            <w:rStyle w:val="TextoNormalCaracter"/>
          </w:rPr>
          <w:t>93/2024</w:t>
        </w:r>
      </w:hyperlink>
      <w:r>
        <w:t>, VP I, VP II.</w:t>
      </w:r>
    </w:p>
    <w:p w14:paraId="2F8482A1" w14:textId="56E5E910" w:rsidR="00601EEA" w:rsidRDefault="00601EEA" w:rsidP="00601EEA">
      <w:pPr>
        <w:pStyle w:val="SangriaFrancesaArticulo"/>
      </w:pPr>
      <w:r w:rsidRPr="00601EEA">
        <w:rPr>
          <w:rStyle w:val="TextoNormalNegritaCaracter"/>
        </w:rPr>
        <w:t>Artículo 123.2.</w:t>
      </w:r>
      <w:r w:rsidRPr="00601EEA">
        <w:rPr>
          <w:rStyle w:val="TextoNormalCaracter"/>
        </w:rPr>
        <w:t>-</w:t>
      </w:r>
      <w:r>
        <w:t xml:space="preserve"> Sentencia </w:t>
      </w:r>
      <w:hyperlink w:anchor="SENTENCIA_2024_15" w:history="1">
        <w:r w:rsidRPr="00601EEA">
          <w:rPr>
            <w:rStyle w:val="TextoNormalCaracter"/>
          </w:rPr>
          <w:t>15/2024</w:t>
        </w:r>
      </w:hyperlink>
      <w:r>
        <w:t>, f. 2.</w:t>
      </w:r>
    </w:p>
    <w:p w14:paraId="32BCDB7E" w14:textId="1A0AE18E" w:rsidR="00601EEA" w:rsidRDefault="00601EEA" w:rsidP="00601EEA">
      <w:pPr>
        <w:pStyle w:val="SangriaFrancesaArticulo"/>
      </w:pPr>
      <w:r w:rsidRPr="00601EEA">
        <w:rPr>
          <w:rStyle w:val="TextoNormalNegritaCaracter"/>
        </w:rPr>
        <w:t>Artículo 124.</w:t>
      </w:r>
      <w:r w:rsidRPr="00601EEA">
        <w:rPr>
          <w:rStyle w:val="TextoNormalCaracter"/>
        </w:rPr>
        <w:t>-</w:t>
      </w:r>
      <w:r>
        <w:t xml:space="preserve"> Sentencias </w:t>
      </w:r>
      <w:hyperlink w:anchor="SENTENCIA_2024_15" w:history="1">
        <w:r w:rsidRPr="00601EEA">
          <w:rPr>
            <w:rStyle w:val="TextoNormalCaracter"/>
          </w:rPr>
          <w:t>15/2024</w:t>
        </w:r>
      </w:hyperlink>
      <w:r>
        <w:t xml:space="preserve">, f. 3; </w:t>
      </w:r>
      <w:hyperlink w:anchor="SENTENCIA_2024_75" w:history="1">
        <w:r w:rsidRPr="00601EEA">
          <w:rPr>
            <w:rStyle w:val="TextoNormalCaracter"/>
          </w:rPr>
          <w:t>75/2024</w:t>
        </w:r>
      </w:hyperlink>
      <w:r>
        <w:t>, VP I.</w:t>
      </w:r>
    </w:p>
    <w:p w14:paraId="61D682FD" w14:textId="788FCB38" w:rsidR="00601EEA" w:rsidRDefault="00601EEA" w:rsidP="00601EEA">
      <w:pPr>
        <w:pStyle w:val="SangriaFrancesaArticulo"/>
      </w:pPr>
      <w:r w:rsidRPr="00601EEA">
        <w:rPr>
          <w:rStyle w:val="TextoNormalNegritaCaracter"/>
        </w:rPr>
        <w:t>Artículo 124.1.</w:t>
      </w:r>
      <w:r w:rsidRPr="00601EEA">
        <w:rPr>
          <w:rStyle w:val="TextoNormalCaracter"/>
        </w:rPr>
        <w:t>-</w:t>
      </w:r>
      <w:r>
        <w:t xml:space="preserve"> Sentencia </w:t>
      </w:r>
      <w:hyperlink w:anchor="SENTENCIA_2024_87" w:history="1">
        <w:r w:rsidRPr="00601EEA">
          <w:rPr>
            <w:rStyle w:val="TextoNormalCaracter"/>
          </w:rPr>
          <w:t>87/2024</w:t>
        </w:r>
      </w:hyperlink>
      <w:r>
        <w:t>, f. 4.</w:t>
      </w:r>
    </w:p>
    <w:p w14:paraId="483DBD73" w14:textId="6C32494F" w:rsidR="00601EEA" w:rsidRDefault="00601EEA" w:rsidP="00601EEA">
      <w:pPr>
        <w:pStyle w:val="SangriaFrancesaArticulo"/>
      </w:pPr>
      <w:r w:rsidRPr="00601EEA">
        <w:rPr>
          <w:rStyle w:val="TextoNormalNegritaCaracter"/>
        </w:rPr>
        <w:t>Artículo 124.4.</w:t>
      </w:r>
      <w:r w:rsidRPr="00601EEA">
        <w:rPr>
          <w:rStyle w:val="TextoNormalCaracter"/>
        </w:rPr>
        <w:t>-</w:t>
      </w:r>
      <w:r>
        <w:t xml:space="preserve"> Sentencias </w:t>
      </w:r>
      <w:hyperlink w:anchor="SENTENCIA_2024_15" w:history="1">
        <w:r w:rsidRPr="00601EEA">
          <w:rPr>
            <w:rStyle w:val="TextoNormalCaracter"/>
          </w:rPr>
          <w:t>15/2024</w:t>
        </w:r>
      </w:hyperlink>
      <w:r>
        <w:t xml:space="preserve">, f. 2; </w:t>
      </w:r>
      <w:hyperlink w:anchor="SENTENCIA_2024_93" w:history="1">
        <w:r w:rsidRPr="00601EEA">
          <w:rPr>
            <w:rStyle w:val="TextoNormalCaracter"/>
          </w:rPr>
          <w:t>93/2024</w:t>
        </w:r>
      </w:hyperlink>
      <w:r>
        <w:t>, VP II.</w:t>
      </w:r>
    </w:p>
    <w:p w14:paraId="19828B30" w14:textId="28D4358A" w:rsidR="00601EEA" w:rsidRDefault="00601EEA" w:rsidP="00601EEA">
      <w:pPr>
        <w:pStyle w:val="SangriaFrancesaArticulo"/>
      </w:pPr>
      <w:r w:rsidRPr="00601EEA">
        <w:rPr>
          <w:rStyle w:val="TextoNormalNegritaCaracter"/>
        </w:rPr>
        <w:t>Artículo 125.</w:t>
      </w:r>
      <w:r w:rsidRPr="00601EEA">
        <w:rPr>
          <w:rStyle w:val="TextoNormalCaracter"/>
        </w:rPr>
        <w:t>-</w:t>
      </w:r>
      <w:r>
        <w:t xml:space="preserve"> Sentencias </w:t>
      </w:r>
      <w:hyperlink w:anchor="SENTENCIA_2024_75" w:history="1">
        <w:r w:rsidRPr="00601EEA">
          <w:rPr>
            <w:rStyle w:val="TextoNormalCaracter"/>
          </w:rPr>
          <w:t>75/2024</w:t>
        </w:r>
      </w:hyperlink>
      <w:r>
        <w:t xml:space="preserve">, VP I; </w:t>
      </w:r>
      <w:hyperlink w:anchor="SENTENCIA_2024_80" w:history="1">
        <w:r w:rsidRPr="00601EEA">
          <w:rPr>
            <w:rStyle w:val="TextoNormalCaracter"/>
          </w:rPr>
          <w:t>80/2024</w:t>
        </w:r>
      </w:hyperlink>
      <w:r>
        <w:t>, f. 4.</w:t>
      </w:r>
    </w:p>
    <w:p w14:paraId="74606665" w14:textId="3E3FC903" w:rsidR="00601EEA" w:rsidRDefault="00601EEA" w:rsidP="00601EEA">
      <w:pPr>
        <w:pStyle w:val="SangriaFrancesaArticulo"/>
      </w:pPr>
      <w:r w:rsidRPr="00601EEA">
        <w:rPr>
          <w:rStyle w:val="TextoNormalNegritaCaracter"/>
        </w:rPr>
        <w:t>Artículo 126.</w:t>
      </w:r>
      <w:r w:rsidRPr="00601EEA">
        <w:rPr>
          <w:rStyle w:val="TextoNormalCaracter"/>
        </w:rPr>
        <w:t>-</w:t>
      </w:r>
      <w:r>
        <w:t xml:space="preserve"> Sentencia </w:t>
      </w:r>
      <w:hyperlink w:anchor="SENTENCIA_2024_87" w:history="1">
        <w:r w:rsidRPr="00601EEA">
          <w:rPr>
            <w:rStyle w:val="TextoNormalCaracter"/>
          </w:rPr>
          <w:t>87/2024</w:t>
        </w:r>
      </w:hyperlink>
      <w:r>
        <w:t>, f. 2, VP III.</w:t>
      </w:r>
    </w:p>
    <w:p w14:paraId="32735A43" w14:textId="2A235D36" w:rsidR="00601EEA" w:rsidRDefault="00601EEA" w:rsidP="00601EEA">
      <w:pPr>
        <w:pStyle w:val="SangriaFrancesaArticulo"/>
      </w:pPr>
      <w:r w:rsidRPr="00601EEA">
        <w:rPr>
          <w:rStyle w:val="TextoNormalNegritaCaracter"/>
        </w:rPr>
        <w:t>Artículo 127.</w:t>
      </w:r>
      <w:r w:rsidRPr="00601EEA">
        <w:rPr>
          <w:rStyle w:val="TextoNormalCaracter"/>
        </w:rPr>
        <w:t>-</w:t>
      </w:r>
      <w:r>
        <w:t xml:space="preserve"> Sentencia </w:t>
      </w:r>
      <w:hyperlink w:anchor="SENTENCIA_2024_15" w:history="1">
        <w:r w:rsidRPr="00601EEA">
          <w:rPr>
            <w:rStyle w:val="TextoNormalCaracter"/>
          </w:rPr>
          <w:t>15/2024</w:t>
        </w:r>
      </w:hyperlink>
      <w:r>
        <w:t>, f. 3.</w:t>
      </w:r>
    </w:p>
    <w:p w14:paraId="11937A10" w14:textId="026E1463" w:rsidR="00601EEA" w:rsidRDefault="00601EEA" w:rsidP="00601EEA">
      <w:pPr>
        <w:pStyle w:val="SangriaFrancesaArticulo"/>
      </w:pPr>
      <w:r w:rsidRPr="00601EEA">
        <w:rPr>
          <w:rStyle w:val="TextoNormalNegritaCaracter"/>
        </w:rPr>
        <w:t>Artículo 129.</w:t>
      </w:r>
      <w:r w:rsidRPr="00601EEA">
        <w:rPr>
          <w:rStyle w:val="TextoNormalCaracter"/>
        </w:rPr>
        <w:t>-</w:t>
      </w:r>
      <w:r>
        <w:t xml:space="preserve"> Sentencia </w:t>
      </w:r>
      <w:hyperlink w:anchor="SENTENCIA_2024_63" w:history="1">
        <w:r w:rsidRPr="00601EEA">
          <w:rPr>
            <w:rStyle w:val="TextoNormalCaracter"/>
          </w:rPr>
          <w:t>63/2024</w:t>
        </w:r>
      </w:hyperlink>
      <w:r>
        <w:t>, f. 4.</w:t>
      </w:r>
    </w:p>
    <w:p w14:paraId="4E745836" w14:textId="2402B278" w:rsidR="00601EEA" w:rsidRDefault="00601EEA" w:rsidP="00601EEA">
      <w:pPr>
        <w:pStyle w:val="SangriaFrancesaArticulo"/>
      </w:pPr>
      <w:r w:rsidRPr="00601EEA">
        <w:rPr>
          <w:rStyle w:val="TextoNormalNegritaCaracter"/>
        </w:rPr>
        <w:t>Artículo 132.</w:t>
      </w:r>
      <w:r w:rsidRPr="00601EEA">
        <w:rPr>
          <w:rStyle w:val="TextoNormalCaracter"/>
        </w:rPr>
        <w:t>-</w:t>
      </w:r>
      <w:r>
        <w:t xml:space="preserve"> Sentencias </w:t>
      </w:r>
      <w:hyperlink w:anchor="SENTENCIA_2024_25" w:history="1">
        <w:r w:rsidRPr="00601EEA">
          <w:rPr>
            <w:rStyle w:val="TextoNormalCaracter"/>
          </w:rPr>
          <w:t>25/2024</w:t>
        </w:r>
      </w:hyperlink>
      <w:r>
        <w:t xml:space="preserve">, ff. 1, 12; </w:t>
      </w:r>
      <w:hyperlink w:anchor="SENTENCIA_2024_68" w:history="1">
        <w:r w:rsidRPr="00601EEA">
          <w:rPr>
            <w:rStyle w:val="TextoNormalCaracter"/>
          </w:rPr>
          <w:t>68/2024</w:t>
        </w:r>
      </w:hyperlink>
      <w:r>
        <w:t>, f. 8.</w:t>
      </w:r>
    </w:p>
    <w:p w14:paraId="07DC6D74" w14:textId="67AD5C22" w:rsidR="00601EEA" w:rsidRDefault="00601EEA" w:rsidP="00601EEA">
      <w:pPr>
        <w:pStyle w:val="SangriaFrancesaArticulo"/>
      </w:pPr>
      <w:r w:rsidRPr="00601EEA">
        <w:rPr>
          <w:rStyle w:val="TextoNormalNegritaCaracter"/>
        </w:rPr>
        <w:lastRenderedPageBreak/>
        <w:t>Artículo 132.2.</w:t>
      </w:r>
      <w:r w:rsidRPr="00601EEA">
        <w:rPr>
          <w:rStyle w:val="TextoNormalCaracter"/>
        </w:rPr>
        <w:t>-</w:t>
      </w:r>
      <w:r>
        <w:t xml:space="preserve"> Sentencia </w:t>
      </w:r>
      <w:hyperlink w:anchor="SENTENCIA_2024_68" w:history="1">
        <w:r w:rsidRPr="00601EEA">
          <w:rPr>
            <w:rStyle w:val="TextoNormalCaracter"/>
          </w:rPr>
          <w:t>68/2024</w:t>
        </w:r>
      </w:hyperlink>
      <w:r>
        <w:t>, ff. 2, 5, 7, 8, 10, 11, VP I.</w:t>
      </w:r>
    </w:p>
    <w:p w14:paraId="643A5040" w14:textId="23FF8A64" w:rsidR="00601EEA" w:rsidRDefault="00601EEA" w:rsidP="00601EEA">
      <w:pPr>
        <w:pStyle w:val="SangriaIzquierdaArticulo"/>
      </w:pPr>
      <w:r>
        <w:t xml:space="preserve">Autos </w:t>
      </w:r>
      <w:hyperlink w:anchor="AUTO_2024_21" w:history="1">
        <w:r w:rsidRPr="00601EEA">
          <w:rPr>
            <w:rStyle w:val="TextoNormalCaracter"/>
          </w:rPr>
          <w:t>21/2024</w:t>
        </w:r>
      </w:hyperlink>
      <w:r>
        <w:t xml:space="preserve">, f. 1; </w:t>
      </w:r>
      <w:hyperlink w:anchor="AUTO_2024_22" w:history="1">
        <w:r w:rsidRPr="00601EEA">
          <w:rPr>
            <w:rStyle w:val="TextoNormalCaracter"/>
          </w:rPr>
          <w:t>22/2024</w:t>
        </w:r>
      </w:hyperlink>
      <w:r>
        <w:t>, ff. 4, 5.</w:t>
      </w:r>
    </w:p>
    <w:p w14:paraId="52683961" w14:textId="2D72546E" w:rsidR="00601EEA" w:rsidRDefault="00601EEA" w:rsidP="00601EEA">
      <w:pPr>
        <w:pStyle w:val="SangriaFrancesaArticulo"/>
      </w:pPr>
      <w:r w:rsidRPr="00601EEA">
        <w:rPr>
          <w:rStyle w:val="TextoNormalNegritaCaracter"/>
        </w:rPr>
        <w:t>Artículo 134.</w:t>
      </w:r>
      <w:r w:rsidRPr="00601EEA">
        <w:rPr>
          <w:rStyle w:val="TextoNormalCaracter"/>
        </w:rPr>
        <w:t>-</w:t>
      </w:r>
      <w:r>
        <w:t xml:space="preserve"> Sentencias </w:t>
      </w:r>
      <w:hyperlink w:anchor="SENTENCIA_2024_67" w:history="1">
        <w:r w:rsidRPr="00601EEA">
          <w:rPr>
            <w:rStyle w:val="TextoNormalCaracter"/>
          </w:rPr>
          <w:t>67/2024</w:t>
        </w:r>
      </w:hyperlink>
      <w:r>
        <w:t xml:space="preserve">, f. 2, VP; </w:t>
      </w:r>
      <w:hyperlink w:anchor="SENTENCIA_2024_93" w:history="1">
        <w:r w:rsidRPr="00601EEA">
          <w:rPr>
            <w:rStyle w:val="TextoNormalCaracter"/>
          </w:rPr>
          <w:t>93/2024</w:t>
        </w:r>
      </w:hyperlink>
      <w:r>
        <w:t>, f. 4.</w:t>
      </w:r>
    </w:p>
    <w:p w14:paraId="03B38282" w14:textId="5C2E8546" w:rsidR="00601EEA" w:rsidRDefault="00601EEA" w:rsidP="00601EEA">
      <w:pPr>
        <w:pStyle w:val="SangriaFrancesaArticulo"/>
      </w:pPr>
      <w:r w:rsidRPr="00601EEA">
        <w:rPr>
          <w:rStyle w:val="TextoNormalNegritaCaracter"/>
        </w:rPr>
        <w:t>Artículo 134.1.</w:t>
      </w:r>
      <w:r w:rsidRPr="00601EEA">
        <w:rPr>
          <w:rStyle w:val="TextoNormalCaracter"/>
        </w:rPr>
        <w:t>-</w:t>
      </w:r>
      <w:r>
        <w:t xml:space="preserve"> Sentencia </w:t>
      </w:r>
      <w:hyperlink w:anchor="SENTENCIA_2024_93" w:history="1">
        <w:r w:rsidRPr="00601EEA">
          <w:rPr>
            <w:rStyle w:val="TextoNormalCaracter"/>
          </w:rPr>
          <w:t>93/2024</w:t>
        </w:r>
      </w:hyperlink>
      <w:r>
        <w:t>, f. 4.</w:t>
      </w:r>
    </w:p>
    <w:p w14:paraId="431691C7" w14:textId="47B3ED17" w:rsidR="00601EEA" w:rsidRDefault="00601EEA" w:rsidP="00601EEA">
      <w:pPr>
        <w:pStyle w:val="SangriaFrancesaArticulo"/>
      </w:pPr>
      <w:r w:rsidRPr="00601EEA">
        <w:rPr>
          <w:rStyle w:val="TextoNormalNegritaCaracter"/>
        </w:rPr>
        <w:t>Artículo 134.2.</w:t>
      </w:r>
      <w:r w:rsidRPr="00601EEA">
        <w:rPr>
          <w:rStyle w:val="TextoNormalCaracter"/>
        </w:rPr>
        <w:t>-</w:t>
      </w:r>
      <w:r>
        <w:t xml:space="preserve"> Sentencias </w:t>
      </w:r>
      <w:hyperlink w:anchor="SENTENCIA_2024_67" w:history="1">
        <w:r w:rsidRPr="00601EEA">
          <w:rPr>
            <w:rStyle w:val="TextoNormalCaracter"/>
          </w:rPr>
          <w:t>67/2024</w:t>
        </w:r>
      </w:hyperlink>
      <w:r>
        <w:t xml:space="preserve">, ff. 1, 3, 4; </w:t>
      </w:r>
      <w:hyperlink w:anchor="SENTENCIA_2024_73" w:history="1">
        <w:r w:rsidRPr="00601EEA">
          <w:rPr>
            <w:rStyle w:val="TextoNormalCaracter"/>
          </w:rPr>
          <w:t>73/2024</w:t>
        </w:r>
      </w:hyperlink>
      <w:r>
        <w:t>, f. 1.</w:t>
      </w:r>
    </w:p>
    <w:p w14:paraId="51333E42" w14:textId="7D6BD8A2" w:rsidR="00601EEA" w:rsidRDefault="00601EEA" w:rsidP="00601EEA">
      <w:pPr>
        <w:pStyle w:val="SangriaFrancesaArticulo"/>
      </w:pPr>
      <w:r w:rsidRPr="00601EEA">
        <w:rPr>
          <w:rStyle w:val="TextoNormalNegritaCaracter"/>
        </w:rPr>
        <w:t>Artículo 134.7.</w:t>
      </w:r>
      <w:r w:rsidRPr="00601EEA">
        <w:rPr>
          <w:rStyle w:val="TextoNormalCaracter"/>
        </w:rPr>
        <w:t>-</w:t>
      </w:r>
      <w:r>
        <w:t xml:space="preserve"> Sentencia </w:t>
      </w:r>
      <w:hyperlink w:anchor="SENTENCIA_2024_11" w:history="1">
        <w:r w:rsidRPr="00601EEA">
          <w:rPr>
            <w:rStyle w:val="TextoNormalCaracter"/>
          </w:rPr>
          <w:t>11/2024</w:t>
        </w:r>
      </w:hyperlink>
      <w:r>
        <w:t>, f. 2.</w:t>
      </w:r>
    </w:p>
    <w:p w14:paraId="3DBD1364" w14:textId="617785FA" w:rsidR="00601EEA" w:rsidRDefault="00601EEA" w:rsidP="00601EEA">
      <w:pPr>
        <w:pStyle w:val="SangriaFrancesaArticulo"/>
      </w:pPr>
      <w:r w:rsidRPr="00601EEA">
        <w:rPr>
          <w:rStyle w:val="TextoNormalNegritaCaracter"/>
        </w:rPr>
        <w:t>Artículo 136.</w:t>
      </w:r>
      <w:r w:rsidRPr="00601EEA">
        <w:rPr>
          <w:rStyle w:val="TextoNormalCaracter"/>
        </w:rPr>
        <w:t>-</w:t>
      </w:r>
      <w:r>
        <w:t xml:space="preserve"> Sentencia </w:t>
      </w:r>
      <w:hyperlink w:anchor="SENTENCIA_2024_69" w:history="1">
        <w:r w:rsidRPr="00601EEA">
          <w:rPr>
            <w:rStyle w:val="TextoNormalCaracter"/>
          </w:rPr>
          <w:t>69/2024</w:t>
        </w:r>
      </w:hyperlink>
      <w:r>
        <w:t>, f. 5.</w:t>
      </w:r>
    </w:p>
    <w:p w14:paraId="27FDF816" w14:textId="22B11AD7" w:rsidR="00601EEA" w:rsidRDefault="00601EEA" w:rsidP="00601EEA">
      <w:pPr>
        <w:pStyle w:val="SangriaFrancesaArticulo"/>
      </w:pPr>
      <w:r w:rsidRPr="00601EEA">
        <w:rPr>
          <w:rStyle w:val="TextoNormalNegritaCaracter"/>
        </w:rPr>
        <w:t>Artículo 136.3.</w:t>
      </w:r>
      <w:r w:rsidRPr="00601EEA">
        <w:rPr>
          <w:rStyle w:val="TextoNormalCaracter"/>
        </w:rPr>
        <w:t>-</w:t>
      </w:r>
      <w:r>
        <w:t xml:space="preserve"> Sentencias </w:t>
      </w:r>
      <w:hyperlink w:anchor="SENTENCIA_2024_15" w:history="1">
        <w:r w:rsidRPr="00601EEA">
          <w:rPr>
            <w:rStyle w:val="TextoNormalCaracter"/>
          </w:rPr>
          <w:t>15/2024</w:t>
        </w:r>
      </w:hyperlink>
      <w:r>
        <w:t xml:space="preserve">, f. 3; </w:t>
      </w:r>
      <w:hyperlink w:anchor="SENTENCIA_2024_69" w:history="1">
        <w:r w:rsidRPr="00601EEA">
          <w:rPr>
            <w:rStyle w:val="TextoNormalCaracter"/>
          </w:rPr>
          <w:t>69/2024</w:t>
        </w:r>
      </w:hyperlink>
      <w:r>
        <w:t>, f. 5.</w:t>
      </w:r>
    </w:p>
    <w:p w14:paraId="1A73386F" w14:textId="551217F4" w:rsidR="00601EEA" w:rsidRDefault="00601EEA" w:rsidP="00601EEA">
      <w:pPr>
        <w:pStyle w:val="SangriaFrancesaArticulo"/>
      </w:pPr>
      <w:r w:rsidRPr="00601EEA">
        <w:rPr>
          <w:rStyle w:val="TextoNormalNegritaCaracter"/>
        </w:rPr>
        <w:t>Artículo 137.</w:t>
      </w:r>
      <w:r w:rsidRPr="00601EEA">
        <w:rPr>
          <w:rStyle w:val="TextoNormalCaracter"/>
        </w:rPr>
        <w:t>-</w:t>
      </w:r>
      <w:r>
        <w:t xml:space="preserve"> Sentencias </w:t>
      </w:r>
      <w:hyperlink w:anchor="SENTENCIA_2024_25" w:history="1">
        <w:r w:rsidRPr="00601EEA">
          <w:rPr>
            <w:rStyle w:val="TextoNormalCaracter"/>
          </w:rPr>
          <w:t>25/2024</w:t>
        </w:r>
      </w:hyperlink>
      <w:r>
        <w:t xml:space="preserve">, ff. 1, 2, 4, 8 a 10; </w:t>
      </w:r>
      <w:hyperlink w:anchor="SENTENCIA_2024_88" w:history="1">
        <w:r w:rsidRPr="00601EEA">
          <w:rPr>
            <w:rStyle w:val="TextoNormalCaracter"/>
          </w:rPr>
          <w:t>88/2024</w:t>
        </w:r>
      </w:hyperlink>
      <w:r>
        <w:t>, f. 1.</w:t>
      </w:r>
    </w:p>
    <w:p w14:paraId="124B3DA4" w14:textId="54C46D9B" w:rsidR="00601EEA" w:rsidRDefault="00601EEA" w:rsidP="00601EEA">
      <w:pPr>
        <w:pStyle w:val="SangriaFrancesaArticulo"/>
      </w:pPr>
      <w:r w:rsidRPr="00601EEA">
        <w:rPr>
          <w:rStyle w:val="TextoNormalNegritaCaracter"/>
        </w:rPr>
        <w:t>Artículo 139.</w:t>
      </w:r>
      <w:r w:rsidRPr="00601EEA">
        <w:rPr>
          <w:rStyle w:val="TextoNormalCaracter"/>
        </w:rPr>
        <w:t>-</w:t>
      </w:r>
      <w:r>
        <w:t xml:space="preserve"> Sentencia </w:t>
      </w:r>
      <w:hyperlink w:anchor="SENTENCIA_2024_68" w:history="1">
        <w:r w:rsidRPr="00601EEA">
          <w:rPr>
            <w:rStyle w:val="TextoNormalCaracter"/>
          </w:rPr>
          <w:t>68/2024</w:t>
        </w:r>
      </w:hyperlink>
      <w:r>
        <w:t>, f. 7.</w:t>
      </w:r>
    </w:p>
    <w:p w14:paraId="5C666E8A" w14:textId="64EA433B" w:rsidR="00601EEA" w:rsidRDefault="00601EEA" w:rsidP="00601EEA">
      <w:pPr>
        <w:pStyle w:val="SangriaFrancesaArticulo"/>
      </w:pPr>
      <w:r w:rsidRPr="00601EEA">
        <w:rPr>
          <w:rStyle w:val="TextoNormalNegritaCaracter"/>
        </w:rPr>
        <w:t>Artículo 139.1.</w:t>
      </w:r>
      <w:r w:rsidRPr="00601EEA">
        <w:rPr>
          <w:rStyle w:val="TextoNormalCaracter"/>
        </w:rPr>
        <w:t>-</w:t>
      </w:r>
      <w:r>
        <w:t xml:space="preserve"> Sentencia </w:t>
      </w:r>
      <w:hyperlink w:anchor="SENTENCIA_2024_68" w:history="1">
        <w:r w:rsidRPr="00601EEA">
          <w:rPr>
            <w:rStyle w:val="TextoNormalCaracter"/>
          </w:rPr>
          <w:t>68/2024</w:t>
        </w:r>
      </w:hyperlink>
      <w:r>
        <w:t>, f. 7.</w:t>
      </w:r>
    </w:p>
    <w:p w14:paraId="128189B1" w14:textId="5DFBF6DE" w:rsidR="00601EEA" w:rsidRDefault="00601EEA" w:rsidP="00601EEA">
      <w:pPr>
        <w:pStyle w:val="SangriaFrancesaArticulo"/>
      </w:pPr>
      <w:r w:rsidRPr="00601EEA">
        <w:rPr>
          <w:rStyle w:val="TextoNormalNegritaCaracter"/>
        </w:rPr>
        <w:t>Artículo 139.2.</w:t>
      </w:r>
      <w:r w:rsidRPr="00601EEA">
        <w:rPr>
          <w:rStyle w:val="TextoNormalCaracter"/>
        </w:rPr>
        <w:t>-</w:t>
      </w:r>
      <w:r>
        <w:t xml:space="preserve"> Sentencia </w:t>
      </w:r>
      <w:hyperlink w:anchor="SENTENCIA_2024_68" w:history="1">
        <w:r w:rsidRPr="00601EEA">
          <w:rPr>
            <w:rStyle w:val="TextoNormalCaracter"/>
          </w:rPr>
          <w:t>68/2024</w:t>
        </w:r>
      </w:hyperlink>
      <w:r>
        <w:t>, f. 7.</w:t>
      </w:r>
    </w:p>
    <w:p w14:paraId="4E61A9A3" w14:textId="6D5C4978" w:rsidR="00601EEA" w:rsidRDefault="00601EEA" w:rsidP="00601EEA">
      <w:pPr>
        <w:pStyle w:val="SangriaFrancesaArticulo"/>
      </w:pPr>
      <w:r w:rsidRPr="00601EEA">
        <w:rPr>
          <w:rStyle w:val="TextoNormalNegritaCaracter"/>
        </w:rPr>
        <w:t>Artículo 140.</w:t>
      </w:r>
      <w:r w:rsidRPr="00601EEA">
        <w:rPr>
          <w:rStyle w:val="TextoNormalCaracter"/>
        </w:rPr>
        <w:t>-</w:t>
      </w:r>
      <w:r>
        <w:t xml:space="preserve"> Sentencias </w:t>
      </w:r>
      <w:hyperlink w:anchor="SENTENCIA_2024_25" w:history="1">
        <w:r w:rsidRPr="00601EEA">
          <w:rPr>
            <w:rStyle w:val="TextoNormalCaracter"/>
          </w:rPr>
          <w:t>25/2024</w:t>
        </w:r>
      </w:hyperlink>
      <w:r>
        <w:t xml:space="preserve">, ff. 1, 2, 4, 5, 7 a 10; </w:t>
      </w:r>
      <w:hyperlink w:anchor="SENTENCIA_2024_88" w:history="1">
        <w:r w:rsidRPr="00601EEA">
          <w:rPr>
            <w:rStyle w:val="TextoNormalCaracter"/>
          </w:rPr>
          <w:t>88/2024</w:t>
        </w:r>
      </w:hyperlink>
      <w:r>
        <w:t>, f. 1.</w:t>
      </w:r>
    </w:p>
    <w:p w14:paraId="211B3F21" w14:textId="68EBD155" w:rsidR="00601EEA" w:rsidRDefault="00601EEA" w:rsidP="00601EEA">
      <w:pPr>
        <w:pStyle w:val="SangriaFrancesaArticulo"/>
      </w:pPr>
      <w:r w:rsidRPr="00601EEA">
        <w:rPr>
          <w:rStyle w:val="TextoNormalNegritaCaracter"/>
        </w:rPr>
        <w:t>Artículo 148.</w:t>
      </w:r>
      <w:r w:rsidRPr="00601EEA">
        <w:rPr>
          <w:rStyle w:val="TextoNormalCaracter"/>
        </w:rPr>
        <w:t>-</w:t>
      </w:r>
      <w:r>
        <w:t xml:space="preserve"> Sentencia </w:t>
      </w:r>
      <w:hyperlink w:anchor="SENTENCIA_2024_44" w:history="1">
        <w:r w:rsidRPr="00601EEA">
          <w:rPr>
            <w:rStyle w:val="TextoNormalCaracter"/>
          </w:rPr>
          <w:t>44/2024</w:t>
        </w:r>
      </w:hyperlink>
      <w:r>
        <w:t>, VP II.</w:t>
      </w:r>
    </w:p>
    <w:p w14:paraId="20F198D5" w14:textId="6A41896A" w:rsidR="00601EEA" w:rsidRDefault="00601EEA" w:rsidP="00601EEA">
      <w:pPr>
        <w:pStyle w:val="SangriaFrancesaArticulo"/>
      </w:pPr>
      <w:r w:rsidRPr="00601EEA">
        <w:rPr>
          <w:rStyle w:val="TextoNormalNegritaCaracter"/>
        </w:rPr>
        <w:t>Artículo 148.1.</w:t>
      </w:r>
      <w:r w:rsidRPr="00601EEA">
        <w:rPr>
          <w:rStyle w:val="TextoNormalCaracter"/>
        </w:rPr>
        <w:t>-</w:t>
      </w:r>
      <w:r>
        <w:t xml:space="preserve"> Sentencia </w:t>
      </w:r>
      <w:hyperlink w:anchor="SENTENCIA_2024_44" w:history="1">
        <w:r w:rsidRPr="00601EEA">
          <w:rPr>
            <w:rStyle w:val="TextoNormalCaracter"/>
          </w:rPr>
          <w:t>44/2024</w:t>
        </w:r>
      </w:hyperlink>
      <w:r>
        <w:t>, VP II.</w:t>
      </w:r>
    </w:p>
    <w:p w14:paraId="590C969D" w14:textId="48F9B68E" w:rsidR="00601EEA" w:rsidRDefault="00601EEA" w:rsidP="00601EEA">
      <w:pPr>
        <w:pStyle w:val="SangriaFrancesaArticulo"/>
      </w:pPr>
      <w:r w:rsidRPr="00601EEA">
        <w:rPr>
          <w:rStyle w:val="TextoNormalNegritaCaracter"/>
        </w:rPr>
        <w:t>Artículo 148.1.1.</w:t>
      </w:r>
      <w:r w:rsidRPr="00601EEA">
        <w:rPr>
          <w:rStyle w:val="TextoNormalCaracter"/>
        </w:rPr>
        <w:t>-</w:t>
      </w:r>
      <w:r>
        <w:t xml:space="preserve"> Sentencia </w:t>
      </w:r>
      <w:hyperlink w:anchor="SENTENCIA_2024_93" w:history="1">
        <w:r w:rsidRPr="00601EEA">
          <w:rPr>
            <w:rStyle w:val="TextoNormalCaracter"/>
          </w:rPr>
          <w:t>93/2024</w:t>
        </w:r>
      </w:hyperlink>
      <w:r>
        <w:t>, VP I.</w:t>
      </w:r>
    </w:p>
    <w:p w14:paraId="153A421E" w14:textId="37EBEF9E" w:rsidR="00601EEA" w:rsidRDefault="00601EEA" w:rsidP="00601EEA">
      <w:pPr>
        <w:pStyle w:val="SangriaFrancesaArticulo"/>
      </w:pPr>
      <w:r w:rsidRPr="00601EEA">
        <w:rPr>
          <w:rStyle w:val="TextoNormalNegritaCaracter"/>
        </w:rPr>
        <w:t>Artículo 148.1.3.</w:t>
      </w:r>
      <w:r w:rsidRPr="00601EEA">
        <w:rPr>
          <w:rStyle w:val="TextoNormalCaracter"/>
        </w:rPr>
        <w:t>-</w:t>
      </w:r>
      <w:r>
        <w:t xml:space="preserve"> Sentencia </w:t>
      </w:r>
      <w:hyperlink w:anchor="SENTENCIA_2024_79" w:history="1">
        <w:r w:rsidRPr="00601EEA">
          <w:rPr>
            <w:rStyle w:val="TextoNormalCaracter"/>
          </w:rPr>
          <w:t>79/2024</w:t>
        </w:r>
      </w:hyperlink>
      <w:r>
        <w:t>, ff. 3, 6, VP.</w:t>
      </w:r>
    </w:p>
    <w:p w14:paraId="02105BBC" w14:textId="35C2B0F3" w:rsidR="00601EEA" w:rsidRDefault="00601EEA" w:rsidP="00601EEA">
      <w:pPr>
        <w:pStyle w:val="SangriaFrancesaArticulo"/>
      </w:pPr>
      <w:r w:rsidRPr="00601EEA">
        <w:rPr>
          <w:rStyle w:val="TextoNormalNegritaCaracter"/>
        </w:rPr>
        <w:t>Artículo 148.1.5.</w:t>
      </w:r>
      <w:r w:rsidRPr="00601EEA">
        <w:rPr>
          <w:rStyle w:val="TextoNormalCaracter"/>
        </w:rPr>
        <w:t>-</w:t>
      </w:r>
      <w:r>
        <w:t xml:space="preserve"> Sentencia </w:t>
      </w:r>
      <w:hyperlink w:anchor="SENTENCIA_2024_88" w:history="1">
        <w:r w:rsidRPr="00601EEA">
          <w:rPr>
            <w:rStyle w:val="TextoNormalCaracter"/>
          </w:rPr>
          <w:t>88/2024</w:t>
        </w:r>
      </w:hyperlink>
      <w:r>
        <w:t>, f. 5.</w:t>
      </w:r>
    </w:p>
    <w:p w14:paraId="05FF2F53" w14:textId="7AB9101A" w:rsidR="00601EEA" w:rsidRDefault="00601EEA" w:rsidP="00601EEA">
      <w:pPr>
        <w:pStyle w:val="SangriaFrancesaArticulo"/>
      </w:pPr>
      <w:r w:rsidRPr="00601EEA">
        <w:rPr>
          <w:rStyle w:val="TextoNormalNegritaCaracter"/>
        </w:rPr>
        <w:t>Artículo 148.1.6.</w:t>
      </w:r>
      <w:r w:rsidRPr="00601EEA">
        <w:rPr>
          <w:rStyle w:val="TextoNormalCaracter"/>
        </w:rPr>
        <w:t>-</w:t>
      </w:r>
      <w:r>
        <w:t xml:space="preserve"> Sentencia </w:t>
      </w:r>
      <w:hyperlink w:anchor="SENTENCIA_2024_68" w:history="1">
        <w:r w:rsidRPr="00601EEA">
          <w:rPr>
            <w:rStyle w:val="TextoNormalCaracter"/>
          </w:rPr>
          <w:t>68/2024</w:t>
        </w:r>
      </w:hyperlink>
      <w:r>
        <w:t>, f. 8.</w:t>
      </w:r>
    </w:p>
    <w:p w14:paraId="2F1C79FE" w14:textId="515A3661" w:rsidR="00601EEA" w:rsidRDefault="00601EEA" w:rsidP="00601EEA">
      <w:pPr>
        <w:pStyle w:val="SangriaFrancesaArticulo"/>
      </w:pPr>
      <w:r w:rsidRPr="00601EEA">
        <w:rPr>
          <w:rStyle w:val="TextoNormalNegritaCaracter"/>
        </w:rPr>
        <w:t>Artículo 148.1.9.</w:t>
      </w:r>
      <w:r w:rsidRPr="00601EEA">
        <w:rPr>
          <w:rStyle w:val="TextoNormalCaracter"/>
        </w:rPr>
        <w:t>-</w:t>
      </w:r>
      <w:r>
        <w:t xml:space="preserve"> Sentencia </w:t>
      </w:r>
      <w:hyperlink w:anchor="SENTENCIA_2024_68" w:history="1">
        <w:r w:rsidRPr="00601EEA">
          <w:rPr>
            <w:rStyle w:val="TextoNormalCaracter"/>
          </w:rPr>
          <w:t>68/2024</w:t>
        </w:r>
      </w:hyperlink>
      <w:r>
        <w:t>, f. 5.</w:t>
      </w:r>
    </w:p>
    <w:p w14:paraId="561AF887" w14:textId="080920BA" w:rsidR="00601EEA" w:rsidRDefault="00601EEA" w:rsidP="00601EEA">
      <w:pPr>
        <w:pStyle w:val="SangriaFrancesaArticulo"/>
      </w:pPr>
      <w:r w:rsidRPr="00601EEA">
        <w:rPr>
          <w:rStyle w:val="TextoNormalNegritaCaracter"/>
        </w:rPr>
        <w:t>Artículo 148.1.20.</w:t>
      </w:r>
      <w:r w:rsidRPr="00601EEA">
        <w:rPr>
          <w:rStyle w:val="TextoNormalCaracter"/>
        </w:rPr>
        <w:t>-</w:t>
      </w:r>
      <w:r>
        <w:t xml:space="preserve"> Sentencia </w:t>
      </w:r>
      <w:hyperlink w:anchor="SENTENCIA_2024_79" w:history="1">
        <w:r w:rsidRPr="00601EEA">
          <w:rPr>
            <w:rStyle w:val="TextoNormalCaracter"/>
          </w:rPr>
          <w:t>79/2024</w:t>
        </w:r>
      </w:hyperlink>
      <w:r>
        <w:t>, VP.</w:t>
      </w:r>
    </w:p>
    <w:p w14:paraId="40894DE0" w14:textId="272B1D05" w:rsidR="00601EEA" w:rsidRDefault="00601EEA" w:rsidP="00601EEA">
      <w:pPr>
        <w:pStyle w:val="SangriaFrancesaArticulo"/>
      </w:pPr>
      <w:r w:rsidRPr="00601EEA">
        <w:rPr>
          <w:rStyle w:val="TextoNormalNegritaCaracter"/>
        </w:rPr>
        <w:t>Artículo 149.</w:t>
      </w:r>
      <w:r w:rsidRPr="00601EEA">
        <w:rPr>
          <w:rStyle w:val="TextoNormalCaracter"/>
        </w:rPr>
        <w:t>-</w:t>
      </w:r>
      <w:r>
        <w:t xml:space="preserve"> Sentencias </w:t>
      </w:r>
      <w:hyperlink w:anchor="SENTENCIA_2024_44" w:history="1">
        <w:r w:rsidRPr="00601EEA">
          <w:rPr>
            <w:rStyle w:val="TextoNormalCaracter"/>
          </w:rPr>
          <w:t>44/2024</w:t>
        </w:r>
      </w:hyperlink>
      <w:r>
        <w:t xml:space="preserve">, VP II; </w:t>
      </w:r>
      <w:hyperlink w:anchor="SENTENCIA_2024_88" w:history="1">
        <w:r w:rsidRPr="00601EEA">
          <w:rPr>
            <w:rStyle w:val="TextoNormalCaracter"/>
          </w:rPr>
          <w:t>88/2024</w:t>
        </w:r>
      </w:hyperlink>
      <w:r>
        <w:t>, f. 5.</w:t>
      </w:r>
    </w:p>
    <w:p w14:paraId="43B93DEF" w14:textId="0AE9785C" w:rsidR="00601EEA" w:rsidRDefault="00601EEA" w:rsidP="00601EEA">
      <w:pPr>
        <w:pStyle w:val="SangriaFrancesaArticulo"/>
      </w:pPr>
      <w:r w:rsidRPr="00601EEA">
        <w:rPr>
          <w:rStyle w:val="TextoNormalNegritaCaracter"/>
        </w:rPr>
        <w:t>Artículo 149.1.</w:t>
      </w:r>
      <w:r w:rsidRPr="00601EEA">
        <w:rPr>
          <w:rStyle w:val="TextoNormalCaracter"/>
        </w:rPr>
        <w:t>-</w:t>
      </w:r>
      <w:r>
        <w:t xml:space="preserve"> Sentencias </w:t>
      </w:r>
      <w:hyperlink w:anchor="SENTENCIA_2024_25" w:history="1">
        <w:r w:rsidRPr="00601EEA">
          <w:rPr>
            <w:rStyle w:val="TextoNormalCaracter"/>
          </w:rPr>
          <w:t>25/2024</w:t>
        </w:r>
      </w:hyperlink>
      <w:r>
        <w:t xml:space="preserve">, f. 4; </w:t>
      </w:r>
      <w:hyperlink w:anchor="SENTENCIA_2024_32" w:history="1">
        <w:r w:rsidRPr="00601EEA">
          <w:rPr>
            <w:rStyle w:val="TextoNormalCaracter"/>
          </w:rPr>
          <w:t>32/2024</w:t>
        </w:r>
      </w:hyperlink>
      <w:r>
        <w:t xml:space="preserve">, f. 2; </w:t>
      </w:r>
      <w:hyperlink w:anchor="SENTENCIA_2024_44" w:history="1">
        <w:r w:rsidRPr="00601EEA">
          <w:rPr>
            <w:rStyle w:val="TextoNormalCaracter"/>
          </w:rPr>
          <w:t>44/2024</w:t>
        </w:r>
      </w:hyperlink>
      <w:r>
        <w:t xml:space="preserve">, VP II; </w:t>
      </w:r>
      <w:hyperlink w:anchor="SENTENCIA_2024_68" w:history="1">
        <w:r w:rsidRPr="00601EEA">
          <w:rPr>
            <w:rStyle w:val="TextoNormalCaracter"/>
          </w:rPr>
          <w:t>68/2024</w:t>
        </w:r>
      </w:hyperlink>
      <w:r>
        <w:t xml:space="preserve">, ff. 5, 8; </w:t>
      </w:r>
      <w:hyperlink w:anchor="SENTENCIA_2024_79" w:history="1">
        <w:r w:rsidRPr="00601EEA">
          <w:rPr>
            <w:rStyle w:val="TextoNormalCaracter"/>
          </w:rPr>
          <w:t>79/2024</w:t>
        </w:r>
      </w:hyperlink>
      <w:r>
        <w:t xml:space="preserve">, VP; </w:t>
      </w:r>
      <w:hyperlink w:anchor="SENTENCIA_2024_88" w:history="1">
        <w:r w:rsidRPr="00601EEA">
          <w:rPr>
            <w:rStyle w:val="TextoNormalCaracter"/>
          </w:rPr>
          <w:t>88/2024</w:t>
        </w:r>
      </w:hyperlink>
      <w:r>
        <w:t>, f. 1.</w:t>
      </w:r>
    </w:p>
    <w:p w14:paraId="4A59F6EA" w14:textId="2BE4EA1F" w:rsidR="00601EEA" w:rsidRDefault="00601EEA" w:rsidP="00601EEA">
      <w:pPr>
        <w:pStyle w:val="SangriaFrancesaArticulo"/>
      </w:pPr>
      <w:r w:rsidRPr="00601EEA">
        <w:rPr>
          <w:rStyle w:val="TextoNormalNegritaCaracter"/>
        </w:rPr>
        <w:t>Artículo 149.1.1.</w:t>
      </w:r>
      <w:r w:rsidRPr="00601EEA">
        <w:rPr>
          <w:rStyle w:val="TextoNormalCaracter"/>
        </w:rPr>
        <w:t>-</w:t>
      </w:r>
      <w:r>
        <w:t xml:space="preserve"> Sentencias </w:t>
      </w:r>
      <w:hyperlink w:anchor="SENTENCIA_2024_25" w:history="1">
        <w:r w:rsidRPr="00601EEA">
          <w:rPr>
            <w:rStyle w:val="TextoNormalCaracter"/>
          </w:rPr>
          <w:t>25/2024</w:t>
        </w:r>
      </w:hyperlink>
      <w:r>
        <w:t xml:space="preserve">, ff. 5, 6, 12; </w:t>
      </w:r>
      <w:hyperlink w:anchor="SENTENCIA_2024_32" w:history="1">
        <w:r w:rsidRPr="00601EEA">
          <w:rPr>
            <w:rStyle w:val="TextoNormalCaracter"/>
          </w:rPr>
          <w:t>32/2024</w:t>
        </w:r>
      </w:hyperlink>
      <w:r>
        <w:t xml:space="preserve">, ff. 1, 2; </w:t>
      </w:r>
      <w:hyperlink w:anchor="SENTENCIA_2024_44" w:history="1">
        <w:r w:rsidRPr="00601EEA">
          <w:rPr>
            <w:rStyle w:val="TextoNormalCaracter"/>
          </w:rPr>
          <w:t>44/2024</w:t>
        </w:r>
      </w:hyperlink>
      <w:r>
        <w:t xml:space="preserve">, ff. 1, 2, 5; </w:t>
      </w:r>
      <w:hyperlink w:anchor="SENTENCIA_2024_68" w:history="1">
        <w:r w:rsidRPr="00601EEA">
          <w:rPr>
            <w:rStyle w:val="TextoNormalCaracter"/>
          </w:rPr>
          <w:t>68/2024</w:t>
        </w:r>
      </w:hyperlink>
      <w:r>
        <w:t xml:space="preserve">, ff. 5, 8, VP I; </w:t>
      </w:r>
      <w:hyperlink w:anchor="SENTENCIA_2024_76" w:history="1">
        <w:r w:rsidRPr="00601EEA">
          <w:rPr>
            <w:rStyle w:val="TextoNormalCaracter"/>
          </w:rPr>
          <w:t>76/2024</w:t>
        </w:r>
      </w:hyperlink>
      <w:r>
        <w:t xml:space="preserve">, f. 3; </w:t>
      </w:r>
      <w:hyperlink w:anchor="SENTENCIA_2024_79" w:history="1">
        <w:r w:rsidRPr="00601EEA">
          <w:rPr>
            <w:rStyle w:val="TextoNormalCaracter"/>
          </w:rPr>
          <w:t>79/2024</w:t>
        </w:r>
      </w:hyperlink>
      <w:r>
        <w:t xml:space="preserve">, ff. 3 a 8, VP; </w:t>
      </w:r>
      <w:hyperlink w:anchor="SENTENCIA_2024_91" w:history="1">
        <w:r w:rsidRPr="00601EEA">
          <w:rPr>
            <w:rStyle w:val="TextoNormalCaracter"/>
          </w:rPr>
          <w:t>91/2024</w:t>
        </w:r>
      </w:hyperlink>
      <w:r>
        <w:t>, f. 1.</w:t>
      </w:r>
    </w:p>
    <w:p w14:paraId="43256A37" w14:textId="1906961F" w:rsidR="00601EEA" w:rsidRDefault="00601EEA" w:rsidP="00601EEA">
      <w:pPr>
        <w:pStyle w:val="SangriaFrancesaArticulo"/>
      </w:pPr>
      <w:r w:rsidRPr="00601EEA">
        <w:rPr>
          <w:rStyle w:val="TextoNormalNegritaCaracter"/>
        </w:rPr>
        <w:t>Artículo 149.1.2.</w:t>
      </w:r>
      <w:r w:rsidRPr="00601EEA">
        <w:rPr>
          <w:rStyle w:val="TextoNormalCaracter"/>
        </w:rPr>
        <w:t>-</w:t>
      </w:r>
      <w:r>
        <w:t xml:space="preserve"> Sentencia </w:t>
      </w:r>
      <w:hyperlink w:anchor="SENTENCIA_2024_79" w:history="1">
        <w:r w:rsidRPr="00601EEA">
          <w:rPr>
            <w:rStyle w:val="TextoNormalCaracter"/>
          </w:rPr>
          <w:t>79/2024</w:t>
        </w:r>
      </w:hyperlink>
      <w:r>
        <w:t>, VP.</w:t>
      </w:r>
    </w:p>
    <w:p w14:paraId="1E32BAAE" w14:textId="6DECCC30" w:rsidR="00601EEA" w:rsidRDefault="00601EEA" w:rsidP="00601EEA">
      <w:pPr>
        <w:pStyle w:val="SangriaFrancesaArticulo"/>
      </w:pPr>
      <w:r w:rsidRPr="00601EEA">
        <w:rPr>
          <w:rStyle w:val="TextoNormalNegritaCaracter"/>
        </w:rPr>
        <w:t>Artículo 149.1.4.</w:t>
      </w:r>
      <w:r w:rsidRPr="00601EEA">
        <w:rPr>
          <w:rStyle w:val="TextoNormalCaracter"/>
        </w:rPr>
        <w:t>-</w:t>
      </w:r>
      <w:r>
        <w:t xml:space="preserve"> Sentencia </w:t>
      </w:r>
      <w:hyperlink w:anchor="SENTENCIA_2024_68" w:history="1">
        <w:r w:rsidRPr="00601EEA">
          <w:rPr>
            <w:rStyle w:val="TextoNormalCaracter"/>
          </w:rPr>
          <w:t>68/2024</w:t>
        </w:r>
      </w:hyperlink>
      <w:r>
        <w:t>, ff. 5, 8.</w:t>
      </w:r>
    </w:p>
    <w:p w14:paraId="5F8AE532" w14:textId="36E5DFA7" w:rsidR="00601EEA" w:rsidRDefault="00601EEA" w:rsidP="00601EEA">
      <w:pPr>
        <w:pStyle w:val="SangriaFrancesaArticulo"/>
      </w:pPr>
      <w:r w:rsidRPr="00601EEA">
        <w:rPr>
          <w:rStyle w:val="TextoNormalNegritaCaracter"/>
        </w:rPr>
        <w:t>Artículo 149.1.6.</w:t>
      </w:r>
      <w:r w:rsidRPr="00601EEA">
        <w:rPr>
          <w:rStyle w:val="TextoNormalCaracter"/>
        </w:rPr>
        <w:t>-</w:t>
      </w:r>
      <w:r>
        <w:t xml:space="preserve"> Sentencias </w:t>
      </w:r>
      <w:hyperlink w:anchor="SENTENCIA_2024_44" w:history="1">
        <w:r w:rsidRPr="00601EEA">
          <w:rPr>
            <w:rStyle w:val="TextoNormalCaracter"/>
          </w:rPr>
          <w:t>44/2024</w:t>
        </w:r>
      </w:hyperlink>
      <w:r>
        <w:t xml:space="preserve">, ff. 1 a 4, 6, VP II; </w:t>
      </w:r>
      <w:hyperlink w:anchor="SENTENCIA_2024_76" w:history="1">
        <w:r w:rsidRPr="00601EEA">
          <w:rPr>
            <w:rStyle w:val="TextoNormalCaracter"/>
          </w:rPr>
          <w:t>76/2024</w:t>
        </w:r>
      </w:hyperlink>
      <w:r>
        <w:t xml:space="preserve">, f. 5; </w:t>
      </w:r>
      <w:hyperlink w:anchor="SENTENCIA_2024_79" w:history="1">
        <w:r w:rsidRPr="00601EEA">
          <w:rPr>
            <w:rStyle w:val="TextoNormalCaracter"/>
          </w:rPr>
          <w:t>79/2024</w:t>
        </w:r>
      </w:hyperlink>
      <w:r>
        <w:t>, VP.</w:t>
      </w:r>
    </w:p>
    <w:p w14:paraId="3D958470" w14:textId="4713963D" w:rsidR="00601EEA" w:rsidRDefault="00601EEA" w:rsidP="00601EEA">
      <w:pPr>
        <w:pStyle w:val="SangriaIzquierdaArticulo"/>
      </w:pPr>
      <w:r>
        <w:t xml:space="preserve">Auto </w:t>
      </w:r>
      <w:hyperlink w:anchor="AUTO_2024_52" w:history="1">
        <w:r w:rsidRPr="00601EEA">
          <w:rPr>
            <w:rStyle w:val="TextoNormalCaracter"/>
          </w:rPr>
          <w:t>52/2024</w:t>
        </w:r>
      </w:hyperlink>
      <w:r>
        <w:t>, f. 2.</w:t>
      </w:r>
    </w:p>
    <w:p w14:paraId="79CD55CF" w14:textId="380990F1" w:rsidR="00601EEA" w:rsidRDefault="00601EEA" w:rsidP="00601EEA">
      <w:pPr>
        <w:pStyle w:val="SangriaFrancesaArticulo"/>
      </w:pPr>
      <w:r w:rsidRPr="00601EEA">
        <w:rPr>
          <w:rStyle w:val="TextoNormalNegritaCaracter"/>
        </w:rPr>
        <w:t>Artículo 149.1.7.</w:t>
      </w:r>
      <w:r w:rsidRPr="00601EEA">
        <w:rPr>
          <w:rStyle w:val="TextoNormalCaracter"/>
        </w:rPr>
        <w:t>-</w:t>
      </w:r>
      <w:r>
        <w:t xml:space="preserve"> Sentencia </w:t>
      </w:r>
      <w:hyperlink w:anchor="SENTENCIA_2024_76" w:history="1">
        <w:r w:rsidRPr="00601EEA">
          <w:rPr>
            <w:rStyle w:val="TextoNormalCaracter"/>
          </w:rPr>
          <w:t>76/2024</w:t>
        </w:r>
      </w:hyperlink>
      <w:r>
        <w:t>, f. 5.</w:t>
      </w:r>
    </w:p>
    <w:p w14:paraId="3BC8DF56" w14:textId="30A33C3E" w:rsidR="00601EEA" w:rsidRDefault="00601EEA" w:rsidP="00601EEA">
      <w:pPr>
        <w:pStyle w:val="SangriaFrancesaArticulo"/>
      </w:pPr>
      <w:r w:rsidRPr="00601EEA">
        <w:rPr>
          <w:rStyle w:val="TextoNormalNegritaCaracter"/>
        </w:rPr>
        <w:t>Artículo 149.1.8.</w:t>
      </w:r>
      <w:r w:rsidRPr="00601EEA">
        <w:rPr>
          <w:rStyle w:val="TextoNormalCaracter"/>
        </w:rPr>
        <w:t>-</w:t>
      </w:r>
      <w:r>
        <w:t xml:space="preserve"> Sentencias </w:t>
      </w:r>
      <w:hyperlink w:anchor="SENTENCIA_2024_44" w:history="1">
        <w:r w:rsidRPr="00601EEA">
          <w:rPr>
            <w:rStyle w:val="TextoNormalCaracter"/>
          </w:rPr>
          <w:t>44/2024</w:t>
        </w:r>
      </w:hyperlink>
      <w:r>
        <w:t xml:space="preserve">, ff. 1, 2, 4, 6; </w:t>
      </w:r>
      <w:hyperlink w:anchor="SENTENCIA_2024_68" w:history="1">
        <w:r w:rsidRPr="00601EEA">
          <w:rPr>
            <w:rStyle w:val="TextoNormalCaracter"/>
          </w:rPr>
          <w:t>68/2024</w:t>
        </w:r>
      </w:hyperlink>
      <w:r>
        <w:t xml:space="preserve">, ff. 5, 8; </w:t>
      </w:r>
      <w:hyperlink w:anchor="SENTENCIA_2024_76" w:history="1">
        <w:r w:rsidRPr="00601EEA">
          <w:rPr>
            <w:rStyle w:val="TextoNormalCaracter"/>
          </w:rPr>
          <w:t>76/2024</w:t>
        </w:r>
      </w:hyperlink>
      <w:r>
        <w:t xml:space="preserve">, f. 3; </w:t>
      </w:r>
      <w:hyperlink w:anchor="SENTENCIA_2024_79" w:history="1">
        <w:r w:rsidRPr="00601EEA">
          <w:rPr>
            <w:rStyle w:val="TextoNormalCaracter"/>
          </w:rPr>
          <w:t>79/2024</w:t>
        </w:r>
      </w:hyperlink>
      <w:r>
        <w:t>, ff. 3, 5, 6, 9, VP.</w:t>
      </w:r>
    </w:p>
    <w:p w14:paraId="21293D40" w14:textId="3B147965" w:rsidR="00601EEA" w:rsidRDefault="00601EEA" w:rsidP="00601EEA">
      <w:pPr>
        <w:pStyle w:val="SangriaFrancesaArticulo"/>
      </w:pPr>
      <w:r w:rsidRPr="00601EEA">
        <w:rPr>
          <w:rStyle w:val="TextoNormalNegritaCaracter"/>
        </w:rPr>
        <w:t>Artículo 149.1.13.</w:t>
      </w:r>
      <w:r w:rsidRPr="00601EEA">
        <w:rPr>
          <w:rStyle w:val="TextoNormalCaracter"/>
        </w:rPr>
        <w:t>-</w:t>
      </w:r>
      <w:r>
        <w:t xml:space="preserve"> Sentencias </w:t>
      </w:r>
      <w:hyperlink w:anchor="SENTENCIA_2024_68" w:history="1">
        <w:r w:rsidRPr="00601EEA">
          <w:rPr>
            <w:rStyle w:val="TextoNormalCaracter"/>
          </w:rPr>
          <w:t>68/2024</w:t>
        </w:r>
      </w:hyperlink>
      <w:r>
        <w:t xml:space="preserve">, ff. 5, 8; </w:t>
      </w:r>
      <w:hyperlink w:anchor="SENTENCIA_2024_79" w:history="1">
        <w:r w:rsidRPr="00601EEA">
          <w:rPr>
            <w:rStyle w:val="TextoNormalCaracter"/>
          </w:rPr>
          <w:t>79/2024</w:t>
        </w:r>
      </w:hyperlink>
      <w:r>
        <w:t xml:space="preserve">, ff. 3 a 9, VP; </w:t>
      </w:r>
      <w:hyperlink w:anchor="SENTENCIA_2024_88" w:history="1">
        <w:r w:rsidRPr="00601EEA">
          <w:rPr>
            <w:rStyle w:val="TextoNormalCaracter"/>
          </w:rPr>
          <w:t>88/2024</w:t>
        </w:r>
      </w:hyperlink>
      <w:r>
        <w:t>, f. 5.</w:t>
      </w:r>
    </w:p>
    <w:p w14:paraId="5369727B" w14:textId="249403E5" w:rsidR="00601EEA" w:rsidRDefault="00601EEA" w:rsidP="00601EEA">
      <w:pPr>
        <w:pStyle w:val="SangriaIzquierdaArticulo"/>
      </w:pPr>
      <w:r>
        <w:t xml:space="preserve">Autos </w:t>
      </w:r>
      <w:hyperlink w:anchor="AUTO_2024_37" w:history="1">
        <w:r w:rsidRPr="00601EEA">
          <w:rPr>
            <w:rStyle w:val="TextoNormalCaracter"/>
          </w:rPr>
          <w:t>37/2024</w:t>
        </w:r>
      </w:hyperlink>
      <w:r>
        <w:t xml:space="preserve">, f. 1; </w:t>
      </w:r>
      <w:hyperlink w:anchor="AUTO_2024_41" w:history="1">
        <w:r w:rsidRPr="00601EEA">
          <w:rPr>
            <w:rStyle w:val="TextoNormalCaracter"/>
          </w:rPr>
          <w:t>41/2024</w:t>
        </w:r>
      </w:hyperlink>
      <w:r>
        <w:t>, ff. 1, 4.</w:t>
      </w:r>
    </w:p>
    <w:p w14:paraId="5181B589" w14:textId="06EC0D20" w:rsidR="00601EEA" w:rsidRDefault="00601EEA" w:rsidP="00601EEA">
      <w:pPr>
        <w:pStyle w:val="SangriaFrancesaArticulo"/>
      </w:pPr>
      <w:r w:rsidRPr="00601EEA">
        <w:rPr>
          <w:rStyle w:val="TextoNormalNegritaCaracter"/>
        </w:rPr>
        <w:t>Artículo 149.1.14.</w:t>
      </w:r>
      <w:r w:rsidRPr="00601EEA">
        <w:rPr>
          <w:rStyle w:val="TextoNormalCaracter"/>
        </w:rPr>
        <w:t>-</w:t>
      </w:r>
      <w:r>
        <w:t xml:space="preserve"> Sentencias </w:t>
      </w:r>
      <w:hyperlink w:anchor="SENTENCIA_2024_73" w:history="1">
        <w:r w:rsidRPr="00601EEA">
          <w:rPr>
            <w:rStyle w:val="TextoNormalCaracter"/>
          </w:rPr>
          <w:t>73/2024</w:t>
        </w:r>
      </w:hyperlink>
      <w:r>
        <w:t xml:space="preserve">, f. 1; </w:t>
      </w:r>
      <w:hyperlink w:anchor="SENTENCIA_2024_79" w:history="1">
        <w:r w:rsidRPr="00601EEA">
          <w:rPr>
            <w:rStyle w:val="TextoNormalCaracter"/>
          </w:rPr>
          <w:t>79/2024</w:t>
        </w:r>
      </w:hyperlink>
      <w:r>
        <w:t>, f. 5.</w:t>
      </w:r>
    </w:p>
    <w:p w14:paraId="621FE5BF" w14:textId="68DF6244" w:rsidR="00601EEA" w:rsidRDefault="00601EEA" w:rsidP="00601EEA">
      <w:pPr>
        <w:pStyle w:val="SangriaFrancesaArticulo"/>
      </w:pPr>
      <w:r w:rsidRPr="00601EEA">
        <w:rPr>
          <w:rStyle w:val="TextoNormalNegritaCaracter"/>
        </w:rPr>
        <w:t>Artículo 149.1.16.</w:t>
      </w:r>
      <w:r w:rsidRPr="00601EEA">
        <w:rPr>
          <w:rStyle w:val="TextoNormalCaracter"/>
        </w:rPr>
        <w:t>-</w:t>
      </w:r>
      <w:r>
        <w:t xml:space="preserve"> Sentencias </w:t>
      </w:r>
      <w:hyperlink w:anchor="SENTENCIA_2024_65" w:history="1">
        <w:r w:rsidRPr="00601EEA">
          <w:rPr>
            <w:rStyle w:val="TextoNormalCaracter"/>
          </w:rPr>
          <w:t>65/2024</w:t>
        </w:r>
      </w:hyperlink>
      <w:r>
        <w:t xml:space="preserve">, ff. 1, 3; </w:t>
      </w:r>
      <w:hyperlink w:anchor="SENTENCIA_2024_68" w:history="1">
        <w:r w:rsidRPr="00601EEA">
          <w:rPr>
            <w:rStyle w:val="TextoNormalCaracter"/>
          </w:rPr>
          <w:t>68/2024</w:t>
        </w:r>
      </w:hyperlink>
      <w:r>
        <w:t xml:space="preserve">, f. 5; </w:t>
      </w:r>
      <w:hyperlink w:anchor="SENTENCIA_2024_79" w:history="1">
        <w:r w:rsidRPr="00601EEA">
          <w:rPr>
            <w:rStyle w:val="TextoNormalCaracter"/>
          </w:rPr>
          <w:t>79/2024</w:t>
        </w:r>
      </w:hyperlink>
      <w:r>
        <w:t>, VP.</w:t>
      </w:r>
    </w:p>
    <w:p w14:paraId="2B87EF9B" w14:textId="76A95D1C" w:rsidR="00601EEA" w:rsidRDefault="00601EEA" w:rsidP="00601EEA">
      <w:pPr>
        <w:pStyle w:val="SangriaFrancesaArticulo"/>
      </w:pPr>
      <w:r w:rsidRPr="00601EEA">
        <w:rPr>
          <w:rStyle w:val="TextoNormalNegritaCaracter"/>
        </w:rPr>
        <w:t>Artículo 149.1.17.</w:t>
      </w:r>
      <w:r w:rsidRPr="00601EEA">
        <w:rPr>
          <w:rStyle w:val="TextoNormalCaracter"/>
        </w:rPr>
        <w:t>-</w:t>
      </w:r>
      <w:r>
        <w:t xml:space="preserve"> Sentencias </w:t>
      </w:r>
      <w:hyperlink w:anchor="SENTENCIA_2024_19" w:history="1">
        <w:r w:rsidRPr="00601EEA">
          <w:rPr>
            <w:rStyle w:val="TextoNormalCaracter"/>
          </w:rPr>
          <w:t>19/2024</w:t>
        </w:r>
      </w:hyperlink>
      <w:r>
        <w:t xml:space="preserve">, ff. 1, 3, 4; </w:t>
      </w:r>
      <w:hyperlink w:anchor="SENTENCIA_2024_32" w:history="1">
        <w:r w:rsidRPr="00601EEA">
          <w:rPr>
            <w:rStyle w:val="TextoNormalCaracter"/>
          </w:rPr>
          <w:t>32/2024</w:t>
        </w:r>
      </w:hyperlink>
      <w:r>
        <w:t xml:space="preserve">, ff. 1, 2; </w:t>
      </w:r>
      <w:hyperlink w:anchor="SENTENCIA_2024_68" w:history="1">
        <w:r w:rsidRPr="00601EEA">
          <w:rPr>
            <w:rStyle w:val="TextoNormalCaracter"/>
          </w:rPr>
          <w:t>68/2024</w:t>
        </w:r>
      </w:hyperlink>
      <w:r>
        <w:t>, f. 5.</w:t>
      </w:r>
    </w:p>
    <w:p w14:paraId="19E4CA47" w14:textId="536E658F" w:rsidR="00601EEA" w:rsidRDefault="00601EEA" w:rsidP="00601EEA">
      <w:pPr>
        <w:pStyle w:val="SangriaFrancesaArticulo"/>
      </w:pPr>
      <w:r w:rsidRPr="00601EEA">
        <w:rPr>
          <w:rStyle w:val="TextoNormalNegritaCaracter"/>
        </w:rPr>
        <w:t>Artículo 149.1.18.</w:t>
      </w:r>
      <w:r w:rsidRPr="00601EEA">
        <w:rPr>
          <w:rStyle w:val="TextoNormalCaracter"/>
        </w:rPr>
        <w:t>-</w:t>
      </w:r>
      <w:r>
        <w:t xml:space="preserve"> Sentencias </w:t>
      </w:r>
      <w:hyperlink w:anchor="SENTENCIA_2024_25" w:history="1">
        <w:r w:rsidRPr="00601EEA">
          <w:rPr>
            <w:rStyle w:val="TextoNormalCaracter"/>
          </w:rPr>
          <w:t>25/2024</w:t>
        </w:r>
      </w:hyperlink>
      <w:r>
        <w:t xml:space="preserve">, f. 10; </w:t>
      </w:r>
      <w:hyperlink w:anchor="SENTENCIA_2024_65" w:history="1">
        <w:r w:rsidRPr="00601EEA">
          <w:rPr>
            <w:rStyle w:val="TextoNormalCaracter"/>
          </w:rPr>
          <w:t>65/2024</w:t>
        </w:r>
      </w:hyperlink>
      <w:r>
        <w:t xml:space="preserve">, ff. 1, 3; </w:t>
      </w:r>
      <w:hyperlink w:anchor="SENTENCIA_2024_67" w:history="1">
        <w:r w:rsidRPr="00601EEA">
          <w:rPr>
            <w:rStyle w:val="TextoNormalCaracter"/>
          </w:rPr>
          <w:t>67/2024</w:t>
        </w:r>
      </w:hyperlink>
      <w:r>
        <w:t xml:space="preserve">, ff. 1, 2, 4; </w:t>
      </w:r>
      <w:hyperlink w:anchor="SENTENCIA_2024_68" w:history="1">
        <w:r w:rsidRPr="00601EEA">
          <w:rPr>
            <w:rStyle w:val="TextoNormalCaracter"/>
          </w:rPr>
          <w:t>68/2024</w:t>
        </w:r>
      </w:hyperlink>
      <w:r>
        <w:t xml:space="preserve">, ff. 5, 8; </w:t>
      </w:r>
      <w:hyperlink w:anchor="SENTENCIA_2024_73" w:history="1">
        <w:r w:rsidRPr="00601EEA">
          <w:rPr>
            <w:rStyle w:val="TextoNormalCaracter"/>
          </w:rPr>
          <w:t>73/2024</w:t>
        </w:r>
      </w:hyperlink>
      <w:r>
        <w:t xml:space="preserve">, f. 1; </w:t>
      </w:r>
      <w:hyperlink w:anchor="SENTENCIA_2024_79" w:history="1">
        <w:r w:rsidRPr="00601EEA">
          <w:rPr>
            <w:rStyle w:val="TextoNormalCaracter"/>
          </w:rPr>
          <w:t>79/2024</w:t>
        </w:r>
      </w:hyperlink>
      <w:r>
        <w:t xml:space="preserve">, f. 5; </w:t>
      </w:r>
      <w:hyperlink w:anchor="SENTENCIA_2024_93" w:history="1">
        <w:r w:rsidRPr="00601EEA">
          <w:rPr>
            <w:rStyle w:val="TextoNormalCaracter"/>
          </w:rPr>
          <w:t>93/2024</w:t>
        </w:r>
      </w:hyperlink>
      <w:r>
        <w:t>, VP I.</w:t>
      </w:r>
    </w:p>
    <w:p w14:paraId="098688EF" w14:textId="56BBB907" w:rsidR="00601EEA" w:rsidRDefault="00601EEA" w:rsidP="00601EEA">
      <w:pPr>
        <w:pStyle w:val="SangriaFrancesaArticulo"/>
      </w:pPr>
      <w:r w:rsidRPr="00601EEA">
        <w:rPr>
          <w:rStyle w:val="TextoNormalNegritaCaracter"/>
        </w:rPr>
        <w:t>Artículo 149.1.19.</w:t>
      </w:r>
      <w:r w:rsidRPr="00601EEA">
        <w:rPr>
          <w:rStyle w:val="TextoNormalCaracter"/>
        </w:rPr>
        <w:t>-</w:t>
      </w:r>
      <w:r>
        <w:t xml:space="preserve"> Sentencia </w:t>
      </w:r>
      <w:hyperlink w:anchor="SENTENCIA_2024_68" w:history="1">
        <w:r w:rsidRPr="00601EEA">
          <w:rPr>
            <w:rStyle w:val="TextoNormalCaracter"/>
          </w:rPr>
          <w:t>68/2024</w:t>
        </w:r>
      </w:hyperlink>
      <w:r>
        <w:t>, ff. 2, 7.</w:t>
      </w:r>
    </w:p>
    <w:p w14:paraId="611CBFFA" w14:textId="4E0936B2" w:rsidR="00601EEA" w:rsidRDefault="00601EEA" w:rsidP="00601EEA">
      <w:pPr>
        <w:pStyle w:val="SangriaFrancesaArticulo"/>
      </w:pPr>
      <w:r w:rsidRPr="00601EEA">
        <w:rPr>
          <w:rStyle w:val="TextoNormalNegritaCaracter"/>
        </w:rPr>
        <w:t>Artículo 149.1.20.</w:t>
      </w:r>
      <w:r w:rsidRPr="00601EEA">
        <w:rPr>
          <w:rStyle w:val="TextoNormalCaracter"/>
        </w:rPr>
        <w:t>-</w:t>
      </w:r>
      <w:r>
        <w:t xml:space="preserve"> Sentencia </w:t>
      </w:r>
      <w:hyperlink w:anchor="SENTENCIA_2024_68" w:history="1">
        <w:r w:rsidRPr="00601EEA">
          <w:rPr>
            <w:rStyle w:val="TextoNormalCaracter"/>
          </w:rPr>
          <w:t>68/2024</w:t>
        </w:r>
      </w:hyperlink>
      <w:r>
        <w:t>, ff. 5, 7, 8.</w:t>
      </w:r>
    </w:p>
    <w:p w14:paraId="370BFFD6" w14:textId="6D8C37DC" w:rsidR="00601EEA" w:rsidRDefault="00601EEA" w:rsidP="00601EEA">
      <w:pPr>
        <w:pStyle w:val="SangriaFrancesaArticulo"/>
      </w:pPr>
      <w:r w:rsidRPr="00601EEA">
        <w:rPr>
          <w:rStyle w:val="TextoNormalNegritaCaracter"/>
        </w:rPr>
        <w:t>Artículo 149.1.21.</w:t>
      </w:r>
      <w:r w:rsidRPr="00601EEA">
        <w:rPr>
          <w:rStyle w:val="TextoNormalCaracter"/>
        </w:rPr>
        <w:t>-</w:t>
      </w:r>
      <w:r>
        <w:t xml:space="preserve"> Sentencias </w:t>
      </w:r>
      <w:hyperlink w:anchor="SENTENCIA_2024_68" w:history="1">
        <w:r w:rsidRPr="00601EEA">
          <w:rPr>
            <w:rStyle w:val="TextoNormalCaracter"/>
          </w:rPr>
          <w:t>68/2024</w:t>
        </w:r>
      </w:hyperlink>
      <w:r>
        <w:t xml:space="preserve">, ff. 5, 8; </w:t>
      </w:r>
      <w:hyperlink w:anchor="SENTENCIA_2024_88" w:history="1">
        <w:r w:rsidRPr="00601EEA">
          <w:rPr>
            <w:rStyle w:val="TextoNormalCaracter"/>
          </w:rPr>
          <w:t>88/2024</w:t>
        </w:r>
      </w:hyperlink>
      <w:r>
        <w:t>, f. 5.</w:t>
      </w:r>
    </w:p>
    <w:p w14:paraId="515C7BC0" w14:textId="140D3060" w:rsidR="00601EEA" w:rsidRDefault="00601EEA" w:rsidP="00601EEA">
      <w:pPr>
        <w:pStyle w:val="SangriaFrancesaArticulo"/>
      </w:pPr>
      <w:r w:rsidRPr="00601EEA">
        <w:rPr>
          <w:rStyle w:val="TextoNormalNegritaCaracter"/>
        </w:rPr>
        <w:t>Artículo 149.1.23.</w:t>
      </w:r>
      <w:r w:rsidRPr="00601EEA">
        <w:rPr>
          <w:rStyle w:val="TextoNormalCaracter"/>
        </w:rPr>
        <w:t>-</w:t>
      </w:r>
      <w:r>
        <w:t xml:space="preserve"> Sentencias </w:t>
      </w:r>
      <w:hyperlink w:anchor="SENTENCIA_2024_25" w:history="1">
        <w:r w:rsidRPr="00601EEA">
          <w:rPr>
            <w:rStyle w:val="TextoNormalCaracter"/>
          </w:rPr>
          <w:t>25/2024</w:t>
        </w:r>
      </w:hyperlink>
      <w:r>
        <w:t xml:space="preserve">, ff. 1, 4 a 7, 12, 13; </w:t>
      </w:r>
      <w:hyperlink w:anchor="SENTENCIA_2024_68" w:history="1">
        <w:r w:rsidRPr="00601EEA">
          <w:rPr>
            <w:rStyle w:val="TextoNormalCaracter"/>
          </w:rPr>
          <w:t>68/2024</w:t>
        </w:r>
      </w:hyperlink>
      <w:r>
        <w:t xml:space="preserve">, ff. 5, 6, 8, 9, VP I; </w:t>
      </w:r>
      <w:hyperlink w:anchor="SENTENCIA_2024_76" w:history="1">
        <w:r w:rsidRPr="00601EEA">
          <w:rPr>
            <w:rStyle w:val="TextoNormalCaracter"/>
          </w:rPr>
          <w:t>76/2024</w:t>
        </w:r>
      </w:hyperlink>
      <w:r>
        <w:t xml:space="preserve">, ff. 1, 3, 5, VP; </w:t>
      </w:r>
      <w:hyperlink w:anchor="SENTENCIA_2024_79" w:history="1">
        <w:r w:rsidRPr="00601EEA">
          <w:rPr>
            <w:rStyle w:val="TextoNormalCaracter"/>
          </w:rPr>
          <w:t>79/2024</w:t>
        </w:r>
      </w:hyperlink>
      <w:r>
        <w:t xml:space="preserve">, VP; </w:t>
      </w:r>
      <w:hyperlink w:anchor="SENTENCIA_2024_91" w:history="1">
        <w:r w:rsidRPr="00601EEA">
          <w:rPr>
            <w:rStyle w:val="TextoNormalCaracter"/>
          </w:rPr>
          <w:t>91/2024</w:t>
        </w:r>
      </w:hyperlink>
      <w:r>
        <w:t>, f. 1.</w:t>
      </w:r>
    </w:p>
    <w:p w14:paraId="1BCF17E5" w14:textId="7E5C5F6F" w:rsidR="00601EEA" w:rsidRDefault="00601EEA" w:rsidP="00601EEA">
      <w:pPr>
        <w:pStyle w:val="SangriaIzquierdaArticulo"/>
      </w:pPr>
      <w:r>
        <w:t xml:space="preserve">Autos </w:t>
      </w:r>
      <w:hyperlink w:anchor="AUTO_2024_21" w:history="1">
        <w:r w:rsidRPr="00601EEA">
          <w:rPr>
            <w:rStyle w:val="TextoNormalCaracter"/>
          </w:rPr>
          <w:t>21/2024</w:t>
        </w:r>
      </w:hyperlink>
      <w:r>
        <w:t xml:space="preserve">, f. 1; </w:t>
      </w:r>
      <w:hyperlink w:anchor="AUTO_2024_41" w:history="1">
        <w:r w:rsidRPr="00601EEA">
          <w:rPr>
            <w:rStyle w:val="TextoNormalCaracter"/>
          </w:rPr>
          <w:t>41/2024</w:t>
        </w:r>
      </w:hyperlink>
      <w:r>
        <w:t>, ff. 1, 4.</w:t>
      </w:r>
    </w:p>
    <w:p w14:paraId="320A55D9" w14:textId="0A9B743E" w:rsidR="00601EEA" w:rsidRDefault="00601EEA" w:rsidP="00601EEA">
      <w:pPr>
        <w:pStyle w:val="SangriaFrancesaArticulo"/>
      </w:pPr>
      <w:r w:rsidRPr="00601EEA">
        <w:rPr>
          <w:rStyle w:val="TextoNormalNegritaCaracter"/>
        </w:rPr>
        <w:t>Artículo 149.1.24.</w:t>
      </w:r>
      <w:r w:rsidRPr="00601EEA">
        <w:rPr>
          <w:rStyle w:val="TextoNormalCaracter"/>
        </w:rPr>
        <w:t>-</w:t>
      </w:r>
      <w:r>
        <w:t xml:space="preserve"> Sentencia </w:t>
      </w:r>
      <w:hyperlink w:anchor="SENTENCIA_2024_68" w:history="1">
        <w:r w:rsidRPr="00601EEA">
          <w:rPr>
            <w:rStyle w:val="TextoNormalCaracter"/>
          </w:rPr>
          <w:t>68/2024</w:t>
        </w:r>
      </w:hyperlink>
      <w:r>
        <w:t>, ff. 5, 8.</w:t>
      </w:r>
    </w:p>
    <w:p w14:paraId="76F9AB46" w14:textId="429F3C70" w:rsidR="00601EEA" w:rsidRDefault="00601EEA" w:rsidP="00601EEA">
      <w:pPr>
        <w:pStyle w:val="SangriaFrancesaArticulo"/>
      </w:pPr>
      <w:r w:rsidRPr="00601EEA">
        <w:rPr>
          <w:rStyle w:val="TextoNormalNegritaCaracter"/>
        </w:rPr>
        <w:t>Artículo 149.1.25.</w:t>
      </w:r>
      <w:r w:rsidRPr="00601EEA">
        <w:rPr>
          <w:rStyle w:val="TextoNormalCaracter"/>
        </w:rPr>
        <w:t>-</w:t>
      </w:r>
      <w:r>
        <w:t xml:space="preserve"> Sentencias </w:t>
      </w:r>
      <w:hyperlink w:anchor="SENTENCIA_2024_20" w:history="1">
        <w:r w:rsidRPr="00601EEA">
          <w:rPr>
            <w:rStyle w:val="TextoNormalCaracter"/>
          </w:rPr>
          <w:t>20/2024</w:t>
        </w:r>
      </w:hyperlink>
      <w:r>
        <w:t xml:space="preserve">, ff. 1, 4; </w:t>
      </w:r>
      <w:hyperlink w:anchor="SENTENCIA_2024_68" w:history="1">
        <w:r w:rsidRPr="00601EEA">
          <w:rPr>
            <w:rStyle w:val="TextoNormalCaracter"/>
          </w:rPr>
          <w:t>68/2024</w:t>
        </w:r>
      </w:hyperlink>
      <w:r>
        <w:t>, f. 5.</w:t>
      </w:r>
    </w:p>
    <w:p w14:paraId="64ED4EC8" w14:textId="4009BE30" w:rsidR="00601EEA" w:rsidRDefault="00601EEA" w:rsidP="00601EEA">
      <w:pPr>
        <w:pStyle w:val="SangriaIzquierdaArticulo"/>
      </w:pPr>
      <w:r>
        <w:lastRenderedPageBreak/>
        <w:t xml:space="preserve">Auto </w:t>
      </w:r>
      <w:hyperlink w:anchor="AUTO_2024_37" w:history="1">
        <w:r w:rsidRPr="00601EEA">
          <w:rPr>
            <w:rStyle w:val="TextoNormalCaracter"/>
          </w:rPr>
          <w:t>37/2024</w:t>
        </w:r>
      </w:hyperlink>
      <w:r>
        <w:t>, f. 1.</w:t>
      </w:r>
    </w:p>
    <w:p w14:paraId="4637FD02" w14:textId="39F6D1B5" w:rsidR="00601EEA" w:rsidRDefault="00601EEA" w:rsidP="00601EEA">
      <w:pPr>
        <w:pStyle w:val="SangriaFrancesaArticulo"/>
      </w:pPr>
      <w:r w:rsidRPr="00601EEA">
        <w:rPr>
          <w:rStyle w:val="TextoNormalNegritaCaracter"/>
        </w:rPr>
        <w:t>Artículo 149.1.27.</w:t>
      </w:r>
      <w:r w:rsidRPr="00601EEA">
        <w:rPr>
          <w:rStyle w:val="TextoNormalCaracter"/>
        </w:rPr>
        <w:t>-</w:t>
      </w:r>
      <w:r>
        <w:t xml:space="preserve"> Sentencia </w:t>
      </w:r>
      <w:hyperlink w:anchor="SENTENCIA_2024_68" w:history="1">
        <w:r w:rsidRPr="00601EEA">
          <w:rPr>
            <w:rStyle w:val="TextoNormalCaracter"/>
          </w:rPr>
          <w:t>68/2024</w:t>
        </w:r>
      </w:hyperlink>
      <w:r>
        <w:t>, f. 5.</w:t>
      </w:r>
    </w:p>
    <w:p w14:paraId="5078F7A1" w14:textId="53ECE600" w:rsidR="00601EEA" w:rsidRDefault="00601EEA" w:rsidP="00601EEA">
      <w:pPr>
        <w:pStyle w:val="SangriaFrancesaArticulo"/>
      </w:pPr>
      <w:r w:rsidRPr="00601EEA">
        <w:rPr>
          <w:rStyle w:val="TextoNormalNegritaCaracter"/>
        </w:rPr>
        <w:t>Artículo 149.1.29.</w:t>
      </w:r>
      <w:r w:rsidRPr="00601EEA">
        <w:rPr>
          <w:rStyle w:val="TextoNormalCaracter"/>
        </w:rPr>
        <w:t>-</w:t>
      </w:r>
      <w:r>
        <w:t xml:space="preserve"> Sentencia </w:t>
      </w:r>
      <w:hyperlink w:anchor="SENTENCIA_2024_76" w:history="1">
        <w:r w:rsidRPr="00601EEA">
          <w:rPr>
            <w:rStyle w:val="TextoNormalCaracter"/>
          </w:rPr>
          <w:t>76/2024</w:t>
        </w:r>
      </w:hyperlink>
      <w:r>
        <w:t>, f. 5.</w:t>
      </w:r>
    </w:p>
    <w:p w14:paraId="7118B797" w14:textId="234B3734" w:rsidR="00601EEA" w:rsidRDefault="00601EEA" w:rsidP="00601EEA">
      <w:pPr>
        <w:pStyle w:val="SangriaFrancesaArticulo"/>
      </w:pPr>
      <w:r w:rsidRPr="00601EEA">
        <w:rPr>
          <w:rStyle w:val="TextoNormalNegritaCaracter"/>
        </w:rPr>
        <w:t>Artículo 149.1.30.</w:t>
      </w:r>
      <w:r w:rsidRPr="00601EEA">
        <w:rPr>
          <w:rStyle w:val="TextoNormalCaracter"/>
        </w:rPr>
        <w:t>-</w:t>
      </w:r>
      <w:r>
        <w:t xml:space="preserve"> Sentencia </w:t>
      </w:r>
      <w:hyperlink w:anchor="SENTENCIA_2024_79" w:history="1">
        <w:r w:rsidRPr="00601EEA">
          <w:rPr>
            <w:rStyle w:val="TextoNormalCaracter"/>
          </w:rPr>
          <w:t>79/2024</w:t>
        </w:r>
      </w:hyperlink>
      <w:r>
        <w:t>, VP.</w:t>
      </w:r>
    </w:p>
    <w:p w14:paraId="2E8B0731" w14:textId="79982483" w:rsidR="00601EEA" w:rsidRDefault="00601EEA" w:rsidP="00601EEA">
      <w:pPr>
        <w:pStyle w:val="SangriaFrancesaArticulo"/>
      </w:pPr>
      <w:r w:rsidRPr="00601EEA">
        <w:rPr>
          <w:rStyle w:val="TextoNormalNegritaCaracter"/>
        </w:rPr>
        <w:t>Artículo 149.3.</w:t>
      </w:r>
      <w:r w:rsidRPr="00601EEA">
        <w:rPr>
          <w:rStyle w:val="TextoNormalCaracter"/>
        </w:rPr>
        <w:t>-</w:t>
      </w:r>
      <w:r>
        <w:t xml:space="preserve"> Sentencia </w:t>
      </w:r>
      <w:hyperlink w:anchor="SENTENCIA_2024_79" w:history="1">
        <w:r w:rsidRPr="00601EEA">
          <w:rPr>
            <w:rStyle w:val="TextoNormalCaracter"/>
          </w:rPr>
          <w:t>79/2024</w:t>
        </w:r>
      </w:hyperlink>
      <w:r>
        <w:t>, ff. 2, 7.</w:t>
      </w:r>
    </w:p>
    <w:p w14:paraId="6D3E5273" w14:textId="073E2D01" w:rsidR="00601EEA" w:rsidRDefault="00601EEA" w:rsidP="00601EEA">
      <w:pPr>
        <w:pStyle w:val="SangriaFrancesaArticulo"/>
      </w:pPr>
      <w:r w:rsidRPr="00601EEA">
        <w:rPr>
          <w:rStyle w:val="TextoNormalNegritaCaracter"/>
        </w:rPr>
        <w:t>Artículo 150.2.</w:t>
      </w:r>
      <w:r w:rsidRPr="00601EEA">
        <w:rPr>
          <w:rStyle w:val="TextoNormalCaracter"/>
        </w:rPr>
        <w:t>-</w:t>
      </w:r>
      <w:r>
        <w:t xml:space="preserve"> Sentencias </w:t>
      </w:r>
      <w:hyperlink w:anchor="SENTENCIA_2024_67" w:history="1">
        <w:r w:rsidRPr="00601EEA">
          <w:rPr>
            <w:rStyle w:val="TextoNormalCaracter"/>
          </w:rPr>
          <w:t>67/2024</w:t>
        </w:r>
      </w:hyperlink>
      <w:r>
        <w:t xml:space="preserve">, ff. 1, 2, 4; </w:t>
      </w:r>
      <w:hyperlink w:anchor="SENTENCIA_2024_68" w:history="1">
        <w:r w:rsidRPr="00601EEA">
          <w:rPr>
            <w:rStyle w:val="TextoNormalCaracter"/>
          </w:rPr>
          <w:t>68/2024</w:t>
        </w:r>
      </w:hyperlink>
      <w:r>
        <w:t xml:space="preserve">, ff. 5, 10; </w:t>
      </w:r>
      <w:hyperlink w:anchor="SENTENCIA_2024_88" w:history="1">
        <w:r w:rsidRPr="00601EEA">
          <w:rPr>
            <w:rStyle w:val="TextoNormalCaracter"/>
          </w:rPr>
          <w:t>88/2024</w:t>
        </w:r>
      </w:hyperlink>
      <w:r>
        <w:t>, f. 5.</w:t>
      </w:r>
    </w:p>
    <w:p w14:paraId="3404FB47" w14:textId="53846C74" w:rsidR="00601EEA" w:rsidRDefault="00601EEA" w:rsidP="00601EEA">
      <w:pPr>
        <w:pStyle w:val="SangriaFrancesaArticulo"/>
      </w:pPr>
      <w:r w:rsidRPr="00601EEA">
        <w:rPr>
          <w:rStyle w:val="TextoNormalNegritaCaracter"/>
        </w:rPr>
        <w:t>Artículo 152.</w:t>
      </w:r>
      <w:r w:rsidRPr="00601EEA">
        <w:rPr>
          <w:rStyle w:val="TextoNormalCaracter"/>
        </w:rPr>
        <w:t>-</w:t>
      </w:r>
      <w:r>
        <w:t xml:space="preserve"> Sentencias </w:t>
      </w:r>
      <w:hyperlink w:anchor="SENTENCIA_2024_15" w:history="1">
        <w:r w:rsidRPr="00601EEA">
          <w:rPr>
            <w:rStyle w:val="TextoNormalCaracter"/>
          </w:rPr>
          <w:t>15/2024</w:t>
        </w:r>
      </w:hyperlink>
      <w:r>
        <w:t xml:space="preserve">, f. 3; </w:t>
      </w:r>
      <w:hyperlink w:anchor="SENTENCIA_2024_93" w:history="1">
        <w:r w:rsidRPr="00601EEA">
          <w:rPr>
            <w:rStyle w:val="TextoNormalCaracter"/>
          </w:rPr>
          <w:t>93/2024</w:t>
        </w:r>
      </w:hyperlink>
      <w:r>
        <w:t>, f. 4.</w:t>
      </w:r>
    </w:p>
    <w:p w14:paraId="00E9918D" w14:textId="0EB50BC3" w:rsidR="00601EEA" w:rsidRDefault="00601EEA" w:rsidP="00601EEA">
      <w:pPr>
        <w:pStyle w:val="SangriaFrancesaArticulo"/>
      </w:pPr>
      <w:r w:rsidRPr="00601EEA">
        <w:rPr>
          <w:rStyle w:val="TextoNormalNegritaCaracter"/>
        </w:rPr>
        <w:t>Artículo 156.1.</w:t>
      </w:r>
      <w:r w:rsidRPr="00601EEA">
        <w:rPr>
          <w:rStyle w:val="TextoNormalCaracter"/>
        </w:rPr>
        <w:t>-</w:t>
      </w:r>
      <w:r>
        <w:t xml:space="preserve"> Sentencia </w:t>
      </w:r>
      <w:hyperlink w:anchor="SENTENCIA_2024_79" w:history="1">
        <w:r w:rsidRPr="00601EEA">
          <w:rPr>
            <w:rStyle w:val="TextoNormalCaracter"/>
          </w:rPr>
          <w:t>79/2024</w:t>
        </w:r>
      </w:hyperlink>
      <w:r>
        <w:t>, f. 8.</w:t>
      </w:r>
    </w:p>
    <w:p w14:paraId="5C2A6B8E" w14:textId="0A583D57" w:rsidR="00601EEA" w:rsidRDefault="00601EEA" w:rsidP="00601EEA">
      <w:pPr>
        <w:pStyle w:val="SangriaFrancesaArticulo"/>
      </w:pPr>
      <w:r w:rsidRPr="00601EEA">
        <w:rPr>
          <w:rStyle w:val="TextoNormalNegritaCaracter"/>
        </w:rPr>
        <w:t>Artículo 159.1.</w:t>
      </w:r>
      <w:r w:rsidRPr="00601EEA">
        <w:rPr>
          <w:rStyle w:val="TextoNormalCaracter"/>
        </w:rPr>
        <w:t>-</w:t>
      </w:r>
      <w:r>
        <w:t xml:space="preserve"> Sentencia </w:t>
      </w:r>
      <w:hyperlink w:anchor="SENTENCIA_2024_15" w:history="1">
        <w:r w:rsidRPr="00601EEA">
          <w:rPr>
            <w:rStyle w:val="TextoNormalCaracter"/>
          </w:rPr>
          <w:t>15/2024</w:t>
        </w:r>
      </w:hyperlink>
      <w:r>
        <w:t>, f. 2, VP II.</w:t>
      </w:r>
    </w:p>
    <w:p w14:paraId="1C76161B" w14:textId="1F64BAB3" w:rsidR="00601EEA" w:rsidRDefault="00601EEA" w:rsidP="00601EEA">
      <w:pPr>
        <w:pStyle w:val="SangriaFrancesaArticulo"/>
      </w:pPr>
      <w:r w:rsidRPr="00601EEA">
        <w:rPr>
          <w:rStyle w:val="TextoNormalNegritaCaracter"/>
        </w:rPr>
        <w:t>Artículo 161.1.</w:t>
      </w:r>
      <w:r w:rsidRPr="00601EEA">
        <w:rPr>
          <w:rStyle w:val="TextoNormalCaracter"/>
        </w:rPr>
        <w:t>-</w:t>
      </w:r>
      <w:r>
        <w:t xml:space="preserve"> Sentencia </w:t>
      </w:r>
      <w:hyperlink w:anchor="SENTENCIA_2024_46" w:history="1">
        <w:r w:rsidRPr="00601EEA">
          <w:rPr>
            <w:rStyle w:val="TextoNormalCaracter"/>
          </w:rPr>
          <w:t>46/2024</w:t>
        </w:r>
      </w:hyperlink>
      <w:r>
        <w:t>, VP I.</w:t>
      </w:r>
    </w:p>
    <w:p w14:paraId="51378983" w14:textId="33E9084D" w:rsidR="00601EEA" w:rsidRDefault="00601EEA" w:rsidP="00601EEA">
      <w:pPr>
        <w:pStyle w:val="SangriaFrancesaArticulo"/>
      </w:pPr>
      <w:r w:rsidRPr="00601EEA">
        <w:rPr>
          <w:rStyle w:val="TextoNormalNegritaCaracter"/>
        </w:rPr>
        <w:t>Artículo 161.1 a).</w:t>
      </w:r>
      <w:r w:rsidRPr="00601EEA">
        <w:rPr>
          <w:rStyle w:val="TextoNormalCaracter"/>
        </w:rPr>
        <w:t>-</w:t>
      </w:r>
      <w:r>
        <w:t xml:space="preserve"> Sentencias </w:t>
      </w:r>
      <w:hyperlink w:anchor="SENTENCIA_2024_11" w:history="1">
        <w:r w:rsidRPr="00601EEA">
          <w:rPr>
            <w:rStyle w:val="TextoNormalCaracter"/>
          </w:rPr>
          <w:t>11/2024</w:t>
        </w:r>
      </w:hyperlink>
      <w:r>
        <w:t xml:space="preserve">, VP; </w:t>
      </w:r>
      <w:hyperlink w:anchor="SENTENCIA_2024_20" w:history="1">
        <w:r w:rsidRPr="00601EEA">
          <w:rPr>
            <w:rStyle w:val="TextoNormalCaracter"/>
          </w:rPr>
          <w:t>20/2024</w:t>
        </w:r>
      </w:hyperlink>
      <w:r>
        <w:t>, VP.</w:t>
      </w:r>
    </w:p>
    <w:p w14:paraId="746EBC5B" w14:textId="5DC8E5AC" w:rsidR="00601EEA" w:rsidRDefault="00601EEA" w:rsidP="00601EEA">
      <w:pPr>
        <w:pStyle w:val="SangriaFrancesaArticulo"/>
      </w:pPr>
      <w:r w:rsidRPr="00601EEA">
        <w:rPr>
          <w:rStyle w:val="TextoNormalNegritaCaracter"/>
        </w:rPr>
        <w:t>Artículo 161.1 b).</w:t>
      </w:r>
      <w:r w:rsidRPr="00601EEA">
        <w:rPr>
          <w:rStyle w:val="TextoNormalCaracter"/>
        </w:rPr>
        <w:t>-</w:t>
      </w:r>
      <w:r>
        <w:t xml:space="preserve"> Sentencia </w:t>
      </w:r>
      <w:hyperlink w:anchor="SENTENCIA_2024_53" w:history="1">
        <w:r w:rsidRPr="00601EEA">
          <w:rPr>
            <w:rStyle w:val="TextoNormalCaracter"/>
          </w:rPr>
          <w:t>53/2024</w:t>
        </w:r>
      </w:hyperlink>
      <w:r>
        <w:t>, f. 2.</w:t>
      </w:r>
    </w:p>
    <w:p w14:paraId="6E7E4F7E" w14:textId="5FE6F578" w:rsidR="00601EEA" w:rsidRDefault="00601EEA" w:rsidP="00601EEA">
      <w:pPr>
        <w:pStyle w:val="SangriaIzquierdaArticulo"/>
      </w:pPr>
      <w:r>
        <w:t xml:space="preserve">Auto </w:t>
      </w:r>
      <w:hyperlink w:anchor="AUTO_2024_47" w:history="1">
        <w:r w:rsidRPr="00601EEA">
          <w:rPr>
            <w:rStyle w:val="TextoNormalCaracter"/>
          </w:rPr>
          <w:t>47/2024</w:t>
        </w:r>
      </w:hyperlink>
      <w:r>
        <w:t>, VP.</w:t>
      </w:r>
    </w:p>
    <w:p w14:paraId="4571090F" w14:textId="6435CA93" w:rsidR="00601EEA" w:rsidRDefault="00601EEA" w:rsidP="00601EEA">
      <w:pPr>
        <w:pStyle w:val="SangriaFrancesaArticulo"/>
      </w:pPr>
      <w:r w:rsidRPr="00601EEA">
        <w:rPr>
          <w:rStyle w:val="TextoNormalNegritaCaracter"/>
        </w:rPr>
        <w:t>Artículo 161.1 d).</w:t>
      </w:r>
      <w:r w:rsidRPr="00601EEA">
        <w:rPr>
          <w:rStyle w:val="TextoNormalCaracter"/>
        </w:rPr>
        <w:t>-</w:t>
      </w:r>
      <w:r>
        <w:t xml:space="preserve"> Sentencia </w:t>
      </w:r>
      <w:hyperlink w:anchor="SENTENCIA_2024_15" w:history="1">
        <w:r w:rsidRPr="00601EEA">
          <w:rPr>
            <w:rStyle w:val="TextoNormalCaracter"/>
          </w:rPr>
          <w:t>15/2024</w:t>
        </w:r>
      </w:hyperlink>
      <w:r>
        <w:t>, ff. 2, 6, VP II.</w:t>
      </w:r>
    </w:p>
    <w:p w14:paraId="064BD583" w14:textId="5261F71F" w:rsidR="00601EEA" w:rsidRDefault="00601EEA" w:rsidP="00601EEA">
      <w:pPr>
        <w:pStyle w:val="SangriaFrancesaArticulo"/>
      </w:pPr>
      <w:r w:rsidRPr="00601EEA">
        <w:rPr>
          <w:rStyle w:val="TextoNormalNegritaCaracter"/>
        </w:rPr>
        <w:t>Artículo 161.2.</w:t>
      </w:r>
      <w:r w:rsidRPr="00601EEA">
        <w:rPr>
          <w:rStyle w:val="TextoNormalCaracter"/>
        </w:rPr>
        <w:t>-</w:t>
      </w:r>
      <w:r>
        <w:t xml:space="preserve"> Autos </w:t>
      </w:r>
      <w:hyperlink w:anchor="AUTO_2024_15" w:history="1">
        <w:r w:rsidRPr="00601EEA">
          <w:rPr>
            <w:rStyle w:val="TextoNormalCaracter"/>
          </w:rPr>
          <w:t>15/2024</w:t>
        </w:r>
      </w:hyperlink>
      <w:r>
        <w:t xml:space="preserve">, f. 5; </w:t>
      </w:r>
      <w:hyperlink w:anchor="AUTO_2024_21" w:history="1">
        <w:r w:rsidRPr="00601EEA">
          <w:rPr>
            <w:rStyle w:val="TextoNormalCaracter"/>
          </w:rPr>
          <w:t>21/2024</w:t>
        </w:r>
      </w:hyperlink>
      <w:r>
        <w:t xml:space="preserve">, ff. 1 a 3; </w:t>
      </w:r>
      <w:hyperlink w:anchor="AUTO_2024_22" w:history="1">
        <w:r w:rsidRPr="00601EEA">
          <w:rPr>
            <w:rStyle w:val="TextoNormalCaracter"/>
          </w:rPr>
          <w:t>22/2024</w:t>
        </w:r>
      </w:hyperlink>
      <w:r>
        <w:t xml:space="preserve">, f. 1; </w:t>
      </w:r>
      <w:hyperlink w:anchor="AUTO_2024_37" w:history="1">
        <w:r w:rsidRPr="00601EEA">
          <w:rPr>
            <w:rStyle w:val="TextoNormalCaracter"/>
          </w:rPr>
          <w:t>37/2024</w:t>
        </w:r>
      </w:hyperlink>
      <w:r>
        <w:t>, f. 2.</w:t>
      </w:r>
    </w:p>
    <w:p w14:paraId="390F1844" w14:textId="32819750" w:rsidR="00601EEA" w:rsidRDefault="00601EEA" w:rsidP="00601EEA">
      <w:pPr>
        <w:pStyle w:val="SangriaFrancesaArticulo"/>
      </w:pPr>
      <w:r w:rsidRPr="00601EEA">
        <w:rPr>
          <w:rStyle w:val="TextoNormalNegritaCaracter"/>
        </w:rPr>
        <w:t>Artículo 162.1 a).</w:t>
      </w:r>
      <w:r w:rsidRPr="00601EEA">
        <w:rPr>
          <w:rStyle w:val="TextoNormalCaracter"/>
        </w:rPr>
        <w:t>-</w:t>
      </w:r>
      <w:r>
        <w:t xml:space="preserve"> Sentencias </w:t>
      </w:r>
      <w:hyperlink w:anchor="SENTENCIA_2024_20" w:history="1">
        <w:r w:rsidRPr="00601EEA">
          <w:rPr>
            <w:rStyle w:val="TextoNormalCaracter"/>
          </w:rPr>
          <w:t>20/2024</w:t>
        </w:r>
      </w:hyperlink>
      <w:r>
        <w:t xml:space="preserve">, VP; </w:t>
      </w:r>
      <w:hyperlink w:anchor="SENTENCIA_2024_63" w:history="1">
        <w:r w:rsidRPr="00601EEA">
          <w:rPr>
            <w:rStyle w:val="TextoNormalCaracter"/>
          </w:rPr>
          <w:t>63/2024</w:t>
        </w:r>
      </w:hyperlink>
      <w:r>
        <w:t>, f. 2.</w:t>
      </w:r>
    </w:p>
    <w:p w14:paraId="61298BE0" w14:textId="0C4900A3" w:rsidR="00601EEA" w:rsidRDefault="00601EEA" w:rsidP="00601EEA">
      <w:pPr>
        <w:pStyle w:val="SangriaIzquierdaArticulo"/>
      </w:pPr>
      <w:r>
        <w:t xml:space="preserve">Autos </w:t>
      </w:r>
      <w:hyperlink w:anchor="AUTO_2024_20" w:history="1">
        <w:r w:rsidRPr="00601EEA">
          <w:rPr>
            <w:rStyle w:val="TextoNormalCaracter"/>
          </w:rPr>
          <w:t>20/2024</w:t>
        </w:r>
      </w:hyperlink>
      <w:r>
        <w:t xml:space="preserve">, f. 4; </w:t>
      </w:r>
      <w:hyperlink w:anchor="AUTO_2024_30" w:history="1">
        <w:r w:rsidRPr="00601EEA">
          <w:rPr>
            <w:rStyle w:val="TextoNormalCaracter"/>
          </w:rPr>
          <w:t>30/2024</w:t>
        </w:r>
      </w:hyperlink>
      <w:r>
        <w:t>, f. 2.</w:t>
      </w:r>
    </w:p>
    <w:p w14:paraId="681EFCF4" w14:textId="6FC031C7" w:rsidR="00601EEA" w:rsidRDefault="00601EEA" w:rsidP="00601EEA">
      <w:pPr>
        <w:pStyle w:val="SangriaFrancesaArticulo"/>
      </w:pPr>
      <w:r w:rsidRPr="00601EEA">
        <w:rPr>
          <w:rStyle w:val="TextoNormalNegritaCaracter"/>
        </w:rPr>
        <w:t>Artículo 162.1 b).</w:t>
      </w:r>
      <w:r w:rsidRPr="00601EEA">
        <w:rPr>
          <w:rStyle w:val="TextoNormalCaracter"/>
        </w:rPr>
        <w:t>-</w:t>
      </w:r>
      <w:r>
        <w:t xml:space="preserve"> Sentencias </w:t>
      </w:r>
      <w:hyperlink w:anchor="SENTENCIA_2024_28" w:history="1">
        <w:r w:rsidRPr="00601EEA">
          <w:rPr>
            <w:rStyle w:val="TextoNormalCaracter"/>
          </w:rPr>
          <w:t>28/2024</w:t>
        </w:r>
      </w:hyperlink>
      <w:r>
        <w:t xml:space="preserve">, f. 2; </w:t>
      </w:r>
      <w:hyperlink w:anchor="SENTENCIA_2024_71" w:history="1">
        <w:r w:rsidRPr="00601EEA">
          <w:rPr>
            <w:rStyle w:val="TextoNormalCaracter"/>
          </w:rPr>
          <w:t>71/2024</w:t>
        </w:r>
      </w:hyperlink>
      <w:r>
        <w:t>, f. único.</w:t>
      </w:r>
    </w:p>
    <w:p w14:paraId="3E481EC7" w14:textId="08CB55AE" w:rsidR="00601EEA" w:rsidRDefault="00601EEA" w:rsidP="00601EEA">
      <w:pPr>
        <w:pStyle w:val="SangriaFrancesaArticulo"/>
      </w:pPr>
      <w:r w:rsidRPr="00601EEA">
        <w:rPr>
          <w:rStyle w:val="TextoNormalNegritaCaracter"/>
        </w:rPr>
        <w:t>Artículo 163.</w:t>
      </w:r>
      <w:r w:rsidRPr="00601EEA">
        <w:rPr>
          <w:rStyle w:val="TextoNormalCaracter"/>
        </w:rPr>
        <w:t>-</w:t>
      </w:r>
      <w:r>
        <w:t xml:space="preserve"> Sentencias </w:t>
      </w:r>
      <w:hyperlink w:anchor="SENTENCIA_2024_63" w:history="1">
        <w:r w:rsidRPr="00601EEA">
          <w:rPr>
            <w:rStyle w:val="TextoNormalCaracter"/>
          </w:rPr>
          <w:t>63/2024</w:t>
        </w:r>
      </w:hyperlink>
      <w:r>
        <w:t xml:space="preserve">, f. 2; </w:t>
      </w:r>
      <w:hyperlink w:anchor="SENTENCIA_2024_93" w:history="1">
        <w:r w:rsidRPr="00601EEA">
          <w:rPr>
            <w:rStyle w:val="TextoNormalCaracter"/>
          </w:rPr>
          <w:t>93/2024</w:t>
        </w:r>
      </w:hyperlink>
      <w:r>
        <w:t>, f. 4.</w:t>
      </w:r>
    </w:p>
    <w:p w14:paraId="1F06AE64" w14:textId="2533E0DC" w:rsidR="00601EEA" w:rsidRDefault="00601EEA" w:rsidP="00601EEA">
      <w:pPr>
        <w:pStyle w:val="SangriaIzquierdaArticulo"/>
      </w:pPr>
      <w:r>
        <w:t xml:space="preserve">Autos </w:t>
      </w:r>
      <w:hyperlink w:anchor="AUTO_2024_20" w:history="1">
        <w:r w:rsidRPr="00601EEA">
          <w:rPr>
            <w:rStyle w:val="TextoNormalCaracter"/>
          </w:rPr>
          <w:t>20/2024</w:t>
        </w:r>
      </w:hyperlink>
      <w:r>
        <w:t xml:space="preserve">, ff. 2, 4; </w:t>
      </w:r>
      <w:hyperlink w:anchor="AUTO_2024_30" w:history="1">
        <w:r w:rsidRPr="00601EEA">
          <w:rPr>
            <w:rStyle w:val="TextoNormalCaracter"/>
          </w:rPr>
          <w:t>30/2024</w:t>
        </w:r>
      </w:hyperlink>
      <w:r>
        <w:t>, ff. 2, 3.</w:t>
      </w:r>
    </w:p>
    <w:p w14:paraId="7287DE1F" w14:textId="5E8C7573" w:rsidR="00601EEA" w:rsidRDefault="00601EEA" w:rsidP="00601EEA">
      <w:pPr>
        <w:pStyle w:val="SangriaFrancesaArticulo"/>
      </w:pPr>
      <w:r w:rsidRPr="00601EEA">
        <w:rPr>
          <w:rStyle w:val="TextoNormalNegritaCaracter"/>
        </w:rPr>
        <w:t>Artículo 164.</w:t>
      </w:r>
      <w:r w:rsidRPr="00601EEA">
        <w:rPr>
          <w:rStyle w:val="TextoNormalCaracter"/>
        </w:rPr>
        <w:t>-</w:t>
      </w:r>
      <w:r>
        <w:t xml:space="preserve"> Sentencia </w:t>
      </w:r>
      <w:hyperlink w:anchor="SENTENCIA_2024_80" w:history="1">
        <w:r w:rsidRPr="00601EEA">
          <w:rPr>
            <w:rStyle w:val="TextoNormalCaracter"/>
          </w:rPr>
          <w:t>80/2024</w:t>
        </w:r>
      </w:hyperlink>
      <w:r>
        <w:t>, f. 3.</w:t>
      </w:r>
    </w:p>
    <w:p w14:paraId="75CE53DF" w14:textId="6633C75F" w:rsidR="00601EEA" w:rsidRDefault="00601EEA" w:rsidP="00601EEA">
      <w:pPr>
        <w:pStyle w:val="SangriaFrancesaArticulo"/>
      </w:pPr>
      <w:r w:rsidRPr="00601EEA">
        <w:rPr>
          <w:rStyle w:val="TextoNormalNegritaCaracter"/>
        </w:rPr>
        <w:t>Artículo 164.1.</w:t>
      </w:r>
      <w:r w:rsidRPr="00601EEA">
        <w:rPr>
          <w:rStyle w:val="TextoNormalCaracter"/>
        </w:rPr>
        <w:t>-</w:t>
      </w:r>
      <w:r>
        <w:t xml:space="preserve"> Sentencia </w:t>
      </w:r>
      <w:hyperlink w:anchor="SENTENCIA_2024_80" w:history="1">
        <w:r w:rsidRPr="00601EEA">
          <w:rPr>
            <w:rStyle w:val="TextoNormalCaracter"/>
          </w:rPr>
          <w:t>80/2024</w:t>
        </w:r>
      </w:hyperlink>
      <w:r>
        <w:t>, f. 3.</w:t>
      </w:r>
    </w:p>
    <w:p w14:paraId="77F28347" w14:textId="4679EE01" w:rsidR="00601EEA" w:rsidRDefault="00601EEA" w:rsidP="00601EEA">
      <w:pPr>
        <w:pStyle w:val="SangriaFrancesaArticulo"/>
      </w:pPr>
      <w:r w:rsidRPr="00601EEA">
        <w:rPr>
          <w:rStyle w:val="TextoNormalNegritaCaracter"/>
        </w:rPr>
        <w:t>Artículo 165.</w:t>
      </w:r>
      <w:r w:rsidRPr="00601EEA">
        <w:rPr>
          <w:rStyle w:val="TextoNormalCaracter"/>
        </w:rPr>
        <w:t>-</w:t>
      </w:r>
      <w:r>
        <w:t xml:space="preserve"> Sentencia </w:t>
      </w:r>
      <w:hyperlink w:anchor="SENTENCIA_2024_15" w:history="1">
        <w:r w:rsidRPr="00601EEA">
          <w:rPr>
            <w:rStyle w:val="TextoNormalCaracter"/>
          </w:rPr>
          <w:t>15/2024</w:t>
        </w:r>
      </w:hyperlink>
      <w:r>
        <w:t>, ff. 1, 2, 4, 6, 8, VP II.</w:t>
      </w:r>
    </w:p>
    <w:p w14:paraId="2DB06686" w14:textId="435BEF54" w:rsidR="00601EEA" w:rsidRDefault="00601EEA" w:rsidP="00601EEA">
      <w:pPr>
        <w:pStyle w:val="SangriaFrancesaArticulo"/>
      </w:pPr>
      <w:r w:rsidRPr="00601EEA">
        <w:rPr>
          <w:rStyle w:val="TextoNormalNegritaCaracter"/>
        </w:rPr>
        <w:t>Artículo 167.</w:t>
      </w:r>
      <w:r w:rsidRPr="00601EEA">
        <w:rPr>
          <w:rStyle w:val="TextoNormalCaracter"/>
        </w:rPr>
        <w:t>-</w:t>
      </w:r>
      <w:r>
        <w:t xml:space="preserve"> Sentencia </w:t>
      </w:r>
      <w:hyperlink w:anchor="SENTENCIA_2024_15" w:history="1">
        <w:r w:rsidRPr="00601EEA">
          <w:rPr>
            <w:rStyle w:val="TextoNormalCaracter"/>
          </w:rPr>
          <w:t>15/2024</w:t>
        </w:r>
      </w:hyperlink>
      <w:r>
        <w:t>, ff. 1, 2, 4, 5, 8.</w:t>
      </w:r>
    </w:p>
    <w:p w14:paraId="70479366" w14:textId="79B5DF9C" w:rsidR="00601EEA" w:rsidRDefault="00601EEA" w:rsidP="00601EEA">
      <w:pPr>
        <w:pStyle w:val="SangriaFrancesaArticulo"/>
      </w:pPr>
      <w:r w:rsidRPr="00601EEA">
        <w:rPr>
          <w:rStyle w:val="TextoNormalNegritaCaracter"/>
        </w:rPr>
        <w:t>Artículo 169.</w:t>
      </w:r>
      <w:r w:rsidRPr="00601EEA">
        <w:rPr>
          <w:rStyle w:val="TextoNormalCaracter"/>
        </w:rPr>
        <w:t>-</w:t>
      </w:r>
      <w:r>
        <w:t xml:space="preserve"> Sentencia </w:t>
      </w:r>
      <w:hyperlink w:anchor="SENTENCIA_2024_15" w:history="1">
        <w:r w:rsidRPr="00601EEA">
          <w:rPr>
            <w:rStyle w:val="TextoNormalCaracter"/>
          </w:rPr>
          <w:t>15/2024</w:t>
        </w:r>
      </w:hyperlink>
      <w:r>
        <w:t>, ff. 1, 2, 4, 5, 8.</w:t>
      </w:r>
    </w:p>
    <w:p w14:paraId="0974BAD3" w14:textId="759759BF" w:rsidR="00601EEA" w:rsidRDefault="00601EEA" w:rsidP="00601EEA">
      <w:pPr>
        <w:pStyle w:val="SangriaFrancesaArticulo"/>
      </w:pPr>
      <w:r w:rsidRPr="00601EEA">
        <w:rPr>
          <w:rStyle w:val="TextoNormalNegritaCaracter"/>
        </w:rPr>
        <w:t>Disposición adicional primera.</w:t>
      </w:r>
      <w:r w:rsidRPr="00601EEA">
        <w:rPr>
          <w:rStyle w:val="TextoNormalCaracter"/>
        </w:rPr>
        <w:t>-</w:t>
      </w:r>
      <w:r>
        <w:t xml:space="preserve"> Sentencias </w:t>
      </w:r>
      <w:hyperlink w:anchor="SENTENCIA_2024_32" w:history="1">
        <w:r w:rsidRPr="00601EEA">
          <w:rPr>
            <w:rStyle w:val="TextoNormalCaracter"/>
          </w:rPr>
          <w:t>32/2024</w:t>
        </w:r>
      </w:hyperlink>
      <w:r>
        <w:t xml:space="preserve">, f. 2; </w:t>
      </w:r>
      <w:hyperlink w:anchor="SENTENCIA_2024_67" w:history="1">
        <w:r w:rsidRPr="00601EEA">
          <w:rPr>
            <w:rStyle w:val="TextoNormalCaracter"/>
          </w:rPr>
          <w:t>67/2024</w:t>
        </w:r>
      </w:hyperlink>
      <w:r>
        <w:t xml:space="preserve">, ff. 1, 2; </w:t>
      </w:r>
      <w:hyperlink w:anchor="SENTENCIA_2024_73" w:history="1">
        <w:r w:rsidRPr="00601EEA">
          <w:rPr>
            <w:rStyle w:val="TextoNormalCaracter"/>
          </w:rPr>
          <w:t>73/2024</w:t>
        </w:r>
      </w:hyperlink>
      <w:r>
        <w:t>, f. 1.</w:t>
      </w:r>
    </w:p>
    <w:p w14:paraId="5C0EFB1D" w14:textId="16A3BC22" w:rsidR="00601EEA" w:rsidRDefault="00601EEA" w:rsidP="00601EEA">
      <w:pPr>
        <w:pStyle w:val="SangriaFrancesaArticulo"/>
      </w:pPr>
      <w:r w:rsidRPr="00601EEA">
        <w:rPr>
          <w:rStyle w:val="TextoNormalNegritaCaracter"/>
        </w:rPr>
        <w:t>Disposición adicional cuarta.</w:t>
      </w:r>
      <w:r w:rsidRPr="00601EEA">
        <w:rPr>
          <w:rStyle w:val="TextoNormalCaracter"/>
        </w:rPr>
        <w:t>-</w:t>
      </w:r>
      <w:r>
        <w:t xml:space="preserve"> Sentencia </w:t>
      </w:r>
      <w:hyperlink w:anchor="SENTENCIA_2024_15" w:history="1">
        <w:r w:rsidRPr="00601EEA">
          <w:rPr>
            <w:rStyle w:val="TextoNormalCaracter"/>
          </w:rPr>
          <w:t>15/2024</w:t>
        </w:r>
      </w:hyperlink>
      <w:r>
        <w:t>, f. 3.</w:t>
      </w:r>
    </w:p>
    <w:p w14:paraId="1DE1DC8E" w14:textId="7CD6EB54" w:rsidR="00601EEA" w:rsidRDefault="00601EEA" w:rsidP="00601EEA">
      <w:pPr>
        <w:pStyle w:val="SangriaFrancesaArticulo"/>
      </w:pPr>
    </w:p>
    <w:p w14:paraId="43F4AFCC" w14:textId="77777777" w:rsidR="00601EEA" w:rsidRDefault="00601EEA" w:rsidP="00601EEA">
      <w:pPr>
        <w:pStyle w:val="TextoNormalNegritaCursivandice"/>
        <w:keepNext/>
      </w:pPr>
      <w:r>
        <w:t>Constitución española. Reforma del artículo 49 CE, de 15 de febrero de 2024</w:t>
      </w:r>
    </w:p>
    <w:p w14:paraId="2DADD271" w14:textId="43BEC73C"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71" w:history="1">
        <w:r w:rsidRPr="00601EEA">
          <w:rPr>
            <w:rStyle w:val="TextoNormalCaracter"/>
          </w:rPr>
          <w:t>71/2024</w:t>
        </w:r>
      </w:hyperlink>
      <w:r>
        <w:t>, f. único.</w:t>
      </w:r>
    </w:p>
    <w:p w14:paraId="7B9CD3CB" w14:textId="4A760BC1" w:rsidR="00601EEA" w:rsidRDefault="00601EEA" w:rsidP="00601EEA">
      <w:pPr>
        <w:pStyle w:val="TextoNormal"/>
      </w:pPr>
    </w:p>
    <w:p w14:paraId="3368B0BE" w14:textId="77777777" w:rsidR="00601EEA" w:rsidRDefault="00601EEA" w:rsidP="00601EEA">
      <w:pPr>
        <w:pStyle w:val="SangriaFrancesaArticulo"/>
      </w:pPr>
      <w:bookmarkStart w:id="162" w:name="INDICE22843"/>
    </w:p>
    <w:bookmarkEnd w:id="162"/>
    <w:p w14:paraId="7784DFEE" w14:textId="77777777" w:rsidR="00601EEA" w:rsidRDefault="00601EEA" w:rsidP="00601EEA">
      <w:pPr>
        <w:pStyle w:val="TextoIndiceNivel2"/>
        <w:suppressAutoHyphens/>
      </w:pPr>
      <w:r>
        <w:t>B) Tribunal Constitucional</w:t>
      </w:r>
    </w:p>
    <w:p w14:paraId="42363103" w14:textId="340323E5" w:rsidR="00601EEA" w:rsidRDefault="00601EEA" w:rsidP="00601EEA">
      <w:pPr>
        <w:pStyle w:val="TextoIndiceNivel2"/>
      </w:pPr>
    </w:p>
    <w:p w14:paraId="34984571" w14:textId="77777777" w:rsidR="00601EEA" w:rsidRDefault="00601EEA" w:rsidP="00601EEA">
      <w:pPr>
        <w:pStyle w:val="TextoNormalNegritaCursivandice"/>
        <w:keepNext/>
      </w:pPr>
      <w:r>
        <w:t>Ley Orgánica 2/1979, de 3 de octubre. Tribunal Constitucional</w:t>
      </w:r>
    </w:p>
    <w:p w14:paraId="588DA78A" w14:textId="5701B300" w:rsidR="00601EEA" w:rsidRDefault="00601EEA" w:rsidP="00601EEA">
      <w:pPr>
        <w:pStyle w:val="SangriaFrancesaArticulo"/>
        <w:keepNext/>
      </w:pPr>
      <w:r w:rsidRPr="00601EEA">
        <w:rPr>
          <w:rStyle w:val="TextoNormalNegritaCaracter"/>
        </w:rPr>
        <w:t>En general.</w:t>
      </w:r>
      <w:r w:rsidRPr="00601EEA">
        <w:rPr>
          <w:rStyle w:val="TextoNormalCaracter"/>
        </w:rPr>
        <w:t>-</w:t>
      </w:r>
      <w:r>
        <w:t xml:space="preserve"> Sentencia </w:t>
      </w:r>
      <w:hyperlink w:anchor="SENTENCIA_2024_15" w:history="1">
        <w:r w:rsidRPr="00601EEA">
          <w:rPr>
            <w:rStyle w:val="TextoNormalCaracter"/>
          </w:rPr>
          <w:t>15/2024</w:t>
        </w:r>
      </w:hyperlink>
      <w:r>
        <w:t>, ff. 1, 2, 4, 6, 8.</w:t>
      </w:r>
    </w:p>
    <w:p w14:paraId="54055ADC" w14:textId="14F3A007" w:rsidR="00601EEA" w:rsidRDefault="00601EEA" w:rsidP="00601EEA">
      <w:pPr>
        <w:pStyle w:val="SangriaIzquierdaArticulo"/>
      </w:pPr>
      <w:r>
        <w:t xml:space="preserve">Auto </w:t>
      </w:r>
      <w:hyperlink w:anchor="AUTO_2024_42" w:history="1">
        <w:r w:rsidRPr="00601EEA">
          <w:rPr>
            <w:rStyle w:val="TextoNormalCaracter"/>
          </w:rPr>
          <w:t>42/2024</w:t>
        </w:r>
      </w:hyperlink>
      <w:r>
        <w:t>, f. único.</w:t>
      </w:r>
    </w:p>
    <w:p w14:paraId="173CA025" w14:textId="5EE54794" w:rsidR="00601EEA" w:rsidRDefault="00601EEA" w:rsidP="00601EEA">
      <w:pPr>
        <w:pStyle w:val="SangriaFrancesaArticulo"/>
      </w:pPr>
      <w:r w:rsidRPr="00601EEA">
        <w:rPr>
          <w:rStyle w:val="TextoNormalNegritaCaracter"/>
        </w:rPr>
        <w:t>Título VIII.</w:t>
      </w:r>
      <w:r w:rsidRPr="00601EEA">
        <w:rPr>
          <w:rStyle w:val="TextoNormalCaracter"/>
        </w:rPr>
        <w:t>-</w:t>
      </w:r>
      <w:r>
        <w:t xml:space="preserve"> Auto </w:t>
      </w:r>
      <w:hyperlink w:anchor="AUTO_2024_17" w:history="1">
        <w:r w:rsidRPr="00601EEA">
          <w:rPr>
            <w:rStyle w:val="TextoNormalCaracter"/>
          </w:rPr>
          <w:t>17/2024</w:t>
        </w:r>
      </w:hyperlink>
      <w:r>
        <w:t>, f. 3.</w:t>
      </w:r>
    </w:p>
    <w:p w14:paraId="7EBE91E5" w14:textId="0E7E5305" w:rsidR="00601EEA" w:rsidRDefault="00601EEA" w:rsidP="00601EEA">
      <w:pPr>
        <w:pStyle w:val="SangriaFrancesaArticulo"/>
      </w:pPr>
      <w:r w:rsidRPr="00601EEA">
        <w:rPr>
          <w:rStyle w:val="TextoNormalNegritaCaracter"/>
        </w:rPr>
        <w:t>Artículo 1.1.</w:t>
      </w:r>
      <w:r w:rsidRPr="00601EEA">
        <w:rPr>
          <w:rStyle w:val="TextoNormalCaracter"/>
        </w:rPr>
        <w:t>-</w:t>
      </w:r>
      <w:r>
        <w:t xml:space="preserve"> Sentencia </w:t>
      </w:r>
      <w:hyperlink w:anchor="SENTENCIA_2024_93" w:history="1">
        <w:r w:rsidRPr="00601EEA">
          <w:rPr>
            <w:rStyle w:val="TextoNormalCaracter"/>
          </w:rPr>
          <w:t>93/2024</w:t>
        </w:r>
      </w:hyperlink>
      <w:r>
        <w:t>, f. 4.</w:t>
      </w:r>
    </w:p>
    <w:p w14:paraId="7143F5EC" w14:textId="2BC50F92" w:rsidR="00601EEA" w:rsidRDefault="00601EEA" w:rsidP="00601EEA">
      <w:pPr>
        <w:pStyle w:val="SangriaFrancesaArticulo"/>
      </w:pPr>
      <w:r w:rsidRPr="00601EEA">
        <w:rPr>
          <w:rStyle w:val="TextoNormalNegritaCaracter"/>
        </w:rPr>
        <w:t>Artículo 9.3.</w:t>
      </w:r>
      <w:r w:rsidRPr="00601EEA">
        <w:rPr>
          <w:rStyle w:val="TextoNormalCaracter"/>
        </w:rPr>
        <w:t>-</w:t>
      </w:r>
      <w:r>
        <w:t xml:space="preserve"> Auto </w:t>
      </w:r>
      <w:hyperlink w:anchor="AUTO_2024_57" w:history="1">
        <w:r w:rsidRPr="00601EEA">
          <w:rPr>
            <w:rStyle w:val="TextoNormalCaracter"/>
          </w:rPr>
          <w:t>57/2024</w:t>
        </w:r>
      </w:hyperlink>
      <w:r>
        <w:t>, f. 5.</w:t>
      </w:r>
    </w:p>
    <w:p w14:paraId="240EA4DE" w14:textId="45B51480" w:rsidR="00601EEA" w:rsidRDefault="00601EEA" w:rsidP="00601EEA">
      <w:pPr>
        <w:pStyle w:val="SangriaFrancesaArticulo"/>
      </w:pPr>
      <w:r w:rsidRPr="00601EEA">
        <w:rPr>
          <w:rStyle w:val="TextoNormalNegritaCaracter"/>
        </w:rPr>
        <w:t>Artículo 10.1 k).</w:t>
      </w:r>
      <w:r w:rsidRPr="00601EEA">
        <w:rPr>
          <w:rStyle w:val="TextoNormalCaracter"/>
        </w:rPr>
        <w:t>-</w:t>
      </w:r>
      <w:r>
        <w:t xml:space="preserve"> Autos </w:t>
      </w:r>
      <w:hyperlink w:anchor="AUTO_2024_18" w:history="1">
        <w:r w:rsidRPr="00601EEA">
          <w:rPr>
            <w:rStyle w:val="TextoNormalCaracter"/>
          </w:rPr>
          <w:t>18/2024</w:t>
        </w:r>
      </w:hyperlink>
      <w:r>
        <w:t xml:space="preserve">, f. único; </w:t>
      </w:r>
      <w:hyperlink w:anchor="AUTO_2024_31" w:history="1">
        <w:r w:rsidRPr="00601EEA">
          <w:rPr>
            <w:rStyle w:val="TextoNormalCaracter"/>
          </w:rPr>
          <w:t>31/2024</w:t>
        </w:r>
      </w:hyperlink>
      <w:r>
        <w:t xml:space="preserve">, f. 2; </w:t>
      </w:r>
      <w:hyperlink w:anchor="AUTO_2024_32" w:history="1">
        <w:r w:rsidRPr="00601EEA">
          <w:rPr>
            <w:rStyle w:val="TextoNormalCaracter"/>
          </w:rPr>
          <w:t>32/2024</w:t>
        </w:r>
      </w:hyperlink>
      <w:r>
        <w:t xml:space="preserve">, f. 2; </w:t>
      </w:r>
      <w:hyperlink w:anchor="AUTO_2024_33" w:history="1">
        <w:r w:rsidRPr="00601EEA">
          <w:rPr>
            <w:rStyle w:val="TextoNormalCaracter"/>
          </w:rPr>
          <w:t>33/2024</w:t>
        </w:r>
      </w:hyperlink>
      <w:r>
        <w:t xml:space="preserve">, f. 2; </w:t>
      </w:r>
      <w:hyperlink w:anchor="AUTO_2024_60" w:history="1">
        <w:r w:rsidRPr="00601EEA">
          <w:rPr>
            <w:rStyle w:val="TextoNormalCaracter"/>
          </w:rPr>
          <w:t>60/2024</w:t>
        </w:r>
      </w:hyperlink>
      <w:r>
        <w:t>, f. único.</w:t>
      </w:r>
    </w:p>
    <w:p w14:paraId="7BB7FFD7" w14:textId="198E0B28" w:rsidR="00601EEA" w:rsidRDefault="00601EEA" w:rsidP="00601EEA">
      <w:pPr>
        <w:pStyle w:val="SangriaFrancesaArticulo"/>
      </w:pPr>
      <w:r w:rsidRPr="00601EEA">
        <w:rPr>
          <w:rStyle w:val="TextoNormalNegritaCaracter"/>
        </w:rPr>
        <w:t>Artículo 14.</w:t>
      </w:r>
      <w:r w:rsidRPr="00601EEA">
        <w:rPr>
          <w:rStyle w:val="TextoNormalCaracter"/>
        </w:rPr>
        <w:t>-</w:t>
      </w:r>
      <w:r>
        <w:t xml:space="preserve"> Autos </w:t>
      </w:r>
      <w:hyperlink w:anchor="AUTO_2024_29" w:history="1">
        <w:r w:rsidRPr="00601EEA">
          <w:rPr>
            <w:rStyle w:val="TextoNormalCaracter"/>
          </w:rPr>
          <w:t>29/2024</w:t>
        </w:r>
      </w:hyperlink>
      <w:r>
        <w:t xml:space="preserve">, f. 1; </w:t>
      </w:r>
      <w:hyperlink w:anchor="AUTO_2024_31" w:history="1">
        <w:r w:rsidRPr="00601EEA">
          <w:rPr>
            <w:rStyle w:val="TextoNormalCaracter"/>
          </w:rPr>
          <w:t>31/2024</w:t>
        </w:r>
      </w:hyperlink>
      <w:r>
        <w:t xml:space="preserve">, f. 2; </w:t>
      </w:r>
      <w:hyperlink w:anchor="AUTO_2024_32" w:history="1">
        <w:r w:rsidRPr="00601EEA">
          <w:rPr>
            <w:rStyle w:val="TextoNormalCaracter"/>
          </w:rPr>
          <w:t>32/2024</w:t>
        </w:r>
      </w:hyperlink>
      <w:r>
        <w:t xml:space="preserve">, f. 2; </w:t>
      </w:r>
      <w:hyperlink w:anchor="AUTO_2024_33" w:history="1">
        <w:r w:rsidRPr="00601EEA">
          <w:rPr>
            <w:rStyle w:val="TextoNormalCaracter"/>
          </w:rPr>
          <w:t>33/2024</w:t>
        </w:r>
      </w:hyperlink>
      <w:r>
        <w:t>, f. 2.</w:t>
      </w:r>
    </w:p>
    <w:p w14:paraId="1492EF18" w14:textId="75A252BE" w:rsidR="00601EEA" w:rsidRDefault="00601EEA" w:rsidP="00601EEA">
      <w:pPr>
        <w:pStyle w:val="SangriaFrancesaArticulo"/>
      </w:pPr>
      <w:r w:rsidRPr="00601EEA">
        <w:rPr>
          <w:rStyle w:val="TextoNormalNegritaCaracter"/>
        </w:rPr>
        <w:t>Artículo 16.1.</w:t>
      </w:r>
      <w:r w:rsidRPr="00601EEA">
        <w:rPr>
          <w:rStyle w:val="TextoNormalCaracter"/>
        </w:rPr>
        <w:t>-</w:t>
      </w:r>
      <w:r>
        <w:t xml:space="preserve"> Sentencia </w:t>
      </w:r>
      <w:hyperlink w:anchor="SENTENCIA_2024_15" w:history="1">
        <w:r w:rsidRPr="00601EEA">
          <w:rPr>
            <w:rStyle w:val="TextoNormalCaracter"/>
          </w:rPr>
          <w:t>15/2024</w:t>
        </w:r>
      </w:hyperlink>
      <w:r>
        <w:t>, VP II.</w:t>
      </w:r>
    </w:p>
    <w:p w14:paraId="09051886" w14:textId="19EB8465" w:rsidR="00601EEA" w:rsidRDefault="00601EEA" w:rsidP="00601EEA">
      <w:pPr>
        <w:pStyle w:val="SangriaFrancesaArticulo"/>
      </w:pPr>
      <w:r w:rsidRPr="00601EEA">
        <w:rPr>
          <w:rStyle w:val="TextoNormalNegritaCaracter"/>
        </w:rPr>
        <w:t>Artículo 27.1.</w:t>
      </w:r>
      <w:r w:rsidRPr="00601EEA">
        <w:rPr>
          <w:rStyle w:val="TextoNormalCaracter"/>
        </w:rPr>
        <w:t>-</w:t>
      </w:r>
      <w:r>
        <w:t xml:space="preserve"> Sentencias </w:t>
      </w:r>
      <w:hyperlink w:anchor="SENTENCIA_2024_29" w:history="1">
        <w:r w:rsidRPr="00601EEA">
          <w:rPr>
            <w:rStyle w:val="TextoNormalCaracter"/>
          </w:rPr>
          <w:t>29/2024</w:t>
        </w:r>
      </w:hyperlink>
      <w:r>
        <w:t xml:space="preserve">, f. 2; </w:t>
      </w:r>
      <w:hyperlink w:anchor="SENTENCIA_2024_69" w:history="1">
        <w:r w:rsidRPr="00601EEA">
          <w:rPr>
            <w:rStyle w:val="TextoNormalCaracter"/>
          </w:rPr>
          <w:t>69/2024</w:t>
        </w:r>
      </w:hyperlink>
      <w:r>
        <w:t>, f. 5.</w:t>
      </w:r>
    </w:p>
    <w:p w14:paraId="1C3D7609" w14:textId="3724E87B" w:rsidR="00601EEA" w:rsidRDefault="00601EEA" w:rsidP="00601EEA">
      <w:pPr>
        <w:pStyle w:val="SangriaFrancesaArticulo"/>
      </w:pPr>
      <w:r w:rsidRPr="00601EEA">
        <w:rPr>
          <w:rStyle w:val="TextoNormalNegritaCaracter"/>
        </w:rPr>
        <w:t>Artículo 30.</w:t>
      </w:r>
      <w:r w:rsidRPr="00601EEA">
        <w:rPr>
          <w:rStyle w:val="TextoNormalCaracter"/>
        </w:rPr>
        <w:t>-</w:t>
      </w:r>
      <w:r>
        <w:t xml:space="preserve"> Auto </w:t>
      </w:r>
      <w:hyperlink w:anchor="AUTO_2024_22" w:history="1">
        <w:r w:rsidRPr="00601EEA">
          <w:rPr>
            <w:rStyle w:val="TextoNormalCaracter"/>
          </w:rPr>
          <w:t>22/2024</w:t>
        </w:r>
      </w:hyperlink>
      <w:r>
        <w:t>, f. 1.</w:t>
      </w:r>
    </w:p>
    <w:p w14:paraId="78524302" w14:textId="5F321C29" w:rsidR="00601EEA" w:rsidRDefault="00601EEA" w:rsidP="00601EEA">
      <w:pPr>
        <w:pStyle w:val="SangriaFrancesaArticulo"/>
      </w:pPr>
      <w:r w:rsidRPr="00601EEA">
        <w:rPr>
          <w:rStyle w:val="TextoNormalNegritaCaracter"/>
        </w:rPr>
        <w:lastRenderedPageBreak/>
        <w:t>Artículo 32.</w:t>
      </w:r>
      <w:r w:rsidRPr="00601EEA">
        <w:rPr>
          <w:rStyle w:val="TextoNormalCaracter"/>
        </w:rPr>
        <w:t>-</w:t>
      </w:r>
      <w:r>
        <w:t xml:space="preserve"> Sentencia </w:t>
      </w:r>
      <w:hyperlink w:anchor="SENTENCIA_2024_29" w:history="1">
        <w:r w:rsidRPr="00601EEA">
          <w:rPr>
            <w:rStyle w:val="TextoNormalCaracter"/>
          </w:rPr>
          <w:t>29/2024</w:t>
        </w:r>
      </w:hyperlink>
      <w:r>
        <w:t>, f. 1.</w:t>
      </w:r>
    </w:p>
    <w:p w14:paraId="233ED5BC" w14:textId="5ADFA1CA" w:rsidR="00601EEA" w:rsidRDefault="00601EEA" w:rsidP="00601EEA">
      <w:pPr>
        <w:pStyle w:val="SangriaFrancesaArticulo"/>
      </w:pPr>
      <w:r w:rsidRPr="00601EEA">
        <w:rPr>
          <w:rStyle w:val="TextoNormalNegritaCaracter"/>
        </w:rPr>
        <w:t>Artículo 32.1.</w:t>
      </w:r>
      <w:r w:rsidRPr="00601EEA">
        <w:rPr>
          <w:rStyle w:val="TextoNormalCaracter"/>
        </w:rPr>
        <w:t>-</w:t>
      </w:r>
      <w:r>
        <w:t xml:space="preserve"> Autos </w:t>
      </w:r>
      <w:hyperlink w:anchor="AUTO_2024_20" w:history="1">
        <w:r w:rsidRPr="00601EEA">
          <w:rPr>
            <w:rStyle w:val="TextoNormalCaracter"/>
          </w:rPr>
          <w:t>20/2024</w:t>
        </w:r>
      </w:hyperlink>
      <w:r>
        <w:t xml:space="preserve">, f. 4; </w:t>
      </w:r>
      <w:hyperlink w:anchor="AUTO_2024_30" w:history="1">
        <w:r w:rsidRPr="00601EEA">
          <w:rPr>
            <w:rStyle w:val="TextoNormalCaracter"/>
          </w:rPr>
          <w:t>30/2024</w:t>
        </w:r>
      </w:hyperlink>
      <w:r>
        <w:t>, f. 2.</w:t>
      </w:r>
    </w:p>
    <w:p w14:paraId="3EEDF83A" w14:textId="4AA90A76" w:rsidR="00601EEA" w:rsidRDefault="00601EEA" w:rsidP="00601EEA">
      <w:pPr>
        <w:pStyle w:val="SangriaFrancesaArticulo"/>
      </w:pPr>
      <w:r w:rsidRPr="00601EEA">
        <w:rPr>
          <w:rStyle w:val="TextoNormalNegritaCaracter"/>
        </w:rPr>
        <w:t>Artículo 35.</w:t>
      </w:r>
      <w:r w:rsidRPr="00601EEA">
        <w:rPr>
          <w:rStyle w:val="TextoNormalCaracter"/>
        </w:rPr>
        <w:t>-</w:t>
      </w:r>
      <w:r>
        <w:t xml:space="preserve"> Sentencia </w:t>
      </w:r>
      <w:hyperlink w:anchor="SENTENCIA_2024_63" w:history="1">
        <w:r w:rsidRPr="00601EEA">
          <w:rPr>
            <w:rStyle w:val="TextoNormalCaracter"/>
          </w:rPr>
          <w:t>63/2024</w:t>
        </w:r>
      </w:hyperlink>
      <w:r>
        <w:t>, f. 2.</w:t>
      </w:r>
    </w:p>
    <w:p w14:paraId="03BF281B" w14:textId="6E0F8E68" w:rsidR="00601EEA" w:rsidRDefault="00601EEA" w:rsidP="00601EEA">
      <w:pPr>
        <w:pStyle w:val="SangriaIzquierdaArticulo"/>
      </w:pPr>
      <w:r>
        <w:t xml:space="preserve">Autos </w:t>
      </w:r>
      <w:hyperlink w:anchor="AUTO_2024_20" w:history="1">
        <w:r w:rsidRPr="00601EEA">
          <w:rPr>
            <w:rStyle w:val="TextoNormalCaracter"/>
          </w:rPr>
          <w:t>20/2024</w:t>
        </w:r>
      </w:hyperlink>
      <w:r>
        <w:t xml:space="preserve">, ff. 1, 4; </w:t>
      </w:r>
      <w:hyperlink w:anchor="AUTO_2024_30" w:history="1">
        <w:r w:rsidRPr="00601EEA">
          <w:rPr>
            <w:rStyle w:val="TextoNormalCaracter"/>
          </w:rPr>
          <w:t>30/2024</w:t>
        </w:r>
      </w:hyperlink>
      <w:r>
        <w:t>, ff. 1, 2.</w:t>
      </w:r>
    </w:p>
    <w:p w14:paraId="5A856156" w14:textId="43BAA3ED" w:rsidR="00601EEA" w:rsidRDefault="00601EEA" w:rsidP="00601EEA">
      <w:pPr>
        <w:pStyle w:val="SangriaFrancesaArticulo"/>
      </w:pPr>
      <w:r w:rsidRPr="00601EEA">
        <w:rPr>
          <w:rStyle w:val="TextoNormalNegritaCaracter"/>
        </w:rPr>
        <w:t>Artículo 35 y ss..</w:t>
      </w:r>
      <w:r w:rsidRPr="00601EEA">
        <w:rPr>
          <w:rStyle w:val="TextoNormalCaracter"/>
        </w:rPr>
        <w:t>-</w:t>
      </w:r>
      <w:r>
        <w:t xml:space="preserve"> Auto </w:t>
      </w:r>
      <w:hyperlink w:anchor="AUTO_2024_49" w:history="1">
        <w:r w:rsidRPr="00601EEA">
          <w:rPr>
            <w:rStyle w:val="TextoNormalCaracter"/>
          </w:rPr>
          <w:t>49/2024</w:t>
        </w:r>
      </w:hyperlink>
      <w:r>
        <w:t>, f. 5.</w:t>
      </w:r>
    </w:p>
    <w:p w14:paraId="62566861" w14:textId="0A5F798C" w:rsidR="00601EEA" w:rsidRDefault="00601EEA" w:rsidP="00601EEA">
      <w:pPr>
        <w:pStyle w:val="SangriaFrancesaArticulo"/>
      </w:pPr>
      <w:r w:rsidRPr="00601EEA">
        <w:rPr>
          <w:rStyle w:val="TextoNormalNegritaCaracter"/>
        </w:rPr>
        <w:t>Artículo 35.1.</w:t>
      </w:r>
      <w:r w:rsidRPr="00601EEA">
        <w:rPr>
          <w:rStyle w:val="TextoNormalCaracter"/>
        </w:rPr>
        <w:t>-</w:t>
      </w:r>
      <w:r>
        <w:t xml:space="preserve"> Sentencias </w:t>
      </w:r>
      <w:hyperlink w:anchor="SENTENCIA_2024_46" w:history="1">
        <w:r w:rsidRPr="00601EEA">
          <w:rPr>
            <w:rStyle w:val="TextoNormalCaracter"/>
          </w:rPr>
          <w:t>46/2024</w:t>
        </w:r>
      </w:hyperlink>
      <w:r>
        <w:t xml:space="preserve">, f. 2; </w:t>
      </w:r>
      <w:hyperlink w:anchor="SENTENCIA_2024_63" w:history="1">
        <w:r w:rsidRPr="00601EEA">
          <w:rPr>
            <w:rStyle w:val="TextoNormalCaracter"/>
          </w:rPr>
          <w:t>63/2024</w:t>
        </w:r>
      </w:hyperlink>
      <w:r>
        <w:t>, f. 2.</w:t>
      </w:r>
    </w:p>
    <w:p w14:paraId="50A9FA4A" w14:textId="4F825EC5" w:rsidR="00601EEA" w:rsidRDefault="00601EEA" w:rsidP="00601EEA">
      <w:pPr>
        <w:pStyle w:val="SangriaIzquierdaArticulo"/>
      </w:pPr>
      <w:r>
        <w:t xml:space="preserve">Auto </w:t>
      </w:r>
      <w:hyperlink w:anchor="AUTO_2024_30" w:history="1">
        <w:r w:rsidRPr="00601EEA">
          <w:rPr>
            <w:rStyle w:val="TextoNormalCaracter"/>
          </w:rPr>
          <w:t>30/2024</w:t>
        </w:r>
      </w:hyperlink>
      <w:r>
        <w:t>, f. 3.</w:t>
      </w:r>
    </w:p>
    <w:p w14:paraId="2EF91025" w14:textId="122D03BC" w:rsidR="00601EEA" w:rsidRDefault="00601EEA" w:rsidP="00601EEA">
      <w:pPr>
        <w:pStyle w:val="SangriaFrancesaArticulo"/>
      </w:pPr>
      <w:r w:rsidRPr="00601EEA">
        <w:rPr>
          <w:rStyle w:val="TextoNormalNegritaCaracter"/>
        </w:rPr>
        <w:t>Artículo 35.2.</w:t>
      </w:r>
      <w:r w:rsidRPr="00601EEA">
        <w:rPr>
          <w:rStyle w:val="TextoNormalCaracter"/>
        </w:rPr>
        <w:t>-</w:t>
      </w:r>
      <w:r>
        <w:t xml:space="preserve"> Sentencias </w:t>
      </w:r>
      <w:hyperlink w:anchor="SENTENCIA_2024_46" w:history="1">
        <w:r w:rsidRPr="00601EEA">
          <w:rPr>
            <w:rStyle w:val="TextoNormalCaracter"/>
          </w:rPr>
          <w:t>46/2024</w:t>
        </w:r>
      </w:hyperlink>
      <w:r>
        <w:t xml:space="preserve">, f. 2; </w:t>
      </w:r>
      <w:hyperlink w:anchor="SENTENCIA_2024_63" w:history="1">
        <w:r w:rsidRPr="00601EEA">
          <w:rPr>
            <w:rStyle w:val="TextoNormalCaracter"/>
          </w:rPr>
          <w:t>63/2024</w:t>
        </w:r>
      </w:hyperlink>
      <w:r>
        <w:t xml:space="preserve">, f. 2; </w:t>
      </w:r>
      <w:hyperlink w:anchor="SENTENCIA_2024_69" w:history="1">
        <w:r w:rsidRPr="00601EEA">
          <w:rPr>
            <w:rStyle w:val="TextoNormalCaracter"/>
          </w:rPr>
          <w:t>69/2024</w:t>
        </w:r>
      </w:hyperlink>
      <w:r>
        <w:t>, ff. 2, 6.</w:t>
      </w:r>
    </w:p>
    <w:p w14:paraId="5B13D501" w14:textId="136A6C49" w:rsidR="00601EEA" w:rsidRDefault="00601EEA" w:rsidP="00601EEA">
      <w:pPr>
        <w:pStyle w:val="SangriaIzquierdaArticulo"/>
      </w:pPr>
      <w:r>
        <w:t xml:space="preserve">Auto </w:t>
      </w:r>
      <w:hyperlink w:anchor="AUTO_2024_20" w:history="1">
        <w:r w:rsidRPr="00601EEA">
          <w:rPr>
            <w:rStyle w:val="TextoNormalCaracter"/>
          </w:rPr>
          <w:t>20/2024</w:t>
        </w:r>
      </w:hyperlink>
      <w:r>
        <w:t>, ff. 3, 4.</w:t>
      </w:r>
    </w:p>
    <w:p w14:paraId="1F0563C4" w14:textId="425F429F" w:rsidR="00601EEA" w:rsidRDefault="00601EEA" w:rsidP="00601EEA">
      <w:pPr>
        <w:pStyle w:val="SangriaFrancesaArticulo"/>
      </w:pPr>
      <w:r w:rsidRPr="00601EEA">
        <w:rPr>
          <w:rStyle w:val="TextoNormalNegritaCaracter"/>
        </w:rPr>
        <w:t>Artículos 35 a 37.</w:t>
      </w:r>
      <w:r w:rsidRPr="00601EEA">
        <w:rPr>
          <w:rStyle w:val="TextoNormalCaracter"/>
        </w:rPr>
        <w:t>-</w:t>
      </w:r>
      <w:r>
        <w:t xml:space="preserve"> Auto </w:t>
      </w:r>
      <w:hyperlink w:anchor="AUTO_2024_20" w:history="1">
        <w:r w:rsidRPr="00601EEA">
          <w:rPr>
            <w:rStyle w:val="TextoNormalCaracter"/>
          </w:rPr>
          <w:t>20/2024</w:t>
        </w:r>
      </w:hyperlink>
      <w:r>
        <w:t>, f. 2.</w:t>
      </w:r>
    </w:p>
    <w:p w14:paraId="4CF67D55" w14:textId="6DFC7E5D" w:rsidR="00601EEA" w:rsidRDefault="00601EEA" w:rsidP="00601EEA">
      <w:pPr>
        <w:pStyle w:val="SangriaFrancesaArticulo"/>
      </w:pPr>
      <w:r w:rsidRPr="00601EEA">
        <w:rPr>
          <w:rStyle w:val="TextoNormalNegritaCaracter"/>
        </w:rPr>
        <w:t>Artículo 37.</w:t>
      </w:r>
      <w:r w:rsidRPr="00601EEA">
        <w:rPr>
          <w:rStyle w:val="TextoNormalCaracter"/>
        </w:rPr>
        <w:t>-</w:t>
      </w:r>
      <w:r>
        <w:t xml:space="preserve"> Sentencias </w:t>
      </w:r>
      <w:hyperlink w:anchor="SENTENCIA_2024_46" w:history="1">
        <w:r w:rsidRPr="00601EEA">
          <w:rPr>
            <w:rStyle w:val="TextoNormalCaracter"/>
          </w:rPr>
          <w:t>46/2024</w:t>
        </w:r>
      </w:hyperlink>
      <w:r>
        <w:t xml:space="preserve">, f. 2; </w:t>
      </w:r>
      <w:hyperlink w:anchor="SENTENCIA_2024_63" w:history="1">
        <w:r w:rsidRPr="00601EEA">
          <w:rPr>
            <w:rStyle w:val="TextoNormalCaracter"/>
          </w:rPr>
          <w:t>63/2024</w:t>
        </w:r>
      </w:hyperlink>
      <w:r>
        <w:t>, f. 2.</w:t>
      </w:r>
    </w:p>
    <w:p w14:paraId="21C30F01" w14:textId="00AEFB17" w:rsidR="00601EEA" w:rsidRDefault="00601EEA" w:rsidP="00601EEA">
      <w:pPr>
        <w:pStyle w:val="SangriaFrancesaArticulo"/>
      </w:pPr>
      <w:r w:rsidRPr="00601EEA">
        <w:rPr>
          <w:rStyle w:val="TextoNormalNegritaCaracter"/>
        </w:rPr>
        <w:t>Artículo 37.1.</w:t>
      </w:r>
      <w:r w:rsidRPr="00601EEA">
        <w:rPr>
          <w:rStyle w:val="TextoNormalCaracter"/>
        </w:rPr>
        <w:t>-</w:t>
      </w:r>
      <w:r>
        <w:t xml:space="preserve"> Autos </w:t>
      </w:r>
      <w:hyperlink w:anchor="AUTO_2024_20" w:history="1">
        <w:r w:rsidRPr="00601EEA">
          <w:rPr>
            <w:rStyle w:val="TextoNormalCaracter"/>
          </w:rPr>
          <w:t>20/2024</w:t>
        </w:r>
      </w:hyperlink>
      <w:r>
        <w:t xml:space="preserve">, ff. 1, 2; </w:t>
      </w:r>
      <w:hyperlink w:anchor="AUTO_2024_30" w:history="1">
        <w:r w:rsidRPr="00601EEA">
          <w:rPr>
            <w:rStyle w:val="TextoNormalCaracter"/>
          </w:rPr>
          <w:t>30/2024</w:t>
        </w:r>
      </w:hyperlink>
      <w:r>
        <w:t xml:space="preserve">, ff. 1, 2, 4; </w:t>
      </w:r>
      <w:hyperlink w:anchor="AUTO_2024_41" w:history="1">
        <w:r w:rsidRPr="00601EEA">
          <w:rPr>
            <w:rStyle w:val="TextoNormalCaracter"/>
          </w:rPr>
          <w:t>41/2024</w:t>
        </w:r>
      </w:hyperlink>
      <w:r>
        <w:t>, ff. 1, 2.</w:t>
      </w:r>
    </w:p>
    <w:p w14:paraId="1C1A599E" w14:textId="7607105F" w:rsidR="00601EEA" w:rsidRDefault="00601EEA" w:rsidP="00601EEA">
      <w:pPr>
        <w:pStyle w:val="SangriaFrancesaArticulo"/>
      </w:pPr>
      <w:r w:rsidRPr="00601EEA">
        <w:rPr>
          <w:rStyle w:val="TextoNormalNegritaCaracter"/>
        </w:rPr>
        <w:t>Artículo 37.2.</w:t>
      </w:r>
      <w:r w:rsidRPr="00601EEA">
        <w:rPr>
          <w:rStyle w:val="TextoNormalCaracter"/>
        </w:rPr>
        <w:t>-</w:t>
      </w:r>
      <w:r>
        <w:t xml:space="preserve"> Sentencia </w:t>
      </w:r>
      <w:hyperlink w:anchor="SENTENCIA_2024_69" w:history="1">
        <w:r w:rsidRPr="00601EEA">
          <w:rPr>
            <w:rStyle w:val="TextoNormalCaracter"/>
          </w:rPr>
          <w:t>69/2024</w:t>
        </w:r>
      </w:hyperlink>
      <w:r>
        <w:t>, f. 1.</w:t>
      </w:r>
    </w:p>
    <w:p w14:paraId="2B523E83" w14:textId="720C2909" w:rsidR="00601EEA" w:rsidRDefault="00601EEA" w:rsidP="00601EEA">
      <w:pPr>
        <w:pStyle w:val="SangriaFrancesaArticulo"/>
      </w:pPr>
      <w:r w:rsidRPr="00601EEA">
        <w:rPr>
          <w:rStyle w:val="TextoNormalNegritaCaracter"/>
        </w:rPr>
        <w:t>Artículo 37.3.</w:t>
      </w:r>
      <w:r w:rsidRPr="00601EEA">
        <w:rPr>
          <w:rStyle w:val="TextoNormalCaracter"/>
        </w:rPr>
        <w:t>-</w:t>
      </w:r>
      <w:r>
        <w:t xml:space="preserve"> Sentencia </w:t>
      </w:r>
      <w:hyperlink w:anchor="SENTENCIA_2024_69" w:history="1">
        <w:r w:rsidRPr="00601EEA">
          <w:rPr>
            <w:rStyle w:val="TextoNormalCaracter"/>
          </w:rPr>
          <w:t>69/2024</w:t>
        </w:r>
      </w:hyperlink>
      <w:r>
        <w:t>, f. 1.</w:t>
      </w:r>
    </w:p>
    <w:p w14:paraId="4192D3D2" w14:textId="21B58B0A" w:rsidR="00601EEA" w:rsidRDefault="00601EEA" w:rsidP="00601EEA">
      <w:pPr>
        <w:pStyle w:val="SangriaFrancesaArticulo"/>
      </w:pPr>
      <w:r w:rsidRPr="00601EEA">
        <w:rPr>
          <w:rStyle w:val="TextoNormalNegritaCaracter"/>
        </w:rPr>
        <w:t>Artículo 39.1.</w:t>
      </w:r>
      <w:r w:rsidRPr="00601EEA">
        <w:rPr>
          <w:rStyle w:val="TextoNormalCaracter"/>
        </w:rPr>
        <w:t>-</w:t>
      </w:r>
      <w:r>
        <w:t xml:space="preserve"> Sentencias </w:t>
      </w:r>
      <w:hyperlink w:anchor="SENTENCIA_2024_11" w:history="1">
        <w:r w:rsidRPr="00601EEA">
          <w:rPr>
            <w:rStyle w:val="TextoNormalCaracter"/>
          </w:rPr>
          <w:t>11/2024</w:t>
        </w:r>
      </w:hyperlink>
      <w:r>
        <w:t xml:space="preserve">, ff. 1, 4, VP; </w:t>
      </w:r>
      <w:hyperlink w:anchor="SENTENCIA_2024_46" w:history="1">
        <w:r w:rsidRPr="00601EEA">
          <w:rPr>
            <w:rStyle w:val="TextoNormalCaracter"/>
          </w:rPr>
          <w:t>46/2024</w:t>
        </w:r>
      </w:hyperlink>
      <w:r>
        <w:t xml:space="preserve">, VP I; </w:t>
      </w:r>
      <w:hyperlink w:anchor="SENTENCIA_2024_69" w:history="1">
        <w:r w:rsidRPr="00601EEA">
          <w:rPr>
            <w:rStyle w:val="TextoNormalCaracter"/>
          </w:rPr>
          <w:t>69/2024</w:t>
        </w:r>
      </w:hyperlink>
      <w:r>
        <w:t xml:space="preserve">, ff. 5, 6; </w:t>
      </w:r>
      <w:hyperlink w:anchor="SENTENCIA_2024_75" w:history="1">
        <w:r w:rsidRPr="00601EEA">
          <w:rPr>
            <w:rStyle w:val="TextoNormalCaracter"/>
          </w:rPr>
          <w:t>75/2024</w:t>
        </w:r>
      </w:hyperlink>
      <w:r>
        <w:t xml:space="preserve">, f. 2, VP I; </w:t>
      </w:r>
      <w:hyperlink w:anchor="SENTENCIA_2024_76" w:history="1">
        <w:r w:rsidRPr="00601EEA">
          <w:rPr>
            <w:rStyle w:val="TextoNormalCaracter"/>
          </w:rPr>
          <w:t>76/2024</w:t>
        </w:r>
      </w:hyperlink>
      <w:r>
        <w:t>, ff. 2, 4, 5, VP.</w:t>
      </w:r>
    </w:p>
    <w:p w14:paraId="34733B75" w14:textId="2FA29A49" w:rsidR="00601EEA" w:rsidRDefault="00601EEA" w:rsidP="00601EEA">
      <w:pPr>
        <w:pStyle w:val="SangriaFrancesaArticulo"/>
      </w:pPr>
      <w:r w:rsidRPr="00601EEA">
        <w:rPr>
          <w:rStyle w:val="TextoNormalNegritaCaracter"/>
        </w:rPr>
        <w:t>Artículo 40.</w:t>
      </w:r>
      <w:r w:rsidRPr="00601EEA">
        <w:rPr>
          <w:rStyle w:val="TextoNormalCaracter"/>
        </w:rPr>
        <w:t>-</w:t>
      </w:r>
      <w:r>
        <w:t xml:space="preserve"> Sentencias </w:t>
      </w:r>
      <w:hyperlink w:anchor="SENTENCIA_2024_11" w:history="1">
        <w:r w:rsidRPr="00601EEA">
          <w:rPr>
            <w:rStyle w:val="TextoNormalCaracter"/>
          </w:rPr>
          <w:t>11/2024</w:t>
        </w:r>
      </w:hyperlink>
      <w:r>
        <w:t xml:space="preserve">, VP; </w:t>
      </w:r>
      <w:hyperlink w:anchor="SENTENCIA_2024_46" w:history="1">
        <w:r w:rsidRPr="00601EEA">
          <w:rPr>
            <w:rStyle w:val="TextoNormalCaracter"/>
          </w:rPr>
          <w:t>46/2024</w:t>
        </w:r>
      </w:hyperlink>
      <w:r>
        <w:t>, VP I.</w:t>
      </w:r>
    </w:p>
    <w:p w14:paraId="156CB92E" w14:textId="579D5BA1" w:rsidR="00601EEA" w:rsidRDefault="00601EEA" w:rsidP="00601EEA">
      <w:pPr>
        <w:pStyle w:val="SangriaFrancesaArticulo"/>
      </w:pPr>
      <w:r w:rsidRPr="00601EEA">
        <w:rPr>
          <w:rStyle w:val="TextoNormalNegritaCaracter"/>
        </w:rPr>
        <w:t>Artículo 40.1.</w:t>
      </w:r>
      <w:r w:rsidRPr="00601EEA">
        <w:rPr>
          <w:rStyle w:val="TextoNormalCaracter"/>
        </w:rPr>
        <w:t>-</w:t>
      </w:r>
      <w:r>
        <w:t xml:space="preserve"> Sentencias </w:t>
      </w:r>
      <w:hyperlink w:anchor="SENTENCIA_2024_11" w:history="1">
        <w:r w:rsidRPr="00601EEA">
          <w:rPr>
            <w:rStyle w:val="TextoNormalCaracter"/>
          </w:rPr>
          <w:t>11/2024</w:t>
        </w:r>
      </w:hyperlink>
      <w:r>
        <w:t xml:space="preserve">, f. 5; </w:t>
      </w:r>
      <w:hyperlink w:anchor="SENTENCIA_2024_67" w:history="1">
        <w:r w:rsidRPr="00601EEA">
          <w:rPr>
            <w:rStyle w:val="TextoNormalCaracter"/>
          </w:rPr>
          <w:t>67/2024</w:t>
        </w:r>
      </w:hyperlink>
      <w:r>
        <w:t>, VP.</w:t>
      </w:r>
    </w:p>
    <w:p w14:paraId="7906559C" w14:textId="1FDE7731" w:rsidR="00601EEA" w:rsidRDefault="00601EEA" w:rsidP="00601EEA">
      <w:pPr>
        <w:pStyle w:val="SangriaFrancesaArticulo"/>
      </w:pPr>
      <w:r w:rsidRPr="00601EEA">
        <w:rPr>
          <w:rStyle w:val="TextoNormalNegritaCaracter"/>
        </w:rPr>
        <w:t>Artículo 40.2.</w:t>
      </w:r>
      <w:r w:rsidRPr="00601EEA">
        <w:rPr>
          <w:rStyle w:val="TextoNormalCaracter"/>
        </w:rPr>
        <w:t>-</w:t>
      </w:r>
      <w:r>
        <w:t xml:space="preserve"> Sentencias </w:t>
      </w:r>
      <w:hyperlink w:anchor="SENTENCIA_2024_75" w:history="1">
        <w:r w:rsidRPr="00601EEA">
          <w:rPr>
            <w:rStyle w:val="TextoNormalCaracter"/>
          </w:rPr>
          <w:t>75/2024</w:t>
        </w:r>
      </w:hyperlink>
      <w:r>
        <w:t xml:space="preserve">, VP I; </w:t>
      </w:r>
      <w:hyperlink w:anchor="SENTENCIA_2024_93" w:history="1">
        <w:r w:rsidRPr="00601EEA">
          <w:rPr>
            <w:rStyle w:val="TextoNormalCaracter"/>
          </w:rPr>
          <w:t>93/2024</w:t>
        </w:r>
      </w:hyperlink>
      <w:r>
        <w:t>, f. 4.</w:t>
      </w:r>
    </w:p>
    <w:p w14:paraId="0CDB1262" w14:textId="2A0BA4F4" w:rsidR="00601EEA" w:rsidRDefault="00601EEA" w:rsidP="00601EEA">
      <w:pPr>
        <w:pStyle w:val="SangriaFrancesaArticulo"/>
      </w:pPr>
      <w:r w:rsidRPr="00601EEA">
        <w:rPr>
          <w:rStyle w:val="TextoNormalNegritaCaracter"/>
        </w:rPr>
        <w:t>Artículos 40 a 44.</w:t>
      </w:r>
      <w:r w:rsidRPr="00601EEA">
        <w:rPr>
          <w:rStyle w:val="TextoNormalCaracter"/>
        </w:rPr>
        <w:t>-</w:t>
      </w:r>
      <w:r>
        <w:t xml:space="preserve"> Sentencia </w:t>
      </w:r>
      <w:hyperlink w:anchor="SENTENCIA_2024_61" w:history="1">
        <w:r w:rsidRPr="00601EEA">
          <w:rPr>
            <w:rStyle w:val="TextoNormalCaracter"/>
          </w:rPr>
          <w:t>61/2024</w:t>
        </w:r>
      </w:hyperlink>
      <w:r>
        <w:t>, f. 2.</w:t>
      </w:r>
    </w:p>
    <w:p w14:paraId="3DA5F12A" w14:textId="32DA9581" w:rsidR="00601EEA" w:rsidRDefault="00601EEA" w:rsidP="00601EEA">
      <w:pPr>
        <w:pStyle w:val="SangriaFrancesaArticulo"/>
      </w:pPr>
      <w:r w:rsidRPr="00601EEA">
        <w:rPr>
          <w:rStyle w:val="TextoNormalNegritaCaracter"/>
        </w:rPr>
        <w:t>Artículo 41.</w:t>
      </w:r>
      <w:r w:rsidRPr="00601EEA">
        <w:rPr>
          <w:rStyle w:val="TextoNormalCaracter"/>
        </w:rPr>
        <w:t>-</w:t>
      </w:r>
      <w:r>
        <w:t xml:space="preserve"> Auto </w:t>
      </w:r>
      <w:hyperlink w:anchor="AUTO_2024_47" w:history="1">
        <w:r w:rsidRPr="00601EEA">
          <w:rPr>
            <w:rStyle w:val="TextoNormalCaracter"/>
          </w:rPr>
          <w:t>47/2024</w:t>
        </w:r>
      </w:hyperlink>
      <w:r>
        <w:t>, VP.</w:t>
      </w:r>
    </w:p>
    <w:p w14:paraId="178AFB22" w14:textId="150F36A3" w:rsidR="00601EEA" w:rsidRDefault="00601EEA" w:rsidP="00601EEA">
      <w:pPr>
        <w:pStyle w:val="SangriaFrancesaArticulo"/>
      </w:pPr>
      <w:r w:rsidRPr="00601EEA">
        <w:rPr>
          <w:rStyle w:val="TextoNormalNegritaCaracter"/>
        </w:rPr>
        <w:t>Artículo 41.2.</w:t>
      </w:r>
      <w:r w:rsidRPr="00601EEA">
        <w:rPr>
          <w:rStyle w:val="TextoNormalCaracter"/>
        </w:rPr>
        <w:t>-</w:t>
      </w:r>
      <w:r>
        <w:t xml:space="preserve"> Auto </w:t>
      </w:r>
      <w:hyperlink w:anchor="AUTO_2024_57" w:history="1">
        <w:r w:rsidRPr="00601EEA">
          <w:rPr>
            <w:rStyle w:val="TextoNormalCaracter"/>
          </w:rPr>
          <w:t>57/2024</w:t>
        </w:r>
      </w:hyperlink>
      <w:r>
        <w:t>, f. 5.</w:t>
      </w:r>
    </w:p>
    <w:p w14:paraId="44CB764D" w14:textId="5FB407E6" w:rsidR="00601EEA" w:rsidRDefault="00601EEA" w:rsidP="00601EEA">
      <w:pPr>
        <w:pStyle w:val="SangriaFrancesaArticulo"/>
      </w:pPr>
      <w:r w:rsidRPr="00601EEA">
        <w:rPr>
          <w:rStyle w:val="TextoNormalNegritaCaracter"/>
        </w:rPr>
        <w:t>Artículo 41.3.</w:t>
      </w:r>
      <w:r w:rsidRPr="00601EEA">
        <w:rPr>
          <w:rStyle w:val="TextoNormalCaracter"/>
        </w:rPr>
        <w:t>-</w:t>
      </w:r>
      <w:r>
        <w:t xml:space="preserve"> Sentencias </w:t>
      </w:r>
      <w:hyperlink w:anchor="SENTENCIA_2024_31" w:history="1">
        <w:r w:rsidRPr="00601EEA">
          <w:rPr>
            <w:rStyle w:val="TextoNormalCaracter"/>
          </w:rPr>
          <w:t>31/2024</w:t>
        </w:r>
      </w:hyperlink>
      <w:r>
        <w:t xml:space="preserve">, f. único; </w:t>
      </w:r>
      <w:hyperlink w:anchor="SENTENCIA_2024_45" w:history="1">
        <w:r w:rsidRPr="00601EEA">
          <w:rPr>
            <w:rStyle w:val="TextoNormalCaracter"/>
          </w:rPr>
          <w:t>45/2024</w:t>
        </w:r>
      </w:hyperlink>
      <w:r>
        <w:t xml:space="preserve">, f. 2; </w:t>
      </w:r>
      <w:hyperlink w:anchor="SENTENCIA_2024_62" w:history="1">
        <w:r w:rsidRPr="00601EEA">
          <w:rPr>
            <w:rStyle w:val="TextoNormalCaracter"/>
          </w:rPr>
          <w:t>62/2024</w:t>
        </w:r>
      </w:hyperlink>
      <w:r>
        <w:t xml:space="preserve">, f. 2; </w:t>
      </w:r>
      <w:hyperlink w:anchor="SENTENCIA_2024_64" w:history="1">
        <w:r w:rsidRPr="00601EEA">
          <w:rPr>
            <w:rStyle w:val="TextoNormalCaracter"/>
          </w:rPr>
          <w:t>64/2024</w:t>
        </w:r>
      </w:hyperlink>
      <w:r>
        <w:t>, f. único.</w:t>
      </w:r>
    </w:p>
    <w:p w14:paraId="1D1BF8EE" w14:textId="2FA32C12" w:rsidR="00601EEA" w:rsidRDefault="00601EEA" w:rsidP="00601EEA">
      <w:pPr>
        <w:pStyle w:val="SangriaFrancesaArticulo"/>
      </w:pPr>
      <w:r w:rsidRPr="00601EEA">
        <w:rPr>
          <w:rStyle w:val="TextoNormalNegritaCaracter"/>
        </w:rPr>
        <w:t>Artículo 42.</w:t>
      </w:r>
      <w:r w:rsidRPr="00601EEA">
        <w:rPr>
          <w:rStyle w:val="TextoNormalCaracter"/>
        </w:rPr>
        <w:t>-</w:t>
      </w:r>
      <w:r>
        <w:t xml:space="preserve"> Sentencias </w:t>
      </w:r>
      <w:hyperlink w:anchor="SENTENCIA_2024_10" w:history="1">
        <w:r w:rsidRPr="00601EEA">
          <w:rPr>
            <w:rStyle w:val="TextoNormalCaracter"/>
          </w:rPr>
          <w:t>10/2024</w:t>
        </w:r>
      </w:hyperlink>
      <w:r>
        <w:t xml:space="preserve">, f. 2; </w:t>
      </w:r>
      <w:hyperlink w:anchor="SENTENCIA_2024_18" w:history="1">
        <w:r w:rsidRPr="00601EEA">
          <w:rPr>
            <w:rStyle w:val="TextoNormalCaracter"/>
          </w:rPr>
          <w:t>18/2024</w:t>
        </w:r>
      </w:hyperlink>
      <w:r>
        <w:t xml:space="preserve">, f. único; </w:t>
      </w:r>
      <w:hyperlink w:anchor="SENTENCIA_2024_29" w:history="1">
        <w:r w:rsidRPr="00601EEA">
          <w:rPr>
            <w:rStyle w:val="TextoNormalCaracter"/>
          </w:rPr>
          <w:t>29/2024</w:t>
        </w:r>
      </w:hyperlink>
      <w:r>
        <w:t>, f. 2.</w:t>
      </w:r>
    </w:p>
    <w:p w14:paraId="75E88BFE" w14:textId="73F53203" w:rsidR="00601EEA" w:rsidRDefault="00601EEA" w:rsidP="00601EEA">
      <w:pPr>
        <w:pStyle w:val="SangriaIzquierdaArticulo"/>
      </w:pPr>
      <w:r>
        <w:t xml:space="preserve">Autos </w:t>
      </w:r>
      <w:hyperlink w:anchor="AUTO_2024_47" w:history="1">
        <w:r w:rsidRPr="00601EEA">
          <w:rPr>
            <w:rStyle w:val="TextoNormalCaracter"/>
          </w:rPr>
          <w:t>47/2024</w:t>
        </w:r>
      </w:hyperlink>
      <w:r>
        <w:t xml:space="preserve">, f. 2, VP; </w:t>
      </w:r>
      <w:hyperlink w:anchor="AUTO_2024_52" w:history="1">
        <w:r w:rsidRPr="00601EEA">
          <w:rPr>
            <w:rStyle w:val="TextoNormalCaracter"/>
          </w:rPr>
          <w:t>52/2024</w:t>
        </w:r>
      </w:hyperlink>
      <w:r>
        <w:t>, VP.</w:t>
      </w:r>
    </w:p>
    <w:p w14:paraId="24FF1912" w14:textId="23505268" w:rsidR="00601EEA" w:rsidRDefault="00601EEA" w:rsidP="00601EEA">
      <w:pPr>
        <w:pStyle w:val="SangriaFrancesaArticulo"/>
      </w:pPr>
      <w:r w:rsidRPr="00601EEA">
        <w:rPr>
          <w:rStyle w:val="TextoNormalNegritaCaracter"/>
        </w:rPr>
        <w:t>Artículo 43.</w:t>
      </w:r>
      <w:r w:rsidRPr="00601EEA">
        <w:rPr>
          <w:rStyle w:val="TextoNormalCaracter"/>
        </w:rPr>
        <w:t>-</w:t>
      </w:r>
      <w:r>
        <w:t xml:space="preserve"> Sentencias </w:t>
      </w:r>
      <w:hyperlink w:anchor="SENTENCIA_2024_49" w:history="1">
        <w:r w:rsidRPr="00601EEA">
          <w:rPr>
            <w:rStyle w:val="TextoNormalCaracter"/>
          </w:rPr>
          <w:t>49/2024</w:t>
        </w:r>
      </w:hyperlink>
      <w:r>
        <w:t xml:space="preserve">, f. 2; </w:t>
      </w:r>
      <w:hyperlink w:anchor="SENTENCIA_2024_50" w:history="1">
        <w:r w:rsidRPr="00601EEA">
          <w:rPr>
            <w:rStyle w:val="TextoNormalCaracter"/>
          </w:rPr>
          <w:t>50/2024</w:t>
        </w:r>
      </w:hyperlink>
      <w:r>
        <w:t>, ff. 1, 2.</w:t>
      </w:r>
    </w:p>
    <w:p w14:paraId="294AFF73" w14:textId="7744C92F" w:rsidR="00601EEA" w:rsidRDefault="00601EEA" w:rsidP="00601EEA">
      <w:pPr>
        <w:pStyle w:val="SangriaFrancesaArticulo"/>
      </w:pPr>
      <w:r w:rsidRPr="00601EEA">
        <w:rPr>
          <w:rStyle w:val="TextoNormalNegritaCaracter"/>
        </w:rPr>
        <w:t>Artículo 43.2.</w:t>
      </w:r>
      <w:r w:rsidRPr="00601EEA">
        <w:rPr>
          <w:rStyle w:val="TextoNormalCaracter"/>
        </w:rPr>
        <w:t>-</w:t>
      </w:r>
      <w:r>
        <w:t xml:space="preserve"> Sentencia </w:t>
      </w:r>
      <w:hyperlink w:anchor="SENTENCIA_2024_49" w:history="1">
        <w:r w:rsidRPr="00601EEA">
          <w:rPr>
            <w:rStyle w:val="TextoNormalCaracter"/>
          </w:rPr>
          <w:t>49/2024</w:t>
        </w:r>
      </w:hyperlink>
      <w:r>
        <w:t>, f. 2.</w:t>
      </w:r>
    </w:p>
    <w:p w14:paraId="1487EBAC" w14:textId="32A86BBE" w:rsidR="00601EEA" w:rsidRDefault="00601EEA" w:rsidP="00601EEA">
      <w:pPr>
        <w:pStyle w:val="SangriaFrancesaArticulo"/>
      </w:pPr>
      <w:r w:rsidRPr="00601EEA">
        <w:rPr>
          <w:rStyle w:val="TextoNormalNegritaCaracter"/>
        </w:rPr>
        <w:t>Artículo 44.</w:t>
      </w:r>
      <w:r w:rsidRPr="00601EEA">
        <w:rPr>
          <w:rStyle w:val="TextoNormalCaracter"/>
        </w:rPr>
        <w:t>-</w:t>
      </w:r>
      <w:r>
        <w:t xml:space="preserve"> Sentencias </w:t>
      </w:r>
      <w:hyperlink w:anchor="SENTENCIA_2024_2" w:history="1">
        <w:r w:rsidRPr="00601EEA">
          <w:rPr>
            <w:rStyle w:val="TextoNormalCaracter"/>
          </w:rPr>
          <w:t>2/2024</w:t>
        </w:r>
      </w:hyperlink>
      <w:r>
        <w:t xml:space="preserve">, f. 1; </w:t>
      </w:r>
      <w:hyperlink w:anchor="SENTENCIA_2024_49" w:history="1">
        <w:r w:rsidRPr="00601EEA">
          <w:rPr>
            <w:rStyle w:val="TextoNormalCaracter"/>
          </w:rPr>
          <w:t>49/2024</w:t>
        </w:r>
      </w:hyperlink>
      <w:r>
        <w:t xml:space="preserve">, f. 2; </w:t>
      </w:r>
      <w:hyperlink w:anchor="SENTENCIA_2024_50" w:history="1">
        <w:r w:rsidRPr="00601EEA">
          <w:rPr>
            <w:rStyle w:val="TextoNormalCaracter"/>
          </w:rPr>
          <w:t>50/2024</w:t>
        </w:r>
      </w:hyperlink>
      <w:r>
        <w:t xml:space="preserve">, ff. 1, 2; </w:t>
      </w:r>
      <w:hyperlink w:anchor="SENTENCIA_2024_55" w:history="1">
        <w:r w:rsidRPr="00601EEA">
          <w:rPr>
            <w:rStyle w:val="TextoNormalCaracter"/>
          </w:rPr>
          <w:t>55/2024</w:t>
        </w:r>
      </w:hyperlink>
      <w:r>
        <w:t xml:space="preserve">, f. 1; </w:t>
      </w:r>
      <w:hyperlink w:anchor="SENTENCIA_2024_93" w:history="1">
        <w:r w:rsidRPr="00601EEA">
          <w:rPr>
            <w:rStyle w:val="TextoNormalCaracter"/>
          </w:rPr>
          <w:t>93/2024</w:t>
        </w:r>
      </w:hyperlink>
      <w:r>
        <w:t>, f. 1.</w:t>
      </w:r>
    </w:p>
    <w:p w14:paraId="5B93DDF4" w14:textId="0923BECE" w:rsidR="00601EEA" w:rsidRDefault="00601EEA" w:rsidP="00601EEA">
      <w:pPr>
        <w:pStyle w:val="SangriaFrancesaArticulo"/>
      </w:pPr>
      <w:r w:rsidRPr="00601EEA">
        <w:rPr>
          <w:rStyle w:val="TextoNormalNegritaCaracter"/>
        </w:rPr>
        <w:t>Artículo 44.1.</w:t>
      </w:r>
      <w:r w:rsidRPr="00601EEA">
        <w:rPr>
          <w:rStyle w:val="TextoNormalCaracter"/>
        </w:rPr>
        <w:t>-</w:t>
      </w:r>
      <w:r>
        <w:t xml:space="preserve"> Autos </w:t>
      </w:r>
      <w:hyperlink w:anchor="AUTO_2024_13" w:history="1">
        <w:r w:rsidRPr="00601EEA">
          <w:rPr>
            <w:rStyle w:val="TextoNormalCaracter"/>
          </w:rPr>
          <w:t>13/2024</w:t>
        </w:r>
      </w:hyperlink>
      <w:r>
        <w:t xml:space="preserve">, f. único; </w:t>
      </w:r>
      <w:hyperlink w:anchor="AUTO_2024_57" w:history="1">
        <w:r w:rsidRPr="00601EEA">
          <w:rPr>
            <w:rStyle w:val="TextoNormalCaracter"/>
          </w:rPr>
          <w:t>57/2024</w:t>
        </w:r>
      </w:hyperlink>
      <w:r>
        <w:t>, f. 5.</w:t>
      </w:r>
    </w:p>
    <w:p w14:paraId="1966F9FA" w14:textId="15345FC7" w:rsidR="00601EEA" w:rsidRDefault="00601EEA" w:rsidP="00601EEA">
      <w:pPr>
        <w:pStyle w:val="SangriaFrancesaArticulo"/>
      </w:pPr>
      <w:r w:rsidRPr="00601EEA">
        <w:rPr>
          <w:rStyle w:val="TextoNormalNegritaCaracter"/>
        </w:rPr>
        <w:t>Artículo 44.1 a).</w:t>
      </w:r>
      <w:r w:rsidRPr="00601EEA">
        <w:rPr>
          <w:rStyle w:val="TextoNormalCaracter"/>
        </w:rPr>
        <w:t>-</w:t>
      </w:r>
      <w:r>
        <w:t xml:space="preserve"> Sentencias </w:t>
      </w:r>
      <w:hyperlink w:anchor="SENTENCIA_2024_2" w:history="1">
        <w:r w:rsidRPr="00601EEA">
          <w:rPr>
            <w:rStyle w:val="TextoNormalCaracter"/>
          </w:rPr>
          <w:t>2/2024</w:t>
        </w:r>
      </w:hyperlink>
      <w:r>
        <w:t xml:space="preserve">, f. 1; </w:t>
      </w:r>
      <w:hyperlink w:anchor="SENTENCIA_2024_3" w:history="1">
        <w:r w:rsidRPr="00601EEA">
          <w:rPr>
            <w:rStyle w:val="TextoNormalCaracter"/>
          </w:rPr>
          <w:t>3/2024</w:t>
        </w:r>
      </w:hyperlink>
      <w:r>
        <w:t xml:space="preserve">, ff. 1, 2; </w:t>
      </w:r>
      <w:hyperlink w:anchor="SENTENCIA_2024_9" w:history="1">
        <w:r w:rsidRPr="00601EEA">
          <w:rPr>
            <w:rStyle w:val="TextoNormalCaracter"/>
          </w:rPr>
          <w:t>9/2024</w:t>
        </w:r>
      </w:hyperlink>
      <w:r>
        <w:t xml:space="preserve">, f. 2, VP II; </w:t>
      </w:r>
      <w:hyperlink w:anchor="SENTENCIA_2024_49" w:history="1">
        <w:r w:rsidRPr="00601EEA">
          <w:rPr>
            <w:rStyle w:val="TextoNormalCaracter"/>
          </w:rPr>
          <w:t>49/2024</w:t>
        </w:r>
      </w:hyperlink>
      <w:r>
        <w:t>, f. 2.</w:t>
      </w:r>
    </w:p>
    <w:p w14:paraId="378E45CA" w14:textId="0B94C8E7" w:rsidR="00601EEA" w:rsidRDefault="00601EEA" w:rsidP="00601EEA">
      <w:pPr>
        <w:pStyle w:val="SangriaIzquierdaArticulo"/>
      </w:pPr>
      <w:r>
        <w:t xml:space="preserve">Autos </w:t>
      </w:r>
      <w:hyperlink w:anchor="AUTO_2024_1" w:history="1">
        <w:r w:rsidRPr="00601EEA">
          <w:rPr>
            <w:rStyle w:val="TextoNormalCaracter"/>
          </w:rPr>
          <w:t>1/2024</w:t>
        </w:r>
      </w:hyperlink>
      <w:r>
        <w:t xml:space="preserve">, ff. 1 a 3; </w:t>
      </w:r>
      <w:hyperlink w:anchor="AUTO_2024_51" w:history="1">
        <w:r w:rsidRPr="00601EEA">
          <w:rPr>
            <w:rStyle w:val="TextoNormalCaracter"/>
          </w:rPr>
          <w:t>51/2024</w:t>
        </w:r>
      </w:hyperlink>
      <w:r>
        <w:t>, f. 1.</w:t>
      </w:r>
    </w:p>
    <w:p w14:paraId="1C6D0387" w14:textId="2D494CF9" w:rsidR="00601EEA" w:rsidRDefault="00601EEA" w:rsidP="00601EEA">
      <w:pPr>
        <w:pStyle w:val="SangriaFrancesaArticulo"/>
      </w:pPr>
      <w:r w:rsidRPr="00601EEA">
        <w:rPr>
          <w:rStyle w:val="TextoNormalNegritaCaracter"/>
        </w:rPr>
        <w:t>Artículo 44.1 b).</w:t>
      </w:r>
      <w:r w:rsidRPr="00601EEA">
        <w:rPr>
          <w:rStyle w:val="TextoNormalCaracter"/>
        </w:rPr>
        <w:t>-</w:t>
      </w:r>
      <w:r>
        <w:t xml:space="preserve"> Sentencias </w:t>
      </w:r>
      <w:hyperlink w:anchor="SENTENCIA_2024_26" w:history="1">
        <w:r w:rsidRPr="00601EEA">
          <w:rPr>
            <w:rStyle w:val="TextoNormalCaracter"/>
          </w:rPr>
          <w:t>26/2024</w:t>
        </w:r>
      </w:hyperlink>
      <w:r>
        <w:t xml:space="preserve">, VP I; </w:t>
      </w:r>
      <w:hyperlink w:anchor="SENTENCIA_2024_81" w:history="1">
        <w:r w:rsidRPr="00601EEA">
          <w:rPr>
            <w:rStyle w:val="TextoNormalCaracter"/>
          </w:rPr>
          <w:t>81/2024</w:t>
        </w:r>
      </w:hyperlink>
      <w:r>
        <w:t xml:space="preserve">, f. 4; </w:t>
      </w:r>
      <w:hyperlink w:anchor="SENTENCIA_2024_87" w:history="1">
        <w:r w:rsidRPr="00601EEA">
          <w:rPr>
            <w:rStyle w:val="TextoNormalCaracter"/>
          </w:rPr>
          <w:t>87/2024</w:t>
        </w:r>
      </w:hyperlink>
      <w:r>
        <w:t>, f. 3.</w:t>
      </w:r>
    </w:p>
    <w:p w14:paraId="5DDB41D4" w14:textId="7043C761" w:rsidR="00601EEA" w:rsidRDefault="00601EEA" w:rsidP="00601EEA">
      <w:pPr>
        <w:pStyle w:val="SangriaFrancesaArticulo"/>
      </w:pPr>
      <w:r w:rsidRPr="00601EEA">
        <w:rPr>
          <w:rStyle w:val="TextoNormalNegritaCaracter"/>
        </w:rPr>
        <w:t>Artículo 44.1 c).</w:t>
      </w:r>
      <w:r w:rsidRPr="00601EEA">
        <w:rPr>
          <w:rStyle w:val="TextoNormalCaracter"/>
        </w:rPr>
        <w:t>-</w:t>
      </w:r>
      <w:r>
        <w:t xml:space="preserve"> Sentencias </w:t>
      </w:r>
      <w:hyperlink w:anchor="SENTENCIA_2024_6" w:history="1">
        <w:r w:rsidRPr="00601EEA">
          <w:rPr>
            <w:rStyle w:val="TextoNormalCaracter"/>
          </w:rPr>
          <w:t>6/2024</w:t>
        </w:r>
      </w:hyperlink>
      <w:r>
        <w:t xml:space="preserve">, f. 2; </w:t>
      </w:r>
      <w:hyperlink w:anchor="SENTENCIA_2024_9" w:history="1">
        <w:r w:rsidRPr="00601EEA">
          <w:rPr>
            <w:rStyle w:val="TextoNormalCaracter"/>
          </w:rPr>
          <w:t>9/2024</w:t>
        </w:r>
      </w:hyperlink>
      <w:r>
        <w:t xml:space="preserve">, VP II; </w:t>
      </w:r>
      <w:hyperlink w:anchor="SENTENCIA_2024_27" w:history="1">
        <w:r w:rsidRPr="00601EEA">
          <w:rPr>
            <w:rStyle w:val="TextoNormalCaracter"/>
          </w:rPr>
          <w:t>27/2024</w:t>
        </w:r>
      </w:hyperlink>
      <w:r>
        <w:t xml:space="preserve">, f. 2; </w:t>
      </w:r>
      <w:hyperlink w:anchor="SENTENCIA_2024_28" w:history="1">
        <w:r w:rsidRPr="00601EEA">
          <w:rPr>
            <w:rStyle w:val="TextoNormalCaracter"/>
          </w:rPr>
          <w:t>28/2024</w:t>
        </w:r>
      </w:hyperlink>
      <w:r>
        <w:t xml:space="preserve">, f. 2; </w:t>
      </w:r>
      <w:hyperlink w:anchor="SENTENCIA_2024_39" w:history="1">
        <w:r w:rsidRPr="00601EEA">
          <w:rPr>
            <w:rStyle w:val="TextoNormalCaracter"/>
          </w:rPr>
          <w:t>39/2024</w:t>
        </w:r>
      </w:hyperlink>
      <w:r>
        <w:t xml:space="preserve">, ff. 1, 2; </w:t>
      </w:r>
      <w:hyperlink w:anchor="SENTENCIA_2024_41" w:history="1">
        <w:r w:rsidRPr="00601EEA">
          <w:rPr>
            <w:rStyle w:val="TextoNormalCaracter"/>
          </w:rPr>
          <w:t>41/2024</w:t>
        </w:r>
      </w:hyperlink>
      <w:r>
        <w:t xml:space="preserve">, f. 2; </w:t>
      </w:r>
      <w:hyperlink w:anchor="SENTENCIA_2024_49" w:history="1">
        <w:r w:rsidRPr="00601EEA">
          <w:rPr>
            <w:rStyle w:val="TextoNormalCaracter"/>
          </w:rPr>
          <w:t>49/2024</w:t>
        </w:r>
      </w:hyperlink>
      <w:r>
        <w:t xml:space="preserve">, f. 2; </w:t>
      </w:r>
      <w:hyperlink w:anchor="SENTENCIA_2024_77" w:history="1">
        <w:r w:rsidRPr="00601EEA">
          <w:rPr>
            <w:rStyle w:val="TextoNormalCaracter"/>
          </w:rPr>
          <w:t>77/2024</w:t>
        </w:r>
      </w:hyperlink>
      <w:r>
        <w:t>, f. 3.</w:t>
      </w:r>
    </w:p>
    <w:p w14:paraId="6B773A99" w14:textId="0CBA5851" w:rsidR="00601EEA" w:rsidRDefault="00601EEA" w:rsidP="00601EEA">
      <w:pPr>
        <w:pStyle w:val="SangriaFrancesaArticulo"/>
      </w:pPr>
      <w:r w:rsidRPr="00601EEA">
        <w:rPr>
          <w:rStyle w:val="TextoNormalNegritaCaracter"/>
        </w:rPr>
        <w:t>Artículo 44.2.</w:t>
      </w:r>
      <w:r w:rsidRPr="00601EEA">
        <w:rPr>
          <w:rStyle w:val="TextoNormalCaracter"/>
        </w:rPr>
        <w:t>-</w:t>
      </w:r>
      <w:r>
        <w:t xml:space="preserve"> Sentencias </w:t>
      </w:r>
      <w:hyperlink w:anchor="SENTENCIA_2024_49" w:history="1">
        <w:r w:rsidRPr="00601EEA">
          <w:rPr>
            <w:rStyle w:val="TextoNormalCaracter"/>
          </w:rPr>
          <w:t>49/2024</w:t>
        </w:r>
      </w:hyperlink>
      <w:r>
        <w:t xml:space="preserve">, f. 2; </w:t>
      </w:r>
      <w:hyperlink w:anchor="SENTENCIA_2024_50" w:history="1">
        <w:r w:rsidRPr="00601EEA">
          <w:rPr>
            <w:rStyle w:val="TextoNormalCaracter"/>
          </w:rPr>
          <w:t>50/2024</w:t>
        </w:r>
      </w:hyperlink>
      <w:r>
        <w:t>, f. 2.</w:t>
      </w:r>
    </w:p>
    <w:p w14:paraId="2B469F54" w14:textId="1F961AB7" w:rsidR="00601EEA" w:rsidRDefault="00601EEA" w:rsidP="00601EEA">
      <w:pPr>
        <w:pStyle w:val="SangriaIzquierdaArticulo"/>
      </w:pPr>
      <w:r>
        <w:t xml:space="preserve">Autos </w:t>
      </w:r>
      <w:hyperlink w:anchor="AUTO_2024_34" w:history="1">
        <w:r w:rsidRPr="00601EEA">
          <w:rPr>
            <w:rStyle w:val="TextoNormalCaracter"/>
          </w:rPr>
          <w:t>34/2024</w:t>
        </w:r>
      </w:hyperlink>
      <w:r>
        <w:t xml:space="preserve">, f. 2; </w:t>
      </w:r>
      <w:hyperlink w:anchor="AUTO_2024_39" w:history="1">
        <w:r w:rsidRPr="00601EEA">
          <w:rPr>
            <w:rStyle w:val="TextoNormalCaracter"/>
          </w:rPr>
          <w:t>39/2024</w:t>
        </w:r>
      </w:hyperlink>
      <w:r>
        <w:t>, f. único.</w:t>
      </w:r>
    </w:p>
    <w:p w14:paraId="020C34A7" w14:textId="4E958756" w:rsidR="00601EEA" w:rsidRDefault="00601EEA" w:rsidP="00601EEA">
      <w:pPr>
        <w:pStyle w:val="SangriaFrancesaArticulo"/>
      </w:pPr>
      <w:r w:rsidRPr="00601EEA">
        <w:rPr>
          <w:rStyle w:val="TextoNormalNegritaCaracter"/>
        </w:rPr>
        <w:t>Artículo 46.1 b).</w:t>
      </w:r>
      <w:r w:rsidRPr="00601EEA">
        <w:rPr>
          <w:rStyle w:val="TextoNormalCaracter"/>
        </w:rPr>
        <w:t>-</w:t>
      </w:r>
      <w:r>
        <w:t xml:space="preserve"> Sentencias </w:t>
      </w:r>
      <w:hyperlink w:anchor="SENTENCIA_2024_28" w:history="1">
        <w:r w:rsidRPr="00601EEA">
          <w:rPr>
            <w:rStyle w:val="TextoNormalCaracter"/>
          </w:rPr>
          <w:t>28/2024</w:t>
        </w:r>
      </w:hyperlink>
      <w:r>
        <w:t xml:space="preserve">, f. 2; </w:t>
      </w:r>
      <w:hyperlink w:anchor="SENTENCIA_2024_53" w:history="1">
        <w:r w:rsidRPr="00601EEA">
          <w:rPr>
            <w:rStyle w:val="TextoNormalCaracter"/>
          </w:rPr>
          <w:t>53/2024</w:t>
        </w:r>
      </w:hyperlink>
      <w:r>
        <w:t xml:space="preserve">, f. 2; </w:t>
      </w:r>
      <w:hyperlink w:anchor="SENTENCIA_2024_71" w:history="1">
        <w:r w:rsidRPr="00601EEA">
          <w:rPr>
            <w:rStyle w:val="TextoNormalCaracter"/>
          </w:rPr>
          <w:t>71/2024</w:t>
        </w:r>
      </w:hyperlink>
      <w:r>
        <w:t>, f. único.</w:t>
      </w:r>
    </w:p>
    <w:p w14:paraId="23D5FD7D" w14:textId="13367DEA" w:rsidR="00601EEA" w:rsidRDefault="00601EEA" w:rsidP="00601EEA">
      <w:pPr>
        <w:pStyle w:val="SangriaFrancesaArticulo"/>
      </w:pPr>
      <w:r w:rsidRPr="00601EEA">
        <w:rPr>
          <w:rStyle w:val="TextoNormalNegritaCaracter"/>
        </w:rPr>
        <w:t>Artículo 46.2.</w:t>
      </w:r>
      <w:r w:rsidRPr="00601EEA">
        <w:rPr>
          <w:rStyle w:val="TextoNormalCaracter"/>
        </w:rPr>
        <w:t>-</w:t>
      </w:r>
      <w:r>
        <w:t xml:space="preserve"> Sentencia </w:t>
      </w:r>
      <w:hyperlink w:anchor="SENTENCIA_2024_28" w:history="1">
        <w:r w:rsidRPr="00601EEA">
          <w:rPr>
            <w:rStyle w:val="TextoNormalCaracter"/>
          </w:rPr>
          <w:t>28/2024</w:t>
        </w:r>
      </w:hyperlink>
      <w:r>
        <w:t>, f. 2.</w:t>
      </w:r>
    </w:p>
    <w:p w14:paraId="4161E03D" w14:textId="294A89E9" w:rsidR="00601EEA" w:rsidRDefault="00601EEA" w:rsidP="00601EEA">
      <w:pPr>
        <w:pStyle w:val="SangriaFrancesaArticulo"/>
      </w:pPr>
      <w:r w:rsidRPr="00601EEA">
        <w:rPr>
          <w:rStyle w:val="TextoNormalNegritaCaracter"/>
        </w:rPr>
        <w:t>Artículo 47.1.</w:t>
      </w:r>
      <w:r w:rsidRPr="00601EEA">
        <w:rPr>
          <w:rStyle w:val="TextoNormalCaracter"/>
        </w:rPr>
        <w:t>-</w:t>
      </w:r>
      <w:r>
        <w:t xml:space="preserve"> Auto </w:t>
      </w:r>
      <w:hyperlink w:anchor="AUTO_2024_32" w:history="1">
        <w:r w:rsidRPr="00601EEA">
          <w:rPr>
            <w:rStyle w:val="TextoNormalCaracter"/>
          </w:rPr>
          <w:t>32/2024</w:t>
        </w:r>
      </w:hyperlink>
      <w:r>
        <w:t>, f. 3.</w:t>
      </w:r>
    </w:p>
    <w:p w14:paraId="0C437855" w14:textId="613B88C5" w:rsidR="00601EEA" w:rsidRDefault="00601EEA" w:rsidP="00601EEA">
      <w:pPr>
        <w:pStyle w:val="SangriaFrancesaArticulo"/>
      </w:pPr>
      <w:r w:rsidRPr="00601EEA">
        <w:rPr>
          <w:rStyle w:val="TextoNormalNegritaCaracter"/>
        </w:rPr>
        <w:t>Artículo 47.2.</w:t>
      </w:r>
      <w:r w:rsidRPr="00601EEA">
        <w:rPr>
          <w:rStyle w:val="TextoNormalCaracter"/>
        </w:rPr>
        <w:t>-</w:t>
      </w:r>
      <w:r>
        <w:t xml:space="preserve"> Auto </w:t>
      </w:r>
      <w:hyperlink w:anchor="AUTO_2024_49" w:history="1">
        <w:r w:rsidRPr="00601EEA">
          <w:rPr>
            <w:rStyle w:val="TextoNormalCaracter"/>
          </w:rPr>
          <w:t>49/2024</w:t>
        </w:r>
      </w:hyperlink>
      <w:r>
        <w:t>, f. 4.</w:t>
      </w:r>
    </w:p>
    <w:p w14:paraId="7A7DCA08" w14:textId="36A16FFE" w:rsidR="00601EEA" w:rsidRDefault="00601EEA" w:rsidP="00601EEA">
      <w:pPr>
        <w:pStyle w:val="SangriaFrancesaArticulo"/>
      </w:pPr>
      <w:r w:rsidRPr="00601EEA">
        <w:rPr>
          <w:rStyle w:val="TextoNormalNegritaCaracter"/>
        </w:rPr>
        <w:t>Artículo 49.</w:t>
      </w:r>
      <w:r w:rsidRPr="00601EEA">
        <w:rPr>
          <w:rStyle w:val="TextoNormalCaracter"/>
        </w:rPr>
        <w:t>-</w:t>
      </w:r>
      <w:r>
        <w:t xml:space="preserve"> Sentencia </w:t>
      </w:r>
      <w:hyperlink w:anchor="SENTENCIA_2024_9" w:history="1">
        <w:r w:rsidRPr="00601EEA">
          <w:rPr>
            <w:rStyle w:val="TextoNormalCaracter"/>
          </w:rPr>
          <w:t>9/2024</w:t>
        </w:r>
      </w:hyperlink>
      <w:r>
        <w:t>, VP I.</w:t>
      </w:r>
    </w:p>
    <w:p w14:paraId="63CDDD68" w14:textId="4B3E30BB" w:rsidR="00601EEA" w:rsidRDefault="00601EEA" w:rsidP="00601EEA">
      <w:pPr>
        <w:pStyle w:val="SangriaIzquierdaArticulo"/>
      </w:pPr>
      <w:r>
        <w:t xml:space="preserve">Auto </w:t>
      </w:r>
      <w:hyperlink w:anchor="AUTO_2024_39" w:history="1">
        <w:r w:rsidRPr="00601EEA">
          <w:rPr>
            <w:rStyle w:val="TextoNormalCaracter"/>
          </w:rPr>
          <w:t>39/2024</w:t>
        </w:r>
      </w:hyperlink>
      <w:r>
        <w:t>, f. único.</w:t>
      </w:r>
    </w:p>
    <w:p w14:paraId="2CAD450D" w14:textId="6CF334EC" w:rsidR="00601EEA" w:rsidRDefault="00601EEA" w:rsidP="00601EEA">
      <w:pPr>
        <w:pStyle w:val="SangriaFrancesaArticulo"/>
      </w:pPr>
      <w:r w:rsidRPr="00601EEA">
        <w:rPr>
          <w:rStyle w:val="TextoNormalNegritaCaracter"/>
        </w:rPr>
        <w:t>Artículo 49.1.</w:t>
      </w:r>
      <w:r w:rsidRPr="00601EEA">
        <w:rPr>
          <w:rStyle w:val="TextoNormalCaracter"/>
        </w:rPr>
        <w:t>-</w:t>
      </w:r>
      <w:r>
        <w:t xml:space="preserve"> Sentencias </w:t>
      </w:r>
      <w:hyperlink w:anchor="SENTENCIA_2024_3" w:history="1">
        <w:r w:rsidRPr="00601EEA">
          <w:rPr>
            <w:rStyle w:val="TextoNormalCaracter"/>
          </w:rPr>
          <w:t>3/2024</w:t>
        </w:r>
      </w:hyperlink>
      <w:r>
        <w:t xml:space="preserve">, f. 2; </w:t>
      </w:r>
      <w:hyperlink w:anchor="SENTENCIA_2024_49" w:history="1">
        <w:r w:rsidRPr="00601EEA">
          <w:rPr>
            <w:rStyle w:val="TextoNormalCaracter"/>
          </w:rPr>
          <w:t>49/2024</w:t>
        </w:r>
      </w:hyperlink>
      <w:r>
        <w:t xml:space="preserve">, f. 2; </w:t>
      </w:r>
      <w:hyperlink w:anchor="SENTENCIA_2024_53" w:history="1">
        <w:r w:rsidRPr="00601EEA">
          <w:rPr>
            <w:rStyle w:val="TextoNormalCaracter"/>
          </w:rPr>
          <w:t>53/2024</w:t>
        </w:r>
      </w:hyperlink>
      <w:r>
        <w:t xml:space="preserve">, f. 2; </w:t>
      </w:r>
      <w:hyperlink w:anchor="SENTENCIA_2024_86" w:history="1">
        <w:r w:rsidRPr="00601EEA">
          <w:rPr>
            <w:rStyle w:val="TextoNormalCaracter"/>
          </w:rPr>
          <w:t>86/2024</w:t>
        </w:r>
      </w:hyperlink>
      <w:r>
        <w:t xml:space="preserve">, f. 2; </w:t>
      </w:r>
      <w:hyperlink w:anchor="SENTENCIA_2024_90" w:history="1">
        <w:r w:rsidRPr="00601EEA">
          <w:rPr>
            <w:rStyle w:val="TextoNormalCaracter"/>
          </w:rPr>
          <w:t>90/2024</w:t>
        </w:r>
      </w:hyperlink>
      <w:r>
        <w:t>, ff. 1, 2.</w:t>
      </w:r>
    </w:p>
    <w:p w14:paraId="2AE09948" w14:textId="22D9D58E" w:rsidR="00601EEA" w:rsidRDefault="00601EEA" w:rsidP="00601EEA">
      <w:pPr>
        <w:pStyle w:val="SangriaIzquierdaArticulo"/>
      </w:pPr>
      <w:r>
        <w:t xml:space="preserve">Autos </w:t>
      </w:r>
      <w:hyperlink w:anchor="AUTO_2024_47" w:history="1">
        <w:r w:rsidRPr="00601EEA">
          <w:rPr>
            <w:rStyle w:val="TextoNormalCaracter"/>
          </w:rPr>
          <w:t>47/2024</w:t>
        </w:r>
      </w:hyperlink>
      <w:r>
        <w:t xml:space="preserve">, f. 2; </w:t>
      </w:r>
      <w:hyperlink w:anchor="AUTO_2024_51" w:history="1">
        <w:r w:rsidRPr="00601EEA">
          <w:rPr>
            <w:rStyle w:val="TextoNormalCaracter"/>
          </w:rPr>
          <w:t>51/2024</w:t>
        </w:r>
      </w:hyperlink>
      <w:r>
        <w:t>, f. 3.</w:t>
      </w:r>
    </w:p>
    <w:p w14:paraId="43CE0DAF" w14:textId="23F1F5D9" w:rsidR="00601EEA" w:rsidRDefault="00601EEA" w:rsidP="00601EEA">
      <w:pPr>
        <w:pStyle w:val="SangriaFrancesaArticulo"/>
      </w:pPr>
      <w:r w:rsidRPr="00601EEA">
        <w:rPr>
          <w:rStyle w:val="TextoNormalNegritaCaracter"/>
        </w:rPr>
        <w:lastRenderedPageBreak/>
        <w:t xml:space="preserve">Artículo 49.1 </w:t>
      </w:r>
      <w:r w:rsidRPr="00601EEA">
        <w:rPr>
          <w:rStyle w:val="TextoNormalNegritaCursivaCaracter"/>
        </w:rPr>
        <w:t>in fine</w:t>
      </w:r>
      <w:r w:rsidRPr="00601EEA">
        <w:rPr>
          <w:rStyle w:val="TextoNormalNegritaCaracter"/>
        </w:rPr>
        <w:t>.</w:t>
      </w:r>
      <w:r w:rsidRPr="00601EEA">
        <w:rPr>
          <w:rStyle w:val="TextoNormalCaracter"/>
        </w:rPr>
        <w:t>-</w:t>
      </w:r>
      <w:r>
        <w:t xml:space="preserve"> Auto </w:t>
      </w:r>
      <w:hyperlink w:anchor="AUTO_2024_47" w:history="1">
        <w:r w:rsidRPr="00601EEA">
          <w:rPr>
            <w:rStyle w:val="TextoNormalCaracter"/>
          </w:rPr>
          <w:t>47/2024</w:t>
        </w:r>
      </w:hyperlink>
      <w:r>
        <w:t>, VP.</w:t>
      </w:r>
    </w:p>
    <w:p w14:paraId="4B5AB435" w14:textId="184FE129" w:rsidR="00601EEA" w:rsidRDefault="00601EEA" w:rsidP="00601EEA">
      <w:pPr>
        <w:pStyle w:val="SangriaFrancesaArticulo"/>
      </w:pPr>
      <w:r w:rsidRPr="00601EEA">
        <w:rPr>
          <w:rStyle w:val="TextoNormalNegritaCaracter"/>
        </w:rPr>
        <w:t>Artículo 50.</w:t>
      </w:r>
      <w:r w:rsidRPr="00601EEA">
        <w:rPr>
          <w:rStyle w:val="TextoNormalCaracter"/>
        </w:rPr>
        <w:t>-</w:t>
      </w:r>
      <w:r>
        <w:t xml:space="preserve"> Auto </w:t>
      </w:r>
      <w:hyperlink w:anchor="AUTO_2024_8" w:history="1">
        <w:r w:rsidRPr="00601EEA">
          <w:rPr>
            <w:rStyle w:val="TextoNormalCaracter"/>
          </w:rPr>
          <w:t>8/2024</w:t>
        </w:r>
      </w:hyperlink>
      <w:r>
        <w:t>, f. 2.</w:t>
      </w:r>
    </w:p>
    <w:p w14:paraId="6104268F" w14:textId="03593943" w:rsidR="00601EEA" w:rsidRDefault="00601EEA" w:rsidP="00601EEA">
      <w:pPr>
        <w:pStyle w:val="SangriaFrancesaArticulo"/>
      </w:pPr>
      <w:r w:rsidRPr="00601EEA">
        <w:rPr>
          <w:rStyle w:val="TextoNormalNegritaCaracter"/>
        </w:rPr>
        <w:t>Artículo 50.1.</w:t>
      </w:r>
      <w:r w:rsidRPr="00601EEA">
        <w:rPr>
          <w:rStyle w:val="TextoNormalCaracter"/>
        </w:rPr>
        <w:t>-</w:t>
      </w:r>
      <w:r>
        <w:t xml:space="preserve"> Sentencias </w:t>
      </w:r>
      <w:hyperlink w:anchor="SENTENCIA_2024_17" w:history="1">
        <w:r w:rsidRPr="00601EEA">
          <w:rPr>
            <w:rStyle w:val="TextoNormalCaracter"/>
          </w:rPr>
          <w:t>17/2024</w:t>
        </w:r>
      </w:hyperlink>
      <w:r>
        <w:t xml:space="preserve">, f. 2; </w:t>
      </w:r>
      <w:hyperlink w:anchor="SENTENCIA_2024_22" w:history="1">
        <w:r w:rsidRPr="00601EEA">
          <w:rPr>
            <w:rStyle w:val="TextoNormalCaracter"/>
          </w:rPr>
          <w:t>22/2024</w:t>
        </w:r>
      </w:hyperlink>
      <w:r>
        <w:t xml:space="preserve">, f. 2; </w:t>
      </w:r>
      <w:hyperlink w:anchor="SENTENCIA_2024_27" w:history="1">
        <w:r w:rsidRPr="00601EEA">
          <w:rPr>
            <w:rStyle w:val="TextoNormalCaracter"/>
          </w:rPr>
          <w:t>27/2024</w:t>
        </w:r>
      </w:hyperlink>
      <w:r>
        <w:t xml:space="preserve">, f. 2; </w:t>
      </w:r>
      <w:hyperlink w:anchor="SENTENCIA_2024_28" w:history="1">
        <w:r w:rsidRPr="00601EEA">
          <w:rPr>
            <w:rStyle w:val="TextoNormalCaracter"/>
          </w:rPr>
          <w:t>28/2024</w:t>
        </w:r>
      </w:hyperlink>
      <w:r>
        <w:t xml:space="preserve">, f. 2; </w:t>
      </w:r>
      <w:hyperlink w:anchor="SENTENCIA_2024_34" w:history="1">
        <w:r w:rsidRPr="00601EEA">
          <w:rPr>
            <w:rStyle w:val="TextoNormalCaracter"/>
          </w:rPr>
          <w:t>34/2024</w:t>
        </w:r>
      </w:hyperlink>
      <w:r>
        <w:t xml:space="preserve">, f. 2; </w:t>
      </w:r>
      <w:hyperlink w:anchor="SENTENCIA_2024_36" w:history="1">
        <w:r w:rsidRPr="00601EEA">
          <w:rPr>
            <w:rStyle w:val="TextoNormalCaracter"/>
          </w:rPr>
          <w:t>36/2024</w:t>
        </w:r>
      </w:hyperlink>
      <w:r>
        <w:t xml:space="preserve">, f. 2; </w:t>
      </w:r>
      <w:hyperlink w:anchor="SENTENCIA_2024_37" w:history="1">
        <w:r w:rsidRPr="00601EEA">
          <w:rPr>
            <w:rStyle w:val="TextoNormalCaracter"/>
          </w:rPr>
          <w:t>37/2024</w:t>
        </w:r>
      </w:hyperlink>
      <w:r>
        <w:t xml:space="preserve">, f. 2; </w:t>
      </w:r>
      <w:hyperlink w:anchor="SENTENCIA_2024_40" w:history="1">
        <w:r w:rsidRPr="00601EEA">
          <w:rPr>
            <w:rStyle w:val="TextoNormalCaracter"/>
          </w:rPr>
          <w:t>40/2024</w:t>
        </w:r>
      </w:hyperlink>
      <w:r>
        <w:t xml:space="preserve">, f. 1; </w:t>
      </w:r>
      <w:hyperlink w:anchor="SENTENCIA_2024_43" w:history="1">
        <w:r w:rsidRPr="00601EEA">
          <w:rPr>
            <w:rStyle w:val="TextoNormalCaracter"/>
          </w:rPr>
          <w:t>43/2024</w:t>
        </w:r>
      </w:hyperlink>
      <w:r>
        <w:t xml:space="preserve">, f. 2; </w:t>
      </w:r>
      <w:hyperlink w:anchor="SENTENCIA_2024_51" w:history="1">
        <w:r w:rsidRPr="00601EEA">
          <w:rPr>
            <w:rStyle w:val="TextoNormalCaracter"/>
          </w:rPr>
          <w:t>51/2024</w:t>
        </w:r>
      </w:hyperlink>
      <w:r>
        <w:t xml:space="preserve">, f. 2; </w:t>
      </w:r>
      <w:hyperlink w:anchor="SENTENCIA_2024_52" w:history="1">
        <w:r w:rsidRPr="00601EEA">
          <w:rPr>
            <w:rStyle w:val="TextoNormalCaracter"/>
          </w:rPr>
          <w:t>52/2024</w:t>
        </w:r>
      </w:hyperlink>
      <w:r>
        <w:t xml:space="preserve">, f. 2; </w:t>
      </w:r>
      <w:hyperlink w:anchor="SENTENCIA_2024_53" w:history="1">
        <w:r w:rsidRPr="00601EEA">
          <w:rPr>
            <w:rStyle w:val="TextoNormalCaracter"/>
          </w:rPr>
          <w:t>53/2024</w:t>
        </w:r>
      </w:hyperlink>
      <w:r>
        <w:t xml:space="preserve">, f. 2; </w:t>
      </w:r>
      <w:hyperlink w:anchor="SENTENCIA_2024_57" w:history="1">
        <w:r w:rsidRPr="00601EEA">
          <w:rPr>
            <w:rStyle w:val="TextoNormalCaracter"/>
          </w:rPr>
          <w:t>57/2024</w:t>
        </w:r>
      </w:hyperlink>
      <w:r>
        <w:t xml:space="preserve">, f. 2; </w:t>
      </w:r>
      <w:hyperlink w:anchor="SENTENCIA_2024_61" w:history="1">
        <w:r w:rsidRPr="00601EEA">
          <w:rPr>
            <w:rStyle w:val="TextoNormalCaracter"/>
          </w:rPr>
          <w:t>61/2024</w:t>
        </w:r>
      </w:hyperlink>
      <w:r>
        <w:t xml:space="preserve">, f. 2; </w:t>
      </w:r>
      <w:hyperlink w:anchor="SENTENCIA_2024_85" w:history="1">
        <w:r w:rsidRPr="00601EEA">
          <w:rPr>
            <w:rStyle w:val="TextoNormalCaracter"/>
          </w:rPr>
          <w:t>85/2024</w:t>
        </w:r>
      </w:hyperlink>
      <w:r>
        <w:t xml:space="preserve">, f. 1; </w:t>
      </w:r>
      <w:hyperlink w:anchor="SENTENCIA_2024_86" w:history="1">
        <w:r w:rsidRPr="00601EEA">
          <w:rPr>
            <w:rStyle w:val="TextoNormalCaracter"/>
          </w:rPr>
          <w:t>86/2024</w:t>
        </w:r>
      </w:hyperlink>
      <w:r>
        <w:t>, f. 2.</w:t>
      </w:r>
    </w:p>
    <w:p w14:paraId="24FFA212" w14:textId="4CC1ED34" w:rsidR="00601EEA" w:rsidRDefault="00601EEA" w:rsidP="00601EEA">
      <w:pPr>
        <w:pStyle w:val="SangriaIzquierdaArticulo"/>
      </w:pPr>
      <w:r>
        <w:t xml:space="preserve">Autos </w:t>
      </w:r>
      <w:hyperlink w:anchor="AUTO_2024_31" w:history="1">
        <w:r w:rsidRPr="00601EEA">
          <w:rPr>
            <w:rStyle w:val="TextoNormalCaracter"/>
          </w:rPr>
          <w:t>31/2024</w:t>
        </w:r>
      </w:hyperlink>
      <w:r>
        <w:t xml:space="preserve">, f. 3; </w:t>
      </w:r>
      <w:hyperlink w:anchor="AUTO_2024_47" w:history="1">
        <w:r w:rsidRPr="00601EEA">
          <w:rPr>
            <w:rStyle w:val="TextoNormalCaracter"/>
          </w:rPr>
          <w:t>47/2024</w:t>
        </w:r>
      </w:hyperlink>
      <w:r>
        <w:t xml:space="preserve">, VP; </w:t>
      </w:r>
      <w:hyperlink w:anchor="AUTO_2024_52" w:history="1">
        <w:r w:rsidRPr="00601EEA">
          <w:rPr>
            <w:rStyle w:val="TextoNormalCaracter"/>
          </w:rPr>
          <w:t>52/2024</w:t>
        </w:r>
      </w:hyperlink>
      <w:r>
        <w:t>, VP.</w:t>
      </w:r>
    </w:p>
    <w:p w14:paraId="7623A22B" w14:textId="029D8A72" w:rsidR="00601EEA" w:rsidRDefault="00601EEA" w:rsidP="00601EEA">
      <w:pPr>
        <w:pStyle w:val="SangriaFrancesaArticulo"/>
      </w:pPr>
      <w:r w:rsidRPr="00601EEA">
        <w:rPr>
          <w:rStyle w:val="TextoNormalNegritaCaracter"/>
        </w:rPr>
        <w:t>Artículo 50.1 a).</w:t>
      </w:r>
      <w:r w:rsidRPr="00601EEA">
        <w:rPr>
          <w:rStyle w:val="TextoNormalCaracter"/>
        </w:rPr>
        <w:t>-</w:t>
      </w:r>
      <w:r>
        <w:t xml:space="preserve"> Sentencia </w:t>
      </w:r>
      <w:hyperlink w:anchor="SENTENCIA_2024_9" w:history="1">
        <w:r w:rsidRPr="00601EEA">
          <w:rPr>
            <w:rStyle w:val="TextoNormalCaracter"/>
          </w:rPr>
          <w:t>9/2024</w:t>
        </w:r>
      </w:hyperlink>
      <w:r>
        <w:t>, VP II.</w:t>
      </w:r>
    </w:p>
    <w:p w14:paraId="22080969" w14:textId="0667A509" w:rsidR="00601EEA" w:rsidRDefault="00601EEA" w:rsidP="00601EEA">
      <w:pPr>
        <w:pStyle w:val="SangriaIzquierdaArticulo"/>
      </w:pPr>
      <w:r>
        <w:t xml:space="preserve">Autos </w:t>
      </w:r>
      <w:hyperlink w:anchor="AUTO_2024_1" w:history="1">
        <w:r w:rsidRPr="00601EEA">
          <w:rPr>
            <w:rStyle w:val="TextoNormalCaracter"/>
          </w:rPr>
          <w:t>1/2024</w:t>
        </w:r>
      </w:hyperlink>
      <w:r>
        <w:t xml:space="preserve">, ff. 1, 2; </w:t>
      </w:r>
      <w:hyperlink w:anchor="AUTO_2024_8" w:history="1">
        <w:r w:rsidRPr="00601EEA">
          <w:rPr>
            <w:rStyle w:val="TextoNormalCaracter"/>
          </w:rPr>
          <w:t>8/2024</w:t>
        </w:r>
      </w:hyperlink>
      <w:r>
        <w:t xml:space="preserve">, f. 2; </w:t>
      </w:r>
      <w:hyperlink w:anchor="AUTO_2024_39" w:history="1">
        <w:r w:rsidRPr="00601EEA">
          <w:rPr>
            <w:rStyle w:val="TextoNormalCaracter"/>
          </w:rPr>
          <w:t>39/2024</w:t>
        </w:r>
      </w:hyperlink>
      <w:r>
        <w:t xml:space="preserve">, f. único; </w:t>
      </w:r>
      <w:hyperlink w:anchor="AUTO_2024_47" w:history="1">
        <w:r w:rsidRPr="00601EEA">
          <w:rPr>
            <w:rStyle w:val="TextoNormalCaracter"/>
          </w:rPr>
          <w:t>47/2024</w:t>
        </w:r>
      </w:hyperlink>
      <w:r>
        <w:t xml:space="preserve">, f. 2; </w:t>
      </w:r>
      <w:hyperlink w:anchor="AUTO_2024_51" w:history="1">
        <w:r w:rsidRPr="00601EEA">
          <w:rPr>
            <w:rStyle w:val="TextoNormalCaracter"/>
          </w:rPr>
          <w:t>51/2024</w:t>
        </w:r>
      </w:hyperlink>
      <w:r>
        <w:t xml:space="preserve">, f. 1; </w:t>
      </w:r>
      <w:hyperlink w:anchor="AUTO_2024_57" w:history="1">
        <w:r w:rsidRPr="00601EEA">
          <w:rPr>
            <w:rStyle w:val="TextoNormalCaracter"/>
          </w:rPr>
          <w:t>57/2024</w:t>
        </w:r>
      </w:hyperlink>
      <w:r>
        <w:t>, f. 5.</w:t>
      </w:r>
    </w:p>
    <w:p w14:paraId="30218E5C" w14:textId="7C2F7544" w:rsidR="00601EEA" w:rsidRDefault="00601EEA" w:rsidP="00601EEA">
      <w:pPr>
        <w:pStyle w:val="SangriaFrancesaArticulo"/>
      </w:pPr>
      <w:r w:rsidRPr="00601EEA">
        <w:rPr>
          <w:rStyle w:val="TextoNormalNegritaCaracter"/>
        </w:rPr>
        <w:t>Artículo 50.1 b).</w:t>
      </w:r>
      <w:r w:rsidRPr="00601EEA">
        <w:rPr>
          <w:rStyle w:val="TextoNormalCaracter"/>
        </w:rPr>
        <w:t>-</w:t>
      </w:r>
      <w:r>
        <w:t xml:space="preserve"> Sentencias </w:t>
      </w:r>
      <w:hyperlink w:anchor="SENTENCIA_2024_3" w:history="1">
        <w:r w:rsidRPr="00601EEA">
          <w:rPr>
            <w:rStyle w:val="TextoNormalCaracter"/>
          </w:rPr>
          <w:t>3/2024</w:t>
        </w:r>
      </w:hyperlink>
      <w:r>
        <w:t xml:space="preserve">, f. 2; </w:t>
      </w:r>
      <w:hyperlink w:anchor="SENTENCIA_2024_8" w:history="1">
        <w:r w:rsidRPr="00601EEA">
          <w:rPr>
            <w:rStyle w:val="TextoNormalCaracter"/>
          </w:rPr>
          <w:t>8/2024</w:t>
        </w:r>
      </w:hyperlink>
      <w:r>
        <w:t xml:space="preserve">, f. 2; </w:t>
      </w:r>
      <w:hyperlink w:anchor="SENTENCIA_2024_21" w:history="1">
        <w:r w:rsidRPr="00601EEA">
          <w:rPr>
            <w:rStyle w:val="TextoNormalCaracter"/>
          </w:rPr>
          <w:t>21/2024</w:t>
        </w:r>
      </w:hyperlink>
      <w:r>
        <w:t xml:space="preserve">, f. 2; </w:t>
      </w:r>
      <w:hyperlink w:anchor="SENTENCIA_2024_49" w:history="1">
        <w:r w:rsidRPr="00601EEA">
          <w:rPr>
            <w:rStyle w:val="TextoNormalCaracter"/>
          </w:rPr>
          <w:t>49/2024</w:t>
        </w:r>
      </w:hyperlink>
      <w:r>
        <w:t xml:space="preserve">, f. 2; </w:t>
      </w:r>
      <w:hyperlink w:anchor="SENTENCIA_2024_81" w:history="1">
        <w:r w:rsidRPr="00601EEA">
          <w:rPr>
            <w:rStyle w:val="TextoNormalCaracter"/>
          </w:rPr>
          <w:t>81/2024</w:t>
        </w:r>
      </w:hyperlink>
      <w:r>
        <w:t xml:space="preserve">, f. 2; </w:t>
      </w:r>
      <w:hyperlink w:anchor="SENTENCIA_2024_93" w:history="1">
        <w:r w:rsidRPr="00601EEA">
          <w:rPr>
            <w:rStyle w:val="TextoNormalCaracter"/>
          </w:rPr>
          <w:t>93/2024</w:t>
        </w:r>
      </w:hyperlink>
      <w:r>
        <w:t>, f. 4.</w:t>
      </w:r>
    </w:p>
    <w:p w14:paraId="442EF0CB" w14:textId="26E0FD73" w:rsidR="00601EEA" w:rsidRDefault="00601EEA" w:rsidP="00601EEA">
      <w:pPr>
        <w:pStyle w:val="SangriaIzquierdaArticulo"/>
      </w:pPr>
      <w:r>
        <w:t xml:space="preserve">Autos </w:t>
      </w:r>
      <w:hyperlink w:anchor="AUTO_2024_8" w:history="1">
        <w:r w:rsidRPr="00601EEA">
          <w:rPr>
            <w:rStyle w:val="TextoNormalCaracter"/>
          </w:rPr>
          <w:t>8/2024</w:t>
        </w:r>
      </w:hyperlink>
      <w:r>
        <w:t xml:space="preserve">, f. 2; </w:t>
      </w:r>
      <w:hyperlink w:anchor="AUTO_2024_17" w:history="1">
        <w:r w:rsidRPr="00601EEA">
          <w:rPr>
            <w:rStyle w:val="TextoNormalCaracter"/>
          </w:rPr>
          <w:t>17/2024</w:t>
        </w:r>
      </w:hyperlink>
      <w:r>
        <w:t xml:space="preserve">, ff. 1, 3; </w:t>
      </w:r>
      <w:hyperlink w:anchor="AUTO_2024_47" w:history="1">
        <w:r w:rsidRPr="00601EEA">
          <w:rPr>
            <w:rStyle w:val="TextoNormalCaracter"/>
          </w:rPr>
          <w:t>47/2024</w:t>
        </w:r>
      </w:hyperlink>
      <w:r>
        <w:t xml:space="preserve">, VP; </w:t>
      </w:r>
      <w:hyperlink w:anchor="AUTO_2024_51" w:history="1">
        <w:r w:rsidRPr="00601EEA">
          <w:rPr>
            <w:rStyle w:val="TextoNormalCaracter"/>
          </w:rPr>
          <w:t>51/2024</w:t>
        </w:r>
      </w:hyperlink>
      <w:r>
        <w:t xml:space="preserve">, ff. 2 a 4; </w:t>
      </w:r>
      <w:hyperlink w:anchor="AUTO_2024_52" w:history="1">
        <w:r w:rsidRPr="00601EEA">
          <w:rPr>
            <w:rStyle w:val="TextoNormalCaracter"/>
          </w:rPr>
          <w:t>52/2024</w:t>
        </w:r>
      </w:hyperlink>
      <w:r>
        <w:t>, VP.</w:t>
      </w:r>
    </w:p>
    <w:p w14:paraId="259A7F6B" w14:textId="4E5253B3" w:rsidR="00601EEA" w:rsidRDefault="00601EEA" w:rsidP="00601EEA">
      <w:pPr>
        <w:pStyle w:val="SangriaFrancesaArticulo"/>
      </w:pPr>
      <w:r w:rsidRPr="00601EEA">
        <w:rPr>
          <w:rStyle w:val="TextoNormalNegritaCaracter"/>
        </w:rPr>
        <w:t>Artículo 50.1 b)</w:t>
      </w:r>
      <w:r>
        <w:t xml:space="preserve"> (redactado por la Ley Orgánica 6/2007, de 24 de mayo)</w:t>
      </w:r>
      <w:r w:rsidRPr="00601EEA">
        <w:rPr>
          <w:rStyle w:val="TextoNormalNegritaCaracter"/>
        </w:rPr>
        <w:t>.</w:t>
      </w:r>
      <w:r w:rsidRPr="00601EEA">
        <w:rPr>
          <w:rStyle w:val="TextoNormalCaracter"/>
        </w:rPr>
        <w:t>-</w:t>
      </w:r>
      <w:r>
        <w:t xml:space="preserve"> Sentencia </w:t>
      </w:r>
      <w:hyperlink w:anchor="SENTENCIA_2024_61" w:history="1">
        <w:r w:rsidRPr="00601EEA">
          <w:rPr>
            <w:rStyle w:val="TextoNormalCaracter"/>
          </w:rPr>
          <w:t>61/2024</w:t>
        </w:r>
      </w:hyperlink>
      <w:r>
        <w:t>, VP.</w:t>
      </w:r>
    </w:p>
    <w:p w14:paraId="7E7CE3FC" w14:textId="50F7DCF5" w:rsidR="00601EEA" w:rsidRDefault="00601EEA" w:rsidP="00601EEA">
      <w:pPr>
        <w:pStyle w:val="SangriaFrancesaArticulo"/>
      </w:pPr>
      <w:r w:rsidRPr="00601EEA">
        <w:rPr>
          <w:rStyle w:val="TextoNormalNegritaCaracter"/>
        </w:rPr>
        <w:t>Artículo 50.1 c).</w:t>
      </w:r>
      <w:r w:rsidRPr="00601EEA">
        <w:rPr>
          <w:rStyle w:val="TextoNormalCaracter"/>
        </w:rPr>
        <w:t>-</w:t>
      </w:r>
      <w:r>
        <w:t xml:space="preserve"> Sentencias </w:t>
      </w:r>
      <w:hyperlink w:anchor="SENTENCIA_2024_27" w:history="1">
        <w:r w:rsidRPr="00601EEA">
          <w:rPr>
            <w:rStyle w:val="TextoNormalCaracter"/>
          </w:rPr>
          <w:t>27/2024</w:t>
        </w:r>
      </w:hyperlink>
      <w:r>
        <w:t xml:space="preserve">, f. 2; </w:t>
      </w:r>
      <w:hyperlink w:anchor="SENTENCIA_2024_90" w:history="1">
        <w:r w:rsidRPr="00601EEA">
          <w:rPr>
            <w:rStyle w:val="TextoNormalCaracter"/>
          </w:rPr>
          <w:t>90/2024</w:t>
        </w:r>
      </w:hyperlink>
      <w:r>
        <w:t>, f. 2.</w:t>
      </w:r>
    </w:p>
    <w:p w14:paraId="5AD63314" w14:textId="0169F3D7" w:rsidR="00601EEA" w:rsidRDefault="00601EEA" w:rsidP="00601EEA">
      <w:pPr>
        <w:pStyle w:val="SangriaFrancesaArticulo"/>
      </w:pPr>
      <w:r w:rsidRPr="00601EEA">
        <w:rPr>
          <w:rStyle w:val="TextoNormalNegritaCaracter"/>
        </w:rPr>
        <w:t>Artículo 50.2.</w:t>
      </w:r>
      <w:r w:rsidRPr="00601EEA">
        <w:rPr>
          <w:rStyle w:val="TextoNormalCaracter"/>
        </w:rPr>
        <w:t>-</w:t>
      </w:r>
      <w:r>
        <w:t xml:space="preserve"> Auto </w:t>
      </w:r>
      <w:hyperlink w:anchor="AUTO_2024_34" w:history="1">
        <w:r w:rsidRPr="00601EEA">
          <w:rPr>
            <w:rStyle w:val="TextoNormalCaracter"/>
          </w:rPr>
          <w:t>34/2024</w:t>
        </w:r>
      </w:hyperlink>
      <w:r>
        <w:t>, f. 3.</w:t>
      </w:r>
    </w:p>
    <w:p w14:paraId="65943E8C" w14:textId="35EDF80D" w:rsidR="00601EEA" w:rsidRDefault="00601EEA" w:rsidP="00601EEA">
      <w:pPr>
        <w:pStyle w:val="SangriaFrancesaArticulo"/>
      </w:pPr>
      <w:r w:rsidRPr="00601EEA">
        <w:rPr>
          <w:rStyle w:val="TextoNormalNegritaCaracter"/>
        </w:rPr>
        <w:t>Artículo 50.3.</w:t>
      </w:r>
      <w:r w:rsidRPr="00601EEA">
        <w:rPr>
          <w:rStyle w:val="TextoNormalCaracter"/>
        </w:rPr>
        <w:t>-</w:t>
      </w:r>
      <w:r>
        <w:t xml:space="preserve"> Autos </w:t>
      </w:r>
      <w:hyperlink w:anchor="AUTO_2024_8" w:history="1">
        <w:r w:rsidRPr="00601EEA">
          <w:rPr>
            <w:rStyle w:val="TextoNormalCaracter"/>
          </w:rPr>
          <w:t>8/2024</w:t>
        </w:r>
      </w:hyperlink>
      <w:r>
        <w:t xml:space="preserve">, f. 1; </w:t>
      </w:r>
      <w:hyperlink w:anchor="AUTO_2024_17" w:history="1">
        <w:r w:rsidRPr="00601EEA">
          <w:rPr>
            <w:rStyle w:val="TextoNormalCaracter"/>
          </w:rPr>
          <w:t>17/2024</w:t>
        </w:r>
      </w:hyperlink>
      <w:r>
        <w:t>, f. 3.</w:t>
      </w:r>
    </w:p>
    <w:p w14:paraId="484F9EE9" w14:textId="0563D0F6" w:rsidR="00601EEA" w:rsidRDefault="00601EEA" w:rsidP="00601EEA">
      <w:pPr>
        <w:pStyle w:val="SangriaFrancesaArticulo"/>
      </w:pPr>
      <w:r w:rsidRPr="00601EEA">
        <w:rPr>
          <w:rStyle w:val="TextoNormalNegritaCaracter"/>
        </w:rPr>
        <w:t>Artículo 50.3</w:t>
      </w:r>
      <w:r>
        <w:t xml:space="preserve"> (redactado por la Ley Orgánica 6/2007, de 24 de mayo)</w:t>
      </w:r>
      <w:r w:rsidRPr="00601EEA">
        <w:rPr>
          <w:rStyle w:val="TextoNormalNegritaCaracter"/>
        </w:rPr>
        <w:t>.</w:t>
      </w:r>
      <w:r w:rsidRPr="00601EEA">
        <w:rPr>
          <w:rStyle w:val="TextoNormalCaracter"/>
        </w:rPr>
        <w:t>-</w:t>
      </w:r>
      <w:r>
        <w:t xml:space="preserve"> Auto </w:t>
      </w:r>
      <w:hyperlink w:anchor="AUTO_2024_34" w:history="1">
        <w:r w:rsidRPr="00601EEA">
          <w:rPr>
            <w:rStyle w:val="TextoNormalCaracter"/>
          </w:rPr>
          <w:t>34/2024</w:t>
        </w:r>
      </w:hyperlink>
      <w:r>
        <w:t>, f. 3.</w:t>
      </w:r>
    </w:p>
    <w:p w14:paraId="6E90A4B8" w14:textId="442FBB22" w:rsidR="00601EEA" w:rsidRDefault="00601EEA" w:rsidP="00601EEA">
      <w:pPr>
        <w:pStyle w:val="SangriaFrancesaArticulo"/>
      </w:pPr>
      <w:r w:rsidRPr="00601EEA">
        <w:rPr>
          <w:rStyle w:val="TextoNormalNegritaCaracter"/>
        </w:rPr>
        <w:t>Artículo 52.</w:t>
      </w:r>
      <w:r w:rsidRPr="00601EEA">
        <w:rPr>
          <w:rStyle w:val="TextoNormalCaracter"/>
        </w:rPr>
        <w:t>-</w:t>
      </w:r>
      <w:r>
        <w:t xml:space="preserve"> Sentencias </w:t>
      </w:r>
      <w:hyperlink w:anchor="SENTENCIA_2024_2" w:history="1">
        <w:r w:rsidRPr="00601EEA">
          <w:rPr>
            <w:rStyle w:val="TextoNormalCaracter"/>
          </w:rPr>
          <w:t>2/2024</w:t>
        </w:r>
      </w:hyperlink>
      <w:r>
        <w:t xml:space="preserve">, f. 1; </w:t>
      </w:r>
      <w:hyperlink w:anchor="SENTENCIA_2024_26" w:history="1">
        <w:r w:rsidRPr="00601EEA">
          <w:rPr>
            <w:rStyle w:val="TextoNormalCaracter"/>
          </w:rPr>
          <w:t>26/2024</w:t>
        </w:r>
      </w:hyperlink>
      <w:r>
        <w:t xml:space="preserve">, VP I; </w:t>
      </w:r>
      <w:hyperlink w:anchor="SENTENCIA_2024_90" w:history="1">
        <w:r w:rsidRPr="00601EEA">
          <w:rPr>
            <w:rStyle w:val="TextoNormalCaracter"/>
          </w:rPr>
          <w:t>90/2024</w:t>
        </w:r>
      </w:hyperlink>
      <w:r>
        <w:t>, f. 2.</w:t>
      </w:r>
    </w:p>
    <w:p w14:paraId="09835858" w14:textId="5DCAC171" w:rsidR="00601EEA" w:rsidRDefault="00601EEA" w:rsidP="00601EEA">
      <w:pPr>
        <w:pStyle w:val="SangriaIzquierdaArticulo"/>
      </w:pPr>
      <w:r>
        <w:t xml:space="preserve">Autos </w:t>
      </w:r>
      <w:hyperlink w:anchor="AUTO_2024_29" w:history="1">
        <w:r w:rsidRPr="00601EEA">
          <w:rPr>
            <w:rStyle w:val="TextoNormalCaracter"/>
          </w:rPr>
          <w:t>29/2024</w:t>
        </w:r>
      </w:hyperlink>
      <w:r>
        <w:t xml:space="preserve">, f. 1; </w:t>
      </w:r>
      <w:hyperlink w:anchor="AUTO_2024_53" w:history="1">
        <w:r w:rsidRPr="00601EEA">
          <w:rPr>
            <w:rStyle w:val="TextoNormalCaracter"/>
          </w:rPr>
          <w:t>53/2024</w:t>
        </w:r>
      </w:hyperlink>
      <w:r>
        <w:t>, f. 4.</w:t>
      </w:r>
    </w:p>
    <w:p w14:paraId="04E4A54C" w14:textId="54BB7384" w:rsidR="00601EEA" w:rsidRDefault="00601EEA" w:rsidP="00601EEA">
      <w:pPr>
        <w:pStyle w:val="SangriaFrancesaArticulo"/>
      </w:pPr>
      <w:r w:rsidRPr="00601EEA">
        <w:rPr>
          <w:rStyle w:val="TextoNormalNegritaCaracter"/>
        </w:rPr>
        <w:t>Artículo 52.2.</w:t>
      </w:r>
      <w:r w:rsidRPr="00601EEA">
        <w:rPr>
          <w:rStyle w:val="TextoNormalCaracter"/>
        </w:rPr>
        <w:t>-</w:t>
      </w:r>
      <w:r>
        <w:t xml:space="preserve"> Autos </w:t>
      </w:r>
      <w:hyperlink w:anchor="AUTO_2024_4" w:history="1">
        <w:r w:rsidRPr="00601EEA">
          <w:rPr>
            <w:rStyle w:val="TextoNormalCaracter"/>
          </w:rPr>
          <w:t>4/2024</w:t>
        </w:r>
      </w:hyperlink>
      <w:r>
        <w:t xml:space="preserve">, f. 2; </w:t>
      </w:r>
      <w:hyperlink w:anchor="AUTO_2024_15" w:history="1">
        <w:r w:rsidRPr="00601EEA">
          <w:rPr>
            <w:rStyle w:val="TextoNormalCaracter"/>
          </w:rPr>
          <w:t>15/2024</w:t>
        </w:r>
      </w:hyperlink>
      <w:r>
        <w:t xml:space="preserve">, f. 2; </w:t>
      </w:r>
      <w:hyperlink w:anchor="AUTO_2024_53" w:history="1">
        <w:r w:rsidRPr="00601EEA">
          <w:rPr>
            <w:rStyle w:val="TextoNormalCaracter"/>
          </w:rPr>
          <w:t>53/2024</w:t>
        </w:r>
      </w:hyperlink>
      <w:r>
        <w:t>, f. 3.</w:t>
      </w:r>
    </w:p>
    <w:p w14:paraId="407C1F9F" w14:textId="08556952" w:rsidR="00601EEA" w:rsidRDefault="00601EEA" w:rsidP="00601EEA">
      <w:pPr>
        <w:pStyle w:val="SangriaFrancesaArticulo"/>
      </w:pPr>
      <w:r w:rsidRPr="00601EEA">
        <w:rPr>
          <w:rStyle w:val="TextoNormalNegritaCaracter"/>
        </w:rPr>
        <w:t>Artículo 53.</w:t>
      </w:r>
      <w:r w:rsidRPr="00601EEA">
        <w:rPr>
          <w:rStyle w:val="TextoNormalCaracter"/>
        </w:rPr>
        <w:t>-</w:t>
      </w:r>
      <w:r>
        <w:t xml:space="preserve"> Sentencia </w:t>
      </w:r>
      <w:hyperlink w:anchor="SENTENCIA_2024_53" w:history="1">
        <w:r w:rsidRPr="00601EEA">
          <w:rPr>
            <w:rStyle w:val="TextoNormalCaracter"/>
          </w:rPr>
          <w:t>53/2024</w:t>
        </w:r>
      </w:hyperlink>
      <w:r>
        <w:t>, f. 2.</w:t>
      </w:r>
    </w:p>
    <w:p w14:paraId="312BAF7C" w14:textId="634B88CD" w:rsidR="00601EEA" w:rsidRDefault="00601EEA" w:rsidP="00601EEA">
      <w:pPr>
        <w:pStyle w:val="SangriaFrancesaArticulo"/>
      </w:pPr>
      <w:r w:rsidRPr="00601EEA">
        <w:rPr>
          <w:rStyle w:val="TextoNormalNegritaCaracter"/>
        </w:rPr>
        <w:t>Artículo 53 a).</w:t>
      </w:r>
      <w:r w:rsidRPr="00601EEA">
        <w:rPr>
          <w:rStyle w:val="TextoNormalCaracter"/>
        </w:rPr>
        <w:t>-</w:t>
      </w:r>
      <w:r>
        <w:t xml:space="preserve"> Sentencias </w:t>
      </w:r>
      <w:hyperlink w:anchor="SENTENCIA_2024_35" w:history="1">
        <w:r w:rsidRPr="00601EEA">
          <w:rPr>
            <w:rStyle w:val="TextoNormalCaracter"/>
          </w:rPr>
          <w:t>35/2024</w:t>
        </w:r>
      </w:hyperlink>
      <w:r>
        <w:t xml:space="preserve">, f. 3; </w:t>
      </w:r>
      <w:hyperlink w:anchor="SENTENCIA_2024_39" w:history="1">
        <w:r w:rsidRPr="00601EEA">
          <w:rPr>
            <w:rStyle w:val="TextoNormalCaracter"/>
          </w:rPr>
          <w:t>39/2024</w:t>
        </w:r>
      </w:hyperlink>
      <w:r>
        <w:t xml:space="preserve">, f. 5; </w:t>
      </w:r>
      <w:hyperlink w:anchor="SENTENCIA_2024_49" w:history="1">
        <w:r w:rsidRPr="00601EEA">
          <w:rPr>
            <w:rStyle w:val="TextoNormalCaracter"/>
          </w:rPr>
          <w:t>49/2024</w:t>
        </w:r>
      </w:hyperlink>
      <w:r>
        <w:t xml:space="preserve">, f. 3; </w:t>
      </w:r>
      <w:hyperlink w:anchor="SENTENCIA_2024_70" w:history="1">
        <w:r w:rsidRPr="00601EEA">
          <w:rPr>
            <w:rStyle w:val="TextoNormalCaracter"/>
          </w:rPr>
          <w:t>70/2024</w:t>
        </w:r>
      </w:hyperlink>
      <w:r>
        <w:t>, f. 5.</w:t>
      </w:r>
    </w:p>
    <w:p w14:paraId="4F7F2007" w14:textId="37F00501" w:rsidR="00601EEA" w:rsidRDefault="00601EEA" w:rsidP="00601EEA">
      <w:pPr>
        <w:pStyle w:val="SangriaFrancesaArticulo"/>
      </w:pPr>
      <w:r w:rsidRPr="00601EEA">
        <w:rPr>
          <w:rStyle w:val="TextoNormalNegritaCaracter"/>
        </w:rPr>
        <w:t>Artículo 54.</w:t>
      </w:r>
      <w:r w:rsidRPr="00601EEA">
        <w:rPr>
          <w:rStyle w:val="TextoNormalCaracter"/>
        </w:rPr>
        <w:t>-</w:t>
      </w:r>
      <w:r>
        <w:t xml:space="preserve"> Sentencia </w:t>
      </w:r>
      <w:hyperlink w:anchor="SENTENCIA_2024_35" w:history="1">
        <w:r w:rsidRPr="00601EEA">
          <w:rPr>
            <w:rStyle w:val="TextoNormalCaracter"/>
          </w:rPr>
          <w:t>35/2024</w:t>
        </w:r>
      </w:hyperlink>
      <w:r>
        <w:t>, f. 3.</w:t>
      </w:r>
    </w:p>
    <w:p w14:paraId="55D62F2E" w14:textId="21F15346" w:rsidR="00601EEA" w:rsidRDefault="00601EEA" w:rsidP="00601EEA">
      <w:pPr>
        <w:pStyle w:val="SangriaFrancesaArticulo"/>
      </w:pPr>
      <w:r w:rsidRPr="00601EEA">
        <w:rPr>
          <w:rStyle w:val="TextoNormalNegritaCaracter"/>
        </w:rPr>
        <w:t>Artículo 55.</w:t>
      </w:r>
      <w:r w:rsidRPr="00601EEA">
        <w:rPr>
          <w:rStyle w:val="TextoNormalCaracter"/>
        </w:rPr>
        <w:t>-</w:t>
      </w:r>
      <w:r>
        <w:t xml:space="preserve"> Sentencia </w:t>
      </w:r>
      <w:hyperlink w:anchor="SENTENCIA_2024_21" w:history="1">
        <w:r w:rsidRPr="00601EEA">
          <w:rPr>
            <w:rStyle w:val="TextoNormalCaracter"/>
          </w:rPr>
          <w:t>21/2024</w:t>
        </w:r>
      </w:hyperlink>
      <w:r>
        <w:t>, f. 4.</w:t>
      </w:r>
    </w:p>
    <w:p w14:paraId="01AC2D7A" w14:textId="158E25B5" w:rsidR="00601EEA" w:rsidRDefault="00601EEA" w:rsidP="00601EEA">
      <w:pPr>
        <w:pStyle w:val="SangriaFrancesaArticulo"/>
      </w:pPr>
      <w:r w:rsidRPr="00601EEA">
        <w:rPr>
          <w:rStyle w:val="TextoNormalNegritaCaracter"/>
        </w:rPr>
        <w:t>Artículo 55.1.</w:t>
      </w:r>
      <w:r w:rsidRPr="00601EEA">
        <w:rPr>
          <w:rStyle w:val="TextoNormalCaracter"/>
        </w:rPr>
        <w:t>-</w:t>
      </w:r>
      <w:r>
        <w:t xml:space="preserve"> Sentencias </w:t>
      </w:r>
      <w:hyperlink w:anchor="SENTENCIA_2024_9" w:history="1">
        <w:r w:rsidRPr="00601EEA">
          <w:rPr>
            <w:rStyle w:val="TextoNormalCaracter"/>
          </w:rPr>
          <w:t>9/2024</w:t>
        </w:r>
      </w:hyperlink>
      <w:r>
        <w:t xml:space="preserve">, f. 3; </w:t>
      </w:r>
      <w:hyperlink w:anchor="SENTENCIA_2024_35" w:history="1">
        <w:r w:rsidRPr="00601EEA">
          <w:rPr>
            <w:rStyle w:val="TextoNormalCaracter"/>
          </w:rPr>
          <w:t>35/2024</w:t>
        </w:r>
      </w:hyperlink>
      <w:r>
        <w:t xml:space="preserve">, f. 3; </w:t>
      </w:r>
      <w:hyperlink w:anchor="SENTENCIA_2024_39" w:history="1">
        <w:r w:rsidRPr="00601EEA">
          <w:rPr>
            <w:rStyle w:val="TextoNormalCaracter"/>
          </w:rPr>
          <w:t>39/2024</w:t>
        </w:r>
      </w:hyperlink>
      <w:r>
        <w:t xml:space="preserve">, f. 5; </w:t>
      </w:r>
      <w:hyperlink w:anchor="SENTENCIA_2024_49" w:history="1">
        <w:r w:rsidRPr="00601EEA">
          <w:rPr>
            <w:rStyle w:val="TextoNormalCaracter"/>
          </w:rPr>
          <w:t>49/2024</w:t>
        </w:r>
      </w:hyperlink>
      <w:r>
        <w:t xml:space="preserve">, f. 3; </w:t>
      </w:r>
      <w:hyperlink w:anchor="SENTENCIA_2024_70" w:history="1">
        <w:r w:rsidRPr="00601EEA">
          <w:rPr>
            <w:rStyle w:val="TextoNormalCaracter"/>
          </w:rPr>
          <w:t>70/2024</w:t>
        </w:r>
      </w:hyperlink>
      <w:r>
        <w:t>, f. 5.</w:t>
      </w:r>
    </w:p>
    <w:p w14:paraId="62455AF6" w14:textId="102DCC08" w:rsidR="00601EEA" w:rsidRDefault="00601EEA" w:rsidP="00601EEA">
      <w:pPr>
        <w:pStyle w:val="SangriaFrancesaArticulo"/>
      </w:pPr>
      <w:r w:rsidRPr="00601EEA">
        <w:rPr>
          <w:rStyle w:val="TextoNormalNegritaCaracter"/>
        </w:rPr>
        <w:t>Artículo 55.1 a).</w:t>
      </w:r>
      <w:r w:rsidRPr="00601EEA">
        <w:rPr>
          <w:rStyle w:val="TextoNormalCaracter"/>
        </w:rPr>
        <w:t>-</w:t>
      </w:r>
      <w:r>
        <w:t xml:space="preserve"> Sentencia </w:t>
      </w:r>
      <w:hyperlink w:anchor="SENTENCIA_2024_9" w:history="1">
        <w:r w:rsidRPr="00601EEA">
          <w:rPr>
            <w:rStyle w:val="TextoNormalCaracter"/>
          </w:rPr>
          <w:t>9/2024</w:t>
        </w:r>
      </w:hyperlink>
      <w:r>
        <w:t>, VP II.</w:t>
      </w:r>
    </w:p>
    <w:p w14:paraId="109ED2B0" w14:textId="338B545C" w:rsidR="00601EEA" w:rsidRDefault="00601EEA" w:rsidP="00601EEA">
      <w:pPr>
        <w:pStyle w:val="SangriaFrancesaArticulo"/>
      </w:pPr>
      <w:r w:rsidRPr="00601EEA">
        <w:rPr>
          <w:rStyle w:val="TextoNormalNegritaCaracter"/>
        </w:rPr>
        <w:t>Artículo 55.2.</w:t>
      </w:r>
      <w:r w:rsidRPr="00601EEA">
        <w:rPr>
          <w:rStyle w:val="TextoNormalCaracter"/>
        </w:rPr>
        <w:t>-</w:t>
      </w:r>
      <w:r>
        <w:t xml:space="preserve"> Auto </w:t>
      </w:r>
      <w:hyperlink w:anchor="AUTO_2024_49" w:history="1">
        <w:r w:rsidRPr="00601EEA">
          <w:rPr>
            <w:rStyle w:val="TextoNormalCaracter"/>
          </w:rPr>
          <w:t>49/2024</w:t>
        </w:r>
      </w:hyperlink>
      <w:r>
        <w:t>, f. 5.</w:t>
      </w:r>
    </w:p>
    <w:p w14:paraId="4BDCE450" w14:textId="7BF5F851" w:rsidR="00601EEA" w:rsidRDefault="00601EEA" w:rsidP="00601EEA">
      <w:pPr>
        <w:pStyle w:val="SangriaFrancesaArticulo"/>
      </w:pPr>
      <w:r w:rsidRPr="00601EEA">
        <w:rPr>
          <w:rStyle w:val="TextoNormalNegritaCaracter"/>
        </w:rPr>
        <w:t>Artículo 56.</w:t>
      </w:r>
      <w:r w:rsidRPr="00601EEA">
        <w:rPr>
          <w:rStyle w:val="TextoNormalCaracter"/>
        </w:rPr>
        <w:t>-</w:t>
      </w:r>
      <w:r>
        <w:t xml:space="preserve"> Autos </w:t>
      </w:r>
      <w:hyperlink w:anchor="AUTO_2024_4" w:history="1">
        <w:r w:rsidRPr="00601EEA">
          <w:rPr>
            <w:rStyle w:val="TextoNormalCaracter"/>
          </w:rPr>
          <w:t>4/2024</w:t>
        </w:r>
      </w:hyperlink>
      <w:r>
        <w:t xml:space="preserve">, f. 2; </w:t>
      </w:r>
      <w:hyperlink w:anchor="AUTO_2024_15" w:history="1">
        <w:r w:rsidRPr="00601EEA">
          <w:rPr>
            <w:rStyle w:val="TextoNormalCaracter"/>
          </w:rPr>
          <w:t>15/2024</w:t>
        </w:r>
      </w:hyperlink>
      <w:r>
        <w:t xml:space="preserve">, ff. 3, 5; </w:t>
      </w:r>
      <w:hyperlink w:anchor="AUTO_2024_27" w:history="1">
        <w:r w:rsidRPr="00601EEA">
          <w:rPr>
            <w:rStyle w:val="TextoNormalCaracter"/>
          </w:rPr>
          <w:t>27/2024</w:t>
        </w:r>
      </w:hyperlink>
      <w:r>
        <w:t xml:space="preserve">, f. 2; </w:t>
      </w:r>
      <w:hyperlink w:anchor="AUTO_2024_48" w:history="1">
        <w:r w:rsidRPr="00601EEA">
          <w:rPr>
            <w:rStyle w:val="TextoNormalCaracter"/>
          </w:rPr>
          <w:t>48/2024</w:t>
        </w:r>
      </w:hyperlink>
      <w:r>
        <w:t xml:space="preserve">, f. único; </w:t>
      </w:r>
      <w:hyperlink w:anchor="AUTO_2024_53" w:history="1">
        <w:r w:rsidRPr="00601EEA">
          <w:rPr>
            <w:rStyle w:val="TextoNormalCaracter"/>
          </w:rPr>
          <w:t>53/2024</w:t>
        </w:r>
      </w:hyperlink>
      <w:r>
        <w:t xml:space="preserve">, ff. 1 a 3; </w:t>
      </w:r>
      <w:hyperlink w:anchor="AUTO_2024_55" w:history="1">
        <w:r w:rsidRPr="00601EEA">
          <w:rPr>
            <w:rStyle w:val="TextoNormalCaracter"/>
          </w:rPr>
          <w:t>55/2024</w:t>
        </w:r>
      </w:hyperlink>
      <w:r>
        <w:t>, f. 1.</w:t>
      </w:r>
    </w:p>
    <w:p w14:paraId="2A3546DF" w14:textId="66A910C4" w:rsidR="00601EEA" w:rsidRDefault="00601EEA" w:rsidP="00601EEA">
      <w:pPr>
        <w:pStyle w:val="SangriaFrancesaArticulo"/>
      </w:pPr>
      <w:r w:rsidRPr="00601EEA">
        <w:rPr>
          <w:rStyle w:val="TextoNormalNegritaCaracter"/>
        </w:rPr>
        <w:t>Artículo 56.1.</w:t>
      </w:r>
      <w:r w:rsidRPr="00601EEA">
        <w:rPr>
          <w:rStyle w:val="TextoNormalCaracter"/>
        </w:rPr>
        <w:t>-</w:t>
      </w:r>
      <w:r>
        <w:t xml:space="preserve"> Autos </w:t>
      </w:r>
      <w:hyperlink w:anchor="AUTO_2024_15" w:history="1">
        <w:r w:rsidRPr="00601EEA">
          <w:rPr>
            <w:rStyle w:val="TextoNormalCaracter"/>
          </w:rPr>
          <w:t>15/2024</w:t>
        </w:r>
      </w:hyperlink>
      <w:r>
        <w:t xml:space="preserve">, f. 2; </w:t>
      </w:r>
      <w:hyperlink w:anchor="AUTO_2024_19" w:history="1">
        <w:r w:rsidRPr="00601EEA">
          <w:rPr>
            <w:rStyle w:val="TextoNormalCaracter"/>
          </w:rPr>
          <w:t>19/2024</w:t>
        </w:r>
      </w:hyperlink>
      <w:r>
        <w:t xml:space="preserve">, f. 2; </w:t>
      </w:r>
      <w:hyperlink w:anchor="AUTO_2024_40" w:history="1">
        <w:r w:rsidRPr="00601EEA">
          <w:rPr>
            <w:rStyle w:val="TextoNormalCaracter"/>
          </w:rPr>
          <w:t>40/2024</w:t>
        </w:r>
      </w:hyperlink>
      <w:r>
        <w:t xml:space="preserve">, f. 1; </w:t>
      </w:r>
      <w:hyperlink w:anchor="AUTO_2024_53" w:history="1">
        <w:r w:rsidRPr="00601EEA">
          <w:rPr>
            <w:rStyle w:val="TextoNormalCaracter"/>
          </w:rPr>
          <w:t>53/2024</w:t>
        </w:r>
      </w:hyperlink>
      <w:r>
        <w:t xml:space="preserve">, f. 3; </w:t>
      </w:r>
      <w:hyperlink w:anchor="AUTO_2024_54" w:history="1">
        <w:r w:rsidRPr="00601EEA">
          <w:rPr>
            <w:rStyle w:val="TextoNormalCaracter"/>
          </w:rPr>
          <w:t>54/2024</w:t>
        </w:r>
      </w:hyperlink>
      <w:r>
        <w:t>, f. 1.</w:t>
      </w:r>
    </w:p>
    <w:p w14:paraId="69DA7A6F" w14:textId="5207F1C9" w:rsidR="00601EEA" w:rsidRDefault="00601EEA" w:rsidP="00601EEA">
      <w:pPr>
        <w:pStyle w:val="SangriaFrancesaArticulo"/>
      </w:pPr>
      <w:r w:rsidRPr="00601EEA">
        <w:rPr>
          <w:rStyle w:val="TextoNormalNegritaCaracter"/>
        </w:rPr>
        <w:t>Artículo 56.2.</w:t>
      </w:r>
      <w:r w:rsidRPr="00601EEA">
        <w:rPr>
          <w:rStyle w:val="TextoNormalCaracter"/>
        </w:rPr>
        <w:t>-</w:t>
      </w:r>
      <w:r>
        <w:t xml:space="preserve"> Autos </w:t>
      </w:r>
      <w:hyperlink w:anchor="AUTO_2024_4" w:history="1">
        <w:r w:rsidRPr="00601EEA">
          <w:rPr>
            <w:rStyle w:val="TextoNormalCaracter"/>
          </w:rPr>
          <w:t>4/2024</w:t>
        </w:r>
      </w:hyperlink>
      <w:r>
        <w:t xml:space="preserve">, ff. 2, 3; </w:t>
      </w:r>
      <w:hyperlink w:anchor="AUTO_2024_15" w:history="1">
        <w:r w:rsidRPr="00601EEA">
          <w:rPr>
            <w:rStyle w:val="TextoNormalCaracter"/>
          </w:rPr>
          <w:t>15/2024</w:t>
        </w:r>
      </w:hyperlink>
      <w:r>
        <w:t xml:space="preserve">, f. 2; </w:t>
      </w:r>
      <w:hyperlink w:anchor="AUTO_2024_19" w:history="1">
        <w:r w:rsidRPr="00601EEA">
          <w:rPr>
            <w:rStyle w:val="TextoNormalCaracter"/>
          </w:rPr>
          <w:t>19/2024</w:t>
        </w:r>
      </w:hyperlink>
      <w:r>
        <w:t xml:space="preserve">, f. 2; </w:t>
      </w:r>
      <w:hyperlink w:anchor="AUTO_2024_27" w:history="1">
        <w:r w:rsidRPr="00601EEA">
          <w:rPr>
            <w:rStyle w:val="TextoNormalCaracter"/>
          </w:rPr>
          <w:t>27/2024</w:t>
        </w:r>
      </w:hyperlink>
      <w:r>
        <w:t xml:space="preserve">, f. 2; </w:t>
      </w:r>
      <w:hyperlink w:anchor="AUTO_2024_40" w:history="1">
        <w:r w:rsidRPr="00601EEA">
          <w:rPr>
            <w:rStyle w:val="TextoNormalCaracter"/>
          </w:rPr>
          <w:t>40/2024</w:t>
        </w:r>
      </w:hyperlink>
      <w:r>
        <w:t xml:space="preserve">, f. 1; </w:t>
      </w:r>
      <w:hyperlink w:anchor="AUTO_2024_48" w:history="1">
        <w:r w:rsidRPr="00601EEA">
          <w:rPr>
            <w:rStyle w:val="TextoNormalCaracter"/>
          </w:rPr>
          <w:t>48/2024</w:t>
        </w:r>
      </w:hyperlink>
      <w:r>
        <w:t xml:space="preserve">, f. único; </w:t>
      </w:r>
      <w:hyperlink w:anchor="AUTO_2024_53" w:history="1">
        <w:r w:rsidRPr="00601EEA">
          <w:rPr>
            <w:rStyle w:val="TextoNormalCaracter"/>
          </w:rPr>
          <w:t>53/2024</w:t>
        </w:r>
      </w:hyperlink>
      <w:r>
        <w:t xml:space="preserve">, ff. 2, 3; </w:t>
      </w:r>
      <w:hyperlink w:anchor="AUTO_2024_54" w:history="1">
        <w:r w:rsidRPr="00601EEA">
          <w:rPr>
            <w:rStyle w:val="TextoNormalCaracter"/>
          </w:rPr>
          <w:t>54/2024</w:t>
        </w:r>
      </w:hyperlink>
      <w:r>
        <w:t xml:space="preserve">, f. 1; </w:t>
      </w:r>
      <w:hyperlink w:anchor="AUTO_2024_55" w:history="1">
        <w:r w:rsidRPr="00601EEA">
          <w:rPr>
            <w:rStyle w:val="TextoNormalCaracter"/>
          </w:rPr>
          <w:t>55/2024</w:t>
        </w:r>
      </w:hyperlink>
      <w:r>
        <w:t>, f. 2.</w:t>
      </w:r>
    </w:p>
    <w:p w14:paraId="45E58ADF" w14:textId="36A6A7C9" w:rsidR="00601EEA" w:rsidRDefault="00601EEA" w:rsidP="00601EEA">
      <w:pPr>
        <w:pStyle w:val="SangriaFrancesaArticulo"/>
      </w:pPr>
      <w:r w:rsidRPr="00601EEA">
        <w:rPr>
          <w:rStyle w:val="TextoNormalNegritaCaracter"/>
        </w:rPr>
        <w:t>Artículo 56.3.</w:t>
      </w:r>
      <w:r w:rsidRPr="00601EEA">
        <w:rPr>
          <w:rStyle w:val="TextoNormalCaracter"/>
        </w:rPr>
        <w:t>-</w:t>
      </w:r>
      <w:r>
        <w:t xml:space="preserve"> Sentencia </w:t>
      </w:r>
      <w:hyperlink w:anchor="SENTENCIA_2024_62" w:history="1">
        <w:r w:rsidRPr="00601EEA">
          <w:rPr>
            <w:rStyle w:val="TextoNormalCaracter"/>
          </w:rPr>
          <w:t>62/2024</w:t>
        </w:r>
      </w:hyperlink>
      <w:r>
        <w:t>, f. 2.</w:t>
      </w:r>
    </w:p>
    <w:p w14:paraId="7F794868" w14:textId="43D2A01E" w:rsidR="00601EEA" w:rsidRDefault="00601EEA" w:rsidP="00601EEA">
      <w:pPr>
        <w:pStyle w:val="SangriaFrancesaArticulo"/>
      </w:pPr>
      <w:r w:rsidRPr="00601EEA">
        <w:rPr>
          <w:rStyle w:val="TextoNormalNegritaCaracter"/>
        </w:rPr>
        <w:t>Artículo 56.6.</w:t>
      </w:r>
      <w:r w:rsidRPr="00601EEA">
        <w:rPr>
          <w:rStyle w:val="TextoNormalCaracter"/>
        </w:rPr>
        <w:t>-</w:t>
      </w:r>
      <w:r>
        <w:t xml:space="preserve"> Sentencia </w:t>
      </w:r>
      <w:hyperlink w:anchor="SENTENCIA_2024_62" w:history="1">
        <w:r w:rsidRPr="00601EEA">
          <w:rPr>
            <w:rStyle w:val="TextoNormalCaracter"/>
          </w:rPr>
          <w:t>62/2024</w:t>
        </w:r>
      </w:hyperlink>
      <w:r>
        <w:t>, f. 2.</w:t>
      </w:r>
    </w:p>
    <w:p w14:paraId="5BA79B2E" w14:textId="04E2B99F" w:rsidR="00601EEA" w:rsidRDefault="00601EEA" w:rsidP="00601EEA">
      <w:pPr>
        <w:pStyle w:val="SangriaIzquierdaArticulo"/>
      </w:pPr>
      <w:r>
        <w:t xml:space="preserve">Auto </w:t>
      </w:r>
      <w:hyperlink w:anchor="AUTO_2024_24" w:history="1">
        <w:r w:rsidRPr="00601EEA">
          <w:rPr>
            <w:rStyle w:val="TextoNormalCaracter"/>
          </w:rPr>
          <w:t>24/2024</w:t>
        </w:r>
      </w:hyperlink>
      <w:r>
        <w:t>, f. 1.</w:t>
      </w:r>
    </w:p>
    <w:p w14:paraId="50E52C5E" w14:textId="03F353F0" w:rsidR="00601EEA" w:rsidRDefault="00601EEA" w:rsidP="00601EEA">
      <w:pPr>
        <w:pStyle w:val="SangriaFrancesaArticulo"/>
      </w:pPr>
      <w:r w:rsidRPr="00601EEA">
        <w:rPr>
          <w:rStyle w:val="TextoNormalNegritaCaracter"/>
        </w:rPr>
        <w:t>Artículo 57.</w:t>
      </w:r>
      <w:r w:rsidRPr="00601EEA">
        <w:rPr>
          <w:rStyle w:val="TextoNormalCaracter"/>
        </w:rPr>
        <w:t>-</w:t>
      </w:r>
      <w:r>
        <w:t xml:space="preserve"> Autos </w:t>
      </w:r>
      <w:hyperlink w:anchor="AUTO_2024_48" w:history="1">
        <w:r w:rsidRPr="00601EEA">
          <w:rPr>
            <w:rStyle w:val="TextoNormalCaracter"/>
          </w:rPr>
          <w:t>48/2024</w:t>
        </w:r>
      </w:hyperlink>
      <w:r>
        <w:t xml:space="preserve">, f. único; </w:t>
      </w:r>
      <w:hyperlink w:anchor="AUTO_2024_53" w:history="1">
        <w:r w:rsidRPr="00601EEA">
          <w:rPr>
            <w:rStyle w:val="TextoNormalCaracter"/>
          </w:rPr>
          <w:t>53/2024</w:t>
        </w:r>
      </w:hyperlink>
      <w:r>
        <w:t>, f. 4.</w:t>
      </w:r>
    </w:p>
    <w:p w14:paraId="175D24C1" w14:textId="60809D9C" w:rsidR="00601EEA" w:rsidRDefault="00601EEA" w:rsidP="00601EEA">
      <w:pPr>
        <w:pStyle w:val="SangriaFrancesaArticulo"/>
      </w:pPr>
      <w:r w:rsidRPr="00601EEA">
        <w:rPr>
          <w:rStyle w:val="TextoNormalNegritaCaracter"/>
        </w:rPr>
        <w:t>Artículo 59.1 c).</w:t>
      </w:r>
      <w:r w:rsidRPr="00601EEA">
        <w:rPr>
          <w:rStyle w:val="TextoNormalCaracter"/>
        </w:rPr>
        <w:t>-</w:t>
      </w:r>
      <w:r>
        <w:t xml:space="preserve"> Sentencia </w:t>
      </w:r>
      <w:hyperlink w:anchor="SENTENCIA_2024_15" w:history="1">
        <w:r w:rsidRPr="00601EEA">
          <w:rPr>
            <w:rStyle w:val="TextoNormalCaracter"/>
          </w:rPr>
          <w:t>15/2024</w:t>
        </w:r>
      </w:hyperlink>
      <w:r>
        <w:t>, f. 6, VP II.</w:t>
      </w:r>
    </w:p>
    <w:p w14:paraId="59256EED" w14:textId="169B0055" w:rsidR="00601EEA" w:rsidRDefault="00601EEA" w:rsidP="00601EEA">
      <w:pPr>
        <w:pStyle w:val="SangriaFrancesaArticulo"/>
      </w:pPr>
      <w:r w:rsidRPr="00601EEA">
        <w:rPr>
          <w:rStyle w:val="TextoNormalNegritaCaracter"/>
        </w:rPr>
        <w:t>Artículo 80.</w:t>
      </w:r>
      <w:r w:rsidRPr="00601EEA">
        <w:rPr>
          <w:rStyle w:val="TextoNormalCaracter"/>
        </w:rPr>
        <w:t>-</w:t>
      </w:r>
      <w:r>
        <w:t xml:space="preserve"> Sentencia </w:t>
      </w:r>
      <w:hyperlink w:anchor="SENTENCIA_2024_9" w:history="1">
        <w:r w:rsidRPr="00601EEA">
          <w:rPr>
            <w:rStyle w:val="TextoNormalCaracter"/>
          </w:rPr>
          <w:t>9/2024</w:t>
        </w:r>
      </w:hyperlink>
      <w:r>
        <w:t>, VP II.</w:t>
      </w:r>
    </w:p>
    <w:p w14:paraId="47251BA6" w14:textId="3E79D573" w:rsidR="00601EEA" w:rsidRDefault="00601EEA" w:rsidP="00601EEA">
      <w:pPr>
        <w:pStyle w:val="SangriaIzquierdaArticulo"/>
      </w:pPr>
      <w:r>
        <w:t xml:space="preserve">Autos </w:t>
      </w:r>
      <w:hyperlink w:anchor="AUTO_2024_2" w:history="1">
        <w:r w:rsidRPr="00601EEA">
          <w:rPr>
            <w:rStyle w:val="TextoNormalCaracter"/>
          </w:rPr>
          <w:t>2/2024</w:t>
        </w:r>
      </w:hyperlink>
      <w:r>
        <w:t xml:space="preserve">, f. único; </w:t>
      </w:r>
      <w:hyperlink w:anchor="AUTO_2024_3" w:history="1">
        <w:r w:rsidRPr="00601EEA">
          <w:rPr>
            <w:rStyle w:val="TextoNormalCaracter"/>
          </w:rPr>
          <w:t>3/2024</w:t>
        </w:r>
      </w:hyperlink>
      <w:r>
        <w:t xml:space="preserve">, f. único; </w:t>
      </w:r>
      <w:hyperlink w:anchor="AUTO_2024_6" w:history="1">
        <w:r w:rsidRPr="00601EEA">
          <w:rPr>
            <w:rStyle w:val="TextoNormalCaracter"/>
          </w:rPr>
          <w:t>6/2024</w:t>
        </w:r>
      </w:hyperlink>
      <w:r>
        <w:t xml:space="preserve">, f. único; </w:t>
      </w:r>
      <w:hyperlink w:anchor="AUTO_2024_7" w:history="1">
        <w:r w:rsidRPr="00601EEA">
          <w:rPr>
            <w:rStyle w:val="TextoNormalCaracter"/>
          </w:rPr>
          <w:t>7/2024</w:t>
        </w:r>
      </w:hyperlink>
      <w:r>
        <w:t xml:space="preserve">, f. único; </w:t>
      </w:r>
      <w:hyperlink w:anchor="AUTO_2024_10" w:history="1">
        <w:r w:rsidRPr="00601EEA">
          <w:rPr>
            <w:rStyle w:val="TextoNormalCaracter"/>
          </w:rPr>
          <w:t>10/2024</w:t>
        </w:r>
      </w:hyperlink>
      <w:r>
        <w:t xml:space="preserve">, f. único; </w:t>
      </w:r>
      <w:hyperlink w:anchor="AUTO_2024_11" w:history="1">
        <w:r w:rsidRPr="00601EEA">
          <w:rPr>
            <w:rStyle w:val="TextoNormalCaracter"/>
          </w:rPr>
          <w:t>11/2024</w:t>
        </w:r>
      </w:hyperlink>
      <w:r>
        <w:t xml:space="preserve">, f. único; </w:t>
      </w:r>
      <w:hyperlink w:anchor="AUTO_2024_12" w:history="1">
        <w:r w:rsidRPr="00601EEA">
          <w:rPr>
            <w:rStyle w:val="TextoNormalCaracter"/>
          </w:rPr>
          <w:t>12/2024</w:t>
        </w:r>
      </w:hyperlink>
      <w:r>
        <w:t xml:space="preserve">, f. único; </w:t>
      </w:r>
      <w:hyperlink w:anchor="AUTO_2024_14" w:history="1">
        <w:r w:rsidRPr="00601EEA">
          <w:rPr>
            <w:rStyle w:val="TextoNormalCaracter"/>
          </w:rPr>
          <w:t>14/2024</w:t>
        </w:r>
      </w:hyperlink>
      <w:r>
        <w:t xml:space="preserve">, f. único; </w:t>
      </w:r>
      <w:hyperlink w:anchor="AUTO_2024_16" w:history="1">
        <w:r w:rsidRPr="00601EEA">
          <w:rPr>
            <w:rStyle w:val="TextoNormalCaracter"/>
          </w:rPr>
          <w:t>16/2024</w:t>
        </w:r>
      </w:hyperlink>
      <w:r>
        <w:t xml:space="preserve">, f. único; </w:t>
      </w:r>
      <w:hyperlink w:anchor="AUTO_2024_23" w:history="1">
        <w:r w:rsidRPr="00601EEA">
          <w:rPr>
            <w:rStyle w:val="TextoNormalCaracter"/>
          </w:rPr>
          <w:t>23/2024</w:t>
        </w:r>
      </w:hyperlink>
      <w:r>
        <w:t xml:space="preserve">, f. único; </w:t>
      </w:r>
      <w:hyperlink w:anchor="AUTO_2024_25" w:history="1">
        <w:r w:rsidRPr="00601EEA">
          <w:rPr>
            <w:rStyle w:val="TextoNormalCaracter"/>
          </w:rPr>
          <w:t>25/2024</w:t>
        </w:r>
      </w:hyperlink>
      <w:r>
        <w:t xml:space="preserve">, f. único; </w:t>
      </w:r>
      <w:hyperlink w:anchor="AUTO_2024_28" w:history="1">
        <w:r w:rsidRPr="00601EEA">
          <w:rPr>
            <w:rStyle w:val="TextoNormalCaracter"/>
          </w:rPr>
          <w:t>28/2024</w:t>
        </w:r>
      </w:hyperlink>
      <w:r>
        <w:t xml:space="preserve">, f. único; </w:t>
      </w:r>
      <w:hyperlink w:anchor="AUTO_2024_29" w:history="1">
        <w:r w:rsidRPr="00601EEA">
          <w:rPr>
            <w:rStyle w:val="TextoNormalCaracter"/>
          </w:rPr>
          <w:t>29/2024</w:t>
        </w:r>
      </w:hyperlink>
      <w:r>
        <w:t xml:space="preserve">, f. 2; </w:t>
      </w:r>
      <w:hyperlink w:anchor="AUTO_2024_31" w:history="1">
        <w:r w:rsidRPr="00601EEA">
          <w:rPr>
            <w:rStyle w:val="TextoNormalCaracter"/>
          </w:rPr>
          <w:t>31/2024</w:t>
        </w:r>
      </w:hyperlink>
      <w:r>
        <w:t xml:space="preserve">, ff. 2, 3; </w:t>
      </w:r>
      <w:hyperlink w:anchor="AUTO_2024_32" w:history="1">
        <w:r w:rsidRPr="00601EEA">
          <w:rPr>
            <w:rStyle w:val="TextoNormalCaracter"/>
          </w:rPr>
          <w:t>32/2024</w:t>
        </w:r>
      </w:hyperlink>
      <w:r>
        <w:t xml:space="preserve">, f. 2; </w:t>
      </w:r>
      <w:hyperlink w:anchor="AUTO_2024_33" w:history="1">
        <w:r w:rsidRPr="00601EEA">
          <w:rPr>
            <w:rStyle w:val="TextoNormalCaracter"/>
          </w:rPr>
          <w:t>33/2024</w:t>
        </w:r>
      </w:hyperlink>
      <w:r>
        <w:t xml:space="preserve">, f. 2; </w:t>
      </w:r>
      <w:hyperlink w:anchor="AUTO_2024_35" w:history="1">
        <w:r w:rsidRPr="00601EEA">
          <w:rPr>
            <w:rStyle w:val="TextoNormalCaracter"/>
          </w:rPr>
          <w:t>35/2024</w:t>
        </w:r>
      </w:hyperlink>
      <w:r>
        <w:t xml:space="preserve">, f. único; </w:t>
      </w:r>
      <w:hyperlink w:anchor="AUTO_2024_38" w:history="1">
        <w:r w:rsidRPr="00601EEA">
          <w:rPr>
            <w:rStyle w:val="TextoNormalCaracter"/>
          </w:rPr>
          <w:t>38/2024</w:t>
        </w:r>
      </w:hyperlink>
      <w:r>
        <w:t xml:space="preserve">, f. único; </w:t>
      </w:r>
      <w:hyperlink w:anchor="AUTO_2024_39" w:history="1">
        <w:r w:rsidRPr="00601EEA">
          <w:rPr>
            <w:rStyle w:val="TextoNormalCaracter"/>
          </w:rPr>
          <w:t>39/2024</w:t>
        </w:r>
      </w:hyperlink>
      <w:r>
        <w:t xml:space="preserve">, f. único; </w:t>
      </w:r>
      <w:hyperlink w:anchor="AUTO_2024_43" w:history="1">
        <w:r w:rsidRPr="00601EEA">
          <w:rPr>
            <w:rStyle w:val="TextoNormalCaracter"/>
          </w:rPr>
          <w:t>43/2024</w:t>
        </w:r>
      </w:hyperlink>
      <w:r>
        <w:t xml:space="preserve">, f. único; </w:t>
      </w:r>
      <w:hyperlink w:anchor="AUTO_2024_44" w:history="1">
        <w:r w:rsidRPr="00601EEA">
          <w:rPr>
            <w:rStyle w:val="TextoNormalCaracter"/>
          </w:rPr>
          <w:t>44/2024</w:t>
        </w:r>
      </w:hyperlink>
      <w:r>
        <w:t xml:space="preserve">, f. único; </w:t>
      </w:r>
      <w:hyperlink w:anchor="AUTO_2024_45" w:history="1">
        <w:r w:rsidRPr="00601EEA">
          <w:rPr>
            <w:rStyle w:val="TextoNormalCaracter"/>
          </w:rPr>
          <w:t>45/2024</w:t>
        </w:r>
      </w:hyperlink>
      <w:r>
        <w:t xml:space="preserve">, f. único; </w:t>
      </w:r>
      <w:hyperlink w:anchor="AUTO_2024_46" w:history="1">
        <w:r w:rsidRPr="00601EEA">
          <w:rPr>
            <w:rStyle w:val="TextoNormalCaracter"/>
          </w:rPr>
          <w:t>46/2024</w:t>
        </w:r>
      </w:hyperlink>
      <w:r>
        <w:t xml:space="preserve">, f. único; </w:t>
      </w:r>
      <w:hyperlink w:anchor="AUTO_2024_49" w:history="1">
        <w:r w:rsidRPr="00601EEA">
          <w:rPr>
            <w:rStyle w:val="TextoNormalCaracter"/>
          </w:rPr>
          <w:t>49/2024</w:t>
        </w:r>
      </w:hyperlink>
      <w:r>
        <w:t xml:space="preserve">, f. 1; </w:t>
      </w:r>
      <w:hyperlink w:anchor="AUTO_2024_50" w:history="1">
        <w:r w:rsidRPr="00601EEA">
          <w:rPr>
            <w:rStyle w:val="TextoNormalCaracter"/>
          </w:rPr>
          <w:t>50/2024</w:t>
        </w:r>
      </w:hyperlink>
      <w:r>
        <w:t xml:space="preserve">, f. único; </w:t>
      </w:r>
      <w:hyperlink w:anchor="AUTO_2024_56" w:history="1">
        <w:r w:rsidRPr="00601EEA">
          <w:rPr>
            <w:rStyle w:val="TextoNormalCaracter"/>
          </w:rPr>
          <w:t>56/2024</w:t>
        </w:r>
      </w:hyperlink>
      <w:r>
        <w:t xml:space="preserve">, f. único; </w:t>
      </w:r>
      <w:hyperlink w:anchor="AUTO_2024_59" w:history="1">
        <w:r w:rsidRPr="00601EEA">
          <w:rPr>
            <w:rStyle w:val="TextoNormalCaracter"/>
          </w:rPr>
          <w:t>59/2024</w:t>
        </w:r>
      </w:hyperlink>
      <w:r>
        <w:t>, f. único.</w:t>
      </w:r>
    </w:p>
    <w:p w14:paraId="22DD0A7F" w14:textId="304366BE" w:rsidR="00601EEA" w:rsidRDefault="00601EEA" w:rsidP="00601EEA">
      <w:pPr>
        <w:pStyle w:val="SangriaFrancesaArticulo"/>
      </w:pPr>
      <w:r w:rsidRPr="00601EEA">
        <w:rPr>
          <w:rStyle w:val="TextoNormalNegritaCaracter"/>
        </w:rPr>
        <w:lastRenderedPageBreak/>
        <w:t>Artículo 80.1.</w:t>
      </w:r>
      <w:r w:rsidRPr="00601EEA">
        <w:rPr>
          <w:rStyle w:val="TextoNormalCaracter"/>
        </w:rPr>
        <w:t>-</w:t>
      </w:r>
      <w:r>
        <w:t xml:space="preserve"> Auto </w:t>
      </w:r>
      <w:hyperlink w:anchor="AUTO_2024_17" w:history="1">
        <w:r w:rsidRPr="00601EEA">
          <w:rPr>
            <w:rStyle w:val="TextoNormalCaracter"/>
          </w:rPr>
          <w:t>17/2024</w:t>
        </w:r>
      </w:hyperlink>
      <w:r>
        <w:t>, f. 3.</w:t>
      </w:r>
    </w:p>
    <w:p w14:paraId="58922444" w14:textId="5E7485BE" w:rsidR="00601EEA" w:rsidRDefault="00601EEA" w:rsidP="00601EEA">
      <w:pPr>
        <w:pStyle w:val="SangriaFrancesaArticulo"/>
      </w:pPr>
      <w:r w:rsidRPr="00601EEA">
        <w:rPr>
          <w:rStyle w:val="TextoNormalNegritaCaracter"/>
        </w:rPr>
        <w:t>Artículo 81.</w:t>
      </w:r>
      <w:r w:rsidRPr="00601EEA">
        <w:rPr>
          <w:rStyle w:val="TextoNormalCaracter"/>
        </w:rPr>
        <w:t>-</w:t>
      </w:r>
      <w:r>
        <w:t xml:space="preserve"> Auto </w:t>
      </w:r>
      <w:hyperlink w:anchor="AUTO_2024_39" w:history="1">
        <w:r w:rsidRPr="00601EEA">
          <w:rPr>
            <w:rStyle w:val="TextoNormalCaracter"/>
          </w:rPr>
          <w:t>39/2024</w:t>
        </w:r>
      </w:hyperlink>
      <w:r>
        <w:t>, f. único.</w:t>
      </w:r>
    </w:p>
    <w:p w14:paraId="0D878FB7" w14:textId="0F459B52" w:rsidR="00601EEA" w:rsidRDefault="00601EEA" w:rsidP="00601EEA">
      <w:pPr>
        <w:pStyle w:val="SangriaFrancesaArticulo"/>
      </w:pPr>
      <w:r w:rsidRPr="00601EEA">
        <w:rPr>
          <w:rStyle w:val="TextoNormalNegritaCaracter"/>
        </w:rPr>
        <w:t>Artículo 84.</w:t>
      </w:r>
      <w:r w:rsidRPr="00601EEA">
        <w:rPr>
          <w:rStyle w:val="TextoNormalCaracter"/>
        </w:rPr>
        <w:t>-</w:t>
      </w:r>
      <w:r>
        <w:t xml:space="preserve"> Sentencia </w:t>
      </w:r>
      <w:hyperlink w:anchor="SENTENCIA_2024_90" w:history="1">
        <w:r w:rsidRPr="00601EEA">
          <w:rPr>
            <w:rStyle w:val="TextoNormalCaracter"/>
          </w:rPr>
          <w:t>90/2024</w:t>
        </w:r>
      </w:hyperlink>
      <w:r>
        <w:t>, f. 2.</w:t>
      </w:r>
    </w:p>
    <w:p w14:paraId="2462A7D3" w14:textId="23A4C419" w:rsidR="00601EEA" w:rsidRDefault="00601EEA" w:rsidP="00601EEA">
      <w:pPr>
        <w:pStyle w:val="SangriaFrancesaArticulo"/>
      </w:pPr>
      <w:r w:rsidRPr="00601EEA">
        <w:rPr>
          <w:rStyle w:val="TextoNormalNegritaCaracter"/>
        </w:rPr>
        <w:t>Artículo 85.1.</w:t>
      </w:r>
      <w:r w:rsidRPr="00601EEA">
        <w:rPr>
          <w:rStyle w:val="TextoNormalCaracter"/>
        </w:rPr>
        <w:t>-</w:t>
      </w:r>
      <w:r>
        <w:t xml:space="preserve"> Sentencia </w:t>
      </w:r>
      <w:hyperlink w:anchor="SENTENCIA_2024_75" w:history="1">
        <w:r w:rsidRPr="00601EEA">
          <w:rPr>
            <w:rStyle w:val="TextoNormalCaracter"/>
          </w:rPr>
          <w:t>75/2024</w:t>
        </w:r>
      </w:hyperlink>
      <w:r>
        <w:t>, VP I.</w:t>
      </w:r>
    </w:p>
    <w:p w14:paraId="7A5B3E7D" w14:textId="2B23FB6C" w:rsidR="00601EEA" w:rsidRDefault="00601EEA" w:rsidP="00601EEA">
      <w:pPr>
        <w:pStyle w:val="SangriaFrancesaArticulo"/>
      </w:pPr>
      <w:r w:rsidRPr="00601EEA">
        <w:rPr>
          <w:rStyle w:val="TextoNormalNegritaCaracter"/>
        </w:rPr>
        <w:t>Artículo 86.1.</w:t>
      </w:r>
      <w:r w:rsidRPr="00601EEA">
        <w:rPr>
          <w:rStyle w:val="TextoNormalCaracter"/>
        </w:rPr>
        <w:t>-</w:t>
      </w:r>
      <w:r>
        <w:t xml:space="preserve"> Sentencias </w:t>
      </w:r>
      <w:hyperlink w:anchor="SENTENCIA_2024_31" w:history="1">
        <w:r w:rsidRPr="00601EEA">
          <w:rPr>
            <w:rStyle w:val="TextoNormalCaracter"/>
          </w:rPr>
          <w:t>31/2024</w:t>
        </w:r>
      </w:hyperlink>
      <w:r>
        <w:t xml:space="preserve">, f. único; </w:t>
      </w:r>
      <w:hyperlink w:anchor="SENTENCIA_2024_45" w:history="1">
        <w:r w:rsidRPr="00601EEA">
          <w:rPr>
            <w:rStyle w:val="TextoNormalCaracter"/>
          </w:rPr>
          <w:t>45/2024</w:t>
        </w:r>
      </w:hyperlink>
      <w:r>
        <w:t xml:space="preserve">, f. 2; </w:t>
      </w:r>
      <w:hyperlink w:anchor="SENTENCIA_2024_62" w:history="1">
        <w:r w:rsidRPr="00601EEA">
          <w:rPr>
            <w:rStyle w:val="TextoNormalCaracter"/>
          </w:rPr>
          <w:t>62/2024</w:t>
        </w:r>
      </w:hyperlink>
      <w:r>
        <w:t xml:space="preserve">, f. 2; </w:t>
      </w:r>
      <w:hyperlink w:anchor="SENTENCIA_2024_64" w:history="1">
        <w:r w:rsidRPr="00601EEA">
          <w:rPr>
            <w:rStyle w:val="TextoNormalCaracter"/>
          </w:rPr>
          <w:t>64/2024</w:t>
        </w:r>
      </w:hyperlink>
      <w:r>
        <w:t xml:space="preserve">, f. único; </w:t>
      </w:r>
      <w:hyperlink w:anchor="SENTENCIA_2024_73" w:history="1">
        <w:r w:rsidRPr="00601EEA">
          <w:rPr>
            <w:rStyle w:val="TextoNormalCaracter"/>
          </w:rPr>
          <w:t>73/2024</w:t>
        </w:r>
      </w:hyperlink>
      <w:r>
        <w:t>, f. 2.</w:t>
      </w:r>
    </w:p>
    <w:p w14:paraId="6378AA6C" w14:textId="32DC0EB6" w:rsidR="00601EEA" w:rsidRDefault="00601EEA" w:rsidP="00601EEA">
      <w:pPr>
        <w:pStyle w:val="SangriaIzquierdaArticulo"/>
      </w:pPr>
      <w:r>
        <w:t xml:space="preserve">Autos </w:t>
      </w:r>
      <w:hyperlink w:anchor="AUTO_2024_38" w:history="1">
        <w:r w:rsidRPr="00601EEA">
          <w:rPr>
            <w:rStyle w:val="TextoNormalCaracter"/>
          </w:rPr>
          <w:t>38/2024</w:t>
        </w:r>
      </w:hyperlink>
      <w:r>
        <w:t xml:space="preserve">, f. único; </w:t>
      </w:r>
      <w:hyperlink w:anchor="AUTO_2024_49" w:history="1">
        <w:r w:rsidRPr="00601EEA">
          <w:rPr>
            <w:rStyle w:val="TextoNormalCaracter"/>
          </w:rPr>
          <w:t>49/2024</w:t>
        </w:r>
      </w:hyperlink>
      <w:r>
        <w:t>, f. 1.</w:t>
      </w:r>
    </w:p>
    <w:p w14:paraId="527822D2" w14:textId="6DF645C2" w:rsidR="00601EEA" w:rsidRDefault="00601EEA" w:rsidP="00601EEA">
      <w:pPr>
        <w:pStyle w:val="SangriaFrancesaArticulo"/>
      </w:pPr>
      <w:r w:rsidRPr="00601EEA">
        <w:rPr>
          <w:rStyle w:val="TextoNormalNegritaCaracter"/>
        </w:rPr>
        <w:t>Artículo 86.3.</w:t>
      </w:r>
      <w:r w:rsidRPr="00601EEA">
        <w:rPr>
          <w:rStyle w:val="TextoNormalCaracter"/>
        </w:rPr>
        <w:t>-</w:t>
      </w:r>
      <w:r>
        <w:t xml:space="preserve"> Sentencias </w:t>
      </w:r>
      <w:hyperlink w:anchor="SENTENCIA_2024_4" w:history="1">
        <w:r w:rsidRPr="00601EEA">
          <w:rPr>
            <w:rStyle w:val="TextoNormalCaracter"/>
          </w:rPr>
          <w:t>4/2024</w:t>
        </w:r>
      </w:hyperlink>
      <w:r>
        <w:t xml:space="preserve">, f. 2; </w:t>
      </w:r>
      <w:hyperlink w:anchor="SENTENCIA_2024_5" w:history="1">
        <w:r w:rsidRPr="00601EEA">
          <w:rPr>
            <w:rStyle w:val="TextoNormalCaracter"/>
          </w:rPr>
          <w:t>5/2024</w:t>
        </w:r>
      </w:hyperlink>
      <w:r>
        <w:t xml:space="preserve">, f. 1; </w:t>
      </w:r>
      <w:hyperlink w:anchor="SENTENCIA_2024_6" w:history="1">
        <w:r w:rsidRPr="00601EEA">
          <w:rPr>
            <w:rStyle w:val="TextoNormalCaracter"/>
          </w:rPr>
          <w:t>6/2024</w:t>
        </w:r>
      </w:hyperlink>
      <w:r>
        <w:t xml:space="preserve">, f. 1; </w:t>
      </w:r>
      <w:hyperlink w:anchor="SENTENCIA_2024_13" w:history="1">
        <w:r w:rsidRPr="00601EEA">
          <w:rPr>
            <w:rStyle w:val="TextoNormalCaracter"/>
          </w:rPr>
          <w:t>13/2024</w:t>
        </w:r>
      </w:hyperlink>
      <w:r>
        <w:t xml:space="preserve">, f. 1; </w:t>
      </w:r>
      <w:hyperlink w:anchor="SENTENCIA_2024_14" w:history="1">
        <w:r w:rsidRPr="00601EEA">
          <w:rPr>
            <w:rStyle w:val="TextoNormalCaracter"/>
          </w:rPr>
          <w:t>14/2024</w:t>
        </w:r>
      </w:hyperlink>
      <w:r>
        <w:t xml:space="preserve">, f. 1; </w:t>
      </w:r>
      <w:hyperlink w:anchor="SENTENCIA_2024_24" w:history="1">
        <w:r w:rsidRPr="00601EEA">
          <w:rPr>
            <w:rStyle w:val="TextoNormalCaracter"/>
          </w:rPr>
          <w:t>24/2024</w:t>
        </w:r>
      </w:hyperlink>
      <w:r>
        <w:t xml:space="preserve">, f. 1; </w:t>
      </w:r>
      <w:hyperlink w:anchor="SENTENCIA_2024_26" w:history="1">
        <w:r w:rsidRPr="00601EEA">
          <w:rPr>
            <w:rStyle w:val="TextoNormalCaracter"/>
          </w:rPr>
          <w:t>26/2024</w:t>
        </w:r>
      </w:hyperlink>
      <w:r>
        <w:t xml:space="preserve">, f. 1; </w:t>
      </w:r>
      <w:hyperlink w:anchor="SENTENCIA_2024_28" w:history="1">
        <w:r w:rsidRPr="00601EEA">
          <w:rPr>
            <w:rStyle w:val="TextoNormalCaracter"/>
          </w:rPr>
          <w:t>28/2024</w:t>
        </w:r>
      </w:hyperlink>
      <w:r>
        <w:t xml:space="preserve">, f. 2; </w:t>
      </w:r>
      <w:hyperlink w:anchor="SENTENCIA_2024_40" w:history="1">
        <w:r w:rsidRPr="00601EEA">
          <w:rPr>
            <w:rStyle w:val="TextoNormalCaracter"/>
          </w:rPr>
          <w:t>40/2024</w:t>
        </w:r>
      </w:hyperlink>
      <w:r>
        <w:t xml:space="preserve">, f. 1; </w:t>
      </w:r>
      <w:hyperlink w:anchor="SENTENCIA_2024_41" w:history="1">
        <w:r w:rsidRPr="00601EEA">
          <w:rPr>
            <w:rStyle w:val="TextoNormalCaracter"/>
          </w:rPr>
          <w:t>41/2024</w:t>
        </w:r>
      </w:hyperlink>
      <w:r>
        <w:t xml:space="preserve">, f. 1; </w:t>
      </w:r>
      <w:hyperlink w:anchor="SENTENCIA_2024_53" w:history="1">
        <w:r w:rsidRPr="00601EEA">
          <w:rPr>
            <w:rStyle w:val="TextoNormalCaracter"/>
          </w:rPr>
          <w:t>53/2024</w:t>
        </w:r>
      </w:hyperlink>
      <w:r>
        <w:t xml:space="preserve">, f. 1; </w:t>
      </w:r>
      <w:hyperlink w:anchor="SENTENCIA_2024_56" w:history="1">
        <w:r w:rsidRPr="00601EEA">
          <w:rPr>
            <w:rStyle w:val="TextoNormalCaracter"/>
          </w:rPr>
          <w:t>56/2024</w:t>
        </w:r>
      </w:hyperlink>
      <w:r>
        <w:t xml:space="preserve">, f. 1; </w:t>
      </w:r>
      <w:hyperlink w:anchor="SENTENCIA_2024_58" w:history="1">
        <w:r w:rsidRPr="00601EEA">
          <w:rPr>
            <w:rStyle w:val="TextoNormalCaracter"/>
          </w:rPr>
          <w:t>58/2024</w:t>
        </w:r>
      </w:hyperlink>
      <w:r>
        <w:t xml:space="preserve">, f. 1; </w:t>
      </w:r>
      <w:hyperlink w:anchor="SENTENCIA_2024_59" w:history="1">
        <w:r w:rsidRPr="00601EEA">
          <w:rPr>
            <w:rStyle w:val="TextoNormalCaracter"/>
          </w:rPr>
          <w:t>59/2024</w:t>
        </w:r>
      </w:hyperlink>
      <w:r>
        <w:t xml:space="preserve">, f. 1; </w:t>
      </w:r>
      <w:hyperlink w:anchor="SENTENCIA_2024_60" w:history="1">
        <w:r w:rsidRPr="00601EEA">
          <w:rPr>
            <w:rStyle w:val="TextoNormalCaracter"/>
          </w:rPr>
          <w:t>60/2024</w:t>
        </w:r>
      </w:hyperlink>
      <w:r>
        <w:t xml:space="preserve">, f. 1; </w:t>
      </w:r>
      <w:hyperlink w:anchor="SENTENCIA_2024_71" w:history="1">
        <w:r w:rsidRPr="00601EEA">
          <w:rPr>
            <w:rStyle w:val="TextoNormalCaracter"/>
          </w:rPr>
          <w:t>71/2024</w:t>
        </w:r>
      </w:hyperlink>
      <w:r>
        <w:t xml:space="preserve">, f. único; </w:t>
      </w:r>
      <w:hyperlink w:anchor="SENTENCIA_2024_82" w:history="1">
        <w:r w:rsidRPr="00601EEA">
          <w:rPr>
            <w:rStyle w:val="TextoNormalCaracter"/>
          </w:rPr>
          <w:t>82/2024</w:t>
        </w:r>
      </w:hyperlink>
      <w:r>
        <w:t xml:space="preserve">, f. 1; </w:t>
      </w:r>
      <w:hyperlink w:anchor="SENTENCIA_2024_83" w:history="1">
        <w:r w:rsidRPr="00601EEA">
          <w:rPr>
            <w:rStyle w:val="TextoNormalCaracter"/>
          </w:rPr>
          <w:t>83/2024</w:t>
        </w:r>
      </w:hyperlink>
      <w:r>
        <w:t>, f. 1.</w:t>
      </w:r>
    </w:p>
    <w:p w14:paraId="3971787B" w14:textId="2892E4EE" w:rsidR="00601EEA" w:rsidRDefault="00601EEA" w:rsidP="00601EEA">
      <w:pPr>
        <w:pStyle w:val="SangriaIzquierdaArticulo"/>
      </w:pPr>
      <w:r>
        <w:t xml:space="preserve">Autos </w:t>
      </w:r>
      <w:hyperlink w:anchor="AUTO_2024_15" w:history="1">
        <w:r w:rsidRPr="00601EEA">
          <w:rPr>
            <w:rStyle w:val="TextoNormalCaracter"/>
          </w:rPr>
          <w:t>15/2024</w:t>
        </w:r>
      </w:hyperlink>
      <w:r>
        <w:t xml:space="preserve">, f. 1; </w:t>
      </w:r>
      <w:hyperlink w:anchor="AUTO_2024_53" w:history="1">
        <w:r w:rsidRPr="00601EEA">
          <w:rPr>
            <w:rStyle w:val="TextoNormalCaracter"/>
          </w:rPr>
          <w:t>53/2024</w:t>
        </w:r>
      </w:hyperlink>
      <w:r>
        <w:t>, f. 1.</w:t>
      </w:r>
    </w:p>
    <w:p w14:paraId="39EFFF14" w14:textId="2C6218B3" w:rsidR="00601EEA" w:rsidRDefault="00601EEA" w:rsidP="00601EEA">
      <w:pPr>
        <w:pStyle w:val="SangriaFrancesaArticulo"/>
      </w:pPr>
      <w:r w:rsidRPr="00601EEA">
        <w:rPr>
          <w:rStyle w:val="TextoNormalNegritaCaracter"/>
        </w:rPr>
        <w:t>Artículo 86.3</w:t>
      </w:r>
      <w:r>
        <w:t xml:space="preserve"> (redactado por la Ley Orgánica 6/2007, de 24 de mayo)</w:t>
      </w:r>
      <w:r w:rsidRPr="00601EEA">
        <w:rPr>
          <w:rStyle w:val="TextoNormalNegritaCaracter"/>
        </w:rPr>
        <w:t>.</w:t>
      </w:r>
      <w:r w:rsidRPr="00601EEA">
        <w:rPr>
          <w:rStyle w:val="TextoNormalCaracter"/>
        </w:rPr>
        <w:t>-</w:t>
      </w:r>
      <w:r>
        <w:t xml:space="preserve"> Sentencia </w:t>
      </w:r>
      <w:hyperlink w:anchor="SENTENCIA_2024_80" w:history="1">
        <w:r w:rsidRPr="00601EEA">
          <w:rPr>
            <w:rStyle w:val="TextoNormalCaracter"/>
          </w:rPr>
          <w:t>80/2024</w:t>
        </w:r>
      </w:hyperlink>
      <w:r>
        <w:t>, f. 3.</w:t>
      </w:r>
    </w:p>
    <w:p w14:paraId="4EDCCCD3" w14:textId="5FA137A8" w:rsidR="00601EEA" w:rsidRDefault="00601EEA" w:rsidP="00601EEA">
      <w:pPr>
        <w:pStyle w:val="SangriaFrancesaArticulo"/>
      </w:pPr>
      <w:r w:rsidRPr="00601EEA">
        <w:rPr>
          <w:rStyle w:val="TextoNormalNegritaCaracter"/>
        </w:rPr>
        <w:t>Artículo 90.2.</w:t>
      </w:r>
      <w:r w:rsidRPr="00601EEA">
        <w:rPr>
          <w:rStyle w:val="TextoNormalCaracter"/>
        </w:rPr>
        <w:t>-</w:t>
      </w:r>
      <w:r>
        <w:t xml:space="preserve"> Sentencias </w:t>
      </w:r>
      <w:hyperlink w:anchor="SENTENCIA_2024_7" w:history="1">
        <w:r w:rsidRPr="00601EEA">
          <w:rPr>
            <w:rStyle w:val="TextoNormalCaracter"/>
          </w:rPr>
          <w:t>7/2024</w:t>
        </w:r>
      </w:hyperlink>
      <w:r>
        <w:t xml:space="preserve">, VP; </w:t>
      </w:r>
      <w:hyperlink w:anchor="SENTENCIA_2024_8" w:history="1">
        <w:r w:rsidRPr="00601EEA">
          <w:rPr>
            <w:rStyle w:val="TextoNormalCaracter"/>
          </w:rPr>
          <w:t>8/2024</w:t>
        </w:r>
      </w:hyperlink>
      <w:r>
        <w:t xml:space="preserve">, VP I; </w:t>
      </w:r>
      <w:hyperlink w:anchor="SENTENCIA_2024_9" w:history="1">
        <w:r w:rsidRPr="00601EEA">
          <w:rPr>
            <w:rStyle w:val="TextoNormalCaracter"/>
          </w:rPr>
          <w:t>9/2024</w:t>
        </w:r>
      </w:hyperlink>
      <w:r>
        <w:t xml:space="preserve">, VP I, VP II; </w:t>
      </w:r>
      <w:hyperlink w:anchor="SENTENCIA_2024_10" w:history="1">
        <w:r w:rsidRPr="00601EEA">
          <w:rPr>
            <w:rStyle w:val="TextoNormalCaracter"/>
          </w:rPr>
          <w:t>10/2024</w:t>
        </w:r>
      </w:hyperlink>
      <w:r>
        <w:t xml:space="preserve">, VP I; </w:t>
      </w:r>
      <w:hyperlink w:anchor="SENTENCIA_2024_11" w:history="1">
        <w:r w:rsidRPr="00601EEA">
          <w:rPr>
            <w:rStyle w:val="TextoNormalCaracter"/>
          </w:rPr>
          <w:t>11/2024</w:t>
        </w:r>
      </w:hyperlink>
      <w:r>
        <w:t xml:space="preserve">, VP; </w:t>
      </w:r>
      <w:hyperlink w:anchor="SENTENCIA_2024_15" w:history="1">
        <w:r w:rsidRPr="00601EEA">
          <w:rPr>
            <w:rStyle w:val="TextoNormalCaracter"/>
          </w:rPr>
          <w:t>15/2024</w:t>
        </w:r>
      </w:hyperlink>
      <w:r>
        <w:t xml:space="preserve">, VP I, VP II; </w:t>
      </w:r>
      <w:hyperlink w:anchor="SENTENCIA_2024_18" w:history="1">
        <w:r w:rsidRPr="00601EEA">
          <w:rPr>
            <w:rStyle w:val="TextoNormalCaracter"/>
          </w:rPr>
          <w:t>18/2024</w:t>
        </w:r>
      </w:hyperlink>
      <w:r>
        <w:t xml:space="preserve">, VP; </w:t>
      </w:r>
      <w:hyperlink w:anchor="SENTENCIA_2024_20" w:history="1">
        <w:r w:rsidRPr="00601EEA">
          <w:rPr>
            <w:rStyle w:val="TextoNormalCaracter"/>
          </w:rPr>
          <w:t>20/2024</w:t>
        </w:r>
      </w:hyperlink>
      <w:r>
        <w:t xml:space="preserve">, VP; </w:t>
      </w:r>
      <w:hyperlink w:anchor="SENTENCIA_2024_26" w:history="1">
        <w:r w:rsidRPr="00601EEA">
          <w:rPr>
            <w:rStyle w:val="TextoNormalCaracter"/>
          </w:rPr>
          <w:t>26/2024</w:t>
        </w:r>
      </w:hyperlink>
      <w:r>
        <w:t xml:space="preserve">, VP I; </w:t>
      </w:r>
      <w:hyperlink w:anchor="SENTENCIA_2024_28" w:history="1">
        <w:r w:rsidRPr="00601EEA">
          <w:rPr>
            <w:rStyle w:val="TextoNormalCaracter"/>
          </w:rPr>
          <w:t>28/2024</w:t>
        </w:r>
      </w:hyperlink>
      <w:r>
        <w:t xml:space="preserve">, VP; </w:t>
      </w:r>
      <w:hyperlink w:anchor="SENTENCIA_2024_30" w:history="1">
        <w:r w:rsidRPr="00601EEA">
          <w:rPr>
            <w:rStyle w:val="TextoNormalCaracter"/>
          </w:rPr>
          <w:t>30/2024</w:t>
        </w:r>
      </w:hyperlink>
      <w:r>
        <w:t xml:space="preserve">, VP I, VP II; </w:t>
      </w:r>
      <w:hyperlink w:anchor="SENTENCIA_2024_35" w:history="1">
        <w:r w:rsidRPr="00601EEA">
          <w:rPr>
            <w:rStyle w:val="TextoNormalCaracter"/>
          </w:rPr>
          <w:t>35/2024</w:t>
        </w:r>
      </w:hyperlink>
      <w:r>
        <w:t xml:space="preserve">, VP; </w:t>
      </w:r>
      <w:hyperlink w:anchor="SENTENCIA_2024_40" w:history="1">
        <w:r w:rsidRPr="00601EEA">
          <w:rPr>
            <w:rStyle w:val="TextoNormalCaracter"/>
          </w:rPr>
          <w:t>40/2024</w:t>
        </w:r>
      </w:hyperlink>
      <w:r>
        <w:t xml:space="preserve">, VP; </w:t>
      </w:r>
      <w:hyperlink w:anchor="SENTENCIA_2024_44" w:history="1">
        <w:r w:rsidRPr="00601EEA">
          <w:rPr>
            <w:rStyle w:val="TextoNormalCaracter"/>
          </w:rPr>
          <w:t>44/2024</w:t>
        </w:r>
      </w:hyperlink>
      <w:r>
        <w:t xml:space="preserve">, VP I, VP II; </w:t>
      </w:r>
      <w:hyperlink w:anchor="SENTENCIA_2024_48" w:history="1">
        <w:r w:rsidRPr="00601EEA">
          <w:rPr>
            <w:rStyle w:val="TextoNormalCaracter"/>
          </w:rPr>
          <w:t>48/2024</w:t>
        </w:r>
      </w:hyperlink>
      <w:r>
        <w:t xml:space="preserve">, VP I, VP II; </w:t>
      </w:r>
      <w:hyperlink w:anchor="SENTENCIA_2024_61" w:history="1">
        <w:r w:rsidRPr="00601EEA">
          <w:rPr>
            <w:rStyle w:val="TextoNormalCaracter"/>
          </w:rPr>
          <w:t>61/2024</w:t>
        </w:r>
      </w:hyperlink>
      <w:r>
        <w:t xml:space="preserve">, VP; </w:t>
      </w:r>
      <w:hyperlink w:anchor="SENTENCIA_2024_67" w:history="1">
        <w:r w:rsidRPr="00601EEA">
          <w:rPr>
            <w:rStyle w:val="TextoNormalCaracter"/>
          </w:rPr>
          <w:t>67/2024</w:t>
        </w:r>
      </w:hyperlink>
      <w:r>
        <w:t xml:space="preserve">, VP; </w:t>
      </w:r>
      <w:hyperlink w:anchor="SENTENCIA_2024_68" w:history="1">
        <w:r w:rsidRPr="00601EEA">
          <w:rPr>
            <w:rStyle w:val="TextoNormalCaracter"/>
          </w:rPr>
          <w:t>68/2024</w:t>
        </w:r>
      </w:hyperlink>
      <w:r>
        <w:t xml:space="preserve">, VP I; </w:t>
      </w:r>
      <w:hyperlink w:anchor="SENTENCIA_2024_72" w:history="1">
        <w:r w:rsidRPr="00601EEA">
          <w:rPr>
            <w:rStyle w:val="TextoNormalCaracter"/>
          </w:rPr>
          <w:t>72/2024</w:t>
        </w:r>
      </w:hyperlink>
      <w:r>
        <w:t xml:space="preserve">, VP; </w:t>
      </w:r>
      <w:hyperlink w:anchor="SENTENCIA_2024_75" w:history="1">
        <w:r w:rsidRPr="00601EEA">
          <w:rPr>
            <w:rStyle w:val="TextoNormalCaracter"/>
          </w:rPr>
          <w:t>75/2024</w:t>
        </w:r>
      </w:hyperlink>
      <w:r>
        <w:t xml:space="preserve">, VP I, VP II, VP III; </w:t>
      </w:r>
      <w:hyperlink w:anchor="SENTENCIA_2024_76" w:history="1">
        <w:r w:rsidRPr="00601EEA">
          <w:rPr>
            <w:rStyle w:val="TextoNormalCaracter"/>
          </w:rPr>
          <w:t>76/2024</w:t>
        </w:r>
      </w:hyperlink>
      <w:r>
        <w:t xml:space="preserve">, VP; </w:t>
      </w:r>
      <w:hyperlink w:anchor="SENTENCIA_2024_87" w:history="1">
        <w:r w:rsidRPr="00601EEA">
          <w:rPr>
            <w:rStyle w:val="TextoNormalCaracter"/>
          </w:rPr>
          <w:t>87/2024</w:t>
        </w:r>
      </w:hyperlink>
      <w:r>
        <w:t xml:space="preserve">, VP II; </w:t>
      </w:r>
      <w:hyperlink w:anchor="SENTENCIA_2024_89" w:history="1">
        <w:r w:rsidRPr="00601EEA">
          <w:rPr>
            <w:rStyle w:val="TextoNormalCaracter"/>
          </w:rPr>
          <w:t>89/2024</w:t>
        </w:r>
      </w:hyperlink>
      <w:r>
        <w:t xml:space="preserve">, VP I, VP II; </w:t>
      </w:r>
      <w:hyperlink w:anchor="SENTENCIA_2024_92" w:history="1">
        <w:r w:rsidRPr="00601EEA">
          <w:rPr>
            <w:rStyle w:val="TextoNormalCaracter"/>
          </w:rPr>
          <w:t>92/2024</w:t>
        </w:r>
      </w:hyperlink>
      <w:r>
        <w:t xml:space="preserve">, VP I, VP III, VP IV; </w:t>
      </w:r>
      <w:hyperlink w:anchor="SENTENCIA_2024_93" w:history="1">
        <w:r w:rsidRPr="00601EEA">
          <w:rPr>
            <w:rStyle w:val="TextoNormalCaracter"/>
          </w:rPr>
          <w:t>93/2024</w:t>
        </w:r>
      </w:hyperlink>
      <w:r>
        <w:t>, VP I, VP II.</w:t>
      </w:r>
    </w:p>
    <w:p w14:paraId="6DF59A3A" w14:textId="3AAA02D0" w:rsidR="00601EEA" w:rsidRDefault="00601EEA" w:rsidP="00601EEA">
      <w:pPr>
        <w:pStyle w:val="SangriaIzquierdaArticulo"/>
      </w:pPr>
      <w:r>
        <w:t xml:space="preserve">Autos </w:t>
      </w:r>
      <w:hyperlink w:anchor="AUTO_2024_47" w:history="1">
        <w:r w:rsidRPr="00601EEA">
          <w:rPr>
            <w:rStyle w:val="TextoNormalCaracter"/>
          </w:rPr>
          <w:t>47/2024</w:t>
        </w:r>
      </w:hyperlink>
      <w:r>
        <w:t xml:space="preserve">, VP; </w:t>
      </w:r>
      <w:hyperlink w:anchor="AUTO_2024_52" w:history="1">
        <w:r w:rsidRPr="00601EEA">
          <w:rPr>
            <w:rStyle w:val="TextoNormalCaracter"/>
          </w:rPr>
          <w:t>52/2024</w:t>
        </w:r>
      </w:hyperlink>
      <w:r>
        <w:t xml:space="preserve">, VP; </w:t>
      </w:r>
      <w:hyperlink w:anchor="AUTO_2024_57" w:history="1">
        <w:r w:rsidRPr="00601EEA">
          <w:rPr>
            <w:rStyle w:val="TextoNormalCaracter"/>
          </w:rPr>
          <w:t>57/2024</w:t>
        </w:r>
      </w:hyperlink>
      <w:r>
        <w:t>, VP I.</w:t>
      </w:r>
    </w:p>
    <w:p w14:paraId="31199B78" w14:textId="67E167FB" w:rsidR="00601EEA" w:rsidRDefault="00601EEA" w:rsidP="00601EEA">
      <w:pPr>
        <w:pStyle w:val="SangriaFrancesaArticulo"/>
      </w:pPr>
      <w:r w:rsidRPr="00601EEA">
        <w:rPr>
          <w:rStyle w:val="TextoNormalNegritaCaracter"/>
        </w:rPr>
        <w:t>Artículo 96.1 b).</w:t>
      </w:r>
      <w:r w:rsidRPr="00601EEA">
        <w:rPr>
          <w:rStyle w:val="TextoNormalCaracter"/>
        </w:rPr>
        <w:t>-</w:t>
      </w:r>
      <w:r>
        <w:t xml:space="preserve"> Auto </w:t>
      </w:r>
      <w:hyperlink w:anchor="AUTO_2024_17" w:history="1">
        <w:r w:rsidRPr="00601EEA">
          <w:rPr>
            <w:rStyle w:val="TextoNormalCaracter"/>
          </w:rPr>
          <w:t>17/2024</w:t>
        </w:r>
      </w:hyperlink>
      <w:r>
        <w:t>, f. 3.</w:t>
      </w:r>
    </w:p>
    <w:p w14:paraId="13292B7C" w14:textId="36870EB2" w:rsidR="00601EEA" w:rsidRDefault="00601EEA" w:rsidP="00601EEA">
      <w:pPr>
        <w:pStyle w:val="SangriaFrancesaArticulo"/>
      </w:pPr>
      <w:r w:rsidRPr="00601EEA">
        <w:rPr>
          <w:rStyle w:val="TextoNormalNegritaCaracter"/>
        </w:rPr>
        <w:t>Artículo 96.2.</w:t>
      </w:r>
      <w:r w:rsidRPr="00601EEA">
        <w:rPr>
          <w:rStyle w:val="TextoNormalCaracter"/>
        </w:rPr>
        <w:t>-</w:t>
      </w:r>
      <w:r>
        <w:t xml:space="preserve"> Auto </w:t>
      </w:r>
      <w:hyperlink w:anchor="AUTO_2024_17" w:history="1">
        <w:r w:rsidRPr="00601EEA">
          <w:rPr>
            <w:rStyle w:val="TextoNormalCaracter"/>
          </w:rPr>
          <w:t>17/2024</w:t>
        </w:r>
      </w:hyperlink>
      <w:r>
        <w:t>, f. 3.</w:t>
      </w:r>
    </w:p>
    <w:p w14:paraId="09934682" w14:textId="4BEA1F54" w:rsidR="00601EEA" w:rsidRDefault="00601EEA" w:rsidP="00601EEA">
      <w:pPr>
        <w:pStyle w:val="SangriaFrancesaArticulo"/>
      </w:pPr>
      <w:r w:rsidRPr="00601EEA">
        <w:rPr>
          <w:rStyle w:val="TextoNormalNegritaCaracter"/>
        </w:rPr>
        <w:t>Artículo 97.1.</w:t>
      </w:r>
      <w:r w:rsidRPr="00601EEA">
        <w:rPr>
          <w:rStyle w:val="TextoNormalCaracter"/>
        </w:rPr>
        <w:t>-</w:t>
      </w:r>
      <w:r>
        <w:t xml:space="preserve"> Auto </w:t>
      </w:r>
      <w:hyperlink w:anchor="AUTO_2024_17" w:history="1">
        <w:r w:rsidRPr="00601EEA">
          <w:rPr>
            <w:rStyle w:val="TextoNormalCaracter"/>
          </w:rPr>
          <w:t>17/2024</w:t>
        </w:r>
      </w:hyperlink>
      <w:r>
        <w:t>, f. 3.</w:t>
      </w:r>
    </w:p>
    <w:p w14:paraId="48D14655" w14:textId="272D16E4" w:rsidR="00601EEA" w:rsidRDefault="00601EEA" w:rsidP="00601EEA">
      <w:pPr>
        <w:pStyle w:val="SangriaFrancesaArticulo"/>
      </w:pPr>
      <w:r w:rsidRPr="00601EEA">
        <w:rPr>
          <w:rStyle w:val="TextoNormalNegritaCaracter"/>
        </w:rPr>
        <w:t>Disposición adicional quinta, apartado 1.</w:t>
      </w:r>
      <w:r w:rsidRPr="00601EEA">
        <w:rPr>
          <w:rStyle w:val="TextoNormalCaracter"/>
        </w:rPr>
        <w:t>-</w:t>
      </w:r>
      <w:r>
        <w:t xml:space="preserve"> Auto </w:t>
      </w:r>
      <w:hyperlink w:anchor="AUTO_2024_58" w:history="1">
        <w:r w:rsidRPr="00601EEA">
          <w:rPr>
            <w:rStyle w:val="TextoNormalCaracter"/>
          </w:rPr>
          <w:t>58/2024</w:t>
        </w:r>
      </w:hyperlink>
      <w:r>
        <w:t>, f. 1.</w:t>
      </w:r>
    </w:p>
    <w:p w14:paraId="4DEA0486" w14:textId="25BC6DE9" w:rsidR="00601EEA" w:rsidRDefault="00601EEA" w:rsidP="00601EEA">
      <w:pPr>
        <w:pStyle w:val="SangriaFrancesaArticulo"/>
      </w:pPr>
    </w:p>
    <w:p w14:paraId="364784A9" w14:textId="77777777" w:rsidR="00601EEA" w:rsidRDefault="00601EEA" w:rsidP="00601EEA">
      <w:pPr>
        <w:pStyle w:val="TextoNormalNegritaCursivandice"/>
        <w:keepNext/>
      </w:pPr>
      <w:r>
        <w:t>Acuerdo del Tribunal Constitucional de 14 de julio de 1980. Fija la fecha en el que comenzará a ejercer sus competencias</w:t>
      </w:r>
    </w:p>
    <w:p w14:paraId="5B80A8F6" w14:textId="670B0549" w:rsidR="00601EEA" w:rsidRDefault="00601EEA" w:rsidP="00601EEA">
      <w:pPr>
        <w:pStyle w:val="SangriaFrancesaArticulo"/>
      </w:pPr>
      <w:r w:rsidRPr="00601EEA">
        <w:rPr>
          <w:rStyle w:val="TextoNormalNegritaCaracter"/>
        </w:rPr>
        <w:t>En general.</w:t>
      </w:r>
      <w:r w:rsidRPr="00601EEA">
        <w:rPr>
          <w:rStyle w:val="TextoNormalCaracter"/>
        </w:rPr>
        <w:t>-</w:t>
      </w:r>
      <w:r>
        <w:t xml:space="preserve"> Auto </w:t>
      </w:r>
      <w:hyperlink w:anchor="AUTO_2024_8" w:history="1">
        <w:r w:rsidRPr="00601EEA">
          <w:rPr>
            <w:rStyle w:val="TextoNormalCaracter"/>
          </w:rPr>
          <w:t>8/2024</w:t>
        </w:r>
      </w:hyperlink>
      <w:r>
        <w:t>, f. 2.</w:t>
      </w:r>
    </w:p>
    <w:p w14:paraId="0A875D9A" w14:textId="061E827D" w:rsidR="00601EEA" w:rsidRDefault="00601EEA" w:rsidP="00601EEA">
      <w:pPr>
        <w:pStyle w:val="SangriaFrancesaArticulo"/>
      </w:pPr>
    </w:p>
    <w:p w14:paraId="3C1D298A" w14:textId="77777777" w:rsidR="00601EEA" w:rsidRDefault="00601EEA" w:rsidP="00601EEA">
      <w:pPr>
        <w:pStyle w:val="TextoNormalNegritaCursivandice"/>
        <w:keepNext/>
      </w:pPr>
      <w:r>
        <w:t>Acuerdo de 13 de julio de 1981, del Pleno del Tribunal Constitucional sobre reparto de asuntos entre las salas</w:t>
      </w:r>
    </w:p>
    <w:p w14:paraId="4018C418" w14:textId="26FFF979" w:rsidR="00601EEA" w:rsidRDefault="00601EEA" w:rsidP="00601EEA">
      <w:pPr>
        <w:pStyle w:val="SangriaFrancesaArticulo"/>
      </w:pPr>
      <w:r w:rsidRPr="00601EEA">
        <w:rPr>
          <w:rStyle w:val="TextoNormalNegritaCaracter"/>
        </w:rPr>
        <w:t>En general.</w:t>
      </w:r>
      <w:r w:rsidRPr="00601EEA">
        <w:rPr>
          <w:rStyle w:val="TextoNormalCaracter"/>
        </w:rPr>
        <w:t>-</w:t>
      </w:r>
      <w:r>
        <w:t xml:space="preserve"> Auto </w:t>
      </w:r>
      <w:hyperlink w:anchor="AUTO_2024_8" w:history="1">
        <w:r w:rsidRPr="00601EEA">
          <w:rPr>
            <w:rStyle w:val="TextoNormalCaracter"/>
          </w:rPr>
          <w:t>8/2024</w:t>
        </w:r>
      </w:hyperlink>
      <w:r>
        <w:t>, f. 2.</w:t>
      </w:r>
    </w:p>
    <w:p w14:paraId="4354C9F4" w14:textId="26D47853" w:rsidR="00601EEA" w:rsidRDefault="00601EEA" w:rsidP="00601EEA">
      <w:pPr>
        <w:pStyle w:val="SangriaFrancesaArticulo"/>
      </w:pPr>
    </w:p>
    <w:p w14:paraId="74E35348" w14:textId="77777777" w:rsidR="00601EEA" w:rsidRDefault="00601EEA" w:rsidP="00601EEA">
      <w:pPr>
        <w:pStyle w:val="TextoNormalNegritaCursivandice"/>
        <w:keepNext/>
      </w:pPr>
      <w:r>
        <w:t>Acuerdo de 5 de julio de 1990, del Pleno del Tribunal Constitucional, por el que se aprueba el Reglamento de organización y personal del Tribunal Constitucional</w:t>
      </w:r>
    </w:p>
    <w:p w14:paraId="774357D3" w14:textId="2D301DD1" w:rsidR="00601EEA" w:rsidRDefault="00601EEA" w:rsidP="00601EEA">
      <w:pPr>
        <w:pStyle w:val="SangriaFrancesaArticulo"/>
      </w:pPr>
      <w:r w:rsidRPr="00601EEA">
        <w:rPr>
          <w:rStyle w:val="TextoNormalNegritaCaracter"/>
        </w:rPr>
        <w:t>En general.</w:t>
      </w:r>
      <w:r w:rsidRPr="00601EEA">
        <w:rPr>
          <w:rStyle w:val="TextoNormalCaracter"/>
        </w:rPr>
        <w:t>-</w:t>
      </w:r>
      <w:r>
        <w:t xml:space="preserve"> Auto </w:t>
      </w:r>
      <w:hyperlink w:anchor="AUTO_2024_17" w:history="1">
        <w:r w:rsidRPr="00601EEA">
          <w:rPr>
            <w:rStyle w:val="TextoNormalCaracter"/>
          </w:rPr>
          <w:t>17/2024</w:t>
        </w:r>
      </w:hyperlink>
      <w:r>
        <w:t>, f. 1.</w:t>
      </w:r>
    </w:p>
    <w:p w14:paraId="7D17EC41" w14:textId="6EC5091A" w:rsidR="00601EEA" w:rsidRDefault="00601EEA" w:rsidP="00601EEA">
      <w:pPr>
        <w:pStyle w:val="SangriaFrancesaArticulo"/>
      </w:pPr>
      <w:r w:rsidRPr="00601EEA">
        <w:rPr>
          <w:rStyle w:val="TextoNormalNegritaCaracter"/>
        </w:rPr>
        <w:t>Artículo 44.2.</w:t>
      </w:r>
      <w:r w:rsidRPr="00601EEA">
        <w:rPr>
          <w:rStyle w:val="TextoNormalCaracter"/>
        </w:rPr>
        <w:t>-</w:t>
      </w:r>
      <w:r>
        <w:t xml:space="preserve"> Autos </w:t>
      </w:r>
      <w:hyperlink w:anchor="AUTO_2024_8" w:history="1">
        <w:r w:rsidRPr="00601EEA">
          <w:rPr>
            <w:rStyle w:val="TextoNormalCaracter"/>
          </w:rPr>
          <w:t>8/2024</w:t>
        </w:r>
      </w:hyperlink>
      <w:r>
        <w:t xml:space="preserve">, f. 3; </w:t>
      </w:r>
      <w:hyperlink w:anchor="AUTO_2024_17" w:history="1">
        <w:r w:rsidRPr="00601EEA">
          <w:rPr>
            <w:rStyle w:val="TextoNormalCaracter"/>
          </w:rPr>
          <w:t>17/2024</w:t>
        </w:r>
      </w:hyperlink>
      <w:r>
        <w:t>, f. 3.</w:t>
      </w:r>
    </w:p>
    <w:p w14:paraId="27D6A245" w14:textId="701BFF24" w:rsidR="00601EEA" w:rsidRDefault="00601EEA" w:rsidP="00601EEA">
      <w:pPr>
        <w:pStyle w:val="SangriaFrancesaArticulo"/>
      </w:pPr>
    </w:p>
    <w:p w14:paraId="341733C1" w14:textId="77777777" w:rsidR="00601EEA" w:rsidRDefault="00601EEA" w:rsidP="00601EEA">
      <w:pPr>
        <w:pStyle w:val="TextoNormalNegritaCursivandice"/>
        <w:keepNext/>
      </w:pPr>
      <w:r>
        <w:t>Ley Orgánica 6/2007, de 24 de mayo, por la que se modifica la Ley Orgánica 2/1979, de 3 de octubre, del Tribunal Constitucional</w:t>
      </w:r>
    </w:p>
    <w:p w14:paraId="10C4F86C" w14:textId="4D17194A" w:rsidR="00601EEA" w:rsidRDefault="00601EEA" w:rsidP="00601EEA">
      <w:pPr>
        <w:pStyle w:val="SangriaFrancesaArticulo"/>
        <w:keepNext/>
      </w:pPr>
      <w:r w:rsidRPr="00601EEA">
        <w:rPr>
          <w:rStyle w:val="TextoNormalNegritaCaracter"/>
        </w:rPr>
        <w:t>En general.</w:t>
      </w:r>
      <w:r w:rsidRPr="00601EEA">
        <w:rPr>
          <w:rStyle w:val="TextoNormalCaracter"/>
        </w:rPr>
        <w:t>-</w:t>
      </w:r>
      <w:r>
        <w:t xml:space="preserve"> Sentencia </w:t>
      </w:r>
      <w:hyperlink w:anchor="SENTENCIA_2024_61" w:history="1">
        <w:r w:rsidRPr="00601EEA">
          <w:rPr>
            <w:rStyle w:val="TextoNormalCaracter"/>
          </w:rPr>
          <w:t>61/2024</w:t>
        </w:r>
      </w:hyperlink>
      <w:r>
        <w:t>, VP.</w:t>
      </w:r>
    </w:p>
    <w:p w14:paraId="1E9E7961" w14:textId="2EE44F55" w:rsidR="00601EEA" w:rsidRDefault="00601EEA" w:rsidP="00601EEA">
      <w:pPr>
        <w:pStyle w:val="SangriaIzquierdaArticulo"/>
      </w:pPr>
      <w:r>
        <w:t xml:space="preserve">Autos </w:t>
      </w:r>
      <w:hyperlink w:anchor="AUTO_2024_34" w:history="1">
        <w:r w:rsidRPr="00601EEA">
          <w:rPr>
            <w:rStyle w:val="TextoNormalCaracter"/>
          </w:rPr>
          <w:t>34/2024</w:t>
        </w:r>
      </w:hyperlink>
      <w:r>
        <w:t xml:space="preserve">, f. 3; </w:t>
      </w:r>
      <w:hyperlink w:anchor="AUTO_2024_47" w:history="1">
        <w:r w:rsidRPr="00601EEA">
          <w:rPr>
            <w:rStyle w:val="TextoNormalCaracter"/>
          </w:rPr>
          <w:t>47/2024</w:t>
        </w:r>
      </w:hyperlink>
      <w:r>
        <w:t xml:space="preserve">, VP; </w:t>
      </w:r>
      <w:hyperlink w:anchor="AUTO_2024_49" w:history="1">
        <w:r w:rsidRPr="00601EEA">
          <w:rPr>
            <w:rStyle w:val="TextoNormalCaracter"/>
          </w:rPr>
          <w:t>49/2024</w:t>
        </w:r>
      </w:hyperlink>
      <w:r>
        <w:t>, ff. 2, 5.</w:t>
      </w:r>
    </w:p>
    <w:p w14:paraId="3E59E1A0" w14:textId="193197EF" w:rsidR="00601EEA" w:rsidRDefault="00601EEA" w:rsidP="00601EEA">
      <w:pPr>
        <w:pStyle w:val="SangriaIzquierdaArticulo"/>
      </w:pPr>
    </w:p>
    <w:p w14:paraId="28E05FFA" w14:textId="77777777" w:rsidR="00601EEA" w:rsidRDefault="00601EEA" w:rsidP="00601EEA">
      <w:pPr>
        <w:pStyle w:val="TextoNormalNegritaCursivandice"/>
        <w:keepNext/>
      </w:pPr>
      <w:r>
        <w:lastRenderedPageBreak/>
        <w:t>Acuerdo de 23 de julio de 2015, del Pleno del Tribunal Constitucional, por el que se regula la exclusión de los datos de identidad personal en la publicación de las resoluciones jurisdiccionales</w:t>
      </w:r>
    </w:p>
    <w:p w14:paraId="0112C56D" w14:textId="66CA403F" w:rsidR="00601EEA" w:rsidRDefault="00601EEA" w:rsidP="00601EEA">
      <w:pPr>
        <w:pStyle w:val="SangriaFrancesaArticulo"/>
        <w:keepNext/>
      </w:pPr>
      <w:r w:rsidRPr="00601EEA">
        <w:rPr>
          <w:rStyle w:val="TextoNormalNegritaCaracter"/>
        </w:rPr>
        <w:t>En general.</w:t>
      </w:r>
      <w:r w:rsidRPr="00601EEA">
        <w:rPr>
          <w:rStyle w:val="TextoNormalCaracter"/>
        </w:rPr>
        <w:t>-</w:t>
      </w:r>
      <w:r>
        <w:t xml:space="preserve"> Sentencias </w:t>
      </w:r>
      <w:hyperlink w:anchor="SENTENCIA_2024_5" w:history="1">
        <w:r w:rsidRPr="00601EEA">
          <w:rPr>
            <w:rStyle w:val="TextoNormalCaracter"/>
          </w:rPr>
          <w:t>5/2024</w:t>
        </w:r>
      </w:hyperlink>
      <w:r>
        <w:t xml:space="preserve">, f. 1; </w:t>
      </w:r>
      <w:hyperlink w:anchor="SENTENCIA_2024_6" w:history="1">
        <w:r w:rsidRPr="00601EEA">
          <w:rPr>
            <w:rStyle w:val="TextoNormalCaracter"/>
          </w:rPr>
          <w:t>6/2024</w:t>
        </w:r>
      </w:hyperlink>
      <w:r>
        <w:t xml:space="preserve">, f. 1; </w:t>
      </w:r>
      <w:hyperlink w:anchor="SENTENCIA_2024_14" w:history="1">
        <w:r w:rsidRPr="00601EEA">
          <w:rPr>
            <w:rStyle w:val="TextoNormalCaracter"/>
          </w:rPr>
          <w:t>14/2024</w:t>
        </w:r>
      </w:hyperlink>
      <w:r>
        <w:t xml:space="preserve">, f. 1; </w:t>
      </w:r>
      <w:hyperlink w:anchor="SENTENCIA_2024_24" w:history="1">
        <w:r w:rsidRPr="00601EEA">
          <w:rPr>
            <w:rStyle w:val="TextoNormalCaracter"/>
          </w:rPr>
          <w:t>24/2024</w:t>
        </w:r>
      </w:hyperlink>
      <w:r>
        <w:t xml:space="preserve">, f. 1; </w:t>
      </w:r>
      <w:hyperlink w:anchor="SENTENCIA_2024_26" w:history="1">
        <w:r w:rsidRPr="00601EEA">
          <w:rPr>
            <w:rStyle w:val="TextoNormalCaracter"/>
          </w:rPr>
          <w:t>26/2024</w:t>
        </w:r>
      </w:hyperlink>
      <w:r>
        <w:t xml:space="preserve">, f. 1; </w:t>
      </w:r>
      <w:hyperlink w:anchor="SENTENCIA_2024_40" w:history="1">
        <w:r w:rsidRPr="00601EEA">
          <w:rPr>
            <w:rStyle w:val="TextoNormalCaracter"/>
          </w:rPr>
          <w:t>40/2024</w:t>
        </w:r>
      </w:hyperlink>
      <w:r>
        <w:t xml:space="preserve">, f. 1; </w:t>
      </w:r>
      <w:hyperlink w:anchor="SENTENCIA_2024_41" w:history="1">
        <w:r w:rsidRPr="00601EEA">
          <w:rPr>
            <w:rStyle w:val="TextoNormalCaracter"/>
          </w:rPr>
          <w:t>41/2024</w:t>
        </w:r>
      </w:hyperlink>
      <w:r>
        <w:t xml:space="preserve">, f. 1; </w:t>
      </w:r>
      <w:hyperlink w:anchor="SENTENCIA_2024_48" w:history="1">
        <w:r w:rsidRPr="00601EEA">
          <w:rPr>
            <w:rStyle w:val="TextoNormalCaracter"/>
          </w:rPr>
          <w:t>48/2024</w:t>
        </w:r>
      </w:hyperlink>
      <w:r>
        <w:t xml:space="preserve">, f. 2; </w:t>
      </w:r>
      <w:hyperlink w:anchor="SENTENCIA_2024_53" w:history="1">
        <w:r w:rsidRPr="00601EEA">
          <w:rPr>
            <w:rStyle w:val="TextoNormalCaracter"/>
          </w:rPr>
          <w:t>53/2024</w:t>
        </w:r>
      </w:hyperlink>
      <w:r>
        <w:t xml:space="preserve">, f. 1; </w:t>
      </w:r>
      <w:hyperlink w:anchor="SENTENCIA_2024_56" w:history="1">
        <w:r w:rsidRPr="00601EEA">
          <w:rPr>
            <w:rStyle w:val="TextoNormalCaracter"/>
          </w:rPr>
          <w:t>56/2024</w:t>
        </w:r>
      </w:hyperlink>
      <w:r>
        <w:t xml:space="preserve">, f. 1; </w:t>
      </w:r>
      <w:hyperlink w:anchor="SENTENCIA_2024_58" w:history="1">
        <w:r w:rsidRPr="00601EEA">
          <w:rPr>
            <w:rStyle w:val="TextoNormalCaracter"/>
          </w:rPr>
          <w:t>58/2024</w:t>
        </w:r>
      </w:hyperlink>
      <w:r>
        <w:t xml:space="preserve">, f. 1; </w:t>
      </w:r>
      <w:hyperlink w:anchor="SENTENCIA_2024_59" w:history="1">
        <w:r w:rsidRPr="00601EEA">
          <w:rPr>
            <w:rStyle w:val="TextoNormalCaracter"/>
          </w:rPr>
          <w:t>59/2024</w:t>
        </w:r>
      </w:hyperlink>
      <w:r>
        <w:t xml:space="preserve">, f. 1; </w:t>
      </w:r>
      <w:hyperlink w:anchor="SENTENCIA_2024_60" w:history="1">
        <w:r w:rsidRPr="00601EEA">
          <w:rPr>
            <w:rStyle w:val="TextoNormalCaracter"/>
          </w:rPr>
          <w:t>60/2024</w:t>
        </w:r>
      </w:hyperlink>
      <w:r>
        <w:t xml:space="preserve">, f. 1; </w:t>
      </w:r>
      <w:hyperlink w:anchor="SENTENCIA_2024_82" w:history="1">
        <w:r w:rsidRPr="00601EEA">
          <w:rPr>
            <w:rStyle w:val="TextoNormalCaracter"/>
          </w:rPr>
          <w:t>82/2024</w:t>
        </w:r>
      </w:hyperlink>
      <w:r>
        <w:t xml:space="preserve">, f. 1; </w:t>
      </w:r>
      <w:hyperlink w:anchor="SENTENCIA_2024_83" w:history="1">
        <w:r w:rsidRPr="00601EEA">
          <w:rPr>
            <w:rStyle w:val="TextoNormalCaracter"/>
          </w:rPr>
          <w:t>83/2024</w:t>
        </w:r>
      </w:hyperlink>
      <w:r>
        <w:t>, f.1.</w:t>
      </w:r>
    </w:p>
    <w:p w14:paraId="27447CB3" w14:textId="6FE68E22" w:rsidR="00601EEA" w:rsidRDefault="00601EEA" w:rsidP="00601EEA">
      <w:pPr>
        <w:pStyle w:val="SangriaIzquierdaArticulo"/>
      </w:pPr>
      <w:r>
        <w:t xml:space="preserve">Auto </w:t>
      </w:r>
      <w:hyperlink w:anchor="AUTO_2024_15" w:history="1">
        <w:r w:rsidRPr="00601EEA">
          <w:rPr>
            <w:rStyle w:val="TextoNormalCaracter"/>
          </w:rPr>
          <w:t>15/2024</w:t>
        </w:r>
      </w:hyperlink>
      <w:r>
        <w:t>, f. 1.</w:t>
      </w:r>
    </w:p>
    <w:p w14:paraId="33FCBF47" w14:textId="2943B5AA" w:rsidR="00601EEA" w:rsidRDefault="00601EEA" w:rsidP="00601EEA">
      <w:pPr>
        <w:pStyle w:val="SangriaFrancesaArticulo"/>
      </w:pPr>
      <w:r w:rsidRPr="00601EEA">
        <w:rPr>
          <w:rStyle w:val="TextoNormalNegritaCaracter"/>
        </w:rPr>
        <w:t>Artículo 1.</w:t>
      </w:r>
      <w:r w:rsidRPr="00601EEA">
        <w:rPr>
          <w:rStyle w:val="TextoNormalCaracter"/>
        </w:rPr>
        <w:t>-</w:t>
      </w:r>
      <w:r>
        <w:t xml:space="preserve"> Sentencias </w:t>
      </w:r>
      <w:hyperlink w:anchor="SENTENCIA_2024_4" w:history="1">
        <w:r w:rsidRPr="00601EEA">
          <w:rPr>
            <w:rStyle w:val="TextoNormalCaracter"/>
          </w:rPr>
          <w:t>4/2024</w:t>
        </w:r>
      </w:hyperlink>
      <w:r>
        <w:t xml:space="preserve">, f. 2; </w:t>
      </w:r>
      <w:hyperlink w:anchor="SENTENCIA_2024_28" w:history="1">
        <w:r w:rsidRPr="00601EEA">
          <w:rPr>
            <w:rStyle w:val="TextoNormalCaracter"/>
          </w:rPr>
          <w:t>28/2024</w:t>
        </w:r>
      </w:hyperlink>
      <w:r>
        <w:t xml:space="preserve">, f. 2; </w:t>
      </w:r>
      <w:hyperlink w:anchor="SENTENCIA_2024_71" w:history="1">
        <w:r w:rsidRPr="00601EEA">
          <w:rPr>
            <w:rStyle w:val="TextoNormalCaracter"/>
          </w:rPr>
          <w:t>71/2024</w:t>
        </w:r>
      </w:hyperlink>
      <w:r>
        <w:t xml:space="preserve">, f. único; </w:t>
      </w:r>
      <w:hyperlink w:anchor="SENTENCIA_2024_80" w:history="1">
        <w:r w:rsidRPr="00601EEA">
          <w:rPr>
            <w:rStyle w:val="TextoNormalCaracter"/>
          </w:rPr>
          <w:t>80/2024</w:t>
        </w:r>
      </w:hyperlink>
      <w:r>
        <w:t>, f. 3.</w:t>
      </w:r>
    </w:p>
    <w:p w14:paraId="7167D3D2" w14:textId="0D5CA66F" w:rsidR="00601EEA" w:rsidRDefault="00601EEA" w:rsidP="00601EEA">
      <w:pPr>
        <w:pStyle w:val="SangriaIzquierdaArticulo"/>
      </w:pPr>
      <w:r>
        <w:t xml:space="preserve">Auto </w:t>
      </w:r>
      <w:hyperlink w:anchor="AUTO_2024_53" w:history="1">
        <w:r w:rsidRPr="00601EEA">
          <w:rPr>
            <w:rStyle w:val="TextoNormalCaracter"/>
          </w:rPr>
          <w:t>53/2024</w:t>
        </w:r>
      </w:hyperlink>
      <w:r>
        <w:t>, f. 1.</w:t>
      </w:r>
    </w:p>
    <w:p w14:paraId="0AEC26CB" w14:textId="351E51C3" w:rsidR="00601EEA" w:rsidRDefault="00601EEA" w:rsidP="00601EEA">
      <w:pPr>
        <w:pStyle w:val="SangriaFrancesaArticulo"/>
      </w:pPr>
      <w:r w:rsidRPr="00601EEA">
        <w:rPr>
          <w:rStyle w:val="TextoNormalNegritaCaracter"/>
        </w:rPr>
        <w:t>Artículo 2.</w:t>
      </w:r>
      <w:r w:rsidRPr="00601EEA">
        <w:rPr>
          <w:rStyle w:val="TextoNormalCaracter"/>
        </w:rPr>
        <w:t>-</w:t>
      </w:r>
      <w:r>
        <w:t xml:space="preserve"> Sentencias </w:t>
      </w:r>
      <w:hyperlink w:anchor="SENTENCIA_2024_4" w:history="1">
        <w:r w:rsidRPr="00601EEA">
          <w:rPr>
            <w:rStyle w:val="TextoNormalCaracter"/>
          </w:rPr>
          <w:t>4/2024</w:t>
        </w:r>
      </w:hyperlink>
      <w:r>
        <w:t xml:space="preserve">, f. 2; </w:t>
      </w:r>
      <w:hyperlink w:anchor="SENTENCIA_2024_28" w:history="1">
        <w:r w:rsidRPr="00601EEA">
          <w:rPr>
            <w:rStyle w:val="TextoNormalCaracter"/>
          </w:rPr>
          <w:t>28/2024</w:t>
        </w:r>
      </w:hyperlink>
      <w:r>
        <w:t xml:space="preserve">, f. 2; </w:t>
      </w:r>
      <w:hyperlink w:anchor="SENTENCIA_2024_80" w:history="1">
        <w:r w:rsidRPr="00601EEA">
          <w:rPr>
            <w:rStyle w:val="TextoNormalCaracter"/>
          </w:rPr>
          <w:t>80/2024</w:t>
        </w:r>
      </w:hyperlink>
      <w:r>
        <w:t>, ´f. 3.</w:t>
      </w:r>
    </w:p>
    <w:p w14:paraId="0674B3A9" w14:textId="3832610A" w:rsidR="00601EEA" w:rsidRDefault="00601EEA" w:rsidP="00601EEA">
      <w:pPr>
        <w:pStyle w:val="SangriaFrancesaArticulo"/>
      </w:pPr>
      <w:r w:rsidRPr="00601EEA">
        <w:rPr>
          <w:rStyle w:val="TextoNormalNegritaCaracter"/>
        </w:rPr>
        <w:t>Artículo 3.</w:t>
      </w:r>
      <w:r w:rsidRPr="00601EEA">
        <w:rPr>
          <w:rStyle w:val="TextoNormalCaracter"/>
        </w:rPr>
        <w:t>-</w:t>
      </w:r>
      <w:r>
        <w:t xml:space="preserve"> Sentencia </w:t>
      </w:r>
      <w:hyperlink w:anchor="SENTENCIA_2024_80" w:history="1">
        <w:r w:rsidRPr="00601EEA">
          <w:rPr>
            <w:rStyle w:val="TextoNormalCaracter"/>
          </w:rPr>
          <w:t>80/2024</w:t>
        </w:r>
      </w:hyperlink>
      <w:r>
        <w:t>, f. 3.</w:t>
      </w:r>
    </w:p>
    <w:p w14:paraId="3AB3AA8B" w14:textId="19A267CC" w:rsidR="00601EEA" w:rsidRDefault="00601EEA" w:rsidP="00601EEA">
      <w:pPr>
        <w:pStyle w:val="SangriaFrancesaArticulo"/>
      </w:pPr>
    </w:p>
    <w:p w14:paraId="144B667C" w14:textId="77777777" w:rsidR="00601EEA" w:rsidRDefault="00601EEA" w:rsidP="00601EEA">
      <w:pPr>
        <w:pStyle w:val="TextoNormalNegritaCursivandice"/>
        <w:keepNext/>
      </w:pPr>
      <w:r>
        <w:t>Acuerdo de 17 de enero de 2023, del Pleno del Tribunal Constitucional, por el que se dispone la composición de las Salas y Secciones del Tribunal Constitucional</w:t>
      </w:r>
    </w:p>
    <w:p w14:paraId="60AA293B" w14:textId="2BBF01FB" w:rsidR="00601EEA" w:rsidRDefault="00601EEA" w:rsidP="00601EEA">
      <w:pPr>
        <w:pStyle w:val="SangriaFrancesaArticulo"/>
      </w:pPr>
      <w:r w:rsidRPr="00601EEA">
        <w:rPr>
          <w:rStyle w:val="TextoNormalNegritaCaracter"/>
        </w:rPr>
        <w:t>En general.</w:t>
      </w:r>
      <w:r w:rsidRPr="00601EEA">
        <w:rPr>
          <w:rStyle w:val="TextoNormalCaracter"/>
        </w:rPr>
        <w:t>-</w:t>
      </w:r>
      <w:r>
        <w:t xml:space="preserve"> Autos </w:t>
      </w:r>
      <w:hyperlink w:anchor="AUTO_2024_8" w:history="1">
        <w:r w:rsidRPr="00601EEA">
          <w:rPr>
            <w:rStyle w:val="TextoNormalCaracter"/>
          </w:rPr>
          <w:t>8/2024</w:t>
        </w:r>
      </w:hyperlink>
      <w:r>
        <w:t xml:space="preserve">, f. 2; </w:t>
      </w:r>
      <w:hyperlink w:anchor="AUTO_2024_42" w:history="1">
        <w:r w:rsidRPr="00601EEA">
          <w:rPr>
            <w:rStyle w:val="TextoNormalCaracter"/>
          </w:rPr>
          <w:t>42/2024</w:t>
        </w:r>
      </w:hyperlink>
      <w:r>
        <w:t>, f. único.</w:t>
      </w:r>
    </w:p>
    <w:p w14:paraId="6C3731AB" w14:textId="55656457" w:rsidR="00601EEA" w:rsidRDefault="00601EEA" w:rsidP="00601EEA">
      <w:pPr>
        <w:pStyle w:val="SangriaFrancesaArticulo"/>
      </w:pPr>
      <w:r w:rsidRPr="00601EEA">
        <w:rPr>
          <w:rStyle w:val="TextoNormalNegritaCaracter"/>
        </w:rPr>
        <w:t>Artículo 3.</w:t>
      </w:r>
      <w:r w:rsidRPr="00601EEA">
        <w:rPr>
          <w:rStyle w:val="TextoNormalCaracter"/>
        </w:rPr>
        <w:t>-</w:t>
      </w:r>
      <w:r>
        <w:t xml:space="preserve"> Auto </w:t>
      </w:r>
      <w:hyperlink w:anchor="AUTO_2024_8" w:history="1">
        <w:r w:rsidRPr="00601EEA">
          <w:rPr>
            <w:rStyle w:val="TextoNormalCaracter"/>
          </w:rPr>
          <w:t>8/2024</w:t>
        </w:r>
      </w:hyperlink>
      <w:r>
        <w:t>, f. 2.</w:t>
      </w:r>
    </w:p>
    <w:p w14:paraId="1252236E" w14:textId="7425E10A" w:rsidR="00601EEA" w:rsidRDefault="00601EEA" w:rsidP="00601EEA">
      <w:pPr>
        <w:pStyle w:val="SangriaFrancesaArticulo"/>
      </w:pPr>
    </w:p>
    <w:p w14:paraId="581723F4" w14:textId="77777777" w:rsidR="00601EEA" w:rsidRDefault="00601EEA" w:rsidP="00601EEA">
      <w:pPr>
        <w:pStyle w:val="TextoNormalNegritaCursivandice"/>
        <w:keepNext/>
      </w:pPr>
      <w:r>
        <w:t>Acuerdo de 15 de marzo de 2023, del Pleno del Tribunal Constitucional, por el que se regula la presentación de los recursos de amparo a través de su sede electrónica</w:t>
      </w:r>
    </w:p>
    <w:p w14:paraId="002040B9" w14:textId="100DE148" w:rsidR="00601EEA" w:rsidRDefault="00601EEA" w:rsidP="00601EEA">
      <w:pPr>
        <w:pStyle w:val="SangriaFrancesaArticulo"/>
      </w:pPr>
      <w:r w:rsidRPr="00601EEA">
        <w:rPr>
          <w:rStyle w:val="TextoNormalNegritaCaracter"/>
        </w:rPr>
        <w:t>En general.</w:t>
      </w:r>
      <w:r w:rsidRPr="00601EEA">
        <w:rPr>
          <w:rStyle w:val="TextoNormalCaracter"/>
        </w:rPr>
        <w:t>-</w:t>
      </w:r>
      <w:r>
        <w:t xml:space="preserve"> Auto </w:t>
      </w:r>
      <w:hyperlink w:anchor="AUTO_2024_39" w:history="1">
        <w:r w:rsidRPr="00601EEA">
          <w:rPr>
            <w:rStyle w:val="TextoNormalCaracter"/>
          </w:rPr>
          <w:t>39/2024</w:t>
        </w:r>
      </w:hyperlink>
      <w:r>
        <w:t>, f. único.</w:t>
      </w:r>
    </w:p>
    <w:p w14:paraId="2FE6E54D" w14:textId="47F7951C" w:rsidR="00601EEA" w:rsidRDefault="00601EEA" w:rsidP="00601EEA">
      <w:pPr>
        <w:pStyle w:val="TextoNormal"/>
      </w:pPr>
    </w:p>
    <w:p w14:paraId="2B9C83BA" w14:textId="77777777" w:rsidR="00601EEA" w:rsidRDefault="00601EEA" w:rsidP="00601EEA">
      <w:pPr>
        <w:pStyle w:val="SangriaFrancesaArticulo"/>
      </w:pPr>
      <w:bookmarkStart w:id="163" w:name="INDICE22844"/>
    </w:p>
    <w:bookmarkEnd w:id="163"/>
    <w:p w14:paraId="24602571" w14:textId="77777777" w:rsidR="00601EEA" w:rsidRDefault="00601EEA" w:rsidP="00601EEA">
      <w:pPr>
        <w:pStyle w:val="TextoIndiceNivel2"/>
        <w:suppressAutoHyphens/>
      </w:pPr>
      <w:r>
        <w:t>C) Cortes Generales</w:t>
      </w:r>
    </w:p>
    <w:p w14:paraId="54143D51" w14:textId="27813F25" w:rsidR="00601EEA" w:rsidRDefault="00601EEA" w:rsidP="00601EEA">
      <w:pPr>
        <w:pStyle w:val="TextoIndiceNivel2"/>
      </w:pPr>
    </w:p>
    <w:p w14:paraId="541E07C0" w14:textId="77777777" w:rsidR="00601EEA" w:rsidRDefault="00601EEA" w:rsidP="00601EEA">
      <w:pPr>
        <w:pStyle w:val="TextoNormalNegritaCursivandice"/>
        <w:keepNext/>
      </w:pPr>
      <w:r>
        <w:t>Reglamento del Congreso de los Diputados, de 10 de febrero de 1982</w:t>
      </w:r>
    </w:p>
    <w:p w14:paraId="2DDAD8CA" w14:textId="0B1D763A" w:rsidR="00601EEA" w:rsidRDefault="00601EEA" w:rsidP="00601EEA">
      <w:pPr>
        <w:pStyle w:val="SangriaFrancesaArticulo"/>
      </w:pPr>
      <w:r w:rsidRPr="00601EEA">
        <w:rPr>
          <w:rStyle w:val="TextoNormalNegritaCaracter"/>
        </w:rPr>
        <w:t>Artículo 7.</w:t>
      </w:r>
      <w:r w:rsidRPr="00601EEA">
        <w:rPr>
          <w:rStyle w:val="TextoNormalCaracter"/>
        </w:rPr>
        <w:t>-</w:t>
      </w:r>
      <w:r>
        <w:t xml:space="preserve"> Sentencia </w:t>
      </w:r>
      <w:hyperlink w:anchor="SENTENCIA_2024_10" w:history="1">
        <w:r w:rsidRPr="00601EEA">
          <w:rPr>
            <w:rStyle w:val="TextoNormalCaracter"/>
          </w:rPr>
          <w:t>10/2024</w:t>
        </w:r>
      </w:hyperlink>
      <w:r>
        <w:t>, ff. 1, 3, VP I.</w:t>
      </w:r>
    </w:p>
    <w:p w14:paraId="6CE38B3A" w14:textId="480B5E03" w:rsidR="00601EEA" w:rsidRDefault="00601EEA" w:rsidP="00601EEA">
      <w:pPr>
        <w:pStyle w:val="SangriaFrancesaArticulo"/>
      </w:pPr>
      <w:r w:rsidRPr="00601EEA">
        <w:rPr>
          <w:rStyle w:val="TextoNormalNegritaCaracter"/>
        </w:rPr>
        <w:t>Artículo 31.1.4.</w:t>
      </w:r>
      <w:r w:rsidRPr="00601EEA">
        <w:rPr>
          <w:rStyle w:val="TextoNormalCaracter"/>
        </w:rPr>
        <w:t>-</w:t>
      </w:r>
      <w:r>
        <w:t xml:space="preserve"> Sentencia </w:t>
      </w:r>
      <w:hyperlink w:anchor="SENTENCIA_2024_30" w:history="1">
        <w:r w:rsidRPr="00601EEA">
          <w:rPr>
            <w:rStyle w:val="TextoNormalCaracter"/>
          </w:rPr>
          <w:t>30/2024</w:t>
        </w:r>
      </w:hyperlink>
      <w:r>
        <w:t>, VP I; VP II.</w:t>
      </w:r>
    </w:p>
    <w:p w14:paraId="49848F01" w14:textId="3A0C5B89" w:rsidR="00601EEA" w:rsidRDefault="00601EEA" w:rsidP="00601EEA">
      <w:pPr>
        <w:pStyle w:val="SangriaFrancesaArticulo"/>
      </w:pPr>
      <w:r w:rsidRPr="00601EEA">
        <w:rPr>
          <w:rStyle w:val="TextoNormalNegritaCaracter"/>
        </w:rPr>
        <w:t>Artículo 31.1.5.</w:t>
      </w:r>
      <w:r w:rsidRPr="00601EEA">
        <w:rPr>
          <w:rStyle w:val="TextoNormalCaracter"/>
        </w:rPr>
        <w:t>-</w:t>
      </w:r>
      <w:r>
        <w:t xml:space="preserve"> Sentencia </w:t>
      </w:r>
      <w:hyperlink w:anchor="SENTENCIA_2024_30" w:history="1">
        <w:r w:rsidRPr="00601EEA">
          <w:rPr>
            <w:rStyle w:val="TextoNormalCaracter"/>
          </w:rPr>
          <w:t>30/2024</w:t>
        </w:r>
      </w:hyperlink>
      <w:r>
        <w:t>, VP I.</w:t>
      </w:r>
    </w:p>
    <w:p w14:paraId="03D188F9" w14:textId="05FC4F1A" w:rsidR="00601EEA" w:rsidRDefault="00601EEA" w:rsidP="00601EEA">
      <w:pPr>
        <w:pStyle w:val="SangriaFrancesaArticulo"/>
      </w:pPr>
      <w:r w:rsidRPr="00601EEA">
        <w:rPr>
          <w:rStyle w:val="TextoNormalNegritaCaracter"/>
        </w:rPr>
        <w:t>Artículo 44.</w:t>
      </w:r>
      <w:r w:rsidRPr="00601EEA">
        <w:rPr>
          <w:rStyle w:val="TextoNormalCaracter"/>
        </w:rPr>
        <w:t>-</w:t>
      </w:r>
      <w:r>
        <w:t xml:space="preserve"> Sentencia </w:t>
      </w:r>
      <w:hyperlink w:anchor="SENTENCIA_2024_30" w:history="1">
        <w:r w:rsidRPr="00601EEA">
          <w:rPr>
            <w:rStyle w:val="TextoNormalCaracter"/>
          </w:rPr>
          <w:t>30/2024</w:t>
        </w:r>
      </w:hyperlink>
      <w:r>
        <w:t>, f. 4, VP I, VP II.</w:t>
      </w:r>
    </w:p>
    <w:p w14:paraId="5F164975" w14:textId="39728850" w:rsidR="00601EEA" w:rsidRDefault="00601EEA" w:rsidP="00601EEA">
      <w:pPr>
        <w:pStyle w:val="SangriaFrancesaArticulo"/>
      </w:pPr>
      <w:r w:rsidRPr="00601EEA">
        <w:rPr>
          <w:rStyle w:val="TextoNormalNegritaCaracter"/>
        </w:rPr>
        <w:t>Artículo 44.4.</w:t>
      </w:r>
      <w:r w:rsidRPr="00601EEA">
        <w:rPr>
          <w:rStyle w:val="TextoNormalCaracter"/>
        </w:rPr>
        <w:t>-</w:t>
      </w:r>
      <w:r>
        <w:t xml:space="preserve"> Sentencia </w:t>
      </w:r>
      <w:hyperlink w:anchor="SENTENCIA_2024_30" w:history="1">
        <w:r w:rsidRPr="00601EEA">
          <w:rPr>
            <w:rStyle w:val="TextoNormalCaracter"/>
          </w:rPr>
          <w:t>30/2024</w:t>
        </w:r>
      </w:hyperlink>
      <w:r>
        <w:t>, f. 4, VP I, VP II.</w:t>
      </w:r>
    </w:p>
    <w:p w14:paraId="48F5CF54" w14:textId="7643E30B" w:rsidR="00601EEA" w:rsidRDefault="00601EEA" w:rsidP="00601EEA">
      <w:pPr>
        <w:pStyle w:val="SangriaFrancesaArticulo"/>
      </w:pPr>
      <w:r w:rsidRPr="00601EEA">
        <w:rPr>
          <w:rStyle w:val="TextoNormalNegritaCaracter"/>
        </w:rPr>
        <w:t>Artículo 79.1.</w:t>
      </w:r>
      <w:r w:rsidRPr="00601EEA">
        <w:rPr>
          <w:rStyle w:val="TextoNormalCaracter"/>
        </w:rPr>
        <w:t>-</w:t>
      </w:r>
      <w:r>
        <w:t xml:space="preserve"> Auto </w:t>
      </w:r>
      <w:hyperlink w:anchor="AUTO_2024_24" w:history="1">
        <w:r w:rsidRPr="00601EEA">
          <w:rPr>
            <w:rStyle w:val="TextoNormalCaracter"/>
          </w:rPr>
          <w:t>24/2024</w:t>
        </w:r>
      </w:hyperlink>
      <w:r>
        <w:t>, ff. 1, 2.</w:t>
      </w:r>
    </w:p>
    <w:p w14:paraId="47C06715" w14:textId="2AAB282A" w:rsidR="00601EEA" w:rsidRDefault="00601EEA" w:rsidP="00601EEA">
      <w:pPr>
        <w:pStyle w:val="SangriaFrancesaArticulo"/>
      </w:pPr>
      <w:r w:rsidRPr="00601EEA">
        <w:rPr>
          <w:rStyle w:val="TextoNormalNegritaCaracter"/>
        </w:rPr>
        <w:t>Artículo 93.</w:t>
      </w:r>
      <w:r w:rsidRPr="00601EEA">
        <w:rPr>
          <w:rStyle w:val="TextoNormalCaracter"/>
        </w:rPr>
        <w:t>-</w:t>
      </w:r>
      <w:r>
        <w:t xml:space="preserve"> Sentencia </w:t>
      </w:r>
      <w:hyperlink w:anchor="SENTENCIA_2024_15" w:history="1">
        <w:r w:rsidRPr="00601EEA">
          <w:rPr>
            <w:rStyle w:val="TextoNormalCaracter"/>
          </w:rPr>
          <w:t>15/2024</w:t>
        </w:r>
      </w:hyperlink>
      <w:r>
        <w:t>, ff. 1, 3, VP II.</w:t>
      </w:r>
    </w:p>
    <w:p w14:paraId="7A87AFFB" w14:textId="6F5C9934" w:rsidR="00601EEA" w:rsidRDefault="00601EEA" w:rsidP="00601EEA">
      <w:pPr>
        <w:pStyle w:val="SangriaIzquierdaArticulo"/>
      </w:pPr>
      <w:r>
        <w:t xml:space="preserve">Auto </w:t>
      </w:r>
      <w:hyperlink w:anchor="AUTO_2024_24" w:history="1">
        <w:r w:rsidRPr="00601EEA">
          <w:rPr>
            <w:rStyle w:val="TextoNormalCaracter"/>
          </w:rPr>
          <w:t>24/2024</w:t>
        </w:r>
      </w:hyperlink>
      <w:r>
        <w:t>, f. 1.</w:t>
      </w:r>
    </w:p>
    <w:p w14:paraId="6A132F66" w14:textId="41756984" w:rsidR="00601EEA" w:rsidRDefault="00601EEA" w:rsidP="00601EEA">
      <w:pPr>
        <w:pStyle w:val="SangriaFrancesaArticulo"/>
      </w:pPr>
      <w:r w:rsidRPr="00601EEA">
        <w:rPr>
          <w:rStyle w:val="TextoNormalNegritaCaracter"/>
        </w:rPr>
        <w:t>Artículo 93.1.</w:t>
      </w:r>
      <w:r w:rsidRPr="00601EEA">
        <w:rPr>
          <w:rStyle w:val="TextoNormalCaracter"/>
        </w:rPr>
        <w:t>-</w:t>
      </w:r>
      <w:r>
        <w:t xml:space="preserve"> Sentencia </w:t>
      </w:r>
      <w:hyperlink w:anchor="SENTENCIA_2024_15" w:history="1">
        <w:r w:rsidRPr="00601EEA">
          <w:rPr>
            <w:rStyle w:val="TextoNormalCaracter"/>
          </w:rPr>
          <w:t>15/2024</w:t>
        </w:r>
      </w:hyperlink>
      <w:r>
        <w:t>, f. 3.</w:t>
      </w:r>
    </w:p>
    <w:p w14:paraId="2444A701" w14:textId="31544642" w:rsidR="00601EEA" w:rsidRDefault="00601EEA" w:rsidP="00601EEA">
      <w:pPr>
        <w:pStyle w:val="SangriaFrancesaArticulo"/>
      </w:pPr>
      <w:r w:rsidRPr="00601EEA">
        <w:rPr>
          <w:rStyle w:val="TextoNormalNegritaCaracter"/>
        </w:rPr>
        <w:t>Artículo 94.</w:t>
      </w:r>
      <w:r w:rsidRPr="00601EEA">
        <w:rPr>
          <w:rStyle w:val="TextoNormalCaracter"/>
        </w:rPr>
        <w:t>-</w:t>
      </w:r>
      <w:r>
        <w:t xml:space="preserve"> Sentencia </w:t>
      </w:r>
      <w:hyperlink w:anchor="SENTENCIA_2024_15" w:history="1">
        <w:r w:rsidRPr="00601EEA">
          <w:rPr>
            <w:rStyle w:val="TextoNormalCaracter"/>
          </w:rPr>
          <w:t>15/2024</w:t>
        </w:r>
      </w:hyperlink>
      <w:r>
        <w:t>, f. 3.</w:t>
      </w:r>
    </w:p>
    <w:p w14:paraId="01DD818C" w14:textId="3A926E88" w:rsidR="00601EEA" w:rsidRDefault="00601EEA" w:rsidP="00601EEA">
      <w:pPr>
        <w:pStyle w:val="SangriaIzquierdaArticulo"/>
      </w:pPr>
      <w:r>
        <w:t xml:space="preserve">Auto </w:t>
      </w:r>
      <w:hyperlink w:anchor="AUTO_2024_24" w:history="1">
        <w:r w:rsidRPr="00601EEA">
          <w:rPr>
            <w:rStyle w:val="TextoNormalCaracter"/>
          </w:rPr>
          <w:t>24/2024</w:t>
        </w:r>
      </w:hyperlink>
      <w:r>
        <w:t>, f. 1.</w:t>
      </w:r>
    </w:p>
    <w:p w14:paraId="06A469C3" w14:textId="6C0E1A86" w:rsidR="00601EEA" w:rsidRDefault="00601EEA" w:rsidP="00601EEA">
      <w:pPr>
        <w:pStyle w:val="SangriaFrancesaArticulo"/>
      </w:pPr>
      <w:r w:rsidRPr="00601EEA">
        <w:rPr>
          <w:rStyle w:val="TextoNormalNegritaCaracter"/>
        </w:rPr>
        <w:t>Artículo 97.</w:t>
      </w:r>
      <w:r w:rsidRPr="00601EEA">
        <w:rPr>
          <w:rStyle w:val="TextoNormalCaracter"/>
        </w:rPr>
        <w:t>-</w:t>
      </w:r>
      <w:r>
        <w:t xml:space="preserve"> Auto </w:t>
      </w:r>
      <w:hyperlink w:anchor="AUTO_2024_24" w:history="1">
        <w:r w:rsidRPr="00601EEA">
          <w:rPr>
            <w:rStyle w:val="TextoNormalCaracter"/>
          </w:rPr>
          <w:t>24/2024</w:t>
        </w:r>
      </w:hyperlink>
      <w:r>
        <w:t>, f. 1.</w:t>
      </w:r>
    </w:p>
    <w:p w14:paraId="2D7C8D56" w14:textId="4F939149" w:rsidR="00601EEA" w:rsidRDefault="00601EEA" w:rsidP="00601EEA">
      <w:pPr>
        <w:pStyle w:val="SangriaFrancesaArticulo"/>
      </w:pPr>
      <w:r w:rsidRPr="00601EEA">
        <w:rPr>
          <w:rStyle w:val="TextoNormalNegritaCaracter"/>
        </w:rPr>
        <w:t>Artículo 109.</w:t>
      </w:r>
      <w:r w:rsidRPr="00601EEA">
        <w:rPr>
          <w:rStyle w:val="TextoNormalCaracter"/>
        </w:rPr>
        <w:t>-</w:t>
      </w:r>
      <w:r>
        <w:t xml:space="preserve"> Sentencias </w:t>
      </w:r>
      <w:hyperlink w:anchor="SENTENCIA_2024_10" w:history="1">
        <w:r w:rsidRPr="00601EEA">
          <w:rPr>
            <w:rStyle w:val="TextoNormalCaracter"/>
          </w:rPr>
          <w:t>10/2024</w:t>
        </w:r>
      </w:hyperlink>
      <w:r>
        <w:t xml:space="preserve">, ff. 1, 4, VP I; </w:t>
      </w:r>
      <w:hyperlink w:anchor="SENTENCIA_2024_15" w:history="1">
        <w:r w:rsidRPr="00601EEA">
          <w:rPr>
            <w:rStyle w:val="TextoNormalCaracter"/>
          </w:rPr>
          <w:t>15/2024</w:t>
        </w:r>
      </w:hyperlink>
      <w:r>
        <w:t>, VP II.</w:t>
      </w:r>
    </w:p>
    <w:p w14:paraId="182A519E" w14:textId="4590A99F" w:rsidR="00601EEA" w:rsidRDefault="00601EEA" w:rsidP="00601EEA">
      <w:pPr>
        <w:pStyle w:val="SangriaFrancesaArticulo"/>
      </w:pPr>
      <w:r w:rsidRPr="00601EEA">
        <w:rPr>
          <w:rStyle w:val="TextoNormalNegritaCaracter"/>
        </w:rPr>
        <w:t>Artículos 109 y siguientes.</w:t>
      </w:r>
      <w:r w:rsidRPr="00601EEA">
        <w:rPr>
          <w:rStyle w:val="TextoNormalCaracter"/>
        </w:rPr>
        <w:t>-</w:t>
      </w:r>
      <w:r>
        <w:t xml:space="preserve"> Sentencia </w:t>
      </w:r>
      <w:hyperlink w:anchor="SENTENCIA_2024_93" w:history="1">
        <w:r w:rsidRPr="00601EEA">
          <w:rPr>
            <w:rStyle w:val="TextoNormalCaracter"/>
          </w:rPr>
          <w:t>93/2024</w:t>
        </w:r>
      </w:hyperlink>
      <w:r>
        <w:t>, VP II.</w:t>
      </w:r>
    </w:p>
    <w:p w14:paraId="177392D3" w14:textId="740CBC15" w:rsidR="00601EEA" w:rsidRDefault="00601EEA" w:rsidP="00601EEA">
      <w:pPr>
        <w:pStyle w:val="SangriaFrancesaArticulo"/>
      </w:pPr>
      <w:r w:rsidRPr="00601EEA">
        <w:rPr>
          <w:rStyle w:val="TextoNormalNegritaCaracter"/>
        </w:rPr>
        <w:t>Artículo 124.</w:t>
      </w:r>
      <w:r w:rsidRPr="00601EEA">
        <w:rPr>
          <w:rStyle w:val="TextoNormalCaracter"/>
        </w:rPr>
        <w:t>-</w:t>
      </w:r>
      <w:r>
        <w:t xml:space="preserve"> Sentencia </w:t>
      </w:r>
      <w:hyperlink w:anchor="SENTENCIA_2024_15" w:history="1">
        <w:r w:rsidRPr="00601EEA">
          <w:rPr>
            <w:rStyle w:val="TextoNormalCaracter"/>
          </w:rPr>
          <w:t>15/2024</w:t>
        </w:r>
      </w:hyperlink>
      <w:r>
        <w:t>, f. 3.</w:t>
      </w:r>
    </w:p>
    <w:p w14:paraId="60F8B664" w14:textId="413AAD96" w:rsidR="00601EEA" w:rsidRDefault="00601EEA" w:rsidP="00601EEA">
      <w:pPr>
        <w:pStyle w:val="SangriaFrancesaArticulo"/>
      </w:pPr>
      <w:r w:rsidRPr="00601EEA">
        <w:rPr>
          <w:rStyle w:val="TextoNormalNegritaCaracter"/>
        </w:rPr>
        <w:t>Artículo 128.</w:t>
      </w:r>
      <w:r w:rsidRPr="00601EEA">
        <w:rPr>
          <w:rStyle w:val="TextoNormalCaracter"/>
        </w:rPr>
        <w:t>-</w:t>
      </w:r>
      <w:r>
        <w:t xml:space="preserve"> Sentencia </w:t>
      </w:r>
      <w:hyperlink w:anchor="SENTENCIA_2024_93" w:history="1">
        <w:r w:rsidRPr="00601EEA">
          <w:rPr>
            <w:rStyle w:val="TextoNormalCaracter"/>
          </w:rPr>
          <w:t>93/2024</w:t>
        </w:r>
      </w:hyperlink>
      <w:r>
        <w:t>, f. 4.</w:t>
      </w:r>
    </w:p>
    <w:p w14:paraId="00C34DE5" w14:textId="2C7EF58A" w:rsidR="00601EEA" w:rsidRDefault="00601EEA" w:rsidP="00601EEA">
      <w:pPr>
        <w:pStyle w:val="SangriaFrancesaArticulo"/>
      </w:pPr>
      <w:r w:rsidRPr="00601EEA">
        <w:rPr>
          <w:rStyle w:val="TextoNormalNegritaCaracter"/>
        </w:rPr>
        <w:t>Artículo 131.</w:t>
      </w:r>
      <w:r w:rsidRPr="00601EEA">
        <w:rPr>
          <w:rStyle w:val="TextoNormalCaracter"/>
        </w:rPr>
        <w:t>-</w:t>
      </w:r>
      <w:r>
        <w:t xml:space="preserve"> Auto </w:t>
      </w:r>
      <w:hyperlink w:anchor="AUTO_2024_24" w:history="1">
        <w:r w:rsidRPr="00601EEA">
          <w:rPr>
            <w:rStyle w:val="TextoNormalCaracter"/>
          </w:rPr>
          <w:t>24/2024</w:t>
        </w:r>
      </w:hyperlink>
      <w:r>
        <w:t>, ff. 1, 2.</w:t>
      </w:r>
    </w:p>
    <w:p w14:paraId="2214DE8C" w14:textId="546D765F" w:rsidR="00601EEA" w:rsidRDefault="00601EEA" w:rsidP="00601EEA">
      <w:pPr>
        <w:pStyle w:val="SangriaFrancesaArticulo"/>
      </w:pPr>
      <w:r w:rsidRPr="00601EEA">
        <w:rPr>
          <w:rStyle w:val="TextoNormalNegritaCaracter"/>
        </w:rPr>
        <w:t>Artículo 131.2.</w:t>
      </w:r>
      <w:r w:rsidRPr="00601EEA">
        <w:rPr>
          <w:rStyle w:val="TextoNormalCaracter"/>
        </w:rPr>
        <w:t>-</w:t>
      </w:r>
      <w:r>
        <w:t xml:space="preserve"> Auto </w:t>
      </w:r>
      <w:hyperlink w:anchor="AUTO_2024_24" w:history="1">
        <w:r w:rsidRPr="00601EEA">
          <w:rPr>
            <w:rStyle w:val="TextoNormalCaracter"/>
          </w:rPr>
          <w:t>24/2024</w:t>
        </w:r>
      </w:hyperlink>
      <w:r>
        <w:t>, ff. 1, 2.</w:t>
      </w:r>
    </w:p>
    <w:p w14:paraId="366F9700" w14:textId="3863AE0C" w:rsidR="00601EEA" w:rsidRDefault="00601EEA" w:rsidP="00601EEA">
      <w:pPr>
        <w:pStyle w:val="SangriaFrancesaArticulo"/>
      </w:pPr>
      <w:r w:rsidRPr="00601EEA">
        <w:rPr>
          <w:rStyle w:val="TextoNormalNegritaCaracter"/>
        </w:rPr>
        <w:t>Artículo 134.2.</w:t>
      </w:r>
      <w:r w:rsidRPr="00601EEA">
        <w:rPr>
          <w:rStyle w:val="TextoNormalCaracter"/>
        </w:rPr>
        <w:t>-</w:t>
      </w:r>
      <w:r>
        <w:t xml:space="preserve"> Sentencia </w:t>
      </w:r>
      <w:hyperlink w:anchor="SENTENCIA_2024_93" w:history="1">
        <w:r w:rsidRPr="00601EEA">
          <w:rPr>
            <w:rStyle w:val="TextoNormalCaracter"/>
          </w:rPr>
          <w:t>93/2024</w:t>
        </w:r>
      </w:hyperlink>
      <w:r>
        <w:t>, VP I.</w:t>
      </w:r>
    </w:p>
    <w:p w14:paraId="7E0FD7A7" w14:textId="7D3DED15" w:rsidR="00601EEA" w:rsidRDefault="00601EEA" w:rsidP="00601EEA">
      <w:pPr>
        <w:pStyle w:val="SangriaFrancesaArticulo"/>
      </w:pPr>
      <w:r w:rsidRPr="00601EEA">
        <w:rPr>
          <w:rStyle w:val="TextoNormalNegritaCaracter"/>
        </w:rPr>
        <w:lastRenderedPageBreak/>
        <w:t>Artículo 151.</w:t>
      </w:r>
      <w:r w:rsidRPr="00601EEA">
        <w:rPr>
          <w:rStyle w:val="TextoNormalCaracter"/>
        </w:rPr>
        <w:t>-</w:t>
      </w:r>
      <w:r>
        <w:t xml:space="preserve"> Sentencia </w:t>
      </w:r>
      <w:hyperlink w:anchor="SENTENCIA_2024_10" w:history="1">
        <w:r w:rsidRPr="00601EEA">
          <w:rPr>
            <w:rStyle w:val="TextoNormalCaracter"/>
          </w:rPr>
          <w:t>10/2024</w:t>
        </w:r>
      </w:hyperlink>
      <w:r>
        <w:t>, f. 1, VP I.</w:t>
      </w:r>
    </w:p>
    <w:p w14:paraId="1E55E33B" w14:textId="1C97084F" w:rsidR="00601EEA" w:rsidRDefault="00601EEA" w:rsidP="00601EEA">
      <w:pPr>
        <w:pStyle w:val="SangriaFrancesaArticulo"/>
      </w:pPr>
      <w:r w:rsidRPr="00601EEA">
        <w:rPr>
          <w:rStyle w:val="TextoNormalNegritaCaracter"/>
        </w:rPr>
        <w:t>Artículo 151.1.</w:t>
      </w:r>
      <w:r w:rsidRPr="00601EEA">
        <w:rPr>
          <w:rStyle w:val="TextoNormalCaracter"/>
        </w:rPr>
        <w:t>-</w:t>
      </w:r>
      <w:r>
        <w:t xml:space="preserve"> Sentencia </w:t>
      </w:r>
      <w:hyperlink w:anchor="SENTENCIA_2024_10" w:history="1">
        <w:r w:rsidRPr="00601EEA">
          <w:rPr>
            <w:rStyle w:val="TextoNormalCaracter"/>
          </w:rPr>
          <w:t>10/2024</w:t>
        </w:r>
      </w:hyperlink>
      <w:r>
        <w:t>, f. 3.</w:t>
      </w:r>
    </w:p>
    <w:p w14:paraId="411AFFBC" w14:textId="0FA5A9D0" w:rsidR="00601EEA" w:rsidRDefault="00601EEA" w:rsidP="00601EEA">
      <w:pPr>
        <w:pStyle w:val="SangriaFrancesaArticulo"/>
      </w:pPr>
      <w:r w:rsidRPr="00601EEA">
        <w:rPr>
          <w:rStyle w:val="TextoNormalNegritaCaracter"/>
        </w:rPr>
        <w:t>Artículo 151.4.</w:t>
      </w:r>
      <w:r w:rsidRPr="00601EEA">
        <w:rPr>
          <w:rStyle w:val="TextoNormalCaracter"/>
        </w:rPr>
        <w:t>-</w:t>
      </w:r>
      <w:r>
        <w:t xml:space="preserve"> Sentencia </w:t>
      </w:r>
      <w:hyperlink w:anchor="SENTENCIA_2024_10" w:history="1">
        <w:r w:rsidRPr="00601EEA">
          <w:rPr>
            <w:rStyle w:val="TextoNormalCaracter"/>
          </w:rPr>
          <w:t>10/2024</w:t>
        </w:r>
      </w:hyperlink>
      <w:r>
        <w:t>, ff. 1, 4, VP I.</w:t>
      </w:r>
    </w:p>
    <w:p w14:paraId="04CE64D0" w14:textId="7CFE4145" w:rsidR="00601EEA" w:rsidRDefault="00601EEA" w:rsidP="00601EEA">
      <w:pPr>
        <w:pStyle w:val="SangriaFrancesaArticulo"/>
      </w:pPr>
    </w:p>
    <w:p w14:paraId="2B48E0B3" w14:textId="77777777" w:rsidR="00601EEA" w:rsidRDefault="00601EEA" w:rsidP="00601EEA">
      <w:pPr>
        <w:pStyle w:val="TextoNormalNegritaCursivandice"/>
        <w:keepNext/>
      </w:pPr>
      <w:r>
        <w:t>Texto refundido del Reglamento del Senado aprobado por la mesa del Senado, oída la junta de portavoces, en su reunión del día 3 de mayo de 1994</w:t>
      </w:r>
    </w:p>
    <w:p w14:paraId="622C8431" w14:textId="25938C62" w:rsidR="00601EEA" w:rsidRDefault="00601EEA" w:rsidP="00601EEA">
      <w:pPr>
        <w:pStyle w:val="SangriaFrancesaArticulo"/>
      </w:pPr>
      <w:r w:rsidRPr="00601EEA">
        <w:rPr>
          <w:rStyle w:val="TextoNormalNegritaCaracter"/>
        </w:rPr>
        <w:t>Artículo 140.</w:t>
      </w:r>
      <w:r w:rsidRPr="00601EEA">
        <w:rPr>
          <w:rStyle w:val="TextoNormalCaracter"/>
        </w:rPr>
        <w:t>-</w:t>
      </w:r>
      <w:r>
        <w:t xml:space="preserve"> Sentencia </w:t>
      </w:r>
      <w:hyperlink w:anchor="SENTENCIA_2024_93" w:history="1">
        <w:r w:rsidRPr="00601EEA">
          <w:rPr>
            <w:rStyle w:val="TextoNormalCaracter"/>
          </w:rPr>
          <w:t>93/2024</w:t>
        </w:r>
      </w:hyperlink>
      <w:r>
        <w:t>, f. 4.</w:t>
      </w:r>
    </w:p>
    <w:p w14:paraId="54D9A597" w14:textId="242398EC" w:rsidR="00601EEA" w:rsidRDefault="00601EEA" w:rsidP="00601EEA">
      <w:pPr>
        <w:pStyle w:val="SangriaFrancesaArticulo"/>
      </w:pPr>
      <w:r w:rsidRPr="00601EEA">
        <w:rPr>
          <w:rStyle w:val="TextoNormalNegritaCaracter"/>
        </w:rPr>
        <w:t>Artículo 141.</w:t>
      </w:r>
      <w:r w:rsidRPr="00601EEA">
        <w:rPr>
          <w:rStyle w:val="TextoNormalCaracter"/>
        </w:rPr>
        <w:t>-</w:t>
      </w:r>
      <w:r>
        <w:t xml:space="preserve"> Sentencia </w:t>
      </w:r>
      <w:hyperlink w:anchor="SENTENCIA_2024_93" w:history="1">
        <w:r w:rsidRPr="00601EEA">
          <w:rPr>
            <w:rStyle w:val="TextoNormalCaracter"/>
          </w:rPr>
          <w:t>93/2024</w:t>
        </w:r>
      </w:hyperlink>
      <w:r>
        <w:t>, f. 4.</w:t>
      </w:r>
    </w:p>
    <w:p w14:paraId="1743FBAF" w14:textId="02931058" w:rsidR="00601EEA" w:rsidRDefault="00601EEA" w:rsidP="00601EEA">
      <w:pPr>
        <w:pStyle w:val="SangriaFrancesaArticulo"/>
      </w:pPr>
      <w:r w:rsidRPr="00601EEA">
        <w:rPr>
          <w:rStyle w:val="TextoNormalNegritaCaracter"/>
        </w:rPr>
        <w:t>Artículo 150.1.</w:t>
      </w:r>
      <w:r w:rsidRPr="00601EEA">
        <w:rPr>
          <w:rStyle w:val="TextoNormalCaracter"/>
        </w:rPr>
        <w:t>-</w:t>
      </w:r>
      <w:r>
        <w:t xml:space="preserve"> Sentencia </w:t>
      </w:r>
      <w:hyperlink w:anchor="SENTENCIA_2024_93" w:history="1">
        <w:r w:rsidRPr="00601EEA">
          <w:rPr>
            <w:rStyle w:val="TextoNormalCaracter"/>
          </w:rPr>
          <w:t>93/2024</w:t>
        </w:r>
      </w:hyperlink>
      <w:r>
        <w:t>, VP I.</w:t>
      </w:r>
    </w:p>
    <w:p w14:paraId="2D582CFF" w14:textId="2AC3092E" w:rsidR="00601EEA" w:rsidRDefault="00601EEA" w:rsidP="00601EEA">
      <w:pPr>
        <w:pStyle w:val="SangriaFrancesaArticulo"/>
      </w:pPr>
    </w:p>
    <w:p w14:paraId="3FB26DDD" w14:textId="77777777" w:rsidR="00601EEA" w:rsidRDefault="00601EEA" w:rsidP="00601EEA">
      <w:pPr>
        <w:pStyle w:val="TextoNormalNegritaCursivandice"/>
        <w:keepNext/>
      </w:pPr>
      <w:r>
        <w:t>Acuerdo de la mesa del Congreso de los Diputados, de 13 de enero de 2021, sobre la tramitación de la proposición de ley orgánica por la que se modifica la Ley Orgánica 6/1985, de 1 de julio, del Poder Judicial. Acuerdo de la mesa del Congreso de los Diputados, de 9 de febrero de 2021, rechazando la petición de reconsideración contra el acuerdo anterior.</w:t>
      </w:r>
    </w:p>
    <w:p w14:paraId="49DC6242" w14:textId="7036CA50"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30" w:history="1">
        <w:r w:rsidRPr="00601EEA">
          <w:rPr>
            <w:rStyle w:val="TextoNormalCaracter"/>
          </w:rPr>
          <w:t>30/2024</w:t>
        </w:r>
      </w:hyperlink>
      <w:r>
        <w:t>, f. 1, VP I, VP II.</w:t>
      </w:r>
    </w:p>
    <w:p w14:paraId="5F16BF6F" w14:textId="06BADDD1" w:rsidR="00601EEA" w:rsidRDefault="00601EEA" w:rsidP="00601EEA">
      <w:pPr>
        <w:pStyle w:val="SangriaFrancesaArticulo"/>
      </w:pPr>
    </w:p>
    <w:p w14:paraId="59DE52B0" w14:textId="77777777" w:rsidR="00601EEA" w:rsidRDefault="00601EEA" w:rsidP="00601EEA">
      <w:pPr>
        <w:pStyle w:val="TextoNormalNegritaCursivandice"/>
        <w:keepNext/>
      </w:pPr>
      <w:r>
        <w:t>Acuerdo de la mesa de la Comisión de Justicia del Congreso de los Diputados, de 16 de febrero de 2021, sobre la tramitación de la proposición de ley orgánica por la que se modifica la Ley Orgánica 6/1985, de 1 de julio, del Poder Judicial</w:t>
      </w:r>
    </w:p>
    <w:p w14:paraId="29D45855" w14:textId="32586611"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30" w:history="1">
        <w:r w:rsidRPr="00601EEA">
          <w:rPr>
            <w:rStyle w:val="TextoNormalCaracter"/>
          </w:rPr>
          <w:t>30/2024</w:t>
        </w:r>
      </w:hyperlink>
      <w:r>
        <w:t>, ff. 1, 4, VP I, VP II.</w:t>
      </w:r>
    </w:p>
    <w:p w14:paraId="2BF5AF96" w14:textId="0B5DD580" w:rsidR="00601EEA" w:rsidRDefault="00601EEA" w:rsidP="00601EEA">
      <w:pPr>
        <w:pStyle w:val="SangriaFrancesaArticulo"/>
      </w:pPr>
    </w:p>
    <w:p w14:paraId="4D8A7992" w14:textId="77777777" w:rsidR="00601EEA" w:rsidRDefault="00601EEA" w:rsidP="00601EEA">
      <w:pPr>
        <w:pStyle w:val="TextoNormalNegritaCursivandice"/>
        <w:keepNext/>
      </w:pPr>
      <w:r>
        <w:t>Resolución de 25 de agosto de 2022, del Congreso de los Diputados, por la que se ordena la publicación del Acuerdo de convalidación del Real Decreto-ley 14/2022, de 1 de agosto, de medidas de sostenibilidad económica en el ámbito del transporte, en materia de becas y ayudas al estudio, así como de medidas de ahorro, eficiencia energética y de reducción de la dependencia energética del gas natural</w:t>
      </w:r>
    </w:p>
    <w:p w14:paraId="61A915D1" w14:textId="366FF4E1"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20" w:history="1">
        <w:r w:rsidRPr="00601EEA">
          <w:rPr>
            <w:rStyle w:val="TextoNormalCaracter"/>
          </w:rPr>
          <w:t>20/2024</w:t>
        </w:r>
      </w:hyperlink>
      <w:r>
        <w:t>, f. 2.</w:t>
      </w:r>
    </w:p>
    <w:p w14:paraId="01BB44D2" w14:textId="084BDEA5" w:rsidR="00601EEA" w:rsidRDefault="00601EEA" w:rsidP="00601EEA">
      <w:pPr>
        <w:pStyle w:val="TextoNormal"/>
      </w:pPr>
    </w:p>
    <w:p w14:paraId="53F7B373" w14:textId="77777777" w:rsidR="00601EEA" w:rsidRDefault="00601EEA" w:rsidP="00601EEA">
      <w:pPr>
        <w:pStyle w:val="SangriaFrancesaArticulo"/>
      </w:pPr>
      <w:bookmarkStart w:id="164" w:name="INDICE22845"/>
    </w:p>
    <w:bookmarkEnd w:id="164"/>
    <w:p w14:paraId="14501003" w14:textId="77777777" w:rsidR="00601EEA" w:rsidRDefault="00601EEA" w:rsidP="00601EEA">
      <w:pPr>
        <w:pStyle w:val="TextoIndiceNivel2"/>
        <w:suppressAutoHyphens/>
      </w:pPr>
      <w:r>
        <w:t>D) Leyes Orgánicas</w:t>
      </w:r>
    </w:p>
    <w:p w14:paraId="1F7F1BE0" w14:textId="6A5D31E5" w:rsidR="00601EEA" w:rsidRDefault="00601EEA" w:rsidP="00601EEA">
      <w:pPr>
        <w:pStyle w:val="TextoIndiceNivel2"/>
      </w:pPr>
    </w:p>
    <w:p w14:paraId="3740F29B" w14:textId="77777777" w:rsidR="00601EEA" w:rsidRDefault="00601EEA" w:rsidP="00601EEA">
      <w:pPr>
        <w:pStyle w:val="TextoNormalNegritaCursivandice"/>
        <w:keepNext/>
      </w:pPr>
      <w:r>
        <w:t>Ley Orgánica 1/1979, de 26 de septiembre, general penitenciaria</w:t>
      </w:r>
    </w:p>
    <w:p w14:paraId="62818B41" w14:textId="1469C00B" w:rsidR="00601EEA" w:rsidRDefault="00601EEA" w:rsidP="00601EEA">
      <w:pPr>
        <w:pStyle w:val="SangriaFrancesaArticulo"/>
      </w:pPr>
      <w:r w:rsidRPr="00601EEA">
        <w:rPr>
          <w:rStyle w:val="TextoNormalNegritaCaracter"/>
        </w:rPr>
        <w:t>Artículo 3.</w:t>
      </w:r>
      <w:r w:rsidRPr="00601EEA">
        <w:rPr>
          <w:rStyle w:val="TextoNormalCaracter"/>
        </w:rPr>
        <w:t>-</w:t>
      </w:r>
      <w:r>
        <w:t xml:space="preserve"> Sentencia </w:t>
      </w:r>
      <w:hyperlink w:anchor="SENTENCIA_2024_53" w:history="1">
        <w:r w:rsidRPr="00601EEA">
          <w:rPr>
            <w:rStyle w:val="TextoNormalCaracter"/>
          </w:rPr>
          <w:t>53/2024</w:t>
        </w:r>
      </w:hyperlink>
      <w:r>
        <w:t>, f. 4.</w:t>
      </w:r>
    </w:p>
    <w:p w14:paraId="3110AB8C" w14:textId="6791E16A" w:rsidR="00601EEA" w:rsidRDefault="00601EEA" w:rsidP="00601EEA">
      <w:pPr>
        <w:pStyle w:val="SangriaFrancesaArticulo"/>
      </w:pPr>
    </w:p>
    <w:p w14:paraId="3286A00E" w14:textId="77777777" w:rsidR="00601EEA" w:rsidRDefault="00601EEA" w:rsidP="00601EEA">
      <w:pPr>
        <w:pStyle w:val="TextoNormalNegritaCursivandice"/>
        <w:keepNext/>
      </w:pPr>
      <w:r>
        <w:t>Ley Orgánica 3/1980, de 22 de abril. Consejo de Estado</w:t>
      </w:r>
    </w:p>
    <w:p w14:paraId="18F8CFB0" w14:textId="05ABBBCD" w:rsidR="00601EEA" w:rsidRDefault="00601EEA" w:rsidP="00601EEA">
      <w:pPr>
        <w:pStyle w:val="SangriaFrancesaArticulo"/>
      </w:pPr>
      <w:r w:rsidRPr="00601EEA">
        <w:rPr>
          <w:rStyle w:val="TextoNormalNegritaCaracter"/>
        </w:rPr>
        <w:t>Artículo 2.2.</w:t>
      </w:r>
      <w:r w:rsidRPr="00601EEA">
        <w:rPr>
          <w:rStyle w:val="TextoNormalCaracter"/>
        </w:rPr>
        <w:t>-</w:t>
      </w:r>
      <w:r>
        <w:t xml:space="preserve"> Sentencia </w:t>
      </w:r>
      <w:hyperlink w:anchor="SENTENCIA_2024_10" w:history="1">
        <w:r w:rsidRPr="00601EEA">
          <w:rPr>
            <w:rStyle w:val="TextoNormalCaracter"/>
          </w:rPr>
          <w:t>10/2024</w:t>
        </w:r>
      </w:hyperlink>
      <w:r>
        <w:t>, f. 3.</w:t>
      </w:r>
    </w:p>
    <w:p w14:paraId="1494FFD8" w14:textId="3327CD39" w:rsidR="00601EEA" w:rsidRDefault="00601EEA" w:rsidP="00601EEA">
      <w:pPr>
        <w:pStyle w:val="SangriaFrancesaArticulo"/>
      </w:pPr>
    </w:p>
    <w:p w14:paraId="151B9059" w14:textId="77777777" w:rsidR="00601EEA" w:rsidRDefault="00601EEA" w:rsidP="00601EEA">
      <w:pPr>
        <w:pStyle w:val="TextoNormalNegritaCursivandice"/>
        <w:keepNext/>
      </w:pPr>
      <w:r>
        <w:t>Ley Orgánica 7/1980, de 5 de julio, de libertad religiosa</w:t>
      </w:r>
    </w:p>
    <w:p w14:paraId="3D9CD36D" w14:textId="797A5A81" w:rsidR="00601EEA" w:rsidRDefault="00601EEA" w:rsidP="00601EEA">
      <w:pPr>
        <w:pStyle w:val="SangriaFrancesaArticulo"/>
      </w:pPr>
      <w:r w:rsidRPr="00601EEA">
        <w:rPr>
          <w:rStyle w:val="TextoNormalNegritaCaracter"/>
        </w:rPr>
        <w:t>Artículo 2.</w:t>
      </w:r>
      <w:r w:rsidRPr="00601EEA">
        <w:rPr>
          <w:rStyle w:val="TextoNormalCaracter"/>
        </w:rPr>
        <w:t>-</w:t>
      </w:r>
      <w:r>
        <w:t xml:space="preserve"> Sentencia </w:t>
      </w:r>
      <w:hyperlink w:anchor="SENTENCIA_2024_26" w:history="1">
        <w:r w:rsidRPr="00601EEA">
          <w:rPr>
            <w:rStyle w:val="TextoNormalCaracter"/>
          </w:rPr>
          <w:t>26/2024</w:t>
        </w:r>
      </w:hyperlink>
      <w:r>
        <w:t>, VP I.</w:t>
      </w:r>
    </w:p>
    <w:p w14:paraId="704B0A99" w14:textId="452392CB" w:rsidR="00601EEA" w:rsidRDefault="00601EEA" w:rsidP="00601EEA">
      <w:pPr>
        <w:pStyle w:val="SangriaFrancesaArticulo"/>
      </w:pPr>
      <w:r w:rsidRPr="00601EEA">
        <w:rPr>
          <w:rStyle w:val="TextoNormalNegritaCaracter"/>
        </w:rPr>
        <w:t>Artículo 2.1.</w:t>
      </w:r>
      <w:r w:rsidRPr="00601EEA">
        <w:rPr>
          <w:rStyle w:val="TextoNormalCaracter"/>
        </w:rPr>
        <w:t>-</w:t>
      </w:r>
      <w:r>
        <w:t xml:space="preserve"> Sentencia </w:t>
      </w:r>
      <w:hyperlink w:anchor="SENTENCIA_2024_26" w:history="1">
        <w:r w:rsidRPr="00601EEA">
          <w:rPr>
            <w:rStyle w:val="TextoNormalCaracter"/>
          </w:rPr>
          <w:t>26/2024</w:t>
        </w:r>
      </w:hyperlink>
      <w:r>
        <w:t>, f. 2.</w:t>
      </w:r>
    </w:p>
    <w:p w14:paraId="043BFC18" w14:textId="4E474756" w:rsidR="00601EEA" w:rsidRDefault="00601EEA" w:rsidP="00601EEA">
      <w:pPr>
        <w:pStyle w:val="SangriaFrancesaArticulo"/>
      </w:pPr>
      <w:r w:rsidRPr="00601EEA">
        <w:rPr>
          <w:rStyle w:val="TextoNormalNegritaCaracter"/>
        </w:rPr>
        <w:t>Artículo 2.3.</w:t>
      </w:r>
      <w:r w:rsidRPr="00601EEA">
        <w:rPr>
          <w:rStyle w:val="TextoNormalCaracter"/>
        </w:rPr>
        <w:t>-</w:t>
      </w:r>
      <w:r>
        <w:t xml:space="preserve"> Sentencia </w:t>
      </w:r>
      <w:hyperlink w:anchor="SENTENCIA_2024_26" w:history="1">
        <w:r w:rsidRPr="00601EEA">
          <w:rPr>
            <w:rStyle w:val="TextoNormalCaracter"/>
          </w:rPr>
          <w:t>26/2024</w:t>
        </w:r>
      </w:hyperlink>
      <w:r>
        <w:t>, VP I.</w:t>
      </w:r>
    </w:p>
    <w:p w14:paraId="60359AA3" w14:textId="037A41D3" w:rsidR="00601EEA" w:rsidRDefault="00601EEA" w:rsidP="00601EEA">
      <w:pPr>
        <w:pStyle w:val="SangriaFrancesaArticulo"/>
      </w:pPr>
    </w:p>
    <w:p w14:paraId="178ADC55" w14:textId="77777777" w:rsidR="00601EEA" w:rsidRDefault="00601EEA" w:rsidP="00601EEA">
      <w:pPr>
        <w:pStyle w:val="TextoNormalNegritaCursivandice"/>
        <w:keepNext/>
      </w:pPr>
      <w:r>
        <w:lastRenderedPageBreak/>
        <w:t>Ley Orgánica 1/1982, de 5 de mayo. Protección civil del derecho al honor, a la intimidad personal y familiar y a la propia imagen</w:t>
      </w:r>
    </w:p>
    <w:p w14:paraId="6A9C0440" w14:textId="38D11485"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87" w:history="1">
        <w:r w:rsidRPr="00601EEA">
          <w:rPr>
            <w:rStyle w:val="TextoNormalCaracter"/>
          </w:rPr>
          <w:t>87/2024</w:t>
        </w:r>
      </w:hyperlink>
      <w:r>
        <w:t>, f. 4.</w:t>
      </w:r>
    </w:p>
    <w:p w14:paraId="60594A7C" w14:textId="5C8B6484" w:rsidR="00601EEA" w:rsidRDefault="00601EEA" w:rsidP="00601EEA">
      <w:pPr>
        <w:pStyle w:val="SangriaFrancesaArticulo"/>
      </w:pPr>
    </w:p>
    <w:p w14:paraId="6C6761BC" w14:textId="77777777" w:rsidR="00601EEA" w:rsidRDefault="00601EEA" w:rsidP="00601EEA">
      <w:pPr>
        <w:pStyle w:val="TextoNormalNegritaCursivandice"/>
        <w:keepNext/>
      </w:pPr>
      <w:r>
        <w:t>Ley Orgánica 2/1982, de 12 de mayo, del Tribunal de Cuentas</w:t>
      </w:r>
    </w:p>
    <w:p w14:paraId="246C624D" w14:textId="5B7060DD"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44" w:history="1">
        <w:r w:rsidRPr="00601EEA">
          <w:rPr>
            <w:rStyle w:val="TextoNormalCaracter"/>
          </w:rPr>
          <w:t>44/2024</w:t>
        </w:r>
      </w:hyperlink>
      <w:r>
        <w:t>, f. 5.</w:t>
      </w:r>
    </w:p>
    <w:p w14:paraId="4462A851" w14:textId="419D2F17" w:rsidR="00601EEA" w:rsidRDefault="00601EEA" w:rsidP="00601EEA">
      <w:pPr>
        <w:pStyle w:val="SangriaFrancesaArticulo"/>
      </w:pPr>
      <w:r w:rsidRPr="00601EEA">
        <w:rPr>
          <w:rStyle w:val="TextoNormalNegritaCaracter"/>
        </w:rPr>
        <w:t>Artículo 8.1.</w:t>
      </w:r>
      <w:r w:rsidRPr="00601EEA">
        <w:rPr>
          <w:rStyle w:val="TextoNormalCaracter"/>
        </w:rPr>
        <w:t>-</w:t>
      </w:r>
      <w:r>
        <w:t xml:space="preserve"> Sentencia </w:t>
      </w:r>
      <w:hyperlink w:anchor="SENTENCIA_2024_15" w:history="1">
        <w:r w:rsidRPr="00601EEA">
          <w:rPr>
            <w:rStyle w:val="TextoNormalCaracter"/>
          </w:rPr>
          <w:t>15/2024</w:t>
        </w:r>
      </w:hyperlink>
      <w:r>
        <w:t>, f. 6.</w:t>
      </w:r>
    </w:p>
    <w:p w14:paraId="33B52700" w14:textId="47A5F2DB" w:rsidR="00601EEA" w:rsidRDefault="00601EEA" w:rsidP="00601EEA">
      <w:pPr>
        <w:pStyle w:val="SangriaFrancesaArticulo"/>
      </w:pPr>
    </w:p>
    <w:p w14:paraId="25898955" w14:textId="77777777" w:rsidR="00601EEA" w:rsidRDefault="00601EEA" w:rsidP="00601EEA">
      <w:pPr>
        <w:pStyle w:val="TextoNormalNegritaCursivandice"/>
        <w:keepNext/>
      </w:pPr>
      <w:r>
        <w:t>Ley Orgánica 6/1984, de 24 de mayo, reguladora del procedimiento de habeas corpus</w:t>
      </w:r>
    </w:p>
    <w:p w14:paraId="5FB9E764" w14:textId="37209031"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85" w:history="1">
        <w:r w:rsidRPr="00601EEA">
          <w:rPr>
            <w:rStyle w:val="TextoNormalCaracter"/>
          </w:rPr>
          <w:t>85/2024</w:t>
        </w:r>
      </w:hyperlink>
      <w:r>
        <w:t>, f. 3.</w:t>
      </w:r>
    </w:p>
    <w:p w14:paraId="54B972F4" w14:textId="24E10895" w:rsidR="00601EEA" w:rsidRDefault="00601EEA" w:rsidP="00601EEA">
      <w:pPr>
        <w:pStyle w:val="SangriaFrancesaArticulo"/>
      </w:pPr>
      <w:r w:rsidRPr="00601EEA">
        <w:rPr>
          <w:rStyle w:val="TextoNormalNegritaCaracter"/>
        </w:rPr>
        <w:t>Artículo 1.</w:t>
      </w:r>
      <w:r w:rsidRPr="00601EEA">
        <w:rPr>
          <w:rStyle w:val="TextoNormalCaracter"/>
        </w:rPr>
        <w:t>-</w:t>
      </w:r>
      <w:r>
        <w:t xml:space="preserve"> Sentencia </w:t>
      </w:r>
      <w:hyperlink w:anchor="SENTENCIA_2024_85" w:history="1">
        <w:r w:rsidRPr="00601EEA">
          <w:rPr>
            <w:rStyle w:val="TextoNormalCaracter"/>
          </w:rPr>
          <w:t>85/2024</w:t>
        </w:r>
      </w:hyperlink>
      <w:r>
        <w:t>, ff. 2, 3.</w:t>
      </w:r>
    </w:p>
    <w:p w14:paraId="6B9338C7" w14:textId="4656D948" w:rsidR="00601EEA" w:rsidRDefault="00601EEA" w:rsidP="00601EEA">
      <w:pPr>
        <w:pStyle w:val="SangriaFrancesaArticulo"/>
      </w:pPr>
      <w:r w:rsidRPr="00601EEA">
        <w:rPr>
          <w:rStyle w:val="TextoNormalNegritaCaracter"/>
        </w:rPr>
        <w:t>Artículo 1 a).</w:t>
      </w:r>
      <w:r w:rsidRPr="00601EEA">
        <w:rPr>
          <w:rStyle w:val="TextoNormalCaracter"/>
        </w:rPr>
        <w:t>-</w:t>
      </w:r>
      <w:r>
        <w:t xml:space="preserve"> Sentencia </w:t>
      </w:r>
      <w:hyperlink w:anchor="SENTENCIA_2024_85" w:history="1">
        <w:r w:rsidRPr="00601EEA">
          <w:rPr>
            <w:rStyle w:val="TextoNormalCaracter"/>
          </w:rPr>
          <w:t>85/2024</w:t>
        </w:r>
      </w:hyperlink>
      <w:r>
        <w:t>, f. 3.</w:t>
      </w:r>
    </w:p>
    <w:p w14:paraId="5898164B" w14:textId="69172BC1" w:rsidR="00601EEA" w:rsidRDefault="00601EEA" w:rsidP="00601EEA">
      <w:pPr>
        <w:pStyle w:val="SangriaFrancesaArticulo"/>
      </w:pPr>
      <w:r w:rsidRPr="00601EEA">
        <w:rPr>
          <w:rStyle w:val="TextoNormalNegritaCaracter"/>
        </w:rPr>
        <w:t>Artículo 3.</w:t>
      </w:r>
      <w:r w:rsidRPr="00601EEA">
        <w:rPr>
          <w:rStyle w:val="TextoNormalCaracter"/>
        </w:rPr>
        <w:t>-</w:t>
      </w:r>
      <w:r>
        <w:t xml:space="preserve"> Sentencia </w:t>
      </w:r>
      <w:hyperlink w:anchor="SENTENCIA_2024_85" w:history="1">
        <w:r w:rsidRPr="00601EEA">
          <w:rPr>
            <w:rStyle w:val="TextoNormalCaracter"/>
          </w:rPr>
          <w:t>85/2024</w:t>
        </w:r>
      </w:hyperlink>
      <w:r>
        <w:t>, ff. 2, 3.</w:t>
      </w:r>
    </w:p>
    <w:p w14:paraId="7F8B319E" w14:textId="4A93AA14" w:rsidR="00601EEA" w:rsidRDefault="00601EEA" w:rsidP="00601EEA">
      <w:pPr>
        <w:pStyle w:val="SangriaFrancesaArticulo"/>
      </w:pPr>
      <w:r w:rsidRPr="00601EEA">
        <w:rPr>
          <w:rStyle w:val="TextoNormalNegritaCaracter"/>
        </w:rPr>
        <w:t>Artículo 4.</w:t>
      </w:r>
      <w:r w:rsidRPr="00601EEA">
        <w:rPr>
          <w:rStyle w:val="TextoNormalCaracter"/>
        </w:rPr>
        <w:t>-</w:t>
      </w:r>
      <w:r>
        <w:t xml:space="preserve"> Sentencia </w:t>
      </w:r>
      <w:hyperlink w:anchor="SENTENCIA_2024_85" w:history="1">
        <w:r w:rsidRPr="00601EEA">
          <w:rPr>
            <w:rStyle w:val="TextoNormalCaracter"/>
          </w:rPr>
          <w:t>85/2024</w:t>
        </w:r>
      </w:hyperlink>
      <w:r>
        <w:t>, ff. 2, 3.</w:t>
      </w:r>
    </w:p>
    <w:p w14:paraId="1BC613E8" w14:textId="6399CA30" w:rsidR="00601EEA" w:rsidRDefault="00601EEA" w:rsidP="00601EEA">
      <w:pPr>
        <w:pStyle w:val="SangriaFrancesaArticulo"/>
      </w:pPr>
      <w:r w:rsidRPr="00601EEA">
        <w:rPr>
          <w:rStyle w:val="TextoNormalNegritaCaracter"/>
        </w:rPr>
        <w:t>Artículo 6.</w:t>
      </w:r>
      <w:r w:rsidRPr="00601EEA">
        <w:rPr>
          <w:rStyle w:val="TextoNormalCaracter"/>
        </w:rPr>
        <w:t>-</w:t>
      </w:r>
      <w:r>
        <w:t xml:space="preserve"> Sentencia </w:t>
      </w:r>
      <w:hyperlink w:anchor="SENTENCIA_2024_85" w:history="1">
        <w:r w:rsidRPr="00601EEA">
          <w:rPr>
            <w:rStyle w:val="TextoNormalCaracter"/>
          </w:rPr>
          <w:t>85/2024</w:t>
        </w:r>
      </w:hyperlink>
      <w:r>
        <w:t>, f. 3.</w:t>
      </w:r>
    </w:p>
    <w:p w14:paraId="1161A566" w14:textId="55134EAE" w:rsidR="00601EEA" w:rsidRDefault="00601EEA" w:rsidP="00601EEA">
      <w:pPr>
        <w:pStyle w:val="SangriaFrancesaArticulo"/>
      </w:pPr>
      <w:r w:rsidRPr="00601EEA">
        <w:rPr>
          <w:rStyle w:val="TextoNormalNegritaCaracter"/>
        </w:rPr>
        <w:t>Artículo 7.</w:t>
      </w:r>
      <w:r w:rsidRPr="00601EEA">
        <w:rPr>
          <w:rStyle w:val="TextoNormalCaracter"/>
        </w:rPr>
        <w:t>-</w:t>
      </w:r>
      <w:r>
        <w:t xml:space="preserve"> Sentencia </w:t>
      </w:r>
      <w:hyperlink w:anchor="SENTENCIA_2024_85" w:history="1">
        <w:r w:rsidRPr="00601EEA">
          <w:rPr>
            <w:rStyle w:val="TextoNormalCaracter"/>
          </w:rPr>
          <w:t>85/2024</w:t>
        </w:r>
      </w:hyperlink>
      <w:r>
        <w:t>, ff. 1, 3.</w:t>
      </w:r>
    </w:p>
    <w:p w14:paraId="43F61B5A" w14:textId="11D1F220" w:rsidR="00601EEA" w:rsidRDefault="00601EEA" w:rsidP="00601EEA">
      <w:pPr>
        <w:pStyle w:val="SangriaFrancesaArticulo"/>
      </w:pPr>
      <w:r w:rsidRPr="00601EEA">
        <w:rPr>
          <w:rStyle w:val="TextoNormalNegritaCaracter"/>
        </w:rPr>
        <w:t>Artículo 8.</w:t>
      </w:r>
      <w:r w:rsidRPr="00601EEA">
        <w:rPr>
          <w:rStyle w:val="TextoNormalCaracter"/>
        </w:rPr>
        <w:t>-</w:t>
      </w:r>
      <w:r>
        <w:t xml:space="preserve"> Sentencia </w:t>
      </w:r>
      <w:hyperlink w:anchor="SENTENCIA_2024_85" w:history="1">
        <w:r w:rsidRPr="00601EEA">
          <w:rPr>
            <w:rStyle w:val="TextoNormalCaracter"/>
          </w:rPr>
          <w:t>85/2024</w:t>
        </w:r>
      </w:hyperlink>
      <w:r>
        <w:t>, f. 3.</w:t>
      </w:r>
    </w:p>
    <w:p w14:paraId="7DB4C02D" w14:textId="1A3D7D21" w:rsidR="00601EEA" w:rsidRDefault="00601EEA" w:rsidP="00601EEA">
      <w:pPr>
        <w:pStyle w:val="SangriaFrancesaArticulo"/>
      </w:pPr>
    </w:p>
    <w:p w14:paraId="595ECECC" w14:textId="77777777" w:rsidR="00601EEA" w:rsidRDefault="00601EEA" w:rsidP="00601EEA">
      <w:pPr>
        <w:pStyle w:val="TextoNormalNegritaCursivandice"/>
        <w:keepNext/>
      </w:pPr>
      <w:r>
        <w:t>Ley Orgánica 5/1985, de 19 de junio, del régimen electoral general</w:t>
      </w:r>
    </w:p>
    <w:p w14:paraId="17CC75B8" w14:textId="15DA987D"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Sentencias </w:t>
      </w:r>
      <w:hyperlink w:anchor="SENTENCIA_2024_66" w:history="1">
        <w:r w:rsidRPr="00601EEA">
          <w:rPr>
            <w:rStyle w:val="TextoNormalCaracter"/>
          </w:rPr>
          <w:t>66/2024</w:t>
        </w:r>
      </w:hyperlink>
      <w:r>
        <w:t xml:space="preserve">, f. 4; </w:t>
      </w:r>
      <w:hyperlink w:anchor="SENTENCIA_2024_69" w:history="1">
        <w:r w:rsidRPr="00601EEA">
          <w:rPr>
            <w:rStyle w:val="TextoNormalCaracter"/>
          </w:rPr>
          <w:t>69/2024</w:t>
        </w:r>
      </w:hyperlink>
      <w:r>
        <w:t>, f. 1.</w:t>
      </w:r>
    </w:p>
    <w:p w14:paraId="14053375" w14:textId="26F61EDF" w:rsidR="00601EEA" w:rsidRDefault="00601EEA" w:rsidP="00601EEA">
      <w:pPr>
        <w:pStyle w:val="SangriaFrancesaArticulo"/>
      </w:pPr>
      <w:r w:rsidRPr="00601EEA">
        <w:rPr>
          <w:rStyle w:val="TextoNormalNegritaCaracter"/>
        </w:rPr>
        <w:t>Artículo 1.</w:t>
      </w:r>
      <w:r w:rsidRPr="00601EEA">
        <w:rPr>
          <w:rStyle w:val="TextoNormalCaracter"/>
        </w:rPr>
        <w:t>-</w:t>
      </w:r>
      <w:r>
        <w:t xml:space="preserve"> Sentencia </w:t>
      </w:r>
      <w:hyperlink w:anchor="SENTENCIA_2024_8" w:history="1">
        <w:r w:rsidRPr="00601EEA">
          <w:rPr>
            <w:rStyle w:val="TextoNormalCaracter"/>
          </w:rPr>
          <w:t>8/2024</w:t>
        </w:r>
      </w:hyperlink>
      <w:r>
        <w:t>, VP I.</w:t>
      </w:r>
    </w:p>
    <w:p w14:paraId="411C1669" w14:textId="260A36ED" w:rsidR="00601EEA" w:rsidRDefault="00601EEA" w:rsidP="00601EEA">
      <w:pPr>
        <w:pStyle w:val="SangriaFrancesaArticulo"/>
      </w:pPr>
      <w:r w:rsidRPr="00601EEA">
        <w:rPr>
          <w:rStyle w:val="TextoNormalNegritaCaracter"/>
        </w:rPr>
        <w:t>Artículo 6.</w:t>
      </w:r>
      <w:r w:rsidRPr="00601EEA">
        <w:rPr>
          <w:rStyle w:val="TextoNormalCaracter"/>
        </w:rPr>
        <w:t>-</w:t>
      </w:r>
      <w:r>
        <w:t xml:space="preserve"> Sentencia </w:t>
      </w:r>
      <w:hyperlink w:anchor="SENTENCIA_2024_18" w:history="1">
        <w:r w:rsidRPr="00601EEA">
          <w:rPr>
            <w:rStyle w:val="TextoNormalCaracter"/>
          </w:rPr>
          <w:t>18/2024</w:t>
        </w:r>
      </w:hyperlink>
      <w:r>
        <w:t>, f. único.</w:t>
      </w:r>
    </w:p>
    <w:p w14:paraId="3DC54F40" w14:textId="4D1EB39A" w:rsidR="00601EEA" w:rsidRDefault="00601EEA" w:rsidP="00601EEA">
      <w:pPr>
        <w:pStyle w:val="SangriaFrancesaArticulo"/>
      </w:pPr>
      <w:r w:rsidRPr="00601EEA">
        <w:rPr>
          <w:rStyle w:val="TextoNormalNegritaCaracter"/>
        </w:rPr>
        <w:t>Artículo 6.1.</w:t>
      </w:r>
      <w:r w:rsidRPr="00601EEA">
        <w:rPr>
          <w:rStyle w:val="TextoNormalCaracter"/>
        </w:rPr>
        <w:t>-</w:t>
      </w:r>
      <w:r>
        <w:t xml:space="preserve"> Sentencia </w:t>
      </w:r>
      <w:hyperlink w:anchor="SENTENCIA_2024_50" w:history="1">
        <w:r w:rsidRPr="00601EEA">
          <w:rPr>
            <w:rStyle w:val="TextoNormalCaracter"/>
          </w:rPr>
          <w:t>50/2024</w:t>
        </w:r>
      </w:hyperlink>
      <w:r>
        <w:t>, f. 4.</w:t>
      </w:r>
    </w:p>
    <w:p w14:paraId="61728100" w14:textId="13772358" w:rsidR="00601EEA" w:rsidRDefault="00601EEA" w:rsidP="00601EEA">
      <w:pPr>
        <w:pStyle w:val="SangriaFrancesaArticulo"/>
      </w:pPr>
      <w:r w:rsidRPr="00601EEA">
        <w:rPr>
          <w:rStyle w:val="TextoNormalNegritaCaracter"/>
        </w:rPr>
        <w:t>Artículo 6.2.</w:t>
      </w:r>
      <w:r w:rsidRPr="00601EEA">
        <w:rPr>
          <w:rStyle w:val="TextoNormalCaracter"/>
        </w:rPr>
        <w:t>-</w:t>
      </w:r>
      <w:r>
        <w:t xml:space="preserve"> Sentencia </w:t>
      </w:r>
      <w:hyperlink w:anchor="SENTENCIA_2024_18" w:history="1">
        <w:r w:rsidRPr="00601EEA">
          <w:rPr>
            <w:rStyle w:val="TextoNormalCaracter"/>
          </w:rPr>
          <w:t>18/2024</w:t>
        </w:r>
      </w:hyperlink>
      <w:r>
        <w:t>, f. único.</w:t>
      </w:r>
    </w:p>
    <w:p w14:paraId="69760C99" w14:textId="7D4A7624" w:rsidR="00601EEA" w:rsidRDefault="00601EEA" w:rsidP="00601EEA">
      <w:pPr>
        <w:pStyle w:val="SangriaFrancesaArticulo"/>
      </w:pPr>
      <w:r w:rsidRPr="00601EEA">
        <w:rPr>
          <w:rStyle w:val="TextoNormalNegritaCaracter"/>
        </w:rPr>
        <w:t>Artículo 6.2 a).</w:t>
      </w:r>
      <w:r w:rsidRPr="00601EEA">
        <w:rPr>
          <w:rStyle w:val="TextoNormalCaracter"/>
        </w:rPr>
        <w:t>-</w:t>
      </w:r>
      <w:r>
        <w:t xml:space="preserve"> Sentencias </w:t>
      </w:r>
      <w:hyperlink w:anchor="SENTENCIA_2024_18" w:history="1">
        <w:r w:rsidRPr="00601EEA">
          <w:rPr>
            <w:rStyle w:val="TextoNormalCaracter"/>
          </w:rPr>
          <w:t>18/2024</w:t>
        </w:r>
      </w:hyperlink>
      <w:r>
        <w:t xml:space="preserve">, VP; </w:t>
      </w:r>
      <w:hyperlink w:anchor="SENTENCIA_2024_50" w:history="1">
        <w:r w:rsidRPr="00601EEA">
          <w:rPr>
            <w:rStyle w:val="TextoNormalCaracter"/>
          </w:rPr>
          <w:t>50/2024</w:t>
        </w:r>
      </w:hyperlink>
      <w:r>
        <w:t>, ff. 1, 3, 4.</w:t>
      </w:r>
    </w:p>
    <w:p w14:paraId="2B0AC12E" w14:textId="46658A9B" w:rsidR="00601EEA" w:rsidRDefault="00601EEA" w:rsidP="00601EEA">
      <w:pPr>
        <w:pStyle w:val="SangriaFrancesaArticulo"/>
      </w:pPr>
      <w:r w:rsidRPr="00601EEA">
        <w:rPr>
          <w:rStyle w:val="TextoNormalNegritaCaracter"/>
        </w:rPr>
        <w:t>Art´ciulo 44 bis.</w:t>
      </w:r>
      <w:r w:rsidRPr="00601EEA">
        <w:rPr>
          <w:rStyle w:val="TextoNormalCaracter"/>
        </w:rPr>
        <w:t>-</w:t>
      </w:r>
      <w:r>
        <w:t xml:space="preserve"> Sentencia </w:t>
      </w:r>
      <w:hyperlink w:anchor="SENTENCIA_2024_50" w:history="1">
        <w:r w:rsidRPr="00601EEA">
          <w:rPr>
            <w:rStyle w:val="TextoNormalCaracter"/>
          </w:rPr>
          <w:t>50/2024</w:t>
        </w:r>
      </w:hyperlink>
      <w:r>
        <w:t>, f. 4.</w:t>
      </w:r>
    </w:p>
    <w:p w14:paraId="612ABF43" w14:textId="5E5B61DA" w:rsidR="00601EEA" w:rsidRDefault="00601EEA" w:rsidP="00601EEA">
      <w:pPr>
        <w:pStyle w:val="SangriaFrancesaArticulo"/>
      </w:pPr>
      <w:r w:rsidRPr="00601EEA">
        <w:rPr>
          <w:rStyle w:val="TextoNormalNegritaCaracter"/>
        </w:rPr>
        <w:t>Título I.</w:t>
      </w:r>
      <w:r w:rsidRPr="00601EEA">
        <w:rPr>
          <w:rStyle w:val="TextoNormalCaracter"/>
        </w:rPr>
        <w:t>-</w:t>
      </w:r>
      <w:r>
        <w:t xml:space="preserve"> Sentencia </w:t>
      </w:r>
      <w:hyperlink w:anchor="SENTENCIA_2024_66" w:history="1">
        <w:r w:rsidRPr="00601EEA">
          <w:rPr>
            <w:rStyle w:val="TextoNormalCaracter"/>
          </w:rPr>
          <w:t>66/2024</w:t>
        </w:r>
      </w:hyperlink>
      <w:r>
        <w:t>, f. 2.</w:t>
      </w:r>
    </w:p>
    <w:p w14:paraId="25C358E0" w14:textId="2C6269CF" w:rsidR="00601EEA" w:rsidRDefault="00601EEA" w:rsidP="00601EEA">
      <w:pPr>
        <w:pStyle w:val="SangriaFrancesaArticulo"/>
      </w:pPr>
      <w:r w:rsidRPr="00601EEA">
        <w:rPr>
          <w:rStyle w:val="TextoNormalNegritaCaracter"/>
        </w:rPr>
        <w:t>Artículo 1.</w:t>
      </w:r>
      <w:r w:rsidRPr="00601EEA">
        <w:rPr>
          <w:rStyle w:val="TextoNormalCaracter"/>
        </w:rPr>
        <w:t>-</w:t>
      </w:r>
      <w:r>
        <w:t xml:space="preserve"> Sentencia </w:t>
      </w:r>
      <w:hyperlink w:anchor="SENTENCIA_2024_66" w:history="1">
        <w:r w:rsidRPr="00601EEA">
          <w:rPr>
            <w:rStyle w:val="TextoNormalCaracter"/>
          </w:rPr>
          <w:t>66/2024</w:t>
        </w:r>
      </w:hyperlink>
      <w:r>
        <w:t>, f. 2.</w:t>
      </w:r>
    </w:p>
    <w:p w14:paraId="3EDFCEB0" w14:textId="00CC2B16" w:rsidR="00601EEA" w:rsidRDefault="00601EEA" w:rsidP="00601EEA">
      <w:pPr>
        <w:pStyle w:val="SangriaFrancesaArticulo"/>
      </w:pPr>
      <w:r w:rsidRPr="00601EEA">
        <w:rPr>
          <w:rStyle w:val="TextoNormalNegritaCaracter"/>
        </w:rPr>
        <w:t>Artículo 6.</w:t>
      </w:r>
      <w:r w:rsidRPr="00601EEA">
        <w:rPr>
          <w:rStyle w:val="TextoNormalCaracter"/>
        </w:rPr>
        <w:t>-</w:t>
      </w:r>
      <w:r>
        <w:t xml:space="preserve"> Sentencias </w:t>
      </w:r>
      <w:hyperlink w:anchor="SENTENCIA_2024_8" w:history="1">
        <w:r w:rsidRPr="00601EEA">
          <w:rPr>
            <w:rStyle w:val="TextoNormalCaracter"/>
          </w:rPr>
          <w:t>8/2024</w:t>
        </w:r>
      </w:hyperlink>
      <w:r>
        <w:t xml:space="preserve">, ff. 1, VP I; </w:t>
      </w:r>
      <w:hyperlink w:anchor="SENTENCIA_2024_66" w:history="1">
        <w:r w:rsidRPr="00601EEA">
          <w:rPr>
            <w:rStyle w:val="TextoNormalCaracter"/>
          </w:rPr>
          <w:t>66/2024</w:t>
        </w:r>
      </w:hyperlink>
      <w:r>
        <w:t>, ff. 5, 6.</w:t>
      </w:r>
    </w:p>
    <w:p w14:paraId="7361DB7B" w14:textId="3F28933B" w:rsidR="00601EEA" w:rsidRDefault="00601EEA" w:rsidP="00601EEA">
      <w:pPr>
        <w:pStyle w:val="SangriaFrancesaArticulo"/>
      </w:pPr>
      <w:r w:rsidRPr="00601EEA">
        <w:rPr>
          <w:rStyle w:val="TextoNormalNegritaCaracter"/>
        </w:rPr>
        <w:t>Artículo 6.2.</w:t>
      </w:r>
      <w:r w:rsidRPr="00601EEA">
        <w:rPr>
          <w:rStyle w:val="TextoNormalCaracter"/>
        </w:rPr>
        <w:t>-</w:t>
      </w:r>
      <w:r>
        <w:t xml:space="preserve"> Sentencias </w:t>
      </w:r>
      <w:hyperlink w:anchor="SENTENCIA_2024_8" w:history="1">
        <w:r w:rsidRPr="00601EEA">
          <w:rPr>
            <w:rStyle w:val="TextoNormalCaracter"/>
          </w:rPr>
          <w:t>8/2024</w:t>
        </w:r>
      </w:hyperlink>
      <w:r>
        <w:t xml:space="preserve">, VP I; </w:t>
      </w:r>
      <w:hyperlink w:anchor="SENTENCIA_2024_50" w:history="1">
        <w:r w:rsidRPr="00601EEA">
          <w:rPr>
            <w:rStyle w:val="TextoNormalCaracter"/>
          </w:rPr>
          <w:t>50/2024</w:t>
        </w:r>
      </w:hyperlink>
      <w:r>
        <w:t>, f. 4.</w:t>
      </w:r>
    </w:p>
    <w:p w14:paraId="1ADD6FF7" w14:textId="6889B8BA" w:rsidR="00601EEA" w:rsidRDefault="00601EEA" w:rsidP="00601EEA">
      <w:pPr>
        <w:pStyle w:val="SangriaFrancesaArticulo"/>
      </w:pPr>
      <w:r w:rsidRPr="00601EEA">
        <w:rPr>
          <w:rStyle w:val="TextoNormalNegritaCaracter"/>
        </w:rPr>
        <w:t>Artículo 6.2 a).</w:t>
      </w:r>
      <w:r w:rsidRPr="00601EEA">
        <w:rPr>
          <w:rStyle w:val="TextoNormalCaracter"/>
        </w:rPr>
        <w:t>-</w:t>
      </w:r>
      <w:r>
        <w:t xml:space="preserve"> Sentencias </w:t>
      </w:r>
      <w:hyperlink w:anchor="SENTENCIA_2024_8" w:history="1">
        <w:r w:rsidRPr="00601EEA">
          <w:rPr>
            <w:rStyle w:val="TextoNormalCaracter"/>
          </w:rPr>
          <w:t>8/2024</w:t>
        </w:r>
      </w:hyperlink>
      <w:r>
        <w:t xml:space="preserve">, f. 1, VP I; </w:t>
      </w:r>
      <w:hyperlink w:anchor="SENTENCIA_2024_66" w:history="1">
        <w:r w:rsidRPr="00601EEA">
          <w:rPr>
            <w:rStyle w:val="TextoNormalCaracter"/>
          </w:rPr>
          <w:t>66/2024</w:t>
        </w:r>
      </w:hyperlink>
      <w:r>
        <w:t>, ff. 1, 2, 4, 6.</w:t>
      </w:r>
    </w:p>
    <w:p w14:paraId="02C9CF5B" w14:textId="336C5D38" w:rsidR="00601EEA" w:rsidRDefault="00601EEA" w:rsidP="00601EEA">
      <w:pPr>
        <w:pStyle w:val="SangriaFrancesaArticulo"/>
      </w:pPr>
      <w:r w:rsidRPr="00601EEA">
        <w:rPr>
          <w:rStyle w:val="TextoNormalNegritaCaracter"/>
        </w:rPr>
        <w:t>Artículo 6.2 b).</w:t>
      </w:r>
      <w:r w:rsidRPr="00601EEA">
        <w:rPr>
          <w:rStyle w:val="TextoNormalCaracter"/>
        </w:rPr>
        <w:t>-</w:t>
      </w:r>
      <w:r>
        <w:t xml:space="preserve"> Sentencia </w:t>
      </w:r>
      <w:hyperlink w:anchor="SENTENCIA_2024_62" w:history="1">
        <w:r w:rsidRPr="00601EEA">
          <w:rPr>
            <w:rStyle w:val="TextoNormalCaracter"/>
          </w:rPr>
          <w:t>62/2024</w:t>
        </w:r>
      </w:hyperlink>
      <w:r>
        <w:t>, ff. 1, 2.</w:t>
      </w:r>
    </w:p>
    <w:p w14:paraId="366D49B2" w14:textId="0FD403BB" w:rsidR="00601EEA" w:rsidRDefault="00601EEA" w:rsidP="00601EEA">
      <w:pPr>
        <w:pStyle w:val="SangriaFrancesaArticulo"/>
      </w:pPr>
      <w:r w:rsidRPr="00601EEA">
        <w:rPr>
          <w:rStyle w:val="TextoNormalNegritaCaracter"/>
        </w:rPr>
        <w:t>Artículo 6.4.</w:t>
      </w:r>
      <w:r w:rsidRPr="00601EEA">
        <w:rPr>
          <w:rStyle w:val="TextoNormalCaracter"/>
        </w:rPr>
        <w:t>-</w:t>
      </w:r>
      <w:r>
        <w:t xml:space="preserve"> Sentencias </w:t>
      </w:r>
      <w:hyperlink w:anchor="SENTENCIA_2024_8" w:history="1">
        <w:r w:rsidRPr="00601EEA">
          <w:rPr>
            <w:rStyle w:val="TextoNormalCaracter"/>
          </w:rPr>
          <w:t>8/2024</w:t>
        </w:r>
      </w:hyperlink>
      <w:r>
        <w:t xml:space="preserve">, f. 1, VP I; </w:t>
      </w:r>
      <w:hyperlink w:anchor="SENTENCIA_2024_18" w:history="1">
        <w:r w:rsidRPr="00601EEA">
          <w:rPr>
            <w:rStyle w:val="TextoNormalCaracter"/>
          </w:rPr>
          <w:t>18/2024</w:t>
        </w:r>
      </w:hyperlink>
      <w:r>
        <w:t xml:space="preserve">, f. único, VP; </w:t>
      </w:r>
      <w:hyperlink w:anchor="SENTENCIA_2024_50" w:history="1">
        <w:r w:rsidRPr="00601EEA">
          <w:rPr>
            <w:rStyle w:val="TextoNormalCaracter"/>
          </w:rPr>
          <w:t>50/2024</w:t>
        </w:r>
      </w:hyperlink>
      <w:r>
        <w:t xml:space="preserve">, f. 4; </w:t>
      </w:r>
      <w:hyperlink w:anchor="SENTENCIA_2024_66" w:history="1">
        <w:r w:rsidRPr="00601EEA">
          <w:rPr>
            <w:rStyle w:val="TextoNormalCaracter"/>
          </w:rPr>
          <w:t>66/2024</w:t>
        </w:r>
      </w:hyperlink>
      <w:r>
        <w:t>, ff. 1, 2, 4, 6.</w:t>
      </w:r>
    </w:p>
    <w:p w14:paraId="6482FAF5" w14:textId="7E697689" w:rsidR="00601EEA" w:rsidRDefault="00601EEA" w:rsidP="00601EEA">
      <w:pPr>
        <w:pStyle w:val="SangriaFrancesaArticulo"/>
      </w:pPr>
      <w:r w:rsidRPr="00601EEA">
        <w:rPr>
          <w:rStyle w:val="TextoNormalNegritaCaracter"/>
        </w:rPr>
        <w:t>Artículo 7.1.</w:t>
      </w:r>
      <w:r w:rsidRPr="00601EEA">
        <w:rPr>
          <w:rStyle w:val="TextoNormalCaracter"/>
        </w:rPr>
        <w:t>-</w:t>
      </w:r>
      <w:r>
        <w:t xml:space="preserve"> Sentencia </w:t>
      </w:r>
      <w:hyperlink w:anchor="SENTENCIA_2024_50" w:history="1">
        <w:r w:rsidRPr="00601EEA">
          <w:rPr>
            <w:rStyle w:val="TextoNormalCaracter"/>
          </w:rPr>
          <w:t>50/2024</w:t>
        </w:r>
      </w:hyperlink>
      <w:r>
        <w:t>, f. 4.</w:t>
      </w:r>
    </w:p>
    <w:p w14:paraId="01005A4A" w14:textId="5F8FF924" w:rsidR="00601EEA" w:rsidRDefault="00601EEA" w:rsidP="00601EEA">
      <w:pPr>
        <w:pStyle w:val="SangriaFrancesaArticulo"/>
      </w:pPr>
      <w:r w:rsidRPr="00601EEA">
        <w:rPr>
          <w:rStyle w:val="TextoNormalNegritaCaracter"/>
        </w:rPr>
        <w:t>Artículo 21.1.</w:t>
      </w:r>
      <w:r w:rsidRPr="00601EEA">
        <w:rPr>
          <w:rStyle w:val="TextoNormalCaracter"/>
        </w:rPr>
        <w:t>-</w:t>
      </w:r>
      <w:r>
        <w:t xml:space="preserve"> Sentencia </w:t>
      </w:r>
      <w:hyperlink w:anchor="SENTENCIA_2024_50" w:history="1">
        <w:r w:rsidRPr="00601EEA">
          <w:rPr>
            <w:rStyle w:val="TextoNormalCaracter"/>
          </w:rPr>
          <w:t>50/2024</w:t>
        </w:r>
      </w:hyperlink>
      <w:r>
        <w:t>, f. 1.</w:t>
      </w:r>
    </w:p>
    <w:p w14:paraId="0A6BB547" w14:textId="42BECC89" w:rsidR="00601EEA" w:rsidRDefault="00601EEA" w:rsidP="00601EEA">
      <w:pPr>
        <w:pStyle w:val="SangriaFrancesaArticulo"/>
      </w:pPr>
      <w:r w:rsidRPr="00601EEA">
        <w:rPr>
          <w:rStyle w:val="TextoNormalNegritaCaracter"/>
        </w:rPr>
        <w:t>Artículo 49.</w:t>
      </w:r>
      <w:r w:rsidRPr="00601EEA">
        <w:rPr>
          <w:rStyle w:val="TextoNormalCaracter"/>
        </w:rPr>
        <w:t>-</w:t>
      </w:r>
      <w:r>
        <w:t xml:space="preserve"> Sentencia </w:t>
      </w:r>
      <w:hyperlink w:anchor="SENTENCIA_2024_50" w:history="1">
        <w:r w:rsidRPr="00601EEA">
          <w:rPr>
            <w:rStyle w:val="TextoNormalCaracter"/>
          </w:rPr>
          <w:t>50/2024</w:t>
        </w:r>
      </w:hyperlink>
      <w:r>
        <w:t>, ff. 1, 3.</w:t>
      </w:r>
    </w:p>
    <w:p w14:paraId="2CE7CACD" w14:textId="78096156" w:rsidR="00601EEA" w:rsidRDefault="00601EEA" w:rsidP="00601EEA">
      <w:pPr>
        <w:pStyle w:val="SangriaFrancesaArticulo"/>
      </w:pPr>
      <w:r w:rsidRPr="00601EEA">
        <w:rPr>
          <w:rStyle w:val="TextoNormalNegritaCaracter"/>
        </w:rPr>
        <w:t>Artículo 49.1.</w:t>
      </w:r>
      <w:r w:rsidRPr="00601EEA">
        <w:rPr>
          <w:rStyle w:val="TextoNormalCaracter"/>
        </w:rPr>
        <w:t>-</w:t>
      </w:r>
      <w:r>
        <w:t xml:space="preserve"> Sentencia </w:t>
      </w:r>
      <w:hyperlink w:anchor="SENTENCIA_2024_50" w:history="1">
        <w:r w:rsidRPr="00601EEA">
          <w:rPr>
            <w:rStyle w:val="TextoNormalCaracter"/>
          </w:rPr>
          <w:t>50/2024</w:t>
        </w:r>
      </w:hyperlink>
      <w:r>
        <w:t>, f. 3.</w:t>
      </w:r>
    </w:p>
    <w:p w14:paraId="6DA4B27B" w14:textId="43B77C73" w:rsidR="00601EEA" w:rsidRDefault="00601EEA" w:rsidP="00601EEA">
      <w:pPr>
        <w:pStyle w:val="SangriaFrancesaArticulo"/>
      </w:pPr>
      <w:r w:rsidRPr="00601EEA">
        <w:rPr>
          <w:rStyle w:val="TextoNormalNegritaCaracter"/>
        </w:rPr>
        <w:t>Artículo 49.3.</w:t>
      </w:r>
      <w:r w:rsidRPr="00601EEA">
        <w:rPr>
          <w:rStyle w:val="TextoNormalCaracter"/>
        </w:rPr>
        <w:t>-</w:t>
      </w:r>
      <w:r>
        <w:t xml:space="preserve"> Sentencia </w:t>
      </w:r>
      <w:hyperlink w:anchor="SENTENCIA_2024_15" w:history="1">
        <w:r w:rsidRPr="00601EEA">
          <w:rPr>
            <w:rStyle w:val="TextoNormalCaracter"/>
          </w:rPr>
          <w:t>15/2024</w:t>
        </w:r>
      </w:hyperlink>
      <w:r>
        <w:t>, f. 6.</w:t>
      </w:r>
    </w:p>
    <w:p w14:paraId="09BB9952" w14:textId="0B860C99" w:rsidR="00601EEA" w:rsidRDefault="00601EEA" w:rsidP="00601EEA">
      <w:pPr>
        <w:pStyle w:val="SangriaFrancesaArticulo"/>
      </w:pPr>
      <w:r w:rsidRPr="00601EEA">
        <w:rPr>
          <w:rStyle w:val="TextoNormalNegritaCaracter"/>
        </w:rPr>
        <w:t>Artículo 49.4.</w:t>
      </w:r>
      <w:r w:rsidRPr="00601EEA">
        <w:rPr>
          <w:rStyle w:val="TextoNormalCaracter"/>
        </w:rPr>
        <w:t>-</w:t>
      </w:r>
      <w:r>
        <w:t xml:space="preserve"> Sentencia </w:t>
      </w:r>
      <w:hyperlink w:anchor="SENTENCIA_2024_15" w:history="1">
        <w:r w:rsidRPr="00601EEA">
          <w:rPr>
            <w:rStyle w:val="TextoNormalCaracter"/>
          </w:rPr>
          <w:t>15/2024</w:t>
        </w:r>
      </w:hyperlink>
      <w:r>
        <w:t>, f. 6.</w:t>
      </w:r>
    </w:p>
    <w:p w14:paraId="68F32288" w14:textId="5E10A4F6" w:rsidR="00601EEA" w:rsidRDefault="00601EEA" w:rsidP="00601EEA">
      <w:pPr>
        <w:pStyle w:val="SangriaFrancesaArticulo"/>
      </w:pPr>
      <w:r w:rsidRPr="00601EEA">
        <w:rPr>
          <w:rStyle w:val="TextoNormalNegritaCaracter"/>
        </w:rPr>
        <w:t>Artículo 110 c).</w:t>
      </w:r>
      <w:r w:rsidRPr="00601EEA">
        <w:rPr>
          <w:rStyle w:val="TextoNormalCaracter"/>
        </w:rPr>
        <w:t>-</w:t>
      </w:r>
      <w:r>
        <w:t xml:space="preserve"> Sentencia </w:t>
      </w:r>
      <w:hyperlink w:anchor="SENTENCIA_2024_66" w:history="1">
        <w:r w:rsidRPr="00601EEA">
          <w:rPr>
            <w:rStyle w:val="TextoNormalCaracter"/>
          </w:rPr>
          <w:t>66/2024</w:t>
        </w:r>
      </w:hyperlink>
      <w:r>
        <w:t>, f. 2.</w:t>
      </w:r>
    </w:p>
    <w:p w14:paraId="67996F15" w14:textId="65578C7D" w:rsidR="00601EEA" w:rsidRDefault="00601EEA" w:rsidP="00601EEA">
      <w:pPr>
        <w:pStyle w:val="SangriaFrancesaArticulo"/>
      </w:pPr>
      <w:r w:rsidRPr="00601EEA">
        <w:rPr>
          <w:rStyle w:val="TextoNormalNegritaCaracter"/>
        </w:rPr>
        <w:t>Artículo 114.</w:t>
      </w:r>
      <w:r w:rsidRPr="00601EEA">
        <w:rPr>
          <w:rStyle w:val="TextoNormalCaracter"/>
        </w:rPr>
        <w:t>-</w:t>
      </w:r>
      <w:r>
        <w:t xml:space="preserve"> Sentencia </w:t>
      </w:r>
      <w:hyperlink w:anchor="SENTENCIA_2024_15" w:history="1">
        <w:r w:rsidRPr="00601EEA">
          <w:rPr>
            <w:rStyle w:val="TextoNormalCaracter"/>
          </w:rPr>
          <w:t>15/2024</w:t>
        </w:r>
      </w:hyperlink>
      <w:r>
        <w:t>, f. 6.</w:t>
      </w:r>
    </w:p>
    <w:p w14:paraId="52C38564" w14:textId="3F3F4E67" w:rsidR="00601EEA" w:rsidRDefault="00601EEA" w:rsidP="00601EEA">
      <w:pPr>
        <w:pStyle w:val="SangriaFrancesaArticulo"/>
      </w:pPr>
      <w:r w:rsidRPr="00601EEA">
        <w:rPr>
          <w:rStyle w:val="TextoNormalNegritaCaracter"/>
        </w:rPr>
        <w:t>Artículo 133.</w:t>
      </w:r>
      <w:r w:rsidRPr="00601EEA">
        <w:rPr>
          <w:rStyle w:val="TextoNormalCaracter"/>
        </w:rPr>
        <w:t>-</w:t>
      </w:r>
      <w:r>
        <w:t xml:space="preserve"> Sentencia </w:t>
      </w:r>
      <w:hyperlink w:anchor="SENTENCIA_2024_69" w:history="1">
        <w:r w:rsidRPr="00601EEA">
          <w:rPr>
            <w:rStyle w:val="TextoNormalCaracter"/>
          </w:rPr>
          <w:t>69/2024</w:t>
        </w:r>
      </w:hyperlink>
      <w:r>
        <w:t>, f. 1.</w:t>
      </w:r>
    </w:p>
    <w:p w14:paraId="59DE9884" w14:textId="31EA166E" w:rsidR="00601EEA" w:rsidRDefault="00601EEA" w:rsidP="00601EEA">
      <w:pPr>
        <w:pStyle w:val="SangriaFrancesaArticulo"/>
      </w:pPr>
      <w:r w:rsidRPr="00601EEA">
        <w:rPr>
          <w:rStyle w:val="TextoNormalNegritaCaracter"/>
        </w:rPr>
        <w:t>Artículo 134.</w:t>
      </w:r>
      <w:r w:rsidRPr="00601EEA">
        <w:rPr>
          <w:rStyle w:val="TextoNormalCaracter"/>
        </w:rPr>
        <w:t>-</w:t>
      </w:r>
      <w:r>
        <w:t xml:space="preserve"> Sentencia </w:t>
      </w:r>
      <w:hyperlink w:anchor="SENTENCIA_2024_69" w:history="1">
        <w:r w:rsidRPr="00601EEA">
          <w:rPr>
            <w:rStyle w:val="TextoNormalCaracter"/>
          </w:rPr>
          <w:t>69/2024</w:t>
        </w:r>
      </w:hyperlink>
      <w:r>
        <w:t>, f. 6.</w:t>
      </w:r>
    </w:p>
    <w:p w14:paraId="24C45BF4" w14:textId="3B93344A" w:rsidR="00601EEA" w:rsidRDefault="00601EEA" w:rsidP="00601EEA">
      <w:pPr>
        <w:pStyle w:val="SangriaFrancesaArticulo"/>
      </w:pPr>
      <w:r w:rsidRPr="00601EEA">
        <w:rPr>
          <w:rStyle w:val="TextoNormalNegritaCaracter"/>
        </w:rPr>
        <w:t>Artículo 153.1.</w:t>
      </w:r>
      <w:r w:rsidRPr="00601EEA">
        <w:rPr>
          <w:rStyle w:val="TextoNormalCaracter"/>
        </w:rPr>
        <w:t>-</w:t>
      </w:r>
      <w:r>
        <w:t xml:space="preserve"> Sentencia </w:t>
      </w:r>
      <w:hyperlink w:anchor="SENTENCIA_2024_89" w:history="1">
        <w:r w:rsidRPr="00601EEA">
          <w:rPr>
            <w:rStyle w:val="TextoNormalCaracter"/>
          </w:rPr>
          <w:t>89/2024</w:t>
        </w:r>
      </w:hyperlink>
      <w:r>
        <w:t>, f. 5, VP III.</w:t>
      </w:r>
    </w:p>
    <w:p w14:paraId="40B36F40" w14:textId="59B0DED4" w:rsidR="00601EEA" w:rsidRDefault="00601EEA" w:rsidP="00601EEA">
      <w:pPr>
        <w:pStyle w:val="SangriaFrancesaArticulo"/>
      </w:pPr>
      <w:r w:rsidRPr="00601EEA">
        <w:rPr>
          <w:rStyle w:val="TextoNormalNegritaCaracter"/>
        </w:rPr>
        <w:t>Artículo 193.2.</w:t>
      </w:r>
      <w:r w:rsidRPr="00601EEA">
        <w:rPr>
          <w:rStyle w:val="TextoNormalCaracter"/>
        </w:rPr>
        <w:t>-</w:t>
      </w:r>
      <w:r>
        <w:t xml:space="preserve"> Sentencia </w:t>
      </w:r>
      <w:hyperlink w:anchor="SENTENCIA_2024_69" w:history="1">
        <w:r w:rsidRPr="00601EEA">
          <w:rPr>
            <w:rStyle w:val="TextoNormalCaracter"/>
          </w:rPr>
          <w:t>69/2024</w:t>
        </w:r>
      </w:hyperlink>
      <w:r>
        <w:t>, ff. 1, 5.</w:t>
      </w:r>
    </w:p>
    <w:p w14:paraId="5D214801" w14:textId="5F057841" w:rsidR="00601EEA" w:rsidRDefault="00601EEA" w:rsidP="00601EEA">
      <w:pPr>
        <w:pStyle w:val="SangriaFrancesaArticulo"/>
      </w:pPr>
      <w:r w:rsidRPr="00601EEA">
        <w:rPr>
          <w:rStyle w:val="TextoNormalNegritaCaracter"/>
        </w:rPr>
        <w:t>Artículo 211.</w:t>
      </w:r>
      <w:r w:rsidRPr="00601EEA">
        <w:rPr>
          <w:rStyle w:val="TextoNormalCaracter"/>
        </w:rPr>
        <w:t>-</w:t>
      </w:r>
      <w:r>
        <w:t xml:space="preserve"> Sentencia </w:t>
      </w:r>
      <w:hyperlink w:anchor="SENTENCIA_2024_66" w:history="1">
        <w:r w:rsidRPr="00601EEA">
          <w:rPr>
            <w:rStyle w:val="TextoNormalCaracter"/>
          </w:rPr>
          <w:t>66/2024</w:t>
        </w:r>
      </w:hyperlink>
      <w:r>
        <w:t>, f. 5.</w:t>
      </w:r>
    </w:p>
    <w:p w14:paraId="4F390C7B" w14:textId="1E4F319B" w:rsidR="00601EEA" w:rsidRDefault="00601EEA" w:rsidP="00601EEA">
      <w:pPr>
        <w:pStyle w:val="SangriaFrancesaArticulo"/>
      </w:pPr>
      <w:r w:rsidRPr="00601EEA">
        <w:rPr>
          <w:rStyle w:val="TextoNormalNegritaCaracter"/>
        </w:rPr>
        <w:lastRenderedPageBreak/>
        <w:t>Artículo 224.2.</w:t>
      </w:r>
      <w:r w:rsidRPr="00601EEA">
        <w:rPr>
          <w:rStyle w:val="TextoNormalCaracter"/>
        </w:rPr>
        <w:t>-</w:t>
      </w:r>
      <w:r>
        <w:t xml:space="preserve"> Sentencias </w:t>
      </w:r>
      <w:hyperlink w:anchor="SENTENCIA_2024_45" w:history="1">
        <w:r w:rsidRPr="00601EEA">
          <w:rPr>
            <w:rStyle w:val="TextoNormalCaracter"/>
          </w:rPr>
          <w:t>45/2024</w:t>
        </w:r>
      </w:hyperlink>
      <w:r>
        <w:t xml:space="preserve">, f. 1; </w:t>
      </w:r>
      <w:hyperlink w:anchor="SENTENCIA_2024_64" w:history="1">
        <w:r w:rsidRPr="00601EEA">
          <w:rPr>
            <w:rStyle w:val="TextoNormalCaracter"/>
          </w:rPr>
          <w:t>64/2024</w:t>
        </w:r>
      </w:hyperlink>
      <w:r>
        <w:t>, f. único.</w:t>
      </w:r>
    </w:p>
    <w:p w14:paraId="536E1488" w14:textId="49A18D3D" w:rsidR="00601EEA" w:rsidRDefault="00601EEA" w:rsidP="00601EEA">
      <w:pPr>
        <w:pStyle w:val="SangriaFrancesaArticulo"/>
      </w:pPr>
      <w:r w:rsidRPr="00601EEA">
        <w:rPr>
          <w:rStyle w:val="TextoNormalNegritaCaracter"/>
        </w:rPr>
        <w:t>Artículo 224.4.</w:t>
      </w:r>
      <w:r w:rsidRPr="00601EEA">
        <w:rPr>
          <w:rStyle w:val="TextoNormalCaracter"/>
        </w:rPr>
        <w:t>-</w:t>
      </w:r>
      <w:r>
        <w:t xml:space="preserve"> Sentencia </w:t>
      </w:r>
      <w:hyperlink w:anchor="SENTENCIA_2024_31" w:history="1">
        <w:r w:rsidRPr="00601EEA">
          <w:rPr>
            <w:rStyle w:val="TextoNormalCaracter"/>
          </w:rPr>
          <w:t>31/2024</w:t>
        </w:r>
      </w:hyperlink>
      <w:r>
        <w:t>, f. único.</w:t>
      </w:r>
    </w:p>
    <w:p w14:paraId="2204FD0F" w14:textId="346CF7E0" w:rsidR="00601EEA" w:rsidRDefault="00601EEA" w:rsidP="00601EEA">
      <w:pPr>
        <w:pStyle w:val="SangriaFrancesaArticulo"/>
      </w:pPr>
    </w:p>
    <w:p w14:paraId="41EC8A30" w14:textId="77777777" w:rsidR="00601EEA" w:rsidRDefault="00601EEA" w:rsidP="00601EEA">
      <w:pPr>
        <w:pStyle w:val="TextoNormalNegritaCursivandice"/>
        <w:keepNext/>
      </w:pPr>
      <w:r>
        <w:t>Ley Orgánica 6/1985, de 1 de julio. Poder judicial</w:t>
      </w:r>
    </w:p>
    <w:p w14:paraId="37681389" w14:textId="5F5EC083" w:rsidR="00601EEA" w:rsidRDefault="00601EEA" w:rsidP="00601EEA">
      <w:pPr>
        <w:pStyle w:val="SangriaFrancesaArticulo"/>
        <w:keepNext/>
      </w:pPr>
      <w:r w:rsidRPr="00601EEA">
        <w:rPr>
          <w:rStyle w:val="TextoNormalNegritaCaracter"/>
        </w:rPr>
        <w:t>En general.</w:t>
      </w:r>
      <w:r w:rsidRPr="00601EEA">
        <w:rPr>
          <w:rStyle w:val="TextoNormalCaracter"/>
        </w:rPr>
        <w:t>-</w:t>
      </w:r>
      <w:r>
        <w:t xml:space="preserve"> Sentencias </w:t>
      </w:r>
      <w:hyperlink w:anchor="SENTENCIA_2024_15" w:history="1">
        <w:r w:rsidRPr="00601EEA">
          <w:rPr>
            <w:rStyle w:val="TextoNormalCaracter"/>
          </w:rPr>
          <w:t>15/2024</w:t>
        </w:r>
      </w:hyperlink>
      <w:r>
        <w:t xml:space="preserve">, ff. 1, 3 a 5, VP I, VP II; </w:t>
      </w:r>
      <w:hyperlink w:anchor="SENTENCIA_2024_30" w:history="1">
        <w:r w:rsidRPr="00601EEA">
          <w:rPr>
            <w:rStyle w:val="TextoNormalCaracter"/>
          </w:rPr>
          <w:t>30/2024</w:t>
        </w:r>
      </w:hyperlink>
      <w:r>
        <w:t xml:space="preserve">, ff. 1 a 3, VP I, VP II; </w:t>
      </w:r>
      <w:hyperlink w:anchor="SENTENCIA_2024_66" w:history="1">
        <w:r w:rsidRPr="00601EEA">
          <w:rPr>
            <w:rStyle w:val="TextoNormalCaracter"/>
          </w:rPr>
          <w:t>66/2024</w:t>
        </w:r>
      </w:hyperlink>
      <w:r>
        <w:t xml:space="preserve">, f. 3; </w:t>
      </w:r>
      <w:hyperlink w:anchor="SENTENCIA_2024_87" w:history="1">
        <w:r w:rsidRPr="00601EEA">
          <w:rPr>
            <w:rStyle w:val="TextoNormalCaracter"/>
          </w:rPr>
          <w:t>87/2024</w:t>
        </w:r>
      </w:hyperlink>
      <w:r>
        <w:t>, VP II.</w:t>
      </w:r>
    </w:p>
    <w:p w14:paraId="6018D0B6" w14:textId="6B3416C3" w:rsidR="00601EEA" w:rsidRDefault="00601EEA" w:rsidP="00601EEA">
      <w:pPr>
        <w:pStyle w:val="SangriaIzquierdaArticulo"/>
      </w:pPr>
      <w:r>
        <w:t xml:space="preserve">Autos </w:t>
      </w:r>
      <w:hyperlink w:anchor="AUTO_2024_31" w:history="1">
        <w:r w:rsidRPr="00601EEA">
          <w:rPr>
            <w:rStyle w:val="TextoNormalCaracter"/>
          </w:rPr>
          <w:t>31/2024</w:t>
        </w:r>
      </w:hyperlink>
      <w:r>
        <w:t xml:space="preserve">, f. 2; </w:t>
      </w:r>
      <w:hyperlink w:anchor="AUTO_2024_32" w:history="1">
        <w:r w:rsidRPr="00601EEA">
          <w:rPr>
            <w:rStyle w:val="TextoNormalCaracter"/>
          </w:rPr>
          <w:t>32/2024</w:t>
        </w:r>
      </w:hyperlink>
      <w:r>
        <w:t xml:space="preserve">, f. 2; </w:t>
      </w:r>
      <w:hyperlink w:anchor="AUTO_2024_33" w:history="1">
        <w:r w:rsidRPr="00601EEA">
          <w:rPr>
            <w:rStyle w:val="TextoNormalCaracter"/>
          </w:rPr>
          <w:t>33/2024</w:t>
        </w:r>
      </w:hyperlink>
      <w:r>
        <w:t xml:space="preserve">, f. 2; </w:t>
      </w:r>
      <w:hyperlink w:anchor="AUTO_2024_49" w:history="1">
        <w:r w:rsidRPr="00601EEA">
          <w:rPr>
            <w:rStyle w:val="TextoNormalCaracter"/>
          </w:rPr>
          <w:t>49/2024</w:t>
        </w:r>
      </w:hyperlink>
      <w:r>
        <w:t>, f. 1.</w:t>
      </w:r>
    </w:p>
    <w:p w14:paraId="0EBB2F8F" w14:textId="0621DA33" w:rsidR="00601EEA" w:rsidRDefault="00601EEA" w:rsidP="00601EEA">
      <w:pPr>
        <w:pStyle w:val="SangriaFrancesaArticulo"/>
      </w:pPr>
      <w:r w:rsidRPr="00601EEA">
        <w:rPr>
          <w:rStyle w:val="TextoNormalNegritaCaracter"/>
        </w:rPr>
        <w:t>Artículo 5.1.</w:t>
      </w:r>
      <w:r w:rsidRPr="00601EEA">
        <w:rPr>
          <w:rStyle w:val="TextoNormalCaracter"/>
        </w:rPr>
        <w:t>-</w:t>
      </w:r>
      <w:r>
        <w:t xml:space="preserve"> Sentencias </w:t>
      </w:r>
      <w:hyperlink w:anchor="SENTENCIA_2024_85" w:history="1">
        <w:r w:rsidRPr="00601EEA">
          <w:rPr>
            <w:rStyle w:val="TextoNormalCaracter"/>
          </w:rPr>
          <w:t>85/2024</w:t>
        </w:r>
      </w:hyperlink>
      <w:r>
        <w:t xml:space="preserve">, ff. 2, 3; </w:t>
      </w:r>
      <w:hyperlink w:anchor="SENTENCIA_2024_93" w:history="1">
        <w:r w:rsidRPr="00601EEA">
          <w:rPr>
            <w:rStyle w:val="TextoNormalCaracter"/>
          </w:rPr>
          <w:t>93/2024</w:t>
        </w:r>
      </w:hyperlink>
      <w:r>
        <w:t>, f. 4.</w:t>
      </w:r>
    </w:p>
    <w:p w14:paraId="0FC0BA9A" w14:textId="31B9C013" w:rsidR="00601EEA" w:rsidRDefault="00601EEA" w:rsidP="00601EEA">
      <w:pPr>
        <w:pStyle w:val="SangriaFrancesaArticulo"/>
      </w:pPr>
      <w:r w:rsidRPr="00601EEA">
        <w:rPr>
          <w:rStyle w:val="TextoNormalNegritaCaracter"/>
        </w:rPr>
        <w:t>Artículo 5.4.</w:t>
      </w:r>
      <w:r w:rsidRPr="00601EEA">
        <w:rPr>
          <w:rStyle w:val="TextoNormalCaracter"/>
        </w:rPr>
        <w:t>-</w:t>
      </w:r>
      <w:r>
        <w:t xml:space="preserve"> Sentencia </w:t>
      </w:r>
      <w:hyperlink w:anchor="SENTENCIA_2024_80" w:history="1">
        <w:r w:rsidRPr="00601EEA">
          <w:rPr>
            <w:rStyle w:val="TextoNormalCaracter"/>
          </w:rPr>
          <w:t>80/2024</w:t>
        </w:r>
      </w:hyperlink>
      <w:r>
        <w:t>, f. 1.</w:t>
      </w:r>
    </w:p>
    <w:p w14:paraId="16DD9F9A" w14:textId="4706B578" w:rsidR="00601EEA" w:rsidRDefault="00601EEA" w:rsidP="00601EEA">
      <w:pPr>
        <w:pStyle w:val="SangriaFrancesaArticulo"/>
      </w:pPr>
      <w:r w:rsidRPr="00601EEA">
        <w:rPr>
          <w:rStyle w:val="TextoNormalNegritaCaracter"/>
        </w:rPr>
        <w:t>Artículo 6.</w:t>
      </w:r>
      <w:r w:rsidRPr="00601EEA">
        <w:rPr>
          <w:rStyle w:val="TextoNormalCaracter"/>
        </w:rPr>
        <w:t>-</w:t>
      </w:r>
      <w:r>
        <w:t xml:space="preserve"> Sentencia </w:t>
      </w:r>
      <w:hyperlink w:anchor="SENTENCIA_2024_93" w:history="1">
        <w:r w:rsidRPr="00601EEA">
          <w:rPr>
            <w:rStyle w:val="TextoNormalCaracter"/>
          </w:rPr>
          <w:t>93/2024</w:t>
        </w:r>
      </w:hyperlink>
      <w:r>
        <w:t>, f. 4.</w:t>
      </w:r>
    </w:p>
    <w:p w14:paraId="572A8358" w14:textId="6A8149B1" w:rsidR="00601EEA" w:rsidRDefault="00601EEA" w:rsidP="00601EEA">
      <w:pPr>
        <w:pStyle w:val="SangriaFrancesaArticulo"/>
      </w:pPr>
      <w:r w:rsidRPr="00601EEA">
        <w:rPr>
          <w:rStyle w:val="TextoNormalNegritaCaracter"/>
        </w:rPr>
        <w:t>Artículo 7.</w:t>
      </w:r>
      <w:r w:rsidRPr="00601EEA">
        <w:rPr>
          <w:rStyle w:val="TextoNormalCaracter"/>
        </w:rPr>
        <w:t>-</w:t>
      </w:r>
      <w:r>
        <w:t xml:space="preserve"> Sentencias </w:t>
      </w:r>
      <w:hyperlink w:anchor="SENTENCIA_2024_39" w:history="1">
        <w:r w:rsidRPr="00601EEA">
          <w:rPr>
            <w:rStyle w:val="TextoNormalCaracter"/>
          </w:rPr>
          <w:t>39/2024</w:t>
        </w:r>
      </w:hyperlink>
      <w:r>
        <w:t xml:space="preserve">, f. 2; </w:t>
      </w:r>
      <w:hyperlink w:anchor="SENTENCIA_2024_49" w:history="1">
        <w:r w:rsidRPr="00601EEA">
          <w:rPr>
            <w:rStyle w:val="TextoNormalCaracter"/>
          </w:rPr>
          <w:t>49/2024</w:t>
        </w:r>
      </w:hyperlink>
      <w:r>
        <w:t>, f. 2.</w:t>
      </w:r>
    </w:p>
    <w:p w14:paraId="24E97B3E" w14:textId="41FF6734" w:rsidR="00601EEA" w:rsidRDefault="00601EEA" w:rsidP="00601EEA">
      <w:pPr>
        <w:pStyle w:val="SangriaFrancesaArticulo"/>
      </w:pPr>
      <w:r w:rsidRPr="00601EEA">
        <w:rPr>
          <w:rStyle w:val="TextoNormalNegritaCaracter"/>
        </w:rPr>
        <w:t>Artículo 9.1.</w:t>
      </w:r>
      <w:r w:rsidRPr="00601EEA">
        <w:rPr>
          <w:rStyle w:val="TextoNormalCaracter"/>
        </w:rPr>
        <w:t>-</w:t>
      </w:r>
      <w:r>
        <w:t xml:space="preserve"> Sentencia </w:t>
      </w:r>
      <w:hyperlink w:anchor="SENTENCIA_2024_66" w:history="1">
        <w:r w:rsidRPr="00601EEA">
          <w:rPr>
            <w:rStyle w:val="TextoNormalCaracter"/>
          </w:rPr>
          <w:t>66/2024</w:t>
        </w:r>
      </w:hyperlink>
      <w:r>
        <w:t>, f. 3.</w:t>
      </w:r>
    </w:p>
    <w:p w14:paraId="3769CD6C" w14:textId="6445847E" w:rsidR="00601EEA" w:rsidRDefault="00601EEA" w:rsidP="00601EEA">
      <w:pPr>
        <w:pStyle w:val="SangriaFrancesaArticulo"/>
      </w:pPr>
      <w:r w:rsidRPr="00601EEA">
        <w:rPr>
          <w:rStyle w:val="TextoNormalNegritaCaracter"/>
        </w:rPr>
        <w:t>Artículo 9.4.</w:t>
      </w:r>
      <w:r w:rsidRPr="00601EEA">
        <w:rPr>
          <w:rStyle w:val="TextoNormalCaracter"/>
        </w:rPr>
        <w:t>-</w:t>
      </w:r>
      <w:r>
        <w:t xml:space="preserve"> Sentencia </w:t>
      </w:r>
      <w:hyperlink w:anchor="SENTENCIA_2024_66" w:history="1">
        <w:r w:rsidRPr="00601EEA">
          <w:rPr>
            <w:rStyle w:val="TextoNormalCaracter"/>
          </w:rPr>
          <w:t>66/2024</w:t>
        </w:r>
      </w:hyperlink>
      <w:r>
        <w:t>, f. 3.</w:t>
      </w:r>
    </w:p>
    <w:p w14:paraId="3749BBE6" w14:textId="44227103" w:rsidR="00601EEA" w:rsidRDefault="00601EEA" w:rsidP="00601EEA">
      <w:pPr>
        <w:pStyle w:val="SangriaFrancesaArticulo"/>
      </w:pPr>
      <w:r w:rsidRPr="00601EEA">
        <w:rPr>
          <w:rStyle w:val="TextoNormalNegritaCaracter"/>
        </w:rPr>
        <w:t>Artículo 11.1.</w:t>
      </w:r>
      <w:r w:rsidRPr="00601EEA">
        <w:rPr>
          <w:rStyle w:val="TextoNormalCaracter"/>
        </w:rPr>
        <w:t>-</w:t>
      </w:r>
      <w:r>
        <w:t xml:space="preserve"> Sentencia </w:t>
      </w:r>
      <w:hyperlink w:anchor="SENTENCIA_2024_9" w:history="1">
        <w:r w:rsidRPr="00601EEA">
          <w:rPr>
            <w:rStyle w:val="TextoNormalCaracter"/>
          </w:rPr>
          <w:t>9/2024</w:t>
        </w:r>
      </w:hyperlink>
      <w:r>
        <w:t>, VP II.</w:t>
      </w:r>
    </w:p>
    <w:p w14:paraId="5CF974C4" w14:textId="4B8ABAC4" w:rsidR="00601EEA" w:rsidRDefault="00601EEA" w:rsidP="00601EEA">
      <w:pPr>
        <w:pStyle w:val="SangriaFrancesaArticulo"/>
      </w:pPr>
      <w:r w:rsidRPr="00601EEA">
        <w:rPr>
          <w:rStyle w:val="TextoNormalNegritaCaracter"/>
        </w:rPr>
        <w:t>Artículo 11.2.</w:t>
      </w:r>
      <w:r w:rsidRPr="00601EEA">
        <w:rPr>
          <w:rStyle w:val="TextoNormalCaracter"/>
        </w:rPr>
        <w:t>-</w:t>
      </w:r>
      <w:r>
        <w:t xml:space="preserve"> Sentencia </w:t>
      </w:r>
      <w:hyperlink w:anchor="SENTENCIA_2024_9" w:history="1">
        <w:r w:rsidRPr="00601EEA">
          <w:rPr>
            <w:rStyle w:val="TextoNormalCaracter"/>
          </w:rPr>
          <w:t>9/2024</w:t>
        </w:r>
      </w:hyperlink>
      <w:r>
        <w:t>, VP II.</w:t>
      </w:r>
    </w:p>
    <w:p w14:paraId="55EA768A" w14:textId="0A30A21F" w:rsidR="00601EEA" w:rsidRDefault="00601EEA" w:rsidP="00601EEA">
      <w:pPr>
        <w:pStyle w:val="SangriaIzquierdaArticulo"/>
      </w:pPr>
      <w:r>
        <w:t xml:space="preserve">Autos </w:t>
      </w:r>
      <w:hyperlink w:anchor="AUTO_2024_31" w:history="1">
        <w:r w:rsidRPr="00601EEA">
          <w:rPr>
            <w:rStyle w:val="TextoNormalCaracter"/>
          </w:rPr>
          <w:t>31/2024</w:t>
        </w:r>
      </w:hyperlink>
      <w:r>
        <w:t xml:space="preserve">, f. 3; </w:t>
      </w:r>
      <w:hyperlink w:anchor="AUTO_2024_33" w:history="1">
        <w:r w:rsidRPr="00601EEA">
          <w:rPr>
            <w:rStyle w:val="TextoNormalCaracter"/>
          </w:rPr>
          <w:t>33/2024</w:t>
        </w:r>
      </w:hyperlink>
      <w:r>
        <w:t xml:space="preserve">, f. 3; </w:t>
      </w:r>
      <w:hyperlink w:anchor="AUTO_2024_42" w:history="1">
        <w:r w:rsidRPr="00601EEA">
          <w:rPr>
            <w:rStyle w:val="TextoNormalCaracter"/>
          </w:rPr>
          <w:t>42/2024</w:t>
        </w:r>
      </w:hyperlink>
      <w:r>
        <w:t xml:space="preserve">, f. único; </w:t>
      </w:r>
      <w:hyperlink w:anchor="AUTO_2024_60" w:history="1">
        <w:r w:rsidRPr="00601EEA">
          <w:rPr>
            <w:rStyle w:val="TextoNormalCaracter"/>
          </w:rPr>
          <w:t>60/2024</w:t>
        </w:r>
      </w:hyperlink>
      <w:r>
        <w:t>, f. único.</w:t>
      </w:r>
    </w:p>
    <w:p w14:paraId="5C4CE191" w14:textId="4847F42A" w:rsidR="00601EEA" w:rsidRDefault="00601EEA" w:rsidP="00601EEA">
      <w:pPr>
        <w:pStyle w:val="SangriaFrancesaArticulo"/>
      </w:pPr>
      <w:r w:rsidRPr="00601EEA">
        <w:rPr>
          <w:rStyle w:val="TextoNormalNegritaCaracter"/>
        </w:rPr>
        <w:t>Artículo 57.1.1.</w:t>
      </w:r>
      <w:r w:rsidRPr="00601EEA">
        <w:rPr>
          <w:rStyle w:val="TextoNormalCaracter"/>
        </w:rPr>
        <w:t>-</w:t>
      </w:r>
      <w:r>
        <w:t xml:space="preserve"> Sentencia </w:t>
      </w:r>
      <w:hyperlink w:anchor="SENTENCIA_2024_9" w:history="1">
        <w:r w:rsidRPr="00601EEA">
          <w:rPr>
            <w:rStyle w:val="TextoNormalCaracter"/>
          </w:rPr>
          <w:t>9/2024</w:t>
        </w:r>
      </w:hyperlink>
      <w:r>
        <w:t>, VP I.</w:t>
      </w:r>
    </w:p>
    <w:p w14:paraId="5027964E" w14:textId="00E38CAC" w:rsidR="00601EEA" w:rsidRDefault="00601EEA" w:rsidP="00601EEA">
      <w:pPr>
        <w:pStyle w:val="SangriaFrancesaArticulo"/>
      </w:pPr>
      <w:r w:rsidRPr="00601EEA">
        <w:rPr>
          <w:rStyle w:val="TextoNormalNegritaCaracter"/>
        </w:rPr>
        <w:t>Artículo 119.2.</w:t>
      </w:r>
      <w:r w:rsidRPr="00601EEA">
        <w:rPr>
          <w:rStyle w:val="TextoNormalCaracter"/>
        </w:rPr>
        <w:t>-</w:t>
      </w:r>
      <w:r>
        <w:t xml:space="preserve"> Sentencia </w:t>
      </w:r>
      <w:hyperlink w:anchor="SENTENCIA_2024_15" w:history="1">
        <w:r w:rsidRPr="00601EEA">
          <w:rPr>
            <w:rStyle w:val="TextoNormalCaracter"/>
          </w:rPr>
          <w:t>15/2024</w:t>
        </w:r>
      </w:hyperlink>
      <w:r>
        <w:t>, f. 4.</w:t>
      </w:r>
    </w:p>
    <w:p w14:paraId="7D1C18C6" w14:textId="6B7BA2CC" w:rsidR="00601EEA" w:rsidRDefault="00601EEA" w:rsidP="00601EEA">
      <w:pPr>
        <w:pStyle w:val="SangriaFrancesaArticulo"/>
      </w:pPr>
      <w:r w:rsidRPr="00601EEA">
        <w:rPr>
          <w:rStyle w:val="TextoNormalNegritaCaracter"/>
        </w:rPr>
        <w:t>Artículo 219.</w:t>
      </w:r>
      <w:r w:rsidRPr="00601EEA">
        <w:rPr>
          <w:rStyle w:val="TextoNormalCaracter"/>
        </w:rPr>
        <w:t>-</w:t>
      </w:r>
      <w:r>
        <w:t xml:space="preserve"> Autos </w:t>
      </w:r>
      <w:hyperlink w:anchor="AUTO_2024_5" w:history="1">
        <w:r w:rsidRPr="00601EEA">
          <w:rPr>
            <w:rStyle w:val="TextoNormalCaracter"/>
          </w:rPr>
          <w:t>5/2024</w:t>
        </w:r>
      </w:hyperlink>
      <w:r>
        <w:t xml:space="preserve">, f. 2; </w:t>
      </w:r>
      <w:hyperlink w:anchor="AUTO_2024_11" w:history="1">
        <w:r w:rsidRPr="00601EEA">
          <w:rPr>
            <w:rStyle w:val="TextoNormalCaracter"/>
          </w:rPr>
          <w:t>11/2024</w:t>
        </w:r>
      </w:hyperlink>
      <w:r>
        <w:t xml:space="preserve">, f. único; </w:t>
      </w:r>
      <w:hyperlink w:anchor="AUTO_2024_12" w:history="1">
        <w:r w:rsidRPr="00601EEA">
          <w:rPr>
            <w:rStyle w:val="TextoNormalCaracter"/>
          </w:rPr>
          <w:t>12/2024</w:t>
        </w:r>
      </w:hyperlink>
      <w:r>
        <w:t>, f. único.</w:t>
      </w:r>
    </w:p>
    <w:p w14:paraId="3AC00707" w14:textId="48F10A1C" w:rsidR="00601EEA" w:rsidRDefault="00601EEA" w:rsidP="00601EEA">
      <w:pPr>
        <w:pStyle w:val="SangriaFrancesaArticulo"/>
      </w:pPr>
      <w:r w:rsidRPr="00601EEA">
        <w:rPr>
          <w:rStyle w:val="TextoNormalNegritaCaracter"/>
        </w:rPr>
        <w:t>Artículo 219.1.</w:t>
      </w:r>
      <w:r w:rsidRPr="00601EEA">
        <w:rPr>
          <w:rStyle w:val="TextoNormalCaracter"/>
        </w:rPr>
        <w:t>-</w:t>
      </w:r>
      <w:r>
        <w:t xml:space="preserve"> Auto </w:t>
      </w:r>
      <w:hyperlink w:anchor="AUTO_2024_10" w:history="1">
        <w:r w:rsidRPr="00601EEA">
          <w:rPr>
            <w:rStyle w:val="TextoNormalCaracter"/>
          </w:rPr>
          <w:t>10/2024</w:t>
        </w:r>
      </w:hyperlink>
      <w:r>
        <w:t>, f. único.</w:t>
      </w:r>
    </w:p>
    <w:p w14:paraId="673F7747" w14:textId="5265D2BA" w:rsidR="00601EEA" w:rsidRDefault="00601EEA" w:rsidP="00601EEA">
      <w:pPr>
        <w:pStyle w:val="SangriaFrancesaArticulo"/>
      </w:pPr>
      <w:r w:rsidRPr="00601EEA">
        <w:rPr>
          <w:rStyle w:val="TextoNormalNegritaCaracter"/>
        </w:rPr>
        <w:t>Artículo 219.1 a 9.</w:t>
      </w:r>
      <w:r w:rsidRPr="00601EEA">
        <w:rPr>
          <w:rStyle w:val="TextoNormalCaracter"/>
        </w:rPr>
        <w:t>-</w:t>
      </w:r>
      <w:r>
        <w:t xml:space="preserve"> Auto </w:t>
      </w:r>
      <w:hyperlink w:anchor="AUTO_2024_10" w:history="1">
        <w:r w:rsidRPr="00601EEA">
          <w:rPr>
            <w:rStyle w:val="TextoNormalCaracter"/>
          </w:rPr>
          <w:t>10/2024</w:t>
        </w:r>
      </w:hyperlink>
      <w:r>
        <w:t>, f. único.</w:t>
      </w:r>
    </w:p>
    <w:p w14:paraId="05DFB5E9" w14:textId="5E5B9AED" w:rsidR="00601EEA" w:rsidRDefault="00601EEA" w:rsidP="00601EEA">
      <w:pPr>
        <w:pStyle w:val="SangriaFrancesaArticulo"/>
      </w:pPr>
      <w:r w:rsidRPr="00601EEA">
        <w:rPr>
          <w:rStyle w:val="TextoNormalNegritaCaracter"/>
        </w:rPr>
        <w:t>Artículo 219.7, 10, 11 y 13.</w:t>
      </w:r>
      <w:r w:rsidRPr="00601EEA">
        <w:rPr>
          <w:rStyle w:val="TextoNormalCaracter"/>
        </w:rPr>
        <w:t>-</w:t>
      </w:r>
      <w:r>
        <w:t xml:space="preserve"> Auto </w:t>
      </w:r>
      <w:hyperlink w:anchor="AUTO_2024_5" w:history="1">
        <w:r w:rsidRPr="00601EEA">
          <w:rPr>
            <w:rStyle w:val="TextoNormalCaracter"/>
          </w:rPr>
          <w:t>5/2024</w:t>
        </w:r>
      </w:hyperlink>
      <w:r>
        <w:t>, f. 2.</w:t>
      </w:r>
    </w:p>
    <w:p w14:paraId="17036CCD" w14:textId="700A97CB" w:rsidR="00601EEA" w:rsidRDefault="00601EEA" w:rsidP="00601EEA">
      <w:pPr>
        <w:pStyle w:val="SangriaFrancesaArticulo"/>
      </w:pPr>
      <w:r w:rsidRPr="00601EEA">
        <w:rPr>
          <w:rStyle w:val="TextoNormalNegritaCaracter"/>
        </w:rPr>
        <w:t>Artículo 219.8.</w:t>
      </w:r>
      <w:r w:rsidRPr="00601EEA">
        <w:rPr>
          <w:rStyle w:val="TextoNormalCaracter"/>
        </w:rPr>
        <w:t>-</w:t>
      </w:r>
      <w:r>
        <w:t xml:space="preserve"> Auto </w:t>
      </w:r>
      <w:hyperlink w:anchor="AUTO_2024_32" w:history="1">
        <w:r w:rsidRPr="00601EEA">
          <w:rPr>
            <w:rStyle w:val="TextoNormalCaracter"/>
          </w:rPr>
          <w:t>32/2024</w:t>
        </w:r>
      </w:hyperlink>
      <w:r>
        <w:t>, f. 3.</w:t>
      </w:r>
    </w:p>
    <w:p w14:paraId="761F753F" w14:textId="52C47877" w:rsidR="00601EEA" w:rsidRDefault="00601EEA" w:rsidP="00601EEA">
      <w:pPr>
        <w:pStyle w:val="SangriaFrancesaArticulo"/>
      </w:pPr>
      <w:r w:rsidRPr="00601EEA">
        <w:rPr>
          <w:rStyle w:val="TextoNormalNegritaCaracter"/>
        </w:rPr>
        <w:t>Artículo 219.9, 10 y 12.</w:t>
      </w:r>
      <w:r w:rsidRPr="00601EEA">
        <w:rPr>
          <w:rStyle w:val="TextoNormalCaracter"/>
        </w:rPr>
        <w:t>-</w:t>
      </w:r>
      <w:r>
        <w:t xml:space="preserve"> Auto </w:t>
      </w:r>
      <w:hyperlink w:anchor="AUTO_2024_5" w:history="1">
        <w:r w:rsidRPr="00601EEA">
          <w:rPr>
            <w:rStyle w:val="TextoNormalCaracter"/>
          </w:rPr>
          <w:t>5/2024</w:t>
        </w:r>
      </w:hyperlink>
      <w:r>
        <w:t>, f. 2.</w:t>
      </w:r>
    </w:p>
    <w:p w14:paraId="42B051C6" w14:textId="4A2BF1D1" w:rsidR="00601EEA" w:rsidRDefault="00601EEA" w:rsidP="00601EEA">
      <w:pPr>
        <w:pStyle w:val="SangriaFrancesaArticulo"/>
      </w:pPr>
      <w:r w:rsidRPr="00601EEA">
        <w:rPr>
          <w:rStyle w:val="TextoNormalNegritaCaracter"/>
        </w:rPr>
        <w:t>Artículo 219.10.</w:t>
      </w:r>
      <w:r w:rsidRPr="00601EEA">
        <w:rPr>
          <w:rStyle w:val="TextoNormalCaracter"/>
        </w:rPr>
        <w:t>-</w:t>
      </w:r>
      <w:r>
        <w:t xml:space="preserve"> Autos </w:t>
      </w:r>
      <w:hyperlink w:anchor="AUTO_2024_18" w:history="1">
        <w:r w:rsidRPr="00601EEA">
          <w:rPr>
            <w:rStyle w:val="TextoNormalCaracter"/>
          </w:rPr>
          <w:t>18/2024</w:t>
        </w:r>
      </w:hyperlink>
      <w:r>
        <w:t xml:space="preserve">, f. único; </w:t>
      </w:r>
      <w:hyperlink w:anchor="AUTO_2024_29" w:history="1">
        <w:r w:rsidRPr="00601EEA">
          <w:rPr>
            <w:rStyle w:val="TextoNormalCaracter"/>
          </w:rPr>
          <w:t>29/2024</w:t>
        </w:r>
      </w:hyperlink>
      <w:r>
        <w:t>, f. 1.</w:t>
      </w:r>
    </w:p>
    <w:p w14:paraId="360F12F8" w14:textId="12530F72" w:rsidR="00601EEA" w:rsidRDefault="00601EEA" w:rsidP="00601EEA">
      <w:pPr>
        <w:pStyle w:val="SangriaFrancesaArticulo"/>
      </w:pPr>
      <w:r w:rsidRPr="00601EEA">
        <w:rPr>
          <w:rStyle w:val="TextoNormalNegritaCaracter"/>
        </w:rPr>
        <w:t>Artículo 219.11.</w:t>
      </w:r>
      <w:r w:rsidRPr="00601EEA">
        <w:rPr>
          <w:rStyle w:val="TextoNormalCaracter"/>
        </w:rPr>
        <w:t>-</w:t>
      </w:r>
      <w:r>
        <w:t xml:space="preserve"> Autos </w:t>
      </w:r>
      <w:hyperlink w:anchor="AUTO_2024_2" w:history="1">
        <w:r w:rsidRPr="00601EEA">
          <w:rPr>
            <w:rStyle w:val="TextoNormalCaracter"/>
          </w:rPr>
          <w:t>2/2024</w:t>
        </w:r>
      </w:hyperlink>
      <w:r>
        <w:t xml:space="preserve">, f. único; </w:t>
      </w:r>
      <w:hyperlink w:anchor="AUTO_2024_6" w:history="1">
        <w:r w:rsidRPr="00601EEA">
          <w:rPr>
            <w:rStyle w:val="TextoNormalCaracter"/>
          </w:rPr>
          <w:t>6/2024</w:t>
        </w:r>
      </w:hyperlink>
      <w:r>
        <w:t xml:space="preserve">, f. único; </w:t>
      </w:r>
      <w:hyperlink w:anchor="AUTO_2024_7" w:history="1">
        <w:r w:rsidRPr="00601EEA">
          <w:rPr>
            <w:rStyle w:val="TextoNormalCaracter"/>
          </w:rPr>
          <w:t>7/2024</w:t>
        </w:r>
      </w:hyperlink>
      <w:r>
        <w:t xml:space="preserve">, f. único; </w:t>
      </w:r>
      <w:hyperlink w:anchor="AUTO_2024_16" w:history="1">
        <w:r w:rsidRPr="00601EEA">
          <w:rPr>
            <w:rStyle w:val="TextoNormalCaracter"/>
          </w:rPr>
          <w:t>16/2024</w:t>
        </w:r>
      </w:hyperlink>
      <w:r>
        <w:t xml:space="preserve">, f. único; </w:t>
      </w:r>
      <w:hyperlink w:anchor="AUTO_2024_28" w:history="1">
        <w:r w:rsidRPr="00601EEA">
          <w:rPr>
            <w:rStyle w:val="TextoNormalCaracter"/>
          </w:rPr>
          <w:t>28/2024</w:t>
        </w:r>
      </w:hyperlink>
      <w:r>
        <w:t xml:space="preserve">, f. único; </w:t>
      </w:r>
      <w:hyperlink w:anchor="AUTO_2024_29" w:history="1">
        <w:r w:rsidRPr="00601EEA">
          <w:rPr>
            <w:rStyle w:val="TextoNormalCaracter"/>
          </w:rPr>
          <w:t>29/2024</w:t>
        </w:r>
      </w:hyperlink>
      <w:r>
        <w:t xml:space="preserve">, f. 1; </w:t>
      </w:r>
      <w:hyperlink w:anchor="AUTO_2024_32" w:history="1">
        <w:r w:rsidRPr="00601EEA">
          <w:rPr>
            <w:rStyle w:val="TextoNormalCaracter"/>
          </w:rPr>
          <w:t>32/2024</w:t>
        </w:r>
      </w:hyperlink>
      <w:r>
        <w:t xml:space="preserve">, f. 3; </w:t>
      </w:r>
      <w:hyperlink w:anchor="AUTO_2024_33" w:history="1">
        <w:r w:rsidRPr="00601EEA">
          <w:rPr>
            <w:rStyle w:val="TextoNormalCaracter"/>
          </w:rPr>
          <w:t>33/2024</w:t>
        </w:r>
      </w:hyperlink>
      <w:r>
        <w:t xml:space="preserve">, f. 3; </w:t>
      </w:r>
      <w:hyperlink w:anchor="AUTO_2024_35" w:history="1">
        <w:r w:rsidRPr="00601EEA">
          <w:rPr>
            <w:rStyle w:val="TextoNormalCaracter"/>
          </w:rPr>
          <w:t>35/2024</w:t>
        </w:r>
      </w:hyperlink>
      <w:r>
        <w:t>, f. único.</w:t>
      </w:r>
    </w:p>
    <w:p w14:paraId="6DFB8B20" w14:textId="0541CE50" w:rsidR="00601EEA" w:rsidRDefault="00601EEA" w:rsidP="00601EEA">
      <w:pPr>
        <w:pStyle w:val="SangriaFrancesaArticulo"/>
      </w:pPr>
      <w:r w:rsidRPr="00601EEA">
        <w:rPr>
          <w:rStyle w:val="TextoNormalNegritaCaracter"/>
        </w:rPr>
        <w:t>Artículo 219.12, 13 y 15.</w:t>
      </w:r>
      <w:r w:rsidRPr="00601EEA">
        <w:rPr>
          <w:rStyle w:val="TextoNormalCaracter"/>
        </w:rPr>
        <w:t>-</w:t>
      </w:r>
      <w:r>
        <w:t xml:space="preserve"> Auto </w:t>
      </w:r>
      <w:hyperlink w:anchor="AUTO_2024_10" w:history="1">
        <w:r w:rsidRPr="00601EEA">
          <w:rPr>
            <w:rStyle w:val="TextoNormalCaracter"/>
          </w:rPr>
          <w:t>10/2024</w:t>
        </w:r>
      </w:hyperlink>
      <w:r>
        <w:t>, f. único.</w:t>
      </w:r>
    </w:p>
    <w:p w14:paraId="1DE9636A" w14:textId="27E57BA2" w:rsidR="00601EEA" w:rsidRDefault="00601EEA" w:rsidP="00601EEA">
      <w:pPr>
        <w:pStyle w:val="SangriaFrancesaArticulo"/>
      </w:pPr>
      <w:r w:rsidRPr="00601EEA">
        <w:rPr>
          <w:rStyle w:val="TextoNormalNegritaCaracter"/>
        </w:rPr>
        <w:t>Artículo 219.12, 13 y 16.</w:t>
      </w:r>
      <w:r w:rsidRPr="00601EEA">
        <w:rPr>
          <w:rStyle w:val="TextoNormalCaracter"/>
        </w:rPr>
        <w:t>-</w:t>
      </w:r>
      <w:r>
        <w:t xml:space="preserve"> Auto </w:t>
      </w:r>
      <w:hyperlink w:anchor="AUTO_2024_56" w:history="1">
        <w:r w:rsidRPr="00601EEA">
          <w:rPr>
            <w:rStyle w:val="TextoNormalCaracter"/>
          </w:rPr>
          <w:t>56/2024</w:t>
        </w:r>
      </w:hyperlink>
      <w:r>
        <w:t>, f. único.</w:t>
      </w:r>
    </w:p>
    <w:p w14:paraId="06BC954E" w14:textId="5DCD0E3F" w:rsidR="00601EEA" w:rsidRDefault="00601EEA" w:rsidP="00601EEA">
      <w:pPr>
        <w:pStyle w:val="SangriaFrancesaArticulo"/>
      </w:pPr>
      <w:r w:rsidRPr="00601EEA">
        <w:rPr>
          <w:rStyle w:val="TextoNormalNegritaCaracter"/>
        </w:rPr>
        <w:t>Artículo 219.13.</w:t>
      </w:r>
      <w:r w:rsidRPr="00601EEA">
        <w:rPr>
          <w:rStyle w:val="TextoNormalCaracter"/>
        </w:rPr>
        <w:t>-</w:t>
      </w:r>
      <w:r>
        <w:t xml:space="preserve"> Autos </w:t>
      </w:r>
      <w:hyperlink w:anchor="AUTO_2024_3" w:history="1">
        <w:r w:rsidRPr="00601EEA">
          <w:rPr>
            <w:rStyle w:val="TextoNormalCaracter"/>
          </w:rPr>
          <w:t>3/2024</w:t>
        </w:r>
      </w:hyperlink>
      <w:r>
        <w:t xml:space="preserve">, f. único; </w:t>
      </w:r>
      <w:hyperlink w:anchor="AUTO_2024_14" w:history="1">
        <w:r w:rsidRPr="00601EEA">
          <w:rPr>
            <w:rStyle w:val="TextoNormalCaracter"/>
          </w:rPr>
          <w:t>14/2024</w:t>
        </w:r>
      </w:hyperlink>
      <w:r>
        <w:t xml:space="preserve">, f. único; </w:t>
      </w:r>
      <w:hyperlink w:anchor="AUTO_2024_50" w:history="1">
        <w:r w:rsidRPr="00601EEA">
          <w:rPr>
            <w:rStyle w:val="TextoNormalCaracter"/>
          </w:rPr>
          <w:t>50/2024</w:t>
        </w:r>
      </w:hyperlink>
      <w:r>
        <w:t xml:space="preserve">, f. único; </w:t>
      </w:r>
      <w:hyperlink w:anchor="AUTO_2024_59" w:history="1">
        <w:r w:rsidRPr="00601EEA">
          <w:rPr>
            <w:rStyle w:val="TextoNormalCaracter"/>
          </w:rPr>
          <w:t>59/2024</w:t>
        </w:r>
      </w:hyperlink>
      <w:r>
        <w:t>, f. único.</w:t>
      </w:r>
    </w:p>
    <w:p w14:paraId="60DA9D7B" w14:textId="3170C31B" w:rsidR="00601EEA" w:rsidRDefault="00601EEA" w:rsidP="00601EEA">
      <w:pPr>
        <w:pStyle w:val="SangriaFrancesaArticulo"/>
      </w:pPr>
      <w:r w:rsidRPr="00601EEA">
        <w:rPr>
          <w:rStyle w:val="TextoNormalNegritaCaracter"/>
        </w:rPr>
        <w:t>Artículo 219.14.</w:t>
      </w:r>
      <w:r w:rsidRPr="00601EEA">
        <w:rPr>
          <w:rStyle w:val="TextoNormalCaracter"/>
        </w:rPr>
        <w:t>-</w:t>
      </w:r>
      <w:r>
        <w:t xml:space="preserve"> Auto </w:t>
      </w:r>
      <w:hyperlink w:anchor="AUTO_2024_10" w:history="1">
        <w:r w:rsidRPr="00601EEA">
          <w:rPr>
            <w:rStyle w:val="TextoNormalCaracter"/>
          </w:rPr>
          <w:t>10/2024</w:t>
        </w:r>
      </w:hyperlink>
      <w:r>
        <w:t>, f. único.</w:t>
      </w:r>
    </w:p>
    <w:p w14:paraId="3FB923B5" w14:textId="35C6A039" w:rsidR="00601EEA" w:rsidRDefault="00601EEA" w:rsidP="00601EEA">
      <w:pPr>
        <w:pStyle w:val="SangriaFrancesaArticulo"/>
      </w:pPr>
      <w:r w:rsidRPr="00601EEA">
        <w:rPr>
          <w:rStyle w:val="TextoNormalNegritaCaracter"/>
        </w:rPr>
        <w:t>Artículo 219.15.</w:t>
      </w:r>
      <w:r w:rsidRPr="00601EEA">
        <w:rPr>
          <w:rStyle w:val="TextoNormalCaracter"/>
        </w:rPr>
        <w:t>-</w:t>
      </w:r>
      <w:r>
        <w:t xml:space="preserve"> Autos </w:t>
      </w:r>
      <w:hyperlink w:anchor="AUTO_2024_23" w:history="1">
        <w:r w:rsidRPr="00601EEA">
          <w:rPr>
            <w:rStyle w:val="TextoNormalCaracter"/>
          </w:rPr>
          <w:t>23/2024</w:t>
        </w:r>
      </w:hyperlink>
      <w:r>
        <w:t xml:space="preserve">, f. único; </w:t>
      </w:r>
      <w:hyperlink w:anchor="AUTO_2024_25" w:history="1">
        <w:r w:rsidRPr="00601EEA">
          <w:rPr>
            <w:rStyle w:val="TextoNormalCaracter"/>
          </w:rPr>
          <w:t>25/2024</w:t>
        </w:r>
      </w:hyperlink>
      <w:r>
        <w:t xml:space="preserve">, f. único; </w:t>
      </w:r>
      <w:hyperlink w:anchor="AUTO_2024_43" w:history="1">
        <w:r w:rsidRPr="00601EEA">
          <w:rPr>
            <w:rStyle w:val="TextoNormalCaracter"/>
          </w:rPr>
          <w:t>43/2024</w:t>
        </w:r>
      </w:hyperlink>
      <w:r>
        <w:t xml:space="preserve">, f. único; </w:t>
      </w:r>
      <w:hyperlink w:anchor="AUTO_2024_44" w:history="1">
        <w:r w:rsidRPr="00601EEA">
          <w:rPr>
            <w:rStyle w:val="TextoNormalCaracter"/>
          </w:rPr>
          <w:t>44/2024</w:t>
        </w:r>
      </w:hyperlink>
      <w:r>
        <w:t xml:space="preserve">, f. único; </w:t>
      </w:r>
      <w:hyperlink w:anchor="AUTO_2024_45" w:history="1">
        <w:r w:rsidRPr="00601EEA">
          <w:rPr>
            <w:rStyle w:val="TextoNormalCaracter"/>
          </w:rPr>
          <w:t>45/2024</w:t>
        </w:r>
      </w:hyperlink>
      <w:r>
        <w:t xml:space="preserve">, f. único; </w:t>
      </w:r>
      <w:hyperlink w:anchor="AUTO_2024_46" w:history="1">
        <w:r w:rsidRPr="00601EEA">
          <w:rPr>
            <w:rStyle w:val="TextoNormalCaracter"/>
          </w:rPr>
          <w:t>46/2024</w:t>
        </w:r>
      </w:hyperlink>
      <w:r>
        <w:t>, f. único.</w:t>
      </w:r>
    </w:p>
    <w:p w14:paraId="5EA486FE" w14:textId="3AD0C26B" w:rsidR="00601EEA" w:rsidRDefault="00601EEA" w:rsidP="00601EEA">
      <w:pPr>
        <w:pStyle w:val="SangriaFrancesaArticulo"/>
      </w:pPr>
      <w:r w:rsidRPr="00601EEA">
        <w:rPr>
          <w:rStyle w:val="TextoNormalNegritaCaracter"/>
        </w:rPr>
        <w:t>Artículo 221.4.</w:t>
      </w:r>
      <w:r w:rsidRPr="00601EEA">
        <w:rPr>
          <w:rStyle w:val="TextoNormalCaracter"/>
        </w:rPr>
        <w:t>-</w:t>
      </w:r>
      <w:r>
        <w:t xml:space="preserve"> Autos </w:t>
      </w:r>
      <w:hyperlink w:anchor="AUTO_2024_2" w:history="1">
        <w:r w:rsidRPr="00601EEA">
          <w:rPr>
            <w:rStyle w:val="TextoNormalCaracter"/>
          </w:rPr>
          <w:t>2/2024</w:t>
        </w:r>
      </w:hyperlink>
      <w:r>
        <w:t xml:space="preserve">, f. único; </w:t>
      </w:r>
      <w:hyperlink w:anchor="AUTO_2024_3" w:history="1">
        <w:r w:rsidRPr="00601EEA">
          <w:rPr>
            <w:rStyle w:val="TextoNormalCaracter"/>
          </w:rPr>
          <w:t>3/2024</w:t>
        </w:r>
      </w:hyperlink>
      <w:r>
        <w:t xml:space="preserve">, f. único; </w:t>
      </w:r>
      <w:hyperlink w:anchor="AUTO_2024_6" w:history="1">
        <w:r w:rsidRPr="00601EEA">
          <w:rPr>
            <w:rStyle w:val="TextoNormalCaracter"/>
          </w:rPr>
          <w:t>6/2024</w:t>
        </w:r>
      </w:hyperlink>
      <w:r>
        <w:t xml:space="preserve">, f. único; </w:t>
      </w:r>
      <w:hyperlink w:anchor="AUTO_2024_7" w:history="1">
        <w:r w:rsidRPr="00601EEA">
          <w:rPr>
            <w:rStyle w:val="TextoNormalCaracter"/>
          </w:rPr>
          <w:t>7/2024</w:t>
        </w:r>
      </w:hyperlink>
      <w:r>
        <w:t xml:space="preserve">, f. único; </w:t>
      </w:r>
      <w:hyperlink w:anchor="AUTO_2024_10" w:history="1">
        <w:r w:rsidRPr="00601EEA">
          <w:rPr>
            <w:rStyle w:val="TextoNormalCaracter"/>
          </w:rPr>
          <w:t>10/2024</w:t>
        </w:r>
      </w:hyperlink>
      <w:r>
        <w:t xml:space="preserve">, f. único; </w:t>
      </w:r>
      <w:hyperlink w:anchor="AUTO_2024_11" w:history="1">
        <w:r w:rsidRPr="00601EEA">
          <w:rPr>
            <w:rStyle w:val="TextoNormalCaracter"/>
          </w:rPr>
          <w:t>11/2024</w:t>
        </w:r>
      </w:hyperlink>
      <w:r>
        <w:t xml:space="preserve">, f. único; </w:t>
      </w:r>
      <w:hyperlink w:anchor="AUTO_2024_12" w:history="1">
        <w:r w:rsidRPr="00601EEA">
          <w:rPr>
            <w:rStyle w:val="TextoNormalCaracter"/>
          </w:rPr>
          <w:t>12/2024</w:t>
        </w:r>
      </w:hyperlink>
      <w:r>
        <w:t xml:space="preserve">, f. único; </w:t>
      </w:r>
      <w:hyperlink w:anchor="AUTO_2024_14" w:history="1">
        <w:r w:rsidRPr="00601EEA">
          <w:rPr>
            <w:rStyle w:val="TextoNormalCaracter"/>
          </w:rPr>
          <w:t>14/2024</w:t>
        </w:r>
      </w:hyperlink>
      <w:r>
        <w:t xml:space="preserve">, f. único; </w:t>
      </w:r>
      <w:hyperlink w:anchor="AUTO_2024_16" w:history="1">
        <w:r w:rsidRPr="00601EEA">
          <w:rPr>
            <w:rStyle w:val="TextoNormalCaracter"/>
          </w:rPr>
          <w:t>16/2024</w:t>
        </w:r>
      </w:hyperlink>
      <w:r>
        <w:t xml:space="preserve">, f. único; </w:t>
      </w:r>
      <w:hyperlink w:anchor="AUTO_2024_28" w:history="1">
        <w:r w:rsidRPr="00601EEA">
          <w:rPr>
            <w:rStyle w:val="TextoNormalCaracter"/>
          </w:rPr>
          <w:t>28/2024</w:t>
        </w:r>
      </w:hyperlink>
      <w:r>
        <w:t xml:space="preserve">, f. único; </w:t>
      </w:r>
      <w:hyperlink w:anchor="AUTO_2024_35" w:history="1">
        <w:r w:rsidRPr="00601EEA">
          <w:rPr>
            <w:rStyle w:val="TextoNormalCaracter"/>
          </w:rPr>
          <w:t>35/2024</w:t>
        </w:r>
      </w:hyperlink>
      <w:r>
        <w:t xml:space="preserve">, f. único; </w:t>
      </w:r>
      <w:hyperlink w:anchor="AUTO_2024_43" w:history="1">
        <w:r w:rsidRPr="00601EEA">
          <w:rPr>
            <w:rStyle w:val="TextoNormalCaracter"/>
          </w:rPr>
          <w:t>43/2024</w:t>
        </w:r>
      </w:hyperlink>
      <w:r>
        <w:t xml:space="preserve">, f. único; </w:t>
      </w:r>
      <w:hyperlink w:anchor="AUTO_2024_44" w:history="1">
        <w:r w:rsidRPr="00601EEA">
          <w:rPr>
            <w:rStyle w:val="TextoNormalCaracter"/>
          </w:rPr>
          <w:t>44/2024</w:t>
        </w:r>
      </w:hyperlink>
      <w:r>
        <w:t xml:space="preserve">, f. único; </w:t>
      </w:r>
      <w:hyperlink w:anchor="AUTO_2024_50" w:history="1">
        <w:r w:rsidRPr="00601EEA">
          <w:rPr>
            <w:rStyle w:val="TextoNormalCaracter"/>
          </w:rPr>
          <w:t>50/2024</w:t>
        </w:r>
      </w:hyperlink>
      <w:r>
        <w:t xml:space="preserve">, f. único; </w:t>
      </w:r>
      <w:hyperlink w:anchor="AUTO_2024_56" w:history="1">
        <w:r w:rsidRPr="00601EEA">
          <w:rPr>
            <w:rStyle w:val="TextoNormalCaracter"/>
          </w:rPr>
          <w:t>56/2024</w:t>
        </w:r>
      </w:hyperlink>
      <w:r>
        <w:t xml:space="preserve">, f. único; </w:t>
      </w:r>
      <w:hyperlink w:anchor="AUTO_2024_59" w:history="1">
        <w:r w:rsidRPr="00601EEA">
          <w:rPr>
            <w:rStyle w:val="TextoNormalCaracter"/>
          </w:rPr>
          <w:t>59/2024</w:t>
        </w:r>
      </w:hyperlink>
      <w:r>
        <w:t>, f. único.</w:t>
      </w:r>
    </w:p>
    <w:p w14:paraId="61D5A7BA" w14:textId="46E668E1" w:rsidR="00601EEA" w:rsidRDefault="00601EEA" w:rsidP="00601EEA">
      <w:pPr>
        <w:pStyle w:val="SangriaFrancesaArticulo"/>
      </w:pPr>
      <w:r w:rsidRPr="00601EEA">
        <w:rPr>
          <w:rStyle w:val="TextoNormalNegritaCaracter"/>
        </w:rPr>
        <w:t>Artículo 223.</w:t>
      </w:r>
      <w:r w:rsidRPr="00601EEA">
        <w:rPr>
          <w:rStyle w:val="TextoNormalCaracter"/>
        </w:rPr>
        <w:t>-</w:t>
      </w:r>
      <w:r>
        <w:t xml:space="preserve"> Auto </w:t>
      </w:r>
      <w:hyperlink w:anchor="AUTO_2024_29" w:history="1">
        <w:r w:rsidRPr="00601EEA">
          <w:rPr>
            <w:rStyle w:val="TextoNormalCaracter"/>
          </w:rPr>
          <w:t>29/2024</w:t>
        </w:r>
      </w:hyperlink>
      <w:r>
        <w:t>, f. 2.</w:t>
      </w:r>
    </w:p>
    <w:p w14:paraId="7E933E62" w14:textId="6759BACB" w:rsidR="00601EEA" w:rsidRDefault="00601EEA" w:rsidP="00601EEA">
      <w:pPr>
        <w:pStyle w:val="SangriaFrancesaArticulo"/>
      </w:pPr>
      <w:r w:rsidRPr="00601EEA">
        <w:rPr>
          <w:rStyle w:val="TextoNormalNegritaCaracter"/>
        </w:rPr>
        <w:t>Artículo 223.1.</w:t>
      </w:r>
      <w:r w:rsidRPr="00601EEA">
        <w:rPr>
          <w:rStyle w:val="TextoNormalCaracter"/>
        </w:rPr>
        <w:t>-</w:t>
      </w:r>
      <w:r>
        <w:t xml:space="preserve"> Auto </w:t>
      </w:r>
      <w:hyperlink w:anchor="AUTO_2024_31" w:history="1">
        <w:r w:rsidRPr="00601EEA">
          <w:rPr>
            <w:rStyle w:val="TextoNormalCaracter"/>
          </w:rPr>
          <w:t>31/2024</w:t>
        </w:r>
      </w:hyperlink>
      <w:r>
        <w:t>, f. 3.</w:t>
      </w:r>
    </w:p>
    <w:p w14:paraId="1CD2C64A" w14:textId="162B6DCB" w:rsidR="00601EEA" w:rsidRDefault="00601EEA" w:rsidP="00601EEA">
      <w:pPr>
        <w:pStyle w:val="SangriaFrancesaArticulo"/>
      </w:pPr>
      <w:r w:rsidRPr="00601EEA">
        <w:rPr>
          <w:rStyle w:val="TextoNormalNegritaCaracter"/>
        </w:rPr>
        <w:t>Artículo 223.1.1.</w:t>
      </w:r>
      <w:r w:rsidRPr="00601EEA">
        <w:rPr>
          <w:rStyle w:val="TextoNormalCaracter"/>
        </w:rPr>
        <w:t>-</w:t>
      </w:r>
      <w:r>
        <w:t xml:space="preserve"> Auto </w:t>
      </w:r>
      <w:hyperlink w:anchor="AUTO_2024_31" w:history="1">
        <w:r w:rsidRPr="00601EEA">
          <w:rPr>
            <w:rStyle w:val="TextoNormalCaracter"/>
          </w:rPr>
          <w:t>31/2024</w:t>
        </w:r>
      </w:hyperlink>
      <w:r>
        <w:t>, f. 3.</w:t>
      </w:r>
    </w:p>
    <w:p w14:paraId="4EDB76AB" w14:textId="04B18D81" w:rsidR="00601EEA" w:rsidRDefault="00601EEA" w:rsidP="00601EEA">
      <w:pPr>
        <w:pStyle w:val="SangriaFrancesaArticulo"/>
      </w:pPr>
      <w:r w:rsidRPr="00601EEA">
        <w:rPr>
          <w:rStyle w:val="TextoNormalNegritaCaracter"/>
        </w:rPr>
        <w:t>Artículo 227.</w:t>
      </w:r>
      <w:r w:rsidRPr="00601EEA">
        <w:rPr>
          <w:rStyle w:val="TextoNormalCaracter"/>
        </w:rPr>
        <w:t>-</w:t>
      </w:r>
      <w:r>
        <w:t xml:space="preserve"> Autos </w:t>
      </w:r>
      <w:hyperlink w:anchor="AUTO_2024_31" w:history="1">
        <w:r w:rsidRPr="00601EEA">
          <w:rPr>
            <w:rStyle w:val="TextoNormalCaracter"/>
          </w:rPr>
          <w:t>31/2024</w:t>
        </w:r>
      </w:hyperlink>
      <w:r>
        <w:t xml:space="preserve">, f. 2; </w:t>
      </w:r>
      <w:hyperlink w:anchor="AUTO_2024_32" w:history="1">
        <w:r w:rsidRPr="00601EEA">
          <w:rPr>
            <w:rStyle w:val="TextoNormalCaracter"/>
          </w:rPr>
          <w:t>32/2024</w:t>
        </w:r>
      </w:hyperlink>
      <w:r>
        <w:t xml:space="preserve">, f. 2; </w:t>
      </w:r>
      <w:hyperlink w:anchor="AUTO_2024_33" w:history="1">
        <w:r w:rsidRPr="00601EEA">
          <w:rPr>
            <w:rStyle w:val="TextoNormalCaracter"/>
          </w:rPr>
          <w:t>33/2024</w:t>
        </w:r>
      </w:hyperlink>
      <w:r>
        <w:t xml:space="preserve">, f. 2; </w:t>
      </w:r>
      <w:hyperlink w:anchor="AUTO_2024_60" w:history="1">
        <w:r w:rsidRPr="00601EEA">
          <w:rPr>
            <w:rStyle w:val="TextoNormalCaracter"/>
          </w:rPr>
          <w:t>60/2024</w:t>
        </w:r>
      </w:hyperlink>
      <w:r>
        <w:t>, f. único.</w:t>
      </w:r>
    </w:p>
    <w:p w14:paraId="502F3F90" w14:textId="767377BA" w:rsidR="00601EEA" w:rsidRDefault="00601EEA" w:rsidP="00601EEA">
      <w:pPr>
        <w:pStyle w:val="SangriaFrancesaArticulo"/>
      </w:pPr>
      <w:r w:rsidRPr="00601EEA">
        <w:rPr>
          <w:rStyle w:val="TextoNormalNegritaCaracter"/>
        </w:rPr>
        <w:t>Artículo 234.2.</w:t>
      </w:r>
      <w:r w:rsidRPr="00601EEA">
        <w:rPr>
          <w:rStyle w:val="TextoNormalCaracter"/>
        </w:rPr>
        <w:t>-</w:t>
      </w:r>
      <w:r>
        <w:t xml:space="preserve"> Auto </w:t>
      </w:r>
      <w:hyperlink w:anchor="AUTO_2024_17" w:history="1">
        <w:r w:rsidRPr="00601EEA">
          <w:rPr>
            <w:rStyle w:val="TextoNormalCaracter"/>
          </w:rPr>
          <w:t>17/2024</w:t>
        </w:r>
      </w:hyperlink>
      <w:r>
        <w:t>, ff. 1, 3.</w:t>
      </w:r>
    </w:p>
    <w:p w14:paraId="54D618ED" w14:textId="389A673D" w:rsidR="00601EEA" w:rsidRDefault="00601EEA" w:rsidP="00601EEA">
      <w:pPr>
        <w:pStyle w:val="SangriaFrancesaArticulo"/>
      </w:pPr>
      <w:r w:rsidRPr="00601EEA">
        <w:rPr>
          <w:rStyle w:val="TextoNormalNegritaCaracter"/>
        </w:rPr>
        <w:t>Artículo 241.</w:t>
      </w:r>
      <w:r w:rsidRPr="00601EEA">
        <w:rPr>
          <w:rStyle w:val="TextoNormalCaracter"/>
        </w:rPr>
        <w:t>-</w:t>
      </w:r>
      <w:r>
        <w:t xml:space="preserve"> Sentencias </w:t>
      </w:r>
      <w:hyperlink w:anchor="SENTENCIA_2024_3" w:history="1">
        <w:r w:rsidRPr="00601EEA">
          <w:rPr>
            <w:rStyle w:val="TextoNormalCaracter"/>
          </w:rPr>
          <w:t>3/2024</w:t>
        </w:r>
      </w:hyperlink>
      <w:r>
        <w:t xml:space="preserve">, f. 2; </w:t>
      </w:r>
      <w:hyperlink w:anchor="SENTENCIA_2024_9" w:history="1">
        <w:r w:rsidRPr="00601EEA">
          <w:rPr>
            <w:rStyle w:val="TextoNormalCaracter"/>
          </w:rPr>
          <w:t>9/2024</w:t>
        </w:r>
      </w:hyperlink>
      <w:r>
        <w:t xml:space="preserve">, ff. 2, 3, VP II; </w:t>
      </w:r>
      <w:hyperlink w:anchor="SENTENCIA_2024_48" w:history="1">
        <w:r w:rsidRPr="00601EEA">
          <w:rPr>
            <w:rStyle w:val="TextoNormalCaracter"/>
          </w:rPr>
          <w:t>48/2024</w:t>
        </w:r>
      </w:hyperlink>
      <w:r>
        <w:t xml:space="preserve">, f. 1; </w:t>
      </w:r>
      <w:hyperlink w:anchor="SENTENCIA_2024_49" w:history="1">
        <w:r w:rsidRPr="00601EEA">
          <w:rPr>
            <w:rStyle w:val="TextoNormalCaracter"/>
          </w:rPr>
          <w:t>49/2024</w:t>
        </w:r>
      </w:hyperlink>
      <w:r>
        <w:t>, f. 2.</w:t>
      </w:r>
    </w:p>
    <w:p w14:paraId="01C7FEE4" w14:textId="1C6A4F1D" w:rsidR="00601EEA" w:rsidRDefault="00601EEA" w:rsidP="00601EEA">
      <w:pPr>
        <w:pStyle w:val="SangriaFrancesaArticulo"/>
      </w:pPr>
      <w:r w:rsidRPr="00601EEA">
        <w:rPr>
          <w:rStyle w:val="TextoNormalNegritaCaracter"/>
        </w:rPr>
        <w:t>Artículo 241.1.</w:t>
      </w:r>
      <w:r w:rsidRPr="00601EEA">
        <w:rPr>
          <w:rStyle w:val="TextoNormalCaracter"/>
        </w:rPr>
        <w:t>-</w:t>
      </w:r>
      <w:r>
        <w:t xml:space="preserve"> Sentencias </w:t>
      </w:r>
      <w:hyperlink w:anchor="SENTENCIA_2024_3" w:history="1">
        <w:r w:rsidRPr="00601EEA">
          <w:rPr>
            <w:rStyle w:val="TextoNormalCaracter"/>
          </w:rPr>
          <w:t>3/2024</w:t>
        </w:r>
      </w:hyperlink>
      <w:r>
        <w:t xml:space="preserve">, f. 2; </w:t>
      </w:r>
      <w:hyperlink w:anchor="SENTENCIA_2024_49" w:history="1">
        <w:r w:rsidRPr="00601EEA">
          <w:rPr>
            <w:rStyle w:val="TextoNormalCaracter"/>
          </w:rPr>
          <w:t>49/2024</w:t>
        </w:r>
      </w:hyperlink>
      <w:r>
        <w:t>, f. 2.</w:t>
      </w:r>
    </w:p>
    <w:p w14:paraId="2F74E7D2" w14:textId="1FC5575E" w:rsidR="00601EEA" w:rsidRDefault="00601EEA" w:rsidP="00601EEA">
      <w:pPr>
        <w:pStyle w:val="SangriaIzquierdaArticulo"/>
      </w:pPr>
      <w:r>
        <w:t xml:space="preserve">Auto </w:t>
      </w:r>
      <w:hyperlink w:anchor="AUTO_2024_51" w:history="1">
        <w:r w:rsidRPr="00601EEA">
          <w:rPr>
            <w:rStyle w:val="TextoNormalCaracter"/>
          </w:rPr>
          <w:t>51/2024</w:t>
        </w:r>
      </w:hyperlink>
      <w:r>
        <w:t>, ff. 1, 2.</w:t>
      </w:r>
    </w:p>
    <w:p w14:paraId="0077AE91" w14:textId="72250975" w:rsidR="00601EEA" w:rsidRDefault="00601EEA" w:rsidP="00601EEA">
      <w:pPr>
        <w:pStyle w:val="SangriaFrancesaArticulo"/>
      </w:pPr>
      <w:r w:rsidRPr="00601EEA">
        <w:rPr>
          <w:rStyle w:val="TextoNormalNegritaCaracter"/>
        </w:rPr>
        <w:lastRenderedPageBreak/>
        <w:t>Artículo 248.4.</w:t>
      </w:r>
      <w:r w:rsidRPr="00601EEA">
        <w:rPr>
          <w:rStyle w:val="TextoNormalCaracter"/>
        </w:rPr>
        <w:t>-</w:t>
      </w:r>
      <w:r>
        <w:t xml:space="preserve"> Sentencia </w:t>
      </w:r>
      <w:hyperlink w:anchor="SENTENCIA_2024_9" w:history="1">
        <w:r w:rsidRPr="00601EEA">
          <w:rPr>
            <w:rStyle w:val="TextoNormalCaracter"/>
          </w:rPr>
          <w:t>9/2024</w:t>
        </w:r>
      </w:hyperlink>
      <w:r>
        <w:t>, f. 2, VP II.</w:t>
      </w:r>
    </w:p>
    <w:p w14:paraId="1EC1494C" w14:textId="00F1462C" w:rsidR="00601EEA" w:rsidRDefault="00601EEA" w:rsidP="00601EEA">
      <w:pPr>
        <w:pStyle w:val="SangriaFrancesaArticulo"/>
      </w:pPr>
      <w:r w:rsidRPr="00601EEA">
        <w:rPr>
          <w:rStyle w:val="TextoNormalNegritaCaracter"/>
        </w:rPr>
        <w:t>Artículo 292.</w:t>
      </w:r>
      <w:r w:rsidRPr="00601EEA">
        <w:rPr>
          <w:rStyle w:val="TextoNormalCaracter"/>
        </w:rPr>
        <w:t>-</w:t>
      </w:r>
      <w:r>
        <w:t xml:space="preserve"> Sentencia </w:t>
      </w:r>
      <w:hyperlink w:anchor="SENTENCIA_2024_61" w:history="1">
        <w:r w:rsidRPr="00601EEA">
          <w:rPr>
            <w:rStyle w:val="TextoNormalCaracter"/>
          </w:rPr>
          <w:t>61/2024</w:t>
        </w:r>
      </w:hyperlink>
      <w:r>
        <w:t>, VP.</w:t>
      </w:r>
    </w:p>
    <w:p w14:paraId="0FAF9B37" w14:textId="4C133FBF" w:rsidR="00601EEA" w:rsidRDefault="00601EEA" w:rsidP="00601EEA">
      <w:pPr>
        <w:pStyle w:val="SangriaFrancesaArticulo"/>
      </w:pPr>
      <w:r w:rsidRPr="00601EEA">
        <w:rPr>
          <w:rStyle w:val="TextoNormalNegritaCaracter"/>
        </w:rPr>
        <w:t>Artículos 292 y siguientes.</w:t>
      </w:r>
      <w:r w:rsidRPr="00601EEA">
        <w:rPr>
          <w:rStyle w:val="TextoNormalCaracter"/>
        </w:rPr>
        <w:t>-</w:t>
      </w:r>
      <w:r>
        <w:t xml:space="preserve"> Sentencia </w:t>
      </w:r>
      <w:hyperlink w:anchor="SENTENCIA_2024_61" w:history="1">
        <w:r w:rsidRPr="00601EEA">
          <w:rPr>
            <w:rStyle w:val="TextoNormalCaracter"/>
          </w:rPr>
          <w:t>61/2024</w:t>
        </w:r>
      </w:hyperlink>
      <w:r>
        <w:t>, VP.</w:t>
      </w:r>
    </w:p>
    <w:p w14:paraId="0FD157E8" w14:textId="317E1D83" w:rsidR="00601EEA" w:rsidRDefault="00601EEA" w:rsidP="00601EEA">
      <w:pPr>
        <w:pStyle w:val="SangriaFrancesaArticulo"/>
      </w:pPr>
      <w:r w:rsidRPr="00601EEA">
        <w:rPr>
          <w:rStyle w:val="TextoNormalNegritaCaracter"/>
        </w:rPr>
        <w:t>Artículo 293.</w:t>
      </w:r>
      <w:r w:rsidRPr="00601EEA">
        <w:rPr>
          <w:rStyle w:val="TextoNormalCaracter"/>
        </w:rPr>
        <w:t>-</w:t>
      </w:r>
      <w:r>
        <w:t xml:space="preserve"> Sentencia </w:t>
      </w:r>
      <w:hyperlink w:anchor="SENTENCIA_2024_61" w:history="1">
        <w:r w:rsidRPr="00601EEA">
          <w:rPr>
            <w:rStyle w:val="TextoNormalCaracter"/>
          </w:rPr>
          <w:t>61/2024</w:t>
        </w:r>
      </w:hyperlink>
      <w:r>
        <w:t>, VP.</w:t>
      </w:r>
    </w:p>
    <w:p w14:paraId="3E3F1041" w14:textId="5A8E16AC" w:rsidR="00601EEA" w:rsidRDefault="00601EEA" w:rsidP="00601EEA">
      <w:pPr>
        <w:pStyle w:val="SangriaFrancesaArticulo"/>
      </w:pPr>
      <w:r w:rsidRPr="00601EEA">
        <w:rPr>
          <w:rStyle w:val="TextoNormalNegritaCaracter"/>
        </w:rPr>
        <w:t>Artículo 549.1 a).</w:t>
      </w:r>
      <w:r w:rsidRPr="00601EEA">
        <w:rPr>
          <w:rStyle w:val="TextoNormalCaracter"/>
        </w:rPr>
        <w:t>-</w:t>
      </w:r>
      <w:r>
        <w:t xml:space="preserve"> Sentencia </w:t>
      </w:r>
      <w:hyperlink w:anchor="SENTENCIA_2024_87" w:history="1">
        <w:r w:rsidRPr="00601EEA">
          <w:rPr>
            <w:rStyle w:val="TextoNormalCaracter"/>
          </w:rPr>
          <w:t>87/2024</w:t>
        </w:r>
      </w:hyperlink>
      <w:r>
        <w:t>, f. 2.</w:t>
      </w:r>
    </w:p>
    <w:p w14:paraId="571168DC" w14:textId="01ABD6A5" w:rsidR="00601EEA" w:rsidRDefault="00601EEA" w:rsidP="00601EEA">
      <w:pPr>
        <w:pStyle w:val="SangriaFrancesaArticulo"/>
      </w:pPr>
      <w:r w:rsidRPr="00601EEA">
        <w:rPr>
          <w:rStyle w:val="TextoNormalNegritaCaracter"/>
        </w:rPr>
        <w:t>Artículo 550.1.</w:t>
      </w:r>
      <w:r w:rsidRPr="00601EEA">
        <w:rPr>
          <w:rStyle w:val="TextoNormalCaracter"/>
        </w:rPr>
        <w:t>-</w:t>
      </w:r>
      <w:r>
        <w:t xml:space="preserve"> Sentencia </w:t>
      </w:r>
      <w:hyperlink w:anchor="SENTENCIA_2024_87" w:history="1">
        <w:r w:rsidRPr="00601EEA">
          <w:rPr>
            <w:rStyle w:val="TextoNormalCaracter"/>
          </w:rPr>
          <w:t>87/2024</w:t>
        </w:r>
      </w:hyperlink>
      <w:r>
        <w:t>, f. 2.</w:t>
      </w:r>
    </w:p>
    <w:p w14:paraId="1F9C65CD" w14:textId="09DD7B04" w:rsidR="00601EEA" w:rsidRDefault="00601EEA" w:rsidP="00601EEA">
      <w:pPr>
        <w:pStyle w:val="SangriaFrancesaArticulo"/>
      </w:pPr>
      <w:r w:rsidRPr="00601EEA">
        <w:rPr>
          <w:rStyle w:val="TextoNormalNegritaCaracter"/>
        </w:rPr>
        <w:t>Artículo 561.</w:t>
      </w:r>
      <w:r w:rsidRPr="00601EEA">
        <w:rPr>
          <w:rStyle w:val="TextoNormalCaracter"/>
        </w:rPr>
        <w:t>-</w:t>
      </w:r>
      <w:r>
        <w:t xml:space="preserve"> Sentencias </w:t>
      </w:r>
      <w:hyperlink w:anchor="SENTENCIA_2024_15" w:history="1">
        <w:r w:rsidRPr="00601EEA">
          <w:rPr>
            <w:rStyle w:val="TextoNormalCaracter"/>
          </w:rPr>
          <w:t>15/2024</w:t>
        </w:r>
      </w:hyperlink>
      <w:r>
        <w:t xml:space="preserve">, f. 1; </w:t>
      </w:r>
      <w:hyperlink w:anchor="SENTENCIA_2024_30" w:history="1">
        <w:r w:rsidRPr="00601EEA">
          <w:rPr>
            <w:rStyle w:val="TextoNormalCaracter"/>
          </w:rPr>
          <w:t>30/2024</w:t>
        </w:r>
      </w:hyperlink>
      <w:r>
        <w:t>, VP I, VP II.</w:t>
      </w:r>
    </w:p>
    <w:p w14:paraId="6A488F49" w14:textId="2528A4DD" w:rsidR="00601EEA" w:rsidRDefault="00601EEA" w:rsidP="00601EEA">
      <w:pPr>
        <w:pStyle w:val="SangriaFrancesaArticulo"/>
      </w:pPr>
      <w:r w:rsidRPr="00601EEA">
        <w:rPr>
          <w:rStyle w:val="TextoNormalNegritaCaracter"/>
        </w:rPr>
        <w:t>Artículo 561.1.</w:t>
      </w:r>
      <w:r w:rsidRPr="00601EEA">
        <w:rPr>
          <w:rStyle w:val="TextoNormalCaracter"/>
        </w:rPr>
        <w:t>-</w:t>
      </w:r>
      <w:r>
        <w:t xml:space="preserve"> Sentencia </w:t>
      </w:r>
      <w:hyperlink w:anchor="SENTENCIA_2024_15" w:history="1">
        <w:r w:rsidRPr="00601EEA">
          <w:rPr>
            <w:rStyle w:val="TextoNormalCaracter"/>
          </w:rPr>
          <w:t>15/2024</w:t>
        </w:r>
      </w:hyperlink>
      <w:r>
        <w:t>, f. 3.</w:t>
      </w:r>
    </w:p>
    <w:p w14:paraId="216982C1" w14:textId="650EB01E" w:rsidR="00601EEA" w:rsidRDefault="00601EEA" w:rsidP="00601EEA">
      <w:pPr>
        <w:pStyle w:val="SangriaFrancesaArticulo"/>
      </w:pPr>
      <w:r w:rsidRPr="00601EEA">
        <w:rPr>
          <w:rStyle w:val="TextoNormalNegritaCaracter"/>
        </w:rPr>
        <w:t>Artículo 568.1.</w:t>
      </w:r>
      <w:r w:rsidRPr="00601EEA">
        <w:rPr>
          <w:rStyle w:val="TextoNormalCaracter"/>
        </w:rPr>
        <w:t>-</w:t>
      </w:r>
      <w:r>
        <w:t xml:space="preserve"> Sentencia </w:t>
      </w:r>
      <w:hyperlink w:anchor="SENTENCIA_2024_15" w:history="1">
        <w:r w:rsidRPr="00601EEA">
          <w:rPr>
            <w:rStyle w:val="TextoNormalCaracter"/>
          </w:rPr>
          <w:t>15/2024</w:t>
        </w:r>
      </w:hyperlink>
      <w:r>
        <w:t>, f. 4.</w:t>
      </w:r>
    </w:p>
    <w:p w14:paraId="67DFBF2E" w14:textId="06A4A422" w:rsidR="00601EEA" w:rsidRDefault="00601EEA" w:rsidP="00601EEA">
      <w:pPr>
        <w:pStyle w:val="SangriaFrancesaArticulo"/>
      </w:pPr>
      <w:r w:rsidRPr="00601EEA">
        <w:rPr>
          <w:rStyle w:val="TextoNormalNegritaCaracter"/>
        </w:rPr>
        <w:t>Artículo 570 bis</w:t>
      </w:r>
      <w:r>
        <w:t xml:space="preserve"> (redactado por la Ley Orgánica 4/2021, de 29 de marzo)</w:t>
      </w:r>
      <w:r w:rsidRPr="00601EEA">
        <w:rPr>
          <w:rStyle w:val="TextoNormalNegritaCaracter"/>
        </w:rPr>
        <w:t>.</w:t>
      </w:r>
      <w:r w:rsidRPr="00601EEA">
        <w:rPr>
          <w:rStyle w:val="TextoNormalCaracter"/>
        </w:rPr>
        <w:t>-</w:t>
      </w:r>
      <w:r>
        <w:t xml:space="preserve"> Sentencia </w:t>
      </w:r>
      <w:hyperlink w:anchor="SENTENCIA_2024_15" w:history="1">
        <w:r w:rsidRPr="00601EEA">
          <w:rPr>
            <w:rStyle w:val="TextoNormalCaracter"/>
          </w:rPr>
          <w:t>15/2024</w:t>
        </w:r>
      </w:hyperlink>
      <w:r>
        <w:t>, ff. 1, 2, 6.</w:t>
      </w:r>
    </w:p>
    <w:p w14:paraId="2D44AEE8" w14:textId="704268D8" w:rsidR="00601EEA" w:rsidRDefault="00601EEA" w:rsidP="00601EEA">
      <w:pPr>
        <w:pStyle w:val="SangriaFrancesaArticulo"/>
      </w:pPr>
      <w:r w:rsidRPr="00601EEA">
        <w:rPr>
          <w:rStyle w:val="TextoNormalNegritaCaracter"/>
        </w:rPr>
        <w:t>Artículo 570 bis</w:t>
      </w:r>
      <w:r>
        <w:t xml:space="preserve"> (redactado por la Ley Orgánica 8/2022, de 27 de julio)</w:t>
      </w:r>
      <w:r w:rsidRPr="00601EEA">
        <w:rPr>
          <w:rStyle w:val="TextoNormalNegritaCaracter"/>
        </w:rPr>
        <w:t>.</w:t>
      </w:r>
      <w:r w:rsidRPr="00601EEA">
        <w:rPr>
          <w:rStyle w:val="TextoNormalCaracter"/>
        </w:rPr>
        <w:t>-</w:t>
      </w:r>
      <w:r>
        <w:t xml:space="preserve"> Sentencia </w:t>
      </w:r>
      <w:hyperlink w:anchor="SENTENCIA_2024_15" w:history="1">
        <w:r w:rsidRPr="00601EEA">
          <w:rPr>
            <w:rStyle w:val="TextoNormalCaracter"/>
          </w:rPr>
          <w:t>15/2024</w:t>
        </w:r>
      </w:hyperlink>
      <w:r>
        <w:t>, f. 2.</w:t>
      </w:r>
    </w:p>
    <w:p w14:paraId="42B84592" w14:textId="12E348AD" w:rsidR="00601EEA" w:rsidRDefault="00601EEA" w:rsidP="00601EEA">
      <w:pPr>
        <w:pStyle w:val="SangriaFrancesaArticulo"/>
      </w:pPr>
      <w:r w:rsidRPr="00601EEA">
        <w:rPr>
          <w:rStyle w:val="TextoNormalNegritaCaracter"/>
        </w:rPr>
        <w:t>Artículo 570 bis.1.1</w:t>
      </w:r>
      <w:r>
        <w:t xml:space="preserve"> (redactado por la Ley Orgánica 8/2022, de 27 de julio)</w:t>
      </w:r>
      <w:r w:rsidRPr="00601EEA">
        <w:rPr>
          <w:rStyle w:val="TextoNormalNegritaCaracter"/>
        </w:rPr>
        <w:t>.</w:t>
      </w:r>
      <w:r w:rsidRPr="00601EEA">
        <w:rPr>
          <w:rStyle w:val="TextoNormalCaracter"/>
        </w:rPr>
        <w:t>-</w:t>
      </w:r>
      <w:r>
        <w:t xml:space="preserve"> Auto </w:t>
      </w:r>
      <w:hyperlink w:anchor="AUTO_2024_18" w:history="1">
        <w:r w:rsidRPr="00601EEA">
          <w:rPr>
            <w:rStyle w:val="TextoNormalCaracter"/>
          </w:rPr>
          <w:t>18/2024</w:t>
        </w:r>
      </w:hyperlink>
      <w:r>
        <w:t>, f. único.</w:t>
      </w:r>
    </w:p>
    <w:p w14:paraId="52A3BAD3" w14:textId="4E3FE630" w:rsidR="00601EEA" w:rsidRDefault="00601EEA" w:rsidP="00601EEA">
      <w:pPr>
        <w:pStyle w:val="SangriaFrancesaArticulo"/>
      </w:pPr>
      <w:r w:rsidRPr="00601EEA">
        <w:rPr>
          <w:rStyle w:val="TextoNormalNegritaCaracter"/>
        </w:rPr>
        <w:t>Artículo 570.2.</w:t>
      </w:r>
      <w:r w:rsidRPr="00601EEA">
        <w:rPr>
          <w:rStyle w:val="TextoNormalCaracter"/>
        </w:rPr>
        <w:t>-</w:t>
      </w:r>
      <w:r>
        <w:t xml:space="preserve"> Sentencia </w:t>
      </w:r>
      <w:hyperlink w:anchor="SENTENCIA_2024_15" w:history="1">
        <w:r w:rsidRPr="00601EEA">
          <w:rPr>
            <w:rStyle w:val="TextoNormalCaracter"/>
          </w:rPr>
          <w:t>15/2024</w:t>
        </w:r>
      </w:hyperlink>
      <w:r>
        <w:t>, f. 1.</w:t>
      </w:r>
    </w:p>
    <w:p w14:paraId="25CEAC54" w14:textId="4810E871" w:rsidR="00601EEA" w:rsidRDefault="00601EEA" w:rsidP="00601EEA">
      <w:pPr>
        <w:pStyle w:val="SangriaFrancesaArticulo"/>
      </w:pPr>
      <w:r w:rsidRPr="00601EEA">
        <w:rPr>
          <w:rStyle w:val="TextoNormalNegritaCaracter"/>
        </w:rPr>
        <w:t>Artículo 581.</w:t>
      </w:r>
      <w:r w:rsidRPr="00601EEA">
        <w:rPr>
          <w:rStyle w:val="TextoNormalCaracter"/>
        </w:rPr>
        <w:t>-</w:t>
      </w:r>
      <w:r>
        <w:t xml:space="preserve"> Sentencia </w:t>
      </w:r>
      <w:hyperlink w:anchor="SENTENCIA_2024_15" w:history="1">
        <w:r w:rsidRPr="00601EEA">
          <w:rPr>
            <w:rStyle w:val="TextoNormalCaracter"/>
          </w:rPr>
          <w:t>15/2024</w:t>
        </w:r>
      </w:hyperlink>
      <w:r>
        <w:t>, f. 4.</w:t>
      </w:r>
    </w:p>
    <w:p w14:paraId="7EA04FA0" w14:textId="0620E289" w:rsidR="00601EEA" w:rsidRDefault="00601EEA" w:rsidP="00601EEA">
      <w:pPr>
        <w:pStyle w:val="SangriaFrancesaArticulo"/>
      </w:pPr>
      <w:r w:rsidRPr="00601EEA">
        <w:rPr>
          <w:rStyle w:val="TextoNormalNegritaCaracter"/>
        </w:rPr>
        <w:t>Articulo 582.1.</w:t>
      </w:r>
      <w:r w:rsidRPr="00601EEA">
        <w:rPr>
          <w:rStyle w:val="TextoNormalCaracter"/>
        </w:rPr>
        <w:t>-</w:t>
      </w:r>
      <w:r>
        <w:t xml:space="preserve"> Sentencia </w:t>
      </w:r>
      <w:hyperlink w:anchor="SENTENCIA_2024_15" w:history="1">
        <w:r w:rsidRPr="00601EEA">
          <w:rPr>
            <w:rStyle w:val="TextoNormalCaracter"/>
          </w:rPr>
          <w:t>15/2024</w:t>
        </w:r>
      </w:hyperlink>
      <w:r>
        <w:t>, f. 4.</w:t>
      </w:r>
    </w:p>
    <w:p w14:paraId="16EF761C" w14:textId="07CB49C5" w:rsidR="00601EEA" w:rsidRDefault="00601EEA" w:rsidP="00601EEA">
      <w:pPr>
        <w:pStyle w:val="SangriaFrancesaArticulo"/>
      </w:pPr>
      <w:r w:rsidRPr="00601EEA">
        <w:rPr>
          <w:rStyle w:val="TextoNormalNegritaCaracter"/>
        </w:rPr>
        <w:t>Artículo 598 bis</w:t>
      </w:r>
      <w:r>
        <w:t xml:space="preserve"> (redactado por la Ley Orgánica 4/2021, de 29 de marzo)</w:t>
      </w:r>
      <w:r w:rsidRPr="00601EEA">
        <w:rPr>
          <w:rStyle w:val="TextoNormalNegritaCaracter"/>
        </w:rPr>
        <w:t>.</w:t>
      </w:r>
      <w:r w:rsidRPr="00601EEA">
        <w:rPr>
          <w:rStyle w:val="TextoNormalCaracter"/>
        </w:rPr>
        <w:t>-</w:t>
      </w:r>
      <w:r>
        <w:t xml:space="preserve"> Sentencia </w:t>
      </w:r>
      <w:hyperlink w:anchor="SENTENCIA_2024_15" w:history="1">
        <w:r w:rsidRPr="00601EEA">
          <w:rPr>
            <w:rStyle w:val="TextoNormalCaracter"/>
          </w:rPr>
          <w:t>15/2024</w:t>
        </w:r>
      </w:hyperlink>
      <w:r>
        <w:t>, ff. 1, 2, 7, 8.</w:t>
      </w:r>
    </w:p>
    <w:p w14:paraId="755DBF3B" w14:textId="33909F31" w:rsidR="00601EEA" w:rsidRDefault="00601EEA" w:rsidP="00601EEA">
      <w:pPr>
        <w:pStyle w:val="SangriaFrancesaArticulo"/>
      </w:pPr>
      <w:r w:rsidRPr="00601EEA">
        <w:rPr>
          <w:rStyle w:val="TextoNormalNegritaCaracter"/>
        </w:rPr>
        <w:t>Artículo 599</w:t>
      </w:r>
      <w:r>
        <w:t xml:space="preserve"> (redactado por la Ley Orgánica 8/2022, de 27 de julio)</w:t>
      </w:r>
      <w:r w:rsidRPr="00601EEA">
        <w:rPr>
          <w:rStyle w:val="TextoNormalNegritaCaracter"/>
        </w:rPr>
        <w:t>.</w:t>
      </w:r>
      <w:r w:rsidRPr="00601EEA">
        <w:rPr>
          <w:rStyle w:val="TextoNormalCaracter"/>
        </w:rPr>
        <w:t>-</w:t>
      </w:r>
      <w:r>
        <w:t xml:space="preserve"> Sentencia </w:t>
      </w:r>
      <w:hyperlink w:anchor="SENTENCIA_2024_15" w:history="1">
        <w:r w:rsidRPr="00601EEA">
          <w:rPr>
            <w:rStyle w:val="TextoNormalCaracter"/>
          </w:rPr>
          <w:t>15/2024</w:t>
        </w:r>
      </w:hyperlink>
      <w:r>
        <w:t>, f. 2.</w:t>
      </w:r>
    </w:p>
    <w:p w14:paraId="2E6A9835" w14:textId="6756300B" w:rsidR="00601EEA" w:rsidRDefault="00601EEA" w:rsidP="00601EEA">
      <w:pPr>
        <w:pStyle w:val="SangriaFrancesaArticulo"/>
      </w:pPr>
      <w:r w:rsidRPr="00601EEA">
        <w:rPr>
          <w:rStyle w:val="TextoNormalNegritaCaracter"/>
        </w:rPr>
        <w:t>Disposición adicional decimoquinta.</w:t>
      </w:r>
      <w:r w:rsidRPr="00601EEA">
        <w:rPr>
          <w:rStyle w:val="TextoNormalCaracter"/>
        </w:rPr>
        <w:t>-</w:t>
      </w:r>
      <w:r>
        <w:t xml:space="preserve"> Sentencia </w:t>
      </w:r>
      <w:hyperlink w:anchor="SENTENCIA_2024_55" w:history="1">
        <w:r w:rsidRPr="00601EEA">
          <w:rPr>
            <w:rStyle w:val="TextoNormalCaracter"/>
          </w:rPr>
          <w:t>55/2024</w:t>
        </w:r>
      </w:hyperlink>
      <w:r>
        <w:t>, ff. 3, 4.</w:t>
      </w:r>
    </w:p>
    <w:p w14:paraId="6861DDD6" w14:textId="1A1F9391" w:rsidR="00601EEA" w:rsidRDefault="00601EEA" w:rsidP="00601EEA">
      <w:pPr>
        <w:pStyle w:val="SangriaFrancesaArticulo"/>
      </w:pPr>
      <w:r w:rsidRPr="00601EEA">
        <w:rPr>
          <w:rStyle w:val="TextoNormalNegritaCaracter"/>
        </w:rPr>
        <w:t xml:space="preserve">Disposición adicional decimoquinta, apartado 6 párrafo 1 </w:t>
      </w:r>
      <w:r w:rsidRPr="00601EEA">
        <w:rPr>
          <w:rStyle w:val="TextoNormalNegritaCursivaCaracter"/>
        </w:rPr>
        <w:t>in fine</w:t>
      </w:r>
      <w:r w:rsidRPr="00601EEA">
        <w:rPr>
          <w:rStyle w:val="TextoNormalNegritaCaracter"/>
        </w:rPr>
        <w:t>.</w:t>
      </w:r>
      <w:r w:rsidRPr="00601EEA">
        <w:rPr>
          <w:rStyle w:val="TextoNormalCaracter"/>
        </w:rPr>
        <w:t>-</w:t>
      </w:r>
      <w:r>
        <w:t xml:space="preserve"> Sentencia </w:t>
      </w:r>
      <w:hyperlink w:anchor="SENTENCIA_2024_55" w:history="1">
        <w:r w:rsidRPr="00601EEA">
          <w:rPr>
            <w:rStyle w:val="TextoNormalCaracter"/>
          </w:rPr>
          <w:t>55/2024</w:t>
        </w:r>
      </w:hyperlink>
      <w:r>
        <w:t>, f. 3.</w:t>
      </w:r>
    </w:p>
    <w:p w14:paraId="17DFF26A" w14:textId="6521FD0C" w:rsidR="00601EEA" w:rsidRDefault="00601EEA" w:rsidP="00601EEA">
      <w:pPr>
        <w:pStyle w:val="SangriaFrancesaArticulo"/>
      </w:pPr>
      <w:r w:rsidRPr="00601EEA">
        <w:rPr>
          <w:rStyle w:val="TextoNormalNegritaCaracter"/>
        </w:rPr>
        <w:t>Disposición adicional decimoquinta, apartado 7.</w:t>
      </w:r>
      <w:r w:rsidRPr="00601EEA">
        <w:rPr>
          <w:rStyle w:val="TextoNormalCaracter"/>
        </w:rPr>
        <w:t>-</w:t>
      </w:r>
      <w:r>
        <w:t xml:space="preserve"> Sentencia </w:t>
      </w:r>
      <w:hyperlink w:anchor="SENTENCIA_2024_55" w:history="1">
        <w:r w:rsidRPr="00601EEA">
          <w:rPr>
            <w:rStyle w:val="TextoNormalCaracter"/>
          </w:rPr>
          <w:t>55/2024</w:t>
        </w:r>
      </w:hyperlink>
      <w:r>
        <w:t>, f. 4.</w:t>
      </w:r>
    </w:p>
    <w:p w14:paraId="7AA234C6" w14:textId="7A442D8D" w:rsidR="00601EEA" w:rsidRDefault="00601EEA" w:rsidP="00601EEA">
      <w:pPr>
        <w:pStyle w:val="SangriaFrancesaArticulo"/>
      </w:pPr>
      <w:r w:rsidRPr="00601EEA">
        <w:rPr>
          <w:rStyle w:val="TextoNormalNegritaCaracter"/>
        </w:rPr>
        <w:t>Disposición adicional decimoquinta, apartado 7 párrafo 2.</w:t>
      </w:r>
      <w:r w:rsidRPr="00601EEA">
        <w:rPr>
          <w:rStyle w:val="TextoNormalCaracter"/>
        </w:rPr>
        <w:t>-</w:t>
      </w:r>
      <w:r>
        <w:t xml:space="preserve"> Sentencia </w:t>
      </w:r>
      <w:hyperlink w:anchor="SENTENCIA_2024_55" w:history="1">
        <w:r w:rsidRPr="00601EEA">
          <w:rPr>
            <w:rStyle w:val="TextoNormalCaracter"/>
          </w:rPr>
          <w:t>55/2024</w:t>
        </w:r>
      </w:hyperlink>
      <w:r>
        <w:t>, f. 3.</w:t>
      </w:r>
    </w:p>
    <w:p w14:paraId="081F5532" w14:textId="7D86D40D" w:rsidR="00601EEA" w:rsidRDefault="00601EEA" w:rsidP="00601EEA">
      <w:pPr>
        <w:pStyle w:val="SangriaFrancesaArticulo"/>
      </w:pPr>
      <w:r w:rsidRPr="00601EEA">
        <w:rPr>
          <w:rStyle w:val="TextoNormalNegritaCaracter"/>
        </w:rPr>
        <w:t>Disposición adicional decimoquinta, apartado 7 último párrafo.</w:t>
      </w:r>
      <w:r w:rsidRPr="00601EEA">
        <w:rPr>
          <w:rStyle w:val="TextoNormalCaracter"/>
        </w:rPr>
        <w:t>-</w:t>
      </w:r>
      <w:r>
        <w:t xml:space="preserve"> Sentencia </w:t>
      </w:r>
      <w:hyperlink w:anchor="SENTENCIA_2024_55" w:history="1">
        <w:r w:rsidRPr="00601EEA">
          <w:rPr>
            <w:rStyle w:val="TextoNormalCaracter"/>
          </w:rPr>
          <w:t>55/2024</w:t>
        </w:r>
      </w:hyperlink>
      <w:r>
        <w:t>, f. 3.</w:t>
      </w:r>
    </w:p>
    <w:p w14:paraId="6FB09357" w14:textId="6411560E" w:rsidR="00601EEA" w:rsidRDefault="00601EEA" w:rsidP="00601EEA">
      <w:pPr>
        <w:pStyle w:val="SangriaFrancesaArticulo"/>
      </w:pPr>
    </w:p>
    <w:p w14:paraId="38028C68" w14:textId="77777777" w:rsidR="00601EEA" w:rsidRDefault="00601EEA" w:rsidP="00601EEA">
      <w:pPr>
        <w:pStyle w:val="TextoNormalNegritaCursivandice"/>
        <w:keepNext/>
      </w:pPr>
      <w:r>
        <w:t>Ley Orgánica 8/1985, de 3 de julio, reguladora del derecho a la educación</w:t>
      </w:r>
    </w:p>
    <w:p w14:paraId="13D479E5" w14:textId="40C5EF63" w:rsidR="00601EEA" w:rsidRDefault="00601EEA" w:rsidP="00601EEA">
      <w:pPr>
        <w:pStyle w:val="SangriaFrancesaArticulo"/>
      </w:pPr>
      <w:r w:rsidRPr="00601EEA">
        <w:rPr>
          <w:rStyle w:val="TextoNormalNegritaCaracter"/>
        </w:rPr>
        <w:t>Artículo 47.</w:t>
      </w:r>
      <w:r w:rsidRPr="00601EEA">
        <w:rPr>
          <w:rStyle w:val="TextoNormalCaracter"/>
        </w:rPr>
        <w:t>-</w:t>
      </w:r>
      <w:r>
        <w:t xml:space="preserve"> Sentencia </w:t>
      </w:r>
      <w:hyperlink w:anchor="SENTENCIA_2024_89" w:history="1">
        <w:r w:rsidRPr="00601EEA">
          <w:rPr>
            <w:rStyle w:val="TextoNormalCaracter"/>
          </w:rPr>
          <w:t>89/2024</w:t>
        </w:r>
      </w:hyperlink>
      <w:r>
        <w:t>, VP I.</w:t>
      </w:r>
    </w:p>
    <w:p w14:paraId="7DDE7274" w14:textId="59D9CE84" w:rsidR="00601EEA" w:rsidRDefault="00601EEA" w:rsidP="00601EEA">
      <w:pPr>
        <w:pStyle w:val="SangriaFrancesaArticulo"/>
      </w:pPr>
    </w:p>
    <w:p w14:paraId="42042149" w14:textId="77777777" w:rsidR="00601EEA" w:rsidRDefault="00601EEA" w:rsidP="00601EEA">
      <w:pPr>
        <w:pStyle w:val="TextoNormalNegritaCursivandice"/>
        <w:keepNext/>
      </w:pPr>
      <w:r>
        <w:t>Ley Orgánica 11/1985, de 2 de agosto, de libertad sindical</w:t>
      </w:r>
    </w:p>
    <w:p w14:paraId="20BE47B3" w14:textId="1A7CBDCC"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63" w:history="1">
        <w:r w:rsidRPr="00601EEA">
          <w:rPr>
            <w:rStyle w:val="TextoNormalCaracter"/>
          </w:rPr>
          <w:t>63/2024</w:t>
        </w:r>
      </w:hyperlink>
      <w:r>
        <w:t>, ff. 4, 5.</w:t>
      </w:r>
    </w:p>
    <w:p w14:paraId="4CCD2994" w14:textId="5016F4DF" w:rsidR="00601EEA" w:rsidRDefault="00601EEA" w:rsidP="00601EEA">
      <w:pPr>
        <w:pStyle w:val="SangriaFrancesaArticulo"/>
      </w:pPr>
      <w:r w:rsidRPr="00601EEA">
        <w:rPr>
          <w:rStyle w:val="TextoNormalNegritaCaracter"/>
        </w:rPr>
        <w:t>Título III.</w:t>
      </w:r>
      <w:r w:rsidRPr="00601EEA">
        <w:rPr>
          <w:rStyle w:val="TextoNormalCaracter"/>
        </w:rPr>
        <w:t>-</w:t>
      </w:r>
      <w:r>
        <w:t xml:space="preserve"> Sentencia </w:t>
      </w:r>
      <w:hyperlink w:anchor="SENTENCIA_2024_63" w:history="1">
        <w:r w:rsidRPr="00601EEA">
          <w:rPr>
            <w:rStyle w:val="TextoNormalCaracter"/>
          </w:rPr>
          <w:t>63/2024</w:t>
        </w:r>
      </w:hyperlink>
      <w:r>
        <w:t>, f. 4.</w:t>
      </w:r>
    </w:p>
    <w:p w14:paraId="1C2B86EC" w14:textId="5D09730F" w:rsidR="00601EEA" w:rsidRDefault="00601EEA" w:rsidP="00601EEA">
      <w:pPr>
        <w:pStyle w:val="SangriaFrancesaArticulo"/>
      </w:pPr>
      <w:r w:rsidRPr="00601EEA">
        <w:rPr>
          <w:rStyle w:val="TextoNormalNegritaCaracter"/>
        </w:rPr>
        <w:t>Artículo 6.</w:t>
      </w:r>
      <w:r w:rsidRPr="00601EEA">
        <w:rPr>
          <w:rStyle w:val="TextoNormalCaracter"/>
        </w:rPr>
        <w:t>-</w:t>
      </w:r>
      <w:r>
        <w:t xml:space="preserve"> Sentencia </w:t>
      </w:r>
      <w:hyperlink w:anchor="SENTENCIA_2024_63" w:history="1">
        <w:r w:rsidRPr="00601EEA">
          <w:rPr>
            <w:rStyle w:val="TextoNormalCaracter"/>
          </w:rPr>
          <w:t>63/2024</w:t>
        </w:r>
      </w:hyperlink>
      <w:r>
        <w:t>, ff. 1, 4, 5.</w:t>
      </w:r>
    </w:p>
    <w:p w14:paraId="3FC5A5DC" w14:textId="2EDA0E03" w:rsidR="00601EEA" w:rsidRDefault="00601EEA" w:rsidP="00601EEA">
      <w:pPr>
        <w:pStyle w:val="SangriaFrancesaArticulo"/>
      </w:pPr>
      <w:r w:rsidRPr="00601EEA">
        <w:rPr>
          <w:rStyle w:val="TextoNormalNegritaCaracter"/>
        </w:rPr>
        <w:t>Artículo 6.1.</w:t>
      </w:r>
      <w:r w:rsidRPr="00601EEA">
        <w:rPr>
          <w:rStyle w:val="TextoNormalCaracter"/>
        </w:rPr>
        <w:t>-</w:t>
      </w:r>
      <w:r>
        <w:t xml:space="preserve"> Sentencia </w:t>
      </w:r>
      <w:hyperlink w:anchor="SENTENCIA_2024_63" w:history="1">
        <w:r w:rsidRPr="00601EEA">
          <w:rPr>
            <w:rStyle w:val="TextoNormalCaracter"/>
          </w:rPr>
          <w:t>63/2024</w:t>
        </w:r>
      </w:hyperlink>
      <w:r>
        <w:t>, ff. 4, 5.</w:t>
      </w:r>
    </w:p>
    <w:p w14:paraId="6F11D041" w14:textId="79DAA05E" w:rsidR="00601EEA" w:rsidRDefault="00601EEA" w:rsidP="00601EEA">
      <w:pPr>
        <w:pStyle w:val="SangriaFrancesaArticulo"/>
      </w:pPr>
      <w:r w:rsidRPr="00601EEA">
        <w:rPr>
          <w:rStyle w:val="TextoNormalNegritaCaracter"/>
        </w:rPr>
        <w:t>Artículo 6.2.</w:t>
      </w:r>
      <w:r w:rsidRPr="00601EEA">
        <w:rPr>
          <w:rStyle w:val="TextoNormalCaracter"/>
        </w:rPr>
        <w:t>-</w:t>
      </w:r>
      <w:r>
        <w:t xml:space="preserve"> Sentencia </w:t>
      </w:r>
      <w:hyperlink w:anchor="SENTENCIA_2024_63" w:history="1">
        <w:r w:rsidRPr="00601EEA">
          <w:rPr>
            <w:rStyle w:val="TextoNormalCaracter"/>
          </w:rPr>
          <w:t>63/2024</w:t>
        </w:r>
      </w:hyperlink>
      <w:r>
        <w:t>, f. 4.</w:t>
      </w:r>
    </w:p>
    <w:p w14:paraId="1F711F48" w14:textId="4481031C" w:rsidR="00601EEA" w:rsidRDefault="00601EEA" w:rsidP="00601EEA">
      <w:pPr>
        <w:pStyle w:val="SangriaFrancesaArticulo"/>
      </w:pPr>
      <w:r w:rsidRPr="00601EEA">
        <w:rPr>
          <w:rStyle w:val="TextoNormalNegritaCaracter"/>
        </w:rPr>
        <w:t>Artículo 6.3.</w:t>
      </w:r>
      <w:r w:rsidRPr="00601EEA">
        <w:rPr>
          <w:rStyle w:val="TextoNormalCaracter"/>
        </w:rPr>
        <w:t>-</w:t>
      </w:r>
      <w:r>
        <w:t xml:space="preserve"> Sentencia </w:t>
      </w:r>
      <w:hyperlink w:anchor="SENTENCIA_2024_63" w:history="1">
        <w:r w:rsidRPr="00601EEA">
          <w:rPr>
            <w:rStyle w:val="TextoNormalCaracter"/>
          </w:rPr>
          <w:t>63/2024</w:t>
        </w:r>
      </w:hyperlink>
      <w:r>
        <w:t>, f. 4.</w:t>
      </w:r>
    </w:p>
    <w:p w14:paraId="1CE76CD6" w14:textId="124393F8" w:rsidR="00601EEA" w:rsidRDefault="00601EEA" w:rsidP="00601EEA">
      <w:pPr>
        <w:pStyle w:val="SangriaFrancesaArticulo"/>
      </w:pPr>
      <w:r w:rsidRPr="00601EEA">
        <w:rPr>
          <w:rStyle w:val="TextoNormalNegritaCaracter"/>
        </w:rPr>
        <w:t>Artículo 6.3 a).</w:t>
      </w:r>
      <w:r w:rsidRPr="00601EEA">
        <w:rPr>
          <w:rStyle w:val="TextoNormalCaracter"/>
        </w:rPr>
        <w:t>-</w:t>
      </w:r>
      <w:r>
        <w:t xml:space="preserve"> Sentencia </w:t>
      </w:r>
      <w:hyperlink w:anchor="SENTENCIA_2024_63" w:history="1">
        <w:r w:rsidRPr="00601EEA">
          <w:rPr>
            <w:rStyle w:val="TextoNormalCaracter"/>
          </w:rPr>
          <w:t>63/2024</w:t>
        </w:r>
      </w:hyperlink>
      <w:r>
        <w:t>, ff. 4, 5.</w:t>
      </w:r>
    </w:p>
    <w:p w14:paraId="68A313ED" w14:textId="62011A29" w:rsidR="00601EEA" w:rsidRDefault="00601EEA" w:rsidP="00601EEA">
      <w:pPr>
        <w:pStyle w:val="SangriaFrancesaArticulo"/>
      </w:pPr>
      <w:r w:rsidRPr="00601EEA">
        <w:rPr>
          <w:rStyle w:val="TextoNormalNegritaCaracter"/>
        </w:rPr>
        <w:t>Artículo 6.3 c).</w:t>
      </w:r>
      <w:r w:rsidRPr="00601EEA">
        <w:rPr>
          <w:rStyle w:val="TextoNormalCaracter"/>
        </w:rPr>
        <w:t>-</w:t>
      </w:r>
      <w:r>
        <w:t xml:space="preserve"> Sentencia </w:t>
      </w:r>
      <w:hyperlink w:anchor="SENTENCIA_2024_63" w:history="1">
        <w:r w:rsidRPr="00601EEA">
          <w:rPr>
            <w:rStyle w:val="TextoNormalCaracter"/>
          </w:rPr>
          <w:t>63/2024</w:t>
        </w:r>
      </w:hyperlink>
      <w:r>
        <w:t>, f. 5.</w:t>
      </w:r>
    </w:p>
    <w:p w14:paraId="67311288" w14:textId="6351DC7B" w:rsidR="00601EEA" w:rsidRDefault="00601EEA" w:rsidP="00601EEA">
      <w:pPr>
        <w:pStyle w:val="SangriaFrancesaArticulo"/>
      </w:pPr>
      <w:r w:rsidRPr="00601EEA">
        <w:rPr>
          <w:rStyle w:val="TextoNormalNegritaCaracter"/>
        </w:rPr>
        <w:t>Artículo 6.3 d).</w:t>
      </w:r>
      <w:r w:rsidRPr="00601EEA">
        <w:rPr>
          <w:rStyle w:val="TextoNormalCaracter"/>
        </w:rPr>
        <w:t>-</w:t>
      </w:r>
      <w:r>
        <w:t xml:space="preserve"> Sentencia </w:t>
      </w:r>
      <w:hyperlink w:anchor="SENTENCIA_2024_63" w:history="1">
        <w:r w:rsidRPr="00601EEA">
          <w:rPr>
            <w:rStyle w:val="TextoNormalCaracter"/>
          </w:rPr>
          <w:t>63/2024</w:t>
        </w:r>
      </w:hyperlink>
      <w:r>
        <w:t>, f. 5.</w:t>
      </w:r>
    </w:p>
    <w:p w14:paraId="2A00661C" w14:textId="5967B315" w:rsidR="00601EEA" w:rsidRDefault="00601EEA" w:rsidP="00601EEA">
      <w:pPr>
        <w:pStyle w:val="SangriaFrancesaArticulo"/>
      </w:pPr>
      <w:r w:rsidRPr="00601EEA">
        <w:rPr>
          <w:rStyle w:val="TextoNormalNegritaCaracter"/>
        </w:rPr>
        <w:t>Artículo 6.3 g).</w:t>
      </w:r>
      <w:r w:rsidRPr="00601EEA">
        <w:rPr>
          <w:rStyle w:val="TextoNormalCaracter"/>
        </w:rPr>
        <w:t>-</w:t>
      </w:r>
      <w:r>
        <w:t xml:space="preserve"> Sentencia </w:t>
      </w:r>
      <w:hyperlink w:anchor="SENTENCIA_2024_63" w:history="1">
        <w:r w:rsidRPr="00601EEA">
          <w:rPr>
            <w:rStyle w:val="TextoNormalCaracter"/>
          </w:rPr>
          <w:t>63/2024</w:t>
        </w:r>
      </w:hyperlink>
      <w:r>
        <w:t>, f. 5.</w:t>
      </w:r>
    </w:p>
    <w:p w14:paraId="24E98BC3" w14:textId="60774EF3" w:rsidR="00601EEA" w:rsidRDefault="00601EEA" w:rsidP="00601EEA">
      <w:pPr>
        <w:pStyle w:val="SangriaFrancesaArticulo"/>
      </w:pPr>
      <w:r w:rsidRPr="00601EEA">
        <w:rPr>
          <w:rStyle w:val="TextoNormalNegritaCaracter"/>
        </w:rPr>
        <w:t>Artículo 7.</w:t>
      </w:r>
      <w:r w:rsidRPr="00601EEA">
        <w:rPr>
          <w:rStyle w:val="TextoNormalCaracter"/>
        </w:rPr>
        <w:t>-</w:t>
      </w:r>
      <w:r>
        <w:t xml:space="preserve"> Sentencia </w:t>
      </w:r>
      <w:hyperlink w:anchor="SENTENCIA_2024_63" w:history="1">
        <w:r w:rsidRPr="00601EEA">
          <w:rPr>
            <w:rStyle w:val="TextoNormalCaracter"/>
          </w:rPr>
          <w:t>63/2024</w:t>
        </w:r>
      </w:hyperlink>
      <w:r>
        <w:t>, ff. 1, 4.</w:t>
      </w:r>
    </w:p>
    <w:p w14:paraId="48B7537F" w14:textId="4AA56E07" w:rsidR="00601EEA" w:rsidRDefault="00601EEA" w:rsidP="00601EEA">
      <w:pPr>
        <w:pStyle w:val="SangriaFrancesaArticulo"/>
      </w:pPr>
      <w:r w:rsidRPr="00601EEA">
        <w:rPr>
          <w:rStyle w:val="TextoNormalNegritaCaracter"/>
        </w:rPr>
        <w:t>Artículo 7.1.</w:t>
      </w:r>
      <w:r w:rsidRPr="00601EEA">
        <w:rPr>
          <w:rStyle w:val="TextoNormalCaracter"/>
        </w:rPr>
        <w:t>-</w:t>
      </w:r>
      <w:r>
        <w:t xml:space="preserve"> Sentencia </w:t>
      </w:r>
      <w:hyperlink w:anchor="SENTENCIA_2024_63" w:history="1">
        <w:r w:rsidRPr="00601EEA">
          <w:rPr>
            <w:rStyle w:val="TextoNormalCaracter"/>
          </w:rPr>
          <w:t>63/2024</w:t>
        </w:r>
      </w:hyperlink>
      <w:r>
        <w:t>, f. 4.</w:t>
      </w:r>
    </w:p>
    <w:p w14:paraId="1BEEA349" w14:textId="69521EE6" w:rsidR="00601EEA" w:rsidRDefault="00601EEA" w:rsidP="00601EEA">
      <w:pPr>
        <w:pStyle w:val="SangriaFrancesaArticulo"/>
      </w:pPr>
      <w:r w:rsidRPr="00601EEA">
        <w:rPr>
          <w:rStyle w:val="TextoNormalNegritaCaracter"/>
        </w:rPr>
        <w:t>Artículo 7.2.</w:t>
      </w:r>
      <w:r w:rsidRPr="00601EEA">
        <w:rPr>
          <w:rStyle w:val="TextoNormalCaracter"/>
        </w:rPr>
        <w:t>-</w:t>
      </w:r>
      <w:r>
        <w:t xml:space="preserve"> Sentencia </w:t>
      </w:r>
      <w:hyperlink w:anchor="SENTENCIA_2024_63" w:history="1">
        <w:r w:rsidRPr="00601EEA">
          <w:rPr>
            <w:rStyle w:val="TextoNormalCaracter"/>
          </w:rPr>
          <w:t>63/2024</w:t>
        </w:r>
      </w:hyperlink>
      <w:r>
        <w:t>, f. 4.</w:t>
      </w:r>
    </w:p>
    <w:p w14:paraId="51B592A2" w14:textId="3DC7254C" w:rsidR="00601EEA" w:rsidRDefault="00601EEA" w:rsidP="00601EEA">
      <w:pPr>
        <w:pStyle w:val="SangriaFrancesaArticulo"/>
      </w:pPr>
    </w:p>
    <w:p w14:paraId="39F616D7" w14:textId="77777777" w:rsidR="00601EEA" w:rsidRDefault="00601EEA" w:rsidP="00601EEA">
      <w:pPr>
        <w:pStyle w:val="TextoNormalNegritaCursivandice"/>
        <w:keepNext/>
      </w:pPr>
      <w:r>
        <w:lastRenderedPageBreak/>
        <w:t>Ley Orgánica 2/1986, de 13 de marzo, de fuerzas y cuerpos de seguridad</w:t>
      </w:r>
    </w:p>
    <w:p w14:paraId="6B318633" w14:textId="20983405" w:rsidR="00601EEA" w:rsidRDefault="00601EEA" w:rsidP="00601EEA">
      <w:pPr>
        <w:pStyle w:val="SangriaFrancesaArticulo"/>
      </w:pPr>
      <w:r w:rsidRPr="00601EEA">
        <w:rPr>
          <w:rStyle w:val="TextoNormalNegritaCaracter"/>
        </w:rPr>
        <w:t>Artículo 3.</w:t>
      </w:r>
      <w:r w:rsidRPr="00601EEA">
        <w:rPr>
          <w:rStyle w:val="TextoNormalCaracter"/>
        </w:rPr>
        <w:t>-</w:t>
      </w:r>
      <w:r>
        <w:t xml:space="preserve"> Sentencia </w:t>
      </w:r>
      <w:hyperlink w:anchor="SENTENCIA_2024_40" w:history="1">
        <w:r w:rsidRPr="00601EEA">
          <w:rPr>
            <w:rStyle w:val="TextoNormalCaracter"/>
          </w:rPr>
          <w:t>40/2024</w:t>
        </w:r>
      </w:hyperlink>
      <w:r>
        <w:t>, f. 4.</w:t>
      </w:r>
    </w:p>
    <w:p w14:paraId="3E2A577A" w14:textId="57BD662B" w:rsidR="00601EEA" w:rsidRDefault="00601EEA" w:rsidP="00601EEA">
      <w:pPr>
        <w:pStyle w:val="SangriaFrancesaArticulo"/>
      </w:pPr>
      <w:r w:rsidRPr="00601EEA">
        <w:rPr>
          <w:rStyle w:val="TextoNormalNegritaCaracter"/>
        </w:rPr>
        <w:t>Artículo 11.1 g).</w:t>
      </w:r>
      <w:r w:rsidRPr="00601EEA">
        <w:rPr>
          <w:rStyle w:val="TextoNormalCaracter"/>
        </w:rPr>
        <w:t>-</w:t>
      </w:r>
      <w:r>
        <w:t xml:space="preserve"> Sentencia </w:t>
      </w:r>
      <w:hyperlink w:anchor="SENTENCIA_2024_87" w:history="1">
        <w:r w:rsidRPr="00601EEA">
          <w:rPr>
            <w:rStyle w:val="TextoNormalCaracter"/>
          </w:rPr>
          <w:t>87/2024</w:t>
        </w:r>
      </w:hyperlink>
      <w:r>
        <w:t>, f. 2.</w:t>
      </w:r>
    </w:p>
    <w:p w14:paraId="39355298" w14:textId="30006BFC" w:rsidR="00601EEA" w:rsidRDefault="00601EEA" w:rsidP="00601EEA">
      <w:pPr>
        <w:pStyle w:val="SangriaFrancesaArticulo"/>
      </w:pPr>
      <w:r w:rsidRPr="00601EEA">
        <w:rPr>
          <w:rStyle w:val="TextoNormalNegritaCaracter"/>
        </w:rPr>
        <w:t>Artículo 11.1 h).</w:t>
      </w:r>
      <w:r w:rsidRPr="00601EEA">
        <w:rPr>
          <w:rStyle w:val="TextoNormalCaracter"/>
        </w:rPr>
        <w:t>-</w:t>
      </w:r>
      <w:r>
        <w:t xml:space="preserve"> Sentencia </w:t>
      </w:r>
      <w:hyperlink w:anchor="SENTENCIA_2024_87" w:history="1">
        <w:r w:rsidRPr="00601EEA">
          <w:rPr>
            <w:rStyle w:val="TextoNormalCaracter"/>
          </w:rPr>
          <w:t>87/2024</w:t>
        </w:r>
      </w:hyperlink>
      <w:r>
        <w:t>, f. 2.</w:t>
      </w:r>
    </w:p>
    <w:p w14:paraId="15DD8BFD" w14:textId="7AAE366C" w:rsidR="00601EEA" w:rsidRDefault="00601EEA" w:rsidP="00601EEA">
      <w:pPr>
        <w:pStyle w:val="SangriaFrancesaArticulo"/>
      </w:pPr>
      <w:r w:rsidRPr="00601EEA">
        <w:rPr>
          <w:rStyle w:val="TextoNormalNegritaCaracter"/>
        </w:rPr>
        <w:t>Artículo 12.2.</w:t>
      </w:r>
      <w:r w:rsidRPr="00601EEA">
        <w:rPr>
          <w:rStyle w:val="TextoNormalCaracter"/>
        </w:rPr>
        <w:t>-</w:t>
      </w:r>
      <w:r>
        <w:t xml:space="preserve"> Sentencia </w:t>
      </w:r>
      <w:hyperlink w:anchor="SENTENCIA_2024_40" w:history="1">
        <w:r w:rsidRPr="00601EEA">
          <w:rPr>
            <w:rStyle w:val="TextoNormalCaracter"/>
          </w:rPr>
          <w:t>40/2024</w:t>
        </w:r>
      </w:hyperlink>
      <w:r>
        <w:t>, f. 4.</w:t>
      </w:r>
    </w:p>
    <w:p w14:paraId="5045BFFF" w14:textId="1EE36D1C" w:rsidR="00601EEA" w:rsidRDefault="00601EEA" w:rsidP="00601EEA">
      <w:pPr>
        <w:pStyle w:val="SangriaFrancesaArticulo"/>
      </w:pPr>
    </w:p>
    <w:p w14:paraId="39531A43" w14:textId="77777777" w:rsidR="00601EEA" w:rsidRDefault="00601EEA" w:rsidP="00601EEA">
      <w:pPr>
        <w:pStyle w:val="TextoNormalNegritaCursivandice"/>
        <w:keepNext/>
      </w:pPr>
      <w:r>
        <w:t>Ley Orgánica 3/1986, de 14 de abril, de medidas especiales en materia de salud pública</w:t>
      </w:r>
    </w:p>
    <w:p w14:paraId="18ADDDAC" w14:textId="7931165E" w:rsidR="00601EEA" w:rsidRDefault="00601EEA" w:rsidP="00601EEA">
      <w:pPr>
        <w:pStyle w:val="SangriaFrancesaArticulo"/>
      </w:pPr>
      <w:r w:rsidRPr="00601EEA">
        <w:rPr>
          <w:rStyle w:val="TextoNormalNegritaCaracter"/>
        </w:rPr>
        <w:t>En general.</w:t>
      </w:r>
      <w:r w:rsidRPr="00601EEA">
        <w:rPr>
          <w:rStyle w:val="TextoNormalCaracter"/>
        </w:rPr>
        <w:t>-</w:t>
      </w:r>
      <w:r>
        <w:t xml:space="preserve"> Auto </w:t>
      </w:r>
      <w:hyperlink w:anchor="AUTO_2024_15" w:history="1">
        <w:r w:rsidRPr="00601EEA">
          <w:rPr>
            <w:rStyle w:val="TextoNormalCaracter"/>
          </w:rPr>
          <w:t>15/2024</w:t>
        </w:r>
      </w:hyperlink>
      <w:r>
        <w:t>, f. 5.</w:t>
      </w:r>
    </w:p>
    <w:p w14:paraId="174F9B2F" w14:textId="640115CA" w:rsidR="00601EEA" w:rsidRDefault="00601EEA" w:rsidP="00601EEA">
      <w:pPr>
        <w:pStyle w:val="SangriaFrancesaArticulo"/>
      </w:pPr>
    </w:p>
    <w:p w14:paraId="3E344FAE" w14:textId="77777777" w:rsidR="00601EEA" w:rsidRDefault="00601EEA" w:rsidP="00601EEA">
      <w:pPr>
        <w:pStyle w:val="TextoNormalNegritaCursivandice"/>
        <w:keepNext/>
      </w:pPr>
      <w:r>
        <w:t>Ley Orgánica 3/1987, de 2 de julio, sobre financiación de los partidos políticos</w:t>
      </w:r>
    </w:p>
    <w:p w14:paraId="113DE597" w14:textId="389FA113"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Sentencias </w:t>
      </w:r>
      <w:hyperlink w:anchor="SENTENCIA_2024_44" w:history="1">
        <w:r w:rsidRPr="00601EEA">
          <w:rPr>
            <w:rStyle w:val="TextoNormalCaracter"/>
          </w:rPr>
          <w:t>44/2024</w:t>
        </w:r>
      </w:hyperlink>
      <w:r>
        <w:t xml:space="preserve">, f. 5; </w:t>
      </w:r>
      <w:hyperlink w:anchor="SENTENCIA_2024_69" w:history="1">
        <w:r w:rsidRPr="00601EEA">
          <w:rPr>
            <w:rStyle w:val="TextoNormalCaracter"/>
          </w:rPr>
          <w:t>69/2024</w:t>
        </w:r>
      </w:hyperlink>
      <w:r>
        <w:t>, ff. 4, 5.</w:t>
      </w:r>
    </w:p>
    <w:p w14:paraId="241C7789" w14:textId="73229869" w:rsidR="00601EEA" w:rsidRDefault="00601EEA" w:rsidP="00601EEA">
      <w:pPr>
        <w:pStyle w:val="SangriaFrancesaArticulo"/>
      </w:pPr>
    </w:p>
    <w:p w14:paraId="74C61900" w14:textId="77777777" w:rsidR="00601EEA" w:rsidRDefault="00601EEA" w:rsidP="00601EEA">
      <w:pPr>
        <w:pStyle w:val="TextoNormalNegritaCursivandice"/>
        <w:keepNext/>
      </w:pPr>
      <w:r>
        <w:t>Ley Orgánica 5/1987, de 30 de julio, de delegación de facultades del Estado en las comunidades autónomas en relación con los transportes por carretera y por cable</w:t>
      </w:r>
    </w:p>
    <w:p w14:paraId="6AF4EBBA" w14:textId="158B1317"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88" w:history="1">
        <w:r w:rsidRPr="00601EEA">
          <w:rPr>
            <w:rStyle w:val="TextoNormalCaracter"/>
          </w:rPr>
          <w:t>88/2024</w:t>
        </w:r>
      </w:hyperlink>
      <w:r>
        <w:t>, f. 5.</w:t>
      </w:r>
    </w:p>
    <w:p w14:paraId="089B6237" w14:textId="48A934B1" w:rsidR="00601EEA" w:rsidRDefault="00601EEA" w:rsidP="00601EEA">
      <w:pPr>
        <w:pStyle w:val="SangriaFrancesaArticulo"/>
      </w:pPr>
      <w:r w:rsidRPr="00601EEA">
        <w:rPr>
          <w:rStyle w:val="TextoNormalNegritaCaracter"/>
        </w:rPr>
        <w:t>Artículo 5.</w:t>
      </w:r>
      <w:r w:rsidRPr="00601EEA">
        <w:rPr>
          <w:rStyle w:val="TextoNormalCaracter"/>
        </w:rPr>
        <w:t>-</w:t>
      </w:r>
      <w:r>
        <w:t xml:space="preserve"> Sentencia </w:t>
      </w:r>
      <w:hyperlink w:anchor="SENTENCIA_2024_88" w:history="1">
        <w:r w:rsidRPr="00601EEA">
          <w:rPr>
            <w:rStyle w:val="TextoNormalCaracter"/>
          </w:rPr>
          <w:t>88/2024</w:t>
        </w:r>
      </w:hyperlink>
      <w:r>
        <w:t>, f. 5.</w:t>
      </w:r>
    </w:p>
    <w:p w14:paraId="6AB98708" w14:textId="466A7FE8" w:rsidR="00601EEA" w:rsidRDefault="00601EEA" w:rsidP="00601EEA">
      <w:pPr>
        <w:pStyle w:val="SangriaFrancesaArticulo"/>
      </w:pPr>
      <w:r w:rsidRPr="00601EEA">
        <w:rPr>
          <w:rStyle w:val="TextoNormalNegritaCaracter"/>
        </w:rPr>
        <w:t xml:space="preserve">Artículo 5 </w:t>
      </w:r>
      <w:r w:rsidRPr="00601EEA">
        <w:rPr>
          <w:rStyle w:val="TextoNormalNegritaCursivaCaracter"/>
        </w:rPr>
        <w:t>in fine</w:t>
      </w:r>
      <w:r w:rsidRPr="00601EEA">
        <w:rPr>
          <w:rStyle w:val="TextoNormalNegritaCaracter"/>
        </w:rPr>
        <w:t>.</w:t>
      </w:r>
      <w:r w:rsidRPr="00601EEA">
        <w:rPr>
          <w:rStyle w:val="TextoNormalCaracter"/>
        </w:rPr>
        <w:t>-</w:t>
      </w:r>
      <w:r>
        <w:t xml:space="preserve"> Sentencia </w:t>
      </w:r>
      <w:hyperlink w:anchor="SENTENCIA_2024_88" w:history="1">
        <w:r w:rsidRPr="00601EEA">
          <w:rPr>
            <w:rStyle w:val="TextoNormalCaracter"/>
          </w:rPr>
          <w:t>88/2024</w:t>
        </w:r>
      </w:hyperlink>
      <w:r>
        <w:t>, f. 5.</w:t>
      </w:r>
    </w:p>
    <w:p w14:paraId="6186B57B" w14:textId="1026B2DD" w:rsidR="00601EEA" w:rsidRDefault="00601EEA" w:rsidP="00601EEA">
      <w:pPr>
        <w:pStyle w:val="SangriaFrancesaArticulo"/>
      </w:pPr>
      <w:r w:rsidRPr="00601EEA">
        <w:rPr>
          <w:rStyle w:val="TextoNormalNegritaCaracter"/>
        </w:rPr>
        <w:t>Artículo 6.</w:t>
      </w:r>
      <w:r w:rsidRPr="00601EEA">
        <w:rPr>
          <w:rStyle w:val="TextoNormalCaracter"/>
        </w:rPr>
        <w:t>-</w:t>
      </w:r>
      <w:r>
        <w:t xml:space="preserve"> Sentencia </w:t>
      </w:r>
      <w:hyperlink w:anchor="SENTENCIA_2024_88" w:history="1">
        <w:r w:rsidRPr="00601EEA">
          <w:rPr>
            <w:rStyle w:val="TextoNormalCaracter"/>
          </w:rPr>
          <w:t>88/2024</w:t>
        </w:r>
      </w:hyperlink>
      <w:r>
        <w:t>, f. 5.</w:t>
      </w:r>
    </w:p>
    <w:p w14:paraId="39A8179D" w14:textId="009EA759" w:rsidR="00601EEA" w:rsidRDefault="00601EEA" w:rsidP="00601EEA">
      <w:pPr>
        <w:pStyle w:val="SangriaFrancesaArticulo"/>
      </w:pPr>
    </w:p>
    <w:p w14:paraId="03C975EC" w14:textId="77777777" w:rsidR="00601EEA" w:rsidRDefault="00601EEA" w:rsidP="00601EEA">
      <w:pPr>
        <w:pStyle w:val="TextoNormalNegritaCursivandice"/>
        <w:keepNext/>
      </w:pPr>
      <w:r>
        <w:t>Ley Orgánica 2/1989, de 13 de abril, procesal militar</w:t>
      </w:r>
    </w:p>
    <w:p w14:paraId="6F0AAE65" w14:textId="54B06286" w:rsidR="00601EEA" w:rsidRDefault="00601EEA" w:rsidP="00601EEA">
      <w:pPr>
        <w:pStyle w:val="SangriaFrancesaArticulo"/>
      </w:pPr>
      <w:r w:rsidRPr="00601EEA">
        <w:rPr>
          <w:rStyle w:val="TextoNormalNegritaCaracter"/>
        </w:rPr>
        <w:t>Artículo 123.</w:t>
      </w:r>
      <w:r w:rsidRPr="00601EEA">
        <w:rPr>
          <w:rStyle w:val="TextoNormalCaracter"/>
        </w:rPr>
        <w:t>-</w:t>
      </w:r>
      <w:r>
        <w:t xml:space="preserve"> Sentencia </w:t>
      </w:r>
      <w:hyperlink w:anchor="SENTENCIA_2024_87" w:history="1">
        <w:r w:rsidRPr="00601EEA">
          <w:rPr>
            <w:rStyle w:val="TextoNormalCaracter"/>
          </w:rPr>
          <w:t>87/2024</w:t>
        </w:r>
      </w:hyperlink>
      <w:r>
        <w:t>, VP IV.</w:t>
      </w:r>
    </w:p>
    <w:p w14:paraId="1FD259F2" w14:textId="63D149D7" w:rsidR="00601EEA" w:rsidRDefault="00601EEA" w:rsidP="00601EEA">
      <w:pPr>
        <w:pStyle w:val="SangriaFrancesaArticulo"/>
      </w:pPr>
    </w:p>
    <w:p w14:paraId="01AD4EE4" w14:textId="77777777" w:rsidR="00601EEA" w:rsidRDefault="00601EEA" w:rsidP="00601EEA">
      <w:pPr>
        <w:pStyle w:val="TextoNormalNegritaCursivandice"/>
        <w:keepNext/>
      </w:pPr>
      <w:r>
        <w:t>Ley Orgánica 1/1992, de 21 de febrero, sobre protección de la seguridad ciudadana</w:t>
      </w:r>
    </w:p>
    <w:p w14:paraId="60E11492" w14:textId="0C8D6056"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40" w:history="1">
        <w:r w:rsidRPr="00601EEA">
          <w:rPr>
            <w:rStyle w:val="TextoNormalCaracter"/>
          </w:rPr>
          <w:t>40/2024</w:t>
        </w:r>
      </w:hyperlink>
      <w:r>
        <w:t>, f. 2.</w:t>
      </w:r>
    </w:p>
    <w:p w14:paraId="62D007A2" w14:textId="61C1BF9F" w:rsidR="00601EEA" w:rsidRDefault="00601EEA" w:rsidP="00601EEA">
      <w:pPr>
        <w:pStyle w:val="SangriaFrancesaArticulo"/>
      </w:pPr>
    </w:p>
    <w:p w14:paraId="1FF7EEA5" w14:textId="77777777" w:rsidR="00601EEA" w:rsidRDefault="00601EEA" w:rsidP="00601EEA">
      <w:pPr>
        <w:pStyle w:val="TextoNormalNegritaCursivandice"/>
        <w:keepNext/>
      </w:pPr>
      <w:r>
        <w:t>Ley Orgánica 19/1994, de 23 de diciembre, de protección a testigos y peritos en causas criminales</w:t>
      </w:r>
    </w:p>
    <w:p w14:paraId="7A7E4584" w14:textId="0E015C3D"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87" w:history="1">
        <w:r w:rsidRPr="00601EEA">
          <w:rPr>
            <w:rStyle w:val="TextoNormalCaracter"/>
          </w:rPr>
          <w:t>87/2024</w:t>
        </w:r>
      </w:hyperlink>
      <w:r>
        <w:t>, f. 2.</w:t>
      </w:r>
    </w:p>
    <w:p w14:paraId="3D31E6CF" w14:textId="3E706FD0" w:rsidR="00601EEA" w:rsidRDefault="00601EEA" w:rsidP="00601EEA">
      <w:pPr>
        <w:pStyle w:val="SangriaFrancesaArticulo"/>
      </w:pPr>
    </w:p>
    <w:p w14:paraId="377411C7" w14:textId="77777777" w:rsidR="00601EEA" w:rsidRDefault="00601EEA" w:rsidP="00601EEA">
      <w:pPr>
        <w:pStyle w:val="TextoNormalNegritaCursivandice"/>
        <w:keepNext/>
      </w:pPr>
      <w:r>
        <w:t>Ley Orgánica 10/1995, de 23 de noviembre, del Código penal</w:t>
      </w:r>
    </w:p>
    <w:p w14:paraId="70F884E0" w14:textId="09839362" w:rsidR="00601EEA" w:rsidRDefault="00601EEA" w:rsidP="00601EEA">
      <w:pPr>
        <w:pStyle w:val="SangriaFrancesaArticulo"/>
        <w:keepNext/>
      </w:pPr>
      <w:r w:rsidRPr="00601EEA">
        <w:rPr>
          <w:rStyle w:val="TextoNormalNegritaCaracter"/>
        </w:rPr>
        <w:t>En general.</w:t>
      </w:r>
      <w:r w:rsidRPr="00601EEA">
        <w:rPr>
          <w:rStyle w:val="TextoNormalCaracter"/>
        </w:rPr>
        <w:t>-</w:t>
      </w:r>
      <w:r>
        <w:t xml:space="preserve"> Sentencias </w:t>
      </w:r>
      <w:hyperlink w:anchor="SENTENCIA_2024_44" w:history="1">
        <w:r w:rsidRPr="00601EEA">
          <w:rPr>
            <w:rStyle w:val="TextoNormalCaracter"/>
          </w:rPr>
          <w:t>44/2024</w:t>
        </w:r>
      </w:hyperlink>
      <w:r>
        <w:t xml:space="preserve">, ff. 2, 3, VP I; </w:t>
      </w:r>
      <w:hyperlink w:anchor="SENTENCIA_2024_48" w:history="1">
        <w:r w:rsidRPr="00601EEA">
          <w:rPr>
            <w:rStyle w:val="TextoNormalCaracter"/>
          </w:rPr>
          <w:t>48/2024</w:t>
        </w:r>
      </w:hyperlink>
      <w:r>
        <w:t xml:space="preserve">, VP I; </w:t>
      </w:r>
      <w:hyperlink w:anchor="SENTENCIA_2024_75" w:history="1">
        <w:r w:rsidRPr="00601EEA">
          <w:rPr>
            <w:rStyle w:val="TextoNormalCaracter"/>
          </w:rPr>
          <w:t>75/2024</w:t>
        </w:r>
      </w:hyperlink>
      <w:r>
        <w:t>, VP II.</w:t>
      </w:r>
    </w:p>
    <w:p w14:paraId="1F2AF82B" w14:textId="3F060AC9" w:rsidR="00601EEA" w:rsidRDefault="00601EEA" w:rsidP="00601EEA">
      <w:pPr>
        <w:pStyle w:val="SangriaIzquierdaArticulo"/>
      </w:pPr>
      <w:r>
        <w:t xml:space="preserve">Auto </w:t>
      </w:r>
      <w:hyperlink w:anchor="AUTO_2024_52" w:history="1">
        <w:r w:rsidRPr="00601EEA">
          <w:rPr>
            <w:rStyle w:val="TextoNormalCaracter"/>
          </w:rPr>
          <w:t>52/2024</w:t>
        </w:r>
      </w:hyperlink>
      <w:r>
        <w:t>, f. 2, VP.</w:t>
      </w:r>
    </w:p>
    <w:p w14:paraId="21537BD6" w14:textId="7FE1DB61" w:rsidR="00601EEA" w:rsidRDefault="00601EEA" w:rsidP="00601EEA">
      <w:pPr>
        <w:pStyle w:val="SangriaFrancesaArticulo"/>
      </w:pPr>
      <w:r w:rsidRPr="00601EEA">
        <w:rPr>
          <w:rStyle w:val="TextoNormalNegritaCaracter"/>
        </w:rPr>
        <w:t>Libro II, título VI, capítulo III.</w:t>
      </w:r>
      <w:r w:rsidRPr="00601EEA">
        <w:rPr>
          <w:rStyle w:val="TextoNormalCaracter"/>
        </w:rPr>
        <w:t>-</w:t>
      </w:r>
      <w:r>
        <w:t xml:space="preserve"> Sentencia </w:t>
      </w:r>
      <w:hyperlink w:anchor="SENTENCIA_2024_75" w:history="1">
        <w:r w:rsidRPr="00601EEA">
          <w:rPr>
            <w:rStyle w:val="TextoNormalCaracter"/>
          </w:rPr>
          <w:t>75/2024</w:t>
        </w:r>
      </w:hyperlink>
      <w:r>
        <w:t>, VP II.</w:t>
      </w:r>
    </w:p>
    <w:p w14:paraId="2468540B" w14:textId="050C2E69" w:rsidR="00601EEA" w:rsidRDefault="00601EEA" w:rsidP="00601EEA">
      <w:pPr>
        <w:pStyle w:val="SangriaFrancesaArticulo"/>
      </w:pPr>
      <w:r w:rsidRPr="00601EEA">
        <w:rPr>
          <w:rStyle w:val="TextoNormalNegritaCaracter"/>
        </w:rPr>
        <w:t>Libro II, título XXII, capítulo II.</w:t>
      </w:r>
      <w:r w:rsidRPr="00601EEA">
        <w:rPr>
          <w:rStyle w:val="TextoNormalCaracter"/>
        </w:rPr>
        <w:t>-</w:t>
      </w:r>
      <w:r>
        <w:t xml:space="preserve"> Sentencia </w:t>
      </w:r>
      <w:hyperlink w:anchor="SENTENCIA_2024_8" w:history="1">
        <w:r w:rsidRPr="00601EEA">
          <w:rPr>
            <w:rStyle w:val="TextoNormalCaracter"/>
          </w:rPr>
          <w:t>8/2024</w:t>
        </w:r>
      </w:hyperlink>
      <w:r>
        <w:t>, VP I.</w:t>
      </w:r>
    </w:p>
    <w:p w14:paraId="5FB9315D" w14:textId="5B58A70A" w:rsidR="00601EEA" w:rsidRDefault="00601EEA" w:rsidP="00601EEA">
      <w:pPr>
        <w:pStyle w:val="SangriaFrancesaArticulo"/>
      </w:pPr>
      <w:r w:rsidRPr="00601EEA">
        <w:rPr>
          <w:rStyle w:val="TextoNormalNegritaCaracter"/>
        </w:rPr>
        <w:t>Artículo 4.3.</w:t>
      </w:r>
      <w:r w:rsidRPr="00601EEA">
        <w:rPr>
          <w:rStyle w:val="TextoNormalCaracter"/>
        </w:rPr>
        <w:t>-</w:t>
      </w:r>
      <w:r>
        <w:t xml:space="preserve"> Sentencia </w:t>
      </w:r>
      <w:hyperlink w:anchor="SENTENCIA_2024_8" w:history="1">
        <w:r w:rsidRPr="00601EEA">
          <w:rPr>
            <w:rStyle w:val="TextoNormalCaracter"/>
          </w:rPr>
          <w:t>8/2024</w:t>
        </w:r>
      </w:hyperlink>
      <w:r>
        <w:t>, VP I.</w:t>
      </w:r>
    </w:p>
    <w:p w14:paraId="6536BE6C" w14:textId="5EC7BEBA" w:rsidR="00601EEA" w:rsidRDefault="00601EEA" w:rsidP="00601EEA">
      <w:pPr>
        <w:pStyle w:val="SangriaFrancesaArticulo"/>
      </w:pPr>
      <w:r w:rsidRPr="00601EEA">
        <w:rPr>
          <w:rStyle w:val="TextoNormalNegritaCaracter"/>
        </w:rPr>
        <w:t>Artículo 8.3.</w:t>
      </w:r>
      <w:r w:rsidRPr="00601EEA">
        <w:rPr>
          <w:rStyle w:val="TextoNormalCaracter"/>
        </w:rPr>
        <w:t>-</w:t>
      </w:r>
      <w:r>
        <w:t xml:space="preserve"> Sentencia </w:t>
      </w:r>
      <w:hyperlink w:anchor="SENTENCIA_2024_77" w:history="1">
        <w:r w:rsidRPr="00601EEA">
          <w:rPr>
            <w:rStyle w:val="TextoNormalCaracter"/>
          </w:rPr>
          <w:t>77/2024</w:t>
        </w:r>
      </w:hyperlink>
      <w:r>
        <w:t>, f. 3.</w:t>
      </w:r>
    </w:p>
    <w:p w14:paraId="669F0736" w14:textId="014C7375" w:rsidR="00601EEA" w:rsidRDefault="00601EEA" w:rsidP="00601EEA">
      <w:pPr>
        <w:pStyle w:val="SangriaFrancesaArticulo"/>
      </w:pPr>
      <w:r w:rsidRPr="00601EEA">
        <w:rPr>
          <w:rStyle w:val="TextoNormalNegritaCaracter"/>
        </w:rPr>
        <w:t>Artículo 20.7.</w:t>
      </w:r>
      <w:r w:rsidRPr="00601EEA">
        <w:rPr>
          <w:rStyle w:val="TextoNormalCaracter"/>
        </w:rPr>
        <w:t>-</w:t>
      </w:r>
      <w:r>
        <w:t xml:space="preserve"> Sentencia </w:t>
      </w:r>
      <w:hyperlink w:anchor="SENTENCIA_2024_75" w:history="1">
        <w:r w:rsidRPr="00601EEA">
          <w:rPr>
            <w:rStyle w:val="TextoNormalCaracter"/>
          </w:rPr>
          <w:t>75/2024</w:t>
        </w:r>
      </w:hyperlink>
      <w:r>
        <w:t>, f. 5, VP II.</w:t>
      </w:r>
    </w:p>
    <w:p w14:paraId="2F260B58" w14:textId="27648501" w:rsidR="00601EEA" w:rsidRDefault="00601EEA" w:rsidP="00601EEA">
      <w:pPr>
        <w:pStyle w:val="SangriaFrancesaArticulo"/>
      </w:pPr>
      <w:r w:rsidRPr="00601EEA">
        <w:rPr>
          <w:rStyle w:val="TextoNormalNegritaCaracter"/>
        </w:rPr>
        <w:t>Artículo 21.1.</w:t>
      </w:r>
      <w:r w:rsidRPr="00601EEA">
        <w:rPr>
          <w:rStyle w:val="TextoNormalCaracter"/>
        </w:rPr>
        <w:t>-</w:t>
      </w:r>
      <w:r>
        <w:t xml:space="preserve"> Sentencia </w:t>
      </w:r>
      <w:hyperlink w:anchor="SENTENCIA_2024_75" w:history="1">
        <w:r w:rsidRPr="00601EEA">
          <w:rPr>
            <w:rStyle w:val="TextoNormalCaracter"/>
          </w:rPr>
          <w:t>75/2024</w:t>
        </w:r>
      </w:hyperlink>
      <w:r>
        <w:t>, f. 5, VP II.</w:t>
      </w:r>
    </w:p>
    <w:p w14:paraId="13E335A3" w14:textId="1DC773FF" w:rsidR="00601EEA" w:rsidRDefault="00601EEA" w:rsidP="00601EEA">
      <w:pPr>
        <w:pStyle w:val="SangriaFrancesaArticulo"/>
      </w:pPr>
      <w:r w:rsidRPr="00601EEA">
        <w:rPr>
          <w:rStyle w:val="TextoNormalNegritaCaracter"/>
        </w:rPr>
        <w:t>Artículo 21.6.</w:t>
      </w:r>
      <w:r w:rsidRPr="00601EEA">
        <w:rPr>
          <w:rStyle w:val="TextoNormalCaracter"/>
        </w:rPr>
        <w:t>-</w:t>
      </w:r>
      <w:r>
        <w:t xml:space="preserve"> Sentencias </w:t>
      </w:r>
      <w:hyperlink w:anchor="SENTENCIA_2024_8" w:history="1">
        <w:r w:rsidRPr="00601EEA">
          <w:rPr>
            <w:rStyle w:val="TextoNormalCaracter"/>
          </w:rPr>
          <w:t>8/2024</w:t>
        </w:r>
      </w:hyperlink>
      <w:r>
        <w:t xml:space="preserve">, f. 6; </w:t>
      </w:r>
      <w:hyperlink w:anchor="SENTENCIA_2024_48" w:history="1">
        <w:r w:rsidRPr="00601EEA">
          <w:rPr>
            <w:rStyle w:val="TextoNormalCaracter"/>
          </w:rPr>
          <w:t>48/2024</w:t>
        </w:r>
      </w:hyperlink>
      <w:r>
        <w:t>, f. 5, VP II.</w:t>
      </w:r>
    </w:p>
    <w:p w14:paraId="01B64AAF" w14:textId="43BAE0DA" w:rsidR="00601EEA" w:rsidRDefault="00601EEA" w:rsidP="00601EEA">
      <w:pPr>
        <w:pStyle w:val="SangriaFrancesaArticulo"/>
      </w:pPr>
      <w:r w:rsidRPr="00601EEA">
        <w:rPr>
          <w:rStyle w:val="TextoNormalNegritaCaracter"/>
        </w:rPr>
        <w:t>Artículo 21.7.</w:t>
      </w:r>
      <w:r w:rsidRPr="00601EEA">
        <w:rPr>
          <w:rStyle w:val="TextoNormalCaracter"/>
        </w:rPr>
        <w:t>-</w:t>
      </w:r>
      <w:r>
        <w:t xml:space="preserve"> Sentencia </w:t>
      </w:r>
      <w:hyperlink w:anchor="SENTENCIA_2024_75" w:history="1">
        <w:r w:rsidRPr="00601EEA">
          <w:rPr>
            <w:rStyle w:val="TextoNormalCaracter"/>
          </w:rPr>
          <w:t>75/2024</w:t>
        </w:r>
      </w:hyperlink>
      <w:r>
        <w:t>, VP II.</w:t>
      </w:r>
    </w:p>
    <w:p w14:paraId="19F8A736" w14:textId="711896DA" w:rsidR="00601EEA" w:rsidRDefault="00601EEA" w:rsidP="00601EEA">
      <w:pPr>
        <w:pStyle w:val="SangriaFrancesaArticulo"/>
      </w:pPr>
      <w:r w:rsidRPr="00601EEA">
        <w:rPr>
          <w:rStyle w:val="TextoNormalNegritaCaracter"/>
        </w:rPr>
        <w:t>Artículo 32.</w:t>
      </w:r>
      <w:r w:rsidRPr="00601EEA">
        <w:rPr>
          <w:rStyle w:val="TextoNormalCaracter"/>
        </w:rPr>
        <w:t>-</w:t>
      </w:r>
      <w:r>
        <w:t xml:space="preserve"> Sentencia </w:t>
      </w:r>
      <w:hyperlink w:anchor="SENTENCIA_2024_8" w:history="1">
        <w:r w:rsidRPr="00601EEA">
          <w:rPr>
            <w:rStyle w:val="TextoNormalCaracter"/>
          </w:rPr>
          <w:t>8/2024</w:t>
        </w:r>
      </w:hyperlink>
      <w:r>
        <w:t>, VP I.</w:t>
      </w:r>
    </w:p>
    <w:p w14:paraId="2B2DA299" w14:textId="05984F1E" w:rsidR="00601EEA" w:rsidRDefault="00601EEA" w:rsidP="00601EEA">
      <w:pPr>
        <w:pStyle w:val="SangriaFrancesaArticulo"/>
      </w:pPr>
      <w:r w:rsidRPr="00601EEA">
        <w:rPr>
          <w:rStyle w:val="TextoNormalNegritaCaracter"/>
        </w:rPr>
        <w:t>Artículo 33.</w:t>
      </w:r>
      <w:r w:rsidRPr="00601EEA">
        <w:rPr>
          <w:rStyle w:val="TextoNormalCaracter"/>
        </w:rPr>
        <w:t>-</w:t>
      </w:r>
      <w:r>
        <w:t xml:space="preserve"> Sentencia </w:t>
      </w:r>
      <w:hyperlink w:anchor="SENTENCIA_2024_8" w:history="1">
        <w:r w:rsidRPr="00601EEA">
          <w:rPr>
            <w:rStyle w:val="TextoNormalCaracter"/>
          </w:rPr>
          <w:t>8/2024</w:t>
        </w:r>
      </w:hyperlink>
      <w:r>
        <w:t>, f. 6, VP II.</w:t>
      </w:r>
    </w:p>
    <w:p w14:paraId="07332E5E" w14:textId="023CC06C" w:rsidR="00601EEA" w:rsidRDefault="00601EEA" w:rsidP="00601EEA">
      <w:pPr>
        <w:pStyle w:val="SangriaFrancesaArticulo"/>
      </w:pPr>
      <w:r w:rsidRPr="00601EEA">
        <w:rPr>
          <w:rStyle w:val="TextoNormalNegritaCaracter"/>
        </w:rPr>
        <w:t>Artículo 33.2 c).</w:t>
      </w:r>
      <w:r w:rsidRPr="00601EEA">
        <w:rPr>
          <w:rStyle w:val="TextoNormalCaracter"/>
        </w:rPr>
        <w:t>-</w:t>
      </w:r>
      <w:r>
        <w:t xml:space="preserve"> Sentencia </w:t>
      </w:r>
      <w:hyperlink w:anchor="SENTENCIA_2024_8" w:history="1">
        <w:r w:rsidRPr="00601EEA">
          <w:rPr>
            <w:rStyle w:val="TextoNormalCaracter"/>
          </w:rPr>
          <w:t>8/2024</w:t>
        </w:r>
      </w:hyperlink>
      <w:r>
        <w:t>, VP I.</w:t>
      </w:r>
    </w:p>
    <w:p w14:paraId="66D90D73" w14:textId="583FBDF3" w:rsidR="00601EEA" w:rsidRDefault="00601EEA" w:rsidP="00601EEA">
      <w:pPr>
        <w:pStyle w:val="SangriaFrancesaArticulo"/>
      </w:pPr>
      <w:r w:rsidRPr="00601EEA">
        <w:rPr>
          <w:rStyle w:val="TextoNormalNegritaCaracter"/>
        </w:rPr>
        <w:t>Artículo 33.3.</w:t>
      </w:r>
      <w:r w:rsidRPr="00601EEA">
        <w:rPr>
          <w:rStyle w:val="TextoNormalCaracter"/>
        </w:rPr>
        <w:t>-</w:t>
      </w:r>
      <w:r>
        <w:t xml:space="preserve"> Sentencia </w:t>
      </w:r>
      <w:hyperlink w:anchor="SENTENCIA_2024_75" w:history="1">
        <w:r w:rsidRPr="00601EEA">
          <w:rPr>
            <w:rStyle w:val="TextoNormalCaracter"/>
          </w:rPr>
          <w:t>75/2024</w:t>
        </w:r>
      </w:hyperlink>
      <w:r>
        <w:t>, f. 5, VP II.</w:t>
      </w:r>
    </w:p>
    <w:p w14:paraId="5958FEA4" w14:textId="36172CD3" w:rsidR="00601EEA" w:rsidRDefault="00601EEA" w:rsidP="00601EEA">
      <w:pPr>
        <w:pStyle w:val="SangriaFrancesaArticulo"/>
      </w:pPr>
      <w:r w:rsidRPr="00601EEA">
        <w:rPr>
          <w:rStyle w:val="TextoNormalNegritaCaracter"/>
        </w:rPr>
        <w:lastRenderedPageBreak/>
        <w:t>Artículo 33.3 a).</w:t>
      </w:r>
      <w:r w:rsidRPr="00601EEA">
        <w:rPr>
          <w:rStyle w:val="TextoNormalCaracter"/>
        </w:rPr>
        <w:t>-</w:t>
      </w:r>
      <w:r>
        <w:t xml:space="preserve"> Sentencia </w:t>
      </w:r>
      <w:hyperlink w:anchor="SENTENCIA_2024_75" w:history="1">
        <w:r w:rsidRPr="00601EEA">
          <w:rPr>
            <w:rStyle w:val="TextoNormalCaracter"/>
          </w:rPr>
          <w:t>75/2024</w:t>
        </w:r>
      </w:hyperlink>
      <w:r>
        <w:t>, f. 5.</w:t>
      </w:r>
    </w:p>
    <w:p w14:paraId="1ED8DEC5" w14:textId="2667C7FC" w:rsidR="00601EEA" w:rsidRDefault="00601EEA" w:rsidP="00601EEA">
      <w:pPr>
        <w:pStyle w:val="SangriaIzquierdaArticulo"/>
      </w:pPr>
      <w:r>
        <w:t xml:space="preserve">Auto </w:t>
      </w:r>
      <w:hyperlink w:anchor="AUTO_2024_19" w:history="1">
        <w:r w:rsidRPr="00601EEA">
          <w:rPr>
            <w:rStyle w:val="TextoNormalCaracter"/>
          </w:rPr>
          <w:t>19/2024</w:t>
        </w:r>
      </w:hyperlink>
      <w:r>
        <w:t>, f. 3.</w:t>
      </w:r>
    </w:p>
    <w:p w14:paraId="570F188E" w14:textId="264F7F90" w:rsidR="00601EEA" w:rsidRDefault="00601EEA" w:rsidP="00601EEA">
      <w:pPr>
        <w:pStyle w:val="SangriaFrancesaArticulo"/>
      </w:pPr>
      <w:r w:rsidRPr="00601EEA">
        <w:rPr>
          <w:rStyle w:val="TextoNormalNegritaCaracter"/>
        </w:rPr>
        <w:t>Artículo 33.3 b).</w:t>
      </w:r>
      <w:r w:rsidRPr="00601EEA">
        <w:rPr>
          <w:rStyle w:val="TextoNormalCaracter"/>
        </w:rPr>
        <w:t>-</w:t>
      </w:r>
      <w:r>
        <w:t xml:space="preserve"> Sentencia </w:t>
      </w:r>
      <w:hyperlink w:anchor="SENTENCIA_2024_8" w:history="1">
        <w:r w:rsidRPr="00601EEA">
          <w:rPr>
            <w:rStyle w:val="TextoNormalCaracter"/>
          </w:rPr>
          <w:t>8/2024</w:t>
        </w:r>
      </w:hyperlink>
      <w:r>
        <w:t>, VP I.</w:t>
      </w:r>
    </w:p>
    <w:p w14:paraId="1680C39D" w14:textId="76677981" w:rsidR="00601EEA" w:rsidRDefault="00601EEA" w:rsidP="00601EEA">
      <w:pPr>
        <w:pStyle w:val="SangriaFrancesaArticulo"/>
      </w:pPr>
      <w:r w:rsidRPr="00601EEA">
        <w:rPr>
          <w:rStyle w:val="TextoNormalNegritaCaracter"/>
        </w:rPr>
        <w:t>Artículo 33.3 g).</w:t>
      </w:r>
      <w:r w:rsidRPr="00601EEA">
        <w:rPr>
          <w:rStyle w:val="TextoNormalCaracter"/>
        </w:rPr>
        <w:t>-</w:t>
      </w:r>
      <w:r>
        <w:t xml:space="preserve"> Sentencia </w:t>
      </w:r>
      <w:hyperlink w:anchor="SENTENCIA_2024_75" w:history="1">
        <w:r w:rsidRPr="00601EEA">
          <w:rPr>
            <w:rStyle w:val="TextoNormalCaracter"/>
          </w:rPr>
          <w:t>75/2024</w:t>
        </w:r>
      </w:hyperlink>
      <w:r>
        <w:t>, f. 5.</w:t>
      </w:r>
    </w:p>
    <w:p w14:paraId="4D9E223A" w14:textId="231E012E" w:rsidR="00601EEA" w:rsidRDefault="00601EEA" w:rsidP="00601EEA">
      <w:pPr>
        <w:pStyle w:val="SangriaFrancesaArticulo"/>
      </w:pPr>
      <w:r w:rsidRPr="00601EEA">
        <w:rPr>
          <w:rStyle w:val="TextoNormalNegritaCaracter"/>
        </w:rPr>
        <w:t>Artículo 33.3 l).</w:t>
      </w:r>
      <w:r w:rsidRPr="00601EEA">
        <w:rPr>
          <w:rStyle w:val="TextoNormalCaracter"/>
        </w:rPr>
        <w:t>-</w:t>
      </w:r>
      <w:r>
        <w:t xml:space="preserve"> Sentencia </w:t>
      </w:r>
      <w:hyperlink w:anchor="SENTENCIA_2024_75" w:history="1">
        <w:r w:rsidRPr="00601EEA">
          <w:rPr>
            <w:rStyle w:val="TextoNormalCaracter"/>
          </w:rPr>
          <w:t>75/2024</w:t>
        </w:r>
      </w:hyperlink>
      <w:r>
        <w:t>, f. 5.</w:t>
      </w:r>
    </w:p>
    <w:p w14:paraId="29E1F3C5" w14:textId="12FCD148" w:rsidR="00601EEA" w:rsidRDefault="00601EEA" w:rsidP="00601EEA">
      <w:pPr>
        <w:pStyle w:val="SangriaFrancesaArticulo"/>
      </w:pPr>
      <w:r w:rsidRPr="00601EEA">
        <w:rPr>
          <w:rStyle w:val="TextoNormalNegritaCaracter"/>
        </w:rPr>
        <w:t>Artículo 33.4 g).</w:t>
      </w:r>
      <w:r w:rsidRPr="00601EEA">
        <w:rPr>
          <w:rStyle w:val="TextoNormalCaracter"/>
        </w:rPr>
        <w:t>-</w:t>
      </w:r>
      <w:r>
        <w:t xml:space="preserve"> Sentencia </w:t>
      </w:r>
      <w:hyperlink w:anchor="SENTENCIA_2024_8" w:history="1">
        <w:r w:rsidRPr="00601EEA">
          <w:rPr>
            <w:rStyle w:val="TextoNormalCaracter"/>
          </w:rPr>
          <w:t>8/2024</w:t>
        </w:r>
      </w:hyperlink>
      <w:r>
        <w:t>, f. 6.</w:t>
      </w:r>
    </w:p>
    <w:p w14:paraId="44AA39F2" w14:textId="16E7B213" w:rsidR="00601EEA" w:rsidRDefault="00601EEA" w:rsidP="00601EEA">
      <w:pPr>
        <w:pStyle w:val="SangriaFrancesaArticulo"/>
      </w:pPr>
      <w:r w:rsidRPr="00601EEA">
        <w:rPr>
          <w:rStyle w:val="TextoNormalNegritaCaracter"/>
        </w:rPr>
        <w:t>Artículo 33.6.</w:t>
      </w:r>
      <w:r w:rsidRPr="00601EEA">
        <w:rPr>
          <w:rStyle w:val="TextoNormalCaracter"/>
        </w:rPr>
        <w:t>-</w:t>
      </w:r>
      <w:r>
        <w:t xml:space="preserve"> Sentencia </w:t>
      </w:r>
      <w:hyperlink w:anchor="SENTENCIA_2024_8" w:history="1">
        <w:r w:rsidRPr="00601EEA">
          <w:rPr>
            <w:rStyle w:val="TextoNormalCaracter"/>
          </w:rPr>
          <w:t>8/2024</w:t>
        </w:r>
      </w:hyperlink>
      <w:r>
        <w:t>, VP I.</w:t>
      </w:r>
    </w:p>
    <w:p w14:paraId="1EED1E0F" w14:textId="0FB5337A" w:rsidR="00601EEA" w:rsidRDefault="00601EEA" w:rsidP="00601EEA">
      <w:pPr>
        <w:pStyle w:val="SangriaFrancesaArticulo"/>
      </w:pPr>
      <w:r w:rsidRPr="00601EEA">
        <w:rPr>
          <w:rStyle w:val="TextoNormalNegritaCaracter"/>
        </w:rPr>
        <w:t>Artículo 36.2.</w:t>
      </w:r>
      <w:r w:rsidRPr="00601EEA">
        <w:rPr>
          <w:rStyle w:val="TextoNormalCaracter"/>
        </w:rPr>
        <w:t>-</w:t>
      </w:r>
      <w:r>
        <w:t xml:space="preserve"> Sentencia </w:t>
      </w:r>
      <w:hyperlink w:anchor="SENTENCIA_2024_8" w:history="1">
        <w:r w:rsidRPr="00601EEA">
          <w:rPr>
            <w:rStyle w:val="TextoNormalCaracter"/>
          </w:rPr>
          <w:t>8/2024</w:t>
        </w:r>
      </w:hyperlink>
      <w:r>
        <w:t>, f. 6.</w:t>
      </w:r>
    </w:p>
    <w:p w14:paraId="73A35483" w14:textId="3A033E9A" w:rsidR="00601EEA" w:rsidRDefault="00601EEA" w:rsidP="00601EEA">
      <w:pPr>
        <w:pStyle w:val="SangriaFrancesaArticulo"/>
      </w:pPr>
      <w:r w:rsidRPr="00601EEA">
        <w:rPr>
          <w:rStyle w:val="TextoNormalNegritaCaracter"/>
        </w:rPr>
        <w:t>Artículo 39.</w:t>
      </w:r>
      <w:r w:rsidRPr="00601EEA">
        <w:rPr>
          <w:rStyle w:val="TextoNormalCaracter"/>
        </w:rPr>
        <w:t>-</w:t>
      </w:r>
      <w:r>
        <w:t xml:space="preserve"> Sentencia </w:t>
      </w:r>
      <w:hyperlink w:anchor="SENTENCIA_2024_8" w:history="1">
        <w:r w:rsidRPr="00601EEA">
          <w:rPr>
            <w:rStyle w:val="TextoNormalCaracter"/>
          </w:rPr>
          <w:t>8/2024</w:t>
        </w:r>
      </w:hyperlink>
      <w:r>
        <w:t>, VP I.</w:t>
      </w:r>
    </w:p>
    <w:p w14:paraId="5E1678DE" w14:textId="6A4FAB8F" w:rsidR="00601EEA" w:rsidRDefault="00601EEA" w:rsidP="00601EEA">
      <w:pPr>
        <w:pStyle w:val="SangriaFrancesaArticulo"/>
      </w:pPr>
      <w:r w:rsidRPr="00601EEA">
        <w:rPr>
          <w:rStyle w:val="TextoNormalNegritaCaracter"/>
        </w:rPr>
        <w:t>Artículo 40.1.</w:t>
      </w:r>
      <w:r w:rsidRPr="00601EEA">
        <w:rPr>
          <w:rStyle w:val="TextoNormalCaracter"/>
        </w:rPr>
        <w:t>-</w:t>
      </w:r>
      <w:r>
        <w:t xml:space="preserve"> Sentencia </w:t>
      </w:r>
      <w:hyperlink w:anchor="SENTENCIA_2024_8" w:history="1">
        <w:r w:rsidRPr="00601EEA">
          <w:rPr>
            <w:rStyle w:val="TextoNormalCaracter"/>
          </w:rPr>
          <w:t>8/2024</w:t>
        </w:r>
      </w:hyperlink>
      <w:r>
        <w:t>, VP I.</w:t>
      </w:r>
    </w:p>
    <w:p w14:paraId="36DDD834" w14:textId="11EC13E2" w:rsidR="00601EEA" w:rsidRDefault="00601EEA" w:rsidP="00601EEA">
      <w:pPr>
        <w:pStyle w:val="SangriaFrancesaArticulo"/>
      </w:pPr>
      <w:r w:rsidRPr="00601EEA">
        <w:rPr>
          <w:rStyle w:val="TextoNormalNegritaCaracter"/>
        </w:rPr>
        <w:t>Artículo 42.</w:t>
      </w:r>
      <w:r w:rsidRPr="00601EEA">
        <w:rPr>
          <w:rStyle w:val="TextoNormalCaracter"/>
        </w:rPr>
        <w:t>-</w:t>
      </w:r>
      <w:r>
        <w:t xml:space="preserve"> Sentencia </w:t>
      </w:r>
      <w:hyperlink w:anchor="SENTENCIA_2024_62" w:history="1">
        <w:r w:rsidRPr="00601EEA">
          <w:rPr>
            <w:rStyle w:val="TextoNormalCaracter"/>
          </w:rPr>
          <w:t>62/2024</w:t>
        </w:r>
      </w:hyperlink>
      <w:r>
        <w:t>, f. 2.</w:t>
      </w:r>
    </w:p>
    <w:p w14:paraId="16391CB0" w14:textId="08FA5B13" w:rsidR="00601EEA" w:rsidRDefault="00601EEA" w:rsidP="00601EEA">
      <w:pPr>
        <w:pStyle w:val="SangriaFrancesaArticulo"/>
      </w:pPr>
      <w:r w:rsidRPr="00601EEA">
        <w:rPr>
          <w:rStyle w:val="TextoNormalNegritaCaracter"/>
        </w:rPr>
        <w:t>Artículo 44.</w:t>
      </w:r>
      <w:r w:rsidRPr="00601EEA">
        <w:rPr>
          <w:rStyle w:val="TextoNormalCaracter"/>
        </w:rPr>
        <w:t>-</w:t>
      </w:r>
      <w:r>
        <w:t xml:space="preserve"> Sentencia </w:t>
      </w:r>
      <w:hyperlink w:anchor="SENTENCIA_2024_8" w:history="1">
        <w:r w:rsidRPr="00601EEA">
          <w:rPr>
            <w:rStyle w:val="TextoNormalCaracter"/>
          </w:rPr>
          <w:t>8/2024</w:t>
        </w:r>
      </w:hyperlink>
      <w:r>
        <w:t>, VP I.</w:t>
      </w:r>
    </w:p>
    <w:p w14:paraId="7F61E9A2" w14:textId="3D1D4F6C" w:rsidR="00601EEA" w:rsidRDefault="00601EEA" w:rsidP="00601EEA">
      <w:pPr>
        <w:pStyle w:val="SangriaFrancesaArticulo"/>
      </w:pPr>
      <w:r w:rsidRPr="00601EEA">
        <w:rPr>
          <w:rStyle w:val="TextoNormalNegritaCaracter"/>
        </w:rPr>
        <w:t>Artículo 54.</w:t>
      </w:r>
      <w:r w:rsidRPr="00601EEA">
        <w:rPr>
          <w:rStyle w:val="TextoNormalCaracter"/>
        </w:rPr>
        <w:t>-</w:t>
      </w:r>
      <w:r>
        <w:t xml:space="preserve"> Sentencia </w:t>
      </w:r>
      <w:hyperlink w:anchor="SENTENCIA_2024_8" w:history="1">
        <w:r w:rsidRPr="00601EEA">
          <w:rPr>
            <w:rStyle w:val="TextoNormalCaracter"/>
          </w:rPr>
          <w:t>8/2024</w:t>
        </w:r>
      </w:hyperlink>
      <w:r>
        <w:t>, VP I.</w:t>
      </w:r>
    </w:p>
    <w:p w14:paraId="24342AE3" w14:textId="54FDEE39" w:rsidR="00601EEA" w:rsidRDefault="00601EEA" w:rsidP="00601EEA">
      <w:pPr>
        <w:pStyle w:val="SangriaFrancesaArticulo"/>
      </w:pPr>
      <w:r w:rsidRPr="00601EEA">
        <w:rPr>
          <w:rStyle w:val="TextoNormalNegritaCaracter"/>
        </w:rPr>
        <w:t>Artículo 55.</w:t>
      </w:r>
      <w:r w:rsidRPr="00601EEA">
        <w:rPr>
          <w:rStyle w:val="TextoNormalCaracter"/>
        </w:rPr>
        <w:t>-</w:t>
      </w:r>
      <w:r>
        <w:t xml:space="preserve"> Sentencia </w:t>
      </w:r>
      <w:hyperlink w:anchor="SENTENCIA_2024_8" w:history="1">
        <w:r w:rsidRPr="00601EEA">
          <w:rPr>
            <w:rStyle w:val="TextoNormalCaracter"/>
          </w:rPr>
          <w:t>8/2024</w:t>
        </w:r>
      </w:hyperlink>
      <w:r>
        <w:t>, f. 6.</w:t>
      </w:r>
    </w:p>
    <w:p w14:paraId="79CEDAAC" w14:textId="25CB42E6" w:rsidR="00601EEA" w:rsidRDefault="00601EEA" w:rsidP="00601EEA">
      <w:pPr>
        <w:pStyle w:val="SangriaFrancesaArticulo"/>
      </w:pPr>
      <w:r w:rsidRPr="00601EEA">
        <w:rPr>
          <w:rStyle w:val="TextoNormalNegritaCaracter"/>
        </w:rPr>
        <w:t>Artículo 56.</w:t>
      </w:r>
      <w:r w:rsidRPr="00601EEA">
        <w:rPr>
          <w:rStyle w:val="TextoNormalCaracter"/>
        </w:rPr>
        <w:t>-</w:t>
      </w:r>
      <w:r>
        <w:t xml:space="preserve"> Sentencia </w:t>
      </w:r>
      <w:hyperlink w:anchor="SENTENCIA_2024_8" w:history="1">
        <w:r w:rsidRPr="00601EEA">
          <w:rPr>
            <w:rStyle w:val="TextoNormalCaracter"/>
          </w:rPr>
          <w:t>8/2024</w:t>
        </w:r>
      </w:hyperlink>
      <w:r>
        <w:t>, f. 6.</w:t>
      </w:r>
    </w:p>
    <w:p w14:paraId="5148290D" w14:textId="60353485" w:rsidR="00601EEA" w:rsidRDefault="00601EEA" w:rsidP="00601EEA">
      <w:pPr>
        <w:pStyle w:val="SangriaFrancesaArticulo"/>
      </w:pPr>
      <w:r w:rsidRPr="00601EEA">
        <w:rPr>
          <w:rStyle w:val="TextoNormalNegritaCaracter"/>
        </w:rPr>
        <w:t>Artículo 56.1.2.</w:t>
      </w:r>
      <w:r w:rsidRPr="00601EEA">
        <w:rPr>
          <w:rStyle w:val="TextoNormalCaracter"/>
        </w:rPr>
        <w:t>-</w:t>
      </w:r>
      <w:r>
        <w:t xml:space="preserve"> Sentencia </w:t>
      </w:r>
      <w:hyperlink w:anchor="SENTENCIA_2024_8" w:history="1">
        <w:r w:rsidRPr="00601EEA">
          <w:rPr>
            <w:rStyle w:val="TextoNormalCaracter"/>
          </w:rPr>
          <w:t>8/2024</w:t>
        </w:r>
      </w:hyperlink>
      <w:r>
        <w:t>, f. 6.</w:t>
      </w:r>
    </w:p>
    <w:p w14:paraId="77311AEC" w14:textId="58AF1D8F" w:rsidR="00601EEA" w:rsidRDefault="00601EEA" w:rsidP="00601EEA">
      <w:pPr>
        <w:pStyle w:val="SangriaFrancesaArticulo"/>
      </w:pPr>
      <w:r w:rsidRPr="00601EEA">
        <w:rPr>
          <w:rStyle w:val="TextoNormalNegritaCaracter"/>
        </w:rPr>
        <w:t>Artículo 57.</w:t>
      </w:r>
      <w:r w:rsidRPr="00601EEA">
        <w:rPr>
          <w:rStyle w:val="TextoNormalCaracter"/>
        </w:rPr>
        <w:t>-</w:t>
      </w:r>
      <w:r>
        <w:t xml:space="preserve"> Sentencia </w:t>
      </w:r>
      <w:hyperlink w:anchor="SENTENCIA_2024_8" w:history="1">
        <w:r w:rsidRPr="00601EEA">
          <w:rPr>
            <w:rStyle w:val="TextoNormalCaracter"/>
          </w:rPr>
          <w:t>8/2024</w:t>
        </w:r>
      </w:hyperlink>
      <w:r>
        <w:t>, f. 6.</w:t>
      </w:r>
    </w:p>
    <w:p w14:paraId="7F001AB6" w14:textId="34DEA1FD" w:rsidR="00601EEA" w:rsidRDefault="00601EEA" w:rsidP="00601EEA">
      <w:pPr>
        <w:pStyle w:val="SangriaFrancesaArticulo"/>
      </w:pPr>
      <w:r w:rsidRPr="00601EEA">
        <w:rPr>
          <w:rStyle w:val="TextoNormalNegritaCaracter"/>
        </w:rPr>
        <w:t>Artículo 66.1.2.</w:t>
      </w:r>
      <w:r w:rsidRPr="00601EEA">
        <w:rPr>
          <w:rStyle w:val="TextoNormalCaracter"/>
        </w:rPr>
        <w:t>-</w:t>
      </w:r>
      <w:r>
        <w:t xml:space="preserve"> Sentencia </w:t>
      </w:r>
      <w:hyperlink w:anchor="SENTENCIA_2024_75" w:history="1">
        <w:r w:rsidRPr="00601EEA">
          <w:rPr>
            <w:rStyle w:val="TextoNormalCaracter"/>
          </w:rPr>
          <w:t>75/2024</w:t>
        </w:r>
      </w:hyperlink>
      <w:r>
        <w:t>, f. 5.</w:t>
      </w:r>
    </w:p>
    <w:p w14:paraId="28580DF3" w14:textId="6899C236" w:rsidR="00601EEA" w:rsidRDefault="00601EEA" w:rsidP="00601EEA">
      <w:pPr>
        <w:pStyle w:val="SangriaFrancesaArticulo"/>
      </w:pPr>
      <w:r w:rsidRPr="00601EEA">
        <w:rPr>
          <w:rStyle w:val="TextoNormalNegritaCaracter"/>
        </w:rPr>
        <w:t>Artículo 66.2.</w:t>
      </w:r>
      <w:r w:rsidRPr="00601EEA">
        <w:rPr>
          <w:rStyle w:val="TextoNormalCaracter"/>
        </w:rPr>
        <w:t>-</w:t>
      </w:r>
      <w:r>
        <w:t xml:space="preserve"> Sentencia </w:t>
      </w:r>
      <w:hyperlink w:anchor="SENTENCIA_2024_8" w:history="1">
        <w:r w:rsidRPr="00601EEA">
          <w:rPr>
            <w:rStyle w:val="TextoNormalCaracter"/>
          </w:rPr>
          <w:t>8/2024</w:t>
        </w:r>
      </w:hyperlink>
      <w:r>
        <w:t>, f. 6.</w:t>
      </w:r>
    </w:p>
    <w:p w14:paraId="75D946CD" w14:textId="0B58F188" w:rsidR="00601EEA" w:rsidRDefault="00601EEA" w:rsidP="00601EEA">
      <w:pPr>
        <w:pStyle w:val="SangriaFrancesaArticulo"/>
      </w:pPr>
      <w:r w:rsidRPr="00601EEA">
        <w:rPr>
          <w:rStyle w:val="TextoNormalNegritaCaracter"/>
        </w:rPr>
        <w:t>Artículo 68.</w:t>
      </w:r>
      <w:r w:rsidRPr="00601EEA">
        <w:rPr>
          <w:rStyle w:val="TextoNormalCaracter"/>
        </w:rPr>
        <w:t>-</w:t>
      </w:r>
      <w:r>
        <w:t xml:space="preserve"> Sentencia </w:t>
      </w:r>
      <w:hyperlink w:anchor="SENTENCIA_2024_75" w:history="1">
        <w:r w:rsidRPr="00601EEA">
          <w:rPr>
            <w:rStyle w:val="TextoNormalCaracter"/>
          </w:rPr>
          <w:t>75/2024</w:t>
        </w:r>
      </w:hyperlink>
      <w:r>
        <w:t>, f. 5.</w:t>
      </w:r>
    </w:p>
    <w:p w14:paraId="14663A37" w14:textId="40776C8C" w:rsidR="00601EEA" w:rsidRDefault="00601EEA" w:rsidP="00601EEA">
      <w:pPr>
        <w:pStyle w:val="SangriaFrancesaArticulo"/>
      </w:pPr>
      <w:r w:rsidRPr="00601EEA">
        <w:rPr>
          <w:rStyle w:val="TextoNormalNegritaCaracter"/>
        </w:rPr>
        <w:t>Artículo 71.</w:t>
      </w:r>
      <w:r w:rsidRPr="00601EEA">
        <w:rPr>
          <w:rStyle w:val="TextoNormalCaracter"/>
        </w:rPr>
        <w:t>-</w:t>
      </w:r>
      <w:r>
        <w:t xml:space="preserve"> Sentencia </w:t>
      </w:r>
      <w:hyperlink w:anchor="SENTENCIA_2024_8" w:history="1">
        <w:r w:rsidRPr="00601EEA">
          <w:rPr>
            <w:rStyle w:val="TextoNormalCaracter"/>
          </w:rPr>
          <w:t>8/2024</w:t>
        </w:r>
      </w:hyperlink>
      <w:r>
        <w:t>, f. 6.</w:t>
      </w:r>
    </w:p>
    <w:p w14:paraId="64241210" w14:textId="3F6AF7AA" w:rsidR="00601EEA" w:rsidRDefault="00601EEA" w:rsidP="00601EEA">
      <w:pPr>
        <w:pStyle w:val="SangriaFrancesaArticulo"/>
      </w:pPr>
      <w:r w:rsidRPr="00601EEA">
        <w:rPr>
          <w:rStyle w:val="TextoNormalNegritaCaracter"/>
        </w:rPr>
        <w:t>Artículo 71.1.</w:t>
      </w:r>
      <w:r w:rsidRPr="00601EEA">
        <w:rPr>
          <w:rStyle w:val="TextoNormalCaracter"/>
        </w:rPr>
        <w:t>-</w:t>
      </w:r>
      <w:r>
        <w:t xml:space="preserve"> Sentencia </w:t>
      </w:r>
      <w:hyperlink w:anchor="SENTENCIA_2024_8" w:history="1">
        <w:r w:rsidRPr="00601EEA">
          <w:rPr>
            <w:rStyle w:val="TextoNormalCaracter"/>
          </w:rPr>
          <w:t>8/2024</w:t>
        </w:r>
      </w:hyperlink>
      <w:r>
        <w:t>, f. 6.</w:t>
      </w:r>
    </w:p>
    <w:p w14:paraId="4951EF77" w14:textId="69AFE9BA" w:rsidR="00601EEA" w:rsidRDefault="00601EEA" w:rsidP="00601EEA">
      <w:pPr>
        <w:pStyle w:val="SangriaFrancesaArticulo"/>
      </w:pPr>
      <w:r w:rsidRPr="00601EEA">
        <w:rPr>
          <w:rStyle w:val="TextoNormalNegritaCaracter"/>
        </w:rPr>
        <w:t>Artículo 71.2.</w:t>
      </w:r>
      <w:r w:rsidRPr="00601EEA">
        <w:rPr>
          <w:rStyle w:val="TextoNormalCaracter"/>
        </w:rPr>
        <w:t>-</w:t>
      </w:r>
      <w:r>
        <w:t xml:space="preserve"> Sentencia </w:t>
      </w:r>
      <w:hyperlink w:anchor="SENTENCIA_2024_8" w:history="1">
        <w:r w:rsidRPr="00601EEA">
          <w:rPr>
            <w:rStyle w:val="TextoNormalCaracter"/>
          </w:rPr>
          <w:t>8/2024</w:t>
        </w:r>
      </w:hyperlink>
      <w:r>
        <w:t>, f. 6, VP I.</w:t>
      </w:r>
    </w:p>
    <w:p w14:paraId="0B1151FA" w14:textId="49020E24" w:rsidR="00601EEA" w:rsidRDefault="00601EEA" w:rsidP="00601EEA">
      <w:pPr>
        <w:pStyle w:val="SangriaFrancesaArticulo"/>
      </w:pPr>
      <w:r w:rsidRPr="00601EEA">
        <w:rPr>
          <w:rStyle w:val="TextoNormalNegritaCaracter"/>
        </w:rPr>
        <w:t>Artículo 80.</w:t>
      </w:r>
      <w:r w:rsidRPr="00601EEA">
        <w:rPr>
          <w:rStyle w:val="TextoNormalCaracter"/>
        </w:rPr>
        <w:t>-</w:t>
      </w:r>
      <w:r>
        <w:t xml:space="preserve"> Sentencias </w:t>
      </w:r>
      <w:hyperlink w:anchor="SENTENCIA_2024_8" w:history="1">
        <w:r w:rsidRPr="00601EEA">
          <w:rPr>
            <w:rStyle w:val="TextoNormalCaracter"/>
          </w:rPr>
          <w:t>8/2024</w:t>
        </w:r>
      </w:hyperlink>
      <w:r>
        <w:t xml:space="preserve">, VP I; </w:t>
      </w:r>
      <w:hyperlink w:anchor="SENTENCIA_2024_75" w:history="1">
        <w:r w:rsidRPr="00601EEA">
          <w:rPr>
            <w:rStyle w:val="TextoNormalCaracter"/>
          </w:rPr>
          <w:t>75/2024</w:t>
        </w:r>
      </w:hyperlink>
      <w:r>
        <w:t>, f. 5.</w:t>
      </w:r>
    </w:p>
    <w:p w14:paraId="131C4B16" w14:textId="152B1AE9" w:rsidR="00601EEA" w:rsidRDefault="00601EEA" w:rsidP="00601EEA">
      <w:pPr>
        <w:pStyle w:val="SangriaFrancesaArticulo"/>
      </w:pPr>
      <w:r w:rsidRPr="00601EEA">
        <w:rPr>
          <w:rStyle w:val="TextoNormalNegritaCaracter"/>
        </w:rPr>
        <w:t>Artículo 80.2.3.</w:t>
      </w:r>
      <w:r w:rsidRPr="00601EEA">
        <w:rPr>
          <w:rStyle w:val="TextoNormalCaracter"/>
        </w:rPr>
        <w:t>-</w:t>
      </w:r>
      <w:r>
        <w:t xml:space="preserve"> Sentencia </w:t>
      </w:r>
      <w:hyperlink w:anchor="SENTENCIA_2024_78" w:history="1">
        <w:r w:rsidRPr="00601EEA">
          <w:rPr>
            <w:rStyle w:val="TextoNormalCaracter"/>
          </w:rPr>
          <w:t>78/2024</w:t>
        </w:r>
      </w:hyperlink>
      <w:r>
        <w:t>, f. único.</w:t>
      </w:r>
    </w:p>
    <w:p w14:paraId="4C006D84" w14:textId="6DC4F309" w:rsidR="00601EEA" w:rsidRDefault="00601EEA" w:rsidP="00601EEA">
      <w:pPr>
        <w:pStyle w:val="SangriaFrancesaArticulo"/>
      </w:pPr>
      <w:r w:rsidRPr="00601EEA">
        <w:rPr>
          <w:rStyle w:val="TextoNormalNegritaCaracter"/>
        </w:rPr>
        <w:t>Artículo 83.</w:t>
      </w:r>
      <w:r w:rsidRPr="00601EEA">
        <w:rPr>
          <w:rStyle w:val="TextoNormalCaracter"/>
        </w:rPr>
        <w:t>-</w:t>
      </w:r>
      <w:r>
        <w:t xml:space="preserve"> Sentencia </w:t>
      </w:r>
      <w:hyperlink w:anchor="SENTENCIA_2024_70" w:history="1">
        <w:r w:rsidRPr="00601EEA">
          <w:rPr>
            <w:rStyle w:val="TextoNormalCaracter"/>
          </w:rPr>
          <w:t>70/2024</w:t>
        </w:r>
      </w:hyperlink>
      <w:r>
        <w:t>, ff. 1, 4.</w:t>
      </w:r>
    </w:p>
    <w:p w14:paraId="09F3B79A" w14:textId="76E8CA09" w:rsidR="00601EEA" w:rsidRDefault="00601EEA" w:rsidP="00601EEA">
      <w:pPr>
        <w:pStyle w:val="SangriaFrancesaArticulo"/>
      </w:pPr>
      <w:r w:rsidRPr="00601EEA">
        <w:rPr>
          <w:rStyle w:val="TextoNormalNegritaCaracter"/>
        </w:rPr>
        <w:t>Artículo 86.1 b).</w:t>
      </w:r>
      <w:r w:rsidRPr="00601EEA">
        <w:rPr>
          <w:rStyle w:val="TextoNormalCaracter"/>
        </w:rPr>
        <w:t>-</w:t>
      </w:r>
      <w:r>
        <w:t xml:space="preserve"> Sentencia </w:t>
      </w:r>
      <w:hyperlink w:anchor="SENTENCIA_2024_70" w:history="1">
        <w:r w:rsidRPr="00601EEA">
          <w:rPr>
            <w:rStyle w:val="TextoNormalCaracter"/>
          </w:rPr>
          <w:t>70/2024</w:t>
        </w:r>
      </w:hyperlink>
      <w:r>
        <w:t>, ff. 1, 3, 4.</w:t>
      </w:r>
    </w:p>
    <w:p w14:paraId="4E0CE56A" w14:textId="2EBEFC86" w:rsidR="00601EEA" w:rsidRDefault="00601EEA" w:rsidP="00601EEA">
      <w:pPr>
        <w:pStyle w:val="SangriaFrancesaArticulo"/>
      </w:pPr>
      <w:r w:rsidRPr="00601EEA">
        <w:rPr>
          <w:rStyle w:val="TextoNormalNegritaCaracter"/>
        </w:rPr>
        <w:t>Artículo 86.1 d).</w:t>
      </w:r>
      <w:r w:rsidRPr="00601EEA">
        <w:rPr>
          <w:rStyle w:val="TextoNormalCaracter"/>
        </w:rPr>
        <w:t>-</w:t>
      </w:r>
      <w:r>
        <w:t xml:space="preserve"> Sentencias </w:t>
      </w:r>
      <w:hyperlink w:anchor="SENTENCIA_2024_39" w:history="1">
        <w:r w:rsidRPr="00601EEA">
          <w:rPr>
            <w:rStyle w:val="TextoNormalCaracter"/>
          </w:rPr>
          <w:t>39/2024</w:t>
        </w:r>
      </w:hyperlink>
      <w:r>
        <w:t xml:space="preserve">, ff. 2 a 4; </w:t>
      </w:r>
      <w:hyperlink w:anchor="SENTENCIA_2024_70" w:history="1">
        <w:r w:rsidRPr="00601EEA">
          <w:rPr>
            <w:rStyle w:val="TextoNormalCaracter"/>
          </w:rPr>
          <w:t>70/2024</w:t>
        </w:r>
      </w:hyperlink>
      <w:r>
        <w:t xml:space="preserve">, f. 4; </w:t>
      </w:r>
      <w:hyperlink w:anchor="SENTENCIA_2024_78" w:history="1">
        <w:r w:rsidRPr="00601EEA">
          <w:rPr>
            <w:rStyle w:val="TextoNormalCaracter"/>
          </w:rPr>
          <w:t>78/2024</w:t>
        </w:r>
      </w:hyperlink>
      <w:r>
        <w:t>, f. único.</w:t>
      </w:r>
    </w:p>
    <w:p w14:paraId="77F4220A" w14:textId="6B645CC6" w:rsidR="00601EEA" w:rsidRDefault="00601EEA" w:rsidP="00601EEA">
      <w:pPr>
        <w:pStyle w:val="SangriaFrancesaArticulo"/>
      </w:pPr>
      <w:r w:rsidRPr="00601EEA">
        <w:rPr>
          <w:rStyle w:val="TextoNormalNegritaCaracter"/>
        </w:rPr>
        <w:t>Artículo 86.4.</w:t>
      </w:r>
      <w:r w:rsidRPr="00601EEA">
        <w:rPr>
          <w:rStyle w:val="TextoNormalCaracter"/>
        </w:rPr>
        <w:t>-</w:t>
      </w:r>
      <w:r>
        <w:t xml:space="preserve"> Sentencia </w:t>
      </w:r>
      <w:hyperlink w:anchor="SENTENCIA_2024_39" w:history="1">
        <w:r w:rsidRPr="00601EEA">
          <w:rPr>
            <w:rStyle w:val="TextoNormalCaracter"/>
          </w:rPr>
          <w:t>39/2024</w:t>
        </w:r>
      </w:hyperlink>
      <w:r>
        <w:t>, f. 4.</w:t>
      </w:r>
    </w:p>
    <w:p w14:paraId="7ABFEEB2" w14:textId="098FAAEA" w:rsidR="00601EEA" w:rsidRDefault="00601EEA" w:rsidP="00601EEA">
      <w:pPr>
        <w:pStyle w:val="SangriaFrancesaArticulo"/>
      </w:pPr>
      <w:r w:rsidRPr="00601EEA">
        <w:rPr>
          <w:rStyle w:val="TextoNormalNegritaCaracter"/>
        </w:rPr>
        <w:t>Artículo 93.</w:t>
      </w:r>
      <w:r w:rsidRPr="00601EEA">
        <w:rPr>
          <w:rStyle w:val="TextoNormalCaracter"/>
        </w:rPr>
        <w:t>-</w:t>
      </w:r>
      <w:r>
        <w:t xml:space="preserve"> Sentencia </w:t>
      </w:r>
      <w:hyperlink w:anchor="SENTENCIA_2024_8" w:history="1">
        <w:r w:rsidRPr="00601EEA">
          <w:rPr>
            <w:rStyle w:val="TextoNormalCaracter"/>
          </w:rPr>
          <w:t>8/2024</w:t>
        </w:r>
      </w:hyperlink>
      <w:r>
        <w:t>, VP I.</w:t>
      </w:r>
    </w:p>
    <w:p w14:paraId="18908031" w14:textId="4854B157" w:rsidR="00601EEA" w:rsidRDefault="00601EEA" w:rsidP="00601EEA">
      <w:pPr>
        <w:pStyle w:val="SangriaFrancesaArticulo"/>
      </w:pPr>
      <w:r w:rsidRPr="00601EEA">
        <w:rPr>
          <w:rStyle w:val="TextoNormalNegritaCaracter"/>
        </w:rPr>
        <w:t>Artículo 97.</w:t>
      </w:r>
      <w:r w:rsidRPr="00601EEA">
        <w:rPr>
          <w:rStyle w:val="TextoNormalCaracter"/>
        </w:rPr>
        <w:t>-</w:t>
      </w:r>
      <w:r>
        <w:t xml:space="preserve"> Sentencia </w:t>
      </w:r>
      <w:hyperlink w:anchor="SENTENCIA_2024_8" w:history="1">
        <w:r w:rsidRPr="00601EEA">
          <w:rPr>
            <w:rStyle w:val="TextoNormalCaracter"/>
          </w:rPr>
          <w:t>8/2024</w:t>
        </w:r>
      </w:hyperlink>
      <w:r>
        <w:t>, VP I.</w:t>
      </w:r>
    </w:p>
    <w:p w14:paraId="58CA28C6" w14:textId="1D1C3BC4" w:rsidR="00601EEA" w:rsidRDefault="00601EEA" w:rsidP="00601EEA">
      <w:pPr>
        <w:pStyle w:val="SangriaFrancesaArticulo"/>
      </w:pPr>
      <w:r w:rsidRPr="00601EEA">
        <w:rPr>
          <w:rStyle w:val="TextoNormalNegritaCaracter"/>
        </w:rPr>
        <w:t>Artículo 113.</w:t>
      </w:r>
      <w:r w:rsidRPr="00601EEA">
        <w:rPr>
          <w:rStyle w:val="TextoNormalCaracter"/>
        </w:rPr>
        <w:t>-</w:t>
      </w:r>
      <w:r>
        <w:t xml:space="preserve"> Auto </w:t>
      </w:r>
      <w:hyperlink w:anchor="AUTO_2024_57" w:history="1">
        <w:r w:rsidRPr="00601EEA">
          <w:rPr>
            <w:rStyle w:val="TextoNormalCaracter"/>
          </w:rPr>
          <w:t>57/2024</w:t>
        </w:r>
      </w:hyperlink>
      <w:r>
        <w:t>, f. 4.</w:t>
      </w:r>
    </w:p>
    <w:p w14:paraId="4E577404" w14:textId="250EA1E8" w:rsidR="00601EEA" w:rsidRDefault="00601EEA" w:rsidP="00601EEA">
      <w:pPr>
        <w:pStyle w:val="SangriaFrancesaArticulo"/>
      </w:pPr>
      <w:r w:rsidRPr="00601EEA">
        <w:rPr>
          <w:rStyle w:val="TextoNormalNegritaCaracter"/>
        </w:rPr>
        <w:t>Artículo 126.1.5.</w:t>
      </w:r>
      <w:r w:rsidRPr="00601EEA">
        <w:rPr>
          <w:rStyle w:val="TextoNormalCaracter"/>
        </w:rPr>
        <w:t>-</w:t>
      </w:r>
      <w:r>
        <w:t xml:space="preserve"> Auto </w:t>
      </w:r>
      <w:hyperlink w:anchor="AUTO_2024_49" w:history="1">
        <w:r w:rsidRPr="00601EEA">
          <w:rPr>
            <w:rStyle w:val="TextoNormalCaracter"/>
          </w:rPr>
          <w:t>49/2024</w:t>
        </w:r>
      </w:hyperlink>
      <w:r>
        <w:t>, f. 3.</w:t>
      </w:r>
    </w:p>
    <w:p w14:paraId="30DE1516" w14:textId="1E8F1187" w:rsidR="00601EEA" w:rsidRDefault="00601EEA" w:rsidP="00601EEA">
      <w:pPr>
        <w:pStyle w:val="SangriaFrancesaArticulo"/>
      </w:pPr>
      <w:r w:rsidRPr="00601EEA">
        <w:rPr>
          <w:rStyle w:val="TextoNormalNegritaCaracter"/>
        </w:rPr>
        <w:t>Artículo 130.1.6.</w:t>
      </w:r>
      <w:r w:rsidRPr="00601EEA">
        <w:rPr>
          <w:rStyle w:val="TextoNormalCaracter"/>
        </w:rPr>
        <w:t>-</w:t>
      </w:r>
      <w:r>
        <w:t xml:space="preserve"> Sentencia </w:t>
      </w:r>
      <w:hyperlink w:anchor="SENTENCIA_2024_48" w:history="1">
        <w:r w:rsidRPr="00601EEA">
          <w:rPr>
            <w:rStyle w:val="TextoNormalCaracter"/>
          </w:rPr>
          <w:t>48/2024</w:t>
        </w:r>
      </w:hyperlink>
      <w:r>
        <w:t>, f. 5.</w:t>
      </w:r>
    </w:p>
    <w:p w14:paraId="4655A7DA" w14:textId="6BC15674" w:rsidR="00601EEA" w:rsidRDefault="00601EEA" w:rsidP="00601EEA">
      <w:pPr>
        <w:pStyle w:val="SangriaFrancesaArticulo"/>
      </w:pPr>
      <w:r w:rsidRPr="00601EEA">
        <w:rPr>
          <w:rStyle w:val="TextoNormalNegritaCaracter"/>
        </w:rPr>
        <w:t>Artículo 131.</w:t>
      </w:r>
      <w:r w:rsidRPr="00601EEA">
        <w:rPr>
          <w:rStyle w:val="TextoNormalCaracter"/>
        </w:rPr>
        <w:t>-</w:t>
      </w:r>
      <w:r>
        <w:t xml:space="preserve"> Sentencia </w:t>
      </w:r>
      <w:hyperlink w:anchor="SENTENCIA_2024_48" w:history="1">
        <w:r w:rsidRPr="00601EEA">
          <w:rPr>
            <w:rStyle w:val="TextoNormalCaracter"/>
          </w:rPr>
          <w:t>48/2024</w:t>
        </w:r>
      </w:hyperlink>
      <w:r>
        <w:t>, f. 5.</w:t>
      </w:r>
    </w:p>
    <w:p w14:paraId="18815BFF" w14:textId="4AA13503" w:rsidR="00601EEA" w:rsidRDefault="00601EEA" w:rsidP="00601EEA">
      <w:pPr>
        <w:pStyle w:val="SangriaFrancesaArticulo"/>
      </w:pPr>
      <w:r w:rsidRPr="00601EEA">
        <w:rPr>
          <w:rStyle w:val="TextoNormalNegritaCaracter"/>
        </w:rPr>
        <w:t>Artículo 131.4</w:t>
      </w:r>
      <w:r>
        <w:t xml:space="preserve"> (redactado por la Ley Orgánica 15/2003, de 25 de noviembre)</w:t>
      </w:r>
      <w:r w:rsidRPr="00601EEA">
        <w:rPr>
          <w:rStyle w:val="TextoNormalNegritaCaracter"/>
        </w:rPr>
        <w:t>.</w:t>
      </w:r>
      <w:r w:rsidRPr="00601EEA">
        <w:rPr>
          <w:rStyle w:val="TextoNormalCaracter"/>
        </w:rPr>
        <w:t>-</w:t>
      </w:r>
      <w:r>
        <w:t xml:space="preserve"> Auto </w:t>
      </w:r>
      <w:hyperlink w:anchor="AUTO_2024_57" w:history="1">
        <w:r w:rsidRPr="00601EEA">
          <w:rPr>
            <w:rStyle w:val="TextoNormalCaracter"/>
          </w:rPr>
          <w:t>57/2024</w:t>
        </w:r>
      </w:hyperlink>
      <w:r>
        <w:t>, f. 4.</w:t>
      </w:r>
    </w:p>
    <w:p w14:paraId="441C3961" w14:textId="17A75934" w:rsidR="00601EEA" w:rsidRDefault="00601EEA" w:rsidP="00601EEA">
      <w:pPr>
        <w:pStyle w:val="SangriaFrancesaArticulo"/>
      </w:pPr>
      <w:r w:rsidRPr="00601EEA">
        <w:rPr>
          <w:rStyle w:val="TextoNormalNegritaCaracter"/>
        </w:rPr>
        <w:t>Artículo 142.1.</w:t>
      </w:r>
      <w:r w:rsidRPr="00601EEA">
        <w:rPr>
          <w:rStyle w:val="TextoNormalCaracter"/>
        </w:rPr>
        <w:t>-</w:t>
      </w:r>
      <w:r>
        <w:t xml:space="preserve"> Sentencia </w:t>
      </w:r>
      <w:hyperlink w:anchor="SENTENCIA_2024_77" w:history="1">
        <w:r w:rsidRPr="00601EEA">
          <w:rPr>
            <w:rStyle w:val="TextoNormalCaracter"/>
          </w:rPr>
          <w:t>77/2024</w:t>
        </w:r>
      </w:hyperlink>
      <w:r>
        <w:t>, f. 3.</w:t>
      </w:r>
    </w:p>
    <w:p w14:paraId="210C2322" w14:textId="1B505895" w:rsidR="00601EEA" w:rsidRDefault="00601EEA" w:rsidP="00601EEA">
      <w:pPr>
        <w:pStyle w:val="SangriaFrancesaArticulo"/>
      </w:pPr>
      <w:r w:rsidRPr="00601EEA">
        <w:rPr>
          <w:rStyle w:val="TextoNormalNegritaCaracter"/>
        </w:rPr>
        <w:t>Artículo 145 bis.</w:t>
      </w:r>
      <w:r w:rsidRPr="00601EEA">
        <w:rPr>
          <w:rStyle w:val="TextoNormalCaracter"/>
        </w:rPr>
        <w:t>-</w:t>
      </w:r>
      <w:r>
        <w:t xml:space="preserve"> Sentencia </w:t>
      </w:r>
      <w:hyperlink w:anchor="SENTENCIA_2024_92" w:history="1">
        <w:r w:rsidRPr="00601EEA">
          <w:rPr>
            <w:rStyle w:val="TextoNormalCaracter"/>
          </w:rPr>
          <w:t>92/2024</w:t>
        </w:r>
      </w:hyperlink>
      <w:r>
        <w:t>, ff. 1, 2, 7.</w:t>
      </w:r>
    </w:p>
    <w:p w14:paraId="1609E48B" w14:textId="791C31D8" w:rsidR="00601EEA" w:rsidRDefault="00601EEA" w:rsidP="00601EEA">
      <w:pPr>
        <w:pStyle w:val="SangriaFrancesaArticulo"/>
      </w:pPr>
      <w:r w:rsidRPr="00601EEA">
        <w:rPr>
          <w:rStyle w:val="TextoNormalNegritaCaracter"/>
        </w:rPr>
        <w:t>Artículo 145 bis 1.</w:t>
      </w:r>
      <w:r w:rsidRPr="00601EEA">
        <w:rPr>
          <w:rStyle w:val="TextoNormalCaracter"/>
        </w:rPr>
        <w:t>-</w:t>
      </w:r>
      <w:r>
        <w:t xml:space="preserve"> Sentencia </w:t>
      </w:r>
      <w:hyperlink w:anchor="SENTENCIA_2024_92" w:history="1">
        <w:r w:rsidRPr="00601EEA">
          <w:rPr>
            <w:rStyle w:val="TextoNormalCaracter"/>
          </w:rPr>
          <w:t>92/2024</w:t>
        </w:r>
      </w:hyperlink>
      <w:r>
        <w:t>, f. 7.</w:t>
      </w:r>
    </w:p>
    <w:p w14:paraId="39E37ECA" w14:textId="611E56C1" w:rsidR="00601EEA" w:rsidRDefault="00601EEA" w:rsidP="00601EEA">
      <w:pPr>
        <w:pStyle w:val="SangriaFrancesaArticulo"/>
      </w:pPr>
      <w:r w:rsidRPr="00601EEA">
        <w:rPr>
          <w:rStyle w:val="TextoNormalNegritaCaracter"/>
        </w:rPr>
        <w:t>Artículo 145 bis, apartado primero a).</w:t>
      </w:r>
      <w:r w:rsidRPr="00601EEA">
        <w:rPr>
          <w:rStyle w:val="TextoNormalCaracter"/>
        </w:rPr>
        <w:t>-</w:t>
      </w:r>
      <w:r>
        <w:t xml:space="preserve"> Sentencia </w:t>
      </w:r>
      <w:hyperlink w:anchor="SENTENCIA_2024_92" w:history="1">
        <w:r w:rsidRPr="00601EEA">
          <w:rPr>
            <w:rStyle w:val="TextoNormalCaracter"/>
          </w:rPr>
          <w:t>92/2024</w:t>
        </w:r>
      </w:hyperlink>
      <w:r>
        <w:t>, f. 7.</w:t>
      </w:r>
    </w:p>
    <w:p w14:paraId="62E487C5" w14:textId="23E394BC" w:rsidR="00601EEA" w:rsidRDefault="00601EEA" w:rsidP="00601EEA">
      <w:pPr>
        <w:pStyle w:val="SangriaFrancesaArticulo"/>
      </w:pPr>
      <w:r w:rsidRPr="00601EEA">
        <w:rPr>
          <w:rStyle w:val="TextoNormalNegritaCaracter"/>
        </w:rPr>
        <w:t>Artículo 145 bis, apartado primero b).</w:t>
      </w:r>
      <w:r w:rsidRPr="00601EEA">
        <w:rPr>
          <w:rStyle w:val="TextoNormalCaracter"/>
        </w:rPr>
        <w:t>-</w:t>
      </w:r>
      <w:r>
        <w:t xml:space="preserve"> Sentencia </w:t>
      </w:r>
      <w:hyperlink w:anchor="SENTENCIA_2024_92" w:history="1">
        <w:r w:rsidRPr="00601EEA">
          <w:rPr>
            <w:rStyle w:val="TextoNormalCaracter"/>
          </w:rPr>
          <w:t>92/2024</w:t>
        </w:r>
      </w:hyperlink>
      <w:r>
        <w:t>, f. 7.</w:t>
      </w:r>
    </w:p>
    <w:p w14:paraId="62A2C4EB" w14:textId="5A9E4FB3" w:rsidR="00601EEA" w:rsidRDefault="00601EEA" w:rsidP="00601EEA">
      <w:pPr>
        <w:pStyle w:val="SangriaFrancesaArticulo"/>
      </w:pPr>
      <w:r w:rsidRPr="00601EEA">
        <w:rPr>
          <w:rStyle w:val="TextoNormalNegritaCaracter"/>
        </w:rPr>
        <w:t>Artículo 147.1.</w:t>
      </w:r>
      <w:r w:rsidRPr="00601EEA">
        <w:rPr>
          <w:rStyle w:val="TextoNormalCaracter"/>
        </w:rPr>
        <w:t>-</w:t>
      </w:r>
      <w:r>
        <w:t xml:space="preserve"> Sentencia </w:t>
      </w:r>
      <w:hyperlink w:anchor="SENTENCIA_2024_48" w:history="1">
        <w:r w:rsidRPr="00601EEA">
          <w:rPr>
            <w:rStyle w:val="TextoNormalCaracter"/>
          </w:rPr>
          <w:t>48/2024</w:t>
        </w:r>
      </w:hyperlink>
      <w:r>
        <w:t>, VP I.</w:t>
      </w:r>
    </w:p>
    <w:p w14:paraId="64F4FC16" w14:textId="60FD9042" w:rsidR="00601EEA" w:rsidRDefault="00601EEA" w:rsidP="00601EEA">
      <w:pPr>
        <w:pStyle w:val="SangriaFrancesaArticulo"/>
      </w:pPr>
      <w:r w:rsidRPr="00601EEA">
        <w:rPr>
          <w:rStyle w:val="TextoNormalNegritaCaracter"/>
        </w:rPr>
        <w:t>Artículo 147.2.</w:t>
      </w:r>
      <w:r w:rsidRPr="00601EEA">
        <w:rPr>
          <w:rStyle w:val="TextoNormalCaracter"/>
        </w:rPr>
        <w:t>-</w:t>
      </w:r>
      <w:r>
        <w:t xml:space="preserve"> Sentencia </w:t>
      </w:r>
      <w:hyperlink w:anchor="SENTENCIA_2024_80" w:history="1">
        <w:r w:rsidRPr="00601EEA">
          <w:rPr>
            <w:rStyle w:val="TextoNormalCaracter"/>
          </w:rPr>
          <w:t>80/2024</w:t>
        </w:r>
      </w:hyperlink>
      <w:r>
        <w:t>, f. 6.</w:t>
      </w:r>
    </w:p>
    <w:p w14:paraId="2D4E1120" w14:textId="5D4FF34C" w:rsidR="00601EEA" w:rsidRDefault="00601EEA" w:rsidP="00601EEA">
      <w:pPr>
        <w:pStyle w:val="SangriaFrancesaArticulo"/>
      </w:pPr>
      <w:r w:rsidRPr="00601EEA">
        <w:rPr>
          <w:rStyle w:val="TextoNormalNegritaCaracter"/>
        </w:rPr>
        <w:t>Artículo 148.4.</w:t>
      </w:r>
      <w:r w:rsidRPr="00601EEA">
        <w:rPr>
          <w:rStyle w:val="TextoNormalCaracter"/>
        </w:rPr>
        <w:t>-</w:t>
      </w:r>
      <w:r>
        <w:t xml:space="preserve"> Sentencia </w:t>
      </w:r>
      <w:hyperlink w:anchor="SENTENCIA_2024_44" w:history="1">
        <w:r w:rsidRPr="00601EEA">
          <w:rPr>
            <w:rStyle w:val="TextoNormalCaracter"/>
          </w:rPr>
          <w:t>44/2024</w:t>
        </w:r>
      </w:hyperlink>
      <w:r>
        <w:t>, f. 3.</w:t>
      </w:r>
    </w:p>
    <w:p w14:paraId="72016773" w14:textId="243ED8D8" w:rsidR="00601EEA" w:rsidRDefault="00601EEA" w:rsidP="00601EEA">
      <w:pPr>
        <w:pStyle w:val="SangriaFrancesaArticulo"/>
      </w:pPr>
      <w:r w:rsidRPr="00601EEA">
        <w:rPr>
          <w:rStyle w:val="TextoNormalNegritaCaracter"/>
        </w:rPr>
        <w:t>Artículo 148.5.</w:t>
      </w:r>
      <w:r w:rsidRPr="00601EEA">
        <w:rPr>
          <w:rStyle w:val="TextoNormalCaracter"/>
        </w:rPr>
        <w:t>-</w:t>
      </w:r>
      <w:r>
        <w:t xml:space="preserve"> Sentencia </w:t>
      </w:r>
      <w:hyperlink w:anchor="SENTENCIA_2024_44" w:history="1">
        <w:r w:rsidRPr="00601EEA">
          <w:rPr>
            <w:rStyle w:val="TextoNormalCaracter"/>
          </w:rPr>
          <w:t>44/2024</w:t>
        </w:r>
      </w:hyperlink>
      <w:r>
        <w:t>, f. 3.</w:t>
      </w:r>
    </w:p>
    <w:p w14:paraId="1D2D6512" w14:textId="666F3CF5" w:rsidR="00601EEA" w:rsidRDefault="00601EEA" w:rsidP="00601EEA">
      <w:pPr>
        <w:pStyle w:val="SangriaFrancesaArticulo"/>
      </w:pPr>
      <w:r w:rsidRPr="00601EEA">
        <w:rPr>
          <w:rStyle w:val="TextoNormalNegritaCaracter"/>
        </w:rPr>
        <w:t>Artículo 153.</w:t>
      </w:r>
      <w:r w:rsidRPr="00601EEA">
        <w:rPr>
          <w:rStyle w:val="TextoNormalCaracter"/>
        </w:rPr>
        <w:t>-</w:t>
      </w:r>
      <w:r>
        <w:t xml:space="preserve"> Sentencia </w:t>
      </w:r>
      <w:hyperlink w:anchor="SENTENCIA_2024_44" w:history="1">
        <w:r w:rsidRPr="00601EEA">
          <w:rPr>
            <w:rStyle w:val="TextoNormalCaracter"/>
          </w:rPr>
          <w:t>44/2024</w:t>
        </w:r>
      </w:hyperlink>
      <w:r>
        <w:t>, f. 3.</w:t>
      </w:r>
    </w:p>
    <w:p w14:paraId="070F6428" w14:textId="3E482DEB" w:rsidR="00601EEA" w:rsidRDefault="00601EEA" w:rsidP="00601EEA">
      <w:pPr>
        <w:pStyle w:val="SangriaFrancesaArticulo"/>
      </w:pPr>
      <w:r w:rsidRPr="00601EEA">
        <w:rPr>
          <w:rStyle w:val="TextoNormalNegritaCaracter"/>
        </w:rPr>
        <w:t>Artículo 154.</w:t>
      </w:r>
      <w:r w:rsidRPr="00601EEA">
        <w:rPr>
          <w:rStyle w:val="TextoNormalCaracter"/>
        </w:rPr>
        <w:t>-</w:t>
      </w:r>
      <w:r>
        <w:t xml:space="preserve"> Sentencia </w:t>
      </w:r>
      <w:hyperlink w:anchor="SENTENCIA_2024_85" w:history="1">
        <w:r w:rsidRPr="00601EEA">
          <w:rPr>
            <w:rStyle w:val="TextoNormalCaracter"/>
          </w:rPr>
          <w:t>85/2024</w:t>
        </w:r>
      </w:hyperlink>
      <w:r>
        <w:t>, f. 3.</w:t>
      </w:r>
    </w:p>
    <w:p w14:paraId="122A2485" w14:textId="59170E9A" w:rsidR="00601EEA" w:rsidRDefault="00601EEA" w:rsidP="00601EEA">
      <w:pPr>
        <w:pStyle w:val="SangriaFrancesaArticulo"/>
      </w:pPr>
      <w:r w:rsidRPr="00601EEA">
        <w:rPr>
          <w:rStyle w:val="TextoNormalNegritaCaracter"/>
        </w:rPr>
        <w:lastRenderedPageBreak/>
        <w:t>Artículo 161.2.</w:t>
      </w:r>
      <w:r w:rsidRPr="00601EEA">
        <w:rPr>
          <w:rStyle w:val="TextoNormalCaracter"/>
        </w:rPr>
        <w:t>-</w:t>
      </w:r>
      <w:r>
        <w:t xml:space="preserve"> Sentencia </w:t>
      </w:r>
      <w:hyperlink w:anchor="SENTENCIA_2024_75" w:history="1">
        <w:r w:rsidRPr="00601EEA">
          <w:rPr>
            <w:rStyle w:val="TextoNormalCaracter"/>
          </w:rPr>
          <w:t>75/2024</w:t>
        </w:r>
      </w:hyperlink>
      <w:r>
        <w:t>, VP I.</w:t>
      </w:r>
    </w:p>
    <w:p w14:paraId="1B658E70" w14:textId="3C48FF4E" w:rsidR="00601EEA" w:rsidRDefault="00601EEA" w:rsidP="00601EEA">
      <w:pPr>
        <w:pStyle w:val="SangriaFrancesaArticulo"/>
      </w:pPr>
      <w:r w:rsidRPr="00601EEA">
        <w:rPr>
          <w:rStyle w:val="TextoNormalNegritaCaracter"/>
        </w:rPr>
        <w:t>Artículo 171.4.</w:t>
      </w:r>
      <w:r w:rsidRPr="00601EEA">
        <w:rPr>
          <w:rStyle w:val="TextoNormalCaracter"/>
        </w:rPr>
        <w:t>-</w:t>
      </w:r>
      <w:r>
        <w:t xml:space="preserve"> Sentencia </w:t>
      </w:r>
      <w:hyperlink w:anchor="SENTENCIA_2024_44" w:history="1">
        <w:r w:rsidRPr="00601EEA">
          <w:rPr>
            <w:rStyle w:val="TextoNormalCaracter"/>
          </w:rPr>
          <w:t>44/2024</w:t>
        </w:r>
      </w:hyperlink>
      <w:r>
        <w:t>, f. 3.</w:t>
      </w:r>
    </w:p>
    <w:p w14:paraId="1418CF2E" w14:textId="322396DB" w:rsidR="00601EEA" w:rsidRDefault="00601EEA" w:rsidP="00601EEA">
      <w:pPr>
        <w:pStyle w:val="SangriaFrancesaArticulo"/>
      </w:pPr>
      <w:r w:rsidRPr="00601EEA">
        <w:rPr>
          <w:rStyle w:val="TextoNormalNegritaCaracter"/>
        </w:rPr>
        <w:t>Artículo 171.5.</w:t>
      </w:r>
      <w:r w:rsidRPr="00601EEA">
        <w:rPr>
          <w:rStyle w:val="TextoNormalCaracter"/>
        </w:rPr>
        <w:t>-</w:t>
      </w:r>
      <w:r>
        <w:t xml:space="preserve"> Sentencia </w:t>
      </w:r>
      <w:hyperlink w:anchor="SENTENCIA_2024_44" w:history="1">
        <w:r w:rsidRPr="00601EEA">
          <w:rPr>
            <w:rStyle w:val="TextoNormalCaracter"/>
          </w:rPr>
          <w:t>44/2024</w:t>
        </w:r>
      </w:hyperlink>
      <w:r>
        <w:t>, f. 3.</w:t>
      </w:r>
    </w:p>
    <w:p w14:paraId="1AB32A69" w14:textId="7D230951" w:rsidR="00601EEA" w:rsidRDefault="00601EEA" w:rsidP="00601EEA">
      <w:pPr>
        <w:pStyle w:val="SangriaFrancesaArticulo"/>
      </w:pPr>
      <w:r w:rsidRPr="00601EEA">
        <w:rPr>
          <w:rStyle w:val="TextoNormalNegritaCaracter"/>
        </w:rPr>
        <w:t>Artículo 171.6.</w:t>
      </w:r>
      <w:r w:rsidRPr="00601EEA">
        <w:rPr>
          <w:rStyle w:val="TextoNormalCaracter"/>
        </w:rPr>
        <w:t>-</w:t>
      </w:r>
      <w:r>
        <w:t xml:space="preserve"> Sentencia </w:t>
      </w:r>
      <w:hyperlink w:anchor="SENTENCIA_2024_44" w:history="1">
        <w:r w:rsidRPr="00601EEA">
          <w:rPr>
            <w:rStyle w:val="TextoNormalCaracter"/>
          </w:rPr>
          <w:t>44/2024</w:t>
        </w:r>
      </w:hyperlink>
      <w:r>
        <w:t>, f. 3.</w:t>
      </w:r>
    </w:p>
    <w:p w14:paraId="0C423B44" w14:textId="526BB9E0" w:rsidR="00601EEA" w:rsidRDefault="00601EEA" w:rsidP="00601EEA">
      <w:pPr>
        <w:pStyle w:val="SangriaFrancesaArticulo"/>
      </w:pPr>
      <w:r w:rsidRPr="00601EEA">
        <w:rPr>
          <w:rStyle w:val="TextoNormalNegritaCaracter"/>
        </w:rPr>
        <w:t>Artículo 172.</w:t>
      </w:r>
      <w:r w:rsidRPr="00601EEA">
        <w:rPr>
          <w:rStyle w:val="TextoNormalCaracter"/>
        </w:rPr>
        <w:t>-</w:t>
      </w:r>
      <w:r>
        <w:t xml:space="preserve"> Sentencias </w:t>
      </w:r>
      <w:hyperlink w:anchor="SENTENCIA_2024_44" w:history="1">
        <w:r w:rsidRPr="00601EEA">
          <w:rPr>
            <w:rStyle w:val="TextoNormalCaracter"/>
          </w:rPr>
          <w:t>44/2024</w:t>
        </w:r>
      </w:hyperlink>
      <w:r>
        <w:t xml:space="preserve">, f. 3; </w:t>
      </w:r>
      <w:hyperlink w:anchor="SENTENCIA_2024_75" w:history="1">
        <w:r w:rsidRPr="00601EEA">
          <w:rPr>
            <w:rStyle w:val="TextoNormalCaracter"/>
          </w:rPr>
          <w:t>75/2024</w:t>
        </w:r>
      </w:hyperlink>
      <w:r>
        <w:t>, VP II.</w:t>
      </w:r>
    </w:p>
    <w:p w14:paraId="1AD0E8EF" w14:textId="1428B0A4" w:rsidR="00601EEA" w:rsidRDefault="00601EEA" w:rsidP="00601EEA">
      <w:pPr>
        <w:pStyle w:val="SangriaFrancesaArticulo"/>
      </w:pPr>
      <w:r w:rsidRPr="00601EEA">
        <w:rPr>
          <w:rStyle w:val="TextoNormalNegritaCaracter"/>
        </w:rPr>
        <w:t>Artículo 172 quater</w:t>
      </w:r>
      <w:r>
        <w:t xml:space="preserve"> (redactado por la Ley Orgánica 4/2022, de 12 de abril)</w:t>
      </w:r>
      <w:r w:rsidRPr="00601EEA">
        <w:rPr>
          <w:rStyle w:val="TextoNormalNegritaCaracter"/>
        </w:rPr>
        <w:t>.</w:t>
      </w:r>
      <w:r w:rsidRPr="00601EEA">
        <w:rPr>
          <w:rStyle w:val="TextoNormalCaracter"/>
        </w:rPr>
        <w:t>-</w:t>
      </w:r>
      <w:r>
        <w:t xml:space="preserve"> Sentencia </w:t>
      </w:r>
      <w:hyperlink w:anchor="SENTENCIA_2024_75" w:history="1">
        <w:r w:rsidRPr="00601EEA">
          <w:rPr>
            <w:rStyle w:val="TextoNormalCaracter"/>
          </w:rPr>
          <w:t>75/2024</w:t>
        </w:r>
      </w:hyperlink>
      <w:r>
        <w:t>, ff. 1 a 5, VP I, VP II.</w:t>
      </w:r>
    </w:p>
    <w:p w14:paraId="56A8A3D9" w14:textId="7EA3B65F" w:rsidR="00601EEA" w:rsidRDefault="00601EEA" w:rsidP="00601EEA">
      <w:pPr>
        <w:pStyle w:val="SangriaFrancesaArticulo"/>
      </w:pPr>
      <w:r w:rsidRPr="00601EEA">
        <w:rPr>
          <w:rStyle w:val="TextoNormalNegritaCaracter"/>
        </w:rPr>
        <w:t>Artículo 172 quater, apartado 1</w:t>
      </w:r>
      <w:r>
        <w:t xml:space="preserve"> (redactado por la Ley Orgánica 4/2022, de 12 de abril)</w:t>
      </w:r>
      <w:r w:rsidRPr="00601EEA">
        <w:rPr>
          <w:rStyle w:val="TextoNormalNegritaCaracter"/>
        </w:rPr>
        <w:t>.</w:t>
      </w:r>
      <w:r w:rsidRPr="00601EEA">
        <w:rPr>
          <w:rStyle w:val="TextoNormalCaracter"/>
        </w:rPr>
        <w:t>-</w:t>
      </w:r>
      <w:r>
        <w:t xml:space="preserve"> Sentencia </w:t>
      </w:r>
      <w:hyperlink w:anchor="SENTENCIA_2024_75" w:history="1">
        <w:r w:rsidRPr="00601EEA">
          <w:rPr>
            <w:rStyle w:val="TextoNormalCaracter"/>
          </w:rPr>
          <w:t>75/2024</w:t>
        </w:r>
      </w:hyperlink>
      <w:r>
        <w:t>, VP II.</w:t>
      </w:r>
    </w:p>
    <w:p w14:paraId="7DEC4C9E" w14:textId="56CB2FF3" w:rsidR="00601EEA" w:rsidRDefault="00601EEA" w:rsidP="00601EEA">
      <w:pPr>
        <w:pStyle w:val="SangriaFrancesaArticulo"/>
      </w:pPr>
      <w:r w:rsidRPr="00601EEA">
        <w:rPr>
          <w:rStyle w:val="TextoNormalNegritaCaracter"/>
        </w:rPr>
        <w:t>Artículo 172 quater, apartado 2</w:t>
      </w:r>
      <w:r>
        <w:t xml:space="preserve"> (redactado por la Ley Orgánica 4/2022, de 12 de abril)</w:t>
      </w:r>
      <w:r w:rsidRPr="00601EEA">
        <w:rPr>
          <w:rStyle w:val="TextoNormalNegritaCaracter"/>
        </w:rPr>
        <w:t>.</w:t>
      </w:r>
      <w:r w:rsidRPr="00601EEA">
        <w:rPr>
          <w:rStyle w:val="TextoNormalCaracter"/>
        </w:rPr>
        <w:t>-</w:t>
      </w:r>
      <w:r>
        <w:t xml:space="preserve"> Sentencia </w:t>
      </w:r>
      <w:hyperlink w:anchor="SENTENCIA_2024_75" w:history="1">
        <w:r w:rsidRPr="00601EEA">
          <w:rPr>
            <w:rStyle w:val="TextoNormalCaracter"/>
          </w:rPr>
          <w:t>75/2024</w:t>
        </w:r>
      </w:hyperlink>
      <w:r>
        <w:t>, VP II.</w:t>
      </w:r>
    </w:p>
    <w:p w14:paraId="278B124E" w14:textId="50F1D6D2" w:rsidR="00601EEA" w:rsidRDefault="00601EEA" w:rsidP="00601EEA">
      <w:pPr>
        <w:pStyle w:val="SangriaFrancesaArticulo"/>
      </w:pPr>
      <w:r w:rsidRPr="00601EEA">
        <w:rPr>
          <w:rStyle w:val="TextoNormalNegritaCaracter"/>
        </w:rPr>
        <w:t>Artículo 172 quater, apartado 3</w:t>
      </w:r>
      <w:r>
        <w:t xml:space="preserve"> (redactado por la Ley Orgánica 4/2022, de 12 de abril)</w:t>
      </w:r>
      <w:r w:rsidRPr="00601EEA">
        <w:rPr>
          <w:rStyle w:val="TextoNormalNegritaCaracter"/>
        </w:rPr>
        <w:t>.</w:t>
      </w:r>
      <w:r w:rsidRPr="00601EEA">
        <w:rPr>
          <w:rStyle w:val="TextoNormalCaracter"/>
        </w:rPr>
        <w:t>-</w:t>
      </w:r>
      <w:r>
        <w:t xml:space="preserve"> Sentencia </w:t>
      </w:r>
      <w:hyperlink w:anchor="SENTENCIA_2024_75" w:history="1">
        <w:r w:rsidRPr="00601EEA">
          <w:rPr>
            <w:rStyle w:val="TextoNormalCaracter"/>
          </w:rPr>
          <w:t>75/2024</w:t>
        </w:r>
      </w:hyperlink>
      <w:r>
        <w:t>, ff. 2, 5, VP I.</w:t>
      </w:r>
    </w:p>
    <w:p w14:paraId="4C33536A" w14:textId="71843823" w:rsidR="00601EEA" w:rsidRDefault="00601EEA" w:rsidP="00601EEA">
      <w:pPr>
        <w:pStyle w:val="SangriaFrancesaArticulo"/>
      </w:pPr>
      <w:r w:rsidRPr="00601EEA">
        <w:rPr>
          <w:rStyle w:val="TextoNormalNegritaCaracter"/>
        </w:rPr>
        <w:t>Artículo 172 quater, apartado 4</w:t>
      </w:r>
      <w:r>
        <w:t xml:space="preserve"> (redactado por la Ley Orgánica 4/2022, de 12 de abril)</w:t>
      </w:r>
      <w:r w:rsidRPr="00601EEA">
        <w:rPr>
          <w:rStyle w:val="TextoNormalNegritaCaracter"/>
        </w:rPr>
        <w:t>.</w:t>
      </w:r>
      <w:r w:rsidRPr="00601EEA">
        <w:rPr>
          <w:rStyle w:val="TextoNormalCaracter"/>
        </w:rPr>
        <w:t>-</w:t>
      </w:r>
      <w:r>
        <w:t xml:space="preserve"> Sentencia </w:t>
      </w:r>
      <w:hyperlink w:anchor="SENTENCIA_2024_75" w:history="1">
        <w:r w:rsidRPr="00601EEA">
          <w:rPr>
            <w:rStyle w:val="TextoNormalCaracter"/>
          </w:rPr>
          <w:t>75/2024</w:t>
        </w:r>
      </w:hyperlink>
      <w:r>
        <w:t>, f. 2, VP I, VP II.</w:t>
      </w:r>
    </w:p>
    <w:p w14:paraId="39F57A99" w14:textId="70D269EC" w:rsidR="00601EEA" w:rsidRDefault="00601EEA" w:rsidP="00601EEA">
      <w:pPr>
        <w:pStyle w:val="SangriaFrancesaArticulo"/>
      </w:pPr>
      <w:r w:rsidRPr="00601EEA">
        <w:rPr>
          <w:rStyle w:val="TextoNormalNegritaCaracter"/>
        </w:rPr>
        <w:t>Artículo 172 quater, apartado 5</w:t>
      </w:r>
      <w:r>
        <w:t xml:space="preserve"> (redactado por la Ley Orgánica 4/2022, de 12 de abril)</w:t>
      </w:r>
      <w:r w:rsidRPr="00601EEA">
        <w:rPr>
          <w:rStyle w:val="TextoNormalNegritaCaracter"/>
        </w:rPr>
        <w:t>.</w:t>
      </w:r>
      <w:r w:rsidRPr="00601EEA">
        <w:rPr>
          <w:rStyle w:val="TextoNormalCaracter"/>
        </w:rPr>
        <w:t>-</w:t>
      </w:r>
      <w:r>
        <w:t xml:space="preserve"> Sentencia </w:t>
      </w:r>
      <w:hyperlink w:anchor="SENTENCIA_2024_75" w:history="1">
        <w:r w:rsidRPr="00601EEA">
          <w:rPr>
            <w:rStyle w:val="TextoNormalCaracter"/>
          </w:rPr>
          <w:t>75/2024</w:t>
        </w:r>
      </w:hyperlink>
      <w:r>
        <w:t>, ff. 1, 6.</w:t>
      </w:r>
    </w:p>
    <w:p w14:paraId="0F18EE63" w14:textId="79E337D5" w:rsidR="00601EEA" w:rsidRDefault="00601EEA" w:rsidP="00601EEA">
      <w:pPr>
        <w:pStyle w:val="SangriaFrancesaArticulo"/>
      </w:pPr>
      <w:r w:rsidRPr="00601EEA">
        <w:rPr>
          <w:rStyle w:val="TextoNormalNegritaCaracter"/>
        </w:rPr>
        <w:t>Artículo 172 quater, apartados 1 y 2</w:t>
      </w:r>
      <w:r>
        <w:t xml:space="preserve"> (redactado por la Ley Orgánica 4/2022, de 12 de abril)</w:t>
      </w:r>
      <w:r w:rsidRPr="00601EEA">
        <w:rPr>
          <w:rStyle w:val="TextoNormalNegritaCaracter"/>
        </w:rPr>
        <w:t>.</w:t>
      </w:r>
      <w:r w:rsidRPr="00601EEA">
        <w:rPr>
          <w:rStyle w:val="TextoNormalCaracter"/>
        </w:rPr>
        <w:t>-</w:t>
      </w:r>
      <w:r>
        <w:t xml:space="preserve"> Sentencia </w:t>
      </w:r>
      <w:hyperlink w:anchor="SENTENCIA_2024_75" w:history="1">
        <w:r w:rsidRPr="00601EEA">
          <w:rPr>
            <w:rStyle w:val="TextoNormalCaracter"/>
          </w:rPr>
          <w:t>75/2024</w:t>
        </w:r>
      </w:hyperlink>
      <w:r>
        <w:t>, ff. 4, 5.</w:t>
      </w:r>
    </w:p>
    <w:p w14:paraId="3297A804" w14:textId="22F6788B" w:rsidR="00601EEA" w:rsidRDefault="00601EEA" w:rsidP="00601EEA">
      <w:pPr>
        <w:pStyle w:val="SangriaFrancesaArticulo"/>
      </w:pPr>
      <w:r w:rsidRPr="00601EEA">
        <w:rPr>
          <w:rStyle w:val="TextoNormalNegritaCaracter"/>
        </w:rPr>
        <w:t>Artículo 172 quater, apartados 3 y 4</w:t>
      </w:r>
      <w:r>
        <w:t xml:space="preserve"> (redactado por la Ley Orgánica 4/2022, de 12 de abril)</w:t>
      </w:r>
      <w:r w:rsidRPr="00601EEA">
        <w:rPr>
          <w:rStyle w:val="TextoNormalNegritaCaracter"/>
        </w:rPr>
        <w:t>.</w:t>
      </w:r>
      <w:r w:rsidRPr="00601EEA">
        <w:rPr>
          <w:rStyle w:val="TextoNormalCaracter"/>
        </w:rPr>
        <w:t>-</w:t>
      </w:r>
      <w:r>
        <w:t xml:space="preserve"> Sentencia </w:t>
      </w:r>
      <w:hyperlink w:anchor="SENTENCIA_2024_75" w:history="1">
        <w:r w:rsidRPr="00601EEA">
          <w:rPr>
            <w:rStyle w:val="TextoNormalCaracter"/>
          </w:rPr>
          <w:t>75/2024</w:t>
        </w:r>
      </w:hyperlink>
      <w:r>
        <w:t>, ff. 1, 2, VP I.</w:t>
      </w:r>
    </w:p>
    <w:p w14:paraId="388F66B5" w14:textId="3D860EC2" w:rsidR="00601EEA" w:rsidRDefault="00601EEA" w:rsidP="00601EEA">
      <w:pPr>
        <w:pStyle w:val="SangriaFrancesaArticulo"/>
      </w:pPr>
      <w:r w:rsidRPr="00601EEA">
        <w:rPr>
          <w:rStyle w:val="TextoNormalNegritaCaracter"/>
        </w:rPr>
        <w:t>Artículo 172 ter.</w:t>
      </w:r>
      <w:r w:rsidRPr="00601EEA">
        <w:rPr>
          <w:rStyle w:val="TextoNormalCaracter"/>
        </w:rPr>
        <w:t>-</w:t>
      </w:r>
      <w:r>
        <w:t xml:space="preserve"> Sentencias </w:t>
      </w:r>
      <w:hyperlink w:anchor="SENTENCIA_2024_44" w:history="1">
        <w:r w:rsidRPr="00601EEA">
          <w:rPr>
            <w:rStyle w:val="TextoNormalCaracter"/>
          </w:rPr>
          <w:t>44/2024</w:t>
        </w:r>
      </w:hyperlink>
      <w:r>
        <w:t xml:space="preserve">, f. 3; </w:t>
      </w:r>
      <w:hyperlink w:anchor="SENTENCIA_2024_75" w:history="1">
        <w:r w:rsidRPr="00601EEA">
          <w:rPr>
            <w:rStyle w:val="TextoNormalCaracter"/>
          </w:rPr>
          <w:t>75/2024</w:t>
        </w:r>
      </w:hyperlink>
      <w:r>
        <w:t>, f. 4.</w:t>
      </w:r>
    </w:p>
    <w:p w14:paraId="273A2797" w14:textId="0DE84D03" w:rsidR="00601EEA" w:rsidRDefault="00601EEA" w:rsidP="00601EEA">
      <w:pPr>
        <w:pStyle w:val="SangriaFrancesaArticulo"/>
      </w:pPr>
      <w:r w:rsidRPr="00601EEA">
        <w:rPr>
          <w:rStyle w:val="TextoNormalNegritaCaracter"/>
        </w:rPr>
        <w:t>Artículo 172 ter, apartado 1.</w:t>
      </w:r>
      <w:r w:rsidRPr="00601EEA">
        <w:rPr>
          <w:rStyle w:val="TextoNormalCaracter"/>
        </w:rPr>
        <w:t>-</w:t>
      </w:r>
      <w:r>
        <w:t xml:space="preserve"> Sentencia </w:t>
      </w:r>
      <w:hyperlink w:anchor="SENTENCIA_2024_75" w:history="1">
        <w:r w:rsidRPr="00601EEA">
          <w:rPr>
            <w:rStyle w:val="TextoNormalCaracter"/>
          </w:rPr>
          <w:t>75/2024</w:t>
        </w:r>
      </w:hyperlink>
      <w:r>
        <w:t>, VP II.</w:t>
      </w:r>
    </w:p>
    <w:p w14:paraId="24918046" w14:textId="7D241C22" w:rsidR="00601EEA" w:rsidRDefault="00601EEA" w:rsidP="00601EEA">
      <w:pPr>
        <w:pStyle w:val="SangriaFrancesaArticulo"/>
      </w:pPr>
      <w:r w:rsidRPr="00601EEA">
        <w:rPr>
          <w:rStyle w:val="TextoNormalNegritaCaracter"/>
        </w:rPr>
        <w:t>Artículo 172.1.</w:t>
      </w:r>
      <w:r w:rsidRPr="00601EEA">
        <w:rPr>
          <w:rStyle w:val="TextoNormalCaracter"/>
        </w:rPr>
        <w:t>-</w:t>
      </w:r>
      <w:r>
        <w:t xml:space="preserve"> Sentencia </w:t>
      </w:r>
      <w:hyperlink w:anchor="SENTENCIA_2024_75" w:history="1">
        <w:r w:rsidRPr="00601EEA">
          <w:rPr>
            <w:rStyle w:val="TextoNormalCaracter"/>
          </w:rPr>
          <w:t>75/2024</w:t>
        </w:r>
      </w:hyperlink>
      <w:r>
        <w:t>, VP I.</w:t>
      </w:r>
    </w:p>
    <w:p w14:paraId="3FE19553" w14:textId="03283F50" w:rsidR="00601EEA" w:rsidRDefault="00601EEA" w:rsidP="00601EEA">
      <w:pPr>
        <w:pStyle w:val="SangriaFrancesaArticulo"/>
      </w:pPr>
      <w:r w:rsidRPr="00601EEA">
        <w:rPr>
          <w:rStyle w:val="TextoNormalNegritaCaracter"/>
        </w:rPr>
        <w:t>Artículo 172.1 párrafo 2.</w:t>
      </w:r>
      <w:r w:rsidRPr="00601EEA">
        <w:rPr>
          <w:rStyle w:val="TextoNormalCaracter"/>
        </w:rPr>
        <w:t>-</w:t>
      </w:r>
      <w:r>
        <w:t xml:space="preserve"> Sentencia </w:t>
      </w:r>
      <w:hyperlink w:anchor="SENTENCIA_2024_75" w:history="1">
        <w:r w:rsidRPr="00601EEA">
          <w:rPr>
            <w:rStyle w:val="TextoNormalCaracter"/>
          </w:rPr>
          <w:t>75/2024</w:t>
        </w:r>
      </w:hyperlink>
      <w:r>
        <w:t>, VP II.</w:t>
      </w:r>
    </w:p>
    <w:p w14:paraId="24464AE3" w14:textId="6AFC67AA" w:rsidR="00601EEA" w:rsidRDefault="00601EEA" w:rsidP="00601EEA">
      <w:pPr>
        <w:pStyle w:val="SangriaFrancesaArticulo"/>
      </w:pPr>
      <w:r w:rsidRPr="00601EEA">
        <w:rPr>
          <w:rStyle w:val="TextoNormalNegritaCaracter"/>
        </w:rPr>
        <w:t>Artículo 173.</w:t>
      </w:r>
      <w:r w:rsidRPr="00601EEA">
        <w:rPr>
          <w:rStyle w:val="TextoNormalCaracter"/>
        </w:rPr>
        <w:t>-</w:t>
      </w:r>
      <w:r>
        <w:t xml:space="preserve"> Sentencia </w:t>
      </w:r>
      <w:hyperlink w:anchor="SENTENCIA_2024_44" w:history="1">
        <w:r w:rsidRPr="00601EEA">
          <w:rPr>
            <w:rStyle w:val="TextoNormalCaracter"/>
          </w:rPr>
          <w:t>44/2024</w:t>
        </w:r>
      </w:hyperlink>
      <w:r>
        <w:t>, f. 3.</w:t>
      </w:r>
    </w:p>
    <w:p w14:paraId="173B683A" w14:textId="0D5ECE20" w:rsidR="00601EEA" w:rsidRDefault="00601EEA" w:rsidP="00601EEA">
      <w:pPr>
        <w:pStyle w:val="SangriaFrancesaArticulo"/>
      </w:pPr>
      <w:r w:rsidRPr="00601EEA">
        <w:rPr>
          <w:rStyle w:val="TextoNormalNegritaCaracter"/>
        </w:rPr>
        <w:t>Artículo 173.1 párrafo 3.</w:t>
      </w:r>
      <w:r w:rsidRPr="00601EEA">
        <w:rPr>
          <w:rStyle w:val="TextoNormalCaracter"/>
        </w:rPr>
        <w:t>-</w:t>
      </w:r>
      <w:r>
        <w:t xml:space="preserve"> Sentencia </w:t>
      </w:r>
      <w:hyperlink w:anchor="SENTENCIA_2024_75" w:history="1">
        <w:r w:rsidRPr="00601EEA">
          <w:rPr>
            <w:rStyle w:val="TextoNormalCaracter"/>
          </w:rPr>
          <w:t>75/2024</w:t>
        </w:r>
      </w:hyperlink>
      <w:r>
        <w:t>, f. 4, VP II.</w:t>
      </w:r>
    </w:p>
    <w:p w14:paraId="05151F4E" w14:textId="1FC9420E" w:rsidR="00601EEA" w:rsidRDefault="00601EEA" w:rsidP="00601EEA">
      <w:pPr>
        <w:pStyle w:val="SangriaFrancesaArticulo"/>
      </w:pPr>
      <w:r w:rsidRPr="00601EEA">
        <w:rPr>
          <w:rStyle w:val="TextoNormalNegritaCaracter"/>
        </w:rPr>
        <w:t>Artículo 173.4.</w:t>
      </w:r>
      <w:r w:rsidRPr="00601EEA">
        <w:rPr>
          <w:rStyle w:val="TextoNormalCaracter"/>
        </w:rPr>
        <w:t>-</w:t>
      </w:r>
      <w:r>
        <w:t xml:space="preserve"> Sentencia </w:t>
      </w:r>
      <w:hyperlink w:anchor="SENTENCIA_2024_44" w:history="1">
        <w:r w:rsidRPr="00601EEA">
          <w:rPr>
            <w:rStyle w:val="TextoNormalCaracter"/>
          </w:rPr>
          <w:t>44/2024</w:t>
        </w:r>
      </w:hyperlink>
      <w:r>
        <w:t>, f. 3.</w:t>
      </w:r>
    </w:p>
    <w:p w14:paraId="429078E0" w14:textId="67546310" w:rsidR="00601EEA" w:rsidRDefault="00601EEA" w:rsidP="00601EEA">
      <w:pPr>
        <w:pStyle w:val="SangriaFrancesaArticulo"/>
      </w:pPr>
      <w:r w:rsidRPr="00601EEA">
        <w:rPr>
          <w:rStyle w:val="TextoNormalNegritaCaracter"/>
        </w:rPr>
        <w:t>Artículo 178.</w:t>
      </w:r>
      <w:r w:rsidRPr="00601EEA">
        <w:rPr>
          <w:rStyle w:val="TextoNormalCaracter"/>
        </w:rPr>
        <w:t>-</w:t>
      </w:r>
      <w:r>
        <w:t xml:space="preserve"> Sentencia </w:t>
      </w:r>
      <w:hyperlink w:anchor="SENTENCIA_2024_80" w:history="1">
        <w:r w:rsidRPr="00601EEA">
          <w:rPr>
            <w:rStyle w:val="TextoNormalCaracter"/>
          </w:rPr>
          <w:t>80/2024</w:t>
        </w:r>
      </w:hyperlink>
      <w:r>
        <w:t>, f. 6.</w:t>
      </w:r>
    </w:p>
    <w:p w14:paraId="00867F4D" w14:textId="0F5942BD" w:rsidR="00601EEA" w:rsidRDefault="00601EEA" w:rsidP="00601EEA">
      <w:pPr>
        <w:pStyle w:val="SangriaFrancesaArticulo"/>
      </w:pPr>
      <w:r w:rsidRPr="00601EEA">
        <w:rPr>
          <w:rStyle w:val="TextoNormalNegritaCaracter"/>
        </w:rPr>
        <w:t>Artículo 178.1</w:t>
      </w:r>
      <w:r>
        <w:t xml:space="preserve"> (redactado por la Ley Orgánica 10/2022, de 6 de septiembre)</w:t>
      </w:r>
      <w:r w:rsidRPr="00601EEA">
        <w:rPr>
          <w:rStyle w:val="TextoNormalNegritaCaracter"/>
        </w:rPr>
        <w:t>.</w:t>
      </w:r>
      <w:r w:rsidRPr="00601EEA">
        <w:rPr>
          <w:rStyle w:val="TextoNormalCaracter"/>
        </w:rPr>
        <w:t>-</w:t>
      </w:r>
      <w:r>
        <w:t xml:space="preserve"> Sentencia </w:t>
      </w:r>
      <w:hyperlink w:anchor="SENTENCIA_2024_44" w:history="1">
        <w:r w:rsidRPr="00601EEA">
          <w:rPr>
            <w:rStyle w:val="TextoNormalCaracter"/>
          </w:rPr>
          <w:t>44/2024</w:t>
        </w:r>
      </w:hyperlink>
      <w:r>
        <w:t>, ff. 2, 3.</w:t>
      </w:r>
    </w:p>
    <w:p w14:paraId="682DA617" w14:textId="59503BF5" w:rsidR="00601EEA" w:rsidRDefault="00601EEA" w:rsidP="00601EEA">
      <w:pPr>
        <w:pStyle w:val="SangriaFrancesaArticulo"/>
      </w:pPr>
      <w:r w:rsidRPr="00601EEA">
        <w:rPr>
          <w:rStyle w:val="TextoNormalNegritaCaracter"/>
        </w:rPr>
        <w:t>Artículo 180.1.</w:t>
      </w:r>
      <w:r w:rsidRPr="00601EEA">
        <w:rPr>
          <w:rStyle w:val="TextoNormalCaracter"/>
        </w:rPr>
        <w:t>-</w:t>
      </w:r>
      <w:r>
        <w:t xml:space="preserve"> Sentencia </w:t>
      </w:r>
      <w:hyperlink w:anchor="SENTENCIA_2024_44" w:history="1">
        <w:r w:rsidRPr="00601EEA">
          <w:rPr>
            <w:rStyle w:val="TextoNormalCaracter"/>
          </w:rPr>
          <w:t>44/2024</w:t>
        </w:r>
      </w:hyperlink>
      <w:r>
        <w:t>, f. 3.</w:t>
      </w:r>
    </w:p>
    <w:p w14:paraId="3EBF8400" w14:textId="29E64B8C" w:rsidR="00601EEA" w:rsidRDefault="00601EEA" w:rsidP="00601EEA">
      <w:pPr>
        <w:pStyle w:val="SangriaFrancesaArticulo"/>
      </w:pPr>
      <w:r w:rsidRPr="00601EEA">
        <w:rPr>
          <w:rStyle w:val="TextoNormalNegritaCaracter"/>
        </w:rPr>
        <w:t>Artículo 181.5.</w:t>
      </w:r>
      <w:r w:rsidRPr="00601EEA">
        <w:rPr>
          <w:rStyle w:val="TextoNormalCaracter"/>
        </w:rPr>
        <w:t>-</w:t>
      </w:r>
      <w:r>
        <w:t xml:space="preserve"> Sentencia </w:t>
      </w:r>
      <w:hyperlink w:anchor="SENTENCIA_2024_44" w:history="1">
        <w:r w:rsidRPr="00601EEA">
          <w:rPr>
            <w:rStyle w:val="TextoNormalCaracter"/>
          </w:rPr>
          <w:t>44/2024</w:t>
        </w:r>
      </w:hyperlink>
      <w:r>
        <w:t>, f. 3.</w:t>
      </w:r>
    </w:p>
    <w:p w14:paraId="19DFC35A" w14:textId="68DEFF09" w:rsidR="00601EEA" w:rsidRDefault="00601EEA" w:rsidP="00601EEA">
      <w:pPr>
        <w:pStyle w:val="SangriaFrancesaArticulo"/>
      </w:pPr>
      <w:r w:rsidRPr="00601EEA">
        <w:rPr>
          <w:rStyle w:val="TextoNormalNegritaCaracter"/>
        </w:rPr>
        <w:t>Artículo 184.</w:t>
      </w:r>
      <w:r w:rsidRPr="00601EEA">
        <w:rPr>
          <w:rStyle w:val="TextoNormalCaracter"/>
        </w:rPr>
        <w:t>-</w:t>
      </w:r>
      <w:r>
        <w:t xml:space="preserve"> Sentencia </w:t>
      </w:r>
      <w:hyperlink w:anchor="SENTENCIA_2024_75" w:history="1">
        <w:r w:rsidRPr="00601EEA">
          <w:rPr>
            <w:rStyle w:val="TextoNormalCaracter"/>
          </w:rPr>
          <w:t>75/2024</w:t>
        </w:r>
      </w:hyperlink>
      <w:r>
        <w:t>, f. 4, VP II.</w:t>
      </w:r>
    </w:p>
    <w:p w14:paraId="46D2241F" w14:textId="7A951E39" w:rsidR="00601EEA" w:rsidRDefault="00601EEA" w:rsidP="00601EEA">
      <w:pPr>
        <w:pStyle w:val="SangriaFrancesaArticulo"/>
      </w:pPr>
      <w:r w:rsidRPr="00601EEA">
        <w:rPr>
          <w:rStyle w:val="TextoNormalNegritaCaracter"/>
        </w:rPr>
        <w:t>Artículo 191.</w:t>
      </w:r>
      <w:r w:rsidRPr="00601EEA">
        <w:rPr>
          <w:rStyle w:val="TextoNormalCaracter"/>
        </w:rPr>
        <w:t>-</w:t>
      </w:r>
      <w:r>
        <w:t xml:space="preserve"> Sentencia </w:t>
      </w:r>
      <w:hyperlink w:anchor="SENTENCIA_2024_75" w:history="1">
        <w:r w:rsidRPr="00601EEA">
          <w:rPr>
            <w:rStyle w:val="TextoNormalCaracter"/>
          </w:rPr>
          <w:t>75/2024</w:t>
        </w:r>
      </w:hyperlink>
      <w:r>
        <w:t>, VP I.</w:t>
      </w:r>
    </w:p>
    <w:p w14:paraId="15F5D81F" w14:textId="0B3C3006" w:rsidR="00601EEA" w:rsidRDefault="00601EEA" w:rsidP="00601EEA">
      <w:pPr>
        <w:pStyle w:val="SangriaFrancesaArticulo"/>
      </w:pPr>
      <w:r w:rsidRPr="00601EEA">
        <w:rPr>
          <w:rStyle w:val="TextoNormalNegritaCaracter"/>
        </w:rPr>
        <w:t>Artículo 243.</w:t>
      </w:r>
      <w:r w:rsidRPr="00601EEA">
        <w:rPr>
          <w:rStyle w:val="TextoNormalCaracter"/>
        </w:rPr>
        <w:t>-</w:t>
      </w:r>
      <w:r>
        <w:t xml:space="preserve"> Sentencia </w:t>
      </w:r>
      <w:hyperlink w:anchor="SENTENCIA_2024_51" w:history="1">
        <w:r w:rsidRPr="00601EEA">
          <w:rPr>
            <w:rStyle w:val="TextoNormalCaracter"/>
          </w:rPr>
          <w:t>51/2024</w:t>
        </w:r>
      </w:hyperlink>
      <w:r>
        <w:t>, f. 1.</w:t>
      </w:r>
    </w:p>
    <w:p w14:paraId="42EBAA39" w14:textId="4F2122AB" w:rsidR="00601EEA" w:rsidRDefault="00601EEA" w:rsidP="00601EEA">
      <w:pPr>
        <w:pStyle w:val="SangriaFrancesaArticulo"/>
      </w:pPr>
      <w:r w:rsidRPr="00601EEA">
        <w:rPr>
          <w:rStyle w:val="TextoNormalNegritaCaracter"/>
        </w:rPr>
        <w:t>Artículo 245.2.</w:t>
      </w:r>
      <w:r w:rsidRPr="00601EEA">
        <w:rPr>
          <w:rStyle w:val="TextoNormalCaracter"/>
        </w:rPr>
        <w:t>-</w:t>
      </w:r>
      <w:r>
        <w:t xml:space="preserve"> Sentencia </w:t>
      </w:r>
      <w:hyperlink w:anchor="SENTENCIA_2024_7" w:history="1">
        <w:r w:rsidRPr="00601EEA">
          <w:rPr>
            <w:rStyle w:val="TextoNormalCaracter"/>
          </w:rPr>
          <w:t>7/2024</w:t>
        </w:r>
      </w:hyperlink>
      <w:r>
        <w:t>, VP.</w:t>
      </w:r>
    </w:p>
    <w:p w14:paraId="37AF40CA" w14:textId="29EF67A1" w:rsidR="00601EEA" w:rsidRDefault="00601EEA" w:rsidP="00601EEA">
      <w:pPr>
        <w:pStyle w:val="SangriaFrancesaArticulo"/>
      </w:pPr>
      <w:r w:rsidRPr="00601EEA">
        <w:rPr>
          <w:rStyle w:val="TextoNormalNegritaCaracter"/>
        </w:rPr>
        <w:t>Artículo 248.</w:t>
      </w:r>
      <w:r w:rsidRPr="00601EEA">
        <w:rPr>
          <w:rStyle w:val="TextoNormalCaracter"/>
        </w:rPr>
        <w:t>-</w:t>
      </w:r>
      <w:r>
        <w:t xml:space="preserve"> Auto </w:t>
      </w:r>
      <w:hyperlink w:anchor="AUTO_2024_19" w:history="1">
        <w:r w:rsidRPr="00601EEA">
          <w:rPr>
            <w:rStyle w:val="TextoNormalCaracter"/>
          </w:rPr>
          <w:t>19/2024</w:t>
        </w:r>
      </w:hyperlink>
      <w:r>
        <w:t>, f. 3.</w:t>
      </w:r>
    </w:p>
    <w:p w14:paraId="6370B68D" w14:textId="2BFBDD6E" w:rsidR="00601EEA" w:rsidRDefault="00601EEA" w:rsidP="00601EEA">
      <w:pPr>
        <w:pStyle w:val="SangriaFrancesaArticulo"/>
      </w:pPr>
      <w:r w:rsidRPr="00601EEA">
        <w:rPr>
          <w:rStyle w:val="TextoNormalNegritaCaracter"/>
        </w:rPr>
        <w:t>Artículo 263.1, párrafo 2.</w:t>
      </w:r>
      <w:r w:rsidRPr="00601EEA">
        <w:rPr>
          <w:rStyle w:val="TextoNormalCaracter"/>
        </w:rPr>
        <w:t>-</w:t>
      </w:r>
      <w:r>
        <w:t xml:space="preserve"> Sentencia </w:t>
      </w:r>
      <w:hyperlink w:anchor="SENTENCIA_2024_80" w:history="1">
        <w:r w:rsidRPr="00601EEA">
          <w:rPr>
            <w:rStyle w:val="TextoNormalCaracter"/>
          </w:rPr>
          <w:t>80/2024</w:t>
        </w:r>
      </w:hyperlink>
      <w:r>
        <w:t>, f. 6.</w:t>
      </w:r>
    </w:p>
    <w:p w14:paraId="390C52D7" w14:textId="18CE777E" w:rsidR="00601EEA" w:rsidRDefault="00601EEA" w:rsidP="00601EEA">
      <w:pPr>
        <w:pStyle w:val="SangriaFrancesaArticulo"/>
      </w:pPr>
      <w:r w:rsidRPr="00601EEA">
        <w:rPr>
          <w:rStyle w:val="TextoNormalNegritaCaracter"/>
        </w:rPr>
        <w:t>Artículo 316.</w:t>
      </w:r>
      <w:r w:rsidRPr="00601EEA">
        <w:rPr>
          <w:rStyle w:val="TextoNormalCaracter"/>
        </w:rPr>
        <w:t>-</w:t>
      </w:r>
      <w:r>
        <w:t xml:space="preserve"> Sentencia </w:t>
      </w:r>
      <w:hyperlink w:anchor="SENTENCIA_2024_77" w:history="1">
        <w:r w:rsidRPr="00601EEA">
          <w:rPr>
            <w:rStyle w:val="TextoNormalCaracter"/>
          </w:rPr>
          <w:t>77/2024</w:t>
        </w:r>
      </w:hyperlink>
      <w:r>
        <w:t>, f. 3.</w:t>
      </w:r>
    </w:p>
    <w:p w14:paraId="32239C39" w14:textId="3E667AC3" w:rsidR="00601EEA" w:rsidRDefault="00601EEA" w:rsidP="00601EEA">
      <w:pPr>
        <w:pStyle w:val="SangriaFrancesaArticulo"/>
      </w:pPr>
      <w:r w:rsidRPr="00601EEA">
        <w:rPr>
          <w:rStyle w:val="TextoNormalNegritaCaracter"/>
        </w:rPr>
        <w:t>Artículo 325.</w:t>
      </w:r>
      <w:r w:rsidRPr="00601EEA">
        <w:rPr>
          <w:rStyle w:val="TextoNormalCaracter"/>
        </w:rPr>
        <w:t>-</w:t>
      </w:r>
      <w:r>
        <w:t xml:space="preserve"> Sentencia </w:t>
      </w:r>
      <w:hyperlink w:anchor="SENTENCIA_2024_72" w:history="1">
        <w:r w:rsidRPr="00601EEA">
          <w:rPr>
            <w:rStyle w:val="TextoNormalCaracter"/>
          </w:rPr>
          <w:t>72/2024</w:t>
        </w:r>
      </w:hyperlink>
      <w:r>
        <w:t>, f. 5.</w:t>
      </w:r>
    </w:p>
    <w:p w14:paraId="3AB36ADA" w14:textId="2FBE0323" w:rsidR="00601EEA" w:rsidRDefault="00601EEA" w:rsidP="00601EEA">
      <w:pPr>
        <w:pStyle w:val="SangriaFrancesaArticulo"/>
      </w:pPr>
      <w:r w:rsidRPr="00601EEA">
        <w:rPr>
          <w:rStyle w:val="TextoNormalNegritaCaracter"/>
        </w:rPr>
        <w:t>Artículo 368.</w:t>
      </w:r>
      <w:r w:rsidRPr="00601EEA">
        <w:rPr>
          <w:rStyle w:val="TextoNormalCaracter"/>
        </w:rPr>
        <w:t>-</w:t>
      </w:r>
      <w:r>
        <w:t xml:space="preserve"> Sentencias </w:t>
      </w:r>
      <w:hyperlink w:anchor="SENTENCIA_2024_51" w:history="1">
        <w:r w:rsidRPr="00601EEA">
          <w:rPr>
            <w:rStyle w:val="TextoNormalCaracter"/>
          </w:rPr>
          <w:t>51/2024</w:t>
        </w:r>
      </w:hyperlink>
      <w:r>
        <w:t xml:space="preserve">, f. 1; </w:t>
      </w:r>
      <w:hyperlink w:anchor="SENTENCIA_2024_87" w:history="1">
        <w:r w:rsidRPr="00601EEA">
          <w:rPr>
            <w:rStyle w:val="TextoNormalCaracter"/>
          </w:rPr>
          <w:t>87/2024</w:t>
        </w:r>
      </w:hyperlink>
      <w:r>
        <w:t>, f. 1.</w:t>
      </w:r>
    </w:p>
    <w:p w14:paraId="18DED06B" w14:textId="1DCE0DD2" w:rsidR="00601EEA" w:rsidRDefault="00601EEA" w:rsidP="00601EEA">
      <w:pPr>
        <w:pStyle w:val="SangriaFrancesaArticulo"/>
      </w:pPr>
      <w:r w:rsidRPr="00601EEA">
        <w:rPr>
          <w:rStyle w:val="TextoNormalNegritaCaracter"/>
        </w:rPr>
        <w:t>Artículos 368 y siguientes.</w:t>
      </w:r>
      <w:r w:rsidRPr="00601EEA">
        <w:rPr>
          <w:rStyle w:val="TextoNormalCaracter"/>
        </w:rPr>
        <w:t>-</w:t>
      </w:r>
      <w:r>
        <w:t xml:space="preserve"> Sentencia </w:t>
      </w:r>
      <w:hyperlink w:anchor="SENTENCIA_2024_57" w:history="1">
        <w:r w:rsidRPr="00601EEA">
          <w:rPr>
            <w:rStyle w:val="TextoNormalCaracter"/>
          </w:rPr>
          <w:t>57/2024</w:t>
        </w:r>
      </w:hyperlink>
      <w:r>
        <w:t>, f. 6.</w:t>
      </w:r>
    </w:p>
    <w:p w14:paraId="4A75D02F" w14:textId="532FFFBE" w:rsidR="00601EEA" w:rsidRDefault="00601EEA" w:rsidP="00601EEA">
      <w:pPr>
        <w:pStyle w:val="SangriaFrancesaArticulo"/>
      </w:pPr>
      <w:r w:rsidRPr="00601EEA">
        <w:rPr>
          <w:rStyle w:val="TextoNormalNegritaCaracter"/>
        </w:rPr>
        <w:t>Artículo 369.1.5.</w:t>
      </w:r>
      <w:r w:rsidRPr="00601EEA">
        <w:rPr>
          <w:rStyle w:val="TextoNormalCaracter"/>
        </w:rPr>
        <w:t>-</w:t>
      </w:r>
      <w:r>
        <w:t xml:space="preserve"> Sentencia </w:t>
      </w:r>
      <w:hyperlink w:anchor="SENTENCIA_2024_87" w:history="1">
        <w:r w:rsidRPr="00601EEA">
          <w:rPr>
            <w:rStyle w:val="TextoNormalCaracter"/>
          </w:rPr>
          <w:t>87/2024</w:t>
        </w:r>
      </w:hyperlink>
      <w:r>
        <w:t>, f. 1.</w:t>
      </w:r>
    </w:p>
    <w:p w14:paraId="1AF19446" w14:textId="1B1CC15B" w:rsidR="00601EEA" w:rsidRDefault="00601EEA" w:rsidP="00601EEA">
      <w:pPr>
        <w:pStyle w:val="SangriaFrancesaArticulo"/>
      </w:pPr>
      <w:r w:rsidRPr="00601EEA">
        <w:rPr>
          <w:rStyle w:val="TextoNormalNegritaCaracter"/>
        </w:rPr>
        <w:t>Artículo 379.1.</w:t>
      </w:r>
      <w:r w:rsidRPr="00601EEA">
        <w:rPr>
          <w:rStyle w:val="TextoNormalCaracter"/>
        </w:rPr>
        <w:t>-</w:t>
      </w:r>
      <w:r>
        <w:t xml:space="preserve"> Sentencia </w:t>
      </w:r>
      <w:hyperlink w:anchor="SENTENCIA_2024_40" w:history="1">
        <w:r w:rsidRPr="00601EEA">
          <w:rPr>
            <w:rStyle w:val="TextoNormalCaracter"/>
          </w:rPr>
          <w:t>40/2024</w:t>
        </w:r>
      </w:hyperlink>
      <w:r>
        <w:t>, f. 5.</w:t>
      </w:r>
    </w:p>
    <w:p w14:paraId="43A1B109" w14:textId="3BBC594B" w:rsidR="00601EEA" w:rsidRDefault="00601EEA" w:rsidP="00601EEA">
      <w:pPr>
        <w:pStyle w:val="SangriaFrancesaArticulo"/>
      </w:pPr>
      <w:r w:rsidRPr="00601EEA">
        <w:rPr>
          <w:rStyle w:val="TextoNormalNegritaCaracter"/>
        </w:rPr>
        <w:t>Artículo 379.2.</w:t>
      </w:r>
      <w:r w:rsidRPr="00601EEA">
        <w:rPr>
          <w:rStyle w:val="TextoNormalCaracter"/>
        </w:rPr>
        <w:t>-</w:t>
      </w:r>
      <w:r>
        <w:t xml:space="preserve"> Sentencia </w:t>
      </w:r>
      <w:hyperlink w:anchor="SENTENCIA_2024_40" w:history="1">
        <w:r w:rsidRPr="00601EEA">
          <w:rPr>
            <w:rStyle w:val="TextoNormalCaracter"/>
          </w:rPr>
          <w:t>40/2024</w:t>
        </w:r>
      </w:hyperlink>
      <w:r>
        <w:t>, f. 5.</w:t>
      </w:r>
    </w:p>
    <w:p w14:paraId="15A22D67" w14:textId="6F3EDD21" w:rsidR="00601EEA" w:rsidRDefault="00601EEA" w:rsidP="00601EEA">
      <w:pPr>
        <w:pStyle w:val="SangriaFrancesaArticulo"/>
      </w:pPr>
      <w:r w:rsidRPr="00601EEA">
        <w:rPr>
          <w:rStyle w:val="TextoNormalNegritaCaracter"/>
        </w:rPr>
        <w:t>Artículo 379.2 inciso 1.</w:t>
      </w:r>
      <w:r w:rsidRPr="00601EEA">
        <w:rPr>
          <w:rStyle w:val="TextoNormalCaracter"/>
        </w:rPr>
        <w:t>-</w:t>
      </w:r>
      <w:r>
        <w:t xml:space="preserve"> Sentencia </w:t>
      </w:r>
      <w:hyperlink w:anchor="SENTENCIA_2024_40" w:history="1">
        <w:r w:rsidRPr="00601EEA">
          <w:rPr>
            <w:rStyle w:val="TextoNormalCaracter"/>
          </w:rPr>
          <w:t>40/2024</w:t>
        </w:r>
      </w:hyperlink>
      <w:r>
        <w:t>, VP.</w:t>
      </w:r>
    </w:p>
    <w:p w14:paraId="36ADD165" w14:textId="563F3420" w:rsidR="00601EEA" w:rsidRDefault="00601EEA" w:rsidP="00601EEA">
      <w:pPr>
        <w:pStyle w:val="SangriaFrancesaArticulo"/>
      </w:pPr>
      <w:r w:rsidRPr="00601EEA">
        <w:rPr>
          <w:rStyle w:val="TextoNormalNegritaCaracter"/>
        </w:rPr>
        <w:t>Artículo 379.2 inciso 2.</w:t>
      </w:r>
      <w:r w:rsidRPr="00601EEA">
        <w:rPr>
          <w:rStyle w:val="TextoNormalCaracter"/>
        </w:rPr>
        <w:t>-</w:t>
      </w:r>
      <w:r>
        <w:t xml:space="preserve"> Sentencia </w:t>
      </w:r>
      <w:hyperlink w:anchor="SENTENCIA_2024_40" w:history="1">
        <w:r w:rsidRPr="00601EEA">
          <w:rPr>
            <w:rStyle w:val="TextoNormalCaracter"/>
          </w:rPr>
          <w:t>40/2024</w:t>
        </w:r>
      </w:hyperlink>
      <w:r>
        <w:t>, f. 5, VP.</w:t>
      </w:r>
    </w:p>
    <w:p w14:paraId="0482ABDA" w14:textId="7BB4194E" w:rsidR="00601EEA" w:rsidRDefault="00601EEA" w:rsidP="00601EEA">
      <w:pPr>
        <w:pStyle w:val="SangriaFrancesaArticulo"/>
      </w:pPr>
      <w:r w:rsidRPr="00601EEA">
        <w:rPr>
          <w:rStyle w:val="TextoNormalNegritaCaracter"/>
        </w:rPr>
        <w:lastRenderedPageBreak/>
        <w:t>Artículo 404.</w:t>
      </w:r>
      <w:r w:rsidRPr="00601EEA">
        <w:rPr>
          <w:rStyle w:val="TextoNormalCaracter"/>
        </w:rPr>
        <w:t>-</w:t>
      </w:r>
      <w:r>
        <w:t xml:space="preserve"> Sentencia </w:t>
      </w:r>
      <w:hyperlink w:anchor="SENTENCIA_2024_93" w:history="1">
        <w:r w:rsidRPr="00601EEA">
          <w:rPr>
            <w:rStyle w:val="TextoNormalCaracter"/>
          </w:rPr>
          <w:t>93/2024</w:t>
        </w:r>
      </w:hyperlink>
      <w:r>
        <w:t>, ff. 1, 4, 5, VP I, VP II.</w:t>
      </w:r>
    </w:p>
    <w:p w14:paraId="5875546E" w14:textId="02A02878" w:rsidR="00601EEA" w:rsidRDefault="00601EEA" w:rsidP="00601EEA">
      <w:pPr>
        <w:pStyle w:val="SangriaFrancesaArticulo"/>
      </w:pPr>
      <w:r w:rsidRPr="00601EEA">
        <w:rPr>
          <w:rStyle w:val="TextoNormalNegritaCaracter"/>
        </w:rPr>
        <w:t>Artículo 404</w:t>
      </w:r>
      <w:r>
        <w:t xml:space="preserve"> (redactado por la Ley Orgánica 1/2015, de 30 de marzo)</w:t>
      </w:r>
      <w:r w:rsidRPr="00601EEA">
        <w:rPr>
          <w:rStyle w:val="TextoNormalNegritaCaracter"/>
        </w:rPr>
        <w:t>.</w:t>
      </w:r>
      <w:r w:rsidRPr="00601EEA">
        <w:rPr>
          <w:rStyle w:val="TextoNormalCaracter"/>
        </w:rPr>
        <w:t>-</w:t>
      </w:r>
      <w:r>
        <w:t xml:space="preserve"> Sentencia </w:t>
      </w:r>
      <w:hyperlink w:anchor="SENTENCIA_2024_8" w:history="1">
        <w:r w:rsidRPr="00601EEA">
          <w:rPr>
            <w:rStyle w:val="TextoNormalCaracter"/>
          </w:rPr>
          <w:t>8/2024</w:t>
        </w:r>
      </w:hyperlink>
      <w:r>
        <w:t>, VP I.</w:t>
      </w:r>
    </w:p>
    <w:p w14:paraId="514C934F" w14:textId="7341971A" w:rsidR="00601EEA" w:rsidRDefault="00601EEA" w:rsidP="00601EEA">
      <w:pPr>
        <w:pStyle w:val="SangriaFrancesaArticulo"/>
      </w:pPr>
      <w:r w:rsidRPr="00601EEA">
        <w:rPr>
          <w:rStyle w:val="TextoNormalNegritaCaracter"/>
        </w:rPr>
        <w:t>Artículo 410.1.</w:t>
      </w:r>
      <w:r w:rsidRPr="00601EEA">
        <w:rPr>
          <w:rStyle w:val="TextoNormalCaracter"/>
        </w:rPr>
        <w:t>-</w:t>
      </w:r>
      <w:r>
        <w:t xml:space="preserve"> Sentencia </w:t>
      </w:r>
      <w:hyperlink w:anchor="SENTENCIA_2024_62" w:history="1">
        <w:r w:rsidRPr="00601EEA">
          <w:rPr>
            <w:rStyle w:val="TextoNormalCaracter"/>
          </w:rPr>
          <w:t>62/2024</w:t>
        </w:r>
      </w:hyperlink>
      <w:r>
        <w:t>, f. 2.</w:t>
      </w:r>
    </w:p>
    <w:p w14:paraId="0EF3E857" w14:textId="5957AF07" w:rsidR="00601EEA" w:rsidRDefault="00601EEA" w:rsidP="00601EEA">
      <w:pPr>
        <w:pStyle w:val="SangriaFrancesaArticulo"/>
      </w:pPr>
      <w:r w:rsidRPr="00601EEA">
        <w:rPr>
          <w:rStyle w:val="TextoNormalNegritaCaracter"/>
        </w:rPr>
        <w:t>Artículo 419</w:t>
      </w:r>
      <w:r>
        <w:t xml:space="preserve"> (redactado por la Ley Orgánica 1/2015, de 30 de marzo)</w:t>
      </w:r>
      <w:r w:rsidRPr="00601EEA">
        <w:rPr>
          <w:rStyle w:val="TextoNormalNegritaCaracter"/>
        </w:rPr>
        <w:t>.</w:t>
      </w:r>
      <w:r w:rsidRPr="00601EEA">
        <w:rPr>
          <w:rStyle w:val="TextoNormalCaracter"/>
        </w:rPr>
        <w:t>-</w:t>
      </w:r>
      <w:r>
        <w:t xml:space="preserve"> Sentencia </w:t>
      </w:r>
      <w:hyperlink w:anchor="SENTENCIA_2024_8" w:history="1">
        <w:r w:rsidRPr="00601EEA">
          <w:rPr>
            <w:rStyle w:val="TextoNormalCaracter"/>
          </w:rPr>
          <w:t>8/2024</w:t>
        </w:r>
      </w:hyperlink>
      <w:r>
        <w:t>, VP I.</w:t>
      </w:r>
    </w:p>
    <w:p w14:paraId="47A76AA5" w14:textId="3C69CC5F" w:rsidR="00601EEA" w:rsidRDefault="00601EEA" w:rsidP="00601EEA">
      <w:pPr>
        <w:pStyle w:val="SangriaFrancesaArticulo"/>
      </w:pPr>
      <w:r w:rsidRPr="00601EEA">
        <w:rPr>
          <w:rStyle w:val="TextoNormalNegritaCaracter"/>
        </w:rPr>
        <w:t>Artículo 42</w:t>
      </w:r>
      <w:r>
        <w:t>0(redactado por la Ley Orgánica 1/2015, de 30 de marzo)</w:t>
      </w:r>
      <w:r w:rsidRPr="00601EEA">
        <w:rPr>
          <w:rStyle w:val="TextoNormalNegritaCaracter"/>
        </w:rPr>
        <w:t>.</w:t>
      </w:r>
      <w:r w:rsidRPr="00601EEA">
        <w:rPr>
          <w:rStyle w:val="TextoNormalCaracter"/>
        </w:rPr>
        <w:t>-</w:t>
      </w:r>
      <w:r>
        <w:t xml:space="preserve"> Sentencia </w:t>
      </w:r>
      <w:hyperlink w:anchor="SENTENCIA_2024_8" w:history="1">
        <w:r w:rsidRPr="00601EEA">
          <w:rPr>
            <w:rStyle w:val="TextoNormalCaracter"/>
          </w:rPr>
          <w:t>8/2024</w:t>
        </w:r>
      </w:hyperlink>
      <w:r>
        <w:t>, VP I.</w:t>
      </w:r>
    </w:p>
    <w:p w14:paraId="033227B1" w14:textId="2389C276" w:rsidR="00601EEA" w:rsidRDefault="00601EEA" w:rsidP="00601EEA">
      <w:pPr>
        <w:pStyle w:val="SangriaFrancesaArticulo"/>
      </w:pPr>
      <w:r w:rsidRPr="00601EEA">
        <w:rPr>
          <w:rStyle w:val="TextoNormalNegritaCaracter"/>
        </w:rPr>
        <w:t>Artículo 428</w:t>
      </w:r>
      <w:r>
        <w:t xml:space="preserve"> (redactado por la Ley Orgánica 1/2015, de 30 de marzo)</w:t>
      </w:r>
      <w:r w:rsidRPr="00601EEA">
        <w:rPr>
          <w:rStyle w:val="TextoNormalNegritaCaracter"/>
        </w:rPr>
        <w:t>.</w:t>
      </w:r>
      <w:r w:rsidRPr="00601EEA">
        <w:rPr>
          <w:rStyle w:val="TextoNormalCaracter"/>
        </w:rPr>
        <w:t>-</w:t>
      </w:r>
      <w:r>
        <w:t xml:space="preserve"> Sentencia </w:t>
      </w:r>
      <w:hyperlink w:anchor="SENTENCIA_2024_8" w:history="1">
        <w:r w:rsidRPr="00601EEA">
          <w:rPr>
            <w:rStyle w:val="TextoNormalCaracter"/>
          </w:rPr>
          <w:t>8/2024</w:t>
        </w:r>
      </w:hyperlink>
      <w:r>
        <w:t>, VP I.</w:t>
      </w:r>
    </w:p>
    <w:p w14:paraId="469A9501" w14:textId="531C9FA1" w:rsidR="00601EEA" w:rsidRDefault="00601EEA" w:rsidP="00601EEA">
      <w:pPr>
        <w:pStyle w:val="SangriaFrancesaArticulo"/>
      </w:pPr>
      <w:r w:rsidRPr="00601EEA">
        <w:rPr>
          <w:rStyle w:val="TextoNormalNegritaCaracter"/>
        </w:rPr>
        <w:t>Artículo 430</w:t>
      </w:r>
      <w:r>
        <w:t xml:space="preserve"> (redactado por la Ley Orgánica 1/2015, de 30 de marzo)</w:t>
      </w:r>
      <w:r w:rsidRPr="00601EEA">
        <w:rPr>
          <w:rStyle w:val="TextoNormalNegritaCaracter"/>
        </w:rPr>
        <w:t>.</w:t>
      </w:r>
      <w:r w:rsidRPr="00601EEA">
        <w:rPr>
          <w:rStyle w:val="TextoNormalCaracter"/>
        </w:rPr>
        <w:t>-</w:t>
      </w:r>
      <w:r>
        <w:t xml:space="preserve"> Sentencia </w:t>
      </w:r>
      <w:hyperlink w:anchor="SENTENCIA_2024_8" w:history="1">
        <w:r w:rsidRPr="00601EEA">
          <w:rPr>
            <w:rStyle w:val="TextoNormalCaracter"/>
          </w:rPr>
          <w:t>8/2024</w:t>
        </w:r>
      </w:hyperlink>
      <w:r>
        <w:t>, VP I.</w:t>
      </w:r>
    </w:p>
    <w:p w14:paraId="5ABEC248" w14:textId="65F839AC" w:rsidR="00601EEA" w:rsidRDefault="00601EEA" w:rsidP="00601EEA">
      <w:pPr>
        <w:pStyle w:val="SangriaFrancesaArticulo"/>
      </w:pPr>
      <w:r w:rsidRPr="00601EEA">
        <w:rPr>
          <w:rStyle w:val="TextoNormalNegritaCaracter"/>
        </w:rPr>
        <w:t>Artículo 432</w:t>
      </w:r>
      <w:r>
        <w:t xml:space="preserve"> (redactado por la Ley Orgánica 1/2015, de 30 de marzo)</w:t>
      </w:r>
      <w:r w:rsidRPr="00601EEA">
        <w:rPr>
          <w:rStyle w:val="TextoNormalNegritaCaracter"/>
        </w:rPr>
        <w:t>.</w:t>
      </w:r>
      <w:r w:rsidRPr="00601EEA">
        <w:rPr>
          <w:rStyle w:val="TextoNormalCaracter"/>
        </w:rPr>
        <w:t>-</w:t>
      </w:r>
      <w:r>
        <w:t xml:space="preserve"> Sentencia </w:t>
      </w:r>
      <w:hyperlink w:anchor="SENTENCIA_2024_8" w:history="1">
        <w:r w:rsidRPr="00601EEA">
          <w:rPr>
            <w:rStyle w:val="TextoNormalCaracter"/>
          </w:rPr>
          <w:t>8/2024</w:t>
        </w:r>
      </w:hyperlink>
      <w:r>
        <w:t>, VP I.</w:t>
      </w:r>
    </w:p>
    <w:p w14:paraId="6F16DF37" w14:textId="15B12AC0" w:rsidR="00601EEA" w:rsidRDefault="00601EEA" w:rsidP="00601EEA">
      <w:pPr>
        <w:pStyle w:val="SangriaFrancesaArticulo"/>
      </w:pPr>
      <w:r w:rsidRPr="00601EEA">
        <w:rPr>
          <w:rStyle w:val="TextoNormalNegritaCaracter"/>
        </w:rPr>
        <w:t>Artículo 436</w:t>
      </w:r>
      <w:r>
        <w:t xml:space="preserve"> (redactado por la Ley Orgánica 1/2015, de 30 de marzo)</w:t>
      </w:r>
      <w:r w:rsidRPr="00601EEA">
        <w:rPr>
          <w:rStyle w:val="TextoNormalNegritaCaracter"/>
        </w:rPr>
        <w:t>.</w:t>
      </w:r>
      <w:r w:rsidRPr="00601EEA">
        <w:rPr>
          <w:rStyle w:val="TextoNormalCaracter"/>
        </w:rPr>
        <w:t>-</w:t>
      </w:r>
      <w:r>
        <w:t xml:space="preserve"> Sentencia </w:t>
      </w:r>
      <w:hyperlink w:anchor="SENTENCIA_2024_8" w:history="1">
        <w:r w:rsidRPr="00601EEA">
          <w:rPr>
            <w:rStyle w:val="TextoNormalCaracter"/>
          </w:rPr>
          <w:t>8/2024</w:t>
        </w:r>
      </w:hyperlink>
      <w:r>
        <w:t>, VP I.</w:t>
      </w:r>
    </w:p>
    <w:p w14:paraId="6D981831" w14:textId="78E1A94D" w:rsidR="00601EEA" w:rsidRDefault="00601EEA" w:rsidP="00601EEA">
      <w:pPr>
        <w:pStyle w:val="SangriaFrancesaArticulo"/>
      </w:pPr>
      <w:r w:rsidRPr="00601EEA">
        <w:rPr>
          <w:rStyle w:val="TextoNormalNegritaCaracter"/>
        </w:rPr>
        <w:t>Artículo 438</w:t>
      </w:r>
      <w:r>
        <w:t xml:space="preserve"> (redactado por la Ley Orgánica 1/2015, de 30 de marzo)</w:t>
      </w:r>
      <w:r w:rsidRPr="00601EEA">
        <w:rPr>
          <w:rStyle w:val="TextoNormalNegritaCaracter"/>
        </w:rPr>
        <w:t>.</w:t>
      </w:r>
      <w:r w:rsidRPr="00601EEA">
        <w:rPr>
          <w:rStyle w:val="TextoNormalCaracter"/>
        </w:rPr>
        <w:t>-</w:t>
      </w:r>
      <w:r>
        <w:t xml:space="preserve"> Sentencia </w:t>
      </w:r>
      <w:hyperlink w:anchor="SENTENCIA_2024_8" w:history="1">
        <w:r w:rsidRPr="00601EEA">
          <w:rPr>
            <w:rStyle w:val="TextoNormalCaracter"/>
          </w:rPr>
          <w:t>8/2024</w:t>
        </w:r>
      </w:hyperlink>
      <w:r>
        <w:t>, VP I.</w:t>
      </w:r>
    </w:p>
    <w:p w14:paraId="430689C8" w14:textId="324EB164" w:rsidR="00601EEA" w:rsidRDefault="00601EEA" w:rsidP="00601EEA">
      <w:pPr>
        <w:pStyle w:val="SangriaFrancesaArticulo"/>
      </w:pPr>
      <w:r w:rsidRPr="00601EEA">
        <w:rPr>
          <w:rStyle w:val="TextoNormalNegritaCaracter"/>
        </w:rPr>
        <w:t>Artículo 438 bis</w:t>
      </w:r>
      <w:r>
        <w:t xml:space="preserve"> (redactado por la Ley Orgánica 1/2015, de 30 de marzo)</w:t>
      </w:r>
      <w:r w:rsidRPr="00601EEA">
        <w:rPr>
          <w:rStyle w:val="TextoNormalNegritaCaracter"/>
        </w:rPr>
        <w:t>.</w:t>
      </w:r>
      <w:r w:rsidRPr="00601EEA">
        <w:rPr>
          <w:rStyle w:val="TextoNormalCaracter"/>
        </w:rPr>
        <w:t>-</w:t>
      </w:r>
      <w:r>
        <w:t xml:space="preserve"> Sentencia </w:t>
      </w:r>
      <w:hyperlink w:anchor="SENTENCIA_2024_8" w:history="1">
        <w:r w:rsidRPr="00601EEA">
          <w:rPr>
            <w:rStyle w:val="TextoNormalCaracter"/>
          </w:rPr>
          <w:t>8/2024</w:t>
        </w:r>
      </w:hyperlink>
      <w:r>
        <w:t>, VP I.</w:t>
      </w:r>
    </w:p>
    <w:p w14:paraId="72699BA8" w14:textId="4708F254" w:rsidR="00601EEA" w:rsidRDefault="00601EEA" w:rsidP="00601EEA">
      <w:pPr>
        <w:pStyle w:val="SangriaFrancesaArticulo"/>
      </w:pPr>
      <w:r w:rsidRPr="00601EEA">
        <w:rPr>
          <w:rStyle w:val="TextoNormalNegritaCaracter"/>
        </w:rPr>
        <w:t>Artículo 439</w:t>
      </w:r>
      <w:r>
        <w:t xml:space="preserve"> (redactado por la Ley Orgánica 1/2015, de 30 de marzo)</w:t>
      </w:r>
      <w:r w:rsidRPr="00601EEA">
        <w:rPr>
          <w:rStyle w:val="TextoNormalNegritaCaracter"/>
        </w:rPr>
        <w:t>.</w:t>
      </w:r>
      <w:r w:rsidRPr="00601EEA">
        <w:rPr>
          <w:rStyle w:val="TextoNormalCaracter"/>
        </w:rPr>
        <w:t>-</w:t>
      </w:r>
      <w:r>
        <w:t xml:space="preserve"> Sentencia </w:t>
      </w:r>
      <w:hyperlink w:anchor="SENTENCIA_2024_8" w:history="1">
        <w:r w:rsidRPr="00601EEA">
          <w:rPr>
            <w:rStyle w:val="TextoNormalCaracter"/>
          </w:rPr>
          <w:t>8/2024</w:t>
        </w:r>
      </w:hyperlink>
      <w:r>
        <w:t>, VP I.</w:t>
      </w:r>
    </w:p>
    <w:p w14:paraId="7AE3F071" w14:textId="14B480C9" w:rsidR="00601EEA" w:rsidRDefault="00601EEA" w:rsidP="00601EEA">
      <w:pPr>
        <w:pStyle w:val="SangriaFrancesaArticulo"/>
      </w:pPr>
      <w:r w:rsidRPr="00601EEA">
        <w:rPr>
          <w:rStyle w:val="TextoNormalNegritaCaracter"/>
        </w:rPr>
        <w:t>Artículo 442</w:t>
      </w:r>
      <w:r>
        <w:t xml:space="preserve"> (redactado por la Ley Orgánica 1/2015, de 30 de marzo)</w:t>
      </w:r>
      <w:r w:rsidRPr="00601EEA">
        <w:rPr>
          <w:rStyle w:val="TextoNormalNegritaCaracter"/>
        </w:rPr>
        <w:t>.</w:t>
      </w:r>
      <w:r w:rsidRPr="00601EEA">
        <w:rPr>
          <w:rStyle w:val="TextoNormalCaracter"/>
        </w:rPr>
        <w:t>-</w:t>
      </w:r>
      <w:r>
        <w:t xml:space="preserve"> Sentencia </w:t>
      </w:r>
      <w:hyperlink w:anchor="SENTENCIA_2024_8" w:history="1">
        <w:r w:rsidRPr="00601EEA">
          <w:rPr>
            <w:rStyle w:val="TextoNormalCaracter"/>
          </w:rPr>
          <w:t>8/2024</w:t>
        </w:r>
      </w:hyperlink>
      <w:r>
        <w:t>, VP I.</w:t>
      </w:r>
    </w:p>
    <w:p w14:paraId="6637590A" w14:textId="4340406A" w:rsidR="00601EEA" w:rsidRDefault="00601EEA" w:rsidP="00601EEA">
      <w:pPr>
        <w:pStyle w:val="SangriaFrancesaArticulo"/>
      </w:pPr>
      <w:r w:rsidRPr="00601EEA">
        <w:rPr>
          <w:rStyle w:val="TextoNormalNegritaCaracter"/>
        </w:rPr>
        <w:t>Artículo 468.</w:t>
      </w:r>
      <w:r w:rsidRPr="00601EEA">
        <w:rPr>
          <w:rStyle w:val="TextoNormalCaracter"/>
        </w:rPr>
        <w:t>-</w:t>
      </w:r>
      <w:r>
        <w:t xml:space="preserve"> Sentencia </w:t>
      </w:r>
      <w:hyperlink w:anchor="SENTENCIA_2024_44" w:history="1">
        <w:r w:rsidRPr="00601EEA">
          <w:rPr>
            <w:rStyle w:val="TextoNormalCaracter"/>
          </w:rPr>
          <w:t>44/2024</w:t>
        </w:r>
      </w:hyperlink>
      <w:r>
        <w:t>, f. 3.</w:t>
      </w:r>
    </w:p>
    <w:p w14:paraId="4A6DFD8B" w14:textId="33F28BEB" w:rsidR="00601EEA" w:rsidRDefault="00601EEA" w:rsidP="00601EEA">
      <w:pPr>
        <w:pStyle w:val="SangriaFrancesaArticulo"/>
      </w:pPr>
      <w:r w:rsidRPr="00601EEA">
        <w:rPr>
          <w:rStyle w:val="TextoNormalNegritaCaracter"/>
        </w:rPr>
        <w:t>Artículo 524.</w:t>
      </w:r>
      <w:r w:rsidRPr="00601EEA">
        <w:rPr>
          <w:rStyle w:val="TextoNormalCaracter"/>
        </w:rPr>
        <w:t>-</w:t>
      </w:r>
      <w:r>
        <w:t xml:space="preserve"> Sentencia </w:t>
      </w:r>
      <w:hyperlink w:anchor="SENTENCIA_2024_75" w:history="1">
        <w:r w:rsidRPr="00601EEA">
          <w:rPr>
            <w:rStyle w:val="TextoNormalCaracter"/>
          </w:rPr>
          <w:t>75/2024</w:t>
        </w:r>
      </w:hyperlink>
      <w:r>
        <w:t>, f. 4.</w:t>
      </w:r>
    </w:p>
    <w:p w14:paraId="5EFE1A1C" w14:textId="1B5A9440" w:rsidR="00601EEA" w:rsidRDefault="00601EEA" w:rsidP="00601EEA">
      <w:pPr>
        <w:pStyle w:val="SangriaFrancesaArticulo"/>
      </w:pPr>
      <w:r w:rsidRPr="00601EEA">
        <w:rPr>
          <w:rStyle w:val="TextoNormalNegritaCaracter"/>
        </w:rPr>
        <w:t>Artículo 525.</w:t>
      </w:r>
      <w:r w:rsidRPr="00601EEA">
        <w:rPr>
          <w:rStyle w:val="TextoNormalCaracter"/>
        </w:rPr>
        <w:t>-</w:t>
      </w:r>
      <w:r>
        <w:t xml:space="preserve"> Sentencia </w:t>
      </w:r>
      <w:hyperlink w:anchor="SENTENCIA_2024_75" w:history="1">
        <w:r w:rsidRPr="00601EEA">
          <w:rPr>
            <w:rStyle w:val="TextoNormalCaracter"/>
          </w:rPr>
          <w:t>75/2024</w:t>
        </w:r>
      </w:hyperlink>
      <w:r>
        <w:t>, f. 4.</w:t>
      </w:r>
    </w:p>
    <w:p w14:paraId="08ADC7BE" w14:textId="390768A2" w:rsidR="00601EEA" w:rsidRDefault="00601EEA" w:rsidP="00601EEA">
      <w:pPr>
        <w:pStyle w:val="SangriaFrancesaArticulo"/>
      </w:pPr>
      <w:r w:rsidRPr="00601EEA">
        <w:rPr>
          <w:rStyle w:val="TextoNormalNegritaCaracter"/>
        </w:rPr>
        <w:t>Artículo 543.</w:t>
      </w:r>
      <w:r w:rsidRPr="00601EEA">
        <w:rPr>
          <w:rStyle w:val="TextoNormalCaracter"/>
        </w:rPr>
        <w:t>-</w:t>
      </w:r>
      <w:r>
        <w:t xml:space="preserve"> Sentencia </w:t>
      </w:r>
      <w:hyperlink w:anchor="SENTENCIA_2024_75" w:history="1">
        <w:r w:rsidRPr="00601EEA">
          <w:rPr>
            <w:rStyle w:val="TextoNormalCaracter"/>
          </w:rPr>
          <w:t>75/2024</w:t>
        </w:r>
      </w:hyperlink>
      <w:r>
        <w:t>, f. 4.</w:t>
      </w:r>
    </w:p>
    <w:p w14:paraId="6045CB7A" w14:textId="4A6C0805" w:rsidR="00601EEA" w:rsidRDefault="00601EEA" w:rsidP="00601EEA">
      <w:pPr>
        <w:pStyle w:val="SangriaFrancesaArticulo"/>
      </w:pPr>
      <w:r w:rsidRPr="00601EEA">
        <w:rPr>
          <w:rStyle w:val="TextoNormalNegritaCaracter"/>
        </w:rPr>
        <w:t>Artículo 550.</w:t>
      </w:r>
      <w:r w:rsidRPr="00601EEA">
        <w:rPr>
          <w:rStyle w:val="TextoNormalCaracter"/>
        </w:rPr>
        <w:t>-</w:t>
      </w:r>
      <w:r>
        <w:t xml:space="preserve"> Sentencias </w:t>
      </w:r>
      <w:hyperlink w:anchor="SENTENCIA_2024_8" w:history="1">
        <w:r w:rsidRPr="00601EEA">
          <w:rPr>
            <w:rStyle w:val="TextoNormalCaracter"/>
          </w:rPr>
          <w:t>8/2024</w:t>
        </w:r>
      </w:hyperlink>
      <w:r>
        <w:t xml:space="preserve">, VP I; </w:t>
      </w:r>
      <w:hyperlink w:anchor="SENTENCIA_2024_44" w:history="1">
        <w:r w:rsidRPr="00601EEA">
          <w:rPr>
            <w:rStyle w:val="TextoNormalCaracter"/>
          </w:rPr>
          <w:t>44/2024</w:t>
        </w:r>
      </w:hyperlink>
      <w:r>
        <w:t>, f. 3.</w:t>
      </w:r>
    </w:p>
    <w:p w14:paraId="1153B896" w14:textId="60601FED" w:rsidR="00601EEA" w:rsidRDefault="00601EEA" w:rsidP="00601EEA">
      <w:pPr>
        <w:pStyle w:val="SangriaFrancesaArticulo"/>
      </w:pPr>
      <w:r w:rsidRPr="00601EEA">
        <w:rPr>
          <w:rStyle w:val="TextoNormalNegritaCaracter"/>
        </w:rPr>
        <w:t>Artículo 550.1.</w:t>
      </w:r>
      <w:r w:rsidRPr="00601EEA">
        <w:rPr>
          <w:rStyle w:val="TextoNormalCaracter"/>
        </w:rPr>
        <w:t>-</w:t>
      </w:r>
      <w:r>
        <w:t xml:space="preserve"> Sentencia </w:t>
      </w:r>
      <w:hyperlink w:anchor="SENTENCIA_2024_8" w:history="1">
        <w:r w:rsidRPr="00601EEA">
          <w:rPr>
            <w:rStyle w:val="TextoNormalCaracter"/>
          </w:rPr>
          <w:t>8/2024</w:t>
        </w:r>
      </w:hyperlink>
      <w:r>
        <w:t>, f. 6.</w:t>
      </w:r>
    </w:p>
    <w:p w14:paraId="4369ABC6" w14:textId="599B67DD" w:rsidR="00601EEA" w:rsidRDefault="00601EEA" w:rsidP="00601EEA">
      <w:pPr>
        <w:pStyle w:val="SangriaFrancesaArticulo"/>
      </w:pPr>
      <w:r w:rsidRPr="00601EEA">
        <w:rPr>
          <w:rStyle w:val="TextoNormalNegritaCaracter"/>
        </w:rPr>
        <w:t>Artículo 550.2.</w:t>
      </w:r>
      <w:r w:rsidRPr="00601EEA">
        <w:rPr>
          <w:rStyle w:val="TextoNormalCaracter"/>
        </w:rPr>
        <w:t>-</w:t>
      </w:r>
      <w:r>
        <w:t xml:space="preserve"> Sentencia </w:t>
      </w:r>
      <w:hyperlink w:anchor="SENTENCIA_2024_8" w:history="1">
        <w:r w:rsidRPr="00601EEA">
          <w:rPr>
            <w:rStyle w:val="TextoNormalCaracter"/>
          </w:rPr>
          <w:t>8/2024</w:t>
        </w:r>
      </w:hyperlink>
      <w:r>
        <w:t>, f. 6.</w:t>
      </w:r>
    </w:p>
    <w:p w14:paraId="087DFD21" w14:textId="753B38DB" w:rsidR="00601EEA" w:rsidRDefault="00601EEA" w:rsidP="00601EEA">
      <w:pPr>
        <w:pStyle w:val="SangriaFrancesaArticulo"/>
      </w:pPr>
      <w:r w:rsidRPr="00601EEA">
        <w:rPr>
          <w:rStyle w:val="TextoNormalNegritaCaracter"/>
        </w:rPr>
        <w:t>Artículo 556.</w:t>
      </w:r>
      <w:r w:rsidRPr="00601EEA">
        <w:rPr>
          <w:rStyle w:val="TextoNormalCaracter"/>
        </w:rPr>
        <w:t>-</w:t>
      </w:r>
      <w:r>
        <w:t xml:space="preserve"> Sentencia </w:t>
      </w:r>
      <w:hyperlink w:anchor="SENTENCIA_2024_44" w:history="1">
        <w:r w:rsidRPr="00601EEA">
          <w:rPr>
            <w:rStyle w:val="TextoNormalCaracter"/>
          </w:rPr>
          <w:t>44/2024</w:t>
        </w:r>
      </w:hyperlink>
      <w:r>
        <w:t>, f. 3.</w:t>
      </w:r>
    </w:p>
    <w:p w14:paraId="13CB5D24" w14:textId="6E7246B9" w:rsidR="00601EEA" w:rsidRDefault="00601EEA" w:rsidP="00601EEA">
      <w:pPr>
        <w:pStyle w:val="SangriaFrancesaArticulo"/>
      </w:pPr>
      <w:r w:rsidRPr="00601EEA">
        <w:rPr>
          <w:rStyle w:val="TextoNormalNegritaCaracter"/>
        </w:rPr>
        <w:t>Artículo 607 bis</w:t>
      </w:r>
      <w:r>
        <w:t xml:space="preserve"> (redactado por la Ley Orgánica 15/2003, de 25 de noviembre)</w:t>
      </w:r>
      <w:r w:rsidRPr="00601EEA">
        <w:rPr>
          <w:rStyle w:val="TextoNormalNegritaCaracter"/>
        </w:rPr>
        <w:t>.</w:t>
      </w:r>
      <w:r w:rsidRPr="00601EEA">
        <w:rPr>
          <w:rStyle w:val="TextoNormalCaracter"/>
        </w:rPr>
        <w:t>-</w:t>
      </w:r>
      <w:r>
        <w:t xml:space="preserve"> Auto </w:t>
      </w:r>
      <w:hyperlink w:anchor="AUTO_2024_57" w:history="1">
        <w:r w:rsidRPr="00601EEA">
          <w:rPr>
            <w:rStyle w:val="TextoNormalCaracter"/>
          </w:rPr>
          <w:t>57/2024</w:t>
        </w:r>
      </w:hyperlink>
      <w:r>
        <w:t>, f. 4.</w:t>
      </w:r>
    </w:p>
    <w:p w14:paraId="52BA7A73" w14:textId="56F86F1C" w:rsidR="00601EEA" w:rsidRDefault="00601EEA" w:rsidP="00601EEA">
      <w:pPr>
        <w:pStyle w:val="SangriaFrancesaArticulo"/>
      </w:pPr>
    </w:p>
    <w:p w14:paraId="5119513E" w14:textId="77777777" w:rsidR="00601EEA" w:rsidRDefault="00601EEA" w:rsidP="00601EEA">
      <w:pPr>
        <w:pStyle w:val="TextoNormalNegritaCursivandice"/>
        <w:keepNext/>
      </w:pPr>
      <w:r>
        <w:t>Ley Orgánica 1/1996, de 15 de enero, de protección jurídica del menor, de modificación parcial del Código civil y de la Ley de enjuiciamiento civil</w:t>
      </w:r>
    </w:p>
    <w:p w14:paraId="2A15D45F" w14:textId="5B01AB61"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53" w:history="1">
        <w:r w:rsidRPr="00601EEA">
          <w:rPr>
            <w:rStyle w:val="TextoNormalCaracter"/>
          </w:rPr>
          <w:t>53/2024</w:t>
        </w:r>
      </w:hyperlink>
      <w:r>
        <w:t>, f. 4.</w:t>
      </w:r>
    </w:p>
    <w:p w14:paraId="14120A8C" w14:textId="54E93DA4" w:rsidR="00601EEA" w:rsidRDefault="00601EEA" w:rsidP="00601EEA">
      <w:pPr>
        <w:pStyle w:val="SangriaFrancesaArticulo"/>
      </w:pPr>
      <w:r w:rsidRPr="00601EEA">
        <w:rPr>
          <w:rStyle w:val="TextoNormalNegritaCaracter"/>
        </w:rPr>
        <w:t>Exposición de motivos.</w:t>
      </w:r>
      <w:r w:rsidRPr="00601EEA">
        <w:rPr>
          <w:rStyle w:val="TextoNormalCaracter"/>
        </w:rPr>
        <w:t>-</w:t>
      </w:r>
      <w:r>
        <w:t xml:space="preserve"> Sentencia </w:t>
      </w:r>
      <w:hyperlink w:anchor="SENTENCIA_2024_2" w:history="1">
        <w:r w:rsidRPr="00601EEA">
          <w:rPr>
            <w:rStyle w:val="TextoNormalCaracter"/>
          </w:rPr>
          <w:t>2/2024</w:t>
        </w:r>
      </w:hyperlink>
      <w:r>
        <w:t>, f. 2.</w:t>
      </w:r>
    </w:p>
    <w:p w14:paraId="6C6A413C" w14:textId="539A94D6" w:rsidR="00601EEA" w:rsidRDefault="00601EEA" w:rsidP="00601EEA">
      <w:pPr>
        <w:pStyle w:val="SangriaFrancesaArticulo"/>
      </w:pPr>
      <w:r w:rsidRPr="00601EEA">
        <w:rPr>
          <w:rStyle w:val="TextoNormalNegritaCaracter"/>
        </w:rPr>
        <w:t>Artículo 2.</w:t>
      </w:r>
      <w:r w:rsidRPr="00601EEA">
        <w:rPr>
          <w:rStyle w:val="TextoNormalCaracter"/>
        </w:rPr>
        <w:t>-</w:t>
      </w:r>
      <w:r>
        <w:t xml:space="preserve"> Sentencias </w:t>
      </w:r>
      <w:hyperlink w:anchor="SENTENCIA_2024_2" w:history="1">
        <w:r w:rsidRPr="00601EEA">
          <w:rPr>
            <w:rStyle w:val="TextoNormalCaracter"/>
          </w:rPr>
          <w:t>2/2024</w:t>
        </w:r>
      </w:hyperlink>
      <w:r>
        <w:t xml:space="preserve">, f. 2; </w:t>
      </w:r>
      <w:hyperlink w:anchor="SENTENCIA_2024_26" w:history="1">
        <w:r w:rsidRPr="00601EEA">
          <w:rPr>
            <w:rStyle w:val="TextoNormalCaracter"/>
          </w:rPr>
          <w:t>26/2024</w:t>
        </w:r>
      </w:hyperlink>
      <w:r>
        <w:t xml:space="preserve">, ff. 4, 5; </w:t>
      </w:r>
      <w:hyperlink w:anchor="SENTENCIA_2024_53" w:history="1">
        <w:r w:rsidRPr="00601EEA">
          <w:rPr>
            <w:rStyle w:val="TextoNormalCaracter"/>
          </w:rPr>
          <w:t>53/2024</w:t>
        </w:r>
      </w:hyperlink>
      <w:r>
        <w:t>, f. 4.</w:t>
      </w:r>
    </w:p>
    <w:p w14:paraId="3D4352F3" w14:textId="371C8A23" w:rsidR="00601EEA" w:rsidRDefault="00601EEA" w:rsidP="00601EEA">
      <w:pPr>
        <w:pStyle w:val="SangriaFrancesaArticulo"/>
      </w:pPr>
      <w:r w:rsidRPr="00601EEA">
        <w:rPr>
          <w:rStyle w:val="TextoNormalNegritaCaracter"/>
        </w:rPr>
        <w:t>Artículo 2.1.</w:t>
      </w:r>
      <w:r w:rsidRPr="00601EEA">
        <w:rPr>
          <w:rStyle w:val="TextoNormalCaracter"/>
        </w:rPr>
        <w:t>-</w:t>
      </w:r>
      <w:r>
        <w:t xml:space="preserve"> Sentencia </w:t>
      </w:r>
      <w:hyperlink w:anchor="SENTENCIA_2024_92" w:history="1">
        <w:r w:rsidRPr="00601EEA">
          <w:rPr>
            <w:rStyle w:val="TextoNormalCaracter"/>
          </w:rPr>
          <w:t>92/2024</w:t>
        </w:r>
      </w:hyperlink>
      <w:r>
        <w:t>, f. 6.</w:t>
      </w:r>
    </w:p>
    <w:p w14:paraId="7F8ED794" w14:textId="443DBC8E" w:rsidR="00601EEA" w:rsidRDefault="00601EEA" w:rsidP="00601EEA">
      <w:pPr>
        <w:pStyle w:val="SangriaFrancesaArticulo"/>
      </w:pPr>
      <w:r w:rsidRPr="00601EEA">
        <w:rPr>
          <w:rStyle w:val="TextoNormalNegritaCaracter"/>
        </w:rPr>
        <w:t>Artículo 2.2 b).</w:t>
      </w:r>
      <w:r w:rsidRPr="00601EEA">
        <w:rPr>
          <w:rStyle w:val="TextoNormalCaracter"/>
        </w:rPr>
        <w:t>-</w:t>
      </w:r>
      <w:r>
        <w:t xml:space="preserve"> Sentencia </w:t>
      </w:r>
      <w:hyperlink w:anchor="SENTENCIA_2024_53" w:history="1">
        <w:r w:rsidRPr="00601EEA">
          <w:rPr>
            <w:rStyle w:val="TextoNormalCaracter"/>
          </w:rPr>
          <w:t>53/2024</w:t>
        </w:r>
      </w:hyperlink>
      <w:r>
        <w:t>, ff. 3, 4.</w:t>
      </w:r>
    </w:p>
    <w:p w14:paraId="0CD2D303" w14:textId="0F6B20B1" w:rsidR="00601EEA" w:rsidRDefault="00601EEA" w:rsidP="00601EEA">
      <w:pPr>
        <w:pStyle w:val="SangriaFrancesaArticulo"/>
      </w:pPr>
      <w:r w:rsidRPr="00601EEA">
        <w:rPr>
          <w:rStyle w:val="TextoNormalNegritaCaracter"/>
        </w:rPr>
        <w:t>Artículo 2.2 c).</w:t>
      </w:r>
      <w:r w:rsidRPr="00601EEA">
        <w:rPr>
          <w:rStyle w:val="TextoNormalCaracter"/>
        </w:rPr>
        <w:t>-</w:t>
      </w:r>
      <w:r>
        <w:t xml:space="preserve"> Sentencia </w:t>
      </w:r>
      <w:hyperlink w:anchor="SENTENCIA_2024_53" w:history="1">
        <w:r w:rsidRPr="00601EEA">
          <w:rPr>
            <w:rStyle w:val="TextoNormalCaracter"/>
          </w:rPr>
          <w:t>53/2024</w:t>
        </w:r>
      </w:hyperlink>
      <w:r>
        <w:t>, f. 4.</w:t>
      </w:r>
    </w:p>
    <w:p w14:paraId="781758FB" w14:textId="56B58580" w:rsidR="00601EEA" w:rsidRDefault="00601EEA" w:rsidP="00601EEA">
      <w:pPr>
        <w:pStyle w:val="SangriaFrancesaArticulo"/>
      </w:pPr>
      <w:r w:rsidRPr="00601EEA">
        <w:rPr>
          <w:rStyle w:val="TextoNormalNegritaCaracter"/>
        </w:rPr>
        <w:t>Artículo 2.3 a).</w:t>
      </w:r>
      <w:r w:rsidRPr="00601EEA">
        <w:rPr>
          <w:rStyle w:val="TextoNormalCaracter"/>
        </w:rPr>
        <w:t>-</w:t>
      </w:r>
      <w:r>
        <w:t xml:space="preserve"> Sentencia </w:t>
      </w:r>
      <w:hyperlink w:anchor="SENTENCIA_2024_53" w:history="1">
        <w:r w:rsidRPr="00601EEA">
          <w:rPr>
            <w:rStyle w:val="TextoNormalCaracter"/>
          </w:rPr>
          <w:t>53/2024</w:t>
        </w:r>
      </w:hyperlink>
      <w:r>
        <w:t>, f. 4.</w:t>
      </w:r>
    </w:p>
    <w:p w14:paraId="7E144D10" w14:textId="447A883A" w:rsidR="00601EEA" w:rsidRDefault="00601EEA" w:rsidP="00601EEA">
      <w:pPr>
        <w:pStyle w:val="SangriaFrancesaArticulo"/>
      </w:pPr>
      <w:r w:rsidRPr="00601EEA">
        <w:rPr>
          <w:rStyle w:val="TextoNormalNegritaCaracter"/>
        </w:rPr>
        <w:t>Artículo 2.3 c).</w:t>
      </w:r>
      <w:r w:rsidRPr="00601EEA">
        <w:rPr>
          <w:rStyle w:val="TextoNormalCaracter"/>
        </w:rPr>
        <w:t>-</w:t>
      </w:r>
      <w:r>
        <w:t xml:space="preserve"> Sentencia </w:t>
      </w:r>
      <w:hyperlink w:anchor="SENTENCIA_2024_53" w:history="1">
        <w:r w:rsidRPr="00601EEA">
          <w:rPr>
            <w:rStyle w:val="TextoNormalCaracter"/>
          </w:rPr>
          <w:t>53/2024</w:t>
        </w:r>
      </w:hyperlink>
      <w:r>
        <w:t>, f. 4.</w:t>
      </w:r>
    </w:p>
    <w:p w14:paraId="7D0B8499" w14:textId="382F1BB2" w:rsidR="00601EEA" w:rsidRDefault="00601EEA" w:rsidP="00601EEA">
      <w:pPr>
        <w:pStyle w:val="SangriaFrancesaArticulo"/>
      </w:pPr>
      <w:r w:rsidRPr="00601EEA">
        <w:rPr>
          <w:rStyle w:val="TextoNormalNegritaCaracter"/>
        </w:rPr>
        <w:t>Artículo 2.3 f).</w:t>
      </w:r>
      <w:r w:rsidRPr="00601EEA">
        <w:rPr>
          <w:rStyle w:val="TextoNormalCaracter"/>
        </w:rPr>
        <w:t>-</w:t>
      </w:r>
      <w:r>
        <w:t xml:space="preserve"> Sentencia </w:t>
      </w:r>
      <w:hyperlink w:anchor="SENTENCIA_2024_53" w:history="1">
        <w:r w:rsidRPr="00601EEA">
          <w:rPr>
            <w:rStyle w:val="TextoNormalCaracter"/>
          </w:rPr>
          <w:t>53/2024</w:t>
        </w:r>
      </w:hyperlink>
      <w:r>
        <w:t>, f. 4.</w:t>
      </w:r>
    </w:p>
    <w:p w14:paraId="16761241" w14:textId="50089EFC" w:rsidR="00601EEA" w:rsidRDefault="00601EEA" w:rsidP="00601EEA">
      <w:pPr>
        <w:pStyle w:val="SangriaFrancesaArticulo"/>
      </w:pPr>
      <w:r w:rsidRPr="00601EEA">
        <w:rPr>
          <w:rStyle w:val="TextoNormalNegritaCaracter"/>
        </w:rPr>
        <w:t>Artículo 2.5 d).</w:t>
      </w:r>
      <w:r w:rsidRPr="00601EEA">
        <w:rPr>
          <w:rStyle w:val="TextoNormalCaracter"/>
        </w:rPr>
        <w:t>-</w:t>
      </w:r>
      <w:r>
        <w:t xml:space="preserve"> Sentencia </w:t>
      </w:r>
      <w:hyperlink w:anchor="SENTENCIA_2024_53" w:history="1">
        <w:r w:rsidRPr="00601EEA">
          <w:rPr>
            <w:rStyle w:val="TextoNormalCaracter"/>
          </w:rPr>
          <w:t>53/2024</w:t>
        </w:r>
      </w:hyperlink>
      <w:r>
        <w:t>, f. 4.</w:t>
      </w:r>
    </w:p>
    <w:p w14:paraId="79DE6673" w14:textId="7902F43B" w:rsidR="00601EEA" w:rsidRDefault="00601EEA" w:rsidP="00601EEA">
      <w:pPr>
        <w:pStyle w:val="SangriaFrancesaArticulo"/>
      </w:pPr>
      <w:r w:rsidRPr="00601EEA">
        <w:rPr>
          <w:rStyle w:val="TextoNormalNegritaCaracter"/>
        </w:rPr>
        <w:t>Artículo 6.</w:t>
      </w:r>
      <w:r w:rsidRPr="00601EEA">
        <w:rPr>
          <w:rStyle w:val="TextoNormalCaracter"/>
        </w:rPr>
        <w:t>-</w:t>
      </w:r>
      <w:r>
        <w:t xml:space="preserve"> Sentencia </w:t>
      </w:r>
      <w:hyperlink w:anchor="SENTENCIA_2024_26" w:history="1">
        <w:r w:rsidRPr="00601EEA">
          <w:rPr>
            <w:rStyle w:val="TextoNormalCaracter"/>
          </w:rPr>
          <w:t>26/2024</w:t>
        </w:r>
      </w:hyperlink>
      <w:r>
        <w:t>, f. 2.</w:t>
      </w:r>
    </w:p>
    <w:p w14:paraId="4477B406" w14:textId="776372AA" w:rsidR="00601EEA" w:rsidRDefault="00601EEA" w:rsidP="00601EEA">
      <w:pPr>
        <w:pStyle w:val="SangriaFrancesaArticulo"/>
      </w:pPr>
      <w:r w:rsidRPr="00601EEA">
        <w:rPr>
          <w:rStyle w:val="TextoNormalNegritaCaracter"/>
        </w:rPr>
        <w:lastRenderedPageBreak/>
        <w:t>Artículo 9.</w:t>
      </w:r>
      <w:r w:rsidRPr="00601EEA">
        <w:rPr>
          <w:rStyle w:val="TextoNormalCaracter"/>
        </w:rPr>
        <w:t>-</w:t>
      </w:r>
      <w:r>
        <w:t xml:space="preserve"> Sentencias </w:t>
      </w:r>
      <w:hyperlink w:anchor="SENTENCIA_2024_26" w:history="1">
        <w:r w:rsidRPr="00601EEA">
          <w:rPr>
            <w:rStyle w:val="TextoNormalCaracter"/>
          </w:rPr>
          <w:t>26/2024</w:t>
        </w:r>
      </w:hyperlink>
      <w:r>
        <w:t xml:space="preserve">, VP I; </w:t>
      </w:r>
      <w:hyperlink w:anchor="SENTENCIA_2024_53" w:history="1">
        <w:r w:rsidRPr="00601EEA">
          <w:rPr>
            <w:rStyle w:val="TextoNormalCaracter"/>
          </w:rPr>
          <w:t>53/2024</w:t>
        </w:r>
      </w:hyperlink>
      <w:r>
        <w:t>, f. 3.</w:t>
      </w:r>
    </w:p>
    <w:p w14:paraId="6D319F15" w14:textId="255E52D7" w:rsidR="00601EEA" w:rsidRDefault="00601EEA" w:rsidP="00601EEA">
      <w:pPr>
        <w:pStyle w:val="SangriaFrancesaArticulo"/>
      </w:pPr>
      <w:r w:rsidRPr="00601EEA">
        <w:rPr>
          <w:rStyle w:val="TextoNormalNegritaCaracter"/>
        </w:rPr>
        <w:t>Artículo 11.2.</w:t>
      </w:r>
      <w:r w:rsidRPr="00601EEA">
        <w:rPr>
          <w:rStyle w:val="TextoNormalCaracter"/>
        </w:rPr>
        <w:t>-</w:t>
      </w:r>
      <w:r>
        <w:t xml:space="preserve"> Sentencia </w:t>
      </w:r>
      <w:hyperlink w:anchor="SENTENCIA_2024_2" w:history="1">
        <w:r w:rsidRPr="00601EEA">
          <w:rPr>
            <w:rStyle w:val="TextoNormalCaracter"/>
          </w:rPr>
          <w:t>2/2024</w:t>
        </w:r>
      </w:hyperlink>
      <w:r>
        <w:t>, f. 2.</w:t>
      </w:r>
    </w:p>
    <w:p w14:paraId="60441572" w14:textId="2EF7A2E9" w:rsidR="00601EEA" w:rsidRDefault="00601EEA" w:rsidP="00601EEA">
      <w:pPr>
        <w:pStyle w:val="SangriaFrancesaArticulo"/>
      </w:pPr>
    </w:p>
    <w:p w14:paraId="4CD2FEAD" w14:textId="77777777" w:rsidR="00601EEA" w:rsidRDefault="00601EEA" w:rsidP="00601EEA">
      <w:pPr>
        <w:pStyle w:val="TextoNormalNegritaCursivandice"/>
        <w:keepNext/>
      </w:pPr>
      <w:r>
        <w:t>Ley Orgánica 5/1999, de 13 de enero, de modificación de la Ley de enjuiciamiento criminal en materia de perfeccionamiento de la acción investigadora relacionada con el tráfico ilegal de drogas y otras actividades ilícitas graves</w:t>
      </w:r>
    </w:p>
    <w:p w14:paraId="0C6D4A7D" w14:textId="3646C16F"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87" w:history="1">
        <w:r w:rsidRPr="00601EEA">
          <w:rPr>
            <w:rStyle w:val="TextoNormalCaracter"/>
          </w:rPr>
          <w:t>87/2024</w:t>
        </w:r>
      </w:hyperlink>
      <w:r>
        <w:t>, f. 2, VP II, VP III.</w:t>
      </w:r>
    </w:p>
    <w:p w14:paraId="55712F59" w14:textId="72323D79" w:rsidR="00601EEA" w:rsidRDefault="00601EEA" w:rsidP="00601EEA">
      <w:pPr>
        <w:pStyle w:val="SangriaFrancesaArticulo"/>
      </w:pPr>
    </w:p>
    <w:p w14:paraId="56207329" w14:textId="77777777" w:rsidR="00601EEA" w:rsidRDefault="00601EEA" w:rsidP="00601EEA">
      <w:pPr>
        <w:pStyle w:val="TextoNormalNegritaCursivandice"/>
        <w:keepNext/>
      </w:pPr>
      <w:r>
        <w:t>Ley Orgánica 4/2000, de 11 de enero, sobre derechos y libertades de los extranjeros en España y su integración social</w:t>
      </w:r>
    </w:p>
    <w:p w14:paraId="59B6198B" w14:textId="0B0842B7" w:rsidR="00601EEA" w:rsidRDefault="00601EEA" w:rsidP="00601EEA">
      <w:pPr>
        <w:pStyle w:val="SangriaFrancesaArticulo"/>
      </w:pPr>
      <w:r w:rsidRPr="00601EEA">
        <w:rPr>
          <w:rStyle w:val="TextoNormalNegritaCaracter"/>
        </w:rPr>
        <w:t>Artículo 53.1 a).</w:t>
      </w:r>
      <w:r w:rsidRPr="00601EEA">
        <w:rPr>
          <w:rStyle w:val="TextoNormalCaracter"/>
        </w:rPr>
        <w:t>-</w:t>
      </w:r>
      <w:r>
        <w:t xml:space="preserve"> Sentencia </w:t>
      </w:r>
      <w:hyperlink w:anchor="SENTENCIA_2024_49" w:history="1">
        <w:r w:rsidRPr="00601EEA">
          <w:rPr>
            <w:rStyle w:val="TextoNormalCaracter"/>
          </w:rPr>
          <w:t>49/2024</w:t>
        </w:r>
      </w:hyperlink>
      <w:r>
        <w:t>, ff. 1 a 3.</w:t>
      </w:r>
    </w:p>
    <w:p w14:paraId="11C2554C" w14:textId="101BC9CE" w:rsidR="00601EEA" w:rsidRDefault="00601EEA" w:rsidP="00601EEA">
      <w:pPr>
        <w:pStyle w:val="SangriaFrancesaArticulo"/>
      </w:pPr>
      <w:r w:rsidRPr="00601EEA">
        <w:rPr>
          <w:rStyle w:val="TextoNormalNegritaCaracter"/>
        </w:rPr>
        <w:t>Artículo 55.1 b).</w:t>
      </w:r>
      <w:r w:rsidRPr="00601EEA">
        <w:rPr>
          <w:rStyle w:val="TextoNormalCaracter"/>
        </w:rPr>
        <w:t>-</w:t>
      </w:r>
      <w:r>
        <w:t xml:space="preserve"> Sentencia </w:t>
      </w:r>
      <w:hyperlink w:anchor="SENTENCIA_2024_49" w:history="1">
        <w:r w:rsidRPr="00601EEA">
          <w:rPr>
            <w:rStyle w:val="TextoNormalCaracter"/>
          </w:rPr>
          <w:t>49/2024</w:t>
        </w:r>
      </w:hyperlink>
      <w:r>
        <w:t>, f. 3.</w:t>
      </w:r>
    </w:p>
    <w:p w14:paraId="49B2C888" w14:textId="529BDA05" w:rsidR="00601EEA" w:rsidRDefault="00601EEA" w:rsidP="00601EEA">
      <w:pPr>
        <w:pStyle w:val="SangriaFrancesaArticulo"/>
      </w:pPr>
      <w:r w:rsidRPr="00601EEA">
        <w:rPr>
          <w:rStyle w:val="TextoNormalNegritaCaracter"/>
        </w:rPr>
        <w:t>Artículo 55.3.</w:t>
      </w:r>
      <w:r w:rsidRPr="00601EEA">
        <w:rPr>
          <w:rStyle w:val="TextoNormalCaracter"/>
        </w:rPr>
        <w:t>-</w:t>
      </w:r>
      <w:r>
        <w:t xml:space="preserve"> Sentencia </w:t>
      </w:r>
      <w:hyperlink w:anchor="SENTENCIA_2024_49" w:history="1">
        <w:r w:rsidRPr="00601EEA">
          <w:rPr>
            <w:rStyle w:val="TextoNormalCaracter"/>
          </w:rPr>
          <w:t>49/2024</w:t>
        </w:r>
      </w:hyperlink>
      <w:r>
        <w:t>, f. 3.</w:t>
      </w:r>
    </w:p>
    <w:p w14:paraId="279169BC" w14:textId="3D28CDE2" w:rsidR="00601EEA" w:rsidRDefault="00601EEA" w:rsidP="00601EEA">
      <w:pPr>
        <w:pStyle w:val="SangriaFrancesaArticulo"/>
      </w:pPr>
      <w:r w:rsidRPr="00601EEA">
        <w:rPr>
          <w:rStyle w:val="TextoNormalNegritaCaracter"/>
        </w:rPr>
        <w:t>Artículo 57.1.</w:t>
      </w:r>
      <w:r w:rsidRPr="00601EEA">
        <w:rPr>
          <w:rStyle w:val="TextoNormalCaracter"/>
        </w:rPr>
        <w:t>-</w:t>
      </w:r>
      <w:r>
        <w:t xml:space="preserve"> Sentencia </w:t>
      </w:r>
      <w:hyperlink w:anchor="SENTENCIA_2024_49" w:history="1">
        <w:r w:rsidRPr="00601EEA">
          <w:rPr>
            <w:rStyle w:val="TextoNormalCaracter"/>
          </w:rPr>
          <w:t>49/2024</w:t>
        </w:r>
      </w:hyperlink>
      <w:r>
        <w:t>, ff. 2, 3.</w:t>
      </w:r>
    </w:p>
    <w:p w14:paraId="1C9D1E60" w14:textId="725ED680" w:rsidR="00601EEA" w:rsidRDefault="00601EEA" w:rsidP="00601EEA">
      <w:pPr>
        <w:pStyle w:val="SangriaFrancesaArticulo"/>
      </w:pPr>
      <w:r w:rsidRPr="00601EEA">
        <w:rPr>
          <w:rStyle w:val="TextoNormalNegritaCaracter"/>
        </w:rPr>
        <w:t>Artículo 57.3.</w:t>
      </w:r>
      <w:r w:rsidRPr="00601EEA">
        <w:rPr>
          <w:rStyle w:val="TextoNormalCaracter"/>
        </w:rPr>
        <w:t>-</w:t>
      </w:r>
      <w:r>
        <w:t xml:space="preserve"> Sentencia </w:t>
      </w:r>
      <w:hyperlink w:anchor="SENTENCIA_2024_49" w:history="1">
        <w:r w:rsidRPr="00601EEA">
          <w:rPr>
            <w:rStyle w:val="TextoNormalCaracter"/>
          </w:rPr>
          <w:t>49/2024</w:t>
        </w:r>
      </w:hyperlink>
      <w:r>
        <w:t>, f. 3.</w:t>
      </w:r>
    </w:p>
    <w:p w14:paraId="01288590" w14:textId="0A98A275" w:rsidR="00601EEA" w:rsidRDefault="00601EEA" w:rsidP="00601EEA">
      <w:pPr>
        <w:pStyle w:val="SangriaFrancesaArticulo"/>
      </w:pPr>
    </w:p>
    <w:p w14:paraId="5491E4E2" w14:textId="77777777" w:rsidR="00601EEA" w:rsidRDefault="00601EEA" w:rsidP="00601EEA">
      <w:pPr>
        <w:pStyle w:val="TextoNormalNegritaCursivandice"/>
        <w:keepNext/>
      </w:pPr>
      <w:r>
        <w:t>Ley Orgánica 5/2002, de 19 de junio, de cualificaciones y formación profesional</w:t>
      </w:r>
    </w:p>
    <w:p w14:paraId="6E8794B9" w14:textId="0081FDE0"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63" w:history="1">
        <w:r w:rsidRPr="00601EEA">
          <w:rPr>
            <w:rStyle w:val="TextoNormalCaracter"/>
          </w:rPr>
          <w:t>63/2024</w:t>
        </w:r>
      </w:hyperlink>
      <w:r>
        <w:t>, f. 3.</w:t>
      </w:r>
    </w:p>
    <w:p w14:paraId="3E5AEB71" w14:textId="45CF699E" w:rsidR="00601EEA" w:rsidRDefault="00601EEA" w:rsidP="00601EEA">
      <w:pPr>
        <w:pStyle w:val="SangriaFrancesaArticulo"/>
      </w:pPr>
      <w:r w:rsidRPr="00601EEA">
        <w:rPr>
          <w:rStyle w:val="TextoNormalNegritaCaracter"/>
        </w:rPr>
        <w:t>Disposición derogatoria única, apartado primero.</w:t>
      </w:r>
      <w:r w:rsidRPr="00601EEA">
        <w:rPr>
          <w:rStyle w:val="TextoNormalCaracter"/>
        </w:rPr>
        <w:t>-</w:t>
      </w:r>
      <w:r>
        <w:t xml:space="preserve"> Sentencia </w:t>
      </w:r>
      <w:hyperlink w:anchor="SENTENCIA_2024_63" w:history="1">
        <w:r w:rsidRPr="00601EEA">
          <w:rPr>
            <w:rStyle w:val="TextoNormalCaracter"/>
          </w:rPr>
          <w:t>63/2024</w:t>
        </w:r>
      </w:hyperlink>
      <w:r>
        <w:t>, f. 3.</w:t>
      </w:r>
    </w:p>
    <w:p w14:paraId="7AB8ECAF" w14:textId="235CE8C7" w:rsidR="00601EEA" w:rsidRDefault="00601EEA" w:rsidP="00601EEA">
      <w:pPr>
        <w:pStyle w:val="SangriaFrancesaArticulo"/>
      </w:pPr>
    </w:p>
    <w:p w14:paraId="0ACCCA3C" w14:textId="77777777" w:rsidR="00601EEA" w:rsidRDefault="00601EEA" w:rsidP="00601EEA">
      <w:pPr>
        <w:pStyle w:val="TextoNormalNegritaCursivandice"/>
        <w:keepNext/>
      </w:pPr>
      <w:r>
        <w:t>Ley Orgánica 6/2002, de 27 de junio, de partidos políticos</w:t>
      </w:r>
    </w:p>
    <w:p w14:paraId="35291C73" w14:textId="278EAC49"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44" w:history="1">
        <w:r w:rsidRPr="00601EEA">
          <w:rPr>
            <w:rStyle w:val="TextoNormalCaracter"/>
          </w:rPr>
          <w:t>44/2024</w:t>
        </w:r>
      </w:hyperlink>
      <w:r>
        <w:t>, f. 5.</w:t>
      </w:r>
    </w:p>
    <w:p w14:paraId="4BBA4D26" w14:textId="7BD0B3D1" w:rsidR="00601EEA" w:rsidRDefault="00601EEA" w:rsidP="00601EEA">
      <w:pPr>
        <w:pStyle w:val="SangriaFrancesaArticulo"/>
      </w:pPr>
      <w:r w:rsidRPr="00601EEA">
        <w:rPr>
          <w:rStyle w:val="TextoNormalNegritaCaracter"/>
        </w:rPr>
        <w:t>Artículo 13.</w:t>
      </w:r>
      <w:r w:rsidRPr="00601EEA">
        <w:rPr>
          <w:rStyle w:val="TextoNormalCaracter"/>
        </w:rPr>
        <w:t>-</w:t>
      </w:r>
      <w:r>
        <w:t xml:space="preserve"> Sentencia </w:t>
      </w:r>
      <w:hyperlink w:anchor="SENTENCIA_2024_44" w:history="1">
        <w:r w:rsidRPr="00601EEA">
          <w:rPr>
            <w:rStyle w:val="TextoNormalCaracter"/>
          </w:rPr>
          <w:t>44/2024</w:t>
        </w:r>
      </w:hyperlink>
      <w:r>
        <w:t>, f. 5.</w:t>
      </w:r>
    </w:p>
    <w:p w14:paraId="2F4990CC" w14:textId="3444BAAD" w:rsidR="00601EEA" w:rsidRDefault="00601EEA" w:rsidP="00601EEA">
      <w:pPr>
        <w:pStyle w:val="SangriaFrancesaArticulo"/>
      </w:pPr>
    </w:p>
    <w:p w14:paraId="4843F21E" w14:textId="77777777" w:rsidR="00601EEA" w:rsidRDefault="00601EEA" w:rsidP="00601EEA">
      <w:pPr>
        <w:pStyle w:val="TextoNormalNegritaCursivandice"/>
        <w:keepNext/>
      </w:pPr>
      <w:r>
        <w:t>Ley Orgánica 10/2002, de 23 de diciembre, de calidad de la educación</w:t>
      </w:r>
    </w:p>
    <w:p w14:paraId="66186F7C" w14:textId="44F927E2" w:rsidR="00601EEA" w:rsidRDefault="00601EEA" w:rsidP="00601EEA">
      <w:pPr>
        <w:pStyle w:val="SangriaFrancesaArticulo"/>
      </w:pPr>
      <w:r w:rsidRPr="00601EEA">
        <w:rPr>
          <w:rStyle w:val="TextoNormalNegritaCaracter"/>
        </w:rPr>
        <w:t>Artículo 75.</w:t>
      </w:r>
      <w:r w:rsidRPr="00601EEA">
        <w:rPr>
          <w:rStyle w:val="TextoNormalCaracter"/>
        </w:rPr>
        <w:t>-</w:t>
      </w:r>
      <w:r>
        <w:t xml:space="preserve"> Sentencia </w:t>
      </w:r>
      <w:hyperlink w:anchor="SENTENCIA_2024_89" w:history="1">
        <w:r w:rsidRPr="00601EEA">
          <w:rPr>
            <w:rStyle w:val="TextoNormalCaracter"/>
          </w:rPr>
          <w:t>89/2024</w:t>
        </w:r>
      </w:hyperlink>
      <w:r>
        <w:t>, VP I.</w:t>
      </w:r>
    </w:p>
    <w:p w14:paraId="78721F5D" w14:textId="4D2A2D4B" w:rsidR="00601EEA" w:rsidRDefault="00601EEA" w:rsidP="00601EEA">
      <w:pPr>
        <w:pStyle w:val="SangriaFrancesaArticulo"/>
      </w:pPr>
    </w:p>
    <w:p w14:paraId="5082A72E" w14:textId="77777777" w:rsidR="00601EEA" w:rsidRDefault="00601EEA" w:rsidP="00601EEA">
      <w:pPr>
        <w:pStyle w:val="TextoNormalNegritaCursivandice"/>
        <w:keepNext/>
      </w:pPr>
      <w:r>
        <w:t>Ley Orgánica 15/2003, de 25 de noviembre, por la que se modifica la Ley Orgánica 10/1995, de 23 de noviembre, del Código penal</w:t>
      </w:r>
    </w:p>
    <w:p w14:paraId="0F0C391C" w14:textId="68AB3E68" w:rsidR="00601EEA" w:rsidRDefault="00601EEA" w:rsidP="00601EEA">
      <w:pPr>
        <w:pStyle w:val="SangriaFrancesaArticulo"/>
        <w:keepNext/>
      </w:pPr>
      <w:r w:rsidRPr="00601EEA">
        <w:rPr>
          <w:rStyle w:val="TextoNormalNegritaCaracter"/>
        </w:rPr>
        <w:t>En general.</w:t>
      </w:r>
      <w:r w:rsidRPr="00601EEA">
        <w:rPr>
          <w:rStyle w:val="TextoNormalCaracter"/>
        </w:rPr>
        <w:t>-</w:t>
      </w:r>
      <w:r>
        <w:t xml:space="preserve"> Sentencia </w:t>
      </w:r>
      <w:hyperlink w:anchor="SENTENCIA_2024_87" w:history="1">
        <w:r w:rsidRPr="00601EEA">
          <w:rPr>
            <w:rStyle w:val="TextoNormalCaracter"/>
          </w:rPr>
          <w:t>87/2024</w:t>
        </w:r>
      </w:hyperlink>
      <w:r>
        <w:t>, VP II.</w:t>
      </w:r>
    </w:p>
    <w:p w14:paraId="6B94EABF" w14:textId="6739B216" w:rsidR="00601EEA" w:rsidRDefault="00601EEA" w:rsidP="00601EEA">
      <w:pPr>
        <w:pStyle w:val="SangriaIzquierdaArticulo"/>
      </w:pPr>
      <w:r>
        <w:t xml:space="preserve">Auto </w:t>
      </w:r>
      <w:hyperlink w:anchor="AUTO_2024_57" w:history="1">
        <w:r w:rsidRPr="00601EEA">
          <w:rPr>
            <w:rStyle w:val="TextoNormalCaracter"/>
          </w:rPr>
          <w:t>57/2024</w:t>
        </w:r>
      </w:hyperlink>
      <w:r>
        <w:t>, f. 4.</w:t>
      </w:r>
    </w:p>
    <w:p w14:paraId="0F374C5F" w14:textId="5779829F" w:rsidR="00601EEA" w:rsidRDefault="00601EEA" w:rsidP="00601EEA">
      <w:pPr>
        <w:pStyle w:val="SangriaIzquierdaArticulo"/>
      </w:pPr>
    </w:p>
    <w:p w14:paraId="1192CE18" w14:textId="77777777" w:rsidR="00601EEA" w:rsidRDefault="00601EEA" w:rsidP="00601EEA">
      <w:pPr>
        <w:pStyle w:val="TextoNormalNegritaCursivandice"/>
        <w:keepNext/>
      </w:pPr>
      <w:r>
        <w:t>Ley Orgánica 19/2003, de 23 de diciembre, de modificación de la Ley Orgánica 6/1985, de 1 de julio, del Poder Judicial</w:t>
      </w:r>
    </w:p>
    <w:p w14:paraId="63B4FD23" w14:textId="20A9C8FB"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80" w:history="1">
        <w:r w:rsidRPr="00601EEA">
          <w:rPr>
            <w:rStyle w:val="TextoNormalCaracter"/>
          </w:rPr>
          <w:t>80/2024</w:t>
        </w:r>
      </w:hyperlink>
      <w:r>
        <w:t>, f. 4.</w:t>
      </w:r>
    </w:p>
    <w:p w14:paraId="3F89FCD5" w14:textId="2BB54215" w:rsidR="00601EEA" w:rsidRDefault="00601EEA" w:rsidP="00601EEA">
      <w:pPr>
        <w:pStyle w:val="SangriaFrancesaArticulo"/>
      </w:pPr>
    </w:p>
    <w:p w14:paraId="6E9444D6" w14:textId="77777777" w:rsidR="00601EEA" w:rsidRDefault="00601EEA" w:rsidP="00601EEA">
      <w:pPr>
        <w:pStyle w:val="TextoNormalNegritaCursivandice"/>
        <w:keepNext/>
      </w:pPr>
      <w:r>
        <w:t>Ley Orgánica 1/2004, de 28 de diciembre, de medidas de protección integral contra la violencia de género</w:t>
      </w:r>
    </w:p>
    <w:p w14:paraId="18EA9FDB" w14:textId="339B5499"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Sentencias </w:t>
      </w:r>
      <w:hyperlink w:anchor="SENTENCIA_2024_44" w:history="1">
        <w:r w:rsidRPr="00601EEA">
          <w:rPr>
            <w:rStyle w:val="TextoNormalCaracter"/>
          </w:rPr>
          <w:t>44/2024</w:t>
        </w:r>
      </w:hyperlink>
      <w:r>
        <w:t xml:space="preserve">, f. 3, VP I; </w:t>
      </w:r>
      <w:hyperlink w:anchor="SENTENCIA_2024_89" w:history="1">
        <w:r w:rsidRPr="00601EEA">
          <w:rPr>
            <w:rStyle w:val="TextoNormalCaracter"/>
          </w:rPr>
          <w:t>89/2024</w:t>
        </w:r>
      </w:hyperlink>
      <w:r>
        <w:t>, f. 2.</w:t>
      </w:r>
    </w:p>
    <w:p w14:paraId="4408EB5D" w14:textId="4115F3CD" w:rsidR="00601EEA" w:rsidRDefault="00601EEA" w:rsidP="00601EEA">
      <w:pPr>
        <w:pStyle w:val="SangriaFrancesaArticulo"/>
      </w:pPr>
      <w:r w:rsidRPr="00601EEA">
        <w:rPr>
          <w:rStyle w:val="TextoNormalNegritaCaracter"/>
        </w:rPr>
        <w:t>Artículo 1.1.</w:t>
      </w:r>
      <w:r w:rsidRPr="00601EEA">
        <w:rPr>
          <w:rStyle w:val="TextoNormalCaracter"/>
        </w:rPr>
        <w:t>-</w:t>
      </w:r>
      <w:r>
        <w:t xml:space="preserve"> Sentencia </w:t>
      </w:r>
      <w:hyperlink w:anchor="SENTENCIA_2024_44" w:history="1">
        <w:r w:rsidRPr="00601EEA">
          <w:rPr>
            <w:rStyle w:val="TextoNormalCaracter"/>
          </w:rPr>
          <w:t>44/2024</w:t>
        </w:r>
      </w:hyperlink>
      <w:r>
        <w:t>, f. 3.</w:t>
      </w:r>
    </w:p>
    <w:p w14:paraId="1EB9EA3A" w14:textId="3C1320FA" w:rsidR="00601EEA" w:rsidRDefault="00601EEA" w:rsidP="00601EEA">
      <w:pPr>
        <w:pStyle w:val="SangriaFrancesaArticulo"/>
      </w:pPr>
      <w:r w:rsidRPr="00601EEA">
        <w:rPr>
          <w:rStyle w:val="TextoNormalNegritaCaracter"/>
        </w:rPr>
        <w:t>Artículo 1.4.</w:t>
      </w:r>
      <w:r w:rsidRPr="00601EEA">
        <w:rPr>
          <w:rStyle w:val="TextoNormalCaracter"/>
        </w:rPr>
        <w:t>-</w:t>
      </w:r>
      <w:r>
        <w:t xml:space="preserve"> Sentencia </w:t>
      </w:r>
      <w:hyperlink w:anchor="SENTENCIA_2024_44" w:history="1">
        <w:r w:rsidRPr="00601EEA">
          <w:rPr>
            <w:rStyle w:val="TextoNormalCaracter"/>
          </w:rPr>
          <w:t>44/2024</w:t>
        </w:r>
      </w:hyperlink>
      <w:r>
        <w:t>, f. 3.</w:t>
      </w:r>
    </w:p>
    <w:p w14:paraId="36F23D5F" w14:textId="601C1552" w:rsidR="00601EEA" w:rsidRDefault="00601EEA" w:rsidP="00601EEA">
      <w:pPr>
        <w:pStyle w:val="SangriaFrancesaArticulo"/>
      </w:pPr>
      <w:r w:rsidRPr="00601EEA">
        <w:rPr>
          <w:rStyle w:val="TextoNormalNegritaCaracter"/>
        </w:rPr>
        <w:t>Artículo 3.1 a).</w:t>
      </w:r>
      <w:r w:rsidRPr="00601EEA">
        <w:rPr>
          <w:rStyle w:val="TextoNormalCaracter"/>
        </w:rPr>
        <w:t>-</w:t>
      </w:r>
      <w:r>
        <w:t xml:space="preserve"> Sentencia </w:t>
      </w:r>
      <w:hyperlink w:anchor="SENTENCIA_2024_89" w:history="1">
        <w:r w:rsidRPr="00601EEA">
          <w:rPr>
            <w:rStyle w:val="TextoNormalCaracter"/>
          </w:rPr>
          <w:t>89/2024</w:t>
        </w:r>
      </w:hyperlink>
      <w:r>
        <w:t>, f. 2.</w:t>
      </w:r>
    </w:p>
    <w:p w14:paraId="1D6A3B26" w14:textId="0F6BD5B5" w:rsidR="00601EEA" w:rsidRDefault="00601EEA" w:rsidP="00601EEA">
      <w:pPr>
        <w:pStyle w:val="SangriaFrancesaArticulo"/>
      </w:pPr>
    </w:p>
    <w:p w14:paraId="0C2370E0" w14:textId="77777777" w:rsidR="00601EEA" w:rsidRDefault="00601EEA" w:rsidP="00601EEA">
      <w:pPr>
        <w:pStyle w:val="TextoNormalNegritaCursivandice"/>
        <w:keepNext/>
      </w:pPr>
      <w:r>
        <w:t>Ley Orgánica 2/2006, de 3 de mayo, de educación</w:t>
      </w:r>
    </w:p>
    <w:p w14:paraId="37341D89" w14:textId="00C137ED" w:rsidR="00601EEA" w:rsidRDefault="00601EEA" w:rsidP="00601EEA">
      <w:pPr>
        <w:pStyle w:val="SangriaFrancesaArticulo"/>
      </w:pPr>
      <w:r w:rsidRPr="00601EEA">
        <w:rPr>
          <w:rStyle w:val="TextoNormalNegritaCaracter"/>
        </w:rPr>
        <w:t>Artículo 22.3</w:t>
      </w:r>
      <w:r>
        <w:t xml:space="preserve"> (redactado por la Ley Orgánica 3/2020, de 29 de diciembre)</w:t>
      </w:r>
      <w:r w:rsidRPr="00601EEA">
        <w:rPr>
          <w:rStyle w:val="TextoNormalNegritaCaracter"/>
        </w:rPr>
        <w:t>.</w:t>
      </w:r>
      <w:r w:rsidRPr="00601EEA">
        <w:rPr>
          <w:rStyle w:val="TextoNormalCaracter"/>
        </w:rPr>
        <w:t>-</w:t>
      </w:r>
      <w:r>
        <w:t xml:space="preserve"> Sentencia </w:t>
      </w:r>
      <w:hyperlink w:anchor="SENTENCIA_2024_89" w:history="1">
        <w:r w:rsidRPr="00601EEA">
          <w:rPr>
            <w:rStyle w:val="TextoNormalCaracter"/>
          </w:rPr>
          <w:t>89/2024</w:t>
        </w:r>
      </w:hyperlink>
      <w:r>
        <w:t>, f. 2.</w:t>
      </w:r>
    </w:p>
    <w:p w14:paraId="713CACEE" w14:textId="74BF5003" w:rsidR="00601EEA" w:rsidRDefault="00601EEA" w:rsidP="00601EEA">
      <w:pPr>
        <w:pStyle w:val="SangriaFrancesaArticulo"/>
      </w:pPr>
      <w:r w:rsidRPr="00601EEA">
        <w:rPr>
          <w:rStyle w:val="TextoNormalNegritaCaracter"/>
        </w:rPr>
        <w:lastRenderedPageBreak/>
        <w:t>Artículo 35.1</w:t>
      </w:r>
      <w:r>
        <w:t xml:space="preserve"> (redactado por la Ley Orgánica 3/2020, de 29 de diciembre)</w:t>
      </w:r>
      <w:r w:rsidRPr="00601EEA">
        <w:rPr>
          <w:rStyle w:val="TextoNormalNegritaCaracter"/>
        </w:rPr>
        <w:t>.</w:t>
      </w:r>
      <w:r w:rsidRPr="00601EEA">
        <w:rPr>
          <w:rStyle w:val="TextoNormalCaracter"/>
        </w:rPr>
        <w:t>-</w:t>
      </w:r>
      <w:r>
        <w:t xml:space="preserve"> Sentencia </w:t>
      </w:r>
      <w:hyperlink w:anchor="SENTENCIA_2024_89" w:history="1">
        <w:r w:rsidRPr="00601EEA">
          <w:rPr>
            <w:rStyle w:val="TextoNormalCaracter"/>
          </w:rPr>
          <w:t>89/2024</w:t>
        </w:r>
      </w:hyperlink>
      <w:r>
        <w:t>, f. 2.</w:t>
      </w:r>
    </w:p>
    <w:p w14:paraId="6838762B" w14:textId="636DAFAE" w:rsidR="00601EEA" w:rsidRDefault="00601EEA" w:rsidP="00601EEA">
      <w:pPr>
        <w:pStyle w:val="SangriaFrancesaArticulo"/>
      </w:pPr>
      <w:r w:rsidRPr="00601EEA">
        <w:rPr>
          <w:rStyle w:val="TextoNormalNegritaCaracter"/>
        </w:rPr>
        <w:t>Artículo 116.</w:t>
      </w:r>
      <w:r w:rsidRPr="00601EEA">
        <w:rPr>
          <w:rStyle w:val="TextoNormalCaracter"/>
        </w:rPr>
        <w:t>-</w:t>
      </w:r>
      <w:r>
        <w:t xml:space="preserve"> Sentencia </w:t>
      </w:r>
      <w:hyperlink w:anchor="SENTENCIA_2024_89" w:history="1">
        <w:r w:rsidRPr="00601EEA">
          <w:rPr>
            <w:rStyle w:val="TextoNormalCaracter"/>
          </w:rPr>
          <w:t>89/2024</w:t>
        </w:r>
      </w:hyperlink>
      <w:r>
        <w:t>, VP I.</w:t>
      </w:r>
    </w:p>
    <w:p w14:paraId="0E1A7AF9" w14:textId="3F7D4D64" w:rsidR="00601EEA" w:rsidRDefault="00601EEA" w:rsidP="00601EEA">
      <w:pPr>
        <w:pStyle w:val="SangriaFrancesaArticulo"/>
      </w:pPr>
      <w:r w:rsidRPr="00601EEA">
        <w:rPr>
          <w:rStyle w:val="TextoNormalNegritaCaracter"/>
        </w:rPr>
        <w:t>Artículo 116</w:t>
      </w:r>
      <w:r>
        <w:t xml:space="preserve"> (redactado por la Ley Orgánica 3/2020, de 29 de diciembre)</w:t>
      </w:r>
      <w:r w:rsidRPr="00601EEA">
        <w:rPr>
          <w:rStyle w:val="TextoNormalNegritaCaracter"/>
        </w:rPr>
        <w:t>.</w:t>
      </w:r>
      <w:r w:rsidRPr="00601EEA">
        <w:rPr>
          <w:rStyle w:val="TextoNormalCaracter"/>
        </w:rPr>
        <w:t>-</w:t>
      </w:r>
      <w:r>
        <w:t xml:space="preserve"> Sentencia </w:t>
      </w:r>
      <w:hyperlink w:anchor="SENTENCIA_2024_26" w:history="1">
        <w:r w:rsidRPr="00601EEA">
          <w:rPr>
            <w:rStyle w:val="TextoNormalCaracter"/>
          </w:rPr>
          <w:t>26/2024</w:t>
        </w:r>
      </w:hyperlink>
      <w:r>
        <w:t>, VP I.</w:t>
      </w:r>
    </w:p>
    <w:p w14:paraId="2345789B" w14:textId="29C858B7" w:rsidR="00601EEA" w:rsidRDefault="00601EEA" w:rsidP="00601EEA">
      <w:pPr>
        <w:pStyle w:val="SangriaFrancesaArticulo"/>
      </w:pPr>
      <w:r w:rsidRPr="00601EEA">
        <w:rPr>
          <w:rStyle w:val="TextoNormalNegritaCaracter"/>
        </w:rPr>
        <w:t>Artículo 177.</w:t>
      </w:r>
      <w:r w:rsidRPr="00601EEA">
        <w:rPr>
          <w:rStyle w:val="TextoNormalCaracter"/>
        </w:rPr>
        <w:t>-</w:t>
      </w:r>
      <w:r>
        <w:t xml:space="preserve"> Sentencia </w:t>
      </w:r>
      <w:hyperlink w:anchor="SENTENCIA_2024_89" w:history="1">
        <w:r w:rsidRPr="00601EEA">
          <w:rPr>
            <w:rStyle w:val="TextoNormalCaracter"/>
          </w:rPr>
          <w:t>89/2024</w:t>
        </w:r>
      </w:hyperlink>
      <w:r>
        <w:t>, VP I.</w:t>
      </w:r>
    </w:p>
    <w:p w14:paraId="73C1CDAB" w14:textId="103CD4F1" w:rsidR="00601EEA" w:rsidRDefault="00601EEA" w:rsidP="00601EEA">
      <w:pPr>
        <w:pStyle w:val="SangriaFrancesaArticulo"/>
      </w:pPr>
      <w:r w:rsidRPr="00601EEA">
        <w:rPr>
          <w:rStyle w:val="TextoNormalNegritaCaracter"/>
        </w:rPr>
        <w:t>Disposición adicional vigesimoquinta.</w:t>
      </w:r>
      <w:r w:rsidRPr="00601EEA">
        <w:rPr>
          <w:rStyle w:val="TextoNormalCaracter"/>
        </w:rPr>
        <w:t>-</w:t>
      </w:r>
      <w:r>
        <w:t xml:space="preserve"> Sentencia </w:t>
      </w:r>
      <w:hyperlink w:anchor="SENTENCIA_2024_89" w:history="1">
        <w:r w:rsidRPr="00601EEA">
          <w:rPr>
            <w:rStyle w:val="TextoNormalCaracter"/>
          </w:rPr>
          <w:t>89/2024</w:t>
        </w:r>
      </w:hyperlink>
      <w:r>
        <w:t>, f. 4.</w:t>
      </w:r>
    </w:p>
    <w:p w14:paraId="4F6CC39A" w14:textId="1A98D220" w:rsidR="00601EEA" w:rsidRDefault="00601EEA" w:rsidP="00601EEA">
      <w:pPr>
        <w:pStyle w:val="SangriaFrancesaArticulo"/>
      </w:pPr>
    </w:p>
    <w:p w14:paraId="762DDC11" w14:textId="77777777" w:rsidR="00601EEA" w:rsidRDefault="00601EEA" w:rsidP="00601EEA">
      <w:pPr>
        <w:pStyle w:val="TextoNormalNegritaCursivandice"/>
        <w:keepNext/>
      </w:pPr>
      <w:r>
        <w:t>Ley Orgánica 3/2007, de 22 de marzo, para la igualdad efectiva de mujeres y hombres</w:t>
      </w:r>
    </w:p>
    <w:p w14:paraId="23308311" w14:textId="28E8A015"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Sentencias </w:t>
      </w:r>
      <w:hyperlink w:anchor="SENTENCIA_2024_89" w:history="1">
        <w:r w:rsidRPr="00601EEA">
          <w:rPr>
            <w:rStyle w:val="TextoNormalCaracter"/>
          </w:rPr>
          <w:t>89/2024</w:t>
        </w:r>
      </w:hyperlink>
      <w:r>
        <w:t xml:space="preserve">, f. 2, VP II; </w:t>
      </w:r>
      <w:hyperlink w:anchor="SENTENCIA_2024_92" w:history="1">
        <w:r w:rsidRPr="00601EEA">
          <w:rPr>
            <w:rStyle w:val="TextoNormalCaracter"/>
          </w:rPr>
          <w:t>92/2024</w:t>
        </w:r>
      </w:hyperlink>
      <w:r>
        <w:t>, f. 6, VP III.</w:t>
      </w:r>
    </w:p>
    <w:p w14:paraId="388DBD09" w14:textId="54CA36E3" w:rsidR="00601EEA" w:rsidRDefault="00601EEA" w:rsidP="00601EEA">
      <w:pPr>
        <w:pStyle w:val="SangriaFrancesaArticulo"/>
      </w:pPr>
      <w:r w:rsidRPr="00601EEA">
        <w:rPr>
          <w:rStyle w:val="TextoNormalNegritaCaracter"/>
        </w:rPr>
        <w:t>Artículo 4.</w:t>
      </w:r>
      <w:r w:rsidRPr="00601EEA">
        <w:rPr>
          <w:rStyle w:val="TextoNormalCaracter"/>
        </w:rPr>
        <w:t>-</w:t>
      </w:r>
      <w:r>
        <w:t xml:space="preserve"> Sentencias </w:t>
      </w:r>
      <w:hyperlink w:anchor="SENTENCIA_2024_48" w:history="1">
        <w:r w:rsidRPr="00601EEA">
          <w:rPr>
            <w:rStyle w:val="TextoNormalCaracter"/>
          </w:rPr>
          <w:t>48/2024</w:t>
        </w:r>
      </w:hyperlink>
      <w:r>
        <w:t xml:space="preserve">, f. 4, VP I; </w:t>
      </w:r>
      <w:hyperlink w:anchor="SENTENCIA_2024_92" w:history="1">
        <w:r w:rsidRPr="00601EEA">
          <w:rPr>
            <w:rStyle w:val="TextoNormalCaracter"/>
          </w:rPr>
          <w:t>92/2024</w:t>
        </w:r>
      </w:hyperlink>
      <w:r>
        <w:t>, f. 3.</w:t>
      </w:r>
    </w:p>
    <w:p w14:paraId="077ACABA" w14:textId="0CBFE3AB" w:rsidR="00601EEA" w:rsidRDefault="00601EEA" w:rsidP="00601EEA">
      <w:pPr>
        <w:pStyle w:val="SangriaFrancesaArticulo"/>
      </w:pPr>
    </w:p>
    <w:p w14:paraId="1DB5872A" w14:textId="77777777" w:rsidR="00601EEA" w:rsidRDefault="00601EEA" w:rsidP="00601EEA">
      <w:pPr>
        <w:pStyle w:val="TextoNormalNegritaCursivandice"/>
        <w:keepNext/>
      </w:pPr>
      <w:r>
        <w:t>Ley Orgánica 8/2007, de 4 de julio, sobre financiación de los partidos políticos</w:t>
      </w:r>
    </w:p>
    <w:p w14:paraId="03AC6228" w14:textId="16838BAF"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74" w:history="1">
        <w:r w:rsidRPr="00601EEA">
          <w:rPr>
            <w:rStyle w:val="TextoNormalCaracter"/>
          </w:rPr>
          <w:t>74/2024</w:t>
        </w:r>
      </w:hyperlink>
      <w:r>
        <w:t>, f. 1.</w:t>
      </w:r>
    </w:p>
    <w:p w14:paraId="548504CB" w14:textId="041F3829" w:rsidR="00601EEA" w:rsidRDefault="00601EEA" w:rsidP="00601EEA">
      <w:pPr>
        <w:pStyle w:val="SangriaFrancesaArticulo"/>
      </w:pPr>
      <w:r w:rsidRPr="00601EEA">
        <w:rPr>
          <w:rStyle w:val="TextoNormalNegritaCaracter"/>
        </w:rPr>
        <w:t>Exposición de motivos.</w:t>
      </w:r>
      <w:r w:rsidRPr="00601EEA">
        <w:rPr>
          <w:rStyle w:val="TextoNormalCaracter"/>
        </w:rPr>
        <w:t>-</w:t>
      </w:r>
      <w:r>
        <w:t xml:space="preserve"> Sentencia </w:t>
      </w:r>
      <w:hyperlink w:anchor="SENTENCIA_2024_69" w:history="1">
        <w:r w:rsidRPr="00601EEA">
          <w:rPr>
            <w:rStyle w:val="TextoNormalCaracter"/>
          </w:rPr>
          <w:t>69/2024</w:t>
        </w:r>
      </w:hyperlink>
      <w:r>
        <w:t>, f. 4.</w:t>
      </w:r>
    </w:p>
    <w:p w14:paraId="3CC99C89" w14:textId="09E36AAA" w:rsidR="00601EEA" w:rsidRDefault="00601EEA" w:rsidP="00601EEA">
      <w:pPr>
        <w:pStyle w:val="SangriaFrancesaArticulo"/>
      </w:pPr>
      <w:r w:rsidRPr="00601EEA">
        <w:rPr>
          <w:rStyle w:val="TextoNormalNegritaCaracter"/>
        </w:rPr>
        <w:t>Artículo 17.</w:t>
      </w:r>
      <w:r w:rsidRPr="00601EEA">
        <w:rPr>
          <w:rStyle w:val="TextoNormalCaracter"/>
        </w:rPr>
        <w:t>-</w:t>
      </w:r>
      <w:r>
        <w:t xml:space="preserve"> Sentencia </w:t>
      </w:r>
      <w:hyperlink w:anchor="SENTENCIA_2024_69" w:history="1">
        <w:r w:rsidRPr="00601EEA">
          <w:rPr>
            <w:rStyle w:val="TextoNormalCaracter"/>
          </w:rPr>
          <w:t>69/2024</w:t>
        </w:r>
      </w:hyperlink>
      <w:r>
        <w:t>, f. 5.</w:t>
      </w:r>
    </w:p>
    <w:p w14:paraId="771EDDA1" w14:textId="60B12EBA" w:rsidR="00601EEA" w:rsidRDefault="00601EEA" w:rsidP="00601EEA">
      <w:pPr>
        <w:pStyle w:val="SangriaFrancesaArticulo"/>
      </w:pPr>
      <w:r w:rsidRPr="00601EEA">
        <w:rPr>
          <w:rStyle w:val="TextoNormalNegritaCaracter"/>
        </w:rPr>
        <w:t>Artículo 17 bis</w:t>
      </w:r>
      <w:r>
        <w:t xml:space="preserve"> (redactado por la Ley Orgánica 3/2015, de 30 de marzo)</w:t>
      </w:r>
      <w:r w:rsidRPr="00601EEA">
        <w:rPr>
          <w:rStyle w:val="TextoNormalNegritaCaracter"/>
        </w:rPr>
        <w:t>.</w:t>
      </w:r>
      <w:r w:rsidRPr="00601EEA">
        <w:rPr>
          <w:rStyle w:val="TextoNormalCaracter"/>
        </w:rPr>
        <w:t>-</w:t>
      </w:r>
      <w:r>
        <w:t xml:space="preserve"> Sentencia </w:t>
      </w:r>
      <w:hyperlink w:anchor="SENTENCIA_2024_69" w:history="1">
        <w:r w:rsidRPr="00601EEA">
          <w:rPr>
            <w:rStyle w:val="TextoNormalCaracter"/>
          </w:rPr>
          <w:t>69/2024</w:t>
        </w:r>
      </w:hyperlink>
      <w:r>
        <w:t>, ff. 5, 6.</w:t>
      </w:r>
    </w:p>
    <w:p w14:paraId="1FACFB41" w14:textId="58A2CED8" w:rsidR="00601EEA" w:rsidRDefault="00601EEA" w:rsidP="00601EEA">
      <w:pPr>
        <w:pStyle w:val="SangriaFrancesaArticulo"/>
      </w:pPr>
      <w:r w:rsidRPr="00601EEA">
        <w:rPr>
          <w:rStyle w:val="TextoNormalNegritaCaracter"/>
        </w:rPr>
        <w:t>Artículo 17 bis.1</w:t>
      </w:r>
      <w:r>
        <w:t xml:space="preserve"> (redactado por la Ley Orgánica 3/2015, de 30 de marzo)</w:t>
      </w:r>
      <w:r w:rsidRPr="00601EEA">
        <w:rPr>
          <w:rStyle w:val="TextoNormalNegritaCaracter"/>
        </w:rPr>
        <w:t>.</w:t>
      </w:r>
      <w:r w:rsidRPr="00601EEA">
        <w:rPr>
          <w:rStyle w:val="TextoNormalCaracter"/>
        </w:rPr>
        <w:t>-</w:t>
      </w:r>
      <w:r>
        <w:t xml:space="preserve"> Sentencias </w:t>
      </w:r>
      <w:hyperlink w:anchor="SENTENCIA_2024_69" w:history="1">
        <w:r w:rsidRPr="00601EEA">
          <w:rPr>
            <w:rStyle w:val="TextoNormalCaracter"/>
          </w:rPr>
          <w:t>69/2024</w:t>
        </w:r>
      </w:hyperlink>
      <w:r>
        <w:t xml:space="preserve">, ff. 2, 6; </w:t>
      </w:r>
      <w:hyperlink w:anchor="SENTENCIA_2024_74" w:history="1">
        <w:r w:rsidRPr="00601EEA">
          <w:rPr>
            <w:rStyle w:val="TextoNormalCaracter"/>
          </w:rPr>
          <w:t>74/2024</w:t>
        </w:r>
      </w:hyperlink>
      <w:r>
        <w:t>, f. 1.</w:t>
      </w:r>
    </w:p>
    <w:p w14:paraId="0AA7ECD8" w14:textId="4407E85F" w:rsidR="00601EEA" w:rsidRDefault="00601EEA" w:rsidP="00601EEA">
      <w:pPr>
        <w:pStyle w:val="SangriaFrancesaArticulo"/>
      </w:pPr>
      <w:r w:rsidRPr="00601EEA">
        <w:rPr>
          <w:rStyle w:val="TextoNormalNegritaCaracter"/>
        </w:rPr>
        <w:t>Artículo 17 bis.1</w:t>
      </w:r>
      <w:r>
        <w:t xml:space="preserve"> (redactado por la Ley Orgánica 3/2015, de 30 de marzo) inciso "b) serán inferiores a cincuenta mil euros"</w:t>
      </w:r>
      <w:r w:rsidRPr="00601EEA">
        <w:rPr>
          <w:rStyle w:val="TextoNormalNegritaCaracter"/>
        </w:rPr>
        <w:t>.</w:t>
      </w:r>
      <w:r w:rsidRPr="00601EEA">
        <w:rPr>
          <w:rStyle w:val="TextoNormalCaracter"/>
        </w:rPr>
        <w:t>-</w:t>
      </w:r>
      <w:r>
        <w:t xml:space="preserve"> Sentencia </w:t>
      </w:r>
      <w:hyperlink w:anchor="SENTENCIA_2024_69" w:history="1">
        <w:r w:rsidRPr="00601EEA">
          <w:rPr>
            <w:rStyle w:val="TextoNormalCaracter"/>
          </w:rPr>
          <w:t>69/2024</w:t>
        </w:r>
      </w:hyperlink>
      <w:r>
        <w:t>.</w:t>
      </w:r>
    </w:p>
    <w:p w14:paraId="4D3D4A79" w14:textId="0232FE58" w:rsidR="00601EEA" w:rsidRDefault="00601EEA" w:rsidP="00601EEA">
      <w:pPr>
        <w:pStyle w:val="SangriaFrancesaArticulo"/>
      </w:pPr>
      <w:r w:rsidRPr="00601EEA">
        <w:rPr>
          <w:rStyle w:val="TextoNormalNegritaCaracter"/>
        </w:rPr>
        <w:t>Artículo 17 bis.1 último párrafo</w:t>
      </w:r>
      <w:r>
        <w:t xml:space="preserve"> (redactado por la Ley Orgánica 3/2015, de 30 de marzo)</w:t>
      </w:r>
      <w:r w:rsidRPr="00601EEA">
        <w:rPr>
          <w:rStyle w:val="TextoNormalNegritaCaracter"/>
        </w:rPr>
        <w:t>.</w:t>
      </w:r>
      <w:r w:rsidRPr="00601EEA">
        <w:rPr>
          <w:rStyle w:val="TextoNormalCaracter"/>
        </w:rPr>
        <w:t>-</w:t>
      </w:r>
      <w:r>
        <w:t xml:space="preserve"> Sentencia </w:t>
      </w:r>
      <w:hyperlink w:anchor="SENTENCIA_2024_74" w:history="1">
        <w:r w:rsidRPr="00601EEA">
          <w:rPr>
            <w:rStyle w:val="TextoNormalCaracter"/>
          </w:rPr>
          <w:t>74/2024</w:t>
        </w:r>
      </w:hyperlink>
      <w:r>
        <w:t>, f. 1.</w:t>
      </w:r>
    </w:p>
    <w:p w14:paraId="2A4BB577" w14:textId="254C6A59" w:rsidR="00601EEA" w:rsidRDefault="00601EEA" w:rsidP="00601EEA">
      <w:pPr>
        <w:pStyle w:val="SangriaFrancesaArticulo"/>
      </w:pPr>
      <w:r w:rsidRPr="00601EEA">
        <w:rPr>
          <w:rStyle w:val="TextoNormalNegritaCaracter"/>
        </w:rPr>
        <w:t>Artículo 17 bis.1 último párrafo, inciso "y b"</w:t>
      </w:r>
      <w:r>
        <w:t xml:space="preserve"> (redactado por la Ley Orgánica 3/2015, de 30 de marzo)</w:t>
      </w:r>
      <w:r w:rsidRPr="00601EEA">
        <w:rPr>
          <w:rStyle w:val="TextoNormalNegritaCaracter"/>
        </w:rPr>
        <w:t>.</w:t>
      </w:r>
      <w:r w:rsidRPr="00601EEA">
        <w:rPr>
          <w:rStyle w:val="TextoNormalCaracter"/>
        </w:rPr>
        <w:t>-</w:t>
      </w:r>
      <w:r>
        <w:t xml:space="preserve"> Sentencia </w:t>
      </w:r>
      <w:hyperlink w:anchor="SENTENCIA_2024_74" w:history="1">
        <w:r w:rsidRPr="00601EEA">
          <w:rPr>
            <w:rStyle w:val="TextoNormalCaracter"/>
          </w:rPr>
          <w:t>74/2024</w:t>
        </w:r>
      </w:hyperlink>
      <w:r>
        <w:t>, ff. 1, 2.</w:t>
      </w:r>
    </w:p>
    <w:p w14:paraId="5DD7E534" w14:textId="0E657206" w:rsidR="00601EEA" w:rsidRDefault="00601EEA" w:rsidP="00601EEA">
      <w:pPr>
        <w:pStyle w:val="SangriaFrancesaArticulo"/>
      </w:pPr>
      <w:r w:rsidRPr="00601EEA">
        <w:rPr>
          <w:rStyle w:val="TextoNormalNegritaCaracter"/>
        </w:rPr>
        <w:t>Artículo 17 bis.2</w:t>
      </w:r>
      <w:r>
        <w:t xml:space="preserve"> (redactado por la Ley Orgánica 3/2015, de 30 de marzo)</w:t>
      </w:r>
      <w:r w:rsidRPr="00601EEA">
        <w:rPr>
          <w:rStyle w:val="TextoNormalNegritaCaracter"/>
        </w:rPr>
        <w:t>.</w:t>
      </w:r>
      <w:r w:rsidRPr="00601EEA">
        <w:rPr>
          <w:rStyle w:val="TextoNormalCaracter"/>
        </w:rPr>
        <w:t>-</w:t>
      </w:r>
      <w:r>
        <w:t xml:space="preserve"> Sentencia </w:t>
      </w:r>
      <w:hyperlink w:anchor="SENTENCIA_2024_69" w:history="1">
        <w:r w:rsidRPr="00601EEA">
          <w:rPr>
            <w:rStyle w:val="TextoNormalCaracter"/>
          </w:rPr>
          <w:t>69/2024</w:t>
        </w:r>
      </w:hyperlink>
      <w:r>
        <w:t>, ff. 2, 6.</w:t>
      </w:r>
    </w:p>
    <w:p w14:paraId="2537BB3B" w14:textId="22F15EA7" w:rsidR="00601EEA" w:rsidRDefault="00601EEA" w:rsidP="00601EEA">
      <w:pPr>
        <w:pStyle w:val="SangriaFrancesaArticulo"/>
      </w:pPr>
      <w:r w:rsidRPr="00601EEA">
        <w:rPr>
          <w:rStyle w:val="TextoNormalNegritaCaracter"/>
        </w:rPr>
        <w:t>Artículo 17 bis.2 b)</w:t>
      </w:r>
      <w:r>
        <w:t xml:space="preserve"> (redactado por la Ley Orgánica 3/2015, de 30 de marzo)</w:t>
      </w:r>
      <w:r w:rsidRPr="00601EEA">
        <w:rPr>
          <w:rStyle w:val="TextoNormalNegritaCaracter"/>
        </w:rPr>
        <w:t>.</w:t>
      </w:r>
      <w:r w:rsidRPr="00601EEA">
        <w:rPr>
          <w:rStyle w:val="TextoNormalCaracter"/>
        </w:rPr>
        <w:t>-</w:t>
      </w:r>
      <w:r>
        <w:t xml:space="preserve"> Sentencia </w:t>
      </w:r>
      <w:hyperlink w:anchor="SENTENCIA_2024_69" w:history="1">
        <w:r w:rsidRPr="00601EEA">
          <w:rPr>
            <w:rStyle w:val="TextoNormalCaracter"/>
          </w:rPr>
          <w:t>69/2024</w:t>
        </w:r>
      </w:hyperlink>
      <w:r>
        <w:t>, f. 6.</w:t>
      </w:r>
    </w:p>
    <w:p w14:paraId="665836CD" w14:textId="4CBD4A7C" w:rsidR="00601EEA" w:rsidRDefault="00601EEA" w:rsidP="00601EEA">
      <w:pPr>
        <w:pStyle w:val="SangriaFrancesaArticulo"/>
      </w:pPr>
      <w:r w:rsidRPr="00601EEA">
        <w:rPr>
          <w:rStyle w:val="TextoNormalNegritaCaracter"/>
        </w:rPr>
        <w:t>Artículo 17 bis.2 b)</w:t>
      </w:r>
      <w:r>
        <w:t xml:space="preserve"> (redactado por la Ley Orgánica 3/2015, de 30 de marzo) inciso "sin que en ningún caso pueda ser inferior a veinticinco mil euros"</w:t>
      </w:r>
      <w:r w:rsidRPr="00601EEA">
        <w:rPr>
          <w:rStyle w:val="TextoNormalNegritaCaracter"/>
        </w:rPr>
        <w:t>.</w:t>
      </w:r>
      <w:r w:rsidRPr="00601EEA">
        <w:rPr>
          <w:rStyle w:val="TextoNormalCaracter"/>
        </w:rPr>
        <w:t>-</w:t>
      </w:r>
      <w:r>
        <w:t xml:space="preserve"> Sentencia </w:t>
      </w:r>
      <w:hyperlink w:anchor="SENTENCIA_2024_69" w:history="1">
        <w:r w:rsidRPr="00601EEA">
          <w:rPr>
            <w:rStyle w:val="TextoNormalCaracter"/>
          </w:rPr>
          <w:t>69/2024</w:t>
        </w:r>
      </w:hyperlink>
      <w:r>
        <w:t>.</w:t>
      </w:r>
    </w:p>
    <w:p w14:paraId="0D4D702B" w14:textId="3EDD9BCA" w:rsidR="00601EEA" w:rsidRDefault="00601EEA" w:rsidP="00601EEA">
      <w:pPr>
        <w:pStyle w:val="SangriaFrancesaArticulo"/>
      </w:pPr>
      <w:r w:rsidRPr="00601EEA">
        <w:rPr>
          <w:rStyle w:val="TextoNormalNegritaCaracter"/>
        </w:rPr>
        <w:t>Artículo 17 bis.3 b)</w:t>
      </w:r>
      <w:r>
        <w:t xml:space="preserve"> (redactado por la Ley Orgánica 3/2015, de 30 de marzo)</w:t>
      </w:r>
      <w:r w:rsidRPr="00601EEA">
        <w:rPr>
          <w:rStyle w:val="TextoNormalNegritaCaracter"/>
        </w:rPr>
        <w:t>.</w:t>
      </w:r>
      <w:r w:rsidRPr="00601EEA">
        <w:rPr>
          <w:rStyle w:val="TextoNormalCaracter"/>
        </w:rPr>
        <w:t>-</w:t>
      </w:r>
      <w:r>
        <w:t xml:space="preserve"> Sentencia </w:t>
      </w:r>
      <w:hyperlink w:anchor="SENTENCIA_2024_69" w:history="1">
        <w:r w:rsidRPr="00601EEA">
          <w:rPr>
            <w:rStyle w:val="TextoNormalCaracter"/>
          </w:rPr>
          <w:t>69/2024</w:t>
        </w:r>
      </w:hyperlink>
      <w:r>
        <w:t>, ff. 1, 2, 5, 6.</w:t>
      </w:r>
    </w:p>
    <w:p w14:paraId="33E8E1BD" w14:textId="4E5803E0" w:rsidR="00601EEA" w:rsidRDefault="00601EEA" w:rsidP="00601EEA">
      <w:pPr>
        <w:pStyle w:val="SangriaFrancesaArticulo"/>
      </w:pPr>
      <w:r w:rsidRPr="00601EEA">
        <w:rPr>
          <w:rStyle w:val="TextoNormalNegritaCaracter"/>
        </w:rPr>
        <w:t>Artículo 17 bis.3 b)</w:t>
      </w:r>
      <w:r>
        <w:t xml:space="preserve"> (redactado por la Ley Orgánica 3/2015, de 30 de marzo) inciso "sin que en ningún caso pueda ser inferior a cinco mil euros"</w:t>
      </w:r>
      <w:r w:rsidRPr="00601EEA">
        <w:rPr>
          <w:rStyle w:val="TextoNormalNegritaCaracter"/>
        </w:rPr>
        <w:t>.</w:t>
      </w:r>
      <w:r w:rsidRPr="00601EEA">
        <w:rPr>
          <w:rStyle w:val="TextoNormalCaracter"/>
        </w:rPr>
        <w:t>-</w:t>
      </w:r>
      <w:r>
        <w:t xml:space="preserve"> Sentencias </w:t>
      </w:r>
      <w:hyperlink w:anchor="SENTENCIA_2024_69" w:history="1">
        <w:r w:rsidRPr="00601EEA">
          <w:rPr>
            <w:rStyle w:val="TextoNormalCaracter"/>
          </w:rPr>
          <w:t>69/2024</w:t>
        </w:r>
      </w:hyperlink>
      <w:r>
        <w:t xml:space="preserve">, f. 1; </w:t>
      </w:r>
      <w:hyperlink w:anchor="SENTENCIA_2024_74" w:history="1">
        <w:r w:rsidRPr="00601EEA">
          <w:rPr>
            <w:rStyle w:val="TextoNormalCaracter"/>
          </w:rPr>
          <w:t>74/2024</w:t>
        </w:r>
      </w:hyperlink>
      <w:r>
        <w:t>, f. 2.</w:t>
      </w:r>
    </w:p>
    <w:p w14:paraId="1C40A262" w14:textId="4CC285C0" w:rsidR="00601EEA" w:rsidRDefault="00601EEA" w:rsidP="00601EEA">
      <w:pPr>
        <w:pStyle w:val="SangriaFrancesaArticulo"/>
      </w:pPr>
      <w:r w:rsidRPr="00601EEA">
        <w:rPr>
          <w:rStyle w:val="TextoNormalNegritaCaracter"/>
        </w:rPr>
        <w:t>Artículo 17.2.</w:t>
      </w:r>
      <w:r w:rsidRPr="00601EEA">
        <w:rPr>
          <w:rStyle w:val="TextoNormalCaracter"/>
        </w:rPr>
        <w:t>-</w:t>
      </w:r>
      <w:r>
        <w:t xml:space="preserve"> Sentencia </w:t>
      </w:r>
      <w:hyperlink w:anchor="SENTENCIA_2024_74" w:history="1">
        <w:r w:rsidRPr="00601EEA">
          <w:rPr>
            <w:rStyle w:val="TextoNormalCaracter"/>
          </w:rPr>
          <w:t>74/2024</w:t>
        </w:r>
      </w:hyperlink>
      <w:r>
        <w:t>, f. 1.</w:t>
      </w:r>
    </w:p>
    <w:p w14:paraId="299FD8BF" w14:textId="645AF87D" w:rsidR="00601EEA" w:rsidRDefault="00601EEA" w:rsidP="00601EEA">
      <w:pPr>
        <w:pStyle w:val="SangriaFrancesaArticulo"/>
      </w:pPr>
      <w:r w:rsidRPr="00601EEA">
        <w:rPr>
          <w:rStyle w:val="TextoNormalNegritaCaracter"/>
        </w:rPr>
        <w:t>Artículo 17.2 a).</w:t>
      </w:r>
      <w:r w:rsidRPr="00601EEA">
        <w:rPr>
          <w:rStyle w:val="TextoNormalCaracter"/>
        </w:rPr>
        <w:t>-</w:t>
      </w:r>
      <w:r>
        <w:t xml:space="preserve"> Sentencia </w:t>
      </w:r>
      <w:hyperlink w:anchor="SENTENCIA_2024_74" w:history="1">
        <w:r w:rsidRPr="00601EEA">
          <w:rPr>
            <w:rStyle w:val="TextoNormalCaracter"/>
          </w:rPr>
          <w:t>74/2024</w:t>
        </w:r>
      </w:hyperlink>
      <w:r>
        <w:t>, f. 1.</w:t>
      </w:r>
    </w:p>
    <w:p w14:paraId="4F83611D" w14:textId="4DAA87C5" w:rsidR="00601EEA" w:rsidRDefault="00601EEA" w:rsidP="00601EEA">
      <w:pPr>
        <w:pStyle w:val="SangriaFrancesaArticulo"/>
      </w:pPr>
      <w:r w:rsidRPr="00601EEA">
        <w:rPr>
          <w:rStyle w:val="TextoNormalNegritaCaracter"/>
        </w:rPr>
        <w:t>Artículo 17.2 b).</w:t>
      </w:r>
      <w:r w:rsidRPr="00601EEA">
        <w:rPr>
          <w:rStyle w:val="TextoNormalCaracter"/>
        </w:rPr>
        <w:t>-</w:t>
      </w:r>
      <w:r>
        <w:t xml:space="preserve"> Sentencia </w:t>
      </w:r>
      <w:hyperlink w:anchor="SENTENCIA_2024_74" w:history="1">
        <w:r w:rsidRPr="00601EEA">
          <w:rPr>
            <w:rStyle w:val="TextoNormalCaracter"/>
          </w:rPr>
          <w:t>74/2024</w:t>
        </w:r>
      </w:hyperlink>
      <w:r>
        <w:t>, f. 1.</w:t>
      </w:r>
    </w:p>
    <w:p w14:paraId="7D7A6174" w14:textId="7AAAC252" w:rsidR="00601EEA" w:rsidRDefault="00601EEA" w:rsidP="00601EEA">
      <w:pPr>
        <w:pStyle w:val="SangriaFrancesaArticulo"/>
      </w:pPr>
      <w:r w:rsidRPr="00601EEA">
        <w:rPr>
          <w:rStyle w:val="TextoNormalNegritaCaracter"/>
        </w:rPr>
        <w:t>Artículo 17.3.</w:t>
      </w:r>
      <w:r w:rsidRPr="00601EEA">
        <w:rPr>
          <w:rStyle w:val="TextoNormalCaracter"/>
        </w:rPr>
        <w:t>-</w:t>
      </w:r>
      <w:r>
        <w:t xml:space="preserve"> Sentencia </w:t>
      </w:r>
      <w:hyperlink w:anchor="SENTENCIA_2024_69" w:history="1">
        <w:r w:rsidRPr="00601EEA">
          <w:rPr>
            <w:rStyle w:val="TextoNormalCaracter"/>
          </w:rPr>
          <w:t>69/2024</w:t>
        </w:r>
      </w:hyperlink>
      <w:r>
        <w:t>, f. 2.</w:t>
      </w:r>
    </w:p>
    <w:p w14:paraId="38A81524" w14:textId="10505601" w:rsidR="00601EEA" w:rsidRDefault="00601EEA" w:rsidP="00601EEA">
      <w:pPr>
        <w:pStyle w:val="SangriaFrancesaArticulo"/>
      </w:pPr>
      <w:r w:rsidRPr="00601EEA">
        <w:rPr>
          <w:rStyle w:val="TextoNormalNegritaCaracter"/>
        </w:rPr>
        <w:t>Artículo 17.3 b).</w:t>
      </w:r>
      <w:r w:rsidRPr="00601EEA">
        <w:rPr>
          <w:rStyle w:val="TextoNormalCaracter"/>
        </w:rPr>
        <w:t>-</w:t>
      </w:r>
      <w:r>
        <w:t xml:space="preserve"> Sentencia </w:t>
      </w:r>
      <w:hyperlink w:anchor="SENTENCIA_2024_69" w:history="1">
        <w:r w:rsidRPr="00601EEA">
          <w:rPr>
            <w:rStyle w:val="TextoNormalCaracter"/>
          </w:rPr>
          <w:t>69/2024</w:t>
        </w:r>
      </w:hyperlink>
      <w:r>
        <w:t>, f. 2.</w:t>
      </w:r>
    </w:p>
    <w:p w14:paraId="1579F4D4" w14:textId="7D7DE985" w:rsidR="00601EEA" w:rsidRDefault="00601EEA" w:rsidP="00601EEA">
      <w:pPr>
        <w:pStyle w:val="SangriaFrancesaArticulo"/>
      </w:pPr>
      <w:r w:rsidRPr="00601EEA">
        <w:rPr>
          <w:rStyle w:val="TextoNormalNegritaCaracter"/>
        </w:rPr>
        <w:t>Artículo 17.4.</w:t>
      </w:r>
      <w:r w:rsidRPr="00601EEA">
        <w:rPr>
          <w:rStyle w:val="TextoNormalCaracter"/>
        </w:rPr>
        <w:t>-</w:t>
      </w:r>
      <w:r>
        <w:t xml:space="preserve"> Sentencia </w:t>
      </w:r>
      <w:hyperlink w:anchor="SENTENCIA_2024_69" w:history="1">
        <w:r w:rsidRPr="00601EEA">
          <w:rPr>
            <w:rStyle w:val="TextoNormalCaracter"/>
          </w:rPr>
          <w:t>69/2024</w:t>
        </w:r>
      </w:hyperlink>
      <w:r>
        <w:t>, f. 2.</w:t>
      </w:r>
    </w:p>
    <w:p w14:paraId="196C5554" w14:textId="2ABBEFBF" w:rsidR="00601EEA" w:rsidRDefault="00601EEA" w:rsidP="00601EEA">
      <w:pPr>
        <w:pStyle w:val="SangriaFrancesaArticulo"/>
      </w:pPr>
      <w:r w:rsidRPr="00601EEA">
        <w:rPr>
          <w:rStyle w:val="TextoNormalNegritaCaracter"/>
        </w:rPr>
        <w:t>Artículo 17.4 b).</w:t>
      </w:r>
      <w:r w:rsidRPr="00601EEA">
        <w:rPr>
          <w:rStyle w:val="TextoNormalCaracter"/>
        </w:rPr>
        <w:t>-</w:t>
      </w:r>
      <w:r>
        <w:t xml:space="preserve"> Sentencia </w:t>
      </w:r>
      <w:hyperlink w:anchor="SENTENCIA_2024_69" w:history="1">
        <w:r w:rsidRPr="00601EEA">
          <w:rPr>
            <w:rStyle w:val="TextoNormalCaracter"/>
          </w:rPr>
          <w:t>69/2024</w:t>
        </w:r>
      </w:hyperlink>
      <w:r>
        <w:t>, f. 2.</w:t>
      </w:r>
    </w:p>
    <w:p w14:paraId="68282C45" w14:textId="13336B6A" w:rsidR="00601EEA" w:rsidRDefault="00601EEA" w:rsidP="00601EEA">
      <w:pPr>
        <w:pStyle w:val="SangriaFrancesaArticulo"/>
      </w:pPr>
      <w:r w:rsidRPr="00601EEA">
        <w:rPr>
          <w:rStyle w:val="TextoNormalNegritaCaracter"/>
        </w:rPr>
        <w:t>Artículo 18.9.</w:t>
      </w:r>
      <w:r w:rsidRPr="00601EEA">
        <w:rPr>
          <w:rStyle w:val="TextoNormalCaracter"/>
        </w:rPr>
        <w:t>-</w:t>
      </w:r>
      <w:r>
        <w:t xml:space="preserve"> Sentencia </w:t>
      </w:r>
      <w:hyperlink w:anchor="SENTENCIA_2024_69" w:history="1">
        <w:r w:rsidRPr="00601EEA">
          <w:rPr>
            <w:rStyle w:val="TextoNormalCaracter"/>
          </w:rPr>
          <w:t>69/2024</w:t>
        </w:r>
      </w:hyperlink>
      <w:r>
        <w:t>, f. 1.</w:t>
      </w:r>
    </w:p>
    <w:p w14:paraId="39FF59B7" w14:textId="14219A46" w:rsidR="00601EEA" w:rsidRDefault="00601EEA" w:rsidP="00601EEA">
      <w:pPr>
        <w:pStyle w:val="SangriaFrancesaArticulo"/>
      </w:pPr>
    </w:p>
    <w:p w14:paraId="64234C23" w14:textId="77777777" w:rsidR="00601EEA" w:rsidRDefault="00601EEA" w:rsidP="00601EEA">
      <w:pPr>
        <w:pStyle w:val="TextoNormalNegritaCursivandice"/>
        <w:keepNext/>
      </w:pPr>
      <w:r>
        <w:lastRenderedPageBreak/>
        <w:t>Ley Orgánica 2/2009, de 11 de diciembre, de reforma de la Ley Orgánica 4/2000, de 11 de enero, sobre derechos y libertades de los extranjeros en España y su integración social</w:t>
      </w:r>
    </w:p>
    <w:p w14:paraId="5B3AE986" w14:textId="14B00D13"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49" w:history="1">
        <w:r w:rsidRPr="00601EEA">
          <w:rPr>
            <w:rStyle w:val="TextoNormalCaracter"/>
          </w:rPr>
          <w:t>49/2024</w:t>
        </w:r>
      </w:hyperlink>
      <w:r>
        <w:t>, f. 1.</w:t>
      </w:r>
    </w:p>
    <w:p w14:paraId="06255A16" w14:textId="61FDA8A0" w:rsidR="00601EEA" w:rsidRDefault="00601EEA" w:rsidP="00601EEA">
      <w:pPr>
        <w:pStyle w:val="SangriaFrancesaArticulo"/>
      </w:pPr>
    </w:p>
    <w:p w14:paraId="744842BD" w14:textId="77777777" w:rsidR="00601EEA" w:rsidRDefault="00601EEA" w:rsidP="00601EEA">
      <w:pPr>
        <w:pStyle w:val="TextoNormalNegritaCursivandice"/>
        <w:keepNext/>
      </w:pPr>
      <w:r>
        <w:t>Ley Orgánica 2/2010, de 3 de marzo, de salud sexual y reproductiva y de la interrupción voluntaria del embarazo</w:t>
      </w:r>
    </w:p>
    <w:p w14:paraId="02F9321E" w14:textId="42E7DFA5"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Sentencias </w:t>
      </w:r>
      <w:hyperlink w:anchor="SENTENCIA_2024_15" w:history="1">
        <w:r w:rsidRPr="00601EEA">
          <w:rPr>
            <w:rStyle w:val="TextoNormalCaracter"/>
          </w:rPr>
          <w:t>15/2024</w:t>
        </w:r>
      </w:hyperlink>
      <w:r>
        <w:t xml:space="preserve">, VP II; </w:t>
      </w:r>
      <w:hyperlink w:anchor="SENTENCIA_2024_29" w:history="1">
        <w:r w:rsidRPr="00601EEA">
          <w:rPr>
            <w:rStyle w:val="TextoNormalCaracter"/>
          </w:rPr>
          <w:t>29/2024</w:t>
        </w:r>
      </w:hyperlink>
      <w:r>
        <w:t xml:space="preserve">, f. 2; </w:t>
      </w:r>
      <w:hyperlink w:anchor="SENTENCIA_2024_75" w:history="1">
        <w:r w:rsidRPr="00601EEA">
          <w:rPr>
            <w:rStyle w:val="TextoNormalCaracter"/>
          </w:rPr>
          <w:t>75/2024</w:t>
        </w:r>
      </w:hyperlink>
      <w:r>
        <w:t xml:space="preserve">, f. 4, VP I, VP II; </w:t>
      </w:r>
      <w:hyperlink w:anchor="SENTENCIA_2024_92" w:history="1">
        <w:r w:rsidRPr="00601EEA">
          <w:rPr>
            <w:rStyle w:val="TextoNormalCaracter"/>
          </w:rPr>
          <w:t>92/2024</w:t>
        </w:r>
      </w:hyperlink>
      <w:r>
        <w:t>, ff. 1, 3, 4, 6 a 9, VP I, VP II, VP III, VP IV.</w:t>
      </w:r>
    </w:p>
    <w:p w14:paraId="4259366E" w14:textId="565D5B3C" w:rsidR="00601EEA" w:rsidRDefault="00601EEA" w:rsidP="00601EEA">
      <w:pPr>
        <w:pStyle w:val="SangriaFrancesaArticulo"/>
      </w:pPr>
      <w:r w:rsidRPr="00601EEA">
        <w:rPr>
          <w:rStyle w:val="TextoNormalNegritaCaracter"/>
        </w:rPr>
        <w:t>Título I, capítulo II.</w:t>
      </w:r>
      <w:r w:rsidRPr="00601EEA">
        <w:rPr>
          <w:rStyle w:val="TextoNormalCaracter"/>
        </w:rPr>
        <w:t>-</w:t>
      </w:r>
      <w:r>
        <w:t xml:space="preserve"> Sentencia </w:t>
      </w:r>
      <w:hyperlink w:anchor="SENTENCIA_2024_92" w:history="1">
        <w:r w:rsidRPr="00601EEA">
          <w:rPr>
            <w:rStyle w:val="TextoNormalCaracter"/>
          </w:rPr>
          <w:t>92/2024</w:t>
        </w:r>
      </w:hyperlink>
      <w:r>
        <w:t>, f. 3.</w:t>
      </w:r>
    </w:p>
    <w:p w14:paraId="4440D40C" w14:textId="3AC1C1C9" w:rsidR="00601EEA" w:rsidRDefault="00601EEA" w:rsidP="00601EEA">
      <w:pPr>
        <w:pStyle w:val="SangriaFrancesaArticulo"/>
      </w:pPr>
      <w:r w:rsidRPr="00601EEA">
        <w:rPr>
          <w:rStyle w:val="TextoNormalNegritaCaracter"/>
        </w:rPr>
        <w:t>Título I, capítulo III.</w:t>
      </w:r>
      <w:r w:rsidRPr="00601EEA">
        <w:rPr>
          <w:rStyle w:val="TextoNormalCaracter"/>
        </w:rPr>
        <w:t>-</w:t>
      </w:r>
      <w:r>
        <w:t xml:space="preserve"> Sentencia </w:t>
      </w:r>
      <w:hyperlink w:anchor="SENTENCIA_2024_92" w:history="1">
        <w:r w:rsidRPr="00601EEA">
          <w:rPr>
            <w:rStyle w:val="TextoNormalCaracter"/>
          </w:rPr>
          <w:t>92/2024</w:t>
        </w:r>
      </w:hyperlink>
      <w:r>
        <w:t>, f. 3.</w:t>
      </w:r>
    </w:p>
    <w:p w14:paraId="38ABD69D" w14:textId="02147ED3" w:rsidR="00601EEA" w:rsidRDefault="00601EEA" w:rsidP="00601EEA">
      <w:pPr>
        <w:pStyle w:val="SangriaFrancesaArticulo"/>
      </w:pPr>
      <w:r w:rsidRPr="00601EEA">
        <w:rPr>
          <w:rStyle w:val="TextoNormalNegritaCaracter"/>
        </w:rPr>
        <w:t>Título I, capítulo IV.</w:t>
      </w:r>
      <w:r w:rsidRPr="00601EEA">
        <w:rPr>
          <w:rStyle w:val="TextoNormalCaracter"/>
        </w:rPr>
        <w:t>-</w:t>
      </w:r>
      <w:r>
        <w:t xml:space="preserve"> Sentencia </w:t>
      </w:r>
      <w:hyperlink w:anchor="SENTENCIA_2024_92" w:history="1">
        <w:r w:rsidRPr="00601EEA">
          <w:rPr>
            <w:rStyle w:val="TextoNormalCaracter"/>
          </w:rPr>
          <w:t>92/2024</w:t>
        </w:r>
      </w:hyperlink>
      <w:r>
        <w:t>, f. 3.</w:t>
      </w:r>
    </w:p>
    <w:p w14:paraId="5B02529D" w14:textId="08044169" w:rsidR="00601EEA" w:rsidRDefault="00601EEA" w:rsidP="00601EEA">
      <w:pPr>
        <w:pStyle w:val="SangriaFrancesaArticulo"/>
      </w:pPr>
      <w:r w:rsidRPr="00601EEA">
        <w:rPr>
          <w:rStyle w:val="TextoNormalNegritaCaracter"/>
        </w:rPr>
        <w:t>Preámbulo.</w:t>
      </w:r>
      <w:r w:rsidRPr="00601EEA">
        <w:rPr>
          <w:rStyle w:val="TextoNormalCaracter"/>
        </w:rPr>
        <w:t>-</w:t>
      </w:r>
      <w:r>
        <w:t xml:space="preserve"> Sentencia </w:t>
      </w:r>
      <w:hyperlink w:anchor="SENTENCIA_2024_92" w:history="1">
        <w:r w:rsidRPr="00601EEA">
          <w:rPr>
            <w:rStyle w:val="TextoNormalCaracter"/>
          </w:rPr>
          <w:t>92/2024</w:t>
        </w:r>
      </w:hyperlink>
      <w:r>
        <w:t>, VP III.</w:t>
      </w:r>
    </w:p>
    <w:p w14:paraId="0433C3C3" w14:textId="6D7D9860" w:rsidR="00601EEA" w:rsidRDefault="00601EEA" w:rsidP="00601EEA">
      <w:pPr>
        <w:pStyle w:val="SangriaFrancesaArticulo"/>
      </w:pPr>
      <w:r w:rsidRPr="00601EEA">
        <w:rPr>
          <w:rStyle w:val="TextoNormalNegritaCaracter"/>
        </w:rPr>
        <w:t>Artículo 1.</w:t>
      </w:r>
      <w:r w:rsidRPr="00601EEA">
        <w:rPr>
          <w:rStyle w:val="TextoNormalCaracter"/>
        </w:rPr>
        <w:t>-</w:t>
      </w:r>
      <w:r>
        <w:t xml:space="preserve"> Sentencia </w:t>
      </w:r>
      <w:hyperlink w:anchor="SENTENCIA_2024_92" w:history="1">
        <w:r w:rsidRPr="00601EEA">
          <w:rPr>
            <w:rStyle w:val="TextoNormalCaracter"/>
          </w:rPr>
          <w:t>92/2024</w:t>
        </w:r>
      </w:hyperlink>
      <w:r>
        <w:t>, f. 4.</w:t>
      </w:r>
    </w:p>
    <w:p w14:paraId="7DDFC186" w14:textId="5EF2F4EA" w:rsidR="00601EEA" w:rsidRDefault="00601EEA" w:rsidP="00601EEA">
      <w:pPr>
        <w:pStyle w:val="SangriaFrancesaArticulo"/>
      </w:pPr>
      <w:r w:rsidRPr="00601EEA">
        <w:rPr>
          <w:rStyle w:val="TextoNormalNegritaCaracter"/>
        </w:rPr>
        <w:t>Artículo 3.</w:t>
      </w:r>
      <w:r w:rsidRPr="00601EEA">
        <w:rPr>
          <w:rStyle w:val="TextoNormalCaracter"/>
        </w:rPr>
        <w:t>-</w:t>
      </w:r>
      <w:r>
        <w:t xml:space="preserve"> Sentencia </w:t>
      </w:r>
      <w:hyperlink w:anchor="SENTENCIA_2024_92" w:history="1">
        <w:r w:rsidRPr="00601EEA">
          <w:rPr>
            <w:rStyle w:val="TextoNormalCaracter"/>
          </w:rPr>
          <w:t>92/2024</w:t>
        </w:r>
      </w:hyperlink>
      <w:r>
        <w:t>, f. 3.</w:t>
      </w:r>
    </w:p>
    <w:p w14:paraId="548AC641" w14:textId="690B2830" w:rsidR="00601EEA" w:rsidRDefault="00601EEA" w:rsidP="00601EEA">
      <w:pPr>
        <w:pStyle w:val="SangriaFrancesaArticulo"/>
      </w:pPr>
      <w:r w:rsidRPr="00601EEA">
        <w:rPr>
          <w:rStyle w:val="TextoNormalNegritaCaracter"/>
        </w:rPr>
        <w:t>Artículo 3.1 c).</w:t>
      </w:r>
      <w:r w:rsidRPr="00601EEA">
        <w:rPr>
          <w:rStyle w:val="TextoNormalCaracter"/>
        </w:rPr>
        <w:t>-</w:t>
      </w:r>
      <w:r>
        <w:t xml:space="preserve"> Sentencia </w:t>
      </w:r>
      <w:hyperlink w:anchor="SENTENCIA_2024_92" w:history="1">
        <w:r w:rsidRPr="00601EEA">
          <w:rPr>
            <w:rStyle w:val="TextoNormalCaracter"/>
          </w:rPr>
          <w:t>92/2024</w:t>
        </w:r>
      </w:hyperlink>
      <w:r>
        <w:t>, f. 3.</w:t>
      </w:r>
    </w:p>
    <w:p w14:paraId="4B2EF18E" w14:textId="56E83585" w:rsidR="00601EEA" w:rsidRDefault="00601EEA" w:rsidP="00601EEA">
      <w:pPr>
        <w:pStyle w:val="SangriaFrancesaArticulo"/>
      </w:pPr>
      <w:r w:rsidRPr="00601EEA">
        <w:rPr>
          <w:rStyle w:val="TextoNormalNegritaCaracter"/>
        </w:rPr>
        <w:t>Artículo 3.1 f).</w:t>
      </w:r>
      <w:r w:rsidRPr="00601EEA">
        <w:rPr>
          <w:rStyle w:val="TextoNormalCaracter"/>
        </w:rPr>
        <w:t>-</w:t>
      </w:r>
      <w:r>
        <w:t xml:space="preserve"> Sentencia </w:t>
      </w:r>
      <w:hyperlink w:anchor="SENTENCIA_2024_92" w:history="1">
        <w:r w:rsidRPr="00601EEA">
          <w:rPr>
            <w:rStyle w:val="TextoNormalCaracter"/>
          </w:rPr>
          <w:t>92/2024</w:t>
        </w:r>
      </w:hyperlink>
      <w:r>
        <w:t>, f. 3.</w:t>
      </w:r>
    </w:p>
    <w:p w14:paraId="70C6D1F8" w14:textId="674374C5" w:rsidR="00601EEA" w:rsidRDefault="00601EEA" w:rsidP="00601EEA">
      <w:pPr>
        <w:pStyle w:val="SangriaFrancesaArticulo"/>
      </w:pPr>
      <w:r w:rsidRPr="00601EEA">
        <w:rPr>
          <w:rStyle w:val="TextoNormalNegritaCaracter"/>
        </w:rPr>
        <w:t>Artículo 5.1 e).</w:t>
      </w:r>
      <w:r w:rsidRPr="00601EEA">
        <w:rPr>
          <w:rStyle w:val="TextoNormalCaracter"/>
        </w:rPr>
        <w:t>-</w:t>
      </w:r>
      <w:r>
        <w:t xml:space="preserve"> Sentencia </w:t>
      </w:r>
      <w:hyperlink w:anchor="SENTENCIA_2024_92" w:history="1">
        <w:r w:rsidRPr="00601EEA">
          <w:rPr>
            <w:rStyle w:val="TextoNormalCaracter"/>
          </w:rPr>
          <w:t>92/2024</w:t>
        </w:r>
      </w:hyperlink>
      <w:r>
        <w:t>, f. 3.</w:t>
      </w:r>
    </w:p>
    <w:p w14:paraId="0B23DDB4" w14:textId="143E204F" w:rsidR="00601EEA" w:rsidRDefault="00601EEA" w:rsidP="00601EEA">
      <w:pPr>
        <w:pStyle w:val="SangriaFrancesaArticulo"/>
      </w:pPr>
      <w:r w:rsidRPr="00601EEA">
        <w:rPr>
          <w:rStyle w:val="TextoNormalNegritaCaracter"/>
        </w:rPr>
        <w:t>Artículo 5.1 f).</w:t>
      </w:r>
      <w:r w:rsidRPr="00601EEA">
        <w:rPr>
          <w:rStyle w:val="TextoNormalCaracter"/>
        </w:rPr>
        <w:t>-</w:t>
      </w:r>
      <w:r>
        <w:t xml:space="preserve"> Sentencias </w:t>
      </w:r>
      <w:hyperlink w:anchor="SENTENCIA_2024_89" w:history="1">
        <w:r w:rsidRPr="00601EEA">
          <w:rPr>
            <w:rStyle w:val="TextoNormalCaracter"/>
          </w:rPr>
          <w:t>89/2024</w:t>
        </w:r>
      </w:hyperlink>
      <w:r>
        <w:t xml:space="preserve">, f. 2; </w:t>
      </w:r>
      <w:hyperlink w:anchor="SENTENCIA_2024_92" w:history="1">
        <w:r w:rsidRPr="00601EEA">
          <w:rPr>
            <w:rStyle w:val="TextoNormalCaracter"/>
          </w:rPr>
          <w:t>92/2024</w:t>
        </w:r>
      </w:hyperlink>
      <w:r>
        <w:t>, f. 3.</w:t>
      </w:r>
    </w:p>
    <w:p w14:paraId="2FBA57C1" w14:textId="72BA14FA" w:rsidR="00601EEA" w:rsidRDefault="00601EEA" w:rsidP="00601EEA">
      <w:pPr>
        <w:pStyle w:val="SangriaFrancesaArticulo"/>
      </w:pPr>
      <w:r w:rsidRPr="00601EEA">
        <w:rPr>
          <w:rStyle w:val="TextoNormalNegritaCaracter"/>
        </w:rPr>
        <w:t>Artículo 5.2 b).</w:t>
      </w:r>
      <w:r w:rsidRPr="00601EEA">
        <w:rPr>
          <w:rStyle w:val="TextoNormalCaracter"/>
        </w:rPr>
        <w:t>-</w:t>
      </w:r>
      <w:r>
        <w:t xml:space="preserve"> Sentencia </w:t>
      </w:r>
      <w:hyperlink w:anchor="SENTENCIA_2024_92" w:history="1">
        <w:r w:rsidRPr="00601EEA">
          <w:rPr>
            <w:rStyle w:val="TextoNormalCaracter"/>
          </w:rPr>
          <w:t>92/2024</w:t>
        </w:r>
      </w:hyperlink>
      <w:r>
        <w:t>, VP III.</w:t>
      </w:r>
    </w:p>
    <w:p w14:paraId="509BCBAD" w14:textId="282559DC" w:rsidR="00601EEA" w:rsidRDefault="00601EEA" w:rsidP="00601EEA">
      <w:pPr>
        <w:pStyle w:val="SangriaFrancesaArticulo"/>
      </w:pPr>
      <w:r w:rsidRPr="00601EEA">
        <w:rPr>
          <w:rStyle w:val="TextoNormalNegritaCaracter"/>
        </w:rPr>
        <w:t>Artículo 5.2 f).</w:t>
      </w:r>
      <w:r w:rsidRPr="00601EEA">
        <w:rPr>
          <w:rStyle w:val="TextoNormalCaracter"/>
        </w:rPr>
        <w:t>-</w:t>
      </w:r>
      <w:r>
        <w:t xml:space="preserve"> Sentencia </w:t>
      </w:r>
      <w:hyperlink w:anchor="SENTENCIA_2024_89" w:history="1">
        <w:r w:rsidRPr="00601EEA">
          <w:rPr>
            <w:rStyle w:val="TextoNormalCaracter"/>
          </w:rPr>
          <w:t>89/2024</w:t>
        </w:r>
      </w:hyperlink>
      <w:r>
        <w:t>, f. 2.</w:t>
      </w:r>
    </w:p>
    <w:p w14:paraId="531D20BF" w14:textId="610FC64D" w:rsidR="00601EEA" w:rsidRDefault="00601EEA" w:rsidP="00601EEA">
      <w:pPr>
        <w:pStyle w:val="SangriaFrancesaArticulo"/>
      </w:pPr>
      <w:r w:rsidRPr="00601EEA">
        <w:rPr>
          <w:rStyle w:val="TextoNormalNegritaCaracter"/>
        </w:rPr>
        <w:t>Artículo 6.</w:t>
      </w:r>
      <w:r w:rsidRPr="00601EEA">
        <w:rPr>
          <w:rStyle w:val="TextoNormalCaracter"/>
        </w:rPr>
        <w:t>-</w:t>
      </w:r>
      <w:r>
        <w:t xml:space="preserve"> Sentencia </w:t>
      </w:r>
      <w:hyperlink w:anchor="SENTENCIA_2024_92" w:history="1">
        <w:r w:rsidRPr="00601EEA">
          <w:rPr>
            <w:rStyle w:val="TextoNormalCaracter"/>
          </w:rPr>
          <w:t>92/2024</w:t>
        </w:r>
      </w:hyperlink>
      <w:r>
        <w:t>, f. 4, VP III, VP IV.</w:t>
      </w:r>
    </w:p>
    <w:p w14:paraId="79557784" w14:textId="6E3E0842" w:rsidR="00601EEA" w:rsidRDefault="00601EEA" w:rsidP="00601EEA">
      <w:pPr>
        <w:pStyle w:val="SangriaFrancesaArticulo"/>
      </w:pPr>
      <w:r w:rsidRPr="00601EEA">
        <w:rPr>
          <w:rStyle w:val="TextoNormalNegritaCaracter"/>
        </w:rPr>
        <w:t>Artículo 7 bis k).</w:t>
      </w:r>
      <w:r w:rsidRPr="00601EEA">
        <w:rPr>
          <w:rStyle w:val="TextoNormalCaracter"/>
        </w:rPr>
        <w:t>-</w:t>
      </w:r>
      <w:r>
        <w:t xml:space="preserve"> Sentencias </w:t>
      </w:r>
      <w:hyperlink w:anchor="SENTENCIA_2024_89" w:history="1">
        <w:r w:rsidRPr="00601EEA">
          <w:rPr>
            <w:rStyle w:val="TextoNormalCaracter"/>
          </w:rPr>
          <w:t>89/2024</w:t>
        </w:r>
      </w:hyperlink>
      <w:r>
        <w:t xml:space="preserve">, f. 2; </w:t>
      </w:r>
      <w:hyperlink w:anchor="SENTENCIA_2024_92" w:history="1">
        <w:r w:rsidRPr="00601EEA">
          <w:rPr>
            <w:rStyle w:val="TextoNormalCaracter"/>
          </w:rPr>
          <w:t>92/2024</w:t>
        </w:r>
      </w:hyperlink>
      <w:r>
        <w:t>, f. 3.</w:t>
      </w:r>
    </w:p>
    <w:p w14:paraId="3A7490BB" w14:textId="6DA207B1" w:rsidR="00601EEA" w:rsidRDefault="00601EEA" w:rsidP="00601EEA">
      <w:pPr>
        <w:pStyle w:val="SangriaFrancesaArticulo"/>
      </w:pPr>
      <w:r w:rsidRPr="00601EEA">
        <w:rPr>
          <w:rStyle w:val="TextoNormalNegritaCaracter"/>
        </w:rPr>
        <w:t>Artículo 8.</w:t>
      </w:r>
      <w:r w:rsidRPr="00601EEA">
        <w:rPr>
          <w:rStyle w:val="TextoNormalCaracter"/>
        </w:rPr>
        <w:t>-</w:t>
      </w:r>
      <w:r>
        <w:t xml:space="preserve"> Sentencias </w:t>
      </w:r>
      <w:hyperlink w:anchor="SENTENCIA_2024_89" w:history="1">
        <w:r w:rsidRPr="00601EEA">
          <w:rPr>
            <w:rStyle w:val="TextoNormalCaracter"/>
          </w:rPr>
          <w:t>89/2024</w:t>
        </w:r>
      </w:hyperlink>
      <w:r>
        <w:t xml:space="preserve">, f. 2; </w:t>
      </w:r>
      <w:hyperlink w:anchor="SENTENCIA_2024_92" w:history="1">
        <w:r w:rsidRPr="00601EEA">
          <w:rPr>
            <w:rStyle w:val="TextoNormalCaracter"/>
          </w:rPr>
          <w:t>92/2024</w:t>
        </w:r>
      </w:hyperlink>
      <w:r>
        <w:t>, f. 3.</w:t>
      </w:r>
    </w:p>
    <w:p w14:paraId="3D1D673E" w14:textId="0F8BEF3A" w:rsidR="00601EEA" w:rsidRDefault="00601EEA" w:rsidP="00601EEA">
      <w:pPr>
        <w:pStyle w:val="SangriaFrancesaArticulo"/>
      </w:pPr>
      <w:r w:rsidRPr="00601EEA">
        <w:rPr>
          <w:rStyle w:val="TextoNormalNegritaCaracter"/>
        </w:rPr>
        <w:t>Artículo 9.1.</w:t>
      </w:r>
      <w:r w:rsidRPr="00601EEA">
        <w:rPr>
          <w:rStyle w:val="TextoNormalCaracter"/>
        </w:rPr>
        <w:t>-</w:t>
      </w:r>
      <w:r>
        <w:t xml:space="preserve"> Sentencia </w:t>
      </w:r>
      <w:hyperlink w:anchor="SENTENCIA_2024_92" w:history="1">
        <w:r w:rsidRPr="00601EEA">
          <w:rPr>
            <w:rStyle w:val="TextoNormalCaracter"/>
          </w:rPr>
          <w:t>92/2024</w:t>
        </w:r>
      </w:hyperlink>
      <w:r>
        <w:t>, f. 5, VP IV.</w:t>
      </w:r>
    </w:p>
    <w:p w14:paraId="1092136C" w14:textId="2524E540" w:rsidR="00601EEA" w:rsidRDefault="00601EEA" w:rsidP="00601EEA">
      <w:pPr>
        <w:pStyle w:val="SangriaFrancesaArticulo"/>
      </w:pPr>
      <w:r w:rsidRPr="00601EEA">
        <w:rPr>
          <w:rStyle w:val="TextoNormalNegritaCaracter"/>
        </w:rPr>
        <w:t>Artículo 9.1 a).</w:t>
      </w:r>
      <w:r w:rsidRPr="00601EEA">
        <w:rPr>
          <w:rStyle w:val="TextoNormalCaracter"/>
        </w:rPr>
        <w:t>-</w:t>
      </w:r>
      <w:r>
        <w:t xml:space="preserve"> Sentencia </w:t>
      </w:r>
      <w:hyperlink w:anchor="SENTENCIA_2024_92" w:history="1">
        <w:r w:rsidRPr="00601EEA">
          <w:rPr>
            <w:rStyle w:val="TextoNormalCaracter"/>
          </w:rPr>
          <w:t>92/2024</w:t>
        </w:r>
      </w:hyperlink>
      <w:r>
        <w:t>, f. 5, VP I.</w:t>
      </w:r>
    </w:p>
    <w:p w14:paraId="5350D509" w14:textId="02D73344" w:rsidR="00601EEA" w:rsidRDefault="00601EEA" w:rsidP="00601EEA">
      <w:pPr>
        <w:pStyle w:val="SangriaFrancesaArticulo"/>
      </w:pPr>
      <w:r w:rsidRPr="00601EEA">
        <w:rPr>
          <w:rStyle w:val="TextoNormalNegritaCaracter"/>
        </w:rPr>
        <w:t>Artículo 9.1 a)</w:t>
      </w:r>
      <w:r>
        <w:t xml:space="preserve"> (redactado por la Ley Orgánica 1/2023, de 28 de febrero)</w:t>
      </w:r>
      <w:r w:rsidRPr="00601EEA">
        <w:rPr>
          <w:rStyle w:val="TextoNormalNegritaCaracter"/>
        </w:rPr>
        <w:t>.</w:t>
      </w:r>
      <w:r w:rsidRPr="00601EEA">
        <w:rPr>
          <w:rStyle w:val="TextoNormalCaracter"/>
        </w:rPr>
        <w:t>-</w:t>
      </w:r>
      <w:r>
        <w:t xml:space="preserve"> Sentencia </w:t>
      </w:r>
      <w:hyperlink w:anchor="SENTENCIA_2024_92" w:history="1">
        <w:r w:rsidRPr="00601EEA">
          <w:rPr>
            <w:rStyle w:val="TextoNormalCaracter"/>
          </w:rPr>
          <w:t>92/2024</w:t>
        </w:r>
      </w:hyperlink>
      <w:r>
        <w:t>, f. 5.</w:t>
      </w:r>
    </w:p>
    <w:p w14:paraId="09E388CC" w14:textId="2DFFE739" w:rsidR="00601EEA" w:rsidRDefault="00601EEA" w:rsidP="00601EEA">
      <w:pPr>
        <w:pStyle w:val="SangriaFrancesaArticulo"/>
      </w:pPr>
      <w:r w:rsidRPr="00601EEA">
        <w:rPr>
          <w:rStyle w:val="TextoNormalNegritaCaracter"/>
        </w:rPr>
        <w:t>Artículo 9.3.</w:t>
      </w:r>
      <w:r w:rsidRPr="00601EEA">
        <w:rPr>
          <w:rStyle w:val="TextoNormalCaracter"/>
        </w:rPr>
        <w:t>-</w:t>
      </w:r>
      <w:r>
        <w:t xml:space="preserve"> Sentencia </w:t>
      </w:r>
      <w:hyperlink w:anchor="SENTENCIA_2024_92" w:history="1">
        <w:r w:rsidRPr="00601EEA">
          <w:rPr>
            <w:rStyle w:val="TextoNormalCaracter"/>
          </w:rPr>
          <w:t>92/2024</w:t>
        </w:r>
      </w:hyperlink>
      <w:r>
        <w:t>, ff. 4, 6, VP IV.</w:t>
      </w:r>
    </w:p>
    <w:p w14:paraId="5BA09101" w14:textId="7B6AD904" w:rsidR="00601EEA" w:rsidRDefault="00601EEA" w:rsidP="00601EEA">
      <w:pPr>
        <w:pStyle w:val="SangriaFrancesaArticulo"/>
      </w:pPr>
      <w:r w:rsidRPr="00601EEA">
        <w:rPr>
          <w:rStyle w:val="TextoNormalNegritaCaracter"/>
        </w:rPr>
        <w:t>Artículo 10 ter.</w:t>
      </w:r>
      <w:r w:rsidRPr="00601EEA">
        <w:rPr>
          <w:rStyle w:val="TextoNormalCaracter"/>
        </w:rPr>
        <w:t>-</w:t>
      </w:r>
      <w:r>
        <w:t xml:space="preserve"> Sentencia </w:t>
      </w:r>
      <w:hyperlink w:anchor="SENTENCIA_2024_92" w:history="1">
        <w:r w:rsidRPr="00601EEA">
          <w:rPr>
            <w:rStyle w:val="TextoNormalCaracter"/>
          </w:rPr>
          <w:t>92/2024</w:t>
        </w:r>
      </w:hyperlink>
      <w:r>
        <w:t>, f. 3.</w:t>
      </w:r>
    </w:p>
    <w:p w14:paraId="72FC35E4" w14:textId="0D614FDD" w:rsidR="00601EEA" w:rsidRDefault="00601EEA" w:rsidP="00601EEA">
      <w:pPr>
        <w:pStyle w:val="SangriaFrancesaArticulo"/>
      </w:pPr>
      <w:r w:rsidRPr="00601EEA">
        <w:rPr>
          <w:rStyle w:val="TextoNormalNegritaCaracter"/>
        </w:rPr>
        <w:t>Artículo 11 bis.</w:t>
      </w:r>
      <w:r w:rsidRPr="00601EEA">
        <w:rPr>
          <w:rStyle w:val="TextoNormalCaracter"/>
        </w:rPr>
        <w:t>-</w:t>
      </w:r>
      <w:r>
        <w:t xml:space="preserve"> Sentencias </w:t>
      </w:r>
      <w:hyperlink w:anchor="SENTENCIA_2024_89" w:history="1">
        <w:r w:rsidRPr="00601EEA">
          <w:rPr>
            <w:rStyle w:val="TextoNormalCaracter"/>
          </w:rPr>
          <w:t>89/2024</w:t>
        </w:r>
      </w:hyperlink>
      <w:r>
        <w:t xml:space="preserve">, f. 2; </w:t>
      </w:r>
      <w:hyperlink w:anchor="SENTENCIA_2024_92" w:history="1">
        <w:r w:rsidRPr="00601EEA">
          <w:rPr>
            <w:rStyle w:val="TextoNormalCaracter"/>
          </w:rPr>
          <w:t>92/2024</w:t>
        </w:r>
      </w:hyperlink>
      <w:r>
        <w:t>, ff. 2, 3.</w:t>
      </w:r>
    </w:p>
    <w:p w14:paraId="2C1F03B9" w14:textId="78102258" w:rsidR="00601EEA" w:rsidRDefault="00601EEA" w:rsidP="00601EEA">
      <w:pPr>
        <w:pStyle w:val="SangriaFrancesaArticulo"/>
      </w:pPr>
      <w:r w:rsidRPr="00601EEA">
        <w:rPr>
          <w:rStyle w:val="TextoNormalNegritaCaracter"/>
        </w:rPr>
        <w:t>Artículo 11 bis, apartado 1.</w:t>
      </w:r>
      <w:r w:rsidRPr="00601EEA">
        <w:rPr>
          <w:rStyle w:val="TextoNormalCaracter"/>
        </w:rPr>
        <w:t>-</w:t>
      </w:r>
      <w:r>
        <w:t xml:space="preserve"> Sentencia </w:t>
      </w:r>
      <w:hyperlink w:anchor="SENTENCIA_2024_92" w:history="1">
        <w:r w:rsidRPr="00601EEA">
          <w:rPr>
            <w:rStyle w:val="TextoNormalCaracter"/>
          </w:rPr>
          <w:t>92/2024</w:t>
        </w:r>
      </w:hyperlink>
      <w:r>
        <w:t>, f. 3.</w:t>
      </w:r>
    </w:p>
    <w:p w14:paraId="0580047C" w14:textId="7ABD99D6" w:rsidR="00601EEA" w:rsidRDefault="00601EEA" w:rsidP="00601EEA">
      <w:pPr>
        <w:pStyle w:val="SangriaFrancesaArticulo"/>
      </w:pPr>
      <w:r w:rsidRPr="00601EEA">
        <w:rPr>
          <w:rStyle w:val="TextoNormalNegritaCaracter"/>
        </w:rPr>
        <w:t>Artículo 11 bis, apartado 2.</w:t>
      </w:r>
      <w:r w:rsidRPr="00601EEA">
        <w:rPr>
          <w:rStyle w:val="TextoNormalCaracter"/>
        </w:rPr>
        <w:t>-</w:t>
      </w:r>
      <w:r>
        <w:t xml:space="preserve"> Sentencia </w:t>
      </w:r>
      <w:hyperlink w:anchor="SENTENCIA_2024_92" w:history="1">
        <w:r w:rsidRPr="00601EEA">
          <w:rPr>
            <w:rStyle w:val="TextoNormalCaracter"/>
          </w:rPr>
          <w:t>92/2024</w:t>
        </w:r>
      </w:hyperlink>
      <w:r>
        <w:t>, f. 3.</w:t>
      </w:r>
    </w:p>
    <w:p w14:paraId="2E8A4FAA" w14:textId="50AB9399" w:rsidR="00601EEA" w:rsidRDefault="00601EEA" w:rsidP="00601EEA">
      <w:pPr>
        <w:pStyle w:val="SangriaFrancesaArticulo"/>
      </w:pPr>
      <w:r w:rsidRPr="00601EEA">
        <w:rPr>
          <w:rStyle w:val="TextoNormalNegritaCaracter"/>
        </w:rPr>
        <w:t>Artículo 11.3.</w:t>
      </w:r>
      <w:r w:rsidRPr="00601EEA">
        <w:rPr>
          <w:rStyle w:val="TextoNormalCaracter"/>
        </w:rPr>
        <w:t>-</w:t>
      </w:r>
      <w:r>
        <w:t xml:space="preserve"> Sentencia </w:t>
      </w:r>
      <w:hyperlink w:anchor="SENTENCIA_2024_92" w:history="1">
        <w:r w:rsidRPr="00601EEA">
          <w:rPr>
            <w:rStyle w:val="TextoNormalCaracter"/>
          </w:rPr>
          <w:t>92/2024</w:t>
        </w:r>
      </w:hyperlink>
      <w:r>
        <w:t>, f. 3.</w:t>
      </w:r>
    </w:p>
    <w:p w14:paraId="362CA766" w14:textId="0B9501B9" w:rsidR="00601EEA" w:rsidRDefault="00601EEA" w:rsidP="00601EEA">
      <w:pPr>
        <w:pStyle w:val="SangriaFrancesaArticulo"/>
      </w:pPr>
      <w:r w:rsidRPr="00601EEA">
        <w:rPr>
          <w:rStyle w:val="TextoNormalNegritaCaracter"/>
        </w:rPr>
        <w:t>Artículo 11.4.</w:t>
      </w:r>
      <w:r w:rsidRPr="00601EEA">
        <w:rPr>
          <w:rStyle w:val="TextoNormalCaracter"/>
        </w:rPr>
        <w:t>-</w:t>
      </w:r>
      <w:r>
        <w:t xml:space="preserve"> Sentencia </w:t>
      </w:r>
      <w:hyperlink w:anchor="SENTENCIA_2024_92" w:history="1">
        <w:r w:rsidRPr="00601EEA">
          <w:rPr>
            <w:rStyle w:val="TextoNormalCaracter"/>
          </w:rPr>
          <w:t>92/2024</w:t>
        </w:r>
      </w:hyperlink>
      <w:r>
        <w:t>, f. 3.</w:t>
      </w:r>
    </w:p>
    <w:p w14:paraId="5F9B25E5" w14:textId="3E01D3A9" w:rsidR="00601EEA" w:rsidRDefault="00601EEA" w:rsidP="00601EEA">
      <w:pPr>
        <w:pStyle w:val="SangriaFrancesaArticulo"/>
      </w:pPr>
      <w:r w:rsidRPr="00601EEA">
        <w:rPr>
          <w:rStyle w:val="TextoNormalNegritaCaracter"/>
        </w:rPr>
        <w:t>Artículo 11.4, párrafo segundo.</w:t>
      </w:r>
      <w:r w:rsidRPr="00601EEA">
        <w:rPr>
          <w:rStyle w:val="TextoNormalCaracter"/>
        </w:rPr>
        <w:t>-</w:t>
      </w:r>
      <w:r>
        <w:t xml:space="preserve"> Sentencia </w:t>
      </w:r>
      <w:hyperlink w:anchor="SENTENCIA_2024_92" w:history="1">
        <w:r w:rsidRPr="00601EEA">
          <w:rPr>
            <w:rStyle w:val="TextoNormalCaracter"/>
          </w:rPr>
          <w:t>92/2024</w:t>
        </w:r>
      </w:hyperlink>
      <w:r>
        <w:t>, f. 3.</w:t>
      </w:r>
    </w:p>
    <w:p w14:paraId="3A097CAE" w14:textId="6CE6BDDD" w:rsidR="00601EEA" w:rsidRDefault="00601EEA" w:rsidP="00601EEA">
      <w:pPr>
        <w:pStyle w:val="SangriaFrancesaArticulo"/>
      </w:pPr>
      <w:r w:rsidRPr="00601EEA">
        <w:rPr>
          <w:rStyle w:val="TextoNormalNegritaCaracter"/>
        </w:rPr>
        <w:t>Artículo 13.</w:t>
      </w:r>
      <w:r w:rsidRPr="00601EEA">
        <w:rPr>
          <w:rStyle w:val="TextoNormalCaracter"/>
        </w:rPr>
        <w:t>-</w:t>
      </w:r>
      <w:r>
        <w:t xml:space="preserve"> Sentencia </w:t>
      </w:r>
      <w:hyperlink w:anchor="SENTENCIA_2024_92" w:history="1">
        <w:r w:rsidRPr="00601EEA">
          <w:rPr>
            <w:rStyle w:val="TextoNormalCaracter"/>
          </w:rPr>
          <w:t>92/2024</w:t>
        </w:r>
      </w:hyperlink>
      <w:r>
        <w:t>, VP I, VP II.</w:t>
      </w:r>
    </w:p>
    <w:p w14:paraId="33DFA185" w14:textId="74A950AF" w:rsidR="00601EEA" w:rsidRDefault="00601EEA" w:rsidP="00601EEA">
      <w:pPr>
        <w:pStyle w:val="SangriaFrancesaArticulo"/>
      </w:pPr>
      <w:r w:rsidRPr="00601EEA">
        <w:rPr>
          <w:rStyle w:val="TextoNormalNegritaCaracter"/>
        </w:rPr>
        <w:t>Artículo 13</w:t>
      </w:r>
      <w:r>
        <w:t xml:space="preserve"> (redactado por la Ley Orgánica 1/2023, de 28 de febrero)</w:t>
      </w:r>
      <w:r w:rsidRPr="00601EEA">
        <w:rPr>
          <w:rStyle w:val="TextoNormalNegritaCaracter"/>
        </w:rPr>
        <w:t>.</w:t>
      </w:r>
      <w:r w:rsidRPr="00601EEA">
        <w:rPr>
          <w:rStyle w:val="TextoNormalCaracter"/>
        </w:rPr>
        <w:t>-</w:t>
      </w:r>
      <w:r>
        <w:t xml:space="preserve"> Sentencia </w:t>
      </w:r>
      <w:hyperlink w:anchor="SENTENCIA_2024_92" w:history="1">
        <w:r w:rsidRPr="00601EEA">
          <w:rPr>
            <w:rStyle w:val="TextoNormalCaracter"/>
          </w:rPr>
          <w:t>92/2024</w:t>
        </w:r>
      </w:hyperlink>
      <w:r>
        <w:t>, f. 7.</w:t>
      </w:r>
    </w:p>
    <w:p w14:paraId="12622672" w14:textId="4A51A03A" w:rsidR="00601EEA" w:rsidRDefault="00601EEA" w:rsidP="00601EEA">
      <w:pPr>
        <w:pStyle w:val="SangriaFrancesaArticulo"/>
      </w:pPr>
      <w:r w:rsidRPr="00601EEA">
        <w:rPr>
          <w:rStyle w:val="TextoNormalNegritaCaracter"/>
        </w:rPr>
        <w:t>Artículo 13 bis</w:t>
      </w:r>
      <w:r>
        <w:t xml:space="preserve"> (redactado por la Ley Orgánica 1/2023, de 28 de febrero)</w:t>
      </w:r>
      <w:r w:rsidRPr="00601EEA">
        <w:rPr>
          <w:rStyle w:val="TextoNormalNegritaCaracter"/>
        </w:rPr>
        <w:t>.</w:t>
      </w:r>
      <w:r w:rsidRPr="00601EEA">
        <w:rPr>
          <w:rStyle w:val="TextoNormalCaracter"/>
        </w:rPr>
        <w:t>-</w:t>
      </w:r>
      <w:r>
        <w:t xml:space="preserve"> Sentencia </w:t>
      </w:r>
      <w:hyperlink w:anchor="SENTENCIA_2024_92" w:history="1">
        <w:r w:rsidRPr="00601EEA">
          <w:rPr>
            <w:rStyle w:val="TextoNormalCaracter"/>
          </w:rPr>
          <w:t>92/2024</w:t>
        </w:r>
      </w:hyperlink>
      <w:r>
        <w:t>, VP I.</w:t>
      </w:r>
    </w:p>
    <w:p w14:paraId="6D74774B" w14:textId="548487B7" w:rsidR="00601EEA" w:rsidRDefault="00601EEA" w:rsidP="00601EEA">
      <w:pPr>
        <w:pStyle w:val="SangriaFrancesaArticulo"/>
      </w:pPr>
      <w:r w:rsidRPr="00601EEA">
        <w:rPr>
          <w:rStyle w:val="TextoNormalNegritaCaracter"/>
        </w:rPr>
        <w:t>Artículo 13 bis 1</w:t>
      </w:r>
      <w:r>
        <w:t xml:space="preserve"> (redactado por la Ley Orgánica 1/2023, de 28 de febrero)</w:t>
      </w:r>
      <w:r w:rsidRPr="00601EEA">
        <w:rPr>
          <w:rStyle w:val="TextoNormalNegritaCaracter"/>
        </w:rPr>
        <w:t>.</w:t>
      </w:r>
      <w:r w:rsidRPr="00601EEA">
        <w:rPr>
          <w:rStyle w:val="TextoNormalCaracter"/>
        </w:rPr>
        <w:t>-</w:t>
      </w:r>
      <w:r>
        <w:t xml:space="preserve"> Sentencia </w:t>
      </w:r>
      <w:hyperlink w:anchor="SENTENCIA_2024_92" w:history="1">
        <w:r w:rsidRPr="00601EEA">
          <w:rPr>
            <w:rStyle w:val="TextoNormalCaracter"/>
          </w:rPr>
          <w:t>92/2024</w:t>
        </w:r>
      </w:hyperlink>
      <w:r>
        <w:t>, ff. 5, 6, VP II.</w:t>
      </w:r>
    </w:p>
    <w:p w14:paraId="15185E68" w14:textId="63B71042" w:rsidR="00601EEA" w:rsidRDefault="00601EEA" w:rsidP="00601EEA">
      <w:pPr>
        <w:pStyle w:val="SangriaFrancesaArticulo"/>
      </w:pPr>
      <w:r w:rsidRPr="00601EEA">
        <w:rPr>
          <w:rStyle w:val="TextoNormalNegritaCaracter"/>
        </w:rPr>
        <w:t>Artículo 13 c).</w:t>
      </w:r>
      <w:r w:rsidRPr="00601EEA">
        <w:rPr>
          <w:rStyle w:val="TextoNormalCaracter"/>
        </w:rPr>
        <w:t>-</w:t>
      </w:r>
      <w:r>
        <w:t xml:space="preserve"> Sentencia </w:t>
      </w:r>
      <w:hyperlink w:anchor="SENTENCIA_2024_92" w:history="1">
        <w:r w:rsidRPr="00601EEA">
          <w:rPr>
            <w:rStyle w:val="TextoNormalCaracter"/>
          </w:rPr>
          <w:t>92/2024</w:t>
        </w:r>
      </w:hyperlink>
      <w:r>
        <w:t>, f. 6.</w:t>
      </w:r>
    </w:p>
    <w:p w14:paraId="43852941" w14:textId="4F5A77FF" w:rsidR="00601EEA" w:rsidRDefault="00601EEA" w:rsidP="00601EEA">
      <w:pPr>
        <w:pStyle w:val="SangriaFrancesaArticulo"/>
      </w:pPr>
      <w:r w:rsidRPr="00601EEA">
        <w:rPr>
          <w:rStyle w:val="TextoNormalNegritaCaracter"/>
        </w:rPr>
        <w:t>Artículo 13 c)</w:t>
      </w:r>
      <w:r>
        <w:t xml:space="preserve"> (redactado por la Ley Orgánica 1/2023, de 28 de febrero)</w:t>
      </w:r>
      <w:r w:rsidRPr="00601EEA">
        <w:rPr>
          <w:rStyle w:val="TextoNormalNegritaCaracter"/>
        </w:rPr>
        <w:t>.</w:t>
      </w:r>
      <w:r w:rsidRPr="00601EEA">
        <w:rPr>
          <w:rStyle w:val="TextoNormalCaracter"/>
        </w:rPr>
        <w:t>-</w:t>
      </w:r>
      <w:r>
        <w:t xml:space="preserve"> Sentencia </w:t>
      </w:r>
      <w:hyperlink w:anchor="SENTENCIA_2024_92" w:history="1">
        <w:r w:rsidRPr="00601EEA">
          <w:rPr>
            <w:rStyle w:val="TextoNormalCaracter"/>
          </w:rPr>
          <w:t>92/2024</w:t>
        </w:r>
      </w:hyperlink>
      <w:r>
        <w:t>, f. 6.</w:t>
      </w:r>
    </w:p>
    <w:p w14:paraId="7BC401E2" w14:textId="27161796" w:rsidR="00601EEA" w:rsidRDefault="00601EEA" w:rsidP="00601EEA">
      <w:pPr>
        <w:pStyle w:val="SangriaFrancesaArticulo"/>
      </w:pPr>
      <w:r w:rsidRPr="00601EEA">
        <w:rPr>
          <w:rStyle w:val="TextoNormalNegritaCaracter"/>
        </w:rPr>
        <w:t>Artículo 13.4.</w:t>
      </w:r>
      <w:r w:rsidRPr="00601EEA">
        <w:rPr>
          <w:rStyle w:val="TextoNormalCaracter"/>
        </w:rPr>
        <w:t>-</w:t>
      </w:r>
      <w:r>
        <w:t xml:space="preserve"> Sentencia </w:t>
      </w:r>
      <w:hyperlink w:anchor="SENTENCIA_2024_92" w:history="1">
        <w:r w:rsidRPr="00601EEA">
          <w:rPr>
            <w:rStyle w:val="TextoNormalCaracter"/>
          </w:rPr>
          <w:t>92/2024</w:t>
        </w:r>
      </w:hyperlink>
      <w:r>
        <w:t>, f. 6.</w:t>
      </w:r>
    </w:p>
    <w:p w14:paraId="2424F0A6" w14:textId="5082AAF6" w:rsidR="00601EEA" w:rsidRDefault="00601EEA" w:rsidP="00601EEA">
      <w:pPr>
        <w:pStyle w:val="SangriaFrancesaArticulo"/>
      </w:pPr>
      <w:r w:rsidRPr="00601EEA">
        <w:rPr>
          <w:rStyle w:val="TextoNormalNegritaCaracter"/>
        </w:rPr>
        <w:t>Artículo 14.</w:t>
      </w:r>
      <w:r w:rsidRPr="00601EEA">
        <w:rPr>
          <w:rStyle w:val="TextoNormalCaracter"/>
        </w:rPr>
        <w:t>-</w:t>
      </w:r>
      <w:r>
        <w:t xml:space="preserve"> Sentencia </w:t>
      </w:r>
      <w:hyperlink w:anchor="SENTENCIA_2024_92" w:history="1">
        <w:r w:rsidRPr="00601EEA">
          <w:rPr>
            <w:rStyle w:val="TextoNormalCaracter"/>
          </w:rPr>
          <w:t>92/2024</w:t>
        </w:r>
      </w:hyperlink>
      <w:r>
        <w:t>, ff. 4, 7, 8, VP I, VP III.</w:t>
      </w:r>
    </w:p>
    <w:p w14:paraId="3A25D04A" w14:textId="7A61AC8F" w:rsidR="00601EEA" w:rsidRDefault="00601EEA" w:rsidP="00601EEA">
      <w:pPr>
        <w:pStyle w:val="SangriaFrancesaArticulo"/>
      </w:pPr>
      <w:r w:rsidRPr="00601EEA">
        <w:rPr>
          <w:rStyle w:val="TextoNormalNegritaCaracter"/>
        </w:rPr>
        <w:lastRenderedPageBreak/>
        <w:t>Artículo 14 bis</w:t>
      </w:r>
      <w:r>
        <w:t xml:space="preserve"> (redactado por la Ley Orgánica 1/2023, de 28 de febrero)</w:t>
      </w:r>
      <w:r w:rsidRPr="00601EEA">
        <w:rPr>
          <w:rStyle w:val="TextoNormalNegritaCaracter"/>
        </w:rPr>
        <w:t>.</w:t>
      </w:r>
      <w:r w:rsidRPr="00601EEA">
        <w:rPr>
          <w:rStyle w:val="TextoNormalCaracter"/>
        </w:rPr>
        <w:t>-</w:t>
      </w:r>
      <w:r>
        <w:t xml:space="preserve"> Sentencia </w:t>
      </w:r>
      <w:hyperlink w:anchor="SENTENCIA_2024_92" w:history="1">
        <w:r w:rsidRPr="00601EEA">
          <w:rPr>
            <w:rStyle w:val="TextoNormalCaracter"/>
          </w:rPr>
          <w:t>92/2024</w:t>
        </w:r>
      </w:hyperlink>
      <w:r>
        <w:t>, f. 7, VP II.</w:t>
      </w:r>
    </w:p>
    <w:p w14:paraId="4452D6EB" w14:textId="5E63DF0D" w:rsidR="00601EEA" w:rsidRDefault="00601EEA" w:rsidP="00601EEA">
      <w:pPr>
        <w:pStyle w:val="SangriaFrancesaArticulo"/>
      </w:pPr>
      <w:r w:rsidRPr="00601EEA">
        <w:rPr>
          <w:rStyle w:val="TextoNormalNegritaCaracter"/>
        </w:rPr>
        <w:t>Artículo 15 a).</w:t>
      </w:r>
      <w:r w:rsidRPr="00601EEA">
        <w:rPr>
          <w:rStyle w:val="TextoNormalCaracter"/>
        </w:rPr>
        <w:t>-</w:t>
      </w:r>
      <w:r>
        <w:t xml:space="preserve"> Sentencia </w:t>
      </w:r>
      <w:hyperlink w:anchor="SENTENCIA_2024_92" w:history="1">
        <w:r w:rsidRPr="00601EEA">
          <w:rPr>
            <w:rStyle w:val="TextoNormalCaracter"/>
          </w:rPr>
          <w:t>92/2024</w:t>
        </w:r>
      </w:hyperlink>
      <w:r>
        <w:t>, f. 8.</w:t>
      </w:r>
    </w:p>
    <w:p w14:paraId="38572D28" w14:textId="287963C2" w:rsidR="00601EEA" w:rsidRDefault="00601EEA" w:rsidP="00601EEA">
      <w:pPr>
        <w:pStyle w:val="SangriaFrancesaArticulo"/>
      </w:pPr>
      <w:r w:rsidRPr="00601EEA">
        <w:rPr>
          <w:rStyle w:val="TextoNormalNegritaCaracter"/>
        </w:rPr>
        <w:t>Artículo 15 b).</w:t>
      </w:r>
      <w:r w:rsidRPr="00601EEA">
        <w:rPr>
          <w:rStyle w:val="TextoNormalCaracter"/>
        </w:rPr>
        <w:t>-</w:t>
      </w:r>
      <w:r>
        <w:t xml:space="preserve"> Sentencia </w:t>
      </w:r>
      <w:hyperlink w:anchor="SENTENCIA_2024_92" w:history="1">
        <w:r w:rsidRPr="00601EEA">
          <w:rPr>
            <w:rStyle w:val="TextoNormalCaracter"/>
          </w:rPr>
          <w:t>92/2024</w:t>
        </w:r>
      </w:hyperlink>
      <w:r>
        <w:t>, f. 5, VP III.</w:t>
      </w:r>
    </w:p>
    <w:p w14:paraId="322520D9" w14:textId="6B31CA92" w:rsidR="00601EEA" w:rsidRDefault="00601EEA" w:rsidP="00601EEA">
      <w:pPr>
        <w:pStyle w:val="SangriaFrancesaArticulo"/>
      </w:pPr>
      <w:r w:rsidRPr="00601EEA">
        <w:rPr>
          <w:rStyle w:val="TextoNormalNegritaCaracter"/>
        </w:rPr>
        <w:t>Artículo 15 c).</w:t>
      </w:r>
      <w:r w:rsidRPr="00601EEA">
        <w:rPr>
          <w:rStyle w:val="TextoNormalCaracter"/>
        </w:rPr>
        <w:t>-</w:t>
      </w:r>
      <w:r>
        <w:t xml:space="preserve"> Sentencia </w:t>
      </w:r>
      <w:hyperlink w:anchor="SENTENCIA_2024_92" w:history="1">
        <w:r w:rsidRPr="00601EEA">
          <w:rPr>
            <w:rStyle w:val="TextoNormalCaracter"/>
          </w:rPr>
          <w:t>92/2024</w:t>
        </w:r>
      </w:hyperlink>
      <w:r>
        <w:t>, f. 8.</w:t>
      </w:r>
    </w:p>
    <w:p w14:paraId="2D71BA38" w14:textId="107D0384" w:rsidR="00601EEA" w:rsidRDefault="00601EEA" w:rsidP="00601EEA">
      <w:pPr>
        <w:pStyle w:val="SangriaFrancesaArticulo"/>
      </w:pPr>
      <w:r w:rsidRPr="00601EEA">
        <w:rPr>
          <w:rStyle w:val="TextoNormalNegritaCaracter"/>
        </w:rPr>
        <w:t>Artículo 16.</w:t>
      </w:r>
      <w:r w:rsidRPr="00601EEA">
        <w:rPr>
          <w:rStyle w:val="TextoNormalCaracter"/>
        </w:rPr>
        <w:t>-</w:t>
      </w:r>
      <w:r>
        <w:t xml:space="preserve"> Sentencia </w:t>
      </w:r>
      <w:hyperlink w:anchor="SENTENCIA_2024_92" w:history="1">
        <w:r w:rsidRPr="00601EEA">
          <w:rPr>
            <w:rStyle w:val="TextoNormalCaracter"/>
          </w:rPr>
          <w:t>92/2024</w:t>
        </w:r>
      </w:hyperlink>
      <w:r>
        <w:t>, f. 8.</w:t>
      </w:r>
    </w:p>
    <w:p w14:paraId="63BB814C" w14:textId="640385CA" w:rsidR="00601EEA" w:rsidRDefault="00601EEA" w:rsidP="00601EEA">
      <w:pPr>
        <w:pStyle w:val="SangriaFrancesaArticulo"/>
      </w:pPr>
      <w:r w:rsidRPr="00601EEA">
        <w:rPr>
          <w:rStyle w:val="TextoNormalNegritaCaracter"/>
        </w:rPr>
        <w:t>Artículo 16.1.</w:t>
      </w:r>
      <w:r w:rsidRPr="00601EEA">
        <w:rPr>
          <w:rStyle w:val="TextoNormalCaracter"/>
        </w:rPr>
        <w:t>-</w:t>
      </w:r>
      <w:r>
        <w:t xml:space="preserve"> Sentencia </w:t>
      </w:r>
      <w:hyperlink w:anchor="SENTENCIA_2024_92" w:history="1">
        <w:r w:rsidRPr="00601EEA">
          <w:rPr>
            <w:rStyle w:val="TextoNormalCaracter"/>
          </w:rPr>
          <w:t>92/2024</w:t>
        </w:r>
      </w:hyperlink>
      <w:r>
        <w:t>, f. 4.</w:t>
      </w:r>
    </w:p>
    <w:p w14:paraId="3C33EDB6" w14:textId="4D763EEF" w:rsidR="00601EEA" w:rsidRDefault="00601EEA" w:rsidP="00601EEA">
      <w:pPr>
        <w:pStyle w:val="SangriaFrancesaArticulo"/>
      </w:pPr>
      <w:r w:rsidRPr="00601EEA">
        <w:rPr>
          <w:rStyle w:val="TextoNormalNegritaCaracter"/>
        </w:rPr>
        <w:t>Artículo 16.1</w:t>
      </w:r>
      <w:r>
        <w:t xml:space="preserve"> (redactado por la Ley Orgánica 1/2023, de 28 de febrero)</w:t>
      </w:r>
      <w:r w:rsidRPr="00601EEA">
        <w:rPr>
          <w:rStyle w:val="TextoNormalNegritaCaracter"/>
        </w:rPr>
        <w:t>.</w:t>
      </w:r>
      <w:r w:rsidRPr="00601EEA">
        <w:rPr>
          <w:rStyle w:val="TextoNormalCaracter"/>
        </w:rPr>
        <w:t>-</w:t>
      </w:r>
      <w:r>
        <w:t xml:space="preserve"> Sentencia </w:t>
      </w:r>
      <w:hyperlink w:anchor="SENTENCIA_2024_92" w:history="1">
        <w:r w:rsidRPr="00601EEA">
          <w:rPr>
            <w:rStyle w:val="TextoNormalCaracter"/>
          </w:rPr>
          <w:t>92/2024</w:t>
        </w:r>
      </w:hyperlink>
      <w:r>
        <w:t>, f. 8, VP II.</w:t>
      </w:r>
    </w:p>
    <w:p w14:paraId="62B4A427" w14:textId="579316F0" w:rsidR="00601EEA" w:rsidRDefault="00601EEA" w:rsidP="00601EEA">
      <w:pPr>
        <w:pStyle w:val="SangriaFrancesaArticulo"/>
      </w:pPr>
      <w:r w:rsidRPr="00601EEA">
        <w:rPr>
          <w:rStyle w:val="TextoNormalNegritaCaracter"/>
        </w:rPr>
        <w:t>Artículo 16.2.</w:t>
      </w:r>
      <w:r w:rsidRPr="00601EEA">
        <w:rPr>
          <w:rStyle w:val="TextoNormalCaracter"/>
        </w:rPr>
        <w:t>-</w:t>
      </w:r>
      <w:r>
        <w:t xml:space="preserve"> Sentencia </w:t>
      </w:r>
      <w:hyperlink w:anchor="SENTENCIA_2024_92" w:history="1">
        <w:r w:rsidRPr="00601EEA">
          <w:rPr>
            <w:rStyle w:val="TextoNormalCaracter"/>
          </w:rPr>
          <w:t>92/2024</w:t>
        </w:r>
      </w:hyperlink>
      <w:r>
        <w:t>, f. 8.</w:t>
      </w:r>
    </w:p>
    <w:p w14:paraId="75ED351D" w14:textId="7D157BF2" w:rsidR="00601EEA" w:rsidRDefault="00601EEA" w:rsidP="00601EEA">
      <w:pPr>
        <w:pStyle w:val="SangriaFrancesaArticulo"/>
      </w:pPr>
      <w:r w:rsidRPr="00601EEA">
        <w:rPr>
          <w:rStyle w:val="TextoNormalNegritaCaracter"/>
        </w:rPr>
        <w:t>Artículo 16.3.</w:t>
      </w:r>
      <w:r w:rsidRPr="00601EEA">
        <w:rPr>
          <w:rStyle w:val="TextoNormalCaracter"/>
        </w:rPr>
        <w:t>-</w:t>
      </w:r>
      <w:r>
        <w:t xml:space="preserve"> Sentencia </w:t>
      </w:r>
      <w:hyperlink w:anchor="SENTENCIA_2024_92" w:history="1">
        <w:r w:rsidRPr="00601EEA">
          <w:rPr>
            <w:rStyle w:val="TextoNormalCaracter"/>
          </w:rPr>
          <w:t>92/2024</w:t>
        </w:r>
      </w:hyperlink>
      <w:r>
        <w:t>, f. 8.</w:t>
      </w:r>
    </w:p>
    <w:p w14:paraId="57517BE5" w14:textId="09941B82" w:rsidR="00601EEA" w:rsidRDefault="00601EEA" w:rsidP="00601EEA">
      <w:pPr>
        <w:pStyle w:val="SangriaFrancesaArticulo"/>
      </w:pPr>
      <w:r w:rsidRPr="00601EEA">
        <w:rPr>
          <w:rStyle w:val="TextoNormalNegritaCaracter"/>
        </w:rPr>
        <w:t>Artículo 17</w:t>
      </w:r>
      <w:r>
        <w:t xml:space="preserve"> (redactado por la Ley Orgánica 1/2023, de 28 de febrero)</w:t>
      </w:r>
      <w:r w:rsidRPr="00601EEA">
        <w:rPr>
          <w:rStyle w:val="TextoNormalNegritaCaracter"/>
        </w:rPr>
        <w:t>.</w:t>
      </w:r>
      <w:r w:rsidRPr="00601EEA">
        <w:rPr>
          <w:rStyle w:val="TextoNormalCaracter"/>
        </w:rPr>
        <w:t>-</w:t>
      </w:r>
      <w:r>
        <w:t xml:space="preserve"> Sentencia </w:t>
      </w:r>
      <w:hyperlink w:anchor="SENTENCIA_2024_92" w:history="1">
        <w:r w:rsidRPr="00601EEA">
          <w:rPr>
            <w:rStyle w:val="TextoNormalCaracter"/>
          </w:rPr>
          <w:t>92/2024</w:t>
        </w:r>
      </w:hyperlink>
      <w:r>
        <w:t>, f. 7, VP I, VP II, VP III.</w:t>
      </w:r>
    </w:p>
    <w:p w14:paraId="5BD49A9F" w14:textId="1424E884" w:rsidR="00601EEA" w:rsidRDefault="00601EEA" w:rsidP="00601EEA">
      <w:pPr>
        <w:pStyle w:val="SangriaFrancesaArticulo"/>
      </w:pPr>
      <w:r w:rsidRPr="00601EEA">
        <w:rPr>
          <w:rStyle w:val="TextoNormalNegritaCaracter"/>
        </w:rPr>
        <w:t>Artículo 17, párrafo segundo, apartado quinto</w:t>
      </w:r>
      <w:r>
        <w:t xml:space="preserve"> (redactado por la Ley Orgánica 1/2023, de 28 de febrero)</w:t>
      </w:r>
      <w:r w:rsidRPr="00601EEA">
        <w:rPr>
          <w:rStyle w:val="TextoNormalNegritaCaracter"/>
        </w:rPr>
        <w:t>.</w:t>
      </w:r>
      <w:r w:rsidRPr="00601EEA">
        <w:rPr>
          <w:rStyle w:val="TextoNormalCaracter"/>
        </w:rPr>
        <w:t>-</w:t>
      </w:r>
      <w:r>
        <w:t xml:space="preserve"> Sentencia </w:t>
      </w:r>
      <w:hyperlink w:anchor="SENTENCIA_2024_92" w:history="1">
        <w:r w:rsidRPr="00601EEA">
          <w:rPr>
            <w:rStyle w:val="TextoNormalCaracter"/>
          </w:rPr>
          <w:t>92/2024</w:t>
        </w:r>
      </w:hyperlink>
      <w:r>
        <w:t>, f. 7, VP II.</w:t>
      </w:r>
    </w:p>
    <w:p w14:paraId="464239B6" w14:textId="599460A4" w:rsidR="00601EEA" w:rsidRDefault="00601EEA" w:rsidP="00601EEA">
      <w:pPr>
        <w:pStyle w:val="SangriaFrancesaArticulo"/>
      </w:pPr>
      <w:r w:rsidRPr="00601EEA">
        <w:rPr>
          <w:rStyle w:val="TextoNormalNegritaCaracter"/>
        </w:rPr>
        <w:t>Artículo 17, párrafo segundo, apartado segundo</w:t>
      </w:r>
      <w:r>
        <w:t xml:space="preserve"> (redactado por la Ley Orgánica 1/2023, de 28 de febrero)</w:t>
      </w:r>
      <w:r w:rsidRPr="00601EEA">
        <w:rPr>
          <w:rStyle w:val="TextoNormalNegritaCaracter"/>
        </w:rPr>
        <w:t>.</w:t>
      </w:r>
      <w:r w:rsidRPr="00601EEA">
        <w:rPr>
          <w:rStyle w:val="TextoNormalCaracter"/>
        </w:rPr>
        <w:t>-</w:t>
      </w:r>
      <w:r>
        <w:t xml:space="preserve"> Sentencia </w:t>
      </w:r>
      <w:hyperlink w:anchor="SENTENCIA_2024_92" w:history="1">
        <w:r w:rsidRPr="00601EEA">
          <w:rPr>
            <w:rStyle w:val="TextoNormalCaracter"/>
          </w:rPr>
          <w:t>92/2024</w:t>
        </w:r>
      </w:hyperlink>
      <w:r>
        <w:t>, f. 7, VP II.</w:t>
      </w:r>
    </w:p>
    <w:p w14:paraId="610AA14E" w14:textId="072E5592" w:rsidR="00601EEA" w:rsidRDefault="00601EEA" w:rsidP="00601EEA">
      <w:pPr>
        <w:pStyle w:val="SangriaFrancesaArticulo"/>
      </w:pPr>
      <w:r w:rsidRPr="00601EEA">
        <w:rPr>
          <w:rStyle w:val="TextoNormalNegritaCaracter"/>
        </w:rPr>
        <w:t>Artículo 17, párrafo segundo, apartado tercero.</w:t>
      </w:r>
      <w:r w:rsidRPr="00601EEA">
        <w:rPr>
          <w:rStyle w:val="TextoNormalCaracter"/>
        </w:rPr>
        <w:t>-</w:t>
      </w:r>
      <w:r>
        <w:t xml:space="preserve"> Sentencia </w:t>
      </w:r>
      <w:hyperlink w:anchor="SENTENCIA_2024_92" w:history="1">
        <w:r w:rsidRPr="00601EEA">
          <w:rPr>
            <w:rStyle w:val="TextoNormalCaracter"/>
          </w:rPr>
          <w:t>92/2024</w:t>
        </w:r>
      </w:hyperlink>
      <w:r>
        <w:t>, f. 7.</w:t>
      </w:r>
    </w:p>
    <w:p w14:paraId="130F2664" w14:textId="00F1948A" w:rsidR="00601EEA" w:rsidRDefault="00601EEA" w:rsidP="00601EEA">
      <w:pPr>
        <w:pStyle w:val="SangriaFrancesaArticulo"/>
      </w:pPr>
      <w:r w:rsidRPr="00601EEA">
        <w:rPr>
          <w:rStyle w:val="TextoNormalNegritaCaracter"/>
        </w:rPr>
        <w:t>Artículo 17.1.</w:t>
      </w:r>
      <w:r w:rsidRPr="00601EEA">
        <w:rPr>
          <w:rStyle w:val="TextoNormalCaracter"/>
        </w:rPr>
        <w:t>-</w:t>
      </w:r>
      <w:r>
        <w:t xml:space="preserve"> Sentencia </w:t>
      </w:r>
      <w:hyperlink w:anchor="SENTENCIA_2024_92" w:history="1">
        <w:r w:rsidRPr="00601EEA">
          <w:rPr>
            <w:rStyle w:val="TextoNormalCaracter"/>
          </w:rPr>
          <w:t>92/2024</w:t>
        </w:r>
      </w:hyperlink>
      <w:r>
        <w:t>, f. 7.</w:t>
      </w:r>
    </w:p>
    <w:p w14:paraId="593C4613" w14:textId="0DB0A827" w:rsidR="00601EEA" w:rsidRDefault="00601EEA" w:rsidP="00601EEA">
      <w:pPr>
        <w:pStyle w:val="SangriaFrancesaArticulo"/>
      </w:pPr>
      <w:r w:rsidRPr="00601EEA">
        <w:rPr>
          <w:rStyle w:val="TextoNormalNegritaCaracter"/>
        </w:rPr>
        <w:t>Artículo 17.2.</w:t>
      </w:r>
      <w:r w:rsidRPr="00601EEA">
        <w:rPr>
          <w:rStyle w:val="TextoNormalCaracter"/>
        </w:rPr>
        <w:t>-</w:t>
      </w:r>
      <w:r>
        <w:t xml:space="preserve"> Sentencia </w:t>
      </w:r>
      <w:hyperlink w:anchor="SENTENCIA_2024_92" w:history="1">
        <w:r w:rsidRPr="00601EEA">
          <w:rPr>
            <w:rStyle w:val="TextoNormalCaracter"/>
          </w:rPr>
          <w:t>92/2024</w:t>
        </w:r>
      </w:hyperlink>
      <w:r>
        <w:t>, f. 7, VP II, VP III.</w:t>
      </w:r>
    </w:p>
    <w:p w14:paraId="00C55E2D" w14:textId="4745EB75" w:rsidR="00601EEA" w:rsidRDefault="00601EEA" w:rsidP="00601EEA">
      <w:pPr>
        <w:pStyle w:val="SangriaFrancesaArticulo"/>
      </w:pPr>
      <w:r w:rsidRPr="00601EEA">
        <w:rPr>
          <w:rStyle w:val="TextoNormalNegritaCaracter"/>
        </w:rPr>
        <w:t>Artículo 17.2 a).</w:t>
      </w:r>
      <w:r w:rsidRPr="00601EEA">
        <w:rPr>
          <w:rStyle w:val="TextoNormalCaracter"/>
        </w:rPr>
        <w:t>-</w:t>
      </w:r>
      <w:r>
        <w:t xml:space="preserve"> Sentencia </w:t>
      </w:r>
      <w:hyperlink w:anchor="SENTENCIA_2024_92" w:history="1">
        <w:r w:rsidRPr="00601EEA">
          <w:rPr>
            <w:rStyle w:val="TextoNormalCaracter"/>
          </w:rPr>
          <w:t>92/2024</w:t>
        </w:r>
      </w:hyperlink>
      <w:r>
        <w:t>, f. 7.</w:t>
      </w:r>
    </w:p>
    <w:p w14:paraId="5651176D" w14:textId="76B269C9" w:rsidR="00601EEA" w:rsidRDefault="00601EEA" w:rsidP="00601EEA">
      <w:pPr>
        <w:pStyle w:val="SangriaFrancesaArticulo"/>
      </w:pPr>
      <w:r w:rsidRPr="00601EEA">
        <w:rPr>
          <w:rStyle w:val="TextoNormalNegritaCaracter"/>
        </w:rPr>
        <w:t>Artículo 17.2 b).</w:t>
      </w:r>
      <w:r w:rsidRPr="00601EEA">
        <w:rPr>
          <w:rStyle w:val="TextoNormalCaracter"/>
        </w:rPr>
        <w:t>-</w:t>
      </w:r>
      <w:r>
        <w:t xml:space="preserve"> Sentencia </w:t>
      </w:r>
      <w:hyperlink w:anchor="SENTENCIA_2024_92" w:history="1">
        <w:r w:rsidRPr="00601EEA">
          <w:rPr>
            <w:rStyle w:val="TextoNormalCaracter"/>
          </w:rPr>
          <w:t>92/2024</w:t>
        </w:r>
      </w:hyperlink>
      <w:r>
        <w:t>, f. 7.</w:t>
      </w:r>
    </w:p>
    <w:p w14:paraId="02A83B0B" w14:textId="7A26F665" w:rsidR="00601EEA" w:rsidRDefault="00601EEA" w:rsidP="00601EEA">
      <w:pPr>
        <w:pStyle w:val="SangriaFrancesaArticulo"/>
      </w:pPr>
      <w:r w:rsidRPr="00601EEA">
        <w:rPr>
          <w:rStyle w:val="TextoNormalNegritaCaracter"/>
        </w:rPr>
        <w:t>Artículo 17.2 c).</w:t>
      </w:r>
      <w:r w:rsidRPr="00601EEA">
        <w:rPr>
          <w:rStyle w:val="TextoNormalCaracter"/>
        </w:rPr>
        <w:t>-</w:t>
      </w:r>
      <w:r>
        <w:t xml:space="preserve"> Sentencia </w:t>
      </w:r>
      <w:hyperlink w:anchor="SENTENCIA_2024_92" w:history="1">
        <w:r w:rsidRPr="00601EEA">
          <w:rPr>
            <w:rStyle w:val="TextoNormalCaracter"/>
          </w:rPr>
          <w:t>92/2024</w:t>
        </w:r>
      </w:hyperlink>
      <w:r>
        <w:t>, f. 7.</w:t>
      </w:r>
    </w:p>
    <w:p w14:paraId="6245E972" w14:textId="7AB01516" w:rsidR="00601EEA" w:rsidRDefault="00601EEA" w:rsidP="00601EEA">
      <w:pPr>
        <w:pStyle w:val="SangriaFrancesaArticulo"/>
      </w:pPr>
      <w:r w:rsidRPr="00601EEA">
        <w:rPr>
          <w:rStyle w:val="TextoNormalNegritaCaracter"/>
        </w:rPr>
        <w:t>Artículo 17.2 d).</w:t>
      </w:r>
      <w:r w:rsidRPr="00601EEA">
        <w:rPr>
          <w:rStyle w:val="TextoNormalCaracter"/>
        </w:rPr>
        <w:t>-</w:t>
      </w:r>
      <w:r>
        <w:t xml:space="preserve"> Sentencia </w:t>
      </w:r>
      <w:hyperlink w:anchor="SENTENCIA_2024_92" w:history="1">
        <w:r w:rsidRPr="00601EEA">
          <w:rPr>
            <w:rStyle w:val="TextoNormalCaracter"/>
          </w:rPr>
          <w:t>92/2024</w:t>
        </w:r>
      </w:hyperlink>
      <w:r>
        <w:t>, f. 7.</w:t>
      </w:r>
    </w:p>
    <w:p w14:paraId="163004C7" w14:textId="0BDDD4A8" w:rsidR="00601EEA" w:rsidRDefault="00601EEA" w:rsidP="00601EEA">
      <w:pPr>
        <w:pStyle w:val="SangriaFrancesaArticulo"/>
      </w:pPr>
      <w:r w:rsidRPr="00601EEA">
        <w:rPr>
          <w:rStyle w:val="TextoNormalNegritaCaracter"/>
        </w:rPr>
        <w:t>Artículo 17.3.</w:t>
      </w:r>
      <w:r w:rsidRPr="00601EEA">
        <w:rPr>
          <w:rStyle w:val="TextoNormalCaracter"/>
        </w:rPr>
        <w:t>-</w:t>
      </w:r>
      <w:r>
        <w:t xml:space="preserve"> Sentencia </w:t>
      </w:r>
      <w:hyperlink w:anchor="SENTENCIA_2024_92" w:history="1">
        <w:r w:rsidRPr="00601EEA">
          <w:rPr>
            <w:rStyle w:val="TextoNormalCaracter"/>
          </w:rPr>
          <w:t>92/2024</w:t>
        </w:r>
      </w:hyperlink>
      <w:r>
        <w:t>, f. 7.</w:t>
      </w:r>
    </w:p>
    <w:p w14:paraId="1D465B44" w14:textId="7E2809B6" w:rsidR="00601EEA" w:rsidRDefault="00601EEA" w:rsidP="00601EEA">
      <w:pPr>
        <w:pStyle w:val="SangriaFrancesaArticulo"/>
      </w:pPr>
      <w:r w:rsidRPr="00601EEA">
        <w:rPr>
          <w:rStyle w:val="TextoNormalNegritaCaracter"/>
        </w:rPr>
        <w:t>Artículo 17.4.</w:t>
      </w:r>
      <w:r w:rsidRPr="00601EEA">
        <w:rPr>
          <w:rStyle w:val="TextoNormalCaracter"/>
        </w:rPr>
        <w:t>-</w:t>
      </w:r>
      <w:r>
        <w:t xml:space="preserve"> Sentencia </w:t>
      </w:r>
      <w:hyperlink w:anchor="SENTENCIA_2024_92" w:history="1">
        <w:r w:rsidRPr="00601EEA">
          <w:rPr>
            <w:rStyle w:val="TextoNormalCaracter"/>
          </w:rPr>
          <w:t>92/2024</w:t>
        </w:r>
      </w:hyperlink>
      <w:r>
        <w:t>, f. 7.</w:t>
      </w:r>
    </w:p>
    <w:p w14:paraId="517A6B1D" w14:textId="4736892F" w:rsidR="00601EEA" w:rsidRDefault="00601EEA" w:rsidP="00601EEA">
      <w:pPr>
        <w:pStyle w:val="SangriaFrancesaArticulo"/>
      </w:pPr>
      <w:r w:rsidRPr="00601EEA">
        <w:rPr>
          <w:rStyle w:val="TextoNormalNegritaCaracter"/>
        </w:rPr>
        <w:t>Artículo 17.5.</w:t>
      </w:r>
      <w:r w:rsidRPr="00601EEA">
        <w:rPr>
          <w:rStyle w:val="TextoNormalCaracter"/>
        </w:rPr>
        <w:t>-</w:t>
      </w:r>
      <w:r>
        <w:t xml:space="preserve"> Sentencia </w:t>
      </w:r>
      <w:hyperlink w:anchor="SENTENCIA_2024_92" w:history="1">
        <w:r w:rsidRPr="00601EEA">
          <w:rPr>
            <w:rStyle w:val="TextoNormalCaracter"/>
          </w:rPr>
          <w:t>92/2024</w:t>
        </w:r>
      </w:hyperlink>
      <w:r>
        <w:t>, f. 7, VP II.</w:t>
      </w:r>
    </w:p>
    <w:p w14:paraId="781B08E4" w14:textId="3643DD29" w:rsidR="00601EEA" w:rsidRDefault="00601EEA" w:rsidP="00601EEA">
      <w:pPr>
        <w:pStyle w:val="SangriaFrancesaArticulo"/>
      </w:pPr>
      <w:r w:rsidRPr="00601EEA">
        <w:rPr>
          <w:rStyle w:val="TextoNormalNegritaCaracter"/>
        </w:rPr>
        <w:t>Artículo 17.5, párrafo segundo.</w:t>
      </w:r>
      <w:r w:rsidRPr="00601EEA">
        <w:rPr>
          <w:rStyle w:val="TextoNormalCaracter"/>
        </w:rPr>
        <w:t>-</w:t>
      </w:r>
      <w:r>
        <w:t xml:space="preserve"> Sentencia </w:t>
      </w:r>
      <w:hyperlink w:anchor="SENTENCIA_2024_92" w:history="1">
        <w:r w:rsidRPr="00601EEA">
          <w:rPr>
            <w:rStyle w:val="TextoNormalCaracter"/>
          </w:rPr>
          <w:t>92/2024</w:t>
        </w:r>
      </w:hyperlink>
      <w:r>
        <w:t>, f. 7.</w:t>
      </w:r>
    </w:p>
    <w:p w14:paraId="268F0A4F" w14:textId="6CEB4043" w:rsidR="00601EEA" w:rsidRDefault="00601EEA" w:rsidP="00601EEA">
      <w:pPr>
        <w:pStyle w:val="SangriaFrancesaArticulo"/>
      </w:pPr>
      <w:r w:rsidRPr="00601EEA">
        <w:rPr>
          <w:rStyle w:val="TextoNormalNegritaCaracter"/>
        </w:rPr>
        <w:t>Artículo 19 bis.</w:t>
      </w:r>
      <w:r w:rsidRPr="00601EEA">
        <w:rPr>
          <w:rStyle w:val="TextoNormalCaracter"/>
        </w:rPr>
        <w:t>-</w:t>
      </w:r>
      <w:r>
        <w:t xml:space="preserve"> Sentencia </w:t>
      </w:r>
      <w:hyperlink w:anchor="SENTENCIA_2024_92" w:history="1">
        <w:r w:rsidRPr="00601EEA">
          <w:rPr>
            <w:rStyle w:val="TextoNormalCaracter"/>
          </w:rPr>
          <w:t>92/2024</w:t>
        </w:r>
      </w:hyperlink>
      <w:r>
        <w:t>, f. 9.</w:t>
      </w:r>
    </w:p>
    <w:p w14:paraId="03FCCA6E" w14:textId="4747F136" w:rsidR="00601EEA" w:rsidRDefault="00601EEA" w:rsidP="00601EEA">
      <w:pPr>
        <w:pStyle w:val="SangriaFrancesaArticulo"/>
      </w:pPr>
      <w:r w:rsidRPr="00601EEA">
        <w:rPr>
          <w:rStyle w:val="TextoNormalNegritaCaracter"/>
        </w:rPr>
        <w:t>Artículo 19 bis 1.</w:t>
      </w:r>
      <w:r w:rsidRPr="00601EEA">
        <w:rPr>
          <w:rStyle w:val="TextoNormalCaracter"/>
        </w:rPr>
        <w:t>-</w:t>
      </w:r>
      <w:r>
        <w:t xml:space="preserve"> Sentencia </w:t>
      </w:r>
      <w:hyperlink w:anchor="SENTENCIA_2024_92" w:history="1">
        <w:r w:rsidRPr="00601EEA">
          <w:rPr>
            <w:rStyle w:val="TextoNormalCaracter"/>
          </w:rPr>
          <w:t>92/2024</w:t>
        </w:r>
      </w:hyperlink>
      <w:r>
        <w:t>, f. 8.</w:t>
      </w:r>
    </w:p>
    <w:p w14:paraId="0BF80541" w14:textId="21CA7D73" w:rsidR="00601EEA" w:rsidRDefault="00601EEA" w:rsidP="00601EEA">
      <w:pPr>
        <w:pStyle w:val="SangriaFrancesaArticulo"/>
      </w:pPr>
      <w:r w:rsidRPr="00601EEA">
        <w:rPr>
          <w:rStyle w:val="TextoNormalNegritaCaracter"/>
        </w:rPr>
        <w:t>Artículo 19 ter</w:t>
      </w:r>
      <w:r>
        <w:t xml:space="preserve"> (redactado por la Ley Orgánica 1/2023, de 28 de febrero)</w:t>
      </w:r>
      <w:r w:rsidRPr="00601EEA">
        <w:rPr>
          <w:rStyle w:val="TextoNormalNegritaCaracter"/>
        </w:rPr>
        <w:t>.</w:t>
      </w:r>
      <w:r w:rsidRPr="00601EEA">
        <w:rPr>
          <w:rStyle w:val="TextoNormalCaracter"/>
        </w:rPr>
        <w:t>-</w:t>
      </w:r>
      <w:r>
        <w:t xml:space="preserve"> Sentencia </w:t>
      </w:r>
      <w:hyperlink w:anchor="SENTENCIA_2024_92" w:history="1">
        <w:r w:rsidRPr="00601EEA">
          <w:rPr>
            <w:rStyle w:val="TextoNormalCaracter"/>
          </w:rPr>
          <w:t>92/2024</w:t>
        </w:r>
      </w:hyperlink>
      <w:r>
        <w:t>, f. 9.</w:t>
      </w:r>
    </w:p>
    <w:p w14:paraId="020AC0BF" w14:textId="3874F412" w:rsidR="00601EEA" w:rsidRDefault="00601EEA" w:rsidP="00601EEA">
      <w:pPr>
        <w:pStyle w:val="SangriaFrancesaArticulo"/>
      </w:pPr>
      <w:r w:rsidRPr="00601EEA">
        <w:rPr>
          <w:rStyle w:val="TextoNormalNegritaCaracter"/>
        </w:rPr>
        <w:t>Artículo 19 ter, apartado primero</w:t>
      </w:r>
      <w:r>
        <w:t xml:space="preserve"> (redactado por la Ley Orgánica 1/2023, de 28 de febrero)</w:t>
      </w:r>
      <w:r w:rsidRPr="00601EEA">
        <w:rPr>
          <w:rStyle w:val="TextoNormalNegritaCaracter"/>
        </w:rPr>
        <w:t>.</w:t>
      </w:r>
      <w:r w:rsidRPr="00601EEA">
        <w:rPr>
          <w:rStyle w:val="TextoNormalCaracter"/>
        </w:rPr>
        <w:t>-</w:t>
      </w:r>
      <w:r>
        <w:t xml:space="preserve"> Sentencia </w:t>
      </w:r>
      <w:hyperlink w:anchor="SENTENCIA_2024_92" w:history="1">
        <w:r w:rsidRPr="00601EEA">
          <w:rPr>
            <w:rStyle w:val="TextoNormalCaracter"/>
          </w:rPr>
          <w:t>92/2024</w:t>
        </w:r>
      </w:hyperlink>
      <w:r>
        <w:t>, f. 9.</w:t>
      </w:r>
    </w:p>
    <w:p w14:paraId="3928EA41" w14:textId="68E3CB58" w:rsidR="00601EEA" w:rsidRDefault="00601EEA" w:rsidP="00601EEA">
      <w:pPr>
        <w:pStyle w:val="SangriaFrancesaArticulo"/>
      </w:pPr>
      <w:r w:rsidRPr="00601EEA">
        <w:rPr>
          <w:rStyle w:val="TextoNormalNegritaCaracter"/>
        </w:rPr>
        <w:t>Artículo 19 ter, apartado tercero</w:t>
      </w:r>
      <w:r>
        <w:t xml:space="preserve"> (redactado por la Ley Orgánica 1/2023, de 28 de febrero)</w:t>
      </w:r>
      <w:r w:rsidRPr="00601EEA">
        <w:rPr>
          <w:rStyle w:val="TextoNormalNegritaCaracter"/>
        </w:rPr>
        <w:t>.</w:t>
      </w:r>
      <w:r w:rsidRPr="00601EEA">
        <w:rPr>
          <w:rStyle w:val="TextoNormalCaracter"/>
        </w:rPr>
        <w:t>-</w:t>
      </w:r>
      <w:r>
        <w:t xml:space="preserve"> Sentencia </w:t>
      </w:r>
      <w:hyperlink w:anchor="SENTENCIA_2024_92" w:history="1">
        <w:r w:rsidRPr="00601EEA">
          <w:rPr>
            <w:rStyle w:val="TextoNormalCaracter"/>
          </w:rPr>
          <w:t>92/2024</w:t>
        </w:r>
      </w:hyperlink>
      <w:r>
        <w:t>, f. 9.</w:t>
      </w:r>
    </w:p>
    <w:p w14:paraId="35421FB3" w14:textId="60187F81" w:rsidR="00601EEA" w:rsidRDefault="00601EEA" w:rsidP="00601EEA">
      <w:pPr>
        <w:pStyle w:val="SangriaFrancesaArticulo"/>
      </w:pPr>
      <w:r w:rsidRPr="00601EEA">
        <w:rPr>
          <w:rStyle w:val="TextoNormalNegritaCaracter"/>
        </w:rPr>
        <w:t>Artículo 26.</w:t>
      </w:r>
      <w:r w:rsidRPr="00601EEA">
        <w:rPr>
          <w:rStyle w:val="TextoNormalCaracter"/>
        </w:rPr>
        <w:t>-</w:t>
      </w:r>
      <w:r>
        <w:t xml:space="preserve"> Sentencia </w:t>
      </w:r>
      <w:hyperlink w:anchor="SENTENCIA_2024_92" w:history="1">
        <w:r w:rsidRPr="00601EEA">
          <w:rPr>
            <w:rStyle w:val="TextoNormalCaracter"/>
          </w:rPr>
          <w:t>92/2024</w:t>
        </w:r>
      </w:hyperlink>
      <w:r>
        <w:t>, f. 4, VP III, VP IV.</w:t>
      </w:r>
    </w:p>
    <w:p w14:paraId="44A71E41" w14:textId="4B8E1CC3" w:rsidR="00601EEA" w:rsidRDefault="00601EEA" w:rsidP="00601EEA">
      <w:pPr>
        <w:pStyle w:val="SangriaFrancesaArticulo"/>
      </w:pPr>
      <w:r w:rsidRPr="00601EEA">
        <w:rPr>
          <w:rStyle w:val="TextoNormalNegritaCaracter"/>
        </w:rPr>
        <w:t>Disposición adicional cuarta</w:t>
      </w:r>
      <w:r>
        <w:t xml:space="preserve"> (redactada por la Ley Orgánica 1/2023, de 28 de febrero)</w:t>
      </w:r>
      <w:r w:rsidRPr="00601EEA">
        <w:rPr>
          <w:rStyle w:val="TextoNormalNegritaCaracter"/>
        </w:rPr>
        <w:t>.</w:t>
      </w:r>
      <w:r w:rsidRPr="00601EEA">
        <w:rPr>
          <w:rStyle w:val="TextoNormalCaracter"/>
        </w:rPr>
        <w:t>-</w:t>
      </w:r>
      <w:r>
        <w:t xml:space="preserve"> Sentencia </w:t>
      </w:r>
      <w:hyperlink w:anchor="SENTENCIA_2024_92" w:history="1">
        <w:r w:rsidRPr="00601EEA">
          <w:rPr>
            <w:rStyle w:val="TextoNormalCaracter"/>
          </w:rPr>
          <w:t>92/2024</w:t>
        </w:r>
      </w:hyperlink>
      <w:r>
        <w:t>, f. 9.</w:t>
      </w:r>
    </w:p>
    <w:p w14:paraId="6634C8AA" w14:textId="11B44033" w:rsidR="00601EEA" w:rsidRDefault="00601EEA" w:rsidP="00601EEA">
      <w:pPr>
        <w:pStyle w:val="SangriaFrancesaArticulo"/>
      </w:pPr>
      <w:r w:rsidRPr="00601EEA">
        <w:rPr>
          <w:rStyle w:val="TextoNormalNegritaCaracter"/>
        </w:rPr>
        <w:t>Disposición adicional cuarta, apartado decimo</w:t>
      </w:r>
      <w:r>
        <w:t xml:space="preserve"> (redactada por la Ley Orgánica 1/2023, de 28 de febrero)</w:t>
      </w:r>
      <w:r w:rsidRPr="00601EEA">
        <w:rPr>
          <w:rStyle w:val="TextoNormalNegritaCaracter"/>
        </w:rPr>
        <w:t>.</w:t>
      </w:r>
      <w:r w:rsidRPr="00601EEA">
        <w:rPr>
          <w:rStyle w:val="TextoNormalCaracter"/>
        </w:rPr>
        <w:t>-</w:t>
      </w:r>
      <w:r>
        <w:t xml:space="preserve"> Sentencia </w:t>
      </w:r>
      <w:hyperlink w:anchor="SENTENCIA_2024_92" w:history="1">
        <w:r w:rsidRPr="00601EEA">
          <w:rPr>
            <w:rStyle w:val="TextoNormalCaracter"/>
          </w:rPr>
          <w:t>92/2024</w:t>
        </w:r>
      </w:hyperlink>
      <w:r>
        <w:t>, f. 9.</w:t>
      </w:r>
    </w:p>
    <w:p w14:paraId="07B4A697" w14:textId="20D2E8C1" w:rsidR="00601EEA" w:rsidRDefault="00601EEA" w:rsidP="00601EEA">
      <w:pPr>
        <w:pStyle w:val="SangriaFrancesaArticulo"/>
      </w:pPr>
      <w:r w:rsidRPr="00601EEA">
        <w:rPr>
          <w:rStyle w:val="TextoNormalNegritaCaracter"/>
        </w:rPr>
        <w:t>Disposición adicional cuarta, apartado noveno</w:t>
      </w:r>
      <w:r>
        <w:t xml:space="preserve"> (redactada por la Ley Orgánica 1/2023, de 28 de febrero)</w:t>
      </w:r>
      <w:r w:rsidRPr="00601EEA">
        <w:rPr>
          <w:rStyle w:val="TextoNormalNegritaCaracter"/>
        </w:rPr>
        <w:t>.</w:t>
      </w:r>
      <w:r w:rsidRPr="00601EEA">
        <w:rPr>
          <w:rStyle w:val="TextoNormalCaracter"/>
        </w:rPr>
        <w:t>-</w:t>
      </w:r>
      <w:r>
        <w:t xml:space="preserve"> Sentencia </w:t>
      </w:r>
      <w:hyperlink w:anchor="SENTENCIA_2024_92" w:history="1">
        <w:r w:rsidRPr="00601EEA">
          <w:rPr>
            <w:rStyle w:val="TextoNormalCaracter"/>
          </w:rPr>
          <w:t>92/2024</w:t>
        </w:r>
      </w:hyperlink>
      <w:r>
        <w:t>, f. 9.</w:t>
      </w:r>
    </w:p>
    <w:p w14:paraId="03AA0DE7" w14:textId="1A7418FD" w:rsidR="00601EEA" w:rsidRDefault="00601EEA" w:rsidP="00601EEA">
      <w:pPr>
        <w:pStyle w:val="SangriaFrancesaArticulo"/>
      </w:pPr>
      <w:r w:rsidRPr="00601EEA">
        <w:rPr>
          <w:rStyle w:val="TextoNormalNegritaCaracter"/>
        </w:rPr>
        <w:t>Disposición adicional cuarta, apartados segundo a quinto</w:t>
      </w:r>
      <w:r>
        <w:t xml:space="preserve"> (redactada por la Ley Orgánica 1/2023, de 28 de febrero)</w:t>
      </w:r>
      <w:r w:rsidRPr="00601EEA">
        <w:rPr>
          <w:rStyle w:val="TextoNormalNegritaCaracter"/>
        </w:rPr>
        <w:t>.</w:t>
      </w:r>
      <w:r w:rsidRPr="00601EEA">
        <w:rPr>
          <w:rStyle w:val="TextoNormalCaracter"/>
        </w:rPr>
        <w:t>-</w:t>
      </w:r>
      <w:r>
        <w:t xml:space="preserve"> Sentencia </w:t>
      </w:r>
      <w:hyperlink w:anchor="SENTENCIA_2024_92" w:history="1">
        <w:r w:rsidRPr="00601EEA">
          <w:rPr>
            <w:rStyle w:val="TextoNormalCaracter"/>
          </w:rPr>
          <w:t>92/2024</w:t>
        </w:r>
      </w:hyperlink>
      <w:r>
        <w:t>, f. 9.</w:t>
      </w:r>
    </w:p>
    <w:p w14:paraId="440CF04E" w14:textId="2C5137D3" w:rsidR="00601EEA" w:rsidRDefault="00601EEA" w:rsidP="00601EEA">
      <w:pPr>
        <w:pStyle w:val="SangriaFrancesaArticulo"/>
      </w:pPr>
      <w:r w:rsidRPr="00601EEA">
        <w:rPr>
          <w:rStyle w:val="TextoNormalNegritaCaracter"/>
        </w:rPr>
        <w:t>Disposición final segunda.</w:t>
      </w:r>
      <w:r w:rsidRPr="00601EEA">
        <w:rPr>
          <w:rStyle w:val="TextoNormalCaracter"/>
        </w:rPr>
        <w:t>-</w:t>
      </w:r>
      <w:r>
        <w:t xml:space="preserve"> Sentencia </w:t>
      </w:r>
      <w:hyperlink w:anchor="SENTENCIA_2024_29" w:history="1">
        <w:r w:rsidRPr="00601EEA">
          <w:rPr>
            <w:rStyle w:val="TextoNormalCaracter"/>
          </w:rPr>
          <w:t>29/2024</w:t>
        </w:r>
      </w:hyperlink>
      <w:r>
        <w:t>, f. 2.</w:t>
      </w:r>
    </w:p>
    <w:p w14:paraId="6651BE9B" w14:textId="690A1D24" w:rsidR="00601EEA" w:rsidRDefault="00601EEA" w:rsidP="00601EEA">
      <w:pPr>
        <w:pStyle w:val="SangriaFrancesaArticulo"/>
      </w:pPr>
    </w:p>
    <w:p w14:paraId="082E11B7" w14:textId="77777777" w:rsidR="00601EEA" w:rsidRDefault="00601EEA" w:rsidP="00601EEA">
      <w:pPr>
        <w:pStyle w:val="TextoNormalNegritaCursivandice"/>
        <w:keepNext/>
      </w:pPr>
      <w:r>
        <w:lastRenderedPageBreak/>
        <w:t>Ley Orgánica 5/2010, de 22 de junio, por la que se modifica la Ley Orgánica 10/1995, de 23 de noviembre, del Código penal</w:t>
      </w:r>
    </w:p>
    <w:p w14:paraId="6DAB9DDB" w14:textId="6B910A54"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Sentencias </w:t>
      </w:r>
      <w:hyperlink w:anchor="SENTENCIA_2024_48" w:history="1">
        <w:r w:rsidRPr="00601EEA">
          <w:rPr>
            <w:rStyle w:val="TextoNormalCaracter"/>
          </w:rPr>
          <w:t>48/2024</w:t>
        </w:r>
      </w:hyperlink>
      <w:r>
        <w:t xml:space="preserve">, VP II; </w:t>
      </w:r>
      <w:hyperlink w:anchor="SENTENCIA_2024_87" w:history="1">
        <w:r w:rsidRPr="00601EEA">
          <w:rPr>
            <w:rStyle w:val="TextoNormalCaracter"/>
          </w:rPr>
          <w:t>87/2024</w:t>
        </w:r>
      </w:hyperlink>
      <w:r>
        <w:t>, VP II.</w:t>
      </w:r>
    </w:p>
    <w:p w14:paraId="08F4FD40" w14:textId="39A44303" w:rsidR="00601EEA" w:rsidRDefault="00601EEA" w:rsidP="00601EEA">
      <w:pPr>
        <w:pStyle w:val="SangriaFrancesaArticulo"/>
      </w:pPr>
    </w:p>
    <w:p w14:paraId="11C44A1B" w14:textId="77777777" w:rsidR="00601EEA" w:rsidRDefault="00601EEA" w:rsidP="00601EEA">
      <w:pPr>
        <w:pStyle w:val="TextoNormalNegritaCursivandice"/>
        <w:keepNext/>
      </w:pPr>
      <w:r>
        <w:t>Ley Orgánica 2/2012, de 27 de abril, de estabilidad presupuestaria y sostenibilidad financiera</w:t>
      </w:r>
    </w:p>
    <w:p w14:paraId="19AEFFDF" w14:textId="00D08AE8" w:rsidR="00601EEA" w:rsidRDefault="00601EEA" w:rsidP="00601EEA">
      <w:pPr>
        <w:pStyle w:val="SangriaFrancesaArticulo"/>
      </w:pPr>
      <w:r w:rsidRPr="00601EEA">
        <w:rPr>
          <w:rStyle w:val="TextoNormalNegritaCaracter"/>
        </w:rPr>
        <w:t>Artículo 17.1.</w:t>
      </w:r>
      <w:r w:rsidRPr="00601EEA">
        <w:rPr>
          <w:rStyle w:val="TextoNormalCaracter"/>
        </w:rPr>
        <w:t>-</w:t>
      </w:r>
      <w:r>
        <w:t xml:space="preserve"> Sentencia </w:t>
      </w:r>
      <w:hyperlink w:anchor="SENTENCIA_2024_11" w:history="1">
        <w:r w:rsidRPr="00601EEA">
          <w:rPr>
            <w:rStyle w:val="TextoNormalCaracter"/>
          </w:rPr>
          <w:t>11/2024</w:t>
        </w:r>
      </w:hyperlink>
      <w:r>
        <w:t>, f. 3.</w:t>
      </w:r>
    </w:p>
    <w:p w14:paraId="7ED46FDF" w14:textId="36D4B84C" w:rsidR="00601EEA" w:rsidRDefault="00601EEA" w:rsidP="00601EEA">
      <w:pPr>
        <w:pStyle w:val="SangriaFrancesaArticulo"/>
      </w:pPr>
    </w:p>
    <w:p w14:paraId="6AC7201B" w14:textId="77777777" w:rsidR="00601EEA" w:rsidRDefault="00601EEA" w:rsidP="00601EEA">
      <w:pPr>
        <w:pStyle w:val="TextoNormalNegritaCursivandice"/>
        <w:keepNext/>
      </w:pPr>
      <w:r>
        <w:t>Ley Orgánica 1/2015, de 30 de marzo, por la que se modifica la Ley Orgánica 10/1995, de 23 de noviembre, del Código penal</w:t>
      </w:r>
    </w:p>
    <w:p w14:paraId="13135B73" w14:textId="7B61F571"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Sentencias </w:t>
      </w:r>
      <w:hyperlink w:anchor="SENTENCIA_2024_8" w:history="1">
        <w:r w:rsidRPr="00601EEA">
          <w:rPr>
            <w:rStyle w:val="TextoNormalCaracter"/>
          </w:rPr>
          <w:t>8/2024</w:t>
        </w:r>
      </w:hyperlink>
      <w:r>
        <w:t xml:space="preserve">, VP I; </w:t>
      </w:r>
      <w:hyperlink w:anchor="SENTENCIA_2024_92" w:history="1">
        <w:r w:rsidRPr="00601EEA">
          <w:rPr>
            <w:rStyle w:val="TextoNormalCaracter"/>
          </w:rPr>
          <w:t>92/2024</w:t>
        </w:r>
      </w:hyperlink>
      <w:r>
        <w:t>, f. 6.</w:t>
      </w:r>
    </w:p>
    <w:p w14:paraId="311B7F8B" w14:textId="06F8D516" w:rsidR="00601EEA" w:rsidRDefault="00601EEA" w:rsidP="00601EEA">
      <w:pPr>
        <w:pStyle w:val="SangriaFrancesaArticulo"/>
      </w:pPr>
    </w:p>
    <w:p w14:paraId="76DEB2F2" w14:textId="77777777" w:rsidR="00601EEA" w:rsidRDefault="00601EEA" w:rsidP="00601EEA">
      <w:pPr>
        <w:pStyle w:val="TextoNormalNegritaCursivandice"/>
        <w:keepNext/>
      </w:pPr>
      <w:r>
        <w:t>Ley Orgánica 3/2015, de 30 de marzo, de control de la actividad económico-financiera de los partidos políticos, por la que se modifican la Ley Orgánica 8/2007, de 4 de julio, sobre financiación de los partidos políticos, la Ley Orgánica 6/2002, de 27 de junio, de partidos políticos y la Ley Orgánica 2/1982, de 12 de mayo, del Tribunal de Cuentas</w:t>
      </w:r>
    </w:p>
    <w:p w14:paraId="394371BA" w14:textId="0032F83B"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74" w:history="1">
        <w:r w:rsidRPr="00601EEA">
          <w:rPr>
            <w:rStyle w:val="TextoNormalCaracter"/>
          </w:rPr>
          <w:t>74/2024</w:t>
        </w:r>
      </w:hyperlink>
      <w:r>
        <w:t>, ff. 1, 2.</w:t>
      </w:r>
    </w:p>
    <w:p w14:paraId="55A3C57A" w14:textId="06DBCC90" w:rsidR="00601EEA" w:rsidRDefault="00601EEA" w:rsidP="00601EEA">
      <w:pPr>
        <w:pStyle w:val="SangriaFrancesaArticulo"/>
      </w:pPr>
    </w:p>
    <w:p w14:paraId="5BAE3967" w14:textId="77777777" w:rsidR="00601EEA" w:rsidRDefault="00601EEA" w:rsidP="00601EEA">
      <w:pPr>
        <w:pStyle w:val="TextoNormalNegritaCursivandice"/>
        <w:keepNext/>
      </w:pPr>
      <w:r>
        <w:t>Ley Orgánica 7/2015, de 21 de julio, por la que se modifica la Ley Orgánica 6/1985, de 1 de julio, del Poder Judicial</w:t>
      </w:r>
    </w:p>
    <w:p w14:paraId="6D270087" w14:textId="34EC24B3"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49" w:history="1">
        <w:r w:rsidRPr="00601EEA">
          <w:rPr>
            <w:rStyle w:val="TextoNormalCaracter"/>
          </w:rPr>
          <w:t>49/2024</w:t>
        </w:r>
      </w:hyperlink>
      <w:r>
        <w:t>, f. 2.</w:t>
      </w:r>
    </w:p>
    <w:p w14:paraId="4D7CD455" w14:textId="48EAA775" w:rsidR="00601EEA" w:rsidRDefault="00601EEA" w:rsidP="00601EEA">
      <w:pPr>
        <w:pStyle w:val="SangriaFrancesaArticulo"/>
      </w:pPr>
    </w:p>
    <w:p w14:paraId="4229F3DC" w14:textId="77777777" w:rsidR="00601EEA" w:rsidRDefault="00601EEA" w:rsidP="00601EEA">
      <w:pPr>
        <w:pStyle w:val="TextoNormalNegritaCursivandice"/>
        <w:keepNext/>
      </w:pPr>
      <w:r>
        <w:t>Ley Orgánica 11/2015, de 21 de septiembre, para reforzar la protección de las menores y mujeres con capacidad modificada judicialmente en la interrupción voluntaria del embarazo</w:t>
      </w:r>
    </w:p>
    <w:p w14:paraId="4C7034AE" w14:textId="2965CAC6"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92" w:history="1">
        <w:r w:rsidRPr="00601EEA">
          <w:rPr>
            <w:rStyle w:val="TextoNormalCaracter"/>
          </w:rPr>
          <w:t>92/2024</w:t>
        </w:r>
      </w:hyperlink>
      <w:r>
        <w:t>, f. 6, VP II.</w:t>
      </w:r>
    </w:p>
    <w:p w14:paraId="00767F27" w14:textId="5CF8B623" w:rsidR="00601EEA" w:rsidRDefault="00601EEA" w:rsidP="00601EEA">
      <w:pPr>
        <w:pStyle w:val="SangriaFrancesaArticulo"/>
      </w:pPr>
    </w:p>
    <w:p w14:paraId="239369E6" w14:textId="77777777" w:rsidR="00601EEA" w:rsidRDefault="00601EEA" w:rsidP="00601EEA">
      <w:pPr>
        <w:pStyle w:val="TextoNormalNegritaCursivandice"/>
        <w:keepNext/>
      </w:pPr>
      <w:r>
        <w:t>Ley Orgánica 13/2015, de 5 de octubre, de modificación de la Ley de enjuiciamiento criminal para el fortalecimiento de las garantías procesales y la regulación de las medidas de investigación tecnológica</w:t>
      </w:r>
    </w:p>
    <w:p w14:paraId="0B1BB6C3" w14:textId="76D6BE92"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87" w:history="1">
        <w:r w:rsidRPr="00601EEA">
          <w:rPr>
            <w:rStyle w:val="TextoNormalCaracter"/>
          </w:rPr>
          <w:t>87/2024</w:t>
        </w:r>
      </w:hyperlink>
      <w:r>
        <w:t>, VP III.</w:t>
      </w:r>
    </w:p>
    <w:p w14:paraId="1A168F11" w14:textId="6E7B4BE6" w:rsidR="00601EEA" w:rsidRDefault="00601EEA" w:rsidP="00601EEA">
      <w:pPr>
        <w:pStyle w:val="SangriaFrancesaArticulo"/>
      </w:pPr>
    </w:p>
    <w:p w14:paraId="7551BCBD" w14:textId="77777777" w:rsidR="00601EEA" w:rsidRDefault="00601EEA" w:rsidP="00601EEA">
      <w:pPr>
        <w:pStyle w:val="TextoNormalNegritaCursivandice"/>
        <w:keepNext/>
      </w:pPr>
      <w:r>
        <w:t>Ley Orgánica 3/2018, de 5 de diciembre, de protección de datos personales y garantía de los derechos digitales</w:t>
      </w:r>
    </w:p>
    <w:p w14:paraId="47C54AE0" w14:textId="1AB0416F" w:rsidR="00601EEA" w:rsidRDefault="00601EEA" w:rsidP="00601EEA">
      <w:pPr>
        <w:pStyle w:val="SangriaFrancesaArticulo"/>
      </w:pPr>
      <w:r w:rsidRPr="00601EEA">
        <w:rPr>
          <w:rStyle w:val="TextoNormalNegritaCaracter"/>
        </w:rPr>
        <w:t>Artículo 7.</w:t>
      </w:r>
      <w:r w:rsidRPr="00601EEA">
        <w:rPr>
          <w:rStyle w:val="TextoNormalCaracter"/>
        </w:rPr>
        <w:t>-</w:t>
      </w:r>
      <w:r>
        <w:t xml:space="preserve"> Sentencia </w:t>
      </w:r>
      <w:hyperlink w:anchor="SENTENCIA_2024_92" w:history="1">
        <w:r w:rsidRPr="00601EEA">
          <w:rPr>
            <w:rStyle w:val="TextoNormalCaracter"/>
          </w:rPr>
          <w:t>92/2024</w:t>
        </w:r>
      </w:hyperlink>
      <w:r>
        <w:t>, f. 6.</w:t>
      </w:r>
    </w:p>
    <w:p w14:paraId="542A37E5" w14:textId="72AF3D08" w:rsidR="00601EEA" w:rsidRDefault="00601EEA" w:rsidP="00601EEA">
      <w:pPr>
        <w:pStyle w:val="SangriaFrancesaArticulo"/>
      </w:pPr>
    </w:p>
    <w:p w14:paraId="089FBE06" w14:textId="77777777" w:rsidR="00601EEA" w:rsidRDefault="00601EEA" w:rsidP="00601EEA">
      <w:pPr>
        <w:pStyle w:val="TextoNormalNegritaCursivandice"/>
        <w:keepNext/>
      </w:pPr>
      <w:r>
        <w:t>Ley Orgánica 5/2018, de 28 de diciembre, de reforma de la Ley Orgánica 6/1985, de 1 de julio, del Poder Judicial, sobre medidas urgentes en aplicación del pacto de Estado en materia de violencia de género</w:t>
      </w:r>
    </w:p>
    <w:p w14:paraId="09B719D9" w14:textId="45BC9693"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89" w:history="1">
        <w:r w:rsidRPr="00601EEA">
          <w:rPr>
            <w:rStyle w:val="TextoNormalCaracter"/>
          </w:rPr>
          <w:t>89/2024</w:t>
        </w:r>
      </w:hyperlink>
      <w:r>
        <w:t>, f. 2.</w:t>
      </w:r>
    </w:p>
    <w:p w14:paraId="68B89622" w14:textId="0C64950F" w:rsidR="00601EEA" w:rsidRDefault="00601EEA" w:rsidP="00601EEA">
      <w:pPr>
        <w:pStyle w:val="SangriaFrancesaArticulo"/>
      </w:pPr>
    </w:p>
    <w:p w14:paraId="42D1C989" w14:textId="77777777" w:rsidR="00601EEA" w:rsidRDefault="00601EEA" w:rsidP="00601EEA">
      <w:pPr>
        <w:pStyle w:val="TextoNormalNegritaCursivandice"/>
        <w:keepNext/>
      </w:pPr>
      <w:r>
        <w:t>Ley Orgánica 3/2020, de 29 de diciembre, por la que se modifica la Ley Orgánica 2/2006, de 3 de mayo, de educación</w:t>
      </w:r>
    </w:p>
    <w:p w14:paraId="54DE45EB" w14:textId="00D20A5E"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Sentencias </w:t>
      </w:r>
      <w:hyperlink w:anchor="SENTENCIA_2024_89" w:history="1">
        <w:r w:rsidRPr="00601EEA">
          <w:rPr>
            <w:rStyle w:val="TextoNormalCaracter"/>
          </w:rPr>
          <w:t>89/2024</w:t>
        </w:r>
      </w:hyperlink>
      <w:r>
        <w:t xml:space="preserve">, f. 2, VP I, VP III; </w:t>
      </w:r>
      <w:hyperlink w:anchor="SENTENCIA_2024_92" w:history="1">
        <w:r w:rsidRPr="00601EEA">
          <w:rPr>
            <w:rStyle w:val="TextoNormalCaracter"/>
          </w:rPr>
          <w:t>92/2024</w:t>
        </w:r>
      </w:hyperlink>
      <w:r>
        <w:t>, f. 5.</w:t>
      </w:r>
    </w:p>
    <w:p w14:paraId="2CDEB713" w14:textId="4EB1E73F" w:rsidR="00601EEA" w:rsidRDefault="00601EEA" w:rsidP="00601EEA">
      <w:pPr>
        <w:pStyle w:val="SangriaFrancesaArticulo"/>
      </w:pPr>
      <w:r w:rsidRPr="00601EEA">
        <w:rPr>
          <w:rStyle w:val="TextoNormalNegritaCaracter"/>
        </w:rPr>
        <w:t>Artículo 9.1 a).</w:t>
      </w:r>
      <w:r w:rsidRPr="00601EEA">
        <w:rPr>
          <w:rStyle w:val="TextoNormalCaracter"/>
        </w:rPr>
        <w:t>-</w:t>
      </w:r>
      <w:r>
        <w:t xml:space="preserve"> Sentencia </w:t>
      </w:r>
      <w:hyperlink w:anchor="SENTENCIA_2024_92" w:history="1">
        <w:r w:rsidRPr="00601EEA">
          <w:rPr>
            <w:rStyle w:val="TextoNormalCaracter"/>
          </w:rPr>
          <w:t>92/2024</w:t>
        </w:r>
      </w:hyperlink>
      <w:r>
        <w:t>, VP I.</w:t>
      </w:r>
    </w:p>
    <w:p w14:paraId="41D61771" w14:textId="40E8DC39" w:rsidR="00601EEA" w:rsidRDefault="00601EEA" w:rsidP="00601EEA">
      <w:pPr>
        <w:pStyle w:val="SangriaFrancesaArticulo"/>
      </w:pPr>
      <w:r w:rsidRPr="00601EEA">
        <w:rPr>
          <w:rStyle w:val="TextoNormalNegritaCaracter"/>
        </w:rPr>
        <w:lastRenderedPageBreak/>
        <w:t>Disposición adicional vigesimoquinta, apartado 1.</w:t>
      </w:r>
      <w:r w:rsidRPr="00601EEA">
        <w:rPr>
          <w:rStyle w:val="TextoNormalCaracter"/>
        </w:rPr>
        <w:t>-</w:t>
      </w:r>
      <w:r>
        <w:t xml:space="preserve"> Sentencia </w:t>
      </w:r>
      <w:hyperlink w:anchor="SENTENCIA_2024_89" w:history="1">
        <w:r w:rsidRPr="00601EEA">
          <w:rPr>
            <w:rStyle w:val="TextoNormalCaracter"/>
          </w:rPr>
          <w:t>89/2024</w:t>
        </w:r>
      </w:hyperlink>
      <w:r>
        <w:t>, f. 5.</w:t>
      </w:r>
    </w:p>
    <w:p w14:paraId="3C4E888B" w14:textId="2BD913B7" w:rsidR="00601EEA" w:rsidRDefault="00601EEA" w:rsidP="00601EEA">
      <w:pPr>
        <w:pStyle w:val="SangriaFrancesaArticulo"/>
      </w:pPr>
    </w:p>
    <w:p w14:paraId="41CD5662" w14:textId="77777777" w:rsidR="00601EEA" w:rsidRDefault="00601EEA" w:rsidP="00601EEA">
      <w:pPr>
        <w:pStyle w:val="TextoNormalNegritaCursivandice"/>
        <w:keepNext/>
      </w:pPr>
      <w:r>
        <w:t>Ley Orgánica 4/2021, de 29 de marzo, por la que se modifica la Ley Orgánica 6/1985, de 1 de julio, del Poder Judicial, para el establecimiento del régimen jurídico aplicable al Consejo General del Poder Judicial en funciones</w:t>
      </w:r>
    </w:p>
    <w:p w14:paraId="1E2C12F3" w14:textId="26D3996D"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Sentencias </w:t>
      </w:r>
      <w:hyperlink w:anchor="SENTENCIA_2024_15" w:history="1">
        <w:r w:rsidRPr="00601EEA">
          <w:rPr>
            <w:rStyle w:val="TextoNormalCaracter"/>
          </w:rPr>
          <w:t>15/2024</w:t>
        </w:r>
      </w:hyperlink>
      <w:r>
        <w:t xml:space="preserve">, ff. 1 a 8; </w:t>
      </w:r>
      <w:hyperlink w:anchor="SENTENCIA_2024_30" w:history="1">
        <w:r w:rsidRPr="00601EEA">
          <w:rPr>
            <w:rStyle w:val="TextoNormalCaracter"/>
          </w:rPr>
          <w:t>30/2024</w:t>
        </w:r>
      </w:hyperlink>
      <w:r>
        <w:t>, f. 3, VP I; VP II.</w:t>
      </w:r>
    </w:p>
    <w:p w14:paraId="2EFE059B" w14:textId="13A3925D" w:rsidR="00601EEA" w:rsidRDefault="00601EEA" w:rsidP="00601EEA">
      <w:pPr>
        <w:pStyle w:val="SangriaFrancesaArticulo"/>
      </w:pPr>
      <w:r w:rsidRPr="00601EEA">
        <w:rPr>
          <w:rStyle w:val="TextoNormalNegritaCaracter"/>
        </w:rPr>
        <w:t>Artículo único.</w:t>
      </w:r>
      <w:r w:rsidRPr="00601EEA">
        <w:rPr>
          <w:rStyle w:val="TextoNormalCaracter"/>
        </w:rPr>
        <w:t>-</w:t>
      </w:r>
      <w:r>
        <w:t xml:space="preserve"> Sentencia </w:t>
      </w:r>
      <w:hyperlink w:anchor="SENTENCIA_2024_15" w:history="1">
        <w:r w:rsidRPr="00601EEA">
          <w:rPr>
            <w:rStyle w:val="TextoNormalCaracter"/>
          </w:rPr>
          <w:t>15/2024</w:t>
        </w:r>
      </w:hyperlink>
      <w:r>
        <w:t>, f. 1, VP I, VP II.</w:t>
      </w:r>
    </w:p>
    <w:p w14:paraId="2FF0A1A3" w14:textId="2C5B6817" w:rsidR="00601EEA" w:rsidRDefault="00601EEA" w:rsidP="00601EEA">
      <w:pPr>
        <w:pStyle w:val="SangriaFrancesaArticulo"/>
      </w:pPr>
      <w:r w:rsidRPr="00601EEA">
        <w:rPr>
          <w:rStyle w:val="TextoNormalNegritaCaracter"/>
        </w:rPr>
        <w:t>Artículo único, apartado 2.</w:t>
      </w:r>
      <w:r w:rsidRPr="00601EEA">
        <w:rPr>
          <w:rStyle w:val="TextoNormalCaracter"/>
        </w:rPr>
        <w:t>-</w:t>
      </w:r>
      <w:r>
        <w:t xml:space="preserve"> Sentencia </w:t>
      </w:r>
      <w:hyperlink w:anchor="SENTENCIA_2024_15" w:history="1">
        <w:r w:rsidRPr="00601EEA">
          <w:rPr>
            <w:rStyle w:val="TextoNormalCaracter"/>
          </w:rPr>
          <w:t>15/2024</w:t>
        </w:r>
      </w:hyperlink>
      <w:r>
        <w:t>, ff. 1, 7, VP II.</w:t>
      </w:r>
    </w:p>
    <w:p w14:paraId="030E41F3" w14:textId="5504B069" w:rsidR="00601EEA" w:rsidRDefault="00601EEA" w:rsidP="00601EEA">
      <w:pPr>
        <w:pStyle w:val="SangriaFrancesaArticulo"/>
      </w:pPr>
    </w:p>
    <w:p w14:paraId="0B65149F" w14:textId="77777777" w:rsidR="00601EEA" w:rsidRDefault="00601EEA" w:rsidP="00601EEA">
      <w:pPr>
        <w:pStyle w:val="TextoNormalNegritaCursivandice"/>
        <w:keepNext/>
      </w:pPr>
      <w:r>
        <w:t>Ley Orgánica 9/2021, de 1 de julio, de aplicación del Reglamento (UE) 2017/1939 del Consejo, de 12 de octubre de 2017, por el que se establece una cooperación reforzada para la creación de la Fiscalía Europea</w:t>
      </w:r>
    </w:p>
    <w:p w14:paraId="1308F1AD" w14:textId="4F6E8425"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87" w:history="1">
        <w:r w:rsidRPr="00601EEA">
          <w:rPr>
            <w:rStyle w:val="TextoNormalCaracter"/>
          </w:rPr>
          <w:t>87/2024</w:t>
        </w:r>
      </w:hyperlink>
      <w:r>
        <w:t>, VP IV.</w:t>
      </w:r>
    </w:p>
    <w:p w14:paraId="01B9BBA2" w14:textId="00F1F126" w:rsidR="00601EEA" w:rsidRDefault="00601EEA" w:rsidP="00601EEA">
      <w:pPr>
        <w:pStyle w:val="SangriaFrancesaArticulo"/>
      </w:pPr>
      <w:r w:rsidRPr="00601EEA">
        <w:rPr>
          <w:rStyle w:val="TextoNormalNegritaCaracter"/>
        </w:rPr>
        <w:t>Artículo 53.</w:t>
      </w:r>
      <w:r w:rsidRPr="00601EEA">
        <w:rPr>
          <w:rStyle w:val="TextoNormalCaracter"/>
        </w:rPr>
        <w:t>-</w:t>
      </w:r>
      <w:r>
        <w:t xml:space="preserve"> Auto </w:t>
      </w:r>
      <w:hyperlink w:anchor="AUTO_2024_49" w:history="1">
        <w:r w:rsidRPr="00601EEA">
          <w:rPr>
            <w:rStyle w:val="TextoNormalCaracter"/>
          </w:rPr>
          <w:t>49/2024</w:t>
        </w:r>
      </w:hyperlink>
      <w:r>
        <w:t>, ff. 2 a 4.</w:t>
      </w:r>
    </w:p>
    <w:p w14:paraId="1D14EFCC" w14:textId="47401D88" w:rsidR="00601EEA" w:rsidRDefault="00601EEA" w:rsidP="00601EEA">
      <w:pPr>
        <w:pStyle w:val="SangriaFrancesaArticulo"/>
      </w:pPr>
    </w:p>
    <w:p w14:paraId="5A3FB0F6" w14:textId="77777777" w:rsidR="00601EEA" w:rsidRDefault="00601EEA" w:rsidP="00601EEA">
      <w:pPr>
        <w:pStyle w:val="TextoNormalNegritaCursivandice"/>
        <w:keepNext/>
      </w:pPr>
      <w:r>
        <w:t>Ley Orgánica 3/2022, de 31 de marzo, de ordenación e integración de la formación profesional</w:t>
      </w:r>
    </w:p>
    <w:p w14:paraId="66779D2A" w14:textId="7CF38E81"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63" w:history="1">
        <w:r w:rsidRPr="00601EEA">
          <w:rPr>
            <w:rStyle w:val="TextoNormalCaracter"/>
          </w:rPr>
          <w:t>63/2024</w:t>
        </w:r>
      </w:hyperlink>
      <w:r>
        <w:t>, f. 3.</w:t>
      </w:r>
    </w:p>
    <w:p w14:paraId="2BB0200F" w14:textId="3A28D608" w:rsidR="00601EEA" w:rsidRDefault="00601EEA" w:rsidP="00601EEA">
      <w:pPr>
        <w:pStyle w:val="SangriaFrancesaArticulo"/>
      </w:pPr>
      <w:r w:rsidRPr="00601EEA">
        <w:rPr>
          <w:rStyle w:val="TextoNormalNegritaCaracter"/>
        </w:rPr>
        <w:t>Preámbulo.</w:t>
      </w:r>
      <w:r w:rsidRPr="00601EEA">
        <w:rPr>
          <w:rStyle w:val="TextoNormalCaracter"/>
        </w:rPr>
        <w:t>-</w:t>
      </w:r>
      <w:r>
        <w:t xml:space="preserve"> Sentencia </w:t>
      </w:r>
      <w:hyperlink w:anchor="SENTENCIA_2024_63" w:history="1">
        <w:r w:rsidRPr="00601EEA">
          <w:rPr>
            <w:rStyle w:val="TextoNormalCaracter"/>
          </w:rPr>
          <w:t>63/2024</w:t>
        </w:r>
      </w:hyperlink>
      <w:r>
        <w:t>, f. 3.</w:t>
      </w:r>
    </w:p>
    <w:p w14:paraId="40E12E54" w14:textId="0FA6CAD0" w:rsidR="00601EEA" w:rsidRDefault="00601EEA" w:rsidP="00601EEA">
      <w:pPr>
        <w:pStyle w:val="SangriaFrancesaArticulo"/>
      </w:pPr>
      <w:r w:rsidRPr="00601EEA">
        <w:rPr>
          <w:rStyle w:val="TextoNormalNegritaCaracter"/>
        </w:rPr>
        <w:t>Artículo 6.</w:t>
      </w:r>
      <w:r w:rsidRPr="00601EEA">
        <w:rPr>
          <w:rStyle w:val="TextoNormalCaracter"/>
        </w:rPr>
        <w:t>-</w:t>
      </w:r>
      <w:r>
        <w:t xml:space="preserve"> Sentencia </w:t>
      </w:r>
      <w:hyperlink w:anchor="SENTENCIA_2024_63" w:history="1">
        <w:r w:rsidRPr="00601EEA">
          <w:rPr>
            <w:rStyle w:val="TextoNormalCaracter"/>
          </w:rPr>
          <w:t>63/2024</w:t>
        </w:r>
      </w:hyperlink>
      <w:r>
        <w:t>, f. 3.</w:t>
      </w:r>
    </w:p>
    <w:p w14:paraId="57CE3C93" w14:textId="6B4A189E" w:rsidR="00601EEA" w:rsidRDefault="00601EEA" w:rsidP="00601EEA">
      <w:pPr>
        <w:pStyle w:val="SangriaFrancesaArticulo"/>
      </w:pPr>
      <w:r w:rsidRPr="00601EEA">
        <w:rPr>
          <w:rStyle w:val="TextoNormalNegritaCaracter"/>
        </w:rPr>
        <w:t>Artículo 59.</w:t>
      </w:r>
      <w:r w:rsidRPr="00601EEA">
        <w:rPr>
          <w:rStyle w:val="TextoNormalCaracter"/>
        </w:rPr>
        <w:t>-</w:t>
      </w:r>
      <w:r>
        <w:t xml:space="preserve"> Sentencia </w:t>
      </w:r>
      <w:hyperlink w:anchor="SENTENCIA_2024_63" w:history="1">
        <w:r w:rsidRPr="00601EEA">
          <w:rPr>
            <w:rStyle w:val="TextoNormalCaracter"/>
          </w:rPr>
          <w:t>63/2024</w:t>
        </w:r>
      </w:hyperlink>
      <w:r>
        <w:t>, f. 3.</w:t>
      </w:r>
    </w:p>
    <w:p w14:paraId="1042F468" w14:textId="51E84C16" w:rsidR="00601EEA" w:rsidRDefault="00601EEA" w:rsidP="00601EEA">
      <w:pPr>
        <w:pStyle w:val="SangriaFrancesaArticulo"/>
      </w:pPr>
      <w:r w:rsidRPr="00601EEA">
        <w:rPr>
          <w:rStyle w:val="TextoNormalNegritaCaracter"/>
        </w:rPr>
        <w:t>Artículo 89.</w:t>
      </w:r>
      <w:r w:rsidRPr="00601EEA">
        <w:rPr>
          <w:rStyle w:val="TextoNormalCaracter"/>
        </w:rPr>
        <w:t>-</w:t>
      </w:r>
      <w:r>
        <w:t xml:space="preserve"> Sentencia </w:t>
      </w:r>
      <w:hyperlink w:anchor="SENTENCIA_2024_63" w:history="1">
        <w:r w:rsidRPr="00601EEA">
          <w:rPr>
            <w:rStyle w:val="TextoNormalCaracter"/>
          </w:rPr>
          <w:t>63/2024</w:t>
        </w:r>
      </w:hyperlink>
      <w:r>
        <w:t>, f. 3.</w:t>
      </w:r>
    </w:p>
    <w:p w14:paraId="3A1F9885" w14:textId="31DD4237" w:rsidR="00601EEA" w:rsidRDefault="00601EEA" w:rsidP="00601EEA">
      <w:pPr>
        <w:pStyle w:val="SangriaFrancesaArticulo"/>
      </w:pPr>
      <w:r w:rsidRPr="00601EEA">
        <w:rPr>
          <w:rStyle w:val="TextoNormalNegritaCaracter"/>
        </w:rPr>
        <w:t>Artículo 91.</w:t>
      </w:r>
      <w:r w:rsidRPr="00601EEA">
        <w:rPr>
          <w:rStyle w:val="TextoNormalCaracter"/>
        </w:rPr>
        <w:t>-</w:t>
      </w:r>
      <w:r>
        <w:t xml:space="preserve"> Sentencia </w:t>
      </w:r>
      <w:hyperlink w:anchor="SENTENCIA_2024_63" w:history="1">
        <w:r w:rsidRPr="00601EEA">
          <w:rPr>
            <w:rStyle w:val="TextoNormalCaracter"/>
          </w:rPr>
          <w:t>63/2024</w:t>
        </w:r>
      </w:hyperlink>
      <w:r>
        <w:t>, f. 3.</w:t>
      </w:r>
    </w:p>
    <w:p w14:paraId="749867E3" w14:textId="689CC0AC" w:rsidR="00601EEA" w:rsidRDefault="00601EEA" w:rsidP="00601EEA">
      <w:pPr>
        <w:pStyle w:val="SangriaFrancesaArticulo"/>
      </w:pPr>
      <w:r w:rsidRPr="00601EEA">
        <w:rPr>
          <w:rStyle w:val="TextoNormalNegritaCaracter"/>
        </w:rPr>
        <w:t>Artículo 110.</w:t>
      </w:r>
      <w:r w:rsidRPr="00601EEA">
        <w:rPr>
          <w:rStyle w:val="TextoNormalCaracter"/>
        </w:rPr>
        <w:t>-</w:t>
      </w:r>
      <w:r>
        <w:t xml:space="preserve"> Sentencia </w:t>
      </w:r>
      <w:hyperlink w:anchor="SENTENCIA_2024_63" w:history="1">
        <w:r w:rsidRPr="00601EEA">
          <w:rPr>
            <w:rStyle w:val="TextoNormalCaracter"/>
          </w:rPr>
          <w:t>63/2024</w:t>
        </w:r>
      </w:hyperlink>
      <w:r>
        <w:t>, f. 3.</w:t>
      </w:r>
    </w:p>
    <w:p w14:paraId="31B89F5C" w14:textId="5E495B52" w:rsidR="00601EEA" w:rsidRDefault="00601EEA" w:rsidP="00601EEA">
      <w:pPr>
        <w:pStyle w:val="SangriaFrancesaArticulo"/>
      </w:pPr>
      <w:r w:rsidRPr="00601EEA">
        <w:rPr>
          <w:rStyle w:val="TextoNormalNegritaCaracter"/>
        </w:rPr>
        <w:t>Artículo 113.</w:t>
      </w:r>
      <w:r w:rsidRPr="00601EEA">
        <w:rPr>
          <w:rStyle w:val="TextoNormalCaracter"/>
        </w:rPr>
        <w:t>-</w:t>
      </w:r>
      <w:r>
        <w:t xml:space="preserve"> Sentencia </w:t>
      </w:r>
      <w:hyperlink w:anchor="SENTENCIA_2024_63" w:history="1">
        <w:r w:rsidRPr="00601EEA">
          <w:rPr>
            <w:rStyle w:val="TextoNormalCaracter"/>
          </w:rPr>
          <w:t>63/2024</w:t>
        </w:r>
      </w:hyperlink>
      <w:r>
        <w:t>, f. 3.</w:t>
      </w:r>
    </w:p>
    <w:p w14:paraId="75498270" w14:textId="49B13A7C" w:rsidR="00601EEA" w:rsidRDefault="00601EEA" w:rsidP="00601EEA">
      <w:pPr>
        <w:pStyle w:val="SangriaFrancesaArticulo"/>
      </w:pPr>
      <w:r w:rsidRPr="00601EEA">
        <w:rPr>
          <w:rStyle w:val="TextoNormalNegritaCaracter"/>
        </w:rPr>
        <w:t>Artículo 114.</w:t>
      </w:r>
      <w:r w:rsidRPr="00601EEA">
        <w:rPr>
          <w:rStyle w:val="TextoNormalCaracter"/>
        </w:rPr>
        <w:t>-</w:t>
      </w:r>
      <w:r>
        <w:t xml:space="preserve"> Sentencia </w:t>
      </w:r>
      <w:hyperlink w:anchor="SENTENCIA_2024_63" w:history="1">
        <w:r w:rsidRPr="00601EEA">
          <w:rPr>
            <w:rStyle w:val="TextoNormalCaracter"/>
          </w:rPr>
          <w:t>63/2024</w:t>
        </w:r>
      </w:hyperlink>
      <w:r>
        <w:t>, f. 3.</w:t>
      </w:r>
    </w:p>
    <w:p w14:paraId="70ED0491" w14:textId="474CCE2D" w:rsidR="00601EEA" w:rsidRDefault="00601EEA" w:rsidP="00601EEA">
      <w:pPr>
        <w:pStyle w:val="SangriaFrancesaArticulo"/>
      </w:pPr>
      <w:r w:rsidRPr="00601EEA">
        <w:rPr>
          <w:rStyle w:val="TextoNormalNegritaCaracter"/>
        </w:rPr>
        <w:t>Artículo 117.</w:t>
      </w:r>
      <w:r w:rsidRPr="00601EEA">
        <w:rPr>
          <w:rStyle w:val="TextoNormalCaracter"/>
        </w:rPr>
        <w:t>-</w:t>
      </w:r>
      <w:r>
        <w:t xml:space="preserve"> Sentencia </w:t>
      </w:r>
      <w:hyperlink w:anchor="SENTENCIA_2024_63" w:history="1">
        <w:r w:rsidRPr="00601EEA">
          <w:rPr>
            <w:rStyle w:val="TextoNormalCaracter"/>
          </w:rPr>
          <w:t>63/2024</w:t>
        </w:r>
      </w:hyperlink>
      <w:r>
        <w:t>, f. 3.</w:t>
      </w:r>
    </w:p>
    <w:p w14:paraId="5B76AC4A" w14:textId="719B2D2E" w:rsidR="00601EEA" w:rsidRDefault="00601EEA" w:rsidP="00601EEA">
      <w:pPr>
        <w:pStyle w:val="SangriaFrancesaArticulo"/>
      </w:pPr>
      <w:r w:rsidRPr="00601EEA">
        <w:rPr>
          <w:rStyle w:val="TextoNormalNegritaCaracter"/>
        </w:rPr>
        <w:t>Disposición derogatoria única, apartado segundo.</w:t>
      </w:r>
      <w:r w:rsidRPr="00601EEA">
        <w:rPr>
          <w:rStyle w:val="TextoNormalCaracter"/>
        </w:rPr>
        <w:t>-</w:t>
      </w:r>
      <w:r>
        <w:t xml:space="preserve"> Sentencia </w:t>
      </w:r>
      <w:hyperlink w:anchor="SENTENCIA_2024_63" w:history="1">
        <w:r w:rsidRPr="00601EEA">
          <w:rPr>
            <w:rStyle w:val="TextoNormalCaracter"/>
          </w:rPr>
          <w:t>63/2024</w:t>
        </w:r>
      </w:hyperlink>
      <w:r>
        <w:t>, f. 3.</w:t>
      </w:r>
    </w:p>
    <w:p w14:paraId="42A8D381" w14:textId="2EDB4C05" w:rsidR="00601EEA" w:rsidRDefault="00601EEA" w:rsidP="00601EEA">
      <w:pPr>
        <w:pStyle w:val="SangriaFrancesaArticulo"/>
      </w:pPr>
      <w:r w:rsidRPr="00601EEA">
        <w:rPr>
          <w:rStyle w:val="TextoNormalNegritaCaracter"/>
        </w:rPr>
        <w:t>Disposición derogatoria segunda, apartado segundo.</w:t>
      </w:r>
      <w:r w:rsidRPr="00601EEA">
        <w:rPr>
          <w:rStyle w:val="TextoNormalCaracter"/>
        </w:rPr>
        <w:t>-</w:t>
      </w:r>
      <w:r>
        <w:t xml:space="preserve"> Sentencia </w:t>
      </w:r>
      <w:hyperlink w:anchor="SENTENCIA_2024_63" w:history="1">
        <w:r w:rsidRPr="00601EEA">
          <w:rPr>
            <w:rStyle w:val="TextoNormalCaracter"/>
          </w:rPr>
          <w:t>63/2024</w:t>
        </w:r>
      </w:hyperlink>
      <w:r>
        <w:t>, f. 3.</w:t>
      </w:r>
    </w:p>
    <w:p w14:paraId="383D6F31" w14:textId="27DF756E" w:rsidR="00601EEA" w:rsidRDefault="00601EEA" w:rsidP="00601EEA">
      <w:pPr>
        <w:pStyle w:val="SangriaFrancesaArticulo"/>
      </w:pPr>
    </w:p>
    <w:p w14:paraId="47ED5E8B" w14:textId="77777777" w:rsidR="00601EEA" w:rsidRDefault="00601EEA" w:rsidP="00601EEA">
      <w:pPr>
        <w:pStyle w:val="TextoNormalNegritaCursivandice"/>
        <w:keepNext/>
      </w:pPr>
      <w:r>
        <w:t>Ley Orgánica 4/2022, de 12 de abril, por la que se modifica la Ley Orgánica 10/1995, de 23 de noviembre, del Código penal, para penalizar el acoso a las mujeres que acuden a clínicas para la interrupción voluntaria del embarazo</w:t>
      </w:r>
    </w:p>
    <w:p w14:paraId="33C5D6EC" w14:textId="49E73875"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75" w:history="1">
        <w:r w:rsidRPr="00601EEA">
          <w:rPr>
            <w:rStyle w:val="TextoNormalCaracter"/>
          </w:rPr>
          <w:t>75/2024</w:t>
        </w:r>
      </w:hyperlink>
      <w:r>
        <w:t>, f. 4, VP II.</w:t>
      </w:r>
    </w:p>
    <w:p w14:paraId="4B2B10DE" w14:textId="020F0A5F" w:rsidR="00601EEA" w:rsidRDefault="00601EEA" w:rsidP="00601EEA">
      <w:pPr>
        <w:pStyle w:val="SangriaFrancesaArticulo"/>
      </w:pPr>
      <w:r w:rsidRPr="00601EEA">
        <w:rPr>
          <w:rStyle w:val="TextoNormalNegritaCaracter"/>
        </w:rPr>
        <w:t>Preámbulo.</w:t>
      </w:r>
      <w:r w:rsidRPr="00601EEA">
        <w:rPr>
          <w:rStyle w:val="TextoNormalCaracter"/>
        </w:rPr>
        <w:t>-</w:t>
      </w:r>
      <w:r>
        <w:t xml:space="preserve"> Sentencia </w:t>
      </w:r>
      <w:hyperlink w:anchor="SENTENCIA_2024_75" w:history="1">
        <w:r w:rsidRPr="00601EEA">
          <w:rPr>
            <w:rStyle w:val="TextoNormalCaracter"/>
          </w:rPr>
          <w:t>75/2024</w:t>
        </w:r>
      </w:hyperlink>
      <w:r>
        <w:t>, ff. 1, 4.</w:t>
      </w:r>
    </w:p>
    <w:p w14:paraId="0512659A" w14:textId="574293CA" w:rsidR="00601EEA" w:rsidRDefault="00601EEA" w:rsidP="00601EEA">
      <w:pPr>
        <w:pStyle w:val="SangriaFrancesaArticulo"/>
      </w:pPr>
      <w:r w:rsidRPr="00601EEA">
        <w:rPr>
          <w:rStyle w:val="TextoNormalNegritaCaracter"/>
        </w:rPr>
        <w:t>Artículo único.</w:t>
      </w:r>
      <w:r w:rsidRPr="00601EEA">
        <w:rPr>
          <w:rStyle w:val="TextoNormalCaracter"/>
        </w:rPr>
        <w:t>-</w:t>
      </w:r>
      <w:r>
        <w:t xml:space="preserve"> Sentencia </w:t>
      </w:r>
      <w:hyperlink w:anchor="SENTENCIA_2024_75" w:history="1">
        <w:r w:rsidRPr="00601EEA">
          <w:rPr>
            <w:rStyle w:val="TextoNormalCaracter"/>
          </w:rPr>
          <w:t>75/2024</w:t>
        </w:r>
      </w:hyperlink>
      <w:r>
        <w:t>, ff.1, 2, VP II.</w:t>
      </w:r>
    </w:p>
    <w:p w14:paraId="1FDD5D26" w14:textId="0A4B47E9" w:rsidR="00601EEA" w:rsidRDefault="00601EEA" w:rsidP="00601EEA">
      <w:pPr>
        <w:pStyle w:val="SangriaFrancesaArticulo"/>
      </w:pPr>
    </w:p>
    <w:p w14:paraId="48CF47BD" w14:textId="77777777" w:rsidR="00601EEA" w:rsidRDefault="00601EEA" w:rsidP="00601EEA">
      <w:pPr>
        <w:pStyle w:val="TextoNormalNegritaCursivandice"/>
        <w:keepNext/>
      </w:pPr>
      <w:r>
        <w:t>Ley Orgánica 8/2022, de 27 de julio, de modificación de los artículos 570 bis y 599 de la Ley Orgánica 6/1985, de 1 de julio, del Poder Judicial</w:t>
      </w:r>
    </w:p>
    <w:p w14:paraId="468A85D2" w14:textId="24F07AA2" w:rsidR="00601EEA" w:rsidRDefault="00601EEA" w:rsidP="00601EEA">
      <w:pPr>
        <w:pStyle w:val="SangriaFrancesaArticulo"/>
        <w:keepNext/>
      </w:pPr>
      <w:r w:rsidRPr="00601EEA">
        <w:rPr>
          <w:rStyle w:val="TextoNormalNegritaCaracter"/>
        </w:rPr>
        <w:t>En general.</w:t>
      </w:r>
      <w:r w:rsidRPr="00601EEA">
        <w:rPr>
          <w:rStyle w:val="TextoNormalCaracter"/>
        </w:rPr>
        <w:t>-</w:t>
      </w:r>
      <w:r>
        <w:t xml:space="preserve"> Sentencia </w:t>
      </w:r>
      <w:hyperlink w:anchor="SENTENCIA_2024_15" w:history="1">
        <w:r w:rsidRPr="00601EEA">
          <w:rPr>
            <w:rStyle w:val="TextoNormalCaracter"/>
          </w:rPr>
          <w:t>15/2024</w:t>
        </w:r>
      </w:hyperlink>
      <w:r>
        <w:t>, f. 2, VP II.</w:t>
      </w:r>
    </w:p>
    <w:p w14:paraId="1BDDAE6C" w14:textId="74E5B45D" w:rsidR="00601EEA" w:rsidRDefault="00601EEA" w:rsidP="00601EEA">
      <w:pPr>
        <w:pStyle w:val="SangriaIzquierdaArticulo"/>
      </w:pPr>
      <w:r>
        <w:t xml:space="preserve">Auto </w:t>
      </w:r>
      <w:hyperlink w:anchor="AUTO_2024_18" w:history="1">
        <w:r w:rsidRPr="00601EEA">
          <w:rPr>
            <w:rStyle w:val="TextoNormalCaracter"/>
          </w:rPr>
          <w:t>18/2024</w:t>
        </w:r>
      </w:hyperlink>
      <w:r>
        <w:t>, f. único.</w:t>
      </w:r>
    </w:p>
    <w:p w14:paraId="45D3693F" w14:textId="76C62064" w:rsidR="00601EEA" w:rsidRDefault="00601EEA" w:rsidP="00601EEA">
      <w:pPr>
        <w:pStyle w:val="SangriaFrancesaArticulo"/>
      </w:pPr>
      <w:r w:rsidRPr="00601EEA">
        <w:rPr>
          <w:rStyle w:val="TextoNormalNegritaCaracter"/>
        </w:rPr>
        <w:t>Artículo único.</w:t>
      </w:r>
      <w:r w:rsidRPr="00601EEA">
        <w:rPr>
          <w:rStyle w:val="TextoNormalCaracter"/>
        </w:rPr>
        <w:t>-</w:t>
      </w:r>
      <w:r>
        <w:t xml:space="preserve"> Sentencia </w:t>
      </w:r>
      <w:hyperlink w:anchor="SENTENCIA_2024_15" w:history="1">
        <w:r w:rsidRPr="00601EEA">
          <w:rPr>
            <w:rStyle w:val="TextoNormalCaracter"/>
          </w:rPr>
          <w:t>15/2024</w:t>
        </w:r>
      </w:hyperlink>
      <w:r>
        <w:t>, f. 2.</w:t>
      </w:r>
    </w:p>
    <w:p w14:paraId="19B490B3" w14:textId="3F1FE650" w:rsidR="00601EEA" w:rsidRDefault="00601EEA" w:rsidP="00601EEA">
      <w:pPr>
        <w:pStyle w:val="SangriaFrancesaArticulo"/>
      </w:pPr>
    </w:p>
    <w:p w14:paraId="0E1BA79B" w14:textId="77777777" w:rsidR="00601EEA" w:rsidRDefault="00601EEA" w:rsidP="00601EEA">
      <w:pPr>
        <w:pStyle w:val="TextoNormalNegritaCursivandice"/>
        <w:keepNext/>
      </w:pPr>
      <w:r>
        <w:t>Ley Orgánica 10/2022, de 6 de septiembre, de garantía integral de la libertad sexual</w:t>
      </w:r>
    </w:p>
    <w:p w14:paraId="2BC2DFB6" w14:textId="4765B4AD" w:rsidR="00601EEA" w:rsidRDefault="00601EEA" w:rsidP="00601EEA">
      <w:pPr>
        <w:pStyle w:val="SangriaFrancesaArticulo"/>
        <w:keepNext/>
      </w:pPr>
      <w:r w:rsidRPr="00601EEA">
        <w:rPr>
          <w:rStyle w:val="TextoNormalNegritaCaracter"/>
        </w:rPr>
        <w:t>En general.</w:t>
      </w:r>
      <w:r w:rsidRPr="00601EEA">
        <w:rPr>
          <w:rStyle w:val="TextoNormalCaracter"/>
        </w:rPr>
        <w:t>-</w:t>
      </w:r>
      <w:r>
        <w:t xml:space="preserve"> Sentencia </w:t>
      </w:r>
      <w:hyperlink w:anchor="SENTENCIA_2024_44" w:history="1">
        <w:r w:rsidRPr="00601EEA">
          <w:rPr>
            <w:rStyle w:val="TextoNormalCaracter"/>
          </w:rPr>
          <w:t>44/2024</w:t>
        </w:r>
      </w:hyperlink>
      <w:r>
        <w:t>, ff. 2, 3, VP I.</w:t>
      </w:r>
    </w:p>
    <w:p w14:paraId="5E8B797F" w14:textId="5EFCB00D" w:rsidR="00601EEA" w:rsidRDefault="00601EEA" w:rsidP="00601EEA">
      <w:pPr>
        <w:pStyle w:val="SangriaIzquierdaArticulo"/>
      </w:pPr>
      <w:r>
        <w:t xml:space="preserve">Auto </w:t>
      </w:r>
      <w:hyperlink w:anchor="AUTO_2024_53" w:history="1">
        <w:r w:rsidRPr="00601EEA">
          <w:rPr>
            <w:rStyle w:val="TextoNormalCaracter"/>
          </w:rPr>
          <w:t>53/2024</w:t>
        </w:r>
      </w:hyperlink>
      <w:r>
        <w:t>, f. 4.</w:t>
      </w:r>
    </w:p>
    <w:p w14:paraId="0580D229" w14:textId="6157778A" w:rsidR="00601EEA" w:rsidRDefault="00601EEA" w:rsidP="00601EEA">
      <w:pPr>
        <w:pStyle w:val="SangriaFrancesaArticulo"/>
      </w:pPr>
      <w:r w:rsidRPr="00601EEA">
        <w:rPr>
          <w:rStyle w:val="TextoNormalNegritaCaracter"/>
        </w:rPr>
        <w:lastRenderedPageBreak/>
        <w:t>Artículo 3.1.</w:t>
      </w:r>
      <w:r w:rsidRPr="00601EEA">
        <w:rPr>
          <w:rStyle w:val="TextoNormalCaracter"/>
        </w:rPr>
        <w:t>-</w:t>
      </w:r>
      <w:r>
        <w:t xml:space="preserve"> Sentencia </w:t>
      </w:r>
      <w:hyperlink w:anchor="SENTENCIA_2024_44" w:history="1">
        <w:r w:rsidRPr="00601EEA">
          <w:rPr>
            <w:rStyle w:val="TextoNormalCaracter"/>
          </w:rPr>
          <w:t>44/2024</w:t>
        </w:r>
      </w:hyperlink>
      <w:r>
        <w:t>, f. 2.</w:t>
      </w:r>
    </w:p>
    <w:p w14:paraId="43733FEC" w14:textId="45508AC4" w:rsidR="00601EEA" w:rsidRDefault="00601EEA" w:rsidP="00601EEA">
      <w:pPr>
        <w:pStyle w:val="SangriaFrancesaArticulo"/>
      </w:pPr>
      <w:r w:rsidRPr="00601EEA">
        <w:rPr>
          <w:rStyle w:val="TextoNormalNegritaCaracter"/>
        </w:rPr>
        <w:t>Artículo 16.</w:t>
      </w:r>
      <w:r w:rsidRPr="00601EEA">
        <w:rPr>
          <w:rStyle w:val="TextoNormalCaracter"/>
        </w:rPr>
        <w:t>-</w:t>
      </w:r>
      <w:r>
        <w:t xml:space="preserve"> Sentencia </w:t>
      </w:r>
      <w:hyperlink w:anchor="SENTENCIA_2024_89" w:history="1">
        <w:r w:rsidRPr="00601EEA">
          <w:rPr>
            <w:rStyle w:val="TextoNormalCaracter"/>
          </w:rPr>
          <w:t>89/2024</w:t>
        </w:r>
      </w:hyperlink>
      <w:r>
        <w:t>, f. 2.</w:t>
      </w:r>
    </w:p>
    <w:p w14:paraId="564DD5F7" w14:textId="38B52C5B" w:rsidR="00601EEA" w:rsidRDefault="00601EEA" w:rsidP="00601EEA">
      <w:pPr>
        <w:pStyle w:val="SangriaFrancesaArticulo"/>
      </w:pPr>
      <w:r w:rsidRPr="00601EEA">
        <w:rPr>
          <w:rStyle w:val="TextoNormalNegritaCaracter"/>
        </w:rPr>
        <w:t>Artículos 26 a 30.</w:t>
      </w:r>
      <w:r w:rsidRPr="00601EEA">
        <w:rPr>
          <w:rStyle w:val="TextoNormalCaracter"/>
        </w:rPr>
        <w:t>-</w:t>
      </w:r>
      <w:r>
        <w:t xml:space="preserve"> Sentencia </w:t>
      </w:r>
      <w:hyperlink w:anchor="SENTENCIA_2024_89" w:history="1">
        <w:r w:rsidRPr="00601EEA">
          <w:rPr>
            <w:rStyle w:val="TextoNormalCaracter"/>
          </w:rPr>
          <w:t>89/2024</w:t>
        </w:r>
      </w:hyperlink>
      <w:r>
        <w:t>, f. 2.</w:t>
      </w:r>
    </w:p>
    <w:p w14:paraId="17231A12" w14:textId="2A183CA2" w:rsidR="00601EEA" w:rsidRDefault="00601EEA" w:rsidP="00601EEA">
      <w:pPr>
        <w:pStyle w:val="SangriaFrancesaArticulo"/>
      </w:pPr>
      <w:r w:rsidRPr="00601EEA">
        <w:rPr>
          <w:rStyle w:val="TextoNormalNegritaCaracter"/>
        </w:rPr>
        <w:t>Disposición final cuarta.</w:t>
      </w:r>
      <w:r w:rsidRPr="00601EEA">
        <w:rPr>
          <w:rStyle w:val="TextoNormalCaracter"/>
        </w:rPr>
        <w:t>-</w:t>
      </w:r>
      <w:r>
        <w:t xml:space="preserve"> Sentencia </w:t>
      </w:r>
      <w:hyperlink w:anchor="SENTENCIA_2024_44" w:history="1">
        <w:r w:rsidRPr="00601EEA">
          <w:rPr>
            <w:rStyle w:val="TextoNormalCaracter"/>
          </w:rPr>
          <w:t>44/2024</w:t>
        </w:r>
      </w:hyperlink>
      <w:r>
        <w:t>, f. 2.</w:t>
      </w:r>
    </w:p>
    <w:p w14:paraId="44E20CD3" w14:textId="3663D4DE" w:rsidR="00601EEA" w:rsidRDefault="00601EEA" w:rsidP="00601EEA">
      <w:pPr>
        <w:pStyle w:val="SangriaFrancesaArticulo"/>
      </w:pPr>
      <w:r w:rsidRPr="00601EEA">
        <w:rPr>
          <w:rStyle w:val="TextoNormalNegritaCaracter"/>
        </w:rPr>
        <w:t>Disposición final cuarta, apartado 7.</w:t>
      </w:r>
      <w:r w:rsidRPr="00601EEA">
        <w:rPr>
          <w:rStyle w:val="TextoNormalCaracter"/>
        </w:rPr>
        <w:t>-</w:t>
      </w:r>
      <w:r>
        <w:t xml:space="preserve"> Sentencia </w:t>
      </w:r>
      <w:hyperlink w:anchor="SENTENCIA_2024_44" w:history="1">
        <w:r w:rsidRPr="00601EEA">
          <w:rPr>
            <w:rStyle w:val="TextoNormalCaracter"/>
          </w:rPr>
          <w:t>44/2024</w:t>
        </w:r>
      </w:hyperlink>
      <w:r>
        <w:t>, f. 3.</w:t>
      </w:r>
    </w:p>
    <w:p w14:paraId="2AF44ACF" w14:textId="78E6AF5A" w:rsidR="00601EEA" w:rsidRDefault="00601EEA" w:rsidP="00601EEA">
      <w:pPr>
        <w:pStyle w:val="SangriaFrancesaArticulo"/>
      </w:pPr>
    </w:p>
    <w:p w14:paraId="01DC8076" w14:textId="77777777" w:rsidR="00601EEA" w:rsidRDefault="00601EEA" w:rsidP="00601EEA">
      <w:pPr>
        <w:pStyle w:val="TextoNormalNegritaCursivandice"/>
        <w:keepNext/>
      </w:pPr>
      <w:r>
        <w:t>Ley Orgánica 1/2023, de 28 de febrero, por la que se modifica la Ley Orgánica 2/2010, de 3 de marzo, de salud sexual y reproductiva y de la interrupción voluntaria del embarazo</w:t>
      </w:r>
    </w:p>
    <w:p w14:paraId="3B319C8F" w14:textId="674CB2A1"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Sentencias </w:t>
      </w:r>
      <w:hyperlink w:anchor="SENTENCIA_2024_15" w:history="1">
        <w:r w:rsidRPr="00601EEA">
          <w:rPr>
            <w:rStyle w:val="TextoNormalCaracter"/>
          </w:rPr>
          <w:t>15/2024</w:t>
        </w:r>
      </w:hyperlink>
      <w:r>
        <w:t xml:space="preserve">, VP II; </w:t>
      </w:r>
      <w:hyperlink w:anchor="SENTENCIA_2024_75" w:history="1">
        <w:r w:rsidRPr="00601EEA">
          <w:rPr>
            <w:rStyle w:val="TextoNormalCaracter"/>
          </w:rPr>
          <w:t>75/2024</w:t>
        </w:r>
      </w:hyperlink>
      <w:r>
        <w:t xml:space="preserve">, f. 4; </w:t>
      </w:r>
      <w:hyperlink w:anchor="SENTENCIA_2024_89" w:history="1">
        <w:r w:rsidRPr="00601EEA">
          <w:rPr>
            <w:rStyle w:val="TextoNormalCaracter"/>
          </w:rPr>
          <w:t>89/2024</w:t>
        </w:r>
      </w:hyperlink>
      <w:r>
        <w:t xml:space="preserve">, f. 2; </w:t>
      </w:r>
      <w:hyperlink w:anchor="SENTENCIA_2024_92" w:history="1">
        <w:r w:rsidRPr="00601EEA">
          <w:rPr>
            <w:rStyle w:val="TextoNormalCaracter"/>
          </w:rPr>
          <w:t>92/2024</w:t>
        </w:r>
      </w:hyperlink>
      <w:r>
        <w:t>, ff. 1 a 3, 6 a 9, VP I, VP II, VP III.</w:t>
      </w:r>
    </w:p>
    <w:p w14:paraId="4A438E1C" w14:textId="60934D5F" w:rsidR="00601EEA" w:rsidRDefault="00601EEA" w:rsidP="00601EEA">
      <w:pPr>
        <w:pStyle w:val="SangriaFrancesaArticulo"/>
      </w:pPr>
      <w:r w:rsidRPr="00601EEA">
        <w:rPr>
          <w:rStyle w:val="TextoNormalNegritaCaracter"/>
        </w:rPr>
        <w:t>Artículo único, apartado 3.</w:t>
      </w:r>
      <w:r w:rsidRPr="00601EEA">
        <w:rPr>
          <w:rStyle w:val="TextoNormalCaracter"/>
        </w:rPr>
        <w:t>-</w:t>
      </w:r>
      <w:r>
        <w:t xml:space="preserve"> Sentencia </w:t>
      </w:r>
      <w:hyperlink w:anchor="SENTENCIA_2024_92" w:history="1">
        <w:r w:rsidRPr="00601EEA">
          <w:rPr>
            <w:rStyle w:val="TextoNormalCaracter"/>
          </w:rPr>
          <w:t>92/2024</w:t>
        </w:r>
      </w:hyperlink>
      <w:r>
        <w:t>, ff. 1 a 3.</w:t>
      </w:r>
    </w:p>
    <w:p w14:paraId="19838AA6" w14:textId="4009F08E" w:rsidR="00601EEA" w:rsidRDefault="00601EEA" w:rsidP="00601EEA">
      <w:pPr>
        <w:pStyle w:val="SangriaFrancesaArticulo"/>
      </w:pPr>
      <w:r w:rsidRPr="00601EEA">
        <w:rPr>
          <w:rStyle w:val="TextoNormalNegritaCaracter"/>
        </w:rPr>
        <w:t>Artículo único, apartado 6.</w:t>
      </w:r>
      <w:r w:rsidRPr="00601EEA">
        <w:rPr>
          <w:rStyle w:val="TextoNormalCaracter"/>
        </w:rPr>
        <w:t>-</w:t>
      </w:r>
      <w:r>
        <w:t xml:space="preserve"> Sentencia </w:t>
      </w:r>
      <w:hyperlink w:anchor="SENTENCIA_2024_92" w:history="1">
        <w:r w:rsidRPr="00601EEA">
          <w:rPr>
            <w:rStyle w:val="TextoNormalCaracter"/>
          </w:rPr>
          <w:t>92/2024</w:t>
        </w:r>
      </w:hyperlink>
      <w:r>
        <w:t>, ff. 1 a 4.</w:t>
      </w:r>
    </w:p>
    <w:p w14:paraId="636EA9B2" w14:textId="386766B3" w:rsidR="00601EEA" w:rsidRDefault="00601EEA" w:rsidP="00601EEA">
      <w:pPr>
        <w:pStyle w:val="SangriaFrancesaArticulo"/>
      </w:pPr>
      <w:r w:rsidRPr="00601EEA">
        <w:rPr>
          <w:rStyle w:val="TextoNormalNegritaCaracter"/>
        </w:rPr>
        <w:t>Artículo único, apartado 7.</w:t>
      </w:r>
      <w:r w:rsidRPr="00601EEA">
        <w:rPr>
          <w:rStyle w:val="TextoNormalCaracter"/>
        </w:rPr>
        <w:t>-</w:t>
      </w:r>
      <w:r>
        <w:t xml:space="preserve"> Sentencia </w:t>
      </w:r>
      <w:hyperlink w:anchor="SENTENCIA_2024_92" w:history="1">
        <w:r w:rsidRPr="00601EEA">
          <w:rPr>
            <w:rStyle w:val="TextoNormalCaracter"/>
          </w:rPr>
          <w:t>92/2024</w:t>
        </w:r>
      </w:hyperlink>
      <w:r>
        <w:t>, ff. 1 a 3.</w:t>
      </w:r>
    </w:p>
    <w:p w14:paraId="14111934" w14:textId="10347F49" w:rsidR="00601EEA" w:rsidRDefault="00601EEA" w:rsidP="00601EEA">
      <w:pPr>
        <w:pStyle w:val="SangriaFrancesaArticulo"/>
      </w:pPr>
      <w:r w:rsidRPr="00601EEA">
        <w:rPr>
          <w:rStyle w:val="TextoNormalNegritaCaracter"/>
        </w:rPr>
        <w:t>Artículo único, apartado 8.</w:t>
      </w:r>
      <w:r w:rsidRPr="00601EEA">
        <w:rPr>
          <w:rStyle w:val="TextoNormalCaracter"/>
        </w:rPr>
        <w:t>-</w:t>
      </w:r>
      <w:r>
        <w:t xml:space="preserve"> Sentencia </w:t>
      </w:r>
      <w:hyperlink w:anchor="SENTENCIA_2024_92" w:history="1">
        <w:r w:rsidRPr="00601EEA">
          <w:rPr>
            <w:rStyle w:val="TextoNormalCaracter"/>
          </w:rPr>
          <w:t>92/2024</w:t>
        </w:r>
      </w:hyperlink>
      <w:r>
        <w:t>, ff. 1 a 3, 5.</w:t>
      </w:r>
    </w:p>
    <w:p w14:paraId="5D10B96B" w14:textId="200349A6" w:rsidR="00601EEA" w:rsidRDefault="00601EEA" w:rsidP="00601EEA">
      <w:pPr>
        <w:pStyle w:val="SangriaFrancesaArticulo"/>
      </w:pPr>
      <w:r w:rsidRPr="00601EEA">
        <w:rPr>
          <w:rStyle w:val="TextoNormalNegritaCaracter"/>
        </w:rPr>
        <w:t>Artículo único, apartado 9.</w:t>
      </w:r>
      <w:r w:rsidRPr="00601EEA">
        <w:rPr>
          <w:rStyle w:val="TextoNormalCaracter"/>
        </w:rPr>
        <w:t>-</w:t>
      </w:r>
      <w:r>
        <w:t xml:space="preserve"> Sentencia </w:t>
      </w:r>
      <w:hyperlink w:anchor="SENTENCIA_2024_92" w:history="1">
        <w:r w:rsidRPr="00601EEA">
          <w:rPr>
            <w:rStyle w:val="TextoNormalCaracter"/>
          </w:rPr>
          <w:t>92/2024</w:t>
        </w:r>
      </w:hyperlink>
      <w:r>
        <w:t>, ff. 1 a 3.</w:t>
      </w:r>
    </w:p>
    <w:p w14:paraId="46EE8B84" w14:textId="61E706B7" w:rsidR="00601EEA" w:rsidRDefault="00601EEA" w:rsidP="00601EEA">
      <w:pPr>
        <w:pStyle w:val="SangriaFrancesaArticulo"/>
      </w:pPr>
      <w:r w:rsidRPr="00601EEA">
        <w:rPr>
          <w:rStyle w:val="TextoNormalNegritaCaracter"/>
        </w:rPr>
        <w:t>Artículo único, apartado 11.</w:t>
      </w:r>
      <w:r w:rsidRPr="00601EEA">
        <w:rPr>
          <w:rStyle w:val="TextoNormalCaracter"/>
        </w:rPr>
        <w:t>-</w:t>
      </w:r>
      <w:r>
        <w:t xml:space="preserve"> Sentencia </w:t>
      </w:r>
      <w:hyperlink w:anchor="SENTENCIA_2024_92" w:history="1">
        <w:r w:rsidRPr="00601EEA">
          <w:rPr>
            <w:rStyle w:val="TextoNormalCaracter"/>
          </w:rPr>
          <w:t>92/2024</w:t>
        </w:r>
      </w:hyperlink>
      <w:r>
        <w:t>, ff. 1, 6.</w:t>
      </w:r>
    </w:p>
    <w:p w14:paraId="1A57EDA1" w14:textId="3E915005" w:rsidR="00601EEA" w:rsidRDefault="00601EEA" w:rsidP="00601EEA">
      <w:pPr>
        <w:pStyle w:val="SangriaFrancesaArticulo"/>
      </w:pPr>
      <w:r w:rsidRPr="00601EEA">
        <w:rPr>
          <w:rStyle w:val="TextoNormalNegritaCaracter"/>
        </w:rPr>
        <w:t>Artículo único, apartado 12.</w:t>
      </w:r>
      <w:r w:rsidRPr="00601EEA">
        <w:rPr>
          <w:rStyle w:val="TextoNormalCaracter"/>
        </w:rPr>
        <w:t>-</w:t>
      </w:r>
      <w:r>
        <w:t xml:space="preserve"> Sentencia </w:t>
      </w:r>
      <w:hyperlink w:anchor="SENTENCIA_2024_92" w:history="1">
        <w:r w:rsidRPr="00601EEA">
          <w:rPr>
            <w:rStyle w:val="TextoNormalCaracter"/>
          </w:rPr>
          <w:t>92/2024</w:t>
        </w:r>
      </w:hyperlink>
      <w:r>
        <w:t>, ff. 1, 7.</w:t>
      </w:r>
    </w:p>
    <w:p w14:paraId="2E0C7EDA" w14:textId="40DEF31A" w:rsidR="00601EEA" w:rsidRDefault="00601EEA" w:rsidP="00601EEA">
      <w:pPr>
        <w:pStyle w:val="SangriaFrancesaArticulo"/>
      </w:pPr>
      <w:r w:rsidRPr="00601EEA">
        <w:rPr>
          <w:rStyle w:val="TextoNormalNegritaCaracter"/>
        </w:rPr>
        <w:t>Artículo único, apartado 13.</w:t>
      </w:r>
      <w:r w:rsidRPr="00601EEA">
        <w:rPr>
          <w:rStyle w:val="TextoNormalCaracter"/>
        </w:rPr>
        <w:t>-</w:t>
      </w:r>
      <w:r>
        <w:t xml:space="preserve"> Sentencia </w:t>
      </w:r>
      <w:hyperlink w:anchor="SENTENCIA_2024_92" w:history="1">
        <w:r w:rsidRPr="00601EEA">
          <w:rPr>
            <w:rStyle w:val="TextoNormalCaracter"/>
          </w:rPr>
          <w:t>92/2024</w:t>
        </w:r>
      </w:hyperlink>
      <w:r>
        <w:t>, ff. 1, 8.</w:t>
      </w:r>
    </w:p>
    <w:p w14:paraId="50651E37" w14:textId="051A02A1" w:rsidR="00601EEA" w:rsidRDefault="00601EEA" w:rsidP="00601EEA">
      <w:pPr>
        <w:pStyle w:val="SangriaFrancesaArticulo"/>
      </w:pPr>
      <w:r w:rsidRPr="00601EEA">
        <w:rPr>
          <w:rStyle w:val="TextoNormalNegritaCaracter"/>
        </w:rPr>
        <w:t>Artículo único, apartado 14.</w:t>
      </w:r>
      <w:r w:rsidRPr="00601EEA">
        <w:rPr>
          <w:rStyle w:val="TextoNormalCaracter"/>
        </w:rPr>
        <w:t>-</w:t>
      </w:r>
      <w:r>
        <w:t xml:space="preserve"> Sentencia </w:t>
      </w:r>
      <w:hyperlink w:anchor="SENTENCIA_2024_92" w:history="1">
        <w:r w:rsidRPr="00601EEA">
          <w:rPr>
            <w:rStyle w:val="TextoNormalCaracter"/>
          </w:rPr>
          <w:t>92/2024</w:t>
        </w:r>
      </w:hyperlink>
      <w:r>
        <w:t>, ff. 1, 7.</w:t>
      </w:r>
    </w:p>
    <w:p w14:paraId="46F95843" w14:textId="77F327CA" w:rsidR="00601EEA" w:rsidRDefault="00601EEA" w:rsidP="00601EEA">
      <w:pPr>
        <w:pStyle w:val="SangriaFrancesaArticulo"/>
      </w:pPr>
      <w:r w:rsidRPr="00601EEA">
        <w:rPr>
          <w:rStyle w:val="TextoNormalNegritaCaracter"/>
        </w:rPr>
        <w:t>Artículo único, apartado 19.</w:t>
      </w:r>
      <w:r w:rsidRPr="00601EEA">
        <w:rPr>
          <w:rStyle w:val="TextoNormalCaracter"/>
        </w:rPr>
        <w:t>-</w:t>
      </w:r>
      <w:r>
        <w:t xml:space="preserve"> Sentencia </w:t>
      </w:r>
      <w:hyperlink w:anchor="SENTENCIA_2024_92" w:history="1">
        <w:r w:rsidRPr="00601EEA">
          <w:rPr>
            <w:rStyle w:val="TextoNormalCaracter"/>
          </w:rPr>
          <w:t>92/2024</w:t>
        </w:r>
      </w:hyperlink>
      <w:r>
        <w:t>, f. 1.</w:t>
      </w:r>
    </w:p>
    <w:p w14:paraId="27B2F4B1" w14:textId="7A24156D" w:rsidR="00601EEA" w:rsidRDefault="00601EEA" w:rsidP="00601EEA">
      <w:pPr>
        <w:pStyle w:val="SangriaFrancesaArticulo"/>
      </w:pPr>
      <w:r w:rsidRPr="00601EEA">
        <w:rPr>
          <w:rStyle w:val="TextoNormalNegritaCaracter"/>
        </w:rPr>
        <w:t>Artículo único, apartado 22.</w:t>
      </w:r>
      <w:r w:rsidRPr="00601EEA">
        <w:rPr>
          <w:rStyle w:val="TextoNormalCaracter"/>
        </w:rPr>
        <w:t>-</w:t>
      </w:r>
      <w:r>
        <w:t xml:space="preserve"> Sentencia </w:t>
      </w:r>
      <w:hyperlink w:anchor="SENTENCIA_2024_92" w:history="1">
        <w:r w:rsidRPr="00601EEA">
          <w:rPr>
            <w:rStyle w:val="TextoNormalCaracter"/>
          </w:rPr>
          <w:t>92/2024</w:t>
        </w:r>
      </w:hyperlink>
      <w:r>
        <w:t>, ff. 1, 4.</w:t>
      </w:r>
    </w:p>
    <w:p w14:paraId="4C7D5F1E" w14:textId="714642D2" w:rsidR="00601EEA" w:rsidRDefault="00601EEA" w:rsidP="00601EEA">
      <w:pPr>
        <w:pStyle w:val="SangriaFrancesaArticulo"/>
      </w:pPr>
      <w:r w:rsidRPr="00601EEA">
        <w:rPr>
          <w:rStyle w:val="TextoNormalNegritaCaracter"/>
        </w:rPr>
        <w:t>Disposición final primera.</w:t>
      </w:r>
      <w:r w:rsidRPr="00601EEA">
        <w:rPr>
          <w:rStyle w:val="TextoNormalCaracter"/>
        </w:rPr>
        <w:t>-</w:t>
      </w:r>
      <w:r>
        <w:t xml:space="preserve"> Sentencia </w:t>
      </w:r>
      <w:hyperlink w:anchor="SENTENCIA_2024_92" w:history="1">
        <w:r w:rsidRPr="00601EEA">
          <w:rPr>
            <w:rStyle w:val="TextoNormalCaracter"/>
          </w:rPr>
          <w:t>92/2024</w:t>
        </w:r>
      </w:hyperlink>
      <w:r>
        <w:t>, f. 7.</w:t>
      </w:r>
    </w:p>
    <w:p w14:paraId="5D31B4B7" w14:textId="7165009D" w:rsidR="00601EEA" w:rsidRDefault="00601EEA" w:rsidP="00601EEA">
      <w:pPr>
        <w:pStyle w:val="SangriaFrancesaArticulo"/>
      </w:pPr>
      <w:r w:rsidRPr="00601EEA">
        <w:rPr>
          <w:rStyle w:val="TextoNormalNegritaCaracter"/>
        </w:rPr>
        <w:t>Disposición final primera, apartado segundo.</w:t>
      </w:r>
      <w:r w:rsidRPr="00601EEA">
        <w:rPr>
          <w:rStyle w:val="TextoNormalCaracter"/>
        </w:rPr>
        <w:t>-</w:t>
      </w:r>
      <w:r>
        <w:t xml:space="preserve"> Sentencia </w:t>
      </w:r>
      <w:hyperlink w:anchor="SENTENCIA_2024_92" w:history="1">
        <w:r w:rsidRPr="00601EEA">
          <w:rPr>
            <w:rStyle w:val="TextoNormalCaracter"/>
          </w:rPr>
          <w:t>92/2024</w:t>
        </w:r>
      </w:hyperlink>
      <w:r>
        <w:t>, f. 7.</w:t>
      </w:r>
    </w:p>
    <w:p w14:paraId="749842DD" w14:textId="610F8999" w:rsidR="00601EEA" w:rsidRDefault="00601EEA" w:rsidP="00601EEA">
      <w:pPr>
        <w:pStyle w:val="SangriaFrancesaArticulo"/>
      </w:pPr>
      <w:r w:rsidRPr="00601EEA">
        <w:rPr>
          <w:rStyle w:val="TextoNormalNegritaCaracter"/>
        </w:rPr>
        <w:t>Disposición final segunda.</w:t>
      </w:r>
      <w:r w:rsidRPr="00601EEA">
        <w:rPr>
          <w:rStyle w:val="TextoNormalCaracter"/>
        </w:rPr>
        <w:t>-</w:t>
      </w:r>
      <w:r>
        <w:t xml:space="preserve"> Sentencia </w:t>
      </w:r>
      <w:hyperlink w:anchor="SENTENCIA_2024_92" w:history="1">
        <w:r w:rsidRPr="00601EEA">
          <w:rPr>
            <w:rStyle w:val="TextoNormalCaracter"/>
          </w:rPr>
          <w:t>92/2024</w:t>
        </w:r>
      </w:hyperlink>
      <w:r>
        <w:t>, ff. 1, 7.</w:t>
      </w:r>
    </w:p>
    <w:p w14:paraId="7DA3760A" w14:textId="02F46375" w:rsidR="00601EEA" w:rsidRDefault="00601EEA" w:rsidP="00601EEA">
      <w:pPr>
        <w:pStyle w:val="TextoNormal"/>
      </w:pPr>
    </w:p>
    <w:p w14:paraId="2DF1DAE5" w14:textId="77777777" w:rsidR="00601EEA" w:rsidRDefault="00601EEA" w:rsidP="00601EEA">
      <w:pPr>
        <w:pStyle w:val="SangriaFrancesaArticulo"/>
      </w:pPr>
      <w:bookmarkStart w:id="165" w:name="INDICE22846"/>
    </w:p>
    <w:bookmarkEnd w:id="165"/>
    <w:p w14:paraId="04E1AD0C" w14:textId="77777777" w:rsidR="00601EEA" w:rsidRDefault="00601EEA" w:rsidP="00601EEA">
      <w:pPr>
        <w:pStyle w:val="TextoIndiceNivel2"/>
        <w:suppressAutoHyphens/>
      </w:pPr>
      <w:r>
        <w:t>E) Leyes de las Cortes Generales</w:t>
      </w:r>
    </w:p>
    <w:p w14:paraId="633A0162" w14:textId="4353E76A" w:rsidR="00601EEA" w:rsidRDefault="00601EEA" w:rsidP="00601EEA">
      <w:pPr>
        <w:pStyle w:val="TextoIndiceNivel2"/>
      </w:pPr>
    </w:p>
    <w:p w14:paraId="653ABBAC" w14:textId="77777777" w:rsidR="00601EEA" w:rsidRDefault="00601EEA" w:rsidP="00601EEA">
      <w:pPr>
        <w:pStyle w:val="TextoNormalNegritaCursivandice"/>
        <w:keepNext/>
      </w:pPr>
      <w:r>
        <w:t>Ley 8/1980, de 10 de marzo. Estatuto de los trabajadores</w:t>
      </w:r>
    </w:p>
    <w:p w14:paraId="316D2603" w14:textId="7AADC97F" w:rsidR="00601EEA" w:rsidRDefault="00601EEA" w:rsidP="00601EEA">
      <w:pPr>
        <w:pStyle w:val="SangriaFrancesaArticulo"/>
      </w:pPr>
      <w:r w:rsidRPr="00601EEA">
        <w:rPr>
          <w:rStyle w:val="TextoNormalNegritaCaracter"/>
        </w:rPr>
        <w:t>Artículo 53.4 b).</w:t>
      </w:r>
      <w:r w:rsidRPr="00601EEA">
        <w:rPr>
          <w:rStyle w:val="TextoNormalCaracter"/>
        </w:rPr>
        <w:t>-</w:t>
      </w:r>
      <w:r>
        <w:t xml:space="preserve"> Sentencia </w:t>
      </w:r>
      <w:hyperlink w:anchor="SENTENCIA_2024_22" w:history="1">
        <w:r w:rsidRPr="00601EEA">
          <w:rPr>
            <w:rStyle w:val="TextoNormalCaracter"/>
          </w:rPr>
          <w:t>22/2024</w:t>
        </w:r>
      </w:hyperlink>
      <w:r>
        <w:t>, ff. 1, 4.</w:t>
      </w:r>
    </w:p>
    <w:p w14:paraId="3D761751" w14:textId="47D0A52A" w:rsidR="00601EEA" w:rsidRDefault="00601EEA" w:rsidP="00601EEA">
      <w:pPr>
        <w:pStyle w:val="SangriaFrancesaArticulo"/>
      </w:pPr>
      <w:r w:rsidRPr="00601EEA">
        <w:rPr>
          <w:rStyle w:val="TextoNormalNegritaCaracter"/>
        </w:rPr>
        <w:t>Artículo 53.5.</w:t>
      </w:r>
      <w:r w:rsidRPr="00601EEA">
        <w:rPr>
          <w:rStyle w:val="TextoNormalCaracter"/>
        </w:rPr>
        <w:t>-</w:t>
      </w:r>
      <w:r>
        <w:t xml:space="preserve"> Sentencia </w:t>
      </w:r>
      <w:hyperlink w:anchor="SENTENCIA_2024_22" w:history="1">
        <w:r w:rsidRPr="00601EEA">
          <w:rPr>
            <w:rStyle w:val="TextoNormalCaracter"/>
          </w:rPr>
          <w:t>22/2024</w:t>
        </w:r>
      </w:hyperlink>
      <w:r>
        <w:t>, f. 4.</w:t>
      </w:r>
    </w:p>
    <w:p w14:paraId="59A7134E" w14:textId="234276F9" w:rsidR="00601EEA" w:rsidRDefault="00601EEA" w:rsidP="00601EEA">
      <w:pPr>
        <w:pStyle w:val="SangriaFrancesaArticulo"/>
      </w:pPr>
      <w:r w:rsidRPr="00601EEA">
        <w:rPr>
          <w:rStyle w:val="TextoNormalNegritaCaracter"/>
        </w:rPr>
        <w:t>Artículo 55.6.</w:t>
      </w:r>
      <w:r w:rsidRPr="00601EEA">
        <w:rPr>
          <w:rStyle w:val="TextoNormalCaracter"/>
        </w:rPr>
        <w:t>-</w:t>
      </w:r>
      <w:r>
        <w:t xml:space="preserve"> Sentencia </w:t>
      </w:r>
      <w:hyperlink w:anchor="SENTENCIA_2024_22" w:history="1">
        <w:r w:rsidRPr="00601EEA">
          <w:rPr>
            <w:rStyle w:val="TextoNormalCaracter"/>
          </w:rPr>
          <w:t>22/2024</w:t>
        </w:r>
      </w:hyperlink>
      <w:r>
        <w:t>, f. 4.</w:t>
      </w:r>
    </w:p>
    <w:p w14:paraId="04E07A78" w14:textId="1ABE40BA" w:rsidR="00601EEA" w:rsidRDefault="00601EEA" w:rsidP="00601EEA">
      <w:pPr>
        <w:pStyle w:val="SangriaFrancesaArticulo"/>
      </w:pPr>
      <w:r w:rsidRPr="00601EEA">
        <w:rPr>
          <w:rStyle w:val="TextoNormalNegritaCaracter"/>
        </w:rPr>
        <w:t>Artículo 56.5.</w:t>
      </w:r>
      <w:r w:rsidRPr="00601EEA">
        <w:rPr>
          <w:rStyle w:val="TextoNormalCaracter"/>
        </w:rPr>
        <w:t>-</w:t>
      </w:r>
      <w:r>
        <w:t xml:space="preserve"> Sentencia </w:t>
      </w:r>
      <w:hyperlink w:anchor="SENTENCIA_2024_22" w:history="1">
        <w:r w:rsidRPr="00601EEA">
          <w:rPr>
            <w:rStyle w:val="TextoNormalCaracter"/>
          </w:rPr>
          <w:t>22/2024</w:t>
        </w:r>
      </w:hyperlink>
      <w:r>
        <w:t>, f. 4.</w:t>
      </w:r>
    </w:p>
    <w:p w14:paraId="34B84CE0" w14:textId="1D69F4C9" w:rsidR="00601EEA" w:rsidRDefault="00601EEA" w:rsidP="00601EEA">
      <w:pPr>
        <w:pStyle w:val="SangriaFrancesaArticulo"/>
      </w:pPr>
    </w:p>
    <w:p w14:paraId="62FE3E35" w14:textId="77777777" w:rsidR="00601EEA" w:rsidRDefault="00601EEA" w:rsidP="00601EEA">
      <w:pPr>
        <w:pStyle w:val="TextoNormalNegritaCursivandice"/>
        <w:keepNext/>
      </w:pPr>
      <w:r>
        <w:t>Ley 50/1981, de 30 de diciembre, por la que se regula el Estatuto orgánico del Ministerio Fiscal</w:t>
      </w:r>
    </w:p>
    <w:p w14:paraId="5697068B" w14:textId="6ACB2DAF" w:rsidR="00601EEA" w:rsidRDefault="00601EEA" w:rsidP="00601EEA">
      <w:pPr>
        <w:pStyle w:val="SangriaFrancesaArticulo"/>
      </w:pPr>
      <w:r w:rsidRPr="00601EEA">
        <w:rPr>
          <w:rStyle w:val="TextoNormalNegritaCaracter"/>
        </w:rPr>
        <w:t>Artículo 2.1.</w:t>
      </w:r>
      <w:r w:rsidRPr="00601EEA">
        <w:rPr>
          <w:rStyle w:val="TextoNormalCaracter"/>
        </w:rPr>
        <w:t>-</w:t>
      </w:r>
      <w:r>
        <w:t xml:space="preserve"> Sentencia </w:t>
      </w:r>
      <w:hyperlink w:anchor="SENTENCIA_2024_93" w:history="1">
        <w:r w:rsidRPr="00601EEA">
          <w:rPr>
            <w:rStyle w:val="TextoNormalCaracter"/>
          </w:rPr>
          <w:t>93/2024</w:t>
        </w:r>
      </w:hyperlink>
      <w:r>
        <w:t>, VP II.</w:t>
      </w:r>
    </w:p>
    <w:p w14:paraId="4C2214FE" w14:textId="18D9ECF6" w:rsidR="00601EEA" w:rsidRDefault="00601EEA" w:rsidP="00601EEA">
      <w:pPr>
        <w:pStyle w:val="SangriaFrancesaArticulo"/>
      </w:pPr>
      <w:r w:rsidRPr="00601EEA">
        <w:rPr>
          <w:rStyle w:val="TextoNormalNegritaCaracter"/>
        </w:rPr>
        <w:t>Artículo 5.2.</w:t>
      </w:r>
      <w:r w:rsidRPr="00601EEA">
        <w:rPr>
          <w:rStyle w:val="TextoNormalCaracter"/>
        </w:rPr>
        <w:t>-</w:t>
      </w:r>
      <w:r>
        <w:t xml:space="preserve"> Sentencia </w:t>
      </w:r>
      <w:hyperlink w:anchor="SENTENCIA_2024_87" w:history="1">
        <w:r w:rsidRPr="00601EEA">
          <w:rPr>
            <w:rStyle w:val="TextoNormalCaracter"/>
          </w:rPr>
          <w:t>87/2024</w:t>
        </w:r>
      </w:hyperlink>
      <w:r>
        <w:t>, ff. 2, 4, VP I, VP II, VP IV.</w:t>
      </w:r>
    </w:p>
    <w:p w14:paraId="5D11905A" w14:textId="52129C3C" w:rsidR="00601EEA" w:rsidRDefault="00601EEA" w:rsidP="00601EEA">
      <w:pPr>
        <w:pStyle w:val="SangriaFrancesaArticulo"/>
      </w:pPr>
      <w:r w:rsidRPr="00601EEA">
        <w:rPr>
          <w:rStyle w:val="TextoNormalNegritaCaracter"/>
        </w:rPr>
        <w:t>Artículo 5.3.</w:t>
      </w:r>
      <w:r w:rsidRPr="00601EEA">
        <w:rPr>
          <w:rStyle w:val="TextoNormalCaracter"/>
        </w:rPr>
        <w:t>-</w:t>
      </w:r>
      <w:r>
        <w:t xml:space="preserve"> Sentencia </w:t>
      </w:r>
      <w:hyperlink w:anchor="SENTENCIA_2024_87" w:history="1">
        <w:r w:rsidRPr="00601EEA">
          <w:rPr>
            <w:rStyle w:val="TextoNormalCaracter"/>
          </w:rPr>
          <w:t>87/2024</w:t>
        </w:r>
      </w:hyperlink>
      <w:r>
        <w:t>, ff. 2, 4.</w:t>
      </w:r>
    </w:p>
    <w:p w14:paraId="5226E92A" w14:textId="39CBDE07" w:rsidR="00601EEA" w:rsidRDefault="00601EEA" w:rsidP="00601EEA">
      <w:pPr>
        <w:pStyle w:val="SangriaFrancesaArticulo"/>
      </w:pPr>
    </w:p>
    <w:p w14:paraId="578D0C05" w14:textId="77777777" w:rsidR="00601EEA" w:rsidRDefault="00601EEA" w:rsidP="00601EEA">
      <w:pPr>
        <w:pStyle w:val="TextoNormalNegritaCursivandice"/>
        <w:keepNext/>
      </w:pPr>
      <w:r>
        <w:t>Ley 4/1985, de 21 de marzo, de extradición pasiva</w:t>
      </w:r>
    </w:p>
    <w:p w14:paraId="5F2AD9B9" w14:textId="45283AA4"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Sentencias </w:t>
      </w:r>
      <w:hyperlink w:anchor="SENTENCIA_2024_34" w:history="1">
        <w:r w:rsidRPr="00601EEA">
          <w:rPr>
            <w:rStyle w:val="TextoNormalCaracter"/>
          </w:rPr>
          <w:t>34/2024</w:t>
        </w:r>
      </w:hyperlink>
      <w:r>
        <w:t xml:space="preserve">, f. 5; </w:t>
      </w:r>
      <w:hyperlink w:anchor="SENTENCIA_2024_37" w:history="1">
        <w:r w:rsidRPr="00601EEA">
          <w:rPr>
            <w:rStyle w:val="TextoNormalCaracter"/>
          </w:rPr>
          <w:t>37/2024</w:t>
        </w:r>
      </w:hyperlink>
      <w:r>
        <w:t xml:space="preserve">, VP; </w:t>
      </w:r>
      <w:hyperlink w:anchor="SENTENCIA_2024_42" w:history="1">
        <w:r w:rsidRPr="00601EEA">
          <w:rPr>
            <w:rStyle w:val="TextoNormalCaracter"/>
          </w:rPr>
          <w:t>42/2024</w:t>
        </w:r>
      </w:hyperlink>
      <w:r>
        <w:t xml:space="preserve">, f. 4, VP; </w:t>
      </w:r>
      <w:hyperlink w:anchor="SENTENCIA_2024_51" w:history="1">
        <w:r w:rsidRPr="00601EEA">
          <w:rPr>
            <w:rStyle w:val="TextoNormalCaracter"/>
          </w:rPr>
          <w:t>51/2024</w:t>
        </w:r>
      </w:hyperlink>
      <w:r>
        <w:t xml:space="preserve">, f. 3; </w:t>
      </w:r>
      <w:hyperlink w:anchor="SENTENCIA_2024_52" w:history="1">
        <w:r w:rsidRPr="00601EEA">
          <w:rPr>
            <w:rStyle w:val="TextoNormalCaracter"/>
          </w:rPr>
          <w:t>52/2024</w:t>
        </w:r>
      </w:hyperlink>
      <w:r>
        <w:t xml:space="preserve">, f. 4; </w:t>
      </w:r>
      <w:hyperlink w:anchor="SENTENCIA_2024_57" w:history="1">
        <w:r w:rsidRPr="00601EEA">
          <w:rPr>
            <w:rStyle w:val="TextoNormalCaracter"/>
          </w:rPr>
          <w:t>57/2024</w:t>
        </w:r>
      </w:hyperlink>
      <w:r>
        <w:t xml:space="preserve">, f. 5; </w:t>
      </w:r>
      <w:hyperlink w:anchor="SENTENCIA_2024_61" w:history="1">
        <w:r w:rsidRPr="00601EEA">
          <w:rPr>
            <w:rStyle w:val="TextoNormalCaracter"/>
          </w:rPr>
          <w:t>61/2024</w:t>
        </w:r>
      </w:hyperlink>
      <w:r>
        <w:t>, VP.</w:t>
      </w:r>
    </w:p>
    <w:p w14:paraId="4B6AFB43" w14:textId="0A2A1FB9" w:rsidR="00601EEA" w:rsidRDefault="00601EEA" w:rsidP="00601EEA">
      <w:pPr>
        <w:pStyle w:val="SangriaFrancesaArticulo"/>
      </w:pPr>
      <w:r w:rsidRPr="00601EEA">
        <w:rPr>
          <w:rStyle w:val="TextoNormalNegritaCaracter"/>
        </w:rPr>
        <w:t>Artículo 1.1.</w:t>
      </w:r>
      <w:r w:rsidRPr="00601EEA">
        <w:rPr>
          <w:rStyle w:val="TextoNormalCaracter"/>
        </w:rPr>
        <w:t>-</w:t>
      </w:r>
      <w:r>
        <w:t xml:space="preserve"> Sentencias </w:t>
      </w:r>
      <w:hyperlink w:anchor="SENTENCIA_2024_17" w:history="1">
        <w:r w:rsidRPr="00601EEA">
          <w:rPr>
            <w:rStyle w:val="TextoNormalCaracter"/>
          </w:rPr>
          <w:t>17/2024</w:t>
        </w:r>
      </w:hyperlink>
      <w:r>
        <w:t xml:space="preserve">, f. 3; </w:t>
      </w:r>
      <w:hyperlink w:anchor="SENTENCIA_2024_34" w:history="1">
        <w:r w:rsidRPr="00601EEA">
          <w:rPr>
            <w:rStyle w:val="TextoNormalCaracter"/>
          </w:rPr>
          <w:t>34/2024</w:t>
        </w:r>
      </w:hyperlink>
      <w:r>
        <w:t xml:space="preserve">, f. 4; </w:t>
      </w:r>
      <w:hyperlink w:anchor="SENTENCIA_2024_36" w:history="1">
        <w:r w:rsidRPr="00601EEA">
          <w:rPr>
            <w:rStyle w:val="TextoNormalCaracter"/>
          </w:rPr>
          <w:t>36/2024</w:t>
        </w:r>
      </w:hyperlink>
      <w:r>
        <w:t xml:space="preserve">, f. 4; </w:t>
      </w:r>
      <w:hyperlink w:anchor="SENTENCIA_2024_37" w:history="1">
        <w:r w:rsidRPr="00601EEA">
          <w:rPr>
            <w:rStyle w:val="TextoNormalCaracter"/>
          </w:rPr>
          <w:t>37/2024</w:t>
        </w:r>
      </w:hyperlink>
      <w:r>
        <w:t xml:space="preserve">, f. 3; </w:t>
      </w:r>
      <w:hyperlink w:anchor="SENTENCIA_2024_42" w:history="1">
        <w:r w:rsidRPr="00601EEA">
          <w:rPr>
            <w:rStyle w:val="TextoNormalCaracter"/>
          </w:rPr>
          <w:t>42/2024</w:t>
        </w:r>
      </w:hyperlink>
      <w:r>
        <w:t xml:space="preserve">, f. 3; </w:t>
      </w:r>
      <w:hyperlink w:anchor="SENTENCIA_2024_43" w:history="1">
        <w:r w:rsidRPr="00601EEA">
          <w:rPr>
            <w:rStyle w:val="TextoNormalCaracter"/>
          </w:rPr>
          <w:t>43/2024</w:t>
        </w:r>
      </w:hyperlink>
      <w:r>
        <w:t xml:space="preserve">, f. 4; </w:t>
      </w:r>
      <w:hyperlink w:anchor="SENTENCIA_2024_51" w:history="1">
        <w:r w:rsidRPr="00601EEA">
          <w:rPr>
            <w:rStyle w:val="TextoNormalCaracter"/>
          </w:rPr>
          <w:t>51/2024</w:t>
        </w:r>
      </w:hyperlink>
      <w:r>
        <w:t xml:space="preserve">, f. 2; </w:t>
      </w:r>
      <w:hyperlink w:anchor="SENTENCIA_2024_52" w:history="1">
        <w:r w:rsidRPr="00601EEA">
          <w:rPr>
            <w:rStyle w:val="TextoNormalCaracter"/>
          </w:rPr>
          <w:t>52/2024</w:t>
        </w:r>
      </w:hyperlink>
      <w:r>
        <w:t xml:space="preserve">, f. 3; </w:t>
      </w:r>
      <w:hyperlink w:anchor="SENTENCIA_2024_57" w:history="1">
        <w:r w:rsidRPr="00601EEA">
          <w:rPr>
            <w:rStyle w:val="TextoNormalCaracter"/>
          </w:rPr>
          <w:t>57/2024</w:t>
        </w:r>
      </w:hyperlink>
      <w:r>
        <w:t>, f. 4.</w:t>
      </w:r>
    </w:p>
    <w:p w14:paraId="0E1E2D5C" w14:textId="496F5DD5" w:rsidR="00601EEA" w:rsidRDefault="00601EEA" w:rsidP="00601EEA">
      <w:pPr>
        <w:pStyle w:val="SangriaFrancesaArticulo"/>
      </w:pPr>
      <w:r w:rsidRPr="00601EEA">
        <w:rPr>
          <w:rStyle w:val="TextoNormalNegritaCaracter"/>
        </w:rPr>
        <w:lastRenderedPageBreak/>
        <w:t>Artículo 2.</w:t>
      </w:r>
      <w:r w:rsidRPr="00601EEA">
        <w:rPr>
          <w:rStyle w:val="TextoNormalCaracter"/>
        </w:rPr>
        <w:t>-</w:t>
      </w:r>
      <w:r>
        <w:t xml:space="preserve"> Sentencia </w:t>
      </w:r>
      <w:hyperlink w:anchor="SENTENCIA_2024_57" w:history="1">
        <w:r w:rsidRPr="00601EEA">
          <w:rPr>
            <w:rStyle w:val="TextoNormalCaracter"/>
          </w:rPr>
          <w:t>57/2024</w:t>
        </w:r>
      </w:hyperlink>
      <w:r>
        <w:t>, f. 6.</w:t>
      </w:r>
    </w:p>
    <w:p w14:paraId="0824E57B" w14:textId="3F526830" w:rsidR="00601EEA" w:rsidRDefault="00601EEA" w:rsidP="00601EEA">
      <w:pPr>
        <w:pStyle w:val="SangriaFrancesaArticulo"/>
      </w:pPr>
      <w:r w:rsidRPr="00601EEA">
        <w:rPr>
          <w:rStyle w:val="TextoNormalNegritaCaracter"/>
        </w:rPr>
        <w:t>Artículo 3.1.</w:t>
      </w:r>
      <w:r w:rsidRPr="00601EEA">
        <w:rPr>
          <w:rStyle w:val="TextoNormalCaracter"/>
        </w:rPr>
        <w:t>-</w:t>
      </w:r>
      <w:r>
        <w:t xml:space="preserve"> Sentencia </w:t>
      </w:r>
      <w:hyperlink w:anchor="SENTENCIA_2024_57" w:history="1">
        <w:r w:rsidRPr="00601EEA">
          <w:rPr>
            <w:rStyle w:val="TextoNormalCaracter"/>
          </w:rPr>
          <w:t>57/2024</w:t>
        </w:r>
      </w:hyperlink>
      <w:r>
        <w:t>, f. 6.</w:t>
      </w:r>
    </w:p>
    <w:p w14:paraId="3E0E8FEF" w14:textId="7BC4A1D6" w:rsidR="00601EEA" w:rsidRDefault="00601EEA" w:rsidP="00601EEA">
      <w:pPr>
        <w:pStyle w:val="SangriaFrancesaArticulo"/>
      </w:pPr>
      <w:r w:rsidRPr="00601EEA">
        <w:rPr>
          <w:rStyle w:val="TextoNormalNegritaCaracter"/>
        </w:rPr>
        <w:t>Artículo 4.</w:t>
      </w:r>
      <w:r w:rsidRPr="00601EEA">
        <w:rPr>
          <w:rStyle w:val="TextoNormalCaracter"/>
        </w:rPr>
        <w:t>-</w:t>
      </w:r>
      <w:r>
        <w:t xml:space="preserve"> Sentencia </w:t>
      </w:r>
      <w:hyperlink w:anchor="SENTENCIA_2024_61" w:history="1">
        <w:r w:rsidRPr="00601EEA">
          <w:rPr>
            <w:rStyle w:val="TextoNormalCaracter"/>
          </w:rPr>
          <w:t>61/2024</w:t>
        </w:r>
      </w:hyperlink>
      <w:r>
        <w:t>, VP.</w:t>
      </w:r>
    </w:p>
    <w:p w14:paraId="0283AD4D" w14:textId="576F75E5" w:rsidR="00601EEA" w:rsidRDefault="00601EEA" w:rsidP="00601EEA">
      <w:pPr>
        <w:pStyle w:val="SangriaFrancesaArticulo"/>
      </w:pPr>
      <w:r w:rsidRPr="00601EEA">
        <w:rPr>
          <w:rStyle w:val="TextoNormalNegritaCaracter"/>
        </w:rPr>
        <w:t>Artículo 6.</w:t>
      </w:r>
      <w:r w:rsidRPr="00601EEA">
        <w:rPr>
          <w:rStyle w:val="TextoNormalCaracter"/>
        </w:rPr>
        <w:t>-</w:t>
      </w:r>
      <w:r>
        <w:t xml:space="preserve"> Sentencia </w:t>
      </w:r>
      <w:hyperlink w:anchor="SENTENCIA_2024_61" w:history="1">
        <w:r w:rsidRPr="00601EEA">
          <w:rPr>
            <w:rStyle w:val="TextoNormalCaracter"/>
          </w:rPr>
          <w:t>61/2024</w:t>
        </w:r>
      </w:hyperlink>
      <w:r>
        <w:t>, VP.</w:t>
      </w:r>
    </w:p>
    <w:p w14:paraId="30F912FC" w14:textId="0AC774B6" w:rsidR="00601EEA" w:rsidRDefault="00601EEA" w:rsidP="00601EEA">
      <w:pPr>
        <w:pStyle w:val="SangriaFrancesaArticulo"/>
      </w:pPr>
      <w:r w:rsidRPr="00601EEA">
        <w:rPr>
          <w:rStyle w:val="TextoNormalNegritaCaracter"/>
        </w:rPr>
        <w:t>Artículo 7.1 a).</w:t>
      </w:r>
      <w:r w:rsidRPr="00601EEA">
        <w:rPr>
          <w:rStyle w:val="TextoNormalCaracter"/>
        </w:rPr>
        <w:t>-</w:t>
      </w:r>
      <w:r>
        <w:t xml:space="preserve"> Sentencias </w:t>
      </w:r>
      <w:hyperlink w:anchor="SENTENCIA_2024_17" w:history="1">
        <w:r w:rsidRPr="00601EEA">
          <w:rPr>
            <w:rStyle w:val="TextoNormalCaracter"/>
          </w:rPr>
          <w:t>17/2024</w:t>
        </w:r>
      </w:hyperlink>
      <w:r>
        <w:t xml:space="preserve">, f. 3; </w:t>
      </w:r>
      <w:hyperlink w:anchor="SENTENCIA_2024_34" w:history="1">
        <w:r w:rsidRPr="00601EEA">
          <w:rPr>
            <w:rStyle w:val="TextoNormalCaracter"/>
          </w:rPr>
          <w:t>34/2024</w:t>
        </w:r>
      </w:hyperlink>
      <w:r>
        <w:t xml:space="preserve">, f. 4; </w:t>
      </w:r>
      <w:hyperlink w:anchor="SENTENCIA_2024_36" w:history="1">
        <w:r w:rsidRPr="00601EEA">
          <w:rPr>
            <w:rStyle w:val="TextoNormalCaracter"/>
          </w:rPr>
          <w:t>36/2024</w:t>
        </w:r>
      </w:hyperlink>
      <w:r>
        <w:t xml:space="preserve">, f. 4; </w:t>
      </w:r>
      <w:hyperlink w:anchor="SENTENCIA_2024_37" w:history="1">
        <w:r w:rsidRPr="00601EEA">
          <w:rPr>
            <w:rStyle w:val="TextoNormalCaracter"/>
          </w:rPr>
          <w:t>37/2024</w:t>
        </w:r>
      </w:hyperlink>
      <w:r>
        <w:t xml:space="preserve">, f. 3; </w:t>
      </w:r>
      <w:hyperlink w:anchor="SENTENCIA_2024_42" w:history="1">
        <w:r w:rsidRPr="00601EEA">
          <w:rPr>
            <w:rStyle w:val="TextoNormalCaracter"/>
          </w:rPr>
          <w:t>42/2024</w:t>
        </w:r>
      </w:hyperlink>
      <w:r>
        <w:t xml:space="preserve">, f. 3; </w:t>
      </w:r>
      <w:hyperlink w:anchor="SENTENCIA_2024_43" w:history="1">
        <w:r w:rsidRPr="00601EEA">
          <w:rPr>
            <w:rStyle w:val="TextoNormalCaracter"/>
          </w:rPr>
          <w:t>43/2024</w:t>
        </w:r>
      </w:hyperlink>
      <w:r>
        <w:t xml:space="preserve">, f. 4; </w:t>
      </w:r>
      <w:hyperlink w:anchor="SENTENCIA_2024_51" w:history="1">
        <w:r w:rsidRPr="00601EEA">
          <w:rPr>
            <w:rStyle w:val="TextoNormalCaracter"/>
          </w:rPr>
          <w:t>51/2024</w:t>
        </w:r>
      </w:hyperlink>
      <w:r>
        <w:t xml:space="preserve">, f. 2; </w:t>
      </w:r>
      <w:hyperlink w:anchor="SENTENCIA_2024_52" w:history="1">
        <w:r w:rsidRPr="00601EEA">
          <w:rPr>
            <w:rStyle w:val="TextoNormalCaracter"/>
          </w:rPr>
          <w:t>52/2024</w:t>
        </w:r>
      </w:hyperlink>
      <w:r>
        <w:t xml:space="preserve">, f. 3; </w:t>
      </w:r>
      <w:hyperlink w:anchor="SENTENCIA_2024_57" w:history="1">
        <w:r w:rsidRPr="00601EEA">
          <w:rPr>
            <w:rStyle w:val="TextoNormalCaracter"/>
          </w:rPr>
          <w:t>57/2024</w:t>
        </w:r>
      </w:hyperlink>
      <w:r>
        <w:t>, f. 4.</w:t>
      </w:r>
    </w:p>
    <w:p w14:paraId="51469BCA" w14:textId="7505170B" w:rsidR="00601EEA" w:rsidRDefault="00601EEA" w:rsidP="00601EEA">
      <w:pPr>
        <w:pStyle w:val="SangriaFrancesaArticulo"/>
      </w:pPr>
      <w:r w:rsidRPr="00601EEA">
        <w:rPr>
          <w:rStyle w:val="TextoNormalNegritaCaracter"/>
        </w:rPr>
        <w:t>Artículo 12.</w:t>
      </w:r>
      <w:r w:rsidRPr="00601EEA">
        <w:rPr>
          <w:rStyle w:val="TextoNormalCaracter"/>
        </w:rPr>
        <w:t>-</w:t>
      </w:r>
      <w:r>
        <w:t xml:space="preserve"> Sentencia </w:t>
      </w:r>
      <w:hyperlink w:anchor="SENTENCIA_2024_61" w:history="1">
        <w:r w:rsidRPr="00601EEA">
          <w:rPr>
            <w:rStyle w:val="TextoNormalCaracter"/>
          </w:rPr>
          <w:t>61/2024</w:t>
        </w:r>
      </w:hyperlink>
      <w:r>
        <w:t>, VP.</w:t>
      </w:r>
    </w:p>
    <w:p w14:paraId="2E32DB7B" w14:textId="701ADABE" w:rsidR="00601EEA" w:rsidRDefault="00601EEA" w:rsidP="00601EEA">
      <w:pPr>
        <w:pStyle w:val="SangriaFrancesaArticulo"/>
      </w:pPr>
    </w:p>
    <w:p w14:paraId="5C414556" w14:textId="77777777" w:rsidR="00601EEA" w:rsidRDefault="00601EEA" w:rsidP="00601EEA">
      <w:pPr>
        <w:pStyle w:val="TextoNormalNegritaCursivandice"/>
        <w:keepNext/>
      </w:pPr>
      <w:r>
        <w:t>Ley 7/1985, de 2 de abril, reguladora de las bases del régimen local</w:t>
      </w:r>
    </w:p>
    <w:p w14:paraId="31CEB493" w14:textId="3227D09B" w:rsidR="00601EEA" w:rsidRDefault="00601EEA" w:rsidP="00601EEA">
      <w:pPr>
        <w:pStyle w:val="SangriaFrancesaArticulo"/>
      </w:pPr>
      <w:r w:rsidRPr="00601EEA">
        <w:rPr>
          <w:rStyle w:val="TextoNormalNegritaCaracter"/>
        </w:rPr>
        <w:t>Artículo 25.</w:t>
      </w:r>
      <w:r w:rsidRPr="00601EEA">
        <w:rPr>
          <w:rStyle w:val="TextoNormalCaracter"/>
        </w:rPr>
        <w:t>-</w:t>
      </w:r>
      <w:r>
        <w:t xml:space="preserve"> Sentencia </w:t>
      </w:r>
      <w:hyperlink w:anchor="SENTENCIA_2024_88" w:history="1">
        <w:r w:rsidRPr="00601EEA">
          <w:rPr>
            <w:rStyle w:val="TextoNormalCaracter"/>
          </w:rPr>
          <w:t>88/2024</w:t>
        </w:r>
      </w:hyperlink>
      <w:r>
        <w:t>, f. 6.</w:t>
      </w:r>
    </w:p>
    <w:p w14:paraId="15394C08" w14:textId="3149AFE9" w:rsidR="00601EEA" w:rsidRDefault="00601EEA" w:rsidP="00601EEA">
      <w:pPr>
        <w:pStyle w:val="SangriaFrancesaArticulo"/>
      </w:pPr>
      <w:r w:rsidRPr="00601EEA">
        <w:rPr>
          <w:rStyle w:val="TextoNormalNegritaCaracter"/>
        </w:rPr>
        <w:t>Artículo 25.2 a).</w:t>
      </w:r>
      <w:r w:rsidRPr="00601EEA">
        <w:rPr>
          <w:rStyle w:val="TextoNormalCaracter"/>
        </w:rPr>
        <w:t>-</w:t>
      </w:r>
      <w:r>
        <w:t xml:space="preserve"> Sentencia </w:t>
      </w:r>
      <w:hyperlink w:anchor="SENTENCIA_2024_88" w:history="1">
        <w:r w:rsidRPr="00601EEA">
          <w:rPr>
            <w:rStyle w:val="TextoNormalCaracter"/>
          </w:rPr>
          <w:t>88/2024</w:t>
        </w:r>
      </w:hyperlink>
      <w:r>
        <w:t>, f. 6.</w:t>
      </w:r>
    </w:p>
    <w:p w14:paraId="0248E614" w14:textId="36C1BF42" w:rsidR="00601EEA" w:rsidRDefault="00601EEA" w:rsidP="00601EEA">
      <w:pPr>
        <w:pStyle w:val="SangriaFrancesaArticulo"/>
      </w:pPr>
      <w:r w:rsidRPr="00601EEA">
        <w:rPr>
          <w:rStyle w:val="TextoNormalNegritaCaracter"/>
        </w:rPr>
        <w:t>Artículo 25.2 b).</w:t>
      </w:r>
      <w:r w:rsidRPr="00601EEA">
        <w:rPr>
          <w:rStyle w:val="TextoNormalCaracter"/>
        </w:rPr>
        <w:t>-</w:t>
      </w:r>
      <w:r>
        <w:t xml:space="preserve"> Sentencia </w:t>
      </w:r>
      <w:hyperlink w:anchor="SENTENCIA_2024_88" w:history="1">
        <w:r w:rsidRPr="00601EEA">
          <w:rPr>
            <w:rStyle w:val="TextoNormalCaracter"/>
          </w:rPr>
          <w:t>88/2024</w:t>
        </w:r>
      </w:hyperlink>
      <w:r>
        <w:t>, f. 6.</w:t>
      </w:r>
    </w:p>
    <w:p w14:paraId="6DBFE7B3" w14:textId="78CA265D" w:rsidR="00601EEA" w:rsidRDefault="00601EEA" w:rsidP="00601EEA">
      <w:pPr>
        <w:pStyle w:val="SangriaFrancesaArticulo"/>
      </w:pPr>
      <w:r w:rsidRPr="00601EEA">
        <w:rPr>
          <w:rStyle w:val="TextoNormalNegritaCaracter"/>
        </w:rPr>
        <w:t>Artículo 25.2 d).</w:t>
      </w:r>
      <w:r w:rsidRPr="00601EEA">
        <w:rPr>
          <w:rStyle w:val="TextoNormalCaracter"/>
        </w:rPr>
        <w:t>-</w:t>
      </w:r>
      <w:r>
        <w:t xml:space="preserve"> Sentencia </w:t>
      </w:r>
      <w:hyperlink w:anchor="SENTENCIA_2024_88" w:history="1">
        <w:r w:rsidRPr="00601EEA">
          <w:rPr>
            <w:rStyle w:val="TextoNormalCaracter"/>
          </w:rPr>
          <w:t>88/2024</w:t>
        </w:r>
      </w:hyperlink>
      <w:r>
        <w:t>, f. 6.</w:t>
      </w:r>
    </w:p>
    <w:p w14:paraId="5ED99891" w14:textId="0771DA5E" w:rsidR="00601EEA" w:rsidRDefault="00601EEA" w:rsidP="00601EEA">
      <w:pPr>
        <w:pStyle w:val="SangriaFrancesaArticulo"/>
      </w:pPr>
      <w:r w:rsidRPr="00601EEA">
        <w:rPr>
          <w:rStyle w:val="TextoNormalNegritaCaracter"/>
        </w:rPr>
        <w:t>Artículo 25.2 g).</w:t>
      </w:r>
      <w:r w:rsidRPr="00601EEA">
        <w:rPr>
          <w:rStyle w:val="TextoNormalCaracter"/>
        </w:rPr>
        <w:t>-</w:t>
      </w:r>
      <w:r>
        <w:t xml:space="preserve"> Sentencia </w:t>
      </w:r>
      <w:hyperlink w:anchor="SENTENCIA_2024_88" w:history="1">
        <w:r w:rsidRPr="00601EEA">
          <w:rPr>
            <w:rStyle w:val="TextoNormalCaracter"/>
          </w:rPr>
          <w:t>88/2024</w:t>
        </w:r>
      </w:hyperlink>
      <w:r>
        <w:t>, f. 6.</w:t>
      </w:r>
    </w:p>
    <w:p w14:paraId="07B6D4C5" w14:textId="39D2374F" w:rsidR="00601EEA" w:rsidRDefault="00601EEA" w:rsidP="00601EEA">
      <w:pPr>
        <w:pStyle w:val="SangriaFrancesaArticulo"/>
      </w:pPr>
      <w:r w:rsidRPr="00601EEA">
        <w:rPr>
          <w:rStyle w:val="TextoNormalNegritaCaracter"/>
        </w:rPr>
        <w:t>Artículo 86.2.</w:t>
      </w:r>
      <w:r w:rsidRPr="00601EEA">
        <w:rPr>
          <w:rStyle w:val="TextoNormalCaracter"/>
        </w:rPr>
        <w:t>-</w:t>
      </w:r>
      <w:r>
        <w:t xml:space="preserve"> Sentencia </w:t>
      </w:r>
      <w:hyperlink w:anchor="SENTENCIA_2024_88" w:history="1">
        <w:r w:rsidRPr="00601EEA">
          <w:rPr>
            <w:rStyle w:val="TextoNormalCaracter"/>
          </w:rPr>
          <w:t>88/2024</w:t>
        </w:r>
      </w:hyperlink>
      <w:r>
        <w:t>, f. 6.</w:t>
      </w:r>
    </w:p>
    <w:p w14:paraId="72465FA2" w14:textId="734D33BE" w:rsidR="00601EEA" w:rsidRDefault="00601EEA" w:rsidP="00601EEA">
      <w:pPr>
        <w:pStyle w:val="SangriaFrancesaArticulo"/>
      </w:pPr>
      <w:r w:rsidRPr="00601EEA">
        <w:rPr>
          <w:rStyle w:val="TextoNormalNegritaCaracter"/>
        </w:rPr>
        <w:t>Artículo 92 bis.</w:t>
      </w:r>
      <w:r w:rsidRPr="00601EEA">
        <w:rPr>
          <w:rStyle w:val="TextoNormalCaracter"/>
        </w:rPr>
        <w:t>-</w:t>
      </w:r>
      <w:r>
        <w:t xml:space="preserve"> Sentencia </w:t>
      </w:r>
      <w:hyperlink w:anchor="SENTENCIA_2024_73" w:history="1">
        <w:r w:rsidRPr="00601EEA">
          <w:rPr>
            <w:rStyle w:val="TextoNormalCaracter"/>
          </w:rPr>
          <w:t>73/2024</w:t>
        </w:r>
      </w:hyperlink>
      <w:r>
        <w:t>, f. 1.</w:t>
      </w:r>
    </w:p>
    <w:p w14:paraId="7761D2FB" w14:textId="67F3D545" w:rsidR="00601EEA" w:rsidRDefault="00601EEA" w:rsidP="00601EEA">
      <w:pPr>
        <w:pStyle w:val="SangriaFrancesaArticulo"/>
      </w:pPr>
      <w:r w:rsidRPr="00601EEA">
        <w:rPr>
          <w:rStyle w:val="TextoNormalNegritaCaracter"/>
        </w:rPr>
        <w:t>Artículo 92 bis</w:t>
      </w:r>
      <w:r>
        <w:t xml:space="preserve"> (redactado por la Ley 22/2021, de 28 de diciembre)</w:t>
      </w:r>
      <w:r w:rsidRPr="00601EEA">
        <w:rPr>
          <w:rStyle w:val="TextoNormalNegritaCaracter"/>
        </w:rPr>
        <w:t>.</w:t>
      </w:r>
      <w:r w:rsidRPr="00601EEA">
        <w:rPr>
          <w:rStyle w:val="TextoNormalCaracter"/>
        </w:rPr>
        <w:t>-</w:t>
      </w:r>
      <w:r>
        <w:t xml:space="preserve"> Sentencia </w:t>
      </w:r>
      <w:hyperlink w:anchor="SENTENCIA_2024_67" w:history="1">
        <w:r w:rsidRPr="00601EEA">
          <w:rPr>
            <w:rStyle w:val="TextoNormalCaracter"/>
          </w:rPr>
          <w:t>67/2024</w:t>
        </w:r>
      </w:hyperlink>
      <w:r>
        <w:t>, ff. 1, 4.</w:t>
      </w:r>
    </w:p>
    <w:p w14:paraId="2DA62234" w14:textId="615CEBF5" w:rsidR="00601EEA" w:rsidRDefault="00601EEA" w:rsidP="00601EEA">
      <w:pPr>
        <w:pStyle w:val="SangriaFrancesaArticulo"/>
      </w:pPr>
      <w:r w:rsidRPr="00601EEA">
        <w:rPr>
          <w:rStyle w:val="TextoNormalNegritaCaracter"/>
        </w:rPr>
        <w:t>Disposición adicional segunda, apartado 7.</w:t>
      </w:r>
      <w:r w:rsidRPr="00601EEA">
        <w:rPr>
          <w:rStyle w:val="TextoNormalCaracter"/>
        </w:rPr>
        <w:t>-</w:t>
      </w:r>
      <w:r>
        <w:t xml:space="preserve"> Sentencia </w:t>
      </w:r>
      <w:hyperlink w:anchor="SENTENCIA_2024_73" w:history="1">
        <w:r w:rsidRPr="00601EEA">
          <w:rPr>
            <w:rStyle w:val="TextoNormalCaracter"/>
          </w:rPr>
          <w:t>73/2024</w:t>
        </w:r>
      </w:hyperlink>
      <w:r>
        <w:t>, f. 1.</w:t>
      </w:r>
    </w:p>
    <w:p w14:paraId="5CAB32EE" w14:textId="0C8E2E48" w:rsidR="00601EEA" w:rsidRDefault="00601EEA" w:rsidP="00601EEA">
      <w:pPr>
        <w:pStyle w:val="SangriaFrancesaArticulo"/>
      </w:pPr>
      <w:r w:rsidRPr="00601EEA">
        <w:rPr>
          <w:rStyle w:val="TextoNormalNegritaCaracter"/>
        </w:rPr>
        <w:t>Disposición adicional segunda, apartado 7</w:t>
      </w:r>
      <w:r>
        <w:t xml:space="preserve"> (redactada por el Real Decreto-ley 6/2023, de 19 de diciembre)</w:t>
      </w:r>
      <w:r w:rsidRPr="00601EEA">
        <w:rPr>
          <w:rStyle w:val="TextoNormalNegritaCaracter"/>
        </w:rPr>
        <w:t>.</w:t>
      </w:r>
      <w:r w:rsidRPr="00601EEA">
        <w:rPr>
          <w:rStyle w:val="TextoNormalCaracter"/>
        </w:rPr>
        <w:t>-</w:t>
      </w:r>
      <w:r>
        <w:t xml:space="preserve"> Sentencia </w:t>
      </w:r>
      <w:hyperlink w:anchor="SENTENCIA_2024_67" w:history="1">
        <w:r w:rsidRPr="00601EEA">
          <w:rPr>
            <w:rStyle w:val="TextoNormalCaracter"/>
          </w:rPr>
          <w:t>67/2024</w:t>
        </w:r>
      </w:hyperlink>
      <w:r>
        <w:t>, f. 2.</w:t>
      </w:r>
    </w:p>
    <w:p w14:paraId="240E7713" w14:textId="77F7D912" w:rsidR="00601EEA" w:rsidRDefault="00601EEA" w:rsidP="00601EEA">
      <w:pPr>
        <w:pStyle w:val="SangriaFrancesaArticulo"/>
      </w:pPr>
      <w:r w:rsidRPr="00601EEA">
        <w:rPr>
          <w:rStyle w:val="TextoNormalNegritaCaracter"/>
        </w:rPr>
        <w:t>Disposición adicional segunda, apartado 7</w:t>
      </w:r>
      <w:r>
        <w:t xml:space="preserve"> (redactada por la Ley 22/2021, de 28 de diciembre)</w:t>
      </w:r>
      <w:r w:rsidRPr="00601EEA">
        <w:rPr>
          <w:rStyle w:val="TextoNormalNegritaCaracter"/>
        </w:rPr>
        <w:t>.</w:t>
      </w:r>
      <w:r w:rsidRPr="00601EEA">
        <w:rPr>
          <w:rStyle w:val="TextoNormalCaracter"/>
        </w:rPr>
        <w:t>-</w:t>
      </w:r>
      <w:r>
        <w:t xml:space="preserve"> Sentencia </w:t>
      </w:r>
      <w:hyperlink w:anchor="SENTENCIA_2024_67" w:history="1">
        <w:r w:rsidRPr="00601EEA">
          <w:rPr>
            <w:rStyle w:val="TextoNormalCaracter"/>
          </w:rPr>
          <w:t>67/2024</w:t>
        </w:r>
      </w:hyperlink>
      <w:r>
        <w:t>, f. 1, VP.</w:t>
      </w:r>
    </w:p>
    <w:p w14:paraId="1474C3CB" w14:textId="5E880AAD" w:rsidR="00601EEA" w:rsidRDefault="00601EEA" w:rsidP="00601EEA">
      <w:pPr>
        <w:pStyle w:val="SangriaFrancesaArticulo"/>
      </w:pPr>
    </w:p>
    <w:p w14:paraId="3D9E75B9" w14:textId="77777777" w:rsidR="00601EEA" w:rsidRDefault="00601EEA" w:rsidP="00601EEA">
      <w:pPr>
        <w:pStyle w:val="TextoNormalNegritaCursivandice"/>
        <w:keepNext/>
      </w:pPr>
      <w:r>
        <w:t>Ley 16/1985, de 25 de junio. Patrimonio histórico español</w:t>
      </w:r>
    </w:p>
    <w:p w14:paraId="7C6A3DC4" w14:textId="60720734" w:rsidR="00601EEA" w:rsidRDefault="00601EEA" w:rsidP="00601EEA">
      <w:pPr>
        <w:pStyle w:val="SangriaFrancesaArticulo"/>
      </w:pPr>
      <w:r w:rsidRPr="00601EEA">
        <w:rPr>
          <w:rStyle w:val="TextoNormalNegritaCaracter"/>
        </w:rPr>
        <w:t>Artículo 36.1.</w:t>
      </w:r>
      <w:r w:rsidRPr="00601EEA">
        <w:rPr>
          <w:rStyle w:val="TextoNormalCaracter"/>
        </w:rPr>
        <w:t>-</w:t>
      </w:r>
      <w:r>
        <w:t xml:space="preserve"> Sentencia </w:t>
      </w:r>
      <w:hyperlink w:anchor="SENTENCIA_2024_68" w:history="1">
        <w:r w:rsidRPr="00601EEA">
          <w:rPr>
            <w:rStyle w:val="TextoNormalCaracter"/>
          </w:rPr>
          <w:t>68/2024</w:t>
        </w:r>
      </w:hyperlink>
      <w:r>
        <w:t>, f. 8.</w:t>
      </w:r>
    </w:p>
    <w:p w14:paraId="2990C934" w14:textId="3283914E" w:rsidR="00601EEA" w:rsidRDefault="00601EEA" w:rsidP="00601EEA">
      <w:pPr>
        <w:pStyle w:val="SangriaFrancesaArticulo"/>
      </w:pPr>
    </w:p>
    <w:p w14:paraId="15ED1EBD" w14:textId="77777777" w:rsidR="00601EEA" w:rsidRDefault="00601EEA" w:rsidP="00601EEA">
      <w:pPr>
        <w:pStyle w:val="TextoNormalNegritaCursivandice"/>
        <w:keepNext/>
      </w:pPr>
      <w:r>
        <w:t>Ley 16/1987, de 30 de julio, de ordenación de los transportes terrestres</w:t>
      </w:r>
    </w:p>
    <w:p w14:paraId="7088C48A" w14:textId="79C6422E"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88" w:history="1">
        <w:r w:rsidRPr="00601EEA">
          <w:rPr>
            <w:rStyle w:val="TextoNormalCaracter"/>
          </w:rPr>
          <w:t>88/2024</w:t>
        </w:r>
      </w:hyperlink>
      <w:r>
        <w:t>, ff. 2, 4, 6, 7.</w:t>
      </w:r>
    </w:p>
    <w:p w14:paraId="3103D4E4" w14:textId="292047EC" w:rsidR="00601EEA" w:rsidRDefault="00601EEA" w:rsidP="00601EEA">
      <w:pPr>
        <w:pStyle w:val="SangriaFrancesaArticulo"/>
      </w:pPr>
      <w:r w:rsidRPr="00601EEA">
        <w:rPr>
          <w:rStyle w:val="TextoNormalNegritaCaracter"/>
        </w:rPr>
        <w:t>Artículo 42.</w:t>
      </w:r>
      <w:r w:rsidRPr="00601EEA">
        <w:rPr>
          <w:rStyle w:val="TextoNormalCaracter"/>
        </w:rPr>
        <w:t>-</w:t>
      </w:r>
      <w:r>
        <w:t xml:space="preserve"> Sentencia </w:t>
      </w:r>
      <w:hyperlink w:anchor="SENTENCIA_2024_88" w:history="1">
        <w:r w:rsidRPr="00601EEA">
          <w:rPr>
            <w:rStyle w:val="TextoNormalCaracter"/>
          </w:rPr>
          <w:t>88/2024</w:t>
        </w:r>
      </w:hyperlink>
      <w:r>
        <w:t>, f. 4.</w:t>
      </w:r>
    </w:p>
    <w:p w14:paraId="34E1D92C" w14:textId="71B154AD" w:rsidR="00601EEA" w:rsidRDefault="00601EEA" w:rsidP="00601EEA">
      <w:pPr>
        <w:pStyle w:val="SangriaFrancesaArticulo"/>
      </w:pPr>
      <w:r w:rsidRPr="00601EEA">
        <w:rPr>
          <w:rStyle w:val="TextoNormalNegritaCaracter"/>
        </w:rPr>
        <w:t>Artículo 48.3</w:t>
      </w:r>
      <w:r>
        <w:t xml:space="preserve"> (redactado por el Real Decreto-ley 3/2018, de 20 de abril)</w:t>
      </w:r>
      <w:r w:rsidRPr="00601EEA">
        <w:rPr>
          <w:rStyle w:val="TextoNormalNegritaCaracter"/>
        </w:rPr>
        <w:t>.</w:t>
      </w:r>
      <w:r w:rsidRPr="00601EEA">
        <w:rPr>
          <w:rStyle w:val="TextoNormalCaracter"/>
        </w:rPr>
        <w:t>-</w:t>
      </w:r>
      <w:r>
        <w:t xml:space="preserve"> Sentencia </w:t>
      </w:r>
      <w:hyperlink w:anchor="SENTENCIA_2024_88" w:history="1">
        <w:r w:rsidRPr="00601EEA">
          <w:rPr>
            <w:rStyle w:val="TextoNormalCaracter"/>
          </w:rPr>
          <w:t>88/2024</w:t>
        </w:r>
      </w:hyperlink>
      <w:r>
        <w:t>, f. 6.</w:t>
      </w:r>
    </w:p>
    <w:p w14:paraId="38F49145" w14:textId="440FD72F" w:rsidR="00601EEA" w:rsidRDefault="00601EEA" w:rsidP="00601EEA">
      <w:pPr>
        <w:pStyle w:val="SangriaFrancesaArticulo"/>
      </w:pPr>
      <w:r w:rsidRPr="00601EEA">
        <w:rPr>
          <w:rStyle w:val="TextoNormalNegritaCaracter"/>
        </w:rPr>
        <w:t>Artículo 91</w:t>
      </w:r>
      <w:r>
        <w:t xml:space="preserve"> (redactado por el Real Decreto-ley 13/2018, de 28 de septiembre)</w:t>
      </w:r>
      <w:r w:rsidRPr="00601EEA">
        <w:rPr>
          <w:rStyle w:val="TextoNormalNegritaCaracter"/>
        </w:rPr>
        <w:t>.</w:t>
      </w:r>
      <w:r w:rsidRPr="00601EEA">
        <w:rPr>
          <w:rStyle w:val="TextoNormalCaracter"/>
        </w:rPr>
        <w:t>-</w:t>
      </w:r>
      <w:r>
        <w:t xml:space="preserve"> Sentencia </w:t>
      </w:r>
      <w:hyperlink w:anchor="SENTENCIA_2024_88" w:history="1">
        <w:r w:rsidRPr="00601EEA">
          <w:rPr>
            <w:rStyle w:val="TextoNormalCaracter"/>
          </w:rPr>
          <w:t>88/2024</w:t>
        </w:r>
      </w:hyperlink>
      <w:r>
        <w:t>, ff. 4, 5, 7.</w:t>
      </w:r>
    </w:p>
    <w:p w14:paraId="44BE321A" w14:textId="03C16267" w:rsidR="00601EEA" w:rsidRDefault="00601EEA" w:rsidP="00601EEA">
      <w:pPr>
        <w:pStyle w:val="SangriaFrancesaArticulo"/>
      </w:pPr>
      <w:r w:rsidRPr="00601EEA">
        <w:rPr>
          <w:rStyle w:val="TextoNormalNegritaCaracter"/>
        </w:rPr>
        <w:t>Artículo 99.</w:t>
      </w:r>
      <w:r w:rsidRPr="00601EEA">
        <w:rPr>
          <w:rStyle w:val="TextoNormalCaracter"/>
        </w:rPr>
        <w:t>-</w:t>
      </w:r>
      <w:r>
        <w:t xml:space="preserve"> Sentencia </w:t>
      </w:r>
      <w:hyperlink w:anchor="SENTENCIA_2024_88" w:history="1">
        <w:r w:rsidRPr="00601EEA">
          <w:rPr>
            <w:rStyle w:val="TextoNormalCaracter"/>
          </w:rPr>
          <w:t>88/2024</w:t>
        </w:r>
      </w:hyperlink>
      <w:r>
        <w:t>, f. 7.</w:t>
      </w:r>
    </w:p>
    <w:p w14:paraId="214AAEE1" w14:textId="7D9E2ED7" w:rsidR="00601EEA" w:rsidRDefault="00601EEA" w:rsidP="00601EEA">
      <w:pPr>
        <w:pStyle w:val="SangriaFrancesaArticulo"/>
      </w:pPr>
      <w:r w:rsidRPr="00601EEA">
        <w:rPr>
          <w:rStyle w:val="TextoNormalNegritaCaracter"/>
        </w:rPr>
        <w:t>Artículo 99.4.</w:t>
      </w:r>
      <w:r w:rsidRPr="00601EEA">
        <w:rPr>
          <w:rStyle w:val="TextoNormalCaracter"/>
        </w:rPr>
        <w:t>-</w:t>
      </w:r>
      <w:r>
        <w:t xml:space="preserve"> Sentencia </w:t>
      </w:r>
      <w:hyperlink w:anchor="SENTENCIA_2024_88" w:history="1">
        <w:r w:rsidRPr="00601EEA">
          <w:rPr>
            <w:rStyle w:val="TextoNormalCaracter"/>
          </w:rPr>
          <w:t>88/2024</w:t>
        </w:r>
      </w:hyperlink>
      <w:r>
        <w:t>, f. 4.</w:t>
      </w:r>
    </w:p>
    <w:p w14:paraId="049A255D" w14:textId="0BC3BC9E" w:rsidR="00601EEA" w:rsidRDefault="00601EEA" w:rsidP="00601EEA">
      <w:pPr>
        <w:pStyle w:val="SangriaFrancesaArticulo"/>
      </w:pPr>
      <w:r w:rsidRPr="00601EEA">
        <w:rPr>
          <w:rStyle w:val="TextoNormalNegritaCaracter"/>
        </w:rPr>
        <w:t>Artículo 99.4</w:t>
      </w:r>
      <w:r>
        <w:t xml:space="preserve"> (redactado por el Real Decreto-ley 5/2023, de 28 de junio)</w:t>
      </w:r>
      <w:r w:rsidRPr="00601EEA">
        <w:rPr>
          <w:rStyle w:val="TextoNormalNegritaCaracter"/>
        </w:rPr>
        <w:t>.</w:t>
      </w:r>
      <w:r w:rsidRPr="00601EEA">
        <w:rPr>
          <w:rStyle w:val="TextoNormalCaracter"/>
        </w:rPr>
        <w:t>-</w:t>
      </w:r>
      <w:r>
        <w:t xml:space="preserve"> Sentencia </w:t>
      </w:r>
      <w:hyperlink w:anchor="SENTENCIA_2024_88" w:history="1">
        <w:r w:rsidRPr="00601EEA">
          <w:rPr>
            <w:rStyle w:val="TextoNormalCaracter"/>
          </w:rPr>
          <w:t>88/2024</w:t>
        </w:r>
      </w:hyperlink>
      <w:r>
        <w:t>, f. 4.</w:t>
      </w:r>
    </w:p>
    <w:p w14:paraId="75CF4B7E" w14:textId="32E1812E" w:rsidR="00601EEA" w:rsidRDefault="00601EEA" w:rsidP="00601EEA">
      <w:pPr>
        <w:pStyle w:val="SangriaFrancesaArticulo"/>
      </w:pPr>
      <w:r w:rsidRPr="00601EEA">
        <w:rPr>
          <w:rStyle w:val="TextoNormalNegritaCaracter"/>
        </w:rPr>
        <w:t>Artículo 99.5</w:t>
      </w:r>
      <w:r>
        <w:t xml:space="preserve"> (redactado por el Real Decreto-ley 5/2023, de 28 de junio)</w:t>
      </w:r>
      <w:r w:rsidRPr="00601EEA">
        <w:rPr>
          <w:rStyle w:val="TextoNormalNegritaCaracter"/>
        </w:rPr>
        <w:t>.</w:t>
      </w:r>
      <w:r w:rsidRPr="00601EEA">
        <w:rPr>
          <w:rStyle w:val="TextoNormalCaracter"/>
        </w:rPr>
        <w:t>-</w:t>
      </w:r>
      <w:r>
        <w:t xml:space="preserve"> Sentencia </w:t>
      </w:r>
      <w:hyperlink w:anchor="SENTENCIA_2024_88" w:history="1">
        <w:r w:rsidRPr="00601EEA">
          <w:rPr>
            <w:rStyle w:val="TextoNormalCaracter"/>
          </w:rPr>
          <w:t>88/2024</w:t>
        </w:r>
      </w:hyperlink>
      <w:r>
        <w:t>, f. 4.</w:t>
      </w:r>
    </w:p>
    <w:p w14:paraId="35B56C74" w14:textId="3219D3D4" w:rsidR="00601EEA" w:rsidRDefault="00601EEA" w:rsidP="00601EEA">
      <w:pPr>
        <w:pStyle w:val="SangriaFrancesaArticulo"/>
      </w:pPr>
      <w:r w:rsidRPr="00601EEA">
        <w:rPr>
          <w:rStyle w:val="TextoNormalNegritaCaracter"/>
        </w:rPr>
        <w:t>Artículo 99.6</w:t>
      </w:r>
      <w:r>
        <w:t xml:space="preserve"> (redactado por el Real Decreto-ley 5/2023, de 28 de junio)</w:t>
      </w:r>
      <w:r w:rsidRPr="00601EEA">
        <w:rPr>
          <w:rStyle w:val="TextoNormalNegritaCaracter"/>
        </w:rPr>
        <w:t>.</w:t>
      </w:r>
      <w:r w:rsidRPr="00601EEA">
        <w:rPr>
          <w:rStyle w:val="TextoNormalCaracter"/>
        </w:rPr>
        <w:t>-</w:t>
      </w:r>
      <w:r>
        <w:t xml:space="preserve"> Sentencia </w:t>
      </w:r>
      <w:hyperlink w:anchor="SENTENCIA_2024_88" w:history="1">
        <w:r w:rsidRPr="00601EEA">
          <w:rPr>
            <w:rStyle w:val="TextoNormalCaracter"/>
          </w:rPr>
          <w:t>88/2024</w:t>
        </w:r>
      </w:hyperlink>
      <w:r>
        <w:t>, f. 4.</w:t>
      </w:r>
    </w:p>
    <w:p w14:paraId="469A844A" w14:textId="712D0332" w:rsidR="00601EEA" w:rsidRDefault="00601EEA" w:rsidP="00601EEA">
      <w:pPr>
        <w:pStyle w:val="SangriaFrancesaArticulo"/>
      </w:pPr>
      <w:r w:rsidRPr="00601EEA">
        <w:rPr>
          <w:rStyle w:val="TextoNormalNegritaCaracter"/>
        </w:rPr>
        <w:t>Artículo 99.7</w:t>
      </w:r>
      <w:r>
        <w:t xml:space="preserve"> (redactado por el Real Decreto-ley 5/2023, de 28 de junio)</w:t>
      </w:r>
      <w:r w:rsidRPr="00601EEA">
        <w:rPr>
          <w:rStyle w:val="TextoNormalNegritaCaracter"/>
        </w:rPr>
        <w:t>.</w:t>
      </w:r>
      <w:r w:rsidRPr="00601EEA">
        <w:rPr>
          <w:rStyle w:val="TextoNormalCaracter"/>
        </w:rPr>
        <w:t>-</w:t>
      </w:r>
      <w:r>
        <w:t xml:space="preserve"> Sentencia </w:t>
      </w:r>
      <w:hyperlink w:anchor="SENTENCIA_2024_88" w:history="1">
        <w:r w:rsidRPr="00601EEA">
          <w:rPr>
            <w:rStyle w:val="TextoNormalCaracter"/>
          </w:rPr>
          <w:t>88/2024</w:t>
        </w:r>
      </w:hyperlink>
      <w:r>
        <w:t>, f. 4.</w:t>
      </w:r>
    </w:p>
    <w:p w14:paraId="41721387" w14:textId="0EC0DD7C" w:rsidR="00601EEA" w:rsidRDefault="00601EEA" w:rsidP="00601EEA">
      <w:pPr>
        <w:pStyle w:val="SangriaFrancesaArticulo"/>
      </w:pPr>
      <w:r w:rsidRPr="00601EEA">
        <w:rPr>
          <w:rStyle w:val="TextoNormalNegritaCaracter"/>
        </w:rPr>
        <w:t>Artículo 134.</w:t>
      </w:r>
      <w:r w:rsidRPr="00601EEA">
        <w:rPr>
          <w:rStyle w:val="TextoNormalCaracter"/>
        </w:rPr>
        <w:t>-</w:t>
      </w:r>
      <w:r>
        <w:t xml:space="preserve"> Sentencia </w:t>
      </w:r>
      <w:hyperlink w:anchor="SENTENCIA_2024_88" w:history="1">
        <w:r w:rsidRPr="00601EEA">
          <w:rPr>
            <w:rStyle w:val="TextoNormalCaracter"/>
          </w:rPr>
          <w:t>88/2024</w:t>
        </w:r>
      </w:hyperlink>
      <w:r>
        <w:t>, f. 4.</w:t>
      </w:r>
    </w:p>
    <w:p w14:paraId="50702D3D" w14:textId="7A845306" w:rsidR="00601EEA" w:rsidRDefault="00601EEA" w:rsidP="00601EEA">
      <w:pPr>
        <w:pStyle w:val="SangriaFrancesaArticulo"/>
      </w:pPr>
    </w:p>
    <w:p w14:paraId="734ACB66" w14:textId="77777777" w:rsidR="00601EEA" w:rsidRDefault="00601EEA" w:rsidP="00601EEA">
      <w:pPr>
        <w:pStyle w:val="TextoNormalNegritaCursivandice"/>
        <w:keepNext/>
      </w:pPr>
      <w:r>
        <w:t>Ley 7/1988, de 5 de abril, de funcionamiento del Tribunal de Cuentas</w:t>
      </w:r>
    </w:p>
    <w:p w14:paraId="77C69C89" w14:textId="6EBA957F"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44" w:history="1">
        <w:r w:rsidRPr="00601EEA">
          <w:rPr>
            <w:rStyle w:val="TextoNormalCaracter"/>
          </w:rPr>
          <w:t>44/2024</w:t>
        </w:r>
      </w:hyperlink>
      <w:r>
        <w:t>, f. 5.</w:t>
      </w:r>
    </w:p>
    <w:p w14:paraId="578F9762" w14:textId="3AAF7274" w:rsidR="00601EEA" w:rsidRDefault="00601EEA" w:rsidP="00601EEA">
      <w:pPr>
        <w:pStyle w:val="SangriaFrancesaArticulo"/>
      </w:pPr>
    </w:p>
    <w:p w14:paraId="48189960" w14:textId="77777777" w:rsidR="00601EEA" w:rsidRDefault="00601EEA" w:rsidP="00601EEA">
      <w:pPr>
        <w:pStyle w:val="TextoNormalNegritaCursivandice"/>
        <w:keepNext/>
      </w:pPr>
      <w:r>
        <w:t>Ley 22/1988, de 28 de julio, de costas</w:t>
      </w:r>
    </w:p>
    <w:p w14:paraId="64C1FF16" w14:textId="195F7460"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Sentencias </w:t>
      </w:r>
      <w:hyperlink w:anchor="SENTENCIA_2024_68" w:history="1">
        <w:r w:rsidRPr="00601EEA">
          <w:rPr>
            <w:rStyle w:val="TextoNormalCaracter"/>
          </w:rPr>
          <w:t>68/2024</w:t>
        </w:r>
      </w:hyperlink>
      <w:r>
        <w:t xml:space="preserve">, ff. 2, 7, 8, VP I; </w:t>
      </w:r>
      <w:hyperlink w:anchor="SENTENCIA_2024_76" w:history="1">
        <w:r w:rsidRPr="00601EEA">
          <w:rPr>
            <w:rStyle w:val="TextoNormalCaracter"/>
          </w:rPr>
          <w:t>76/2024</w:t>
        </w:r>
      </w:hyperlink>
      <w:r>
        <w:t xml:space="preserve">, ff. 1, 4, 5, VP; </w:t>
      </w:r>
      <w:hyperlink w:anchor="SENTENCIA_2024_91" w:history="1">
        <w:r w:rsidRPr="00601EEA">
          <w:rPr>
            <w:rStyle w:val="TextoNormalCaracter"/>
          </w:rPr>
          <w:t>91/2024</w:t>
        </w:r>
      </w:hyperlink>
      <w:r>
        <w:t>, f. 1.</w:t>
      </w:r>
    </w:p>
    <w:p w14:paraId="512E678B" w14:textId="0968E931" w:rsidR="00601EEA" w:rsidRDefault="00601EEA" w:rsidP="00601EEA">
      <w:pPr>
        <w:pStyle w:val="SangriaFrancesaArticulo"/>
      </w:pPr>
      <w:r w:rsidRPr="00601EEA">
        <w:rPr>
          <w:rStyle w:val="TextoNormalNegritaCaracter"/>
        </w:rPr>
        <w:t>Título II.</w:t>
      </w:r>
      <w:r w:rsidRPr="00601EEA">
        <w:rPr>
          <w:rStyle w:val="TextoNormalCaracter"/>
        </w:rPr>
        <w:t>-</w:t>
      </w:r>
      <w:r>
        <w:t xml:space="preserve"> Sentencia </w:t>
      </w:r>
      <w:hyperlink w:anchor="SENTENCIA_2024_76" w:history="1">
        <w:r w:rsidRPr="00601EEA">
          <w:rPr>
            <w:rStyle w:val="TextoNormalCaracter"/>
          </w:rPr>
          <w:t>76/2024</w:t>
        </w:r>
      </w:hyperlink>
      <w:r>
        <w:t>, f. 4.</w:t>
      </w:r>
    </w:p>
    <w:p w14:paraId="0C711A81" w14:textId="5418D16B" w:rsidR="00601EEA" w:rsidRDefault="00601EEA" w:rsidP="00601EEA">
      <w:pPr>
        <w:pStyle w:val="SangriaFrancesaArticulo"/>
      </w:pPr>
      <w:r w:rsidRPr="00601EEA">
        <w:rPr>
          <w:rStyle w:val="TextoNormalNegritaCaracter"/>
        </w:rPr>
        <w:t>Artículo 2.</w:t>
      </w:r>
      <w:r w:rsidRPr="00601EEA">
        <w:rPr>
          <w:rStyle w:val="TextoNormalCaracter"/>
        </w:rPr>
        <w:t>-</w:t>
      </w:r>
      <w:r>
        <w:t xml:space="preserve"> Sentencia </w:t>
      </w:r>
      <w:hyperlink w:anchor="SENTENCIA_2024_68" w:history="1">
        <w:r w:rsidRPr="00601EEA">
          <w:rPr>
            <w:rStyle w:val="TextoNormalCaracter"/>
          </w:rPr>
          <w:t>68/2024</w:t>
        </w:r>
      </w:hyperlink>
      <w:r>
        <w:t>, f. 7.</w:t>
      </w:r>
    </w:p>
    <w:p w14:paraId="4E52245E" w14:textId="30F26D88" w:rsidR="00601EEA" w:rsidRDefault="00601EEA" w:rsidP="00601EEA">
      <w:pPr>
        <w:pStyle w:val="SangriaFrancesaArticulo"/>
      </w:pPr>
      <w:r w:rsidRPr="00601EEA">
        <w:rPr>
          <w:rStyle w:val="TextoNormalNegritaCaracter"/>
        </w:rPr>
        <w:t>Artículo 3.</w:t>
      </w:r>
      <w:r w:rsidRPr="00601EEA">
        <w:rPr>
          <w:rStyle w:val="TextoNormalCaracter"/>
        </w:rPr>
        <w:t>-</w:t>
      </w:r>
      <w:r>
        <w:t xml:space="preserve"> Sentencia </w:t>
      </w:r>
      <w:hyperlink w:anchor="SENTENCIA_2024_68" w:history="1">
        <w:r w:rsidRPr="00601EEA">
          <w:rPr>
            <w:rStyle w:val="TextoNormalCaracter"/>
          </w:rPr>
          <w:t>68/2024</w:t>
        </w:r>
      </w:hyperlink>
      <w:r>
        <w:t>, ff. 7, 8.</w:t>
      </w:r>
    </w:p>
    <w:p w14:paraId="41879183" w14:textId="165DC32C" w:rsidR="00601EEA" w:rsidRDefault="00601EEA" w:rsidP="00601EEA">
      <w:pPr>
        <w:pStyle w:val="SangriaFrancesaArticulo"/>
      </w:pPr>
      <w:r w:rsidRPr="00601EEA">
        <w:rPr>
          <w:rStyle w:val="TextoNormalNegritaCaracter"/>
        </w:rPr>
        <w:t>Artículo 4.</w:t>
      </w:r>
      <w:r w:rsidRPr="00601EEA">
        <w:rPr>
          <w:rStyle w:val="TextoNormalCaracter"/>
        </w:rPr>
        <w:t>-</w:t>
      </w:r>
      <w:r>
        <w:t xml:space="preserve"> Sentencia </w:t>
      </w:r>
      <w:hyperlink w:anchor="SENTENCIA_2024_68" w:history="1">
        <w:r w:rsidRPr="00601EEA">
          <w:rPr>
            <w:rStyle w:val="TextoNormalCaracter"/>
          </w:rPr>
          <w:t>68/2024</w:t>
        </w:r>
      </w:hyperlink>
      <w:r>
        <w:t>, f. 7.</w:t>
      </w:r>
    </w:p>
    <w:p w14:paraId="6186FC70" w14:textId="4A46DEFF" w:rsidR="00601EEA" w:rsidRDefault="00601EEA" w:rsidP="00601EEA">
      <w:pPr>
        <w:pStyle w:val="SangriaFrancesaArticulo"/>
      </w:pPr>
      <w:r w:rsidRPr="00601EEA">
        <w:rPr>
          <w:rStyle w:val="TextoNormalNegritaCaracter"/>
        </w:rPr>
        <w:t>Artículo 5.</w:t>
      </w:r>
      <w:r w:rsidRPr="00601EEA">
        <w:rPr>
          <w:rStyle w:val="TextoNormalCaracter"/>
        </w:rPr>
        <w:t>-</w:t>
      </w:r>
      <w:r>
        <w:t xml:space="preserve"> Sentencia </w:t>
      </w:r>
      <w:hyperlink w:anchor="SENTENCIA_2024_68" w:history="1">
        <w:r w:rsidRPr="00601EEA">
          <w:rPr>
            <w:rStyle w:val="TextoNormalCaracter"/>
          </w:rPr>
          <w:t>68/2024</w:t>
        </w:r>
      </w:hyperlink>
      <w:r>
        <w:t>, f. 7.</w:t>
      </w:r>
    </w:p>
    <w:p w14:paraId="422D5167" w14:textId="2EA8EF0D" w:rsidR="00601EEA" w:rsidRDefault="00601EEA" w:rsidP="00601EEA">
      <w:pPr>
        <w:pStyle w:val="SangriaFrancesaArticulo"/>
      </w:pPr>
      <w:r w:rsidRPr="00601EEA">
        <w:rPr>
          <w:rStyle w:val="TextoNormalNegritaCaracter"/>
        </w:rPr>
        <w:t>Artículo 6.</w:t>
      </w:r>
      <w:r w:rsidRPr="00601EEA">
        <w:rPr>
          <w:rStyle w:val="TextoNormalCaracter"/>
        </w:rPr>
        <w:t>-</w:t>
      </w:r>
      <w:r>
        <w:t xml:space="preserve"> Sentencia </w:t>
      </w:r>
      <w:hyperlink w:anchor="SENTENCIA_2024_68" w:history="1">
        <w:r w:rsidRPr="00601EEA">
          <w:rPr>
            <w:rStyle w:val="TextoNormalCaracter"/>
          </w:rPr>
          <w:t>68/2024</w:t>
        </w:r>
      </w:hyperlink>
      <w:r>
        <w:t>, f. 7.</w:t>
      </w:r>
    </w:p>
    <w:p w14:paraId="3475C2A1" w14:textId="48F71806" w:rsidR="00601EEA" w:rsidRDefault="00601EEA" w:rsidP="00601EEA">
      <w:pPr>
        <w:pStyle w:val="SangriaFrancesaArticulo"/>
      </w:pPr>
      <w:r w:rsidRPr="00601EEA">
        <w:rPr>
          <w:rStyle w:val="TextoNormalNegritaCaracter"/>
        </w:rPr>
        <w:t>Artículo 7.</w:t>
      </w:r>
      <w:r w:rsidRPr="00601EEA">
        <w:rPr>
          <w:rStyle w:val="TextoNormalCaracter"/>
        </w:rPr>
        <w:t>-</w:t>
      </w:r>
      <w:r>
        <w:t xml:space="preserve"> Sentencia </w:t>
      </w:r>
      <w:hyperlink w:anchor="SENTENCIA_2024_68" w:history="1">
        <w:r w:rsidRPr="00601EEA">
          <w:rPr>
            <w:rStyle w:val="TextoNormalCaracter"/>
          </w:rPr>
          <w:t>68/2024</w:t>
        </w:r>
      </w:hyperlink>
      <w:r>
        <w:t>, f. 7.</w:t>
      </w:r>
    </w:p>
    <w:p w14:paraId="0899899A" w14:textId="2AEC8759" w:rsidR="00601EEA" w:rsidRDefault="00601EEA" w:rsidP="00601EEA">
      <w:pPr>
        <w:pStyle w:val="SangriaFrancesaArticulo"/>
      </w:pPr>
      <w:r w:rsidRPr="00601EEA">
        <w:rPr>
          <w:rStyle w:val="TextoNormalNegritaCaracter"/>
        </w:rPr>
        <w:t>Artículo 9.1.</w:t>
      </w:r>
      <w:r w:rsidRPr="00601EEA">
        <w:rPr>
          <w:rStyle w:val="TextoNormalCaracter"/>
        </w:rPr>
        <w:t>-</w:t>
      </w:r>
      <w:r>
        <w:t xml:space="preserve"> Sentencia </w:t>
      </w:r>
      <w:hyperlink w:anchor="SENTENCIA_2024_68" w:history="1">
        <w:r w:rsidRPr="00601EEA">
          <w:rPr>
            <w:rStyle w:val="TextoNormalCaracter"/>
          </w:rPr>
          <w:t>68/2024</w:t>
        </w:r>
      </w:hyperlink>
      <w:r>
        <w:t>, f. 7.</w:t>
      </w:r>
    </w:p>
    <w:p w14:paraId="5978B73D" w14:textId="21B87E83" w:rsidR="00601EEA" w:rsidRDefault="00601EEA" w:rsidP="00601EEA">
      <w:pPr>
        <w:pStyle w:val="SangriaFrancesaArticulo"/>
      </w:pPr>
      <w:r w:rsidRPr="00601EEA">
        <w:rPr>
          <w:rStyle w:val="TextoNormalNegritaCaracter"/>
        </w:rPr>
        <w:t>Artículo 13.</w:t>
      </w:r>
      <w:r w:rsidRPr="00601EEA">
        <w:rPr>
          <w:rStyle w:val="TextoNormalCaracter"/>
        </w:rPr>
        <w:t>-</w:t>
      </w:r>
      <w:r>
        <w:t xml:space="preserve"> Sentencia </w:t>
      </w:r>
      <w:hyperlink w:anchor="SENTENCIA_2024_68" w:history="1">
        <w:r w:rsidRPr="00601EEA">
          <w:rPr>
            <w:rStyle w:val="TextoNormalCaracter"/>
          </w:rPr>
          <w:t>68/2024</w:t>
        </w:r>
      </w:hyperlink>
      <w:r>
        <w:t>, f. 8.</w:t>
      </w:r>
    </w:p>
    <w:p w14:paraId="74CBA02B" w14:textId="509AAE69" w:rsidR="00601EEA" w:rsidRDefault="00601EEA" w:rsidP="00601EEA">
      <w:pPr>
        <w:pStyle w:val="SangriaFrancesaArticulo"/>
      </w:pPr>
      <w:r w:rsidRPr="00601EEA">
        <w:rPr>
          <w:rStyle w:val="TextoNormalNegritaCaracter"/>
        </w:rPr>
        <w:t>Artículo 13 bis</w:t>
      </w:r>
      <w:r>
        <w:t xml:space="preserve"> (redactado por la Ley 2/2013, de 29 de mayo)</w:t>
      </w:r>
      <w:r w:rsidRPr="00601EEA">
        <w:rPr>
          <w:rStyle w:val="TextoNormalNegritaCaracter"/>
        </w:rPr>
        <w:t>.</w:t>
      </w:r>
      <w:r w:rsidRPr="00601EEA">
        <w:rPr>
          <w:rStyle w:val="TextoNormalCaracter"/>
        </w:rPr>
        <w:t>-</w:t>
      </w:r>
      <w:r>
        <w:t xml:space="preserve"> Sentencia </w:t>
      </w:r>
      <w:hyperlink w:anchor="SENTENCIA_2024_68" w:history="1">
        <w:r w:rsidRPr="00601EEA">
          <w:rPr>
            <w:rStyle w:val="TextoNormalCaracter"/>
          </w:rPr>
          <w:t>68/2024</w:t>
        </w:r>
      </w:hyperlink>
      <w:r>
        <w:t>, f. 8.</w:t>
      </w:r>
    </w:p>
    <w:p w14:paraId="38982498" w14:textId="465BA839" w:rsidR="00601EEA" w:rsidRDefault="00601EEA" w:rsidP="00601EEA">
      <w:pPr>
        <w:pStyle w:val="SangriaFrancesaArticulo"/>
      </w:pPr>
      <w:r w:rsidRPr="00601EEA">
        <w:rPr>
          <w:rStyle w:val="TextoNormalNegritaCaracter"/>
        </w:rPr>
        <w:t>Artículo 20.</w:t>
      </w:r>
      <w:r w:rsidRPr="00601EEA">
        <w:rPr>
          <w:rStyle w:val="TextoNormalCaracter"/>
        </w:rPr>
        <w:t>-</w:t>
      </w:r>
      <w:r>
        <w:t xml:space="preserve"> Sentencia </w:t>
      </w:r>
      <w:hyperlink w:anchor="SENTENCIA_2024_76" w:history="1">
        <w:r w:rsidRPr="00601EEA">
          <w:rPr>
            <w:rStyle w:val="TextoNormalCaracter"/>
          </w:rPr>
          <w:t>76/2024</w:t>
        </w:r>
      </w:hyperlink>
      <w:r>
        <w:t>, f. 4.</w:t>
      </w:r>
    </w:p>
    <w:p w14:paraId="542A49C3" w14:textId="6AD93632" w:rsidR="00601EEA" w:rsidRDefault="00601EEA" w:rsidP="00601EEA">
      <w:pPr>
        <w:pStyle w:val="SangriaFrancesaArticulo"/>
      </w:pPr>
      <w:r w:rsidRPr="00601EEA">
        <w:rPr>
          <w:rStyle w:val="TextoNormalNegritaCaracter"/>
        </w:rPr>
        <w:t>Artículo 21.1.</w:t>
      </w:r>
      <w:r w:rsidRPr="00601EEA">
        <w:rPr>
          <w:rStyle w:val="TextoNormalCaracter"/>
        </w:rPr>
        <w:t>-</w:t>
      </w:r>
      <w:r>
        <w:t xml:space="preserve"> Sentencia </w:t>
      </w:r>
      <w:hyperlink w:anchor="SENTENCIA_2024_76" w:history="1">
        <w:r w:rsidRPr="00601EEA">
          <w:rPr>
            <w:rStyle w:val="TextoNormalCaracter"/>
          </w:rPr>
          <w:t>76/2024</w:t>
        </w:r>
      </w:hyperlink>
      <w:r>
        <w:t>, f. 4, VP.</w:t>
      </w:r>
    </w:p>
    <w:p w14:paraId="411F2CF3" w14:textId="4C09F43C" w:rsidR="00601EEA" w:rsidRDefault="00601EEA" w:rsidP="00601EEA">
      <w:pPr>
        <w:pStyle w:val="SangriaFrancesaArticulo"/>
      </w:pPr>
      <w:r w:rsidRPr="00601EEA">
        <w:rPr>
          <w:rStyle w:val="TextoNormalNegritaCaracter"/>
        </w:rPr>
        <w:t xml:space="preserve">Artículo 21.1 </w:t>
      </w:r>
      <w:r w:rsidRPr="00601EEA">
        <w:rPr>
          <w:rStyle w:val="TextoNormalNegritaCursivaCaracter"/>
        </w:rPr>
        <w:t>in fine</w:t>
      </w:r>
      <w:r w:rsidRPr="00601EEA">
        <w:rPr>
          <w:rStyle w:val="TextoNormalNegritaCaracter"/>
        </w:rPr>
        <w:t>.</w:t>
      </w:r>
      <w:r w:rsidRPr="00601EEA">
        <w:rPr>
          <w:rStyle w:val="TextoNormalCaracter"/>
        </w:rPr>
        <w:t>-</w:t>
      </w:r>
      <w:r>
        <w:t xml:space="preserve"> Sentencia </w:t>
      </w:r>
      <w:hyperlink w:anchor="SENTENCIA_2024_76" w:history="1">
        <w:r w:rsidRPr="00601EEA">
          <w:rPr>
            <w:rStyle w:val="TextoNormalCaracter"/>
          </w:rPr>
          <w:t>76/2024</w:t>
        </w:r>
      </w:hyperlink>
      <w:r>
        <w:t>, f. 4.</w:t>
      </w:r>
    </w:p>
    <w:p w14:paraId="79CD2F33" w14:textId="1600EA67" w:rsidR="00601EEA" w:rsidRDefault="00601EEA" w:rsidP="00601EEA">
      <w:pPr>
        <w:pStyle w:val="SangriaFrancesaArticulo"/>
      </w:pPr>
      <w:r w:rsidRPr="00601EEA">
        <w:rPr>
          <w:rStyle w:val="TextoNormalNegritaCaracter"/>
        </w:rPr>
        <w:t>Artículo 23.</w:t>
      </w:r>
      <w:r w:rsidRPr="00601EEA">
        <w:rPr>
          <w:rStyle w:val="TextoNormalCaracter"/>
        </w:rPr>
        <w:t>-</w:t>
      </w:r>
      <w:r>
        <w:t xml:space="preserve"> Sentencias </w:t>
      </w:r>
      <w:hyperlink w:anchor="SENTENCIA_2024_68" w:history="1">
        <w:r w:rsidRPr="00601EEA">
          <w:rPr>
            <w:rStyle w:val="TextoNormalCaracter"/>
          </w:rPr>
          <w:t>68/2024</w:t>
        </w:r>
      </w:hyperlink>
      <w:r>
        <w:t xml:space="preserve">, f. 8; </w:t>
      </w:r>
      <w:hyperlink w:anchor="SENTENCIA_2024_76" w:history="1">
        <w:r w:rsidRPr="00601EEA">
          <w:rPr>
            <w:rStyle w:val="TextoNormalCaracter"/>
          </w:rPr>
          <w:t>76/2024</w:t>
        </w:r>
      </w:hyperlink>
      <w:r>
        <w:t>, f. 4.</w:t>
      </w:r>
    </w:p>
    <w:p w14:paraId="209A6EC0" w14:textId="74FD68A7" w:rsidR="00601EEA" w:rsidRDefault="00601EEA" w:rsidP="00601EEA">
      <w:pPr>
        <w:pStyle w:val="SangriaFrancesaArticulo"/>
      </w:pPr>
      <w:r w:rsidRPr="00601EEA">
        <w:rPr>
          <w:rStyle w:val="TextoNormalNegritaCaracter"/>
        </w:rPr>
        <w:t>Artículo 24.</w:t>
      </w:r>
      <w:r w:rsidRPr="00601EEA">
        <w:rPr>
          <w:rStyle w:val="TextoNormalCaracter"/>
        </w:rPr>
        <w:t>-</w:t>
      </w:r>
      <w:r>
        <w:t xml:space="preserve"> Sentencias </w:t>
      </w:r>
      <w:hyperlink w:anchor="SENTENCIA_2024_68" w:history="1">
        <w:r w:rsidRPr="00601EEA">
          <w:rPr>
            <w:rStyle w:val="TextoNormalCaracter"/>
          </w:rPr>
          <w:t>68/2024</w:t>
        </w:r>
      </w:hyperlink>
      <w:r>
        <w:t xml:space="preserve">, f. 8; </w:t>
      </w:r>
      <w:hyperlink w:anchor="SENTENCIA_2024_76" w:history="1">
        <w:r w:rsidRPr="00601EEA">
          <w:rPr>
            <w:rStyle w:val="TextoNormalCaracter"/>
          </w:rPr>
          <w:t>76/2024</w:t>
        </w:r>
      </w:hyperlink>
      <w:r>
        <w:t>, f. 4.</w:t>
      </w:r>
    </w:p>
    <w:p w14:paraId="764293C2" w14:textId="0BE47606" w:rsidR="00601EEA" w:rsidRDefault="00601EEA" w:rsidP="00601EEA">
      <w:pPr>
        <w:pStyle w:val="SangriaFrancesaArticulo"/>
      </w:pPr>
      <w:r w:rsidRPr="00601EEA">
        <w:rPr>
          <w:rStyle w:val="TextoNormalNegritaCaracter"/>
        </w:rPr>
        <w:t>Artículo 25.</w:t>
      </w:r>
      <w:r w:rsidRPr="00601EEA">
        <w:rPr>
          <w:rStyle w:val="TextoNormalCaracter"/>
        </w:rPr>
        <w:t>-</w:t>
      </w:r>
      <w:r>
        <w:t xml:space="preserve"> Sentencias </w:t>
      </w:r>
      <w:hyperlink w:anchor="SENTENCIA_2024_68" w:history="1">
        <w:r w:rsidRPr="00601EEA">
          <w:rPr>
            <w:rStyle w:val="TextoNormalCaracter"/>
          </w:rPr>
          <w:t>68/2024</w:t>
        </w:r>
      </w:hyperlink>
      <w:r>
        <w:t xml:space="preserve">, ff. 8, 11; </w:t>
      </w:r>
      <w:hyperlink w:anchor="SENTENCIA_2024_76" w:history="1">
        <w:r w:rsidRPr="00601EEA">
          <w:rPr>
            <w:rStyle w:val="TextoNormalCaracter"/>
          </w:rPr>
          <w:t>76/2024</w:t>
        </w:r>
      </w:hyperlink>
      <w:r>
        <w:t>, f. 4.</w:t>
      </w:r>
    </w:p>
    <w:p w14:paraId="470F70B4" w14:textId="769CD3B2" w:rsidR="00601EEA" w:rsidRDefault="00601EEA" w:rsidP="00601EEA">
      <w:pPr>
        <w:pStyle w:val="SangriaFrancesaArticulo"/>
      </w:pPr>
      <w:r w:rsidRPr="00601EEA">
        <w:rPr>
          <w:rStyle w:val="TextoNormalNegritaCaracter"/>
        </w:rPr>
        <w:t>Artículo 25.1.</w:t>
      </w:r>
      <w:r w:rsidRPr="00601EEA">
        <w:rPr>
          <w:rStyle w:val="TextoNormalCaracter"/>
        </w:rPr>
        <w:t>-</w:t>
      </w:r>
      <w:r>
        <w:t xml:space="preserve"> Sentencia </w:t>
      </w:r>
      <w:hyperlink w:anchor="SENTENCIA_2024_68" w:history="1">
        <w:r w:rsidRPr="00601EEA">
          <w:rPr>
            <w:rStyle w:val="TextoNormalCaracter"/>
          </w:rPr>
          <w:t>68/2024</w:t>
        </w:r>
      </w:hyperlink>
      <w:r>
        <w:t>, ff. 8, 11.</w:t>
      </w:r>
    </w:p>
    <w:p w14:paraId="5AFA7193" w14:textId="1E7B8E48" w:rsidR="00601EEA" w:rsidRDefault="00601EEA" w:rsidP="00601EEA">
      <w:pPr>
        <w:pStyle w:val="SangriaFrancesaArticulo"/>
      </w:pPr>
      <w:r w:rsidRPr="00601EEA">
        <w:rPr>
          <w:rStyle w:val="TextoNormalNegritaCaracter"/>
        </w:rPr>
        <w:t>Artículo 25.1 a).</w:t>
      </w:r>
      <w:r w:rsidRPr="00601EEA">
        <w:rPr>
          <w:rStyle w:val="TextoNormalCaracter"/>
        </w:rPr>
        <w:t>-</w:t>
      </w:r>
      <w:r>
        <w:t xml:space="preserve"> Sentencia </w:t>
      </w:r>
      <w:hyperlink w:anchor="SENTENCIA_2024_68" w:history="1">
        <w:r w:rsidRPr="00601EEA">
          <w:rPr>
            <w:rStyle w:val="TextoNormalCaracter"/>
          </w:rPr>
          <w:t>68/2024</w:t>
        </w:r>
      </w:hyperlink>
      <w:r>
        <w:t>, f. 8.</w:t>
      </w:r>
    </w:p>
    <w:p w14:paraId="2A9FCC96" w14:textId="6F3BEB01" w:rsidR="00601EEA" w:rsidRDefault="00601EEA" w:rsidP="00601EEA">
      <w:pPr>
        <w:pStyle w:val="SangriaFrancesaArticulo"/>
      </w:pPr>
      <w:r w:rsidRPr="00601EEA">
        <w:rPr>
          <w:rStyle w:val="TextoNormalNegritaCaracter"/>
        </w:rPr>
        <w:t>Artículo 25.2.</w:t>
      </w:r>
      <w:r w:rsidRPr="00601EEA">
        <w:rPr>
          <w:rStyle w:val="TextoNormalCaracter"/>
        </w:rPr>
        <w:t>-</w:t>
      </w:r>
      <w:r>
        <w:t xml:space="preserve"> Sentencia </w:t>
      </w:r>
      <w:hyperlink w:anchor="SENTENCIA_2024_68" w:history="1">
        <w:r w:rsidRPr="00601EEA">
          <w:rPr>
            <w:rStyle w:val="TextoNormalCaracter"/>
          </w:rPr>
          <w:t>68/2024</w:t>
        </w:r>
      </w:hyperlink>
      <w:r>
        <w:t>, ff. 8, 11.</w:t>
      </w:r>
    </w:p>
    <w:p w14:paraId="6F3B7289" w14:textId="3A35B9C0" w:rsidR="00601EEA" w:rsidRDefault="00601EEA" w:rsidP="00601EEA">
      <w:pPr>
        <w:pStyle w:val="SangriaFrancesaArticulo"/>
      </w:pPr>
      <w:r w:rsidRPr="00601EEA">
        <w:rPr>
          <w:rStyle w:val="TextoNormalNegritaCaracter"/>
        </w:rPr>
        <w:t>Artículo 26.</w:t>
      </w:r>
      <w:r w:rsidRPr="00601EEA">
        <w:rPr>
          <w:rStyle w:val="TextoNormalCaracter"/>
        </w:rPr>
        <w:t>-</w:t>
      </w:r>
      <w:r>
        <w:t xml:space="preserve"> Sentencia </w:t>
      </w:r>
      <w:hyperlink w:anchor="SENTENCIA_2024_76" w:history="1">
        <w:r w:rsidRPr="00601EEA">
          <w:rPr>
            <w:rStyle w:val="TextoNormalCaracter"/>
          </w:rPr>
          <w:t>76/2024</w:t>
        </w:r>
      </w:hyperlink>
      <w:r>
        <w:t>, f. 4.</w:t>
      </w:r>
    </w:p>
    <w:p w14:paraId="167F6787" w14:textId="15DFD255" w:rsidR="00601EEA" w:rsidRDefault="00601EEA" w:rsidP="00601EEA">
      <w:pPr>
        <w:pStyle w:val="SangriaFrancesaArticulo"/>
      </w:pPr>
      <w:r w:rsidRPr="00601EEA">
        <w:rPr>
          <w:rStyle w:val="TextoNormalNegritaCaracter"/>
        </w:rPr>
        <w:t>Artículo 31.</w:t>
      </w:r>
      <w:r w:rsidRPr="00601EEA">
        <w:rPr>
          <w:rStyle w:val="TextoNormalCaracter"/>
        </w:rPr>
        <w:t>-</w:t>
      </w:r>
      <w:r>
        <w:t xml:space="preserve"> Sentencia </w:t>
      </w:r>
      <w:hyperlink w:anchor="SENTENCIA_2024_68" w:history="1">
        <w:r w:rsidRPr="00601EEA">
          <w:rPr>
            <w:rStyle w:val="TextoNormalCaracter"/>
          </w:rPr>
          <w:t>68/2024</w:t>
        </w:r>
      </w:hyperlink>
      <w:r>
        <w:t>, f. 8.</w:t>
      </w:r>
    </w:p>
    <w:p w14:paraId="0CD0335D" w14:textId="1764F736" w:rsidR="00601EEA" w:rsidRDefault="00601EEA" w:rsidP="00601EEA">
      <w:pPr>
        <w:pStyle w:val="SangriaFrancesaArticulo"/>
      </w:pPr>
      <w:r w:rsidRPr="00601EEA">
        <w:rPr>
          <w:rStyle w:val="TextoNormalNegritaCaracter"/>
        </w:rPr>
        <w:t>Artículo 31.1.</w:t>
      </w:r>
      <w:r w:rsidRPr="00601EEA">
        <w:rPr>
          <w:rStyle w:val="TextoNormalCaracter"/>
        </w:rPr>
        <w:t>-</w:t>
      </w:r>
      <w:r>
        <w:t xml:space="preserve"> Sentencia </w:t>
      </w:r>
      <w:hyperlink w:anchor="SENTENCIA_2024_68" w:history="1">
        <w:r w:rsidRPr="00601EEA">
          <w:rPr>
            <w:rStyle w:val="TextoNormalCaracter"/>
          </w:rPr>
          <w:t>68/2024</w:t>
        </w:r>
      </w:hyperlink>
      <w:r>
        <w:t>, ff. 3, 8.</w:t>
      </w:r>
    </w:p>
    <w:p w14:paraId="3BE27A75" w14:textId="5F1C38E1" w:rsidR="00601EEA" w:rsidRDefault="00601EEA" w:rsidP="00601EEA">
      <w:pPr>
        <w:pStyle w:val="SangriaFrancesaArticulo"/>
      </w:pPr>
      <w:r w:rsidRPr="00601EEA">
        <w:rPr>
          <w:rStyle w:val="TextoNormalNegritaCaracter"/>
        </w:rPr>
        <w:t>Artículo 31.2.</w:t>
      </w:r>
      <w:r w:rsidRPr="00601EEA">
        <w:rPr>
          <w:rStyle w:val="TextoNormalCaracter"/>
        </w:rPr>
        <w:t>-</w:t>
      </w:r>
      <w:r>
        <w:t xml:space="preserve"> Sentencia </w:t>
      </w:r>
      <w:hyperlink w:anchor="SENTENCIA_2024_68" w:history="1">
        <w:r w:rsidRPr="00601EEA">
          <w:rPr>
            <w:rStyle w:val="TextoNormalCaracter"/>
          </w:rPr>
          <w:t>68/2024</w:t>
        </w:r>
      </w:hyperlink>
      <w:r>
        <w:t>, f. 8.</w:t>
      </w:r>
    </w:p>
    <w:p w14:paraId="29BCA9F7" w14:textId="06B96A82" w:rsidR="00601EEA" w:rsidRDefault="00601EEA" w:rsidP="00601EEA">
      <w:pPr>
        <w:pStyle w:val="SangriaFrancesaArticulo"/>
      </w:pPr>
      <w:r w:rsidRPr="00601EEA">
        <w:rPr>
          <w:rStyle w:val="TextoNormalNegritaCaracter"/>
        </w:rPr>
        <w:t>Artículo 32.</w:t>
      </w:r>
      <w:r w:rsidRPr="00601EEA">
        <w:rPr>
          <w:rStyle w:val="TextoNormalCaracter"/>
        </w:rPr>
        <w:t>-</w:t>
      </w:r>
      <w:r>
        <w:t xml:space="preserve"> Sentencia </w:t>
      </w:r>
      <w:hyperlink w:anchor="SENTENCIA_2024_68" w:history="1">
        <w:r w:rsidRPr="00601EEA">
          <w:rPr>
            <w:rStyle w:val="TextoNormalCaracter"/>
          </w:rPr>
          <w:t>68/2024</w:t>
        </w:r>
      </w:hyperlink>
      <w:r>
        <w:t>, ff. 8, 11.</w:t>
      </w:r>
    </w:p>
    <w:p w14:paraId="2F55ADE2" w14:textId="27415B9A" w:rsidR="00601EEA" w:rsidRDefault="00601EEA" w:rsidP="00601EEA">
      <w:pPr>
        <w:pStyle w:val="SangriaFrancesaArticulo"/>
      </w:pPr>
      <w:r w:rsidRPr="00601EEA">
        <w:rPr>
          <w:rStyle w:val="TextoNormalNegritaCaracter"/>
        </w:rPr>
        <w:t>Artículo 32.1.</w:t>
      </w:r>
      <w:r w:rsidRPr="00601EEA">
        <w:rPr>
          <w:rStyle w:val="TextoNormalCaracter"/>
        </w:rPr>
        <w:t>-</w:t>
      </w:r>
      <w:r>
        <w:t xml:space="preserve"> Sentencia </w:t>
      </w:r>
      <w:hyperlink w:anchor="SENTENCIA_2024_68" w:history="1">
        <w:r w:rsidRPr="00601EEA">
          <w:rPr>
            <w:rStyle w:val="TextoNormalCaracter"/>
          </w:rPr>
          <w:t>68/2024</w:t>
        </w:r>
      </w:hyperlink>
      <w:r>
        <w:t>, ff. 8, 11.</w:t>
      </w:r>
    </w:p>
    <w:p w14:paraId="4D127FA8" w14:textId="64C6D859" w:rsidR="00601EEA" w:rsidRDefault="00601EEA" w:rsidP="00601EEA">
      <w:pPr>
        <w:pStyle w:val="SangriaFrancesaArticulo"/>
      </w:pPr>
      <w:r w:rsidRPr="00601EEA">
        <w:rPr>
          <w:rStyle w:val="TextoNormalNegritaCaracter"/>
        </w:rPr>
        <w:t>Artículo 32.2.</w:t>
      </w:r>
      <w:r w:rsidRPr="00601EEA">
        <w:rPr>
          <w:rStyle w:val="TextoNormalCaracter"/>
        </w:rPr>
        <w:t>-</w:t>
      </w:r>
      <w:r>
        <w:t xml:space="preserve"> Sentencia </w:t>
      </w:r>
      <w:hyperlink w:anchor="SENTENCIA_2024_68" w:history="1">
        <w:r w:rsidRPr="00601EEA">
          <w:rPr>
            <w:rStyle w:val="TextoNormalCaracter"/>
          </w:rPr>
          <w:t>68/2024</w:t>
        </w:r>
      </w:hyperlink>
      <w:r>
        <w:t>, ff. 8, 11.</w:t>
      </w:r>
    </w:p>
    <w:p w14:paraId="00E53DB8" w14:textId="46D3C28F" w:rsidR="00601EEA" w:rsidRDefault="00601EEA" w:rsidP="00601EEA">
      <w:pPr>
        <w:pStyle w:val="SangriaFrancesaArticulo"/>
      </w:pPr>
      <w:r w:rsidRPr="00601EEA">
        <w:rPr>
          <w:rStyle w:val="TextoNormalNegritaCaracter"/>
        </w:rPr>
        <w:t>Artículo 44.6.</w:t>
      </w:r>
      <w:r w:rsidRPr="00601EEA">
        <w:rPr>
          <w:rStyle w:val="TextoNormalCaracter"/>
        </w:rPr>
        <w:t>-</w:t>
      </w:r>
      <w:r>
        <w:t xml:space="preserve"> Sentencia </w:t>
      </w:r>
      <w:hyperlink w:anchor="SENTENCIA_2024_68" w:history="1">
        <w:r w:rsidRPr="00601EEA">
          <w:rPr>
            <w:rStyle w:val="TextoNormalCaracter"/>
          </w:rPr>
          <w:t>68/2024</w:t>
        </w:r>
      </w:hyperlink>
      <w:r>
        <w:t>, f. 8.</w:t>
      </w:r>
    </w:p>
    <w:p w14:paraId="48389890" w14:textId="1E62ADB4" w:rsidR="00601EEA" w:rsidRDefault="00601EEA" w:rsidP="00601EEA">
      <w:pPr>
        <w:pStyle w:val="SangriaFrancesaArticulo"/>
      </w:pPr>
      <w:r w:rsidRPr="00601EEA">
        <w:rPr>
          <w:rStyle w:val="TextoNormalNegritaCaracter"/>
        </w:rPr>
        <w:t>Artículo 49.</w:t>
      </w:r>
      <w:r w:rsidRPr="00601EEA">
        <w:rPr>
          <w:rStyle w:val="TextoNormalCaracter"/>
        </w:rPr>
        <w:t>-</w:t>
      </w:r>
      <w:r>
        <w:t xml:space="preserve"> Sentencia </w:t>
      </w:r>
      <w:hyperlink w:anchor="SENTENCIA_2024_68" w:history="1">
        <w:r w:rsidRPr="00601EEA">
          <w:rPr>
            <w:rStyle w:val="TextoNormalCaracter"/>
          </w:rPr>
          <w:t>68/2024</w:t>
        </w:r>
      </w:hyperlink>
      <w:r>
        <w:t>, ff. 7, 8.</w:t>
      </w:r>
    </w:p>
    <w:p w14:paraId="4CC48694" w14:textId="74D1D77F" w:rsidR="00601EEA" w:rsidRDefault="00601EEA" w:rsidP="00601EEA">
      <w:pPr>
        <w:pStyle w:val="SangriaFrancesaArticulo"/>
      </w:pPr>
      <w:r w:rsidRPr="00601EEA">
        <w:rPr>
          <w:rStyle w:val="TextoNormalNegritaCaracter"/>
        </w:rPr>
        <w:t>Artículo 49.4.</w:t>
      </w:r>
      <w:r w:rsidRPr="00601EEA">
        <w:rPr>
          <w:rStyle w:val="TextoNormalCaracter"/>
        </w:rPr>
        <w:t>-</w:t>
      </w:r>
      <w:r>
        <w:t xml:space="preserve"> Sentencia </w:t>
      </w:r>
      <w:hyperlink w:anchor="SENTENCIA_2024_68" w:history="1">
        <w:r w:rsidRPr="00601EEA">
          <w:rPr>
            <w:rStyle w:val="TextoNormalCaracter"/>
          </w:rPr>
          <w:t>68/2024</w:t>
        </w:r>
      </w:hyperlink>
      <w:r>
        <w:t>, ff. 8, 11.</w:t>
      </w:r>
    </w:p>
    <w:p w14:paraId="47F8DFB1" w14:textId="65190937" w:rsidR="00601EEA" w:rsidRDefault="00601EEA" w:rsidP="00601EEA">
      <w:pPr>
        <w:pStyle w:val="SangriaFrancesaArticulo"/>
      </w:pPr>
      <w:r w:rsidRPr="00601EEA">
        <w:rPr>
          <w:rStyle w:val="TextoNormalNegritaCaracter"/>
        </w:rPr>
        <w:t>Artículo 92.</w:t>
      </w:r>
      <w:r w:rsidRPr="00601EEA">
        <w:rPr>
          <w:rStyle w:val="TextoNormalCaracter"/>
        </w:rPr>
        <w:t>-</w:t>
      </w:r>
      <w:r>
        <w:t xml:space="preserve"> Sentencia </w:t>
      </w:r>
      <w:hyperlink w:anchor="SENTENCIA_2024_91" w:history="1">
        <w:r w:rsidRPr="00601EEA">
          <w:rPr>
            <w:rStyle w:val="TextoNormalCaracter"/>
          </w:rPr>
          <w:t>91/2024</w:t>
        </w:r>
      </w:hyperlink>
      <w:r>
        <w:t>, f. 1.</w:t>
      </w:r>
    </w:p>
    <w:p w14:paraId="79C2C9E9" w14:textId="4313008C" w:rsidR="00601EEA" w:rsidRDefault="00601EEA" w:rsidP="00601EEA">
      <w:pPr>
        <w:pStyle w:val="SangriaFrancesaArticulo"/>
      </w:pPr>
      <w:r w:rsidRPr="00601EEA">
        <w:rPr>
          <w:rStyle w:val="TextoNormalNegritaCaracter"/>
        </w:rPr>
        <w:t>Artículo 92</w:t>
      </w:r>
      <w:r>
        <w:t xml:space="preserve"> (redacción originaria)</w:t>
      </w:r>
      <w:r w:rsidRPr="00601EEA">
        <w:rPr>
          <w:rStyle w:val="TextoNormalNegritaCaracter"/>
        </w:rPr>
        <w:t>.</w:t>
      </w:r>
      <w:r w:rsidRPr="00601EEA">
        <w:rPr>
          <w:rStyle w:val="TextoNormalCaracter"/>
        </w:rPr>
        <w:t>-</w:t>
      </w:r>
      <w:r>
        <w:t xml:space="preserve"> Sentencia </w:t>
      </w:r>
      <w:hyperlink w:anchor="SENTENCIA_2024_76" w:history="1">
        <w:r w:rsidRPr="00601EEA">
          <w:rPr>
            <w:rStyle w:val="TextoNormalCaracter"/>
          </w:rPr>
          <w:t>76/2024</w:t>
        </w:r>
      </w:hyperlink>
      <w:r>
        <w:t>, f. 4.</w:t>
      </w:r>
    </w:p>
    <w:p w14:paraId="60A0D35A" w14:textId="5AD394FE" w:rsidR="00601EEA" w:rsidRDefault="00601EEA" w:rsidP="00601EEA">
      <w:pPr>
        <w:pStyle w:val="SangriaFrancesaArticulo"/>
      </w:pPr>
      <w:r w:rsidRPr="00601EEA">
        <w:rPr>
          <w:rStyle w:val="TextoNormalNegritaCaracter"/>
        </w:rPr>
        <w:t>Artículo 92</w:t>
      </w:r>
      <w:r>
        <w:t xml:space="preserve"> (redactado por la Ley 2/2013, de 29 de mayo)</w:t>
      </w:r>
      <w:r w:rsidRPr="00601EEA">
        <w:rPr>
          <w:rStyle w:val="TextoNormalNegritaCaracter"/>
        </w:rPr>
        <w:t>.</w:t>
      </w:r>
      <w:r w:rsidRPr="00601EEA">
        <w:rPr>
          <w:rStyle w:val="TextoNormalCaracter"/>
        </w:rPr>
        <w:t>-</w:t>
      </w:r>
      <w:r>
        <w:t xml:space="preserve"> Sentencia </w:t>
      </w:r>
      <w:hyperlink w:anchor="SENTENCIA_2024_76" w:history="1">
        <w:r w:rsidRPr="00601EEA">
          <w:rPr>
            <w:rStyle w:val="TextoNormalCaracter"/>
          </w:rPr>
          <w:t>76/2024</w:t>
        </w:r>
      </w:hyperlink>
      <w:r>
        <w:t>, f. 4.</w:t>
      </w:r>
    </w:p>
    <w:p w14:paraId="0F498DD6" w14:textId="5A912A9B" w:rsidR="00601EEA" w:rsidRDefault="00601EEA" w:rsidP="00601EEA">
      <w:pPr>
        <w:pStyle w:val="SangriaFrancesaArticulo"/>
      </w:pPr>
      <w:r w:rsidRPr="00601EEA">
        <w:rPr>
          <w:rStyle w:val="TextoNormalNegritaCaracter"/>
        </w:rPr>
        <w:t>Artículo 92.1</w:t>
      </w:r>
      <w:r>
        <w:t xml:space="preserve"> (redacción originaria)</w:t>
      </w:r>
      <w:r w:rsidRPr="00601EEA">
        <w:rPr>
          <w:rStyle w:val="TextoNormalNegritaCaracter"/>
        </w:rPr>
        <w:t>.</w:t>
      </w:r>
      <w:r w:rsidRPr="00601EEA">
        <w:rPr>
          <w:rStyle w:val="TextoNormalCaracter"/>
        </w:rPr>
        <w:t>-</w:t>
      </w:r>
      <w:r>
        <w:t xml:space="preserve"> Sentencia </w:t>
      </w:r>
      <w:hyperlink w:anchor="SENTENCIA_2024_76" w:history="1">
        <w:r w:rsidRPr="00601EEA">
          <w:rPr>
            <w:rStyle w:val="TextoNormalCaracter"/>
          </w:rPr>
          <w:t>76/2024</w:t>
        </w:r>
      </w:hyperlink>
      <w:r>
        <w:t>, VP.</w:t>
      </w:r>
    </w:p>
    <w:p w14:paraId="73F9D80E" w14:textId="699DA044" w:rsidR="00601EEA" w:rsidRDefault="00601EEA" w:rsidP="00601EEA">
      <w:pPr>
        <w:pStyle w:val="SangriaFrancesaArticulo"/>
      </w:pPr>
      <w:r w:rsidRPr="00601EEA">
        <w:rPr>
          <w:rStyle w:val="TextoNormalNegritaCaracter"/>
        </w:rPr>
        <w:t>Artículo 92.1</w:t>
      </w:r>
      <w:r>
        <w:t xml:space="preserve"> (redactado por la Ley 2/2013, de 29 de mayo)</w:t>
      </w:r>
      <w:r w:rsidRPr="00601EEA">
        <w:rPr>
          <w:rStyle w:val="TextoNormalNegritaCaracter"/>
        </w:rPr>
        <w:t>.</w:t>
      </w:r>
      <w:r w:rsidRPr="00601EEA">
        <w:rPr>
          <w:rStyle w:val="TextoNormalCaracter"/>
        </w:rPr>
        <w:t>-</w:t>
      </w:r>
      <w:r>
        <w:t xml:space="preserve"> Sentencia </w:t>
      </w:r>
      <w:hyperlink w:anchor="SENTENCIA_2024_76" w:history="1">
        <w:r w:rsidRPr="00601EEA">
          <w:rPr>
            <w:rStyle w:val="TextoNormalCaracter"/>
          </w:rPr>
          <w:t>76/2024</w:t>
        </w:r>
      </w:hyperlink>
      <w:r>
        <w:t>, VP.</w:t>
      </w:r>
    </w:p>
    <w:p w14:paraId="71E4A2BA" w14:textId="6B94D89E" w:rsidR="00601EEA" w:rsidRDefault="00601EEA" w:rsidP="00601EEA">
      <w:pPr>
        <w:pStyle w:val="SangriaFrancesaArticulo"/>
      </w:pPr>
      <w:r w:rsidRPr="00601EEA">
        <w:rPr>
          <w:rStyle w:val="TextoNormalNegritaCaracter"/>
        </w:rPr>
        <w:t>Artículo 95.</w:t>
      </w:r>
      <w:r w:rsidRPr="00601EEA">
        <w:rPr>
          <w:rStyle w:val="TextoNormalCaracter"/>
        </w:rPr>
        <w:t>-</w:t>
      </w:r>
      <w:r>
        <w:t xml:space="preserve"> Sentencia </w:t>
      </w:r>
      <w:hyperlink w:anchor="SENTENCIA_2024_91" w:history="1">
        <w:r w:rsidRPr="00601EEA">
          <w:rPr>
            <w:rStyle w:val="TextoNormalCaracter"/>
          </w:rPr>
          <w:t>91/2024</w:t>
        </w:r>
      </w:hyperlink>
      <w:r>
        <w:t>, f. 1.</w:t>
      </w:r>
    </w:p>
    <w:p w14:paraId="2FB13945" w14:textId="26278F76" w:rsidR="00601EEA" w:rsidRDefault="00601EEA" w:rsidP="00601EEA">
      <w:pPr>
        <w:pStyle w:val="SangriaFrancesaArticulo"/>
      </w:pPr>
      <w:r w:rsidRPr="00601EEA">
        <w:rPr>
          <w:rStyle w:val="TextoNormalNegritaCaracter"/>
        </w:rPr>
        <w:t>Artículo 95.1.</w:t>
      </w:r>
      <w:r w:rsidRPr="00601EEA">
        <w:rPr>
          <w:rStyle w:val="TextoNormalCaracter"/>
        </w:rPr>
        <w:t>-</w:t>
      </w:r>
      <w:r>
        <w:t xml:space="preserve"> Sentencia </w:t>
      </w:r>
      <w:hyperlink w:anchor="SENTENCIA_2024_76" w:history="1">
        <w:r w:rsidRPr="00601EEA">
          <w:rPr>
            <w:rStyle w:val="TextoNormalCaracter"/>
          </w:rPr>
          <w:t>76/2024</w:t>
        </w:r>
      </w:hyperlink>
      <w:r>
        <w:t>, ff. 2, 4, 5, VP.</w:t>
      </w:r>
    </w:p>
    <w:p w14:paraId="1F68EC09" w14:textId="045CDE3F" w:rsidR="00601EEA" w:rsidRDefault="00601EEA" w:rsidP="00601EEA">
      <w:pPr>
        <w:pStyle w:val="SangriaIzquierdaArticulo"/>
      </w:pPr>
      <w:r>
        <w:t xml:space="preserve">Auto </w:t>
      </w:r>
      <w:hyperlink w:anchor="AUTO_2024_21" w:history="1">
        <w:r w:rsidRPr="00601EEA">
          <w:rPr>
            <w:rStyle w:val="TextoNormalCaracter"/>
          </w:rPr>
          <w:t>21/2024</w:t>
        </w:r>
      </w:hyperlink>
      <w:r>
        <w:t>, ff. 1, 3.</w:t>
      </w:r>
    </w:p>
    <w:p w14:paraId="039DBCF3" w14:textId="087472BF" w:rsidR="00601EEA" w:rsidRDefault="00601EEA" w:rsidP="00601EEA">
      <w:pPr>
        <w:pStyle w:val="SangriaFrancesaArticulo"/>
      </w:pPr>
      <w:r w:rsidRPr="00601EEA">
        <w:rPr>
          <w:rStyle w:val="TextoNormalNegritaCaracter"/>
        </w:rPr>
        <w:t>Artículo 95.1</w:t>
      </w:r>
      <w:r>
        <w:t xml:space="preserve"> (redactado por la Ley 2/2013, de 29 de mayo)</w:t>
      </w:r>
      <w:r w:rsidRPr="00601EEA">
        <w:rPr>
          <w:rStyle w:val="TextoNormalNegritaCaracter"/>
        </w:rPr>
        <w:t>.</w:t>
      </w:r>
      <w:r w:rsidRPr="00601EEA">
        <w:rPr>
          <w:rStyle w:val="TextoNormalCaracter"/>
        </w:rPr>
        <w:t>-</w:t>
      </w:r>
      <w:r>
        <w:t xml:space="preserve"> Sentencia </w:t>
      </w:r>
      <w:hyperlink w:anchor="SENTENCIA_2024_76" w:history="1">
        <w:r w:rsidRPr="00601EEA">
          <w:rPr>
            <w:rStyle w:val="TextoNormalCaracter"/>
          </w:rPr>
          <w:t>76/2024</w:t>
        </w:r>
      </w:hyperlink>
      <w:r>
        <w:t>, VP.</w:t>
      </w:r>
    </w:p>
    <w:p w14:paraId="0561E79B" w14:textId="5D91C32C" w:rsidR="00601EEA" w:rsidRDefault="00601EEA" w:rsidP="00601EEA">
      <w:pPr>
        <w:pStyle w:val="SangriaFrancesaArticulo"/>
      </w:pPr>
      <w:r w:rsidRPr="00601EEA">
        <w:rPr>
          <w:rStyle w:val="TextoNormalNegritaCaracter"/>
        </w:rPr>
        <w:t>Artículo 95.1, párrafo 1.</w:t>
      </w:r>
      <w:r w:rsidRPr="00601EEA">
        <w:rPr>
          <w:rStyle w:val="TextoNormalCaracter"/>
        </w:rPr>
        <w:t>-</w:t>
      </w:r>
      <w:r>
        <w:t xml:space="preserve"> Sentencia </w:t>
      </w:r>
      <w:hyperlink w:anchor="SENTENCIA_2024_76" w:history="1">
        <w:r w:rsidRPr="00601EEA">
          <w:rPr>
            <w:rStyle w:val="TextoNormalCaracter"/>
          </w:rPr>
          <w:t>76/2024</w:t>
        </w:r>
      </w:hyperlink>
      <w:r>
        <w:t>, f. 4.</w:t>
      </w:r>
    </w:p>
    <w:p w14:paraId="4CDDF884" w14:textId="4ADE54C6" w:rsidR="00601EEA" w:rsidRDefault="00601EEA" w:rsidP="00601EEA">
      <w:pPr>
        <w:pStyle w:val="SangriaFrancesaArticulo"/>
      </w:pPr>
      <w:r w:rsidRPr="00601EEA">
        <w:rPr>
          <w:rStyle w:val="TextoNormalNegritaCaracter"/>
        </w:rPr>
        <w:t>Artículo 95.1, párrafo 2.</w:t>
      </w:r>
      <w:r w:rsidRPr="00601EEA">
        <w:rPr>
          <w:rStyle w:val="TextoNormalCaracter"/>
        </w:rPr>
        <w:t>-</w:t>
      </w:r>
      <w:r>
        <w:t xml:space="preserve"> Sentencia </w:t>
      </w:r>
      <w:hyperlink w:anchor="SENTENCIA_2024_76" w:history="1">
        <w:r w:rsidRPr="00601EEA">
          <w:rPr>
            <w:rStyle w:val="TextoNormalCaracter"/>
          </w:rPr>
          <w:t>76/2024</w:t>
        </w:r>
      </w:hyperlink>
      <w:r>
        <w:t>, ff. 1, 5.</w:t>
      </w:r>
    </w:p>
    <w:p w14:paraId="1F58443B" w14:textId="76D21754" w:rsidR="00601EEA" w:rsidRDefault="00601EEA" w:rsidP="00601EEA">
      <w:pPr>
        <w:pStyle w:val="SangriaIzquierdaArticulo"/>
      </w:pPr>
      <w:r>
        <w:t xml:space="preserve">Auto </w:t>
      </w:r>
      <w:hyperlink w:anchor="AUTO_2024_21" w:history="1">
        <w:r w:rsidRPr="00601EEA">
          <w:rPr>
            <w:rStyle w:val="TextoNormalCaracter"/>
          </w:rPr>
          <w:t>21/2024</w:t>
        </w:r>
      </w:hyperlink>
      <w:r>
        <w:t>, f. 1.</w:t>
      </w:r>
    </w:p>
    <w:p w14:paraId="637699A6" w14:textId="0E2B6199" w:rsidR="00601EEA" w:rsidRDefault="00601EEA" w:rsidP="00601EEA">
      <w:pPr>
        <w:pStyle w:val="SangriaFrancesaArticulo"/>
      </w:pPr>
      <w:r w:rsidRPr="00601EEA">
        <w:rPr>
          <w:rStyle w:val="TextoNormalNegritaCaracter"/>
        </w:rPr>
        <w:t>Artículo 110 b).</w:t>
      </w:r>
      <w:r w:rsidRPr="00601EEA">
        <w:rPr>
          <w:rStyle w:val="TextoNormalCaracter"/>
        </w:rPr>
        <w:t>-</w:t>
      </w:r>
      <w:r>
        <w:t xml:space="preserve"> Sentencia </w:t>
      </w:r>
      <w:hyperlink w:anchor="SENTENCIA_2024_68" w:history="1">
        <w:r w:rsidRPr="00601EEA">
          <w:rPr>
            <w:rStyle w:val="TextoNormalCaracter"/>
          </w:rPr>
          <w:t>68/2024</w:t>
        </w:r>
      </w:hyperlink>
      <w:r>
        <w:t>, ff. 2, 10.</w:t>
      </w:r>
    </w:p>
    <w:p w14:paraId="4729194E" w14:textId="73AA6728" w:rsidR="00601EEA" w:rsidRDefault="00601EEA" w:rsidP="00601EEA">
      <w:pPr>
        <w:pStyle w:val="SangriaFrancesaArticulo"/>
      </w:pPr>
      <w:r w:rsidRPr="00601EEA">
        <w:rPr>
          <w:rStyle w:val="TextoNormalNegritaCaracter"/>
        </w:rPr>
        <w:t>Disposición adicional undécima.</w:t>
      </w:r>
      <w:r w:rsidRPr="00601EEA">
        <w:rPr>
          <w:rStyle w:val="TextoNormalCaracter"/>
        </w:rPr>
        <w:t>-</w:t>
      </w:r>
      <w:r>
        <w:t xml:space="preserve"> Sentencia </w:t>
      </w:r>
      <w:hyperlink w:anchor="SENTENCIA_2024_68" w:history="1">
        <w:r w:rsidRPr="00601EEA">
          <w:rPr>
            <w:rStyle w:val="TextoNormalCaracter"/>
          </w:rPr>
          <w:t>68/2024</w:t>
        </w:r>
      </w:hyperlink>
      <w:r>
        <w:t>, f. 7.</w:t>
      </w:r>
    </w:p>
    <w:p w14:paraId="74C848AF" w14:textId="439A154A" w:rsidR="00601EEA" w:rsidRDefault="00601EEA" w:rsidP="00601EEA">
      <w:pPr>
        <w:pStyle w:val="SangriaFrancesaArticulo"/>
      </w:pPr>
      <w:r w:rsidRPr="00601EEA">
        <w:rPr>
          <w:rStyle w:val="TextoNormalNegritaCaracter"/>
        </w:rPr>
        <w:lastRenderedPageBreak/>
        <w:t>Disposición adicional undécima</w:t>
      </w:r>
      <w:r>
        <w:t xml:space="preserve"> (redactada por la Ley 2/2013, de 29 de mayo)</w:t>
      </w:r>
      <w:r w:rsidRPr="00601EEA">
        <w:rPr>
          <w:rStyle w:val="TextoNormalNegritaCaracter"/>
        </w:rPr>
        <w:t>.</w:t>
      </w:r>
      <w:r w:rsidRPr="00601EEA">
        <w:rPr>
          <w:rStyle w:val="TextoNormalCaracter"/>
        </w:rPr>
        <w:t>-</w:t>
      </w:r>
      <w:r>
        <w:t xml:space="preserve"> Sentencia </w:t>
      </w:r>
      <w:hyperlink w:anchor="SENTENCIA_2024_68" w:history="1">
        <w:r w:rsidRPr="00601EEA">
          <w:rPr>
            <w:rStyle w:val="TextoNormalCaracter"/>
          </w:rPr>
          <w:t>68/2024</w:t>
        </w:r>
      </w:hyperlink>
      <w:r>
        <w:t>, f. 8.</w:t>
      </w:r>
    </w:p>
    <w:p w14:paraId="579491BA" w14:textId="18A68632" w:rsidR="00601EEA" w:rsidRDefault="00601EEA" w:rsidP="00601EEA">
      <w:pPr>
        <w:pStyle w:val="SangriaFrancesaArticulo"/>
      </w:pPr>
      <w:r w:rsidRPr="00601EEA">
        <w:rPr>
          <w:rStyle w:val="TextoNormalNegritaCaracter"/>
        </w:rPr>
        <w:t>Disposición transitoria tercera.</w:t>
      </w:r>
      <w:r w:rsidRPr="00601EEA">
        <w:rPr>
          <w:rStyle w:val="TextoNormalCaracter"/>
        </w:rPr>
        <w:t>-</w:t>
      </w:r>
      <w:r>
        <w:t xml:space="preserve"> Sentencia </w:t>
      </w:r>
      <w:hyperlink w:anchor="SENTENCIA_2024_68" w:history="1">
        <w:r w:rsidRPr="00601EEA">
          <w:rPr>
            <w:rStyle w:val="TextoNormalCaracter"/>
          </w:rPr>
          <w:t>68/2024</w:t>
        </w:r>
      </w:hyperlink>
      <w:r>
        <w:t>, f. 8.</w:t>
      </w:r>
    </w:p>
    <w:p w14:paraId="34D9B351" w14:textId="76C82671" w:rsidR="00601EEA" w:rsidRDefault="00601EEA" w:rsidP="00601EEA">
      <w:pPr>
        <w:pStyle w:val="SangriaFrancesaArticulo"/>
      </w:pPr>
      <w:r w:rsidRPr="00601EEA">
        <w:rPr>
          <w:rStyle w:val="TextoNormalNegritaCaracter"/>
        </w:rPr>
        <w:t>Disposición transitoria cuarta, apartado 2 c).</w:t>
      </w:r>
      <w:r w:rsidRPr="00601EEA">
        <w:rPr>
          <w:rStyle w:val="TextoNormalCaracter"/>
        </w:rPr>
        <w:t>-</w:t>
      </w:r>
      <w:r>
        <w:t xml:space="preserve"> Sentencia </w:t>
      </w:r>
      <w:hyperlink w:anchor="SENTENCIA_2024_76" w:history="1">
        <w:r w:rsidRPr="00601EEA">
          <w:rPr>
            <w:rStyle w:val="TextoNormalCaracter"/>
          </w:rPr>
          <w:t>76/2024</w:t>
        </w:r>
      </w:hyperlink>
      <w:r>
        <w:t>, VP.</w:t>
      </w:r>
    </w:p>
    <w:p w14:paraId="49DDF112" w14:textId="14DACD7F" w:rsidR="00601EEA" w:rsidRDefault="00601EEA" w:rsidP="00601EEA">
      <w:pPr>
        <w:pStyle w:val="SangriaFrancesaArticulo"/>
      </w:pPr>
      <w:r w:rsidRPr="00601EEA">
        <w:rPr>
          <w:rStyle w:val="TextoNormalNegritaCaracter"/>
        </w:rPr>
        <w:t>Disposición transitoria cuarta, apartado 2 a)</w:t>
      </w:r>
      <w:r>
        <w:t xml:space="preserve"> (redactado por la Ley 2/2013, de 29 de mayo)</w:t>
      </w:r>
      <w:r w:rsidRPr="00601EEA">
        <w:rPr>
          <w:rStyle w:val="TextoNormalNegritaCaracter"/>
        </w:rPr>
        <w:t>.</w:t>
      </w:r>
      <w:r w:rsidRPr="00601EEA">
        <w:rPr>
          <w:rStyle w:val="TextoNormalCaracter"/>
        </w:rPr>
        <w:t>-</w:t>
      </w:r>
      <w:r>
        <w:t xml:space="preserve"> Sentencia </w:t>
      </w:r>
      <w:hyperlink w:anchor="SENTENCIA_2024_68" w:history="1">
        <w:r w:rsidRPr="00601EEA">
          <w:rPr>
            <w:rStyle w:val="TextoNormalCaracter"/>
          </w:rPr>
          <w:t>68/2024</w:t>
        </w:r>
      </w:hyperlink>
      <w:r>
        <w:t>, f. 8.</w:t>
      </w:r>
    </w:p>
    <w:p w14:paraId="5E866B75" w14:textId="5D2722B4" w:rsidR="00601EEA" w:rsidRDefault="00601EEA" w:rsidP="00601EEA">
      <w:pPr>
        <w:pStyle w:val="SangriaFrancesaArticulo"/>
      </w:pPr>
      <w:r w:rsidRPr="00601EEA">
        <w:rPr>
          <w:rStyle w:val="TextoNormalNegritaCaracter"/>
        </w:rPr>
        <w:t>Disposición transitoria cuarta, apartado 2 b)</w:t>
      </w:r>
      <w:r>
        <w:t xml:space="preserve"> (redactado por la Ley 2/2013, de 29 de mayo)</w:t>
      </w:r>
      <w:r w:rsidRPr="00601EEA">
        <w:rPr>
          <w:rStyle w:val="TextoNormalNegritaCaracter"/>
        </w:rPr>
        <w:t>.</w:t>
      </w:r>
      <w:r w:rsidRPr="00601EEA">
        <w:rPr>
          <w:rStyle w:val="TextoNormalCaracter"/>
        </w:rPr>
        <w:t>-</w:t>
      </w:r>
      <w:r>
        <w:t xml:space="preserve"> Sentencia </w:t>
      </w:r>
      <w:hyperlink w:anchor="SENTENCIA_2024_68" w:history="1">
        <w:r w:rsidRPr="00601EEA">
          <w:rPr>
            <w:rStyle w:val="TextoNormalCaracter"/>
          </w:rPr>
          <w:t>68/2024</w:t>
        </w:r>
      </w:hyperlink>
      <w:r>
        <w:t>, f. 8.</w:t>
      </w:r>
    </w:p>
    <w:p w14:paraId="63E5C46D" w14:textId="4BD4EFD6" w:rsidR="00601EEA" w:rsidRDefault="00601EEA" w:rsidP="00601EEA">
      <w:pPr>
        <w:pStyle w:val="SangriaFrancesaArticulo"/>
      </w:pPr>
      <w:r w:rsidRPr="00601EEA">
        <w:rPr>
          <w:rStyle w:val="TextoNormalNegritaCaracter"/>
        </w:rPr>
        <w:t>Disposición transitoria cuarta, apartado 2 c)</w:t>
      </w:r>
      <w:r>
        <w:t xml:space="preserve"> (redactado por la Ley 2/2013, de 29 de mayo)</w:t>
      </w:r>
      <w:r w:rsidRPr="00601EEA">
        <w:rPr>
          <w:rStyle w:val="TextoNormalNegritaCaracter"/>
        </w:rPr>
        <w:t>.</w:t>
      </w:r>
      <w:r w:rsidRPr="00601EEA">
        <w:rPr>
          <w:rStyle w:val="TextoNormalCaracter"/>
        </w:rPr>
        <w:t>-</w:t>
      </w:r>
      <w:r>
        <w:t xml:space="preserve"> Sentencia </w:t>
      </w:r>
      <w:hyperlink w:anchor="SENTENCIA_2024_68" w:history="1">
        <w:r w:rsidRPr="00601EEA">
          <w:rPr>
            <w:rStyle w:val="TextoNormalCaracter"/>
          </w:rPr>
          <w:t>68/2024</w:t>
        </w:r>
      </w:hyperlink>
      <w:r>
        <w:t>, f. 8.</w:t>
      </w:r>
    </w:p>
    <w:p w14:paraId="0723C42F" w14:textId="5A1E4AD3" w:rsidR="00601EEA" w:rsidRDefault="00601EEA" w:rsidP="00601EEA">
      <w:pPr>
        <w:pStyle w:val="SangriaFrancesaArticulo"/>
      </w:pPr>
      <w:r w:rsidRPr="00601EEA">
        <w:rPr>
          <w:rStyle w:val="TextoNormalNegritaCaracter"/>
        </w:rPr>
        <w:t>Disposición transitoria cuarta, apartado 3</w:t>
      </w:r>
      <w:r>
        <w:t xml:space="preserve"> (redactado por la Ley 2/2013, de 29 de mayo)</w:t>
      </w:r>
      <w:r w:rsidRPr="00601EEA">
        <w:rPr>
          <w:rStyle w:val="TextoNormalNegritaCaracter"/>
        </w:rPr>
        <w:t>.</w:t>
      </w:r>
      <w:r w:rsidRPr="00601EEA">
        <w:rPr>
          <w:rStyle w:val="TextoNormalCaracter"/>
        </w:rPr>
        <w:t>-</w:t>
      </w:r>
      <w:r>
        <w:t xml:space="preserve"> Sentencia </w:t>
      </w:r>
      <w:hyperlink w:anchor="SENTENCIA_2024_68" w:history="1">
        <w:r w:rsidRPr="00601EEA">
          <w:rPr>
            <w:rStyle w:val="TextoNormalCaracter"/>
          </w:rPr>
          <w:t>68/2024</w:t>
        </w:r>
      </w:hyperlink>
      <w:r>
        <w:t>, f. 8.</w:t>
      </w:r>
    </w:p>
    <w:p w14:paraId="4DB8B6C1" w14:textId="38C093A1" w:rsidR="00601EEA" w:rsidRDefault="00601EEA" w:rsidP="00601EEA">
      <w:pPr>
        <w:pStyle w:val="SangriaFrancesaArticulo"/>
      </w:pPr>
      <w:r w:rsidRPr="00601EEA">
        <w:rPr>
          <w:rStyle w:val="TextoNormalNegritaCaracter"/>
        </w:rPr>
        <w:t>Disposición transitoria cuarta, apartado 3 b)</w:t>
      </w:r>
      <w:r>
        <w:t xml:space="preserve"> (redactado por la Ley 2/2013, de 29 de mayo)</w:t>
      </w:r>
      <w:r w:rsidRPr="00601EEA">
        <w:rPr>
          <w:rStyle w:val="TextoNormalNegritaCaracter"/>
        </w:rPr>
        <w:t>.</w:t>
      </w:r>
      <w:r w:rsidRPr="00601EEA">
        <w:rPr>
          <w:rStyle w:val="TextoNormalCaracter"/>
        </w:rPr>
        <w:t>-</w:t>
      </w:r>
      <w:r>
        <w:t xml:space="preserve"> Sentencia </w:t>
      </w:r>
      <w:hyperlink w:anchor="SENTENCIA_2024_68" w:history="1">
        <w:r w:rsidRPr="00601EEA">
          <w:rPr>
            <w:rStyle w:val="TextoNormalCaracter"/>
          </w:rPr>
          <w:t>68/2024</w:t>
        </w:r>
      </w:hyperlink>
      <w:r>
        <w:t>, f. 8.</w:t>
      </w:r>
    </w:p>
    <w:p w14:paraId="6B86A2A7" w14:textId="271AE465" w:rsidR="00601EEA" w:rsidRDefault="00601EEA" w:rsidP="00601EEA">
      <w:pPr>
        <w:pStyle w:val="SangriaFrancesaArticulo"/>
      </w:pPr>
    </w:p>
    <w:p w14:paraId="5E6ED18F" w14:textId="77777777" w:rsidR="00601EEA" w:rsidRDefault="00601EEA" w:rsidP="00601EEA">
      <w:pPr>
        <w:pStyle w:val="TextoNormalNegritaCursivandice"/>
        <w:keepNext/>
      </w:pPr>
      <w:r>
        <w:t>Ley 42/1988, de 28 de diciembre. Donación y utilización de embriones y fetos  humanos o de sus células, tejidos u órganos</w:t>
      </w:r>
    </w:p>
    <w:p w14:paraId="4CC116DD" w14:textId="2047C875"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92" w:history="1">
        <w:r w:rsidRPr="00601EEA">
          <w:rPr>
            <w:rStyle w:val="TextoNormalCaracter"/>
          </w:rPr>
          <w:t>92/2024</w:t>
        </w:r>
      </w:hyperlink>
      <w:r>
        <w:t>, VP III.</w:t>
      </w:r>
    </w:p>
    <w:p w14:paraId="71A5F8FC" w14:textId="074DBFBB" w:rsidR="00601EEA" w:rsidRDefault="00601EEA" w:rsidP="00601EEA">
      <w:pPr>
        <w:pStyle w:val="SangriaFrancesaArticulo"/>
      </w:pPr>
    </w:p>
    <w:p w14:paraId="6C4794C0" w14:textId="77777777" w:rsidR="00601EEA" w:rsidRDefault="00601EEA" w:rsidP="00601EEA">
      <w:pPr>
        <w:pStyle w:val="TextoNormalNegritaCursivandice"/>
        <w:keepNext/>
      </w:pPr>
      <w:r>
        <w:t>Ley 26/1990, de 20 de diciembre, por la que se establecen en la Seguridad Social prestaciones no contributivas</w:t>
      </w:r>
    </w:p>
    <w:p w14:paraId="4F08DDB8" w14:textId="3054E350"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32" w:history="1">
        <w:r w:rsidRPr="00601EEA">
          <w:rPr>
            <w:rStyle w:val="TextoNormalCaracter"/>
          </w:rPr>
          <w:t>32/2024</w:t>
        </w:r>
      </w:hyperlink>
      <w:r>
        <w:t>, f. 2.</w:t>
      </w:r>
    </w:p>
    <w:p w14:paraId="6F46C477" w14:textId="3C329865" w:rsidR="00601EEA" w:rsidRDefault="00601EEA" w:rsidP="00601EEA">
      <w:pPr>
        <w:pStyle w:val="SangriaFrancesaArticulo"/>
      </w:pPr>
      <w:r w:rsidRPr="00601EEA">
        <w:rPr>
          <w:rStyle w:val="TextoNormalNegritaCaracter"/>
        </w:rPr>
        <w:t>Disposición adicional cuarta.</w:t>
      </w:r>
      <w:r w:rsidRPr="00601EEA">
        <w:rPr>
          <w:rStyle w:val="TextoNormalCaracter"/>
        </w:rPr>
        <w:t>-</w:t>
      </w:r>
      <w:r>
        <w:t xml:space="preserve"> Sentencia </w:t>
      </w:r>
      <w:hyperlink w:anchor="SENTENCIA_2024_19" w:history="1">
        <w:r w:rsidRPr="00601EEA">
          <w:rPr>
            <w:rStyle w:val="TextoNormalCaracter"/>
          </w:rPr>
          <w:t>19/2024</w:t>
        </w:r>
      </w:hyperlink>
      <w:r>
        <w:t>, f. 4.</w:t>
      </w:r>
    </w:p>
    <w:p w14:paraId="1ED7615A" w14:textId="47BE6C1F" w:rsidR="00601EEA" w:rsidRDefault="00601EEA" w:rsidP="00601EEA">
      <w:pPr>
        <w:pStyle w:val="SangriaFrancesaArticulo"/>
      </w:pPr>
    </w:p>
    <w:p w14:paraId="539F67BA" w14:textId="77777777" w:rsidR="00601EEA" w:rsidRDefault="00601EEA" w:rsidP="00601EEA">
      <w:pPr>
        <w:pStyle w:val="TextoNormalNegritaCursivandice"/>
        <w:keepNext/>
      </w:pPr>
      <w:r>
        <w:t>Ley 28/1990, de 26 de diciembre, por la que se aprueba el convenio económico entre el Estado y la Comunidad Foral de Navarra</w:t>
      </w:r>
    </w:p>
    <w:p w14:paraId="7753E62F" w14:textId="2DB60695"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19" w:history="1">
        <w:r w:rsidRPr="00601EEA">
          <w:rPr>
            <w:rStyle w:val="TextoNormalCaracter"/>
          </w:rPr>
          <w:t>19/2024</w:t>
        </w:r>
      </w:hyperlink>
      <w:r>
        <w:t>, f. 5.</w:t>
      </w:r>
    </w:p>
    <w:p w14:paraId="337CAE3C" w14:textId="5134F2D0" w:rsidR="00601EEA" w:rsidRDefault="00601EEA" w:rsidP="00601EEA">
      <w:pPr>
        <w:pStyle w:val="SangriaFrancesaArticulo"/>
      </w:pPr>
    </w:p>
    <w:p w14:paraId="1570D64E" w14:textId="77777777" w:rsidR="00601EEA" w:rsidRDefault="00601EEA" w:rsidP="00601EEA">
      <w:pPr>
        <w:pStyle w:val="TextoNormalNegritaCursivandice"/>
        <w:keepNext/>
      </w:pPr>
      <w:r>
        <w:t>Ley 30/1992, de 26 de noviembre, de régimen jurídico de las administraciones públicas y del procedimiento administrativo común</w:t>
      </w:r>
    </w:p>
    <w:p w14:paraId="12BDA4A6" w14:textId="4E92F094" w:rsidR="00601EEA" w:rsidRDefault="00601EEA" w:rsidP="00601EEA">
      <w:pPr>
        <w:pStyle w:val="SangriaFrancesaArticulo"/>
      </w:pPr>
      <w:r w:rsidRPr="00601EEA">
        <w:rPr>
          <w:rStyle w:val="TextoNormalNegritaCaracter"/>
        </w:rPr>
        <w:t>Artículo 30.</w:t>
      </w:r>
      <w:r w:rsidRPr="00601EEA">
        <w:rPr>
          <w:rStyle w:val="TextoNormalCaracter"/>
        </w:rPr>
        <w:t>-</w:t>
      </w:r>
      <w:r>
        <w:t xml:space="preserve"> Sentencia </w:t>
      </w:r>
      <w:hyperlink w:anchor="SENTENCIA_2024_92" w:history="1">
        <w:r w:rsidRPr="00601EEA">
          <w:rPr>
            <w:rStyle w:val="TextoNormalCaracter"/>
          </w:rPr>
          <w:t>92/2024</w:t>
        </w:r>
      </w:hyperlink>
      <w:r>
        <w:t>, f. 6.</w:t>
      </w:r>
    </w:p>
    <w:p w14:paraId="48D67481" w14:textId="378AF50F" w:rsidR="00601EEA" w:rsidRDefault="00601EEA" w:rsidP="00601EEA">
      <w:pPr>
        <w:pStyle w:val="SangriaFrancesaArticulo"/>
      </w:pPr>
      <w:r w:rsidRPr="00601EEA">
        <w:rPr>
          <w:rStyle w:val="TextoNormalNegritaCaracter"/>
        </w:rPr>
        <w:t>Artículo 71 bis.</w:t>
      </w:r>
      <w:r w:rsidRPr="00601EEA">
        <w:rPr>
          <w:rStyle w:val="TextoNormalCaracter"/>
        </w:rPr>
        <w:t>-</w:t>
      </w:r>
      <w:r>
        <w:t xml:space="preserve"> Sentencia </w:t>
      </w:r>
      <w:hyperlink w:anchor="SENTENCIA_2024_68" w:history="1">
        <w:r w:rsidRPr="00601EEA">
          <w:rPr>
            <w:rStyle w:val="TextoNormalCaracter"/>
          </w:rPr>
          <w:t>68/2024</w:t>
        </w:r>
      </w:hyperlink>
      <w:r>
        <w:t>, f. 8.</w:t>
      </w:r>
    </w:p>
    <w:p w14:paraId="69BA8158" w14:textId="330102D5" w:rsidR="00601EEA" w:rsidRDefault="00601EEA" w:rsidP="00601EEA">
      <w:pPr>
        <w:pStyle w:val="SangriaFrancesaArticulo"/>
      </w:pPr>
    </w:p>
    <w:p w14:paraId="7DFE272C" w14:textId="77777777" w:rsidR="00601EEA" w:rsidRDefault="00601EEA" w:rsidP="00601EEA">
      <w:pPr>
        <w:pStyle w:val="TextoNormalNegritaCursivandice"/>
        <w:keepNext/>
      </w:pPr>
      <w:r>
        <w:t>Ley 29/1994, de 24 de noviembre, de arrendamientos urbanos</w:t>
      </w:r>
    </w:p>
    <w:p w14:paraId="1E0A7752" w14:textId="5463FFE8"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79" w:history="1">
        <w:r w:rsidRPr="00601EEA">
          <w:rPr>
            <w:rStyle w:val="TextoNormalCaracter"/>
          </w:rPr>
          <w:t>79/2024</w:t>
        </w:r>
      </w:hyperlink>
      <w:r>
        <w:t>, f. 9, VP.</w:t>
      </w:r>
    </w:p>
    <w:p w14:paraId="2DABFED9" w14:textId="788AEA04" w:rsidR="00601EEA" w:rsidRDefault="00601EEA" w:rsidP="00601EEA">
      <w:pPr>
        <w:pStyle w:val="SangriaFrancesaArticulo"/>
      </w:pPr>
      <w:r w:rsidRPr="00601EEA">
        <w:rPr>
          <w:rStyle w:val="TextoNormalNegritaCaracter"/>
        </w:rPr>
        <w:t>Artículo 9.1.</w:t>
      </w:r>
      <w:r w:rsidRPr="00601EEA">
        <w:rPr>
          <w:rStyle w:val="TextoNormalCaracter"/>
        </w:rPr>
        <w:t>-</w:t>
      </w:r>
      <w:r>
        <w:t xml:space="preserve"> Sentencia </w:t>
      </w:r>
      <w:hyperlink w:anchor="SENTENCIA_2024_79" w:history="1">
        <w:r w:rsidRPr="00601EEA">
          <w:rPr>
            <w:rStyle w:val="TextoNormalCaracter"/>
          </w:rPr>
          <w:t>79/2024</w:t>
        </w:r>
      </w:hyperlink>
      <w:r>
        <w:t>, f. 9.</w:t>
      </w:r>
    </w:p>
    <w:p w14:paraId="377B7B21" w14:textId="5E6E4AB9" w:rsidR="00601EEA" w:rsidRDefault="00601EEA" w:rsidP="00601EEA">
      <w:pPr>
        <w:pStyle w:val="SangriaFrancesaArticulo"/>
      </w:pPr>
      <w:r w:rsidRPr="00601EEA">
        <w:rPr>
          <w:rStyle w:val="TextoNormalNegritaCaracter"/>
        </w:rPr>
        <w:t>Artículo 9.3.</w:t>
      </w:r>
      <w:r w:rsidRPr="00601EEA">
        <w:rPr>
          <w:rStyle w:val="TextoNormalCaracter"/>
        </w:rPr>
        <w:t>-</w:t>
      </w:r>
      <w:r>
        <w:t xml:space="preserve"> Sentencia </w:t>
      </w:r>
      <w:hyperlink w:anchor="SENTENCIA_2024_79" w:history="1">
        <w:r w:rsidRPr="00601EEA">
          <w:rPr>
            <w:rStyle w:val="TextoNormalCaracter"/>
          </w:rPr>
          <w:t>79/2024</w:t>
        </w:r>
      </w:hyperlink>
      <w:r>
        <w:t>, f. 9.</w:t>
      </w:r>
    </w:p>
    <w:p w14:paraId="7F741088" w14:textId="6FC69929" w:rsidR="00601EEA" w:rsidRDefault="00601EEA" w:rsidP="00601EEA">
      <w:pPr>
        <w:pStyle w:val="SangriaFrancesaArticulo"/>
      </w:pPr>
      <w:r w:rsidRPr="00601EEA">
        <w:rPr>
          <w:rStyle w:val="TextoNormalNegritaCaracter"/>
        </w:rPr>
        <w:t>Artículo 10</w:t>
      </w:r>
      <w:r>
        <w:t xml:space="preserve"> (redactado por la Ley 12/2023, de 24 de mayo)</w:t>
      </w:r>
      <w:r w:rsidRPr="00601EEA">
        <w:rPr>
          <w:rStyle w:val="TextoNormalNegritaCaracter"/>
        </w:rPr>
        <w:t>.</w:t>
      </w:r>
      <w:r w:rsidRPr="00601EEA">
        <w:rPr>
          <w:rStyle w:val="TextoNormalCaracter"/>
        </w:rPr>
        <w:t>-</w:t>
      </w:r>
      <w:r>
        <w:t xml:space="preserve"> Sentencia </w:t>
      </w:r>
      <w:hyperlink w:anchor="SENTENCIA_2024_79" w:history="1">
        <w:r w:rsidRPr="00601EEA">
          <w:rPr>
            <w:rStyle w:val="TextoNormalCaracter"/>
          </w:rPr>
          <w:t>79/2024</w:t>
        </w:r>
      </w:hyperlink>
      <w:r>
        <w:t>, f. 9.</w:t>
      </w:r>
    </w:p>
    <w:p w14:paraId="57B8B945" w14:textId="5A727FE8" w:rsidR="00601EEA" w:rsidRDefault="00601EEA" w:rsidP="00601EEA">
      <w:pPr>
        <w:pStyle w:val="SangriaFrancesaArticulo"/>
      </w:pPr>
      <w:r w:rsidRPr="00601EEA">
        <w:rPr>
          <w:rStyle w:val="TextoNormalNegritaCaracter"/>
        </w:rPr>
        <w:t>Artículo 10.1</w:t>
      </w:r>
      <w:r>
        <w:t xml:space="preserve"> (redactado por la Ley 12/2023, de 24 de mayo)</w:t>
      </w:r>
      <w:r w:rsidRPr="00601EEA">
        <w:rPr>
          <w:rStyle w:val="TextoNormalNegritaCaracter"/>
        </w:rPr>
        <w:t>.</w:t>
      </w:r>
      <w:r w:rsidRPr="00601EEA">
        <w:rPr>
          <w:rStyle w:val="TextoNormalCaracter"/>
        </w:rPr>
        <w:t>-</w:t>
      </w:r>
      <w:r>
        <w:t xml:space="preserve"> Sentencia </w:t>
      </w:r>
      <w:hyperlink w:anchor="SENTENCIA_2024_79" w:history="1">
        <w:r w:rsidRPr="00601EEA">
          <w:rPr>
            <w:rStyle w:val="TextoNormalCaracter"/>
          </w:rPr>
          <w:t>79/2024</w:t>
        </w:r>
      </w:hyperlink>
      <w:r>
        <w:t>, f. 9.</w:t>
      </w:r>
    </w:p>
    <w:p w14:paraId="17B5EFCF" w14:textId="0125F662" w:rsidR="00601EEA" w:rsidRDefault="00601EEA" w:rsidP="00601EEA">
      <w:pPr>
        <w:pStyle w:val="SangriaFrancesaArticulo"/>
      </w:pPr>
      <w:r w:rsidRPr="00601EEA">
        <w:rPr>
          <w:rStyle w:val="TextoNormalNegritaCaracter"/>
        </w:rPr>
        <w:t>Artículo 10.2</w:t>
      </w:r>
      <w:r>
        <w:t xml:space="preserve"> (redactado por la Ley 12/2023, de 24 de mayo)</w:t>
      </w:r>
      <w:r w:rsidRPr="00601EEA">
        <w:rPr>
          <w:rStyle w:val="TextoNormalNegritaCaracter"/>
        </w:rPr>
        <w:t>.</w:t>
      </w:r>
      <w:r w:rsidRPr="00601EEA">
        <w:rPr>
          <w:rStyle w:val="TextoNormalCaracter"/>
        </w:rPr>
        <w:t>-</w:t>
      </w:r>
      <w:r>
        <w:t xml:space="preserve"> Sentencia </w:t>
      </w:r>
      <w:hyperlink w:anchor="SENTENCIA_2024_79" w:history="1">
        <w:r w:rsidRPr="00601EEA">
          <w:rPr>
            <w:rStyle w:val="TextoNormalCaracter"/>
          </w:rPr>
          <w:t>79/2024</w:t>
        </w:r>
      </w:hyperlink>
      <w:r>
        <w:t>, f. 9.</w:t>
      </w:r>
    </w:p>
    <w:p w14:paraId="37677C00" w14:textId="7F485207" w:rsidR="00601EEA" w:rsidRDefault="00601EEA" w:rsidP="00601EEA">
      <w:pPr>
        <w:pStyle w:val="SangriaFrancesaArticulo"/>
      </w:pPr>
      <w:r w:rsidRPr="00601EEA">
        <w:rPr>
          <w:rStyle w:val="TextoNormalNegritaCaracter"/>
        </w:rPr>
        <w:t>Artículo 17.6</w:t>
      </w:r>
      <w:r>
        <w:t xml:space="preserve"> (redactado por la Ley 12/2023, de 24 de mayo)</w:t>
      </w:r>
      <w:r w:rsidRPr="00601EEA">
        <w:rPr>
          <w:rStyle w:val="TextoNormalNegritaCaracter"/>
        </w:rPr>
        <w:t>.</w:t>
      </w:r>
      <w:r w:rsidRPr="00601EEA">
        <w:rPr>
          <w:rStyle w:val="TextoNormalCaracter"/>
        </w:rPr>
        <w:t>-</w:t>
      </w:r>
      <w:r>
        <w:t xml:space="preserve"> Sentencia </w:t>
      </w:r>
      <w:hyperlink w:anchor="SENTENCIA_2024_79" w:history="1">
        <w:r w:rsidRPr="00601EEA">
          <w:rPr>
            <w:rStyle w:val="TextoNormalCaracter"/>
          </w:rPr>
          <w:t>79/2024</w:t>
        </w:r>
      </w:hyperlink>
      <w:r>
        <w:t>, f. 9.</w:t>
      </w:r>
    </w:p>
    <w:p w14:paraId="498B44A4" w14:textId="56723545" w:rsidR="00601EEA" w:rsidRDefault="00601EEA" w:rsidP="00601EEA">
      <w:pPr>
        <w:pStyle w:val="SangriaFrancesaArticulo"/>
      </w:pPr>
      <w:r w:rsidRPr="00601EEA">
        <w:rPr>
          <w:rStyle w:val="TextoNormalNegritaCaracter"/>
        </w:rPr>
        <w:t>Artículo 17.7</w:t>
      </w:r>
      <w:r>
        <w:t xml:space="preserve"> (redactado por la Ley 12/2023, de 24 de mayo)</w:t>
      </w:r>
      <w:r w:rsidRPr="00601EEA">
        <w:rPr>
          <w:rStyle w:val="TextoNormalNegritaCaracter"/>
        </w:rPr>
        <w:t>.</w:t>
      </w:r>
      <w:r w:rsidRPr="00601EEA">
        <w:rPr>
          <w:rStyle w:val="TextoNormalCaracter"/>
        </w:rPr>
        <w:t>-</w:t>
      </w:r>
      <w:r>
        <w:t xml:space="preserve"> Sentencia </w:t>
      </w:r>
      <w:hyperlink w:anchor="SENTENCIA_2024_79" w:history="1">
        <w:r w:rsidRPr="00601EEA">
          <w:rPr>
            <w:rStyle w:val="TextoNormalCaracter"/>
          </w:rPr>
          <w:t>79/2024</w:t>
        </w:r>
      </w:hyperlink>
      <w:r>
        <w:t>, f. 9.</w:t>
      </w:r>
    </w:p>
    <w:p w14:paraId="5E329DE7" w14:textId="0D75C717" w:rsidR="00601EEA" w:rsidRDefault="00601EEA" w:rsidP="00601EEA">
      <w:pPr>
        <w:pStyle w:val="SangriaFrancesaArticulo"/>
      </w:pPr>
      <w:r w:rsidRPr="00601EEA">
        <w:rPr>
          <w:rStyle w:val="TextoNormalNegritaCaracter"/>
        </w:rPr>
        <w:t>Disposición transitoria séptima</w:t>
      </w:r>
      <w:r>
        <w:t xml:space="preserve"> (redactado por la Ley 12/2023, de 24 de mayo)</w:t>
      </w:r>
      <w:r w:rsidRPr="00601EEA">
        <w:rPr>
          <w:rStyle w:val="TextoNormalNegritaCaracter"/>
        </w:rPr>
        <w:t>.</w:t>
      </w:r>
      <w:r w:rsidRPr="00601EEA">
        <w:rPr>
          <w:rStyle w:val="TextoNormalCaracter"/>
        </w:rPr>
        <w:t>-</w:t>
      </w:r>
      <w:r>
        <w:t xml:space="preserve"> Sentencia </w:t>
      </w:r>
      <w:hyperlink w:anchor="SENTENCIA_2024_79" w:history="1">
        <w:r w:rsidRPr="00601EEA">
          <w:rPr>
            <w:rStyle w:val="TextoNormalCaracter"/>
          </w:rPr>
          <w:t>79/2024</w:t>
        </w:r>
      </w:hyperlink>
      <w:r>
        <w:t>, f. 9.</w:t>
      </w:r>
    </w:p>
    <w:p w14:paraId="1FF6CB57" w14:textId="7DBB6886" w:rsidR="00601EEA" w:rsidRDefault="00601EEA" w:rsidP="00601EEA">
      <w:pPr>
        <w:pStyle w:val="SangriaFrancesaArticulo"/>
      </w:pPr>
      <w:r w:rsidRPr="00601EEA">
        <w:rPr>
          <w:rStyle w:val="TextoNormalNegritaCaracter"/>
        </w:rPr>
        <w:t>Disposición transitoria séptima, apartado 1</w:t>
      </w:r>
      <w:r>
        <w:t xml:space="preserve"> (redactado por la Ley 12/2023, de 24 de mayo)</w:t>
      </w:r>
      <w:r w:rsidRPr="00601EEA">
        <w:rPr>
          <w:rStyle w:val="TextoNormalNegritaCaracter"/>
        </w:rPr>
        <w:t>.</w:t>
      </w:r>
      <w:r w:rsidRPr="00601EEA">
        <w:rPr>
          <w:rStyle w:val="TextoNormalCaracter"/>
        </w:rPr>
        <w:t>-</w:t>
      </w:r>
      <w:r>
        <w:t xml:space="preserve"> Sentencia </w:t>
      </w:r>
      <w:hyperlink w:anchor="SENTENCIA_2024_79" w:history="1">
        <w:r w:rsidRPr="00601EEA">
          <w:rPr>
            <w:rStyle w:val="TextoNormalCaracter"/>
          </w:rPr>
          <w:t>79/2024</w:t>
        </w:r>
      </w:hyperlink>
      <w:r>
        <w:t>, f. 9.</w:t>
      </w:r>
    </w:p>
    <w:p w14:paraId="1F6D70C8" w14:textId="24DA4DDA" w:rsidR="00601EEA" w:rsidRDefault="00601EEA" w:rsidP="00601EEA">
      <w:pPr>
        <w:pStyle w:val="SangriaFrancesaArticulo"/>
      </w:pPr>
      <w:r w:rsidRPr="00601EEA">
        <w:rPr>
          <w:rStyle w:val="TextoNormalNegritaCaracter"/>
        </w:rPr>
        <w:lastRenderedPageBreak/>
        <w:t>Disposición transitoria séptima, apartado 2</w:t>
      </w:r>
      <w:r>
        <w:t xml:space="preserve"> (redactado por la Ley 12/2023, de 24 de mayo)</w:t>
      </w:r>
      <w:r w:rsidRPr="00601EEA">
        <w:rPr>
          <w:rStyle w:val="TextoNormalNegritaCaracter"/>
        </w:rPr>
        <w:t>.</w:t>
      </w:r>
      <w:r w:rsidRPr="00601EEA">
        <w:rPr>
          <w:rStyle w:val="TextoNormalCaracter"/>
        </w:rPr>
        <w:t>-</w:t>
      </w:r>
      <w:r>
        <w:t xml:space="preserve"> Sentencia </w:t>
      </w:r>
      <w:hyperlink w:anchor="SENTENCIA_2024_79" w:history="1">
        <w:r w:rsidRPr="00601EEA">
          <w:rPr>
            <w:rStyle w:val="TextoNormalCaracter"/>
          </w:rPr>
          <w:t>79/2024</w:t>
        </w:r>
      </w:hyperlink>
      <w:r>
        <w:t>, f. 9.</w:t>
      </w:r>
    </w:p>
    <w:p w14:paraId="08267DBC" w14:textId="47B254D6" w:rsidR="00601EEA" w:rsidRDefault="00601EEA" w:rsidP="00601EEA">
      <w:pPr>
        <w:pStyle w:val="SangriaFrancesaArticulo"/>
      </w:pPr>
    </w:p>
    <w:p w14:paraId="651C9443" w14:textId="77777777" w:rsidR="00601EEA" w:rsidRDefault="00601EEA" w:rsidP="00601EEA">
      <w:pPr>
        <w:pStyle w:val="TextoNormalNegritaCursivandice"/>
        <w:keepNext/>
      </w:pPr>
      <w:r>
        <w:t>Ley 3/1995, de 23 de marzo, de vías pecuarias</w:t>
      </w:r>
    </w:p>
    <w:p w14:paraId="303815CF" w14:textId="1DBE8F2E"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25" w:history="1">
        <w:r w:rsidRPr="00601EEA">
          <w:rPr>
            <w:rStyle w:val="TextoNormalCaracter"/>
          </w:rPr>
          <w:t>25/2024</w:t>
        </w:r>
      </w:hyperlink>
      <w:r>
        <w:t>, ff. 1, 12.</w:t>
      </w:r>
    </w:p>
    <w:p w14:paraId="49B78497" w14:textId="7889A58B" w:rsidR="00601EEA" w:rsidRDefault="00601EEA" w:rsidP="00601EEA">
      <w:pPr>
        <w:pStyle w:val="SangriaFrancesaArticulo"/>
      </w:pPr>
      <w:r w:rsidRPr="00601EEA">
        <w:rPr>
          <w:rStyle w:val="TextoNormalNegritaCaracter"/>
        </w:rPr>
        <w:t>Título II.</w:t>
      </w:r>
      <w:r w:rsidRPr="00601EEA">
        <w:rPr>
          <w:rStyle w:val="TextoNormalCaracter"/>
        </w:rPr>
        <w:t>-</w:t>
      </w:r>
      <w:r>
        <w:t xml:space="preserve"> Sentencia </w:t>
      </w:r>
      <w:hyperlink w:anchor="SENTENCIA_2024_25" w:history="1">
        <w:r w:rsidRPr="00601EEA">
          <w:rPr>
            <w:rStyle w:val="TextoNormalCaracter"/>
          </w:rPr>
          <w:t>25/2024</w:t>
        </w:r>
      </w:hyperlink>
      <w:r>
        <w:t>, f. 12.</w:t>
      </w:r>
    </w:p>
    <w:p w14:paraId="4F90111A" w14:textId="0FB2236A" w:rsidR="00601EEA" w:rsidRDefault="00601EEA" w:rsidP="00601EEA">
      <w:pPr>
        <w:pStyle w:val="SangriaFrancesaArticulo"/>
      </w:pPr>
      <w:r w:rsidRPr="00601EEA">
        <w:rPr>
          <w:rStyle w:val="TextoNormalNegritaCaracter"/>
        </w:rPr>
        <w:t>Artículo 1.2.</w:t>
      </w:r>
      <w:r w:rsidRPr="00601EEA">
        <w:rPr>
          <w:rStyle w:val="TextoNormalCaracter"/>
        </w:rPr>
        <w:t>-</w:t>
      </w:r>
      <w:r>
        <w:t xml:space="preserve"> Sentencia </w:t>
      </w:r>
      <w:hyperlink w:anchor="SENTENCIA_2024_25" w:history="1">
        <w:r w:rsidRPr="00601EEA">
          <w:rPr>
            <w:rStyle w:val="TextoNormalCaracter"/>
          </w:rPr>
          <w:t>25/2024</w:t>
        </w:r>
      </w:hyperlink>
      <w:r>
        <w:t>, f. 12.</w:t>
      </w:r>
    </w:p>
    <w:p w14:paraId="48AC9F67" w14:textId="787CEE51" w:rsidR="00601EEA" w:rsidRDefault="00601EEA" w:rsidP="00601EEA">
      <w:pPr>
        <w:pStyle w:val="SangriaFrancesaArticulo"/>
      </w:pPr>
      <w:r w:rsidRPr="00601EEA">
        <w:rPr>
          <w:rStyle w:val="TextoNormalNegritaCaracter"/>
        </w:rPr>
        <w:t>Artículo 1.3.</w:t>
      </w:r>
      <w:r w:rsidRPr="00601EEA">
        <w:rPr>
          <w:rStyle w:val="TextoNormalCaracter"/>
        </w:rPr>
        <w:t>-</w:t>
      </w:r>
      <w:r>
        <w:t xml:space="preserve"> Sentencia </w:t>
      </w:r>
      <w:hyperlink w:anchor="SENTENCIA_2024_25" w:history="1">
        <w:r w:rsidRPr="00601EEA">
          <w:rPr>
            <w:rStyle w:val="TextoNormalCaracter"/>
          </w:rPr>
          <w:t>25/2024</w:t>
        </w:r>
      </w:hyperlink>
      <w:r>
        <w:t>, f. 12.</w:t>
      </w:r>
    </w:p>
    <w:p w14:paraId="2E07A1FA" w14:textId="5AA313A4" w:rsidR="00601EEA" w:rsidRDefault="00601EEA" w:rsidP="00601EEA">
      <w:pPr>
        <w:pStyle w:val="SangriaFrancesaArticulo"/>
      </w:pPr>
      <w:r w:rsidRPr="00601EEA">
        <w:rPr>
          <w:rStyle w:val="TextoNormalNegritaCaracter"/>
        </w:rPr>
        <w:t>Artículo 2.</w:t>
      </w:r>
      <w:r w:rsidRPr="00601EEA">
        <w:rPr>
          <w:rStyle w:val="TextoNormalCaracter"/>
        </w:rPr>
        <w:t>-</w:t>
      </w:r>
      <w:r>
        <w:t xml:space="preserve"> Sentencia </w:t>
      </w:r>
      <w:hyperlink w:anchor="SENTENCIA_2024_25" w:history="1">
        <w:r w:rsidRPr="00601EEA">
          <w:rPr>
            <w:rStyle w:val="TextoNormalCaracter"/>
          </w:rPr>
          <w:t>25/2024</w:t>
        </w:r>
      </w:hyperlink>
      <w:r>
        <w:t>, f. 12.</w:t>
      </w:r>
    </w:p>
    <w:p w14:paraId="0C52BDC0" w14:textId="0C7839FE" w:rsidR="00601EEA" w:rsidRDefault="00601EEA" w:rsidP="00601EEA">
      <w:pPr>
        <w:pStyle w:val="SangriaFrancesaArticulo"/>
      </w:pPr>
      <w:r w:rsidRPr="00601EEA">
        <w:rPr>
          <w:rStyle w:val="TextoNormalNegritaCaracter"/>
        </w:rPr>
        <w:t>Artículo 3.</w:t>
      </w:r>
      <w:r w:rsidRPr="00601EEA">
        <w:rPr>
          <w:rStyle w:val="TextoNormalCaracter"/>
        </w:rPr>
        <w:t>-</w:t>
      </w:r>
      <w:r>
        <w:t xml:space="preserve"> Sentencia </w:t>
      </w:r>
      <w:hyperlink w:anchor="SENTENCIA_2024_25" w:history="1">
        <w:r w:rsidRPr="00601EEA">
          <w:rPr>
            <w:rStyle w:val="TextoNormalCaracter"/>
          </w:rPr>
          <w:t>25/2024</w:t>
        </w:r>
      </w:hyperlink>
      <w:r>
        <w:t>, f. 12.</w:t>
      </w:r>
    </w:p>
    <w:p w14:paraId="22B2E14E" w14:textId="0E0DF120" w:rsidR="00601EEA" w:rsidRDefault="00601EEA" w:rsidP="00601EEA">
      <w:pPr>
        <w:pStyle w:val="SangriaFrancesaArticulo"/>
      </w:pPr>
      <w:r w:rsidRPr="00601EEA">
        <w:rPr>
          <w:rStyle w:val="TextoNormalNegritaCaracter"/>
        </w:rPr>
        <w:t>Artículo 3.1 b).</w:t>
      </w:r>
      <w:r w:rsidRPr="00601EEA">
        <w:rPr>
          <w:rStyle w:val="TextoNormalCaracter"/>
        </w:rPr>
        <w:t>-</w:t>
      </w:r>
      <w:r>
        <w:t xml:space="preserve"> Sentencia </w:t>
      </w:r>
      <w:hyperlink w:anchor="SENTENCIA_2024_25" w:history="1">
        <w:r w:rsidRPr="00601EEA">
          <w:rPr>
            <w:rStyle w:val="TextoNormalCaracter"/>
          </w:rPr>
          <w:t>25/2024</w:t>
        </w:r>
      </w:hyperlink>
      <w:r>
        <w:t>, f. 12.</w:t>
      </w:r>
    </w:p>
    <w:p w14:paraId="57B24269" w14:textId="4049C5A1" w:rsidR="00601EEA" w:rsidRDefault="00601EEA" w:rsidP="00601EEA">
      <w:pPr>
        <w:pStyle w:val="SangriaFrancesaArticulo"/>
      </w:pPr>
      <w:r w:rsidRPr="00601EEA">
        <w:rPr>
          <w:rStyle w:val="TextoNormalNegritaCaracter"/>
        </w:rPr>
        <w:t>Artículo 3.1 c).</w:t>
      </w:r>
      <w:r w:rsidRPr="00601EEA">
        <w:rPr>
          <w:rStyle w:val="TextoNormalCaracter"/>
        </w:rPr>
        <w:t>-</w:t>
      </w:r>
      <w:r>
        <w:t xml:space="preserve"> Sentencia </w:t>
      </w:r>
      <w:hyperlink w:anchor="SENTENCIA_2024_25" w:history="1">
        <w:r w:rsidRPr="00601EEA">
          <w:rPr>
            <w:rStyle w:val="TextoNormalCaracter"/>
          </w:rPr>
          <w:t>25/2024</w:t>
        </w:r>
      </w:hyperlink>
      <w:r>
        <w:t>, f. 12.</w:t>
      </w:r>
    </w:p>
    <w:p w14:paraId="7056EEEE" w14:textId="6C6F9979" w:rsidR="00601EEA" w:rsidRDefault="00601EEA" w:rsidP="00601EEA">
      <w:pPr>
        <w:pStyle w:val="SangriaFrancesaArticulo"/>
      </w:pPr>
      <w:r w:rsidRPr="00601EEA">
        <w:rPr>
          <w:rStyle w:val="TextoNormalNegritaCaracter"/>
        </w:rPr>
        <w:t>Artículo 3.1 d).</w:t>
      </w:r>
      <w:r w:rsidRPr="00601EEA">
        <w:rPr>
          <w:rStyle w:val="TextoNormalCaracter"/>
        </w:rPr>
        <w:t>-</w:t>
      </w:r>
      <w:r>
        <w:t xml:space="preserve"> Sentencia </w:t>
      </w:r>
      <w:hyperlink w:anchor="SENTENCIA_2024_25" w:history="1">
        <w:r w:rsidRPr="00601EEA">
          <w:rPr>
            <w:rStyle w:val="TextoNormalCaracter"/>
          </w:rPr>
          <w:t>25/2024</w:t>
        </w:r>
      </w:hyperlink>
      <w:r>
        <w:t>, f. 12.</w:t>
      </w:r>
    </w:p>
    <w:p w14:paraId="63D810E4" w14:textId="521B0F06" w:rsidR="00601EEA" w:rsidRDefault="00601EEA" w:rsidP="00601EEA">
      <w:pPr>
        <w:pStyle w:val="SangriaFrancesaArticulo"/>
      </w:pPr>
      <w:r w:rsidRPr="00601EEA">
        <w:rPr>
          <w:rStyle w:val="TextoNormalNegritaCaracter"/>
        </w:rPr>
        <w:t>Artículo 5 e).</w:t>
      </w:r>
      <w:r w:rsidRPr="00601EEA">
        <w:rPr>
          <w:rStyle w:val="TextoNormalCaracter"/>
        </w:rPr>
        <w:t>-</w:t>
      </w:r>
      <w:r>
        <w:t xml:space="preserve"> Sentencia </w:t>
      </w:r>
      <w:hyperlink w:anchor="SENTENCIA_2024_25" w:history="1">
        <w:r w:rsidRPr="00601EEA">
          <w:rPr>
            <w:rStyle w:val="TextoNormalCaracter"/>
          </w:rPr>
          <w:t>25/2024</w:t>
        </w:r>
      </w:hyperlink>
      <w:r>
        <w:t>, f. 12.</w:t>
      </w:r>
    </w:p>
    <w:p w14:paraId="01BABC1A" w14:textId="39593A07" w:rsidR="00601EEA" w:rsidRDefault="00601EEA" w:rsidP="00601EEA">
      <w:pPr>
        <w:pStyle w:val="SangriaFrancesaArticulo"/>
      </w:pPr>
      <w:r w:rsidRPr="00601EEA">
        <w:rPr>
          <w:rStyle w:val="TextoNormalNegritaCaracter"/>
        </w:rPr>
        <w:t>Artículo 7.</w:t>
      </w:r>
      <w:r w:rsidRPr="00601EEA">
        <w:rPr>
          <w:rStyle w:val="TextoNormalCaracter"/>
        </w:rPr>
        <w:t>-</w:t>
      </w:r>
      <w:r>
        <w:t xml:space="preserve"> Sentencia </w:t>
      </w:r>
      <w:hyperlink w:anchor="SENTENCIA_2024_25" w:history="1">
        <w:r w:rsidRPr="00601EEA">
          <w:rPr>
            <w:rStyle w:val="TextoNormalCaracter"/>
          </w:rPr>
          <w:t>25/2024</w:t>
        </w:r>
      </w:hyperlink>
      <w:r>
        <w:t>, f. 12.</w:t>
      </w:r>
    </w:p>
    <w:p w14:paraId="2A57C521" w14:textId="6B4E5535" w:rsidR="00601EEA" w:rsidRDefault="00601EEA" w:rsidP="00601EEA">
      <w:pPr>
        <w:pStyle w:val="SangriaFrancesaArticulo"/>
      </w:pPr>
      <w:r w:rsidRPr="00601EEA">
        <w:rPr>
          <w:rStyle w:val="TextoNormalNegritaCaracter"/>
        </w:rPr>
        <w:t>Artículo 8.</w:t>
      </w:r>
      <w:r w:rsidRPr="00601EEA">
        <w:rPr>
          <w:rStyle w:val="TextoNormalCaracter"/>
        </w:rPr>
        <w:t>-</w:t>
      </w:r>
      <w:r>
        <w:t xml:space="preserve"> Sentencia </w:t>
      </w:r>
      <w:hyperlink w:anchor="SENTENCIA_2024_25" w:history="1">
        <w:r w:rsidRPr="00601EEA">
          <w:rPr>
            <w:rStyle w:val="TextoNormalCaracter"/>
          </w:rPr>
          <w:t>25/2024</w:t>
        </w:r>
      </w:hyperlink>
      <w:r>
        <w:t>, f. 12.</w:t>
      </w:r>
    </w:p>
    <w:p w14:paraId="2E639E6C" w14:textId="344C5565" w:rsidR="00601EEA" w:rsidRDefault="00601EEA" w:rsidP="00601EEA">
      <w:pPr>
        <w:pStyle w:val="SangriaFrancesaArticulo"/>
      </w:pPr>
      <w:r w:rsidRPr="00601EEA">
        <w:rPr>
          <w:rStyle w:val="TextoNormalNegritaCaracter"/>
        </w:rPr>
        <w:t>Artículo 10.</w:t>
      </w:r>
      <w:r w:rsidRPr="00601EEA">
        <w:rPr>
          <w:rStyle w:val="TextoNormalCaracter"/>
        </w:rPr>
        <w:t>-</w:t>
      </w:r>
      <w:r>
        <w:t xml:space="preserve"> Sentencia </w:t>
      </w:r>
      <w:hyperlink w:anchor="SENTENCIA_2024_25" w:history="1">
        <w:r w:rsidRPr="00601EEA">
          <w:rPr>
            <w:rStyle w:val="TextoNormalCaracter"/>
          </w:rPr>
          <w:t>25/2024</w:t>
        </w:r>
      </w:hyperlink>
      <w:r>
        <w:t>, f. 12.</w:t>
      </w:r>
    </w:p>
    <w:p w14:paraId="14E98C59" w14:textId="126734F5" w:rsidR="00601EEA" w:rsidRDefault="00601EEA" w:rsidP="00601EEA">
      <w:pPr>
        <w:pStyle w:val="SangriaFrancesaArticulo"/>
      </w:pPr>
      <w:r w:rsidRPr="00601EEA">
        <w:rPr>
          <w:rStyle w:val="TextoNormalNegritaCaracter"/>
        </w:rPr>
        <w:t>Artículo 11.</w:t>
      </w:r>
      <w:r w:rsidRPr="00601EEA">
        <w:rPr>
          <w:rStyle w:val="TextoNormalCaracter"/>
        </w:rPr>
        <w:t>-</w:t>
      </w:r>
      <w:r>
        <w:t xml:space="preserve"> Sentencia </w:t>
      </w:r>
      <w:hyperlink w:anchor="SENTENCIA_2024_25" w:history="1">
        <w:r w:rsidRPr="00601EEA">
          <w:rPr>
            <w:rStyle w:val="TextoNormalCaracter"/>
          </w:rPr>
          <w:t>25/2024</w:t>
        </w:r>
      </w:hyperlink>
      <w:r>
        <w:t>, f. 12.</w:t>
      </w:r>
    </w:p>
    <w:p w14:paraId="6E93D244" w14:textId="4D04AC97" w:rsidR="00601EEA" w:rsidRDefault="00601EEA" w:rsidP="00601EEA">
      <w:pPr>
        <w:pStyle w:val="SangriaFrancesaArticulo"/>
      </w:pPr>
      <w:r w:rsidRPr="00601EEA">
        <w:rPr>
          <w:rStyle w:val="TextoNormalNegritaCaracter"/>
        </w:rPr>
        <w:t>Artículo 12.</w:t>
      </w:r>
      <w:r w:rsidRPr="00601EEA">
        <w:rPr>
          <w:rStyle w:val="TextoNormalCaracter"/>
        </w:rPr>
        <w:t>-</w:t>
      </w:r>
      <w:r>
        <w:t xml:space="preserve"> Sentencia </w:t>
      </w:r>
      <w:hyperlink w:anchor="SENTENCIA_2024_25" w:history="1">
        <w:r w:rsidRPr="00601EEA">
          <w:rPr>
            <w:rStyle w:val="TextoNormalCaracter"/>
          </w:rPr>
          <w:t>25/2024</w:t>
        </w:r>
      </w:hyperlink>
      <w:r>
        <w:t>, f. 12.</w:t>
      </w:r>
    </w:p>
    <w:p w14:paraId="4C5C5C61" w14:textId="5A6641EA" w:rsidR="00601EEA" w:rsidRDefault="00601EEA" w:rsidP="00601EEA">
      <w:pPr>
        <w:pStyle w:val="SangriaFrancesaArticulo"/>
      </w:pPr>
      <w:r w:rsidRPr="00601EEA">
        <w:rPr>
          <w:rStyle w:val="TextoNormalNegritaCaracter"/>
        </w:rPr>
        <w:t>Disposición final primera.</w:t>
      </w:r>
      <w:r w:rsidRPr="00601EEA">
        <w:rPr>
          <w:rStyle w:val="TextoNormalCaracter"/>
        </w:rPr>
        <w:t>-</w:t>
      </w:r>
      <w:r>
        <w:t xml:space="preserve"> Sentencia </w:t>
      </w:r>
      <w:hyperlink w:anchor="SENTENCIA_2024_25" w:history="1">
        <w:r w:rsidRPr="00601EEA">
          <w:rPr>
            <w:rStyle w:val="TextoNormalCaracter"/>
          </w:rPr>
          <w:t>25/2024</w:t>
        </w:r>
      </w:hyperlink>
      <w:r>
        <w:t>, f. 12.</w:t>
      </w:r>
    </w:p>
    <w:p w14:paraId="7C88886B" w14:textId="1CE65BCC" w:rsidR="00601EEA" w:rsidRDefault="00601EEA" w:rsidP="00601EEA">
      <w:pPr>
        <w:pStyle w:val="SangriaFrancesaArticulo"/>
      </w:pPr>
    </w:p>
    <w:p w14:paraId="3E129CA1" w14:textId="77777777" w:rsidR="00601EEA" w:rsidRDefault="00601EEA" w:rsidP="00601EEA">
      <w:pPr>
        <w:pStyle w:val="TextoNormalNegritaCursivandice"/>
        <w:keepNext/>
      </w:pPr>
      <w:r>
        <w:t>Ley 50/1997, de 27 de noviembre, del Gobierno</w:t>
      </w:r>
    </w:p>
    <w:p w14:paraId="00ADB0D0" w14:textId="5277324B"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93" w:history="1">
        <w:r w:rsidRPr="00601EEA">
          <w:rPr>
            <w:rStyle w:val="TextoNormalCaracter"/>
          </w:rPr>
          <w:t>93/2024</w:t>
        </w:r>
      </w:hyperlink>
      <w:r>
        <w:t>, VP I.</w:t>
      </w:r>
    </w:p>
    <w:p w14:paraId="630CDB21" w14:textId="2823A891" w:rsidR="00601EEA" w:rsidRDefault="00601EEA" w:rsidP="00601EEA">
      <w:pPr>
        <w:pStyle w:val="SangriaFrancesaArticulo"/>
      </w:pPr>
      <w:r w:rsidRPr="00601EEA">
        <w:rPr>
          <w:rStyle w:val="TextoNormalNegritaCaracter"/>
        </w:rPr>
        <w:t>Artículos 2, 5, 18, 22 y 24.</w:t>
      </w:r>
      <w:r w:rsidRPr="00601EEA">
        <w:rPr>
          <w:rStyle w:val="TextoNormalCaracter"/>
        </w:rPr>
        <w:t>-</w:t>
      </w:r>
      <w:r>
        <w:t xml:space="preserve"> Autos </w:t>
      </w:r>
      <w:hyperlink w:anchor="AUTO_2024_14" w:history="1">
        <w:r w:rsidRPr="00601EEA">
          <w:rPr>
            <w:rStyle w:val="TextoNormalCaracter"/>
          </w:rPr>
          <w:t>14/2024</w:t>
        </w:r>
      </w:hyperlink>
      <w:r>
        <w:t xml:space="preserve">, f. único; </w:t>
      </w:r>
      <w:hyperlink w:anchor="AUTO_2024_50" w:history="1">
        <w:r w:rsidRPr="00601EEA">
          <w:rPr>
            <w:rStyle w:val="TextoNormalCaracter"/>
          </w:rPr>
          <w:t>50/2024</w:t>
        </w:r>
      </w:hyperlink>
      <w:r>
        <w:t>, f. único.</w:t>
      </w:r>
    </w:p>
    <w:p w14:paraId="02E4F9C7" w14:textId="2AEDF765" w:rsidR="00601EEA" w:rsidRDefault="00601EEA" w:rsidP="00601EEA">
      <w:pPr>
        <w:pStyle w:val="SangriaFrancesaArticulo"/>
      </w:pPr>
      <w:r w:rsidRPr="00601EEA">
        <w:rPr>
          <w:rStyle w:val="TextoNormalNegritaCaracter"/>
        </w:rPr>
        <w:t>Artículo 26.</w:t>
      </w:r>
      <w:r w:rsidRPr="00601EEA">
        <w:rPr>
          <w:rStyle w:val="TextoNormalCaracter"/>
        </w:rPr>
        <w:t>-</w:t>
      </w:r>
      <w:r>
        <w:t xml:space="preserve"> Sentencia </w:t>
      </w:r>
      <w:hyperlink w:anchor="SENTENCIA_2024_93" w:history="1">
        <w:r w:rsidRPr="00601EEA">
          <w:rPr>
            <w:rStyle w:val="TextoNormalCaracter"/>
          </w:rPr>
          <w:t>93/2024</w:t>
        </w:r>
      </w:hyperlink>
      <w:r>
        <w:t>, VP I.</w:t>
      </w:r>
    </w:p>
    <w:p w14:paraId="4FB700F6" w14:textId="503EF686" w:rsidR="00601EEA" w:rsidRDefault="00601EEA" w:rsidP="00601EEA">
      <w:pPr>
        <w:pStyle w:val="SangriaFrancesaArticulo"/>
      </w:pPr>
      <w:r w:rsidRPr="00601EEA">
        <w:rPr>
          <w:rStyle w:val="TextoNormalNegritaCaracter"/>
        </w:rPr>
        <w:t>Artículos 26 y ss..</w:t>
      </w:r>
      <w:r w:rsidRPr="00601EEA">
        <w:rPr>
          <w:rStyle w:val="TextoNormalCaracter"/>
        </w:rPr>
        <w:t>-</w:t>
      </w:r>
      <w:r>
        <w:t xml:space="preserve"> Sentencia </w:t>
      </w:r>
      <w:hyperlink w:anchor="SENTENCIA_2024_93" w:history="1">
        <w:r w:rsidRPr="00601EEA">
          <w:rPr>
            <w:rStyle w:val="TextoNormalCaracter"/>
          </w:rPr>
          <w:t>93/2024</w:t>
        </w:r>
      </w:hyperlink>
      <w:r>
        <w:t>, VP I.</w:t>
      </w:r>
    </w:p>
    <w:p w14:paraId="4473614B" w14:textId="196841F5" w:rsidR="00601EEA" w:rsidRDefault="00601EEA" w:rsidP="00601EEA">
      <w:pPr>
        <w:pStyle w:val="SangriaFrancesaArticulo"/>
      </w:pPr>
    </w:p>
    <w:p w14:paraId="36790BB9" w14:textId="77777777" w:rsidR="00601EEA" w:rsidRDefault="00601EEA" w:rsidP="00601EEA">
      <w:pPr>
        <w:pStyle w:val="TextoNormalNegritaCursivandice"/>
        <w:keepNext/>
      </w:pPr>
      <w:r>
        <w:t>Ley 6/1998, de 13 de abril, sobre régimen del suelo y valoraciones</w:t>
      </w:r>
    </w:p>
    <w:p w14:paraId="032EB0EB" w14:textId="2AA642C5" w:rsidR="00601EEA" w:rsidRDefault="00601EEA" w:rsidP="00601EEA">
      <w:pPr>
        <w:pStyle w:val="SangriaFrancesaArticulo"/>
      </w:pPr>
      <w:r w:rsidRPr="00601EEA">
        <w:rPr>
          <w:rStyle w:val="TextoNormalNegritaCaracter"/>
        </w:rPr>
        <w:t>Artículo 20.1 párrafo 2.</w:t>
      </w:r>
      <w:r w:rsidRPr="00601EEA">
        <w:rPr>
          <w:rStyle w:val="TextoNormalCaracter"/>
        </w:rPr>
        <w:t>-</w:t>
      </w:r>
      <w:r>
        <w:t xml:space="preserve"> Sentencia </w:t>
      </w:r>
      <w:hyperlink w:anchor="SENTENCIA_2024_25" w:history="1">
        <w:r w:rsidRPr="00601EEA">
          <w:rPr>
            <w:rStyle w:val="TextoNormalCaracter"/>
          </w:rPr>
          <w:t>25/2024</w:t>
        </w:r>
      </w:hyperlink>
      <w:r>
        <w:t>, f. 7.</w:t>
      </w:r>
    </w:p>
    <w:p w14:paraId="52D869C9" w14:textId="535F1ED5" w:rsidR="00601EEA" w:rsidRDefault="00601EEA" w:rsidP="00601EEA">
      <w:pPr>
        <w:pStyle w:val="SangriaFrancesaArticulo"/>
      </w:pPr>
    </w:p>
    <w:p w14:paraId="3FE9F507" w14:textId="77777777" w:rsidR="00601EEA" w:rsidRDefault="00601EEA" w:rsidP="00601EEA">
      <w:pPr>
        <w:pStyle w:val="TextoNormalNegritaCursivandice"/>
        <w:keepNext/>
      </w:pPr>
      <w:r>
        <w:t>Ley 29/1998, de 13 de julio, reguladora de la jurisdicción contencioso-administrativa</w:t>
      </w:r>
    </w:p>
    <w:p w14:paraId="5A9A3425" w14:textId="2ABE04D0"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93" w:history="1">
        <w:r w:rsidRPr="00601EEA">
          <w:rPr>
            <w:rStyle w:val="TextoNormalCaracter"/>
          </w:rPr>
          <w:t>93/2024</w:t>
        </w:r>
      </w:hyperlink>
      <w:r>
        <w:t>, VP II.</w:t>
      </w:r>
    </w:p>
    <w:p w14:paraId="4F1A3165" w14:textId="68C9BA31" w:rsidR="00601EEA" w:rsidRDefault="00601EEA" w:rsidP="00601EEA">
      <w:pPr>
        <w:pStyle w:val="SangriaFrancesaArticulo"/>
      </w:pPr>
      <w:r w:rsidRPr="00601EEA">
        <w:rPr>
          <w:rStyle w:val="TextoNormalNegritaCaracter"/>
        </w:rPr>
        <w:t>Artículos 1 a 3.</w:t>
      </w:r>
      <w:r w:rsidRPr="00601EEA">
        <w:rPr>
          <w:rStyle w:val="TextoNormalCaracter"/>
        </w:rPr>
        <w:t>-</w:t>
      </w:r>
      <w:r>
        <w:t xml:space="preserve"> Sentencia </w:t>
      </w:r>
      <w:hyperlink w:anchor="SENTENCIA_2024_66" w:history="1">
        <w:r w:rsidRPr="00601EEA">
          <w:rPr>
            <w:rStyle w:val="TextoNormalCaracter"/>
          </w:rPr>
          <w:t>66/2024</w:t>
        </w:r>
      </w:hyperlink>
      <w:r>
        <w:t>, f. 3.</w:t>
      </w:r>
    </w:p>
    <w:p w14:paraId="6E087FBD" w14:textId="515EEEA2" w:rsidR="00601EEA" w:rsidRDefault="00601EEA" w:rsidP="00601EEA">
      <w:pPr>
        <w:pStyle w:val="SangriaFrancesaArticulo"/>
      </w:pPr>
      <w:r w:rsidRPr="00601EEA">
        <w:rPr>
          <w:rStyle w:val="TextoNormalNegritaCaracter"/>
        </w:rPr>
        <w:t>Artículo 2 a).</w:t>
      </w:r>
      <w:r w:rsidRPr="00601EEA">
        <w:rPr>
          <w:rStyle w:val="TextoNormalCaracter"/>
        </w:rPr>
        <w:t>-</w:t>
      </w:r>
      <w:r>
        <w:t xml:space="preserve"> Sentencia </w:t>
      </w:r>
      <w:hyperlink w:anchor="SENTENCIA_2024_93" w:history="1">
        <w:r w:rsidRPr="00601EEA">
          <w:rPr>
            <w:rStyle w:val="TextoNormalCaracter"/>
          </w:rPr>
          <w:t>93/2024</w:t>
        </w:r>
      </w:hyperlink>
      <w:r>
        <w:t>, VP II.</w:t>
      </w:r>
    </w:p>
    <w:p w14:paraId="6DB91BF3" w14:textId="284DE08A" w:rsidR="00601EEA" w:rsidRDefault="00601EEA" w:rsidP="00601EEA">
      <w:pPr>
        <w:pStyle w:val="SangriaFrancesaArticulo"/>
      </w:pPr>
      <w:r w:rsidRPr="00601EEA">
        <w:rPr>
          <w:rStyle w:val="TextoNormalNegritaCaracter"/>
        </w:rPr>
        <w:t>Artículo 4.1.</w:t>
      </w:r>
      <w:r w:rsidRPr="00601EEA">
        <w:rPr>
          <w:rStyle w:val="TextoNormalCaracter"/>
        </w:rPr>
        <w:t>-</w:t>
      </w:r>
      <w:r>
        <w:t xml:space="preserve"> Sentencia </w:t>
      </w:r>
      <w:hyperlink w:anchor="SENTENCIA_2024_66" w:history="1">
        <w:r w:rsidRPr="00601EEA">
          <w:rPr>
            <w:rStyle w:val="TextoNormalCaracter"/>
          </w:rPr>
          <w:t>66/2024</w:t>
        </w:r>
      </w:hyperlink>
      <w:r>
        <w:t>, f. 5.</w:t>
      </w:r>
    </w:p>
    <w:p w14:paraId="2B0F6F01" w14:textId="5C6E4170" w:rsidR="00601EEA" w:rsidRDefault="00601EEA" w:rsidP="00601EEA">
      <w:pPr>
        <w:pStyle w:val="SangriaFrancesaArticulo"/>
      </w:pPr>
      <w:r w:rsidRPr="00601EEA">
        <w:rPr>
          <w:rStyle w:val="TextoNormalNegritaCaracter"/>
        </w:rPr>
        <w:t>Artículo 21.1 b).</w:t>
      </w:r>
      <w:r w:rsidRPr="00601EEA">
        <w:rPr>
          <w:rStyle w:val="TextoNormalCaracter"/>
        </w:rPr>
        <w:t>-</w:t>
      </w:r>
      <w:r>
        <w:t xml:space="preserve"> Sentencia </w:t>
      </w:r>
      <w:hyperlink w:anchor="SENTENCIA_2024_66" w:history="1">
        <w:r w:rsidRPr="00601EEA">
          <w:rPr>
            <w:rStyle w:val="TextoNormalCaracter"/>
          </w:rPr>
          <w:t>66/2024</w:t>
        </w:r>
      </w:hyperlink>
      <w:r>
        <w:t>, f. 2.</w:t>
      </w:r>
    </w:p>
    <w:p w14:paraId="6CEAAB98" w14:textId="076BF20F" w:rsidR="00601EEA" w:rsidRDefault="00601EEA" w:rsidP="00601EEA">
      <w:pPr>
        <w:pStyle w:val="SangriaFrancesaArticulo"/>
      </w:pPr>
      <w:r w:rsidRPr="00601EEA">
        <w:rPr>
          <w:rStyle w:val="TextoNormalNegritaCaracter"/>
        </w:rPr>
        <w:t>Artículo 28.</w:t>
      </w:r>
      <w:r w:rsidRPr="00601EEA">
        <w:rPr>
          <w:rStyle w:val="TextoNormalCaracter"/>
        </w:rPr>
        <w:t>-</w:t>
      </w:r>
      <w:r>
        <w:t xml:space="preserve"> Sentencia </w:t>
      </w:r>
      <w:hyperlink w:anchor="SENTENCIA_2024_50" w:history="1">
        <w:r w:rsidRPr="00601EEA">
          <w:rPr>
            <w:rStyle w:val="TextoNormalCaracter"/>
          </w:rPr>
          <w:t>50/2024</w:t>
        </w:r>
      </w:hyperlink>
      <w:r>
        <w:t>, f. 3.</w:t>
      </w:r>
    </w:p>
    <w:p w14:paraId="5EA14FCE" w14:textId="0F053403" w:rsidR="00601EEA" w:rsidRDefault="00601EEA" w:rsidP="00601EEA">
      <w:pPr>
        <w:pStyle w:val="SangriaFrancesaArticulo"/>
      </w:pPr>
      <w:r w:rsidRPr="00601EEA">
        <w:rPr>
          <w:rStyle w:val="TextoNormalNegritaCaracter"/>
        </w:rPr>
        <w:t>Artículo 88.2.</w:t>
      </w:r>
      <w:r w:rsidRPr="00601EEA">
        <w:rPr>
          <w:rStyle w:val="TextoNormalCaracter"/>
        </w:rPr>
        <w:t>-</w:t>
      </w:r>
      <w:r>
        <w:t xml:space="preserve"> Sentencia </w:t>
      </w:r>
      <w:hyperlink w:anchor="SENTENCIA_2024_49" w:history="1">
        <w:r w:rsidRPr="00601EEA">
          <w:rPr>
            <w:rStyle w:val="TextoNormalCaracter"/>
          </w:rPr>
          <w:t>49/2024</w:t>
        </w:r>
      </w:hyperlink>
      <w:r>
        <w:t>, f. 2.</w:t>
      </w:r>
    </w:p>
    <w:p w14:paraId="5C022C52" w14:textId="1F38C37C" w:rsidR="00601EEA" w:rsidRDefault="00601EEA" w:rsidP="00601EEA">
      <w:pPr>
        <w:pStyle w:val="SangriaFrancesaArticulo"/>
      </w:pPr>
      <w:r w:rsidRPr="00601EEA">
        <w:rPr>
          <w:rStyle w:val="TextoNormalNegritaCaracter"/>
        </w:rPr>
        <w:t>Artículo 89.</w:t>
      </w:r>
      <w:r w:rsidRPr="00601EEA">
        <w:rPr>
          <w:rStyle w:val="TextoNormalCaracter"/>
        </w:rPr>
        <w:t>-</w:t>
      </w:r>
      <w:r>
        <w:t xml:space="preserve"> Sentencia </w:t>
      </w:r>
      <w:hyperlink w:anchor="SENTENCIA_2024_49" w:history="1">
        <w:r w:rsidRPr="00601EEA">
          <w:rPr>
            <w:rStyle w:val="TextoNormalCaracter"/>
          </w:rPr>
          <w:t>49/2024</w:t>
        </w:r>
      </w:hyperlink>
      <w:r>
        <w:t>, f. 2.</w:t>
      </w:r>
    </w:p>
    <w:p w14:paraId="041F8052" w14:textId="761FF4B1" w:rsidR="00601EEA" w:rsidRDefault="00601EEA" w:rsidP="00601EEA">
      <w:pPr>
        <w:pStyle w:val="SangriaFrancesaArticulo"/>
      </w:pPr>
      <w:r w:rsidRPr="00601EEA">
        <w:rPr>
          <w:rStyle w:val="TextoNormalNegritaCaracter"/>
        </w:rPr>
        <w:t>Artículo 90.</w:t>
      </w:r>
      <w:r w:rsidRPr="00601EEA">
        <w:rPr>
          <w:rStyle w:val="TextoNormalCaracter"/>
        </w:rPr>
        <w:t>-</w:t>
      </w:r>
      <w:r>
        <w:t xml:space="preserve"> Sentencia </w:t>
      </w:r>
      <w:hyperlink w:anchor="SENTENCIA_2024_49" w:history="1">
        <w:r w:rsidRPr="00601EEA">
          <w:rPr>
            <w:rStyle w:val="TextoNormalCaracter"/>
          </w:rPr>
          <w:t>49/2024</w:t>
        </w:r>
      </w:hyperlink>
      <w:r>
        <w:t>, f. 2.</w:t>
      </w:r>
    </w:p>
    <w:p w14:paraId="5CF6B9E6" w14:textId="5D26F47C" w:rsidR="00601EEA" w:rsidRDefault="00601EEA" w:rsidP="00601EEA">
      <w:pPr>
        <w:pStyle w:val="SangriaFrancesaArticulo"/>
      </w:pPr>
      <w:r w:rsidRPr="00601EEA">
        <w:rPr>
          <w:rStyle w:val="TextoNormalNegritaCaracter"/>
        </w:rPr>
        <w:t>Artículo 90.4.</w:t>
      </w:r>
      <w:r w:rsidRPr="00601EEA">
        <w:rPr>
          <w:rStyle w:val="TextoNormalCaracter"/>
        </w:rPr>
        <w:t>-</w:t>
      </w:r>
      <w:r>
        <w:t xml:space="preserve"> Sentencia </w:t>
      </w:r>
      <w:hyperlink w:anchor="SENTENCIA_2024_49" w:history="1">
        <w:r w:rsidRPr="00601EEA">
          <w:rPr>
            <w:rStyle w:val="TextoNormalCaracter"/>
          </w:rPr>
          <w:t>49/2024</w:t>
        </w:r>
      </w:hyperlink>
      <w:r>
        <w:t>, f. 2.</w:t>
      </w:r>
    </w:p>
    <w:p w14:paraId="093FD693" w14:textId="7C9BF764" w:rsidR="00601EEA" w:rsidRDefault="00601EEA" w:rsidP="00601EEA">
      <w:pPr>
        <w:pStyle w:val="SangriaFrancesaArticulo"/>
      </w:pPr>
      <w:r w:rsidRPr="00601EEA">
        <w:rPr>
          <w:rStyle w:val="TextoNormalNegritaCaracter"/>
        </w:rPr>
        <w:t>Artículo 94.</w:t>
      </w:r>
      <w:r w:rsidRPr="00601EEA">
        <w:rPr>
          <w:rStyle w:val="TextoNormalCaracter"/>
        </w:rPr>
        <w:t>-</w:t>
      </w:r>
      <w:r>
        <w:t xml:space="preserve"> Sentencia </w:t>
      </w:r>
      <w:hyperlink w:anchor="SENTENCIA_2024_49" w:history="1">
        <w:r w:rsidRPr="00601EEA">
          <w:rPr>
            <w:rStyle w:val="TextoNormalCaracter"/>
          </w:rPr>
          <w:t>49/2024</w:t>
        </w:r>
      </w:hyperlink>
      <w:r>
        <w:t>, f. 2.</w:t>
      </w:r>
    </w:p>
    <w:p w14:paraId="1572F46D" w14:textId="7617C725" w:rsidR="00601EEA" w:rsidRDefault="00601EEA" w:rsidP="00601EEA">
      <w:pPr>
        <w:pStyle w:val="SangriaFrancesaArticulo"/>
      </w:pPr>
    </w:p>
    <w:p w14:paraId="5DA3F20D" w14:textId="77777777" w:rsidR="00601EEA" w:rsidRDefault="00601EEA" w:rsidP="00601EEA">
      <w:pPr>
        <w:pStyle w:val="TextoNormalNegritaCursivandice"/>
        <w:keepNext/>
      </w:pPr>
      <w:r>
        <w:t>Ley 1/2000, de 7 de enero, de enjuiciamiento civil</w:t>
      </w:r>
    </w:p>
    <w:p w14:paraId="7C35BBCE" w14:textId="2900269B" w:rsidR="00601EEA" w:rsidRDefault="00601EEA" w:rsidP="00601EEA">
      <w:pPr>
        <w:pStyle w:val="SangriaFrancesaArticulo"/>
        <w:keepNext/>
      </w:pPr>
      <w:r w:rsidRPr="00601EEA">
        <w:rPr>
          <w:rStyle w:val="TextoNormalNegritaCaracter"/>
        </w:rPr>
        <w:t>En general.</w:t>
      </w:r>
      <w:r w:rsidRPr="00601EEA">
        <w:rPr>
          <w:rStyle w:val="TextoNormalCaracter"/>
        </w:rPr>
        <w:t>-</w:t>
      </w:r>
      <w:r>
        <w:t xml:space="preserve"> Sentencias </w:t>
      </w:r>
      <w:hyperlink w:anchor="SENTENCIA_2024_21" w:history="1">
        <w:r w:rsidRPr="00601EEA">
          <w:rPr>
            <w:rStyle w:val="TextoNormalCaracter"/>
          </w:rPr>
          <w:t>21/2024</w:t>
        </w:r>
      </w:hyperlink>
      <w:r>
        <w:t xml:space="preserve">, f. 4; </w:t>
      </w:r>
      <w:hyperlink w:anchor="SENTENCIA_2024_79" w:history="1">
        <w:r w:rsidRPr="00601EEA">
          <w:rPr>
            <w:rStyle w:val="TextoNormalCaracter"/>
          </w:rPr>
          <w:t>79/2024</w:t>
        </w:r>
      </w:hyperlink>
      <w:r>
        <w:t>, f. 6.</w:t>
      </w:r>
    </w:p>
    <w:p w14:paraId="6F8B0223" w14:textId="4FE36947" w:rsidR="00601EEA" w:rsidRDefault="00601EEA" w:rsidP="00601EEA">
      <w:pPr>
        <w:pStyle w:val="SangriaIzquierdaArticulo"/>
      </w:pPr>
      <w:r>
        <w:t xml:space="preserve">Auto </w:t>
      </w:r>
      <w:hyperlink w:anchor="AUTO_2024_39" w:history="1">
        <w:r w:rsidRPr="00601EEA">
          <w:rPr>
            <w:rStyle w:val="TextoNormalCaracter"/>
          </w:rPr>
          <w:t>39/2024</w:t>
        </w:r>
      </w:hyperlink>
      <w:r>
        <w:t>, f. único.</w:t>
      </w:r>
    </w:p>
    <w:p w14:paraId="431DA8A3" w14:textId="36F337B7" w:rsidR="00601EEA" w:rsidRDefault="00601EEA" w:rsidP="00601EEA">
      <w:pPr>
        <w:pStyle w:val="SangriaFrancesaArticulo"/>
      </w:pPr>
      <w:r w:rsidRPr="00601EEA">
        <w:rPr>
          <w:rStyle w:val="TextoNormalNegritaCaracter"/>
        </w:rPr>
        <w:t>Artículo 19.1.</w:t>
      </w:r>
      <w:r w:rsidRPr="00601EEA">
        <w:rPr>
          <w:rStyle w:val="TextoNormalCaracter"/>
        </w:rPr>
        <w:t>-</w:t>
      </w:r>
      <w:r>
        <w:t xml:space="preserve"> Auto </w:t>
      </w:r>
      <w:hyperlink w:anchor="AUTO_2024_49" w:history="1">
        <w:r w:rsidRPr="00601EEA">
          <w:rPr>
            <w:rStyle w:val="TextoNormalCaracter"/>
          </w:rPr>
          <w:t>49/2024</w:t>
        </w:r>
      </w:hyperlink>
      <w:r>
        <w:t>, f. 1.</w:t>
      </w:r>
    </w:p>
    <w:p w14:paraId="268EE9A6" w14:textId="7319D47C" w:rsidR="00601EEA" w:rsidRDefault="00601EEA" w:rsidP="00601EEA">
      <w:pPr>
        <w:pStyle w:val="SangriaFrancesaArticulo"/>
      </w:pPr>
      <w:r w:rsidRPr="00601EEA">
        <w:rPr>
          <w:rStyle w:val="TextoNormalNegritaCaracter"/>
        </w:rPr>
        <w:lastRenderedPageBreak/>
        <w:t>Artículo 20.</w:t>
      </w:r>
      <w:r w:rsidRPr="00601EEA">
        <w:rPr>
          <w:rStyle w:val="TextoNormalCaracter"/>
        </w:rPr>
        <w:t>-</w:t>
      </w:r>
      <w:r>
        <w:t xml:space="preserve"> Auto </w:t>
      </w:r>
      <w:hyperlink w:anchor="AUTO_2024_38" w:history="1">
        <w:r w:rsidRPr="00601EEA">
          <w:rPr>
            <w:rStyle w:val="TextoNormalCaracter"/>
          </w:rPr>
          <w:t>38/2024</w:t>
        </w:r>
      </w:hyperlink>
      <w:r>
        <w:t>, f. único.</w:t>
      </w:r>
    </w:p>
    <w:p w14:paraId="09A1B428" w14:textId="05E15418" w:rsidR="00601EEA" w:rsidRDefault="00601EEA" w:rsidP="00601EEA">
      <w:pPr>
        <w:pStyle w:val="SangriaFrancesaArticulo"/>
      </w:pPr>
      <w:r w:rsidRPr="00601EEA">
        <w:rPr>
          <w:rStyle w:val="TextoNormalNegritaCaracter"/>
        </w:rPr>
        <w:t>Artículo 20.2.</w:t>
      </w:r>
      <w:r w:rsidRPr="00601EEA">
        <w:rPr>
          <w:rStyle w:val="TextoNormalCaracter"/>
        </w:rPr>
        <w:t>-</w:t>
      </w:r>
      <w:r>
        <w:t xml:space="preserve"> Auto </w:t>
      </w:r>
      <w:hyperlink w:anchor="AUTO_2024_49" w:history="1">
        <w:r w:rsidRPr="00601EEA">
          <w:rPr>
            <w:rStyle w:val="TextoNormalCaracter"/>
          </w:rPr>
          <w:t>49/2024</w:t>
        </w:r>
      </w:hyperlink>
      <w:r>
        <w:t>, f. 1.</w:t>
      </w:r>
    </w:p>
    <w:p w14:paraId="72D2893D" w14:textId="72650D05" w:rsidR="00601EEA" w:rsidRDefault="00601EEA" w:rsidP="00601EEA">
      <w:pPr>
        <w:pStyle w:val="SangriaFrancesaArticulo"/>
      </w:pPr>
      <w:r w:rsidRPr="00601EEA">
        <w:rPr>
          <w:rStyle w:val="TextoNormalNegritaCaracter"/>
        </w:rPr>
        <w:t>Artículo 20.3.</w:t>
      </w:r>
      <w:r w:rsidRPr="00601EEA">
        <w:rPr>
          <w:rStyle w:val="TextoNormalCaracter"/>
        </w:rPr>
        <w:t>-</w:t>
      </w:r>
      <w:r>
        <w:t xml:space="preserve"> Auto </w:t>
      </w:r>
      <w:hyperlink w:anchor="AUTO_2024_49" w:history="1">
        <w:r w:rsidRPr="00601EEA">
          <w:rPr>
            <w:rStyle w:val="TextoNormalCaracter"/>
          </w:rPr>
          <w:t>49/2024</w:t>
        </w:r>
      </w:hyperlink>
      <w:r>
        <w:t>, f. 1.</w:t>
      </w:r>
    </w:p>
    <w:p w14:paraId="4A8B0478" w14:textId="4F8CAD46" w:rsidR="00601EEA" w:rsidRDefault="00601EEA" w:rsidP="00601EEA">
      <w:pPr>
        <w:pStyle w:val="SangriaFrancesaArticulo"/>
      </w:pPr>
      <w:r w:rsidRPr="00601EEA">
        <w:rPr>
          <w:rStyle w:val="TextoNormalNegritaCaracter"/>
        </w:rPr>
        <w:t>Artículo 22.</w:t>
      </w:r>
      <w:r w:rsidRPr="00601EEA">
        <w:rPr>
          <w:rStyle w:val="TextoNormalCaracter"/>
        </w:rPr>
        <w:t>-</w:t>
      </w:r>
      <w:r>
        <w:t xml:space="preserve"> Sentencias </w:t>
      </w:r>
      <w:hyperlink w:anchor="SENTENCIA_2024_45" w:history="1">
        <w:r w:rsidRPr="00601EEA">
          <w:rPr>
            <w:rStyle w:val="TextoNormalCaracter"/>
          </w:rPr>
          <w:t>45/2024</w:t>
        </w:r>
      </w:hyperlink>
      <w:r>
        <w:t xml:space="preserve">, f. 2; </w:t>
      </w:r>
      <w:hyperlink w:anchor="SENTENCIA_2024_64" w:history="1">
        <w:r w:rsidRPr="00601EEA">
          <w:rPr>
            <w:rStyle w:val="TextoNormalCaracter"/>
          </w:rPr>
          <w:t>64/2024</w:t>
        </w:r>
      </w:hyperlink>
      <w:r>
        <w:t>, f. único.</w:t>
      </w:r>
    </w:p>
    <w:p w14:paraId="7F006E0D" w14:textId="7F03C8BE" w:rsidR="00601EEA" w:rsidRDefault="00601EEA" w:rsidP="00601EEA">
      <w:pPr>
        <w:pStyle w:val="SangriaFrancesaArticulo"/>
      </w:pPr>
      <w:r w:rsidRPr="00601EEA">
        <w:rPr>
          <w:rStyle w:val="TextoNormalNegritaCaracter"/>
        </w:rPr>
        <w:t>Artículo 135.</w:t>
      </w:r>
      <w:r w:rsidRPr="00601EEA">
        <w:rPr>
          <w:rStyle w:val="TextoNormalCaracter"/>
        </w:rPr>
        <w:t>-</w:t>
      </w:r>
      <w:r>
        <w:t xml:space="preserve"> Auto </w:t>
      </w:r>
      <w:hyperlink w:anchor="AUTO_2024_39" w:history="1">
        <w:r w:rsidRPr="00601EEA">
          <w:rPr>
            <w:rStyle w:val="TextoNormalCaracter"/>
          </w:rPr>
          <w:t>39/2024</w:t>
        </w:r>
      </w:hyperlink>
      <w:r>
        <w:t>, f. único.</w:t>
      </w:r>
    </w:p>
    <w:p w14:paraId="5EFD001F" w14:textId="0BE0FB07" w:rsidR="00601EEA" w:rsidRDefault="00601EEA" w:rsidP="00601EEA">
      <w:pPr>
        <w:pStyle w:val="SangriaFrancesaArticulo"/>
      </w:pPr>
      <w:r w:rsidRPr="00601EEA">
        <w:rPr>
          <w:rStyle w:val="TextoNormalNegritaCaracter"/>
        </w:rPr>
        <w:t>Artículo 135.5.</w:t>
      </w:r>
      <w:r w:rsidRPr="00601EEA">
        <w:rPr>
          <w:rStyle w:val="TextoNormalCaracter"/>
        </w:rPr>
        <w:t>-</w:t>
      </w:r>
      <w:r>
        <w:t xml:space="preserve"> Auto </w:t>
      </w:r>
      <w:hyperlink w:anchor="AUTO_2024_39" w:history="1">
        <w:r w:rsidRPr="00601EEA">
          <w:rPr>
            <w:rStyle w:val="TextoNormalCaracter"/>
          </w:rPr>
          <w:t>39/2024</w:t>
        </w:r>
      </w:hyperlink>
      <w:r>
        <w:t>, f. único.</w:t>
      </w:r>
    </w:p>
    <w:p w14:paraId="44D196DD" w14:textId="5C0E45AF" w:rsidR="00601EEA" w:rsidRDefault="00601EEA" w:rsidP="00601EEA">
      <w:pPr>
        <w:pStyle w:val="SangriaFrancesaArticulo"/>
      </w:pPr>
      <w:r w:rsidRPr="00601EEA">
        <w:rPr>
          <w:rStyle w:val="TextoNormalNegritaCaracter"/>
        </w:rPr>
        <w:t>Artículo 151.2.</w:t>
      </w:r>
      <w:r w:rsidRPr="00601EEA">
        <w:rPr>
          <w:rStyle w:val="TextoNormalCaracter"/>
        </w:rPr>
        <w:t>-</w:t>
      </w:r>
      <w:r>
        <w:t xml:space="preserve"> Autos </w:t>
      </w:r>
      <w:hyperlink w:anchor="AUTO_2024_34" w:history="1">
        <w:r w:rsidRPr="00601EEA">
          <w:rPr>
            <w:rStyle w:val="TextoNormalCaracter"/>
          </w:rPr>
          <w:t>34/2024</w:t>
        </w:r>
      </w:hyperlink>
      <w:r>
        <w:t xml:space="preserve">, f. 2; </w:t>
      </w:r>
      <w:hyperlink w:anchor="AUTO_2024_39" w:history="1">
        <w:r w:rsidRPr="00601EEA">
          <w:rPr>
            <w:rStyle w:val="TextoNormalCaracter"/>
          </w:rPr>
          <w:t>39/2024</w:t>
        </w:r>
      </w:hyperlink>
      <w:r>
        <w:t>, f. único.</w:t>
      </w:r>
    </w:p>
    <w:p w14:paraId="67E480EE" w14:textId="1C4991CB" w:rsidR="00601EEA" w:rsidRDefault="00601EEA" w:rsidP="00601EEA">
      <w:pPr>
        <w:pStyle w:val="SangriaFrancesaArticulo"/>
      </w:pPr>
      <w:r w:rsidRPr="00601EEA">
        <w:rPr>
          <w:rStyle w:val="TextoNormalNegritaCaracter"/>
        </w:rPr>
        <w:t>Artículo 155.</w:t>
      </w:r>
      <w:r w:rsidRPr="00601EEA">
        <w:rPr>
          <w:rStyle w:val="TextoNormalCaracter"/>
        </w:rPr>
        <w:t>-</w:t>
      </w:r>
      <w:r>
        <w:t xml:space="preserve"> Sentencias </w:t>
      </w:r>
      <w:hyperlink w:anchor="SENTENCIA_2024_12" w:history="1">
        <w:r w:rsidRPr="00601EEA">
          <w:rPr>
            <w:rStyle w:val="TextoNormalCaracter"/>
          </w:rPr>
          <w:t>12/2024</w:t>
        </w:r>
      </w:hyperlink>
      <w:r>
        <w:t xml:space="preserve">, f. 1; </w:t>
      </w:r>
      <w:hyperlink w:anchor="SENTENCIA_2024_14" w:history="1">
        <w:r w:rsidRPr="00601EEA">
          <w:rPr>
            <w:rStyle w:val="TextoNormalCaracter"/>
          </w:rPr>
          <w:t>14/2024</w:t>
        </w:r>
      </w:hyperlink>
      <w:r>
        <w:t xml:space="preserve">, f. 3; </w:t>
      </w:r>
      <w:hyperlink w:anchor="SENTENCIA_2024_84" w:history="1">
        <w:r w:rsidRPr="00601EEA">
          <w:rPr>
            <w:rStyle w:val="TextoNormalCaracter"/>
          </w:rPr>
          <w:t>84/2024</w:t>
        </w:r>
      </w:hyperlink>
      <w:r>
        <w:t>, f. 2.</w:t>
      </w:r>
    </w:p>
    <w:p w14:paraId="3AE3467C" w14:textId="60C6C522" w:rsidR="00601EEA" w:rsidRDefault="00601EEA" w:rsidP="00601EEA">
      <w:pPr>
        <w:pStyle w:val="SangriaFrancesaArticulo"/>
      </w:pPr>
      <w:r w:rsidRPr="00601EEA">
        <w:rPr>
          <w:rStyle w:val="TextoNormalNegritaCaracter"/>
        </w:rPr>
        <w:t>155.3 último párrafo.</w:t>
      </w:r>
      <w:r w:rsidRPr="00601EEA">
        <w:rPr>
          <w:rStyle w:val="TextoNormalCaracter"/>
        </w:rPr>
        <w:t>-</w:t>
      </w:r>
      <w:r>
        <w:t xml:space="preserve"> Sentencia </w:t>
      </w:r>
      <w:hyperlink w:anchor="SENTENCIA_2024_12" w:history="1">
        <w:r w:rsidRPr="00601EEA">
          <w:rPr>
            <w:rStyle w:val="TextoNormalCaracter"/>
          </w:rPr>
          <w:t>12/2024</w:t>
        </w:r>
      </w:hyperlink>
      <w:r>
        <w:t>, ff. 2, 3.</w:t>
      </w:r>
    </w:p>
    <w:p w14:paraId="5F3A2231" w14:textId="5AEF305E" w:rsidR="00601EEA" w:rsidRDefault="00601EEA" w:rsidP="00601EEA">
      <w:pPr>
        <w:pStyle w:val="SangriaFrancesaArticulo"/>
      </w:pPr>
      <w:r w:rsidRPr="00601EEA">
        <w:rPr>
          <w:rStyle w:val="TextoNormalNegritaCaracter"/>
        </w:rPr>
        <w:t>Artículo 155.3.</w:t>
      </w:r>
      <w:r w:rsidRPr="00601EEA">
        <w:rPr>
          <w:rStyle w:val="TextoNormalCaracter"/>
        </w:rPr>
        <w:t>-</w:t>
      </w:r>
      <w:r>
        <w:t xml:space="preserve"> Sentencias </w:t>
      </w:r>
      <w:hyperlink w:anchor="SENTENCIA_2024_12" w:history="1">
        <w:r w:rsidRPr="00601EEA">
          <w:rPr>
            <w:rStyle w:val="TextoNormalCaracter"/>
          </w:rPr>
          <w:t>12/2024</w:t>
        </w:r>
      </w:hyperlink>
      <w:r>
        <w:t xml:space="preserve">, ff. 1, 3; </w:t>
      </w:r>
      <w:hyperlink w:anchor="SENTENCIA_2024_21" w:history="1">
        <w:r w:rsidRPr="00601EEA">
          <w:rPr>
            <w:rStyle w:val="TextoNormalCaracter"/>
          </w:rPr>
          <w:t>21/2024</w:t>
        </w:r>
      </w:hyperlink>
      <w:r>
        <w:t xml:space="preserve">, f. 4; </w:t>
      </w:r>
      <w:hyperlink w:anchor="SENTENCIA_2024_84" w:history="1">
        <w:r w:rsidRPr="00601EEA">
          <w:rPr>
            <w:rStyle w:val="TextoNormalCaracter"/>
          </w:rPr>
          <w:t>84/2024</w:t>
        </w:r>
      </w:hyperlink>
      <w:r>
        <w:t>, f. 2.</w:t>
      </w:r>
    </w:p>
    <w:p w14:paraId="0475B353" w14:textId="3B106DF3" w:rsidR="00601EEA" w:rsidRDefault="00601EEA" w:rsidP="00601EEA">
      <w:pPr>
        <w:pStyle w:val="SangriaFrancesaArticulo"/>
      </w:pPr>
      <w:r w:rsidRPr="00601EEA">
        <w:rPr>
          <w:rStyle w:val="TextoNormalNegritaCaracter"/>
        </w:rPr>
        <w:t>Artículo 155.3 párrado segundo.</w:t>
      </w:r>
      <w:r w:rsidRPr="00601EEA">
        <w:rPr>
          <w:rStyle w:val="TextoNormalCaracter"/>
        </w:rPr>
        <w:t>-</w:t>
      </w:r>
      <w:r>
        <w:t xml:space="preserve"> Sentencia </w:t>
      </w:r>
      <w:hyperlink w:anchor="SENTENCIA_2024_84" w:history="1">
        <w:r w:rsidRPr="00601EEA">
          <w:rPr>
            <w:rStyle w:val="TextoNormalCaracter"/>
          </w:rPr>
          <w:t>84/2024</w:t>
        </w:r>
      </w:hyperlink>
      <w:r>
        <w:t>, f. 2.</w:t>
      </w:r>
    </w:p>
    <w:p w14:paraId="076456E0" w14:textId="13336297" w:rsidR="00601EEA" w:rsidRDefault="00601EEA" w:rsidP="00601EEA">
      <w:pPr>
        <w:pStyle w:val="SangriaFrancesaArticulo"/>
      </w:pPr>
      <w:r w:rsidRPr="00601EEA">
        <w:rPr>
          <w:rStyle w:val="TextoNormalNegritaCaracter"/>
        </w:rPr>
        <w:t>Artículo 156.</w:t>
      </w:r>
      <w:r w:rsidRPr="00601EEA">
        <w:rPr>
          <w:rStyle w:val="TextoNormalCaracter"/>
        </w:rPr>
        <w:t>-</w:t>
      </w:r>
      <w:r>
        <w:t xml:space="preserve"> Sentencias </w:t>
      </w:r>
      <w:hyperlink w:anchor="SENTENCIA_2024_12" w:history="1">
        <w:r w:rsidRPr="00601EEA">
          <w:rPr>
            <w:rStyle w:val="TextoNormalCaracter"/>
          </w:rPr>
          <w:t>12/2024</w:t>
        </w:r>
      </w:hyperlink>
      <w:r>
        <w:t xml:space="preserve">, ff. 1, 3; </w:t>
      </w:r>
      <w:hyperlink w:anchor="SENTENCIA_2024_84" w:history="1">
        <w:r w:rsidRPr="00601EEA">
          <w:rPr>
            <w:rStyle w:val="TextoNormalCaracter"/>
          </w:rPr>
          <w:t>84/2024</w:t>
        </w:r>
      </w:hyperlink>
      <w:r>
        <w:t>, f. 2.</w:t>
      </w:r>
    </w:p>
    <w:p w14:paraId="6605A7AF" w14:textId="692029D4" w:rsidR="00601EEA" w:rsidRDefault="00601EEA" w:rsidP="00601EEA">
      <w:pPr>
        <w:pStyle w:val="SangriaFrancesaArticulo"/>
      </w:pPr>
      <w:r w:rsidRPr="00601EEA">
        <w:rPr>
          <w:rStyle w:val="TextoNormalNegritaCaracter"/>
        </w:rPr>
        <w:t>Artículo 164.</w:t>
      </w:r>
      <w:r w:rsidRPr="00601EEA">
        <w:rPr>
          <w:rStyle w:val="TextoNormalCaracter"/>
        </w:rPr>
        <w:t>-</w:t>
      </w:r>
      <w:r>
        <w:t xml:space="preserve"> Sentencia </w:t>
      </w:r>
      <w:hyperlink w:anchor="SENTENCIA_2024_84" w:history="1">
        <w:r w:rsidRPr="00601EEA">
          <w:rPr>
            <w:rStyle w:val="TextoNormalCaracter"/>
          </w:rPr>
          <w:t>84/2024</w:t>
        </w:r>
      </w:hyperlink>
      <w:r>
        <w:t>, f. 2.</w:t>
      </w:r>
    </w:p>
    <w:p w14:paraId="46F8F597" w14:textId="03B52411" w:rsidR="00601EEA" w:rsidRDefault="00601EEA" w:rsidP="00601EEA">
      <w:pPr>
        <w:pStyle w:val="SangriaFrancesaArticulo"/>
      </w:pPr>
      <w:r w:rsidRPr="00601EEA">
        <w:rPr>
          <w:rStyle w:val="TextoNormalNegritaCaracter"/>
        </w:rPr>
        <w:t>Artículo 164</w:t>
      </w:r>
      <w:r>
        <w:t xml:space="preserve"> (redactado por el Real Decreto-ley 6/2023, de 19 de diciembre)</w:t>
      </w:r>
      <w:r w:rsidRPr="00601EEA">
        <w:rPr>
          <w:rStyle w:val="TextoNormalNegritaCaracter"/>
        </w:rPr>
        <w:t>.</w:t>
      </w:r>
      <w:r w:rsidRPr="00601EEA">
        <w:rPr>
          <w:rStyle w:val="TextoNormalCaracter"/>
        </w:rPr>
        <w:t>-</w:t>
      </w:r>
      <w:r>
        <w:t xml:space="preserve"> Sentencia </w:t>
      </w:r>
      <w:hyperlink w:anchor="SENTENCIA_2024_84" w:history="1">
        <w:r w:rsidRPr="00601EEA">
          <w:rPr>
            <w:rStyle w:val="TextoNormalCaracter"/>
          </w:rPr>
          <w:t>84/2024</w:t>
        </w:r>
      </w:hyperlink>
      <w:r>
        <w:t>, f. 2.</w:t>
      </w:r>
    </w:p>
    <w:p w14:paraId="5F5FD4FE" w14:textId="4048EEE8" w:rsidR="00601EEA" w:rsidRDefault="00601EEA" w:rsidP="00601EEA">
      <w:pPr>
        <w:pStyle w:val="SangriaFrancesaArticulo"/>
      </w:pPr>
      <w:r w:rsidRPr="00601EEA">
        <w:rPr>
          <w:rStyle w:val="TextoNormalNegritaCaracter"/>
        </w:rPr>
        <w:t>Artículo 164</w:t>
      </w:r>
      <w:r>
        <w:t xml:space="preserve"> (redactado por la Ley 19/2009, de 23 de noviembre)</w:t>
      </w:r>
      <w:r w:rsidRPr="00601EEA">
        <w:rPr>
          <w:rStyle w:val="TextoNormalNegritaCaracter"/>
        </w:rPr>
        <w:t>.</w:t>
      </w:r>
      <w:r w:rsidRPr="00601EEA">
        <w:rPr>
          <w:rStyle w:val="TextoNormalCaracter"/>
        </w:rPr>
        <w:t>-</w:t>
      </w:r>
      <w:r>
        <w:t xml:space="preserve"> Sentencia </w:t>
      </w:r>
      <w:hyperlink w:anchor="SENTENCIA_2024_21" w:history="1">
        <w:r w:rsidRPr="00601EEA">
          <w:rPr>
            <w:rStyle w:val="TextoNormalCaracter"/>
          </w:rPr>
          <w:t>21/2024</w:t>
        </w:r>
      </w:hyperlink>
      <w:r>
        <w:t>, ff. 3, 4.</w:t>
      </w:r>
    </w:p>
    <w:p w14:paraId="025299F7" w14:textId="2597DCFB" w:rsidR="00601EEA" w:rsidRDefault="00601EEA" w:rsidP="00601EEA">
      <w:pPr>
        <w:pStyle w:val="SangriaFrancesaArticulo"/>
      </w:pPr>
      <w:r w:rsidRPr="00601EEA">
        <w:rPr>
          <w:rStyle w:val="TextoNormalNegritaCaracter"/>
        </w:rPr>
        <w:t>Artículo 164 párrafo cuarto.</w:t>
      </w:r>
      <w:r w:rsidRPr="00601EEA">
        <w:rPr>
          <w:rStyle w:val="TextoNormalCaracter"/>
        </w:rPr>
        <w:t>-</w:t>
      </w:r>
      <w:r>
        <w:t xml:space="preserve"> Sentencia </w:t>
      </w:r>
      <w:hyperlink w:anchor="SENTENCIA_2024_84" w:history="1">
        <w:r w:rsidRPr="00601EEA">
          <w:rPr>
            <w:rStyle w:val="TextoNormalCaracter"/>
          </w:rPr>
          <w:t>84/2024</w:t>
        </w:r>
      </w:hyperlink>
      <w:r>
        <w:t>, f. 2.</w:t>
      </w:r>
    </w:p>
    <w:p w14:paraId="60ABE1F6" w14:textId="59B3733B" w:rsidR="00601EEA" w:rsidRDefault="00601EEA" w:rsidP="00601EEA">
      <w:pPr>
        <w:pStyle w:val="SangriaFrancesaArticulo"/>
      </w:pPr>
      <w:r w:rsidRPr="00601EEA">
        <w:rPr>
          <w:rStyle w:val="TextoNormalNegritaCaracter"/>
        </w:rPr>
        <w:t>Artículo 164 párrafo cuarto</w:t>
      </w:r>
      <w:r>
        <w:t xml:space="preserve"> (redactado por la Ley 19/2009, de 23 de noviembre)</w:t>
      </w:r>
      <w:r w:rsidRPr="00601EEA">
        <w:rPr>
          <w:rStyle w:val="TextoNormalNegritaCaracter"/>
        </w:rPr>
        <w:t>.</w:t>
      </w:r>
      <w:r w:rsidRPr="00601EEA">
        <w:rPr>
          <w:rStyle w:val="TextoNormalCaracter"/>
        </w:rPr>
        <w:t>-</w:t>
      </w:r>
      <w:r>
        <w:t xml:space="preserve"> Sentencia </w:t>
      </w:r>
      <w:hyperlink w:anchor="SENTENCIA_2024_84" w:history="1">
        <w:r w:rsidRPr="00601EEA">
          <w:rPr>
            <w:rStyle w:val="TextoNormalCaracter"/>
          </w:rPr>
          <w:t>84/2024</w:t>
        </w:r>
      </w:hyperlink>
      <w:r>
        <w:t>, f. 2.</w:t>
      </w:r>
    </w:p>
    <w:p w14:paraId="34E8271C" w14:textId="1B7BDA42" w:rsidR="00601EEA" w:rsidRDefault="00601EEA" w:rsidP="00601EEA">
      <w:pPr>
        <w:pStyle w:val="SangriaFrancesaArticulo"/>
      </w:pPr>
      <w:r w:rsidRPr="00601EEA">
        <w:rPr>
          <w:rStyle w:val="TextoNormalNegritaCaracter"/>
        </w:rPr>
        <w:t>Artículo 218.2.</w:t>
      </w:r>
      <w:r w:rsidRPr="00601EEA">
        <w:rPr>
          <w:rStyle w:val="TextoNormalCaracter"/>
        </w:rPr>
        <w:t>-</w:t>
      </w:r>
      <w:r>
        <w:t xml:space="preserve"> Sentencia </w:t>
      </w:r>
      <w:hyperlink w:anchor="SENTENCIA_2024_8" w:history="1">
        <w:r w:rsidRPr="00601EEA">
          <w:rPr>
            <w:rStyle w:val="TextoNormalCaracter"/>
          </w:rPr>
          <w:t>8/2024</w:t>
        </w:r>
      </w:hyperlink>
      <w:r>
        <w:t>, VP II.</w:t>
      </w:r>
    </w:p>
    <w:p w14:paraId="68DD4374" w14:textId="602BD97F" w:rsidR="00601EEA" w:rsidRDefault="00601EEA" w:rsidP="00601EEA">
      <w:pPr>
        <w:pStyle w:val="SangriaFrancesaArticulo"/>
      </w:pPr>
      <w:r w:rsidRPr="00601EEA">
        <w:rPr>
          <w:rStyle w:val="TextoNormalNegritaCaracter"/>
        </w:rPr>
        <w:t>Artículo 228.</w:t>
      </w:r>
      <w:r w:rsidRPr="00601EEA">
        <w:rPr>
          <w:rStyle w:val="TextoNormalCaracter"/>
        </w:rPr>
        <w:t>-</w:t>
      </w:r>
      <w:r>
        <w:t xml:space="preserve"> Sentencia </w:t>
      </w:r>
      <w:hyperlink w:anchor="SENTENCIA_2024_27" w:history="1">
        <w:r w:rsidRPr="00601EEA">
          <w:rPr>
            <w:rStyle w:val="TextoNormalCaracter"/>
          </w:rPr>
          <w:t>27/2024</w:t>
        </w:r>
      </w:hyperlink>
      <w:r>
        <w:t>, f. 3.</w:t>
      </w:r>
    </w:p>
    <w:p w14:paraId="6C532C4A" w14:textId="43A2D2A2" w:rsidR="00601EEA" w:rsidRDefault="00601EEA" w:rsidP="00601EEA">
      <w:pPr>
        <w:pStyle w:val="SangriaFrancesaArticulo"/>
      </w:pPr>
      <w:r w:rsidRPr="00601EEA">
        <w:rPr>
          <w:rStyle w:val="TextoNormalNegritaCaracter"/>
        </w:rPr>
        <w:t>Artículo 228.1.</w:t>
      </w:r>
      <w:r w:rsidRPr="00601EEA">
        <w:rPr>
          <w:rStyle w:val="TextoNormalCaracter"/>
        </w:rPr>
        <w:t>-</w:t>
      </w:r>
      <w:r>
        <w:t xml:space="preserve"> Sentencia </w:t>
      </w:r>
      <w:hyperlink w:anchor="SENTENCIA_2024_3" w:history="1">
        <w:r w:rsidRPr="00601EEA">
          <w:rPr>
            <w:rStyle w:val="TextoNormalCaracter"/>
          </w:rPr>
          <w:t>3/2024</w:t>
        </w:r>
      </w:hyperlink>
      <w:r>
        <w:t>, f. 2.</w:t>
      </w:r>
    </w:p>
    <w:p w14:paraId="7AB0FF36" w14:textId="4ED32DDD" w:rsidR="00601EEA" w:rsidRDefault="00601EEA" w:rsidP="00601EEA">
      <w:pPr>
        <w:pStyle w:val="SangriaFrancesaArticulo"/>
      </w:pPr>
      <w:r w:rsidRPr="00601EEA">
        <w:rPr>
          <w:rStyle w:val="TextoNormalNegritaCaracter"/>
        </w:rPr>
        <w:t>Artículo 250.1.2.</w:t>
      </w:r>
      <w:r w:rsidRPr="00601EEA">
        <w:rPr>
          <w:rStyle w:val="TextoNormalCaracter"/>
        </w:rPr>
        <w:t>-</w:t>
      </w:r>
      <w:r>
        <w:t xml:space="preserve"> Sentencia </w:t>
      </w:r>
      <w:hyperlink w:anchor="SENTENCIA_2024_7" w:history="1">
        <w:r w:rsidRPr="00601EEA">
          <w:rPr>
            <w:rStyle w:val="TextoNormalCaracter"/>
          </w:rPr>
          <w:t>7/2024</w:t>
        </w:r>
      </w:hyperlink>
      <w:r>
        <w:t>, ff. 1, 4.</w:t>
      </w:r>
    </w:p>
    <w:p w14:paraId="20A0DF09" w14:textId="07E29218" w:rsidR="00601EEA" w:rsidRDefault="00601EEA" w:rsidP="00601EEA">
      <w:pPr>
        <w:pStyle w:val="SangriaFrancesaArticulo"/>
      </w:pPr>
      <w:r w:rsidRPr="00601EEA">
        <w:rPr>
          <w:rStyle w:val="TextoNormalNegritaCaracter"/>
        </w:rPr>
        <w:t>Artículo 250.1.4.</w:t>
      </w:r>
      <w:r w:rsidRPr="00601EEA">
        <w:rPr>
          <w:rStyle w:val="TextoNormalCaracter"/>
        </w:rPr>
        <w:t>-</w:t>
      </w:r>
      <w:r>
        <w:t xml:space="preserve"> Sentencia </w:t>
      </w:r>
      <w:hyperlink w:anchor="SENTENCIA_2024_7" w:history="1">
        <w:r w:rsidRPr="00601EEA">
          <w:rPr>
            <w:rStyle w:val="TextoNormalCaracter"/>
          </w:rPr>
          <w:t>7/2024</w:t>
        </w:r>
      </w:hyperlink>
      <w:r>
        <w:t>, ff. 1, 4.</w:t>
      </w:r>
    </w:p>
    <w:p w14:paraId="7C65404A" w14:textId="747CDE19" w:rsidR="00601EEA" w:rsidRDefault="00601EEA" w:rsidP="00601EEA">
      <w:pPr>
        <w:pStyle w:val="SangriaFrancesaArticulo"/>
      </w:pPr>
      <w:r w:rsidRPr="00601EEA">
        <w:rPr>
          <w:rStyle w:val="TextoNormalNegritaCaracter"/>
        </w:rPr>
        <w:t>Artículo 250.1.7.</w:t>
      </w:r>
      <w:r w:rsidRPr="00601EEA">
        <w:rPr>
          <w:rStyle w:val="TextoNormalCaracter"/>
        </w:rPr>
        <w:t>-</w:t>
      </w:r>
      <w:r>
        <w:t xml:space="preserve"> Sentencia </w:t>
      </w:r>
      <w:hyperlink w:anchor="SENTENCIA_2024_7" w:history="1">
        <w:r w:rsidRPr="00601EEA">
          <w:rPr>
            <w:rStyle w:val="TextoNormalCaracter"/>
          </w:rPr>
          <w:t>7/2024</w:t>
        </w:r>
      </w:hyperlink>
      <w:r>
        <w:t>, ff. 1, 4.</w:t>
      </w:r>
    </w:p>
    <w:p w14:paraId="0C397497" w14:textId="506B2491" w:rsidR="00601EEA" w:rsidRDefault="00601EEA" w:rsidP="00601EEA">
      <w:pPr>
        <w:pStyle w:val="SangriaFrancesaArticulo"/>
      </w:pPr>
      <w:r w:rsidRPr="00601EEA">
        <w:rPr>
          <w:rStyle w:val="TextoNormalNegritaCaracter"/>
        </w:rPr>
        <w:t>Artículo 394.</w:t>
      </w:r>
      <w:r w:rsidRPr="00601EEA">
        <w:rPr>
          <w:rStyle w:val="TextoNormalCaracter"/>
        </w:rPr>
        <w:t>-</w:t>
      </w:r>
      <w:r>
        <w:t xml:space="preserve"> Sentencia </w:t>
      </w:r>
      <w:hyperlink w:anchor="SENTENCIA_2024_54" w:history="1">
        <w:r w:rsidRPr="00601EEA">
          <w:rPr>
            <w:rStyle w:val="TextoNormalCaracter"/>
          </w:rPr>
          <w:t>54/2024</w:t>
        </w:r>
      </w:hyperlink>
      <w:r>
        <w:t>, f. 1.</w:t>
      </w:r>
    </w:p>
    <w:p w14:paraId="1E5BF337" w14:textId="6E3ADAE7" w:rsidR="00601EEA" w:rsidRDefault="00601EEA" w:rsidP="00601EEA">
      <w:pPr>
        <w:pStyle w:val="SangriaFrancesaArticulo"/>
      </w:pPr>
      <w:r w:rsidRPr="00601EEA">
        <w:rPr>
          <w:rStyle w:val="TextoNormalNegritaCaracter"/>
        </w:rPr>
        <w:t>Artículo 394.1.</w:t>
      </w:r>
      <w:r w:rsidRPr="00601EEA">
        <w:rPr>
          <w:rStyle w:val="TextoNormalCaracter"/>
        </w:rPr>
        <w:t>-</w:t>
      </w:r>
      <w:r>
        <w:t xml:space="preserve"> Sentencia </w:t>
      </w:r>
      <w:hyperlink w:anchor="SENTENCIA_2024_54" w:history="1">
        <w:r w:rsidRPr="00601EEA">
          <w:rPr>
            <w:rStyle w:val="TextoNormalCaracter"/>
          </w:rPr>
          <w:t>54/2024</w:t>
        </w:r>
      </w:hyperlink>
      <w:r>
        <w:t>, f. 3.</w:t>
      </w:r>
    </w:p>
    <w:p w14:paraId="500E9098" w14:textId="6712166C" w:rsidR="00601EEA" w:rsidRDefault="00601EEA" w:rsidP="00601EEA">
      <w:pPr>
        <w:pStyle w:val="SangriaFrancesaArticulo"/>
      </w:pPr>
      <w:r w:rsidRPr="00601EEA">
        <w:rPr>
          <w:rStyle w:val="TextoNormalNegritaCaracter"/>
        </w:rPr>
        <w:t>Artículo 398.</w:t>
      </w:r>
      <w:r w:rsidRPr="00601EEA">
        <w:rPr>
          <w:rStyle w:val="TextoNormalCaracter"/>
        </w:rPr>
        <w:t>-</w:t>
      </w:r>
      <w:r>
        <w:t xml:space="preserve"> Sentencia </w:t>
      </w:r>
      <w:hyperlink w:anchor="SENTENCIA_2024_54" w:history="1">
        <w:r w:rsidRPr="00601EEA">
          <w:rPr>
            <w:rStyle w:val="TextoNormalCaracter"/>
          </w:rPr>
          <w:t>54/2024</w:t>
        </w:r>
      </w:hyperlink>
      <w:r>
        <w:t>, f. 1.</w:t>
      </w:r>
    </w:p>
    <w:p w14:paraId="3F598827" w14:textId="09194EDA" w:rsidR="00601EEA" w:rsidRDefault="00601EEA" w:rsidP="00601EEA">
      <w:pPr>
        <w:pStyle w:val="SangriaFrancesaArticulo"/>
      </w:pPr>
      <w:r w:rsidRPr="00601EEA">
        <w:rPr>
          <w:rStyle w:val="TextoNormalNegritaCaracter"/>
        </w:rPr>
        <w:t>Artículo 454.</w:t>
      </w:r>
      <w:r w:rsidRPr="00601EEA">
        <w:rPr>
          <w:rStyle w:val="TextoNormalCaracter"/>
        </w:rPr>
        <w:t>-</w:t>
      </w:r>
      <w:r>
        <w:t xml:space="preserve"> Sentencia </w:t>
      </w:r>
      <w:hyperlink w:anchor="SENTENCIA_2024_47" w:history="1">
        <w:r w:rsidRPr="00601EEA">
          <w:rPr>
            <w:rStyle w:val="TextoNormalCaracter"/>
          </w:rPr>
          <w:t>47/2024</w:t>
        </w:r>
      </w:hyperlink>
      <w:r>
        <w:t>, f. 2.</w:t>
      </w:r>
    </w:p>
    <w:p w14:paraId="178967D9" w14:textId="397E2313" w:rsidR="00601EEA" w:rsidRDefault="00601EEA" w:rsidP="00601EEA">
      <w:pPr>
        <w:pStyle w:val="SangriaFrancesaArticulo"/>
      </w:pPr>
      <w:r w:rsidRPr="00601EEA">
        <w:rPr>
          <w:rStyle w:val="TextoNormalNegritaCaracter"/>
        </w:rPr>
        <w:t>Artículo 454 bis.</w:t>
      </w:r>
      <w:r w:rsidRPr="00601EEA">
        <w:rPr>
          <w:rStyle w:val="TextoNormalCaracter"/>
        </w:rPr>
        <w:t>-</w:t>
      </w:r>
      <w:r>
        <w:t xml:space="preserve"> Sentencia </w:t>
      </w:r>
      <w:hyperlink w:anchor="SENTENCIA_2024_23" w:history="1">
        <w:r w:rsidRPr="00601EEA">
          <w:rPr>
            <w:rStyle w:val="TextoNormalCaracter"/>
          </w:rPr>
          <w:t>23/2024</w:t>
        </w:r>
      </w:hyperlink>
      <w:r>
        <w:t>, ff. 1, 2.</w:t>
      </w:r>
    </w:p>
    <w:p w14:paraId="5D2CD305" w14:textId="6AD5B1FD" w:rsidR="00601EEA" w:rsidRDefault="00601EEA" w:rsidP="00601EEA">
      <w:pPr>
        <w:pStyle w:val="SangriaFrancesaArticulo"/>
      </w:pPr>
      <w:r w:rsidRPr="00601EEA">
        <w:rPr>
          <w:rStyle w:val="TextoNormalNegritaCaracter"/>
        </w:rPr>
        <w:t>Artículo 454 bis.1.</w:t>
      </w:r>
      <w:r w:rsidRPr="00601EEA">
        <w:rPr>
          <w:rStyle w:val="TextoNormalCaracter"/>
        </w:rPr>
        <w:t>-</w:t>
      </w:r>
      <w:r>
        <w:t xml:space="preserve"> Sentencia </w:t>
      </w:r>
      <w:hyperlink w:anchor="SENTENCIA_2024_47" w:history="1">
        <w:r w:rsidRPr="00601EEA">
          <w:rPr>
            <w:rStyle w:val="TextoNormalCaracter"/>
          </w:rPr>
          <w:t>47/2024</w:t>
        </w:r>
      </w:hyperlink>
      <w:r>
        <w:t>, ff. 1, 3.</w:t>
      </w:r>
    </w:p>
    <w:p w14:paraId="3D4491A6" w14:textId="7445F282" w:rsidR="00601EEA" w:rsidRDefault="00601EEA" w:rsidP="00601EEA">
      <w:pPr>
        <w:pStyle w:val="SangriaFrancesaArticulo"/>
      </w:pPr>
      <w:r w:rsidRPr="00601EEA">
        <w:rPr>
          <w:rStyle w:val="TextoNormalNegritaCaracter"/>
        </w:rPr>
        <w:t>Artículo 454 bis.1 párrafo primero.</w:t>
      </w:r>
      <w:r w:rsidRPr="00601EEA">
        <w:rPr>
          <w:rStyle w:val="TextoNormalCaracter"/>
        </w:rPr>
        <w:t>-</w:t>
      </w:r>
      <w:r>
        <w:t xml:space="preserve"> Sentencias </w:t>
      </w:r>
      <w:hyperlink w:anchor="SENTENCIA_2024_23" w:history="1">
        <w:r w:rsidRPr="00601EEA">
          <w:rPr>
            <w:rStyle w:val="TextoNormalCaracter"/>
          </w:rPr>
          <w:t>23/2024</w:t>
        </w:r>
      </w:hyperlink>
      <w:r>
        <w:t xml:space="preserve">, f. 1; </w:t>
      </w:r>
      <w:hyperlink w:anchor="SENTENCIA_2024_47" w:history="1">
        <w:r w:rsidRPr="00601EEA">
          <w:rPr>
            <w:rStyle w:val="TextoNormalCaracter"/>
          </w:rPr>
          <w:t>47/2024</w:t>
        </w:r>
      </w:hyperlink>
      <w:r>
        <w:t>, ff. 2, 3.</w:t>
      </w:r>
    </w:p>
    <w:p w14:paraId="040D5B26" w14:textId="46757CB2" w:rsidR="00601EEA" w:rsidRDefault="00601EEA" w:rsidP="00601EEA">
      <w:pPr>
        <w:pStyle w:val="SangriaFrancesaArticulo"/>
      </w:pPr>
      <w:r w:rsidRPr="00601EEA">
        <w:rPr>
          <w:rStyle w:val="TextoNormalNegritaCaracter"/>
        </w:rPr>
        <w:t>Artículo 454 bis.1 párrafo primero</w:t>
      </w:r>
      <w:r>
        <w:t xml:space="preserve"> (redactado por la Ley 37/2011, de 10 de octubre)</w:t>
      </w:r>
      <w:r w:rsidRPr="00601EEA">
        <w:rPr>
          <w:rStyle w:val="TextoNormalNegritaCaracter"/>
        </w:rPr>
        <w:t>.</w:t>
      </w:r>
      <w:r w:rsidRPr="00601EEA">
        <w:rPr>
          <w:rStyle w:val="TextoNormalCaracter"/>
        </w:rPr>
        <w:t>-</w:t>
      </w:r>
      <w:r>
        <w:t xml:space="preserve"> Sentencia </w:t>
      </w:r>
      <w:hyperlink w:anchor="SENTENCIA_2024_23" w:history="1">
        <w:r w:rsidRPr="00601EEA">
          <w:rPr>
            <w:rStyle w:val="TextoNormalCaracter"/>
          </w:rPr>
          <w:t>23/2024</w:t>
        </w:r>
      </w:hyperlink>
      <w:r>
        <w:t>, f. 2.</w:t>
      </w:r>
    </w:p>
    <w:p w14:paraId="6843EF82" w14:textId="1D416009" w:rsidR="00601EEA" w:rsidRDefault="00601EEA" w:rsidP="00601EEA">
      <w:pPr>
        <w:pStyle w:val="SangriaFrancesaArticulo"/>
      </w:pPr>
      <w:r w:rsidRPr="00601EEA">
        <w:rPr>
          <w:rStyle w:val="TextoNormalNegritaCaracter"/>
        </w:rPr>
        <w:t>Artículo 454 bis.2.</w:t>
      </w:r>
      <w:r w:rsidRPr="00601EEA">
        <w:rPr>
          <w:rStyle w:val="TextoNormalCaracter"/>
        </w:rPr>
        <w:t>-</w:t>
      </w:r>
      <w:r>
        <w:t xml:space="preserve"> Sentencia </w:t>
      </w:r>
      <w:hyperlink w:anchor="SENTENCIA_2024_23" w:history="1">
        <w:r w:rsidRPr="00601EEA">
          <w:rPr>
            <w:rStyle w:val="TextoNormalCaracter"/>
          </w:rPr>
          <w:t>23/2024</w:t>
        </w:r>
      </w:hyperlink>
      <w:r>
        <w:t>, f. 2.</w:t>
      </w:r>
    </w:p>
    <w:p w14:paraId="373EED9E" w14:textId="220A38DD" w:rsidR="00601EEA" w:rsidRDefault="00601EEA" w:rsidP="00601EEA">
      <w:pPr>
        <w:pStyle w:val="SangriaFrancesaArticulo"/>
      </w:pPr>
      <w:r w:rsidRPr="00601EEA">
        <w:rPr>
          <w:rStyle w:val="TextoNormalNegritaCaracter"/>
        </w:rPr>
        <w:t>Artículo 494.</w:t>
      </w:r>
      <w:r w:rsidRPr="00601EEA">
        <w:rPr>
          <w:rStyle w:val="TextoNormalCaracter"/>
        </w:rPr>
        <w:t>-</w:t>
      </w:r>
      <w:r>
        <w:t xml:space="preserve"> Sentencia </w:t>
      </w:r>
      <w:hyperlink w:anchor="SENTENCIA_2024_2" w:history="1">
        <w:r w:rsidRPr="00601EEA">
          <w:rPr>
            <w:rStyle w:val="TextoNormalCaracter"/>
          </w:rPr>
          <w:t>2/2024</w:t>
        </w:r>
      </w:hyperlink>
      <w:r>
        <w:t>, f. 1.</w:t>
      </w:r>
    </w:p>
    <w:p w14:paraId="436E56EA" w14:textId="373A3101" w:rsidR="00601EEA" w:rsidRDefault="00601EEA" w:rsidP="00601EEA">
      <w:pPr>
        <w:pStyle w:val="SangriaFrancesaArticulo"/>
      </w:pPr>
      <w:r w:rsidRPr="00601EEA">
        <w:rPr>
          <w:rStyle w:val="TextoNormalNegritaCaracter"/>
        </w:rPr>
        <w:t>Artículo 562.</w:t>
      </w:r>
      <w:r w:rsidRPr="00601EEA">
        <w:rPr>
          <w:rStyle w:val="TextoNormalCaracter"/>
        </w:rPr>
        <w:t>-</w:t>
      </w:r>
      <w:r>
        <w:t xml:space="preserve"> Sentencia </w:t>
      </w:r>
      <w:hyperlink w:anchor="SENTENCIA_2024_27" w:history="1">
        <w:r w:rsidRPr="00601EEA">
          <w:rPr>
            <w:rStyle w:val="TextoNormalCaracter"/>
          </w:rPr>
          <w:t>27/2024</w:t>
        </w:r>
      </w:hyperlink>
      <w:r>
        <w:t>, f. 3.</w:t>
      </w:r>
    </w:p>
    <w:p w14:paraId="131FB2B0" w14:textId="5999D986" w:rsidR="00601EEA" w:rsidRDefault="00601EEA" w:rsidP="00601EEA">
      <w:pPr>
        <w:pStyle w:val="SangriaFrancesaArticulo"/>
      </w:pPr>
      <w:r w:rsidRPr="00601EEA">
        <w:rPr>
          <w:rStyle w:val="TextoNormalNegritaCaracter"/>
        </w:rPr>
        <w:t>Artículo 607.</w:t>
      </w:r>
      <w:r w:rsidRPr="00601EEA">
        <w:rPr>
          <w:rStyle w:val="TextoNormalCaracter"/>
        </w:rPr>
        <w:t>-</w:t>
      </w:r>
      <w:r>
        <w:t xml:space="preserve"> Auto </w:t>
      </w:r>
      <w:hyperlink w:anchor="AUTO_2024_20" w:history="1">
        <w:r w:rsidRPr="00601EEA">
          <w:rPr>
            <w:rStyle w:val="TextoNormalCaracter"/>
          </w:rPr>
          <w:t>20/2024</w:t>
        </w:r>
      </w:hyperlink>
      <w:r>
        <w:t>, ff. 1, 3 a 5.</w:t>
      </w:r>
    </w:p>
    <w:p w14:paraId="1E56CC3E" w14:textId="4D0BEFC9" w:rsidR="00601EEA" w:rsidRDefault="00601EEA" w:rsidP="00601EEA">
      <w:pPr>
        <w:pStyle w:val="SangriaFrancesaArticulo"/>
      </w:pPr>
      <w:r w:rsidRPr="00601EEA">
        <w:rPr>
          <w:rStyle w:val="TextoNormalNegritaCaracter"/>
        </w:rPr>
        <w:t>Artículo 608.</w:t>
      </w:r>
      <w:r w:rsidRPr="00601EEA">
        <w:rPr>
          <w:rStyle w:val="TextoNormalCaracter"/>
        </w:rPr>
        <w:t>-</w:t>
      </w:r>
      <w:r>
        <w:t xml:space="preserve"> Auto </w:t>
      </w:r>
      <w:hyperlink w:anchor="AUTO_2024_20" w:history="1">
        <w:r w:rsidRPr="00601EEA">
          <w:rPr>
            <w:rStyle w:val="TextoNormalCaracter"/>
          </w:rPr>
          <w:t>20/2024</w:t>
        </w:r>
      </w:hyperlink>
      <w:r>
        <w:t>, ff. 3 a 5.</w:t>
      </w:r>
    </w:p>
    <w:p w14:paraId="05E9F75D" w14:textId="5EF0D43D" w:rsidR="00601EEA" w:rsidRDefault="00601EEA" w:rsidP="00601EEA">
      <w:pPr>
        <w:pStyle w:val="SangriaFrancesaArticulo"/>
      </w:pPr>
      <w:r w:rsidRPr="00601EEA">
        <w:rPr>
          <w:rStyle w:val="TextoNormalNegritaCaracter"/>
        </w:rPr>
        <w:t>Artículo 685.</w:t>
      </w:r>
      <w:r w:rsidRPr="00601EEA">
        <w:rPr>
          <w:rStyle w:val="TextoNormalCaracter"/>
        </w:rPr>
        <w:t>-</w:t>
      </w:r>
      <w:r>
        <w:t xml:space="preserve"> Sentencias </w:t>
      </w:r>
      <w:hyperlink w:anchor="SENTENCIA_2024_27" w:history="1">
        <w:r w:rsidRPr="00601EEA">
          <w:rPr>
            <w:rStyle w:val="TextoNormalCaracter"/>
          </w:rPr>
          <w:t>27/2024</w:t>
        </w:r>
      </w:hyperlink>
      <w:r>
        <w:t xml:space="preserve">, f. 3; </w:t>
      </w:r>
      <w:hyperlink w:anchor="SENTENCIA_2024_38" w:history="1">
        <w:r w:rsidRPr="00601EEA">
          <w:rPr>
            <w:rStyle w:val="TextoNormalCaracter"/>
          </w:rPr>
          <w:t>38/2024</w:t>
        </w:r>
      </w:hyperlink>
      <w:r>
        <w:t>, f. 2.</w:t>
      </w:r>
    </w:p>
    <w:p w14:paraId="05656125" w14:textId="49764C21" w:rsidR="00601EEA" w:rsidRDefault="00601EEA" w:rsidP="00601EEA">
      <w:pPr>
        <w:pStyle w:val="SangriaFrancesaArticulo"/>
      </w:pPr>
      <w:r w:rsidRPr="00601EEA">
        <w:rPr>
          <w:rStyle w:val="TextoNormalNegritaCaracter"/>
        </w:rPr>
        <w:t>Artículo 686.</w:t>
      </w:r>
      <w:r w:rsidRPr="00601EEA">
        <w:rPr>
          <w:rStyle w:val="TextoNormalCaracter"/>
        </w:rPr>
        <w:t>-</w:t>
      </w:r>
      <w:r>
        <w:t xml:space="preserve"> Sentencia </w:t>
      </w:r>
      <w:hyperlink w:anchor="SENTENCIA_2024_12" w:history="1">
        <w:r w:rsidRPr="00601EEA">
          <w:rPr>
            <w:rStyle w:val="TextoNormalCaracter"/>
          </w:rPr>
          <w:t>12/2024</w:t>
        </w:r>
      </w:hyperlink>
      <w:r>
        <w:t>, f. 1.</w:t>
      </w:r>
    </w:p>
    <w:p w14:paraId="2B79F08D" w14:textId="2C83C0B2" w:rsidR="00601EEA" w:rsidRDefault="00601EEA" w:rsidP="00601EEA">
      <w:pPr>
        <w:pStyle w:val="SangriaFrancesaArticulo"/>
      </w:pPr>
      <w:r w:rsidRPr="00601EEA">
        <w:rPr>
          <w:rStyle w:val="TextoNormalNegritaCaracter"/>
        </w:rPr>
        <w:t>Artículo 686.2.</w:t>
      </w:r>
      <w:r w:rsidRPr="00601EEA">
        <w:rPr>
          <w:rStyle w:val="TextoNormalCaracter"/>
        </w:rPr>
        <w:t>-</w:t>
      </w:r>
      <w:r>
        <w:t xml:space="preserve"> Sentencia </w:t>
      </w:r>
      <w:hyperlink w:anchor="SENTENCIA_2024_12" w:history="1">
        <w:r w:rsidRPr="00601EEA">
          <w:rPr>
            <w:rStyle w:val="TextoNormalCaracter"/>
          </w:rPr>
          <w:t>12/2024</w:t>
        </w:r>
      </w:hyperlink>
      <w:r>
        <w:t>, f. 1.</w:t>
      </w:r>
    </w:p>
    <w:p w14:paraId="14F44557" w14:textId="6E412056" w:rsidR="00601EEA" w:rsidRDefault="00601EEA" w:rsidP="00601EEA">
      <w:pPr>
        <w:pStyle w:val="SangriaFrancesaArticulo"/>
      </w:pPr>
      <w:r w:rsidRPr="00601EEA">
        <w:rPr>
          <w:rStyle w:val="TextoNormalNegritaCaracter"/>
        </w:rPr>
        <w:t>Artículo 686.3.</w:t>
      </w:r>
      <w:r w:rsidRPr="00601EEA">
        <w:rPr>
          <w:rStyle w:val="TextoNormalCaracter"/>
        </w:rPr>
        <w:t>-</w:t>
      </w:r>
      <w:r>
        <w:t xml:space="preserve"> Sentencia </w:t>
      </w:r>
      <w:hyperlink w:anchor="SENTENCIA_2024_84" w:history="1">
        <w:r w:rsidRPr="00601EEA">
          <w:rPr>
            <w:rStyle w:val="TextoNormalCaracter"/>
          </w:rPr>
          <w:t>84/2024</w:t>
        </w:r>
      </w:hyperlink>
      <w:r>
        <w:t>, f. 2.</w:t>
      </w:r>
    </w:p>
    <w:p w14:paraId="7A8DE883" w14:textId="7EC7BD66" w:rsidR="00601EEA" w:rsidRDefault="00601EEA" w:rsidP="00601EEA">
      <w:pPr>
        <w:pStyle w:val="SangriaFrancesaArticulo"/>
      </w:pPr>
      <w:r w:rsidRPr="00601EEA">
        <w:rPr>
          <w:rStyle w:val="TextoNormalNegritaCaracter"/>
        </w:rPr>
        <w:t>Artículo 686.3</w:t>
      </w:r>
      <w:r>
        <w:t xml:space="preserve"> (redactado por la Ley 13/2009, de 3 de noviembre)</w:t>
      </w:r>
      <w:r w:rsidRPr="00601EEA">
        <w:rPr>
          <w:rStyle w:val="TextoNormalNegritaCaracter"/>
        </w:rPr>
        <w:t>.</w:t>
      </w:r>
      <w:r w:rsidRPr="00601EEA">
        <w:rPr>
          <w:rStyle w:val="TextoNormalCaracter"/>
        </w:rPr>
        <w:t>-</w:t>
      </w:r>
      <w:r>
        <w:t xml:space="preserve"> Sentencia </w:t>
      </w:r>
      <w:hyperlink w:anchor="SENTENCIA_2024_84" w:history="1">
        <w:r w:rsidRPr="00601EEA">
          <w:rPr>
            <w:rStyle w:val="TextoNormalCaracter"/>
          </w:rPr>
          <w:t>84/2024</w:t>
        </w:r>
      </w:hyperlink>
      <w:r>
        <w:t>, f. 2.</w:t>
      </w:r>
    </w:p>
    <w:p w14:paraId="089A1760" w14:textId="2C65EF77" w:rsidR="00601EEA" w:rsidRDefault="00601EEA" w:rsidP="00601EEA">
      <w:pPr>
        <w:pStyle w:val="SangriaFrancesaArticulo"/>
      </w:pPr>
      <w:r w:rsidRPr="00601EEA">
        <w:rPr>
          <w:rStyle w:val="TextoNormalNegritaCaracter"/>
        </w:rPr>
        <w:t>Artículo 686.3</w:t>
      </w:r>
      <w:r>
        <w:t xml:space="preserve"> (redactado por la Ley 19/2015, de 13 de julio)</w:t>
      </w:r>
      <w:r w:rsidRPr="00601EEA">
        <w:rPr>
          <w:rStyle w:val="TextoNormalNegritaCaracter"/>
        </w:rPr>
        <w:t>.</w:t>
      </w:r>
      <w:r w:rsidRPr="00601EEA">
        <w:rPr>
          <w:rStyle w:val="TextoNormalCaracter"/>
        </w:rPr>
        <w:t>-</w:t>
      </w:r>
      <w:r>
        <w:t xml:space="preserve"> Sentencia </w:t>
      </w:r>
      <w:hyperlink w:anchor="SENTENCIA_2024_84" w:history="1">
        <w:r w:rsidRPr="00601EEA">
          <w:rPr>
            <w:rStyle w:val="TextoNormalCaracter"/>
          </w:rPr>
          <w:t>84/2024</w:t>
        </w:r>
      </w:hyperlink>
      <w:r>
        <w:t>, f. 2.</w:t>
      </w:r>
    </w:p>
    <w:p w14:paraId="37F1C84C" w14:textId="5589D865" w:rsidR="00601EEA" w:rsidRDefault="00601EEA" w:rsidP="00601EEA">
      <w:pPr>
        <w:pStyle w:val="SangriaFrancesaArticulo"/>
      </w:pPr>
      <w:r w:rsidRPr="00601EEA">
        <w:rPr>
          <w:rStyle w:val="TextoNormalNegritaCaracter"/>
        </w:rPr>
        <w:t>disposición final decimosexta, apartado 1, regla 5.</w:t>
      </w:r>
      <w:r w:rsidRPr="00601EEA">
        <w:rPr>
          <w:rStyle w:val="TextoNormalCaracter"/>
        </w:rPr>
        <w:t>-</w:t>
      </w:r>
      <w:r>
        <w:t xml:space="preserve"> Sentencia </w:t>
      </w:r>
      <w:hyperlink w:anchor="SENTENCIA_2024_2" w:history="1">
        <w:r w:rsidRPr="00601EEA">
          <w:rPr>
            <w:rStyle w:val="TextoNormalCaracter"/>
          </w:rPr>
          <w:t>2/2024</w:t>
        </w:r>
      </w:hyperlink>
      <w:r>
        <w:t>, f. 1.</w:t>
      </w:r>
    </w:p>
    <w:p w14:paraId="70043138" w14:textId="6BE12914" w:rsidR="00601EEA" w:rsidRDefault="00601EEA" w:rsidP="00601EEA">
      <w:pPr>
        <w:pStyle w:val="SangriaFrancesaArticulo"/>
      </w:pPr>
    </w:p>
    <w:p w14:paraId="21FD7075" w14:textId="77777777" w:rsidR="00601EEA" w:rsidRDefault="00601EEA" w:rsidP="00601EEA">
      <w:pPr>
        <w:pStyle w:val="TextoNormalNegritaCursivandice"/>
        <w:keepNext/>
      </w:pPr>
      <w:r>
        <w:t>Ley 12/2002, de 23 de mayo, por la que se aprueba el concierto económico con la Comunidad Autónoma del País Vasco</w:t>
      </w:r>
    </w:p>
    <w:p w14:paraId="5C32AD2E" w14:textId="4E8BED5E"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19" w:history="1">
        <w:r w:rsidRPr="00601EEA">
          <w:rPr>
            <w:rStyle w:val="TextoNormalCaracter"/>
          </w:rPr>
          <w:t>19/2024</w:t>
        </w:r>
      </w:hyperlink>
      <w:r>
        <w:t>, f. 5.</w:t>
      </w:r>
    </w:p>
    <w:p w14:paraId="52CCD21B" w14:textId="16A53D70" w:rsidR="00601EEA" w:rsidRDefault="00601EEA" w:rsidP="00601EEA">
      <w:pPr>
        <w:pStyle w:val="SangriaFrancesaArticulo"/>
      </w:pPr>
    </w:p>
    <w:p w14:paraId="5D38159C" w14:textId="77777777" w:rsidR="00601EEA" w:rsidRDefault="00601EEA" w:rsidP="00601EEA">
      <w:pPr>
        <w:pStyle w:val="TextoNormalNegritaCursivandice"/>
        <w:keepNext/>
      </w:pPr>
      <w:r>
        <w:t>Ley 41/2002, de 14 de noviembre, básica reguladora de la autonomía del paciente y de derechos y obligaciones en materia de información y documentación clínica</w:t>
      </w:r>
    </w:p>
    <w:p w14:paraId="2C99E2D2" w14:textId="15B006B2"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Sentencias </w:t>
      </w:r>
      <w:hyperlink w:anchor="SENTENCIA_2024_24" w:history="1">
        <w:r w:rsidRPr="00601EEA">
          <w:rPr>
            <w:rStyle w:val="TextoNormalCaracter"/>
          </w:rPr>
          <w:t>24/2024</w:t>
        </w:r>
      </w:hyperlink>
      <w:r>
        <w:t xml:space="preserve">, f. 2; </w:t>
      </w:r>
      <w:hyperlink w:anchor="SENTENCIA_2024_29" w:history="1">
        <w:r w:rsidRPr="00601EEA">
          <w:rPr>
            <w:rStyle w:val="TextoNormalCaracter"/>
          </w:rPr>
          <w:t>29/2024</w:t>
        </w:r>
      </w:hyperlink>
      <w:r>
        <w:t xml:space="preserve">, f. 2; </w:t>
      </w:r>
      <w:hyperlink w:anchor="SENTENCIA_2024_92" w:history="1">
        <w:r w:rsidRPr="00601EEA">
          <w:rPr>
            <w:rStyle w:val="TextoNormalCaracter"/>
          </w:rPr>
          <w:t>92/2024</w:t>
        </w:r>
      </w:hyperlink>
      <w:r>
        <w:t>, ff. 6, 7, VP I, VP II, VP III, VP IV.</w:t>
      </w:r>
    </w:p>
    <w:p w14:paraId="28C1F69E" w14:textId="1BF047F9" w:rsidR="00601EEA" w:rsidRDefault="00601EEA" w:rsidP="00601EEA">
      <w:pPr>
        <w:pStyle w:val="SangriaFrancesaArticulo"/>
      </w:pPr>
      <w:r w:rsidRPr="00601EEA">
        <w:rPr>
          <w:rStyle w:val="TextoNormalNegritaCaracter"/>
        </w:rPr>
        <w:t>Artículo 4.</w:t>
      </w:r>
      <w:r w:rsidRPr="00601EEA">
        <w:rPr>
          <w:rStyle w:val="TextoNormalCaracter"/>
        </w:rPr>
        <w:t>-</w:t>
      </w:r>
      <w:r>
        <w:t xml:space="preserve"> Sentencia </w:t>
      </w:r>
      <w:hyperlink w:anchor="SENTENCIA_2024_92" w:history="1">
        <w:r w:rsidRPr="00601EEA">
          <w:rPr>
            <w:rStyle w:val="TextoNormalCaracter"/>
          </w:rPr>
          <w:t>92/2024</w:t>
        </w:r>
      </w:hyperlink>
      <w:r>
        <w:t>, f. 7.</w:t>
      </w:r>
    </w:p>
    <w:p w14:paraId="697E7F72" w14:textId="7FCBBABE" w:rsidR="00601EEA" w:rsidRDefault="00601EEA" w:rsidP="00601EEA">
      <w:pPr>
        <w:pStyle w:val="SangriaFrancesaArticulo"/>
      </w:pPr>
      <w:r w:rsidRPr="00601EEA">
        <w:rPr>
          <w:rStyle w:val="TextoNormalNegritaCaracter"/>
        </w:rPr>
        <w:t>Artículo 8.2.</w:t>
      </w:r>
      <w:r w:rsidRPr="00601EEA">
        <w:rPr>
          <w:rStyle w:val="TextoNormalCaracter"/>
        </w:rPr>
        <w:t>-</w:t>
      </w:r>
      <w:r>
        <w:t xml:space="preserve"> Sentencia </w:t>
      </w:r>
      <w:hyperlink w:anchor="SENTENCIA_2024_92" w:history="1">
        <w:r w:rsidRPr="00601EEA">
          <w:rPr>
            <w:rStyle w:val="TextoNormalCaracter"/>
          </w:rPr>
          <w:t>92/2024</w:t>
        </w:r>
      </w:hyperlink>
      <w:r>
        <w:t>, VP IV.</w:t>
      </w:r>
    </w:p>
    <w:p w14:paraId="2D195DF3" w14:textId="26B6ED8E" w:rsidR="00601EEA" w:rsidRDefault="00601EEA" w:rsidP="00601EEA">
      <w:pPr>
        <w:pStyle w:val="SangriaFrancesaArticulo"/>
      </w:pPr>
      <w:r w:rsidRPr="00601EEA">
        <w:rPr>
          <w:rStyle w:val="TextoNormalNegritaCaracter"/>
        </w:rPr>
        <w:t>Artículo 9.</w:t>
      </w:r>
      <w:r w:rsidRPr="00601EEA">
        <w:rPr>
          <w:rStyle w:val="TextoNormalCaracter"/>
        </w:rPr>
        <w:t>-</w:t>
      </w:r>
      <w:r>
        <w:t xml:space="preserve"> Sentencia </w:t>
      </w:r>
      <w:hyperlink w:anchor="SENTENCIA_2024_92" w:history="1">
        <w:r w:rsidRPr="00601EEA">
          <w:rPr>
            <w:rStyle w:val="TextoNormalCaracter"/>
          </w:rPr>
          <w:t>92/2024</w:t>
        </w:r>
      </w:hyperlink>
      <w:r>
        <w:t>, f. 6.</w:t>
      </w:r>
    </w:p>
    <w:p w14:paraId="0FB9E9AB" w14:textId="71F954B1" w:rsidR="00601EEA" w:rsidRDefault="00601EEA" w:rsidP="00601EEA">
      <w:pPr>
        <w:pStyle w:val="SangriaFrancesaArticulo"/>
      </w:pPr>
      <w:r w:rsidRPr="00601EEA">
        <w:rPr>
          <w:rStyle w:val="TextoNormalNegritaCaracter"/>
        </w:rPr>
        <w:t>Artículo 9.3.</w:t>
      </w:r>
      <w:r w:rsidRPr="00601EEA">
        <w:rPr>
          <w:rStyle w:val="TextoNormalCaracter"/>
        </w:rPr>
        <w:t>-</w:t>
      </w:r>
      <w:r>
        <w:t xml:space="preserve"> Sentencia </w:t>
      </w:r>
      <w:hyperlink w:anchor="SENTENCIA_2024_59" w:history="1">
        <w:r w:rsidRPr="00601EEA">
          <w:rPr>
            <w:rStyle w:val="TextoNormalCaracter"/>
          </w:rPr>
          <w:t>59/2024</w:t>
        </w:r>
      </w:hyperlink>
      <w:r>
        <w:t>, f. 3.</w:t>
      </w:r>
    </w:p>
    <w:p w14:paraId="13103046" w14:textId="45B981E3" w:rsidR="00601EEA" w:rsidRDefault="00601EEA" w:rsidP="00601EEA">
      <w:pPr>
        <w:pStyle w:val="SangriaFrancesaArticulo"/>
      </w:pPr>
      <w:r w:rsidRPr="00601EEA">
        <w:rPr>
          <w:rStyle w:val="TextoNormalNegritaCaracter"/>
        </w:rPr>
        <w:t>Artículo 9.3 c).</w:t>
      </w:r>
      <w:r w:rsidRPr="00601EEA">
        <w:rPr>
          <w:rStyle w:val="TextoNormalCaracter"/>
        </w:rPr>
        <w:t>-</w:t>
      </w:r>
      <w:r>
        <w:t xml:space="preserve"> Sentencias </w:t>
      </w:r>
      <w:hyperlink w:anchor="SENTENCIA_2024_5" w:history="1">
        <w:r w:rsidRPr="00601EEA">
          <w:rPr>
            <w:rStyle w:val="TextoNormalCaracter"/>
          </w:rPr>
          <w:t>5/2024</w:t>
        </w:r>
      </w:hyperlink>
      <w:r>
        <w:t xml:space="preserve">, f. 3; </w:t>
      </w:r>
      <w:hyperlink w:anchor="SENTENCIA_2024_6" w:history="1">
        <w:r w:rsidRPr="00601EEA">
          <w:rPr>
            <w:rStyle w:val="TextoNormalCaracter"/>
          </w:rPr>
          <w:t>6/2024</w:t>
        </w:r>
      </w:hyperlink>
      <w:r>
        <w:t xml:space="preserve">, f. 3; </w:t>
      </w:r>
      <w:hyperlink w:anchor="SENTENCIA_2024_13" w:history="1">
        <w:r w:rsidRPr="00601EEA">
          <w:rPr>
            <w:rStyle w:val="TextoNormalCaracter"/>
          </w:rPr>
          <w:t>13/2024</w:t>
        </w:r>
      </w:hyperlink>
      <w:r>
        <w:t xml:space="preserve">, f. 3; </w:t>
      </w:r>
      <w:hyperlink w:anchor="SENTENCIA_2024_14" w:history="1">
        <w:r w:rsidRPr="00601EEA">
          <w:rPr>
            <w:rStyle w:val="TextoNormalCaracter"/>
          </w:rPr>
          <w:t>14/2024</w:t>
        </w:r>
      </w:hyperlink>
      <w:r>
        <w:t xml:space="preserve">, f. 4; </w:t>
      </w:r>
      <w:hyperlink w:anchor="SENTENCIA_2024_24" w:history="1">
        <w:r w:rsidRPr="00601EEA">
          <w:rPr>
            <w:rStyle w:val="TextoNormalCaracter"/>
          </w:rPr>
          <w:t>24/2024</w:t>
        </w:r>
      </w:hyperlink>
      <w:r>
        <w:t xml:space="preserve">, f. 3; </w:t>
      </w:r>
      <w:hyperlink w:anchor="SENTENCIA_2024_41" w:history="1">
        <w:r w:rsidRPr="00601EEA">
          <w:rPr>
            <w:rStyle w:val="TextoNormalCaracter"/>
          </w:rPr>
          <w:t>41/2024</w:t>
        </w:r>
      </w:hyperlink>
      <w:r>
        <w:t xml:space="preserve">, f. 3; </w:t>
      </w:r>
      <w:hyperlink w:anchor="SENTENCIA_2024_56" w:history="1">
        <w:r w:rsidRPr="00601EEA">
          <w:rPr>
            <w:rStyle w:val="TextoNormalCaracter"/>
          </w:rPr>
          <w:t>56/2024</w:t>
        </w:r>
      </w:hyperlink>
      <w:r>
        <w:t xml:space="preserve">, f. 3; </w:t>
      </w:r>
      <w:hyperlink w:anchor="SENTENCIA_2024_58" w:history="1">
        <w:r w:rsidRPr="00601EEA">
          <w:rPr>
            <w:rStyle w:val="TextoNormalCaracter"/>
          </w:rPr>
          <w:t>58/2024</w:t>
        </w:r>
      </w:hyperlink>
      <w:r>
        <w:t xml:space="preserve">, f. 3; </w:t>
      </w:r>
      <w:hyperlink w:anchor="SENTENCIA_2024_60" w:history="1">
        <w:r w:rsidRPr="00601EEA">
          <w:rPr>
            <w:rStyle w:val="TextoNormalCaracter"/>
          </w:rPr>
          <w:t>60/2024</w:t>
        </w:r>
      </w:hyperlink>
      <w:r>
        <w:t xml:space="preserve">, f. 3; </w:t>
      </w:r>
      <w:hyperlink w:anchor="SENTENCIA_2024_83" w:history="1">
        <w:r w:rsidRPr="00601EEA">
          <w:rPr>
            <w:rStyle w:val="TextoNormalCaracter"/>
          </w:rPr>
          <w:t>83/2024</w:t>
        </w:r>
      </w:hyperlink>
      <w:r>
        <w:t xml:space="preserve">, f. 3; </w:t>
      </w:r>
      <w:hyperlink w:anchor="SENTENCIA_2024_92" w:history="1">
        <w:r w:rsidRPr="00601EEA">
          <w:rPr>
            <w:rStyle w:val="TextoNormalCaracter"/>
          </w:rPr>
          <w:t>92/2024</w:t>
        </w:r>
      </w:hyperlink>
      <w:r>
        <w:t>, f. 6.</w:t>
      </w:r>
    </w:p>
    <w:p w14:paraId="381F8DF8" w14:textId="2BC6611F" w:rsidR="00601EEA" w:rsidRDefault="00601EEA" w:rsidP="00601EEA">
      <w:pPr>
        <w:pStyle w:val="SangriaFrancesaArticulo"/>
      </w:pPr>
      <w:r w:rsidRPr="00601EEA">
        <w:rPr>
          <w:rStyle w:val="TextoNormalNegritaCaracter"/>
        </w:rPr>
        <w:t>Artículo 9.4.</w:t>
      </w:r>
      <w:r w:rsidRPr="00601EEA">
        <w:rPr>
          <w:rStyle w:val="TextoNormalCaracter"/>
        </w:rPr>
        <w:t>-</w:t>
      </w:r>
      <w:r>
        <w:t xml:space="preserve"> Sentencia </w:t>
      </w:r>
      <w:hyperlink w:anchor="SENTENCIA_2024_92" w:history="1">
        <w:r w:rsidRPr="00601EEA">
          <w:rPr>
            <w:rStyle w:val="TextoNormalCaracter"/>
          </w:rPr>
          <w:t>92/2024</w:t>
        </w:r>
      </w:hyperlink>
      <w:r>
        <w:t>, f. 6.</w:t>
      </w:r>
    </w:p>
    <w:p w14:paraId="1D7156E5" w14:textId="38360F37" w:rsidR="00601EEA" w:rsidRDefault="00601EEA" w:rsidP="00601EEA">
      <w:pPr>
        <w:pStyle w:val="SangriaFrancesaArticulo"/>
      </w:pPr>
      <w:r w:rsidRPr="00601EEA">
        <w:rPr>
          <w:rStyle w:val="TextoNormalNegritaCaracter"/>
        </w:rPr>
        <w:t>Artículo 9.5.</w:t>
      </w:r>
      <w:r w:rsidRPr="00601EEA">
        <w:rPr>
          <w:rStyle w:val="TextoNormalCaracter"/>
        </w:rPr>
        <w:t>-</w:t>
      </w:r>
      <w:r>
        <w:t xml:space="preserve"> Sentencia </w:t>
      </w:r>
      <w:hyperlink w:anchor="SENTENCIA_2024_92" w:history="1">
        <w:r w:rsidRPr="00601EEA">
          <w:rPr>
            <w:rStyle w:val="TextoNormalCaracter"/>
          </w:rPr>
          <w:t>92/2024</w:t>
        </w:r>
      </w:hyperlink>
      <w:r>
        <w:t>, f. 6, VP III.</w:t>
      </w:r>
    </w:p>
    <w:p w14:paraId="1F02E62A" w14:textId="19FEC766" w:rsidR="00601EEA" w:rsidRDefault="00601EEA" w:rsidP="00601EEA">
      <w:pPr>
        <w:pStyle w:val="SangriaFrancesaArticulo"/>
      </w:pPr>
      <w:r w:rsidRPr="00601EEA">
        <w:rPr>
          <w:rStyle w:val="TextoNormalNegritaCaracter"/>
        </w:rPr>
        <w:t>Artículo 9.6.</w:t>
      </w:r>
      <w:r w:rsidRPr="00601EEA">
        <w:rPr>
          <w:rStyle w:val="TextoNormalCaracter"/>
        </w:rPr>
        <w:t>-</w:t>
      </w:r>
      <w:r>
        <w:t xml:space="preserve"> Sentencias </w:t>
      </w:r>
      <w:hyperlink w:anchor="SENTENCIA_2024_4" w:history="1">
        <w:r w:rsidRPr="00601EEA">
          <w:rPr>
            <w:rStyle w:val="TextoNormalCaracter"/>
          </w:rPr>
          <w:t>4/2024</w:t>
        </w:r>
      </w:hyperlink>
      <w:r>
        <w:t xml:space="preserve">, ff. 2, 3; </w:t>
      </w:r>
      <w:hyperlink w:anchor="SENTENCIA_2024_71" w:history="1">
        <w:r w:rsidRPr="00601EEA">
          <w:rPr>
            <w:rStyle w:val="TextoNormalCaracter"/>
          </w:rPr>
          <w:t>71/2024</w:t>
        </w:r>
      </w:hyperlink>
      <w:r>
        <w:t>, f. único.</w:t>
      </w:r>
    </w:p>
    <w:p w14:paraId="43B6E7BF" w14:textId="780237AA" w:rsidR="00601EEA" w:rsidRDefault="00601EEA" w:rsidP="00601EEA">
      <w:pPr>
        <w:pStyle w:val="SangriaFrancesaArticulo"/>
      </w:pPr>
      <w:r w:rsidRPr="00601EEA">
        <w:rPr>
          <w:rStyle w:val="TextoNormalNegritaCaracter"/>
        </w:rPr>
        <w:t>Artículo 10.</w:t>
      </w:r>
      <w:r w:rsidRPr="00601EEA">
        <w:rPr>
          <w:rStyle w:val="TextoNormalCaracter"/>
        </w:rPr>
        <w:t>-</w:t>
      </w:r>
      <w:r>
        <w:t xml:space="preserve"> Sentencia </w:t>
      </w:r>
      <w:hyperlink w:anchor="SENTENCIA_2024_92" w:history="1">
        <w:r w:rsidRPr="00601EEA">
          <w:rPr>
            <w:rStyle w:val="TextoNormalCaracter"/>
          </w:rPr>
          <w:t>92/2024</w:t>
        </w:r>
      </w:hyperlink>
      <w:r>
        <w:t>, f. 7.</w:t>
      </w:r>
    </w:p>
    <w:p w14:paraId="691FF7A1" w14:textId="3A211501" w:rsidR="00601EEA" w:rsidRDefault="00601EEA" w:rsidP="00601EEA">
      <w:pPr>
        <w:pStyle w:val="SangriaFrancesaArticulo"/>
      </w:pPr>
      <w:r w:rsidRPr="00601EEA">
        <w:rPr>
          <w:rStyle w:val="TextoNormalNegritaCaracter"/>
        </w:rPr>
        <w:t>Artículo 11.</w:t>
      </w:r>
      <w:r w:rsidRPr="00601EEA">
        <w:rPr>
          <w:rStyle w:val="TextoNormalCaracter"/>
        </w:rPr>
        <w:t>-</w:t>
      </w:r>
      <w:r>
        <w:t xml:space="preserve"> Sentencia </w:t>
      </w:r>
      <w:hyperlink w:anchor="SENTENCIA_2024_92" w:history="1">
        <w:r w:rsidRPr="00601EEA">
          <w:rPr>
            <w:rStyle w:val="TextoNormalCaracter"/>
          </w:rPr>
          <w:t>92/2024</w:t>
        </w:r>
      </w:hyperlink>
      <w:r>
        <w:t>, f. 6.</w:t>
      </w:r>
    </w:p>
    <w:p w14:paraId="12C4BB31" w14:textId="204DF0EA" w:rsidR="00601EEA" w:rsidRDefault="00601EEA" w:rsidP="00601EEA">
      <w:pPr>
        <w:pStyle w:val="SangriaFrancesaArticulo"/>
      </w:pPr>
    </w:p>
    <w:p w14:paraId="666B90E1" w14:textId="77777777" w:rsidR="00601EEA" w:rsidRDefault="00601EEA" w:rsidP="00601EEA">
      <w:pPr>
        <w:pStyle w:val="TextoNormalNegritaCursivandice"/>
        <w:keepNext/>
      </w:pPr>
      <w:r>
        <w:t>Ley 14/2003, de 26 de mayo, de modificación de la Ley 50/1981, de 30 de diciembre, por la que se regula el Estatuto orgánico del Ministerio Fiscal</w:t>
      </w:r>
    </w:p>
    <w:p w14:paraId="001A093F" w14:textId="231179AC"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87" w:history="1">
        <w:r w:rsidRPr="00601EEA">
          <w:rPr>
            <w:rStyle w:val="TextoNormalCaracter"/>
          </w:rPr>
          <w:t>87/2024</w:t>
        </w:r>
      </w:hyperlink>
      <w:r>
        <w:t>, VP III.</w:t>
      </w:r>
    </w:p>
    <w:p w14:paraId="2C348FF3" w14:textId="77833876" w:rsidR="00601EEA" w:rsidRDefault="00601EEA" w:rsidP="00601EEA">
      <w:pPr>
        <w:pStyle w:val="SangriaFrancesaArticulo"/>
      </w:pPr>
    </w:p>
    <w:p w14:paraId="52C22385" w14:textId="77777777" w:rsidR="00601EEA" w:rsidRDefault="00601EEA" w:rsidP="00601EEA">
      <w:pPr>
        <w:pStyle w:val="TextoNormalNegritaCursivandice"/>
        <w:keepNext/>
      </w:pPr>
      <w:r>
        <w:t>Ley 30/2003, de 13 de octubre, sobre medidas para incorporar la valoración del impacto de género en las disposiciones normativas que elabore el Gobierno</w:t>
      </w:r>
    </w:p>
    <w:p w14:paraId="77A3591C" w14:textId="49B1D997"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89" w:history="1">
        <w:r w:rsidRPr="00601EEA">
          <w:rPr>
            <w:rStyle w:val="TextoNormalCaracter"/>
          </w:rPr>
          <w:t>89/2024</w:t>
        </w:r>
      </w:hyperlink>
      <w:r>
        <w:t>, f. 2.</w:t>
      </w:r>
    </w:p>
    <w:p w14:paraId="3D468658" w14:textId="559CB39C" w:rsidR="00601EEA" w:rsidRDefault="00601EEA" w:rsidP="00601EEA">
      <w:pPr>
        <w:pStyle w:val="SangriaFrancesaArticulo"/>
      </w:pPr>
    </w:p>
    <w:p w14:paraId="7BF8C353" w14:textId="77777777" w:rsidR="00601EEA" w:rsidRDefault="00601EEA" w:rsidP="00601EEA">
      <w:pPr>
        <w:pStyle w:val="TextoNormalNegritaCursivandice"/>
        <w:keepNext/>
      </w:pPr>
      <w:r>
        <w:t>Ley 38/2003, de 17 de noviembre, general de subvenciones</w:t>
      </w:r>
    </w:p>
    <w:p w14:paraId="5F35C0BF" w14:textId="7FA78109"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93" w:history="1">
        <w:r w:rsidRPr="00601EEA">
          <w:rPr>
            <w:rStyle w:val="TextoNormalCaracter"/>
          </w:rPr>
          <w:t>93/2024</w:t>
        </w:r>
      </w:hyperlink>
      <w:r>
        <w:t>, VP I, VP II.</w:t>
      </w:r>
    </w:p>
    <w:p w14:paraId="31F605C6" w14:textId="4648501A" w:rsidR="00601EEA" w:rsidRDefault="00601EEA" w:rsidP="00601EEA">
      <w:pPr>
        <w:pStyle w:val="SangriaFrancesaArticulo"/>
      </w:pPr>
    </w:p>
    <w:p w14:paraId="317A3A43" w14:textId="77777777" w:rsidR="00601EEA" w:rsidRDefault="00601EEA" w:rsidP="00601EEA">
      <w:pPr>
        <w:pStyle w:val="TextoNormalNegritaCursivandice"/>
        <w:keepNext/>
      </w:pPr>
      <w:r>
        <w:t>Ley 42/2003, de 21 de noviembre, de modificación del Código civil y de la Ley de enjuiciamiento civil en materia de relaciones familiares de los nietos con los abuelos</w:t>
      </w:r>
    </w:p>
    <w:p w14:paraId="5DAAFB54" w14:textId="05CF7748"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53" w:history="1">
        <w:r w:rsidRPr="00601EEA">
          <w:rPr>
            <w:rStyle w:val="TextoNormalCaracter"/>
          </w:rPr>
          <w:t>53/2024</w:t>
        </w:r>
      </w:hyperlink>
      <w:r>
        <w:t>, f. 4.</w:t>
      </w:r>
    </w:p>
    <w:p w14:paraId="34F4A9A6" w14:textId="291D21EB" w:rsidR="00601EEA" w:rsidRDefault="00601EEA" w:rsidP="00601EEA">
      <w:pPr>
        <w:pStyle w:val="SangriaFrancesaArticulo"/>
      </w:pPr>
    </w:p>
    <w:p w14:paraId="473F781F" w14:textId="77777777" w:rsidR="00601EEA" w:rsidRDefault="00601EEA" w:rsidP="00601EEA">
      <w:pPr>
        <w:pStyle w:val="TextoNormalNegritaCursivandice"/>
        <w:keepNext/>
      </w:pPr>
      <w:r>
        <w:t>Ley 3/2003, de 23 de noviembre, de patrimonio de las administraciones públicas</w:t>
      </w:r>
    </w:p>
    <w:p w14:paraId="55320998" w14:textId="1B6F7CF9"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68" w:history="1">
        <w:r w:rsidRPr="00601EEA">
          <w:rPr>
            <w:rStyle w:val="TextoNormalCaracter"/>
          </w:rPr>
          <w:t>68/2024</w:t>
        </w:r>
      </w:hyperlink>
      <w:r>
        <w:t>, f. 8.</w:t>
      </w:r>
    </w:p>
    <w:p w14:paraId="48DBB4BE" w14:textId="0B64CB39" w:rsidR="00601EEA" w:rsidRDefault="00601EEA" w:rsidP="00601EEA">
      <w:pPr>
        <w:pStyle w:val="SangriaFrancesaArticulo"/>
      </w:pPr>
      <w:r w:rsidRPr="00601EEA">
        <w:rPr>
          <w:rStyle w:val="TextoNormalNegritaCaracter"/>
        </w:rPr>
        <w:t>Artículo 85.</w:t>
      </w:r>
      <w:r w:rsidRPr="00601EEA">
        <w:rPr>
          <w:rStyle w:val="TextoNormalCaracter"/>
        </w:rPr>
        <w:t>-</w:t>
      </w:r>
      <w:r>
        <w:t xml:space="preserve"> Sentencia </w:t>
      </w:r>
      <w:hyperlink w:anchor="SENTENCIA_2024_68" w:history="1">
        <w:r w:rsidRPr="00601EEA">
          <w:rPr>
            <w:rStyle w:val="TextoNormalCaracter"/>
          </w:rPr>
          <w:t>68/2024</w:t>
        </w:r>
      </w:hyperlink>
      <w:r>
        <w:t>, f. 8.</w:t>
      </w:r>
    </w:p>
    <w:p w14:paraId="2A67EE36" w14:textId="3FFACDD5" w:rsidR="00601EEA" w:rsidRDefault="00601EEA" w:rsidP="00601EEA">
      <w:pPr>
        <w:pStyle w:val="SangriaFrancesaArticulo"/>
      </w:pPr>
      <w:r w:rsidRPr="00601EEA">
        <w:rPr>
          <w:rStyle w:val="TextoNormalNegritaCaracter"/>
        </w:rPr>
        <w:t>Artículo 85.2.</w:t>
      </w:r>
      <w:r w:rsidRPr="00601EEA">
        <w:rPr>
          <w:rStyle w:val="TextoNormalCaracter"/>
        </w:rPr>
        <w:t>-</w:t>
      </w:r>
      <w:r>
        <w:t xml:space="preserve"> Sentencia </w:t>
      </w:r>
      <w:hyperlink w:anchor="SENTENCIA_2024_68" w:history="1">
        <w:r w:rsidRPr="00601EEA">
          <w:rPr>
            <w:rStyle w:val="TextoNormalCaracter"/>
          </w:rPr>
          <w:t>68/2024</w:t>
        </w:r>
      </w:hyperlink>
      <w:r>
        <w:t>, f. 8.</w:t>
      </w:r>
    </w:p>
    <w:p w14:paraId="365B8989" w14:textId="114F0F76" w:rsidR="00601EEA" w:rsidRDefault="00601EEA" w:rsidP="00601EEA">
      <w:pPr>
        <w:pStyle w:val="SangriaFrancesaArticulo"/>
      </w:pPr>
      <w:r w:rsidRPr="00601EEA">
        <w:rPr>
          <w:rStyle w:val="TextoNormalNegritaCaracter"/>
        </w:rPr>
        <w:t>Artículo 85.3.</w:t>
      </w:r>
      <w:r w:rsidRPr="00601EEA">
        <w:rPr>
          <w:rStyle w:val="TextoNormalCaracter"/>
        </w:rPr>
        <w:t>-</w:t>
      </w:r>
      <w:r>
        <w:t xml:space="preserve"> Sentencia </w:t>
      </w:r>
      <w:hyperlink w:anchor="SENTENCIA_2024_68" w:history="1">
        <w:r w:rsidRPr="00601EEA">
          <w:rPr>
            <w:rStyle w:val="TextoNormalCaracter"/>
          </w:rPr>
          <w:t>68/2024</w:t>
        </w:r>
      </w:hyperlink>
      <w:r>
        <w:t>, f. 8.</w:t>
      </w:r>
    </w:p>
    <w:p w14:paraId="783997BF" w14:textId="547F653C" w:rsidR="00601EEA" w:rsidRDefault="00601EEA" w:rsidP="00601EEA">
      <w:pPr>
        <w:pStyle w:val="SangriaFrancesaArticulo"/>
      </w:pPr>
    </w:p>
    <w:p w14:paraId="1BE52B2E" w14:textId="77777777" w:rsidR="00601EEA" w:rsidRDefault="00601EEA" w:rsidP="00601EEA">
      <w:pPr>
        <w:pStyle w:val="TextoNormalNegritaCursivandice"/>
        <w:keepNext/>
      </w:pPr>
      <w:r>
        <w:t>Ley 47/2003, de 26 de noviembre, general presupuestaria</w:t>
      </w:r>
    </w:p>
    <w:p w14:paraId="7AE0F339" w14:textId="0042928C" w:rsidR="00601EEA" w:rsidRDefault="00601EEA" w:rsidP="00601EEA">
      <w:pPr>
        <w:pStyle w:val="SangriaFrancesaArticulo"/>
      </w:pPr>
      <w:r w:rsidRPr="00601EEA">
        <w:rPr>
          <w:rStyle w:val="TextoNormalNegritaCaracter"/>
        </w:rPr>
        <w:t>Artículo 37.</w:t>
      </w:r>
      <w:r w:rsidRPr="00601EEA">
        <w:rPr>
          <w:rStyle w:val="TextoNormalCaracter"/>
        </w:rPr>
        <w:t>-</w:t>
      </w:r>
      <w:r>
        <w:t xml:space="preserve"> Sentencia </w:t>
      </w:r>
      <w:hyperlink w:anchor="SENTENCIA_2024_93" w:history="1">
        <w:r w:rsidRPr="00601EEA">
          <w:rPr>
            <w:rStyle w:val="TextoNormalCaracter"/>
          </w:rPr>
          <w:t>93/2024</w:t>
        </w:r>
      </w:hyperlink>
      <w:r>
        <w:t>, VP I.</w:t>
      </w:r>
    </w:p>
    <w:p w14:paraId="0869E75A" w14:textId="61DD1E51" w:rsidR="00601EEA" w:rsidRDefault="00601EEA" w:rsidP="00601EEA">
      <w:pPr>
        <w:pStyle w:val="SangriaFrancesaArticulo"/>
      </w:pPr>
    </w:p>
    <w:p w14:paraId="74C06C47" w14:textId="77777777" w:rsidR="00601EEA" w:rsidRDefault="00601EEA" w:rsidP="00601EEA">
      <w:pPr>
        <w:pStyle w:val="TextoNormalNegritaCursivandice"/>
        <w:keepNext/>
      </w:pPr>
      <w:r>
        <w:lastRenderedPageBreak/>
        <w:t>Ley 56/2003, de 16 de diciembre. Empleo</w:t>
      </w:r>
    </w:p>
    <w:p w14:paraId="536D9ED8" w14:textId="0E868520" w:rsidR="00601EEA" w:rsidRDefault="00601EEA" w:rsidP="00601EEA">
      <w:pPr>
        <w:pStyle w:val="SangriaFrancesaArticulo"/>
      </w:pPr>
      <w:r w:rsidRPr="00601EEA">
        <w:rPr>
          <w:rStyle w:val="TextoNormalNegritaCaracter"/>
        </w:rPr>
        <w:t>Artículo 26.</w:t>
      </w:r>
      <w:r w:rsidRPr="00601EEA">
        <w:rPr>
          <w:rStyle w:val="TextoNormalCaracter"/>
        </w:rPr>
        <w:t>-</w:t>
      </w:r>
      <w:r>
        <w:t xml:space="preserve"> Sentencia </w:t>
      </w:r>
      <w:hyperlink w:anchor="SENTENCIA_2024_63" w:history="1">
        <w:r w:rsidRPr="00601EEA">
          <w:rPr>
            <w:rStyle w:val="TextoNormalCaracter"/>
          </w:rPr>
          <w:t>63/2024</w:t>
        </w:r>
      </w:hyperlink>
      <w:r>
        <w:t>, ff. 2, 5.</w:t>
      </w:r>
    </w:p>
    <w:p w14:paraId="175BC3CC" w14:textId="2D0A6480" w:rsidR="00601EEA" w:rsidRDefault="00601EEA" w:rsidP="00601EEA">
      <w:pPr>
        <w:pStyle w:val="SangriaFrancesaArticulo"/>
      </w:pPr>
      <w:r w:rsidRPr="00601EEA">
        <w:rPr>
          <w:rStyle w:val="TextoNormalNegritaCaracter"/>
        </w:rPr>
        <w:t>Artículo 26, apartado tercero.</w:t>
      </w:r>
      <w:r w:rsidRPr="00601EEA">
        <w:rPr>
          <w:rStyle w:val="TextoNormalCaracter"/>
        </w:rPr>
        <w:t>-</w:t>
      </w:r>
      <w:r>
        <w:t xml:space="preserve"> Sentencia </w:t>
      </w:r>
      <w:hyperlink w:anchor="SENTENCIA_2024_63" w:history="1">
        <w:r w:rsidRPr="00601EEA">
          <w:rPr>
            <w:rStyle w:val="TextoNormalCaracter"/>
          </w:rPr>
          <w:t>63/2024</w:t>
        </w:r>
      </w:hyperlink>
      <w:r>
        <w:t>, f. 3.</w:t>
      </w:r>
    </w:p>
    <w:p w14:paraId="607EA2C0" w14:textId="32DBA031" w:rsidR="00601EEA" w:rsidRDefault="00601EEA" w:rsidP="00601EEA">
      <w:pPr>
        <w:pStyle w:val="SangriaFrancesaArticulo"/>
      </w:pPr>
      <w:r w:rsidRPr="00601EEA">
        <w:rPr>
          <w:rStyle w:val="TextoNormalNegritaCaracter"/>
        </w:rPr>
        <w:t>Artículo 26.2.</w:t>
      </w:r>
      <w:r w:rsidRPr="00601EEA">
        <w:rPr>
          <w:rStyle w:val="TextoNormalCaracter"/>
        </w:rPr>
        <w:t>-</w:t>
      </w:r>
      <w:r>
        <w:t xml:space="preserve"> Sentencia </w:t>
      </w:r>
      <w:hyperlink w:anchor="SENTENCIA_2024_63" w:history="1">
        <w:r w:rsidRPr="00601EEA">
          <w:rPr>
            <w:rStyle w:val="TextoNormalCaracter"/>
          </w:rPr>
          <w:t>63/2024</w:t>
        </w:r>
      </w:hyperlink>
      <w:r>
        <w:t>, f. 5.</w:t>
      </w:r>
    </w:p>
    <w:p w14:paraId="14F95C3B" w14:textId="44AF16AD" w:rsidR="00601EEA" w:rsidRDefault="00601EEA" w:rsidP="00601EEA">
      <w:pPr>
        <w:pStyle w:val="SangriaFrancesaArticulo"/>
      </w:pPr>
      <w:r w:rsidRPr="00601EEA">
        <w:rPr>
          <w:rStyle w:val="TextoNormalNegritaCaracter"/>
        </w:rPr>
        <w:t>Artículo 26.3.</w:t>
      </w:r>
      <w:r w:rsidRPr="00601EEA">
        <w:rPr>
          <w:rStyle w:val="TextoNormalCaracter"/>
        </w:rPr>
        <w:t>-</w:t>
      </w:r>
      <w:r>
        <w:t xml:space="preserve"> Sentencia </w:t>
      </w:r>
      <w:hyperlink w:anchor="SENTENCIA_2024_63" w:history="1">
        <w:r w:rsidRPr="00601EEA">
          <w:rPr>
            <w:rStyle w:val="TextoNormalCaracter"/>
          </w:rPr>
          <w:t>63/2024</w:t>
        </w:r>
      </w:hyperlink>
      <w:r>
        <w:t>, f. 5.</w:t>
      </w:r>
    </w:p>
    <w:p w14:paraId="1189B5D3" w14:textId="2462C97F" w:rsidR="00601EEA" w:rsidRDefault="00601EEA" w:rsidP="00601EEA">
      <w:pPr>
        <w:pStyle w:val="SangriaFrancesaArticulo"/>
      </w:pPr>
      <w:r w:rsidRPr="00601EEA">
        <w:rPr>
          <w:rStyle w:val="TextoNormalNegritaCaracter"/>
        </w:rPr>
        <w:t>Artículo 26.4.</w:t>
      </w:r>
      <w:r w:rsidRPr="00601EEA">
        <w:rPr>
          <w:rStyle w:val="TextoNormalCaracter"/>
        </w:rPr>
        <w:t>-</w:t>
      </w:r>
      <w:r>
        <w:t xml:space="preserve"> Sentencia </w:t>
      </w:r>
      <w:hyperlink w:anchor="SENTENCIA_2024_63" w:history="1">
        <w:r w:rsidRPr="00601EEA">
          <w:rPr>
            <w:rStyle w:val="TextoNormalCaracter"/>
          </w:rPr>
          <w:t>63/2024</w:t>
        </w:r>
      </w:hyperlink>
      <w:r>
        <w:t>, f. 5.</w:t>
      </w:r>
    </w:p>
    <w:p w14:paraId="51D66273" w14:textId="288BAD72" w:rsidR="00601EEA" w:rsidRDefault="00601EEA" w:rsidP="00601EEA">
      <w:pPr>
        <w:pStyle w:val="SangriaFrancesaArticulo"/>
      </w:pPr>
    </w:p>
    <w:p w14:paraId="56AED8D9" w14:textId="77777777" w:rsidR="00601EEA" w:rsidRDefault="00601EEA" w:rsidP="00601EEA">
      <w:pPr>
        <w:pStyle w:val="TextoNormalNegritaCursivandice"/>
        <w:keepNext/>
      </w:pPr>
      <w:r>
        <w:t>Ley 14/2006, de 26 de mayo, sobre técnicas de reproducción humana asistida</w:t>
      </w:r>
    </w:p>
    <w:p w14:paraId="3EEDC8E3" w14:textId="4D9FEFAB" w:rsidR="00601EEA" w:rsidRDefault="00601EEA" w:rsidP="00601EEA">
      <w:pPr>
        <w:pStyle w:val="SangriaFrancesaArticulo"/>
      </w:pPr>
      <w:r w:rsidRPr="00601EEA">
        <w:rPr>
          <w:rStyle w:val="TextoNormalNegritaCaracter"/>
        </w:rPr>
        <w:t>Artículo 10.</w:t>
      </w:r>
      <w:r w:rsidRPr="00601EEA">
        <w:rPr>
          <w:rStyle w:val="TextoNormalCaracter"/>
        </w:rPr>
        <w:t>-</w:t>
      </w:r>
      <w:r>
        <w:t xml:space="preserve"> Sentencia </w:t>
      </w:r>
      <w:hyperlink w:anchor="SENTENCIA_2024_28" w:history="1">
        <w:r w:rsidRPr="00601EEA">
          <w:rPr>
            <w:rStyle w:val="TextoNormalCaracter"/>
          </w:rPr>
          <w:t>28/2024</w:t>
        </w:r>
      </w:hyperlink>
      <w:r>
        <w:t>, f. 1, VP.</w:t>
      </w:r>
    </w:p>
    <w:p w14:paraId="18B4ABAC" w14:textId="429025B6" w:rsidR="00601EEA" w:rsidRDefault="00601EEA" w:rsidP="00601EEA">
      <w:pPr>
        <w:pStyle w:val="SangriaFrancesaArticulo"/>
      </w:pPr>
      <w:r w:rsidRPr="00601EEA">
        <w:rPr>
          <w:rStyle w:val="TextoNormalNegritaCaracter"/>
        </w:rPr>
        <w:t>Artículo 10.1.</w:t>
      </w:r>
      <w:r w:rsidRPr="00601EEA">
        <w:rPr>
          <w:rStyle w:val="TextoNormalCaracter"/>
        </w:rPr>
        <w:t>-</w:t>
      </w:r>
      <w:r>
        <w:t xml:space="preserve"> Sentencia </w:t>
      </w:r>
      <w:hyperlink w:anchor="SENTENCIA_2024_28" w:history="1">
        <w:r w:rsidRPr="00601EEA">
          <w:rPr>
            <w:rStyle w:val="TextoNormalCaracter"/>
          </w:rPr>
          <w:t>28/2024</w:t>
        </w:r>
      </w:hyperlink>
      <w:r>
        <w:t>, f. 6.</w:t>
      </w:r>
    </w:p>
    <w:p w14:paraId="164339FE" w14:textId="1C18D723" w:rsidR="00601EEA" w:rsidRDefault="00601EEA" w:rsidP="00601EEA">
      <w:pPr>
        <w:pStyle w:val="SangriaFrancesaArticulo"/>
      </w:pPr>
      <w:r w:rsidRPr="00601EEA">
        <w:rPr>
          <w:rStyle w:val="TextoNormalNegritaCaracter"/>
        </w:rPr>
        <w:t>Artículo 10.2.</w:t>
      </w:r>
      <w:r w:rsidRPr="00601EEA">
        <w:rPr>
          <w:rStyle w:val="TextoNormalCaracter"/>
        </w:rPr>
        <w:t>-</w:t>
      </w:r>
      <w:r>
        <w:t xml:space="preserve"> Sentencia </w:t>
      </w:r>
      <w:hyperlink w:anchor="SENTENCIA_2024_28" w:history="1">
        <w:r w:rsidRPr="00601EEA">
          <w:rPr>
            <w:rStyle w:val="TextoNormalCaracter"/>
          </w:rPr>
          <w:t>28/2024</w:t>
        </w:r>
      </w:hyperlink>
      <w:r>
        <w:t>, VP.</w:t>
      </w:r>
    </w:p>
    <w:p w14:paraId="3610C1DC" w14:textId="3BE9E000" w:rsidR="00601EEA" w:rsidRDefault="00601EEA" w:rsidP="00601EEA">
      <w:pPr>
        <w:pStyle w:val="SangriaFrancesaArticulo"/>
      </w:pPr>
    </w:p>
    <w:p w14:paraId="5180250A" w14:textId="77777777" w:rsidR="00601EEA" w:rsidRDefault="00601EEA" w:rsidP="00601EEA">
      <w:pPr>
        <w:pStyle w:val="TextoNormalNegritaCursivandice"/>
        <w:keepNext/>
      </w:pPr>
      <w:r>
        <w:t>Ley 39/2006, de 14 de diciembre, de promoción de la autonomía personal y atención a las  personas en situación de dependencia</w:t>
      </w:r>
    </w:p>
    <w:p w14:paraId="222D9ED7" w14:textId="3919E182"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79" w:history="1">
        <w:r w:rsidRPr="00601EEA">
          <w:rPr>
            <w:rStyle w:val="TextoNormalCaracter"/>
          </w:rPr>
          <w:t>79/2024</w:t>
        </w:r>
      </w:hyperlink>
      <w:r>
        <w:t>, VP.</w:t>
      </w:r>
    </w:p>
    <w:p w14:paraId="0B92348E" w14:textId="56060784" w:rsidR="00601EEA" w:rsidRDefault="00601EEA" w:rsidP="00601EEA">
      <w:pPr>
        <w:pStyle w:val="SangriaFrancesaArticulo"/>
      </w:pPr>
      <w:r w:rsidRPr="00601EEA">
        <w:rPr>
          <w:rStyle w:val="TextoNormalNegritaCaracter"/>
        </w:rPr>
        <w:t>Artículo 2.2.</w:t>
      </w:r>
      <w:r w:rsidRPr="00601EEA">
        <w:rPr>
          <w:rStyle w:val="TextoNormalCaracter"/>
        </w:rPr>
        <w:t>-</w:t>
      </w:r>
      <w:r>
        <w:t xml:space="preserve"> Sentencia </w:t>
      </w:r>
      <w:hyperlink w:anchor="SENTENCIA_2024_7" w:history="1">
        <w:r w:rsidRPr="00601EEA">
          <w:rPr>
            <w:rStyle w:val="TextoNormalCaracter"/>
          </w:rPr>
          <w:t>7/2024</w:t>
        </w:r>
      </w:hyperlink>
      <w:r>
        <w:t>, f. 6.</w:t>
      </w:r>
    </w:p>
    <w:p w14:paraId="79159731" w14:textId="052EC26A" w:rsidR="00601EEA" w:rsidRDefault="00601EEA" w:rsidP="00601EEA">
      <w:pPr>
        <w:pStyle w:val="SangriaFrancesaArticulo"/>
      </w:pPr>
      <w:r w:rsidRPr="00601EEA">
        <w:rPr>
          <w:rStyle w:val="TextoNormalNegritaCaracter"/>
        </w:rPr>
        <w:t>Artículo 5.</w:t>
      </w:r>
      <w:r w:rsidRPr="00601EEA">
        <w:rPr>
          <w:rStyle w:val="TextoNormalCaracter"/>
        </w:rPr>
        <w:t>-</w:t>
      </w:r>
      <w:r>
        <w:t xml:space="preserve"> Sentencia </w:t>
      </w:r>
      <w:hyperlink w:anchor="SENTENCIA_2024_79" w:history="1">
        <w:r w:rsidRPr="00601EEA">
          <w:rPr>
            <w:rStyle w:val="TextoNormalCaracter"/>
          </w:rPr>
          <w:t>79/2024</w:t>
        </w:r>
      </w:hyperlink>
      <w:r>
        <w:t>, VP.</w:t>
      </w:r>
    </w:p>
    <w:p w14:paraId="2BAF77E9" w14:textId="1CFEC569" w:rsidR="00601EEA" w:rsidRDefault="00601EEA" w:rsidP="00601EEA">
      <w:pPr>
        <w:pStyle w:val="SangriaFrancesaArticulo"/>
      </w:pPr>
      <w:r w:rsidRPr="00601EEA">
        <w:rPr>
          <w:rStyle w:val="TextoNormalNegritaCaracter"/>
        </w:rPr>
        <w:t>Artículo 9.</w:t>
      </w:r>
      <w:r w:rsidRPr="00601EEA">
        <w:rPr>
          <w:rStyle w:val="TextoNormalCaracter"/>
        </w:rPr>
        <w:t>-</w:t>
      </w:r>
      <w:r>
        <w:t xml:space="preserve"> Sentencia </w:t>
      </w:r>
      <w:hyperlink w:anchor="SENTENCIA_2024_79" w:history="1">
        <w:r w:rsidRPr="00601EEA">
          <w:rPr>
            <w:rStyle w:val="TextoNormalCaracter"/>
          </w:rPr>
          <w:t>79/2024</w:t>
        </w:r>
      </w:hyperlink>
      <w:r>
        <w:t>, VP.</w:t>
      </w:r>
    </w:p>
    <w:p w14:paraId="2EB07404" w14:textId="21D99658" w:rsidR="00601EEA" w:rsidRDefault="00601EEA" w:rsidP="00601EEA">
      <w:pPr>
        <w:pStyle w:val="SangriaFrancesaArticulo"/>
      </w:pPr>
      <w:r w:rsidRPr="00601EEA">
        <w:rPr>
          <w:rStyle w:val="TextoNormalNegritaCaracter"/>
        </w:rPr>
        <w:t>Artículos 15 a 25.</w:t>
      </w:r>
      <w:r w:rsidRPr="00601EEA">
        <w:rPr>
          <w:rStyle w:val="TextoNormalCaracter"/>
        </w:rPr>
        <w:t>-</w:t>
      </w:r>
      <w:r>
        <w:t xml:space="preserve"> Sentencia </w:t>
      </w:r>
      <w:hyperlink w:anchor="SENTENCIA_2024_79" w:history="1">
        <w:r w:rsidRPr="00601EEA">
          <w:rPr>
            <w:rStyle w:val="TextoNormalCaracter"/>
          </w:rPr>
          <w:t>79/2024</w:t>
        </w:r>
      </w:hyperlink>
      <w:r>
        <w:t>, VP.</w:t>
      </w:r>
    </w:p>
    <w:p w14:paraId="44EAD8F7" w14:textId="3C0E5F32" w:rsidR="00601EEA" w:rsidRDefault="00601EEA" w:rsidP="00601EEA">
      <w:pPr>
        <w:pStyle w:val="SangriaFrancesaArticulo"/>
      </w:pPr>
      <w:r w:rsidRPr="00601EEA">
        <w:rPr>
          <w:rStyle w:val="TextoNormalNegritaCaracter"/>
        </w:rPr>
        <w:t>Artículo 32.2.</w:t>
      </w:r>
      <w:r w:rsidRPr="00601EEA">
        <w:rPr>
          <w:rStyle w:val="TextoNormalCaracter"/>
        </w:rPr>
        <w:t>-</w:t>
      </w:r>
      <w:r>
        <w:t xml:space="preserve"> Sentencia </w:t>
      </w:r>
      <w:hyperlink w:anchor="SENTENCIA_2024_79" w:history="1">
        <w:r w:rsidRPr="00601EEA">
          <w:rPr>
            <w:rStyle w:val="TextoNormalCaracter"/>
          </w:rPr>
          <w:t>79/2024</w:t>
        </w:r>
      </w:hyperlink>
      <w:r>
        <w:t>, VP.</w:t>
      </w:r>
    </w:p>
    <w:p w14:paraId="6BA391D8" w14:textId="37E624C6" w:rsidR="00601EEA" w:rsidRDefault="00601EEA" w:rsidP="00601EEA">
      <w:pPr>
        <w:pStyle w:val="SangriaFrancesaArticulo"/>
      </w:pPr>
      <w:r w:rsidRPr="00601EEA">
        <w:rPr>
          <w:rStyle w:val="TextoNormalNegritaCaracter"/>
        </w:rPr>
        <w:t>Disposición adicional primera.</w:t>
      </w:r>
      <w:r w:rsidRPr="00601EEA">
        <w:rPr>
          <w:rStyle w:val="TextoNormalCaracter"/>
        </w:rPr>
        <w:t>-</w:t>
      </w:r>
      <w:r>
        <w:t xml:space="preserve"> Sentencia </w:t>
      </w:r>
      <w:hyperlink w:anchor="SENTENCIA_2024_79" w:history="1">
        <w:r w:rsidRPr="00601EEA">
          <w:rPr>
            <w:rStyle w:val="TextoNormalCaracter"/>
          </w:rPr>
          <w:t>79/2024</w:t>
        </w:r>
      </w:hyperlink>
      <w:r>
        <w:t>, VP.</w:t>
      </w:r>
    </w:p>
    <w:p w14:paraId="17C7AB40" w14:textId="62016C46" w:rsidR="00601EEA" w:rsidRDefault="00601EEA" w:rsidP="00601EEA">
      <w:pPr>
        <w:pStyle w:val="SangriaFrancesaArticulo"/>
      </w:pPr>
    </w:p>
    <w:p w14:paraId="50D12138" w14:textId="77777777" w:rsidR="00601EEA" w:rsidRDefault="00601EEA" w:rsidP="00601EEA">
      <w:pPr>
        <w:pStyle w:val="TextoNormalNegritaCursivandice"/>
        <w:keepNext/>
      </w:pPr>
      <w:r>
        <w:t>Ley 3/2007, de 15 de marzo, reguladora de la rectificación registral de la mención relativa al sexo de las personas</w:t>
      </w:r>
    </w:p>
    <w:p w14:paraId="06E5301C" w14:textId="60CD08D8"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44" w:history="1">
        <w:r w:rsidRPr="00601EEA">
          <w:rPr>
            <w:rStyle w:val="TextoNormalCaracter"/>
          </w:rPr>
          <w:t>44/2024</w:t>
        </w:r>
      </w:hyperlink>
      <w:r>
        <w:t>, f. 2.</w:t>
      </w:r>
    </w:p>
    <w:p w14:paraId="124FE316" w14:textId="1DC76E75" w:rsidR="00601EEA" w:rsidRDefault="00601EEA" w:rsidP="00601EEA">
      <w:pPr>
        <w:pStyle w:val="SangriaFrancesaArticulo"/>
      </w:pPr>
    </w:p>
    <w:p w14:paraId="5A01232F" w14:textId="77777777" w:rsidR="00601EEA" w:rsidRDefault="00601EEA" w:rsidP="00601EEA">
      <w:pPr>
        <w:pStyle w:val="TextoNormalNegritaCursivandice"/>
        <w:keepNext/>
      </w:pPr>
      <w:r>
        <w:t>Ley 8/2007, de 28 de mayo, de suelo</w:t>
      </w:r>
    </w:p>
    <w:p w14:paraId="2DEEF38D" w14:textId="2D0A39C0" w:rsidR="00601EEA" w:rsidRDefault="00601EEA" w:rsidP="00601EEA">
      <w:pPr>
        <w:pStyle w:val="SangriaFrancesaArticulo"/>
      </w:pPr>
      <w:r w:rsidRPr="00601EEA">
        <w:rPr>
          <w:rStyle w:val="TextoNormalNegritaCaracter"/>
        </w:rPr>
        <w:t>Artículo 10 b).</w:t>
      </w:r>
      <w:r w:rsidRPr="00601EEA">
        <w:rPr>
          <w:rStyle w:val="TextoNormalCaracter"/>
        </w:rPr>
        <w:t>-</w:t>
      </w:r>
      <w:r>
        <w:t xml:space="preserve"> Sentencia </w:t>
      </w:r>
      <w:hyperlink w:anchor="SENTENCIA_2024_79" w:history="1">
        <w:r w:rsidRPr="00601EEA">
          <w:rPr>
            <w:rStyle w:val="TextoNormalCaracter"/>
          </w:rPr>
          <w:t>79/2024</w:t>
        </w:r>
      </w:hyperlink>
      <w:r>
        <w:t>, f. 5.</w:t>
      </w:r>
    </w:p>
    <w:p w14:paraId="07899FD2" w14:textId="45C4E76C" w:rsidR="00601EEA" w:rsidRDefault="00601EEA" w:rsidP="00601EEA">
      <w:pPr>
        <w:pStyle w:val="SangriaFrancesaArticulo"/>
      </w:pPr>
    </w:p>
    <w:p w14:paraId="08ACB31F" w14:textId="77777777" w:rsidR="00601EEA" w:rsidRDefault="00601EEA" w:rsidP="00601EEA">
      <w:pPr>
        <w:pStyle w:val="TextoNormalNegritaCursivandice"/>
        <w:keepNext/>
      </w:pPr>
      <w:r>
        <w:t>Ley 20/2007, de 11 de julio, del estatuto del trabajo autónomo</w:t>
      </w:r>
    </w:p>
    <w:p w14:paraId="2EB5CF45" w14:textId="3127603C" w:rsidR="00601EEA" w:rsidRDefault="00601EEA" w:rsidP="00601EEA">
      <w:pPr>
        <w:pStyle w:val="SangriaFrancesaArticulo"/>
      </w:pPr>
      <w:r w:rsidRPr="00601EEA">
        <w:rPr>
          <w:rStyle w:val="TextoNormalNegritaCaracter"/>
        </w:rPr>
        <w:t>Artículo 21.</w:t>
      </w:r>
      <w:r w:rsidRPr="00601EEA">
        <w:rPr>
          <w:rStyle w:val="TextoNormalCaracter"/>
        </w:rPr>
        <w:t>-</w:t>
      </w:r>
      <w:r>
        <w:t xml:space="preserve"> Sentencia </w:t>
      </w:r>
      <w:hyperlink w:anchor="SENTENCIA_2024_63" w:history="1">
        <w:r w:rsidRPr="00601EEA">
          <w:rPr>
            <w:rStyle w:val="TextoNormalCaracter"/>
          </w:rPr>
          <w:t>63/2024</w:t>
        </w:r>
      </w:hyperlink>
      <w:r>
        <w:t>, f. 2.</w:t>
      </w:r>
    </w:p>
    <w:p w14:paraId="6D7A25C8" w14:textId="138A1C9D" w:rsidR="00601EEA" w:rsidRDefault="00601EEA" w:rsidP="00601EEA">
      <w:pPr>
        <w:pStyle w:val="SangriaFrancesaArticulo"/>
      </w:pPr>
      <w:r w:rsidRPr="00601EEA">
        <w:rPr>
          <w:rStyle w:val="TextoNormalNegritaCaracter"/>
        </w:rPr>
        <w:t>Artículo 21, apartado tercero.</w:t>
      </w:r>
      <w:r w:rsidRPr="00601EEA">
        <w:rPr>
          <w:rStyle w:val="TextoNormalCaracter"/>
        </w:rPr>
        <w:t>-</w:t>
      </w:r>
      <w:r>
        <w:t xml:space="preserve"> Sentencia </w:t>
      </w:r>
      <w:hyperlink w:anchor="SENTENCIA_2024_63" w:history="1">
        <w:r w:rsidRPr="00601EEA">
          <w:rPr>
            <w:rStyle w:val="TextoNormalCaracter"/>
          </w:rPr>
          <w:t>63/2024</w:t>
        </w:r>
      </w:hyperlink>
      <w:r>
        <w:t>, f. 2.</w:t>
      </w:r>
    </w:p>
    <w:p w14:paraId="5DBE1906" w14:textId="7168E63C" w:rsidR="00601EEA" w:rsidRDefault="00601EEA" w:rsidP="00601EEA">
      <w:pPr>
        <w:pStyle w:val="SangriaFrancesaArticulo"/>
      </w:pPr>
      <w:r w:rsidRPr="00601EEA">
        <w:rPr>
          <w:rStyle w:val="TextoNormalNegritaCaracter"/>
        </w:rPr>
        <w:t>Artículo 21, apartado tercero a).</w:t>
      </w:r>
      <w:r w:rsidRPr="00601EEA">
        <w:rPr>
          <w:rStyle w:val="TextoNormalCaracter"/>
        </w:rPr>
        <w:t>-</w:t>
      </w:r>
      <w:r>
        <w:t xml:space="preserve"> Sentencia </w:t>
      </w:r>
      <w:hyperlink w:anchor="SENTENCIA_2024_63" w:history="1">
        <w:r w:rsidRPr="00601EEA">
          <w:rPr>
            <w:rStyle w:val="TextoNormalCaracter"/>
          </w:rPr>
          <w:t>63/2024</w:t>
        </w:r>
      </w:hyperlink>
      <w:r>
        <w:t>, f. 2.</w:t>
      </w:r>
    </w:p>
    <w:p w14:paraId="353F86C4" w14:textId="15F70803" w:rsidR="00601EEA" w:rsidRDefault="00601EEA" w:rsidP="00601EEA">
      <w:pPr>
        <w:pStyle w:val="SangriaFrancesaArticulo"/>
      </w:pPr>
      <w:r w:rsidRPr="00601EEA">
        <w:rPr>
          <w:rStyle w:val="TextoNormalNegritaCaracter"/>
        </w:rPr>
        <w:t>Artículo 21, apartado tercero b).</w:t>
      </w:r>
      <w:r w:rsidRPr="00601EEA">
        <w:rPr>
          <w:rStyle w:val="TextoNormalCaracter"/>
        </w:rPr>
        <w:t>-</w:t>
      </w:r>
      <w:r>
        <w:t xml:space="preserve"> Sentencia </w:t>
      </w:r>
      <w:hyperlink w:anchor="SENTENCIA_2024_63" w:history="1">
        <w:r w:rsidRPr="00601EEA">
          <w:rPr>
            <w:rStyle w:val="TextoNormalCaracter"/>
          </w:rPr>
          <w:t>63/2024</w:t>
        </w:r>
      </w:hyperlink>
      <w:r>
        <w:t>, f. 2.</w:t>
      </w:r>
    </w:p>
    <w:p w14:paraId="51DB98AC" w14:textId="7F487936" w:rsidR="00601EEA" w:rsidRDefault="00601EEA" w:rsidP="00601EEA">
      <w:pPr>
        <w:pStyle w:val="SangriaFrancesaArticulo"/>
      </w:pPr>
      <w:r w:rsidRPr="00601EEA">
        <w:rPr>
          <w:rStyle w:val="TextoNormalNegritaCaracter"/>
        </w:rPr>
        <w:t>Artículo 21, apartado tercero c).</w:t>
      </w:r>
      <w:r w:rsidRPr="00601EEA">
        <w:rPr>
          <w:rStyle w:val="TextoNormalCaracter"/>
        </w:rPr>
        <w:t>-</w:t>
      </w:r>
      <w:r>
        <w:t xml:space="preserve"> Sentencia </w:t>
      </w:r>
      <w:hyperlink w:anchor="SENTENCIA_2024_63" w:history="1">
        <w:r w:rsidRPr="00601EEA">
          <w:rPr>
            <w:rStyle w:val="TextoNormalCaracter"/>
          </w:rPr>
          <w:t>63/2024</w:t>
        </w:r>
      </w:hyperlink>
      <w:r>
        <w:t>, f. 2.</w:t>
      </w:r>
    </w:p>
    <w:p w14:paraId="0B4F024F" w14:textId="06D2E5AE" w:rsidR="00601EEA" w:rsidRDefault="00601EEA" w:rsidP="00601EEA">
      <w:pPr>
        <w:pStyle w:val="SangriaFrancesaArticulo"/>
      </w:pPr>
      <w:r w:rsidRPr="00601EEA">
        <w:rPr>
          <w:rStyle w:val="TextoNormalNegritaCaracter"/>
        </w:rPr>
        <w:t>Artículo 21, apartado tercero d).</w:t>
      </w:r>
      <w:r w:rsidRPr="00601EEA">
        <w:rPr>
          <w:rStyle w:val="TextoNormalCaracter"/>
        </w:rPr>
        <w:t>-</w:t>
      </w:r>
      <w:r>
        <w:t xml:space="preserve"> Sentencia </w:t>
      </w:r>
      <w:hyperlink w:anchor="SENTENCIA_2024_63" w:history="1">
        <w:r w:rsidRPr="00601EEA">
          <w:rPr>
            <w:rStyle w:val="TextoNormalCaracter"/>
          </w:rPr>
          <w:t>63/2024</w:t>
        </w:r>
      </w:hyperlink>
      <w:r>
        <w:t>, f. 2.</w:t>
      </w:r>
    </w:p>
    <w:p w14:paraId="0C680F97" w14:textId="5194A681" w:rsidR="00601EEA" w:rsidRDefault="00601EEA" w:rsidP="00601EEA">
      <w:pPr>
        <w:pStyle w:val="SangriaFrancesaArticulo"/>
      </w:pPr>
      <w:r w:rsidRPr="00601EEA">
        <w:rPr>
          <w:rStyle w:val="TextoNormalNegritaCaracter"/>
        </w:rPr>
        <w:t>Disposición adicional duodécima.</w:t>
      </w:r>
      <w:r w:rsidRPr="00601EEA">
        <w:rPr>
          <w:rStyle w:val="TextoNormalCaracter"/>
        </w:rPr>
        <w:t>-</w:t>
      </w:r>
      <w:r>
        <w:t xml:space="preserve"> Sentencia </w:t>
      </w:r>
      <w:hyperlink w:anchor="SENTENCIA_2024_63" w:history="1">
        <w:r w:rsidRPr="00601EEA">
          <w:rPr>
            <w:rStyle w:val="TextoNormalCaracter"/>
          </w:rPr>
          <w:t>63/2024</w:t>
        </w:r>
      </w:hyperlink>
      <w:r>
        <w:t>, f. 2.</w:t>
      </w:r>
    </w:p>
    <w:p w14:paraId="22425861" w14:textId="66455202" w:rsidR="00601EEA" w:rsidRDefault="00601EEA" w:rsidP="00601EEA">
      <w:pPr>
        <w:pStyle w:val="SangriaFrancesaArticulo"/>
      </w:pPr>
    </w:p>
    <w:p w14:paraId="3CD94680" w14:textId="77777777" w:rsidR="00601EEA" w:rsidRDefault="00601EEA" w:rsidP="00601EEA">
      <w:pPr>
        <w:pStyle w:val="TextoNormalNegritaCursivandice"/>
        <w:keepNext/>
      </w:pPr>
      <w:r>
        <w:t>Ley 42/2007, de 13 de diciembre, del patrimonio natural y de la biodiversidad</w:t>
      </w:r>
    </w:p>
    <w:p w14:paraId="053D716C" w14:textId="5A6EE63C"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Sentencias </w:t>
      </w:r>
      <w:hyperlink w:anchor="SENTENCIA_2024_25" w:history="1">
        <w:r w:rsidRPr="00601EEA">
          <w:rPr>
            <w:rStyle w:val="TextoNormalCaracter"/>
          </w:rPr>
          <w:t>25/2024</w:t>
        </w:r>
      </w:hyperlink>
      <w:r>
        <w:t xml:space="preserve">, f. 13; </w:t>
      </w:r>
      <w:hyperlink w:anchor="SENTENCIA_2024_68" w:history="1">
        <w:r w:rsidRPr="00601EEA">
          <w:rPr>
            <w:rStyle w:val="TextoNormalCaracter"/>
          </w:rPr>
          <w:t>68/2024</w:t>
        </w:r>
      </w:hyperlink>
      <w:r>
        <w:t>, f. 9.</w:t>
      </w:r>
    </w:p>
    <w:p w14:paraId="410EEB1A" w14:textId="63832F91" w:rsidR="00601EEA" w:rsidRDefault="00601EEA" w:rsidP="00601EEA">
      <w:pPr>
        <w:pStyle w:val="SangriaFrancesaArticulo"/>
      </w:pPr>
      <w:r w:rsidRPr="00601EEA">
        <w:rPr>
          <w:rStyle w:val="TextoNormalNegritaCaracter"/>
        </w:rPr>
        <w:t>Artículo 5.</w:t>
      </w:r>
      <w:r w:rsidRPr="00601EEA">
        <w:rPr>
          <w:rStyle w:val="TextoNormalCaracter"/>
        </w:rPr>
        <w:t>-</w:t>
      </w:r>
      <w:r>
        <w:t xml:space="preserve"> Sentencia </w:t>
      </w:r>
      <w:hyperlink w:anchor="SENTENCIA_2024_68" w:history="1">
        <w:r w:rsidRPr="00601EEA">
          <w:rPr>
            <w:rStyle w:val="TextoNormalCaracter"/>
          </w:rPr>
          <w:t>68/2024</w:t>
        </w:r>
      </w:hyperlink>
      <w:r>
        <w:t>, f. 9.</w:t>
      </w:r>
    </w:p>
    <w:p w14:paraId="7382D928" w14:textId="5E562BA6" w:rsidR="00601EEA" w:rsidRDefault="00601EEA" w:rsidP="00601EEA">
      <w:pPr>
        <w:pStyle w:val="SangriaFrancesaArticulo"/>
      </w:pPr>
      <w:r w:rsidRPr="00601EEA">
        <w:rPr>
          <w:rStyle w:val="TextoNormalNegritaCaracter"/>
        </w:rPr>
        <w:t>Artículo 6.</w:t>
      </w:r>
      <w:r w:rsidRPr="00601EEA">
        <w:rPr>
          <w:rStyle w:val="TextoNormalCaracter"/>
        </w:rPr>
        <w:t>-</w:t>
      </w:r>
      <w:r>
        <w:t xml:space="preserve"> Sentencia </w:t>
      </w:r>
      <w:hyperlink w:anchor="SENTENCIA_2024_68" w:history="1">
        <w:r w:rsidRPr="00601EEA">
          <w:rPr>
            <w:rStyle w:val="TextoNormalCaracter"/>
          </w:rPr>
          <w:t>68/2024</w:t>
        </w:r>
      </w:hyperlink>
      <w:r>
        <w:t>, f. 9.</w:t>
      </w:r>
    </w:p>
    <w:p w14:paraId="2957B6B7" w14:textId="25095EB4" w:rsidR="00601EEA" w:rsidRDefault="00601EEA" w:rsidP="00601EEA">
      <w:pPr>
        <w:pStyle w:val="SangriaFrancesaArticulo"/>
      </w:pPr>
    </w:p>
    <w:p w14:paraId="52019951" w14:textId="77777777" w:rsidR="00601EEA" w:rsidRDefault="00601EEA" w:rsidP="00601EEA">
      <w:pPr>
        <w:pStyle w:val="TextoNormalNegritaCursivandice"/>
        <w:keepNext/>
      </w:pPr>
      <w:r>
        <w:t>Ley 13/2009, de 3 de noviembre, de reforma de la legislación procesal para la implantación de la nueva oficina judicial</w:t>
      </w:r>
    </w:p>
    <w:p w14:paraId="14CA26C9" w14:textId="43DE1BFA"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84" w:history="1">
        <w:r w:rsidRPr="00601EEA">
          <w:rPr>
            <w:rStyle w:val="TextoNormalCaracter"/>
          </w:rPr>
          <w:t>84/2024</w:t>
        </w:r>
      </w:hyperlink>
      <w:r>
        <w:t>, f. 2.</w:t>
      </w:r>
    </w:p>
    <w:p w14:paraId="63956DDA" w14:textId="76A43675" w:rsidR="00601EEA" w:rsidRDefault="00601EEA" w:rsidP="00601EEA">
      <w:pPr>
        <w:pStyle w:val="SangriaFrancesaArticulo"/>
      </w:pPr>
    </w:p>
    <w:p w14:paraId="18C53458" w14:textId="77777777" w:rsidR="00601EEA" w:rsidRDefault="00601EEA" w:rsidP="00601EEA">
      <w:pPr>
        <w:pStyle w:val="TextoNormalNegritaCursivandice"/>
        <w:keepNext/>
      </w:pPr>
      <w:r>
        <w:lastRenderedPageBreak/>
        <w:t>Ley 19/2009, de 23 de noviembre, de medidas de fomento y agilización procesal del alquiler y de la eficiencia energética de los edificios</w:t>
      </w:r>
    </w:p>
    <w:p w14:paraId="40704D32" w14:textId="12E97AA3"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Sentencias </w:t>
      </w:r>
      <w:hyperlink w:anchor="SENTENCIA_2024_21" w:history="1">
        <w:r w:rsidRPr="00601EEA">
          <w:rPr>
            <w:rStyle w:val="TextoNormalCaracter"/>
          </w:rPr>
          <w:t>21/2024</w:t>
        </w:r>
      </w:hyperlink>
      <w:r>
        <w:t xml:space="preserve">, f. 3; </w:t>
      </w:r>
      <w:hyperlink w:anchor="SENTENCIA_2024_84" w:history="1">
        <w:r w:rsidRPr="00601EEA">
          <w:rPr>
            <w:rStyle w:val="TextoNormalCaracter"/>
          </w:rPr>
          <w:t>84/2024</w:t>
        </w:r>
      </w:hyperlink>
      <w:r>
        <w:t>, f. 2.</w:t>
      </w:r>
    </w:p>
    <w:p w14:paraId="22208A33" w14:textId="55628AB6" w:rsidR="00601EEA" w:rsidRDefault="00601EEA" w:rsidP="00601EEA">
      <w:pPr>
        <w:pStyle w:val="SangriaFrancesaArticulo"/>
      </w:pPr>
    </w:p>
    <w:p w14:paraId="7B285489" w14:textId="77777777" w:rsidR="00601EEA" w:rsidRDefault="00601EEA" w:rsidP="00601EEA">
      <w:pPr>
        <w:pStyle w:val="TextoNormalNegritaCursivandice"/>
        <w:keepNext/>
      </w:pPr>
      <w:r>
        <w:t>Ley 41/2010, de 29 de diciembre, de protección del medio marino</w:t>
      </w:r>
    </w:p>
    <w:p w14:paraId="236FC40C" w14:textId="12B8FD8C"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68" w:history="1">
        <w:r w:rsidRPr="00601EEA">
          <w:rPr>
            <w:rStyle w:val="TextoNormalCaracter"/>
          </w:rPr>
          <w:t>68/2024</w:t>
        </w:r>
      </w:hyperlink>
      <w:r>
        <w:t>, ff. 3, 9.</w:t>
      </w:r>
    </w:p>
    <w:p w14:paraId="13073901" w14:textId="17228C5F" w:rsidR="00601EEA" w:rsidRDefault="00601EEA" w:rsidP="00601EEA">
      <w:pPr>
        <w:pStyle w:val="SangriaFrancesaArticulo"/>
      </w:pPr>
    </w:p>
    <w:p w14:paraId="0EAAAD79" w14:textId="77777777" w:rsidR="00601EEA" w:rsidRDefault="00601EEA" w:rsidP="00601EEA">
      <w:pPr>
        <w:pStyle w:val="TextoNormalNegritaCursivandice"/>
        <w:keepNext/>
      </w:pPr>
      <w:r>
        <w:t>Ley 18/2011, de 5 de julio. Regula el uso de las tecnologías de la información y la comunicación en la Administración de Justicia</w:t>
      </w:r>
    </w:p>
    <w:p w14:paraId="303660AC" w14:textId="0B0181DD" w:rsidR="00601EEA" w:rsidRDefault="00601EEA" w:rsidP="00601EEA">
      <w:pPr>
        <w:pStyle w:val="SangriaFrancesaArticulo"/>
      </w:pPr>
      <w:r w:rsidRPr="00601EEA">
        <w:rPr>
          <w:rStyle w:val="TextoNormalNegritaCaracter"/>
        </w:rPr>
        <w:t>En general.</w:t>
      </w:r>
      <w:r w:rsidRPr="00601EEA">
        <w:rPr>
          <w:rStyle w:val="TextoNormalCaracter"/>
        </w:rPr>
        <w:t>-</w:t>
      </w:r>
      <w:r>
        <w:t xml:space="preserve"> Auto </w:t>
      </w:r>
      <w:hyperlink w:anchor="AUTO_2024_17" w:history="1">
        <w:r w:rsidRPr="00601EEA">
          <w:rPr>
            <w:rStyle w:val="TextoNormalCaracter"/>
          </w:rPr>
          <w:t>17/2024</w:t>
        </w:r>
      </w:hyperlink>
      <w:r>
        <w:t>, f. 3.</w:t>
      </w:r>
    </w:p>
    <w:p w14:paraId="23B4D276" w14:textId="6AFABD20" w:rsidR="00601EEA" w:rsidRDefault="00601EEA" w:rsidP="00601EEA">
      <w:pPr>
        <w:pStyle w:val="SangriaFrancesaArticulo"/>
      </w:pPr>
    </w:p>
    <w:p w14:paraId="40CB1BB7" w14:textId="77777777" w:rsidR="00601EEA" w:rsidRDefault="00601EEA" w:rsidP="00601EEA">
      <w:pPr>
        <w:pStyle w:val="TextoNormalNegritaCursivandice"/>
        <w:keepNext/>
      </w:pPr>
      <w:r>
        <w:t>Ley 20/2011, de 21 de julio, del Registro Civil</w:t>
      </w:r>
    </w:p>
    <w:p w14:paraId="3F453082" w14:textId="35D2443C"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28" w:history="1">
        <w:r w:rsidRPr="00601EEA">
          <w:rPr>
            <w:rStyle w:val="TextoNormalCaracter"/>
          </w:rPr>
          <w:t>28/2024</w:t>
        </w:r>
      </w:hyperlink>
      <w:r>
        <w:t>, f. 6.</w:t>
      </w:r>
    </w:p>
    <w:p w14:paraId="757590EF" w14:textId="38A2110D" w:rsidR="00601EEA" w:rsidRDefault="00601EEA" w:rsidP="00601EEA">
      <w:pPr>
        <w:pStyle w:val="SangriaFrancesaArticulo"/>
      </w:pPr>
      <w:r w:rsidRPr="00601EEA">
        <w:rPr>
          <w:rStyle w:val="TextoNormalNegritaCaracter"/>
        </w:rPr>
        <w:t>Artículo 4.4.</w:t>
      </w:r>
      <w:r w:rsidRPr="00601EEA">
        <w:rPr>
          <w:rStyle w:val="TextoNormalCaracter"/>
        </w:rPr>
        <w:t>-</w:t>
      </w:r>
      <w:r>
        <w:t xml:space="preserve"> Sentencia </w:t>
      </w:r>
      <w:hyperlink w:anchor="SENTENCIA_2024_44" w:history="1">
        <w:r w:rsidRPr="00601EEA">
          <w:rPr>
            <w:rStyle w:val="TextoNormalCaracter"/>
          </w:rPr>
          <w:t>44/2024</w:t>
        </w:r>
      </w:hyperlink>
      <w:r>
        <w:t>, f. 4.</w:t>
      </w:r>
    </w:p>
    <w:p w14:paraId="712B7610" w14:textId="348466C8" w:rsidR="00601EEA" w:rsidRDefault="00601EEA" w:rsidP="00601EEA">
      <w:pPr>
        <w:pStyle w:val="SangriaFrancesaArticulo"/>
      </w:pPr>
      <w:r w:rsidRPr="00601EEA">
        <w:rPr>
          <w:rStyle w:val="TextoNormalNegritaCaracter"/>
        </w:rPr>
        <w:t>Artículo 16.</w:t>
      </w:r>
      <w:r w:rsidRPr="00601EEA">
        <w:rPr>
          <w:rStyle w:val="TextoNormalCaracter"/>
        </w:rPr>
        <w:t>-</w:t>
      </w:r>
      <w:r>
        <w:t xml:space="preserve"> Sentencia </w:t>
      </w:r>
      <w:hyperlink w:anchor="SENTENCIA_2024_28" w:history="1">
        <w:r w:rsidRPr="00601EEA">
          <w:rPr>
            <w:rStyle w:val="TextoNormalCaracter"/>
          </w:rPr>
          <w:t>28/2024</w:t>
        </w:r>
      </w:hyperlink>
      <w:r>
        <w:t>, f. 6, VP.</w:t>
      </w:r>
    </w:p>
    <w:p w14:paraId="5F3511FD" w14:textId="3D546B80" w:rsidR="00601EEA" w:rsidRDefault="00601EEA" w:rsidP="00601EEA">
      <w:pPr>
        <w:pStyle w:val="SangriaFrancesaArticulo"/>
      </w:pPr>
      <w:r w:rsidRPr="00601EEA">
        <w:rPr>
          <w:rStyle w:val="TextoNormalNegritaCaracter"/>
        </w:rPr>
        <w:t>Artículo 19.</w:t>
      </w:r>
      <w:r w:rsidRPr="00601EEA">
        <w:rPr>
          <w:rStyle w:val="TextoNormalCaracter"/>
        </w:rPr>
        <w:t>-</w:t>
      </w:r>
      <w:r>
        <w:t xml:space="preserve"> Sentencia </w:t>
      </w:r>
      <w:hyperlink w:anchor="SENTENCIA_2024_28" w:history="1">
        <w:r w:rsidRPr="00601EEA">
          <w:rPr>
            <w:rStyle w:val="TextoNormalCaracter"/>
          </w:rPr>
          <w:t>28/2024</w:t>
        </w:r>
      </w:hyperlink>
      <w:r>
        <w:t>, f. 6, VP.</w:t>
      </w:r>
    </w:p>
    <w:p w14:paraId="2B28F6B3" w14:textId="7EA36986" w:rsidR="00601EEA" w:rsidRDefault="00601EEA" w:rsidP="00601EEA">
      <w:pPr>
        <w:pStyle w:val="SangriaFrancesaArticulo"/>
      </w:pPr>
      <w:r w:rsidRPr="00601EEA">
        <w:rPr>
          <w:rStyle w:val="TextoNormalNegritaCaracter"/>
        </w:rPr>
        <w:t>Artículo 44.2</w:t>
      </w:r>
      <w:r>
        <w:t xml:space="preserve"> (redactado por la Ley 4/2023, de 28 de febrero)</w:t>
      </w:r>
      <w:r w:rsidRPr="00601EEA">
        <w:rPr>
          <w:rStyle w:val="TextoNormalNegritaCaracter"/>
        </w:rPr>
        <w:t>.</w:t>
      </w:r>
      <w:r w:rsidRPr="00601EEA">
        <w:rPr>
          <w:rStyle w:val="TextoNormalCaracter"/>
        </w:rPr>
        <w:t>-</w:t>
      </w:r>
      <w:r>
        <w:t xml:space="preserve"> Sentencia </w:t>
      </w:r>
      <w:hyperlink w:anchor="SENTENCIA_2024_44" w:history="1">
        <w:r w:rsidRPr="00601EEA">
          <w:rPr>
            <w:rStyle w:val="TextoNormalCaracter"/>
          </w:rPr>
          <w:t>44/2024</w:t>
        </w:r>
      </w:hyperlink>
      <w:r>
        <w:t>, ff. 2, 4.</w:t>
      </w:r>
    </w:p>
    <w:p w14:paraId="2D82B168" w14:textId="4ED7C63E" w:rsidR="00601EEA" w:rsidRDefault="00601EEA" w:rsidP="00601EEA">
      <w:pPr>
        <w:pStyle w:val="SangriaFrancesaArticulo"/>
      </w:pPr>
      <w:r w:rsidRPr="00601EEA">
        <w:rPr>
          <w:rStyle w:val="TextoNormalNegritaCaracter"/>
        </w:rPr>
        <w:t>Artículo 49.5</w:t>
      </w:r>
      <w:r>
        <w:t xml:space="preserve"> (redactado por la Ley 4/2023, de 28 de febrero)</w:t>
      </w:r>
      <w:r w:rsidRPr="00601EEA">
        <w:rPr>
          <w:rStyle w:val="TextoNormalNegritaCaracter"/>
        </w:rPr>
        <w:t>.</w:t>
      </w:r>
      <w:r w:rsidRPr="00601EEA">
        <w:rPr>
          <w:rStyle w:val="TextoNormalCaracter"/>
        </w:rPr>
        <w:t>-</w:t>
      </w:r>
      <w:r>
        <w:t xml:space="preserve"> Sentencia </w:t>
      </w:r>
      <w:hyperlink w:anchor="SENTENCIA_2024_44" w:history="1">
        <w:r w:rsidRPr="00601EEA">
          <w:rPr>
            <w:rStyle w:val="TextoNormalCaracter"/>
          </w:rPr>
          <w:t>44/2024</w:t>
        </w:r>
      </w:hyperlink>
      <w:r>
        <w:t>, ff. 2, 4.</w:t>
      </w:r>
    </w:p>
    <w:p w14:paraId="4A773D00" w14:textId="15DB2A48" w:rsidR="00601EEA" w:rsidRDefault="00601EEA" w:rsidP="00601EEA">
      <w:pPr>
        <w:pStyle w:val="SangriaFrancesaArticulo"/>
      </w:pPr>
      <w:r w:rsidRPr="00601EEA">
        <w:rPr>
          <w:rStyle w:val="TextoNormalNegritaCaracter"/>
        </w:rPr>
        <w:t>Artículo 83.1 d).</w:t>
      </w:r>
      <w:r w:rsidRPr="00601EEA">
        <w:rPr>
          <w:rStyle w:val="TextoNormalCaracter"/>
        </w:rPr>
        <w:t>-</w:t>
      </w:r>
      <w:r>
        <w:t xml:space="preserve"> Sentencia </w:t>
      </w:r>
      <w:hyperlink w:anchor="SENTENCIA_2024_44" w:history="1">
        <w:r w:rsidRPr="00601EEA">
          <w:rPr>
            <w:rStyle w:val="TextoNormalCaracter"/>
          </w:rPr>
          <w:t>44/2024</w:t>
        </w:r>
      </w:hyperlink>
      <w:r>
        <w:t>, f. 4.</w:t>
      </w:r>
    </w:p>
    <w:p w14:paraId="2AD6E2CB" w14:textId="10C75792" w:rsidR="00601EEA" w:rsidRDefault="00601EEA" w:rsidP="00601EEA">
      <w:pPr>
        <w:pStyle w:val="SangriaFrancesaArticulo"/>
      </w:pPr>
    </w:p>
    <w:p w14:paraId="095389D2" w14:textId="77777777" w:rsidR="00601EEA" w:rsidRDefault="00601EEA" w:rsidP="00601EEA">
      <w:pPr>
        <w:pStyle w:val="TextoNormalNegritaCursivandice"/>
        <w:keepNext/>
      </w:pPr>
      <w:r>
        <w:t>Ley 22/2011, de 28 de julio, de residuos y suelos contaminados</w:t>
      </w:r>
    </w:p>
    <w:p w14:paraId="41D0A2EE" w14:textId="5D3B1D9E" w:rsidR="00601EEA" w:rsidRDefault="00601EEA" w:rsidP="00601EEA">
      <w:pPr>
        <w:pStyle w:val="SangriaFrancesaArticulo"/>
      </w:pPr>
      <w:r w:rsidRPr="00601EEA">
        <w:rPr>
          <w:rStyle w:val="TextoNormalNegritaCaracter"/>
        </w:rPr>
        <w:t>En general.</w:t>
      </w:r>
      <w:r w:rsidRPr="00601EEA">
        <w:rPr>
          <w:rStyle w:val="TextoNormalCaracter"/>
        </w:rPr>
        <w:t>-</w:t>
      </w:r>
      <w:r>
        <w:t xml:space="preserve"> Auto </w:t>
      </w:r>
      <w:hyperlink w:anchor="AUTO_2024_41" w:history="1">
        <w:r w:rsidRPr="00601EEA">
          <w:rPr>
            <w:rStyle w:val="TextoNormalCaracter"/>
          </w:rPr>
          <w:t>41/2024</w:t>
        </w:r>
      </w:hyperlink>
      <w:r>
        <w:t>, f. 3.</w:t>
      </w:r>
    </w:p>
    <w:p w14:paraId="46B89D4A" w14:textId="7BCF8CDD" w:rsidR="00601EEA" w:rsidRDefault="00601EEA" w:rsidP="00601EEA">
      <w:pPr>
        <w:pStyle w:val="SangriaFrancesaArticulo"/>
      </w:pPr>
      <w:r w:rsidRPr="00601EEA">
        <w:rPr>
          <w:rStyle w:val="TextoNormalNegritaCaracter"/>
        </w:rPr>
        <w:t>Artículo 31.3.</w:t>
      </w:r>
      <w:r w:rsidRPr="00601EEA">
        <w:rPr>
          <w:rStyle w:val="TextoNormalCaracter"/>
        </w:rPr>
        <w:t>-</w:t>
      </w:r>
      <w:r>
        <w:t xml:space="preserve"> Auto </w:t>
      </w:r>
      <w:hyperlink w:anchor="AUTO_2024_41" w:history="1">
        <w:r w:rsidRPr="00601EEA">
          <w:rPr>
            <w:rStyle w:val="TextoNormalCaracter"/>
          </w:rPr>
          <w:t>41/2024</w:t>
        </w:r>
      </w:hyperlink>
      <w:r>
        <w:t>, f. 1.</w:t>
      </w:r>
    </w:p>
    <w:p w14:paraId="5DCD6A9E" w14:textId="2C8007D1" w:rsidR="00601EEA" w:rsidRDefault="00601EEA" w:rsidP="00601EEA">
      <w:pPr>
        <w:pStyle w:val="SangriaFrancesaArticulo"/>
      </w:pPr>
    </w:p>
    <w:p w14:paraId="495CE091" w14:textId="77777777" w:rsidR="00601EEA" w:rsidRDefault="00601EEA" w:rsidP="00601EEA">
      <w:pPr>
        <w:pStyle w:val="TextoNormalNegritaCursivandice"/>
        <w:keepNext/>
      </w:pPr>
      <w:r>
        <w:t>Ley 36/2011, de 10 de octubre, reguladora de la jurisdicción social</w:t>
      </w:r>
    </w:p>
    <w:p w14:paraId="1AC4586E" w14:textId="08B19B9F" w:rsidR="00601EEA" w:rsidRDefault="00601EEA" w:rsidP="00601EEA">
      <w:pPr>
        <w:pStyle w:val="SangriaFrancesaArticulo"/>
      </w:pPr>
      <w:r w:rsidRPr="00601EEA">
        <w:rPr>
          <w:rStyle w:val="TextoNormalNegritaCaracter"/>
        </w:rPr>
        <w:t>Artículo 110.1 b).</w:t>
      </w:r>
      <w:r w:rsidRPr="00601EEA">
        <w:rPr>
          <w:rStyle w:val="TextoNormalCaracter"/>
        </w:rPr>
        <w:t>-</w:t>
      </w:r>
      <w:r>
        <w:t xml:space="preserve"> Sentencia </w:t>
      </w:r>
      <w:hyperlink w:anchor="SENTENCIA_2024_22" w:history="1">
        <w:r w:rsidRPr="00601EEA">
          <w:rPr>
            <w:rStyle w:val="TextoNormalCaracter"/>
          </w:rPr>
          <w:t>22/2024</w:t>
        </w:r>
      </w:hyperlink>
      <w:r>
        <w:t>, ff. 2, 4.</w:t>
      </w:r>
    </w:p>
    <w:p w14:paraId="2BAFF280" w14:textId="216A6A4C" w:rsidR="00601EEA" w:rsidRDefault="00601EEA" w:rsidP="00601EEA">
      <w:pPr>
        <w:pStyle w:val="SangriaFrancesaArticulo"/>
      </w:pPr>
      <w:r w:rsidRPr="00601EEA">
        <w:rPr>
          <w:rStyle w:val="TextoNormalNegritaCaracter"/>
        </w:rPr>
        <w:t>Artículo 116.1.</w:t>
      </w:r>
      <w:r w:rsidRPr="00601EEA">
        <w:rPr>
          <w:rStyle w:val="TextoNormalCaracter"/>
        </w:rPr>
        <w:t>-</w:t>
      </w:r>
      <w:r>
        <w:t xml:space="preserve"> Sentencia </w:t>
      </w:r>
      <w:hyperlink w:anchor="SENTENCIA_2024_22" w:history="1">
        <w:r w:rsidRPr="00601EEA">
          <w:rPr>
            <w:rStyle w:val="TextoNormalCaracter"/>
          </w:rPr>
          <w:t>22/2024</w:t>
        </w:r>
      </w:hyperlink>
      <w:r>
        <w:t>, f. 4.</w:t>
      </w:r>
    </w:p>
    <w:p w14:paraId="27A9C162" w14:textId="539DF047" w:rsidR="00601EEA" w:rsidRDefault="00601EEA" w:rsidP="00601EEA">
      <w:pPr>
        <w:pStyle w:val="SangriaFrancesaArticulo"/>
      </w:pPr>
      <w:r w:rsidRPr="00601EEA">
        <w:rPr>
          <w:rStyle w:val="TextoNormalNegritaCaracter"/>
        </w:rPr>
        <w:t>Artículo 116.2.</w:t>
      </w:r>
      <w:r w:rsidRPr="00601EEA">
        <w:rPr>
          <w:rStyle w:val="TextoNormalCaracter"/>
        </w:rPr>
        <w:t>-</w:t>
      </w:r>
      <w:r>
        <w:t xml:space="preserve"> Sentencia </w:t>
      </w:r>
      <w:hyperlink w:anchor="SENTENCIA_2024_22" w:history="1">
        <w:r w:rsidRPr="00601EEA">
          <w:rPr>
            <w:rStyle w:val="TextoNormalCaracter"/>
          </w:rPr>
          <w:t>22/2024</w:t>
        </w:r>
      </w:hyperlink>
      <w:r>
        <w:t>, ff. 1, 4.</w:t>
      </w:r>
    </w:p>
    <w:p w14:paraId="4DE088F2" w14:textId="45C0A782" w:rsidR="00601EEA" w:rsidRDefault="00601EEA" w:rsidP="00601EEA">
      <w:pPr>
        <w:pStyle w:val="SangriaFrancesaArticulo"/>
      </w:pPr>
      <w:r w:rsidRPr="00601EEA">
        <w:rPr>
          <w:rStyle w:val="TextoNormalNegritaCaracter"/>
        </w:rPr>
        <w:t>Artículo 230.1.</w:t>
      </w:r>
      <w:r w:rsidRPr="00601EEA">
        <w:rPr>
          <w:rStyle w:val="TextoNormalCaracter"/>
        </w:rPr>
        <w:t>-</w:t>
      </w:r>
      <w:r>
        <w:t xml:space="preserve"> Sentencia </w:t>
      </w:r>
      <w:hyperlink w:anchor="SENTENCIA_2024_3" w:history="1">
        <w:r w:rsidRPr="00601EEA">
          <w:rPr>
            <w:rStyle w:val="TextoNormalCaracter"/>
          </w:rPr>
          <w:t>3/2024</w:t>
        </w:r>
      </w:hyperlink>
      <w:r>
        <w:t>, f. 4.</w:t>
      </w:r>
    </w:p>
    <w:p w14:paraId="43978D0E" w14:textId="280B203D" w:rsidR="00601EEA" w:rsidRDefault="00601EEA" w:rsidP="00601EEA">
      <w:pPr>
        <w:pStyle w:val="SangriaFrancesaArticulo"/>
      </w:pPr>
    </w:p>
    <w:p w14:paraId="7CA9CF81" w14:textId="77777777" w:rsidR="00601EEA" w:rsidRDefault="00601EEA" w:rsidP="00601EEA">
      <w:pPr>
        <w:pStyle w:val="TextoNormalNegritaCursivandice"/>
        <w:keepNext/>
      </w:pPr>
      <w:r>
        <w:t>Ley 37/2011, de 10 de octubre, de medidas de agilización procesal</w:t>
      </w:r>
    </w:p>
    <w:p w14:paraId="50BDE3C3" w14:textId="6140DE85"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23" w:history="1">
        <w:r w:rsidRPr="00601EEA">
          <w:rPr>
            <w:rStyle w:val="TextoNormalCaracter"/>
          </w:rPr>
          <w:t>23/2024</w:t>
        </w:r>
      </w:hyperlink>
      <w:r>
        <w:t>, f. 2.</w:t>
      </w:r>
    </w:p>
    <w:p w14:paraId="73563D20" w14:textId="4E73EFA8" w:rsidR="00601EEA" w:rsidRDefault="00601EEA" w:rsidP="00601EEA">
      <w:pPr>
        <w:pStyle w:val="SangriaFrancesaArticulo"/>
      </w:pPr>
    </w:p>
    <w:p w14:paraId="30DB3816" w14:textId="77777777" w:rsidR="00601EEA" w:rsidRDefault="00601EEA" w:rsidP="00601EEA">
      <w:pPr>
        <w:pStyle w:val="TextoNormalNegritaCursivandice"/>
        <w:keepNext/>
      </w:pPr>
      <w:r>
        <w:t>Ley 3/2012, de 6 de julio. Medidas urgentes para la reforma del mercado laboral</w:t>
      </w:r>
    </w:p>
    <w:p w14:paraId="45086632" w14:textId="6954EDEF"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63" w:history="1">
        <w:r w:rsidRPr="00601EEA">
          <w:rPr>
            <w:rStyle w:val="TextoNormalCaracter"/>
          </w:rPr>
          <w:t>63/2024</w:t>
        </w:r>
      </w:hyperlink>
      <w:r>
        <w:t>, f. 5.</w:t>
      </w:r>
    </w:p>
    <w:p w14:paraId="502D8681" w14:textId="7D8DD3EF" w:rsidR="00601EEA" w:rsidRDefault="00601EEA" w:rsidP="00601EEA">
      <w:pPr>
        <w:pStyle w:val="SangriaFrancesaArticulo"/>
      </w:pPr>
    </w:p>
    <w:p w14:paraId="23A2C8E9" w14:textId="77777777" w:rsidR="00601EEA" w:rsidRDefault="00601EEA" w:rsidP="00601EEA">
      <w:pPr>
        <w:pStyle w:val="TextoNormalNegritaCursivandice"/>
        <w:keepNext/>
      </w:pPr>
      <w:r>
        <w:t>Ley 1/2013, de 14 de mayo, de medidas para reforzar la protección a los deudores hipotecarios, reestructuración de deuda y alquiler social</w:t>
      </w:r>
    </w:p>
    <w:p w14:paraId="07443B9D" w14:textId="15B68637" w:rsidR="00601EEA" w:rsidRDefault="00601EEA" w:rsidP="00601EEA">
      <w:pPr>
        <w:pStyle w:val="SangriaFrancesaArticulo"/>
      </w:pPr>
      <w:r w:rsidRPr="00601EEA">
        <w:rPr>
          <w:rStyle w:val="TextoNormalNegritaCaracter"/>
        </w:rPr>
        <w:t>Disposición transitoria cuarta.</w:t>
      </w:r>
      <w:r w:rsidRPr="00601EEA">
        <w:rPr>
          <w:rStyle w:val="TextoNormalCaracter"/>
        </w:rPr>
        <w:t>-</w:t>
      </w:r>
      <w:r>
        <w:t xml:space="preserve"> Sentencia </w:t>
      </w:r>
      <w:hyperlink w:anchor="SENTENCIA_2024_27" w:history="1">
        <w:r w:rsidRPr="00601EEA">
          <w:rPr>
            <w:rStyle w:val="TextoNormalCaracter"/>
          </w:rPr>
          <w:t>27/2024</w:t>
        </w:r>
      </w:hyperlink>
      <w:r>
        <w:t>, f. 3.</w:t>
      </w:r>
    </w:p>
    <w:p w14:paraId="6DCD1EFB" w14:textId="712A852E" w:rsidR="00601EEA" w:rsidRDefault="00601EEA" w:rsidP="00601EEA">
      <w:pPr>
        <w:pStyle w:val="SangriaFrancesaArticulo"/>
      </w:pPr>
    </w:p>
    <w:p w14:paraId="75F8859F" w14:textId="77777777" w:rsidR="00601EEA" w:rsidRDefault="00601EEA" w:rsidP="00601EEA">
      <w:pPr>
        <w:pStyle w:val="TextoNormalNegritaCursivandice"/>
        <w:keepNext/>
      </w:pPr>
      <w:r>
        <w:t>Ley 2/2013, de 29 de mayo, de protección y uso sostenible del litoral y de modificación de la Ley 22/1988, de 28 de julio, de costas</w:t>
      </w:r>
    </w:p>
    <w:p w14:paraId="607F380A" w14:textId="3A8A498C"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76" w:history="1">
        <w:r w:rsidRPr="00601EEA">
          <w:rPr>
            <w:rStyle w:val="TextoNormalCaracter"/>
          </w:rPr>
          <w:t>76/2024</w:t>
        </w:r>
      </w:hyperlink>
      <w:r>
        <w:t>, f. 4, VP.</w:t>
      </w:r>
    </w:p>
    <w:p w14:paraId="6C347A29" w14:textId="1100EF2D" w:rsidR="00601EEA" w:rsidRDefault="00601EEA" w:rsidP="00601EEA">
      <w:pPr>
        <w:pStyle w:val="SangriaFrancesaArticulo"/>
      </w:pPr>
      <w:r w:rsidRPr="00601EEA">
        <w:rPr>
          <w:rStyle w:val="TextoNormalNegritaCaracter"/>
        </w:rPr>
        <w:t>Exposición de motivos.</w:t>
      </w:r>
      <w:r w:rsidRPr="00601EEA">
        <w:rPr>
          <w:rStyle w:val="TextoNormalCaracter"/>
        </w:rPr>
        <w:t>-</w:t>
      </w:r>
      <w:r>
        <w:t xml:space="preserve"> Sentencia </w:t>
      </w:r>
      <w:hyperlink w:anchor="SENTENCIA_2024_68" w:history="1">
        <w:r w:rsidRPr="00601EEA">
          <w:rPr>
            <w:rStyle w:val="TextoNormalCaracter"/>
          </w:rPr>
          <w:t>68/2024</w:t>
        </w:r>
      </w:hyperlink>
      <w:r>
        <w:t>, f. 8.</w:t>
      </w:r>
    </w:p>
    <w:p w14:paraId="6C60EB3D" w14:textId="3942E74F" w:rsidR="00601EEA" w:rsidRDefault="00601EEA" w:rsidP="00601EEA">
      <w:pPr>
        <w:pStyle w:val="SangriaFrancesaArticulo"/>
      </w:pPr>
      <w:r w:rsidRPr="00601EEA">
        <w:rPr>
          <w:rStyle w:val="TextoNormalNegritaCaracter"/>
        </w:rPr>
        <w:t>Preámbulo.</w:t>
      </w:r>
      <w:r w:rsidRPr="00601EEA">
        <w:rPr>
          <w:rStyle w:val="TextoNormalCaracter"/>
        </w:rPr>
        <w:t>-</w:t>
      </w:r>
      <w:r>
        <w:t xml:space="preserve"> Sentencia </w:t>
      </w:r>
      <w:hyperlink w:anchor="SENTENCIA_2024_76" w:history="1">
        <w:r w:rsidRPr="00601EEA">
          <w:rPr>
            <w:rStyle w:val="TextoNormalCaracter"/>
          </w:rPr>
          <w:t>76/2024</w:t>
        </w:r>
      </w:hyperlink>
      <w:r>
        <w:t>, VP.</w:t>
      </w:r>
    </w:p>
    <w:p w14:paraId="785D81DD" w14:textId="0B60FC37" w:rsidR="00601EEA" w:rsidRDefault="00601EEA" w:rsidP="00601EEA">
      <w:pPr>
        <w:pStyle w:val="SangriaFrancesaArticulo"/>
      </w:pPr>
      <w:r w:rsidRPr="00601EEA">
        <w:rPr>
          <w:rStyle w:val="TextoNormalNegritaCaracter"/>
        </w:rPr>
        <w:lastRenderedPageBreak/>
        <w:t>Preámbulo, apartado III.</w:t>
      </w:r>
      <w:r w:rsidRPr="00601EEA">
        <w:rPr>
          <w:rStyle w:val="TextoNormalCaracter"/>
        </w:rPr>
        <w:t>-</w:t>
      </w:r>
      <w:r>
        <w:t xml:space="preserve"> Sentencia </w:t>
      </w:r>
      <w:hyperlink w:anchor="SENTENCIA_2024_76" w:history="1">
        <w:r w:rsidRPr="00601EEA">
          <w:rPr>
            <w:rStyle w:val="TextoNormalCaracter"/>
          </w:rPr>
          <w:t>76/2024</w:t>
        </w:r>
      </w:hyperlink>
      <w:r>
        <w:t>, VP.</w:t>
      </w:r>
    </w:p>
    <w:p w14:paraId="3DA81ECC" w14:textId="46AD2405" w:rsidR="00601EEA" w:rsidRDefault="00601EEA" w:rsidP="00601EEA">
      <w:pPr>
        <w:pStyle w:val="SangriaFrancesaArticulo"/>
      </w:pPr>
      <w:r w:rsidRPr="00601EEA">
        <w:rPr>
          <w:rStyle w:val="TextoNormalNegritaCaracter"/>
        </w:rPr>
        <w:t>Artículo 13.</w:t>
      </w:r>
      <w:r w:rsidRPr="00601EEA">
        <w:rPr>
          <w:rStyle w:val="TextoNormalCaracter"/>
        </w:rPr>
        <w:t>-</w:t>
      </w:r>
      <w:r>
        <w:t xml:space="preserve"> Sentencia </w:t>
      </w:r>
      <w:hyperlink w:anchor="SENTENCIA_2024_68" w:history="1">
        <w:r w:rsidRPr="00601EEA">
          <w:rPr>
            <w:rStyle w:val="TextoNormalCaracter"/>
          </w:rPr>
          <w:t>68/2024</w:t>
        </w:r>
      </w:hyperlink>
      <w:r>
        <w:t>, f. 8.</w:t>
      </w:r>
    </w:p>
    <w:p w14:paraId="2E29D40C" w14:textId="6BDB12EB" w:rsidR="00601EEA" w:rsidRDefault="00601EEA" w:rsidP="00601EEA">
      <w:pPr>
        <w:pStyle w:val="SangriaFrancesaArticulo"/>
      </w:pPr>
      <w:r w:rsidRPr="00601EEA">
        <w:rPr>
          <w:rStyle w:val="TextoNormalNegritaCaracter"/>
        </w:rPr>
        <w:t>Disposición transitoria cuarta, apartado 2 b).</w:t>
      </w:r>
      <w:r w:rsidRPr="00601EEA">
        <w:rPr>
          <w:rStyle w:val="TextoNormalCaracter"/>
        </w:rPr>
        <w:t>-</w:t>
      </w:r>
      <w:r>
        <w:t xml:space="preserve"> Sentencia </w:t>
      </w:r>
      <w:hyperlink w:anchor="SENTENCIA_2024_68" w:history="1">
        <w:r w:rsidRPr="00601EEA">
          <w:rPr>
            <w:rStyle w:val="TextoNormalCaracter"/>
          </w:rPr>
          <w:t>68/2024</w:t>
        </w:r>
      </w:hyperlink>
      <w:r>
        <w:t>, f. 8.</w:t>
      </w:r>
    </w:p>
    <w:p w14:paraId="6A229339" w14:textId="7EED00C1" w:rsidR="00601EEA" w:rsidRDefault="00601EEA" w:rsidP="00601EEA">
      <w:pPr>
        <w:pStyle w:val="SangriaFrancesaArticulo"/>
      </w:pPr>
      <w:r w:rsidRPr="00601EEA">
        <w:rPr>
          <w:rStyle w:val="TextoNormalNegritaCaracter"/>
        </w:rPr>
        <w:t>Disposición final segunda.</w:t>
      </w:r>
      <w:r w:rsidRPr="00601EEA">
        <w:rPr>
          <w:rStyle w:val="TextoNormalCaracter"/>
        </w:rPr>
        <w:t>-</w:t>
      </w:r>
      <w:r>
        <w:t xml:space="preserve"> Sentencia </w:t>
      </w:r>
      <w:hyperlink w:anchor="SENTENCIA_2024_68" w:history="1">
        <w:r w:rsidRPr="00601EEA">
          <w:rPr>
            <w:rStyle w:val="TextoNormalCaracter"/>
          </w:rPr>
          <w:t>68/2024</w:t>
        </w:r>
      </w:hyperlink>
      <w:r>
        <w:t>, f. 8.</w:t>
      </w:r>
    </w:p>
    <w:p w14:paraId="7A531638" w14:textId="60885B47" w:rsidR="00601EEA" w:rsidRDefault="00601EEA" w:rsidP="00601EEA">
      <w:pPr>
        <w:pStyle w:val="SangriaFrancesaArticulo"/>
      </w:pPr>
    </w:p>
    <w:p w14:paraId="5609C336" w14:textId="77777777" w:rsidR="00601EEA" w:rsidRDefault="00601EEA" w:rsidP="00601EEA">
      <w:pPr>
        <w:pStyle w:val="TextoNormalNegritaCursivandice"/>
        <w:keepNext/>
      </w:pPr>
      <w:r>
        <w:t>Ley 16/2013, de 29 de octubre. Establece determinadas medidas en materia de fiscalidad medioambiental y se adoptan otras medidas tributarias y financieras</w:t>
      </w:r>
    </w:p>
    <w:p w14:paraId="0E44AA42" w14:textId="083AE652"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11" w:history="1">
        <w:r w:rsidRPr="00601EEA">
          <w:rPr>
            <w:rStyle w:val="TextoNormalCaracter"/>
          </w:rPr>
          <w:t>11/2024</w:t>
        </w:r>
      </w:hyperlink>
      <w:r>
        <w:t>, f. 3.</w:t>
      </w:r>
    </w:p>
    <w:p w14:paraId="4DD05A49" w14:textId="4D248D11" w:rsidR="00601EEA" w:rsidRDefault="00601EEA" w:rsidP="00601EEA">
      <w:pPr>
        <w:pStyle w:val="SangriaFrancesaArticulo"/>
      </w:pPr>
    </w:p>
    <w:p w14:paraId="2D7F4A11" w14:textId="77777777" w:rsidR="00601EEA" w:rsidRDefault="00601EEA" w:rsidP="00601EEA">
      <w:pPr>
        <w:pStyle w:val="TextoNormalNegritaCursivandice"/>
        <w:keepNext/>
      </w:pPr>
      <w:r>
        <w:t>Ley 19/2013, de 9 de diciembre, de transparencia, acceso a la información pública y buen gobierno</w:t>
      </w:r>
    </w:p>
    <w:p w14:paraId="643006D4" w14:textId="72A7BE92" w:rsidR="00601EEA" w:rsidRDefault="00601EEA" w:rsidP="00601EEA">
      <w:pPr>
        <w:pStyle w:val="SangriaFrancesaArticulo"/>
      </w:pPr>
      <w:r w:rsidRPr="00601EEA">
        <w:rPr>
          <w:rStyle w:val="TextoNormalNegritaCaracter"/>
        </w:rPr>
        <w:t>Artículo 18.1 b).</w:t>
      </w:r>
      <w:r w:rsidRPr="00601EEA">
        <w:rPr>
          <w:rStyle w:val="TextoNormalCaracter"/>
        </w:rPr>
        <w:t>-</w:t>
      </w:r>
      <w:r>
        <w:t xml:space="preserve"> Autos </w:t>
      </w:r>
      <w:hyperlink w:anchor="AUTO_2024_8" w:history="1">
        <w:r w:rsidRPr="00601EEA">
          <w:rPr>
            <w:rStyle w:val="TextoNormalCaracter"/>
          </w:rPr>
          <w:t>8/2024</w:t>
        </w:r>
      </w:hyperlink>
      <w:r>
        <w:t xml:space="preserve">, f. 3; </w:t>
      </w:r>
      <w:hyperlink w:anchor="AUTO_2024_17" w:history="1">
        <w:r w:rsidRPr="00601EEA">
          <w:rPr>
            <w:rStyle w:val="TextoNormalCaracter"/>
          </w:rPr>
          <w:t>17/2024</w:t>
        </w:r>
      </w:hyperlink>
      <w:r>
        <w:t>, f. 3.</w:t>
      </w:r>
    </w:p>
    <w:p w14:paraId="1D1B2424" w14:textId="35464774" w:rsidR="00601EEA" w:rsidRDefault="00601EEA" w:rsidP="00601EEA">
      <w:pPr>
        <w:pStyle w:val="SangriaFrancesaArticulo"/>
      </w:pPr>
    </w:p>
    <w:p w14:paraId="0E8DE997" w14:textId="77777777" w:rsidR="00601EEA" w:rsidRDefault="00601EEA" w:rsidP="00601EEA">
      <w:pPr>
        <w:pStyle w:val="TextoNormalNegritaCursivandice"/>
        <w:keepNext/>
      </w:pPr>
      <w:r>
        <w:t>Ley 21/2013, de 9 de diciembre, de evaluación ambiental</w:t>
      </w:r>
    </w:p>
    <w:p w14:paraId="1221D132" w14:textId="585B3BE6"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25" w:history="1">
        <w:r w:rsidRPr="00601EEA">
          <w:rPr>
            <w:rStyle w:val="TextoNormalCaracter"/>
          </w:rPr>
          <w:t>25/2024</w:t>
        </w:r>
      </w:hyperlink>
      <w:r>
        <w:t>, f. 13.</w:t>
      </w:r>
    </w:p>
    <w:p w14:paraId="07FC17D3" w14:textId="18D03663" w:rsidR="00601EEA" w:rsidRDefault="00601EEA" w:rsidP="00601EEA">
      <w:pPr>
        <w:pStyle w:val="SangriaFrancesaArticulo"/>
      </w:pPr>
      <w:r w:rsidRPr="00601EEA">
        <w:rPr>
          <w:rStyle w:val="TextoNormalNegritaCaracter"/>
        </w:rPr>
        <w:t>Artículo 6.</w:t>
      </w:r>
      <w:r w:rsidRPr="00601EEA">
        <w:rPr>
          <w:rStyle w:val="TextoNormalCaracter"/>
        </w:rPr>
        <w:t>-</w:t>
      </w:r>
      <w:r>
        <w:t xml:space="preserve"> Sentencia </w:t>
      </w:r>
      <w:hyperlink w:anchor="SENTENCIA_2024_25" w:history="1">
        <w:r w:rsidRPr="00601EEA">
          <w:rPr>
            <w:rStyle w:val="TextoNormalCaracter"/>
          </w:rPr>
          <w:t>25/2024</w:t>
        </w:r>
      </w:hyperlink>
      <w:r>
        <w:t>, f. 13.</w:t>
      </w:r>
    </w:p>
    <w:p w14:paraId="394D8747" w14:textId="64CDE1CE" w:rsidR="00601EEA" w:rsidRDefault="00601EEA" w:rsidP="00601EEA">
      <w:pPr>
        <w:pStyle w:val="SangriaFrancesaArticulo"/>
      </w:pPr>
      <w:r w:rsidRPr="00601EEA">
        <w:rPr>
          <w:rStyle w:val="TextoNormalNegritaCaracter"/>
        </w:rPr>
        <w:t>Artículo 6.1.</w:t>
      </w:r>
      <w:r w:rsidRPr="00601EEA">
        <w:rPr>
          <w:rStyle w:val="TextoNormalCaracter"/>
        </w:rPr>
        <w:t>-</w:t>
      </w:r>
      <w:r>
        <w:t xml:space="preserve"> Sentencia </w:t>
      </w:r>
      <w:hyperlink w:anchor="SENTENCIA_2024_25" w:history="1">
        <w:r w:rsidRPr="00601EEA">
          <w:rPr>
            <w:rStyle w:val="TextoNormalCaracter"/>
          </w:rPr>
          <w:t>25/2024</w:t>
        </w:r>
      </w:hyperlink>
      <w:r>
        <w:t>, f. 13.</w:t>
      </w:r>
    </w:p>
    <w:p w14:paraId="53D3733E" w14:textId="235BA8D5" w:rsidR="00601EEA" w:rsidRDefault="00601EEA" w:rsidP="00601EEA">
      <w:pPr>
        <w:pStyle w:val="SangriaFrancesaArticulo"/>
      </w:pPr>
      <w:r w:rsidRPr="00601EEA">
        <w:rPr>
          <w:rStyle w:val="TextoNormalNegritaCaracter"/>
        </w:rPr>
        <w:t>Artículo 6.1 a).</w:t>
      </w:r>
      <w:r w:rsidRPr="00601EEA">
        <w:rPr>
          <w:rStyle w:val="TextoNormalCaracter"/>
        </w:rPr>
        <w:t>-</w:t>
      </w:r>
      <w:r>
        <w:t xml:space="preserve"> Sentencia </w:t>
      </w:r>
      <w:hyperlink w:anchor="SENTENCIA_2024_25" w:history="1">
        <w:r w:rsidRPr="00601EEA">
          <w:rPr>
            <w:rStyle w:val="TextoNormalCaracter"/>
          </w:rPr>
          <w:t>25/2024</w:t>
        </w:r>
      </w:hyperlink>
      <w:r>
        <w:t>, f. 13.</w:t>
      </w:r>
    </w:p>
    <w:p w14:paraId="4520A62C" w14:textId="707E8431" w:rsidR="00601EEA" w:rsidRDefault="00601EEA" w:rsidP="00601EEA">
      <w:pPr>
        <w:pStyle w:val="SangriaFrancesaArticulo"/>
      </w:pPr>
      <w:r w:rsidRPr="00601EEA">
        <w:rPr>
          <w:rStyle w:val="TextoNormalNegritaCaracter"/>
        </w:rPr>
        <w:t>Artículo 6.1 b).</w:t>
      </w:r>
      <w:r w:rsidRPr="00601EEA">
        <w:rPr>
          <w:rStyle w:val="TextoNormalCaracter"/>
        </w:rPr>
        <w:t>-</w:t>
      </w:r>
      <w:r>
        <w:t xml:space="preserve"> Sentencia </w:t>
      </w:r>
      <w:hyperlink w:anchor="SENTENCIA_2024_25" w:history="1">
        <w:r w:rsidRPr="00601EEA">
          <w:rPr>
            <w:rStyle w:val="TextoNormalCaracter"/>
          </w:rPr>
          <w:t>25/2024</w:t>
        </w:r>
      </w:hyperlink>
      <w:r>
        <w:t>, f. 13.</w:t>
      </w:r>
    </w:p>
    <w:p w14:paraId="0C06D5C8" w14:textId="13114F6B" w:rsidR="00601EEA" w:rsidRDefault="00601EEA" w:rsidP="00601EEA">
      <w:pPr>
        <w:pStyle w:val="SangriaFrancesaArticulo"/>
      </w:pPr>
      <w:r w:rsidRPr="00601EEA">
        <w:rPr>
          <w:rStyle w:val="TextoNormalNegritaCaracter"/>
        </w:rPr>
        <w:t>Artículo 6.1 c).</w:t>
      </w:r>
      <w:r w:rsidRPr="00601EEA">
        <w:rPr>
          <w:rStyle w:val="TextoNormalCaracter"/>
        </w:rPr>
        <w:t>-</w:t>
      </w:r>
      <w:r>
        <w:t xml:space="preserve"> Sentencia </w:t>
      </w:r>
      <w:hyperlink w:anchor="SENTENCIA_2024_25" w:history="1">
        <w:r w:rsidRPr="00601EEA">
          <w:rPr>
            <w:rStyle w:val="TextoNormalCaracter"/>
          </w:rPr>
          <w:t>25/2024</w:t>
        </w:r>
      </w:hyperlink>
      <w:r>
        <w:t>, f. 13.</w:t>
      </w:r>
    </w:p>
    <w:p w14:paraId="026D3E21" w14:textId="2242082E" w:rsidR="00601EEA" w:rsidRDefault="00601EEA" w:rsidP="00601EEA">
      <w:pPr>
        <w:pStyle w:val="SangriaFrancesaArticulo"/>
      </w:pPr>
      <w:r w:rsidRPr="00601EEA">
        <w:rPr>
          <w:rStyle w:val="TextoNormalNegritaCaracter"/>
        </w:rPr>
        <w:t>Artículo 6.1 d).</w:t>
      </w:r>
      <w:r w:rsidRPr="00601EEA">
        <w:rPr>
          <w:rStyle w:val="TextoNormalCaracter"/>
        </w:rPr>
        <w:t>-</w:t>
      </w:r>
      <w:r>
        <w:t xml:space="preserve"> Sentencia </w:t>
      </w:r>
      <w:hyperlink w:anchor="SENTENCIA_2024_25" w:history="1">
        <w:r w:rsidRPr="00601EEA">
          <w:rPr>
            <w:rStyle w:val="TextoNormalCaracter"/>
          </w:rPr>
          <w:t>25/2024</w:t>
        </w:r>
      </w:hyperlink>
      <w:r>
        <w:t>, f. 13.</w:t>
      </w:r>
    </w:p>
    <w:p w14:paraId="02D40E84" w14:textId="01FC9DD8" w:rsidR="00601EEA" w:rsidRDefault="00601EEA" w:rsidP="00601EEA">
      <w:pPr>
        <w:pStyle w:val="SangriaFrancesaArticulo"/>
      </w:pPr>
      <w:r w:rsidRPr="00601EEA">
        <w:rPr>
          <w:rStyle w:val="TextoNormalNegritaCaracter"/>
        </w:rPr>
        <w:t>Artículo 6.1 párrafo 1.</w:t>
      </w:r>
      <w:r w:rsidRPr="00601EEA">
        <w:rPr>
          <w:rStyle w:val="TextoNormalCaracter"/>
        </w:rPr>
        <w:t>-</w:t>
      </w:r>
      <w:r>
        <w:t xml:space="preserve"> Sentencia </w:t>
      </w:r>
      <w:hyperlink w:anchor="SENTENCIA_2024_25" w:history="1">
        <w:r w:rsidRPr="00601EEA">
          <w:rPr>
            <w:rStyle w:val="TextoNormalCaracter"/>
          </w:rPr>
          <w:t>25/2024</w:t>
        </w:r>
      </w:hyperlink>
      <w:r>
        <w:t>, f. 13.</w:t>
      </w:r>
    </w:p>
    <w:p w14:paraId="7B682898" w14:textId="66543DC9" w:rsidR="00601EEA" w:rsidRDefault="00601EEA" w:rsidP="00601EEA">
      <w:pPr>
        <w:pStyle w:val="SangriaFrancesaArticulo"/>
      </w:pPr>
      <w:r w:rsidRPr="00601EEA">
        <w:rPr>
          <w:rStyle w:val="TextoNormalNegritaCaracter"/>
        </w:rPr>
        <w:t>Artículo 7.</w:t>
      </w:r>
      <w:r w:rsidRPr="00601EEA">
        <w:rPr>
          <w:rStyle w:val="TextoNormalCaracter"/>
        </w:rPr>
        <w:t>-</w:t>
      </w:r>
      <w:r>
        <w:t xml:space="preserve"> Sentencia </w:t>
      </w:r>
      <w:hyperlink w:anchor="SENTENCIA_2024_25" w:history="1">
        <w:r w:rsidRPr="00601EEA">
          <w:rPr>
            <w:rStyle w:val="TextoNormalCaracter"/>
          </w:rPr>
          <w:t>25/2024</w:t>
        </w:r>
      </w:hyperlink>
      <w:r>
        <w:t>, f. 13.</w:t>
      </w:r>
    </w:p>
    <w:p w14:paraId="5CE0FA8A" w14:textId="56D88618" w:rsidR="00601EEA" w:rsidRDefault="00601EEA" w:rsidP="00601EEA">
      <w:pPr>
        <w:pStyle w:val="SangriaFrancesaArticulo"/>
      </w:pPr>
      <w:r w:rsidRPr="00601EEA">
        <w:rPr>
          <w:rStyle w:val="TextoNormalNegritaCaracter"/>
        </w:rPr>
        <w:t>Artículo 9.</w:t>
      </w:r>
      <w:r w:rsidRPr="00601EEA">
        <w:rPr>
          <w:rStyle w:val="TextoNormalCaracter"/>
        </w:rPr>
        <w:t>-</w:t>
      </w:r>
      <w:r>
        <w:t xml:space="preserve"> Sentencia </w:t>
      </w:r>
      <w:hyperlink w:anchor="SENTENCIA_2024_25" w:history="1">
        <w:r w:rsidRPr="00601EEA">
          <w:rPr>
            <w:rStyle w:val="TextoNormalCaracter"/>
          </w:rPr>
          <w:t>25/2024</w:t>
        </w:r>
      </w:hyperlink>
      <w:r>
        <w:t>, f. 13.</w:t>
      </w:r>
    </w:p>
    <w:p w14:paraId="43945812" w14:textId="529C932B" w:rsidR="00601EEA" w:rsidRDefault="00601EEA" w:rsidP="00601EEA">
      <w:pPr>
        <w:pStyle w:val="SangriaFrancesaArticulo"/>
      </w:pPr>
      <w:r w:rsidRPr="00601EEA">
        <w:rPr>
          <w:rStyle w:val="TextoNormalNegritaCaracter"/>
        </w:rPr>
        <w:t>Artículos 17 a 28.</w:t>
      </w:r>
      <w:r w:rsidRPr="00601EEA">
        <w:rPr>
          <w:rStyle w:val="TextoNormalCaracter"/>
        </w:rPr>
        <w:t>-</w:t>
      </w:r>
      <w:r>
        <w:t xml:space="preserve"> Sentencia </w:t>
      </w:r>
      <w:hyperlink w:anchor="SENTENCIA_2024_25" w:history="1">
        <w:r w:rsidRPr="00601EEA">
          <w:rPr>
            <w:rStyle w:val="TextoNormalCaracter"/>
          </w:rPr>
          <w:t>25/2024</w:t>
        </w:r>
      </w:hyperlink>
      <w:r>
        <w:t>, f. 13.</w:t>
      </w:r>
    </w:p>
    <w:p w14:paraId="52487DBF" w14:textId="57564853" w:rsidR="00601EEA" w:rsidRDefault="00601EEA" w:rsidP="00601EEA">
      <w:pPr>
        <w:pStyle w:val="SangriaFrancesaArticulo"/>
      </w:pPr>
      <w:r w:rsidRPr="00601EEA">
        <w:rPr>
          <w:rStyle w:val="TextoNormalNegritaCaracter"/>
        </w:rPr>
        <w:t>Artículo 18.4 párrafo 2.</w:t>
      </w:r>
      <w:r w:rsidRPr="00601EEA">
        <w:rPr>
          <w:rStyle w:val="TextoNormalCaracter"/>
        </w:rPr>
        <w:t>-</w:t>
      </w:r>
      <w:r>
        <w:t xml:space="preserve"> Sentencia </w:t>
      </w:r>
      <w:hyperlink w:anchor="SENTENCIA_2024_25" w:history="1">
        <w:r w:rsidRPr="00601EEA">
          <w:rPr>
            <w:rStyle w:val="TextoNormalCaracter"/>
          </w:rPr>
          <w:t>25/2024</w:t>
        </w:r>
      </w:hyperlink>
      <w:r>
        <w:t>, f. 13.</w:t>
      </w:r>
    </w:p>
    <w:p w14:paraId="1E5C6DC0" w14:textId="6846CAAE" w:rsidR="00601EEA" w:rsidRDefault="00601EEA" w:rsidP="00601EEA">
      <w:pPr>
        <w:pStyle w:val="SangriaFrancesaArticulo"/>
      </w:pPr>
      <w:r w:rsidRPr="00601EEA">
        <w:rPr>
          <w:rStyle w:val="TextoNormalNegritaCaracter"/>
        </w:rPr>
        <w:t>Artículo 18.4 párrafo 3.</w:t>
      </w:r>
      <w:r w:rsidRPr="00601EEA">
        <w:rPr>
          <w:rStyle w:val="TextoNormalCaracter"/>
        </w:rPr>
        <w:t>-</w:t>
      </w:r>
      <w:r>
        <w:t xml:space="preserve"> Sentencia </w:t>
      </w:r>
      <w:hyperlink w:anchor="SENTENCIA_2024_25" w:history="1">
        <w:r w:rsidRPr="00601EEA">
          <w:rPr>
            <w:rStyle w:val="TextoNormalCaracter"/>
          </w:rPr>
          <w:t>25/2024</w:t>
        </w:r>
      </w:hyperlink>
      <w:r>
        <w:t>, f. 13.</w:t>
      </w:r>
    </w:p>
    <w:p w14:paraId="4565F083" w14:textId="457F4032" w:rsidR="00601EEA" w:rsidRDefault="00601EEA" w:rsidP="00601EEA">
      <w:pPr>
        <w:pStyle w:val="SangriaFrancesaArticulo"/>
      </w:pPr>
      <w:r w:rsidRPr="00601EEA">
        <w:rPr>
          <w:rStyle w:val="TextoNormalNegritaCaracter"/>
        </w:rPr>
        <w:t xml:space="preserve">Artículo 19.1 párrafo 2 </w:t>
      </w:r>
      <w:r w:rsidRPr="00601EEA">
        <w:rPr>
          <w:rStyle w:val="TextoNormalNegritaCursivaCaracter"/>
        </w:rPr>
        <w:t>in fine</w:t>
      </w:r>
      <w:r w:rsidRPr="00601EEA">
        <w:rPr>
          <w:rStyle w:val="TextoNormalNegritaCaracter"/>
        </w:rPr>
        <w:t>.</w:t>
      </w:r>
      <w:r w:rsidRPr="00601EEA">
        <w:rPr>
          <w:rStyle w:val="TextoNormalCaracter"/>
        </w:rPr>
        <w:t>-</w:t>
      </w:r>
      <w:r>
        <w:t xml:space="preserve"> Sentencia </w:t>
      </w:r>
      <w:hyperlink w:anchor="SENTENCIA_2024_25" w:history="1">
        <w:r w:rsidRPr="00601EEA">
          <w:rPr>
            <w:rStyle w:val="TextoNormalCaracter"/>
          </w:rPr>
          <w:t>25/2024</w:t>
        </w:r>
      </w:hyperlink>
      <w:r>
        <w:t>, f. 13.</w:t>
      </w:r>
    </w:p>
    <w:p w14:paraId="1D559177" w14:textId="6493633C" w:rsidR="00601EEA" w:rsidRDefault="00601EEA" w:rsidP="00601EEA">
      <w:pPr>
        <w:pStyle w:val="SangriaFrancesaArticulo"/>
      </w:pPr>
      <w:r w:rsidRPr="00601EEA">
        <w:rPr>
          <w:rStyle w:val="TextoNormalNegritaCaracter"/>
        </w:rPr>
        <w:t>Artículo 23 párrafo 2.</w:t>
      </w:r>
      <w:r w:rsidRPr="00601EEA">
        <w:rPr>
          <w:rStyle w:val="TextoNormalCaracter"/>
        </w:rPr>
        <w:t>-</w:t>
      </w:r>
      <w:r>
        <w:t xml:space="preserve"> Sentencia </w:t>
      </w:r>
      <w:hyperlink w:anchor="SENTENCIA_2024_25" w:history="1">
        <w:r w:rsidRPr="00601EEA">
          <w:rPr>
            <w:rStyle w:val="TextoNormalCaracter"/>
          </w:rPr>
          <w:t>25/2024</w:t>
        </w:r>
      </w:hyperlink>
      <w:r>
        <w:t>, f. 13.</w:t>
      </w:r>
    </w:p>
    <w:p w14:paraId="683C0148" w14:textId="1C5338EC" w:rsidR="00601EEA" w:rsidRDefault="00601EEA" w:rsidP="00601EEA">
      <w:pPr>
        <w:pStyle w:val="SangriaFrancesaArticulo"/>
      </w:pPr>
      <w:r w:rsidRPr="00601EEA">
        <w:rPr>
          <w:rStyle w:val="TextoNormalNegritaCaracter"/>
        </w:rPr>
        <w:t>Artículo 27.2.</w:t>
      </w:r>
      <w:r w:rsidRPr="00601EEA">
        <w:rPr>
          <w:rStyle w:val="TextoNormalCaracter"/>
        </w:rPr>
        <w:t>-</w:t>
      </w:r>
      <w:r>
        <w:t xml:space="preserve"> Sentencia </w:t>
      </w:r>
      <w:hyperlink w:anchor="SENTENCIA_2024_25" w:history="1">
        <w:r w:rsidRPr="00601EEA">
          <w:rPr>
            <w:rStyle w:val="TextoNormalCaracter"/>
          </w:rPr>
          <w:t>25/2024</w:t>
        </w:r>
      </w:hyperlink>
      <w:r>
        <w:t>, f. 13.</w:t>
      </w:r>
    </w:p>
    <w:p w14:paraId="711863D9" w14:textId="0276F3C6" w:rsidR="00601EEA" w:rsidRDefault="00601EEA" w:rsidP="00601EEA">
      <w:pPr>
        <w:pStyle w:val="SangriaFrancesaArticulo"/>
      </w:pPr>
      <w:r w:rsidRPr="00601EEA">
        <w:rPr>
          <w:rStyle w:val="TextoNormalNegritaCaracter"/>
        </w:rPr>
        <w:t xml:space="preserve">Artículo 27.3 </w:t>
      </w:r>
      <w:r w:rsidRPr="00601EEA">
        <w:rPr>
          <w:rStyle w:val="TextoNormalNegritaCursivaCaracter"/>
        </w:rPr>
        <w:t>in fine</w:t>
      </w:r>
      <w:r w:rsidRPr="00601EEA">
        <w:rPr>
          <w:rStyle w:val="TextoNormalNegritaCaracter"/>
        </w:rPr>
        <w:t>.</w:t>
      </w:r>
      <w:r w:rsidRPr="00601EEA">
        <w:rPr>
          <w:rStyle w:val="TextoNormalCaracter"/>
        </w:rPr>
        <w:t>-</w:t>
      </w:r>
      <w:r>
        <w:t xml:space="preserve"> Sentencia </w:t>
      </w:r>
      <w:hyperlink w:anchor="SENTENCIA_2024_25" w:history="1">
        <w:r w:rsidRPr="00601EEA">
          <w:rPr>
            <w:rStyle w:val="TextoNormalCaracter"/>
          </w:rPr>
          <w:t>25/2024</w:t>
        </w:r>
      </w:hyperlink>
      <w:r>
        <w:t>, f. 13.</w:t>
      </w:r>
    </w:p>
    <w:p w14:paraId="4706254B" w14:textId="2F299814" w:rsidR="00601EEA" w:rsidRDefault="00601EEA" w:rsidP="00601EEA">
      <w:pPr>
        <w:pStyle w:val="SangriaFrancesaArticulo"/>
      </w:pPr>
      <w:r w:rsidRPr="00601EEA">
        <w:rPr>
          <w:rStyle w:val="TextoNormalNegritaCaracter"/>
        </w:rPr>
        <w:t xml:space="preserve">Artículo 28.4 párrafo 2 </w:t>
      </w:r>
      <w:r w:rsidRPr="00601EEA">
        <w:rPr>
          <w:rStyle w:val="TextoNormalNegritaCursivaCaracter"/>
        </w:rPr>
        <w:t>in fine</w:t>
      </w:r>
      <w:r w:rsidRPr="00601EEA">
        <w:rPr>
          <w:rStyle w:val="TextoNormalNegritaCaracter"/>
        </w:rPr>
        <w:t>.</w:t>
      </w:r>
      <w:r w:rsidRPr="00601EEA">
        <w:rPr>
          <w:rStyle w:val="TextoNormalCaracter"/>
        </w:rPr>
        <w:t>-</w:t>
      </w:r>
      <w:r>
        <w:t xml:space="preserve"> Sentencia </w:t>
      </w:r>
      <w:hyperlink w:anchor="SENTENCIA_2024_25" w:history="1">
        <w:r w:rsidRPr="00601EEA">
          <w:rPr>
            <w:rStyle w:val="TextoNormalCaracter"/>
          </w:rPr>
          <w:t>25/2024</w:t>
        </w:r>
      </w:hyperlink>
      <w:r>
        <w:t>, f. 13.</w:t>
      </w:r>
    </w:p>
    <w:p w14:paraId="0E26E036" w14:textId="6A526A2A" w:rsidR="00601EEA" w:rsidRDefault="00601EEA" w:rsidP="00601EEA">
      <w:pPr>
        <w:pStyle w:val="SangriaFrancesaArticulo"/>
      </w:pPr>
      <w:r w:rsidRPr="00601EEA">
        <w:rPr>
          <w:rStyle w:val="TextoNormalNegritaCaracter"/>
        </w:rPr>
        <w:t>Disposición final octava.</w:t>
      </w:r>
      <w:r w:rsidRPr="00601EEA">
        <w:rPr>
          <w:rStyle w:val="TextoNormalCaracter"/>
        </w:rPr>
        <w:t>-</w:t>
      </w:r>
      <w:r>
        <w:t xml:space="preserve"> Sentencia </w:t>
      </w:r>
      <w:hyperlink w:anchor="SENTENCIA_2024_25" w:history="1">
        <w:r w:rsidRPr="00601EEA">
          <w:rPr>
            <w:rStyle w:val="TextoNormalCaracter"/>
          </w:rPr>
          <w:t>25/2024</w:t>
        </w:r>
      </w:hyperlink>
      <w:r>
        <w:t>, f. 13.</w:t>
      </w:r>
    </w:p>
    <w:p w14:paraId="6ADE3909" w14:textId="6A3F016F" w:rsidR="00601EEA" w:rsidRDefault="00601EEA" w:rsidP="00601EEA">
      <w:pPr>
        <w:pStyle w:val="SangriaFrancesaArticulo"/>
      </w:pPr>
    </w:p>
    <w:p w14:paraId="464C7E9E" w14:textId="77777777" w:rsidR="00601EEA" w:rsidRDefault="00601EEA" w:rsidP="00601EEA">
      <w:pPr>
        <w:pStyle w:val="TextoNormalNegritaCursivandice"/>
        <w:keepNext/>
      </w:pPr>
      <w:r>
        <w:t>Ley 24/2013, de 26 de diciembre, del sector eléctrico</w:t>
      </w:r>
    </w:p>
    <w:p w14:paraId="048A2465" w14:textId="3728AE06" w:rsidR="00601EEA" w:rsidRDefault="00601EEA" w:rsidP="00601EEA">
      <w:pPr>
        <w:pStyle w:val="SangriaFrancesaArticulo"/>
      </w:pPr>
      <w:r w:rsidRPr="00601EEA">
        <w:rPr>
          <w:rStyle w:val="TextoNormalNegritaCaracter"/>
        </w:rPr>
        <w:t>En general.</w:t>
      </w:r>
      <w:r w:rsidRPr="00601EEA">
        <w:rPr>
          <w:rStyle w:val="TextoNormalCaracter"/>
        </w:rPr>
        <w:t>-</w:t>
      </w:r>
      <w:r>
        <w:t xml:space="preserve"> Auto </w:t>
      </w:r>
      <w:hyperlink w:anchor="AUTO_2024_37" w:history="1">
        <w:r w:rsidRPr="00601EEA">
          <w:rPr>
            <w:rStyle w:val="TextoNormalCaracter"/>
          </w:rPr>
          <w:t>37/2024</w:t>
        </w:r>
      </w:hyperlink>
      <w:r>
        <w:t>, f. 1.</w:t>
      </w:r>
    </w:p>
    <w:p w14:paraId="0DBF6E43" w14:textId="03F5B76B" w:rsidR="00601EEA" w:rsidRDefault="00601EEA" w:rsidP="00601EEA">
      <w:pPr>
        <w:pStyle w:val="SangriaFrancesaArticulo"/>
      </w:pPr>
    </w:p>
    <w:p w14:paraId="2681AF8D" w14:textId="77777777" w:rsidR="00601EEA" w:rsidRDefault="00601EEA" w:rsidP="00601EEA">
      <w:pPr>
        <w:pStyle w:val="TextoNormalNegritaCursivandice"/>
        <w:keepNext/>
      </w:pPr>
      <w:r>
        <w:t>Ley 10/2014, de 26 de junio. Ordenación, supervisión y solvencia de entidades de crédito</w:t>
      </w:r>
    </w:p>
    <w:p w14:paraId="22A5C2BA" w14:textId="117E51BF"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54" w:history="1">
        <w:r w:rsidRPr="00601EEA">
          <w:rPr>
            <w:rStyle w:val="TextoNormalCaracter"/>
          </w:rPr>
          <w:t>54/2024</w:t>
        </w:r>
      </w:hyperlink>
      <w:r>
        <w:t>, f. 3.</w:t>
      </w:r>
    </w:p>
    <w:p w14:paraId="0CBA4CF8" w14:textId="62278EFF" w:rsidR="00601EEA" w:rsidRDefault="00601EEA" w:rsidP="00601EEA">
      <w:pPr>
        <w:pStyle w:val="SangriaFrancesaArticulo"/>
      </w:pPr>
    </w:p>
    <w:p w14:paraId="34BE7D1A" w14:textId="77777777" w:rsidR="00601EEA" w:rsidRDefault="00601EEA" w:rsidP="00601EEA">
      <w:pPr>
        <w:pStyle w:val="TextoNormalNegritaCursivandice"/>
        <w:keepNext/>
      </w:pPr>
      <w:r>
        <w:t>Ley 23/2014, de 20 de noviembre, de reconocimiento mutuo de resoluciones penales en la Unión Europea</w:t>
      </w:r>
    </w:p>
    <w:p w14:paraId="62AFE618" w14:textId="46A3072C"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87" w:history="1">
        <w:r w:rsidRPr="00601EEA">
          <w:rPr>
            <w:rStyle w:val="TextoNormalCaracter"/>
          </w:rPr>
          <w:t>87/2024</w:t>
        </w:r>
      </w:hyperlink>
      <w:r>
        <w:t>, VP II.</w:t>
      </w:r>
    </w:p>
    <w:p w14:paraId="39386306" w14:textId="433BA82F" w:rsidR="00601EEA" w:rsidRDefault="00601EEA" w:rsidP="00601EEA">
      <w:pPr>
        <w:pStyle w:val="SangriaFrancesaArticulo"/>
      </w:pPr>
    </w:p>
    <w:p w14:paraId="1F7D0A5E" w14:textId="77777777" w:rsidR="00601EEA" w:rsidRDefault="00601EEA" w:rsidP="00601EEA">
      <w:pPr>
        <w:pStyle w:val="TextoNormalNegritaCursivandice"/>
        <w:keepNext/>
      </w:pPr>
      <w:r>
        <w:t>Ley 27/2014, de 27 de noviembre, del impuesto sobre sociedades</w:t>
      </w:r>
    </w:p>
    <w:p w14:paraId="1649220B" w14:textId="4B36FA56"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16" w:history="1">
        <w:r w:rsidRPr="00601EEA">
          <w:rPr>
            <w:rStyle w:val="TextoNormalCaracter"/>
          </w:rPr>
          <w:t>16/2024</w:t>
        </w:r>
      </w:hyperlink>
      <w:r>
        <w:t>, f. 1.</w:t>
      </w:r>
    </w:p>
    <w:p w14:paraId="662C44E8" w14:textId="0AE13F33" w:rsidR="00601EEA" w:rsidRDefault="00601EEA" w:rsidP="00601EEA">
      <w:pPr>
        <w:pStyle w:val="SangriaFrancesaArticulo"/>
      </w:pPr>
      <w:r w:rsidRPr="00601EEA">
        <w:rPr>
          <w:rStyle w:val="TextoNormalNegritaCaracter"/>
        </w:rPr>
        <w:lastRenderedPageBreak/>
        <w:t>Preámbulo, apartado 1, párrafo 1.</w:t>
      </w:r>
      <w:r w:rsidRPr="00601EEA">
        <w:rPr>
          <w:rStyle w:val="TextoNormalCaracter"/>
        </w:rPr>
        <w:t>-</w:t>
      </w:r>
      <w:r>
        <w:t xml:space="preserve"> Sentencia </w:t>
      </w:r>
      <w:hyperlink w:anchor="SENTENCIA_2024_11" w:history="1">
        <w:r w:rsidRPr="00601EEA">
          <w:rPr>
            <w:rStyle w:val="TextoNormalCaracter"/>
          </w:rPr>
          <w:t>11/2024</w:t>
        </w:r>
      </w:hyperlink>
      <w:r>
        <w:t>, f. 3.</w:t>
      </w:r>
    </w:p>
    <w:p w14:paraId="34DA4A79" w14:textId="47E4779E" w:rsidR="00601EEA" w:rsidRDefault="00601EEA" w:rsidP="00601EEA">
      <w:pPr>
        <w:pStyle w:val="SangriaFrancesaArticulo"/>
      </w:pPr>
      <w:r w:rsidRPr="00601EEA">
        <w:rPr>
          <w:rStyle w:val="TextoNormalNegritaCaracter"/>
        </w:rPr>
        <w:t>Artículo 10.</w:t>
      </w:r>
      <w:r w:rsidRPr="00601EEA">
        <w:rPr>
          <w:rStyle w:val="TextoNormalCaracter"/>
        </w:rPr>
        <w:t>-</w:t>
      </w:r>
      <w:r>
        <w:t xml:space="preserve"> Sentencia </w:t>
      </w:r>
      <w:hyperlink w:anchor="SENTENCIA_2024_11" w:history="1">
        <w:r w:rsidRPr="00601EEA">
          <w:rPr>
            <w:rStyle w:val="TextoNormalCaracter"/>
          </w:rPr>
          <w:t>11/2024</w:t>
        </w:r>
      </w:hyperlink>
      <w:r>
        <w:t>, f. 3.</w:t>
      </w:r>
    </w:p>
    <w:p w14:paraId="0E6DD350" w14:textId="5CD71F71" w:rsidR="00601EEA" w:rsidRDefault="00601EEA" w:rsidP="00601EEA">
      <w:pPr>
        <w:pStyle w:val="SangriaFrancesaArticulo"/>
      </w:pPr>
      <w:r w:rsidRPr="00601EEA">
        <w:rPr>
          <w:rStyle w:val="TextoNormalNegritaCaracter"/>
        </w:rPr>
        <w:t>Artículo 11 apartado 12.</w:t>
      </w:r>
      <w:r w:rsidRPr="00601EEA">
        <w:rPr>
          <w:rStyle w:val="TextoNormalCaracter"/>
        </w:rPr>
        <w:t>-</w:t>
      </w:r>
      <w:r>
        <w:t xml:space="preserve"> Sentencias </w:t>
      </w:r>
      <w:hyperlink w:anchor="SENTENCIA_2024_11" w:history="1">
        <w:r w:rsidRPr="00601EEA">
          <w:rPr>
            <w:rStyle w:val="TextoNormalCaracter"/>
          </w:rPr>
          <w:t>11/2024</w:t>
        </w:r>
      </w:hyperlink>
      <w:r>
        <w:t xml:space="preserve">, f. 1; </w:t>
      </w:r>
      <w:hyperlink w:anchor="SENTENCIA_2024_16" w:history="1">
        <w:r w:rsidRPr="00601EEA">
          <w:rPr>
            <w:rStyle w:val="TextoNormalCaracter"/>
          </w:rPr>
          <w:t>16/2024</w:t>
        </w:r>
      </w:hyperlink>
      <w:r>
        <w:t>, f. 1.</w:t>
      </w:r>
    </w:p>
    <w:p w14:paraId="3E08A0C9" w14:textId="6162ACC8" w:rsidR="00601EEA" w:rsidRDefault="00601EEA" w:rsidP="00601EEA">
      <w:pPr>
        <w:pStyle w:val="SangriaFrancesaArticulo"/>
      </w:pPr>
      <w:r w:rsidRPr="00601EEA">
        <w:rPr>
          <w:rStyle w:val="TextoNormalNegritaCaracter"/>
        </w:rPr>
        <w:t>Artículo 26 apartado 1 párrafo 1.</w:t>
      </w:r>
      <w:r w:rsidRPr="00601EEA">
        <w:rPr>
          <w:rStyle w:val="TextoNormalCaracter"/>
        </w:rPr>
        <w:t>-</w:t>
      </w:r>
      <w:r>
        <w:t xml:space="preserve"> Sentencias </w:t>
      </w:r>
      <w:hyperlink w:anchor="SENTENCIA_2024_11" w:history="1">
        <w:r w:rsidRPr="00601EEA">
          <w:rPr>
            <w:rStyle w:val="TextoNormalCaracter"/>
          </w:rPr>
          <w:t>11/2024</w:t>
        </w:r>
      </w:hyperlink>
      <w:r>
        <w:t xml:space="preserve">, f. 1; </w:t>
      </w:r>
      <w:hyperlink w:anchor="SENTENCIA_2024_16" w:history="1">
        <w:r w:rsidRPr="00601EEA">
          <w:rPr>
            <w:rStyle w:val="TextoNormalCaracter"/>
          </w:rPr>
          <w:t>16/2024</w:t>
        </w:r>
      </w:hyperlink>
      <w:r>
        <w:t>, f. 1.</w:t>
      </w:r>
    </w:p>
    <w:p w14:paraId="2219F66D" w14:textId="770FE979" w:rsidR="00601EEA" w:rsidRDefault="00601EEA" w:rsidP="00601EEA">
      <w:pPr>
        <w:pStyle w:val="SangriaFrancesaArticulo"/>
      </w:pPr>
      <w:r w:rsidRPr="00601EEA">
        <w:rPr>
          <w:rStyle w:val="TextoNormalNegritaCaracter"/>
        </w:rPr>
        <w:t>Artículo 30.</w:t>
      </w:r>
      <w:r w:rsidRPr="00601EEA">
        <w:rPr>
          <w:rStyle w:val="TextoNormalCaracter"/>
        </w:rPr>
        <w:t>-</w:t>
      </w:r>
      <w:r>
        <w:t xml:space="preserve"> Sentencia </w:t>
      </w:r>
      <w:hyperlink w:anchor="SENTENCIA_2024_11" w:history="1">
        <w:r w:rsidRPr="00601EEA">
          <w:rPr>
            <w:rStyle w:val="TextoNormalCaracter"/>
          </w:rPr>
          <w:t>11/2024</w:t>
        </w:r>
      </w:hyperlink>
      <w:r>
        <w:t>, f. 3.</w:t>
      </w:r>
    </w:p>
    <w:p w14:paraId="656D8111" w14:textId="7E30EB50" w:rsidR="00601EEA" w:rsidRDefault="00601EEA" w:rsidP="00601EEA">
      <w:pPr>
        <w:pStyle w:val="SangriaFrancesaArticulo"/>
      </w:pPr>
      <w:r w:rsidRPr="00601EEA">
        <w:rPr>
          <w:rStyle w:val="TextoNormalNegritaCaracter"/>
        </w:rPr>
        <w:t>Artículo 31.</w:t>
      </w:r>
      <w:r w:rsidRPr="00601EEA">
        <w:rPr>
          <w:rStyle w:val="TextoNormalCaracter"/>
        </w:rPr>
        <w:t>-</w:t>
      </w:r>
      <w:r>
        <w:t xml:space="preserve"> Sentencia </w:t>
      </w:r>
      <w:hyperlink w:anchor="SENTENCIA_2024_11" w:history="1">
        <w:r w:rsidRPr="00601EEA">
          <w:rPr>
            <w:rStyle w:val="TextoNormalCaracter"/>
          </w:rPr>
          <w:t>11/2024</w:t>
        </w:r>
      </w:hyperlink>
      <w:r>
        <w:t>, f. 1.</w:t>
      </w:r>
    </w:p>
    <w:p w14:paraId="78F9626B" w14:textId="3195AD13" w:rsidR="00601EEA" w:rsidRDefault="00601EEA" w:rsidP="00601EEA">
      <w:pPr>
        <w:pStyle w:val="SangriaFrancesaArticulo"/>
      </w:pPr>
      <w:r w:rsidRPr="00601EEA">
        <w:rPr>
          <w:rStyle w:val="TextoNormalNegritaCaracter"/>
        </w:rPr>
        <w:t>Artículo 32.</w:t>
      </w:r>
      <w:r w:rsidRPr="00601EEA">
        <w:rPr>
          <w:rStyle w:val="TextoNormalCaracter"/>
        </w:rPr>
        <w:t>-</w:t>
      </w:r>
      <w:r>
        <w:t xml:space="preserve"> Sentencia </w:t>
      </w:r>
      <w:hyperlink w:anchor="SENTENCIA_2024_11" w:history="1">
        <w:r w:rsidRPr="00601EEA">
          <w:rPr>
            <w:rStyle w:val="TextoNormalCaracter"/>
          </w:rPr>
          <w:t>11/2024</w:t>
        </w:r>
      </w:hyperlink>
      <w:r>
        <w:t>, f. 1.</w:t>
      </w:r>
    </w:p>
    <w:p w14:paraId="332A27D7" w14:textId="1B0CDDA2" w:rsidR="00601EEA" w:rsidRDefault="00601EEA" w:rsidP="00601EEA">
      <w:pPr>
        <w:pStyle w:val="SangriaFrancesaArticulo"/>
      </w:pPr>
      <w:r w:rsidRPr="00601EEA">
        <w:rPr>
          <w:rStyle w:val="TextoNormalNegritaCaracter"/>
        </w:rPr>
        <w:t>Artículo 62 apartado 1 e).</w:t>
      </w:r>
      <w:r w:rsidRPr="00601EEA">
        <w:rPr>
          <w:rStyle w:val="TextoNormalCaracter"/>
        </w:rPr>
        <w:t>-</w:t>
      </w:r>
      <w:r>
        <w:t xml:space="preserve"> Sentencias </w:t>
      </w:r>
      <w:hyperlink w:anchor="SENTENCIA_2024_11" w:history="1">
        <w:r w:rsidRPr="00601EEA">
          <w:rPr>
            <w:rStyle w:val="TextoNormalCaracter"/>
          </w:rPr>
          <w:t>11/2024</w:t>
        </w:r>
      </w:hyperlink>
      <w:r>
        <w:t xml:space="preserve">, f. 1; </w:t>
      </w:r>
      <w:hyperlink w:anchor="SENTENCIA_2024_16" w:history="1">
        <w:r w:rsidRPr="00601EEA">
          <w:rPr>
            <w:rStyle w:val="TextoNormalCaracter"/>
          </w:rPr>
          <w:t>16/2024</w:t>
        </w:r>
      </w:hyperlink>
      <w:r>
        <w:t>, f. 1.</w:t>
      </w:r>
    </w:p>
    <w:p w14:paraId="45CD98E3" w14:textId="285429B9" w:rsidR="00601EEA" w:rsidRDefault="00601EEA" w:rsidP="00601EEA">
      <w:pPr>
        <w:pStyle w:val="SangriaFrancesaArticulo"/>
      </w:pPr>
      <w:r w:rsidRPr="00601EEA">
        <w:rPr>
          <w:rStyle w:val="TextoNormalNegritaCaracter"/>
        </w:rPr>
        <w:t>Artículo 67 d).</w:t>
      </w:r>
      <w:r w:rsidRPr="00601EEA">
        <w:rPr>
          <w:rStyle w:val="TextoNormalCaracter"/>
        </w:rPr>
        <w:t>-</w:t>
      </w:r>
      <w:r>
        <w:t xml:space="preserve"> Sentencias </w:t>
      </w:r>
      <w:hyperlink w:anchor="SENTENCIA_2024_11" w:history="1">
        <w:r w:rsidRPr="00601EEA">
          <w:rPr>
            <w:rStyle w:val="TextoNormalCaracter"/>
          </w:rPr>
          <w:t>11/2024</w:t>
        </w:r>
      </w:hyperlink>
      <w:r>
        <w:t xml:space="preserve">, f. 1; </w:t>
      </w:r>
      <w:hyperlink w:anchor="SENTENCIA_2024_16" w:history="1">
        <w:r w:rsidRPr="00601EEA">
          <w:rPr>
            <w:rStyle w:val="TextoNormalCaracter"/>
          </w:rPr>
          <w:t>16/2024</w:t>
        </w:r>
      </w:hyperlink>
      <w:r>
        <w:t>, f. 1.</w:t>
      </w:r>
    </w:p>
    <w:p w14:paraId="37F03492" w14:textId="211E312D" w:rsidR="00601EEA" w:rsidRDefault="00601EEA" w:rsidP="00601EEA">
      <w:pPr>
        <w:pStyle w:val="SangriaFrancesaArticulo"/>
      </w:pPr>
      <w:r w:rsidRPr="00601EEA">
        <w:rPr>
          <w:rStyle w:val="TextoNormalNegritaCaracter"/>
        </w:rPr>
        <w:t>Artículo 67 e).</w:t>
      </w:r>
      <w:r w:rsidRPr="00601EEA">
        <w:rPr>
          <w:rStyle w:val="TextoNormalCaracter"/>
        </w:rPr>
        <w:t>-</w:t>
      </w:r>
      <w:r>
        <w:t xml:space="preserve"> Sentencias </w:t>
      </w:r>
      <w:hyperlink w:anchor="SENTENCIA_2024_11" w:history="1">
        <w:r w:rsidRPr="00601EEA">
          <w:rPr>
            <w:rStyle w:val="TextoNormalCaracter"/>
          </w:rPr>
          <w:t>11/2024</w:t>
        </w:r>
      </w:hyperlink>
      <w:r>
        <w:t xml:space="preserve">, f. 1; </w:t>
      </w:r>
      <w:hyperlink w:anchor="SENTENCIA_2024_16" w:history="1">
        <w:r w:rsidRPr="00601EEA">
          <w:rPr>
            <w:rStyle w:val="TextoNormalCaracter"/>
          </w:rPr>
          <w:t>16/2024</w:t>
        </w:r>
      </w:hyperlink>
      <w:r>
        <w:t>, f. 1.</w:t>
      </w:r>
    </w:p>
    <w:p w14:paraId="07457BF9" w14:textId="6FA19C05" w:rsidR="00601EEA" w:rsidRDefault="00601EEA" w:rsidP="00601EEA">
      <w:pPr>
        <w:pStyle w:val="SangriaFrancesaArticulo"/>
      </w:pPr>
      <w:r w:rsidRPr="00601EEA">
        <w:rPr>
          <w:rStyle w:val="TextoNormalNegritaCaracter"/>
        </w:rPr>
        <w:t>Artículo 100 apartado 11.</w:t>
      </w:r>
      <w:r w:rsidRPr="00601EEA">
        <w:rPr>
          <w:rStyle w:val="TextoNormalCaracter"/>
        </w:rPr>
        <w:t>-</w:t>
      </w:r>
      <w:r>
        <w:t xml:space="preserve"> Sentencia </w:t>
      </w:r>
      <w:hyperlink w:anchor="SENTENCIA_2024_11" w:history="1">
        <w:r w:rsidRPr="00601EEA">
          <w:rPr>
            <w:rStyle w:val="TextoNormalCaracter"/>
          </w:rPr>
          <w:t>11/2024</w:t>
        </w:r>
      </w:hyperlink>
      <w:r>
        <w:t>, f. 1.</w:t>
      </w:r>
    </w:p>
    <w:p w14:paraId="0C3C56F9" w14:textId="3F4A8718" w:rsidR="00601EEA" w:rsidRDefault="00601EEA" w:rsidP="00601EEA">
      <w:pPr>
        <w:pStyle w:val="SangriaFrancesaArticulo"/>
      </w:pPr>
      <w:r w:rsidRPr="00601EEA">
        <w:rPr>
          <w:rStyle w:val="TextoNormalNegritaCaracter"/>
        </w:rPr>
        <w:t>Disposición adicional decimocuarta.</w:t>
      </w:r>
      <w:r w:rsidRPr="00601EEA">
        <w:rPr>
          <w:rStyle w:val="TextoNormalCaracter"/>
        </w:rPr>
        <w:t>-</w:t>
      </w:r>
      <w:r>
        <w:t xml:space="preserve"> Auto </w:t>
      </w:r>
      <w:hyperlink w:anchor="AUTO_2024_59" w:history="1">
        <w:r w:rsidRPr="00601EEA">
          <w:rPr>
            <w:rStyle w:val="TextoNormalCaracter"/>
          </w:rPr>
          <w:t>59/2024</w:t>
        </w:r>
      </w:hyperlink>
      <w:r>
        <w:t>, f. único.</w:t>
      </w:r>
    </w:p>
    <w:p w14:paraId="04B8821B" w14:textId="06894666" w:rsidR="00601EEA" w:rsidRDefault="00601EEA" w:rsidP="00601EEA">
      <w:pPr>
        <w:pStyle w:val="SangriaFrancesaArticulo"/>
      </w:pPr>
      <w:r w:rsidRPr="00601EEA">
        <w:rPr>
          <w:rStyle w:val="TextoNormalNegritaCaracter"/>
        </w:rPr>
        <w:t>Disposición adicional decimoquinta.</w:t>
      </w:r>
      <w:r w:rsidRPr="00601EEA">
        <w:rPr>
          <w:rStyle w:val="TextoNormalCaracter"/>
        </w:rPr>
        <w:t>-</w:t>
      </w:r>
      <w:r>
        <w:t xml:space="preserve"> Sentencias </w:t>
      </w:r>
      <w:hyperlink w:anchor="SENTENCIA_2024_11" w:history="1">
        <w:r w:rsidRPr="00601EEA">
          <w:rPr>
            <w:rStyle w:val="TextoNormalCaracter"/>
          </w:rPr>
          <w:t>11/2024</w:t>
        </w:r>
      </w:hyperlink>
      <w:r>
        <w:t xml:space="preserve">, f. 1; </w:t>
      </w:r>
      <w:hyperlink w:anchor="SENTENCIA_2024_16" w:history="1">
        <w:r w:rsidRPr="00601EEA">
          <w:rPr>
            <w:rStyle w:val="TextoNormalCaracter"/>
          </w:rPr>
          <w:t>16/2024</w:t>
        </w:r>
      </w:hyperlink>
      <w:r>
        <w:t>, f. 1.</w:t>
      </w:r>
    </w:p>
    <w:p w14:paraId="78CC5F97" w14:textId="4E559B3E" w:rsidR="00601EEA" w:rsidRDefault="00601EEA" w:rsidP="00601EEA">
      <w:pPr>
        <w:pStyle w:val="SangriaFrancesaArticulo"/>
      </w:pPr>
      <w:r w:rsidRPr="00601EEA">
        <w:rPr>
          <w:rStyle w:val="TextoNormalNegritaCaracter"/>
        </w:rPr>
        <w:t>disposición adicional decimoquinta apartado 1.</w:t>
      </w:r>
      <w:r w:rsidRPr="00601EEA">
        <w:rPr>
          <w:rStyle w:val="TextoNormalCaracter"/>
        </w:rPr>
        <w:t>-</w:t>
      </w:r>
      <w:r>
        <w:t xml:space="preserve"> Sentencia </w:t>
      </w:r>
      <w:hyperlink w:anchor="SENTENCIA_2024_16" w:history="1">
        <w:r w:rsidRPr="00601EEA">
          <w:rPr>
            <w:rStyle w:val="TextoNormalCaracter"/>
          </w:rPr>
          <w:t>16/2024</w:t>
        </w:r>
      </w:hyperlink>
      <w:r>
        <w:t>, f. 1.</w:t>
      </w:r>
    </w:p>
    <w:p w14:paraId="20B9E957" w14:textId="1624C094" w:rsidR="00601EEA" w:rsidRDefault="00601EEA" w:rsidP="00601EEA">
      <w:pPr>
        <w:pStyle w:val="SangriaFrancesaArticulo"/>
      </w:pPr>
      <w:r w:rsidRPr="00601EEA">
        <w:rPr>
          <w:rStyle w:val="TextoNormalNegritaCaracter"/>
        </w:rPr>
        <w:t>Disposición transitoria decimosexta.</w:t>
      </w:r>
      <w:r w:rsidRPr="00601EEA">
        <w:rPr>
          <w:rStyle w:val="TextoNormalCaracter"/>
        </w:rPr>
        <w:t>-</w:t>
      </w:r>
      <w:r>
        <w:t xml:space="preserve"> Sentencia </w:t>
      </w:r>
      <w:hyperlink w:anchor="SENTENCIA_2024_11" w:history="1">
        <w:r w:rsidRPr="00601EEA">
          <w:rPr>
            <w:rStyle w:val="TextoNormalCaracter"/>
          </w:rPr>
          <w:t>11/2024</w:t>
        </w:r>
      </w:hyperlink>
      <w:r>
        <w:t>, f. 1.</w:t>
      </w:r>
    </w:p>
    <w:p w14:paraId="4C2C8E43" w14:textId="0EF9B172" w:rsidR="00601EEA" w:rsidRDefault="00601EEA" w:rsidP="00601EEA">
      <w:pPr>
        <w:pStyle w:val="SangriaFrancesaArticulo"/>
      </w:pPr>
      <w:r w:rsidRPr="00601EEA">
        <w:rPr>
          <w:rStyle w:val="TextoNormalNegritaCaracter"/>
        </w:rPr>
        <w:t>disposición transitoria decimosexta.</w:t>
      </w:r>
      <w:r w:rsidRPr="00601EEA">
        <w:rPr>
          <w:rStyle w:val="TextoNormalCaracter"/>
        </w:rPr>
        <w:t>-</w:t>
      </w:r>
      <w:r>
        <w:t xml:space="preserve"> Sentencia </w:t>
      </w:r>
      <w:hyperlink w:anchor="SENTENCIA_2024_16" w:history="1">
        <w:r w:rsidRPr="00601EEA">
          <w:rPr>
            <w:rStyle w:val="TextoNormalCaracter"/>
          </w:rPr>
          <w:t>16/2024</w:t>
        </w:r>
      </w:hyperlink>
      <w:r>
        <w:t>, f. 1.</w:t>
      </w:r>
    </w:p>
    <w:p w14:paraId="448241C6" w14:textId="2DB6B8DE" w:rsidR="00601EEA" w:rsidRDefault="00601EEA" w:rsidP="00601EEA">
      <w:pPr>
        <w:pStyle w:val="SangriaFrancesaArticulo"/>
      </w:pPr>
      <w:r w:rsidRPr="00601EEA">
        <w:rPr>
          <w:rStyle w:val="TextoNormalNegritaCaracter"/>
        </w:rPr>
        <w:t>disposición transitoria decimosexta apartado 3.</w:t>
      </w:r>
      <w:r w:rsidRPr="00601EEA">
        <w:rPr>
          <w:rStyle w:val="TextoNormalCaracter"/>
        </w:rPr>
        <w:t>-</w:t>
      </w:r>
      <w:r>
        <w:t xml:space="preserve"> Sentencia </w:t>
      </w:r>
      <w:hyperlink w:anchor="SENTENCIA_2024_16" w:history="1">
        <w:r w:rsidRPr="00601EEA">
          <w:rPr>
            <w:rStyle w:val="TextoNormalCaracter"/>
          </w:rPr>
          <w:t>16/2024</w:t>
        </w:r>
      </w:hyperlink>
      <w:r>
        <w:t>, f. 1.</w:t>
      </w:r>
    </w:p>
    <w:p w14:paraId="42656CBE" w14:textId="4CC60CCE" w:rsidR="00601EEA" w:rsidRDefault="00601EEA" w:rsidP="00601EEA">
      <w:pPr>
        <w:pStyle w:val="SangriaFrancesaArticulo"/>
      </w:pPr>
      <w:r w:rsidRPr="00601EEA">
        <w:rPr>
          <w:rStyle w:val="TextoNormalNegritaCaracter"/>
        </w:rPr>
        <w:t>Disposición transitoria decimosexta, apartado 3.</w:t>
      </w:r>
      <w:r w:rsidRPr="00601EEA">
        <w:rPr>
          <w:rStyle w:val="TextoNormalCaracter"/>
        </w:rPr>
        <w:t>-</w:t>
      </w:r>
      <w:r>
        <w:t xml:space="preserve"> Sentencia </w:t>
      </w:r>
      <w:hyperlink w:anchor="SENTENCIA_2024_11" w:history="1">
        <w:r w:rsidRPr="00601EEA">
          <w:rPr>
            <w:rStyle w:val="TextoNormalCaracter"/>
          </w:rPr>
          <w:t>11/2024</w:t>
        </w:r>
      </w:hyperlink>
      <w:r>
        <w:t>, f. 1.</w:t>
      </w:r>
    </w:p>
    <w:p w14:paraId="47530479" w14:textId="61DEC66E" w:rsidR="00601EEA" w:rsidRDefault="00601EEA" w:rsidP="00601EEA">
      <w:pPr>
        <w:pStyle w:val="SangriaFrancesaArticulo"/>
      </w:pPr>
      <w:r w:rsidRPr="00601EEA">
        <w:rPr>
          <w:rStyle w:val="TextoNormalNegritaCaracter"/>
        </w:rPr>
        <w:t>Disposición transitoria vigesimatercera.</w:t>
      </w:r>
      <w:r w:rsidRPr="00601EEA">
        <w:rPr>
          <w:rStyle w:val="TextoNormalCaracter"/>
        </w:rPr>
        <w:t>-</w:t>
      </w:r>
      <w:r>
        <w:t xml:space="preserve"> Sentencia </w:t>
      </w:r>
      <w:hyperlink w:anchor="SENTENCIA_2024_11" w:history="1">
        <w:r w:rsidRPr="00601EEA">
          <w:rPr>
            <w:rStyle w:val="TextoNormalCaracter"/>
          </w:rPr>
          <w:t>11/2024</w:t>
        </w:r>
      </w:hyperlink>
      <w:r>
        <w:t>, f. 1.</w:t>
      </w:r>
    </w:p>
    <w:p w14:paraId="6874F0DF" w14:textId="694997D7" w:rsidR="00601EEA" w:rsidRDefault="00601EEA" w:rsidP="00601EEA">
      <w:pPr>
        <w:pStyle w:val="SangriaFrancesaArticulo"/>
      </w:pPr>
    </w:p>
    <w:p w14:paraId="0DAC343D" w14:textId="77777777" w:rsidR="00601EEA" w:rsidRDefault="00601EEA" w:rsidP="00601EEA">
      <w:pPr>
        <w:pStyle w:val="TextoNormalNegritaCursivandice"/>
        <w:keepNext/>
      </w:pPr>
      <w:r>
        <w:t>Ley 4/2015, de 27 de abril, del estatuto de la víctima del delito</w:t>
      </w:r>
    </w:p>
    <w:p w14:paraId="01E381D8" w14:textId="4B0ED748" w:rsidR="00601EEA" w:rsidRDefault="00601EEA" w:rsidP="00601EEA">
      <w:pPr>
        <w:pStyle w:val="SangriaFrancesaArticulo"/>
      </w:pPr>
      <w:r w:rsidRPr="00601EEA">
        <w:rPr>
          <w:rStyle w:val="TextoNormalNegritaCaracter"/>
        </w:rPr>
        <w:t>Artículo 22.</w:t>
      </w:r>
      <w:r w:rsidRPr="00601EEA">
        <w:rPr>
          <w:rStyle w:val="TextoNormalCaracter"/>
        </w:rPr>
        <w:t>-</w:t>
      </w:r>
      <w:r>
        <w:t xml:space="preserve"> Sentencia </w:t>
      </w:r>
      <w:hyperlink w:anchor="SENTENCIA_2024_75" w:history="1">
        <w:r w:rsidRPr="00601EEA">
          <w:rPr>
            <w:rStyle w:val="TextoNormalCaracter"/>
          </w:rPr>
          <w:t>75/2024</w:t>
        </w:r>
      </w:hyperlink>
      <w:r>
        <w:t>, f. 6.</w:t>
      </w:r>
    </w:p>
    <w:p w14:paraId="5AD0AB4D" w14:textId="12487CAC" w:rsidR="00601EEA" w:rsidRDefault="00601EEA" w:rsidP="00601EEA">
      <w:pPr>
        <w:pStyle w:val="SangriaFrancesaArticulo"/>
      </w:pPr>
    </w:p>
    <w:p w14:paraId="1075D152" w14:textId="77777777" w:rsidR="00601EEA" w:rsidRDefault="00601EEA" w:rsidP="00601EEA">
      <w:pPr>
        <w:pStyle w:val="TextoNormalNegritaCursivandice"/>
        <w:keepNext/>
      </w:pPr>
      <w:r>
        <w:t>Ley 15/2015, de 2 de julio, de la jurisdicción voluntaria</w:t>
      </w:r>
    </w:p>
    <w:p w14:paraId="1514EBC3" w14:textId="681A7BF3" w:rsidR="00601EEA" w:rsidRDefault="00601EEA" w:rsidP="00601EEA">
      <w:pPr>
        <w:pStyle w:val="SangriaFrancesaArticulo"/>
      </w:pPr>
      <w:r w:rsidRPr="00601EEA">
        <w:rPr>
          <w:rStyle w:val="TextoNormalNegritaCaracter"/>
        </w:rPr>
        <w:t>Artículo 85.</w:t>
      </w:r>
      <w:r w:rsidRPr="00601EEA">
        <w:rPr>
          <w:rStyle w:val="TextoNormalCaracter"/>
        </w:rPr>
        <w:t>-</w:t>
      </w:r>
      <w:r>
        <w:t xml:space="preserve"> Sentencia </w:t>
      </w:r>
      <w:hyperlink w:anchor="SENTENCIA_2024_26" w:history="1">
        <w:r w:rsidRPr="00601EEA">
          <w:rPr>
            <w:rStyle w:val="TextoNormalCaracter"/>
          </w:rPr>
          <w:t>26/2024</w:t>
        </w:r>
      </w:hyperlink>
      <w:r>
        <w:t>, f. 5.</w:t>
      </w:r>
    </w:p>
    <w:p w14:paraId="46DD1892" w14:textId="33C6E2CC" w:rsidR="00601EEA" w:rsidRDefault="00601EEA" w:rsidP="00601EEA">
      <w:pPr>
        <w:pStyle w:val="SangriaFrancesaArticulo"/>
      </w:pPr>
      <w:r w:rsidRPr="00601EEA">
        <w:rPr>
          <w:rStyle w:val="TextoNormalNegritaCaracter"/>
        </w:rPr>
        <w:t>Artículo 85.1.</w:t>
      </w:r>
      <w:r w:rsidRPr="00601EEA">
        <w:rPr>
          <w:rStyle w:val="TextoNormalCaracter"/>
        </w:rPr>
        <w:t>-</w:t>
      </w:r>
      <w:r>
        <w:t xml:space="preserve"> Sentencia </w:t>
      </w:r>
      <w:hyperlink w:anchor="SENTENCIA_2024_26" w:history="1">
        <w:r w:rsidRPr="00601EEA">
          <w:rPr>
            <w:rStyle w:val="TextoNormalCaracter"/>
          </w:rPr>
          <w:t>26/2024</w:t>
        </w:r>
      </w:hyperlink>
      <w:r>
        <w:t>, VP I.</w:t>
      </w:r>
    </w:p>
    <w:p w14:paraId="2AE6F192" w14:textId="272DCE2D" w:rsidR="00601EEA" w:rsidRDefault="00601EEA" w:rsidP="00601EEA">
      <w:pPr>
        <w:pStyle w:val="SangriaFrancesaArticulo"/>
      </w:pPr>
      <w:r w:rsidRPr="00601EEA">
        <w:rPr>
          <w:rStyle w:val="TextoNormalNegritaCaracter"/>
        </w:rPr>
        <w:t>Artículo 86.</w:t>
      </w:r>
      <w:r w:rsidRPr="00601EEA">
        <w:rPr>
          <w:rStyle w:val="TextoNormalCaracter"/>
        </w:rPr>
        <w:t>-</w:t>
      </w:r>
      <w:r>
        <w:t xml:space="preserve"> Sentencia </w:t>
      </w:r>
      <w:hyperlink w:anchor="SENTENCIA_2024_26" w:history="1">
        <w:r w:rsidRPr="00601EEA">
          <w:rPr>
            <w:rStyle w:val="TextoNormalCaracter"/>
          </w:rPr>
          <w:t>26/2024</w:t>
        </w:r>
      </w:hyperlink>
      <w:r>
        <w:t>, f. 5.</w:t>
      </w:r>
    </w:p>
    <w:p w14:paraId="03370B58" w14:textId="71BAEB6F" w:rsidR="00601EEA" w:rsidRDefault="00601EEA" w:rsidP="00601EEA">
      <w:pPr>
        <w:pStyle w:val="SangriaFrancesaArticulo"/>
      </w:pPr>
    </w:p>
    <w:p w14:paraId="2021176A" w14:textId="77777777" w:rsidR="00601EEA" w:rsidRDefault="00601EEA" w:rsidP="00601EEA">
      <w:pPr>
        <w:pStyle w:val="TextoNormalNegritaCursivandice"/>
        <w:keepNext/>
      </w:pPr>
      <w:r>
        <w:t>Ley 30/2015, de 9 de septiembre, por la que se regula el sistema de formación profesional para el empleo en el ámbito laboral</w:t>
      </w:r>
    </w:p>
    <w:p w14:paraId="512DBB8B" w14:textId="692CD658"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63" w:history="1">
        <w:r w:rsidRPr="00601EEA">
          <w:rPr>
            <w:rStyle w:val="TextoNormalCaracter"/>
          </w:rPr>
          <w:t>63/2024</w:t>
        </w:r>
      </w:hyperlink>
      <w:r>
        <w:t>, ff. 1 a 5.</w:t>
      </w:r>
    </w:p>
    <w:p w14:paraId="128A881A" w14:textId="350E8F55" w:rsidR="00601EEA" w:rsidRDefault="00601EEA" w:rsidP="00601EEA">
      <w:pPr>
        <w:pStyle w:val="SangriaFrancesaArticulo"/>
      </w:pPr>
      <w:r w:rsidRPr="00601EEA">
        <w:rPr>
          <w:rStyle w:val="TextoNormalNegritaCaracter"/>
        </w:rPr>
        <w:t>Capítulo I.</w:t>
      </w:r>
      <w:r w:rsidRPr="00601EEA">
        <w:rPr>
          <w:rStyle w:val="TextoNormalCaracter"/>
        </w:rPr>
        <w:t>-</w:t>
      </w:r>
      <w:r>
        <w:t xml:space="preserve"> Sentencia </w:t>
      </w:r>
      <w:hyperlink w:anchor="SENTENCIA_2024_63" w:history="1">
        <w:r w:rsidRPr="00601EEA">
          <w:rPr>
            <w:rStyle w:val="TextoNormalCaracter"/>
          </w:rPr>
          <w:t>63/2024</w:t>
        </w:r>
      </w:hyperlink>
      <w:r>
        <w:t>, f. 5.</w:t>
      </w:r>
    </w:p>
    <w:p w14:paraId="45236DB9" w14:textId="18FDCF0E" w:rsidR="00601EEA" w:rsidRDefault="00601EEA" w:rsidP="00601EEA">
      <w:pPr>
        <w:pStyle w:val="SangriaFrancesaArticulo"/>
      </w:pPr>
      <w:r w:rsidRPr="00601EEA">
        <w:rPr>
          <w:rStyle w:val="TextoNormalNegritaCaracter"/>
        </w:rPr>
        <w:t>Capítulo III.</w:t>
      </w:r>
      <w:r w:rsidRPr="00601EEA">
        <w:rPr>
          <w:rStyle w:val="TextoNormalCaracter"/>
        </w:rPr>
        <w:t>-</w:t>
      </w:r>
      <w:r>
        <w:t xml:space="preserve"> Sentencia </w:t>
      </w:r>
      <w:hyperlink w:anchor="SENTENCIA_2024_63" w:history="1">
        <w:r w:rsidRPr="00601EEA">
          <w:rPr>
            <w:rStyle w:val="TextoNormalCaracter"/>
          </w:rPr>
          <w:t>63/2024</w:t>
        </w:r>
      </w:hyperlink>
      <w:r>
        <w:t>, f. 3.</w:t>
      </w:r>
    </w:p>
    <w:p w14:paraId="1CA2B713" w14:textId="6EE3B87B" w:rsidR="00601EEA" w:rsidRDefault="00601EEA" w:rsidP="00601EEA">
      <w:pPr>
        <w:pStyle w:val="SangriaFrancesaArticulo"/>
      </w:pPr>
      <w:r w:rsidRPr="00601EEA">
        <w:rPr>
          <w:rStyle w:val="TextoNormalNegritaCaracter"/>
        </w:rPr>
        <w:t>Preámbulo.</w:t>
      </w:r>
      <w:r w:rsidRPr="00601EEA">
        <w:rPr>
          <w:rStyle w:val="TextoNormalCaracter"/>
        </w:rPr>
        <w:t>-</w:t>
      </w:r>
      <w:r>
        <w:t xml:space="preserve"> Sentencia </w:t>
      </w:r>
      <w:hyperlink w:anchor="SENTENCIA_2024_63" w:history="1">
        <w:r w:rsidRPr="00601EEA">
          <w:rPr>
            <w:rStyle w:val="TextoNormalCaracter"/>
          </w:rPr>
          <w:t>63/2024</w:t>
        </w:r>
      </w:hyperlink>
      <w:r>
        <w:t>, ff. 1, 3, 5.</w:t>
      </w:r>
    </w:p>
    <w:p w14:paraId="67405E43" w14:textId="29CBEF7A" w:rsidR="00601EEA" w:rsidRDefault="00601EEA" w:rsidP="00601EEA">
      <w:pPr>
        <w:pStyle w:val="SangriaFrancesaArticulo"/>
      </w:pPr>
      <w:r w:rsidRPr="00601EEA">
        <w:rPr>
          <w:rStyle w:val="TextoNormalNegritaCaracter"/>
        </w:rPr>
        <w:t>Artículo 1.2.</w:t>
      </w:r>
      <w:r w:rsidRPr="00601EEA">
        <w:rPr>
          <w:rStyle w:val="TextoNormalCaracter"/>
        </w:rPr>
        <w:t>-</w:t>
      </w:r>
      <w:r>
        <w:t xml:space="preserve"> Sentencia </w:t>
      </w:r>
      <w:hyperlink w:anchor="SENTENCIA_2024_63" w:history="1">
        <w:r w:rsidRPr="00601EEA">
          <w:rPr>
            <w:rStyle w:val="TextoNormalCaracter"/>
          </w:rPr>
          <w:t>63/2024</w:t>
        </w:r>
      </w:hyperlink>
      <w:r>
        <w:t>, ff. 3, 5.</w:t>
      </w:r>
    </w:p>
    <w:p w14:paraId="51417EBA" w14:textId="792DFF0B" w:rsidR="00601EEA" w:rsidRDefault="00601EEA" w:rsidP="00601EEA">
      <w:pPr>
        <w:pStyle w:val="SangriaFrancesaArticulo"/>
      </w:pPr>
      <w:r w:rsidRPr="00601EEA">
        <w:rPr>
          <w:rStyle w:val="TextoNormalNegritaCaracter"/>
        </w:rPr>
        <w:t>Artículo 1.2, incisos “organizaciones sindicales más representativas” o “representativas en el correspondiente ámbito de actuación”.</w:t>
      </w:r>
      <w:r w:rsidRPr="00601EEA">
        <w:rPr>
          <w:rStyle w:val="TextoNormalCaracter"/>
        </w:rPr>
        <w:t>-</w:t>
      </w:r>
      <w:r>
        <w:t xml:space="preserve"> Sentencia </w:t>
      </w:r>
      <w:hyperlink w:anchor="SENTENCIA_2024_63" w:history="1">
        <w:r w:rsidRPr="00601EEA">
          <w:rPr>
            <w:rStyle w:val="TextoNormalCaracter"/>
          </w:rPr>
          <w:t>63/2024</w:t>
        </w:r>
      </w:hyperlink>
      <w:r>
        <w:t>, f. 1.</w:t>
      </w:r>
    </w:p>
    <w:p w14:paraId="731A914D" w14:textId="5752BD13" w:rsidR="00601EEA" w:rsidRDefault="00601EEA" w:rsidP="00601EEA">
      <w:pPr>
        <w:pStyle w:val="SangriaFrancesaArticulo"/>
      </w:pPr>
      <w:r w:rsidRPr="00601EEA">
        <w:rPr>
          <w:rStyle w:val="TextoNormalNegritaCaracter"/>
        </w:rPr>
        <w:t>Artículo 5.</w:t>
      </w:r>
      <w:r w:rsidRPr="00601EEA">
        <w:rPr>
          <w:rStyle w:val="TextoNormalCaracter"/>
        </w:rPr>
        <w:t>-</w:t>
      </w:r>
      <w:r>
        <w:t xml:space="preserve"> Sentencia </w:t>
      </w:r>
      <w:hyperlink w:anchor="SENTENCIA_2024_63" w:history="1">
        <w:r w:rsidRPr="00601EEA">
          <w:rPr>
            <w:rStyle w:val="TextoNormalCaracter"/>
          </w:rPr>
          <w:t>63/2024</w:t>
        </w:r>
      </w:hyperlink>
      <w:r>
        <w:t>, f. 3.</w:t>
      </w:r>
    </w:p>
    <w:p w14:paraId="2670FE93" w14:textId="5003378B" w:rsidR="00601EEA" w:rsidRDefault="00601EEA" w:rsidP="00601EEA">
      <w:pPr>
        <w:pStyle w:val="SangriaFrancesaArticulo"/>
      </w:pPr>
      <w:r w:rsidRPr="00601EEA">
        <w:rPr>
          <w:rStyle w:val="TextoNormalNegritaCaracter"/>
        </w:rPr>
        <w:t>Artículo 5.1.</w:t>
      </w:r>
      <w:r w:rsidRPr="00601EEA">
        <w:rPr>
          <w:rStyle w:val="TextoNormalCaracter"/>
        </w:rPr>
        <w:t>-</w:t>
      </w:r>
      <w:r>
        <w:t xml:space="preserve"> Sentencia </w:t>
      </w:r>
      <w:hyperlink w:anchor="SENTENCIA_2024_63" w:history="1">
        <w:r w:rsidRPr="00601EEA">
          <w:rPr>
            <w:rStyle w:val="TextoNormalCaracter"/>
          </w:rPr>
          <w:t>63/2024</w:t>
        </w:r>
      </w:hyperlink>
      <w:r>
        <w:t>, f. 5.</w:t>
      </w:r>
    </w:p>
    <w:p w14:paraId="17D9DC62" w14:textId="3EE88EB2" w:rsidR="00601EEA" w:rsidRDefault="00601EEA" w:rsidP="00601EEA">
      <w:pPr>
        <w:pStyle w:val="SangriaFrancesaArticulo"/>
      </w:pPr>
      <w:r w:rsidRPr="00601EEA">
        <w:rPr>
          <w:rStyle w:val="TextoNormalNegritaCaracter"/>
        </w:rPr>
        <w:t>Artículo 5.1, párrafo 2, incisos “organizaciones sindicales más representativas” o “representativas en el correspondiente ámbito de actuación”.</w:t>
      </w:r>
      <w:r w:rsidRPr="00601EEA">
        <w:rPr>
          <w:rStyle w:val="TextoNormalCaracter"/>
        </w:rPr>
        <w:t>-</w:t>
      </w:r>
      <w:r>
        <w:t xml:space="preserve"> Sentencia </w:t>
      </w:r>
      <w:hyperlink w:anchor="SENTENCIA_2024_63" w:history="1">
        <w:r w:rsidRPr="00601EEA">
          <w:rPr>
            <w:rStyle w:val="TextoNormalCaracter"/>
          </w:rPr>
          <w:t>63/2024</w:t>
        </w:r>
      </w:hyperlink>
      <w:r>
        <w:t>, f. 1.</w:t>
      </w:r>
    </w:p>
    <w:p w14:paraId="5D721228" w14:textId="5E0F0972" w:rsidR="00601EEA" w:rsidRDefault="00601EEA" w:rsidP="00601EEA">
      <w:pPr>
        <w:pStyle w:val="SangriaFrancesaArticulo"/>
      </w:pPr>
      <w:r w:rsidRPr="00601EEA">
        <w:rPr>
          <w:rStyle w:val="TextoNormalNegritaCaracter"/>
        </w:rPr>
        <w:t>Artículo 6.</w:t>
      </w:r>
      <w:r w:rsidRPr="00601EEA">
        <w:rPr>
          <w:rStyle w:val="TextoNormalCaracter"/>
        </w:rPr>
        <w:t>-</w:t>
      </w:r>
      <w:r>
        <w:t xml:space="preserve"> Sentencia </w:t>
      </w:r>
      <w:hyperlink w:anchor="SENTENCIA_2024_63" w:history="1">
        <w:r w:rsidRPr="00601EEA">
          <w:rPr>
            <w:rStyle w:val="TextoNormalCaracter"/>
          </w:rPr>
          <w:t>63/2024</w:t>
        </w:r>
      </w:hyperlink>
      <w:r>
        <w:t>, ff. 1, 3.</w:t>
      </w:r>
    </w:p>
    <w:p w14:paraId="657D5632" w14:textId="5B0C1C65" w:rsidR="00601EEA" w:rsidRDefault="00601EEA" w:rsidP="00601EEA">
      <w:pPr>
        <w:pStyle w:val="SangriaFrancesaArticulo"/>
      </w:pPr>
      <w:r w:rsidRPr="00601EEA">
        <w:rPr>
          <w:rStyle w:val="TextoNormalNegritaCaracter"/>
        </w:rPr>
        <w:t>Artículo 6.1.</w:t>
      </w:r>
      <w:r w:rsidRPr="00601EEA">
        <w:rPr>
          <w:rStyle w:val="TextoNormalCaracter"/>
        </w:rPr>
        <w:t>-</w:t>
      </w:r>
      <w:r>
        <w:t xml:space="preserve"> Sentencia </w:t>
      </w:r>
      <w:hyperlink w:anchor="SENTENCIA_2024_63" w:history="1">
        <w:r w:rsidRPr="00601EEA">
          <w:rPr>
            <w:rStyle w:val="TextoNormalCaracter"/>
          </w:rPr>
          <w:t>63/2024</w:t>
        </w:r>
      </w:hyperlink>
      <w:r>
        <w:t>, f. 5.</w:t>
      </w:r>
    </w:p>
    <w:p w14:paraId="6F22868A" w14:textId="5EF43DFE" w:rsidR="00601EEA" w:rsidRDefault="00601EEA" w:rsidP="00601EEA">
      <w:pPr>
        <w:pStyle w:val="SangriaFrancesaArticulo"/>
      </w:pPr>
      <w:r w:rsidRPr="00601EEA">
        <w:rPr>
          <w:rStyle w:val="TextoNormalNegritaCaracter"/>
        </w:rPr>
        <w:t>Artículo 6.5 a).</w:t>
      </w:r>
      <w:r w:rsidRPr="00601EEA">
        <w:rPr>
          <w:rStyle w:val="TextoNormalCaracter"/>
        </w:rPr>
        <w:t>-</w:t>
      </w:r>
      <w:r>
        <w:t xml:space="preserve"> Sentencia </w:t>
      </w:r>
      <w:hyperlink w:anchor="SENTENCIA_2024_63" w:history="1">
        <w:r w:rsidRPr="00601EEA">
          <w:rPr>
            <w:rStyle w:val="TextoNormalCaracter"/>
          </w:rPr>
          <w:t>63/2024</w:t>
        </w:r>
      </w:hyperlink>
      <w:r>
        <w:t>, f. 5.</w:t>
      </w:r>
    </w:p>
    <w:p w14:paraId="2DDAAEFC" w14:textId="26C45C19" w:rsidR="00601EEA" w:rsidRDefault="00601EEA" w:rsidP="00601EEA">
      <w:pPr>
        <w:pStyle w:val="SangriaFrancesaArticulo"/>
      </w:pPr>
      <w:r w:rsidRPr="00601EEA">
        <w:rPr>
          <w:rStyle w:val="TextoNormalNegritaCaracter"/>
        </w:rPr>
        <w:t>Artículo 6.5 b).</w:t>
      </w:r>
      <w:r w:rsidRPr="00601EEA">
        <w:rPr>
          <w:rStyle w:val="TextoNormalCaracter"/>
        </w:rPr>
        <w:t>-</w:t>
      </w:r>
      <w:r>
        <w:t xml:space="preserve"> Sentencia </w:t>
      </w:r>
      <w:hyperlink w:anchor="SENTENCIA_2024_63" w:history="1">
        <w:r w:rsidRPr="00601EEA">
          <w:rPr>
            <w:rStyle w:val="TextoNormalCaracter"/>
          </w:rPr>
          <w:t>63/2024</w:t>
        </w:r>
      </w:hyperlink>
      <w:r>
        <w:t>, f. 5.</w:t>
      </w:r>
    </w:p>
    <w:p w14:paraId="0DB63440" w14:textId="663EB6DE" w:rsidR="00601EEA" w:rsidRDefault="00601EEA" w:rsidP="00601EEA">
      <w:pPr>
        <w:pStyle w:val="SangriaFrancesaArticulo"/>
      </w:pPr>
      <w:r w:rsidRPr="00601EEA">
        <w:rPr>
          <w:rStyle w:val="TextoNormalNegritaCaracter"/>
        </w:rPr>
        <w:t>Artículo 6.5 c).</w:t>
      </w:r>
      <w:r w:rsidRPr="00601EEA">
        <w:rPr>
          <w:rStyle w:val="TextoNormalCaracter"/>
        </w:rPr>
        <w:t>-</w:t>
      </w:r>
      <w:r>
        <w:t xml:space="preserve"> Sentencia </w:t>
      </w:r>
      <w:hyperlink w:anchor="SENTENCIA_2024_63" w:history="1">
        <w:r w:rsidRPr="00601EEA">
          <w:rPr>
            <w:rStyle w:val="TextoNormalCaracter"/>
          </w:rPr>
          <w:t>63/2024</w:t>
        </w:r>
      </w:hyperlink>
      <w:r>
        <w:t>, f. 5.</w:t>
      </w:r>
    </w:p>
    <w:p w14:paraId="75F1E25A" w14:textId="518CF19F" w:rsidR="00601EEA" w:rsidRDefault="00601EEA" w:rsidP="00601EEA">
      <w:pPr>
        <w:pStyle w:val="SangriaFrancesaArticulo"/>
      </w:pPr>
      <w:r w:rsidRPr="00601EEA">
        <w:rPr>
          <w:rStyle w:val="TextoNormalNegritaCaracter"/>
        </w:rPr>
        <w:t>Artículo 8.</w:t>
      </w:r>
      <w:r w:rsidRPr="00601EEA">
        <w:rPr>
          <w:rStyle w:val="TextoNormalCaracter"/>
        </w:rPr>
        <w:t>-</w:t>
      </w:r>
      <w:r>
        <w:t xml:space="preserve"> Sentencia </w:t>
      </w:r>
      <w:hyperlink w:anchor="SENTENCIA_2024_63" w:history="1">
        <w:r w:rsidRPr="00601EEA">
          <w:rPr>
            <w:rStyle w:val="TextoNormalCaracter"/>
          </w:rPr>
          <w:t>63/2024</w:t>
        </w:r>
      </w:hyperlink>
      <w:r>
        <w:t>, f. 5.</w:t>
      </w:r>
    </w:p>
    <w:p w14:paraId="7A846C8D" w14:textId="7ECA4E58" w:rsidR="00601EEA" w:rsidRDefault="00601EEA" w:rsidP="00601EEA">
      <w:pPr>
        <w:pStyle w:val="SangriaFrancesaArticulo"/>
      </w:pPr>
      <w:r w:rsidRPr="00601EEA">
        <w:rPr>
          <w:rStyle w:val="TextoNormalNegritaCaracter"/>
        </w:rPr>
        <w:lastRenderedPageBreak/>
        <w:t>Artículo 8 b).</w:t>
      </w:r>
      <w:r w:rsidRPr="00601EEA">
        <w:rPr>
          <w:rStyle w:val="TextoNormalCaracter"/>
        </w:rPr>
        <w:t>-</w:t>
      </w:r>
      <w:r>
        <w:t xml:space="preserve"> Sentencia </w:t>
      </w:r>
      <w:hyperlink w:anchor="SENTENCIA_2024_63" w:history="1">
        <w:r w:rsidRPr="00601EEA">
          <w:rPr>
            <w:rStyle w:val="TextoNormalCaracter"/>
          </w:rPr>
          <w:t>63/2024</w:t>
        </w:r>
      </w:hyperlink>
      <w:r>
        <w:t>, f. 5.</w:t>
      </w:r>
    </w:p>
    <w:p w14:paraId="7ED09907" w14:textId="7A44D684" w:rsidR="00601EEA" w:rsidRDefault="00601EEA" w:rsidP="00601EEA">
      <w:pPr>
        <w:pStyle w:val="SangriaFrancesaArticulo"/>
      </w:pPr>
      <w:r w:rsidRPr="00601EEA">
        <w:rPr>
          <w:rStyle w:val="TextoNormalNegritaCaracter"/>
        </w:rPr>
        <w:t>Artículo 8 c).</w:t>
      </w:r>
      <w:r w:rsidRPr="00601EEA">
        <w:rPr>
          <w:rStyle w:val="TextoNormalCaracter"/>
        </w:rPr>
        <w:t>-</w:t>
      </w:r>
      <w:r>
        <w:t xml:space="preserve"> Sentencia </w:t>
      </w:r>
      <w:hyperlink w:anchor="SENTENCIA_2024_63" w:history="1">
        <w:r w:rsidRPr="00601EEA">
          <w:rPr>
            <w:rStyle w:val="TextoNormalCaracter"/>
          </w:rPr>
          <w:t>63/2024</w:t>
        </w:r>
      </w:hyperlink>
      <w:r>
        <w:t>, f. 5.</w:t>
      </w:r>
    </w:p>
    <w:p w14:paraId="088E6A84" w14:textId="0085F705" w:rsidR="00601EEA" w:rsidRDefault="00601EEA" w:rsidP="00601EEA">
      <w:pPr>
        <w:pStyle w:val="SangriaFrancesaArticulo"/>
      </w:pPr>
      <w:r w:rsidRPr="00601EEA">
        <w:rPr>
          <w:rStyle w:val="TextoNormalNegritaCaracter"/>
        </w:rPr>
        <w:t>Artículo 9.1.</w:t>
      </w:r>
      <w:r w:rsidRPr="00601EEA">
        <w:rPr>
          <w:rStyle w:val="TextoNormalCaracter"/>
        </w:rPr>
        <w:t>-</w:t>
      </w:r>
      <w:r>
        <w:t xml:space="preserve"> Sentencia </w:t>
      </w:r>
      <w:hyperlink w:anchor="SENTENCIA_2024_63" w:history="1">
        <w:r w:rsidRPr="00601EEA">
          <w:rPr>
            <w:rStyle w:val="TextoNormalCaracter"/>
          </w:rPr>
          <w:t>63/2024</w:t>
        </w:r>
      </w:hyperlink>
      <w:r>
        <w:t>, f. 5.</w:t>
      </w:r>
    </w:p>
    <w:p w14:paraId="53F1C28D" w14:textId="0FE5056F" w:rsidR="00601EEA" w:rsidRDefault="00601EEA" w:rsidP="00601EEA">
      <w:pPr>
        <w:pStyle w:val="SangriaFrancesaArticulo"/>
      </w:pPr>
      <w:r w:rsidRPr="00601EEA">
        <w:rPr>
          <w:rStyle w:val="TextoNormalNegritaCaracter"/>
        </w:rPr>
        <w:t>Artículo 9.2.</w:t>
      </w:r>
      <w:r w:rsidRPr="00601EEA">
        <w:rPr>
          <w:rStyle w:val="TextoNormalCaracter"/>
        </w:rPr>
        <w:t>-</w:t>
      </w:r>
      <w:r>
        <w:t xml:space="preserve"> Sentencia </w:t>
      </w:r>
      <w:hyperlink w:anchor="SENTENCIA_2024_63" w:history="1">
        <w:r w:rsidRPr="00601EEA">
          <w:rPr>
            <w:rStyle w:val="TextoNormalCaracter"/>
          </w:rPr>
          <w:t>63/2024</w:t>
        </w:r>
      </w:hyperlink>
      <w:r>
        <w:t>, f. 5.</w:t>
      </w:r>
    </w:p>
    <w:p w14:paraId="7B1F667C" w14:textId="3DA99A00" w:rsidR="00601EEA" w:rsidRDefault="00601EEA" w:rsidP="00601EEA">
      <w:pPr>
        <w:pStyle w:val="SangriaFrancesaArticulo"/>
      </w:pPr>
      <w:r w:rsidRPr="00601EEA">
        <w:rPr>
          <w:rStyle w:val="TextoNormalNegritaCaracter"/>
        </w:rPr>
        <w:t>Artículo 10.</w:t>
      </w:r>
      <w:r w:rsidRPr="00601EEA">
        <w:rPr>
          <w:rStyle w:val="TextoNormalCaracter"/>
        </w:rPr>
        <w:t>-</w:t>
      </w:r>
      <w:r>
        <w:t xml:space="preserve"> Sentencia </w:t>
      </w:r>
      <w:hyperlink w:anchor="SENTENCIA_2024_63" w:history="1">
        <w:r w:rsidRPr="00601EEA">
          <w:rPr>
            <w:rStyle w:val="TextoNormalCaracter"/>
          </w:rPr>
          <w:t>63/2024</w:t>
        </w:r>
      </w:hyperlink>
      <w:r>
        <w:t>, ff. 3, 5.</w:t>
      </w:r>
    </w:p>
    <w:p w14:paraId="28459C21" w14:textId="139585B0" w:rsidR="00601EEA" w:rsidRDefault="00601EEA" w:rsidP="00601EEA">
      <w:pPr>
        <w:pStyle w:val="SangriaFrancesaArticulo"/>
      </w:pPr>
      <w:r w:rsidRPr="00601EEA">
        <w:rPr>
          <w:rStyle w:val="TextoNormalNegritaCaracter"/>
        </w:rPr>
        <w:t>Artículo 10.1.</w:t>
      </w:r>
      <w:r w:rsidRPr="00601EEA">
        <w:rPr>
          <w:rStyle w:val="TextoNormalCaracter"/>
        </w:rPr>
        <w:t>-</w:t>
      </w:r>
      <w:r>
        <w:t xml:space="preserve"> Sentencia </w:t>
      </w:r>
      <w:hyperlink w:anchor="SENTENCIA_2024_63" w:history="1">
        <w:r w:rsidRPr="00601EEA">
          <w:rPr>
            <w:rStyle w:val="TextoNormalCaracter"/>
          </w:rPr>
          <w:t>63/2024</w:t>
        </w:r>
      </w:hyperlink>
      <w:r>
        <w:t>, f. 5.</w:t>
      </w:r>
    </w:p>
    <w:p w14:paraId="5B1F551E" w14:textId="11136529" w:rsidR="00601EEA" w:rsidRDefault="00601EEA" w:rsidP="00601EEA">
      <w:pPr>
        <w:pStyle w:val="SangriaFrancesaArticulo"/>
      </w:pPr>
      <w:r w:rsidRPr="00601EEA">
        <w:rPr>
          <w:rStyle w:val="TextoNormalNegritaCaracter"/>
        </w:rPr>
        <w:t>Artículo 10.2.</w:t>
      </w:r>
      <w:r w:rsidRPr="00601EEA">
        <w:rPr>
          <w:rStyle w:val="TextoNormalCaracter"/>
        </w:rPr>
        <w:t>-</w:t>
      </w:r>
      <w:r>
        <w:t xml:space="preserve"> Sentencia </w:t>
      </w:r>
      <w:hyperlink w:anchor="SENTENCIA_2024_63" w:history="1">
        <w:r w:rsidRPr="00601EEA">
          <w:rPr>
            <w:rStyle w:val="TextoNormalCaracter"/>
          </w:rPr>
          <w:t>63/2024</w:t>
        </w:r>
      </w:hyperlink>
      <w:r>
        <w:t>, f. 5.</w:t>
      </w:r>
    </w:p>
    <w:p w14:paraId="3CDA42D3" w14:textId="6691825E" w:rsidR="00601EEA" w:rsidRDefault="00601EEA" w:rsidP="00601EEA">
      <w:pPr>
        <w:pStyle w:val="SangriaFrancesaArticulo"/>
      </w:pPr>
      <w:r w:rsidRPr="00601EEA">
        <w:rPr>
          <w:rStyle w:val="TextoNormalNegritaCaracter"/>
        </w:rPr>
        <w:t>Artículo 10.2 a).</w:t>
      </w:r>
      <w:r w:rsidRPr="00601EEA">
        <w:rPr>
          <w:rStyle w:val="TextoNormalCaracter"/>
        </w:rPr>
        <w:t>-</w:t>
      </w:r>
      <w:r>
        <w:t xml:space="preserve"> Sentencia </w:t>
      </w:r>
      <w:hyperlink w:anchor="SENTENCIA_2024_63" w:history="1">
        <w:r w:rsidRPr="00601EEA">
          <w:rPr>
            <w:rStyle w:val="TextoNormalCaracter"/>
          </w:rPr>
          <w:t>63/2024</w:t>
        </w:r>
      </w:hyperlink>
      <w:r>
        <w:t>, f. 2.</w:t>
      </w:r>
    </w:p>
    <w:p w14:paraId="5953509A" w14:textId="559C2F10" w:rsidR="00601EEA" w:rsidRDefault="00601EEA" w:rsidP="00601EEA">
      <w:pPr>
        <w:pStyle w:val="SangriaFrancesaArticulo"/>
      </w:pPr>
      <w:r w:rsidRPr="00601EEA">
        <w:rPr>
          <w:rStyle w:val="TextoNormalNegritaCaracter"/>
        </w:rPr>
        <w:t>Artículo 10.2 a), incisos “organizaciones sindicales más representativas” o “representativas en el correspondiente ámbito de actuación”.</w:t>
      </w:r>
      <w:r w:rsidRPr="00601EEA">
        <w:rPr>
          <w:rStyle w:val="TextoNormalCaracter"/>
        </w:rPr>
        <w:t>-</w:t>
      </w:r>
      <w:r>
        <w:t xml:space="preserve"> Sentencia </w:t>
      </w:r>
      <w:hyperlink w:anchor="SENTENCIA_2024_63" w:history="1">
        <w:r w:rsidRPr="00601EEA">
          <w:rPr>
            <w:rStyle w:val="TextoNormalCaracter"/>
          </w:rPr>
          <w:t>63/2024</w:t>
        </w:r>
      </w:hyperlink>
      <w:r>
        <w:t>, f. 1.</w:t>
      </w:r>
    </w:p>
    <w:p w14:paraId="568D825B" w14:textId="4E13C9E1" w:rsidR="00601EEA" w:rsidRDefault="00601EEA" w:rsidP="00601EEA">
      <w:pPr>
        <w:pStyle w:val="SangriaFrancesaArticulo"/>
      </w:pPr>
      <w:r w:rsidRPr="00601EEA">
        <w:rPr>
          <w:rStyle w:val="TextoNormalNegritaCaracter"/>
        </w:rPr>
        <w:t>Artículo 10.2 b).</w:t>
      </w:r>
      <w:r w:rsidRPr="00601EEA">
        <w:rPr>
          <w:rStyle w:val="TextoNormalCaracter"/>
        </w:rPr>
        <w:t>-</w:t>
      </w:r>
      <w:r>
        <w:t xml:space="preserve"> Sentencia </w:t>
      </w:r>
      <w:hyperlink w:anchor="SENTENCIA_2024_63" w:history="1">
        <w:r w:rsidRPr="00601EEA">
          <w:rPr>
            <w:rStyle w:val="TextoNormalCaracter"/>
          </w:rPr>
          <w:t>63/2024</w:t>
        </w:r>
      </w:hyperlink>
      <w:r>
        <w:t>, f. 2.</w:t>
      </w:r>
    </w:p>
    <w:p w14:paraId="5BEC225A" w14:textId="39B7A3A3" w:rsidR="00601EEA" w:rsidRDefault="00601EEA" w:rsidP="00601EEA">
      <w:pPr>
        <w:pStyle w:val="SangriaFrancesaArticulo"/>
      </w:pPr>
      <w:r w:rsidRPr="00601EEA">
        <w:rPr>
          <w:rStyle w:val="TextoNormalNegritaCaracter"/>
        </w:rPr>
        <w:t>Artículo 10.2 b), incisos “organizaciones sindicales más representativas” o “representativas en el correspondiente ámbito de actuación”.</w:t>
      </w:r>
      <w:r w:rsidRPr="00601EEA">
        <w:rPr>
          <w:rStyle w:val="TextoNormalCaracter"/>
        </w:rPr>
        <w:t>-</w:t>
      </w:r>
      <w:r>
        <w:t xml:space="preserve"> Sentencia </w:t>
      </w:r>
      <w:hyperlink w:anchor="SENTENCIA_2024_63" w:history="1">
        <w:r w:rsidRPr="00601EEA">
          <w:rPr>
            <w:rStyle w:val="TextoNormalCaracter"/>
          </w:rPr>
          <w:t>63/2024</w:t>
        </w:r>
      </w:hyperlink>
      <w:r>
        <w:t>, f. 1.</w:t>
      </w:r>
    </w:p>
    <w:p w14:paraId="619B678D" w14:textId="1386D19A" w:rsidR="00601EEA" w:rsidRDefault="00601EEA" w:rsidP="00601EEA">
      <w:pPr>
        <w:pStyle w:val="SangriaFrancesaArticulo"/>
      </w:pPr>
      <w:r w:rsidRPr="00601EEA">
        <w:rPr>
          <w:rStyle w:val="TextoNormalNegritaCaracter"/>
        </w:rPr>
        <w:t>Artículo 11.</w:t>
      </w:r>
      <w:r w:rsidRPr="00601EEA">
        <w:rPr>
          <w:rStyle w:val="TextoNormalCaracter"/>
        </w:rPr>
        <w:t>-</w:t>
      </w:r>
      <w:r>
        <w:t xml:space="preserve"> Sentencia </w:t>
      </w:r>
      <w:hyperlink w:anchor="SENTENCIA_2024_63" w:history="1">
        <w:r w:rsidRPr="00601EEA">
          <w:rPr>
            <w:rStyle w:val="TextoNormalCaracter"/>
          </w:rPr>
          <w:t>63/2024</w:t>
        </w:r>
      </w:hyperlink>
      <w:r>
        <w:t>, ff. 3, 5.</w:t>
      </w:r>
    </w:p>
    <w:p w14:paraId="2AA64BD0" w14:textId="5D5B74CE" w:rsidR="00601EEA" w:rsidRDefault="00601EEA" w:rsidP="00601EEA">
      <w:pPr>
        <w:pStyle w:val="SangriaFrancesaArticulo"/>
      </w:pPr>
      <w:r w:rsidRPr="00601EEA">
        <w:rPr>
          <w:rStyle w:val="TextoNormalNegritaCaracter"/>
        </w:rPr>
        <w:t>Artículo 11.1.</w:t>
      </w:r>
      <w:r w:rsidRPr="00601EEA">
        <w:rPr>
          <w:rStyle w:val="TextoNormalCaracter"/>
        </w:rPr>
        <w:t>-</w:t>
      </w:r>
      <w:r>
        <w:t xml:space="preserve"> Sentencia </w:t>
      </w:r>
      <w:hyperlink w:anchor="SENTENCIA_2024_63" w:history="1">
        <w:r w:rsidRPr="00601EEA">
          <w:rPr>
            <w:rStyle w:val="TextoNormalCaracter"/>
          </w:rPr>
          <w:t>63/2024</w:t>
        </w:r>
      </w:hyperlink>
      <w:r>
        <w:t>, f. 5.</w:t>
      </w:r>
    </w:p>
    <w:p w14:paraId="4B67B0A3" w14:textId="6DAFDEF2" w:rsidR="00601EEA" w:rsidRDefault="00601EEA" w:rsidP="00601EEA">
      <w:pPr>
        <w:pStyle w:val="SangriaFrancesaArticulo"/>
      </w:pPr>
      <w:r w:rsidRPr="00601EEA">
        <w:rPr>
          <w:rStyle w:val="TextoNormalNegritaCaracter"/>
        </w:rPr>
        <w:t>Artículo 11.1, incisos “organizaciones sindicales más representativas” o “representativas en el correspondiente ámbito de actuación”.</w:t>
      </w:r>
      <w:r w:rsidRPr="00601EEA">
        <w:rPr>
          <w:rStyle w:val="TextoNormalCaracter"/>
        </w:rPr>
        <w:t>-</w:t>
      </w:r>
      <w:r>
        <w:t xml:space="preserve"> Sentencia </w:t>
      </w:r>
      <w:hyperlink w:anchor="SENTENCIA_2024_63" w:history="1">
        <w:r w:rsidRPr="00601EEA">
          <w:rPr>
            <w:rStyle w:val="TextoNormalCaracter"/>
          </w:rPr>
          <w:t>63/2024</w:t>
        </w:r>
      </w:hyperlink>
      <w:r>
        <w:t>, f. 1.</w:t>
      </w:r>
    </w:p>
    <w:p w14:paraId="41C5A66B" w14:textId="387AD9DB" w:rsidR="00601EEA" w:rsidRDefault="00601EEA" w:rsidP="00601EEA">
      <w:pPr>
        <w:pStyle w:val="SangriaFrancesaArticulo"/>
      </w:pPr>
      <w:r w:rsidRPr="00601EEA">
        <w:rPr>
          <w:rStyle w:val="TextoNormalNegritaCaracter"/>
        </w:rPr>
        <w:t>Artículo 13.</w:t>
      </w:r>
      <w:r w:rsidRPr="00601EEA">
        <w:rPr>
          <w:rStyle w:val="TextoNormalCaracter"/>
        </w:rPr>
        <w:t>-</w:t>
      </w:r>
      <w:r>
        <w:t xml:space="preserve"> Sentencia </w:t>
      </w:r>
      <w:hyperlink w:anchor="SENTENCIA_2024_63" w:history="1">
        <w:r w:rsidRPr="00601EEA">
          <w:rPr>
            <w:rStyle w:val="TextoNormalCaracter"/>
          </w:rPr>
          <w:t>63/2024</w:t>
        </w:r>
      </w:hyperlink>
      <w:r>
        <w:t>, ff. 2, 3, 5.</w:t>
      </w:r>
    </w:p>
    <w:p w14:paraId="0BFFC2A1" w14:textId="2FF47699" w:rsidR="00601EEA" w:rsidRDefault="00601EEA" w:rsidP="00601EEA">
      <w:pPr>
        <w:pStyle w:val="SangriaFrancesaArticulo"/>
      </w:pPr>
      <w:r w:rsidRPr="00601EEA">
        <w:rPr>
          <w:rStyle w:val="TextoNormalNegritaCaracter"/>
        </w:rPr>
        <w:t>Artículo 13, incisos “organizaciones sindicales más representativas” o “representativas en el correspondiente ámbito de actuación”.</w:t>
      </w:r>
      <w:r w:rsidRPr="00601EEA">
        <w:rPr>
          <w:rStyle w:val="TextoNormalCaracter"/>
        </w:rPr>
        <w:t>-</w:t>
      </w:r>
      <w:r>
        <w:t xml:space="preserve"> Sentencia </w:t>
      </w:r>
      <w:hyperlink w:anchor="SENTENCIA_2024_63" w:history="1">
        <w:r w:rsidRPr="00601EEA">
          <w:rPr>
            <w:rStyle w:val="TextoNormalCaracter"/>
          </w:rPr>
          <w:t>63/2024</w:t>
        </w:r>
      </w:hyperlink>
      <w:r>
        <w:t>, f. 1.</w:t>
      </w:r>
    </w:p>
    <w:p w14:paraId="13D348DE" w14:textId="3534E4B0" w:rsidR="00601EEA" w:rsidRDefault="00601EEA" w:rsidP="00601EEA">
      <w:pPr>
        <w:pStyle w:val="SangriaFrancesaArticulo"/>
      </w:pPr>
      <w:r w:rsidRPr="00601EEA">
        <w:rPr>
          <w:rStyle w:val="TextoNormalNegritaCaracter"/>
        </w:rPr>
        <w:t>Artículo 13.1.</w:t>
      </w:r>
      <w:r w:rsidRPr="00601EEA">
        <w:rPr>
          <w:rStyle w:val="TextoNormalCaracter"/>
        </w:rPr>
        <w:t>-</w:t>
      </w:r>
      <w:r>
        <w:t xml:space="preserve"> Sentencia </w:t>
      </w:r>
      <w:hyperlink w:anchor="SENTENCIA_2024_63" w:history="1">
        <w:r w:rsidRPr="00601EEA">
          <w:rPr>
            <w:rStyle w:val="TextoNormalCaracter"/>
          </w:rPr>
          <w:t>63/2024</w:t>
        </w:r>
      </w:hyperlink>
      <w:r>
        <w:t>, f. 5.</w:t>
      </w:r>
    </w:p>
    <w:p w14:paraId="3608415F" w14:textId="597257FB" w:rsidR="00601EEA" w:rsidRDefault="00601EEA" w:rsidP="00601EEA">
      <w:pPr>
        <w:pStyle w:val="SangriaFrancesaArticulo"/>
      </w:pPr>
      <w:r w:rsidRPr="00601EEA">
        <w:rPr>
          <w:rStyle w:val="TextoNormalNegritaCaracter"/>
        </w:rPr>
        <w:t>Artículo 13.3.</w:t>
      </w:r>
      <w:r w:rsidRPr="00601EEA">
        <w:rPr>
          <w:rStyle w:val="TextoNormalCaracter"/>
        </w:rPr>
        <w:t>-</w:t>
      </w:r>
      <w:r>
        <w:t xml:space="preserve"> Sentencia </w:t>
      </w:r>
      <w:hyperlink w:anchor="SENTENCIA_2024_63" w:history="1">
        <w:r w:rsidRPr="00601EEA">
          <w:rPr>
            <w:rStyle w:val="TextoNormalCaracter"/>
          </w:rPr>
          <w:t>63/2024</w:t>
        </w:r>
      </w:hyperlink>
      <w:r>
        <w:t>, f. 5.</w:t>
      </w:r>
    </w:p>
    <w:p w14:paraId="185ECDD5" w14:textId="57DA0089" w:rsidR="00601EEA" w:rsidRDefault="00601EEA" w:rsidP="00601EEA">
      <w:pPr>
        <w:pStyle w:val="SangriaFrancesaArticulo"/>
      </w:pPr>
      <w:r w:rsidRPr="00601EEA">
        <w:rPr>
          <w:rStyle w:val="TextoNormalNegritaCaracter"/>
        </w:rPr>
        <w:t>Artículo 21.1.</w:t>
      </w:r>
      <w:r w:rsidRPr="00601EEA">
        <w:rPr>
          <w:rStyle w:val="TextoNormalCaracter"/>
        </w:rPr>
        <w:t>-</w:t>
      </w:r>
      <w:r>
        <w:t xml:space="preserve"> Sentencia </w:t>
      </w:r>
      <w:hyperlink w:anchor="SENTENCIA_2024_63" w:history="1">
        <w:r w:rsidRPr="00601EEA">
          <w:rPr>
            <w:rStyle w:val="TextoNormalCaracter"/>
          </w:rPr>
          <w:t>63/2024</w:t>
        </w:r>
      </w:hyperlink>
      <w:r>
        <w:t>, ff. 3, 5.</w:t>
      </w:r>
    </w:p>
    <w:p w14:paraId="4B411CD8" w14:textId="02A89F39" w:rsidR="00601EEA" w:rsidRDefault="00601EEA" w:rsidP="00601EEA">
      <w:pPr>
        <w:pStyle w:val="SangriaFrancesaArticulo"/>
      </w:pPr>
      <w:r w:rsidRPr="00601EEA">
        <w:rPr>
          <w:rStyle w:val="TextoNormalNegritaCaracter"/>
        </w:rPr>
        <w:t>Artículo 21.1, incisos “organizaciones sindicales más representativas” o “representativas en el correspondiente ámbito de actuación”.</w:t>
      </w:r>
      <w:r w:rsidRPr="00601EEA">
        <w:rPr>
          <w:rStyle w:val="TextoNormalCaracter"/>
        </w:rPr>
        <w:t>-</w:t>
      </w:r>
      <w:r>
        <w:t xml:space="preserve"> Sentencia </w:t>
      </w:r>
      <w:hyperlink w:anchor="SENTENCIA_2024_63" w:history="1">
        <w:r w:rsidRPr="00601EEA">
          <w:rPr>
            <w:rStyle w:val="TextoNormalCaracter"/>
          </w:rPr>
          <w:t>63/2024</w:t>
        </w:r>
      </w:hyperlink>
      <w:r>
        <w:t>, f. 1.</w:t>
      </w:r>
    </w:p>
    <w:p w14:paraId="36D07F9F" w14:textId="364B9A73" w:rsidR="00601EEA" w:rsidRDefault="00601EEA" w:rsidP="00601EEA">
      <w:pPr>
        <w:pStyle w:val="SangriaFrancesaArticulo"/>
      </w:pPr>
      <w:r w:rsidRPr="00601EEA">
        <w:rPr>
          <w:rStyle w:val="TextoNormalNegritaCaracter"/>
        </w:rPr>
        <w:t>Artículo 25.</w:t>
      </w:r>
      <w:r w:rsidRPr="00601EEA">
        <w:rPr>
          <w:rStyle w:val="TextoNormalCaracter"/>
        </w:rPr>
        <w:t>-</w:t>
      </w:r>
      <w:r>
        <w:t xml:space="preserve"> Sentencia </w:t>
      </w:r>
      <w:hyperlink w:anchor="SENTENCIA_2024_63" w:history="1">
        <w:r w:rsidRPr="00601EEA">
          <w:rPr>
            <w:rStyle w:val="TextoNormalCaracter"/>
          </w:rPr>
          <w:t>63/2024</w:t>
        </w:r>
      </w:hyperlink>
      <w:r>
        <w:t>, ff. 3, 5.</w:t>
      </w:r>
    </w:p>
    <w:p w14:paraId="1162D9C3" w14:textId="78F8B7D4" w:rsidR="00601EEA" w:rsidRDefault="00601EEA" w:rsidP="00601EEA">
      <w:pPr>
        <w:pStyle w:val="SangriaFrancesaArticulo"/>
      </w:pPr>
      <w:r w:rsidRPr="00601EEA">
        <w:rPr>
          <w:rStyle w:val="TextoNormalNegritaCaracter"/>
        </w:rPr>
        <w:t>Artículo 25.1.</w:t>
      </w:r>
      <w:r w:rsidRPr="00601EEA">
        <w:rPr>
          <w:rStyle w:val="TextoNormalCaracter"/>
        </w:rPr>
        <w:t>-</w:t>
      </w:r>
      <w:r>
        <w:t xml:space="preserve"> Sentencia </w:t>
      </w:r>
      <w:hyperlink w:anchor="SENTENCIA_2024_63" w:history="1">
        <w:r w:rsidRPr="00601EEA">
          <w:rPr>
            <w:rStyle w:val="TextoNormalCaracter"/>
          </w:rPr>
          <w:t>63/2024</w:t>
        </w:r>
      </w:hyperlink>
      <w:r>
        <w:t>, ff. 2, 5.</w:t>
      </w:r>
    </w:p>
    <w:p w14:paraId="6BCDABA7" w14:textId="761A1A1F" w:rsidR="00601EEA" w:rsidRDefault="00601EEA" w:rsidP="00601EEA">
      <w:pPr>
        <w:pStyle w:val="SangriaFrancesaArticulo"/>
      </w:pPr>
      <w:r w:rsidRPr="00601EEA">
        <w:rPr>
          <w:rStyle w:val="TextoNormalNegritaCaracter"/>
        </w:rPr>
        <w:t>Artículo 25.1, incisos “organizaciones sindicales más representativas” o “representativas en el correspondiente ámbito de actuación”.</w:t>
      </w:r>
      <w:r w:rsidRPr="00601EEA">
        <w:rPr>
          <w:rStyle w:val="TextoNormalCaracter"/>
        </w:rPr>
        <w:t>-</w:t>
      </w:r>
      <w:r>
        <w:t xml:space="preserve"> Sentencia </w:t>
      </w:r>
      <w:hyperlink w:anchor="SENTENCIA_2024_63" w:history="1">
        <w:r w:rsidRPr="00601EEA">
          <w:rPr>
            <w:rStyle w:val="TextoNormalCaracter"/>
          </w:rPr>
          <w:t>63/2024</w:t>
        </w:r>
      </w:hyperlink>
      <w:r>
        <w:t>, f. 1.</w:t>
      </w:r>
    </w:p>
    <w:p w14:paraId="5078CD1A" w14:textId="003341E4" w:rsidR="00601EEA" w:rsidRDefault="00601EEA" w:rsidP="00601EEA">
      <w:pPr>
        <w:pStyle w:val="SangriaFrancesaArticulo"/>
      </w:pPr>
      <w:r w:rsidRPr="00601EEA">
        <w:rPr>
          <w:rStyle w:val="TextoNormalNegritaCaracter"/>
        </w:rPr>
        <w:t>Artículo 26.</w:t>
      </w:r>
      <w:r w:rsidRPr="00601EEA">
        <w:rPr>
          <w:rStyle w:val="TextoNormalCaracter"/>
        </w:rPr>
        <w:t>-</w:t>
      </w:r>
      <w:r>
        <w:t xml:space="preserve"> Sentencia </w:t>
      </w:r>
      <w:hyperlink w:anchor="SENTENCIA_2024_63" w:history="1">
        <w:r w:rsidRPr="00601EEA">
          <w:rPr>
            <w:rStyle w:val="TextoNormalCaracter"/>
          </w:rPr>
          <w:t>63/2024</w:t>
        </w:r>
      </w:hyperlink>
      <w:r>
        <w:t>, ff. 2, 3, 5.</w:t>
      </w:r>
    </w:p>
    <w:p w14:paraId="6B710D36" w14:textId="1130DAD9" w:rsidR="00601EEA" w:rsidRDefault="00601EEA" w:rsidP="00601EEA">
      <w:pPr>
        <w:pStyle w:val="SangriaFrancesaArticulo"/>
      </w:pPr>
      <w:r w:rsidRPr="00601EEA">
        <w:rPr>
          <w:rStyle w:val="TextoNormalNegritaCaracter"/>
        </w:rPr>
        <w:t>Artículo 26.1, incisos “organizaciones sindicales más representativas” o “representativas en el correspondiente ámbito de actuación”.</w:t>
      </w:r>
      <w:r w:rsidRPr="00601EEA">
        <w:rPr>
          <w:rStyle w:val="TextoNormalCaracter"/>
        </w:rPr>
        <w:t>-</w:t>
      </w:r>
      <w:r>
        <w:t xml:space="preserve"> Sentencia </w:t>
      </w:r>
      <w:hyperlink w:anchor="SENTENCIA_2024_63" w:history="1">
        <w:r w:rsidRPr="00601EEA">
          <w:rPr>
            <w:rStyle w:val="TextoNormalCaracter"/>
          </w:rPr>
          <w:t>63/2024</w:t>
        </w:r>
      </w:hyperlink>
      <w:r>
        <w:t>, f. 1.</w:t>
      </w:r>
    </w:p>
    <w:p w14:paraId="2172FD6A" w14:textId="77F38851" w:rsidR="00601EEA" w:rsidRDefault="00601EEA" w:rsidP="00601EEA">
      <w:pPr>
        <w:pStyle w:val="SangriaFrancesaArticulo"/>
      </w:pPr>
      <w:r w:rsidRPr="00601EEA">
        <w:rPr>
          <w:rStyle w:val="TextoNormalNegritaCaracter"/>
        </w:rPr>
        <w:t>Disposición adicional primera.</w:t>
      </w:r>
      <w:r w:rsidRPr="00601EEA">
        <w:rPr>
          <w:rStyle w:val="TextoNormalCaracter"/>
        </w:rPr>
        <w:t>-</w:t>
      </w:r>
      <w:r>
        <w:t xml:space="preserve"> Sentencia </w:t>
      </w:r>
      <w:hyperlink w:anchor="SENTENCIA_2024_63" w:history="1">
        <w:r w:rsidRPr="00601EEA">
          <w:rPr>
            <w:rStyle w:val="TextoNormalCaracter"/>
          </w:rPr>
          <w:t>63/2024</w:t>
        </w:r>
      </w:hyperlink>
      <w:r>
        <w:t>, f. 2.</w:t>
      </w:r>
    </w:p>
    <w:p w14:paraId="2A08E3C6" w14:textId="537F789A" w:rsidR="00601EEA" w:rsidRDefault="00601EEA" w:rsidP="00601EEA">
      <w:pPr>
        <w:pStyle w:val="SangriaFrancesaArticulo"/>
      </w:pPr>
      <w:r w:rsidRPr="00601EEA">
        <w:rPr>
          <w:rStyle w:val="TextoNormalNegritaCaracter"/>
        </w:rPr>
        <w:t>Disposición adicional primera, incisos “organizaciones sindicales más representativas” o “representativas en el correspondiente ámbito de actuación”.</w:t>
      </w:r>
      <w:r w:rsidRPr="00601EEA">
        <w:rPr>
          <w:rStyle w:val="TextoNormalCaracter"/>
        </w:rPr>
        <w:t>-</w:t>
      </w:r>
      <w:r>
        <w:t xml:space="preserve"> Sentencia </w:t>
      </w:r>
      <w:hyperlink w:anchor="SENTENCIA_2024_63" w:history="1">
        <w:r w:rsidRPr="00601EEA">
          <w:rPr>
            <w:rStyle w:val="TextoNormalCaracter"/>
          </w:rPr>
          <w:t>63/2024</w:t>
        </w:r>
      </w:hyperlink>
      <w:r>
        <w:t>, f. 1.</w:t>
      </w:r>
    </w:p>
    <w:p w14:paraId="4EB5C0EA" w14:textId="127CD9CF" w:rsidR="00601EEA" w:rsidRDefault="00601EEA" w:rsidP="00601EEA">
      <w:pPr>
        <w:pStyle w:val="SangriaFrancesaArticulo"/>
      </w:pPr>
      <w:r w:rsidRPr="00601EEA">
        <w:rPr>
          <w:rStyle w:val="TextoNormalNegritaCaracter"/>
        </w:rPr>
        <w:t>Disposición adicional quinta.</w:t>
      </w:r>
      <w:r w:rsidRPr="00601EEA">
        <w:rPr>
          <w:rStyle w:val="TextoNormalCaracter"/>
        </w:rPr>
        <w:t>-</w:t>
      </w:r>
      <w:r>
        <w:t xml:space="preserve"> Sentencia </w:t>
      </w:r>
      <w:hyperlink w:anchor="SENTENCIA_2024_63" w:history="1">
        <w:r w:rsidRPr="00601EEA">
          <w:rPr>
            <w:rStyle w:val="TextoNormalCaracter"/>
          </w:rPr>
          <w:t>63/2024</w:t>
        </w:r>
      </w:hyperlink>
      <w:r>
        <w:t>, f. 3.</w:t>
      </w:r>
    </w:p>
    <w:p w14:paraId="22F78468" w14:textId="72EDF016" w:rsidR="00601EEA" w:rsidRDefault="00601EEA" w:rsidP="00601EEA">
      <w:pPr>
        <w:pStyle w:val="SangriaFrancesaArticulo"/>
      </w:pPr>
      <w:r w:rsidRPr="00601EEA">
        <w:rPr>
          <w:rStyle w:val="TextoNormalNegritaCaracter"/>
        </w:rPr>
        <w:t>Disposición final cuarta.</w:t>
      </w:r>
      <w:r w:rsidRPr="00601EEA">
        <w:rPr>
          <w:rStyle w:val="TextoNormalCaracter"/>
        </w:rPr>
        <w:t>-</w:t>
      </w:r>
      <w:r>
        <w:t xml:space="preserve"> Sentencia </w:t>
      </w:r>
      <w:hyperlink w:anchor="SENTENCIA_2024_63" w:history="1">
        <w:r w:rsidRPr="00601EEA">
          <w:rPr>
            <w:rStyle w:val="TextoNormalCaracter"/>
          </w:rPr>
          <w:t>63/2024</w:t>
        </w:r>
      </w:hyperlink>
      <w:r>
        <w:t>, ff. 2, 3, 5.</w:t>
      </w:r>
    </w:p>
    <w:p w14:paraId="77D7940F" w14:textId="7695F678" w:rsidR="00601EEA" w:rsidRDefault="00601EEA" w:rsidP="00601EEA">
      <w:pPr>
        <w:pStyle w:val="SangriaFrancesaArticulo"/>
      </w:pPr>
      <w:r w:rsidRPr="00601EEA">
        <w:rPr>
          <w:rStyle w:val="TextoNormalNegritaCaracter"/>
        </w:rPr>
        <w:t>Disposición final cuarta, incisos “organizaciones sindicales más representativas” o “representativas en el correspondiente ámbito de actuación”.</w:t>
      </w:r>
      <w:r w:rsidRPr="00601EEA">
        <w:rPr>
          <w:rStyle w:val="TextoNormalCaracter"/>
        </w:rPr>
        <w:t>-</w:t>
      </w:r>
      <w:r>
        <w:t xml:space="preserve"> Sentencia </w:t>
      </w:r>
      <w:hyperlink w:anchor="SENTENCIA_2024_63" w:history="1">
        <w:r w:rsidRPr="00601EEA">
          <w:rPr>
            <w:rStyle w:val="TextoNormalCaracter"/>
          </w:rPr>
          <w:t>63/2024</w:t>
        </w:r>
      </w:hyperlink>
      <w:r>
        <w:t>, f. 1.</w:t>
      </w:r>
    </w:p>
    <w:p w14:paraId="60C52CCC" w14:textId="60A3AAD2" w:rsidR="00601EEA" w:rsidRDefault="00601EEA" w:rsidP="00601EEA">
      <w:pPr>
        <w:pStyle w:val="SangriaFrancesaArticulo"/>
      </w:pPr>
      <w:r w:rsidRPr="00601EEA">
        <w:rPr>
          <w:rStyle w:val="TextoNormalNegritaCaracter"/>
        </w:rPr>
        <w:t>Disposición final quinta.</w:t>
      </w:r>
      <w:r w:rsidRPr="00601EEA">
        <w:rPr>
          <w:rStyle w:val="TextoNormalCaracter"/>
        </w:rPr>
        <w:t>-</w:t>
      </w:r>
      <w:r>
        <w:t xml:space="preserve"> Sentencia </w:t>
      </w:r>
      <w:hyperlink w:anchor="SENTENCIA_2024_63" w:history="1">
        <w:r w:rsidRPr="00601EEA">
          <w:rPr>
            <w:rStyle w:val="TextoNormalCaracter"/>
          </w:rPr>
          <w:t>63/2024</w:t>
        </w:r>
      </w:hyperlink>
      <w:r>
        <w:t>, f. 2.</w:t>
      </w:r>
    </w:p>
    <w:p w14:paraId="38092D89" w14:textId="7AC673E9" w:rsidR="00601EEA" w:rsidRDefault="00601EEA" w:rsidP="00601EEA">
      <w:pPr>
        <w:pStyle w:val="SangriaFrancesaArticulo"/>
      </w:pPr>
      <w:r w:rsidRPr="00601EEA">
        <w:rPr>
          <w:rStyle w:val="TextoNormalNegritaCaracter"/>
        </w:rPr>
        <w:t>Disposición final quinta dos.</w:t>
      </w:r>
      <w:r w:rsidRPr="00601EEA">
        <w:rPr>
          <w:rStyle w:val="TextoNormalCaracter"/>
        </w:rPr>
        <w:t>-</w:t>
      </w:r>
      <w:r>
        <w:t xml:space="preserve"> Sentencia </w:t>
      </w:r>
      <w:hyperlink w:anchor="SENTENCIA_2024_63" w:history="1">
        <w:r w:rsidRPr="00601EEA">
          <w:rPr>
            <w:rStyle w:val="TextoNormalCaracter"/>
          </w:rPr>
          <w:t>63/2024</w:t>
        </w:r>
      </w:hyperlink>
      <w:r>
        <w:t>, f. 2.</w:t>
      </w:r>
    </w:p>
    <w:p w14:paraId="668ED444" w14:textId="02D3A89F" w:rsidR="00601EEA" w:rsidRDefault="00601EEA" w:rsidP="00601EEA">
      <w:pPr>
        <w:pStyle w:val="SangriaFrancesaArticulo"/>
      </w:pPr>
      <w:r w:rsidRPr="00601EEA">
        <w:rPr>
          <w:rStyle w:val="TextoNormalNegritaCaracter"/>
        </w:rPr>
        <w:t>Disposición final quinta uno.</w:t>
      </w:r>
      <w:r w:rsidRPr="00601EEA">
        <w:rPr>
          <w:rStyle w:val="TextoNormalCaracter"/>
        </w:rPr>
        <w:t>-</w:t>
      </w:r>
      <w:r>
        <w:t xml:space="preserve"> Sentencia </w:t>
      </w:r>
      <w:hyperlink w:anchor="SENTENCIA_2024_63" w:history="1">
        <w:r w:rsidRPr="00601EEA">
          <w:rPr>
            <w:rStyle w:val="TextoNormalCaracter"/>
          </w:rPr>
          <w:t>63/2024</w:t>
        </w:r>
      </w:hyperlink>
      <w:r>
        <w:t>, f. 2.</w:t>
      </w:r>
    </w:p>
    <w:p w14:paraId="25F6ABAC" w14:textId="1AC61BC4" w:rsidR="00601EEA" w:rsidRDefault="00601EEA" w:rsidP="00601EEA">
      <w:pPr>
        <w:pStyle w:val="SangriaFrancesaArticulo"/>
      </w:pPr>
      <w:r w:rsidRPr="00601EEA">
        <w:rPr>
          <w:rStyle w:val="TextoNormalNegritaCaracter"/>
        </w:rPr>
        <w:t>Disposición final quinta, apartado dos, incisos “organizaciones sindicales más representativas” o “representativas en el correspondiente ámbito de actuación”.</w:t>
      </w:r>
      <w:r w:rsidRPr="00601EEA">
        <w:rPr>
          <w:rStyle w:val="TextoNormalCaracter"/>
        </w:rPr>
        <w:t>-</w:t>
      </w:r>
      <w:r>
        <w:t xml:space="preserve"> Sentencia </w:t>
      </w:r>
      <w:hyperlink w:anchor="SENTENCIA_2024_63" w:history="1">
        <w:r w:rsidRPr="00601EEA">
          <w:rPr>
            <w:rStyle w:val="TextoNormalCaracter"/>
          </w:rPr>
          <w:t>63/2024</w:t>
        </w:r>
      </w:hyperlink>
      <w:r>
        <w:t>, f. 1.</w:t>
      </w:r>
    </w:p>
    <w:p w14:paraId="584965D3" w14:textId="30C84080" w:rsidR="00601EEA" w:rsidRDefault="00601EEA" w:rsidP="00601EEA">
      <w:pPr>
        <w:pStyle w:val="SangriaFrancesaArticulo"/>
      </w:pPr>
      <w:r w:rsidRPr="00601EEA">
        <w:rPr>
          <w:rStyle w:val="TextoNormalNegritaCaracter"/>
        </w:rPr>
        <w:lastRenderedPageBreak/>
        <w:t>Disposición final quinta, apartado uno, apartado dos, incisos “organizaciones sindicales más representativas” o “representativas en el correspondiente ámbito de actuación”.</w:t>
      </w:r>
      <w:r w:rsidRPr="00601EEA">
        <w:rPr>
          <w:rStyle w:val="TextoNormalCaracter"/>
        </w:rPr>
        <w:t>-</w:t>
      </w:r>
      <w:r>
        <w:t xml:space="preserve"> Sentencia </w:t>
      </w:r>
      <w:hyperlink w:anchor="SENTENCIA_2024_63" w:history="1">
        <w:r w:rsidRPr="00601EEA">
          <w:rPr>
            <w:rStyle w:val="TextoNormalCaracter"/>
          </w:rPr>
          <w:t>63/2024</w:t>
        </w:r>
      </w:hyperlink>
      <w:r>
        <w:t>, f. 1.</w:t>
      </w:r>
    </w:p>
    <w:p w14:paraId="6C0F380B" w14:textId="31394E0E" w:rsidR="00601EEA" w:rsidRDefault="00601EEA" w:rsidP="00601EEA">
      <w:pPr>
        <w:pStyle w:val="SangriaFrancesaArticulo"/>
      </w:pPr>
      <w:r w:rsidRPr="00601EEA">
        <w:rPr>
          <w:rStyle w:val="TextoNormalNegritaCaracter"/>
        </w:rPr>
        <w:t>Disposición final quinta, párrafo primero.</w:t>
      </w:r>
      <w:r w:rsidRPr="00601EEA">
        <w:rPr>
          <w:rStyle w:val="TextoNormalCaracter"/>
        </w:rPr>
        <w:t>-</w:t>
      </w:r>
      <w:r>
        <w:t xml:space="preserve"> Sentencia </w:t>
      </w:r>
      <w:hyperlink w:anchor="SENTENCIA_2024_63" w:history="1">
        <w:r w:rsidRPr="00601EEA">
          <w:rPr>
            <w:rStyle w:val="TextoNormalCaracter"/>
          </w:rPr>
          <w:t>63/2024</w:t>
        </w:r>
      </w:hyperlink>
      <w:r>
        <w:t>, f. 2.</w:t>
      </w:r>
    </w:p>
    <w:p w14:paraId="1BFF5C6D" w14:textId="2E898064" w:rsidR="00601EEA" w:rsidRDefault="00601EEA" w:rsidP="00601EEA">
      <w:pPr>
        <w:pStyle w:val="SangriaFrancesaArticulo"/>
      </w:pPr>
    </w:p>
    <w:p w14:paraId="12902A04" w14:textId="77777777" w:rsidR="00601EEA" w:rsidRDefault="00601EEA" w:rsidP="00601EEA">
      <w:pPr>
        <w:pStyle w:val="TextoNormalNegritaCursivandice"/>
        <w:keepNext/>
      </w:pPr>
      <w:r>
        <w:t>Ley 39/2015, de 1 de octubre, del procedimiento administrativo común de las administraciones públicas</w:t>
      </w:r>
    </w:p>
    <w:p w14:paraId="5F33A063" w14:textId="62EEB677"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93" w:history="1">
        <w:r w:rsidRPr="00601EEA">
          <w:rPr>
            <w:rStyle w:val="TextoNormalCaracter"/>
          </w:rPr>
          <w:t>93/2024</w:t>
        </w:r>
      </w:hyperlink>
      <w:r>
        <w:t>, VP I.</w:t>
      </w:r>
    </w:p>
    <w:p w14:paraId="485DD03C" w14:textId="50BE7022" w:rsidR="00601EEA" w:rsidRDefault="00601EEA" w:rsidP="00601EEA">
      <w:pPr>
        <w:pStyle w:val="SangriaFrancesaArticulo"/>
      </w:pPr>
      <w:r w:rsidRPr="00601EEA">
        <w:rPr>
          <w:rStyle w:val="TextoNormalNegritaCaracter"/>
        </w:rPr>
        <w:t>Artículo 3.</w:t>
      </w:r>
      <w:r w:rsidRPr="00601EEA">
        <w:rPr>
          <w:rStyle w:val="TextoNormalCaracter"/>
        </w:rPr>
        <w:t>-</w:t>
      </w:r>
      <w:r>
        <w:t xml:space="preserve"> Sentencia </w:t>
      </w:r>
      <w:hyperlink w:anchor="SENTENCIA_2024_92" w:history="1">
        <w:r w:rsidRPr="00601EEA">
          <w:rPr>
            <w:rStyle w:val="TextoNormalCaracter"/>
          </w:rPr>
          <w:t>92/2024</w:t>
        </w:r>
      </w:hyperlink>
      <w:r>
        <w:t>, f. 6.</w:t>
      </w:r>
    </w:p>
    <w:p w14:paraId="2D3E9B2B" w14:textId="315E9FBE" w:rsidR="00601EEA" w:rsidRDefault="00601EEA" w:rsidP="00601EEA">
      <w:pPr>
        <w:pStyle w:val="SangriaFrancesaArticulo"/>
      </w:pPr>
      <w:r w:rsidRPr="00601EEA">
        <w:rPr>
          <w:rStyle w:val="TextoNormalNegritaCaracter"/>
        </w:rPr>
        <w:t>Artículo 112.</w:t>
      </w:r>
      <w:r w:rsidRPr="00601EEA">
        <w:rPr>
          <w:rStyle w:val="TextoNormalCaracter"/>
        </w:rPr>
        <w:t>-</w:t>
      </w:r>
      <w:r>
        <w:t xml:space="preserve"> Sentencia </w:t>
      </w:r>
      <w:hyperlink w:anchor="SENTENCIA_2024_93" w:history="1">
        <w:r w:rsidRPr="00601EEA">
          <w:rPr>
            <w:rStyle w:val="TextoNormalCaracter"/>
          </w:rPr>
          <w:t>93/2024</w:t>
        </w:r>
      </w:hyperlink>
      <w:r>
        <w:t>, VP II.</w:t>
      </w:r>
    </w:p>
    <w:p w14:paraId="1124314F" w14:textId="0C564899" w:rsidR="00601EEA" w:rsidRDefault="00601EEA" w:rsidP="00601EEA">
      <w:pPr>
        <w:pStyle w:val="SangriaFrancesaArticulo"/>
      </w:pPr>
      <w:r w:rsidRPr="00601EEA">
        <w:rPr>
          <w:rStyle w:val="TextoNormalNegritaCaracter"/>
        </w:rPr>
        <w:t>Artículos 127 y siguientes.</w:t>
      </w:r>
      <w:r w:rsidRPr="00601EEA">
        <w:rPr>
          <w:rStyle w:val="TextoNormalCaracter"/>
        </w:rPr>
        <w:t>-</w:t>
      </w:r>
      <w:r>
        <w:t xml:space="preserve"> Sentencia </w:t>
      </w:r>
      <w:hyperlink w:anchor="SENTENCIA_2024_93" w:history="1">
        <w:r w:rsidRPr="00601EEA">
          <w:rPr>
            <w:rStyle w:val="TextoNormalCaracter"/>
          </w:rPr>
          <w:t>93/2024</w:t>
        </w:r>
      </w:hyperlink>
      <w:r>
        <w:t>, VP I.</w:t>
      </w:r>
    </w:p>
    <w:p w14:paraId="1AB8BBA0" w14:textId="5633710B" w:rsidR="00601EEA" w:rsidRDefault="00601EEA" w:rsidP="00601EEA">
      <w:pPr>
        <w:pStyle w:val="SangriaFrancesaArticulo"/>
      </w:pPr>
      <w:r w:rsidRPr="00601EEA">
        <w:rPr>
          <w:rStyle w:val="TextoNormalNegritaCaracter"/>
        </w:rPr>
        <w:t>Artículo 129.</w:t>
      </w:r>
      <w:r w:rsidRPr="00601EEA">
        <w:rPr>
          <w:rStyle w:val="TextoNormalCaracter"/>
        </w:rPr>
        <w:t>-</w:t>
      </w:r>
      <w:r>
        <w:t xml:space="preserve"> Sentencia </w:t>
      </w:r>
      <w:hyperlink w:anchor="SENTENCIA_2024_93" w:history="1">
        <w:r w:rsidRPr="00601EEA">
          <w:rPr>
            <w:rStyle w:val="TextoNormalCaracter"/>
          </w:rPr>
          <w:t>93/2024</w:t>
        </w:r>
      </w:hyperlink>
      <w:r>
        <w:t>, VP I.</w:t>
      </w:r>
    </w:p>
    <w:p w14:paraId="5B82597B" w14:textId="32AFBB7F" w:rsidR="00601EEA" w:rsidRDefault="00601EEA" w:rsidP="00601EEA">
      <w:pPr>
        <w:pStyle w:val="SangriaFrancesaArticulo"/>
      </w:pPr>
    </w:p>
    <w:p w14:paraId="7A859C24" w14:textId="77777777" w:rsidR="00601EEA" w:rsidRDefault="00601EEA" w:rsidP="00601EEA">
      <w:pPr>
        <w:pStyle w:val="TextoNormalNegritaCursivandice"/>
        <w:keepNext/>
      </w:pPr>
      <w:r>
        <w:t>Ley 40/2015, de 1 de octubre, de régimen jurídico del sector público</w:t>
      </w:r>
    </w:p>
    <w:p w14:paraId="63290214" w14:textId="70773A19" w:rsidR="00601EEA" w:rsidRDefault="00601EEA" w:rsidP="00601EEA">
      <w:pPr>
        <w:pStyle w:val="SangriaFrancesaArticulo"/>
      </w:pPr>
      <w:r w:rsidRPr="00601EEA">
        <w:rPr>
          <w:rStyle w:val="TextoNormalNegritaCaracter"/>
        </w:rPr>
        <w:t>Artículo 3.1 e).</w:t>
      </w:r>
      <w:r w:rsidRPr="00601EEA">
        <w:rPr>
          <w:rStyle w:val="TextoNormalCaracter"/>
        </w:rPr>
        <w:t>-</w:t>
      </w:r>
      <w:r>
        <w:t xml:space="preserve"> Sentencia </w:t>
      </w:r>
      <w:hyperlink w:anchor="SENTENCIA_2024_61" w:history="1">
        <w:r w:rsidRPr="00601EEA">
          <w:rPr>
            <w:rStyle w:val="TextoNormalCaracter"/>
          </w:rPr>
          <w:t>61/2024</w:t>
        </w:r>
      </w:hyperlink>
      <w:r>
        <w:t>, VP.</w:t>
      </w:r>
    </w:p>
    <w:p w14:paraId="33C3FABB" w14:textId="1E5B7E86" w:rsidR="00601EEA" w:rsidRDefault="00601EEA" w:rsidP="00601EEA">
      <w:pPr>
        <w:pStyle w:val="SangriaFrancesaArticulo"/>
      </w:pPr>
      <w:r w:rsidRPr="00601EEA">
        <w:rPr>
          <w:rStyle w:val="TextoNormalNegritaCaracter"/>
        </w:rPr>
        <w:t>Artículo 11.</w:t>
      </w:r>
      <w:r w:rsidRPr="00601EEA">
        <w:rPr>
          <w:rStyle w:val="TextoNormalCaracter"/>
        </w:rPr>
        <w:t>-</w:t>
      </w:r>
      <w:r>
        <w:t xml:space="preserve"> Sentencias </w:t>
      </w:r>
      <w:hyperlink w:anchor="SENTENCIA_2024_19" w:history="1">
        <w:r w:rsidRPr="00601EEA">
          <w:rPr>
            <w:rStyle w:val="TextoNormalCaracter"/>
          </w:rPr>
          <w:t>19/2024</w:t>
        </w:r>
      </w:hyperlink>
      <w:r>
        <w:t xml:space="preserve">, f. 5; </w:t>
      </w:r>
      <w:hyperlink w:anchor="SENTENCIA_2024_32" w:history="1">
        <w:r w:rsidRPr="00601EEA">
          <w:rPr>
            <w:rStyle w:val="TextoNormalCaracter"/>
          </w:rPr>
          <w:t>32/2024</w:t>
        </w:r>
      </w:hyperlink>
      <w:r>
        <w:t>, f. 2.</w:t>
      </w:r>
    </w:p>
    <w:p w14:paraId="040465B8" w14:textId="37BEF4D9" w:rsidR="00601EEA" w:rsidRDefault="00601EEA" w:rsidP="00601EEA">
      <w:pPr>
        <w:pStyle w:val="SangriaFrancesaArticulo"/>
      </w:pPr>
    </w:p>
    <w:p w14:paraId="220E9555" w14:textId="77777777" w:rsidR="00601EEA" w:rsidRDefault="00601EEA" w:rsidP="00601EEA">
      <w:pPr>
        <w:pStyle w:val="TextoNormalNegritaCursivandice"/>
        <w:keepNext/>
      </w:pPr>
      <w:r>
        <w:t>Ley 41/2015, de 5 de octubre, de modificación de la Ley de enjuiciamiento criminal para la agilización de la justicia penal y el fortalecimiento de las garantías procesales</w:t>
      </w:r>
    </w:p>
    <w:p w14:paraId="6502DA2C" w14:textId="4406A54D"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Sentencias </w:t>
      </w:r>
      <w:hyperlink w:anchor="SENTENCIA_2024_9" w:history="1">
        <w:r w:rsidRPr="00601EEA">
          <w:rPr>
            <w:rStyle w:val="TextoNormalCaracter"/>
          </w:rPr>
          <w:t>9/2024</w:t>
        </w:r>
      </w:hyperlink>
      <w:r>
        <w:t xml:space="preserve">, VP II; </w:t>
      </w:r>
      <w:hyperlink w:anchor="SENTENCIA_2024_72" w:history="1">
        <w:r w:rsidRPr="00601EEA">
          <w:rPr>
            <w:rStyle w:val="TextoNormalCaracter"/>
          </w:rPr>
          <w:t>72/2024</w:t>
        </w:r>
      </w:hyperlink>
      <w:r>
        <w:t xml:space="preserve">, ff. 2, 3, 5, VP; </w:t>
      </w:r>
      <w:hyperlink w:anchor="SENTENCIA_2024_80" w:history="1">
        <w:r w:rsidRPr="00601EEA">
          <w:rPr>
            <w:rStyle w:val="TextoNormalCaracter"/>
          </w:rPr>
          <w:t>80/2024</w:t>
        </w:r>
      </w:hyperlink>
      <w:r>
        <w:t>, ff. 2, 4.</w:t>
      </w:r>
    </w:p>
    <w:p w14:paraId="2D5F89EA" w14:textId="3630445B" w:rsidR="00601EEA" w:rsidRDefault="00601EEA" w:rsidP="00601EEA">
      <w:pPr>
        <w:pStyle w:val="SangriaFrancesaArticulo"/>
      </w:pPr>
      <w:r w:rsidRPr="00601EEA">
        <w:rPr>
          <w:rStyle w:val="TextoNormalNegritaCaracter"/>
        </w:rPr>
        <w:t>Preámbulo, apartado IV.</w:t>
      </w:r>
      <w:r w:rsidRPr="00601EEA">
        <w:rPr>
          <w:rStyle w:val="TextoNormalCaracter"/>
        </w:rPr>
        <w:t>-</w:t>
      </w:r>
      <w:r>
        <w:t xml:space="preserve"> Sentencias </w:t>
      </w:r>
      <w:hyperlink w:anchor="SENTENCIA_2024_72" w:history="1">
        <w:r w:rsidRPr="00601EEA">
          <w:rPr>
            <w:rStyle w:val="TextoNormalCaracter"/>
          </w:rPr>
          <w:t>72/2024</w:t>
        </w:r>
      </w:hyperlink>
      <w:r>
        <w:t xml:space="preserve">, VP; </w:t>
      </w:r>
      <w:hyperlink w:anchor="SENTENCIA_2024_80" w:history="1">
        <w:r w:rsidRPr="00601EEA">
          <w:rPr>
            <w:rStyle w:val="TextoNormalCaracter"/>
          </w:rPr>
          <w:t>80/2024</w:t>
        </w:r>
      </w:hyperlink>
      <w:r>
        <w:t>, f. 4.</w:t>
      </w:r>
    </w:p>
    <w:p w14:paraId="7CC32062" w14:textId="3F3D814E" w:rsidR="00601EEA" w:rsidRDefault="00601EEA" w:rsidP="00601EEA">
      <w:pPr>
        <w:pStyle w:val="SangriaFrancesaArticulo"/>
      </w:pPr>
      <w:r w:rsidRPr="00601EEA">
        <w:rPr>
          <w:rStyle w:val="TextoNormalNegritaCaracter"/>
        </w:rPr>
        <w:t>Artículo único, apartado 8.</w:t>
      </w:r>
      <w:r w:rsidRPr="00601EEA">
        <w:rPr>
          <w:rStyle w:val="TextoNormalCaracter"/>
        </w:rPr>
        <w:t>-</w:t>
      </w:r>
      <w:r>
        <w:t xml:space="preserve"> Sentencia </w:t>
      </w:r>
      <w:hyperlink w:anchor="SENTENCIA_2024_72" w:history="1">
        <w:r w:rsidRPr="00601EEA">
          <w:rPr>
            <w:rStyle w:val="TextoNormalCaracter"/>
          </w:rPr>
          <w:t>72/2024</w:t>
        </w:r>
      </w:hyperlink>
      <w:r>
        <w:t>, VP.</w:t>
      </w:r>
    </w:p>
    <w:p w14:paraId="4D388EC0" w14:textId="0DC940AF" w:rsidR="00601EEA" w:rsidRDefault="00601EEA" w:rsidP="00601EEA">
      <w:pPr>
        <w:pStyle w:val="SangriaFrancesaArticulo"/>
      </w:pPr>
    </w:p>
    <w:p w14:paraId="0E21112D" w14:textId="77777777" w:rsidR="00601EEA" w:rsidRDefault="00601EEA" w:rsidP="00601EEA">
      <w:pPr>
        <w:pStyle w:val="TextoNormalNegritaCursivandice"/>
        <w:keepNext/>
      </w:pPr>
      <w:r>
        <w:t>Ley 9/2017, de 8 de noviembre, de contratos del sector público, por la que se transponen al ordenamiento jurídico español las Directivas del Parlamento Europeo y del Consejo 2014/23/UE y 2014/24/UE, de 26 de febrero de 2014</w:t>
      </w:r>
    </w:p>
    <w:p w14:paraId="34B6C478" w14:textId="3B4119E6"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65" w:history="1">
        <w:r w:rsidRPr="00601EEA">
          <w:rPr>
            <w:rStyle w:val="TextoNormalCaracter"/>
          </w:rPr>
          <w:t>65/2024</w:t>
        </w:r>
      </w:hyperlink>
      <w:r>
        <w:t>, ff. 3 a 5.</w:t>
      </w:r>
    </w:p>
    <w:p w14:paraId="17F95017" w14:textId="4757073D" w:rsidR="00601EEA" w:rsidRDefault="00601EEA" w:rsidP="00601EEA">
      <w:pPr>
        <w:pStyle w:val="SangriaFrancesaArticulo"/>
      </w:pPr>
      <w:r w:rsidRPr="00601EEA">
        <w:rPr>
          <w:rStyle w:val="TextoNormalNegritaCaracter"/>
        </w:rPr>
        <w:t>Artículo 1.1.</w:t>
      </w:r>
      <w:r w:rsidRPr="00601EEA">
        <w:rPr>
          <w:rStyle w:val="TextoNormalCaracter"/>
        </w:rPr>
        <w:t>-</w:t>
      </w:r>
      <w:r>
        <w:t xml:space="preserve"> Sentencia </w:t>
      </w:r>
      <w:hyperlink w:anchor="SENTENCIA_2024_65" w:history="1">
        <w:r w:rsidRPr="00601EEA">
          <w:rPr>
            <w:rStyle w:val="TextoNormalCaracter"/>
          </w:rPr>
          <w:t>65/2024</w:t>
        </w:r>
      </w:hyperlink>
      <w:r>
        <w:t>, f. 4.</w:t>
      </w:r>
    </w:p>
    <w:p w14:paraId="0BDB3075" w14:textId="792BE2FC" w:rsidR="00601EEA" w:rsidRDefault="00601EEA" w:rsidP="00601EEA">
      <w:pPr>
        <w:pStyle w:val="SangriaFrancesaArticulo"/>
      </w:pPr>
      <w:r w:rsidRPr="00601EEA">
        <w:rPr>
          <w:rStyle w:val="TextoNormalNegritaCaracter"/>
        </w:rPr>
        <w:t>Artículos 4 a 11.</w:t>
      </w:r>
      <w:r w:rsidRPr="00601EEA">
        <w:rPr>
          <w:rStyle w:val="TextoNormalCaracter"/>
        </w:rPr>
        <w:t>-</w:t>
      </w:r>
      <w:r>
        <w:t xml:space="preserve"> Sentencia </w:t>
      </w:r>
      <w:hyperlink w:anchor="SENTENCIA_2024_65" w:history="1">
        <w:r w:rsidRPr="00601EEA">
          <w:rPr>
            <w:rStyle w:val="TextoNormalCaracter"/>
          </w:rPr>
          <w:t>65/2024</w:t>
        </w:r>
      </w:hyperlink>
      <w:r>
        <w:t>, f. 4.</w:t>
      </w:r>
    </w:p>
    <w:p w14:paraId="73643AC8" w14:textId="6296965C" w:rsidR="00601EEA" w:rsidRDefault="00601EEA" w:rsidP="00601EEA">
      <w:pPr>
        <w:pStyle w:val="SangriaFrancesaArticulo"/>
      </w:pPr>
      <w:r w:rsidRPr="00601EEA">
        <w:rPr>
          <w:rStyle w:val="TextoNormalNegritaCaracter"/>
        </w:rPr>
        <w:t>Artículo 11.</w:t>
      </w:r>
      <w:r w:rsidRPr="00601EEA">
        <w:rPr>
          <w:rStyle w:val="TextoNormalCaracter"/>
        </w:rPr>
        <w:t>-</w:t>
      </w:r>
      <w:r>
        <w:t xml:space="preserve"> Sentencia </w:t>
      </w:r>
      <w:hyperlink w:anchor="SENTENCIA_2024_65" w:history="1">
        <w:r w:rsidRPr="00601EEA">
          <w:rPr>
            <w:rStyle w:val="TextoNormalCaracter"/>
          </w:rPr>
          <w:t>65/2024</w:t>
        </w:r>
      </w:hyperlink>
      <w:r>
        <w:t>, f. 4.</w:t>
      </w:r>
    </w:p>
    <w:p w14:paraId="104F8F05" w14:textId="29BF8C49" w:rsidR="00601EEA" w:rsidRDefault="00601EEA" w:rsidP="00601EEA">
      <w:pPr>
        <w:pStyle w:val="SangriaFrancesaArticulo"/>
      </w:pPr>
      <w:r w:rsidRPr="00601EEA">
        <w:rPr>
          <w:rStyle w:val="TextoNormalNegritaCaracter"/>
        </w:rPr>
        <w:t>Artículo 19.2 e).</w:t>
      </w:r>
      <w:r w:rsidRPr="00601EEA">
        <w:rPr>
          <w:rStyle w:val="TextoNormalCaracter"/>
        </w:rPr>
        <w:t>-</w:t>
      </w:r>
      <w:r>
        <w:t xml:space="preserve"> Sentencia </w:t>
      </w:r>
      <w:hyperlink w:anchor="SENTENCIA_2024_65" w:history="1">
        <w:r w:rsidRPr="00601EEA">
          <w:rPr>
            <w:rStyle w:val="TextoNormalCaracter"/>
          </w:rPr>
          <w:t>65/2024</w:t>
        </w:r>
      </w:hyperlink>
      <w:r>
        <w:t>, f. 4.</w:t>
      </w:r>
    </w:p>
    <w:p w14:paraId="68FDE158" w14:textId="6EBAD378" w:rsidR="00601EEA" w:rsidRDefault="00601EEA" w:rsidP="00601EEA">
      <w:pPr>
        <w:pStyle w:val="SangriaFrancesaArticulo"/>
      </w:pPr>
    </w:p>
    <w:p w14:paraId="1094F6BE" w14:textId="77777777" w:rsidR="00601EEA" w:rsidRDefault="00601EEA" w:rsidP="00601EEA">
      <w:pPr>
        <w:pStyle w:val="TextoNormalNegritaCursivandice"/>
        <w:keepNext/>
      </w:pPr>
      <w:r>
        <w:t>Ley 6/2018, de 3 de julio, de presupuestos generales del Estado para el año 2018</w:t>
      </w:r>
    </w:p>
    <w:p w14:paraId="362464BF" w14:textId="0E95B7FA" w:rsidR="00601EEA" w:rsidRDefault="00601EEA" w:rsidP="00601EEA">
      <w:pPr>
        <w:pStyle w:val="SangriaFrancesaArticulo"/>
      </w:pPr>
      <w:r w:rsidRPr="00601EEA">
        <w:rPr>
          <w:rStyle w:val="TextoNormalNegritaCaracter"/>
        </w:rPr>
        <w:t>En general.</w:t>
      </w:r>
      <w:r w:rsidRPr="00601EEA">
        <w:rPr>
          <w:rStyle w:val="TextoNormalCaracter"/>
        </w:rPr>
        <w:t>-</w:t>
      </w:r>
      <w:r>
        <w:t xml:space="preserve"> Auto </w:t>
      </w:r>
      <w:hyperlink w:anchor="AUTO_2024_59" w:history="1">
        <w:r w:rsidRPr="00601EEA">
          <w:rPr>
            <w:rStyle w:val="TextoNormalCaracter"/>
          </w:rPr>
          <w:t>59/2024</w:t>
        </w:r>
      </w:hyperlink>
      <w:r>
        <w:t>, f. único.</w:t>
      </w:r>
    </w:p>
    <w:p w14:paraId="1D8F296B" w14:textId="1834A180" w:rsidR="00601EEA" w:rsidRDefault="00601EEA" w:rsidP="00601EEA">
      <w:pPr>
        <w:pStyle w:val="SangriaFrancesaArticulo"/>
      </w:pPr>
    </w:p>
    <w:p w14:paraId="63012357" w14:textId="77777777" w:rsidR="00601EEA" w:rsidRDefault="00601EEA" w:rsidP="00601EEA">
      <w:pPr>
        <w:pStyle w:val="TextoNormalNegritaCursivandice"/>
        <w:keepNext/>
      </w:pPr>
      <w:r>
        <w:t>Ley 5/2019, de 15 de marzo, reguladora de los contratos de crédito inmobiliario</w:t>
      </w:r>
    </w:p>
    <w:p w14:paraId="1098BFB8" w14:textId="0B4D6589"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54" w:history="1">
        <w:r w:rsidRPr="00601EEA">
          <w:rPr>
            <w:rStyle w:val="TextoNormalCaracter"/>
          </w:rPr>
          <w:t>54/2024</w:t>
        </w:r>
      </w:hyperlink>
      <w:r>
        <w:t>, ff. 1, 3.</w:t>
      </w:r>
    </w:p>
    <w:p w14:paraId="73BD4DA4" w14:textId="112567D0" w:rsidR="00601EEA" w:rsidRDefault="00601EEA" w:rsidP="00601EEA">
      <w:pPr>
        <w:pStyle w:val="SangriaFrancesaArticulo"/>
      </w:pPr>
      <w:r w:rsidRPr="00601EEA">
        <w:rPr>
          <w:rStyle w:val="TextoNormalNegritaCaracter"/>
        </w:rPr>
        <w:t>Artículo 3.</w:t>
      </w:r>
      <w:r w:rsidRPr="00601EEA">
        <w:rPr>
          <w:rStyle w:val="TextoNormalCaracter"/>
        </w:rPr>
        <w:t>-</w:t>
      </w:r>
      <w:r>
        <w:t xml:space="preserve"> Sentencia </w:t>
      </w:r>
      <w:hyperlink w:anchor="SENTENCIA_2024_92" w:history="1">
        <w:r w:rsidRPr="00601EEA">
          <w:rPr>
            <w:rStyle w:val="TextoNormalCaracter"/>
          </w:rPr>
          <w:t>92/2024</w:t>
        </w:r>
      </w:hyperlink>
      <w:r>
        <w:t>, VP IV.</w:t>
      </w:r>
    </w:p>
    <w:p w14:paraId="4D77EC1A" w14:textId="35F60D4F" w:rsidR="00601EEA" w:rsidRDefault="00601EEA" w:rsidP="00601EEA">
      <w:pPr>
        <w:pStyle w:val="SangriaFrancesaArticulo"/>
      </w:pPr>
      <w:r w:rsidRPr="00601EEA">
        <w:rPr>
          <w:rStyle w:val="TextoNormalNegritaCaracter"/>
        </w:rPr>
        <w:t>Artículo 14.</w:t>
      </w:r>
      <w:r w:rsidRPr="00601EEA">
        <w:rPr>
          <w:rStyle w:val="TextoNormalCaracter"/>
        </w:rPr>
        <w:t>-</w:t>
      </w:r>
      <w:r>
        <w:t xml:space="preserve"> Sentencia </w:t>
      </w:r>
      <w:hyperlink w:anchor="SENTENCIA_2024_92" w:history="1">
        <w:r w:rsidRPr="00601EEA">
          <w:rPr>
            <w:rStyle w:val="TextoNormalCaracter"/>
          </w:rPr>
          <w:t>92/2024</w:t>
        </w:r>
      </w:hyperlink>
      <w:r>
        <w:t>, VP IV.</w:t>
      </w:r>
    </w:p>
    <w:p w14:paraId="53514CA4" w14:textId="7FB8331F" w:rsidR="00601EEA" w:rsidRDefault="00601EEA" w:rsidP="00601EEA">
      <w:pPr>
        <w:pStyle w:val="SangriaFrancesaArticulo"/>
      </w:pPr>
      <w:r w:rsidRPr="00601EEA">
        <w:rPr>
          <w:rStyle w:val="TextoNormalNegritaCaracter"/>
        </w:rPr>
        <w:t>Disposición transitoria tercera.</w:t>
      </w:r>
      <w:r w:rsidRPr="00601EEA">
        <w:rPr>
          <w:rStyle w:val="TextoNormalCaracter"/>
        </w:rPr>
        <w:t>-</w:t>
      </w:r>
      <w:r>
        <w:t xml:space="preserve"> Sentencias </w:t>
      </w:r>
      <w:hyperlink w:anchor="SENTENCIA_2024_27" w:history="1">
        <w:r w:rsidRPr="00601EEA">
          <w:rPr>
            <w:rStyle w:val="TextoNormalCaracter"/>
          </w:rPr>
          <w:t>27/2024</w:t>
        </w:r>
      </w:hyperlink>
      <w:r>
        <w:t xml:space="preserve">, f. 3; </w:t>
      </w:r>
      <w:hyperlink w:anchor="SENTENCIA_2024_54" w:history="1">
        <w:r w:rsidRPr="00601EEA">
          <w:rPr>
            <w:rStyle w:val="TextoNormalCaracter"/>
          </w:rPr>
          <w:t>54/2024</w:t>
        </w:r>
      </w:hyperlink>
      <w:r>
        <w:t>, f. 3.</w:t>
      </w:r>
    </w:p>
    <w:p w14:paraId="528A6CC4" w14:textId="237B7C03" w:rsidR="00601EEA" w:rsidRDefault="00601EEA" w:rsidP="00601EEA">
      <w:pPr>
        <w:pStyle w:val="SangriaFrancesaArticulo"/>
      </w:pPr>
    </w:p>
    <w:p w14:paraId="6E83FB54" w14:textId="77777777" w:rsidR="00601EEA" w:rsidRDefault="00601EEA" w:rsidP="00601EEA">
      <w:pPr>
        <w:pStyle w:val="TextoNormalNegritaCursivandice"/>
        <w:keepNext/>
      </w:pPr>
      <w:r>
        <w:t>Ley 8/2021, de 2 de junio, por la que se reforma la legislación civil y procesal para el apoyo a las personas con discapacidad en el ejercicio de su capacidad jurídica</w:t>
      </w:r>
    </w:p>
    <w:p w14:paraId="157CDA14" w14:textId="79859C03"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53" w:history="1">
        <w:r w:rsidRPr="00601EEA">
          <w:rPr>
            <w:rStyle w:val="TextoNormalCaracter"/>
          </w:rPr>
          <w:t>53/2024</w:t>
        </w:r>
      </w:hyperlink>
      <w:r>
        <w:t>, ff. 3, 4.</w:t>
      </w:r>
    </w:p>
    <w:p w14:paraId="27736F0C" w14:textId="4BACFA35" w:rsidR="00601EEA" w:rsidRDefault="00601EEA" w:rsidP="00601EEA">
      <w:pPr>
        <w:pStyle w:val="SangriaFrancesaArticulo"/>
      </w:pPr>
      <w:r w:rsidRPr="00601EEA">
        <w:rPr>
          <w:rStyle w:val="TextoNormalNegritaCaracter"/>
        </w:rPr>
        <w:t>Artículo 2.10.</w:t>
      </w:r>
      <w:r w:rsidRPr="00601EEA">
        <w:rPr>
          <w:rStyle w:val="TextoNormalCaracter"/>
        </w:rPr>
        <w:t>-</w:t>
      </w:r>
      <w:r>
        <w:t xml:space="preserve"> Sentencia </w:t>
      </w:r>
      <w:hyperlink w:anchor="SENTENCIA_2024_53" w:history="1">
        <w:r w:rsidRPr="00601EEA">
          <w:rPr>
            <w:rStyle w:val="TextoNormalCaracter"/>
          </w:rPr>
          <w:t>53/2024</w:t>
        </w:r>
      </w:hyperlink>
      <w:r>
        <w:t>, f. 3.</w:t>
      </w:r>
    </w:p>
    <w:p w14:paraId="5F84DEE4" w14:textId="0D268F2B" w:rsidR="00601EEA" w:rsidRDefault="00601EEA" w:rsidP="00601EEA">
      <w:pPr>
        <w:pStyle w:val="SangriaFrancesaArticulo"/>
      </w:pPr>
      <w:r w:rsidRPr="00601EEA">
        <w:rPr>
          <w:rStyle w:val="TextoNormalNegritaCaracter"/>
        </w:rPr>
        <w:lastRenderedPageBreak/>
        <w:t>Artículo 2.19.</w:t>
      </w:r>
      <w:r w:rsidRPr="00601EEA">
        <w:rPr>
          <w:rStyle w:val="TextoNormalCaracter"/>
        </w:rPr>
        <w:t>-</w:t>
      </w:r>
      <w:r>
        <w:t xml:space="preserve"> Sentencia </w:t>
      </w:r>
      <w:hyperlink w:anchor="SENTENCIA_2024_53" w:history="1">
        <w:r w:rsidRPr="00601EEA">
          <w:rPr>
            <w:rStyle w:val="TextoNormalCaracter"/>
          </w:rPr>
          <w:t>53/2024</w:t>
        </w:r>
      </w:hyperlink>
      <w:r>
        <w:t>, f. 3.</w:t>
      </w:r>
    </w:p>
    <w:p w14:paraId="2D3C523A" w14:textId="7E2B55BB" w:rsidR="00601EEA" w:rsidRDefault="00601EEA" w:rsidP="00601EEA">
      <w:pPr>
        <w:pStyle w:val="SangriaFrancesaArticulo"/>
      </w:pPr>
    </w:p>
    <w:p w14:paraId="23EECB1C" w14:textId="77777777" w:rsidR="00601EEA" w:rsidRDefault="00601EEA" w:rsidP="00601EEA">
      <w:pPr>
        <w:pStyle w:val="TextoNormalNegritaCursivandice"/>
        <w:keepNext/>
      </w:pPr>
      <w:r>
        <w:t>Ley 19/2021, de 20 de diciembre, por la que se establece el ingreso mínimo vital</w:t>
      </w:r>
    </w:p>
    <w:p w14:paraId="1B0B6564" w14:textId="194A77E5"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19" w:history="1">
        <w:r w:rsidRPr="00601EEA">
          <w:rPr>
            <w:rStyle w:val="TextoNormalCaracter"/>
          </w:rPr>
          <w:t>19/2024</w:t>
        </w:r>
      </w:hyperlink>
      <w:r>
        <w:t>, ff. 1, 4.</w:t>
      </w:r>
    </w:p>
    <w:p w14:paraId="7C14C9E2" w14:textId="45D6920F" w:rsidR="00601EEA" w:rsidRDefault="00601EEA" w:rsidP="00601EEA">
      <w:pPr>
        <w:pStyle w:val="SangriaFrancesaArticulo"/>
      </w:pPr>
      <w:r w:rsidRPr="00601EEA">
        <w:rPr>
          <w:rStyle w:val="TextoNormalNegritaCaracter"/>
        </w:rPr>
        <w:t>Disposición adicional quinta.</w:t>
      </w:r>
      <w:r w:rsidRPr="00601EEA">
        <w:rPr>
          <w:rStyle w:val="TextoNormalCaracter"/>
        </w:rPr>
        <w:t>-</w:t>
      </w:r>
      <w:r>
        <w:t xml:space="preserve"> Sentencias </w:t>
      </w:r>
      <w:hyperlink w:anchor="SENTENCIA_2024_19" w:history="1">
        <w:r w:rsidRPr="00601EEA">
          <w:rPr>
            <w:rStyle w:val="TextoNormalCaracter"/>
          </w:rPr>
          <w:t>19/2024</w:t>
        </w:r>
      </w:hyperlink>
      <w:r>
        <w:t xml:space="preserve">, ff. 1, 2, 4; </w:t>
      </w:r>
      <w:hyperlink w:anchor="SENTENCIA_2024_32" w:history="1">
        <w:r w:rsidRPr="00601EEA">
          <w:rPr>
            <w:rStyle w:val="TextoNormalCaracter"/>
          </w:rPr>
          <w:t>32/2024</w:t>
        </w:r>
      </w:hyperlink>
      <w:r>
        <w:t>, f. 1.</w:t>
      </w:r>
    </w:p>
    <w:p w14:paraId="024662F2" w14:textId="5BFC8462" w:rsidR="00601EEA" w:rsidRDefault="00601EEA" w:rsidP="00601EEA">
      <w:pPr>
        <w:pStyle w:val="SangriaFrancesaArticulo"/>
      </w:pPr>
      <w:r w:rsidRPr="00601EEA">
        <w:rPr>
          <w:rStyle w:val="TextoNormalNegritaCaracter"/>
        </w:rPr>
        <w:t>Disposición adicional quinta, párrafo segundo.</w:t>
      </w:r>
      <w:r w:rsidRPr="00601EEA">
        <w:rPr>
          <w:rStyle w:val="TextoNormalCaracter"/>
        </w:rPr>
        <w:t>-</w:t>
      </w:r>
      <w:r>
        <w:t xml:space="preserve"> Sentencia </w:t>
      </w:r>
      <w:hyperlink w:anchor="SENTENCIA_2024_19" w:history="1">
        <w:r w:rsidRPr="00601EEA">
          <w:rPr>
            <w:rStyle w:val="TextoNormalCaracter"/>
          </w:rPr>
          <w:t>19/2024</w:t>
        </w:r>
      </w:hyperlink>
      <w:r>
        <w:t>, f. 5.</w:t>
      </w:r>
    </w:p>
    <w:p w14:paraId="799B660C" w14:textId="39278FE4" w:rsidR="00601EEA" w:rsidRDefault="00601EEA" w:rsidP="00601EEA">
      <w:pPr>
        <w:pStyle w:val="SangriaFrancesaArticulo"/>
      </w:pPr>
      <w:r w:rsidRPr="00601EEA">
        <w:rPr>
          <w:rStyle w:val="TextoNormalNegritaCaracter"/>
        </w:rPr>
        <w:t>Disposición adicional quinta</w:t>
      </w:r>
      <w:r>
        <w:t xml:space="preserve"> (redactada por la Ley 22/2021, de 28 de diciembre)</w:t>
      </w:r>
      <w:r w:rsidRPr="00601EEA">
        <w:rPr>
          <w:rStyle w:val="TextoNormalNegritaCaracter"/>
        </w:rPr>
        <w:t>.</w:t>
      </w:r>
      <w:r w:rsidRPr="00601EEA">
        <w:rPr>
          <w:rStyle w:val="TextoNormalCaracter"/>
        </w:rPr>
        <w:t>-</w:t>
      </w:r>
      <w:r>
        <w:t xml:space="preserve"> Sentencia </w:t>
      </w:r>
      <w:hyperlink w:anchor="SENTENCIA_2024_19" w:history="1">
        <w:r w:rsidRPr="00601EEA">
          <w:rPr>
            <w:rStyle w:val="TextoNormalCaracter"/>
          </w:rPr>
          <w:t>19/2024</w:t>
        </w:r>
      </w:hyperlink>
      <w:r>
        <w:t>, ff. 1, 2, 4, 5.</w:t>
      </w:r>
    </w:p>
    <w:p w14:paraId="6B7A532C" w14:textId="5680E02C" w:rsidR="00601EEA" w:rsidRDefault="00601EEA" w:rsidP="00601EEA">
      <w:pPr>
        <w:pStyle w:val="SangriaFrancesaArticulo"/>
      </w:pPr>
      <w:r w:rsidRPr="00601EEA">
        <w:rPr>
          <w:rStyle w:val="TextoNormalNegritaCaracter"/>
        </w:rPr>
        <w:t>Disposición adicional quinta, párrafo primero</w:t>
      </w:r>
      <w:r>
        <w:t xml:space="preserve"> (redactado por la Ley 22/2021, de 28 de diciembre)</w:t>
      </w:r>
      <w:r w:rsidRPr="00601EEA">
        <w:rPr>
          <w:rStyle w:val="TextoNormalNegritaCaracter"/>
        </w:rPr>
        <w:t>.</w:t>
      </w:r>
      <w:r w:rsidRPr="00601EEA">
        <w:rPr>
          <w:rStyle w:val="TextoNormalCaracter"/>
        </w:rPr>
        <w:t>-</w:t>
      </w:r>
      <w:r>
        <w:t xml:space="preserve"> Sentencia </w:t>
      </w:r>
      <w:hyperlink w:anchor="SENTENCIA_2024_19" w:history="1">
        <w:r w:rsidRPr="00601EEA">
          <w:rPr>
            <w:rStyle w:val="TextoNormalCaracter"/>
          </w:rPr>
          <w:t>19/2024</w:t>
        </w:r>
      </w:hyperlink>
      <w:r>
        <w:t>, ff. 1, 2, 4, 5.</w:t>
      </w:r>
    </w:p>
    <w:p w14:paraId="71F52F35" w14:textId="3EE4F246" w:rsidR="00601EEA" w:rsidRDefault="00601EEA" w:rsidP="00601EEA">
      <w:pPr>
        <w:pStyle w:val="SangriaFrancesaArticulo"/>
      </w:pPr>
      <w:r w:rsidRPr="00601EEA">
        <w:rPr>
          <w:rStyle w:val="TextoNormalNegritaCaracter"/>
        </w:rPr>
        <w:t>Disposición adicional quinta, párrafo primero, primer inciso</w:t>
      </w:r>
      <w:r>
        <w:t xml:space="preserve"> (redactado por la Ley 22/2021, de 28 de diciembre)</w:t>
      </w:r>
      <w:r w:rsidRPr="00601EEA">
        <w:rPr>
          <w:rStyle w:val="TextoNormalNegritaCaracter"/>
        </w:rPr>
        <w:t>.</w:t>
      </w:r>
      <w:r w:rsidRPr="00601EEA">
        <w:rPr>
          <w:rStyle w:val="TextoNormalCaracter"/>
        </w:rPr>
        <w:t>-</w:t>
      </w:r>
      <w:r>
        <w:t xml:space="preserve"> Sentencia </w:t>
      </w:r>
      <w:hyperlink w:anchor="SENTENCIA_2024_19" w:history="1">
        <w:r w:rsidRPr="00601EEA">
          <w:rPr>
            <w:rStyle w:val="TextoNormalCaracter"/>
          </w:rPr>
          <w:t>19/2024</w:t>
        </w:r>
      </w:hyperlink>
      <w:r>
        <w:t>, f. 4.</w:t>
      </w:r>
    </w:p>
    <w:p w14:paraId="30CA2D73" w14:textId="54E4E409" w:rsidR="00601EEA" w:rsidRDefault="00601EEA" w:rsidP="00601EEA">
      <w:pPr>
        <w:pStyle w:val="SangriaFrancesaArticulo"/>
      </w:pPr>
      <w:r w:rsidRPr="00601EEA">
        <w:rPr>
          <w:rStyle w:val="TextoNormalNegritaCaracter"/>
        </w:rPr>
        <w:t>Disposición adicional quinta, párrafo primero, segundo inciso</w:t>
      </w:r>
      <w:r>
        <w:t xml:space="preserve"> (redactado por la Ley 22/2021, de 28 de diciembre)</w:t>
      </w:r>
      <w:r w:rsidRPr="00601EEA">
        <w:rPr>
          <w:rStyle w:val="TextoNormalNegritaCaracter"/>
        </w:rPr>
        <w:t>.</w:t>
      </w:r>
      <w:r w:rsidRPr="00601EEA">
        <w:rPr>
          <w:rStyle w:val="TextoNormalCaracter"/>
        </w:rPr>
        <w:t>-</w:t>
      </w:r>
      <w:r>
        <w:t xml:space="preserve"> Sentencia </w:t>
      </w:r>
      <w:hyperlink w:anchor="SENTENCIA_2024_19" w:history="1">
        <w:r w:rsidRPr="00601EEA">
          <w:rPr>
            <w:rStyle w:val="TextoNormalCaracter"/>
          </w:rPr>
          <w:t>19/2024</w:t>
        </w:r>
      </w:hyperlink>
      <w:r>
        <w:t>, ff. 4, 5.</w:t>
      </w:r>
    </w:p>
    <w:p w14:paraId="5F386DA0" w14:textId="12D281CC" w:rsidR="00601EEA" w:rsidRDefault="00601EEA" w:rsidP="00601EEA">
      <w:pPr>
        <w:pStyle w:val="SangriaFrancesaArticulo"/>
      </w:pPr>
    </w:p>
    <w:p w14:paraId="65085BE3" w14:textId="77777777" w:rsidR="00601EEA" w:rsidRDefault="00601EEA" w:rsidP="00601EEA">
      <w:pPr>
        <w:pStyle w:val="TextoNormalNegritaCursivandice"/>
        <w:keepNext/>
      </w:pPr>
      <w:r>
        <w:t>Ley 22/2021, de 28 de diciembre, de presupuestos generales del Estado para el año 2022</w:t>
      </w:r>
    </w:p>
    <w:p w14:paraId="3B3A3F99" w14:textId="35C75AD5"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Sentencias </w:t>
      </w:r>
      <w:hyperlink w:anchor="SENTENCIA_2024_67" w:history="1">
        <w:r w:rsidRPr="00601EEA">
          <w:rPr>
            <w:rStyle w:val="TextoNormalCaracter"/>
          </w:rPr>
          <w:t>67/2024</w:t>
        </w:r>
      </w:hyperlink>
      <w:r>
        <w:t xml:space="preserve">, VP; </w:t>
      </w:r>
      <w:hyperlink w:anchor="SENTENCIA_2024_73" w:history="1">
        <w:r w:rsidRPr="00601EEA">
          <w:rPr>
            <w:rStyle w:val="TextoNormalCaracter"/>
          </w:rPr>
          <w:t>73/2024</w:t>
        </w:r>
      </w:hyperlink>
      <w:r>
        <w:t>, f. 1.</w:t>
      </w:r>
    </w:p>
    <w:p w14:paraId="2E45BD06" w14:textId="6AA4659A" w:rsidR="00601EEA" w:rsidRDefault="00601EEA" w:rsidP="00601EEA">
      <w:pPr>
        <w:pStyle w:val="SangriaFrancesaArticulo"/>
      </w:pPr>
      <w:r w:rsidRPr="00601EEA">
        <w:rPr>
          <w:rStyle w:val="TextoNormalNegritaCaracter"/>
        </w:rPr>
        <w:t>Exposición de motivos.</w:t>
      </w:r>
      <w:r w:rsidRPr="00601EEA">
        <w:rPr>
          <w:rStyle w:val="TextoNormalCaracter"/>
        </w:rPr>
        <w:t>-</w:t>
      </w:r>
      <w:r>
        <w:t xml:space="preserve"> Sentencia </w:t>
      </w:r>
      <w:hyperlink w:anchor="SENTENCIA_2024_67" w:history="1">
        <w:r w:rsidRPr="00601EEA">
          <w:rPr>
            <w:rStyle w:val="TextoNormalCaracter"/>
          </w:rPr>
          <w:t>67/2024</w:t>
        </w:r>
      </w:hyperlink>
      <w:r>
        <w:t>, f. 1.</w:t>
      </w:r>
    </w:p>
    <w:p w14:paraId="1130FAC4" w14:textId="1512E23C" w:rsidR="00601EEA" w:rsidRDefault="00601EEA" w:rsidP="00601EEA">
      <w:pPr>
        <w:pStyle w:val="SangriaFrancesaArticulo"/>
      </w:pPr>
      <w:r w:rsidRPr="00601EEA">
        <w:rPr>
          <w:rStyle w:val="TextoNormalNegritaCaracter"/>
        </w:rPr>
        <w:t>Disposición final primera.</w:t>
      </w:r>
      <w:r w:rsidRPr="00601EEA">
        <w:rPr>
          <w:rStyle w:val="TextoNormalCaracter"/>
        </w:rPr>
        <w:t>-</w:t>
      </w:r>
      <w:r>
        <w:t xml:space="preserve"> Sentencias </w:t>
      </w:r>
      <w:hyperlink w:anchor="SENTENCIA_2024_67" w:history="1">
        <w:r w:rsidRPr="00601EEA">
          <w:rPr>
            <w:rStyle w:val="TextoNormalCaracter"/>
          </w:rPr>
          <w:t>67/2024</w:t>
        </w:r>
      </w:hyperlink>
      <w:r>
        <w:t xml:space="preserve">, ff. 1, 2, 4; </w:t>
      </w:r>
      <w:hyperlink w:anchor="SENTENCIA_2024_73" w:history="1">
        <w:r w:rsidRPr="00601EEA">
          <w:rPr>
            <w:rStyle w:val="TextoNormalCaracter"/>
          </w:rPr>
          <w:t>73/2024</w:t>
        </w:r>
      </w:hyperlink>
      <w:r>
        <w:t>.</w:t>
      </w:r>
    </w:p>
    <w:p w14:paraId="663F1D88" w14:textId="2CEF0FDA" w:rsidR="00601EEA" w:rsidRDefault="00601EEA" w:rsidP="00601EEA">
      <w:pPr>
        <w:pStyle w:val="SangriaFrancesaArticulo"/>
      </w:pPr>
      <w:r w:rsidRPr="00601EEA">
        <w:rPr>
          <w:rStyle w:val="TextoNormalNegritaCaracter"/>
        </w:rPr>
        <w:t>Disposición final trigésima.</w:t>
      </w:r>
      <w:r w:rsidRPr="00601EEA">
        <w:rPr>
          <w:rStyle w:val="TextoNormalCaracter"/>
        </w:rPr>
        <w:t>-</w:t>
      </w:r>
      <w:r>
        <w:t xml:space="preserve"> Sentencias </w:t>
      </w:r>
      <w:hyperlink w:anchor="SENTENCIA_2024_19" w:history="1">
        <w:r w:rsidRPr="00601EEA">
          <w:rPr>
            <w:rStyle w:val="TextoNormalCaracter"/>
          </w:rPr>
          <w:t>19/2024</w:t>
        </w:r>
      </w:hyperlink>
      <w:r>
        <w:t xml:space="preserve">, ff. 1, 2, 4, 5; </w:t>
      </w:r>
      <w:hyperlink w:anchor="SENTENCIA_2024_32" w:history="1">
        <w:r w:rsidRPr="00601EEA">
          <w:rPr>
            <w:rStyle w:val="TextoNormalCaracter"/>
          </w:rPr>
          <w:t>32/2024</w:t>
        </w:r>
      </w:hyperlink>
      <w:r>
        <w:t>, f. 1.</w:t>
      </w:r>
    </w:p>
    <w:p w14:paraId="47395397" w14:textId="7D48A06B" w:rsidR="00601EEA" w:rsidRDefault="00601EEA" w:rsidP="00601EEA">
      <w:pPr>
        <w:pStyle w:val="SangriaFrancesaArticulo"/>
      </w:pPr>
    </w:p>
    <w:p w14:paraId="14C7319B" w14:textId="77777777" w:rsidR="00601EEA" w:rsidRDefault="00601EEA" w:rsidP="00601EEA">
      <w:pPr>
        <w:pStyle w:val="TextoNormalNegritaCursivandice"/>
        <w:keepNext/>
      </w:pPr>
      <w:r>
        <w:t>Ley 7/2022, de 8 de abril, de residuos y suelos contaminados para una economía circular</w:t>
      </w:r>
    </w:p>
    <w:p w14:paraId="0F8F28C1" w14:textId="56D64BE0" w:rsidR="00601EEA" w:rsidRDefault="00601EEA" w:rsidP="00601EEA">
      <w:pPr>
        <w:pStyle w:val="SangriaFrancesaArticulo"/>
      </w:pPr>
      <w:r w:rsidRPr="00601EEA">
        <w:rPr>
          <w:rStyle w:val="TextoNormalNegritaCaracter"/>
        </w:rPr>
        <w:t>En general.</w:t>
      </w:r>
      <w:r w:rsidRPr="00601EEA">
        <w:rPr>
          <w:rStyle w:val="TextoNormalCaracter"/>
        </w:rPr>
        <w:t>-</w:t>
      </w:r>
      <w:r>
        <w:t xml:space="preserve"> Auto </w:t>
      </w:r>
      <w:hyperlink w:anchor="AUTO_2024_41" w:history="1">
        <w:r w:rsidRPr="00601EEA">
          <w:rPr>
            <w:rStyle w:val="TextoNormalCaracter"/>
          </w:rPr>
          <w:t>41/2024</w:t>
        </w:r>
      </w:hyperlink>
      <w:r>
        <w:t>, ff. 3, 4.</w:t>
      </w:r>
    </w:p>
    <w:p w14:paraId="6B72132B" w14:textId="1CCE20FE" w:rsidR="00601EEA" w:rsidRDefault="00601EEA" w:rsidP="00601EEA">
      <w:pPr>
        <w:pStyle w:val="SangriaFrancesaArticulo"/>
      </w:pPr>
      <w:r w:rsidRPr="00601EEA">
        <w:rPr>
          <w:rStyle w:val="TextoNormalNegritaCaracter"/>
        </w:rPr>
        <w:t>Capítulo II.</w:t>
      </w:r>
      <w:r w:rsidRPr="00601EEA">
        <w:rPr>
          <w:rStyle w:val="TextoNormalCaracter"/>
        </w:rPr>
        <w:t>-</w:t>
      </w:r>
      <w:r>
        <w:t xml:space="preserve"> Auto </w:t>
      </w:r>
      <w:hyperlink w:anchor="AUTO_2024_41" w:history="1">
        <w:r w:rsidRPr="00601EEA">
          <w:rPr>
            <w:rStyle w:val="TextoNormalCaracter"/>
          </w:rPr>
          <w:t>41/2024</w:t>
        </w:r>
      </w:hyperlink>
      <w:r>
        <w:t>, f. 3.</w:t>
      </w:r>
    </w:p>
    <w:p w14:paraId="4DDE6CD2" w14:textId="44F3A009" w:rsidR="00601EEA" w:rsidRDefault="00601EEA" w:rsidP="00601EEA">
      <w:pPr>
        <w:pStyle w:val="SangriaFrancesaArticulo"/>
      </w:pPr>
      <w:r w:rsidRPr="00601EEA">
        <w:rPr>
          <w:rStyle w:val="TextoNormalNegritaCaracter"/>
        </w:rPr>
        <w:t>Preámbulo.</w:t>
      </w:r>
      <w:r w:rsidRPr="00601EEA">
        <w:rPr>
          <w:rStyle w:val="TextoNormalCaracter"/>
        </w:rPr>
        <w:t>-</w:t>
      </w:r>
      <w:r>
        <w:t xml:space="preserve"> Auto </w:t>
      </w:r>
      <w:hyperlink w:anchor="AUTO_2024_41" w:history="1">
        <w:r w:rsidRPr="00601EEA">
          <w:rPr>
            <w:rStyle w:val="TextoNormalCaracter"/>
          </w:rPr>
          <w:t>41/2024</w:t>
        </w:r>
      </w:hyperlink>
      <w:r>
        <w:t>, f. 4.</w:t>
      </w:r>
    </w:p>
    <w:p w14:paraId="739A3E80" w14:textId="514BF3D3" w:rsidR="00601EEA" w:rsidRDefault="00601EEA" w:rsidP="00601EEA">
      <w:pPr>
        <w:pStyle w:val="SangriaFrancesaArticulo"/>
      </w:pPr>
      <w:r w:rsidRPr="00601EEA">
        <w:rPr>
          <w:rStyle w:val="TextoNormalNegritaCaracter"/>
        </w:rPr>
        <w:t>Artículo 1.2.</w:t>
      </w:r>
      <w:r w:rsidRPr="00601EEA">
        <w:rPr>
          <w:rStyle w:val="TextoNormalCaracter"/>
        </w:rPr>
        <w:t>-</w:t>
      </w:r>
      <w:r>
        <w:t xml:space="preserve"> Auto </w:t>
      </w:r>
      <w:hyperlink w:anchor="AUTO_2024_41" w:history="1">
        <w:r w:rsidRPr="00601EEA">
          <w:rPr>
            <w:rStyle w:val="TextoNormalCaracter"/>
          </w:rPr>
          <w:t>41/2024</w:t>
        </w:r>
      </w:hyperlink>
      <w:r>
        <w:t>, f. 4.</w:t>
      </w:r>
    </w:p>
    <w:p w14:paraId="625904A3" w14:textId="06FC2720" w:rsidR="00601EEA" w:rsidRDefault="00601EEA" w:rsidP="00601EEA">
      <w:pPr>
        <w:pStyle w:val="SangriaFrancesaArticulo"/>
      </w:pPr>
      <w:r w:rsidRPr="00601EEA">
        <w:rPr>
          <w:rStyle w:val="TextoNormalNegritaCaracter"/>
        </w:rPr>
        <w:t>Artículo 37.1.</w:t>
      </w:r>
      <w:r w:rsidRPr="00601EEA">
        <w:rPr>
          <w:rStyle w:val="TextoNormalCaracter"/>
        </w:rPr>
        <w:t>-</w:t>
      </w:r>
      <w:r>
        <w:t xml:space="preserve"> Auto </w:t>
      </w:r>
      <w:hyperlink w:anchor="AUTO_2024_41" w:history="1">
        <w:r w:rsidRPr="00601EEA">
          <w:rPr>
            <w:rStyle w:val="TextoNormalCaracter"/>
          </w:rPr>
          <w:t>41/2024</w:t>
        </w:r>
      </w:hyperlink>
      <w:r>
        <w:t>, f. 5.</w:t>
      </w:r>
    </w:p>
    <w:p w14:paraId="53CFC1D0" w14:textId="228B60AB" w:rsidR="00601EEA" w:rsidRDefault="00601EEA" w:rsidP="00601EEA">
      <w:pPr>
        <w:pStyle w:val="SangriaFrancesaArticulo"/>
      </w:pPr>
      <w:r w:rsidRPr="00601EEA">
        <w:rPr>
          <w:rStyle w:val="TextoNormalNegritaCaracter"/>
        </w:rPr>
        <w:t>Artículo 37.2.</w:t>
      </w:r>
      <w:r w:rsidRPr="00601EEA">
        <w:rPr>
          <w:rStyle w:val="TextoNormalCaracter"/>
        </w:rPr>
        <w:t>-</w:t>
      </w:r>
      <w:r>
        <w:t xml:space="preserve"> Auto </w:t>
      </w:r>
      <w:hyperlink w:anchor="AUTO_2024_41" w:history="1">
        <w:r w:rsidRPr="00601EEA">
          <w:rPr>
            <w:rStyle w:val="TextoNormalCaracter"/>
          </w:rPr>
          <w:t>41/2024</w:t>
        </w:r>
      </w:hyperlink>
      <w:r>
        <w:t>, ff. 1, 3 a 5.</w:t>
      </w:r>
    </w:p>
    <w:p w14:paraId="78BD11CA" w14:textId="134F748A" w:rsidR="00601EEA" w:rsidRDefault="00601EEA" w:rsidP="00601EEA">
      <w:pPr>
        <w:pStyle w:val="SangriaFrancesaArticulo"/>
      </w:pPr>
      <w:r w:rsidRPr="00601EEA">
        <w:rPr>
          <w:rStyle w:val="TextoNormalNegritaCaracter"/>
        </w:rPr>
        <w:t>Disposición final cuarta.</w:t>
      </w:r>
      <w:r w:rsidRPr="00601EEA">
        <w:rPr>
          <w:rStyle w:val="TextoNormalCaracter"/>
        </w:rPr>
        <w:t>-</w:t>
      </w:r>
      <w:r>
        <w:t xml:space="preserve"> Auto </w:t>
      </w:r>
      <w:hyperlink w:anchor="AUTO_2024_41" w:history="1">
        <w:r w:rsidRPr="00601EEA">
          <w:rPr>
            <w:rStyle w:val="TextoNormalCaracter"/>
          </w:rPr>
          <w:t>41/2024</w:t>
        </w:r>
      </w:hyperlink>
      <w:r>
        <w:t>, ff. 4, 5.</w:t>
      </w:r>
    </w:p>
    <w:p w14:paraId="70684713" w14:textId="0675E83E" w:rsidR="00601EEA" w:rsidRDefault="00601EEA" w:rsidP="00601EEA">
      <w:pPr>
        <w:pStyle w:val="SangriaFrancesaArticulo"/>
      </w:pPr>
      <w:r w:rsidRPr="00601EEA">
        <w:rPr>
          <w:rStyle w:val="TextoNormalNegritaCaracter"/>
        </w:rPr>
        <w:t>Disposición final undécima.</w:t>
      </w:r>
      <w:r w:rsidRPr="00601EEA">
        <w:rPr>
          <w:rStyle w:val="TextoNormalCaracter"/>
        </w:rPr>
        <w:t>-</w:t>
      </w:r>
      <w:r>
        <w:t xml:space="preserve"> Auto </w:t>
      </w:r>
      <w:hyperlink w:anchor="AUTO_2024_41" w:history="1">
        <w:r w:rsidRPr="00601EEA">
          <w:rPr>
            <w:rStyle w:val="TextoNormalCaracter"/>
          </w:rPr>
          <w:t>41/2024</w:t>
        </w:r>
      </w:hyperlink>
      <w:r>
        <w:t>, f. 4.</w:t>
      </w:r>
    </w:p>
    <w:p w14:paraId="4A6E0F4C" w14:textId="7B4DBD68" w:rsidR="00601EEA" w:rsidRDefault="00601EEA" w:rsidP="00601EEA">
      <w:pPr>
        <w:pStyle w:val="SangriaFrancesaArticulo"/>
      </w:pPr>
    </w:p>
    <w:p w14:paraId="6CACB24E" w14:textId="77777777" w:rsidR="00601EEA" w:rsidRDefault="00601EEA" w:rsidP="00601EEA">
      <w:pPr>
        <w:pStyle w:val="TextoNormalNegritaCursivandice"/>
        <w:keepNext/>
      </w:pPr>
      <w:r>
        <w:t>Ley 15/2022, de 12 de julio, integral para la igualdad de trato y la no discriminación</w:t>
      </w:r>
    </w:p>
    <w:p w14:paraId="084BFAF7" w14:textId="6AEC00C5"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89" w:history="1">
        <w:r w:rsidRPr="00601EEA">
          <w:rPr>
            <w:rStyle w:val="TextoNormalCaracter"/>
          </w:rPr>
          <w:t>89/2024</w:t>
        </w:r>
      </w:hyperlink>
      <w:r>
        <w:t>, ff. 2, 5, VP II.</w:t>
      </w:r>
    </w:p>
    <w:p w14:paraId="7C5C7BE0" w14:textId="3EF81942" w:rsidR="00601EEA" w:rsidRDefault="00601EEA" w:rsidP="00601EEA">
      <w:pPr>
        <w:pStyle w:val="SangriaFrancesaArticulo"/>
      </w:pPr>
      <w:r w:rsidRPr="00601EEA">
        <w:rPr>
          <w:rStyle w:val="TextoNormalNegritaCaracter"/>
        </w:rPr>
        <w:t>Título preliminar.</w:t>
      </w:r>
      <w:r w:rsidRPr="00601EEA">
        <w:rPr>
          <w:rStyle w:val="TextoNormalCaracter"/>
        </w:rPr>
        <w:t>-</w:t>
      </w:r>
      <w:r>
        <w:t xml:space="preserve"> Sentencia </w:t>
      </w:r>
      <w:hyperlink w:anchor="SENTENCIA_2024_89" w:history="1">
        <w:r w:rsidRPr="00601EEA">
          <w:rPr>
            <w:rStyle w:val="TextoNormalCaracter"/>
          </w:rPr>
          <w:t>89/2024</w:t>
        </w:r>
      </w:hyperlink>
      <w:r>
        <w:t>, f. 3.</w:t>
      </w:r>
    </w:p>
    <w:p w14:paraId="19B84881" w14:textId="352E2F28" w:rsidR="00601EEA" w:rsidRDefault="00601EEA" w:rsidP="00601EEA">
      <w:pPr>
        <w:pStyle w:val="SangriaFrancesaArticulo"/>
      </w:pPr>
      <w:r w:rsidRPr="00601EEA">
        <w:rPr>
          <w:rStyle w:val="TextoNormalNegritaCaracter"/>
        </w:rPr>
        <w:t>Titulo I.</w:t>
      </w:r>
      <w:r w:rsidRPr="00601EEA">
        <w:rPr>
          <w:rStyle w:val="TextoNormalCaracter"/>
        </w:rPr>
        <w:t>-</w:t>
      </w:r>
      <w:r>
        <w:t xml:space="preserve"> Sentencia </w:t>
      </w:r>
      <w:hyperlink w:anchor="SENTENCIA_2024_89" w:history="1">
        <w:r w:rsidRPr="00601EEA">
          <w:rPr>
            <w:rStyle w:val="TextoNormalCaracter"/>
          </w:rPr>
          <w:t>89/2024</w:t>
        </w:r>
      </w:hyperlink>
      <w:r>
        <w:t>, f. 3.</w:t>
      </w:r>
    </w:p>
    <w:p w14:paraId="1DCF7B5F" w14:textId="7770529F" w:rsidR="00601EEA" w:rsidRDefault="00601EEA" w:rsidP="00601EEA">
      <w:pPr>
        <w:pStyle w:val="SangriaFrancesaArticulo"/>
      </w:pPr>
      <w:r w:rsidRPr="00601EEA">
        <w:rPr>
          <w:rStyle w:val="TextoNormalNegritaCaracter"/>
        </w:rPr>
        <w:t>Preámbulo, apartado II.</w:t>
      </w:r>
      <w:r w:rsidRPr="00601EEA">
        <w:rPr>
          <w:rStyle w:val="TextoNormalCaracter"/>
        </w:rPr>
        <w:t>-</w:t>
      </w:r>
      <w:r>
        <w:t xml:space="preserve"> Sentencia </w:t>
      </w:r>
      <w:hyperlink w:anchor="SENTENCIA_2024_89" w:history="1">
        <w:r w:rsidRPr="00601EEA">
          <w:rPr>
            <w:rStyle w:val="TextoNormalCaracter"/>
          </w:rPr>
          <w:t>89/2024</w:t>
        </w:r>
      </w:hyperlink>
      <w:r>
        <w:t>, f. 2.</w:t>
      </w:r>
    </w:p>
    <w:p w14:paraId="2561B9BB" w14:textId="6A218D75" w:rsidR="00601EEA" w:rsidRDefault="00601EEA" w:rsidP="00601EEA">
      <w:pPr>
        <w:pStyle w:val="SangriaFrancesaArticulo"/>
      </w:pPr>
      <w:r w:rsidRPr="00601EEA">
        <w:rPr>
          <w:rStyle w:val="TextoNormalNegritaCaracter"/>
        </w:rPr>
        <w:t>Preámbulo, apartado III.</w:t>
      </w:r>
      <w:r w:rsidRPr="00601EEA">
        <w:rPr>
          <w:rStyle w:val="TextoNormalCaracter"/>
        </w:rPr>
        <w:t>-</w:t>
      </w:r>
      <w:r>
        <w:t xml:space="preserve"> Sentencia </w:t>
      </w:r>
      <w:hyperlink w:anchor="SENTENCIA_2024_89" w:history="1">
        <w:r w:rsidRPr="00601EEA">
          <w:rPr>
            <w:rStyle w:val="TextoNormalCaracter"/>
          </w:rPr>
          <w:t>89/2024</w:t>
        </w:r>
      </w:hyperlink>
      <w:r>
        <w:t>, f. 2.</w:t>
      </w:r>
    </w:p>
    <w:p w14:paraId="44467761" w14:textId="2B2BEADE" w:rsidR="00601EEA" w:rsidRDefault="00601EEA" w:rsidP="00601EEA">
      <w:pPr>
        <w:pStyle w:val="SangriaFrancesaArticulo"/>
      </w:pPr>
      <w:r w:rsidRPr="00601EEA">
        <w:rPr>
          <w:rStyle w:val="TextoNormalNegritaCaracter"/>
        </w:rPr>
        <w:t>Artículo 2.1.</w:t>
      </w:r>
      <w:r w:rsidRPr="00601EEA">
        <w:rPr>
          <w:rStyle w:val="TextoNormalCaracter"/>
        </w:rPr>
        <w:t>-</w:t>
      </w:r>
      <w:r>
        <w:t xml:space="preserve"> Sentencia </w:t>
      </w:r>
      <w:hyperlink w:anchor="SENTENCIA_2024_89" w:history="1">
        <w:r w:rsidRPr="00601EEA">
          <w:rPr>
            <w:rStyle w:val="TextoNormalCaracter"/>
          </w:rPr>
          <w:t>89/2024</w:t>
        </w:r>
      </w:hyperlink>
      <w:r>
        <w:t>, ff. 3 a 5.</w:t>
      </w:r>
    </w:p>
    <w:p w14:paraId="0D8CBDF4" w14:textId="6BA64F1A" w:rsidR="00601EEA" w:rsidRDefault="00601EEA" w:rsidP="00601EEA">
      <w:pPr>
        <w:pStyle w:val="SangriaFrancesaArticulo"/>
      </w:pPr>
      <w:r w:rsidRPr="00601EEA">
        <w:rPr>
          <w:rStyle w:val="TextoNormalNegritaCaracter"/>
        </w:rPr>
        <w:t>Artículo 2.2.</w:t>
      </w:r>
      <w:r w:rsidRPr="00601EEA">
        <w:rPr>
          <w:rStyle w:val="TextoNormalCaracter"/>
        </w:rPr>
        <w:t>-</w:t>
      </w:r>
      <w:r>
        <w:t xml:space="preserve"> Sentencia </w:t>
      </w:r>
      <w:hyperlink w:anchor="SENTENCIA_2024_89" w:history="1">
        <w:r w:rsidRPr="00601EEA">
          <w:rPr>
            <w:rStyle w:val="TextoNormalCaracter"/>
          </w:rPr>
          <w:t>89/2024</w:t>
        </w:r>
      </w:hyperlink>
      <w:r>
        <w:t>, f. 3.</w:t>
      </w:r>
    </w:p>
    <w:p w14:paraId="48C026D3" w14:textId="7C724B27" w:rsidR="00601EEA" w:rsidRDefault="00601EEA" w:rsidP="00601EEA">
      <w:pPr>
        <w:pStyle w:val="SangriaFrancesaArticulo"/>
      </w:pPr>
      <w:r w:rsidRPr="00601EEA">
        <w:rPr>
          <w:rStyle w:val="TextoNormalNegritaCaracter"/>
        </w:rPr>
        <w:t>Artículo 4.2.</w:t>
      </w:r>
      <w:r w:rsidRPr="00601EEA">
        <w:rPr>
          <w:rStyle w:val="TextoNormalCaracter"/>
        </w:rPr>
        <w:t>-</w:t>
      </w:r>
      <w:r>
        <w:t xml:space="preserve"> Sentencia </w:t>
      </w:r>
      <w:hyperlink w:anchor="SENTENCIA_2024_89" w:history="1">
        <w:r w:rsidRPr="00601EEA">
          <w:rPr>
            <w:rStyle w:val="TextoNormalCaracter"/>
          </w:rPr>
          <w:t>89/2024</w:t>
        </w:r>
      </w:hyperlink>
      <w:r>
        <w:t>, f. 3.</w:t>
      </w:r>
    </w:p>
    <w:p w14:paraId="3FA39315" w14:textId="62EDE3CE" w:rsidR="00601EEA" w:rsidRDefault="00601EEA" w:rsidP="00601EEA">
      <w:pPr>
        <w:pStyle w:val="SangriaFrancesaArticulo"/>
      </w:pPr>
      <w:r w:rsidRPr="00601EEA">
        <w:rPr>
          <w:rStyle w:val="TextoNormalNegritaCaracter"/>
        </w:rPr>
        <w:t>Artículo 4.4.</w:t>
      </w:r>
      <w:r w:rsidRPr="00601EEA">
        <w:rPr>
          <w:rStyle w:val="TextoNormalCaracter"/>
        </w:rPr>
        <w:t>-</w:t>
      </w:r>
      <w:r>
        <w:t xml:space="preserve"> Sentencias </w:t>
      </w:r>
      <w:hyperlink w:anchor="SENTENCIA_2024_89" w:history="1">
        <w:r w:rsidRPr="00601EEA">
          <w:rPr>
            <w:rStyle w:val="TextoNormalCaracter"/>
          </w:rPr>
          <w:t>89/2024</w:t>
        </w:r>
      </w:hyperlink>
      <w:r>
        <w:t xml:space="preserve">, ff. 1, 2; </w:t>
      </w:r>
      <w:hyperlink w:anchor="SENTENCIA_2024_92" w:history="1">
        <w:r w:rsidRPr="00601EEA">
          <w:rPr>
            <w:rStyle w:val="TextoNormalCaracter"/>
          </w:rPr>
          <w:t>92/2024</w:t>
        </w:r>
      </w:hyperlink>
      <w:r>
        <w:t>, f. 3.</w:t>
      </w:r>
    </w:p>
    <w:p w14:paraId="5D5ABB61" w14:textId="388B0DEA" w:rsidR="00601EEA" w:rsidRDefault="00601EEA" w:rsidP="00601EEA">
      <w:pPr>
        <w:pStyle w:val="SangriaFrancesaArticulo"/>
      </w:pPr>
      <w:r w:rsidRPr="00601EEA">
        <w:rPr>
          <w:rStyle w:val="TextoNormalNegritaCaracter"/>
        </w:rPr>
        <w:t>Artículo 9.1.</w:t>
      </w:r>
      <w:r w:rsidRPr="00601EEA">
        <w:rPr>
          <w:rStyle w:val="TextoNormalCaracter"/>
        </w:rPr>
        <w:t>-</w:t>
      </w:r>
      <w:r>
        <w:t xml:space="preserve"> Sentencia </w:t>
      </w:r>
      <w:hyperlink w:anchor="SENTENCIA_2024_89" w:history="1">
        <w:r w:rsidRPr="00601EEA">
          <w:rPr>
            <w:rStyle w:val="TextoNormalCaracter"/>
          </w:rPr>
          <w:t>89/2024</w:t>
        </w:r>
      </w:hyperlink>
      <w:r>
        <w:t>, ff. 1, 3.</w:t>
      </w:r>
    </w:p>
    <w:p w14:paraId="18D10493" w14:textId="0A3EEBBE" w:rsidR="00601EEA" w:rsidRDefault="00601EEA" w:rsidP="00601EEA">
      <w:pPr>
        <w:pStyle w:val="SangriaFrancesaArticulo"/>
      </w:pPr>
      <w:r w:rsidRPr="00601EEA">
        <w:rPr>
          <w:rStyle w:val="TextoNormalNegritaCaracter"/>
        </w:rPr>
        <w:t>Artículo 9.6.</w:t>
      </w:r>
      <w:r w:rsidRPr="00601EEA">
        <w:rPr>
          <w:rStyle w:val="TextoNormalCaracter"/>
        </w:rPr>
        <w:t>-</w:t>
      </w:r>
      <w:r>
        <w:t xml:space="preserve"> Sentencia </w:t>
      </w:r>
      <w:hyperlink w:anchor="SENTENCIA_2024_89" w:history="1">
        <w:r w:rsidRPr="00601EEA">
          <w:rPr>
            <w:rStyle w:val="TextoNormalCaracter"/>
          </w:rPr>
          <w:t>89/2024</w:t>
        </w:r>
      </w:hyperlink>
      <w:r>
        <w:t>, f. 5.</w:t>
      </w:r>
    </w:p>
    <w:p w14:paraId="33D79CC0" w14:textId="4F5FE712" w:rsidR="00601EEA" w:rsidRDefault="00601EEA" w:rsidP="00601EEA">
      <w:pPr>
        <w:pStyle w:val="SangriaFrancesaArticulo"/>
      </w:pPr>
      <w:r w:rsidRPr="00601EEA">
        <w:rPr>
          <w:rStyle w:val="TextoNormalNegritaCaracter"/>
        </w:rPr>
        <w:t>Artículo 13.</w:t>
      </w:r>
      <w:r w:rsidRPr="00601EEA">
        <w:rPr>
          <w:rStyle w:val="TextoNormalCaracter"/>
        </w:rPr>
        <w:t>-</w:t>
      </w:r>
      <w:r>
        <w:t xml:space="preserve"> Sentencia </w:t>
      </w:r>
      <w:hyperlink w:anchor="SENTENCIA_2024_89" w:history="1">
        <w:r w:rsidRPr="00601EEA">
          <w:rPr>
            <w:rStyle w:val="TextoNormalCaracter"/>
          </w:rPr>
          <w:t>89/2024</w:t>
        </w:r>
      </w:hyperlink>
      <w:r>
        <w:t>, VP III.</w:t>
      </w:r>
    </w:p>
    <w:p w14:paraId="75D8C77A" w14:textId="60F458ED" w:rsidR="00601EEA" w:rsidRDefault="00601EEA" w:rsidP="00601EEA">
      <w:pPr>
        <w:pStyle w:val="SangriaFrancesaArticulo"/>
      </w:pPr>
      <w:r w:rsidRPr="00601EEA">
        <w:rPr>
          <w:rStyle w:val="TextoNormalNegritaCaracter"/>
        </w:rPr>
        <w:t>Artículo 13.2.</w:t>
      </w:r>
      <w:r w:rsidRPr="00601EEA">
        <w:rPr>
          <w:rStyle w:val="TextoNormalCaracter"/>
        </w:rPr>
        <w:t>-</w:t>
      </w:r>
      <w:r>
        <w:t xml:space="preserve"> Sentencia </w:t>
      </w:r>
      <w:hyperlink w:anchor="SENTENCIA_2024_89" w:history="1">
        <w:r w:rsidRPr="00601EEA">
          <w:rPr>
            <w:rStyle w:val="TextoNormalCaracter"/>
          </w:rPr>
          <w:t>89/2024</w:t>
        </w:r>
      </w:hyperlink>
      <w:r>
        <w:t>, ff. 1, 4, VP I, VP II.</w:t>
      </w:r>
    </w:p>
    <w:p w14:paraId="5F7549BF" w14:textId="405E64D0" w:rsidR="00601EEA" w:rsidRDefault="00601EEA" w:rsidP="00601EEA">
      <w:pPr>
        <w:pStyle w:val="SangriaFrancesaArticulo"/>
      </w:pPr>
      <w:r w:rsidRPr="00601EEA">
        <w:rPr>
          <w:rStyle w:val="TextoNormalNegritaCaracter"/>
        </w:rPr>
        <w:lastRenderedPageBreak/>
        <w:t>Artículo 20.2.</w:t>
      </w:r>
      <w:r w:rsidRPr="00601EEA">
        <w:rPr>
          <w:rStyle w:val="TextoNormalCaracter"/>
        </w:rPr>
        <w:t>-</w:t>
      </w:r>
      <w:r>
        <w:t xml:space="preserve"> Sentencia </w:t>
      </w:r>
      <w:hyperlink w:anchor="SENTENCIA_2024_89" w:history="1">
        <w:r w:rsidRPr="00601EEA">
          <w:rPr>
            <w:rStyle w:val="TextoNormalCaracter"/>
          </w:rPr>
          <w:t>89/2024</w:t>
        </w:r>
      </w:hyperlink>
      <w:r>
        <w:t>, ff. 1, 3.</w:t>
      </w:r>
    </w:p>
    <w:p w14:paraId="41AAC439" w14:textId="0FCE2514" w:rsidR="00601EEA" w:rsidRDefault="00601EEA" w:rsidP="00601EEA">
      <w:pPr>
        <w:pStyle w:val="SangriaFrancesaArticulo"/>
      </w:pPr>
      <w:r w:rsidRPr="00601EEA">
        <w:rPr>
          <w:rStyle w:val="TextoNormalNegritaCaracter"/>
        </w:rPr>
        <w:t>Artículo 44.3.</w:t>
      </w:r>
      <w:r w:rsidRPr="00601EEA">
        <w:rPr>
          <w:rStyle w:val="TextoNormalCaracter"/>
        </w:rPr>
        <w:t>-</w:t>
      </w:r>
      <w:r>
        <w:t xml:space="preserve"> Sentencia </w:t>
      </w:r>
      <w:hyperlink w:anchor="SENTENCIA_2024_89" w:history="1">
        <w:r w:rsidRPr="00601EEA">
          <w:rPr>
            <w:rStyle w:val="TextoNormalCaracter"/>
          </w:rPr>
          <w:t>89/2024</w:t>
        </w:r>
      </w:hyperlink>
      <w:r>
        <w:t>, f. 5.</w:t>
      </w:r>
    </w:p>
    <w:p w14:paraId="17201243" w14:textId="286DCCFD" w:rsidR="00601EEA" w:rsidRDefault="00601EEA" w:rsidP="00601EEA">
      <w:pPr>
        <w:pStyle w:val="SangriaFrancesaArticulo"/>
      </w:pPr>
      <w:r w:rsidRPr="00601EEA">
        <w:rPr>
          <w:rStyle w:val="TextoNormalNegritaCaracter"/>
        </w:rPr>
        <w:t>Artículo 46.3.</w:t>
      </w:r>
      <w:r w:rsidRPr="00601EEA">
        <w:rPr>
          <w:rStyle w:val="TextoNormalCaracter"/>
        </w:rPr>
        <w:t>-</w:t>
      </w:r>
      <w:r>
        <w:t xml:space="preserve"> Sentencia </w:t>
      </w:r>
      <w:hyperlink w:anchor="SENTENCIA_2024_89" w:history="1">
        <w:r w:rsidRPr="00601EEA">
          <w:rPr>
            <w:rStyle w:val="TextoNormalCaracter"/>
          </w:rPr>
          <w:t>89/2024</w:t>
        </w:r>
      </w:hyperlink>
      <w:r>
        <w:t>, f. 5.</w:t>
      </w:r>
    </w:p>
    <w:p w14:paraId="1655530E" w14:textId="01D87F64" w:rsidR="00601EEA" w:rsidRDefault="00601EEA" w:rsidP="00601EEA">
      <w:pPr>
        <w:pStyle w:val="SangriaFrancesaArticulo"/>
      </w:pPr>
      <w:r w:rsidRPr="00601EEA">
        <w:rPr>
          <w:rStyle w:val="TextoNormalNegritaCaracter"/>
        </w:rPr>
        <w:t>Artículo 47.2.</w:t>
      </w:r>
      <w:r w:rsidRPr="00601EEA">
        <w:rPr>
          <w:rStyle w:val="TextoNormalCaracter"/>
        </w:rPr>
        <w:t>-</w:t>
      </w:r>
      <w:r>
        <w:t xml:space="preserve"> Sentencia </w:t>
      </w:r>
      <w:hyperlink w:anchor="SENTENCIA_2024_89" w:history="1">
        <w:r w:rsidRPr="00601EEA">
          <w:rPr>
            <w:rStyle w:val="TextoNormalCaracter"/>
          </w:rPr>
          <w:t>89/2024</w:t>
        </w:r>
      </w:hyperlink>
      <w:r>
        <w:t>, ff. 1, 4, 5, VP III.</w:t>
      </w:r>
    </w:p>
    <w:p w14:paraId="7946A98C" w14:textId="5493EC88" w:rsidR="00601EEA" w:rsidRDefault="00601EEA" w:rsidP="00601EEA">
      <w:pPr>
        <w:pStyle w:val="SangriaFrancesaArticulo"/>
      </w:pPr>
      <w:r w:rsidRPr="00601EEA">
        <w:rPr>
          <w:rStyle w:val="TextoNormalNegritaCaracter"/>
        </w:rPr>
        <w:t>Artículo 47.3 d).</w:t>
      </w:r>
      <w:r w:rsidRPr="00601EEA">
        <w:rPr>
          <w:rStyle w:val="TextoNormalCaracter"/>
        </w:rPr>
        <w:t>-</w:t>
      </w:r>
      <w:r>
        <w:t xml:space="preserve"> Sentencia </w:t>
      </w:r>
      <w:hyperlink w:anchor="SENTENCIA_2024_89" w:history="1">
        <w:r w:rsidRPr="00601EEA">
          <w:rPr>
            <w:rStyle w:val="TextoNormalCaracter"/>
          </w:rPr>
          <w:t>89/2024</w:t>
        </w:r>
      </w:hyperlink>
      <w:r>
        <w:t>, ff. 1, 5, VP III.</w:t>
      </w:r>
    </w:p>
    <w:p w14:paraId="7378DB55" w14:textId="387CDC0F" w:rsidR="00601EEA" w:rsidRDefault="00601EEA" w:rsidP="00601EEA">
      <w:pPr>
        <w:pStyle w:val="SangriaFrancesaArticulo"/>
      </w:pPr>
      <w:r w:rsidRPr="00601EEA">
        <w:rPr>
          <w:rStyle w:val="TextoNormalNegritaCaracter"/>
        </w:rPr>
        <w:t>Artículo 47.4 d).</w:t>
      </w:r>
      <w:r w:rsidRPr="00601EEA">
        <w:rPr>
          <w:rStyle w:val="TextoNormalCaracter"/>
        </w:rPr>
        <w:t>-</w:t>
      </w:r>
      <w:r>
        <w:t xml:space="preserve"> Sentencia </w:t>
      </w:r>
      <w:hyperlink w:anchor="SENTENCIA_2024_89" w:history="1">
        <w:r w:rsidRPr="00601EEA">
          <w:rPr>
            <w:rStyle w:val="TextoNormalCaracter"/>
          </w:rPr>
          <w:t>89/2024</w:t>
        </w:r>
      </w:hyperlink>
      <w:r>
        <w:t>, ff. 1, 5, VP III.</w:t>
      </w:r>
    </w:p>
    <w:p w14:paraId="19251CB6" w14:textId="3FCB4091" w:rsidR="00601EEA" w:rsidRDefault="00601EEA" w:rsidP="00601EEA">
      <w:pPr>
        <w:pStyle w:val="SangriaFrancesaArticulo"/>
      </w:pPr>
    </w:p>
    <w:p w14:paraId="0F0EA70A" w14:textId="77777777" w:rsidR="00601EEA" w:rsidRDefault="00601EEA" w:rsidP="00601EEA">
      <w:pPr>
        <w:pStyle w:val="TextoNormalNegritaCursivandice"/>
        <w:keepNext/>
      </w:pPr>
      <w:r>
        <w:t>Ley 20/2022, de 19 de octubre, de memoria democrática</w:t>
      </w:r>
    </w:p>
    <w:p w14:paraId="28F6CCEA" w14:textId="3D5FDB51" w:rsidR="00601EEA" w:rsidRDefault="00601EEA" w:rsidP="00601EEA">
      <w:pPr>
        <w:pStyle w:val="SangriaFrancesaArticulo"/>
      </w:pPr>
      <w:r w:rsidRPr="00601EEA">
        <w:rPr>
          <w:rStyle w:val="TextoNormalNegritaCaracter"/>
        </w:rPr>
        <w:t>En general.</w:t>
      </w:r>
      <w:r w:rsidRPr="00601EEA">
        <w:rPr>
          <w:rStyle w:val="TextoNormalCaracter"/>
        </w:rPr>
        <w:t>-</w:t>
      </w:r>
      <w:r>
        <w:t xml:space="preserve"> Auto </w:t>
      </w:r>
      <w:hyperlink w:anchor="AUTO_2024_57" w:history="1">
        <w:r w:rsidRPr="00601EEA">
          <w:rPr>
            <w:rStyle w:val="TextoNormalCaracter"/>
          </w:rPr>
          <w:t>57/2024</w:t>
        </w:r>
      </w:hyperlink>
      <w:r>
        <w:t>, ff. 2, 3, VP II.</w:t>
      </w:r>
    </w:p>
    <w:p w14:paraId="60D2C0A6" w14:textId="4F44C0AA" w:rsidR="00601EEA" w:rsidRDefault="00601EEA" w:rsidP="00601EEA">
      <w:pPr>
        <w:pStyle w:val="SangriaFrancesaArticulo"/>
      </w:pPr>
      <w:r w:rsidRPr="00601EEA">
        <w:rPr>
          <w:rStyle w:val="TextoNormalNegritaCaracter"/>
        </w:rPr>
        <w:t>Artículo 2.2.</w:t>
      </w:r>
      <w:r w:rsidRPr="00601EEA">
        <w:rPr>
          <w:rStyle w:val="TextoNormalCaracter"/>
        </w:rPr>
        <w:t>-</w:t>
      </w:r>
      <w:r>
        <w:t xml:space="preserve"> Auto </w:t>
      </w:r>
      <w:hyperlink w:anchor="AUTO_2024_57" w:history="1">
        <w:r w:rsidRPr="00601EEA">
          <w:rPr>
            <w:rStyle w:val="TextoNormalCaracter"/>
          </w:rPr>
          <w:t>57/2024</w:t>
        </w:r>
      </w:hyperlink>
      <w:r>
        <w:t>, VP II.</w:t>
      </w:r>
    </w:p>
    <w:p w14:paraId="45390538" w14:textId="4DACC319" w:rsidR="00601EEA" w:rsidRDefault="00601EEA" w:rsidP="00601EEA">
      <w:pPr>
        <w:pStyle w:val="SangriaFrancesaArticulo"/>
      </w:pPr>
      <w:r w:rsidRPr="00601EEA">
        <w:rPr>
          <w:rStyle w:val="TextoNormalNegritaCaracter"/>
        </w:rPr>
        <w:t>Artículo 2.3.</w:t>
      </w:r>
      <w:r w:rsidRPr="00601EEA">
        <w:rPr>
          <w:rStyle w:val="TextoNormalCaracter"/>
        </w:rPr>
        <w:t>-</w:t>
      </w:r>
      <w:r>
        <w:t xml:space="preserve"> Auto </w:t>
      </w:r>
      <w:hyperlink w:anchor="AUTO_2024_57" w:history="1">
        <w:r w:rsidRPr="00601EEA">
          <w:rPr>
            <w:rStyle w:val="TextoNormalCaracter"/>
          </w:rPr>
          <w:t>57/2024</w:t>
        </w:r>
      </w:hyperlink>
      <w:r>
        <w:t>, f. 2, VP II.</w:t>
      </w:r>
    </w:p>
    <w:p w14:paraId="572D9D46" w14:textId="6B27C269" w:rsidR="00601EEA" w:rsidRDefault="00601EEA" w:rsidP="00601EEA">
      <w:pPr>
        <w:pStyle w:val="SangriaFrancesaArticulo"/>
      </w:pPr>
      <w:r w:rsidRPr="00601EEA">
        <w:rPr>
          <w:rStyle w:val="TextoNormalNegritaCaracter"/>
        </w:rPr>
        <w:t>Artículo 3.1 c).</w:t>
      </w:r>
      <w:r w:rsidRPr="00601EEA">
        <w:rPr>
          <w:rStyle w:val="TextoNormalCaracter"/>
        </w:rPr>
        <w:t>-</w:t>
      </w:r>
      <w:r>
        <w:t xml:space="preserve"> Auto </w:t>
      </w:r>
      <w:hyperlink w:anchor="AUTO_2024_57" w:history="1">
        <w:r w:rsidRPr="00601EEA">
          <w:rPr>
            <w:rStyle w:val="TextoNormalCaracter"/>
          </w:rPr>
          <w:t>57/2024</w:t>
        </w:r>
      </w:hyperlink>
      <w:r>
        <w:t>, VP II.</w:t>
      </w:r>
    </w:p>
    <w:p w14:paraId="65B63578" w14:textId="2DECB6DB" w:rsidR="00601EEA" w:rsidRDefault="00601EEA" w:rsidP="00601EEA">
      <w:pPr>
        <w:pStyle w:val="SangriaFrancesaArticulo"/>
      </w:pPr>
      <w:r w:rsidRPr="00601EEA">
        <w:rPr>
          <w:rStyle w:val="TextoNormalNegritaCaracter"/>
        </w:rPr>
        <w:t>Artículo 28.</w:t>
      </w:r>
      <w:r w:rsidRPr="00601EEA">
        <w:rPr>
          <w:rStyle w:val="TextoNormalCaracter"/>
        </w:rPr>
        <w:t>-</w:t>
      </w:r>
      <w:r>
        <w:t xml:space="preserve"> Auto </w:t>
      </w:r>
      <w:hyperlink w:anchor="AUTO_2024_57" w:history="1">
        <w:r w:rsidRPr="00601EEA">
          <w:rPr>
            <w:rStyle w:val="TextoNormalCaracter"/>
          </w:rPr>
          <w:t>57/2024</w:t>
        </w:r>
      </w:hyperlink>
      <w:r>
        <w:t>, VP II.</w:t>
      </w:r>
    </w:p>
    <w:p w14:paraId="6915B78D" w14:textId="68FCFAB3" w:rsidR="00601EEA" w:rsidRDefault="00601EEA" w:rsidP="00601EEA">
      <w:pPr>
        <w:pStyle w:val="SangriaFrancesaArticulo"/>
      </w:pPr>
      <w:r w:rsidRPr="00601EEA">
        <w:rPr>
          <w:rStyle w:val="TextoNormalNegritaCaracter"/>
        </w:rPr>
        <w:t>Artículo 29.1.</w:t>
      </w:r>
      <w:r w:rsidRPr="00601EEA">
        <w:rPr>
          <w:rStyle w:val="TextoNormalCaracter"/>
        </w:rPr>
        <w:t>-</w:t>
      </w:r>
      <w:r>
        <w:t xml:space="preserve"> Auto </w:t>
      </w:r>
      <w:hyperlink w:anchor="AUTO_2024_57" w:history="1">
        <w:r w:rsidRPr="00601EEA">
          <w:rPr>
            <w:rStyle w:val="TextoNormalCaracter"/>
          </w:rPr>
          <w:t>57/2024</w:t>
        </w:r>
      </w:hyperlink>
      <w:r>
        <w:t>, VP II.</w:t>
      </w:r>
    </w:p>
    <w:p w14:paraId="75A93492" w14:textId="414BCE2B" w:rsidR="00601EEA" w:rsidRDefault="00601EEA" w:rsidP="00601EEA">
      <w:pPr>
        <w:pStyle w:val="SangriaFrancesaArticulo"/>
      </w:pPr>
      <w:r w:rsidRPr="00601EEA">
        <w:rPr>
          <w:rStyle w:val="TextoNormalNegritaCaracter"/>
        </w:rPr>
        <w:t>Artículo 29.2.</w:t>
      </w:r>
      <w:r w:rsidRPr="00601EEA">
        <w:rPr>
          <w:rStyle w:val="TextoNormalCaracter"/>
        </w:rPr>
        <w:t>-</w:t>
      </w:r>
      <w:r>
        <w:t xml:space="preserve"> Auto </w:t>
      </w:r>
      <w:hyperlink w:anchor="AUTO_2024_57" w:history="1">
        <w:r w:rsidRPr="00601EEA">
          <w:rPr>
            <w:rStyle w:val="TextoNormalCaracter"/>
          </w:rPr>
          <w:t>57/2024</w:t>
        </w:r>
      </w:hyperlink>
      <w:r>
        <w:t>, VP II.</w:t>
      </w:r>
    </w:p>
    <w:p w14:paraId="3AC982B9" w14:textId="5531686C" w:rsidR="00601EEA" w:rsidRDefault="00601EEA" w:rsidP="00601EEA">
      <w:pPr>
        <w:pStyle w:val="SangriaFrancesaArticulo"/>
      </w:pPr>
      <w:r w:rsidRPr="00601EEA">
        <w:rPr>
          <w:rStyle w:val="TextoNormalNegritaCaracter"/>
        </w:rPr>
        <w:t>Disposición final novena.</w:t>
      </w:r>
      <w:r w:rsidRPr="00601EEA">
        <w:rPr>
          <w:rStyle w:val="TextoNormalCaracter"/>
        </w:rPr>
        <w:t>-</w:t>
      </w:r>
      <w:r>
        <w:t xml:space="preserve"> Auto </w:t>
      </w:r>
      <w:hyperlink w:anchor="AUTO_2024_57" w:history="1">
        <w:r w:rsidRPr="00601EEA">
          <w:rPr>
            <w:rStyle w:val="TextoNormalCaracter"/>
          </w:rPr>
          <w:t>57/2024</w:t>
        </w:r>
      </w:hyperlink>
      <w:r>
        <w:t>, f. 2.</w:t>
      </w:r>
    </w:p>
    <w:p w14:paraId="3CBDB374" w14:textId="549A33FE" w:rsidR="00601EEA" w:rsidRDefault="00601EEA" w:rsidP="00601EEA">
      <w:pPr>
        <w:pStyle w:val="SangriaFrancesaArticulo"/>
      </w:pPr>
    </w:p>
    <w:p w14:paraId="64BCFF52" w14:textId="77777777" w:rsidR="00601EEA" w:rsidRDefault="00601EEA" w:rsidP="00601EEA">
      <w:pPr>
        <w:pStyle w:val="TextoNormalNegritaCursivandice"/>
        <w:keepNext/>
      </w:pPr>
      <w:r>
        <w:t>Ley 4/2023, de 28 de febrero, para la igualdad real y efectiva de las personas trans y para la garantía de los derechos de las personas LGTBI</w:t>
      </w:r>
    </w:p>
    <w:p w14:paraId="7EB82262" w14:textId="18BC22A7"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44" w:history="1">
        <w:r w:rsidRPr="00601EEA">
          <w:rPr>
            <w:rStyle w:val="TextoNormalCaracter"/>
          </w:rPr>
          <w:t>44/2024</w:t>
        </w:r>
      </w:hyperlink>
      <w:r>
        <w:t>, ff. 2, 4, VP I.</w:t>
      </w:r>
    </w:p>
    <w:p w14:paraId="57E08B91" w14:textId="3319CC7F" w:rsidR="00601EEA" w:rsidRDefault="00601EEA" w:rsidP="00601EEA">
      <w:pPr>
        <w:pStyle w:val="SangriaFrancesaArticulo"/>
      </w:pPr>
      <w:r w:rsidRPr="00601EEA">
        <w:rPr>
          <w:rStyle w:val="TextoNormalNegritaCaracter"/>
        </w:rPr>
        <w:t>Artículo 1.2.</w:t>
      </w:r>
      <w:r w:rsidRPr="00601EEA">
        <w:rPr>
          <w:rStyle w:val="TextoNormalCaracter"/>
        </w:rPr>
        <w:t>-</w:t>
      </w:r>
      <w:r>
        <w:t xml:space="preserve"> Sentencia </w:t>
      </w:r>
      <w:hyperlink w:anchor="SENTENCIA_2024_44" w:history="1">
        <w:r w:rsidRPr="00601EEA">
          <w:rPr>
            <w:rStyle w:val="TextoNormalCaracter"/>
          </w:rPr>
          <w:t>44/2024</w:t>
        </w:r>
      </w:hyperlink>
      <w:r>
        <w:t>, f. 2.</w:t>
      </w:r>
    </w:p>
    <w:p w14:paraId="349B6073" w14:textId="7089211E" w:rsidR="00601EEA" w:rsidRDefault="00601EEA" w:rsidP="00601EEA">
      <w:pPr>
        <w:pStyle w:val="SangriaFrancesaArticulo"/>
      </w:pPr>
      <w:r w:rsidRPr="00601EEA">
        <w:rPr>
          <w:rStyle w:val="TextoNormalNegritaCaracter"/>
        </w:rPr>
        <w:t>Artículos 43 a 51.</w:t>
      </w:r>
      <w:r w:rsidRPr="00601EEA">
        <w:rPr>
          <w:rStyle w:val="TextoNormalCaracter"/>
        </w:rPr>
        <w:t>-</w:t>
      </w:r>
      <w:r>
        <w:t xml:space="preserve"> Sentencia </w:t>
      </w:r>
      <w:hyperlink w:anchor="SENTENCIA_2024_44" w:history="1">
        <w:r w:rsidRPr="00601EEA">
          <w:rPr>
            <w:rStyle w:val="TextoNormalCaracter"/>
          </w:rPr>
          <w:t>44/2024</w:t>
        </w:r>
      </w:hyperlink>
      <w:r>
        <w:t>, ff. 2, 4.</w:t>
      </w:r>
    </w:p>
    <w:p w14:paraId="39611E14" w14:textId="6FB4AF80" w:rsidR="00601EEA" w:rsidRDefault="00601EEA" w:rsidP="00601EEA">
      <w:pPr>
        <w:pStyle w:val="SangriaFrancesaArticulo"/>
      </w:pPr>
      <w:r w:rsidRPr="00601EEA">
        <w:rPr>
          <w:rStyle w:val="TextoNormalNegritaCaracter"/>
        </w:rPr>
        <w:t>Artículo 46.1.</w:t>
      </w:r>
      <w:r w:rsidRPr="00601EEA">
        <w:rPr>
          <w:rStyle w:val="TextoNormalCaracter"/>
        </w:rPr>
        <w:t>-</w:t>
      </w:r>
      <w:r>
        <w:t xml:space="preserve"> Sentencia </w:t>
      </w:r>
      <w:hyperlink w:anchor="SENTENCIA_2024_44" w:history="1">
        <w:r w:rsidRPr="00601EEA">
          <w:rPr>
            <w:rStyle w:val="TextoNormalCaracter"/>
          </w:rPr>
          <w:t>44/2024</w:t>
        </w:r>
      </w:hyperlink>
      <w:r>
        <w:t>, f. 4.</w:t>
      </w:r>
    </w:p>
    <w:p w14:paraId="4F596F8D" w14:textId="0F9A2564" w:rsidR="00601EEA" w:rsidRDefault="00601EEA" w:rsidP="00601EEA">
      <w:pPr>
        <w:pStyle w:val="SangriaFrancesaArticulo"/>
      </w:pPr>
      <w:r w:rsidRPr="00601EEA">
        <w:rPr>
          <w:rStyle w:val="TextoNormalNegritaCaracter"/>
        </w:rPr>
        <w:t>Artículo 46.2.</w:t>
      </w:r>
      <w:r w:rsidRPr="00601EEA">
        <w:rPr>
          <w:rStyle w:val="TextoNormalCaracter"/>
        </w:rPr>
        <w:t>-</w:t>
      </w:r>
      <w:r>
        <w:t xml:space="preserve"> Sentencia </w:t>
      </w:r>
      <w:hyperlink w:anchor="SENTENCIA_2024_44" w:history="1">
        <w:r w:rsidRPr="00601EEA">
          <w:rPr>
            <w:rStyle w:val="TextoNormalCaracter"/>
          </w:rPr>
          <w:t>44/2024</w:t>
        </w:r>
      </w:hyperlink>
      <w:r>
        <w:t>, f. 4.</w:t>
      </w:r>
    </w:p>
    <w:p w14:paraId="2C08AA6D" w14:textId="03E20805" w:rsidR="00601EEA" w:rsidRDefault="00601EEA" w:rsidP="00601EEA">
      <w:pPr>
        <w:pStyle w:val="SangriaFrancesaArticulo"/>
      </w:pPr>
      <w:r w:rsidRPr="00601EEA">
        <w:rPr>
          <w:rStyle w:val="TextoNormalNegritaCaracter"/>
        </w:rPr>
        <w:t>Artículo 49.1.</w:t>
      </w:r>
      <w:r w:rsidRPr="00601EEA">
        <w:rPr>
          <w:rStyle w:val="TextoNormalCaracter"/>
        </w:rPr>
        <w:t>-</w:t>
      </w:r>
      <w:r>
        <w:t xml:space="preserve"> Sentencia </w:t>
      </w:r>
      <w:hyperlink w:anchor="SENTENCIA_2024_44" w:history="1">
        <w:r w:rsidRPr="00601EEA">
          <w:rPr>
            <w:rStyle w:val="TextoNormalCaracter"/>
          </w:rPr>
          <w:t>44/2024</w:t>
        </w:r>
      </w:hyperlink>
      <w:r>
        <w:t>, f. 4.</w:t>
      </w:r>
    </w:p>
    <w:p w14:paraId="2D932759" w14:textId="760E8BB3" w:rsidR="00601EEA" w:rsidRDefault="00601EEA" w:rsidP="00601EEA">
      <w:pPr>
        <w:pStyle w:val="SangriaFrancesaArticulo"/>
      </w:pPr>
      <w:r w:rsidRPr="00601EEA">
        <w:rPr>
          <w:rStyle w:val="TextoNormalNegritaCaracter"/>
        </w:rPr>
        <w:t>Disposición derogatoria única.</w:t>
      </w:r>
      <w:r w:rsidRPr="00601EEA">
        <w:rPr>
          <w:rStyle w:val="TextoNormalCaracter"/>
        </w:rPr>
        <w:t>-</w:t>
      </w:r>
      <w:r>
        <w:t xml:space="preserve"> Sentencia </w:t>
      </w:r>
      <w:hyperlink w:anchor="SENTENCIA_2024_44" w:history="1">
        <w:r w:rsidRPr="00601EEA">
          <w:rPr>
            <w:rStyle w:val="TextoNormalCaracter"/>
          </w:rPr>
          <w:t>44/2024</w:t>
        </w:r>
      </w:hyperlink>
      <w:r>
        <w:t>, f. 2.</w:t>
      </w:r>
    </w:p>
    <w:p w14:paraId="4C8ED076" w14:textId="703B8F4C" w:rsidR="00601EEA" w:rsidRDefault="00601EEA" w:rsidP="00601EEA">
      <w:pPr>
        <w:pStyle w:val="SangriaFrancesaArticulo"/>
      </w:pPr>
      <w:r w:rsidRPr="00601EEA">
        <w:rPr>
          <w:rStyle w:val="TextoNormalNegritaCaracter"/>
        </w:rPr>
        <w:t>Disposición final undécima.</w:t>
      </w:r>
      <w:r w:rsidRPr="00601EEA">
        <w:rPr>
          <w:rStyle w:val="TextoNormalCaracter"/>
        </w:rPr>
        <w:t>-</w:t>
      </w:r>
      <w:r>
        <w:t xml:space="preserve"> Sentencia </w:t>
      </w:r>
      <w:hyperlink w:anchor="SENTENCIA_2024_44" w:history="1">
        <w:r w:rsidRPr="00601EEA">
          <w:rPr>
            <w:rStyle w:val="TextoNormalCaracter"/>
          </w:rPr>
          <w:t>44/2024</w:t>
        </w:r>
      </w:hyperlink>
      <w:r>
        <w:t>, f. 2.</w:t>
      </w:r>
    </w:p>
    <w:p w14:paraId="00EA2139" w14:textId="31094AFE" w:rsidR="00601EEA" w:rsidRDefault="00601EEA" w:rsidP="00601EEA">
      <w:pPr>
        <w:pStyle w:val="SangriaFrancesaArticulo"/>
      </w:pPr>
    </w:p>
    <w:p w14:paraId="58D52EB8" w14:textId="77777777" w:rsidR="00601EEA" w:rsidRDefault="00601EEA" w:rsidP="00601EEA">
      <w:pPr>
        <w:pStyle w:val="TextoNormalNegritaCursivandice"/>
        <w:keepNext/>
      </w:pPr>
      <w:r>
        <w:t>Ley 12/2023, de 24 de mayo, por el derecho a la vivienda</w:t>
      </w:r>
    </w:p>
    <w:p w14:paraId="798DFC89" w14:textId="29D811C4"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79" w:history="1">
        <w:r w:rsidRPr="00601EEA">
          <w:rPr>
            <w:rStyle w:val="TextoNormalCaracter"/>
          </w:rPr>
          <w:t>79/2024</w:t>
        </w:r>
      </w:hyperlink>
      <w:r>
        <w:t>, ff. 1 a 9, VP.</w:t>
      </w:r>
    </w:p>
    <w:p w14:paraId="1E2B2205" w14:textId="4FADE419" w:rsidR="00601EEA" w:rsidRDefault="00601EEA" w:rsidP="00601EEA">
      <w:pPr>
        <w:pStyle w:val="SangriaFrancesaArticulo"/>
      </w:pPr>
      <w:r w:rsidRPr="00601EEA">
        <w:rPr>
          <w:rStyle w:val="TextoNormalNegritaCaracter"/>
        </w:rPr>
        <w:t>Título II.</w:t>
      </w:r>
      <w:r w:rsidRPr="00601EEA">
        <w:rPr>
          <w:rStyle w:val="TextoNormalCaracter"/>
        </w:rPr>
        <w:t>-</w:t>
      </w:r>
      <w:r>
        <w:t xml:space="preserve"> Sentencia </w:t>
      </w:r>
      <w:hyperlink w:anchor="SENTENCIA_2024_79" w:history="1">
        <w:r w:rsidRPr="00601EEA">
          <w:rPr>
            <w:rStyle w:val="TextoNormalCaracter"/>
          </w:rPr>
          <w:t>79/2024</w:t>
        </w:r>
      </w:hyperlink>
      <w:r>
        <w:t>, f. 6.</w:t>
      </w:r>
    </w:p>
    <w:p w14:paraId="5EC5A315" w14:textId="7D0EB468" w:rsidR="00601EEA" w:rsidRDefault="00601EEA" w:rsidP="00601EEA">
      <w:pPr>
        <w:pStyle w:val="SangriaFrancesaArticulo"/>
      </w:pPr>
      <w:r w:rsidRPr="00601EEA">
        <w:rPr>
          <w:rStyle w:val="TextoNormalNegritaCaracter"/>
        </w:rPr>
        <w:t>Título IV, capítulo II.</w:t>
      </w:r>
      <w:r w:rsidRPr="00601EEA">
        <w:rPr>
          <w:rStyle w:val="TextoNormalCaracter"/>
        </w:rPr>
        <w:t>-</w:t>
      </w:r>
      <w:r>
        <w:t xml:space="preserve"> Sentencia </w:t>
      </w:r>
      <w:hyperlink w:anchor="SENTENCIA_2024_79" w:history="1">
        <w:r w:rsidRPr="00601EEA">
          <w:rPr>
            <w:rStyle w:val="TextoNormalCaracter"/>
          </w:rPr>
          <w:t>79/2024</w:t>
        </w:r>
      </w:hyperlink>
      <w:r>
        <w:t>, f. 2.</w:t>
      </w:r>
    </w:p>
    <w:p w14:paraId="0E5312E0" w14:textId="10676A1E" w:rsidR="00601EEA" w:rsidRDefault="00601EEA" w:rsidP="00601EEA">
      <w:pPr>
        <w:pStyle w:val="SangriaFrancesaArticulo"/>
      </w:pPr>
      <w:r w:rsidRPr="00601EEA">
        <w:rPr>
          <w:rStyle w:val="TextoNormalNegritaCaracter"/>
        </w:rPr>
        <w:t>Preámbulo.</w:t>
      </w:r>
      <w:r w:rsidRPr="00601EEA">
        <w:rPr>
          <w:rStyle w:val="TextoNormalCaracter"/>
        </w:rPr>
        <w:t>-</w:t>
      </w:r>
      <w:r>
        <w:t xml:space="preserve"> Sentencia </w:t>
      </w:r>
      <w:hyperlink w:anchor="SENTENCIA_2024_79" w:history="1">
        <w:r w:rsidRPr="00601EEA">
          <w:rPr>
            <w:rStyle w:val="TextoNormalCaracter"/>
          </w:rPr>
          <w:t>79/2024</w:t>
        </w:r>
      </w:hyperlink>
      <w:r>
        <w:t>, f. 8.</w:t>
      </w:r>
    </w:p>
    <w:p w14:paraId="7964AEE9" w14:textId="5556D997" w:rsidR="00601EEA" w:rsidRDefault="00601EEA" w:rsidP="00601EEA">
      <w:pPr>
        <w:pStyle w:val="SangriaFrancesaArticulo"/>
      </w:pPr>
      <w:r w:rsidRPr="00601EEA">
        <w:rPr>
          <w:rStyle w:val="TextoNormalNegritaCaracter"/>
        </w:rPr>
        <w:t>Preámbulo, apartado II, primer párrafo.</w:t>
      </w:r>
      <w:r w:rsidRPr="00601EEA">
        <w:rPr>
          <w:rStyle w:val="TextoNormalCaracter"/>
        </w:rPr>
        <w:t>-</w:t>
      </w:r>
      <w:r>
        <w:t xml:space="preserve"> Sentencia </w:t>
      </w:r>
      <w:hyperlink w:anchor="SENTENCIA_2024_79" w:history="1">
        <w:r w:rsidRPr="00601EEA">
          <w:rPr>
            <w:rStyle w:val="TextoNormalCaracter"/>
          </w:rPr>
          <w:t>79/2024</w:t>
        </w:r>
      </w:hyperlink>
      <w:r>
        <w:t>, VP.</w:t>
      </w:r>
    </w:p>
    <w:p w14:paraId="7E8D1577" w14:textId="5B89DBE2" w:rsidR="00601EEA" w:rsidRDefault="00601EEA" w:rsidP="00601EEA">
      <w:pPr>
        <w:pStyle w:val="SangriaFrancesaArticulo"/>
      </w:pPr>
      <w:r w:rsidRPr="00601EEA">
        <w:rPr>
          <w:rStyle w:val="TextoNormalNegritaCaracter"/>
        </w:rPr>
        <w:t>Preámbulo, apartado III, primer párrafo.</w:t>
      </w:r>
      <w:r w:rsidRPr="00601EEA">
        <w:rPr>
          <w:rStyle w:val="TextoNormalCaracter"/>
        </w:rPr>
        <w:t>-</w:t>
      </w:r>
      <w:r>
        <w:t xml:space="preserve"> Sentencia </w:t>
      </w:r>
      <w:hyperlink w:anchor="SENTENCIA_2024_79" w:history="1">
        <w:r w:rsidRPr="00601EEA">
          <w:rPr>
            <w:rStyle w:val="TextoNormalCaracter"/>
          </w:rPr>
          <w:t>79/2024</w:t>
        </w:r>
      </w:hyperlink>
      <w:r>
        <w:t>, VP.</w:t>
      </w:r>
    </w:p>
    <w:p w14:paraId="34193ABC" w14:textId="7E2AC22C" w:rsidR="00601EEA" w:rsidRDefault="00601EEA" w:rsidP="00601EEA">
      <w:pPr>
        <w:pStyle w:val="SangriaFrancesaArticulo"/>
      </w:pPr>
      <w:r w:rsidRPr="00601EEA">
        <w:rPr>
          <w:rStyle w:val="TextoNormalNegritaCaracter"/>
        </w:rPr>
        <w:t>Artículo 3.</w:t>
      </w:r>
      <w:r w:rsidRPr="00601EEA">
        <w:rPr>
          <w:rStyle w:val="TextoNormalCaracter"/>
        </w:rPr>
        <w:t>-</w:t>
      </w:r>
      <w:r>
        <w:t xml:space="preserve"> Sentencia </w:t>
      </w:r>
      <w:hyperlink w:anchor="SENTENCIA_2024_79" w:history="1">
        <w:r w:rsidRPr="00601EEA">
          <w:rPr>
            <w:rStyle w:val="TextoNormalCaracter"/>
          </w:rPr>
          <w:t>79/2024</w:t>
        </w:r>
      </w:hyperlink>
      <w:r>
        <w:t>, ff. 2, 6, 7, VP.</w:t>
      </w:r>
    </w:p>
    <w:p w14:paraId="2539DADB" w14:textId="60F602A6" w:rsidR="00601EEA" w:rsidRDefault="00601EEA" w:rsidP="00601EEA">
      <w:pPr>
        <w:pStyle w:val="SangriaFrancesaArticulo"/>
      </w:pPr>
      <w:r w:rsidRPr="00601EEA">
        <w:rPr>
          <w:rStyle w:val="TextoNormalNegritaCaracter"/>
        </w:rPr>
        <w:t>Artículo 3 c).</w:t>
      </w:r>
      <w:r w:rsidRPr="00601EEA">
        <w:rPr>
          <w:rStyle w:val="TextoNormalCaracter"/>
        </w:rPr>
        <w:t>-</w:t>
      </w:r>
      <w:r>
        <w:t xml:space="preserve"> Sentencia </w:t>
      </w:r>
      <w:hyperlink w:anchor="SENTENCIA_2024_79" w:history="1">
        <w:r w:rsidRPr="00601EEA">
          <w:rPr>
            <w:rStyle w:val="TextoNormalCaracter"/>
          </w:rPr>
          <w:t>79/2024</w:t>
        </w:r>
      </w:hyperlink>
      <w:r>
        <w:t>, f. 4.</w:t>
      </w:r>
    </w:p>
    <w:p w14:paraId="3CFCDD0B" w14:textId="2B0F13E0" w:rsidR="00601EEA" w:rsidRDefault="00601EEA" w:rsidP="00601EEA">
      <w:pPr>
        <w:pStyle w:val="SangriaFrancesaArticulo"/>
      </w:pPr>
      <w:r w:rsidRPr="00601EEA">
        <w:rPr>
          <w:rStyle w:val="TextoNormalNegritaCaracter"/>
        </w:rPr>
        <w:t>Artículo 3 f).</w:t>
      </w:r>
      <w:r w:rsidRPr="00601EEA">
        <w:rPr>
          <w:rStyle w:val="TextoNormalCaracter"/>
        </w:rPr>
        <w:t>-</w:t>
      </w:r>
      <w:r>
        <w:t xml:space="preserve"> Sentencia </w:t>
      </w:r>
      <w:hyperlink w:anchor="SENTENCIA_2024_79" w:history="1">
        <w:r w:rsidRPr="00601EEA">
          <w:rPr>
            <w:rStyle w:val="TextoNormalCaracter"/>
          </w:rPr>
          <w:t>79/2024</w:t>
        </w:r>
      </w:hyperlink>
      <w:r>
        <w:t>, f. 7, VP.</w:t>
      </w:r>
    </w:p>
    <w:p w14:paraId="3ED578D0" w14:textId="5F1AFEE3" w:rsidR="00601EEA" w:rsidRDefault="00601EEA" w:rsidP="00601EEA">
      <w:pPr>
        <w:pStyle w:val="SangriaFrancesaArticulo"/>
      </w:pPr>
      <w:r w:rsidRPr="00601EEA">
        <w:rPr>
          <w:rStyle w:val="TextoNormalNegritaCaracter"/>
        </w:rPr>
        <w:t>Artículo 3 g).</w:t>
      </w:r>
      <w:r w:rsidRPr="00601EEA">
        <w:rPr>
          <w:rStyle w:val="TextoNormalCaracter"/>
        </w:rPr>
        <w:t>-</w:t>
      </w:r>
      <w:r>
        <w:t xml:space="preserve"> Sentencia </w:t>
      </w:r>
      <w:hyperlink w:anchor="SENTENCIA_2024_79" w:history="1">
        <w:r w:rsidRPr="00601EEA">
          <w:rPr>
            <w:rStyle w:val="TextoNormalCaracter"/>
          </w:rPr>
          <w:t>79/2024</w:t>
        </w:r>
      </w:hyperlink>
      <w:r>
        <w:t>, f. 7, VP.</w:t>
      </w:r>
    </w:p>
    <w:p w14:paraId="782B1DEF" w14:textId="2FB023CE" w:rsidR="00601EEA" w:rsidRDefault="00601EEA" w:rsidP="00601EEA">
      <w:pPr>
        <w:pStyle w:val="SangriaFrancesaArticulo"/>
      </w:pPr>
      <w:r w:rsidRPr="00601EEA">
        <w:rPr>
          <w:rStyle w:val="TextoNormalNegritaCaracter"/>
        </w:rPr>
        <w:t>Artículo 3 k).</w:t>
      </w:r>
      <w:r w:rsidRPr="00601EEA">
        <w:rPr>
          <w:rStyle w:val="TextoNormalCaracter"/>
        </w:rPr>
        <w:t>-</w:t>
      </w:r>
      <w:r>
        <w:t xml:space="preserve"> Sentencia </w:t>
      </w:r>
      <w:hyperlink w:anchor="SENTENCIA_2024_79" w:history="1">
        <w:r w:rsidRPr="00601EEA">
          <w:rPr>
            <w:rStyle w:val="TextoNormalCaracter"/>
          </w:rPr>
          <w:t>79/2024</w:t>
        </w:r>
      </w:hyperlink>
      <w:r>
        <w:t>, f. 6, VP.</w:t>
      </w:r>
    </w:p>
    <w:p w14:paraId="6818C027" w14:textId="276CA82D" w:rsidR="00601EEA" w:rsidRDefault="00601EEA" w:rsidP="00601EEA">
      <w:pPr>
        <w:pStyle w:val="SangriaFrancesaArticulo"/>
      </w:pPr>
      <w:r w:rsidRPr="00601EEA">
        <w:rPr>
          <w:rStyle w:val="TextoNormalNegritaCaracter"/>
        </w:rPr>
        <w:t>Artículo 8 a).</w:t>
      </w:r>
      <w:r w:rsidRPr="00601EEA">
        <w:rPr>
          <w:rStyle w:val="TextoNormalCaracter"/>
        </w:rPr>
        <w:t>-</w:t>
      </w:r>
      <w:r>
        <w:t xml:space="preserve"> Sentencia </w:t>
      </w:r>
      <w:hyperlink w:anchor="SENTENCIA_2024_79" w:history="1">
        <w:r w:rsidRPr="00601EEA">
          <w:rPr>
            <w:rStyle w:val="TextoNormalCaracter"/>
          </w:rPr>
          <w:t>79/2024</w:t>
        </w:r>
      </w:hyperlink>
      <w:r>
        <w:t>, f. 4.</w:t>
      </w:r>
    </w:p>
    <w:p w14:paraId="0A001947" w14:textId="79462516" w:rsidR="00601EEA" w:rsidRDefault="00601EEA" w:rsidP="00601EEA">
      <w:pPr>
        <w:pStyle w:val="SangriaFrancesaArticulo"/>
      </w:pPr>
      <w:r w:rsidRPr="00601EEA">
        <w:rPr>
          <w:rStyle w:val="TextoNormalNegritaCaracter"/>
        </w:rPr>
        <w:t>Artículo 8 c).</w:t>
      </w:r>
      <w:r w:rsidRPr="00601EEA">
        <w:rPr>
          <w:rStyle w:val="TextoNormalCaracter"/>
        </w:rPr>
        <w:t>-</w:t>
      </w:r>
      <w:r>
        <w:t xml:space="preserve"> Sentencia </w:t>
      </w:r>
      <w:hyperlink w:anchor="SENTENCIA_2024_79" w:history="1">
        <w:r w:rsidRPr="00601EEA">
          <w:rPr>
            <w:rStyle w:val="TextoNormalCaracter"/>
          </w:rPr>
          <w:t>79/2024</w:t>
        </w:r>
      </w:hyperlink>
      <w:r>
        <w:t>, f. 4, VP.</w:t>
      </w:r>
    </w:p>
    <w:p w14:paraId="67F32020" w14:textId="5908E724" w:rsidR="00601EEA" w:rsidRDefault="00601EEA" w:rsidP="00601EEA">
      <w:pPr>
        <w:pStyle w:val="SangriaFrancesaArticulo"/>
      </w:pPr>
      <w:r w:rsidRPr="00601EEA">
        <w:rPr>
          <w:rStyle w:val="TextoNormalNegritaCaracter"/>
        </w:rPr>
        <w:t>Artículo 9 e).</w:t>
      </w:r>
      <w:r w:rsidRPr="00601EEA">
        <w:rPr>
          <w:rStyle w:val="TextoNormalCaracter"/>
        </w:rPr>
        <w:t>-</w:t>
      </w:r>
      <w:r>
        <w:t xml:space="preserve"> Sentencia </w:t>
      </w:r>
      <w:hyperlink w:anchor="SENTENCIA_2024_79" w:history="1">
        <w:r w:rsidRPr="00601EEA">
          <w:rPr>
            <w:rStyle w:val="TextoNormalCaracter"/>
          </w:rPr>
          <w:t>79/2024</w:t>
        </w:r>
      </w:hyperlink>
      <w:r>
        <w:t>, f. 4, VP.</w:t>
      </w:r>
    </w:p>
    <w:p w14:paraId="3F3996B4" w14:textId="7F7B5877" w:rsidR="00601EEA" w:rsidRDefault="00601EEA" w:rsidP="00601EEA">
      <w:pPr>
        <w:pStyle w:val="SangriaFrancesaArticulo"/>
      </w:pPr>
      <w:r w:rsidRPr="00601EEA">
        <w:rPr>
          <w:rStyle w:val="TextoNormalNegritaCaracter"/>
        </w:rPr>
        <w:t>Artículo 11.</w:t>
      </w:r>
      <w:r w:rsidRPr="00601EEA">
        <w:rPr>
          <w:rStyle w:val="TextoNormalCaracter"/>
        </w:rPr>
        <w:t>-</w:t>
      </w:r>
      <w:r>
        <w:t xml:space="preserve"> Sentencia </w:t>
      </w:r>
      <w:hyperlink w:anchor="SENTENCIA_2024_79" w:history="1">
        <w:r w:rsidRPr="00601EEA">
          <w:rPr>
            <w:rStyle w:val="TextoNormalCaracter"/>
          </w:rPr>
          <w:t>79/2024</w:t>
        </w:r>
      </w:hyperlink>
      <w:r>
        <w:t>, f. 6.</w:t>
      </w:r>
    </w:p>
    <w:p w14:paraId="52435731" w14:textId="13C9E986" w:rsidR="00601EEA" w:rsidRDefault="00601EEA" w:rsidP="00601EEA">
      <w:pPr>
        <w:pStyle w:val="SangriaFrancesaArticulo"/>
      </w:pPr>
      <w:r w:rsidRPr="00601EEA">
        <w:rPr>
          <w:rStyle w:val="TextoNormalNegritaCaracter"/>
        </w:rPr>
        <w:t>Artículo 11.1.</w:t>
      </w:r>
      <w:r w:rsidRPr="00601EEA">
        <w:rPr>
          <w:rStyle w:val="TextoNormalCaracter"/>
        </w:rPr>
        <w:t>-</w:t>
      </w:r>
      <w:r>
        <w:t xml:space="preserve"> Sentencia </w:t>
      </w:r>
      <w:hyperlink w:anchor="SENTENCIA_2024_79" w:history="1">
        <w:r w:rsidRPr="00601EEA">
          <w:rPr>
            <w:rStyle w:val="TextoNormalCaracter"/>
          </w:rPr>
          <w:t>79/2024</w:t>
        </w:r>
      </w:hyperlink>
      <w:r>
        <w:t>, f. 6.</w:t>
      </w:r>
    </w:p>
    <w:p w14:paraId="1E41A175" w14:textId="769CD563" w:rsidR="00601EEA" w:rsidRDefault="00601EEA" w:rsidP="00601EEA">
      <w:pPr>
        <w:pStyle w:val="SangriaFrancesaArticulo"/>
      </w:pPr>
      <w:r w:rsidRPr="00601EEA">
        <w:rPr>
          <w:rStyle w:val="TextoNormalNegritaCaracter"/>
        </w:rPr>
        <w:t>Artículo 11.1 e).</w:t>
      </w:r>
      <w:r w:rsidRPr="00601EEA">
        <w:rPr>
          <w:rStyle w:val="TextoNormalCaracter"/>
        </w:rPr>
        <w:t>-</w:t>
      </w:r>
      <w:r>
        <w:t xml:space="preserve"> Sentencia </w:t>
      </w:r>
      <w:hyperlink w:anchor="SENTENCIA_2024_79" w:history="1">
        <w:r w:rsidRPr="00601EEA">
          <w:rPr>
            <w:rStyle w:val="TextoNormalCaracter"/>
          </w:rPr>
          <w:t>79/2024</w:t>
        </w:r>
      </w:hyperlink>
      <w:r>
        <w:t>, ff. 3, 6, VP.</w:t>
      </w:r>
    </w:p>
    <w:p w14:paraId="0A1A44DD" w14:textId="2D5F3A4A" w:rsidR="00601EEA" w:rsidRDefault="00601EEA" w:rsidP="00601EEA">
      <w:pPr>
        <w:pStyle w:val="SangriaFrancesaArticulo"/>
      </w:pPr>
      <w:r w:rsidRPr="00601EEA">
        <w:rPr>
          <w:rStyle w:val="TextoNormalNegritaCaracter"/>
        </w:rPr>
        <w:t>Artículo 15.1 e).</w:t>
      </w:r>
      <w:r w:rsidRPr="00601EEA">
        <w:rPr>
          <w:rStyle w:val="TextoNormalCaracter"/>
        </w:rPr>
        <w:t>-</w:t>
      </w:r>
      <w:r>
        <w:t xml:space="preserve"> Sentencia </w:t>
      </w:r>
      <w:hyperlink w:anchor="SENTENCIA_2024_79" w:history="1">
        <w:r w:rsidRPr="00601EEA">
          <w:rPr>
            <w:rStyle w:val="TextoNormalCaracter"/>
          </w:rPr>
          <w:t>79/2024</w:t>
        </w:r>
      </w:hyperlink>
      <w:r>
        <w:t>, f. 5, VP.</w:t>
      </w:r>
    </w:p>
    <w:p w14:paraId="662C7B5A" w14:textId="79354129" w:rsidR="00601EEA" w:rsidRDefault="00601EEA" w:rsidP="00601EEA">
      <w:pPr>
        <w:pStyle w:val="SangriaFrancesaArticulo"/>
      </w:pPr>
      <w:r w:rsidRPr="00601EEA">
        <w:rPr>
          <w:rStyle w:val="TextoNormalNegritaCaracter"/>
        </w:rPr>
        <w:t>Artículo 16.</w:t>
      </w:r>
      <w:r w:rsidRPr="00601EEA">
        <w:rPr>
          <w:rStyle w:val="TextoNormalCaracter"/>
        </w:rPr>
        <w:t>-</w:t>
      </w:r>
      <w:r>
        <w:t xml:space="preserve"> Sentencia </w:t>
      </w:r>
      <w:hyperlink w:anchor="SENTENCIA_2024_79" w:history="1">
        <w:r w:rsidRPr="00601EEA">
          <w:rPr>
            <w:rStyle w:val="TextoNormalCaracter"/>
          </w:rPr>
          <w:t>79/2024</w:t>
        </w:r>
      </w:hyperlink>
      <w:r>
        <w:t>, ff. 2, 7, VP.</w:t>
      </w:r>
    </w:p>
    <w:p w14:paraId="4EB19D37" w14:textId="096D5338" w:rsidR="00601EEA" w:rsidRDefault="00601EEA" w:rsidP="00601EEA">
      <w:pPr>
        <w:pStyle w:val="SangriaFrancesaArticulo"/>
      </w:pPr>
      <w:r w:rsidRPr="00601EEA">
        <w:rPr>
          <w:rStyle w:val="TextoNormalNegritaCaracter"/>
        </w:rPr>
        <w:lastRenderedPageBreak/>
        <w:t>Artículo 16.1.</w:t>
      </w:r>
      <w:r w:rsidRPr="00601EEA">
        <w:rPr>
          <w:rStyle w:val="TextoNormalCaracter"/>
        </w:rPr>
        <w:t>-</w:t>
      </w:r>
      <w:r>
        <w:t xml:space="preserve"> Sentencia </w:t>
      </w:r>
      <w:hyperlink w:anchor="SENTENCIA_2024_79" w:history="1">
        <w:r w:rsidRPr="00601EEA">
          <w:rPr>
            <w:rStyle w:val="TextoNormalCaracter"/>
          </w:rPr>
          <w:t>79/2024</w:t>
        </w:r>
      </w:hyperlink>
      <w:r>
        <w:t>, f. 7.</w:t>
      </w:r>
    </w:p>
    <w:p w14:paraId="5528ED5E" w14:textId="1863D28E" w:rsidR="00601EEA" w:rsidRDefault="00601EEA" w:rsidP="00601EEA">
      <w:pPr>
        <w:pStyle w:val="SangriaFrancesaArticulo"/>
      </w:pPr>
      <w:r w:rsidRPr="00601EEA">
        <w:rPr>
          <w:rStyle w:val="TextoNormalNegritaCaracter"/>
        </w:rPr>
        <w:t>Artículo 16.2.</w:t>
      </w:r>
      <w:r w:rsidRPr="00601EEA">
        <w:rPr>
          <w:rStyle w:val="TextoNormalCaracter"/>
        </w:rPr>
        <w:t>-</w:t>
      </w:r>
      <w:r>
        <w:t xml:space="preserve"> Sentencia </w:t>
      </w:r>
      <w:hyperlink w:anchor="SENTENCIA_2024_79" w:history="1">
        <w:r w:rsidRPr="00601EEA">
          <w:rPr>
            <w:rStyle w:val="TextoNormalCaracter"/>
          </w:rPr>
          <w:t>79/2024</w:t>
        </w:r>
      </w:hyperlink>
      <w:r>
        <w:t>, f. 7.</w:t>
      </w:r>
    </w:p>
    <w:p w14:paraId="2E5EC8C9" w14:textId="00FB0A8F" w:rsidR="00601EEA" w:rsidRDefault="00601EEA" w:rsidP="00601EEA">
      <w:pPr>
        <w:pStyle w:val="SangriaFrancesaArticulo"/>
      </w:pPr>
      <w:r w:rsidRPr="00601EEA">
        <w:rPr>
          <w:rStyle w:val="TextoNormalNegritaCaracter"/>
        </w:rPr>
        <w:t>Artículo 16.3.</w:t>
      </w:r>
      <w:r w:rsidRPr="00601EEA">
        <w:rPr>
          <w:rStyle w:val="TextoNormalCaracter"/>
        </w:rPr>
        <w:t>-</w:t>
      </w:r>
      <w:r>
        <w:t xml:space="preserve"> Sentencia </w:t>
      </w:r>
      <w:hyperlink w:anchor="SENTENCIA_2024_79" w:history="1">
        <w:r w:rsidRPr="00601EEA">
          <w:rPr>
            <w:rStyle w:val="TextoNormalCaracter"/>
          </w:rPr>
          <w:t>79/2024</w:t>
        </w:r>
      </w:hyperlink>
      <w:r>
        <w:t>, VP.</w:t>
      </w:r>
    </w:p>
    <w:p w14:paraId="20C24EBC" w14:textId="6C235C43" w:rsidR="00601EEA" w:rsidRDefault="00601EEA" w:rsidP="00601EEA">
      <w:pPr>
        <w:pStyle w:val="SangriaFrancesaArticulo"/>
      </w:pPr>
      <w:r w:rsidRPr="00601EEA">
        <w:rPr>
          <w:rStyle w:val="TextoNormalNegritaCaracter"/>
        </w:rPr>
        <w:t>Artículo 17.</w:t>
      </w:r>
      <w:r w:rsidRPr="00601EEA">
        <w:rPr>
          <w:rStyle w:val="TextoNormalCaracter"/>
        </w:rPr>
        <w:t>-</w:t>
      </w:r>
      <w:r>
        <w:t xml:space="preserve"> Sentencia </w:t>
      </w:r>
      <w:hyperlink w:anchor="SENTENCIA_2024_79" w:history="1">
        <w:r w:rsidRPr="00601EEA">
          <w:rPr>
            <w:rStyle w:val="TextoNormalCaracter"/>
          </w:rPr>
          <w:t>79/2024</w:t>
        </w:r>
      </w:hyperlink>
      <w:r>
        <w:t>, VP.</w:t>
      </w:r>
    </w:p>
    <w:p w14:paraId="4DBC53CF" w14:textId="0FBFB325" w:rsidR="00601EEA" w:rsidRDefault="00601EEA" w:rsidP="00601EEA">
      <w:pPr>
        <w:pStyle w:val="SangriaFrancesaArticulo"/>
      </w:pPr>
      <w:r w:rsidRPr="00601EEA">
        <w:rPr>
          <w:rStyle w:val="TextoNormalNegritaCaracter"/>
        </w:rPr>
        <w:t>Artículo 18.</w:t>
      </w:r>
      <w:r w:rsidRPr="00601EEA">
        <w:rPr>
          <w:rStyle w:val="TextoNormalCaracter"/>
        </w:rPr>
        <w:t>-</w:t>
      </w:r>
      <w:r>
        <w:t xml:space="preserve"> Sentencia </w:t>
      </w:r>
      <w:hyperlink w:anchor="SENTENCIA_2024_79" w:history="1">
        <w:r w:rsidRPr="00601EEA">
          <w:rPr>
            <w:rStyle w:val="TextoNormalCaracter"/>
          </w:rPr>
          <w:t>79/2024</w:t>
        </w:r>
      </w:hyperlink>
      <w:r>
        <w:t>, f. 5, VP.</w:t>
      </w:r>
    </w:p>
    <w:p w14:paraId="4EF66032" w14:textId="76BBCA8E" w:rsidR="00601EEA" w:rsidRDefault="00601EEA" w:rsidP="00601EEA">
      <w:pPr>
        <w:pStyle w:val="SangriaFrancesaArticulo"/>
      </w:pPr>
      <w:r w:rsidRPr="00601EEA">
        <w:rPr>
          <w:rStyle w:val="TextoNormalNegritaCaracter"/>
        </w:rPr>
        <w:t>Artículo 18.1.</w:t>
      </w:r>
      <w:r w:rsidRPr="00601EEA">
        <w:rPr>
          <w:rStyle w:val="TextoNormalCaracter"/>
        </w:rPr>
        <w:t>-</w:t>
      </w:r>
      <w:r>
        <w:t xml:space="preserve"> Sentencia </w:t>
      </w:r>
      <w:hyperlink w:anchor="SENTENCIA_2024_79" w:history="1">
        <w:r w:rsidRPr="00601EEA">
          <w:rPr>
            <w:rStyle w:val="TextoNormalCaracter"/>
          </w:rPr>
          <w:t>79/2024</w:t>
        </w:r>
      </w:hyperlink>
      <w:r>
        <w:t>, f. 5.</w:t>
      </w:r>
    </w:p>
    <w:p w14:paraId="0D25FDB6" w14:textId="5E74CA41" w:rsidR="00601EEA" w:rsidRDefault="00601EEA" w:rsidP="00601EEA">
      <w:pPr>
        <w:pStyle w:val="SangriaFrancesaArticulo"/>
      </w:pPr>
      <w:r w:rsidRPr="00601EEA">
        <w:rPr>
          <w:rStyle w:val="TextoNormalNegritaCaracter"/>
        </w:rPr>
        <w:t>Artículo 18.2.</w:t>
      </w:r>
      <w:r w:rsidRPr="00601EEA">
        <w:rPr>
          <w:rStyle w:val="TextoNormalCaracter"/>
        </w:rPr>
        <w:t>-</w:t>
      </w:r>
      <w:r>
        <w:t xml:space="preserve"> Sentencia </w:t>
      </w:r>
      <w:hyperlink w:anchor="SENTENCIA_2024_79" w:history="1">
        <w:r w:rsidRPr="00601EEA">
          <w:rPr>
            <w:rStyle w:val="TextoNormalCaracter"/>
          </w:rPr>
          <w:t>79/2024</w:t>
        </w:r>
      </w:hyperlink>
      <w:r>
        <w:t>, ff. 5, 6, VP.</w:t>
      </w:r>
    </w:p>
    <w:p w14:paraId="6B642DFF" w14:textId="173E0C35" w:rsidR="00601EEA" w:rsidRDefault="00601EEA" w:rsidP="00601EEA">
      <w:pPr>
        <w:pStyle w:val="SangriaFrancesaArticulo"/>
      </w:pPr>
      <w:r w:rsidRPr="00601EEA">
        <w:rPr>
          <w:rStyle w:val="TextoNormalNegritaCaracter"/>
        </w:rPr>
        <w:t>Artículo 18.2 c).</w:t>
      </w:r>
      <w:r w:rsidRPr="00601EEA">
        <w:rPr>
          <w:rStyle w:val="TextoNormalCaracter"/>
        </w:rPr>
        <w:t>-</w:t>
      </w:r>
      <w:r>
        <w:t xml:space="preserve"> Sentencia </w:t>
      </w:r>
      <w:hyperlink w:anchor="SENTENCIA_2024_79" w:history="1">
        <w:r w:rsidRPr="00601EEA">
          <w:rPr>
            <w:rStyle w:val="TextoNormalCaracter"/>
          </w:rPr>
          <w:t>79/2024</w:t>
        </w:r>
      </w:hyperlink>
      <w:r>
        <w:t>, VP.</w:t>
      </w:r>
    </w:p>
    <w:p w14:paraId="4006933C" w14:textId="56301F81" w:rsidR="00601EEA" w:rsidRDefault="00601EEA" w:rsidP="00601EEA">
      <w:pPr>
        <w:pStyle w:val="SangriaFrancesaArticulo"/>
      </w:pPr>
      <w:r w:rsidRPr="00601EEA">
        <w:rPr>
          <w:rStyle w:val="TextoNormalNegritaCaracter"/>
        </w:rPr>
        <w:t>Artículo 18.3.</w:t>
      </w:r>
      <w:r w:rsidRPr="00601EEA">
        <w:rPr>
          <w:rStyle w:val="TextoNormalCaracter"/>
        </w:rPr>
        <w:t>-</w:t>
      </w:r>
      <w:r>
        <w:t xml:space="preserve"> Sentencia </w:t>
      </w:r>
      <w:hyperlink w:anchor="SENTENCIA_2024_79" w:history="1">
        <w:r w:rsidRPr="00601EEA">
          <w:rPr>
            <w:rStyle w:val="TextoNormalCaracter"/>
          </w:rPr>
          <w:t>79/2024</w:t>
        </w:r>
      </w:hyperlink>
      <w:r>
        <w:t>, f. 5, VP.</w:t>
      </w:r>
    </w:p>
    <w:p w14:paraId="1F736527" w14:textId="34BF4E58" w:rsidR="00601EEA" w:rsidRDefault="00601EEA" w:rsidP="00601EEA">
      <w:pPr>
        <w:pStyle w:val="SangriaFrancesaArticulo"/>
      </w:pPr>
      <w:r w:rsidRPr="00601EEA">
        <w:rPr>
          <w:rStyle w:val="TextoNormalNegritaCaracter"/>
        </w:rPr>
        <w:t>Artículo 18.4.</w:t>
      </w:r>
      <w:r w:rsidRPr="00601EEA">
        <w:rPr>
          <w:rStyle w:val="TextoNormalCaracter"/>
        </w:rPr>
        <w:t>-</w:t>
      </w:r>
      <w:r>
        <w:t xml:space="preserve"> Sentencia </w:t>
      </w:r>
      <w:hyperlink w:anchor="SENTENCIA_2024_79" w:history="1">
        <w:r w:rsidRPr="00601EEA">
          <w:rPr>
            <w:rStyle w:val="TextoNormalCaracter"/>
          </w:rPr>
          <w:t>79/2024</w:t>
        </w:r>
      </w:hyperlink>
      <w:r>
        <w:t>, f. 5, VP.</w:t>
      </w:r>
    </w:p>
    <w:p w14:paraId="0D699ED0" w14:textId="58A29D50" w:rsidR="00601EEA" w:rsidRDefault="00601EEA" w:rsidP="00601EEA">
      <w:pPr>
        <w:pStyle w:val="SangriaFrancesaArticulo"/>
      </w:pPr>
      <w:r w:rsidRPr="00601EEA">
        <w:rPr>
          <w:rStyle w:val="TextoNormalNegritaCaracter"/>
        </w:rPr>
        <w:t>Artículo 18.6.</w:t>
      </w:r>
      <w:r w:rsidRPr="00601EEA">
        <w:rPr>
          <w:rStyle w:val="TextoNormalCaracter"/>
        </w:rPr>
        <w:t>-</w:t>
      </w:r>
      <w:r>
        <w:t xml:space="preserve"> Sentencia </w:t>
      </w:r>
      <w:hyperlink w:anchor="SENTENCIA_2024_79" w:history="1">
        <w:r w:rsidRPr="00601EEA">
          <w:rPr>
            <w:rStyle w:val="TextoNormalCaracter"/>
          </w:rPr>
          <w:t>79/2024</w:t>
        </w:r>
      </w:hyperlink>
      <w:r>
        <w:t>, f. 7.</w:t>
      </w:r>
    </w:p>
    <w:p w14:paraId="2DC7E3AB" w14:textId="0F81C4B1" w:rsidR="00601EEA" w:rsidRDefault="00601EEA" w:rsidP="00601EEA">
      <w:pPr>
        <w:pStyle w:val="SangriaFrancesaArticulo"/>
      </w:pPr>
      <w:r w:rsidRPr="00601EEA">
        <w:rPr>
          <w:rStyle w:val="TextoNormalNegritaCaracter"/>
        </w:rPr>
        <w:t>Artículo 19.</w:t>
      </w:r>
      <w:r w:rsidRPr="00601EEA">
        <w:rPr>
          <w:rStyle w:val="TextoNormalCaracter"/>
        </w:rPr>
        <w:t>-</w:t>
      </w:r>
      <w:r>
        <w:t xml:space="preserve"> Sentencia </w:t>
      </w:r>
      <w:hyperlink w:anchor="SENTENCIA_2024_79" w:history="1">
        <w:r w:rsidRPr="00601EEA">
          <w:rPr>
            <w:rStyle w:val="TextoNormalCaracter"/>
          </w:rPr>
          <w:t>79/2024</w:t>
        </w:r>
      </w:hyperlink>
      <w:r>
        <w:t>, f. 6.</w:t>
      </w:r>
    </w:p>
    <w:p w14:paraId="39B8F4AB" w14:textId="6F1DA50C" w:rsidR="00601EEA" w:rsidRDefault="00601EEA" w:rsidP="00601EEA">
      <w:pPr>
        <w:pStyle w:val="SangriaFrancesaArticulo"/>
      </w:pPr>
      <w:r w:rsidRPr="00601EEA">
        <w:rPr>
          <w:rStyle w:val="TextoNormalNegritaCaracter"/>
        </w:rPr>
        <w:t>Artículo 19.1.</w:t>
      </w:r>
      <w:r w:rsidRPr="00601EEA">
        <w:rPr>
          <w:rStyle w:val="TextoNormalCaracter"/>
        </w:rPr>
        <w:t>-</w:t>
      </w:r>
      <w:r>
        <w:t xml:space="preserve"> Sentencia </w:t>
      </w:r>
      <w:hyperlink w:anchor="SENTENCIA_2024_79" w:history="1">
        <w:r w:rsidRPr="00601EEA">
          <w:rPr>
            <w:rStyle w:val="TextoNormalCaracter"/>
          </w:rPr>
          <w:t>79/2024</w:t>
        </w:r>
      </w:hyperlink>
      <w:r>
        <w:t>, f. 6, VP.</w:t>
      </w:r>
    </w:p>
    <w:p w14:paraId="2E89101E" w14:textId="15434EE4" w:rsidR="00601EEA" w:rsidRDefault="00601EEA" w:rsidP="00601EEA">
      <w:pPr>
        <w:pStyle w:val="SangriaFrancesaArticulo"/>
      </w:pPr>
      <w:r w:rsidRPr="00601EEA">
        <w:rPr>
          <w:rStyle w:val="TextoNormalNegritaCaracter"/>
        </w:rPr>
        <w:t>Artículo 19.1 inciso segundo.</w:t>
      </w:r>
      <w:r w:rsidRPr="00601EEA">
        <w:rPr>
          <w:rStyle w:val="TextoNormalCaracter"/>
        </w:rPr>
        <w:t>-</w:t>
      </w:r>
      <w:r>
        <w:t xml:space="preserve"> Sentencia </w:t>
      </w:r>
      <w:hyperlink w:anchor="SENTENCIA_2024_79" w:history="1">
        <w:r w:rsidRPr="00601EEA">
          <w:rPr>
            <w:rStyle w:val="TextoNormalCaracter"/>
          </w:rPr>
          <w:t>79/2024</w:t>
        </w:r>
      </w:hyperlink>
      <w:r>
        <w:t>, f. 6.</w:t>
      </w:r>
    </w:p>
    <w:p w14:paraId="0E37F877" w14:textId="7A5E6885" w:rsidR="00601EEA" w:rsidRDefault="00601EEA" w:rsidP="00601EEA">
      <w:pPr>
        <w:pStyle w:val="SangriaFrancesaArticulo"/>
      </w:pPr>
      <w:r w:rsidRPr="00601EEA">
        <w:rPr>
          <w:rStyle w:val="TextoNormalNegritaCaracter"/>
        </w:rPr>
        <w:t>Artículo 19.2.</w:t>
      </w:r>
      <w:r w:rsidRPr="00601EEA">
        <w:rPr>
          <w:rStyle w:val="TextoNormalCaracter"/>
        </w:rPr>
        <w:t>-</w:t>
      </w:r>
      <w:r>
        <w:t xml:space="preserve"> Sentencia </w:t>
      </w:r>
      <w:hyperlink w:anchor="SENTENCIA_2024_79" w:history="1">
        <w:r w:rsidRPr="00601EEA">
          <w:rPr>
            <w:rStyle w:val="TextoNormalCaracter"/>
          </w:rPr>
          <w:t>79/2024</w:t>
        </w:r>
      </w:hyperlink>
      <w:r>
        <w:t>, f. 6.</w:t>
      </w:r>
    </w:p>
    <w:p w14:paraId="0C1D383D" w14:textId="21B56BA3" w:rsidR="00601EEA" w:rsidRDefault="00601EEA" w:rsidP="00601EEA">
      <w:pPr>
        <w:pStyle w:val="SangriaFrancesaArticulo"/>
      </w:pPr>
      <w:r w:rsidRPr="00601EEA">
        <w:rPr>
          <w:rStyle w:val="TextoNormalNegritaCaracter"/>
        </w:rPr>
        <w:t>Artículo 19.3.</w:t>
      </w:r>
      <w:r w:rsidRPr="00601EEA">
        <w:rPr>
          <w:rStyle w:val="TextoNormalCaracter"/>
        </w:rPr>
        <w:t>-</w:t>
      </w:r>
      <w:r>
        <w:t xml:space="preserve"> Sentencia </w:t>
      </w:r>
      <w:hyperlink w:anchor="SENTENCIA_2024_79" w:history="1">
        <w:r w:rsidRPr="00601EEA">
          <w:rPr>
            <w:rStyle w:val="TextoNormalCaracter"/>
          </w:rPr>
          <w:t>79/2024</w:t>
        </w:r>
      </w:hyperlink>
      <w:r>
        <w:t>, f. 6, VP.</w:t>
      </w:r>
    </w:p>
    <w:p w14:paraId="52F15720" w14:textId="5331D6B5" w:rsidR="00601EEA" w:rsidRDefault="00601EEA" w:rsidP="00601EEA">
      <w:pPr>
        <w:pStyle w:val="SangriaFrancesaArticulo"/>
      </w:pPr>
      <w:r w:rsidRPr="00601EEA">
        <w:rPr>
          <w:rStyle w:val="TextoNormalNegritaCaracter"/>
        </w:rPr>
        <w:t>Artículo 19.3 a partir del inciso "que incluirá, con respecto a las viviendas de titularidad del gran tenedor en la zona de mercado residencial tensionado, al menos, los siguientes datos".</w:t>
      </w:r>
      <w:r w:rsidRPr="00601EEA">
        <w:rPr>
          <w:rStyle w:val="TextoNormalCaracter"/>
        </w:rPr>
        <w:t>-</w:t>
      </w:r>
      <w:r>
        <w:t xml:space="preserve"> Sentencia </w:t>
      </w:r>
      <w:hyperlink w:anchor="SENTENCIA_2024_79" w:history="1">
        <w:r w:rsidRPr="00601EEA">
          <w:rPr>
            <w:rStyle w:val="TextoNormalCaracter"/>
          </w:rPr>
          <w:t>79/2024</w:t>
        </w:r>
      </w:hyperlink>
      <w:r>
        <w:t>, f. 6.</w:t>
      </w:r>
    </w:p>
    <w:p w14:paraId="2B460163" w14:textId="1F37EE36" w:rsidR="00601EEA" w:rsidRDefault="00601EEA" w:rsidP="00601EEA">
      <w:pPr>
        <w:pStyle w:val="SangriaFrancesaArticulo"/>
      </w:pPr>
      <w:r w:rsidRPr="00601EEA">
        <w:rPr>
          <w:rStyle w:val="TextoNormalNegritaCaracter"/>
        </w:rPr>
        <w:t>Artículo 19.3 a).</w:t>
      </w:r>
      <w:r w:rsidRPr="00601EEA">
        <w:rPr>
          <w:rStyle w:val="TextoNormalCaracter"/>
        </w:rPr>
        <w:t>-</w:t>
      </w:r>
      <w:r>
        <w:t xml:space="preserve"> Sentencia </w:t>
      </w:r>
      <w:hyperlink w:anchor="SENTENCIA_2024_79" w:history="1">
        <w:r w:rsidRPr="00601EEA">
          <w:rPr>
            <w:rStyle w:val="TextoNormalCaracter"/>
          </w:rPr>
          <w:t>79/2024</w:t>
        </w:r>
      </w:hyperlink>
      <w:r>
        <w:t>, f. 6.</w:t>
      </w:r>
    </w:p>
    <w:p w14:paraId="13D87C39" w14:textId="285F0F9F" w:rsidR="00601EEA" w:rsidRDefault="00601EEA" w:rsidP="00601EEA">
      <w:pPr>
        <w:pStyle w:val="SangriaFrancesaArticulo"/>
      </w:pPr>
      <w:r w:rsidRPr="00601EEA">
        <w:rPr>
          <w:rStyle w:val="TextoNormalNegritaCaracter"/>
        </w:rPr>
        <w:t>Artículo 19.3 b).</w:t>
      </w:r>
      <w:r w:rsidRPr="00601EEA">
        <w:rPr>
          <w:rStyle w:val="TextoNormalCaracter"/>
        </w:rPr>
        <w:t>-</w:t>
      </w:r>
      <w:r>
        <w:t xml:space="preserve"> Sentencia </w:t>
      </w:r>
      <w:hyperlink w:anchor="SENTENCIA_2024_79" w:history="1">
        <w:r w:rsidRPr="00601EEA">
          <w:rPr>
            <w:rStyle w:val="TextoNormalCaracter"/>
          </w:rPr>
          <w:t>79/2024</w:t>
        </w:r>
      </w:hyperlink>
      <w:r>
        <w:t>, f. 6.</w:t>
      </w:r>
    </w:p>
    <w:p w14:paraId="69AE0FD3" w14:textId="5C46CF5E" w:rsidR="00601EEA" w:rsidRDefault="00601EEA" w:rsidP="00601EEA">
      <w:pPr>
        <w:pStyle w:val="SangriaFrancesaArticulo"/>
      </w:pPr>
      <w:r w:rsidRPr="00601EEA">
        <w:rPr>
          <w:rStyle w:val="TextoNormalNegritaCaracter"/>
        </w:rPr>
        <w:t>Artículo 19.3 c).</w:t>
      </w:r>
      <w:r w:rsidRPr="00601EEA">
        <w:rPr>
          <w:rStyle w:val="TextoNormalCaracter"/>
        </w:rPr>
        <w:t>-</w:t>
      </w:r>
      <w:r>
        <w:t xml:space="preserve"> Sentencia </w:t>
      </w:r>
      <w:hyperlink w:anchor="SENTENCIA_2024_79" w:history="1">
        <w:r w:rsidRPr="00601EEA">
          <w:rPr>
            <w:rStyle w:val="TextoNormalCaracter"/>
          </w:rPr>
          <w:t>79/2024</w:t>
        </w:r>
      </w:hyperlink>
      <w:r>
        <w:t>, f. 6.</w:t>
      </w:r>
    </w:p>
    <w:p w14:paraId="5BF01ABA" w14:textId="5251E40D" w:rsidR="00601EEA" w:rsidRDefault="00601EEA" w:rsidP="00601EEA">
      <w:pPr>
        <w:pStyle w:val="SangriaFrancesaArticulo"/>
      </w:pPr>
      <w:r w:rsidRPr="00601EEA">
        <w:rPr>
          <w:rStyle w:val="TextoNormalNegritaCaracter"/>
        </w:rPr>
        <w:t>Artículo 19.4.</w:t>
      </w:r>
      <w:r w:rsidRPr="00601EEA">
        <w:rPr>
          <w:rStyle w:val="TextoNormalCaracter"/>
        </w:rPr>
        <w:t>-</w:t>
      </w:r>
      <w:r>
        <w:t xml:space="preserve"> Sentencia </w:t>
      </w:r>
      <w:hyperlink w:anchor="SENTENCIA_2024_79" w:history="1">
        <w:r w:rsidRPr="00601EEA">
          <w:rPr>
            <w:rStyle w:val="TextoNormalCaracter"/>
          </w:rPr>
          <w:t>79/2024</w:t>
        </w:r>
      </w:hyperlink>
      <w:r>
        <w:t>, f. 6.</w:t>
      </w:r>
    </w:p>
    <w:p w14:paraId="52550BD5" w14:textId="3E5A20C4" w:rsidR="00601EEA" w:rsidRDefault="00601EEA" w:rsidP="00601EEA">
      <w:pPr>
        <w:pStyle w:val="SangriaFrancesaArticulo"/>
      </w:pPr>
      <w:r w:rsidRPr="00601EEA">
        <w:rPr>
          <w:rStyle w:val="TextoNormalNegritaCaracter"/>
        </w:rPr>
        <w:t>Artículo 25.</w:t>
      </w:r>
      <w:r w:rsidRPr="00601EEA">
        <w:rPr>
          <w:rStyle w:val="TextoNormalCaracter"/>
        </w:rPr>
        <w:t>-</w:t>
      </w:r>
      <w:r>
        <w:t xml:space="preserve"> Sentencia </w:t>
      </w:r>
      <w:hyperlink w:anchor="SENTENCIA_2024_79" w:history="1">
        <w:r w:rsidRPr="00601EEA">
          <w:rPr>
            <w:rStyle w:val="TextoNormalCaracter"/>
          </w:rPr>
          <w:t>79/2024</w:t>
        </w:r>
      </w:hyperlink>
      <w:r>
        <w:t>, f. 7.</w:t>
      </w:r>
    </w:p>
    <w:p w14:paraId="7032AF8F" w14:textId="159DF454" w:rsidR="00601EEA" w:rsidRDefault="00601EEA" w:rsidP="00601EEA">
      <w:pPr>
        <w:pStyle w:val="SangriaFrancesaArticulo"/>
      </w:pPr>
      <w:r w:rsidRPr="00601EEA">
        <w:rPr>
          <w:rStyle w:val="TextoNormalNegritaCaracter"/>
        </w:rPr>
        <w:t>Artículo 27.</w:t>
      </w:r>
      <w:r w:rsidRPr="00601EEA">
        <w:rPr>
          <w:rStyle w:val="TextoNormalCaracter"/>
        </w:rPr>
        <w:t>-</w:t>
      </w:r>
      <w:r>
        <w:t xml:space="preserve"> Sentencia </w:t>
      </w:r>
      <w:hyperlink w:anchor="SENTENCIA_2024_79" w:history="1">
        <w:r w:rsidRPr="00601EEA">
          <w:rPr>
            <w:rStyle w:val="TextoNormalCaracter"/>
          </w:rPr>
          <w:t>79/2024</w:t>
        </w:r>
      </w:hyperlink>
      <w:r>
        <w:t>, f. 8, VP.</w:t>
      </w:r>
    </w:p>
    <w:p w14:paraId="25AB4FFA" w14:textId="43EB1607" w:rsidR="00601EEA" w:rsidRDefault="00601EEA" w:rsidP="00601EEA">
      <w:pPr>
        <w:pStyle w:val="SangriaFrancesaArticulo"/>
      </w:pPr>
      <w:r w:rsidRPr="00601EEA">
        <w:rPr>
          <w:rStyle w:val="TextoNormalNegritaCaracter"/>
        </w:rPr>
        <w:t>Artículo 27.1.</w:t>
      </w:r>
      <w:r w:rsidRPr="00601EEA">
        <w:rPr>
          <w:rStyle w:val="TextoNormalCaracter"/>
        </w:rPr>
        <w:t>-</w:t>
      </w:r>
      <w:r>
        <w:t xml:space="preserve"> Sentencia </w:t>
      </w:r>
      <w:hyperlink w:anchor="SENTENCIA_2024_79" w:history="1">
        <w:r w:rsidRPr="00601EEA">
          <w:rPr>
            <w:rStyle w:val="TextoNormalCaracter"/>
          </w:rPr>
          <w:t>79/2024</w:t>
        </w:r>
      </w:hyperlink>
      <w:r>
        <w:t>, VP.</w:t>
      </w:r>
    </w:p>
    <w:p w14:paraId="141272F0" w14:textId="352953E8" w:rsidR="00601EEA" w:rsidRDefault="00601EEA" w:rsidP="00601EEA">
      <w:pPr>
        <w:pStyle w:val="SangriaFrancesaArticulo"/>
      </w:pPr>
      <w:r w:rsidRPr="00601EEA">
        <w:rPr>
          <w:rStyle w:val="TextoNormalNegritaCaracter"/>
        </w:rPr>
        <w:t>Artículo 27.1, primer párrafo.</w:t>
      </w:r>
      <w:r w:rsidRPr="00601EEA">
        <w:rPr>
          <w:rStyle w:val="TextoNormalCaracter"/>
        </w:rPr>
        <w:t>-</w:t>
      </w:r>
      <w:r>
        <w:t xml:space="preserve"> Sentencia </w:t>
      </w:r>
      <w:hyperlink w:anchor="SENTENCIA_2024_79" w:history="1">
        <w:r w:rsidRPr="00601EEA">
          <w:rPr>
            <w:rStyle w:val="TextoNormalCaracter"/>
          </w:rPr>
          <w:t>79/2024</w:t>
        </w:r>
      </w:hyperlink>
      <w:r>
        <w:t>, ff. 4, 8.</w:t>
      </w:r>
    </w:p>
    <w:p w14:paraId="0E649AEC" w14:textId="0906AB1D" w:rsidR="00601EEA" w:rsidRDefault="00601EEA" w:rsidP="00601EEA">
      <w:pPr>
        <w:pStyle w:val="SangriaFrancesaArticulo"/>
      </w:pPr>
      <w:r w:rsidRPr="00601EEA">
        <w:rPr>
          <w:rStyle w:val="TextoNormalNegritaCaracter"/>
        </w:rPr>
        <w:t>Artículo 27.1, segundo párrafo.</w:t>
      </w:r>
      <w:r w:rsidRPr="00601EEA">
        <w:rPr>
          <w:rStyle w:val="TextoNormalCaracter"/>
        </w:rPr>
        <w:t>-</w:t>
      </w:r>
      <w:r>
        <w:t xml:space="preserve"> Sentencia </w:t>
      </w:r>
      <w:hyperlink w:anchor="SENTENCIA_2024_79" w:history="1">
        <w:r w:rsidRPr="00601EEA">
          <w:rPr>
            <w:rStyle w:val="TextoNormalCaracter"/>
          </w:rPr>
          <w:t>79/2024</w:t>
        </w:r>
      </w:hyperlink>
      <w:r>
        <w:t>, f. 8.</w:t>
      </w:r>
    </w:p>
    <w:p w14:paraId="3BD1F45B" w14:textId="2F837990" w:rsidR="00601EEA" w:rsidRDefault="00601EEA" w:rsidP="00601EEA">
      <w:pPr>
        <w:pStyle w:val="SangriaFrancesaArticulo"/>
      </w:pPr>
      <w:r w:rsidRPr="00601EEA">
        <w:rPr>
          <w:rStyle w:val="TextoNormalNegritaCaracter"/>
        </w:rPr>
        <w:t>Artículo 27.1, tercer párrafo.</w:t>
      </w:r>
      <w:r w:rsidRPr="00601EEA">
        <w:rPr>
          <w:rStyle w:val="TextoNormalCaracter"/>
        </w:rPr>
        <w:t>-</w:t>
      </w:r>
      <w:r>
        <w:t xml:space="preserve"> Sentencia </w:t>
      </w:r>
      <w:hyperlink w:anchor="SENTENCIA_2024_79" w:history="1">
        <w:r w:rsidRPr="00601EEA">
          <w:rPr>
            <w:rStyle w:val="TextoNormalCaracter"/>
          </w:rPr>
          <w:t>79/2024</w:t>
        </w:r>
      </w:hyperlink>
      <w:r>
        <w:t>, f. 8, VP.</w:t>
      </w:r>
    </w:p>
    <w:p w14:paraId="018F998F" w14:textId="1B50FE21" w:rsidR="00601EEA" w:rsidRDefault="00601EEA" w:rsidP="00601EEA">
      <w:pPr>
        <w:pStyle w:val="SangriaFrancesaArticulo"/>
      </w:pPr>
      <w:r w:rsidRPr="00601EEA">
        <w:rPr>
          <w:rStyle w:val="TextoNormalNegritaCaracter"/>
        </w:rPr>
        <w:t>Artículo 27.3.</w:t>
      </w:r>
      <w:r w:rsidRPr="00601EEA">
        <w:rPr>
          <w:rStyle w:val="TextoNormalCaracter"/>
        </w:rPr>
        <w:t>-</w:t>
      </w:r>
      <w:r>
        <w:t xml:space="preserve"> Sentencia </w:t>
      </w:r>
      <w:hyperlink w:anchor="SENTENCIA_2024_79" w:history="1">
        <w:r w:rsidRPr="00601EEA">
          <w:rPr>
            <w:rStyle w:val="TextoNormalCaracter"/>
          </w:rPr>
          <w:t>79/2024</w:t>
        </w:r>
      </w:hyperlink>
      <w:r>
        <w:t>, f. 8.</w:t>
      </w:r>
    </w:p>
    <w:p w14:paraId="0D8CE139" w14:textId="134DA38C" w:rsidR="00601EEA" w:rsidRDefault="00601EEA" w:rsidP="00601EEA">
      <w:pPr>
        <w:pStyle w:val="SangriaFrancesaArticulo"/>
      </w:pPr>
      <w:r w:rsidRPr="00601EEA">
        <w:rPr>
          <w:rStyle w:val="TextoNormalNegritaCaracter"/>
        </w:rPr>
        <w:t>Artículo 28.</w:t>
      </w:r>
      <w:r w:rsidRPr="00601EEA">
        <w:rPr>
          <w:rStyle w:val="TextoNormalCaracter"/>
        </w:rPr>
        <w:t>-</w:t>
      </w:r>
      <w:r>
        <w:t xml:space="preserve"> Sentencia </w:t>
      </w:r>
      <w:hyperlink w:anchor="SENTENCIA_2024_79" w:history="1">
        <w:r w:rsidRPr="00601EEA">
          <w:rPr>
            <w:rStyle w:val="TextoNormalCaracter"/>
          </w:rPr>
          <w:t>79/2024</w:t>
        </w:r>
      </w:hyperlink>
      <w:r>
        <w:t>, f. 8, VP.</w:t>
      </w:r>
    </w:p>
    <w:p w14:paraId="0074195D" w14:textId="0DB2308C" w:rsidR="00601EEA" w:rsidRDefault="00601EEA" w:rsidP="00601EEA">
      <w:pPr>
        <w:pStyle w:val="SangriaFrancesaArticulo"/>
      </w:pPr>
      <w:r w:rsidRPr="00601EEA">
        <w:rPr>
          <w:rStyle w:val="TextoNormalNegritaCaracter"/>
        </w:rPr>
        <w:t>Artículo 28.1.</w:t>
      </w:r>
      <w:r w:rsidRPr="00601EEA">
        <w:rPr>
          <w:rStyle w:val="TextoNormalCaracter"/>
        </w:rPr>
        <w:t>-</w:t>
      </w:r>
      <w:r>
        <w:t xml:space="preserve"> Sentencia </w:t>
      </w:r>
      <w:hyperlink w:anchor="SENTENCIA_2024_79" w:history="1">
        <w:r w:rsidRPr="00601EEA">
          <w:rPr>
            <w:rStyle w:val="TextoNormalCaracter"/>
          </w:rPr>
          <w:t>79/2024</w:t>
        </w:r>
      </w:hyperlink>
      <w:r>
        <w:t>, f. 8, VP.</w:t>
      </w:r>
    </w:p>
    <w:p w14:paraId="03F24EA8" w14:textId="128384BF" w:rsidR="00601EEA" w:rsidRDefault="00601EEA" w:rsidP="00601EEA">
      <w:pPr>
        <w:pStyle w:val="SangriaFrancesaArticulo"/>
      </w:pPr>
      <w:r w:rsidRPr="00601EEA">
        <w:rPr>
          <w:rStyle w:val="TextoNormalNegritaCaracter"/>
        </w:rPr>
        <w:t>Artículo 28.2.</w:t>
      </w:r>
      <w:r w:rsidRPr="00601EEA">
        <w:rPr>
          <w:rStyle w:val="TextoNormalCaracter"/>
        </w:rPr>
        <w:t>-</w:t>
      </w:r>
      <w:r>
        <w:t xml:space="preserve"> Sentencia </w:t>
      </w:r>
      <w:hyperlink w:anchor="SENTENCIA_2024_79" w:history="1">
        <w:r w:rsidRPr="00601EEA">
          <w:rPr>
            <w:rStyle w:val="TextoNormalCaracter"/>
          </w:rPr>
          <w:t>79/2024</w:t>
        </w:r>
      </w:hyperlink>
      <w:r>
        <w:t>, f. 8.</w:t>
      </w:r>
    </w:p>
    <w:p w14:paraId="1A05F909" w14:textId="6785DCC1" w:rsidR="00601EEA" w:rsidRDefault="00601EEA" w:rsidP="00601EEA">
      <w:pPr>
        <w:pStyle w:val="SangriaFrancesaArticulo"/>
      </w:pPr>
      <w:r w:rsidRPr="00601EEA">
        <w:rPr>
          <w:rStyle w:val="TextoNormalNegritaCaracter"/>
        </w:rPr>
        <w:t>Artículo 29.</w:t>
      </w:r>
      <w:r w:rsidRPr="00601EEA">
        <w:rPr>
          <w:rStyle w:val="TextoNormalCaracter"/>
        </w:rPr>
        <w:t>-</w:t>
      </w:r>
      <w:r>
        <w:t xml:space="preserve"> Sentencia </w:t>
      </w:r>
      <w:hyperlink w:anchor="SENTENCIA_2024_79" w:history="1">
        <w:r w:rsidRPr="00601EEA">
          <w:rPr>
            <w:rStyle w:val="TextoNormalCaracter"/>
          </w:rPr>
          <w:t>79/2024</w:t>
        </w:r>
      </w:hyperlink>
      <w:r>
        <w:t>, f. 8, VP.</w:t>
      </w:r>
    </w:p>
    <w:p w14:paraId="7294ED04" w14:textId="1C01A633" w:rsidR="00601EEA" w:rsidRDefault="00601EEA" w:rsidP="00601EEA">
      <w:pPr>
        <w:pStyle w:val="SangriaFrancesaArticulo"/>
      </w:pPr>
      <w:r w:rsidRPr="00601EEA">
        <w:rPr>
          <w:rStyle w:val="TextoNormalNegritaCaracter"/>
        </w:rPr>
        <w:t>Artículo 29.1.</w:t>
      </w:r>
      <w:r w:rsidRPr="00601EEA">
        <w:rPr>
          <w:rStyle w:val="TextoNormalCaracter"/>
        </w:rPr>
        <w:t>-</w:t>
      </w:r>
      <w:r>
        <w:t xml:space="preserve"> Sentencia </w:t>
      </w:r>
      <w:hyperlink w:anchor="SENTENCIA_2024_79" w:history="1">
        <w:r w:rsidRPr="00601EEA">
          <w:rPr>
            <w:rStyle w:val="TextoNormalCaracter"/>
          </w:rPr>
          <w:t>79/2024</w:t>
        </w:r>
      </w:hyperlink>
      <w:r>
        <w:t>, f. 8, VP.</w:t>
      </w:r>
    </w:p>
    <w:p w14:paraId="18F11108" w14:textId="448791DD" w:rsidR="00601EEA" w:rsidRDefault="00601EEA" w:rsidP="00601EEA">
      <w:pPr>
        <w:pStyle w:val="SangriaFrancesaArticulo"/>
      </w:pPr>
      <w:r w:rsidRPr="00601EEA">
        <w:rPr>
          <w:rStyle w:val="TextoNormalNegritaCaracter"/>
        </w:rPr>
        <w:t>Artículo 29.2.</w:t>
      </w:r>
      <w:r w:rsidRPr="00601EEA">
        <w:rPr>
          <w:rStyle w:val="TextoNormalCaracter"/>
        </w:rPr>
        <w:t>-</w:t>
      </w:r>
      <w:r>
        <w:t xml:space="preserve"> Sentencia </w:t>
      </w:r>
      <w:hyperlink w:anchor="SENTENCIA_2024_79" w:history="1">
        <w:r w:rsidRPr="00601EEA">
          <w:rPr>
            <w:rStyle w:val="TextoNormalCaracter"/>
          </w:rPr>
          <w:t>79/2024</w:t>
        </w:r>
      </w:hyperlink>
      <w:r>
        <w:t>, f. 8, VP.</w:t>
      </w:r>
    </w:p>
    <w:p w14:paraId="26FA6914" w14:textId="70007C43" w:rsidR="00601EEA" w:rsidRDefault="00601EEA" w:rsidP="00601EEA">
      <w:pPr>
        <w:pStyle w:val="SangriaFrancesaArticulo"/>
      </w:pPr>
      <w:r w:rsidRPr="00601EEA">
        <w:rPr>
          <w:rStyle w:val="TextoNormalNegritaCaracter"/>
        </w:rPr>
        <w:t>Artículo 29.3.</w:t>
      </w:r>
      <w:r w:rsidRPr="00601EEA">
        <w:rPr>
          <w:rStyle w:val="TextoNormalCaracter"/>
        </w:rPr>
        <w:t>-</w:t>
      </w:r>
      <w:r>
        <w:t xml:space="preserve"> Sentencia </w:t>
      </w:r>
      <w:hyperlink w:anchor="SENTENCIA_2024_79" w:history="1">
        <w:r w:rsidRPr="00601EEA">
          <w:rPr>
            <w:rStyle w:val="TextoNormalCaracter"/>
          </w:rPr>
          <w:t>79/2024</w:t>
        </w:r>
      </w:hyperlink>
      <w:r>
        <w:t>, f. 8, VP.</w:t>
      </w:r>
    </w:p>
    <w:p w14:paraId="7A297BF4" w14:textId="73F539A6" w:rsidR="00601EEA" w:rsidRDefault="00601EEA" w:rsidP="00601EEA">
      <w:pPr>
        <w:pStyle w:val="SangriaFrancesaArticulo"/>
      </w:pPr>
      <w:r w:rsidRPr="00601EEA">
        <w:rPr>
          <w:rStyle w:val="TextoNormalNegritaCaracter"/>
        </w:rPr>
        <w:t>Artículo 32.</w:t>
      </w:r>
      <w:r w:rsidRPr="00601EEA">
        <w:rPr>
          <w:rStyle w:val="TextoNormalCaracter"/>
        </w:rPr>
        <w:t>-</w:t>
      </w:r>
      <w:r>
        <w:t xml:space="preserve"> Sentencia </w:t>
      </w:r>
      <w:hyperlink w:anchor="SENTENCIA_2024_79" w:history="1">
        <w:r w:rsidRPr="00601EEA">
          <w:rPr>
            <w:rStyle w:val="TextoNormalCaracter"/>
          </w:rPr>
          <w:t>79/2024</w:t>
        </w:r>
      </w:hyperlink>
      <w:r>
        <w:t>, f. 2.</w:t>
      </w:r>
    </w:p>
    <w:p w14:paraId="432D95AD" w14:textId="7327E6A9" w:rsidR="00601EEA" w:rsidRDefault="00601EEA" w:rsidP="00601EEA">
      <w:pPr>
        <w:pStyle w:val="SangriaFrancesaArticulo"/>
      </w:pPr>
      <w:r w:rsidRPr="00601EEA">
        <w:rPr>
          <w:rStyle w:val="TextoNormalNegritaCaracter"/>
        </w:rPr>
        <w:t>Artículo 33.</w:t>
      </w:r>
      <w:r w:rsidRPr="00601EEA">
        <w:rPr>
          <w:rStyle w:val="TextoNormalCaracter"/>
        </w:rPr>
        <w:t>-</w:t>
      </w:r>
      <w:r>
        <w:t xml:space="preserve"> Sentencia </w:t>
      </w:r>
      <w:hyperlink w:anchor="SENTENCIA_2024_79" w:history="1">
        <w:r w:rsidRPr="00601EEA">
          <w:rPr>
            <w:rStyle w:val="TextoNormalCaracter"/>
          </w:rPr>
          <w:t>79/2024</w:t>
        </w:r>
      </w:hyperlink>
      <w:r>
        <w:t>, f. 2.</w:t>
      </w:r>
    </w:p>
    <w:p w14:paraId="5E58A8F1" w14:textId="6EF3BA76" w:rsidR="00601EEA" w:rsidRDefault="00601EEA" w:rsidP="00601EEA">
      <w:pPr>
        <w:pStyle w:val="SangriaFrancesaArticulo"/>
      </w:pPr>
      <w:r w:rsidRPr="00601EEA">
        <w:rPr>
          <w:rStyle w:val="TextoNormalNegritaCaracter"/>
        </w:rPr>
        <w:t>Artículo 34.</w:t>
      </w:r>
      <w:r w:rsidRPr="00601EEA">
        <w:rPr>
          <w:rStyle w:val="TextoNormalCaracter"/>
        </w:rPr>
        <w:t>-</w:t>
      </w:r>
      <w:r>
        <w:t xml:space="preserve"> Sentencia </w:t>
      </w:r>
      <w:hyperlink w:anchor="SENTENCIA_2024_79" w:history="1">
        <w:r w:rsidRPr="00601EEA">
          <w:rPr>
            <w:rStyle w:val="TextoNormalCaracter"/>
          </w:rPr>
          <w:t>79/2024</w:t>
        </w:r>
      </w:hyperlink>
      <w:r>
        <w:t>, f. 2.</w:t>
      </w:r>
    </w:p>
    <w:p w14:paraId="1A4BD8BE" w14:textId="59047032" w:rsidR="00601EEA" w:rsidRDefault="00601EEA" w:rsidP="00601EEA">
      <w:pPr>
        <w:pStyle w:val="SangriaFrancesaArticulo"/>
      </w:pPr>
      <w:r w:rsidRPr="00601EEA">
        <w:rPr>
          <w:rStyle w:val="TextoNormalNegritaCaracter"/>
        </w:rPr>
        <w:t>Artículo 35.</w:t>
      </w:r>
      <w:r w:rsidRPr="00601EEA">
        <w:rPr>
          <w:rStyle w:val="TextoNormalCaracter"/>
        </w:rPr>
        <w:t>-</w:t>
      </w:r>
      <w:r>
        <w:t xml:space="preserve"> Sentencia </w:t>
      </w:r>
      <w:hyperlink w:anchor="SENTENCIA_2024_79" w:history="1">
        <w:r w:rsidRPr="00601EEA">
          <w:rPr>
            <w:rStyle w:val="TextoNormalCaracter"/>
          </w:rPr>
          <w:t>79/2024</w:t>
        </w:r>
      </w:hyperlink>
      <w:r>
        <w:t>, f. 2.</w:t>
      </w:r>
    </w:p>
    <w:p w14:paraId="2C5008D7" w14:textId="30628508" w:rsidR="00601EEA" w:rsidRDefault="00601EEA" w:rsidP="00601EEA">
      <w:pPr>
        <w:pStyle w:val="SangriaFrancesaArticulo"/>
      </w:pPr>
      <w:r w:rsidRPr="00601EEA">
        <w:rPr>
          <w:rStyle w:val="TextoNormalNegritaCaracter"/>
        </w:rPr>
        <w:t>Artículo 36.</w:t>
      </w:r>
      <w:r w:rsidRPr="00601EEA">
        <w:rPr>
          <w:rStyle w:val="TextoNormalCaracter"/>
        </w:rPr>
        <w:t>-</w:t>
      </w:r>
      <w:r>
        <w:t xml:space="preserve"> Sentencia </w:t>
      </w:r>
      <w:hyperlink w:anchor="SENTENCIA_2024_79" w:history="1">
        <w:r w:rsidRPr="00601EEA">
          <w:rPr>
            <w:rStyle w:val="TextoNormalCaracter"/>
          </w:rPr>
          <w:t>79/2024</w:t>
        </w:r>
      </w:hyperlink>
      <w:r>
        <w:t>, f. 2.</w:t>
      </w:r>
    </w:p>
    <w:p w14:paraId="31C26A6F" w14:textId="463CFABD" w:rsidR="00601EEA" w:rsidRDefault="00601EEA" w:rsidP="00601EEA">
      <w:pPr>
        <w:pStyle w:val="SangriaFrancesaArticulo"/>
      </w:pPr>
      <w:r w:rsidRPr="00601EEA">
        <w:rPr>
          <w:rStyle w:val="TextoNormalNegritaCaracter"/>
        </w:rPr>
        <w:t>Disposición adicional primera.</w:t>
      </w:r>
      <w:r w:rsidRPr="00601EEA">
        <w:rPr>
          <w:rStyle w:val="TextoNormalCaracter"/>
        </w:rPr>
        <w:t>-</w:t>
      </w:r>
      <w:r>
        <w:t xml:space="preserve"> Sentencia </w:t>
      </w:r>
      <w:hyperlink w:anchor="SENTENCIA_2024_79" w:history="1">
        <w:r w:rsidRPr="00601EEA">
          <w:rPr>
            <w:rStyle w:val="TextoNormalCaracter"/>
          </w:rPr>
          <w:t>79/2024</w:t>
        </w:r>
      </w:hyperlink>
      <w:r>
        <w:t>, f. 9.</w:t>
      </w:r>
    </w:p>
    <w:p w14:paraId="27306173" w14:textId="38C40CBE" w:rsidR="00601EEA" w:rsidRDefault="00601EEA" w:rsidP="00601EEA">
      <w:pPr>
        <w:pStyle w:val="SangriaFrancesaArticulo"/>
      </w:pPr>
      <w:r w:rsidRPr="00601EEA">
        <w:rPr>
          <w:rStyle w:val="TextoNormalNegritaCaracter"/>
        </w:rPr>
        <w:t>Disposición adicional tercera.</w:t>
      </w:r>
      <w:r w:rsidRPr="00601EEA">
        <w:rPr>
          <w:rStyle w:val="TextoNormalCaracter"/>
        </w:rPr>
        <w:t>-</w:t>
      </w:r>
      <w:r>
        <w:t xml:space="preserve"> Sentencia </w:t>
      </w:r>
      <w:hyperlink w:anchor="SENTENCIA_2024_79" w:history="1">
        <w:r w:rsidRPr="00601EEA">
          <w:rPr>
            <w:rStyle w:val="TextoNormalCaracter"/>
          </w:rPr>
          <w:t>79/2024</w:t>
        </w:r>
      </w:hyperlink>
      <w:r>
        <w:t>, f. 5.</w:t>
      </w:r>
    </w:p>
    <w:p w14:paraId="4D03E22D" w14:textId="5DD4DA7C" w:rsidR="00601EEA" w:rsidRDefault="00601EEA" w:rsidP="00601EEA">
      <w:pPr>
        <w:pStyle w:val="SangriaFrancesaArticulo"/>
      </w:pPr>
      <w:r w:rsidRPr="00601EEA">
        <w:rPr>
          <w:rStyle w:val="TextoNormalNegritaCaracter"/>
        </w:rPr>
        <w:t>Disposición transitoria primera.</w:t>
      </w:r>
      <w:r w:rsidRPr="00601EEA">
        <w:rPr>
          <w:rStyle w:val="TextoNormalCaracter"/>
        </w:rPr>
        <w:t>-</w:t>
      </w:r>
      <w:r>
        <w:t xml:space="preserve"> Sentencia </w:t>
      </w:r>
      <w:hyperlink w:anchor="SENTENCIA_2024_79" w:history="1">
        <w:r w:rsidRPr="00601EEA">
          <w:rPr>
            <w:rStyle w:val="TextoNormalCaracter"/>
          </w:rPr>
          <w:t>79/2024</w:t>
        </w:r>
      </w:hyperlink>
      <w:r>
        <w:t>, f. 7, VP.</w:t>
      </w:r>
    </w:p>
    <w:p w14:paraId="632CB5B1" w14:textId="1CBE8B19" w:rsidR="00601EEA" w:rsidRDefault="00601EEA" w:rsidP="00601EEA">
      <w:pPr>
        <w:pStyle w:val="SangriaFrancesaArticulo"/>
      </w:pPr>
      <w:r w:rsidRPr="00601EEA">
        <w:rPr>
          <w:rStyle w:val="TextoNormalNegritaCaracter"/>
        </w:rPr>
        <w:t>Disposición transitoria primera, primer párrafo.</w:t>
      </w:r>
      <w:r w:rsidRPr="00601EEA">
        <w:rPr>
          <w:rStyle w:val="TextoNormalCaracter"/>
        </w:rPr>
        <w:t>-</w:t>
      </w:r>
      <w:r>
        <w:t xml:space="preserve"> Sentencia </w:t>
      </w:r>
      <w:hyperlink w:anchor="SENTENCIA_2024_79" w:history="1">
        <w:r w:rsidRPr="00601EEA">
          <w:rPr>
            <w:rStyle w:val="TextoNormalCaracter"/>
          </w:rPr>
          <w:t>79/2024</w:t>
        </w:r>
      </w:hyperlink>
      <w:r>
        <w:t>, f. 7.</w:t>
      </w:r>
    </w:p>
    <w:p w14:paraId="3C8A814B" w14:textId="39816DB7" w:rsidR="00601EEA" w:rsidRDefault="00601EEA" w:rsidP="00601EEA">
      <w:pPr>
        <w:pStyle w:val="SangriaFrancesaArticulo"/>
      </w:pPr>
      <w:r w:rsidRPr="00601EEA">
        <w:rPr>
          <w:rStyle w:val="TextoNormalNegritaCaracter"/>
        </w:rPr>
        <w:t>Disposición transitoria primera, segundo párrafo.</w:t>
      </w:r>
      <w:r w:rsidRPr="00601EEA">
        <w:rPr>
          <w:rStyle w:val="TextoNormalCaracter"/>
        </w:rPr>
        <w:t>-</w:t>
      </w:r>
      <w:r>
        <w:t xml:space="preserve"> Sentencia </w:t>
      </w:r>
      <w:hyperlink w:anchor="SENTENCIA_2024_79" w:history="1">
        <w:r w:rsidRPr="00601EEA">
          <w:rPr>
            <w:rStyle w:val="TextoNormalCaracter"/>
          </w:rPr>
          <w:t>79/2024</w:t>
        </w:r>
      </w:hyperlink>
      <w:r>
        <w:t>, f. 7.</w:t>
      </w:r>
    </w:p>
    <w:p w14:paraId="482CE0F1" w14:textId="0BF9030E" w:rsidR="00601EEA" w:rsidRDefault="00601EEA" w:rsidP="00601EEA">
      <w:pPr>
        <w:pStyle w:val="SangriaFrancesaArticulo"/>
      </w:pPr>
      <w:r w:rsidRPr="00601EEA">
        <w:rPr>
          <w:rStyle w:val="TextoNormalNegritaCaracter"/>
        </w:rPr>
        <w:t>Disposición transitoria tercera.</w:t>
      </w:r>
      <w:r w:rsidRPr="00601EEA">
        <w:rPr>
          <w:rStyle w:val="TextoNormalCaracter"/>
        </w:rPr>
        <w:t>-</w:t>
      </w:r>
      <w:r>
        <w:t xml:space="preserve"> Sentencias </w:t>
      </w:r>
      <w:hyperlink w:anchor="SENTENCIA_2024_7" w:history="1">
        <w:r w:rsidRPr="00601EEA">
          <w:rPr>
            <w:rStyle w:val="TextoNormalCaracter"/>
          </w:rPr>
          <w:t>7/2024</w:t>
        </w:r>
      </w:hyperlink>
      <w:r>
        <w:t xml:space="preserve">, VP; </w:t>
      </w:r>
      <w:hyperlink w:anchor="SENTENCIA_2024_79" w:history="1">
        <w:r w:rsidRPr="00601EEA">
          <w:rPr>
            <w:rStyle w:val="TextoNormalCaracter"/>
          </w:rPr>
          <w:t>79/2024</w:t>
        </w:r>
      </w:hyperlink>
      <w:r>
        <w:t>, f. 2.</w:t>
      </w:r>
    </w:p>
    <w:p w14:paraId="7855D332" w14:textId="143D03B2" w:rsidR="00601EEA" w:rsidRDefault="00601EEA" w:rsidP="00601EEA">
      <w:pPr>
        <w:pStyle w:val="SangriaFrancesaArticulo"/>
      </w:pPr>
      <w:r w:rsidRPr="00601EEA">
        <w:rPr>
          <w:rStyle w:val="TextoNormalNegritaCaracter"/>
        </w:rPr>
        <w:lastRenderedPageBreak/>
        <w:t>Disposición final primera.</w:t>
      </w:r>
      <w:r w:rsidRPr="00601EEA">
        <w:rPr>
          <w:rStyle w:val="TextoNormalCaracter"/>
        </w:rPr>
        <w:t>-</w:t>
      </w:r>
      <w:r>
        <w:t xml:space="preserve"> Sentencia </w:t>
      </w:r>
      <w:hyperlink w:anchor="SENTENCIA_2024_79" w:history="1">
        <w:r w:rsidRPr="00601EEA">
          <w:rPr>
            <w:rStyle w:val="TextoNormalCaracter"/>
          </w:rPr>
          <w:t>79/2024</w:t>
        </w:r>
      </w:hyperlink>
      <w:r>
        <w:t>, f. 3, VP.</w:t>
      </w:r>
    </w:p>
    <w:p w14:paraId="1F0DB91D" w14:textId="4D3F5E26" w:rsidR="00601EEA" w:rsidRDefault="00601EEA" w:rsidP="00601EEA">
      <w:pPr>
        <w:pStyle w:val="SangriaFrancesaArticulo"/>
      </w:pPr>
      <w:r w:rsidRPr="00601EEA">
        <w:rPr>
          <w:rStyle w:val="TextoNormalNegritaCaracter"/>
        </w:rPr>
        <w:t>Disposición final primera, apartado 1.</w:t>
      </w:r>
      <w:r w:rsidRPr="00601EEA">
        <w:rPr>
          <w:rStyle w:val="TextoNormalCaracter"/>
        </w:rPr>
        <w:t>-</w:t>
      </w:r>
      <w:r>
        <w:t xml:space="preserve"> Sentencia </w:t>
      </w:r>
      <w:hyperlink w:anchor="SENTENCIA_2024_79" w:history="1">
        <w:r w:rsidRPr="00601EEA">
          <w:rPr>
            <w:rStyle w:val="TextoNormalCaracter"/>
          </w:rPr>
          <w:t>79/2024</w:t>
        </w:r>
      </w:hyperlink>
      <w:r>
        <w:t>, f. 9.</w:t>
      </w:r>
    </w:p>
    <w:p w14:paraId="7BE34B9E" w14:textId="7DD2484C" w:rsidR="00601EEA" w:rsidRDefault="00601EEA" w:rsidP="00601EEA">
      <w:pPr>
        <w:pStyle w:val="SangriaFrancesaArticulo"/>
      </w:pPr>
      <w:r w:rsidRPr="00601EEA">
        <w:rPr>
          <w:rStyle w:val="TextoNormalNegritaCaracter"/>
        </w:rPr>
        <w:t>Disposición final primera, apartado 3.</w:t>
      </w:r>
      <w:r w:rsidRPr="00601EEA">
        <w:rPr>
          <w:rStyle w:val="TextoNormalCaracter"/>
        </w:rPr>
        <w:t>-</w:t>
      </w:r>
      <w:r>
        <w:t xml:space="preserve"> Sentencia </w:t>
      </w:r>
      <w:hyperlink w:anchor="SENTENCIA_2024_79" w:history="1">
        <w:r w:rsidRPr="00601EEA">
          <w:rPr>
            <w:rStyle w:val="TextoNormalCaracter"/>
          </w:rPr>
          <w:t>79/2024</w:t>
        </w:r>
      </w:hyperlink>
      <w:r>
        <w:t>, f. 9.</w:t>
      </w:r>
    </w:p>
    <w:p w14:paraId="050C82D0" w14:textId="0C532820" w:rsidR="00601EEA" w:rsidRDefault="00601EEA" w:rsidP="00601EEA">
      <w:pPr>
        <w:pStyle w:val="SangriaFrancesaArticulo"/>
      </w:pPr>
      <w:r w:rsidRPr="00601EEA">
        <w:rPr>
          <w:rStyle w:val="TextoNormalNegritaCaracter"/>
        </w:rPr>
        <w:t>Disposición final primera, apartado 6.</w:t>
      </w:r>
      <w:r w:rsidRPr="00601EEA">
        <w:rPr>
          <w:rStyle w:val="TextoNormalCaracter"/>
        </w:rPr>
        <w:t>-</w:t>
      </w:r>
      <w:r>
        <w:t xml:space="preserve"> Sentencia </w:t>
      </w:r>
      <w:hyperlink w:anchor="SENTENCIA_2024_79" w:history="1">
        <w:r w:rsidRPr="00601EEA">
          <w:rPr>
            <w:rStyle w:val="TextoNormalCaracter"/>
          </w:rPr>
          <w:t>79/2024</w:t>
        </w:r>
      </w:hyperlink>
      <w:r>
        <w:t>, f. 9.</w:t>
      </w:r>
    </w:p>
    <w:p w14:paraId="79728D3A" w14:textId="019C070B" w:rsidR="00601EEA" w:rsidRDefault="00601EEA" w:rsidP="00601EEA">
      <w:pPr>
        <w:pStyle w:val="SangriaFrancesaArticulo"/>
      </w:pPr>
      <w:r w:rsidRPr="00601EEA">
        <w:rPr>
          <w:rStyle w:val="TextoNormalNegritaCaracter"/>
        </w:rPr>
        <w:t>Disposición final segunda.</w:t>
      </w:r>
      <w:r w:rsidRPr="00601EEA">
        <w:rPr>
          <w:rStyle w:val="TextoNormalCaracter"/>
        </w:rPr>
        <w:t>-</w:t>
      </w:r>
      <w:r>
        <w:t xml:space="preserve"> Sentencia </w:t>
      </w:r>
      <w:hyperlink w:anchor="SENTENCIA_2024_79" w:history="1">
        <w:r w:rsidRPr="00601EEA">
          <w:rPr>
            <w:rStyle w:val="TextoNormalCaracter"/>
          </w:rPr>
          <w:t>79/2024</w:t>
        </w:r>
      </w:hyperlink>
      <w:r>
        <w:t>, ff. 5, 7.</w:t>
      </w:r>
    </w:p>
    <w:p w14:paraId="1B6B5926" w14:textId="73CB8CBE" w:rsidR="00601EEA" w:rsidRDefault="00601EEA" w:rsidP="00601EEA">
      <w:pPr>
        <w:pStyle w:val="SangriaFrancesaArticulo"/>
      </w:pPr>
      <w:r w:rsidRPr="00601EEA">
        <w:rPr>
          <w:rStyle w:val="TextoNormalNegritaCaracter"/>
        </w:rPr>
        <w:t>Disposición final cuarta.</w:t>
      </w:r>
      <w:r w:rsidRPr="00601EEA">
        <w:rPr>
          <w:rStyle w:val="TextoNormalCaracter"/>
        </w:rPr>
        <w:t>-</w:t>
      </w:r>
      <w:r>
        <w:t xml:space="preserve"> Sentencia </w:t>
      </w:r>
      <w:hyperlink w:anchor="SENTENCIA_2024_79" w:history="1">
        <w:r w:rsidRPr="00601EEA">
          <w:rPr>
            <w:rStyle w:val="TextoNormalCaracter"/>
          </w:rPr>
          <w:t>79/2024</w:t>
        </w:r>
      </w:hyperlink>
      <w:r>
        <w:t>, ff. 2, 7, VP.</w:t>
      </w:r>
    </w:p>
    <w:p w14:paraId="7E64D374" w14:textId="21B6D383" w:rsidR="00601EEA" w:rsidRDefault="00601EEA" w:rsidP="00601EEA">
      <w:pPr>
        <w:pStyle w:val="SangriaFrancesaArticulo"/>
      </w:pPr>
      <w:r w:rsidRPr="00601EEA">
        <w:rPr>
          <w:rStyle w:val="TextoNormalNegritaCaracter"/>
        </w:rPr>
        <w:t>Disposición final quinta.</w:t>
      </w:r>
      <w:r w:rsidRPr="00601EEA">
        <w:rPr>
          <w:rStyle w:val="TextoNormalCaracter"/>
        </w:rPr>
        <w:t>-</w:t>
      </w:r>
      <w:r>
        <w:t xml:space="preserve"> Sentencia </w:t>
      </w:r>
      <w:hyperlink w:anchor="SENTENCIA_2024_79" w:history="1">
        <w:r w:rsidRPr="00601EEA">
          <w:rPr>
            <w:rStyle w:val="TextoNormalCaracter"/>
          </w:rPr>
          <w:t>79/2024</w:t>
        </w:r>
      </w:hyperlink>
      <w:r>
        <w:t>, f. 6.</w:t>
      </w:r>
    </w:p>
    <w:p w14:paraId="4E77F446" w14:textId="33E50962" w:rsidR="00601EEA" w:rsidRDefault="00601EEA" w:rsidP="00601EEA">
      <w:pPr>
        <w:pStyle w:val="SangriaFrancesaArticulo"/>
      </w:pPr>
      <w:r w:rsidRPr="00601EEA">
        <w:rPr>
          <w:rStyle w:val="TextoNormalNegritaCaracter"/>
        </w:rPr>
        <w:t>Disposición final sexta.</w:t>
      </w:r>
      <w:r w:rsidRPr="00601EEA">
        <w:rPr>
          <w:rStyle w:val="TextoNormalCaracter"/>
        </w:rPr>
        <w:t>-</w:t>
      </w:r>
      <w:r>
        <w:t xml:space="preserve"> Sentencia </w:t>
      </w:r>
      <w:hyperlink w:anchor="SENTENCIA_2024_79" w:history="1">
        <w:r w:rsidRPr="00601EEA">
          <w:rPr>
            <w:rStyle w:val="TextoNormalCaracter"/>
          </w:rPr>
          <w:t>79/2024</w:t>
        </w:r>
      </w:hyperlink>
      <w:r>
        <w:t>, f. 6.</w:t>
      </w:r>
    </w:p>
    <w:p w14:paraId="7101598E" w14:textId="271E4D8A" w:rsidR="00601EEA" w:rsidRDefault="00601EEA" w:rsidP="00601EEA">
      <w:pPr>
        <w:pStyle w:val="SangriaFrancesaArticulo"/>
      </w:pPr>
      <w:r w:rsidRPr="00601EEA">
        <w:rPr>
          <w:rStyle w:val="TextoNormalNegritaCaracter"/>
        </w:rPr>
        <w:t>Disposición final séptima.</w:t>
      </w:r>
      <w:r w:rsidRPr="00601EEA">
        <w:rPr>
          <w:rStyle w:val="TextoNormalCaracter"/>
        </w:rPr>
        <w:t>-</w:t>
      </w:r>
      <w:r>
        <w:t xml:space="preserve"> Sentencia </w:t>
      </w:r>
      <w:hyperlink w:anchor="SENTENCIA_2024_79" w:history="1">
        <w:r w:rsidRPr="00601EEA">
          <w:rPr>
            <w:rStyle w:val="TextoNormalCaracter"/>
          </w:rPr>
          <w:t>79/2024</w:t>
        </w:r>
      </w:hyperlink>
      <w:r>
        <w:t>, f. 3, VP.</w:t>
      </w:r>
    </w:p>
    <w:p w14:paraId="16EAE25D" w14:textId="4BFAD670" w:rsidR="00601EEA" w:rsidRDefault="00601EEA" w:rsidP="00601EEA">
      <w:pPr>
        <w:pStyle w:val="TextoNormal"/>
      </w:pPr>
    </w:p>
    <w:p w14:paraId="73A70055" w14:textId="77777777" w:rsidR="00601EEA" w:rsidRDefault="00601EEA" w:rsidP="00601EEA">
      <w:pPr>
        <w:pStyle w:val="SangriaFrancesaArticulo"/>
      </w:pPr>
      <w:bookmarkStart w:id="166" w:name="INDICE22847"/>
    </w:p>
    <w:bookmarkEnd w:id="166"/>
    <w:p w14:paraId="31BB90B1" w14:textId="77777777" w:rsidR="00601EEA" w:rsidRDefault="00601EEA" w:rsidP="00601EEA">
      <w:pPr>
        <w:pStyle w:val="TextoIndiceNivel2"/>
        <w:suppressAutoHyphens/>
      </w:pPr>
      <w:r>
        <w:t>F) Reales Decretos Legislativos</w:t>
      </w:r>
    </w:p>
    <w:p w14:paraId="28E18187" w14:textId="6E32E657" w:rsidR="00601EEA" w:rsidRDefault="00601EEA" w:rsidP="00601EEA">
      <w:pPr>
        <w:pStyle w:val="TextoIndiceNivel2"/>
      </w:pPr>
    </w:p>
    <w:p w14:paraId="1854BCCA" w14:textId="77777777" w:rsidR="00601EEA" w:rsidRDefault="00601EEA" w:rsidP="00601EEA">
      <w:pPr>
        <w:pStyle w:val="TextoNormalNegritaCursivandice"/>
        <w:keepNext/>
      </w:pPr>
      <w:r>
        <w:t>Real Decreto Legislativo 1/2001, de 20 de julio, por el que se aprueba el texto refundido de la Ley de aguas</w:t>
      </w:r>
    </w:p>
    <w:p w14:paraId="63880427" w14:textId="35E9282F" w:rsidR="00601EEA" w:rsidRDefault="00601EEA" w:rsidP="00601EEA">
      <w:pPr>
        <w:pStyle w:val="SangriaFrancesaArticulo"/>
      </w:pPr>
      <w:r w:rsidRPr="00601EEA">
        <w:rPr>
          <w:rStyle w:val="TextoNormalNegritaCaracter"/>
        </w:rPr>
        <w:t>Artículo 16 bis.</w:t>
      </w:r>
      <w:r w:rsidRPr="00601EEA">
        <w:rPr>
          <w:rStyle w:val="TextoNormalCaracter"/>
        </w:rPr>
        <w:t>-</w:t>
      </w:r>
      <w:r>
        <w:t xml:space="preserve"> Sentencia </w:t>
      </w:r>
      <w:hyperlink w:anchor="SENTENCIA_2024_68" w:history="1">
        <w:r w:rsidRPr="00601EEA">
          <w:rPr>
            <w:rStyle w:val="TextoNormalCaracter"/>
          </w:rPr>
          <w:t>68/2024</w:t>
        </w:r>
      </w:hyperlink>
      <w:r>
        <w:t>, f. 9.</w:t>
      </w:r>
    </w:p>
    <w:p w14:paraId="48A0FAC0" w14:textId="09F51402" w:rsidR="00601EEA" w:rsidRDefault="00601EEA" w:rsidP="00601EEA">
      <w:pPr>
        <w:pStyle w:val="SangriaFrancesaArticulo"/>
      </w:pPr>
      <w:r w:rsidRPr="00601EEA">
        <w:rPr>
          <w:rStyle w:val="TextoNormalNegritaCaracter"/>
        </w:rPr>
        <w:t>Artículo 16 bis, apartado 1.</w:t>
      </w:r>
      <w:r w:rsidRPr="00601EEA">
        <w:rPr>
          <w:rStyle w:val="TextoNormalCaracter"/>
        </w:rPr>
        <w:t>-</w:t>
      </w:r>
      <w:r>
        <w:t xml:space="preserve"> Sentencia </w:t>
      </w:r>
      <w:hyperlink w:anchor="SENTENCIA_2024_68" w:history="1">
        <w:r w:rsidRPr="00601EEA">
          <w:rPr>
            <w:rStyle w:val="TextoNormalCaracter"/>
          </w:rPr>
          <w:t>68/2024</w:t>
        </w:r>
      </w:hyperlink>
      <w:r>
        <w:t>, f. 9.</w:t>
      </w:r>
    </w:p>
    <w:p w14:paraId="33C5FF96" w14:textId="4DEAED5D" w:rsidR="00601EEA" w:rsidRDefault="00601EEA" w:rsidP="00601EEA">
      <w:pPr>
        <w:pStyle w:val="SangriaFrancesaArticulo"/>
      </w:pPr>
    </w:p>
    <w:p w14:paraId="1EFCCBA5" w14:textId="77777777" w:rsidR="00601EEA" w:rsidRDefault="00601EEA" w:rsidP="00601EEA">
      <w:pPr>
        <w:pStyle w:val="TextoNormalNegritaCursivandice"/>
        <w:keepNext/>
      </w:pPr>
      <w:r>
        <w:t>Real Decreto Legislativo 1/2004, de 5 de marzo, por el que se aprueba el texto refundido de la Ley del catastro inmobiliario</w:t>
      </w:r>
    </w:p>
    <w:p w14:paraId="26684FE8" w14:textId="61CB4AD5"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79" w:history="1">
        <w:r w:rsidRPr="00601EEA">
          <w:rPr>
            <w:rStyle w:val="TextoNormalCaracter"/>
          </w:rPr>
          <w:t>79/2024</w:t>
        </w:r>
      </w:hyperlink>
      <w:r>
        <w:t>, f. 5.</w:t>
      </w:r>
    </w:p>
    <w:p w14:paraId="759084C0" w14:textId="4441ABCA" w:rsidR="00601EEA" w:rsidRDefault="00601EEA" w:rsidP="00601EEA">
      <w:pPr>
        <w:pStyle w:val="SangriaFrancesaArticulo"/>
      </w:pPr>
    </w:p>
    <w:p w14:paraId="7F970368" w14:textId="77777777" w:rsidR="00601EEA" w:rsidRDefault="00601EEA" w:rsidP="00601EEA">
      <w:pPr>
        <w:pStyle w:val="TextoNormalNegritaCursivandice"/>
        <w:keepNext/>
      </w:pPr>
      <w:r>
        <w:t>Real Decreto Legislativo 2/2004, de 5 de marzo, por el que se aprueba el texto refundido de la Ley reguladora de las haciendas locales</w:t>
      </w:r>
    </w:p>
    <w:p w14:paraId="6052D93E" w14:textId="66730B79" w:rsidR="00601EEA" w:rsidRDefault="00601EEA" w:rsidP="00601EEA">
      <w:pPr>
        <w:pStyle w:val="SangriaFrancesaArticulo"/>
      </w:pPr>
      <w:r w:rsidRPr="00601EEA">
        <w:rPr>
          <w:rStyle w:val="TextoNormalNegritaCaracter"/>
        </w:rPr>
        <w:t>En general.</w:t>
      </w:r>
      <w:r w:rsidRPr="00601EEA">
        <w:rPr>
          <w:rStyle w:val="TextoNormalCaracter"/>
        </w:rPr>
        <w:t>-</w:t>
      </w:r>
      <w:r>
        <w:t xml:space="preserve"> Auto </w:t>
      </w:r>
      <w:hyperlink w:anchor="AUTO_2024_58" w:history="1">
        <w:r w:rsidRPr="00601EEA">
          <w:rPr>
            <w:rStyle w:val="TextoNormalCaracter"/>
          </w:rPr>
          <w:t>58/2024</w:t>
        </w:r>
      </w:hyperlink>
      <w:r>
        <w:t>, f. 1.</w:t>
      </w:r>
    </w:p>
    <w:p w14:paraId="4FA6A558" w14:textId="3E4135DE" w:rsidR="00601EEA" w:rsidRDefault="00601EEA" w:rsidP="00601EEA">
      <w:pPr>
        <w:pStyle w:val="SangriaFrancesaArticulo"/>
      </w:pPr>
      <w:r w:rsidRPr="00601EEA">
        <w:rPr>
          <w:rStyle w:val="TextoNormalNegritaCaracter"/>
        </w:rPr>
        <w:t>Artículo 107.</w:t>
      </w:r>
      <w:r w:rsidRPr="00601EEA">
        <w:rPr>
          <w:rStyle w:val="TextoNormalCaracter"/>
        </w:rPr>
        <w:t>-</w:t>
      </w:r>
      <w:r>
        <w:t xml:space="preserve"> Sentencia </w:t>
      </w:r>
      <w:hyperlink w:anchor="SENTENCIA_2024_46" w:history="1">
        <w:r w:rsidRPr="00601EEA">
          <w:rPr>
            <w:rStyle w:val="TextoNormalCaracter"/>
          </w:rPr>
          <w:t>46/2024</w:t>
        </w:r>
      </w:hyperlink>
      <w:r>
        <w:t>, f. 3.</w:t>
      </w:r>
    </w:p>
    <w:p w14:paraId="051F4792" w14:textId="32BAAA83" w:rsidR="00601EEA" w:rsidRDefault="00601EEA" w:rsidP="00601EEA">
      <w:pPr>
        <w:pStyle w:val="SangriaFrancesaArticulo"/>
      </w:pPr>
      <w:r w:rsidRPr="00601EEA">
        <w:rPr>
          <w:rStyle w:val="TextoNormalNegritaCaracter"/>
        </w:rPr>
        <w:t>Artículo 107.1.</w:t>
      </w:r>
      <w:r w:rsidRPr="00601EEA">
        <w:rPr>
          <w:rStyle w:val="TextoNormalCaracter"/>
        </w:rPr>
        <w:t>-</w:t>
      </w:r>
      <w:r>
        <w:t xml:space="preserve"> Sentencia </w:t>
      </w:r>
      <w:hyperlink w:anchor="SENTENCIA_2024_46" w:history="1">
        <w:r w:rsidRPr="00601EEA">
          <w:rPr>
            <w:rStyle w:val="TextoNormalCaracter"/>
          </w:rPr>
          <w:t>46/2024</w:t>
        </w:r>
      </w:hyperlink>
      <w:r>
        <w:t>, f. 3.</w:t>
      </w:r>
    </w:p>
    <w:p w14:paraId="5CF8A6CD" w14:textId="0C962DEA" w:rsidR="00601EEA" w:rsidRDefault="00601EEA" w:rsidP="00601EEA">
      <w:pPr>
        <w:pStyle w:val="SangriaFrancesaArticulo"/>
      </w:pPr>
      <w:r w:rsidRPr="00601EEA">
        <w:rPr>
          <w:rStyle w:val="TextoNormalNegritaCaracter"/>
        </w:rPr>
        <w:t>Artículo 107.2 a).</w:t>
      </w:r>
      <w:r w:rsidRPr="00601EEA">
        <w:rPr>
          <w:rStyle w:val="TextoNormalCaracter"/>
        </w:rPr>
        <w:t>-</w:t>
      </w:r>
      <w:r>
        <w:t xml:space="preserve"> Sentencia </w:t>
      </w:r>
      <w:hyperlink w:anchor="SENTENCIA_2024_46" w:history="1">
        <w:r w:rsidRPr="00601EEA">
          <w:rPr>
            <w:rStyle w:val="TextoNormalCaracter"/>
          </w:rPr>
          <w:t>46/2024</w:t>
        </w:r>
      </w:hyperlink>
      <w:r>
        <w:t>, f. 3.</w:t>
      </w:r>
    </w:p>
    <w:p w14:paraId="147C8455" w14:textId="3B056134" w:rsidR="00601EEA" w:rsidRDefault="00601EEA" w:rsidP="00601EEA">
      <w:pPr>
        <w:pStyle w:val="SangriaFrancesaArticulo"/>
      </w:pPr>
      <w:r w:rsidRPr="00601EEA">
        <w:rPr>
          <w:rStyle w:val="TextoNormalNegritaCaracter"/>
        </w:rPr>
        <w:t>Artículo 107.4.</w:t>
      </w:r>
      <w:r w:rsidRPr="00601EEA">
        <w:rPr>
          <w:rStyle w:val="TextoNormalCaracter"/>
        </w:rPr>
        <w:t>-</w:t>
      </w:r>
      <w:r>
        <w:t xml:space="preserve"> Sentencia </w:t>
      </w:r>
      <w:hyperlink w:anchor="SENTENCIA_2024_46" w:history="1">
        <w:r w:rsidRPr="00601EEA">
          <w:rPr>
            <w:rStyle w:val="TextoNormalCaracter"/>
          </w:rPr>
          <w:t>46/2024</w:t>
        </w:r>
      </w:hyperlink>
      <w:r>
        <w:t>, f. 3.</w:t>
      </w:r>
    </w:p>
    <w:p w14:paraId="653B60A9" w14:textId="31F80FA2" w:rsidR="00601EEA" w:rsidRDefault="00601EEA" w:rsidP="00601EEA">
      <w:pPr>
        <w:pStyle w:val="SangriaFrancesaArticulo"/>
      </w:pPr>
    </w:p>
    <w:p w14:paraId="1D067D06" w14:textId="77777777" w:rsidR="00601EEA" w:rsidRDefault="00601EEA" w:rsidP="00601EEA">
      <w:pPr>
        <w:pStyle w:val="TextoNormalNegritaCursivandice"/>
        <w:keepNext/>
      </w:pPr>
      <w:r>
        <w:t>Real Decreto Legislativo 1/2007, de 16 de noviembre, por el que se aprueba el texto refundido de la Ley general para la defensa de los consumidores y usuarios y otras leyes complementarias</w:t>
      </w:r>
    </w:p>
    <w:p w14:paraId="754CD853" w14:textId="6CBF7943" w:rsidR="00601EEA" w:rsidRDefault="00601EEA" w:rsidP="00601EEA">
      <w:pPr>
        <w:pStyle w:val="SangriaFrancesaArticulo"/>
      </w:pPr>
      <w:r w:rsidRPr="00601EEA">
        <w:rPr>
          <w:rStyle w:val="TextoNormalNegritaCaracter"/>
        </w:rPr>
        <w:t>Artículo 8.1 b).</w:t>
      </w:r>
      <w:r w:rsidRPr="00601EEA">
        <w:rPr>
          <w:rStyle w:val="TextoNormalCaracter"/>
        </w:rPr>
        <w:t>-</w:t>
      </w:r>
      <w:r>
        <w:t xml:space="preserve"> Sentencia </w:t>
      </w:r>
      <w:hyperlink w:anchor="SENTENCIA_2024_54" w:history="1">
        <w:r w:rsidRPr="00601EEA">
          <w:rPr>
            <w:rStyle w:val="TextoNormalCaracter"/>
          </w:rPr>
          <w:t>54/2024</w:t>
        </w:r>
      </w:hyperlink>
      <w:r>
        <w:t>, f. 3.</w:t>
      </w:r>
    </w:p>
    <w:p w14:paraId="1BB03B66" w14:textId="712B74DD" w:rsidR="00601EEA" w:rsidRDefault="00601EEA" w:rsidP="00601EEA">
      <w:pPr>
        <w:pStyle w:val="SangriaFrancesaArticulo"/>
      </w:pPr>
      <w:r w:rsidRPr="00601EEA">
        <w:rPr>
          <w:rStyle w:val="TextoNormalNegritaCaracter"/>
        </w:rPr>
        <w:t>Artículo 8.1 c).</w:t>
      </w:r>
      <w:r w:rsidRPr="00601EEA">
        <w:rPr>
          <w:rStyle w:val="TextoNormalCaracter"/>
        </w:rPr>
        <w:t>-</w:t>
      </w:r>
      <w:r>
        <w:t xml:space="preserve"> Sentencia </w:t>
      </w:r>
      <w:hyperlink w:anchor="SENTENCIA_2024_54" w:history="1">
        <w:r w:rsidRPr="00601EEA">
          <w:rPr>
            <w:rStyle w:val="TextoNormalCaracter"/>
          </w:rPr>
          <w:t>54/2024</w:t>
        </w:r>
      </w:hyperlink>
      <w:r>
        <w:t>, f. 3.</w:t>
      </w:r>
    </w:p>
    <w:p w14:paraId="30182A1E" w14:textId="203475A1" w:rsidR="00601EEA" w:rsidRDefault="00601EEA" w:rsidP="00601EEA">
      <w:pPr>
        <w:pStyle w:val="SangriaFrancesaArticulo"/>
      </w:pPr>
      <w:r w:rsidRPr="00601EEA">
        <w:rPr>
          <w:rStyle w:val="TextoNormalNegritaCaracter"/>
        </w:rPr>
        <w:t>Artículo 83.</w:t>
      </w:r>
      <w:r w:rsidRPr="00601EEA">
        <w:rPr>
          <w:rStyle w:val="TextoNormalCaracter"/>
        </w:rPr>
        <w:t>-</w:t>
      </w:r>
      <w:r>
        <w:t xml:space="preserve"> Sentencia </w:t>
      </w:r>
      <w:hyperlink w:anchor="SENTENCIA_2024_54" w:history="1">
        <w:r w:rsidRPr="00601EEA">
          <w:rPr>
            <w:rStyle w:val="TextoNormalCaracter"/>
          </w:rPr>
          <w:t>54/2024</w:t>
        </w:r>
      </w:hyperlink>
      <w:r>
        <w:t>, f. 3.</w:t>
      </w:r>
    </w:p>
    <w:p w14:paraId="4E36513E" w14:textId="14D7A66C" w:rsidR="00601EEA" w:rsidRDefault="00601EEA" w:rsidP="00601EEA">
      <w:pPr>
        <w:pStyle w:val="SangriaFrancesaArticulo"/>
      </w:pPr>
    </w:p>
    <w:p w14:paraId="32155B5E" w14:textId="77777777" w:rsidR="00601EEA" w:rsidRDefault="00601EEA" w:rsidP="00601EEA">
      <w:pPr>
        <w:pStyle w:val="TextoNormalNegritaCursivandice"/>
        <w:keepNext/>
      </w:pPr>
      <w:r>
        <w:t>Real Decreto Legislativo 2/2008, de 20 de junio, por el que se aprueba el texto refundido de la Ley de suelo</w:t>
      </w:r>
    </w:p>
    <w:p w14:paraId="433E1D2E" w14:textId="154DF329"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79" w:history="1">
        <w:r w:rsidRPr="00601EEA">
          <w:rPr>
            <w:rStyle w:val="TextoNormalCaracter"/>
          </w:rPr>
          <w:t>79/2024</w:t>
        </w:r>
      </w:hyperlink>
      <w:r>
        <w:t>, f. 8.</w:t>
      </w:r>
    </w:p>
    <w:p w14:paraId="7B873762" w14:textId="560813D4" w:rsidR="00601EEA" w:rsidRDefault="00601EEA" w:rsidP="00601EEA">
      <w:pPr>
        <w:pStyle w:val="SangriaFrancesaArticulo"/>
      </w:pPr>
      <w:r w:rsidRPr="00601EEA">
        <w:rPr>
          <w:rStyle w:val="TextoNormalNegritaCaracter"/>
        </w:rPr>
        <w:t>Artículo 10.1 a).</w:t>
      </w:r>
      <w:r w:rsidRPr="00601EEA">
        <w:rPr>
          <w:rStyle w:val="TextoNormalCaracter"/>
        </w:rPr>
        <w:t>-</w:t>
      </w:r>
      <w:r>
        <w:t xml:space="preserve"> Sentencia </w:t>
      </w:r>
      <w:hyperlink w:anchor="SENTENCIA_2024_25" w:history="1">
        <w:r w:rsidRPr="00601EEA">
          <w:rPr>
            <w:rStyle w:val="TextoNormalCaracter"/>
          </w:rPr>
          <w:t>25/2024</w:t>
        </w:r>
      </w:hyperlink>
      <w:r>
        <w:t>, f. 6.</w:t>
      </w:r>
    </w:p>
    <w:p w14:paraId="52C6385A" w14:textId="196CBC79" w:rsidR="00601EEA" w:rsidRDefault="00601EEA" w:rsidP="00601EEA">
      <w:pPr>
        <w:pStyle w:val="SangriaFrancesaArticulo"/>
      </w:pPr>
    </w:p>
    <w:p w14:paraId="31C391A4" w14:textId="77777777" w:rsidR="00601EEA" w:rsidRDefault="00601EEA" w:rsidP="00601EEA">
      <w:pPr>
        <w:pStyle w:val="TextoNormalNegritaCursivandice"/>
        <w:keepNext/>
      </w:pPr>
      <w:r>
        <w:t>Real Decreto Legislativo 6/2015, de 30 de octubre, por el que se aprueba el texto refundido de la Ley sobre tráfico, circulación de vehículos a motor y seguridad vial</w:t>
      </w:r>
    </w:p>
    <w:p w14:paraId="0C7C6CBE" w14:textId="1B998711" w:rsidR="00601EEA" w:rsidRDefault="00601EEA" w:rsidP="00601EEA">
      <w:pPr>
        <w:pStyle w:val="SangriaFrancesaArticulo"/>
      </w:pPr>
      <w:r w:rsidRPr="00601EEA">
        <w:rPr>
          <w:rStyle w:val="TextoNormalNegritaCaracter"/>
        </w:rPr>
        <w:t>Artículo 14.2.</w:t>
      </w:r>
      <w:r w:rsidRPr="00601EEA">
        <w:rPr>
          <w:rStyle w:val="TextoNormalCaracter"/>
        </w:rPr>
        <w:t>-</w:t>
      </w:r>
      <w:r>
        <w:t xml:space="preserve"> Sentencia </w:t>
      </w:r>
      <w:hyperlink w:anchor="SENTENCIA_2024_40" w:history="1">
        <w:r w:rsidRPr="00601EEA">
          <w:rPr>
            <w:rStyle w:val="TextoNormalCaracter"/>
          </w:rPr>
          <w:t>40/2024</w:t>
        </w:r>
      </w:hyperlink>
      <w:r>
        <w:t>, f. 4.</w:t>
      </w:r>
    </w:p>
    <w:p w14:paraId="5F419AE3" w14:textId="75498445" w:rsidR="00601EEA" w:rsidRDefault="00601EEA" w:rsidP="00601EEA">
      <w:pPr>
        <w:pStyle w:val="SangriaFrancesaArticulo"/>
      </w:pPr>
      <w:r w:rsidRPr="00601EEA">
        <w:rPr>
          <w:rStyle w:val="TextoNormalNegritaCaracter"/>
        </w:rPr>
        <w:lastRenderedPageBreak/>
        <w:t>Artículo 14.4.</w:t>
      </w:r>
      <w:r w:rsidRPr="00601EEA">
        <w:rPr>
          <w:rStyle w:val="TextoNormalCaracter"/>
        </w:rPr>
        <w:t>-</w:t>
      </w:r>
      <w:r>
        <w:t xml:space="preserve"> Sentencia </w:t>
      </w:r>
      <w:hyperlink w:anchor="SENTENCIA_2024_40" w:history="1">
        <w:r w:rsidRPr="00601EEA">
          <w:rPr>
            <w:rStyle w:val="TextoNormalCaracter"/>
          </w:rPr>
          <w:t>40/2024</w:t>
        </w:r>
      </w:hyperlink>
      <w:r>
        <w:t>, f. 4.</w:t>
      </w:r>
    </w:p>
    <w:p w14:paraId="6F7C4322" w14:textId="0D285495" w:rsidR="00601EEA" w:rsidRDefault="00601EEA" w:rsidP="00601EEA">
      <w:pPr>
        <w:pStyle w:val="SangriaFrancesaArticulo"/>
      </w:pPr>
    </w:p>
    <w:p w14:paraId="1FC5CCEC" w14:textId="77777777" w:rsidR="00601EEA" w:rsidRDefault="00601EEA" w:rsidP="00601EEA">
      <w:pPr>
        <w:pStyle w:val="TextoNormalNegritaCursivandice"/>
        <w:keepNext/>
      </w:pPr>
      <w:r>
        <w:t>Real Decreto Legislativo 7/2015, de 30 de octubre, por el que se aprueba el texto refundido de la Ley de suelo y rehabilitación urbana</w:t>
      </w:r>
    </w:p>
    <w:p w14:paraId="0CD33A8F" w14:textId="2876916E"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79" w:history="1">
        <w:r w:rsidRPr="00601EEA">
          <w:rPr>
            <w:rStyle w:val="TextoNormalCaracter"/>
          </w:rPr>
          <w:t>79/2024</w:t>
        </w:r>
      </w:hyperlink>
      <w:r>
        <w:t>, ff. 5, 7.</w:t>
      </w:r>
    </w:p>
    <w:p w14:paraId="3B387DC1" w14:textId="65A1CFBA" w:rsidR="00601EEA" w:rsidRDefault="00601EEA" w:rsidP="00601EEA">
      <w:pPr>
        <w:pStyle w:val="SangriaFrancesaArticulo"/>
      </w:pPr>
      <w:r w:rsidRPr="00601EEA">
        <w:rPr>
          <w:rStyle w:val="TextoNormalNegritaCaracter"/>
        </w:rPr>
        <w:t>Artículo 5.</w:t>
      </w:r>
      <w:r w:rsidRPr="00601EEA">
        <w:rPr>
          <w:rStyle w:val="TextoNormalCaracter"/>
        </w:rPr>
        <w:t>-</w:t>
      </w:r>
      <w:r>
        <w:t xml:space="preserve"> Sentencia </w:t>
      </w:r>
      <w:hyperlink w:anchor="SENTENCIA_2024_79" w:history="1">
        <w:r w:rsidRPr="00601EEA">
          <w:rPr>
            <w:rStyle w:val="TextoNormalCaracter"/>
          </w:rPr>
          <w:t>79/2024</w:t>
        </w:r>
      </w:hyperlink>
      <w:r>
        <w:t>, f. 4.</w:t>
      </w:r>
    </w:p>
    <w:p w14:paraId="1987A429" w14:textId="15701873" w:rsidR="00601EEA" w:rsidRDefault="00601EEA" w:rsidP="00601EEA">
      <w:pPr>
        <w:pStyle w:val="SangriaFrancesaArticulo"/>
      </w:pPr>
      <w:r w:rsidRPr="00601EEA">
        <w:rPr>
          <w:rStyle w:val="TextoNormalNegritaCaracter"/>
        </w:rPr>
        <w:t>Artículo 5 a).</w:t>
      </w:r>
      <w:r w:rsidRPr="00601EEA">
        <w:rPr>
          <w:rStyle w:val="TextoNormalCaracter"/>
        </w:rPr>
        <w:t>-</w:t>
      </w:r>
      <w:r>
        <w:t xml:space="preserve"> Sentencia </w:t>
      </w:r>
      <w:hyperlink w:anchor="SENTENCIA_2024_79" w:history="1">
        <w:r w:rsidRPr="00601EEA">
          <w:rPr>
            <w:rStyle w:val="TextoNormalCaracter"/>
          </w:rPr>
          <w:t>79/2024</w:t>
        </w:r>
      </w:hyperlink>
      <w:r>
        <w:t>, f. 4.</w:t>
      </w:r>
    </w:p>
    <w:p w14:paraId="06B79DCF" w14:textId="3B2B9D8C" w:rsidR="00601EEA" w:rsidRDefault="00601EEA" w:rsidP="00601EEA">
      <w:pPr>
        <w:pStyle w:val="SangriaFrancesaArticulo"/>
      </w:pPr>
      <w:r w:rsidRPr="00601EEA">
        <w:rPr>
          <w:rStyle w:val="TextoNormalNegritaCaracter"/>
        </w:rPr>
        <w:t>Artículo 7.</w:t>
      </w:r>
      <w:r w:rsidRPr="00601EEA">
        <w:rPr>
          <w:rStyle w:val="TextoNormalCaracter"/>
        </w:rPr>
        <w:t>-</w:t>
      </w:r>
      <w:r>
        <w:t xml:space="preserve"> Sentencia </w:t>
      </w:r>
      <w:hyperlink w:anchor="SENTENCIA_2024_25" w:history="1">
        <w:r w:rsidRPr="00601EEA">
          <w:rPr>
            <w:rStyle w:val="TextoNormalCaracter"/>
          </w:rPr>
          <w:t>25/2024</w:t>
        </w:r>
      </w:hyperlink>
      <w:r>
        <w:t>, f. 6.</w:t>
      </w:r>
    </w:p>
    <w:p w14:paraId="2E76336F" w14:textId="37EEE956" w:rsidR="00601EEA" w:rsidRDefault="00601EEA" w:rsidP="00601EEA">
      <w:pPr>
        <w:pStyle w:val="SangriaFrancesaArticulo"/>
      </w:pPr>
      <w:r w:rsidRPr="00601EEA">
        <w:rPr>
          <w:rStyle w:val="TextoNormalNegritaCaracter"/>
        </w:rPr>
        <w:t>Artículos 7 a 19.</w:t>
      </w:r>
      <w:r w:rsidRPr="00601EEA">
        <w:rPr>
          <w:rStyle w:val="TextoNormalCaracter"/>
        </w:rPr>
        <w:t>-</w:t>
      </w:r>
      <w:r>
        <w:t xml:space="preserve"> Sentencia </w:t>
      </w:r>
      <w:hyperlink w:anchor="SENTENCIA_2024_79" w:history="1">
        <w:r w:rsidRPr="00601EEA">
          <w:rPr>
            <w:rStyle w:val="TextoNormalCaracter"/>
          </w:rPr>
          <w:t>79/2024</w:t>
        </w:r>
      </w:hyperlink>
      <w:r>
        <w:t>, VP.</w:t>
      </w:r>
    </w:p>
    <w:p w14:paraId="0AEB0C51" w14:textId="3CF9189B" w:rsidR="00601EEA" w:rsidRDefault="00601EEA" w:rsidP="00601EEA">
      <w:pPr>
        <w:pStyle w:val="SangriaFrancesaArticulo"/>
      </w:pPr>
      <w:r w:rsidRPr="00601EEA">
        <w:rPr>
          <w:rStyle w:val="TextoNormalNegritaCaracter"/>
        </w:rPr>
        <w:t>Artículo 11.4 a).</w:t>
      </w:r>
      <w:r w:rsidRPr="00601EEA">
        <w:rPr>
          <w:rStyle w:val="TextoNormalCaracter"/>
        </w:rPr>
        <w:t>-</w:t>
      </w:r>
      <w:r>
        <w:t xml:space="preserve"> Sentencia </w:t>
      </w:r>
      <w:hyperlink w:anchor="SENTENCIA_2024_25" w:history="1">
        <w:r w:rsidRPr="00601EEA">
          <w:rPr>
            <w:rStyle w:val="TextoNormalCaracter"/>
          </w:rPr>
          <w:t>25/2024</w:t>
        </w:r>
      </w:hyperlink>
      <w:r>
        <w:t>, ff. 1, 10.</w:t>
      </w:r>
    </w:p>
    <w:p w14:paraId="2751CCCE" w14:textId="09418169" w:rsidR="00601EEA" w:rsidRDefault="00601EEA" w:rsidP="00601EEA">
      <w:pPr>
        <w:pStyle w:val="SangriaFrancesaArticulo"/>
      </w:pPr>
      <w:r w:rsidRPr="00601EEA">
        <w:rPr>
          <w:rStyle w:val="TextoNormalNegritaCaracter"/>
        </w:rPr>
        <w:t>Artículo 13.1.</w:t>
      </w:r>
      <w:r w:rsidRPr="00601EEA">
        <w:rPr>
          <w:rStyle w:val="TextoNormalCaracter"/>
        </w:rPr>
        <w:t>-</w:t>
      </w:r>
      <w:r>
        <w:t xml:space="preserve"> Sentencia </w:t>
      </w:r>
      <w:hyperlink w:anchor="SENTENCIA_2024_25" w:history="1">
        <w:r w:rsidRPr="00601EEA">
          <w:rPr>
            <w:rStyle w:val="TextoNormalCaracter"/>
          </w:rPr>
          <w:t>25/2024</w:t>
        </w:r>
      </w:hyperlink>
      <w:r>
        <w:t>, ff. 1, 5 a 7.</w:t>
      </w:r>
    </w:p>
    <w:p w14:paraId="6C0AA016" w14:textId="4F7FB704" w:rsidR="00601EEA" w:rsidRDefault="00601EEA" w:rsidP="00601EEA">
      <w:pPr>
        <w:pStyle w:val="SangriaFrancesaArticulo"/>
      </w:pPr>
      <w:r w:rsidRPr="00601EEA">
        <w:rPr>
          <w:rStyle w:val="TextoNormalNegritaCaracter"/>
        </w:rPr>
        <w:t>Artículo 18.</w:t>
      </w:r>
      <w:r w:rsidRPr="00601EEA">
        <w:rPr>
          <w:rStyle w:val="TextoNormalCaracter"/>
        </w:rPr>
        <w:t>-</w:t>
      </w:r>
      <w:r>
        <w:t xml:space="preserve"> Sentencia </w:t>
      </w:r>
      <w:hyperlink w:anchor="SENTENCIA_2024_79" w:history="1">
        <w:r w:rsidRPr="00601EEA">
          <w:rPr>
            <w:rStyle w:val="TextoNormalCaracter"/>
          </w:rPr>
          <w:t>79/2024</w:t>
        </w:r>
      </w:hyperlink>
      <w:r>
        <w:t>, f. 5.</w:t>
      </w:r>
    </w:p>
    <w:p w14:paraId="5EABE71E" w14:textId="1DA37381" w:rsidR="00601EEA" w:rsidRDefault="00601EEA" w:rsidP="00601EEA">
      <w:pPr>
        <w:pStyle w:val="SangriaFrancesaArticulo"/>
      </w:pPr>
      <w:r w:rsidRPr="00601EEA">
        <w:rPr>
          <w:rStyle w:val="TextoNormalNegritaCaracter"/>
        </w:rPr>
        <w:t>Artículo 18.1 b).</w:t>
      </w:r>
      <w:r w:rsidRPr="00601EEA">
        <w:rPr>
          <w:rStyle w:val="TextoNormalCaracter"/>
        </w:rPr>
        <w:t>-</w:t>
      </w:r>
      <w:r>
        <w:t xml:space="preserve"> Sentencia </w:t>
      </w:r>
      <w:hyperlink w:anchor="SENTENCIA_2024_79" w:history="1">
        <w:r w:rsidRPr="00601EEA">
          <w:rPr>
            <w:rStyle w:val="TextoNormalCaracter"/>
          </w:rPr>
          <w:t>79/2024</w:t>
        </w:r>
      </w:hyperlink>
      <w:r>
        <w:t>, f. 5.</w:t>
      </w:r>
    </w:p>
    <w:p w14:paraId="58711A45" w14:textId="2AF8D9EE" w:rsidR="00601EEA" w:rsidRDefault="00601EEA" w:rsidP="00601EEA">
      <w:pPr>
        <w:pStyle w:val="SangriaFrancesaArticulo"/>
      </w:pPr>
      <w:r w:rsidRPr="00601EEA">
        <w:rPr>
          <w:rStyle w:val="TextoNormalNegritaCaracter"/>
        </w:rPr>
        <w:t>Artículo 20.1 b).</w:t>
      </w:r>
      <w:r w:rsidRPr="00601EEA">
        <w:rPr>
          <w:rStyle w:val="TextoNormalCaracter"/>
        </w:rPr>
        <w:t>-</w:t>
      </w:r>
      <w:r>
        <w:t xml:space="preserve"> Sentencia </w:t>
      </w:r>
      <w:hyperlink w:anchor="SENTENCIA_2024_79" w:history="1">
        <w:r w:rsidRPr="00601EEA">
          <w:rPr>
            <w:rStyle w:val="TextoNormalCaracter"/>
          </w:rPr>
          <w:t>79/2024</w:t>
        </w:r>
      </w:hyperlink>
      <w:r>
        <w:t>, ff. 5, 7.</w:t>
      </w:r>
    </w:p>
    <w:p w14:paraId="5F452C97" w14:textId="1616DEDF" w:rsidR="00601EEA" w:rsidRDefault="00601EEA" w:rsidP="00601EEA">
      <w:pPr>
        <w:pStyle w:val="SangriaFrancesaArticulo"/>
      </w:pPr>
      <w:r w:rsidRPr="00601EEA">
        <w:rPr>
          <w:rStyle w:val="TextoNormalNegritaCaracter"/>
        </w:rPr>
        <w:t>Artículo 51.2.</w:t>
      </w:r>
      <w:r w:rsidRPr="00601EEA">
        <w:rPr>
          <w:rStyle w:val="TextoNormalCaracter"/>
        </w:rPr>
        <w:t>-</w:t>
      </w:r>
      <w:r>
        <w:t xml:space="preserve"> Sentencia </w:t>
      </w:r>
      <w:hyperlink w:anchor="SENTENCIA_2024_79" w:history="1">
        <w:r w:rsidRPr="00601EEA">
          <w:rPr>
            <w:rStyle w:val="TextoNormalCaracter"/>
          </w:rPr>
          <w:t>79/2024</w:t>
        </w:r>
      </w:hyperlink>
      <w:r>
        <w:t>, f. 8.</w:t>
      </w:r>
    </w:p>
    <w:p w14:paraId="3E639742" w14:textId="0D0C3713" w:rsidR="00601EEA" w:rsidRDefault="00601EEA" w:rsidP="00601EEA">
      <w:pPr>
        <w:pStyle w:val="SangriaFrancesaArticulo"/>
      </w:pPr>
      <w:r w:rsidRPr="00601EEA">
        <w:rPr>
          <w:rStyle w:val="TextoNormalNegritaCaracter"/>
        </w:rPr>
        <w:t>Disposición final segunda.</w:t>
      </w:r>
      <w:r w:rsidRPr="00601EEA">
        <w:rPr>
          <w:rStyle w:val="TextoNormalCaracter"/>
        </w:rPr>
        <w:t>-</w:t>
      </w:r>
      <w:r>
        <w:t xml:space="preserve"> Sentencia </w:t>
      </w:r>
      <w:hyperlink w:anchor="SENTENCIA_2024_25" w:history="1">
        <w:r w:rsidRPr="00601EEA">
          <w:rPr>
            <w:rStyle w:val="TextoNormalCaracter"/>
          </w:rPr>
          <w:t>25/2024</w:t>
        </w:r>
      </w:hyperlink>
      <w:r>
        <w:t>, f. 6.</w:t>
      </w:r>
    </w:p>
    <w:p w14:paraId="31AFC43E" w14:textId="3F0859A3" w:rsidR="00601EEA" w:rsidRDefault="00601EEA" w:rsidP="00601EEA">
      <w:pPr>
        <w:pStyle w:val="SangriaFrancesaArticulo"/>
      </w:pPr>
    </w:p>
    <w:p w14:paraId="3EC07AA5" w14:textId="77777777" w:rsidR="00601EEA" w:rsidRDefault="00601EEA" w:rsidP="00601EEA">
      <w:pPr>
        <w:pStyle w:val="TextoNormalNegritaCursivandice"/>
        <w:keepNext/>
      </w:pPr>
      <w:r>
        <w:t>Real Decreto Legislativo 8/2015, de 30 de octubre, por el que se aprueba el texto refundido de la Ley general de la Seguridad Social</w:t>
      </w:r>
    </w:p>
    <w:p w14:paraId="6DA6418A" w14:textId="0C1608D8" w:rsidR="00601EEA" w:rsidRDefault="00601EEA" w:rsidP="00601EEA">
      <w:pPr>
        <w:pStyle w:val="SangriaFrancesaArticulo"/>
      </w:pPr>
      <w:r w:rsidRPr="00601EEA">
        <w:rPr>
          <w:rStyle w:val="TextoNormalNegritaCaracter"/>
        </w:rPr>
        <w:t>Artículo 21.1.</w:t>
      </w:r>
      <w:r w:rsidRPr="00601EEA">
        <w:rPr>
          <w:rStyle w:val="TextoNormalCaracter"/>
        </w:rPr>
        <w:t>-</w:t>
      </w:r>
      <w:r>
        <w:t xml:space="preserve"> Sentencia </w:t>
      </w:r>
      <w:hyperlink w:anchor="SENTENCIA_2024_19" w:history="1">
        <w:r w:rsidRPr="00601EEA">
          <w:rPr>
            <w:rStyle w:val="TextoNormalCaracter"/>
          </w:rPr>
          <w:t>19/2024</w:t>
        </w:r>
      </w:hyperlink>
      <w:r>
        <w:t>, f. 4.</w:t>
      </w:r>
    </w:p>
    <w:p w14:paraId="12B94F5C" w14:textId="250B7F47" w:rsidR="00601EEA" w:rsidRDefault="00601EEA" w:rsidP="00601EEA">
      <w:pPr>
        <w:pStyle w:val="SangriaFrancesaArticulo"/>
      </w:pPr>
      <w:r w:rsidRPr="00601EEA">
        <w:rPr>
          <w:rStyle w:val="TextoNormalNegritaCaracter"/>
        </w:rPr>
        <w:t>Artículo 60.</w:t>
      </w:r>
      <w:r w:rsidRPr="00601EEA">
        <w:rPr>
          <w:rStyle w:val="TextoNormalCaracter"/>
        </w:rPr>
        <w:t>-</w:t>
      </w:r>
      <w:r>
        <w:t xml:space="preserve"> Auto </w:t>
      </w:r>
      <w:hyperlink w:anchor="AUTO_2024_30" w:history="1">
        <w:r w:rsidRPr="00601EEA">
          <w:rPr>
            <w:rStyle w:val="TextoNormalCaracter"/>
          </w:rPr>
          <w:t>30/2024</w:t>
        </w:r>
      </w:hyperlink>
      <w:r>
        <w:t>, f. 3.</w:t>
      </w:r>
    </w:p>
    <w:p w14:paraId="79FB0566" w14:textId="0E7ED238" w:rsidR="00601EEA" w:rsidRDefault="00601EEA" w:rsidP="00601EEA">
      <w:pPr>
        <w:pStyle w:val="SangriaFrancesaArticulo"/>
      </w:pPr>
      <w:r w:rsidRPr="00601EEA">
        <w:rPr>
          <w:rStyle w:val="TextoNormalNegritaCaracter"/>
        </w:rPr>
        <w:t>Artículo 60.1</w:t>
      </w:r>
      <w:r>
        <w:t xml:space="preserve"> (redactado por el Real Decreto-ley 2/2023, de 16 de marzo)</w:t>
      </w:r>
      <w:r w:rsidRPr="00601EEA">
        <w:rPr>
          <w:rStyle w:val="TextoNormalNegritaCaracter"/>
        </w:rPr>
        <w:t>.</w:t>
      </w:r>
      <w:r w:rsidRPr="00601EEA">
        <w:rPr>
          <w:rStyle w:val="TextoNormalCaracter"/>
        </w:rPr>
        <w:t>-</w:t>
      </w:r>
      <w:r>
        <w:t xml:space="preserve"> Auto </w:t>
      </w:r>
      <w:hyperlink w:anchor="AUTO_2024_30" w:history="1">
        <w:r w:rsidRPr="00601EEA">
          <w:rPr>
            <w:rStyle w:val="TextoNormalCaracter"/>
          </w:rPr>
          <w:t>30/2024</w:t>
        </w:r>
      </w:hyperlink>
      <w:r>
        <w:t>, ff. 1, 3, 4.</w:t>
      </w:r>
    </w:p>
    <w:p w14:paraId="7CED1DFD" w14:textId="707A933B" w:rsidR="00601EEA" w:rsidRDefault="00601EEA" w:rsidP="00601EEA">
      <w:pPr>
        <w:pStyle w:val="SangriaFrancesaArticulo"/>
      </w:pPr>
      <w:r w:rsidRPr="00601EEA">
        <w:rPr>
          <w:rStyle w:val="TextoNormalNegritaCaracter"/>
        </w:rPr>
        <w:t>Artículo 60.1</w:t>
      </w:r>
      <w:r>
        <w:t xml:space="preserve"> (redactado por el Real Decreto-ley 3/2021, de 2 de febrero)</w:t>
      </w:r>
      <w:r w:rsidRPr="00601EEA">
        <w:rPr>
          <w:rStyle w:val="TextoNormalNegritaCaracter"/>
        </w:rPr>
        <w:t>.</w:t>
      </w:r>
      <w:r w:rsidRPr="00601EEA">
        <w:rPr>
          <w:rStyle w:val="TextoNormalCaracter"/>
        </w:rPr>
        <w:t>-</w:t>
      </w:r>
      <w:r>
        <w:t xml:space="preserve"> Auto </w:t>
      </w:r>
      <w:hyperlink w:anchor="AUTO_2024_30" w:history="1">
        <w:r w:rsidRPr="00601EEA">
          <w:rPr>
            <w:rStyle w:val="TextoNormalCaracter"/>
          </w:rPr>
          <w:t>30/2024</w:t>
        </w:r>
      </w:hyperlink>
      <w:r>
        <w:t>, f. 1.</w:t>
      </w:r>
    </w:p>
    <w:p w14:paraId="099DE915" w14:textId="2818B232" w:rsidR="00601EEA" w:rsidRDefault="00601EEA" w:rsidP="00601EEA">
      <w:pPr>
        <w:pStyle w:val="SangriaFrancesaArticulo"/>
      </w:pPr>
      <w:r w:rsidRPr="00601EEA">
        <w:rPr>
          <w:rStyle w:val="TextoNormalNegritaCaracter"/>
        </w:rPr>
        <w:t>Artículo 60.1 a).</w:t>
      </w:r>
      <w:r w:rsidRPr="00601EEA">
        <w:rPr>
          <w:rStyle w:val="TextoNormalCaracter"/>
        </w:rPr>
        <w:t>-</w:t>
      </w:r>
      <w:r>
        <w:t xml:space="preserve"> Auto </w:t>
      </w:r>
      <w:hyperlink w:anchor="AUTO_2024_30" w:history="1">
        <w:r w:rsidRPr="00601EEA">
          <w:rPr>
            <w:rStyle w:val="TextoNormalCaracter"/>
          </w:rPr>
          <w:t>30/2024</w:t>
        </w:r>
      </w:hyperlink>
      <w:r>
        <w:t>, f. 3.</w:t>
      </w:r>
    </w:p>
    <w:p w14:paraId="57835F68" w14:textId="7FA70306" w:rsidR="00601EEA" w:rsidRDefault="00601EEA" w:rsidP="00601EEA">
      <w:pPr>
        <w:pStyle w:val="SangriaFrancesaArticulo"/>
      </w:pPr>
      <w:r w:rsidRPr="00601EEA">
        <w:rPr>
          <w:rStyle w:val="TextoNormalNegritaCaracter"/>
        </w:rPr>
        <w:t>Artículo 60.1 b)</w:t>
      </w:r>
      <w:r>
        <w:t xml:space="preserve"> (redactado por el Real Decreto-ley 2/2023, de 16 de marzo)</w:t>
      </w:r>
      <w:r w:rsidRPr="00601EEA">
        <w:rPr>
          <w:rStyle w:val="TextoNormalNegritaCaracter"/>
        </w:rPr>
        <w:t>.</w:t>
      </w:r>
      <w:r w:rsidRPr="00601EEA">
        <w:rPr>
          <w:rStyle w:val="TextoNormalCaracter"/>
        </w:rPr>
        <w:t>-</w:t>
      </w:r>
      <w:r>
        <w:t xml:space="preserve"> Auto </w:t>
      </w:r>
      <w:hyperlink w:anchor="AUTO_2024_30" w:history="1">
        <w:r w:rsidRPr="00601EEA">
          <w:rPr>
            <w:rStyle w:val="TextoNormalCaracter"/>
          </w:rPr>
          <w:t>30/2024</w:t>
        </w:r>
      </w:hyperlink>
      <w:r>
        <w:t>, f. 3.</w:t>
      </w:r>
    </w:p>
    <w:p w14:paraId="5980B701" w14:textId="67CACFAD" w:rsidR="00601EEA" w:rsidRDefault="00601EEA" w:rsidP="00601EEA">
      <w:pPr>
        <w:pStyle w:val="SangriaFrancesaArticulo"/>
      </w:pPr>
      <w:r w:rsidRPr="00601EEA">
        <w:rPr>
          <w:rStyle w:val="TextoNormalNegritaCaracter"/>
        </w:rPr>
        <w:t>Artículo 66.1 a).</w:t>
      </w:r>
      <w:r w:rsidRPr="00601EEA">
        <w:rPr>
          <w:rStyle w:val="TextoNormalCaracter"/>
        </w:rPr>
        <w:t>-</w:t>
      </w:r>
      <w:r>
        <w:t xml:space="preserve"> Sentencia </w:t>
      </w:r>
      <w:hyperlink w:anchor="SENTENCIA_2024_19" w:history="1">
        <w:r w:rsidRPr="00601EEA">
          <w:rPr>
            <w:rStyle w:val="TextoNormalCaracter"/>
          </w:rPr>
          <w:t>19/2024</w:t>
        </w:r>
      </w:hyperlink>
      <w:r>
        <w:t>, f. 4.</w:t>
      </w:r>
    </w:p>
    <w:p w14:paraId="69223BB0" w14:textId="289530A6" w:rsidR="00601EEA" w:rsidRDefault="00601EEA" w:rsidP="00601EEA">
      <w:pPr>
        <w:pStyle w:val="SangriaFrancesaArticulo"/>
      </w:pPr>
      <w:r w:rsidRPr="00601EEA">
        <w:rPr>
          <w:rStyle w:val="TextoNormalNegritaCaracter"/>
        </w:rPr>
        <w:t>Artículo 74.1.</w:t>
      </w:r>
      <w:r w:rsidRPr="00601EEA">
        <w:rPr>
          <w:rStyle w:val="TextoNormalCaracter"/>
        </w:rPr>
        <w:t>-</w:t>
      </w:r>
      <w:r>
        <w:t xml:space="preserve"> Sentencia </w:t>
      </w:r>
      <w:hyperlink w:anchor="SENTENCIA_2024_19" w:history="1">
        <w:r w:rsidRPr="00601EEA">
          <w:rPr>
            <w:rStyle w:val="TextoNormalCaracter"/>
          </w:rPr>
          <w:t>19/2024</w:t>
        </w:r>
      </w:hyperlink>
      <w:r>
        <w:t>, f. 4.</w:t>
      </w:r>
    </w:p>
    <w:p w14:paraId="6F462AB5" w14:textId="3A7BD335" w:rsidR="00601EEA" w:rsidRDefault="00601EEA" w:rsidP="00601EEA">
      <w:pPr>
        <w:pStyle w:val="SangriaFrancesaArticulo"/>
      </w:pPr>
      <w:r w:rsidRPr="00601EEA">
        <w:rPr>
          <w:rStyle w:val="TextoNormalNegritaCaracter"/>
        </w:rPr>
        <w:t>Artículo 373.</w:t>
      </w:r>
      <w:r w:rsidRPr="00601EEA">
        <w:rPr>
          <w:rStyle w:val="TextoNormalCaracter"/>
        </w:rPr>
        <w:t>-</w:t>
      </w:r>
      <w:r>
        <w:t xml:space="preserve"> Sentencia </w:t>
      </w:r>
      <w:hyperlink w:anchor="SENTENCIA_2024_19" w:history="1">
        <w:r w:rsidRPr="00601EEA">
          <w:rPr>
            <w:rStyle w:val="TextoNormalCaracter"/>
          </w:rPr>
          <w:t>19/2024</w:t>
        </w:r>
      </w:hyperlink>
      <w:r>
        <w:t>, f. 4.</w:t>
      </w:r>
    </w:p>
    <w:p w14:paraId="6254A65B" w14:textId="647ECB32" w:rsidR="00601EEA" w:rsidRDefault="00601EEA" w:rsidP="00601EEA">
      <w:pPr>
        <w:pStyle w:val="TextoNormal"/>
      </w:pPr>
    </w:p>
    <w:p w14:paraId="4C43E2EE" w14:textId="77777777" w:rsidR="00601EEA" w:rsidRDefault="00601EEA" w:rsidP="00601EEA">
      <w:pPr>
        <w:pStyle w:val="SangriaFrancesaArticulo"/>
      </w:pPr>
      <w:bookmarkStart w:id="167" w:name="INDICE22848"/>
    </w:p>
    <w:bookmarkEnd w:id="167"/>
    <w:p w14:paraId="137D21FF" w14:textId="77777777" w:rsidR="00601EEA" w:rsidRDefault="00601EEA" w:rsidP="00601EEA">
      <w:pPr>
        <w:pStyle w:val="TextoIndiceNivel2"/>
        <w:suppressAutoHyphens/>
      </w:pPr>
      <w:r>
        <w:t>G) Reales Decretos-leyes</w:t>
      </w:r>
    </w:p>
    <w:p w14:paraId="75867D97" w14:textId="438D0171" w:rsidR="00601EEA" w:rsidRDefault="00601EEA" w:rsidP="00601EEA">
      <w:pPr>
        <w:pStyle w:val="TextoIndiceNivel2"/>
      </w:pPr>
    </w:p>
    <w:p w14:paraId="2111F37B" w14:textId="77777777" w:rsidR="00601EEA" w:rsidRDefault="00601EEA" w:rsidP="00601EEA">
      <w:pPr>
        <w:pStyle w:val="TextoNormalNegritaCursivandice"/>
        <w:keepNext/>
      </w:pPr>
      <w:r>
        <w:t>Real Decreto-ley 3/2012, de 10 de febrero. Medidas urgentes para la reforma del mercado laboral</w:t>
      </w:r>
    </w:p>
    <w:p w14:paraId="2AE12D09" w14:textId="672DA4D4" w:rsidR="00601EEA" w:rsidRDefault="00601EEA" w:rsidP="00601EEA">
      <w:pPr>
        <w:pStyle w:val="SangriaFrancesaArticulo"/>
      </w:pPr>
      <w:r w:rsidRPr="00601EEA">
        <w:rPr>
          <w:rStyle w:val="TextoNormalNegritaCaracter"/>
        </w:rPr>
        <w:t>e.</w:t>
      </w:r>
      <w:r w:rsidRPr="00601EEA">
        <w:rPr>
          <w:rStyle w:val="TextoNormalCaracter"/>
        </w:rPr>
        <w:t>-</w:t>
      </w:r>
      <w:r>
        <w:t xml:space="preserve"> Sentencia </w:t>
      </w:r>
      <w:hyperlink w:anchor="SENTENCIA_2024_63" w:history="1">
        <w:r w:rsidRPr="00601EEA">
          <w:rPr>
            <w:rStyle w:val="TextoNormalCaracter"/>
          </w:rPr>
          <w:t>63/2024</w:t>
        </w:r>
      </w:hyperlink>
      <w:r>
        <w:t>, f. 5.</w:t>
      </w:r>
    </w:p>
    <w:p w14:paraId="1D1D4B55" w14:textId="07DFAC49" w:rsidR="00601EEA" w:rsidRDefault="00601EEA" w:rsidP="00601EEA">
      <w:pPr>
        <w:pStyle w:val="SangriaFrancesaArticulo"/>
      </w:pPr>
    </w:p>
    <w:p w14:paraId="799CABEE" w14:textId="77777777" w:rsidR="00601EEA" w:rsidRDefault="00601EEA" w:rsidP="00601EEA">
      <w:pPr>
        <w:pStyle w:val="TextoNormalNegritaCursivandice"/>
        <w:keepNext/>
      </w:pPr>
      <w:r>
        <w:t>Real Decreto-ley 2/2016, de 30 de septiembre. Introduce medidas tributarias dirigidas a la reducción del déficit público</w:t>
      </w:r>
    </w:p>
    <w:p w14:paraId="3D7472AC" w14:textId="4079740E"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11" w:history="1">
        <w:r w:rsidRPr="00601EEA">
          <w:rPr>
            <w:rStyle w:val="TextoNormalCaracter"/>
          </w:rPr>
          <w:t>11/2024</w:t>
        </w:r>
      </w:hyperlink>
      <w:r>
        <w:t>, ff. 1 a 4.</w:t>
      </w:r>
    </w:p>
    <w:p w14:paraId="6F9678FC" w14:textId="7AAC4232" w:rsidR="00601EEA" w:rsidRDefault="00601EEA" w:rsidP="00601EEA">
      <w:pPr>
        <w:pStyle w:val="SangriaFrancesaArticulo"/>
      </w:pPr>
    </w:p>
    <w:p w14:paraId="635CE89E" w14:textId="77777777" w:rsidR="00601EEA" w:rsidRDefault="00601EEA" w:rsidP="00601EEA">
      <w:pPr>
        <w:pStyle w:val="TextoNormalNegritaCursivandice"/>
        <w:keepNext/>
      </w:pPr>
      <w:r>
        <w:lastRenderedPageBreak/>
        <w:t>Real Decreto-ley 3/2016, de 2 de diciembre, por el que se adoptan medidas en el ámbito tributario dirigidas a la consolidación de las finanzas públicas y otras medidas urgentes en materia social</w:t>
      </w:r>
    </w:p>
    <w:p w14:paraId="62E458AD" w14:textId="35F70189"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11" w:history="1">
        <w:r w:rsidRPr="00601EEA">
          <w:rPr>
            <w:rStyle w:val="TextoNormalCaracter"/>
          </w:rPr>
          <w:t>11/2024</w:t>
        </w:r>
      </w:hyperlink>
      <w:r>
        <w:t>, f. 3.</w:t>
      </w:r>
    </w:p>
    <w:p w14:paraId="4EFD8D59" w14:textId="1BD5DD49" w:rsidR="00601EEA" w:rsidRDefault="00601EEA" w:rsidP="00601EEA">
      <w:pPr>
        <w:pStyle w:val="SangriaFrancesaArticulo"/>
      </w:pPr>
      <w:r w:rsidRPr="00601EEA">
        <w:rPr>
          <w:rStyle w:val="TextoNormalNegritaCaracter"/>
        </w:rPr>
        <w:t>Preámbulo.</w:t>
      </w:r>
      <w:r w:rsidRPr="00601EEA">
        <w:rPr>
          <w:rStyle w:val="TextoNormalCaracter"/>
        </w:rPr>
        <w:t>-</w:t>
      </w:r>
      <w:r>
        <w:t xml:space="preserve"> Sentencia </w:t>
      </w:r>
      <w:hyperlink w:anchor="SENTENCIA_2024_11" w:history="1">
        <w:r w:rsidRPr="00601EEA">
          <w:rPr>
            <w:rStyle w:val="TextoNormalCaracter"/>
          </w:rPr>
          <w:t>11/2024</w:t>
        </w:r>
      </w:hyperlink>
      <w:r>
        <w:t>, f. 3.</w:t>
      </w:r>
    </w:p>
    <w:p w14:paraId="013F4651" w14:textId="346DA7D8" w:rsidR="00601EEA" w:rsidRDefault="00601EEA" w:rsidP="00601EEA">
      <w:pPr>
        <w:pStyle w:val="SangriaFrancesaArticulo"/>
      </w:pPr>
      <w:r w:rsidRPr="00601EEA">
        <w:rPr>
          <w:rStyle w:val="TextoNormalNegritaCaracter"/>
        </w:rPr>
        <w:t>Preámbulo, apartado 1.</w:t>
      </w:r>
      <w:r w:rsidRPr="00601EEA">
        <w:rPr>
          <w:rStyle w:val="TextoNormalCaracter"/>
        </w:rPr>
        <w:t>-</w:t>
      </w:r>
      <w:r>
        <w:t xml:space="preserve"> Sentencia </w:t>
      </w:r>
      <w:hyperlink w:anchor="SENTENCIA_2024_11" w:history="1">
        <w:r w:rsidRPr="00601EEA">
          <w:rPr>
            <w:rStyle w:val="TextoNormalCaracter"/>
          </w:rPr>
          <w:t>11/2024</w:t>
        </w:r>
      </w:hyperlink>
      <w:r>
        <w:t>, f. 3.</w:t>
      </w:r>
    </w:p>
    <w:p w14:paraId="10FE5369" w14:textId="661808E2" w:rsidR="00601EEA" w:rsidRDefault="00601EEA" w:rsidP="00601EEA">
      <w:pPr>
        <w:pStyle w:val="SangriaFrancesaArticulo"/>
      </w:pPr>
      <w:r w:rsidRPr="00601EEA">
        <w:rPr>
          <w:rStyle w:val="TextoNormalNegritaCaracter"/>
        </w:rPr>
        <w:t>Preámbulo, apartado 2, párrafo 2.</w:t>
      </w:r>
      <w:r w:rsidRPr="00601EEA">
        <w:rPr>
          <w:rStyle w:val="TextoNormalCaracter"/>
        </w:rPr>
        <w:t>-</w:t>
      </w:r>
      <w:r>
        <w:t xml:space="preserve"> Sentencia </w:t>
      </w:r>
      <w:hyperlink w:anchor="SENTENCIA_2024_11" w:history="1">
        <w:r w:rsidRPr="00601EEA">
          <w:rPr>
            <w:rStyle w:val="TextoNormalCaracter"/>
          </w:rPr>
          <w:t>11/2024</w:t>
        </w:r>
      </w:hyperlink>
      <w:r>
        <w:t>, ff. 1, 2.</w:t>
      </w:r>
    </w:p>
    <w:p w14:paraId="458CAAA0" w14:textId="24A4F3EE" w:rsidR="00601EEA" w:rsidRDefault="00601EEA" w:rsidP="00601EEA">
      <w:pPr>
        <w:pStyle w:val="SangriaFrancesaArticulo"/>
      </w:pPr>
      <w:r w:rsidRPr="00601EEA">
        <w:rPr>
          <w:rStyle w:val="TextoNormalNegritaCaracter"/>
        </w:rPr>
        <w:t>Artículo 3.</w:t>
      </w:r>
      <w:r w:rsidRPr="00601EEA">
        <w:rPr>
          <w:rStyle w:val="TextoNormalCaracter"/>
        </w:rPr>
        <w:t>-</w:t>
      </w:r>
      <w:r>
        <w:t xml:space="preserve"> Sentencia </w:t>
      </w:r>
      <w:hyperlink w:anchor="SENTENCIA_2024_16" w:history="1">
        <w:r w:rsidRPr="00601EEA">
          <w:rPr>
            <w:rStyle w:val="TextoNormalCaracter"/>
          </w:rPr>
          <w:t>16/2024</w:t>
        </w:r>
      </w:hyperlink>
      <w:r>
        <w:t>, f. 1.</w:t>
      </w:r>
    </w:p>
    <w:p w14:paraId="1421EC4B" w14:textId="43AB777C" w:rsidR="00601EEA" w:rsidRDefault="00601EEA" w:rsidP="00601EEA">
      <w:pPr>
        <w:pStyle w:val="SangriaFrancesaArticulo"/>
      </w:pPr>
      <w:r w:rsidRPr="00601EEA">
        <w:rPr>
          <w:rStyle w:val="TextoNormalNegritaCaracter"/>
        </w:rPr>
        <w:t>Artículo 3.1.</w:t>
      </w:r>
      <w:r w:rsidRPr="00601EEA">
        <w:rPr>
          <w:rStyle w:val="TextoNormalCaracter"/>
        </w:rPr>
        <w:t>-</w:t>
      </w:r>
      <w:r>
        <w:t xml:space="preserve"> Sentencia </w:t>
      </w:r>
      <w:hyperlink w:anchor="SENTENCIA_2024_16" w:history="1">
        <w:r w:rsidRPr="00601EEA">
          <w:rPr>
            <w:rStyle w:val="TextoNormalCaracter"/>
          </w:rPr>
          <w:t>16/2024</w:t>
        </w:r>
      </w:hyperlink>
      <w:r>
        <w:t>, f. 1.</w:t>
      </w:r>
    </w:p>
    <w:p w14:paraId="04A5A379" w14:textId="53DCF235" w:rsidR="00601EEA" w:rsidRDefault="00601EEA" w:rsidP="00601EEA">
      <w:pPr>
        <w:pStyle w:val="SangriaFrancesaArticulo"/>
      </w:pPr>
      <w:r w:rsidRPr="00601EEA">
        <w:rPr>
          <w:rStyle w:val="TextoNormalNegritaCaracter"/>
        </w:rPr>
        <w:t>Artículo 3.1 apartado 1.</w:t>
      </w:r>
      <w:r w:rsidRPr="00601EEA">
        <w:rPr>
          <w:rStyle w:val="TextoNormalCaracter"/>
        </w:rPr>
        <w:t>-</w:t>
      </w:r>
      <w:r>
        <w:t xml:space="preserve"> Sentencias </w:t>
      </w:r>
      <w:hyperlink w:anchor="SENTENCIA_2024_11" w:history="1">
        <w:r w:rsidRPr="00601EEA">
          <w:rPr>
            <w:rStyle w:val="TextoNormalCaracter"/>
          </w:rPr>
          <w:t>11/2024</w:t>
        </w:r>
      </w:hyperlink>
      <w:r>
        <w:t xml:space="preserve">, ff. 1, 3; </w:t>
      </w:r>
      <w:hyperlink w:anchor="SENTENCIA_2024_16" w:history="1">
        <w:r w:rsidRPr="00601EEA">
          <w:rPr>
            <w:rStyle w:val="TextoNormalCaracter"/>
          </w:rPr>
          <w:t>16/2024</w:t>
        </w:r>
      </w:hyperlink>
      <w:r>
        <w:t>, f. 1.</w:t>
      </w:r>
    </w:p>
    <w:p w14:paraId="42F47CFF" w14:textId="57A6E008" w:rsidR="00601EEA" w:rsidRDefault="00601EEA" w:rsidP="00601EEA">
      <w:pPr>
        <w:pStyle w:val="SangriaFrancesaArticulo"/>
      </w:pPr>
      <w:r w:rsidRPr="00601EEA">
        <w:rPr>
          <w:rStyle w:val="TextoNormalNegritaCaracter"/>
        </w:rPr>
        <w:t>Artículo 3.1 apartado 2.</w:t>
      </w:r>
      <w:r w:rsidRPr="00601EEA">
        <w:rPr>
          <w:rStyle w:val="TextoNormalCaracter"/>
        </w:rPr>
        <w:t>-</w:t>
      </w:r>
      <w:r>
        <w:t xml:space="preserve"> Sentencias </w:t>
      </w:r>
      <w:hyperlink w:anchor="SENTENCIA_2024_11" w:history="1">
        <w:r w:rsidRPr="00601EEA">
          <w:rPr>
            <w:rStyle w:val="TextoNormalCaracter"/>
          </w:rPr>
          <w:t>11/2024</w:t>
        </w:r>
      </w:hyperlink>
      <w:r>
        <w:t xml:space="preserve">, ff. 1, 3; </w:t>
      </w:r>
      <w:hyperlink w:anchor="SENTENCIA_2024_16" w:history="1">
        <w:r w:rsidRPr="00601EEA">
          <w:rPr>
            <w:rStyle w:val="TextoNormalCaracter"/>
          </w:rPr>
          <w:t>16/2024</w:t>
        </w:r>
      </w:hyperlink>
      <w:r>
        <w:t>, f. 1.</w:t>
      </w:r>
    </w:p>
    <w:p w14:paraId="30B49D24" w14:textId="70CB582F" w:rsidR="00601EEA" w:rsidRDefault="00601EEA" w:rsidP="00601EEA">
      <w:pPr>
        <w:pStyle w:val="SangriaFrancesaArticulo"/>
      </w:pPr>
      <w:r w:rsidRPr="00601EEA">
        <w:rPr>
          <w:rStyle w:val="TextoNormalNegritaCaracter"/>
        </w:rPr>
        <w:t>Artículo 3.1 apartado 3.</w:t>
      </w:r>
      <w:r w:rsidRPr="00601EEA">
        <w:rPr>
          <w:rStyle w:val="TextoNormalCaracter"/>
        </w:rPr>
        <w:t>-</w:t>
      </w:r>
      <w:r>
        <w:t xml:space="preserve"> Sentencia </w:t>
      </w:r>
      <w:hyperlink w:anchor="SENTENCIA_2024_16" w:history="1">
        <w:r w:rsidRPr="00601EEA">
          <w:rPr>
            <w:rStyle w:val="TextoNormalCaracter"/>
          </w:rPr>
          <w:t>16/2024</w:t>
        </w:r>
      </w:hyperlink>
      <w:r>
        <w:t>, f. 1.</w:t>
      </w:r>
    </w:p>
    <w:p w14:paraId="18E86CF9" w14:textId="58760096" w:rsidR="00601EEA" w:rsidRDefault="00601EEA" w:rsidP="00601EEA">
      <w:pPr>
        <w:pStyle w:val="SangriaFrancesaArticulo"/>
      </w:pPr>
      <w:r w:rsidRPr="00601EEA">
        <w:rPr>
          <w:rStyle w:val="TextoNormalNegritaCaracter"/>
        </w:rPr>
        <w:t>Artículo 3.1 apartados 1, 2.</w:t>
      </w:r>
      <w:r w:rsidRPr="00601EEA">
        <w:rPr>
          <w:rStyle w:val="TextoNormalCaracter"/>
        </w:rPr>
        <w:t>-</w:t>
      </w:r>
      <w:r>
        <w:t xml:space="preserve"> Sentencias </w:t>
      </w:r>
      <w:hyperlink w:anchor="SENTENCIA_2024_11" w:history="1">
        <w:r w:rsidRPr="00601EEA">
          <w:rPr>
            <w:rStyle w:val="TextoNormalCaracter"/>
          </w:rPr>
          <w:t>11/2024</w:t>
        </w:r>
      </w:hyperlink>
      <w:r>
        <w:t xml:space="preserve">, f. 1, VP; </w:t>
      </w:r>
      <w:hyperlink w:anchor="SENTENCIA_2024_16" w:history="1">
        <w:r w:rsidRPr="00601EEA">
          <w:rPr>
            <w:rStyle w:val="TextoNormalCaracter"/>
          </w:rPr>
          <w:t>16/2024</w:t>
        </w:r>
      </w:hyperlink>
      <w:r>
        <w:t>, f. 1.</w:t>
      </w:r>
    </w:p>
    <w:p w14:paraId="35568A13" w14:textId="3AEB79C9" w:rsidR="00601EEA" w:rsidRDefault="00601EEA" w:rsidP="00601EEA">
      <w:pPr>
        <w:pStyle w:val="SangriaFrancesaArticulo"/>
      </w:pPr>
      <w:r w:rsidRPr="00601EEA">
        <w:rPr>
          <w:rStyle w:val="TextoNormalNegritaCaracter"/>
        </w:rPr>
        <w:t>Artículo 3.7.</w:t>
      </w:r>
      <w:r w:rsidRPr="00601EEA">
        <w:rPr>
          <w:rStyle w:val="TextoNormalCaracter"/>
        </w:rPr>
        <w:t>-</w:t>
      </w:r>
      <w:r>
        <w:t xml:space="preserve"> Sentencia </w:t>
      </w:r>
      <w:hyperlink w:anchor="SENTENCIA_2024_11" w:history="1">
        <w:r w:rsidRPr="00601EEA">
          <w:rPr>
            <w:rStyle w:val="TextoNormalCaracter"/>
          </w:rPr>
          <w:t>11/2024</w:t>
        </w:r>
      </w:hyperlink>
      <w:r>
        <w:t>, ff. 1, 4.</w:t>
      </w:r>
    </w:p>
    <w:p w14:paraId="48189209" w14:textId="71A72C2C" w:rsidR="00601EEA" w:rsidRDefault="00601EEA" w:rsidP="00601EEA">
      <w:pPr>
        <w:pStyle w:val="SangriaFrancesaArticulo"/>
      </w:pPr>
    </w:p>
    <w:p w14:paraId="61B3FCD7" w14:textId="77777777" w:rsidR="00601EEA" w:rsidRDefault="00601EEA" w:rsidP="00601EEA">
      <w:pPr>
        <w:pStyle w:val="TextoNormalNegritaCursivandice"/>
        <w:keepNext/>
      </w:pPr>
      <w:r>
        <w:t>Real Decreto-ley 13/2018, de 28 de septiembre, por el que se modifica la Ley 16/1987, de 30 de julio, de ordenación de los transportes terrestres, en materia de arrendamiento de vehículos con conductor</w:t>
      </w:r>
    </w:p>
    <w:p w14:paraId="3CF42D91" w14:textId="27E92A67"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88" w:history="1">
        <w:r w:rsidRPr="00601EEA">
          <w:rPr>
            <w:rStyle w:val="TextoNormalCaracter"/>
          </w:rPr>
          <w:t>88/2024</w:t>
        </w:r>
      </w:hyperlink>
      <w:r>
        <w:t>, ff. 4, 5.</w:t>
      </w:r>
    </w:p>
    <w:p w14:paraId="421477AB" w14:textId="33FE5827" w:rsidR="00601EEA" w:rsidRDefault="00601EEA" w:rsidP="00601EEA">
      <w:pPr>
        <w:pStyle w:val="SangriaFrancesaArticulo"/>
      </w:pPr>
      <w:r w:rsidRPr="00601EEA">
        <w:rPr>
          <w:rStyle w:val="TextoNormalNegritaCaracter"/>
        </w:rPr>
        <w:t>Preámbulo.</w:t>
      </w:r>
      <w:r w:rsidRPr="00601EEA">
        <w:rPr>
          <w:rStyle w:val="TextoNormalCaracter"/>
        </w:rPr>
        <w:t>-</w:t>
      </w:r>
      <w:r>
        <w:t xml:space="preserve"> Sentencia </w:t>
      </w:r>
      <w:hyperlink w:anchor="SENTENCIA_2024_88" w:history="1">
        <w:r w:rsidRPr="00601EEA">
          <w:rPr>
            <w:rStyle w:val="TextoNormalCaracter"/>
          </w:rPr>
          <w:t>88/2024</w:t>
        </w:r>
      </w:hyperlink>
      <w:r>
        <w:t>, f. 5.</w:t>
      </w:r>
    </w:p>
    <w:p w14:paraId="7618D4C1" w14:textId="31628199" w:rsidR="00601EEA" w:rsidRDefault="00601EEA" w:rsidP="00601EEA">
      <w:pPr>
        <w:pStyle w:val="SangriaFrancesaArticulo"/>
      </w:pPr>
      <w:r w:rsidRPr="00601EEA">
        <w:rPr>
          <w:rStyle w:val="TextoNormalNegritaCaracter"/>
        </w:rPr>
        <w:t>Disposición adicional primera.</w:t>
      </w:r>
      <w:r w:rsidRPr="00601EEA">
        <w:rPr>
          <w:rStyle w:val="TextoNormalCaracter"/>
        </w:rPr>
        <w:t>-</w:t>
      </w:r>
      <w:r>
        <w:t xml:space="preserve"> Sentencia </w:t>
      </w:r>
      <w:hyperlink w:anchor="SENTENCIA_2024_88" w:history="1">
        <w:r w:rsidRPr="00601EEA">
          <w:rPr>
            <w:rStyle w:val="TextoNormalCaracter"/>
          </w:rPr>
          <w:t>88/2024</w:t>
        </w:r>
      </w:hyperlink>
      <w:r>
        <w:t>, f. 5.</w:t>
      </w:r>
    </w:p>
    <w:p w14:paraId="6E5BFC91" w14:textId="0DF16099" w:rsidR="00601EEA" w:rsidRDefault="00601EEA" w:rsidP="00601EEA">
      <w:pPr>
        <w:pStyle w:val="SangriaFrancesaArticulo"/>
      </w:pPr>
      <w:r w:rsidRPr="00601EEA">
        <w:rPr>
          <w:rStyle w:val="TextoNormalNegritaCaracter"/>
        </w:rPr>
        <w:t>Disposición transitoria única.</w:t>
      </w:r>
      <w:r w:rsidRPr="00601EEA">
        <w:rPr>
          <w:rStyle w:val="TextoNormalCaracter"/>
        </w:rPr>
        <w:t>-</w:t>
      </w:r>
      <w:r>
        <w:t xml:space="preserve"> Sentencia </w:t>
      </w:r>
      <w:hyperlink w:anchor="SENTENCIA_2024_88" w:history="1">
        <w:r w:rsidRPr="00601EEA">
          <w:rPr>
            <w:rStyle w:val="TextoNormalCaracter"/>
          </w:rPr>
          <w:t>88/2024</w:t>
        </w:r>
      </w:hyperlink>
      <w:r>
        <w:t>, ff. 2, 5, 7.</w:t>
      </w:r>
    </w:p>
    <w:p w14:paraId="01666103" w14:textId="4FA454F4" w:rsidR="00601EEA" w:rsidRDefault="00601EEA" w:rsidP="00601EEA">
      <w:pPr>
        <w:pStyle w:val="SangriaFrancesaArticulo"/>
      </w:pPr>
    </w:p>
    <w:p w14:paraId="63D875EC" w14:textId="77777777" w:rsidR="00601EEA" w:rsidRDefault="00601EEA" w:rsidP="00601EEA">
      <w:pPr>
        <w:pStyle w:val="TextoNormalNegritaCursivandice"/>
        <w:keepNext/>
      </w:pPr>
      <w:r>
        <w:t>Real Decreto-ley 7/2019, de 1 de marzo, de medidas urgentes en materia de vivienda y alquiler</w:t>
      </w:r>
    </w:p>
    <w:p w14:paraId="27CA3FDB" w14:textId="1A900E32" w:rsidR="00601EEA" w:rsidRDefault="00601EEA" w:rsidP="00601EEA">
      <w:pPr>
        <w:pStyle w:val="SangriaFrancesaArticulo"/>
      </w:pPr>
      <w:r w:rsidRPr="00601EEA">
        <w:rPr>
          <w:rStyle w:val="TextoNormalNegritaCaracter"/>
        </w:rPr>
        <w:t>Disposición adicional segunda.</w:t>
      </w:r>
      <w:r w:rsidRPr="00601EEA">
        <w:rPr>
          <w:rStyle w:val="TextoNormalCaracter"/>
        </w:rPr>
        <w:t>-</w:t>
      </w:r>
      <w:r>
        <w:t xml:space="preserve"> Sentencia </w:t>
      </w:r>
      <w:hyperlink w:anchor="SENTENCIA_2024_79" w:history="1">
        <w:r w:rsidRPr="00601EEA">
          <w:rPr>
            <w:rStyle w:val="TextoNormalCaracter"/>
          </w:rPr>
          <w:t>79/2024</w:t>
        </w:r>
      </w:hyperlink>
      <w:r>
        <w:t>, f. 9.</w:t>
      </w:r>
    </w:p>
    <w:p w14:paraId="247E760C" w14:textId="22837272" w:rsidR="00601EEA" w:rsidRDefault="00601EEA" w:rsidP="00601EEA">
      <w:pPr>
        <w:pStyle w:val="SangriaFrancesaArticulo"/>
      </w:pPr>
    </w:p>
    <w:p w14:paraId="0D3E94DC" w14:textId="77777777" w:rsidR="00601EEA" w:rsidRDefault="00601EEA" w:rsidP="00601EEA">
      <w:pPr>
        <w:pStyle w:val="TextoNormalNegritaCursivandice"/>
        <w:keepNext/>
      </w:pPr>
      <w:r>
        <w:t>Real Decreto-ley 11/2020, de 31 de marzo, por el que se adoptan medidas urgentes complementarias en el ámbito social y económico para hacer frente al Covid-19</w:t>
      </w:r>
    </w:p>
    <w:p w14:paraId="478693BA" w14:textId="11010C8A"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7" w:history="1">
        <w:r w:rsidRPr="00601EEA">
          <w:rPr>
            <w:rStyle w:val="TextoNormalCaracter"/>
          </w:rPr>
          <w:t>7/2024</w:t>
        </w:r>
      </w:hyperlink>
      <w:r>
        <w:t>, f. 1.</w:t>
      </w:r>
    </w:p>
    <w:p w14:paraId="7006CD8B" w14:textId="563FF6F1" w:rsidR="00601EEA" w:rsidRDefault="00601EEA" w:rsidP="00601EEA">
      <w:pPr>
        <w:pStyle w:val="SangriaFrancesaArticulo"/>
      </w:pPr>
      <w:r w:rsidRPr="00601EEA">
        <w:rPr>
          <w:rStyle w:val="TextoNormalNegritaCaracter"/>
        </w:rPr>
        <w:t>Artículo 1.</w:t>
      </w:r>
      <w:r w:rsidRPr="00601EEA">
        <w:rPr>
          <w:rStyle w:val="TextoNormalCaracter"/>
        </w:rPr>
        <w:t>-</w:t>
      </w:r>
      <w:r>
        <w:t xml:space="preserve"> Sentencia </w:t>
      </w:r>
      <w:hyperlink w:anchor="SENTENCIA_2024_7" w:history="1">
        <w:r w:rsidRPr="00601EEA">
          <w:rPr>
            <w:rStyle w:val="TextoNormalCaracter"/>
          </w:rPr>
          <w:t>7/2024</w:t>
        </w:r>
      </w:hyperlink>
      <w:r>
        <w:t>, f. 1.</w:t>
      </w:r>
    </w:p>
    <w:p w14:paraId="32B36F5E" w14:textId="43B6E41B" w:rsidR="00601EEA" w:rsidRDefault="00601EEA" w:rsidP="00601EEA">
      <w:pPr>
        <w:pStyle w:val="SangriaFrancesaArticulo"/>
      </w:pPr>
      <w:r w:rsidRPr="00601EEA">
        <w:rPr>
          <w:rStyle w:val="TextoNormalNegritaCaracter"/>
        </w:rPr>
        <w:t>Artículo 1 bis.</w:t>
      </w:r>
      <w:r w:rsidRPr="00601EEA">
        <w:rPr>
          <w:rStyle w:val="TextoNormalCaracter"/>
        </w:rPr>
        <w:t>-</w:t>
      </w:r>
      <w:r>
        <w:t xml:space="preserve"> Sentencia </w:t>
      </w:r>
      <w:hyperlink w:anchor="SENTENCIA_2024_7" w:history="1">
        <w:r w:rsidRPr="00601EEA">
          <w:rPr>
            <w:rStyle w:val="TextoNormalCaracter"/>
          </w:rPr>
          <w:t>7/2024</w:t>
        </w:r>
      </w:hyperlink>
      <w:r>
        <w:t>, ff. 4, 6.</w:t>
      </w:r>
    </w:p>
    <w:p w14:paraId="251CDE76" w14:textId="0C2C0466" w:rsidR="00601EEA" w:rsidRDefault="00601EEA" w:rsidP="00601EEA">
      <w:pPr>
        <w:pStyle w:val="SangriaFrancesaArticulo"/>
      </w:pPr>
      <w:r w:rsidRPr="00601EEA">
        <w:rPr>
          <w:rStyle w:val="TextoNormalNegritaCaracter"/>
        </w:rPr>
        <w:t>Artículo 1 bis</w:t>
      </w:r>
      <w:r>
        <w:t xml:space="preserve"> (redactado por el Real Decreto-ley 1/2021, de 19 de enero)</w:t>
      </w:r>
      <w:r w:rsidRPr="00601EEA">
        <w:rPr>
          <w:rStyle w:val="TextoNormalNegritaCaracter"/>
        </w:rPr>
        <w:t>.</w:t>
      </w:r>
      <w:r w:rsidRPr="00601EEA">
        <w:rPr>
          <w:rStyle w:val="TextoNormalCaracter"/>
        </w:rPr>
        <w:t>-</w:t>
      </w:r>
      <w:r>
        <w:t xml:space="preserve"> Sentencia </w:t>
      </w:r>
      <w:hyperlink w:anchor="SENTENCIA_2024_7" w:history="1">
        <w:r w:rsidRPr="00601EEA">
          <w:rPr>
            <w:rStyle w:val="TextoNormalCaracter"/>
          </w:rPr>
          <w:t>7/2024</w:t>
        </w:r>
      </w:hyperlink>
      <w:r>
        <w:t>, f. 1.</w:t>
      </w:r>
    </w:p>
    <w:p w14:paraId="0320F0A8" w14:textId="7ACE7D90" w:rsidR="00601EEA" w:rsidRDefault="00601EEA" w:rsidP="00601EEA">
      <w:pPr>
        <w:pStyle w:val="SangriaFrancesaArticulo"/>
      </w:pPr>
      <w:r w:rsidRPr="00601EEA">
        <w:rPr>
          <w:rStyle w:val="TextoNormalNegritaCaracter"/>
        </w:rPr>
        <w:t>Artículo 1 bis</w:t>
      </w:r>
      <w:r>
        <w:t xml:space="preserve"> (redactado por el Real Decreto-ley 16/2021, de 3 de agosto)</w:t>
      </w:r>
      <w:r w:rsidRPr="00601EEA">
        <w:rPr>
          <w:rStyle w:val="TextoNormalNegritaCaracter"/>
        </w:rPr>
        <w:t>.</w:t>
      </w:r>
      <w:r w:rsidRPr="00601EEA">
        <w:rPr>
          <w:rStyle w:val="TextoNormalCaracter"/>
        </w:rPr>
        <w:t>-</w:t>
      </w:r>
      <w:r>
        <w:t xml:space="preserve"> Sentencia </w:t>
      </w:r>
      <w:hyperlink w:anchor="SENTENCIA_2024_7" w:history="1">
        <w:r w:rsidRPr="00601EEA">
          <w:rPr>
            <w:rStyle w:val="TextoNormalCaracter"/>
          </w:rPr>
          <w:t>7/2024</w:t>
        </w:r>
      </w:hyperlink>
      <w:r>
        <w:t>, ff. 1, 2, 6.</w:t>
      </w:r>
    </w:p>
    <w:p w14:paraId="725C2A78" w14:textId="6B19F586" w:rsidR="00601EEA" w:rsidRDefault="00601EEA" w:rsidP="00601EEA">
      <w:pPr>
        <w:pStyle w:val="SangriaFrancesaArticulo"/>
      </w:pPr>
      <w:r w:rsidRPr="00601EEA">
        <w:rPr>
          <w:rStyle w:val="TextoNormalNegritaCaracter"/>
        </w:rPr>
        <w:t>Artículo 1 bis</w:t>
      </w:r>
      <w:r>
        <w:t xml:space="preserve"> (redactado por el Real Decreto-ley 21/2021, de 26 de octubre)</w:t>
      </w:r>
      <w:r w:rsidRPr="00601EEA">
        <w:rPr>
          <w:rStyle w:val="TextoNormalNegritaCaracter"/>
        </w:rPr>
        <w:t>.</w:t>
      </w:r>
      <w:r w:rsidRPr="00601EEA">
        <w:rPr>
          <w:rStyle w:val="TextoNormalCaracter"/>
        </w:rPr>
        <w:t>-</w:t>
      </w:r>
      <w:r>
        <w:t xml:space="preserve"> Sentencia </w:t>
      </w:r>
      <w:hyperlink w:anchor="SENTENCIA_2024_7" w:history="1">
        <w:r w:rsidRPr="00601EEA">
          <w:rPr>
            <w:rStyle w:val="TextoNormalCaracter"/>
          </w:rPr>
          <w:t>7/2024</w:t>
        </w:r>
      </w:hyperlink>
      <w:r>
        <w:t>, f. 2.</w:t>
      </w:r>
    </w:p>
    <w:p w14:paraId="29938233" w14:textId="6A8B3D97" w:rsidR="00601EEA" w:rsidRDefault="00601EEA" w:rsidP="00601EEA">
      <w:pPr>
        <w:pStyle w:val="SangriaFrancesaArticulo"/>
      </w:pPr>
      <w:r w:rsidRPr="00601EEA">
        <w:rPr>
          <w:rStyle w:val="TextoNormalNegritaCaracter"/>
        </w:rPr>
        <w:t>Artículo 1 bis</w:t>
      </w:r>
      <w:r>
        <w:t xml:space="preserve"> (redactado por el Real Decreto-ley 8/2021, de 4 de mayo)</w:t>
      </w:r>
      <w:r w:rsidRPr="00601EEA">
        <w:rPr>
          <w:rStyle w:val="TextoNormalNegritaCaracter"/>
        </w:rPr>
        <w:t>.</w:t>
      </w:r>
      <w:r w:rsidRPr="00601EEA">
        <w:rPr>
          <w:rStyle w:val="TextoNormalCaracter"/>
        </w:rPr>
        <w:t>-</w:t>
      </w:r>
      <w:r>
        <w:t xml:space="preserve"> Sentencia </w:t>
      </w:r>
      <w:hyperlink w:anchor="SENTENCIA_2024_7" w:history="1">
        <w:r w:rsidRPr="00601EEA">
          <w:rPr>
            <w:rStyle w:val="TextoNormalCaracter"/>
          </w:rPr>
          <w:t>7/2024</w:t>
        </w:r>
      </w:hyperlink>
      <w:r>
        <w:t>, f. 1.</w:t>
      </w:r>
    </w:p>
    <w:p w14:paraId="4A81DED0" w14:textId="52AAFC59" w:rsidR="00601EEA" w:rsidRDefault="00601EEA" w:rsidP="00601EEA">
      <w:pPr>
        <w:pStyle w:val="SangriaFrancesaArticulo"/>
      </w:pPr>
      <w:r w:rsidRPr="00601EEA">
        <w:rPr>
          <w:rStyle w:val="TextoNormalNegritaCaracter"/>
        </w:rPr>
        <w:t>Artículo 1 bis apartados 1 y 7 c)</w:t>
      </w:r>
      <w:r>
        <w:t xml:space="preserve"> (redactado por el Real Decreto-ley 16/2021, de 3 de agosto)</w:t>
      </w:r>
      <w:r w:rsidRPr="00601EEA">
        <w:rPr>
          <w:rStyle w:val="TextoNormalNegritaCaracter"/>
        </w:rPr>
        <w:t>.</w:t>
      </w:r>
      <w:r w:rsidRPr="00601EEA">
        <w:rPr>
          <w:rStyle w:val="TextoNormalCaracter"/>
        </w:rPr>
        <w:t>-</w:t>
      </w:r>
      <w:r>
        <w:t xml:space="preserve"> Sentencia </w:t>
      </w:r>
      <w:hyperlink w:anchor="SENTENCIA_2024_7" w:history="1">
        <w:r w:rsidRPr="00601EEA">
          <w:rPr>
            <w:rStyle w:val="TextoNormalCaracter"/>
          </w:rPr>
          <w:t>7/2024</w:t>
        </w:r>
      </w:hyperlink>
      <w:r>
        <w:t>, ff. 1, 3 a 6.</w:t>
      </w:r>
    </w:p>
    <w:p w14:paraId="1F3C3C50" w14:textId="6C38F91F" w:rsidR="00601EEA" w:rsidRDefault="00601EEA" w:rsidP="00601EEA">
      <w:pPr>
        <w:pStyle w:val="SangriaFrancesaArticulo"/>
      </w:pPr>
      <w:r w:rsidRPr="00601EEA">
        <w:rPr>
          <w:rStyle w:val="TextoNormalNegritaCaracter"/>
        </w:rPr>
        <w:t>Disposición adicional segunda.</w:t>
      </w:r>
      <w:r w:rsidRPr="00601EEA">
        <w:rPr>
          <w:rStyle w:val="TextoNormalCaracter"/>
        </w:rPr>
        <w:t>-</w:t>
      </w:r>
      <w:r>
        <w:t xml:space="preserve"> Sentencia </w:t>
      </w:r>
      <w:hyperlink w:anchor="SENTENCIA_2024_7" w:history="1">
        <w:r w:rsidRPr="00601EEA">
          <w:rPr>
            <w:rStyle w:val="TextoNormalCaracter"/>
          </w:rPr>
          <w:t>7/2024</w:t>
        </w:r>
      </w:hyperlink>
      <w:r>
        <w:t>, f. 6.</w:t>
      </w:r>
    </w:p>
    <w:p w14:paraId="7F395332" w14:textId="5539A358" w:rsidR="00601EEA" w:rsidRDefault="00601EEA" w:rsidP="00601EEA">
      <w:pPr>
        <w:pStyle w:val="SangriaFrancesaArticulo"/>
      </w:pPr>
    </w:p>
    <w:p w14:paraId="53186E28" w14:textId="77777777" w:rsidR="00601EEA" w:rsidRDefault="00601EEA" w:rsidP="00601EEA">
      <w:pPr>
        <w:pStyle w:val="TextoNormalNegritaCursivandice"/>
        <w:keepNext/>
      </w:pPr>
      <w:r>
        <w:lastRenderedPageBreak/>
        <w:t>Real Decreto-ley 37/2020, de 22 de diciembre, de medidas urgentes para hacer frente a las situaciones de vulnerabilidad social y económica en el ámbito de la vivienda y en materia de transportes</w:t>
      </w:r>
    </w:p>
    <w:p w14:paraId="794F14ED" w14:textId="7B6909A0"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7" w:history="1">
        <w:r w:rsidRPr="00601EEA">
          <w:rPr>
            <w:rStyle w:val="TextoNormalCaracter"/>
          </w:rPr>
          <w:t>7/2024</w:t>
        </w:r>
      </w:hyperlink>
      <w:r>
        <w:t>, f. 1.</w:t>
      </w:r>
    </w:p>
    <w:p w14:paraId="0A985486" w14:textId="17D73066" w:rsidR="00601EEA" w:rsidRDefault="00601EEA" w:rsidP="00601EEA">
      <w:pPr>
        <w:pStyle w:val="SangriaFrancesaArticulo"/>
      </w:pPr>
      <w:r w:rsidRPr="00601EEA">
        <w:rPr>
          <w:rStyle w:val="TextoNormalNegritaCaracter"/>
        </w:rPr>
        <w:t>Disposición adicional segunda.</w:t>
      </w:r>
      <w:r w:rsidRPr="00601EEA">
        <w:rPr>
          <w:rStyle w:val="TextoNormalCaracter"/>
        </w:rPr>
        <w:t>-</w:t>
      </w:r>
      <w:r>
        <w:t xml:space="preserve"> Sentencia </w:t>
      </w:r>
      <w:hyperlink w:anchor="SENTENCIA_2024_7" w:history="1">
        <w:r w:rsidRPr="00601EEA">
          <w:rPr>
            <w:rStyle w:val="TextoNormalCaracter"/>
          </w:rPr>
          <w:t>7/2024</w:t>
        </w:r>
      </w:hyperlink>
      <w:r>
        <w:t>, f. 6.</w:t>
      </w:r>
    </w:p>
    <w:p w14:paraId="4DDAE9B4" w14:textId="70AA2797" w:rsidR="00601EEA" w:rsidRDefault="00601EEA" w:rsidP="00601EEA">
      <w:pPr>
        <w:pStyle w:val="SangriaFrancesaArticulo"/>
      </w:pPr>
      <w:r w:rsidRPr="00601EEA">
        <w:rPr>
          <w:rStyle w:val="TextoNormalNegritaCaracter"/>
        </w:rPr>
        <w:t>Disposición adicional segunda apartado 4.</w:t>
      </w:r>
      <w:r w:rsidRPr="00601EEA">
        <w:rPr>
          <w:rStyle w:val="TextoNormalCaracter"/>
        </w:rPr>
        <w:t>-</w:t>
      </w:r>
      <w:r>
        <w:t xml:space="preserve"> Sentencia </w:t>
      </w:r>
      <w:hyperlink w:anchor="SENTENCIA_2024_7" w:history="1">
        <w:r w:rsidRPr="00601EEA">
          <w:rPr>
            <w:rStyle w:val="TextoNormalCaracter"/>
          </w:rPr>
          <w:t>7/2024</w:t>
        </w:r>
      </w:hyperlink>
      <w:r>
        <w:t>, VP.</w:t>
      </w:r>
    </w:p>
    <w:p w14:paraId="0DB054E2" w14:textId="4B0138E8" w:rsidR="00601EEA" w:rsidRDefault="00601EEA" w:rsidP="00601EEA">
      <w:pPr>
        <w:pStyle w:val="SangriaFrancesaArticulo"/>
      </w:pPr>
      <w:r w:rsidRPr="00601EEA">
        <w:rPr>
          <w:rStyle w:val="TextoNormalNegritaCaracter"/>
        </w:rPr>
        <w:t>Disposición adicional segunda apartado 5.</w:t>
      </w:r>
      <w:r w:rsidRPr="00601EEA">
        <w:rPr>
          <w:rStyle w:val="TextoNormalCaracter"/>
        </w:rPr>
        <w:t>-</w:t>
      </w:r>
      <w:r>
        <w:t xml:space="preserve"> Sentencia </w:t>
      </w:r>
      <w:hyperlink w:anchor="SENTENCIA_2024_7" w:history="1">
        <w:r w:rsidRPr="00601EEA">
          <w:rPr>
            <w:rStyle w:val="TextoNormalCaracter"/>
          </w:rPr>
          <w:t>7/2024</w:t>
        </w:r>
      </w:hyperlink>
      <w:r>
        <w:t>, VP.</w:t>
      </w:r>
    </w:p>
    <w:p w14:paraId="6169C7D3" w14:textId="54ED1A18" w:rsidR="00601EEA" w:rsidRDefault="00601EEA" w:rsidP="00601EEA">
      <w:pPr>
        <w:pStyle w:val="SangriaFrancesaArticulo"/>
      </w:pPr>
      <w:r w:rsidRPr="00601EEA">
        <w:rPr>
          <w:rStyle w:val="TextoNormalNegritaCaracter"/>
        </w:rPr>
        <w:t>Disposición adicional tercera.</w:t>
      </w:r>
      <w:r w:rsidRPr="00601EEA">
        <w:rPr>
          <w:rStyle w:val="TextoNormalCaracter"/>
        </w:rPr>
        <w:t>-</w:t>
      </w:r>
      <w:r>
        <w:t xml:space="preserve"> Sentencia </w:t>
      </w:r>
      <w:hyperlink w:anchor="SENTENCIA_2024_7" w:history="1">
        <w:r w:rsidRPr="00601EEA">
          <w:rPr>
            <w:rStyle w:val="TextoNormalCaracter"/>
          </w:rPr>
          <w:t>7/2024</w:t>
        </w:r>
      </w:hyperlink>
      <w:r>
        <w:t>, f. 6.</w:t>
      </w:r>
    </w:p>
    <w:p w14:paraId="1CC60FF7" w14:textId="755F3B10" w:rsidR="00601EEA" w:rsidRDefault="00601EEA" w:rsidP="00601EEA">
      <w:pPr>
        <w:pStyle w:val="SangriaFrancesaArticulo"/>
      </w:pPr>
    </w:p>
    <w:p w14:paraId="4CD9BC59" w14:textId="77777777" w:rsidR="00601EEA" w:rsidRDefault="00601EEA" w:rsidP="00601EEA">
      <w:pPr>
        <w:pStyle w:val="TextoNormalNegritaCursivandice"/>
        <w:keepNext/>
      </w:pPr>
      <w:r>
        <w:t>Real Decreto-ley 36/2020, de 30 de diciembre, por el que se aprueban medidas urgentes para la modernización de la administración pública y para la ejecución del Plan de recuperación, transformación y resiliencia</w:t>
      </w:r>
    </w:p>
    <w:p w14:paraId="2C261CAF" w14:textId="3242F332"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10" w:history="1">
        <w:r w:rsidRPr="00601EEA">
          <w:rPr>
            <w:rStyle w:val="TextoNormalCaracter"/>
          </w:rPr>
          <w:t>10/2024</w:t>
        </w:r>
      </w:hyperlink>
      <w:r>
        <w:t>, ff. 1, 3, 4, VP I.</w:t>
      </w:r>
    </w:p>
    <w:p w14:paraId="2FEDA760" w14:textId="4B3ADC66" w:rsidR="00601EEA" w:rsidRDefault="00601EEA" w:rsidP="00601EEA">
      <w:pPr>
        <w:pStyle w:val="SangriaFrancesaArticulo"/>
      </w:pPr>
    </w:p>
    <w:p w14:paraId="26EB3F53" w14:textId="77777777" w:rsidR="00601EEA" w:rsidRDefault="00601EEA" w:rsidP="00601EEA">
      <w:pPr>
        <w:pStyle w:val="TextoNormalNegritaCursivandice"/>
        <w:keepNext/>
      </w:pPr>
      <w:r>
        <w:t>Real Decreto-ley 1/2021, de 19 de enero, de protección de los consumidores y usuarios frente a situaciones de vulnerabilidad social y económica</w:t>
      </w:r>
    </w:p>
    <w:p w14:paraId="5E63769B" w14:textId="74F89260"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7" w:history="1">
        <w:r w:rsidRPr="00601EEA">
          <w:rPr>
            <w:rStyle w:val="TextoNormalCaracter"/>
          </w:rPr>
          <w:t>7/2024</w:t>
        </w:r>
      </w:hyperlink>
      <w:r>
        <w:t>, ff. 1, 4, 6.</w:t>
      </w:r>
    </w:p>
    <w:p w14:paraId="6D902A8F" w14:textId="4EBDB206" w:rsidR="00601EEA" w:rsidRDefault="00601EEA" w:rsidP="00601EEA">
      <w:pPr>
        <w:pStyle w:val="SangriaFrancesaArticulo"/>
      </w:pPr>
    </w:p>
    <w:p w14:paraId="534BEE7E" w14:textId="77777777" w:rsidR="00601EEA" w:rsidRDefault="00601EEA" w:rsidP="00601EEA">
      <w:pPr>
        <w:pStyle w:val="TextoNormalNegritaCursivandice"/>
        <w:keepNext/>
      </w:pPr>
      <w:r>
        <w:t>Real Decreto-ley 3/2021, de 2 de febrero de 2021. Adoptan medidas para la reducción de la brecha de género y otras materias en los ámbitos de la Seguridad Social y económico</w:t>
      </w:r>
    </w:p>
    <w:p w14:paraId="7F0A042E" w14:textId="0670322A" w:rsidR="00601EEA" w:rsidRDefault="00601EEA" w:rsidP="00601EEA">
      <w:pPr>
        <w:pStyle w:val="SangriaFrancesaArticulo"/>
      </w:pPr>
      <w:r w:rsidRPr="00601EEA">
        <w:rPr>
          <w:rStyle w:val="TextoNormalNegritaCaracter"/>
        </w:rPr>
        <w:t>En general.</w:t>
      </w:r>
      <w:r w:rsidRPr="00601EEA">
        <w:rPr>
          <w:rStyle w:val="TextoNormalCaracter"/>
        </w:rPr>
        <w:t>-</w:t>
      </w:r>
      <w:r>
        <w:t xml:space="preserve"> Auto </w:t>
      </w:r>
      <w:hyperlink w:anchor="AUTO_2024_30" w:history="1">
        <w:r w:rsidRPr="00601EEA">
          <w:rPr>
            <w:rStyle w:val="TextoNormalCaracter"/>
          </w:rPr>
          <w:t>30/2024</w:t>
        </w:r>
      </w:hyperlink>
      <w:r>
        <w:t>, ff. 1, 4.</w:t>
      </w:r>
    </w:p>
    <w:p w14:paraId="3339E047" w14:textId="4E5DC98D" w:rsidR="00601EEA" w:rsidRDefault="00601EEA" w:rsidP="00601EEA">
      <w:pPr>
        <w:pStyle w:val="SangriaFrancesaArticulo"/>
      </w:pPr>
    </w:p>
    <w:p w14:paraId="2EC491E2" w14:textId="77777777" w:rsidR="00601EEA" w:rsidRDefault="00601EEA" w:rsidP="00601EEA">
      <w:pPr>
        <w:pStyle w:val="TextoNormalNegritaCursivandice"/>
        <w:keepNext/>
      </w:pPr>
      <w:r>
        <w:t>Real Decreto-ley 8/2021, de 4 de mayo, por el que se adoptan medidas urgentes en el orden sanitario, social y jurisdiccional, a aplicar tras la finalización de la vigencia del estado de alarma declarado por el Real Decreto 926/2020, de 25 de octubre, por el que se declara el estado de alarma para contener la propagación de infecciones causadas por el SARS-CoV-2</w:t>
      </w:r>
    </w:p>
    <w:p w14:paraId="05830AE9" w14:textId="04664220" w:rsidR="00601EEA" w:rsidRDefault="00601EEA" w:rsidP="00601EEA">
      <w:pPr>
        <w:pStyle w:val="SangriaFrancesaArticulo"/>
      </w:pPr>
      <w:r w:rsidRPr="00601EEA">
        <w:rPr>
          <w:rStyle w:val="TextoNormalNegritaCaracter"/>
        </w:rPr>
        <w:t>Artículo 7.2.</w:t>
      </w:r>
      <w:r w:rsidRPr="00601EEA">
        <w:rPr>
          <w:rStyle w:val="TextoNormalCaracter"/>
        </w:rPr>
        <w:t>-</w:t>
      </w:r>
      <w:r>
        <w:t xml:space="preserve"> Sentencia </w:t>
      </w:r>
      <w:hyperlink w:anchor="SENTENCIA_2024_7" w:history="1">
        <w:r w:rsidRPr="00601EEA">
          <w:rPr>
            <w:rStyle w:val="TextoNormalCaracter"/>
          </w:rPr>
          <w:t>7/2024</w:t>
        </w:r>
      </w:hyperlink>
      <w:r>
        <w:t>, ff. 1, 6, VP.</w:t>
      </w:r>
    </w:p>
    <w:p w14:paraId="6DF8E2C7" w14:textId="0020CDC7" w:rsidR="00601EEA" w:rsidRDefault="00601EEA" w:rsidP="00601EEA">
      <w:pPr>
        <w:pStyle w:val="SangriaFrancesaArticulo"/>
      </w:pPr>
    </w:p>
    <w:p w14:paraId="011D86DA" w14:textId="77777777" w:rsidR="00601EEA" w:rsidRDefault="00601EEA" w:rsidP="00601EEA">
      <w:pPr>
        <w:pStyle w:val="TextoNormalNegritaCursivandice"/>
        <w:keepNext/>
      </w:pPr>
      <w:r>
        <w:t>Real Decreto-ley 16/2021, de 3 de agosto, por el que se adoptan medidas de protección social para hacer frente a situaciones de vulnerabilidad social y económica</w:t>
      </w:r>
    </w:p>
    <w:p w14:paraId="3C158BA2" w14:textId="31FC70FF"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7" w:history="1">
        <w:r w:rsidRPr="00601EEA">
          <w:rPr>
            <w:rStyle w:val="TextoNormalCaracter"/>
          </w:rPr>
          <w:t>7/2024</w:t>
        </w:r>
      </w:hyperlink>
      <w:r>
        <w:t>, f. 6.</w:t>
      </w:r>
    </w:p>
    <w:p w14:paraId="55B53DB0" w14:textId="7E07EB68" w:rsidR="00601EEA" w:rsidRDefault="00601EEA" w:rsidP="00601EEA">
      <w:pPr>
        <w:pStyle w:val="SangriaFrancesaArticulo"/>
      </w:pPr>
      <w:r w:rsidRPr="00601EEA">
        <w:rPr>
          <w:rStyle w:val="TextoNormalNegritaCaracter"/>
        </w:rPr>
        <w:t>Preámbulo.</w:t>
      </w:r>
      <w:r w:rsidRPr="00601EEA">
        <w:rPr>
          <w:rStyle w:val="TextoNormalCaracter"/>
        </w:rPr>
        <w:t>-</w:t>
      </w:r>
      <w:r>
        <w:t xml:space="preserve"> Sentencia </w:t>
      </w:r>
      <w:hyperlink w:anchor="SENTENCIA_2024_7" w:history="1">
        <w:r w:rsidRPr="00601EEA">
          <w:rPr>
            <w:rStyle w:val="TextoNormalCaracter"/>
          </w:rPr>
          <w:t>7/2024</w:t>
        </w:r>
      </w:hyperlink>
      <w:r>
        <w:t>, f. 4.</w:t>
      </w:r>
    </w:p>
    <w:p w14:paraId="4358481E" w14:textId="4BE938A5" w:rsidR="00601EEA" w:rsidRDefault="00601EEA" w:rsidP="00601EEA">
      <w:pPr>
        <w:pStyle w:val="SangriaFrancesaArticulo"/>
      </w:pPr>
      <w:r w:rsidRPr="00601EEA">
        <w:rPr>
          <w:rStyle w:val="TextoNormalNegritaCaracter"/>
        </w:rPr>
        <w:t>Preámbulo apartado 1.</w:t>
      </w:r>
      <w:r w:rsidRPr="00601EEA">
        <w:rPr>
          <w:rStyle w:val="TextoNormalCaracter"/>
        </w:rPr>
        <w:t>-</w:t>
      </w:r>
      <w:r>
        <w:t xml:space="preserve"> Sentencia </w:t>
      </w:r>
      <w:hyperlink w:anchor="SENTENCIA_2024_7" w:history="1">
        <w:r w:rsidRPr="00601EEA">
          <w:rPr>
            <w:rStyle w:val="TextoNormalCaracter"/>
          </w:rPr>
          <w:t>7/2024</w:t>
        </w:r>
      </w:hyperlink>
      <w:r>
        <w:t>, f. 4.</w:t>
      </w:r>
    </w:p>
    <w:p w14:paraId="2DAACE61" w14:textId="287183CD" w:rsidR="00601EEA" w:rsidRDefault="00601EEA" w:rsidP="00601EEA">
      <w:pPr>
        <w:pStyle w:val="SangriaFrancesaArticulo"/>
      </w:pPr>
      <w:r w:rsidRPr="00601EEA">
        <w:rPr>
          <w:rStyle w:val="TextoNormalNegritaCaracter"/>
        </w:rPr>
        <w:t>Preámbulo apartado 2.</w:t>
      </w:r>
      <w:r w:rsidRPr="00601EEA">
        <w:rPr>
          <w:rStyle w:val="TextoNormalCaracter"/>
        </w:rPr>
        <w:t>-</w:t>
      </w:r>
      <w:r>
        <w:t xml:space="preserve"> Sentencia </w:t>
      </w:r>
      <w:hyperlink w:anchor="SENTENCIA_2024_7" w:history="1">
        <w:r w:rsidRPr="00601EEA">
          <w:rPr>
            <w:rStyle w:val="TextoNormalCaracter"/>
          </w:rPr>
          <w:t>7/2024</w:t>
        </w:r>
      </w:hyperlink>
      <w:r>
        <w:t>, f. 4.</w:t>
      </w:r>
    </w:p>
    <w:p w14:paraId="6928640F" w14:textId="465197F9" w:rsidR="00601EEA" w:rsidRDefault="00601EEA" w:rsidP="00601EEA">
      <w:pPr>
        <w:pStyle w:val="SangriaFrancesaArticulo"/>
      </w:pPr>
      <w:r w:rsidRPr="00601EEA">
        <w:rPr>
          <w:rStyle w:val="TextoNormalNegritaCaracter"/>
        </w:rPr>
        <w:t>Preámbulo apartado 3.</w:t>
      </w:r>
      <w:r w:rsidRPr="00601EEA">
        <w:rPr>
          <w:rStyle w:val="TextoNormalCaracter"/>
        </w:rPr>
        <w:t>-</w:t>
      </w:r>
      <w:r>
        <w:t xml:space="preserve"> Sentencia </w:t>
      </w:r>
      <w:hyperlink w:anchor="SENTENCIA_2024_7" w:history="1">
        <w:r w:rsidRPr="00601EEA">
          <w:rPr>
            <w:rStyle w:val="TextoNormalCaracter"/>
          </w:rPr>
          <w:t>7/2024</w:t>
        </w:r>
      </w:hyperlink>
      <w:r>
        <w:t>, f. 4.</w:t>
      </w:r>
    </w:p>
    <w:p w14:paraId="17BFB6D8" w14:textId="0017D752" w:rsidR="00601EEA" w:rsidRDefault="00601EEA" w:rsidP="00601EEA">
      <w:pPr>
        <w:pStyle w:val="SangriaFrancesaArticulo"/>
      </w:pPr>
      <w:r w:rsidRPr="00601EEA">
        <w:rPr>
          <w:rStyle w:val="TextoNormalNegritaCaracter"/>
        </w:rPr>
        <w:t>Preámbulo apartado 4.</w:t>
      </w:r>
      <w:r w:rsidRPr="00601EEA">
        <w:rPr>
          <w:rStyle w:val="TextoNormalCaracter"/>
        </w:rPr>
        <w:t>-</w:t>
      </w:r>
      <w:r>
        <w:t xml:space="preserve"> Sentencia </w:t>
      </w:r>
      <w:hyperlink w:anchor="SENTENCIA_2024_7" w:history="1">
        <w:r w:rsidRPr="00601EEA">
          <w:rPr>
            <w:rStyle w:val="TextoNormalCaracter"/>
          </w:rPr>
          <w:t>7/2024</w:t>
        </w:r>
      </w:hyperlink>
      <w:r>
        <w:t>, f. 4.</w:t>
      </w:r>
    </w:p>
    <w:p w14:paraId="62B714EE" w14:textId="392FDEFE" w:rsidR="00601EEA" w:rsidRDefault="00601EEA" w:rsidP="00601EEA">
      <w:pPr>
        <w:pStyle w:val="SangriaFrancesaArticulo"/>
      </w:pPr>
      <w:r w:rsidRPr="00601EEA">
        <w:rPr>
          <w:rStyle w:val="TextoNormalNegritaCaracter"/>
        </w:rPr>
        <w:t>Artículo 2.2.</w:t>
      </w:r>
      <w:r w:rsidRPr="00601EEA">
        <w:rPr>
          <w:rStyle w:val="TextoNormalCaracter"/>
        </w:rPr>
        <w:t>-</w:t>
      </w:r>
      <w:r>
        <w:t xml:space="preserve"> Sentencia </w:t>
      </w:r>
      <w:hyperlink w:anchor="SENTENCIA_2024_7" w:history="1">
        <w:r w:rsidRPr="00601EEA">
          <w:rPr>
            <w:rStyle w:val="TextoNormalCaracter"/>
          </w:rPr>
          <w:t>7/2024</w:t>
        </w:r>
      </w:hyperlink>
      <w:r>
        <w:t>, ff. 1 a 4, VP.</w:t>
      </w:r>
    </w:p>
    <w:p w14:paraId="405C4128" w14:textId="2E3C8495" w:rsidR="00601EEA" w:rsidRDefault="00601EEA" w:rsidP="00601EEA">
      <w:pPr>
        <w:pStyle w:val="SangriaFrancesaArticulo"/>
      </w:pPr>
    </w:p>
    <w:p w14:paraId="42F3AA32" w14:textId="77777777" w:rsidR="00601EEA" w:rsidRDefault="00601EEA" w:rsidP="00601EEA">
      <w:pPr>
        <w:pStyle w:val="TextoNormalNegritaCursivandice"/>
        <w:keepNext/>
      </w:pPr>
      <w:r>
        <w:t>Real Decreto-ley 21/2021, de 26 de octubre, por el que se prorrogan las medidas de protección social para hacer frente a situaciones de vulnerabilidad social y económica</w:t>
      </w:r>
    </w:p>
    <w:p w14:paraId="42B6AC8D" w14:textId="4AE253CD" w:rsidR="00601EEA" w:rsidRDefault="00601EEA" w:rsidP="00601EEA">
      <w:pPr>
        <w:pStyle w:val="SangriaFrancesaArticulo"/>
      </w:pPr>
      <w:r w:rsidRPr="00601EEA">
        <w:rPr>
          <w:rStyle w:val="TextoNormalNegritaCaracter"/>
        </w:rPr>
        <w:t>Artículo 2.2.</w:t>
      </w:r>
      <w:r w:rsidRPr="00601EEA">
        <w:rPr>
          <w:rStyle w:val="TextoNormalCaracter"/>
        </w:rPr>
        <w:t>-</w:t>
      </w:r>
      <w:r>
        <w:t xml:space="preserve"> Sentencia </w:t>
      </w:r>
      <w:hyperlink w:anchor="SENTENCIA_2024_7" w:history="1">
        <w:r w:rsidRPr="00601EEA">
          <w:rPr>
            <w:rStyle w:val="TextoNormalCaracter"/>
          </w:rPr>
          <w:t>7/2024</w:t>
        </w:r>
      </w:hyperlink>
      <w:r>
        <w:t>, f. 2, VP.</w:t>
      </w:r>
    </w:p>
    <w:p w14:paraId="447B5134" w14:textId="49E71FAB" w:rsidR="00601EEA" w:rsidRDefault="00601EEA" w:rsidP="00601EEA">
      <w:pPr>
        <w:pStyle w:val="SangriaFrancesaArticulo"/>
      </w:pPr>
    </w:p>
    <w:p w14:paraId="7E82DCE2" w14:textId="77777777" w:rsidR="00601EEA" w:rsidRDefault="00601EEA" w:rsidP="00601EEA">
      <w:pPr>
        <w:pStyle w:val="TextoNormalNegritaCursivandice"/>
        <w:keepNext/>
      </w:pPr>
      <w:r>
        <w:lastRenderedPageBreak/>
        <w:t>Real Decreto-ley 2/2022, de 22 de febrero, por el que se adoptan medidas urgentes para la protección de los trabajadores autónomos, para la transición hacia los mecanismos estructurales de defensa del empleo, y para la recuperación económica y social de la isla de La Palma, y se prorrogan determinadas medidas para hacer frente a situaciones de vulnerabilidad social y económica</w:t>
      </w:r>
    </w:p>
    <w:p w14:paraId="6F0AC3A6" w14:textId="736525E0" w:rsidR="00601EEA" w:rsidRDefault="00601EEA" w:rsidP="00601EEA">
      <w:pPr>
        <w:pStyle w:val="SangriaFrancesaArticulo"/>
      </w:pPr>
      <w:r w:rsidRPr="00601EEA">
        <w:rPr>
          <w:rStyle w:val="TextoNormalNegritaCaracter"/>
        </w:rPr>
        <w:t>Artículo 2.2.</w:t>
      </w:r>
      <w:r w:rsidRPr="00601EEA">
        <w:rPr>
          <w:rStyle w:val="TextoNormalCaracter"/>
        </w:rPr>
        <w:t>-</w:t>
      </w:r>
      <w:r>
        <w:t xml:space="preserve"> Sentencia </w:t>
      </w:r>
      <w:hyperlink w:anchor="SENTENCIA_2024_7" w:history="1">
        <w:r w:rsidRPr="00601EEA">
          <w:rPr>
            <w:rStyle w:val="TextoNormalCaracter"/>
          </w:rPr>
          <w:t>7/2024</w:t>
        </w:r>
      </w:hyperlink>
      <w:r>
        <w:t>, VP.</w:t>
      </w:r>
    </w:p>
    <w:p w14:paraId="06B95304" w14:textId="0EB273A2" w:rsidR="00601EEA" w:rsidRDefault="00601EEA" w:rsidP="00601EEA">
      <w:pPr>
        <w:pStyle w:val="SangriaFrancesaArticulo"/>
      </w:pPr>
    </w:p>
    <w:p w14:paraId="4F1042D3" w14:textId="77777777" w:rsidR="00601EEA" w:rsidRDefault="00601EEA" w:rsidP="00601EEA">
      <w:pPr>
        <w:pStyle w:val="TextoNormalNegritaCursivandice"/>
        <w:keepNext/>
      </w:pPr>
      <w:r>
        <w:t>Real Decreto-ley 6/2022, de 29 de marzo, por el que se adoptan medidas urgentes en el marco del plan nacional de respuesta a las consecuencias económicas y sociales de la guerra en Ucrania</w:t>
      </w:r>
    </w:p>
    <w:p w14:paraId="6458E3FC" w14:textId="2A17EBB6"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79" w:history="1">
        <w:r w:rsidRPr="00601EEA">
          <w:rPr>
            <w:rStyle w:val="TextoNormalCaracter"/>
          </w:rPr>
          <w:t>79/2024</w:t>
        </w:r>
      </w:hyperlink>
      <w:r>
        <w:t>, f. 6.</w:t>
      </w:r>
    </w:p>
    <w:p w14:paraId="65788A3F" w14:textId="5C5C84A0" w:rsidR="00601EEA" w:rsidRDefault="00601EEA" w:rsidP="00601EEA">
      <w:pPr>
        <w:pStyle w:val="SangriaFrancesaArticulo"/>
      </w:pPr>
    </w:p>
    <w:p w14:paraId="55671850" w14:textId="77777777" w:rsidR="00601EEA" w:rsidRDefault="00601EEA" w:rsidP="00601EEA">
      <w:pPr>
        <w:pStyle w:val="TextoNormalNegritaCursivandice"/>
        <w:keepNext/>
      </w:pPr>
      <w:r>
        <w:t>Real Decreto-ley 11/2022, de 25 de junio, por el que se adoptan y se prorrogan determinadas medidas para responder a las consecuencias económicas y sociales de la guerra en Ucrania, para hacer frente a situaciones de vulnerabilidad social y económica, y para la recuperación económica y social de la isla de La Palma</w:t>
      </w:r>
    </w:p>
    <w:p w14:paraId="28FDA8D7" w14:textId="22EC31B3" w:rsidR="00601EEA" w:rsidRDefault="00601EEA" w:rsidP="00601EEA">
      <w:pPr>
        <w:pStyle w:val="SangriaFrancesaArticulo"/>
      </w:pPr>
      <w:r w:rsidRPr="00601EEA">
        <w:rPr>
          <w:rStyle w:val="TextoNormalNegritaCaracter"/>
        </w:rPr>
        <w:t>Artículo 29.2.</w:t>
      </w:r>
      <w:r w:rsidRPr="00601EEA">
        <w:rPr>
          <w:rStyle w:val="TextoNormalCaracter"/>
        </w:rPr>
        <w:t>-</w:t>
      </w:r>
      <w:r>
        <w:t xml:space="preserve"> Sentencia </w:t>
      </w:r>
      <w:hyperlink w:anchor="SENTENCIA_2024_7" w:history="1">
        <w:r w:rsidRPr="00601EEA">
          <w:rPr>
            <w:rStyle w:val="TextoNormalCaracter"/>
          </w:rPr>
          <w:t>7/2024</w:t>
        </w:r>
      </w:hyperlink>
      <w:r>
        <w:t>, VP.</w:t>
      </w:r>
    </w:p>
    <w:p w14:paraId="38046A2C" w14:textId="1C69FC38" w:rsidR="00601EEA" w:rsidRDefault="00601EEA" w:rsidP="00601EEA">
      <w:pPr>
        <w:pStyle w:val="SangriaFrancesaArticulo"/>
      </w:pPr>
    </w:p>
    <w:p w14:paraId="22597DAF" w14:textId="77777777" w:rsidR="00601EEA" w:rsidRDefault="00601EEA" w:rsidP="00601EEA">
      <w:pPr>
        <w:pStyle w:val="TextoNormalNegritaCursivandice"/>
        <w:keepNext/>
      </w:pPr>
      <w:r>
        <w:t>Real Decreto-ley 14/2022, de 1 de agosto, de medidas de sostenibilidad económica en el ámbito del transporte, en materia de becas y ayudas al estudio, así como de medidas de ahorro, eficiencia energética y de reducción de la dependencia energética del gas natural</w:t>
      </w:r>
    </w:p>
    <w:p w14:paraId="56051FA9" w14:textId="53854C93"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20" w:history="1">
        <w:r w:rsidRPr="00601EEA">
          <w:rPr>
            <w:rStyle w:val="TextoNormalCaracter"/>
          </w:rPr>
          <w:t>20/2024</w:t>
        </w:r>
      </w:hyperlink>
      <w:r>
        <w:t>, ff. 2, 3.</w:t>
      </w:r>
    </w:p>
    <w:p w14:paraId="5B198BF7" w14:textId="0F1925C2" w:rsidR="00601EEA" w:rsidRDefault="00601EEA" w:rsidP="00601EEA">
      <w:pPr>
        <w:pStyle w:val="SangriaFrancesaArticulo"/>
      </w:pPr>
      <w:r w:rsidRPr="00601EEA">
        <w:rPr>
          <w:rStyle w:val="TextoNormalNegritaCaracter"/>
        </w:rPr>
        <w:t>Título V.</w:t>
      </w:r>
      <w:r w:rsidRPr="00601EEA">
        <w:rPr>
          <w:rStyle w:val="TextoNormalCaracter"/>
        </w:rPr>
        <w:t>-</w:t>
      </w:r>
      <w:r>
        <w:t xml:space="preserve"> Sentencia </w:t>
      </w:r>
      <w:hyperlink w:anchor="SENTENCIA_2024_20" w:history="1">
        <w:r w:rsidRPr="00601EEA">
          <w:rPr>
            <w:rStyle w:val="TextoNormalCaracter"/>
          </w:rPr>
          <w:t>20/2024</w:t>
        </w:r>
      </w:hyperlink>
      <w:r>
        <w:t>, f. 3.</w:t>
      </w:r>
    </w:p>
    <w:p w14:paraId="1635D47D" w14:textId="5A7EF111" w:rsidR="00601EEA" w:rsidRDefault="00601EEA" w:rsidP="00601EEA">
      <w:pPr>
        <w:pStyle w:val="SangriaFrancesaArticulo"/>
      </w:pPr>
      <w:r w:rsidRPr="00601EEA">
        <w:rPr>
          <w:rStyle w:val="TextoNormalNegritaCaracter"/>
        </w:rPr>
        <w:t>Preámbulo.</w:t>
      </w:r>
      <w:r w:rsidRPr="00601EEA">
        <w:rPr>
          <w:rStyle w:val="TextoNormalCaracter"/>
        </w:rPr>
        <w:t>-</w:t>
      </w:r>
      <w:r>
        <w:t xml:space="preserve"> Sentencia </w:t>
      </w:r>
      <w:hyperlink w:anchor="SENTENCIA_2024_20" w:history="1">
        <w:r w:rsidRPr="00601EEA">
          <w:rPr>
            <w:rStyle w:val="TextoNormalCaracter"/>
          </w:rPr>
          <w:t>20/2024</w:t>
        </w:r>
      </w:hyperlink>
      <w:r>
        <w:t>, f. 3.</w:t>
      </w:r>
    </w:p>
    <w:p w14:paraId="591F2AF9" w14:textId="635C6921" w:rsidR="00601EEA" w:rsidRDefault="00601EEA" w:rsidP="00601EEA">
      <w:pPr>
        <w:pStyle w:val="SangriaFrancesaArticulo"/>
      </w:pPr>
      <w:r w:rsidRPr="00601EEA">
        <w:rPr>
          <w:rStyle w:val="TextoNormalNegritaCaracter"/>
        </w:rPr>
        <w:t>Preámbulo, apartado I.</w:t>
      </w:r>
      <w:r w:rsidRPr="00601EEA">
        <w:rPr>
          <w:rStyle w:val="TextoNormalCaracter"/>
        </w:rPr>
        <w:t>-</w:t>
      </w:r>
      <w:r>
        <w:t xml:space="preserve"> Sentencia </w:t>
      </w:r>
      <w:hyperlink w:anchor="SENTENCIA_2024_20" w:history="1">
        <w:r w:rsidRPr="00601EEA">
          <w:rPr>
            <w:rStyle w:val="TextoNormalCaracter"/>
          </w:rPr>
          <w:t>20/2024</w:t>
        </w:r>
      </w:hyperlink>
      <w:r>
        <w:t>, f. 3.</w:t>
      </w:r>
    </w:p>
    <w:p w14:paraId="2B5F46EF" w14:textId="3E471E57" w:rsidR="00601EEA" w:rsidRDefault="00601EEA" w:rsidP="00601EEA">
      <w:pPr>
        <w:pStyle w:val="SangriaFrancesaArticulo"/>
      </w:pPr>
      <w:r w:rsidRPr="00601EEA">
        <w:rPr>
          <w:rStyle w:val="TextoNormalNegritaCaracter"/>
        </w:rPr>
        <w:t>Preámbulo, apartado VI.</w:t>
      </w:r>
      <w:r w:rsidRPr="00601EEA">
        <w:rPr>
          <w:rStyle w:val="TextoNormalCaracter"/>
        </w:rPr>
        <w:t>-</w:t>
      </w:r>
      <w:r>
        <w:t xml:space="preserve"> Sentencia </w:t>
      </w:r>
      <w:hyperlink w:anchor="SENTENCIA_2024_20" w:history="1">
        <w:r w:rsidRPr="00601EEA">
          <w:rPr>
            <w:rStyle w:val="TextoNormalCaracter"/>
          </w:rPr>
          <w:t>20/2024</w:t>
        </w:r>
      </w:hyperlink>
      <w:r>
        <w:t>, f. 3.</w:t>
      </w:r>
    </w:p>
    <w:p w14:paraId="1A0B925A" w14:textId="150222D6" w:rsidR="00601EEA" w:rsidRDefault="00601EEA" w:rsidP="00601EEA">
      <w:pPr>
        <w:pStyle w:val="SangriaFrancesaArticulo"/>
      </w:pPr>
      <w:r w:rsidRPr="00601EEA">
        <w:rPr>
          <w:rStyle w:val="TextoNormalNegritaCaracter"/>
        </w:rPr>
        <w:t>Preámbulo, apartado VIII.</w:t>
      </w:r>
      <w:r w:rsidRPr="00601EEA">
        <w:rPr>
          <w:rStyle w:val="TextoNormalCaracter"/>
        </w:rPr>
        <w:t>-</w:t>
      </w:r>
      <w:r>
        <w:t xml:space="preserve"> Sentencia </w:t>
      </w:r>
      <w:hyperlink w:anchor="SENTENCIA_2024_20" w:history="1">
        <w:r w:rsidRPr="00601EEA">
          <w:rPr>
            <w:rStyle w:val="TextoNormalCaracter"/>
          </w:rPr>
          <w:t>20/2024</w:t>
        </w:r>
      </w:hyperlink>
      <w:r>
        <w:t>, f. 3.</w:t>
      </w:r>
    </w:p>
    <w:p w14:paraId="0E0C631C" w14:textId="66A0F530" w:rsidR="00601EEA" w:rsidRDefault="00601EEA" w:rsidP="00601EEA">
      <w:pPr>
        <w:pStyle w:val="SangriaFrancesaArticulo"/>
      </w:pPr>
      <w:r w:rsidRPr="00601EEA">
        <w:rPr>
          <w:rStyle w:val="TextoNormalNegritaCaracter"/>
        </w:rPr>
        <w:t>Artículo 29.</w:t>
      </w:r>
      <w:r w:rsidRPr="00601EEA">
        <w:rPr>
          <w:rStyle w:val="TextoNormalCaracter"/>
        </w:rPr>
        <w:t>-</w:t>
      </w:r>
      <w:r>
        <w:t xml:space="preserve"> Sentencia </w:t>
      </w:r>
      <w:hyperlink w:anchor="SENTENCIA_2024_20" w:history="1">
        <w:r w:rsidRPr="00601EEA">
          <w:rPr>
            <w:rStyle w:val="TextoNormalCaracter"/>
          </w:rPr>
          <w:t>20/2024</w:t>
        </w:r>
      </w:hyperlink>
      <w:r>
        <w:t>, ff. 1 a 3, VP.</w:t>
      </w:r>
    </w:p>
    <w:p w14:paraId="130BC479" w14:textId="086899D4" w:rsidR="00601EEA" w:rsidRDefault="00601EEA" w:rsidP="00601EEA">
      <w:pPr>
        <w:pStyle w:val="SangriaFrancesaArticulo"/>
      </w:pPr>
      <w:r w:rsidRPr="00601EEA">
        <w:rPr>
          <w:rStyle w:val="TextoNormalNegritaCaracter"/>
        </w:rPr>
        <w:t>Artículo 29.1.</w:t>
      </w:r>
      <w:r w:rsidRPr="00601EEA">
        <w:rPr>
          <w:rStyle w:val="TextoNormalCaracter"/>
        </w:rPr>
        <w:t>-</w:t>
      </w:r>
      <w:r>
        <w:t xml:space="preserve"> Sentencia </w:t>
      </w:r>
      <w:hyperlink w:anchor="SENTENCIA_2024_20" w:history="1">
        <w:r w:rsidRPr="00601EEA">
          <w:rPr>
            <w:rStyle w:val="TextoNormalCaracter"/>
          </w:rPr>
          <w:t>20/2024</w:t>
        </w:r>
      </w:hyperlink>
      <w:r>
        <w:t>, ff. 1 a 3.</w:t>
      </w:r>
    </w:p>
    <w:p w14:paraId="588A3E6F" w14:textId="25F1A237" w:rsidR="00601EEA" w:rsidRDefault="00601EEA" w:rsidP="00601EEA">
      <w:pPr>
        <w:pStyle w:val="SangriaFrancesaArticulo"/>
      </w:pPr>
      <w:r w:rsidRPr="00601EEA">
        <w:rPr>
          <w:rStyle w:val="TextoNormalNegritaCaracter"/>
        </w:rPr>
        <w:t>Artículo 29.2.</w:t>
      </w:r>
      <w:r w:rsidRPr="00601EEA">
        <w:rPr>
          <w:rStyle w:val="TextoNormalCaracter"/>
        </w:rPr>
        <w:t>-</w:t>
      </w:r>
      <w:r>
        <w:t xml:space="preserve"> Sentencia </w:t>
      </w:r>
      <w:hyperlink w:anchor="SENTENCIA_2024_20" w:history="1">
        <w:r w:rsidRPr="00601EEA">
          <w:rPr>
            <w:rStyle w:val="TextoNormalCaracter"/>
          </w:rPr>
          <w:t>20/2024</w:t>
        </w:r>
      </w:hyperlink>
      <w:r>
        <w:t>, ff. 1 a 3.</w:t>
      </w:r>
    </w:p>
    <w:p w14:paraId="29E483D6" w14:textId="42469247" w:rsidR="00601EEA" w:rsidRDefault="00601EEA" w:rsidP="00601EEA">
      <w:pPr>
        <w:pStyle w:val="SangriaFrancesaArticulo"/>
      </w:pPr>
      <w:r w:rsidRPr="00601EEA">
        <w:rPr>
          <w:rStyle w:val="TextoNormalNegritaCaracter"/>
        </w:rPr>
        <w:t>Artículo 29.3.</w:t>
      </w:r>
      <w:r w:rsidRPr="00601EEA">
        <w:rPr>
          <w:rStyle w:val="TextoNormalCaracter"/>
        </w:rPr>
        <w:t>-</w:t>
      </w:r>
      <w:r>
        <w:t xml:space="preserve"> Sentencia </w:t>
      </w:r>
      <w:hyperlink w:anchor="SENTENCIA_2024_20" w:history="1">
        <w:r w:rsidRPr="00601EEA">
          <w:rPr>
            <w:rStyle w:val="TextoNormalCaracter"/>
          </w:rPr>
          <w:t>20/2024</w:t>
        </w:r>
      </w:hyperlink>
      <w:r>
        <w:t>, ff. 1, 3, 4.</w:t>
      </w:r>
    </w:p>
    <w:p w14:paraId="0F7930F5" w14:textId="0099699E" w:rsidR="00601EEA" w:rsidRDefault="00601EEA" w:rsidP="00601EEA">
      <w:pPr>
        <w:pStyle w:val="SangriaFrancesaArticulo"/>
      </w:pPr>
      <w:r w:rsidRPr="00601EEA">
        <w:rPr>
          <w:rStyle w:val="TextoNormalNegritaCaracter"/>
        </w:rPr>
        <w:t>Artículo 29.4.</w:t>
      </w:r>
      <w:r w:rsidRPr="00601EEA">
        <w:rPr>
          <w:rStyle w:val="TextoNormalCaracter"/>
        </w:rPr>
        <w:t>-</w:t>
      </w:r>
      <w:r>
        <w:t xml:space="preserve"> Sentencia </w:t>
      </w:r>
      <w:hyperlink w:anchor="SENTENCIA_2024_20" w:history="1">
        <w:r w:rsidRPr="00601EEA">
          <w:rPr>
            <w:rStyle w:val="TextoNormalCaracter"/>
          </w:rPr>
          <w:t>20/2024</w:t>
        </w:r>
      </w:hyperlink>
      <w:r>
        <w:t>, ff. 1 a 3.</w:t>
      </w:r>
    </w:p>
    <w:p w14:paraId="0ABB6D84" w14:textId="7F094912" w:rsidR="00601EEA" w:rsidRDefault="00601EEA" w:rsidP="00601EEA">
      <w:pPr>
        <w:pStyle w:val="SangriaFrancesaArticulo"/>
      </w:pPr>
      <w:r w:rsidRPr="00601EEA">
        <w:rPr>
          <w:rStyle w:val="TextoNormalNegritaCaracter"/>
        </w:rPr>
        <w:t>Artículo 29.5.</w:t>
      </w:r>
      <w:r w:rsidRPr="00601EEA">
        <w:rPr>
          <w:rStyle w:val="TextoNormalCaracter"/>
        </w:rPr>
        <w:t>-</w:t>
      </w:r>
      <w:r>
        <w:t xml:space="preserve"> Sentencia </w:t>
      </w:r>
      <w:hyperlink w:anchor="SENTENCIA_2024_20" w:history="1">
        <w:r w:rsidRPr="00601EEA">
          <w:rPr>
            <w:rStyle w:val="TextoNormalCaracter"/>
          </w:rPr>
          <w:t>20/2024</w:t>
        </w:r>
      </w:hyperlink>
      <w:r>
        <w:t>, ff. 1 a 3.</w:t>
      </w:r>
    </w:p>
    <w:p w14:paraId="0B475CFD" w14:textId="1AE621BD" w:rsidR="00601EEA" w:rsidRDefault="00601EEA" w:rsidP="00601EEA">
      <w:pPr>
        <w:pStyle w:val="SangriaFrancesaArticulo"/>
      </w:pPr>
      <w:r w:rsidRPr="00601EEA">
        <w:rPr>
          <w:rStyle w:val="TextoNormalNegritaCaracter"/>
        </w:rPr>
        <w:t>Artículo 29.6.</w:t>
      </w:r>
      <w:r w:rsidRPr="00601EEA">
        <w:rPr>
          <w:rStyle w:val="TextoNormalCaracter"/>
        </w:rPr>
        <w:t>-</w:t>
      </w:r>
      <w:r>
        <w:t xml:space="preserve"> Sentencia </w:t>
      </w:r>
      <w:hyperlink w:anchor="SENTENCIA_2024_20" w:history="1">
        <w:r w:rsidRPr="00601EEA">
          <w:rPr>
            <w:rStyle w:val="TextoNormalCaracter"/>
          </w:rPr>
          <w:t>20/2024</w:t>
        </w:r>
      </w:hyperlink>
      <w:r>
        <w:t>, f. 3.</w:t>
      </w:r>
    </w:p>
    <w:p w14:paraId="518447B5" w14:textId="5ABFCDCF" w:rsidR="00601EEA" w:rsidRDefault="00601EEA" w:rsidP="00601EEA">
      <w:pPr>
        <w:pStyle w:val="SangriaFrancesaArticulo"/>
      </w:pPr>
    </w:p>
    <w:p w14:paraId="276D0A21" w14:textId="77777777" w:rsidR="00601EEA" w:rsidRDefault="00601EEA" w:rsidP="00601EEA">
      <w:pPr>
        <w:pStyle w:val="TextoNormalNegritaCursivandice"/>
        <w:keepNext/>
      </w:pPr>
      <w:r>
        <w:t>Real Decreto-ley 20/2022, de 27 de diciembre, de medidas de respuesta a las consecuencias económicas y sociales de la guerra de Ucrania y de apoyo a la reconstrucción de la isla de La Palma y a otras situaciones de vulnerabilidad</w:t>
      </w:r>
    </w:p>
    <w:p w14:paraId="66A79F8F" w14:textId="3456664D" w:rsidR="00601EEA" w:rsidRDefault="00601EEA" w:rsidP="00601EEA">
      <w:pPr>
        <w:pStyle w:val="SangriaFrancesaArticulo"/>
      </w:pPr>
      <w:r w:rsidRPr="00601EEA">
        <w:rPr>
          <w:rStyle w:val="TextoNormalNegritaCaracter"/>
        </w:rPr>
        <w:t>Artículo 68.2.</w:t>
      </w:r>
      <w:r w:rsidRPr="00601EEA">
        <w:rPr>
          <w:rStyle w:val="TextoNormalCaracter"/>
        </w:rPr>
        <w:t>-</w:t>
      </w:r>
      <w:r>
        <w:t xml:space="preserve"> Sentencia </w:t>
      </w:r>
      <w:hyperlink w:anchor="SENTENCIA_2024_7" w:history="1">
        <w:r w:rsidRPr="00601EEA">
          <w:rPr>
            <w:rStyle w:val="TextoNormalCaracter"/>
          </w:rPr>
          <w:t>7/2024</w:t>
        </w:r>
      </w:hyperlink>
      <w:r>
        <w:t>, VP.</w:t>
      </w:r>
    </w:p>
    <w:p w14:paraId="7DECC4E5" w14:textId="7F4A7641" w:rsidR="00601EEA" w:rsidRDefault="00601EEA" w:rsidP="00601EEA">
      <w:pPr>
        <w:pStyle w:val="SangriaFrancesaArticulo"/>
      </w:pPr>
    </w:p>
    <w:p w14:paraId="22F23985" w14:textId="77777777" w:rsidR="00601EEA" w:rsidRDefault="00601EEA" w:rsidP="00601EEA">
      <w:pPr>
        <w:pStyle w:val="TextoNormalNegritaCursivandice"/>
        <w:keepNext/>
      </w:pPr>
      <w:r>
        <w:t>Real Decreto-ley 2/2023, de 16 de marzo, de medidas urgentes para la ampliación de derechos de los pensionistas, la reducción de la brecha de género y el establecimiento de un nuevo marco de sostenibilidad del sistema público de pensiones</w:t>
      </w:r>
    </w:p>
    <w:p w14:paraId="7003260B" w14:textId="7F14B978" w:rsidR="00601EEA" w:rsidRDefault="00601EEA" w:rsidP="00601EEA">
      <w:pPr>
        <w:pStyle w:val="SangriaFrancesaArticulo"/>
      </w:pPr>
      <w:r w:rsidRPr="00601EEA">
        <w:rPr>
          <w:rStyle w:val="TextoNormalNegritaCaracter"/>
        </w:rPr>
        <w:t>En general.</w:t>
      </w:r>
      <w:r w:rsidRPr="00601EEA">
        <w:rPr>
          <w:rStyle w:val="TextoNormalCaracter"/>
        </w:rPr>
        <w:t>-</w:t>
      </w:r>
      <w:r>
        <w:t xml:space="preserve"> Auto </w:t>
      </w:r>
      <w:hyperlink w:anchor="AUTO_2024_30" w:history="1">
        <w:r w:rsidRPr="00601EEA">
          <w:rPr>
            <w:rStyle w:val="TextoNormalCaracter"/>
          </w:rPr>
          <w:t>30/2024</w:t>
        </w:r>
      </w:hyperlink>
      <w:r>
        <w:t>, ff. 1, 3.</w:t>
      </w:r>
    </w:p>
    <w:p w14:paraId="1CC1924B" w14:textId="49161A7E" w:rsidR="00601EEA" w:rsidRDefault="00601EEA" w:rsidP="00601EEA">
      <w:pPr>
        <w:pStyle w:val="SangriaFrancesaArticulo"/>
      </w:pPr>
    </w:p>
    <w:p w14:paraId="0F44BAEA" w14:textId="77777777" w:rsidR="00601EEA" w:rsidRDefault="00601EEA" w:rsidP="00601EEA">
      <w:pPr>
        <w:pStyle w:val="TextoNormalNegritaCursivandice"/>
        <w:keepNext/>
      </w:pPr>
      <w:r>
        <w:lastRenderedPageBreak/>
        <w:t>Real Decreto-ley 5/2023, de 28 de junio, por el que se adoptan y prorrogan determinadas medidas de respuesta a las consecuencias económicas y sociales de la guerra de Ucrania, de apoyo a la reconstrucción de la isla de La Palma y a otras situaciones de vulnerabilidad; de transposición de Directivas de la Unión Europea en materia de modificaciones estructurales de sociedades mercantiles y conciliación de la vida familiar y la vida profesional de los progenitores y los cuidadores; y de ejecución y cumplimiento del Derecho de la Unión Europea</w:t>
      </w:r>
    </w:p>
    <w:p w14:paraId="65421C4C" w14:textId="5BD49EAE"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88" w:history="1">
        <w:r w:rsidRPr="00601EEA">
          <w:rPr>
            <w:rStyle w:val="TextoNormalCaracter"/>
          </w:rPr>
          <w:t>88/2024</w:t>
        </w:r>
      </w:hyperlink>
      <w:r>
        <w:t>, f. 4.</w:t>
      </w:r>
    </w:p>
    <w:p w14:paraId="08D4CA32" w14:textId="497C3A8D" w:rsidR="00601EEA" w:rsidRDefault="00601EEA" w:rsidP="00601EEA">
      <w:pPr>
        <w:pStyle w:val="SangriaFrancesaArticulo"/>
      </w:pPr>
      <w:r w:rsidRPr="00601EEA">
        <w:rPr>
          <w:rStyle w:val="TextoNormalNegritaCaracter"/>
        </w:rPr>
        <w:t>Preámbulo.</w:t>
      </w:r>
      <w:r w:rsidRPr="00601EEA">
        <w:rPr>
          <w:rStyle w:val="TextoNormalCaracter"/>
        </w:rPr>
        <w:t>-</w:t>
      </w:r>
      <w:r>
        <w:t xml:space="preserve"> Sentencia </w:t>
      </w:r>
      <w:hyperlink w:anchor="SENTENCIA_2024_88" w:history="1">
        <w:r w:rsidRPr="00601EEA">
          <w:rPr>
            <w:rStyle w:val="TextoNormalCaracter"/>
          </w:rPr>
          <w:t>88/2024</w:t>
        </w:r>
      </w:hyperlink>
      <w:r>
        <w:t>, f. 4.</w:t>
      </w:r>
    </w:p>
    <w:p w14:paraId="7CF84835" w14:textId="097705F5" w:rsidR="00601EEA" w:rsidRDefault="00601EEA" w:rsidP="00601EEA">
      <w:pPr>
        <w:pStyle w:val="SangriaFrancesaArticulo"/>
      </w:pPr>
      <w:r w:rsidRPr="00601EEA">
        <w:rPr>
          <w:rStyle w:val="TextoNormalNegritaCaracter"/>
        </w:rPr>
        <w:t>Artículo 151.</w:t>
      </w:r>
      <w:r w:rsidRPr="00601EEA">
        <w:rPr>
          <w:rStyle w:val="TextoNormalCaracter"/>
        </w:rPr>
        <w:t>-</w:t>
      </w:r>
      <w:r>
        <w:t xml:space="preserve"> Sentencia </w:t>
      </w:r>
      <w:hyperlink w:anchor="SENTENCIA_2024_88" w:history="1">
        <w:r w:rsidRPr="00601EEA">
          <w:rPr>
            <w:rStyle w:val="TextoNormalCaracter"/>
          </w:rPr>
          <w:t>88/2024</w:t>
        </w:r>
      </w:hyperlink>
      <w:r>
        <w:t>, f. 7.</w:t>
      </w:r>
    </w:p>
    <w:p w14:paraId="2421334A" w14:textId="5221A0DC" w:rsidR="00601EEA" w:rsidRDefault="00601EEA" w:rsidP="00601EEA">
      <w:pPr>
        <w:pStyle w:val="SangriaFrancesaArticulo"/>
      </w:pPr>
      <w:r w:rsidRPr="00601EEA">
        <w:rPr>
          <w:rStyle w:val="TextoNormalNegritaCaracter"/>
        </w:rPr>
        <w:t>Artículo 168.2.</w:t>
      </w:r>
      <w:r w:rsidRPr="00601EEA">
        <w:rPr>
          <w:rStyle w:val="TextoNormalCaracter"/>
        </w:rPr>
        <w:t>-</w:t>
      </w:r>
      <w:r>
        <w:t xml:space="preserve"> Sentencia </w:t>
      </w:r>
      <w:hyperlink w:anchor="SENTENCIA_2024_7" w:history="1">
        <w:r w:rsidRPr="00601EEA">
          <w:rPr>
            <w:rStyle w:val="TextoNormalCaracter"/>
          </w:rPr>
          <w:t>7/2024</w:t>
        </w:r>
      </w:hyperlink>
      <w:r>
        <w:t>, VP.</w:t>
      </w:r>
    </w:p>
    <w:p w14:paraId="5A4BCB58" w14:textId="28C4E20F" w:rsidR="00601EEA" w:rsidRDefault="00601EEA" w:rsidP="00601EEA">
      <w:pPr>
        <w:pStyle w:val="SangriaFrancesaArticulo"/>
      </w:pPr>
    </w:p>
    <w:p w14:paraId="7D8E24BE" w14:textId="77777777" w:rsidR="00601EEA" w:rsidRDefault="00601EEA" w:rsidP="00601EEA">
      <w:pPr>
        <w:pStyle w:val="TextoNormalNegritaCursivandice"/>
        <w:keepNext/>
      </w:pPr>
      <w:r>
        <w:t>Real Decreto-ley 6/2023, de 19 de diciembre, por el que se aprueban medidas urgentes para la ejecución del plan de recuperación, transformación y resiliencia en materia de servicio público de justicia, función pública, régimen local y mecenazgo</w:t>
      </w:r>
    </w:p>
    <w:p w14:paraId="298DB430" w14:textId="6F7361B4"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Sentencias </w:t>
      </w:r>
      <w:hyperlink w:anchor="SENTENCIA_2024_67" w:history="1">
        <w:r w:rsidRPr="00601EEA">
          <w:rPr>
            <w:rStyle w:val="TextoNormalCaracter"/>
          </w:rPr>
          <w:t>67/2024</w:t>
        </w:r>
      </w:hyperlink>
      <w:r>
        <w:t xml:space="preserve">, VP; </w:t>
      </w:r>
      <w:hyperlink w:anchor="SENTENCIA_2024_84" w:history="1">
        <w:r w:rsidRPr="00601EEA">
          <w:rPr>
            <w:rStyle w:val="TextoNormalCaracter"/>
          </w:rPr>
          <w:t>84/2024</w:t>
        </w:r>
      </w:hyperlink>
      <w:r>
        <w:t>, f. 2.</w:t>
      </w:r>
    </w:p>
    <w:p w14:paraId="2DB44423" w14:textId="0E1829E8" w:rsidR="00601EEA" w:rsidRDefault="00601EEA" w:rsidP="00601EEA">
      <w:pPr>
        <w:pStyle w:val="SangriaFrancesaArticulo"/>
      </w:pPr>
      <w:r w:rsidRPr="00601EEA">
        <w:rPr>
          <w:rStyle w:val="TextoNormalNegritaCaracter"/>
        </w:rPr>
        <w:t>Artículo 103.30.</w:t>
      </w:r>
      <w:r w:rsidRPr="00601EEA">
        <w:rPr>
          <w:rStyle w:val="TextoNormalCaracter"/>
        </w:rPr>
        <w:t>-</w:t>
      </w:r>
      <w:r>
        <w:t xml:space="preserve"> Sentencia </w:t>
      </w:r>
      <w:hyperlink w:anchor="SENTENCIA_2024_84" w:history="1">
        <w:r w:rsidRPr="00601EEA">
          <w:rPr>
            <w:rStyle w:val="TextoNormalCaracter"/>
          </w:rPr>
          <w:t>84/2024</w:t>
        </w:r>
      </w:hyperlink>
      <w:r>
        <w:t>, f. 2.</w:t>
      </w:r>
    </w:p>
    <w:p w14:paraId="4BA11686" w14:textId="62F02377" w:rsidR="00601EEA" w:rsidRDefault="00601EEA" w:rsidP="00601EEA">
      <w:pPr>
        <w:pStyle w:val="SangriaFrancesaArticulo"/>
      </w:pPr>
      <w:r w:rsidRPr="00601EEA">
        <w:rPr>
          <w:rStyle w:val="TextoNormalNegritaCaracter"/>
        </w:rPr>
        <w:t>Artículo 128.</w:t>
      </w:r>
      <w:r w:rsidRPr="00601EEA">
        <w:rPr>
          <w:rStyle w:val="TextoNormalCaracter"/>
        </w:rPr>
        <w:t>-</w:t>
      </w:r>
      <w:r>
        <w:t xml:space="preserve"> Sentencia </w:t>
      </w:r>
      <w:hyperlink w:anchor="SENTENCIA_2024_67" w:history="1">
        <w:r w:rsidRPr="00601EEA">
          <w:rPr>
            <w:rStyle w:val="TextoNormalCaracter"/>
          </w:rPr>
          <w:t>67/2024</w:t>
        </w:r>
      </w:hyperlink>
      <w:r>
        <w:t>, f. 2.</w:t>
      </w:r>
    </w:p>
    <w:p w14:paraId="7E4374F4" w14:textId="47034975" w:rsidR="00601EEA" w:rsidRDefault="00601EEA" w:rsidP="00601EEA">
      <w:pPr>
        <w:pStyle w:val="SangriaFrancesaArticulo"/>
      </w:pPr>
      <w:r w:rsidRPr="00601EEA">
        <w:rPr>
          <w:rStyle w:val="TextoNormalNegritaCaracter"/>
        </w:rPr>
        <w:t>Artículo 128.7.</w:t>
      </w:r>
      <w:r w:rsidRPr="00601EEA">
        <w:rPr>
          <w:rStyle w:val="TextoNormalCaracter"/>
        </w:rPr>
        <w:t>-</w:t>
      </w:r>
      <w:r>
        <w:t xml:space="preserve"> Sentencia </w:t>
      </w:r>
      <w:hyperlink w:anchor="SENTENCIA_2024_67" w:history="1">
        <w:r w:rsidRPr="00601EEA">
          <w:rPr>
            <w:rStyle w:val="TextoNormalCaracter"/>
          </w:rPr>
          <w:t>67/2024</w:t>
        </w:r>
      </w:hyperlink>
      <w:r>
        <w:t>, f. 2, VP.</w:t>
      </w:r>
    </w:p>
    <w:p w14:paraId="1BD60C94" w14:textId="7DAD5930" w:rsidR="00601EEA" w:rsidRDefault="00601EEA" w:rsidP="00601EEA">
      <w:pPr>
        <w:pStyle w:val="SangriaFrancesaArticulo"/>
      </w:pPr>
    </w:p>
    <w:p w14:paraId="42E5B876" w14:textId="77777777" w:rsidR="00601EEA" w:rsidRDefault="00601EEA" w:rsidP="00601EEA">
      <w:pPr>
        <w:pStyle w:val="TextoNormalNegritaCursivandice"/>
        <w:keepNext/>
      </w:pPr>
      <w:r>
        <w:t>Real Decreto-ley 8/2023, de 27 de diciembre, por el que se adoptan medidas para afrontar las consecuencias económicas y sociales derivadas de los conflictos en Ucrania y Oriente Próximo, así como para paliar los efectos de la sequía</w:t>
      </w:r>
    </w:p>
    <w:p w14:paraId="1DA31885" w14:textId="580B9FBE" w:rsidR="00601EEA" w:rsidRDefault="00601EEA" w:rsidP="00601EEA">
      <w:pPr>
        <w:pStyle w:val="SangriaFrancesaArticulo"/>
      </w:pPr>
      <w:r w:rsidRPr="00601EEA">
        <w:rPr>
          <w:rStyle w:val="TextoNormalNegritaCaracter"/>
        </w:rPr>
        <w:t>Artículo 81.</w:t>
      </w:r>
      <w:r w:rsidRPr="00601EEA">
        <w:rPr>
          <w:rStyle w:val="TextoNormalCaracter"/>
        </w:rPr>
        <w:t>-</w:t>
      </w:r>
      <w:r>
        <w:t xml:space="preserve"> Sentencia </w:t>
      </w:r>
      <w:hyperlink w:anchor="SENTENCIA_2024_19" w:history="1">
        <w:r w:rsidRPr="00601EEA">
          <w:rPr>
            <w:rStyle w:val="TextoNormalCaracter"/>
          </w:rPr>
          <w:t>19/2024</w:t>
        </w:r>
      </w:hyperlink>
      <w:r>
        <w:t>, ff. 4, 5.</w:t>
      </w:r>
    </w:p>
    <w:p w14:paraId="76A7142D" w14:textId="0EABB5F0" w:rsidR="00601EEA" w:rsidRDefault="00601EEA" w:rsidP="00601EEA">
      <w:pPr>
        <w:pStyle w:val="SangriaFrancesaArticulo"/>
      </w:pPr>
      <w:r w:rsidRPr="00601EEA">
        <w:rPr>
          <w:rStyle w:val="TextoNormalNegritaCaracter"/>
        </w:rPr>
        <w:t>Artículo 87.2.</w:t>
      </w:r>
      <w:r w:rsidRPr="00601EEA">
        <w:rPr>
          <w:rStyle w:val="TextoNormalCaracter"/>
        </w:rPr>
        <w:t>-</w:t>
      </w:r>
      <w:r>
        <w:t xml:space="preserve"> Sentencia </w:t>
      </w:r>
      <w:hyperlink w:anchor="SENTENCIA_2024_7" w:history="1">
        <w:r w:rsidRPr="00601EEA">
          <w:rPr>
            <w:rStyle w:val="TextoNormalCaracter"/>
          </w:rPr>
          <w:t>7/2024</w:t>
        </w:r>
      </w:hyperlink>
      <w:r>
        <w:t>, VP.</w:t>
      </w:r>
    </w:p>
    <w:p w14:paraId="6B28799B" w14:textId="07C1AE03" w:rsidR="00601EEA" w:rsidRDefault="00601EEA" w:rsidP="00601EEA">
      <w:pPr>
        <w:pStyle w:val="SangriaFrancesaArticulo"/>
      </w:pPr>
      <w:r w:rsidRPr="00601EEA">
        <w:rPr>
          <w:rStyle w:val="TextoNormalNegritaCaracter"/>
        </w:rPr>
        <w:t>Artículo 88.</w:t>
      </w:r>
      <w:r w:rsidRPr="00601EEA">
        <w:rPr>
          <w:rStyle w:val="TextoNormalCaracter"/>
        </w:rPr>
        <w:t>-</w:t>
      </w:r>
      <w:r>
        <w:t xml:space="preserve"> Sentencia </w:t>
      </w:r>
      <w:hyperlink w:anchor="SENTENCIA_2024_7" w:history="1">
        <w:r w:rsidRPr="00601EEA">
          <w:rPr>
            <w:rStyle w:val="TextoNormalCaracter"/>
          </w:rPr>
          <w:t>7/2024</w:t>
        </w:r>
      </w:hyperlink>
      <w:r>
        <w:t>, VP.</w:t>
      </w:r>
    </w:p>
    <w:p w14:paraId="07F29C69" w14:textId="016718A1" w:rsidR="00601EEA" w:rsidRDefault="00601EEA" w:rsidP="00601EEA">
      <w:pPr>
        <w:pStyle w:val="TextoNormal"/>
      </w:pPr>
    </w:p>
    <w:p w14:paraId="4903B920" w14:textId="77777777" w:rsidR="00601EEA" w:rsidRDefault="00601EEA" w:rsidP="00601EEA">
      <w:pPr>
        <w:pStyle w:val="SangriaFrancesaArticulo"/>
      </w:pPr>
      <w:bookmarkStart w:id="168" w:name="INDICE22849"/>
    </w:p>
    <w:bookmarkEnd w:id="168"/>
    <w:p w14:paraId="29AB76D7" w14:textId="77777777" w:rsidR="00601EEA" w:rsidRDefault="00601EEA" w:rsidP="00601EEA">
      <w:pPr>
        <w:pStyle w:val="TextoIndiceNivel2"/>
        <w:suppressAutoHyphens/>
      </w:pPr>
      <w:r>
        <w:t>H) Reales Decretos y otras disposiciones generales del Estado</w:t>
      </w:r>
    </w:p>
    <w:p w14:paraId="6B4D91CD" w14:textId="19DF617B" w:rsidR="00601EEA" w:rsidRDefault="00601EEA" w:rsidP="00601EEA">
      <w:pPr>
        <w:pStyle w:val="TextoIndiceNivel2"/>
      </w:pPr>
    </w:p>
    <w:p w14:paraId="04CDB3EF" w14:textId="77777777" w:rsidR="00601EEA" w:rsidRDefault="00601EEA" w:rsidP="00601EEA">
      <w:pPr>
        <w:pStyle w:val="TextoNormalNegritaCursivandice"/>
        <w:keepNext/>
      </w:pPr>
      <w:r>
        <w:t>Real Decreto 1314/1984, de 20 de junio, por el que se regula la estructura y competencias de la Tesorería General de la Seguridad Social</w:t>
      </w:r>
    </w:p>
    <w:p w14:paraId="1A615E81" w14:textId="6631D08D"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19" w:history="1">
        <w:r w:rsidRPr="00601EEA">
          <w:rPr>
            <w:rStyle w:val="TextoNormalCaracter"/>
          </w:rPr>
          <w:t>19/2024</w:t>
        </w:r>
      </w:hyperlink>
      <w:r>
        <w:t>, f. 4.</w:t>
      </w:r>
    </w:p>
    <w:p w14:paraId="1E614266" w14:textId="76FEEEA7" w:rsidR="00601EEA" w:rsidRDefault="00601EEA" w:rsidP="00601EEA">
      <w:pPr>
        <w:pStyle w:val="SangriaFrancesaArticulo"/>
      </w:pPr>
      <w:r w:rsidRPr="00601EEA">
        <w:rPr>
          <w:rStyle w:val="TextoNormalNegritaCaracter"/>
        </w:rPr>
        <w:t>Artículo 1.</w:t>
      </w:r>
      <w:r w:rsidRPr="00601EEA">
        <w:rPr>
          <w:rStyle w:val="TextoNormalCaracter"/>
        </w:rPr>
        <w:t>-</w:t>
      </w:r>
      <w:r>
        <w:t xml:space="preserve"> Sentencia </w:t>
      </w:r>
      <w:hyperlink w:anchor="SENTENCIA_2024_19" w:history="1">
        <w:r w:rsidRPr="00601EEA">
          <w:rPr>
            <w:rStyle w:val="TextoNormalCaracter"/>
          </w:rPr>
          <w:t>19/2024</w:t>
        </w:r>
      </w:hyperlink>
      <w:r>
        <w:t>, f. 3.</w:t>
      </w:r>
    </w:p>
    <w:p w14:paraId="39BC83CA" w14:textId="1018B194" w:rsidR="00601EEA" w:rsidRDefault="00601EEA" w:rsidP="00601EEA">
      <w:pPr>
        <w:pStyle w:val="SangriaFrancesaArticulo"/>
      </w:pPr>
    </w:p>
    <w:p w14:paraId="429C67A0" w14:textId="77777777" w:rsidR="00601EEA" w:rsidRDefault="00601EEA" w:rsidP="00601EEA">
      <w:pPr>
        <w:pStyle w:val="TextoNormalNegritaCursivandice"/>
        <w:keepNext/>
      </w:pPr>
      <w:r>
        <w:t>Real Decreto 2377/1985, de 18 de diciembre. Reglamento de normas básicas sobre conciertos educativos</w:t>
      </w:r>
    </w:p>
    <w:p w14:paraId="71C00444" w14:textId="57EFA261"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26" w:history="1">
        <w:r w:rsidRPr="00601EEA">
          <w:rPr>
            <w:rStyle w:val="TextoNormalCaracter"/>
          </w:rPr>
          <w:t>26/2024</w:t>
        </w:r>
      </w:hyperlink>
      <w:r>
        <w:t>, VP I.</w:t>
      </w:r>
    </w:p>
    <w:p w14:paraId="0B498C17" w14:textId="1F8FFBEA" w:rsidR="00601EEA" w:rsidRDefault="00601EEA" w:rsidP="00601EEA">
      <w:pPr>
        <w:pStyle w:val="SangriaFrancesaArticulo"/>
      </w:pPr>
    </w:p>
    <w:p w14:paraId="7D842CBC" w14:textId="77777777" w:rsidR="00601EEA" w:rsidRDefault="00601EEA" w:rsidP="00601EEA">
      <w:pPr>
        <w:pStyle w:val="TextoNormalNegritaCursivandice"/>
        <w:keepNext/>
      </w:pPr>
      <w:r>
        <w:t>Real Decreto 1476/1987, de 2 de octubre, sobre traspaso a la Comunidad Autónoma del País Vasco de las funciones y servicios del Instituto Nacional de Servicios Sociales (INSERSO)</w:t>
      </w:r>
    </w:p>
    <w:p w14:paraId="5C43A3A2" w14:textId="5EE2E3C1"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19" w:history="1">
        <w:r w:rsidRPr="00601EEA">
          <w:rPr>
            <w:rStyle w:val="TextoNormalCaracter"/>
          </w:rPr>
          <w:t>19/2024</w:t>
        </w:r>
      </w:hyperlink>
      <w:r>
        <w:t>, f. 5.</w:t>
      </w:r>
    </w:p>
    <w:p w14:paraId="5247E582" w14:textId="770AEA88" w:rsidR="00601EEA" w:rsidRDefault="00601EEA" w:rsidP="00601EEA">
      <w:pPr>
        <w:pStyle w:val="SangriaFrancesaArticulo"/>
      </w:pPr>
      <w:r w:rsidRPr="00601EEA">
        <w:rPr>
          <w:rStyle w:val="TextoNormalNegritaCaracter"/>
        </w:rPr>
        <w:lastRenderedPageBreak/>
        <w:t>Apartado G).</w:t>
      </w:r>
      <w:r w:rsidRPr="00601EEA">
        <w:rPr>
          <w:rStyle w:val="TextoNormalCaracter"/>
        </w:rPr>
        <w:t>-</w:t>
      </w:r>
      <w:r>
        <w:t xml:space="preserve"> Sentencia </w:t>
      </w:r>
      <w:hyperlink w:anchor="SENTENCIA_2024_19" w:history="1">
        <w:r w:rsidRPr="00601EEA">
          <w:rPr>
            <w:rStyle w:val="TextoNormalCaracter"/>
          </w:rPr>
          <w:t>19/2024</w:t>
        </w:r>
      </w:hyperlink>
      <w:r>
        <w:t>, f. 5.</w:t>
      </w:r>
    </w:p>
    <w:p w14:paraId="0CBB9E48" w14:textId="14B3D6E6" w:rsidR="00601EEA" w:rsidRDefault="00601EEA" w:rsidP="00601EEA">
      <w:pPr>
        <w:pStyle w:val="SangriaFrancesaArticulo"/>
      </w:pPr>
    </w:p>
    <w:p w14:paraId="7D0740C5" w14:textId="77777777" w:rsidR="00601EEA" w:rsidRDefault="00601EEA" w:rsidP="00601EEA">
      <w:pPr>
        <w:pStyle w:val="TextoNormalNegritaCursivandice"/>
        <w:keepNext/>
      </w:pPr>
      <w:r>
        <w:t>Real Decreto 1211/1990, de 28 de septiembre, por el que se aprueba el Reglamento de la Ley de ordenación de los transportes terrestres</w:t>
      </w:r>
    </w:p>
    <w:p w14:paraId="22666D83" w14:textId="78BFD245" w:rsidR="00601EEA" w:rsidRDefault="00601EEA" w:rsidP="00601EEA">
      <w:pPr>
        <w:pStyle w:val="SangriaFrancesaArticulo"/>
      </w:pPr>
      <w:r w:rsidRPr="00601EEA">
        <w:rPr>
          <w:rStyle w:val="TextoNormalNegritaCaracter"/>
        </w:rPr>
        <w:t>Artículo 180.</w:t>
      </w:r>
      <w:r w:rsidRPr="00601EEA">
        <w:rPr>
          <w:rStyle w:val="TextoNormalCaracter"/>
        </w:rPr>
        <w:t>-</w:t>
      </w:r>
      <w:r>
        <w:t xml:space="preserve"> Sentencia </w:t>
      </w:r>
      <w:hyperlink w:anchor="SENTENCIA_2024_88" w:history="1">
        <w:r w:rsidRPr="00601EEA">
          <w:rPr>
            <w:rStyle w:val="TextoNormalCaracter"/>
          </w:rPr>
          <w:t>88/2024</w:t>
        </w:r>
      </w:hyperlink>
      <w:r>
        <w:t>, f. 4.</w:t>
      </w:r>
    </w:p>
    <w:p w14:paraId="21DD93A3" w14:textId="14A4D6D4" w:rsidR="00601EEA" w:rsidRDefault="00601EEA" w:rsidP="00601EEA">
      <w:pPr>
        <w:pStyle w:val="SangriaFrancesaArticulo"/>
      </w:pPr>
      <w:r w:rsidRPr="00601EEA">
        <w:rPr>
          <w:rStyle w:val="TextoNormalNegritaCaracter"/>
        </w:rPr>
        <w:t>Artículo 181.</w:t>
      </w:r>
      <w:r w:rsidRPr="00601EEA">
        <w:rPr>
          <w:rStyle w:val="TextoNormalCaracter"/>
        </w:rPr>
        <w:t>-</w:t>
      </w:r>
      <w:r>
        <w:t xml:space="preserve"> Sentencia </w:t>
      </w:r>
      <w:hyperlink w:anchor="SENTENCIA_2024_88" w:history="1">
        <w:r w:rsidRPr="00601EEA">
          <w:rPr>
            <w:rStyle w:val="TextoNormalCaracter"/>
          </w:rPr>
          <w:t>88/2024</w:t>
        </w:r>
      </w:hyperlink>
      <w:r>
        <w:t>, f. 4.</w:t>
      </w:r>
    </w:p>
    <w:p w14:paraId="32B80AAE" w14:textId="732F3C5C" w:rsidR="00601EEA" w:rsidRDefault="00601EEA" w:rsidP="00601EEA">
      <w:pPr>
        <w:pStyle w:val="SangriaFrancesaArticulo"/>
      </w:pPr>
      <w:r w:rsidRPr="00601EEA">
        <w:rPr>
          <w:rStyle w:val="TextoNormalNegritaCaracter"/>
        </w:rPr>
        <w:t>Artículo 181.3 último párrafo</w:t>
      </w:r>
      <w:r>
        <w:t xml:space="preserve"> (redactado por el Real Decreto 1057/2015, de 20 de noviembre)</w:t>
      </w:r>
      <w:r w:rsidRPr="00601EEA">
        <w:rPr>
          <w:rStyle w:val="TextoNormalNegritaCaracter"/>
        </w:rPr>
        <w:t>.</w:t>
      </w:r>
      <w:r w:rsidRPr="00601EEA">
        <w:rPr>
          <w:rStyle w:val="TextoNormalCaracter"/>
        </w:rPr>
        <w:t>-</w:t>
      </w:r>
      <w:r>
        <w:t xml:space="preserve"> Sentencia </w:t>
      </w:r>
      <w:hyperlink w:anchor="SENTENCIA_2024_88" w:history="1">
        <w:r w:rsidRPr="00601EEA">
          <w:rPr>
            <w:rStyle w:val="TextoNormalCaracter"/>
          </w:rPr>
          <w:t>88/2024</w:t>
        </w:r>
      </w:hyperlink>
      <w:r>
        <w:t>, f. 5.</w:t>
      </w:r>
    </w:p>
    <w:p w14:paraId="3D0FFE6E" w14:textId="575E917E" w:rsidR="00601EEA" w:rsidRDefault="00601EEA" w:rsidP="00601EEA">
      <w:pPr>
        <w:pStyle w:val="SangriaFrancesaArticulo"/>
      </w:pPr>
      <w:r w:rsidRPr="00601EEA">
        <w:rPr>
          <w:rStyle w:val="TextoNormalNegritaCaracter"/>
        </w:rPr>
        <w:t>Artículo 182.</w:t>
      </w:r>
      <w:r w:rsidRPr="00601EEA">
        <w:rPr>
          <w:rStyle w:val="TextoNormalCaracter"/>
        </w:rPr>
        <w:t>-</w:t>
      </w:r>
      <w:r>
        <w:t xml:space="preserve"> Sentencia </w:t>
      </w:r>
      <w:hyperlink w:anchor="SENTENCIA_2024_88" w:history="1">
        <w:r w:rsidRPr="00601EEA">
          <w:rPr>
            <w:rStyle w:val="TextoNormalCaracter"/>
          </w:rPr>
          <w:t>88/2024</w:t>
        </w:r>
      </w:hyperlink>
      <w:r>
        <w:t>, f. 4.</w:t>
      </w:r>
    </w:p>
    <w:p w14:paraId="41133862" w14:textId="2F5E308C" w:rsidR="00601EEA" w:rsidRDefault="00601EEA" w:rsidP="00601EEA">
      <w:pPr>
        <w:pStyle w:val="SangriaFrancesaArticulo"/>
      </w:pPr>
      <w:r w:rsidRPr="00601EEA">
        <w:rPr>
          <w:rStyle w:val="TextoNormalNegritaCaracter"/>
        </w:rPr>
        <w:t>Artículo 182.1.</w:t>
      </w:r>
      <w:r w:rsidRPr="00601EEA">
        <w:rPr>
          <w:rStyle w:val="TextoNormalCaracter"/>
        </w:rPr>
        <w:t>-</w:t>
      </w:r>
      <w:r>
        <w:t xml:space="preserve"> Sentencia </w:t>
      </w:r>
      <w:hyperlink w:anchor="SENTENCIA_2024_88" w:history="1">
        <w:r w:rsidRPr="00601EEA">
          <w:rPr>
            <w:rStyle w:val="TextoNormalCaracter"/>
          </w:rPr>
          <w:t>88/2024</w:t>
        </w:r>
      </w:hyperlink>
      <w:r>
        <w:t>, ff. 4, 5.</w:t>
      </w:r>
    </w:p>
    <w:p w14:paraId="446104B7" w14:textId="58FEC688" w:rsidR="00601EEA" w:rsidRDefault="00601EEA" w:rsidP="00601EEA">
      <w:pPr>
        <w:pStyle w:val="SangriaFrancesaArticulo"/>
      </w:pPr>
    </w:p>
    <w:p w14:paraId="1F5E3BE5" w14:textId="77777777" w:rsidR="00601EEA" w:rsidRDefault="00601EEA" w:rsidP="00601EEA">
      <w:pPr>
        <w:pStyle w:val="TextoNormalNegritaCursivandice"/>
        <w:keepNext/>
      </w:pPr>
      <w:r>
        <w:t>Real Decreto 1681/1990, de 28 de diciembre, sobre traspaso a la Comunidad Foral de Navarra de las funciones y servicios del Instituto Nacional de Servicios Sociales (INSERSO)</w:t>
      </w:r>
    </w:p>
    <w:p w14:paraId="775FAF56" w14:textId="4D522EE3"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19" w:history="1">
        <w:r w:rsidRPr="00601EEA">
          <w:rPr>
            <w:rStyle w:val="TextoNormalCaracter"/>
          </w:rPr>
          <w:t>19/2024</w:t>
        </w:r>
      </w:hyperlink>
      <w:r>
        <w:t>, f. 5.</w:t>
      </w:r>
    </w:p>
    <w:p w14:paraId="225C5603" w14:textId="4556D0F1" w:rsidR="00601EEA" w:rsidRDefault="00601EEA" w:rsidP="00601EEA">
      <w:pPr>
        <w:pStyle w:val="SangriaFrancesaArticulo"/>
      </w:pPr>
      <w:r w:rsidRPr="00601EEA">
        <w:rPr>
          <w:rStyle w:val="TextoNormalNegritaCaracter"/>
        </w:rPr>
        <w:t>Apartado 7.</w:t>
      </w:r>
      <w:r w:rsidRPr="00601EEA">
        <w:rPr>
          <w:rStyle w:val="TextoNormalCaracter"/>
        </w:rPr>
        <w:t>-</w:t>
      </w:r>
      <w:r>
        <w:t xml:space="preserve"> Sentencia </w:t>
      </w:r>
      <w:hyperlink w:anchor="SENTENCIA_2024_19" w:history="1">
        <w:r w:rsidRPr="00601EEA">
          <w:rPr>
            <w:rStyle w:val="TextoNormalCaracter"/>
          </w:rPr>
          <w:t>19/2024</w:t>
        </w:r>
      </w:hyperlink>
      <w:r>
        <w:t>, f. 5.</w:t>
      </w:r>
    </w:p>
    <w:p w14:paraId="24B758B0" w14:textId="28D22EDB" w:rsidR="00601EEA" w:rsidRDefault="00601EEA" w:rsidP="00601EEA">
      <w:pPr>
        <w:pStyle w:val="SangriaFrancesaArticulo"/>
      </w:pPr>
    </w:p>
    <w:p w14:paraId="5FDA46E3" w14:textId="77777777" w:rsidR="00601EEA" w:rsidRDefault="00601EEA" w:rsidP="00601EEA">
      <w:pPr>
        <w:pStyle w:val="TextoNormalNegritaCursivandice"/>
        <w:keepNext/>
      </w:pPr>
      <w:r>
        <w:t>Real Decreto 190/1996, de 9 de febrero, por el que se aprueba el reglamento penitenciario</w:t>
      </w:r>
    </w:p>
    <w:p w14:paraId="06605DD4" w14:textId="7383B9F0" w:rsidR="00601EEA" w:rsidRDefault="00601EEA" w:rsidP="00601EEA">
      <w:pPr>
        <w:pStyle w:val="SangriaFrancesaArticulo"/>
      </w:pPr>
      <w:r w:rsidRPr="00601EEA">
        <w:rPr>
          <w:rStyle w:val="TextoNormalNegritaCaracter"/>
        </w:rPr>
        <w:t>Artículo 3.</w:t>
      </w:r>
      <w:r w:rsidRPr="00601EEA">
        <w:rPr>
          <w:rStyle w:val="TextoNormalCaracter"/>
        </w:rPr>
        <w:t>-</w:t>
      </w:r>
      <w:r>
        <w:t xml:space="preserve"> Sentencia </w:t>
      </w:r>
      <w:hyperlink w:anchor="SENTENCIA_2024_53" w:history="1">
        <w:r w:rsidRPr="00601EEA">
          <w:rPr>
            <w:rStyle w:val="TextoNormalCaracter"/>
          </w:rPr>
          <w:t>53/2024</w:t>
        </w:r>
      </w:hyperlink>
      <w:r>
        <w:t>, f. 4.</w:t>
      </w:r>
    </w:p>
    <w:p w14:paraId="142A669A" w14:textId="39AEEA54" w:rsidR="00601EEA" w:rsidRDefault="00601EEA" w:rsidP="00601EEA">
      <w:pPr>
        <w:pStyle w:val="SangriaFrancesaArticulo"/>
      </w:pPr>
    </w:p>
    <w:p w14:paraId="496F8CA4" w14:textId="77777777" w:rsidR="00601EEA" w:rsidRDefault="00601EEA" w:rsidP="00601EEA">
      <w:pPr>
        <w:pStyle w:val="TextoNormalNegritaCursivandice"/>
        <w:keepNext/>
      </w:pPr>
      <w:r>
        <w:t>Orden del Ministerio de Trabajo y Seguridad Social de 22 de febrero de 1996 para la aplicación y desarrollo del reglamento general de la gestión financiera de la Seguridad Social, aprobado por el Real Decreto 1391/1995, de 4 de agosto</w:t>
      </w:r>
    </w:p>
    <w:p w14:paraId="77AE8792" w14:textId="27364A3A" w:rsidR="00601EEA" w:rsidRDefault="00601EEA" w:rsidP="00601EEA">
      <w:pPr>
        <w:pStyle w:val="SangriaFrancesaArticulo"/>
      </w:pPr>
      <w:r w:rsidRPr="00601EEA">
        <w:rPr>
          <w:rStyle w:val="TextoNormalNegritaCaracter"/>
        </w:rPr>
        <w:t>Artículo 21.2.</w:t>
      </w:r>
      <w:r w:rsidRPr="00601EEA">
        <w:rPr>
          <w:rStyle w:val="TextoNormalCaracter"/>
        </w:rPr>
        <w:t>-</w:t>
      </w:r>
      <w:r>
        <w:t xml:space="preserve"> Sentencia </w:t>
      </w:r>
      <w:hyperlink w:anchor="SENTENCIA_2024_19" w:history="1">
        <w:r w:rsidRPr="00601EEA">
          <w:rPr>
            <w:rStyle w:val="TextoNormalCaracter"/>
          </w:rPr>
          <w:t>19/2024</w:t>
        </w:r>
      </w:hyperlink>
      <w:r>
        <w:t>, f. 5.</w:t>
      </w:r>
    </w:p>
    <w:p w14:paraId="7DFC7238" w14:textId="58B6CB9F" w:rsidR="00601EEA" w:rsidRDefault="00601EEA" w:rsidP="00601EEA">
      <w:pPr>
        <w:pStyle w:val="SangriaFrancesaArticulo"/>
      </w:pPr>
    </w:p>
    <w:p w14:paraId="3FDC7401" w14:textId="77777777" w:rsidR="00601EEA" w:rsidRDefault="00601EEA" w:rsidP="00601EEA">
      <w:pPr>
        <w:pStyle w:val="TextoNormalNegritaCursivandice"/>
        <w:keepNext/>
      </w:pPr>
      <w:r>
        <w:t>Real Decreto 486/1997, de 14 de abril, por el que se establecen las disposiciones mínimas de seguridad y salud en los lugares de trabajo</w:t>
      </w:r>
    </w:p>
    <w:p w14:paraId="6B1F68DA" w14:textId="59CEAFC4"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20" w:history="1">
        <w:r w:rsidRPr="00601EEA">
          <w:rPr>
            <w:rStyle w:val="TextoNormalCaracter"/>
          </w:rPr>
          <w:t>20/2024</w:t>
        </w:r>
      </w:hyperlink>
      <w:r>
        <w:t>, f. 1.</w:t>
      </w:r>
    </w:p>
    <w:p w14:paraId="4B723420" w14:textId="77469DC4" w:rsidR="00601EEA" w:rsidRDefault="00601EEA" w:rsidP="00601EEA">
      <w:pPr>
        <w:pStyle w:val="SangriaFrancesaArticulo"/>
      </w:pPr>
    </w:p>
    <w:p w14:paraId="00D4532F" w14:textId="77777777" w:rsidR="00601EEA" w:rsidRDefault="00601EEA" w:rsidP="00601EEA">
      <w:pPr>
        <w:pStyle w:val="TextoNormalNegritaCursivandice"/>
        <w:keepNext/>
      </w:pPr>
      <w:r>
        <w:t>Real Decreto 1428/2003, de 21 de noviembre, por el que se aprueba el Reglamento general de circulación para la aplicación y desarrollo del texto articulado de la Ley sobre tráfico, circulación de vehículos a motor y seguridad vial, aprobado por el Real Decreto Legislativo 339/1990, de 2 de marzo</w:t>
      </w:r>
    </w:p>
    <w:p w14:paraId="1F7426F1" w14:textId="607155A2"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40" w:history="1">
        <w:r w:rsidRPr="00601EEA">
          <w:rPr>
            <w:rStyle w:val="TextoNormalCaracter"/>
          </w:rPr>
          <w:t>40/2024</w:t>
        </w:r>
      </w:hyperlink>
      <w:r>
        <w:t>, f. 4.</w:t>
      </w:r>
    </w:p>
    <w:p w14:paraId="23DAA365" w14:textId="6903CCE2" w:rsidR="00601EEA" w:rsidRDefault="00601EEA" w:rsidP="00601EEA">
      <w:pPr>
        <w:pStyle w:val="SangriaFrancesaArticulo"/>
      </w:pPr>
      <w:r w:rsidRPr="00601EEA">
        <w:rPr>
          <w:rStyle w:val="TextoNormalNegritaCaracter"/>
        </w:rPr>
        <w:t>Artículo 21.</w:t>
      </w:r>
      <w:r w:rsidRPr="00601EEA">
        <w:rPr>
          <w:rStyle w:val="TextoNormalCaracter"/>
        </w:rPr>
        <w:t>-</w:t>
      </w:r>
      <w:r>
        <w:t xml:space="preserve"> Sentencia </w:t>
      </w:r>
      <w:hyperlink w:anchor="SENTENCIA_2024_40" w:history="1">
        <w:r w:rsidRPr="00601EEA">
          <w:rPr>
            <w:rStyle w:val="TextoNormalCaracter"/>
          </w:rPr>
          <w:t>40/2024</w:t>
        </w:r>
      </w:hyperlink>
      <w:r>
        <w:t>, f. 4.</w:t>
      </w:r>
    </w:p>
    <w:p w14:paraId="0C882F6C" w14:textId="522C2877" w:rsidR="00601EEA" w:rsidRDefault="00601EEA" w:rsidP="00601EEA">
      <w:pPr>
        <w:pStyle w:val="SangriaFrancesaArticulo"/>
      </w:pPr>
      <w:r w:rsidRPr="00601EEA">
        <w:rPr>
          <w:rStyle w:val="TextoNormalNegritaCaracter"/>
        </w:rPr>
        <w:t>Artículo 21 b).</w:t>
      </w:r>
      <w:r w:rsidRPr="00601EEA">
        <w:rPr>
          <w:rStyle w:val="TextoNormalCaracter"/>
        </w:rPr>
        <w:t>-</w:t>
      </w:r>
      <w:r>
        <w:t xml:space="preserve"> Sentencia </w:t>
      </w:r>
      <w:hyperlink w:anchor="SENTENCIA_2024_40" w:history="1">
        <w:r w:rsidRPr="00601EEA">
          <w:rPr>
            <w:rStyle w:val="TextoNormalCaracter"/>
          </w:rPr>
          <w:t>40/2024</w:t>
        </w:r>
      </w:hyperlink>
      <w:r>
        <w:t>, f. 4.</w:t>
      </w:r>
    </w:p>
    <w:p w14:paraId="27C6BB99" w14:textId="2B7A3766" w:rsidR="00601EEA" w:rsidRDefault="00601EEA" w:rsidP="00601EEA">
      <w:pPr>
        <w:pStyle w:val="SangriaFrancesaArticulo"/>
      </w:pPr>
      <w:r w:rsidRPr="00601EEA">
        <w:rPr>
          <w:rStyle w:val="TextoNormalNegritaCaracter"/>
        </w:rPr>
        <w:t>Artículo 21 d).</w:t>
      </w:r>
      <w:r w:rsidRPr="00601EEA">
        <w:rPr>
          <w:rStyle w:val="TextoNormalCaracter"/>
        </w:rPr>
        <w:t>-</w:t>
      </w:r>
      <w:r>
        <w:t xml:space="preserve"> Sentencia </w:t>
      </w:r>
      <w:hyperlink w:anchor="SENTENCIA_2024_40" w:history="1">
        <w:r w:rsidRPr="00601EEA">
          <w:rPr>
            <w:rStyle w:val="TextoNormalCaracter"/>
          </w:rPr>
          <w:t>40/2024</w:t>
        </w:r>
      </w:hyperlink>
      <w:r>
        <w:t>, f. 4.</w:t>
      </w:r>
    </w:p>
    <w:p w14:paraId="70CBA31E" w14:textId="34F819AE" w:rsidR="00601EEA" w:rsidRDefault="00601EEA" w:rsidP="00601EEA">
      <w:pPr>
        <w:pStyle w:val="SangriaFrancesaArticulo"/>
      </w:pPr>
      <w:r w:rsidRPr="00601EEA">
        <w:rPr>
          <w:rStyle w:val="TextoNormalNegritaCaracter"/>
        </w:rPr>
        <w:t>Artículo 24.</w:t>
      </w:r>
      <w:r w:rsidRPr="00601EEA">
        <w:rPr>
          <w:rStyle w:val="TextoNormalCaracter"/>
        </w:rPr>
        <w:t>-</w:t>
      </w:r>
      <w:r>
        <w:t xml:space="preserve"> Sentencia </w:t>
      </w:r>
      <w:hyperlink w:anchor="SENTENCIA_2024_40" w:history="1">
        <w:r w:rsidRPr="00601EEA">
          <w:rPr>
            <w:rStyle w:val="TextoNormalCaracter"/>
          </w:rPr>
          <w:t>40/2024</w:t>
        </w:r>
      </w:hyperlink>
      <w:r>
        <w:t>, f. 4.</w:t>
      </w:r>
    </w:p>
    <w:p w14:paraId="0423F87C" w14:textId="73006265" w:rsidR="00601EEA" w:rsidRDefault="00601EEA" w:rsidP="00601EEA">
      <w:pPr>
        <w:pStyle w:val="SangriaFrancesaArticulo"/>
      </w:pPr>
    </w:p>
    <w:p w14:paraId="1C9E384E" w14:textId="77777777" w:rsidR="00601EEA" w:rsidRDefault="00601EEA" w:rsidP="00601EEA">
      <w:pPr>
        <w:pStyle w:val="TextoNormalNegritaCursivandice"/>
        <w:keepNext/>
      </w:pPr>
      <w:r>
        <w:t>Real Decreto 887/2006, de 21 de julio. Reglamento de la Ley 38/2003, de 17 de noviembre, general de subvenciones</w:t>
      </w:r>
    </w:p>
    <w:p w14:paraId="191BEF67" w14:textId="563793EE" w:rsidR="00601EEA" w:rsidRDefault="00601EEA" w:rsidP="00601EEA">
      <w:pPr>
        <w:pStyle w:val="SangriaFrancesaArticulo"/>
      </w:pPr>
      <w:r w:rsidRPr="00601EEA">
        <w:rPr>
          <w:rStyle w:val="TextoNormalNegritaCaracter"/>
        </w:rPr>
        <w:t>Artículo 15.1.</w:t>
      </w:r>
      <w:r w:rsidRPr="00601EEA">
        <w:rPr>
          <w:rStyle w:val="TextoNormalCaracter"/>
        </w:rPr>
        <w:t>-</w:t>
      </w:r>
      <w:r>
        <w:t xml:space="preserve"> Sentencia </w:t>
      </w:r>
      <w:hyperlink w:anchor="SENTENCIA_2024_93" w:history="1">
        <w:r w:rsidRPr="00601EEA">
          <w:rPr>
            <w:rStyle w:val="TextoNormalCaracter"/>
          </w:rPr>
          <w:t>93/2024</w:t>
        </w:r>
      </w:hyperlink>
      <w:r>
        <w:t>, VP II.</w:t>
      </w:r>
    </w:p>
    <w:p w14:paraId="2556BDAE" w14:textId="0BB77BFA" w:rsidR="00601EEA" w:rsidRDefault="00601EEA" w:rsidP="00601EEA">
      <w:pPr>
        <w:pStyle w:val="SangriaFrancesaArticulo"/>
      </w:pPr>
    </w:p>
    <w:p w14:paraId="554465FF" w14:textId="77777777" w:rsidR="00601EEA" w:rsidRDefault="00601EEA" w:rsidP="00601EEA">
      <w:pPr>
        <w:pStyle w:val="TextoNormalNegritaCursivandice"/>
        <w:keepNext/>
      </w:pPr>
      <w:r>
        <w:t>Real Decreto 395/2007, de 23 de marzo. Regula el subsistema de formación profesional para el empleo</w:t>
      </w:r>
    </w:p>
    <w:p w14:paraId="2B603846" w14:textId="2B9B797D" w:rsidR="00601EEA" w:rsidRDefault="00601EEA" w:rsidP="00601EEA">
      <w:pPr>
        <w:pStyle w:val="SangriaFrancesaArticulo"/>
      </w:pPr>
      <w:r w:rsidRPr="00601EEA">
        <w:rPr>
          <w:rStyle w:val="TextoNormalNegritaCaracter"/>
        </w:rPr>
        <w:t>Artículo 19.2.</w:t>
      </w:r>
      <w:r w:rsidRPr="00601EEA">
        <w:rPr>
          <w:rStyle w:val="TextoNormalCaracter"/>
        </w:rPr>
        <w:t>-</w:t>
      </w:r>
      <w:r>
        <w:t xml:space="preserve"> Sentencia </w:t>
      </w:r>
      <w:hyperlink w:anchor="SENTENCIA_2024_63" w:history="1">
        <w:r w:rsidRPr="00601EEA">
          <w:rPr>
            <w:rStyle w:val="TextoNormalCaracter"/>
          </w:rPr>
          <w:t>63/2024</w:t>
        </w:r>
      </w:hyperlink>
      <w:r>
        <w:t>, f. 2.</w:t>
      </w:r>
    </w:p>
    <w:p w14:paraId="26F5541B" w14:textId="02494164" w:rsidR="00601EEA" w:rsidRDefault="00601EEA" w:rsidP="00601EEA">
      <w:pPr>
        <w:pStyle w:val="SangriaFrancesaArticulo"/>
      </w:pPr>
      <w:r w:rsidRPr="00601EEA">
        <w:rPr>
          <w:rStyle w:val="TextoNormalNegritaCaracter"/>
        </w:rPr>
        <w:lastRenderedPageBreak/>
        <w:t>Artículo 24.</w:t>
      </w:r>
      <w:r w:rsidRPr="00601EEA">
        <w:rPr>
          <w:rStyle w:val="TextoNormalCaracter"/>
        </w:rPr>
        <w:t>-</w:t>
      </w:r>
      <w:r>
        <w:t xml:space="preserve"> Sentencia </w:t>
      </w:r>
      <w:hyperlink w:anchor="SENTENCIA_2024_63" w:history="1">
        <w:r w:rsidRPr="00601EEA">
          <w:rPr>
            <w:rStyle w:val="TextoNormalCaracter"/>
          </w:rPr>
          <w:t>63/2024</w:t>
        </w:r>
      </w:hyperlink>
      <w:r>
        <w:t>, f. 5.</w:t>
      </w:r>
    </w:p>
    <w:p w14:paraId="697E1B04" w14:textId="3B88B9BD" w:rsidR="00601EEA" w:rsidRDefault="00601EEA" w:rsidP="00601EEA">
      <w:pPr>
        <w:pStyle w:val="SangriaFrancesaArticulo"/>
      </w:pPr>
      <w:r w:rsidRPr="00601EEA">
        <w:rPr>
          <w:rStyle w:val="TextoNormalNegritaCaracter"/>
        </w:rPr>
        <w:t>Artículo 32.</w:t>
      </w:r>
      <w:r w:rsidRPr="00601EEA">
        <w:rPr>
          <w:rStyle w:val="TextoNormalCaracter"/>
        </w:rPr>
        <w:t>-</w:t>
      </w:r>
      <w:r>
        <w:t xml:space="preserve"> Sentencia </w:t>
      </w:r>
      <w:hyperlink w:anchor="SENTENCIA_2024_63" w:history="1">
        <w:r w:rsidRPr="00601EEA">
          <w:rPr>
            <w:rStyle w:val="TextoNormalCaracter"/>
          </w:rPr>
          <w:t>63/2024</w:t>
        </w:r>
      </w:hyperlink>
      <w:r>
        <w:t>, f. 5.</w:t>
      </w:r>
    </w:p>
    <w:p w14:paraId="5F0E42A3" w14:textId="43EAF9BF" w:rsidR="00601EEA" w:rsidRDefault="00601EEA" w:rsidP="00601EEA">
      <w:pPr>
        <w:pStyle w:val="SangriaFrancesaArticulo"/>
      </w:pPr>
      <w:r w:rsidRPr="00601EEA">
        <w:rPr>
          <w:rStyle w:val="TextoNormalNegritaCaracter"/>
        </w:rPr>
        <w:t>Artículo 33.</w:t>
      </w:r>
      <w:r w:rsidRPr="00601EEA">
        <w:rPr>
          <w:rStyle w:val="TextoNormalCaracter"/>
        </w:rPr>
        <w:t>-</w:t>
      </w:r>
      <w:r>
        <w:t xml:space="preserve"> Sentencia </w:t>
      </w:r>
      <w:hyperlink w:anchor="SENTENCIA_2024_63" w:history="1">
        <w:r w:rsidRPr="00601EEA">
          <w:rPr>
            <w:rStyle w:val="TextoNormalCaracter"/>
          </w:rPr>
          <w:t>63/2024</w:t>
        </w:r>
      </w:hyperlink>
      <w:r>
        <w:t>, f. 5.</w:t>
      </w:r>
    </w:p>
    <w:p w14:paraId="48DC3C15" w14:textId="43F9BE81" w:rsidR="00601EEA" w:rsidRDefault="00601EEA" w:rsidP="00601EEA">
      <w:pPr>
        <w:pStyle w:val="SangriaFrancesaArticulo"/>
      </w:pPr>
    </w:p>
    <w:p w14:paraId="132E83F3" w14:textId="77777777" w:rsidR="00601EEA" w:rsidRDefault="00601EEA" w:rsidP="00601EEA">
      <w:pPr>
        <w:pStyle w:val="TextoNormalNegritaCursivandice"/>
        <w:keepNext/>
      </w:pPr>
      <w:r>
        <w:t>Real Decreto 439/2007, de 30 de marzo, por el que se aprueba el reglamento del impuesto sobre la renta de las personas físicas y se modifica el reglamento de planes y fondos de pensiones, aprobado por Real Decreto 304/2004, de 20 de febrero</w:t>
      </w:r>
    </w:p>
    <w:p w14:paraId="714B60D3" w14:textId="63236032" w:rsidR="00601EEA" w:rsidRDefault="00601EEA" w:rsidP="00601EEA">
      <w:pPr>
        <w:pStyle w:val="SangriaFrancesaArticulo"/>
      </w:pPr>
      <w:r w:rsidRPr="00601EEA">
        <w:rPr>
          <w:rStyle w:val="TextoNormalNegritaCaracter"/>
        </w:rPr>
        <w:t>Artículo 41.1.</w:t>
      </w:r>
      <w:r w:rsidRPr="00601EEA">
        <w:rPr>
          <w:rStyle w:val="TextoNormalCaracter"/>
        </w:rPr>
        <w:t>-</w:t>
      </w:r>
      <w:r>
        <w:t xml:space="preserve"> Sentencia </w:t>
      </w:r>
      <w:hyperlink w:anchor="SENTENCIA_2024_79" w:history="1">
        <w:r w:rsidRPr="00601EEA">
          <w:rPr>
            <w:rStyle w:val="TextoNormalCaracter"/>
          </w:rPr>
          <w:t>79/2024</w:t>
        </w:r>
      </w:hyperlink>
      <w:r>
        <w:t>, f. 9.</w:t>
      </w:r>
    </w:p>
    <w:p w14:paraId="6B9EE9DC" w14:textId="4A7E7B42" w:rsidR="00601EEA" w:rsidRDefault="00601EEA" w:rsidP="00601EEA">
      <w:pPr>
        <w:pStyle w:val="SangriaFrancesaArticulo"/>
      </w:pPr>
    </w:p>
    <w:p w14:paraId="4458B86F" w14:textId="77777777" w:rsidR="00601EEA" w:rsidRDefault="00601EEA" w:rsidP="00601EEA">
      <w:pPr>
        <w:pStyle w:val="TextoNormalNegritaCursivandice"/>
        <w:keepNext/>
      </w:pPr>
      <w:r>
        <w:t>Real Decreto 1027/2007, de 20 de julio, por el que se aprueba el reglamento de instalaciones térmicas en los edificios</w:t>
      </w:r>
    </w:p>
    <w:p w14:paraId="7F10AD2C" w14:textId="7E4ECFF6" w:rsidR="00601EEA" w:rsidRDefault="00601EEA" w:rsidP="00601EEA">
      <w:pPr>
        <w:pStyle w:val="SangriaFrancesaArticulo"/>
      </w:pPr>
      <w:r w:rsidRPr="00601EEA">
        <w:rPr>
          <w:rStyle w:val="TextoNormalNegritaCaracter"/>
        </w:rPr>
        <w:t>Instrucción técnica 1.1.4.1.2.</w:t>
      </w:r>
      <w:r w:rsidRPr="00601EEA">
        <w:rPr>
          <w:rStyle w:val="TextoNormalCaracter"/>
        </w:rPr>
        <w:t>-</w:t>
      </w:r>
      <w:r>
        <w:t xml:space="preserve"> Sentencia </w:t>
      </w:r>
      <w:hyperlink w:anchor="SENTENCIA_2024_20" w:history="1">
        <w:r w:rsidRPr="00601EEA">
          <w:rPr>
            <w:rStyle w:val="TextoNormalCaracter"/>
          </w:rPr>
          <w:t>20/2024</w:t>
        </w:r>
      </w:hyperlink>
      <w:r>
        <w:t>, f.1.</w:t>
      </w:r>
    </w:p>
    <w:p w14:paraId="5245BF62" w14:textId="167D6724" w:rsidR="00601EEA" w:rsidRDefault="00601EEA" w:rsidP="00601EEA">
      <w:pPr>
        <w:pStyle w:val="SangriaFrancesaArticulo"/>
      </w:pPr>
      <w:r w:rsidRPr="00601EEA">
        <w:rPr>
          <w:rStyle w:val="TextoNormalNegritaCaracter"/>
        </w:rPr>
        <w:t>Instrucción técnica 3.8.</w:t>
      </w:r>
      <w:r w:rsidRPr="00601EEA">
        <w:rPr>
          <w:rStyle w:val="TextoNormalCaracter"/>
        </w:rPr>
        <w:t>-</w:t>
      </w:r>
      <w:r>
        <w:t xml:space="preserve"> Sentencia </w:t>
      </w:r>
      <w:hyperlink w:anchor="SENTENCIA_2024_20" w:history="1">
        <w:r w:rsidRPr="00601EEA">
          <w:rPr>
            <w:rStyle w:val="TextoNormalCaracter"/>
          </w:rPr>
          <w:t>20/2024</w:t>
        </w:r>
      </w:hyperlink>
      <w:r>
        <w:t>, f. 1.</w:t>
      </w:r>
    </w:p>
    <w:p w14:paraId="724B4B24" w14:textId="253FBE18"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20" w:history="1">
        <w:r w:rsidRPr="00601EEA">
          <w:rPr>
            <w:rStyle w:val="TextoNormalCaracter"/>
          </w:rPr>
          <w:t>20/2024</w:t>
        </w:r>
      </w:hyperlink>
      <w:r>
        <w:t>, ff. 3, 4.</w:t>
      </w:r>
    </w:p>
    <w:p w14:paraId="6910AC54" w14:textId="004012EF" w:rsidR="00601EEA" w:rsidRDefault="00601EEA" w:rsidP="00601EEA">
      <w:pPr>
        <w:pStyle w:val="SangriaFrancesaArticulo"/>
      </w:pPr>
      <w:r w:rsidRPr="00601EEA">
        <w:rPr>
          <w:rStyle w:val="TextoNormalNegritaCaracter"/>
        </w:rPr>
        <w:t>Instrucción técnica 3.8.1, apartado 2.</w:t>
      </w:r>
      <w:r w:rsidRPr="00601EEA">
        <w:rPr>
          <w:rStyle w:val="TextoNormalCaracter"/>
        </w:rPr>
        <w:t>-</w:t>
      </w:r>
      <w:r>
        <w:t xml:space="preserve"> Sentencia </w:t>
      </w:r>
      <w:hyperlink w:anchor="SENTENCIA_2024_20" w:history="1">
        <w:r w:rsidRPr="00601EEA">
          <w:rPr>
            <w:rStyle w:val="TextoNormalCaracter"/>
          </w:rPr>
          <w:t>20/2024</w:t>
        </w:r>
      </w:hyperlink>
      <w:r>
        <w:t>, f. 1.</w:t>
      </w:r>
    </w:p>
    <w:p w14:paraId="104510A8" w14:textId="098F7442" w:rsidR="00601EEA" w:rsidRDefault="00601EEA" w:rsidP="00601EEA">
      <w:pPr>
        <w:pStyle w:val="SangriaFrancesaArticulo"/>
      </w:pPr>
      <w:r w:rsidRPr="00601EEA">
        <w:rPr>
          <w:rStyle w:val="TextoNormalNegritaCaracter"/>
        </w:rPr>
        <w:t>Instrucción técnica 3.8.3.</w:t>
      </w:r>
      <w:r w:rsidRPr="00601EEA">
        <w:rPr>
          <w:rStyle w:val="TextoNormalCaracter"/>
        </w:rPr>
        <w:t>-</w:t>
      </w:r>
      <w:r>
        <w:t xml:space="preserve"> Sentencia </w:t>
      </w:r>
      <w:hyperlink w:anchor="SENTENCIA_2024_20" w:history="1">
        <w:r w:rsidRPr="00601EEA">
          <w:rPr>
            <w:rStyle w:val="TextoNormalCaracter"/>
          </w:rPr>
          <w:t>20/2024</w:t>
        </w:r>
      </w:hyperlink>
      <w:r>
        <w:t>, f. 1.</w:t>
      </w:r>
    </w:p>
    <w:p w14:paraId="10780196" w14:textId="02F2D966" w:rsidR="00601EEA" w:rsidRDefault="00601EEA" w:rsidP="00601EEA">
      <w:pPr>
        <w:pStyle w:val="SangriaFrancesaArticulo"/>
      </w:pPr>
      <w:r w:rsidRPr="00601EEA">
        <w:rPr>
          <w:rStyle w:val="TextoNormalNegritaCaracter"/>
        </w:rPr>
        <w:t>Instrucción técnica 4.2.1.</w:t>
      </w:r>
      <w:r w:rsidRPr="00601EEA">
        <w:rPr>
          <w:rStyle w:val="TextoNormalCaracter"/>
        </w:rPr>
        <w:t>-</w:t>
      </w:r>
      <w:r>
        <w:t xml:space="preserve"> Sentencia </w:t>
      </w:r>
      <w:hyperlink w:anchor="SENTENCIA_2024_20" w:history="1">
        <w:r w:rsidRPr="00601EEA">
          <w:rPr>
            <w:rStyle w:val="TextoNormalCaracter"/>
          </w:rPr>
          <w:t>20/2024</w:t>
        </w:r>
      </w:hyperlink>
      <w:r>
        <w:t>, f. 1.</w:t>
      </w:r>
    </w:p>
    <w:p w14:paraId="1A828D2E" w14:textId="11636E05" w:rsidR="00601EEA" w:rsidRDefault="00601EEA" w:rsidP="00601EEA">
      <w:pPr>
        <w:pStyle w:val="SangriaFrancesaArticulo"/>
      </w:pPr>
      <w:r w:rsidRPr="00601EEA">
        <w:rPr>
          <w:rStyle w:val="TextoNormalNegritaCaracter"/>
        </w:rPr>
        <w:t>Instrucción técnica 4.2.2.</w:t>
      </w:r>
      <w:r w:rsidRPr="00601EEA">
        <w:rPr>
          <w:rStyle w:val="TextoNormalCaracter"/>
        </w:rPr>
        <w:t>-</w:t>
      </w:r>
      <w:r>
        <w:t xml:space="preserve"> Sentencia </w:t>
      </w:r>
      <w:hyperlink w:anchor="SENTENCIA_2024_20" w:history="1">
        <w:r w:rsidRPr="00601EEA">
          <w:rPr>
            <w:rStyle w:val="TextoNormalCaracter"/>
          </w:rPr>
          <w:t>20/2024</w:t>
        </w:r>
      </w:hyperlink>
      <w:r>
        <w:t>, f. 1.</w:t>
      </w:r>
    </w:p>
    <w:p w14:paraId="1714A555" w14:textId="4E5CC119" w:rsidR="00601EEA" w:rsidRDefault="00601EEA" w:rsidP="00601EEA">
      <w:pPr>
        <w:pStyle w:val="SangriaFrancesaArticulo"/>
      </w:pPr>
      <w:r w:rsidRPr="00601EEA">
        <w:rPr>
          <w:rStyle w:val="TextoNormalNegritaCaracter"/>
        </w:rPr>
        <w:t>Capítulo IX.</w:t>
      </w:r>
      <w:r w:rsidRPr="00601EEA">
        <w:rPr>
          <w:rStyle w:val="TextoNormalCaracter"/>
        </w:rPr>
        <w:t>-</w:t>
      </w:r>
      <w:r>
        <w:t xml:space="preserve"> Sentencia </w:t>
      </w:r>
      <w:hyperlink w:anchor="SENTENCIA_2024_20" w:history="1">
        <w:r w:rsidRPr="00601EEA">
          <w:rPr>
            <w:rStyle w:val="TextoNormalCaracter"/>
          </w:rPr>
          <w:t>20/2024</w:t>
        </w:r>
      </w:hyperlink>
      <w:r>
        <w:t>, f. 1.</w:t>
      </w:r>
    </w:p>
    <w:p w14:paraId="106547A3" w14:textId="1879E360" w:rsidR="00601EEA" w:rsidRDefault="00601EEA" w:rsidP="00601EEA">
      <w:pPr>
        <w:pStyle w:val="SangriaFrancesaArticulo"/>
      </w:pPr>
    </w:p>
    <w:p w14:paraId="61B99923" w14:textId="77777777" w:rsidR="00601EEA" w:rsidRDefault="00601EEA" w:rsidP="00601EEA">
      <w:pPr>
        <w:pStyle w:val="TextoNormalNegritaCursivandice"/>
        <w:keepNext/>
      </w:pPr>
      <w:r>
        <w:t>Real Decreto 1890/2008, de 14 de noviembre, por el que se aprueba el reglamento de eficiencia energética en instalaciones de alumbrado exterior y sus Instrucciones técnicas complementarias EA-01 a EA-07</w:t>
      </w:r>
    </w:p>
    <w:p w14:paraId="757D5EC8" w14:textId="0D53A4D8" w:rsidR="00601EEA" w:rsidRDefault="00601EEA" w:rsidP="00601EEA">
      <w:pPr>
        <w:pStyle w:val="SangriaFrancesaArticulo"/>
      </w:pPr>
      <w:r w:rsidRPr="00601EEA">
        <w:rPr>
          <w:rStyle w:val="TextoNormalNegritaCaracter"/>
        </w:rPr>
        <w:t>Instrucción técnica complementaria EA - 02, apartado 6.</w:t>
      </w:r>
      <w:r w:rsidRPr="00601EEA">
        <w:rPr>
          <w:rStyle w:val="TextoNormalCaracter"/>
        </w:rPr>
        <w:t>-</w:t>
      </w:r>
      <w:r>
        <w:t xml:space="preserve"> Sentencia </w:t>
      </w:r>
      <w:hyperlink w:anchor="SENTENCIA_2024_20" w:history="1">
        <w:r w:rsidRPr="00601EEA">
          <w:rPr>
            <w:rStyle w:val="TextoNormalCaracter"/>
          </w:rPr>
          <w:t>20/2024</w:t>
        </w:r>
      </w:hyperlink>
      <w:r>
        <w:t>, f. 1.</w:t>
      </w:r>
    </w:p>
    <w:p w14:paraId="08CD686F" w14:textId="4B2C170E" w:rsidR="00601EEA" w:rsidRDefault="00601EEA" w:rsidP="00601EEA">
      <w:pPr>
        <w:pStyle w:val="SangriaFrancesaArticulo"/>
      </w:pPr>
    </w:p>
    <w:p w14:paraId="733BD04E" w14:textId="77777777" w:rsidR="00601EEA" w:rsidRDefault="00601EEA" w:rsidP="00601EEA">
      <w:pPr>
        <w:pStyle w:val="TextoNormalNegritaCursivandice"/>
        <w:keepNext/>
      </w:pPr>
      <w:r>
        <w:t>Real Decreto 2066/2008, de 12 de diciembre, por el que se regula el Plan estatal de vivienda y rehabilitación 2009-2012</w:t>
      </w:r>
    </w:p>
    <w:p w14:paraId="184B2384" w14:textId="7D47E964"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79" w:history="1">
        <w:r w:rsidRPr="00601EEA">
          <w:rPr>
            <w:rStyle w:val="TextoNormalCaracter"/>
          </w:rPr>
          <w:t>79/2024</w:t>
        </w:r>
      </w:hyperlink>
      <w:r>
        <w:t>, f. 4.</w:t>
      </w:r>
    </w:p>
    <w:p w14:paraId="70079C92" w14:textId="6F0E727D" w:rsidR="00601EEA" w:rsidRDefault="00601EEA" w:rsidP="00601EEA">
      <w:pPr>
        <w:pStyle w:val="SangriaFrancesaArticulo"/>
      </w:pPr>
    </w:p>
    <w:p w14:paraId="24F59D3E" w14:textId="77777777" w:rsidR="00601EEA" w:rsidRDefault="00601EEA" w:rsidP="00601EEA">
      <w:pPr>
        <w:pStyle w:val="TextoNormalNegritaCursivandice"/>
        <w:keepNext/>
      </w:pPr>
      <w:r>
        <w:t>Instrucción de 5 de octubre de 2010, de la Dirección General de los Registros y del Notariado, sobre régimen registral de la filiación de los nacidos mediante gestación por sustitución</w:t>
      </w:r>
    </w:p>
    <w:p w14:paraId="5C5F0B77" w14:textId="11EF6066"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28" w:history="1">
        <w:r w:rsidRPr="00601EEA">
          <w:rPr>
            <w:rStyle w:val="TextoNormalCaracter"/>
          </w:rPr>
          <w:t>28/2024</w:t>
        </w:r>
      </w:hyperlink>
      <w:r>
        <w:t>, VP.</w:t>
      </w:r>
    </w:p>
    <w:p w14:paraId="341A6A2E" w14:textId="74683250" w:rsidR="00601EEA" w:rsidRDefault="00601EEA" w:rsidP="00601EEA">
      <w:pPr>
        <w:pStyle w:val="SangriaFrancesaArticulo"/>
      </w:pPr>
    </w:p>
    <w:p w14:paraId="48E672BC" w14:textId="77777777" w:rsidR="00601EEA" w:rsidRDefault="00601EEA" w:rsidP="00601EEA">
      <w:pPr>
        <w:pStyle w:val="TextoNormalNegritaCursivandice"/>
        <w:keepNext/>
      </w:pPr>
      <w:r>
        <w:t>Real Decreto 1723/2012, de 28 de diciembre, por el que se regulan las actividades de obtención, utilización clínica y coordinación territorial de los órganos humanos destinados al trasplante y se establecen requisitos de calidad y seguridad</w:t>
      </w:r>
    </w:p>
    <w:p w14:paraId="144793C6" w14:textId="7CBF87FB" w:rsidR="00601EEA" w:rsidRDefault="00601EEA" w:rsidP="00601EEA">
      <w:pPr>
        <w:pStyle w:val="SangriaFrancesaArticulo"/>
      </w:pPr>
      <w:r w:rsidRPr="00601EEA">
        <w:rPr>
          <w:rStyle w:val="TextoNormalNegritaCaracter"/>
        </w:rPr>
        <w:t>Artículo 8.6.</w:t>
      </w:r>
      <w:r w:rsidRPr="00601EEA">
        <w:rPr>
          <w:rStyle w:val="TextoNormalCaracter"/>
        </w:rPr>
        <w:t>-</w:t>
      </w:r>
      <w:r>
        <w:t xml:space="preserve"> Sentencia </w:t>
      </w:r>
      <w:hyperlink w:anchor="SENTENCIA_2024_92" w:history="1">
        <w:r w:rsidRPr="00601EEA">
          <w:rPr>
            <w:rStyle w:val="TextoNormalCaracter"/>
          </w:rPr>
          <w:t>92/2024</w:t>
        </w:r>
      </w:hyperlink>
      <w:r>
        <w:t>, VP IV.</w:t>
      </w:r>
    </w:p>
    <w:p w14:paraId="7DD1368E" w14:textId="5E26DF0B" w:rsidR="00601EEA" w:rsidRDefault="00601EEA" w:rsidP="00601EEA">
      <w:pPr>
        <w:pStyle w:val="SangriaFrancesaArticulo"/>
      </w:pPr>
    </w:p>
    <w:p w14:paraId="7200DEAD" w14:textId="77777777" w:rsidR="00601EEA" w:rsidRDefault="00601EEA" w:rsidP="00601EEA">
      <w:pPr>
        <w:pStyle w:val="TextoNormalNegritaCursivandice"/>
        <w:keepNext/>
      </w:pPr>
      <w:r>
        <w:t>Real Decreto 876/2014, de 10 de octubre, por el que se aprueba el Reglamento General de Costas</w:t>
      </w:r>
    </w:p>
    <w:p w14:paraId="25050E31" w14:textId="0B65A6C4"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68" w:history="1">
        <w:r w:rsidRPr="00601EEA">
          <w:rPr>
            <w:rStyle w:val="TextoNormalCaracter"/>
          </w:rPr>
          <w:t>68/2024</w:t>
        </w:r>
      </w:hyperlink>
      <w:r>
        <w:t>, f. 2.</w:t>
      </w:r>
    </w:p>
    <w:p w14:paraId="14C8A417" w14:textId="541FAA03" w:rsidR="00601EEA" w:rsidRDefault="00601EEA" w:rsidP="00601EEA">
      <w:pPr>
        <w:pStyle w:val="SangriaFrancesaArticulo"/>
      </w:pPr>
      <w:r w:rsidRPr="00601EEA">
        <w:rPr>
          <w:rStyle w:val="TextoNormalNegritaCaracter"/>
        </w:rPr>
        <w:t>Artículo 27.2</w:t>
      </w:r>
      <w:r>
        <w:t xml:space="preserve"> (redactado por el Real Decreto 668/2022, de 1 de agosto)</w:t>
      </w:r>
      <w:r w:rsidRPr="00601EEA">
        <w:rPr>
          <w:rStyle w:val="TextoNormalNegritaCaracter"/>
        </w:rPr>
        <w:t>.</w:t>
      </w:r>
      <w:r w:rsidRPr="00601EEA">
        <w:rPr>
          <w:rStyle w:val="TextoNormalCaracter"/>
        </w:rPr>
        <w:t>-</w:t>
      </w:r>
      <w:r>
        <w:t xml:space="preserve"> Sentencia </w:t>
      </w:r>
      <w:hyperlink w:anchor="SENTENCIA_2024_68" w:history="1">
        <w:r w:rsidRPr="00601EEA">
          <w:rPr>
            <w:rStyle w:val="TextoNormalCaracter"/>
          </w:rPr>
          <w:t>68/2024</w:t>
        </w:r>
      </w:hyperlink>
      <w:r>
        <w:t>, f. 8.</w:t>
      </w:r>
    </w:p>
    <w:p w14:paraId="05FF3789" w14:textId="03F29594" w:rsidR="00601EEA" w:rsidRDefault="00601EEA" w:rsidP="00601EEA">
      <w:pPr>
        <w:pStyle w:val="SangriaFrancesaArticulo"/>
      </w:pPr>
      <w:r w:rsidRPr="00601EEA">
        <w:rPr>
          <w:rStyle w:val="TextoNormalNegritaCaracter"/>
        </w:rPr>
        <w:t>Artículo 44.6.</w:t>
      </w:r>
      <w:r w:rsidRPr="00601EEA">
        <w:rPr>
          <w:rStyle w:val="TextoNormalCaracter"/>
        </w:rPr>
        <w:t>-</w:t>
      </w:r>
      <w:r>
        <w:t xml:space="preserve"> Sentencia </w:t>
      </w:r>
      <w:hyperlink w:anchor="SENTENCIA_2024_68" w:history="1">
        <w:r w:rsidRPr="00601EEA">
          <w:rPr>
            <w:rStyle w:val="TextoNormalCaracter"/>
          </w:rPr>
          <w:t>68/2024</w:t>
        </w:r>
      </w:hyperlink>
      <w:r>
        <w:t>, f. 8.</w:t>
      </w:r>
    </w:p>
    <w:p w14:paraId="69FC7AE7" w14:textId="3428E11C" w:rsidR="00601EEA" w:rsidRDefault="00601EEA" w:rsidP="00601EEA">
      <w:pPr>
        <w:pStyle w:val="SangriaFrancesaArticulo"/>
      </w:pPr>
      <w:r w:rsidRPr="00601EEA">
        <w:rPr>
          <w:rStyle w:val="TextoNormalNegritaCaracter"/>
        </w:rPr>
        <w:t>Artículo 45.</w:t>
      </w:r>
      <w:r w:rsidRPr="00601EEA">
        <w:rPr>
          <w:rStyle w:val="TextoNormalCaracter"/>
        </w:rPr>
        <w:t>-</w:t>
      </w:r>
      <w:r>
        <w:t xml:space="preserve"> Sentencia </w:t>
      </w:r>
      <w:hyperlink w:anchor="SENTENCIA_2024_68" w:history="1">
        <w:r w:rsidRPr="00601EEA">
          <w:rPr>
            <w:rStyle w:val="TextoNormalCaracter"/>
          </w:rPr>
          <w:t>68/2024</w:t>
        </w:r>
      </w:hyperlink>
      <w:r>
        <w:t>, f. 8.</w:t>
      </w:r>
    </w:p>
    <w:p w14:paraId="600410EB" w14:textId="7A90D32D" w:rsidR="00601EEA" w:rsidRDefault="00601EEA" w:rsidP="00601EEA">
      <w:pPr>
        <w:pStyle w:val="SangriaFrancesaArticulo"/>
      </w:pPr>
      <w:r w:rsidRPr="00601EEA">
        <w:rPr>
          <w:rStyle w:val="TextoNormalNegritaCaracter"/>
        </w:rPr>
        <w:lastRenderedPageBreak/>
        <w:t>Artículo 46 a).</w:t>
      </w:r>
      <w:r w:rsidRPr="00601EEA">
        <w:rPr>
          <w:rStyle w:val="TextoNormalCaracter"/>
        </w:rPr>
        <w:t>-</w:t>
      </w:r>
      <w:r>
        <w:t xml:space="preserve"> Sentencia </w:t>
      </w:r>
      <w:hyperlink w:anchor="SENTENCIA_2024_68" w:history="1">
        <w:r w:rsidRPr="00601EEA">
          <w:rPr>
            <w:rStyle w:val="TextoNormalCaracter"/>
          </w:rPr>
          <w:t>68/2024</w:t>
        </w:r>
      </w:hyperlink>
      <w:r>
        <w:t>, f. 8.</w:t>
      </w:r>
    </w:p>
    <w:p w14:paraId="1AE88513" w14:textId="739FBE04" w:rsidR="00601EEA" w:rsidRDefault="00601EEA" w:rsidP="00601EEA">
      <w:pPr>
        <w:pStyle w:val="SangriaFrancesaArticulo"/>
      </w:pPr>
      <w:r w:rsidRPr="00601EEA">
        <w:rPr>
          <w:rStyle w:val="TextoNormalNegritaCaracter"/>
        </w:rPr>
        <w:t>Artículo 47.3.</w:t>
      </w:r>
      <w:r w:rsidRPr="00601EEA">
        <w:rPr>
          <w:rStyle w:val="TextoNormalCaracter"/>
        </w:rPr>
        <w:t>-</w:t>
      </w:r>
      <w:r>
        <w:t xml:space="preserve"> Sentencia </w:t>
      </w:r>
      <w:hyperlink w:anchor="SENTENCIA_2024_68" w:history="1">
        <w:r w:rsidRPr="00601EEA">
          <w:rPr>
            <w:rStyle w:val="TextoNormalCaracter"/>
          </w:rPr>
          <w:t>68/2024</w:t>
        </w:r>
      </w:hyperlink>
      <w:r>
        <w:t>, f. 8.</w:t>
      </w:r>
    </w:p>
    <w:p w14:paraId="4D7A1AA2" w14:textId="3A430E7B" w:rsidR="00601EEA" w:rsidRDefault="00601EEA" w:rsidP="00601EEA">
      <w:pPr>
        <w:pStyle w:val="SangriaFrancesaArticulo"/>
      </w:pPr>
      <w:r w:rsidRPr="00601EEA">
        <w:rPr>
          <w:rStyle w:val="TextoNormalNegritaCaracter"/>
        </w:rPr>
        <w:t>Artículo 49.</w:t>
      </w:r>
      <w:r w:rsidRPr="00601EEA">
        <w:rPr>
          <w:rStyle w:val="TextoNormalCaracter"/>
        </w:rPr>
        <w:t>-</w:t>
      </w:r>
      <w:r>
        <w:t xml:space="preserve"> Sentencia </w:t>
      </w:r>
      <w:hyperlink w:anchor="SENTENCIA_2024_68" w:history="1">
        <w:r w:rsidRPr="00601EEA">
          <w:rPr>
            <w:rStyle w:val="TextoNormalCaracter"/>
          </w:rPr>
          <w:t>68/2024</w:t>
        </w:r>
      </w:hyperlink>
      <w:r>
        <w:t>, ff. 8, 10.</w:t>
      </w:r>
    </w:p>
    <w:p w14:paraId="32C9ECBC" w14:textId="7327817D" w:rsidR="00601EEA" w:rsidRDefault="00601EEA" w:rsidP="00601EEA">
      <w:pPr>
        <w:pStyle w:val="SangriaFrancesaArticulo"/>
      </w:pPr>
      <w:r w:rsidRPr="00601EEA">
        <w:rPr>
          <w:rStyle w:val="TextoNormalNegritaCaracter"/>
        </w:rPr>
        <w:t>Artículo 50.</w:t>
      </w:r>
      <w:r w:rsidRPr="00601EEA">
        <w:rPr>
          <w:rStyle w:val="TextoNormalCaracter"/>
        </w:rPr>
        <w:t>-</w:t>
      </w:r>
      <w:r>
        <w:t xml:space="preserve"> Sentencia </w:t>
      </w:r>
      <w:hyperlink w:anchor="SENTENCIA_2024_68" w:history="1">
        <w:r w:rsidRPr="00601EEA">
          <w:rPr>
            <w:rStyle w:val="TextoNormalCaracter"/>
          </w:rPr>
          <w:t>68/2024</w:t>
        </w:r>
      </w:hyperlink>
      <w:r>
        <w:t>, ff. 8, 10.</w:t>
      </w:r>
    </w:p>
    <w:p w14:paraId="770F9978" w14:textId="4449FEEB" w:rsidR="00601EEA" w:rsidRDefault="00601EEA" w:rsidP="00601EEA">
      <w:pPr>
        <w:pStyle w:val="SangriaFrancesaArticulo"/>
      </w:pPr>
      <w:r w:rsidRPr="00601EEA">
        <w:rPr>
          <w:rStyle w:val="TextoNormalNegritaCaracter"/>
        </w:rPr>
        <w:t>Artículo 60.1.</w:t>
      </w:r>
      <w:r w:rsidRPr="00601EEA">
        <w:rPr>
          <w:rStyle w:val="TextoNormalCaracter"/>
        </w:rPr>
        <w:t>-</w:t>
      </w:r>
      <w:r>
        <w:t xml:space="preserve"> Sentencia </w:t>
      </w:r>
      <w:hyperlink w:anchor="SENTENCIA_2024_68" w:history="1">
        <w:r w:rsidRPr="00601EEA">
          <w:rPr>
            <w:rStyle w:val="TextoNormalCaracter"/>
          </w:rPr>
          <w:t>68/2024</w:t>
        </w:r>
      </w:hyperlink>
      <w:r>
        <w:t>, f. 8.</w:t>
      </w:r>
    </w:p>
    <w:p w14:paraId="1401318A" w14:textId="513E33C7" w:rsidR="00601EEA" w:rsidRDefault="00601EEA" w:rsidP="00601EEA">
      <w:pPr>
        <w:pStyle w:val="SangriaFrancesaArticulo"/>
      </w:pPr>
      <w:r w:rsidRPr="00601EEA">
        <w:rPr>
          <w:rStyle w:val="TextoNormalNegritaCaracter"/>
        </w:rPr>
        <w:t>Artículo 61.</w:t>
      </w:r>
      <w:r w:rsidRPr="00601EEA">
        <w:rPr>
          <w:rStyle w:val="TextoNormalCaracter"/>
        </w:rPr>
        <w:t>-</w:t>
      </w:r>
      <w:r>
        <w:t xml:space="preserve"> Sentencia </w:t>
      </w:r>
      <w:hyperlink w:anchor="SENTENCIA_2024_68" w:history="1">
        <w:r w:rsidRPr="00601EEA">
          <w:rPr>
            <w:rStyle w:val="TextoNormalCaracter"/>
          </w:rPr>
          <w:t>68/2024</w:t>
        </w:r>
      </w:hyperlink>
      <w:r>
        <w:t>, ff. 8, 11.</w:t>
      </w:r>
    </w:p>
    <w:p w14:paraId="7E863497" w14:textId="3A3B7D78" w:rsidR="00601EEA" w:rsidRDefault="00601EEA" w:rsidP="00601EEA">
      <w:pPr>
        <w:pStyle w:val="SangriaFrancesaArticulo"/>
      </w:pPr>
      <w:r w:rsidRPr="00601EEA">
        <w:rPr>
          <w:rStyle w:val="TextoNormalNegritaCaracter"/>
        </w:rPr>
        <w:t>Artículo 61.2 b).</w:t>
      </w:r>
      <w:r w:rsidRPr="00601EEA">
        <w:rPr>
          <w:rStyle w:val="TextoNormalCaracter"/>
        </w:rPr>
        <w:t>-</w:t>
      </w:r>
      <w:r>
        <w:t xml:space="preserve"> Sentencia </w:t>
      </w:r>
      <w:hyperlink w:anchor="SENTENCIA_2024_68" w:history="1">
        <w:r w:rsidRPr="00601EEA">
          <w:rPr>
            <w:rStyle w:val="TextoNormalCaracter"/>
          </w:rPr>
          <w:t>68/2024</w:t>
        </w:r>
      </w:hyperlink>
      <w:r>
        <w:t>, f. 8.</w:t>
      </w:r>
    </w:p>
    <w:p w14:paraId="7664B99C" w14:textId="6A8FFD51" w:rsidR="00601EEA" w:rsidRDefault="00601EEA" w:rsidP="00601EEA">
      <w:pPr>
        <w:pStyle w:val="SangriaFrancesaArticulo"/>
      </w:pPr>
      <w:r w:rsidRPr="00601EEA">
        <w:rPr>
          <w:rStyle w:val="TextoNormalNegritaCaracter"/>
        </w:rPr>
        <w:t>Artículo 70.</w:t>
      </w:r>
      <w:r w:rsidRPr="00601EEA">
        <w:rPr>
          <w:rStyle w:val="TextoNormalCaracter"/>
        </w:rPr>
        <w:t>-</w:t>
      </w:r>
      <w:r>
        <w:t xml:space="preserve"> Sentencia </w:t>
      </w:r>
      <w:hyperlink w:anchor="SENTENCIA_2024_68" w:history="1">
        <w:r w:rsidRPr="00601EEA">
          <w:rPr>
            <w:rStyle w:val="TextoNormalCaracter"/>
          </w:rPr>
          <w:t>68/2024</w:t>
        </w:r>
      </w:hyperlink>
      <w:r>
        <w:t>, f. 8.</w:t>
      </w:r>
    </w:p>
    <w:p w14:paraId="6D51AB2A" w14:textId="5A721E17" w:rsidR="00601EEA" w:rsidRDefault="00601EEA" w:rsidP="00601EEA">
      <w:pPr>
        <w:pStyle w:val="SangriaFrancesaArticulo"/>
      </w:pPr>
      <w:r w:rsidRPr="00601EEA">
        <w:rPr>
          <w:rStyle w:val="TextoNormalNegritaCaracter"/>
        </w:rPr>
        <w:t>Artículo 105.</w:t>
      </w:r>
      <w:r w:rsidRPr="00601EEA">
        <w:rPr>
          <w:rStyle w:val="TextoNormalCaracter"/>
        </w:rPr>
        <w:t>-</w:t>
      </w:r>
      <w:r>
        <w:t xml:space="preserve"> Sentencia </w:t>
      </w:r>
      <w:hyperlink w:anchor="SENTENCIA_2024_68" w:history="1">
        <w:r w:rsidRPr="00601EEA">
          <w:rPr>
            <w:rStyle w:val="TextoNormalCaracter"/>
          </w:rPr>
          <w:t>68/2024</w:t>
        </w:r>
      </w:hyperlink>
      <w:r>
        <w:t>, f. 8.</w:t>
      </w:r>
    </w:p>
    <w:p w14:paraId="2EFAB591" w14:textId="7E106152" w:rsidR="00601EEA" w:rsidRDefault="00601EEA" w:rsidP="00601EEA">
      <w:pPr>
        <w:pStyle w:val="SangriaFrancesaArticulo"/>
      </w:pPr>
      <w:r w:rsidRPr="00601EEA">
        <w:rPr>
          <w:rStyle w:val="TextoNormalNegritaCaracter"/>
        </w:rPr>
        <w:t>Artículo 106.</w:t>
      </w:r>
      <w:r w:rsidRPr="00601EEA">
        <w:rPr>
          <w:rStyle w:val="TextoNormalCaracter"/>
        </w:rPr>
        <w:t>-</w:t>
      </w:r>
      <w:r>
        <w:t xml:space="preserve"> Sentencia </w:t>
      </w:r>
      <w:hyperlink w:anchor="SENTENCIA_2024_68" w:history="1">
        <w:r w:rsidRPr="00601EEA">
          <w:rPr>
            <w:rStyle w:val="TextoNormalCaracter"/>
          </w:rPr>
          <w:t>68/2024</w:t>
        </w:r>
      </w:hyperlink>
      <w:r>
        <w:t>, f. 8.</w:t>
      </w:r>
    </w:p>
    <w:p w14:paraId="5D3AD593" w14:textId="631BA4D7" w:rsidR="00601EEA" w:rsidRDefault="00601EEA" w:rsidP="00601EEA">
      <w:pPr>
        <w:pStyle w:val="SangriaFrancesaArticulo"/>
      </w:pPr>
      <w:r w:rsidRPr="00601EEA">
        <w:rPr>
          <w:rStyle w:val="TextoNormalNegritaCaracter"/>
        </w:rPr>
        <w:t>Artículo 156.</w:t>
      </w:r>
      <w:r w:rsidRPr="00601EEA">
        <w:rPr>
          <w:rStyle w:val="TextoNormalCaracter"/>
        </w:rPr>
        <w:t>-</w:t>
      </w:r>
      <w:r>
        <w:t xml:space="preserve"> Sentencia </w:t>
      </w:r>
      <w:hyperlink w:anchor="SENTENCIA_2024_68" w:history="1">
        <w:r w:rsidRPr="00601EEA">
          <w:rPr>
            <w:rStyle w:val="TextoNormalCaracter"/>
          </w:rPr>
          <w:t>68/2024</w:t>
        </w:r>
      </w:hyperlink>
      <w:r>
        <w:t>, f. 10.</w:t>
      </w:r>
    </w:p>
    <w:p w14:paraId="010F02BF" w14:textId="308E0B26" w:rsidR="00601EEA" w:rsidRDefault="00601EEA" w:rsidP="00601EEA">
      <w:pPr>
        <w:pStyle w:val="SangriaFrancesaArticulo"/>
      </w:pPr>
      <w:r w:rsidRPr="00601EEA">
        <w:rPr>
          <w:rStyle w:val="TextoNormalNegritaCaracter"/>
        </w:rPr>
        <w:t>Artículo 222.4.</w:t>
      </w:r>
      <w:r w:rsidRPr="00601EEA">
        <w:rPr>
          <w:rStyle w:val="TextoNormalCaracter"/>
        </w:rPr>
        <w:t>-</w:t>
      </w:r>
      <w:r>
        <w:t xml:space="preserve"> Sentencia </w:t>
      </w:r>
      <w:hyperlink w:anchor="SENTENCIA_2024_68" w:history="1">
        <w:r w:rsidRPr="00601EEA">
          <w:rPr>
            <w:rStyle w:val="TextoNormalCaracter"/>
          </w:rPr>
          <w:t>68/2024</w:t>
        </w:r>
      </w:hyperlink>
      <w:r>
        <w:t>, f. 10.</w:t>
      </w:r>
    </w:p>
    <w:p w14:paraId="2C2FE750" w14:textId="5D09B84D" w:rsidR="00601EEA" w:rsidRDefault="00601EEA" w:rsidP="00601EEA">
      <w:pPr>
        <w:pStyle w:val="SangriaFrancesaArticulo"/>
      </w:pPr>
      <w:r w:rsidRPr="00601EEA">
        <w:rPr>
          <w:rStyle w:val="TextoNormalNegritaCaracter"/>
        </w:rPr>
        <w:t>Disposición adicional tercera, apartado 3.</w:t>
      </w:r>
      <w:r w:rsidRPr="00601EEA">
        <w:rPr>
          <w:rStyle w:val="TextoNormalCaracter"/>
        </w:rPr>
        <w:t>-</w:t>
      </w:r>
      <w:r>
        <w:t xml:space="preserve"> Sentencia </w:t>
      </w:r>
      <w:hyperlink w:anchor="SENTENCIA_2024_68" w:history="1">
        <w:r w:rsidRPr="00601EEA">
          <w:rPr>
            <w:rStyle w:val="TextoNormalCaracter"/>
          </w:rPr>
          <w:t>68/2024</w:t>
        </w:r>
      </w:hyperlink>
      <w:r>
        <w:t>, f. 8.</w:t>
      </w:r>
    </w:p>
    <w:p w14:paraId="5FA6219A" w14:textId="0363F162" w:rsidR="00601EEA" w:rsidRDefault="00601EEA" w:rsidP="00601EEA">
      <w:pPr>
        <w:pStyle w:val="SangriaFrancesaArticulo"/>
      </w:pPr>
    </w:p>
    <w:p w14:paraId="68AEABEF" w14:textId="77777777" w:rsidR="00601EEA" w:rsidRDefault="00601EEA" w:rsidP="00601EEA">
      <w:pPr>
        <w:pStyle w:val="TextoNormalNegritaCursivandice"/>
        <w:keepNext/>
      </w:pPr>
      <w:r>
        <w:t>Real Decreto 363/2017, de 8 de abril, por el que se establece un marco para la ordenación del espacio marítimo</w:t>
      </w:r>
    </w:p>
    <w:p w14:paraId="71F64832" w14:textId="711DF44C"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68" w:history="1">
        <w:r w:rsidRPr="00601EEA">
          <w:rPr>
            <w:rStyle w:val="TextoNormalCaracter"/>
          </w:rPr>
          <w:t>68/2024</w:t>
        </w:r>
      </w:hyperlink>
      <w:r>
        <w:t>, ff. 3, 7.</w:t>
      </w:r>
    </w:p>
    <w:p w14:paraId="71E5F43C" w14:textId="1DD79184" w:rsidR="00601EEA" w:rsidRDefault="00601EEA" w:rsidP="00601EEA">
      <w:pPr>
        <w:pStyle w:val="SangriaFrancesaArticulo"/>
      </w:pPr>
    </w:p>
    <w:p w14:paraId="624BEE2F" w14:textId="77777777" w:rsidR="00601EEA" w:rsidRDefault="00601EEA" w:rsidP="00601EEA">
      <w:pPr>
        <w:pStyle w:val="TextoNormalNegritaCursivandice"/>
        <w:keepNext/>
      </w:pPr>
      <w:r>
        <w:t>Real Decreto 694/2017, de 3 de julio. Desarrolla la Ley 30/2015, de 9 de septiembre, por la que se regula el sistema de formación profesional para el empleo en el ámbito laboral</w:t>
      </w:r>
    </w:p>
    <w:p w14:paraId="2E43B2A2" w14:textId="7DCF09B2"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63" w:history="1">
        <w:r w:rsidRPr="00601EEA">
          <w:rPr>
            <w:rStyle w:val="TextoNormalCaracter"/>
          </w:rPr>
          <w:t>63/2024</w:t>
        </w:r>
      </w:hyperlink>
      <w:r>
        <w:t>, ff. 2, 3, 5.</w:t>
      </w:r>
    </w:p>
    <w:p w14:paraId="05A7675B" w14:textId="34DF5EB0" w:rsidR="00601EEA" w:rsidRDefault="00601EEA" w:rsidP="00601EEA">
      <w:pPr>
        <w:pStyle w:val="SangriaFrancesaArticulo"/>
      </w:pPr>
      <w:r w:rsidRPr="00601EEA">
        <w:rPr>
          <w:rStyle w:val="TextoNormalNegritaCaracter"/>
        </w:rPr>
        <w:t>Artículo 2.</w:t>
      </w:r>
      <w:r w:rsidRPr="00601EEA">
        <w:rPr>
          <w:rStyle w:val="TextoNormalCaracter"/>
        </w:rPr>
        <w:t>-</w:t>
      </w:r>
      <w:r>
        <w:t xml:space="preserve"> Sentencia </w:t>
      </w:r>
      <w:hyperlink w:anchor="SENTENCIA_2024_63" w:history="1">
        <w:r w:rsidRPr="00601EEA">
          <w:rPr>
            <w:rStyle w:val="TextoNormalCaracter"/>
          </w:rPr>
          <w:t>63/2024</w:t>
        </w:r>
      </w:hyperlink>
      <w:r>
        <w:t>, f. 5.</w:t>
      </w:r>
    </w:p>
    <w:p w14:paraId="3C54937B" w14:textId="53E333AF" w:rsidR="00601EEA" w:rsidRDefault="00601EEA" w:rsidP="00601EEA">
      <w:pPr>
        <w:pStyle w:val="SangriaFrancesaArticulo"/>
      </w:pPr>
      <w:r w:rsidRPr="00601EEA">
        <w:rPr>
          <w:rStyle w:val="TextoNormalNegritaCaracter"/>
        </w:rPr>
        <w:t>Artículo 2.1, párrafo segundo.</w:t>
      </w:r>
      <w:r w:rsidRPr="00601EEA">
        <w:rPr>
          <w:rStyle w:val="TextoNormalCaracter"/>
        </w:rPr>
        <w:t>-</w:t>
      </w:r>
      <w:r>
        <w:t xml:space="preserve"> Sentencia </w:t>
      </w:r>
      <w:hyperlink w:anchor="SENTENCIA_2024_63" w:history="1">
        <w:r w:rsidRPr="00601EEA">
          <w:rPr>
            <w:rStyle w:val="TextoNormalCaracter"/>
          </w:rPr>
          <w:t>63/2024</w:t>
        </w:r>
      </w:hyperlink>
      <w:r>
        <w:t>, f. 2.</w:t>
      </w:r>
    </w:p>
    <w:p w14:paraId="60192336" w14:textId="0622CAE9" w:rsidR="00601EEA" w:rsidRDefault="00601EEA" w:rsidP="00601EEA">
      <w:pPr>
        <w:pStyle w:val="SangriaFrancesaArticulo"/>
      </w:pPr>
      <w:r w:rsidRPr="00601EEA">
        <w:rPr>
          <w:rStyle w:val="TextoNormalNegritaCaracter"/>
        </w:rPr>
        <w:t>Artículo 2.2.</w:t>
      </w:r>
      <w:r w:rsidRPr="00601EEA">
        <w:rPr>
          <w:rStyle w:val="TextoNormalCaracter"/>
        </w:rPr>
        <w:t>-</w:t>
      </w:r>
      <w:r>
        <w:t xml:space="preserve"> Sentencia </w:t>
      </w:r>
      <w:hyperlink w:anchor="SENTENCIA_2024_63" w:history="1">
        <w:r w:rsidRPr="00601EEA">
          <w:rPr>
            <w:rStyle w:val="TextoNormalCaracter"/>
          </w:rPr>
          <w:t>63/2024</w:t>
        </w:r>
      </w:hyperlink>
      <w:r>
        <w:t>, f. 2.</w:t>
      </w:r>
    </w:p>
    <w:p w14:paraId="7944FA23" w14:textId="4C22E52D" w:rsidR="00601EEA" w:rsidRDefault="00601EEA" w:rsidP="00601EEA">
      <w:pPr>
        <w:pStyle w:val="SangriaFrancesaArticulo"/>
      </w:pPr>
      <w:r w:rsidRPr="00601EEA">
        <w:rPr>
          <w:rStyle w:val="TextoNormalNegritaCaracter"/>
        </w:rPr>
        <w:t>Artículo 2.3, párrafo primero.</w:t>
      </w:r>
      <w:r w:rsidRPr="00601EEA">
        <w:rPr>
          <w:rStyle w:val="TextoNormalCaracter"/>
        </w:rPr>
        <w:t>-</w:t>
      </w:r>
      <w:r>
        <w:t xml:space="preserve"> Sentencia </w:t>
      </w:r>
      <w:hyperlink w:anchor="SENTENCIA_2024_63" w:history="1">
        <w:r w:rsidRPr="00601EEA">
          <w:rPr>
            <w:rStyle w:val="TextoNormalCaracter"/>
          </w:rPr>
          <w:t>63/2024</w:t>
        </w:r>
      </w:hyperlink>
      <w:r>
        <w:t>, f. 2.</w:t>
      </w:r>
    </w:p>
    <w:p w14:paraId="3CF0E13E" w14:textId="107518DA" w:rsidR="00601EEA" w:rsidRDefault="00601EEA" w:rsidP="00601EEA">
      <w:pPr>
        <w:pStyle w:val="SangriaFrancesaArticulo"/>
      </w:pPr>
      <w:r w:rsidRPr="00601EEA">
        <w:rPr>
          <w:rStyle w:val="TextoNormalNegritaCaracter"/>
        </w:rPr>
        <w:t>Artículo 20.2.</w:t>
      </w:r>
      <w:r w:rsidRPr="00601EEA">
        <w:rPr>
          <w:rStyle w:val="TextoNormalCaracter"/>
        </w:rPr>
        <w:t>-</w:t>
      </w:r>
      <w:r>
        <w:t xml:space="preserve"> Sentencia </w:t>
      </w:r>
      <w:hyperlink w:anchor="SENTENCIA_2024_63" w:history="1">
        <w:r w:rsidRPr="00601EEA">
          <w:rPr>
            <w:rStyle w:val="TextoNormalCaracter"/>
          </w:rPr>
          <w:t>63/2024</w:t>
        </w:r>
      </w:hyperlink>
      <w:r>
        <w:t>, f. 2.</w:t>
      </w:r>
    </w:p>
    <w:p w14:paraId="4154CA0C" w14:textId="6FC58698" w:rsidR="00601EEA" w:rsidRDefault="00601EEA" w:rsidP="00601EEA">
      <w:pPr>
        <w:pStyle w:val="SangriaFrancesaArticulo"/>
      </w:pPr>
      <w:r w:rsidRPr="00601EEA">
        <w:rPr>
          <w:rStyle w:val="TextoNormalNegritaCaracter"/>
        </w:rPr>
        <w:t>Artículo 21.2.</w:t>
      </w:r>
      <w:r w:rsidRPr="00601EEA">
        <w:rPr>
          <w:rStyle w:val="TextoNormalCaracter"/>
        </w:rPr>
        <w:t>-</w:t>
      </w:r>
      <w:r>
        <w:t xml:space="preserve"> Sentencia </w:t>
      </w:r>
      <w:hyperlink w:anchor="SENTENCIA_2024_63" w:history="1">
        <w:r w:rsidRPr="00601EEA">
          <w:rPr>
            <w:rStyle w:val="TextoNormalCaracter"/>
          </w:rPr>
          <w:t>63/2024</w:t>
        </w:r>
      </w:hyperlink>
      <w:r>
        <w:t>, f. 2.</w:t>
      </w:r>
    </w:p>
    <w:p w14:paraId="6D31556D" w14:textId="1DDBDFB2" w:rsidR="00601EEA" w:rsidRDefault="00601EEA" w:rsidP="00601EEA">
      <w:pPr>
        <w:pStyle w:val="SangriaFrancesaArticulo"/>
      </w:pPr>
      <w:r w:rsidRPr="00601EEA">
        <w:rPr>
          <w:rStyle w:val="TextoNormalNegritaCaracter"/>
        </w:rPr>
        <w:t>Artículo 22.2.</w:t>
      </w:r>
      <w:r w:rsidRPr="00601EEA">
        <w:rPr>
          <w:rStyle w:val="TextoNormalCaracter"/>
        </w:rPr>
        <w:t>-</w:t>
      </w:r>
      <w:r>
        <w:t xml:space="preserve"> Sentencia </w:t>
      </w:r>
      <w:hyperlink w:anchor="SENTENCIA_2024_63" w:history="1">
        <w:r w:rsidRPr="00601EEA">
          <w:rPr>
            <w:rStyle w:val="TextoNormalCaracter"/>
          </w:rPr>
          <w:t>63/2024</w:t>
        </w:r>
      </w:hyperlink>
      <w:r>
        <w:t>, f. 2.</w:t>
      </w:r>
    </w:p>
    <w:p w14:paraId="0A96A7BB" w14:textId="50593D5F" w:rsidR="00601EEA" w:rsidRDefault="00601EEA" w:rsidP="00601EEA">
      <w:pPr>
        <w:pStyle w:val="SangriaFrancesaArticulo"/>
      </w:pPr>
      <w:r w:rsidRPr="00601EEA">
        <w:rPr>
          <w:rStyle w:val="TextoNormalNegritaCaracter"/>
        </w:rPr>
        <w:t>Artículo 35.1 a).</w:t>
      </w:r>
      <w:r w:rsidRPr="00601EEA">
        <w:rPr>
          <w:rStyle w:val="TextoNormalCaracter"/>
        </w:rPr>
        <w:t>-</w:t>
      </w:r>
      <w:r>
        <w:t xml:space="preserve"> Sentencia </w:t>
      </w:r>
      <w:hyperlink w:anchor="SENTENCIA_2024_63" w:history="1">
        <w:r w:rsidRPr="00601EEA">
          <w:rPr>
            <w:rStyle w:val="TextoNormalCaracter"/>
          </w:rPr>
          <w:t>63/2024</w:t>
        </w:r>
      </w:hyperlink>
      <w:r>
        <w:t>, f. 2.</w:t>
      </w:r>
    </w:p>
    <w:p w14:paraId="2FE789AB" w14:textId="74C4010E" w:rsidR="00601EEA" w:rsidRDefault="00601EEA" w:rsidP="00601EEA">
      <w:pPr>
        <w:pStyle w:val="SangriaFrancesaArticulo"/>
      </w:pPr>
      <w:r w:rsidRPr="00601EEA">
        <w:rPr>
          <w:rStyle w:val="TextoNormalNegritaCaracter"/>
        </w:rPr>
        <w:t>Artículo 35.1 b).</w:t>
      </w:r>
      <w:r w:rsidRPr="00601EEA">
        <w:rPr>
          <w:rStyle w:val="TextoNormalCaracter"/>
        </w:rPr>
        <w:t>-</w:t>
      </w:r>
      <w:r>
        <w:t xml:space="preserve"> Sentencia </w:t>
      </w:r>
      <w:hyperlink w:anchor="SENTENCIA_2024_63" w:history="1">
        <w:r w:rsidRPr="00601EEA">
          <w:rPr>
            <w:rStyle w:val="TextoNormalCaracter"/>
          </w:rPr>
          <w:t>63/2024</w:t>
        </w:r>
      </w:hyperlink>
      <w:r>
        <w:t>, f. 2.</w:t>
      </w:r>
    </w:p>
    <w:p w14:paraId="0B2A0A94" w14:textId="63EC8A13" w:rsidR="00601EEA" w:rsidRDefault="00601EEA" w:rsidP="00601EEA">
      <w:pPr>
        <w:pStyle w:val="SangriaFrancesaArticulo"/>
      </w:pPr>
      <w:r w:rsidRPr="00601EEA">
        <w:rPr>
          <w:rStyle w:val="TextoNormalNegritaCaracter"/>
        </w:rPr>
        <w:t>Artículo 36.</w:t>
      </w:r>
      <w:r w:rsidRPr="00601EEA">
        <w:rPr>
          <w:rStyle w:val="TextoNormalCaracter"/>
        </w:rPr>
        <w:t>-</w:t>
      </w:r>
      <w:r>
        <w:t xml:space="preserve"> Sentencia </w:t>
      </w:r>
      <w:hyperlink w:anchor="SENTENCIA_2024_63" w:history="1">
        <w:r w:rsidRPr="00601EEA">
          <w:rPr>
            <w:rStyle w:val="TextoNormalCaracter"/>
          </w:rPr>
          <w:t>63/2024</w:t>
        </w:r>
      </w:hyperlink>
      <w:r>
        <w:t>, f. 2.</w:t>
      </w:r>
    </w:p>
    <w:p w14:paraId="3F3837E2" w14:textId="59B18701" w:rsidR="00601EEA" w:rsidRDefault="00601EEA" w:rsidP="00601EEA">
      <w:pPr>
        <w:pStyle w:val="SangriaFrancesaArticulo"/>
      </w:pPr>
      <w:r w:rsidRPr="00601EEA">
        <w:rPr>
          <w:rStyle w:val="TextoNormalNegritaCaracter"/>
        </w:rPr>
        <w:t>Artículo 37.2.</w:t>
      </w:r>
      <w:r w:rsidRPr="00601EEA">
        <w:rPr>
          <w:rStyle w:val="TextoNormalCaracter"/>
        </w:rPr>
        <w:t>-</w:t>
      </w:r>
      <w:r>
        <w:t xml:space="preserve"> Sentencia </w:t>
      </w:r>
      <w:hyperlink w:anchor="SENTENCIA_2024_63" w:history="1">
        <w:r w:rsidRPr="00601EEA">
          <w:rPr>
            <w:rStyle w:val="TextoNormalCaracter"/>
          </w:rPr>
          <w:t>63/2024</w:t>
        </w:r>
      </w:hyperlink>
      <w:r>
        <w:t>, f. 2.</w:t>
      </w:r>
    </w:p>
    <w:p w14:paraId="0FFCAA4B" w14:textId="4A9BE657" w:rsidR="00601EEA" w:rsidRDefault="00601EEA" w:rsidP="00601EEA">
      <w:pPr>
        <w:pStyle w:val="SangriaFrancesaArticulo"/>
      </w:pPr>
      <w:r w:rsidRPr="00601EEA">
        <w:rPr>
          <w:rStyle w:val="TextoNormalNegritaCaracter"/>
        </w:rPr>
        <w:t>Disposición transitoria segunda.</w:t>
      </w:r>
      <w:r w:rsidRPr="00601EEA">
        <w:rPr>
          <w:rStyle w:val="TextoNormalCaracter"/>
        </w:rPr>
        <w:t>-</w:t>
      </w:r>
      <w:r>
        <w:t xml:space="preserve"> Sentencia </w:t>
      </w:r>
      <w:hyperlink w:anchor="SENTENCIA_2024_63" w:history="1">
        <w:r w:rsidRPr="00601EEA">
          <w:rPr>
            <w:rStyle w:val="TextoNormalCaracter"/>
          </w:rPr>
          <w:t>63/2024</w:t>
        </w:r>
      </w:hyperlink>
      <w:r>
        <w:t>, f. 2.</w:t>
      </w:r>
    </w:p>
    <w:p w14:paraId="12576184" w14:textId="3D44B5BB" w:rsidR="00601EEA" w:rsidRDefault="00601EEA" w:rsidP="00601EEA">
      <w:pPr>
        <w:pStyle w:val="SangriaFrancesaArticulo"/>
      </w:pPr>
    </w:p>
    <w:p w14:paraId="6F0A2180" w14:textId="77777777" w:rsidR="00601EEA" w:rsidRDefault="00601EEA" w:rsidP="00601EEA">
      <w:pPr>
        <w:pStyle w:val="TextoNormalNegritaCursivandice"/>
        <w:keepNext/>
      </w:pPr>
      <w:r>
        <w:t>Resolución de 11 de octubre de 2018, de la Secretaría General de Coordinación Territorial, por la que se publica el Acuerdo de la Comisión Bilateral de Cooperación Administración General del Estado-Comunidad Autónoma de Galicia en relación con la Ley 6/2017, de 12 de diciembre, de puertos de Galicia</w:t>
      </w:r>
    </w:p>
    <w:p w14:paraId="56BA3D2D" w14:textId="034535CD" w:rsidR="00601EEA" w:rsidRDefault="00601EEA" w:rsidP="00601EEA">
      <w:pPr>
        <w:pStyle w:val="SangriaFrancesaArticulo"/>
      </w:pPr>
      <w:r w:rsidRPr="00601EEA">
        <w:rPr>
          <w:rStyle w:val="TextoNormalNegritaCaracter"/>
        </w:rPr>
        <w:t>Artículo 39.</w:t>
      </w:r>
      <w:r w:rsidRPr="00601EEA">
        <w:rPr>
          <w:rStyle w:val="TextoNormalCaracter"/>
        </w:rPr>
        <w:t>-</w:t>
      </w:r>
      <w:r>
        <w:t xml:space="preserve"> Sentencia </w:t>
      </w:r>
      <w:hyperlink w:anchor="SENTENCIA_2024_68" w:history="1">
        <w:r w:rsidRPr="00601EEA">
          <w:rPr>
            <w:rStyle w:val="TextoNormalCaracter"/>
          </w:rPr>
          <w:t>68/2024</w:t>
        </w:r>
      </w:hyperlink>
      <w:r>
        <w:t>, f. 8.</w:t>
      </w:r>
    </w:p>
    <w:p w14:paraId="5C47661E" w14:textId="6FEB97EA" w:rsidR="00601EEA" w:rsidRDefault="00601EEA" w:rsidP="00601EEA">
      <w:pPr>
        <w:pStyle w:val="SangriaFrancesaArticulo"/>
      </w:pPr>
      <w:r w:rsidRPr="00601EEA">
        <w:rPr>
          <w:rStyle w:val="TextoNormalNegritaCaracter"/>
        </w:rPr>
        <w:t>Artículo 44.</w:t>
      </w:r>
      <w:r w:rsidRPr="00601EEA">
        <w:rPr>
          <w:rStyle w:val="TextoNormalCaracter"/>
        </w:rPr>
        <w:t>-</w:t>
      </w:r>
      <w:r>
        <w:t xml:space="preserve"> Sentencia </w:t>
      </w:r>
      <w:hyperlink w:anchor="SENTENCIA_2024_68" w:history="1">
        <w:r w:rsidRPr="00601EEA">
          <w:rPr>
            <w:rStyle w:val="TextoNormalCaracter"/>
          </w:rPr>
          <w:t>68/2024</w:t>
        </w:r>
      </w:hyperlink>
      <w:r>
        <w:t>, f. 8.</w:t>
      </w:r>
    </w:p>
    <w:p w14:paraId="017D0420" w14:textId="34F85D3D" w:rsidR="00601EEA" w:rsidRDefault="00601EEA" w:rsidP="00601EEA">
      <w:pPr>
        <w:pStyle w:val="SangriaFrancesaArticulo"/>
      </w:pPr>
      <w:r w:rsidRPr="00601EEA">
        <w:rPr>
          <w:rStyle w:val="TextoNormalNegritaCaracter"/>
        </w:rPr>
        <w:t>Artículo 52.1.</w:t>
      </w:r>
      <w:r w:rsidRPr="00601EEA">
        <w:rPr>
          <w:rStyle w:val="TextoNormalCaracter"/>
        </w:rPr>
        <w:t>-</w:t>
      </w:r>
      <w:r>
        <w:t xml:space="preserve"> Sentencia </w:t>
      </w:r>
      <w:hyperlink w:anchor="SENTENCIA_2024_68" w:history="1">
        <w:r w:rsidRPr="00601EEA">
          <w:rPr>
            <w:rStyle w:val="TextoNormalCaracter"/>
          </w:rPr>
          <w:t>68/2024</w:t>
        </w:r>
      </w:hyperlink>
      <w:r>
        <w:t>, f. 8.</w:t>
      </w:r>
    </w:p>
    <w:p w14:paraId="150FCABF" w14:textId="19E1AB80" w:rsidR="00601EEA" w:rsidRDefault="00601EEA" w:rsidP="00601EEA">
      <w:pPr>
        <w:pStyle w:val="SangriaFrancesaArticulo"/>
      </w:pPr>
    </w:p>
    <w:p w14:paraId="11C1CD8A" w14:textId="77777777" w:rsidR="00601EEA" w:rsidRDefault="00601EEA" w:rsidP="00601EEA">
      <w:pPr>
        <w:pStyle w:val="TextoNormalNegritaCursivandice"/>
        <w:keepNext/>
      </w:pPr>
      <w:r>
        <w:t>Resolución de 21 de noviembre de 2018 de la Subdelegación del Gobierno en Barcelona, en materia de expulsión del territorio nacional</w:t>
      </w:r>
    </w:p>
    <w:p w14:paraId="5249E8C2" w14:textId="09C1965A" w:rsidR="00601EEA" w:rsidRDefault="00601EEA" w:rsidP="00601EEA">
      <w:pPr>
        <w:pStyle w:val="SangriaFrancesaArticulo"/>
      </w:pPr>
      <w:r w:rsidRPr="00601EEA">
        <w:rPr>
          <w:rStyle w:val="TextoNormalNegritaCaracter"/>
        </w:rPr>
        <w:t>En general.</w:t>
      </w:r>
      <w:r w:rsidRPr="00601EEA">
        <w:rPr>
          <w:rStyle w:val="TextoNormalCaracter"/>
        </w:rPr>
        <w:t>-</w:t>
      </w:r>
      <w:r>
        <w:t xml:space="preserve"> Auto </w:t>
      </w:r>
      <w:hyperlink w:anchor="AUTO_2024_36" w:history="1">
        <w:r w:rsidRPr="00601EEA">
          <w:rPr>
            <w:rStyle w:val="TextoNormalCaracter"/>
          </w:rPr>
          <w:t>36/2024</w:t>
        </w:r>
      </w:hyperlink>
      <w:r>
        <w:t>.</w:t>
      </w:r>
    </w:p>
    <w:p w14:paraId="63A05F2B" w14:textId="1A6FE8FD" w:rsidR="00601EEA" w:rsidRDefault="00601EEA" w:rsidP="00601EEA">
      <w:pPr>
        <w:pStyle w:val="SangriaFrancesaArticulo"/>
      </w:pPr>
    </w:p>
    <w:p w14:paraId="60DF60DC" w14:textId="77777777" w:rsidR="00601EEA" w:rsidRDefault="00601EEA" w:rsidP="00601EEA">
      <w:pPr>
        <w:pStyle w:val="TextoNormalNegritaCursivandice"/>
        <w:keepNext/>
      </w:pPr>
      <w:r>
        <w:lastRenderedPageBreak/>
        <w:t>Resolución de 15 de enero de 2019 de la Subdelegación del Gobierno en Castellón. En materia de expulsión del territorio nacional</w:t>
      </w:r>
    </w:p>
    <w:p w14:paraId="18E0EA75" w14:textId="302D1FF4"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49" w:history="1">
        <w:r w:rsidRPr="00601EEA">
          <w:rPr>
            <w:rStyle w:val="TextoNormalCaracter"/>
          </w:rPr>
          <w:t>49/2024</w:t>
        </w:r>
      </w:hyperlink>
      <w:r>
        <w:t>.</w:t>
      </w:r>
    </w:p>
    <w:p w14:paraId="6486EFF0" w14:textId="27AFA886" w:rsidR="00601EEA" w:rsidRDefault="00601EEA" w:rsidP="00601EEA">
      <w:pPr>
        <w:pStyle w:val="SangriaFrancesaArticulo"/>
      </w:pPr>
    </w:p>
    <w:p w14:paraId="435DD0B2" w14:textId="77777777" w:rsidR="00601EEA" w:rsidRDefault="00601EEA" w:rsidP="00601EEA">
      <w:pPr>
        <w:pStyle w:val="TextoNormalNegritaCursivandice"/>
        <w:keepNext/>
      </w:pPr>
      <w:r>
        <w:t>Acuerdo 536/2019, de 22 de julio, de la Junta Electoral Central sobre solicitud de que la Junta Electoral Central promueva las acciones necesarias para permitir que candidato electo al Parlamento Europeo pueda cumplir con lo establecido en los artículos 108.8 y 224.2 de la LOREG</w:t>
      </w:r>
    </w:p>
    <w:p w14:paraId="2B0F4C8B" w14:textId="543FF0B5"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Sentencias </w:t>
      </w:r>
      <w:hyperlink w:anchor="SENTENCIA_2024_31" w:history="1">
        <w:r w:rsidRPr="00601EEA">
          <w:rPr>
            <w:rStyle w:val="TextoNormalCaracter"/>
          </w:rPr>
          <w:t>31/2024</w:t>
        </w:r>
      </w:hyperlink>
      <w:r>
        <w:t xml:space="preserve">, Único; </w:t>
      </w:r>
      <w:hyperlink w:anchor="SENTENCIA_2024_45" w:history="1">
        <w:r w:rsidRPr="00601EEA">
          <w:rPr>
            <w:rStyle w:val="TextoNormalCaracter"/>
          </w:rPr>
          <w:t>45/2024</w:t>
        </w:r>
      </w:hyperlink>
      <w:r>
        <w:t>, f. 2.</w:t>
      </w:r>
    </w:p>
    <w:p w14:paraId="2BA6DAE9" w14:textId="3B28E613" w:rsidR="00601EEA" w:rsidRDefault="00601EEA" w:rsidP="00601EEA">
      <w:pPr>
        <w:pStyle w:val="SangriaFrancesaArticulo"/>
      </w:pPr>
    </w:p>
    <w:p w14:paraId="5B1AF913" w14:textId="77777777" w:rsidR="00601EEA" w:rsidRDefault="00601EEA" w:rsidP="00601EEA">
      <w:pPr>
        <w:pStyle w:val="TextoNormalNegritaCursivandice"/>
        <w:keepNext/>
      </w:pPr>
      <w:r>
        <w:t>Real Decreto 551/2019, de 24 de septiembre, de disolución del Congreso de los Diputados y del Senado y de convocatoria de elecciones</w:t>
      </w:r>
    </w:p>
    <w:p w14:paraId="19B49FCF" w14:textId="7E06B5FD"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50" w:history="1">
        <w:r w:rsidRPr="00601EEA">
          <w:rPr>
            <w:rStyle w:val="TextoNormalCaracter"/>
          </w:rPr>
          <w:t>50/2024</w:t>
        </w:r>
      </w:hyperlink>
      <w:r>
        <w:t>, f. 4.</w:t>
      </w:r>
    </w:p>
    <w:p w14:paraId="7FCF58B9" w14:textId="508BAE90" w:rsidR="00601EEA" w:rsidRDefault="00601EEA" w:rsidP="00601EEA">
      <w:pPr>
        <w:pStyle w:val="SangriaFrancesaArticulo"/>
      </w:pPr>
    </w:p>
    <w:p w14:paraId="0EE31C1C" w14:textId="77777777" w:rsidR="00601EEA" w:rsidRDefault="00601EEA" w:rsidP="00601EEA">
      <w:pPr>
        <w:pStyle w:val="TextoNormalNegritaCursivandice"/>
        <w:keepNext/>
      </w:pPr>
      <w:r>
        <w:t>Acuerdos 617/2019 y 623/2019, de 17 de octubre, de la Junta Electoral Central sobre denegación de expedición de credenciales como eurodiputado</w:t>
      </w:r>
    </w:p>
    <w:p w14:paraId="3F563C99" w14:textId="5191A032"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45" w:history="1">
        <w:r w:rsidRPr="00601EEA">
          <w:rPr>
            <w:rStyle w:val="TextoNormalCaracter"/>
          </w:rPr>
          <w:t>45/2024</w:t>
        </w:r>
      </w:hyperlink>
      <w:r>
        <w:t>, f. 1.</w:t>
      </w:r>
    </w:p>
    <w:p w14:paraId="3485A4FC" w14:textId="06171A3D" w:rsidR="00601EEA" w:rsidRDefault="00601EEA" w:rsidP="00601EEA">
      <w:pPr>
        <w:pStyle w:val="SangriaFrancesaArticulo"/>
      </w:pPr>
    </w:p>
    <w:p w14:paraId="4B64094A" w14:textId="77777777" w:rsidR="00601EEA" w:rsidRDefault="00601EEA" w:rsidP="00601EEA">
      <w:pPr>
        <w:pStyle w:val="TextoNormalNegritaCursivandice"/>
        <w:keepNext/>
      </w:pPr>
      <w:r>
        <w:t>Acuerdo 706/2019, de 8 de noviembre, de la Junta Electoral Central sobre petición de revisión del acuerdo de 14 de octubre de 2019, de la Junta Electoral Provincial de Barcelona que ordena una exclusión de la lista de candidatos</w:t>
      </w:r>
    </w:p>
    <w:p w14:paraId="15DF9976" w14:textId="1A36884E"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50" w:history="1">
        <w:r w:rsidRPr="00601EEA">
          <w:rPr>
            <w:rStyle w:val="TextoNormalCaracter"/>
          </w:rPr>
          <w:t>50/2024</w:t>
        </w:r>
      </w:hyperlink>
      <w:r>
        <w:t>, f. 1.</w:t>
      </w:r>
    </w:p>
    <w:p w14:paraId="6631ACA8" w14:textId="36A93EEB" w:rsidR="00601EEA" w:rsidRDefault="00601EEA" w:rsidP="00601EEA">
      <w:pPr>
        <w:pStyle w:val="SangriaFrancesaArticulo"/>
      </w:pPr>
    </w:p>
    <w:p w14:paraId="0B52A8EC" w14:textId="77777777" w:rsidR="00601EEA" w:rsidRDefault="00601EEA" w:rsidP="00601EEA">
      <w:pPr>
        <w:pStyle w:val="TextoNormalNegritaCursivandice"/>
        <w:keepNext/>
      </w:pPr>
      <w:r>
        <w:t>Acuerdo 2/2020, de 3 de enero, de la Junta Electoral Central en relación con la causa de inelegibilidad sobrevenida a que se refiere el artículo 6.2 b) LOREG, que deja sin efecto la credencial de diputado electo del presidente de la Generalitat de Cataluña</w:t>
      </w:r>
    </w:p>
    <w:p w14:paraId="344FBEBC" w14:textId="416937AA"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62" w:history="1">
        <w:r w:rsidRPr="00601EEA">
          <w:rPr>
            <w:rStyle w:val="TextoNormalCaracter"/>
          </w:rPr>
          <w:t>62/2024</w:t>
        </w:r>
      </w:hyperlink>
      <w:r>
        <w:t>, f. 2.</w:t>
      </w:r>
    </w:p>
    <w:p w14:paraId="77962C90" w14:textId="1DC5475F" w:rsidR="00601EEA" w:rsidRDefault="00601EEA" w:rsidP="00601EEA">
      <w:pPr>
        <w:pStyle w:val="SangriaFrancesaArticulo"/>
      </w:pPr>
    </w:p>
    <w:p w14:paraId="101C7455" w14:textId="77777777" w:rsidR="00601EEA" w:rsidRDefault="00601EEA" w:rsidP="00601EEA">
      <w:pPr>
        <w:pStyle w:val="TextoNormalNegritaCursivandice"/>
        <w:keepNext/>
      </w:pPr>
      <w:r>
        <w:t>Acuerdo 10/2020, de 28 de enero, de la Junta Electoral Central sobre proclamación de candidatos electos al Parlamento Europeo y expedición de credencial</w:t>
      </w:r>
    </w:p>
    <w:p w14:paraId="1EBD97C3" w14:textId="46E2E920"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64" w:history="1">
        <w:r w:rsidRPr="00601EEA">
          <w:rPr>
            <w:rStyle w:val="TextoNormalCaracter"/>
          </w:rPr>
          <w:t>64/2024</w:t>
        </w:r>
      </w:hyperlink>
      <w:r>
        <w:t>, f. único.</w:t>
      </w:r>
    </w:p>
    <w:p w14:paraId="239B8A1E" w14:textId="0C867EDD" w:rsidR="00601EEA" w:rsidRDefault="00601EEA" w:rsidP="00601EEA">
      <w:pPr>
        <w:pStyle w:val="SangriaFrancesaArticulo"/>
      </w:pPr>
    </w:p>
    <w:p w14:paraId="413DB6EF" w14:textId="77777777" w:rsidR="00601EEA" w:rsidRDefault="00601EEA" w:rsidP="00601EEA">
      <w:pPr>
        <w:pStyle w:val="TextoNormalNegritaCursivandice"/>
        <w:keepNext/>
      </w:pPr>
      <w:r>
        <w:t>Acuerdo 11/2020, de 28 de enero, de la Junta Electoral Central sobre proclamación de candidatos electos al Parlamento Europeo y expedición de credencial</w:t>
      </w:r>
    </w:p>
    <w:p w14:paraId="512949B7" w14:textId="6EE6FC84"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64" w:history="1">
        <w:r w:rsidRPr="00601EEA">
          <w:rPr>
            <w:rStyle w:val="TextoNormalCaracter"/>
          </w:rPr>
          <w:t>64/2024</w:t>
        </w:r>
      </w:hyperlink>
      <w:r>
        <w:t>, f. único.</w:t>
      </w:r>
    </w:p>
    <w:p w14:paraId="352D41A1" w14:textId="7AC0CA99" w:rsidR="00601EEA" w:rsidRDefault="00601EEA" w:rsidP="00601EEA">
      <w:pPr>
        <w:pStyle w:val="SangriaFrancesaArticulo"/>
      </w:pPr>
    </w:p>
    <w:p w14:paraId="4B486133" w14:textId="77777777" w:rsidR="00601EEA" w:rsidRDefault="00601EEA" w:rsidP="00601EEA">
      <w:pPr>
        <w:pStyle w:val="TextoNormalNegritaCursivandice"/>
        <w:keepNext/>
      </w:pPr>
      <w:r>
        <w:t>Acuerdo 14/2020, de 30 de enero, de la Junta Electoral Central sobre proclamación de candidatos electos al Parlamento Europeo y expedición de credencial</w:t>
      </w:r>
    </w:p>
    <w:p w14:paraId="4B86FED6" w14:textId="25323C8F"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64" w:history="1">
        <w:r w:rsidRPr="00601EEA">
          <w:rPr>
            <w:rStyle w:val="TextoNormalCaracter"/>
          </w:rPr>
          <w:t>64/2024</w:t>
        </w:r>
      </w:hyperlink>
      <w:r>
        <w:t>, f. único.</w:t>
      </w:r>
    </w:p>
    <w:p w14:paraId="407ABC24" w14:textId="11CEF483" w:rsidR="00601EEA" w:rsidRDefault="00601EEA" w:rsidP="00601EEA">
      <w:pPr>
        <w:pStyle w:val="SangriaFrancesaArticulo"/>
      </w:pPr>
    </w:p>
    <w:p w14:paraId="3883CB5E" w14:textId="77777777" w:rsidR="00601EEA" w:rsidRDefault="00601EEA" w:rsidP="00601EEA">
      <w:pPr>
        <w:pStyle w:val="TextoNormalNegritaCursivandice"/>
        <w:keepNext/>
      </w:pPr>
      <w:r>
        <w:t>Real Decreto 926/2020, de 25 de octubre, por el que se declara el estado de alarma para contener la propagación de infecciones causadas por el SARS-CoV-2</w:t>
      </w:r>
    </w:p>
    <w:p w14:paraId="00F67562" w14:textId="04D30403"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Sentencias </w:t>
      </w:r>
      <w:hyperlink w:anchor="SENTENCIA_2024_7" w:history="1">
        <w:r w:rsidRPr="00601EEA">
          <w:rPr>
            <w:rStyle w:val="TextoNormalCaracter"/>
          </w:rPr>
          <w:t>7/2024</w:t>
        </w:r>
      </w:hyperlink>
      <w:r>
        <w:t xml:space="preserve">, f. 1, VP; </w:t>
      </w:r>
      <w:hyperlink w:anchor="SENTENCIA_2024_15" w:history="1">
        <w:r w:rsidRPr="00601EEA">
          <w:rPr>
            <w:rStyle w:val="TextoNormalCaracter"/>
          </w:rPr>
          <w:t>15/2024</w:t>
        </w:r>
      </w:hyperlink>
      <w:r>
        <w:t>, f. 2.</w:t>
      </w:r>
    </w:p>
    <w:p w14:paraId="2E676502" w14:textId="1551DF76" w:rsidR="00601EEA" w:rsidRDefault="00601EEA" w:rsidP="00601EEA">
      <w:pPr>
        <w:pStyle w:val="SangriaFrancesaArticulo"/>
      </w:pPr>
    </w:p>
    <w:p w14:paraId="75E3317C" w14:textId="77777777" w:rsidR="00601EEA" w:rsidRDefault="00601EEA" w:rsidP="00601EEA">
      <w:pPr>
        <w:pStyle w:val="TextoNormalNegritaCursivandice"/>
        <w:keepNext/>
      </w:pPr>
      <w:r>
        <w:lastRenderedPageBreak/>
        <w:t>Real Decreto 956/2020, de 3 de noviembre, por el que se prorroga el estado de alarma declarado por el Real Decreto 926/2020, de 25 de octubre, por el que se declara el estado de alarma para contener la propagación de infecciones causadas por el SARS-CoV-2</w:t>
      </w:r>
    </w:p>
    <w:p w14:paraId="62E23E67" w14:textId="32417906"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7" w:history="1">
        <w:r w:rsidRPr="00601EEA">
          <w:rPr>
            <w:rStyle w:val="TextoNormalCaracter"/>
          </w:rPr>
          <w:t>7/2024</w:t>
        </w:r>
      </w:hyperlink>
      <w:r>
        <w:t>, ff. 1, 6, VP.</w:t>
      </w:r>
    </w:p>
    <w:p w14:paraId="31CDDE1E" w14:textId="7430D1A4" w:rsidR="00601EEA" w:rsidRDefault="00601EEA" w:rsidP="00601EEA">
      <w:pPr>
        <w:pStyle w:val="SangriaFrancesaArticulo"/>
      </w:pPr>
      <w:r w:rsidRPr="00601EEA">
        <w:rPr>
          <w:rStyle w:val="TextoNormalNegritaCaracter"/>
        </w:rPr>
        <w:t>Artículo 2.</w:t>
      </w:r>
      <w:r w:rsidRPr="00601EEA">
        <w:rPr>
          <w:rStyle w:val="TextoNormalCaracter"/>
        </w:rPr>
        <w:t>-</w:t>
      </w:r>
      <w:r>
        <w:t xml:space="preserve"> Sentencia </w:t>
      </w:r>
      <w:hyperlink w:anchor="SENTENCIA_2024_7" w:history="1">
        <w:r w:rsidRPr="00601EEA">
          <w:rPr>
            <w:rStyle w:val="TextoNormalCaracter"/>
          </w:rPr>
          <w:t>7/2024</w:t>
        </w:r>
      </w:hyperlink>
      <w:r>
        <w:t>, VP.</w:t>
      </w:r>
    </w:p>
    <w:p w14:paraId="0C5D7196" w14:textId="77DB4408" w:rsidR="00601EEA" w:rsidRDefault="00601EEA" w:rsidP="00601EEA">
      <w:pPr>
        <w:pStyle w:val="SangriaFrancesaArticulo"/>
      </w:pPr>
    </w:p>
    <w:p w14:paraId="7A542287" w14:textId="77777777" w:rsidR="00601EEA" w:rsidRDefault="00601EEA" w:rsidP="00601EEA">
      <w:pPr>
        <w:pStyle w:val="TextoNormalNegritaCursivandice"/>
        <w:keepNext/>
      </w:pPr>
      <w:r>
        <w:t>Orden TER/253/2022, de 30 de marzo, por la que se publica el acuerdo de la comisión mixta de transferencias administración del Estado-Comunidad Autónoma del País Vasco, de 16 de marzo de 2022, de establecimiento del convenio para la asunción por la Comunidad Autónoma del País Vasco de la gestión de la prestación no contributiva del ingreso mínimo vital</w:t>
      </w:r>
    </w:p>
    <w:p w14:paraId="53BC195F" w14:textId="5312D71B" w:rsidR="00601EEA" w:rsidRDefault="00601EEA" w:rsidP="00601EEA">
      <w:pPr>
        <w:pStyle w:val="SangriaFrancesaArticulo"/>
      </w:pPr>
      <w:r w:rsidRPr="00601EEA">
        <w:rPr>
          <w:rStyle w:val="TextoNormalNegritaCaracter"/>
        </w:rPr>
        <w:t>Apartado 3.</w:t>
      </w:r>
      <w:r w:rsidRPr="00601EEA">
        <w:rPr>
          <w:rStyle w:val="TextoNormalCaracter"/>
        </w:rPr>
        <w:t>-</w:t>
      </w:r>
      <w:r>
        <w:t xml:space="preserve"> Sentencia </w:t>
      </w:r>
      <w:hyperlink w:anchor="SENTENCIA_2024_19" w:history="1">
        <w:r w:rsidRPr="00601EEA">
          <w:rPr>
            <w:rStyle w:val="TextoNormalCaracter"/>
          </w:rPr>
          <w:t>19/2024</w:t>
        </w:r>
      </w:hyperlink>
      <w:r>
        <w:t>, f. 4.</w:t>
      </w:r>
    </w:p>
    <w:p w14:paraId="42180CCC" w14:textId="65A9BB54"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19" w:history="1">
        <w:r w:rsidRPr="00601EEA">
          <w:rPr>
            <w:rStyle w:val="TextoNormalCaracter"/>
          </w:rPr>
          <w:t>19/2024</w:t>
        </w:r>
      </w:hyperlink>
      <w:r>
        <w:t>, f. 4.</w:t>
      </w:r>
    </w:p>
    <w:p w14:paraId="2FA1FE34" w14:textId="77DDC040" w:rsidR="00601EEA" w:rsidRDefault="00601EEA" w:rsidP="00601EEA">
      <w:pPr>
        <w:pStyle w:val="SangriaFrancesaArticulo"/>
      </w:pPr>
      <w:r w:rsidRPr="00601EEA">
        <w:rPr>
          <w:rStyle w:val="TextoNormalNegritaCaracter"/>
        </w:rPr>
        <w:t>Apartado 4.</w:t>
      </w:r>
      <w:r w:rsidRPr="00601EEA">
        <w:rPr>
          <w:rStyle w:val="TextoNormalCaracter"/>
        </w:rPr>
        <w:t>-</w:t>
      </w:r>
      <w:r>
        <w:t xml:space="preserve"> Sentencia </w:t>
      </w:r>
      <w:hyperlink w:anchor="SENTENCIA_2024_19" w:history="1">
        <w:r w:rsidRPr="00601EEA">
          <w:rPr>
            <w:rStyle w:val="TextoNormalCaracter"/>
          </w:rPr>
          <w:t>19/2024</w:t>
        </w:r>
      </w:hyperlink>
      <w:r>
        <w:t>, ff. 4, 5.</w:t>
      </w:r>
    </w:p>
    <w:p w14:paraId="7FDD9347" w14:textId="21665473" w:rsidR="00601EEA" w:rsidRDefault="00601EEA" w:rsidP="00601EEA">
      <w:pPr>
        <w:pStyle w:val="SangriaFrancesaArticulo"/>
      </w:pPr>
      <w:r w:rsidRPr="00601EEA">
        <w:rPr>
          <w:rStyle w:val="TextoNormalNegritaCaracter"/>
        </w:rPr>
        <w:t>Apartado 5.1.</w:t>
      </w:r>
      <w:r w:rsidRPr="00601EEA">
        <w:rPr>
          <w:rStyle w:val="TextoNormalCaracter"/>
        </w:rPr>
        <w:t>-</w:t>
      </w:r>
      <w:r>
        <w:t xml:space="preserve"> Sentencia </w:t>
      </w:r>
      <w:hyperlink w:anchor="SENTENCIA_2024_19" w:history="1">
        <w:r w:rsidRPr="00601EEA">
          <w:rPr>
            <w:rStyle w:val="TextoNormalCaracter"/>
          </w:rPr>
          <w:t>19/2024</w:t>
        </w:r>
      </w:hyperlink>
      <w:r>
        <w:t>, f. 5.</w:t>
      </w:r>
    </w:p>
    <w:p w14:paraId="45A40F98" w14:textId="50F64D7D" w:rsidR="00601EEA" w:rsidRDefault="00601EEA" w:rsidP="00601EEA">
      <w:pPr>
        <w:pStyle w:val="SangriaFrancesaArticulo"/>
      </w:pPr>
      <w:r w:rsidRPr="00601EEA">
        <w:rPr>
          <w:rStyle w:val="TextoNormalNegritaCaracter"/>
        </w:rPr>
        <w:t>Apartado 5.2.</w:t>
      </w:r>
      <w:r w:rsidRPr="00601EEA">
        <w:rPr>
          <w:rStyle w:val="TextoNormalCaracter"/>
        </w:rPr>
        <w:t>-</w:t>
      </w:r>
      <w:r>
        <w:t xml:space="preserve"> Sentencia </w:t>
      </w:r>
      <w:hyperlink w:anchor="SENTENCIA_2024_19" w:history="1">
        <w:r w:rsidRPr="00601EEA">
          <w:rPr>
            <w:rStyle w:val="TextoNormalCaracter"/>
          </w:rPr>
          <w:t>19/2024</w:t>
        </w:r>
      </w:hyperlink>
      <w:r>
        <w:t>, f. 5.</w:t>
      </w:r>
    </w:p>
    <w:p w14:paraId="5CE27BB3" w14:textId="77B06874" w:rsidR="00601EEA" w:rsidRDefault="00601EEA" w:rsidP="00601EEA">
      <w:pPr>
        <w:pStyle w:val="SangriaFrancesaArticulo"/>
      </w:pPr>
    </w:p>
    <w:p w14:paraId="74CDE47E" w14:textId="77777777" w:rsidR="00601EEA" w:rsidRDefault="00601EEA" w:rsidP="00601EEA">
      <w:pPr>
        <w:pStyle w:val="TextoNormalNegritaCursivandice"/>
        <w:keepNext/>
      </w:pPr>
      <w:r>
        <w:t>Orden TER/310/2022, de 6 de abril, por la que se publica el acuerdo de la junta de transferencias administración del Estado-Comunidad Foral de Navarra, de 31 de marzo de 2022, de asunción por la Comunidad Foral de Navarra de la gestión de la prestación no contributiva del ingreso mínimo vital</w:t>
      </w:r>
    </w:p>
    <w:p w14:paraId="3D0E03FE" w14:textId="3C6DC58F" w:rsidR="00601EEA" w:rsidRDefault="00601EEA" w:rsidP="00601EEA">
      <w:pPr>
        <w:pStyle w:val="SangriaFrancesaArticulo"/>
      </w:pPr>
      <w:r w:rsidRPr="00601EEA">
        <w:rPr>
          <w:rStyle w:val="TextoNormalNegritaCaracter"/>
        </w:rPr>
        <w:t>Apartado C).</w:t>
      </w:r>
      <w:r w:rsidRPr="00601EEA">
        <w:rPr>
          <w:rStyle w:val="TextoNormalCaracter"/>
        </w:rPr>
        <w:t>-</w:t>
      </w:r>
      <w:r>
        <w:t xml:space="preserve"> Sentencia </w:t>
      </w:r>
      <w:hyperlink w:anchor="SENTENCIA_2024_19" w:history="1">
        <w:r w:rsidRPr="00601EEA">
          <w:rPr>
            <w:rStyle w:val="TextoNormalCaracter"/>
          </w:rPr>
          <w:t>19/2024</w:t>
        </w:r>
      </w:hyperlink>
      <w:r>
        <w:t>, f. 4.</w:t>
      </w:r>
    </w:p>
    <w:p w14:paraId="3DCCFD01" w14:textId="52B8CC19" w:rsidR="00601EEA" w:rsidRDefault="00601EEA" w:rsidP="00601EEA">
      <w:pPr>
        <w:pStyle w:val="SangriaFrancesaArticulo"/>
      </w:pPr>
      <w:r w:rsidRPr="00601EEA">
        <w:rPr>
          <w:rStyle w:val="TextoNormalNegritaCaracter"/>
        </w:rPr>
        <w:t>Apartado D).</w:t>
      </w:r>
      <w:r w:rsidRPr="00601EEA">
        <w:rPr>
          <w:rStyle w:val="TextoNormalCaracter"/>
        </w:rPr>
        <w:t>-</w:t>
      </w:r>
      <w:r>
        <w:t xml:space="preserve"> Sentencia </w:t>
      </w:r>
      <w:hyperlink w:anchor="SENTENCIA_2024_19" w:history="1">
        <w:r w:rsidRPr="00601EEA">
          <w:rPr>
            <w:rStyle w:val="TextoNormalCaracter"/>
          </w:rPr>
          <w:t>19/2024</w:t>
        </w:r>
      </w:hyperlink>
      <w:r>
        <w:t>, ff. 4, 5.</w:t>
      </w:r>
    </w:p>
    <w:p w14:paraId="4BAB4B37" w14:textId="7A109A22" w:rsidR="00601EEA" w:rsidRDefault="00601EEA" w:rsidP="00601EEA">
      <w:pPr>
        <w:pStyle w:val="SangriaFrancesaArticulo"/>
      </w:pPr>
      <w:r w:rsidRPr="00601EEA">
        <w:rPr>
          <w:rStyle w:val="TextoNormalNegritaCaracter"/>
        </w:rPr>
        <w:t>Apartado E), punto 1.</w:t>
      </w:r>
      <w:r w:rsidRPr="00601EEA">
        <w:rPr>
          <w:rStyle w:val="TextoNormalCaracter"/>
        </w:rPr>
        <w:t>-</w:t>
      </w:r>
      <w:r>
        <w:t xml:space="preserve"> Sentencia </w:t>
      </w:r>
      <w:hyperlink w:anchor="SENTENCIA_2024_19" w:history="1">
        <w:r w:rsidRPr="00601EEA">
          <w:rPr>
            <w:rStyle w:val="TextoNormalCaracter"/>
          </w:rPr>
          <w:t>19/2024</w:t>
        </w:r>
      </w:hyperlink>
      <w:r>
        <w:t>, f. 5.</w:t>
      </w:r>
    </w:p>
    <w:p w14:paraId="6C0BA9E5" w14:textId="7CB6261A" w:rsidR="00601EEA" w:rsidRDefault="00601EEA" w:rsidP="00601EEA">
      <w:pPr>
        <w:pStyle w:val="SangriaFrancesaArticulo"/>
      </w:pPr>
      <w:r w:rsidRPr="00601EEA">
        <w:rPr>
          <w:rStyle w:val="TextoNormalNegritaCaracter"/>
        </w:rPr>
        <w:t>Apartado E), punto 2.</w:t>
      </w:r>
      <w:r w:rsidRPr="00601EEA">
        <w:rPr>
          <w:rStyle w:val="TextoNormalCaracter"/>
        </w:rPr>
        <w:t>-</w:t>
      </w:r>
      <w:r>
        <w:t xml:space="preserve"> Sentencia </w:t>
      </w:r>
      <w:hyperlink w:anchor="SENTENCIA_2024_19" w:history="1">
        <w:r w:rsidRPr="00601EEA">
          <w:rPr>
            <w:rStyle w:val="TextoNormalCaracter"/>
          </w:rPr>
          <w:t>19/2024</w:t>
        </w:r>
      </w:hyperlink>
      <w:r>
        <w:t>, f. 5.</w:t>
      </w:r>
    </w:p>
    <w:p w14:paraId="1B4E45F0" w14:textId="01116CB3"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19" w:history="1">
        <w:r w:rsidRPr="00601EEA">
          <w:rPr>
            <w:rStyle w:val="TextoNormalCaracter"/>
          </w:rPr>
          <w:t>19/2024</w:t>
        </w:r>
      </w:hyperlink>
      <w:r>
        <w:t>, f. 4.</w:t>
      </w:r>
    </w:p>
    <w:p w14:paraId="30B4E080" w14:textId="26155443" w:rsidR="00601EEA" w:rsidRDefault="00601EEA" w:rsidP="00601EEA">
      <w:pPr>
        <w:pStyle w:val="SangriaFrancesaArticulo"/>
      </w:pPr>
    </w:p>
    <w:p w14:paraId="3F2579AA" w14:textId="77777777" w:rsidR="00601EEA" w:rsidRDefault="00601EEA" w:rsidP="00601EEA">
      <w:pPr>
        <w:pStyle w:val="TextoNormalNegritaCursivandice"/>
        <w:keepNext/>
      </w:pPr>
      <w:r>
        <w:t>Real Decreto 311/2022, de 3 de mayo, por el que se regula el Esquema Nacional de Seguridad</w:t>
      </w:r>
    </w:p>
    <w:p w14:paraId="5BC45493" w14:textId="3E9F84BC"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92" w:history="1">
        <w:r w:rsidRPr="00601EEA">
          <w:rPr>
            <w:rStyle w:val="TextoNormalCaracter"/>
          </w:rPr>
          <w:t>92/2024</w:t>
        </w:r>
      </w:hyperlink>
      <w:r>
        <w:t>, f. 9.</w:t>
      </w:r>
    </w:p>
    <w:p w14:paraId="798F4413" w14:textId="78F4A0A8" w:rsidR="00601EEA" w:rsidRDefault="00601EEA" w:rsidP="00601EEA">
      <w:pPr>
        <w:pStyle w:val="SangriaFrancesaArticulo"/>
      </w:pPr>
    </w:p>
    <w:p w14:paraId="0419B78E" w14:textId="77777777" w:rsidR="00601EEA" w:rsidRDefault="00601EEA" w:rsidP="00601EEA">
      <w:pPr>
        <w:pStyle w:val="TextoNormalNegritaCursivandice"/>
        <w:keepNext/>
      </w:pPr>
      <w:r>
        <w:t>Real Decreto 668/2022, de 1 de agosto, por el que se modifica el Reglamento general de costas, aprobado por Real Decreto 876/2014, de 10 de octubre</w:t>
      </w:r>
    </w:p>
    <w:p w14:paraId="2ACCFC7C" w14:textId="6AACC7AA"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68" w:history="1">
        <w:r w:rsidRPr="00601EEA">
          <w:rPr>
            <w:rStyle w:val="TextoNormalCaracter"/>
          </w:rPr>
          <w:t>68/2024</w:t>
        </w:r>
      </w:hyperlink>
      <w:r>
        <w:t>, ff. 1, 8.</w:t>
      </w:r>
    </w:p>
    <w:p w14:paraId="2C733468" w14:textId="598FD394" w:rsidR="00601EEA" w:rsidRDefault="00601EEA" w:rsidP="00601EEA">
      <w:pPr>
        <w:pStyle w:val="SangriaFrancesaArticulo"/>
      </w:pPr>
      <w:r w:rsidRPr="00601EEA">
        <w:rPr>
          <w:rStyle w:val="TextoNormalNegritaCaracter"/>
        </w:rPr>
        <w:t>Artículo 45.</w:t>
      </w:r>
      <w:r w:rsidRPr="00601EEA">
        <w:rPr>
          <w:rStyle w:val="TextoNormalCaracter"/>
        </w:rPr>
        <w:t>-</w:t>
      </w:r>
      <w:r>
        <w:t xml:space="preserve"> Sentencia </w:t>
      </w:r>
      <w:hyperlink w:anchor="SENTENCIA_2024_68" w:history="1">
        <w:r w:rsidRPr="00601EEA">
          <w:rPr>
            <w:rStyle w:val="TextoNormalCaracter"/>
          </w:rPr>
          <w:t>68/2024</w:t>
        </w:r>
      </w:hyperlink>
      <w:r>
        <w:t>, f. 8.</w:t>
      </w:r>
    </w:p>
    <w:p w14:paraId="4A813F51" w14:textId="0FE92D18" w:rsidR="00601EEA" w:rsidRDefault="00601EEA" w:rsidP="00601EEA">
      <w:pPr>
        <w:pStyle w:val="SangriaFrancesaArticulo"/>
      </w:pPr>
      <w:r w:rsidRPr="00601EEA">
        <w:rPr>
          <w:rStyle w:val="TextoNormalNegritaCaracter"/>
        </w:rPr>
        <w:t>Artículo 47.3.</w:t>
      </w:r>
      <w:r w:rsidRPr="00601EEA">
        <w:rPr>
          <w:rStyle w:val="TextoNormalCaracter"/>
        </w:rPr>
        <w:t>-</w:t>
      </w:r>
      <w:r>
        <w:t xml:space="preserve"> Sentencia </w:t>
      </w:r>
      <w:hyperlink w:anchor="SENTENCIA_2024_68" w:history="1">
        <w:r w:rsidRPr="00601EEA">
          <w:rPr>
            <w:rStyle w:val="TextoNormalCaracter"/>
          </w:rPr>
          <w:t>68/2024</w:t>
        </w:r>
      </w:hyperlink>
      <w:r>
        <w:t>, f. 8.</w:t>
      </w:r>
    </w:p>
    <w:p w14:paraId="3BC94DFC" w14:textId="3730C133" w:rsidR="00601EEA" w:rsidRDefault="00601EEA" w:rsidP="00601EEA">
      <w:pPr>
        <w:pStyle w:val="SangriaFrancesaArticulo"/>
      </w:pPr>
      <w:r w:rsidRPr="00601EEA">
        <w:rPr>
          <w:rStyle w:val="TextoNormalNegritaCaracter"/>
        </w:rPr>
        <w:t>Artículo 70.</w:t>
      </w:r>
      <w:r w:rsidRPr="00601EEA">
        <w:rPr>
          <w:rStyle w:val="TextoNormalCaracter"/>
        </w:rPr>
        <w:t>-</w:t>
      </w:r>
      <w:r>
        <w:t xml:space="preserve"> Sentencia </w:t>
      </w:r>
      <w:hyperlink w:anchor="SENTENCIA_2024_68" w:history="1">
        <w:r w:rsidRPr="00601EEA">
          <w:rPr>
            <w:rStyle w:val="TextoNormalCaracter"/>
          </w:rPr>
          <w:t>68/2024</w:t>
        </w:r>
      </w:hyperlink>
      <w:r>
        <w:t>, f. 8.</w:t>
      </w:r>
    </w:p>
    <w:p w14:paraId="13F11131" w14:textId="222D37FB" w:rsidR="00601EEA" w:rsidRDefault="00601EEA" w:rsidP="00601EEA">
      <w:pPr>
        <w:pStyle w:val="SangriaFrancesaArticulo"/>
      </w:pPr>
    </w:p>
    <w:p w14:paraId="48E32DA7" w14:textId="77777777" w:rsidR="00601EEA" w:rsidRDefault="00601EEA" w:rsidP="00601EEA">
      <w:pPr>
        <w:pStyle w:val="TextoNormalNegritaCursivandice"/>
        <w:keepNext/>
      </w:pPr>
      <w:r>
        <w:t>Real Decreto 1055/2022, de 27 de diciembre, de envases y residuos de envases</w:t>
      </w:r>
    </w:p>
    <w:p w14:paraId="1DB62CE7" w14:textId="0E3774DF" w:rsidR="00601EEA" w:rsidRDefault="00601EEA" w:rsidP="00601EEA">
      <w:pPr>
        <w:pStyle w:val="SangriaFrancesaArticulo"/>
      </w:pPr>
      <w:r w:rsidRPr="00601EEA">
        <w:rPr>
          <w:rStyle w:val="TextoNormalNegritaCaracter"/>
        </w:rPr>
        <w:t>En general.</w:t>
      </w:r>
      <w:r w:rsidRPr="00601EEA">
        <w:rPr>
          <w:rStyle w:val="TextoNormalCaracter"/>
        </w:rPr>
        <w:t>-</w:t>
      </w:r>
      <w:r>
        <w:t xml:space="preserve"> Auto </w:t>
      </w:r>
      <w:hyperlink w:anchor="AUTO_2024_41" w:history="1">
        <w:r w:rsidRPr="00601EEA">
          <w:rPr>
            <w:rStyle w:val="TextoNormalCaracter"/>
          </w:rPr>
          <w:t>41/2024</w:t>
        </w:r>
      </w:hyperlink>
      <w:r>
        <w:t>, f. 4.</w:t>
      </w:r>
    </w:p>
    <w:p w14:paraId="79D3855E" w14:textId="6679B9E0" w:rsidR="00601EEA" w:rsidRDefault="00601EEA" w:rsidP="00601EEA">
      <w:pPr>
        <w:pStyle w:val="SangriaFrancesaArticulo"/>
      </w:pPr>
      <w:r w:rsidRPr="00601EEA">
        <w:rPr>
          <w:rStyle w:val="TextoNormalNegritaCaracter"/>
        </w:rPr>
        <w:t>Artículo 1.1.</w:t>
      </w:r>
      <w:r w:rsidRPr="00601EEA">
        <w:rPr>
          <w:rStyle w:val="TextoNormalCaracter"/>
        </w:rPr>
        <w:t>-</w:t>
      </w:r>
      <w:r>
        <w:t xml:space="preserve"> Auto </w:t>
      </w:r>
      <w:hyperlink w:anchor="AUTO_2024_41" w:history="1">
        <w:r w:rsidRPr="00601EEA">
          <w:rPr>
            <w:rStyle w:val="TextoNormalCaracter"/>
          </w:rPr>
          <w:t>41/2024</w:t>
        </w:r>
      </w:hyperlink>
      <w:r>
        <w:t>, f. 4.</w:t>
      </w:r>
    </w:p>
    <w:p w14:paraId="786C75F2" w14:textId="64142597" w:rsidR="00601EEA" w:rsidRDefault="00601EEA" w:rsidP="00601EEA">
      <w:pPr>
        <w:pStyle w:val="SangriaFrancesaArticulo"/>
      </w:pPr>
      <w:r w:rsidRPr="00601EEA">
        <w:rPr>
          <w:rStyle w:val="TextoNormalNegritaCaracter"/>
        </w:rPr>
        <w:t>Artículo 10.1 c).</w:t>
      </w:r>
      <w:r w:rsidRPr="00601EEA">
        <w:rPr>
          <w:rStyle w:val="TextoNormalCaracter"/>
        </w:rPr>
        <w:t>-</w:t>
      </w:r>
      <w:r>
        <w:t xml:space="preserve"> Auto </w:t>
      </w:r>
      <w:hyperlink w:anchor="AUTO_2024_41" w:history="1">
        <w:r w:rsidRPr="00601EEA">
          <w:rPr>
            <w:rStyle w:val="TextoNormalCaracter"/>
          </w:rPr>
          <w:t>41/2024</w:t>
        </w:r>
      </w:hyperlink>
      <w:r>
        <w:t>, ff. 1, 3 a 5.</w:t>
      </w:r>
    </w:p>
    <w:p w14:paraId="7A7B75BE" w14:textId="1011513B" w:rsidR="00601EEA" w:rsidRDefault="00601EEA" w:rsidP="00601EEA">
      <w:pPr>
        <w:pStyle w:val="SangriaFrancesaArticulo"/>
      </w:pPr>
      <w:r w:rsidRPr="00601EEA">
        <w:rPr>
          <w:rStyle w:val="TextoNormalNegritaCaracter"/>
        </w:rPr>
        <w:t>Disposición final segunda.</w:t>
      </w:r>
      <w:r w:rsidRPr="00601EEA">
        <w:rPr>
          <w:rStyle w:val="TextoNormalCaracter"/>
        </w:rPr>
        <w:t>-</w:t>
      </w:r>
      <w:r>
        <w:t xml:space="preserve"> Auto </w:t>
      </w:r>
      <w:hyperlink w:anchor="AUTO_2024_41" w:history="1">
        <w:r w:rsidRPr="00601EEA">
          <w:rPr>
            <w:rStyle w:val="TextoNormalCaracter"/>
          </w:rPr>
          <w:t>41/2024</w:t>
        </w:r>
      </w:hyperlink>
      <w:r>
        <w:t>, f. 4.</w:t>
      </w:r>
    </w:p>
    <w:p w14:paraId="52591A8B" w14:textId="527EA3C9" w:rsidR="00601EEA" w:rsidRDefault="00601EEA" w:rsidP="00601EEA">
      <w:pPr>
        <w:pStyle w:val="SangriaFrancesaArticulo"/>
      </w:pPr>
      <w:r w:rsidRPr="00601EEA">
        <w:rPr>
          <w:rStyle w:val="TextoNormalNegritaCaracter"/>
        </w:rPr>
        <w:t>Disposición final tercera.</w:t>
      </w:r>
      <w:r w:rsidRPr="00601EEA">
        <w:rPr>
          <w:rStyle w:val="TextoNormalCaracter"/>
        </w:rPr>
        <w:t>-</w:t>
      </w:r>
      <w:r>
        <w:t xml:space="preserve"> Auto </w:t>
      </w:r>
      <w:hyperlink w:anchor="AUTO_2024_41" w:history="1">
        <w:r w:rsidRPr="00601EEA">
          <w:rPr>
            <w:rStyle w:val="TextoNormalCaracter"/>
          </w:rPr>
          <w:t>41/2024</w:t>
        </w:r>
      </w:hyperlink>
      <w:r>
        <w:t>, f. 5.</w:t>
      </w:r>
    </w:p>
    <w:p w14:paraId="7C82392E" w14:textId="2AD89857" w:rsidR="00601EEA" w:rsidRDefault="00601EEA" w:rsidP="00601EEA">
      <w:pPr>
        <w:pStyle w:val="SangriaFrancesaArticulo"/>
      </w:pPr>
    </w:p>
    <w:p w14:paraId="4DE0A867" w14:textId="77777777" w:rsidR="00601EEA" w:rsidRDefault="00601EEA" w:rsidP="00601EEA">
      <w:pPr>
        <w:pStyle w:val="TextoNormalNegritaCursivandice"/>
        <w:keepNext/>
      </w:pPr>
      <w:r>
        <w:lastRenderedPageBreak/>
        <w:t>Real Decreto 48/2023, de 24 de enero, por el que se aprueba el Plan Hidrológico de la Demarcación Hidrográfica de Galicia-Costa</w:t>
      </w:r>
    </w:p>
    <w:p w14:paraId="0B1A03F3" w14:textId="56345F5E"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68" w:history="1">
        <w:r w:rsidRPr="00601EEA">
          <w:rPr>
            <w:rStyle w:val="TextoNormalCaracter"/>
          </w:rPr>
          <w:t>68/2024</w:t>
        </w:r>
      </w:hyperlink>
      <w:r>
        <w:t>, f. 9.</w:t>
      </w:r>
    </w:p>
    <w:p w14:paraId="4BC131B9" w14:textId="16425DED" w:rsidR="00601EEA" w:rsidRDefault="00601EEA" w:rsidP="00601EEA">
      <w:pPr>
        <w:pStyle w:val="SangriaFrancesaArticulo"/>
      </w:pPr>
    </w:p>
    <w:p w14:paraId="53402046" w14:textId="77777777" w:rsidR="00601EEA" w:rsidRDefault="00601EEA" w:rsidP="00601EEA">
      <w:pPr>
        <w:pStyle w:val="TextoNormalNegritaCursivandice"/>
        <w:keepNext/>
      </w:pPr>
      <w:r>
        <w:t>Real Decreto 150/2023, de 28 de febrero, por el que se aprueban los planes de ordenación del espacio marítimo de las cinco demarcaciones marinas españolas</w:t>
      </w:r>
    </w:p>
    <w:p w14:paraId="7EB4C1EC" w14:textId="0A9CF904"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68" w:history="1">
        <w:r w:rsidRPr="00601EEA">
          <w:rPr>
            <w:rStyle w:val="TextoNormalCaracter"/>
          </w:rPr>
          <w:t>68/2024</w:t>
        </w:r>
      </w:hyperlink>
      <w:r>
        <w:t>, ff. 3, 7, 8.</w:t>
      </w:r>
    </w:p>
    <w:p w14:paraId="0EF08561" w14:textId="201C74AD" w:rsidR="00601EEA" w:rsidRDefault="00601EEA" w:rsidP="00601EEA">
      <w:pPr>
        <w:pStyle w:val="SangriaFrancesaArticulo"/>
      </w:pPr>
    </w:p>
    <w:p w14:paraId="42DADB18" w14:textId="77777777" w:rsidR="00601EEA" w:rsidRDefault="00601EEA" w:rsidP="00601EEA">
      <w:pPr>
        <w:pStyle w:val="TextoNormalNegritaCursivandice"/>
        <w:keepNext/>
      </w:pPr>
      <w:r>
        <w:t>Real Decreto 400/2023, de 29 de mayo, de disolución del Congreso de los Diputados y del Senado y de convocatoria de elecciones</w:t>
      </w:r>
    </w:p>
    <w:p w14:paraId="62F085A8" w14:textId="31D28423"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10" w:history="1">
        <w:r w:rsidRPr="00601EEA">
          <w:rPr>
            <w:rStyle w:val="TextoNormalCaracter"/>
          </w:rPr>
          <w:t>10/2024</w:t>
        </w:r>
      </w:hyperlink>
      <w:r>
        <w:t>, VP I.</w:t>
      </w:r>
    </w:p>
    <w:p w14:paraId="3FE36C40" w14:textId="39BEAC9B" w:rsidR="00601EEA" w:rsidRDefault="00601EEA" w:rsidP="00601EEA">
      <w:pPr>
        <w:pStyle w:val="SangriaFrancesaArticulo"/>
      </w:pPr>
    </w:p>
    <w:p w14:paraId="5FEF21E5" w14:textId="77777777" w:rsidR="00601EEA" w:rsidRDefault="00601EEA" w:rsidP="00601EEA">
      <w:pPr>
        <w:pStyle w:val="TextoNormalNegritaCursivandice"/>
        <w:keepNext/>
      </w:pPr>
      <w:r>
        <w:t>Resolución de 14 de marzo de 2024, de la Secretaría de Estado de Vivienda y Agenda Urbana, por la que se publica la relación de zonas de mercado residencial tensionado que han sido declaradas en virtud del procedimiento establecido en el artículo 18 de la Ley 12/2023, de 24 de mayo, por el derecho a la vivienda, en el primer trimestre de 2024</w:t>
      </w:r>
    </w:p>
    <w:p w14:paraId="051E9B7F" w14:textId="150E8511"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79" w:history="1">
        <w:r w:rsidRPr="00601EEA">
          <w:rPr>
            <w:rStyle w:val="TextoNormalCaracter"/>
          </w:rPr>
          <w:t>79/2024</w:t>
        </w:r>
      </w:hyperlink>
      <w:r>
        <w:t>, f. 9.</w:t>
      </w:r>
    </w:p>
    <w:p w14:paraId="2ECA12A2" w14:textId="317C3589" w:rsidR="00601EEA" w:rsidRDefault="00601EEA" w:rsidP="00601EEA">
      <w:pPr>
        <w:pStyle w:val="TextoNormal"/>
      </w:pPr>
    </w:p>
    <w:p w14:paraId="32DFB775" w14:textId="77777777" w:rsidR="00601EEA" w:rsidRDefault="00601EEA" w:rsidP="00601EEA">
      <w:pPr>
        <w:pStyle w:val="SangriaFrancesaArticulo"/>
      </w:pPr>
      <w:bookmarkStart w:id="169" w:name="INDICE22850"/>
    </w:p>
    <w:bookmarkEnd w:id="169"/>
    <w:p w14:paraId="27474E08" w14:textId="77777777" w:rsidR="00601EEA" w:rsidRDefault="00601EEA" w:rsidP="00601EEA">
      <w:pPr>
        <w:pStyle w:val="TextoIndiceNivel2"/>
        <w:suppressAutoHyphens/>
      </w:pPr>
      <w:r>
        <w:t>I) Legislación preconstitucional</w:t>
      </w:r>
    </w:p>
    <w:p w14:paraId="708809EC" w14:textId="2DF190A8" w:rsidR="00601EEA" w:rsidRDefault="00601EEA" w:rsidP="00601EEA">
      <w:pPr>
        <w:pStyle w:val="TextoIndiceNivel2"/>
      </w:pPr>
    </w:p>
    <w:p w14:paraId="37B0C5E3" w14:textId="77777777" w:rsidR="00601EEA" w:rsidRDefault="00601EEA" w:rsidP="00601EEA">
      <w:pPr>
        <w:pStyle w:val="TextoNormalNegritaCursivandice"/>
        <w:keepNext/>
      </w:pPr>
      <w:r>
        <w:t>Real Decreto de 14 de septiembre de 1882. Ley de enjuiciamiento criminal</w:t>
      </w:r>
    </w:p>
    <w:p w14:paraId="29DDBC55" w14:textId="2940AA0D"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Sentencias </w:t>
      </w:r>
      <w:hyperlink w:anchor="SENTENCIA_2024_9" w:history="1">
        <w:r w:rsidRPr="00601EEA">
          <w:rPr>
            <w:rStyle w:val="TextoNormalCaracter"/>
          </w:rPr>
          <w:t>9/2024</w:t>
        </w:r>
      </w:hyperlink>
      <w:r>
        <w:t xml:space="preserve">, VP II; </w:t>
      </w:r>
      <w:hyperlink w:anchor="SENTENCIA_2024_72" w:history="1">
        <w:r w:rsidRPr="00601EEA">
          <w:rPr>
            <w:rStyle w:val="TextoNormalCaracter"/>
          </w:rPr>
          <w:t>72/2024</w:t>
        </w:r>
      </w:hyperlink>
      <w:r>
        <w:t xml:space="preserve">, VP; </w:t>
      </w:r>
      <w:hyperlink w:anchor="SENTENCIA_2024_87" w:history="1">
        <w:r w:rsidRPr="00601EEA">
          <w:rPr>
            <w:rStyle w:val="TextoNormalCaracter"/>
          </w:rPr>
          <w:t>87/2024</w:t>
        </w:r>
      </w:hyperlink>
      <w:r>
        <w:t>, VP II.</w:t>
      </w:r>
    </w:p>
    <w:p w14:paraId="78FDB0ED" w14:textId="0E52BBEB" w:rsidR="00601EEA" w:rsidRDefault="00601EEA" w:rsidP="00601EEA">
      <w:pPr>
        <w:pStyle w:val="SangriaFrancesaArticulo"/>
      </w:pPr>
      <w:r w:rsidRPr="00601EEA">
        <w:rPr>
          <w:rStyle w:val="TextoNormalNegritaCaracter"/>
        </w:rPr>
        <w:t>Libro IV, título IV.</w:t>
      </w:r>
      <w:r w:rsidRPr="00601EEA">
        <w:rPr>
          <w:rStyle w:val="TextoNormalCaracter"/>
        </w:rPr>
        <w:t>-</w:t>
      </w:r>
      <w:r>
        <w:t xml:space="preserve"> Sentencia </w:t>
      </w:r>
      <w:hyperlink w:anchor="SENTENCIA_2024_72" w:history="1">
        <w:r w:rsidRPr="00601EEA">
          <w:rPr>
            <w:rStyle w:val="TextoNormalCaracter"/>
          </w:rPr>
          <w:t>72/2024</w:t>
        </w:r>
      </w:hyperlink>
      <w:r>
        <w:t>, VP.</w:t>
      </w:r>
    </w:p>
    <w:p w14:paraId="4649C359" w14:textId="3C5ED243" w:rsidR="00601EEA" w:rsidRDefault="00601EEA" w:rsidP="00601EEA">
      <w:pPr>
        <w:pStyle w:val="SangriaFrancesaArticulo"/>
      </w:pPr>
      <w:r w:rsidRPr="00601EEA">
        <w:rPr>
          <w:rStyle w:val="TextoNormalNegritaCaracter"/>
        </w:rPr>
        <w:t>Artículo 22.</w:t>
      </w:r>
      <w:r w:rsidRPr="00601EEA">
        <w:rPr>
          <w:rStyle w:val="TextoNormalCaracter"/>
        </w:rPr>
        <w:t>-</w:t>
      </w:r>
      <w:r>
        <w:t xml:space="preserve"> Sentencia </w:t>
      </w:r>
      <w:hyperlink w:anchor="SENTENCIA_2024_31" w:history="1">
        <w:r w:rsidRPr="00601EEA">
          <w:rPr>
            <w:rStyle w:val="TextoNormalCaracter"/>
          </w:rPr>
          <w:t>31/2024</w:t>
        </w:r>
      </w:hyperlink>
      <w:r>
        <w:t>, f. único.</w:t>
      </w:r>
    </w:p>
    <w:p w14:paraId="04CD6870" w14:textId="38AF5926" w:rsidR="00601EEA" w:rsidRDefault="00601EEA" w:rsidP="00601EEA">
      <w:pPr>
        <w:pStyle w:val="SangriaFrancesaArticulo"/>
      </w:pPr>
      <w:r w:rsidRPr="00601EEA">
        <w:rPr>
          <w:rStyle w:val="TextoNormalNegritaCaracter"/>
        </w:rPr>
        <w:t>Artículo 118.</w:t>
      </w:r>
      <w:r w:rsidRPr="00601EEA">
        <w:rPr>
          <w:rStyle w:val="TextoNormalCaracter"/>
        </w:rPr>
        <w:t>-</w:t>
      </w:r>
      <w:r>
        <w:t xml:space="preserve"> Sentencia </w:t>
      </w:r>
      <w:hyperlink w:anchor="SENTENCIA_2024_87" w:history="1">
        <w:r w:rsidRPr="00601EEA">
          <w:rPr>
            <w:rStyle w:val="TextoNormalCaracter"/>
          </w:rPr>
          <w:t>87/2024</w:t>
        </w:r>
      </w:hyperlink>
      <w:r>
        <w:t>, f. 4, VP III, VP IV.</w:t>
      </w:r>
    </w:p>
    <w:p w14:paraId="78183C47" w14:textId="6095BCC3" w:rsidR="00601EEA" w:rsidRDefault="00601EEA" w:rsidP="00601EEA">
      <w:pPr>
        <w:pStyle w:val="SangriaFrancesaArticulo"/>
      </w:pPr>
      <w:r w:rsidRPr="00601EEA">
        <w:rPr>
          <w:rStyle w:val="TextoNormalNegritaCaracter"/>
        </w:rPr>
        <w:t>Artículo 263 bis</w:t>
      </w:r>
      <w:r>
        <w:t xml:space="preserve"> (redactado por la Ley 5/1999, de 13 de enero)</w:t>
      </w:r>
      <w:r w:rsidRPr="00601EEA">
        <w:rPr>
          <w:rStyle w:val="TextoNormalNegritaCaracter"/>
        </w:rPr>
        <w:t>.</w:t>
      </w:r>
      <w:r w:rsidRPr="00601EEA">
        <w:rPr>
          <w:rStyle w:val="TextoNormalCaracter"/>
        </w:rPr>
        <w:t>-</w:t>
      </w:r>
      <w:r>
        <w:t xml:space="preserve"> Sentencia </w:t>
      </w:r>
      <w:hyperlink w:anchor="SENTENCIA_2024_87" w:history="1">
        <w:r w:rsidRPr="00601EEA">
          <w:rPr>
            <w:rStyle w:val="TextoNormalCaracter"/>
          </w:rPr>
          <w:t>87/2024</w:t>
        </w:r>
      </w:hyperlink>
      <w:r>
        <w:t>, f. 2.</w:t>
      </w:r>
    </w:p>
    <w:p w14:paraId="3E7439FA" w14:textId="08C5763A" w:rsidR="00601EEA" w:rsidRDefault="00601EEA" w:rsidP="00601EEA">
      <w:pPr>
        <w:pStyle w:val="SangriaFrancesaArticulo"/>
      </w:pPr>
      <w:r w:rsidRPr="00601EEA">
        <w:rPr>
          <w:rStyle w:val="TextoNormalNegritaCaracter"/>
        </w:rPr>
        <w:t>Artículo 263 bis 1.</w:t>
      </w:r>
      <w:r w:rsidRPr="00601EEA">
        <w:rPr>
          <w:rStyle w:val="TextoNormalCaracter"/>
        </w:rPr>
        <w:t>-</w:t>
      </w:r>
      <w:r>
        <w:t xml:space="preserve"> Sentencia </w:t>
      </w:r>
      <w:hyperlink w:anchor="SENTENCIA_2024_87" w:history="1">
        <w:r w:rsidRPr="00601EEA">
          <w:rPr>
            <w:rStyle w:val="TextoNormalCaracter"/>
          </w:rPr>
          <w:t>87/2024</w:t>
        </w:r>
      </w:hyperlink>
      <w:r>
        <w:t>, f. 4.</w:t>
      </w:r>
    </w:p>
    <w:p w14:paraId="35C47E2E" w14:textId="4842AD42" w:rsidR="00601EEA" w:rsidRDefault="00601EEA" w:rsidP="00601EEA">
      <w:pPr>
        <w:pStyle w:val="SangriaFrancesaArticulo"/>
      </w:pPr>
      <w:r w:rsidRPr="00601EEA">
        <w:rPr>
          <w:rStyle w:val="TextoNormalNegritaCaracter"/>
        </w:rPr>
        <w:t>Artículo 282.</w:t>
      </w:r>
      <w:r w:rsidRPr="00601EEA">
        <w:rPr>
          <w:rStyle w:val="TextoNormalCaracter"/>
        </w:rPr>
        <w:t>-</w:t>
      </w:r>
      <w:r>
        <w:t xml:space="preserve"> Sentencia </w:t>
      </w:r>
      <w:hyperlink w:anchor="SENTENCIA_2024_87" w:history="1">
        <w:r w:rsidRPr="00601EEA">
          <w:rPr>
            <w:rStyle w:val="TextoNormalCaracter"/>
          </w:rPr>
          <w:t>87/2024</w:t>
        </w:r>
      </w:hyperlink>
      <w:r>
        <w:t>, f. 2.</w:t>
      </w:r>
    </w:p>
    <w:p w14:paraId="1EE771AF" w14:textId="2EF01CBB" w:rsidR="00601EEA" w:rsidRDefault="00601EEA" w:rsidP="00601EEA">
      <w:pPr>
        <w:pStyle w:val="SangriaFrancesaArticulo"/>
      </w:pPr>
      <w:r w:rsidRPr="00601EEA">
        <w:rPr>
          <w:rStyle w:val="TextoNormalNegritaCaracter"/>
        </w:rPr>
        <w:t>Artículo 282 bis.</w:t>
      </w:r>
      <w:r w:rsidRPr="00601EEA">
        <w:rPr>
          <w:rStyle w:val="TextoNormalCaracter"/>
        </w:rPr>
        <w:t>-</w:t>
      </w:r>
      <w:r>
        <w:t xml:space="preserve"> Sentencia </w:t>
      </w:r>
      <w:hyperlink w:anchor="SENTENCIA_2024_87" w:history="1">
        <w:r w:rsidRPr="00601EEA">
          <w:rPr>
            <w:rStyle w:val="TextoNormalCaracter"/>
          </w:rPr>
          <w:t>87/2024</w:t>
        </w:r>
      </w:hyperlink>
      <w:r>
        <w:t>, ff. 1 a 4, VP I, VP II, VP III, VP IV.</w:t>
      </w:r>
    </w:p>
    <w:p w14:paraId="4E01B43D" w14:textId="027550CD" w:rsidR="00601EEA" w:rsidRDefault="00601EEA" w:rsidP="00601EEA">
      <w:pPr>
        <w:pStyle w:val="SangriaFrancesaArticulo"/>
      </w:pPr>
      <w:r w:rsidRPr="00601EEA">
        <w:rPr>
          <w:rStyle w:val="TextoNormalNegritaCaracter"/>
        </w:rPr>
        <w:t>Artículo 282 bis 1.</w:t>
      </w:r>
      <w:r w:rsidRPr="00601EEA">
        <w:rPr>
          <w:rStyle w:val="TextoNormalCaracter"/>
        </w:rPr>
        <w:t>-</w:t>
      </w:r>
      <w:r>
        <w:t xml:space="preserve"> Sentencia </w:t>
      </w:r>
      <w:hyperlink w:anchor="SENTENCIA_2024_87" w:history="1">
        <w:r w:rsidRPr="00601EEA">
          <w:rPr>
            <w:rStyle w:val="TextoNormalCaracter"/>
          </w:rPr>
          <w:t>87/2024</w:t>
        </w:r>
      </w:hyperlink>
      <w:r>
        <w:t>, ff. 2, 4, VP I, VP II, VP III, VP IV.</w:t>
      </w:r>
    </w:p>
    <w:p w14:paraId="16B3A29D" w14:textId="73F44CF4" w:rsidR="00601EEA" w:rsidRDefault="00601EEA" w:rsidP="00601EEA">
      <w:pPr>
        <w:pStyle w:val="SangriaFrancesaArticulo"/>
      </w:pPr>
      <w:r w:rsidRPr="00601EEA">
        <w:rPr>
          <w:rStyle w:val="TextoNormalNegritaCaracter"/>
        </w:rPr>
        <w:t>Artículo 282 bis 2.</w:t>
      </w:r>
      <w:r w:rsidRPr="00601EEA">
        <w:rPr>
          <w:rStyle w:val="TextoNormalCaracter"/>
        </w:rPr>
        <w:t>-</w:t>
      </w:r>
      <w:r>
        <w:t xml:space="preserve"> Sentencia </w:t>
      </w:r>
      <w:hyperlink w:anchor="SENTENCIA_2024_87" w:history="1">
        <w:r w:rsidRPr="00601EEA">
          <w:rPr>
            <w:rStyle w:val="TextoNormalCaracter"/>
          </w:rPr>
          <w:t>87/2024</w:t>
        </w:r>
      </w:hyperlink>
      <w:r>
        <w:t>, f. 2.</w:t>
      </w:r>
    </w:p>
    <w:p w14:paraId="2DA8D974" w14:textId="44B3AEC4" w:rsidR="00601EEA" w:rsidRDefault="00601EEA" w:rsidP="00601EEA">
      <w:pPr>
        <w:pStyle w:val="SangriaFrancesaArticulo"/>
      </w:pPr>
      <w:r w:rsidRPr="00601EEA">
        <w:rPr>
          <w:rStyle w:val="TextoNormalNegritaCaracter"/>
        </w:rPr>
        <w:t>Artículo 282 bis 3.</w:t>
      </w:r>
      <w:r w:rsidRPr="00601EEA">
        <w:rPr>
          <w:rStyle w:val="TextoNormalCaracter"/>
        </w:rPr>
        <w:t>-</w:t>
      </w:r>
      <w:r>
        <w:t xml:space="preserve"> Sentencia </w:t>
      </w:r>
      <w:hyperlink w:anchor="SENTENCIA_2024_87" w:history="1">
        <w:r w:rsidRPr="00601EEA">
          <w:rPr>
            <w:rStyle w:val="TextoNormalCaracter"/>
          </w:rPr>
          <w:t>87/2024</w:t>
        </w:r>
      </w:hyperlink>
      <w:r>
        <w:t>, ff. 2, 4, VP II, VP III, VP IV.</w:t>
      </w:r>
    </w:p>
    <w:p w14:paraId="66312DBE" w14:textId="2C447415" w:rsidR="00601EEA" w:rsidRDefault="00601EEA" w:rsidP="00601EEA">
      <w:pPr>
        <w:pStyle w:val="SangriaFrancesaArticulo"/>
      </w:pPr>
      <w:r w:rsidRPr="00601EEA">
        <w:rPr>
          <w:rStyle w:val="TextoNormalNegritaCaracter"/>
        </w:rPr>
        <w:t>Artículo 282 bis 4.</w:t>
      </w:r>
      <w:r w:rsidRPr="00601EEA">
        <w:rPr>
          <w:rStyle w:val="TextoNormalCaracter"/>
        </w:rPr>
        <w:t>-</w:t>
      </w:r>
      <w:r>
        <w:t xml:space="preserve"> Sentencia </w:t>
      </w:r>
      <w:hyperlink w:anchor="SENTENCIA_2024_87" w:history="1">
        <w:r w:rsidRPr="00601EEA">
          <w:rPr>
            <w:rStyle w:val="TextoNormalCaracter"/>
          </w:rPr>
          <w:t>87/2024</w:t>
        </w:r>
      </w:hyperlink>
      <w:r>
        <w:t>, ff. 2, 4.</w:t>
      </w:r>
    </w:p>
    <w:p w14:paraId="379D24D6" w14:textId="1E996EE6" w:rsidR="00601EEA" w:rsidRDefault="00601EEA" w:rsidP="00601EEA">
      <w:pPr>
        <w:pStyle w:val="SangriaFrancesaArticulo"/>
      </w:pPr>
      <w:r w:rsidRPr="00601EEA">
        <w:rPr>
          <w:rStyle w:val="TextoNormalNegritaCaracter"/>
        </w:rPr>
        <w:t>Artículo 282 bis 5.</w:t>
      </w:r>
      <w:r w:rsidRPr="00601EEA">
        <w:rPr>
          <w:rStyle w:val="TextoNormalCaracter"/>
        </w:rPr>
        <w:t>-</w:t>
      </w:r>
      <w:r>
        <w:t xml:space="preserve"> Sentencia </w:t>
      </w:r>
      <w:hyperlink w:anchor="SENTENCIA_2024_87" w:history="1">
        <w:r w:rsidRPr="00601EEA">
          <w:rPr>
            <w:rStyle w:val="TextoNormalCaracter"/>
          </w:rPr>
          <w:t>87/2024</w:t>
        </w:r>
      </w:hyperlink>
      <w:r>
        <w:t>, f. 2.</w:t>
      </w:r>
    </w:p>
    <w:p w14:paraId="1F42D904" w14:textId="1248CBB6" w:rsidR="00601EEA" w:rsidRDefault="00601EEA" w:rsidP="00601EEA">
      <w:pPr>
        <w:pStyle w:val="SangriaFrancesaArticulo"/>
      </w:pPr>
      <w:r w:rsidRPr="00601EEA">
        <w:rPr>
          <w:rStyle w:val="TextoNormalNegritaCaracter"/>
        </w:rPr>
        <w:t>Artículo 282 bis 6.</w:t>
      </w:r>
      <w:r w:rsidRPr="00601EEA">
        <w:rPr>
          <w:rStyle w:val="TextoNormalCaracter"/>
        </w:rPr>
        <w:t>-</w:t>
      </w:r>
      <w:r>
        <w:t xml:space="preserve"> Sentencia </w:t>
      </w:r>
      <w:hyperlink w:anchor="SENTENCIA_2024_87" w:history="1">
        <w:r w:rsidRPr="00601EEA">
          <w:rPr>
            <w:rStyle w:val="TextoNormalCaracter"/>
          </w:rPr>
          <w:t>87/2024</w:t>
        </w:r>
      </w:hyperlink>
      <w:r>
        <w:t>, ff. 2, 4.</w:t>
      </w:r>
    </w:p>
    <w:p w14:paraId="039E9DE4" w14:textId="52095E75" w:rsidR="00601EEA" w:rsidRDefault="00601EEA" w:rsidP="00601EEA">
      <w:pPr>
        <w:pStyle w:val="SangriaFrancesaArticulo"/>
      </w:pPr>
      <w:r w:rsidRPr="00601EEA">
        <w:rPr>
          <w:rStyle w:val="TextoNormalNegritaCaracter"/>
        </w:rPr>
        <w:t>Artículo 282 bis 6</w:t>
      </w:r>
      <w:r>
        <w:t xml:space="preserve"> (redactado por la Ley Orgánica 13/2015, de 5 de octubre)</w:t>
      </w:r>
      <w:r w:rsidRPr="00601EEA">
        <w:rPr>
          <w:rStyle w:val="TextoNormalNegritaCaracter"/>
        </w:rPr>
        <w:t>.</w:t>
      </w:r>
      <w:r w:rsidRPr="00601EEA">
        <w:rPr>
          <w:rStyle w:val="TextoNormalCaracter"/>
        </w:rPr>
        <w:t>-</w:t>
      </w:r>
      <w:r>
        <w:t xml:space="preserve"> Sentencia </w:t>
      </w:r>
      <w:hyperlink w:anchor="SENTENCIA_2024_87" w:history="1">
        <w:r w:rsidRPr="00601EEA">
          <w:rPr>
            <w:rStyle w:val="TextoNormalCaracter"/>
          </w:rPr>
          <w:t>87/2024</w:t>
        </w:r>
      </w:hyperlink>
      <w:r>
        <w:t>, VP III.</w:t>
      </w:r>
    </w:p>
    <w:p w14:paraId="64080753" w14:textId="63284A20" w:rsidR="00601EEA" w:rsidRDefault="00601EEA" w:rsidP="00601EEA">
      <w:pPr>
        <w:pStyle w:val="SangriaFrancesaArticulo"/>
      </w:pPr>
      <w:r w:rsidRPr="00601EEA">
        <w:rPr>
          <w:rStyle w:val="TextoNormalNegritaCaracter"/>
        </w:rPr>
        <w:t>Artículo 282 bis 7.</w:t>
      </w:r>
      <w:r w:rsidRPr="00601EEA">
        <w:rPr>
          <w:rStyle w:val="TextoNormalCaracter"/>
        </w:rPr>
        <w:t>-</w:t>
      </w:r>
      <w:r>
        <w:t xml:space="preserve"> Sentencia </w:t>
      </w:r>
      <w:hyperlink w:anchor="SENTENCIA_2024_87" w:history="1">
        <w:r w:rsidRPr="00601EEA">
          <w:rPr>
            <w:rStyle w:val="TextoNormalCaracter"/>
          </w:rPr>
          <w:t>87/2024</w:t>
        </w:r>
      </w:hyperlink>
      <w:r>
        <w:t>, f. 2, VP IV.</w:t>
      </w:r>
    </w:p>
    <w:p w14:paraId="7209BE49" w14:textId="2F572D80" w:rsidR="00601EEA" w:rsidRDefault="00601EEA" w:rsidP="00601EEA">
      <w:pPr>
        <w:pStyle w:val="SangriaFrancesaArticulo"/>
      </w:pPr>
      <w:r w:rsidRPr="00601EEA">
        <w:rPr>
          <w:rStyle w:val="TextoNormalNegritaCaracter"/>
        </w:rPr>
        <w:t>Artículo 302.</w:t>
      </w:r>
      <w:r w:rsidRPr="00601EEA">
        <w:rPr>
          <w:rStyle w:val="TextoNormalCaracter"/>
        </w:rPr>
        <w:t>-</w:t>
      </w:r>
      <w:r>
        <w:t xml:space="preserve"> Sentencia </w:t>
      </w:r>
      <w:hyperlink w:anchor="SENTENCIA_2024_87" w:history="1">
        <w:r w:rsidRPr="00601EEA">
          <w:rPr>
            <w:rStyle w:val="TextoNormalCaracter"/>
          </w:rPr>
          <w:t>87/2024</w:t>
        </w:r>
      </w:hyperlink>
      <w:r>
        <w:t>, VP III.</w:t>
      </w:r>
    </w:p>
    <w:p w14:paraId="490383A0" w14:textId="37C13960" w:rsidR="00601EEA" w:rsidRDefault="00601EEA" w:rsidP="00601EEA">
      <w:pPr>
        <w:pStyle w:val="SangriaFrancesaArticulo"/>
      </w:pPr>
      <w:r w:rsidRPr="00601EEA">
        <w:rPr>
          <w:rStyle w:val="TextoNormalNegritaCaracter"/>
        </w:rPr>
        <w:t>Artículo 490.</w:t>
      </w:r>
      <w:r w:rsidRPr="00601EEA">
        <w:rPr>
          <w:rStyle w:val="TextoNormalCaracter"/>
        </w:rPr>
        <w:t>-</w:t>
      </w:r>
      <w:r>
        <w:t xml:space="preserve"> Sentencia </w:t>
      </w:r>
      <w:hyperlink w:anchor="SENTENCIA_2024_40" w:history="1">
        <w:r w:rsidRPr="00601EEA">
          <w:rPr>
            <w:rStyle w:val="TextoNormalCaracter"/>
          </w:rPr>
          <w:t>40/2024</w:t>
        </w:r>
      </w:hyperlink>
      <w:r>
        <w:t>, ff. 4, 5.</w:t>
      </w:r>
    </w:p>
    <w:p w14:paraId="732358D1" w14:textId="7FF466FD" w:rsidR="00601EEA" w:rsidRDefault="00601EEA" w:rsidP="00601EEA">
      <w:pPr>
        <w:pStyle w:val="SangriaFrancesaArticulo"/>
      </w:pPr>
      <w:r w:rsidRPr="00601EEA">
        <w:rPr>
          <w:rStyle w:val="TextoNormalNegritaCaracter"/>
        </w:rPr>
        <w:t>Artículo 492.</w:t>
      </w:r>
      <w:r w:rsidRPr="00601EEA">
        <w:rPr>
          <w:rStyle w:val="TextoNormalCaracter"/>
        </w:rPr>
        <w:t>-</w:t>
      </w:r>
      <w:r>
        <w:t xml:space="preserve"> Sentencia </w:t>
      </w:r>
      <w:hyperlink w:anchor="SENTENCIA_2024_40" w:history="1">
        <w:r w:rsidRPr="00601EEA">
          <w:rPr>
            <w:rStyle w:val="TextoNormalCaracter"/>
          </w:rPr>
          <w:t>40/2024</w:t>
        </w:r>
      </w:hyperlink>
      <w:r>
        <w:t>, ff. 4, 5.</w:t>
      </w:r>
    </w:p>
    <w:p w14:paraId="21A9A131" w14:textId="2CCADD3D" w:rsidR="00601EEA" w:rsidRDefault="00601EEA" w:rsidP="00601EEA">
      <w:pPr>
        <w:pStyle w:val="SangriaFrancesaArticulo"/>
      </w:pPr>
      <w:r w:rsidRPr="00601EEA">
        <w:rPr>
          <w:rStyle w:val="TextoNormalNegritaCaracter"/>
        </w:rPr>
        <w:t>Artículo 546.</w:t>
      </w:r>
      <w:r w:rsidRPr="00601EEA">
        <w:rPr>
          <w:rStyle w:val="TextoNormalCaracter"/>
        </w:rPr>
        <w:t>-</w:t>
      </w:r>
      <w:r>
        <w:t xml:space="preserve"> Sentencia </w:t>
      </w:r>
      <w:hyperlink w:anchor="SENTENCIA_2024_87" w:history="1">
        <w:r w:rsidRPr="00601EEA">
          <w:rPr>
            <w:rStyle w:val="TextoNormalCaracter"/>
          </w:rPr>
          <w:t>87/2024</w:t>
        </w:r>
      </w:hyperlink>
      <w:r>
        <w:t>, VP II.</w:t>
      </w:r>
    </w:p>
    <w:p w14:paraId="585E1112" w14:textId="7D7B8DA5" w:rsidR="00601EEA" w:rsidRDefault="00601EEA" w:rsidP="00601EEA">
      <w:pPr>
        <w:pStyle w:val="SangriaFrancesaArticulo"/>
      </w:pPr>
      <w:r w:rsidRPr="00601EEA">
        <w:rPr>
          <w:rStyle w:val="TextoNormalNegritaCaracter"/>
        </w:rPr>
        <w:t>Artículo 547.</w:t>
      </w:r>
      <w:r w:rsidRPr="00601EEA">
        <w:rPr>
          <w:rStyle w:val="TextoNormalCaracter"/>
        </w:rPr>
        <w:t>-</w:t>
      </w:r>
      <w:r>
        <w:t xml:space="preserve"> Sentencia </w:t>
      </w:r>
      <w:hyperlink w:anchor="SENTENCIA_2024_87" w:history="1">
        <w:r w:rsidRPr="00601EEA">
          <w:rPr>
            <w:rStyle w:val="TextoNormalCaracter"/>
          </w:rPr>
          <w:t>87/2024</w:t>
        </w:r>
      </w:hyperlink>
      <w:r>
        <w:t>, VP II.</w:t>
      </w:r>
    </w:p>
    <w:p w14:paraId="3725606A" w14:textId="73DB38D4" w:rsidR="00601EEA" w:rsidRDefault="00601EEA" w:rsidP="00601EEA">
      <w:pPr>
        <w:pStyle w:val="SangriaFrancesaArticulo"/>
      </w:pPr>
      <w:r w:rsidRPr="00601EEA">
        <w:rPr>
          <w:rStyle w:val="TextoNormalNegritaCaracter"/>
        </w:rPr>
        <w:lastRenderedPageBreak/>
        <w:t>Artículo 579.</w:t>
      </w:r>
      <w:r w:rsidRPr="00601EEA">
        <w:rPr>
          <w:rStyle w:val="TextoNormalCaracter"/>
        </w:rPr>
        <w:t>-</w:t>
      </w:r>
      <w:r>
        <w:t xml:space="preserve"> Sentencia </w:t>
      </w:r>
      <w:hyperlink w:anchor="SENTENCIA_2024_87" w:history="1">
        <w:r w:rsidRPr="00601EEA">
          <w:rPr>
            <w:rStyle w:val="TextoNormalCaracter"/>
          </w:rPr>
          <w:t>87/2024</w:t>
        </w:r>
      </w:hyperlink>
      <w:r>
        <w:t>, ff. 2, 4.</w:t>
      </w:r>
    </w:p>
    <w:p w14:paraId="31E1826C" w14:textId="50E254AE" w:rsidR="00601EEA" w:rsidRDefault="00601EEA" w:rsidP="00601EEA">
      <w:pPr>
        <w:pStyle w:val="SangriaFrancesaArticulo"/>
      </w:pPr>
      <w:r w:rsidRPr="00601EEA">
        <w:rPr>
          <w:rStyle w:val="TextoNormalNegritaCaracter"/>
        </w:rPr>
        <w:t>Artículo 588 bis a), a 588 septies c).</w:t>
      </w:r>
      <w:r w:rsidRPr="00601EEA">
        <w:rPr>
          <w:rStyle w:val="TextoNormalCaracter"/>
        </w:rPr>
        <w:t>-</w:t>
      </w:r>
      <w:r>
        <w:t xml:space="preserve"> Sentencia </w:t>
      </w:r>
      <w:hyperlink w:anchor="SENTENCIA_2024_87" w:history="1">
        <w:r w:rsidRPr="00601EEA">
          <w:rPr>
            <w:rStyle w:val="TextoNormalCaracter"/>
          </w:rPr>
          <w:t>87/2024</w:t>
        </w:r>
      </w:hyperlink>
      <w:r>
        <w:t>, ff. 2, 4.</w:t>
      </w:r>
    </w:p>
    <w:p w14:paraId="790E8A4A" w14:textId="4F85FCA9" w:rsidR="00601EEA" w:rsidRDefault="00601EEA" w:rsidP="00601EEA">
      <w:pPr>
        <w:pStyle w:val="SangriaFrancesaArticulo"/>
      </w:pPr>
      <w:r w:rsidRPr="00601EEA">
        <w:rPr>
          <w:rStyle w:val="TextoNormalNegritaCaracter"/>
        </w:rPr>
        <w:t>Artículo 588 quinquies b).</w:t>
      </w:r>
      <w:r w:rsidRPr="00601EEA">
        <w:rPr>
          <w:rStyle w:val="TextoNormalCaracter"/>
        </w:rPr>
        <w:t>-</w:t>
      </w:r>
      <w:r>
        <w:t xml:space="preserve"> Sentencia </w:t>
      </w:r>
      <w:hyperlink w:anchor="SENTENCIA_2024_87" w:history="1">
        <w:r w:rsidRPr="00601EEA">
          <w:rPr>
            <w:rStyle w:val="TextoNormalCaracter"/>
          </w:rPr>
          <w:t>87/2024</w:t>
        </w:r>
      </w:hyperlink>
      <w:r>
        <w:t>, VP II.</w:t>
      </w:r>
    </w:p>
    <w:p w14:paraId="5457F42B" w14:textId="71ED5898" w:rsidR="00601EEA" w:rsidRDefault="00601EEA" w:rsidP="00601EEA">
      <w:pPr>
        <w:pStyle w:val="SangriaFrancesaArticulo"/>
      </w:pPr>
      <w:r w:rsidRPr="00601EEA">
        <w:rPr>
          <w:rStyle w:val="TextoNormalNegritaCaracter"/>
        </w:rPr>
        <w:t>Artículo 588 ter a).</w:t>
      </w:r>
      <w:r w:rsidRPr="00601EEA">
        <w:rPr>
          <w:rStyle w:val="TextoNormalCaracter"/>
        </w:rPr>
        <w:t>-</w:t>
      </w:r>
      <w:r>
        <w:t xml:space="preserve"> Sentencia </w:t>
      </w:r>
      <w:hyperlink w:anchor="SENTENCIA_2024_87" w:history="1">
        <w:r w:rsidRPr="00601EEA">
          <w:rPr>
            <w:rStyle w:val="TextoNormalCaracter"/>
          </w:rPr>
          <w:t>87/2024</w:t>
        </w:r>
      </w:hyperlink>
      <w:r>
        <w:t>, f. 4.</w:t>
      </w:r>
    </w:p>
    <w:p w14:paraId="7D0AD7A6" w14:textId="4F805941" w:rsidR="00601EEA" w:rsidRDefault="00601EEA" w:rsidP="00601EEA">
      <w:pPr>
        <w:pStyle w:val="SangriaFrancesaArticulo"/>
      </w:pPr>
      <w:r w:rsidRPr="00601EEA">
        <w:rPr>
          <w:rStyle w:val="TextoNormalNegritaCaracter"/>
        </w:rPr>
        <w:t>Artículo 588 ter k).</w:t>
      </w:r>
      <w:r w:rsidRPr="00601EEA">
        <w:rPr>
          <w:rStyle w:val="TextoNormalCaracter"/>
        </w:rPr>
        <w:t>-</w:t>
      </w:r>
      <w:r>
        <w:t xml:space="preserve"> Sentencia </w:t>
      </w:r>
      <w:hyperlink w:anchor="SENTENCIA_2024_87" w:history="1">
        <w:r w:rsidRPr="00601EEA">
          <w:rPr>
            <w:rStyle w:val="TextoNormalCaracter"/>
          </w:rPr>
          <w:t>87/2024</w:t>
        </w:r>
      </w:hyperlink>
      <w:r>
        <w:t>, VP II.</w:t>
      </w:r>
    </w:p>
    <w:p w14:paraId="68087034" w14:textId="7951B500" w:rsidR="00601EEA" w:rsidRDefault="00601EEA" w:rsidP="00601EEA">
      <w:pPr>
        <w:pStyle w:val="SangriaFrancesaArticulo"/>
      </w:pPr>
      <w:r w:rsidRPr="00601EEA">
        <w:rPr>
          <w:rStyle w:val="TextoNormalNegritaCaracter"/>
        </w:rPr>
        <w:t>Artículo 589.</w:t>
      </w:r>
      <w:r w:rsidRPr="00601EEA">
        <w:rPr>
          <w:rStyle w:val="TextoNormalCaracter"/>
        </w:rPr>
        <w:t>-</w:t>
      </w:r>
      <w:r>
        <w:t xml:space="preserve"> Auto </w:t>
      </w:r>
      <w:hyperlink w:anchor="AUTO_2024_49" w:history="1">
        <w:r w:rsidRPr="00601EEA">
          <w:rPr>
            <w:rStyle w:val="TextoNormalCaracter"/>
          </w:rPr>
          <w:t>49/2024</w:t>
        </w:r>
      </w:hyperlink>
      <w:r>
        <w:t>, f. 3.</w:t>
      </w:r>
    </w:p>
    <w:p w14:paraId="3B676659" w14:textId="3E84D1AF" w:rsidR="00601EEA" w:rsidRDefault="00601EEA" w:rsidP="00601EEA">
      <w:pPr>
        <w:pStyle w:val="SangriaFrancesaArticulo"/>
      </w:pPr>
      <w:r w:rsidRPr="00601EEA">
        <w:rPr>
          <w:rStyle w:val="TextoNormalNegritaCaracter"/>
        </w:rPr>
        <w:t>Artículo 641.1.</w:t>
      </w:r>
      <w:r w:rsidRPr="00601EEA">
        <w:rPr>
          <w:rStyle w:val="TextoNormalCaracter"/>
        </w:rPr>
        <w:t>-</w:t>
      </w:r>
      <w:r>
        <w:t xml:space="preserve"> Sentencia </w:t>
      </w:r>
      <w:hyperlink w:anchor="SENTENCIA_2024_35" w:history="1">
        <w:r w:rsidRPr="00601EEA">
          <w:rPr>
            <w:rStyle w:val="TextoNormalCaracter"/>
          </w:rPr>
          <w:t>35/2024</w:t>
        </w:r>
      </w:hyperlink>
      <w:r>
        <w:t>, f. 3.</w:t>
      </w:r>
    </w:p>
    <w:p w14:paraId="6615D42D" w14:textId="10B42150" w:rsidR="00601EEA" w:rsidRDefault="00601EEA" w:rsidP="00601EEA">
      <w:pPr>
        <w:pStyle w:val="SangriaIzquierdaArticulo"/>
      </w:pPr>
      <w:r>
        <w:t xml:space="preserve">Auto </w:t>
      </w:r>
      <w:hyperlink w:anchor="AUTO_2024_1" w:history="1">
        <w:r w:rsidRPr="00601EEA">
          <w:rPr>
            <w:rStyle w:val="TextoNormalCaracter"/>
          </w:rPr>
          <w:t>1/2024</w:t>
        </w:r>
      </w:hyperlink>
      <w:r>
        <w:t>, f. 3.</w:t>
      </w:r>
    </w:p>
    <w:p w14:paraId="1338E31D" w14:textId="34F5258A" w:rsidR="00601EEA" w:rsidRDefault="00601EEA" w:rsidP="00601EEA">
      <w:pPr>
        <w:pStyle w:val="SangriaFrancesaArticulo"/>
      </w:pPr>
      <w:r w:rsidRPr="00601EEA">
        <w:rPr>
          <w:rStyle w:val="TextoNormalNegritaCaracter"/>
        </w:rPr>
        <w:t>Artículo 773.</w:t>
      </w:r>
      <w:r w:rsidRPr="00601EEA">
        <w:rPr>
          <w:rStyle w:val="TextoNormalCaracter"/>
        </w:rPr>
        <w:t>-</w:t>
      </w:r>
      <w:r>
        <w:t xml:space="preserve"> Sentencia </w:t>
      </w:r>
      <w:hyperlink w:anchor="SENTENCIA_2024_87" w:history="1">
        <w:r w:rsidRPr="00601EEA">
          <w:rPr>
            <w:rStyle w:val="TextoNormalCaracter"/>
          </w:rPr>
          <w:t>87/2024</w:t>
        </w:r>
      </w:hyperlink>
      <w:r>
        <w:t>, VP I.</w:t>
      </w:r>
    </w:p>
    <w:p w14:paraId="3384FFFC" w14:textId="7134A3BE" w:rsidR="00601EEA" w:rsidRDefault="00601EEA" w:rsidP="00601EEA">
      <w:pPr>
        <w:pStyle w:val="SangriaFrancesaArticulo"/>
      </w:pPr>
      <w:r w:rsidRPr="00601EEA">
        <w:rPr>
          <w:rStyle w:val="TextoNormalNegritaCaracter"/>
        </w:rPr>
        <w:t>Artículo 773.2.</w:t>
      </w:r>
      <w:r w:rsidRPr="00601EEA">
        <w:rPr>
          <w:rStyle w:val="TextoNormalCaracter"/>
        </w:rPr>
        <w:t>-</w:t>
      </w:r>
      <w:r>
        <w:t xml:space="preserve"> Sentencia </w:t>
      </w:r>
      <w:hyperlink w:anchor="SENTENCIA_2024_87" w:history="1">
        <w:r w:rsidRPr="00601EEA">
          <w:rPr>
            <w:rStyle w:val="TextoNormalCaracter"/>
          </w:rPr>
          <w:t>87/2024</w:t>
        </w:r>
      </w:hyperlink>
      <w:r>
        <w:t>, f. 2, VP I, VP IV.</w:t>
      </w:r>
    </w:p>
    <w:p w14:paraId="44F60C33" w14:textId="04773401" w:rsidR="00601EEA" w:rsidRDefault="00601EEA" w:rsidP="00601EEA">
      <w:pPr>
        <w:pStyle w:val="SangriaFrancesaArticulo"/>
      </w:pPr>
      <w:r w:rsidRPr="00601EEA">
        <w:rPr>
          <w:rStyle w:val="TextoNormalNegritaCaracter"/>
        </w:rPr>
        <w:t>Articulo 773.3.</w:t>
      </w:r>
      <w:r w:rsidRPr="00601EEA">
        <w:rPr>
          <w:rStyle w:val="TextoNormalCaracter"/>
        </w:rPr>
        <w:t>-</w:t>
      </w:r>
      <w:r>
        <w:t xml:space="preserve"> Sentencia </w:t>
      </w:r>
      <w:hyperlink w:anchor="SENTENCIA_2024_87" w:history="1">
        <w:r w:rsidRPr="00601EEA">
          <w:rPr>
            <w:rStyle w:val="TextoNormalCaracter"/>
          </w:rPr>
          <w:t>87/2024</w:t>
        </w:r>
      </w:hyperlink>
      <w:r>
        <w:t>, VP I.</w:t>
      </w:r>
    </w:p>
    <w:p w14:paraId="08B326EC" w14:textId="77C4A5B8" w:rsidR="00601EEA" w:rsidRDefault="00601EEA" w:rsidP="00601EEA">
      <w:pPr>
        <w:pStyle w:val="SangriaFrancesaArticulo"/>
      </w:pPr>
      <w:r w:rsidRPr="00601EEA">
        <w:rPr>
          <w:rStyle w:val="TextoNormalNegritaCaracter"/>
        </w:rPr>
        <w:t>Artículo 774.</w:t>
      </w:r>
      <w:r w:rsidRPr="00601EEA">
        <w:rPr>
          <w:rStyle w:val="TextoNormalCaracter"/>
        </w:rPr>
        <w:t>-</w:t>
      </w:r>
      <w:r>
        <w:t xml:space="preserve"> Sentencia </w:t>
      </w:r>
      <w:hyperlink w:anchor="SENTENCIA_2024_87" w:history="1">
        <w:r w:rsidRPr="00601EEA">
          <w:rPr>
            <w:rStyle w:val="TextoNormalCaracter"/>
          </w:rPr>
          <w:t>87/2024</w:t>
        </w:r>
      </w:hyperlink>
      <w:r>
        <w:t>, f. 2.</w:t>
      </w:r>
    </w:p>
    <w:p w14:paraId="6917F46A" w14:textId="18EF69BA" w:rsidR="00601EEA" w:rsidRDefault="00601EEA" w:rsidP="00601EEA">
      <w:pPr>
        <w:pStyle w:val="SangriaFrancesaArticulo"/>
      </w:pPr>
      <w:r w:rsidRPr="00601EEA">
        <w:rPr>
          <w:rStyle w:val="TextoNormalNegritaCaracter"/>
        </w:rPr>
        <w:t>Artículo 775.</w:t>
      </w:r>
      <w:r w:rsidRPr="00601EEA">
        <w:rPr>
          <w:rStyle w:val="TextoNormalCaracter"/>
        </w:rPr>
        <w:t>-</w:t>
      </w:r>
      <w:r>
        <w:t xml:space="preserve"> Sentencia </w:t>
      </w:r>
      <w:hyperlink w:anchor="SENTENCIA_2024_87" w:history="1">
        <w:r w:rsidRPr="00601EEA">
          <w:rPr>
            <w:rStyle w:val="TextoNormalCaracter"/>
          </w:rPr>
          <w:t>87/2024</w:t>
        </w:r>
      </w:hyperlink>
      <w:r>
        <w:t>, VP IV.</w:t>
      </w:r>
    </w:p>
    <w:p w14:paraId="1D19033F" w14:textId="2A256B30" w:rsidR="00601EEA" w:rsidRDefault="00601EEA" w:rsidP="00601EEA">
      <w:pPr>
        <w:pStyle w:val="SangriaFrancesaArticulo"/>
      </w:pPr>
      <w:r w:rsidRPr="00601EEA">
        <w:rPr>
          <w:rStyle w:val="TextoNormalNegritaCaracter"/>
        </w:rPr>
        <w:t>Artículo 790.</w:t>
      </w:r>
      <w:r w:rsidRPr="00601EEA">
        <w:rPr>
          <w:rStyle w:val="TextoNormalCaracter"/>
        </w:rPr>
        <w:t>-</w:t>
      </w:r>
      <w:r>
        <w:t xml:space="preserve"> Sentencia </w:t>
      </w:r>
      <w:hyperlink w:anchor="SENTENCIA_2024_72" w:history="1">
        <w:r w:rsidRPr="00601EEA">
          <w:rPr>
            <w:rStyle w:val="TextoNormalCaracter"/>
          </w:rPr>
          <w:t>72/2024</w:t>
        </w:r>
      </w:hyperlink>
      <w:r>
        <w:t>, VP.</w:t>
      </w:r>
    </w:p>
    <w:p w14:paraId="152F397F" w14:textId="7C00393F" w:rsidR="00601EEA" w:rsidRDefault="00601EEA" w:rsidP="00601EEA">
      <w:pPr>
        <w:pStyle w:val="SangriaFrancesaArticulo"/>
      </w:pPr>
      <w:r w:rsidRPr="00601EEA">
        <w:rPr>
          <w:rStyle w:val="TextoNormalNegritaCaracter"/>
        </w:rPr>
        <w:t>Artículo 790</w:t>
      </w:r>
      <w:r>
        <w:t xml:space="preserve"> (redactado por la Ley 41/2015, de 5 de octubre)</w:t>
      </w:r>
      <w:r w:rsidRPr="00601EEA">
        <w:rPr>
          <w:rStyle w:val="TextoNormalNegritaCaracter"/>
        </w:rPr>
        <w:t>.</w:t>
      </w:r>
      <w:r w:rsidRPr="00601EEA">
        <w:rPr>
          <w:rStyle w:val="TextoNormalCaracter"/>
        </w:rPr>
        <w:t>-</w:t>
      </w:r>
      <w:r>
        <w:t xml:space="preserve"> Sentencias </w:t>
      </w:r>
      <w:hyperlink w:anchor="SENTENCIA_2024_72" w:history="1">
        <w:r w:rsidRPr="00601EEA">
          <w:rPr>
            <w:rStyle w:val="TextoNormalCaracter"/>
          </w:rPr>
          <w:t>72/2024</w:t>
        </w:r>
      </w:hyperlink>
      <w:r>
        <w:t xml:space="preserve">, ff. 2, 3, VP; </w:t>
      </w:r>
      <w:hyperlink w:anchor="SENTENCIA_2024_77" w:history="1">
        <w:r w:rsidRPr="00601EEA">
          <w:rPr>
            <w:rStyle w:val="TextoNormalCaracter"/>
          </w:rPr>
          <w:t>77/2024</w:t>
        </w:r>
      </w:hyperlink>
      <w:r>
        <w:t>, f. 4.</w:t>
      </w:r>
    </w:p>
    <w:p w14:paraId="5DF29674" w14:textId="25AB0C9D" w:rsidR="00601EEA" w:rsidRDefault="00601EEA" w:rsidP="00601EEA">
      <w:pPr>
        <w:pStyle w:val="SangriaFrancesaArticulo"/>
      </w:pPr>
      <w:r w:rsidRPr="00601EEA">
        <w:rPr>
          <w:rStyle w:val="TextoNormalNegritaCaracter"/>
        </w:rPr>
        <w:t>Artículo 790.2.</w:t>
      </w:r>
      <w:r w:rsidRPr="00601EEA">
        <w:rPr>
          <w:rStyle w:val="TextoNormalCaracter"/>
        </w:rPr>
        <w:t>-</w:t>
      </w:r>
      <w:r>
        <w:t xml:space="preserve"> Sentencias </w:t>
      </w:r>
      <w:hyperlink w:anchor="SENTENCIA_2024_9" w:history="1">
        <w:r w:rsidRPr="00601EEA">
          <w:rPr>
            <w:rStyle w:val="TextoNormalCaracter"/>
          </w:rPr>
          <w:t>9/2024</w:t>
        </w:r>
      </w:hyperlink>
      <w:r>
        <w:t xml:space="preserve">, VP II; </w:t>
      </w:r>
      <w:hyperlink w:anchor="SENTENCIA_2024_72" w:history="1">
        <w:r w:rsidRPr="00601EEA">
          <w:rPr>
            <w:rStyle w:val="TextoNormalCaracter"/>
          </w:rPr>
          <w:t>72/2024</w:t>
        </w:r>
      </w:hyperlink>
      <w:r>
        <w:t xml:space="preserve">, VP; </w:t>
      </w:r>
      <w:hyperlink w:anchor="SENTENCIA_2024_77" w:history="1">
        <w:r w:rsidRPr="00601EEA">
          <w:rPr>
            <w:rStyle w:val="TextoNormalCaracter"/>
          </w:rPr>
          <w:t>77/2024</w:t>
        </w:r>
      </w:hyperlink>
      <w:r>
        <w:t xml:space="preserve">, f. 4; </w:t>
      </w:r>
      <w:hyperlink w:anchor="SENTENCIA_2024_80" w:history="1">
        <w:r w:rsidRPr="00601EEA">
          <w:rPr>
            <w:rStyle w:val="TextoNormalCaracter"/>
          </w:rPr>
          <w:t>80/2024</w:t>
        </w:r>
      </w:hyperlink>
      <w:r>
        <w:t>, f. 4.</w:t>
      </w:r>
    </w:p>
    <w:p w14:paraId="16B25392" w14:textId="0C5AA484" w:rsidR="00601EEA" w:rsidRDefault="00601EEA" w:rsidP="00601EEA">
      <w:pPr>
        <w:pStyle w:val="SangriaFrancesaArticulo"/>
      </w:pPr>
      <w:r w:rsidRPr="00601EEA">
        <w:rPr>
          <w:rStyle w:val="TextoNormalNegritaCaracter"/>
        </w:rPr>
        <w:t>Artículo 790.2</w:t>
      </w:r>
      <w:r>
        <w:t xml:space="preserve"> (redactado por la Ley 41/2015, de 5 de octubre)</w:t>
      </w:r>
      <w:r w:rsidRPr="00601EEA">
        <w:rPr>
          <w:rStyle w:val="TextoNormalNegritaCaracter"/>
        </w:rPr>
        <w:t>.</w:t>
      </w:r>
      <w:r w:rsidRPr="00601EEA">
        <w:rPr>
          <w:rStyle w:val="TextoNormalCaracter"/>
        </w:rPr>
        <w:t>-</w:t>
      </w:r>
      <w:r>
        <w:t xml:space="preserve"> Sentencias </w:t>
      </w:r>
      <w:hyperlink w:anchor="SENTENCIA_2024_72" w:history="1">
        <w:r w:rsidRPr="00601EEA">
          <w:rPr>
            <w:rStyle w:val="TextoNormalCaracter"/>
          </w:rPr>
          <w:t>72/2024</w:t>
        </w:r>
      </w:hyperlink>
      <w:r>
        <w:t xml:space="preserve">, ff. 3, 4, 6, VP; </w:t>
      </w:r>
      <w:hyperlink w:anchor="SENTENCIA_2024_77" w:history="1">
        <w:r w:rsidRPr="00601EEA">
          <w:rPr>
            <w:rStyle w:val="TextoNormalCaracter"/>
          </w:rPr>
          <w:t>77/2024</w:t>
        </w:r>
      </w:hyperlink>
      <w:r>
        <w:t>, f. 4.</w:t>
      </w:r>
    </w:p>
    <w:p w14:paraId="5BD8C289" w14:textId="0DCB0612" w:rsidR="00601EEA" w:rsidRDefault="00601EEA" w:rsidP="00601EEA">
      <w:pPr>
        <w:pStyle w:val="SangriaFrancesaArticulo"/>
      </w:pPr>
      <w:r w:rsidRPr="00601EEA">
        <w:rPr>
          <w:rStyle w:val="TextoNormalNegritaCaracter"/>
        </w:rPr>
        <w:t>Artículo 790.2 párrafo 2.</w:t>
      </w:r>
      <w:r w:rsidRPr="00601EEA">
        <w:rPr>
          <w:rStyle w:val="TextoNormalCaracter"/>
        </w:rPr>
        <w:t>-</w:t>
      </w:r>
      <w:r>
        <w:t xml:space="preserve"> Sentencia </w:t>
      </w:r>
      <w:hyperlink w:anchor="SENTENCIA_2024_77" w:history="1">
        <w:r w:rsidRPr="00601EEA">
          <w:rPr>
            <w:rStyle w:val="TextoNormalCaracter"/>
          </w:rPr>
          <w:t>77/2024</w:t>
        </w:r>
      </w:hyperlink>
      <w:r>
        <w:t>, f. 3.</w:t>
      </w:r>
    </w:p>
    <w:p w14:paraId="2F1714E6" w14:textId="37121C57" w:rsidR="00601EEA" w:rsidRDefault="00601EEA" w:rsidP="00601EEA">
      <w:pPr>
        <w:pStyle w:val="SangriaFrancesaArticulo"/>
      </w:pPr>
      <w:r w:rsidRPr="00601EEA">
        <w:rPr>
          <w:rStyle w:val="TextoNormalNegritaCaracter"/>
        </w:rPr>
        <w:t>Artículo 790.2 párrafo 3</w:t>
      </w:r>
      <w:r>
        <w:t xml:space="preserve"> (redactado por la Ley 41/2015, de 5 de octubre)</w:t>
      </w:r>
      <w:r w:rsidRPr="00601EEA">
        <w:rPr>
          <w:rStyle w:val="TextoNormalNegritaCaracter"/>
        </w:rPr>
        <w:t>.</w:t>
      </w:r>
      <w:r w:rsidRPr="00601EEA">
        <w:rPr>
          <w:rStyle w:val="TextoNormalCaracter"/>
        </w:rPr>
        <w:t>-</w:t>
      </w:r>
      <w:r>
        <w:t xml:space="preserve"> Sentencias </w:t>
      </w:r>
      <w:hyperlink w:anchor="SENTENCIA_2024_77" w:history="1">
        <w:r w:rsidRPr="00601EEA">
          <w:rPr>
            <w:rStyle w:val="TextoNormalCaracter"/>
          </w:rPr>
          <w:t>77/2024</w:t>
        </w:r>
      </w:hyperlink>
      <w:r>
        <w:t xml:space="preserve">, f. 3; </w:t>
      </w:r>
      <w:hyperlink w:anchor="SENTENCIA_2024_80" w:history="1">
        <w:r w:rsidRPr="00601EEA">
          <w:rPr>
            <w:rStyle w:val="TextoNormalCaracter"/>
          </w:rPr>
          <w:t>80/2024</w:t>
        </w:r>
      </w:hyperlink>
      <w:r>
        <w:t>, f. 4.</w:t>
      </w:r>
    </w:p>
    <w:p w14:paraId="24222903" w14:textId="4333DD80" w:rsidR="00601EEA" w:rsidRDefault="00601EEA" w:rsidP="00601EEA">
      <w:pPr>
        <w:pStyle w:val="SangriaFrancesaArticulo"/>
      </w:pPr>
      <w:r w:rsidRPr="00601EEA">
        <w:rPr>
          <w:rStyle w:val="TextoNormalNegritaCaracter"/>
        </w:rPr>
        <w:t>Artículo 790.3.</w:t>
      </w:r>
      <w:r w:rsidRPr="00601EEA">
        <w:rPr>
          <w:rStyle w:val="TextoNormalCaracter"/>
        </w:rPr>
        <w:t>-</w:t>
      </w:r>
      <w:r>
        <w:t xml:space="preserve"> Sentencias </w:t>
      </w:r>
      <w:hyperlink w:anchor="SENTENCIA_2024_9" w:history="1">
        <w:r w:rsidRPr="00601EEA">
          <w:rPr>
            <w:rStyle w:val="TextoNormalCaracter"/>
          </w:rPr>
          <w:t>9/2024</w:t>
        </w:r>
      </w:hyperlink>
      <w:r>
        <w:t xml:space="preserve">, VP II; </w:t>
      </w:r>
      <w:hyperlink w:anchor="SENTENCIA_2024_72" w:history="1">
        <w:r w:rsidRPr="00601EEA">
          <w:rPr>
            <w:rStyle w:val="TextoNormalCaracter"/>
          </w:rPr>
          <w:t>72/2024</w:t>
        </w:r>
      </w:hyperlink>
      <w:r>
        <w:t>, f. 4, VP.</w:t>
      </w:r>
    </w:p>
    <w:p w14:paraId="008FA772" w14:textId="0D1009DB" w:rsidR="00601EEA" w:rsidRDefault="00601EEA" w:rsidP="00601EEA">
      <w:pPr>
        <w:pStyle w:val="SangriaFrancesaArticulo"/>
      </w:pPr>
      <w:r w:rsidRPr="00601EEA">
        <w:rPr>
          <w:rStyle w:val="TextoNormalNegritaCaracter"/>
        </w:rPr>
        <w:t>Artículos 790 a 792.</w:t>
      </w:r>
      <w:r w:rsidRPr="00601EEA">
        <w:rPr>
          <w:rStyle w:val="TextoNormalCaracter"/>
        </w:rPr>
        <w:t>-</w:t>
      </w:r>
      <w:r>
        <w:t xml:space="preserve"> Sentencia </w:t>
      </w:r>
      <w:hyperlink w:anchor="SENTENCIA_2024_80" w:history="1">
        <w:r w:rsidRPr="00601EEA">
          <w:rPr>
            <w:rStyle w:val="TextoNormalCaracter"/>
          </w:rPr>
          <w:t>80/2024</w:t>
        </w:r>
      </w:hyperlink>
      <w:r>
        <w:t>, f. 4.</w:t>
      </w:r>
    </w:p>
    <w:p w14:paraId="605CC79E" w14:textId="3F659EAF" w:rsidR="00601EEA" w:rsidRDefault="00601EEA" w:rsidP="00601EEA">
      <w:pPr>
        <w:pStyle w:val="SangriaFrancesaArticulo"/>
      </w:pPr>
      <w:r w:rsidRPr="00601EEA">
        <w:rPr>
          <w:rStyle w:val="TextoNormalNegritaCaracter"/>
        </w:rPr>
        <w:t>Artículo 791.</w:t>
      </w:r>
      <w:r w:rsidRPr="00601EEA">
        <w:rPr>
          <w:rStyle w:val="TextoNormalCaracter"/>
        </w:rPr>
        <w:t>-</w:t>
      </w:r>
      <w:r>
        <w:t xml:space="preserve"> Sentencia </w:t>
      </w:r>
      <w:hyperlink w:anchor="SENTENCIA_2024_72" w:history="1">
        <w:r w:rsidRPr="00601EEA">
          <w:rPr>
            <w:rStyle w:val="TextoNormalCaracter"/>
          </w:rPr>
          <w:t>72/2024</w:t>
        </w:r>
      </w:hyperlink>
      <w:r>
        <w:t>, VP.</w:t>
      </w:r>
    </w:p>
    <w:p w14:paraId="151577BA" w14:textId="308F8AB1" w:rsidR="00601EEA" w:rsidRDefault="00601EEA" w:rsidP="00601EEA">
      <w:pPr>
        <w:pStyle w:val="SangriaFrancesaArticulo"/>
      </w:pPr>
      <w:r w:rsidRPr="00601EEA">
        <w:rPr>
          <w:rStyle w:val="TextoNormalNegritaCaracter"/>
        </w:rPr>
        <w:t>Artículo 791.3.</w:t>
      </w:r>
      <w:r w:rsidRPr="00601EEA">
        <w:rPr>
          <w:rStyle w:val="TextoNormalCaracter"/>
        </w:rPr>
        <w:t>-</w:t>
      </w:r>
      <w:r>
        <w:t xml:space="preserve"> Sentencias </w:t>
      </w:r>
      <w:hyperlink w:anchor="SENTENCIA_2024_72" w:history="1">
        <w:r w:rsidRPr="00601EEA">
          <w:rPr>
            <w:rStyle w:val="TextoNormalCaracter"/>
          </w:rPr>
          <w:t>72/2024</w:t>
        </w:r>
      </w:hyperlink>
      <w:r>
        <w:t xml:space="preserve">, VP; </w:t>
      </w:r>
      <w:hyperlink w:anchor="SENTENCIA_2024_80" w:history="1">
        <w:r w:rsidRPr="00601EEA">
          <w:rPr>
            <w:rStyle w:val="TextoNormalCaracter"/>
          </w:rPr>
          <w:t>80/2024</w:t>
        </w:r>
      </w:hyperlink>
      <w:r>
        <w:t>, f. 4.</w:t>
      </w:r>
    </w:p>
    <w:p w14:paraId="49053817" w14:textId="1F913072" w:rsidR="00601EEA" w:rsidRDefault="00601EEA" w:rsidP="00601EEA">
      <w:pPr>
        <w:pStyle w:val="SangriaFrancesaArticulo"/>
      </w:pPr>
      <w:r w:rsidRPr="00601EEA">
        <w:rPr>
          <w:rStyle w:val="TextoNormalNegritaCaracter"/>
        </w:rPr>
        <w:t>Artículo 792.</w:t>
      </w:r>
      <w:r w:rsidRPr="00601EEA">
        <w:rPr>
          <w:rStyle w:val="TextoNormalCaracter"/>
        </w:rPr>
        <w:t>-</w:t>
      </w:r>
      <w:r>
        <w:t xml:space="preserve"> Sentencia </w:t>
      </w:r>
      <w:hyperlink w:anchor="SENTENCIA_2024_72" w:history="1">
        <w:r w:rsidRPr="00601EEA">
          <w:rPr>
            <w:rStyle w:val="TextoNormalCaracter"/>
          </w:rPr>
          <w:t>72/2024</w:t>
        </w:r>
      </w:hyperlink>
      <w:r>
        <w:t>, VP.</w:t>
      </w:r>
    </w:p>
    <w:p w14:paraId="5637A30F" w14:textId="7C572354" w:rsidR="00601EEA" w:rsidRDefault="00601EEA" w:rsidP="00601EEA">
      <w:pPr>
        <w:pStyle w:val="SangriaFrancesaArticulo"/>
      </w:pPr>
      <w:r w:rsidRPr="00601EEA">
        <w:rPr>
          <w:rStyle w:val="TextoNormalNegritaCaracter"/>
        </w:rPr>
        <w:t>Artículo 792</w:t>
      </w:r>
      <w:r>
        <w:t xml:space="preserve"> (redactado por la Ley 41/2015, de 5 de octubre)</w:t>
      </w:r>
      <w:r w:rsidRPr="00601EEA">
        <w:rPr>
          <w:rStyle w:val="TextoNormalNegritaCaracter"/>
        </w:rPr>
        <w:t>.</w:t>
      </w:r>
      <w:r w:rsidRPr="00601EEA">
        <w:rPr>
          <w:rStyle w:val="TextoNormalCaracter"/>
        </w:rPr>
        <w:t>-</w:t>
      </w:r>
      <w:r>
        <w:t xml:space="preserve"> Sentencias </w:t>
      </w:r>
      <w:hyperlink w:anchor="SENTENCIA_2024_72" w:history="1">
        <w:r w:rsidRPr="00601EEA">
          <w:rPr>
            <w:rStyle w:val="TextoNormalCaracter"/>
          </w:rPr>
          <w:t>72/2024</w:t>
        </w:r>
      </w:hyperlink>
      <w:r>
        <w:t xml:space="preserve">, ff. 2, 3, VP; </w:t>
      </w:r>
      <w:hyperlink w:anchor="SENTENCIA_2024_77" w:history="1">
        <w:r w:rsidRPr="00601EEA">
          <w:rPr>
            <w:rStyle w:val="TextoNormalCaracter"/>
          </w:rPr>
          <w:t>77/2024</w:t>
        </w:r>
      </w:hyperlink>
      <w:r>
        <w:t>, f. 4.</w:t>
      </w:r>
    </w:p>
    <w:p w14:paraId="22C0C02D" w14:textId="625961B2" w:rsidR="00601EEA" w:rsidRDefault="00601EEA" w:rsidP="00601EEA">
      <w:pPr>
        <w:pStyle w:val="SangriaFrancesaArticulo"/>
      </w:pPr>
      <w:r w:rsidRPr="00601EEA">
        <w:rPr>
          <w:rStyle w:val="TextoNormalNegritaCaracter"/>
        </w:rPr>
        <w:t>Artículo 792.2.</w:t>
      </w:r>
      <w:r w:rsidRPr="00601EEA">
        <w:rPr>
          <w:rStyle w:val="TextoNormalCaracter"/>
        </w:rPr>
        <w:t>-</w:t>
      </w:r>
      <w:r>
        <w:t xml:space="preserve"> Sentencia </w:t>
      </w:r>
      <w:hyperlink w:anchor="SENTENCIA_2024_80" w:history="1">
        <w:r w:rsidRPr="00601EEA">
          <w:rPr>
            <w:rStyle w:val="TextoNormalCaracter"/>
          </w:rPr>
          <w:t>80/2024</w:t>
        </w:r>
      </w:hyperlink>
      <w:r>
        <w:t>, f. 4.</w:t>
      </w:r>
    </w:p>
    <w:p w14:paraId="65C7D206" w14:textId="72E927CA" w:rsidR="00601EEA" w:rsidRDefault="00601EEA" w:rsidP="00601EEA">
      <w:pPr>
        <w:pStyle w:val="SangriaFrancesaArticulo"/>
      </w:pPr>
      <w:r w:rsidRPr="00601EEA">
        <w:rPr>
          <w:rStyle w:val="TextoNormalNegritaCaracter"/>
        </w:rPr>
        <w:t>Artículo 792.2</w:t>
      </w:r>
      <w:r>
        <w:t xml:space="preserve"> (redactado por la Ley 41/2015, de 5 de octubre)</w:t>
      </w:r>
      <w:r w:rsidRPr="00601EEA">
        <w:rPr>
          <w:rStyle w:val="TextoNormalNegritaCaracter"/>
        </w:rPr>
        <w:t>.</w:t>
      </w:r>
      <w:r w:rsidRPr="00601EEA">
        <w:rPr>
          <w:rStyle w:val="TextoNormalCaracter"/>
        </w:rPr>
        <w:t>-</w:t>
      </w:r>
      <w:r>
        <w:t xml:space="preserve"> Sentencias </w:t>
      </w:r>
      <w:hyperlink w:anchor="SENTENCIA_2024_72" w:history="1">
        <w:r w:rsidRPr="00601EEA">
          <w:rPr>
            <w:rStyle w:val="TextoNormalCaracter"/>
          </w:rPr>
          <w:t>72/2024</w:t>
        </w:r>
      </w:hyperlink>
      <w:r>
        <w:t xml:space="preserve">, ff. 3, 4, VP; </w:t>
      </w:r>
      <w:hyperlink w:anchor="SENTENCIA_2024_77" w:history="1">
        <w:r w:rsidRPr="00601EEA">
          <w:rPr>
            <w:rStyle w:val="TextoNormalCaracter"/>
          </w:rPr>
          <w:t>77/2024</w:t>
        </w:r>
      </w:hyperlink>
      <w:r>
        <w:t>, f. 4.</w:t>
      </w:r>
    </w:p>
    <w:p w14:paraId="6DE637A9" w14:textId="74E36BDD" w:rsidR="00601EEA" w:rsidRDefault="00601EEA" w:rsidP="00601EEA">
      <w:pPr>
        <w:pStyle w:val="SangriaFrancesaArticulo"/>
      </w:pPr>
      <w:r w:rsidRPr="00601EEA">
        <w:rPr>
          <w:rStyle w:val="TextoNormalNegritaCaracter"/>
        </w:rPr>
        <w:t>Artículo 795.</w:t>
      </w:r>
      <w:r w:rsidRPr="00601EEA">
        <w:rPr>
          <w:rStyle w:val="TextoNormalCaracter"/>
        </w:rPr>
        <w:t>-</w:t>
      </w:r>
      <w:r>
        <w:t xml:space="preserve"> Sentencia </w:t>
      </w:r>
      <w:hyperlink w:anchor="SENTENCIA_2024_72" w:history="1">
        <w:r w:rsidRPr="00601EEA">
          <w:rPr>
            <w:rStyle w:val="TextoNormalCaracter"/>
          </w:rPr>
          <w:t>72/2024</w:t>
        </w:r>
      </w:hyperlink>
      <w:r>
        <w:t>, VP.</w:t>
      </w:r>
    </w:p>
    <w:p w14:paraId="512E648B" w14:textId="544EA7CD" w:rsidR="00601EEA" w:rsidRDefault="00601EEA" w:rsidP="00601EEA">
      <w:pPr>
        <w:pStyle w:val="SangriaFrancesaArticulo"/>
      </w:pPr>
      <w:r w:rsidRPr="00601EEA">
        <w:rPr>
          <w:rStyle w:val="TextoNormalNegritaCaracter"/>
        </w:rPr>
        <w:t>Artículo 795.3.</w:t>
      </w:r>
      <w:r w:rsidRPr="00601EEA">
        <w:rPr>
          <w:rStyle w:val="TextoNormalCaracter"/>
        </w:rPr>
        <w:t>-</w:t>
      </w:r>
      <w:r>
        <w:t xml:space="preserve"> Sentencia </w:t>
      </w:r>
      <w:hyperlink w:anchor="SENTENCIA_2024_72" w:history="1">
        <w:r w:rsidRPr="00601EEA">
          <w:rPr>
            <w:rStyle w:val="TextoNormalCaracter"/>
          </w:rPr>
          <w:t>72/2024</w:t>
        </w:r>
      </w:hyperlink>
      <w:r>
        <w:t>, VP.</w:t>
      </w:r>
    </w:p>
    <w:p w14:paraId="42F61FA8" w14:textId="46129D22" w:rsidR="00601EEA" w:rsidRDefault="00601EEA" w:rsidP="00601EEA">
      <w:pPr>
        <w:pStyle w:val="SangriaFrancesaArticulo"/>
      </w:pPr>
      <w:r w:rsidRPr="00601EEA">
        <w:rPr>
          <w:rStyle w:val="TextoNormalNegritaCaracter"/>
        </w:rPr>
        <w:t>Artículo 795.6.</w:t>
      </w:r>
      <w:r w:rsidRPr="00601EEA">
        <w:rPr>
          <w:rStyle w:val="TextoNormalCaracter"/>
        </w:rPr>
        <w:t>-</w:t>
      </w:r>
      <w:r>
        <w:t xml:space="preserve"> Sentencia </w:t>
      </w:r>
      <w:hyperlink w:anchor="SENTENCIA_2024_72" w:history="1">
        <w:r w:rsidRPr="00601EEA">
          <w:rPr>
            <w:rStyle w:val="TextoNormalCaracter"/>
          </w:rPr>
          <w:t>72/2024</w:t>
        </w:r>
      </w:hyperlink>
      <w:r>
        <w:t>, VP.</w:t>
      </w:r>
    </w:p>
    <w:p w14:paraId="3D57760C" w14:textId="431D9E96" w:rsidR="00601EEA" w:rsidRDefault="00601EEA" w:rsidP="00601EEA">
      <w:pPr>
        <w:pStyle w:val="SangriaFrancesaArticulo"/>
      </w:pPr>
      <w:r w:rsidRPr="00601EEA">
        <w:rPr>
          <w:rStyle w:val="TextoNormalNegritaCaracter"/>
        </w:rPr>
        <w:t>Artículo 803.1.</w:t>
      </w:r>
      <w:r w:rsidRPr="00601EEA">
        <w:rPr>
          <w:rStyle w:val="TextoNormalCaracter"/>
        </w:rPr>
        <w:t>-</w:t>
      </w:r>
      <w:r>
        <w:t xml:space="preserve"> Sentencia </w:t>
      </w:r>
      <w:hyperlink w:anchor="SENTENCIA_2024_9" w:history="1">
        <w:r w:rsidRPr="00601EEA">
          <w:rPr>
            <w:rStyle w:val="TextoNormalCaracter"/>
          </w:rPr>
          <w:t>9/2024</w:t>
        </w:r>
      </w:hyperlink>
      <w:r>
        <w:t>, VP II.</w:t>
      </w:r>
    </w:p>
    <w:p w14:paraId="11E299E1" w14:textId="1DF1D473" w:rsidR="00601EEA" w:rsidRDefault="00601EEA" w:rsidP="00601EEA">
      <w:pPr>
        <w:pStyle w:val="SangriaFrancesaArticulo"/>
      </w:pPr>
      <w:r w:rsidRPr="00601EEA">
        <w:rPr>
          <w:rStyle w:val="TextoNormalNegritaCaracter"/>
        </w:rPr>
        <w:t>Artículo 846 bis c).</w:t>
      </w:r>
      <w:r w:rsidRPr="00601EEA">
        <w:rPr>
          <w:rStyle w:val="TextoNormalCaracter"/>
        </w:rPr>
        <w:t>-</w:t>
      </w:r>
      <w:r>
        <w:t xml:space="preserve"> Sentencia </w:t>
      </w:r>
      <w:hyperlink w:anchor="SENTENCIA_2024_80" w:history="1">
        <w:r w:rsidRPr="00601EEA">
          <w:rPr>
            <w:rStyle w:val="TextoNormalCaracter"/>
          </w:rPr>
          <w:t>80/2024</w:t>
        </w:r>
      </w:hyperlink>
      <w:r>
        <w:t>, f. 4.</w:t>
      </w:r>
    </w:p>
    <w:p w14:paraId="3369D68A" w14:textId="4CF5F9CD" w:rsidR="00601EEA" w:rsidRDefault="00601EEA" w:rsidP="00601EEA">
      <w:pPr>
        <w:pStyle w:val="SangriaFrancesaArticulo"/>
      </w:pPr>
      <w:r w:rsidRPr="00601EEA">
        <w:rPr>
          <w:rStyle w:val="TextoNormalNegritaCaracter"/>
        </w:rPr>
        <w:t>Artículo 846 bis f).</w:t>
      </w:r>
      <w:r w:rsidRPr="00601EEA">
        <w:rPr>
          <w:rStyle w:val="TextoNormalCaracter"/>
        </w:rPr>
        <w:t>-</w:t>
      </w:r>
      <w:r>
        <w:t xml:space="preserve"> Sentencia </w:t>
      </w:r>
      <w:hyperlink w:anchor="SENTENCIA_2024_9" w:history="1">
        <w:r w:rsidRPr="00601EEA">
          <w:rPr>
            <w:rStyle w:val="TextoNormalCaracter"/>
          </w:rPr>
          <w:t>9/2024</w:t>
        </w:r>
      </w:hyperlink>
      <w:r>
        <w:t>, VP II.</w:t>
      </w:r>
    </w:p>
    <w:p w14:paraId="12829674" w14:textId="596EB2BA" w:rsidR="00601EEA" w:rsidRDefault="00601EEA" w:rsidP="00601EEA">
      <w:pPr>
        <w:pStyle w:val="SangriaFrancesaArticulo"/>
      </w:pPr>
      <w:r w:rsidRPr="00601EEA">
        <w:rPr>
          <w:rStyle w:val="TextoNormalNegritaCaracter"/>
        </w:rPr>
        <w:t>Artículo 846 ter.3.</w:t>
      </w:r>
      <w:r w:rsidRPr="00601EEA">
        <w:rPr>
          <w:rStyle w:val="TextoNormalCaracter"/>
        </w:rPr>
        <w:t>-</w:t>
      </w:r>
      <w:r>
        <w:t xml:space="preserve"> Sentencia </w:t>
      </w:r>
      <w:hyperlink w:anchor="SENTENCIA_2024_80" w:history="1">
        <w:r w:rsidRPr="00601EEA">
          <w:rPr>
            <w:rStyle w:val="TextoNormalCaracter"/>
          </w:rPr>
          <w:t>80/2024</w:t>
        </w:r>
      </w:hyperlink>
      <w:r>
        <w:t>, f. 4.</w:t>
      </w:r>
    </w:p>
    <w:p w14:paraId="2ED60C23" w14:textId="63780E2C" w:rsidR="00601EEA" w:rsidRDefault="00601EEA" w:rsidP="00601EEA">
      <w:pPr>
        <w:pStyle w:val="SangriaFrancesaArticulo"/>
      </w:pPr>
      <w:r w:rsidRPr="00601EEA">
        <w:rPr>
          <w:rStyle w:val="TextoNormalNegritaCaracter"/>
        </w:rPr>
        <w:t>Artículo 849.1.</w:t>
      </w:r>
      <w:r w:rsidRPr="00601EEA">
        <w:rPr>
          <w:rStyle w:val="TextoNormalCaracter"/>
        </w:rPr>
        <w:t>-</w:t>
      </w:r>
      <w:r>
        <w:t xml:space="preserve"> Sentencia </w:t>
      </w:r>
      <w:hyperlink w:anchor="SENTENCIA_2024_80" w:history="1">
        <w:r w:rsidRPr="00601EEA">
          <w:rPr>
            <w:rStyle w:val="TextoNormalCaracter"/>
          </w:rPr>
          <w:t>80/2024</w:t>
        </w:r>
      </w:hyperlink>
      <w:r>
        <w:t>, f. 1.</w:t>
      </w:r>
    </w:p>
    <w:p w14:paraId="72E01169" w14:textId="78705562" w:rsidR="00601EEA" w:rsidRDefault="00601EEA" w:rsidP="00601EEA">
      <w:pPr>
        <w:pStyle w:val="SangriaFrancesaArticulo"/>
      </w:pPr>
      <w:r w:rsidRPr="00601EEA">
        <w:rPr>
          <w:rStyle w:val="TextoNormalNegritaCaracter"/>
        </w:rPr>
        <w:t>Artículo 849.2.</w:t>
      </w:r>
      <w:r w:rsidRPr="00601EEA">
        <w:rPr>
          <w:rStyle w:val="TextoNormalCaracter"/>
        </w:rPr>
        <w:t>-</w:t>
      </w:r>
      <w:r>
        <w:t xml:space="preserve"> Sentencia </w:t>
      </w:r>
      <w:hyperlink w:anchor="SENTENCIA_2024_72" w:history="1">
        <w:r w:rsidRPr="00601EEA">
          <w:rPr>
            <w:rStyle w:val="TextoNormalCaracter"/>
          </w:rPr>
          <w:t>72/2024</w:t>
        </w:r>
      </w:hyperlink>
      <w:r>
        <w:t>, VP.</w:t>
      </w:r>
    </w:p>
    <w:p w14:paraId="3C9723CD" w14:textId="4AF111FD" w:rsidR="00601EEA" w:rsidRDefault="00601EEA" w:rsidP="00601EEA">
      <w:pPr>
        <w:pStyle w:val="SangriaFrancesaArticulo"/>
      </w:pPr>
      <w:r w:rsidRPr="00601EEA">
        <w:rPr>
          <w:rStyle w:val="TextoNormalNegritaCaracter"/>
        </w:rPr>
        <w:t>Artículo 851.6.</w:t>
      </w:r>
      <w:r w:rsidRPr="00601EEA">
        <w:rPr>
          <w:rStyle w:val="TextoNormalCaracter"/>
        </w:rPr>
        <w:t>-</w:t>
      </w:r>
      <w:r>
        <w:t xml:space="preserve"> Sentencia </w:t>
      </w:r>
      <w:hyperlink w:anchor="SENTENCIA_2024_9" w:history="1">
        <w:r w:rsidRPr="00601EEA">
          <w:rPr>
            <w:rStyle w:val="TextoNormalCaracter"/>
          </w:rPr>
          <w:t>9/2024</w:t>
        </w:r>
      </w:hyperlink>
      <w:r>
        <w:t>, VP II.</w:t>
      </w:r>
    </w:p>
    <w:p w14:paraId="7D9DFD14" w14:textId="40E4625D" w:rsidR="00601EEA" w:rsidRDefault="00601EEA" w:rsidP="00601EEA">
      <w:pPr>
        <w:pStyle w:val="SangriaFrancesaArticulo"/>
      </w:pPr>
      <w:r w:rsidRPr="00601EEA">
        <w:rPr>
          <w:rStyle w:val="TextoNormalNegritaCaracter"/>
        </w:rPr>
        <w:t>Artículo 852.</w:t>
      </w:r>
      <w:r w:rsidRPr="00601EEA">
        <w:rPr>
          <w:rStyle w:val="TextoNormalCaracter"/>
        </w:rPr>
        <w:t>-</w:t>
      </w:r>
      <w:r>
        <w:t xml:space="preserve"> Sentencia </w:t>
      </w:r>
      <w:hyperlink w:anchor="SENTENCIA_2024_80" w:history="1">
        <w:r w:rsidRPr="00601EEA">
          <w:rPr>
            <w:rStyle w:val="TextoNormalCaracter"/>
          </w:rPr>
          <w:t>80/2024</w:t>
        </w:r>
      </w:hyperlink>
      <w:r>
        <w:t>, f. 1.</w:t>
      </w:r>
    </w:p>
    <w:p w14:paraId="2556A734" w14:textId="0AAB3578" w:rsidR="00601EEA" w:rsidRDefault="00601EEA" w:rsidP="00601EEA">
      <w:pPr>
        <w:pStyle w:val="SangriaFrancesaArticulo"/>
      </w:pPr>
      <w:r w:rsidRPr="00601EEA">
        <w:rPr>
          <w:rStyle w:val="TextoNormalNegritaCaracter"/>
        </w:rPr>
        <w:t>Artículo 901.</w:t>
      </w:r>
      <w:r w:rsidRPr="00601EEA">
        <w:rPr>
          <w:rStyle w:val="TextoNormalCaracter"/>
        </w:rPr>
        <w:t>-</w:t>
      </w:r>
      <w:r>
        <w:t xml:space="preserve"> Sentencia </w:t>
      </w:r>
      <w:hyperlink w:anchor="SENTENCIA_2024_9" w:history="1">
        <w:r w:rsidRPr="00601EEA">
          <w:rPr>
            <w:rStyle w:val="TextoNormalCaracter"/>
          </w:rPr>
          <w:t>9/2024</w:t>
        </w:r>
      </w:hyperlink>
      <w:r>
        <w:t>, VP II.</w:t>
      </w:r>
    </w:p>
    <w:p w14:paraId="42CE544D" w14:textId="4D1CCB30" w:rsidR="00601EEA" w:rsidRDefault="00601EEA" w:rsidP="00601EEA">
      <w:pPr>
        <w:pStyle w:val="SangriaFrancesaArticulo"/>
      </w:pPr>
      <w:r w:rsidRPr="00601EEA">
        <w:rPr>
          <w:rStyle w:val="TextoNormalNegritaCaracter"/>
        </w:rPr>
        <w:t>Artículo 901 bis a).</w:t>
      </w:r>
      <w:r w:rsidRPr="00601EEA">
        <w:rPr>
          <w:rStyle w:val="TextoNormalCaracter"/>
        </w:rPr>
        <w:t>-</w:t>
      </w:r>
      <w:r>
        <w:t xml:space="preserve"> Sentencia </w:t>
      </w:r>
      <w:hyperlink w:anchor="SENTENCIA_2024_9" w:history="1">
        <w:r w:rsidRPr="00601EEA">
          <w:rPr>
            <w:rStyle w:val="TextoNormalCaracter"/>
          </w:rPr>
          <w:t>9/2024</w:t>
        </w:r>
      </w:hyperlink>
      <w:r>
        <w:t>, VP II.</w:t>
      </w:r>
    </w:p>
    <w:p w14:paraId="49666A40" w14:textId="2373EEEE" w:rsidR="00601EEA" w:rsidRDefault="00601EEA" w:rsidP="00601EEA">
      <w:pPr>
        <w:pStyle w:val="SangriaFrancesaArticulo"/>
      </w:pPr>
      <w:r w:rsidRPr="00601EEA">
        <w:rPr>
          <w:rStyle w:val="TextoNormalNegritaCaracter"/>
        </w:rPr>
        <w:t>Artículo 954.3.</w:t>
      </w:r>
      <w:r w:rsidRPr="00601EEA">
        <w:rPr>
          <w:rStyle w:val="TextoNormalCaracter"/>
        </w:rPr>
        <w:t>-</w:t>
      </w:r>
      <w:r>
        <w:t xml:space="preserve"> Sentencia </w:t>
      </w:r>
      <w:hyperlink w:anchor="SENTENCIA_2024_9" w:history="1">
        <w:r w:rsidRPr="00601EEA">
          <w:rPr>
            <w:rStyle w:val="TextoNormalCaracter"/>
          </w:rPr>
          <w:t>9/2024</w:t>
        </w:r>
      </w:hyperlink>
      <w:r>
        <w:t>, ff. 1, 6, VP I.</w:t>
      </w:r>
    </w:p>
    <w:p w14:paraId="37BFE770" w14:textId="456694BE" w:rsidR="00601EEA" w:rsidRDefault="00601EEA" w:rsidP="00601EEA">
      <w:pPr>
        <w:pStyle w:val="SangriaFrancesaArticulo"/>
      </w:pPr>
      <w:r w:rsidRPr="00601EEA">
        <w:rPr>
          <w:rStyle w:val="TextoNormalNegritaCaracter"/>
        </w:rPr>
        <w:t>Artículo 954.3</w:t>
      </w:r>
      <w:r>
        <w:t xml:space="preserve"> (redactado por la Ley 41/2015, de 5 de octubre)</w:t>
      </w:r>
      <w:r w:rsidRPr="00601EEA">
        <w:rPr>
          <w:rStyle w:val="TextoNormalNegritaCaracter"/>
        </w:rPr>
        <w:t>.</w:t>
      </w:r>
      <w:r w:rsidRPr="00601EEA">
        <w:rPr>
          <w:rStyle w:val="TextoNormalCaracter"/>
        </w:rPr>
        <w:t>-</w:t>
      </w:r>
      <w:r>
        <w:t xml:space="preserve"> Sentencia </w:t>
      </w:r>
      <w:hyperlink w:anchor="SENTENCIA_2024_9" w:history="1">
        <w:r w:rsidRPr="00601EEA">
          <w:rPr>
            <w:rStyle w:val="TextoNormalCaracter"/>
          </w:rPr>
          <w:t>9/2024</w:t>
        </w:r>
      </w:hyperlink>
      <w:r>
        <w:t>, VP II.</w:t>
      </w:r>
    </w:p>
    <w:p w14:paraId="48EFEE40" w14:textId="03A6DE52" w:rsidR="00601EEA" w:rsidRDefault="00601EEA" w:rsidP="00601EEA">
      <w:pPr>
        <w:pStyle w:val="SangriaFrancesaArticulo"/>
      </w:pPr>
      <w:r w:rsidRPr="00601EEA">
        <w:rPr>
          <w:rStyle w:val="TextoNormalNegritaCaracter"/>
        </w:rPr>
        <w:lastRenderedPageBreak/>
        <w:t>Artículo 976.2.</w:t>
      </w:r>
      <w:r w:rsidRPr="00601EEA">
        <w:rPr>
          <w:rStyle w:val="TextoNormalCaracter"/>
        </w:rPr>
        <w:t>-</w:t>
      </w:r>
      <w:r>
        <w:t xml:space="preserve"> Sentencia </w:t>
      </w:r>
      <w:hyperlink w:anchor="SENTENCIA_2024_9" w:history="1">
        <w:r w:rsidRPr="00601EEA">
          <w:rPr>
            <w:rStyle w:val="TextoNormalCaracter"/>
          </w:rPr>
          <w:t>9/2024</w:t>
        </w:r>
      </w:hyperlink>
      <w:r>
        <w:t>, VP II.</w:t>
      </w:r>
    </w:p>
    <w:p w14:paraId="4183DE70" w14:textId="7AF94C45" w:rsidR="00601EEA" w:rsidRDefault="00601EEA" w:rsidP="00601EEA">
      <w:pPr>
        <w:pStyle w:val="SangriaFrancesaArticulo"/>
      </w:pPr>
    </w:p>
    <w:p w14:paraId="22E924D4" w14:textId="77777777" w:rsidR="00601EEA" w:rsidRDefault="00601EEA" w:rsidP="00601EEA">
      <w:pPr>
        <w:pStyle w:val="TextoNormalNegritaCursivandice"/>
        <w:keepNext/>
      </w:pPr>
      <w:r>
        <w:t>Real Decreto de 24 de julio de 1889. Código civil</w:t>
      </w:r>
    </w:p>
    <w:p w14:paraId="41C29327" w14:textId="6B948F61" w:rsidR="00601EEA" w:rsidRDefault="00601EEA" w:rsidP="00601EEA">
      <w:pPr>
        <w:pStyle w:val="SangriaFrancesaArticulo"/>
      </w:pPr>
      <w:r w:rsidRPr="00601EEA">
        <w:rPr>
          <w:rStyle w:val="TextoNormalNegritaCaracter"/>
        </w:rPr>
        <w:t>Artículo 1.5.</w:t>
      </w:r>
      <w:r w:rsidRPr="00601EEA">
        <w:rPr>
          <w:rStyle w:val="TextoNormalCaracter"/>
        </w:rPr>
        <w:t>-</w:t>
      </w:r>
      <w:r>
        <w:t xml:space="preserve"> Sentencia </w:t>
      </w:r>
      <w:hyperlink w:anchor="SENTENCIA_2024_17" w:history="1">
        <w:r w:rsidRPr="00601EEA">
          <w:rPr>
            <w:rStyle w:val="TextoNormalCaracter"/>
          </w:rPr>
          <w:t>17/2024</w:t>
        </w:r>
      </w:hyperlink>
      <w:r>
        <w:t>, f. 3.</w:t>
      </w:r>
    </w:p>
    <w:p w14:paraId="35E9D1EE" w14:textId="373948EB" w:rsidR="00601EEA" w:rsidRDefault="00601EEA" w:rsidP="00601EEA">
      <w:pPr>
        <w:pStyle w:val="SangriaFrancesaArticulo"/>
      </w:pPr>
      <w:r w:rsidRPr="00601EEA">
        <w:rPr>
          <w:rStyle w:val="TextoNormalNegritaCaracter"/>
        </w:rPr>
        <w:t>Artículo 12.3.</w:t>
      </w:r>
      <w:r w:rsidRPr="00601EEA">
        <w:rPr>
          <w:rStyle w:val="TextoNormalCaracter"/>
        </w:rPr>
        <w:t>-</w:t>
      </w:r>
      <w:r>
        <w:t xml:space="preserve"> Sentencia </w:t>
      </w:r>
      <w:hyperlink w:anchor="SENTENCIA_2024_28" w:history="1">
        <w:r w:rsidRPr="00601EEA">
          <w:rPr>
            <w:rStyle w:val="TextoNormalCaracter"/>
          </w:rPr>
          <w:t>28/2024</w:t>
        </w:r>
      </w:hyperlink>
      <w:r>
        <w:t>, VP.</w:t>
      </w:r>
    </w:p>
    <w:p w14:paraId="6DCCF4A4" w14:textId="7FABF96C" w:rsidR="00601EEA" w:rsidRDefault="00601EEA" w:rsidP="00601EEA">
      <w:pPr>
        <w:pStyle w:val="SangriaFrancesaArticulo"/>
      </w:pPr>
      <w:r w:rsidRPr="00601EEA">
        <w:rPr>
          <w:rStyle w:val="TextoNormalNegritaCaracter"/>
        </w:rPr>
        <w:t>Artículo 30.</w:t>
      </w:r>
      <w:r w:rsidRPr="00601EEA">
        <w:rPr>
          <w:rStyle w:val="TextoNormalCaracter"/>
        </w:rPr>
        <w:t>-</w:t>
      </w:r>
      <w:r>
        <w:t xml:space="preserve"> Sentencia </w:t>
      </w:r>
      <w:hyperlink w:anchor="SENTENCIA_2024_92" w:history="1">
        <w:r w:rsidRPr="00601EEA">
          <w:rPr>
            <w:rStyle w:val="TextoNormalCaracter"/>
          </w:rPr>
          <w:t>92/2024</w:t>
        </w:r>
      </w:hyperlink>
      <w:r>
        <w:t>, VP III.</w:t>
      </w:r>
    </w:p>
    <w:p w14:paraId="7ECF2303" w14:textId="079269D5" w:rsidR="00601EEA" w:rsidRDefault="00601EEA" w:rsidP="00601EEA">
      <w:pPr>
        <w:pStyle w:val="SangriaFrancesaArticulo"/>
      </w:pPr>
      <w:r w:rsidRPr="00601EEA">
        <w:rPr>
          <w:rStyle w:val="TextoNormalNegritaCaracter"/>
        </w:rPr>
        <w:t>Artículo 91.</w:t>
      </w:r>
      <w:r w:rsidRPr="00601EEA">
        <w:rPr>
          <w:rStyle w:val="TextoNormalCaracter"/>
        </w:rPr>
        <w:t>-</w:t>
      </w:r>
      <w:r>
        <w:t xml:space="preserve"> Sentencia </w:t>
      </w:r>
      <w:hyperlink w:anchor="SENTENCIA_2024_53" w:history="1">
        <w:r w:rsidRPr="00601EEA">
          <w:rPr>
            <w:rStyle w:val="TextoNormalCaracter"/>
          </w:rPr>
          <w:t>53/2024</w:t>
        </w:r>
      </w:hyperlink>
      <w:r>
        <w:t>, f. 4.</w:t>
      </w:r>
    </w:p>
    <w:p w14:paraId="558811E7" w14:textId="5C3FAAB1" w:rsidR="00601EEA" w:rsidRDefault="00601EEA" w:rsidP="00601EEA">
      <w:pPr>
        <w:pStyle w:val="SangriaFrancesaArticulo"/>
      </w:pPr>
      <w:r w:rsidRPr="00601EEA">
        <w:rPr>
          <w:rStyle w:val="TextoNormalNegritaCaracter"/>
        </w:rPr>
        <w:t>Artículos 91 y siguientes.</w:t>
      </w:r>
      <w:r w:rsidRPr="00601EEA">
        <w:rPr>
          <w:rStyle w:val="TextoNormalCaracter"/>
        </w:rPr>
        <w:t>-</w:t>
      </w:r>
      <w:r>
        <w:t xml:space="preserve"> Sentencia </w:t>
      </w:r>
      <w:hyperlink w:anchor="SENTENCIA_2024_53" w:history="1">
        <w:r w:rsidRPr="00601EEA">
          <w:rPr>
            <w:rStyle w:val="TextoNormalCaracter"/>
          </w:rPr>
          <w:t>53/2024</w:t>
        </w:r>
      </w:hyperlink>
      <w:r>
        <w:t>, f. 4.</w:t>
      </w:r>
    </w:p>
    <w:p w14:paraId="2AA5CC0E" w14:textId="5C047C83" w:rsidR="00601EEA" w:rsidRDefault="00601EEA" w:rsidP="00601EEA">
      <w:pPr>
        <w:pStyle w:val="SangriaFrancesaArticulo"/>
      </w:pPr>
      <w:r w:rsidRPr="00601EEA">
        <w:rPr>
          <w:rStyle w:val="TextoNormalNegritaCaracter"/>
        </w:rPr>
        <w:t>Artículo 92.</w:t>
      </w:r>
      <w:r w:rsidRPr="00601EEA">
        <w:rPr>
          <w:rStyle w:val="TextoNormalCaracter"/>
        </w:rPr>
        <w:t>-</w:t>
      </w:r>
      <w:r>
        <w:t xml:space="preserve"> Sentencia </w:t>
      </w:r>
      <w:hyperlink w:anchor="SENTENCIA_2024_2" w:history="1">
        <w:r w:rsidRPr="00601EEA">
          <w:rPr>
            <w:rStyle w:val="TextoNormalCaracter"/>
          </w:rPr>
          <w:t>2/2024</w:t>
        </w:r>
      </w:hyperlink>
      <w:r>
        <w:t>, f. 2.</w:t>
      </w:r>
    </w:p>
    <w:p w14:paraId="7E5707D3" w14:textId="7A21DC2E" w:rsidR="00601EEA" w:rsidRDefault="00601EEA" w:rsidP="00601EEA">
      <w:pPr>
        <w:pStyle w:val="SangriaFrancesaArticulo"/>
      </w:pPr>
      <w:r w:rsidRPr="00601EEA">
        <w:rPr>
          <w:rStyle w:val="TextoNormalNegritaCaracter"/>
        </w:rPr>
        <w:t>Artículo 93.</w:t>
      </w:r>
      <w:r w:rsidRPr="00601EEA">
        <w:rPr>
          <w:rStyle w:val="TextoNormalCaracter"/>
        </w:rPr>
        <w:t>-</w:t>
      </w:r>
      <w:r>
        <w:t xml:space="preserve"> Sentencia </w:t>
      </w:r>
      <w:hyperlink w:anchor="SENTENCIA_2024_2" w:history="1">
        <w:r w:rsidRPr="00601EEA">
          <w:rPr>
            <w:rStyle w:val="TextoNormalCaracter"/>
          </w:rPr>
          <w:t>2/2024</w:t>
        </w:r>
      </w:hyperlink>
      <w:r>
        <w:t>, ff. 2, 3.</w:t>
      </w:r>
    </w:p>
    <w:p w14:paraId="02CD82CD" w14:textId="2CFAD0EF" w:rsidR="00601EEA" w:rsidRDefault="00601EEA" w:rsidP="00601EEA">
      <w:pPr>
        <w:pStyle w:val="SangriaFrancesaArticulo"/>
      </w:pPr>
      <w:r w:rsidRPr="00601EEA">
        <w:rPr>
          <w:rStyle w:val="TextoNormalNegritaCaracter"/>
        </w:rPr>
        <w:t>Artículo 94</w:t>
      </w:r>
      <w:r>
        <w:t xml:space="preserve"> (redactado por la Ley 42/2003, de 21 de noviembre)</w:t>
      </w:r>
      <w:r w:rsidRPr="00601EEA">
        <w:rPr>
          <w:rStyle w:val="TextoNormalNegritaCaracter"/>
        </w:rPr>
        <w:t>.</w:t>
      </w:r>
      <w:r w:rsidRPr="00601EEA">
        <w:rPr>
          <w:rStyle w:val="TextoNormalCaracter"/>
        </w:rPr>
        <w:t>-</w:t>
      </w:r>
      <w:r>
        <w:t xml:space="preserve"> Sentencia </w:t>
      </w:r>
      <w:hyperlink w:anchor="SENTENCIA_2024_53" w:history="1">
        <w:r w:rsidRPr="00601EEA">
          <w:rPr>
            <w:rStyle w:val="TextoNormalCaracter"/>
          </w:rPr>
          <w:t>53/2024</w:t>
        </w:r>
      </w:hyperlink>
      <w:r>
        <w:t>, f. 4.</w:t>
      </w:r>
    </w:p>
    <w:p w14:paraId="5DC2DD66" w14:textId="3B162B5E" w:rsidR="00601EEA" w:rsidRDefault="00601EEA" w:rsidP="00601EEA">
      <w:pPr>
        <w:pStyle w:val="SangriaFrancesaArticulo"/>
      </w:pPr>
      <w:r w:rsidRPr="00601EEA">
        <w:rPr>
          <w:rStyle w:val="TextoNormalNegritaCaracter"/>
        </w:rPr>
        <w:t>Artículo 94</w:t>
      </w:r>
      <w:r>
        <w:t xml:space="preserve"> (redactado por la Ley 8/2021, de 2 de junio)</w:t>
      </w:r>
      <w:r w:rsidRPr="00601EEA">
        <w:rPr>
          <w:rStyle w:val="TextoNormalNegritaCaracter"/>
        </w:rPr>
        <w:t>.</w:t>
      </w:r>
      <w:r w:rsidRPr="00601EEA">
        <w:rPr>
          <w:rStyle w:val="TextoNormalCaracter"/>
        </w:rPr>
        <w:t>-</w:t>
      </w:r>
      <w:r>
        <w:t xml:space="preserve"> Sentencia </w:t>
      </w:r>
      <w:hyperlink w:anchor="SENTENCIA_2024_53" w:history="1">
        <w:r w:rsidRPr="00601EEA">
          <w:rPr>
            <w:rStyle w:val="TextoNormalCaracter"/>
          </w:rPr>
          <w:t>53/2024</w:t>
        </w:r>
      </w:hyperlink>
      <w:r>
        <w:t>, f. 3.</w:t>
      </w:r>
    </w:p>
    <w:p w14:paraId="4146C87F" w14:textId="6C8EE623" w:rsidR="00601EEA" w:rsidRDefault="00601EEA" w:rsidP="00601EEA">
      <w:pPr>
        <w:pStyle w:val="SangriaFrancesaArticulo"/>
      </w:pPr>
      <w:r w:rsidRPr="00601EEA">
        <w:rPr>
          <w:rStyle w:val="TextoNormalNegritaCaracter"/>
        </w:rPr>
        <w:t>Artículo 94, párrafo 4</w:t>
      </w:r>
      <w:r>
        <w:t xml:space="preserve"> (redactado por la Ley 8/2021, de 2 de junio)</w:t>
      </w:r>
      <w:r w:rsidRPr="00601EEA">
        <w:rPr>
          <w:rStyle w:val="TextoNormalNegritaCaracter"/>
        </w:rPr>
        <w:t>.</w:t>
      </w:r>
      <w:r w:rsidRPr="00601EEA">
        <w:rPr>
          <w:rStyle w:val="TextoNormalCaracter"/>
        </w:rPr>
        <w:t>-</w:t>
      </w:r>
      <w:r>
        <w:t xml:space="preserve"> Sentencia </w:t>
      </w:r>
      <w:hyperlink w:anchor="SENTENCIA_2024_53" w:history="1">
        <w:r w:rsidRPr="00601EEA">
          <w:rPr>
            <w:rStyle w:val="TextoNormalCaracter"/>
          </w:rPr>
          <w:t>53/2024</w:t>
        </w:r>
      </w:hyperlink>
      <w:r>
        <w:t>, ff. 3, 4.</w:t>
      </w:r>
    </w:p>
    <w:p w14:paraId="14C093DF" w14:textId="05E6AFC3" w:rsidR="00601EEA" w:rsidRDefault="00601EEA" w:rsidP="00601EEA">
      <w:pPr>
        <w:pStyle w:val="SangriaFrancesaArticulo"/>
      </w:pPr>
      <w:r w:rsidRPr="00601EEA">
        <w:rPr>
          <w:rStyle w:val="TextoNormalNegritaCaracter"/>
        </w:rPr>
        <w:t>Artículo 97.</w:t>
      </w:r>
      <w:r w:rsidRPr="00601EEA">
        <w:rPr>
          <w:rStyle w:val="TextoNormalCaracter"/>
        </w:rPr>
        <w:t>-</w:t>
      </w:r>
      <w:r>
        <w:t xml:space="preserve"> Auto </w:t>
      </w:r>
      <w:hyperlink w:anchor="AUTO_2024_20" w:history="1">
        <w:r w:rsidRPr="00601EEA">
          <w:rPr>
            <w:rStyle w:val="TextoNormalCaracter"/>
          </w:rPr>
          <w:t>20/2024</w:t>
        </w:r>
      </w:hyperlink>
      <w:r>
        <w:t>, ff. 4, 5.</w:t>
      </w:r>
    </w:p>
    <w:p w14:paraId="499AB96F" w14:textId="4396B83D" w:rsidR="00601EEA" w:rsidRDefault="00601EEA" w:rsidP="00601EEA">
      <w:pPr>
        <w:pStyle w:val="SangriaFrancesaArticulo"/>
      </w:pPr>
      <w:r w:rsidRPr="00601EEA">
        <w:rPr>
          <w:rStyle w:val="TextoNormalNegritaCaracter"/>
        </w:rPr>
        <w:t>Artículo 110.</w:t>
      </w:r>
      <w:r w:rsidRPr="00601EEA">
        <w:rPr>
          <w:rStyle w:val="TextoNormalCaracter"/>
        </w:rPr>
        <w:t>-</w:t>
      </w:r>
      <w:r>
        <w:t xml:space="preserve"> Sentencia </w:t>
      </w:r>
      <w:hyperlink w:anchor="SENTENCIA_2024_2" w:history="1">
        <w:r w:rsidRPr="00601EEA">
          <w:rPr>
            <w:rStyle w:val="TextoNormalCaracter"/>
          </w:rPr>
          <w:t>2/2024</w:t>
        </w:r>
      </w:hyperlink>
      <w:r>
        <w:t>, f. 2.</w:t>
      </w:r>
    </w:p>
    <w:p w14:paraId="75B4264C" w14:textId="67182189" w:rsidR="00601EEA" w:rsidRDefault="00601EEA" w:rsidP="00601EEA">
      <w:pPr>
        <w:pStyle w:val="SangriaFrancesaArticulo"/>
      </w:pPr>
      <w:r w:rsidRPr="00601EEA">
        <w:rPr>
          <w:rStyle w:val="TextoNormalNegritaCaracter"/>
        </w:rPr>
        <w:t xml:space="preserve">Artículo 111 </w:t>
      </w:r>
      <w:r w:rsidRPr="00601EEA">
        <w:rPr>
          <w:rStyle w:val="TextoNormalNegritaCursivaCaracter"/>
        </w:rPr>
        <w:t>in fine</w:t>
      </w:r>
      <w:r w:rsidRPr="00601EEA">
        <w:rPr>
          <w:rStyle w:val="TextoNormalNegritaCaracter"/>
        </w:rPr>
        <w:t>.</w:t>
      </w:r>
      <w:r w:rsidRPr="00601EEA">
        <w:rPr>
          <w:rStyle w:val="TextoNormalCaracter"/>
        </w:rPr>
        <w:t>-</w:t>
      </w:r>
      <w:r>
        <w:t xml:space="preserve"> Sentencia </w:t>
      </w:r>
      <w:hyperlink w:anchor="SENTENCIA_2024_2" w:history="1">
        <w:r w:rsidRPr="00601EEA">
          <w:rPr>
            <w:rStyle w:val="TextoNormalCaracter"/>
          </w:rPr>
          <w:t>2/2024</w:t>
        </w:r>
      </w:hyperlink>
      <w:r>
        <w:t>, f. 2.</w:t>
      </w:r>
    </w:p>
    <w:p w14:paraId="57DF867D" w14:textId="5328E328" w:rsidR="00601EEA" w:rsidRDefault="00601EEA" w:rsidP="00601EEA">
      <w:pPr>
        <w:pStyle w:val="SangriaFrancesaArticulo"/>
      </w:pPr>
      <w:r w:rsidRPr="00601EEA">
        <w:rPr>
          <w:rStyle w:val="TextoNormalNegritaCaracter"/>
        </w:rPr>
        <w:t>Artículo 113.</w:t>
      </w:r>
      <w:r w:rsidRPr="00601EEA">
        <w:rPr>
          <w:rStyle w:val="TextoNormalCaracter"/>
        </w:rPr>
        <w:t>-</w:t>
      </w:r>
      <w:r>
        <w:t xml:space="preserve"> Sentencia </w:t>
      </w:r>
      <w:hyperlink w:anchor="SENTENCIA_2024_28" w:history="1">
        <w:r w:rsidRPr="00601EEA">
          <w:rPr>
            <w:rStyle w:val="TextoNormalCaracter"/>
          </w:rPr>
          <w:t>28/2024</w:t>
        </w:r>
      </w:hyperlink>
      <w:r>
        <w:t>, f. 6, VP.</w:t>
      </w:r>
    </w:p>
    <w:p w14:paraId="09D0DE81" w14:textId="4BED4E68" w:rsidR="00601EEA" w:rsidRDefault="00601EEA" w:rsidP="00601EEA">
      <w:pPr>
        <w:pStyle w:val="SangriaFrancesaArticulo"/>
      </w:pPr>
      <w:r w:rsidRPr="00601EEA">
        <w:rPr>
          <w:rStyle w:val="TextoNormalNegritaCaracter"/>
        </w:rPr>
        <w:t>Artículo 120.</w:t>
      </w:r>
      <w:r w:rsidRPr="00601EEA">
        <w:rPr>
          <w:rStyle w:val="TextoNormalCaracter"/>
        </w:rPr>
        <w:t>-</w:t>
      </w:r>
      <w:r>
        <w:t xml:space="preserve"> Sentencia </w:t>
      </w:r>
      <w:hyperlink w:anchor="SENTENCIA_2024_28" w:history="1">
        <w:r w:rsidRPr="00601EEA">
          <w:rPr>
            <w:rStyle w:val="TextoNormalCaracter"/>
          </w:rPr>
          <w:t>28/2024</w:t>
        </w:r>
      </w:hyperlink>
      <w:r>
        <w:t>, VP.</w:t>
      </w:r>
    </w:p>
    <w:p w14:paraId="293056F4" w14:textId="188BA66B" w:rsidR="00601EEA" w:rsidRDefault="00601EEA" w:rsidP="00601EEA">
      <w:pPr>
        <w:pStyle w:val="SangriaFrancesaArticulo"/>
      </w:pPr>
      <w:r w:rsidRPr="00601EEA">
        <w:rPr>
          <w:rStyle w:val="TextoNormalNegritaCaracter"/>
        </w:rPr>
        <w:t>Artículo 136.</w:t>
      </w:r>
      <w:r w:rsidRPr="00601EEA">
        <w:rPr>
          <w:rStyle w:val="TextoNormalCaracter"/>
        </w:rPr>
        <w:t>-</w:t>
      </w:r>
      <w:r>
        <w:t xml:space="preserve"> Sentencia </w:t>
      </w:r>
      <w:hyperlink w:anchor="SENTENCIA_2024_28" w:history="1">
        <w:r w:rsidRPr="00601EEA">
          <w:rPr>
            <w:rStyle w:val="TextoNormalCaracter"/>
          </w:rPr>
          <w:t>28/2024</w:t>
        </w:r>
      </w:hyperlink>
      <w:r>
        <w:t>, f. 6.</w:t>
      </w:r>
    </w:p>
    <w:p w14:paraId="1C538E17" w14:textId="7E29A9F4" w:rsidR="00601EEA" w:rsidRDefault="00601EEA" w:rsidP="00601EEA">
      <w:pPr>
        <w:pStyle w:val="SangriaFrancesaArticulo"/>
      </w:pPr>
      <w:r w:rsidRPr="00601EEA">
        <w:rPr>
          <w:rStyle w:val="TextoNormalNegritaCaracter"/>
        </w:rPr>
        <w:t>Artículo 142.</w:t>
      </w:r>
      <w:r w:rsidRPr="00601EEA">
        <w:rPr>
          <w:rStyle w:val="TextoNormalCaracter"/>
        </w:rPr>
        <w:t>-</w:t>
      </w:r>
      <w:r>
        <w:t xml:space="preserve"> Sentencia </w:t>
      </w:r>
      <w:hyperlink w:anchor="SENTENCIA_2024_2" w:history="1">
        <w:r w:rsidRPr="00601EEA">
          <w:rPr>
            <w:rStyle w:val="TextoNormalCaracter"/>
          </w:rPr>
          <w:t>2/2024</w:t>
        </w:r>
      </w:hyperlink>
      <w:r>
        <w:t>, ff. 2, 3.</w:t>
      </w:r>
    </w:p>
    <w:p w14:paraId="768F03B4" w14:textId="055B9237" w:rsidR="00601EEA" w:rsidRDefault="00601EEA" w:rsidP="00601EEA">
      <w:pPr>
        <w:pStyle w:val="SangriaFrancesaArticulo"/>
      </w:pPr>
      <w:r w:rsidRPr="00601EEA">
        <w:rPr>
          <w:rStyle w:val="TextoNormalNegritaCaracter"/>
        </w:rPr>
        <w:t>Artículo 146.</w:t>
      </w:r>
      <w:r w:rsidRPr="00601EEA">
        <w:rPr>
          <w:rStyle w:val="TextoNormalCaracter"/>
        </w:rPr>
        <w:t>-</w:t>
      </w:r>
      <w:r>
        <w:t xml:space="preserve"> Sentencia </w:t>
      </w:r>
      <w:hyperlink w:anchor="SENTENCIA_2024_2" w:history="1">
        <w:r w:rsidRPr="00601EEA">
          <w:rPr>
            <w:rStyle w:val="TextoNormalCaracter"/>
          </w:rPr>
          <w:t>2/2024</w:t>
        </w:r>
      </w:hyperlink>
      <w:r>
        <w:t>, ff. 1 a 3.</w:t>
      </w:r>
    </w:p>
    <w:p w14:paraId="06E8B229" w14:textId="4A39656B" w:rsidR="00601EEA" w:rsidRDefault="00601EEA" w:rsidP="00601EEA">
      <w:pPr>
        <w:pStyle w:val="SangriaFrancesaArticulo"/>
      </w:pPr>
      <w:r w:rsidRPr="00601EEA">
        <w:rPr>
          <w:rStyle w:val="TextoNormalNegritaCaracter"/>
        </w:rPr>
        <w:t>Artículo 160.</w:t>
      </w:r>
      <w:r w:rsidRPr="00601EEA">
        <w:rPr>
          <w:rStyle w:val="TextoNormalCaracter"/>
        </w:rPr>
        <w:t>-</w:t>
      </w:r>
      <w:r>
        <w:t xml:space="preserve"> Sentencia </w:t>
      </w:r>
      <w:hyperlink w:anchor="SENTENCIA_2024_53" w:history="1">
        <w:r w:rsidRPr="00601EEA">
          <w:rPr>
            <w:rStyle w:val="TextoNormalCaracter"/>
          </w:rPr>
          <w:t>53/2024</w:t>
        </w:r>
      </w:hyperlink>
      <w:r>
        <w:t>, f. 4.</w:t>
      </w:r>
    </w:p>
    <w:p w14:paraId="312DC6E0" w14:textId="784D36EB" w:rsidR="00601EEA" w:rsidRDefault="00601EEA" w:rsidP="00601EEA">
      <w:pPr>
        <w:pStyle w:val="SangriaFrancesaArticulo"/>
      </w:pPr>
      <w:r w:rsidRPr="00601EEA">
        <w:rPr>
          <w:rStyle w:val="TextoNormalNegritaCaracter"/>
        </w:rPr>
        <w:t>Artículo 160.1.</w:t>
      </w:r>
      <w:r w:rsidRPr="00601EEA">
        <w:rPr>
          <w:rStyle w:val="TextoNormalCaracter"/>
        </w:rPr>
        <w:t>-</w:t>
      </w:r>
      <w:r>
        <w:t xml:space="preserve"> Sentencia </w:t>
      </w:r>
      <w:hyperlink w:anchor="SENTENCIA_2024_53" w:history="1">
        <w:r w:rsidRPr="00601EEA">
          <w:rPr>
            <w:rStyle w:val="TextoNormalCaracter"/>
          </w:rPr>
          <w:t>53/2024</w:t>
        </w:r>
      </w:hyperlink>
      <w:r>
        <w:t>, f. 4.</w:t>
      </w:r>
    </w:p>
    <w:p w14:paraId="7D21DEC7" w14:textId="5D7FE231" w:rsidR="00601EEA" w:rsidRDefault="00601EEA" w:rsidP="00601EEA">
      <w:pPr>
        <w:pStyle w:val="SangriaFrancesaArticulo"/>
      </w:pPr>
      <w:r w:rsidRPr="00601EEA">
        <w:rPr>
          <w:rStyle w:val="TextoNormalNegritaCaracter"/>
        </w:rPr>
        <w:t>Artículo 161.</w:t>
      </w:r>
      <w:r w:rsidRPr="00601EEA">
        <w:rPr>
          <w:rStyle w:val="TextoNormalCaracter"/>
        </w:rPr>
        <w:t>-</w:t>
      </w:r>
      <w:r>
        <w:t xml:space="preserve"> Sentencia </w:t>
      </w:r>
      <w:hyperlink w:anchor="SENTENCIA_2024_53" w:history="1">
        <w:r w:rsidRPr="00601EEA">
          <w:rPr>
            <w:rStyle w:val="TextoNormalCaracter"/>
          </w:rPr>
          <w:t>53/2024</w:t>
        </w:r>
      </w:hyperlink>
      <w:r>
        <w:t>, f. 4.</w:t>
      </w:r>
    </w:p>
    <w:p w14:paraId="487C0DB6" w14:textId="0E666A22" w:rsidR="00601EEA" w:rsidRDefault="00601EEA" w:rsidP="00601EEA">
      <w:pPr>
        <w:pStyle w:val="SangriaFrancesaArticulo"/>
      </w:pPr>
      <w:r w:rsidRPr="00601EEA">
        <w:rPr>
          <w:rStyle w:val="TextoNormalNegritaCaracter"/>
        </w:rPr>
        <w:t>Artículo 162.</w:t>
      </w:r>
      <w:r w:rsidRPr="00601EEA">
        <w:rPr>
          <w:rStyle w:val="TextoNormalCaracter"/>
        </w:rPr>
        <w:t>-</w:t>
      </w:r>
      <w:r>
        <w:t xml:space="preserve"> Sentencia </w:t>
      </w:r>
      <w:hyperlink w:anchor="SENTENCIA_2024_92" w:history="1">
        <w:r w:rsidRPr="00601EEA">
          <w:rPr>
            <w:rStyle w:val="TextoNormalCaracter"/>
          </w:rPr>
          <w:t>92/2024</w:t>
        </w:r>
      </w:hyperlink>
      <w:r>
        <w:t>, f. 6.</w:t>
      </w:r>
    </w:p>
    <w:p w14:paraId="4A92AF49" w14:textId="212AB121" w:rsidR="00601EEA" w:rsidRDefault="00601EEA" w:rsidP="00601EEA">
      <w:pPr>
        <w:pStyle w:val="SangriaFrancesaArticulo"/>
      </w:pPr>
      <w:r w:rsidRPr="00601EEA">
        <w:rPr>
          <w:rStyle w:val="TextoNormalNegritaCaracter"/>
        </w:rPr>
        <w:t>Artículo 162.1.</w:t>
      </w:r>
      <w:r w:rsidRPr="00601EEA">
        <w:rPr>
          <w:rStyle w:val="TextoNormalCaracter"/>
        </w:rPr>
        <w:t>-</w:t>
      </w:r>
      <w:r>
        <w:t xml:space="preserve"> Sentencia </w:t>
      </w:r>
      <w:hyperlink w:anchor="SENTENCIA_2024_92" w:history="1">
        <w:r w:rsidRPr="00601EEA">
          <w:rPr>
            <w:rStyle w:val="TextoNormalCaracter"/>
          </w:rPr>
          <w:t>92/2024</w:t>
        </w:r>
      </w:hyperlink>
      <w:r>
        <w:t>, f. 6.</w:t>
      </w:r>
    </w:p>
    <w:p w14:paraId="0F4F28AA" w14:textId="53010605" w:rsidR="00601EEA" w:rsidRDefault="00601EEA" w:rsidP="00601EEA">
      <w:pPr>
        <w:pStyle w:val="SangriaFrancesaArticulo"/>
      </w:pPr>
      <w:r w:rsidRPr="00601EEA">
        <w:rPr>
          <w:rStyle w:val="TextoNormalNegritaCaracter"/>
        </w:rPr>
        <w:t>Artículo 164.</w:t>
      </w:r>
      <w:r w:rsidRPr="00601EEA">
        <w:rPr>
          <w:rStyle w:val="TextoNormalCaracter"/>
        </w:rPr>
        <w:t>-</w:t>
      </w:r>
      <w:r>
        <w:t xml:space="preserve"> Sentencia </w:t>
      </w:r>
      <w:hyperlink w:anchor="SENTENCIA_2024_92" w:history="1">
        <w:r w:rsidRPr="00601EEA">
          <w:rPr>
            <w:rStyle w:val="TextoNormalCaracter"/>
          </w:rPr>
          <w:t>92/2024</w:t>
        </w:r>
      </w:hyperlink>
      <w:r>
        <w:t>, f. 6.</w:t>
      </w:r>
    </w:p>
    <w:p w14:paraId="74C121E6" w14:textId="6CA1C90E" w:rsidR="00601EEA" w:rsidRDefault="00601EEA" w:rsidP="00601EEA">
      <w:pPr>
        <w:pStyle w:val="SangriaFrancesaArticulo"/>
      </w:pPr>
      <w:r w:rsidRPr="00601EEA">
        <w:rPr>
          <w:rStyle w:val="TextoNormalNegritaCaracter"/>
        </w:rPr>
        <w:t>Artículo 175.</w:t>
      </w:r>
      <w:r w:rsidRPr="00601EEA">
        <w:rPr>
          <w:rStyle w:val="TextoNormalCaracter"/>
        </w:rPr>
        <w:t>-</w:t>
      </w:r>
      <w:r>
        <w:t xml:space="preserve"> Sentencia </w:t>
      </w:r>
      <w:hyperlink w:anchor="SENTENCIA_2024_28" w:history="1">
        <w:r w:rsidRPr="00601EEA">
          <w:rPr>
            <w:rStyle w:val="TextoNormalCaracter"/>
          </w:rPr>
          <w:t>28/2024</w:t>
        </w:r>
      </w:hyperlink>
      <w:r>
        <w:t>, f. 6.</w:t>
      </w:r>
    </w:p>
    <w:p w14:paraId="1EEC9869" w14:textId="4E0C0276" w:rsidR="00601EEA" w:rsidRDefault="00601EEA" w:rsidP="00601EEA">
      <w:pPr>
        <w:pStyle w:val="SangriaFrancesaArticulo"/>
      </w:pPr>
      <w:r w:rsidRPr="00601EEA">
        <w:rPr>
          <w:rStyle w:val="TextoNormalNegritaCaracter"/>
        </w:rPr>
        <w:t>Artículo 176.2.2.</w:t>
      </w:r>
      <w:r w:rsidRPr="00601EEA">
        <w:rPr>
          <w:rStyle w:val="TextoNormalCaracter"/>
        </w:rPr>
        <w:t>-</w:t>
      </w:r>
      <w:r>
        <w:t xml:space="preserve"> Sentencia </w:t>
      </w:r>
      <w:hyperlink w:anchor="SENTENCIA_2024_28" w:history="1">
        <w:r w:rsidRPr="00601EEA">
          <w:rPr>
            <w:rStyle w:val="TextoNormalCaracter"/>
          </w:rPr>
          <w:t>28/2024</w:t>
        </w:r>
      </w:hyperlink>
      <w:r>
        <w:t>, f. 6.</w:t>
      </w:r>
    </w:p>
    <w:p w14:paraId="1A68D742" w14:textId="5060921D" w:rsidR="00601EEA" w:rsidRDefault="00601EEA" w:rsidP="00601EEA">
      <w:pPr>
        <w:pStyle w:val="SangriaFrancesaArticulo"/>
      </w:pPr>
      <w:r w:rsidRPr="00601EEA">
        <w:rPr>
          <w:rStyle w:val="TextoNormalNegritaCaracter"/>
        </w:rPr>
        <w:t>Artículo 241.</w:t>
      </w:r>
      <w:r w:rsidRPr="00601EEA">
        <w:rPr>
          <w:rStyle w:val="TextoNormalCaracter"/>
        </w:rPr>
        <w:t>-</w:t>
      </w:r>
      <w:r>
        <w:t xml:space="preserve"> Sentencia </w:t>
      </w:r>
      <w:hyperlink w:anchor="SENTENCIA_2024_92" w:history="1">
        <w:r w:rsidRPr="00601EEA">
          <w:rPr>
            <w:rStyle w:val="TextoNormalCaracter"/>
          </w:rPr>
          <w:t>92/2024</w:t>
        </w:r>
      </w:hyperlink>
      <w:r>
        <w:t>, f. 6.</w:t>
      </w:r>
    </w:p>
    <w:p w14:paraId="7548A8A0" w14:textId="69037066" w:rsidR="00601EEA" w:rsidRDefault="00601EEA" w:rsidP="00601EEA">
      <w:pPr>
        <w:pStyle w:val="SangriaFrancesaArticulo"/>
      </w:pPr>
      <w:r w:rsidRPr="00601EEA">
        <w:rPr>
          <w:rStyle w:val="TextoNormalNegritaCaracter"/>
        </w:rPr>
        <w:t>Artículo 244.</w:t>
      </w:r>
      <w:r w:rsidRPr="00601EEA">
        <w:rPr>
          <w:rStyle w:val="TextoNormalCaracter"/>
        </w:rPr>
        <w:t>-</w:t>
      </w:r>
      <w:r>
        <w:t xml:space="preserve"> Sentencia </w:t>
      </w:r>
      <w:hyperlink w:anchor="SENTENCIA_2024_92" w:history="1">
        <w:r w:rsidRPr="00601EEA">
          <w:rPr>
            <w:rStyle w:val="TextoNormalCaracter"/>
          </w:rPr>
          <w:t>92/2024</w:t>
        </w:r>
      </w:hyperlink>
      <w:r>
        <w:t>, f. 6.</w:t>
      </w:r>
    </w:p>
    <w:p w14:paraId="2F610495" w14:textId="5D8A6EBA" w:rsidR="00601EEA" w:rsidRDefault="00601EEA" w:rsidP="00601EEA">
      <w:pPr>
        <w:pStyle w:val="SangriaFrancesaArticulo"/>
      </w:pPr>
      <w:r w:rsidRPr="00601EEA">
        <w:rPr>
          <w:rStyle w:val="TextoNormalNegritaCaracter"/>
        </w:rPr>
        <w:t>Artículo 322.</w:t>
      </w:r>
      <w:r w:rsidRPr="00601EEA">
        <w:rPr>
          <w:rStyle w:val="TextoNormalCaracter"/>
        </w:rPr>
        <w:t>-</w:t>
      </w:r>
      <w:r>
        <w:t xml:space="preserve"> Sentencia </w:t>
      </w:r>
      <w:hyperlink w:anchor="SENTENCIA_2024_92" w:history="1">
        <w:r w:rsidRPr="00601EEA">
          <w:rPr>
            <w:rStyle w:val="TextoNormalCaracter"/>
          </w:rPr>
          <w:t>92/2024</w:t>
        </w:r>
      </w:hyperlink>
      <w:r>
        <w:t>, f. 6.</w:t>
      </w:r>
    </w:p>
    <w:p w14:paraId="54FA51E3" w14:textId="05B60146" w:rsidR="00601EEA" w:rsidRDefault="00601EEA" w:rsidP="00601EEA">
      <w:pPr>
        <w:pStyle w:val="SangriaFrancesaArticulo"/>
      </w:pPr>
      <w:r w:rsidRPr="00601EEA">
        <w:rPr>
          <w:rStyle w:val="TextoNormalNegritaCaracter"/>
        </w:rPr>
        <w:t>Artículo 323.</w:t>
      </w:r>
      <w:r w:rsidRPr="00601EEA">
        <w:rPr>
          <w:rStyle w:val="TextoNormalCaracter"/>
        </w:rPr>
        <w:t>-</w:t>
      </w:r>
      <w:r>
        <w:t xml:space="preserve"> Sentencia </w:t>
      </w:r>
      <w:hyperlink w:anchor="SENTENCIA_2024_92" w:history="1">
        <w:r w:rsidRPr="00601EEA">
          <w:rPr>
            <w:rStyle w:val="TextoNormalCaracter"/>
          </w:rPr>
          <w:t>92/2024</w:t>
        </w:r>
      </w:hyperlink>
      <w:r>
        <w:t>, f. 6.</w:t>
      </w:r>
    </w:p>
    <w:p w14:paraId="29DF4948" w14:textId="04C5FF77" w:rsidR="00601EEA" w:rsidRDefault="00601EEA" w:rsidP="00601EEA">
      <w:pPr>
        <w:pStyle w:val="SangriaFrancesaArticulo"/>
      </w:pPr>
      <w:r w:rsidRPr="00601EEA">
        <w:rPr>
          <w:rStyle w:val="TextoNormalNegritaCaracter"/>
        </w:rPr>
        <w:t>Artículo 1256.</w:t>
      </w:r>
      <w:r w:rsidRPr="00601EEA">
        <w:rPr>
          <w:rStyle w:val="TextoNormalCaracter"/>
        </w:rPr>
        <w:t>-</w:t>
      </w:r>
      <w:r>
        <w:t xml:space="preserve"> Sentencia </w:t>
      </w:r>
      <w:hyperlink w:anchor="SENTENCIA_2024_44" w:history="1">
        <w:r w:rsidRPr="00601EEA">
          <w:rPr>
            <w:rStyle w:val="TextoNormalCaracter"/>
          </w:rPr>
          <w:t>44/2024</w:t>
        </w:r>
      </w:hyperlink>
      <w:r>
        <w:t>, f. 5.</w:t>
      </w:r>
    </w:p>
    <w:p w14:paraId="264BA42A" w14:textId="4D36B3F3" w:rsidR="00601EEA" w:rsidRDefault="00601EEA" w:rsidP="00601EEA">
      <w:pPr>
        <w:pStyle w:val="SangriaFrancesaArticulo"/>
      </w:pPr>
      <w:r w:rsidRPr="00601EEA">
        <w:rPr>
          <w:rStyle w:val="TextoNormalNegritaCaracter"/>
        </w:rPr>
        <w:t>Artículo 1263.</w:t>
      </w:r>
      <w:r w:rsidRPr="00601EEA">
        <w:rPr>
          <w:rStyle w:val="TextoNormalCaracter"/>
        </w:rPr>
        <w:t>-</w:t>
      </w:r>
      <w:r>
        <w:t xml:space="preserve"> Sentencia </w:t>
      </w:r>
      <w:hyperlink w:anchor="SENTENCIA_2024_92" w:history="1">
        <w:r w:rsidRPr="00601EEA">
          <w:rPr>
            <w:rStyle w:val="TextoNormalCaracter"/>
          </w:rPr>
          <w:t>92/2024</w:t>
        </w:r>
      </w:hyperlink>
      <w:r>
        <w:t>, f. 6.</w:t>
      </w:r>
    </w:p>
    <w:p w14:paraId="1D58800C" w14:textId="7114803E" w:rsidR="00601EEA" w:rsidRDefault="00601EEA" w:rsidP="00601EEA">
      <w:pPr>
        <w:pStyle w:val="SangriaFrancesaArticulo"/>
      </w:pPr>
      <w:r w:rsidRPr="00601EEA">
        <w:rPr>
          <w:rStyle w:val="TextoNormalNegritaCaracter"/>
        </w:rPr>
        <w:t>Artículo 1911.</w:t>
      </w:r>
      <w:r w:rsidRPr="00601EEA">
        <w:rPr>
          <w:rStyle w:val="TextoNormalCaracter"/>
        </w:rPr>
        <w:t>-</w:t>
      </w:r>
      <w:r>
        <w:t xml:space="preserve"> Auto </w:t>
      </w:r>
      <w:hyperlink w:anchor="AUTO_2024_20" w:history="1">
        <w:r w:rsidRPr="00601EEA">
          <w:rPr>
            <w:rStyle w:val="TextoNormalCaracter"/>
          </w:rPr>
          <w:t>20/2024</w:t>
        </w:r>
      </w:hyperlink>
      <w:r>
        <w:t>, ff. 4, 5.</w:t>
      </w:r>
    </w:p>
    <w:p w14:paraId="5C117C19" w14:textId="25D2A6DF" w:rsidR="00601EEA" w:rsidRDefault="00601EEA" w:rsidP="00601EEA">
      <w:pPr>
        <w:pStyle w:val="SangriaFrancesaArticulo"/>
      </w:pPr>
    </w:p>
    <w:p w14:paraId="19063303" w14:textId="77777777" w:rsidR="00601EEA" w:rsidRDefault="00601EEA" w:rsidP="00601EEA">
      <w:pPr>
        <w:pStyle w:val="TextoNormalNegritaCursivandice"/>
        <w:keepNext/>
      </w:pPr>
      <w:r>
        <w:t>Decreto de 8 de febrero de 1946 por el que se aprueba la nueva redacción oficial de la Ley hipotecaria</w:t>
      </w:r>
    </w:p>
    <w:p w14:paraId="7FC53974" w14:textId="552B23B6" w:rsidR="00601EEA" w:rsidRDefault="00601EEA" w:rsidP="00601EEA">
      <w:pPr>
        <w:pStyle w:val="SangriaFrancesaArticulo"/>
      </w:pPr>
      <w:r w:rsidRPr="00601EEA">
        <w:rPr>
          <w:rStyle w:val="TextoNormalNegritaCaracter"/>
        </w:rPr>
        <w:t>Artículo 206.</w:t>
      </w:r>
      <w:r w:rsidRPr="00601EEA">
        <w:rPr>
          <w:rStyle w:val="TextoNormalCaracter"/>
        </w:rPr>
        <w:t>-</w:t>
      </w:r>
      <w:r>
        <w:t xml:space="preserve"> Sentencia </w:t>
      </w:r>
      <w:hyperlink w:anchor="SENTENCIA_2024_25" w:history="1">
        <w:r w:rsidRPr="00601EEA">
          <w:rPr>
            <w:rStyle w:val="TextoNormalCaracter"/>
          </w:rPr>
          <w:t>25/2024</w:t>
        </w:r>
      </w:hyperlink>
      <w:r>
        <w:t>, f. 12.</w:t>
      </w:r>
    </w:p>
    <w:p w14:paraId="67B4F3F6" w14:textId="44DA24DE" w:rsidR="00601EEA" w:rsidRDefault="00601EEA" w:rsidP="00601EEA">
      <w:pPr>
        <w:pStyle w:val="SangriaFrancesaArticulo"/>
      </w:pPr>
    </w:p>
    <w:p w14:paraId="73E1C467" w14:textId="77777777" w:rsidR="00601EEA" w:rsidRDefault="00601EEA" w:rsidP="00601EEA">
      <w:pPr>
        <w:pStyle w:val="TextoNormalNegritaCursivandice"/>
        <w:keepNext/>
      </w:pPr>
      <w:r>
        <w:t>Ley de 27 de diciembre de 1956 reguladora de la jurisdicción contencioso-administrativa</w:t>
      </w:r>
    </w:p>
    <w:p w14:paraId="08A78E2F" w14:textId="3993B29C" w:rsidR="00601EEA" w:rsidRDefault="00601EEA" w:rsidP="00601EEA">
      <w:pPr>
        <w:pStyle w:val="SangriaFrancesaArticulo"/>
      </w:pPr>
      <w:r w:rsidRPr="00601EEA">
        <w:rPr>
          <w:rStyle w:val="TextoNormalNegritaCaracter"/>
        </w:rPr>
        <w:t>Artículo 33.</w:t>
      </w:r>
      <w:r w:rsidRPr="00601EEA">
        <w:rPr>
          <w:rStyle w:val="TextoNormalCaracter"/>
        </w:rPr>
        <w:t>-</w:t>
      </w:r>
      <w:r>
        <w:t xml:space="preserve"> Sentencia </w:t>
      </w:r>
      <w:hyperlink w:anchor="SENTENCIA_2024_46" w:history="1">
        <w:r w:rsidRPr="00601EEA">
          <w:rPr>
            <w:rStyle w:val="TextoNormalCaracter"/>
          </w:rPr>
          <w:t>46/2024</w:t>
        </w:r>
      </w:hyperlink>
      <w:r>
        <w:t>, f. 2.</w:t>
      </w:r>
    </w:p>
    <w:p w14:paraId="3A110D11" w14:textId="3FE328F8" w:rsidR="00601EEA" w:rsidRDefault="00601EEA" w:rsidP="00601EEA">
      <w:pPr>
        <w:pStyle w:val="SangriaFrancesaArticulo"/>
      </w:pPr>
    </w:p>
    <w:p w14:paraId="77FCD0AC" w14:textId="77777777" w:rsidR="00601EEA" w:rsidRDefault="00601EEA" w:rsidP="00601EEA">
      <w:pPr>
        <w:pStyle w:val="TextoNormalNegritaCursivandice"/>
        <w:keepNext/>
      </w:pPr>
      <w:r>
        <w:lastRenderedPageBreak/>
        <w:t>Ley 46/1977, de 15 de octubre, de amnistía</w:t>
      </w:r>
    </w:p>
    <w:p w14:paraId="5E86E36A" w14:textId="5529BD68" w:rsidR="00601EEA" w:rsidRDefault="00601EEA" w:rsidP="00601EEA">
      <w:pPr>
        <w:pStyle w:val="SangriaFrancesaArticulo"/>
      </w:pPr>
      <w:r w:rsidRPr="00601EEA">
        <w:rPr>
          <w:rStyle w:val="TextoNormalNegritaCaracter"/>
        </w:rPr>
        <w:t>En general.</w:t>
      </w:r>
      <w:r w:rsidRPr="00601EEA">
        <w:rPr>
          <w:rStyle w:val="TextoNormalCaracter"/>
        </w:rPr>
        <w:t>-</w:t>
      </w:r>
      <w:r>
        <w:t xml:space="preserve"> Auto </w:t>
      </w:r>
      <w:hyperlink w:anchor="AUTO_2024_57" w:history="1">
        <w:r w:rsidRPr="00601EEA">
          <w:rPr>
            <w:rStyle w:val="TextoNormalCaracter"/>
          </w:rPr>
          <w:t>57/2024</w:t>
        </w:r>
      </w:hyperlink>
      <w:r>
        <w:t>, ff. 2, 4, VP II.</w:t>
      </w:r>
    </w:p>
    <w:p w14:paraId="192EEB81" w14:textId="5523EEA4" w:rsidR="00601EEA" w:rsidRDefault="00601EEA" w:rsidP="00601EEA">
      <w:pPr>
        <w:pStyle w:val="TextoNormal"/>
      </w:pPr>
    </w:p>
    <w:p w14:paraId="5DF0E10E" w14:textId="77777777" w:rsidR="00601EEA" w:rsidRDefault="00601EEA" w:rsidP="00601EEA">
      <w:pPr>
        <w:pStyle w:val="SangriaFrancesaArticulo"/>
      </w:pPr>
      <w:bookmarkStart w:id="170" w:name="INDICE22851"/>
    </w:p>
    <w:bookmarkEnd w:id="170"/>
    <w:p w14:paraId="293E5A73" w14:textId="77777777" w:rsidR="00601EEA" w:rsidRDefault="00601EEA" w:rsidP="00601EEA">
      <w:pPr>
        <w:pStyle w:val="TextoIndiceNivel2"/>
        <w:suppressAutoHyphens/>
      </w:pPr>
      <w:r>
        <w:t>J) Comunidades y Ciudades Autónomas</w:t>
      </w:r>
    </w:p>
    <w:p w14:paraId="0FD76501" w14:textId="554A94E1" w:rsidR="00601EEA" w:rsidRDefault="00601EEA" w:rsidP="00601EEA">
      <w:pPr>
        <w:pStyle w:val="TextoNormal"/>
      </w:pPr>
    </w:p>
    <w:p w14:paraId="5D334E31" w14:textId="77777777" w:rsidR="00601EEA" w:rsidRDefault="00601EEA" w:rsidP="00601EEA">
      <w:pPr>
        <w:pStyle w:val="TextoNormalNegritaCentrado"/>
        <w:suppressAutoHyphens/>
      </w:pPr>
      <w:r w:rsidRPr="00601EEA">
        <w:rPr>
          <w:rStyle w:val="TextoNormalNegritaCentradoSombreado"/>
        </w:rPr>
        <w:t>J.1) Andalucía</w:t>
      </w:r>
    </w:p>
    <w:p w14:paraId="52E8D601" w14:textId="1C61562A" w:rsidR="00601EEA" w:rsidRDefault="00601EEA" w:rsidP="00601EEA">
      <w:pPr>
        <w:pStyle w:val="TextoNormal"/>
      </w:pPr>
    </w:p>
    <w:p w14:paraId="51BED479" w14:textId="77777777" w:rsidR="00601EEA" w:rsidRDefault="00601EEA" w:rsidP="00601EEA">
      <w:pPr>
        <w:pStyle w:val="TextoNormalNegritaCentradoSubrayado"/>
        <w:suppressAutoHyphens/>
      </w:pPr>
      <w:r>
        <w:t>J.1.a) Estatuto de Autonomía</w:t>
      </w:r>
    </w:p>
    <w:p w14:paraId="4490E3FA" w14:textId="05A97A20" w:rsidR="00601EEA" w:rsidRDefault="00601EEA" w:rsidP="00601EEA">
      <w:pPr>
        <w:pStyle w:val="TextoNormalNegritaCentradoSubrayado"/>
      </w:pPr>
    </w:p>
    <w:p w14:paraId="1C7794ED" w14:textId="77777777" w:rsidR="00601EEA" w:rsidRDefault="00601EEA" w:rsidP="00601EEA">
      <w:pPr>
        <w:pStyle w:val="TextoNormalNegritaCursivandice"/>
        <w:keepNext/>
      </w:pPr>
      <w:r>
        <w:t>Ley Orgánica 6/1981, de 30 de diciembre.  Estatuto de Autonomía para Andalucía</w:t>
      </w:r>
    </w:p>
    <w:p w14:paraId="4B9A936C" w14:textId="6497B134" w:rsidR="00601EEA" w:rsidRDefault="00601EEA" w:rsidP="00601EEA">
      <w:pPr>
        <w:pStyle w:val="SangriaFrancesaArticulo"/>
      </w:pPr>
      <w:r w:rsidRPr="00601EEA">
        <w:rPr>
          <w:rStyle w:val="TextoNormalNegritaCaracter"/>
        </w:rPr>
        <w:t>Artículo 15.1.7.</w:t>
      </w:r>
      <w:r w:rsidRPr="00601EEA">
        <w:rPr>
          <w:rStyle w:val="TextoNormalCaracter"/>
        </w:rPr>
        <w:t>-</w:t>
      </w:r>
      <w:r>
        <w:t xml:space="preserve"> Sentencia </w:t>
      </w:r>
      <w:hyperlink w:anchor="SENTENCIA_2024_68" w:history="1">
        <w:r w:rsidRPr="00601EEA">
          <w:rPr>
            <w:rStyle w:val="TextoNormalCaracter"/>
          </w:rPr>
          <w:t>68/2024</w:t>
        </w:r>
      </w:hyperlink>
      <w:r>
        <w:t>, f. 5.</w:t>
      </w:r>
    </w:p>
    <w:p w14:paraId="1E419E17" w14:textId="61671B98" w:rsidR="00601EEA" w:rsidRDefault="00601EEA" w:rsidP="00601EEA">
      <w:pPr>
        <w:pStyle w:val="SangriaFrancesaArticulo"/>
      </w:pPr>
    </w:p>
    <w:p w14:paraId="5CF26A1D" w14:textId="77777777" w:rsidR="00601EEA" w:rsidRDefault="00601EEA" w:rsidP="00601EEA">
      <w:pPr>
        <w:pStyle w:val="TextoNormalNegritaCursivandice"/>
        <w:keepNext/>
      </w:pPr>
      <w:r>
        <w:t>Ley Orgánica 2/2007, de 19 de marzo, de reforma del Estatuto de Autonomía de Andalucía</w:t>
      </w:r>
    </w:p>
    <w:p w14:paraId="5D11DDED" w14:textId="13FEB8C6"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Sentencias </w:t>
      </w:r>
      <w:hyperlink w:anchor="SENTENCIA_2024_25" w:history="1">
        <w:r w:rsidRPr="00601EEA">
          <w:rPr>
            <w:rStyle w:val="TextoNormalCaracter"/>
          </w:rPr>
          <w:t>25/2024</w:t>
        </w:r>
      </w:hyperlink>
      <w:r>
        <w:t xml:space="preserve">, f. 13; </w:t>
      </w:r>
      <w:hyperlink w:anchor="SENTENCIA_2024_93" w:history="1">
        <w:r w:rsidRPr="00601EEA">
          <w:rPr>
            <w:rStyle w:val="TextoNormalCaracter"/>
          </w:rPr>
          <w:t>93/2024</w:t>
        </w:r>
      </w:hyperlink>
      <w:r>
        <w:t>, f. 4, VP II.</w:t>
      </w:r>
    </w:p>
    <w:p w14:paraId="227F9589" w14:textId="78DED8E9" w:rsidR="00601EEA" w:rsidRDefault="00601EEA" w:rsidP="00601EEA">
      <w:pPr>
        <w:pStyle w:val="SangriaFrancesaArticulo"/>
      </w:pPr>
      <w:r w:rsidRPr="00601EEA">
        <w:rPr>
          <w:rStyle w:val="TextoNormalNegritaCaracter"/>
        </w:rPr>
        <w:t>Artículo 56.1.</w:t>
      </w:r>
      <w:r w:rsidRPr="00601EEA">
        <w:rPr>
          <w:rStyle w:val="TextoNormalCaracter"/>
        </w:rPr>
        <w:t>-</w:t>
      </w:r>
      <w:r>
        <w:t xml:space="preserve"> Sentencia </w:t>
      </w:r>
      <w:hyperlink w:anchor="SENTENCIA_2024_79" w:history="1">
        <w:r w:rsidRPr="00601EEA">
          <w:rPr>
            <w:rStyle w:val="TextoNormalCaracter"/>
          </w:rPr>
          <w:t>79/2024</w:t>
        </w:r>
      </w:hyperlink>
      <w:r>
        <w:t>, ff. 3, 4.</w:t>
      </w:r>
    </w:p>
    <w:p w14:paraId="21321582" w14:textId="6CCB7A21" w:rsidR="00601EEA" w:rsidRDefault="00601EEA" w:rsidP="00601EEA">
      <w:pPr>
        <w:pStyle w:val="SangriaFrancesaArticulo"/>
      </w:pPr>
      <w:r w:rsidRPr="00601EEA">
        <w:rPr>
          <w:rStyle w:val="TextoNormalNegritaCaracter"/>
        </w:rPr>
        <w:t>Artículo 56.3.</w:t>
      </w:r>
      <w:r w:rsidRPr="00601EEA">
        <w:rPr>
          <w:rStyle w:val="TextoNormalCaracter"/>
        </w:rPr>
        <w:t>-</w:t>
      </w:r>
      <w:r>
        <w:t xml:space="preserve"> Sentencia </w:t>
      </w:r>
      <w:hyperlink w:anchor="SENTENCIA_2024_25" w:history="1">
        <w:r w:rsidRPr="00601EEA">
          <w:rPr>
            <w:rStyle w:val="TextoNormalCaracter"/>
          </w:rPr>
          <w:t>25/2024</w:t>
        </w:r>
      </w:hyperlink>
      <w:r>
        <w:t>, f. 4.</w:t>
      </w:r>
    </w:p>
    <w:p w14:paraId="16955C23" w14:textId="43820D68" w:rsidR="00601EEA" w:rsidRDefault="00601EEA" w:rsidP="00601EEA">
      <w:pPr>
        <w:pStyle w:val="SangriaFrancesaArticulo"/>
      </w:pPr>
      <w:r w:rsidRPr="00601EEA">
        <w:rPr>
          <w:rStyle w:val="TextoNormalNegritaCaracter"/>
        </w:rPr>
        <w:t>Artículo 56.5.</w:t>
      </w:r>
      <w:r w:rsidRPr="00601EEA">
        <w:rPr>
          <w:rStyle w:val="TextoNormalCaracter"/>
        </w:rPr>
        <w:t>-</w:t>
      </w:r>
      <w:r>
        <w:t xml:space="preserve"> Sentencia </w:t>
      </w:r>
      <w:hyperlink w:anchor="SENTENCIA_2024_25" w:history="1">
        <w:r w:rsidRPr="00601EEA">
          <w:rPr>
            <w:rStyle w:val="TextoNormalCaracter"/>
          </w:rPr>
          <w:t>25/2024</w:t>
        </w:r>
      </w:hyperlink>
      <w:r>
        <w:t>, f. 4.</w:t>
      </w:r>
    </w:p>
    <w:p w14:paraId="3BCB0937" w14:textId="5400AE61" w:rsidR="00601EEA" w:rsidRDefault="00601EEA" w:rsidP="00601EEA">
      <w:pPr>
        <w:pStyle w:val="SangriaFrancesaArticulo"/>
      </w:pPr>
      <w:r w:rsidRPr="00601EEA">
        <w:rPr>
          <w:rStyle w:val="TextoNormalNegritaCaracter"/>
        </w:rPr>
        <w:t>Artículo 56.6.</w:t>
      </w:r>
      <w:r w:rsidRPr="00601EEA">
        <w:rPr>
          <w:rStyle w:val="TextoNormalCaracter"/>
        </w:rPr>
        <w:t>-</w:t>
      </w:r>
      <w:r>
        <w:t xml:space="preserve"> Sentencia </w:t>
      </w:r>
      <w:hyperlink w:anchor="SENTENCIA_2024_25" w:history="1">
        <w:r w:rsidRPr="00601EEA">
          <w:rPr>
            <w:rStyle w:val="TextoNormalCaracter"/>
          </w:rPr>
          <w:t>25/2024</w:t>
        </w:r>
      </w:hyperlink>
      <w:r>
        <w:t>, f. 4.</w:t>
      </w:r>
    </w:p>
    <w:p w14:paraId="6013A792" w14:textId="64B70B6B" w:rsidR="00601EEA" w:rsidRDefault="00601EEA" w:rsidP="00601EEA">
      <w:pPr>
        <w:pStyle w:val="SangriaFrancesaArticulo"/>
      </w:pPr>
      <w:r w:rsidRPr="00601EEA">
        <w:rPr>
          <w:rStyle w:val="TextoNormalNegritaCaracter"/>
        </w:rPr>
        <w:t>Artículo 57.</w:t>
      </w:r>
      <w:r w:rsidRPr="00601EEA">
        <w:rPr>
          <w:rStyle w:val="TextoNormalCaracter"/>
        </w:rPr>
        <w:t>-</w:t>
      </w:r>
      <w:r>
        <w:t xml:space="preserve"> Sentencia </w:t>
      </w:r>
      <w:hyperlink w:anchor="SENTENCIA_2024_25" w:history="1">
        <w:r w:rsidRPr="00601EEA">
          <w:rPr>
            <w:rStyle w:val="TextoNormalCaracter"/>
          </w:rPr>
          <w:t>25/2024</w:t>
        </w:r>
      </w:hyperlink>
      <w:r>
        <w:t>, f. 4.</w:t>
      </w:r>
    </w:p>
    <w:p w14:paraId="73E0C9AA" w14:textId="783991A0" w:rsidR="00601EEA" w:rsidRDefault="00601EEA" w:rsidP="00601EEA">
      <w:pPr>
        <w:pStyle w:val="SangriaFrancesaArticulo"/>
      </w:pPr>
      <w:r w:rsidRPr="00601EEA">
        <w:rPr>
          <w:rStyle w:val="TextoNormalNegritaCaracter"/>
        </w:rPr>
        <w:t>Artículo 106.</w:t>
      </w:r>
      <w:r w:rsidRPr="00601EEA">
        <w:rPr>
          <w:rStyle w:val="TextoNormalCaracter"/>
        </w:rPr>
        <w:t>-</w:t>
      </w:r>
      <w:r>
        <w:t xml:space="preserve"> Sentencia </w:t>
      </w:r>
      <w:hyperlink w:anchor="SENTENCIA_2024_93" w:history="1">
        <w:r w:rsidRPr="00601EEA">
          <w:rPr>
            <w:rStyle w:val="TextoNormalCaracter"/>
          </w:rPr>
          <w:t>93/2024</w:t>
        </w:r>
      </w:hyperlink>
      <w:r>
        <w:t>, f. 4.</w:t>
      </w:r>
    </w:p>
    <w:p w14:paraId="4FB1E194" w14:textId="3F1FFBE0" w:rsidR="00601EEA" w:rsidRDefault="00601EEA" w:rsidP="00601EEA">
      <w:pPr>
        <w:pStyle w:val="SangriaFrancesaArticulo"/>
      </w:pPr>
      <w:r w:rsidRPr="00601EEA">
        <w:rPr>
          <w:rStyle w:val="TextoNormalNegritaCaracter"/>
        </w:rPr>
        <w:t>Artículo 106.11.</w:t>
      </w:r>
      <w:r w:rsidRPr="00601EEA">
        <w:rPr>
          <w:rStyle w:val="TextoNormalCaracter"/>
        </w:rPr>
        <w:t>-</w:t>
      </w:r>
      <w:r>
        <w:t xml:space="preserve"> Sentencia </w:t>
      </w:r>
      <w:hyperlink w:anchor="SENTENCIA_2024_25" w:history="1">
        <w:r w:rsidRPr="00601EEA">
          <w:rPr>
            <w:rStyle w:val="TextoNormalCaracter"/>
          </w:rPr>
          <w:t>25/2024</w:t>
        </w:r>
      </w:hyperlink>
      <w:r>
        <w:t>, f. 13.</w:t>
      </w:r>
    </w:p>
    <w:p w14:paraId="5C11A73F" w14:textId="4938335A" w:rsidR="00601EEA" w:rsidRDefault="00601EEA" w:rsidP="00601EEA">
      <w:pPr>
        <w:pStyle w:val="SangriaFrancesaArticulo"/>
      </w:pPr>
      <w:r w:rsidRPr="00601EEA">
        <w:rPr>
          <w:rStyle w:val="TextoNormalNegritaCaracter"/>
        </w:rPr>
        <w:t>Artículo 108.</w:t>
      </w:r>
      <w:r w:rsidRPr="00601EEA">
        <w:rPr>
          <w:rStyle w:val="TextoNormalCaracter"/>
        </w:rPr>
        <w:t>-</w:t>
      </w:r>
      <w:r>
        <w:t xml:space="preserve"> Sentencia </w:t>
      </w:r>
      <w:hyperlink w:anchor="SENTENCIA_2024_25" w:history="1">
        <w:r w:rsidRPr="00601EEA">
          <w:rPr>
            <w:rStyle w:val="TextoNormalCaracter"/>
          </w:rPr>
          <w:t>25/2024</w:t>
        </w:r>
      </w:hyperlink>
      <w:r>
        <w:t>, ff. 1, 3.</w:t>
      </w:r>
    </w:p>
    <w:p w14:paraId="156429E1" w14:textId="42ABAD4C" w:rsidR="00601EEA" w:rsidRDefault="00601EEA" w:rsidP="00601EEA">
      <w:pPr>
        <w:pStyle w:val="SangriaFrancesaArticulo"/>
      </w:pPr>
      <w:r w:rsidRPr="00601EEA">
        <w:rPr>
          <w:rStyle w:val="TextoNormalNegritaCaracter"/>
        </w:rPr>
        <w:t>Artículo 190.</w:t>
      </w:r>
      <w:r w:rsidRPr="00601EEA">
        <w:rPr>
          <w:rStyle w:val="TextoNormalCaracter"/>
        </w:rPr>
        <w:t>-</w:t>
      </w:r>
      <w:r>
        <w:t xml:space="preserve"> Sentencia </w:t>
      </w:r>
      <w:hyperlink w:anchor="SENTENCIA_2024_93" w:history="1">
        <w:r w:rsidRPr="00601EEA">
          <w:rPr>
            <w:rStyle w:val="TextoNormalCaracter"/>
          </w:rPr>
          <w:t>93/2024</w:t>
        </w:r>
      </w:hyperlink>
      <w:r>
        <w:t>, f. 2.</w:t>
      </w:r>
    </w:p>
    <w:p w14:paraId="629CD531" w14:textId="35ABA84C" w:rsidR="00601EEA" w:rsidRDefault="00601EEA" w:rsidP="00601EEA">
      <w:pPr>
        <w:pStyle w:val="TextoNormal"/>
      </w:pPr>
    </w:p>
    <w:p w14:paraId="241C4F15" w14:textId="77777777" w:rsidR="00601EEA" w:rsidRDefault="00601EEA" w:rsidP="00601EEA">
      <w:pPr>
        <w:pStyle w:val="TextoNormalNegritaCentradoSubrayado"/>
        <w:suppressAutoHyphens/>
      </w:pPr>
      <w:r>
        <w:t>J.1.b) Leyes y disposiciones con fuerza de Ley</w:t>
      </w:r>
    </w:p>
    <w:p w14:paraId="71121A73" w14:textId="3ED59E07" w:rsidR="00601EEA" w:rsidRDefault="00601EEA" w:rsidP="00601EEA">
      <w:pPr>
        <w:pStyle w:val="TextoNormalNegritaCentradoSubrayado"/>
      </w:pPr>
    </w:p>
    <w:p w14:paraId="121A175D" w14:textId="77777777" w:rsidR="00601EEA" w:rsidRDefault="00601EEA" w:rsidP="00601EEA">
      <w:pPr>
        <w:pStyle w:val="TextoNormalNegritaCursivandice"/>
        <w:keepNext/>
      </w:pPr>
      <w:r>
        <w:t>Comunidad Autónoma de Andalucía. Ley 5/1983, de 19 de julio, de la hacienda pública de la Comunidad Autónoma de Andalucía</w:t>
      </w:r>
    </w:p>
    <w:p w14:paraId="7F7628C1" w14:textId="29C29FDF"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93" w:history="1">
        <w:r w:rsidRPr="00601EEA">
          <w:rPr>
            <w:rStyle w:val="TextoNormalCaracter"/>
          </w:rPr>
          <w:t>93/2024</w:t>
        </w:r>
      </w:hyperlink>
      <w:r>
        <w:t>, VP I, VP II.</w:t>
      </w:r>
    </w:p>
    <w:p w14:paraId="1C8208CC" w14:textId="0AF5CDBE" w:rsidR="00601EEA" w:rsidRDefault="00601EEA" w:rsidP="00601EEA">
      <w:pPr>
        <w:pStyle w:val="SangriaFrancesaArticulo"/>
      </w:pPr>
      <w:r w:rsidRPr="00601EEA">
        <w:rPr>
          <w:rStyle w:val="TextoNormalNegritaCaracter"/>
        </w:rPr>
        <w:t>Título preliminar.</w:t>
      </w:r>
      <w:r w:rsidRPr="00601EEA">
        <w:rPr>
          <w:rStyle w:val="TextoNormalCaracter"/>
        </w:rPr>
        <w:t>-</w:t>
      </w:r>
      <w:r>
        <w:t xml:space="preserve"> Sentencia </w:t>
      </w:r>
      <w:hyperlink w:anchor="SENTENCIA_2024_93" w:history="1">
        <w:r w:rsidRPr="00601EEA">
          <w:rPr>
            <w:rStyle w:val="TextoNormalCaracter"/>
          </w:rPr>
          <w:t>93/2024</w:t>
        </w:r>
      </w:hyperlink>
      <w:r>
        <w:t>, VP II.</w:t>
      </w:r>
    </w:p>
    <w:p w14:paraId="705803DD" w14:textId="42C7361B" w:rsidR="00601EEA" w:rsidRDefault="00601EEA" w:rsidP="00601EEA">
      <w:pPr>
        <w:pStyle w:val="SangriaFrancesaArticulo"/>
      </w:pPr>
      <w:r w:rsidRPr="00601EEA">
        <w:rPr>
          <w:rStyle w:val="TextoNormalNegritaCaracter"/>
        </w:rPr>
        <w:t>Título II.</w:t>
      </w:r>
      <w:r w:rsidRPr="00601EEA">
        <w:rPr>
          <w:rStyle w:val="TextoNormalCaracter"/>
        </w:rPr>
        <w:t>-</w:t>
      </w:r>
      <w:r>
        <w:t xml:space="preserve"> Sentencia </w:t>
      </w:r>
      <w:hyperlink w:anchor="SENTENCIA_2024_93" w:history="1">
        <w:r w:rsidRPr="00601EEA">
          <w:rPr>
            <w:rStyle w:val="TextoNormalCaracter"/>
          </w:rPr>
          <w:t>93/2024</w:t>
        </w:r>
      </w:hyperlink>
      <w:r>
        <w:t>, VP II.</w:t>
      </w:r>
    </w:p>
    <w:p w14:paraId="7EBE045D" w14:textId="5817B280" w:rsidR="00601EEA" w:rsidRDefault="00601EEA" w:rsidP="00601EEA">
      <w:pPr>
        <w:pStyle w:val="SangriaFrancesaArticulo"/>
      </w:pPr>
      <w:r w:rsidRPr="00601EEA">
        <w:rPr>
          <w:rStyle w:val="TextoNormalNegritaCaracter"/>
        </w:rPr>
        <w:t>Título II, capítulo I.</w:t>
      </w:r>
      <w:r w:rsidRPr="00601EEA">
        <w:rPr>
          <w:rStyle w:val="TextoNormalCaracter"/>
        </w:rPr>
        <w:t>-</w:t>
      </w:r>
      <w:r>
        <w:t xml:space="preserve"> Sentencia </w:t>
      </w:r>
      <w:hyperlink w:anchor="SENTENCIA_2024_93" w:history="1">
        <w:r w:rsidRPr="00601EEA">
          <w:rPr>
            <w:rStyle w:val="TextoNormalCaracter"/>
          </w:rPr>
          <w:t>93/2024</w:t>
        </w:r>
      </w:hyperlink>
      <w:r>
        <w:t>, VP II.</w:t>
      </w:r>
    </w:p>
    <w:p w14:paraId="2608BF99" w14:textId="32E8024C" w:rsidR="00601EEA" w:rsidRDefault="00601EEA" w:rsidP="00601EEA">
      <w:pPr>
        <w:pStyle w:val="SangriaFrancesaArticulo"/>
      </w:pPr>
      <w:r w:rsidRPr="00601EEA">
        <w:rPr>
          <w:rStyle w:val="TextoNormalNegritaCaracter"/>
        </w:rPr>
        <w:t>Artículo 13.</w:t>
      </w:r>
      <w:r w:rsidRPr="00601EEA">
        <w:rPr>
          <w:rStyle w:val="TextoNormalCaracter"/>
        </w:rPr>
        <w:t>-</w:t>
      </w:r>
      <w:r>
        <w:t xml:space="preserve"> Sentencia </w:t>
      </w:r>
      <w:hyperlink w:anchor="SENTENCIA_2024_93" w:history="1">
        <w:r w:rsidRPr="00601EEA">
          <w:rPr>
            <w:rStyle w:val="TextoNormalCaracter"/>
          </w:rPr>
          <w:t>93/2024</w:t>
        </w:r>
      </w:hyperlink>
      <w:r>
        <w:t>, VP II.</w:t>
      </w:r>
    </w:p>
    <w:p w14:paraId="0DD0D2E5" w14:textId="5FB13537" w:rsidR="00601EEA" w:rsidRDefault="00601EEA" w:rsidP="00601EEA">
      <w:pPr>
        <w:pStyle w:val="SangriaFrancesaArticulo"/>
      </w:pPr>
      <w:r w:rsidRPr="00601EEA">
        <w:rPr>
          <w:rStyle w:val="TextoNormalNegritaCaracter"/>
        </w:rPr>
        <w:t>Artículo 14.</w:t>
      </w:r>
      <w:r w:rsidRPr="00601EEA">
        <w:rPr>
          <w:rStyle w:val="TextoNormalCaracter"/>
        </w:rPr>
        <w:t>-</w:t>
      </w:r>
      <w:r>
        <w:t xml:space="preserve"> Sentencia </w:t>
      </w:r>
      <w:hyperlink w:anchor="SENTENCIA_2024_93" w:history="1">
        <w:r w:rsidRPr="00601EEA">
          <w:rPr>
            <w:rStyle w:val="TextoNormalCaracter"/>
          </w:rPr>
          <w:t>93/2024</w:t>
        </w:r>
      </w:hyperlink>
      <w:r>
        <w:t>, VP II.</w:t>
      </w:r>
    </w:p>
    <w:p w14:paraId="71E6B041" w14:textId="45A5ED5F" w:rsidR="00601EEA" w:rsidRDefault="00601EEA" w:rsidP="00601EEA">
      <w:pPr>
        <w:pStyle w:val="SangriaFrancesaArticulo"/>
      </w:pPr>
      <w:r w:rsidRPr="00601EEA">
        <w:rPr>
          <w:rStyle w:val="TextoNormalNegritaCaracter"/>
        </w:rPr>
        <w:t>Artículo 34.</w:t>
      </w:r>
      <w:r w:rsidRPr="00601EEA">
        <w:rPr>
          <w:rStyle w:val="TextoNormalCaracter"/>
        </w:rPr>
        <w:t>-</w:t>
      </w:r>
      <w:r>
        <w:t xml:space="preserve"> Sentencia </w:t>
      </w:r>
      <w:hyperlink w:anchor="SENTENCIA_2024_93" w:history="1">
        <w:r w:rsidRPr="00601EEA">
          <w:rPr>
            <w:rStyle w:val="TextoNormalCaracter"/>
          </w:rPr>
          <w:t>93/2024</w:t>
        </w:r>
      </w:hyperlink>
      <w:r>
        <w:t>, VP II.</w:t>
      </w:r>
    </w:p>
    <w:p w14:paraId="1535C3A9" w14:textId="4425431B" w:rsidR="00601EEA" w:rsidRDefault="00601EEA" w:rsidP="00601EEA">
      <w:pPr>
        <w:pStyle w:val="SangriaFrancesaArticulo"/>
      </w:pPr>
      <w:r w:rsidRPr="00601EEA">
        <w:rPr>
          <w:rStyle w:val="TextoNormalNegritaCaracter"/>
        </w:rPr>
        <w:t>Artículo 34.5.</w:t>
      </w:r>
      <w:r w:rsidRPr="00601EEA">
        <w:rPr>
          <w:rStyle w:val="TextoNormalCaracter"/>
        </w:rPr>
        <w:t>-</w:t>
      </w:r>
      <w:r>
        <w:t xml:space="preserve"> Sentencia </w:t>
      </w:r>
      <w:hyperlink w:anchor="SENTENCIA_2024_93" w:history="1">
        <w:r w:rsidRPr="00601EEA">
          <w:rPr>
            <w:rStyle w:val="TextoNormalCaracter"/>
          </w:rPr>
          <w:t>93/2024</w:t>
        </w:r>
      </w:hyperlink>
      <w:r>
        <w:t>, VP I.</w:t>
      </w:r>
    </w:p>
    <w:p w14:paraId="36C8A3C9" w14:textId="4E64AC27" w:rsidR="00601EEA" w:rsidRDefault="00601EEA" w:rsidP="00601EEA">
      <w:pPr>
        <w:pStyle w:val="SangriaFrancesaArticulo"/>
      </w:pPr>
      <w:r w:rsidRPr="00601EEA">
        <w:rPr>
          <w:rStyle w:val="TextoNormalNegritaCaracter"/>
        </w:rPr>
        <w:t>Artículo 35.</w:t>
      </w:r>
      <w:r w:rsidRPr="00601EEA">
        <w:rPr>
          <w:rStyle w:val="TextoNormalCaracter"/>
        </w:rPr>
        <w:t>-</w:t>
      </w:r>
      <w:r>
        <w:t xml:space="preserve"> Sentencia </w:t>
      </w:r>
      <w:hyperlink w:anchor="SENTENCIA_2024_93" w:history="1">
        <w:r w:rsidRPr="00601EEA">
          <w:rPr>
            <w:rStyle w:val="TextoNormalCaracter"/>
          </w:rPr>
          <w:t>93/2024</w:t>
        </w:r>
      </w:hyperlink>
      <w:r>
        <w:t>, VP I.</w:t>
      </w:r>
    </w:p>
    <w:p w14:paraId="5637BAB1" w14:textId="01F394F9" w:rsidR="00601EEA" w:rsidRDefault="00601EEA" w:rsidP="00601EEA">
      <w:pPr>
        <w:pStyle w:val="SangriaFrancesaArticulo"/>
      </w:pPr>
      <w:r w:rsidRPr="00601EEA">
        <w:rPr>
          <w:rStyle w:val="TextoNormalNegritaCaracter"/>
        </w:rPr>
        <w:t>Artículos 38 y ss..</w:t>
      </w:r>
      <w:r w:rsidRPr="00601EEA">
        <w:rPr>
          <w:rStyle w:val="TextoNormalCaracter"/>
        </w:rPr>
        <w:t>-</w:t>
      </w:r>
      <w:r>
        <w:t xml:space="preserve"> Sentencia </w:t>
      </w:r>
      <w:hyperlink w:anchor="SENTENCIA_2024_93" w:history="1">
        <w:r w:rsidRPr="00601EEA">
          <w:rPr>
            <w:rStyle w:val="TextoNormalCaracter"/>
          </w:rPr>
          <w:t>93/2024</w:t>
        </w:r>
      </w:hyperlink>
      <w:r>
        <w:t>, f. 4.</w:t>
      </w:r>
    </w:p>
    <w:p w14:paraId="4A4F3031" w14:textId="6197576C" w:rsidR="00601EEA" w:rsidRDefault="00601EEA" w:rsidP="00601EEA">
      <w:pPr>
        <w:pStyle w:val="SangriaFrancesaArticulo"/>
      </w:pPr>
      <w:r w:rsidRPr="00601EEA">
        <w:rPr>
          <w:rStyle w:val="TextoNormalNegritaCaracter"/>
        </w:rPr>
        <w:t>Artículo 105.</w:t>
      </w:r>
      <w:r w:rsidRPr="00601EEA">
        <w:rPr>
          <w:rStyle w:val="TextoNormalCaracter"/>
        </w:rPr>
        <w:t>-</w:t>
      </w:r>
      <w:r>
        <w:t xml:space="preserve"> Sentencia </w:t>
      </w:r>
      <w:hyperlink w:anchor="SENTENCIA_2024_93" w:history="1">
        <w:r w:rsidRPr="00601EEA">
          <w:rPr>
            <w:rStyle w:val="TextoNormalCaracter"/>
          </w:rPr>
          <w:t>93/2024</w:t>
        </w:r>
      </w:hyperlink>
      <w:r>
        <w:t>, VP II.</w:t>
      </w:r>
    </w:p>
    <w:p w14:paraId="10D24B38" w14:textId="372BDF70" w:rsidR="00601EEA" w:rsidRDefault="00601EEA" w:rsidP="00601EEA">
      <w:pPr>
        <w:pStyle w:val="SangriaFrancesaArticulo"/>
      </w:pPr>
      <w:r w:rsidRPr="00601EEA">
        <w:rPr>
          <w:rStyle w:val="TextoNormalNegritaCaracter"/>
        </w:rPr>
        <w:t>Artículo 109.</w:t>
      </w:r>
      <w:r w:rsidRPr="00601EEA">
        <w:rPr>
          <w:rStyle w:val="TextoNormalCaracter"/>
        </w:rPr>
        <w:t>-</w:t>
      </w:r>
      <w:r>
        <w:t xml:space="preserve"> Sentencia </w:t>
      </w:r>
      <w:hyperlink w:anchor="SENTENCIA_2024_93" w:history="1">
        <w:r w:rsidRPr="00601EEA">
          <w:rPr>
            <w:rStyle w:val="TextoNormalCaracter"/>
          </w:rPr>
          <w:t>93/2024</w:t>
        </w:r>
      </w:hyperlink>
      <w:r>
        <w:t>, VP II.</w:t>
      </w:r>
    </w:p>
    <w:p w14:paraId="7E0431B4" w14:textId="78A0C0B7" w:rsidR="00601EEA" w:rsidRDefault="00601EEA" w:rsidP="00601EEA">
      <w:pPr>
        <w:pStyle w:val="SangriaFrancesaArticulo"/>
      </w:pPr>
      <w:r w:rsidRPr="00601EEA">
        <w:rPr>
          <w:rStyle w:val="TextoNormalNegritaCaracter"/>
        </w:rPr>
        <w:t>Artículo 111.</w:t>
      </w:r>
      <w:r w:rsidRPr="00601EEA">
        <w:rPr>
          <w:rStyle w:val="TextoNormalCaracter"/>
        </w:rPr>
        <w:t>-</w:t>
      </w:r>
      <w:r>
        <w:t xml:space="preserve"> Sentencia </w:t>
      </w:r>
      <w:hyperlink w:anchor="SENTENCIA_2024_93" w:history="1">
        <w:r w:rsidRPr="00601EEA">
          <w:rPr>
            <w:rStyle w:val="TextoNormalCaracter"/>
          </w:rPr>
          <w:t>93/2024</w:t>
        </w:r>
      </w:hyperlink>
      <w:r>
        <w:t>, VP II.</w:t>
      </w:r>
    </w:p>
    <w:p w14:paraId="6F625098" w14:textId="29BACAD6" w:rsidR="00601EEA" w:rsidRDefault="00601EEA" w:rsidP="00601EEA">
      <w:pPr>
        <w:pStyle w:val="SangriaFrancesaArticulo"/>
      </w:pPr>
    </w:p>
    <w:p w14:paraId="6390AEDA" w14:textId="77777777" w:rsidR="00601EEA" w:rsidRDefault="00601EEA" w:rsidP="00601EEA">
      <w:pPr>
        <w:pStyle w:val="TextoNormalNegritaCursivandice"/>
        <w:keepNext/>
      </w:pPr>
      <w:r>
        <w:t>Comunidad Autónoma de Andalucía. Ley 6/1985, de 28 de noviembre, de ordenación de la función pública de la Junta de Andalucía</w:t>
      </w:r>
    </w:p>
    <w:p w14:paraId="6DBA67DE" w14:textId="7A6C2497"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81" w:history="1">
        <w:r w:rsidRPr="00601EEA">
          <w:rPr>
            <w:rStyle w:val="TextoNormalCaracter"/>
          </w:rPr>
          <w:t>81/2024</w:t>
        </w:r>
      </w:hyperlink>
      <w:r>
        <w:t>, f. 4.</w:t>
      </w:r>
    </w:p>
    <w:p w14:paraId="77E8E6B5" w14:textId="02677B83" w:rsidR="00601EEA" w:rsidRDefault="00601EEA" w:rsidP="00601EEA">
      <w:pPr>
        <w:pStyle w:val="SangriaFrancesaArticulo"/>
      </w:pPr>
      <w:r w:rsidRPr="00601EEA">
        <w:rPr>
          <w:rStyle w:val="TextoNormalNegritaCaracter"/>
        </w:rPr>
        <w:t>Artículo 16.2.</w:t>
      </w:r>
      <w:r w:rsidRPr="00601EEA">
        <w:rPr>
          <w:rStyle w:val="TextoNormalCaracter"/>
        </w:rPr>
        <w:t>-</w:t>
      </w:r>
      <w:r>
        <w:t xml:space="preserve"> Sentencia </w:t>
      </w:r>
      <w:hyperlink w:anchor="SENTENCIA_2024_81" w:history="1">
        <w:r w:rsidRPr="00601EEA">
          <w:rPr>
            <w:rStyle w:val="TextoNormalCaracter"/>
          </w:rPr>
          <w:t>81/2024</w:t>
        </w:r>
      </w:hyperlink>
      <w:r>
        <w:t>, f. 4.</w:t>
      </w:r>
    </w:p>
    <w:p w14:paraId="3FCF4410" w14:textId="3ACB99E6" w:rsidR="00601EEA" w:rsidRDefault="00601EEA" w:rsidP="00601EEA">
      <w:pPr>
        <w:pStyle w:val="SangriaFrancesaArticulo"/>
      </w:pPr>
      <w:r w:rsidRPr="00601EEA">
        <w:rPr>
          <w:rStyle w:val="TextoNormalNegritaCaracter"/>
        </w:rPr>
        <w:t>Artículo 29.3.</w:t>
      </w:r>
      <w:r w:rsidRPr="00601EEA">
        <w:rPr>
          <w:rStyle w:val="TextoNormalCaracter"/>
        </w:rPr>
        <w:t>-</w:t>
      </w:r>
      <w:r>
        <w:t xml:space="preserve"> Sentencia </w:t>
      </w:r>
      <w:hyperlink w:anchor="SENTENCIA_2024_81" w:history="1">
        <w:r w:rsidRPr="00601EEA">
          <w:rPr>
            <w:rStyle w:val="TextoNormalCaracter"/>
          </w:rPr>
          <w:t>81/2024</w:t>
        </w:r>
      </w:hyperlink>
      <w:r>
        <w:t>, f. 4.</w:t>
      </w:r>
    </w:p>
    <w:p w14:paraId="4FCE599C" w14:textId="3A5090C9" w:rsidR="00601EEA" w:rsidRDefault="00601EEA" w:rsidP="00601EEA">
      <w:pPr>
        <w:pStyle w:val="SangriaFrancesaArticulo"/>
      </w:pPr>
    </w:p>
    <w:p w14:paraId="539BE100" w14:textId="77777777" w:rsidR="00601EEA" w:rsidRDefault="00601EEA" w:rsidP="00601EEA">
      <w:pPr>
        <w:pStyle w:val="TextoNormalNegritaCursivandice"/>
        <w:keepNext/>
      </w:pPr>
      <w:r>
        <w:t>Comunidad Autónoma de Andalucía. Ley 1/1994, de 11 de enero, de ordenación del territorio de la Comunidad Autónoma de Andalucía</w:t>
      </w:r>
    </w:p>
    <w:p w14:paraId="77F67F34" w14:textId="32817841"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25" w:history="1">
        <w:r w:rsidRPr="00601EEA">
          <w:rPr>
            <w:rStyle w:val="TextoNormalCaracter"/>
          </w:rPr>
          <w:t>25/2024</w:t>
        </w:r>
      </w:hyperlink>
      <w:r>
        <w:t>, f. 8.</w:t>
      </w:r>
    </w:p>
    <w:p w14:paraId="682E6E19" w14:textId="1BDA204D" w:rsidR="00601EEA" w:rsidRDefault="00601EEA" w:rsidP="00601EEA">
      <w:pPr>
        <w:pStyle w:val="SangriaFrancesaArticulo"/>
      </w:pPr>
      <w:r w:rsidRPr="00601EEA">
        <w:rPr>
          <w:rStyle w:val="TextoNormalNegritaCaracter"/>
        </w:rPr>
        <w:t>Artículo 8.4.</w:t>
      </w:r>
      <w:r w:rsidRPr="00601EEA">
        <w:rPr>
          <w:rStyle w:val="TextoNormalCaracter"/>
        </w:rPr>
        <w:t>-</w:t>
      </w:r>
      <w:r>
        <w:t xml:space="preserve"> Sentencia </w:t>
      </w:r>
      <w:hyperlink w:anchor="SENTENCIA_2024_25" w:history="1">
        <w:r w:rsidRPr="00601EEA">
          <w:rPr>
            <w:rStyle w:val="TextoNormalCaracter"/>
          </w:rPr>
          <w:t>25/2024</w:t>
        </w:r>
      </w:hyperlink>
      <w:r>
        <w:t>, f. 13.</w:t>
      </w:r>
    </w:p>
    <w:p w14:paraId="566EBD9C" w14:textId="71816C0F" w:rsidR="00601EEA" w:rsidRDefault="00601EEA" w:rsidP="00601EEA">
      <w:pPr>
        <w:pStyle w:val="SangriaFrancesaArticulo"/>
      </w:pPr>
      <w:r w:rsidRPr="00601EEA">
        <w:rPr>
          <w:rStyle w:val="TextoNormalNegritaCaracter"/>
        </w:rPr>
        <w:t>Artículo 8.5.</w:t>
      </w:r>
      <w:r w:rsidRPr="00601EEA">
        <w:rPr>
          <w:rStyle w:val="TextoNormalCaracter"/>
        </w:rPr>
        <w:t>-</w:t>
      </w:r>
      <w:r>
        <w:t xml:space="preserve"> Sentencia </w:t>
      </w:r>
      <w:hyperlink w:anchor="SENTENCIA_2024_25" w:history="1">
        <w:r w:rsidRPr="00601EEA">
          <w:rPr>
            <w:rStyle w:val="TextoNormalCaracter"/>
          </w:rPr>
          <w:t>25/2024</w:t>
        </w:r>
      </w:hyperlink>
      <w:r>
        <w:t>, f. 13.</w:t>
      </w:r>
    </w:p>
    <w:p w14:paraId="57C88950" w14:textId="4348AF02" w:rsidR="00601EEA" w:rsidRDefault="00601EEA" w:rsidP="00601EEA">
      <w:pPr>
        <w:pStyle w:val="SangriaFrancesaArticulo"/>
      </w:pPr>
    </w:p>
    <w:p w14:paraId="2F890486" w14:textId="77777777" w:rsidR="00601EEA" w:rsidRDefault="00601EEA" w:rsidP="00601EEA">
      <w:pPr>
        <w:pStyle w:val="TextoNormalNegritaCursivandice"/>
        <w:keepNext/>
      </w:pPr>
      <w:r>
        <w:t>Comunidad Autónoma de Andalucía. Ley 7/2002, de 17 de diciembre, de ordenación urbanística de Andalucía</w:t>
      </w:r>
    </w:p>
    <w:p w14:paraId="1640C249" w14:textId="299B7E5A"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25" w:history="1">
        <w:r w:rsidRPr="00601EEA">
          <w:rPr>
            <w:rStyle w:val="TextoNormalCaracter"/>
          </w:rPr>
          <w:t>25/2024</w:t>
        </w:r>
      </w:hyperlink>
      <w:r>
        <w:t>, ff. 8, 12.</w:t>
      </w:r>
    </w:p>
    <w:p w14:paraId="4769A729" w14:textId="01C5A467" w:rsidR="00601EEA" w:rsidRDefault="00601EEA" w:rsidP="00601EEA">
      <w:pPr>
        <w:pStyle w:val="SangriaFrancesaArticulo"/>
      </w:pPr>
    </w:p>
    <w:p w14:paraId="1722F6EB" w14:textId="77777777" w:rsidR="00601EEA" w:rsidRDefault="00601EEA" w:rsidP="00601EEA">
      <w:pPr>
        <w:pStyle w:val="TextoNormalNegritaCursivandice"/>
        <w:keepNext/>
      </w:pPr>
      <w:r>
        <w:t>Comunidad Autónoma de Andalucía. Ley 7/2007, de 9 de julio de gestión integrada de la calidad ambiental</w:t>
      </w:r>
    </w:p>
    <w:p w14:paraId="5C23B2B7" w14:textId="1E32F3DC"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25" w:history="1">
        <w:r w:rsidRPr="00601EEA">
          <w:rPr>
            <w:rStyle w:val="TextoNormalCaracter"/>
          </w:rPr>
          <w:t>25/2024</w:t>
        </w:r>
      </w:hyperlink>
      <w:r>
        <w:t>, f. 10.</w:t>
      </w:r>
    </w:p>
    <w:p w14:paraId="6FDA7669" w14:textId="60C762BC" w:rsidR="00601EEA" w:rsidRDefault="00601EEA" w:rsidP="00601EEA">
      <w:pPr>
        <w:pStyle w:val="SangriaFrancesaArticulo"/>
      </w:pPr>
    </w:p>
    <w:p w14:paraId="177C3ECF" w14:textId="77777777" w:rsidR="00601EEA" w:rsidRDefault="00601EEA" w:rsidP="00601EEA">
      <w:pPr>
        <w:pStyle w:val="TextoNormalNegritaCursivandice"/>
        <w:keepNext/>
      </w:pPr>
      <w:r>
        <w:t>Comunidad Autónoma de Andalucía. Decreto Legislativo 1/2010, de 2 de marzo, por el que se aprueba el texto refundido de la Ley general de la hacienda pública de la Junta de Andalucía</w:t>
      </w:r>
    </w:p>
    <w:p w14:paraId="36B83DA9" w14:textId="5B5B840E"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93" w:history="1">
        <w:r w:rsidRPr="00601EEA">
          <w:rPr>
            <w:rStyle w:val="TextoNormalCaracter"/>
          </w:rPr>
          <w:t>93/2024</w:t>
        </w:r>
      </w:hyperlink>
      <w:r>
        <w:t>, VP II.</w:t>
      </w:r>
    </w:p>
    <w:p w14:paraId="37C21CB4" w14:textId="4D2A5934" w:rsidR="00601EEA" w:rsidRDefault="00601EEA" w:rsidP="00601EEA">
      <w:pPr>
        <w:pStyle w:val="SangriaFrancesaArticulo"/>
      </w:pPr>
      <w:r w:rsidRPr="00601EEA">
        <w:rPr>
          <w:rStyle w:val="TextoNormalNegritaCaracter"/>
        </w:rPr>
        <w:t>Título II.</w:t>
      </w:r>
      <w:r w:rsidRPr="00601EEA">
        <w:rPr>
          <w:rStyle w:val="TextoNormalCaracter"/>
        </w:rPr>
        <w:t>-</w:t>
      </w:r>
      <w:r>
        <w:t xml:space="preserve"> Sentencia </w:t>
      </w:r>
      <w:hyperlink w:anchor="SENTENCIA_2024_93" w:history="1">
        <w:r w:rsidRPr="00601EEA">
          <w:rPr>
            <w:rStyle w:val="TextoNormalCaracter"/>
          </w:rPr>
          <w:t>93/2024</w:t>
        </w:r>
      </w:hyperlink>
      <w:r>
        <w:t>, VP II.</w:t>
      </w:r>
    </w:p>
    <w:p w14:paraId="70F82B53" w14:textId="7BA3034A" w:rsidR="00601EEA" w:rsidRDefault="00601EEA" w:rsidP="00601EEA">
      <w:pPr>
        <w:pStyle w:val="SangriaFrancesaArticulo"/>
      </w:pPr>
    </w:p>
    <w:p w14:paraId="6F98602F" w14:textId="77777777" w:rsidR="00601EEA" w:rsidRDefault="00601EEA" w:rsidP="00601EEA">
      <w:pPr>
        <w:pStyle w:val="TextoNormalNegritaCursivandice"/>
        <w:keepNext/>
      </w:pPr>
      <w:r>
        <w:t>Comunidad Autónoma de Andalucía. Decreto-ley 4/2012, de 16 de octubre, de medidas extraordinarias y urgentes en materia de protección sociolaboral a ex-trabajadores y ex-trabajadoras andaluces afectados por procesos de reestructuración de empresas y sectores en crisis</w:t>
      </w:r>
    </w:p>
    <w:p w14:paraId="7DF00571" w14:textId="32334597"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93" w:history="1">
        <w:r w:rsidRPr="00601EEA">
          <w:rPr>
            <w:rStyle w:val="TextoNormalCaracter"/>
          </w:rPr>
          <w:t>93/2024</w:t>
        </w:r>
      </w:hyperlink>
      <w:r>
        <w:t>, f. 2, VP I.</w:t>
      </w:r>
    </w:p>
    <w:p w14:paraId="1E4D4BCB" w14:textId="6BF5643F" w:rsidR="00601EEA" w:rsidRDefault="00601EEA" w:rsidP="00601EEA">
      <w:pPr>
        <w:pStyle w:val="SangriaFrancesaArticulo"/>
      </w:pPr>
      <w:r w:rsidRPr="00601EEA">
        <w:rPr>
          <w:rStyle w:val="TextoNormalNegritaCaracter"/>
        </w:rPr>
        <w:t>Artículo 1.</w:t>
      </w:r>
      <w:r w:rsidRPr="00601EEA">
        <w:rPr>
          <w:rStyle w:val="TextoNormalCaracter"/>
        </w:rPr>
        <w:t>-</w:t>
      </w:r>
      <w:r>
        <w:t xml:space="preserve"> Sentencia </w:t>
      </w:r>
      <w:hyperlink w:anchor="SENTENCIA_2024_93" w:history="1">
        <w:r w:rsidRPr="00601EEA">
          <w:rPr>
            <w:rStyle w:val="TextoNormalCaracter"/>
          </w:rPr>
          <w:t>93/2024</w:t>
        </w:r>
      </w:hyperlink>
      <w:r>
        <w:t>, VP I.</w:t>
      </w:r>
    </w:p>
    <w:p w14:paraId="78E34E25" w14:textId="4339DFD8" w:rsidR="00601EEA" w:rsidRDefault="00601EEA" w:rsidP="00601EEA">
      <w:pPr>
        <w:pStyle w:val="SangriaFrancesaArticulo"/>
      </w:pPr>
    </w:p>
    <w:p w14:paraId="7708FECA" w14:textId="77777777" w:rsidR="00601EEA" w:rsidRDefault="00601EEA" w:rsidP="00601EEA">
      <w:pPr>
        <w:pStyle w:val="TextoNormalNegritaCursivandice"/>
        <w:keepNext/>
      </w:pPr>
      <w:r>
        <w:t>Comunidad Autónoma de Andalucía. Decreto-ley 6/2013, de 9 de abril, de medidas para asegurar el cumplimiento de la función social de la vivienda</w:t>
      </w:r>
    </w:p>
    <w:p w14:paraId="432A0EE5" w14:textId="287D810F"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79" w:history="1">
        <w:r w:rsidRPr="00601EEA">
          <w:rPr>
            <w:rStyle w:val="TextoNormalCaracter"/>
          </w:rPr>
          <w:t>79/2024</w:t>
        </w:r>
      </w:hyperlink>
      <w:r>
        <w:t>, f. 3.</w:t>
      </w:r>
    </w:p>
    <w:p w14:paraId="0A2681BD" w14:textId="215B35C2" w:rsidR="00601EEA" w:rsidRDefault="00601EEA" w:rsidP="00601EEA">
      <w:pPr>
        <w:pStyle w:val="SangriaFrancesaArticulo"/>
      </w:pPr>
    </w:p>
    <w:p w14:paraId="2F35137F" w14:textId="77777777" w:rsidR="00601EEA" w:rsidRDefault="00601EEA" w:rsidP="00601EEA">
      <w:pPr>
        <w:pStyle w:val="TextoNormalNegritaCursivandice"/>
        <w:keepNext/>
      </w:pPr>
      <w:r>
        <w:t>Comunidad Autónoma de Andalucía. Ley 4/2013, de 1 de octubre, de medidas para asegurar el cumplimiento de la función social de la vivienda</w:t>
      </w:r>
    </w:p>
    <w:p w14:paraId="21A5DF00" w14:textId="778D9F50"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79" w:history="1">
        <w:r w:rsidRPr="00601EEA">
          <w:rPr>
            <w:rStyle w:val="TextoNormalCaracter"/>
          </w:rPr>
          <w:t>79/2024</w:t>
        </w:r>
      </w:hyperlink>
      <w:r>
        <w:t>, f. 3.</w:t>
      </w:r>
    </w:p>
    <w:p w14:paraId="6AB88194" w14:textId="7C213973" w:rsidR="00601EEA" w:rsidRDefault="00601EEA" w:rsidP="00601EEA">
      <w:pPr>
        <w:pStyle w:val="SangriaFrancesaArticulo"/>
      </w:pPr>
    </w:p>
    <w:p w14:paraId="08432A5D" w14:textId="77777777" w:rsidR="00601EEA" w:rsidRDefault="00601EEA" w:rsidP="00601EEA">
      <w:pPr>
        <w:pStyle w:val="TextoNormalNegritaCursivandice"/>
        <w:keepNext/>
      </w:pPr>
      <w:r>
        <w:t>Comunidad Autónoma de Andalucía. Decreto-ley 4/2019, de 10 de diciembre, para el fomento de iniciativas económicas mediante la agilización y simplificación administrativas en la tramitación de proyectos y su declaración de interés estratégico para Andalucía, para la creación de una unidad aceleradora de pro</w:t>
      </w:r>
      <w:r>
        <w:lastRenderedPageBreak/>
        <w:t>yectos de interés estratégico y por el que se modifica la Ley 1/1994, de 11 de enero, de ordenación del territorio de la Comunidad Autónoma de Andalucía, y la Ley 7/2002, de 17 de diciembre, de ordenación urbanística de Andalucía</w:t>
      </w:r>
    </w:p>
    <w:p w14:paraId="463DAA78" w14:textId="0AA87E1E" w:rsidR="00601EEA" w:rsidRDefault="00601EEA" w:rsidP="00601EEA">
      <w:pPr>
        <w:pStyle w:val="SangriaFrancesaArticulo"/>
      </w:pPr>
      <w:r w:rsidRPr="00601EEA">
        <w:rPr>
          <w:rStyle w:val="TextoNormalNegritaCaracter"/>
        </w:rPr>
        <w:t>Artículo 3.</w:t>
      </w:r>
      <w:r w:rsidRPr="00601EEA">
        <w:rPr>
          <w:rStyle w:val="TextoNormalCaracter"/>
        </w:rPr>
        <w:t>-</w:t>
      </w:r>
      <w:r>
        <w:t xml:space="preserve"> Sentencia </w:t>
      </w:r>
      <w:hyperlink w:anchor="SENTENCIA_2024_25" w:history="1">
        <w:r w:rsidRPr="00601EEA">
          <w:rPr>
            <w:rStyle w:val="TextoNormalCaracter"/>
          </w:rPr>
          <w:t>25/2024</w:t>
        </w:r>
      </w:hyperlink>
      <w:r>
        <w:t>, f. 8.</w:t>
      </w:r>
    </w:p>
    <w:p w14:paraId="79CDD048" w14:textId="14456B9A" w:rsidR="00601EEA" w:rsidRDefault="00601EEA" w:rsidP="00601EEA">
      <w:pPr>
        <w:pStyle w:val="SangriaFrancesaArticulo"/>
      </w:pPr>
    </w:p>
    <w:p w14:paraId="488002B6" w14:textId="77777777" w:rsidR="00601EEA" w:rsidRDefault="00601EEA" w:rsidP="00601EEA">
      <w:pPr>
        <w:pStyle w:val="TextoNormalNegritaCursivandice"/>
        <w:keepNext/>
      </w:pPr>
      <w:r>
        <w:t>Comunidad Autónoma de Andalucía. Ley 7/2021, de 1 de diciembre, de impulso para la sostenibilidad del territorio de Andalucía</w:t>
      </w:r>
    </w:p>
    <w:p w14:paraId="7AA4B6B5" w14:textId="59AD60C4"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25" w:history="1">
        <w:r w:rsidRPr="00601EEA">
          <w:rPr>
            <w:rStyle w:val="TextoNormalCaracter"/>
          </w:rPr>
          <w:t>25/2024</w:t>
        </w:r>
      </w:hyperlink>
      <w:r>
        <w:t>, ff. 1 a 4, 8, 12, 13.</w:t>
      </w:r>
    </w:p>
    <w:p w14:paraId="1353A382" w14:textId="02EC6A67" w:rsidR="00601EEA" w:rsidRDefault="00601EEA" w:rsidP="00601EEA">
      <w:pPr>
        <w:pStyle w:val="SangriaFrancesaArticulo"/>
      </w:pPr>
      <w:r w:rsidRPr="00601EEA">
        <w:rPr>
          <w:rStyle w:val="TextoNormalNegritaCaracter"/>
        </w:rPr>
        <w:t>Título I.</w:t>
      </w:r>
      <w:r w:rsidRPr="00601EEA">
        <w:rPr>
          <w:rStyle w:val="TextoNormalCaracter"/>
        </w:rPr>
        <w:t>-</w:t>
      </w:r>
      <w:r>
        <w:t xml:space="preserve"> Sentencia </w:t>
      </w:r>
      <w:hyperlink w:anchor="SENTENCIA_2024_25" w:history="1">
        <w:r w:rsidRPr="00601EEA">
          <w:rPr>
            <w:rStyle w:val="TextoNormalCaracter"/>
          </w:rPr>
          <w:t>25/2024</w:t>
        </w:r>
      </w:hyperlink>
      <w:r>
        <w:t>, f. 5.</w:t>
      </w:r>
    </w:p>
    <w:p w14:paraId="6746608D" w14:textId="6F4DD051" w:rsidR="00601EEA" w:rsidRDefault="00601EEA" w:rsidP="00601EEA">
      <w:pPr>
        <w:pStyle w:val="SangriaFrancesaArticulo"/>
      </w:pPr>
      <w:r w:rsidRPr="00601EEA">
        <w:rPr>
          <w:rStyle w:val="TextoNormalNegritaCaracter"/>
        </w:rPr>
        <w:t>Título I, capítulo III.</w:t>
      </w:r>
      <w:r w:rsidRPr="00601EEA">
        <w:rPr>
          <w:rStyle w:val="TextoNormalCaracter"/>
        </w:rPr>
        <w:t>-</w:t>
      </w:r>
      <w:r>
        <w:t xml:space="preserve"> Sentencia </w:t>
      </w:r>
      <w:hyperlink w:anchor="SENTENCIA_2024_25" w:history="1">
        <w:r w:rsidRPr="00601EEA">
          <w:rPr>
            <w:rStyle w:val="TextoNormalCaracter"/>
          </w:rPr>
          <w:t>25/2024</w:t>
        </w:r>
      </w:hyperlink>
      <w:r>
        <w:t>, f. 7.</w:t>
      </w:r>
    </w:p>
    <w:p w14:paraId="4CE5C268" w14:textId="511A9DD8" w:rsidR="00601EEA" w:rsidRDefault="00601EEA" w:rsidP="00601EEA">
      <w:pPr>
        <w:pStyle w:val="SangriaFrancesaArticulo"/>
      </w:pPr>
      <w:r w:rsidRPr="00601EEA">
        <w:rPr>
          <w:rStyle w:val="TextoNormalNegritaCaracter"/>
        </w:rPr>
        <w:t>Título III.</w:t>
      </w:r>
      <w:r w:rsidRPr="00601EEA">
        <w:rPr>
          <w:rStyle w:val="TextoNormalCaracter"/>
        </w:rPr>
        <w:t>-</w:t>
      </w:r>
      <w:r>
        <w:t xml:space="preserve"> Sentencia </w:t>
      </w:r>
      <w:hyperlink w:anchor="SENTENCIA_2024_25" w:history="1">
        <w:r w:rsidRPr="00601EEA">
          <w:rPr>
            <w:rStyle w:val="TextoNormalCaracter"/>
          </w:rPr>
          <w:t>25/2024</w:t>
        </w:r>
      </w:hyperlink>
      <w:r>
        <w:t>, f. 8.</w:t>
      </w:r>
    </w:p>
    <w:p w14:paraId="7DBFCB3A" w14:textId="48C33C8F" w:rsidR="00601EEA" w:rsidRDefault="00601EEA" w:rsidP="00601EEA">
      <w:pPr>
        <w:pStyle w:val="SangriaFrancesaArticulo"/>
      </w:pPr>
      <w:r w:rsidRPr="00601EEA">
        <w:rPr>
          <w:rStyle w:val="TextoNormalNegritaCaracter"/>
        </w:rPr>
        <w:t>Título VII, capítulo III.</w:t>
      </w:r>
      <w:r w:rsidRPr="00601EEA">
        <w:rPr>
          <w:rStyle w:val="TextoNormalCaracter"/>
        </w:rPr>
        <w:t>-</w:t>
      </w:r>
      <w:r>
        <w:t xml:space="preserve"> Sentencia </w:t>
      </w:r>
      <w:hyperlink w:anchor="SENTENCIA_2024_25" w:history="1">
        <w:r w:rsidRPr="00601EEA">
          <w:rPr>
            <w:rStyle w:val="TextoNormalCaracter"/>
          </w:rPr>
          <w:t>25/2024</w:t>
        </w:r>
      </w:hyperlink>
      <w:r>
        <w:t>, f. 11.</w:t>
      </w:r>
    </w:p>
    <w:p w14:paraId="361B5E53" w14:textId="55127A75" w:rsidR="00601EEA" w:rsidRDefault="00601EEA" w:rsidP="00601EEA">
      <w:pPr>
        <w:pStyle w:val="SangriaFrancesaArticulo"/>
      </w:pPr>
      <w:r w:rsidRPr="00601EEA">
        <w:rPr>
          <w:rStyle w:val="TextoNormalNegritaCaracter"/>
        </w:rPr>
        <w:t>Exposición de motivos.</w:t>
      </w:r>
      <w:r w:rsidRPr="00601EEA">
        <w:rPr>
          <w:rStyle w:val="TextoNormalCaracter"/>
        </w:rPr>
        <w:t>-</w:t>
      </w:r>
      <w:r>
        <w:t xml:space="preserve"> Sentencia </w:t>
      </w:r>
      <w:hyperlink w:anchor="SENTENCIA_2024_25" w:history="1">
        <w:r w:rsidRPr="00601EEA">
          <w:rPr>
            <w:rStyle w:val="TextoNormalCaracter"/>
          </w:rPr>
          <w:t>25/2024</w:t>
        </w:r>
      </w:hyperlink>
      <w:r>
        <w:t>, f. 4.</w:t>
      </w:r>
    </w:p>
    <w:p w14:paraId="4E9EAF7E" w14:textId="720CF8F7" w:rsidR="00601EEA" w:rsidRDefault="00601EEA" w:rsidP="00601EEA">
      <w:pPr>
        <w:pStyle w:val="SangriaFrancesaArticulo"/>
      </w:pPr>
      <w:r w:rsidRPr="00601EEA">
        <w:rPr>
          <w:rStyle w:val="TextoNormalNegritaCaracter"/>
        </w:rPr>
        <w:t>Artículo 2.</w:t>
      </w:r>
      <w:r w:rsidRPr="00601EEA">
        <w:rPr>
          <w:rStyle w:val="TextoNormalCaracter"/>
        </w:rPr>
        <w:t>-</w:t>
      </w:r>
      <w:r>
        <w:t xml:space="preserve"> Sentencia </w:t>
      </w:r>
      <w:hyperlink w:anchor="SENTENCIA_2024_25" w:history="1">
        <w:r w:rsidRPr="00601EEA">
          <w:rPr>
            <w:rStyle w:val="TextoNormalCaracter"/>
          </w:rPr>
          <w:t>25/2024</w:t>
        </w:r>
      </w:hyperlink>
      <w:r>
        <w:t>, f. 8.</w:t>
      </w:r>
    </w:p>
    <w:p w14:paraId="274A7183" w14:textId="3D34C26C" w:rsidR="00601EEA" w:rsidRDefault="00601EEA" w:rsidP="00601EEA">
      <w:pPr>
        <w:pStyle w:val="SangriaFrancesaArticulo"/>
      </w:pPr>
      <w:r w:rsidRPr="00601EEA">
        <w:rPr>
          <w:rStyle w:val="TextoNormalNegritaCaracter"/>
        </w:rPr>
        <w:t>Artículo 2.1.</w:t>
      </w:r>
      <w:r w:rsidRPr="00601EEA">
        <w:rPr>
          <w:rStyle w:val="TextoNormalCaracter"/>
        </w:rPr>
        <w:t>-</w:t>
      </w:r>
      <w:r>
        <w:t xml:space="preserve"> Sentencia </w:t>
      </w:r>
      <w:hyperlink w:anchor="SENTENCIA_2024_25" w:history="1">
        <w:r w:rsidRPr="00601EEA">
          <w:rPr>
            <w:rStyle w:val="TextoNormalCaracter"/>
          </w:rPr>
          <w:t>25/2024</w:t>
        </w:r>
      </w:hyperlink>
      <w:r>
        <w:t>, f. 8.</w:t>
      </w:r>
    </w:p>
    <w:p w14:paraId="4310E8B0" w14:textId="088D7ADB" w:rsidR="00601EEA" w:rsidRDefault="00601EEA" w:rsidP="00601EEA">
      <w:pPr>
        <w:pStyle w:val="SangriaFrancesaArticulo"/>
      </w:pPr>
      <w:r w:rsidRPr="00601EEA">
        <w:rPr>
          <w:rStyle w:val="TextoNormalNegritaCaracter"/>
        </w:rPr>
        <w:t>Artículo 6.2.</w:t>
      </w:r>
      <w:r w:rsidRPr="00601EEA">
        <w:rPr>
          <w:rStyle w:val="TextoNormalCaracter"/>
        </w:rPr>
        <w:t>-</w:t>
      </w:r>
      <w:r>
        <w:t xml:space="preserve"> Sentencia </w:t>
      </w:r>
      <w:hyperlink w:anchor="SENTENCIA_2024_25" w:history="1">
        <w:r w:rsidRPr="00601EEA">
          <w:rPr>
            <w:rStyle w:val="TextoNormalCaracter"/>
          </w:rPr>
          <w:t>25/2024</w:t>
        </w:r>
      </w:hyperlink>
      <w:r>
        <w:t>, f. 7.</w:t>
      </w:r>
    </w:p>
    <w:p w14:paraId="3647EED1" w14:textId="483A3DBC" w:rsidR="00601EEA" w:rsidRDefault="00601EEA" w:rsidP="00601EEA">
      <w:pPr>
        <w:pStyle w:val="SangriaFrancesaArticulo"/>
      </w:pPr>
      <w:r w:rsidRPr="00601EEA">
        <w:rPr>
          <w:rStyle w:val="TextoNormalNegritaCaracter"/>
        </w:rPr>
        <w:t>Artículo 6.2 b).</w:t>
      </w:r>
      <w:r w:rsidRPr="00601EEA">
        <w:rPr>
          <w:rStyle w:val="TextoNormalCaracter"/>
        </w:rPr>
        <w:t>-</w:t>
      </w:r>
      <w:r>
        <w:t xml:space="preserve"> Sentencia </w:t>
      </w:r>
      <w:hyperlink w:anchor="SENTENCIA_2024_25" w:history="1">
        <w:r w:rsidRPr="00601EEA">
          <w:rPr>
            <w:rStyle w:val="TextoNormalCaracter"/>
          </w:rPr>
          <w:t>25/2024</w:t>
        </w:r>
      </w:hyperlink>
      <w:r>
        <w:t>, ff. 6, 7.</w:t>
      </w:r>
    </w:p>
    <w:p w14:paraId="6F9393D1" w14:textId="45030D6A" w:rsidR="00601EEA" w:rsidRDefault="00601EEA" w:rsidP="00601EEA">
      <w:pPr>
        <w:pStyle w:val="SangriaFrancesaArticulo"/>
      </w:pPr>
      <w:r w:rsidRPr="00601EEA">
        <w:rPr>
          <w:rStyle w:val="TextoNormalNegritaCaracter"/>
        </w:rPr>
        <w:t>Artículo 9.3 b).</w:t>
      </w:r>
      <w:r w:rsidRPr="00601EEA">
        <w:rPr>
          <w:rStyle w:val="TextoNormalCaracter"/>
        </w:rPr>
        <w:t>-</w:t>
      </w:r>
      <w:r>
        <w:t xml:space="preserve"> Sentencia </w:t>
      </w:r>
      <w:hyperlink w:anchor="SENTENCIA_2024_25" w:history="1">
        <w:r w:rsidRPr="00601EEA">
          <w:rPr>
            <w:rStyle w:val="TextoNormalCaracter"/>
          </w:rPr>
          <w:t>25/2024</w:t>
        </w:r>
      </w:hyperlink>
      <w:r>
        <w:t>, f. 8.</w:t>
      </w:r>
    </w:p>
    <w:p w14:paraId="0477E83E" w14:textId="33F53508" w:rsidR="00601EEA" w:rsidRDefault="00601EEA" w:rsidP="00601EEA">
      <w:pPr>
        <w:pStyle w:val="SangriaFrancesaArticulo"/>
      </w:pPr>
      <w:r w:rsidRPr="00601EEA">
        <w:rPr>
          <w:rStyle w:val="TextoNormalNegritaCaracter"/>
        </w:rPr>
        <w:t>Artículo 12.</w:t>
      </w:r>
      <w:r w:rsidRPr="00601EEA">
        <w:rPr>
          <w:rStyle w:val="TextoNormalCaracter"/>
        </w:rPr>
        <w:t>-</w:t>
      </w:r>
      <w:r>
        <w:t xml:space="preserve"> Sentencia </w:t>
      </w:r>
      <w:hyperlink w:anchor="SENTENCIA_2024_25" w:history="1">
        <w:r w:rsidRPr="00601EEA">
          <w:rPr>
            <w:rStyle w:val="TextoNormalCaracter"/>
          </w:rPr>
          <w:t>25/2024</w:t>
        </w:r>
      </w:hyperlink>
      <w:r>
        <w:t>, f. 5.</w:t>
      </w:r>
    </w:p>
    <w:p w14:paraId="3CF70BCC" w14:textId="2377F636" w:rsidR="00601EEA" w:rsidRDefault="00601EEA" w:rsidP="00601EEA">
      <w:pPr>
        <w:pStyle w:val="SangriaFrancesaArticulo"/>
      </w:pPr>
      <w:r w:rsidRPr="00601EEA">
        <w:rPr>
          <w:rStyle w:val="TextoNormalNegritaCaracter"/>
        </w:rPr>
        <w:t>Artículo 13.</w:t>
      </w:r>
      <w:r w:rsidRPr="00601EEA">
        <w:rPr>
          <w:rStyle w:val="TextoNormalCaracter"/>
        </w:rPr>
        <w:t>-</w:t>
      </w:r>
      <w:r>
        <w:t xml:space="preserve"> Sentencia </w:t>
      </w:r>
      <w:hyperlink w:anchor="SENTENCIA_2024_25" w:history="1">
        <w:r w:rsidRPr="00601EEA">
          <w:rPr>
            <w:rStyle w:val="TextoNormalCaracter"/>
          </w:rPr>
          <w:t>25/2024</w:t>
        </w:r>
      </w:hyperlink>
      <w:r>
        <w:t>, f. 13.</w:t>
      </w:r>
    </w:p>
    <w:p w14:paraId="5A7C64B8" w14:textId="4425F441" w:rsidR="00601EEA" w:rsidRDefault="00601EEA" w:rsidP="00601EEA">
      <w:pPr>
        <w:pStyle w:val="SangriaFrancesaArticulo"/>
      </w:pPr>
      <w:r w:rsidRPr="00601EEA">
        <w:rPr>
          <w:rStyle w:val="TextoNormalNegritaCaracter"/>
        </w:rPr>
        <w:t>Artículo 14.1 a).</w:t>
      </w:r>
      <w:r w:rsidRPr="00601EEA">
        <w:rPr>
          <w:rStyle w:val="TextoNormalCaracter"/>
        </w:rPr>
        <w:t>-</w:t>
      </w:r>
      <w:r>
        <w:t xml:space="preserve"> Sentencia </w:t>
      </w:r>
      <w:hyperlink w:anchor="SENTENCIA_2024_25" w:history="1">
        <w:r w:rsidRPr="00601EEA">
          <w:rPr>
            <w:rStyle w:val="TextoNormalCaracter"/>
          </w:rPr>
          <w:t>25/2024</w:t>
        </w:r>
      </w:hyperlink>
      <w:r>
        <w:t>, ff. 5, 6.</w:t>
      </w:r>
    </w:p>
    <w:p w14:paraId="26D2F421" w14:textId="0DA08FE8" w:rsidR="00601EEA" w:rsidRDefault="00601EEA" w:rsidP="00601EEA">
      <w:pPr>
        <w:pStyle w:val="SangriaFrancesaArticulo"/>
      </w:pPr>
      <w:r w:rsidRPr="00601EEA">
        <w:rPr>
          <w:rStyle w:val="TextoNormalNegritaCaracter"/>
        </w:rPr>
        <w:t>Artículo 14.1 b).</w:t>
      </w:r>
      <w:r w:rsidRPr="00601EEA">
        <w:rPr>
          <w:rStyle w:val="TextoNormalCaracter"/>
        </w:rPr>
        <w:t>-</w:t>
      </w:r>
      <w:r>
        <w:t xml:space="preserve"> Sentencia </w:t>
      </w:r>
      <w:hyperlink w:anchor="SENTENCIA_2024_25" w:history="1">
        <w:r w:rsidRPr="00601EEA">
          <w:rPr>
            <w:rStyle w:val="TextoNormalCaracter"/>
          </w:rPr>
          <w:t>25/2024</w:t>
        </w:r>
      </w:hyperlink>
      <w:r>
        <w:t>, ff. 6, 11.</w:t>
      </w:r>
    </w:p>
    <w:p w14:paraId="0D873C3C" w14:textId="06BD87A1" w:rsidR="00601EEA" w:rsidRDefault="00601EEA" w:rsidP="00601EEA">
      <w:pPr>
        <w:pStyle w:val="SangriaFrancesaArticulo"/>
      </w:pPr>
      <w:r w:rsidRPr="00601EEA">
        <w:rPr>
          <w:rStyle w:val="TextoNormalNegritaCaracter"/>
        </w:rPr>
        <w:t>Artículo 14.1 c).</w:t>
      </w:r>
      <w:r w:rsidRPr="00601EEA">
        <w:rPr>
          <w:rStyle w:val="TextoNormalCaracter"/>
        </w:rPr>
        <w:t>-</w:t>
      </w:r>
      <w:r>
        <w:t xml:space="preserve"> Sentencia </w:t>
      </w:r>
      <w:hyperlink w:anchor="SENTENCIA_2024_25" w:history="1">
        <w:r w:rsidRPr="00601EEA">
          <w:rPr>
            <w:rStyle w:val="TextoNormalCaracter"/>
          </w:rPr>
          <w:t>25/2024</w:t>
        </w:r>
      </w:hyperlink>
      <w:r>
        <w:t>, f. 6.</w:t>
      </w:r>
    </w:p>
    <w:p w14:paraId="7875057B" w14:textId="5E1D1648" w:rsidR="00601EEA" w:rsidRDefault="00601EEA" w:rsidP="00601EEA">
      <w:pPr>
        <w:pStyle w:val="SangriaFrancesaArticulo"/>
      </w:pPr>
      <w:r w:rsidRPr="00601EEA">
        <w:rPr>
          <w:rStyle w:val="TextoNormalNegritaCaracter"/>
        </w:rPr>
        <w:t>Artículo 14.1 d).</w:t>
      </w:r>
      <w:r w:rsidRPr="00601EEA">
        <w:rPr>
          <w:rStyle w:val="TextoNormalCaracter"/>
        </w:rPr>
        <w:t>-</w:t>
      </w:r>
      <w:r>
        <w:t xml:space="preserve"> Sentencia </w:t>
      </w:r>
      <w:hyperlink w:anchor="SENTENCIA_2024_25" w:history="1">
        <w:r w:rsidRPr="00601EEA">
          <w:rPr>
            <w:rStyle w:val="TextoNormalCaracter"/>
          </w:rPr>
          <w:t>25/2024</w:t>
        </w:r>
      </w:hyperlink>
      <w:r>
        <w:t>, f. 6.</w:t>
      </w:r>
    </w:p>
    <w:p w14:paraId="02FFC146" w14:textId="36D9F779" w:rsidR="00601EEA" w:rsidRDefault="00601EEA" w:rsidP="00601EEA">
      <w:pPr>
        <w:pStyle w:val="SangriaFrancesaArticulo"/>
      </w:pPr>
      <w:r w:rsidRPr="00601EEA">
        <w:rPr>
          <w:rStyle w:val="TextoNormalNegritaCaracter"/>
        </w:rPr>
        <w:t>Artículo 14.2.</w:t>
      </w:r>
      <w:r w:rsidRPr="00601EEA">
        <w:rPr>
          <w:rStyle w:val="TextoNormalCaracter"/>
        </w:rPr>
        <w:t>-</w:t>
      </w:r>
      <w:r>
        <w:t xml:space="preserve"> Sentencia </w:t>
      </w:r>
      <w:hyperlink w:anchor="SENTENCIA_2024_25" w:history="1">
        <w:r w:rsidRPr="00601EEA">
          <w:rPr>
            <w:rStyle w:val="TextoNormalCaracter"/>
          </w:rPr>
          <w:t>25/2024</w:t>
        </w:r>
      </w:hyperlink>
      <w:r>
        <w:t>, f. 12.</w:t>
      </w:r>
    </w:p>
    <w:p w14:paraId="1A8C7F60" w14:textId="36051301" w:rsidR="00601EEA" w:rsidRDefault="00601EEA" w:rsidP="00601EEA">
      <w:pPr>
        <w:pStyle w:val="SangriaFrancesaArticulo"/>
      </w:pPr>
      <w:r w:rsidRPr="00601EEA">
        <w:rPr>
          <w:rStyle w:val="TextoNormalNegritaCaracter"/>
        </w:rPr>
        <w:t>Artículo 15.1.</w:t>
      </w:r>
      <w:r w:rsidRPr="00601EEA">
        <w:rPr>
          <w:rStyle w:val="TextoNormalCaracter"/>
        </w:rPr>
        <w:t>-</w:t>
      </w:r>
      <w:r>
        <w:t xml:space="preserve"> Sentencia </w:t>
      </w:r>
      <w:hyperlink w:anchor="SENTENCIA_2024_25" w:history="1">
        <w:r w:rsidRPr="00601EEA">
          <w:rPr>
            <w:rStyle w:val="TextoNormalCaracter"/>
          </w:rPr>
          <w:t>25/2024</w:t>
        </w:r>
      </w:hyperlink>
      <w:r>
        <w:t>, f. 5.</w:t>
      </w:r>
    </w:p>
    <w:p w14:paraId="4484F274" w14:textId="7FC60981" w:rsidR="00601EEA" w:rsidRDefault="00601EEA" w:rsidP="00601EEA">
      <w:pPr>
        <w:pStyle w:val="SangriaFrancesaArticulo"/>
      </w:pPr>
      <w:r w:rsidRPr="00601EEA">
        <w:rPr>
          <w:rStyle w:val="TextoNormalNegritaCaracter"/>
        </w:rPr>
        <w:t>Artículo 19.</w:t>
      </w:r>
      <w:r w:rsidRPr="00601EEA">
        <w:rPr>
          <w:rStyle w:val="TextoNormalCaracter"/>
        </w:rPr>
        <w:t>-</w:t>
      </w:r>
      <w:r>
        <w:t xml:space="preserve"> Sentencia </w:t>
      </w:r>
      <w:hyperlink w:anchor="SENTENCIA_2024_25" w:history="1">
        <w:r w:rsidRPr="00601EEA">
          <w:rPr>
            <w:rStyle w:val="TextoNormalCaracter"/>
          </w:rPr>
          <w:t>25/2024</w:t>
        </w:r>
      </w:hyperlink>
      <w:r>
        <w:t>, f. 6.</w:t>
      </w:r>
    </w:p>
    <w:p w14:paraId="6A87BDE3" w14:textId="3536379D" w:rsidR="00601EEA" w:rsidRDefault="00601EEA" w:rsidP="00601EEA">
      <w:pPr>
        <w:pStyle w:val="SangriaFrancesaArticulo"/>
      </w:pPr>
      <w:r w:rsidRPr="00601EEA">
        <w:rPr>
          <w:rStyle w:val="TextoNormalNegritaCaracter"/>
        </w:rPr>
        <w:t>Artículo 19.1 a).</w:t>
      </w:r>
      <w:r w:rsidRPr="00601EEA">
        <w:rPr>
          <w:rStyle w:val="TextoNormalCaracter"/>
        </w:rPr>
        <w:t>-</w:t>
      </w:r>
      <w:r>
        <w:t xml:space="preserve"> Sentencia </w:t>
      </w:r>
      <w:hyperlink w:anchor="SENTENCIA_2024_25" w:history="1">
        <w:r w:rsidRPr="00601EEA">
          <w:rPr>
            <w:rStyle w:val="TextoNormalCaracter"/>
          </w:rPr>
          <w:t>25/2024</w:t>
        </w:r>
      </w:hyperlink>
      <w:r>
        <w:t>, ff. 1, 5, 7.</w:t>
      </w:r>
    </w:p>
    <w:p w14:paraId="635678ED" w14:textId="23DA3755" w:rsidR="00601EEA" w:rsidRDefault="00601EEA" w:rsidP="00601EEA">
      <w:pPr>
        <w:pStyle w:val="SangriaFrancesaArticulo"/>
      </w:pPr>
      <w:r w:rsidRPr="00601EEA">
        <w:rPr>
          <w:rStyle w:val="TextoNormalNegritaCaracter"/>
        </w:rPr>
        <w:t>Artículo 19.3.</w:t>
      </w:r>
      <w:r w:rsidRPr="00601EEA">
        <w:rPr>
          <w:rStyle w:val="TextoNormalCaracter"/>
        </w:rPr>
        <w:t>-</w:t>
      </w:r>
      <w:r>
        <w:t xml:space="preserve"> Sentencia </w:t>
      </w:r>
      <w:hyperlink w:anchor="SENTENCIA_2024_25" w:history="1">
        <w:r w:rsidRPr="00601EEA">
          <w:rPr>
            <w:rStyle w:val="TextoNormalCaracter"/>
          </w:rPr>
          <w:t>25/2024</w:t>
        </w:r>
      </w:hyperlink>
      <w:r>
        <w:t>, ff. 5, 7.</w:t>
      </w:r>
    </w:p>
    <w:p w14:paraId="5E99604D" w14:textId="12C35B4E" w:rsidR="00601EEA" w:rsidRDefault="00601EEA" w:rsidP="00601EEA">
      <w:pPr>
        <w:pStyle w:val="SangriaFrancesaArticulo"/>
      </w:pPr>
      <w:r w:rsidRPr="00601EEA">
        <w:rPr>
          <w:rStyle w:val="TextoNormalNegritaCaracter"/>
        </w:rPr>
        <w:t>Artículo 20.</w:t>
      </w:r>
      <w:r w:rsidRPr="00601EEA">
        <w:rPr>
          <w:rStyle w:val="TextoNormalCaracter"/>
        </w:rPr>
        <w:t>-</w:t>
      </w:r>
      <w:r>
        <w:t xml:space="preserve"> Sentencia </w:t>
      </w:r>
      <w:hyperlink w:anchor="SENTENCIA_2024_25" w:history="1">
        <w:r w:rsidRPr="00601EEA">
          <w:rPr>
            <w:rStyle w:val="TextoNormalCaracter"/>
          </w:rPr>
          <w:t>25/2024</w:t>
        </w:r>
      </w:hyperlink>
      <w:r>
        <w:t>, f. 6.</w:t>
      </w:r>
    </w:p>
    <w:p w14:paraId="754EED4F" w14:textId="31A7B81A" w:rsidR="00601EEA" w:rsidRDefault="00601EEA" w:rsidP="00601EEA">
      <w:pPr>
        <w:pStyle w:val="SangriaFrancesaArticulo"/>
      </w:pPr>
      <w:r w:rsidRPr="00601EEA">
        <w:rPr>
          <w:rStyle w:val="TextoNormalNegritaCaracter"/>
        </w:rPr>
        <w:t>Artículo 20 a).</w:t>
      </w:r>
      <w:r w:rsidRPr="00601EEA">
        <w:rPr>
          <w:rStyle w:val="TextoNormalCaracter"/>
        </w:rPr>
        <w:t>-</w:t>
      </w:r>
      <w:r>
        <w:t xml:space="preserve"> Sentencia </w:t>
      </w:r>
      <w:hyperlink w:anchor="SENTENCIA_2024_25" w:history="1">
        <w:r w:rsidRPr="00601EEA">
          <w:rPr>
            <w:rStyle w:val="TextoNormalCaracter"/>
          </w:rPr>
          <w:t>25/2024</w:t>
        </w:r>
      </w:hyperlink>
      <w:r>
        <w:t>, f. 5.</w:t>
      </w:r>
    </w:p>
    <w:p w14:paraId="76273F45" w14:textId="658B60A9" w:rsidR="00601EEA" w:rsidRDefault="00601EEA" w:rsidP="00601EEA">
      <w:pPr>
        <w:pStyle w:val="SangriaFrancesaArticulo"/>
      </w:pPr>
      <w:r w:rsidRPr="00601EEA">
        <w:rPr>
          <w:rStyle w:val="TextoNormalNegritaCaracter"/>
        </w:rPr>
        <w:t>Artículo 20 b).</w:t>
      </w:r>
      <w:r w:rsidRPr="00601EEA">
        <w:rPr>
          <w:rStyle w:val="TextoNormalCaracter"/>
        </w:rPr>
        <w:t>-</w:t>
      </w:r>
      <w:r>
        <w:t xml:space="preserve"> Sentencia </w:t>
      </w:r>
      <w:hyperlink w:anchor="SENTENCIA_2024_25" w:history="1">
        <w:r w:rsidRPr="00601EEA">
          <w:rPr>
            <w:rStyle w:val="TextoNormalCaracter"/>
          </w:rPr>
          <w:t>25/2024</w:t>
        </w:r>
      </w:hyperlink>
      <w:r>
        <w:t>, f. 7.</w:t>
      </w:r>
    </w:p>
    <w:p w14:paraId="3C1C14E3" w14:textId="2991261C" w:rsidR="00601EEA" w:rsidRDefault="00601EEA" w:rsidP="00601EEA">
      <w:pPr>
        <w:pStyle w:val="SangriaFrancesaArticulo"/>
      </w:pPr>
      <w:r w:rsidRPr="00601EEA">
        <w:rPr>
          <w:rStyle w:val="TextoNormalNegritaCaracter"/>
        </w:rPr>
        <w:t>Artículo 21.</w:t>
      </w:r>
      <w:r w:rsidRPr="00601EEA">
        <w:rPr>
          <w:rStyle w:val="TextoNormalCaracter"/>
        </w:rPr>
        <w:t>-</w:t>
      </w:r>
      <w:r>
        <w:t xml:space="preserve"> Sentencia </w:t>
      </w:r>
      <w:hyperlink w:anchor="SENTENCIA_2024_25" w:history="1">
        <w:r w:rsidRPr="00601EEA">
          <w:rPr>
            <w:rStyle w:val="TextoNormalCaracter"/>
          </w:rPr>
          <w:t>25/2024</w:t>
        </w:r>
      </w:hyperlink>
      <w:r>
        <w:t>, f. 6.</w:t>
      </w:r>
    </w:p>
    <w:p w14:paraId="22671B4D" w14:textId="38A24EDA" w:rsidR="00601EEA" w:rsidRDefault="00601EEA" w:rsidP="00601EEA">
      <w:pPr>
        <w:pStyle w:val="SangriaFrancesaArticulo"/>
      </w:pPr>
      <w:r w:rsidRPr="00601EEA">
        <w:rPr>
          <w:rStyle w:val="TextoNormalNegritaCaracter"/>
        </w:rPr>
        <w:t>Artículo 21.1.</w:t>
      </w:r>
      <w:r w:rsidRPr="00601EEA">
        <w:rPr>
          <w:rStyle w:val="TextoNormalCaracter"/>
        </w:rPr>
        <w:t>-</w:t>
      </w:r>
      <w:r>
        <w:t xml:space="preserve"> Sentencia </w:t>
      </w:r>
      <w:hyperlink w:anchor="SENTENCIA_2024_25" w:history="1">
        <w:r w:rsidRPr="00601EEA">
          <w:rPr>
            <w:rStyle w:val="TextoNormalCaracter"/>
          </w:rPr>
          <w:t>25/2024</w:t>
        </w:r>
      </w:hyperlink>
      <w:r>
        <w:t>, ff. 1, 5, 6.</w:t>
      </w:r>
    </w:p>
    <w:p w14:paraId="3C7D120F" w14:textId="5C29D106" w:rsidR="00601EEA" w:rsidRDefault="00601EEA" w:rsidP="00601EEA">
      <w:pPr>
        <w:pStyle w:val="SangriaFrancesaArticulo"/>
      </w:pPr>
      <w:r w:rsidRPr="00601EEA">
        <w:rPr>
          <w:rStyle w:val="TextoNormalNegritaCaracter"/>
        </w:rPr>
        <w:t>Artículo 21.1 inciso "a las energías renovables".</w:t>
      </w:r>
      <w:r w:rsidRPr="00601EEA">
        <w:rPr>
          <w:rStyle w:val="TextoNormalCaracter"/>
        </w:rPr>
        <w:t>-</w:t>
      </w:r>
      <w:r>
        <w:t xml:space="preserve"> Sentencia </w:t>
      </w:r>
      <w:hyperlink w:anchor="SENTENCIA_2024_25" w:history="1">
        <w:r w:rsidRPr="00601EEA">
          <w:rPr>
            <w:rStyle w:val="TextoNormalCaracter"/>
          </w:rPr>
          <w:t>25/2024</w:t>
        </w:r>
      </w:hyperlink>
      <w:r>
        <w:t>, f. 6.</w:t>
      </w:r>
    </w:p>
    <w:p w14:paraId="68727622" w14:textId="4FF3921D" w:rsidR="00601EEA" w:rsidRDefault="00601EEA" w:rsidP="00601EEA">
      <w:pPr>
        <w:pStyle w:val="SangriaFrancesaArticulo"/>
      </w:pPr>
      <w:r w:rsidRPr="00601EEA">
        <w:rPr>
          <w:rStyle w:val="TextoNormalNegritaCaracter"/>
        </w:rPr>
        <w:t>Artículo 21.1 inciso "actividades mineras".</w:t>
      </w:r>
      <w:r w:rsidRPr="00601EEA">
        <w:rPr>
          <w:rStyle w:val="TextoNormalCaracter"/>
        </w:rPr>
        <w:t>-</w:t>
      </w:r>
      <w:r>
        <w:t xml:space="preserve"> Sentencia </w:t>
      </w:r>
      <w:hyperlink w:anchor="SENTENCIA_2024_25" w:history="1">
        <w:r w:rsidRPr="00601EEA">
          <w:rPr>
            <w:rStyle w:val="TextoNormalCaracter"/>
          </w:rPr>
          <w:t>25/2024</w:t>
        </w:r>
      </w:hyperlink>
      <w:r>
        <w:t>, f. 6.</w:t>
      </w:r>
    </w:p>
    <w:p w14:paraId="621B91FD" w14:textId="7B7EA4E8" w:rsidR="00601EEA" w:rsidRDefault="00601EEA" w:rsidP="00601EEA">
      <w:pPr>
        <w:pStyle w:val="SangriaFrancesaArticulo"/>
      </w:pPr>
      <w:r w:rsidRPr="00601EEA">
        <w:rPr>
          <w:rStyle w:val="TextoNormalNegritaCaracter"/>
        </w:rPr>
        <w:t>Artículo 21.1 inciso "mineros".</w:t>
      </w:r>
      <w:r w:rsidRPr="00601EEA">
        <w:rPr>
          <w:rStyle w:val="TextoNormalCaracter"/>
        </w:rPr>
        <w:t>-</w:t>
      </w:r>
      <w:r>
        <w:t xml:space="preserve"> Sentencia </w:t>
      </w:r>
      <w:hyperlink w:anchor="SENTENCIA_2024_25" w:history="1">
        <w:r w:rsidRPr="00601EEA">
          <w:rPr>
            <w:rStyle w:val="TextoNormalCaracter"/>
          </w:rPr>
          <w:t>25/2024</w:t>
        </w:r>
      </w:hyperlink>
      <w:r>
        <w:t>, f. 6.</w:t>
      </w:r>
    </w:p>
    <w:p w14:paraId="60693B15" w14:textId="0AB82156" w:rsidR="00601EEA" w:rsidRDefault="00601EEA" w:rsidP="00601EEA">
      <w:pPr>
        <w:pStyle w:val="SangriaFrancesaArticulo"/>
      </w:pPr>
      <w:r w:rsidRPr="00601EEA">
        <w:rPr>
          <w:rStyle w:val="TextoNormalNegritaCaracter"/>
        </w:rPr>
        <w:t>Artículo 21.2 b).</w:t>
      </w:r>
      <w:r w:rsidRPr="00601EEA">
        <w:rPr>
          <w:rStyle w:val="TextoNormalCaracter"/>
        </w:rPr>
        <w:t>-</w:t>
      </w:r>
      <w:r>
        <w:t xml:space="preserve"> Sentencia </w:t>
      </w:r>
      <w:hyperlink w:anchor="SENTENCIA_2024_25" w:history="1">
        <w:r w:rsidRPr="00601EEA">
          <w:rPr>
            <w:rStyle w:val="TextoNormalCaracter"/>
          </w:rPr>
          <w:t>25/2024</w:t>
        </w:r>
      </w:hyperlink>
      <w:r>
        <w:t>, ff. 1, 5, 6.</w:t>
      </w:r>
    </w:p>
    <w:p w14:paraId="0F80EC01" w14:textId="140CA468" w:rsidR="00601EEA" w:rsidRDefault="00601EEA" w:rsidP="00601EEA">
      <w:pPr>
        <w:pStyle w:val="SangriaFrancesaArticulo"/>
      </w:pPr>
      <w:r w:rsidRPr="00601EEA">
        <w:rPr>
          <w:rStyle w:val="TextoNormalNegritaCaracter"/>
        </w:rPr>
        <w:t>Artículo 22.</w:t>
      </w:r>
      <w:r w:rsidRPr="00601EEA">
        <w:rPr>
          <w:rStyle w:val="TextoNormalCaracter"/>
        </w:rPr>
        <w:t>-</w:t>
      </w:r>
      <w:r>
        <w:t xml:space="preserve"> Sentencia </w:t>
      </w:r>
      <w:hyperlink w:anchor="SENTENCIA_2024_25" w:history="1">
        <w:r w:rsidRPr="00601EEA">
          <w:rPr>
            <w:rStyle w:val="TextoNormalCaracter"/>
          </w:rPr>
          <w:t>25/2024</w:t>
        </w:r>
      </w:hyperlink>
      <w:r>
        <w:t>, ff. 6, 7.</w:t>
      </w:r>
    </w:p>
    <w:p w14:paraId="76DD1DF6" w14:textId="7AEFCA1E" w:rsidR="00601EEA" w:rsidRDefault="00601EEA" w:rsidP="00601EEA">
      <w:pPr>
        <w:pStyle w:val="SangriaFrancesaArticulo"/>
      </w:pPr>
      <w:r w:rsidRPr="00601EEA">
        <w:rPr>
          <w:rStyle w:val="TextoNormalNegritaCaracter"/>
        </w:rPr>
        <w:t>Artículo 22.1.</w:t>
      </w:r>
      <w:r w:rsidRPr="00601EEA">
        <w:rPr>
          <w:rStyle w:val="TextoNormalCaracter"/>
        </w:rPr>
        <w:t>-</w:t>
      </w:r>
      <w:r>
        <w:t xml:space="preserve"> Sentencia </w:t>
      </w:r>
      <w:hyperlink w:anchor="SENTENCIA_2024_25" w:history="1">
        <w:r w:rsidRPr="00601EEA">
          <w:rPr>
            <w:rStyle w:val="TextoNormalCaracter"/>
          </w:rPr>
          <w:t>25/2024</w:t>
        </w:r>
      </w:hyperlink>
      <w:r>
        <w:t>, ff. 1, 5, 7.</w:t>
      </w:r>
    </w:p>
    <w:p w14:paraId="5B8E30D2" w14:textId="68AD9824" w:rsidR="00601EEA" w:rsidRDefault="00601EEA" w:rsidP="00601EEA">
      <w:pPr>
        <w:pStyle w:val="SangriaFrancesaArticulo"/>
      </w:pPr>
      <w:r w:rsidRPr="00601EEA">
        <w:rPr>
          <w:rStyle w:val="TextoNormalNegritaCaracter"/>
        </w:rPr>
        <w:t>Artículo 22.2.</w:t>
      </w:r>
      <w:r w:rsidRPr="00601EEA">
        <w:rPr>
          <w:rStyle w:val="TextoNormalCaracter"/>
        </w:rPr>
        <w:t>-</w:t>
      </w:r>
      <w:r>
        <w:t xml:space="preserve"> Sentencia </w:t>
      </w:r>
      <w:hyperlink w:anchor="SENTENCIA_2024_25" w:history="1">
        <w:r w:rsidRPr="00601EEA">
          <w:rPr>
            <w:rStyle w:val="TextoNormalCaracter"/>
          </w:rPr>
          <w:t>25/2024</w:t>
        </w:r>
      </w:hyperlink>
      <w:r>
        <w:t>, ff. 1, 5, 7.</w:t>
      </w:r>
    </w:p>
    <w:p w14:paraId="719ECF92" w14:textId="3090957A" w:rsidR="00601EEA" w:rsidRDefault="00601EEA" w:rsidP="00601EEA">
      <w:pPr>
        <w:pStyle w:val="SangriaFrancesaArticulo"/>
      </w:pPr>
      <w:r w:rsidRPr="00601EEA">
        <w:rPr>
          <w:rStyle w:val="TextoNormalNegritaCaracter"/>
        </w:rPr>
        <w:t>Artículo 22.2 inciso "Asimismo, vinculadas a estas actuaciones, podrán autorizarse conjuntamente edificaciones destinadas a uso residencial, debiendo garantizarse la proporcionalidad y vinculación entre ambas".</w:t>
      </w:r>
      <w:r w:rsidRPr="00601EEA">
        <w:rPr>
          <w:rStyle w:val="TextoNormalCaracter"/>
        </w:rPr>
        <w:t>-</w:t>
      </w:r>
      <w:r>
        <w:t xml:space="preserve"> Sentencia </w:t>
      </w:r>
      <w:hyperlink w:anchor="SENTENCIA_2024_25" w:history="1">
        <w:r w:rsidRPr="00601EEA">
          <w:rPr>
            <w:rStyle w:val="TextoNormalCaracter"/>
          </w:rPr>
          <w:t>25/2024</w:t>
        </w:r>
      </w:hyperlink>
      <w:r>
        <w:t>, f. 7.</w:t>
      </w:r>
    </w:p>
    <w:p w14:paraId="1A28A2B9" w14:textId="2D500889" w:rsidR="00601EEA" w:rsidRDefault="00601EEA" w:rsidP="00601EEA">
      <w:pPr>
        <w:pStyle w:val="SangriaFrancesaArticulo"/>
      </w:pPr>
      <w:r w:rsidRPr="00601EEA">
        <w:rPr>
          <w:rStyle w:val="TextoNormalNegritaCaracter"/>
        </w:rPr>
        <w:t>Artículo 22.3.</w:t>
      </w:r>
      <w:r w:rsidRPr="00601EEA">
        <w:rPr>
          <w:rStyle w:val="TextoNormalCaracter"/>
        </w:rPr>
        <w:t>-</w:t>
      </w:r>
      <w:r>
        <w:t xml:space="preserve"> Sentencia </w:t>
      </w:r>
      <w:hyperlink w:anchor="SENTENCIA_2024_25" w:history="1">
        <w:r w:rsidRPr="00601EEA">
          <w:rPr>
            <w:rStyle w:val="TextoNormalCaracter"/>
          </w:rPr>
          <w:t>25/2024</w:t>
        </w:r>
      </w:hyperlink>
      <w:r>
        <w:t>, f. 7.</w:t>
      </w:r>
    </w:p>
    <w:p w14:paraId="7087E986" w14:textId="364754B7" w:rsidR="00601EEA" w:rsidRDefault="00601EEA" w:rsidP="00601EEA">
      <w:pPr>
        <w:pStyle w:val="SangriaFrancesaArticulo"/>
      </w:pPr>
      <w:r w:rsidRPr="00601EEA">
        <w:rPr>
          <w:rStyle w:val="TextoNormalNegritaCaracter"/>
        </w:rPr>
        <w:t>Artículo 31.</w:t>
      </w:r>
      <w:r w:rsidRPr="00601EEA">
        <w:rPr>
          <w:rStyle w:val="TextoNormalCaracter"/>
        </w:rPr>
        <w:t>-</w:t>
      </w:r>
      <w:r>
        <w:t xml:space="preserve"> Sentencia </w:t>
      </w:r>
      <w:hyperlink w:anchor="SENTENCIA_2024_25" w:history="1">
        <w:r w:rsidRPr="00601EEA">
          <w:rPr>
            <w:rStyle w:val="TextoNormalCaracter"/>
          </w:rPr>
          <w:t>25/2024</w:t>
        </w:r>
      </w:hyperlink>
      <w:r>
        <w:t>, f. 13.</w:t>
      </w:r>
    </w:p>
    <w:p w14:paraId="3B2EC825" w14:textId="14D8D985" w:rsidR="00601EEA" w:rsidRDefault="00601EEA" w:rsidP="00601EEA">
      <w:pPr>
        <w:pStyle w:val="SangriaFrancesaArticulo"/>
      </w:pPr>
      <w:r w:rsidRPr="00601EEA">
        <w:rPr>
          <w:rStyle w:val="TextoNormalNegritaCaracter"/>
        </w:rPr>
        <w:t>Artículo 31.1.</w:t>
      </w:r>
      <w:r w:rsidRPr="00601EEA">
        <w:rPr>
          <w:rStyle w:val="TextoNormalCaracter"/>
        </w:rPr>
        <w:t>-</w:t>
      </w:r>
      <w:r>
        <w:t xml:space="preserve"> Sentencia </w:t>
      </w:r>
      <w:hyperlink w:anchor="SENTENCIA_2024_25" w:history="1">
        <w:r w:rsidRPr="00601EEA">
          <w:rPr>
            <w:rStyle w:val="TextoNormalCaracter"/>
          </w:rPr>
          <w:t>25/2024</w:t>
        </w:r>
      </w:hyperlink>
      <w:r>
        <w:t>, f. 13.</w:t>
      </w:r>
    </w:p>
    <w:p w14:paraId="3B234EE9" w14:textId="0441E2FE" w:rsidR="00601EEA" w:rsidRDefault="00601EEA" w:rsidP="00601EEA">
      <w:pPr>
        <w:pStyle w:val="SangriaFrancesaArticulo"/>
      </w:pPr>
      <w:r w:rsidRPr="00601EEA">
        <w:rPr>
          <w:rStyle w:val="TextoNormalNegritaCaracter"/>
        </w:rPr>
        <w:t>Artículo 31.2.</w:t>
      </w:r>
      <w:r w:rsidRPr="00601EEA">
        <w:rPr>
          <w:rStyle w:val="TextoNormalCaracter"/>
        </w:rPr>
        <w:t>-</w:t>
      </w:r>
      <w:r>
        <w:t xml:space="preserve"> Sentencia </w:t>
      </w:r>
      <w:hyperlink w:anchor="SENTENCIA_2024_25" w:history="1">
        <w:r w:rsidRPr="00601EEA">
          <w:rPr>
            <w:rStyle w:val="TextoNormalCaracter"/>
          </w:rPr>
          <w:t>25/2024</w:t>
        </w:r>
      </w:hyperlink>
      <w:r>
        <w:t>, f. 13.</w:t>
      </w:r>
    </w:p>
    <w:p w14:paraId="693DD4F5" w14:textId="4DDE263B" w:rsidR="00601EEA" w:rsidRDefault="00601EEA" w:rsidP="00601EEA">
      <w:pPr>
        <w:pStyle w:val="SangriaFrancesaArticulo"/>
      </w:pPr>
      <w:r w:rsidRPr="00601EEA">
        <w:rPr>
          <w:rStyle w:val="TextoNormalNegritaCaracter"/>
        </w:rPr>
        <w:lastRenderedPageBreak/>
        <w:t>Artículo 34.</w:t>
      </w:r>
      <w:r w:rsidRPr="00601EEA">
        <w:rPr>
          <w:rStyle w:val="TextoNormalCaracter"/>
        </w:rPr>
        <w:t>-</w:t>
      </w:r>
      <w:r>
        <w:t xml:space="preserve"> Sentencia </w:t>
      </w:r>
      <w:hyperlink w:anchor="SENTENCIA_2024_25" w:history="1">
        <w:r w:rsidRPr="00601EEA">
          <w:rPr>
            <w:rStyle w:val="TextoNormalCaracter"/>
          </w:rPr>
          <w:t>25/2024</w:t>
        </w:r>
      </w:hyperlink>
      <w:r>
        <w:t>, f. 13.</w:t>
      </w:r>
    </w:p>
    <w:p w14:paraId="0800E185" w14:textId="58793E1A" w:rsidR="00601EEA" w:rsidRDefault="00601EEA" w:rsidP="00601EEA">
      <w:pPr>
        <w:pStyle w:val="SangriaFrancesaArticulo"/>
      </w:pPr>
      <w:r w:rsidRPr="00601EEA">
        <w:rPr>
          <w:rStyle w:val="TextoNormalNegritaCaracter"/>
        </w:rPr>
        <w:t>Artículo 34.1.</w:t>
      </w:r>
      <w:r w:rsidRPr="00601EEA">
        <w:rPr>
          <w:rStyle w:val="TextoNormalCaracter"/>
        </w:rPr>
        <w:t>-</w:t>
      </w:r>
      <w:r>
        <w:t xml:space="preserve"> Sentencia </w:t>
      </w:r>
      <w:hyperlink w:anchor="SENTENCIA_2024_25" w:history="1">
        <w:r w:rsidRPr="00601EEA">
          <w:rPr>
            <w:rStyle w:val="TextoNormalCaracter"/>
          </w:rPr>
          <w:t>25/2024</w:t>
        </w:r>
      </w:hyperlink>
      <w:r>
        <w:t>, ff. 8, 13.</w:t>
      </w:r>
    </w:p>
    <w:p w14:paraId="12F94A95" w14:textId="4DA7EBC0" w:rsidR="00601EEA" w:rsidRDefault="00601EEA" w:rsidP="00601EEA">
      <w:pPr>
        <w:pStyle w:val="SangriaFrancesaArticulo"/>
      </w:pPr>
      <w:r w:rsidRPr="00601EEA">
        <w:rPr>
          <w:rStyle w:val="TextoNormalNegritaCaracter"/>
        </w:rPr>
        <w:t>Artículo 34.3.</w:t>
      </w:r>
      <w:r w:rsidRPr="00601EEA">
        <w:rPr>
          <w:rStyle w:val="TextoNormalCaracter"/>
        </w:rPr>
        <w:t>-</w:t>
      </w:r>
      <w:r>
        <w:t xml:space="preserve"> Sentencia </w:t>
      </w:r>
      <w:hyperlink w:anchor="SENTENCIA_2024_25" w:history="1">
        <w:r w:rsidRPr="00601EEA">
          <w:rPr>
            <w:rStyle w:val="TextoNormalCaracter"/>
          </w:rPr>
          <w:t>25/2024</w:t>
        </w:r>
      </w:hyperlink>
      <w:r>
        <w:t>, f. 13.</w:t>
      </w:r>
    </w:p>
    <w:p w14:paraId="7D57EF0E" w14:textId="001F3040" w:rsidR="00601EEA" w:rsidRDefault="00601EEA" w:rsidP="00601EEA">
      <w:pPr>
        <w:pStyle w:val="SangriaFrancesaArticulo"/>
      </w:pPr>
      <w:r w:rsidRPr="00601EEA">
        <w:rPr>
          <w:rStyle w:val="TextoNormalNegritaCaracter"/>
        </w:rPr>
        <w:t>Artículo 39.1.</w:t>
      </w:r>
      <w:r w:rsidRPr="00601EEA">
        <w:rPr>
          <w:rStyle w:val="TextoNormalCaracter"/>
        </w:rPr>
        <w:t>-</w:t>
      </w:r>
      <w:r>
        <w:t xml:space="preserve"> Sentencia </w:t>
      </w:r>
      <w:hyperlink w:anchor="SENTENCIA_2024_25" w:history="1">
        <w:r w:rsidRPr="00601EEA">
          <w:rPr>
            <w:rStyle w:val="TextoNormalCaracter"/>
          </w:rPr>
          <w:t>25/2024</w:t>
        </w:r>
      </w:hyperlink>
      <w:r>
        <w:t>, ff. 8, 13.</w:t>
      </w:r>
    </w:p>
    <w:p w14:paraId="106D7DA9" w14:textId="31BE52BF" w:rsidR="00601EEA" w:rsidRDefault="00601EEA" w:rsidP="00601EEA">
      <w:pPr>
        <w:pStyle w:val="SangriaFrancesaArticulo"/>
      </w:pPr>
      <w:r w:rsidRPr="00601EEA">
        <w:rPr>
          <w:rStyle w:val="TextoNormalNegritaCaracter"/>
        </w:rPr>
        <w:t>Artículo 39.2.</w:t>
      </w:r>
      <w:r w:rsidRPr="00601EEA">
        <w:rPr>
          <w:rStyle w:val="TextoNormalCaracter"/>
        </w:rPr>
        <w:t>-</w:t>
      </w:r>
      <w:r>
        <w:t xml:space="preserve"> Sentencia </w:t>
      </w:r>
      <w:hyperlink w:anchor="SENTENCIA_2024_25" w:history="1">
        <w:r w:rsidRPr="00601EEA">
          <w:rPr>
            <w:rStyle w:val="TextoNormalCaracter"/>
          </w:rPr>
          <w:t>25/2024</w:t>
        </w:r>
      </w:hyperlink>
      <w:r>
        <w:t>, f. 13.</w:t>
      </w:r>
    </w:p>
    <w:p w14:paraId="6E2325AF" w14:textId="4265FF0F" w:rsidR="00601EEA" w:rsidRDefault="00601EEA" w:rsidP="00601EEA">
      <w:pPr>
        <w:pStyle w:val="SangriaFrancesaArticulo"/>
      </w:pPr>
      <w:r w:rsidRPr="00601EEA">
        <w:rPr>
          <w:rStyle w:val="TextoNormalNegritaCaracter"/>
        </w:rPr>
        <w:t>Artículo 39.2 a).</w:t>
      </w:r>
      <w:r w:rsidRPr="00601EEA">
        <w:rPr>
          <w:rStyle w:val="TextoNormalCaracter"/>
        </w:rPr>
        <w:t>-</w:t>
      </w:r>
      <w:r>
        <w:t xml:space="preserve"> Sentencia </w:t>
      </w:r>
      <w:hyperlink w:anchor="SENTENCIA_2024_25" w:history="1">
        <w:r w:rsidRPr="00601EEA">
          <w:rPr>
            <w:rStyle w:val="TextoNormalCaracter"/>
          </w:rPr>
          <w:t>25/2024</w:t>
        </w:r>
      </w:hyperlink>
      <w:r>
        <w:t>, f. 13.</w:t>
      </w:r>
    </w:p>
    <w:p w14:paraId="4577AB50" w14:textId="4E992377" w:rsidR="00601EEA" w:rsidRDefault="00601EEA" w:rsidP="00601EEA">
      <w:pPr>
        <w:pStyle w:val="SangriaFrancesaArticulo"/>
      </w:pPr>
      <w:r w:rsidRPr="00601EEA">
        <w:rPr>
          <w:rStyle w:val="TextoNormalNegritaCaracter"/>
        </w:rPr>
        <w:t>Artículo 39.2 b).</w:t>
      </w:r>
      <w:r w:rsidRPr="00601EEA">
        <w:rPr>
          <w:rStyle w:val="TextoNormalCaracter"/>
        </w:rPr>
        <w:t>-</w:t>
      </w:r>
      <w:r>
        <w:t xml:space="preserve"> Sentencia </w:t>
      </w:r>
      <w:hyperlink w:anchor="SENTENCIA_2024_25" w:history="1">
        <w:r w:rsidRPr="00601EEA">
          <w:rPr>
            <w:rStyle w:val="TextoNormalCaracter"/>
          </w:rPr>
          <w:t>25/2024</w:t>
        </w:r>
      </w:hyperlink>
      <w:r>
        <w:t>, f. 13.</w:t>
      </w:r>
    </w:p>
    <w:p w14:paraId="6A40BDD7" w14:textId="0773E490" w:rsidR="00601EEA" w:rsidRDefault="00601EEA" w:rsidP="00601EEA">
      <w:pPr>
        <w:pStyle w:val="SangriaFrancesaArticulo"/>
      </w:pPr>
      <w:r w:rsidRPr="00601EEA">
        <w:rPr>
          <w:rStyle w:val="TextoNormalNegritaCaracter"/>
        </w:rPr>
        <w:t>Artículo 39.2 c).</w:t>
      </w:r>
      <w:r w:rsidRPr="00601EEA">
        <w:rPr>
          <w:rStyle w:val="TextoNormalCaracter"/>
        </w:rPr>
        <w:t>-</w:t>
      </w:r>
      <w:r>
        <w:t xml:space="preserve"> Sentencia </w:t>
      </w:r>
      <w:hyperlink w:anchor="SENTENCIA_2024_25" w:history="1">
        <w:r w:rsidRPr="00601EEA">
          <w:rPr>
            <w:rStyle w:val="TextoNormalCaracter"/>
          </w:rPr>
          <w:t>25/2024</w:t>
        </w:r>
      </w:hyperlink>
      <w:r>
        <w:t>, f. 13.</w:t>
      </w:r>
    </w:p>
    <w:p w14:paraId="34B5D274" w14:textId="5F1A642A" w:rsidR="00601EEA" w:rsidRDefault="00601EEA" w:rsidP="00601EEA">
      <w:pPr>
        <w:pStyle w:val="SangriaFrancesaArticulo"/>
      </w:pPr>
      <w:r w:rsidRPr="00601EEA">
        <w:rPr>
          <w:rStyle w:val="TextoNormalNegritaCaracter"/>
        </w:rPr>
        <w:t>Artículo 39.2 d).</w:t>
      </w:r>
      <w:r w:rsidRPr="00601EEA">
        <w:rPr>
          <w:rStyle w:val="TextoNormalCaracter"/>
        </w:rPr>
        <w:t>-</w:t>
      </w:r>
      <w:r>
        <w:t xml:space="preserve"> Sentencia </w:t>
      </w:r>
      <w:hyperlink w:anchor="SENTENCIA_2024_25" w:history="1">
        <w:r w:rsidRPr="00601EEA">
          <w:rPr>
            <w:rStyle w:val="TextoNormalCaracter"/>
          </w:rPr>
          <w:t>25/2024</w:t>
        </w:r>
      </w:hyperlink>
      <w:r>
        <w:t>, f. 13.</w:t>
      </w:r>
    </w:p>
    <w:p w14:paraId="402A96A3" w14:textId="074E1ADA" w:rsidR="00601EEA" w:rsidRDefault="00601EEA" w:rsidP="00601EEA">
      <w:pPr>
        <w:pStyle w:val="SangriaFrancesaArticulo"/>
      </w:pPr>
      <w:r w:rsidRPr="00601EEA">
        <w:rPr>
          <w:rStyle w:val="TextoNormalNegritaCaracter"/>
        </w:rPr>
        <w:t>Artículo 39.2 e).</w:t>
      </w:r>
      <w:r w:rsidRPr="00601EEA">
        <w:rPr>
          <w:rStyle w:val="TextoNormalCaracter"/>
        </w:rPr>
        <w:t>-</w:t>
      </w:r>
      <w:r>
        <w:t xml:space="preserve"> Sentencia </w:t>
      </w:r>
      <w:hyperlink w:anchor="SENTENCIA_2024_25" w:history="1">
        <w:r w:rsidRPr="00601EEA">
          <w:rPr>
            <w:rStyle w:val="TextoNormalCaracter"/>
          </w:rPr>
          <w:t>25/2024</w:t>
        </w:r>
      </w:hyperlink>
      <w:r>
        <w:t>, f. 13.</w:t>
      </w:r>
    </w:p>
    <w:p w14:paraId="66910410" w14:textId="6C7F61EB" w:rsidR="00601EEA" w:rsidRDefault="00601EEA" w:rsidP="00601EEA">
      <w:pPr>
        <w:pStyle w:val="SangriaFrancesaArticulo"/>
      </w:pPr>
      <w:r w:rsidRPr="00601EEA">
        <w:rPr>
          <w:rStyle w:val="TextoNormalNegritaCaracter"/>
        </w:rPr>
        <w:t>Artículo 39.3.</w:t>
      </w:r>
      <w:r w:rsidRPr="00601EEA">
        <w:rPr>
          <w:rStyle w:val="TextoNormalCaracter"/>
        </w:rPr>
        <w:t>-</w:t>
      </w:r>
      <w:r>
        <w:t xml:space="preserve"> Sentencia </w:t>
      </w:r>
      <w:hyperlink w:anchor="SENTENCIA_2024_25" w:history="1">
        <w:r w:rsidRPr="00601EEA">
          <w:rPr>
            <w:rStyle w:val="TextoNormalCaracter"/>
          </w:rPr>
          <w:t>25/2024</w:t>
        </w:r>
      </w:hyperlink>
      <w:r>
        <w:t>, f. 13.</w:t>
      </w:r>
    </w:p>
    <w:p w14:paraId="6AA74977" w14:textId="1054F767" w:rsidR="00601EEA" w:rsidRDefault="00601EEA" w:rsidP="00601EEA">
      <w:pPr>
        <w:pStyle w:val="SangriaFrancesaArticulo"/>
      </w:pPr>
      <w:r w:rsidRPr="00601EEA">
        <w:rPr>
          <w:rStyle w:val="TextoNormalNegritaCaracter"/>
        </w:rPr>
        <w:t>Artículos 39 a 42.</w:t>
      </w:r>
      <w:r w:rsidRPr="00601EEA">
        <w:rPr>
          <w:rStyle w:val="TextoNormalCaracter"/>
        </w:rPr>
        <w:t>-</w:t>
      </w:r>
      <w:r>
        <w:t xml:space="preserve"> Sentencia </w:t>
      </w:r>
      <w:hyperlink w:anchor="SENTENCIA_2024_25" w:history="1">
        <w:r w:rsidRPr="00601EEA">
          <w:rPr>
            <w:rStyle w:val="TextoNormalCaracter"/>
          </w:rPr>
          <w:t>25/2024</w:t>
        </w:r>
      </w:hyperlink>
      <w:r>
        <w:t>, f. 13.</w:t>
      </w:r>
    </w:p>
    <w:p w14:paraId="21214E5E" w14:textId="18B6DE5C" w:rsidR="00601EEA" w:rsidRDefault="00601EEA" w:rsidP="00601EEA">
      <w:pPr>
        <w:pStyle w:val="SangriaFrancesaArticulo"/>
      </w:pPr>
      <w:r w:rsidRPr="00601EEA">
        <w:rPr>
          <w:rStyle w:val="TextoNormalNegritaCaracter"/>
        </w:rPr>
        <w:t>Artículo 40.</w:t>
      </w:r>
      <w:r w:rsidRPr="00601EEA">
        <w:rPr>
          <w:rStyle w:val="TextoNormalCaracter"/>
        </w:rPr>
        <w:t>-</w:t>
      </w:r>
      <w:r>
        <w:t xml:space="preserve"> Sentencia </w:t>
      </w:r>
      <w:hyperlink w:anchor="SENTENCIA_2024_25" w:history="1">
        <w:r w:rsidRPr="00601EEA">
          <w:rPr>
            <w:rStyle w:val="TextoNormalCaracter"/>
          </w:rPr>
          <w:t>25/2024</w:t>
        </w:r>
      </w:hyperlink>
      <w:r>
        <w:t>, f. 13.</w:t>
      </w:r>
    </w:p>
    <w:p w14:paraId="175BAF38" w14:textId="1B5AB4B1" w:rsidR="00601EEA" w:rsidRDefault="00601EEA" w:rsidP="00601EEA">
      <w:pPr>
        <w:pStyle w:val="SangriaFrancesaArticulo"/>
      </w:pPr>
      <w:r w:rsidRPr="00601EEA">
        <w:rPr>
          <w:rStyle w:val="TextoNormalNegritaCaracter"/>
        </w:rPr>
        <w:t>Artículo 40.1.</w:t>
      </w:r>
      <w:r w:rsidRPr="00601EEA">
        <w:rPr>
          <w:rStyle w:val="TextoNormalCaracter"/>
        </w:rPr>
        <w:t>-</w:t>
      </w:r>
      <w:r>
        <w:t xml:space="preserve"> Sentencia </w:t>
      </w:r>
      <w:hyperlink w:anchor="SENTENCIA_2024_25" w:history="1">
        <w:r w:rsidRPr="00601EEA">
          <w:rPr>
            <w:rStyle w:val="TextoNormalCaracter"/>
          </w:rPr>
          <w:t>25/2024</w:t>
        </w:r>
      </w:hyperlink>
      <w:r>
        <w:t>, f. 8.</w:t>
      </w:r>
    </w:p>
    <w:p w14:paraId="726711BA" w14:textId="41A6448B" w:rsidR="00601EEA" w:rsidRDefault="00601EEA" w:rsidP="00601EEA">
      <w:pPr>
        <w:pStyle w:val="SangriaFrancesaArticulo"/>
      </w:pPr>
      <w:r w:rsidRPr="00601EEA">
        <w:rPr>
          <w:rStyle w:val="TextoNormalNegritaCaracter"/>
        </w:rPr>
        <w:t>Artículo 41.</w:t>
      </w:r>
      <w:r w:rsidRPr="00601EEA">
        <w:rPr>
          <w:rStyle w:val="TextoNormalCaracter"/>
        </w:rPr>
        <w:t>-</w:t>
      </w:r>
      <w:r>
        <w:t xml:space="preserve"> Sentencia </w:t>
      </w:r>
      <w:hyperlink w:anchor="SENTENCIA_2024_25" w:history="1">
        <w:r w:rsidRPr="00601EEA">
          <w:rPr>
            <w:rStyle w:val="TextoNormalCaracter"/>
          </w:rPr>
          <w:t>25/2024</w:t>
        </w:r>
      </w:hyperlink>
      <w:r>
        <w:t>, f. 13.</w:t>
      </w:r>
    </w:p>
    <w:p w14:paraId="401CAD37" w14:textId="13DA1F0A" w:rsidR="00601EEA" w:rsidRDefault="00601EEA" w:rsidP="00601EEA">
      <w:pPr>
        <w:pStyle w:val="SangriaFrancesaArticulo"/>
      </w:pPr>
      <w:r w:rsidRPr="00601EEA">
        <w:rPr>
          <w:rStyle w:val="TextoNormalNegritaCaracter"/>
        </w:rPr>
        <w:t>Artículo 41.5.</w:t>
      </w:r>
      <w:r w:rsidRPr="00601EEA">
        <w:rPr>
          <w:rStyle w:val="TextoNormalCaracter"/>
        </w:rPr>
        <w:t>-</w:t>
      </w:r>
      <w:r>
        <w:t xml:space="preserve"> Sentencia </w:t>
      </w:r>
      <w:hyperlink w:anchor="SENTENCIA_2024_25" w:history="1">
        <w:r w:rsidRPr="00601EEA">
          <w:rPr>
            <w:rStyle w:val="TextoNormalCaracter"/>
          </w:rPr>
          <w:t>25/2024</w:t>
        </w:r>
      </w:hyperlink>
      <w:r>
        <w:t>, f. 13.</w:t>
      </w:r>
    </w:p>
    <w:p w14:paraId="3669C9BE" w14:textId="7655E22B" w:rsidR="00601EEA" w:rsidRDefault="00601EEA" w:rsidP="00601EEA">
      <w:pPr>
        <w:pStyle w:val="SangriaFrancesaArticulo"/>
      </w:pPr>
      <w:r w:rsidRPr="00601EEA">
        <w:rPr>
          <w:rStyle w:val="TextoNormalNegritaCaracter"/>
        </w:rPr>
        <w:t>Artículo 41.6.</w:t>
      </w:r>
      <w:r w:rsidRPr="00601EEA">
        <w:rPr>
          <w:rStyle w:val="TextoNormalCaracter"/>
        </w:rPr>
        <w:t>-</w:t>
      </w:r>
      <w:r>
        <w:t xml:space="preserve"> Sentencia </w:t>
      </w:r>
      <w:hyperlink w:anchor="SENTENCIA_2024_25" w:history="1">
        <w:r w:rsidRPr="00601EEA">
          <w:rPr>
            <w:rStyle w:val="TextoNormalCaracter"/>
          </w:rPr>
          <w:t>25/2024</w:t>
        </w:r>
      </w:hyperlink>
      <w:r>
        <w:t>, f. 13.</w:t>
      </w:r>
    </w:p>
    <w:p w14:paraId="7308D44E" w14:textId="58D5AD7D" w:rsidR="00601EEA" w:rsidRDefault="00601EEA" w:rsidP="00601EEA">
      <w:pPr>
        <w:pStyle w:val="SangriaFrancesaArticulo"/>
      </w:pPr>
      <w:r w:rsidRPr="00601EEA">
        <w:rPr>
          <w:rStyle w:val="TextoNormalNegritaCaracter"/>
        </w:rPr>
        <w:t>Artículo 42.</w:t>
      </w:r>
      <w:r w:rsidRPr="00601EEA">
        <w:rPr>
          <w:rStyle w:val="TextoNormalCaracter"/>
        </w:rPr>
        <w:t>-</w:t>
      </w:r>
      <w:r>
        <w:t xml:space="preserve"> Sentencia </w:t>
      </w:r>
      <w:hyperlink w:anchor="SENTENCIA_2024_25" w:history="1">
        <w:r w:rsidRPr="00601EEA">
          <w:rPr>
            <w:rStyle w:val="TextoNormalCaracter"/>
          </w:rPr>
          <w:t>25/2024</w:t>
        </w:r>
      </w:hyperlink>
      <w:r>
        <w:t>, f. 13.</w:t>
      </w:r>
    </w:p>
    <w:p w14:paraId="6B10E621" w14:textId="5EEF80F1" w:rsidR="00601EEA" w:rsidRDefault="00601EEA" w:rsidP="00601EEA">
      <w:pPr>
        <w:pStyle w:val="SangriaFrancesaArticulo"/>
      </w:pPr>
      <w:r w:rsidRPr="00601EEA">
        <w:rPr>
          <w:rStyle w:val="TextoNormalNegritaCaracter"/>
        </w:rPr>
        <w:t>Artículo 44.1.</w:t>
      </w:r>
      <w:r w:rsidRPr="00601EEA">
        <w:rPr>
          <w:rStyle w:val="TextoNormalCaracter"/>
        </w:rPr>
        <w:t>-</w:t>
      </w:r>
      <w:r>
        <w:t xml:space="preserve"> Sentencia </w:t>
      </w:r>
      <w:hyperlink w:anchor="SENTENCIA_2024_25" w:history="1">
        <w:r w:rsidRPr="00601EEA">
          <w:rPr>
            <w:rStyle w:val="TextoNormalCaracter"/>
          </w:rPr>
          <w:t>25/2024</w:t>
        </w:r>
      </w:hyperlink>
      <w:r>
        <w:t>, f. 8.</w:t>
      </w:r>
    </w:p>
    <w:p w14:paraId="4794D369" w14:textId="3D537A61" w:rsidR="00601EEA" w:rsidRDefault="00601EEA" w:rsidP="00601EEA">
      <w:pPr>
        <w:pStyle w:val="SangriaFrancesaArticulo"/>
      </w:pPr>
      <w:r w:rsidRPr="00601EEA">
        <w:rPr>
          <w:rStyle w:val="TextoNormalNegritaCaracter"/>
        </w:rPr>
        <w:t>Artículo 46.1.</w:t>
      </w:r>
      <w:r w:rsidRPr="00601EEA">
        <w:rPr>
          <w:rStyle w:val="TextoNormalCaracter"/>
        </w:rPr>
        <w:t>-</w:t>
      </w:r>
      <w:r>
        <w:t xml:space="preserve"> Sentencia </w:t>
      </w:r>
      <w:hyperlink w:anchor="SENTENCIA_2024_25" w:history="1">
        <w:r w:rsidRPr="00601EEA">
          <w:rPr>
            <w:rStyle w:val="TextoNormalCaracter"/>
          </w:rPr>
          <w:t>25/2024</w:t>
        </w:r>
      </w:hyperlink>
      <w:r>
        <w:t>, f. 8.</w:t>
      </w:r>
    </w:p>
    <w:p w14:paraId="5BB806FB" w14:textId="2D778D33" w:rsidR="00601EEA" w:rsidRDefault="00601EEA" w:rsidP="00601EEA">
      <w:pPr>
        <w:pStyle w:val="SangriaFrancesaArticulo"/>
      </w:pPr>
      <w:r w:rsidRPr="00601EEA">
        <w:rPr>
          <w:rStyle w:val="TextoNormalNegritaCaracter"/>
        </w:rPr>
        <w:t>Artículo 50.</w:t>
      </w:r>
      <w:r w:rsidRPr="00601EEA">
        <w:rPr>
          <w:rStyle w:val="TextoNormalCaracter"/>
        </w:rPr>
        <w:t>-</w:t>
      </w:r>
      <w:r>
        <w:t xml:space="preserve"> Sentencia </w:t>
      </w:r>
      <w:hyperlink w:anchor="SENTENCIA_2024_25" w:history="1">
        <w:r w:rsidRPr="00601EEA">
          <w:rPr>
            <w:rStyle w:val="TextoNormalCaracter"/>
          </w:rPr>
          <w:t>25/2024</w:t>
        </w:r>
      </w:hyperlink>
      <w:r>
        <w:t>, ff. 1, 2, 8.</w:t>
      </w:r>
    </w:p>
    <w:p w14:paraId="18DAA673" w14:textId="6AD5109D" w:rsidR="00601EEA" w:rsidRDefault="00601EEA" w:rsidP="00601EEA">
      <w:pPr>
        <w:pStyle w:val="SangriaFrancesaArticulo"/>
      </w:pPr>
      <w:r w:rsidRPr="00601EEA">
        <w:rPr>
          <w:rStyle w:val="TextoNormalNegritaCaracter"/>
        </w:rPr>
        <w:t>Artículo 50.1 a).</w:t>
      </w:r>
      <w:r w:rsidRPr="00601EEA">
        <w:rPr>
          <w:rStyle w:val="TextoNormalCaracter"/>
        </w:rPr>
        <w:t>-</w:t>
      </w:r>
      <w:r>
        <w:t xml:space="preserve"> Sentencia </w:t>
      </w:r>
      <w:hyperlink w:anchor="SENTENCIA_2024_25" w:history="1">
        <w:r w:rsidRPr="00601EEA">
          <w:rPr>
            <w:rStyle w:val="TextoNormalCaracter"/>
          </w:rPr>
          <w:t>25/2024</w:t>
        </w:r>
      </w:hyperlink>
      <w:r>
        <w:t>, f. 8.</w:t>
      </w:r>
    </w:p>
    <w:p w14:paraId="5B5C0EBC" w14:textId="778B0656" w:rsidR="00601EEA" w:rsidRDefault="00601EEA" w:rsidP="00601EEA">
      <w:pPr>
        <w:pStyle w:val="SangriaFrancesaArticulo"/>
      </w:pPr>
      <w:r w:rsidRPr="00601EEA">
        <w:rPr>
          <w:rStyle w:val="TextoNormalNegritaCaracter"/>
        </w:rPr>
        <w:t>Artículo 50.1 b).</w:t>
      </w:r>
      <w:r w:rsidRPr="00601EEA">
        <w:rPr>
          <w:rStyle w:val="TextoNormalCaracter"/>
        </w:rPr>
        <w:t>-</w:t>
      </w:r>
      <w:r>
        <w:t xml:space="preserve"> Sentencia </w:t>
      </w:r>
      <w:hyperlink w:anchor="SENTENCIA_2024_25" w:history="1">
        <w:r w:rsidRPr="00601EEA">
          <w:rPr>
            <w:rStyle w:val="TextoNormalCaracter"/>
          </w:rPr>
          <w:t>25/2024</w:t>
        </w:r>
      </w:hyperlink>
      <w:r>
        <w:t>, f. 8.</w:t>
      </w:r>
    </w:p>
    <w:p w14:paraId="514B0FF6" w14:textId="4C962EDC" w:rsidR="00601EEA" w:rsidRDefault="00601EEA" w:rsidP="00601EEA">
      <w:pPr>
        <w:pStyle w:val="SangriaFrancesaArticulo"/>
      </w:pPr>
      <w:r w:rsidRPr="00601EEA">
        <w:rPr>
          <w:rStyle w:val="TextoNormalNegritaCaracter"/>
        </w:rPr>
        <w:t>Artículo 50.1 c).</w:t>
      </w:r>
      <w:r w:rsidRPr="00601EEA">
        <w:rPr>
          <w:rStyle w:val="TextoNormalCaracter"/>
        </w:rPr>
        <w:t>-</w:t>
      </w:r>
      <w:r>
        <w:t xml:space="preserve"> Sentencia </w:t>
      </w:r>
      <w:hyperlink w:anchor="SENTENCIA_2024_25" w:history="1">
        <w:r w:rsidRPr="00601EEA">
          <w:rPr>
            <w:rStyle w:val="TextoNormalCaracter"/>
          </w:rPr>
          <w:t>25/2024</w:t>
        </w:r>
      </w:hyperlink>
      <w:r>
        <w:t>, f. 8.</w:t>
      </w:r>
    </w:p>
    <w:p w14:paraId="4ADBB808" w14:textId="6C3DE491" w:rsidR="00601EEA" w:rsidRDefault="00601EEA" w:rsidP="00601EEA">
      <w:pPr>
        <w:pStyle w:val="SangriaFrancesaArticulo"/>
      </w:pPr>
      <w:r w:rsidRPr="00601EEA">
        <w:rPr>
          <w:rStyle w:val="TextoNormalNegritaCaracter"/>
        </w:rPr>
        <w:t>Artículo 50.2 d).</w:t>
      </w:r>
      <w:r w:rsidRPr="00601EEA">
        <w:rPr>
          <w:rStyle w:val="TextoNormalCaracter"/>
        </w:rPr>
        <w:t>-</w:t>
      </w:r>
      <w:r>
        <w:t xml:space="preserve"> Sentencia </w:t>
      </w:r>
      <w:hyperlink w:anchor="SENTENCIA_2024_25" w:history="1">
        <w:r w:rsidRPr="00601EEA">
          <w:rPr>
            <w:rStyle w:val="TextoNormalCaracter"/>
          </w:rPr>
          <w:t>25/2024</w:t>
        </w:r>
      </w:hyperlink>
      <w:r>
        <w:t>, f. 2.</w:t>
      </w:r>
    </w:p>
    <w:p w14:paraId="442B1F97" w14:textId="7D3C8451" w:rsidR="00601EEA" w:rsidRDefault="00601EEA" w:rsidP="00601EEA">
      <w:pPr>
        <w:pStyle w:val="SangriaFrancesaArticulo"/>
      </w:pPr>
      <w:r w:rsidRPr="00601EEA">
        <w:rPr>
          <w:rStyle w:val="TextoNormalNegritaCaracter"/>
        </w:rPr>
        <w:t>Artículo 50.2 d)</w:t>
      </w:r>
      <w:r>
        <w:t xml:space="preserve"> (redactado por el Decreto-ley 11/2022, de 29 de noviembre)</w:t>
      </w:r>
      <w:r w:rsidRPr="00601EEA">
        <w:rPr>
          <w:rStyle w:val="TextoNormalNegritaCaracter"/>
        </w:rPr>
        <w:t>.</w:t>
      </w:r>
      <w:r w:rsidRPr="00601EEA">
        <w:rPr>
          <w:rStyle w:val="TextoNormalCaracter"/>
        </w:rPr>
        <w:t>-</w:t>
      </w:r>
      <w:r>
        <w:t xml:space="preserve"> Sentencia </w:t>
      </w:r>
      <w:hyperlink w:anchor="SENTENCIA_2024_25" w:history="1">
        <w:r w:rsidRPr="00601EEA">
          <w:rPr>
            <w:rStyle w:val="TextoNormalCaracter"/>
          </w:rPr>
          <w:t>25/2024</w:t>
        </w:r>
      </w:hyperlink>
      <w:r>
        <w:t>, f. 8.</w:t>
      </w:r>
    </w:p>
    <w:p w14:paraId="087B558C" w14:textId="21EF1E57" w:rsidR="00601EEA" w:rsidRDefault="00601EEA" w:rsidP="00601EEA">
      <w:pPr>
        <w:pStyle w:val="SangriaFrancesaArticulo"/>
      </w:pPr>
      <w:r w:rsidRPr="00601EEA">
        <w:rPr>
          <w:rStyle w:val="TextoNormalNegritaCaracter"/>
        </w:rPr>
        <w:t>Artículo 50.4.</w:t>
      </w:r>
      <w:r w:rsidRPr="00601EEA">
        <w:rPr>
          <w:rStyle w:val="TextoNormalCaracter"/>
        </w:rPr>
        <w:t>-</w:t>
      </w:r>
      <w:r>
        <w:t xml:space="preserve"> Sentencia </w:t>
      </w:r>
      <w:hyperlink w:anchor="SENTENCIA_2024_25" w:history="1">
        <w:r w:rsidRPr="00601EEA">
          <w:rPr>
            <w:rStyle w:val="TextoNormalCaracter"/>
          </w:rPr>
          <w:t>25/2024</w:t>
        </w:r>
      </w:hyperlink>
      <w:r>
        <w:t>, f. 8.</w:t>
      </w:r>
    </w:p>
    <w:p w14:paraId="6E5D3216" w14:textId="7E402AA0" w:rsidR="00601EEA" w:rsidRDefault="00601EEA" w:rsidP="00601EEA">
      <w:pPr>
        <w:pStyle w:val="SangriaFrancesaArticulo"/>
      </w:pPr>
      <w:r w:rsidRPr="00601EEA">
        <w:rPr>
          <w:rStyle w:val="TextoNormalNegritaCaracter"/>
        </w:rPr>
        <w:t>Artículo 53.</w:t>
      </w:r>
      <w:r w:rsidRPr="00601EEA">
        <w:rPr>
          <w:rStyle w:val="TextoNormalCaracter"/>
        </w:rPr>
        <w:t>-</w:t>
      </w:r>
      <w:r>
        <w:t xml:space="preserve"> Sentencia </w:t>
      </w:r>
      <w:hyperlink w:anchor="SENTENCIA_2024_25" w:history="1">
        <w:r w:rsidRPr="00601EEA">
          <w:rPr>
            <w:rStyle w:val="TextoNormalCaracter"/>
          </w:rPr>
          <w:t>25/2024</w:t>
        </w:r>
      </w:hyperlink>
      <w:r>
        <w:t>, ff. 1, 8, 9.</w:t>
      </w:r>
    </w:p>
    <w:p w14:paraId="52E7D130" w14:textId="4A3AEA40" w:rsidR="00601EEA" w:rsidRDefault="00601EEA" w:rsidP="00601EEA">
      <w:pPr>
        <w:pStyle w:val="SangriaFrancesaArticulo"/>
      </w:pPr>
      <w:r w:rsidRPr="00601EEA">
        <w:rPr>
          <w:rStyle w:val="TextoNormalNegritaCaracter"/>
        </w:rPr>
        <w:t>Artículo 53.1.</w:t>
      </w:r>
      <w:r w:rsidRPr="00601EEA">
        <w:rPr>
          <w:rStyle w:val="TextoNormalCaracter"/>
        </w:rPr>
        <w:t>-</w:t>
      </w:r>
      <w:r>
        <w:t xml:space="preserve"> Sentencia </w:t>
      </w:r>
      <w:hyperlink w:anchor="SENTENCIA_2024_25" w:history="1">
        <w:r w:rsidRPr="00601EEA">
          <w:rPr>
            <w:rStyle w:val="TextoNormalCaracter"/>
          </w:rPr>
          <w:t>25/2024</w:t>
        </w:r>
      </w:hyperlink>
      <w:r>
        <w:t>, f. 9.</w:t>
      </w:r>
    </w:p>
    <w:p w14:paraId="5A6E9C65" w14:textId="38020D09" w:rsidR="00601EEA" w:rsidRDefault="00601EEA" w:rsidP="00601EEA">
      <w:pPr>
        <w:pStyle w:val="SangriaFrancesaArticulo"/>
      </w:pPr>
      <w:r w:rsidRPr="00601EEA">
        <w:rPr>
          <w:rStyle w:val="TextoNormalNegritaCaracter"/>
        </w:rPr>
        <w:t>Artículo 53.2.</w:t>
      </w:r>
      <w:r w:rsidRPr="00601EEA">
        <w:rPr>
          <w:rStyle w:val="TextoNormalCaracter"/>
        </w:rPr>
        <w:t>-</w:t>
      </w:r>
      <w:r>
        <w:t xml:space="preserve"> Sentencia </w:t>
      </w:r>
      <w:hyperlink w:anchor="SENTENCIA_2024_25" w:history="1">
        <w:r w:rsidRPr="00601EEA">
          <w:rPr>
            <w:rStyle w:val="TextoNormalCaracter"/>
          </w:rPr>
          <w:t>25/2024</w:t>
        </w:r>
      </w:hyperlink>
      <w:r>
        <w:t>, f. 9.</w:t>
      </w:r>
    </w:p>
    <w:p w14:paraId="3FE9E314" w14:textId="52C562E2" w:rsidR="00601EEA" w:rsidRDefault="00601EEA" w:rsidP="00601EEA">
      <w:pPr>
        <w:pStyle w:val="SangriaFrancesaArticulo"/>
      </w:pPr>
      <w:r w:rsidRPr="00601EEA">
        <w:rPr>
          <w:rStyle w:val="TextoNormalNegritaCaracter"/>
        </w:rPr>
        <w:t>Artículo 53.3.</w:t>
      </w:r>
      <w:r w:rsidRPr="00601EEA">
        <w:rPr>
          <w:rStyle w:val="TextoNormalCaracter"/>
        </w:rPr>
        <w:t>-</w:t>
      </w:r>
      <w:r>
        <w:t xml:space="preserve"> Sentencia </w:t>
      </w:r>
      <w:hyperlink w:anchor="SENTENCIA_2024_25" w:history="1">
        <w:r w:rsidRPr="00601EEA">
          <w:rPr>
            <w:rStyle w:val="TextoNormalCaracter"/>
          </w:rPr>
          <w:t>25/2024</w:t>
        </w:r>
      </w:hyperlink>
      <w:r>
        <w:t>, f. 9.</w:t>
      </w:r>
    </w:p>
    <w:p w14:paraId="29546FED" w14:textId="1FCCEAF4" w:rsidR="00601EEA" w:rsidRDefault="00601EEA" w:rsidP="00601EEA">
      <w:pPr>
        <w:pStyle w:val="SangriaFrancesaArticulo"/>
      </w:pPr>
      <w:r w:rsidRPr="00601EEA">
        <w:rPr>
          <w:rStyle w:val="TextoNormalNegritaCaracter"/>
        </w:rPr>
        <w:t>Artículo 137.2 f).</w:t>
      </w:r>
      <w:r w:rsidRPr="00601EEA">
        <w:rPr>
          <w:rStyle w:val="TextoNormalCaracter"/>
        </w:rPr>
        <w:t>-</w:t>
      </w:r>
      <w:r>
        <w:t xml:space="preserve"> Sentencia </w:t>
      </w:r>
      <w:hyperlink w:anchor="SENTENCIA_2024_25" w:history="1">
        <w:r w:rsidRPr="00601EEA">
          <w:rPr>
            <w:rStyle w:val="TextoNormalCaracter"/>
          </w:rPr>
          <w:t>25/2024</w:t>
        </w:r>
      </w:hyperlink>
      <w:r>
        <w:t>, ff. 1, 10.</w:t>
      </w:r>
    </w:p>
    <w:p w14:paraId="454B0D6E" w14:textId="0A82C503" w:rsidR="00601EEA" w:rsidRDefault="00601EEA" w:rsidP="00601EEA">
      <w:pPr>
        <w:pStyle w:val="SangriaFrancesaArticulo"/>
      </w:pPr>
      <w:r w:rsidRPr="00601EEA">
        <w:rPr>
          <w:rStyle w:val="TextoNormalNegritaCaracter"/>
        </w:rPr>
        <w:t>Artículo 137.2 f) inciso "mineros".</w:t>
      </w:r>
      <w:r w:rsidRPr="00601EEA">
        <w:rPr>
          <w:rStyle w:val="TextoNormalCaracter"/>
        </w:rPr>
        <w:t>-</w:t>
      </w:r>
      <w:r>
        <w:t xml:space="preserve"> Sentencia </w:t>
      </w:r>
      <w:hyperlink w:anchor="SENTENCIA_2024_25" w:history="1">
        <w:r w:rsidRPr="00601EEA">
          <w:rPr>
            <w:rStyle w:val="TextoNormalCaracter"/>
          </w:rPr>
          <w:t>25/2024</w:t>
        </w:r>
      </w:hyperlink>
      <w:r>
        <w:t>, f. 10.</w:t>
      </w:r>
    </w:p>
    <w:p w14:paraId="57BFBEAA" w14:textId="083256A9" w:rsidR="00601EEA" w:rsidRDefault="00601EEA" w:rsidP="00601EEA">
      <w:pPr>
        <w:pStyle w:val="SangriaFrancesaArticulo"/>
      </w:pPr>
      <w:r w:rsidRPr="00601EEA">
        <w:rPr>
          <w:rStyle w:val="TextoNormalNegritaCaracter"/>
        </w:rPr>
        <w:t>Artículo 140.1.</w:t>
      </w:r>
      <w:r w:rsidRPr="00601EEA">
        <w:rPr>
          <w:rStyle w:val="TextoNormalCaracter"/>
        </w:rPr>
        <w:t>-</w:t>
      </w:r>
      <w:r>
        <w:t xml:space="preserve"> Sentencia </w:t>
      </w:r>
      <w:hyperlink w:anchor="SENTENCIA_2024_25" w:history="1">
        <w:r w:rsidRPr="00601EEA">
          <w:rPr>
            <w:rStyle w:val="TextoNormalCaracter"/>
          </w:rPr>
          <w:t>25/2024</w:t>
        </w:r>
      </w:hyperlink>
      <w:r>
        <w:t>, f. 10.</w:t>
      </w:r>
    </w:p>
    <w:p w14:paraId="31C51829" w14:textId="12816C7A" w:rsidR="00601EEA" w:rsidRDefault="00601EEA" w:rsidP="00601EEA">
      <w:pPr>
        <w:pStyle w:val="SangriaFrancesaArticulo"/>
      </w:pPr>
      <w:r w:rsidRPr="00601EEA">
        <w:rPr>
          <w:rStyle w:val="TextoNormalNegritaCaracter"/>
        </w:rPr>
        <w:t>Artículo 151.1.</w:t>
      </w:r>
      <w:r w:rsidRPr="00601EEA">
        <w:rPr>
          <w:rStyle w:val="TextoNormalCaracter"/>
        </w:rPr>
        <w:t>-</w:t>
      </w:r>
      <w:r>
        <w:t xml:space="preserve"> Sentencia </w:t>
      </w:r>
      <w:hyperlink w:anchor="SENTENCIA_2024_25" w:history="1">
        <w:r w:rsidRPr="00601EEA">
          <w:rPr>
            <w:rStyle w:val="TextoNormalCaracter"/>
          </w:rPr>
          <w:t>25/2024</w:t>
        </w:r>
      </w:hyperlink>
      <w:r>
        <w:t>, ff. 1, 11.</w:t>
      </w:r>
    </w:p>
    <w:p w14:paraId="29FD6E9B" w14:textId="447998FD" w:rsidR="00601EEA" w:rsidRDefault="00601EEA" w:rsidP="00601EEA">
      <w:pPr>
        <w:pStyle w:val="SangriaFrancesaArticulo"/>
      </w:pPr>
      <w:r w:rsidRPr="00601EEA">
        <w:rPr>
          <w:rStyle w:val="TextoNormalNegritaCaracter"/>
        </w:rPr>
        <w:t>Artículo 151.1 inciso "resulten o no conformes con ella".</w:t>
      </w:r>
      <w:r w:rsidRPr="00601EEA">
        <w:rPr>
          <w:rStyle w:val="TextoNormalCaracter"/>
        </w:rPr>
        <w:t>-</w:t>
      </w:r>
      <w:r>
        <w:t xml:space="preserve"> Sentencia </w:t>
      </w:r>
      <w:hyperlink w:anchor="SENTENCIA_2024_25" w:history="1">
        <w:r w:rsidRPr="00601EEA">
          <w:rPr>
            <w:rStyle w:val="TextoNormalCaracter"/>
          </w:rPr>
          <w:t>25/2024</w:t>
        </w:r>
      </w:hyperlink>
      <w:r>
        <w:t>, f. 11.</w:t>
      </w:r>
    </w:p>
    <w:p w14:paraId="0DA9ECC9" w14:textId="270398EE" w:rsidR="00601EEA" w:rsidRDefault="00601EEA" w:rsidP="00601EEA">
      <w:pPr>
        <w:pStyle w:val="SangriaFrancesaArticulo"/>
      </w:pPr>
      <w:r w:rsidRPr="00601EEA">
        <w:rPr>
          <w:rStyle w:val="TextoNormalNegritaCaracter"/>
        </w:rPr>
        <w:t>Artículo 151.3.</w:t>
      </w:r>
      <w:r w:rsidRPr="00601EEA">
        <w:rPr>
          <w:rStyle w:val="TextoNormalCaracter"/>
        </w:rPr>
        <w:t>-</w:t>
      </w:r>
      <w:r>
        <w:t xml:space="preserve"> Sentencia </w:t>
      </w:r>
      <w:hyperlink w:anchor="SENTENCIA_2024_25" w:history="1">
        <w:r w:rsidRPr="00601EEA">
          <w:rPr>
            <w:rStyle w:val="TextoNormalCaracter"/>
          </w:rPr>
          <w:t>25/2024</w:t>
        </w:r>
      </w:hyperlink>
      <w:r>
        <w:t>, f. 11.</w:t>
      </w:r>
    </w:p>
    <w:p w14:paraId="5EE8647A" w14:textId="46B9052D" w:rsidR="00601EEA" w:rsidRDefault="00601EEA" w:rsidP="00601EEA">
      <w:pPr>
        <w:pStyle w:val="SangriaFrancesaArticulo"/>
      </w:pPr>
      <w:r w:rsidRPr="00601EEA">
        <w:rPr>
          <w:rStyle w:val="TextoNormalNegritaCaracter"/>
        </w:rPr>
        <w:t>Artículo 153.1.</w:t>
      </w:r>
      <w:r w:rsidRPr="00601EEA">
        <w:rPr>
          <w:rStyle w:val="TextoNormalCaracter"/>
        </w:rPr>
        <w:t>-</w:t>
      </w:r>
      <w:r>
        <w:t xml:space="preserve"> Sentencia </w:t>
      </w:r>
      <w:hyperlink w:anchor="SENTENCIA_2024_25" w:history="1">
        <w:r w:rsidRPr="00601EEA">
          <w:rPr>
            <w:rStyle w:val="TextoNormalCaracter"/>
          </w:rPr>
          <w:t>25/2024</w:t>
        </w:r>
      </w:hyperlink>
      <w:r>
        <w:t>, f. 11.</w:t>
      </w:r>
    </w:p>
    <w:p w14:paraId="37714303" w14:textId="07D8C3C3" w:rsidR="00601EEA" w:rsidRDefault="00601EEA" w:rsidP="00601EEA">
      <w:pPr>
        <w:pStyle w:val="SangriaFrancesaArticulo"/>
      </w:pPr>
      <w:r w:rsidRPr="00601EEA">
        <w:rPr>
          <w:rStyle w:val="TextoNormalNegritaCaracter"/>
        </w:rPr>
        <w:t>Artículo 153.1, párrafo 2.</w:t>
      </w:r>
      <w:r w:rsidRPr="00601EEA">
        <w:rPr>
          <w:rStyle w:val="TextoNormalCaracter"/>
        </w:rPr>
        <w:t>-</w:t>
      </w:r>
      <w:r>
        <w:t xml:space="preserve"> Sentencia </w:t>
      </w:r>
      <w:hyperlink w:anchor="SENTENCIA_2024_25" w:history="1">
        <w:r w:rsidRPr="00601EEA">
          <w:rPr>
            <w:rStyle w:val="TextoNormalCaracter"/>
          </w:rPr>
          <w:t>25/2024</w:t>
        </w:r>
      </w:hyperlink>
      <w:r>
        <w:t>, f. 11.</w:t>
      </w:r>
    </w:p>
    <w:p w14:paraId="19829356" w14:textId="7802A5E7" w:rsidR="00601EEA" w:rsidRDefault="00601EEA" w:rsidP="00601EEA">
      <w:pPr>
        <w:pStyle w:val="SangriaFrancesaArticulo"/>
      </w:pPr>
      <w:r w:rsidRPr="00601EEA">
        <w:rPr>
          <w:rStyle w:val="TextoNormalNegritaCaracter"/>
        </w:rPr>
        <w:t>Artículo 153.2.</w:t>
      </w:r>
      <w:r w:rsidRPr="00601EEA">
        <w:rPr>
          <w:rStyle w:val="TextoNormalCaracter"/>
        </w:rPr>
        <w:t>-</w:t>
      </w:r>
      <w:r>
        <w:t xml:space="preserve"> Sentencia </w:t>
      </w:r>
      <w:hyperlink w:anchor="SENTENCIA_2024_25" w:history="1">
        <w:r w:rsidRPr="00601EEA">
          <w:rPr>
            <w:rStyle w:val="TextoNormalCaracter"/>
          </w:rPr>
          <w:t>25/2024</w:t>
        </w:r>
      </w:hyperlink>
      <w:r>
        <w:t>, f. 11.</w:t>
      </w:r>
    </w:p>
    <w:p w14:paraId="47C2CE5E" w14:textId="7D31A2CC" w:rsidR="00601EEA" w:rsidRDefault="00601EEA" w:rsidP="00601EEA">
      <w:pPr>
        <w:pStyle w:val="SangriaFrancesaArticulo"/>
      </w:pPr>
      <w:r w:rsidRPr="00601EEA">
        <w:rPr>
          <w:rStyle w:val="TextoNormalNegritaCaracter"/>
        </w:rPr>
        <w:t>Artículo 153.2 f).</w:t>
      </w:r>
      <w:r w:rsidRPr="00601EEA">
        <w:rPr>
          <w:rStyle w:val="TextoNormalCaracter"/>
        </w:rPr>
        <w:t>-</w:t>
      </w:r>
      <w:r>
        <w:t xml:space="preserve"> Sentencia </w:t>
      </w:r>
      <w:hyperlink w:anchor="SENTENCIA_2024_25" w:history="1">
        <w:r w:rsidRPr="00601EEA">
          <w:rPr>
            <w:rStyle w:val="TextoNormalCaracter"/>
          </w:rPr>
          <w:t>25/2024</w:t>
        </w:r>
      </w:hyperlink>
      <w:r>
        <w:t>, f. 11.</w:t>
      </w:r>
    </w:p>
    <w:p w14:paraId="5102BB72" w14:textId="382FA188" w:rsidR="00601EEA" w:rsidRDefault="00601EEA" w:rsidP="00601EEA">
      <w:pPr>
        <w:pStyle w:val="SangriaFrancesaArticulo"/>
      </w:pPr>
      <w:r w:rsidRPr="00601EEA">
        <w:rPr>
          <w:rStyle w:val="TextoNormalNegritaCaracter"/>
        </w:rPr>
        <w:t>Disposición adicional cuarta.</w:t>
      </w:r>
      <w:r w:rsidRPr="00601EEA">
        <w:rPr>
          <w:rStyle w:val="TextoNormalCaracter"/>
        </w:rPr>
        <w:t>-</w:t>
      </w:r>
      <w:r>
        <w:t xml:space="preserve"> Sentencia </w:t>
      </w:r>
      <w:hyperlink w:anchor="SENTENCIA_2024_25" w:history="1">
        <w:r w:rsidRPr="00601EEA">
          <w:rPr>
            <w:rStyle w:val="TextoNormalCaracter"/>
          </w:rPr>
          <w:t>25/2024</w:t>
        </w:r>
      </w:hyperlink>
      <w:r>
        <w:t>, ff. 1, 12.</w:t>
      </w:r>
    </w:p>
    <w:p w14:paraId="3BF954E3" w14:textId="035027F7" w:rsidR="00601EEA" w:rsidRDefault="00601EEA" w:rsidP="00601EEA">
      <w:pPr>
        <w:pStyle w:val="SangriaFrancesaArticulo"/>
      </w:pPr>
      <w:r w:rsidRPr="00601EEA">
        <w:rPr>
          <w:rStyle w:val="TextoNormalNegritaCaracter"/>
        </w:rPr>
        <w:t>Disposición adicional cuarta, apartado 1.</w:t>
      </w:r>
      <w:r w:rsidRPr="00601EEA">
        <w:rPr>
          <w:rStyle w:val="TextoNormalCaracter"/>
        </w:rPr>
        <w:t>-</w:t>
      </w:r>
      <w:r>
        <w:t xml:space="preserve"> Sentencia </w:t>
      </w:r>
      <w:hyperlink w:anchor="SENTENCIA_2024_25" w:history="1">
        <w:r w:rsidRPr="00601EEA">
          <w:rPr>
            <w:rStyle w:val="TextoNormalCaracter"/>
          </w:rPr>
          <w:t>25/2024</w:t>
        </w:r>
      </w:hyperlink>
      <w:r>
        <w:t>, f. 12.</w:t>
      </w:r>
    </w:p>
    <w:p w14:paraId="77A04D70" w14:textId="7726CBFB" w:rsidR="00601EEA" w:rsidRDefault="00601EEA" w:rsidP="00601EEA">
      <w:pPr>
        <w:pStyle w:val="SangriaFrancesaArticulo"/>
      </w:pPr>
      <w:r w:rsidRPr="00601EEA">
        <w:rPr>
          <w:rStyle w:val="TextoNormalNegritaCaracter"/>
        </w:rPr>
        <w:t>Disposición adicional cuarta, apartado 2.</w:t>
      </w:r>
      <w:r w:rsidRPr="00601EEA">
        <w:rPr>
          <w:rStyle w:val="TextoNormalCaracter"/>
        </w:rPr>
        <w:t>-</w:t>
      </w:r>
      <w:r>
        <w:t xml:space="preserve"> Sentencia </w:t>
      </w:r>
      <w:hyperlink w:anchor="SENTENCIA_2024_25" w:history="1">
        <w:r w:rsidRPr="00601EEA">
          <w:rPr>
            <w:rStyle w:val="TextoNormalCaracter"/>
          </w:rPr>
          <w:t>25/2024</w:t>
        </w:r>
      </w:hyperlink>
      <w:r>
        <w:t>, f. 12.</w:t>
      </w:r>
    </w:p>
    <w:p w14:paraId="30CFDB4E" w14:textId="07CEF316" w:rsidR="00601EEA" w:rsidRDefault="00601EEA" w:rsidP="00601EEA">
      <w:pPr>
        <w:pStyle w:val="SangriaFrancesaArticulo"/>
      </w:pPr>
      <w:r w:rsidRPr="00601EEA">
        <w:rPr>
          <w:rStyle w:val="TextoNormalNegritaCaracter"/>
        </w:rPr>
        <w:t>Disposición adicional cuarta, apartado 3.</w:t>
      </w:r>
      <w:r w:rsidRPr="00601EEA">
        <w:rPr>
          <w:rStyle w:val="TextoNormalCaracter"/>
        </w:rPr>
        <w:t>-</w:t>
      </w:r>
      <w:r>
        <w:t xml:space="preserve"> Sentencia </w:t>
      </w:r>
      <w:hyperlink w:anchor="SENTENCIA_2024_25" w:history="1">
        <w:r w:rsidRPr="00601EEA">
          <w:rPr>
            <w:rStyle w:val="TextoNormalCaracter"/>
          </w:rPr>
          <w:t>25/2024</w:t>
        </w:r>
      </w:hyperlink>
      <w:r>
        <w:t>, f. 12.</w:t>
      </w:r>
    </w:p>
    <w:p w14:paraId="702E3928" w14:textId="23B0DAFF" w:rsidR="00601EEA" w:rsidRDefault="00601EEA" w:rsidP="00601EEA">
      <w:pPr>
        <w:pStyle w:val="SangriaFrancesaArticulo"/>
      </w:pPr>
      <w:r w:rsidRPr="00601EEA">
        <w:rPr>
          <w:rStyle w:val="TextoNormalNegritaCaracter"/>
        </w:rPr>
        <w:t>Disposición adicional cuarta, apartado 4.</w:t>
      </w:r>
      <w:r w:rsidRPr="00601EEA">
        <w:rPr>
          <w:rStyle w:val="TextoNormalCaracter"/>
        </w:rPr>
        <w:t>-</w:t>
      </w:r>
      <w:r>
        <w:t xml:space="preserve"> Sentencia </w:t>
      </w:r>
      <w:hyperlink w:anchor="SENTENCIA_2024_25" w:history="1">
        <w:r w:rsidRPr="00601EEA">
          <w:rPr>
            <w:rStyle w:val="TextoNormalCaracter"/>
          </w:rPr>
          <w:t>25/2024</w:t>
        </w:r>
      </w:hyperlink>
      <w:r>
        <w:t>, f. 12.</w:t>
      </w:r>
    </w:p>
    <w:p w14:paraId="41052A9A" w14:textId="7FCA154D" w:rsidR="00601EEA" w:rsidRDefault="00601EEA" w:rsidP="00601EEA">
      <w:pPr>
        <w:pStyle w:val="SangriaFrancesaArticulo"/>
      </w:pPr>
      <w:r w:rsidRPr="00601EEA">
        <w:rPr>
          <w:rStyle w:val="TextoNormalNegritaCaracter"/>
        </w:rPr>
        <w:t>Disposición derogatoria única, apartado 2 f).</w:t>
      </w:r>
      <w:r w:rsidRPr="00601EEA">
        <w:rPr>
          <w:rStyle w:val="TextoNormalCaracter"/>
        </w:rPr>
        <w:t>-</w:t>
      </w:r>
      <w:r>
        <w:t xml:space="preserve"> Sentencia </w:t>
      </w:r>
      <w:hyperlink w:anchor="SENTENCIA_2024_25" w:history="1">
        <w:r w:rsidRPr="00601EEA">
          <w:rPr>
            <w:rStyle w:val="TextoNormalCaracter"/>
          </w:rPr>
          <w:t>25/2024</w:t>
        </w:r>
      </w:hyperlink>
      <w:r>
        <w:t>, ff. 1, 13.</w:t>
      </w:r>
    </w:p>
    <w:p w14:paraId="4D1B5C87" w14:textId="2DB983E1" w:rsidR="00601EEA" w:rsidRDefault="00601EEA" w:rsidP="00601EEA">
      <w:pPr>
        <w:pStyle w:val="SangriaFrancesaArticulo"/>
      </w:pPr>
    </w:p>
    <w:p w14:paraId="78848BFA" w14:textId="77777777" w:rsidR="00601EEA" w:rsidRDefault="00601EEA" w:rsidP="00601EEA">
      <w:pPr>
        <w:pStyle w:val="TextoNormalNegritaCursivandice"/>
        <w:keepNext/>
      </w:pPr>
      <w:r>
        <w:t>Comunidad Autónoma de Andalucía. Decreto-ley 11/2022, de 29 de noviembre, por el que se modifica la Ley 7/2021, de 1 de diciembre, de impulso para la sostenibilidad del territorio de Andalucía</w:t>
      </w:r>
    </w:p>
    <w:p w14:paraId="039E243B" w14:textId="33442E7F"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25" w:history="1">
        <w:r w:rsidRPr="00601EEA">
          <w:rPr>
            <w:rStyle w:val="TextoNormalCaracter"/>
          </w:rPr>
          <w:t>25/2024</w:t>
        </w:r>
      </w:hyperlink>
      <w:r>
        <w:t>, ff. 2, 8.</w:t>
      </w:r>
    </w:p>
    <w:p w14:paraId="33B26B1D" w14:textId="305B2A00" w:rsidR="00601EEA" w:rsidRDefault="00601EEA" w:rsidP="00601EEA">
      <w:pPr>
        <w:pStyle w:val="SangriaFrancesaArticulo"/>
      </w:pPr>
      <w:r w:rsidRPr="00601EEA">
        <w:rPr>
          <w:rStyle w:val="TextoNormalNegritaCaracter"/>
        </w:rPr>
        <w:t>Artículo único, apartado 3.</w:t>
      </w:r>
      <w:r w:rsidRPr="00601EEA">
        <w:rPr>
          <w:rStyle w:val="TextoNormalCaracter"/>
        </w:rPr>
        <w:t>-</w:t>
      </w:r>
      <w:r>
        <w:t xml:space="preserve"> Sentencia </w:t>
      </w:r>
      <w:hyperlink w:anchor="SENTENCIA_2024_25" w:history="1">
        <w:r w:rsidRPr="00601EEA">
          <w:rPr>
            <w:rStyle w:val="TextoNormalCaracter"/>
          </w:rPr>
          <w:t>25/2024</w:t>
        </w:r>
      </w:hyperlink>
      <w:r>
        <w:t>, f. 8.</w:t>
      </w:r>
    </w:p>
    <w:p w14:paraId="168C0773" w14:textId="15067490" w:rsidR="00601EEA" w:rsidRDefault="00601EEA" w:rsidP="00601EEA">
      <w:pPr>
        <w:pStyle w:val="TextoNormal"/>
      </w:pPr>
    </w:p>
    <w:p w14:paraId="0AC9CC7E" w14:textId="77777777" w:rsidR="00601EEA" w:rsidRDefault="00601EEA" w:rsidP="00601EEA">
      <w:pPr>
        <w:pStyle w:val="TextoNormalNegritaCentradoSubrayado"/>
        <w:suppressAutoHyphens/>
      </w:pPr>
      <w:r>
        <w:t>J.1.c) Decretos y otras disposiciones reglamentarias</w:t>
      </w:r>
    </w:p>
    <w:p w14:paraId="519DBDB9" w14:textId="2B843AA0" w:rsidR="00601EEA" w:rsidRDefault="00601EEA" w:rsidP="00601EEA">
      <w:pPr>
        <w:pStyle w:val="TextoNormalNegritaCentradoSubrayado"/>
      </w:pPr>
    </w:p>
    <w:p w14:paraId="1D73490E" w14:textId="77777777" w:rsidR="00601EEA" w:rsidRDefault="00601EEA" w:rsidP="00601EEA">
      <w:pPr>
        <w:pStyle w:val="TextoNormalNegritaCursivandice"/>
        <w:keepNext/>
      </w:pPr>
      <w:r>
        <w:t>Comunidad Autónoma de Andalucía. Orden de 22 de mayo de 1998, por la que se dictan normas para la elaboración del presupuesto de la Comunidad Autónoma de Andalucía para 1999</w:t>
      </w:r>
    </w:p>
    <w:p w14:paraId="454188FB" w14:textId="766EBFE8"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93" w:history="1">
        <w:r w:rsidRPr="00601EEA">
          <w:rPr>
            <w:rStyle w:val="TextoNormalCaracter"/>
          </w:rPr>
          <w:t>93/2024</w:t>
        </w:r>
      </w:hyperlink>
      <w:r>
        <w:t>, ff. 2, 4.</w:t>
      </w:r>
    </w:p>
    <w:p w14:paraId="59F0DC68" w14:textId="084474CD" w:rsidR="00601EEA" w:rsidRDefault="00601EEA" w:rsidP="00601EEA">
      <w:pPr>
        <w:pStyle w:val="SangriaFrancesaArticulo"/>
      </w:pPr>
    </w:p>
    <w:p w14:paraId="76CD92F9" w14:textId="77777777" w:rsidR="00601EEA" w:rsidRDefault="00601EEA" w:rsidP="00601EEA">
      <w:pPr>
        <w:pStyle w:val="TextoNormalNegritaCursivandice"/>
        <w:keepNext/>
      </w:pPr>
      <w:r>
        <w:t>Comunidad Autónoma de Andalucía. Decreto 155/1998, de 21 de julio, de la Consejería de Medio Ambiente, por el que se aprueba el reglamento de vías pecuarias de la Comunidad Autónoma de Andalucía</w:t>
      </w:r>
    </w:p>
    <w:p w14:paraId="2C55E5DA" w14:textId="33CE064D" w:rsidR="00601EEA" w:rsidRDefault="00601EEA" w:rsidP="00601EEA">
      <w:pPr>
        <w:pStyle w:val="SangriaFrancesaArticulo"/>
      </w:pPr>
      <w:r w:rsidRPr="00601EEA">
        <w:rPr>
          <w:rStyle w:val="TextoNormalNegritaCaracter"/>
        </w:rPr>
        <w:t>Título I, capítulo IV, sección segunda.</w:t>
      </w:r>
      <w:r w:rsidRPr="00601EEA">
        <w:rPr>
          <w:rStyle w:val="TextoNormalCaracter"/>
        </w:rPr>
        <w:t>-</w:t>
      </w:r>
      <w:r>
        <w:t xml:space="preserve"> Sentencia </w:t>
      </w:r>
      <w:hyperlink w:anchor="SENTENCIA_2024_25" w:history="1">
        <w:r w:rsidRPr="00601EEA">
          <w:rPr>
            <w:rStyle w:val="TextoNormalCaracter"/>
          </w:rPr>
          <w:t>25/2024</w:t>
        </w:r>
      </w:hyperlink>
      <w:r>
        <w:t>, f. 12.</w:t>
      </w:r>
    </w:p>
    <w:p w14:paraId="6F8D0AFB" w14:textId="10EB4229" w:rsidR="00601EEA" w:rsidRDefault="00601EEA" w:rsidP="00601EEA">
      <w:pPr>
        <w:pStyle w:val="SangriaFrancesaArticulo"/>
      </w:pPr>
    </w:p>
    <w:p w14:paraId="61EC6491" w14:textId="77777777" w:rsidR="00601EEA" w:rsidRDefault="00601EEA" w:rsidP="00601EEA">
      <w:pPr>
        <w:pStyle w:val="TextoNormalNegritaCursivandice"/>
        <w:keepNext/>
      </w:pPr>
      <w:r>
        <w:t>Comunidad Autónoma de Andalucía. Convenio de colaboración entre la Consejería de Empleo y Desarrollo Tecnológico (CEDT), y el Instituto de Fomento de Andalucía (IFA), para la materialización de ayudas en materia de Trabajo y Seguridad Social, suscrito el 17 de julio de 2001</w:t>
      </w:r>
    </w:p>
    <w:p w14:paraId="3EC12093" w14:textId="0DE7EC09"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93" w:history="1">
        <w:r w:rsidRPr="00601EEA">
          <w:rPr>
            <w:rStyle w:val="TextoNormalCaracter"/>
          </w:rPr>
          <w:t>93/2024</w:t>
        </w:r>
      </w:hyperlink>
      <w:r>
        <w:t>, f. 2, VP II.</w:t>
      </w:r>
    </w:p>
    <w:p w14:paraId="2052BC62" w14:textId="2111B107" w:rsidR="00601EEA" w:rsidRDefault="00601EEA" w:rsidP="00601EEA">
      <w:pPr>
        <w:pStyle w:val="SangriaFrancesaArticulo"/>
      </w:pPr>
    </w:p>
    <w:p w14:paraId="51DAFE5B" w14:textId="77777777" w:rsidR="00601EEA" w:rsidRDefault="00601EEA" w:rsidP="00601EEA">
      <w:pPr>
        <w:pStyle w:val="TextoNormalNegritaCursivandice"/>
        <w:keepNext/>
      </w:pPr>
      <w:r>
        <w:t>Comunidad Autónoma de Andalucía. Resolución de la Dirección General de Trabajo y Seguridad Social de 22 de noviembre de 2002, por la que se ordena la inscripción, depósito y publicación del VI Convenio colectivo del personal laboral de la administración de la Junta de Andalucía</w:t>
      </w:r>
    </w:p>
    <w:p w14:paraId="5A83B05C" w14:textId="4C3BD56E" w:rsidR="00601EEA" w:rsidRDefault="00601EEA" w:rsidP="00601EEA">
      <w:pPr>
        <w:pStyle w:val="SangriaFrancesaArticulo"/>
      </w:pPr>
      <w:r w:rsidRPr="00601EEA">
        <w:rPr>
          <w:rStyle w:val="TextoNormalNegritaCaracter"/>
        </w:rPr>
        <w:t>Artículo 20.</w:t>
      </w:r>
      <w:r w:rsidRPr="00601EEA">
        <w:rPr>
          <w:rStyle w:val="TextoNormalCaracter"/>
        </w:rPr>
        <w:t>-</w:t>
      </w:r>
      <w:r>
        <w:t xml:space="preserve"> Sentencia </w:t>
      </w:r>
      <w:hyperlink w:anchor="SENTENCIA_2024_81" w:history="1">
        <w:r w:rsidRPr="00601EEA">
          <w:rPr>
            <w:rStyle w:val="TextoNormalCaracter"/>
          </w:rPr>
          <w:t>81/2024</w:t>
        </w:r>
      </w:hyperlink>
      <w:r>
        <w:t>, f. 4.</w:t>
      </w:r>
    </w:p>
    <w:p w14:paraId="5623C96F" w14:textId="35F386B5" w:rsidR="00601EEA" w:rsidRDefault="00601EEA" w:rsidP="00601EEA">
      <w:pPr>
        <w:pStyle w:val="SangriaFrancesaArticulo"/>
      </w:pPr>
    </w:p>
    <w:p w14:paraId="14C09410" w14:textId="77777777" w:rsidR="00601EEA" w:rsidRDefault="00601EEA" w:rsidP="00601EEA">
      <w:pPr>
        <w:pStyle w:val="TextoNormalNegritaCursivandice"/>
        <w:keepNext/>
      </w:pPr>
      <w:r>
        <w:t>Comunidad Autónoma de Andalucía. Orden de 4 de junio de 2003, por la que se dictan normas para la elaboración del presupuesto de la Comunidad Autónoma de Andalucía para el año 2004</w:t>
      </w:r>
    </w:p>
    <w:p w14:paraId="4A5A6C9B" w14:textId="0C37BF89"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93" w:history="1">
        <w:r w:rsidRPr="00601EEA">
          <w:rPr>
            <w:rStyle w:val="TextoNormalCaracter"/>
          </w:rPr>
          <w:t>93/2024</w:t>
        </w:r>
      </w:hyperlink>
      <w:r>
        <w:t>, f. 4.</w:t>
      </w:r>
    </w:p>
    <w:p w14:paraId="10CAFCAE" w14:textId="564C5B61" w:rsidR="00601EEA" w:rsidRDefault="00601EEA" w:rsidP="00601EEA">
      <w:pPr>
        <w:pStyle w:val="SangriaFrancesaArticulo"/>
      </w:pPr>
    </w:p>
    <w:p w14:paraId="6B60C661" w14:textId="77777777" w:rsidR="00601EEA" w:rsidRDefault="00601EEA" w:rsidP="00601EEA">
      <w:pPr>
        <w:pStyle w:val="TextoNormalNegritaCursivandice"/>
        <w:keepNext/>
      </w:pPr>
      <w:r>
        <w:t>Comunidad Autónoma de Andalucía. Decreto 206/2006, de 28 de noviembre, de la Consejería de Obras Públicas y Transportes, por el que se adapta el plan de ordenación del territorio de Andalucía a las resoluciones aprobadas por el Parlamento de Andalucía en sesión celebrada los días 25 y 26 de octubre de 2006 y se acuerda su publicación</w:t>
      </w:r>
    </w:p>
    <w:p w14:paraId="0A30A3DB" w14:textId="650DCE9E" w:rsidR="00601EEA" w:rsidRDefault="00601EEA" w:rsidP="00601EEA">
      <w:pPr>
        <w:pStyle w:val="SangriaFrancesaArticulo"/>
      </w:pPr>
      <w:r w:rsidRPr="00601EEA">
        <w:rPr>
          <w:rStyle w:val="TextoNormalNegritaCaracter"/>
        </w:rPr>
        <w:t>Norma 45.4 a).</w:t>
      </w:r>
      <w:r w:rsidRPr="00601EEA">
        <w:rPr>
          <w:rStyle w:val="TextoNormalCaracter"/>
        </w:rPr>
        <w:t>-</w:t>
      </w:r>
      <w:r>
        <w:t xml:space="preserve"> Sentencia </w:t>
      </w:r>
      <w:hyperlink w:anchor="SENTENCIA_2024_25" w:history="1">
        <w:r w:rsidRPr="00601EEA">
          <w:rPr>
            <w:rStyle w:val="TextoNormalCaracter"/>
          </w:rPr>
          <w:t>25/2024</w:t>
        </w:r>
      </w:hyperlink>
      <w:r>
        <w:t>, f. 13.</w:t>
      </w:r>
    </w:p>
    <w:p w14:paraId="00B5D464" w14:textId="5AA1BF31" w:rsidR="00601EEA" w:rsidRDefault="00601EEA" w:rsidP="00601EEA">
      <w:pPr>
        <w:pStyle w:val="SangriaFrancesaArticulo"/>
      </w:pPr>
    </w:p>
    <w:p w14:paraId="759CB6E8" w14:textId="77777777" w:rsidR="00601EEA" w:rsidRDefault="00601EEA" w:rsidP="00601EEA">
      <w:pPr>
        <w:pStyle w:val="TextoNormalNegritaCursivandice"/>
        <w:keepNext/>
      </w:pPr>
      <w:r>
        <w:t>Comunidad Autónoma de Andalucía. Orden de 1 de abril de 2011, por la que se aprueban las bases reguladoras de las ayudas sociolaborales destinadas a traba</w:t>
      </w:r>
      <w:r>
        <w:lastRenderedPageBreak/>
        <w:t>jadores y trabajadoras afectados por expedientes de reestructuración de empresas, en el ámbito de la Comunidad Autónoma de Andalucía, y se efectúa su convocatoria para el año 2011</w:t>
      </w:r>
    </w:p>
    <w:p w14:paraId="3F6EC801" w14:textId="78BCCC19"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93" w:history="1">
        <w:r w:rsidRPr="00601EEA">
          <w:rPr>
            <w:rStyle w:val="TextoNormalCaracter"/>
          </w:rPr>
          <w:t>93/2024</w:t>
        </w:r>
      </w:hyperlink>
      <w:r>
        <w:t>, f. 2.</w:t>
      </w:r>
    </w:p>
    <w:p w14:paraId="66176AEF" w14:textId="2B6E3EDF" w:rsidR="00601EEA" w:rsidRDefault="00601EEA" w:rsidP="00601EEA">
      <w:pPr>
        <w:pStyle w:val="SangriaFrancesaArticulo"/>
      </w:pPr>
    </w:p>
    <w:p w14:paraId="715451E1" w14:textId="77777777" w:rsidR="00601EEA" w:rsidRDefault="00601EEA" w:rsidP="00601EEA">
      <w:pPr>
        <w:pStyle w:val="TextoNormalNegritaCursivandice"/>
        <w:keepNext/>
      </w:pPr>
      <w:r>
        <w:t>Comunidad Autónoma de Andalucía. Orden de 13 de marzo de 2012, por la que se establecen las bases reguladoras y convocatoria para la concesión de subvenciones en régimen de concurrencia no competitiva destinadas a las personas trabajadoras beneficiarias de una ayuda sociolaboral en virtud de un expediente de reestructuración de empresa en el ámbito de la Comunidad Autónoma de Andalucía, afectadas por la situación de liquidación de la Compañía Aseguradora APRA LEVEN, N.V.</w:t>
      </w:r>
    </w:p>
    <w:p w14:paraId="08137F89" w14:textId="5CEDF044"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93" w:history="1">
        <w:r w:rsidRPr="00601EEA">
          <w:rPr>
            <w:rStyle w:val="TextoNormalCaracter"/>
          </w:rPr>
          <w:t>93/2024</w:t>
        </w:r>
      </w:hyperlink>
      <w:r>
        <w:t>, f. 2.</w:t>
      </w:r>
    </w:p>
    <w:p w14:paraId="139EEB60" w14:textId="52B86BFC" w:rsidR="00601EEA" w:rsidRDefault="00601EEA" w:rsidP="00601EEA">
      <w:pPr>
        <w:pStyle w:val="SangriaFrancesaArticulo"/>
      </w:pPr>
    </w:p>
    <w:p w14:paraId="54C23BDE" w14:textId="77777777" w:rsidR="00601EEA" w:rsidRDefault="00601EEA" w:rsidP="00601EEA">
      <w:pPr>
        <w:pStyle w:val="TextoNormalNegritaCursivandice"/>
        <w:keepNext/>
      </w:pPr>
      <w:r>
        <w:t>Comunidad Autónoma de Andalucía. Orden de 16 de marzo de 2012, por la que se modifica la Orden de 1 de abril de 2011, por la que se aprueban las bases reguladoras de las ayudas sociolaborales destinadas a trabajadores y trabajadoras afectadas por expedientes de reestructuración de empresas, en el ámbito de la Comunidad Autónoma de Andalucía, y efectúa su convocatoria para el año 2011, y se procede a una nueva convocatoria para el año 2012</w:t>
      </w:r>
    </w:p>
    <w:p w14:paraId="04C5AD89" w14:textId="2A8478EC"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93" w:history="1">
        <w:r w:rsidRPr="00601EEA">
          <w:rPr>
            <w:rStyle w:val="TextoNormalCaracter"/>
          </w:rPr>
          <w:t>93/2024</w:t>
        </w:r>
      </w:hyperlink>
      <w:r>
        <w:t>, f. 2.</w:t>
      </w:r>
    </w:p>
    <w:p w14:paraId="4ABFC1F1" w14:textId="39802985" w:rsidR="00601EEA" w:rsidRDefault="00601EEA" w:rsidP="00601EEA">
      <w:pPr>
        <w:pStyle w:val="SangriaFrancesaArticulo"/>
      </w:pPr>
    </w:p>
    <w:p w14:paraId="5B970064" w14:textId="77777777" w:rsidR="00601EEA" w:rsidRDefault="00601EEA" w:rsidP="00601EEA">
      <w:pPr>
        <w:pStyle w:val="TextoNormalNegritaCursivandice"/>
        <w:keepNext/>
      </w:pPr>
      <w:r>
        <w:t>Comunidad Autónoma de Andalucía. Decreto 550/2022, de 29 de noviembre, de la Consejería de Fomento, Articulación del Territorio y Vivienda, por el que se aprueba el Reglamento general de la Ley 7/2021, de 1 de diciembre, de impulso para la sostenibilidad del territorio de Andalucía</w:t>
      </w:r>
    </w:p>
    <w:p w14:paraId="1D1938EA" w14:textId="23473789" w:rsidR="00601EEA" w:rsidRDefault="00601EEA" w:rsidP="00601EEA">
      <w:pPr>
        <w:pStyle w:val="SangriaFrancesaArticulo"/>
      </w:pPr>
      <w:r w:rsidRPr="00601EEA">
        <w:rPr>
          <w:rStyle w:val="TextoNormalNegritaCaracter"/>
        </w:rPr>
        <w:t>Artículo 24.</w:t>
      </w:r>
      <w:r w:rsidRPr="00601EEA">
        <w:rPr>
          <w:rStyle w:val="TextoNormalCaracter"/>
        </w:rPr>
        <w:t>-</w:t>
      </w:r>
      <w:r>
        <w:t xml:space="preserve"> Sentencia </w:t>
      </w:r>
      <w:hyperlink w:anchor="SENTENCIA_2024_25" w:history="1">
        <w:r w:rsidRPr="00601EEA">
          <w:rPr>
            <w:rStyle w:val="TextoNormalCaracter"/>
          </w:rPr>
          <w:t>25/2024</w:t>
        </w:r>
      </w:hyperlink>
      <w:r>
        <w:t>, f. 7.</w:t>
      </w:r>
    </w:p>
    <w:p w14:paraId="7F9ABA88" w14:textId="65CB9680" w:rsidR="00601EEA" w:rsidRDefault="00601EEA" w:rsidP="00601EEA">
      <w:pPr>
        <w:pStyle w:val="SangriaFrancesaArticulo"/>
      </w:pPr>
      <w:r w:rsidRPr="00601EEA">
        <w:rPr>
          <w:rStyle w:val="TextoNormalNegritaCaracter"/>
        </w:rPr>
        <w:t>Artículo 27.4.</w:t>
      </w:r>
      <w:r w:rsidRPr="00601EEA">
        <w:rPr>
          <w:rStyle w:val="TextoNormalCaracter"/>
        </w:rPr>
        <w:t>-</w:t>
      </w:r>
      <w:r>
        <w:t xml:space="preserve"> Sentencia </w:t>
      </w:r>
      <w:hyperlink w:anchor="SENTENCIA_2024_25" w:history="1">
        <w:r w:rsidRPr="00601EEA">
          <w:rPr>
            <w:rStyle w:val="TextoNormalCaracter"/>
          </w:rPr>
          <w:t>25/2024</w:t>
        </w:r>
      </w:hyperlink>
      <w:r>
        <w:t>, f. 6.</w:t>
      </w:r>
    </w:p>
    <w:p w14:paraId="6599B701" w14:textId="5BC074A2" w:rsidR="00601EEA" w:rsidRDefault="00601EEA" w:rsidP="00601EEA">
      <w:pPr>
        <w:pStyle w:val="SangriaFrancesaArticulo"/>
      </w:pPr>
      <w:r w:rsidRPr="00601EEA">
        <w:rPr>
          <w:rStyle w:val="TextoNormalNegritaCaracter"/>
        </w:rPr>
        <w:t>Artículo 29.</w:t>
      </w:r>
      <w:r w:rsidRPr="00601EEA">
        <w:rPr>
          <w:rStyle w:val="TextoNormalCaracter"/>
        </w:rPr>
        <w:t>-</w:t>
      </w:r>
      <w:r>
        <w:t xml:space="preserve"> Sentencia </w:t>
      </w:r>
      <w:hyperlink w:anchor="SENTENCIA_2024_25" w:history="1">
        <w:r w:rsidRPr="00601EEA">
          <w:rPr>
            <w:rStyle w:val="TextoNormalCaracter"/>
          </w:rPr>
          <w:t>25/2024</w:t>
        </w:r>
      </w:hyperlink>
      <w:r>
        <w:t>, f. 6.</w:t>
      </w:r>
    </w:p>
    <w:p w14:paraId="0D40F85E" w14:textId="41793F39" w:rsidR="00601EEA" w:rsidRDefault="00601EEA" w:rsidP="00601EEA">
      <w:pPr>
        <w:pStyle w:val="SangriaFrancesaArticulo"/>
      </w:pPr>
      <w:r w:rsidRPr="00601EEA">
        <w:rPr>
          <w:rStyle w:val="TextoNormalNegritaCaracter"/>
        </w:rPr>
        <w:t>Artículo 30.</w:t>
      </w:r>
      <w:r w:rsidRPr="00601EEA">
        <w:rPr>
          <w:rStyle w:val="TextoNormalCaracter"/>
        </w:rPr>
        <w:t>-</w:t>
      </w:r>
      <w:r>
        <w:t xml:space="preserve"> Sentencia </w:t>
      </w:r>
      <w:hyperlink w:anchor="SENTENCIA_2024_25" w:history="1">
        <w:r w:rsidRPr="00601EEA">
          <w:rPr>
            <w:rStyle w:val="TextoNormalCaracter"/>
          </w:rPr>
          <w:t>25/2024</w:t>
        </w:r>
      </w:hyperlink>
      <w:r>
        <w:t>, f. 7.</w:t>
      </w:r>
    </w:p>
    <w:p w14:paraId="191B2845" w14:textId="21E267CC" w:rsidR="00601EEA" w:rsidRDefault="00601EEA" w:rsidP="00601EEA">
      <w:pPr>
        <w:pStyle w:val="SangriaFrancesaArticulo"/>
      </w:pPr>
      <w:r w:rsidRPr="00601EEA">
        <w:rPr>
          <w:rStyle w:val="TextoNormalNegritaCaracter"/>
        </w:rPr>
        <w:t>Artículo 31.</w:t>
      </w:r>
      <w:r w:rsidRPr="00601EEA">
        <w:rPr>
          <w:rStyle w:val="TextoNormalCaracter"/>
        </w:rPr>
        <w:t>-</w:t>
      </w:r>
      <w:r>
        <w:t xml:space="preserve"> Sentencia </w:t>
      </w:r>
      <w:hyperlink w:anchor="SENTENCIA_2024_25" w:history="1">
        <w:r w:rsidRPr="00601EEA">
          <w:rPr>
            <w:rStyle w:val="TextoNormalCaracter"/>
          </w:rPr>
          <w:t>25/2024</w:t>
        </w:r>
      </w:hyperlink>
      <w:r>
        <w:t>, f. 7.</w:t>
      </w:r>
    </w:p>
    <w:p w14:paraId="0D9C7EB4" w14:textId="47B580CE" w:rsidR="00601EEA" w:rsidRDefault="00601EEA" w:rsidP="00601EEA">
      <w:pPr>
        <w:pStyle w:val="TextoNormal"/>
      </w:pPr>
    </w:p>
    <w:p w14:paraId="1D7679C3" w14:textId="77777777" w:rsidR="00601EEA" w:rsidRDefault="00601EEA" w:rsidP="00601EEA">
      <w:pPr>
        <w:pStyle w:val="TextoNormalNegritaCentradoSubrayado"/>
        <w:suppressAutoHyphens/>
      </w:pPr>
      <w:r>
        <w:t>J.1.d) Disposiciones parlamentarias autonómicas</w:t>
      </w:r>
    </w:p>
    <w:p w14:paraId="295CCCCD" w14:textId="68298F97" w:rsidR="00601EEA" w:rsidRDefault="00601EEA" w:rsidP="00601EEA">
      <w:pPr>
        <w:pStyle w:val="TextoNormalNegritaCentradoSubrayado"/>
      </w:pPr>
    </w:p>
    <w:p w14:paraId="030B3780" w14:textId="77777777" w:rsidR="00601EEA" w:rsidRDefault="00601EEA" w:rsidP="00601EEA">
      <w:pPr>
        <w:pStyle w:val="TextoNormalNegritaCursivandice"/>
        <w:keepNext/>
      </w:pPr>
      <w:r>
        <w:t>Comunidad Autónoma de Andalucía. Reglamento del Parlamento de Andalucía, de 28 de septiembre de 2005</w:t>
      </w:r>
    </w:p>
    <w:p w14:paraId="66C3B121" w14:textId="7E2FBE37"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25" w:history="1">
        <w:r w:rsidRPr="00601EEA">
          <w:rPr>
            <w:rStyle w:val="TextoNormalCaracter"/>
          </w:rPr>
          <w:t>25/2024</w:t>
        </w:r>
      </w:hyperlink>
      <w:r>
        <w:t>, f. 13.</w:t>
      </w:r>
    </w:p>
    <w:p w14:paraId="16D26648" w14:textId="46288DA3" w:rsidR="00601EEA" w:rsidRDefault="00601EEA" w:rsidP="00601EEA">
      <w:pPr>
        <w:pStyle w:val="SangriaFrancesaArticulo"/>
      </w:pPr>
      <w:r w:rsidRPr="00601EEA">
        <w:rPr>
          <w:rStyle w:val="TextoNormalNegritaCaracter"/>
        </w:rPr>
        <w:t>Título V.</w:t>
      </w:r>
      <w:r w:rsidRPr="00601EEA">
        <w:rPr>
          <w:rStyle w:val="TextoNormalCaracter"/>
        </w:rPr>
        <w:t>-</w:t>
      </w:r>
      <w:r>
        <w:t xml:space="preserve"> Sentencia </w:t>
      </w:r>
      <w:hyperlink w:anchor="SENTENCIA_2024_93" w:history="1">
        <w:r w:rsidRPr="00601EEA">
          <w:rPr>
            <w:rStyle w:val="TextoNormalCaracter"/>
          </w:rPr>
          <w:t>93/2024</w:t>
        </w:r>
      </w:hyperlink>
      <w:r>
        <w:t>, VP II.</w:t>
      </w:r>
    </w:p>
    <w:p w14:paraId="501BDA0C" w14:textId="786CD4F0" w:rsidR="00601EEA" w:rsidRDefault="00601EEA" w:rsidP="00601EEA">
      <w:pPr>
        <w:pStyle w:val="SangriaFrancesaArticulo"/>
      </w:pPr>
      <w:r w:rsidRPr="00601EEA">
        <w:rPr>
          <w:rStyle w:val="TextoNormalNegritaCaracter"/>
        </w:rPr>
        <w:t>Artículo 98.</w:t>
      </w:r>
      <w:r w:rsidRPr="00601EEA">
        <w:rPr>
          <w:rStyle w:val="TextoNormalCaracter"/>
        </w:rPr>
        <w:t>-</w:t>
      </w:r>
      <w:r>
        <w:t xml:space="preserve"> Sentencia </w:t>
      </w:r>
      <w:hyperlink w:anchor="SENTENCIA_2024_25" w:history="1">
        <w:r w:rsidRPr="00601EEA">
          <w:rPr>
            <w:rStyle w:val="TextoNormalCaracter"/>
          </w:rPr>
          <w:t>25/2024</w:t>
        </w:r>
      </w:hyperlink>
      <w:r>
        <w:t>, ff. 1, 3.</w:t>
      </w:r>
    </w:p>
    <w:p w14:paraId="686A6905" w14:textId="343A483C" w:rsidR="00601EEA" w:rsidRDefault="00601EEA" w:rsidP="00601EEA">
      <w:pPr>
        <w:pStyle w:val="SangriaFrancesaArticulo"/>
      </w:pPr>
      <w:r w:rsidRPr="00601EEA">
        <w:rPr>
          <w:rStyle w:val="TextoNormalNegritaCaracter"/>
        </w:rPr>
        <w:t>Artículo 99.</w:t>
      </w:r>
      <w:r w:rsidRPr="00601EEA">
        <w:rPr>
          <w:rStyle w:val="TextoNormalCaracter"/>
        </w:rPr>
        <w:t>-</w:t>
      </w:r>
      <w:r>
        <w:t xml:space="preserve"> Sentencia </w:t>
      </w:r>
      <w:hyperlink w:anchor="SENTENCIA_2024_25" w:history="1">
        <w:r w:rsidRPr="00601EEA">
          <w:rPr>
            <w:rStyle w:val="TextoNormalCaracter"/>
          </w:rPr>
          <w:t>25/2024</w:t>
        </w:r>
      </w:hyperlink>
      <w:r>
        <w:t>, ff. 1, 3.</w:t>
      </w:r>
    </w:p>
    <w:p w14:paraId="7817E466" w14:textId="1D92547C" w:rsidR="00601EEA" w:rsidRDefault="00601EEA" w:rsidP="00601EEA">
      <w:pPr>
        <w:pStyle w:val="SangriaFrancesaArticulo"/>
      </w:pPr>
      <w:r w:rsidRPr="00601EEA">
        <w:rPr>
          <w:rStyle w:val="TextoNormalNegritaCaracter"/>
        </w:rPr>
        <w:t>Artículo 108.</w:t>
      </w:r>
      <w:r w:rsidRPr="00601EEA">
        <w:rPr>
          <w:rStyle w:val="TextoNormalCaracter"/>
        </w:rPr>
        <w:t>-</w:t>
      </w:r>
      <w:r>
        <w:t xml:space="preserve"> Sentencia </w:t>
      </w:r>
      <w:hyperlink w:anchor="SENTENCIA_2024_93" w:history="1">
        <w:r w:rsidRPr="00601EEA">
          <w:rPr>
            <w:rStyle w:val="TextoNormalCaracter"/>
          </w:rPr>
          <w:t>93/2024</w:t>
        </w:r>
      </w:hyperlink>
      <w:r>
        <w:t>, VP II.</w:t>
      </w:r>
    </w:p>
    <w:p w14:paraId="35502E59" w14:textId="7BB1EA5E" w:rsidR="00601EEA" w:rsidRDefault="00601EEA" w:rsidP="00601EEA">
      <w:pPr>
        <w:pStyle w:val="SangriaFrancesaArticulo"/>
      </w:pPr>
      <w:r w:rsidRPr="00601EEA">
        <w:rPr>
          <w:rStyle w:val="TextoNormalNegritaCaracter"/>
        </w:rPr>
        <w:t>Artículos 108 y siguientes.</w:t>
      </w:r>
      <w:r w:rsidRPr="00601EEA">
        <w:rPr>
          <w:rStyle w:val="TextoNormalCaracter"/>
        </w:rPr>
        <w:t>-</w:t>
      </w:r>
      <w:r>
        <w:t xml:space="preserve"> Sentencia </w:t>
      </w:r>
      <w:hyperlink w:anchor="SENTENCIA_2024_93" w:history="1">
        <w:r w:rsidRPr="00601EEA">
          <w:rPr>
            <w:rStyle w:val="TextoNormalCaracter"/>
          </w:rPr>
          <w:t>93/2024</w:t>
        </w:r>
      </w:hyperlink>
      <w:r>
        <w:t>, VP II.</w:t>
      </w:r>
    </w:p>
    <w:p w14:paraId="6DE40ACC" w14:textId="2AEC4341" w:rsidR="00601EEA" w:rsidRDefault="00601EEA" w:rsidP="00601EEA">
      <w:pPr>
        <w:pStyle w:val="SangriaFrancesaArticulo"/>
      </w:pPr>
      <w:r w:rsidRPr="00601EEA">
        <w:rPr>
          <w:rStyle w:val="TextoNormalNegritaCaracter"/>
        </w:rPr>
        <w:t>Artículo 110.</w:t>
      </w:r>
      <w:r w:rsidRPr="00601EEA">
        <w:rPr>
          <w:rStyle w:val="TextoNormalCaracter"/>
        </w:rPr>
        <w:t>-</w:t>
      </w:r>
      <w:r>
        <w:t xml:space="preserve"> Sentencia </w:t>
      </w:r>
      <w:hyperlink w:anchor="SENTENCIA_2024_25" w:history="1">
        <w:r w:rsidRPr="00601EEA">
          <w:rPr>
            <w:rStyle w:val="TextoNormalCaracter"/>
          </w:rPr>
          <w:t>25/2024</w:t>
        </w:r>
      </w:hyperlink>
      <w:r>
        <w:t>, ff. 1, 3.</w:t>
      </w:r>
    </w:p>
    <w:p w14:paraId="3AB6AC4F" w14:textId="37CACF39" w:rsidR="00601EEA" w:rsidRDefault="00601EEA" w:rsidP="00601EEA">
      <w:pPr>
        <w:pStyle w:val="SangriaFrancesaArticulo"/>
      </w:pPr>
      <w:r w:rsidRPr="00601EEA">
        <w:rPr>
          <w:rStyle w:val="TextoNormalNegritaCaracter"/>
        </w:rPr>
        <w:t>Artículo 113.1.</w:t>
      </w:r>
      <w:r w:rsidRPr="00601EEA">
        <w:rPr>
          <w:rStyle w:val="TextoNormalCaracter"/>
        </w:rPr>
        <w:t>-</w:t>
      </w:r>
      <w:r>
        <w:t xml:space="preserve"> Sentencia </w:t>
      </w:r>
      <w:hyperlink w:anchor="SENTENCIA_2024_25" w:history="1">
        <w:r w:rsidRPr="00601EEA">
          <w:rPr>
            <w:rStyle w:val="TextoNormalCaracter"/>
          </w:rPr>
          <w:t>25/2024</w:t>
        </w:r>
      </w:hyperlink>
      <w:r>
        <w:t>, f. 3.</w:t>
      </w:r>
    </w:p>
    <w:p w14:paraId="3473BC81" w14:textId="2BAC31D9" w:rsidR="00601EEA" w:rsidRDefault="00601EEA" w:rsidP="00601EEA">
      <w:pPr>
        <w:pStyle w:val="SangriaFrancesaArticulo"/>
      </w:pPr>
      <w:r w:rsidRPr="00601EEA">
        <w:rPr>
          <w:rStyle w:val="TextoNormalNegritaCaracter"/>
        </w:rPr>
        <w:t>Artículo 129.3.</w:t>
      </w:r>
      <w:r w:rsidRPr="00601EEA">
        <w:rPr>
          <w:rStyle w:val="TextoNormalCaracter"/>
        </w:rPr>
        <w:t>-</w:t>
      </w:r>
      <w:r>
        <w:t xml:space="preserve"> Sentencia </w:t>
      </w:r>
      <w:hyperlink w:anchor="SENTENCIA_2024_93" w:history="1">
        <w:r w:rsidRPr="00601EEA">
          <w:rPr>
            <w:rStyle w:val="TextoNormalCaracter"/>
          </w:rPr>
          <w:t>93/2024</w:t>
        </w:r>
      </w:hyperlink>
      <w:r>
        <w:t>, VP I.</w:t>
      </w:r>
    </w:p>
    <w:p w14:paraId="3615DB24" w14:textId="1447FF46" w:rsidR="00601EEA" w:rsidRDefault="00601EEA" w:rsidP="00601EEA">
      <w:pPr>
        <w:pStyle w:val="SangriaFrancesaArticulo"/>
      </w:pPr>
      <w:r w:rsidRPr="00601EEA">
        <w:rPr>
          <w:rStyle w:val="TextoNormalNegritaCaracter"/>
        </w:rPr>
        <w:t>Artículo 130.</w:t>
      </w:r>
      <w:r w:rsidRPr="00601EEA">
        <w:rPr>
          <w:rStyle w:val="TextoNormalCaracter"/>
        </w:rPr>
        <w:t>-</w:t>
      </w:r>
      <w:r>
        <w:t xml:space="preserve"> Sentencia </w:t>
      </w:r>
      <w:hyperlink w:anchor="SENTENCIA_2024_93" w:history="1">
        <w:r w:rsidRPr="00601EEA">
          <w:rPr>
            <w:rStyle w:val="TextoNormalCaracter"/>
          </w:rPr>
          <w:t>93/2024</w:t>
        </w:r>
      </w:hyperlink>
      <w:r>
        <w:t>, f. 4.</w:t>
      </w:r>
    </w:p>
    <w:p w14:paraId="63B73B89" w14:textId="286C7140" w:rsidR="00601EEA" w:rsidRDefault="00601EEA" w:rsidP="00601EEA">
      <w:pPr>
        <w:pStyle w:val="SangriaFrancesaArticulo"/>
      </w:pPr>
      <w:r w:rsidRPr="00601EEA">
        <w:rPr>
          <w:rStyle w:val="TextoNormalNegritaCaracter"/>
        </w:rPr>
        <w:lastRenderedPageBreak/>
        <w:t>Artículo 149.</w:t>
      </w:r>
      <w:r w:rsidRPr="00601EEA">
        <w:rPr>
          <w:rStyle w:val="TextoNormalCaracter"/>
        </w:rPr>
        <w:t>-</w:t>
      </w:r>
      <w:r>
        <w:t xml:space="preserve"> Sentencia </w:t>
      </w:r>
      <w:hyperlink w:anchor="SENTENCIA_2024_25" w:history="1">
        <w:r w:rsidRPr="00601EEA">
          <w:rPr>
            <w:rStyle w:val="TextoNormalCaracter"/>
          </w:rPr>
          <w:t>25/2024</w:t>
        </w:r>
      </w:hyperlink>
      <w:r>
        <w:t>, f. 13.</w:t>
      </w:r>
    </w:p>
    <w:p w14:paraId="3AFBC0A2" w14:textId="6719CC15" w:rsidR="00601EEA" w:rsidRDefault="00601EEA" w:rsidP="00601EEA">
      <w:pPr>
        <w:pStyle w:val="TextoNormal"/>
      </w:pPr>
    </w:p>
    <w:p w14:paraId="63A90FA6" w14:textId="77777777" w:rsidR="00601EEA" w:rsidRDefault="00601EEA" w:rsidP="00601EEA">
      <w:pPr>
        <w:pStyle w:val="TextoNormalNegritaCentrado"/>
        <w:suppressAutoHyphens/>
      </w:pPr>
      <w:r w:rsidRPr="00601EEA">
        <w:rPr>
          <w:rStyle w:val="TextoNormalNegritaCentradoSombreado"/>
        </w:rPr>
        <w:t>J.2) Aragón</w:t>
      </w:r>
    </w:p>
    <w:p w14:paraId="4029306D" w14:textId="0733A762" w:rsidR="00601EEA" w:rsidRDefault="00601EEA" w:rsidP="00601EEA">
      <w:pPr>
        <w:pStyle w:val="TextoNormal"/>
      </w:pPr>
    </w:p>
    <w:p w14:paraId="1BDD6B72" w14:textId="77777777" w:rsidR="00601EEA" w:rsidRDefault="00601EEA" w:rsidP="00601EEA">
      <w:pPr>
        <w:pStyle w:val="TextoNormalNegritaCentradoSubrayado"/>
        <w:suppressAutoHyphens/>
      </w:pPr>
      <w:r>
        <w:t>J.2.b) Leyes y disposiciones con fuerza de Ley</w:t>
      </w:r>
    </w:p>
    <w:p w14:paraId="39B483C7" w14:textId="5D302A8E" w:rsidR="00601EEA" w:rsidRDefault="00601EEA" w:rsidP="00601EEA">
      <w:pPr>
        <w:pStyle w:val="TextoNormalNegritaCentradoSubrayado"/>
      </w:pPr>
    </w:p>
    <w:p w14:paraId="3A879E6B" w14:textId="77777777" w:rsidR="00601EEA" w:rsidRDefault="00601EEA" w:rsidP="00601EEA">
      <w:pPr>
        <w:pStyle w:val="TextoNormalNegritaCursivandice"/>
        <w:keepNext/>
      </w:pPr>
      <w:r>
        <w:t>Comunidad Autónoma de Aragón. Decreto-Legislativo 1/2014, de 8 de julio, del Gobierno de Aragón, por el que se aprueba el texto refundido de la Ley de urbanismo de Aragón</w:t>
      </w:r>
    </w:p>
    <w:p w14:paraId="46057CF1" w14:textId="706B8161" w:rsidR="00601EEA" w:rsidRDefault="00601EEA" w:rsidP="00601EEA">
      <w:pPr>
        <w:pStyle w:val="SangriaFrancesaArticulo"/>
      </w:pPr>
      <w:r w:rsidRPr="00601EEA">
        <w:rPr>
          <w:rStyle w:val="TextoNormalNegritaCaracter"/>
        </w:rPr>
        <w:t>Artículo 34.2.</w:t>
      </w:r>
      <w:r w:rsidRPr="00601EEA">
        <w:rPr>
          <w:rStyle w:val="TextoNormalCaracter"/>
        </w:rPr>
        <w:t>-</w:t>
      </w:r>
      <w:r>
        <w:t xml:space="preserve"> Sentencia </w:t>
      </w:r>
      <w:hyperlink w:anchor="SENTENCIA_2024_25" w:history="1">
        <w:r w:rsidRPr="00601EEA">
          <w:rPr>
            <w:rStyle w:val="TextoNormalCaracter"/>
          </w:rPr>
          <w:t>25/2024</w:t>
        </w:r>
      </w:hyperlink>
      <w:r>
        <w:t>, f. 7.</w:t>
      </w:r>
    </w:p>
    <w:p w14:paraId="32E35058" w14:textId="558E0FEB" w:rsidR="00601EEA" w:rsidRDefault="00601EEA" w:rsidP="00601EEA">
      <w:pPr>
        <w:pStyle w:val="SangriaFrancesaArticulo"/>
      </w:pPr>
    </w:p>
    <w:p w14:paraId="465585C3" w14:textId="77777777" w:rsidR="00601EEA" w:rsidRDefault="00601EEA" w:rsidP="00601EEA">
      <w:pPr>
        <w:pStyle w:val="TextoNormalNegritaCursivandice"/>
        <w:keepNext/>
      </w:pPr>
      <w:r>
        <w:t>Comunidad Autónoma de Aragón. Decreto-ley 1/2023, de 20 de marzo, de medidas urgentes para el impulso de la transición energética y el consumo de cercanía en Aragón</w:t>
      </w:r>
    </w:p>
    <w:p w14:paraId="5400A6F0" w14:textId="662B07AB" w:rsidR="00601EEA" w:rsidRDefault="00601EEA" w:rsidP="00601EEA">
      <w:pPr>
        <w:pStyle w:val="SangriaFrancesaArticulo"/>
      </w:pPr>
      <w:r w:rsidRPr="00601EEA">
        <w:rPr>
          <w:rStyle w:val="TextoNormalNegritaCaracter"/>
        </w:rPr>
        <w:t>En general.</w:t>
      </w:r>
      <w:r w:rsidRPr="00601EEA">
        <w:rPr>
          <w:rStyle w:val="TextoNormalCaracter"/>
        </w:rPr>
        <w:t>-</w:t>
      </w:r>
      <w:r>
        <w:t xml:space="preserve"> Auto </w:t>
      </w:r>
      <w:hyperlink w:anchor="AUTO_2024_37" w:history="1">
        <w:r w:rsidRPr="00601EEA">
          <w:rPr>
            <w:rStyle w:val="TextoNormalCaracter"/>
          </w:rPr>
          <w:t>37/2024</w:t>
        </w:r>
      </w:hyperlink>
      <w:r>
        <w:t>, f. 3.</w:t>
      </w:r>
    </w:p>
    <w:p w14:paraId="6426406C" w14:textId="130E5A15" w:rsidR="00601EEA" w:rsidRDefault="00601EEA" w:rsidP="00601EEA">
      <w:pPr>
        <w:pStyle w:val="SangriaFrancesaArticulo"/>
      </w:pPr>
      <w:r w:rsidRPr="00601EEA">
        <w:rPr>
          <w:rStyle w:val="TextoNormalNegritaCaracter"/>
        </w:rPr>
        <w:t>Artículo 4.</w:t>
      </w:r>
      <w:r w:rsidRPr="00601EEA">
        <w:rPr>
          <w:rStyle w:val="TextoNormalCaracter"/>
        </w:rPr>
        <w:t>-</w:t>
      </w:r>
      <w:r>
        <w:t xml:space="preserve"> Auto </w:t>
      </w:r>
      <w:hyperlink w:anchor="AUTO_2024_37" w:history="1">
        <w:r w:rsidRPr="00601EEA">
          <w:rPr>
            <w:rStyle w:val="TextoNormalCaracter"/>
          </w:rPr>
          <w:t>37/2024</w:t>
        </w:r>
      </w:hyperlink>
      <w:r>
        <w:t>, f. 1.</w:t>
      </w:r>
    </w:p>
    <w:p w14:paraId="6394F091" w14:textId="5F4B9141" w:rsidR="00601EEA" w:rsidRDefault="00601EEA" w:rsidP="00601EEA">
      <w:pPr>
        <w:pStyle w:val="SangriaFrancesaArticulo"/>
      </w:pPr>
      <w:r w:rsidRPr="00601EEA">
        <w:rPr>
          <w:rStyle w:val="TextoNormalNegritaCaracter"/>
        </w:rPr>
        <w:t>Artículo 5 apartados 1, 2, 4.</w:t>
      </w:r>
      <w:r w:rsidRPr="00601EEA">
        <w:rPr>
          <w:rStyle w:val="TextoNormalCaracter"/>
        </w:rPr>
        <w:t>-</w:t>
      </w:r>
      <w:r>
        <w:t xml:space="preserve"> Auto </w:t>
      </w:r>
      <w:hyperlink w:anchor="AUTO_2024_37" w:history="1">
        <w:r w:rsidRPr="00601EEA">
          <w:rPr>
            <w:rStyle w:val="TextoNormalCaracter"/>
          </w:rPr>
          <w:t>37/2024</w:t>
        </w:r>
      </w:hyperlink>
      <w:r>
        <w:t>, f. 1.</w:t>
      </w:r>
    </w:p>
    <w:p w14:paraId="5B16CCED" w14:textId="419213F9" w:rsidR="00601EEA" w:rsidRDefault="00601EEA" w:rsidP="00601EEA">
      <w:pPr>
        <w:pStyle w:val="SangriaFrancesaArticulo"/>
      </w:pPr>
      <w:r w:rsidRPr="00601EEA">
        <w:rPr>
          <w:rStyle w:val="TextoNormalNegritaCaracter"/>
        </w:rPr>
        <w:t>Artículo 6.</w:t>
      </w:r>
      <w:r w:rsidRPr="00601EEA">
        <w:rPr>
          <w:rStyle w:val="TextoNormalCaracter"/>
        </w:rPr>
        <w:t>-</w:t>
      </w:r>
      <w:r>
        <w:t xml:space="preserve"> Auto </w:t>
      </w:r>
      <w:hyperlink w:anchor="AUTO_2024_37" w:history="1">
        <w:r w:rsidRPr="00601EEA">
          <w:rPr>
            <w:rStyle w:val="TextoNormalCaracter"/>
          </w:rPr>
          <w:t>37/2024</w:t>
        </w:r>
      </w:hyperlink>
      <w:r>
        <w:t>, f. 1.</w:t>
      </w:r>
    </w:p>
    <w:p w14:paraId="14DED9CB" w14:textId="2E560854" w:rsidR="00601EEA" w:rsidRDefault="00601EEA" w:rsidP="00601EEA">
      <w:pPr>
        <w:pStyle w:val="SangriaFrancesaArticulo"/>
      </w:pPr>
      <w:r w:rsidRPr="00601EEA">
        <w:rPr>
          <w:rStyle w:val="TextoNormalNegritaCaracter"/>
        </w:rPr>
        <w:t>Artículo 7 apartados 1, 2, 3 epígrafes a), b), c).</w:t>
      </w:r>
      <w:r w:rsidRPr="00601EEA">
        <w:rPr>
          <w:rStyle w:val="TextoNormalCaracter"/>
        </w:rPr>
        <w:t>-</w:t>
      </w:r>
      <w:r>
        <w:t xml:space="preserve"> Auto </w:t>
      </w:r>
      <w:hyperlink w:anchor="AUTO_2024_37" w:history="1">
        <w:r w:rsidRPr="00601EEA">
          <w:rPr>
            <w:rStyle w:val="TextoNormalCaracter"/>
          </w:rPr>
          <w:t>37/2024</w:t>
        </w:r>
      </w:hyperlink>
      <w:r>
        <w:t>, f. 1.</w:t>
      </w:r>
    </w:p>
    <w:p w14:paraId="6B45C020" w14:textId="6A7099E3" w:rsidR="00601EEA" w:rsidRDefault="00601EEA" w:rsidP="00601EEA">
      <w:pPr>
        <w:pStyle w:val="SangriaFrancesaArticulo"/>
      </w:pPr>
      <w:r w:rsidRPr="00601EEA">
        <w:rPr>
          <w:rStyle w:val="TextoNormalNegritaCaracter"/>
        </w:rPr>
        <w:t>Artículo 12 apartados 2 inciso "Las redes interiores podrán establecerse en cualquier nivel de tensión a efectos de autoconsumo", 3 inciso "y a establecer y operar redes interiores de cualquier nivel de tension para establecer sistemas de autoconsumo".</w:t>
      </w:r>
      <w:r w:rsidRPr="00601EEA">
        <w:rPr>
          <w:rStyle w:val="TextoNormalCaracter"/>
        </w:rPr>
        <w:t>-</w:t>
      </w:r>
      <w:r>
        <w:t xml:space="preserve"> Auto </w:t>
      </w:r>
      <w:hyperlink w:anchor="AUTO_2024_37" w:history="1">
        <w:r w:rsidRPr="00601EEA">
          <w:rPr>
            <w:rStyle w:val="TextoNormalCaracter"/>
          </w:rPr>
          <w:t>37/2024</w:t>
        </w:r>
      </w:hyperlink>
      <w:r>
        <w:t>, f. 1.</w:t>
      </w:r>
    </w:p>
    <w:p w14:paraId="236561F3" w14:textId="67F601F9" w:rsidR="00601EEA" w:rsidRDefault="00601EEA" w:rsidP="00601EEA">
      <w:pPr>
        <w:pStyle w:val="SangriaFrancesaArticulo"/>
      </w:pPr>
      <w:r w:rsidRPr="00601EEA">
        <w:rPr>
          <w:rStyle w:val="TextoNormalNegritaCaracter"/>
        </w:rPr>
        <w:t>Artículo 13 apartados 2, 3, 4.</w:t>
      </w:r>
      <w:r w:rsidRPr="00601EEA">
        <w:rPr>
          <w:rStyle w:val="TextoNormalCaracter"/>
        </w:rPr>
        <w:t>-</w:t>
      </w:r>
      <w:r>
        <w:t xml:space="preserve"> Auto </w:t>
      </w:r>
      <w:hyperlink w:anchor="AUTO_2024_37" w:history="1">
        <w:r w:rsidRPr="00601EEA">
          <w:rPr>
            <w:rStyle w:val="TextoNormalCaracter"/>
          </w:rPr>
          <w:t>37/2024</w:t>
        </w:r>
      </w:hyperlink>
      <w:r>
        <w:t>, f. 1.</w:t>
      </w:r>
    </w:p>
    <w:p w14:paraId="4D5F9BC1" w14:textId="7C6084EE" w:rsidR="00601EEA" w:rsidRDefault="00601EEA" w:rsidP="00601EEA">
      <w:pPr>
        <w:pStyle w:val="SangriaFrancesaArticulo"/>
      </w:pPr>
      <w:r w:rsidRPr="00601EEA">
        <w:rPr>
          <w:rStyle w:val="TextoNormalNegritaCaracter"/>
        </w:rPr>
        <w:t>Artículo 19.</w:t>
      </w:r>
      <w:r w:rsidRPr="00601EEA">
        <w:rPr>
          <w:rStyle w:val="TextoNormalCaracter"/>
        </w:rPr>
        <w:t>-</w:t>
      </w:r>
      <w:r>
        <w:t xml:space="preserve"> Auto </w:t>
      </w:r>
      <w:hyperlink w:anchor="AUTO_2024_37" w:history="1">
        <w:r w:rsidRPr="00601EEA">
          <w:rPr>
            <w:rStyle w:val="TextoNormalCaracter"/>
          </w:rPr>
          <w:t>37/2024</w:t>
        </w:r>
      </w:hyperlink>
      <w:r>
        <w:t>, f. 1.</w:t>
      </w:r>
    </w:p>
    <w:p w14:paraId="5B963450" w14:textId="200A8C72" w:rsidR="00601EEA" w:rsidRDefault="00601EEA" w:rsidP="00601EEA">
      <w:pPr>
        <w:pStyle w:val="SangriaFrancesaArticulo"/>
      </w:pPr>
      <w:r w:rsidRPr="00601EEA">
        <w:rPr>
          <w:rStyle w:val="TextoNormalNegritaCaracter"/>
        </w:rPr>
        <w:t>Artículo 22.2.</w:t>
      </w:r>
      <w:r w:rsidRPr="00601EEA">
        <w:rPr>
          <w:rStyle w:val="TextoNormalCaracter"/>
        </w:rPr>
        <w:t>-</w:t>
      </w:r>
      <w:r>
        <w:t xml:space="preserve"> Auto </w:t>
      </w:r>
      <w:hyperlink w:anchor="AUTO_2024_37" w:history="1">
        <w:r w:rsidRPr="00601EEA">
          <w:rPr>
            <w:rStyle w:val="TextoNormalCaracter"/>
          </w:rPr>
          <w:t>37/2024</w:t>
        </w:r>
      </w:hyperlink>
      <w:r>
        <w:t>, f. 1.</w:t>
      </w:r>
    </w:p>
    <w:p w14:paraId="2C3F00B3" w14:textId="48A5ED77" w:rsidR="00601EEA" w:rsidRDefault="00601EEA" w:rsidP="00601EEA">
      <w:pPr>
        <w:pStyle w:val="SangriaFrancesaArticulo"/>
      </w:pPr>
      <w:r w:rsidRPr="00601EEA">
        <w:rPr>
          <w:rStyle w:val="TextoNormalNegritaCaracter"/>
        </w:rPr>
        <w:t>Artículo 33.</w:t>
      </w:r>
      <w:r w:rsidRPr="00601EEA">
        <w:rPr>
          <w:rStyle w:val="TextoNormalCaracter"/>
        </w:rPr>
        <w:t>-</w:t>
      </w:r>
      <w:r>
        <w:t xml:space="preserve"> Auto </w:t>
      </w:r>
      <w:hyperlink w:anchor="AUTO_2024_37" w:history="1">
        <w:r w:rsidRPr="00601EEA">
          <w:rPr>
            <w:rStyle w:val="TextoNormalCaracter"/>
          </w:rPr>
          <w:t>37/2024</w:t>
        </w:r>
      </w:hyperlink>
      <w:r>
        <w:t>, f. 1.</w:t>
      </w:r>
    </w:p>
    <w:p w14:paraId="47622625" w14:textId="5FBD44C4" w:rsidR="00601EEA" w:rsidRDefault="00601EEA" w:rsidP="00601EEA">
      <w:pPr>
        <w:pStyle w:val="SangriaFrancesaArticulo"/>
      </w:pPr>
      <w:r w:rsidRPr="00601EEA">
        <w:rPr>
          <w:rStyle w:val="TextoNormalNegritaCaracter"/>
        </w:rPr>
        <w:t>Artículo 38.</w:t>
      </w:r>
      <w:r w:rsidRPr="00601EEA">
        <w:rPr>
          <w:rStyle w:val="TextoNormalCaracter"/>
        </w:rPr>
        <w:t>-</w:t>
      </w:r>
      <w:r>
        <w:t xml:space="preserve"> Auto </w:t>
      </w:r>
      <w:hyperlink w:anchor="AUTO_2024_37" w:history="1">
        <w:r w:rsidRPr="00601EEA">
          <w:rPr>
            <w:rStyle w:val="TextoNormalCaracter"/>
          </w:rPr>
          <w:t>37/2024</w:t>
        </w:r>
      </w:hyperlink>
      <w:r>
        <w:t>, f. 1.</w:t>
      </w:r>
    </w:p>
    <w:p w14:paraId="7D9238E7" w14:textId="460FD3F3" w:rsidR="00601EEA" w:rsidRDefault="00601EEA" w:rsidP="00601EEA">
      <w:pPr>
        <w:pStyle w:val="SangriaFrancesaArticulo"/>
      </w:pPr>
      <w:r w:rsidRPr="00601EEA">
        <w:rPr>
          <w:rStyle w:val="TextoNormalNegritaCaracter"/>
        </w:rPr>
        <w:t>Artículo 39.</w:t>
      </w:r>
      <w:r w:rsidRPr="00601EEA">
        <w:rPr>
          <w:rStyle w:val="TextoNormalCaracter"/>
        </w:rPr>
        <w:t>-</w:t>
      </w:r>
      <w:r>
        <w:t xml:space="preserve"> Auto </w:t>
      </w:r>
      <w:hyperlink w:anchor="AUTO_2024_37" w:history="1">
        <w:r w:rsidRPr="00601EEA">
          <w:rPr>
            <w:rStyle w:val="TextoNormalCaracter"/>
          </w:rPr>
          <w:t>37/2024</w:t>
        </w:r>
      </w:hyperlink>
      <w:r>
        <w:t>, f. 1.</w:t>
      </w:r>
    </w:p>
    <w:p w14:paraId="57A4D35F" w14:textId="679E5E74" w:rsidR="00601EEA" w:rsidRDefault="00601EEA" w:rsidP="00601EEA">
      <w:pPr>
        <w:pStyle w:val="SangriaFrancesaArticulo"/>
      </w:pPr>
      <w:r w:rsidRPr="00601EEA">
        <w:rPr>
          <w:rStyle w:val="TextoNormalNegritaCaracter"/>
        </w:rPr>
        <w:t>Artículo 40 apartados 2, 3.</w:t>
      </w:r>
      <w:r w:rsidRPr="00601EEA">
        <w:rPr>
          <w:rStyle w:val="TextoNormalCaracter"/>
        </w:rPr>
        <w:t>-</w:t>
      </w:r>
      <w:r>
        <w:t xml:space="preserve"> Auto </w:t>
      </w:r>
      <w:hyperlink w:anchor="AUTO_2024_37" w:history="1">
        <w:r w:rsidRPr="00601EEA">
          <w:rPr>
            <w:rStyle w:val="TextoNormalCaracter"/>
          </w:rPr>
          <w:t>37/2024</w:t>
        </w:r>
      </w:hyperlink>
      <w:r>
        <w:t>, f. 1.</w:t>
      </w:r>
    </w:p>
    <w:p w14:paraId="4D790CFD" w14:textId="0C6E827B" w:rsidR="00601EEA" w:rsidRDefault="00601EEA" w:rsidP="00601EEA">
      <w:pPr>
        <w:pStyle w:val="SangriaFrancesaArticulo"/>
      </w:pPr>
      <w:r w:rsidRPr="00601EEA">
        <w:rPr>
          <w:rStyle w:val="TextoNormalNegritaCaracter"/>
        </w:rPr>
        <w:t>Artículo 59.</w:t>
      </w:r>
      <w:r w:rsidRPr="00601EEA">
        <w:rPr>
          <w:rStyle w:val="TextoNormalCaracter"/>
        </w:rPr>
        <w:t>-</w:t>
      </w:r>
      <w:r>
        <w:t xml:space="preserve"> Auto </w:t>
      </w:r>
      <w:hyperlink w:anchor="AUTO_2024_37" w:history="1">
        <w:r w:rsidRPr="00601EEA">
          <w:rPr>
            <w:rStyle w:val="TextoNormalCaracter"/>
          </w:rPr>
          <w:t>37/2024</w:t>
        </w:r>
      </w:hyperlink>
      <w:r>
        <w:t>, f. 1.</w:t>
      </w:r>
    </w:p>
    <w:p w14:paraId="23EB27F1" w14:textId="7A848787" w:rsidR="00601EEA" w:rsidRDefault="00601EEA" w:rsidP="00601EEA">
      <w:pPr>
        <w:pStyle w:val="SangriaFrancesaArticulo"/>
      </w:pPr>
      <w:r w:rsidRPr="00601EEA">
        <w:rPr>
          <w:rStyle w:val="TextoNormalNegritaCaracter"/>
        </w:rPr>
        <w:t>Disposición adicional cuarta.</w:t>
      </w:r>
      <w:r w:rsidRPr="00601EEA">
        <w:rPr>
          <w:rStyle w:val="TextoNormalCaracter"/>
        </w:rPr>
        <w:t>-</w:t>
      </w:r>
      <w:r>
        <w:t xml:space="preserve"> Auto </w:t>
      </w:r>
      <w:hyperlink w:anchor="AUTO_2024_37" w:history="1">
        <w:r w:rsidRPr="00601EEA">
          <w:rPr>
            <w:rStyle w:val="TextoNormalCaracter"/>
          </w:rPr>
          <w:t>37/2024</w:t>
        </w:r>
      </w:hyperlink>
      <w:r>
        <w:t>, f. 1.</w:t>
      </w:r>
    </w:p>
    <w:p w14:paraId="6669AA9C" w14:textId="6F607A78" w:rsidR="00601EEA" w:rsidRDefault="00601EEA" w:rsidP="00601EEA">
      <w:pPr>
        <w:pStyle w:val="SangriaFrancesaArticulo"/>
      </w:pPr>
      <w:r w:rsidRPr="00601EEA">
        <w:rPr>
          <w:rStyle w:val="TextoNormalNegritaCaracter"/>
        </w:rPr>
        <w:t>Disposición adicional quinta.</w:t>
      </w:r>
      <w:r w:rsidRPr="00601EEA">
        <w:rPr>
          <w:rStyle w:val="TextoNormalCaracter"/>
        </w:rPr>
        <w:t>-</w:t>
      </w:r>
      <w:r>
        <w:t xml:space="preserve"> Auto </w:t>
      </w:r>
      <w:hyperlink w:anchor="AUTO_2024_37" w:history="1">
        <w:r w:rsidRPr="00601EEA">
          <w:rPr>
            <w:rStyle w:val="TextoNormalCaracter"/>
          </w:rPr>
          <w:t>37/2024</w:t>
        </w:r>
      </w:hyperlink>
      <w:r>
        <w:t>, f. 1.</w:t>
      </w:r>
    </w:p>
    <w:p w14:paraId="28714033" w14:textId="2C321106" w:rsidR="00601EEA" w:rsidRDefault="00601EEA" w:rsidP="00601EEA">
      <w:pPr>
        <w:pStyle w:val="SangriaFrancesaArticulo"/>
      </w:pPr>
      <w:r w:rsidRPr="00601EEA">
        <w:rPr>
          <w:rStyle w:val="TextoNormalNegritaCaracter"/>
        </w:rPr>
        <w:t>Disposición transitoria tercera.</w:t>
      </w:r>
      <w:r w:rsidRPr="00601EEA">
        <w:rPr>
          <w:rStyle w:val="TextoNormalCaracter"/>
        </w:rPr>
        <w:t>-</w:t>
      </w:r>
      <w:r>
        <w:t xml:space="preserve"> Auto </w:t>
      </w:r>
      <w:hyperlink w:anchor="AUTO_2024_37" w:history="1">
        <w:r w:rsidRPr="00601EEA">
          <w:rPr>
            <w:rStyle w:val="TextoNormalCaracter"/>
          </w:rPr>
          <w:t>37/2024</w:t>
        </w:r>
      </w:hyperlink>
      <w:r>
        <w:t>, f. 1.</w:t>
      </w:r>
    </w:p>
    <w:p w14:paraId="425DB2D3" w14:textId="1FA217A1" w:rsidR="00601EEA" w:rsidRDefault="00601EEA" w:rsidP="00601EEA">
      <w:pPr>
        <w:pStyle w:val="TextoNormal"/>
      </w:pPr>
    </w:p>
    <w:p w14:paraId="4F21DAE6" w14:textId="77777777" w:rsidR="00601EEA" w:rsidRDefault="00601EEA" w:rsidP="00601EEA">
      <w:pPr>
        <w:pStyle w:val="TextoNormalNegritaCentrado"/>
        <w:suppressAutoHyphens/>
      </w:pPr>
      <w:r w:rsidRPr="00601EEA">
        <w:rPr>
          <w:rStyle w:val="TextoNormalNegritaCentradoSombreado"/>
        </w:rPr>
        <w:t>J.3) Asturias</w:t>
      </w:r>
    </w:p>
    <w:p w14:paraId="64593470" w14:textId="4D3D98F5" w:rsidR="00601EEA" w:rsidRDefault="00601EEA" w:rsidP="00601EEA">
      <w:pPr>
        <w:pStyle w:val="TextoNormal"/>
      </w:pPr>
    </w:p>
    <w:p w14:paraId="30100A91" w14:textId="77777777" w:rsidR="00601EEA" w:rsidRDefault="00601EEA" w:rsidP="00601EEA">
      <w:pPr>
        <w:pStyle w:val="TextoNormalNegritaCentradoSubrayado"/>
        <w:suppressAutoHyphens/>
      </w:pPr>
      <w:r>
        <w:t>J.3.b) Leyes y disposiciones con fuerza de Ley</w:t>
      </w:r>
    </w:p>
    <w:p w14:paraId="5722EEF8" w14:textId="7236816C" w:rsidR="00601EEA" w:rsidRDefault="00601EEA" w:rsidP="00601EEA">
      <w:pPr>
        <w:pStyle w:val="TextoNormalNegritaCentradoSubrayado"/>
      </w:pPr>
    </w:p>
    <w:p w14:paraId="300DA19E" w14:textId="77777777" w:rsidR="00601EEA" w:rsidRDefault="00601EEA" w:rsidP="00601EEA">
      <w:pPr>
        <w:pStyle w:val="TextoNormalNegritaCursivandice"/>
        <w:keepNext/>
      </w:pPr>
      <w:r>
        <w:t>Comunidad Autónoma del Principado de Asturias. Decreto Legislativo 1/2004, de 22 de abril, por el que se aprueba el texto refundido de las disposiciones legales vigentes en materia de ordenación del territorio y urbanismo</w:t>
      </w:r>
    </w:p>
    <w:p w14:paraId="51FACDC9" w14:textId="46DBFC90" w:rsidR="00601EEA" w:rsidRDefault="00601EEA" w:rsidP="00601EEA">
      <w:pPr>
        <w:pStyle w:val="SangriaFrancesaArticulo"/>
      </w:pPr>
      <w:r w:rsidRPr="00601EEA">
        <w:rPr>
          <w:rStyle w:val="TextoNormalNegritaCaracter"/>
        </w:rPr>
        <w:t>Artículo 124.</w:t>
      </w:r>
      <w:r w:rsidRPr="00601EEA">
        <w:rPr>
          <w:rStyle w:val="TextoNormalCaracter"/>
        </w:rPr>
        <w:t>-</w:t>
      </w:r>
      <w:r>
        <w:t xml:space="preserve"> Sentencia </w:t>
      </w:r>
      <w:hyperlink w:anchor="SENTENCIA_2024_25" w:history="1">
        <w:r w:rsidRPr="00601EEA">
          <w:rPr>
            <w:rStyle w:val="TextoNormalCaracter"/>
          </w:rPr>
          <w:t>25/2024</w:t>
        </w:r>
      </w:hyperlink>
      <w:r>
        <w:t>, f. 7.</w:t>
      </w:r>
    </w:p>
    <w:p w14:paraId="49B0EF77" w14:textId="23DF8B96" w:rsidR="00601EEA" w:rsidRDefault="00601EEA" w:rsidP="00601EEA">
      <w:pPr>
        <w:pStyle w:val="TextoNormal"/>
      </w:pPr>
    </w:p>
    <w:p w14:paraId="12CFBD32" w14:textId="77777777" w:rsidR="00601EEA" w:rsidRDefault="00601EEA" w:rsidP="00601EEA">
      <w:pPr>
        <w:pStyle w:val="TextoNormalNegritaCentrado"/>
        <w:suppressAutoHyphens/>
      </w:pPr>
      <w:r w:rsidRPr="00601EEA">
        <w:rPr>
          <w:rStyle w:val="TextoNormalNegritaCentradoSombreado"/>
        </w:rPr>
        <w:lastRenderedPageBreak/>
        <w:t>J.4) Baleares</w:t>
      </w:r>
    </w:p>
    <w:p w14:paraId="7162FCA0" w14:textId="7D82825A" w:rsidR="00601EEA" w:rsidRDefault="00601EEA" w:rsidP="00601EEA">
      <w:pPr>
        <w:pStyle w:val="TextoNormal"/>
      </w:pPr>
    </w:p>
    <w:p w14:paraId="3F6A1496" w14:textId="77777777" w:rsidR="00601EEA" w:rsidRDefault="00601EEA" w:rsidP="00601EEA">
      <w:pPr>
        <w:pStyle w:val="TextoNormalNegritaCentradoSubrayado"/>
        <w:suppressAutoHyphens/>
      </w:pPr>
      <w:r>
        <w:t>J.4.a) Estatuto de Autonomía</w:t>
      </w:r>
    </w:p>
    <w:p w14:paraId="1E5225AC" w14:textId="507BFB72" w:rsidR="00601EEA" w:rsidRDefault="00601EEA" w:rsidP="00601EEA">
      <w:pPr>
        <w:pStyle w:val="TextoNormalNegritaCentradoSubrayado"/>
      </w:pPr>
    </w:p>
    <w:p w14:paraId="1414F8AC" w14:textId="77777777" w:rsidR="00601EEA" w:rsidRDefault="00601EEA" w:rsidP="00601EEA">
      <w:pPr>
        <w:pStyle w:val="TextoNormalNegritaCursivandice"/>
        <w:keepNext/>
      </w:pPr>
      <w:r>
        <w:t>Ley Orgánica 2/1983, de 25 de febrero, de Estatuto de Autonomía de las Illes Balears</w:t>
      </w:r>
    </w:p>
    <w:p w14:paraId="46998CC7" w14:textId="18622873" w:rsidR="00601EEA" w:rsidRDefault="00601EEA" w:rsidP="00601EEA">
      <w:pPr>
        <w:pStyle w:val="SangriaFrancesaArticulo"/>
      </w:pPr>
      <w:r w:rsidRPr="00601EEA">
        <w:rPr>
          <w:rStyle w:val="TextoNormalNegritaCaracter"/>
        </w:rPr>
        <w:t>Artículo 11.5.</w:t>
      </w:r>
      <w:r w:rsidRPr="00601EEA">
        <w:rPr>
          <w:rStyle w:val="TextoNormalCaracter"/>
        </w:rPr>
        <w:t>-</w:t>
      </w:r>
      <w:r>
        <w:t xml:space="preserve"> Sentencia </w:t>
      </w:r>
      <w:hyperlink w:anchor="SENTENCIA_2024_68" w:history="1">
        <w:r w:rsidRPr="00601EEA">
          <w:rPr>
            <w:rStyle w:val="TextoNormalCaracter"/>
          </w:rPr>
          <w:t>68/2024</w:t>
        </w:r>
      </w:hyperlink>
      <w:r>
        <w:t>, f. 5.</w:t>
      </w:r>
    </w:p>
    <w:p w14:paraId="7617D761" w14:textId="0BAEA917" w:rsidR="00601EEA" w:rsidRDefault="00601EEA" w:rsidP="00601EEA">
      <w:pPr>
        <w:pStyle w:val="SangriaFrancesaArticulo"/>
      </w:pPr>
    </w:p>
    <w:p w14:paraId="31CFAF51" w14:textId="77777777" w:rsidR="00601EEA" w:rsidRDefault="00601EEA" w:rsidP="00601EEA">
      <w:pPr>
        <w:pStyle w:val="TextoNormalNegritaCursivandice"/>
        <w:keepNext/>
      </w:pPr>
      <w:r>
        <w:t>Ley Orgánica 1/2007, de 28 de febrero, de reforma del Estatuto de Autonomía de las Illes Balears</w:t>
      </w:r>
    </w:p>
    <w:p w14:paraId="1835B023" w14:textId="33677C09" w:rsidR="00601EEA" w:rsidRDefault="00601EEA" w:rsidP="00601EEA">
      <w:pPr>
        <w:pStyle w:val="SangriaFrancesaArticulo"/>
      </w:pPr>
      <w:r w:rsidRPr="00601EEA">
        <w:rPr>
          <w:rStyle w:val="TextoNormalNegritaCaracter"/>
        </w:rPr>
        <w:t>Artículo 30.46.</w:t>
      </w:r>
      <w:r w:rsidRPr="00601EEA">
        <w:rPr>
          <w:rStyle w:val="TextoNormalCaracter"/>
        </w:rPr>
        <w:t>-</w:t>
      </w:r>
      <w:r>
        <w:t xml:space="preserve"> Auto </w:t>
      </w:r>
      <w:hyperlink w:anchor="AUTO_2024_41" w:history="1">
        <w:r w:rsidRPr="00601EEA">
          <w:rPr>
            <w:rStyle w:val="TextoNormalCaracter"/>
          </w:rPr>
          <w:t>41/2024</w:t>
        </w:r>
      </w:hyperlink>
      <w:r>
        <w:t>, ff. 4, 5.</w:t>
      </w:r>
    </w:p>
    <w:p w14:paraId="286424BE" w14:textId="24E249CB" w:rsidR="00601EEA" w:rsidRDefault="00601EEA" w:rsidP="00601EEA">
      <w:pPr>
        <w:pStyle w:val="TextoNormal"/>
      </w:pPr>
    </w:p>
    <w:p w14:paraId="325CE962" w14:textId="77777777" w:rsidR="00601EEA" w:rsidRDefault="00601EEA" w:rsidP="00601EEA">
      <w:pPr>
        <w:pStyle w:val="TextoNormalNegritaCentradoSubrayado"/>
        <w:suppressAutoHyphens/>
      </w:pPr>
      <w:r>
        <w:t>J.4.b) Leyes y disposiciones con fuerza de Ley</w:t>
      </w:r>
    </w:p>
    <w:p w14:paraId="1C44B929" w14:textId="13800C19" w:rsidR="00601EEA" w:rsidRDefault="00601EEA" w:rsidP="00601EEA">
      <w:pPr>
        <w:pStyle w:val="TextoNormalNegritaCentradoSubrayado"/>
      </w:pPr>
    </w:p>
    <w:p w14:paraId="62071B81" w14:textId="77777777" w:rsidR="00601EEA" w:rsidRDefault="00601EEA" w:rsidP="00601EEA">
      <w:pPr>
        <w:pStyle w:val="TextoNormalNegritaCursivandice"/>
        <w:keepNext/>
      </w:pPr>
      <w:r>
        <w:t>Comunidad Autónoma de las Islas Baleares. Ley 6/1997, de 8 de julio, del suelo rústico de las Islas Baleares</w:t>
      </w:r>
    </w:p>
    <w:p w14:paraId="4C7C38B0" w14:textId="6C8ACD86" w:rsidR="00601EEA" w:rsidRDefault="00601EEA" w:rsidP="00601EEA">
      <w:pPr>
        <w:pStyle w:val="SangriaFrancesaArticulo"/>
      </w:pPr>
      <w:r w:rsidRPr="00601EEA">
        <w:rPr>
          <w:rStyle w:val="TextoNormalNegritaCaracter"/>
        </w:rPr>
        <w:t>Artículo 25.</w:t>
      </w:r>
      <w:r w:rsidRPr="00601EEA">
        <w:rPr>
          <w:rStyle w:val="TextoNormalCaracter"/>
        </w:rPr>
        <w:t>-</w:t>
      </w:r>
      <w:r>
        <w:t xml:space="preserve"> Sentencia </w:t>
      </w:r>
      <w:hyperlink w:anchor="SENTENCIA_2024_25" w:history="1">
        <w:r w:rsidRPr="00601EEA">
          <w:rPr>
            <w:rStyle w:val="TextoNormalCaracter"/>
          </w:rPr>
          <w:t>25/2024</w:t>
        </w:r>
      </w:hyperlink>
      <w:r>
        <w:t>, f. 7.</w:t>
      </w:r>
    </w:p>
    <w:p w14:paraId="1B51AFFC" w14:textId="27D90AB3" w:rsidR="00601EEA" w:rsidRDefault="00601EEA" w:rsidP="00601EEA">
      <w:pPr>
        <w:pStyle w:val="SangriaFrancesaArticulo"/>
      </w:pPr>
    </w:p>
    <w:p w14:paraId="71F2B162" w14:textId="77777777" w:rsidR="00601EEA" w:rsidRDefault="00601EEA" w:rsidP="00601EEA">
      <w:pPr>
        <w:pStyle w:val="TextoNormalNegritaCursivandice"/>
        <w:keepNext/>
      </w:pPr>
      <w:r>
        <w:t>Comunidad Autónoma de las Illes Balears. Ley 8/2019, de 19 de febrero, de residuos y suelos contaminados de las Illes Balears</w:t>
      </w:r>
    </w:p>
    <w:p w14:paraId="74514162" w14:textId="796DB993" w:rsidR="00601EEA" w:rsidRDefault="00601EEA" w:rsidP="00601EEA">
      <w:pPr>
        <w:pStyle w:val="SangriaFrancesaArticulo"/>
      </w:pPr>
      <w:r w:rsidRPr="00601EEA">
        <w:rPr>
          <w:rStyle w:val="TextoNormalNegritaCaracter"/>
        </w:rPr>
        <w:t>En general.</w:t>
      </w:r>
      <w:r w:rsidRPr="00601EEA">
        <w:rPr>
          <w:rStyle w:val="TextoNormalCaracter"/>
        </w:rPr>
        <w:t>-</w:t>
      </w:r>
      <w:r>
        <w:t xml:space="preserve"> Auto </w:t>
      </w:r>
      <w:hyperlink w:anchor="AUTO_2024_41" w:history="1">
        <w:r w:rsidRPr="00601EEA">
          <w:rPr>
            <w:rStyle w:val="TextoNormalCaracter"/>
          </w:rPr>
          <w:t>41/2024</w:t>
        </w:r>
      </w:hyperlink>
      <w:r>
        <w:t>, f. 4.</w:t>
      </w:r>
    </w:p>
    <w:p w14:paraId="3D6E65E9" w14:textId="0F8406ED" w:rsidR="00601EEA" w:rsidRDefault="00601EEA" w:rsidP="00601EEA">
      <w:pPr>
        <w:pStyle w:val="SangriaFrancesaArticulo"/>
      </w:pPr>
      <w:r w:rsidRPr="00601EEA">
        <w:rPr>
          <w:rStyle w:val="TextoNormalNegritaCaracter"/>
        </w:rPr>
        <w:t>Artículo 2.1.</w:t>
      </w:r>
      <w:r w:rsidRPr="00601EEA">
        <w:rPr>
          <w:rStyle w:val="TextoNormalCaracter"/>
        </w:rPr>
        <w:t>-</w:t>
      </w:r>
      <w:r>
        <w:t xml:space="preserve"> Auto </w:t>
      </w:r>
      <w:hyperlink w:anchor="AUTO_2024_41" w:history="1">
        <w:r w:rsidRPr="00601EEA">
          <w:rPr>
            <w:rStyle w:val="TextoNormalCaracter"/>
          </w:rPr>
          <w:t>41/2024</w:t>
        </w:r>
      </w:hyperlink>
      <w:r>
        <w:t>, f. 4.</w:t>
      </w:r>
    </w:p>
    <w:p w14:paraId="420DBE83" w14:textId="65259802" w:rsidR="00601EEA" w:rsidRDefault="00601EEA" w:rsidP="00601EEA">
      <w:pPr>
        <w:pStyle w:val="SangriaFrancesaArticulo"/>
      </w:pPr>
      <w:r w:rsidRPr="00601EEA">
        <w:rPr>
          <w:rStyle w:val="TextoNormalNegritaCaracter"/>
        </w:rPr>
        <w:t>Artículo 2.2 c).</w:t>
      </w:r>
      <w:r w:rsidRPr="00601EEA">
        <w:rPr>
          <w:rStyle w:val="TextoNormalCaracter"/>
        </w:rPr>
        <w:t>-</w:t>
      </w:r>
      <w:r>
        <w:t xml:space="preserve"> Auto </w:t>
      </w:r>
      <w:hyperlink w:anchor="AUTO_2024_41" w:history="1">
        <w:r w:rsidRPr="00601EEA">
          <w:rPr>
            <w:rStyle w:val="TextoNormalCaracter"/>
          </w:rPr>
          <w:t>41/2024</w:t>
        </w:r>
      </w:hyperlink>
      <w:r>
        <w:t>, ff. 1, 4, 5.</w:t>
      </w:r>
    </w:p>
    <w:p w14:paraId="47826C12" w14:textId="7178CAEC" w:rsidR="00601EEA" w:rsidRDefault="00601EEA" w:rsidP="00601EEA">
      <w:pPr>
        <w:pStyle w:val="SangriaFrancesaArticulo"/>
      </w:pPr>
    </w:p>
    <w:p w14:paraId="6CCE366B" w14:textId="77777777" w:rsidR="00601EEA" w:rsidRDefault="00601EEA" w:rsidP="00601EEA">
      <w:pPr>
        <w:pStyle w:val="TextoNormalNegritaCursivandice"/>
        <w:keepNext/>
      </w:pPr>
      <w:r>
        <w:t>Comunidad Autónoma de las Illes Balears. Ley 3/2023, de 17 de febrero, de Menorca reserva de biosfera</w:t>
      </w:r>
    </w:p>
    <w:p w14:paraId="12EFEC8D" w14:textId="10A19D49"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68" w:history="1">
        <w:r w:rsidRPr="00601EEA">
          <w:rPr>
            <w:rStyle w:val="TextoNormalCaracter"/>
          </w:rPr>
          <w:t>68/2024</w:t>
        </w:r>
      </w:hyperlink>
      <w:r>
        <w:t>, ff. 2, 9.</w:t>
      </w:r>
    </w:p>
    <w:p w14:paraId="36D2B704" w14:textId="4CC3E9DF" w:rsidR="00601EEA" w:rsidRDefault="00601EEA" w:rsidP="00601EEA">
      <w:pPr>
        <w:pStyle w:val="TextoNormal"/>
      </w:pPr>
    </w:p>
    <w:p w14:paraId="3A192871" w14:textId="77777777" w:rsidR="00601EEA" w:rsidRDefault="00601EEA" w:rsidP="00601EEA">
      <w:pPr>
        <w:pStyle w:val="TextoNormalNegritaCentrado"/>
        <w:suppressAutoHyphens/>
      </w:pPr>
      <w:r w:rsidRPr="00601EEA">
        <w:rPr>
          <w:rStyle w:val="TextoNormalNegritaCentradoSombreado"/>
        </w:rPr>
        <w:t>J.5) Canarias</w:t>
      </w:r>
    </w:p>
    <w:p w14:paraId="541EB775" w14:textId="3970DE9E" w:rsidR="00601EEA" w:rsidRDefault="00601EEA" w:rsidP="00601EEA">
      <w:pPr>
        <w:pStyle w:val="TextoNormal"/>
      </w:pPr>
    </w:p>
    <w:p w14:paraId="27D74986" w14:textId="77777777" w:rsidR="00601EEA" w:rsidRDefault="00601EEA" w:rsidP="00601EEA">
      <w:pPr>
        <w:pStyle w:val="TextoNormalNegritaCentradoSubrayado"/>
        <w:suppressAutoHyphens/>
      </w:pPr>
      <w:r>
        <w:t>J.5.b) Leyes y disposiciones con fuerza de Ley</w:t>
      </w:r>
    </w:p>
    <w:p w14:paraId="0602D0C2" w14:textId="350F525B" w:rsidR="00601EEA" w:rsidRDefault="00601EEA" w:rsidP="00601EEA">
      <w:pPr>
        <w:pStyle w:val="TextoNormalNegritaCentradoSubrayado"/>
      </w:pPr>
    </w:p>
    <w:p w14:paraId="6ACDD9DA" w14:textId="77777777" w:rsidR="00601EEA" w:rsidRDefault="00601EEA" w:rsidP="00601EEA">
      <w:pPr>
        <w:pStyle w:val="TextoNormalNegritaCursivandice"/>
        <w:keepNext/>
      </w:pPr>
      <w:r>
        <w:t>Comunidad Autónoma de Canarias. Ley 4/2017, de 13 de julio, del suelo y de los espacios naturales protegidos de Canarias</w:t>
      </w:r>
    </w:p>
    <w:p w14:paraId="69E6AC09" w14:textId="12B19765"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25" w:history="1">
        <w:r w:rsidRPr="00601EEA">
          <w:rPr>
            <w:rStyle w:val="TextoNormalCaracter"/>
          </w:rPr>
          <w:t>25/2024</w:t>
        </w:r>
      </w:hyperlink>
      <w:r>
        <w:t>, ff. 6, 8.</w:t>
      </w:r>
    </w:p>
    <w:p w14:paraId="10C155AA" w14:textId="4CD42574" w:rsidR="00601EEA" w:rsidRDefault="00601EEA" w:rsidP="00601EEA">
      <w:pPr>
        <w:pStyle w:val="SangriaFrancesaArticulo"/>
      </w:pPr>
      <w:r w:rsidRPr="00601EEA">
        <w:rPr>
          <w:rStyle w:val="TextoNormalNegritaCaracter"/>
        </w:rPr>
        <w:t>Artículo 59.1.</w:t>
      </w:r>
      <w:r w:rsidRPr="00601EEA">
        <w:rPr>
          <w:rStyle w:val="TextoNormalCaracter"/>
        </w:rPr>
        <w:t>-</w:t>
      </w:r>
      <w:r>
        <w:t xml:space="preserve"> Sentencia </w:t>
      </w:r>
      <w:hyperlink w:anchor="SENTENCIA_2024_25" w:history="1">
        <w:r w:rsidRPr="00601EEA">
          <w:rPr>
            <w:rStyle w:val="TextoNormalCaracter"/>
          </w:rPr>
          <w:t>25/2024</w:t>
        </w:r>
      </w:hyperlink>
      <w:r>
        <w:t>, f. 6.</w:t>
      </w:r>
    </w:p>
    <w:p w14:paraId="7B0CC503" w14:textId="416AA572" w:rsidR="00601EEA" w:rsidRDefault="00601EEA" w:rsidP="00601EEA">
      <w:pPr>
        <w:pStyle w:val="SangriaFrancesaArticulo"/>
      </w:pPr>
      <w:r w:rsidRPr="00601EEA">
        <w:rPr>
          <w:rStyle w:val="TextoNormalNegritaCaracter"/>
        </w:rPr>
        <w:t>Artículo 59.3.</w:t>
      </w:r>
      <w:r w:rsidRPr="00601EEA">
        <w:rPr>
          <w:rStyle w:val="TextoNormalCaracter"/>
        </w:rPr>
        <w:t>-</w:t>
      </w:r>
      <w:r>
        <w:t xml:space="preserve"> Sentencia </w:t>
      </w:r>
      <w:hyperlink w:anchor="SENTENCIA_2024_25" w:history="1">
        <w:r w:rsidRPr="00601EEA">
          <w:rPr>
            <w:rStyle w:val="TextoNormalCaracter"/>
          </w:rPr>
          <w:t>25/2024</w:t>
        </w:r>
      </w:hyperlink>
      <w:r>
        <w:t>, f. 6.</w:t>
      </w:r>
    </w:p>
    <w:p w14:paraId="3EDBE9BD" w14:textId="76B63E14" w:rsidR="00601EEA" w:rsidRDefault="00601EEA" w:rsidP="00601EEA">
      <w:pPr>
        <w:pStyle w:val="SangriaFrancesaArticulo"/>
      </w:pPr>
      <w:r w:rsidRPr="00601EEA">
        <w:rPr>
          <w:rStyle w:val="TextoNormalNegritaCaracter"/>
        </w:rPr>
        <w:t>Artículo 59.4.</w:t>
      </w:r>
      <w:r w:rsidRPr="00601EEA">
        <w:rPr>
          <w:rStyle w:val="TextoNormalCaracter"/>
        </w:rPr>
        <w:t>-</w:t>
      </w:r>
      <w:r>
        <w:t xml:space="preserve"> Sentencia </w:t>
      </w:r>
      <w:hyperlink w:anchor="SENTENCIA_2024_25" w:history="1">
        <w:r w:rsidRPr="00601EEA">
          <w:rPr>
            <w:rStyle w:val="TextoNormalCaracter"/>
          </w:rPr>
          <w:t>25/2024</w:t>
        </w:r>
      </w:hyperlink>
      <w:r>
        <w:t>, f. 6.</w:t>
      </w:r>
    </w:p>
    <w:p w14:paraId="0B89DCF6" w14:textId="2E95A776" w:rsidR="00601EEA" w:rsidRDefault="00601EEA" w:rsidP="00601EEA">
      <w:pPr>
        <w:pStyle w:val="SangriaFrancesaArticulo"/>
      </w:pPr>
      <w:r w:rsidRPr="00601EEA">
        <w:rPr>
          <w:rStyle w:val="TextoNormalNegritaCaracter"/>
        </w:rPr>
        <w:t>Artículo 67.</w:t>
      </w:r>
      <w:r w:rsidRPr="00601EEA">
        <w:rPr>
          <w:rStyle w:val="TextoNormalCaracter"/>
        </w:rPr>
        <w:t>-</w:t>
      </w:r>
      <w:r>
        <w:t xml:space="preserve"> Sentencia </w:t>
      </w:r>
      <w:hyperlink w:anchor="SENTENCIA_2024_25" w:history="1">
        <w:r w:rsidRPr="00601EEA">
          <w:rPr>
            <w:rStyle w:val="TextoNormalCaracter"/>
          </w:rPr>
          <w:t>25/2024</w:t>
        </w:r>
      </w:hyperlink>
      <w:r>
        <w:t>, f. 6.</w:t>
      </w:r>
    </w:p>
    <w:p w14:paraId="480F52B0" w14:textId="208EADE1" w:rsidR="00601EEA" w:rsidRDefault="00601EEA" w:rsidP="00601EEA">
      <w:pPr>
        <w:pStyle w:val="SangriaFrancesaArticulo"/>
      </w:pPr>
      <w:r w:rsidRPr="00601EEA">
        <w:rPr>
          <w:rStyle w:val="TextoNormalNegritaCaracter"/>
        </w:rPr>
        <w:t>Artículo 70.</w:t>
      </w:r>
      <w:r w:rsidRPr="00601EEA">
        <w:rPr>
          <w:rStyle w:val="TextoNormalCaracter"/>
        </w:rPr>
        <w:t>-</w:t>
      </w:r>
      <w:r>
        <w:t xml:space="preserve"> Sentencia </w:t>
      </w:r>
      <w:hyperlink w:anchor="SENTENCIA_2024_25" w:history="1">
        <w:r w:rsidRPr="00601EEA">
          <w:rPr>
            <w:rStyle w:val="TextoNormalCaracter"/>
          </w:rPr>
          <w:t>25/2024</w:t>
        </w:r>
      </w:hyperlink>
      <w:r>
        <w:t>, f. 6.</w:t>
      </w:r>
    </w:p>
    <w:p w14:paraId="23FC465B" w14:textId="05A54ED3" w:rsidR="00601EEA" w:rsidRDefault="00601EEA" w:rsidP="00601EEA">
      <w:pPr>
        <w:pStyle w:val="SangriaFrancesaArticulo"/>
      </w:pPr>
      <w:r w:rsidRPr="00601EEA">
        <w:rPr>
          <w:rStyle w:val="TextoNormalNegritaCaracter"/>
        </w:rPr>
        <w:t>Artículo 71.</w:t>
      </w:r>
      <w:r w:rsidRPr="00601EEA">
        <w:rPr>
          <w:rStyle w:val="TextoNormalCaracter"/>
        </w:rPr>
        <w:t>-</w:t>
      </w:r>
      <w:r>
        <w:t xml:space="preserve"> Sentencia </w:t>
      </w:r>
      <w:hyperlink w:anchor="SENTENCIA_2024_25" w:history="1">
        <w:r w:rsidRPr="00601EEA">
          <w:rPr>
            <w:rStyle w:val="TextoNormalCaracter"/>
          </w:rPr>
          <w:t>25/2024</w:t>
        </w:r>
      </w:hyperlink>
      <w:r>
        <w:t>, f. 6.</w:t>
      </w:r>
    </w:p>
    <w:p w14:paraId="1F8B7C15" w14:textId="71475A8A" w:rsidR="00601EEA" w:rsidRDefault="00601EEA" w:rsidP="00601EEA">
      <w:pPr>
        <w:pStyle w:val="SangriaFrancesaArticulo"/>
      </w:pPr>
      <w:r w:rsidRPr="00601EEA">
        <w:rPr>
          <w:rStyle w:val="TextoNormalNegritaCaracter"/>
        </w:rPr>
        <w:t>Artículo 123.4.</w:t>
      </w:r>
      <w:r w:rsidRPr="00601EEA">
        <w:rPr>
          <w:rStyle w:val="TextoNormalCaracter"/>
        </w:rPr>
        <w:t>-</w:t>
      </w:r>
      <w:r>
        <w:t xml:space="preserve"> Sentencia </w:t>
      </w:r>
      <w:hyperlink w:anchor="SENTENCIA_2024_25" w:history="1">
        <w:r w:rsidRPr="00601EEA">
          <w:rPr>
            <w:rStyle w:val="TextoNormalCaracter"/>
          </w:rPr>
          <w:t>25/2024</w:t>
        </w:r>
      </w:hyperlink>
      <w:r>
        <w:t>, f. 8.</w:t>
      </w:r>
    </w:p>
    <w:p w14:paraId="3B7B175B" w14:textId="7C3BDC9D" w:rsidR="00601EEA" w:rsidRDefault="00601EEA" w:rsidP="00601EEA">
      <w:pPr>
        <w:pStyle w:val="TextoNormal"/>
      </w:pPr>
    </w:p>
    <w:p w14:paraId="4DA5472D" w14:textId="77777777" w:rsidR="00601EEA" w:rsidRDefault="00601EEA" w:rsidP="00601EEA">
      <w:pPr>
        <w:pStyle w:val="TextoNormalNegritaCentrado"/>
        <w:suppressAutoHyphens/>
      </w:pPr>
      <w:r w:rsidRPr="00601EEA">
        <w:rPr>
          <w:rStyle w:val="TextoNormalNegritaCentradoSombreado"/>
        </w:rPr>
        <w:lastRenderedPageBreak/>
        <w:t>J.6) Cantabria</w:t>
      </w:r>
    </w:p>
    <w:p w14:paraId="320D7957" w14:textId="49F4C137" w:rsidR="00601EEA" w:rsidRDefault="00601EEA" w:rsidP="00601EEA">
      <w:pPr>
        <w:pStyle w:val="TextoNormal"/>
      </w:pPr>
    </w:p>
    <w:p w14:paraId="0FD5B699" w14:textId="77777777" w:rsidR="00601EEA" w:rsidRDefault="00601EEA" w:rsidP="00601EEA">
      <w:pPr>
        <w:pStyle w:val="TextoNormalNegritaCentradoSubrayado"/>
        <w:suppressAutoHyphens/>
      </w:pPr>
      <w:r>
        <w:t>J.6.b) Leyes y disposiciones con fuerza de Ley</w:t>
      </w:r>
    </w:p>
    <w:p w14:paraId="07A3098D" w14:textId="14B21B80" w:rsidR="00601EEA" w:rsidRDefault="00601EEA" w:rsidP="00601EEA">
      <w:pPr>
        <w:pStyle w:val="TextoNormalNegritaCentradoSubrayado"/>
      </w:pPr>
    </w:p>
    <w:p w14:paraId="1072BC3F" w14:textId="77777777" w:rsidR="00601EEA" w:rsidRDefault="00601EEA" w:rsidP="00601EEA">
      <w:pPr>
        <w:pStyle w:val="TextoNormalNegritaCursivandice"/>
        <w:keepNext/>
      </w:pPr>
      <w:r>
        <w:t>Comunidad Autónoma de Cantabria. Ley 5/2022, de 15 de julio, de ordenación del territorio y urbanismo de Cantabria</w:t>
      </w:r>
    </w:p>
    <w:p w14:paraId="78C142D5" w14:textId="4BEF34A5" w:rsidR="00601EEA" w:rsidRDefault="00601EEA" w:rsidP="00601EEA">
      <w:pPr>
        <w:pStyle w:val="SangriaFrancesaArticulo"/>
      </w:pPr>
      <w:r w:rsidRPr="00601EEA">
        <w:rPr>
          <w:rStyle w:val="TextoNormalNegritaCaracter"/>
        </w:rPr>
        <w:t>Artículo 50.2 d).</w:t>
      </w:r>
      <w:r w:rsidRPr="00601EEA">
        <w:rPr>
          <w:rStyle w:val="TextoNormalCaracter"/>
        </w:rPr>
        <w:t>-</w:t>
      </w:r>
      <w:r>
        <w:t xml:space="preserve"> Sentencia </w:t>
      </w:r>
      <w:hyperlink w:anchor="SENTENCIA_2024_25" w:history="1">
        <w:r w:rsidRPr="00601EEA">
          <w:rPr>
            <w:rStyle w:val="TextoNormalCaracter"/>
          </w:rPr>
          <w:t>25/2024</w:t>
        </w:r>
      </w:hyperlink>
      <w:r>
        <w:t>, f. 7.</w:t>
      </w:r>
    </w:p>
    <w:p w14:paraId="20E3547D" w14:textId="4C2D1667" w:rsidR="00601EEA" w:rsidRDefault="00601EEA" w:rsidP="00601EEA">
      <w:pPr>
        <w:pStyle w:val="TextoNormal"/>
      </w:pPr>
    </w:p>
    <w:p w14:paraId="47B1E145" w14:textId="77777777" w:rsidR="00601EEA" w:rsidRDefault="00601EEA" w:rsidP="00601EEA">
      <w:pPr>
        <w:pStyle w:val="TextoNormalNegritaCentrado"/>
        <w:suppressAutoHyphens/>
      </w:pPr>
      <w:r w:rsidRPr="00601EEA">
        <w:rPr>
          <w:rStyle w:val="TextoNormalNegritaCentradoSombreado"/>
        </w:rPr>
        <w:t>J.7) Castilla-La Mancha</w:t>
      </w:r>
    </w:p>
    <w:p w14:paraId="272C21F5" w14:textId="631F6D52" w:rsidR="00601EEA" w:rsidRDefault="00601EEA" w:rsidP="00601EEA">
      <w:pPr>
        <w:pStyle w:val="TextoNormal"/>
      </w:pPr>
    </w:p>
    <w:p w14:paraId="7BB94F7F" w14:textId="77777777" w:rsidR="00601EEA" w:rsidRDefault="00601EEA" w:rsidP="00601EEA">
      <w:pPr>
        <w:pStyle w:val="TextoNormalNegritaCentradoSubrayado"/>
        <w:suppressAutoHyphens/>
      </w:pPr>
      <w:r>
        <w:t>J.7.b) Leyes y disposiciones con fuerza de Ley</w:t>
      </w:r>
    </w:p>
    <w:p w14:paraId="512F7894" w14:textId="25319F4F" w:rsidR="00601EEA" w:rsidRDefault="00601EEA" w:rsidP="00601EEA">
      <w:pPr>
        <w:pStyle w:val="TextoNormalNegritaCentradoSubrayado"/>
      </w:pPr>
    </w:p>
    <w:p w14:paraId="32253DCC" w14:textId="77777777" w:rsidR="00601EEA" w:rsidRDefault="00601EEA" w:rsidP="00601EEA">
      <w:pPr>
        <w:pStyle w:val="TextoNormalNegritaCursivandice"/>
        <w:keepNext/>
      </w:pPr>
      <w:r>
        <w:t>Comunidad Autónoma de Castilla-La Mancha. Decreto Legislativo 1/2023, de 28 de febrero, por el que se aprueba el texto refundido de la Ley de ordenación del territorio y de la actividad urbanística</w:t>
      </w:r>
    </w:p>
    <w:p w14:paraId="55325648" w14:textId="73E4E02A" w:rsidR="00601EEA" w:rsidRDefault="00601EEA" w:rsidP="00601EEA">
      <w:pPr>
        <w:pStyle w:val="SangriaFrancesaArticulo"/>
      </w:pPr>
      <w:r w:rsidRPr="00601EEA">
        <w:rPr>
          <w:rStyle w:val="TextoNormalNegritaCaracter"/>
        </w:rPr>
        <w:t>Artículo 54.1.2 f).</w:t>
      </w:r>
      <w:r w:rsidRPr="00601EEA">
        <w:rPr>
          <w:rStyle w:val="TextoNormalCaracter"/>
        </w:rPr>
        <w:t>-</w:t>
      </w:r>
      <w:r>
        <w:t xml:space="preserve"> Sentencia </w:t>
      </w:r>
      <w:hyperlink w:anchor="SENTENCIA_2024_25" w:history="1">
        <w:r w:rsidRPr="00601EEA">
          <w:rPr>
            <w:rStyle w:val="TextoNormalCaracter"/>
          </w:rPr>
          <w:t>25/2024</w:t>
        </w:r>
      </w:hyperlink>
      <w:r>
        <w:t>, f. 7.</w:t>
      </w:r>
    </w:p>
    <w:p w14:paraId="4CABD99D" w14:textId="77C82B4E" w:rsidR="00601EEA" w:rsidRDefault="00601EEA" w:rsidP="00601EEA">
      <w:pPr>
        <w:pStyle w:val="TextoNormal"/>
      </w:pPr>
    </w:p>
    <w:p w14:paraId="2737947C" w14:textId="77777777" w:rsidR="00601EEA" w:rsidRDefault="00601EEA" w:rsidP="00601EEA">
      <w:pPr>
        <w:pStyle w:val="TextoNormalNegritaCentradoSubrayado"/>
        <w:suppressAutoHyphens/>
      </w:pPr>
      <w:r>
        <w:t>J.7.d) Disposiciones parlamentarias autonómicas</w:t>
      </w:r>
    </w:p>
    <w:p w14:paraId="231BC565" w14:textId="7B7088A8" w:rsidR="00601EEA" w:rsidRDefault="00601EEA" w:rsidP="00601EEA">
      <w:pPr>
        <w:pStyle w:val="TextoNormalNegritaCentradoSubrayado"/>
      </w:pPr>
    </w:p>
    <w:p w14:paraId="7B441C77" w14:textId="77777777" w:rsidR="00601EEA" w:rsidRDefault="00601EEA" w:rsidP="00601EEA">
      <w:pPr>
        <w:pStyle w:val="TextoNormalNegritaCursivandice"/>
        <w:keepNext/>
      </w:pPr>
      <w:r>
        <w:t>Reglamento de las Cortes de Castilla-La Mancha, de 16 de octubre de 1997</w:t>
      </w:r>
    </w:p>
    <w:p w14:paraId="3EDB10B2" w14:textId="769A9618" w:rsidR="00601EEA" w:rsidRDefault="00601EEA" w:rsidP="00601EEA">
      <w:pPr>
        <w:pStyle w:val="SangriaFrancesaArticulo"/>
      </w:pPr>
      <w:r w:rsidRPr="00601EEA">
        <w:rPr>
          <w:rStyle w:val="TextoNormalNegritaCaracter"/>
        </w:rPr>
        <w:t>Título VIII.</w:t>
      </w:r>
      <w:r w:rsidRPr="00601EEA">
        <w:rPr>
          <w:rStyle w:val="TextoNormalCaracter"/>
        </w:rPr>
        <w:t>-</w:t>
      </w:r>
      <w:r>
        <w:t xml:space="preserve"> Auto </w:t>
      </w:r>
      <w:hyperlink w:anchor="AUTO_2024_52" w:history="1">
        <w:r w:rsidRPr="00601EEA">
          <w:rPr>
            <w:rStyle w:val="TextoNormalCaracter"/>
          </w:rPr>
          <w:t>52/2024</w:t>
        </w:r>
      </w:hyperlink>
      <w:r>
        <w:t>, f. 2.</w:t>
      </w:r>
    </w:p>
    <w:p w14:paraId="611AC43A" w14:textId="286D747D" w:rsidR="00601EEA" w:rsidRDefault="00601EEA" w:rsidP="00601EEA">
      <w:pPr>
        <w:pStyle w:val="SangriaFrancesaArticulo"/>
      </w:pPr>
      <w:r w:rsidRPr="00601EEA">
        <w:rPr>
          <w:rStyle w:val="TextoNormalNegritaCaracter"/>
        </w:rPr>
        <w:t>Artículo 184.</w:t>
      </w:r>
      <w:r w:rsidRPr="00601EEA">
        <w:rPr>
          <w:rStyle w:val="TextoNormalCaracter"/>
        </w:rPr>
        <w:t>-</w:t>
      </w:r>
      <w:r>
        <w:t xml:space="preserve"> Auto </w:t>
      </w:r>
      <w:hyperlink w:anchor="AUTO_2024_52" w:history="1">
        <w:r w:rsidRPr="00601EEA">
          <w:rPr>
            <w:rStyle w:val="TextoNormalCaracter"/>
          </w:rPr>
          <w:t>52/2024</w:t>
        </w:r>
      </w:hyperlink>
      <w:r>
        <w:t>, VP.</w:t>
      </w:r>
    </w:p>
    <w:p w14:paraId="0E32B218" w14:textId="68DCCBB8" w:rsidR="00601EEA" w:rsidRDefault="00601EEA" w:rsidP="00601EEA">
      <w:pPr>
        <w:pStyle w:val="SangriaFrancesaArticulo"/>
      </w:pPr>
      <w:r w:rsidRPr="00601EEA">
        <w:rPr>
          <w:rStyle w:val="TextoNormalNegritaCaracter"/>
        </w:rPr>
        <w:t>Artículo 184.1.</w:t>
      </w:r>
      <w:r w:rsidRPr="00601EEA">
        <w:rPr>
          <w:rStyle w:val="TextoNormalCaracter"/>
        </w:rPr>
        <w:t>-</w:t>
      </w:r>
      <w:r>
        <w:t xml:space="preserve"> Auto </w:t>
      </w:r>
      <w:hyperlink w:anchor="AUTO_2024_52" w:history="1">
        <w:r w:rsidRPr="00601EEA">
          <w:rPr>
            <w:rStyle w:val="TextoNormalCaracter"/>
          </w:rPr>
          <w:t>52/2024</w:t>
        </w:r>
      </w:hyperlink>
      <w:r>
        <w:t>, f. 2, VP.</w:t>
      </w:r>
    </w:p>
    <w:p w14:paraId="63BBB185" w14:textId="1846834C" w:rsidR="00601EEA" w:rsidRDefault="00601EEA" w:rsidP="00601EEA">
      <w:pPr>
        <w:pStyle w:val="SangriaFrancesaArticulo"/>
      </w:pPr>
      <w:r w:rsidRPr="00601EEA">
        <w:rPr>
          <w:rStyle w:val="TextoNormalNegritaCaracter"/>
        </w:rPr>
        <w:t>Artículo 186.1.</w:t>
      </w:r>
      <w:r w:rsidRPr="00601EEA">
        <w:rPr>
          <w:rStyle w:val="TextoNormalCaracter"/>
        </w:rPr>
        <w:t>-</w:t>
      </w:r>
      <w:r>
        <w:t xml:space="preserve"> Auto </w:t>
      </w:r>
      <w:hyperlink w:anchor="AUTO_2024_52" w:history="1">
        <w:r w:rsidRPr="00601EEA">
          <w:rPr>
            <w:rStyle w:val="TextoNormalCaracter"/>
          </w:rPr>
          <w:t>52/2024</w:t>
        </w:r>
      </w:hyperlink>
      <w:r>
        <w:t>, VP.</w:t>
      </w:r>
    </w:p>
    <w:p w14:paraId="72679B06" w14:textId="4875A70D" w:rsidR="00601EEA" w:rsidRDefault="00601EEA" w:rsidP="00601EEA">
      <w:pPr>
        <w:pStyle w:val="SangriaFrancesaArticulo"/>
      </w:pPr>
      <w:r w:rsidRPr="00601EEA">
        <w:rPr>
          <w:rStyle w:val="TextoNormalNegritaCaracter"/>
        </w:rPr>
        <w:t>Artículo 186.3.</w:t>
      </w:r>
      <w:r w:rsidRPr="00601EEA">
        <w:rPr>
          <w:rStyle w:val="TextoNormalCaracter"/>
        </w:rPr>
        <w:t>-</w:t>
      </w:r>
      <w:r>
        <w:t xml:space="preserve"> Auto </w:t>
      </w:r>
      <w:hyperlink w:anchor="AUTO_2024_52" w:history="1">
        <w:r w:rsidRPr="00601EEA">
          <w:rPr>
            <w:rStyle w:val="TextoNormalCaracter"/>
          </w:rPr>
          <w:t>52/2024</w:t>
        </w:r>
      </w:hyperlink>
      <w:r>
        <w:t>, f. 2.</w:t>
      </w:r>
    </w:p>
    <w:p w14:paraId="3B406285" w14:textId="252F33B3" w:rsidR="00601EEA" w:rsidRDefault="00601EEA" w:rsidP="00601EEA">
      <w:pPr>
        <w:pStyle w:val="SangriaFrancesaArticulo"/>
      </w:pPr>
      <w:r w:rsidRPr="00601EEA">
        <w:rPr>
          <w:rStyle w:val="TextoNormalNegritaCaracter"/>
        </w:rPr>
        <w:t>Artículo 187.</w:t>
      </w:r>
      <w:r w:rsidRPr="00601EEA">
        <w:rPr>
          <w:rStyle w:val="TextoNormalCaracter"/>
        </w:rPr>
        <w:t>-</w:t>
      </w:r>
      <w:r>
        <w:t xml:space="preserve"> Auto </w:t>
      </w:r>
      <w:hyperlink w:anchor="AUTO_2024_52" w:history="1">
        <w:r w:rsidRPr="00601EEA">
          <w:rPr>
            <w:rStyle w:val="TextoNormalCaracter"/>
          </w:rPr>
          <w:t>52/2024</w:t>
        </w:r>
      </w:hyperlink>
      <w:r>
        <w:t>, f. 2.</w:t>
      </w:r>
    </w:p>
    <w:p w14:paraId="4EF40CF2" w14:textId="5793E9A1" w:rsidR="00601EEA" w:rsidRDefault="00601EEA" w:rsidP="00601EEA">
      <w:pPr>
        <w:pStyle w:val="SangriaFrancesaArticulo"/>
      </w:pPr>
      <w:r w:rsidRPr="00601EEA">
        <w:rPr>
          <w:rStyle w:val="TextoNormalNegritaCaracter"/>
        </w:rPr>
        <w:t>Artículo 187.3.</w:t>
      </w:r>
      <w:r w:rsidRPr="00601EEA">
        <w:rPr>
          <w:rStyle w:val="TextoNormalCaracter"/>
        </w:rPr>
        <w:t>-</w:t>
      </w:r>
      <w:r>
        <w:t xml:space="preserve"> Auto </w:t>
      </w:r>
      <w:hyperlink w:anchor="AUTO_2024_52" w:history="1">
        <w:r w:rsidRPr="00601EEA">
          <w:rPr>
            <w:rStyle w:val="TextoNormalCaracter"/>
          </w:rPr>
          <w:t>52/2024</w:t>
        </w:r>
      </w:hyperlink>
      <w:r>
        <w:t>, f. 2.</w:t>
      </w:r>
    </w:p>
    <w:p w14:paraId="71F2B30B" w14:textId="06CBAE8D" w:rsidR="00601EEA" w:rsidRDefault="00601EEA" w:rsidP="00601EEA">
      <w:pPr>
        <w:pStyle w:val="TextoNormal"/>
      </w:pPr>
    </w:p>
    <w:p w14:paraId="71F73F67" w14:textId="77777777" w:rsidR="00601EEA" w:rsidRDefault="00601EEA" w:rsidP="00601EEA">
      <w:pPr>
        <w:pStyle w:val="TextoNormalNegritaCentrado"/>
        <w:suppressAutoHyphens/>
      </w:pPr>
      <w:r w:rsidRPr="00601EEA">
        <w:rPr>
          <w:rStyle w:val="TextoNormalNegritaCentradoSombreado"/>
        </w:rPr>
        <w:t>J.8) Cataluña</w:t>
      </w:r>
    </w:p>
    <w:p w14:paraId="51E8D236" w14:textId="6BD553A8" w:rsidR="00601EEA" w:rsidRDefault="00601EEA" w:rsidP="00601EEA">
      <w:pPr>
        <w:pStyle w:val="TextoNormal"/>
      </w:pPr>
    </w:p>
    <w:p w14:paraId="7B157170" w14:textId="77777777" w:rsidR="00601EEA" w:rsidRDefault="00601EEA" w:rsidP="00601EEA">
      <w:pPr>
        <w:pStyle w:val="TextoNormalNegritaCentradoSubrayado"/>
        <w:suppressAutoHyphens/>
      </w:pPr>
      <w:r>
        <w:t>J.8.a) Estatuto de Autonomía</w:t>
      </w:r>
    </w:p>
    <w:p w14:paraId="328D1132" w14:textId="68D98021" w:rsidR="00601EEA" w:rsidRDefault="00601EEA" w:rsidP="00601EEA">
      <w:pPr>
        <w:pStyle w:val="TextoNormalNegritaCentradoSubrayado"/>
      </w:pPr>
    </w:p>
    <w:p w14:paraId="4D926BA3" w14:textId="77777777" w:rsidR="00601EEA" w:rsidRDefault="00601EEA" w:rsidP="00601EEA">
      <w:pPr>
        <w:pStyle w:val="TextoNormalNegritaCursivandice"/>
        <w:keepNext/>
      </w:pPr>
      <w:r>
        <w:t>Ley Orgánica 4/1979, de 18 de diciembre, de Estatuto de Autonomía de Cataluña</w:t>
      </w:r>
    </w:p>
    <w:p w14:paraId="710E8308" w14:textId="091790CD" w:rsidR="00601EEA" w:rsidRDefault="00601EEA" w:rsidP="00601EEA">
      <w:pPr>
        <w:pStyle w:val="SangriaFrancesaArticulo"/>
      </w:pPr>
      <w:r w:rsidRPr="00601EEA">
        <w:rPr>
          <w:rStyle w:val="TextoNormalNegritaCaracter"/>
        </w:rPr>
        <w:t>Artículo 10.6.</w:t>
      </w:r>
      <w:r w:rsidRPr="00601EEA">
        <w:rPr>
          <w:rStyle w:val="TextoNormalCaracter"/>
        </w:rPr>
        <w:t>-</w:t>
      </w:r>
      <w:r>
        <w:t xml:space="preserve"> Sentencia </w:t>
      </w:r>
      <w:hyperlink w:anchor="SENTENCIA_2024_68" w:history="1">
        <w:r w:rsidRPr="00601EEA">
          <w:rPr>
            <w:rStyle w:val="TextoNormalCaracter"/>
          </w:rPr>
          <w:t>68/2024</w:t>
        </w:r>
      </w:hyperlink>
      <w:r>
        <w:t>, f. 5.</w:t>
      </w:r>
    </w:p>
    <w:p w14:paraId="1AC29058" w14:textId="3E5F65EF" w:rsidR="00601EEA" w:rsidRDefault="00601EEA" w:rsidP="00601EEA">
      <w:pPr>
        <w:pStyle w:val="SangriaFrancesaArticulo"/>
      </w:pPr>
      <w:r w:rsidRPr="00601EEA">
        <w:rPr>
          <w:rStyle w:val="TextoNormalNegritaCaracter"/>
        </w:rPr>
        <w:t>Artículo 149.3 b).</w:t>
      </w:r>
      <w:r w:rsidRPr="00601EEA">
        <w:rPr>
          <w:rStyle w:val="TextoNormalCaracter"/>
        </w:rPr>
        <w:t>-</w:t>
      </w:r>
      <w:r>
        <w:t xml:space="preserve"> Sentencia </w:t>
      </w:r>
      <w:hyperlink w:anchor="SENTENCIA_2024_68" w:history="1">
        <w:r w:rsidRPr="00601EEA">
          <w:rPr>
            <w:rStyle w:val="TextoNormalCaracter"/>
          </w:rPr>
          <w:t>68/2024</w:t>
        </w:r>
      </w:hyperlink>
      <w:r>
        <w:t>, f. 10.</w:t>
      </w:r>
    </w:p>
    <w:p w14:paraId="63D47484" w14:textId="6886E9C1" w:rsidR="00601EEA" w:rsidRDefault="00601EEA" w:rsidP="00601EEA">
      <w:pPr>
        <w:pStyle w:val="SangriaFrancesaArticulo"/>
      </w:pPr>
    </w:p>
    <w:p w14:paraId="18AB9511" w14:textId="77777777" w:rsidR="00601EEA" w:rsidRDefault="00601EEA" w:rsidP="00601EEA">
      <w:pPr>
        <w:pStyle w:val="TextoNormalNegritaCursivandice"/>
        <w:keepNext/>
      </w:pPr>
      <w:r>
        <w:t>Ley Orgánica 6/2006, de 19 de julio, de reforma del Estatuto de Autonomía de Cataluña</w:t>
      </w:r>
    </w:p>
    <w:p w14:paraId="0C165078" w14:textId="68250732"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44" w:history="1">
        <w:r w:rsidRPr="00601EEA">
          <w:rPr>
            <w:rStyle w:val="TextoNormalCaracter"/>
          </w:rPr>
          <w:t>44/2024</w:t>
        </w:r>
      </w:hyperlink>
      <w:r>
        <w:t>, f. 2.</w:t>
      </w:r>
    </w:p>
    <w:p w14:paraId="10AEC0F7" w14:textId="1FF29A03" w:rsidR="00601EEA" w:rsidRDefault="00601EEA" w:rsidP="00601EEA">
      <w:pPr>
        <w:pStyle w:val="SangriaFrancesaArticulo"/>
      </w:pPr>
      <w:r w:rsidRPr="00601EEA">
        <w:rPr>
          <w:rStyle w:val="TextoNormalNegritaCaracter"/>
        </w:rPr>
        <w:t>Artículo 19.</w:t>
      </w:r>
      <w:r w:rsidRPr="00601EEA">
        <w:rPr>
          <w:rStyle w:val="TextoNormalCaracter"/>
        </w:rPr>
        <w:t>-</w:t>
      </w:r>
      <w:r>
        <w:t xml:space="preserve"> Sentencia </w:t>
      </w:r>
      <w:hyperlink w:anchor="SENTENCIA_2024_44" w:history="1">
        <w:r w:rsidRPr="00601EEA">
          <w:rPr>
            <w:rStyle w:val="TextoNormalCaracter"/>
          </w:rPr>
          <w:t>44/2024</w:t>
        </w:r>
      </w:hyperlink>
      <w:r>
        <w:t>, f. 2, VP I.</w:t>
      </w:r>
    </w:p>
    <w:p w14:paraId="16C41C77" w14:textId="195E9C61" w:rsidR="00601EEA" w:rsidRDefault="00601EEA" w:rsidP="00601EEA">
      <w:pPr>
        <w:pStyle w:val="SangriaFrancesaArticulo"/>
      </w:pPr>
      <w:r w:rsidRPr="00601EEA">
        <w:rPr>
          <w:rStyle w:val="TextoNormalNegritaCaracter"/>
        </w:rPr>
        <w:t>Artículo 41.3.</w:t>
      </w:r>
      <w:r w:rsidRPr="00601EEA">
        <w:rPr>
          <w:rStyle w:val="TextoNormalCaracter"/>
        </w:rPr>
        <w:t>-</w:t>
      </w:r>
      <w:r>
        <w:t xml:space="preserve"> Sentencia </w:t>
      </w:r>
      <w:hyperlink w:anchor="SENTENCIA_2024_44" w:history="1">
        <w:r w:rsidRPr="00601EEA">
          <w:rPr>
            <w:rStyle w:val="TextoNormalCaracter"/>
          </w:rPr>
          <w:t>44/2024</w:t>
        </w:r>
      </w:hyperlink>
      <w:r>
        <w:t>, f. 2, VP I.</w:t>
      </w:r>
    </w:p>
    <w:p w14:paraId="798684EC" w14:textId="6016420E" w:rsidR="00601EEA" w:rsidRDefault="00601EEA" w:rsidP="00601EEA">
      <w:pPr>
        <w:pStyle w:val="SangriaFrancesaArticulo"/>
      </w:pPr>
      <w:r w:rsidRPr="00601EEA">
        <w:rPr>
          <w:rStyle w:val="TextoNormalNegritaCaracter"/>
        </w:rPr>
        <w:t>Artículo 43.</w:t>
      </w:r>
      <w:r w:rsidRPr="00601EEA">
        <w:rPr>
          <w:rStyle w:val="TextoNormalCaracter"/>
        </w:rPr>
        <w:t>-</w:t>
      </w:r>
      <w:r>
        <w:t xml:space="preserve"> Sentencia </w:t>
      </w:r>
      <w:hyperlink w:anchor="SENTENCIA_2024_44" w:history="1">
        <w:r w:rsidRPr="00601EEA">
          <w:rPr>
            <w:rStyle w:val="TextoNormalCaracter"/>
          </w:rPr>
          <w:t>44/2024</w:t>
        </w:r>
      </w:hyperlink>
      <w:r>
        <w:t>, f. 2, VP I.</w:t>
      </w:r>
    </w:p>
    <w:p w14:paraId="519657C0" w14:textId="4F3820F9" w:rsidR="00601EEA" w:rsidRDefault="00601EEA" w:rsidP="00601EEA">
      <w:pPr>
        <w:pStyle w:val="SangriaFrancesaArticulo"/>
      </w:pPr>
      <w:r w:rsidRPr="00601EEA">
        <w:rPr>
          <w:rStyle w:val="TextoNormalNegritaCaracter"/>
        </w:rPr>
        <w:lastRenderedPageBreak/>
        <w:t>Artículo 118.</w:t>
      </w:r>
      <w:r w:rsidRPr="00601EEA">
        <w:rPr>
          <w:rStyle w:val="TextoNormalCaracter"/>
        </w:rPr>
        <w:t>-</w:t>
      </w:r>
      <w:r>
        <w:t xml:space="preserve"> Sentencia </w:t>
      </w:r>
      <w:hyperlink w:anchor="SENTENCIA_2024_44" w:history="1">
        <w:r w:rsidRPr="00601EEA">
          <w:rPr>
            <w:rStyle w:val="TextoNormalCaracter"/>
          </w:rPr>
          <w:t>44/2024</w:t>
        </w:r>
      </w:hyperlink>
      <w:r>
        <w:t>, f. 2.</w:t>
      </w:r>
    </w:p>
    <w:p w14:paraId="78E732CE" w14:textId="2AA5F266" w:rsidR="00601EEA" w:rsidRDefault="00601EEA" w:rsidP="00601EEA">
      <w:pPr>
        <w:pStyle w:val="SangriaFrancesaArticulo"/>
      </w:pPr>
      <w:r w:rsidRPr="00601EEA">
        <w:rPr>
          <w:rStyle w:val="TextoNormalNegritaCaracter"/>
        </w:rPr>
        <w:t>Artículo 137.</w:t>
      </w:r>
      <w:r w:rsidRPr="00601EEA">
        <w:rPr>
          <w:rStyle w:val="TextoNormalCaracter"/>
        </w:rPr>
        <w:t>-</w:t>
      </w:r>
      <w:r>
        <w:t xml:space="preserve"> Sentencia </w:t>
      </w:r>
      <w:hyperlink w:anchor="SENTENCIA_2024_79" w:history="1">
        <w:r w:rsidRPr="00601EEA">
          <w:rPr>
            <w:rStyle w:val="TextoNormalCaracter"/>
          </w:rPr>
          <w:t>79/2024</w:t>
        </w:r>
      </w:hyperlink>
      <w:r>
        <w:t>, VP.</w:t>
      </w:r>
    </w:p>
    <w:p w14:paraId="1085CA29" w14:textId="1C965AE2" w:rsidR="00601EEA" w:rsidRDefault="00601EEA" w:rsidP="00601EEA">
      <w:pPr>
        <w:pStyle w:val="SangriaFrancesaArticulo"/>
      </w:pPr>
      <w:r w:rsidRPr="00601EEA">
        <w:rPr>
          <w:rStyle w:val="TextoNormalNegritaCaracter"/>
        </w:rPr>
        <w:t>Artículo 149.3 b).</w:t>
      </w:r>
      <w:r w:rsidRPr="00601EEA">
        <w:rPr>
          <w:rStyle w:val="TextoNormalCaracter"/>
        </w:rPr>
        <w:t>-</w:t>
      </w:r>
      <w:r>
        <w:t xml:space="preserve"> Sentencia </w:t>
      </w:r>
      <w:hyperlink w:anchor="SENTENCIA_2024_68" w:history="1">
        <w:r w:rsidRPr="00601EEA">
          <w:rPr>
            <w:rStyle w:val="TextoNormalCaracter"/>
          </w:rPr>
          <w:t>68/2024</w:t>
        </w:r>
      </w:hyperlink>
      <w:r>
        <w:t>, f. 5.</w:t>
      </w:r>
    </w:p>
    <w:p w14:paraId="0459A975" w14:textId="6A6092C8" w:rsidR="00601EEA" w:rsidRDefault="00601EEA" w:rsidP="00601EEA">
      <w:pPr>
        <w:pStyle w:val="SangriaFrancesaArticulo"/>
      </w:pPr>
      <w:r w:rsidRPr="00601EEA">
        <w:rPr>
          <w:rStyle w:val="TextoNormalNegritaCaracter"/>
        </w:rPr>
        <w:t>Artículo 150.</w:t>
      </w:r>
      <w:r w:rsidRPr="00601EEA">
        <w:rPr>
          <w:rStyle w:val="TextoNormalCaracter"/>
        </w:rPr>
        <w:t>-</w:t>
      </w:r>
      <w:r>
        <w:t xml:space="preserve"> Sentencia </w:t>
      </w:r>
      <w:hyperlink w:anchor="SENTENCIA_2024_93" w:history="1">
        <w:r w:rsidRPr="00601EEA">
          <w:rPr>
            <w:rStyle w:val="TextoNormalCaracter"/>
          </w:rPr>
          <w:t>93/2024</w:t>
        </w:r>
      </w:hyperlink>
      <w:r>
        <w:t>, VP I.</w:t>
      </w:r>
    </w:p>
    <w:p w14:paraId="6A7B3BB3" w14:textId="24169125" w:rsidR="00601EEA" w:rsidRDefault="00601EEA" w:rsidP="00601EEA">
      <w:pPr>
        <w:pStyle w:val="SangriaFrancesaArticulo"/>
      </w:pPr>
      <w:r w:rsidRPr="00601EEA">
        <w:rPr>
          <w:rStyle w:val="TextoNormalNegritaCaracter"/>
        </w:rPr>
        <w:t>Artículo 153.</w:t>
      </w:r>
      <w:r w:rsidRPr="00601EEA">
        <w:rPr>
          <w:rStyle w:val="TextoNormalCaracter"/>
        </w:rPr>
        <w:t>-</w:t>
      </w:r>
      <w:r>
        <w:t xml:space="preserve"> Sentencia </w:t>
      </w:r>
      <w:hyperlink w:anchor="SENTENCIA_2024_44" w:history="1">
        <w:r w:rsidRPr="00601EEA">
          <w:rPr>
            <w:rStyle w:val="TextoNormalCaracter"/>
          </w:rPr>
          <w:t>44/2024</w:t>
        </w:r>
      </w:hyperlink>
      <w:r>
        <w:t>, ff. 2 a 4, 6, VP I, VP II.</w:t>
      </w:r>
    </w:p>
    <w:p w14:paraId="55B9F0E3" w14:textId="25DBC7F5" w:rsidR="00601EEA" w:rsidRDefault="00601EEA" w:rsidP="00601EEA">
      <w:pPr>
        <w:pStyle w:val="SangriaFrancesaArticulo"/>
      </w:pPr>
      <w:r w:rsidRPr="00601EEA">
        <w:rPr>
          <w:rStyle w:val="TextoNormalNegritaCaracter"/>
        </w:rPr>
        <w:t>Artículo 159.</w:t>
      </w:r>
      <w:r w:rsidRPr="00601EEA">
        <w:rPr>
          <w:rStyle w:val="TextoNormalCaracter"/>
        </w:rPr>
        <w:t>-</w:t>
      </w:r>
      <w:r>
        <w:t xml:space="preserve"> Sentencia </w:t>
      </w:r>
      <w:hyperlink w:anchor="SENTENCIA_2024_93" w:history="1">
        <w:r w:rsidRPr="00601EEA">
          <w:rPr>
            <w:rStyle w:val="TextoNormalCaracter"/>
          </w:rPr>
          <w:t>93/2024</w:t>
        </w:r>
      </w:hyperlink>
      <w:r>
        <w:t>, VP I.</w:t>
      </w:r>
    </w:p>
    <w:p w14:paraId="576CBE24" w14:textId="01C74BF7" w:rsidR="00601EEA" w:rsidRDefault="00601EEA" w:rsidP="00601EEA">
      <w:pPr>
        <w:pStyle w:val="TextoNormal"/>
      </w:pPr>
    </w:p>
    <w:p w14:paraId="2C8B3192" w14:textId="77777777" w:rsidR="00601EEA" w:rsidRDefault="00601EEA" w:rsidP="00601EEA">
      <w:pPr>
        <w:pStyle w:val="TextoNormalNegritaCentradoSubrayado"/>
        <w:suppressAutoHyphens/>
      </w:pPr>
      <w:r>
        <w:t>J.8.b) Leyes y disposiciones con fuerza de Ley</w:t>
      </w:r>
    </w:p>
    <w:p w14:paraId="49D8474C" w14:textId="09340AB3" w:rsidR="00601EEA" w:rsidRDefault="00601EEA" w:rsidP="00601EEA">
      <w:pPr>
        <w:pStyle w:val="TextoNormalNegritaCentradoSubrayado"/>
      </w:pPr>
    </w:p>
    <w:p w14:paraId="20BF3FF1" w14:textId="77777777" w:rsidR="00601EEA" w:rsidRDefault="00601EEA" w:rsidP="00601EEA">
      <w:pPr>
        <w:pStyle w:val="TextoNormalNegritaCursivandice"/>
        <w:keepNext/>
      </w:pPr>
      <w:r>
        <w:t>Comunidad Autónoma de Cataluña. Ley 12/1987, de 28 de mayo, de regulación del transporte de viajeros por carretera mediante vehículos de motor</w:t>
      </w:r>
    </w:p>
    <w:p w14:paraId="1A25C657" w14:textId="6B549185"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44" w:history="1">
        <w:r w:rsidRPr="00601EEA">
          <w:rPr>
            <w:rStyle w:val="TextoNormalCaracter"/>
          </w:rPr>
          <w:t>44/2024</w:t>
        </w:r>
      </w:hyperlink>
      <w:r>
        <w:t>, f. 3.</w:t>
      </w:r>
    </w:p>
    <w:p w14:paraId="244A38E8" w14:textId="4E75D97F" w:rsidR="00601EEA" w:rsidRDefault="00601EEA" w:rsidP="00601EEA">
      <w:pPr>
        <w:pStyle w:val="SangriaFrancesaArticulo"/>
      </w:pPr>
    </w:p>
    <w:p w14:paraId="1F12F54B" w14:textId="77777777" w:rsidR="00601EEA" w:rsidRDefault="00601EEA" w:rsidP="00601EEA">
      <w:pPr>
        <w:pStyle w:val="TextoNormalNegritaCursivandice"/>
        <w:keepNext/>
      </w:pPr>
      <w:r>
        <w:t>Comunidad Autónoma de Cataluña. Ley 4/2006, de 31 de marzo, ferroviaria</w:t>
      </w:r>
    </w:p>
    <w:p w14:paraId="61556CE5" w14:textId="20186138"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44" w:history="1">
        <w:r w:rsidRPr="00601EEA">
          <w:rPr>
            <w:rStyle w:val="TextoNormalCaracter"/>
          </w:rPr>
          <w:t>44/2024</w:t>
        </w:r>
      </w:hyperlink>
      <w:r>
        <w:t>, f. 3.</w:t>
      </w:r>
    </w:p>
    <w:p w14:paraId="33D30EA0" w14:textId="42E4DF40" w:rsidR="00601EEA" w:rsidRDefault="00601EEA" w:rsidP="00601EEA">
      <w:pPr>
        <w:pStyle w:val="SangriaFrancesaArticulo"/>
      </w:pPr>
    </w:p>
    <w:p w14:paraId="1E251B5A" w14:textId="77777777" w:rsidR="00601EEA" w:rsidRDefault="00601EEA" w:rsidP="00601EEA">
      <w:pPr>
        <w:pStyle w:val="TextoNormalNegritaCursivandice"/>
        <w:keepNext/>
      </w:pPr>
      <w:r>
        <w:t>Comunidad Autónoma de Cataluña. Ley 5/2008, de 24 de abril, del derecho de las mujeres a erradicar la violencia machista</w:t>
      </w:r>
    </w:p>
    <w:p w14:paraId="7EBC0DD6" w14:textId="0F93A73E"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44" w:history="1">
        <w:r w:rsidRPr="00601EEA">
          <w:rPr>
            <w:rStyle w:val="TextoNormalCaracter"/>
          </w:rPr>
          <w:t>44/2024</w:t>
        </w:r>
      </w:hyperlink>
      <w:r>
        <w:t>, ff. 1 a 3, VP I, VP II.</w:t>
      </w:r>
    </w:p>
    <w:p w14:paraId="69FD4D49" w14:textId="5D8C5DFA" w:rsidR="00601EEA" w:rsidRDefault="00601EEA" w:rsidP="00601EEA">
      <w:pPr>
        <w:pStyle w:val="SangriaFrancesaArticulo"/>
      </w:pPr>
      <w:r w:rsidRPr="00601EEA">
        <w:rPr>
          <w:rStyle w:val="TextoNormalNegritaCaracter"/>
        </w:rPr>
        <w:t>Título I.</w:t>
      </w:r>
      <w:r w:rsidRPr="00601EEA">
        <w:rPr>
          <w:rStyle w:val="TextoNormalCaracter"/>
        </w:rPr>
        <w:t>-</w:t>
      </w:r>
      <w:r>
        <w:t xml:space="preserve"> Sentencia </w:t>
      </w:r>
      <w:hyperlink w:anchor="SENTENCIA_2024_44" w:history="1">
        <w:r w:rsidRPr="00601EEA">
          <w:rPr>
            <w:rStyle w:val="TextoNormalCaracter"/>
          </w:rPr>
          <w:t>44/2024</w:t>
        </w:r>
      </w:hyperlink>
      <w:r>
        <w:t>, f. 2.</w:t>
      </w:r>
    </w:p>
    <w:p w14:paraId="5DE2B8A8" w14:textId="5C451923" w:rsidR="00601EEA" w:rsidRDefault="00601EEA" w:rsidP="00601EEA">
      <w:pPr>
        <w:pStyle w:val="SangriaFrancesaArticulo"/>
      </w:pPr>
      <w:r w:rsidRPr="00601EEA">
        <w:rPr>
          <w:rStyle w:val="TextoNormalNegritaCaracter"/>
        </w:rPr>
        <w:t>Título II.</w:t>
      </w:r>
      <w:r w:rsidRPr="00601EEA">
        <w:rPr>
          <w:rStyle w:val="TextoNormalCaracter"/>
        </w:rPr>
        <w:t>-</w:t>
      </w:r>
      <w:r>
        <w:t xml:space="preserve"> Sentencia </w:t>
      </w:r>
      <w:hyperlink w:anchor="SENTENCIA_2024_44" w:history="1">
        <w:r w:rsidRPr="00601EEA">
          <w:rPr>
            <w:rStyle w:val="TextoNormalCaracter"/>
          </w:rPr>
          <w:t>44/2024</w:t>
        </w:r>
      </w:hyperlink>
      <w:r>
        <w:t>, ff. 2, 5.</w:t>
      </w:r>
    </w:p>
    <w:p w14:paraId="73B47BF1" w14:textId="4559BD16" w:rsidR="00601EEA" w:rsidRDefault="00601EEA" w:rsidP="00601EEA">
      <w:pPr>
        <w:pStyle w:val="SangriaFrancesaArticulo"/>
      </w:pPr>
      <w:r w:rsidRPr="00601EEA">
        <w:rPr>
          <w:rStyle w:val="TextoNormalNegritaCaracter"/>
        </w:rPr>
        <w:t>Título III.</w:t>
      </w:r>
      <w:r w:rsidRPr="00601EEA">
        <w:rPr>
          <w:rStyle w:val="TextoNormalCaracter"/>
        </w:rPr>
        <w:t>-</w:t>
      </w:r>
      <w:r>
        <w:t xml:space="preserve"> Sentencia </w:t>
      </w:r>
      <w:hyperlink w:anchor="SENTENCIA_2024_44" w:history="1">
        <w:r w:rsidRPr="00601EEA">
          <w:rPr>
            <w:rStyle w:val="TextoNormalCaracter"/>
          </w:rPr>
          <w:t>44/2024</w:t>
        </w:r>
      </w:hyperlink>
      <w:r>
        <w:t>, f. 2.</w:t>
      </w:r>
    </w:p>
    <w:p w14:paraId="0B7AB6AB" w14:textId="06F08BE8" w:rsidR="00601EEA" w:rsidRDefault="00601EEA" w:rsidP="00601EEA">
      <w:pPr>
        <w:pStyle w:val="SangriaFrancesaArticulo"/>
      </w:pPr>
      <w:r w:rsidRPr="00601EEA">
        <w:rPr>
          <w:rStyle w:val="TextoNormalNegritaCaracter"/>
        </w:rPr>
        <w:t>Título IV.</w:t>
      </w:r>
      <w:r w:rsidRPr="00601EEA">
        <w:rPr>
          <w:rStyle w:val="TextoNormalCaracter"/>
        </w:rPr>
        <w:t>-</w:t>
      </w:r>
      <w:r>
        <w:t xml:space="preserve"> Sentencia </w:t>
      </w:r>
      <w:hyperlink w:anchor="SENTENCIA_2024_44" w:history="1">
        <w:r w:rsidRPr="00601EEA">
          <w:rPr>
            <w:rStyle w:val="TextoNormalCaracter"/>
          </w:rPr>
          <w:t>44/2024</w:t>
        </w:r>
      </w:hyperlink>
      <w:r>
        <w:t>, f. 2.</w:t>
      </w:r>
    </w:p>
    <w:p w14:paraId="4C3060A7" w14:textId="36EBE6AE" w:rsidR="00601EEA" w:rsidRDefault="00601EEA" w:rsidP="00601EEA">
      <w:pPr>
        <w:pStyle w:val="SangriaFrancesaArticulo"/>
      </w:pPr>
      <w:r w:rsidRPr="00601EEA">
        <w:rPr>
          <w:rStyle w:val="TextoNormalNegritaCaracter"/>
        </w:rPr>
        <w:t>Preámbulo.</w:t>
      </w:r>
      <w:r w:rsidRPr="00601EEA">
        <w:rPr>
          <w:rStyle w:val="TextoNormalCaracter"/>
        </w:rPr>
        <w:t>-</w:t>
      </w:r>
      <w:r>
        <w:t xml:space="preserve"> Sentencia </w:t>
      </w:r>
      <w:hyperlink w:anchor="SENTENCIA_2024_44" w:history="1">
        <w:r w:rsidRPr="00601EEA">
          <w:rPr>
            <w:rStyle w:val="TextoNormalCaracter"/>
          </w:rPr>
          <w:t>44/2024</w:t>
        </w:r>
      </w:hyperlink>
      <w:r>
        <w:t>, f. 2.</w:t>
      </w:r>
    </w:p>
    <w:p w14:paraId="6C8B57ED" w14:textId="654D42AF" w:rsidR="00601EEA" w:rsidRDefault="00601EEA" w:rsidP="00601EEA">
      <w:pPr>
        <w:pStyle w:val="SangriaFrancesaArticulo"/>
      </w:pPr>
      <w:r w:rsidRPr="00601EEA">
        <w:rPr>
          <w:rStyle w:val="TextoNormalNegritaCaracter"/>
        </w:rPr>
        <w:t>Preámbulo, apartado I.</w:t>
      </w:r>
      <w:r w:rsidRPr="00601EEA">
        <w:rPr>
          <w:rStyle w:val="TextoNormalCaracter"/>
        </w:rPr>
        <w:t>-</w:t>
      </w:r>
      <w:r>
        <w:t xml:space="preserve"> Sentencia </w:t>
      </w:r>
      <w:hyperlink w:anchor="SENTENCIA_2024_44" w:history="1">
        <w:r w:rsidRPr="00601EEA">
          <w:rPr>
            <w:rStyle w:val="TextoNormalCaracter"/>
          </w:rPr>
          <w:t>44/2024</w:t>
        </w:r>
      </w:hyperlink>
      <w:r>
        <w:t>, f. 2.</w:t>
      </w:r>
    </w:p>
    <w:p w14:paraId="36F2DA9C" w14:textId="06D83173" w:rsidR="00601EEA" w:rsidRDefault="00601EEA" w:rsidP="00601EEA">
      <w:pPr>
        <w:pStyle w:val="SangriaFrancesaArticulo"/>
      </w:pPr>
      <w:r w:rsidRPr="00601EEA">
        <w:rPr>
          <w:rStyle w:val="TextoNormalNegritaCaracter"/>
        </w:rPr>
        <w:t>Preámbulo, apartado II.</w:t>
      </w:r>
      <w:r w:rsidRPr="00601EEA">
        <w:rPr>
          <w:rStyle w:val="TextoNormalCaracter"/>
        </w:rPr>
        <w:t>-</w:t>
      </w:r>
      <w:r>
        <w:t xml:space="preserve"> Sentencia </w:t>
      </w:r>
      <w:hyperlink w:anchor="SENTENCIA_2024_44" w:history="1">
        <w:r w:rsidRPr="00601EEA">
          <w:rPr>
            <w:rStyle w:val="TextoNormalCaracter"/>
          </w:rPr>
          <w:t>44/2024</w:t>
        </w:r>
      </w:hyperlink>
      <w:r>
        <w:t>, f. 2.</w:t>
      </w:r>
    </w:p>
    <w:p w14:paraId="28FE68E4" w14:textId="17A64CB9" w:rsidR="00601EEA" w:rsidRDefault="00601EEA" w:rsidP="00601EEA">
      <w:pPr>
        <w:pStyle w:val="SangriaFrancesaArticulo"/>
      </w:pPr>
      <w:r w:rsidRPr="00601EEA">
        <w:rPr>
          <w:rStyle w:val="TextoNormalNegritaCaracter"/>
        </w:rPr>
        <w:t>Preámbulo, apartado III.</w:t>
      </w:r>
      <w:r w:rsidRPr="00601EEA">
        <w:rPr>
          <w:rStyle w:val="TextoNormalCaracter"/>
        </w:rPr>
        <w:t>-</w:t>
      </w:r>
      <w:r>
        <w:t xml:space="preserve"> Sentencia </w:t>
      </w:r>
      <w:hyperlink w:anchor="SENTENCIA_2024_44" w:history="1">
        <w:r w:rsidRPr="00601EEA">
          <w:rPr>
            <w:rStyle w:val="TextoNormalCaracter"/>
          </w:rPr>
          <w:t>44/2024</w:t>
        </w:r>
      </w:hyperlink>
      <w:r>
        <w:t>, f. 2.</w:t>
      </w:r>
    </w:p>
    <w:p w14:paraId="7B636663" w14:textId="7E9746B0" w:rsidR="00601EEA" w:rsidRDefault="00601EEA" w:rsidP="00601EEA">
      <w:pPr>
        <w:pStyle w:val="SangriaFrancesaArticulo"/>
      </w:pPr>
      <w:r w:rsidRPr="00601EEA">
        <w:rPr>
          <w:rStyle w:val="TextoNormalNegritaCaracter"/>
        </w:rPr>
        <w:t>Artículo 1.</w:t>
      </w:r>
      <w:r w:rsidRPr="00601EEA">
        <w:rPr>
          <w:rStyle w:val="TextoNormalCaracter"/>
        </w:rPr>
        <w:t>-</w:t>
      </w:r>
      <w:r>
        <w:t xml:space="preserve"> Sentencia </w:t>
      </w:r>
      <w:hyperlink w:anchor="SENTENCIA_2024_44" w:history="1">
        <w:r w:rsidRPr="00601EEA">
          <w:rPr>
            <w:rStyle w:val="TextoNormalCaracter"/>
          </w:rPr>
          <w:t>44/2024</w:t>
        </w:r>
      </w:hyperlink>
      <w:r>
        <w:t>, f. 2.</w:t>
      </w:r>
    </w:p>
    <w:p w14:paraId="4D27D631" w14:textId="771EE6E1" w:rsidR="00601EEA" w:rsidRDefault="00601EEA" w:rsidP="00601EEA">
      <w:pPr>
        <w:pStyle w:val="SangriaFrancesaArticulo"/>
      </w:pPr>
      <w:r w:rsidRPr="00601EEA">
        <w:rPr>
          <w:rStyle w:val="TextoNormalNegritaCaracter"/>
        </w:rPr>
        <w:t>Artículo 2.2</w:t>
      </w:r>
      <w:r>
        <w:t xml:space="preserve"> (redactado por la Ley 17/2020, de 22 de diciembre)</w:t>
      </w:r>
      <w:r w:rsidRPr="00601EEA">
        <w:rPr>
          <w:rStyle w:val="TextoNormalNegritaCaracter"/>
        </w:rPr>
        <w:t>.</w:t>
      </w:r>
      <w:r w:rsidRPr="00601EEA">
        <w:rPr>
          <w:rStyle w:val="TextoNormalCaracter"/>
        </w:rPr>
        <w:t>-</w:t>
      </w:r>
      <w:r>
        <w:t xml:space="preserve"> Sentencia </w:t>
      </w:r>
      <w:hyperlink w:anchor="SENTENCIA_2024_44" w:history="1">
        <w:r w:rsidRPr="00601EEA">
          <w:rPr>
            <w:rStyle w:val="TextoNormalCaracter"/>
          </w:rPr>
          <w:t>44/2024</w:t>
        </w:r>
      </w:hyperlink>
      <w:r>
        <w:t>, ff. 3, 4.</w:t>
      </w:r>
    </w:p>
    <w:p w14:paraId="55D485D5" w14:textId="4251ED3A" w:rsidR="00601EEA" w:rsidRDefault="00601EEA" w:rsidP="00601EEA">
      <w:pPr>
        <w:pStyle w:val="SangriaFrancesaArticulo"/>
      </w:pPr>
      <w:r w:rsidRPr="00601EEA">
        <w:rPr>
          <w:rStyle w:val="TextoNormalNegritaCaracter"/>
        </w:rPr>
        <w:t>Artículo 3 j)</w:t>
      </w:r>
      <w:r>
        <w:t xml:space="preserve"> (redactado por la Ley 17/2020, de 22 de diciembre)</w:t>
      </w:r>
      <w:r w:rsidRPr="00601EEA">
        <w:rPr>
          <w:rStyle w:val="TextoNormalNegritaCaracter"/>
        </w:rPr>
        <w:t>.</w:t>
      </w:r>
      <w:r w:rsidRPr="00601EEA">
        <w:rPr>
          <w:rStyle w:val="TextoNormalCaracter"/>
        </w:rPr>
        <w:t>-</w:t>
      </w:r>
      <w:r>
        <w:t xml:space="preserve"> Sentencia </w:t>
      </w:r>
      <w:hyperlink w:anchor="SENTENCIA_2024_44" w:history="1">
        <w:r w:rsidRPr="00601EEA">
          <w:rPr>
            <w:rStyle w:val="TextoNormalCaracter"/>
          </w:rPr>
          <w:t>44/2024</w:t>
        </w:r>
      </w:hyperlink>
      <w:r>
        <w:t>, f. 3.</w:t>
      </w:r>
    </w:p>
    <w:p w14:paraId="4DADBF35" w14:textId="40102CB4" w:rsidR="00601EEA" w:rsidRDefault="00601EEA" w:rsidP="00601EEA">
      <w:pPr>
        <w:pStyle w:val="SangriaFrancesaArticulo"/>
      </w:pPr>
      <w:r w:rsidRPr="00601EEA">
        <w:rPr>
          <w:rStyle w:val="TextoNormalNegritaCaracter"/>
        </w:rPr>
        <w:t>Artículo 4.</w:t>
      </w:r>
      <w:r w:rsidRPr="00601EEA">
        <w:rPr>
          <w:rStyle w:val="TextoNormalCaracter"/>
        </w:rPr>
        <w:t>-</w:t>
      </w:r>
      <w:r>
        <w:t xml:space="preserve"> Sentencia </w:t>
      </w:r>
      <w:hyperlink w:anchor="SENTENCIA_2024_44" w:history="1">
        <w:r w:rsidRPr="00601EEA">
          <w:rPr>
            <w:rStyle w:val="TextoNormalCaracter"/>
          </w:rPr>
          <w:t>44/2024</w:t>
        </w:r>
      </w:hyperlink>
      <w:r>
        <w:t>, f. 2.</w:t>
      </w:r>
    </w:p>
    <w:p w14:paraId="49EA2A55" w14:textId="3DA14670" w:rsidR="00601EEA" w:rsidRDefault="00601EEA" w:rsidP="00601EEA">
      <w:pPr>
        <w:pStyle w:val="SangriaFrancesaArticulo"/>
      </w:pPr>
      <w:r w:rsidRPr="00601EEA">
        <w:rPr>
          <w:rStyle w:val="TextoNormalNegritaCaracter"/>
        </w:rPr>
        <w:t>Artículo 4</w:t>
      </w:r>
      <w:r>
        <w:t xml:space="preserve"> (redactado por la Ley 17/2020, de 22 de diciembre)</w:t>
      </w:r>
      <w:r w:rsidRPr="00601EEA">
        <w:rPr>
          <w:rStyle w:val="TextoNormalNegritaCaracter"/>
        </w:rPr>
        <w:t>.</w:t>
      </w:r>
      <w:r w:rsidRPr="00601EEA">
        <w:rPr>
          <w:rStyle w:val="TextoNormalCaracter"/>
        </w:rPr>
        <w:t>-</w:t>
      </w:r>
      <w:r>
        <w:t xml:space="preserve"> Sentencia </w:t>
      </w:r>
      <w:hyperlink w:anchor="SENTENCIA_2024_44" w:history="1">
        <w:r w:rsidRPr="00601EEA">
          <w:rPr>
            <w:rStyle w:val="TextoNormalCaracter"/>
          </w:rPr>
          <w:t>44/2024</w:t>
        </w:r>
      </w:hyperlink>
      <w:r>
        <w:t>, f. 2.</w:t>
      </w:r>
    </w:p>
    <w:p w14:paraId="203B8C2D" w14:textId="609A8B52" w:rsidR="00601EEA" w:rsidRDefault="00601EEA" w:rsidP="00601EEA">
      <w:pPr>
        <w:pStyle w:val="SangriaFrancesaArticulo"/>
      </w:pPr>
      <w:r w:rsidRPr="00601EEA">
        <w:rPr>
          <w:rStyle w:val="TextoNormalNegritaCaracter"/>
        </w:rPr>
        <w:t>Artículo 4.2</w:t>
      </w:r>
      <w:r>
        <w:t xml:space="preserve"> (redactado por la Ley 17/2020, de 22 de diciembre)</w:t>
      </w:r>
      <w:r w:rsidRPr="00601EEA">
        <w:rPr>
          <w:rStyle w:val="TextoNormalNegritaCaracter"/>
        </w:rPr>
        <w:t>.</w:t>
      </w:r>
      <w:r w:rsidRPr="00601EEA">
        <w:rPr>
          <w:rStyle w:val="TextoNormalCaracter"/>
        </w:rPr>
        <w:t>-</w:t>
      </w:r>
      <w:r>
        <w:t xml:space="preserve"> Sentencia </w:t>
      </w:r>
      <w:hyperlink w:anchor="SENTENCIA_2024_44" w:history="1">
        <w:r w:rsidRPr="00601EEA">
          <w:rPr>
            <w:rStyle w:val="TextoNormalCaracter"/>
          </w:rPr>
          <w:t>44/2024</w:t>
        </w:r>
      </w:hyperlink>
      <w:r>
        <w:t>, ff. 2, 3.</w:t>
      </w:r>
    </w:p>
    <w:p w14:paraId="58362F3C" w14:textId="7D9A863C" w:rsidR="00601EEA" w:rsidRDefault="00601EEA" w:rsidP="00601EEA">
      <w:pPr>
        <w:pStyle w:val="SangriaFrancesaArticulo"/>
      </w:pPr>
      <w:r w:rsidRPr="00601EEA">
        <w:rPr>
          <w:rStyle w:val="TextoNormalNegritaCaracter"/>
        </w:rPr>
        <w:t>Artículo 4.2 a)</w:t>
      </w:r>
      <w:r>
        <w:t xml:space="preserve"> (redactado por la Ley 17/2020, de 22 de diciembre)</w:t>
      </w:r>
      <w:r w:rsidRPr="00601EEA">
        <w:rPr>
          <w:rStyle w:val="TextoNormalNegritaCaracter"/>
        </w:rPr>
        <w:t>.</w:t>
      </w:r>
      <w:r w:rsidRPr="00601EEA">
        <w:rPr>
          <w:rStyle w:val="TextoNormalCaracter"/>
        </w:rPr>
        <w:t>-</w:t>
      </w:r>
      <w:r>
        <w:t xml:space="preserve"> Sentencia </w:t>
      </w:r>
      <w:hyperlink w:anchor="SENTENCIA_2024_44" w:history="1">
        <w:r w:rsidRPr="00601EEA">
          <w:rPr>
            <w:rStyle w:val="TextoNormalCaracter"/>
          </w:rPr>
          <w:t>44/2024</w:t>
        </w:r>
      </w:hyperlink>
      <w:r>
        <w:t>, f. 2.</w:t>
      </w:r>
    </w:p>
    <w:p w14:paraId="6C8DC6E6" w14:textId="3304C3A6" w:rsidR="00601EEA" w:rsidRDefault="00601EEA" w:rsidP="00601EEA">
      <w:pPr>
        <w:pStyle w:val="SangriaFrancesaArticulo"/>
      </w:pPr>
      <w:r w:rsidRPr="00601EEA">
        <w:rPr>
          <w:rStyle w:val="TextoNormalNegritaCaracter"/>
        </w:rPr>
        <w:t>Artículo 4.2 c)</w:t>
      </w:r>
      <w:r>
        <w:t xml:space="preserve"> (redactado por la Ley 17/2020, de 22 de diciembre)</w:t>
      </w:r>
      <w:r w:rsidRPr="00601EEA">
        <w:rPr>
          <w:rStyle w:val="TextoNormalNegritaCaracter"/>
        </w:rPr>
        <w:t>.</w:t>
      </w:r>
      <w:r w:rsidRPr="00601EEA">
        <w:rPr>
          <w:rStyle w:val="TextoNormalCaracter"/>
        </w:rPr>
        <w:t>-</w:t>
      </w:r>
      <w:r>
        <w:t xml:space="preserve"> Sentencia </w:t>
      </w:r>
      <w:hyperlink w:anchor="SENTENCIA_2024_44" w:history="1">
        <w:r w:rsidRPr="00601EEA">
          <w:rPr>
            <w:rStyle w:val="TextoNormalCaracter"/>
          </w:rPr>
          <w:t>44/2024</w:t>
        </w:r>
      </w:hyperlink>
      <w:r>
        <w:t>, f. 2.</w:t>
      </w:r>
    </w:p>
    <w:p w14:paraId="29DF84AE" w14:textId="2E5029F3" w:rsidR="00601EEA" w:rsidRDefault="00601EEA" w:rsidP="00601EEA">
      <w:pPr>
        <w:pStyle w:val="SangriaFrancesaArticulo"/>
      </w:pPr>
      <w:r w:rsidRPr="00601EEA">
        <w:rPr>
          <w:rStyle w:val="TextoNormalNegritaCaracter"/>
        </w:rPr>
        <w:t>Artículo 4.2 d)</w:t>
      </w:r>
      <w:r>
        <w:t xml:space="preserve"> (redactado por la Ley 17/2020, de 22 de diciembre)</w:t>
      </w:r>
      <w:r w:rsidRPr="00601EEA">
        <w:rPr>
          <w:rStyle w:val="TextoNormalNegritaCaracter"/>
        </w:rPr>
        <w:t>.</w:t>
      </w:r>
      <w:r w:rsidRPr="00601EEA">
        <w:rPr>
          <w:rStyle w:val="TextoNormalCaracter"/>
        </w:rPr>
        <w:t>-</w:t>
      </w:r>
      <w:r>
        <w:t xml:space="preserve"> Sentencia </w:t>
      </w:r>
      <w:hyperlink w:anchor="SENTENCIA_2024_44" w:history="1">
        <w:r w:rsidRPr="00601EEA">
          <w:rPr>
            <w:rStyle w:val="TextoNormalCaracter"/>
          </w:rPr>
          <w:t>44/2024</w:t>
        </w:r>
      </w:hyperlink>
      <w:r>
        <w:t>, f. 2.</w:t>
      </w:r>
    </w:p>
    <w:p w14:paraId="3B0C7BC0" w14:textId="5CE765E4" w:rsidR="00601EEA" w:rsidRDefault="00601EEA" w:rsidP="00601EEA">
      <w:pPr>
        <w:pStyle w:val="SangriaFrancesaArticulo"/>
      </w:pPr>
      <w:r w:rsidRPr="00601EEA">
        <w:rPr>
          <w:rStyle w:val="TextoNormalNegritaCaracter"/>
        </w:rPr>
        <w:t>Artículos 12 a 19.</w:t>
      </w:r>
      <w:r w:rsidRPr="00601EEA">
        <w:rPr>
          <w:rStyle w:val="TextoNormalCaracter"/>
        </w:rPr>
        <w:t>-</w:t>
      </w:r>
      <w:r>
        <w:t xml:space="preserve"> Sentencia </w:t>
      </w:r>
      <w:hyperlink w:anchor="SENTENCIA_2024_44" w:history="1">
        <w:r w:rsidRPr="00601EEA">
          <w:rPr>
            <w:rStyle w:val="TextoNormalCaracter"/>
          </w:rPr>
          <w:t>44/2024</w:t>
        </w:r>
      </w:hyperlink>
      <w:r>
        <w:t>, f. 3.</w:t>
      </w:r>
    </w:p>
    <w:p w14:paraId="733A65AC" w14:textId="51A7A540" w:rsidR="00601EEA" w:rsidRDefault="00601EEA" w:rsidP="00601EEA">
      <w:pPr>
        <w:pStyle w:val="SangriaFrancesaArticulo"/>
      </w:pPr>
      <w:r w:rsidRPr="00601EEA">
        <w:rPr>
          <w:rStyle w:val="TextoNormalNegritaCaracter"/>
        </w:rPr>
        <w:t>Artículos 20 a 26.</w:t>
      </w:r>
      <w:r w:rsidRPr="00601EEA">
        <w:rPr>
          <w:rStyle w:val="TextoNormalCaracter"/>
        </w:rPr>
        <w:t>-</w:t>
      </w:r>
      <w:r>
        <w:t xml:space="preserve"> Sentencia </w:t>
      </w:r>
      <w:hyperlink w:anchor="SENTENCIA_2024_44" w:history="1">
        <w:r w:rsidRPr="00601EEA">
          <w:rPr>
            <w:rStyle w:val="TextoNormalCaracter"/>
          </w:rPr>
          <w:t>44/2024</w:t>
        </w:r>
      </w:hyperlink>
      <w:r>
        <w:t>, f. 3.</w:t>
      </w:r>
    </w:p>
    <w:p w14:paraId="308F0A96" w14:textId="3633108D" w:rsidR="00601EEA" w:rsidRDefault="00601EEA" w:rsidP="00601EEA">
      <w:pPr>
        <w:pStyle w:val="SangriaFrancesaArticulo"/>
      </w:pPr>
      <w:r w:rsidRPr="00601EEA">
        <w:rPr>
          <w:rStyle w:val="TextoNormalNegritaCaracter"/>
        </w:rPr>
        <w:t>Artículos 27 a 29.</w:t>
      </w:r>
      <w:r w:rsidRPr="00601EEA">
        <w:rPr>
          <w:rStyle w:val="TextoNormalCaracter"/>
        </w:rPr>
        <w:t>-</w:t>
      </w:r>
      <w:r>
        <w:t xml:space="preserve"> Sentencia </w:t>
      </w:r>
      <w:hyperlink w:anchor="SENTENCIA_2024_44" w:history="1">
        <w:r w:rsidRPr="00601EEA">
          <w:rPr>
            <w:rStyle w:val="TextoNormalCaracter"/>
          </w:rPr>
          <w:t>44/2024</w:t>
        </w:r>
      </w:hyperlink>
      <w:r>
        <w:t>, f. 3.</w:t>
      </w:r>
    </w:p>
    <w:p w14:paraId="25E22EE1" w14:textId="0B0549CD" w:rsidR="00601EEA" w:rsidRDefault="00601EEA" w:rsidP="00601EEA">
      <w:pPr>
        <w:pStyle w:val="SangriaFrancesaArticulo"/>
      </w:pPr>
      <w:r w:rsidRPr="00601EEA">
        <w:rPr>
          <w:rStyle w:val="TextoNormalNegritaCaracter"/>
        </w:rPr>
        <w:lastRenderedPageBreak/>
        <w:t>Artículo 29 bis</w:t>
      </w:r>
      <w:r>
        <w:t xml:space="preserve"> (redactado por la Ley 17/2020, de 22 de diciembre)</w:t>
      </w:r>
      <w:r w:rsidRPr="00601EEA">
        <w:rPr>
          <w:rStyle w:val="TextoNormalNegritaCaracter"/>
        </w:rPr>
        <w:t>.</w:t>
      </w:r>
      <w:r w:rsidRPr="00601EEA">
        <w:rPr>
          <w:rStyle w:val="TextoNormalCaracter"/>
        </w:rPr>
        <w:t>-</w:t>
      </w:r>
      <w:r>
        <w:t xml:space="preserve"> Sentencia </w:t>
      </w:r>
      <w:hyperlink w:anchor="SENTENCIA_2024_44" w:history="1">
        <w:r w:rsidRPr="00601EEA">
          <w:rPr>
            <w:rStyle w:val="TextoNormalCaracter"/>
          </w:rPr>
          <w:t>44/2024</w:t>
        </w:r>
      </w:hyperlink>
      <w:r>
        <w:t>, f. 5.</w:t>
      </w:r>
    </w:p>
    <w:p w14:paraId="6C81C058" w14:textId="7F2508C7" w:rsidR="00601EEA" w:rsidRDefault="00601EEA" w:rsidP="00601EEA">
      <w:pPr>
        <w:pStyle w:val="SangriaFrancesaArticulo"/>
      </w:pPr>
      <w:r w:rsidRPr="00601EEA">
        <w:rPr>
          <w:rStyle w:val="TextoNormalNegritaCaracter"/>
        </w:rPr>
        <w:t>Artículo 32.</w:t>
      </w:r>
      <w:r w:rsidRPr="00601EEA">
        <w:rPr>
          <w:rStyle w:val="TextoNormalCaracter"/>
        </w:rPr>
        <w:t>-</w:t>
      </w:r>
      <w:r>
        <w:t xml:space="preserve"> Sentencia </w:t>
      </w:r>
      <w:hyperlink w:anchor="SENTENCIA_2024_44" w:history="1">
        <w:r w:rsidRPr="00601EEA">
          <w:rPr>
            <w:rStyle w:val="TextoNormalCaracter"/>
          </w:rPr>
          <w:t>44/2024</w:t>
        </w:r>
      </w:hyperlink>
      <w:r>
        <w:t>, f. 3.</w:t>
      </w:r>
    </w:p>
    <w:p w14:paraId="02D6E4BD" w14:textId="1CDCAB96" w:rsidR="00601EEA" w:rsidRDefault="00601EEA" w:rsidP="00601EEA">
      <w:pPr>
        <w:pStyle w:val="SangriaFrancesaArticulo"/>
      </w:pPr>
      <w:r w:rsidRPr="00601EEA">
        <w:rPr>
          <w:rStyle w:val="TextoNormalNegritaCaracter"/>
        </w:rPr>
        <w:t>Artículos 34 a 37.</w:t>
      </w:r>
      <w:r w:rsidRPr="00601EEA">
        <w:rPr>
          <w:rStyle w:val="TextoNormalCaracter"/>
        </w:rPr>
        <w:t>-</w:t>
      </w:r>
      <w:r>
        <w:t xml:space="preserve"> Sentencia </w:t>
      </w:r>
      <w:hyperlink w:anchor="SENTENCIA_2024_44" w:history="1">
        <w:r w:rsidRPr="00601EEA">
          <w:rPr>
            <w:rStyle w:val="TextoNormalCaracter"/>
          </w:rPr>
          <w:t>44/2024</w:t>
        </w:r>
      </w:hyperlink>
      <w:r>
        <w:t>, f. 3.</w:t>
      </w:r>
    </w:p>
    <w:p w14:paraId="47633811" w14:textId="6D29067A" w:rsidR="00601EEA" w:rsidRDefault="00601EEA" w:rsidP="00601EEA">
      <w:pPr>
        <w:pStyle w:val="SangriaFrancesaArticulo"/>
      </w:pPr>
      <w:r w:rsidRPr="00601EEA">
        <w:rPr>
          <w:rStyle w:val="TextoNormalNegritaCaracter"/>
        </w:rPr>
        <w:t>Artículos 38 a 40.</w:t>
      </w:r>
      <w:r w:rsidRPr="00601EEA">
        <w:rPr>
          <w:rStyle w:val="TextoNormalCaracter"/>
        </w:rPr>
        <w:t>-</w:t>
      </w:r>
      <w:r>
        <w:t xml:space="preserve"> Sentencia </w:t>
      </w:r>
      <w:hyperlink w:anchor="SENTENCIA_2024_44" w:history="1">
        <w:r w:rsidRPr="00601EEA">
          <w:rPr>
            <w:rStyle w:val="TextoNormalCaracter"/>
          </w:rPr>
          <w:t>44/2024</w:t>
        </w:r>
      </w:hyperlink>
      <w:r>
        <w:t>, f. 3.</w:t>
      </w:r>
    </w:p>
    <w:p w14:paraId="221FF404" w14:textId="1BDF813B" w:rsidR="00601EEA" w:rsidRDefault="00601EEA" w:rsidP="00601EEA">
      <w:pPr>
        <w:pStyle w:val="SangriaFrancesaArticulo"/>
      </w:pPr>
      <w:r w:rsidRPr="00601EEA">
        <w:rPr>
          <w:rStyle w:val="TextoNormalNegritaCaracter"/>
        </w:rPr>
        <w:t>Artículos 41 a 44.</w:t>
      </w:r>
      <w:r w:rsidRPr="00601EEA">
        <w:rPr>
          <w:rStyle w:val="TextoNormalCaracter"/>
        </w:rPr>
        <w:t>-</w:t>
      </w:r>
      <w:r>
        <w:t xml:space="preserve"> Sentencia </w:t>
      </w:r>
      <w:hyperlink w:anchor="SENTENCIA_2024_44" w:history="1">
        <w:r w:rsidRPr="00601EEA">
          <w:rPr>
            <w:rStyle w:val="TextoNormalCaracter"/>
          </w:rPr>
          <w:t>44/2024</w:t>
        </w:r>
      </w:hyperlink>
      <w:r>
        <w:t>, f. 3.</w:t>
      </w:r>
    </w:p>
    <w:p w14:paraId="78CFC31C" w14:textId="382AE89F" w:rsidR="00601EEA" w:rsidRDefault="00601EEA" w:rsidP="00601EEA">
      <w:pPr>
        <w:pStyle w:val="SangriaFrancesaArticulo"/>
      </w:pPr>
      <w:r w:rsidRPr="00601EEA">
        <w:rPr>
          <w:rStyle w:val="TextoNormalNegritaCaracter"/>
        </w:rPr>
        <w:t>Artículos 46 a 52.</w:t>
      </w:r>
      <w:r w:rsidRPr="00601EEA">
        <w:rPr>
          <w:rStyle w:val="TextoNormalCaracter"/>
        </w:rPr>
        <w:t>-</w:t>
      </w:r>
      <w:r>
        <w:t xml:space="preserve"> Sentencia </w:t>
      </w:r>
      <w:hyperlink w:anchor="SENTENCIA_2024_44" w:history="1">
        <w:r w:rsidRPr="00601EEA">
          <w:rPr>
            <w:rStyle w:val="TextoNormalCaracter"/>
          </w:rPr>
          <w:t>44/2024</w:t>
        </w:r>
      </w:hyperlink>
      <w:r>
        <w:t>, f. 3.</w:t>
      </w:r>
    </w:p>
    <w:p w14:paraId="4B51839F" w14:textId="113351A4" w:rsidR="00601EEA" w:rsidRDefault="00601EEA" w:rsidP="00601EEA">
      <w:pPr>
        <w:pStyle w:val="SangriaFrancesaArticulo"/>
      </w:pPr>
    </w:p>
    <w:p w14:paraId="3668FE3F" w14:textId="77777777" w:rsidR="00601EEA" w:rsidRDefault="00601EEA" w:rsidP="00601EEA">
      <w:pPr>
        <w:pStyle w:val="TextoNormalNegritaCursivandice"/>
        <w:keepNext/>
      </w:pPr>
      <w:r>
        <w:t>Comunidad Autónoma de Cataluña. Ley 25/2010, de 29 de julio, del libro segundo del Código civil de Cataluña, relativo a la persona y la familia</w:t>
      </w:r>
    </w:p>
    <w:p w14:paraId="30A7F1A2" w14:textId="7A5B1112" w:rsidR="00601EEA" w:rsidRDefault="00601EEA" w:rsidP="00601EEA">
      <w:pPr>
        <w:pStyle w:val="SangriaFrancesaArticulo"/>
      </w:pPr>
      <w:r w:rsidRPr="00601EEA">
        <w:rPr>
          <w:rStyle w:val="TextoNormalNegritaCaracter"/>
        </w:rPr>
        <w:t>Artículo 236-11 apartado 4.</w:t>
      </w:r>
      <w:r w:rsidRPr="00601EEA">
        <w:rPr>
          <w:rStyle w:val="TextoNormalCaracter"/>
        </w:rPr>
        <w:t>-</w:t>
      </w:r>
      <w:r>
        <w:t xml:space="preserve"> Sentencia </w:t>
      </w:r>
      <w:hyperlink w:anchor="SENTENCIA_2024_26" w:history="1">
        <w:r w:rsidRPr="00601EEA">
          <w:rPr>
            <w:rStyle w:val="TextoNormalCaracter"/>
          </w:rPr>
          <w:t>26/2024</w:t>
        </w:r>
      </w:hyperlink>
      <w:r>
        <w:t>, f. 5.</w:t>
      </w:r>
    </w:p>
    <w:p w14:paraId="386E1C6A" w14:textId="664C5996" w:rsidR="00601EEA" w:rsidRDefault="00601EEA" w:rsidP="00601EEA">
      <w:pPr>
        <w:pStyle w:val="SangriaFrancesaArticulo"/>
      </w:pPr>
      <w:r w:rsidRPr="00601EEA">
        <w:rPr>
          <w:rStyle w:val="TextoNormalNegritaCaracter"/>
        </w:rPr>
        <w:t>Artículo 236-13 apartado 1.</w:t>
      </w:r>
      <w:r w:rsidRPr="00601EEA">
        <w:rPr>
          <w:rStyle w:val="TextoNormalCaracter"/>
        </w:rPr>
        <w:t>-</w:t>
      </w:r>
      <w:r>
        <w:t xml:space="preserve"> Sentencia </w:t>
      </w:r>
      <w:hyperlink w:anchor="SENTENCIA_2024_26" w:history="1">
        <w:r w:rsidRPr="00601EEA">
          <w:rPr>
            <w:rStyle w:val="TextoNormalCaracter"/>
          </w:rPr>
          <w:t>26/2024</w:t>
        </w:r>
      </w:hyperlink>
      <w:r>
        <w:t>, f. 5.</w:t>
      </w:r>
    </w:p>
    <w:p w14:paraId="3D960D88" w14:textId="4091E795" w:rsidR="00601EEA" w:rsidRDefault="00601EEA" w:rsidP="00601EEA">
      <w:pPr>
        <w:pStyle w:val="SangriaFrancesaArticulo"/>
      </w:pPr>
    </w:p>
    <w:p w14:paraId="7BB12489" w14:textId="77777777" w:rsidR="00601EEA" w:rsidRDefault="00601EEA" w:rsidP="00601EEA">
      <w:pPr>
        <w:pStyle w:val="TextoNormalNegritaCursivandice"/>
        <w:keepNext/>
      </w:pPr>
      <w:r>
        <w:t>Comunidad Autónoma de Cataluña. Ley 17/2015, de 21 de julio, de igualdad efectiva de mujeres y hombres</w:t>
      </w:r>
    </w:p>
    <w:p w14:paraId="315F702B" w14:textId="7F0A2F22"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44" w:history="1">
        <w:r w:rsidRPr="00601EEA">
          <w:rPr>
            <w:rStyle w:val="TextoNormalCaracter"/>
          </w:rPr>
          <w:t>44/2024</w:t>
        </w:r>
      </w:hyperlink>
      <w:r>
        <w:t>, f. 2.</w:t>
      </w:r>
    </w:p>
    <w:p w14:paraId="302227A7" w14:textId="29580909" w:rsidR="00601EEA" w:rsidRDefault="00601EEA" w:rsidP="00601EEA">
      <w:pPr>
        <w:pStyle w:val="SangriaFrancesaArticulo"/>
      </w:pPr>
    </w:p>
    <w:p w14:paraId="104AE691" w14:textId="77777777" w:rsidR="00601EEA" w:rsidRDefault="00601EEA" w:rsidP="00601EEA">
      <w:pPr>
        <w:pStyle w:val="TextoNormalNegritaCursivandice"/>
        <w:keepNext/>
      </w:pPr>
      <w:r>
        <w:t>Comunidad Autónoma de Cataluña. Ley 19/2017, de 6 de septiembre, del referéndum de autodeterminación</w:t>
      </w:r>
    </w:p>
    <w:p w14:paraId="37448269" w14:textId="619F3081"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93" w:history="1">
        <w:r w:rsidRPr="00601EEA">
          <w:rPr>
            <w:rStyle w:val="TextoNormalCaracter"/>
          </w:rPr>
          <w:t>93/2024</w:t>
        </w:r>
      </w:hyperlink>
      <w:r>
        <w:t>, VP II.</w:t>
      </w:r>
    </w:p>
    <w:p w14:paraId="44850A54" w14:textId="3EEA22C4" w:rsidR="00601EEA" w:rsidRDefault="00601EEA" w:rsidP="00601EEA">
      <w:pPr>
        <w:pStyle w:val="SangriaFrancesaArticulo"/>
      </w:pPr>
    </w:p>
    <w:p w14:paraId="6D531668" w14:textId="77777777" w:rsidR="00601EEA" w:rsidRDefault="00601EEA" w:rsidP="00601EEA">
      <w:pPr>
        <w:pStyle w:val="TextoNormalNegritaCursivandice"/>
        <w:keepNext/>
      </w:pPr>
      <w:r>
        <w:t>Comunidad Autónoma de Cataluña. Ley 20/2017, de 8 de septiembre, de transitoriedad jurídica y fundacional de la República</w:t>
      </w:r>
    </w:p>
    <w:p w14:paraId="782501AB" w14:textId="636D8AAA"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93" w:history="1">
        <w:r w:rsidRPr="00601EEA">
          <w:rPr>
            <w:rStyle w:val="TextoNormalCaracter"/>
          </w:rPr>
          <w:t>93/2024</w:t>
        </w:r>
      </w:hyperlink>
      <w:r>
        <w:t>, VP II.</w:t>
      </w:r>
    </w:p>
    <w:p w14:paraId="47F995A4" w14:textId="4CEE9709" w:rsidR="00601EEA" w:rsidRDefault="00601EEA" w:rsidP="00601EEA">
      <w:pPr>
        <w:pStyle w:val="SangriaFrancesaArticulo"/>
      </w:pPr>
    </w:p>
    <w:p w14:paraId="31F3CD87" w14:textId="77777777" w:rsidR="00601EEA" w:rsidRDefault="00601EEA" w:rsidP="00601EEA">
      <w:pPr>
        <w:pStyle w:val="TextoNormalNegritaCursivandice"/>
        <w:keepNext/>
      </w:pPr>
      <w:r>
        <w:t>Comunidad Autónoma de Cataluña. Ley 8/2020, de 30 de julio, de protección y ordenación del litoral</w:t>
      </w:r>
    </w:p>
    <w:p w14:paraId="11EE2245" w14:textId="2AD88154"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68" w:history="1">
        <w:r w:rsidRPr="00601EEA">
          <w:rPr>
            <w:rStyle w:val="TextoNormalCaracter"/>
          </w:rPr>
          <w:t>68/2024</w:t>
        </w:r>
      </w:hyperlink>
      <w:r>
        <w:t>, ff. 2, 8 a 10.</w:t>
      </w:r>
    </w:p>
    <w:p w14:paraId="35993D5E" w14:textId="69A8FB71" w:rsidR="00601EEA" w:rsidRDefault="00601EEA" w:rsidP="00601EEA">
      <w:pPr>
        <w:pStyle w:val="SangriaFrancesaArticulo"/>
      </w:pPr>
      <w:r w:rsidRPr="00601EEA">
        <w:rPr>
          <w:rStyle w:val="TextoNormalNegritaCaracter"/>
        </w:rPr>
        <w:t>Artículo 18.</w:t>
      </w:r>
      <w:r w:rsidRPr="00601EEA">
        <w:rPr>
          <w:rStyle w:val="TextoNormalCaracter"/>
        </w:rPr>
        <w:t>-</w:t>
      </w:r>
      <w:r>
        <w:t xml:space="preserve"> Sentencia </w:t>
      </w:r>
      <w:hyperlink w:anchor="SENTENCIA_2024_68" w:history="1">
        <w:r w:rsidRPr="00601EEA">
          <w:rPr>
            <w:rStyle w:val="TextoNormalCaracter"/>
          </w:rPr>
          <w:t>68/2024</w:t>
        </w:r>
      </w:hyperlink>
      <w:r>
        <w:t>, f. 8.</w:t>
      </w:r>
    </w:p>
    <w:p w14:paraId="12015A10" w14:textId="3215A29D" w:rsidR="00601EEA" w:rsidRDefault="00601EEA" w:rsidP="00601EEA">
      <w:pPr>
        <w:pStyle w:val="SangriaFrancesaArticulo"/>
      </w:pPr>
      <w:r w:rsidRPr="00601EEA">
        <w:rPr>
          <w:rStyle w:val="TextoNormalNegritaCaracter"/>
        </w:rPr>
        <w:t>Artículo 30.</w:t>
      </w:r>
      <w:r w:rsidRPr="00601EEA">
        <w:rPr>
          <w:rStyle w:val="TextoNormalCaracter"/>
        </w:rPr>
        <w:t>-</w:t>
      </w:r>
      <w:r>
        <w:t xml:space="preserve"> Sentencia </w:t>
      </w:r>
      <w:hyperlink w:anchor="SENTENCIA_2024_68" w:history="1">
        <w:r w:rsidRPr="00601EEA">
          <w:rPr>
            <w:rStyle w:val="TextoNormalCaracter"/>
          </w:rPr>
          <w:t>68/2024</w:t>
        </w:r>
      </w:hyperlink>
      <w:r>
        <w:t>, f. 8.</w:t>
      </w:r>
    </w:p>
    <w:p w14:paraId="6260F5CD" w14:textId="3CC2A359" w:rsidR="00601EEA" w:rsidRDefault="00601EEA" w:rsidP="00601EEA">
      <w:pPr>
        <w:pStyle w:val="SangriaFrancesaArticulo"/>
      </w:pPr>
    </w:p>
    <w:p w14:paraId="30AC8EDF" w14:textId="77777777" w:rsidR="00601EEA" w:rsidRDefault="00601EEA" w:rsidP="00601EEA">
      <w:pPr>
        <w:pStyle w:val="TextoNormalNegritaCursivandice"/>
        <w:keepNext/>
      </w:pPr>
      <w:r>
        <w:t>Comunidad Autónoma de Cataluña. Ley 17/2020, de 22 de diciembre, de modificación de la Ley 5/2008, del derecho de las mujeres a erradicar la violencia machista</w:t>
      </w:r>
    </w:p>
    <w:p w14:paraId="2F145F8E" w14:textId="5251B699"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44" w:history="1">
        <w:r w:rsidRPr="00601EEA">
          <w:rPr>
            <w:rStyle w:val="TextoNormalCaracter"/>
          </w:rPr>
          <w:t>44/2024</w:t>
        </w:r>
      </w:hyperlink>
      <w:r>
        <w:t>, ff. 2 a 5, VP I.</w:t>
      </w:r>
    </w:p>
    <w:p w14:paraId="44AD2146" w14:textId="6E8776BF" w:rsidR="00601EEA" w:rsidRDefault="00601EEA" w:rsidP="00601EEA">
      <w:pPr>
        <w:pStyle w:val="SangriaFrancesaArticulo"/>
      </w:pPr>
      <w:r w:rsidRPr="00601EEA">
        <w:rPr>
          <w:rStyle w:val="TextoNormalNegritaCaracter"/>
        </w:rPr>
        <w:t>Artículo 1.</w:t>
      </w:r>
      <w:r w:rsidRPr="00601EEA">
        <w:rPr>
          <w:rStyle w:val="TextoNormalCaracter"/>
        </w:rPr>
        <w:t>-</w:t>
      </w:r>
      <w:r>
        <w:t xml:space="preserve"> Sentencia </w:t>
      </w:r>
      <w:hyperlink w:anchor="SENTENCIA_2024_44" w:history="1">
        <w:r w:rsidRPr="00601EEA">
          <w:rPr>
            <w:rStyle w:val="TextoNormalCaracter"/>
          </w:rPr>
          <w:t>44/2024</w:t>
        </w:r>
      </w:hyperlink>
      <w:r>
        <w:t>, ff. 1, 3, 4, VP II.</w:t>
      </w:r>
    </w:p>
    <w:p w14:paraId="59497C3C" w14:textId="516B82AB" w:rsidR="00601EEA" w:rsidRDefault="00601EEA" w:rsidP="00601EEA">
      <w:pPr>
        <w:pStyle w:val="SangriaFrancesaArticulo"/>
      </w:pPr>
      <w:r w:rsidRPr="00601EEA">
        <w:rPr>
          <w:rStyle w:val="TextoNormalNegritaCaracter"/>
        </w:rPr>
        <w:t>Artículo 2.</w:t>
      </w:r>
      <w:r w:rsidRPr="00601EEA">
        <w:rPr>
          <w:rStyle w:val="TextoNormalCaracter"/>
        </w:rPr>
        <w:t>-</w:t>
      </w:r>
      <w:r>
        <w:t xml:space="preserve"> Sentencia </w:t>
      </w:r>
      <w:hyperlink w:anchor="SENTENCIA_2024_44" w:history="1">
        <w:r w:rsidRPr="00601EEA">
          <w:rPr>
            <w:rStyle w:val="TextoNormalCaracter"/>
          </w:rPr>
          <w:t>44/2024</w:t>
        </w:r>
      </w:hyperlink>
      <w:r>
        <w:t>, ff. 1, 3, VP II.</w:t>
      </w:r>
    </w:p>
    <w:p w14:paraId="56BBE5BF" w14:textId="7007CD8D" w:rsidR="00601EEA" w:rsidRDefault="00601EEA" w:rsidP="00601EEA">
      <w:pPr>
        <w:pStyle w:val="SangriaFrancesaArticulo"/>
      </w:pPr>
      <w:r w:rsidRPr="00601EEA">
        <w:rPr>
          <w:rStyle w:val="TextoNormalNegritaCaracter"/>
        </w:rPr>
        <w:t>Artículo 3.</w:t>
      </w:r>
      <w:r w:rsidRPr="00601EEA">
        <w:rPr>
          <w:rStyle w:val="TextoNormalCaracter"/>
        </w:rPr>
        <w:t>-</w:t>
      </w:r>
      <w:r>
        <w:t xml:space="preserve"> Sentencia </w:t>
      </w:r>
      <w:hyperlink w:anchor="SENTENCIA_2024_44" w:history="1">
        <w:r w:rsidRPr="00601EEA">
          <w:rPr>
            <w:rStyle w:val="TextoNormalCaracter"/>
          </w:rPr>
          <w:t>44/2024</w:t>
        </w:r>
      </w:hyperlink>
      <w:r>
        <w:t>, ff. 1 a 3, VP II.</w:t>
      </w:r>
    </w:p>
    <w:p w14:paraId="4D2D83E1" w14:textId="694B4042" w:rsidR="00601EEA" w:rsidRDefault="00601EEA" w:rsidP="00601EEA">
      <w:pPr>
        <w:pStyle w:val="SangriaFrancesaArticulo"/>
      </w:pPr>
      <w:r w:rsidRPr="00601EEA">
        <w:rPr>
          <w:rStyle w:val="TextoNormalNegritaCaracter"/>
        </w:rPr>
        <w:t>Artículo 16.</w:t>
      </w:r>
      <w:r w:rsidRPr="00601EEA">
        <w:rPr>
          <w:rStyle w:val="TextoNormalCaracter"/>
        </w:rPr>
        <w:t>-</w:t>
      </w:r>
      <w:r>
        <w:t xml:space="preserve"> Sentencia </w:t>
      </w:r>
      <w:hyperlink w:anchor="SENTENCIA_2024_44" w:history="1">
        <w:r w:rsidRPr="00601EEA">
          <w:rPr>
            <w:rStyle w:val="TextoNormalCaracter"/>
          </w:rPr>
          <w:t>44/2024</w:t>
        </w:r>
      </w:hyperlink>
      <w:r>
        <w:t>, ff. 1, 5, VP II.</w:t>
      </w:r>
    </w:p>
    <w:p w14:paraId="3277BE35" w14:textId="36C8B752" w:rsidR="00601EEA" w:rsidRDefault="00601EEA" w:rsidP="00601EEA">
      <w:pPr>
        <w:pStyle w:val="TextoNormal"/>
      </w:pPr>
    </w:p>
    <w:p w14:paraId="39206A2B" w14:textId="77777777" w:rsidR="00601EEA" w:rsidRDefault="00601EEA" w:rsidP="00601EEA">
      <w:pPr>
        <w:pStyle w:val="TextoNormalNegritaCentradoSubrayado"/>
        <w:suppressAutoHyphens/>
      </w:pPr>
      <w:r>
        <w:t>J.8.c) Decretos y otras disposiciones reglamentarias</w:t>
      </w:r>
    </w:p>
    <w:p w14:paraId="6BC1E3BE" w14:textId="084AD029" w:rsidR="00601EEA" w:rsidRDefault="00601EEA" w:rsidP="00601EEA">
      <w:pPr>
        <w:pStyle w:val="TextoNormalNegritaCentradoSubrayado"/>
      </w:pPr>
    </w:p>
    <w:p w14:paraId="0C176D3C" w14:textId="77777777" w:rsidR="00601EEA" w:rsidRDefault="00601EEA" w:rsidP="00601EEA">
      <w:pPr>
        <w:pStyle w:val="TextoNormalNegritaCursivandice"/>
        <w:keepNext/>
      </w:pPr>
      <w:r>
        <w:t>Comunidad Autónoma de Cataluña. Decreto 56/1993, de 23 de febrero, sobre conciertos educativos</w:t>
      </w:r>
    </w:p>
    <w:p w14:paraId="1C3B7ED2" w14:textId="24FA2394"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26" w:history="1">
        <w:r w:rsidRPr="00601EEA">
          <w:rPr>
            <w:rStyle w:val="TextoNormalCaracter"/>
          </w:rPr>
          <w:t>26/2024</w:t>
        </w:r>
      </w:hyperlink>
      <w:r>
        <w:t>, VP I.</w:t>
      </w:r>
    </w:p>
    <w:p w14:paraId="46391B51" w14:textId="17D9DE8D" w:rsidR="00601EEA" w:rsidRDefault="00601EEA" w:rsidP="00601EEA">
      <w:pPr>
        <w:pStyle w:val="SangriaFrancesaArticulo"/>
      </w:pPr>
    </w:p>
    <w:p w14:paraId="0AE06E44" w14:textId="77777777" w:rsidR="00601EEA" w:rsidRDefault="00601EEA" w:rsidP="00601EEA">
      <w:pPr>
        <w:pStyle w:val="TextoNormalNegritaCursivandice"/>
        <w:keepNext/>
      </w:pPr>
      <w:r>
        <w:lastRenderedPageBreak/>
        <w:t>Comunidad Autónoma de Cataluña. Decreto 60/2024, de 18 de marzo, de convocatoria de elecciones al Parlamento de Cataluña y de su disolución</w:t>
      </w:r>
    </w:p>
    <w:p w14:paraId="55603501" w14:textId="2B18518F"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86" w:history="1">
        <w:r w:rsidRPr="00601EEA">
          <w:rPr>
            <w:rStyle w:val="TextoNormalCaracter"/>
          </w:rPr>
          <w:t>86/2024</w:t>
        </w:r>
      </w:hyperlink>
      <w:r>
        <w:t>, f. 2.</w:t>
      </w:r>
    </w:p>
    <w:p w14:paraId="26E7FA08" w14:textId="2C6FBADB" w:rsidR="00601EEA" w:rsidRDefault="00601EEA" w:rsidP="00601EEA">
      <w:pPr>
        <w:pStyle w:val="TextoNormal"/>
      </w:pPr>
    </w:p>
    <w:p w14:paraId="357BFD65" w14:textId="77777777" w:rsidR="00601EEA" w:rsidRDefault="00601EEA" w:rsidP="00601EEA">
      <w:pPr>
        <w:pStyle w:val="TextoNormalNegritaCentrado"/>
        <w:suppressAutoHyphens/>
      </w:pPr>
      <w:r w:rsidRPr="00601EEA">
        <w:rPr>
          <w:rStyle w:val="TextoNormalNegritaCentradoSombreado"/>
        </w:rPr>
        <w:t>J.9) Extremadura</w:t>
      </w:r>
    </w:p>
    <w:p w14:paraId="3D365939" w14:textId="6909BBF1" w:rsidR="00601EEA" w:rsidRDefault="00601EEA" w:rsidP="00601EEA">
      <w:pPr>
        <w:pStyle w:val="TextoNormal"/>
      </w:pPr>
    </w:p>
    <w:p w14:paraId="0BF43782" w14:textId="77777777" w:rsidR="00601EEA" w:rsidRDefault="00601EEA" w:rsidP="00601EEA">
      <w:pPr>
        <w:pStyle w:val="TextoNormalNegritaCentradoSubrayado"/>
        <w:suppressAutoHyphens/>
      </w:pPr>
      <w:r>
        <w:t>J.9.b) Leyes y disposiciones con fuerza de Ley</w:t>
      </w:r>
    </w:p>
    <w:p w14:paraId="758FE89E" w14:textId="2CDBEBDD" w:rsidR="00601EEA" w:rsidRDefault="00601EEA" w:rsidP="00601EEA">
      <w:pPr>
        <w:pStyle w:val="TextoNormalNegritaCentradoSubrayado"/>
      </w:pPr>
    </w:p>
    <w:p w14:paraId="19719CF9" w14:textId="77777777" w:rsidR="00601EEA" w:rsidRDefault="00601EEA" w:rsidP="00601EEA">
      <w:pPr>
        <w:pStyle w:val="TextoNormalNegritaCursivandice"/>
        <w:keepNext/>
      </w:pPr>
      <w:r>
        <w:t>Comunidad Autónoma de Extremadura. Ley 11/2018, de 21 de diciembre, de ordenación territorial y urbanística sostenible de Extremadura</w:t>
      </w:r>
    </w:p>
    <w:p w14:paraId="25132EAE" w14:textId="01A5F764" w:rsidR="00601EEA" w:rsidRDefault="00601EEA" w:rsidP="00601EEA">
      <w:pPr>
        <w:pStyle w:val="SangriaFrancesaArticulo"/>
      </w:pPr>
      <w:r w:rsidRPr="00601EEA">
        <w:rPr>
          <w:rStyle w:val="TextoNormalNegritaCaracter"/>
        </w:rPr>
        <w:t>Artículo 67.4 e).</w:t>
      </w:r>
      <w:r w:rsidRPr="00601EEA">
        <w:rPr>
          <w:rStyle w:val="TextoNormalCaracter"/>
        </w:rPr>
        <w:t>-</w:t>
      </w:r>
      <w:r>
        <w:t xml:space="preserve"> Sentencia </w:t>
      </w:r>
      <w:hyperlink w:anchor="SENTENCIA_2024_25" w:history="1">
        <w:r w:rsidRPr="00601EEA">
          <w:rPr>
            <w:rStyle w:val="TextoNormalCaracter"/>
          </w:rPr>
          <w:t>25/2024</w:t>
        </w:r>
      </w:hyperlink>
      <w:r>
        <w:t>, f. 7.</w:t>
      </w:r>
    </w:p>
    <w:p w14:paraId="2A776F9B" w14:textId="4301547E" w:rsidR="00601EEA" w:rsidRDefault="00601EEA" w:rsidP="00601EEA">
      <w:pPr>
        <w:pStyle w:val="TextoNormal"/>
      </w:pPr>
    </w:p>
    <w:p w14:paraId="4FCD5E1E" w14:textId="77777777" w:rsidR="00601EEA" w:rsidRDefault="00601EEA" w:rsidP="00601EEA">
      <w:pPr>
        <w:pStyle w:val="TextoNormalNegritaCentrado"/>
        <w:suppressAutoHyphens/>
      </w:pPr>
      <w:r w:rsidRPr="00601EEA">
        <w:rPr>
          <w:rStyle w:val="TextoNormalNegritaCentradoSombreado"/>
        </w:rPr>
        <w:t>J.10) Galicia</w:t>
      </w:r>
    </w:p>
    <w:p w14:paraId="6ACAD383" w14:textId="02213A7C" w:rsidR="00601EEA" w:rsidRDefault="00601EEA" w:rsidP="00601EEA">
      <w:pPr>
        <w:pStyle w:val="TextoNormal"/>
      </w:pPr>
    </w:p>
    <w:p w14:paraId="151876EC" w14:textId="77777777" w:rsidR="00601EEA" w:rsidRDefault="00601EEA" w:rsidP="00601EEA">
      <w:pPr>
        <w:pStyle w:val="TextoNormalNegritaCentradoSubrayado"/>
        <w:suppressAutoHyphens/>
      </w:pPr>
      <w:r>
        <w:t>J.10.a) Estatuto de Autonomía</w:t>
      </w:r>
    </w:p>
    <w:p w14:paraId="06C07E52" w14:textId="21BAC4B1" w:rsidR="00601EEA" w:rsidRDefault="00601EEA" w:rsidP="00601EEA">
      <w:pPr>
        <w:pStyle w:val="TextoNormalNegritaCentradoSubrayado"/>
      </w:pPr>
    </w:p>
    <w:p w14:paraId="58AE0386" w14:textId="77777777" w:rsidR="00601EEA" w:rsidRDefault="00601EEA" w:rsidP="00601EEA">
      <w:pPr>
        <w:pStyle w:val="TextoNormalNegritaCursivandice"/>
        <w:keepNext/>
      </w:pPr>
      <w:r>
        <w:t>Ley Orgánica 1/1981, de 6 de abril, de Estatuto de Autonomía para Galicia</w:t>
      </w:r>
    </w:p>
    <w:p w14:paraId="54C8F169" w14:textId="70514F05"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68" w:history="1">
        <w:r w:rsidRPr="00601EEA">
          <w:rPr>
            <w:rStyle w:val="TextoNormalCaracter"/>
          </w:rPr>
          <w:t>68/2024</w:t>
        </w:r>
      </w:hyperlink>
      <w:r>
        <w:t>, ff. 1, 7.</w:t>
      </w:r>
    </w:p>
    <w:p w14:paraId="225B69FE" w14:textId="40270A07" w:rsidR="00601EEA" w:rsidRDefault="00601EEA" w:rsidP="00601EEA">
      <w:pPr>
        <w:pStyle w:val="SangriaFrancesaArticulo"/>
      </w:pPr>
      <w:r w:rsidRPr="00601EEA">
        <w:rPr>
          <w:rStyle w:val="TextoNormalNegritaCaracter"/>
        </w:rPr>
        <w:t>Artículo 15.</w:t>
      </w:r>
      <w:r w:rsidRPr="00601EEA">
        <w:rPr>
          <w:rStyle w:val="TextoNormalCaracter"/>
        </w:rPr>
        <w:t>-</w:t>
      </w:r>
      <w:r>
        <w:t xml:space="preserve"> Sentencia </w:t>
      </w:r>
      <w:hyperlink w:anchor="SENTENCIA_2024_68" w:history="1">
        <w:r w:rsidRPr="00601EEA">
          <w:rPr>
            <w:rStyle w:val="TextoNormalCaracter"/>
          </w:rPr>
          <w:t>68/2024</w:t>
        </w:r>
      </w:hyperlink>
      <w:r>
        <w:t>, f. 2.</w:t>
      </w:r>
    </w:p>
    <w:p w14:paraId="5E0F2A37" w14:textId="1F795CC4" w:rsidR="00601EEA" w:rsidRDefault="00601EEA" w:rsidP="00601EEA">
      <w:pPr>
        <w:pStyle w:val="SangriaFrancesaArticulo"/>
      </w:pPr>
      <w:r w:rsidRPr="00601EEA">
        <w:rPr>
          <w:rStyle w:val="TextoNormalNegritaCaracter"/>
        </w:rPr>
        <w:t>Artículo 21.</w:t>
      </w:r>
      <w:r w:rsidRPr="00601EEA">
        <w:rPr>
          <w:rStyle w:val="TextoNormalCaracter"/>
        </w:rPr>
        <w:t>-</w:t>
      </w:r>
      <w:r>
        <w:t xml:space="preserve"> Sentencia </w:t>
      </w:r>
      <w:hyperlink w:anchor="SENTENCIA_2024_68" w:history="1">
        <w:r w:rsidRPr="00601EEA">
          <w:rPr>
            <w:rStyle w:val="TextoNormalCaracter"/>
          </w:rPr>
          <w:t>68/2024</w:t>
        </w:r>
      </w:hyperlink>
      <w:r>
        <w:t>, f. 2.</w:t>
      </w:r>
    </w:p>
    <w:p w14:paraId="69DBEEB6" w14:textId="477517E7" w:rsidR="00601EEA" w:rsidRDefault="00601EEA" w:rsidP="00601EEA">
      <w:pPr>
        <w:pStyle w:val="SangriaFrancesaArticulo"/>
      </w:pPr>
      <w:r w:rsidRPr="00601EEA">
        <w:rPr>
          <w:rStyle w:val="TextoNormalNegritaCaracter"/>
        </w:rPr>
        <w:t>Artículo 27.3.</w:t>
      </w:r>
      <w:r w:rsidRPr="00601EEA">
        <w:rPr>
          <w:rStyle w:val="TextoNormalCaracter"/>
        </w:rPr>
        <w:t>-</w:t>
      </w:r>
      <w:r>
        <w:t xml:space="preserve"> Sentencias </w:t>
      </w:r>
      <w:hyperlink w:anchor="SENTENCIA_2024_68" w:history="1">
        <w:r w:rsidRPr="00601EEA">
          <w:rPr>
            <w:rStyle w:val="TextoNormalCaracter"/>
          </w:rPr>
          <w:t>68/2024</w:t>
        </w:r>
      </w:hyperlink>
      <w:r>
        <w:t xml:space="preserve">, ff. 2, 5 a 8, 10; </w:t>
      </w:r>
      <w:hyperlink w:anchor="SENTENCIA_2024_76" w:history="1">
        <w:r w:rsidRPr="00601EEA">
          <w:rPr>
            <w:rStyle w:val="TextoNormalCaracter"/>
          </w:rPr>
          <w:t>76/2024</w:t>
        </w:r>
      </w:hyperlink>
      <w:r>
        <w:t>, f. 1.</w:t>
      </w:r>
    </w:p>
    <w:p w14:paraId="59207CE4" w14:textId="29DCDBC9" w:rsidR="00601EEA" w:rsidRDefault="00601EEA" w:rsidP="00601EEA">
      <w:pPr>
        <w:pStyle w:val="SangriaFrancesaArticulo"/>
      </w:pPr>
      <w:r w:rsidRPr="00601EEA">
        <w:rPr>
          <w:rStyle w:val="TextoNormalNegritaCaracter"/>
        </w:rPr>
        <w:t>Artículo 27.9.</w:t>
      </w:r>
      <w:r w:rsidRPr="00601EEA">
        <w:rPr>
          <w:rStyle w:val="TextoNormalCaracter"/>
        </w:rPr>
        <w:t>-</w:t>
      </w:r>
      <w:r>
        <w:t xml:space="preserve"> Sentencia </w:t>
      </w:r>
      <w:hyperlink w:anchor="SENTENCIA_2024_68" w:history="1">
        <w:r w:rsidRPr="00601EEA">
          <w:rPr>
            <w:rStyle w:val="TextoNormalCaracter"/>
          </w:rPr>
          <w:t>68/2024</w:t>
        </w:r>
      </w:hyperlink>
      <w:r>
        <w:t>, ff. 2, 6 a 8.</w:t>
      </w:r>
    </w:p>
    <w:p w14:paraId="61487DF0" w14:textId="10329549" w:rsidR="00601EEA" w:rsidRDefault="00601EEA" w:rsidP="00601EEA">
      <w:pPr>
        <w:pStyle w:val="SangriaFrancesaArticulo"/>
      </w:pPr>
      <w:r w:rsidRPr="00601EEA">
        <w:rPr>
          <w:rStyle w:val="TextoNormalNegritaCaracter"/>
        </w:rPr>
        <w:t>Artículo 27.15.</w:t>
      </w:r>
      <w:r w:rsidRPr="00601EEA">
        <w:rPr>
          <w:rStyle w:val="TextoNormalCaracter"/>
        </w:rPr>
        <w:t>-</w:t>
      </w:r>
      <w:r>
        <w:t xml:space="preserve"> Sentencia </w:t>
      </w:r>
      <w:hyperlink w:anchor="SENTENCIA_2024_68" w:history="1">
        <w:r w:rsidRPr="00601EEA">
          <w:rPr>
            <w:rStyle w:val="TextoNormalCaracter"/>
          </w:rPr>
          <w:t>68/2024</w:t>
        </w:r>
      </w:hyperlink>
      <w:r>
        <w:t>, ff. 2, 6, 7.</w:t>
      </w:r>
    </w:p>
    <w:p w14:paraId="6FF4A057" w14:textId="21385E9D" w:rsidR="00601EEA" w:rsidRDefault="00601EEA" w:rsidP="00601EEA">
      <w:pPr>
        <w:pStyle w:val="SangriaFrancesaArticulo"/>
      </w:pPr>
      <w:r w:rsidRPr="00601EEA">
        <w:rPr>
          <w:rStyle w:val="TextoNormalNegritaCaracter"/>
        </w:rPr>
        <w:t>Artículo 27.21.</w:t>
      </w:r>
      <w:r w:rsidRPr="00601EEA">
        <w:rPr>
          <w:rStyle w:val="TextoNormalCaracter"/>
        </w:rPr>
        <w:t>-</w:t>
      </w:r>
      <w:r>
        <w:t xml:space="preserve"> Sentencia </w:t>
      </w:r>
      <w:hyperlink w:anchor="SENTENCIA_2024_68" w:history="1">
        <w:r w:rsidRPr="00601EEA">
          <w:rPr>
            <w:rStyle w:val="TextoNormalCaracter"/>
          </w:rPr>
          <w:t>68/2024</w:t>
        </w:r>
      </w:hyperlink>
      <w:r>
        <w:t>, f. 8.</w:t>
      </w:r>
    </w:p>
    <w:p w14:paraId="18BE1D21" w14:textId="464D6F4F" w:rsidR="00601EEA" w:rsidRDefault="00601EEA" w:rsidP="00601EEA">
      <w:pPr>
        <w:pStyle w:val="SangriaFrancesaArticulo"/>
      </w:pPr>
      <w:r w:rsidRPr="00601EEA">
        <w:rPr>
          <w:rStyle w:val="TextoNormalNegritaCaracter"/>
        </w:rPr>
        <w:t>Artículo 27.24.</w:t>
      </w:r>
      <w:r w:rsidRPr="00601EEA">
        <w:rPr>
          <w:rStyle w:val="TextoNormalCaracter"/>
        </w:rPr>
        <w:t>-</w:t>
      </w:r>
      <w:r>
        <w:t xml:space="preserve"> Sentencia </w:t>
      </w:r>
      <w:hyperlink w:anchor="SENTENCIA_2024_68" w:history="1">
        <w:r w:rsidRPr="00601EEA">
          <w:rPr>
            <w:rStyle w:val="TextoNormalCaracter"/>
          </w:rPr>
          <w:t>68/2024</w:t>
        </w:r>
      </w:hyperlink>
      <w:r>
        <w:t>, f. 8.</w:t>
      </w:r>
    </w:p>
    <w:p w14:paraId="3FD70900" w14:textId="0D1D6449" w:rsidR="00601EEA" w:rsidRDefault="00601EEA" w:rsidP="00601EEA">
      <w:pPr>
        <w:pStyle w:val="SangriaFrancesaArticulo"/>
      </w:pPr>
      <w:r w:rsidRPr="00601EEA">
        <w:rPr>
          <w:rStyle w:val="TextoNormalNegritaCaracter"/>
        </w:rPr>
        <w:t>Artículo 27.30.</w:t>
      </w:r>
      <w:r w:rsidRPr="00601EEA">
        <w:rPr>
          <w:rStyle w:val="TextoNormalCaracter"/>
        </w:rPr>
        <w:t>-</w:t>
      </w:r>
      <w:r>
        <w:t xml:space="preserve"> Sentencias </w:t>
      </w:r>
      <w:hyperlink w:anchor="SENTENCIA_2024_68" w:history="1">
        <w:r w:rsidRPr="00601EEA">
          <w:rPr>
            <w:rStyle w:val="TextoNormalCaracter"/>
          </w:rPr>
          <w:t>68/2024</w:t>
        </w:r>
      </w:hyperlink>
      <w:r>
        <w:t xml:space="preserve">, ff. 5, 6, 8 a 11; </w:t>
      </w:r>
      <w:hyperlink w:anchor="SENTENCIA_2024_76" w:history="1">
        <w:r w:rsidRPr="00601EEA">
          <w:rPr>
            <w:rStyle w:val="TextoNormalCaracter"/>
          </w:rPr>
          <w:t>76/2024</w:t>
        </w:r>
      </w:hyperlink>
      <w:r>
        <w:t>, ff. 1, 4, 5, VP.</w:t>
      </w:r>
    </w:p>
    <w:p w14:paraId="05035BCE" w14:textId="1FE1D682" w:rsidR="00601EEA" w:rsidRDefault="00601EEA" w:rsidP="00601EEA">
      <w:pPr>
        <w:pStyle w:val="SangriaIzquierdaArticulo"/>
      </w:pPr>
      <w:r>
        <w:t xml:space="preserve">Auto </w:t>
      </w:r>
      <w:hyperlink w:anchor="AUTO_2024_21" w:history="1">
        <w:r w:rsidRPr="00601EEA">
          <w:rPr>
            <w:rStyle w:val="TextoNormalCaracter"/>
          </w:rPr>
          <w:t>21/2024</w:t>
        </w:r>
      </w:hyperlink>
      <w:r>
        <w:t>, f. 1.</w:t>
      </w:r>
    </w:p>
    <w:p w14:paraId="4CDB5D3C" w14:textId="494FB556" w:rsidR="00601EEA" w:rsidRDefault="00601EEA" w:rsidP="00601EEA">
      <w:pPr>
        <w:pStyle w:val="SangriaFrancesaArticulo"/>
      </w:pPr>
      <w:r w:rsidRPr="00601EEA">
        <w:rPr>
          <w:rStyle w:val="TextoNormalNegritaCaracter"/>
        </w:rPr>
        <w:t>Artículo 28.5.</w:t>
      </w:r>
      <w:r w:rsidRPr="00601EEA">
        <w:rPr>
          <w:rStyle w:val="TextoNormalCaracter"/>
        </w:rPr>
        <w:t>-</w:t>
      </w:r>
      <w:r>
        <w:t xml:space="preserve"> Sentencia </w:t>
      </w:r>
      <w:hyperlink w:anchor="SENTENCIA_2024_68" w:history="1">
        <w:r w:rsidRPr="00601EEA">
          <w:rPr>
            <w:rStyle w:val="TextoNormalCaracter"/>
          </w:rPr>
          <w:t>68/2024</w:t>
        </w:r>
      </w:hyperlink>
      <w:r>
        <w:t>, ff. 2, 6, 7.</w:t>
      </w:r>
    </w:p>
    <w:p w14:paraId="32A78F7C" w14:textId="3E4E616D" w:rsidR="00601EEA" w:rsidRDefault="00601EEA" w:rsidP="00601EEA">
      <w:pPr>
        <w:pStyle w:val="SangriaFrancesaArticulo"/>
      </w:pPr>
      <w:r w:rsidRPr="00601EEA">
        <w:rPr>
          <w:rStyle w:val="TextoNormalNegritaCaracter"/>
        </w:rPr>
        <w:t>Artículo 28.6.</w:t>
      </w:r>
      <w:r w:rsidRPr="00601EEA">
        <w:rPr>
          <w:rStyle w:val="TextoNormalCaracter"/>
        </w:rPr>
        <w:t>-</w:t>
      </w:r>
      <w:r>
        <w:t xml:space="preserve"> Sentencia </w:t>
      </w:r>
      <w:hyperlink w:anchor="SENTENCIA_2024_68" w:history="1">
        <w:r w:rsidRPr="00601EEA">
          <w:rPr>
            <w:rStyle w:val="TextoNormalCaracter"/>
          </w:rPr>
          <w:t>68/2024</w:t>
        </w:r>
      </w:hyperlink>
      <w:r>
        <w:t>, ff. 2, 6, 8.</w:t>
      </w:r>
    </w:p>
    <w:p w14:paraId="69FC7F2B" w14:textId="73190F23" w:rsidR="00601EEA" w:rsidRDefault="00601EEA" w:rsidP="00601EEA">
      <w:pPr>
        <w:pStyle w:val="SangriaFrancesaArticulo"/>
      </w:pPr>
      <w:r w:rsidRPr="00601EEA">
        <w:rPr>
          <w:rStyle w:val="TextoNormalNegritaCaracter"/>
        </w:rPr>
        <w:t>Artículo 29.3.</w:t>
      </w:r>
      <w:r w:rsidRPr="00601EEA">
        <w:rPr>
          <w:rStyle w:val="TextoNormalCaracter"/>
        </w:rPr>
        <w:t>-</w:t>
      </w:r>
      <w:r>
        <w:t xml:space="preserve"> Sentencia </w:t>
      </w:r>
      <w:hyperlink w:anchor="SENTENCIA_2024_68" w:history="1">
        <w:r w:rsidRPr="00601EEA">
          <w:rPr>
            <w:rStyle w:val="TextoNormalCaracter"/>
          </w:rPr>
          <w:t>68/2024</w:t>
        </w:r>
      </w:hyperlink>
      <w:r>
        <w:t>, ff. 2, 6.</w:t>
      </w:r>
    </w:p>
    <w:p w14:paraId="3D82C5A5" w14:textId="6B063C4D" w:rsidR="00601EEA" w:rsidRDefault="00601EEA" w:rsidP="00601EEA">
      <w:pPr>
        <w:pStyle w:val="SangriaFrancesaArticulo"/>
      </w:pPr>
      <w:r w:rsidRPr="00601EEA">
        <w:rPr>
          <w:rStyle w:val="TextoNormalNegritaCaracter"/>
        </w:rPr>
        <w:t>Artículo 29.4.</w:t>
      </w:r>
      <w:r w:rsidRPr="00601EEA">
        <w:rPr>
          <w:rStyle w:val="TextoNormalCaracter"/>
        </w:rPr>
        <w:t>-</w:t>
      </w:r>
      <w:r>
        <w:t xml:space="preserve"> Sentencia </w:t>
      </w:r>
      <w:hyperlink w:anchor="SENTENCIA_2024_68" w:history="1">
        <w:r w:rsidRPr="00601EEA">
          <w:rPr>
            <w:rStyle w:val="TextoNormalCaracter"/>
          </w:rPr>
          <w:t>68/2024</w:t>
        </w:r>
      </w:hyperlink>
      <w:r>
        <w:t>, ff. 2, 6, 7, 11.</w:t>
      </w:r>
    </w:p>
    <w:p w14:paraId="56AE322B" w14:textId="4616DED7" w:rsidR="00601EEA" w:rsidRDefault="00601EEA" w:rsidP="00601EEA">
      <w:pPr>
        <w:pStyle w:val="SangriaFrancesaArticulo"/>
      </w:pPr>
      <w:r w:rsidRPr="00601EEA">
        <w:rPr>
          <w:rStyle w:val="TextoNormalNegritaCaracter"/>
        </w:rPr>
        <w:t>Artículo 30.</w:t>
      </w:r>
      <w:r w:rsidRPr="00601EEA">
        <w:rPr>
          <w:rStyle w:val="TextoNormalCaracter"/>
        </w:rPr>
        <w:t>-</w:t>
      </w:r>
      <w:r>
        <w:t xml:space="preserve"> Sentencia </w:t>
      </w:r>
      <w:hyperlink w:anchor="SENTENCIA_2024_68" w:history="1">
        <w:r w:rsidRPr="00601EEA">
          <w:rPr>
            <w:rStyle w:val="TextoNormalCaracter"/>
          </w:rPr>
          <w:t>68/2024</w:t>
        </w:r>
      </w:hyperlink>
      <w:r>
        <w:t>, f. 2.</w:t>
      </w:r>
    </w:p>
    <w:p w14:paraId="6BD15BC4" w14:textId="72AB7055" w:rsidR="00601EEA" w:rsidRDefault="00601EEA" w:rsidP="00601EEA">
      <w:pPr>
        <w:pStyle w:val="SangriaFrancesaArticulo"/>
      </w:pPr>
      <w:r w:rsidRPr="00601EEA">
        <w:rPr>
          <w:rStyle w:val="TextoNormalNegritaCaracter"/>
        </w:rPr>
        <w:t>Artículo 37.2.</w:t>
      </w:r>
      <w:r w:rsidRPr="00601EEA">
        <w:rPr>
          <w:rStyle w:val="TextoNormalCaracter"/>
        </w:rPr>
        <w:t>-</w:t>
      </w:r>
      <w:r>
        <w:t xml:space="preserve"> Sentencia </w:t>
      </w:r>
      <w:hyperlink w:anchor="SENTENCIA_2024_68" w:history="1">
        <w:r w:rsidRPr="00601EEA">
          <w:rPr>
            <w:rStyle w:val="TextoNormalCaracter"/>
          </w:rPr>
          <w:t>68/2024</w:t>
        </w:r>
      </w:hyperlink>
      <w:r>
        <w:t>, ff. 2, 10.</w:t>
      </w:r>
    </w:p>
    <w:p w14:paraId="7E4209A0" w14:textId="21ABD056" w:rsidR="00601EEA" w:rsidRDefault="00601EEA" w:rsidP="00601EEA">
      <w:pPr>
        <w:pStyle w:val="SangriaFrancesaArticulo"/>
      </w:pPr>
      <w:r w:rsidRPr="00601EEA">
        <w:rPr>
          <w:rStyle w:val="TextoNormalNegritaCaracter"/>
        </w:rPr>
        <w:t>Artículo 37.3.</w:t>
      </w:r>
      <w:r w:rsidRPr="00601EEA">
        <w:rPr>
          <w:rStyle w:val="TextoNormalCaracter"/>
        </w:rPr>
        <w:t>-</w:t>
      </w:r>
      <w:r>
        <w:t xml:space="preserve"> Sentencia </w:t>
      </w:r>
      <w:hyperlink w:anchor="SENTENCIA_2024_68" w:history="1">
        <w:r w:rsidRPr="00601EEA">
          <w:rPr>
            <w:rStyle w:val="TextoNormalCaracter"/>
          </w:rPr>
          <w:t>68/2024</w:t>
        </w:r>
      </w:hyperlink>
      <w:r>
        <w:t>, ff. 9, 10.</w:t>
      </w:r>
    </w:p>
    <w:p w14:paraId="6F77D3BC" w14:textId="6302D213" w:rsidR="00601EEA" w:rsidRDefault="00601EEA" w:rsidP="00601EEA">
      <w:pPr>
        <w:pStyle w:val="TextoNormal"/>
      </w:pPr>
    </w:p>
    <w:p w14:paraId="4822446D" w14:textId="77777777" w:rsidR="00601EEA" w:rsidRDefault="00601EEA" w:rsidP="00601EEA">
      <w:pPr>
        <w:pStyle w:val="TextoNormalNegritaCentradoSubrayado"/>
        <w:suppressAutoHyphens/>
      </w:pPr>
      <w:r>
        <w:t>J.10.b) Leyes y disposiciones con fuerza de Ley</w:t>
      </w:r>
    </w:p>
    <w:p w14:paraId="4718EC33" w14:textId="222A3439" w:rsidR="00601EEA" w:rsidRDefault="00601EEA" w:rsidP="00601EEA">
      <w:pPr>
        <w:pStyle w:val="TextoNormalNegritaCentradoSubrayado"/>
      </w:pPr>
    </w:p>
    <w:p w14:paraId="4FAAFF50" w14:textId="77777777" w:rsidR="00601EEA" w:rsidRDefault="00601EEA" w:rsidP="00601EEA">
      <w:pPr>
        <w:pStyle w:val="TextoNormalNegritaCursivandice"/>
        <w:keepNext/>
      </w:pPr>
      <w:r>
        <w:t>Comunidad Autónoma de Galicia. Ley 3/2007, de 9 de abril, de prevención y defensa contra los incendios forestales de Galicia</w:t>
      </w:r>
    </w:p>
    <w:p w14:paraId="33BF70F2" w14:textId="7421AA8A"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68" w:history="1">
        <w:r w:rsidRPr="00601EEA">
          <w:rPr>
            <w:rStyle w:val="TextoNormalCaracter"/>
          </w:rPr>
          <w:t>68/2024</w:t>
        </w:r>
      </w:hyperlink>
      <w:r>
        <w:t>, f. 8.</w:t>
      </w:r>
    </w:p>
    <w:p w14:paraId="3027FCF6" w14:textId="092035DF" w:rsidR="00601EEA" w:rsidRDefault="00601EEA" w:rsidP="00601EEA">
      <w:pPr>
        <w:pStyle w:val="SangriaFrancesaArticulo"/>
      </w:pPr>
    </w:p>
    <w:p w14:paraId="5BA210F0" w14:textId="77777777" w:rsidR="00601EEA" w:rsidRDefault="00601EEA" w:rsidP="00601EEA">
      <w:pPr>
        <w:pStyle w:val="TextoNormalNegritaCursivandice"/>
        <w:keepNext/>
      </w:pPr>
      <w:r>
        <w:t>Comunidad Autónoma de Galicia. Ley 9/2010, de 4 de noviembre, de aguas de Galicia</w:t>
      </w:r>
    </w:p>
    <w:p w14:paraId="002F2603" w14:textId="11E4557B" w:rsidR="00601EEA" w:rsidRDefault="00601EEA" w:rsidP="00601EEA">
      <w:pPr>
        <w:pStyle w:val="SangriaFrancesaArticulo"/>
      </w:pPr>
      <w:r w:rsidRPr="00601EEA">
        <w:rPr>
          <w:rStyle w:val="TextoNormalNegritaCaracter"/>
        </w:rPr>
        <w:t>Artículo 2.3.</w:t>
      </w:r>
      <w:r w:rsidRPr="00601EEA">
        <w:rPr>
          <w:rStyle w:val="TextoNormalCaracter"/>
        </w:rPr>
        <w:t>-</w:t>
      </w:r>
      <w:r>
        <w:t xml:space="preserve"> Sentencia </w:t>
      </w:r>
      <w:hyperlink w:anchor="SENTENCIA_2024_68" w:history="1">
        <w:r w:rsidRPr="00601EEA">
          <w:rPr>
            <w:rStyle w:val="TextoNormalCaracter"/>
          </w:rPr>
          <w:t>68/2024</w:t>
        </w:r>
      </w:hyperlink>
      <w:r>
        <w:t>, f. 9.</w:t>
      </w:r>
    </w:p>
    <w:p w14:paraId="447F2876" w14:textId="5D402097" w:rsidR="00601EEA" w:rsidRDefault="00601EEA" w:rsidP="00601EEA">
      <w:pPr>
        <w:pStyle w:val="SangriaFrancesaArticulo"/>
      </w:pPr>
    </w:p>
    <w:p w14:paraId="1B60E274" w14:textId="77777777" w:rsidR="00601EEA" w:rsidRDefault="00601EEA" w:rsidP="00601EEA">
      <w:pPr>
        <w:pStyle w:val="TextoNormalNegritaCursivandice"/>
        <w:keepNext/>
      </w:pPr>
      <w:r>
        <w:t>Comunidad Autónoma de Galicia. Ley 7/2011, de 27 de octubre, del turismo de Galicia</w:t>
      </w:r>
    </w:p>
    <w:p w14:paraId="066ECE27" w14:textId="305C4F4E" w:rsidR="00601EEA" w:rsidRDefault="00601EEA" w:rsidP="00601EEA">
      <w:pPr>
        <w:pStyle w:val="SangriaFrancesaArticulo"/>
      </w:pPr>
      <w:r w:rsidRPr="00601EEA">
        <w:rPr>
          <w:rStyle w:val="TextoNormalNegritaCaracter"/>
        </w:rPr>
        <w:t>Artículo 55.</w:t>
      </w:r>
      <w:r w:rsidRPr="00601EEA">
        <w:rPr>
          <w:rStyle w:val="TextoNormalCaracter"/>
        </w:rPr>
        <w:t>-</w:t>
      </w:r>
      <w:r>
        <w:t xml:space="preserve"> Sentencia </w:t>
      </w:r>
      <w:hyperlink w:anchor="SENTENCIA_2024_68" w:history="1">
        <w:r w:rsidRPr="00601EEA">
          <w:rPr>
            <w:rStyle w:val="TextoNormalCaracter"/>
          </w:rPr>
          <w:t>68/2024</w:t>
        </w:r>
      </w:hyperlink>
      <w:r>
        <w:t>, f. 8.</w:t>
      </w:r>
    </w:p>
    <w:p w14:paraId="1306F073" w14:textId="0C4321A7" w:rsidR="00601EEA" w:rsidRDefault="00601EEA" w:rsidP="00601EEA">
      <w:pPr>
        <w:pStyle w:val="SangriaFrancesaArticulo"/>
      </w:pPr>
    </w:p>
    <w:p w14:paraId="214B5E9D" w14:textId="77777777" w:rsidR="00601EEA" w:rsidRDefault="00601EEA" w:rsidP="00601EEA">
      <w:pPr>
        <w:pStyle w:val="TextoNormalNegritaCursivandice"/>
        <w:keepNext/>
      </w:pPr>
      <w:r>
        <w:t>Comunidad Autónoma de Galicia. Ley 2/2016, de 10 de febrero, del suelo de Galicia</w:t>
      </w:r>
    </w:p>
    <w:p w14:paraId="1DFF8323" w14:textId="5FD70440"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68" w:history="1">
        <w:r w:rsidRPr="00601EEA">
          <w:rPr>
            <w:rStyle w:val="TextoNormalCaracter"/>
          </w:rPr>
          <w:t>68/2024</w:t>
        </w:r>
      </w:hyperlink>
      <w:r>
        <w:t>, f. 8.</w:t>
      </w:r>
    </w:p>
    <w:p w14:paraId="38AAE847" w14:textId="2710B5B2" w:rsidR="00601EEA" w:rsidRDefault="00601EEA" w:rsidP="00601EEA">
      <w:pPr>
        <w:pStyle w:val="SangriaFrancesaArticulo"/>
      </w:pPr>
      <w:r w:rsidRPr="00601EEA">
        <w:rPr>
          <w:rStyle w:val="TextoNormalNegritaCaracter"/>
        </w:rPr>
        <w:t>Artículo 31 a 37.</w:t>
      </w:r>
      <w:r w:rsidRPr="00601EEA">
        <w:rPr>
          <w:rStyle w:val="TextoNormalCaracter"/>
        </w:rPr>
        <w:t>-</w:t>
      </w:r>
      <w:r>
        <w:t xml:space="preserve"> Sentencia </w:t>
      </w:r>
      <w:hyperlink w:anchor="SENTENCIA_2024_68" w:history="1">
        <w:r w:rsidRPr="00601EEA">
          <w:rPr>
            <w:rStyle w:val="TextoNormalCaracter"/>
          </w:rPr>
          <w:t>68/2024</w:t>
        </w:r>
      </w:hyperlink>
      <w:r>
        <w:t>, f. 8.</w:t>
      </w:r>
    </w:p>
    <w:p w14:paraId="1AB368D4" w14:textId="0796EF79" w:rsidR="00601EEA" w:rsidRDefault="00601EEA" w:rsidP="00601EEA">
      <w:pPr>
        <w:pStyle w:val="SangriaFrancesaArticulo"/>
      </w:pPr>
      <w:r w:rsidRPr="00601EEA">
        <w:rPr>
          <w:rStyle w:val="TextoNormalNegritaCaracter"/>
        </w:rPr>
        <w:t>Artículo 31.2.</w:t>
      </w:r>
      <w:r w:rsidRPr="00601EEA">
        <w:rPr>
          <w:rStyle w:val="TextoNormalCaracter"/>
        </w:rPr>
        <w:t>-</w:t>
      </w:r>
      <w:r>
        <w:t xml:space="preserve"> Sentencia </w:t>
      </w:r>
      <w:hyperlink w:anchor="SENTENCIA_2024_68" w:history="1">
        <w:r w:rsidRPr="00601EEA">
          <w:rPr>
            <w:rStyle w:val="TextoNormalCaracter"/>
          </w:rPr>
          <w:t>68/2024</w:t>
        </w:r>
      </w:hyperlink>
      <w:r>
        <w:t>, f. 8.</w:t>
      </w:r>
    </w:p>
    <w:p w14:paraId="66C94EBE" w14:textId="50D940AD" w:rsidR="00601EEA" w:rsidRDefault="00601EEA" w:rsidP="00601EEA">
      <w:pPr>
        <w:pStyle w:val="SangriaFrancesaArticulo"/>
      </w:pPr>
      <w:r w:rsidRPr="00601EEA">
        <w:rPr>
          <w:rStyle w:val="TextoNormalNegritaCaracter"/>
        </w:rPr>
        <w:t>Artículo 34.</w:t>
      </w:r>
      <w:r w:rsidRPr="00601EEA">
        <w:rPr>
          <w:rStyle w:val="TextoNormalCaracter"/>
        </w:rPr>
        <w:t>-</w:t>
      </w:r>
      <w:r>
        <w:t xml:space="preserve"> Sentencia </w:t>
      </w:r>
      <w:hyperlink w:anchor="SENTENCIA_2024_68" w:history="1">
        <w:r w:rsidRPr="00601EEA">
          <w:rPr>
            <w:rStyle w:val="TextoNormalCaracter"/>
          </w:rPr>
          <w:t>68/2024</w:t>
        </w:r>
      </w:hyperlink>
      <w:r>
        <w:t>, f. 8.</w:t>
      </w:r>
    </w:p>
    <w:p w14:paraId="77669B65" w14:textId="6913FE74" w:rsidR="00601EEA" w:rsidRDefault="00601EEA" w:rsidP="00601EEA">
      <w:pPr>
        <w:pStyle w:val="SangriaFrancesaArticulo"/>
      </w:pPr>
      <w:r w:rsidRPr="00601EEA">
        <w:rPr>
          <w:rStyle w:val="TextoNormalNegritaCaracter"/>
        </w:rPr>
        <w:t>Artículo 36.2.</w:t>
      </w:r>
      <w:r w:rsidRPr="00601EEA">
        <w:rPr>
          <w:rStyle w:val="TextoNormalCaracter"/>
        </w:rPr>
        <w:t>-</w:t>
      </w:r>
      <w:r>
        <w:t xml:space="preserve"> Sentencia </w:t>
      </w:r>
      <w:hyperlink w:anchor="SENTENCIA_2024_68" w:history="1">
        <w:r w:rsidRPr="00601EEA">
          <w:rPr>
            <w:rStyle w:val="TextoNormalCaracter"/>
          </w:rPr>
          <w:t>68/2024</w:t>
        </w:r>
      </w:hyperlink>
      <w:r>
        <w:t>, f. 8.</w:t>
      </w:r>
    </w:p>
    <w:p w14:paraId="577A4ADC" w14:textId="0996C094" w:rsidR="00601EEA" w:rsidRDefault="00601EEA" w:rsidP="00601EEA">
      <w:pPr>
        <w:pStyle w:val="SangriaFrancesaArticulo"/>
      </w:pPr>
    </w:p>
    <w:p w14:paraId="6F948C05" w14:textId="77777777" w:rsidR="00601EEA" w:rsidRDefault="00601EEA" w:rsidP="00601EEA">
      <w:pPr>
        <w:pStyle w:val="TextoNormalNegritaCursivandice"/>
        <w:keepNext/>
      </w:pPr>
      <w:r>
        <w:t>Comunidad Autónoma de Galicia. Ley 5/2016, de 4 de mayo, del patrimonio cultural de Galicia</w:t>
      </w:r>
    </w:p>
    <w:p w14:paraId="2F5AEF61" w14:textId="3082BB77" w:rsidR="00601EEA" w:rsidRDefault="00601EEA" w:rsidP="00601EEA">
      <w:pPr>
        <w:pStyle w:val="SangriaFrancesaArticulo"/>
      </w:pPr>
      <w:r w:rsidRPr="00601EEA">
        <w:rPr>
          <w:rStyle w:val="TextoNormalNegritaCaracter"/>
        </w:rPr>
        <w:t>Artículo 32.</w:t>
      </w:r>
      <w:r w:rsidRPr="00601EEA">
        <w:rPr>
          <w:rStyle w:val="TextoNormalCaracter"/>
        </w:rPr>
        <w:t>-</w:t>
      </w:r>
      <w:r>
        <w:t xml:space="preserve"> Sentencia </w:t>
      </w:r>
      <w:hyperlink w:anchor="SENTENCIA_2024_68" w:history="1">
        <w:r w:rsidRPr="00601EEA">
          <w:rPr>
            <w:rStyle w:val="TextoNormalCaracter"/>
          </w:rPr>
          <w:t>68/2024</w:t>
        </w:r>
      </w:hyperlink>
      <w:r>
        <w:t>, f. 8.</w:t>
      </w:r>
    </w:p>
    <w:p w14:paraId="306E2CE6" w14:textId="0DBD39B1" w:rsidR="00601EEA" w:rsidRDefault="00601EEA" w:rsidP="00601EEA">
      <w:pPr>
        <w:pStyle w:val="SangriaFrancesaArticulo"/>
      </w:pPr>
    </w:p>
    <w:p w14:paraId="12F8E713" w14:textId="77777777" w:rsidR="00601EEA" w:rsidRDefault="00601EEA" w:rsidP="00601EEA">
      <w:pPr>
        <w:pStyle w:val="TextoNormalNegritaCursivandice"/>
        <w:keepNext/>
      </w:pPr>
      <w:r>
        <w:t>Comunidad Autónoma de Galicia. Ley 6/2017, de 12 de diciembre, de puertos de Galicia</w:t>
      </w:r>
    </w:p>
    <w:p w14:paraId="70C562C7" w14:textId="7171DD48"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68" w:history="1">
        <w:r w:rsidRPr="00601EEA">
          <w:rPr>
            <w:rStyle w:val="TextoNormalCaracter"/>
          </w:rPr>
          <w:t>68/2024</w:t>
        </w:r>
      </w:hyperlink>
      <w:r>
        <w:t>, ff. 8, 11.</w:t>
      </w:r>
    </w:p>
    <w:p w14:paraId="1467479F" w14:textId="61C19FBA" w:rsidR="00601EEA" w:rsidRDefault="00601EEA" w:rsidP="00601EEA">
      <w:pPr>
        <w:pStyle w:val="SangriaFrancesaArticulo"/>
      </w:pPr>
      <w:r w:rsidRPr="00601EEA">
        <w:rPr>
          <w:rStyle w:val="TextoNormalNegritaCaracter"/>
        </w:rPr>
        <w:t>Artículo 52.1.</w:t>
      </w:r>
      <w:r w:rsidRPr="00601EEA">
        <w:rPr>
          <w:rStyle w:val="TextoNormalCaracter"/>
        </w:rPr>
        <w:t>-</w:t>
      </w:r>
      <w:r>
        <w:t xml:space="preserve"> Sentencia </w:t>
      </w:r>
      <w:hyperlink w:anchor="SENTENCIA_2024_68" w:history="1">
        <w:r w:rsidRPr="00601EEA">
          <w:rPr>
            <w:rStyle w:val="TextoNormalCaracter"/>
          </w:rPr>
          <w:t>68/2024</w:t>
        </w:r>
      </w:hyperlink>
      <w:r>
        <w:t>, f. 8.</w:t>
      </w:r>
    </w:p>
    <w:p w14:paraId="62AEFF70" w14:textId="0D584909" w:rsidR="00601EEA" w:rsidRDefault="00601EEA" w:rsidP="00601EEA">
      <w:pPr>
        <w:pStyle w:val="SangriaFrancesaArticulo"/>
      </w:pPr>
      <w:r w:rsidRPr="00601EEA">
        <w:rPr>
          <w:rStyle w:val="TextoNormalNegritaCaracter"/>
        </w:rPr>
        <w:t>Artículo 55.</w:t>
      </w:r>
      <w:r w:rsidRPr="00601EEA">
        <w:rPr>
          <w:rStyle w:val="TextoNormalCaracter"/>
        </w:rPr>
        <w:t>-</w:t>
      </w:r>
      <w:r>
        <w:t xml:space="preserve"> Sentencia </w:t>
      </w:r>
      <w:hyperlink w:anchor="SENTENCIA_2024_68" w:history="1">
        <w:r w:rsidRPr="00601EEA">
          <w:rPr>
            <w:rStyle w:val="TextoNormalCaracter"/>
          </w:rPr>
          <w:t>68/2024</w:t>
        </w:r>
      </w:hyperlink>
      <w:r>
        <w:t>, f. 8.</w:t>
      </w:r>
    </w:p>
    <w:p w14:paraId="724B05DC" w14:textId="09B72AED" w:rsidR="00601EEA" w:rsidRDefault="00601EEA" w:rsidP="00601EEA">
      <w:pPr>
        <w:pStyle w:val="SangriaFrancesaArticulo"/>
      </w:pPr>
      <w:r w:rsidRPr="00601EEA">
        <w:rPr>
          <w:rStyle w:val="TextoNormalNegritaCaracter"/>
        </w:rPr>
        <w:t>Artículo 55.1.</w:t>
      </w:r>
      <w:r w:rsidRPr="00601EEA">
        <w:rPr>
          <w:rStyle w:val="TextoNormalCaracter"/>
        </w:rPr>
        <w:t>-</w:t>
      </w:r>
      <w:r>
        <w:t xml:space="preserve"> Sentencia </w:t>
      </w:r>
      <w:hyperlink w:anchor="SENTENCIA_2024_68" w:history="1">
        <w:r w:rsidRPr="00601EEA">
          <w:rPr>
            <w:rStyle w:val="TextoNormalCaracter"/>
          </w:rPr>
          <w:t>68/2024</w:t>
        </w:r>
      </w:hyperlink>
      <w:r>
        <w:t>, f. 8.</w:t>
      </w:r>
    </w:p>
    <w:p w14:paraId="1F428B03" w14:textId="4A78A181" w:rsidR="00601EEA" w:rsidRDefault="00601EEA" w:rsidP="00601EEA">
      <w:pPr>
        <w:pStyle w:val="SangriaFrancesaArticulo"/>
      </w:pPr>
      <w:r w:rsidRPr="00601EEA">
        <w:rPr>
          <w:rStyle w:val="TextoNormalNegritaCaracter"/>
        </w:rPr>
        <w:t>Artículo 55.2.</w:t>
      </w:r>
      <w:r w:rsidRPr="00601EEA">
        <w:rPr>
          <w:rStyle w:val="TextoNormalCaracter"/>
        </w:rPr>
        <w:t>-</w:t>
      </w:r>
      <w:r>
        <w:t xml:space="preserve"> Sentencia </w:t>
      </w:r>
      <w:hyperlink w:anchor="SENTENCIA_2024_68" w:history="1">
        <w:r w:rsidRPr="00601EEA">
          <w:rPr>
            <w:rStyle w:val="TextoNormalCaracter"/>
          </w:rPr>
          <w:t>68/2024</w:t>
        </w:r>
      </w:hyperlink>
      <w:r>
        <w:t>, f. 8.</w:t>
      </w:r>
    </w:p>
    <w:p w14:paraId="503EAD2D" w14:textId="63E5B848" w:rsidR="00601EEA" w:rsidRDefault="00601EEA" w:rsidP="00601EEA">
      <w:pPr>
        <w:pStyle w:val="SangriaFrancesaArticulo"/>
      </w:pPr>
      <w:r w:rsidRPr="00601EEA">
        <w:rPr>
          <w:rStyle w:val="TextoNormalNegritaCaracter"/>
        </w:rPr>
        <w:t>Artículo 55.2 a).</w:t>
      </w:r>
      <w:r w:rsidRPr="00601EEA">
        <w:rPr>
          <w:rStyle w:val="TextoNormalCaracter"/>
        </w:rPr>
        <w:t>-</w:t>
      </w:r>
      <w:r>
        <w:t xml:space="preserve"> Sentencia </w:t>
      </w:r>
      <w:hyperlink w:anchor="SENTENCIA_2024_68" w:history="1">
        <w:r w:rsidRPr="00601EEA">
          <w:rPr>
            <w:rStyle w:val="TextoNormalCaracter"/>
          </w:rPr>
          <w:t>68/2024</w:t>
        </w:r>
      </w:hyperlink>
      <w:r>
        <w:t>, f. 8.</w:t>
      </w:r>
    </w:p>
    <w:p w14:paraId="6D8055F5" w14:textId="1BB7CCAB" w:rsidR="00601EEA" w:rsidRDefault="00601EEA" w:rsidP="00601EEA">
      <w:pPr>
        <w:pStyle w:val="SangriaFrancesaArticulo"/>
      </w:pPr>
      <w:r w:rsidRPr="00601EEA">
        <w:rPr>
          <w:rStyle w:val="TextoNormalNegritaCaracter"/>
        </w:rPr>
        <w:t>Artículo 55.2 b).</w:t>
      </w:r>
      <w:r w:rsidRPr="00601EEA">
        <w:rPr>
          <w:rStyle w:val="TextoNormalCaracter"/>
        </w:rPr>
        <w:t>-</w:t>
      </w:r>
      <w:r>
        <w:t xml:space="preserve"> Sentencia </w:t>
      </w:r>
      <w:hyperlink w:anchor="SENTENCIA_2024_68" w:history="1">
        <w:r w:rsidRPr="00601EEA">
          <w:rPr>
            <w:rStyle w:val="TextoNormalCaracter"/>
          </w:rPr>
          <w:t>68/2024</w:t>
        </w:r>
      </w:hyperlink>
      <w:r>
        <w:t>, f. 8.</w:t>
      </w:r>
    </w:p>
    <w:p w14:paraId="7ADD58D0" w14:textId="40988B05" w:rsidR="00601EEA" w:rsidRDefault="00601EEA" w:rsidP="00601EEA">
      <w:pPr>
        <w:pStyle w:val="SangriaFrancesaArticulo"/>
      </w:pPr>
      <w:r w:rsidRPr="00601EEA">
        <w:rPr>
          <w:rStyle w:val="TextoNormalNegritaCaracter"/>
        </w:rPr>
        <w:t>Artículo 55.2 c).</w:t>
      </w:r>
      <w:r w:rsidRPr="00601EEA">
        <w:rPr>
          <w:rStyle w:val="TextoNormalCaracter"/>
        </w:rPr>
        <w:t>-</w:t>
      </w:r>
      <w:r>
        <w:t xml:space="preserve"> Sentencia </w:t>
      </w:r>
      <w:hyperlink w:anchor="SENTENCIA_2024_68" w:history="1">
        <w:r w:rsidRPr="00601EEA">
          <w:rPr>
            <w:rStyle w:val="TextoNormalCaracter"/>
          </w:rPr>
          <w:t>68/2024</w:t>
        </w:r>
      </w:hyperlink>
      <w:r>
        <w:t>, f. 8.</w:t>
      </w:r>
    </w:p>
    <w:p w14:paraId="5BC3BCA2" w14:textId="33378E34" w:rsidR="00601EEA" w:rsidRDefault="00601EEA" w:rsidP="00601EEA">
      <w:pPr>
        <w:pStyle w:val="SangriaFrancesaArticulo"/>
      </w:pPr>
      <w:r w:rsidRPr="00601EEA">
        <w:rPr>
          <w:rStyle w:val="TextoNormalNegritaCaracter"/>
        </w:rPr>
        <w:t>Artículo 55.2 d).</w:t>
      </w:r>
      <w:r w:rsidRPr="00601EEA">
        <w:rPr>
          <w:rStyle w:val="TextoNormalCaracter"/>
        </w:rPr>
        <w:t>-</w:t>
      </w:r>
      <w:r>
        <w:t xml:space="preserve"> Sentencia </w:t>
      </w:r>
      <w:hyperlink w:anchor="SENTENCIA_2024_68" w:history="1">
        <w:r w:rsidRPr="00601EEA">
          <w:rPr>
            <w:rStyle w:val="TextoNormalCaracter"/>
          </w:rPr>
          <w:t>68/2024</w:t>
        </w:r>
      </w:hyperlink>
      <w:r>
        <w:t>, f. 8.</w:t>
      </w:r>
    </w:p>
    <w:p w14:paraId="5DDFE7F6" w14:textId="49B513FB" w:rsidR="00601EEA" w:rsidRDefault="00601EEA" w:rsidP="00601EEA">
      <w:pPr>
        <w:pStyle w:val="SangriaFrancesaArticulo"/>
      </w:pPr>
      <w:r w:rsidRPr="00601EEA">
        <w:rPr>
          <w:rStyle w:val="TextoNormalNegritaCaracter"/>
        </w:rPr>
        <w:t>Artículo 55.2 e).</w:t>
      </w:r>
      <w:r w:rsidRPr="00601EEA">
        <w:rPr>
          <w:rStyle w:val="TextoNormalCaracter"/>
        </w:rPr>
        <w:t>-</w:t>
      </w:r>
      <w:r>
        <w:t xml:space="preserve"> Sentencia </w:t>
      </w:r>
      <w:hyperlink w:anchor="SENTENCIA_2024_68" w:history="1">
        <w:r w:rsidRPr="00601EEA">
          <w:rPr>
            <w:rStyle w:val="TextoNormalCaracter"/>
          </w:rPr>
          <w:t>68/2024</w:t>
        </w:r>
      </w:hyperlink>
      <w:r>
        <w:t>, f. 8.</w:t>
      </w:r>
    </w:p>
    <w:p w14:paraId="10A5399C" w14:textId="4B841952" w:rsidR="00601EEA" w:rsidRDefault="00601EEA" w:rsidP="00601EEA">
      <w:pPr>
        <w:pStyle w:val="SangriaFrancesaArticulo"/>
      </w:pPr>
      <w:r w:rsidRPr="00601EEA">
        <w:rPr>
          <w:rStyle w:val="TextoNormalNegritaCaracter"/>
        </w:rPr>
        <w:t>Artículo 55.2 f).</w:t>
      </w:r>
      <w:r w:rsidRPr="00601EEA">
        <w:rPr>
          <w:rStyle w:val="TextoNormalCaracter"/>
        </w:rPr>
        <w:t>-</w:t>
      </w:r>
      <w:r>
        <w:t xml:space="preserve"> Sentencia </w:t>
      </w:r>
      <w:hyperlink w:anchor="SENTENCIA_2024_68" w:history="1">
        <w:r w:rsidRPr="00601EEA">
          <w:rPr>
            <w:rStyle w:val="TextoNormalCaracter"/>
          </w:rPr>
          <w:t>68/2024</w:t>
        </w:r>
      </w:hyperlink>
      <w:r>
        <w:t>, f. 8.</w:t>
      </w:r>
    </w:p>
    <w:p w14:paraId="0B747983" w14:textId="6AF1986E" w:rsidR="00601EEA" w:rsidRDefault="00601EEA" w:rsidP="00601EEA">
      <w:pPr>
        <w:pStyle w:val="SangriaFrancesaArticulo"/>
      </w:pPr>
      <w:r w:rsidRPr="00601EEA">
        <w:rPr>
          <w:rStyle w:val="TextoNormalNegritaCaracter"/>
        </w:rPr>
        <w:t>Artículo 55.2 g).</w:t>
      </w:r>
      <w:r w:rsidRPr="00601EEA">
        <w:rPr>
          <w:rStyle w:val="TextoNormalCaracter"/>
        </w:rPr>
        <w:t>-</w:t>
      </w:r>
      <w:r>
        <w:t xml:space="preserve"> Sentencia </w:t>
      </w:r>
      <w:hyperlink w:anchor="SENTENCIA_2024_68" w:history="1">
        <w:r w:rsidRPr="00601EEA">
          <w:rPr>
            <w:rStyle w:val="TextoNormalCaracter"/>
          </w:rPr>
          <w:t>68/2024</w:t>
        </w:r>
      </w:hyperlink>
      <w:r>
        <w:t>, f. 8.</w:t>
      </w:r>
    </w:p>
    <w:p w14:paraId="13978A6D" w14:textId="33960530" w:rsidR="00601EEA" w:rsidRDefault="00601EEA" w:rsidP="00601EEA">
      <w:pPr>
        <w:pStyle w:val="SangriaFrancesaArticulo"/>
      </w:pPr>
      <w:r w:rsidRPr="00601EEA">
        <w:rPr>
          <w:rStyle w:val="TextoNormalNegritaCaracter"/>
        </w:rPr>
        <w:t>Artículo 55.3.</w:t>
      </w:r>
      <w:r w:rsidRPr="00601EEA">
        <w:rPr>
          <w:rStyle w:val="TextoNormalCaracter"/>
        </w:rPr>
        <w:t>-</w:t>
      </w:r>
      <w:r>
        <w:t xml:space="preserve"> Sentencia </w:t>
      </w:r>
      <w:hyperlink w:anchor="SENTENCIA_2024_68" w:history="1">
        <w:r w:rsidRPr="00601EEA">
          <w:rPr>
            <w:rStyle w:val="TextoNormalCaracter"/>
          </w:rPr>
          <w:t>68/2024</w:t>
        </w:r>
      </w:hyperlink>
      <w:r>
        <w:t>, f. 8.</w:t>
      </w:r>
    </w:p>
    <w:p w14:paraId="721C23D7" w14:textId="06794FEA" w:rsidR="00601EEA" w:rsidRDefault="00601EEA" w:rsidP="00601EEA">
      <w:pPr>
        <w:pStyle w:val="SangriaFrancesaArticulo"/>
      </w:pPr>
      <w:r w:rsidRPr="00601EEA">
        <w:rPr>
          <w:rStyle w:val="TextoNormalNegritaCaracter"/>
        </w:rPr>
        <w:t>Artículo 55.4.</w:t>
      </w:r>
      <w:r w:rsidRPr="00601EEA">
        <w:rPr>
          <w:rStyle w:val="TextoNormalCaracter"/>
        </w:rPr>
        <w:t>-</w:t>
      </w:r>
      <w:r>
        <w:t xml:space="preserve"> Sentencia </w:t>
      </w:r>
      <w:hyperlink w:anchor="SENTENCIA_2024_68" w:history="1">
        <w:r w:rsidRPr="00601EEA">
          <w:rPr>
            <w:rStyle w:val="TextoNormalCaracter"/>
          </w:rPr>
          <w:t>68/2024</w:t>
        </w:r>
      </w:hyperlink>
      <w:r>
        <w:t>, f. 8.</w:t>
      </w:r>
    </w:p>
    <w:p w14:paraId="6987B56F" w14:textId="16486374" w:rsidR="00601EEA" w:rsidRDefault="00601EEA" w:rsidP="00601EEA">
      <w:pPr>
        <w:pStyle w:val="SangriaFrancesaArticulo"/>
      </w:pPr>
    </w:p>
    <w:p w14:paraId="56C8B090" w14:textId="77777777" w:rsidR="00601EEA" w:rsidRDefault="00601EEA" w:rsidP="00601EEA">
      <w:pPr>
        <w:pStyle w:val="TextoNormalNegritaCursivandice"/>
        <w:keepNext/>
      </w:pPr>
      <w:r>
        <w:t>Comunidad Autónoma de Galicia. Ley 5/2019, de 2 de agosto, del patrimonio natural y de la biodiversidad de Galicia</w:t>
      </w:r>
    </w:p>
    <w:p w14:paraId="714498FF" w14:textId="1EF51B0F" w:rsidR="00601EEA" w:rsidRDefault="00601EEA" w:rsidP="00601EEA">
      <w:pPr>
        <w:pStyle w:val="SangriaFrancesaArticulo"/>
      </w:pPr>
      <w:r w:rsidRPr="00601EEA">
        <w:rPr>
          <w:rStyle w:val="TextoNormalNegritaCaracter"/>
        </w:rPr>
        <w:t>Artículo 4.</w:t>
      </w:r>
      <w:r w:rsidRPr="00601EEA">
        <w:rPr>
          <w:rStyle w:val="TextoNormalCaracter"/>
        </w:rPr>
        <w:t>-</w:t>
      </w:r>
      <w:r>
        <w:t xml:space="preserve"> Sentencia </w:t>
      </w:r>
      <w:hyperlink w:anchor="SENTENCIA_2024_68" w:history="1">
        <w:r w:rsidRPr="00601EEA">
          <w:rPr>
            <w:rStyle w:val="TextoNormalCaracter"/>
          </w:rPr>
          <w:t>68/2024</w:t>
        </w:r>
      </w:hyperlink>
      <w:r>
        <w:t>, f. 9.</w:t>
      </w:r>
    </w:p>
    <w:p w14:paraId="24D9F3D0" w14:textId="7AD6EE5E" w:rsidR="00601EEA" w:rsidRDefault="00601EEA" w:rsidP="00601EEA">
      <w:pPr>
        <w:pStyle w:val="SangriaFrancesaArticulo"/>
      </w:pPr>
      <w:r w:rsidRPr="00601EEA">
        <w:rPr>
          <w:rStyle w:val="TextoNormalNegritaCaracter"/>
        </w:rPr>
        <w:t>Artículo 69.2.</w:t>
      </w:r>
      <w:r w:rsidRPr="00601EEA">
        <w:rPr>
          <w:rStyle w:val="TextoNormalCaracter"/>
        </w:rPr>
        <w:t>-</w:t>
      </w:r>
      <w:r>
        <w:t xml:space="preserve"> Sentencia </w:t>
      </w:r>
      <w:hyperlink w:anchor="SENTENCIA_2024_68" w:history="1">
        <w:r w:rsidRPr="00601EEA">
          <w:rPr>
            <w:rStyle w:val="TextoNormalCaracter"/>
          </w:rPr>
          <w:t>68/2024</w:t>
        </w:r>
      </w:hyperlink>
      <w:r>
        <w:t>, f. 8.</w:t>
      </w:r>
    </w:p>
    <w:p w14:paraId="5C7A5056" w14:textId="0F299DFE" w:rsidR="00601EEA" w:rsidRDefault="00601EEA" w:rsidP="00601EEA">
      <w:pPr>
        <w:pStyle w:val="SangriaFrancesaArticulo"/>
      </w:pPr>
      <w:r w:rsidRPr="00601EEA">
        <w:rPr>
          <w:rStyle w:val="TextoNormalNegritaCaracter"/>
        </w:rPr>
        <w:t>Artículo 70.</w:t>
      </w:r>
      <w:r w:rsidRPr="00601EEA">
        <w:rPr>
          <w:rStyle w:val="TextoNormalCaracter"/>
        </w:rPr>
        <w:t>-</w:t>
      </w:r>
      <w:r>
        <w:t xml:space="preserve"> Sentencia </w:t>
      </w:r>
      <w:hyperlink w:anchor="SENTENCIA_2024_68" w:history="1">
        <w:r w:rsidRPr="00601EEA">
          <w:rPr>
            <w:rStyle w:val="TextoNormalCaracter"/>
          </w:rPr>
          <w:t>68/2024</w:t>
        </w:r>
      </w:hyperlink>
      <w:r>
        <w:t>, f. 8.</w:t>
      </w:r>
    </w:p>
    <w:p w14:paraId="27F7951F" w14:textId="6020917D" w:rsidR="00601EEA" w:rsidRDefault="00601EEA" w:rsidP="00601EEA">
      <w:pPr>
        <w:pStyle w:val="SangriaFrancesaArticulo"/>
      </w:pPr>
    </w:p>
    <w:p w14:paraId="559F4E65" w14:textId="77777777" w:rsidR="00601EEA" w:rsidRDefault="00601EEA" w:rsidP="00601EEA">
      <w:pPr>
        <w:pStyle w:val="TextoNormalNegritaCursivandice"/>
        <w:keepNext/>
      </w:pPr>
      <w:r>
        <w:t>Comunidad Autónoma de Galicia. Ley 1/2021, de 8 de enero, de ordenación del territorio de Galicia</w:t>
      </w:r>
    </w:p>
    <w:p w14:paraId="2E6DEA28" w14:textId="3F5282B8" w:rsidR="00601EEA" w:rsidRDefault="00601EEA" w:rsidP="00601EEA">
      <w:pPr>
        <w:pStyle w:val="SangriaFrancesaArticulo"/>
      </w:pPr>
      <w:r w:rsidRPr="00601EEA">
        <w:rPr>
          <w:rStyle w:val="TextoNormalNegritaCaracter"/>
        </w:rPr>
        <w:t>Artículo 29 a 39.</w:t>
      </w:r>
      <w:r w:rsidRPr="00601EEA">
        <w:rPr>
          <w:rStyle w:val="TextoNormalCaracter"/>
        </w:rPr>
        <w:t>-</w:t>
      </w:r>
      <w:r>
        <w:t xml:space="preserve"> Sentencia </w:t>
      </w:r>
      <w:hyperlink w:anchor="SENTENCIA_2024_68" w:history="1">
        <w:r w:rsidRPr="00601EEA">
          <w:rPr>
            <w:rStyle w:val="TextoNormalCaracter"/>
          </w:rPr>
          <w:t>68/2024</w:t>
        </w:r>
      </w:hyperlink>
      <w:r>
        <w:t>, f. 7.</w:t>
      </w:r>
    </w:p>
    <w:p w14:paraId="2804330D" w14:textId="4427301F" w:rsidR="00601EEA" w:rsidRDefault="00601EEA" w:rsidP="00601EEA">
      <w:pPr>
        <w:pStyle w:val="SangriaFrancesaArticulo"/>
      </w:pPr>
    </w:p>
    <w:p w14:paraId="0EA434BC" w14:textId="77777777" w:rsidR="00601EEA" w:rsidRDefault="00601EEA" w:rsidP="00601EEA">
      <w:pPr>
        <w:pStyle w:val="TextoNormalNegritaCursivandice"/>
        <w:keepNext/>
      </w:pPr>
      <w:r>
        <w:t>Comunidad Autónoma de Galicia. Ley 7/2022, de 27 de diciembre, de medidas fiscales y administrativas</w:t>
      </w:r>
    </w:p>
    <w:p w14:paraId="7ABB9D44" w14:textId="1C4217C8" w:rsidR="00601EEA" w:rsidRDefault="00601EEA" w:rsidP="00601EEA">
      <w:pPr>
        <w:pStyle w:val="SangriaFrancesaArticulo"/>
      </w:pPr>
      <w:r w:rsidRPr="00601EEA">
        <w:rPr>
          <w:rStyle w:val="TextoNormalNegritaCaracter"/>
        </w:rPr>
        <w:t>En general.</w:t>
      </w:r>
      <w:r w:rsidRPr="00601EEA">
        <w:rPr>
          <w:rStyle w:val="TextoNormalCaracter"/>
        </w:rPr>
        <w:t>-</w:t>
      </w:r>
      <w:r>
        <w:t xml:space="preserve"> Auto </w:t>
      </w:r>
      <w:hyperlink w:anchor="AUTO_2024_21" w:history="1">
        <w:r w:rsidRPr="00601EEA">
          <w:rPr>
            <w:rStyle w:val="TextoNormalCaracter"/>
          </w:rPr>
          <w:t>21/2024</w:t>
        </w:r>
      </w:hyperlink>
      <w:r>
        <w:t>, f. 3.</w:t>
      </w:r>
    </w:p>
    <w:p w14:paraId="02345BEA" w14:textId="2019DF12" w:rsidR="00601EEA" w:rsidRDefault="00601EEA" w:rsidP="00601EEA">
      <w:pPr>
        <w:pStyle w:val="SangriaFrancesaArticulo"/>
      </w:pPr>
      <w:r w:rsidRPr="00601EEA">
        <w:rPr>
          <w:rStyle w:val="TextoNormalNegritaCaracter"/>
        </w:rPr>
        <w:lastRenderedPageBreak/>
        <w:t>Artículo 10.</w:t>
      </w:r>
      <w:r w:rsidRPr="00601EEA">
        <w:rPr>
          <w:rStyle w:val="TextoNormalCaracter"/>
        </w:rPr>
        <w:t>-</w:t>
      </w:r>
      <w:r>
        <w:t xml:space="preserve"> Sentencias </w:t>
      </w:r>
      <w:hyperlink w:anchor="SENTENCIA_2024_76" w:history="1">
        <w:r w:rsidRPr="00601EEA">
          <w:rPr>
            <w:rStyle w:val="TextoNormalCaracter"/>
          </w:rPr>
          <w:t>76/2024</w:t>
        </w:r>
      </w:hyperlink>
      <w:r>
        <w:t xml:space="preserve">, ff. 1, 2, 4, VP; </w:t>
      </w:r>
      <w:hyperlink w:anchor="SENTENCIA_2024_91" w:history="1">
        <w:r w:rsidRPr="00601EEA">
          <w:rPr>
            <w:rStyle w:val="TextoNormalCaracter"/>
          </w:rPr>
          <w:t>91/2024</w:t>
        </w:r>
      </w:hyperlink>
      <w:r>
        <w:t>, f. 2.</w:t>
      </w:r>
    </w:p>
    <w:p w14:paraId="43542235" w14:textId="4472F5AE" w:rsidR="00601EEA" w:rsidRDefault="00601EEA" w:rsidP="00601EEA">
      <w:pPr>
        <w:pStyle w:val="SangriaIzquierdaArticulo"/>
      </w:pPr>
      <w:r>
        <w:t xml:space="preserve">Auto </w:t>
      </w:r>
      <w:hyperlink w:anchor="AUTO_2024_21" w:history="1">
        <w:r w:rsidRPr="00601EEA">
          <w:rPr>
            <w:rStyle w:val="TextoNormalCaracter"/>
          </w:rPr>
          <w:t>21/2024</w:t>
        </w:r>
      </w:hyperlink>
      <w:r>
        <w:t>, ff. 1, 3.</w:t>
      </w:r>
    </w:p>
    <w:p w14:paraId="5CDAF676" w14:textId="2440DE6F" w:rsidR="00601EEA" w:rsidRDefault="00601EEA" w:rsidP="00601EEA">
      <w:pPr>
        <w:pStyle w:val="SangriaFrancesaArticulo"/>
      </w:pPr>
      <w:r w:rsidRPr="00601EEA">
        <w:rPr>
          <w:rStyle w:val="TextoNormalNegritaCaracter"/>
        </w:rPr>
        <w:t>Artículo 10.1.</w:t>
      </w:r>
      <w:r w:rsidRPr="00601EEA">
        <w:rPr>
          <w:rStyle w:val="TextoNormalCaracter"/>
        </w:rPr>
        <w:t>-</w:t>
      </w:r>
      <w:r>
        <w:t xml:space="preserve"> Sentencia </w:t>
      </w:r>
      <w:hyperlink w:anchor="SENTENCIA_2024_76" w:history="1">
        <w:r w:rsidRPr="00601EEA">
          <w:rPr>
            <w:rStyle w:val="TextoNormalCaracter"/>
          </w:rPr>
          <w:t>76/2024</w:t>
        </w:r>
      </w:hyperlink>
      <w:r>
        <w:t>, f. 2, VP.</w:t>
      </w:r>
    </w:p>
    <w:p w14:paraId="4EC5799C" w14:textId="4DA29F78" w:rsidR="00601EEA" w:rsidRDefault="00601EEA" w:rsidP="00601EEA">
      <w:pPr>
        <w:pStyle w:val="SangriaIzquierdaArticulo"/>
      </w:pPr>
      <w:r>
        <w:t xml:space="preserve">Auto </w:t>
      </w:r>
      <w:hyperlink w:anchor="AUTO_2024_21" w:history="1">
        <w:r w:rsidRPr="00601EEA">
          <w:rPr>
            <w:rStyle w:val="TextoNormalCaracter"/>
          </w:rPr>
          <w:t>21/2024</w:t>
        </w:r>
      </w:hyperlink>
      <w:r>
        <w:t>, f. 1.</w:t>
      </w:r>
    </w:p>
    <w:p w14:paraId="44A3755D" w14:textId="1F57CAC5" w:rsidR="00601EEA" w:rsidRDefault="00601EEA" w:rsidP="00601EEA">
      <w:pPr>
        <w:pStyle w:val="SangriaFrancesaArticulo"/>
      </w:pPr>
      <w:r w:rsidRPr="00601EEA">
        <w:rPr>
          <w:rStyle w:val="TextoNormalNegritaCaracter"/>
        </w:rPr>
        <w:t>Artículo 10.1, párrafo 1.</w:t>
      </w:r>
      <w:r w:rsidRPr="00601EEA">
        <w:rPr>
          <w:rStyle w:val="TextoNormalCaracter"/>
        </w:rPr>
        <w:t>-</w:t>
      </w:r>
      <w:r>
        <w:t xml:space="preserve"> Sentencia </w:t>
      </w:r>
      <w:hyperlink w:anchor="SENTENCIA_2024_76" w:history="1">
        <w:r w:rsidRPr="00601EEA">
          <w:rPr>
            <w:rStyle w:val="TextoNormalCaracter"/>
          </w:rPr>
          <w:t>76/2024</w:t>
        </w:r>
      </w:hyperlink>
      <w:r>
        <w:t>, ff. 2 a 4, 6.</w:t>
      </w:r>
    </w:p>
    <w:p w14:paraId="647517A0" w14:textId="587BBABB" w:rsidR="00601EEA" w:rsidRDefault="00601EEA" w:rsidP="00601EEA">
      <w:pPr>
        <w:pStyle w:val="SangriaIzquierdaArticulo"/>
      </w:pPr>
      <w:r>
        <w:t xml:space="preserve">Auto </w:t>
      </w:r>
      <w:hyperlink w:anchor="AUTO_2024_21" w:history="1">
        <w:r w:rsidRPr="00601EEA">
          <w:rPr>
            <w:rStyle w:val="TextoNormalCaracter"/>
          </w:rPr>
          <w:t>21/2024</w:t>
        </w:r>
      </w:hyperlink>
      <w:r>
        <w:t>, ff. 3, 4.</w:t>
      </w:r>
    </w:p>
    <w:p w14:paraId="668F4D0E" w14:textId="02D05C22" w:rsidR="00601EEA" w:rsidRDefault="00601EEA" w:rsidP="00601EEA">
      <w:pPr>
        <w:pStyle w:val="SangriaFrancesaArticulo"/>
      </w:pPr>
      <w:r w:rsidRPr="00601EEA">
        <w:rPr>
          <w:rStyle w:val="TextoNormalNegritaCaracter"/>
        </w:rPr>
        <w:t>Artículo 10.1, párrafo 2.</w:t>
      </w:r>
      <w:r w:rsidRPr="00601EEA">
        <w:rPr>
          <w:rStyle w:val="TextoNormalCaracter"/>
        </w:rPr>
        <w:t>-</w:t>
      </w:r>
      <w:r>
        <w:t xml:space="preserve"> Sentencia </w:t>
      </w:r>
      <w:hyperlink w:anchor="SENTENCIA_2024_76" w:history="1">
        <w:r w:rsidRPr="00601EEA">
          <w:rPr>
            <w:rStyle w:val="TextoNormalCaracter"/>
          </w:rPr>
          <w:t>76/2024</w:t>
        </w:r>
      </w:hyperlink>
      <w:r>
        <w:t>, ff. 2, 4, 6.</w:t>
      </w:r>
    </w:p>
    <w:p w14:paraId="0DAB359F" w14:textId="0DA652D8" w:rsidR="00601EEA" w:rsidRDefault="00601EEA" w:rsidP="00601EEA">
      <w:pPr>
        <w:pStyle w:val="SangriaFrancesaArticulo"/>
      </w:pPr>
      <w:r w:rsidRPr="00601EEA">
        <w:rPr>
          <w:rStyle w:val="TextoNormalNegritaCaracter"/>
        </w:rPr>
        <w:t>Artículo 10.1, párrafo primero.</w:t>
      </w:r>
      <w:r w:rsidRPr="00601EEA">
        <w:rPr>
          <w:rStyle w:val="TextoNormalCaracter"/>
        </w:rPr>
        <w:t>-</w:t>
      </w:r>
      <w:r>
        <w:t xml:space="preserve"> Sentencia </w:t>
      </w:r>
      <w:hyperlink w:anchor="SENTENCIA_2024_91" w:history="1">
        <w:r w:rsidRPr="00601EEA">
          <w:rPr>
            <w:rStyle w:val="TextoNormalCaracter"/>
          </w:rPr>
          <w:t>91/2024</w:t>
        </w:r>
      </w:hyperlink>
      <w:r>
        <w:t>, ff. 1, 2.</w:t>
      </w:r>
    </w:p>
    <w:p w14:paraId="7B2B36E6" w14:textId="569C8E9B" w:rsidR="00601EEA" w:rsidRDefault="00601EEA" w:rsidP="00601EEA">
      <w:pPr>
        <w:pStyle w:val="SangriaFrancesaArticulo"/>
      </w:pPr>
      <w:r w:rsidRPr="00601EEA">
        <w:rPr>
          <w:rStyle w:val="TextoNormalNegritaCaracter"/>
        </w:rPr>
        <w:t>Artículo 10.2.</w:t>
      </w:r>
      <w:r w:rsidRPr="00601EEA">
        <w:rPr>
          <w:rStyle w:val="TextoNormalCaracter"/>
        </w:rPr>
        <w:t>-</w:t>
      </w:r>
      <w:r>
        <w:t xml:space="preserve"> Sentencias </w:t>
      </w:r>
      <w:hyperlink w:anchor="SENTENCIA_2024_76" w:history="1">
        <w:r w:rsidRPr="00601EEA">
          <w:rPr>
            <w:rStyle w:val="TextoNormalCaracter"/>
          </w:rPr>
          <w:t>76/2024</w:t>
        </w:r>
      </w:hyperlink>
      <w:r>
        <w:t xml:space="preserve">, ff. 2, 4, 6, VP; </w:t>
      </w:r>
      <w:hyperlink w:anchor="SENTENCIA_2024_91" w:history="1">
        <w:r w:rsidRPr="00601EEA">
          <w:rPr>
            <w:rStyle w:val="TextoNormalCaracter"/>
          </w:rPr>
          <w:t>91/2024</w:t>
        </w:r>
      </w:hyperlink>
      <w:r>
        <w:t>, f. 2.</w:t>
      </w:r>
    </w:p>
    <w:p w14:paraId="2925D29A" w14:textId="4011775A" w:rsidR="00601EEA" w:rsidRDefault="00601EEA" w:rsidP="00601EEA">
      <w:pPr>
        <w:pStyle w:val="SangriaIzquierdaArticulo"/>
      </w:pPr>
      <w:r>
        <w:t xml:space="preserve">Auto </w:t>
      </w:r>
      <w:hyperlink w:anchor="AUTO_2024_21" w:history="1">
        <w:r w:rsidRPr="00601EEA">
          <w:rPr>
            <w:rStyle w:val="TextoNormalCaracter"/>
          </w:rPr>
          <w:t>21/2024</w:t>
        </w:r>
      </w:hyperlink>
      <w:r>
        <w:t>, f. 1.</w:t>
      </w:r>
    </w:p>
    <w:p w14:paraId="2B68201B" w14:textId="126E36A6" w:rsidR="00601EEA" w:rsidRDefault="00601EEA" w:rsidP="00601EEA">
      <w:pPr>
        <w:pStyle w:val="SangriaFrancesaArticulo"/>
      </w:pPr>
      <w:r w:rsidRPr="00601EEA">
        <w:rPr>
          <w:rStyle w:val="TextoNormalNegritaCaracter"/>
        </w:rPr>
        <w:t>Artículo 10.3.</w:t>
      </w:r>
      <w:r w:rsidRPr="00601EEA">
        <w:rPr>
          <w:rStyle w:val="TextoNormalCaracter"/>
        </w:rPr>
        <w:t>-</w:t>
      </w:r>
      <w:r>
        <w:t xml:space="preserve"> Sentencias </w:t>
      </w:r>
      <w:hyperlink w:anchor="SENTENCIA_2024_76" w:history="1">
        <w:r w:rsidRPr="00601EEA">
          <w:rPr>
            <w:rStyle w:val="TextoNormalCaracter"/>
          </w:rPr>
          <w:t>76/2024</w:t>
        </w:r>
      </w:hyperlink>
      <w:r>
        <w:t xml:space="preserve">, ff. 2, 4, 6; </w:t>
      </w:r>
      <w:hyperlink w:anchor="SENTENCIA_2024_91" w:history="1">
        <w:r w:rsidRPr="00601EEA">
          <w:rPr>
            <w:rStyle w:val="TextoNormalCaracter"/>
          </w:rPr>
          <w:t>91/2024</w:t>
        </w:r>
      </w:hyperlink>
      <w:r>
        <w:t>, f. 2.</w:t>
      </w:r>
    </w:p>
    <w:p w14:paraId="650B2122" w14:textId="1F5AA9DF" w:rsidR="00601EEA" w:rsidRDefault="00601EEA" w:rsidP="00601EEA">
      <w:pPr>
        <w:pStyle w:val="SangriaFrancesaArticulo"/>
      </w:pPr>
      <w:r w:rsidRPr="00601EEA">
        <w:rPr>
          <w:rStyle w:val="TextoNormalNegritaCaracter"/>
        </w:rPr>
        <w:t>Artículo 11.</w:t>
      </w:r>
      <w:r w:rsidRPr="00601EEA">
        <w:rPr>
          <w:rStyle w:val="TextoNormalCaracter"/>
        </w:rPr>
        <w:t>-</w:t>
      </w:r>
      <w:r>
        <w:t xml:space="preserve"> Sentencias </w:t>
      </w:r>
      <w:hyperlink w:anchor="SENTENCIA_2024_76" w:history="1">
        <w:r w:rsidRPr="00601EEA">
          <w:rPr>
            <w:rStyle w:val="TextoNormalCaracter"/>
          </w:rPr>
          <w:t>76/2024</w:t>
        </w:r>
      </w:hyperlink>
      <w:r>
        <w:t xml:space="preserve">, ff. 1 a 3, 5, 6, VP; </w:t>
      </w:r>
      <w:hyperlink w:anchor="SENTENCIA_2024_91" w:history="1">
        <w:r w:rsidRPr="00601EEA">
          <w:rPr>
            <w:rStyle w:val="TextoNormalCaracter"/>
          </w:rPr>
          <w:t>91/2024</w:t>
        </w:r>
      </w:hyperlink>
      <w:r>
        <w:t>, f. 2.</w:t>
      </w:r>
    </w:p>
    <w:p w14:paraId="5539A0E0" w14:textId="39A6DDF0" w:rsidR="00601EEA" w:rsidRDefault="00601EEA" w:rsidP="00601EEA">
      <w:pPr>
        <w:pStyle w:val="SangriaIzquierdaArticulo"/>
      </w:pPr>
      <w:r>
        <w:t xml:space="preserve">Auto </w:t>
      </w:r>
      <w:hyperlink w:anchor="AUTO_2024_21" w:history="1">
        <w:r w:rsidRPr="00601EEA">
          <w:rPr>
            <w:rStyle w:val="TextoNormalCaracter"/>
          </w:rPr>
          <w:t>21/2024</w:t>
        </w:r>
      </w:hyperlink>
      <w:r>
        <w:t>, ff. 1, 3.</w:t>
      </w:r>
    </w:p>
    <w:p w14:paraId="0E275FD7" w14:textId="482488F2" w:rsidR="00601EEA" w:rsidRDefault="00601EEA" w:rsidP="00601EEA">
      <w:pPr>
        <w:pStyle w:val="SangriaFrancesaArticulo"/>
      </w:pPr>
      <w:r w:rsidRPr="00601EEA">
        <w:rPr>
          <w:rStyle w:val="TextoNormalNegritaCaracter"/>
        </w:rPr>
        <w:t>Artículo 11, inciso final.</w:t>
      </w:r>
      <w:r w:rsidRPr="00601EEA">
        <w:rPr>
          <w:rStyle w:val="TextoNormalCaracter"/>
        </w:rPr>
        <w:t>-</w:t>
      </w:r>
      <w:r>
        <w:t xml:space="preserve"> Sentencia </w:t>
      </w:r>
      <w:hyperlink w:anchor="SENTENCIA_2024_76" w:history="1">
        <w:r w:rsidRPr="00601EEA">
          <w:rPr>
            <w:rStyle w:val="TextoNormalCaracter"/>
          </w:rPr>
          <w:t>76/2024</w:t>
        </w:r>
      </w:hyperlink>
      <w:r>
        <w:t>, f. 2.</w:t>
      </w:r>
    </w:p>
    <w:p w14:paraId="3C7F55D4" w14:textId="5663C649" w:rsidR="00601EEA" w:rsidRDefault="00601EEA" w:rsidP="00601EEA">
      <w:pPr>
        <w:pStyle w:val="SangriaFrancesaArticulo"/>
      </w:pPr>
      <w:r w:rsidRPr="00601EEA">
        <w:rPr>
          <w:rStyle w:val="TextoNormalNegritaCaracter"/>
        </w:rPr>
        <w:t>Artículo 11.1.</w:t>
      </w:r>
      <w:r w:rsidRPr="00601EEA">
        <w:rPr>
          <w:rStyle w:val="TextoNormalCaracter"/>
        </w:rPr>
        <w:t>-</w:t>
      </w:r>
      <w:r>
        <w:t xml:space="preserve"> Sentencia </w:t>
      </w:r>
      <w:hyperlink w:anchor="SENTENCIA_2024_76" w:history="1">
        <w:r w:rsidRPr="00601EEA">
          <w:rPr>
            <w:rStyle w:val="TextoNormalCaracter"/>
          </w:rPr>
          <w:t>76/2024</w:t>
        </w:r>
      </w:hyperlink>
      <w:r>
        <w:t>, VP.</w:t>
      </w:r>
    </w:p>
    <w:p w14:paraId="3B1590B5" w14:textId="4B69AD1C" w:rsidR="00601EEA" w:rsidRDefault="00601EEA" w:rsidP="00601EEA">
      <w:pPr>
        <w:pStyle w:val="SangriaFrancesaArticulo"/>
      </w:pPr>
      <w:r w:rsidRPr="00601EEA">
        <w:rPr>
          <w:rStyle w:val="TextoNormalNegritaCaracter"/>
        </w:rPr>
        <w:t>Disposición transitoria primera.</w:t>
      </w:r>
      <w:r w:rsidRPr="00601EEA">
        <w:rPr>
          <w:rStyle w:val="TextoNormalCaracter"/>
        </w:rPr>
        <w:t>-</w:t>
      </w:r>
      <w:r>
        <w:t xml:space="preserve"> Sentencias </w:t>
      </w:r>
      <w:hyperlink w:anchor="SENTENCIA_2024_76" w:history="1">
        <w:r w:rsidRPr="00601EEA">
          <w:rPr>
            <w:rStyle w:val="TextoNormalCaracter"/>
          </w:rPr>
          <w:t>76/2024</w:t>
        </w:r>
      </w:hyperlink>
      <w:r>
        <w:t xml:space="preserve">, ff. 1, 6, VP; </w:t>
      </w:r>
      <w:hyperlink w:anchor="SENTENCIA_2024_91" w:history="1">
        <w:r w:rsidRPr="00601EEA">
          <w:rPr>
            <w:rStyle w:val="TextoNormalCaracter"/>
          </w:rPr>
          <w:t>91/2024</w:t>
        </w:r>
      </w:hyperlink>
      <w:r>
        <w:t>, ff. 1, 2.</w:t>
      </w:r>
    </w:p>
    <w:p w14:paraId="62AE03C1" w14:textId="7431C197" w:rsidR="00601EEA" w:rsidRDefault="00601EEA" w:rsidP="00601EEA">
      <w:pPr>
        <w:pStyle w:val="SangriaIzquierdaArticulo"/>
      </w:pPr>
      <w:r>
        <w:t xml:space="preserve">Auto </w:t>
      </w:r>
      <w:hyperlink w:anchor="AUTO_2024_21" w:history="1">
        <w:r w:rsidRPr="00601EEA">
          <w:rPr>
            <w:rStyle w:val="TextoNormalCaracter"/>
          </w:rPr>
          <w:t>21/2024</w:t>
        </w:r>
      </w:hyperlink>
      <w:r>
        <w:t>, f. 1.</w:t>
      </w:r>
    </w:p>
    <w:p w14:paraId="6DF31A32" w14:textId="7EB0270F" w:rsidR="00601EEA" w:rsidRDefault="00601EEA" w:rsidP="00601EEA">
      <w:pPr>
        <w:pStyle w:val="SangriaFrancesaArticulo"/>
      </w:pPr>
      <w:r w:rsidRPr="00601EEA">
        <w:rPr>
          <w:rStyle w:val="TextoNormalNegritaCaracter"/>
        </w:rPr>
        <w:t>Disposición transitoria primera, apartado 1.</w:t>
      </w:r>
      <w:r w:rsidRPr="00601EEA">
        <w:rPr>
          <w:rStyle w:val="TextoNormalCaracter"/>
        </w:rPr>
        <w:t>-</w:t>
      </w:r>
      <w:r>
        <w:t xml:space="preserve"> Sentencia </w:t>
      </w:r>
      <w:hyperlink w:anchor="SENTENCIA_2024_76" w:history="1">
        <w:r w:rsidRPr="00601EEA">
          <w:rPr>
            <w:rStyle w:val="TextoNormalCaracter"/>
          </w:rPr>
          <w:t>76/2024</w:t>
        </w:r>
      </w:hyperlink>
      <w:r>
        <w:t>, ff. 1, 2, 4, VP.</w:t>
      </w:r>
    </w:p>
    <w:p w14:paraId="35CFB44D" w14:textId="467125FA" w:rsidR="00601EEA" w:rsidRDefault="00601EEA" w:rsidP="00601EEA">
      <w:pPr>
        <w:pStyle w:val="SangriaIzquierdaArticulo"/>
      </w:pPr>
      <w:r>
        <w:t xml:space="preserve">Auto </w:t>
      </w:r>
      <w:hyperlink w:anchor="AUTO_2024_21" w:history="1">
        <w:r w:rsidRPr="00601EEA">
          <w:rPr>
            <w:rStyle w:val="TextoNormalCaracter"/>
          </w:rPr>
          <w:t>21/2024</w:t>
        </w:r>
      </w:hyperlink>
      <w:r>
        <w:t>, ff. 1, 3, 4.</w:t>
      </w:r>
    </w:p>
    <w:p w14:paraId="5D430E8E" w14:textId="5889CB88" w:rsidR="00601EEA" w:rsidRDefault="00601EEA" w:rsidP="00601EEA">
      <w:pPr>
        <w:pStyle w:val="SangriaFrancesaArticulo"/>
      </w:pPr>
      <w:r w:rsidRPr="00601EEA">
        <w:rPr>
          <w:rStyle w:val="TextoNormalNegritaCaracter"/>
        </w:rPr>
        <w:t>Disposición transitoria primera, apartado 2.</w:t>
      </w:r>
      <w:r w:rsidRPr="00601EEA">
        <w:rPr>
          <w:rStyle w:val="TextoNormalCaracter"/>
        </w:rPr>
        <w:t>-</w:t>
      </w:r>
      <w:r>
        <w:t xml:space="preserve"> Sentencia </w:t>
      </w:r>
      <w:hyperlink w:anchor="SENTENCIA_2024_76" w:history="1">
        <w:r w:rsidRPr="00601EEA">
          <w:rPr>
            <w:rStyle w:val="TextoNormalCaracter"/>
          </w:rPr>
          <w:t>76/2024</w:t>
        </w:r>
      </w:hyperlink>
      <w:r>
        <w:t>, ff. 1, 2, 5, VP.</w:t>
      </w:r>
    </w:p>
    <w:p w14:paraId="401A4770" w14:textId="255B8239" w:rsidR="00601EEA" w:rsidRDefault="00601EEA" w:rsidP="00601EEA">
      <w:pPr>
        <w:pStyle w:val="SangriaIzquierdaArticulo"/>
      </w:pPr>
      <w:r>
        <w:t xml:space="preserve">Auto </w:t>
      </w:r>
      <w:hyperlink w:anchor="AUTO_2024_21" w:history="1">
        <w:r w:rsidRPr="00601EEA">
          <w:rPr>
            <w:rStyle w:val="TextoNormalCaracter"/>
          </w:rPr>
          <w:t>21/2024</w:t>
        </w:r>
      </w:hyperlink>
      <w:r>
        <w:t>, ff. 1, 3.</w:t>
      </w:r>
    </w:p>
    <w:p w14:paraId="1902B42C" w14:textId="17C6C903" w:rsidR="00601EEA" w:rsidRDefault="00601EEA" w:rsidP="00601EEA">
      <w:pPr>
        <w:pStyle w:val="SangriaIzquierdaArticulo"/>
      </w:pPr>
    </w:p>
    <w:p w14:paraId="1DC44200" w14:textId="77777777" w:rsidR="00601EEA" w:rsidRDefault="00601EEA" w:rsidP="00601EEA">
      <w:pPr>
        <w:pStyle w:val="TextoNormalNegritaCursivandice"/>
        <w:keepNext/>
      </w:pPr>
      <w:r>
        <w:t>Comunidad Autónoma de Galicia. Ley 4/2023, de 6 de julio, de ordenación y gestión integrada del litoral de Galicia</w:t>
      </w:r>
    </w:p>
    <w:p w14:paraId="7B73371C" w14:textId="528541AA" w:rsidR="00601EEA" w:rsidRDefault="00601EEA" w:rsidP="00601EEA">
      <w:pPr>
        <w:pStyle w:val="SangriaFrancesaArticulo"/>
        <w:keepNext/>
      </w:pPr>
      <w:r w:rsidRPr="00601EEA">
        <w:rPr>
          <w:rStyle w:val="TextoNormalNegritaCaracter"/>
        </w:rPr>
        <w:t>En general.</w:t>
      </w:r>
      <w:r w:rsidRPr="00601EEA">
        <w:rPr>
          <w:rStyle w:val="TextoNormalCaracter"/>
        </w:rPr>
        <w:t>-</w:t>
      </w:r>
      <w:r>
        <w:t xml:space="preserve"> Sentencia </w:t>
      </w:r>
      <w:hyperlink w:anchor="SENTENCIA_2024_68" w:history="1">
        <w:r w:rsidRPr="00601EEA">
          <w:rPr>
            <w:rStyle w:val="TextoNormalCaracter"/>
          </w:rPr>
          <w:t>68/2024</w:t>
        </w:r>
      </w:hyperlink>
      <w:r>
        <w:t>, ff. 1 a 11, VP I.</w:t>
      </w:r>
    </w:p>
    <w:p w14:paraId="08022E8A" w14:textId="18541669" w:rsidR="00601EEA" w:rsidRDefault="00601EEA" w:rsidP="00601EEA">
      <w:pPr>
        <w:pStyle w:val="SangriaIzquierdaArticulo"/>
      </w:pPr>
      <w:r>
        <w:t xml:space="preserve">Auto </w:t>
      </w:r>
      <w:hyperlink w:anchor="AUTO_2024_22" w:history="1">
        <w:r w:rsidRPr="00601EEA">
          <w:rPr>
            <w:rStyle w:val="TextoNormalCaracter"/>
          </w:rPr>
          <w:t>22/2024</w:t>
        </w:r>
      </w:hyperlink>
      <w:r>
        <w:t>, ff. 1, 3, 4.</w:t>
      </w:r>
    </w:p>
    <w:p w14:paraId="78485E86" w14:textId="038845E9" w:rsidR="00601EEA" w:rsidRDefault="00601EEA" w:rsidP="00601EEA">
      <w:pPr>
        <w:pStyle w:val="SangriaFrancesaArticulo"/>
      </w:pPr>
      <w:r w:rsidRPr="00601EEA">
        <w:rPr>
          <w:rStyle w:val="TextoNormalNegritaCaracter"/>
        </w:rPr>
        <w:t>Título preliminar.</w:t>
      </w:r>
      <w:r w:rsidRPr="00601EEA">
        <w:rPr>
          <w:rStyle w:val="TextoNormalCaracter"/>
        </w:rPr>
        <w:t>-</w:t>
      </w:r>
      <w:r>
        <w:t xml:space="preserve"> Sentencia </w:t>
      </w:r>
      <w:hyperlink w:anchor="SENTENCIA_2024_68" w:history="1">
        <w:r w:rsidRPr="00601EEA">
          <w:rPr>
            <w:rStyle w:val="TextoNormalCaracter"/>
          </w:rPr>
          <w:t>68/2024</w:t>
        </w:r>
      </w:hyperlink>
      <w:r>
        <w:t>, f. 6.</w:t>
      </w:r>
    </w:p>
    <w:p w14:paraId="1EE186DC" w14:textId="18AF6648" w:rsidR="00601EEA" w:rsidRDefault="00601EEA" w:rsidP="00601EEA">
      <w:pPr>
        <w:pStyle w:val="SangriaFrancesaArticulo"/>
      </w:pPr>
      <w:r w:rsidRPr="00601EEA">
        <w:rPr>
          <w:rStyle w:val="TextoNormalNegritaCaracter"/>
        </w:rPr>
        <w:t>Título II.</w:t>
      </w:r>
      <w:r w:rsidRPr="00601EEA">
        <w:rPr>
          <w:rStyle w:val="TextoNormalCaracter"/>
        </w:rPr>
        <w:t>-</w:t>
      </w:r>
      <w:r>
        <w:t xml:space="preserve"> Sentencia </w:t>
      </w:r>
      <w:hyperlink w:anchor="SENTENCIA_2024_68" w:history="1">
        <w:r w:rsidRPr="00601EEA">
          <w:rPr>
            <w:rStyle w:val="TextoNormalCaracter"/>
          </w:rPr>
          <w:t>68/2024</w:t>
        </w:r>
      </w:hyperlink>
      <w:r>
        <w:t>, f. 7.</w:t>
      </w:r>
    </w:p>
    <w:p w14:paraId="72E3E669" w14:textId="22CFD6E2" w:rsidR="00601EEA" w:rsidRDefault="00601EEA" w:rsidP="00601EEA">
      <w:pPr>
        <w:pStyle w:val="SangriaFrancesaArticulo"/>
      </w:pPr>
      <w:r w:rsidRPr="00601EEA">
        <w:rPr>
          <w:rStyle w:val="TextoNormalNegritaCaracter"/>
        </w:rPr>
        <w:t>Título III.</w:t>
      </w:r>
      <w:r w:rsidRPr="00601EEA">
        <w:rPr>
          <w:rStyle w:val="TextoNormalCaracter"/>
        </w:rPr>
        <w:t>-</w:t>
      </w:r>
      <w:r>
        <w:t xml:space="preserve"> Sentencia </w:t>
      </w:r>
      <w:hyperlink w:anchor="SENTENCIA_2024_68" w:history="1">
        <w:r w:rsidRPr="00601EEA">
          <w:rPr>
            <w:rStyle w:val="TextoNormalCaracter"/>
          </w:rPr>
          <w:t>68/2024</w:t>
        </w:r>
      </w:hyperlink>
      <w:r>
        <w:t>, ff. 6 a 8.</w:t>
      </w:r>
    </w:p>
    <w:p w14:paraId="1684AB22" w14:textId="1FF291E3" w:rsidR="00601EEA" w:rsidRDefault="00601EEA" w:rsidP="00601EEA">
      <w:pPr>
        <w:pStyle w:val="SangriaFrancesaArticulo"/>
      </w:pPr>
      <w:r w:rsidRPr="00601EEA">
        <w:rPr>
          <w:rStyle w:val="TextoNormalNegritaCaracter"/>
        </w:rPr>
        <w:t>Título IV.</w:t>
      </w:r>
      <w:r w:rsidRPr="00601EEA">
        <w:rPr>
          <w:rStyle w:val="TextoNormalCaracter"/>
        </w:rPr>
        <w:t>-</w:t>
      </w:r>
      <w:r>
        <w:t xml:space="preserve"> Sentencia </w:t>
      </w:r>
      <w:hyperlink w:anchor="SENTENCIA_2024_68" w:history="1">
        <w:r w:rsidRPr="00601EEA">
          <w:rPr>
            <w:rStyle w:val="TextoNormalCaracter"/>
          </w:rPr>
          <w:t>68/2024</w:t>
        </w:r>
      </w:hyperlink>
      <w:r>
        <w:t>, f. 8.</w:t>
      </w:r>
    </w:p>
    <w:p w14:paraId="136DB438" w14:textId="3B54B2EF" w:rsidR="00601EEA" w:rsidRDefault="00601EEA" w:rsidP="00601EEA">
      <w:pPr>
        <w:pStyle w:val="SangriaFrancesaArticulo"/>
      </w:pPr>
      <w:r w:rsidRPr="00601EEA">
        <w:rPr>
          <w:rStyle w:val="TextoNormalNegritaCaracter"/>
        </w:rPr>
        <w:t>Título VI.</w:t>
      </w:r>
      <w:r w:rsidRPr="00601EEA">
        <w:rPr>
          <w:rStyle w:val="TextoNormalCaracter"/>
        </w:rPr>
        <w:t>-</w:t>
      </w:r>
      <w:r>
        <w:t xml:space="preserve"> Sentencia </w:t>
      </w:r>
      <w:hyperlink w:anchor="SENTENCIA_2024_68" w:history="1">
        <w:r w:rsidRPr="00601EEA">
          <w:rPr>
            <w:rStyle w:val="TextoNormalCaracter"/>
          </w:rPr>
          <w:t>68/2024</w:t>
        </w:r>
      </w:hyperlink>
      <w:r>
        <w:t>, f. 7.</w:t>
      </w:r>
    </w:p>
    <w:p w14:paraId="44C9F2E7" w14:textId="6529061E" w:rsidR="00601EEA" w:rsidRDefault="00601EEA" w:rsidP="00601EEA">
      <w:pPr>
        <w:pStyle w:val="SangriaFrancesaArticulo"/>
      </w:pPr>
      <w:r w:rsidRPr="00601EEA">
        <w:rPr>
          <w:rStyle w:val="TextoNormalNegritaCaracter"/>
        </w:rPr>
        <w:t>Capítulo I.</w:t>
      </w:r>
      <w:r w:rsidRPr="00601EEA">
        <w:rPr>
          <w:rStyle w:val="TextoNormalCaracter"/>
        </w:rPr>
        <w:t>-</w:t>
      </w:r>
      <w:r>
        <w:t xml:space="preserve"> Sentencia </w:t>
      </w:r>
      <w:hyperlink w:anchor="SENTENCIA_2024_68" w:history="1">
        <w:r w:rsidRPr="00601EEA">
          <w:rPr>
            <w:rStyle w:val="TextoNormalCaracter"/>
          </w:rPr>
          <w:t>68/2024</w:t>
        </w:r>
      </w:hyperlink>
      <w:r>
        <w:t>, ff. 6 a 8.</w:t>
      </w:r>
    </w:p>
    <w:p w14:paraId="0248902C" w14:textId="394E3BD6" w:rsidR="00601EEA" w:rsidRDefault="00601EEA" w:rsidP="00601EEA">
      <w:pPr>
        <w:pStyle w:val="SangriaFrancesaArticulo"/>
      </w:pPr>
      <w:r w:rsidRPr="00601EEA">
        <w:rPr>
          <w:rStyle w:val="TextoNormalNegritaCaracter"/>
        </w:rPr>
        <w:t>Capítulo II.</w:t>
      </w:r>
      <w:r w:rsidRPr="00601EEA">
        <w:rPr>
          <w:rStyle w:val="TextoNormalCaracter"/>
        </w:rPr>
        <w:t>-</w:t>
      </w:r>
      <w:r>
        <w:t xml:space="preserve"> Sentencia </w:t>
      </w:r>
      <w:hyperlink w:anchor="SENTENCIA_2024_68" w:history="1">
        <w:r w:rsidRPr="00601EEA">
          <w:rPr>
            <w:rStyle w:val="TextoNormalCaracter"/>
          </w:rPr>
          <w:t>68/2024</w:t>
        </w:r>
      </w:hyperlink>
      <w:r>
        <w:t>, ff. 6 a 8.</w:t>
      </w:r>
    </w:p>
    <w:p w14:paraId="066734C1" w14:textId="0ADE2ED0" w:rsidR="00601EEA" w:rsidRDefault="00601EEA" w:rsidP="00601EEA">
      <w:pPr>
        <w:pStyle w:val="SangriaFrancesaArticulo"/>
      </w:pPr>
      <w:r w:rsidRPr="00601EEA">
        <w:rPr>
          <w:rStyle w:val="TextoNormalNegritaCaracter"/>
        </w:rPr>
        <w:t>Capítulo III.</w:t>
      </w:r>
      <w:r w:rsidRPr="00601EEA">
        <w:rPr>
          <w:rStyle w:val="TextoNormalCaracter"/>
        </w:rPr>
        <w:t>-</w:t>
      </w:r>
      <w:r>
        <w:t xml:space="preserve"> Sentencia </w:t>
      </w:r>
      <w:hyperlink w:anchor="SENTENCIA_2024_68" w:history="1">
        <w:r w:rsidRPr="00601EEA">
          <w:rPr>
            <w:rStyle w:val="TextoNormalCaracter"/>
          </w:rPr>
          <w:t>68/2024</w:t>
        </w:r>
      </w:hyperlink>
      <w:r>
        <w:t>, ff. 6 a 8.</w:t>
      </w:r>
    </w:p>
    <w:p w14:paraId="218C7740" w14:textId="18876A02" w:rsidR="00601EEA" w:rsidRDefault="00601EEA" w:rsidP="00601EEA">
      <w:pPr>
        <w:pStyle w:val="SangriaFrancesaArticulo"/>
      </w:pPr>
      <w:r w:rsidRPr="00601EEA">
        <w:rPr>
          <w:rStyle w:val="TextoNormalNegritaCaracter"/>
        </w:rPr>
        <w:t>Capítulo IV.</w:t>
      </w:r>
      <w:r w:rsidRPr="00601EEA">
        <w:rPr>
          <w:rStyle w:val="TextoNormalCaracter"/>
        </w:rPr>
        <w:t>-</w:t>
      </w:r>
      <w:r>
        <w:t xml:space="preserve"> Sentencia </w:t>
      </w:r>
      <w:hyperlink w:anchor="SENTENCIA_2024_68" w:history="1">
        <w:r w:rsidRPr="00601EEA">
          <w:rPr>
            <w:rStyle w:val="TextoNormalCaracter"/>
          </w:rPr>
          <w:t>68/2024</w:t>
        </w:r>
      </w:hyperlink>
      <w:r>
        <w:t>, f. 6.</w:t>
      </w:r>
    </w:p>
    <w:p w14:paraId="4843E4FE" w14:textId="54E1F47B" w:rsidR="00601EEA" w:rsidRDefault="00601EEA" w:rsidP="00601EEA">
      <w:pPr>
        <w:pStyle w:val="SangriaFrancesaArticulo"/>
      </w:pPr>
      <w:r w:rsidRPr="00601EEA">
        <w:rPr>
          <w:rStyle w:val="TextoNormalNegritaCaracter"/>
        </w:rPr>
        <w:t>Capítulo V.</w:t>
      </w:r>
      <w:r w:rsidRPr="00601EEA">
        <w:rPr>
          <w:rStyle w:val="TextoNormalCaracter"/>
        </w:rPr>
        <w:t>-</w:t>
      </w:r>
      <w:r>
        <w:t xml:space="preserve"> Sentencia </w:t>
      </w:r>
      <w:hyperlink w:anchor="SENTENCIA_2024_68" w:history="1">
        <w:r w:rsidRPr="00601EEA">
          <w:rPr>
            <w:rStyle w:val="TextoNormalCaracter"/>
          </w:rPr>
          <w:t>68/2024</w:t>
        </w:r>
      </w:hyperlink>
      <w:r>
        <w:t>, ff. 6 a 8.</w:t>
      </w:r>
    </w:p>
    <w:p w14:paraId="0DD37169" w14:textId="4C6571E0" w:rsidR="00601EEA" w:rsidRDefault="00601EEA" w:rsidP="00601EEA">
      <w:pPr>
        <w:pStyle w:val="SangriaFrancesaArticulo"/>
      </w:pPr>
      <w:r w:rsidRPr="00601EEA">
        <w:rPr>
          <w:rStyle w:val="TextoNormalNegritaCaracter"/>
        </w:rPr>
        <w:t>Exposición de motivos, apartado cuarto.</w:t>
      </w:r>
      <w:r w:rsidRPr="00601EEA">
        <w:rPr>
          <w:rStyle w:val="TextoNormalCaracter"/>
        </w:rPr>
        <w:t>-</w:t>
      </w:r>
      <w:r>
        <w:t xml:space="preserve"> Sentencia </w:t>
      </w:r>
      <w:hyperlink w:anchor="SENTENCIA_2024_68" w:history="1">
        <w:r w:rsidRPr="00601EEA">
          <w:rPr>
            <w:rStyle w:val="TextoNormalCaracter"/>
          </w:rPr>
          <w:t>68/2024</w:t>
        </w:r>
      </w:hyperlink>
      <w:r>
        <w:t>, f. 6.</w:t>
      </w:r>
    </w:p>
    <w:p w14:paraId="732D6CDB" w14:textId="3FF5B1D0" w:rsidR="00601EEA" w:rsidRDefault="00601EEA" w:rsidP="00601EEA">
      <w:pPr>
        <w:pStyle w:val="SangriaFrancesaArticulo"/>
      </w:pPr>
      <w:r w:rsidRPr="00601EEA">
        <w:rPr>
          <w:rStyle w:val="TextoNormalNegritaCaracter"/>
        </w:rPr>
        <w:t>Exposición de motivos, apartado segundo.</w:t>
      </w:r>
      <w:r w:rsidRPr="00601EEA">
        <w:rPr>
          <w:rStyle w:val="TextoNormalCaracter"/>
        </w:rPr>
        <w:t>-</w:t>
      </w:r>
      <w:r>
        <w:t xml:space="preserve"> Sentencia </w:t>
      </w:r>
      <w:hyperlink w:anchor="SENTENCIA_2024_68" w:history="1">
        <w:r w:rsidRPr="00601EEA">
          <w:rPr>
            <w:rStyle w:val="TextoNormalCaracter"/>
          </w:rPr>
          <w:t>68/2024</w:t>
        </w:r>
      </w:hyperlink>
      <w:r>
        <w:t>, f. 6.</w:t>
      </w:r>
    </w:p>
    <w:p w14:paraId="03B6C381" w14:textId="65D6629E" w:rsidR="00601EEA" w:rsidRDefault="00601EEA" w:rsidP="00601EEA">
      <w:pPr>
        <w:pStyle w:val="SangriaFrancesaArticulo"/>
      </w:pPr>
      <w:r w:rsidRPr="00601EEA">
        <w:rPr>
          <w:rStyle w:val="TextoNormalNegritaCaracter"/>
        </w:rPr>
        <w:t>Artículo 1.</w:t>
      </w:r>
      <w:r w:rsidRPr="00601EEA">
        <w:rPr>
          <w:rStyle w:val="TextoNormalCaracter"/>
        </w:rPr>
        <w:t>-</w:t>
      </w:r>
      <w:r>
        <w:t xml:space="preserve"> Sentencia </w:t>
      </w:r>
      <w:hyperlink w:anchor="SENTENCIA_2024_68" w:history="1">
        <w:r w:rsidRPr="00601EEA">
          <w:rPr>
            <w:rStyle w:val="TextoNormalCaracter"/>
          </w:rPr>
          <w:t>68/2024</w:t>
        </w:r>
      </w:hyperlink>
      <w:r>
        <w:t>, ff. 7, 10.</w:t>
      </w:r>
    </w:p>
    <w:p w14:paraId="4A1D36BB" w14:textId="71A4AC7A" w:rsidR="00601EEA" w:rsidRDefault="00601EEA" w:rsidP="00601EEA">
      <w:pPr>
        <w:pStyle w:val="SangriaFrancesaArticulo"/>
      </w:pPr>
      <w:r w:rsidRPr="00601EEA">
        <w:rPr>
          <w:rStyle w:val="TextoNormalNegritaCaracter"/>
        </w:rPr>
        <w:t>Artículo 1.1.</w:t>
      </w:r>
      <w:r w:rsidRPr="00601EEA">
        <w:rPr>
          <w:rStyle w:val="TextoNormalCaracter"/>
        </w:rPr>
        <w:t>-</w:t>
      </w:r>
      <w:r>
        <w:t xml:space="preserve"> Sentencia </w:t>
      </w:r>
      <w:hyperlink w:anchor="SENTENCIA_2024_68" w:history="1">
        <w:r w:rsidRPr="00601EEA">
          <w:rPr>
            <w:rStyle w:val="TextoNormalCaracter"/>
          </w:rPr>
          <w:t>68/2024</w:t>
        </w:r>
      </w:hyperlink>
      <w:r>
        <w:t>, ff. 6 a 8, 10.</w:t>
      </w:r>
    </w:p>
    <w:p w14:paraId="1B48D96B" w14:textId="55887B4C" w:rsidR="00601EEA" w:rsidRDefault="00601EEA" w:rsidP="00601EEA">
      <w:pPr>
        <w:pStyle w:val="SangriaFrancesaArticulo"/>
      </w:pPr>
      <w:r w:rsidRPr="00601EEA">
        <w:rPr>
          <w:rStyle w:val="TextoNormalNegritaCaracter"/>
        </w:rPr>
        <w:t>Artículo 1.2.</w:t>
      </w:r>
      <w:r w:rsidRPr="00601EEA">
        <w:rPr>
          <w:rStyle w:val="TextoNormalCaracter"/>
        </w:rPr>
        <w:t>-</w:t>
      </w:r>
      <w:r>
        <w:t xml:space="preserve"> Sentencia </w:t>
      </w:r>
      <w:hyperlink w:anchor="SENTENCIA_2024_68" w:history="1">
        <w:r w:rsidRPr="00601EEA">
          <w:rPr>
            <w:rStyle w:val="TextoNormalCaracter"/>
          </w:rPr>
          <w:t>68/2024</w:t>
        </w:r>
      </w:hyperlink>
      <w:r>
        <w:t>, ff. 7, 10.</w:t>
      </w:r>
    </w:p>
    <w:p w14:paraId="7173E979" w14:textId="17340895" w:rsidR="00601EEA" w:rsidRDefault="00601EEA" w:rsidP="00601EEA">
      <w:pPr>
        <w:pStyle w:val="SangriaFrancesaArticulo"/>
      </w:pPr>
      <w:r w:rsidRPr="00601EEA">
        <w:rPr>
          <w:rStyle w:val="TextoNormalNegritaCaracter"/>
        </w:rPr>
        <w:t>Artículo 1.2 c).</w:t>
      </w:r>
      <w:r w:rsidRPr="00601EEA">
        <w:rPr>
          <w:rStyle w:val="TextoNormalCaracter"/>
        </w:rPr>
        <w:t>-</w:t>
      </w:r>
      <w:r>
        <w:t xml:space="preserve"> Sentencia </w:t>
      </w:r>
      <w:hyperlink w:anchor="SENTENCIA_2024_68" w:history="1">
        <w:r w:rsidRPr="00601EEA">
          <w:rPr>
            <w:rStyle w:val="TextoNormalCaracter"/>
          </w:rPr>
          <w:t>68/2024</w:t>
        </w:r>
      </w:hyperlink>
      <w:r>
        <w:t>, f. 6.</w:t>
      </w:r>
    </w:p>
    <w:p w14:paraId="43900B5C" w14:textId="0F6FF531" w:rsidR="00601EEA" w:rsidRDefault="00601EEA" w:rsidP="00601EEA">
      <w:pPr>
        <w:pStyle w:val="SangriaFrancesaArticulo"/>
      </w:pPr>
      <w:r w:rsidRPr="00601EEA">
        <w:rPr>
          <w:rStyle w:val="TextoNormalNegritaCaracter"/>
        </w:rPr>
        <w:t>Artículo 1.2 d).</w:t>
      </w:r>
      <w:r w:rsidRPr="00601EEA">
        <w:rPr>
          <w:rStyle w:val="TextoNormalCaracter"/>
        </w:rPr>
        <w:t>-</w:t>
      </w:r>
      <w:r>
        <w:t xml:space="preserve"> Sentencia </w:t>
      </w:r>
      <w:hyperlink w:anchor="SENTENCIA_2024_68" w:history="1">
        <w:r w:rsidRPr="00601EEA">
          <w:rPr>
            <w:rStyle w:val="TextoNormalCaracter"/>
          </w:rPr>
          <w:t>68/2024</w:t>
        </w:r>
      </w:hyperlink>
      <w:r>
        <w:t>, ff. 1, 2, 4, 10.</w:t>
      </w:r>
    </w:p>
    <w:p w14:paraId="2079BBA5" w14:textId="2558939E" w:rsidR="00601EEA" w:rsidRDefault="00601EEA" w:rsidP="00601EEA">
      <w:pPr>
        <w:pStyle w:val="SangriaIzquierdaArticulo"/>
      </w:pPr>
      <w:r>
        <w:t xml:space="preserve">Auto </w:t>
      </w:r>
      <w:hyperlink w:anchor="AUTO_2024_22" w:history="1">
        <w:r w:rsidRPr="00601EEA">
          <w:rPr>
            <w:rStyle w:val="TextoNormalCaracter"/>
          </w:rPr>
          <w:t>22/2024</w:t>
        </w:r>
      </w:hyperlink>
      <w:r>
        <w:t>, ff. 1, 5, 6.</w:t>
      </w:r>
    </w:p>
    <w:p w14:paraId="29DFFB4A" w14:textId="32F54FA1" w:rsidR="00601EEA" w:rsidRDefault="00601EEA" w:rsidP="00601EEA">
      <w:pPr>
        <w:pStyle w:val="SangriaFrancesaArticulo"/>
      </w:pPr>
      <w:r w:rsidRPr="00601EEA">
        <w:rPr>
          <w:rStyle w:val="TextoNormalNegritaCaracter"/>
        </w:rPr>
        <w:t>Artículo 1.2 g).</w:t>
      </w:r>
      <w:r w:rsidRPr="00601EEA">
        <w:rPr>
          <w:rStyle w:val="TextoNormalCaracter"/>
        </w:rPr>
        <w:t>-</w:t>
      </w:r>
      <w:r>
        <w:t xml:space="preserve"> Sentencia </w:t>
      </w:r>
      <w:hyperlink w:anchor="SENTENCIA_2024_68" w:history="1">
        <w:r w:rsidRPr="00601EEA">
          <w:rPr>
            <w:rStyle w:val="TextoNormalCaracter"/>
          </w:rPr>
          <w:t>68/2024</w:t>
        </w:r>
      </w:hyperlink>
      <w:r>
        <w:t>, ff. 1, 2, 7, 10.</w:t>
      </w:r>
    </w:p>
    <w:p w14:paraId="629AB960" w14:textId="0672CC4B" w:rsidR="00601EEA" w:rsidRDefault="00601EEA" w:rsidP="00601EEA">
      <w:pPr>
        <w:pStyle w:val="SangriaIzquierdaArticulo"/>
      </w:pPr>
      <w:r>
        <w:t xml:space="preserve">Auto </w:t>
      </w:r>
      <w:hyperlink w:anchor="AUTO_2024_22" w:history="1">
        <w:r w:rsidRPr="00601EEA">
          <w:rPr>
            <w:rStyle w:val="TextoNormalCaracter"/>
          </w:rPr>
          <w:t>22/2024</w:t>
        </w:r>
      </w:hyperlink>
      <w:r>
        <w:t>, ff. 1, 5, 6.</w:t>
      </w:r>
    </w:p>
    <w:p w14:paraId="6A64F7E5" w14:textId="7CBF36F6" w:rsidR="00601EEA" w:rsidRDefault="00601EEA" w:rsidP="00601EEA">
      <w:pPr>
        <w:pStyle w:val="SangriaFrancesaArticulo"/>
      </w:pPr>
      <w:r w:rsidRPr="00601EEA">
        <w:rPr>
          <w:rStyle w:val="TextoNormalNegritaCaracter"/>
        </w:rPr>
        <w:t>Artículo 2.</w:t>
      </w:r>
      <w:r w:rsidRPr="00601EEA">
        <w:rPr>
          <w:rStyle w:val="TextoNormalCaracter"/>
        </w:rPr>
        <w:t>-</w:t>
      </w:r>
      <w:r>
        <w:t xml:space="preserve"> Sentencia </w:t>
      </w:r>
      <w:hyperlink w:anchor="SENTENCIA_2024_68" w:history="1">
        <w:r w:rsidRPr="00601EEA">
          <w:rPr>
            <w:rStyle w:val="TextoNormalCaracter"/>
          </w:rPr>
          <w:t>68/2024</w:t>
        </w:r>
      </w:hyperlink>
      <w:r>
        <w:t>, f. 7.</w:t>
      </w:r>
    </w:p>
    <w:p w14:paraId="7DC04601" w14:textId="54E791E6" w:rsidR="00601EEA" w:rsidRDefault="00601EEA" w:rsidP="00601EEA">
      <w:pPr>
        <w:pStyle w:val="SangriaFrancesaArticulo"/>
      </w:pPr>
      <w:r w:rsidRPr="00601EEA">
        <w:rPr>
          <w:rStyle w:val="TextoNormalNegritaCaracter"/>
        </w:rPr>
        <w:t>Artículo 2.1.</w:t>
      </w:r>
      <w:r w:rsidRPr="00601EEA">
        <w:rPr>
          <w:rStyle w:val="TextoNormalCaracter"/>
        </w:rPr>
        <w:t>-</w:t>
      </w:r>
      <w:r>
        <w:t xml:space="preserve"> Sentencia </w:t>
      </w:r>
      <w:hyperlink w:anchor="SENTENCIA_2024_68" w:history="1">
        <w:r w:rsidRPr="00601EEA">
          <w:rPr>
            <w:rStyle w:val="TextoNormalCaracter"/>
          </w:rPr>
          <w:t>68/2024</w:t>
        </w:r>
      </w:hyperlink>
      <w:r>
        <w:t>, ff. 1, 2, 7.</w:t>
      </w:r>
    </w:p>
    <w:p w14:paraId="011D67B5" w14:textId="0300F14F" w:rsidR="00601EEA" w:rsidRDefault="00601EEA" w:rsidP="00601EEA">
      <w:pPr>
        <w:pStyle w:val="SangriaIzquierdaArticulo"/>
      </w:pPr>
      <w:r>
        <w:lastRenderedPageBreak/>
        <w:t xml:space="preserve">Auto </w:t>
      </w:r>
      <w:hyperlink w:anchor="AUTO_2024_22" w:history="1">
        <w:r w:rsidRPr="00601EEA">
          <w:rPr>
            <w:rStyle w:val="TextoNormalCaracter"/>
          </w:rPr>
          <w:t>22/2024</w:t>
        </w:r>
      </w:hyperlink>
      <w:r>
        <w:t>, ff. 1, 5, 6.</w:t>
      </w:r>
    </w:p>
    <w:p w14:paraId="284735F2" w14:textId="2C821F9A" w:rsidR="00601EEA" w:rsidRDefault="00601EEA" w:rsidP="00601EEA">
      <w:pPr>
        <w:pStyle w:val="SangriaFrancesaArticulo"/>
      </w:pPr>
      <w:r w:rsidRPr="00601EEA">
        <w:rPr>
          <w:rStyle w:val="TextoNormalNegritaCaracter"/>
        </w:rPr>
        <w:t>Artículo 2.2.</w:t>
      </w:r>
      <w:r w:rsidRPr="00601EEA">
        <w:rPr>
          <w:rStyle w:val="TextoNormalCaracter"/>
        </w:rPr>
        <w:t>-</w:t>
      </w:r>
      <w:r>
        <w:t xml:space="preserve"> Sentencia </w:t>
      </w:r>
      <w:hyperlink w:anchor="SENTENCIA_2024_68" w:history="1">
        <w:r w:rsidRPr="00601EEA">
          <w:rPr>
            <w:rStyle w:val="TextoNormalCaracter"/>
          </w:rPr>
          <w:t>68/2024</w:t>
        </w:r>
      </w:hyperlink>
      <w:r>
        <w:t>, ff. 1, 2, 7, 8.</w:t>
      </w:r>
    </w:p>
    <w:p w14:paraId="5C2A681D" w14:textId="14E44FBA" w:rsidR="00601EEA" w:rsidRDefault="00601EEA" w:rsidP="00601EEA">
      <w:pPr>
        <w:pStyle w:val="SangriaIzquierdaArticulo"/>
      </w:pPr>
      <w:r>
        <w:t xml:space="preserve">Auto </w:t>
      </w:r>
      <w:hyperlink w:anchor="AUTO_2024_22" w:history="1">
        <w:r w:rsidRPr="00601EEA">
          <w:rPr>
            <w:rStyle w:val="TextoNormalCaracter"/>
          </w:rPr>
          <w:t>22/2024</w:t>
        </w:r>
      </w:hyperlink>
      <w:r>
        <w:t>, ff. 1, 5, 6.</w:t>
      </w:r>
    </w:p>
    <w:p w14:paraId="7B842F53" w14:textId="733CF654" w:rsidR="00601EEA" w:rsidRDefault="00601EEA" w:rsidP="00601EEA">
      <w:pPr>
        <w:pStyle w:val="SangriaFrancesaArticulo"/>
      </w:pPr>
      <w:r w:rsidRPr="00601EEA">
        <w:rPr>
          <w:rStyle w:val="TextoNormalNegritaCaracter"/>
        </w:rPr>
        <w:t>Artículo 2.3.</w:t>
      </w:r>
      <w:r w:rsidRPr="00601EEA">
        <w:rPr>
          <w:rStyle w:val="TextoNormalCaracter"/>
        </w:rPr>
        <w:t>-</w:t>
      </w:r>
      <w:r>
        <w:t xml:space="preserve"> Sentencia </w:t>
      </w:r>
      <w:hyperlink w:anchor="SENTENCIA_2024_68" w:history="1">
        <w:r w:rsidRPr="00601EEA">
          <w:rPr>
            <w:rStyle w:val="TextoNormalCaracter"/>
          </w:rPr>
          <w:t>68/2024</w:t>
        </w:r>
      </w:hyperlink>
      <w:r>
        <w:t>, ff. 2, 7 9.</w:t>
      </w:r>
    </w:p>
    <w:p w14:paraId="55CC5193" w14:textId="51497C8C" w:rsidR="00601EEA" w:rsidRDefault="00601EEA" w:rsidP="00601EEA">
      <w:pPr>
        <w:pStyle w:val="SangriaFrancesaArticulo"/>
      </w:pPr>
      <w:r w:rsidRPr="00601EEA">
        <w:rPr>
          <w:rStyle w:val="TextoNormalNegritaCaracter"/>
        </w:rPr>
        <w:t>Artículo 2.4.</w:t>
      </w:r>
      <w:r w:rsidRPr="00601EEA">
        <w:rPr>
          <w:rStyle w:val="TextoNormalCaracter"/>
        </w:rPr>
        <w:t>-</w:t>
      </w:r>
      <w:r>
        <w:t xml:space="preserve"> Sentencia </w:t>
      </w:r>
      <w:hyperlink w:anchor="SENTENCIA_2024_68" w:history="1">
        <w:r w:rsidRPr="00601EEA">
          <w:rPr>
            <w:rStyle w:val="TextoNormalCaracter"/>
          </w:rPr>
          <w:t>68/2024</w:t>
        </w:r>
      </w:hyperlink>
      <w:r>
        <w:t>, ff. 3, 7.</w:t>
      </w:r>
    </w:p>
    <w:p w14:paraId="2D2CA21A" w14:textId="7D0F86BA" w:rsidR="00601EEA" w:rsidRDefault="00601EEA" w:rsidP="00601EEA">
      <w:pPr>
        <w:pStyle w:val="SangriaFrancesaArticulo"/>
      </w:pPr>
      <w:r w:rsidRPr="00601EEA">
        <w:rPr>
          <w:rStyle w:val="TextoNormalNegritaCaracter"/>
        </w:rPr>
        <w:t>Artículo 2.5.</w:t>
      </w:r>
      <w:r w:rsidRPr="00601EEA">
        <w:rPr>
          <w:rStyle w:val="TextoNormalCaracter"/>
        </w:rPr>
        <w:t>-</w:t>
      </w:r>
      <w:r>
        <w:t xml:space="preserve"> Sentencia </w:t>
      </w:r>
      <w:hyperlink w:anchor="SENTENCIA_2024_68" w:history="1">
        <w:r w:rsidRPr="00601EEA">
          <w:rPr>
            <w:rStyle w:val="TextoNormalCaracter"/>
          </w:rPr>
          <w:t>68/2024</w:t>
        </w:r>
      </w:hyperlink>
      <w:r>
        <w:t>, f. 7.</w:t>
      </w:r>
    </w:p>
    <w:p w14:paraId="71A3D165" w14:textId="192ACF4D" w:rsidR="00601EEA" w:rsidRDefault="00601EEA" w:rsidP="00601EEA">
      <w:pPr>
        <w:pStyle w:val="SangriaFrancesaArticulo"/>
      </w:pPr>
      <w:r w:rsidRPr="00601EEA">
        <w:rPr>
          <w:rStyle w:val="TextoNormalNegritaCaracter"/>
        </w:rPr>
        <w:t>Artículo 3 a).</w:t>
      </w:r>
      <w:r w:rsidRPr="00601EEA">
        <w:rPr>
          <w:rStyle w:val="TextoNormalCaracter"/>
        </w:rPr>
        <w:t>-</w:t>
      </w:r>
      <w:r>
        <w:t xml:space="preserve"> Sentencia </w:t>
      </w:r>
      <w:hyperlink w:anchor="SENTENCIA_2024_68" w:history="1">
        <w:r w:rsidRPr="00601EEA">
          <w:rPr>
            <w:rStyle w:val="TextoNormalCaracter"/>
          </w:rPr>
          <w:t>68/2024</w:t>
        </w:r>
      </w:hyperlink>
      <w:r>
        <w:t>, ff. 1, 2, 4, 10.</w:t>
      </w:r>
    </w:p>
    <w:p w14:paraId="05F1FE8D" w14:textId="44865743" w:rsidR="00601EEA" w:rsidRDefault="00601EEA" w:rsidP="00601EEA">
      <w:pPr>
        <w:pStyle w:val="SangriaIzquierdaArticulo"/>
      </w:pPr>
      <w:r>
        <w:t xml:space="preserve">Auto </w:t>
      </w:r>
      <w:hyperlink w:anchor="AUTO_2024_22" w:history="1">
        <w:r w:rsidRPr="00601EEA">
          <w:rPr>
            <w:rStyle w:val="TextoNormalCaracter"/>
          </w:rPr>
          <w:t>22/2024</w:t>
        </w:r>
      </w:hyperlink>
      <w:r>
        <w:t>, f. 1.</w:t>
      </w:r>
    </w:p>
    <w:p w14:paraId="32594D49" w14:textId="700925CF" w:rsidR="00601EEA" w:rsidRDefault="00601EEA" w:rsidP="00601EEA">
      <w:pPr>
        <w:pStyle w:val="SangriaFrancesaArticulo"/>
      </w:pPr>
      <w:r w:rsidRPr="00601EEA">
        <w:rPr>
          <w:rStyle w:val="TextoNormalNegritaCaracter"/>
        </w:rPr>
        <w:t>Artículo 11.</w:t>
      </w:r>
      <w:r w:rsidRPr="00601EEA">
        <w:rPr>
          <w:rStyle w:val="TextoNormalCaracter"/>
        </w:rPr>
        <w:t>-</w:t>
      </w:r>
      <w:r>
        <w:t xml:space="preserve"> Sentencia </w:t>
      </w:r>
      <w:hyperlink w:anchor="SENTENCIA_2024_68" w:history="1">
        <w:r w:rsidRPr="00601EEA">
          <w:rPr>
            <w:rStyle w:val="TextoNormalCaracter"/>
          </w:rPr>
          <w:t>68/2024</w:t>
        </w:r>
      </w:hyperlink>
      <w:r>
        <w:t>, f. 11.</w:t>
      </w:r>
    </w:p>
    <w:p w14:paraId="700B911D" w14:textId="31B4BFEC" w:rsidR="00601EEA" w:rsidRDefault="00601EEA" w:rsidP="00601EEA">
      <w:pPr>
        <w:pStyle w:val="SangriaFrancesaArticulo"/>
      </w:pPr>
      <w:r w:rsidRPr="00601EEA">
        <w:rPr>
          <w:rStyle w:val="TextoNormalNegritaCaracter"/>
        </w:rPr>
        <w:t>Artículo 11.1.</w:t>
      </w:r>
      <w:r w:rsidRPr="00601EEA">
        <w:rPr>
          <w:rStyle w:val="TextoNormalCaracter"/>
        </w:rPr>
        <w:t>-</w:t>
      </w:r>
      <w:r>
        <w:t xml:space="preserve"> Sentencia </w:t>
      </w:r>
      <w:hyperlink w:anchor="SENTENCIA_2024_68" w:history="1">
        <w:r w:rsidRPr="00601EEA">
          <w:rPr>
            <w:rStyle w:val="TextoNormalCaracter"/>
          </w:rPr>
          <w:t>68/2024</w:t>
        </w:r>
      </w:hyperlink>
      <w:r>
        <w:t>, ff. 1, 11.</w:t>
      </w:r>
    </w:p>
    <w:p w14:paraId="71EDB1CC" w14:textId="3917A642" w:rsidR="00601EEA" w:rsidRDefault="00601EEA" w:rsidP="00601EEA">
      <w:pPr>
        <w:pStyle w:val="SangriaIzquierdaArticulo"/>
      </w:pPr>
      <w:r>
        <w:t xml:space="preserve">Auto </w:t>
      </w:r>
      <w:hyperlink w:anchor="AUTO_2024_22" w:history="1">
        <w:r w:rsidRPr="00601EEA">
          <w:rPr>
            <w:rStyle w:val="TextoNormalCaracter"/>
          </w:rPr>
          <w:t>22/2024</w:t>
        </w:r>
      </w:hyperlink>
      <w:r>
        <w:t>, f. 1.</w:t>
      </w:r>
    </w:p>
    <w:p w14:paraId="0E179CA9" w14:textId="7ECD072F" w:rsidR="00601EEA" w:rsidRDefault="00601EEA" w:rsidP="00601EEA">
      <w:pPr>
        <w:pStyle w:val="SangriaFrancesaArticulo"/>
      </w:pPr>
      <w:r w:rsidRPr="00601EEA">
        <w:rPr>
          <w:rStyle w:val="TextoNormalNegritaCaracter"/>
        </w:rPr>
        <w:t>Artículo 11.1 inciso “y la lucha contra la contaminación marina”.</w:t>
      </w:r>
      <w:r w:rsidRPr="00601EEA">
        <w:rPr>
          <w:rStyle w:val="TextoNormalCaracter"/>
        </w:rPr>
        <w:t>-</w:t>
      </w:r>
      <w:r>
        <w:t xml:space="preserve"> Sentencia </w:t>
      </w:r>
      <w:hyperlink w:anchor="SENTENCIA_2024_68" w:history="1">
        <w:r w:rsidRPr="00601EEA">
          <w:rPr>
            <w:rStyle w:val="TextoNormalCaracter"/>
          </w:rPr>
          <w:t>68/2024</w:t>
        </w:r>
      </w:hyperlink>
      <w:r>
        <w:t>, ff. 2, 4, 11.</w:t>
      </w:r>
    </w:p>
    <w:p w14:paraId="5D01F5F9" w14:textId="39AB2D6E" w:rsidR="00601EEA" w:rsidRDefault="00601EEA" w:rsidP="00601EEA">
      <w:pPr>
        <w:pStyle w:val="SangriaIzquierdaArticulo"/>
      </w:pPr>
      <w:r>
        <w:t xml:space="preserve">Auto </w:t>
      </w:r>
      <w:hyperlink w:anchor="AUTO_2024_22" w:history="1">
        <w:r w:rsidRPr="00601EEA">
          <w:rPr>
            <w:rStyle w:val="TextoNormalCaracter"/>
          </w:rPr>
          <w:t>22/2024</w:t>
        </w:r>
      </w:hyperlink>
      <w:r>
        <w:t>, f. 1.</w:t>
      </w:r>
    </w:p>
    <w:p w14:paraId="34143658" w14:textId="4D1517BF" w:rsidR="00601EEA" w:rsidRDefault="00601EEA" w:rsidP="00601EEA">
      <w:pPr>
        <w:pStyle w:val="SangriaFrancesaArticulo"/>
      </w:pPr>
      <w:r w:rsidRPr="00601EEA">
        <w:rPr>
          <w:rStyle w:val="TextoNormalNegritaCaracter"/>
        </w:rPr>
        <w:t>Artículo 11.4 b).</w:t>
      </w:r>
      <w:r w:rsidRPr="00601EEA">
        <w:rPr>
          <w:rStyle w:val="TextoNormalCaracter"/>
        </w:rPr>
        <w:t>-</w:t>
      </w:r>
      <w:r>
        <w:t xml:space="preserve"> Sentencia </w:t>
      </w:r>
      <w:hyperlink w:anchor="SENTENCIA_2024_68" w:history="1">
        <w:r w:rsidRPr="00601EEA">
          <w:rPr>
            <w:rStyle w:val="TextoNormalCaracter"/>
          </w:rPr>
          <w:t>68/2024</w:t>
        </w:r>
      </w:hyperlink>
      <w:r>
        <w:t>, ff. 1, 2, 4, 10.</w:t>
      </w:r>
    </w:p>
    <w:p w14:paraId="5C388B76" w14:textId="465BB147" w:rsidR="00601EEA" w:rsidRDefault="00601EEA" w:rsidP="00601EEA">
      <w:pPr>
        <w:pStyle w:val="SangriaIzquierdaArticulo"/>
      </w:pPr>
      <w:r>
        <w:t xml:space="preserve">Auto </w:t>
      </w:r>
      <w:hyperlink w:anchor="AUTO_2024_22" w:history="1">
        <w:r w:rsidRPr="00601EEA">
          <w:rPr>
            <w:rStyle w:val="TextoNormalCaracter"/>
          </w:rPr>
          <w:t>22/2024</w:t>
        </w:r>
      </w:hyperlink>
      <w:r>
        <w:t>, ff. 1, 6.</w:t>
      </w:r>
    </w:p>
    <w:p w14:paraId="46B15FA9" w14:textId="1846190C" w:rsidR="00601EEA" w:rsidRDefault="00601EEA" w:rsidP="00601EEA">
      <w:pPr>
        <w:pStyle w:val="SangriaFrancesaArticulo"/>
      </w:pPr>
      <w:r w:rsidRPr="00601EEA">
        <w:rPr>
          <w:rStyle w:val="TextoNormalNegritaCaracter"/>
        </w:rPr>
        <w:t>Artículo 11.5.</w:t>
      </w:r>
      <w:r w:rsidRPr="00601EEA">
        <w:rPr>
          <w:rStyle w:val="TextoNormalCaracter"/>
        </w:rPr>
        <w:t>-</w:t>
      </w:r>
      <w:r>
        <w:t xml:space="preserve"> Sentencia </w:t>
      </w:r>
      <w:hyperlink w:anchor="SENTENCIA_2024_68" w:history="1">
        <w:r w:rsidRPr="00601EEA">
          <w:rPr>
            <w:rStyle w:val="TextoNormalCaracter"/>
          </w:rPr>
          <w:t>68/2024</w:t>
        </w:r>
      </w:hyperlink>
      <w:r>
        <w:t>, f. 3.</w:t>
      </w:r>
    </w:p>
    <w:p w14:paraId="75C71649" w14:textId="3523C6EB" w:rsidR="00601EEA" w:rsidRDefault="00601EEA" w:rsidP="00601EEA">
      <w:pPr>
        <w:pStyle w:val="SangriaFrancesaArticulo"/>
      </w:pPr>
      <w:r w:rsidRPr="00601EEA">
        <w:rPr>
          <w:rStyle w:val="TextoNormalNegritaCaracter"/>
        </w:rPr>
        <w:t>Artículo 11.5 a).</w:t>
      </w:r>
      <w:r w:rsidRPr="00601EEA">
        <w:rPr>
          <w:rStyle w:val="TextoNormalCaracter"/>
        </w:rPr>
        <w:t>-</w:t>
      </w:r>
      <w:r>
        <w:t xml:space="preserve"> Sentencia </w:t>
      </w:r>
      <w:hyperlink w:anchor="SENTENCIA_2024_68" w:history="1">
        <w:r w:rsidRPr="00601EEA">
          <w:rPr>
            <w:rStyle w:val="TextoNormalCaracter"/>
          </w:rPr>
          <w:t>68/2024</w:t>
        </w:r>
      </w:hyperlink>
      <w:r>
        <w:t>, ff. 1 a 3, 7.</w:t>
      </w:r>
    </w:p>
    <w:p w14:paraId="527AD352" w14:textId="36F466A9" w:rsidR="00601EEA" w:rsidRDefault="00601EEA" w:rsidP="00601EEA">
      <w:pPr>
        <w:pStyle w:val="SangriaIzquierdaArticulo"/>
      </w:pPr>
      <w:r>
        <w:t xml:space="preserve">Auto </w:t>
      </w:r>
      <w:hyperlink w:anchor="AUTO_2024_22" w:history="1">
        <w:r w:rsidRPr="00601EEA">
          <w:rPr>
            <w:rStyle w:val="TextoNormalCaracter"/>
          </w:rPr>
          <w:t>22/2024</w:t>
        </w:r>
      </w:hyperlink>
      <w:r>
        <w:t>, ff. 1, 5, 6.</w:t>
      </w:r>
    </w:p>
    <w:p w14:paraId="1F64E285" w14:textId="1AFC8010" w:rsidR="00601EEA" w:rsidRDefault="00601EEA" w:rsidP="00601EEA">
      <w:pPr>
        <w:pStyle w:val="SangriaFrancesaArticulo"/>
      </w:pPr>
      <w:r w:rsidRPr="00601EEA">
        <w:rPr>
          <w:rStyle w:val="TextoNormalNegritaCaracter"/>
        </w:rPr>
        <w:t>Artículo 11.5 b).</w:t>
      </w:r>
      <w:r w:rsidRPr="00601EEA">
        <w:rPr>
          <w:rStyle w:val="TextoNormalCaracter"/>
        </w:rPr>
        <w:t>-</w:t>
      </w:r>
      <w:r>
        <w:t xml:space="preserve"> Sentencia </w:t>
      </w:r>
      <w:hyperlink w:anchor="SENTENCIA_2024_68" w:history="1">
        <w:r w:rsidRPr="00601EEA">
          <w:rPr>
            <w:rStyle w:val="TextoNormalCaracter"/>
          </w:rPr>
          <w:t>68/2024</w:t>
        </w:r>
      </w:hyperlink>
      <w:r>
        <w:t>, ff. 1, 2, 4, 10.</w:t>
      </w:r>
    </w:p>
    <w:p w14:paraId="7E7A886B" w14:textId="52324DD4" w:rsidR="00601EEA" w:rsidRDefault="00601EEA" w:rsidP="00601EEA">
      <w:pPr>
        <w:pStyle w:val="SangriaIzquierdaArticulo"/>
      </w:pPr>
      <w:r>
        <w:t xml:space="preserve">Auto </w:t>
      </w:r>
      <w:hyperlink w:anchor="AUTO_2024_22" w:history="1">
        <w:r w:rsidRPr="00601EEA">
          <w:rPr>
            <w:rStyle w:val="TextoNormalCaracter"/>
          </w:rPr>
          <w:t>22/2024</w:t>
        </w:r>
      </w:hyperlink>
      <w:r>
        <w:t>, ff. 1, 6.</w:t>
      </w:r>
    </w:p>
    <w:p w14:paraId="35EA9001" w14:textId="4C409C46" w:rsidR="00601EEA" w:rsidRDefault="00601EEA" w:rsidP="00601EEA">
      <w:pPr>
        <w:pStyle w:val="SangriaFrancesaArticulo"/>
      </w:pPr>
      <w:r w:rsidRPr="00601EEA">
        <w:rPr>
          <w:rStyle w:val="TextoNormalNegritaCaracter"/>
        </w:rPr>
        <w:t>Artículo 12.</w:t>
      </w:r>
      <w:r w:rsidRPr="00601EEA">
        <w:rPr>
          <w:rStyle w:val="TextoNormalCaracter"/>
        </w:rPr>
        <w:t>-</w:t>
      </w:r>
      <w:r>
        <w:t xml:space="preserve"> Sentencia </w:t>
      </w:r>
      <w:hyperlink w:anchor="SENTENCIA_2024_68" w:history="1">
        <w:r w:rsidRPr="00601EEA">
          <w:rPr>
            <w:rStyle w:val="TextoNormalCaracter"/>
          </w:rPr>
          <w:t>68/2024</w:t>
        </w:r>
      </w:hyperlink>
      <w:r>
        <w:t>, f. 11.</w:t>
      </w:r>
    </w:p>
    <w:p w14:paraId="2EB27E7E" w14:textId="28CD52A9" w:rsidR="00601EEA" w:rsidRDefault="00601EEA" w:rsidP="00601EEA">
      <w:pPr>
        <w:pStyle w:val="SangriaFrancesaArticulo"/>
      </w:pPr>
      <w:r w:rsidRPr="00601EEA">
        <w:rPr>
          <w:rStyle w:val="TextoNormalNegritaCaracter"/>
        </w:rPr>
        <w:t>Artículo 12.2.</w:t>
      </w:r>
      <w:r w:rsidRPr="00601EEA">
        <w:rPr>
          <w:rStyle w:val="TextoNormalCaracter"/>
        </w:rPr>
        <w:t>-</w:t>
      </w:r>
      <w:r>
        <w:t xml:space="preserve"> Sentencia </w:t>
      </w:r>
      <w:hyperlink w:anchor="SENTENCIA_2024_68" w:history="1">
        <w:r w:rsidRPr="00601EEA">
          <w:rPr>
            <w:rStyle w:val="TextoNormalCaracter"/>
          </w:rPr>
          <w:t>68/2024</w:t>
        </w:r>
      </w:hyperlink>
      <w:r>
        <w:t>, ff. 1, 2, 4, 11.</w:t>
      </w:r>
    </w:p>
    <w:p w14:paraId="66E33F38" w14:textId="7BB8C924" w:rsidR="00601EEA" w:rsidRDefault="00601EEA" w:rsidP="00601EEA">
      <w:pPr>
        <w:pStyle w:val="SangriaIzquierdaArticulo"/>
      </w:pPr>
      <w:r>
        <w:t xml:space="preserve">Auto </w:t>
      </w:r>
      <w:hyperlink w:anchor="AUTO_2024_22" w:history="1">
        <w:r w:rsidRPr="00601EEA">
          <w:rPr>
            <w:rStyle w:val="TextoNormalCaracter"/>
          </w:rPr>
          <w:t>22/2024</w:t>
        </w:r>
      </w:hyperlink>
      <w:r>
        <w:t>, f. 1.</w:t>
      </w:r>
    </w:p>
    <w:p w14:paraId="2D1D0475" w14:textId="03B5AA7A" w:rsidR="00601EEA" w:rsidRDefault="00601EEA" w:rsidP="00601EEA">
      <w:pPr>
        <w:pStyle w:val="SangriaFrancesaArticulo"/>
      </w:pPr>
      <w:r w:rsidRPr="00601EEA">
        <w:rPr>
          <w:rStyle w:val="TextoNormalNegritaCaracter"/>
        </w:rPr>
        <w:t>Artículo 12.5.</w:t>
      </w:r>
      <w:r w:rsidRPr="00601EEA">
        <w:rPr>
          <w:rStyle w:val="TextoNormalCaracter"/>
        </w:rPr>
        <w:t>-</w:t>
      </w:r>
      <w:r>
        <w:t xml:space="preserve"> Sentencia </w:t>
      </w:r>
      <w:hyperlink w:anchor="SENTENCIA_2024_68" w:history="1">
        <w:r w:rsidRPr="00601EEA">
          <w:rPr>
            <w:rStyle w:val="TextoNormalCaracter"/>
          </w:rPr>
          <w:t>68/2024</w:t>
        </w:r>
      </w:hyperlink>
      <w:r>
        <w:t>, ff. 2, 4, 7, 9.</w:t>
      </w:r>
    </w:p>
    <w:p w14:paraId="29E8CA36" w14:textId="22AEB98A" w:rsidR="00601EEA" w:rsidRDefault="00601EEA" w:rsidP="00601EEA">
      <w:pPr>
        <w:pStyle w:val="SangriaIzquierdaArticulo"/>
      </w:pPr>
      <w:r>
        <w:t xml:space="preserve">Auto </w:t>
      </w:r>
      <w:hyperlink w:anchor="AUTO_2024_22" w:history="1">
        <w:r w:rsidRPr="00601EEA">
          <w:rPr>
            <w:rStyle w:val="TextoNormalCaracter"/>
          </w:rPr>
          <w:t>22/2024</w:t>
        </w:r>
      </w:hyperlink>
      <w:r>
        <w:t>, ff. 1, 5, 6.</w:t>
      </w:r>
    </w:p>
    <w:p w14:paraId="033B9DAA" w14:textId="4FC55BEE" w:rsidR="00601EEA" w:rsidRDefault="00601EEA" w:rsidP="00601EEA">
      <w:pPr>
        <w:pStyle w:val="SangriaFrancesaArticulo"/>
      </w:pPr>
      <w:r w:rsidRPr="00601EEA">
        <w:rPr>
          <w:rStyle w:val="TextoNormalNegritaCaracter"/>
        </w:rPr>
        <w:t>Artículo 21.1.</w:t>
      </w:r>
      <w:r w:rsidRPr="00601EEA">
        <w:rPr>
          <w:rStyle w:val="TextoNormalCaracter"/>
        </w:rPr>
        <w:t>-</w:t>
      </w:r>
      <w:r>
        <w:t xml:space="preserve"> Sentencia </w:t>
      </w:r>
      <w:hyperlink w:anchor="SENTENCIA_2024_68" w:history="1">
        <w:r w:rsidRPr="00601EEA">
          <w:rPr>
            <w:rStyle w:val="TextoNormalCaracter"/>
          </w:rPr>
          <w:t>68/2024</w:t>
        </w:r>
      </w:hyperlink>
      <w:r>
        <w:t>, f. 7.</w:t>
      </w:r>
    </w:p>
    <w:p w14:paraId="53186309" w14:textId="1B311D74" w:rsidR="00601EEA" w:rsidRDefault="00601EEA" w:rsidP="00601EEA">
      <w:pPr>
        <w:pStyle w:val="SangriaFrancesaArticulo"/>
      </w:pPr>
      <w:r w:rsidRPr="00601EEA">
        <w:rPr>
          <w:rStyle w:val="TextoNormalNegritaCaracter"/>
        </w:rPr>
        <w:t>Artículo 21.1 c).</w:t>
      </w:r>
      <w:r w:rsidRPr="00601EEA">
        <w:rPr>
          <w:rStyle w:val="TextoNormalCaracter"/>
        </w:rPr>
        <w:t>-</w:t>
      </w:r>
      <w:r>
        <w:t xml:space="preserve"> Auto </w:t>
      </w:r>
      <w:hyperlink w:anchor="AUTO_2024_22" w:history="1">
        <w:r w:rsidRPr="00601EEA">
          <w:rPr>
            <w:rStyle w:val="TextoNormalCaracter"/>
          </w:rPr>
          <w:t>22/2024</w:t>
        </w:r>
      </w:hyperlink>
      <w:r>
        <w:t>, f. 6.</w:t>
      </w:r>
    </w:p>
    <w:p w14:paraId="20E8831F" w14:textId="629F827C" w:rsidR="00601EEA" w:rsidRDefault="00601EEA" w:rsidP="00601EEA">
      <w:pPr>
        <w:pStyle w:val="SangriaFrancesaArticulo"/>
      </w:pPr>
      <w:r w:rsidRPr="00601EEA">
        <w:rPr>
          <w:rStyle w:val="TextoNormalNegritaCaracter"/>
        </w:rPr>
        <w:t>Artículo 21.1 d).</w:t>
      </w:r>
      <w:r w:rsidRPr="00601EEA">
        <w:rPr>
          <w:rStyle w:val="TextoNormalCaracter"/>
        </w:rPr>
        <w:t>-</w:t>
      </w:r>
      <w:r>
        <w:t xml:space="preserve"> Sentencia </w:t>
      </w:r>
      <w:hyperlink w:anchor="SENTENCIA_2024_68" w:history="1">
        <w:r w:rsidRPr="00601EEA">
          <w:rPr>
            <w:rStyle w:val="TextoNormalCaracter"/>
          </w:rPr>
          <w:t>68/2024</w:t>
        </w:r>
      </w:hyperlink>
      <w:r>
        <w:t>, ff. 1 a 3, 7.</w:t>
      </w:r>
    </w:p>
    <w:p w14:paraId="59842DE5" w14:textId="2295DC3F" w:rsidR="00601EEA" w:rsidRDefault="00601EEA" w:rsidP="00601EEA">
      <w:pPr>
        <w:pStyle w:val="SangriaIzquierdaArticulo"/>
      </w:pPr>
      <w:r>
        <w:t xml:space="preserve">Auto </w:t>
      </w:r>
      <w:hyperlink w:anchor="AUTO_2024_22" w:history="1">
        <w:r w:rsidRPr="00601EEA">
          <w:rPr>
            <w:rStyle w:val="TextoNormalCaracter"/>
          </w:rPr>
          <w:t>22/2024</w:t>
        </w:r>
      </w:hyperlink>
      <w:r>
        <w:t>, ff. 1, 5, 6.</w:t>
      </w:r>
    </w:p>
    <w:p w14:paraId="2C8516B5" w14:textId="68515669" w:rsidR="00601EEA" w:rsidRDefault="00601EEA" w:rsidP="00601EEA">
      <w:pPr>
        <w:pStyle w:val="SangriaFrancesaArticulo"/>
      </w:pPr>
      <w:r w:rsidRPr="00601EEA">
        <w:rPr>
          <w:rStyle w:val="TextoNormalNegritaCaracter"/>
        </w:rPr>
        <w:t>Artículo 21.1 e).</w:t>
      </w:r>
      <w:r w:rsidRPr="00601EEA">
        <w:rPr>
          <w:rStyle w:val="TextoNormalCaracter"/>
        </w:rPr>
        <w:t>-</w:t>
      </w:r>
      <w:r>
        <w:t xml:space="preserve"> Sentencia </w:t>
      </w:r>
      <w:hyperlink w:anchor="SENTENCIA_2024_68" w:history="1">
        <w:r w:rsidRPr="00601EEA">
          <w:rPr>
            <w:rStyle w:val="TextoNormalCaracter"/>
          </w:rPr>
          <w:t>68/2024</w:t>
        </w:r>
      </w:hyperlink>
      <w:r>
        <w:t>, ff. 1 a 3.</w:t>
      </w:r>
    </w:p>
    <w:p w14:paraId="2F720C98" w14:textId="582FE81D" w:rsidR="00601EEA" w:rsidRDefault="00601EEA" w:rsidP="00601EEA">
      <w:pPr>
        <w:pStyle w:val="SangriaIzquierdaArticulo"/>
      </w:pPr>
      <w:r>
        <w:t xml:space="preserve">Auto </w:t>
      </w:r>
      <w:hyperlink w:anchor="AUTO_2024_22" w:history="1">
        <w:r w:rsidRPr="00601EEA">
          <w:rPr>
            <w:rStyle w:val="TextoNormalCaracter"/>
          </w:rPr>
          <w:t>22/2024</w:t>
        </w:r>
      </w:hyperlink>
      <w:r>
        <w:t>, ff. 1, 6.</w:t>
      </w:r>
    </w:p>
    <w:p w14:paraId="50C462BD" w14:textId="298BF9F4" w:rsidR="00601EEA" w:rsidRDefault="00601EEA" w:rsidP="00601EEA">
      <w:pPr>
        <w:pStyle w:val="SangriaFrancesaArticulo"/>
      </w:pPr>
      <w:r w:rsidRPr="00601EEA">
        <w:rPr>
          <w:rStyle w:val="TextoNormalNegritaCaracter"/>
        </w:rPr>
        <w:t>Artículo 21.3.</w:t>
      </w:r>
      <w:r w:rsidRPr="00601EEA">
        <w:rPr>
          <w:rStyle w:val="TextoNormalCaracter"/>
        </w:rPr>
        <w:t>-</w:t>
      </w:r>
      <w:r>
        <w:t xml:space="preserve"> Sentencia </w:t>
      </w:r>
      <w:hyperlink w:anchor="SENTENCIA_2024_68" w:history="1">
        <w:r w:rsidRPr="00601EEA">
          <w:rPr>
            <w:rStyle w:val="TextoNormalCaracter"/>
          </w:rPr>
          <w:t>68/2024</w:t>
        </w:r>
      </w:hyperlink>
      <w:r>
        <w:t>, ff. 2, 3, 7, 9.</w:t>
      </w:r>
    </w:p>
    <w:p w14:paraId="75DAA36F" w14:textId="7F98766B" w:rsidR="00601EEA" w:rsidRDefault="00601EEA" w:rsidP="00601EEA">
      <w:pPr>
        <w:pStyle w:val="SangriaFrancesaArticulo"/>
      </w:pPr>
      <w:r w:rsidRPr="00601EEA">
        <w:rPr>
          <w:rStyle w:val="TextoNormalNegritaCaracter"/>
        </w:rPr>
        <w:t>Artículo 22.</w:t>
      </w:r>
      <w:r w:rsidRPr="00601EEA">
        <w:rPr>
          <w:rStyle w:val="TextoNormalCaracter"/>
        </w:rPr>
        <w:t>-</w:t>
      </w:r>
      <w:r>
        <w:t xml:space="preserve"> Sentencia </w:t>
      </w:r>
      <w:hyperlink w:anchor="SENTENCIA_2024_68" w:history="1">
        <w:r w:rsidRPr="00601EEA">
          <w:rPr>
            <w:rStyle w:val="TextoNormalCaracter"/>
          </w:rPr>
          <w:t>68/2024</w:t>
        </w:r>
      </w:hyperlink>
      <w:r>
        <w:t>, f. 7.</w:t>
      </w:r>
    </w:p>
    <w:p w14:paraId="7E932FCA" w14:textId="1429F75F" w:rsidR="00601EEA" w:rsidRDefault="00601EEA" w:rsidP="00601EEA">
      <w:pPr>
        <w:pStyle w:val="SangriaFrancesaArticulo"/>
      </w:pPr>
      <w:r w:rsidRPr="00601EEA">
        <w:rPr>
          <w:rStyle w:val="TextoNormalNegritaCaracter"/>
        </w:rPr>
        <w:t>Artículo 22.1.</w:t>
      </w:r>
      <w:r w:rsidRPr="00601EEA">
        <w:rPr>
          <w:rStyle w:val="TextoNormalCaracter"/>
        </w:rPr>
        <w:t>-</w:t>
      </w:r>
      <w:r>
        <w:t xml:space="preserve"> Sentencia </w:t>
      </w:r>
      <w:hyperlink w:anchor="SENTENCIA_2024_68" w:history="1">
        <w:r w:rsidRPr="00601EEA">
          <w:rPr>
            <w:rStyle w:val="TextoNormalCaracter"/>
          </w:rPr>
          <w:t>68/2024</w:t>
        </w:r>
      </w:hyperlink>
      <w:r>
        <w:t>, ff. 1 a 3, 7.</w:t>
      </w:r>
    </w:p>
    <w:p w14:paraId="34460920" w14:textId="012C2ACD" w:rsidR="00601EEA" w:rsidRDefault="00601EEA" w:rsidP="00601EEA">
      <w:pPr>
        <w:pStyle w:val="SangriaIzquierdaArticulo"/>
      </w:pPr>
      <w:r>
        <w:t xml:space="preserve">Auto </w:t>
      </w:r>
      <w:hyperlink w:anchor="AUTO_2024_22" w:history="1">
        <w:r w:rsidRPr="00601EEA">
          <w:rPr>
            <w:rStyle w:val="TextoNormalCaracter"/>
          </w:rPr>
          <w:t>22/2024</w:t>
        </w:r>
      </w:hyperlink>
      <w:r>
        <w:t>, ff. 1, 5, 6.</w:t>
      </w:r>
    </w:p>
    <w:p w14:paraId="35DC26EF" w14:textId="19C05613" w:rsidR="00601EEA" w:rsidRDefault="00601EEA" w:rsidP="00601EEA">
      <w:pPr>
        <w:pStyle w:val="SangriaFrancesaArticulo"/>
      </w:pPr>
      <w:r w:rsidRPr="00601EEA">
        <w:rPr>
          <w:rStyle w:val="TextoNormalNegritaCaracter"/>
        </w:rPr>
        <w:t>Artículo 22.2 a).</w:t>
      </w:r>
      <w:r w:rsidRPr="00601EEA">
        <w:rPr>
          <w:rStyle w:val="TextoNormalCaracter"/>
        </w:rPr>
        <w:t>-</w:t>
      </w:r>
      <w:r>
        <w:t xml:space="preserve"> Sentencia </w:t>
      </w:r>
      <w:hyperlink w:anchor="SENTENCIA_2024_68" w:history="1">
        <w:r w:rsidRPr="00601EEA">
          <w:rPr>
            <w:rStyle w:val="TextoNormalCaracter"/>
          </w:rPr>
          <w:t>68/2024</w:t>
        </w:r>
      </w:hyperlink>
      <w:r>
        <w:t>, ff. 1 a 3, 7.</w:t>
      </w:r>
    </w:p>
    <w:p w14:paraId="5E5D9506" w14:textId="678D747A" w:rsidR="00601EEA" w:rsidRDefault="00601EEA" w:rsidP="00601EEA">
      <w:pPr>
        <w:pStyle w:val="SangriaIzquierdaArticulo"/>
      </w:pPr>
      <w:r>
        <w:t xml:space="preserve">Auto </w:t>
      </w:r>
      <w:hyperlink w:anchor="AUTO_2024_22" w:history="1">
        <w:r w:rsidRPr="00601EEA">
          <w:rPr>
            <w:rStyle w:val="TextoNormalCaracter"/>
          </w:rPr>
          <w:t>22/2024</w:t>
        </w:r>
      </w:hyperlink>
      <w:r>
        <w:t>, ff. 1, 5, 6.</w:t>
      </w:r>
    </w:p>
    <w:p w14:paraId="4686E1B3" w14:textId="6D739129" w:rsidR="00601EEA" w:rsidRDefault="00601EEA" w:rsidP="00601EEA">
      <w:pPr>
        <w:pStyle w:val="SangriaFrancesaArticulo"/>
      </w:pPr>
      <w:r w:rsidRPr="00601EEA">
        <w:rPr>
          <w:rStyle w:val="TextoNormalNegritaCaracter"/>
        </w:rPr>
        <w:t>Artículo 22.2 b).</w:t>
      </w:r>
      <w:r w:rsidRPr="00601EEA">
        <w:rPr>
          <w:rStyle w:val="TextoNormalCaracter"/>
        </w:rPr>
        <w:t>-</w:t>
      </w:r>
      <w:r>
        <w:t xml:space="preserve"> Sentencia </w:t>
      </w:r>
      <w:hyperlink w:anchor="SENTENCIA_2024_68" w:history="1">
        <w:r w:rsidRPr="00601EEA">
          <w:rPr>
            <w:rStyle w:val="TextoNormalCaracter"/>
          </w:rPr>
          <w:t>68/2024</w:t>
        </w:r>
      </w:hyperlink>
      <w:r>
        <w:t>, ff. 1 a 3, 7.</w:t>
      </w:r>
    </w:p>
    <w:p w14:paraId="196951B7" w14:textId="0FD9DC8A" w:rsidR="00601EEA" w:rsidRDefault="00601EEA" w:rsidP="00601EEA">
      <w:pPr>
        <w:pStyle w:val="SangriaIzquierdaArticulo"/>
      </w:pPr>
      <w:r>
        <w:t xml:space="preserve">Auto </w:t>
      </w:r>
      <w:hyperlink w:anchor="AUTO_2024_22" w:history="1">
        <w:r w:rsidRPr="00601EEA">
          <w:rPr>
            <w:rStyle w:val="TextoNormalCaracter"/>
          </w:rPr>
          <w:t>22/2024</w:t>
        </w:r>
      </w:hyperlink>
      <w:r>
        <w:t>, ff. 1, 5, 6.</w:t>
      </w:r>
    </w:p>
    <w:p w14:paraId="6CCEA89F" w14:textId="0E108688" w:rsidR="00601EEA" w:rsidRDefault="00601EEA" w:rsidP="00601EEA">
      <w:pPr>
        <w:pStyle w:val="SangriaFrancesaArticulo"/>
      </w:pPr>
      <w:r w:rsidRPr="00601EEA">
        <w:rPr>
          <w:rStyle w:val="TextoNormalNegritaCaracter"/>
        </w:rPr>
        <w:t>Artículo 22.2 c).</w:t>
      </w:r>
      <w:r w:rsidRPr="00601EEA">
        <w:rPr>
          <w:rStyle w:val="TextoNormalCaracter"/>
        </w:rPr>
        <w:t>-</w:t>
      </w:r>
      <w:r>
        <w:t xml:space="preserve"> Sentencia </w:t>
      </w:r>
      <w:hyperlink w:anchor="SENTENCIA_2024_68" w:history="1">
        <w:r w:rsidRPr="00601EEA">
          <w:rPr>
            <w:rStyle w:val="TextoNormalCaracter"/>
          </w:rPr>
          <w:t>68/2024</w:t>
        </w:r>
      </w:hyperlink>
      <w:r>
        <w:t>, ff. 1 a 3, 7.</w:t>
      </w:r>
    </w:p>
    <w:p w14:paraId="2B3E66F0" w14:textId="361BC634" w:rsidR="00601EEA" w:rsidRDefault="00601EEA" w:rsidP="00601EEA">
      <w:pPr>
        <w:pStyle w:val="SangriaIzquierdaArticulo"/>
      </w:pPr>
      <w:r>
        <w:t xml:space="preserve">Auto </w:t>
      </w:r>
      <w:hyperlink w:anchor="AUTO_2024_22" w:history="1">
        <w:r w:rsidRPr="00601EEA">
          <w:rPr>
            <w:rStyle w:val="TextoNormalCaracter"/>
          </w:rPr>
          <w:t>22/2024</w:t>
        </w:r>
      </w:hyperlink>
      <w:r>
        <w:t>, ff. 1, 5, 6.</w:t>
      </w:r>
    </w:p>
    <w:p w14:paraId="116BD8E8" w14:textId="558F08DB" w:rsidR="00601EEA" w:rsidRDefault="00601EEA" w:rsidP="00601EEA">
      <w:pPr>
        <w:pStyle w:val="SangriaFrancesaArticulo"/>
      </w:pPr>
      <w:r w:rsidRPr="00601EEA">
        <w:rPr>
          <w:rStyle w:val="TextoNormalNegritaCaracter"/>
        </w:rPr>
        <w:t>Artículo 22.2 d).</w:t>
      </w:r>
      <w:r w:rsidRPr="00601EEA">
        <w:rPr>
          <w:rStyle w:val="TextoNormalCaracter"/>
        </w:rPr>
        <w:t>-</w:t>
      </w:r>
      <w:r>
        <w:t xml:space="preserve"> Sentencia </w:t>
      </w:r>
      <w:hyperlink w:anchor="SENTENCIA_2024_68" w:history="1">
        <w:r w:rsidRPr="00601EEA">
          <w:rPr>
            <w:rStyle w:val="TextoNormalCaracter"/>
          </w:rPr>
          <w:t>68/2024</w:t>
        </w:r>
      </w:hyperlink>
      <w:r>
        <w:t>, ff. 1 a 3, 7.</w:t>
      </w:r>
    </w:p>
    <w:p w14:paraId="503F11CA" w14:textId="6968F0F7" w:rsidR="00601EEA" w:rsidRDefault="00601EEA" w:rsidP="00601EEA">
      <w:pPr>
        <w:pStyle w:val="SangriaIzquierdaArticulo"/>
      </w:pPr>
      <w:r>
        <w:t xml:space="preserve">Auto </w:t>
      </w:r>
      <w:hyperlink w:anchor="AUTO_2024_22" w:history="1">
        <w:r w:rsidRPr="00601EEA">
          <w:rPr>
            <w:rStyle w:val="TextoNormalCaracter"/>
          </w:rPr>
          <w:t>22/2024</w:t>
        </w:r>
      </w:hyperlink>
      <w:r>
        <w:t>, ff. 1, 5, 6.</w:t>
      </w:r>
    </w:p>
    <w:p w14:paraId="302758ED" w14:textId="50C7EF8F" w:rsidR="00601EEA" w:rsidRDefault="00601EEA" w:rsidP="00601EEA">
      <w:pPr>
        <w:pStyle w:val="SangriaFrancesaArticulo"/>
      </w:pPr>
      <w:r w:rsidRPr="00601EEA">
        <w:rPr>
          <w:rStyle w:val="TextoNormalNegritaCaracter"/>
        </w:rPr>
        <w:t>Artículo 23.</w:t>
      </w:r>
      <w:r w:rsidRPr="00601EEA">
        <w:rPr>
          <w:rStyle w:val="TextoNormalCaracter"/>
        </w:rPr>
        <w:t>-</w:t>
      </w:r>
      <w:r>
        <w:t xml:space="preserve"> Sentencia </w:t>
      </w:r>
      <w:hyperlink w:anchor="SENTENCIA_2024_68" w:history="1">
        <w:r w:rsidRPr="00601EEA">
          <w:rPr>
            <w:rStyle w:val="TextoNormalCaracter"/>
          </w:rPr>
          <w:t>68/2024</w:t>
        </w:r>
      </w:hyperlink>
      <w:r>
        <w:t>, f. 7.</w:t>
      </w:r>
    </w:p>
    <w:p w14:paraId="5A1FC574" w14:textId="028B5A36" w:rsidR="00601EEA" w:rsidRDefault="00601EEA" w:rsidP="00601EEA">
      <w:pPr>
        <w:pStyle w:val="SangriaFrancesaArticulo"/>
      </w:pPr>
      <w:r w:rsidRPr="00601EEA">
        <w:rPr>
          <w:rStyle w:val="TextoNormalNegritaCaracter"/>
        </w:rPr>
        <w:t>Artículo 23.1.</w:t>
      </w:r>
      <w:r w:rsidRPr="00601EEA">
        <w:rPr>
          <w:rStyle w:val="TextoNormalCaracter"/>
        </w:rPr>
        <w:t>-</w:t>
      </w:r>
      <w:r>
        <w:t xml:space="preserve"> Sentencia </w:t>
      </w:r>
      <w:hyperlink w:anchor="SENTENCIA_2024_68" w:history="1">
        <w:r w:rsidRPr="00601EEA">
          <w:rPr>
            <w:rStyle w:val="TextoNormalCaracter"/>
          </w:rPr>
          <w:t>68/2024</w:t>
        </w:r>
      </w:hyperlink>
      <w:r>
        <w:t>, ff. 2, 7, 9.</w:t>
      </w:r>
    </w:p>
    <w:p w14:paraId="67395385" w14:textId="444CBB8C" w:rsidR="00601EEA" w:rsidRDefault="00601EEA" w:rsidP="00601EEA">
      <w:pPr>
        <w:pStyle w:val="SangriaFrancesaArticulo"/>
      </w:pPr>
      <w:r w:rsidRPr="00601EEA">
        <w:rPr>
          <w:rStyle w:val="TextoNormalNegritaCaracter"/>
        </w:rPr>
        <w:t>Artículo 23.2.</w:t>
      </w:r>
      <w:r w:rsidRPr="00601EEA">
        <w:rPr>
          <w:rStyle w:val="TextoNormalCaracter"/>
        </w:rPr>
        <w:t>-</w:t>
      </w:r>
      <w:r>
        <w:t xml:space="preserve"> Sentencia </w:t>
      </w:r>
      <w:hyperlink w:anchor="SENTENCIA_2024_68" w:history="1">
        <w:r w:rsidRPr="00601EEA">
          <w:rPr>
            <w:rStyle w:val="TextoNormalCaracter"/>
          </w:rPr>
          <w:t>68/2024</w:t>
        </w:r>
      </w:hyperlink>
      <w:r>
        <w:t>, f. 7.</w:t>
      </w:r>
    </w:p>
    <w:p w14:paraId="5B44CC24" w14:textId="6B309387" w:rsidR="00601EEA" w:rsidRDefault="00601EEA" w:rsidP="00601EEA">
      <w:pPr>
        <w:pStyle w:val="SangriaFrancesaArticulo"/>
      </w:pPr>
      <w:r w:rsidRPr="00601EEA">
        <w:rPr>
          <w:rStyle w:val="TextoNormalNegritaCaracter"/>
        </w:rPr>
        <w:t>Artículo 23.2 a) a n).</w:t>
      </w:r>
      <w:r w:rsidRPr="00601EEA">
        <w:rPr>
          <w:rStyle w:val="TextoNormalCaracter"/>
        </w:rPr>
        <w:t>-</w:t>
      </w:r>
      <w:r>
        <w:t xml:space="preserve"> Sentencia </w:t>
      </w:r>
      <w:hyperlink w:anchor="SENTENCIA_2024_68" w:history="1">
        <w:r w:rsidRPr="00601EEA">
          <w:rPr>
            <w:rStyle w:val="TextoNormalCaracter"/>
          </w:rPr>
          <w:t>68/2024</w:t>
        </w:r>
      </w:hyperlink>
      <w:r>
        <w:t>, f. 7.</w:t>
      </w:r>
    </w:p>
    <w:p w14:paraId="49B4A0C9" w14:textId="4D7E8581" w:rsidR="00601EEA" w:rsidRDefault="00601EEA" w:rsidP="00601EEA">
      <w:pPr>
        <w:pStyle w:val="SangriaFrancesaArticulo"/>
      </w:pPr>
      <w:r w:rsidRPr="00601EEA">
        <w:rPr>
          <w:rStyle w:val="TextoNormalNegritaCaracter"/>
        </w:rPr>
        <w:lastRenderedPageBreak/>
        <w:t>Artículo 23.2 d).</w:t>
      </w:r>
      <w:r w:rsidRPr="00601EEA">
        <w:rPr>
          <w:rStyle w:val="TextoNormalCaracter"/>
        </w:rPr>
        <w:t>-</w:t>
      </w:r>
      <w:r>
        <w:t xml:space="preserve"> Sentencia </w:t>
      </w:r>
      <w:hyperlink w:anchor="SENTENCIA_2024_68" w:history="1">
        <w:r w:rsidRPr="00601EEA">
          <w:rPr>
            <w:rStyle w:val="TextoNormalCaracter"/>
          </w:rPr>
          <w:t>68/2024</w:t>
        </w:r>
      </w:hyperlink>
      <w:r>
        <w:t>, ff. 1, 3, 4, 7.</w:t>
      </w:r>
    </w:p>
    <w:p w14:paraId="556B3342" w14:textId="5400687F" w:rsidR="00601EEA" w:rsidRDefault="00601EEA" w:rsidP="00601EEA">
      <w:pPr>
        <w:pStyle w:val="SangriaIzquierdaArticulo"/>
      </w:pPr>
      <w:r>
        <w:t xml:space="preserve">Auto </w:t>
      </w:r>
      <w:hyperlink w:anchor="AUTO_2024_22" w:history="1">
        <w:r w:rsidRPr="00601EEA">
          <w:rPr>
            <w:rStyle w:val="TextoNormalCaracter"/>
          </w:rPr>
          <w:t>22/2024</w:t>
        </w:r>
      </w:hyperlink>
      <w:r>
        <w:t>, ff. 1, 5, 6.</w:t>
      </w:r>
    </w:p>
    <w:p w14:paraId="71CD4526" w14:textId="560E49D3" w:rsidR="00601EEA" w:rsidRDefault="00601EEA" w:rsidP="00601EEA">
      <w:pPr>
        <w:pStyle w:val="SangriaFrancesaArticulo"/>
      </w:pPr>
      <w:r w:rsidRPr="00601EEA">
        <w:rPr>
          <w:rStyle w:val="TextoNormalNegritaCaracter"/>
        </w:rPr>
        <w:t>Artículo 23.2 g).</w:t>
      </w:r>
      <w:r w:rsidRPr="00601EEA">
        <w:rPr>
          <w:rStyle w:val="TextoNormalCaracter"/>
        </w:rPr>
        <w:t>-</w:t>
      </w:r>
      <w:r>
        <w:t xml:space="preserve"> Sentencia </w:t>
      </w:r>
      <w:hyperlink w:anchor="SENTENCIA_2024_68" w:history="1">
        <w:r w:rsidRPr="00601EEA">
          <w:rPr>
            <w:rStyle w:val="TextoNormalCaracter"/>
          </w:rPr>
          <w:t>68/2024</w:t>
        </w:r>
      </w:hyperlink>
      <w:r>
        <w:t>, ff. 1, 3, 4, 7.</w:t>
      </w:r>
    </w:p>
    <w:p w14:paraId="10163877" w14:textId="15ECD0E4" w:rsidR="00601EEA" w:rsidRDefault="00601EEA" w:rsidP="00601EEA">
      <w:pPr>
        <w:pStyle w:val="SangriaIzquierdaArticulo"/>
      </w:pPr>
      <w:r>
        <w:t xml:space="preserve">Auto </w:t>
      </w:r>
      <w:hyperlink w:anchor="AUTO_2024_22" w:history="1">
        <w:r w:rsidRPr="00601EEA">
          <w:rPr>
            <w:rStyle w:val="TextoNormalCaracter"/>
          </w:rPr>
          <w:t>22/2024</w:t>
        </w:r>
      </w:hyperlink>
      <w:r>
        <w:t>, ff. 1, 5, 6.</w:t>
      </w:r>
    </w:p>
    <w:p w14:paraId="25AB642D" w14:textId="58ADF87C" w:rsidR="00601EEA" w:rsidRDefault="00601EEA" w:rsidP="00601EEA">
      <w:pPr>
        <w:pStyle w:val="SangriaFrancesaArticulo"/>
      </w:pPr>
      <w:r w:rsidRPr="00601EEA">
        <w:rPr>
          <w:rStyle w:val="TextoNormalNegritaCaracter"/>
        </w:rPr>
        <w:t>Artículo 23.2 i).</w:t>
      </w:r>
      <w:r w:rsidRPr="00601EEA">
        <w:rPr>
          <w:rStyle w:val="TextoNormalCaracter"/>
        </w:rPr>
        <w:t>-</w:t>
      </w:r>
      <w:r>
        <w:t xml:space="preserve"> Sentencia </w:t>
      </w:r>
      <w:hyperlink w:anchor="SENTENCIA_2024_68" w:history="1">
        <w:r w:rsidRPr="00601EEA">
          <w:rPr>
            <w:rStyle w:val="TextoNormalCaracter"/>
          </w:rPr>
          <w:t>68/2024</w:t>
        </w:r>
      </w:hyperlink>
      <w:r>
        <w:t>, ff. 1, 3, 4, 7.</w:t>
      </w:r>
    </w:p>
    <w:p w14:paraId="3D1A6374" w14:textId="3632F902" w:rsidR="00601EEA" w:rsidRDefault="00601EEA" w:rsidP="00601EEA">
      <w:pPr>
        <w:pStyle w:val="SangriaIzquierdaArticulo"/>
      </w:pPr>
      <w:r>
        <w:t xml:space="preserve">Auto </w:t>
      </w:r>
      <w:hyperlink w:anchor="AUTO_2024_22" w:history="1">
        <w:r w:rsidRPr="00601EEA">
          <w:rPr>
            <w:rStyle w:val="TextoNormalCaracter"/>
          </w:rPr>
          <w:t>22/2024</w:t>
        </w:r>
      </w:hyperlink>
      <w:r>
        <w:t>, ff. 1, 5, 6.</w:t>
      </w:r>
    </w:p>
    <w:p w14:paraId="7803C3AE" w14:textId="480CD929" w:rsidR="00601EEA" w:rsidRDefault="00601EEA" w:rsidP="00601EEA">
      <w:pPr>
        <w:pStyle w:val="SangriaFrancesaArticulo"/>
      </w:pPr>
      <w:r w:rsidRPr="00601EEA">
        <w:rPr>
          <w:rStyle w:val="TextoNormalNegritaCaracter"/>
        </w:rPr>
        <w:t>Artículo 23.2 m).</w:t>
      </w:r>
      <w:r w:rsidRPr="00601EEA">
        <w:rPr>
          <w:rStyle w:val="TextoNormalCaracter"/>
        </w:rPr>
        <w:t>-</w:t>
      </w:r>
      <w:r>
        <w:t xml:space="preserve"> Sentencia </w:t>
      </w:r>
      <w:hyperlink w:anchor="SENTENCIA_2024_68" w:history="1">
        <w:r w:rsidRPr="00601EEA">
          <w:rPr>
            <w:rStyle w:val="TextoNormalCaracter"/>
          </w:rPr>
          <w:t>68/2024</w:t>
        </w:r>
      </w:hyperlink>
      <w:r>
        <w:t>, ff. 2, 3, 7.</w:t>
      </w:r>
    </w:p>
    <w:p w14:paraId="733304B4" w14:textId="2A19C641" w:rsidR="00601EEA" w:rsidRDefault="00601EEA" w:rsidP="00601EEA">
      <w:pPr>
        <w:pStyle w:val="SangriaIzquierdaArticulo"/>
      </w:pPr>
      <w:r>
        <w:t xml:space="preserve">Auto </w:t>
      </w:r>
      <w:hyperlink w:anchor="AUTO_2024_22" w:history="1">
        <w:r w:rsidRPr="00601EEA">
          <w:rPr>
            <w:rStyle w:val="TextoNormalCaracter"/>
          </w:rPr>
          <w:t>22/2024</w:t>
        </w:r>
      </w:hyperlink>
      <w:r>
        <w:t>, ff. 1, 5, 6.</w:t>
      </w:r>
    </w:p>
    <w:p w14:paraId="340E76CB" w14:textId="6967630B" w:rsidR="00601EEA" w:rsidRDefault="00601EEA" w:rsidP="00601EEA">
      <w:pPr>
        <w:pStyle w:val="SangriaFrancesaArticulo"/>
      </w:pPr>
      <w:r w:rsidRPr="00601EEA">
        <w:rPr>
          <w:rStyle w:val="TextoNormalNegritaCaracter"/>
        </w:rPr>
        <w:t>Artículo 23.3.</w:t>
      </w:r>
      <w:r w:rsidRPr="00601EEA">
        <w:rPr>
          <w:rStyle w:val="TextoNormalCaracter"/>
        </w:rPr>
        <w:t>-</w:t>
      </w:r>
      <w:r>
        <w:t xml:space="preserve"> Sentencia </w:t>
      </w:r>
      <w:hyperlink w:anchor="SENTENCIA_2024_68" w:history="1">
        <w:r w:rsidRPr="00601EEA">
          <w:rPr>
            <w:rStyle w:val="TextoNormalCaracter"/>
          </w:rPr>
          <w:t>68/2024</w:t>
        </w:r>
      </w:hyperlink>
      <w:r>
        <w:t>, f. 7.</w:t>
      </w:r>
    </w:p>
    <w:p w14:paraId="4914403B" w14:textId="34EDC36F" w:rsidR="00601EEA" w:rsidRDefault="00601EEA" w:rsidP="00601EEA">
      <w:pPr>
        <w:pStyle w:val="SangriaFrancesaArticulo"/>
      </w:pPr>
      <w:r w:rsidRPr="00601EEA">
        <w:rPr>
          <w:rStyle w:val="TextoNormalNegritaCaracter"/>
        </w:rPr>
        <w:t>Artículo 24.3.</w:t>
      </w:r>
      <w:r w:rsidRPr="00601EEA">
        <w:rPr>
          <w:rStyle w:val="TextoNormalCaracter"/>
        </w:rPr>
        <w:t>-</w:t>
      </w:r>
      <w:r>
        <w:t xml:space="preserve"> Sentencia </w:t>
      </w:r>
      <w:hyperlink w:anchor="SENTENCIA_2024_68" w:history="1">
        <w:r w:rsidRPr="00601EEA">
          <w:rPr>
            <w:rStyle w:val="TextoNormalCaracter"/>
          </w:rPr>
          <w:t>68/2024</w:t>
        </w:r>
      </w:hyperlink>
      <w:r>
        <w:t>, f. 7.</w:t>
      </w:r>
    </w:p>
    <w:p w14:paraId="08458D65" w14:textId="5C0690B4" w:rsidR="00601EEA" w:rsidRDefault="00601EEA" w:rsidP="00601EEA">
      <w:pPr>
        <w:pStyle w:val="SangriaFrancesaArticulo"/>
      </w:pPr>
      <w:r w:rsidRPr="00601EEA">
        <w:rPr>
          <w:rStyle w:val="TextoNormalNegritaCaracter"/>
        </w:rPr>
        <w:t>Artículo 24.3 c).</w:t>
      </w:r>
      <w:r w:rsidRPr="00601EEA">
        <w:rPr>
          <w:rStyle w:val="TextoNormalCaracter"/>
        </w:rPr>
        <w:t>-</w:t>
      </w:r>
      <w:r>
        <w:t xml:space="preserve"> Sentencia </w:t>
      </w:r>
      <w:hyperlink w:anchor="SENTENCIA_2024_68" w:history="1">
        <w:r w:rsidRPr="00601EEA">
          <w:rPr>
            <w:rStyle w:val="TextoNormalCaracter"/>
          </w:rPr>
          <w:t>68/2024</w:t>
        </w:r>
      </w:hyperlink>
      <w:r>
        <w:t>, ff. 1 a 4, 7.</w:t>
      </w:r>
    </w:p>
    <w:p w14:paraId="78A8FF4A" w14:textId="4D9FF5AE" w:rsidR="00601EEA" w:rsidRDefault="00601EEA" w:rsidP="00601EEA">
      <w:pPr>
        <w:pStyle w:val="SangriaIzquierdaArticulo"/>
      </w:pPr>
      <w:r>
        <w:t xml:space="preserve">Auto </w:t>
      </w:r>
      <w:hyperlink w:anchor="AUTO_2024_22" w:history="1">
        <w:r w:rsidRPr="00601EEA">
          <w:rPr>
            <w:rStyle w:val="TextoNormalCaracter"/>
          </w:rPr>
          <w:t>22/2024</w:t>
        </w:r>
      </w:hyperlink>
      <w:r>
        <w:t>, ff. 1, 5, 6.</w:t>
      </w:r>
    </w:p>
    <w:p w14:paraId="09B84902" w14:textId="6B46FCBF" w:rsidR="00601EEA" w:rsidRDefault="00601EEA" w:rsidP="00601EEA">
      <w:pPr>
        <w:pStyle w:val="SangriaFrancesaArticulo"/>
      </w:pPr>
      <w:r w:rsidRPr="00601EEA">
        <w:rPr>
          <w:rStyle w:val="TextoNormalNegritaCaracter"/>
        </w:rPr>
        <w:t>Artículo 24.3 e).</w:t>
      </w:r>
      <w:r w:rsidRPr="00601EEA">
        <w:rPr>
          <w:rStyle w:val="TextoNormalCaracter"/>
        </w:rPr>
        <w:t>-</w:t>
      </w:r>
      <w:r>
        <w:t xml:space="preserve"> Sentencia </w:t>
      </w:r>
      <w:hyperlink w:anchor="SENTENCIA_2024_68" w:history="1">
        <w:r w:rsidRPr="00601EEA">
          <w:rPr>
            <w:rStyle w:val="TextoNormalCaracter"/>
          </w:rPr>
          <w:t>68/2024</w:t>
        </w:r>
      </w:hyperlink>
      <w:r>
        <w:t>, ff. 1 a 4, 7.</w:t>
      </w:r>
    </w:p>
    <w:p w14:paraId="26B7FC0B" w14:textId="007A3F2C" w:rsidR="00601EEA" w:rsidRDefault="00601EEA" w:rsidP="00601EEA">
      <w:pPr>
        <w:pStyle w:val="SangriaIzquierdaArticulo"/>
      </w:pPr>
      <w:r>
        <w:t xml:space="preserve">Auto </w:t>
      </w:r>
      <w:hyperlink w:anchor="AUTO_2024_22" w:history="1">
        <w:r w:rsidRPr="00601EEA">
          <w:rPr>
            <w:rStyle w:val="TextoNormalCaracter"/>
          </w:rPr>
          <w:t>22/2024</w:t>
        </w:r>
      </w:hyperlink>
      <w:r>
        <w:t>, ff. 1, 5, 6.</w:t>
      </w:r>
    </w:p>
    <w:p w14:paraId="336EE148" w14:textId="0196C18F" w:rsidR="00601EEA" w:rsidRDefault="00601EEA" w:rsidP="00601EEA">
      <w:pPr>
        <w:pStyle w:val="SangriaFrancesaArticulo"/>
      </w:pPr>
      <w:r w:rsidRPr="00601EEA">
        <w:rPr>
          <w:rStyle w:val="TextoNormalNegritaCaracter"/>
        </w:rPr>
        <w:t>Artículo 24.3 f).</w:t>
      </w:r>
      <w:r w:rsidRPr="00601EEA">
        <w:rPr>
          <w:rStyle w:val="TextoNormalCaracter"/>
        </w:rPr>
        <w:t>-</w:t>
      </w:r>
      <w:r>
        <w:t xml:space="preserve"> Sentencia </w:t>
      </w:r>
      <w:hyperlink w:anchor="SENTENCIA_2024_68" w:history="1">
        <w:r w:rsidRPr="00601EEA">
          <w:rPr>
            <w:rStyle w:val="TextoNormalCaracter"/>
          </w:rPr>
          <w:t>68/2024</w:t>
        </w:r>
      </w:hyperlink>
      <w:r>
        <w:t>, ff. 1 a 4, 7.</w:t>
      </w:r>
    </w:p>
    <w:p w14:paraId="0A41FC53" w14:textId="6D9D0338" w:rsidR="00601EEA" w:rsidRDefault="00601EEA" w:rsidP="00601EEA">
      <w:pPr>
        <w:pStyle w:val="SangriaIzquierdaArticulo"/>
      </w:pPr>
      <w:r>
        <w:t xml:space="preserve">Auto </w:t>
      </w:r>
      <w:hyperlink w:anchor="AUTO_2024_22" w:history="1">
        <w:r w:rsidRPr="00601EEA">
          <w:rPr>
            <w:rStyle w:val="TextoNormalCaracter"/>
          </w:rPr>
          <w:t>22/2024</w:t>
        </w:r>
      </w:hyperlink>
      <w:r>
        <w:t>, ff. 1, 5, 6.</w:t>
      </w:r>
    </w:p>
    <w:p w14:paraId="4FAFB9F6" w14:textId="129300A8" w:rsidR="00601EEA" w:rsidRDefault="00601EEA" w:rsidP="00601EEA">
      <w:pPr>
        <w:pStyle w:val="SangriaFrancesaArticulo"/>
      </w:pPr>
      <w:r w:rsidRPr="00601EEA">
        <w:rPr>
          <w:rStyle w:val="TextoNormalNegritaCaracter"/>
        </w:rPr>
        <w:t>Artículo 25.1.</w:t>
      </w:r>
      <w:r w:rsidRPr="00601EEA">
        <w:rPr>
          <w:rStyle w:val="TextoNormalCaracter"/>
        </w:rPr>
        <w:t>-</w:t>
      </w:r>
      <w:r>
        <w:t xml:space="preserve"> Sentencia </w:t>
      </w:r>
      <w:hyperlink w:anchor="SENTENCIA_2024_68" w:history="1">
        <w:r w:rsidRPr="00601EEA">
          <w:rPr>
            <w:rStyle w:val="TextoNormalCaracter"/>
          </w:rPr>
          <w:t>68/2024</w:t>
        </w:r>
      </w:hyperlink>
      <w:r>
        <w:t>, ff. 2, 7, 9, 11.</w:t>
      </w:r>
    </w:p>
    <w:p w14:paraId="4B7FCB60" w14:textId="097AC13F" w:rsidR="00601EEA" w:rsidRDefault="00601EEA" w:rsidP="00601EEA">
      <w:pPr>
        <w:pStyle w:val="SangriaFrancesaArticulo"/>
      </w:pPr>
      <w:r w:rsidRPr="00601EEA">
        <w:rPr>
          <w:rStyle w:val="TextoNormalNegritaCaracter"/>
        </w:rPr>
        <w:t>Artículo 25.1 a).</w:t>
      </w:r>
      <w:r w:rsidRPr="00601EEA">
        <w:rPr>
          <w:rStyle w:val="TextoNormalCaracter"/>
        </w:rPr>
        <w:t>-</w:t>
      </w:r>
      <w:r>
        <w:t xml:space="preserve"> Sentencia </w:t>
      </w:r>
      <w:hyperlink w:anchor="SENTENCIA_2024_68" w:history="1">
        <w:r w:rsidRPr="00601EEA">
          <w:rPr>
            <w:rStyle w:val="TextoNormalCaracter"/>
          </w:rPr>
          <w:t>68/2024</w:t>
        </w:r>
      </w:hyperlink>
      <w:r>
        <w:t>, ff. 1 a 4, 7.</w:t>
      </w:r>
    </w:p>
    <w:p w14:paraId="57155B14" w14:textId="4B355CB7" w:rsidR="00601EEA" w:rsidRDefault="00601EEA" w:rsidP="00601EEA">
      <w:pPr>
        <w:pStyle w:val="SangriaIzquierdaArticulo"/>
      </w:pPr>
      <w:r>
        <w:t xml:space="preserve">Auto </w:t>
      </w:r>
      <w:hyperlink w:anchor="AUTO_2024_22" w:history="1">
        <w:r w:rsidRPr="00601EEA">
          <w:rPr>
            <w:rStyle w:val="TextoNormalCaracter"/>
          </w:rPr>
          <w:t>22/2024</w:t>
        </w:r>
      </w:hyperlink>
      <w:r>
        <w:t>, ff. 1, 5, 6.</w:t>
      </w:r>
    </w:p>
    <w:p w14:paraId="5CC954F8" w14:textId="4175EC4A" w:rsidR="00601EEA" w:rsidRDefault="00601EEA" w:rsidP="00601EEA">
      <w:pPr>
        <w:pStyle w:val="SangriaFrancesaArticulo"/>
      </w:pPr>
      <w:r w:rsidRPr="00601EEA">
        <w:rPr>
          <w:rStyle w:val="TextoNormalNegritaCaracter"/>
        </w:rPr>
        <w:t>Artículo 25.1 b).</w:t>
      </w:r>
      <w:r w:rsidRPr="00601EEA">
        <w:rPr>
          <w:rStyle w:val="TextoNormalCaracter"/>
        </w:rPr>
        <w:t>-</w:t>
      </w:r>
      <w:r>
        <w:t xml:space="preserve"> Sentencia </w:t>
      </w:r>
      <w:hyperlink w:anchor="SENTENCIA_2024_68" w:history="1">
        <w:r w:rsidRPr="00601EEA">
          <w:rPr>
            <w:rStyle w:val="TextoNormalCaracter"/>
          </w:rPr>
          <w:t>68/2024</w:t>
        </w:r>
      </w:hyperlink>
      <w:r>
        <w:t>, ff. 1 a 4, 7.</w:t>
      </w:r>
    </w:p>
    <w:p w14:paraId="2260FC5C" w14:textId="1A0D3C7B" w:rsidR="00601EEA" w:rsidRDefault="00601EEA" w:rsidP="00601EEA">
      <w:pPr>
        <w:pStyle w:val="SangriaIzquierdaArticulo"/>
      </w:pPr>
      <w:r>
        <w:t xml:space="preserve">Auto </w:t>
      </w:r>
      <w:hyperlink w:anchor="AUTO_2024_22" w:history="1">
        <w:r w:rsidRPr="00601EEA">
          <w:rPr>
            <w:rStyle w:val="TextoNormalCaracter"/>
          </w:rPr>
          <w:t>22/2024</w:t>
        </w:r>
      </w:hyperlink>
      <w:r>
        <w:t>, ff. 1, 5, 6.</w:t>
      </w:r>
    </w:p>
    <w:p w14:paraId="33367F7D" w14:textId="1E909170" w:rsidR="00601EEA" w:rsidRDefault="00601EEA" w:rsidP="00601EEA">
      <w:pPr>
        <w:pStyle w:val="SangriaFrancesaArticulo"/>
      </w:pPr>
      <w:r w:rsidRPr="00601EEA">
        <w:rPr>
          <w:rStyle w:val="TextoNormalNegritaCaracter"/>
        </w:rPr>
        <w:t>Artículo 25.1 c).</w:t>
      </w:r>
      <w:r w:rsidRPr="00601EEA">
        <w:rPr>
          <w:rStyle w:val="TextoNormalCaracter"/>
        </w:rPr>
        <w:t>-</w:t>
      </w:r>
      <w:r>
        <w:t xml:space="preserve"> Sentencia </w:t>
      </w:r>
      <w:hyperlink w:anchor="SENTENCIA_2024_68" w:history="1">
        <w:r w:rsidRPr="00601EEA">
          <w:rPr>
            <w:rStyle w:val="TextoNormalCaracter"/>
          </w:rPr>
          <w:t>68/2024</w:t>
        </w:r>
      </w:hyperlink>
      <w:r>
        <w:t>, ff. 1 a 4, 7.</w:t>
      </w:r>
    </w:p>
    <w:p w14:paraId="0A32D2EF" w14:textId="76396514" w:rsidR="00601EEA" w:rsidRDefault="00601EEA" w:rsidP="00601EEA">
      <w:pPr>
        <w:pStyle w:val="SangriaIzquierdaArticulo"/>
      </w:pPr>
      <w:r>
        <w:t xml:space="preserve">Auto </w:t>
      </w:r>
      <w:hyperlink w:anchor="AUTO_2024_22" w:history="1">
        <w:r w:rsidRPr="00601EEA">
          <w:rPr>
            <w:rStyle w:val="TextoNormalCaracter"/>
          </w:rPr>
          <w:t>22/2024</w:t>
        </w:r>
      </w:hyperlink>
      <w:r>
        <w:t>, ff. 1, 5, 6.</w:t>
      </w:r>
    </w:p>
    <w:p w14:paraId="2BCF06D7" w14:textId="10A3FCD2" w:rsidR="00601EEA" w:rsidRDefault="00601EEA" w:rsidP="00601EEA">
      <w:pPr>
        <w:pStyle w:val="SangriaFrancesaArticulo"/>
      </w:pPr>
      <w:r w:rsidRPr="00601EEA">
        <w:rPr>
          <w:rStyle w:val="TextoNormalNegritaCaracter"/>
        </w:rPr>
        <w:t>Artículo 25.1 d).</w:t>
      </w:r>
      <w:r w:rsidRPr="00601EEA">
        <w:rPr>
          <w:rStyle w:val="TextoNormalCaracter"/>
        </w:rPr>
        <w:t>-</w:t>
      </w:r>
      <w:r>
        <w:t xml:space="preserve"> Sentencia </w:t>
      </w:r>
      <w:hyperlink w:anchor="SENTENCIA_2024_68" w:history="1">
        <w:r w:rsidRPr="00601EEA">
          <w:rPr>
            <w:rStyle w:val="TextoNormalCaracter"/>
          </w:rPr>
          <w:t>68/2024</w:t>
        </w:r>
      </w:hyperlink>
      <w:r>
        <w:t>, ff. 1 a 4, 7.</w:t>
      </w:r>
    </w:p>
    <w:p w14:paraId="00F3077C" w14:textId="76784886" w:rsidR="00601EEA" w:rsidRDefault="00601EEA" w:rsidP="00601EEA">
      <w:pPr>
        <w:pStyle w:val="SangriaIzquierdaArticulo"/>
      </w:pPr>
      <w:r>
        <w:t xml:space="preserve">Auto </w:t>
      </w:r>
      <w:hyperlink w:anchor="AUTO_2024_22" w:history="1">
        <w:r w:rsidRPr="00601EEA">
          <w:rPr>
            <w:rStyle w:val="TextoNormalCaracter"/>
          </w:rPr>
          <w:t>22/2024</w:t>
        </w:r>
      </w:hyperlink>
      <w:r>
        <w:t>, ff. 1, 5, 6.</w:t>
      </w:r>
    </w:p>
    <w:p w14:paraId="40E0F993" w14:textId="0D9A47EC" w:rsidR="00601EEA" w:rsidRDefault="00601EEA" w:rsidP="00601EEA">
      <w:pPr>
        <w:pStyle w:val="SangriaFrancesaArticulo"/>
      </w:pPr>
      <w:r w:rsidRPr="00601EEA">
        <w:rPr>
          <w:rStyle w:val="TextoNormalNegritaCaracter"/>
        </w:rPr>
        <w:t>Artículo 27.3 c).</w:t>
      </w:r>
      <w:r w:rsidRPr="00601EEA">
        <w:rPr>
          <w:rStyle w:val="TextoNormalCaracter"/>
        </w:rPr>
        <w:t>-</w:t>
      </w:r>
      <w:r>
        <w:t xml:space="preserve"> Sentencia </w:t>
      </w:r>
      <w:hyperlink w:anchor="SENTENCIA_2024_68" w:history="1">
        <w:r w:rsidRPr="00601EEA">
          <w:rPr>
            <w:rStyle w:val="TextoNormalCaracter"/>
          </w:rPr>
          <w:t>68/2024</w:t>
        </w:r>
      </w:hyperlink>
      <w:r>
        <w:t>, ff. 1 a 4, 7.</w:t>
      </w:r>
    </w:p>
    <w:p w14:paraId="46442177" w14:textId="7BCAEFDC" w:rsidR="00601EEA" w:rsidRDefault="00601EEA" w:rsidP="00601EEA">
      <w:pPr>
        <w:pStyle w:val="SangriaIzquierdaArticulo"/>
      </w:pPr>
      <w:r>
        <w:t xml:space="preserve">Auto </w:t>
      </w:r>
      <w:hyperlink w:anchor="AUTO_2024_22" w:history="1">
        <w:r w:rsidRPr="00601EEA">
          <w:rPr>
            <w:rStyle w:val="TextoNormalCaracter"/>
          </w:rPr>
          <w:t>22/2024</w:t>
        </w:r>
      </w:hyperlink>
      <w:r>
        <w:t>, ff. 1, 5, 6.</w:t>
      </w:r>
    </w:p>
    <w:p w14:paraId="75BBEFBB" w14:textId="61B0D192" w:rsidR="00601EEA" w:rsidRDefault="00601EEA" w:rsidP="00601EEA">
      <w:pPr>
        <w:pStyle w:val="SangriaFrancesaArticulo"/>
      </w:pPr>
      <w:r w:rsidRPr="00601EEA">
        <w:rPr>
          <w:rStyle w:val="TextoNormalNegritaCaracter"/>
        </w:rPr>
        <w:t>Artículo 29.</w:t>
      </w:r>
      <w:r w:rsidRPr="00601EEA">
        <w:rPr>
          <w:rStyle w:val="TextoNormalCaracter"/>
        </w:rPr>
        <w:t>-</w:t>
      </w:r>
      <w:r>
        <w:t xml:space="preserve"> Sentencia </w:t>
      </w:r>
      <w:hyperlink w:anchor="SENTENCIA_2024_68" w:history="1">
        <w:r w:rsidRPr="00601EEA">
          <w:rPr>
            <w:rStyle w:val="TextoNormalCaracter"/>
          </w:rPr>
          <w:t>68/2024</w:t>
        </w:r>
      </w:hyperlink>
      <w:r>
        <w:t>, f. 6.</w:t>
      </w:r>
    </w:p>
    <w:p w14:paraId="2CFE2B75" w14:textId="7672C9F7" w:rsidR="00601EEA" w:rsidRDefault="00601EEA" w:rsidP="00601EEA">
      <w:pPr>
        <w:pStyle w:val="SangriaFrancesaArticulo"/>
      </w:pPr>
      <w:r w:rsidRPr="00601EEA">
        <w:rPr>
          <w:rStyle w:val="TextoNormalNegritaCaracter"/>
        </w:rPr>
        <w:t>Artículo 29 a 53.</w:t>
      </w:r>
      <w:r w:rsidRPr="00601EEA">
        <w:rPr>
          <w:rStyle w:val="TextoNormalCaracter"/>
        </w:rPr>
        <w:t>-</w:t>
      </w:r>
      <w:r>
        <w:t xml:space="preserve"> Sentencia </w:t>
      </w:r>
      <w:hyperlink w:anchor="SENTENCIA_2024_68" w:history="1">
        <w:r w:rsidRPr="00601EEA">
          <w:rPr>
            <w:rStyle w:val="TextoNormalCaracter"/>
          </w:rPr>
          <w:t>68/2024</w:t>
        </w:r>
      </w:hyperlink>
      <w:r>
        <w:t>, f. 8.</w:t>
      </w:r>
    </w:p>
    <w:p w14:paraId="4848871B" w14:textId="5F673BC1" w:rsidR="00601EEA" w:rsidRDefault="00601EEA" w:rsidP="00601EEA">
      <w:pPr>
        <w:pStyle w:val="SangriaFrancesaArticulo"/>
      </w:pPr>
      <w:r w:rsidRPr="00601EEA">
        <w:rPr>
          <w:rStyle w:val="TextoNormalNegritaCaracter"/>
        </w:rPr>
        <w:t>Artículo 29.1.</w:t>
      </w:r>
      <w:r w:rsidRPr="00601EEA">
        <w:rPr>
          <w:rStyle w:val="TextoNormalCaracter"/>
        </w:rPr>
        <w:t>-</w:t>
      </w:r>
      <w:r>
        <w:t xml:space="preserve"> Sentencia </w:t>
      </w:r>
      <w:hyperlink w:anchor="SENTENCIA_2024_68" w:history="1">
        <w:r w:rsidRPr="00601EEA">
          <w:rPr>
            <w:rStyle w:val="TextoNormalCaracter"/>
          </w:rPr>
          <w:t>68/2024</w:t>
        </w:r>
      </w:hyperlink>
      <w:r>
        <w:t>, ff. 1 a 4, 8.</w:t>
      </w:r>
    </w:p>
    <w:p w14:paraId="07757575" w14:textId="0B669C63" w:rsidR="00601EEA" w:rsidRDefault="00601EEA" w:rsidP="00601EEA">
      <w:pPr>
        <w:pStyle w:val="SangriaIzquierdaArticulo"/>
      </w:pPr>
      <w:r>
        <w:t xml:space="preserve">Auto </w:t>
      </w:r>
      <w:hyperlink w:anchor="AUTO_2024_22" w:history="1">
        <w:r w:rsidRPr="00601EEA">
          <w:rPr>
            <w:rStyle w:val="TextoNormalCaracter"/>
          </w:rPr>
          <w:t>22/2024</w:t>
        </w:r>
      </w:hyperlink>
      <w:r>
        <w:t>, ff. 1, 6.</w:t>
      </w:r>
    </w:p>
    <w:p w14:paraId="61E65C0A" w14:textId="5E7DF698" w:rsidR="00601EEA" w:rsidRDefault="00601EEA" w:rsidP="00601EEA">
      <w:pPr>
        <w:pStyle w:val="SangriaFrancesaArticulo"/>
      </w:pPr>
      <w:r w:rsidRPr="00601EEA">
        <w:rPr>
          <w:rStyle w:val="TextoNormalNegritaCaracter"/>
        </w:rPr>
        <w:t>Artículo 30.</w:t>
      </w:r>
      <w:r w:rsidRPr="00601EEA">
        <w:rPr>
          <w:rStyle w:val="TextoNormalCaracter"/>
        </w:rPr>
        <w:t>-</w:t>
      </w:r>
      <w:r>
        <w:t xml:space="preserve"> Sentencia </w:t>
      </w:r>
      <w:hyperlink w:anchor="SENTENCIA_2024_68" w:history="1">
        <w:r w:rsidRPr="00601EEA">
          <w:rPr>
            <w:rStyle w:val="TextoNormalCaracter"/>
          </w:rPr>
          <w:t>68/2024</w:t>
        </w:r>
      </w:hyperlink>
      <w:r>
        <w:t>, ff. 3, 8, VP I.</w:t>
      </w:r>
    </w:p>
    <w:p w14:paraId="6D0E1111" w14:textId="4B7F8825" w:rsidR="00601EEA" w:rsidRDefault="00601EEA" w:rsidP="00601EEA">
      <w:pPr>
        <w:pStyle w:val="SangriaFrancesaArticulo"/>
      </w:pPr>
      <w:r w:rsidRPr="00601EEA">
        <w:rPr>
          <w:rStyle w:val="TextoNormalNegritaCaracter"/>
        </w:rPr>
        <w:t>Artículo 31.</w:t>
      </w:r>
      <w:r w:rsidRPr="00601EEA">
        <w:rPr>
          <w:rStyle w:val="TextoNormalCaracter"/>
        </w:rPr>
        <w:t>-</w:t>
      </w:r>
      <w:r>
        <w:t xml:space="preserve"> Sentencia </w:t>
      </w:r>
      <w:hyperlink w:anchor="SENTENCIA_2024_68" w:history="1">
        <w:r w:rsidRPr="00601EEA">
          <w:rPr>
            <w:rStyle w:val="TextoNormalCaracter"/>
          </w:rPr>
          <w:t>68/2024</w:t>
        </w:r>
      </w:hyperlink>
      <w:r>
        <w:t>, ff. 3, 6, 8.</w:t>
      </w:r>
    </w:p>
    <w:p w14:paraId="66FE9420" w14:textId="3546806D" w:rsidR="00601EEA" w:rsidRDefault="00601EEA" w:rsidP="00601EEA">
      <w:pPr>
        <w:pStyle w:val="SangriaFrancesaArticulo"/>
      </w:pPr>
      <w:r w:rsidRPr="00601EEA">
        <w:rPr>
          <w:rStyle w:val="TextoNormalNegritaCaracter"/>
        </w:rPr>
        <w:t>Artículo 31.1.</w:t>
      </w:r>
      <w:r w:rsidRPr="00601EEA">
        <w:rPr>
          <w:rStyle w:val="TextoNormalCaracter"/>
        </w:rPr>
        <w:t>-</w:t>
      </w:r>
      <w:r>
        <w:t xml:space="preserve"> Sentencia </w:t>
      </w:r>
      <w:hyperlink w:anchor="SENTENCIA_2024_68" w:history="1">
        <w:r w:rsidRPr="00601EEA">
          <w:rPr>
            <w:rStyle w:val="TextoNormalCaracter"/>
          </w:rPr>
          <w:t>68/2024</w:t>
        </w:r>
      </w:hyperlink>
      <w:r>
        <w:t>, f. 8.</w:t>
      </w:r>
    </w:p>
    <w:p w14:paraId="658B191E" w14:textId="39469FC5" w:rsidR="00601EEA" w:rsidRDefault="00601EEA" w:rsidP="00601EEA">
      <w:pPr>
        <w:pStyle w:val="SangriaFrancesaArticulo"/>
      </w:pPr>
      <w:r w:rsidRPr="00601EEA">
        <w:rPr>
          <w:rStyle w:val="TextoNormalNegritaCaracter"/>
        </w:rPr>
        <w:t>Artículo 32.</w:t>
      </w:r>
      <w:r w:rsidRPr="00601EEA">
        <w:rPr>
          <w:rStyle w:val="TextoNormalCaracter"/>
        </w:rPr>
        <w:t>-</w:t>
      </w:r>
      <w:r>
        <w:t xml:space="preserve"> Sentencia </w:t>
      </w:r>
      <w:hyperlink w:anchor="SENTENCIA_2024_68" w:history="1">
        <w:r w:rsidRPr="00601EEA">
          <w:rPr>
            <w:rStyle w:val="TextoNormalCaracter"/>
          </w:rPr>
          <w:t>68/2024</w:t>
        </w:r>
      </w:hyperlink>
      <w:r>
        <w:t>, ff. 6, 8.</w:t>
      </w:r>
    </w:p>
    <w:p w14:paraId="279DD9EC" w14:textId="4A347689" w:rsidR="00601EEA" w:rsidRDefault="00601EEA" w:rsidP="00601EEA">
      <w:pPr>
        <w:pStyle w:val="SangriaFrancesaArticulo"/>
      </w:pPr>
      <w:r w:rsidRPr="00601EEA">
        <w:rPr>
          <w:rStyle w:val="TextoNormalNegritaCaracter"/>
        </w:rPr>
        <w:t>Artículo 32.1.</w:t>
      </w:r>
      <w:r w:rsidRPr="00601EEA">
        <w:rPr>
          <w:rStyle w:val="TextoNormalCaracter"/>
        </w:rPr>
        <w:t>-</w:t>
      </w:r>
      <w:r>
        <w:t xml:space="preserve"> Sentencia </w:t>
      </w:r>
      <w:hyperlink w:anchor="SENTENCIA_2024_68" w:history="1">
        <w:r w:rsidRPr="00601EEA">
          <w:rPr>
            <w:rStyle w:val="TextoNormalCaracter"/>
          </w:rPr>
          <w:t>68/2024</w:t>
        </w:r>
      </w:hyperlink>
      <w:r>
        <w:t>, f. 11.</w:t>
      </w:r>
    </w:p>
    <w:p w14:paraId="729EFEF4" w14:textId="71B92B6F" w:rsidR="00601EEA" w:rsidRDefault="00601EEA" w:rsidP="00601EEA">
      <w:pPr>
        <w:pStyle w:val="SangriaFrancesaArticulo"/>
      </w:pPr>
      <w:r w:rsidRPr="00601EEA">
        <w:rPr>
          <w:rStyle w:val="TextoNormalNegritaCaracter"/>
        </w:rPr>
        <w:t>Artículo 32.2 c).</w:t>
      </w:r>
      <w:r w:rsidRPr="00601EEA">
        <w:rPr>
          <w:rStyle w:val="TextoNormalCaracter"/>
        </w:rPr>
        <w:t>-</w:t>
      </w:r>
      <w:r>
        <w:t xml:space="preserve"> Sentencia </w:t>
      </w:r>
      <w:hyperlink w:anchor="SENTENCIA_2024_68" w:history="1">
        <w:r w:rsidRPr="00601EEA">
          <w:rPr>
            <w:rStyle w:val="TextoNormalCaracter"/>
          </w:rPr>
          <w:t>68/2024</w:t>
        </w:r>
      </w:hyperlink>
      <w:r>
        <w:t>, ff. 1, 7, 9.</w:t>
      </w:r>
    </w:p>
    <w:p w14:paraId="2AC4D830" w14:textId="311AF700" w:rsidR="00601EEA" w:rsidRDefault="00601EEA" w:rsidP="00601EEA">
      <w:pPr>
        <w:pStyle w:val="SangriaFrancesaArticulo"/>
      </w:pPr>
      <w:r w:rsidRPr="00601EEA">
        <w:rPr>
          <w:rStyle w:val="TextoNormalNegritaCaracter"/>
        </w:rPr>
        <w:t>Artículo 33.</w:t>
      </w:r>
      <w:r w:rsidRPr="00601EEA">
        <w:rPr>
          <w:rStyle w:val="TextoNormalCaracter"/>
        </w:rPr>
        <w:t>-</w:t>
      </w:r>
      <w:r>
        <w:t xml:space="preserve"> Sentencia </w:t>
      </w:r>
      <w:hyperlink w:anchor="SENTENCIA_2024_68" w:history="1">
        <w:r w:rsidRPr="00601EEA">
          <w:rPr>
            <w:rStyle w:val="TextoNormalCaracter"/>
          </w:rPr>
          <w:t>68/2024</w:t>
        </w:r>
      </w:hyperlink>
      <w:r>
        <w:t>, ff. 6, 8.</w:t>
      </w:r>
    </w:p>
    <w:p w14:paraId="6015EBC3" w14:textId="15854596" w:rsidR="00601EEA" w:rsidRDefault="00601EEA" w:rsidP="00601EEA">
      <w:pPr>
        <w:pStyle w:val="SangriaFrancesaArticulo"/>
      </w:pPr>
      <w:r w:rsidRPr="00601EEA">
        <w:rPr>
          <w:rStyle w:val="TextoNormalNegritaCaracter"/>
        </w:rPr>
        <w:t>Artículo 34.</w:t>
      </w:r>
      <w:r w:rsidRPr="00601EEA">
        <w:rPr>
          <w:rStyle w:val="TextoNormalCaracter"/>
        </w:rPr>
        <w:t>-</w:t>
      </w:r>
      <w:r>
        <w:t xml:space="preserve"> Sentencia </w:t>
      </w:r>
      <w:hyperlink w:anchor="SENTENCIA_2024_68" w:history="1">
        <w:r w:rsidRPr="00601EEA">
          <w:rPr>
            <w:rStyle w:val="TextoNormalCaracter"/>
          </w:rPr>
          <w:t>68/2024</w:t>
        </w:r>
      </w:hyperlink>
      <w:r>
        <w:t>, ff. 3, 6, 8.</w:t>
      </w:r>
    </w:p>
    <w:p w14:paraId="29A775BF" w14:textId="5CE95512" w:rsidR="00601EEA" w:rsidRDefault="00601EEA" w:rsidP="00601EEA">
      <w:pPr>
        <w:pStyle w:val="SangriaIzquierdaArticulo"/>
      </w:pPr>
      <w:r>
        <w:t xml:space="preserve">Auto </w:t>
      </w:r>
      <w:hyperlink w:anchor="AUTO_2024_22" w:history="1">
        <w:r w:rsidRPr="00601EEA">
          <w:rPr>
            <w:rStyle w:val="TextoNormalCaracter"/>
          </w:rPr>
          <w:t>22/2024</w:t>
        </w:r>
      </w:hyperlink>
      <w:r>
        <w:t>, f. 5.</w:t>
      </w:r>
    </w:p>
    <w:p w14:paraId="7CDC3B1A" w14:textId="30CC196C" w:rsidR="00601EEA" w:rsidRDefault="00601EEA" w:rsidP="00601EEA">
      <w:pPr>
        <w:pStyle w:val="SangriaFrancesaArticulo"/>
      </w:pPr>
      <w:r w:rsidRPr="00601EEA">
        <w:rPr>
          <w:rStyle w:val="TextoNormalNegritaCaracter"/>
        </w:rPr>
        <w:t>Artículo 34.2.</w:t>
      </w:r>
      <w:r w:rsidRPr="00601EEA">
        <w:rPr>
          <w:rStyle w:val="TextoNormalCaracter"/>
        </w:rPr>
        <w:t>-</w:t>
      </w:r>
      <w:r>
        <w:t xml:space="preserve"> Sentencia </w:t>
      </w:r>
      <w:hyperlink w:anchor="SENTENCIA_2024_68" w:history="1">
        <w:r w:rsidRPr="00601EEA">
          <w:rPr>
            <w:rStyle w:val="TextoNormalCaracter"/>
          </w:rPr>
          <w:t>68/2024</w:t>
        </w:r>
      </w:hyperlink>
      <w:r>
        <w:t>, f. 8.</w:t>
      </w:r>
    </w:p>
    <w:p w14:paraId="51610F39" w14:textId="6E59FFA3" w:rsidR="00601EEA" w:rsidRDefault="00601EEA" w:rsidP="00601EEA">
      <w:pPr>
        <w:pStyle w:val="SangriaFrancesaArticulo"/>
      </w:pPr>
      <w:r w:rsidRPr="00601EEA">
        <w:rPr>
          <w:rStyle w:val="TextoNormalNegritaCaracter"/>
        </w:rPr>
        <w:t>Artículo 34.2 a).</w:t>
      </w:r>
      <w:r w:rsidRPr="00601EEA">
        <w:rPr>
          <w:rStyle w:val="TextoNormalCaracter"/>
        </w:rPr>
        <w:t>-</w:t>
      </w:r>
      <w:r>
        <w:t xml:space="preserve"> Sentencia </w:t>
      </w:r>
      <w:hyperlink w:anchor="SENTENCIA_2024_68" w:history="1">
        <w:r w:rsidRPr="00601EEA">
          <w:rPr>
            <w:rStyle w:val="TextoNormalCaracter"/>
          </w:rPr>
          <w:t>68/2024</w:t>
        </w:r>
      </w:hyperlink>
      <w:r>
        <w:t>, ff. 1, 2, 4, 8.</w:t>
      </w:r>
    </w:p>
    <w:p w14:paraId="240F2E23" w14:textId="01B3AB6F" w:rsidR="00601EEA" w:rsidRDefault="00601EEA" w:rsidP="00601EEA">
      <w:pPr>
        <w:pStyle w:val="SangriaIzquierdaArticulo"/>
      </w:pPr>
      <w:r>
        <w:t xml:space="preserve">Auto </w:t>
      </w:r>
      <w:hyperlink w:anchor="AUTO_2024_22" w:history="1">
        <w:r w:rsidRPr="00601EEA">
          <w:rPr>
            <w:rStyle w:val="TextoNormalCaracter"/>
          </w:rPr>
          <w:t>22/2024</w:t>
        </w:r>
      </w:hyperlink>
      <w:r>
        <w:t>, ff. 1, 6.</w:t>
      </w:r>
    </w:p>
    <w:p w14:paraId="5EFA9E47" w14:textId="439D640C" w:rsidR="00601EEA" w:rsidRDefault="00601EEA" w:rsidP="00601EEA">
      <w:pPr>
        <w:pStyle w:val="SangriaFrancesaArticulo"/>
      </w:pPr>
      <w:r w:rsidRPr="00601EEA">
        <w:rPr>
          <w:rStyle w:val="TextoNormalNegritaCaracter"/>
        </w:rPr>
        <w:t>Artículo 34.2 b).</w:t>
      </w:r>
      <w:r w:rsidRPr="00601EEA">
        <w:rPr>
          <w:rStyle w:val="TextoNormalCaracter"/>
        </w:rPr>
        <w:t>-</w:t>
      </w:r>
      <w:r>
        <w:t xml:space="preserve"> Sentencia </w:t>
      </w:r>
      <w:hyperlink w:anchor="SENTENCIA_2024_68" w:history="1">
        <w:r w:rsidRPr="00601EEA">
          <w:rPr>
            <w:rStyle w:val="TextoNormalCaracter"/>
          </w:rPr>
          <w:t>68/2024</w:t>
        </w:r>
      </w:hyperlink>
      <w:r>
        <w:t>, ff. 1, 2, 4, 8, VP I.</w:t>
      </w:r>
    </w:p>
    <w:p w14:paraId="008182CA" w14:textId="72214D41" w:rsidR="00601EEA" w:rsidRDefault="00601EEA" w:rsidP="00601EEA">
      <w:pPr>
        <w:pStyle w:val="SangriaIzquierdaArticulo"/>
      </w:pPr>
      <w:r>
        <w:t xml:space="preserve">Auto </w:t>
      </w:r>
      <w:hyperlink w:anchor="AUTO_2024_22" w:history="1">
        <w:r w:rsidRPr="00601EEA">
          <w:rPr>
            <w:rStyle w:val="TextoNormalCaracter"/>
          </w:rPr>
          <w:t>22/2024</w:t>
        </w:r>
      </w:hyperlink>
      <w:r>
        <w:t>, ff. 1, 6.</w:t>
      </w:r>
    </w:p>
    <w:p w14:paraId="34B7819A" w14:textId="232F0087" w:rsidR="00601EEA" w:rsidRDefault="00601EEA" w:rsidP="00601EEA">
      <w:pPr>
        <w:pStyle w:val="SangriaFrancesaArticulo"/>
      </w:pPr>
      <w:r w:rsidRPr="00601EEA">
        <w:rPr>
          <w:rStyle w:val="TextoNormalNegritaCaracter"/>
        </w:rPr>
        <w:t>Artículo 34.3.</w:t>
      </w:r>
      <w:r w:rsidRPr="00601EEA">
        <w:rPr>
          <w:rStyle w:val="TextoNormalCaracter"/>
        </w:rPr>
        <w:t>-</w:t>
      </w:r>
      <w:r>
        <w:t xml:space="preserve"> Sentencia </w:t>
      </w:r>
      <w:hyperlink w:anchor="SENTENCIA_2024_68" w:history="1">
        <w:r w:rsidRPr="00601EEA">
          <w:rPr>
            <w:rStyle w:val="TextoNormalCaracter"/>
          </w:rPr>
          <w:t>68/2024</w:t>
        </w:r>
      </w:hyperlink>
      <w:r>
        <w:t>, ff. 1, 2, 4, 8.</w:t>
      </w:r>
    </w:p>
    <w:p w14:paraId="6A8091DF" w14:textId="2ACD8EBE" w:rsidR="00601EEA" w:rsidRDefault="00601EEA" w:rsidP="00601EEA">
      <w:pPr>
        <w:pStyle w:val="SangriaIzquierdaArticulo"/>
      </w:pPr>
      <w:r>
        <w:t xml:space="preserve">Auto </w:t>
      </w:r>
      <w:hyperlink w:anchor="AUTO_2024_22" w:history="1">
        <w:r w:rsidRPr="00601EEA">
          <w:rPr>
            <w:rStyle w:val="TextoNormalCaracter"/>
          </w:rPr>
          <w:t>22/2024</w:t>
        </w:r>
      </w:hyperlink>
      <w:r>
        <w:t>, ff. 1, 6.</w:t>
      </w:r>
    </w:p>
    <w:p w14:paraId="0F4A8DE0" w14:textId="74C712C9" w:rsidR="00601EEA" w:rsidRDefault="00601EEA" w:rsidP="00601EEA">
      <w:pPr>
        <w:pStyle w:val="SangriaFrancesaArticulo"/>
      </w:pPr>
      <w:r w:rsidRPr="00601EEA">
        <w:rPr>
          <w:rStyle w:val="TextoNormalNegritaCaracter"/>
        </w:rPr>
        <w:t>Artículo 35.</w:t>
      </w:r>
      <w:r w:rsidRPr="00601EEA">
        <w:rPr>
          <w:rStyle w:val="TextoNormalCaracter"/>
        </w:rPr>
        <w:t>-</w:t>
      </w:r>
      <w:r>
        <w:t xml:space="preserve"> Sentencia </w:t>
      </w:r>
      <w:hyperlink w:anchor="SENTENCIA_2024_68" w:history="1">
        <w:r w:rsidRPr="00601EEA">
          <w:rPr>
            <w:rStyle w:val="TextoNormalCaracter"/>
          </w:rPr>
          <w:t>68/2024</w:t>
        </w:r>
      </w:hyperlink>
      <w:r>
        <w:t>, ff. 6, 8.</w:t>
      </w:r>
    </w:p>
    <w:p w14:paraId="4DE68BA2" w14:textId="19C50BF8" w:rsidR="00601EEA" w:rsidRDefault="00601EEA" w:rsidP="00601EEA">
      <w:pPr>
        <w:pStyle w:val="SangriaIzquierdaArticulo"/>
      </w:pPr>
      <w:r>
        <w:lastRenderedPageBreak/>
        <w:t xml:space="preserve">Auto </w:t>
      </w:r>
      <w:hyperlink w:anchor="AUTO_2024_22" w:history="1">
        <w:r w:rsidRPr="00601EEA">
          <w:rPr>
            <w:rStyle w:val="TextoNormalCaracter"/>
          </w:rPr>
          <w:t>22/2024</w:t>
        </w:r>
      </w:hyperlink>
      <w:r>
        <w:t>, f. 5.</w:t>
      </w:r>
    </w:p>
    <w:p w14:paraId="300665CA" w14:textId="337AB429" w:rsidR="00601EEA" w:rsidRDefault="00601EEA" w:rsidP="00601EEA">
      <w:pPr>
        <w:pStyle w:val="SangriaFrancesaArticulo"/>
      </w:pPr>
      <w:r w:rsidRPr="00601EEA">
        <w:rPr>
          <w:rStyle w:val="TextoNormalNegritaCaracter"/>
        </w:rPr>
        <w:t>Artículo 35.1.</w:t>
      </w:r>
      <w:r w:rsidRPr="00601EEA">
        <w:rPr>
          <w:rStyle w:val="TextoNormalCaracter"/>
        </w:rPr>
        <w:t>-</w:t>
      </w:r>
      <w:r>
        <w:t xml:space="preserve"> Sentencia </w:t>
      </w:r>
      <w:hyperlink w:anchor="SENTENCIA_2024_68" w:history="1">
        <w:r w:rsidRPr="00601EEA">
          <w:rPr>
            <w:rStyle w:val="TextoNormalCaracter"/>
          </w:rPr>
          <w:t>68/2024</w:t>
        </w:r>
      </w:hyperlink>
      <w:r>
        <w:t>, f. 8.</w:t>
      </w:r>
    </w:p>
    <w:p w14:paraId="59C3D8AE" w14:textId="30A0933B" w:rsidR="00601EEA" w:rsidRDefault="00601EEA" w:rsidP="00601EEA">
      <w:pPr>
        <w:pStyle w:val="SangriaFrancesaArticulo"/>
      </w:pPr>
      <w:r w:rsidRPr="00601EEA">
        <w:rPr>
          <w:rStyle w:val="TextoNormalNegritaCaracter"/>
        </w:rPr>
        <w:t>Artículo 35.2.</w:t>
      </w:r>
      <w:r w:rsidRPr="00601EEA">
        <w:rPr>
          <w:rStyle w:val="TextoNormalCaracter"/>
        </w:rPr>
        <w:t>-</w:t>
      </w:r>
      <w:r>
        <w:t xml:space="preserve"> Sentencia </w:t>
      </w:r>
      <w:hyperlink w:anchor="SENTENCIA_2024_68" w:history="1">
        <w:r w:rsidRPr="00601EEA">
          <w:rPr>
            <w:rStyle w:val="TextoNormalCaracter"/>
          </w:rPr>
          <w:t>68/2024</w:t>
        </w:r>
      </w:hyperlink>
      <w:r>
        <w:t>, f. 8.</w:t>
      </w:r>
    </w:p>
    <w:p w14:paraId="6C4C1DAA" w14:textId="3C07B017" w:rsidR="00601EEA" w:rsidRDefault="00601EEA" w:rsidP="00601EEA">
      <w:pPr>
        <w:pStyle w:val="SangriaFrancesaArticulo"/>
      </w:pPr>
      <w:r w:rsidRPr="00601EEA">
        <w:rPr>
          <w:rStyle w:val="TextoNormalNegritaCaracter"/>
        </w:rPr>
        <w:t>Artículo 35.2 a).</w:t>
      </w:r>
      <w:r w:rsidRPr="00601EEA">
        <w:rPr>
          <w:rStyle w:val="TextoNormalCaracter"/>
        </w:rPr>
        <w:t>-</w:t>
      </w:r>
      <w:r>
        <w:t xml:space="preserve"> Sentencia </w:t>
      </w:r>
      <w:hyperlink w:anchor="SENTENCIA_2024_68" w:history="1">
        <w:r w:rsidRPr="00601EEA">
          <w:rPr>
            <w:rStyle w:val="TextoNormalCaracter"/>
          </w:rPr>
          <w:t>68/2024</w:t>
        </w:r>
      </w:hyperlink>
      <w:r>
        <w:t>, ff. 1, 2, 4, 8.</w:t>
      </w:r>
    </w:p>
    <w:p w14:paraId="074A4BFE" w14:textId="2D8F9243" w:rsidR="00601EEA" w:rsidRDefault="00601EEA" w:rsidP="00601EEA">
      <w:pPr>
        <w:pStyle w:val="SangriaIzquierdaArticulo"/>
      </w:pPr>
      <w:r>
        <w:t xml:space="preserve">Auto </w:t>
      </w:r>
      <w:hyperlink w:anchor="AUTO_2024_22" w:history="1">
        <w:r w:rsidRPr="00601EEA">
          <w:rPr>
            <w:rStyle w:val="TextoNormalCaracter"/>
          </w:rPr>
          <w:t>22/2024</w:t>
        </w:r>
      </w:hyperlink>
      <w:r>
        <w:t>, ff. 1, 6.</w:t>
      </w:r>
    </w:p>
    <w:p w14:paraId="28B712B9" w14:textId="1089CBB5" w:rsidR="00601EEA" w:rsidRDefault="00601EEA" w:rsidP="00601EEA">
      <w:pPr>
        <w:pStyle w:val="SangriaFrancesaArticulo"/>
      </w:pPr>
      <w:r w:rsidRPr="00601EEA">
        <w:rPr>
          <w:rStyle w:val="TextoNormalNegritaCaracter"/>
        </w:rPr>
        <w:t>Artículo 35.2 b).</w:t>
      </w:r>
      <w:r w:rsidRPr="00601EEA">
        <w:rPr>
          <w:rStyle w:val="TextoNormalCaracter"/>
        </w:rPr>
        <w:t>-</w:t>
      </w:r>
      <w:r>
        <w:t xml:space="preserve"> Sentencia </w:t>
      </w:r>
      <w:hyperlink w:anchor="SENTENCIA_2024_68" w:history="1">
        <w:r w:rsidRPr="00601EEA">
          <w:rPr>
            <w:rStyle w:val="TextoNormalCaracter"/>
          </w:rPr>
          <w:t>68/2024</w:t>
        </w:r>
      </w:hyperlink>
      <w:r>
        <w:t>, ff. 1, 2, 4, 8.</w:t>
      </w:r>
    </w:p>
    <w:p w14:paraId="3BB0683F" w14:textId="745FE52D" w:rsidR="00601EEA" w:rsidRDefault="00601EEA" w:rsidP="00601EEA">
      <w:pPr>
        <w:pStyle w:val="SangriaIzquierdaArticulo"/>
      </w:pPr>
      <w:r>
        <w:t xml:space="preserve">Auto </w:t>
      </w:r>
      <w:hyperlink w:anchor="AUTO_2024_22" w:history="1">
        <w:r w:rsidRPr="00601EEA">
          <w:rPr>
            <w:rStyle w:val="TextoNormalCaracter"/>
          </w:rPr>
          <w:t>22/2024</w:t>
        </w:r>
      </w:hyperlink>
      <w:r>
        <w:t>, ff. 1, 6.</w:t>
      </w:r>
    </w:p>
    <w:p w14:paraId="30D2DF7A" w14:textId="639A5B63" w:rsidR="00601EEA" w:rsidRDefault="00601EEA" w:rsidP="00601EEA">
      <w:pPr>
        <w:pStyle w:val="SangriaFrancesaArticulo"/>
      </w:pPr>
      <w:r w:rsidRPr="00601EEA">
        <w:rPr>
          <w:rStyle w:val="TextoNormalNegritaCaracter"/>
        </w:rPr>
        <w:t>Artículo 35.2 c).</w:t>
      </w:r>
      <w:r w:rsidRPr="00601EEA">
        <w:rPr>
          <w:rStyle w:val="TextoNormalCaracter"/>
        </w:rPr>
        <w:t>-</w:t>
      </w:r>
      <w:r>
        <w:t xml:space="preserve"> Sentencia </w:t>
      </w:r>
      <w:hyperlink w:anchor="SENTENCIA_2024_68" w:history="1">
        <w:r w:rsidRPr="00601EEA">
          <w:rPr>
            <w:rStyle w:val="TextoNormalCaracter"/>
          </w:rPr>
          <w:t>68/2024</w:t>
        </w:r>
      </w:hyperlink>
      <w:r>
        <w:t>, ff. 1, 2, 4, 8.</w:t>
      </w:r>
    </w:p>
    <w:p w14:paraId="17CF6827" w14:textId="66DD4C1B" w:rsidR="00601EEA" w:rsidRDefault="00601EEA" w:rsidP="00601EEA">
      <w:pPr>
        <w:pStyle w:val="SangriaIzquierdaArticulo"/>
      </w:pPr>
      <w:r>
        <w:t xml:space="preserve">Auto </w:t>
      </w:r>
      <w:hyperlink w:anchor="AUTO_2024_22" w:history="1">
        <w:r w:rsidRPr="00601EEA">
          <w:rPr>
            <w:rStyle w:val="TextoNormalCaracter"/>
          </w:rPr>
          <w:t>22/2024</w:t>
        </w:r>
      </w:hyperlink>
      <w:r>
        <w:t>, ff. 1, 6.</w:t>
      </w:r>
    </w:p>
    <w:p w14:paraId="505185B9" w14:textId="3FF2926C" w:rsidR="00601EEA" w:rsidRDefault="00601EEA" w:rsidP="00601EEA">
      <w:pPr>
        <w:pStyle w:val="SangriaFrancesaArticulo"/>
      </w:pPr>
      <w:r w:rsidRPr="00601EEA">
        <w:rPr>
          <w:rStyle w:val="TextoNormalNegritaCaracter"/>
        </w:rPr>
        <w:t>Artículo 35.3.</w:t>
      </w:r>
      <w:r w:rsidRPr="00601EEA">
        <w:rPr>
          <w:rStyle w:val="TextoNormalCaracter"/>
        </w:rPr>
        <w:t>-</w:t>
      </w:r>
      <w:r>
        <w:t xml:space="preserve"> Sentencia </w:t>
      </w:r>
      <w:hyperlink w:anchor="SENTENCIA_2024_68" w:history="1">
        <w:r w:rsidRPr="00601EEA">
          <w:rPr>
            <w:rStyle w:val="TextoNormalCaracter"/>
          </w:rPr>
          <w:t>68/2024</w:t>
        </w:r>
      </w:hyperlink>
      <w:r>
        <w:t>, ff. 1, 2, 4, 8, 10.</w:t>
      </w:r>
    </w:p>
    <w:p w14:paraId="6BE8F992" w14:textId="3E7B823F" w:rsidR="00601EEA" w:rsidRDefault="00601EEA" w:rsidP="00601EEA">
      <w:pPr>
        <w:pStyle w:val="SangriaIzquierdaArticulo"/>
      </w:pPr>
      <w:r>
        <w:t xml:space="preserve">Auto </w:t>
      </w:r>
      <w:hyperlink w:anchor="AUTO_2024_22" w:history="1">
        <w:r w:rsidRPr="00601EEA">
          <w:rPr>
            <w:rStyle w:val="TextoNormalCaracter"/>
          </w:rPr>
          <w:t>22/2024</w:t>
        </w:r>
      </w:hyperlink>
      <w:r>
        <w:t>, ff. 1, 6.</w:t>
      </w:r>
    </w:p>
    <w:p w14:paraId="2491351E" w14:textId="57151DFC" w:rsidR="00601EEA" w:rsidRDefault="00601EEA" w:rsidP="00601EEA">
      <w:pPr>
        <w:pStyle w:val="SangriaFrancesaArticulo"/>
      </w:pPr>
      <w:r w:rsidRPr="00601EEA">
        <w:rPr>
          <w:rStyle w:val="TextoNormalNegritaCaracter"/>
        </w:rPr>
        <w:t>Artículo 36.</w:t>
      </w:r>
      <w:r w:rsidRPr="00601EEA">
        <w:rPr>
          <w:rStyle w:val="TextoNormalCaracter"/>
        </w:rPr>
        <w:t>-</w:t>
      </w:r>
      <w:r>
        <w:t xml:space="preserve"> Sentencia </w:t>
      </w:r>
      <w:hyperlink w:anchor="SENTENCIA_2024_68" w:history="1">
        <w:r w:rsidRPr="00601EEA">
          <w:rPr>
            <w:rStyle w:val="TextoNormalCaracter"/>
          </w:rPr>
          <w:t>68/2024</w:t>
        </w:r>
      </w:hyperlink>
      <w:r>
        <w:t>, ff. 6, 8.</w:t>
      </w:r>
    </w:p>
    <w:p w14:paraId="7C001B9F" w14:textId="42CB7CD1" w:rsidR="00601EEA" w:rsidRDefault="00601EEA" w:rsidP="00601EEA">
      <w:pPr>
        <w:pStyle w:val="SangriaIzquierdaArticulo"/>
      </w:pPr>
      <w:r>
        <w:t xml:space="preserve">Auto </w:t>
      </w:r>
      <w:hyperlink w:anchor="AUTO_2024_22" w:history="1">
        <w:r w:rsidRPr="00601EEA">
          <w:rPr>
            <w:rStyle w:val="TextoNormalCaracter"/>
          </w:rPr>
          <w:t>22/2024</w:t>
        </w:r>
      </w:hyperlink>
      <w:r>
        <w:t>, f. 5.</w:t>
      </w:r>
    </w:p>
    <w:p w14:paraId="6BA7A15B" w14:textId="0C231F5B" w:rsidR="00601EEA" w:rsidRDefault="00601EEA" w:rsidP="00601EEA">
      <w:pPr>
        <w:pStyle w:val="SangriaFrancesaArticulo"/>
      </w:pPr>
      <w:r w:rsidRPr="00601EEA">
        <w:rPr>
          <w:rStyle w:val="TextoNormalNegritaCaracter"/>
        </w:rPr>
        <w:t>Artículo 36.1.</w:t>
      </w:r>
      <w:r w:rsidRPr="00601EEA">
        <w:rPr>
          <w:rStyle w:val="TextoNormalCaracter"/>
        </w:rPr>
        <w:t>-</w:t>
      </w:r>
      <w:r>
        <w:t xml:space="preserve"> Sentencia </w:t>
      </w:r>
      <w:hyperlink w:anchor="SENTENCIA_2024_68" w:history="1">
        <w:r w:rsidRPr="00601EEA">
          <w:rPr>
            <w:rStyle w:val="TextoNormalCaracter"/>
          </w:rPr>
          <w:t>68/2024</w:t>
        </w:r>
      </w:hyperlink>
      <w:r>
        <w:t>, f. 8.</w:t>
      </w:r>
    </w:p>
    <w:p w14:paraId="435BAE43" w14:textId="305403D7" w:rsidR="00601EEA" w:rsidRDefault="00601EEA" w:rsidP="00601EEA">
      <w:pPr>
        <w:pStyle w:val="SangriaFrancesaArticulo"/>
      </w:pPr>
      <w:r w:rsidRPr="00601EEA">
        <w:rPr>
          <w:rStyle w:val="TextoNormalNegritaCaracter"/>
        </w:rPr>
        <w:t>Artículo 36.2 a).</w:t>
      </w:r>
      <w:r w:rsidRPr="00601EEA">
        <w:rPr>
          <w:rStyle w:val="TextoNormalCaracter"/>
        </w:rPr>
        <w:t>-</w:t>
      </w:r>
      <w:r>
        <w:t xml:space="preserve"> Sentencia </w:t>
      </w:r>
      <w:hyperlink w:anchor="SENTENCIA_2024_68" w:history="1">
        <w:r w:rsidRPr="00601EEA">
          <w:rPr>
            <w:rStyle w:val="TextoNormalCaracter"/>
          </w:rPr>
          <w:t>68/2024</w:t>
        </w:r>
      </w:hyperlink>
      <w:r>
        <w:t>, ff. 1, 2, 4, 8.</w:t>
      </w:r>
    </w:p>
    <w:p w14:paraId="79503A5A" w14:textId="1C82AC15" w:rsidR="00601EEA" w:rsidRDefault="00601EEA" w:rsidP="00601EEA">
      <w:pPr>
        <w:pStyle w:val="SangriaIzquierdaArticulo"/>
      </w:pPr>
      <w:r>
        <w:t xml:space="preserve">Auto </w:t>
      </w:r>
      <w:hyperlink w:anchor="AUTO_2024_22" w:history="1">
        <w:r w:rsidRPr="00601EEA">
          <w:rPr>
            <w:rStyle w:val="TextoNormalCaracter"/>
          </w:rPr>
          <w:t>22/2024</w:t>
        </w:r>
      </w:hyperlink>
      <w:r>
        <w:t>, ff. 1, 6.</w:t>
      </w:r>
    </w:p>
    <w:p w14:paraId="3726CBDC" w14:textId="1E79DB93" w:rsidR="00601EEA" w:rsidRDefault="00601EEA" w:rsidP="00601EEA">
      <w:pPr>
        <w:pStyle w:val="SangriaFrancesaArticulo"/>
      </w:pPr>
      <w:r w:rsidRPr="00601EEA">
        <w:rPr>
          <w:rStyle w:val="TextoNormalNegritaCaracter"/>
        </w:rPr>
        <w:t>Artículo 36.2 b).</w:t>
      </w:r>
      <w:r w:rsidRPr="00601EEA">
        <w:rPr>
          <w:rStyle w:val="TextoNormalCaracter"/>
        </w:rPr>
        <w:t>-</w:t>
      </w:r>
      <w:r>
        <w:t xml:space="preserve"> Sentencia </w:t>
      </w:r>
      <w:hyperlink w:anchor="SENTENCIA_2024_68" w:history="1">
        <w:r w:rsidRPr="00601EEA">
          <w:rPr>
            <w:rStyle w:val="TextoNormalCaracter"/>
          </w:rPr>
          <w:t>68/2024</w:t>
        </w:r>
      </w:hyperlink>
      <w:r>
        <w:t>, ff. 1, 2, 4, 8.</w:t>
      </w:r>
    </w:p>
    <w:p w14:paraId="4A9D7369" w14:textId="2E6E2BA3" w:rsidR="00601EEA" w:rsidRDefault="00601EEA" w:rsidP="00601EEA">
      <w:pPr>
        <w:pStyle w:val="SangriaIzquierdaArticulo"/>
      </w:pPr>
      <w:r>
        <w:t xml:space="preserve">Auto </w:t>
      </w:r>
      <w:hyperlink w:anchor="AUTO_2024_22" w:history="1">
        <w:r w:rsidRPr="00601EEA">
          <w:rPr>
            <w:rStyle w:val="TextoNormalCaracter"/>
          </w:rPr>
          <w:t>22/2024</w:t>
        </w:r>
      </w:hyperlink>
      <w:r>
        <w:t>, ff. 1, 6.</w:t>
      </w:r>
    </w:p>
    <w:p w14:paraId="36D02841" w14:textId="531BA793" w:rsidR="00601EEA" w:rsidRDefault="00601EEA" w:rsidP="00601EEA">
      <w:pPr>
        <w:pStyle w:val="SangriaFrancesaArticulo"/>
      </w:pPr>
      <w:r w:rsidRPr="00601EEA">
        <w:rPr>
          <w:rStyle w:val="TextoNormalNegritaCaracter"/>
        </w:rPr>
        <w:t>Artículo 36.2 c).</w:t>
      </w:r>
      <w:r w:rsidRPr="00601EEA">
        <w:rPr>
          <w:rStyle w:val="TextoNormalCaracter"/>
        </w:rPr>
        <w:t>-</w:t>
      </w:r>
      <w:r>
        <w:t xml:space="preserve"> Sentencia </w:t>
      </w:r>
      <w:hyperlink w:anchor="SENTENCIA_2024_68" w:history="1">
        <w:r w:rsidRPr="00601EEA">
          <w:rPr>
            <w:rStyle w:val="TextoNormalCaracter"/>
          </w:rPr>
          <w:t>68/2024</w:t>
        </w:r>
      </w:hyperlink>
      <w:r>
        <w:t>, ff. 1, 2, 4, 8.</w:t>
      </w:r>
    </w:p>
    <w:p w14:paraId="2DE66327" w14:textId="7667B032" w:rsidR="00601EEA" w:rsidRDefault="00601EEA" w:rsidP="00601EEA">
      <w:pPr>
        <w:pStyle w:val="SangriaIzquierdaArticulo"/>
      </w:pPr>
      <w:r>
        <w:t xml:space="preserve">Auto </w:t>
      </w:r>
      <w:hyperlink w:anchor="AUTO_2024_22" w:history="1">
        <w:r w:rsidRPr="00601EEA">
          <w:rPr>
            <w:rStyle w:val="TextoNormalCaracter"/>
          </w:rPr>
          <w:t>22/2024</w:t>
        </w:r>
      </w:hyperlink>
      <w:r>
        <w:t>, ff. 1, 6.</w:t>
      </w:r>
    </w:p>
    <w:p w14:paraId="261D67FD" w14:textId="5683B3D2" w:rsidR="00601EEA" w:rsidRDefault="00601EEA" w:rsidP="00601EEA">
      <w:pPr>
        <w:pStyle w:val="SangriaFrancesaArticulo"/>
      </w:pPr>
      <w:r w:rsidRPr="00601EEA">
        <w:rPr>
          <w:rStyle w:val="TextoNormalNegritaCaracter"/>
        </w:rPr>
        <w:t>Artículo 37.</w:t>
      </w:r>
      <w:r w:rsidRPr="00601EEA">
        <w:rPr>
          <w:rStyle w:val="TextoNormalCaracter"/>
        </w:rPr>
        <w:t>-</w:t>
      </w:r>
      <w:r>
        <w:t xml:space="preserve"> Sentencia </w:t>
      </w:r>
      <w:hyperlink w:anchor="SENTENCIA_2024_68" w:history="1">
        <w:r w:rsidRPr="00601EEA">
          <w:rPr>
            <w:rStyle w:val="TextoNormalCaracter"/>
          </w:rPr>
          <w:t>68/2024</w:t>
        </w:r>
      </w:hyperlink>
      <w:r>
        <w:t>, ff. 6, 8.</w:t>
      </w:r>
    </w:p>
    <w:p w14:paraId="3081CFE2" w14:textId="3936B3F4" w:rsidR="00601EEA" w:rsidRDefault="00601EEA" w:rsidP="00601EEA">
      <w:pPr>
        <w:pStyle w:val="SangriaFrancesaArticulo"/>
      </w:pPr>
      <w:r w:rsidRPr="00601EEA">
        <w:rPr>
          <w:rStyle w:val="TextoNormalNegritaCaracter"/>
        </w:rPr>
        <w:t>Artículo 38.</w:t>
      </w:r>
      <w:r w:rsidRPr="00601EEA">
        <w:rPr>
          <w:rStyle w:val="TextoNormalCaracter"/>
        </w:rPr>
        <w:t>-</w:t>
      </w:r>
      <w:r>
        <w:t xml:space="preserve"> Sentencia </w:t>
      </w:r>
      <w:hyperlink w:anchor="SENTENCIA_2024_68" w:history="1">
        <w:r w:rsidRPr="00601EEA">
          <w:rPr>
            <w:rStyle w:val="TextoNormalCaracter"/>
          </w:rPr>
          <w:t>68/2024</w:t>
        </w:r>
      </w:hyperlink>
      <w:r>
        <w:t>, ff. 6, 8.</w:t>
      </w:r>
    </w:p>
    <w:p w14:paraId="661E7E64" w14:textId="28CE7376" w:rsidR="00601EEA" w:rsidRDefault="00601EEA" w:rsidP="00601EEA">
      <w:pPr>
        <w:pStyle w:val="SangriaFrancesaArticulo"/>
      </w:pPr>
      <w:r w:rsidRPr="00601EEA">
        <w:rPr>
          <w:rStyle w:val="TextoNormalNegritaCaracter"/>
        </w:rPr>
        <w:t>Artículo 39.</w:t>
      </w:r>
      <w:r w:rsidRPr="00601EEA">
        <w:rPr>
          <w:rStyle w:val="TextoNormalCaracter"/>
        </w:rPr>
        <w:t>-</w:t>
      </w:r>
      <w:r>
        <w:t xml:space="preserve"> Sentencia </w:t>
      </w:r>
      <w:hyperlink w:anchor="SENTENCIA_2024_68" w:history="1">
        <w:r w:rsidRPr="00601EEA">
          <w:rPr>
            <w:rStyle w:val="TextoNormalCaracter"/>
          </w:rPr>
          <w:t>68/2024</w:t>
        </w:r>
      </w:hyperlink>
      <w:r>
        <w:t>, ff. 6, 8.</w:t>
      </w:r>
    </w:p>
    <w:p w14:paraId="0FBFFA28" w14:textId="6C14093D" w:rsidR="00601EEA" w:rsidRDefault="00601EEA" w:rsidP="00601EEA">
      <w:pPr>
        <w:pStyle w:val="SangriaFrancesaArticulo"/>
      </w:pPr>
      <w:r w:rsidRPr="00601EEA">
        <w:rPr>
          <w:rStyle w:val="TextoNormalNegritaCaracter"/>
        </w:rPr>
        <w:t>Artículo 40.</w:t>
      </w:r>
      <w:r w:rsidRPr="00601EEA">
        <w:rPr>
          <w:rStyle w:val="TextoNormalCaracter"/>
        </w:rPr>
        <w:t>-</w:t>
      </w:r>
      <w:r>
        <w:t xml:space="preserve"> Sentencia </w:t>
      </w:r>
      <w:hyperlink w:anchor="SENTENCIA_2024_68" w:history="1">
        <w:r w:rsidRPr="00601EEA">
          <w:rPr>
            <w:rStyle w:val="TextoNormalCaracter"/>
          </w:rPr>
          <w:t>68/2024</w:t>
        </w:r>
      </w:hyperlink>
      <w:r>
        <w:t>, ff. 6, 8.</w:t>
      </w:r>
    </w:p>
    <w:p w14:paraId="21AAE427" w14:textId="6954B550" w:rsidR="00601EEA" w:rsidRDefault="00601EEA" w:rsidP="00601EEA">
      <w:pPr>
        <w:pStyle w:val="SangriaIzquierdaArticulo"/>
      </w:pPr>
      <w:r>
        <w:t xml:space="preserve">Auto </w:t>
      </w:r>
      <w:hyperlink w:anchor="AUTO_2024_22" w:history="1">
        <w:r w:rsidRPr="00601EEA">
          <w:rPr>
            <w:rStyle w:val="TextoNormalCaracter"/>
          </w:rPr>
          <w:t>22/2024</w:t>
        </w:r>
      </w:hyperlink>
      <w:r>
        <w:t>, f. 5.</w:t>
      </w:r>
    </w:p>
    <w:p w14:paraId="05472C4C" w14:textId="7677F78E" w:rsidR="00601EEA" w:rsidRDefault="00601EEA" w:rsidP="00601EEA">
      <w:pPr>
        <w:pStyle w:val="SangriaFrancesaArticulo"/>
      </w:pPr>
      <w:r w:rsidRPr="00601EEA">
        <w:rPr>
          <w:rStyle w:val="TextoNormalNegritaCaracter"/>
        </w:rPr>
        <w:t>Artículo 40.1.</w:t>
      </w:r>
      <w:r w:rsidRPr="00601EEA">
        <w:rPr>
          <w:rStyle w:val="TextoNormalCaracter"/>
        </w:rPr>
        <w:t>-</w:t>
      </w:r>
      <w:r>
        <w:t xml:space="preserve"> Sentencia </w:t>
      </w:r>
      <w:hyperlink w:anchor="SENTENCIA_2024_68" w:history="1">
        <w:r w:rsidRPr="00601EEA">
          <w:rPr>
            <w:rStyle w:val="TextoNormalCaracter"/>
          </w:rPr>
          <w:t>68/2024</w:t>
        </w:r>
      </w:hyperlink>
      <w:r>
        <w:t>, f. 8.</w:t>
      </w:r>
    </w:p>
    <w:p w14:paraId="4CB8EEBC" w14:textId="1D1EE4CE" w:rsidR="00601EEA" w:rsidRDefault="00601EEA" w:rsidP="00601EEA">
      <w:pPr>
        <w:pStyle w:val="SangriaFrancesaArticulo"/>
      </w:pPr>
      <w:r w:rsidRPr="00601EEA">
        <w:rPr>
          <w:rStyle w:val="TextoNormalNegritaCaracter"/>
        </w:rPr>
        <w:t>Artículo 40.2.</w:t>
      </w:r>
      <w:r w:rsidRPr="00601EEA">
        <w:rPr>
          <w:rStyle w:val="TextoNormalCaracter"/>
        </w:rPr>
        <w:t>-</w:t>
      </w:r>
      <w:r>
        <w:t xml:space="preserve"> Sentencia </w:t>
      </w:r>
      <w:hyperlink w:anchor="SENTENCIA_2024_68" w:history="1">
        <w:r w:rsidRPr="00601EEA">
          <w:rPr>
            <w:rStyle w:val="TextoNormalCaracter"/>
          </w:rPr>
          <w:t>68/2024</w:t>
        </w:r>
      </w:hyperlink>
      <w:r>
        <w:t>, ff. 1, 2, 4, 8.</w:t>
      </w:r>
    </w:p>
    <w:p w14:paraId="5BB7E143" w14:textId="29A70586" w:rsidR="00601EEA" w:rsidRDefault="00601EEA" w:rsidP="00601EEA">
      <w:pPr>
        <w:pStyle w:val="SangriaIzquierdaArticulo"/>
      </w:pPr>
      <w:r>
        <w:t xml:space="preserve">Auto </w:t>
      </w:r>
      <w:hyperlink w:anchor="AUTO_2024_22" w:history="1">
        <w:r w:rsidRPr="00601EEA">
          <w:rPr>
            <w:rStyle w:val="TextoNormalCaracter"/>
          </w:rPr>
          <w:t>22/2024</w:t>
        </w:r>
      </w:hyperlink>
      <w:r>
        <w:t>, ff. 1, 6.</w:t>
      </w:r>
    </w:p>
    <w:p w14:paraId="4C42EADB" w14:textId="6D1BF48F" w:rsidR="00601EEA" w:rsidRDefault="00601EEA" w:rsidP="00601EEA">
      <w:pPr>
        <w:pStyle w:val="SangriaFrancesaArticulo"/>
      </w:pPr>
      <w:r w:rsidRPr="00601EEA">
        <w:rPr>
          <w:rStyle w:val="TextoNormalNegritaCaracter"/>
        </w:rPr>
        <w:t>Artículo 40.3.</w:t>
      </w:r>
      <w:r w:rsidRPr="00601EEA">
        <w:rPr>
          <w:rStyle w:val="TextoNormalCaracter"/>
        </w:rPr>
        <w:t>-</w:t>
      </w:r>
      <w:r>
        <w:t xml:space="preserve"> Sentencia </w:t>
      </w:r>
      <w:hyperlink w:anchor="SENTENCIA_2024_68" w:history="1">
        <w:r w:rsidRPr="00601EEA">
          <w:rPr>
            <w:rStyle w:val="TextoNormalCaracter"/>
          </w:rPr>
          <w:t>68/2024</w:t>
        </w:r>
      </w:hyperlink>
      <w:r>
        <w:t>, ff. 1, 2, 4, 8.</w:t>
      </w:r>
    </w:p>
    <w:p w14:paraId="32493D97" w14:textId="18D292A3" w:rsidR="00601EEA" w:rsidRDefault="00601EEA" w:rsidP="00601EEA">
      <w:pPr>
        <w:pStyle w:val="SangriaIzquierdaArticulo"/>
      </w:pPr>
      <w:r>
        <w:t xml:space="preserve">Auto </w:t>
      </w:r>
      <w:hyperlink w:anchor="AUTO_2024_22" w:history="1">
        <w:r w:rsidRPr="00601EEA">
          <w:rPr>
            <w:rStyle w:val="TextoNormalCaracter"/>
          </w:rPr>
          <w:t>22/2024</w:t>
        </w:r>
      </w:hyperlink>
      <w:r>
        <w:t>, ff. 1, 6.</w:t>
      </w:r>
    </w:p>
    <w:p w14:paraId="6CCE9109" w14:textId="782E658E" w:rsidR="00601EEA" w:rsidRDefault="00601EEA" w:rsidP="00601EEA">
      <w:pPr>
        <w:pStyle w:val="SangriaFrancesaArticulo"/>
      </w:pPr>
      <w:r w:rsidRPr="00601EEA">
        <w:rPr>
          <w:rStyle w:val="TextoNormalNegritaCaracter"/>
        </w:rPr>
        <w:t>Artículo 41.</w:t>
      </w:r>
      <w:r w:rsidRPr="00601EEA">
        <w:rPr>
          <w:rStyle w:val="TextoNormalCaracter"/>
        </w:rPr>
        <w:t>-</w:t>
      </w:r>
      <w:r>
        <w:t xml:space="preserve"> Sentencia </w:t>
      </w:r>
      <w:hyperlink w:anchor="SENTENCIA_2024_68" w:history="1">
        <w:r w:rsidRPr="00601EEA">
          <w:rPr>
            <w:rStyle w:val="TextoNormalCaracter"/>
          </w:rPr>
          <w:t>68/2024</w:t>
        </w:r>
      </w:hyperlink>
      <w:r>
        <w:t>, ff. 6, 8.</w:t>
      </w:r>
    </w:p>
    <w:p w14:paraId="1C0C6730" w14:textId="326DCFF1" w:rsidR="00601EEA" w:rsidRDefault="00601EEA" w:rsidP="00601EEA">
      <w:pPr>
        <w:pStyle w:val="SangriaIzquierdaArticulo"/>
      </w:pPr>
      <w:r>
        <w:t xml:space="preserve">Auto </w:t>
      </w:r>
      <w:r w:rsidRPr="00601EEA">
        <w:rPr>
          <w:rStyle w:val="TextoNormalCaracter"/>
        </w:rPr>
        <w:fldChar w:fldCharType="begin">
          <w:fldData xml:space="preserve">CNDJ6nn5us4RjIIAqgBLqQsCAAAACAAAABAAAABTAFUATQBBAFIASQBPAFMASQBOAEQASQBDAEUA
UwAAAA==
</w:fldData>
        </w:fldChar>
      </w:r>
      <w:r w:rsidRPr="00601EEA">
        <w:rPr>
          <w:rStyle w:val="TextoNormalCaracter"/>
        </w:rPr>
        <w:instrText>HYPE</w:instrText>
      </w:r>
      <w:r w:rsidR="00B7708F">
        <w:rPr>
          <w:rStyle w:val="TextoNormalCaracter"/>
        </w:rPr>
        <w:fldChar w:fldCharType="begin"/>
      </w:r>
      <w:r w:rsidR="00B7708F">
        <w:rPr>
          <w:rStyle w:val="TextoNormalCaracter"/>
        </w:rPr>
        <w:instrText xml:space="preserve"> PAGEREF SUMARIOSINDICES \h </w:instrText>
      </w:r>
      <w:r w:rsidR="00B7708F">
        <w:rPr>
          <w:rStyle w:val="TextoNormalCaracter"/>
        </w:rPr>
      </w:r>
      <w:r w:rsidR="00B7708F">
        <w:rPr>
          <w:rStyle w:val="TextoNormalCaracter"/>
        </w:rPr>
        <w:fldChar w:fldCharType="separate"/>
      </w:r>
      <w:r w:rsidR="0055058D">
        <w:rPr>
          <w:rStyle w:val="TextoNormalCaracter"/>
          <w:noProof/>
        </w:rPr>
        <w:instrText>2</w:instrText>
      </w:r>
      <w:r w:rsidR="00B7708F">
        <w:rPr>
          <w:rStyle w:val="TextoNormalCaracter"/>
        </w:rPr>
        <w:fldChar w:fldCharType="end"/>
      </w:r>
      <w:r w:rsidRPr="00601EEA">
        <w:rPr>
          <w:rStyle w:val="TextoNormalCaracter"/>
        </w:rPr>
        <w:instrText>RLINK  \l "AUTO_2024_22"</w:instrText>
      </w:r>
      <w:r w:rsidRPr="00601EEA">
        <w:rPr>
          <w:rStyle w:val="TextoNormalCaracter"/>
        </w:rPr>
        <w:fldChar w:fldCharType="separate"/>
      </w:r>
      <w:r w:rsidR="00B7708F">
        <w:rPr>
          <w:rStyle w:val="TextoNormalCaracter"/>
          <w:b/>
          <w:bCs/>
        </w:rPr>
        <w:t>¡Error! Marcador no definido.</w:t>
      </w:r>
      <w:r w:rsidRPr="00601EEA">
        <w:rPr>
          <w:rStyle w:val="TextoNormalCaracter"/>
        </w:rPr>
        <w:fldChar w:fldCharType="end"/>
      </w:r>
      <w:r>
        <w:t>, f. 5.</w:t>
      </w:r>
    </w:p>
    <w:p w14:paraId="01AD885B" w14:textId="5478F0C0" w:rsidR="00601EEA" w:rsidRDefault="00601EEA" w:rsidP="00601EEA">
      <w:pPr>
        <w:pStyle w:val="SangriaFrancesaArticulo"/>
      </w:pPr>
      <w:r w:rsidRPr="00601EEA">
        <w:rPr>
          <w:rStyle w:val="TextoNormalNegritaCaracter"/>
        </w:rPr>
        <w:t>Artículo 41.1.</w:t>
      </w:r>
      <w:r w:rsidRPr="00601EEA">
        <w:rPr>
          <w:rStyle w:val="TextoNormalCaracter"/>
        </w:rPr>
        <w:t>-</w:t>
      </w:r>
      <w:r>
        <w:t xml:space="preserve"> Sentencia </w:t>
      </w:r>
      <w:hyperlink w:anchor="SENTENCIA_2024_68" w:history="1">
        <w:r w:rsidRPr="00601EEA">
          <w:rPr>
            <w:rStyle w:val="TextoNormalCaracter"/>
          </w:rPr>
          <w:t>68/2024</w:t>
        </w:r>
      </w:hyperlink>
      <w:r>
        <w:t>, f. 8.</w:t>
      </w:r>
    </w:p>
    <w:p w14:paraId="61D784D9" w14:textId="1F20A290" w:rsidR="00601EEA" w:rsidRDefault="00601EEA" w:rsidP="00601EEA">
      <w:pPr>
        <w:pStyle w:val="SangriaFrancesaArticulo"/>
      </w:pPr>
      <w:r w:rsidRPr="00601EEA">
        <w:rPr>
          <w:rStyle w:val="TextoNormalNegritaCaracter"/>
        </w:rPr>
        <w:t>Artículo 41.2.</w:t>
      </w:r>
      <w:r w:rsidRPr="00601EEA">
        <w:rPr>
          <w:rStyle w:val="TextoNormalCaracter"/>
        </w:rPr>
        <w:t>-</w:t>
      </w:r>
      <w:r>
        <w:t xml:space="preserve"> Sentencia </w:t>
      </w:r>
      <w:hyperlink w:anchor="SENTENCIA_2024_68" w:history="1">
        <w:r w:rsidRPr="00601EEA">
          <w:rPr>
            <w:rStyle w:val="TextoNormalCaracter"/>
          </w:rPr>
          <w:t>68/2024</w:t>
        </w:r>
      </w:hyperlink>
      <w:r>
        <w:t>, f. 8.</w:t>
      </w:r>
    </w:p>
    <w:p w14:paraId="0EBB4B5F" w14:textId="2AA9EEB3" w:rsidR="00601EEA" w:rsidRDefault="00601EEA" w:rsidP="00601EEA">
      <w:pPr>
        <w:pStyle w:val="SangriaFrancesaArticulo"/>
      </w:pPr>
      <w:r w:rsidRPr="00601EEA">
        <w:rPr>
          <w:rStyle w:val="TextoNormalNegritaCaracter"/>
        </w:rPr>
        <w:t>Artículo 41.2 a).</w:t>
      </w:r>
      <w:r w:rsidRPr="00601EEA">
        <w:rPr>
          <w:rStyle w:val="TextoNormalCaracter"/>
        </w:rPr>
        <w:t>-</w:t>
      </w:r>
      <w:r>
        <w:t xml:space="preserve"> Sentencia </w:t>
      </w:r>
      <w:hyperlink w:anchor="SENTENCIA_2024_68" w:history="1">
        <w:r w:rsidRPr="00601EEA">
          <w:rPr>
            <w:rStyle w:val="TextoNormalCaracter"/>
          </w:rPr>
          <w:t>68/2024</w:t>
        </w:r>
      </w:hyperlink>
      <w:r>
        <w:t>, ff. 1, 2, 4, 8.</w:t>
      </w:r>
    </w:p>
    <w:p w14:paraId="27BD295E" w14:textId="40B96995" w:rsidR="00601EEA" w:rsidRDefault="00601EEA" w:rsidP="00601EEA">
      <w:pPr>
        <w:pStyle w:val="SangriaIzquierdaArticulo"/>
      </w:pPr>
      <w:r>
        <w:t xml:space="preserve">Auto </w:t>
      </w:r>
      <w:hyperlink w:anchor="AUTO_2024_22" w:history="1">
        <w:r w:rsidRPr="00601EEA">
          <w:rPr>
            <w:rStyle w:val="TextoNormalCaracter"/>
          </w:rPr>
          <w:t>22/2024</w:t>
        </w:r>
      </w:hyperlink>
      <w:r>
        <w:t>, ff. 1, 6.</w:t>
      </w:r>
    </w:p>
    <w:p w14:paraId="03A25C0D" w14:textId="5798CFE3" w:rsidR="00601EEA" w:rsidRDefault="00601EEA" w:rsidP="00601EEA">
      <w:pPr>
        <w:pStyle w:val="SangriaFrancesaArticulo"/>
      </w:pPr>
      <w:r w:rsidRPr="00601EEA">
        <w:rPr>
          <w:rStyle w:val="TextoNormalNegritaCaracter"/>
        </w:rPr>
        <w:t>Artículo 41.2 b).</w:t>
      </w:r>
      <w:r w:rsidRPr="00601EEA">
        <w:rPr>
          <w:rStyle w:val="TextoNormalCaracter"/>
        </w:rPr>
        <w:t>-</w:t>
      </w:r>
      <w:r>
        <w:t xml:space="preserve"> Sentencia </w:t>
      </w:r>
      <w:hyperlink w:anchor="SENTENCIA_2024_68" w:history="1">
        <w:r w:rsidRPr="00601EEA">
          <w:rPr>
            <w:rStyle w:val="TextoNormalCaracter"/>
          </w:rPr>
          <w:t>68/2024</w:t>
        </w:r>
      </w:hyperlink>
      <w:r>
        <w:t>, ff. 1, 2, 4, 8.</w:t>
      </w:r>
    </w:p>
    <w:p w14:paraId="5A271C1D" w14:textId="4674E8E9" w:rsidR="00601EEA" w:rsidRDefault="00601EEA" w:rsidP="00601EEA">
      <w:pPr>
        <w:pStyle w:val="SangriaIzquierdaArticulo"/>
      </w:pPr>
      <w:r>
        <w:t xml:space="preserve">Auto </w:t>
      </w:r>
      <w:hyperlink w:anchor="AUTO_2024_22" w:history="1">
        <w:r w:rsidRPr="00601EEA">
          <w:rPr>
            <w:rStyle w:val="TextoNormalCaracter"/>
          </w:rPr>
          <w:t>22/2024</w:t>
        </w:r>
      </w:hyperlink>
      <w:r>
        <w:t>, ff. 1, 6.</w:t>
      </w:r>
    </w:p>
    <w:p w14:paraId="7C82993F" w14:textId="6600C897" w:rsidR="00601EEA" w:rsidRDefault="00601EEA" w:rsidP="00601EEA">
      <w:pPr>
        <w:pStyle w:val="SangriaFrancesaArticulo"/>
      </w:pPr>
      <w:r w:rsidRPr="00601EEA">
        <w:rPr>
          <w:rStyle w:val="TextoNormalNegritaCaracter"/>
        </w:rPr>
        <w:t>Artículo 41.2 c).</w:t>
      </w:r>
      <w:r w:rsidRPr="00601EEA">
        <w:rPr>
          <w:rStyle w:val="TextoNormalCaracter"/>
        </w:rPr>
        <w:t>-</w:t>
      </w:r>
      <w:r>
        <w:t xml:space="preserve"> Sentencia </w:t>
      </w:r>
      <w:hyperlink w:anchor="SENTENCIA_2024_68" w:history="1">
        <w:r w:rsidRPr="00601EEA">
          <w:rPr>
            <w:rStyle w:val="TextoNormalCaracter"/>
          </w:rPr>
          <w:t>68/2024</w:t>
        </w:r>
      </w:hyperlink>
      <w:r>
        <w:t>, ff. 1, 2, 4, 8.</w:t>
      </w:r>
    </w:p>
    <w:p w14:paraId="33060078" w14:textId="48DFB696" w:rsidR="00601EEA" w:rsidRDefault="00601EEA" w:rsidP="00601EEA">
      <w:pPr>
        <w:pStyle w:val="SangriaIzquierdaArticulo"/>
      </w:pPr>
      <w:r>
        <w:t xml:space="preserve">Auto </w:t>
      </w:r>
      <w:hyperlink w:anchor="AUTO_2024_22" w:history="1">
        <w:r w:rsidRPr="00601EEA">
          <w:rPr>
            <w:rStyle w:val="TextoNormalCaracter"/>
          </w:rPr>
          <w:t>22/2024</w:t>
        </w:r>
      </w:hyperlink>
      <w:r>
        <w:t>, ff. 1, 6.</w:t>
      </w:r>
    </w:p>
    <w:p w14:paraId="13D11583" w14:textId="121728BA" w:rsidR="00601EEA" w:rsidRDefault="00601EEA" w:rsidP="00601EEA">
      <w:pPr>
        <w:pStyle w:val="SangriaFrancesaArticulo"/>
      </w:pPr>
      <w:r w:rsidRPr="00601EEA">
        <w:rPr>
          <w:rStyle w:val="TextoNormalNegritaCaracter"/>
        </w:rPr>
        <w:t>Artículo 41.2 d).</w:t>
      </w:r>
      <w:r w:rsidRPr="00601EEA">
        <w:rPr>
          <w:rStyle w:val="TextoNormalCaracter"/>
        </w:rPr>
        <w:t>-</w:t>
      </w:r>
      <w:r>
        <w:t xml:space="preserve"> Sentencia </w:t>
      </w:r>
      <w:hyperlink w:anchor="SENTENCIA_2024_68" w:history="1">
        <w:r w:rsidRPr="00601EEA">
          <w:rPr>
            <w:rStyle w:val="TextoNormalCaracter"/>
          </w:rPr>
          <w:t>68/2024</w:t>
        </w:r>
      </w:hyperlink>
      <w:r>
        <w:t>, ff. 1, 2, 4, 8.</w:t>
      </w:r>
    </w:p>
    <w:p w14:paraId="2B882E3A" w14:textId="6BFD5B11" w:rsidR="00601EEA" w:rsidRDefault="00601EEA" w:rsidP="00601EEA">
      <w:pPr>
        <w:pStyle w:val="SangriaIzquierdaArticulo"/>
      </w:pPr>
      <w:r>
        <w:t xml:space="preserve">Auto </w:t>
      </w:r>
      <w:hyperlink w:anchor="AUTO_2024_22" w:history="1">
        <w:r w:rsidRPr="00601EEA">
          <w:rPr>
            <w:rStyle w:val="TextoNormalCaracter"/>
          </w:rPr>
          <w:t>22/2024</w:t>
        </w:r>
      </w:hyperlink>
      <w:r>
        <w:t>, ff. 1, 6.</w:t>
      </w:r>
    </w:p>
    <w:p w14:paraId="2302B0D5" w14:textId="128B1415" w:rsidR="00601EEA" w:rsidRDefault="00601EEA" w:rsidP="00601EEA">
      <w:pPr>
        <w:pStyle w:val="SangriaFrancesaArticulo"/>
      </w:pPr>
      <w:r w:rsidRPr="00601EEA">
        <w:rPr>
          <w:rStyle w:val="TextoNormalNegritaCaracter"/>
        </w:rPr>
        <w:t>Artículo 41.3.</w:t>
      </w:r>
      <w:r w:rsidRPr="00601EEA">
        <w:rPr>
          <w:rStyle w:val="TextoNormalCaracter"/>
        </w:rPr>
        <w:t>-</w:t>
      </w:r>
      <w:r>
        <w:t xml:space="preserve"> Sentencia </w:t>
      </w:r>
      <w:hyperlink w:anchor="SENTENCIA_2024_68" w:history="1">
        <w:r w:rsidRPr="00601EEA">
          <w:rPr>
            <w:rStyle w:val="TextoNormalCaracter"/>
          </w:rPr>
          <w:t>68/2024</w:t>
        </w:r>
      </w:hyperlink>
      <w:r>
        <w:t>, ff. 1, 2, 4, 10.</w:t>
      </w:r>
    </w:p>
    <w:p w14:paraId="516EC8A1" w14:textId="3AFB0D7F" w:rsidR="00601EEA" w:rsidRDefault="00601EEA" w:rsidP="00601EEA">
      <w:pPr>
        <w:pStyle w:val="SangriaIzquierdaArticulo"/>
      </w:pPr>
      <w:r>
        <w:t xml:space="preserve">Auto </w:t>
      </w:r>
      <w:hyperlink w:anchor="AUTO_2024_22" w:history="1">
        <w:r w:rsidRPr="00601EEA">
          <w:rPr>
            <w:rStyle w:val="TextoNormalCaracter"/>
          </w:rPr>
          <w:t>22/2024</w:t>
        </w:r>
      </w:hyperlink>
      <w:r>
        <w:t>, ff. 1, 6.</w:t>
      </w:r>
    </w:p>
    <w:p w14:paraId="09D7024D" w14:textId="2AB684E9" w:rsidR="00601EEA" w:rsidRDefault="00601EEA" w:rsidP="00601EEA">
      <w:pPr>
        <w:pStyle w:val="SangriaFrancesaArticulo"/>
      </w:pPr>
      <w:r w:rsidRPr="00601EEA">
        <w:rPr>
          <w:rStyle w:val="TextoNormalNegritaCaracter"/>
        </w:rPr>
        <w:t>Artículo 42.</w:t>
      </w:r>
      <w:r w:rsidRPr="00601EEA">
        <w:rPr>
          <w:rStyle w:val="TextoNormalCaracter"/>
        </w:rPr>
        <w:t>-</w:t>
      </w:r>
      <w:r>
        <w:t xml:space="preserve"> Sentencia </w:t>
      </w:r>
      <w:hyperlink w:anchor="SENTENCIA_2024_68" w:history="1">
        <w:r w:rsidRPr="00601EEA">
          <w:rPr>
            <w:rStyle w:val="TextoNormalCaracter"/>
          </w:rPr>
          <w:t>68/2024</w:t>
        </w:r>
      </w:hyperlink>
      <w:r>
        <w:t>, ff. 6, 8.</w:t>
      </w:r>
    </w:p>
    <w:p w14:paraId="78CB7A09" w14:textId="6A840E29" w:rsidR="00601EEA" w:rsidRDefault="00601EEA" w:rsidP="00601EEA">
      <w:pPr>
        <w:pStyle w:val="SangriaIzquierdaArticulo"/>
      </w:pPr>
      <w:r>
        <w:t xml:space="preserve">Auto </w:t>
      </w:r>
      <w:hyperlink w:anchor="AUTO_2024_22" w:history="1">
        <w:r w:rsidRPr="00601EEA">
          <w:rPr>
            <w:rStyle w:val="TextoNormalCaracter"/>
          </w:rPr>
          <w:t>22/2024</w:t>
        </w:r>
      </w:hyperlink>
      <w:r>
        <w:t>, f. 6.</w:t>
      </w:r>
    </w:p>
    <w:p w14:paraId="3EB4D874" w14:textId="079EF20E" w:rsidR="00601EEA" w:rsidRDefault="00601EEA" w:rsidP="00601EEA">
      <w:pPr>
        <w:pStyle w:val="SangriaFrancesaArticulo"/>
      </w:pPr>
      <w:r w:rsidRPr="00601EEA">
        <w:rPr>
          <w:rStyle w:val="TextoNormalNegritaCaracter"/>
        </w:rPr>
        <w:t>Artículo 42.2 a).</w:t>
      </w:r>
      <w:r w:rsidRPr="00601EEA">
        <w:rPr>
          <w:rStyle w:val="TextoNormalCaracter"/>
        </w:rPr>
        <w:t>-</w:t>
      </w:r>
      <w:r>
        <w:t xml:space="preserve"> Sentencia </w:t>
      </w:r>
      <w:hyperlink w:anchor="SENTENCIA_2024_68" w:history="1">
        <w:r w:rsidRPr="00601EEA">
          <w:rPr>
            <w:rStyle w:val="TextoNormalCaracter"/>
          </w:rPr>
          <w:t>68/2024</w:t>
        </w:r>
      </w:hyperlink>
      <w:r>
        <w:t>, f. 8.</w:t>
      </w:r>
    </w:p>
    <w:p w14:paraId="4A640D43" w14:textId="68327DE1" w:rsidR="00601EEA" w:rsidRDefault="00601EEA" w:rsidP="00601EEA">
      <w:pPr>
        <w:pStyle w:val="SangriaFrancesaArticulo"/>
      </w:pPr>
      <w:r w:rsidRPr="00601EEA">
        <w:rPr>
          <w:rStyle w:val="TextoNormalNegritaCaracter"/>
        </w:rPr>
        <w:t>Artículo 42.2 b).</w:t>
      </w:r>
      <w:r w:rsidRPr="00601EEA">
        <w:rPr>
          <w:rStyle w:val="TextoNormalCaracter"/>
        </w:rPr>
        <w:t>-</w:t>
      </w:r>
      <w:r>
        <w:t xml:space="preserve"> Sentencia </w:t>
      </w:r>
      <w:hyperlink w:anchor="SENTENCIA_2024_68" w:history="1">
        <w:r w:rsidRPr="00601EEA">
          <w:rPr>
            <w:rStyle w:val="TextoNormalCaracter"/>
          </w:rPr>
          <w:t>68/2024</w:t>
        </w:r>
      </w:hyperlink>
      <w:r>
        <w:t>, f. 8.</w:t>
      </w:r>
    </w:p>
    <w:p w14:paraId="5ABB0986" w14:textId="736195D8" w:rsidR="00601EEA" w:rsidRDefault="00601EEA" w:rsidP="00601EEA">
      <w:pPr>
        <w:pStyle w:val="SangriaFrancesaArticulo"/>
      </w:pPr>
      <w:r w:rsidRPr="00601EEA">
        <w:rPr>
          <w:rStyle w:val="TextoNormalNegritaCaracter"/>
        </w:rPr>
        <w:lastRenderedPageBreak/>
        <w:t>Artículo 43.</w:t>
      </w:r>
      <w:r w:rsidRPr="00601EEA">
        <w:rPr>
          <w:rStyle w:val="TextoNormalCaracter"/>
        </w:rPr>
        <w:t>-</w:t>
      </w:r>
      <w:r>
        <w:t xml:space="preserve"> Sentencia </w:t>
      </w:r>
      <w:hyperlink w:anchor="SENTENCIA_2024_68" w:history="1">
        <w:r w:rsidRPr="00601EEA">
          <w:rPr>
            <w:rStyle w:val="TextoNormalCaracter"/>
          </w:rPr>
          <w:t>68/2024</w:t>
        </w:r>
      </w:hyperlink>
      <w:r>
        <w:t>, ff. 6, 8.</w:t>
      </w:r>
    </w:p>
    <w:p w14:paraId="09FDA495" w14:textId="64B3708F" w:rsidR="00601EEA" w:rsidRDefault="00601EEA" w:rsidP="00601EEA">
      <w:pPr>
        <w:pStyle w:val="SangriaFrancesaArticulo"/>
      </w:pPr>
      <w:r w:rsidRPr="00601EEA">
        <w:rPr>
          <w:rStyle w:val="TextoNormalNegritaCaracter"/>
        </w:rPr>
        <w:t>Artículo 44.</w:t>
      </w:r>
      <w:r w:rsidRPr="00601EEA">
        <w:rPr>
          <w:rStyle w:val="TextoNormalCaracter"/>
        </w:rPr>
        <w:t>-</w:t>
      </w:r>
      <w:r>
        <w:t xml:space="preserve"> Sentencia </w:t>
      </w:r>
      <w:hyperlink w:anchor="SENTENCIA_2024_68" w:history="1">
        <w:r w:rsidRPr="00601EEA">
          <w:rPr>
            <w:rStyle w:val="TextoNormalCaracter"/>
          </w:rPr>
          <w:t>68/2024</w:t>
        </w:r>
      </w:hyperlink>
      <w:r>
        <w:t>, f. 6.</w:t>
      </w:r>
    </w:p>
    <w:p w14:paraId="4845A365" w14:textId="53AE979C" w:rsidR="00601EEA" w:rsidRDefault="00601EEA" w:rsidP="00601EEA">
      <w:pPr>
        <w:pStyle w:val="SangriaFrancesaArticulo"/>
      </w:pPr>
      <w:r w:rsidRPr="00601EEA">
        <w:rPr>
          <w:rStyle w:val="TextoNormalNegritaCaracter"/>
        </w:rPr>
        <w:t>Artículo 44.2.</w:t>
      </w:r>
      <w:r w:rsidRPr="00601EEA">
        <w:rPr>
          <w:rStyle w:val="TextoNormalCaracter"/>
        </w:rPr>
        <w:t>-</w:t>
      </w:r>
      <w:r>
        <w:t xml:space="preserve"> Sentencia </w:t>
      </w:r>
      <w:hyperlink w:anchor="SENTENCIA_2024_68" w:history="1">
        <w:r w:rsidRPr="00601EEA">
          <w:rPr>
            <w:rStyle w:val="TextoNormalCaracter"/>
          </w:rPr>
          <w:t>68/2024</w:t>
        </w:r>
      </w:hyperlink>
      <w:r>
        <w:t>, ff. 6, 8.</w:t>
      </w:r>
    </w:p>
    <w:p w14:paraId="351429E3" w14:textId="1A955B94" w:rsidR="00601EEA" w:rsidRDefault="00601EEA" w:rsidP="00601EEA">
      <w:pPr>
        <w:pStyle w:val="SangriaFrancesaArticulo"/>
      </w:pPr>
      <w:r w:rsidRPr="00601EEA">
        <w:rPr>
          <w:rStyle w:val="TextoNormalNegritaCaracter"/>
        </w:rPr>
        <w:t>Artículo 45.</w:t>
      </w:r>
      <w:r w:rsidRPr="00601EEA">
        <w:rPr>
          <w:rStyle w:val="TextoNormalCaracter"/>
        </w:rPr>
        <w:t>-</w:t>
      </w:r>
      <w:r>
        <w:t xml:space="preserve"> Sentencia </w:t>
      </w:r>
      <w:hyperlink w:anchor="SENTENCIA_2024_68" w:history="1">
        <w:r w:rsidRPr="00601EEA">
          <w:rPr>
            <w:rStyle w:val="TextoNormalCaracter"/>
          </w:rPr>
          <w:t>68/2024</w:t>
        </w:r>
      </w:hyperlink>
      <w:r>
        <w:t>, f. 6.</w:t>
      </w:r>
    </w:p>
    <w:p w14:paraId="48B23ADB" w14:textId="47633698" w:rsidR="00601EEA" w:rsidRDefault="00601EEA" w:rsidP="00601EEA">
      <w:pPr>
        <w:pStyle w:val="SangriaFrancesaArticulo"/>
      </w:pPr>
      <w:r w:rsidRPr="00601EEA">
        <w:rPr>
          <w:rStyle w:val="TextoNormalNegritaCaracter"/>
        </w:rPr>
        <w:t>Artículo 46.</w:t>
      </w:r>
      <w:r w:rsidRPr="00601EEA">
        <w:rPr>
          <w:rStyle w:val="TextoNormalCaracter"/>
        </w:rPr>
        <w:t>-</w:t>
      </w:r>
      <w:r>
        <w:t xml:space="preserve"> Sentencia </w:t>
      </w:r>
      <w:hyperlink w:anchor="SENTENCIA_2024_68" w:history="1">
        <w:r w:rsidRPr="00601EEA">
          <w:rPr>
            <w:rStyle w:val="TextoNormalCaracter"/>
          </w:rPr>
          <w:t>68/2024</w:t>
        </w:r>
      </w:hyperlink>
      <w:r>
        <w:t>, f. 6.</w:t>
      </w:r>
    </w:p>
    <w:p w14:paraId="0C6CB56C" w14:textId="0A3C4517" w:rsidR="00601EEA" w:rsidRDefault="00601EEA" w:rsidP="00601EEA">
      <w:pPr>
        <w:pStyle w:val="SangriaIzquierdaArticulo"/>
      </w:pPr>
      <w:r>
        <w:t xml:space="preserve">Auto </w:t>
      </w:r>
      <w:hyperlink w:anchor="AUTO_2024_22" w:history="1">
        <w:r w:rsidRPr="00601EEA">
          <w:rPr>
            <w:rStyle w:val="TextoNormalCaracter"/>
          </w:rPr>
          <w:t>22/2024</w:t>
        </w:r>
      </w:hyperlink>
      <w:r>
        <w:t>, f. 5.</w:t>
      </w:r>
    </w:p>
    <w:p w14:paraId="690BFDE3" w14:textId="1113596B" w:rsidR="00601EEA" w:rsidRDefault="00601EEA" w:rsidP="00601EEA">
      <w:pPr>
        <w:pStyle w:val="SangriaFrancesaArticulo"/>
      </w:pPr>
      <w:r w:rsidRPr="00601EEA">
        <w:rPr>
          <w:rStyle w:val="TextoNormalNegritaCaracter"/>
        </w:rPr>
        <w:t>Artículo 46.1.</w:t>
      </w:r>
      <w:r w:rsidRPr="00601EEA">
        <w:rPr>
          <w:rStyle w:val="TextoNormalCaracter"/>
        </w:rPr>
        <w:t>-</w:t>
      </w:r>
      <w:r>
        <w:t xml:space="preserve"> Sentencia </w:t>
      </w:r>
      <w:hyperlink w:anchor="SENTENCIA_2024_68" w:history="1">
        <w:r w:rsidRPr="00601EEA">
          <w:rPr>
            <w:rStyle w:val="TextoNormalCaracter"/>
          </w:rPr>
          <w:t>68/2024</w:t>
        </w:r>
      </w:hyperlink>
      <w:r>
        <w:t>, ff. 2, 3, 9.</w:t>
      </w:r>
    </w:p>
    <w:p w14:paraId="44855CCF" w14:textId="4E744DE5" w:rsidR="00601EEA" w:rsidRDefault="00601EEA" w:rsidP="00601EEA">
      <w:pPr>
        <w:pStyle w:val="SangriaFrancesaArticulo"/>
      </w:pPr>
      <w:r w:rsidRPr="00601EEA">
        <w:rPr>
          <w:rStyle w:val="TextoNormalNegritaCaracter"/>
        </w:rPr>
        <w:t>Artículo 46.2.</w:t>
      </w:r>
      <w:r w:rsidRPr="00601EEA">
        <w:rPr>
          <w:rStyle w:val="TextoNormalCaracter"/>
        </w:rPr>
        <w:t>-</w:t>
      </w:r>
      <w:r>
        <w:t xml:space="preserve"> Sentencia </w:t>
      </w:r>
      <w:hyperlink w:anchor="SENTENCIA_2024_68" w:history="1">
        <w:r w:rsidRPr="00601EEA">
          <w:rPr>
            <w:rStyle w:val="TextoNormalCaracter"/>
          </w:rPr>
          <w:t>68/2024</w:t>
        </w:r>
      </w:hyperlink>
      <w:r>
        <w:t>, ff. 1, 2, 4, 8, 10.</w:t>
      </w:r>
    </w:p>
    <w:p w14:paraId="6395F56F" w14:textId="1E7D9F43" w:rsidR="00601EEA" w:rsidRDefault="00601EEA" w:rsidP="00601EEA">
      <w:pPr>
        <w:pStyle w:val="SangriaIzquierdaArticulo"/>
      </w:pPr>
      <w:r>
        <w:t xml:space="preserve">Auto </w:t>
      </w:r>
      <w:hyperlink w:anchor="AUTO_2024_22" w:history="1">
        <w:r w:rsidRPr="00601EEA">
          <w:rPr>
            <w:rStyle w:val="TextoNormalCaracter"/>
          </w:rPr>
          <w:t>22/2024</w:t>
        </w:r>
      </w:hyperlink>
      <w:r>
        <w:t>, ff. 1, 6.</w:t>
      </w:r>
    </w:p>
    <w:p w14:paraId="3E5B47BD" w14:textId="3EC102DD" w:rsidR="00601EEA" w:rsidRDefault="00601EEA" w:rsidP="00601EEA">
      <w:pPr>
        <w:pStyle w:val="SangriaFrancesaArticulo"/>
      </w:pPr>
      <w:r w:rsidRPr="00601EEA">
        <w:rPr>
          <w:rStyle w:val="TextoNormalNegritaCaracter"/>
        </w:rPr>
        <w:t>Artículo 46.3.</w:t>
      </w:r>
      <w:r w:rsidRPr="00601EEA">
        <w:rPr>
          <w:rStyle w:val="TextoNormalCaracter"/>
        </w:rPr>
        <w:t>-</w:t>
      </w:r>
      <w:r>
        <w:t xml:space="preserve"> Sentencia </w:t>
      </w:r>
      <w:hyperlink w:anchor="SENTENCIA_2024_68" w:history="1">
        <w:r w:rsidRPr="00601EEA">
          <w:rPr>
            <w:rStyle w:val="TextoNormalCaracter"/>
          </w:rPr>
          <w:t>68/2024</w:t>
        </w:r>
      </w:hyperlink>
      <w:r>
        <w:t>, ff. 1, 8.</w:t>
      </w:r>
    </w:p>
    <w:p w14:paraId="12BF9908" w14:textId="32737F91" w:rsidR="00601EEA" w:rsidRDefault="00601EEA" w:rsidP="00601EEA">
      <w:pPr>
        <w:pStyle w:val="SangriaFrancesaArticulo"/>
      </w:pPr>
      <w:r w:rsidRPr="00601EEA">
        <w:rPr>
          <w:rStyle w:val="TextoNormalNegritaCaracter"/>
        </w:rPr>
        <w:t>Artículo 46.3 a).</w:t>
      </w:r>
      <w:r w:rsidRPr="00601EEA">
        <w:rPr>
          <w:rStyle w:val="TextoNormalCaracter"/>
        </w:rPr>
        <w:t>-</w:t>
      </w:r>
      <w:r>
        <w:t xml:space="preserve"> Sentencia </w:t>
      </w:r>
      <w:hyperlink w:anchor="SENTENCIA_2024_68" w:history="1">
        <w:r w:rsidRPr="00601EEA">
          <w:rPr>
            <w:rStyle w:val="TextoNormalCaracter"/>
          </w:rPr>
          <w:t>68/2024</w:t>
        </w:r>
      </w:hyperlink>
      <w:r>
        <w:t>, ff. 1, 2, 4, 8.</w:t>
      </w:r>
    </w:p>
    <w:p w14:paraId="41E61DB2" w14:textId="42158DF6" w:rsidR="00601EEA" w:rsidRDefault="00601EEA" w:rsidP="00601EEA">
      <w:pPr>
        <w:pStyle w:val="SangriaIzquierdaArticulo"/>
      </w:pPr>
      <w:r>
        <w:t xml:space="preserve">Auto </w:t>
      </w:r>
      <w:hyperlink w:anchor="AUTO_2024_22" w:history="1">
        <w:r w:rsidRPr="00601EEA">
          <w:rPr>
            <w:rStyle w:val="TextoNormalCaracter"/>
          </w:rPr>
          <w:t>22/2024</w:t>
        </w:r>
      </w:hyperlink>
      <w:r>
        <w:t>, ff. 1, 6.</w:t>
      </w:r>
    </w:p>
    <w:p w14:paraId="56BB9A59" w14:textId="7F8382A3" w:rsidR="00601EEA" w:rsidRDefault="00601EEA" w:rsidP="00601EEA">
      <w:pPr>
        <w:pStyle w:val="SangriaFrancesaArticulo"/>
      </w:pPr>
      <w:r w:rsidRPr="00601EEA">
        <w:rPr>
          <w:rStyle w:val="TextoNormalNegritaCaracter"/>
        </w:rPr>
        <w:t>Artículo 46.3 b).</w:t>
      </w:r>
      <w:r w:rsidRPr="00601EEA">
        <w:rPr>
          <w:rStyle w:val="TextoNormalCaracter"/>
        </w:rPr>
        <w:t>-</w:t>
      </w:r>
      <w:r>
        <w:t xml:space="preserve"> Sentencia </w:t>
      </w:r>
      <w:hyperlink w:anchor="SENTENCIA_2024_68" w:history="1">
        <w:r w:rsidRPr="00601EEA">
          <w:rPr>
            <w:rStyle w:val="TextoNormalCaracter"/>
          </w:rPr>
          <w:t>68/2024</w:t>
        </w:r>
      </w:hyperlink>
      <w:r>
        <w:t>, ff. 1, 2, 4, 8.</w:t>
      </w:r>
    </w:p>
    <w:p w14:paraId="3C16A97C" w14:textId="2ECC19FC" w:rsidR="00601EEA" w:rsidRDefault="00601EEA" w:rsidP="00601EEA">
      <w:pPr>
        <w:pStyle w:val="SangriaIzquierdaArticulo"/>
      </w:pPr>
      <w:r>
        <w:t xml:space="preserve">Auto </w:t>
      </w:r>
      <w:hyperlink w:anchor="AUTO_2024_22" w:history="1">
        <w:r w:rsidRPr="00601EEA">
          <w:rPr>
            <w:rStyle w:val="TextoNormalCaracter"/>
          </w:rPr>
          <w:t>22/2024</w:t>
        </w:r>
      </w:hyperlink>
      <w:r>
        <w:t>, ff. 1, 6.</w:t>
      </w:r>
    </w:p>
    <w:p w14:paraId="7D60DD35" w14:textId="0FB67015" w:rsidR="00601EEA" w:rsidRDefault="00601EEA" w:rsidP="00601EEA">
      <w:pPr>
        <w:pStyle w:val="SangriaFrancesaArticulo"/>
      </w:pPr>
      <w:r w:rsidRPr="00601EEA">
        <w:rPr>
          <w:rStyle w:val="TextoNormalNegritaCaracter"/>
        </w:rPr>
        <w:t>Artículo 46.5.</w:t>
      </w:r>
      <w:r w:rsidRPr="00601EEA">
        <w:rPr>
          <w:rStyle w:val="TextoNormalCaracter"/>
        </w:rPr>
        <w:t>-</w:t>
      </w:r>
      <w:r>
        <w:t xml:space="preserve"> Sentencia </w:t>
      </w:r>
      <w:hyperlink w:anchor="SENTENCIA_2024_68" w:history="1">
        <w:r w:rsidRPr="00601EEA">
          <w:rPr>
            <w:rStyle w:val="TextoNormalCaracter"/>
          </w:rPr>
          <w:t>68/2024</w:t>
        </w:r>
      </w:hyperlink>
      <w:r>
        <w:t>, ff. 1 a 4, 8.</w:t>
      </w:r>
    </w:p>
    <w:p w14:paraId="6F1B2C21" w14:textId="1F73B12E" w:rsidR="00601EEA" w:rsidRDefault="00601EEA" w:rsidP="00601EEA">
      <w:pPr>
        <w:pStyle w:val="SangriaIzquierdaArticulo"/>
      </w:pPr>
      <w:r>
        <w:t xml:space="preserve">Auto </w:t>
      </w:r>
      <w:hyperlink w:anchor="AUTO_2024_22" w:history="1">
        <w:r w:rsidRPr="00601EEA">
          <w:rPr>
            <w:rStyle w:val="TextoNormalCaracter"/>
          </w:rPr>
          <w:t>22/2024</w:t>
        </w:r>
      </w:hyperlink>
      <w:r>
        <w:t>, ff. 1, 6.</w:t>
      </w:r>
    </w:p>
    <w:p w14:paraId="159E1201" w14:textId="66EB76E6" w:rsidR="00601EEA" w:rsidRDefault="00601EEA" w:rsidP="00601EEA">
      <w:pPr>
        <w:pStyle w:val="SangriaFrancesaArticulo"/>
      </w:pPr>
      <w:r w:rsidRPr="00601EEA">
        <w:rPr>
          <w:rStyle w:val="TextoNormalNegritaCaracter"/>
        </w:rPr>
        <w:t>Artículo 46.5 inciso "los bienes cedidos serán destinados a fines de uso o servicio público”.</w:t>
      </w:r>
      <w:r w:rsidRPr="00601EEA">
        <w:rPr>
          <w:rStyle w:val="TextoNormalCaracter"/>
        </w:rPr>
        <w:t>-</w:t>
      </w:r>
      <w:r>
        <w:t xml:space="preserve"> Sentencia </w:t>
      </w:r>
      <w:hyperlink w:anchor="SENTENCIA_2024_68" w:history="1">
        <w:r w:rsidRPr="00601EEA">
          <w:rPr>
            <w:rStyle w:val="TextoNormalCaracter"/>
          </w:rPr>
          <w:t>68/2024</w:t>
        </w:r>
      </w:hyperlink>
      <w:r>
        <w:t>, f. 8.</w:t>
      </w:r>
    </w:p>
    <w:p w14:paraId="206C8E83" w14:textId="6CF28662" w:rsidR="00601EEA" w:rsidRDefault="00601EEA" w:rsidP="00601EEA">
      <w:pPr>
        <w:pStyle w:val="SangriaFrancesaArticulo"/>
      </w:pPr>
      <w:r w:rsidRPr="00601EEA">
        <w:rPr>
          <w:rStyle w:val="TextoNormalNegritaCaracter"/>
        </w:rPr>
        <w:t>Artículo 47.</w:t>
      </w:r>
      <w:r w:rsidRPr="00601EEA">
        <w:rPr>
          <w:rStyle w:val="TextoNormalCaracter"/>
        </w:rPr>
        <w:t>-</w:t>
      </w:r>
      <w:r>
        <w:t xml:space="preserve"> Sentencia </w:t>
      </w:r>
      <w:hyperlink w:anchor="SENTENCIA_2024_68" w:history="1">
        <w:r w:rsidRPr="00601EEA">
          <w:rPr>
            <w:rStyle w:val="TextoNormalCaracter"/>
          </w:rPr>
          <w:t>68/2024</w:t>
        </w:r>
      </w:hyperlink>
      <w:r>
        <w:t>, f. 6.</w:t>
      </w:r>
    </w:p>
    <w:p w14:paraId="50ABBE86" w14:textId="62960A86" w:rsidR="00601EEA" w:rsidRDefault="00601EEA" w:rsidP="00601EEA">
      <w:pPr>
        <w:pStyle w:val="SangriaFrancesaArticulo"/>
      </w:pPr>
      <w:r w:rsidRPr="00601EEA">
        <w:rPr>
          <w:rStyle w:val="TextoNormalNegritaCaracter"/>
        </w:rPr>
        <w:t>Artículo 47.2.</w:t>
      </w:r>
      <w:r w:rsidRPr="00601EEA">
        <w:rPr>
          <w:rStyle w:val="TextoNormalCaracter"/>
        </w:rPr>
        <w:t>-</w:t>
      </w:r>
      <w:r>
        <w:t xml:space="preserve"> Sentencia </w:t>
      </w:r>
      <w:hyperlink w:anchor="SENTENCIA_2024_68" w:history="1">
        <w:r w:rsidRPr="00601EEA">
          <w:rPr>
            <w:rStyle w:val="TextoNormalCaracter"/>
          </w:rPr>
          <w:t>68/2024</w:t>
        </w:r>
      </w:hyperlink>
      <w:r>
        <w:t>, f. 10.</w:t>
      </w:r>
    </w:p>
    <w:p w14:paraId="7119A1EF" w14:textId="7F63F86D" w:rsidR="00601EEA" w:rsidRDefault="00601EEA" w:rsidP="00601EEA">
      <w:pPr>
        <w:pStyle w:val="SangriaFrancesaArticulo"/>
      </w:pPr>
      <w:r w:rsidRPr="00601EEA">
        <w:rPr>
          <w:rStyle w:val="TextoNormalNegritaCaracter"/>
        </w:rPr>
        <w:t>Artículo 48.</w:t>
      </w:r>
      <w:r w:rsidRPr="00601EEA">
        <w:rPr>
          <w:rStyle w:val="TextoNormalCaracter"/>
        </w:rPr>
        <w:t>-</w:t>
      </w:r>
      <w:r>
        <w:t xml:space="preserve"> Sentencia </w:t>
      </w:r>
      <w:hyperlink w:anchor="SENTENCIA_2024_68" w:history="1">
        <w:r w:rsidRPr="00601EEA">
          <w:rPr>
            <w:rStyle w:val="TextoNormalCaracter"/>
          </w:rPr>
          <w:t>68/2024</w:t>
        </w:r>
      </w:hyperlink>
      <w:r>
        <w:t>, ff. 6, 8, 10.</w:t>
      </w:r>
    </w:p>
    <w:p w14:paraId="7156E584" w14:textId="588693BA" w:rsidR="00601EEA" w:rsidRDefault="00601EEA" w:rsidP="00601EEA">
      <w:pPr>
        <w:pStyle w:val="SangriaFrancesaArticulo"/>
      </w:pPr>
      <w:r w:rsidRPr="00601EEA">
        <w:rPr>
          <w:rStyle w:val="TextoNormalNegritaCaracter"/>
        </w:rPr>
        <w:t>Artículo 48.1.</w:t>
      </w:r>
      <w:r w:rsidRPr="00601EEA">
        <w:rPr>
          <w:rStyle w:val="TextoNormalCaracter"/>
        </w:rPr>
        <w:t>-</w:t>
      </w:r>
      <w:r>
        <w:t xml:space="preserve"> Sentencia </w:t>
      </w:r>
      <w:hyperlink w:anchor="SENTENCIA_2024_68" w:history="1">
        <w:r w:rsidRPr="00601EEA">
          <w:rPr>
            <w:rStyle w:val="TextoNormalCaracter"/>
          </w:rPr>
          <w:t>68/2024</w:t>
        </w:r>
      </w:hyperlink>
      <w:r>
        <w:t>, ff. 1 a 4, 7 a 10.</w:t>
      </w:r>
    </w:p>
    <w:p w14:paraId="66F8F0F7" w14:textId="0B2EC2DB" w:rsidR="00601EEA" w:rsidRDefault="00601EEA" w:rsidP="00601EEA">
      <w:pPr>
        <w:pStyle w:val="SangriaIzquierdaArticulo"/>
      </w:pPr>
      <w:r>
        <w:t xml:space="preserve">Auto </w:t>
      </w:r>
      <w:hyperlink w:anchor="AUTO_2024_22" w:history="1">
        <w:r w:rsidRPr="00601EEA">
          <w:rPr>
            <w:rStyle w:val="TextoNormalCaracter"/>
          </w:rPr>
          <w:t>22/2024</w:t>
        </w:r>
      </w:hyperlink>
      <w:r>
        <w:t>, ff. 1, 6.</w:t>
      </w:r>
    </w:p>
    <w:p w14:paraId="3B8A2F63" w14:textId="6DBD181F" w:rsidR="00601EEA" w:rsidRDefault="00601EEA" w:rsidP="00601EEA">
      <w:pPr>
        <w:pStyle w:val="SangriaFrancesaArticulo"/>
      </w:pPr>
      <w:r w:rsidRPr="00601EEA">
        <w:rPr>
          <w:rStyle w:val="TextoNormalNegritaCaracter"/>
        </w:rPr>
        <w:t>Artículo 48.2.</w:t>
      </w:r>
      <w:r w:rsidRPr="00601EEA">
        <w:rPr>
          <w:rStyle w:val="TextoNormalCaracter"/>
        </w:rPr>
        <w:t>-</w:t>
      </w:r>
      <w:r>
        <w:t xml:space="preserve"> Sentencia </w:t>
      </w:r>
      <w:hyperlink w:anchor="SENTENCIA_2024_68" w:history="1">
        <w:r w:rsidRPr="00601EEA">
          <w:rPr>
            <w:rStyle w:val="TextoNormalCaracter"/>
          </w:rPr>
          <w:t>68/2024</w:t>
        </w:r>
      </w:hyperlink>
      <w:r>
        <w:t>, f. 8.</w:t>
      </w:r>
    </w:p>
    <w:p w14:paraId="194F7A49" w14:textId="24D4E5D7" w:rsidR="00601EEA" w:rsidRDefault="00601EEA" w:rsidP="00601EEA">
      <w:pPr>
        <w:pStyle w:val="SangriaFrancesaArticulo"/>
      </w:pPr>
      <w:r w:rsidRPr="00601EEA">
        <w:rPr>
          <w:rStyle w:val="TextoNormalNegritaCaracter"/>
        </w:rPr>
        <w:t>Artículo 48.3.</w:t>
      </w:r>
      <w:r w:rsidRPr="00601EEA">
        <w:rPr>
          <w:rStyle w:val="TextoNormalCaracter"/>
        </w:rPr>
        <w:t>-</w:t>
      </w:r>
      <w:r>
        <w:t xml:space="preserve"> Sentencia </w:t>
      </w:r>
      <w:hyperlink w:anchor="SENTENCIA_2024_68" w:history="1">
        <w:r w:rsidRPr="00601EEA">
          <w:rPr>
            <w:rStyle w:val="TextoNormalCaracter"/>
          </w:rPr>
          <w:t>68/2024</w:t>
        </w:r>
      </w:hyperlink>
      <w:r>
        <w:t>, ff. 1 a 4, 8.</w:t>
      </w:r>
    </w:p>
    <w:p w14:paraId="69B34876" w14:textId="7508FC1A" w:rsidR="00601EEA" w:rsidRDefault="00601EEA" w:rsidP="00601EEA">
      <w:pPr>
        <w:pStyle w:val="SangriaIzquierdaArticulo"/>
      </w:pPr>
      <w:r>
        <w:t xml:space="preserve">Auto </w:t>
      </w:r>
      <w:hyperlink w:anchor="AUTO_2024_22" w:history="1">
        <w:r w:rsidRPr="00601EEA">
          <w:rPr>
            <w:rStyle w:val="TextoNormalCaracter"/>
          </w:rPr>
          <w:t>22/2024</w:t>
        </w:r>
      </w:hyperlink>
      <w:r>
        <w:t>, ff. 1, 5, 6.</w:t>
      </w:r>
    </w:p>
    <w:p w14:paraId="747482A7" w14:textId="30EC8754" w:rsidR="00601EEA" w:rsidRDefault="00601EEA" w:rsidP="00601EEA">
      <w:pPr>
        <w:pStyle w:val="SangriaFrancesaArticulo"/>
      </w:pPr>
      <w:r w:rsidRPr="00601EEA">
        <w:rPr>
          <w:rStyle w:val="TextoNormalNegritaCaracter"/>
        </w:rPr>
        <w:t>Artículo 48.3 a).</w:t>
      </w:r>
      <w:r w:rsidRPr="00601EEA">
        <w:rPr>
          <w:rStyle w:val="TextoNormalCaracter"/>
        </w:rPr>
        <w:t>-</w:t>
      </w:r>
      <w:r>
        <w:t xml:space="preserve"> Sentencia </w:t>
      </w:r>
      <w:hyperlink w:anchor="SENTENCIA_2024_68" w:history="1">
        <w:r w:rsidRPr="00601EEA">
          <w:rPr>
            <w:rStyle w:val="TextoNormalCaracter"/>
          </w:rPr>
          <w:t>68/2024</w:t>
        </w:r>
      </w:hyperlink>
      <w:r>
        <w:t>, f. 8.</w:t>
      </w:r>
    </w:p>
    <w:p w14:paraId="01C5F403" w14:textId="5B9AA33B" w:rsidR="00601EEA" w:rsidRDefault="00601EEA" w:rsidP="00601EEA">
      <w:pPr>
        <w:pStyle w:val="SangriaFrancesaArticulo"/>
      </w:pPr>
      <w:r w:rsidRPr="00601EEA">
        <w:rPr>
          <w:rStyle w:val="TextoNormalNegritaCaracter"/>
        </w:rPr>
        <w:t>Artículo 48.3 b).</w:t>
      </w:r>
      <w:r w:rsidRPr="00601EEA">
        <w:rPr>
          <w:rStyle w:val="TextoNormalCaracter"/>
        </w:rPr>
        <w:t>-</w:t>
      </w:r>
      <w:r>
        <w:t xml:space="preserve"> Sentencia </w:t>
      </w:r>
      <w:hyperlink w:anchor="SENTENCIA_2024_68" w:history="1">
        <w:r w:rsidRPr="00601EEA">
          <w:rPr>
            <w:rStyle w:val="TextoNormalCaracter"/>
          </w:rPr>
          <w:t>68/2024</w:t>
        </w:r>
      </w:hyperlink>
      <w:r>
        <w:t>, f. 8.</w:t>
      </w:r>
    </w:p>
    <w:p w14:paraId="496CCEFA" w14:textId="29904CA5" w:rsidR="00601EEA" w:rsidRDefault="00601EEA" w:rsidP="00601EEA">
      <w:pPr>
        <w:pStyle w:val="SangriaFrancesaArticulo"/>
      </w:pPr>
      <w:r w:rsidRPr="00601EEA">
        <w:rPr>
          <w:rStyle w:val="TextoNormalNegritaCaracter"/>
        </w:rPr>
        <w:t>Artículo 48.3 c).</w:t>
      </w:r>
      <w:r w:rsidRPr="00601EEA">
        <w:rPr>
          <w:rStyle w:val="TextoNormalCaracter"/>
        </w:rPr>
        <w:t>-</w:t>
      </w:r>
      <w:r>
        <w:t xml:space="preserve"> Sentencia </w:t>
      </w:r>
      <w:hyperlink w:anchor="SENTENCIA_2024_68" w:history="1">
        <w:r w:rsidRPr="00601EEA">
          <w:rPr>
            <w:rStyle w:val="TextoNormalCaracter"/>
          </w:rPr>
          <w:t>68/2024</w:t>
        </w:r>
      </w:hyperlink>
      <w:r>
        <w:t>, f. 8.</w:t>
      </w:r>
    </w:p>
    <w:p w14:paraId="5D5E9231" w14:textId="266570C5" w:rsidR="00601EEA" w:rsidRDefault="00601EEA" w:rsidP="00601EEA">
      <w:pPr>
        <w:pStyle w:val="SangriaFrancesaArticulo"/>
      </w:pPr>
      <w:r w:rsidRPr="00601EEA">
        <w:rPr>
          <w:rStyle w:val="TextoNormalNegritaCaracter"/>
        </w:rPr>
        <w:t>Artículo 48.3 d).</w:t>
      </w:r>
      <w:r w:rsidRPr="00601EEA">
        <w:rPr>
          <w:rStyle w:val="TextoNormalCaracter"/>
        </w:rPr>
        <w:t>-</w:t>
      </w:r>
      <w:r>
        <w:t xml:space="preserve"> Sentencia </w:t>
      </w:r>
      <w:hyperlink w:anchor="SENTENCIA_2024_68" w:history="1">
        <w:r w:rsidRPr="00601EEA">
          <w:rPr>
            <w:rStyle w:val="TextoNormalCaracter"/>
          </w:rPr>
          <w:t>68/2024</w:t>
        </w:r>
      </w:hyperlink>
      <w:r>
        <w:t>, f. 8.</w:t>
      </w:r>
    </w:p>
    <w:p w14:paraId="43687B99" w14:textId="7DD55418" w:rsidR="00601EEA" w:rsidRDefault="00601EEA" w:rsidP="00601EEA">
      <w:pPr>
        <w:pStyle w:val="SangriaFrancesaArticulo"/>
      </w:pPr>
      <w:r w:rsidRPr="00601EEA">
        <w:rPr>
          <w:rStyle w:val="TextoNormalNegritaCaracter"/>
        </w:rPr>
        <w:t>Artículo 48.3 e).</w:t>
      </w:r>
      <w:r w:rsidRPr="00601EEA">
        <w:rPr>
          <w:rStyle w:val="TextoNormalCaracter"/>
        </w:rPr>
        <w:t>-</w:t>
      </w:r>
      <w:r>
        <w:t xml:space="preserve"> Sentencia </w:t>
      </w:r>
      <w:hyperlink w:anchor="SENTENCIA_2024_68" w:history="1">
        <w:r w:rsidRPr="00601EEA">
          <w:rPr>
            <w:rStyle w:val="TextoNormalCaracter"/>
          </w:rPr>
          <w:t>68/2024</w:t>
        </w:r>
      </w:hyperlink>
      <w:r>
        <w:t>, f. 8.</w:t>
      </w:r>
    </w:p>
    <w:p w14:paraId="1D2848A1" w14:textId="315DF38F" w:rsidR="00601EEA" w:rsidRDefault="00601EEA" w:rsidP="00601EEA">
      <w:pPr>
        <w:pStyle w:val="SangriaFrancesaArticulo"/>
      </w:pPr>
      <w:r w:rsidRPr="00601EEA">
        <w:rPr>
          <w:rStyle w:val="TextoNormalNegritaCaracter"/>
        </w:rPr>
        <w:t>Artículo 48.3 f).</w:t>
      </w:r>
      <w:r w:rsidRPr="00601EEA">
        <w:rPr>
          <w:rStyle w:val="TextoNormalCaracter"/>
        </w:rPr>
        <w:t>-</w:t>
      </w:r>
      <w:r>
        <w:t xml:space="preserve"> Sentencia </w:t>
      </w:r>
      <w:hyperlink w:anchor="SENTENCIA_2024_68" w:history="1">
        <w:r w:rsidRPr="00601EEA">
          <w:rPr>
            <w:rStyle w:val="TextoNormalCaracter"/>
          </w:rPr>
          <w:t>68/2024</w:t>
        </w:r>
      </w:hyperlink>
      <w:r>
        <w:t>, f. 8.</w:t>
      </w:r>
    </w:p>
    <w:p w14:paraId="7769690C" w14:textId="71D1B14B" w:rsidR="00601EEA" w:rsidRDefault="00601EEA" w:rsidP="00601EEA">
      <w:pPr>
        <w:pStyle w:val="SangriaFrancesaArticulo"/>
      </w:pPr>
      <w:r w:rsidRPr="00601EEA">
        <w:rPr>
          <w:rStyle w:val="TextoNormalNegritaCaracter"/>
        </w:rPr>
        <w:t>Artículo 48.3 g).</w:t>
      </w:r>
      <w:r w:rsidRPr="00601EEA">
        <w:rPr>
          <w:rStyle w:val="TextoNormalCaracter"/>
        </w:rPr>
        <w:t>-</w:t>
      </w:r>
      <w:r>
        <w:t xml:space="preserve"> Sentencia </w:t>
      </w:r>
      <w:hyperlink w:anchor="SENTENCIA_2024_68" w:history="1">
        <w:r w:rsidRPr="00601EEA">
          <w:rPr>
            <w:rStyle w:val="TextoNormalCaracter"/>
          </w:rPr>
          <w:t>68/2024</w:t>
        </w:r>
      </w:hyperlink>
      <w:r>
        <w:t>, f. 8.</w:t>
      </w:r>
    </w:p>
    <w:p w14:paraId="38247A9F" w14:textId="35E67445" w:rsidR="00601EEA" w:rsidRDefault="00601EEA" w:rsidP="00601EEA">
      <w:pPr>
        <w:pStyle w:val="SangriaFrancesaArticulo"/>
      </w:pPr>
      <w:r w:rsidRPr="00601EEA">
        <w:rPr>
          <w:rStyle w:val="TextoNormalNegritaCaracter"/>
        </w:rPr>
        <w:t>Artículo 48.4.</w:t>
      </w:r>
      <w:r w:rsidRPr="00601EEA">
        <w:rPr>
          <w:rStyle w:val="TextoNormalCaracter"/>
        </w:rPr>
        <w:t>-</w:t>
      </w:r>
      <w:r>
        <w:t xml:space="preserve"> Sentencia </w:t>
      </w:r>
      <w:hyperlink w:anchor="SENTENCIA_2024_68" w:history="1">
        <w:r w:rsidRPr="00601EEA">
          <w:rPr>
            <w:rStyle w:val="TextoNormalCaracter"/>
          </w:rPr>
          <w:t>68/2024</w:t>
        </w:r>
      </w:hyperlink>
      <w:r>
        <w:t>, ff. 1, 3, 4, 10.</w:t>
      </w:r>
    </w:p>
    <w:p w14:paraId="2C58D171" w14:textId="054AC9EA" w:rsidR="00601EEA" w:rsidRDefault="00601EEA" w:rsidP="00601EEA">
      <w:pPr>
        <w:pStyle w:val="SangriaIzquierdaArticulo"/>
      </w:pPr>
      <w:r>
        <w:t xml:space="preserve">Auto </w:t>
      </w:r>
      <w:hyperlink w:anchor="AUTO_2024_22" w:history="1">
        <w:r w:rsidRPr="00601EEA">
          <w:rPr>
            <w:rStyle w:val="TextoNormalCaracter"/>
          </w:rPr>
          <w:t>22/2024</w:t>
        </w:r>
      </w:hyperlink>
      <w:r>
        <w:t>, ff. 1, 6.</w:t>
      </w:r>
    </w:p>
    <w:p w14:paraId="325A5F3A" w14:textId="1451B48C" w:rsidR="00601EEA" w:rsidRDefault="00601EEA" w:rsidP="00601EEA">
      <w:pPr>
        <w:pStyle w:val="SangriaFrancesaArticulo"/>
      </w:pPr>
      <w:r w:rsidRPr="00601EEA">
        <w:rPr>
          <w:rStyle w:val="TextoNormalNegritaCaracter"/>
        </w:rPr>
        <w:t>Artículo 48.5.</w:t>
      </w:r>
      <w:r w:rsidRPr="00601EEA">
        <w:rPr>
          <w:rStyle w:val="TextoNormalCaracter"/>
        </w:rPr>
        <w:t>-</w:t>
      </w:r>
      <w:r>
        <w:t xml:space="preserve"> Sentencia </w:t>
      </w:r>
      <w:hyperlink w:anchor="SENTENCIA_2024_68" w:history="1">
        <w:r w:rsidRPr="00601EEA">
          <w:rPr>
            <w:rStyle w:val="TextoNormalCaracter"/>
          </w:rPr>
          <w:t>68/2024</w:t>
        </w:r>
      </w:hyperlink>
      <w:r>
        <w:t>, ff. 1 a 4, 10.</w:t>
      </w:r>
    </w:p>
    <w:p w14:paraId="206CB3D1" w14:textId="03C61A3A" w:rsidR="00601EEA" w:rsidRDefault="00601EEA" w:rsidP="00601EEA">
      <w:pPr>
        <w:pStyle w:val="SangriaIzquierdaArticulo"/>
      </w:pPr>
      <w:r>
        <w:t xml:space="preserve">Auto </w:t>
      </w:r>
      <w:hyperlink w:anchor="AUTO_2024_22" w:history="1">
        <w:r w:rsidRPr="00601EEA">
          <w:rPr>
            <w:rStyle w:val="TextoNormalCaracter"/>
          </w:rPr>
          <w:t>22/2024</w:t>
        </w:r>
      </w:hyperlink>
      <w:r>
        <w:t>, ff. 1, 6.</w:t>
      </w:r>
    </w:p>
    <w:p w14:paraId="19770DE7" w14:textId="4C1A5036" w:rsidR="00601EEA" w:rsidRDefault="00601EEA" w:rsidP="00601EEA">
      <w:pPr>
        <w:pStyle w:val="SangriaFrancesaArticulo"/>
      </w:pPr>
      <w:r w:rsidRPr="00601EEA">
        <w:rPr>
          <w:rStyle w:val="TextoNormalNegritaCaracter"/>
        </w:rPr>
        <w:t>Artículo 49.</w:t>
      </w:r>
      <w:r w:rsidRPr="00601EEA">
        <w:rPr>
          <w:rStyle w:val="TextoNormalCaracter"/>
        </w:rPr>
        <w:t>-</w:t>
      </w:r>
      <w:r>
        <w:t xml:space="preserve"> Sentencia </w:t>
      </w:r>
      <w:hyperlink w:anchor="SENTENCIA_2024_68" w:history="1">
        <w:r w:rsidRPr="00601EEA">
          <w:rPr>
            <w:rStyle w:val="TextoNormalCaracter"/>
          </w:rPr>
          <w:t>68/2024</w:t>
        </w:r>
      </w:hyperlink>
      <w:r>
        <w:t>, ff. 6, 8, 10.</w:t>
      </w:r>
    </w:p>
    <w:p w14:paraId="145AAD4E" w14:textId="781E1144" w:rsidR="00601EEA" w:rsidRDefault="00601EEA" w:rsidP="00601EEA">
      <w:pPr>
        <w:pStyle w:val="SangriaIzquierdaArticulo"/>
      </w:pPr>
      <w:r>
        <w:t xml:space="preserve">Auto </w:t>
      </w:r>
      <w:hyperlink w:anchor="AUTO_2024_22" w:history="1">
        <w:r w:rsidRPr="00601EEA">
          <w:rPr>
            <w:rStyle w:val="TextoNormalCaracter"/>
          </w:rPr>
          <w:t>22/2024</w:t>
        </w:r>
      </w:hyperlink>
      <w:r>
        <w:t>, f. 5.</w:t>
      </w:r>
    </w:p>
    <w:p w14:paraId="7D45754E" w14:textId="56063BD3" w:rsidR="00601EEA" w:rsidRDefault="00601EEA" w:rsidP="00601EEA">
      <w:pPr>
        <w:pStyle w:val="SangriaFrancesaArticulo"/>
      </w:pPr>
      <w:r w:rsidRPr="00601EEA">
        <w:rPr>
          <w:rStyle w:val="TextoNormalNegritaCaracter"/>
        </w:rPr>
        <w:t>Artículo 49.1.</w:t>
      </w:r>
      <w:r w:rsidRPr="00601EEA">
        <w:rPr>
          <w:rStyle w:val="TextoNormalCaracter"/>
        </w:rPr>
        <w:t>-</w:t>
      </w:r>
      <w:r>
        <w:t xml:space="preserve"> Sentencia </w:t>
      </w:r>
      <w:hyperlink w:anchor="SENTENCIA_2024_68" w:history="1">
        <w:r w:rsidRPr="00601EEA">
          <w:rPr>
            <w:rStyle w:val="TextoNormalCaracter"/>
          </w:rPr>
          <w:t>68/2024</w:t>
        </w:r>
      </w:hyperlink>
      <w:r>
        <w:t>, ff. 1, 8.</w:t>
      </w:r>
    </w:p>
    <w:p w14:paraId="03AE690C" w14:textId="69800F7E" w:rsidR="00601EEA" w:rsidRDefault="00601EEA" w:rsidP="00601EEA">
      <w:pPr>
        <w:pStyle w:val="SangriaIzquierdaArticulo"/>
      </w:pPr>
      <w:r>
        <w:t xml:space="preserve">Auto </w:t>
      </w:r>
      <w:hyperlink w:anchor="AUTO_2024_22" w:history="1">
        <w:r w:rsidRPr="00601EEA">
          <w:rPr>
            <w:rStyle w:val="TextoNormalCaracter"/>
          </w:rPr>
          <w:t>22/2024</w:t>
        </w:r>
      </w:hyperlink>
      <w:r>
        <w:t>, ff. 1, 6.</w:t>
      </w:r>
    </w:p>
    <w:p w14:paraId="0713B0B0" w14:textId="42527B67" w:rsidR="00601EEA" w:rsidRDefault="00601EEA" w:rsidP="00601EEA">
      <w:pPr>
        <w:pStyle w:val="SangriaFrancesaArticulo"/>
      </w:pPr>
      <w:r w:rsidRPr="00601EEA">
        <w:rPr>
          <w:rStyle w:val="TextoNormalNegritaCaracter"/>
        </w:rPr>
        <w:t xml:space="preserve">Artículo 49.1 </w:t>
      </w:r>
      <w:r w:rsidRPr="00601EEA">
        <w:rPr>
          <w:rStyle w:val="TextoNormalNegritaCursivaCaracter"/>
        </w:rPr>
        <w:t>in fine</w:t>
      </w:r>
      <w:r w:rsidRPr="00601EEA">
        <w:rPr>
          <w:rStyle w:val="TextoNormalNegritaCaracter"/>
        </w:rPr>
        <w:t>.</w:t>
      </w:r>
      <w:r w:rsidRPr="00601EEA">
        <w:rPr>
          <w:rStyle w:val="TextoNormalCaracter"/>
        </w:rPr>
        <w:t>-</w:t>
      </w:r>
      <w:r>
        <w:t xml:space="preserve"> Sentencia </w:t>
      </w:r>
      <w:hyperlink w:anchor="SENTENCIA_2024_68" w:history="1">
        <w:r w:rsidRPr="00601EEA">
          <w:rPr>
            <w:rStyle w:val="TextoNormalCaracter"/>
          </w:rPr>
          <w:t>68/2024</w:t>
        </w:r>
      </w:hyperlink>
      <w:r>
        <w:t>, f. 8.</w:t>
      </w:r>
    </w:p>
    <w:p w14:paraId="7A52721F" w14:textId="69FFFE62" w:rsidR="00601EEA" w:rsidRDefault="00601EEA" w:rsidP="00601EEA">
      <w:pPr>
        <w:pStyle w:val="SangriaFrancesaArticulo"/>
      </w:pPr>
      <w:r w:rsidRPr="00601EEA">
        <w:rPr>
          <w:rStyle w:val="TextoNormalNegritaCaracter"/>
        </w:rPr>
        <w:t>Artículo 49.1 inciso “salvo que estén sujetos a declaración responsable de acuerdo con lo dispuesto en el apartado siguiente”.</w:t>
      </w:r>
      <w:r w:rsidRPr="00601EEA">
        <w:rPr>
          <w:rStyle w:val="TextoNormalCaracter"/>
        </w:rPr>
        <w:t>-</w:t>
      </w:r>
      <w:r>
        <w:t xml:space="preserve"> Sentencia </w:t>
      </w:r>
      <w:hyperlink w:anchor="SENTENCIA_2024_68" w:history="1">
        <w:r w:rsidRPr="00601EEA">
          <w:rPr>
            <w:rStyle w:val="TextoNormalCaracter"/>
          </w:rPr>
          <w:t>68/2024</w:t>
        </w:r>
      </w:hyperlink>
      <w:r>
        <w:t>, ff. 2, 4, 8.</w:t>
      </w:r>
    </w:p>
    <w:p w14:paraId="639C0186" w14:textId="11CD1A11" w:rsidR="00601EEA" w:rsidRDefault="00601EEA" w:rsidP="00601EEA">
      <w:pPr>
        <w:pStyle w:val="SangriaFrancesaArticulo"/>
      </w:pPr>
      <w:r w:rsidRPr="00601EEA">
        <w:rPr>
          <w:rStyle w:val="TextoNormalNegritaCaracter"/>
        </w:rPr>
        <w:t>Artículo 49.2.</w:t>
      </w:r>
      <w:r w:rsidRPr="00601EEA">
        <w:rPr>
          <w:rStyle w:val="TextoNormalCaracter"/>
        </w:rPr>
        <w:t>-</w:t>
      </w:r>
      <w:r>
        <w:t xml:space="preserve"> Sentencia </w:t>
      </w:r>
      <w:hyperlink w:anchor="SENTENCIA_2024_68" w:history="1">
        <w:r w:rsidRPr="00601EEA">
          <w:rPr>
            <w:rStyle w:val="TextoNormalCaracter"/>
          </w:rPr>
          <w:t>68/2024</w:t>
        </w:r>
      </w:hyperlink>
      <w:r>
        <w:t>, ff. 1, 8.</w:t>
      </w:r>
    </w:p>
    <w:p w14:paraId="5058D201" w14:textId="03DAB74C" w:rsidR="00601EEA" w:rsidRDefault="00601EEA" w:rsidP="00601EEA">
      <w:pPr>
        <w:pStyle w:val="SangriaIzquierdaArticulo"/>
      </w:pPr>
      <w:r>
        <w:t xml:space="preserve">Auto </w:t>
      </w:r>
      <w:hyperlink w:anchor="AUTO_2024_22" w:history="1">
        <w:r w:rsidRPr="00601EEA">
          <w:rPr>
            <w:rStyle w:val="TextoNormalCaracter"/>
          </w:rPr>
          <w:t>22/2024</w:t>
        </w:r>
      </w:hyperlink>
      <w:r>
        <w:t>, ff. 1, 6.</w:t>
      </w:r>
    </w:p>
    <w:p w14:paraId="08064A59" w14:textId="2C3F9B3D" w:rsidR="00601EEA" w:rsidRDefault="00601EEA" w:rsidP="00601EEA">
      <w:pPr>
        <w:pStyle w:val="SangriaFrancesaArticulo"/>
      </w:pPr>
      <w:r w:rsidRPr="00601EEA">
        <w:rPr>
          <w:rStyle w:val="TextoNormalNegritaCaracter"/>
        </w:rPr>
        <w:t>Artículo 49.3.</w:t>
      </w:r>
      <w:r w:rsidRPr="00601EEA">
        <w:rPr>
          <w:rStyle w:val="TextoNormalCaracter"/>
        </w:rPr>
        <w:t>-</w:t>
      </w:r>
      <w:r>
        <w:t xml:space="preserve"> Sentencia </w:t>
      </w:r>
      <w:hyperlink w:anchor="SENTENCIA_2024_68" w:history="1">
        <w:r w:rsidRPr="00601EEA">
          <w:rPr>
            <w:rStyle w:val="TextoNormalCaracter"/>
          </w:rPr>
          <w:t>68/2024</w:t>
        </w:r>
      </w:hyperlink>
      <w:r>
        <w:t>, ff. 1 a 4, 7 a 9.</w:t>
      </w:r>
    </w:p>
    <w:p w14:paraId="055A057D" w14:textId="67F6AA73" w:rsidR="00601EEA" w:rsidRDefault="00601EEA" w:rsidP="00601EEA">
      <w:pPr>
        <w:pStyle w:val="SangriaIzquierdaArticulo"/>
      </w:pPr>
      <w:r>
        <w:t xml:space="preserve">Auto </w:t>
      </w:r>
      <w:hyperlink w:anchor="AUTO_2024_22" w:history="1">
        <w:r w:rsidRPr="00601EEA">
          <w:rPr>
            <w:rStyle w:val="TextoNormalCaracter"/>
          </w:rPr>
          <w:t>22/2024</w:t>
        </w:r>
      </w:hyperlink>
      <w:r>
        <w:t>, ff. 1, 6.</w:t>
      </w:r>
    </w:p>
    <w:p w14:paraId="6539672E" w14:textId="03F6670E" w:rsidR="00601EEA" w:rsidRDefault="00601EEA" w:rsidP="00601EEA">
      <w:pPr>
        <w:pStyle w:val="SangriaFrancesaArticulo"/>
      </w:pPr>
      <w:r w:rsidRPr="00601EEA">
        <w:rPr>
          <w:rStyle w:val="TextoNormalNegritaCaracter"/>
        </w:rPr>
        <w:lastRenderedPageBreak/>
        <w:t>Artículo 49.4.</w:t>
      </w:r>
      <w:r w:rsidRPr="00601EEA">
        <w:rPr>
          <w:rStyle w:val="TextoNormalCaracter"/>
        </w:rPr>
        <w:t>-</w:t>
      </w:r>
      <w:r>
        <w:t xml:space="preserve"> Sentencia </w:t>
      </w:r>
      <w:hyperlink w:anchor="SENTENCIA_2024_68" w:history="1">
        <w:r w:rsidRPr="00601EEA">
          <w:rPr>
            <w:rStyle w:val="TextoNormalCaracter"/>
          </w:rPr>
          <w:t>68/2024</w:t>
        </w:r>
      </w:hyperlink>
      <w:r>
        <w:t>, ff. 1, 3, 4, 8.</w:t>
      </w:r>
    </w:p>
    <w:p w14:paraId="6FDC6815" w14:textId="195F6FB3" w:rsidR="00601EEA" w:rsidRDefault="00601EEA" w:rsidP="00601EEA">
      <w:pPr>
        <w:pStyle w:val="SangriaIzquierdaArticulo"/>
      </w:pPr>
      <w:r>
        <w:t xml:space="preserve">Auto </w:t>
      </w:r>
      <w:hyperlink w:anchor="AUTO_2024_22" w:history="1">
        <w:r w:rsidRPr="00601EEA">
          <w:rPr>
            <w:rStyle w:val="TextoNormalCaracter"/>
          </w:rPr>
          <w:t>22/2024</w:t>
        </w:r>
      </w:hyperlink>
      <w:r>
        <w:t>, ff. 1, 6.</w:t>
      </w:r>
    </w:p>
    <w:p w14:paraId="109B4106" w14:textId="1BED8CC3" w:rsidR="00601EEA" w:rsidRDefault="00601EEA" w:rsidP="00601EEA">
      <w:pPr>
        <w:pStyle w:val="SangriaFrancesaArticulo"/>
      </w:pPr>
      <w:r w:rsidRPr="00601EEA">
        <w:rPr>
          <w:rStyle w:val="TextoNormalNegritaCaracter"/>
        </w:rPr>
        <w:t>Artículo 49.4 a).</w:t>
      </w:r>
      <w:r w:rsidRPr="00601EEA">
        <w:rPr>
          <w:rStyle w:val="TextoNormalCaracter"/>
        </w:rPr>
        <w:t>-</w:t>
      </w:r>
      <w:r>
        <w:t xml:space="preserve"> Sentencia </w:t>
      </w:r>
      <w:hyperlink w:anchor="SENTENCIA_2024_68" w:history="1">
        <w:r w:rsidRPr="00601EEA">
          <w:rPr>
            <w:rStyle w:val="TextoNormalCaracter"/>
          </w:rPr>
          <w:t>68/2024</w:t>
        </w:r>
      </w:hyperlink>
      <w:r>
        <w:t>, f. 8.</w:t>
      </w:r>
    </w:p>
    <w:p w14:paraId="725ED14A" w14:textId="18C2AF26" w:rsidR="00601EEA" w:rsidRDefault="00601EEA" w:rsidP="00601EEA">
      <w:pPr>
        <w:pStyle w:val="SangriaFrancesaArticulo"/>
      </w:pPr>
      <w:r w:rsidRPr="00601EEA">
        <w:rPr>
          <w:rStyle w:val="TextoNormalNegritaCaracter"/>
        </w:rPr>
        <w:t>Artículo 49.4 b).</w:t>
      </w:r>
      <w:r w:rsidRPr="00601EEA">
        <w:rPr>
          <w:rStyle w:val="TextoNormalCaracter"/>
        </w:rPr>
        <w:t>-</w:t>
      </w:r>
      <w:r>
        <w:t xml:space="preserve"> Sentencia </w:t>
      </w:r>
      <w:hyperlink w:anchor="SENTENCIA_2024_68" w:history="1">
        <w:r w:rsidRPr="00601EEA">
          <w:rPr>
            <w:rStyle w:val="TextoNormalCaracter"/>
          </w:rPr>
          <w:t>68/2024</w:t>
        </w:r>
      </w:hyperlink>
      <w:r>
        <w:t>, f. 8.</w:t>
      </w:r>
    </w:p>
    <w:p w14:paraId="42EBB053" w14:textId="165D5BCF" w:rsidR="00601EEA" w:rsidRDefault="00601EEA" w:rsidP="00601EEA">
      <w:pPr>
        <w:pStyle w:val="SangriaFrancesaArticulo"/>
      </w:pPr>
      <w:r w:rsidRPr="00601EEA">
        <w:rPr>
          <w:rStyle w:val="TextoNormalNegritaCaracter"/>
        </w:rPr>
        <w:t>Artículo 49.4 c).</w:t>
      </w:r>
      <w:r w:rsidRPr="00601EEA">
        <w:rPr>
          <w:rStyle w:val="TextoNormalCaracter"/>
        </w:rPr>
        <w:t>-</w:t>
      </w:r>
      <w:r>
        <w:t xml:space="preserve"> Sentencia </w:t>
      </w:r>
      <w:hyperlink w:anchor="SENTENCIA_2024_68" w:history="1">
        <w:r w:rsidRPr="00601EEA">
          <w:rPr>
            <w:rStyle w:val="TextoNormalCaracter"/>
          </w:rPr>
          <w:t>68/2024</w:t>
        </w:r>
      </w:hyperlink>
      <w:r>
        <w:t>, f. 8.</w:t>
      </w:r>
    </w:p>
    <w:p w14:paraId="1D8D81F7" w14:textId="000F22E0" w:rsidR="00601EEA" w:rsidRDefault="00601EEA" w:rsidP="00601EEA">
      <w:pPr>
        <w:pStyle w:val="SangriaFrancesaArticulo"/>
      </w:pPr>
      <w:r w:rsidRPr="00601EEA">
        <w:rPr>
          <w:rStyle w:val="TextoNormalNegritaCaracter"/>
        </w:rPr>
        <w:t>Artículo 49.4 d).</w:t>
      </w:r>
      <w:r w:rsidRPr="00601EEA">
        <w:rPr>
          <w:rStyle w:val="TextoNormalCaracter"/>
        </w:rPr>
        <w:t>-</w:t>
      </w:r>
      <w:r>
        <w:t xml:space="preserve"> Sentencia </w:t>
      </w:r>
      <w:hyperlink w:anchor="SENTENCIA_2024_68" w:history="1">
        <w:r w:rsidRPr="00601EEA">
          <w:rPr>
            <w:rStyle w:val="TextoNormalCaracter"/>
          </w:rPr>
          <w:t>68/2024</w:t>
        </w:r>
      </w:hyperlink>
      <w:r>
        <w:t>, f. 8.</w:t>
      </w:r>
    </w:p>
    <w:p w14:paraId="69454F1C" w14:textId="1EB41B0D" w:rsidR="00601EEA" w:rsidRDefault="00601EEA" w:rsidP="00601EEA">
      <w:pPr>
        <w:pStyle w:val="SangriaFrancesaArticulo"/>
      </w:pPr>
      <w:r w:rsidRPr="00601EEA">
        <w:rPr>
          <w:rStyle w:val="TextoNormalNegritaCaracter"/>
        </w:rPr>
        <w:t>Artículo 49.4 e).</w:t>
      </w:r>
      <w:r w:rsidRPr="00601EEA">
        <w:rPr>
          <w:rStyle w:val="TextoNormalCaracter"/>
        </w:rPr>
        <w:t>-</w:t>
      </w:r>
      <w:r>
        <w:t xml:space="preserve"> Sentencia </w:t>
      </w:r>
      <w:hyperlink w:anchor="SENTENCIA_2024_68" w:history="1">
        <w:r w:rsidRPr="00601EEA">
          <w:rPr>
            <w:rStyle w:val="TextoNormalCaracter"/>
          </w:rPr>
          <w:t>68/2024</w:t>
        </w:r>
      </w:hyperlink>
      <w:r>
        <w:t>, f. 8.</w:t>
      </w:r>
    </w:p>
    <w:p w14:paraId="74D79316" w14:textId="060BB5FB" w:rsidR="00601EEA" w:rsidRDefault="00601EEA" w:rsidP="00601EEA">
      <w:pPr>
        <w:pStyle w:val="SangriaFrancesaArticulo"/>
      </w:pPr>
      <w:r w:rsidRPr="00601EEA">
        <w:rPr>
          <w:rStyle w:val="TextoNormalNegritaCaracter"/>
        </w:rPr>
        <w:t>Artículo 49.4 f).</w:t>
      </w:r>
      <w:r w:rsidRPr="00601EEA">
        <w:rPr>
          <w:rStyle w:val="TextoNormalCaracter"/>
        </w:rPr>
        <w:t>-</w:t>
      </w:r>
      <w:r>
        <w:t xml:space="preserve"> Sentencia </w:t>
      </w:r>
      <w:hyperlink w:anchor="SENTENCIA_2024_68" w:history="1">
        <w:r w:rsidRPr="00601EEA">
          <w:rPr>
            <w:rStyle w:val="TextoNormalCaracter"/>
          </w:rPr>
          <w:t>68/2024</w:t>
        </w:r>
      </w:hyperlink>
      <w:r>
        <w:t>, f. 8.</w:t>
      </w:r>
    </w:p>
    <w:p w14:paraId="11EAEF5A" w14:textId="0951FE28" w:rsidR="00601EEA" w:rsidRDefault="00601EEA" w:rsidP="00601EEA">
      <w:pPr>
        <w:pStyle w:val="SangriaFrancesaArticulo"/>
      </w:pPr>
      <w:r w:rsidRPr="00601EEA">
        <w:rPr>
          <w:rStyle w:val="TextoNormalNegritaCaracter"/>
        </w:rPr>
        <w:t>Artículo 49.4 g).</w:t>
      </w:r>
      <w:r w:rsidRPr="00601EEA">
        <w:rPr>
          <w:rStyle w:val="TextoNormalCaracter"/>
        </w:rPr>
        <w:t>-</w:t>
      </w:r>
      <w:r>
        <w:t xml:space="preserve"> Sentencia </w:t>
      </w:r>
      <w:hyperlink w:anchor="SENTENCIA_2024_68" w:history="1">
        <w:r w:rsidRPr="00601EEA">
          <w:rPr>
            <w:rStyle w:val="TextoNormalCaracter"/>
          </w:rPr>
          <w:t>68/2024</w:t>
        </w:r>
      </w:hyperlink>
      <w:r>
        <w:t>, f. 8.</w:t>
      </w:r>
    </w:p>
    <w:p w14:paraId="21396AFA" w14:textId="74A3022C" w:rsidR="00601EEA" w:rsidRDefault="00601EEA" w:rsidP="00601EEA">
      <w:pPr>
        <w:pStyle w:val="SangriaFrancesaArticulo"/>
      </w:pPr>
      <w:r w:rsidRPr="00601EEA">
        <w:rPr>
          <w:rStyle w:val="TextoNormalNegritaCaracter"/>
        </w:rPr>
        <w:t>Artículo 49.4 h).</w:t>
      </w:r>
      <w:r w:rsidRPr="00601EEA">
        <w:rPr>
          <w:rStyle w:val="TextoNormalCaracter"/>
        </w:rPr>
        <w:t>-</w:t>
      </w:r>
      <w:r>
        <w:t xml:space="preserve"> Sentencia </w:t>
      </w:r>
      <w:hyperlink w:anchor="SENTENCIA_2024_68" w:history="1">
        <w:r w:rsidRPr="00601EEA">
          <w:rPr>
            <w:rStyle w:val="TextoNormalCaracter"/>
          </w:rPr>
          <w:t>68/2024</w:t>
        </w:r>
      </w:hyperlink>
      <w:r>
        <w:t>, f. 8.</w:t>
      </w:r>
    </w:p>
    <w:p w14:paraId="1B7A75D0" w14:textId="36E09F46" w:rsidR="00601EEA" w:rsidRDefault="00601EEA" w:rsidP="00601EEA">
      <w:pPr>
        <w:pStyle w:val="SangriaFrancesaArticulo"/>
      </w:pPr>
      <w:r w:rsidRPr="00601EEA">
        <w:rPr>
          <w:rStyle w:val="TextoNormalNegritaCaracter"/>
        </w:rPr>
        <w:t>Artículo 49.4 i).</w:t>
      </w:r>
      <w:r w:rsidRPr="00601EEA">
        <w:rPr>
          <w:rStyle w:val="TextoNormalCaracter"/>
        </w:rPr>
        <w:t>-</w:t>
      </w:r>
      <w:r>
        <w:t xml:space="preserve"> Sentencia </w:t>
      </w:r>
      <w:hyperlink w:anchor="SENTENCIA_2024_68" w:history="1">
        <w:r w:rsidRPr="00601EEA">
          <w:rPr>
            <w:rStyle w:val="TextoNormalCaracter"/>
          </w:rPr>
          <w:t>68/2024</w:t>
        </w:r>
      </w:hyperlink>
      <w:r>
        <w:t>, f. 8.</w:t>
      </w:r>
    </w:p>
    <w:p w14:paraId="6FAF2214" w14:textId="3B528F9E" w:rsidR="00601EEA" w:rsidRDefault="00601EEA" w:rsidP="00601EEA">
      <w:pPr>
        <w:pStyle w:val="SangriaFrancesaArticulo"/>
      </w:pPr>
      <w:r w:rsidRPr="00601EEA">
        <w:rPr>
          <w:rStyle w:val="TextoNormalNegritaCaracter"/>
        </w:rPr>
        <w:t>Artículo 50.</w:t>
      </w:r>
      <w:r w:rsidRPr="00601EEA">
        <w:rPr>
          <w:rStyle w:val="TextoNormalCaracter"/>
        </w:rPr>
        <w:t>-</w:t>
      </w:r>
      <w:r>
        <w:t xml:space="preserve"> Sentencia </w:t>
      </w:r>
      <w:hyperlink w:anchor="SENTENCIA_2024_68" w:history="1">
        <w:r w:rsidRPr="00601EEA">
          <w:rPr>
            <w:rStyle w:val="TextoNormalCaracter"/>
          </w:rPr>
          <w:t>68/2024</w:t>
        </w:r>
      </w:hyperlink>
      <w:r>
        <w:t>, f. 6.</w:t>
      </w:r>
    </w:p>
    <w:p w14:paraId="607CF900" w14:textId="1D94BBC1" w:rsidR="00601EEA" w:rsidRDefault="00601EEA" w:rsidP="00601EEA">
      <w:pPr>
        <w:pStyle w:val="SangriaFrancesaArticulo"/>
      </w:pPr>
      <w:r w:rsidRPr="00601EEA">
        <w:rPr>
          <w:rStyle w:val="TextoNormalNegritaCaracter"/>
        </w:rPr>
        <w:t>Artículo 51.</w:t>
      </w:r>
      <w:r w:rsidRPr="00601EEA">
        <w:rPr>
          <w:rStyle w:val="TextoNormalCaracter"/>
        </w:rPr>
        <w:t>-</w:t>
      </w:r>
      <w:r>
        <w:t xml:space="preserve"> Sentencia </w:t>
      </w:r>
      <w:hyperlink w:anchor="SENTENCIA_2024_68" w:history="1">
        <w:r w:rsidRPr="00601EEA">
          <w:rPr>
            <w:rStyle w:val="TextoNormalCaracter"/>
          </w:rPr>
          <w:t>68/2024</w:t>
        </w:r>
      </w:hyperlink>
      <w:r>
        <w:t>, f. 6.</w:t>
      </w:r>
    </w:p>
    <w:p w14:paraId="5D794AF6" w14:textId="586FAF1B" w:rsidR="00601EEA" w:rsidRDefault="00601EEA" w:rsidP="00601EEA">
      <w:pPr>
        <w:pStyle w:val="SangriaFrancesaArticulo"/>
      </w:pPr>
      <w:r w:rsidRPr="00601EEA">
        <w:rPr>
          <w:rStyle w:val="TextoNormalNegritaCaracter"/>
        </w:rPr>
        <w:t>Artículo 52.</w:t>
      </w:r>
      <w:r w:rsidRPr="00601EEA">
        <w:rPr>
          <w:rStyle w:val="TextoNormalCaracter"/>
        </w:rPr>
        <w:t>-</w:t>
      </w:r>
      <w:r>
        <w:t xml:space="preserve"> Sentencia </w:t>
      </w:r>
      <w:hyperlink w:anchor="SENTENCIA_2024_68" w:history="1">
        <w:r w:rsidRPr="00601EEA">
          <w:rPr>
            <w:rStyle w:val="TextoNormalCaracter"/>
          </w:rPr>
          <w:t>68/2024</w:t>
        </w:r>
      </w:hyperlink>
      <w:r>
        <w:t>, ff. 1, 2, 4, 6, 10.</w:t>
      </w:r>
    </w:p>
    <w:p w14:paraId="22B40EF0" w14:textId="7E5E7CAD" w:rsidR="00601EEA" w:rsidRDefault="00601EEA" w:rsidP="00601EEA">
      <w:pPr>
        <w:pStyle w:val="SangriaIzquierdaArticulo"/>
      </w:pPr>
      <w:r>
        <w:t xml:space="preserve">Auto </w:t>
      </w:r>
      <w:hyperlink w:anchor="AUTO_2024_22" w:history="1">
        <w:r w:rsidRPr="00601EEA">
          <w:rPr>
            <w:rStyle w:val="TextoNormalCaracter"/>
          </w:rPr>
          <w:t>22/2024</w:t>
        </w:r>
      </w:hyperlink>
      <w:r>
        <w:t>, ff. 1, 6.</w:t>
      </w:r>
    </w:p>
    <w:p w14:paraId="47EF61C9" w14:textId="76294395" w:rsidR="00601EEA" w:rsidRDefault="00601EEA" w:rsidP="00601EEA">
      <w:pPr>
        <w:pStyle w:val="SangriaFrancesaArticulo"/>
      </w:pPr>
      <w:r w:rsidRPr="00601EEA">
        <w:rPr>
          <w:rStyle w:val="TextoNormalNegritaCaracter"/>
        </w:rPr>
        <w:t>Artículo 52 a).</w:t>
      </w:r>
      <w:r w:rsidRPr="00601EEA">
        <w:rPr>
          <w:rStyle w:val="TextoNormalCaracter"/>
        </w:rPr>
        <w:t>-</w:t>
      </w:r>
      <w:r>
        <w:t xml:space="preserve"> Sentencia </w:t>
      </w:r>
      <w:hyperlink w:anchor="SENTENCIA_2024_68" w:history="1">
        <w:r w:rsidRPr="00601EEA">
          <w:rPr>
            <w:rStyle w:val="TextoNormalCaracter"/>
          </w:rPr>
          <w:t>68/2024</w:t>
        </w:r>
      </w:hyperlink>
      <w:r>
        <w:t>, f. 10.</w:t>
      </w:r>
    </w:p>
    <w:p w14:paraId="6482881A" w14:textId="09DC3CCA" w:rsidR="00601EEA" w:rsidRDefault="00601EEA" w:rsidP="00601EEA">
      <w:pPr>
        <w:pStyle w:val="SangriaFrancesaArticulo"/>
      </w:pPr>
      <w:r w:rsidRPr="00601EEA">
        <w:rPr>
          <w:rStyle w:val="TextoNormalNegritaCaracter"/>
        </w:rPr>
        <w:t>Artículo 52 b).</w:t>
      </w:r>
      <w:r w:rsidRPr="00601EEA">
        <w:rPr>
          <w:rStyle w:val="TextoNormalCaracter"/>
        </w:rPr>
        <w:t>-</w:t>
      </w:r>
      <w:r>
        <w:t xml:space="preserve"> Sentencia </w:t>
      </w:r>
      <w:hyperlink w:anchor="SENTENCIA_2024_68" w:history="1">
        <w:r w:rsidRPr="00601EEA">
          <w:rPr>
            <w:rStyle w:val="TextoNormalCaracter"/>
          </w:rPr>
          <w:t>68/2024</w:t>
        </w:r>
      </w:hyperlink>
      <w:r>
        <w:t>, f. 10.</w:t>
      </w:r>
    </w:p>
    <w:p w14:paraId="50E402F6" w14:textId="262D49AF" w:rsidR="00601EEA" w:rsidRDefault="00601EEA" w:rsidP="00601EEA">
      <w:pPr>
        <w:pStyle w:val="SangriaFrancesaArticulo"/>
      </w:pPr>
      <w:r w:rsidRPr="00601EEA">
        <w:rPr>
          <w:rStyle w:val="TextoNormalNegritaCaracter"/>
        </w:rPr>
        <w:t>Artículo 52 c).</w:t>
      </w:r>
      <w:r w:rsidRPr="00601EEA">
        <w:rPr>
          <w:rStyle w:val="TextoNormalCaracter"/>
        </w:rPr>
        <w:t>-</w:t>
      </w:r>
      <w:r>
        <w:t xml:space="preserve"> Sentencia </w:t>
      </w:r>
      <w:hyperlink w:anchor="SENTENCIA_2024_68" w:history="1">
        <w:r w:rsidRPr="00601EEA">
          <w:rPr>
            <w:rStyle w:val="TextoNormalCaracter"/>
          </w:rPr>
          <w:t>68/2024</w:t>
        </w:r>
      </w:hyperlink>
      <w:r>
        <w:t>, f. 10.</w:t>
      </w:r>
    </w:p>
    <w:p w14:paraId="2AF6CB46" w14:textId="50AFB344" w:rsidR="00601EEA" w:rsidRDefault="00601EEA" w:rsidP="00601EEA">
      <w:pPr>
        <w:pStyle w:val="SangriaFrancesaArticulo"/>
      </w:pPr>
      <w:r w:rsidRPr="00601EEA">
        <w:rPr>
          <w:rStyle w:val="TextoNormalNegritaCaracter"/>
        </w:rPr>
        <w:t>Artículo 53.</w:t>
      </w:r>
      <w:r w:rsidRPr="00601EEA">
        <w:rPr>
          <w:rStyle w:val="TextoNormalCaracter"/>
        </w:rPr>
        <w:t>-</w:t>
      </w:r>
      <w:r>
        <w:t xml:space="preserve"> Sentencia </w:t>
      </w:r>
      <w:hyperlink w:anchor="SENTENCIA_2024_68" w:history="1">
        <w:r w:rsidRPr="00601EEA">
          <w:rPr>
            <w:rStyle w:val="TextoNormalCaracter"/>
          </w:rPr>
          <w:t>68/2024</w:t>
        </w:r>
      </w:hyperlink>
      <w:r>
        <w:t>, ff. 6, 10.</w:t>
      </w:r>
    </w:p>
    <w:p w14:paraId="327C36B5" w14:textId="080A63BE" w:rsidR="00601EEA" w:rsidRDefault="00601EEA" w:rsidP="00601EEA">
      <w:pPr>
        <w:pStyle w:val="SangriaIzquierdaArticulo"/>
      </w:pPr>
      <w:r>
        <w:t xml:space="preserve">Auto </w:t>
      </w:r>
      <w:hyperlink w:anchor="AUTO_2024_22" w:history="1">
        <w:r w:rsidRPr="00601EEA">
          <w:rPr>
            <w:rStyle w:val="TextoNormalCaracter"/>
          </w:rPr>
          <w:t>22/2024</w:t>
        </w:r>
      </w:hyperlink>
      <w:r>
        <w:t>, f. 6.</w:t>
      </w:r>
    </w:p>
    <w:p w14:paraId="532344B2" w14:textId="520F4A45" w:rsidR="00601EEA" w:rsidRDefault="00601EEA" w:rsidP="00601EEA">
      <w:pPr>
        <w:pStyle w:val="SangriaFrancesaArticulo"/>
      </w:pPr>
      <w:r w:rsidRPr="00601EEA">
        <w:rPr>
          <w:rStyle w:val="TextoNormalNegritaCaracter"/>
        </w:rPr>
        <w:t>Artículo 53.1.</w:t>
      </w:r>
      <w:r w:rsidRPr="00601EEA">
        <w:rPr>
          <w:rStyle w:val="TextoNormalCaracter"/>
        </w:rPr>
        <w:t>-</w:t>
      </w:r>
      <w:r>
        <w:t xml:space="preserve"> Sentencia </w:t>
      </w:r>
      <w:hyperlink w:anchor="SENTENCIA_2024_68" w:history="1">
        <w:r w:rsidRPr="00601EEA">
          <w:rPr>
            <w:rStyle w:val="TextoNormalCaracter"/>
          </w:rPr>
          <w:t>68/2024</w:t>
        </w:r>
      </w:hyperlink>
      <w:r>
        <w:t>, ff. 1, 4, 10.</w:t>
      </w:r>
    </w:p>
    <w:p w14:paraId="32B6A4A4" w14:textId="3C2645D4" w:rsidR="00601EEA" w:rsidRDefault="00601EEA" w:rsidP="00601EEA">
      <w:pPr>
        <w:pStyle w:val="SangriaIzquierdaArticulo"/>
      </w:pPr>
      <w:r>
        <w:t xml:space="preserve">Auto </w:t>
      </w:r>
      <w:hyperlink w:anchor="AUTO_2024_22" w:history="1">
        <w:r w:rsidRPr="00601EEA">
          <w:rPr>
            <w:rStyle w:val="TextoNormalCaracter"/>
          </w:rPr>
          <w:t>22/2024</w:t>
        </w:r>
      </w:hyperlink>
      <w:r>
        <w:t>, f. 1.</w:t>
      </w:r>
    </w:p>
    <w:p w14:paraId="49D2D719" w14:textId="08E07C55" w:rsidR="00601EEA" w:rsidRDefault="00601EEA" w:rsidP="00601EEA">
      <w:pPr>
        <w:pStyle w:val="SangriaFrancesaArticulo"/>
      </w:pPr>
      <w:r w:rsidRPr="00601EEA">
        <w:rPr>
          <w:rStyle w:val="TextoNormalNegritaCaracter"/>
        </w:rPr>
        <w:t>Artículo 53.1 inciso “todos los títulos de intervención requeridos por la normativa vigente”.</w:t>
      </w:r>
      <w:r w:rsidRPr="00601EEA">
        <w:rPr>
          <w:rStyle w:val="TextoNormalCaracter"/>
        </w:rPr>
        <w:t>-</w:t>
      </w:r>
      <w:r>
        <w:t xml:space="preserve"> Sentencia </w:t>
      </w:r>
      <w:hyperlink w:anchor="SENTENCIA_2024_68" w:history="1">
        <w:r w:rsidRPr="00601EEA">
          <w:rPr>
            <w:rStyle w:val="TextoNormalCaracter"/>
          </w:rPr>
          <w:t>68/2024</w:t>
        </w:r>
      </w:hyperlink>
      <w:r>
        <w:t>, ff. 2, 10.</w:t>
      </w:r>
    </w:p>
    <w:p w14:paraId="14A6E850" w14:textId="20012E6E" w:rsidR="00601EEA" w:rsidRDefault="00601EEA" w:rsidP="00601EEA">
      <w:pPr>
        <w:pStyle w:val="SangriaFrancesaArticulo"/>
      </w:pPr>
      <w:r w:rsidRPr="00601EEA">
        <w:rPr>
          <w:rStyle w:val="TextoNormalNegritaCaracter"/>
        </w:rPr>
        <w:t>Artículo 53.2.</w:t>
      </w:r>
      <w:r w:rsidRPr="00601EEA">
        <w:rPr>
          <w:rStyle w:val="TextoNormalCaracter"/>
        </w:rPr>
        <w:t>-</w:t>
      </w:r>
      <w:r>
        <w:t xml:space="preserve"> Sentencia </w:t>
      </w:r>
      <w:hyperlink w:anchor="SENTENCIA_2024_68" w:history="1">
        <w:r w:rsidRPr="00601EEA">
          <w:rPr>
            <w:rStyle w:val="TextoNormalCaracter"/>
          </w:rPr>
          <w:t>68/2024</w:t>
        </w:r>
      </w:hyperlink>
      <w:r>
        <w:t>, ff. 10, 11.</w:t>
      </w:r>
    </w:p>
    <w:p w14:paraId="167D5193" w14:textId="78012906" w:rsidR="00601EEA" w:rsidRDefault="00601EEA" w:rsidP="00601EEA">
      <w:pPr>
        <w:pStyle w:val="SangriaFrancesaArticulo"/>
      </w:pPr>
      <w:r w:rsidRPr="00601EEA">
        <w:rPr>
          <w:rStyle w:val="TextoNormalNegritaCaracter"/>
        </w:rPr>
        <w:t>Artículo 53.3.</w:t>
      </w:r>
      <w:r w:rsidRPr="00601EEA">
        <w:rPr>
          <w:rStyle w:val="TextoNormalCaracter"/>
        </w:rPr>
        <w:t>-</w:t>
      </w:r>
      <w:r>
        <w:t xml:space="preserve"> Sentencia </w:t>
      </w:r>
      <w:hyperlink w:anchor="SENTENCIA_2024_68" w:history="1">
        <w:r w:rsidRPr="00601EEA">
          <w:rPr>
            <w:rStyle w:val="TextoNormalCaracter"/>
          </w:rPr>
          <w:t>68/2024</w:t>
        </w:r>
      </w:hyperlink>
      <w:r>
        <w:t>, ff. 1, 2, 4, 10.</w:t>
      </w:r>
    </w:p>
    <w:p w14:paraId="0CC0A9BC" w14:textId="7766CB20" w:rsidR="00601EEA" w:rsidRDefault="00601EEA" w:rsidP="00601EEA">
      <w:pPr>
        <w:pStyle w:val="SangriaIzquierdaArticulo"/>
      </w:pPr>
      <w:r>
        <w:t xml:space="preserve">Auto </w:t>
      </w:r>
      <w:hyperlink w:anchor="AUTO_2024_22" w:history="1">
        <w:r w:rsidRPr="00601EEA">
          <w:rPr>
            <w:rStyle w:val="TextoNormalCaracter"/>
          </w:rPr>
          <w:t>22/2024</w:t>
        </w:r>
      </w:hyperlink>
      <w:r>
        <w:t>, f. 1.</w:t>
      </w:r>
    </w:p>
    <w:p w14:paraId="260A0B97" w14:textId="6AABED2C" w:rsidR="00601EEA" w:rsidRDefault="00601EEA" w:rsidP="00601EEA">
      <w:pPr>
        <w:pStyle w:val="SangriaFrancesaArticulo"/>
      </w:pPr>
      <w:r w:rsidRPr="00601EEA">
        <w:rPr>
          <w:rStyle w:val="TextoNormalNegritaCaracter"/>
        </w:rPr>
        <w:t>Artículo 53.4.</w:t>
      </w:r>
      <w:r w:rsidRPr="00601EEA">
        <w:rPr>
          <w:rStyle w:val="TextoNormalCaracter"/>
        </w:rPr>
        <w:t>-</w:t>
      </w:r>
      <w:r>
        <w:t xml:space="preserve"> Sentencia </w:t>
      </w:r>
      <w:hyperlink w:anchor="SENTENCIA_2024_68" w:history="1">
        <w:r w:rsidRPr="00601EEA">
          <w:rPr>
            <w:rStyle w:val="TextoNormalCaracter"/>
          </w:rPr>
          <w:t>68/2024</w:t>
        </w:r>
      </w:hyperlink>
      <w:r>
        <w:t>, ff. 1, 2, 4, 10.</w:t>
      </w:r>
    </w:p>
    <w:p w14:paraId="024B8C19" w14:textId="6645E56C" w:rsidR="00601EEA" w:rsidRDefault="00601EEA" w:rsidP="00601EEA">
      <w:pPr>
        <w:pStyle w:val="SangriaIzquierdaArticulo"/>
      </w:pPr>
      <w:r>
        <w:t xml:space="preserve">Auto </w:t>
      </w:r>
      <w:hyperlink w:anchor="AUTO_2024_22" w:history="1">
        <w:r w:rsidRPr="00601EEA">
          <w:rPr>
            <w:rStyle w:val="TextoNormalCaracter"/>
          </w:rPr>
          <w:t>22/2024</w:t>
        </w:r>
      </w:hyperlink>
      <w:r>
        <w:t>, f. 1.</w:t>
      </w:r>
    </w:p>
    <w:p w14:paraId="108F242B" w14:textId="5EEB4BBD" w:rsidR="00601EEA" w:rsidRDefault="00601EEA" w:rsidP="00601EEA">
      <w:pPr>
        <w:pStyle w:val="SangriaFrancesaArticulo"/>
      </w:pPr>
      <w:r w:rsidRPr="00601EEA">
        <w:rPr>
          <w:rStyle w:val="TextoNormalNegritaCaracter"/>
        </w:rPr>
        <w:t>Artículo 54.1.</w:t>
      </w:r>
      <w:r w:rsidRPr="00601EEA">
        <w:rPr>
          <w:rStyle w:val="TextoNormalCaracter"/>
        </w:rPr>
        <w:t>-</w:t>
      </w:r>
      <w:r>
        <w:t xml:space="preserve"> Sentencia </w:t>
      </w:r>
      <w:hyperlink w:anchor="SENTENCIA_2024_68" w:history="1">
        <w:r w:rsidRPr="00601EEA">
          <w:rPr>
            <w:rStyle w:val="TextoNormalCaracter"/>
          </w:rPr>
          <w:t>68/2024</w:t>
        </w:r>
      </w:hyperlink>
      <w:r>
        <w:t>, f. 8.</w:t>
      </w:r>
    </w:p>
    <w:p w14:paraId="183A5940" w14:textId="23C8F8E4" w:rsidR="00601EEA" w:rsidRDefault="00601EEA" w:rsidP="00601EEA">
      <w:pPr>
        <w:pStyle w:val="SangriaFrancesaArticulo"/>
      </w:pPr>
      <w:r w:rsidRPr="00601EEA">
        <w:rPr>
          <w:rStyle w:val="TextoNormalNegritaCaracter"/>
        </w:rPr>
        <w:t>Artículo 54.2 a) a f).</w:t>
      </w:r>
      <w:r w:rsidRPr="00601EEA">
        <w:rPr>
          <w:rStyle w:val="TextoNormalCaracter"/>
        </w:rPr>
        <w:t>-</w:t>
      </w:r>
      <w:r>
        <w:t xml:space="preserve"> Sentencia </w:t>
      </w:r>
      <w:hyperlink w:anchor="SENTENCIA_2024_68" w:history="1">
        <w:r w:rsidRPr="00601EEA">
          <w:rPr>
            <w:rStyle w:val="TextoNormalCaracter"/>
          </w:rPr>
          <w:t>68/2024</w:t>
        </w:r>
      </w:hyperlink>
      <w:r>
        <w:t>, f. 8.</w:t>
      </w:r>
    </w:p>
    <w:p w14:paraId="1AD2649A" w14:textId="3FECBA36" w:rsidR="00601EEA" w:rsidRDefault="00601EEA" w:rsidP="00601EEA">
      <w:pPr>
        <w:pStyle w:val="SangriaFrancesaArticulo"/>
      </w:pPr>
      <w:r w:rsidRPr="00601EEA">
        <w:rPr>
          <w:rStyle w:val="TextoNormalNegritaCaracter"/>
        </w:rPr>
        <w:t>Artículo 55.</w:t>
      </w:r>
      <w:r w:rsidRPr="00601EEA">
        <w:rPr>
          <w:rStyle w:val="TextoNormalCaracter"/>
        </w:rPr>
        <w:t>-</w:t>
      </w:r>
      <w:r>
        <w:t xml:space="preserve"> Sentencia </w:t>
      </w:r>
      <w:hyperlink w:anchor="SENTENCIA_2024_68" w:history="1">
        <w:r w:rsidRPr="00601EEA">
          <w:rPr>
            <w:rStyle w:val="TextoNormalCaracter"/>
          </w:rPr>
          <w:t>68/2024</w:t>
        </w:r>
      </w:hyperlink>
      <w:r>
        <w:t>, ff. 8, 11.</w:t>
      </w:r>
    </w:p>
    <w:p w14:paraId="5BBC2CBC" w14:textId="121EA4F1" w:rsidR="00601EEA" w:rsidRDefault="00601EEA" w:rsidP="00601EEA">
      <w:pPr>
        <w:pStyle w:val="SangriaFrancesaArticulo"/>
      </w:pPr>
      <w:r w:rsidRPr="00601EEA">
        <w:rPr>
          <w:rStyle w:val="TextoNormalNegritaCaracter"/>
        </w:rPr>
        <w:t>Artículo 55.2.</w:t>
      </w:r>
      <w:r w:rsidRPr="00601EEA">
        <w:rPr>
          <w:rStyle w:val="TextoNormalCaracter"/>
        </w:rPr>
        <w:t>-</w:t>
      </w:r>
      <w:r>
        <w:t xml:space="preserve"> Sentencia </w:t>
      </w:r>
      <w:hyperlink w:anchor="SENTENCIA_2024_68" w:history="1">
        <w:r w:rsidRPr="00601EEA">
          <w:rPr>
            <w:rStyle w:val="TextoNormalCaracter"/>
          </w:rPr>
          <w:t>68/2024</w:t>
        </w:r>
      </w:hyperlink>
      <w:r>
        <w:t>, ff. 1, 2, 4, 8, 11.</w:t>
      </w:r>
    </w:p>
    <w:p w14:paraId="159FEA62" w14:textId="30395A3D" w:rsidR="00601EEA" w:rsidRDefault="00601EEA" w:rsidP="00601EEA">
      <w:pPr>
        <w:pStyle w:val="SangriaIzquierdaArticulo"/>
      </w:pPr>
      <w:r>
        <w:t xml:space="preserve">Auto </w:t>
      </w:r>
      <w:hyperlink w:anchor="AUTO_2024_22" w:history="1">
        <w:r w:rsidRPr="00601EEA">
          <w:rPr>
            <w:rStyle w:val="TextoNormalCaracter"/>
          </w:rPr>
          <w:t>22/2024</w:t>
        </w:r>
      </w:hyperlink>
      <w:r>
        <w:t>, ff. 1, 5, 6.</w:t>
      </w:r>
    </w:p>
    <w:p w14:paraId="177373B2" w14:textId="7C14867D" w:rsidR="00601EEA" w:rsidRDefault="00601EEA" w:rsidP="00601EEA">
      <w:pPr>
        <w:pStyle w:val="SangriaFrancesaArticulo"/>
      </w:pPr>
      <w:r w:rsidRPr="00601EEA">
        <w:rPr>
          <w:rStyle w:val="TextoNormalNegritaCaracter"/>
        </w:rPr>
        <w:t>Artículo 55.3.</w:t>
      </w:r>
      <w:r w:rsidRPr="00601EEA">
        <w:rPr>
          <w:rStyle w:val="TextoNormalCaracter"/>
        </w:rPr>
        <w:t>-</w:t>
      </w:r>
      <w:r>
        <w:t xml:space="preserve"> Sentencia </w:t>
      </w:r>
      <w:hyperlink w:anchor="SENTENCIA_2024_68" w:history="1">
        <w:r w:rsidRPr="00601EEA">
          <w:rPr>
            <w:rStyle w:val="TextoNormalCaracter"/>
          </w:rPr>
          <w:t>68/2024</w:t>
        </w:r>
      </w:hyperlink>
      <w:r>
        <w:t>, ff. 2, 7, 9, 11.</w:t>
      </w:r>
    </w:p>
    <w:p w14:paraId="68E4557B" w14:textId="041BCE5A" w:rsidR="00601EEA" w:rsidRDefault="00601EEA" w:rsidP="00601EEA">
      <w:pPr>
        <w:pStyle w:val="SangriaFrancesaArticulo"/>
      </w:pPr>
      <w:r w:rsidRPr="00601EEA">
        <w:rPr>
          <w:rStyle w:val="TextoNormalNegritaCaracter"/>
        </w:rPr>
        <w:t>Artículo 56.1.</w:t>
      </w:r>
      <w:r w:rsidRPr="00601EEA">
        <w:rPr>
          <w:rStyle w:val="TextoNormalCaracter"/>
        </w:rPr>
        <w:t>-</w:t>
      </w:r>
      <w:r>
        <w:t xml:space="preserve"> Sentencia </w:t>
      </w:r>
      <w:hyperlink w:anchor="SENTENCIA_2024_68" w:history="1">
        <w:r w:rsidRPr="00601EEA">
          <w:rPr>
            <w:rStyle w:val="TextoNormalCaracter"/>
          </w:rPr>
          <w:t>68/2024</w:t>
        </w:r>
      </w:hyperlink>
      <w:r>
        <w:t>, f. 8.</w:t>
      </w:r>
    </w:p>
    <w:p w14:paraId="77D64366" w14:textId="0EC0D35F" w:rsidR="00601EEA" w:rsidRDefault="00601EEA" w:rsidP="00601EEA">
      <w:pPr>
        <w:pStyle w:val="SangriaFrancesaArticulo"/>
      </w:pPr>
      <w:r w:rsidRPr="00601EEA">
        <w:rPr>
          <w:rStyle w:val="TextoNormalNegritaCaracter"/>
        </w:rPr>
        <w:t>Artículo 56.5.</w:t>
      </w:r>
      <w:r w:rsidRPr="00601EEA">
        <w:rPr>
          <w:rStyle w:val="TextoNormalCaracter"/>
        </w:rPr>
        <w:t>-</w:t>
      </w:r>
      <w:r>
        <w:t xml:space="preserve"> Sentencia </w:t>
      </w:r>
      <w:hyperlink w:anchor="SENTENCIA_2024_68" w:history="1">
        <w:r w:rsidRPr="00601EEA">
          <w:rPr>
            <w:rStyle w:val="TextoNormalCaracter"/>
          </w:rPr>
          <w:t>68/2024</w:t>
        </w:r>
      </w:hyperlink>
      <w:r>
        <w:t>, f. 8.</w:t>
      </w:r>
    </w:p>
    <w:p w14:paraId="61912380" w14:textId="6BD1D7B4" w:rsidR="00601EEA" w:rsidRDefault="00601EEA" w:rsidP="00601EEA">
      <w:pPr>
        <w:pStyle w:val="SangriaFrancesaArticulo"/>
      </w:pPr>
      <w:r w:rsidRPr="00601EEA">
        <w:rPr>
          <w:rStyle w:val="TextoNormalNegritaCaracter"/>
        </w:rPr>
        <w:t>Artículo 57.</w:t>
      </w:r>
      <w:r w:rsidRPr="00601EEA">
        <w:rPr>
          <w:rStyle w:val="TextoNormalCaracter"/>
        </w:rPr>
        <w:t>-</w:t>
      </w:r>
      <w:r>
        <w:t xml:space="preserve"> Sentencia </w:t>
      </w:r>
      <w:hyperlink w:anchor="SENTENCIA_2024_68" w:history="1">
        <w:r w:rsidRPr="00601EEA">
          <w:rPr>
            <w:rStyle w:val="TextoNormalCaracter"/>
          </w:rPr>
          <w:t>68/2024</w:t>
        </w:r>
      </w:hyperlink>
      <w:r>
        <w:t>, f. 8.</w:t>
      </w:r>
    </w:p>
    <w:p w14:paraId="435F3E19" w14:textId="23410D60" w:rsidR="00601EEA" w:rsidRDefault="00601EEA" w:rsidP="00601EEA">
      <w:pPr>
        <w:pStyle w:val="SangriaFrancesaArticulo"/>
      </w:pPr>
      <w:r w:rsidRPr="00601EEA">
        <w:rPr>
          <w:rStyle w:val="TextoNormalNegritaCaracter"/>
        </w:rPr>
        <w:t>Artículo 57.1.</w:t>
      </w:r>
      <w:r w:rsidRPr="00601EEA">
        <w:rPr>
          <w:rStyle w:val="TextoNormalCaracter"/>
        </w:rPr>
        <w:t>-</w:t>
      </w:r>
      <w:r>
        <w:t xml:space="preserve"> Sentencia </w:t>
      </w:r>
      <w:hyperlink w:anchor="SENTENCIA_2024_68" w:history="1">
        <w:r w:rsidRPr="00601EEA">
          <w:rPr>
            <w:rStyle w:val="TextoNormalCaracter"/>
          </w:rPr>
          <w:t>68/2024</w:t>
        </w:r>
      </w:hyperlink>
      <w:r>
        <w:t>, f. 8.</w:t>
      </w:r>
    </w:p>
    <w:p w14:paraId="25C215FB" w14:textId="06F8044F" w:rsidR="00601EEA" w:rsidRDefault="00601EEA" w:rsidP="00601EEA">
      <w:pPr>
        <w:pStyle w:val="SangriaFrancesaArticulo"/>
      </w:pPr>
      <w:r w:rsidRPr="00601EEA">
        <w:rPr>
          <w:rStyle w:val="TextoNormalNegritaCaracter"/>
        </w:rPr>
        <w:t>Artículo 57.2.</w:t>
      </w:r>
      <w:r w:rsidRPr="00601EEA">
        <w:rPr>
          <w:rStyle w:val="TextoNormalCaracter"/>
        </w:rPr>
        <w:t>-</w:t>
      </w:r>
      <w:r>
        <w:t xml:space="preserve"> Sentencia </w:t>
      </w:r>
      <w:hyperlink w:anchor="SENTENCIA_2024_68" w:history="1">
        <w:r w:rsidRPr="00601EEA">
          <w:rPr>
            <w:rStyle w:val="TextoNormalCaracter"/>
          </w:rPr>
          <w:t>68/2024</w:t>
        </w:r>
      </w:hyperlink>
      <w:r>
        <w:t>, f. 8.</w:t>
      </w:r>
    </w:p>
    <w:p w14:paraId="41762E34" w14:textId="36718A71" w:rsidR="00601EEA" w:rsidRDefault="00601EEA" w:rsidP="00601EEA">
      <w:pPr>
        <w:pStyle w:val="SangriaFrancesaArticulo"/>
      </w:pPr>
      <w:r w:rsidRPr="00601EEA">
        <w:rPr>
          <w:rStyle w:val="TextoNormalNegritaCaracter"/>
        </w:rPr>
        <w:t>Artículo 57.3.</w:t>
      </w:r>
      <w:r w:rsidRPr="00601EEA">
        <w:rPr>
          <w:rStyle w:val="TextoNormalCaracter"/>
        </w:rPr>
        <w:t>-</w:t>
      </w:r>
      <w:r>
        <w:t xml:space="preserve"> Sentencia </w:t>
      </w:r>
      <w:hyperlink w:anchor="SENTENCIA_2024_68" w:history="1">
        <w:r w:rsidRPr="00601EEA">
          <w:rPr>
            <w:rStyle w:val="TextoNormalCaracter"/>
          </w:rPr>
          <w:t>68/2024</w:t>
        </w:r>
      </w:hyperlink>
      <w:r>
        <w:t>, ff. 1, 4, 8.</w:t>
      </w:r>
    </w:p>
    <w:p w14:paraId="0D1A8651" w14:textId="725051BE" w:rsidR="00601EEA" w:rsidRDefault="00601EEA" w:rsidP="00601EEA">
      <w:pPr>
        <w:pStyle w:val="SangriaIzquierdaArticulo"/>
      </w:pPr>
      <w:r>
        <w:t xml:space="preserve">Auto </w:t>
      </w:r>
      <w:hyperlink w:anchor="AUTO_2024_22" w:history="1">
        <w:r w:rsidRPr="00601EEA">
          <w:rPr>
            <w:rStyle w:val="TextoNormalCaracter"/>
          </w:rPr>
          <w:t>22/2024</w:t>
        </w:r>
      </w:hyperlink>
      <w:r>
        <w:t>, ff. 1, 5, 6.</w:t>
      </w:r>
    </w:p>
    <w:p w14:paraId="03A4B3C8" w14:textId="3CF3E125" w:rsidR="00601EEA" w:rsidRDefault="00601EEA" w:rsidP="00601EEA">
      <w:pPr>
        <w:pStyle w:val="SangriaFrancesaArticulo"/>
      </w:pPr>
      <w:r w:rsidRPr="00601EEA">
        <w:rPr>
          <w:rStyle w:val="TextoNormalNegritaCaracter"/>
        </w:rPr>
        <w:t>Artículo 57.4.</w:t>
      </w:r>
      <w:r w:rsidRPr="00601EEA">
        <w:rPr>
          <w:rStyle w:val="TextoNormalCaracter"/>
        </w:rPr>
        <w:t>-</w:t>
      </w:r>
      <w:r>
        <w:t xml:space="preserve"> Sentencia </w:t>
      </w:r>
      <w:hyperlink w:anchor="SENTENCIA_2024_68" w:history="1">
        <w:r w:rsidRPr="00601EEA">
          <w:rPr>
            <w:rStyle w:val="TextoNormalCaracter"/>
          </w:rPr>
          <w:t>68/2024</w:t>
        </w:r>
      </w:hyperlink>
      <w:r>
        <w:t>, f. 8.</w:t>
      </w:r>
    </w:p>
    <w:p w14:paraId="65AC7447" w14:textId="4E50DA5E" w:rsidR="00601EEA" w:rsidRDefault="00601EEA" w:rsidP="00601EEA">
      <w:pPr>
        <w:pStyle w:val="SangriaFrancesaArticulo"/>
      </w:pPr>
      <w:r w:rsidRPr="00601EEA">
        <w:rPr>
          <w:rStyle w:val="TextoNormalNegritaCaracter"/>
        </w:rPr>
        <w:t>Artículo 57.5.</w:t>
      </w:r>
      <w:r w:rsidRPr="00601EEA">
        <w:rPr>
          <w:rStyle w:val="TextoNormalCaracter"/>
        </w:rPr>
        <w:t>-</w:t>
      </w:r>
      <w:r>
        <w:t xml:space="preserve"> Sentencia </w:t>
      </w:r>
      <w:hyperlink w:anchor="SENTENCIA_2024_68" w:history="1">
        <w:r w:rsidRPr="00601EEA">
          <w:rPr>
            <w:rStyle w:val="TextoNormalCaracter"/>
          </w:rPr>
          <w:t>68/2024</w:t>
        </w:r>
      </w:hyperlink>
      <w:r>
        <w:t>, f. 8.</w:t>
      </w:r>
    </w:p>
    <w:p w14:paraId="5BB98F20" w14:textId="6E6867E8" w:rsidR="00601EEA" w:rsidRDefault="00601EEA" w:rsidP="00601EEA">
      <w:pPr>
        <w:pStyle w:val="SangriaFrancesaArticulo"/>
      </w:pPr>
      <w:r w:rsidRPr="00601EEA">
        <w:rPr>
          <w:rStyle w:val="TextoNormalNegritaCaracter"/>
        </w:rPr>
        <w:t>Artículo 58.</w:t>
      </w:r>
      <w:r w:rsidRPr="00601EEA">
        <w:rPr>
          <w:rStyle w:val="TextoNormalCaracter"/>
        </w:rPr>
        <w:t>-</w:t>
      </w:r>
      <w:r>
        <w:t xml:space="preserve"> Sentencia </w:t>
      </w:r>
      <w:hyperlink w:anchor="SENTENCIA_2024_68" w:history="1">
        <w:r w:rsidRPr="00601EEA">
          <w:rPr>
            <w:rStyle w:val="TextoNormalCaracter"/>
          </w:rPr>
          <w:t>68/2024</w:t>
        </w:r>
      </w:hyperlink>
      <w:r>
        <w:t>, f. 8.</w:t>
      </w:r>
    </w:p>
    <w:p w14:paraId="11B4D0A9" w14:textId="756C7EB2" w:rsidR="00601EEA" w:rsidRDefault="00601EEA" w:rsidP="00601EEA">
      <w:pPr>
        <w:pStyle w:val="SangriaFrancesaArticulo"/>
      </w:pPr>
      <w:r w:rsidRPr="00601EEA">
        <w:rPr>
          <w:rStyle w:val="TextoNormalNegritaCaracter"/>
        </w:rPr>
        <w:t>Artículo 58.2.</w:t>
      </w:r>
      <w:r w:rsidRPr="00601EEA">
        <w:rPr>
          <w:rStyle w:val="TextoNormalCaracter"/>
        </w:rPr>
        <w:t>-</w:t>
      </w:r>
      <w:r>
        <w:t xml:space="preserve"> Sentencia </w:t>
      </w:r>
      <w:hyperlink w:anchor="SENTENCIA_2024_68" w:history="1">
        <w:r w:rsidRPr="00601EEA">
          <w:rPr>
            <w:rStyle w:val="TextoNormalCaracter"/>
          </w:rPr>
          <w:t>68/2024</w:t>
        </w:r>
      </w:hyperlink>
      <w:r>
        <w:t>, ff. 7, 8.</w:t>
      </w:r>
    </w:p>
    <w:p w14:paraId="0FC49121" w14:textId="41BFE037" w:rsidR="00601EEA" w:rsidRDefault="00601EEA" w:rsidP="00601EEA">
      <w:pPr>
        <w:pStyle w:val="SangriaFrancesaArticulo"/>
      </w:pPr>
      <w:r w:rsidRPr="00601EEA">
        <w:rPr>
          <w:rStyle w:val="TextoNormalNegritaCaracter"/>
        </w:rPr>
        <w:t>Artículo 58.3.</w:t>
      </w:r>
      <w:r w:rsidRPr="00601EEA">
        <w:rPr>
          <w:rStyle w:val="TextoNormalCaracter"/>
        </w:rPr>
        <w:t>-</w:t>
      </w:r>
      <w:r>
        <w:t xml:space="preserve"> Sentencia </w:t>
      </w:r>
      <w:hyperlink w:anchor="SENTENCIA_2024_68" w:history="1">
        <w:r w:rsidRPr="00601EEA">
          <w:rPr>
            <w:rStyle w:val="TextoNormalCaracter"/>
          </w:rPr>
          <w:t>68/2024</w:t>
        </w:r>
      </w:hyperlink>
      <w:r>
        <w:t>, ff. 1, 8.</w:t>
      </w:r>
    </w:p>
    <w:p w14:paraId="3D21ABEB" w14:textId="675FD6E5" w:rsidR="00601EEA" w:rsidRDefault="00601EEA" w:rsidP="00601EEA">
      <w:pPr>
        <w:pStyle w:val="SangriaIzquierdaArticulo"/>
      </w:pPr>
      <w:r>
        <w:t xml:space="preserve">Auto </w:t>
      </w:r>
      <w:hyperlink w:anchor="AUTO_2024_22" w:history="1">
        <w:r w:rsidRPr="00601EEA">
          <w:rPr>
            <w:rStyle w:val="TextoNormalCaracter"/>
          </w:rPr>
          <w:t>22/2024</w:t>
        </w:r>
      </w:hyperlink>
      <w:r>
        <w:t>, ff. 1, 5, 6.</w:t>
      </w:r>
    </w:p>
    <w:p w14:paraId="4ADFE112" w14:textId="0A6A2B37" w:rsidR="00601EEA" w:rsidRDefault="00601EEA" w:rsidP="00601EEA">
      <w:pPr>
        <w:pStyle w:val="SangriaFrancesaArticulo"/>
      </w:pPr>
      <w:r w:rsidRPr="00601EEA">
        <w:rPr>
          <w:rStyle w:val="TextoNormalNegritaCaracter"/>
        </w:rPr>
        <w:lastRenderedPageBreak/>
        <w:t>Artículo 58.3, párrafo segundo, inciso final “hasta la celebración del convenio, corresponde a la persona titular del bien cumplir las obligaciones derivadas de la legislación de patrimonio cultural”.</w:t>
      </w:r>
      <w:r w:rsidRPr="00601EEA">
        <w:rPr>
          <w:rStyle w:val="TextoNormalCaracter"/>
        </w:rPr>
        <w:t>-</w:t>
      </w:r>
      <w:r>
        <w:t xml:space="preserve"> Sentencia </w:t>
      </w:r>
      <w:hyperlink w:anchor="SENTENCIA_2024_68" w:history="1">
        <w:r w:rsidRPr="00601EEA">
          <w:rPr>
            <w:rStyle w:val="TextoNormalCaracter"/>
          </w:rPr>
          <w:t>68/2024</w:t>
        </w:r>
      </w:hyperlink>
      <w:r>
        <w:t>, ff. 1, 4, 8.</w:t>
      </w:r>
    </w:p>
    <w:p w14:paraId="1504626C" w14:textId="10415C47" w:rsidR="00601EEA" w:rsidRDefault="00601EEA" w:rsidP="00601EEA">
      <w:pPr>
        <w:pStyle w:val="SangriaFrancesaArticulo"/>
      </w:pPr>
      <w:r w:rsidRPr="00601EEA">
        <w:rPr>
          <w:rStyle w:val="TextoNormalNegritaCaracter"/>
        </w:rPr>
        <w:t>Artículo 58.7.</w:t>
      </w:r>
      <w:r w:rsidRPr="00601EEA">
        <w:rPr>
          <w:rStyle w:val="TextoNormalCaracter"/>
        </w:rPr>
        <w:t>-</w:t>
      </w:r>
      <w:r>
        <w:t xml:space="preserve"> Sentencia </w:t>
      </w:r>
      <w:hyperlink w:anchor="SENTENCIA_2024_68" w:history="1">
        <w:r w:rsidRPr="00601EEA">
          <w:rPr>
            <w:rStyle w:val="TextoNormalCaracter"/>
          </w:rPr>
          <w:t>68/2024</w:t>
        </w:r>
      </w:hyperlink>
      <w:r>
        <w:t>, ff. 2, 7, 9.</w:t>
      </w:r>
    </w:p>
    <w:p w14:paraId="2E46A216" w14:textId="42EFCD15" w:rsidR="00601EEA" w:rsidRDefault="00601EEA" w:rsidP="00601EEA">
      <w:pPr>
        <w:pStyle w:val="SangriaFrancesaArticulo"/>
      </w:pPr>
      <w:r w:rsidRPr="00601EEA">
        <w:rPr>
          <w:rStyle w:val="TextoNormalNegritaCaracter"/>
        </w:rPr>
        <w:t>Artículo 59.</w:t>
      </w:r>
      <w:r w:rsidRPr="00601EEA">
        <w:rPr>
          <w:rStyle w:val="TextoNormalCaracter"/>
        </w:rPr>
        <w:t>-</w:t>
      </w:r>
      <w:r>
        <w:t xml:space="preserve"> Sentencia </w:t>
      </w:r>
      <w:hyperlink w:anchor="SENTENCIA_2024_68" w:history="1">
        <w:r w:rsidRPr="00601EEA">
          <w:rPr>
            <w:rStyle w:val="TextoNormalCaracter"/>
          </w:rPr>
          <w:t>68/2024</w:t>
        </w:r>
      </w:hyperlink>
      <w:r>
        <w:t>, f. 7.</w:t>
      </w:r>
    </w:p>
    <w:p w14:paraId="29297325" w14:textId="7D3C7E86" w:rsidR="00601EEA" w:rsidRDefault="00601EEA" w:rsidP="00601EEA">
      <w:pPr>
        <w:pStyle w:val="SangriaFrancesaArticulo"/>
      </w:pPr>
      <w:r w:rsidRPr="00601EEA">
        <w:rPr>
          <w:rStyle w:val="TextoNormalNegritaCaracter"/>
        </w:rPr>
        <w:t>Artículo 59.2.</w:t>
      </w:r>
      <w:r w:rsidRPr="00601EEA">
        <w:rPr>
          <w:rStyle w:val="TextoNormalCaracter"/>
        </w:rPr>
        <w:t>-</w:t>
      </w:r>
      <w:r>
        <w:t xml:space="preserve"> Sentencia </w:t>
      </w:r>
      <w:hyperlink w:anchor="SENTENCIA_2024_68" w:history="1">
        <w:r w:rsidRPr="00601EEA">
          <w:rPr>
            <w:rStyle w:val="TextoNormalCaracter"/>
          </w:rPr>
          <w:t>68/2024</w:t>
        </w:r>
      </w:hyperlink>
      <w:r>
        <w:t>, ff. 1, 3, 7.</w:t>
      </w:r>
    </w:p>
    <w:p w14:paraId="5BB52B10" w14:textId="5981E102" w:rsidR="00601EEA" w:rsidRDefault="00601EEA" w:rsidP="00601EEA">
      <w:pPr>
        <w:pStyle w:val="SangriaIzquierdaArticulo"/>
      </w:pPr>
      <w:r>
        <w:t xml:space="preserve">Auto </w:t>
      </w:r>
      <w:hyperlink w:anchor="AUTO_2024_22" w:history="1">
        <w:r w:rsidRPr="00601EEA">
          <w:rPr>
            <w:rStyle w:val="TextoNormalCaracter"/>
          </w:rPr>
          <w:t>22/2024</w:t>
        </w:r>
      </w:hyperlink>
      <w:r>
        <w:t>, ff. 1, 5, 6.</w:t>
      </w:r>
    </w:p>
    <w:p w14:paraId="10B91726" w14:textId="182293D5" w:rsidR="00601EEA" w:rsidRDefault="00601EEA" w:rsidP="00601EEA">
      <w:pPr>
        <w:pStyle w:val="SangriaFrancesaArticulo"/>
      </w:pPr>
      <w:r w:rsidRPr="00601EEA">
        <w:rPr>
          <w:rStyle w:val="TextoNormalNegritaCaracter"/>
        </w:rPr>
        <w:t>Artículo 59.2 inciso “teniendo la obligación de asegurar en todos los instrumentos de ordenación marina del litoral previstos en esta un régimen de zonificación y uso que garantice el acceso y la permanencia de las embarcaciones gallegas a los caladeros cuya regulación sea de su competencia”.</w:t>
      </w:r>
      <w:r w:rsidRPr="00601EEA">
        <w:rPr>
          <w:rStyle w:val="TextoNormalCaracter"/>
        </w:rPr>
        <w:t>-</w:t>
      </w:r>
      <w:r>
        <w:t xml:space="preserve"> Sentencia </w:t>
      </w:r>
      <w:hyperlink w:anchor="SENTENCIA_2024_68" w:history="1">
        <w:r w:rsidRPr="00601EEA">
          <w:rPr>
            <w:rStyle w:val="TextoNormalCaracter"/>
          </w:rPr>
          <w:t>68/2024</w:t>
        </w:r>
      </w:hyperlink>
      <w:r>
        <w:t>, ff. 2, 7.</w:t>
      </w:r>
    </w:p>
    <w:p w14:paraId="60C2C3A4" w14:textId="32ADF878" w:rsidR="00601EEA" w:rsidRDefault="00601EEA" w:rsidP="00601EEA">
      <w:pPr>
        <w:pStyle w:val="SangriaFrancesaArticulo"/>
      </w:pPr>
      <w:r w:rsidRPr="00601EEA">
        <w:rPr>
          <w:rStyle w:val="TextoNormalNegritaCaracter"/>
        </w:rPr>
        <w:t>Artículo 60.</w:t>
      </w:r>
      <w:r w:rsidRPr="00601EEA">
        <w:rPr>
          <w:rStyle w:val="TextoNormalCaracter"/>
        </w:rPr>
        <w:t>-</w:t>
      </w:r>
      <w:r>
        <w:t xml:space="preserve"> Sentencia </w:t>
      </w:r>
      <w:hyperlink w:anchor="SENTENCIA_2024_68" w:history="1">
        <w:r w:rsidRPr="00601EEA">
          <w:rPr>
            <w:rStyle w:val="TextoNormalCaracter"/>
          </w:rPr>
          <w:t>68/2024</w:t>
        </w:r>
      </w:hyperlink>
      <w:r>
        <w:t>, f. 8.</w:t>
      </w:r>
    </w:p>
    <w:p w14:paraId="49C9D517" w14:textId="31A9717A" w:rsidR="00601EEA" w:rsidRDefault="00601EEA" w:rsidP="00601EEA">
      <w:pPr>
        <w:pStyle w:val="SangriaFrancesaArticulo"/>
      </w:pPr>
      <w:r w:rsidRPr="00601EEA">
        <w:rPr>
          <w:rStyle w:val="TextoNormalNegritaCaracter"/>
        </w:rPr>
        <w:t>Artículo 60.1.</w:t>
      </w:r>
      <w:r w:rsidRPr="00601EEA">
        <w:rPr>
          <w:rStyle w:val="TextoNormalCaracter"/>
        </w:rPr>
        <w:t>-</w:t>
      </w:r>
      <w:r>
        <w:t xml:space="preserve"> Sentencia </w:t>
      </w:r>
      <w:hyperlink w:anchor="SENTENCIA_2024_68" w:history="1">
        <w:r w:rsidRPr="00601EEA">
          <w:rPr>
            <w:rStyle w:val="TextoNormalCaracter"/>
          </w:rPr>
          <w:t>68/2024</w:t>
        </w:r>
      </w:hyperlink>
      <w:r>
        <w:t>, f. 8.</w:t>
      </w:r>
    </w:p>
    <w:p w14:paraId="642A14C4" w14:textId="6D906886" w:rsidR="00601EEA" w:rsidRDefault="00601EEA" w:rsidP="00601EEA">
      <w:pPr>
        <w:pStyle w:val="SangriaFrancesaArticulo"/>
      </w:pPr>
      <w:r w:rsidRPr="00601EEA">
        <w:rPr>
          <w:rStyle w:val="TextoNormalNegritaCaracter"/>
        </w:rPr>
        <w:t>Artículo 60.3.</w:t>
      </w:r>
      <w:r w:rsidRPr="00601EEA">
        <w:rPr>
          <w:rStyle w:val="TextoNormalCaracter"/>
        </w:rPr>
        <w:t>-</w:t>
      </w:r>
      <w:r>
        <w:t xml:space="preserve"> Sentencia </w:t>
      </w:r>
      <w:hyperlink w:anchor="SENTENCIA_2024_68" w:history="1">
        <w:r w:rsidRPr="00601EEA">
          <w:rPr>
            <w:rStyle w:val="TextoNormalCaracter"/>
          </w:rPr>
          <w:t>68/2024</w:t>
        </w:r>
      </w:hyperlink>
      <w:r>
        <w:t>, ff. 1, 2, 4, 8.</w:t>
      </w:r>
    </w:p>
    <w:p w14:paraId="0CC8FF62" w14:textId="38158FAC" w:rsidR="00601EEA" w:rsidRDefault="00601EEA" w:rsidP="00601EEA">
      <w:pPr>
        <w:pStyle w:val="SangriaIzquierdaArticulo"/>
      </w:pPr>
      <w:r>
        <w:t xml:space="preserve">Auto </w:t>
      </w:r>
      <w:hyperlink w:anchor="AUTO_2024_22" w:history="1">
        <w:r w:rsidRPr="00601EEA">
          <w:rPr>
            <w:rStyle w:val="TextoNormalCaracter"/>
          </w:rPr>
          <w:t>22/2024</w:t>
        </w:r>
      </w:hyperlink>
      <w:r>
        <w:t>, ff. 1, 5, 6.</w:t>
      </w:r>
    </w:p>
    <w:p w14:paraId="5E6A5B22" w14:textId="5C1988C0" w:rsidR="00601EEA" w:rsidRDefault="00601EEA" w:rsidP="00601EEA">
      <w:pPr>
        <w:pStyle w:val="SangriaFrancesaArticulo"/>
      </w:pPr>
      <w:r w:rsidRPr="00601EEA">
        <w:rPr>
          <w:rStyle w:val="TextoNormalNegritaCaracter"/>
        </w:rPr>
        <w:t>Artículo 60.3 a).</w:t>
      </w:r>
      <w:r w:rsidRPr="00601EEA">
        <w:rPr>
          <w:rStyle w:val="TextoNormalCaracter"/>
        </w:rPr>
        <w:t>-</w:t>
      </w:r>
      <w:r>
        <w:t xml:space="preserve"> Sentencia </w:t>
      </w:r>
      <w:hyperlink w:anchor="SENTENCIA_2024_68" w:history="1">
        <w:r w:rsidRPr="00601EEA">
          <w:rPr>
            <w:rStyle w:val="TextoNormalCaracter"/>
          </w:rPr>
          <w:t>68/2024</w:t>
        </w:r>
      </w:hyperlink>
      <w:r>
        <w:t>, f. 8.</w:t>
      </w:r>
    </w:p>
    <w:p w14:paraId="30A254B9" w14:textId="7C3ACFFB" w:rsidR="00601EEA" w:rsidRDefault="00601EEA" w:rsidP="00601EEA">
      <w:pPr>
        <w:pStyle w:val="SangriaFrancesaArticulo"/>
      </w:pPr>
      <w:r w:rsidRPr="00601EEA">
        <w:rPr>
          <w:rStyle w:val="TextoNormalNegritaCaracter"/>
        </w:rPr>
        <w:t>Artículo 60.3 b).</w:t>
      </w:r>
      <w:r w:rsidRPr="00601EEA">
        <w:rPr>
          <w:rStyle w:val="TextoNormalCaracter"/>
        </w:rPr>
        <w:t>-</w:t>
      </w:r>
      <w:r>
        <w:t xml:space="preserve"> Sentencia </w:t>
      </w:r>
      <w:hyperlink w:anchor="SENTENCIA_2024_68" w:history="1">
        <w:r w:rsidRPr="00601EEA">
          <w:rPr>
            <w:rStyle w:val="TextoNormalCaracter"/>
          </w:rPr>
          <w:t>68/2024</w:t>
        </w:r>
      </w:hyperlink>
      <w:r>
        <w:t>, f. 8.</w:t>
      </w:r>
    </w:p>
    <w:p w14:paraId="00A4F5B7" w14:textId="7AB0FE94" w:rsidR="00601EEA" w:rsidRDefault="00601EEA" w:rsidP="00601EEA">
      <w:pPr>
        <w:pStyle w:val="SangriaFrancesaArticulo"/>
      </w:pPr>
      <w:r w:rsidRPr="00601EEA">
        <w:rPr>
          <w:rStyle w:val="TextoNormalNegritaCaracter"/>
        </w:rPr>
        <w:t>Artículo 62.</w:t>
      </w:r>
      <w:r w:rsidRPr="00601EEA">
        <w:rPr>
          <w:rStyle w:val="TextoNormalCaracter"/>
        </w:rPr>
        <w:t>-</w:t>
      </w:r>
      <w:r>
        <w:t xml:space="preserve"> Sentencia </w:t>
      </w:r>
      <w:hyperlink w:anchor="SENTENCIA_2024_68" w:history="1">
        <w:r w:rsidRPr="00601EEA">
          <w:rPr>
            <w:rStyle w:val="TextoNormalCaracter"/>
          </w:rPr>
          <w:t>68/2024</w:t>
        </w:r>
      </w:hyperlink>
      <w:r>
        <w:t>, f. 10.</w:t>
      </w:r>
    </w:p>
    <w:p w14:paraId="23CA4821" w14:textId="0B7F6C08" w:rsidR="00601EEA" w:rsidRDefault="00601EEA" w:rsidP="00601EEA">
      <w:pPr>
        <w:pStyle w:val="SangriaFrancesaArticulo"/>
      </w:pPr>
      <w:r w:rsidRPr="00601EEA">
        <w:rPr>
          <w:rStyle w:val="TextoNormalNegritaCaracter"/>
        </w:rPr>
        <w:t>Artículo 62.5.</w:t>
      </w:r>
      <w:r w:rsidRPr="00601EEA">
        <w:rPr>
          <w:rStyle w:val="TextoNormalCaracter"/>
        </w:rPr>
        <w:t>-</w:t>
      </w:r>
      <w:r>
        <w:t xml:space="preserve"> Sentencia </w:t>
      </w:r>
      <w:hyperlink w:anchor="SENTENCIA_2024_68" w:history="1">
        <w:r w:rsidRPr="00601EEA">
          <w:rPr>
            <w:rStyle w:val="TextoNormalCaracter"/>
          </w:rPr>
          <w:t>68/2024</w:t>
        </w:r>
      </w:hyperlink>
      <w:r>
        <w:t>, ff. 1, 4, 10.</w:t>
      </w:r>
    </w:p>
    <w:p w14:paraId="1B9ADB2F" w14:textId="56179FF5" w:rsidR="00601EEA" w:rsidRDefault="00601EEA" w:rsidP="00601EEA">
      <w:pPr>
        <w:pStyle w:val="SangriaIzquierdaArticulo"/>
      </w:pPr>
      <w:r>
        <w:t xml:space="preserve">Auto </w:t>
      </w:r>
      <w:hyperlink w:anchor="AUTO_2024_22" w:history="1">
        <w:r w:rsidRPr="00601EEA">
          <w:rPr>
            <w:rStyle w:val="TextoNormalCaracter"/>
          </w:rPr>
          <w:t>22/2024</w:t>
        </w:r>
      </w:hyperlink>
      <w:r>
        <w:t>, ff. 1, 5, 6.</w:t>
      </w:r>
    </w:p>
    <w:p w14:paraId="4200BDAD" w14:textId="4987A2D3" w:rsidR="00601EEA" w:rsidRDefault="00601EEA" w:rsidP="00601EEA">
      <w:pPr>
        <w:pStyle w:val="SangriaFrancesaArticulo"/>
      </w:pPr>
      <w:r w:rsidRPr="00601EEA">
        <w:rPr>
          <w:rStyle w:val="TextoNormalNegritaCaracter"/>
        </w:rPr>
        <w:t>Artículo 62.5 inciso “[c]uando el otorgamiento del título de ocupación corresponda a la administración general de la Comunidad Autónoma de Galicia conforme a lo previsto en el artículo 48”.</w:t>
      </w:r>
      <w:r w:rsidRPr="00601EEA">
        <w:rPr>
          <w:rStyle w:val="TextoNormalCaracter"/>
        </w:rPr>
        <w:t>-</w:t>
      </w:r>
      <w:r>
        <w:t xml:space="preserve"> Sentencia </w:t>
      </w:r>
      <w:hyperlink w:anchor="SENTENCIA_2024_68" w:history="1">
        <w:r w:rsidRPr="00601EEA">
          <w:rPr>
            <w:rStyle w:val="TextoNormalCaracter"/>
          </w:rPr>
          <w:t>68/2024</w:t>
        </w:r>
      </w:hyperlink>
      <w:r>
        <w:t>, ff. 2, 10.</w:t>
      </w:r>
    </w:p>
    <w:p w14:paraId="4C151921" w14:textId="55DA754E" w:rsidR="00601EEA" w:rsidRDefault="00601EEA" w:rsidP="00601EEA">
      <w:pPr>
        <w:pStyle w:val="SangriaFrancesaArticulo"/>
      </w:pPr>
      <w:r w:rsidRPr="00601EEA">
        <w:rPr>
          <w:rStyle w:val="TextoNormalNegritaCaracter"/>
        </w:rPr>
        <w:t>Artículo 63.</w:t>
      </w:r>
      <w:r w:rsidRPr="00601EEA">
        <w:rPr>
          <w:rStyle w:val="TextoNormalCaracter"/>
        </w:rPr>
        <w:t>-</w:t>
      </w:r>
      <w:r>
        <w:t xml:space="preserve"> Sentencia </w:t>
      </w:r>
      <w:hyperlink w:anchor="SENTENCIA_2024_68" w:history="1">
        <w:r w:rsidRPr="00601EEA">
          <w:rPr>
            <w:rStyle w:val="TextoNormalCaracter"/>
          </w:rPr>
          <w:t>68/2024</w:t>
        </w:r>
      </w:hyperlink>
      <w:r>
        <w:t>, f. 10.</w:t>
      </w:r>
    </w:p>
    <w:p w14:paraId="190291D3" w14:textId="58A5D278" w:rsidR="00601EEA" w:rsidRDefault="00601EEA" w:rsidP="00601EEA">
      <w:pPr>
        <w:pStyle w:val="SangriaFrancesaArticulo"/>
      </w:pPr>
      <w:r w:rsidRPr="00601EEA">
        <w:rPr>
          <w:rStyle w:val="TextoNormalNegritaCaracter"/>
        </w:rPr>
        <w:t>Artículo 64.</w:t>
      </w:r>
      <w:r w:rsidRPr="00601EEA">
        <w:rPr>
          <w:rStyle w:val="TextoNormalCaracter"/>
        </w:rPr>
        <w:t>-</w:t>
      </w:r>
      <w:r>
        <w:t xml:space="preserve"> Sentencia </w:t>
      </w:r>
      <w:hyperlink w:anchor="SENTENCIA_2024_68" w:history="1">
        <w:r w:rsidRPr="00601EEA">
          <w:rPr>
            <w:rStyle w:val="TextoNormalCaracter"/>
          </w:rPr>
          <w:t>68/2024</w:t>
        </w:r>
      </w:hyperlink>
      <w:r>
        <w:t>, f. 11.</w:t>
      </w:r>
    </w:p>
    <w:p w14:paraId="6FB1A078" w14:textId="32F25413" w:rsidR="00601EEA" w:rsidRDefault="00601EEA" w:rsidP="00601EEA">
      <w:pPr>
        <w:pStyle w:val="SangriaFrancesaArticulo"/>
      </w:pPr>
      <w:r w:rsidRPr="00601EEA">
        <w:rPr>
          <w:rStyle w:val="TextoNormalNegritaCaracter"/>
        </w:rPr>
        <w:t>Artículo 64.1.</w:t>
      </w:r>
      <w:r w:rsidRPr="00601EEA">
        <w:rPr>
          <w:rStyle w:val="TextoNormalCaracter"/>
        </w:rPr>
        <w:t>-</w:t>
      </w:r>
      <w:r>
        <w:t xml:space="preserve"> Sentencia </w:t>
      </w:r>
      <w:hyperlink w:anchor="SENTENCIA_2024_68" w:history="1">
        <w:r w:rsidRPr="00601EEA">
          <w:rPr>
            <w:rStyle w:val="TextoNormalCaracter"/>
          </w:rPr>
          <w:t>68/2024</w:t>
        </w:r>
      </w:hyperlink>
      <w:r>
        <w:t>, f. 9.</w:t>
      </w:r>
    </w:p>
    <w:p w14:paraId="31667942" w14:textId="7CE87409" w:rsidR="00601EEA" w:rsidRDefault="00601EEA" w:rsidP="00601EEA">
      <w:pPr>
        <w:pStyle w:val="SangriaFrancesaArticulo"/>
      </w:pPr>
      <w:r w:rsidRPr="00601EEA">
        <w:rPr>
          <w:rStyle w:val="TextoNormalNegritaCaracter"/>
        </w:rPr>
        <w:t>Artículo 64.2.</w:t>
      </w:r>
      <w:r w:rsidRPr="00601EEA">
        <w:rPr>
          <w:rStyle w:val="TextoNormalCaracter"/>
        </w:rPr>
        <w:t>-</w:t>
      </w:r>
      <w:r>
        <w:t xml:space="preserve"> Sentencia </w:t>
      </w:r>
      <w:hyperlink w:anchor="SENTENCIA_2024_68" w:history="1">
        <w:r w:rsidRPr="00601EEA">
          <w:rPr>
            <w:rStyle w:val="TextoNormalCaracter"/>
          </w:rPr>
          <w:t>68/2024</w:t>
        </w:r>
      </w:hyperlink>
      <w:r>
        <w:t>, f. 9.</w:t>
      </w:r>
    </w:p>
    <w:p w14:paraId="6A560BD0" w14:textId="5C7129D4" w:rsidR="00601EEA" w:rsidRDefault="00601EEA" w:rsidP="00601EEA">
      <w:pPr>
        <w:pStyle w:val="SangriaFrancesaArticulo"/>
      </w:pPr>
      <w:r w:rsidRPr="00601EEA">
        <w:rPr>
          <w:rStyle w:val="TextoNormalNegritaCaracter"/>
        </w:rPr>
        <w:t>Artículo 64.3.</w:t>
      </w:r>
      <w:r w:rsidRPr="00601EEA">
        <w:rPr>
          <w:rStyle w:val="TextoNormalCaracter"/>
        </w:rPr>
        <w:t>-</w:t>
      </w:r>
      <w:r>
        <w:t xml:space="preserve"> Sentencia </w:t>
      </w:r>
      <w:hyperlink w:anchor="SENTENCIA_2024_68" w:history="1">
        <w:r w:rsidRPr="00601EEA">
          <w:rPr>
            <w:rStyle w:val="TextoNormalCaracter"/>
          </w:rPr>
          <w:t>68/2024</w:t>
        </w:r>
      </w:hyperlink>
      <w:r>
        <w:t>, ff. 1, 2, 4, 7, 9, 10.</w:t>
      </w:r>
    </w:p>
    <w:p w14:paraId="027C9D7B" w14:textId="2B1D1AEF" w:rsidR="00601EEA" w:rsidRDefault="00601EEA" w:rsidP="00601EEA">
      <w:pPr>
        <w:pStyle w:val="SangriaIzquierdaArticulo"/>
      </w:pPr>
      <w:r>
        <w:t xml:space="preserve">Auto </w:t>
      </w:r>
      <w:hyperlink w:anchor="AUTO_2024_22" w:history="1">
        <w:r w:rsidRPr="00601EEA">
          <w:rPr>
            <w:rStyle w:val="TextoNormalCaracter"/>
          </w:rPr>
          <w:t>22/2024</w:t>
        </w:r>
      </w:hyperlink>
      <w:r>
        <w:t>, ff. 1, 5, 6.</w:t>
      </w:r>
    </w:p>
    <w:p w14:paraId="6CCC0019" w14:textId="4418302A" w:rsidR="00601EEA" w:rsidRDefault="00601EEA" w:rsidP="00601EEA">
      <w:pPr>
        <w:pStyle w:val="SangriaFrancesaArticulo"/>
      </w:pPr>
      <w:r w:rsidRPr="00601EEA">
        <w:rPr>
          <w:rStyle w:val="TextoNormalNegritaCaracter"/>
        </w:rPr>
        <w:t>Artículo 65.</w:t>
      </w:r>
      <w:r w:rsidRPr="00601EEA">
        <w:rPr>
          <w:rStyle w:val="TextoNormalCaracter"/>
        </w:rPr>
        <w:t>-</w:t>
      </w:r>
      <w:r>
        <w:t xml:space="preserve"> Sentencia </w:t>
      </w:r>
      <w:hyperlink w:anchor="SENTENCIA_2024_68" w:history="1">
        <w:r w:rsidRPr="00601EEA">
          <w:rPr>
            <w:rStyle w:val="TextoNormalCaracter"/>
          </w:rPr>
          <w:t>68/2024</w:t>
        </w:r>
      </w:hyperlink>
      <w:r>
        <w:t>, f. 7.</w:t>
      </w:r>
    </w:p>
    <w:p w14:paraId="07997799" w14:textId="48EB7522" w:rsidR="00601EEA" w:rsidRDefault="00601EEA" w:rsidP="00601EEA">
      <w:pPr>
        <w:pStyle w:val="SangriaFrancesaArticulo"/>
      </w:pPr>
      <w:r w:rsidRPr="00601EEA">
        <w:rPr>
          <w:rStyle w:val="TextoNormalNegritaCaracter"/>
        </w:rPr>
        <w:t>Artículo 66.</w:t>
      </w:r>
      <w:r w:rsidRPr="00601EEA">
        <w:rPr>
          <w:rStyle w:val="TextoNormalCaracter"/>
        </w:rPr>
        <w:t>-</w:t>
      </w:r>
      <w:r>
        <w:t xml:space="preserve"> Sentencia </w:t>
      </w:r>
      <w:hyperlink w:anchor="SENTENCIA_2024_68" w:history="1">
        <w:r w:rsidRPr="00601EEA">
          <w:rPr>
            <w:rStyle w:val="TextoNormalCaracter"/>
          </w:rPr>
          <w:t>68/2024</w:t>
        </w:r>
      </w:hyperlink>
      <w:r>
        <w:t>, f. 7.</w:t>
      </w:r>
    </w:p>
    <w:p w14:paraId="0020492F" w14:textId="22EB4CC0" w:rsidR="00601EEA" w:rsidRDefault="00601EEA" w:rsidP="00601EEA">
      <w:pPr>
        <w:pStyle w:val="SangriaFrancesaArticulo"/>
      </w:pPr>
      <w:r w:rsidRPr="00601EEA">
        <w:rPr>
          <w:rStyle w:val="TextoNormalNegritaCaracter"/>
        </w:rPr>
        <w:t>Artículo 66.2 a).</w:t>
      </w:r>
      <w:r w:rsidRPr="00601EEA">
        <w:rPr>
          <w:rStyle w:val="TextoNormalCaracter"/>
        </w:rPr>
        <w:t>-</w:t>
      </w:r>
      <w:r>
        <w:t xml:space="preserve"> Sentencia </w:t>
      </w:r>
      <w:hyperlink w:anchor="SENTENCIA_2024_68" w:history="1">
        <w:r w:rsidRPr="00601EEA">
          <w:rPr>
            <w:rStyle w:val="TextoNormalCaracter"/>
          </w:rPr>
          <w:t>68/2024</w:t>
        </w:r>
      </w:hyperlink>
      <w:r>
        <w:t>, f. 7.</w:t>
      </w:r>
    </w:p>
    <w:p w14:paraId="09B123FC" w14:textId="755D8CA6" w:rsidR="00601EEA" w:rsidRDefault="00601EEA" w:rsidP="00601EEA">
      <w:pPr>
        <w:pStyle w:val="SangriaFrancesaArticulo"/>
      </w:pPr>
      <w:r w:rsidRPr="00601EEA">
        <w:rPr>
          <w:rStyle w:val="TextoNormalNegritaCaracter"/>
        </w:rPr>
        <w:t>Artículo 66.2 b).</w:t>
      </w:r>
      <w:r w:rsidRPr="00601EEA">
        <w:rPr>
          <w:rStyle w:val="TextoNormalCaracter"/>
        </w:rPr>
        <w:t>-</w:t>
      </w:r>
      <w:r>
        <w:t xml:space="preserve"> Sentencia </w:t>
      </w:r>
      <w:hyperlink w:anchor="SENTENCIA_2024_68" w:history="1">
        <w:r w:rsidRPr="00601EEA">
          <w:rPr>
            <w:rStyle w:val="TextoNormalCaracter"/>
          </w:rPr>
          <w:t>68/2024</w:t>
        </w:r>
      </w:hyperlink>
      <w:r>
        <w:t>, f. 7.</w:t>
      </w:r>
    </w:p>
    <w:p w14:paraId="6554C690" w14:textId="7403B462" w:rsidR="00601EEA" w:rsidRDefault="00601EEA" w:rsidP="00601EEA">
      <w:pPr>
        <w:pStyle w:val="SangriaFrancesaArticulo"/>
      </w:pPr>
      <w:r w:rsidRPr="00601EEA">
        <w:rPr>
          <w:rStyle w:val="TextoNormalNegritaCaracter"/>
        </w:rPr>
        <w:t>Artículo 66.2 c).</w:t>
      </w:r>
      <w:r w:rsidRPr="00601EEA">
        <w:rPr>
          <w:rStyle w:val="TextoNormalCaracter"/>
        </w:rPr>
        <w:t>-</w:t>
      </w:r>
      <w:r>
        <w:t xml:space="preserve"> Sentencia </w:t>
      </w:r>
      <w:hyperlink w:anchor="SENTENCIA_2024_68" w:history="1">
        <w:r w:rsidRPr="00601EEA">
          <w:rPr>
            <w:rStyle w:val="TextoNormalCaracter"/>
          </w:rPr>
          <w:t>68/2024</w:t>
        </w:r>
      </w:hyperlink>
      <w:r>
        <w:t>, f. 7.</w:t>
      </w:r>
    </w:p>
    <w:p w14:paraId="75608D86" w14:textId="744FDB39" w:rsidR="00601EEA" w:rsidRDefault="00601EEA" w:rsidP="00601EEA">
      <w:pPr>
        <w:pStyle w:val="SangriaFrancesaArticulo"/>
      </w:pPr>
      <w:r w:rsidRPr="00601EEA">
        <w:rPr>
          <w:rStyle w:val="TextoNormalNegritaCaracter"/>
        </w:rPr>
        <w:t>Artículo 67.</w:t>
      </w:r>
      <w:r w:rsidRPr="00601EEA">
        <w:rPr>
          <w:rStyle w:val="TextoNormalCaracter"/>
        </w:rPr>
        <w:t>-</w:t>
      </w:r>
      <w:r>
        <w:t xml:space="preserve"> Sentencia </w:t>
      </w:r>
      <w:hyperlink w:anchor="SENTENCIA_2024_68" w:history="1">
        <w:r w:rsidRPr="00601EEA">
          <w:rPr>
            <w:rStyle w:val="TextoNormalCaracter"/>
          </w:rPr>
          <w:t>68/2024</w:t>
        </w:r>
      </w:hyperlink>
      <w:r>
        <w:t>, f. 7.</w:t>
      </w:r>
    </w:p>
    <w:p w14:paraId="2DAF8CC9" w14:textId="20B215C9" w:rsidR="00601EEA" w:rsidRDefault="00601EEA" w:rsidP="00601EEA">
      <w:pPr>
        <w:pStyle w:val="SangriaFrancesaArticulo"/>
      </w:pPr>
      <w:r w:rsidRPr="00601EEA">
        <w:rPr>
          <w:rStyle w:val="TextoNormalNegritaCaracter"/>
        </w:rPr>
        <w:t>Artículo 68.</w:t>
      </w:r>
      <w:r w:rsidRPr="00601EEA">
        <w:rPr>
          <w:rStyle w:val="TextoNormalCaracter"/>
        </w:rPr>
        <w:t>-</w:t>
      </w:r>
      <w:r>
        <w:t xml:space="preserve"> Sentencia </w:t>
      </w:r>
      <w:hyperlink w:anchor="SENTENCIA_2024_68" w:history="1">
        <w:r w:rsidRPr="00601EEA">
          <w:rPr>
            <w:rStyle w:val="TextoNormalCaracter"/>
          </w:rPr>
          <w:t>68/2024</w:t>
        </w:r>
      </w:hyperlink>
      <w:r>
        <w:t>, f. 7.</w:t>
      </w:r>
    </w:p>
    <w:p w14:paraId="5E417D8F" w14:textId="4902B257" w:rsidR="00601EEA" w:rsidRDefault="00601EEA" w:rsidP="00601EEA">
      <w:pPr>
        <w:pStyle w:val="SangriaFrancesaArticulo"/>
      </w:pPr>
      <w:r w:rsidRPr="00601EEA">
        <w:rPr>
          <w:rStyle w:val="TextoNormalNegritaCaracter"/>
        </w:rPr>
        <w:t>Artículo 72.1.</w:t>
      </w:r>
      <w:r w:rsidRPr="00601EEA">
        <w:rPr>
          <w:rStyle w:val="TextoNormalCaracter"/>
        </w:rPr>
        <w:t>-</w:t>
      </w:r>
      <w:r>
        <w:t xml:space="preserve"> Sentencia </w:t>
      </w:r>
      <w:hyperlink w:anchor="SENTENCIA_2024_68" w:history="1">
        <w:r w:rsidRPr="00601EEA">
          <w:rPr>
            <w:rStyle w:val="TextoNormalCaracter"/>
          </w:rPr>
          <w:t>68/2024</w:t>
        </w:r>
      </w:hyperlink>
      <w:r>
        <w:t>, f. 3.</w:t>
      </w:r>
    </w:p>
    <w:p w14:paraId="3A1874E9" w14:textId="041E1B86" w:rsidR="00601EEA" w:rsidRDefault="00601EEA" w:rsidP="00601EEA">
      <w:pPr>
        <w:pStyle w:val="SangriaFrancesaArticulo"/>
      </w:pPr>
      <w:r w:rsidRPr="00601EEA">
        <w:rPr>
          <w:rStyle w:val="TextoNormalNegritaCaracter"/>
        </w:rPr>
        <w:t>Artículo 73.1.</w:t>
      </w:r>
      <w:r w:rsidRPr="00601EEA">
        <w:rPr>
          <w:rStyle w:val="TextoNormalCaracter"/>
        </w:rPr>
        <w:t>-</w:t>
      </w:r>
      <w:r>
        <w:t xml:space="preserve"> Sentencia </w:t>
      </w:r>
      <w:hyperlink w:anchor="SENTENCIA_2024_68" w:history="1">
        <w:r w:rsidRPr="00601EEA">
          <w:rPr>
            <w:rStyle w:val="TextoNormalCaracter"/>
          </w:rPr>
          <w:t>68/2024</w:t>
        </w:r>
      </w:hyperlink>
      <w:r>
        <w:t>, f. 3.</w:t>
      </w:r>
    </w:p>
    <w:p w14:paraId="6435C3A8" w14:textId="0CA1EE0C" w:rsidR="00601EEA" w:rsidRDefault="00601EEA" w:rsidP="00601EEA">
      <w:pPr>
        <w:pStyle w:val="SangriaFrancesaArticulo"/>
      </w:pPr>
      <w:r w:rsidRPr="00601EEA">
        <w:rPr>
          <w:rStyle w:val="TextoNormalNegritaCaracter"/>
        </w:rPr>
        <w:t>Disposición final primera.</w:t>
      </w:r>
      <w:r w:rsidRPr="00601EEA">
        <w:rPr>
          <w:rStyle w:val="TextoNormalCaracter"/>
        </w:rPr>
        <w:t>-</w:t>
      </w:r>
      <w:r>
        <w:t xml:space="preserve"> Sentencia </w:t>
      </w:r>
      <w:hyperlink w:anchor="SENTENCIA_2024_68" w:history="1">
        <w:r w:rsidRPr="00601EEA">
          <w:rPr>
            <w:rStyle w:val="TextoNormalCaracter"/>
          </w:rPr>
          <w:t>68/2024</w:t>
        </w:r>
      </w:hyperlink>
      <w:r>
        <w:t>, ff. 1, 2, 4, 8, 11.</w:t>
      </w:r>
    </w:p>
    <w:p w14:paraId="3349B729" w14:textId="55B9CAE2" w:rsidR="00601EEA" w:rsidRDefault="00601EEA" w:rsidP="00601EEA">
      <w:pPr>
        <w:pStyle w:val="SangriaIzquierdaArticulo"/>
      </w:pPr>
      <w:r>
        <w:t xml:space="preserve">Auto </w:t>
      </w:r>
      <w:hyperlink w:anchor="AUTO_2024_22" w:history="1">
        <w:r w:rsidRPr="00601EEA">
          <w:rPr>
            <w:rStyle w:val="TextoNormalCaracter"/>
          </w:rPr>
          <w:t>22/2024</w:t>
        </w:r>
      </w:hyperlink>
      <w:r>
        <w:t>, ff. 1, 5, 6.</w:t>
      </w:r>
    </w:p>
    <w:p w14:paraId="0910420C" w14:textId="18043B72" w:rsidR="00601EEA" w:rsidRDefault="00601EEA" w:rsidP="00601EEA">
      <w:pPr>
        <w:pStyle w:val="SangriaFrancesaArticulo"/>
      </w:pPr>
      <w:r w:rsidRPr="00601EEA">
        <w:rPr>
          <w:rStyle w:val="TextoNormalNegritaCaracter"/>
        </w:rPr>
        <w:t>Disposición final quinta.</w:t>
      </w:r>
      <w:r w:rsidRPr="00601EEA">
        <w:rPr>
          <w:rStyle w:val="TextoNormalCaracter"/>
        </w:rPr>
        <w:t>-</w:t>
      </w:r>
      <w:r>
        <w:t xml:space="preserve"> Sentencia </w:t>
      </w:r>
      <w:hyperlink w:anchor="SENTENCIA_2024_68" w:history="1">
        <w:r w:rsidRPr="00601EEA">
          <w:rPr>
            <w:rStyle w:val="TextoNormalCaracter"/>
          </w:rPr>
          <w:t>68/2024</w:t>
        </w:r>
      </w:hyperlink>
      <w:r>
        <w:t>, ff. 1, 4, 10.</w:t>
      </w:r>
    </w:p>
    <w:p w14:paraId="7A0908B1" w14:textId="256D8DAA" w:rsidR="00601EEA" w:rsidRDefault="00601EEA" w:rsidP="00601EEA">
      <w:pPr>
        <w:pStyle w:val="SangriaIzquierdaArticulo"/>
      </w:pPr>
      <w:r>
        <w:t xml:space="preserve">Auto </w:t>
      </w:r>
      <w:hyperlink w:anchor="AUTO_2024_22" w:history="1">
        <w:r w:rsidRPr="00601EEA">
          <w:rPr>
            <w:rStyle w:val="TextoNormalCaracter"/>
          </w:rPr>
          <w:t>22/2024</w:t>
        </w:r>
      </w:hyperlink>
      <w:r>
        <w:t>, ff. 1, 6.</w:t>
      </w:r>
    </w:p>
    <w:p w14:paraId="798E1BEC" w14:textId="1A851CAA" w:rsidR="00601EEA" w:rsidRDefault="00601EEA" w:rsidP="00601EEA">
      <w:pPr>
        <w:pStyle w:val="SangriaFrancesaArticulo"/>
      </w:pPr>
      <w:r w:rsidRPr="00601EEA">
        <w:rPr>
          <w:rStyle w:val="TextoNormalNegritaCaracter"/>
        </w:rPr>
        <w:t>Disposición final quinta inciso “salvo lo establecido en el artículo 48.1 con respecto al ejercicio de las competencias autonómicas para el otorgamiento de las autorizaciones y concesiones del dominio público marítimo-terrestre, cuya entrada en vigor queda supeditada a la publicación del real decreto de traspasos de fun</w:t>
      </w:r>
      <w:r w:rsidRPr="00601EEA">
        <w:rPr>
          <w:rStyle w:val="TextoNormalNegritaCaracter"/>
        </w:rPr>
        <w:lastRenderedPageBreak/>
        <w:t>ciones y servicios de la administración general del Estado a la Comunidad Autónoma de Galicia".</w:t>
      </w:r>
      <w:r w:rsidRPr="00601EEA">
        <w:rPr>
          <w:rStyle w:val="TextoNormalCaracter"/>
        </w:rPr>
        <w:t>-</w:t>
      </w:r>
      <w:r>
        <w:t xml:space="preserve"> Sentencia </w:t>
      </w:r>
      <w:hyperlink w:anchor="SENTENCIA_2024_68" w:history="1">
        <w:r w:rsidRPr="00601EEA">
          <w:rPr>
            <w:rStyle w:val="TextoNormalCaracter"/>
          </w:rPr>
          <w:t>68/2024</w:t>
        </w:r>
      </w:hyperlink>
      <w:r>
        <w:t>, f. 10.</w:t>
      </w:r>
    </w:p>
    <w:p w14:paraId="62101EF8" w14:textId="68CC2003" w:rsidR="00601EEA" w:rsidRDefault="00601EEA" w:rsidP="00601EEA">
      <w:pPr>
        <w:pStyle w:val="SangriaFrancesaArticulo"/>
      </w:pPr>
      <w:r w:rsidRPr="00601EEA">
        <w:rPr>
          <w:rStyle w:val="TextoNormalNegritaCaracter"/>
        </w:rPr>
        <w:t>Disposición final quinta inciso “salvo lo establecido en el artículo 48.1”.</w:t>
      </w:r>
      <w:r w:rsidRPr="00601EEA">
        <w:rPr>
          <w:rStyle w:val="TextoNormalCaracter"/>
        </w:rPr>
        <w:t>-</w:t>
      </w:r>
      <w:r>
        <w:t xml:space="preserve"> Sentencia </w:t>
      </w:r>
      <w:hyperlink w:anchor="SENTENCIA_2024_68" w:history="1">
        <w:r w:rsidRPr="00601EEA">
          <w:rPr>
            <w:rStyle w:val="TextoNormalCaracter"/>
          </w:rPr>
          <w:t>68/2024</w:t>
        </w:r>
      </w:hyperlink>
      <w:r>
        <w:t>, f. 2.</w:t>
      </w:r>
    </w:p>
    <w:p w14:paraId="21C52275" w14:textId="22C7B24E" w:rsidR="00601EEA" w:rsidRDefault="00601EEA" w:rsidP="00601EEA">
      <w:pPr>
        <w:pStyle w:val="TextoNormal"/>
      </w:pPr>
    </w:p>
    <w:p w14:paraId="65A867EC" w14:textId="77777777" w:rsidR="00601EEA" w:rsidRDefault="00601EEA" w:rsidP="00601EEA">
      <w:pPr>
        <w:pStyle w:val="TextoNormalNegritaCentrado"/>
        <w:suppressAutoHyphens/>
      </w:pPr>
      <w:r w:rsidRPr="00601EEA">
        <w:rPr>
          <w:rStyle w:val="TextoNormalNegritaCentradoSombreado"/>
        </w:rPr>
        <w:t>J.11) La Rioja</w:t>
      </w:r>
    </w:p>
    <w:p w14:paraId="118F0479" w14:textId="36AB5353" w:rsidR="00601EEA" w:rsidRDefault="00601EEA" w:rsidP="00601EEA">
      <w:pPr>
        <w:pStyle w:val="TextoNormal"/>
      </w:pPr>
    </w:p>
    <w:p w14:paraId="643B9E5C" w14:textId="77777777" w:rsidR="00601EEA" w:rsidRDefault="00601EEA" w:rsidP="00601EEA">
      <w:pPr>
        <w:pStyle w:val="TextoNormalNegritaCentradoSubrayado"/>
        <w:suppressAutoHyphens/>
      </w:pPr>
      <w:r>
        <w:t>J.11.b) Leyes y disposiciones con fuerza de Ley</w:t>
      </w:r>
    </w:p>
    <w:p w14:paraId="3108F46B" w14:textId="3F957879" w:rsidR="00601EEA" w:rsidRDefault="00601EEA" w:rsidP="00601EEA">
      <w:pPr>
        <w:pStyle w:val="TextoNormalNegritaCentradoSubrayado"/>
      </w:pPr>
    </w:p>
    <w:p w14:paraId="04962946" w14:textId="77777777" w:rsidR="00601EEA" w:rsidRDefault="00601EEA" w:rsidP="00601EEA">
      <w:pPr>
        <w:pStyle w:val="TextoNormalNegritaCursivandice"/>
        <w:keepNext/>
      </w:pPr>
      <w:r>
        <w:t>Comunidad Autónoma de La Rioja. Ley 5/2006, de 2 de mayo, de ordenación del territorio y urbanismo de La Rioja</w:t>
      </w:r>
    </w:p>
    <w:p w14:paraId="3D2F2253" w14:textId="5B04C4B7" w:rsidR="00601EEA" w:rsidRDefault="00601EEA" w:rsidP="00601EEA">
      <w:pPr>
        <w:pStyle w:val="SangriaFrancesaArticulo"/>
      </w:pPr>
      <w:r w:rsidRPr="00601EEA">
        <w:rPr>
          <w:rStyle w:val="TextoNormalNegritaCaracter"/>
        </w:rPr>
        <w:t>Artículo 52.</w:t>
      </w:r>
      <w:r w:rsidRPr="00601EEA">
        <w:rPr>
          <w:rStyle w:val="TextoNormalCaracter"/>
        </w:rPr>
        <w:t>-</w:t>
      </w:r>
      <w:r>
        <w:t xml:space="preserve"> Sentencia </w:t>
      </w:r>
      <w:hyperlink w:anchor="SENTENCIA_2024_25" w:history="1">
        <w:r w:rsidRPr="00601EEA">
          <w:rPr>
            <w:rStyle w:val="TextoNormalCaracter"/>
          </w:rPr>
          <w:t>25/2024</w:t>
        </w:r>
      </w:hyperlink>
      <w:r>
        <w:t>, f. 7.</w:t>
      </w:r>
    </w:p>
    <w:p w14:paraId="6F30DAAC" w14:textId="4041F3B4" w:rsidR="00601EEA" w:rsidRDefault="00601EEA" w:rsidP="00601EEA">
      <w:pPr>
        <w:pStyle w:val="TextoNormal"/>
      </w:pPr>
    </w:p>
    <w:p w14:paraId="75BDCDDA" w14:textId="77777777" w:rsidR="00601EEA" w:rsidRDefault="00601EEA" w:rsidP="00601EEA">
      <w:pPr>
        <w:pStyle w:val="TextoNormalNegritaCentrado"/>
        <w:suppressAutoHyphens/>
      </w:pPr>
      <w:r w:rsidRPr="00601EEA">
        <w:rPr>
          <w:rStyle w:val="TextoNormalNegritaCentradoSombreado"/>
        </w:rPr>
        <w:t>J.12) Madrid</w:t>
      </w:r>
    </w:p>
    <w:p w14:paraId="3B418D2D" w14:textId="5CD1BFF4" w:rsidR="00601EEA" w:rsidRDefault="00601EEA" w:rsidP="00601EEA">
      <w:pPr>
        <w:pStyle w:val="TextoNormal"/>
      </w:pPr>
    </w:p>
    <w:p w14:paraId="153FA167" w14:textId="77777777" w:rsidR="00601EEA" w:rsidRDefault="00601EEA" w:rsidP="00601EEA">
      <w:pPr>
        <w:pStyle w:val="TextoNormalNegritaCentradoSubrayado"/>
        <w:suppressAutoHyphens/>
      </w:pPr>
      <w:r>
        <w:t>J.12.a) Estatuto de Autonomía</w:t>
      </w:r>
    </w:p>
    <w:p w14:paraId="22402BDB" w14:textId="12DF229D" w:rsidR="00601EEA" w:rsidRDefault="00601EEA" w:rsidP="00601EEA">
      <w:pPr>
        <w:pStyle w:val="TextoNormalNegritaCentradoSubrayado"/>
      </w:pPr>
    </w:p>
    <w:p w14:paraId="25B3139B" w14:textId="77777777" w:rsidR="00601EEA" w:rsidRDefault="00601EEA" w:rsidP="00601EEA">
      <w:pPr>
        <w:pStyle w:val="TextoNormalNegritaCursivandice"/>
        <w:keepNext/>
      </w:pPr>
      <w:r>
        <w:t>Ley Orgánica 3/1983, de 25 de febrero, de Estatuto de Autonomía de la Comunidad de Madrid</w:t>
      </w:r>
    </w:p>
    <w:p w14:paraId="16F75AA0" w14:textId="45E0923B" w:rsidR="00601EEA" w:rsidRDefault="00601EEA" w:rsidP="00601EEA">
      <w:pPr>
        <w:pStyle w:val="SangriaFrancesaArticulo"/>
      </w:pPr>
      <w:r w:rsidRPr="00601EEA">
        <w:rPr>
          <w:rStyle w:val="TextoNormalNegritaCaracter"/>
        </w:rPr>
        <w:t>Artículo 26.1.6.</w:t>
      </w:r>
      <w:r w:rsidRPr="00601EEA">
        <w:rPr>
          <w:rStyle w:val="TextoNormalCaracter"/>
        </w:rPr>
        <w:t>-</w:t>
      </w:r>
      <w:r>
        <w:t xml:space="preserve"> Sentencia </w:t>
      </w:r>
      <w:hyperlink w:anchor="SENTENCIA_2024_88" w:history="1">
        <w:r w:rsidRPr="00601EEA">
          <w:rPr>
            <w:rStyle w:val="TextoNormalCaracter"/>
          </w:rPr>
          <w:t>88/2024</w:t>
        </w:r>
      </w:hyperlink>
      <w:r>
        <w:t>, ff. 5, 6.</w:t>
      </w:r>
    </w:p>
    <w:p w14:paraId="65244CAA" w14:textId="45F7AE8A" w:rsidR="00601EEA" w:rsidRDefault="00601EEA" w:rsidP="00601EEA">
      <w:pPr>
        <w:pStyle w:val="SangriaFrancesaArticulo"/>
      </w:pPr>
      <w:r w:rsidRPr="00601EEA">
        <w:rPr>
          <w:rStyle w:val="TextoNormalNegritaCaracter"/>
        </w:rPr>
        <w:t>Artículo 26.1.21.</w:t>
      </w:r>
      <w:r w:rsidRPr="00601EEA">
        <w:rPr>
          <w:rStyle w:val="TextoNormalCaracter"/>
        </w:rPr>
        <w:t>-</w:t>
      </w:r>
      <w:r>
        <w:t xml:space="preserve"> Sentencia </w:t>
      </w:r>
      <w:hyperlink w:anchor="SENTENCIA_2024_20" w:history="1">
        <w:r w:rsidRPr="00601EEA">
          <w:rPr>
            <w:rStyle w:val="TextoNormalCaracter"/>
          </w:rPr>
          <w:t>20/2024</w:t>
        </w:r>
      </w:hyperlink>
      <w:r>
        <w:t>, f. 1.</w:t>
      </w:r>
    </w:p>
    <w:p w14:paraId="42C378A2" w14:textId="430A167A" w:rsidR="00601EEA" w:rsidRDefault="00601EEA" w:rsidP="00601EEA">
      <w:pPr>
        <w:pStyle w:val="SangriaFrancesaArticulo"/>
      </w:pPr>
      <w:r w:rsidRPr="00601EEA">
        <w:rPr>
          <w:rStyle w:val="TextoNormalNegritaCaracter"/>
        </w:rPr>
        <w:t>Artículo 26.1.27.</w:t>
      </w:r>
      <w:r w:rsidRPr="00601EEA">
        <w:rPr>
          <w:rStyle w:val="TextoNormalCaracter"/>
        </w:rPr>
        <w:t>-</w:t>
      </w:r>
      <w:r>
        <w:t xml:space="preserve"> Sentencia </w:t>
      </w:r>
      <w:hyperlink w:anchor="SENTENCIA_2024_20" w:history="1">
        <w:r w:rsidRPr="00601EEA">
          <w:rPr>
            <w:rStyle w:val="TextoNormalCaracter"/>
          </w:rPr>
          <w:t>20/2024</w:t>
        </w:r>
      </w:hyperlink>
      <w:r>
        <w:t>, f. 1.</w:t>
      </w:r>
    </w:p>
    <w:p w14:paraId="6D773E93" w14:textId="72E1B2A5" w:rsidR="00601EEA" w:rsidRDefault="00601EEA" w:rsidP="00601EEA">
      <w:pPr>
        <w:pStyle w:val="SangriaFrancesaArticulo"/>
      </w:pPr>
      <w:r w:rsidRPr="00601EEA">
        <w:rPr>
          <w:rStyle w:val="TextoNormalNegritaCaracter"/>
        </w:rPr>
        <w:t>Artículo 26.3.1.1.</w:t>
      </w:r>
      <w:r w:rsidRPr="00601EEA">
        <w:rPr>
          <w:rStyle w:val="TextoNormalCaracter"/>
        </w:rPr>
        <w:t>-</w:t>
      </w:r>
      <w:r>
        <w:t xml:space="preserve"> Sentencia </w:t>
      </w:r>
      <w:hyperlink w:anchor="SENTENCIA_2024_20" w:history="1">
        <w:r w:rsidRPr="00601EEA">
          <w:rPr>
            <w:rStyle w:val="TextoNormalCaracter"/>
          </w:rPr>
          <w:t>20/2024</w:t>
        </w:r>
      </w:hyperlink>
      <w:r>
        <w:t>, f. 1.</w:t>
      </w:r>
    </w:p>
    <w:p w14:paraId="10F70F28" w14:textId="7D969874" w:rsidR="00601EEA" w:rsidRDefault="00601EEA" w:rsidP="00601EEA">
      <w:pPr>
        <w:pStyle w:val="SangriaFrancesaArticulo"/>
      </w:pPr>
      <w:r w:rsidRPr="00601EEA">
        <w:rPr>
          <w:rStyle w:val="TextoNormalNegritaCaracter"/>
        </w:rPr>
        <w:t>Artículo 26.3.1.2.</w:t>
      </w:r>
      <w:r w:rsidRPr="00601EEA">
        <w:rPr>
          <w:rStyle w:val="TextoNormalCaracter"/>
        </w:rPr>
        <w:t>-</w:t>
      </w:r>
      <w:r>
        <w:t xml:space="preserve"> Sentencia </w:t>
      </w:r>
      <w:hyperlink w:anchor="SENTENCIA_2024_20" w:history="1">
        <w:r w:rsidRPr="00601EEA">
          <w:rPr>
            <w:rStyle w:val="TextoNormalCaracter"/>
          </w:rPr>
          <w:t>20/2024</w:t>
        </w:r>
      </w:hyperlink>
      <w:r>
        <w:t>, f. 1.</w:t>
      </w:r>
    </w:p>
    <w:p w14:paraId="43FD6287" w14:textId="57135425" w:rsidR="00601EEA" w:rsidRDefault="00601EEA" w:rsidP="00601EEA">
      <w:pPr>
        <w:pStyle w:val="SangriaFrancesaArticulo"/>
      </w:pPr>
      <w:r w:rsidRPr="00601EEA">
        <w:rPr>
          <w:rStyle w:val="TextoNormalNegritaCaracter"/>
        </w:rPr>
        <w:t>Artículo 27.4.</w:t>
      </w:r>
      <w:r w:rsidRPr="00601EEA">
        <w:rPr>
          <w:rStyle w:val="TextoNormalCaracter"/>
        </w:rPr>
        <w:t>-</w:t>
      </w:r>
      <w:r>
        <w:t xml:space="preserve"> Sentencia </w:t>
      </w:r>
      <w:hyperlink w:anchor="SENTENCIA_2024_20" w:history="1">
        <w:r w:rsidRPr="00601EEA">
          <w:rPr>
            <w:rStyle w:val="TextoNormalCaracter"/>
          </w:rPr>
          <w:t>20/2024</w:t>
        </w:r>
      </w:hyperlink>
      <w:r>
        <w:t>, ff. 1, 4.</w:t>
      </w:r>
    </w:p>
    <w:p w14:paraId="2F5275C0" w14:textId="5E89D182" w:rsidR="00601EEA" w:rsidRDefault="00601EEA" w:rsidP="00601EEA">
      <w:pPr>
        <w:pStyle w:val="SangriaFrancesaArticulo"/>
      </w:pPr>
      <w:r w:rsidRPr="00601EEA">
        <w:rPr>
          <w:rStyle w:val="TextoNormalNegritaCaracter"/>
        </w:rPr>
        <w:t>Artículo 27.8.</w:t>
      </w:r>
      <w:r w:rsidRPr="00601EEA">
        <w:rPr>
          <w:rStyle w:val="TextoNormalCaracter"/>
        </w:rPr>
        <w:t>-</w:t>
      </w:r>
      <w:r>
        <w:t xml:space="preserve"> Sentencia </w:t>
      </w:r>
      <w:hyperlink w:anchor="SENTENCIA_2024_20" w:history="1">
        <w:r w:rsidRPr="00601EEA">
          <w:rPr>
            <w:rStyle w:val="TextoNormalCaracter"/>
          </w:rPr>
          <w:t>20/2024</w:t>
        </w:r>
      </w:hyperlink>
      <w:r>
        <w:t>, f. 1.</w:t>
      </w:r>
    </w:p>
    <w:p w14:paraId="76621879" w14:textId="310D74B0" w:rsidR="00601EEA" w:rsidRDefault="00601EEA" w:rsidP="00601EEA">
      <w:pPr>
        <w:pStyle w:val="SangriaFrancesaArticulo"/>
      </w:pPr>
      <w:r w:rsidRPr="00601EEA">
        <w:rPr>
          <w:rStyle w:val="TextoNormalNegritaCaracter"/>
        </w:rPr>
        <w:t>Artículo 28.1.13.</w:t>
      </w:r>
      <w:r w:rsidRPr="00601EEA">
        <w:rPr>
          <w:rStyle w:val="TextoNormalCaracter"/>
        </w:rPr>
        <w:t>-</w:t>
      </w:r>
      <w:r>
        <w:t xml:space="preserve"> Sentencia </w:t>
      </w:r>
      <w:hyperlink w:anchor="SENTENCIA_2024_88" w:history="1">
        <w:r w:rsidRPr="00601EEA">
          <w:rPr>
            <w:rStyle w:val="TextoNormalCaracter"/>
          </w:rPr>
          <w:t>88/2024</w:t>
        </w:r>
      </w:hyperlink>
      <w:r>
        <w:t>, f. 5.</w:t>
      </w:r>
    </w:p>
    <w:p w14:paraId="2B83D120" w14:textId="7AFA7B88" w:rsidR="00601EEA" w:rsidRDefault="00601EEA" w:rsidP="00601EEA">
      <w:pPr>
        <w:pStyle w:val="TextoNormal"/>
      </w:pPr>
    </w:p>
    <w:p w14:paraId="40D27BE4" w14:textId="77777777" w:rsidR="00601EEA" w:rsidRDefault="00601EEA" w:rsidP="00601EEA">
      <w:pPr>
        <w:pStyle w:val="TextoNormalNegritaCentradoSubrayado"/>
        <w:suppressAutoHyphens/>
      </w:pPr>
      <w:r>
        <w:t>J.12.b) Leyes y disposiciones con fuerza de Ley</w:t>
      </w:r>
    </w:p>
    <w:p w14:paraId="20B1C466" w14:textId="5EC82F7B" w:rsidR="00601EEA" w:rsidRDefault="00601EEA" w:rsidP="00601EEA">
      <w:pPr>
        <w:pStyle w:val="TextoNormalNegritaCentradoSubrayado"/>
      </w:pPr>
    </w:p>
    <w:p w14:paraId="725D1B0E" w14:textId="77777777" w:rsidR="00601EEA" w:rsidRDefault="00601EEA" w:rsidP="00601EEA">
      <w:pPr>
        <w:pStyle w:val="TextoNormalNegritaCursivandice"/>
        <w:keepNext/>
      </w:pPr>
      <w:r>
        <w:t>Comunidad de Madrid. Ley 20/1998, de 27 de noviembre, de ordenación y coordinación de los transportes urbanos de la Comunidad de Madrid</w:t>
      </w:r>
    </w:p>
    <w:p w14:paraId="68041952" w14:textId="221E3CB8"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88" w:history="1">
        <w:r w:rsidRPr="00601EEA">
          <w:rPr>
            <w:rStyle w:val="TextoNormalCaracter"/>
          </w:rPr>
          <w:t>88/2024</w:t>
        </w:r>
      </w:hyperlink>
      <w:r>
        <w:t>, f. 5.</w:t>
      </w:r>
    </w:p>
    <w:p w14:paraId="59B5389A" w14:textId="5EC9075A" w:rsidR="00601EEA" w:rsidRDefault="00601EEA" w:rsidP="00601EEA">
      <w:pPr>
        <w:pStyle w:val="SangriaFrancesaArticulo"/>
      </w:pPr>
      <w:r w:rsidRPr="00601EEA">
        <w:rPr>
          <w:rStyle w:val="TextoNormalNegritaCaracter"/>
        </w:rPr>
        <w:t>Capítulo III</w:t>
      </w:r>
      <w:r>
        <w:t xml:space="preserve"> (redactado por la Ley 5/2022, de 9 de junio)</w:t>
      </w:r>
      <w:r w:rsidRPr="00601EEA">
        <w:rPr>
          <w:rStyle w:val="TextoNormalNegritaCaracter"/>
        </w:rPr>
        <w:t>.</w:t>
      </w:r>
      <w:r w:rsidRPr="00601EEA">
        <w:rPr>
          <w:rStyle w:val="TextoNormalCaracter"/>
        </w:rPr>
        <w:t>-</w:t>
      </w:r>
      <w:r>
        <w:t xml:space="preserve"> Sentencia </w:t>
      </w:r>
      <w:hyperlink w:anchor="SENTENCIA_2024_88" w:history="1">
        <w:r w:rsidRPr="00601EEA">
          <w:rPr>
            <w:rStyle w:val="TextoNormalCaracter"/>
          </w:rPr>
          <w:t>88/2024</w:t>
        </w:r>
      </w:hyperlink>
      <w:r>
        <w:t>, f. 2.</w:t>
      </w:r>
    </w:p>
    <w:p w14:paraId="5D6B640D" w14:textId="0D0FB811" w:rsidR="00601EEA" w:rsidRDefault="00601EEA" w:rsidP="00601EEA">
      <w:pPr>
        <w:pStyle w:val="SangriaFrancesaArticulo"/>
      </w:pPr>
      <w:r w:rsidRPr="00601EEA">
        <w:rPr>
          <w:rStyle w:val="TextoNormalNegritaCaracter"/>
        </w:rPr>
        <w:t>Capítulo III, sección primera</w:t>
      </w:r>
      <w:r>
        <w:t xml:space="preserve"> (redactada por la Ley 5/2022, de 9 de junio)</w:t>
      </w:r>
      <w:r w:rsidRPr="00601EEA">
        <w:rPr>
          <w:rStyle w:val="TextoNormalNegritaCaracter"/>
        </w:rPr>
        <w:t>.</w:t>
      </w:r>
      <w:r w:rsidRPr="00601EEA">
        <w:rPr>
          <w:rStyle w:val="TextoNormalCaracter"/>
        </w:rPr>
        <w:t>-</w:t>
      </w:r>
      <w:r>
        <w:t xml:space="preserve"> Sentencia </w:t>
      </w:r>
      <w:hyperlink w:anchor="SENTENCIA_2024_88" w:history="1">
        <w:r w:rsidRPr="00601EEA">
          <w:rPr>
            <w:rStyle w:val="TextoNormalCaracter"/>
          </w:rPr>
          <w:t>88/2024</w:t>
        </w:r>
      </w:hyperlink>
      <w:r>
        <w:t>, f. 2.</w:t>
      </w:r>
    </w:p>
    <w:p w14:paraId="405A1591" w14:textId="5E0E0341" w:rsidR="00601EEA" w:rsidRDefault="00601EEA" w:rsidP="00601EEA">
      <w:pPr>
        <w:pStyle w:val="SangriaFrancesaArticulo"/>
      </w:pPr>
      <w:r w:rsidRPr="00601EEA">
        <w:rPr>
          <w:rStyle w:val="TextoNormalNegritaCaracter"/>
        </w:rPr>
        <w:t>Capítulo III, sección segunda</w:t>
      </w:r>
      <w:r>
        <w:t xml:space="preserve"> (redactada por la Ley 5/2022, de 9 de junio)</w:t>
      </w:r>
      <w:r w:rsidRPr="00601EEA">
        <w:rPr>
          <w:rStyle w:val="TextoNormalNegritaCaracter"/>
        </w:rPr>
        <w:t>.</w:t>
      </w:r>
      <w:r w:rsidRPr="00601EEA">
        <w:rPr>
          <w:rStyle w:val="TextoNormalCaracter"/>
        </w:rPr>
        <w:t>-</w:t>
      </w:r>
      <w:r>
        <w:t xml:space="preserve"> Sentencia </w:t>
      </w:r>
      <w:hyperlink w:anchor="SENTENCIA_2024_88" w:history="1">
        <w:r w:rsidRPr="00601EEA">
          <w:rPr>
            <w:rStyle w:val="TextoNormalCaracter"/>
          </w:rPr>
          <w:t>88/2024</w:t>
        </w:r>
      </w:hyperlink>
      <w:r>
        <w:t>, ff. 1, 2.</w:t>
      </w:r>
    </w:p>
    <w:p w14:paraId="03490A60" w14:textId="6ADF08D0" w:rsidR="00601EEA" w:rsidRDefault="00601EEA" w:rsidP="00601EEA">
      <w:pPr>
        <w:pStyle w:val="SangriaFrancesaArticulo"/>
      </w:pPr>
      <w:r w:rsidRPr="00601EEA">
        <w:rPr>
          <w:rStyle w:val="TextoNormalNegritaCaracter"/>
        </w:rPr>
        <w:t>Preámbulo.</w:t>
      </w:r>
      <w:r w:rsidRPr="00601EEA">
        <w:rPr>
          <w:rStyle w:val="TextoNormalCaracter"/>
        </w:rPr>
        <w:t>-</w:t>
      </w:r>
      <w:r>
        <w:t xml:space="preserve"> Sentencia </w:t>
      </w:r>
      <w:hyperlink w:anchor="SENTENCIA_2024_88" w:history="1">
        <w:r w:rsidRPr="00601EEA">
          <w:rPr>
            <w:rStyle w:val="TextoNormalCaracter"/>
          </w:rPr>
          <w:t>88/2024</w:t>
        </w:r>
      </w:hyperlink>
      <w:r>
        <w:t>, f. 5.</w:t>
      </w:r>
    </w:p>
    <w:p w14:paraId="3685CBE5" w14:textId="7F18871C" w:rsidR="00601EEA" w:rsidRDefault="00601EEA" w:rsidP="00601EEA">
      <w:pPr>
        <w:pStyle w:val="SangriaFrancesaArticulo"/>
      </w:pPr>
      <w:r w:rsidRPr="00601EEA">
        <w:rPr>
          <w:rStyle w:val="TextoNormalNegritaCaracter"/>
        </w:rPr>
        <w:t>Artículo 1.</w:t>
      </w:r>
      <w:r w:rsidRPr="00601EEA">
        <w:rPr>
          <w:rStyle w:val="TextoNormalCaracter"/>
        </w:rPr>
        <w:t>-</w:t>
      </w:r>
      <w:r>
        <w:t xml:space="preserve"> Sentencia </w:t>
      </w:r>
      <w:hyperlink w:anchor="SENTENCIA_2024_88" w:history="1">
        <w:r w:rsidRPr="00601EEA">
          <w:rPr>
            <w:rStyle w:val="TextoNormalCaracter"/>
          </w:rPr>
          <w:t>88/2024</w:t>
        </w:r>
      </w:hyperlink>
      <w:r>
        <w:t>, ff. 2, 5.</w:t>
      </w:r>
    </w:p>
    <w:p w14:paraId="793B0C70" w14:textId="3D7598E5" w:rsidR="00601EEA" w:rsidRDefault="00601EEA" w:rsidP="00601EEA">
      <w:pPr>
        <w:pStyle w:val="SangriaFrancesaArticulo"/>
      </w:pPr>
      <w:r w:rsidRPr="00601EEA">
        <w:rPr>
          <w:rStyle w:val="TextoNormalNegritaCaracter"/>
        </w:rPr>
        <w:t>Artículo 2.</w:t>
      </w:r>
      <w:r w:rsidRPr="00601EEA">
        <w:rPr>
          <w:rStyle w:val="TextoNormalCaracter"/>
        </w:rPr>
        <w:t>-</w:t>
      </w:r>
      <w:r>
        <w:t xml:space="preserve"> Sentencia </w:t>
      </w:r>
      <w:hyperlink w:anchor="SENTENCIA_2024_88" w:history="1">
        <w:r w:rsidRPr="00601EEA">
          <w:rPr>
            <w:rStyle w:val="TextoNormalCaracter"/>
          </w:rPr>
          <w:t>88/2024</w:t>
        </w:r>
      </w:hyperlink>
      <w:r>
        <w:t>, f. 2.</w:t>
      </w:r>
    </w:p>
    <w:p w14:paraId="70AA40BA" w14:textId="429FE395" w:rsidR="00601EEA" w:rsidRDefault="00601EEA" w:rsidP="00601EEA">
      <w:pPr>
        <w:pStyle w:val="SangriaFrancesaArticulo"/>
      </w:pPr>
      <w:r w:rsidRPr="00601EEA">
        <w:rPr>
          <w:rStyle w:val="TextoNormalNegritaCaracter"/>
        </w:rPr>
        <w:t>Artículo 9.</w:t>
      </w:r>
      <w:r w:rsidRPr="00601EEA">
        <w:rPr>
          <w:rStyle w:val="TextoNormalCaracter"/>
        </w:rPr>
        <w:t>-</w:t>
      </w:r>
      <w:r>
        <w:t xml:space="preserve"> Sentencia </w:t>
      </w:r>
      <w:hyperlink w:anchor="SENTENCIA_2024_88" w:history="1">
        <w:r w:rsidRPr="00601EEA">
          <w:rPr>
            <w:rStyle w:val="TextoNormalCaracter"/>
          </w:rPr>
          <w:t>88/2024</w:t>
        </w:r>
      </w:hyperlink>
      <w:r>
        <w:t>, f. 6.</w:t>
      </w:r>
    </w:p>
    <w:p w14:paraId="480B0A45" w14:textId="6CF45748" w:rsidR="00601EEA" w:rsidRDefault="00601EEA" w:rsidP="00601EEA">
      <w:pPr>
        <w:pStyle w:val="SangriaFrancesaArticulo"/>
      </w:pPr>
      <w:r w:rsidRPr="00601EEA">
        <w:rPr>
          <w:rStyle w:val="TextoNormalNegritaCaracter"/>
        </w:rPr>
        <w:t>Artículo 14 quater</w:t>
      </w:r>
      <w:r>
        <w:t xml:space="preserve"> (redactado por la Ley 11/2023, de 12 de abril)</w:t>
      </w:r>
      <w:r w:rsidRPr="00601EEA">
        <w:rPr>
          <w:rStyle w:val="TextoNormalNegritaCaracter"/>
        </w:rPr>
        <w:t>.</w:t>
      </w:r>
      <w:r w:rsidRPr="00601EEA">
        <w:rPr>
          <w:rStyle w:val="TextoNormalCaracter"/>
        </w:rPr>
        <w:t>-</w:t>
      </w:r>
      <w:r>
        <w:t xml:space="preserve"> Sentencia </w:t>
      </w:r>
      <w:hyperlink w:anchor="SENTENCIA_2024_88" w:history="1">
        <w:r w:rsidRPr="00601EEA">
          <w:rPr>
            <w:rStyle w:val="TextoNormalCaracter"/>
          </w:rPr>
          <w:t>88/2024</w:t>
        </w:r>
      </w:hyperlink>
      <w:r>
        <w:t>, ff. 3, 7.</w:t>
      </w:r>
    </w:p>
    <w:p w14:paraId="2684E1B5" w14:textId="2ACCF677" w:rsidR="00601EEA" w:rsidRDefault="00601EEA" w:rsidP="00601EEA">
      <w:pPr>
        <w:pStyle w:val="SangriaFrancesaArticulo"/>
      </w:pPr>
      <w:r w:rsidRPr="00601EEA">
        <w:rPr>
          <w:rStyle w:val="TextoNormalNegritaCaracter"/>
        </w:rPr>
        <w:lastRenderedPageBreak/>
        <w:t>Artículo 14 quater</w:t>
      </w:r>
      <w:r>
        <w:t xml:space="preserve"> (redactado por la Ley 5/2022, de 9 de junio)</w:t>
      </w:r>
      <w:r w:rsidRPr="00601EEA">
        <w:rPr>
          <w:rStyle w:val="TextoNormalNegritaCaracter"/>
        </w:rPr>
        <w:t>.</w:t>
      </w:r>
      <w:r w:rsidRPr="00601EEA">
        <w:rPr>
          <w:rStyle w:val="TextoNormalCaracter"/>
        </w:rPr>
        <w:t>-</w:t>
      </w:r>
      <w:r>
        <w:t xml:space="preserve"> Sentencia </w:t>
      </w:r>
      <w:hyperlink w:anchor="SENTENCIA_2024_88" w:history="1">
        <w:r w:rsidRPr="00601EEA">
          <w:rPr>
            <w:rStyle w:val="TextoNormalCaracter"/>
          </w:rPr>
          <w:t>88/2024</w:t>
        </w:r>
      </w:hyperlink>
      <w:r>
        <w:t>, ff. 1 a 3, 5, 6.</w:t>
      </w:r>
    </w:p>
    <w:p w14:paraId="3C2A1029" w14:textId="457A287F" w:rsidR="00601EEA" w:rsidRDefault="00601EEA" w:rsidP="00601EEA">
      <w:pPr>
        <w:pStyle w:val="SangriaFrancesaArticulo"/>
      </w:pPr>
      <w:r w:rsidRPr="00601EEA">
        <w:rPr>
          <w:rStyle w:val="TextoNormalNegritaCaracter"/>
        </w:rPr>
        <w:t>Artículo 14 ter</w:t>
      </w:r>
      <w:r>
        <w:t xml:space="preserve"> (redactado por la Ley 11/2023, de 12 de abril)</w:t>
      </w:r>
      <w:r w:rsidRPr="00601EEA">
        <w:rPr>
          <w:rStyle w:val="TextoNormalNegritaCaracter"/>
        </w:rPr>
        <w:t>.</w:t>
      </w:r>
      <w:r w:rsidRPr="00601EEA">
        <w:rPr>
          <w:rStyle w:val="TextoNormalCaracter"/>
        </w:rPr>
        <w:t>-</w:t>
      </w:r>
      <w:r>
        <w:t xml:space="preserve"> Sentencia </w:t>
      </w:r>
      <w:hyperlink w:anchor="SENTENCIA_2024_88" w:history="1">
        <w:r w:rsidRPr="00601EEA">
          <w:rPr>
            <w:rStyle w:val="TextoNormalCaracter"/>
          </w:rPr>
          <w:t>88/2024</w:t>
        </w:r>
      </w:hyperlink>
      <w:r>
        <w:t>, ff. 3, 7.</w:t>
      </w:r>
    </w:p>
    <w:p w14:paraId="177A8429" w14:textId="68FF2B5A" w:rsidR="00601EEA" w:rsidRDefault="00601EEA" w:rsidP="00601EEA">
      <w:pPr>
        <w:pStyle w:val="SangriaFrancesaArticulo"/>
      </w:pPr>
      <w:r w:rsidRPr="00601EEA">
        <w:rPr>
          <w:rStyle w:val="TextoNormalNegritaCaracter"/>
        </w:rPr>
        <w:t>Artículo 14 ter</w:t>
      </w:r>
      <w:r>
        <w:t xml:space="preserve"> (redactado por la Ley 5/2022, de 9 de junio)</w:t>
      </w:r>
      <w:r w:rsidRPr="00601EEA">
        <w:rPr>
          <w:rStyle w:val="TextoNormalNegritaCaracter"/>
        </w:rPr>
        <w:t>.</w:t>
      </w:r>
      <w:r w:rsidRPr="00601EEA">
        <w:rPr>
          <w:rStyle w:val="TextoNormalCaracter"/>
        </w:rPr>
        <w:t>-</w:t>
      </w:r>
      <w:r>
        <w:t xml:space="preserve"> Sentencia </w:t>
      </w:r>
      <w:hyperlink w:anchor="SENTENCIA_2024_88" w:history="1">
        <w:r w:rsidRPr="00601EEA">
          <w:rPr>
            <w:rStyle w:val="TextoNormalCaracter"/>
          </w:rPr>
          <w:t>88/2024</w:t>
        </w:r>
      </w:hyperlink>
      <w:r>
        <w:t>, ff. 1 a 3, 5, 6.</w:t>
      </w:r>
    </w:p>
    <w:p w14:paraId="2563F979" w14:textId="0BA34B45" w:rsidR="00601EEA" w:rsidRDefault="00601EEA" w:rsidP="00601EEA">
      <w:pPr>
        <w:pStyle w:val="SangriaFrancesaArticulo"/>
      </w:pPr>
      <w:r w:rsidRPr="00601EEA">
        <w:rPr>
          <w:rStyle w:val="TextoNormalNegritaCaracter"/>
        </w:rPr>
        <w:t>Artículo 14 ter.1</w:t>
      </w:r>
      <w:r>
        <w:t xml:space="preserve"> (redactado por la Ley 5/2022, de 9 de junio)</w:t>
      </w:r>
      <w:r w:rsidRPr="00601EEA">
        <w:rPr>
          <w:rStyle w:val="TextoNormalNegritaCaracter"/>
        </w:rPr>
        <w:t>.</w:t>
      </w:r>
      <w:r w:rsidRPr="00601EEA">
        <w:rPr>
          <w:rStyle w:val="TextoNormalCaracter"/>
        </w:rPr>
        <w:t>-</w:t>
      </w:r>
      <w:r>
        <w:t xml:space="preserve"> Sentencia </w:t>
      </w:r>
      <w:hyperlink w:anchor="SENTENCIA_2024_88" w:history="1">
        <w:r w:rsidRPr="00601EEA">
          <w:rPr>
            <w:rStyle w:val="TextoNormalCaracter"/>
          </w:rPr>
          <w:t>88/2024</w:t>
        </w:r>
      </w:hyperlink>
      <w:r>
        <w:t>, f. 6.</w:t>
      </w:r>
    </w:p>
    <w:p w14:paraId="73A71FB3" w14:textId="2BF1ABEE" w:rsidR="00601EEA" w:rsidRDefault="00601EEA" w:rsidP="00601EEA">
      <w:pPr>
        <w:pStyle w:val="SangriaFrancesaArticulo"/>
      </w:pPr>
      <w:r w:rsidRPr="00601EEA">
        <w:rPr>
          <w:rStyle w:val="TextoNormalNegritaCaracter"/>
        </w:rPr>
        <w:t>Artículo 14 ter.2</w:t>
      </w:r>
      <w:r>
        <w:t xml:space="preserve"> (redactado por la Ley 5/2022, de 9 de junio)</w:t>
      </w:r>
      <w:r w:rsidRPr="00601EEA">
        <w:rPr>
          <w:rStyle w:val="TextoNormalNegritaCaracter"/>
        </w:rPr>
        <w:t>.</w:t>
      </w:r>
      <w:r w:rsidRPr="00601EEA">
        <w:rPr>
          <w:rStyle w:val="TextoNormalCaracter"/>
        </w:rPr>
        <w:t>-</w:t>
      </w:r>
      <w:r>
        <w:t xml:space="preserve"> Sentencia </w:t>
      </w:r>
      <w:hyperlink w:anchor="SENTENCIA_2024_88" w:history="1">
        <w:r w:rsidRPr="00601EEA">
          <w:rPr>
            <w:rStyle w:val="TextoNormalCaracter"/>
          </w:rPr>
          <w:t>88/2024</w:t>
        </w:r>
      </w:hyperlink>
      <w:r>
        <w:t>, f. 6.</w:t>
      </w:r>
    </w:p>
    <w:p w14:paraId="00C2FD6F" w14:textId="579EFE46" w:rsidR="00601EEA" w:rsidRDefault="00601EEA" w:rsidP="00601EEA">
      <w:pPr>
        <w:pStyle w:val="SangriaFrancesaArticulo"/>
      </w:pPr>
      <w:r w:rsidRPr="00601EEA">
        <w:rPr>
          <w:rStyle w:val="TextoNormalNegritaCaracter"/>
        </w:rPr>
        <w:t>Artículo 16.1, primer párrafo</w:t>
      </w:r>
      <w:r>
        <w:t xml:space="preserve"> (redactada por la Ley 5/2022, de 9 de junio)</w:t>
      </w:r>
      <w:r w:rsidRPr="00601EEA">
        <w:rPr>
          <w:rStyle w:val="TextoNormalNegritaCaracter"/>
        </w:rPr>
        <w:t>.</w:t>
      </w:r>
      <w:r w:rsidRPr="00601EEA">
        <w:rPr>
          <w:rStyle w:val="TextoNormalCaracter"/>
        </w:rPr>
        <w:t>-</w:t>
      </w:r>
      <w:r>
        <w:t xml:space="preserve"> Sentencia </w:t>
      </w:r>
      <w:hyperlink w:anchor="SENTENCIA_2024_88" w:history="1">
        <w:r w:rsidRPr="00601EEA">
          <w:rPr>
            <w:rStyle w:val="TextoNormalCaracter"/>
          </w:rPr>
          <w:t>88/2024</w:t>
        </w:r>
      </w:hyperlink>
      <w:r>
        <w:t>, f. 2.</w:t>
      </w:r>
    </w:p>
    <w:p w14:paraId="006B3C84" w14:textId="2731A23E" w:rsidR="00601EEA" w:rsidRDefault="00601EEA" w:rsidP="00601EEA">
      <w:pPr>
        <w:pStyle w:val="SangriaFrancesaArticulo"/>
      </w:pPr>
      <w:r w:rsidRPr="00601EEA">
        <w:rPr>
          <w:rStyle w:val="TextoNormalNegritaCaracter"/>
        </w:rPr>
        <w:t>Disposición adicional cuarta</w:t>
      </w:r>
      <w:r>
        <w:t xml:space="preserve"> (redactada por la Ley 5/2022, de 9 de junio)</w:t>
      </w:r>
      <w:r w:rsidRPr="00601EEA">
        <w:rPr>
          <w:rStyle w:val="TextoNormalNegritaCaracter"/>
        </w:rPr>
        <w:t>.</w:t>
      </w:r>
      <w:r w:rsidRPr="00601EEA">
        <w:rPr>
          <w:rStyle w:val="TextoNormalCaracter"/>
        </w:rPr>
        <w:t>-</w:t>
      </w:r>
      <w:r>
        <w:t xml:space="preserve"> Sentencia </w:t>
      </w:r>
      <w:hyperlink w:anchor="SENTENCIA_2024_88" w:history="1">
        <w:r w:rsidRPr="00601EEA">
          <w:rPr>
            <w:rStyle w:val="TextoNormalCaracter"/>
          </w:rPr>
          <w:t>88/2024</w:t>
        </w:r>
      </w:hyperlink>
      <w:r>
        <w:t>, ff. 1 a 3, 5 a 7.</w:t>
      </w:r>
    </w:p>
    <w:p w14:paraId="1CBF84BC" w14:textId="7A53EAFF" w:rsidR="00601EEA" w:rsidRDefault="00601EEA" w:rsidP="00601EEA">
      <w:pPr>
        <w:pStyle w:val="SangriaFrancesaArticulo"/>
      </w:pPr>
    </w:p>
    <w:p w14:paraId="1A10CEA9" w14:textId="77777777" w:rsidR="00601EEA" w:rsidRDefault="00601EEA" w:rsidP="00601EEA">
      <w:pPr>
        <w:pStyle w:val="TextoNormalNegritaCursivandice"/>
        <w:keepNext/>
      </w:pPr>
      <w:r>
        <w:t>Comunidad de Madrid. Ley 9/2001, de 17 de julio, del suelo, de la Comunidad de Madrid</w:t>
      </w:r>
    </w:p>
    <w:p w14:paraId="25C56606" w14:textId="5E17B1C4"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29" w:history="1">
        <w:r w:rsidRPr="00601EEA">
          <w:rPr>
            <w:rStyle w:val="TextoNormalCaracter"/>
          </w:rPr>
          <w:t>29/2024</w:t>
        </w:r>
      </w:hyperlink>
      <w:r>
        <w:t>, ff. 1, 2.</w:t>
      </w:r>
    </w:p>
    <w:p w14:paraId="300D12F5" w14:textId="009D1899" w:rsidR="00601EEA" w:rsidRDefault="00601EEA" w:rsidP="00601EEA">
      <w:pPr>
        <w:pStyle w:val="SangriaFrancesaArticulo"/>
      </w:pPr>
    </w:p>
    <w:p w14:paraId="1AE609B5" w14:textId="77777777" w:rsidR="00601EEA" w:rsidRDefault="00601EEA" w:rsidP="00601EEA">
      <w:pPr>
        <w:pStyle w:val="TextoNormalNegritaCursivandice"/>
        <w:keepNext/>
      </w:pPr>
      <w:r>
        <w:t>Comunidad de Madrid. Ley 1/2020, de 8 de octubre, por la que se modifica la Ley 9/2001, de 17 de julio, del suelo de la Comunidad de Madrid, para el impulso y reactivación de la actividad urbanística</w:t>
      </w:r>
    </w:p>
    <w:p w14:paraId="13BE3615" w14:textId="2262424B"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29" w:history="1">
        <w:r w:rsidRPr="00601EEA">
          <w:rPr>
            <w:rStyle w:val="TextoNormalCaracter"/>
          </w:rPr>
          <w:t>29/2024</w:t>
        </w:r>
      </w:hyperlink>
      <w:r>
        <w:t>, ff. 1, 2.</w:t>
      </w:r>
    </w:p>
    <w:p w14:paraId="0CA59B29" w14:textId="483E292B" w:rsidR="00601EEA" w:rsidRDefault="00601EEA" w:rsidP="00601EEA">
      <w:pPr>
        <w:pStyle w:val="SangriaFrancesaArticulo"/>
      </w:pPr>
    </w:p>
    <w:p w14:paraId="7146E425" w14:textId="77777777" w:rsidR="00601EEA" w:rsidRDefault="00601EEA" w:rsidP="00601EEA">
      <w:pPr>
        <w:pStyle w:val="TextoNormalNegritaCursivandice"/>
        <w:keepNext/>
      </w:pPr>
      <w:r>
        <w:t>Comunidad de Madrid. Ley 5/2022, de 9 de junio, por la que se modifica la Ley 20/1998, de 27 de noviembre, de ordenación y coordinación de los transportes urbanos de la Comunidad de Madrid</w:t>
      </w:r>
    </w:p>
    <w:p w14:paraId="39D8EC8E" w14:textId="5D3A9EB5"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88" w:history="1">
        <w:r w:rsidRPr="00601EEA">
          <w:rPr>
            <w:rStyle w:val="TextoNormalCaracter"/>
          </w:rPr>
          <w:t>88/2024</w:t>
        </w:r>
      </w:hyperlink>
      <w:r>
        <w:t>, ff. 1, 3, 5 a 7.</w:t>
      </w:r>
    </w:p>
    <w:p w14:paraId="2C37BE08" w14:textId="3B7970F6" w:rsidR="00601EEA" w:rsidRDefault="00601EEA" w:rsidP="00601EEA">
      <w:pPr>
        <w:pStyle w:val="SangriaFrancesaArticulo"/>
      </w:pPr>
      <w:r w:rsidRPr="00601EEA">
        <w:rPr>
          <w:rStyle w:val="TextoNormalNegritaCaracter"/>
        </w:rPr>
        <w:t>Preámbulo.</w:t>
      </w:r>
      <w:r w:rsidRPr="00601EEA">
        <w:rPr>
          <w:rStyle w:val="TextoNormalCaracter"/>
        </w:rPr>
        <w:t>-</w:t>
      </w:r>
      <w:r>
        <w:t xml:space="preserve"> Sentencia </w:t>
      </w:r>
      <w:hyperlink w:anchor="SENTENCIA_2024_88" w:history="1">
        <w:r w:rsidRPr="00601EEA">
          <w:rPr>
            <w:rStyle w:val="TextoNormalCaracter"/>
          </w:rPr>
          <w:t>88/2024</w:t>
        </w:r>
      </w:hyperlink>
      <w:r>
        <w:t>, ff. 2, 4.</w:t>
      </w:r>
    </w:p>
    <w:p w14:paraId="1451976B" w14:textId="5D5F96A4" w:rsidR="00601EEA" w:rsidRDefault="00601EEA" w:rsidP="00601EEA">
      <w:pPr>
        <w:pStyle w:val="SangriaFrancesaArticulo"/>
      </w:pPr>
      <w:r w:rsidRPr="00601EEA">
        <w:rPr>
          <w:rStyle w:val="TextoNormalNegritaCaracter"/>
        </w:rPr>
        <w:t>Artículo único.</w:t>
      </w:r>
      <w:r w:rsidRPr="00601EEA">
        <w:rPr>
          <w:rStyle w:val="TextoNormalCaracter"/>
        </w:rPr>
        <w:t>-</w:t>
      </w:r>
      <w:r>
        <w:t xml:space="preserve"> Sentencia </w:t>
      </w:r>
      <w:hyperlink w:anchor="SENTENCIA_2024_88" w:history="1">
        <w:r w:rsidRPr="00601EEA">
          <w:rPr>
            <w:rStyle w:val="TextoNormalCaracter"/>
          </w:rPr>
          <w:t>88/2024</w:t>
        </w:r>
      </w:hyperlink>
      <w:r>
        <w:t>, f. 2.</w:t>
      </w:r>
    </w:p>
    <w:p w14:paraId="46060C57" w14:textId="776F33BB" w:rsidR="00601EEA" w:rsidRDefault="00601EEA" w:rsidP="00601EEA">
      <w:pPr>
        <w:pStyle w:val="SangriaFrancesaArticulo"/>
      </w:pPr>
      <w:r w:rsidRPr="00601EEA">
        <w:rPr>
          <w:rStyle w:val="TextoNormalNegritaCaracter"/>
        </w:rPr>
        <w:t>Artículo único, apartado 1.</w:t>
      </w:r>
      <w:r w:rsidRPr="00601EEA">
        <w:rPr>
          <w:rStyle w:val="TextoNormalCaracter"/>
        </w:rPr>
        <w:t>-</w:t>
      </w:r>
      <w:r>
        <w:t xml:space="preserve"> Sentencia </w:t>
      </w:r>
      <w:hyperlink w:anchor="SENTENCIA_2024_88" w:history="1">
        <w:r w:rsidRPr="00601EEA">
          <w:rPr>
            <w:rStyle w:val="TextoNormalCaracter"/>
          </w:rPr>
          <w:t>88/2024</w:t>
        </w:r>
      </w:hyperlink>
      <w:r>
        <w:t>, f. 2.</w:t>
      </w:r>
    </w:p>
    <w:p w14:paraId="49DCB357" w14:textId="2711DEF9" w:rsidR="00601EEA" w:rsidRDefault="00601EEA" w:rsidP="00601EEA">
      <w:pPr>
        <w:pStyle w:val="SangriaFrancesaArticulo"/>
      </w:pPr>
      <w:r w:rsidRPr="00601EEA">
        <w:rPr>
          <w:rStyle w:val="TextoNormalNegritaCaracter"/>
        </w:rPr>
        <w:t>Artículo único, apartado 2.</w:t>
      </w:r>
      <w:r w:rsidRPr="00601EEA">
        <w:rPr>
          <w:rStyle w:val="TextoNormalCaracter"/>
        </w:rPr>
        <w:t>-</w:t>
      </w:r>
      <w:r>
        <w:t xml:space="preserve"> Sentencia </w:t>
      </w:r>
      <w:hyperlink w:anchor="SENTENCIA_2024_88" w:history="1">
        <w:r w:rsidRPr="00601EEA">
          <w:rPr>
            <w:rStyle w:val="TextoNormalCaracter"/>
          </w:rPr>
          <w:t>88/2024</w:t>
        </w:r>
      </w:hyperlink>
      <w:r>
        <w:t>, f. 2.</w:t>
      </w:r>
    </w:p>
    <w:p w14:paraId="1C10AB5B" w14:textId="6479B6BD" w:rsidR="00601EEA" w:rsidRDefault="00601EEA" w:rsidP="00601EEA">
      <w:pPr>
        <w:pStyle w:val="SangriaFrancesaArticulo"/>
      </w:pPr>
      <w:r w:rsidRPr="00601EEA">
        <w:rPr>
          <w:rStyle w:val="TextoNormalNegritaCaracter"/>
        </w:rPr>
        <w:t>Artículo único, apartado 3.</w:t>
      </w:r>
      <w:r w:rsidRPr="00601EEA">
        <w:rPr>
          <w:rStyle w:val="TextoNormalCaracter"/>
        </w:rPr>
        <w:t>-</w:t>
      </w:r>
      <w:r>
        <w:t xml:space="preserve"> Sentencia </w:t>
      </w:r>
      <w:hyperlink w:anchor="SENTENCIA_2024_88" w:history="1">
        <w:r w:rsidRPr="00601EEA">
          <w:rPr>
            <w:rStyle w:val="TextoNormalCaracter"/>
          </w:rPr>
          <w:t>88/2024</w:t>
        </w:r>
      </w:hyperlink>
      <w:r>
        <w:t>, f. 2.</w:t>
      </w:r>
    </w:p>
    <w:p w14:paraId="5690FD22" w14:textId="0AB4A9DB" w:rsidR="00601EEA" w:rsidRDefault="00601EEA" w:rsidP="00601EEA">
      <w:pPr>
        <w:pStyle w:val="SangriaFrancesaArticulo"/>
      </w:pPr>
      <w:r w:rsidRPr="00601EEA">
        <w:rPr>
          <w:rStyle w:val="TextoNormalNegritaCaracter"/>
        </w:rPr>
        <w:t>Artículo único, apartado 4.</w:t>
      </w:r>
      <w:r w:rsidRPr="00601EEA">
        <w:rPr>
          <w:rStyle w:val="TextoNormalCaracter"/>
        </w:rPr>
        <w:t>-</w:t>
      </w:r>
      <w:r>
        <w:t xml:space="preserve"> Sentencia </w:t>
      </w:r>
      <w:hyperlink w:anchor="SENTENCIA_2024_88" w:history="1">
        <w:r w:rsidRPr="00601EEA">
          <w:rPr>
            <w:rStyle w:val="TextoNormalCaracter"/>
          </w:rPr>
          <w:t>88/2024</w:t>
        </w:r>
      </w:hyperlink>
      <w:r>
        <w:t>, ff. 2, 3, 5.</w:t>
      </w:r>
    </w:p>
    <w:p w14:paraId="525EF976" w14:textId="09FAFEBA" w:rsidR="00601EEA" w:rsidRDefault="00601EEA" w:rsidP="00601EEA">
      <w:pPr>
        <w:pStyle w:val="SangriaFrancesaArticulo"/>
      </w:pPr>
      <w:r w:rsidRPr="00601EEA">
        <w:rPr>
          <w:rStyle w:val="TextoNormalNegritaCaracter"/>
        </w:rPr>
        <w:t>Artículo único, apartado 5.</w:t>
      </w:r>
      <w:r w:rsidRPr="00601EEA">
        <w:rPr>
          <w:rStyle w:val="TextoNormalCaracter"/>
        </w:rPr>
        <w:t>-</w:t>
      </w:r>
      <w:r>
        <w:t xml:space="preserve"> Sentencia </w:t>
      </w:r>
      <w:hyperlink w:anchor="SENTENCIA_2024_88" w:history="1">
        <w:r w:rsidRPr="00601EEA">
          <w:rPr>
            <w:rStyle w:val="TextoNormalCaracter"/>
          </w:rPr>
          <w:t>88/2024</w:t>
        </w:r>
      </w:hyperlink>
      <w:r>
        <w:t>, ff. 2, 3, 5.</w:t>
      </w:r>
    </w:p>
    <w:p w14:paraId="2D3737EA" w14:textId="339FEDFE" w:rsidR="00601EEA" w:rsidRDefault="00601EEA" w:rsidP="00601EEA">
      <w:pPr>
        <w:pStyle w:val="SangriaFrancesaArticulo"/>
      </w:pPr>
      <w:r w:rsidRPr="00601EEA">
        <w:rPr>
          <w:rStyle w:val="TextoNormalNegritaCaracter"/>
        </w:rPr>
        <w:t>Artículo único, apartado 6.</w:t>
      </w:r>
      <w:r w:rsidRPr="00601EEA">
        <w:rPr>
          <w:rStyle w:val="TextoNormalCaracter"/>
        </w:rPr>
        <w:t>-</w:t>
      </w:r>
      <w:r>
        <w:t xml:space="preserve"> Sentencia </w:t>
      </w:r>
      <w:hyperlink w:anchor="SENTENCIA_2024_88" w:history="1">
        <w:r w:rsidRPr="00601EEA">
          <w:rPr>
            <w:rStyle w:val="TextoNormalCaracter"/>
          </w:rPr>
          <w:t>88/2024</w:t>
        </w:r>
      </w:hyperlink>
      <w:r>
        <w:t>, f. 2.</w:t>
      </w:r>
    </w:p>
    <w:p w14:paraId="7E253338" w14:textId="1E51B5AF" w:rsidR="00601EEA" w:rsidRDefault="00601EEA" w:rsidP="00601EEA">
      <w:pPr>
        <w:pStyle w:val="SangriaFrancesaArticulo"/>
      </w:pPr>
      <w:r w:rsidRPr="00601EEA">
        <w:rPr>
          <w:rStyle w:val="TextoNormalNegritaCaracter"/>
        </w:rPr>
        <w:t>Artículo único, apartado 7.</w:t>
      </w:r>
      <w:r w:rsidRPr="00601EEA">
        <w:rPr>
          <w:rStyle w:val="TextoNormalCaracter"/>
        </w:rPr>
        <w:t>-</w:t>
      </w:r>
      <w:r>
        <w:t xml:space="preserve"> Sentencia </w:t>
      </w:r>
      <w:hyperlink w:anchor="SENTENCIA_2024_88" w:history="1">
        <w:r w:rsidRPr="00601EEA">
          <w:rPr>
            <w:rStyle w:val="TextoNormalCaracter"/>
          </w:rPr>
          <w:t>88/2024</w:t>
        </w:r>
      </w:hyperlink>
      <w:r>
        <w:t>, ff. 2, 3, 5.</w:t>
      </w:r>
    </w:p>
    <w:p w14:paraId="66BB4EDE" w14:textId="6CD24197" w:rsidR="00601EEA" w:rsidRDefault="00601EEA" w:rsidP="00601EEA">
      <w:pPr>
        <w:pStyle w:val="SangriaFrancesaArticulo"/>
      </w:pPr>
      <w:r w:rsidRPr="00601EEA">
        <w:rPr>
          <w:rStyle w:val="TextoNormalNegritaCaracter"/>
        </w:rPr>
        <w:t>Disposición final primera.</w:t>
      </w:r>
      <w:r w:rsidRPr="00601EEA">
        <w:rPr>
          <w:rStyle w:val="TextoNormalCaracter"/>
        </w:rPr>
        <w:t>-</w:t>
      </w:r>
      <w:r>
        <w:t xml:space="preserve"> Sentencia </w:t>
      </w:r>
      <w:hyperlink w:anchor="SENTENCIA_2024_88" w:history="1">
        <w:r w:rsidRPr="00601EEA">
          <w:rPr>
            <w:rStyle w:val="TextoNormalCaracter"/>
          </w:rPr>
          <w:t>88/2024</w:t>
        </w:r>
      </w:hyperlink>
      <w:r>
        <w:t>, f. 2.</w:t>
      </w:r>
    </w:p>
    <w:p w14:paraId="26BB74EE" w14:textId="4C9392AE" w:rsidR="00601EEA" w:rsidRDefault="00601EEA" w:rsidP="00601EEA">
      <w:pPr>
        <w:pStyle w:val="SangriaFrancesaArticulo"/>
      </w:pPr>
      <w:r w:rsidRPr="00601EEA">
        <w:rPr>
          <w:rStyle w:val="TextoNormalNegritaCaracter"/>
        </w:rPr>
        <w:t>Disposición final segunda.</w:t>
      </w:r>
      <w:r w:rsidRPr="00601EEA">
        <w:rPr>
          <w:rStyle w:val="TextoNormalCaracter"/>
        </w:rPr>
        <w:t>-</w:t>
      </w:r>
      <w:r>
        <w:t xml:space="preserve"> Sentencia </w:t>
      </w:r>
      <w:hyperlink w:anchor="SENTENCIA_2024_88" w:history="1">
        <w:r w:rsidRPr="00601EEA">
          <w:rPr>
            <w:rStyle w:val="TextoNormalCaracter"/>
          </w:rPr>
          <w:t>88/2024</w:t>
        </w:r>
      </w:hyperlink>
      <w:r>
        <w:t>, f. 2.</w:t>
      </w:r>
    </w:p>
    <w:p w14:paraId="677D7F49" w14:textId="5488FF6A" w:rsidR="00601EEA" w:rsidRDefault="00601EEA" w:rsidP="00601EEA">
      <w:pPr>
        <w:pStyle w:val="SangriaFrancesaArticulo"/>
      </w:pPr>
    </w:p>
    <w:p w14:paraId="7EA069DB" w14:textId="77777777" w:rsidR="00601EEA" w:rsidRDefault="00601EEA" w:rsidP="00601EEA">
      <w:pPr>
        <w:pStyle w:val="TextoNormalNegritaCursivandice"/>
        <w:keepNext/>
      </w:pPr>
      <w:r>
        <w:t>Comunidad de Madrid. Ley 11/2022, de 21 de diciembre, de medidas urgentes para el impulso de la actividad económica y la modernización de la administración de la Comunidad de Madrid</w:t>
      </w:r>
    </w:p>
    <w:p w14:paraId="66AE20D6" w14:textId="7D3BDA77"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29" w:history="1">
        <w:r w:rsidRPr="00601EEA">
          <w:rPr>
            <w:rStyle w:val="TextoNormalCaracter"/>
          </w:rPr>
          <w:t>29/2024</w:t>
        </w:r>
      </w:hyperlink>
      <w:r>
        <w:t>, f. 2.</w:t>
      </w:r>
    </w:p>
    <w:p w14:paraId="478F2E9F" w14:textId="3BC274FB" w:rsidR="00601EEA" w:rsidRDefault="00601EEA" w:rsidP="00601EEA">
      <w:pPr>
        <w:pStyle w:val="SangriaFrancesaArticulo"/>
      </w:pPr>
      <w:r w:rsidRPr="00601EEA">
        <w:rPr>
          <w:rStyle w:val="TextoNormalNegritaCaracter"/>
        </w:rPr>
        <w:t>Disposición derogatoria única.</w:t>
      </w:r>
      <w:r w:rsidRPr="00601EEA">
        <w:rPr>
          <w:rStyle w:val="TextoNormalCaracter"/>
        </w:rPr>
        <w:t>-</w:t>
      </w:r>
      <w:r>
        <w:t xml:space="preserve"> Sentencia </w:t>
      </w:r>
      <w:hyperlink w:anchor="SENTENCIA_2024_29" w:history="1">
        <w:r w:rsidRPr="00601EEA">
          <w:rPr>
            <w:rStyle w:val="TextoNormalCaracter"/>
          </w:rPr>
          <w:t>29/2024</w:t>
        </w:r>
      </w:hyperlink>
      <w:r>
        <w:t>, f. 2.</w:t>
      </w:r>
    </w:p>
    <w:p w14:paraId="2FFF202E" w14:textId="698251F6" w:rsidR="00601EEA" w:rsidRDefault="00601EEA" w:rsidP="00601EEA">
      <w:pPr>
        <w:pStyle w:val="SangriaFrancesaArticulo"/>
      </w:pPr>
    </w:p>
    <w:p w14:paraId="651BE12A" w14:textId="77777777" w:rsidR="00601EEA" w:rsidRDefault="00601EEA" w:rsidP="00601EEA">
      <w:pPr>
        <w:pStyle w:val="TextoNormalNegritaCursivandice"/>
        <w:keepNext/>
      </w:pPr>
      <w:r>
        <w:lastRenderedPageBreak/>
        <w:t>Comunidad de Madrid. Ley 11/2023, de 12 de abril, por la que se modifica la Ley 20/1998, de 27 de noviembre, de ordenación y coordinación de los transportes urbanos de la Comunidad de Madrid</w:t>
      </w:r>
    </w:p>
    <w:p w14:paraId="48CDE184" w14:textId="0C0E8687"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88" w:history="1">
        <w:r w:rsidRPr="00601EEA">
          <w:rPr>
            <w:rStyle w:val="TextoNormalCaracter"/>
          </w:rPr>
          <w:t>88/2024</w:t>
        </w:r>
      </w:hyperlink>
      <w:r>
        <w:t>, ff. 3, 7.</w:t>
      </w:r>
    </w:p>
    <w:p w14:paraId="25070B42" w14:textId="1A479FE5" w:rsidR="00601EEA" w:rsidRDefault="00601EEA" w:rsidP="00601EEA">
      <w:pPr>
        <w:pStyle w:val="TextoNormal"/>
      </w:pPr>
    </w:p>
    <w:p w14:paraId="7FF89572" w14:textId="77777777" w:rsidR="00601EEA" w:rsidRDefault="00601EEA" w:rsidP="00601EEA">
      <w:pPr>
        <w:pStyle w:val="TextoNormalNegritaCentradoSubrayado"/>
        <w:suppressAutoHyphens/>
      </w:pPr>
      <w:r>
        <w:t>J.12.c) Decretos y otras disposiciones reglamentarias</w:t>
      </w:r>
    </w:p>
    <w:p w14:paraId="4DBCB97B" w14:textId="5C248469" w:rsidR="00601EEA" w:rsidRDefault="00601EEA" w:rsidP="00601EEA">
      <w:pPr>
        <w:pStyle w:val="TextoNormalNegritaCentradoSubrayado"/>
      </w:pPr>
    </w:p>
    <w:p w14:paraId="3475410F" w14:textId="77777777" w:rsidR="00601EEA" w:rsidRDefault="00601EEA" w:rsidP="00601EEA">
      <w:pPr>
        <w:pStyle w:val="TextoNormalNegritaCursivandice"/>
        <w:keepNext/>
      </w:pPr>
      <w:r>
        <w:t>Comunidad de Madrid. Orden 1244/2021, de 1 de octubre, de la Consejería de Sanidad, por la que se establecen medidas preventivas para hacer frente a la crisis sanitaria ocasionada por el COVID-19</w:t>
      </w:r>
    </w:p>
    <w:p w14:paraId="274ADBEF" w14:textId="7EC186CF" w:rsidR="00601EEA" w:rsidRDefault="00601EEA" w:rsidP="00601EEA">
      <w:pPr>
        <w:pStyle w:val="SangriaFrancesaArticulo"/>
      </w:pPr>
      <w:r w:rsidRPr="00601EEA">
        <w:rPr>
          <w:rStyle w:val="TextoNormalNegritaCaracter"/>
        </w:rPr>
        <w:t>Artículo 7.3.</w:t>
      </w:r>
      <w:r w:rsidRPr="00601EEA">
        <w:rPr>
          <w:rStyle w:val="TextoNormalCaracter"/>
        </w:rPr>
        <w:t>-</w:t>
      </w:r>
      <w:r>
        <w:t xml:space="preserve"> Sentencia </w:t>
      </w:r>
      <w:hyperlink w:anchor="SENTENCIA_2024_20" w:history="1">
        <w:r w:rsidRPr="00601EEA">
          <w:rPr>
            <w:rStyle w:val="TextoNormalCaracter"/>
          </w:rPr>
          <w:t>20/2024</w:t>
        </w:r>
      </w:hyperlink>
      <w:r>
        <w:t>, f. 4.</w:t>
      </w:r>
    </w:p>
    <w:p w14:paraId="265B84D1" w14:textId="714FA9C8" w:rsidR="00601EEA" w:rsidRDefault="00601EEA" w:rsidP="00601EEA">
      <w:pPr>
        <w:pStyle w:val="SangriaFrancesaArticulo"/>
      </w:pPr>
      <w:r w:rsidRPr="00601EEA">
        <w:rPr>
          <w:rStyle w:val="TextoNormalNegritaCaracter"/>
        </w:rPr>
        <w:t>Artículo 7.3</w:t>
      </w:r>
      <w:r>
        <w:t xml:space="preserve"> (redactado por la Orden 439/2022, de 28 de marzo)</w:t>
      </w:r>
      <w:r w:rsidRPr="00601EEA">
        <w:rPr>
          <w:rStyle w:val="TextoNormalNegritaCaracter"/>
        </w:rPr>
        <w:t>.</w:t>
      </w:r>
      <w:r w:rsidRPr="00601EEA">
        <w:rPr>
          <w:rStyle w:val="TextoNormalCaracter"/>
        </w:rPr>
        <w:t>-</w:t>
      </w:r>
      <w:r>
        <w:t xml:space="preserve"> Sentencia </w:t>
      </w:r>
      <w:hyperlink w:anchor="SENTENCIA_2024_20" w:history="1">
        <w:r w:rsidRPr="00601EEA">
          <w:rPr>
            <w:rStyle w:val="TextoNormalCaracter"/>
          </w:rPr>
          <w:t>20/2024</w:t>
        </w:r>
      </w:hyperlink>
      <w:r>
        <w:t>, f. 4.</w:t>
      </w:r>
    </w:p>
    <w:p w14:paraId="62BB27F5" w14:textId="40F8DDA3" w:rsidR="00601EEA" w:rsidRDefault="00601EEA" w:rsidP="00601EEA">
      <w:pPr>
        <w:pStyle w:val="SangriaFrancesaArticulo"/>
      </w:pPr>
    </w:p>
    <w:p w14:paraId="1E3DD2F4" w14:textId="77777777" w:rsidR="00601EEA" w:rsidRDefault="00601EEA" w:rsidP="00601EEA">
      <w:pPr>
        <w:pStyle w:val="TextoNormalNegritaCursivandice"/>
        <w:keepNext/>
      </w:pPr>
      <w:r>
        <w:t>Comunidad de Madrid. Orden 439/2022, de 28 de marzo, de la Consejería de Sanidad, por la que se modifica la Orden 1244/2021, de 1 de octubre, por la que se establecen medidas preventivas para hacer frente a la crisis sanitaria ocasionada por el COVID-19</w:t>
      </w:r>
    </w:p>
    <w:p w14:paraId="7FCEE612" w14:textId="61CFCA90"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20" w:history="1">
        <w:r w:rsidRPr="00601EEA">
          <w:rPr>
            <w:rStyle w:val="TextoNormalCaracter"/>
          </w:rPr>
          <w:t>20/2024</w:t>
        </w:r>
      </w:hyperlink>
      <w:r>
        <w:t>, f. 4.</w:t>
      </w:r>
    </w:p>
    <w:p w14:paraId="5E9FAFAE" w14:textId="2F237F14" w:rsidR="00601EEA" w:rsidRDefault="00601EEA" w:rsidP="00601EEA">
      <w:pPr>
        <w:pStyle w:val="SangriaFrancesaArticulo"/>
      </w:pPr>
    </w:p>
    <w:p w14:paraId="4D1BF40B" w14:textId="77777777" w:rsidR="00601EEA" w:rsidRDefault="00601EEA" w:rsidP="00601EEA">
      <w:pPr>
        <w:pStyle w:val="TextoNormalNegritaCursivandice"/>
        <w:keepNext/>
      </w:pPr>
      <w:r>
        <w:t>Comunidad de Madrid. Decreto del Consejo de Gobierno 5/2024, de 10 de enero, por el que se desarrolla la Ley 20/1998, de 27 de noviembre, de ordenación y coordinación de los transportes urbanos de la Comunidad de Madrid, en materia de arrendamiento de vehículos con conductor</w:t>
      </w:r>
    </w:p>
    <w:p w14:paraId="5AD2E7B3" w14:textId="2CC88348"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88" w:history="1">
        <w:r w:rsidRPr="00601EEA">
          <w:rPr>
            <w:rStyle w:val="TextoNormalCaracter"/>
          </w:rPr>
          <w:t>88/2024</w:t>
        </w:r>
      </w:hyperlink>
      <w:r>
        <w:t>, f. 6.</w:t>
      </w:r>
    </w:p>
    <w:p w14:paraId="50E014B9" w14:textId="3F87E116" w:rsidR="00601EEA" w:rsidRDefault="00601EEA" w:rsidP="00601EEA">
      <w:pPr>
        <w:pStyle w:val="TextoNormal"/>
      </w:pPr>
    </w:p>
    <w:p w14:paraId="2BD16352" w14:textId="77777777" w:rsidR="00601EEA" w:rsidRDefault="00601EEA" w:rsidP="00601EEA">
      <w:pPr>
        <w:pStyle w:val="TextoNormalNegritaCentradoSubrayado"/>
        <w:suppressAutoHyphens/>
      </w:pPr>
      <w:r>
        <w:t>J.12.d) Disposiciones parlamentarias autonómicas</w:t>
      </w:r>
    </w:p>
    <w:p w14:paraId="5E29787A" w14:textId="77FFCFBC" w:rsidR="00601EEA" w:rsidRDefault="00601EEA" w:rsidP="00601EEA">
      <w:pPr>
        <w:pStyle w:val="TextoNormalNegritaCentradoSubrayado"/>
      </w:pPr>
    </w:p>
    <w:p w14:paraId="444C2970" w14:textId="77777777" w:rsidR="00601EEA" w:rsidRDefault="00601EEA" w:rsidP="00601EEA">
      <w:pPr>
        <w:pStyle w:val="TextoNormalNegritaCursivandice"/>
        <w:keepNext/>
      </w:pPr>
      <w:r>
        <w:t>Comunidad de Madrid. Reglamento de la Asamblea de Madrid aprobado por el Pleno el 7 de febrero de 2019</w:t>
      </w:r>
    </w:p>
    <w:p w14:paraId="5E1C4A99" w14:textId="74BBEA4A" w:rsidR="00601EEA" w:rsidRDefault="00601EEA" w:rsidP="00601EEA">
      <w:pPr>
        <w:pStyle w:val="SangriaFrancesaArticulo"/>
      </w:pPr>
      <w:r w:rsidRPr="00601EEA">
        <w:rPr>
          <w:rStyle w:val="TextoNormalNegritaCaracter"/>
        </w:rPr>
        <w:t>Artículo 167.2.</w:t>
      </w:r>
      <w:r w:rsidRPr="00601EEA">
        <w:rPr>
          <w:rStyle w:val="TextoNormalCaracter"/>
        </w:rPr>
        <w:t>-</w:t>
      </w:r>
      <w:r>
        <w:t xml:space="preserve"> Sentencia </w:t>
      </w:r>
      <w:hyperlink w:anchor="SENTENCIA_2024_29" w:history="1">
        <w:r w:rsidRPr="00601EEA">
          <w:rPr>
            <w:rStyle w:val="TextoNormalCaracter"/>
          </w:rPr>
          <w:t>29/2024</w:t>
        </w:r>
      </w:hyperlink>
      <w:r>
        <w:t>, f. 1.</w:t>
      </w:r>
    </w:p>
    <w:p w14:paraId="496CF576" w14:textId="74117E04" w:rsidR="00601EEA" w:rsidRDefault="00601EEA" w:rsidP="00601EEA">
      <w:pPr>
        <w:pStyle w:val="TextoNormal"/>
      </w:pPr>
    </w:p>
    <w:p w14:paraId="246DCB13" w14:textId="77777777" w:rsidR="00601EEA" w:rsidRDefault="00601EEA" w:rsidP="00601EEA">
      <w:pPr>
        <w:pStyle w:val="TextoNormalNegritaCentrado"/>
        <w:suppressAutoHyphens/>
      </w:pPr>
      <w:r w:rsidRPr="00601EEA">
        <w:rPr>
          <w:rStyle w:val="TextoNormalNegritaCentradoSombreado"/>
        </w:rPr>
        <w:t>J.13) Murcia</w:t>
      </w:r>
    </w:p>
    <w:p w14:paraId="32568A13" w14:textId="3CFBD6D7" w:rsidR="00601EEA" w:rsidRDefault="00601EEA" w:rsidP="00601EEA">
      <w:pPr>
        <w:pStyle w:val="TextoNormal"/>
      </w:pPr>
    </w:p>
    <w:p w14:paraId="13F62CD7" w14:textId="77777777" w:rsidR="00601EEA" w:rsidRDefault="00601EEA" w:rsidP="00601EEA">
      <w:pPr>
        <w:pStyle w:val="TextoNormalNegritaCentradoSubrayado"/>
        <w:suppressAutoHyphens/>
      </w:pPr>
      <w:r>
        <w:t>J.13.b) Leyes y disposiciones con fuerza de Ley</w:t>
      </w:r>
    </w:p>
    <w:p w14:paraId="050EC24A" w14:textId="22403321" w:rsidR="00601EEA" w:rsidRDefault="00601EEA" w:rsidP="00601EEA">
      <w:pPr>
        <w:pStyle w:val="TextoNormalNegritaCentradoSubrayado"/>
      </w:pPr>
    </w:p>
    <w:p w14:paraId="7838D0A3" w14:textId="77777777" w:rsidR="00601EEA" w:rsidRDefault="00601EEA" w:rsidP="00601EEA">
      <w:pPr>
        <w:pStyle w:val="TextoNormalNegritaCursivandice"/>
        <w:keepNext/>
      </w:pPr>
      <w:r>
        <w:t>Comunidad Autónoma de la Región de Murcia. Ley 13/2015, de 30 de marzo, de ordenación territorial y urbanística de la Región de Murcia</w:t>
      </w:r>
    </w:p>
    <w:p w14:paraId="695843F8" w14:textId="4EBE814C" w:rsidR="00601EEA" w:rsidRDefault="00601EEA" w:rsidP="00601EEA">
      <w:pPr>
        <w:pStyle w:val="SangriaFrancesaArticulo"/>
      </w:pPr>
      <w:r w:rsidRPr="00601EEA">
        <w:rPr>
          <w:rStyle w:val="TextoNormalNegritaCaracter"/>
        </w:rPr>
        <w:t>Artículo 145.4.</w:t>
      </w:r>
      <w:r w:rsidRPr="00601EEA">
        <w:rPr>
          <w:rStyle w:val="TextoNormalCaracter"/>
        </w:rPr>
        <w:t>-</w:t>
      </w:r>
      <w:r>
        <w:t xml:space="preserve"> Sentencia </w:t>
      </w:r>
      <w:hyperlink w:anchor="SENTENCIA_2024_25" w:history="1">
        <w:r w:rsidRPr="00601EEA">
          <w:rPr>
            <w:rStyle w:val="TextoNormalCaracter"/>
          </w:rPr>
          <w:t>25/2024</w:t>
        </w:r>
      </w:hyperlink>
      <w:r>
        <w:t>, f. 9.</w:t>
      </w:r>
    </w:p>
    <w:p w14:paraId="09966013" w14:textId="68F064CF" w:rsidR="00601EEA" w:rsidRDefault="00601EEA" w:rsidP="00601EEA">
      <w:pPr>
        <w:pStyle w:val="TextoNormal"/>
      </w:pPr>
    </w:p>
    <w:p w14:paraId="3BA25BA2" w14:textId="77777777" w:rsidR="00601EEA" w:rsidRDefault="00601EEA" w:rsidP="00601EEA">
      <w:pPr>
        <w:pStyle w:val="TextoNormalNegritaCentrado"/>
        <w:suppressAutoHyphens/>
      </w:pPr>
      <w:r w:rsidRPr="00601EEA">
        <w:rPr>
          <w:rStyle w:val="TextoNormalNegritaCentradoSombreado"/>
        </w:rPr>
        <w:t>J.14) Navarra</w:t>
      </w:r>
    </w:p>
    <w:p w14:paraId="3815DCF9" w14:textId="39CAFEEB" w:rsidR="00601EEA" w:rsidRDefault="00601EEA" w:rsidP="00601EEA">
      <w:pPr>
        <w:pStyle w:val="TextoNormal"/>
      </w:pPr>
    </w:p>
    <w:p w14:paraId="1A5FC119" w14:textId="77777777" w:rsidR="00601EEA" w:rsidRDefault="00601EEA" w:rsidP="00601EEA">
      <w:pPr>
        <w:pStyle w:val="TextoNormalNegritaCentradoSubrayado"/>
        <w:suppressAutoHyphens/>
      </w:pPr>
      <w:r>
        <w:lastRenderedPageBreak/>
        <w:t>J.14.a) Estatuto de Autonomía</w:t>
      </w:r>
    </w:p>
    <w:p w14:paraId="39C5DE8E" w14:textId="76F7C57A" w:rsidR="00601EEA" w:rsidRDefault="00601EEA" w:rsidP="00601EEA">
      <w:pPr>
        <w:pStyle w:val="TextoNormalNegritaCentradoSubrayado"/>
      </w:pPr>
    </w:p>
    <w:p w14:paraId="7683B6E2" w14:textId="77777777" w:rsidR="00601EEA" w:rsidRDefault="00601EEA" w:rsidP="00601EEA">
      <w:pPr>
        <w:pStyle w:val="TextoNormalNegritaCursivandice"/>
        <w:keepNext/>
      </w:pPr>
      <w:r>
        <w:t>Ley Orgánica 13/1982, de 10 de agosto, de reintegración y amejoramiento del régimen foral de Navarra</w:t>
      </w:r>
    </w:p>
    <w:p w14:paraId="41BC932A" w14:textId="6F807E06"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65" w:history="1">
        <w:r w:rsidRPr="00601EEA">
          <w:rPr>
            <w:rStyle w:val="TextoNormalCaracter"/>
          </w:rPr>
          <w:t>65/2024</w:t>
        </w:r>
      </w:hyperlink>
      <w:r>
        <w:t>, f. 3.</w:t>
      </w:r>
    </w:p>
    <w:p w14:paraId="3E6626C2" w14:textId="55FA03DB" w:rsidR="00601EEA" w:rsidRDefault="00601EEA" w:rsidP="00601EEA">
      <w:pPr>
        <w:pStyle w:val="SangriaFrancesaArticulo"/>
      </w:pPr>
      <w:r w:rsidRPr="00601EEA">
        <w:rPr>
          <w:rStyle w:val="TextoNormalNegritaCaracter"/>
        </w:rPr>
        <w:t>Artículo 2.2.</w:t>
      </w:r>
      <w:r w:rsidRPr="00601EEA">
        <w:rPr>
          <w:rStyle w:val="TextoNormalCaracter"/>
        </w:rPr>
        <w:t>-</w:t>
      </w:r>
      <w:r>
        <w:t xml:space="preserve"> Sentencia </w:t>
      </w:r>
      <w:hyperlink w:anchor="SENTENCIA_2024_65" w:history="1">
        <w:r w:rsidRPr="00601EEA">
          <w:rPr>
            <w:rStyle w:val="TextoNormalCaracter"/>
          </w:rPr>
          <w:t>65/2024</w:t>
        </w:r>
      </w:hyperlink>
      <w:r>
        <w:t>, ff. 3, 4.</w:t>
      </w:r>
    </w:p>
    <w:p w14:paraId="4D4D8896" w14:textId="632EE3E8" w:rsidR="00601EEA" w:rsidRDefault="00601EEA" w:rsidP="00601EEA">
      <w:pPr>
        <w:pStyle w:val="SangriaFrancesaArticulo"/>
      </w:pPr>
      <w:r w:rsidRPr="00601EEA">
        <w:rPr>
          <w:rStyle w:val="TextoNormalNegritaCaracter"/>
        </w:rPr>
        <w:t>Artículo 3.1.</w:t>
      </w:r>
      <w:r w:rsidRPr="00601EEA">
        <w:rPr>
          <w:rStyle w:val="TextoNormalCaracter"/>
        </w:rPr>
        <w:t>-</w:t>
      </w:r>
      <w:r>
        <w:t xml:space="preserve"> Sentencia </w:t>
      </w:r>
      <w:hyperlink w:anchor="SENTENCIA_2024_65" w:history="1">
        <w:r w:rsidRPr="00601EEA">
          <w:rPr>
            <w:rStyle w:val="TextoNormalCaracter"/>
          </w:rPr>
          <w:t>65/2024</w:t>
        </w:r>
      </w:hyperlink>
      <w:r>
        <w:t>, ff. 3, 4.</w:t>
      </w:r>
    </w:p>
    <w:p w14:paraId="516CB002" w14:textId="3C9C8185" w:rsidR="00601EEA" w:rsidRDefault="00601EEA" w:rsidP="00601EEA">
      <w:pPr>
        <w:pStyle w:val="SangriaFrancesaArticulo"/>
      </w:pPr>
      <w:r w:rsidRPr="00601EEA">
        <w:rPr>
          <w:rStyle w:val="TextoNormalNegritaCaracter"/>
        </w:rPr>
        <w:t>Artículo 11.</w:t>
      </w:r>
      <w:r w:rsidRPr="00601EEA">
        <w:rPr>
          <w:rStyle w:val="TextoNormalCaracter"/>
        </w:rPr>
        <w:t>-</w:t>
      </w:r>
      <w:r>
        <w:t xml:space="preserve"> Auto </w:t>
      </w:r>
      <w:hyperlink w:anchor="AUTO_2024_47" w:history="1">
        <w:r w:rsidRPr="00601EEA">
          <w:rPr>
            <w:rStyle w:val="TextoNormalCaracter"/>
          </w:rPr>
          <w:t>47/2024</w:t>
        </w:r>
      </w:hyperlink>
      <w:r>
        <w:t>, f. 1.</w:t>
      </w:r>
    </w:p>
    <w:p w14:paraId="3A88FA44" w14:textId="4B9B5468" w:rsidR="00601EEA" w:rsidRDefault="00601EEA" w:rsidP="00601EEA">
      <w:pPr>
        <w:pStyle w:val="SangriaFrancesaArticulo"/>
      </w:pPr>
      <w:r w:rsidRPr="00601EEA">
        <w:rPr>
          <w:rStyle w:val="TextoNormalNegritaCaracter"/>
        </w:rPr>
        <w:t>Artículo 39.1 a).</w:t>
      </w:r>
      <w:r w:rsidRPr="00601EEA">
        <w:rPr>
          <w:rStyle w:val="TextoNormalCaracter"/>
        </w:rPr>
        <w:t>-</w:t>
      </w:r>
      <w:r>
        <w:t xml:space="preserve"> Sentencia </w:t>
      </w:r>
      <w:hyperlink w:anchor="SENTENCIA_2024_65" w:history="1">
        <w:r w:rsidRPr="00601EEA">
          <w:rPr>
            <w:rStyle w:val="TextoNormalCaracter"/>
          </w:rPr>
          <w:t>65/2024</w:t>
        </w:r>
      </w:hyperlink>
      <w:r>
        <w:t>, f. 3.</w:t>
      </w:r>
    </w:p>
    <w:p w14:paraId="402C8D3A" w14:textId="598F4B55" w:rsidR="00601EEA" w:rsidRDefault="00601EEA" w:rsidP="00601EEA">
      <w:pPr>
        <w:pStyle w:val="SangriaFrancesaArticulo"/>
      </w:pPr>
      <w:r w:rsidRPr="00601EEA">
        <w:rPr>
          <w:rStyle w:val="TextoNormalNegritaCaracter"/>
        </w:rPr>
        <w:t>Artículo 45.</w:t>
      </w:r>
      <w:r w:rsidRPr="00601EEA">
        <w:rPr>
          <w:rStyle w:val="TextoNormalCaracter"/>
        </w:rPr>
        <w:t>-</w:t>
      </w:r>
      <w:r>
        <w:t xml:space="preserve"> Sentencia </w:t>
      </w:r>
      <w:hyperlink w:anchor="SENTENCIA_2024_19" w:history="1">
        <w:r w:rsidRPr="00601EEA">
          <w:rPr>
            <w:rStyle w:val="TextoNormalCaracter"/>
          </w:rPr>
          <w:t>19/2024</w:t>
        </w:r>
      </w:hyperlink>
      <w:r>
        <w:t>, f. 5.</w:t>
      </w:r>
    </w:p>
    <w:p w14:paraId="290F3BBC" w14:textId="0AB80E7A" w:rsidR="00601EEA" w:rsidRDefault="00601EEA" w:rsidP="00601EEA">
      <w:pPr>
        <w:pStyle w:val="SangriaFrancesaArticulo"/>
      </w:pPr>
      <w:r w:rsidRPr="00601EEA">
        <w:rPr>
          <w:rStyle w:val="TextoNormalNegritaCaracter"/>
        </w:rPr>
        <w:t>Artículo 49.1 d).</w:t>
      </w:r>
      <w:r w:rsidRPr="00601EEA">
        <w:rPr>
          <w:rStyle w:val="TextoNormalCaracter"/>
        </w:rPr>
        <w:t>-</w:t>
      </w:r>
      <w:r>
        <w:t xml:space="preserve"> Sentencia </w:t>
      </w:r>
      <w:hyperlink w:anchor="SENTENCIA_2024_65" w:history="1">
        <w:r w:rsidRPr="00601EEA">
          <w:rPr>
            <w:rStyle w:val="TextoNormalCaracter"/>
          </w:rPr>
          <w:t>65/2024</w:t>
        </w:r>
      </w:hyperlink>
      <w:r>
        <w:t>, ff. 1, 3, 4.</w:t>
      </w:r>
    </w:p>
    <w:p w14:paraId="6BA1DF88" w14:textId="32CFF48E" w:rsidR="00601EEA" w:rsidRDefault="00601EEA" w:rsidP="00601EEA">
      <w:pPr>
        <w:pStyle w:val="SangriaFrancesaArticulo"/>
      </w:pPr>
      <w:r w:rsidRPr="00601EEA">
        <w:rPr>
          <w:rStyle w:val="TextoNormalNegritaCaracter"/>
        </w:rPr>
        <w:t>Artículo 54.1.</w:t>
      </w:r>
      <w:r w:rsidRPr="00601EEA">
        <w:rPr>
          <w:rStyle w:val="TextoNormalCaracter"/>
        </w:rPr>
        <w:t>-</w:t>
      </w:r>
      <w:r>
        <w:t xml:space="preserve"> Sentencia </w:t>
      </w:r>
      <w:hyperlink w:anchor="SENTENCIA_2024_19" w:history="1">
        <w:r w:rsidRPr="00601EEA">
          <w:rPr>
            <w:rStyle w:val="TextoNormalCaracter"/>
          </w:rPr>
          <w:t>19/2024</w:t>
        </w:r>
      </w:hyperlink>
      <w:r>
        <w:t>, f. 3.</w:t>
      </w:r>
    </w:p>
    <w:p w14:paraId="4E22C9CC" w14:textId="27A47825" w:rsidR="00601EEA" w:rsidRDefault="00601EEA" w:rsidP="00601EEA">
      <w:pPr>
        <w:pStyle w:val="TextoNormal"/>
      </w:pPr>
    </w:p>
    <w:p w14:paraId="4CF66136" w14:textId="77777777" w:rsidR="00601EEA" w:rsidRDefault="00601EEA" w:rsidP="00601EEA">
      <w:pPr>
        <w:pStyle w:val="TextoNormalNegritaCentradoSubrayado"/>
        <w:suppressAutoHyphens/>
      </w:pPr>
      <w:r>
        <w:t>J.14.b) Leyes y disposiciones con fuerza de Ley</w:t>
      </w:r>
    </w:p>
    <w:p w14:paraId="59CCFF0F" w14:textId="2861DA09" w:rsidR="00601EEA" w:rsidRDefault="00601EEA" w:rsidP="00601EEA">
      <w:pPr>
        <w:pStyle w:val="TextoNormalNegritaCentradoSubrayado"/>
      </w:pPr>
    </w:p>
    <w:p w14:paraId="395E9FF3" w14:textId="77777777" w:rsidR="00601EEA" w:rsidRDefault="00601EEA" w:rsidP="00601EEA">
      <w:pPr>
        <w:pStyle w:val="TextoNormalNegritaCursivandice"/>
        <w:keepNext/>
      </w:pPr>
      <w:r>
        <w:t>Comunidad Foral de Navarra. Decreto Foral Legislativo 1/2017, de 26 de julio, del Gobierno de Navarra, por el que se aprueba el texto refundido de la Ley Foral de ordenación del territorio y urbanismo</w:t>
      </w:r>
    </w:p>
    <w:p w14:paraId="65E122DF" w14:textId="5351A770" w:rsidR="00601EEA" w:rsidRDefault="00601EEA" w:rsidP="00601EEA">
      <w:pPr>
        <w:pStyle w:val="SangriaFrancesaArticulo"/>
      </w:pPr>
      <w:r w:rsidRPr="00601EEA">
        <w:rPr>
          <w:rStyle w:val="TextoNormalNegritaCaracter"/>
        </w:rPr>
        <w:t>Artículo 116.</w:t>
      </w:r>
      <w:r w:rsidRPr="00601EEA">
        <w:rPr>
          <w:rStyle w:val="TextoNormalCaracter"/>
        </w:rPr>
        <w:t>-</w:t>
      </w:r>
      <w:r>
        <w:t xml:space="preserve"> Sentencia </w:t>
      </w:r>
      <w:hyperlink w:anchor="SENTENCIA_2024_25" w:history="1">
        <w:r w:rsidRPr="00601EEA">
          <w:rPr>
            <w:rStyle w:val="TextoNormalCaracter"/>
          </w:rPr>
          <w:t>25/2024</w:t>
        </w:r>
      </w:hyperlink>
      <w:r>
        <w:t>, f. 7.</w:t>
      </w:r>
    </w:p>
    <w:p w14:paraId="522D4D8C" w14:textId="2F04CAB4" w:rsidR="00601EEA" w:rsidRDefault="00601EEA" w:rsidP="00601EEA">
      <w:pPr>
        <w:pStyle w:val="SangriaFrancesaArticulo"/>
      </w:pPr>
    </w:p>
    <w:p w14:paraId="04BC45A8" w14:textId="77777777" w:rsidR="00601EEA" w:rsidRDefault="00601EEA" w:rsidP="00601EEA">
      <w:pPr>
        <w:pStyle w:val="TextoNormalNegritaCursivandice"/>
        <w:keepNext/>
      </w:pPr>
      <w:r>
        <w:t>Comunidad Foral de Navarra. Ley Foral 2/2018, de 13 de abril, de contratos públicos</w:t>
      </w:r>
    </w:p>
    <w:p w14:paraId="5F323BD7" w14:textId="3B03002D"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65" w:history="1">
        <w:r w:rsidRPr="00601EEA">
          <w:rPr>
            <w:rStyle w:val="TextoNormalCaracter"/>
          </w:rPr>
          <w:t>65/2024</w:t>
        </w:r>
      </w:hyperlink>
      <w:r>
        <w:t>, ff. 1, 3.</w:t>
      </w:r>
    </w:p>
    <w:p w14:paraId="1C41E270" w14:textId="1BA50FA0" w:rsidR="00601EEA" w:rsidRDefault="00601EEA" w:rsidP="00601EEA">
      <w:pPr>
        <w:pStyle w:val="SangriaFrancesaArticulo"/>
      </w:pPr>
      <w:r w:rsidRPr="00601EEA">
        <w:rPr>
          <w:rStyle w:val="TextoNormalNegritaCaracter"/>
        </w:rPr>
        <w:t>Exposición de motivos.</w:t>
      </w:r>
      <w:r w:rsidRPr="00601EEA">
        <w:rPr>
          <w:rStyle w:val="TextoNormalCaracter"/>
        </w:rPr>
        <w:t>-</w:t>
      </w:r>
      <w:r>
        <w:t xml:space="preserve"> Sentencia </w:t>
      </w:r>
      <w:hyperlink w:anchor="SENTENCIA_2024_65" w:history="1">
        <w:r w:rsidRPr="00601EEA">
          <w:rPr>
            <w:rStyle w:val="TextoNormalCaracter"/>
          </w:rPr>
          <w:t>65/2024</w:t>
        </w:r>
      </w:hyperlink>
      <w:r>
        <w:t>, f. 2.</w:t>
      </w:r>
    </w:p>
    <w:p w14:paraId="04725321" w14:textId="11139292" w:rsidR="00601EEA" w:rsidRDefault="00601EEA" w:rsidP="00601EEA">
      <w:pPr>
        <w:pStyle w:val="SangriaFrancesaArticulo"/>
      </w:pPr>
      <w:r w:rsidRPr="00601EEA">
        <w:rPr>
          <w:rStyle w:val="TextoNormalNegritaCaracter"/>
        </w:rPr>
        <w:t>Artículo 4.</w:t>
      </w:r>
      <w:r w:rsidRPr="00601EEA">
        <w:rPr>
          <w:rStyle w:val="TextoNormalCaracter"/>
        </w:rPr>
        <w:t>-</w:t>
      </w:r>
      <w:r>
        <w:t xml:space="preserve"> Sentencia </w:t>
      </w:r>
      <w:hyperlink w:anchor="SENTENCIA_2024_65" w:history="1">
        <w:r w:rsidRPr="00601EEA">
          <w:rPr>
            <w:rStyle w:val="TextoNormalCaracter"/>
          </w:rPr>
          <w:t>65/2024</w:t>
        </w:r>
      </w:hyperlink>
      <w:r>
        <w:t>, f. 3.</w:t>
      </w:r>
    </w:p>
    <w:p w14:paraId="7CF3C38C" w14:textId="7335F260" w:rsidR="00601EEA" w:rsidRDefault="00601EEA" w:rsidP="00601EEA">
      <w:pPr>
        <w:pStyle w:val="SangriaFrancesaArticulo"/>
      </w:pPr>
      <w:r w:rsidRPr="00601EEA">
        <w:rPr>
          <w:rStyle w:val="TextoNormalNegritaCaracter"/>
        </w:rPr>
        <w:t>Artículo 7.1 l)</w:t>
      </w:r>
      <w:r>
        <w:t xml:space="preserve"> (redactado por la Ley Foral 17/2021, de 21 de octubre)</w:t>
      </w:r>
      <w:r w:rsidRPr="00601EEA">
        <w:rPr>
          <w:rStyle w:val="TextoNormalNegritaCaracter"/>
        </w:rPr>
        <w:t>.</w:t>
      </w:r>
      <w:r w:rsidRPr="00601EEA">
        <w:rPr>
          <w:rStyle w:val="TextoNormalCaracter"/>
        </w:rPr>
        <w:t>-</w:t>
      </w:r>
      <w:r>
        <w:t xml:space="preserve"> Sentencia </w:t>
      </w:r>
      <w:hyperlink w:anchor="SENTENCIA_2024_65" w:history="1">
        <w:r w:rsidRPr="00601EEA">
          <w:rPr>
            <w:rStyle w:val="TextoNormalCaracter"/>
          </w:rPr>
          <w:t>65/2024</w:t>
        </w:r>
      </w:hyperlink>
      <w:r>
        <w:t>, ff. 1, 4, 5.</w:t>
      </w:r>
    </w:p>
    <w:p w14:paraId="5CE8900A" w14:textId="7C6FFD07" w:rsidR="00601EEA" w:rsidRDefault="00601EEA" w:rsidP="00601EEA">
      <w:pPr>
        <w:pStyle w:val="SangriaFrancesaArticulo"/>
      </w:pPr>
      <w:r w:rsidRPr="00601EEA">
        <w:rPr>
          <w:rStyle w:val="TextoNormalNegritaCaracter"/>
        </w:rPr>
        <w:t>Artículo 7.1 m)</w:t>
      </w:r>
      <w:r>
        <w:t xml:space="preserve"> (redactado por la Ley Foral 17/2021, de 21 de octubre)</w:t>
      </w:r>
      <w:r w:rsidRPr="00601EEA">
        <w:rPr>
          <w:rStyle w:val="TextoNormalNegritaCaracter"/>
        </w:rPr>
        <w:t>.</w:t>
      </w:r>
      <w:r w:rsidRPr="00601EEA">
        <w:rPr>
          <w:rStyle w:val="TextoNormalCaracter"/>
        </w:rPr>
        <w:t>-</w:t>
      </w:r>
      <w:r>
        <w:t xml:space="preserve"> Sentencia </w:t>
      </w:r>
      <w:hyperlink w:anchor="SENTENCIA_2024_65" w:history="1">
        <w:r w:rsidRPr="00601EEA">
          <w:rPr>
            <w:rStyle w:val="TextoNormalCaracter"/>
          </w:rPr>
          <w:t>65/2024</w:t>
        </w:r>
      </w:hyperlink>
      <w:r>
        <w:t>, ff. 1 a 3, 5.</w:t>
      </w:r>
    </w:p>
    <w:p w14:paraId="4B2B4917" w14:textId="562D2EE7" w:rsidR="00601EEA" w:rsidRDefault="00601EEA" w:rsidP="00601EEA">
      <w:pPr>
        <w:pStyle w:val="SangriaFrancesaArticulo"/>
      </w:pPr>
      <w:r w:rsidRPr="00601EEA">
        <w:rPr>
          <w:rStyle w:val="TextoNormalNegritaCaracter"/>
        </w:rPr>
        <w:t>Artículo 75.</w:t>
      </w:r>
      <w:r w:rsidRPr="00601EEA">
        <w:rPr>
          <w:rStyle w:val="TextoNormalCaracter"/>
        </w:rPr>
        <w:t>-</w:t>
      </w:r>
      <w:r>
        <w:t xml:space="preserve"> Sentencia </w:t>
      </w:r>
      <w:hyperlink w:anchor="SENTENCIA_2024_65" w:history="1">
        <w:r w:rsidRPr="00601EEA">
          <w:rPr>
            <w:rStyle w:val="TextoNormalCaracter"/>
          </w:rPr>
          <w:t>65/2024</w:t>
        </w:r>
      </w:hyperlink>
      <w:r>
        <w:t>, f. 2.</w:t>
      </w:r>
    </w:p>
    <w:p w14:paraId="610A7CA1" w14:textId="12BD7818" w:rsidR="00601EEA" w:rsidRDefault="00601EEA" w:rsidP="00601EEA">
      <w:pPr>
        <w:pStyle w:val="SangriaFrancesaArticulo"/>
      </w:pPr>
      <w:r w:rsidRPr="00601EEA">
        <w:rPr>
          <w:rStyle w:val="TextoNormalNegritaCaracter"/>
        </w:rPr>
        <w:t>Artículo 102.1.</w:t>
      </w:r>
      <w:r w:rsidRPr="00601EEA">
        <w:rPr>
          <w:rStyle w:val="TextoNormalCaracter"/>
        </w:rPr>
        <w:t>-</w:t>
      </w:r>
      <w:r>
        <w:t xml:space="preserve"> Sentencia </w:t>
      </w:r>
      <w:hyperlink w:anchor="SENTENCIA_2024_65" w:history="1">
        <w:r w:rsidRPr="00601EEA">
          <w:rPr>
            <w:rStyle w:val="TextoNormalCaracter"/>
          </w:rPr>
          <w:t>65/2024</w:t>
        </w:r>
      </w:hyperlink>
      <w:r>
        <w:t>, f. 2.</w:t>
      </w:r>
    </w:p>
    <w:p w14:paraId="782072EF" w14:textId="53E5AE3B" w:rsidR="00601EEA" w:rsidRDefault="00601EEA" w:rsidP="00601EEA">
      <w:pPr>
        <w:pStyle w:val="SangriaFrancesaArticulo"/>
      </w:pPr>
      <w:r w:rsidRPr="00601EEA">
        <w:rPr>
          <w:rStyle w:val="TextoNormalNegritaCaracter"/>
        </w:rPr>
        <w:t>Disposición adicional vigesimoprimera.</w:t>
      </w:r>
      <w:r w:rsidRPr="00601EEA">
        <w:rPr>
          <w:rStyle w:val="TextoNormalCaracter"/>
        </w:rPr>
        <w:t>-</w:t>
      </w:r>
      <w:r>
        <w:t xml:space="preserve"> Sentencia </w:t>
      </w:r>
      <w:hyperlink w:anchor="SENTENCIA_2024_65" w:history="1">
        <w:r w:rsidRPr="00601EEA">
          <w:rPr>
            <w:rStyle w:val="TextoNormalCaracter"/>
          </w:rPr>
          <w:t>65/2024</w:t>
        </w:r>
      </w:hyperlink>
      <w:r>
        <w:t>, f. 2.</w:t>
      </w:r>
    </w:p>
    <w:p w14:paraId="551697A7" w14:textId="523DED25" w:rsidR="00601EEA" w:rsidRDefault="00601EEA" w:rsidP="00601EEA">
      <w:pPr>
        <w:pStyle w:val="SangriaFrancesaArticulo"/>
      </w:pPr>
      <w:r w:rsidRPr="00601EEA">
        <w:rPr>
          <w:rStyle w:val="TextoNormalNegritaCaracter"/>
        </w:rPr>
        <w:t>Disposición adicional vigesimoprimera, apartado uno.</w:t>
      </w:r>
      <w:r w:rsidRPr="00601EEA">
        <w:rPr>
          <w:rStyle w:val="TextoNormalCaracter"/>
        </w:rPr>
        <w:t>-</w:t>
      </w:r>
      <w:r>
        <w:t xml:space="preserve"> Sentencia </w:t>
      </w:r>
      <w:hyperlink w:anchor="SENTENCIA_2024_65" w:history="1">
        <w:r w:rsidRPr="00601EEA">
          <w:rPr>
            <w:rStyle w:val="TextoNormalCaracter"/>
          </w:rPr>
          <w:t>65/2024</w:t>
        </w:r>
      </w:hyperlink>
      <w:r>
        <w:t>, f. 2.</w:t>
      </w:r>
    </w:p>
    <w:p w14:paraId="7803DDF4" w14:textId="379E5359" w:rsidR="00601EEA" w:rsidRDefault="00601EEA" w:rsidP="00601EEA">
      <w:pPr>
        <w:pStyle w:val="SangriaFrancesaArticulo"/>
      </w:pPr>
      <w:r w:rsidRPr="00601EEA">
        <w:rPr>
          <w:rStyle w:val="TextoNormalNegritaCaracter"/>
        </w:rPr>
        <w:t>Disposición adicional vigesimoprimera</w:t>
      </w:r>
      <w:r>
        <w:t xml:space="preserve"> (redactada por la Ley Foral 17/2021, de 21 de octubre)</w:t>
      </w:r>
      <w:r w:rsidRPr="00601EEA">
        <w:rPr>
          <w:rStyle w:val="TextoNormalNegritaCaracter"/>
        </w:rPr>
        <w:t>.</w:t>
      </w:r>
      <w:r w:rsidRPr="00601EEA">
        <w:rPr>
          <w:rStyle w:val="TextoNormalCaracter"/>
        </w:rPr>
        <w:t>-</w:t>
      </w:r>
      <w:r>
        <w:t xml:space="preserve"> Sentencia </w:t>
      </w:r>
      <w:hyperlink w:anchor="SENTENCIA_2024_65" w:history="1">
        <w:r w:rsidRPr="00601EEA">
          <w:rPr>
            <w:rStyle w:val="TextoNormalCaracter"/>
          </w:rPr>
          <w:t>65/2024</w:t>
        </w:r>
      </w:hyperlink>
      <w:r>
        <w:t>, ff. 1, 2, 5.</w:t>
      </w:r>
    </w:p>
    <w:p w14:paraId="28E7D867" w14:textId="5F9F42B6" w:rsidR="00601EEA" w:rsidRDefault="00601EEA" w:rsidP="00601EEA">
      <w:pPr>
        <w:pStyle w:val="SangriaFrancesaArticulo"/>
      </w:pPr>
      <w:r w:rsidRPr="00601EEA">
        <w:rPr>
          <w:rStyle w:val="TextoNormalNegritaCaracter"/>
        </w:rPr>
        <w:t>Disposición adicional vigesimoprimera</w:t>
      </w:r>
      <w:r>
        <w:t xml:space="preserve"> (redactada por la Ley Foral 2/2024, de 13 de marzo)</w:t>
      </w:r>
      <w:r w:rsidRPr="00601EEA">
        <w:rPr>
          <w:rStyle w:val="TextoNormalNegritaCaracter"/>
        </w:rPr>
        <w:t>.</w:t>
      </w:r>
      <w:r w:rsidRPr="00601EEA">
        <w:rPr>
          <w:rStyle w:val="TextoNormalCaracter"/>
        </w:rPr>
        <w:t>-</w:t>
      </w:r>
      <w:r>
        <w:t xml:space="preserve"> Sentencia </w:t>
      </w:r>
      <w:hyperlink w:anchor="SENTENCIA_2024_65" w:history="1">
        <w:r w:rsidRPr="00601EEA">
          <w:rPr>
            <w:rStyle w:val="TextoNormalCaracter"/>
          </w:rPr>
          <w:t>65/2024</w:t>
        </w:r>
      </w:hyperlink>
      <w:r>
        <w:t>, f. 2.</w:t>
      </w:r>
    </w:p>
    <w:p w14:paraId="74B15476" w14:textId="3F55F8E9" w:rsidR="00601EEA" w:rsidRDefault="00601EEA" w:rsidP="00601EEA">
      <w:pPr>
        <w:pStyle w:val="SangriaFrancesaArticulo"/>
      </w:pPr>
      <w:r w:rsidRPr="00601EEA">
        <w:rPr>
          <w:rStyle w:val="TextoNormalNegritaCaracter"/>
        </w:rPr>
        <w:t>Disposición adicional vigesimoprimera</w:t>
      </w:r>
      <w:r>
        <w:t xml:space="preserve"> (redactada por la Ley Foral 35/2022, de 28 de diciembre)</w:t>
      </w:r>
      <w:r w:rsidRPr="00601EEA">
        <w:rPr>
          <w:rStyle w:val="TextoNormalNegritaCaracter"/>
        </w:rPr>
        <w:t>.</w:t>
      </w:r>
      <w:r w:rsidRPr="00601EEA">
        <w:rPr>
          <w:rStyle w:val="TextoNormalCaracter"/>
        </w:rPr>
        <w:t>-</w:t>
      </w:r>
      <w:r>
        <w:t xml:space="preserve"> Sentencia </w:t>
      </w:r>
      <w:hyperlink w:anchor="SENTENCIA_2024_65" w:history="1">
        <w:r w:rsidRPr="00601EEA">
          <w:rPr>
            <w:rStyle w:val="TextoNormalCaracter"/>
          </w:rPr>
          <w:t>65/2024</w:t>
        </w:r>
      </w:hyperlink>
      <w:r>
        <w:t>, f. 2.</w:t>
      </w:r>
    </w:p>
    <w:p w14:paraId="74244E68" w14:textId="3076A27B" w:rsidR="00601EEA" w:rsidRDefault="00601EEA" w:rsidP="00601EEA">
      <w:pPr>
        <w:pStyle w:val="SangriaFrancesaArticulo"/>
      </w:pPr>
      <w:r w:rsidRPr="00601EEA">
        <w:rPr>
          <w:rStyle w:val="TextoNormalNegritaCaracter"/>
        </w:rPr>
        <w:t>Disposición adicional vigesimoprimera, apartado dos</w:t>
      </w:r>
      <w:r>
        <w:t xml:space="preserve"> (redactada por la Ley Foral 17/2021, de 21 de octubre)</w:t>
      </w:r>
      <w:r w:rsidRPr="00601EEA">
        <w:rPr>
          <w:rStyle w:val="TextoNormalNegritaCaracter"/>
        </w:rPr>
        <w:t>.</w:t>
      </w:r>
      <w:r w:rsidRPr="00601EEA">
        <w:rPr>
          <w:rStyle w:val="TextoNormalCaracter"/>
        </w:rPr>
        <w:t>-</w:t>
      </w:r>
      <w:r>
        <w:t xml:space="preserve"> Sentencia </w:t>
      </w:r>
      <w:hyperlink w:anchor="SENTENCIA_2024_65" w:history="1">
        <w:r w:rsidRPr="00601EEA">
          <w:rPr>
            <w:rStyle w:val="TextoNormalCaracter"/>
          </w:rPr>
          <w:t>65/2024</w:t>
        </w:r>
      </w:hyperlink>
      <w:r>
        <w:t>, f. 2.</w:t>
      </w:r>
    </w:p>
    <w:p w14:paraId="53E2472F" w14:textId="22DCC0E5" w:rsidR="00601EEA" w:rsidRDefault="00601EEA" w:rsidP="00601EEA">
      <w:pPr>
        <w:pStyle w:val="SangriaFrancesaArticulo"/>
      </w:pPr>
      <w:r w:rsidRPr="00601EEA">
        <w:rPr>
          <w:rStyle w:val="TextoNormalNegritaCaracter"/>
        </w:rPr>
        <w:t>Disposición adicional vigesimoprimera, apartado dos</w:t>
      </w:r>
      <w:r>
        <w:t xml:space="preserve"> (redactada por la Ley Foral 2/2024, de 13 de marzo)</w:t>
      </w:r>
      <w:r w:rsidRPr="00601EEA">
        <w:rPr>
          <w:rStyle w:val="TextoNormalNegritaCaracter"/>
        </w:rPr>
        <w:t>.</w:t>
      </w:r>
      <w:r w:rsidRPr="00601EEA">
        <w:rPr>
          <w:rStyle w:val="TextoNormalCaracter"/>
        </w:rPr>
        <w:t>-</w:t>
      </w:r>
      <w:r>
        <w:t xml:space="preserve"> Sentencia </w:t>
      </w:r>
      <w:hyperlink w:anchor="SENTENCIA_2024_65" w:history="1">
        <w:r w:rsidRPr="00601EEA">
          <w:rPr>
            <w:rStyle w:val="TextoNormalCaracter"/>
          </w:rPr>
          <w:t>65/2024</w:t>
        </w:r>
      </w:hyperlink>
      <w:r>
        <w:t>, f. 2.</w:t>
      </w:r>
    </w:p>
    <w:p w14:paraId="79CF152B" w14:textId="68201E97" w:rsidR="00601EEA" w:rsidRDefault="00601EEA" w:rsidP="00601EEA">
      <w:pPr>
        <w:pStyle w:val="SangriaFrancesaArticulo"/>
      </w:pPr>
      <w:r w:rsidRPr="00601EEA">
        <w:rPr>
          <w:rStyle w:val="TextoNormalNegritaCaracter"/>
        </w:rPr>
        <w:t>Disposición adicional vigesimoprimera, apartado dos</w:t>
      </w:r>
      <w:r>
        <w:t xml:space="preserve"> (redactada por la Ley Foral 32/2022, de 28 de diciembre)</w:t>
      </w:r>
      <w:r w:rsidRPr="00601EEA">
        <w:rPr>
          <w:rStyle w:val="TextoNormalNegritaCaracter"/>
        </w:rPr>
        <w:t>.</w:t>
      </w:r>
      <w:r w:rsidRPr="00601EEA">
        <w:rPr>
          <w:rStyle w:val="TextoNormalCaracter"/>
        </w:rPr>
        <w:t>-</w:t>
      </w:r>
      <w:r>
        <w:t xml:space="preserve"> Sentencia </w:t>
      </w:r>
      <w:hyperlink w:anchor="SENTENCIA_2024_65" w:history="1">
        <w:r w:rsidRPr="00601EEA">
          <w:rPr>
            <w:rStyle w:val="TextoNormalCaracter"/>
          </w:rPr>
          <w:t>65/2024</w:t>
        </w:r>
      </w:hyperlink>
      <w:r>
        <w:t>, f. 2.</w:t>
      </w:r>
    </w:p>
    <w:p w14:paraId="4F1867D0" w14:textId="4A3A2DF1" w:rsidR="00601EEA" w:rsidRDefault="00601EEA" w:rsidP="00601EEA">
      <w:pPr>
        <w:pStyle w:val="SangriaFrancesaArticulo"/>
      </w:pPr>
      <w:r w:rsidRPr="00601EEA">
        <w:rPr>
          <w:rStyle w:val="TextoNormalNegritaCaracter"/>
        </w:rPr>
        <w:t>Disposición adicional vigesimoprimera, apartado uno</w:t>
      </w:r>
      <w:r>
        <w:t xml:space="preserve"> (redactada por la Ley Foral 35/2022, de 28 de diciembre)</w:t>
      </w:r>
      <w:r w:rsidRPr="00601EEA">
        <w:rPr>
          <w:rStyle w:val="TextoNormalNegritaCaracter"/>
        </w:rPr>
        <w:t>.</w:t>
      </w:r>
      <w:r w:rsidRPr="00601EEA">
        <w:rPr>
          <w:rStyle w:val="TextoNormalCaracter"/>
        </w:rPr>
        <w:t>-</w:t>
      </w:r>
      <w:r>
        <w:t xml:space="preserve"> Sentencia </w:t>
      </w:r>
      <w:hyperlink w:anchor="SENTENCIA_2024_65" w:history="1">
        <w:r w:rsidRPr="00601EEA">
          <w:rPr>
            <w:rStyle w:val="TextoNormalCaracter"/>
          </w:rPr>
          <w:t>65/2024</w:t>
        </w:r>
      </w:hyperlink>
      <w:r>
        <w:t>, f. 2.</w:t>
      </w:r>
    </w:p>
    <w:p w14:paraId="0BF280FC" w14:textId="5DBBE530" w:rsidR="00601EEA" w:rsidRDefault="00601EEA" w:rsidP="00601EEA">
      <w:pPr>
        <w:pStyle w:val="SangriaFrancesaArticulo"/>
      </w:pPr>
      <w:r w:rsidRPr="00601EEA">
        <w:rPr>
          <w:rStyle w:val="TextoNormalNegritaCaracter"/>
        </w:rPr>
        <w:lastRenderedPageBreak/>
        <w:t>Disposición adicional vigesimoprimera, apartados tres y cuatro</w:t>
      </w:r>
      <w:r>
        <w:t xml:space="preserve"> (redactada por la Ley Foral 17/2021, de 21 de octubre)</w:t>
      </w:r>
      <w:r w:rsidRPr="00601EEA">
        <w:rPr>
          <w:rStyle w:val="TextoNormalNegritaCaracter"/>
        </w:rPr>
        <w:t>.</w:t>
      </w:r>
      <w:r w:rsidRPr="00601EEA">
        <w:rPr>
          <w:rStyle w:val="TextoNormalCaracter"/>
        </w:rPr>
        <w:t>-</w:t>
      </w:r>
      <w:r>
        <w:t xml:space="preserve"> Sentencia </w:t>
      </w:r>
      <w:hyperlink w:anchor="SENTENCIA_2024_65" w:history="1">
        <w:r w:rsidRPr="00601EEA">
          <w:rPr>
            <w:rStyle w:val="TextoNormalCaracter"/>
          </w:rPr>
          <w:t>65/2024</w:t>
        </w:r>
      </w:hyperlink>
      <w:r>
        <w:t>, f. 2.</w:t>
      </w:r>
    </w:p>
    <w:p w14:paraId="2765250B" w14:textId="78E8D790" w:rsidR="00601EEA" w:rsidRDefault="00601EEA" w:rsidP="00601EEA">
      <w:pPr>
        <w:pStyle w:val="SangriaFrancesaArticulo"/>
      </w:pPr>
      <w:r w:rsidRPr="00601EEA">
        <w:rPr>
          <w:rStyle w:val="TextoNormalNegritaCaracter"/>
        </w:rPr>
        <w:t>Disposición adicional vigesimoprimera, apartados tres y cuatro</w:t>
      </w:r>
      <w:r>
        <w:t xml:space="preserve"> (redactada por la Ley Foral 35/2022, de 28 de diciembre)</w:t>
      </w:r>
      <w:r w:rsidRPr="00601EEA">
        <w:rPr>
          <w:rStyle w:val="TextoNormalNegritaCaracter"/>
        </w:rPr>
        <w:t>.</w:t>
      </w:r>
      <w:r w:rsidRPr="00601EEA">
        <w:rPr>
          <w:rStyle w:val="TextoNormalCaracter"/>
        </w:rPr>
        <w:t>-</w:t>
      </w:r>
      <w:r>
        <w:t xml:space="preserve"> Sentencia </w:t>
      </w:r>
      <w:hyperlink w:anchor="SENTENCIA_2024_65" w:history="1">
        <w:r w:rsidRPr="00601EEA">
          <w:rPr>
            <w:rStyle w:val="TextoNormalCaracter"/>
          </w:rPr>
          <w:t>65/2024</w:t>
        </w:r>
      </w:hyperlink>
      <w:r>
        <w:t>, f. 2.</w:t>
      </w:r>
    </w:p>
    <w:p w14:paraId="16D2BEE2" w14:textId="2DF1916F" w:rsidR="00601EEA" w:rsidRDefault="00601EEA" w:rsidP="00601EEA">
      <w:pPr>
        <w:pStyle w:val="SangriaFrancesaArticulo"/>
      </w:pPr>
    </w:p>
    <w:p w14:paraId="6601880D" w14:textId="77777777" w:rsidR="00601EEA" w:rsidRDefault="00601EEA" w:rsidP="00601EEA">
      <w:pPr>
        <w:pStyle w:val="TextoNormalNegritaCursivandice"/>
        <w:keepNext/>
      </w:pPr>
      <w:r>
        <w:t>Comunidad Foral de Navarra. Ley Foral 17/2021, de 21 de octubre, por la que se modifica la Ley Foral 2/2018, de 13 de abril, de contratos públicos</w:t>
      </w:r>
    </w:p>
    <w:p w14:paraId="664185AC" w14:textId="5104326A"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65" w:history="1">
        <w:r w:rsidRPr="00601EEA">
          <w:rPr>
            <w:rStyle w:val="TextoNormalCaracter"/>
          </w:rPr>
          <w:t>65/2024</w:t>
        </w:r>
      </w:hyperlink>
      <w:r>
        <w:t>, f. 4.</w:t>
      </w:r>
    </w:p>
    <w:p w14:paraId="56761AE5" w14:textId="795B7F8C" w:rsidR="00601EEA" w:rsidRDefault="00601EEA" w:rsidP="00601EEA">
      <w:pPr>
        <w:pStyle w:val="SangriaFrancesaArticulo"/>
      </w:pPr>
      <w:r w:rsidRPr="00601EEA">
        <w:rPr>
          <w:rStyle w:val="TextoNormalNegritaCaracter"/>
        </w:rPr>
        <w:t>Preámbulo.</w:t>
      </w:r>
      <w:r w:rsidRPr="00601EEA">
        <w:rPr>
          <w:rStyle w:val="TextoNormalCaracter"/>
        </w:rPr>
        <w:t>-</w:t>
      </w:r>
      <w:r>
        <w:t xml:space="preserve"> Sentencia </w:t>
      </w:r>
      <w:hyperlink w:anchor="SENTENCIA_2024_65" w:history="1">
        <w:r w:rsidRPr="00601EEA">
          <w:rPr>
            <w:rStyle w:val="TextoNormalCaracter"/>
          </w:rPr>
          <w:t>65/2024</w:t>
        </w:r>
      </w:hyperlink>
      <w:r>
        <w:t>, f. 4.</w:t>
      </w:r>
    </w:p>
    <w:p w14:paraId="633494F2" w14:textId="16FE509E" w:rsidR="00601EEA" w:rsidRDefault="00601EEA" w:rsidP="00601EEA">
      <w:pPr>
        <w:pStyle w:val="SangriaFrancesaArticulo"/>
      </w:pPr>
      <w:r w:rsidRPr="00601EEA">
        <w:rPr>
          <w:rStyle w:val="TextoNormalNegritaCaracter"/>
        </w:rPr>
        <w:t>Artículo único, apartado dos.</w:t>
      </w:r>
      <w:r w:rsidRPr="00601EEA">
        <w:rPr>
          <w:rStyle w:val="TextoNormalCaracter"/>
        </w:rPr>
        <w:t>-</w:t>
      </w:r>
      <w:r>
        <w:t xml:space="preserve"> Sentencia </w:t>
      </w:r>
      <w:hyperlink w:anchor="SENTENCIA_2024_65" w:history="1">
        <w:r w:rsidRPr="00601EEA">
          <w:rPr>
            <w:rStyle w:val="TextoNormalCaracter"/>
          </w:rPr>
          <w:t>65/2024</w:t>
        </w:r>
      </w:hyperlink>
      <w:r>
        <w:t>, ff. 1, 2, 4, 5.</w:t>
      </w:r>
    </w:p>
    <w:p w14:paraId="0124ABF6" w14:textId="25AEB018" w:rsidR="00601EEA" w:rsidRDefault="00601EEA" w:rsidP="00601EEA">
      <w:pPr>
        <w:pStyle w:val="SangriaFrancesaArticulo"/>
      </w:pPr>
      <w:r w:rsidRPr="00601EEA">
        <w:rPr>
          <w:rStyle w:val="TextoNormalNegritaCaracter"/>
        </w:rPr>
        <w:t>Artículo único, apartado sesenta y cinco.</w:t>
      </w:r>
      <w:r w:rsidRPr="00601EEA">
        <w:rPr>
          <w:rStyle w:val="TextoNormalCaracter"/>
        </w:rPr>
        <w:t>-</w:t>
      </w:r>
      <w:r>
        <w:t xml:space="preserve"> Sentencia </w:t>
      </w:r>
      <w:hyperlink w:anchor="SENTENCIA_2024_65" w:history="1">
        <w:r w:rsidRPr="00601EEA">
          <w:rPr>
            <w:rStyle w:val="TextoNormalCaracter"/>
          </w:rPr>
          <w:t>65/2024</w:t>
        </w:r>
      </w:hyperlink>
      <w:r>
        <w:t>, ff. 1, 5.</w:t>
      </w:r>
    </w:p>
    <w:p w14:paraId="5DEEC133" w14:textId="2B76A1A9" w:rsidR="00601EEA" w:rsidRDefault="00601EEA" w:rsidP="00601EEA">
      <w:pPr>
        <w:pStyle w:val="SangriaFrancesaArticulo"/>
      </w:pPr>
    </w:p>
    <w:p w14:paraId="41E8C988" w14:textId="77777777" w:rsidR="00601EEA" w:rsidRDefault="00601EEA" w:rsidP="00601EEA">
      <w:pPr>
        <w:pStyle w:val="TextoNormalNegritaCursivandice"/>
        <w:keepNext/>
      </w:pPr>
      <w:r>
        <w:t>Comunidad Foral de Navarra. Ley Foral 35/2022, de 28 de diciembre, de presupuestos generales de Navarra para el año 2023</w:t>
      </w:r>
    </w:p>
    <w:p w14:paraId="79C249EA" w14:textId="2EF82EDA" w:rsidR="00601EEA" w:rsidRDefault="00601EEA" w:rsidP="00601EEA">
      <w:pPr>
        <w:pStyle w:val="SangriaFrancesaArticulo"/>
      </w:pPr>
      <w:r w:rsidRPr="00601EEA">
        <w:rPr>
          <w:rStyle w:val="TextoNormalNegritaCaracter"/>
        </w:rPr>
        <w:t>Disposición final segunda, apartado siete.</w:t>
      </w:r>
      <w:r w:rsidRPr="00601EEA">
        <w:rPr>
          <w:rStyle w:val="TextoNormalCaracter"/>
        </w:rPr>
        <w:t>-</w:t>
      </w:r>
      <w:r>
        <w:t xml:space="preserve"> Sentencia </w:t>
      </w:r>
      <w:hyperlink w:anchor="SENTENCIA_2024_65" w:history="1">
        <w:r w:rsidRPr="00601EEA">
          <w:rPr>
            <w:rStyle w:val="TextoNormalCaracter"/>
          </w:rPr>
          <w:t>65/2024</w:t>
        </w:r>
      </w:hyperlink>
      <w:r>
        <w:t>, f. 2.</w:t>
      </w:r>
    </w:p>
    <w:p w14:paraId="6518D126" w14:textId="15ACD97F" w:rsidR="00601EEA" w:rsidRDefault="00601EEA" w:rsidP="00601EEA">
      <w:pPr>
        <w:pStyle w:val="SangriaFrancesaArticulo"/>
      </w:pPr>
      <w:r w:rsidRPr="00601EEA">
        <w:rPr>
          <w:rStyle w:val="TextoNormalNegritaCaracter"/>
        </w:rPr>
        <w:t>Disposición final decimosexta.</w:t>
      </w:r>
      <w:r w:rsidRPr="00601EEA">
        <w:rPr>
          <w:rStyle w:val="TextoNormalCaracter"/>
        </w:rPr>
        <w:t>-</w:t>
      </w:r>
      <w:r>
        <w:t xml:space="preserve"> Sentencia </w:t>
      </w:r>
      <w:hyperlink w:anchor="SENTENCIA_2024_65" w:history="1">
        <w:r w:rsidRPr="00601EEA">
          <w:rPr>
            <w:rStyle w:val="TextoNormalCaracter"/>
          </w:rPr>
          <w:t>65/2024</w:t>
        </w:r>
      </w:hyperlink>
      <w:r>
        <w:t>, f. 2.</w:t>
      </w:r>
    </w:p>
    <w:p w14:paraId="283BE48C" w14:textId="1CBBA0E9" w:rsidR="00601EEA" w:rsidRDefault="00601EEA" w:rsidP="00601EEA">
      <w:pPr>
        <w:pStyle w:val="SangriaFrancesaArticulo"/>
      </w:pPr>
    </w:p>
    <w:p w14:paraId="6F39D691" w14:textId="77777777" w:rsidR="00601EEA" w:rsidRDefault="00601EEA" w:rsidP="00601EEA">
      <w:pPr>
        <w:pStyle w:val="TextoNormalNegritaCursivandice"/>
        <w:keepNext/>
      </w:pPr>
      <w:r>
        <w:t>Comunidad Foral de Navarra. Ley Foral 2/2024, de 13 de marzo, de presupuestos generales de Navarra para el año 2024</w:t>
      </w:r>
    </w:p>
    <w:p w14:paraId="7E106D75" w14:textId="0B6C399E" w:rsidR="00601EEA" w:rsidRDefault="00601EEA" w:rsidP="00601EEA">
      <w:pPr>
        <w:pStyle w:val="SangriaFrancesaArticulo"/>
      </w:pPr>
      <w:r w:rsidRPr="00601EEA">
        <w:rPr>
          <w:rStyle w:val="TextoNormalNegritaCaracter"/>
        </w:rPr>
        <w:t>Disposición final segunda.</w:t>
      </w:r>
      <w:r w:rsidRPr="00601EEA">
        <w:rPr>
          <w:rStyle w:val="TextoNormalCaracter"/>
        </w:rPr>
        <w:t>-</w:t>
      </w:r>
      <w:r>
        <w:t xml:space="preserve"> Sentencia </w:t>
      </w:r>
      <w:hyperlink w:anchor="SENTENCIA_2024_65" w:history="1">
        <w:r w:rsidRPr="00601EEA">
          <w:rPr>
            <w:rStyle w:val="TextoNormalCaracter"/>
          </w:rPr>
          <w:t>65/2024</w:t>
        </w:r>
      </w:hyperlink>
      <w:r>
        <w:t>, f. 2.</w:t>
      </w:r>
    </w:p>
    <w:p w14:paraId="414B9257" w14:textId="7DA6B6D1" w:rsidR="00601EEA" w:rsidRDefault="00601EEA" w:rsidP="00601EEA">
      <w:pPr>
        <w:pStyle w:val="SangriaFrancesaArticulo"/>
      </w:pPr>
      <w:r w:rsidRPr="00601EEA">
        <w:rPr>
          <w:rStyle w:val="TextoNormalNegritaCaracter"/>
        </w:rPr>
        <w:t>Disposición final segunda, apartado seis.</w:t>
      </w:r>
      <w:r w:rsidRPr="00601EEA">
        <w:rPr>
          <w:rStyle w:val="TextoNormalCaracter"/>
        </w:rPr>
        <w:t>-</w:t>
      </w:r>
      <w:r>
        <w:t xml:space="preserve"> Sentencia </w:t>
      </w:r>
      <w:hyperlink w:anchor="SENTENCIA_2024_65" w:history="1">
        <w:r w:rsidRPr="00601EEA">
          <w:rPr>
            <w:rStyle w:val="TextoNormalCaracter"/>
          </w:rPr>
          <w:t>65/2024</w:t>
        </w:r>
      </w:hyperlink>
      <w:r>
        <w:t>, f. 2.</w:t>
      </w:r>
    </w:p>
    <w:p w14:paraId="2DCF3D63" w14:textId="754E7C62" w:rsidR="00601EEA" w:rsidRDefault="00601EEA" w:rsidP="00601EEA">
      <w:pPr>
        <w:pStyle w:val="SangriaFrancesaArticulo"/>
      </w:pPr>
      <w:r w:rsidRPr="00601EEA">
        <w:rPr>
          <w:rStyle w:val="TextoNormalNegritaCaracter"/>
        </w:rPr>
        <w:t>Disposición final séptima.</w:t>
      </w:r>
      <w:r w:rsidRPr="00601EEA">
        <w:rPr>
          <w:rStyle w:val="TextoNormalCaracter"/>
        </w:rPr>
        <w:t>-</w:t>
      </w:r>
      <w:r>
        <w:t xml:space="preserve"> Sentencia </w:t>
      </w:r>
      <w:hyperlink w:anchor="SENTENCIA_2024_65" w:history="1">
        <w:r w:rsidRPr="00601EEA">
          <w:rPr>
            <w:rStyle w:val="TextoNormalCaracter"/>
          </w:rPr>
          <w:t>65/2024</w:t>
        </w:r>
      </w:hyperlink>
      <w:r>
        <w:t>, f. 2.</w:t>
      </w:r>
    </w:p>
    <w:p w14:paraId="12756C5D" w14:textId="3DCAF2BE" w:rsidR="00601EEA" w:rsidRDefault="00601EEA" w:rsidP="00601EEA">
      <w:pPr>
        <w:pStyle w:val="TextoNormal"/>
      </w:pPr>
    </w:p>
    <w:p w14:paraId="7DC512F1" w14:textId="77777777" w:rsidR="00601EEA" w:rsidRDefault="00601EEA" w:rsidP="00601EEA">
      <w:pPr>
        <w:pStyle w:val="TextoNormalNegritaCentradoSubrayado"/>
        <w:suppressAutoHyphens/>
      </w:pPr>
      <w:r>
        <w:t>J.14.d) Disposiciones parlamentarias autonómicas</w:t>
      </w:r>
    </w:p>
    <w:p w14:paraId="039B14AF" w14:textId="6F753026" w:rsidR="00601EEA" w:rsidRDefault="00601EEA" w:rsidP="00601EEA">
      <w:pPr>
        <w:pStyle w:val="TextoNormalNegritaCentradoSubrayado"/>
      </w:pPr>
    </w:p>
    <w:p w14:paraId="336E4C5C" w14:textId="77777777" w:rsidR="00601EEA" w:rsidRDefault="00601EEA" w:rsidP="00601EEA">
      <w:pPr>
        <w:pStyle w:val="TextoNormalNegritaCursivandice"/>
        <w:keepNext/>
      </w:pPr>
      <w:r>
        <w:t>Comunidad Foral de Navarra. Reglamento del Parlamento de Navarra, texto refundido aprobado por acuerdo de la mesa del Parlamento de Navarra de 12 de septiembre de 2011</w:t>
      </w:r>
    </w:p>
    <w:p w14:paraId="3FE3407B" w14:textId="356D255E" w:rsidR="00601EEA" w:rsidRDefault="00601EEA" w:rsidP="00601EEA">
      <w:pPr>
        <w:pStyle w:val="SangriaFrancesaArticulo"/>
      </w:pPr>
      <w:r w:rsidRPr="00601EEA">
        <w:rPr>
          <w:rStyle w:val="TextoNormalNegritaCaracter"/>
        </w:rPr>
        <w:t>Artículo 13.2.</w:t>
      </w:r>
      <w:r w:rsidRPr="00601EEA">
        <w:rPr>
          <w:rStyle w:val="TextoNormalCaracter"/>
        </w:rPr>
        <w:t>-</w:t>
      </w:r>
      <w:r>
        <w:t xml:space="preserve"> Auto </w:t>
      </w:r>
      <w:hyperlink w:anchor="AUTO_2024_47" w:history="1">
        <w:r w:rsidRPr="00601EEA">
          <w:rPr>
            <w:rStyle w:val="TextoNormalCaracter"/>
          </w:rPr>
          <w:t>47/2024</w:t>
        </w:r>
      </w:hyperlink>
      <w:r>
        <w:t>, f. 1.</w:t>
      </w:r>
    </w:p>
    <w:p w14:paraId="5905D246" w14:textId="7B9643D9" w:rsidR="00601EEA" w:rsidRDefault="00601EEA" w:rsidP="00601EEA">
      <w:pPr>
        <w:pStyle w:val="SangriaFrancesaArticulo"/>
      </w:pPr>
      <w:r w:rsidRPr="00601EEA">
        <w:rPr>
          <w:rStyle w:val="TextoNormalNegritaCaracter"/>
        </w:rPr>
        <w:t>Artículo 14.</w:t>
      </w:r>
      <w:r w:rsidRPr="00601EEA">
        <w:rPr>
          <w:rStyle w:val="TextoNormalCaracter"/>
        </w:rPr>
        <w:t>-</w:t>
      </w:r>
      <w:r>
        <w:t xml:space="preserve"> Auto </w:t>
      </w:r>
      <w:hyperlink w:anchor="AUTO_2024_47" w:history="1">
        <w:r w:rsidRPr="00601EEA">
          <w:rPr>
            <w:rStyle w:val="TextoNormalCaracter"/>
          </w:rPr>
          <w:t>47/2024</w:t>
        </w:r>
      </w:hyperlink>
      <w:r>
        <w:t>, f. 3.</w:t>
      </w:r>
    </w:p>
    <w:p w14:paraId="26CDAF51" w14:textId="5884DE62" w:rsidR="00601EEA" w:rsidRDefault="00601EEA" w:rsidP="00601EEA">
      <w:pPr>
        <w:pStyle w:val="SangriaFrancesaArticulo"/>
      </w:pPr>
      <w:r w:rsidRPr="00601EEA">
        <w:rPr>
          <w:rStyle w:val="TextoNormalNegritaCaracter"/>
        </w:rPr>
        <w:t>Artículo 43.5.</w:t>
      </w:r>
      <w:r w:rsidRPr="00601EEA">
        <w:rPr>
          <w:rStyle w:val="TextoNormalCaracter"/>
        </w:rPr>
        <w:t>-</w:t>
      </w:r>
      <w:r>
        <w:t xml:space="preserve"> Auto </w:t>
      </w:r>
      <w:hyperlink w:anchor="AUTO_2024_47" w:history="1">
        <w:r w:rsidRPr="00601EEA">
          <w:rPr>
            <w:rStyle w:val="TextoNormalCaracter"/>
          </w:rPr>
          <w:t>47/2024</w:t>
        </w:r>
      </w:hyperlink>
      <w:r>
        <w:t>, f. 3.</w:t>
      </w:r>
    </w:p>
    <w:p w14:paraId="46313E8F" w14:textId="34979F47" w:rsidR="00601EEA" w:rsidRDefault="00601EEA" w:rsidP="00601EEA">
      <w:pPr>
        <w:pStyle w:val="SangriaFrancesaArticulo"/>
      </w:pPr>
      <w:r w:rsidRPr="00601EEA">
        <w:rPr>
          <w:rStyle w:val="TextoNormalNegritaCaracter"/>
        </w:rPr>
        <w:t>Artículo 44.</w:t>
      </w:r>
      <w:r w:rsidRPr="00601EEA">
        <w:rPr>
          <w:rStyle w:val="TextoNormalCaracter"/>
        </w:rPr>
        <w:t>-</w:t>
      </w:r>
      <w:r>
        <w:t xml:space="preserve"> Auto </w:t>
      </w:r>
      <w:hyperlink w:anchor="AUTO_2024_47" w:history="1">
        <w:r w:rsidRPr="00601EEA">
          <w:rPr>
            <w:rStyle w:val="TextoNormalCaracter"/>
          </w:rPr>
          <w:t>47/2024</w:t>
        </w:r>
      </w:hyperlink>
      <w:r>
        <w:t>, ff. 1, 3.</w:t>
      </w:r>
    </w:p>
    <w:p w14:paraId="7DCF74C5" w14:textId="36641392" w:rsidR="00601EEA" w:rsidRDefault="00601EEA" w:rsidP="00601EEA">
      <w:pPr>
        <w:pStyle w:val="SangriaFrancesaArticulo"/>
      </w:pPr>
      <w:r w:rsidRPr="00601EEA">
        <w:rPr>
          <w:rStyle w:val="TextoNormalNegritaCaracter"/>
        </w:rPr>
        <w:t>Artículo 44.7.</w:t>
      </w:r>
      <w:r w:rsidRPr="00601EEA">
        <w:rPr>
          <w:rStyle w:val="TextoNormalCaracter"/>
        </w:rPr>
        <w:t>-</w:t>
      </w:r>
      <w:r>
        <w:t xml:space="preserve"> Auto </w:t>
      </w:r>
      <w:hyperlink w:anchor="AUTO_2024_47" w:history="1">
        <w:r w:rsidRPr="00601EEA">
          <w:rPr>
            <w:rStyle w:val="TextoNormalCaracter"/>
          </w:rPr>
          <w:t>47/2024</w:t>
        </w:r>
      </w:hyperlink>
      <w:r>
        <w:t>, f. 3.</w:t>
      </w:r>
    </w:p>
    <w:p w14:paraId="0C47F443" w14:textId="20E746C9" w:rsidR="00601EEA" w:rsidRDefault="00601EEA" w:rsidP="00601EEA">
      <w:pPr>
        <w:pStyle w:val="SangriaFrancesaArticulo"/>
      </w:pPr>
      <w:r w:rsidRPr="00601EEA">
        <w:rPr>
          <w:rStyle w:val="TextoNormalNegritaCaracter"/>
        </w:rPr>
        <w:t>Artículo 54.3.</w:t>
      </w:r>
      <w:r w:rsidRPr="00601EEA">
        <w:rPr>
          <w:rStyle w:val="TextoNormalCaracter"/>
        </w:rPr>
        <w:t>-</w:t>
      </w:r>
      <w:r>
        <w:t xml:space="preserve"> Auto </w:t>
      </w:r>
      <w:hyperlink w:anchor="AUTO_2024_47" w:history="1">
        <w:r w:rsidRPr="00601EEA">
          <w:rPr>
            <w:rStyle w:val="TextoNormalCaracter"/>
          </w:rPr>
          <w:t>47/2024</w:t>
        </w:r>
      </w:hyperlink>
      <w:r>
        <w:t>, f. 3.</w:t>
      </w:r>
    </w:p>
    <w:p w14:paraId="7C4EF6E3" w14:textId="033AE2DE" w:rsidR="00601EEA" w:rsidRDefault="00601EEA" w:rsidP="00601EEA">
      <w:pPr>
        <w:pStyle w:val="SangriaFrancesaArticulo"/>
      </w:pPr>
      <w:r w:rsidRPr="00601EEA">
        <w:rPr>
          <w:rStyle w:val="TextoNormalNegritaCaracter"/>
        </w:rPr>
        <w:t>Artículo 56.</w:t>
      </w:r>
      <w:r w:rsidRPr="00601EEA">
        <w:rPr>
          <w:rStyle w:val="TextoNormalCaracter"/>
        </w:rPr>
        <w:t>-</w:t>
      </w:r>
      <w:r>
        <w:t xml:space="preserve"> Auto </w:t>
      </w:r>
      <w:hyperlink w:anchor="AUTO_2024_47" w:history="1">
        <w:r w:rsidRPr="00601EEA">
          <w:rPr>
            <w:rStyle w:val="TextoNormalCaracter"/>
          </w:rPr>
          <w:t>47/2024</w:t>
        </w:r>
      </w:hyperlink>
      <w:r>
        <w:t>, ff. 1, 3.</w:t>
      </w:r>
    </w:p>
    <w:p w14:paraId="08B23D1D" w14:textId="7A3D89C5" w:rsidR="00601EEA" w:rsidRDefault="00601EEA" w:rsidP="00601EEA">
      <w:pPr>
        <w:pStyle w:val="SangriaFrancesaArticulo"/>
      </w:pPr>
      <w:r w:rsidRPr="00601EEA">
        <w:rPr>
          <w:rStyle w:val="TextoNormalNegritaCaracter"/>
        </w:rPr>
        <w:t>Artículo 56.1.</w:t>
      </w:r>
      <w:r w:rsidRPr="00601EEA">
        <w:rPr>
          <w:rStyle w:val="TextoNormalCaracter"/>
        </w:rPr>
        <w:t>-</w:t>
      </w:r>
      <w:r>
        <w:t xml:space="preserve"> Auto </w:t>
      </w:r>
      <w:hyperlink w:anchor="AUTO_2024_47" w:history="1">
        <w:r w:rsidRPr="00601EEA">
          <w:rPr>
            <w:rStyle w:val="TextoNormalCaracter"/>
          </w:rPr>
          <w:t>47/2024</w:t>
        </w:r>
      </w:hyperlink>
      <w:r>
        <w:t>, f. 3.</w:t>
      </w:r>
    </w:p>
    <w:p w14:paraId="693AF969" w14:textId="7CF58D35" w:rsidR="00601EEA" w:rsidRDefault="00601EEA" w:rsidP="00601EEA">
      <w:pPr>
        <w:pStyle w:val="SangriaFrancesaArticulo"/>
      </w:pPr>
      <w:r w:rsidRPr="00601EEA">
        <w:rPr>
          <w:rStyle w:val="TextoNormalNegritaCaracter"/>
        </w:rPr>
        <w:t>Artículo 56.1 b).</w:t>
      </w:r>
      <w:r w:rsidRPr="00601EEA">
        <w:rPr>
          <w:rStyle w:val="TextoNormalCaracter"/>
        </w:rPr>
        <w:t>-</w:t>
      </w:r>
      <w:r>
        <w:t xml:space="preserve"> Auto </w:t>
      </w:r>
      <w:hyperlink w:anchor="AUTO_2024_47" w:history="1">
        <w:r w:rsidRPr="00601EEA">
          <w:rPr>
            <w:rStyle w:val="TextoNormalCaracter"/>
          </w:rPr>
          <w:t>47/2024</w:t>
        </w:r>
      </w:hyperlink>
      <w:r>
        <w:t>, f. 3.</w:t>
      </w:r>
    </w:p>
    <w:p w14:paraId="6299EDC0" w14:textId="6733A933" w:rsidR="00601EEA" w:rsidRDefault="00601EEA" w:rsidP="00601EEA">
      <w:pPr>
        <w:pStyle w:val="SangriaFrancesaArticulo"/>
      </w:pPr>
      <w:r w:rsidRPr="00601EEA">
        <w:rPr>
          <w:rStyle w:val="TextoNormalNegritaCaracter"/>
        </w:rPr>
        <w:t>Artículo 162.1.</w:t>
      </w:r>
      <w:r w:rsidRPr="00601EEA">
        <w:rPr>
          <w:rStyle w:val="TextoNormalCaracter"/>
        </w:rPr>
        <w:t>-</w:t>
      </w:r>
      <w:r>
        <w:t xml:space="preserve"> Auto </w:t>
      </w:r>
      <w:hyperlink w:anchor="AUTO_2024_47" w:history="1">
        <w:r w:rsidRPr="00601EEA">
          <w:rPr>
            <w:rStyle w:val="TextoNormalCaracter"/>
          </w:rPr>
          <w:t>47/2024</w:t>
        </w:r>
      </w:hyperlink>
      <w:r>
        <w:t>, VP.</w:t>
      </w:r>
    </w:p>
    <w:p w14:paraId="5AB9BFD6" w14:textId="026926E7" w:rsidR="00601EEA" w:rsidRDefault="00601EEA" w:rsidP="00601EEA">
      <w:pPr>
        <w:pStyle w:val="SangriaFrancesaArticulo"/>
      </w:pPr>
      <w:r w:rsidRPr="00601EEA">
        <w:rPr>
          <w:rStyle w:val="TextoNormalNegritaCaracter"/>
        </w:rPr>
        <w:t>Artículo 203.</w:t>
      </w:r>
      <w:r w:rsidRPr="00601EEA">
        <w:rPr>
          <w:rStyle w:val="TextoNormalCaracter"/>
        </w:rPr>
        <w:t>-</w:t>
      </w:r>
      <w:r>
        <w:t xml:space="preserve"> Auto </w:t>
      </w:r>
      <w:hyperlink w:anchor="AUTO_2024_47" w:history="1">
        <w:r w:rsidRPr="00601EEA">
          <w:rPr>
            <w:rStyle w:val="TextoNormalCaracter"/>
          </w:rPr>
          <w:t>47/2024</w:t>
        </w:r>
      </w:hyperlink>
      <w:r>
        <w:t>, f. 1.</w:t>
      </w:r>
    </w:p>
    <w:p w14:paraId="1E85C83A" w14:textId="5728EFBA" w:rsidR="00601EEA" w:rsidRDefault="00601EEA" w:rsidP="00601EEA">
      <w:pPr>
        <w:pStyle w:val="SangriaFrancesaArticulo"/>
      </w:pPr>
      <w:r w:rsidRPr="00601EEA">
        <w:rPr>
          <w:rStyle w:val="TextoNormalNegritaCaracter"/>
        </w:rPr>
        <w:t>Artículo 203.2.</w:t>
      </w:r>
      <w:r w:rsidRPr="00601EEA">
        <w:rPr>
          <w:rStyle w:val="TextoNormalCaracter"/>
        </w:rPr>
        <w:t>-</w:t>
      </w:r>
      <w:r>
        <w:t xml:space="preserve"> Auto </w:t>
      </w:r>
      <w:hyperlink w:anchor="AUTO_2024_47" w:history="1">
        <w:r w:rsidRPr="00601EEA">
          <w:rPr>
            <w:rStyle w:val="TextoNormalCaracter"/>
          </w:rPr>
          <w:t>47/2024</w:t>
        </w:r>
      </w:hyperlink>
      <w:r>
        <w:t>, f. 3.</w:t>
      </w:r>
    </w:p>
    <w:p w14:paraId="5F206C2F" w14:textId="79E342C7" w:rsidR="00601EEA" w:rsidRDefault="00601EEA" w:rsidP="00601EEA">
      <w:pPr>
        <w:pStyle w:val="TextoNormal"/>
      </w:pPr>
    </w:p>
    <w:p w14:paraId="151A4AF5" w14:textId="77777777" w:rsidR="00601EEA" w:rsidRDefault="00601EEA" w:rsidP="00601EEA">
      <w:pPr>
        <w:pStyle w:val="TextoNormalNegritaCentrado"/>
        <w:suppressAutoHyphens/>
      </w:pPr>
      <w:r w:rsidRPr="00601EEA">
        <w:rPr>
          <w:rStyle w:val="TextoNormalNegritaCentradoSombreado"/>
        </w:rPr>
        <w:t>J.15) País Vasco</w:t>
      </w:r>
    </w:p>
    <w:p w14:paraId="1CFF0C37" w14:textId="7F8464C1" w:rsidR="00601EEA" w:rsidRDefault="00601EEA" w:rsidP="00601EEA">
      <w:pPr>
        <w:pStyle w:val="TextoNormal"/>
      </w:pPr>
    </w:p>
    <w:p w14:paraId="13A2F900" w14:textId="77777777" w:rsidR="00601EEA" w:rsidRDefault="00601EEA" w:rsidP="00601EEA">
      <w:pPr>
        <w:pStyle w:val="TextoNormalNegritaCentradoSubrayado"/>
        <w:suppressAutoHyphens/>
      </w:pPr>
      <w:r>
        <w:t>J.15.a) Estatuto de Autonomía</w:t>
      </w:r>
    </w:p>
    <w:p w14:paraId="65C72E6D" w14:textId="254CF014" w:rsidR="00601EEA" w:rsidRDefault="00601EEA" w:rsidP="00601EEA">
      <w:pPr>
        <w:pStyle w:val="TextoNormalNegritaCentradoSubrayado"/>
      </w:pPr>
    </w:p>
    <w:p w14:paraId="75571B14" w14:textId="77777777" w:rsidR="00601EEA" w:rsidRDefault="00601EEA" w:rsidP="00601EEA">
      <w:pPr>
        <w:pStyle w:val="TextoNormalNegritaCursivandice"/>
        <w:keepNext/>
      </w:pPr>
      <w:r>
        <w:lastRenderedPageBreak/>
        <w:t>Ley Orgánica 3/1979, de 18 de diciembre, de Estatuto de Autonomía para el País Vasco</w:t>
      </w:r>
    </w:p>
    <w:p w14:paraId="7974AB53" w14:textId="100FE070"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Sentencias </w:t>
      </w:r>
      <w:hyperlink w:anchor="SENTENCIA_2024_67" w:history="1">
        <w:r w:rsidRPr="00601EEA">
          <w:rPr>
            <w:rStyle w:val="TextoNormalCaracter"/>
          </w:rPr>
          <w:t>67/2024</w:t>
        </w:r>
      </w:hyperlink>
      <w:r>
        <w:t xml:space="preserve">, ff. 1, 2; </w:t>
      </w:r>
      <w:hyperlink w:anchor="SENTENCIA_2024_73" w:history="1">
        <w:r w:rsidRPr="00601EEA">
          <w:rPr>
            <w:rStyle w:val="TextoNormalCaracter"/>
          </w:rPr>
          <w:t>73/2024</w:t>
        </w:r>
      </w:hyperlink>
      <w:r>
        <w:t>, f. 1.</w:t>
      </w:r>
    </w:p>
    <w:p w14:paraId="25C337FB" w14:textId="5135105D" w:rsidR="00601EEA" w:rsidRDefault="00601EEA" w:rsidP="00601EEA">
      <w:pPr>
        <w:pStyle w:val="SangriaFrancesaArticulo"/>
      </w:pPr>
      <w:r w:rsidRPr="00601EEA">
        <w:rPr>
          <w:rStyle w:val="TextoNormalNegritaCaracter"/>
        </w:rPr>
        <w:t>Artículo 11.1 a).</w:t>
      </w:r>
      <w:r w:rsidRPr="00601EEA">
        <w:rPr>
          <w:rStyle w:val="TextoNormalCaracter"/>
        </w:rPr>
        <w:t>-</w:t>
      </w:r>
      <w:r>
        <w:t xml:space="preserve"> Sentencia </w:t>
      </w:r>
      <w:hyperlink w:anchor="SENTENCIA_2024_68" w:history="1">
        <w:r w:rsidRPr="00601EEA">
          <w:rPr>
            <w:rStyle w:val="TextoNormalCaracter"/>
          </w:rPr>
          <w:t>68/2024</w:t>
        </w:r>
      </w:hyperlink>
      <w:r>
        <w:t>, f. 5.</w:t>
      </w:r>
    </w:p>
    <w:p w14:paraId="50155ED2" w14:textId="05EF5F04" w:rsidR="00601EEA" w:rsidRDefault="00601EEA" w:rsidP="00601EEA">
      <w:pPr>
        <w:pStyle w:val="SangriaFrancesaArticulo"/>
      </w:pPr>
      <w:r w:rsidRPr="00601EEA">
        <w:rPr>
          <w:rStyle w:val="TextoNormalNegritaCaracter"/>
        </w:rPr>
        <w:t>Artículo 18.2.</w:t>
      </w:r>
      <w:r w:rsidRPr="00601EEA">
        <w:rPr>
          <w:rStyle w:val="TextoNormalCaracter"/>
        </w:rPr>
        <w:t>-</w:t>
      </w:r>
      <w:r>
        <w:t xml:space="preserve"> Sentencia </w:t>
      </w:r>
      <w:hyperlink w:anchor="SENTENCIA_2024_19" w:history="1">
        <w:r w:rsidRPr="00601EEA">
          <w:rPr>
            <w:rStyle w:val="TextoNormalCaracter"/>
          </w:rPr>
          <w:t>19/2024</w:t>
        </w:r>
      </w:hyperlink>
      <w:r>
        <w:t>, f. 3.</w:t>
      </w:r>
    </w:p>
    <w:p w14:paraId="2E04295F" w14:textId="4F66E010" w:rsidR="00601EEA" w:rsidRDefault="00601EEA" w:rsidP="00601EEA">
      <w:pPr>
        <w:pStyle w:val="SangriaFrancesaArticulo"/>
      </w:pPr>
      <w:r w:rsidRPr="00601EEA">
        <w:rPr>
          <w:rStyle w:val="TextoNormalNegritaCaracter"/>
        </w:rPr>
        <w:t>Artículo 41.</w:t>
      </w:r>
      <w:r w:rsidRPr="00601EEA">
        <w:rPr>
          <w:rStyle w:val="TextoNormalCaracter"/>
        </w:rPr>
        <w:t>-</w:t>
      </w:r>
      <w:r>
        <w:t xml:space="preserve"> Sentencia </w:t>
      </w:r>
      <w:hyperlink w:anchor="SENTENCIA_2024_19" w:history="1">
        <w:r w:rsidRPr="00601EEA">
          <w:rPr>
            <w:rStyle w:val="TextoNormalCaracter"/>
          </w:rPr>
          <w:t>19/2024</w:t>
        </w:r>
      </w:hyperlink>
      <w:r>
        <w:t>, f. 5.</w:t>
      </w:r>
    </w:p>
    <w:p w14:paraId="1224EE3C" w14:textId="7AFF61AC" w:rsidR="00601EEA" w:rsidRDefault="00601EEA" w:rsidP="00601EEA">
      <w:pPr>
        <w:pStyle w:val="SangriaFrancesaArticulo"/>
      </w:pPr>
      <w:r w:rsidRPr="00601EEA">
        <w:rPr>
          <w:rStyle w:val="TextoNormalNegritaCaracter"/>
        </w:rPr>
        <w:t>Disposición transitoria quinta.</w:t>
      </w:r>
      <w:r w:rsidRPr="00601EEA">
        <w:rPr>
          <w:rStyle w:val="TextoNormalCaracter"/>
        </w:rPr>
        <w:t>-</w:t>
      </w:r>
      <w:r>
        <w:t xml:space="preserve"> Sentencia </w:t>
      </w:r>
      <w:hyperlink w:anchor="SENTENCIA_2024_19" w:history="1">
        <w:r w:rsidRPr="00601EEA">
          <w:rPr>
            <w:rStyle w:val="TextoNormalCaracter"/>
          </w:rPr>
          <w:t>19/2024</w:t>
        </w:r>
      </w:hyperlink>
      <w:r>
        <w:t>, f. 3.</w:t>
      </w:r>
    </w:p>
    <w:p w14:paraId="1EDEF374" w14:textId="6A2E6D53" w:rsidR="00601EEA" w:rsidRDefault="00601EEA" w:rsidP="00601EEA">
      <w:pPr>
        <w:pStyle w:val="TextoNormal"/>
      </w:pPr>
    </w:p>
    <w:p w14:paraId="63164757" w14:textId="77777777" w:rsidR="00601EEA" w:rsidRDefault="00601EEA" w:rsidP="00601EEA">
      <w:pPr>
        <w:pStyle w:val="TextoNormalNegritaCentradoSubrayado"/>
        <w:suppressAutoHyphens/>
      </w:pPr>
      <w:r>
        <w:t>J.15.b) Leyes y disposiciones con fuerza de Ley</w:t>
      </w:r>
    </w:p>
    <w:p w14:paraId="74B6585E" w14:textId="12690CA1" w:rsidR="00601EEA" w:rsidRDefault="00601EEA" w:rsidP="00601EEA">
      <w:pPr>
        <w:pStyle w:val="TextoNormalNegritaCentradoSubrayado"/>
      </w:pPr>
    </w:p>
    <w:p w14:paraId="2093978F" w14:textId="77777777" w:rsidR="00601EEA" w:rsidRDefault="00601EEA" w:rsidP="00601EEA">
      <w:pPr>
        <w:pStyle w:val="TextoNormalNegritaCursivandice"/>
        <w:keepNext/>
      </w:pPr>
      <w:r>
        <w:t>Comunidad Autónoma del País Vasco. Ley 3/1981, de 12 de febrero, sobre Centros de contratación de cargas en transporte terrestre de mercancías</w:t>
      </w:r>
    </w:p>
    <w:p w14:paraId="65CD3643" w14:textId="2F6702C9"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68" w:history="1">
        <w:r w:rsidRPr="00601EEA">
          <w:rPr>
            <w:rStyle w:val="TextoNormalCaracter"/>
          </w:rPr>
          <w:t>68/2024</w:t>
        </w:r>
      </w:hyperlink>
      <w:r>
        <w:t>, f. 7.</w:t>
      </w:r>
    </w:p>
    <w:p w14:paraId="3E91478F" w14:textId="6673067F" w:rsidR="00601EEA" w:rsidRDefault="00601EEA" w:rsidP="00601EEA">
      <w:pPr>
        <w:pStyle w:val="TextoNormal"/>
      </w:pPr>
    </w:p>
    <w:p w14:paraId="7BB1CFFF" w14:textId="77777777" w:rsidR="00601EEA" w:rsidRDefault="00601EEA" w:rsidP="00601EEA">
      <w:pPr>
        <w:pStyle w:val="TextoNormalNegritaCentrado"/>
        <w:suppressAutoHyphens/>
      </w:pPr>
      <w:r w:rsidRPr="00601EEA">
        <w:rPr>
          <w:rStyle w:val="TextoNormalNegritaCentradoSombreado"/>
        </w:rPr>
        <w:t>J.16) Valencia</w:t>
      </w:r>
    </w:p>
    <w:p w14:paraId="7519F62C" w14:textId="0005DB11" w:rsidR="00601EEA" w:rsidRDefault="00601EEA" w:rsidP="00601EEA">
      <w:pPr>
        <w:pStyle w:val="TextoNormal"/>
      </w:pPr>
    </w:p>
    <w:p w14:paraId="12BF9E10" w14:textId="77777777" w:rsidR="00601EEA" w:rsidRDefault="00601EEA" w:rsidP="00601EEA">
      <w:pPr>
        <w:pStyle w:val="TextoNormalNegritaCentradoSubrayado"/>
        <w:suppressAutoHyphens/>
      </w:pPr>
      <w:r>
        <w:t>J.16.a) Estatuto de Autonomía</w:t>
      </w:r>
    </w:p>
    <w:p w14:paraId="0D7E2A4B" w14:textId="3C292D67" w:rsidR="00601EEA" w:rsidRDefault="00601EEA" w:rsidP="00601EEA">
      <w:pPr>
        <w:pStyle w:val="TextoNormalNegritaCentradoSubrayado"/>
      </w:pPr>
    </w:p>
    <w:p w14:paraId="2C1F780B" w14:textId="77777777" w:rsidR="00601EEA" w:rsidRDefault="00601EEA" w:rsidP="00601EEA">
      <w:pPr>
        <w:pStyle w:val="TextoNormalNegritaCursivandice"/>
        <w:keepNext/>
      </w:pPr>
      <w:r>
        <w:t>Ley Orgánica 5/1982, de 1 de julio, de Estatuto de Autonomía de la Comunidad Valenciana</w:t>
      </w:r>
    </w:p>
    <w:p w14:paraId="663605B6" w14:textId="4518ED03" w:rsidR="00601EEA" w:rsidRDefault="00601EEA" w:rsidP="00601EEA">
      <w:pPr>
        <w:pStyle w:val="SangriaFrancesaArticulo"/>
      </w:pPr>
      <w:r w:rsidRPr="00601EEA">
        <w:rPr>
          <w:rStyle w:val="TextoNormalNegritaCaracter"/>
        </w:rPr>
        <w:t>Artículo 32.6.</w:t>
      </w:r>
      <w:r w:rsidRPr="00601EEA">
        <w:rPr>
          <w:rStyle w:val="TextoNormalCaracter"/>
        </w:rPr>
        <w:t>-</w:t>
      </w:r>
      <w:r>
        <w:t xml:space="preserve"> Sentencia </w:t>
      </w:r>
      <w:hyperlink w:anchor="SENTENCIA_2024_68" w:history="1">
        <w:r w:rsidRPr="00601EEA">
          <w:rPr>
            <w:rStyle w:val="TextoNormalCaracter"/>
          </w:rPr>
          <w:t>68/2024</w:t>
        </w:r>
      </w:hyperlink>
      <w:r>
        <w:t>, f. 5.</w:t>
      </w:r>
    </w:p>
    <w:p w14:paraId="7C173B40" w14:textId="22490448" w:rsidR="00601EEA" w:rsidRDefault="00601EEA" w:rsidP="00601EEA">
      <w:pPr>
        <w:pStyle w:val="TextoNormal"/>
      </w:pPr>
    </w:p>
    <w:p w14:paraId="44602633" w14:textId="77777777" w:rsidR="00601EEA" w:rsidRDefault="00601EEA" w:rsidP="00601EEA">
      <w:pPr>
        <w:pStyle w:val="TextoNormalNegritaCentradoSubrayado"/>
        <w:suppressAutoHyphens/>
      </w:pPr>
      <w:r>
        <w:t>J.16.b) Leyes y disposiciones con fuerza de Ley</w:t>
      </w:r>
    </w:p>
    <w:p w14:paraId="4D5DD837" w14:textId="243C9D02" w:rsidR="00601EEA" w:rsidRDefault="00601EEA" w:rsidP="00601EEA">
      <w:pPr>
        <w:pStyle w:val="TextoNormalNegritaCentradoSubrayado"/>
      </w:pPr>
    </w:p>
    <w:p w14:paraId="2C832266" w14:textId="77777777" w:rsidR="00601EEA" w:rsidRDefault="00601EEA" w:rsidP="00601EEA">
      <w:pPr>
        <w:pStyle w:val="TextoNormalNegritaCursivandice"/>
        <w:keepNext/>
      </w:pPr>
      <w:r>
        <w:t>Comunitat Valenciana. Ley 8/1986, de 29 de diciembre de ordenación del comercio y superficies comerciales</w:t>
      </w:r>
    </w:p>
    <w:p w14:paraId="48E536D2" w14:textId="6BD03923"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68" w:history="1">
        <w:r w:rsidRPr="00601EEA">
          <w:rPr>
            <w:rStyle w:val="TextoNormalCaracter"/>
          </w:rPr>
          <w:t>68/2024</w:t>
        </w:r>
      </w:hyperlink>
      <w:r>
        <w:t>, f. 7.</w:t>
      </w:r>
    </w:p>
    <w:p w14:paraId="3E3C0023" w14:textId="1EDE1556" w:rsidR="00601EEA" w:rsidRDefault="00601EEA" w:rsidP="00601EEA">
      <w:pPr>
        <w:pStyle w:val="SangriaFrancesaArticulo"/>
      </w:pPr>
    </w:p>
    <w:p w14:paraId="68801AD8" w14:textId="77777777" w:rsidR="00601EEA" w:rsidRDefault="00601EEA" w:rsidP="00601EEA">
      <w:pPr>
        <w:pStyle w:val="TextoNormalNegritaCursivandice"/>
        <w:keepNext/>
      </w:pPr>
      <w:r>
        <w:t>Ley de las Cortes Valencianas 10/2014, de 29 de diciembre. Salud de la Comunitat Valenciana</w:t>
      </w:r>
    </w:p>
    <w:p w14:paraId="00F5073D" w14:textId="007C2F1D" w:rsidR="00601EEA" w:rsidRDefault="00601EEA" w:rsidP="00601EEA">
      <w:pPr>
        <w:pStyle w:val="SangriaFrancesaArticulo"/>
      </w:pPr>
      <w:r w:rsidRPr="00601EEA">
        <w:rPr>
          <w:rStyle w:val="TextoNormalNegritaCaracter"/>
        </w:rPr>
        <w:t>Artículo 43.9.</w:t>
      </w:r>
      <w:r w:rsidRPr="00601EEA">
        <w:rPr>
          <w:rStyle w:val="TextoNormalCaracter"/>
        </w:rPr>
        <w:t>-</w:t>
      </w:r>
      <w:r>
        <w:t xml:space="preserve"> Sentencia </w:t>
      </w:r>
      <w:hyperlink w:anchor="SENTENCIA_2024_92" w:history="1">
        <w:r w:rsidRPr="00601EEA">
          <w:rPr>
            <w:rStyle w:val="TextoNormalCaracter"/>
          </w:rPr>
          <w:t>92/2024</w:t>
        </w:r>
      </w:hyperlink>
      <w:r>
        <w:t>, VP IV.</w:t>
      </w:r>
    </w:p>
    <w:p w14:paraId="3B0BD74A" w14:textId="504EFAB6" w:rsidR="00601EEA" w:rsidRDefault="00601EEA" w:rsidP="00601EEA">
      <w:pPr>
        <w:pStyle w:val="SangriaFrancesaArticulo"/>
      </w:pPr>
    </w:p>
    <w:p w14:paraId="146C058E" w14:textId="77777777" w:rsidR="00601EEA" w:rsidRDefault="00601EEA" w:rsidP="00601EEA">
      <w:pPr>
        <w:pStyle w:val="TextoNormalNegritaCursivandice"/>
        <w:keepNext/>
      </w:pPr>
      <w:r>
        <w:t>Comunitat Valenciana. Decreto Legislativo 1/2021, de 18 de junio, del Consell, de aprobación del texto refundido de la Ley de ordenación del territorio, urbanismo y paisaje</w:t>
      </w:r>
    </w:p>
    <w:p w14:paraId="7B2EA146" w14:textId="2FD8635B" w:rsidR="00601EEA" w:rsidRDefault="00601EEA" w:rsidP="00601EEA">
      <w:pPr>
        <w:pStyle w:val="SangriaFrancesaArticulo"/>
      </w:pPr>
      <w:r w:rsidRPr="00601EEA">
        <w:rPr>
          <w:rStyle w:val="TextoNormalNegritaCaracter"/>
        </w:rPr>
        <w:t>Artículo 211.</w:t>
      </w:r>
      <w:r w:rsidRPr="00601EEA">
        <w:rPr>
          <w:rStyle w:val="TextoNormalCaracter"/>
        </w:rPr>
        <w:t>-</w:t>
      </w:r>
      <w:r>
        <w:t xml:space="preserve"> Sentencia </w:t>
      </w:r>
      <w:hyperlink w:anchor="SENTENCIA_2024_25" w:history="1">
        <w:r w:rsidRPr="00601EEA">
          <w:rPr>
            <w:rStyle w:val="TextoNormalCaracter"/>
          </w:rPr>
          <w:t>25/2024</w:t>
        </w:r>
      </w:hyperlink>
      <w:r>
        <w:t>, f. 7.</w:t>
      </w:r>
    </w:p>
    <w:p w14:paraId="0774B91B" w14:textId="23EDF722" w:rsidR="00601EEA" w:rsidRDefault="00601EEA" w:rsidP="00601EEA">
      <w:pPr>
        <w:pStyle w:val="TextoNormal"/>
      </w:pPr>
    </w:p>
    <w:p w14:paraId="0DBAD831" w14:textId="77777777" w:rsidR="00601EEA" w:rsidRDefault="00601EEA" w:rsidP="00601EEA">
      <w:pPr>
        <w:pStyle w:val="SangriaFrancesaArticulo"/>
      </w:pPr>
      <w:bookmarkStart w:id="171" w:name="INDICE22869"/>
    </w:p>
    <w:bookmarkEnd w:id="171"/>
    <w:p w14:paraId="0459F00A" w14:textId="77777777" w:rsidR="00601EEA" w:rsidRDefault="00601EEA" w:rsidP="00601EEA">
      <w:pPr>
        <w:pStyle w:val="TextoIndiceNivel2"/>
        <w:suppressAutoHyphens/>
      </w:pPr>
      <w:r>
        <w:t>K) Territorios históricos y corporaciones locales</w:t>
      </w:r>
    </w:p>
    <w:p w14:paraId="3B1166D8" w14:textId="25A349FB" w:rsidR="00601EEA" w:rsidRDefault="00601EEA" w:rsidP="00601EEA">
      <w:pPr>
        <w:pStyle w:val="TextoNormal"/>
      </w:pPr>
    </w:p>
    <w:p w14:paraId="7F876C1D" w14:textId="77777777" w:rsidR="00601EEA" w:rsidRDefault="00601EEA" w:rsidP="00601EEA">
      <w:pPr>
        <w:pStyle w:val="TextoNormalNegritaCentrado"/>
        <w:suppressAutoHyphens/>
      </w:pPr>
      <w:r w:rsidRPr="00601EEA">
        <w:rPr>
          <w:rStyle w:val="TextoNormalNegritaCentradoSombreado"/>
        </w:rPr>
        <w:t>K.17) Territorios históricos</w:t>
      </w:r>
    </w:p>
    <w:p w14:paraId="516ADE8E" w14:textId="0BE8DD88" w:rsidR="00601EEA" w:rsidRDefault="00601EEA" w:rsidP="00601EEA">
      <w:pPr>
        <w:pStyle w:val="TextoNormal"/>
      </w:pPr>
    </w:p>
    <w:p w14:paraId="54237C33" w14:textId="77777777" w:rsidR="00601EEA" w:rsidRDefault="00601EEA" w:rsidP="00601EEA">
      <w:pPr>
        <w:pStyle w:val="TextoNormalNegritaCentradoSubrayado"/>
        <w:suppressAutoHyphens/>
      </w:pPr>
      <w:r>
        <w:lastRenderedPageBreak/>
        <w:t>K.17.1) Gipuzkoa</w:t>
      </w:r>
    </w:p>
    <w:p w14:paraId="7D3DBA50" w14:textId="44217F75" w:rsidR="00601EEA" w:rsidRDefault="00601EEA" w:rsidP="00601EEA">
      <w:pPr>
        <w:pStyle w:val="TextoNormalNegritaCentradoSubrayado"/>
      </w:pPr>
    </w:p>
    <w:p w14:paraId="01C34B34" w14:textId="77777777" w:rsidR="00601EEA" w:rsidRDefault="00601EEA" w:rsidP="00601EEA">
      <w:pPr>
        <w:pStyle w:val="TextoNormalNegritaCursivandice"/>
        <w:keepNext/>
      </w:pPr>
      <w:r>
        <w:t>Territorio Histórico de Gipuzkoa. Norma Foral 16/1989, de 5 de julio, del impuesto sobre el incremento de valor de los terrenos de naturaleza urbana</w:t>
      </w:r>
    </w:p>
    <w:p w14:paraId="4B113E67" w14:textId="7CF17959"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46" w:history="1">
        <w:r w:rsidRPr="00601EEA">
          <w:rPr>
            <w:rStyle w:val="TextoNormalCaracter"/>
          </w:rPr>
          <w:t>46/2024</w:t>
        </w:r>
      </w:hyperlink>
      <w:r>
        <w:t>, f. 2.</w:t>
      </w:r>
    </w:p>
    <w:p w14:paraId="084B4933" w14:textId="0F92B8E9" w:rsidR="00601EEA" w:rsidRDefault="00601EEA" w:rsidP="00601EEA">
      <w:pPr>
        <w:pStyle w:val="SangriaFrancesaArticulo"/>
      </w:pPr>
      <w:r w:rsidRPr="00601EEA">
        <w:rPr>
          <w:rStyle w:val="TextoNormalNegritaCaracter"/>
        </w:rPr>
        <w:t>Artículo 4.</w:t>
      </w:r>
      <w:r w:rsidRPr="00601EEA">
        <w:rPr>
          <w:rStyle w:val="TextoNormalCaracter"/>
        </w:rPr>
        <w:t>-</w:t>
      </w:r>
      <w:r>
        <w:t xml:space="preserve"> Sentencia </w:t>
      </w:r>
      <w:hyperlink w:anchor="SENTENCIA_2024_46" w:history="1">
        <w:r w:rsidRPr="00601EEA">
          <w:rPr>
            <w:rStyle w:val="TextoNormalCaracter"/>
          </w:rPr>
          <w:t>46/2024</w:t>
        </w:r>
      </w:hyperlink>
      <w:r>
        <w:t>, f. 3.</w:t>
      </w:r>
    </w:p>
    <w:p w14:paraId="73B94FF9" w14:textId="3CB6A426" w:rsidR="00601EEA" w:rsidRDefault="00601EEA" w:rsidP="00601EEA">
      <w:pPr>
        <w:pStyle w:val="SangriaFrancesaArticulo"/>
      </w:pPr>
      <w:r w:rsidRPr="00601EEA">
        <w:rPr>
          <w:rStyle w:val="TextoNormalNegritaCaracter"/>
        </w:rPr>
        <w:t>Artículo 4.1.</w:t>
      </w:r>
      <w:r w:rsidRPr="00601EEA">
        <w:rPr>
          <w:rStyle w:val="TextoNormalCaracter"/>
        </w:rPr>
        <w:t>-</w:t>
      </w:r>
      <w:r>
        <w:t xml:space="preserve"> Sentencia </w:t>
      </w:r>
      <w:hyperlink w:anchor="SENTENCIA_2024_46" w:history="1">
        <w:r w:rsidRPr="00601EEA">
          <w:rPr>
            <w:rStyle w:val="TextoNormalCaracter"/>
          </w:rPr>
          <w:t>46/2024</w:t>
        </w:r>
      </w:hyperlink>
      <w:r>
        <w:t>, ff. 1 a 3, VP I.</w:t>
      </w:r>
    </w:p>
    <w:p w14:paraId="2397B005" w14:textId="525F1040" w:rsidR="00601EEA" w:rsidRDefault="00601EEA" w:rsidP="00601EEA">
      <w:pPr>
        <w:pStyle w:val="SangriaFrancesaArticulo"/>
      </w:pPr>
      <w:r w:rsidRPr="00601EEA">
        <w:rPr>
          <w:rStyle w:val="TextoNormalNegritaCaracter"/>
        </w:rPr>
        <w:t>Artículo 4.2.</w:t>
      </w:r>
      <w:r w:rsidRPr="00601EEA">
        <w:rPr>
          <w:rStyle w:val="TextoNormalCaracter"/>
        </w:rPr>
        <w:t>-</w:t>
      </w:r>
      <w:r>
        <w:t xml:space="preserve"> Sentencia </w:t>
      </w:r>
      <w:hyperlink w:anchor="SENTENCIA_2024_46" w:history="1">
        <w:r w:rsidRPr="00601EEA">
          <w:rPr>
            <w:rStyle w:val="TextoNormalCaracter"/>
          </w:rPr>
          <w:t>46/2024</w:t>
        </w:r>
      </w:hyperlink>
      <w:r>
        <w:t>, f. 1.</w:t>
      </w:r>
    </w:p>
    <w:p w14:paraId="725A6595" w14:textId="53CA386E" w:rsidR="00601EEA" w:rsidRDefault="00601EEA" w:rsidP="00601EEA">
      <w:pPr>
        <w:pStyle w:val="SangriaFrancesaArticulo"/>
      </w:pPr>
      <w:r w:rsidRPr="00601EEA">
        <w:rPr>
          <w:rStyle w:val="TextoNormalNegritaCaracter"/>
        </w:rPr>
        <w:t>Artículo 4.2 a).</w:t>
      </w:r>
      <w:r w:rsidRPr="00601EEA">
        <w:rPr>
          <w:rStyle w:val="TextoNormalCaracter"/>
        </w:rPr>
        <w:t>-</w:t>
      </w:r>
      <w:r>
        <w:t xml:space="preserve"> Sentencia </w:t>
      </w:r>
      <w:hyperlink w:anchor="SENTENCIA_2024_46" w:history="1">
        <w:r w:rsidRPr="00601EEA">
          <w:rPr>
            <w:rStyle w:val="TextoNormalCaracter"/>
          </w:rPr>
          <w:t>46/2024</w:t>
        </w:r>
      </w:hyperlink>
      <w:r>
        <w:t>, ff. 1 a 3, VP I.</w:t>
      </w:r>
    </w:p>
    <w:p w14:paraId="120C0B14" w14:textId="29428421" w:rsidR="00601EEA" w:rsidRDefault="00601EEA" w:rsidP="00601EEA">
      <w:pPr>
        <w:pStyle w:val="SangriaFrancesaArticulo"/>
      </w:pPr>
      <w:r w:rsidRPr="00601EEA">
        <w:rPr>
          <w:rStyle w:val="TextoNormalNegritaCaracter"/>
        </w:rPr>
        <w:t>Artículo 4.3.</w:t>
      </w:r>
      <w:r w:rsidRPr="00601EEA">
        <w:rPr>
          <w:rStyle w:val="TextoNormalCaracter"/>
        </w:rPr>
        <w:t>-</w:t>
      </w:r>
      <w:r>
        <w:t xml:space="preserve"> Sentencia </w:t>
      </w:r>
      <w:hyperlink w:anchor="SENTENCIA_2024_46" w:history="1">
        <w:r w:rsidRPr="00601EEA">
          <w:rPr>
            <w:rStyle w:val="TextoNormalCaracter"/>
          </w:rPr>
          <w:t>46/2024</w:t>
        </w:r>
      </w:hyperlink>
      <w:r>
        <w:t>, ff. 1 a 3, VP I.</w:t>
      </w:r>
    </w:p>
    <w:p w14:paraId="2E780D29" w14:textId="4E9DAD3E" w:rsidR="00601EEA" w:rsidRDefault="00601EEA" w:rsidP="00601EEA">
      <w:pPr>
        <w:pStyle w:val="SangriaFrancesaArticulo"/>
      </w:pPr>
    </w:p>
    <w:p w14:paraId="4BF2E719" w14:textId="77777777" w:rsidR="00601EEA" w:rsidRDefault="00601EEA" w:rsidP="00601EEA">
      <w:pPr>
        <w:pStyle w:val="TextoNormalNegritaCursivandice"/>
        <w:keepNext/>
      </w:pPr>
      <w:r>
        <w:t>Territorio Histórico de Gipuzkoa. Norma Foral 2/2005, de 8 de marzo, general tributaria del territorio histórico de Gipuzkoa</w:t>
      </w:r>
    </w:p>
    <w:p w14:paraId="130ECEF2" w14:textId="6D118BBF" w:rsidR="00601EEA" w:rsidRDefault="00601EEA" w:rsidP="00601EEA">
      <w:pPr>
        <w:pStyle w:val="SangriaFrancesaArticulo"/>
      </w:pPr>
      <w:r w:rsidRPr="00601EEA">
        <w:rPr>
          <w:rStyle w:val="TextoNormalNegritaCaracter"/>
        </w:rPr>
        <w:t>Artículo 116.4.</w:t>
      </w:r>
      <w:r w:rsidRPr="00601EEA">
        <w:rPr>
          <w:rStyle w:val="TextoNormalCaracter"/>
        </w:rPr>
        <w:t>-</w:t>
      </w:r>
      <w:r>
        <w:t xml:space="preserve"> Sentencia </w:t>
      </w:r>
      <w:hyperlink w:anchor="SENTENCIA_2024_46" w:history="1">
        <w:r w:rsidRPr="00601EEA">
          <w:rPr>
            <w:rStyle w:val="TextoNormalCaracter"/>
          </w:rPr>
          <w:t>46/2024</w:t>
        </w:r>
      </w:hyperlink>
      <w:r>
        <w:t>, f. 4.</w:t>
      </w:r>
    </w:p>
    <w:p w14:paraId="37D527C6" w14:textId="076399C5" w:rsidR="00601EEA" w:rsidRDefault="00601EEA" w:rsidP="00601EEA">
      <w:pPr>
        <w:pStyle w:val="SangriaFrancesaArticulo"/>
      </w:pPr>
    </w:p>
    <w:p w14:paraId="2F5079A5" w14:textId="77777777" w:rsidR="00601EEA" w:rsidRDefault="00601EEA" w:rsidP="00601EEA">
      <w:pPr>
        <w:pStyle w:val="TextoNormalNegritaCursivandice"/>
        <w:keepNext/>
      </w:pPr>
      <w:r>
        <w:t>Territorio Histórico de Gipuzkoa. Decreto Foral-Norma 2/2017, de 28 de marzo, por el que se modifica el impuesto sobre el incremento del valor de los terrenos de naturaleza urbana</w:t>
      </w:r>
    </w:p>
    <w:p w14:paraId="5774E5CA" w14:textId="47449166"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46" w:history="1">
        <w:r w:rsidRPr="00601EEA">
          <w:rPr>
            <w:rStyle w:val="TextoNormalCaracter"/>
          </w:rPr>
          <w:t>46/2024</w:t>
        </w:r>
      </w:hyperlink>
      <w:r>
        <w:t>, ff. 2, 3.</w:t>
      </w:r>
    </w:p>
    <w:p w14:paraId="5DA0C672" w14:textId="7BE9E7F7" w:rsidR="00601EEA" w:rsidRDefault="00601EEA" w:rsidP="00601EEA">
      <w:pPr>
        <w:pStyle w:val="SangriaFrancesaArticulo"/>
      </w:pPr>
    </w:p>
    <w:p w14:paraId="37F24E22" w14:textId="77777777" w:rsidR="00601EEA" w:rsidRDefault="00601EEA" w:rsidP="00601EEA">
      <w:pPr>
        <w:pStyle w:val="TextoNormalNegritaCursivandice"/>
        <w:keepNext/>
      </w:pPr>
      <w:r>
        <w:t>Territorio Histórico de Gipuzkoa. Decreto Foral-Norma 7/2021, de 16 de noviembre, de adaptación de la Norma Foral 16/1989, de 5 de julio, del impuesto sobre el incremento de valor de los terrenos de naturaleza urbana a la jurisprudencia del Tribunal Constitucional</w:t>
      </w:r>
    </w:p>
    <w:p w14:paraId="29795F1A" w14:textId="024EC770" w:rsidR="00601EEA" w:rsidRDefault="00601EEA" w:rsidP="00601EEA">
      <w:pPr>
        <w:pStyle w:val="SangriaFrancesaArticulo"/>
        <w:keepNext/>
      </w:pPr>
      <w:r w:rsidRPr="00601EEA">
        <w:rPr>
          <w:rStyle w:val="TextoNormalNegritaCaracter"/>
        </w:rPr>
        <w:t>En general.</w:t>
      </w:r>
      <w:r w:rsidRPr="00601EEA">
        <w:rPr>
          <w:rStyle w:val="TextoNormalCaracter"/>
        </w:rPr>
        <w:t>-</w:t>
      </w:r>
      <w:r>
        <w:t xml:space="preserve"> Sentencia </w:t>
      </w:r>
      <w:hyperlink w:anchor="SENTENCIA_2024_46" w:history="1">
        <w:r w:rsidRPr="00601EEA">
          <w:rPr>
            <w:rStyle w:val="TextoNormalCaracter"/>
          </w:rPr>
          <w:t>46/2024</w:t>
        </w:r>
      </w:hyperlink>
      <w:r>
        <w:t>, ff. 1 a 3, VP I.</w:t>
      </w:r>
    </w:p>
    <w:p w14:paraId="7EDBCC36" w14:textId="0F3E52F1" w:rsidR="00601EEA" w:rsidRDefault="00601EEA" w:rsidP="00601EEA">
      <w:pPr>
        <w:pStyle w:val="SangriaIzquierdaArticulo"/>
      </w:pPr>
      <w:r>
        <w:t xml:space="preserve">Auto </w:t>
      </w:r>
      <w:hyperlink w:anchor="AUTO_2024_58" w:history="1">
        <w:r w:rsidRPr="00601EEA">
          <w:rPr>
            <w:rStyle w:val="TextoNormalCaracter"/>
          </w:rPr>
          <w:t>58/2024</w:t>
        </w:r>
      </w:hyperlink>
      <w:r>
        <w:t>, f. 1.</w:t>
      </w:r>
    </w:p>
    <w:p w14:paraId="48FBD0A7" w14:textId="7F807A2B" w:rsidR="00601EEA" w:rsidRDefault="00601EEA" w:rsidP="00601EEA">
      <w:pPr>
        <w:pStyle w:val="TextoNormal"/>
      </w:pPr>
    </w:p>
    <w:p w14:paraId="2CF058BB" w14:textId="77777777" w:rsidR="00601EEA" w:rsidRDefault="00601EEA" w:rsidP="00601EEA">
      <w:pPr>
        <w:pStyle w:val="TextoNormalNegritaCentrado"/>
        <w:suppressAutoHyphens/>
      </w:pPr>
      <w:r w:rsidRPr="00601EEA">
        <w:rPr>
          <w:rStyle w:val="TextoNormalNegritaCentradoSombreado"/>
        </w:rPr>
        <w:t>K.2) Corporaciones locales</w:t>
      </w:r>
    </w:p>
    <w:p w14:paraId="13EB35E0" w14:textId="417E7F8F" w:rsidR="00601EEA" w:rsidRDefault="00601EEA" w:rsidP="00601EEA">
      <w:pPr>
        <w:pStyle w:val="TextoNormalNegritaCentrado"/>
      </w:pPr>
    </w:p>
    <w:p w14:paraId="68C3FA95" w14:textId="77777777" w:rsidR="00601EEA" w:rsidRDefault="00601EEA" w:rsidP="00601EEA">
      <w:pPr>
        <w:pStyle w:val="TextoNormalNegritaCursivandice"/>
        <w:keepNext/>
      </w:pPr>
      <w:r>
        <w:t>Ayuntamiento de Madrid. Ordenanza del Ayuntamiento de Madrid, de 28 de noviembre de 2012, reguladora del taxi</w:t>
      </w:r>
    </w:p>
    <w:p w14:paraId="3151E5A4" w14:textId="2A2BF18B" w:rsidR="00601EEA" w:rsidRDefault="00601EEA" w:rsidP="00601EEA">
      <w:pPr>
        <w:pStyle w:val="SangriaFrancesaArticulo"/>
      </w:pPr>
      <w:r w:rsidRPr="00601EEA">
        <w:rPr>
          <w:rStyle w:val="TextoNormalNegritaCaracter"/>
        </w:rPr>
        <w:t>Artículo 6.</w:t>
      </w:r>
      <w:r w:rsidRPr="00601EEA">
        <w:rPr>
          <w:rStyle w:val="TextoNormalCaracter"/>
        </w:rPr>
        <w:t>-</w:t>
      </w:r>
      <w:r>
        <w:t xml:space="preserve"> Sentencia </w:t>
      </w:r>
      <w:hyperlink w:anchor="SENTENCIA_2024_88" w:history="1">
        <w:r w:rsidRPr="00601EEA">
          <w:rPr>
            <w:rStyle w:val="TextoNormalCaracter"/>
          </w:rPr>
          <w:t>88/2024</w:t>
        </w:r>
      </w:hyperlink>
      <w:r>
        <w:t>, f. 6.</w:t>
      </w:r>
    </w:p>
    <w:p w14:paraId="2A5199A7" w14:textId="17805537" w:rsidR="00601EEA" w:rsidRDefault="00601EEA" w:rsidP="00601EEA">
      <w:pPr>
        <w:pStyle w:val="TextoNormal"/>
      </w:pPr>
    </w:p>
    <w:p w14:paraId="51CDECF7" w14:textId="77777777" w:rsidR="00601EEA" w:rsidRDefault="00601EEA" w:rsidP="00601EEA">
      <w:pPr>
        <w:pStyle w:val="SangriaFrancesaArticulo"/>
      </w:pPr>
      <w:bookmarkStart w:id="172" w:name="INDICE22870"/>
    </w:p>
    <w:bookmarkEnd w:id="172"/>
    <w:p w14:paraId="45314CD8" w14:textId="77777777" w:rsidR="00601EEA" w:rsidRDefault="00601EEA" w:rsidP="00601EEA">
      <w:pPr>
        <w:pStyle w:val="TextoIndiceNivel2"/>
        <w:suppressAutoHyphens/>
      </w:pPr>
      <w:r>
        <w:t>L) Tratados y acuerdos internacionales</w:t>
      </w:r>
    </w:p>
    <w:p w14:paraId="4729C02C" w14:textId="27BE28D5" w:rsidR="00601EEA" w:rsidRDefault="00601EEA" w:rsidP="00601EEA">
      <w:pPr>
        <w:pStyle w:val="TextoIndiceNivel2"/>
      </w:pPr>
    </w:p>
    <w:p w14:paraId="531151F1" w14:textId="77777777" w:rsidR="00601EEA" w:rsidRDefault="00601EEA" w:rsidP="00601EEA">
      <w:pPr>
        <w:pStyle w:val="TextoNormalNegritaCursivandice"/>
        <w:keepNext/>
      </w:pPr>
      <w:r>
        <w:t>Convenio de extradición entre España y Colombia, firmado en Bogotá el día 23 de Julio de 1892</w:t>
      </w:r>
    </w:p>
    <w:p w14:paraId="276761C7" w14:textId="67EE0E9F" w:rsidR="00601EEA" w:rsidRDefault="00601EEA" w:rsidP="00601EEA">
      <w:pPr>
        <w:pStyle w:val="SangriaFrancesaArticulo"/>
      </w:pPr>
      <w:r w:rsidRPr="00601EEA">
        <w:rPr>
          <w:rStyle w:val="TextoNormalNegritaCaracter"/>
        </w:rPr>
        <w:t>Artículo 8.2.</w:t>
      </w:r>
      <w:r w:rsidRPr="00601EEA">
        <w:rPr>
          <w:rStyle w:val="TextoNormalCaracter"/>
        </w:rPr>
        <w:t>-</w:t>
      </w:r>
      <w:r>
        <w:t xml:space="preserve"> Sentencia </w:t>
      </w:r>
      <w:hyperlink w:anchor="SENTENCIA_2024_17" w:history="1">
        <w:r w:rsidRPr="00601EEA">
          <w:rPr>
            <w:rStyle w:val="TextoNormalCaracter"/>
          </w:rPr>
          <w:t>17/2024</w:t>
        </w:r>
      </w:hyperlink>
      <w:r>
        <w:t>, ff. 3, 4.</w:t>
      </w:r>
    </w:p>
    <w:p w14:paraId="31DB17A8" w14:textId="3D274AA5" w:rsidR="00601EEA" w:rsidRDefault="00601EEA" w:rsidP="00601EEA">
      <w:pPr>
        <w:pStyle w:val="SangriaFrancesaArticulo"/>
      </w:pPr>
    </w:p>
    <w:p w14:paraId="5868FC02" w14:textId="77777777" w:rsidR="00601EEA" w:rsidRDefault="00601EEA" w:rsidP="00601EEA">
      <w:pPr>
        <w:pStyle w:val="TextoNormalNegritaCursivandice"/>
        <w:keepNext/>
      </w:pPr>
      <w:r>
        <w:t>Constitución de la Organización Internacional del Trabajo, 1919</w:t>
      </w:r>
    </w:p>
    <w:p w14:paraId="22961F4B" w14:textId="77E96744" w:rsidR="00601EEA" w:rsidRDefault="00601EEA" w:rsidP="00601EEA">
      <w:pPr>
        <w:pStyle w:val="SangriaFrancesaArticulo"/>
      </w:pPr>
      <w:r w:rsidRPr="00601EEA">
        <w:rPr>
          <w:rStyle w:val="TextoNormalNegritaCaracter"/>
        </w:rPr>
        <w:t>Artículo 3.5.</w:t>
      </w:r>
      <w:r w:rsidRPr="00601EEA">
        <w:rPr>
          <w:rStyle w:val="TextoNormalCaracter"/>
        </w:rPr>
        <w:t>-</w:t>
      </w:r>
      <w:r>
        <w:t xml:space="preserve"> Sentencia </w:t>
      </w:r>
      <w:hyperlink w:anchor="SENTENCIA_2024_63" w:history="1">
        <w:r w:rsidRPr="00601EEA">
          <w:rPr>
            <w:rStyle w:val="TextoNormalCaracter"/>
          </w:rPr>
          <w:t>63/2024</w:t>
        </w:r>
      </w:hyperlink>
      <w:r>
        <w:t>, f. 4.</w:t>
      </w:r>
    </w:p>
    <w:p w14:paraId="56824E41" w14:textId="600107D3" w:rsidR="00601EEA" w:rsidRDefault="00601EEA" w:rsidP="00601EEA">
      <w:pPr>
        <w:pStyle w:val="SangriaFrancesaArticulo"/>
      </w:pPr>
    </w:p>
    <w:p w14:paraId="7A771715" w14:textId="77777777" w:rsidR="00601EEA" w:rsidRDefault="00601EEA" w:rsidP="00601EEA">
      <w:pPr>
        <w:pStyle w:val="TextoNormalNegritaCursivandice"/>
        <w:keepNext/>
      </w:pPr>
      <w:r>
        <w:lastRenderedPageBreak/>
        <w:t>Declaración universal de derechos humanos de 10 de diciembre de 1948</w:t>
      </w:r>
    </w:p>
    <w:p w14:paraId="43417430" w14:textId="5AFE5348"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24" w:history="1">
        <w:r w:rsidRPr="00601EEA">
          <w:rPr>
            <w:rStyle w:val="TextoNormalCaracter"/>
          </w:rPr>
          <w:t>24/2024</w:t>
        </w:r>
      </w:hyperlink>
      <w:r>
        <w:t>, f. 2.</w:t>
      </w:r>
    </w:p>
    <w:p w14:paraId="730BA1BB" w14:textId="24A023FB" w:rsidR="00601EEA" w:rsidRDefault="00601EEA" w:rsidP="00601EEA">
      <w:pPr>
        <w:pStyle w:val="SangriaFrancesaArticulo"/>
      </w:pPr>
      <w:r w:rsidRPr="00601EEA">
        <w:rPr>
          <w:rStyle w:val="TextoNormalNegritaCaracter"/>
        </w:rPr>
        <w:t>Artículo 18.1.</w:t>
      </w:r>
      <w:r w:rsidRPr="00601EEA">
        <w:rPr>
          <w:rStyle w:val="TextoNormalCaracter"/>
        </w:rPr>
        <w:t>-</w:t>
      </w:r>
      <w:r>
        <w:t xml:space="preserve"> Sentencia </w:t>
      </w:r>
      <w:hyperlink w:anchor="SENTENCIA_2024_26" w:history="1">
        <w:r w:rsidRPr="00601EEA">
          <w:rPr>
            <w:rStyle w:val="TextoNormalCaracter"/>
          </w:rPr>
          <w:t>26/2024</w:t>
        </w:r>
      </w:hyperlink>
      <w:r>
        <w:t>, f. 2.</w:t>
      </w:r>
    </w:p>
    <w:p w14:paraId="19FF4722" w14:textId="7158B459" w:rsidR="00601EEA" w:rsidRDefault="00601EEA" w:rsidP="00601EEA">
      <w:pPr>
        <w:pStyle w:val="SangriaFrancesaArticulo"/>
      </w:pPr>
    </w:p>
    <w:p w14:paraId="652B07EB" w14:textId="77777777" w:rsidR="00601EEA" w:rsidRDefault="00601EEA" w:rsidP="00601EEA">
      <w:pPr>
        <w:pStyle w:val="TextoNormalNegritaCursivandice"/>
        <w:keepNext/>
      </w:pPr>
      <w:r>
        <w:t>Convención única de Naciones Unidas sobre estupefacientes, de 30 de marzo de 1961. Ratificada por Instrumento de 3 de febrero de 1966. Enmendada por el Protocolo de modificación de 25 de marzo de 1972. Ratificada por Instrumento de 15 de diciembre de 1976</w:t>
      </w:r>
    </w:p>
    <w:p w14:paraId="2314CC1B" w14:textId="099A49CF" w:rsidR="00601EEA" w:rsidRDefault="00601EEA" w:rsidP="00601EEA">
      <w:pPr>
        <w:pStyle w:val="SangriaFrancesaArticulo"/>
      </w:pPr>
      <w:r w:rsidRPr="00601EEA">
        <w:rPr>
          <w:rStyle w:val="TextoNormalNegritaCaracter"/>
        </w:rPr>
        <w:t>Artículo 19.</w:t>
      </w:r>
      <w:r w:rsidRPr="00601EEA">
        <w:rPr>
          <w:rStyle w:val="TextoNormalCaracter"/>
        </w:rPr>
        <w:t>-</w:t>
      </w:r>
      <w:r>
        <w:t xml:space="preserve"> Sentencia </w:t>
      </w:r>
      <w:hyperlink w:anchor="SENTENCIA_2024_87" w:history="1">
        <w:r w:rsidRPr="00601EEA">
          <w:rPr>
            <w:rStyle w:val="TextoNormalCaracter"/>
          </w:rPr>
          <w:t>87/2024</w:t>
        </w:r>
      </w:hyperlink>
      <w:r>
        <w:t>, f. 2.</w:t>
      </w:r>
    </w:p>
    <w:p w14:paraId="0A357318" w14:textId="3F8D196A" w:rsidR="00601EEA" w:rsidRDefault="00601EEA" w:rsidP="00601EEA">
      <w:pPr>
        <w:pStyle w:val="SangriaFrancesaArticulo"/>
      </w:pPr>
    </w:p>
    <w:p w14:paraId="728E8587" w14:textId="77777777" w:rsidR="00601EEA" w:rsidRDefault="00601EEA" w:rsidP="00601EEA">
      <w:pPr>
        <w:pStyle w:val="TextoNormalNegritaCursivandice"/>
        <w:keepNext/>
      </w:pPr>
      <w:r>
        <w:t>Pacto internacional de derechos civiles y políticos. Nueva York, 19 de diciembre de 1966. Ratificado por Instrumento de 13 de abril de 1977</w:t>
      </w:r>
    </w:p>
    <w:p w14:paraId="58551F96" w14:textId="0F12DB69" w:rsidR="00601EEA" w:rsidRDefault="00601EEA" w:rsidP="00601EEA">
      <w:pPr>
        <w:pStyle w:val="SangriaFrancesaArticulo"/>
        <w:keepNext/>
      </w:pPr>
      <w:r w:rsidRPr="00601EEA">
        <w:rPr>
          <w:rStyle w:val="TextoNormalNegritaCaracter"/>
        </w:rPr>
        <w:t>En general.</w:t>
      </w:r>
      <w:r w:rsidRPr="00601EEA">
        <w:rPr>
          <w:rStyle w:val="TextoNormalCaracter"/>
        </w:rPr>
        <w:t>-</w:t>
      </w:r>
      <w:r>
        <w:t xml:space="preserve"> Sentencia </w:t>
      </w:r>
      <w:hyperlink w:anchor="SENTENCIA_2024_61" w:history="1">
        <w:r w:rsidRPr="00601EEA">
          <w:rPr>
            <w:rStyle w:val="TextoNormalCaracter"/>
          </w:rPr>
          <w:t>61/2024</w:t>
        </w:r>
      </w:hyperlink>
      <w:r>
        <w:t>, ff. 1, 2, VP.</w:t>
      </w:r>
    </w:p>
    <w:p w14:paraId="6B2D3E87" w14:textId="3266AF39" w:rsidR="00601EEA" w:rsidRDefault="00601EEA" w:rsidP="00601EEA">
      <w:pPr>
        <w:pStyle w:val="SangriaIzquierdaArticulo"/>
      </w:pPr>
      <w:r>
        <w:t xml:space="preserve">Auto </w:t>
      </w:r>
      <w:hyperlink w:anchor="AUTO_2024_57" w:history="1">
        <w:r w:rsidRPr="00601EEA">
          <w:rPr>
            <w:rStyle w:val="TextoNormalCaracter"/>
          </w:rPr>
          <w:t>57/2024</w:t>
        </w:r>
      </w:hyperlink>
      <w:r>
        <w:t>, VP II.</w:t>
      </w:r>
    </w:p>
    <w:p w14:paraId="18716531" w14:textId="48F0D7C3" w:rsidR="00601EEA" w:rsidRDefault="00601EEA" w:rsidP="00601EEA">
      <w:pPr>
        <w:pStyle w:val="SangriaFrancesaArticulo"/>
      </w:pPr>
      <w:r w:rsidRPr="00601EEA">
        <w:rPr>
          <w:rStyle w:val="TextoNormalNegritaCaracter"/>
        </w:rPr>
        <w:t>Artículo 2.3.</w:t>
      </w:r>
      <w:r w:rsidRPr="00601EEA">
        <w:rPr>
          <w:rStyle w:val="TextoNormalCaracter"/>
        </w:rPr>
        <w:t>-</w:t>
      </w:r>
      <w:r>
        <w:t xml:space="preserve"> Sentencia </w:t>
      </w:r>
      <w:hyperlink w:anchor="SENTENCIA_2024_61" w:history="1">
        <w:r w:rsidRPr="00601EEA">
          <w:rPr>
            <w:rStyle w:val="TextoNormalCaracter"/>
          </w:rPr>
          <w:t>61/2024</w:t>
        </w:r>
      </w:hyperlink>
      <w:r>
        <w:t>, f. 2.</w:t>
      </w:r>
    </w:p>
    <w:p w14:paraId="1A75F7B5" w14:textId="150796E5" w:rsidR="00601EEA" w:rsidRDefault="00601EEA" w:rsidP="00601EEA">
      <w:pPr>
        <w:pStyle w:val="SangriaFrancesaArticulo"/>
      </w:pPr>
      <w:r w:rsidRPr="00601EEA">
        <w:rPr>
          <w:rStyle w:val="TextoNormalNegritaCaracter"/>
        </w:rPr>
        <w:t>Artículo 2.3 a).</w:t>
      </w:r>
      <w:r w:rsidRPr="00601EEA">
        <w:rPr>
          <w:rStyle w:val="TextoNormalCaracter"/>
        </w:rPr>
        <w:t>-</w:t>
      </w:r>
      <w:r>
        <w:t xml:space="preserve"> Sentencia </w:t>
      </w:r>
      <w:hyperlink w:anchor="SENTENCIA_2024_61" w:history="1">
        <w:r w:rsidRPr="00601EEA">
          <w:rPr>
            <w:rStyle w:val="TextoNormalCaracter"/>
          </w:rPr>
          <w:t>61/2024</w:t>
        </w:r>
      </w:hyperlink>
      <w:r>
        <w:t>, f. 4, VP.</w:t>
      </w:r>
    </w:p>
    <w:p w14:paraId="383E44A5" w14:textId="1574BDD4" w:rsidR="00601EEA" w:rsidRDefault="00601EEA" w:rsidP="00601EEA">
      <w:pPr>
        <w:pStyle w:val="SangriaIzquierdaArticulo"/>
      </w:pPr>
      <w:r>
        <w:t xml:space="preserve">Auto </w:t>
      </w:r>
      <w:hyperlink w:anchor="AUTO_2024_57" w:history="1">
        <w:r w:rsidRPr="00601EEA">
          <w:rPr>
            <w:rStyle w:val="TextoNormalCaracter"/>
          </w:rPr>
          <w:t>57/2024</w:t>
        </w:r>
      </w:hyperlink>
      <w:r>
        <w:t>, VP II.</w:t>
      </w:r>
    </w:p>
    <w:p w14:paraId="7BB1EC25" w14:textId="49175697" w:rsidR="00601EEA" w:rsidRDefault="00601EEA" w:rsidP="00601EEA">
      <w:pPr>
        <w:pStyle w:val="SangriaFrancesaArticulo"/>
      </w:pPr>
      <w:r w:rsidRPr="00601EEA">
        <w:rPr>
          <w:rStyle w:val="TextoNormalNegritaCaracter"/>
        </w:rPr>
        <w:t>Artículo 7.</w:t>
      </w:r>
      <w:r w:rsidRPr="00601EEA">
        <w:rPr>
          <w:rStyle w:val="TextoNormalCaracter"/>
        </w:rPr>
        <w:t>-</w:t>
      </w:r>
      <w:r>
        <w:t xml:space="preserve"> Sentencia </w:t>
      </w:r>
      <w:hyperlink w:anchor="SENTENCIA_2024_61" w:history="1">
        <w:r w:rsidRPr="00601EEA">
          <w:rPr>
            <w:rStyle w:val="TextoNormalCaracter"/>
          </w:rPr>
          <w:t>61/2024</w:t>
        </w:r>
      </w:hyperlink>
      <w:r>
        <w:t>, f. 1, VP.</w:t>
      </w:r>
    </w:p>
    <w:p w14:paraId="40934DEB" w14:textId="0B76DF45" w:rsidR="00601EEA" w:rsidRDefault="00601EEA" w:rsidP="00601EEA">
      <w:pPr>
        <w:pStyle w:val="SangriaFrancesaArticulo"/>
      </w:pPr>
      <w:r w:rsidRPr="00601EEA">
        <w:rPr>
          <w:rStyle w:val="TextoNormalNegritaCaracter"/>
        </w:rPr>
        <w:t>Artículo 14.5.</w:t>
      </w:r>
      <w:r w:rsidRPr="00601EEA">
        <w:rPr>
          <w:rStyle w:val="TextoNormalCaracter"/>
        </w:rPr>
        <w:t>-</w:t>
      </w:r>
      <w:r>
        <w:t xml:space="preserve"> Sentencias </w:t>
      </w:r>
      <w:hyperlink w:anchor="SENTENCIA_2024_72" w:history="1">
        <w:r w:rsidRPr="00601EEA">
          <w:rPr>
            <w:rStyle w:val="TextoNormalCaracter"/>
          </w:rPr>
          <w:t>72/2024</w:t>
        </w:r>
      </w:hyperlink>
      <w:r>
        <w:t xml:space="preserve">, f. 4, VP; </w:t>
      </w:r>
      <w:hyperlink w:anchor="SENTENCIA_2024_80" w:history="1">
        <w:r w:rsidRPr="00601EEA">
          <w:rPr>
            <w:rStyle w:val="TextoNormalCaracter"/>
          </w:rPr>
          <w:t>80/2024</w:t>
        </w:r>
      </w:hyperlink>
      <w:r>
        <w:t>, ff. 4, 6.</w:t>
      </w:r>
    </w:p>
    <w:p w14:paraId="6D42DB68" w14:textId="58EA5A9A" w:rsidR="00601EEA" w:rsidRDefault="00601EEA" w:rsidP="00601EEA">
      <w:pPr>
        <w:pStyle w:val="SangriaIzquierdaArticulo"/>
      </w:pPr>
      <w:r>
        <w:t xml:space="preserve">Auto </w:t>
      </w:r>
      <w:hyperlink w:anchor="AUTO_2024_51" w:history="1">
        <w:r w:rsidRPr="00601EEA">
          <w:rPr>
            <w:rStyle w:val="TextoNormalCaracter"/>
          </w:rPr>
          <w:t>51/2024</w:t>
        </w:r>
      </w:hyperlink>
      <w:r>
        <w:t>, f. 4.</w:t>
      </w:r>
    </w:p>
    <w:p w14:paraId="08EC4B10" w14:textId="05C167EB" w:rsidR="00601EEA" w:rsidRDefault="00601EEA" w:rsidP="00601EEA">
      <w:pPr>
        <w:pStyle w:val="SangriaFrancesaArticulo"/>
      </w:pPr>
      <w:r w:rsidRPr="00601EEA">
        <w:rPr>
          <w:rStyle w:val="TextoNormalNegritaCaracter"/>
        </w:rPr>
        <w:t>Artículo 14.7.</w:t>
      </w:r>
      <w:r w:rsidRPr="00601EEA">
        <w:rPr>
          <w:rStyle w:val="TextoNormalCaracter"/>
        </w:rPr>
        <w:t>-</w:t>
      </w:r>
      <w:r>
        <w:t xml:space="preserve"> Sentencia </w:t>
      </w:r>
      <w:hyperlink w:anchor="SENTENCIA_2024_9" w:history="1">
        <w:r w:rsidRPr="00601EEA">
          <w:rPr>
            <w:rStyle w:val="TextoNormalCaracter"/>
          </w:rPr>
          <w:t>9/2024</w:t>
        </w:r>
      </w:hyperlink>
      <w:r>
        <w:t>, ff. 1, 3, VP II.</w:t>
      </w:r>
    </w:p>
    <w:p w14:paraId="11437280" w14:textId="1E40FD9E" w:rsidR="00601EEA" w:rsidRDefault="00601EEA" w:rsidP="00601EEA">
      <w:pPr>
        <w:pStyle w:val="SangriaFrancesaArticulo"/>
      </w:pPr>
      <w:r w:rsidRPr="00601EEA">
        <w:rPr>
          <w:rStyle w:val="TextoNormalNegritaCaracter"/>
        </w:rPr>
        <w:t>Artículo 18.4.</w:t>
      </w:r>
      <w:r w:rsidRPr="00601EEA">
        <w:rPr>
          <w:rStyle w:val="TextoNormalCaracter"/>
        </w:rPr>
        <w:t>-</w:t>
      </w:r>
      <w:r>
        <w:t xml:space="preserve"> Sentencia </w:t>
      </w:r>
      <w:hyperlink w:anchor="SENTENCIA_2024_26" w:history="1">
        <w:r w:rsidRPr="00601EEA">
          <w:rPr>
            <w:rStyle w:val="TextoNormalCaracter"/>
          </w:rPr>
          <w:t>26/2024</w:t>
        </w:r>
      </w:hyperlink>
      <w:r>
        <w:t>, f. 2.</w:t>
      </w:r>
    </w:p>
    <w:p w14:paraId="0A37AAA3" w14:textId="3E687C2B" w:rsidR="00601EEA" w:rsidRDefault="00601EEA" w:rsidP="00601EEA">
      <w:pPr>
        <w:pStyle w:val="SangriaFrancesaArticulo"/>
      </w:pPr>
      <w:r w:rsidRPr="00601EEA">
        <w:rPr>
          <w:rStyle w:val="TextoNormalNegritaCaracter"/>
        </w:rPr>
        <w:t>Artículo 41.</w:t>
      </w:r>
      <w:r w:rsidRPr="00601EEA">
        <w:rPr>
          <w:rStyle w:val="TextoNormalCaracter"/>
        </w:rPr>
        <w:t>-</w:t>
      </w:r>
      <w:r>
        <w:t xml:space="preserve"> Sentencia </w:t>
      </w:r>
      <w:hyperlink w:anchor="SENTENCIA_2024_61" w:history="1">
        <w:r w:rsidRPr="00601EEA">
          <w:rPr>
            <w:rStyle w:val="TextoNormalCaracter"/>
          </w:rPr>
          <w:t>61/2024</w:t>
        </w:r>
      </w:hyperlink>
      <w:r>
        <w:t>, VP.</w:t>
      </w:r>
    </w:p>
    <w:p w14:paraId="4BC793F7" w14:textId="6F856C53" w:rsidR="00601EEA" w:rsidRDefault="00601EEA" w:rsidP="00601EEA">
      <w:pPr>
        <w:pStyle w:val="SangriaFrancesaArticulo"/>
      </w:pPr>
      <w:r w:rsidRPr="00601EEA">
        <w:rPr>
          <w:rStyle w:val="TextoNormalNegritaCaracter"/>
        </w:rPr>
        <w:t>Artículo 42.</w:t>
      </w:r>
      <w:r w:rsidRPr="00601EEA">
        <w:rPr>
          <w:rStyle w:val="TextoNormalCaracter"/>
        </w:rPr>
        <w:t>-</w:t>
      </w:r>
      <w:r>
        <w:t xml:space="preserve"> Sentencia </w:t>
      </w:r>
      <w:hyperlink w:anchor="SENTENCIA_2024_61" w:history="1">
        <w:r w:rsidRPr="00601EEA">
          <w:rPr>
            <w:rStyle w:val="TextoNormalCaracter"/>
          </w:rPr>
          <w:t>61/2024</w:t>
        </w:r>
      </w:hyperlink>
      <w:r>
        <w:t>, VP.</w:t>
      </w:r>
    </w:p>
    <w:p w14:paraId="7359F83F" w14:textId="5D9582CB" w:rsidR="00601EEA" w:rsidRDefault="00601EEA" w:rsidP="00601EEA">
      <w:pPr>
        <w:pStyle w:val="SangriaFrancesaArticulo"/>
      </w:pPr>
    </w:p>
    <w:p w14:paraId="45085E41" w14:textId="77777777" w:rsidR="00601EEA" w:rsidRDefault="00601EEA" w:rsidP="00601EEA">
      <w:pPr>
        <w:pStyle w:val="TextoNormalNegritaCursivandice"/>
        <w:keepNext/>
      </w:pPr>
      <w:r>
        <w:t>Primer Protocolo facultativo del Pacto internacional de derechos civiles y políticos. Adoptado por la Asamblea general de las Naciones Unidas, de 16 de diciembre de 1966. Adhesión por Instrumento de 17 de enero de 1985</w:t>
      </w:r>
    </w:p>
    <w:p w14:paraId="4ADAEF87" w14:textId="55E5EC82"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61" w:history="1">
        <w:r w:rsidRPr="00601EEA">
          <w:rPr>
            <w:rStyle w:val="TextoNormalCaracter"/>
          </w:rPr>
          <w:t>61/2024</w:t>
        </w:r>
      </w:hyperlink>
      <w:r>
        <w:t>, VP.</w:t>
      </w:r>
    </w:p>
    <w:p w14:paraId="54F60396" w14:textId="230CC03D" w:rsidR="00601EEA" w:rsidRDefault="00601EEA" w:rsidP="00601EEA">
      <w:pPr>
        <w:pStyle w:val="SangriaFrancesaArticulo"/>
      </w:pPr>
      <w:r w:rsidRPr="00601EEA">
        <w:rPr>
          <w:rStyle w:val="TextoNormalNegritaCaracter"/>
        </w:rPr>
        <w:t>Artículo 5.4.</w:t>
      </w:r>
      <w:r w:rsidRPr="00601EEA">
        <w:rPr>
          <w:rStyle w:val="TextoNormalCaracter"/>
        </w:rPr>
        <w:t>-</w:t>
      </w:r>
      <w:r>
        <w:t xml:space="preserve"> Sentencia </w:t>
      </w:r>
      <w:hyperlink w:anchor="SENTENCIA_2024_61" w:history="1">
        <w:r w:rsidRPr="00601EEA">
          <w:rPr>
            <w:rStyle w:val="TextoNormalCaracter"/>
          </w:rPr>
          <w:t>61/2024</w:t>
        </w:r>
      </w:hyperlink>
      <w:r>
        <w:t>, VP.</w:t>
      </w:r>
    </w:p>
    <w:p w14:paraId="0603984D" w14:textId="52F67BBE" w:rsidR="00601EEA" w:rsidRDefault="00601EEA" w:rsidP="00601EEA">
      <w:pPr>
        <w:pStyle w:val="SangriaFrancesaArticulo"/>
      </w:pPr>
    </w:p>
    <w:p w14:paraId="72CE43E6" w14:textId="77777777" w:rsidR="00601EEA" w:rsidRDefault="00601EEA" w:rsidP="00601EEA">
      <w:pPr>
        <w:pStyle w:val="TextoNormalNegritaCursivandice"/>
        <w:keepNext/>
      </w:pPr>
      <w:r>
        <w:t>Pacto internacional de derechos económicos, sociales y culturales, adoptado por la Asamblea General de las Naciones Unidas (Nueva York), de 16 de diciembre de 1966. Ratificado por Instrumento de 13 de abril de 1977</w:t>
      </w:r>
    </w:p>
    <w:p w14:paraId="2FBD25B7" w14:textId="2C0976AB" w:rsidR="00601EEA" w:rsidRDefault="00601EEA" w:rsidP="00601EEA">
      <w:pPr>
        <w:pStyle w:val="SangriaFrancesaArticulo"/>
      </w:pPr>
      <w:r w:rsidRPr="00601EEA">
        <w:rPr>
          <w:rStyle w:val="TextoNormalNegritaCaracter"/>
        </w:rPr>
        <w:t>Artículo 13.1.</w:t>
      </w:r>
      <w:r w:rsidRPr="00601EEA">
        <w:rPr>
          <w:rStyle w:val="TextoNormalCaracter"/>
        </w:rPr>
        <w:t>-</w:t>
      </w:r>
      <w:r>
        <w:t xml:space="preserve"> Sentencia </w:t>
      </w:r>
      <w:hyperlink w:anchor="SENTENCIA_2024_26" w:history="1">
        <w:r w:rsidRPr="00601EEA">
          <w:rPr>
            <w:rStyle w:val="TextoNormalCaracter"/>
          </w:rPr>
          <w:t>26/2024</w:t>
        </w:r>
      </w:hyperlink>
      <w:r>
        <w:t>, f. 2.</w:t>
      </w:r>
    </w:p>
    <w:p w14:paraId="2E03B58B" w14:textId="5E0453E9" w:rsidR="00601EEA" w:rsidRDefault="00601EEA" w:rsidP="00601EEA">
      <w:pPr>
        <w:pStyle w:val="SangriaFrancesaArticulo"/>
      </w:pPr>
      <w:r w:rsidRPr="00601EEA">
        <w:rPr>
          <w:rStyle w:val="TextoNormalNegritaCaracter"/>
        </w:rPr>
        <w:t>Artículo 13.3.</w:t>
      </w:r>
      <w:r w:rsidRPr="00601EEA">
        <w:rPr>
          <w:rStyle w:val="TextoNormalCaracter"/>
        </w:rPr>
        <w:t>-</w:t>
      </w:r>
      <w:r>
        <w:t xml:space="preserve"> Sentencia </w:t>
      </w:r>
      <w:hyperlink w:anchor="SENTENCIA_2024_26" w:history="1">
        <w:r w:rsidRPr="00601EEA">
          <w:rPr>
            <w:rStyle w:val="TextoNormalCaracter"/>
          </w:rPr>
          <w:t>26/2024</w:t>
        </w:r>
      </w:hyperlink>
      <w:r>
        <w:t>, f. 2.</w:t>
      </w:r>
    </w:p>
    <w:p w14:paraId="47684D25" w14:textId="07644DA7" w:rsidR="00601EEA" w:rsidRDefault="00601EEA" w:rsidP="00601EEA">
      <w:pPr>
        <w:pStyle w:val="SangriaFrancesaArticulo"/>
      </w:pPr>
    </w:p>
    <w:p w14:paraId="1D1EC026" w14:textId="77777777" w:rsidR="00601EEA" w:rsidRDefault="00601EEA" w:rsidP="00601EEA">
      <w:pPr>
        <w:pStyle w:val="TextoNormalNegritaCursivandice"/>
        <w:keepNext/>
      </w:pPr>
      <w:r>
        <w:t>Convención sobre imprescriptibilidad de los crímenes de guerra y de los crímenes de lesa humanidad de 26 de noviembre de 1968</w:t>
      </w:r>
    </w:p>
    <w:p w14:paraId="47F695AD" w14:textId="7830EA6F" w:rsidR="00601EEA" w:rsidRDefault="00601EEA" w:rsidP="00601EEA">
      <w:pPr>
        <w:pStyle w:val="SangriaFrancesaArticulo"/>
      </w:pPr>
      <w:r w:rsidRPr="00601EEA">
        <w:rPr>
          <w:rStyle w:val="TextoNormalNegritaCaracter"/>
        </w:rPr>
        <w:t>En general.</w:t>
      </w:r>
      <w:r w:rsidRPr="00601EEA">
        <w:rPr>
          <w:rStyle w:val="TextoNormalCaracter"/>
        </w:rPr>
        <w:t>-</w:t>
      </w:r>
      <w:r>
        <w:t xml:space="preserve"> Auto </w:t>
      </w:r>
      <w:hyperlink w:anchor="AUTO_2024_57" w:history="1">
        <w:r w:rsidRPr="00601EEA">
          <w:rPr>
            <w:rStyle w:val="TextoNormalCaracter"/>
          </w:rPr>
          <w:t>57/2024</w:t>
        </w:r>
      </w:hyperlink>
      <w:r>
        <w:t>, VP II.</w:t>
      </w:r>
    </w:p>
    <w:p w14:paraId="002FA439" w14:textId="3EBBDC13" w:rsidR="00601EEA" w:rsidRDefault="00601EEA" w:rsidP="00601EEA">
      <w:pPr>
        <w:pStyle w:val="SangriaFrancesaArticulo"/>
      </w:pPr>
    </w:p>
    <w:p w14:paraId="399E023B" w14:textId="77777777" w:rsidR="00601EEA" w:rsidRDefault="00601EEA" w:rsidP="00601EEA">
      <w:pPr>
        <w:pStyle w:val="TextoNormalNegritaCursivandice"/>
        <w:keepNext/>
      </w:pPr>
      <w:r>
        <w:t>Acuerdo entre el Estado español y la Santa Sede de 3 de enero de 1979, sobre enseñanza y asuntos culturales. Ratificado por Instrumento de 4 de diciembre de 1979</w:t>
      </w:r>
    </w:p>
    <w:p w14:paraId="7D5C0360" w14:textId="274707E6" w:rsidR="00601EEA" w:rsidRDefault="00601EEA" w:rsidP="00601EEA">
      <w:pPr>
        <w:pStyle w:val="SangriaFrancesaArticulo"/>
      </w:pPr>
      <w:r w:rsidRPr="00601EEA">
        <w:rPr>
          <w:rStyle w:val="TextoNormalNegritaCaracter"/>
        </w:rPr>
        <w:t>Artículo 1.</w:t>
      </w:r>
      <w:r w:rsidRPr="00601EEA">
        <w:rPr>
          <w:rStyle w:val="TextoNormalCaracter"/>
        </w:rPr>
        <w:t>-</w:t>
      </w:r>
      <w:r>
        <w:t xml:space="preserve"> Sentencia </w:t>
      </w:r>
      <w:hyperlink w:anchor="SENTENCIA_2024_26" w:history="1">
        <w:r w:rsidRPr="00601EEA">
          <w:rPr>
            <w:rStyle w:val="TextoNormalCaracter"/>
          </w:rPr>
          <w:t>26/2024</w:t>
        </w:r>
      </w:hyperlink>
      <w:r>
        <w:t>, VP I.</w:t>
      </w:r>
    </w:p>
    <w:p w14:paraId="5F2CCDEC" w14:textId="0B4415A2" w:rsidR="00601EEA" w:rsidRDefault="00601EEA" w:rsidP="00601EEA">
      <w:pPr>
        <w:pStyle w:val="SangriaFrancesaArticulo"/>
      </w:pPr>
      <w:r w:rsidRPr="00601EEA">
        <w:rPr>
          <w:rStyle w:val="TextoNormalNegritaCaracter"/>
        </w:rPr>
        <w:t>Artículo 2.</w:t>
      </w:r>
      <w:r w:rsidRPr="00601EEA">
        <w:rPr>
          <w:rStyle w:val="TextoNormalCaracter"/>
        </w:rPr>
        <w:t>-</w:t>
      </w:r>
      <w:r>
        <w:t xml:space="preserve"> Sentencia </w:t>
      </w:r>
      <w:hyperlink w:anchor="SENTENCIA_2024_26" w:history="1">
        <w:r w:rsidRPr="00601EEA">
          <w:rPr>
            <w:rStyle w:val="TextoNormalCaracter"/>
          </w:rPr>
          <w:t>26/2024</w:t>
        </w:r>
      </w:hyperlink>
      <w:r>
        <w:t>, VP I.</w:t>
      </w:r>
    </w:p>
    <w:p w14:paraId="7D81CB8E" w14:textId="776B01B1" w:rsidR="00601EEA" w:rsidRDefault="00601EEA" w:rsidP="00601EEA">
      <w:pPr>
        <w:pStyle w:val="SangriaFrancesaArticulo"/>
      </w:pPr>
    </w:p>
    <w:p w14:paraId="0EE46F29" w14:textId="77777777" w:rsidR="00601EEA" w:rsidRDefault="00601EEA" w:rsidP="00601EEA">
      <w:pPr>
        <w:pStyle w:val="TextoNormalNegritaCursivandice"/>
        <w:keepNext/>
      </w:pPr>
      <w:r>
        <w:lastRenderedPageBreak/>
        <w:t>Convención de Naciones Unidas sobre la eliminación de todas las formas de discriminación contra la mujer, hecha en Nueva York el 18 de diciembre de 1979. Ratificada por Instrumento de 16 de diciembre de 1983</w:t>
      </w:r>
    </w:p>
    <w:p w14:paraId="42FB43CB" w14:textId="2C43DA70"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Sentencias </w:t>
      </w:r>
      <w:hyperlink w:anchor="SENTENCIA_2024_48" w:history="1">
        <w:r w:rsidRPr="00601EEA">
          <w:rPr>
            <w:rStyle w:val="TextoNormalCaracter"/>
          </w:rPr>
          <w:t>48/2024</w:t>
        </w:r>
      </w:hyperlink>
      <w:r>
        <w:t xml:space="preserve">, VP I; </w:t>
      </w:r>
      <w:hyperlink w:anchor="SENTENCIA_2024_92" w:history="1">
        <w:r w:rsidRPr="00601EEA">
          <w:rPr>
            <w:rStyle w:val="TextoNormalCaracter"/>
          </w:rPr>
          <w:t>92/2024</w:t>
        </w:r>
      </w:hyperlink>
      <w:r>
        <w:t>, f. 3.</w:t>
      </w:r>
    </w:p>
    <w:p w14:paraId="57274FB6" w14:textId="436E97F7" w:rsidR="00601EEA" w:rsidRDefault="00601EEA" w:rsidP="00601EEA">
      <w:pPr>
        <w:pStyle w:val="SangriaFrancesaArticulo"/>
      </w:pPr>
      <w:r w:rsidRPr="00601EEA">
        <w:rPr>
          <w:rStyle w:val="TextoNormalNegritaCaracter"/>
        </w:rPr>
        <w:t>Artículo 1.</w:t>
      </w:r>
      <w:r w:rsidRPr="00601EEA">
        <w:rPr>
          <w:rStyle w:val="TextoNormalCaracter"/>
        </w:rPr>
        <w:t>-</w:t>
      </w:r>
      <w:r>
        <w:t xml:space="preserve"> Sentencia </w:t>
      </w:r>
      <w:hyperlink w:anchor="SENTENCIA_2024_48" w:history="1">
        <w:r w:rsidRPr="00601EEA">
          <w:rPr>
            <w:rStyle w:val="TextoNormalCaracter"/>
          </w:rPr>
          <w:t>48/2024</w:t>
        </w:r>
      </w:hyperlink>
      <w:r>
        <w:t>, f. 2.</w:t>
      </w:r>
    </w:p>
    <w:p w14:paraId="11B93C51" w14:textId="267C6377" w:rsidR="00601EEA" w:rsidRDefault="00601EEA" w:rsidP="00601EEA">
      <w:pPr>
        <w:pStyle w:val="SangriaFrancesaArticulo"/>
      </w:pPr>
      <w:r w:rsidRPr="00601EEA">
        <w:rPr>
          <w:rStyle w:val="TextoNormalNegritaCaracter"/>
        </w:rPr>
        <w:t>Artículo 2.</w:t>
      </w:r>
      <w:r w:rsidRPr="00601EEA">
        <w:rPr>
          <w:rStyle w:val="TextoNormalCaracter"/>
        </w:rPr>
        <w:t>-</w:t>
      </w:r>
      <w:r>
        <w:t xml:space="preserve"> Sentencia </w:t>
      </w:r>
      <w:hyperlink w:anchor="SENTENCIA_2024_48" w:history="1">
        <w:r w:rsidRPr="00601EEA">
          <w:rPr>
            <w:rStyle w:val="TextoNormalCaracter"/>
          </w:rPr>
          <w:t>48/2024</w:t>
        </w:r>
      </w:hyperlink>
      <w:r>
        <w:t>, f. 2.</w:t>
      </w:r>
    </w:p>
    <w:p w14:paraId="22CDD12E" w14:textId="4CDE92F9" w:rsidR="00601EEA" w:rsidRDefault="00601EEA" w:rsidP="00601EEA">
      <w:pPr>
        <w:pStyle w:val="SangriaFrancesaArticulo"/>
      </w:pPr>
    </w:p>
    <w:p w14:paraId="20EDB82C" w14:textId="77777777" w:rsidR="00601EEA" w:rsidRDefault="00601EEA" w:rsidP="00601EEA">
      <w:pPr>
        <w:pStyle w:val="TextoNormalNegritaCursivandice"/>
        <w:keepNext/>
      </w:pPr>
      <w:r>
        <w:t>Convención contra la tortura y otros tratos o penas crueles, inhumanos o degradantes, hecha en Nueva York el 10 de diciembre de 1984. Ratificada por Instrumento de 19 de octubre de 1987</w:t>
      </w:r>
    </w:p>
    <w:p w14:paraId="7269B88E" w14:textId="3E6AD195" w:rsidR="00601EEA" w:rsidRDefault="00601EEA" w:rsidP="00601EEA">
      <w:pPr>
        <w:pStyle w:val="SangriaFrancesaArticulo"/>
      </w:pPr>
      <w:r w:rsidRPr="00601EEA">
        <w:rPr>
          <w:rStyle w:val="TextoNormalNegritaCaracter"/>
        </w:rPr>
        <w:t>Artículo 12.</w:t>
      </w:r>
      <w:r w:rsidRPr="00601EEA">
        <w:rPr>
          <w:rStyle w:val="TextoNormalCaracter"/>
        </w:rPr>
        <w:t>-</w:t>
      </w:r>
      <w:r>
        <w:t xml:space="preserve"> Auto </w:t>
      </w:r>
      <w:hyperlink w:anchor="AUTO_2024_57" w:history="1">
        <w:r w:rsidRPr="00601EEA">
          <w:rPr>
            <w:rStyle w:val="TextoNormalCaracter"/>
          </w:rPr>
          <w:t>57/2024</w:t>
        </w:r>
      </w:hyperlink>
      <w:r>
        <w:t>, VP II.</w:t>
      </w:r>
    </w:p>
    <w:p w14:paraId="734725F3" w14:textId="0B87C3A8" w:rsidR="00601EEA" w:rsidRDefault="00601EEA" w:rsidP="00601EEA">
      <w:pPr>
        <w:pStyle w:val="SangriaFrancesaArticulo"/>
      </w:pPr>
    </w:p>
    <w:p w14:paraId="22CE2B0A" w14:textId="77777777" w:rsidR="00601EEA" w:rsidRDefault="00601EEA" w:rsidP="00601EEA">
      <w:pPr>
        <w:pStyle w:val="TextoNormalNegritaCursivandice"/>
        <w:keepNext/>
      </w:pPr>
      <w:r>
        <w:t>Convención de las Naciones Unidas contra el tráfico ilícito de estupefacientes y sustancias sicotrópicas, hecha en Viena el 20 de diciembre de 1988. Ratificada por Instrumento de 30 de julio de 1990</w:t>
      </w:r>
    </w:p>
    <w:p w14:paraId="406C96A5" w14:textId="3DA550FB"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87" w:history="1">
        <w:r w:rsidRPr="00601EEA">
          <w:rPr>
            <w:rStyle w:val="TextoNormalCaracter"/>
          </w:rPr>
          <w:t>87/2024</w:t>
        </w:r>
      </w:hyperlink>
      <w:r>
        <w:t>, f. 2.</w:t>
      </w:r>
    </w:p>
    <w:p w14:paraId="2DDF7A81" w14:textId="716B6773" w:rsidR="00601EEA" w:rsidRDefault="00601EEA" w:rsidP="00601EEA">
      <w:pPr>
        <w:pStyle w:val="SangriaFrancesaArticulo"/>
      </w:pPr>
    </w:p>
    <w:p w14:paraId="2A3F28F8" w14:textId="77777777" w:rsidR="00601EEA" w:rsidRDefault="00601EEA" w:rsidP="00601EEA">
      <w:pPr>
        <w:pStyle w:val="TextoNormalNegritaCursivandice"/>
        <w:keepNext/>
      </w:pPr>
      <w:r>
        <w:t>Convención sobre los derechos del niño, adoptada por la Asamblea General de Naciones Unidas el 20 de noviembre de 1989. Ratificada por Instrumento de 30 de noviembre de 1990</w:t>
      </w:r>
    </w:p>
    <w:p w14:paraId="566FB82C" w14:textId="7FCB27C7" w:rsidR="00601EEA" w:rsidRDefault="00601EEA" w:rsidP="00601EEA">
      <w:pPr>
        <w:pStyle w:val="SangriaFrancesaArticulo"/>
      </w:pPr>
      <w:r w:rsidRPr="00601EEA">
        <w:rPr>
          <w:rStyle w:val="TextoNormalNegritaCaracter"/>
        </w:rPr>
        <w:t>Artículo 3.</w:t>
      </w:r>
      <w:r w:rsidRPr="00601EEA">
        <w:rPr>
          <w:rStyle w:val="TextoNormalCaracter"/>
        </w:rPr>
        <w:t>-</w:t>
      </w:r>
      <w:r>
        <w:t xml:space="preserve"> Sentencia </w:t>
      </w:r>
      <w:hyperlink w:anchor="SENTENCIA_2024_28" w:history="1">
        <w:r w:rsidRPr="00601EEA">
          <w:rPr>
            <w:rStyle w:val="TextoNormalCaracter"/>
          </w:rPr>
          <w:t>28/2024</w:t>
        </w:r>
      </w:hyperlink>
      <w:r>
        <w:t>, f. 1.</w:t>
      </w:r>
    </w:p>
    <w:p w14:paraId="339724FC" w14:textId="2ABE7B50" w:rsidR="00601EEA" w:rsidRDefault="00601EEA" w:rsidP="00601EEA">
      <w:pPr>
        <w:pStyle w:val="SangriaFrancesaArticulo"/>
      </w:pPr>
      <w:r w:rsidRPr="00601EEA">
        <w:rPr>
          <w:rStyle w:val="TextoNormalNegritaCaracter"/>
        </w:rPr>
        <w:t>Artículo 3.1.</w:t>
      </w:r>
      <w:r w:rsidRPr="00601EEA">
        <w:rPr>
          <w:rStyle w:val="TextoNormalCaracter"/>
        </w:rPr>
        <w:t>-</w:t>
      </w:r>
      <w:r>
        <w:t xml:space="preserve"> Sentencias </w:t>
      </w:r>
      <w:hyperlink w:anchor="SENTENCIA_2024_2" w:history="1">
        <w:r w:rsidRPr="00601EEA">
          <w:rPr>
            <w:rStyle w:val="TextoNormalCaracter"/>
          </w:rPr>
          <w:t>2/2024</w:t>
        </w:r>
      </w:hyperlink>
      <w:r>
        <w:t xml:space="preserve">, f. 2; </w:t>
      </w:r>
      <w:hyperlink w:anchor="SENTENCIA_2024_26" w:history="1">
        <w:r w:rsidRPr="00601EEA">
          <w:rPr>
            <w:rStyle w:val="TextoNormalCaracter"/>
          </w:rPr>
          <w:t>26/2024</w:t>
        </w:r>
      </w:hyperlink>
      <w:r>
        <w:t xml:space="preserve">, f. 4; </w:t>
      </w:r>
      <w:hyperlink w:anchor="SENTENCIA_2024_28" w:history="1">
        <w:r w:rsidRPr="00601EEA">
          <w:rPr>
            <w:rStyle w:val="TextoNormalCaracter"/>
          </w:rPr>
          <w:t>28/2024</w:t>
        </w:r>
      </w:hyperlink>
      <w:r>
        <w:t xml:space="preserve">, f. 5, VP; </w:t>
      </w:r>
      <w:hyperlink w:anchor="SENTENCIA_2024_82" w:history="1">
        <w:r w:rsidRPr="00601EEA">
          <w:rPr>
            <w:rStyle w:val="TextoNormalCaracter"/>
          </w:rPr>
          <w:t>82/2024</w:t>
        </w:r>
      </w:hyperlink>
      <w:r>
        <w:t>, f. 2.</w:t>
      </w:r>
    </w:p>
    <w:p w14:paraId="4FDE4422" w14:textId="120E5D89" w:rsidR="00601EEA" w:rsidRDefault="00601EEA" w:rsidP="00601EEA">
      <w:pPr>
        <w:pStyle w:val="SangriaFrancesaArticulo"/>
      </w:pPr>
      <w:r w:rsidRPr="00601EEA">
        <w:rPr>
          <w:rStyle w:val="TextoNormalNegritaCaracter"/>
        </w:rPr>
        <w:t>Artículo 9.</w:t>
      </w:r>
      <w:r w:rsidRPr="00601EEA">
        <w:rPr>
          <w:rStyle w:val="TextoNormalCaracter"/>
        </w:rPr>
        <w:t>-</w:t>
      </w:r>
      <w:r>
        <w:t xml:space="preserve"> Sentencia </w:t>
      </w:r>
      <w:hyperlink w:anchor="SENTENCIA_2024_28" w:history="1">
        <w:r w:rsidRPr="00601EEA">
          <w:rPr>
            <w:rStyle w:val="TextoNormalCaracter"/>
          </w:rPr>
          <w:t>28/2024</w:t>
        </w:r>
      </w:hyperlink>
      <w:r>
        <w:t>, VP.</w:t>
      </w:r>
    </w:p>
    <w:p w14:paraId="5BF0D28B" w14:textId="1B282368" w:rsidR="00601EEA" w:rsidRDefault="00601EEA" w:rsidP="00601EEA">
      <w:pPr>
        <w:pStyle w:val="SangriaFrancesaArticulo"/>
      </w:pPr>
      <w:r w:rsidRPr="00601EEA">
        <w:rPr>
          <w:rStyle w:val="TextoNormalNegritaCaracter"/>
        </w:rPr>
        <w:t>Artículo 9.2.</w:t>
      </w:r>
      <w:r w:rsidRPr="00601EEA">
        <w:rPr>
          <w:rStyle w:val="TextoNormalCaracter"/>
        </w:rPr>
        <w:t>-</w:t>
      </w:r>
      <w:r>
        <w:t xml:space="preserve"> Sentencia </w:t>
      </w:r>
      <w:hyperlink w:anchor="SENTENCIA_2024_82" w:history="1">
        <w:r w:rsidRPr="00601EEA">
          <w:rPr>
            <w:rStyle w:val="TextoNormalCaracter"/>
          </w:rPr>
          <w:t>82/2024</w:t>
        </w:r>
      </w:hyperlink>
      <w:r>
        <w:t>, f. 2.</w:t>
      </w:r>
    </w:p>
    <w:p w14:paraId="492C3749" w14:textId="65F0867D" w:rsidR="00601EEA" w:rsidRDefault="00601EEA" w:rsidP="00601EEA">
      <w:pPr>
        <w:pStyle w:val="SangriaFrancesaArticulo"/>
      </w:pPr>
      <w:r w:rsidRPr="00601EEA">
        <w:rPr>
          <w:rStyle w:val="TextoNormalNegritaCaracter"/>
        </w:rPr>
        <w:t>Artículo 12.</w:t>
      </w:r>
      <w:r w:rsidRPr="00601EEA">
        <w:rPr>
          <w:rStyle w:val="TextoNormalCaracter"/>
        </w:rPr>
        <w:t>-</w:t>
      </w:r>
      <w:r>
        <w:t xml:space="preserve"> Sentencia </w:t>
      </w:r>
      <w:hyperlink w:anchor="SENTENCIA_2024_92" w:history="1">
        <w:r w:rsidRPr="00601EEA">
          <w:rPr>
            <w:rStyle w:val="TextoNormalCaracter"/>
          </w:rPr>
          <w:t>92/2024</w:t>
        </w:r>
      </w:hyperlink>
      <w:r>
        <w:t>, f. 6.</w:t>
      </w:r>
    </w:p>
    <w:p w14:paraId="11E3AF8A" w14:textId="3D5A4386" w:rsidR="00601EEA" w:rsidRDefault="00601EEA" w:rsidP="00601EEA">
      <w:pPr>
        <w:pStyle w:val="SangriaFrancesaArticulo"/>
      </w:pPr>
      <w:r w:rsidRPr="00601EEA">
        <w:rPr>
          <w:rStyle w:val="TextoNormalNegritaCaracter"/>
        </w:rPr>
        <w:t>Artículo 14.1.</w:t>
      </w:r>
      <w:r w:rsidRPr="00601EEA">
        <w:rPr>
          <w:rStyle w:val="TextoNormalCaracter"/>
        </w:rPr>
        <w:t>-</w:t>
      </w:r>
      <w:r>
        <w:t xml:space="preserve"> Sentencia </w:t>
      </w:r>
      <w:hyperlink w:anchor="SENTENCIA_2024_26" w:history="1">
        <w:r w:rsidRPr="00601EEA">
          <w:rPr>
            <w:rStyle w:val="TextoNormalCaracter"/>
          </w:rPr>
          <w:t>26/2024</w:t>
        </w:r>
      </w:hyperlink>
      <w:r>
        <w:t>, f. 2.</w:t>
      </w:r>
    </w:p>
    <w:p w14:paraId="3F5F5032" w14:textId="2426FEA5" w:rsidR="00601EEA" w:rsidRDefault="00601EEA" w:rsidP="00601EEA">
      <w:pPr>
        <w:pStyle w:val="SangriaFrancesaArticulo"/>
      </w:pPr>
      <w:r w:rsidRPr="00601EEA">
        <w:rPr>
          <w:rStyle w:val="TextoNormalNegritaCaracter"/>
        </w:rPr>
        <w:t>Artículo 14.2.</w:t>
      </w:r>
      <w:r w:rsidRPr="00601EEA">
        <w:rPr>
          <w:rStyle w:val="TextoNormalCaracter"/>
        </w:rPr>
        <w:t>-</w:t>
      </w:r>
      <w:r>
        <w:t xml:space="preserve"> Sentencia </w:t>
      </w:r>
      <w:hyperlink w:anchor="SENTENCIA_2024_26" w:history="1">
        <w:r w:rsidRPr="00601EEA">
          <w:rPr>
            <w:rStyle w:val="TextoNormalCaracter"/>
          </w:rPr>
          <w:t>26/2024</w:t>
        </w:r>
      </w:hyperlink>
      <w:r>
        <w:t>, f. 2.</w:t>
      </w:r>
    </w:p>
    <w:p w14:paraId="1E9EA90B" w14:textId="67F08ADD" w:rsidR="00601EEA" w:rsidRDefault="00601EEA" w:rsidP="00601EEA">
      <w:pPr>
        <w:pStyle w:val="SangriaFrancesaArticulo"/>
      </w:pPr>
      <w:r w:rsidRPr="00601EEA">
        <w:rPr>
          <w:rStyle w:val="TextoNormalNegritaCaracter"/>
        </w:rPr>
        <w:t>Artículo 14.3.</w:t>
      </w:r>
      <w:r w:rsidRPr="00601EEA">
        <w:rPr>
          <w:rStyle w:val="TextoNormalCaracter"/>
        </w:rPr>
        <w:t>-</w:t>
      </w:r>
      <w:r>
        <w:t xml:space="preserve"> Sentencia </w:t>
      </w:r>
      <w:hyperlink w:anchor="SENTENCIA_2024_26" w:history="1">
        <w:r w:rsidRPr="00601EEA">
          <w:rPr>
            <w:rStyle w:val="TextoNormalCaracter"/>
          </w:rPr>
          <w:t>26/2024</w:t>
        </w:r>
      </w:hyperlink>
      <w:r>
        <w:t>, f. 2.</w:t>
      </w:r>
    </w:p>
    <w:p w14:paraId="4FE34F76" w14:textId="40ECF5F5" w:rsidR="00601EEA" w:rsidRDefault="00601EEA" w:rsidP="00601EEA">
      <w:pPr>
        <w:pStyle w:val="SangriaFrancesaArticulo"/>
      </w:pPr>
      <w:r w:rsidRPr="00601EEA">
        <w:rPr>
          <w:rStyle w:val="TextoNormalNegritaCaracter"/>
        </w:rPr>
        <w:t>Artículo 21.</w:t>
      </w:r>
      <w:r w:rsidRPr="00601EEA">
        <w:rPr>
          <w:rStyle w:val="TextoNormalCaracter"/>
        </w:rPr>
        <w:t>-</w:t>
      </w:r>
      <w:r>
        <w:t xml:space="preserve"> Sentencia </w:t>
      </w:r>
      <w:hyperlink w:anchor="SENTENCIA_2024_28" w:history="1">
        <w:r w:rsidRPr="00601EEA">
          <w:rPr>
            <w:rStyle w:val="TextoNormalCaracter"/>
          </w:rPr>
          <w:t>28/2024</w:t>
        </w:r>
      </w:hyperlink>
      <w:r>
        <w:t>, VP.</w:t>
      </w:r>
    </w:p>
    <w:p w14:paraId="78EDC5C8" w14:textId="54C976E7" w:rsidR="00601EEA" w:rsidRDefault="00601EEA" w:rsidP="00601EEA">
      <w:pPr>
        <w:pStyle w:val="SangriaFrancesaArticulo"/>
      </w:pPr>
    </w:p>
    <w:p w14:paraId="60FD76DC" w14:textId="77777777" w:rsidR="00601EEA" w:rsidRDefault="00601EEA" w:rsidP="00601EEA">
      <w:pPr>
        <w:pStyle w:val="TextoNormalNegritaCursivandice"/>
        <w:keepNext/>
      </w:pPr>
      <w:r>
        <w:t>Informe de la Conferencia Internacional sobre la Población y el Desarrollo de Naciones Unidas, celebrada en El Cairo del 5 a 13 de septiembre de 1994</w:t>
      </w:r>
    </w:p>
    <w:p w14:paraId="019A7F48" w14:textId="1ED7D4BF" w:rsidR="00601EEA" w:rsidRDefault="00601EEA" w:rsidP="00601EEA">
      <w:pPr>
        <w:pStyle w:val="SangriaFrancesaArticulo"/>
      </w:pPr>
      <w:r w:rsidRPr="00601EEA">
        <w:rPr>
          <w:rStyle w:val="TextoNormalNegritaCaracter"/>
        </w:rPr>
        <w:t>Punto 8.25.</w:t>
      </w:r>
      <w:r w:rsidRPr="00601EEA">
        <w:rPr>
          <w:rStyle w:val="TextoNormalCaracter"/>
        </w:rPr>
        <w:t>-</w:t>
      </w:r>
      <w:r>
        <w:t xml:space="preserve"> Sentencia </w:t>
      </w:r>
      <w:hyperlink w:anchor="SENTENCIA_2024_92" w:history="1">
        <w:r w:rsidRPr="00601EEA">
          <w:rPr>
            <w:rStyle w:val="TextoNormalCaracter"/>
          </w:rPr>
          <w:t>92/2024</w:t>
        </w:r>
      </w:hyperlink>
      <w:r>
        <w:t>, VP III.</w:t>
      </w:r>
    </w:p>
    <w:p w14:paraId="1E192248" w14:textId="4544F5E7" w:rsidR="00601EEA" w:rsidRDefault="00601EEA" w:rsidP="00601EEA">
      <w:pPr>
        <w:pStyle w:val="SangriaFrancesaArticulo"/>
      </w:pPr>
    </w:p>
    <w:p w14:paraId="4D612D67" w14:textId="77777777" w:rsidR="00601EEA" w:rsidRDefault="00601EEA" w:rsidP="00601EEA">
      <w:pPr>
        <w:pStyle w:val="TextoNormalNegritaCursivandice"/>
        <w:keepNext/>
      </w:pPr>
      <w:r>
        <w:t>Informe de la Cuarta Conferencia Mundial sobre la Mujer de Naciones Unidas, celebrada en Beijing del 4 a 15 de septiembre de 1995</w:t>
      </w:r>
    </w:p>
    <w:p w14:paraId="7D8BF1FB" w14:textId="03BED7CA" w:rsidR="00601EEA" w:rsidRDefault="00601EEA" w:rsidP="00601EEA">
      <w:pPr>
        <w:pStyle w:val="SangriaFrancesaArticulo"/>
      </w:pPr>
      <w:r w:rsidRPr="00601EEA">
        <w:rPr>
          <w:rStyle w:val="TextoNormalNegritaCaracter"/>
        </w:rPr>
        <w:t>Apartado 38.</w:t>
      </w:r>
      <w:r w:rsidRPr="00601EEA">
        <w:rPr>
          <w:rStyle w:val="TextoNormalCaracter"/>
        </w:rPr>
        <w:t>-</w:t>
      </w:r>
      <w:r>
        <w:t xml:space="preserve"> Sentencia </w:t>
      </w:r>
      <w:hyperlink w:anchor="SENTENCIA_2024_89" w:history="1">
        <w:r w:rsidRPr="00601EEA">
          <w:rPr>
            <w:rStyle w:val="TextoNormalCaracter"/>
          </w:rPr>
          <w:t>89/2024</w:t>
        </w:r>
      </w:hyperlink>
      <w:r>
        <w:t>, f. 2.</w:t>
      </w:r>
    </w:p>
    <w:p w14:paraId="37AD6730" w14:textId="125C6499" w:rsidR="00601EEA" w:rsidRDefault="00601EEA" w:rsidP="00601EEA">
      <w:pPr>
        <w:pStyle w:val="SangriaFrancesaArticulo"/>
      </w:pPr>
    </w:p>
    <w:p w14:paraId="790B424C" w14:textId="77777777" w:rsidR="00601EEA" w:rsidRDefault="00601EEA" w:rsidP="00601EEA">
      <w:pPr>
        <w:pStyle w:val="TextoNormalNegritaCursivandice"/>
        <w:keepNext/>
      </w:pPr>
      <w:r>
        <w:t>Protocolo Facultativo de la Convención sobre la eliminación de todas las formas de discriminación contra la mujer, hecho en Nueva York el 6 de octubre de 1999. Ratificado por Instrumento de 29 de junio de 2001</w:t>
      </w:r>
    </w:p>
    <w:p w14:paraId="17D6177D" w14:textId="732457F6" w:rsidR="00601EEA" w:rsidRDefault="00601EEA" w:rsidP="00601EEA">
      <w:pPr>
        <w:pStyle w:val="SangriaFrancesaArticulo"/>
      </w:pPr>
      <w:r w:rsidRPr="00601EEA">
        <w:rPr>
          <w:rStyle w:val="TextoNormalNegritaCaracter"/>
        </w:rPr>
        <w:t>Artículo 16.</w:t>
      </w:r>
      <w:r w:rsidRPr="00601EEA">
        <w:rPr>
          <w:rStyle w:val="TextoNormalCaracter"/>
        </w:rPr>
        <w:t>-</w:t>
      </w:r>
      <w:r>
        <w:t xml:space="preserve"> Sentencia </w:t>
      </w:r>
      <w:hyperlink w:anchor="SENTENCIA_2024_92" w:history="1">
        <w:r w:rsidRPr="00601EEA">
          <w:rPr>
            <w:rStyle w:val="TextoNormalCaracter"/>
          </w:rPr>
          <w:t>92/2024</w:t>
        </w:r>
      </w:hyperlink>
      <w:r>
        <w:t>, VP III.</w:t>
      </w:r>
    </w:p>
    <w:p w14:paraId="2975E472" w14:textId="2AC9B94A" w:rsidR="00601EEA" w:rsidRDefault="00601EEA" w:rsidP="00601EEA">
      <w:pPr>
        <w:pStyle w:val="SangriaFrancesaArticulo"/>
      </w:pPr>
    </w:p>
    <w:p w14:paraId="33598170" w14:textId="77777777" w:rsidR="00601EEA" w:rsidRDefault="00601EEA" w:rsidP="00601EEA">
      <w:pPr>
        <w:pStyle w:val="TextoNormalNegritaCursivandice"/>
        <w:keepNext/>
      </w:pPr>
      <w:r>
        <w:lastRenderedPageBreak/>
        <w:t>Convención de las Naciones Unidas contra la delincuencia organizada transnacional, hecha en Nueva York el 15 de noviembre de 2000. Ratificado por Instrumento de 21 de febrero de 2002</w:t>
      </w:r>
    </w:p>
    <w:p w14:paraId="383CBFD6" w14:textId="5A1C9AC6" w:rsidR="00601EEA" w:rsidRDefault="00601EEA" w:rsidP="00601EEA">
      <w:pPr>
        <w:pStyle w:val="SangriaFrancesaArticulo"/>
      </w:pPr>
      <w:r w:rsidRPr="00601EEA">
        <w:rPr>
          <w:rStyle w:val="TextoNormalNegritaCaracter"/>
        </w:rPr>
        <w:t>Artículo 20.1.</w:t>
      </w:r>
      <w:r w:rsidRPr="00601EEA">
        <w:rPr>
          <w:rStyle w:val="TextoNormalCaracter"/>
        </w:rPr>
        <w:t>-</w:t>
      </w:r>
      <w:r>
        <w:t xml:space="preserve"> Sentencia </w:t>
      </w:r>
      <w:hyperlink w:anchor="SENTENCIA_2024_87" w:history="1">
        <w:r w:rsidRPr="00601EEA">
          <w:rPr>
            <w:rStyle w:val="TextoNormalCaracter"/>
          </w:rPr>
          <w:t>87/2024</w:t>
        </w:r>
      </w:hyperlink>
      <w:r>
        <w:t>, f. 2.</w:t>
      </w:r>
    </w:p>
    <w:p w14:paraId="7CB6CF44" w14:textId="0C3A6B8D" w:rsidR="00601EEA" w:rsidRDefault="00601EEA" w:rsidP="00601EEA">
      <w:pPr>
        <w:pStyle w:val="SangriaFrancesaArticulo"/>
      </w:pPr>
    </w:p>
    <w:p w14:paraId="20C2A81C" w14:textId="77777777" w:rsidR="00601EEA" w:rsidRDefault="00601EEA" w:rsidP="00601EEA">
      <w:pPr>
        <w:pStyle w:val="TextoNormalNegritaCursivandice"/>
        <w:keepNext/>
      </w:pPr>
      <w:r>
        <w:t>Decisión del Comité de Derechos Humanos de Naciones Unidas, de 19 de septiembre de 2001 (George Karantzis c. Chipre, CCPR/C/78/D/972/2001)</w:t>
      </w:r>
    </w:p>
    <w:p w14:paraId="17C80CB6" w14:textId="076181D2" w:rsidR="00601EEA" w:rsidRDefault="00601EEA" w:rsidP="00601EEA">
      <w:pPr>
        <w:pStyle w:val="SangriaFrancesaArticulo"/>
      </w:pPr>
      <w:r w:rsidRPr="00601EEA">
        <w:rPr>
          <w:rStyle w:val="TextoNormalNegritaCaracter"/>
        </w:rPr>
        <w:t>§ 6.6.</w:t>
      </w:r>
      <w:r w:rsidRPr="00601EEA">
        <w:rPr>
          <w:rStyle w:val="TextoNormalCaracter"/>
        </w:rPr>
        <w:t>-</w:t>
      </w:r>
      <w:r>
        <w:t xml:space="preserve"> Sentencia </w:t>
      </w:r>
      <w:hyperlink w:anchor="SENTENCIA_2024_61" w:history="1">
        <w:r w:rsidRPr="00601EEA">
          <w:rPr>
            <w:rStyle w:val="TextoNormalCaracter"/>
          </w:rPr>
          <w:t>61/2024</w:t>
        </w:r>
      </w:hyperlink>
      <w:r>
        <w:t>, VP.</w:t>
      </w:r>
    </w:p>
    <w:p w14:paraId="3E494FBF" w14:textId="1D852423" w:rsidR="00601EEA" w:rsidRDefault="00601EEA" w:rsidP="00601EEA">
      <w:pPr>
        <w:pStyle w:val="SangriaFrancesaArticulo"/>
      </w:pPr>
    </w:p>
    <w:p w14:paraId="3690C706" w14:textId="77777777" w:rsidR="00601EEA" w:rsidRDefault="00601EEA" w:rsidP="00601EEA">
      <w:pPr>
        <w:pStyle w:val="TextoNormalNegritaCursivandice"/>
        <w:keepNext/>
      </w:pPr>
      <w:r>
        <w:t>Tratado de extradición entre el Reino de España y la República Popular China, hecho en Madrid el 14 de noviembre de 2005. Ratificado por instrumento de 30 de junio de 2006</w:t>
      </w:r>
    </w:p>
    <w:p w14:paraId="6E2BAD50" w14:textId="5A2C963C"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52" w:history="1">
        <w:r w:rsidRPr="00601EEA">
          <w:rPr>
            <w:rStyle w:val="TextoNormalCaracter"/>
          </w:rPr>
          <w:t>52/2024</w:t>
        </w:r>
      </w:hyperlink>
      <w:r>
        <w:t>, f. 4.</w:t>
      </w:r>
    </w:p>
    <w:p w14:paraId="611421C5" w14:textId="685A492C" w:rsidR="00601EEA" w:rsidRDefault="00601EEA" w:rsidP="00601EEA">
      <w:pPr>
        <w:pStyle w:val="SangriaFrancesaArticulo"/>
      </w:pPr>
      <w:r w:rsidRPr="00601EEA">
        <w:rPr>
          <w:rStyle w:val="TextoNormalNegritaCaracter"/>
        </w:rPr>
        <w:t>Artículo 2.1 a).</w:t>
      </w:r>
      <w:r w:rsidRPr="00601EEA">
        <w:rPr>
          <w:rStyle w:val="TextoNormalCaracter"/>
        </w:rPr>
        <w:t>-</w:t>
      </w:r>
      <w:r>
        <w:t xml:space="preserve"> Sentencia </w:t>
      </w:r>
      <w:hyperlink w:anchor="SENTENCIA_2024_52" w:history="1">
        <w:r w:rsidRPr="00601EEA">
          <w:rPr>
            <w:rStyle w:val="TextoNormalCaracter"/>
          </w:rPr>
          <w:t>52/2024</w:t>
        </w:r>
      </w:hyperlink>
      <w:r>
        <w:t>, f. 4.</w:t>
      </w:r>
    </w:p>
    <w:p w14:paraId="36098972" w14:textId="74CA0E68" w:rsidR="00601EEA" w:rsidRDefault="00601EEA" w:rsidP="00601EEA">
      <w:pPr>
        <w:pStyle w:val="SangriaFrancesaArticulo"/>
      </w:pPr>
      <w:r w:rsidRPr="00601EEA">
        <w:rPr>
          <w:rStyle w:val="TextoNormalNegritaCaracter"/>
        </w:rPr>
        <w:t>Artículo 7.2 a).</w:t>
      </w:r>
      <w:r w:rsidRPr="00601EEA">
        <w:rPr>
          <w:rStyle w:val="TextoNormalCaracter"/>
        </w:rPr>
        <w:t>-</w:t>
      </w:r>
      <w:r>
        <w:t xml:space="preserve"> Sentencia </w:t>
      </w:r>
      <w:hyperlink w:anchor="SENTENCIA_2024_52" w:history="1">
        <w:r w:rsidRPr="00601EEA">
          <w:rPr>
            <w:rStyle w:val="TextoNormalCaracter"/>
          </w:rPr>
          <w:t>52/2024</w:t>
        </w:r>
      </w:hyperlink>
      <w:r>
        <w:t>, f. 4.</w:t>
      </w:r>
    </w:p>
    <w:p w14:paraId="658AE321" w14:textId="1C384707" w:rsidR="00601EEA" w:rsidRDefault="00601EEA" w:rsidP="00601EEA">
      <w:pPr>
        <w:pStyle w:val="SangriaFrancesaArticulo"/>
      </w:pPr>
    </w:p>
    <w:p w14:paraId="1EBEE5F0" w14:textId="77777777" w:rsidR="00601EEA" w:rsidRDefault="00601EEA" w:rsidP="00601EEA">
      <w:pPr>
        <w:pStyle w:val="TextoNormalNegritaCursivandice"/>
        <w:keepNext/>
      </w:pPr>
      <w:r>
        <w:t>Convenio de extradición entre el Reino de España y el Reino de Marruecos, hecho en Rabat el 24 de junio de 2009</w:t>
      </w:r>
    </w:p>
    <w:p w14:paraId="1F4D56C1" w14:textId="29719048"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Sentencias </w:t>
      </w:r>
      <w:hyperlink w:anchor="SENTENCIA_2024_17" w:history="1">
        <w:r w:rsidRPr="00601EEA">
          <w:rPr>
            <w:rStyle w:val="TextoNormalCaracter"/>
          </w:rPr>
          <w:t>17/2024</w:t>
        </w:r>
      </w:hyperlink>
      <w:r>
        <w:t xml:space="preserve">, f. 4; </w:t>
      </w:r>
      <w:hyperlink w:anchor="SENTENCIA_2024_34" w:history="1">
        <w:r w:rsidRPr="00601EEA">
          <w:rPr>
            <w:rStyle w:val="TextoNormalCaracter"/>
          </w:rPr>
          <w:t>34/2024</w:t>
        </w:r>
      </w:hyperlink>
      <w:r>
        <w:t xml:space="preserve">, f. 5; </w:t>
      </w:r>
      <w:hyperlink w:anchor="SENTENCIA_2024_36" w:history="1">
        <w:r w:rsidRPr="00601EEA">
          <w:rPr>
            <w:rStyle w:val="TextoNormalCaracter"/>
          </w:rPr>
          <w:t>36/2024</w:t>
        </w:r>
      </w:hyperlink>
      <w:r>
        <w:t xml:space="preserve">, f. 4; </w:t>
      </w:r>
      <w:hyperlink w:anchor="SENTENCIA_2024_37" w:history="1">
        <w:r w:rsidRPr="00601EEA">
          <w:rPr>
            <w:rStyle w:val="TextoNormalCaracter"/>
          </w:rPr>
          <w:t>37/2024</w:t>
        </w:r>
      </w:hyperlink>
      <w:r>
        <w:t xml:space="preserve">, f. 3, VP; </w:t>
      </w:r>
      <w:hyperlink w:anchor="SENTENCIA_2024_42" w:history="1">
        <w:r w:rsidRPr="00601EEA">
          <w:rPr>
            <w:rStyle w:val="TextoNormalCaracter"/>
          </w:rPr>
          <w:t>42/2024</w:t>
        </w:r>
      </w:hyperlink>
      <w:r>
        <w:t xml:space="preserve">, ff. 4, 5, VP; </w:t>
      </w:r>
      <w:hyperlink w:anchor="SENTENCIA_2024_43" w:history="1">
        <w:r w:rsidRPr="00601EEA">
          <w:rPr>
            <w:rStyle w:val="TextoNormalCaracter"/>
          </w:rPr>
          <w:t>43/2024</w:t>
        </w:r>
      </w:hyperlink>
      <w:r>
        <w:t xml:space="preserve">, f. 6, VP I; </w:t>
      </w:r>
      <w:hyperlink w:anchor="SENTENCIA_2024_51" w:history="1">
        <w:r w:rsidRPr="00601EEA">
          <w:rPr>
            <w:rStyle w:val="TextoNormalCaracter"/>
          </w:rPr>
          <w:t>51/2024</w:t>
        </w:r>
      </w:hyperlink>
      <w:r>
        <w:t>, f. 3.</w:t>
      </w:r>
    </w:p>
    <w:p w14:paraId="66E257DF" w14:textId="52282370" w:rsidR="00601EEA" w:rsidRDefault="00601EEA" w:rsidP="00601EEA">
      <w:pPr>
        <w:pStyle w:val="SangriaFrancesaArticulo"/>
      </w:pPr>
      <w:r w:rsidRPr="00601EEA">
        <w:rPr>
          <w:rStyle w:val="TextoNormalNegritaCaracter"/>
        </w:rPr>
        <w:t>Artículo 1.</w:t>
      </w:r>
      <w:r w:rsidRPr="00601EEA">
        <w:rPr>
          <w:rStyle w:val="TextoNormalCaracter"/>
        </w:rPr>
        <w:t>-</w:t>
      </w:r>
      <w:r>
        <w:t xml:space="preserve"> Sentencias </w:t>
      </w:r>
      <w:hyperlink w:anchor="SENTENCIA_2024_37" w:history="1">
        <w:r w:rsidRPr="00601EEA">
          <w:rPr>
            <w:rStyle w:val="TextoNormalCaracter"/>
          </w:rPr>
          <w:t>37/2024</w:t>
        </w:r>
      </w:hyperlink>
      <w:r>
        <w:t xml:space="preserve">, VP; </w:t>
      </w:r>
      <w:hyperlink w:anchor="SENTENCIA_2024_42" w:history="1">
        <w:r w:rsidRPr="00601EEA">
          <w:rPr>
            <w:rStyle w:val="TextoNormalCaracter"/>
          </w:rPr>
          <w:t>42/2024</w:t>
        </w:r>
      </w:hyperlink>
      <w:r>
        <w:t xml:space="preserve">, VP; </w:t>
      </w:r>
      <w:hyperlink w:anchor="SENTENCIA_2024_43" w:history="1">
        <w:r w:rsidRPr="00601EEA">
          <w:rPr>
            <w:rStyle w:val="TextoNormalCaracter"/>
          </w:rPr>
          <w:t>43/2024</w:t>
        </w:r>
      </w:hyperlink>
      <w:r>
        <w:t>, VP I.</w:t>
      </w:r>
    </w:p>
    <w:p w14:paraId="740AB40C" w14:textId="75AE0200" w:rsidR="00601EEA" w:rsidRDefault="00601EEA" w:rsidP="00601EEA">
      <w:pPr>
        <w:pStyle w:val="SangriaFrancesaArticulo"/>
      </w:pPr>
      <w:r w:rsidRPr="00601EEA">
        <w:rPr>
          <w:rStyle w:val="TextoNormalNegritaCaracter"/>
        </w:rPr>
        <w:t>Artículo 2.1.</w:t>
      </w:r>
      <w:r w:rsidRPr="00601EEA">
        <w:rPr>
          <w:rStyle w:val="TextoNormalCaracter"/>
        </w:rPr>
        <w:t>-</w:t>
      </w:r>
      <w:r>
        <w:t xml:space="preserve"> Sentencias </w:t>
      </w:r>
      <w:hyperlink w:anchor="SENTENCIA_2024_17" w:history="1">
        <w:r w:rsidRPr="00601EEA">
          <w:rPr>
            <w:rStyle w:val="TextoNormalCaracter"/>
          </w:rPr>
          <w:t>17/2024</w:t>
        </w:r>
      </w:hyperlink>
      <w:r>
        <w:t xml:space="preserve">, f. 4; </w:t>
      </w:r>
      <w:hyperlink w:anchor="SENTENCIA_2024_34" w:history="1">
        <w:r w:rsidRPr="00601EEA">
          <w:rPr>
            <w:rStyle w:val="TextoNormalCaracter"/>
          </w:rPr>
          <w:t>34/2024</w:t>
        </w:r>
      </w:hyperlink>
      <w:r>
        <w:t xml:space="preserve">, f. 5; </w:t>
      </w:r>
      <w:hyperlink w:anchor="SENTENCIA_2024_37" w:history="1">
        <w:r w:rsidRPr="00601EEA">
          <w:rPr>
            <w:rStyle w:val="TextoNormalCaracter"/>
          </w:rPr>
          <w:t>37/2024</w:t>
        </w:r>
      </w:hyperlink>
      <w:r>
        <w:t xml:space="preserve">, VP; </w:t>
      </w:r>
      <w:hyperlink w:anchor="SENTENCIA_2024_42" w:history="1">
        <w:r w:rsidRPr="00601EEA">
          <w:rPr>
            <w:rStyle w:val="TextoNormalCaracter"/>
          </w:rPr>
          <w:t>42/2024</w:t>
        </w:r>
      </w:hyperlink>
      <w:r>
        <w:t xml:space="preserve">, f. 4, VP; </w:t>
      </w:r>
      <w:hyperlink w:anchor="SENTENCIA_2024_43" w:history="1">
        <w:r w:rsidRPr="00601EEA">
          <w:rPr>
            <w:rStyle w:val="TextoNormalCaracter"/>
          </w:rPr>
          <w:t>43/2024</w:t>
        </w:r>
      </w:hyperlink>
      <w:r>
        <w:t xml:space="preserve">, VP I; </w:t>
      </w:r>
      <w:hyperlink w:anchor="SENTENCIA_2024_57" w:history="1">
        <w:r w:rsidRPr="00601EEA">
          <w:rPr>
            <w:rStyle w:val="TextoNormalCaracter"/>
          </w:rPr>
          <w:t>57/2024</w:t>
        </w:r>
      </w:hyperlink>
      <w:r>
        <w:t>, f. 5.</w:t>
      </w:r>
    </w:p>
    <w:p w14:paraId="70B75CE2" w14:textId="6A995FE2" w:rsidR="00601EEA" w:rsidRDefault="00601EEA" w:rsidP="00601EEA">
      <w:pPr>
        <w:pStyle w:val="SangriaFrancesaArticulo"/>
      </w:pPr>
      <w:r w:rsidRPr="00601EEA">
        <w:rPr>
          <w:rStyle w:val="TextoNormalNegritaCaracter"/>
        </w:rPr>
        <w:t>Artículo 12.</w:t>
      </w:r>
      <w:r w:rsidRPr="00601EEA">
        <w:rPr>
          <w:rStyle w:val="TextoNormalCaracter"/>
        </w:rPr>
        <w:t>-</w:t>
      </w:r>
      <w:r>
        <w:t xml:space="preserve"> Sentencias </w:t>
      </w:r>
      <w:hyperlink w:anchor="SENTENCIA_2024_17" w:history="1">
        <w:r w:rsidRPr="00601EEA">
          <w:rPr>
            <w:rStyle w:val="TextoNormalCaracter"/>
          </w:rPr>
          <w:t>17/2024</w:t>
        </w:r>
      </w:hyperlink>
      <w:r>
        <w:t xml:space="preserve">, f. 4; </w:t>
      </w:r>
      <w:hyperlink w:anchor="SENTENCIA_2024_36" w:history="1">
        <w:r w:rsidRPr="00601EEA">
          <w:rPr>
            <w:rStyle w:val="TextoNormalCaracter"/>
          </w:rPr>
          <w:t>36/2024</w:t>
        </w:r>
      </w:hyperlink>
      <w:r>
        <w:t>, f. 5.</w:t>
      </w:r>
    </w:p>
    <w:p w14:paraId="670AA23B" w14:textId="11621CD1" w:rsidR="00601EEA" w:rsidRDefault="00601EEA" w:rsidP="00601EEA">
      <w:pPr>
        <w:pStyle w:val="SangriaFrancesaArticulo"/>
      </w:pPr>
      <w:r w:rsidRPr="00601EEA">
        <w:rPr>
          <w:rStyle w:val="TextoNormalNegritaCaracter"/>
        </w:rPr>
        <w:t>Artículo 12 a).</w:t>
      </w:r>
      <w:r w:rsidRPr="00601EEA">
        <w:rPr>
          <w:rStyle w:val="TextoNormalCaracter"/>
        </w:rPr>
        <w:t>-</w:t>
      </w:r>
      <w:r>
        <w:t xml:space="preserve"> Sentencias </w:t>
      </w:r>
      <w:hyperlink w:anchor="SENTENCIA_2024_17" w:history="1">
        <w:r w:rsidRPr="00601EEA">
          <w:rPr>
            <w:rStyle w:val="TextoNormalCaracter"/>
          </w:rPr>
          <w:t>17/2024</w:t>
        </w:r>
      </w:hyperlink>
      <w:r>
        <w:t xml:space="preserve">, f. 4; </w:t>
      </w:r>
      <w:hyperlink w:anchor="SENTENCIA_2024_34" w:history="1">
        <w:r w:rsidRPr="00601EEA">
          <w:rPr>
            <w:rStyle w:val="TextoNormalCaracter"/>
          </w:rPr>
          <w:t>34/2024</w:t>
        </w:r>
      </w:hyperlink>
      <w:r>
        <w:t xml:space="preserve">, f. 5; </w:t>
      </w:r>
      <w:hyperlink w:anchor="SENTENCIA_2024_37" w:history="1">
        <w:r w:rsidRPr="00601EEA">
          <w:rPr>
            <w:rStyle w:val="TextoNormalCaracter"/>
          </w:rPr>
          <w:t>37/2024</w:t>
        </w:r>
      </w:hyperlink>
      <w:r>
        <w:t xml:space="preserve">, f. 4, VP; </w:t>
      </w:r>
      <w:hyperlink w:anchor="SENTENCIA_2024_42" w:history="1">
        <w:r w:rsidRPr="00601EEA">
          <w:rPr>
            <w:rStyle w:val="TextoNormalCaracter"/>
          </w:rPr>
          <w:t>42/2024</w:t>
        </w:r>
      </w:hyperlink>
      <w:r>
        <w:t xml:space="preserve">, f. 4, VP; </w:t>
      </w:r>
      <w:hyperlink w:anchor="SENTENCIA_2024_43" w:history="1">
        <w:r w:rsidRPr="00601EEA">
          <w:rPr>
            <w:rStyle w:val="TextoNormalCaracter"/>
          </w:rPr>
          <w:t>43/2024</w:t>
        </w:r>
      </w:hyperlink>
      <w:r>
        <w:t xml:space="preserve">, f. 5, VP I; </w:t>
      </w:r>
      <w:hyperlink w:anchor="SENTENCIA_2024_51" w:history="1">
        <w:r w:rsidRPr="00601EEA">
          <w:rPr>
            <w:rStyle w:val="TextoNormalCaracter"/>
          </w:rPr>
          <w:t>51/2024</w:t>
        </w:r>
      </w:hyperlink>
      <w:r>
        <w:t xml:space="preserve">, f. 3; </w:t>
      </w:r>
      <w:hyperlink w:anchor="SENTENCIA_2024_57" w:history="1">
        <w:r w:rsidRPr="00601EEA">
          <w:rPr>
            <w:rStyle w:val="TextoNormalCaracter"/>
          </w:rPr>
          <w:t>57/2024</w:t>
        </w:r>
      </w:hyperlink>
      <w:r>
        <w:t>, f. 5.</w:t>
      </w:r>
    </w:p>
    <w:p w14:paraId="64685C74" w14:textId="5E33EBE3" w:rsidR="00601EEA" w:rsidRDefault="00601EEA" w:rsidP="00601EEA">
      <w:pPr>
        <w:pStyle w:val="SangriaFrancesaArticulo"/>
      </w:pPr>
      <w:r w:rsidRPr="00601EEA">
        <w:rPr>
          <w:rStyle w:val="TextoNormalNegritaCaracter"/>
        </w:rPr>
        <w:t>Artículo 12 b).</w:t>
      </w:r>
      <w:r w:rsidRPr="00601EEA">
        <w:rPr>
          <w:rStyle w:val="TextoNormalCaracter"/>
        </w:rPr>
        <w:t>-</w:t>
      </w:r>
      <w:r>
        <w:t xml:space="preserve"> Sentencia </w:t>
      </w:r>
      <w:hyperlink w:anchor="SENTENCIA_2024_17" w:history="1">
        <w:r w:rsidRPr="00601EEA">
          <w:rPr>
            <w:rStyle w:val="TextoNormalCaracter"/>
          </w:rPr>
          <w:t>17/2024</w:t>
        </w:r>
      </w:hyperlink>
      <w:r>
        <w:t>, f. 4.</w:t>
      </w:r>
    </w:p>
    <w:p w14:paraId="7F32440E" w14:textId="4669D049" w:rsidR="00601EEA" w:rsidRDefault="00601EEA" w:rsidP="00601EEA">
      <w:pPr>
        <w:pStyle w:val="SangriaFrancesaArticulo"/>
      </w:pPr>
    </w:p>
    <w:p w14:paraId="155694B0" w14:textId="77777777" w:rsidR="00601EEA" w:rsidRDefault="00601EEA" w:rsidP="00601EEA">
      <w:pPr>
        <w:pStyle w:val="TextoNormalNegritaCursivandice"/>
        <w:keepNext/>
      </w:pPr>
      <w:r>
        <w:t>Observación general núm. 14, de 29 de mayo de 2013. Comité de derechos del niño de Naciones Unidas</w:t>
      </w:r>
    </w:p>
    <w:p w14:paraId="4CE0A382" w14:textId="78DA3A89"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Sentencias </w:t>
      </w:r>
      <w:hyperlink w:anchor="SENTENCIA_2024_28" w:history="1">
        <w:r w:rsidRPr="00601EEA">
          <w:rPr>
            <w:rStyle w:val="TextoNormalCaracter"/>
          </w:rPr>
          <w:t>28/2024</w:t>
        </w:r>
      </w:hyperlink>
      <w:r>
        <w:t xml:space="preserve">, VP; </w:t>
      </w:r>
      <w:hyperlink w:anchor="SENTENCIA_2024_82" w:history="1">
        <w:r w:rsidRPr="00601EEA">
          <w:rPr>
            <w:rStyle w:val="TextoNormalCaracter"/>
          </w:rPr>
          <w:t>82/2024</w:t>
        </w:r>
      </w:hyperlink>
      <w:r>
        <w:t>, f. 2.</w:t>
      </w:r>
    </w:p>
    <w:p w14:paraId="4DE81566" w14:textId="65A92EC2" w:rsidR="00601EEA" w:rsidRDefault="00601EEA" w:rsidP="00601EEA">
      <w:pPr>
        <w:pStyle w:val="SangriaFrancesaArticulo"/>
      </w:pPr>
      <w:r w:rsidRPr="00601EEA">
        <w:rPr>
          <w:rStyle w:val="TextoNormalNegritaCaracter"/>
        </w:rPr>
        <w:t>§ 39.</w:t>
      </w:r>
      <w:r w:rsidRPr="00601EEA">
        <w:rPr>
          <w:rStyle w:val="TextoNormalCaracter"/>
        </w:rPr>
        <w:t>-</w:t>
      </w:r>
      <w:r>
        <w:t xml:space="preserve"> Sentencia </w:t>
      </w:r>
      <w:hyperlink w:anchor="SENTENCIA_2024_28" w:history="1">
        <w:r w:rsidRPr="00601EEA">
          <w:rPr>
            <w:rStyle w:val="TextoNormalCaracter"/>
          </w:rPr>
          <w:t>28/2024</w:t>
        </w:r>
      </w:hyperlink>
      <w:r>
        <w:t>, VP.</w:t>
      </w:r>
    </w:p>
    <w:p w14:paraId="3523C7C2" w14:textId="38B3343F" w:rsidR="00601EEA" w:rsidRDefault="00601EEA" w:rsidP="00601EEA">
      <w:pPr>
        <w:pStyle w:val="SangriaFrancesaArticulo"/>
      </w:pPr>
    </w:p>
    <w:p w14:paraId="15A52A41" w14:textId="77777777" w:rsidR="00601EEA" w:rsidRDefault="00601EEA" w:rsidP="00601EEA">
      <w:pPr>
        <w:pStyle w:val="TextoNormalNegritaCursivandice"/>
        <w:keepNext/>
      </w:pPr>
      <w:r>
        <w:t>Recomendación general núm. 33 (2015) del comité para la eliminación de la discriminación contra la mujer de Naciones Unidas, de 3 de agosto de 2015, sobre el acceso de las mujeres a la justicia</w:t>
      </w:r>
    </w:p>
    <w:p w14:paraId="7687A13D" w14:textId="191627DA"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48" w:history="1">
        <w:r w:rsidRPr="00601EEA">
          <w:rPr>
            <w:rStyle w:val="TextoNormalCaracter"/>
          </w:rPr>
          <w:t>48/2024</w:t>
        </w:r>
      </w:hyperlink>
      <w:r>
        <w:t>, VP I.</w:t>
      </w:r>
    </w:p>
    <w:p w14:paraId="0C7681FA" w14:textId="39651948" w:rsidR="00601EEA" w:rsidRDefault="00601EEA" w:rsidP="00601EEA">
      <w:pPr>
        <w:pStyle w:val="SangriaFrancesaArticulo"/>
      </w:pPr>
    </w:p>
    <w:p w14:paraId="5DDE97DD" w14:textId="77777777" w:rsidR="00601EEA" w:rsidRDefault="00601EEA" w:rsidP="00601EEA">
      <w:pPr>
        <w:pStyle w:val="TextoNormalNegritaCursivandice"/>
        <w:keepNext/>
      </w:pPr>
      <w:r>
        <w:t>Recomendación general núm. 35 (2017) del comité para la eliminación de la discriminación contra la mujer de Naciones Unidas, de 26 de julio de 2017, sobre la violencia por razón de género contra la mujer, por la que se actualiza la recomendación general num. 19</w:t>
      </w:r>
    </w:p>
    <w:p w14:paraId="6B787BAB" w14:textId="303C350F"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75" w:history="1">
        <w:r w:rsidRPr="00601EEA">
          <w:rPr>
            <w:rStyle w:val="TextoNormalCaracter"/>
          </w:rPr>
          <w:t>75/2024</w:t>
        </w:r>
      </w:hyperlink>
      <w:r>
        <w:t>, f.4.</w:t>
      </w:r>
    </w:p>
    <w:p w14:paraId="01A02F9C" w14:textId="794F1F80" w:rsidR="00601EEA" w:rsidRDefault="00601EEA" w:rsidP="00601EEA">
      <w:pPr>
        <w:pStyle w:val="SangriaFrancesaArticulo"/>
      </w:pPr>
    </w:p>
    <w:p w14:paraId="4D9584E7" w14:textId="77777777" w:rsidR="00601EEA" w:rsidRDefault="00601EEA" w:rsidP="00601EEA">
      <w:pPr>
        <w:pStyle w:val="TextoNormalNegritaCursivandice"/>
        <w:keepNext/>
      </w:pPr>
      <w:r>
        <w:t xml:space="preserve">Informe de 5 de enero de 2018, presentado por la relatora especial de Naciones Unidas, sobre la venta y la explotación sexual de niños, incluidos la prostitución </w:t>
      </w:r>
      <w:r>
        <w:lastRenderedPageBreak/>
        <w:t>infantil, la utilización de niños en la pornografía y demás material que muestre abusos sexuales de niños, sobre su visita a la República Dominicana (A/HRC/37/60/Add.1)</w:t>
      </w:r>
    </w:p>
    <w:p w14:paraId="10F32B84" w14:textId="1D74C3EC"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28" w:history="1">
        <w:r w:rsidRPr="00601EEA">
          <w:rPr>
            <w:rStyle w:val="TextoNormalCaracter"/>
          </w:rPr>
          <w:t>28/2024</w:t>
        </w:r>
      </w:hyperlink>
      <w:r>
        <w:t>, VP.</w:t>
      </w:r>
    </w:p>
    <w:p w14:paraId="0AEF2BE3" w14:textId="0F50DF9C" w:rsidR="00601EEA" w:rsidRDefault="00601EEA" w:rsidP="00601EEA">
      <w:pPr>
        <w:pStyle w:val="SangriaFrancesaArticulo"/>
      </w:pPr>
      <w:r w:rsidRPr="00601EEA">
        <w:rPr>
          <w:rStyle w:val="TextoNormalNegritaCaracter"/>
        </w:rPr>
        <w:t>§ 8.</w:t>
      </w:r>
      <w:r w:rsidRPr="00601EEA">
        <w:rPr>
          <w:rStyle w:val="TextoNormalCaracter"/>
        </w:rPr>
        <w:t>-</w:t>
      </w:r>
      <w:r>
        <w:t xml:space="preserve"> Sentencia </w:t>
      </w:r>
      <w:hyperlink w:anchor="SENTENCIA_2024_28" w:history="1">
        <w:r w:rsidRPr="00601EEA">
          <w:rPr>
            <w:rStyle w:val="TextoNormalCaracter"/>
          </w:rPr>
          <w:t>28/2024</w:t>
        </w:r>
      </w:hyperlink>
      <w:r>
        <w:t>, VP.</w:t>
      </w:r>
    </w:p>
    <w:p w14:paraId="3BCCE743" w14:textId="1A93FED0" w:rsidR="00601EEA" w:rsidRDefault="00601EEA" w:rsidP="00601EEA">
      <w:pPr>
        <w:pStyle w:val="SangriaFrancesaArticulo"/>
      </w:pPr>
      <w:r w:rsidRPr="00601EEA">
        <w:rPr>
          <w:rStyle w:val="TextoNormalNegritaCaracter"/>
        </w:rPr>
        <w:t>§ 42.</w:t>
      </w:r>
      <w:r w:rsidRPr="00601EEA">
        <w:rPr>
          <w:rStyle w:val="TextoNormalCaracter"/>
        </w:rPr>
        <w:t>-</w:t>
      </w:r>
      <w:r>
        <w:t xml:space="preserve"> Sentencia </w:t>
      </w:r>
      <w:hyperlink w:anchor="SENTENCIA_2024_28" w:history="1">
        <w:r w:rsidRPr="00601EEA">
          <w:rPr>
            <w:rStyle w:val="TextoNormalCaracter"/>
          </w:rPr>
          <w:t>28/2024</w:t>
        </w:r>
      </w:hyperlink>
      <w:r>
        <w:t>, VP.</w:t>
      </w:r>
    </w:p>
    <w:p w14:paraId="6EEF4EF1" w14:textId="6DB45FD2" w:rsidR="00601EEA" w:rsidRDefault="00601EEA" w:rsidP="00601EEA">
      <w:pPr>
        <w:pStyle w:val="SangriaFrancesaArticulo"/>
      </w:pPr>
    </w:p>
    <w:p w14:paraId="30F844B8" w14:textId="77777777" w:rsidR="00601EEA" w:rsidRDefault="00601EEA" w:rsidP="00601EEA">
      <w:pPr>
        <w:pStyle w:val="TextoNormalNegritaCursivandice"/>
        <w:keepNext/>
      </w:pPr>
      <w:r>
        <w:t>Observaciones finales sobre los informes periódicos quinto y sexto combinados de Ucrania, de la Convención sobre los derechos del niño de Naciones Unidas, de 27 de octubre de 2022 (CRC/C/UKR/CO/5-6)</w:t>
      </w:r>
    </w:p>
    <w:p w14:paraId="7C706E80" w14:textId="20E1325F"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28" w:history="1">
        <w:r w:rsidRPr="00601EEA">
          <w:rPr>
            <w:rStyle w:val="TextoNormalCaracter"/>
          </w:rPr>
          <w:t>28/2024</w:t>
        </w:r>
      </w:hyperlink>
      <w:r>
        <w:t>, VP.</w:t>
      </w:r>
    </w:p>
    <w:p w14:paraId="6DFA998B" w14:textId="41E1546B" w:rsidR="00601EEA" w:rsidRDefault="00601EEA" w:rsidP="00601EEA">
      <w:pPr>
        <w:pStyle w:val="SangriaFrancesaArticulo"/>
      </w:pPr>
    </w:p>
    <w:p w14:paraId="6FD0C4E7" w14:textId="77777777" w:rsidR="00601EEA" w:rsidRDefault="00601EEA" w:rsidP="00601EEA">
      <w:pPr>
        <w:pStyle w:val="TextoNormalNegritaCursivandice"/>
        <w:keepNext/>
      </w:pPr>
      <w:r>
        <w:t>Observaciones finales sobre el noveno informe periódico de Ucrania, de la Convención sobre la eliminación de todas las formas de discriminación contra la mujer de Naciones Unidas, de 1 de noviembre de 2022 (CEDAW/C/UKR/CO/9)</w:t>
      </w:r>
    </w:p>
    <w:p w14:paraId="0E828849" w14:textId="4B9C25CE" w:rsidR="00601EEA" w:rsidRDefault="00601EEA" w:rsidP="00601EEA">
      <w:pPr>
        <w:pStyle w:val="SangriaFrancesaArticulo"/>
      </w:pPr>
      <w:r w:rsidRPr="00601EEA">
        <w:rPr>
          <w:rStyle w:val="TextoNormalNegritaCaracter"/>
        </w:rPr>
        <w:t>§ 46.</w:t>
      </w:r>
      <w:r w:rsidRPr="00601EEA">
        <w:rPr>
          <w:rStyle w:val="TextoNormalCaracter"/>
        </w:rPr>
        <w:t>-</w:t>
      </w:r>
      <w:r>
        <w:t xml:space="preserve"> Sentencia </w:t>
      </w:r>
      <w:hyperlink w:anchor="SENTENCIA_2024_28" w:history="1">
        <w:r w:rsidRPr="00601EEA">
          <w:rPr>
            <w:rStyle w:val="TextoNormalCaracter"/>
          </w:rPr>
          <w:t>28/2024</w:t>
        </w:r>
      </w:hyperlink>
      <w:r>
        <w:t>, VP.</w:t>
      </w:r>
    </w:p>
    <w:p w14:paraId="338F8B19" w14:textId="24D8069D" w:rsidR="00601EEA" w:rsidRDefault="00601EEA" w:rsidP="00601EEA">
      <w:pPr>
        <w:pStyle w:val="TextoNormal"/>
      </w:pPr>
    </w:p>
    <w:p w14:paraId="39480C3E" w14:textId="77777777" w:rsidR="00601EEA" w:rsidRDefault="00601EEA" w:rsidP="00601EEA">
      <w:pPr>
        <w:pStyle w:val="SangriaFrancesaArticulo"/>
      </w:pPr>
      <w:bookmarkStart w:id="173" w:name="INDICE22871"/>
    </w:p>
    <w:bookmarkEnd w:id="173"/>
    <w:p w14:paraId="0E7491D6" w14:textId="77777777" w:rsidR="00601EEA" w:rsidRDefault="00601EEA" w:rsidP="00601EEA">
      <w:pPr>
        <w:pStyle w:val="TextoIndiceNivel2"/>
        <w:suppressAutoHyphens/>
      </w:pPr>
      <w:r>
        <w:t>M) Unión Europea</w:t>
      </w:r>
    </w:p>
    <w:p w14:paraId="7441A152" w14:textId="14D6C5F2" w:rsidR="00601EEA" w:rsidRDefault="00601EEA" w:rsidP="00601EEA">
      <w:pPr>
        <w:pStyle w:val="TextoIndiceNivel2"/>
      </w:pPr>
    </w:p>
    <w:p w14:paraId="64302D79" w14:textId="77777777" w:rsidR="00601EEA" w:rsidRDefault="00601EEA" w:rsidP="00601EEA">
      <w:pPr>
        <w:pStyle w:val="TextoNormalNegritaCursivandice"/>
        <w:keepNext/>
      </w:pPr>
      <w:r>
        <w:t>Acta relativa a la elección de los diputados al Parlamento Europeo por sufragio universal directo, de 20 de septiembre de 1976</w:t>
      </w:r>
    </w:p>
    <w:p w14:paraId="2A8BF6A1" w14:textId="349665DD" w:rsidR="00601EEA" w:rsidRDefault="00601EEA" w:rsidP="00601EEA">
      <w:pPr>
        <w:pStyle w:val="SangriaFrancesaArticulo"/>
      </w:pPr>
      <w:r w:rsidRPr="00601EEA">
        <w:rPr>
          <w:rStyle w:val="TextoNormalNegritaCaracter"/>
        </w:rPr>
        <w:t>Artículo 7.3.</w:t>
      </w:r>
      <w:r w:rsidRPr="00601EEA">
        <w:rPr>
          <w:rStyle w:val="TextoNormalCaracter"/>
        </w:rPr>
        <w:t>-</w:t>
      </w:r>
      <w:r>
        <w:t xml:space="preserve"> Sentencia </w:t>
      </w:r>
      <w:hyperlink w:anchor="SENTENCIA_2024_66" w:history="1">
        <w:r w:rsidRPr="00601EEA">
          <w:rPr>
            <w:rStyle w:val="TextoNormalCaracter"/>
          </w:rPr>
          <w:t>66/2024</w:t>
        </w:r>
      </w:hyperlink>
      <w:r>
        <w:t>, f. 4.</w:t>
      </w:r>
    </w:p>
    <w:p w14:paraId="21C58E22" w14:textId="64572A27" w:rsidR="00601EEA" w:rsidRDefault="00601EEA" w:rsidP="00601EEA">
      <w:pPr>
        <w:pStyle w:val="SangriaFrancesaArticulo"/>
      </w:pPr>
      <w:r w:rsidRPr="00601EEA">
        <w:rPr>
          <w:rStyle w:val="TextoNormalNegritaCaracter"/>
        </w:rPr>
        <w:t>Artículo 8.</w:t>
      </w:r>
      <w:r w:rsidRPr="00601EEA">
        <w:rPr>
          <w:rStyle w:val="TextoNormalCaracter"/>
        </w:rPr>
        <w:t>-</w:t>
      </w:r>
      <w:r>
        <w:t xml:space="preserve"> Sentencia </w:t>
      </w:r>
      <w:hyperlink w:anchor="SENTENCIA_2024_66" w:history="1">
        <w:r w:rsidRPr="00601EEA">
          <w:rPr>
            <w:rStyle w:val="TextoNormalCaracter"/>
          </w:rPr>
          <w:t>66/2024</w:t>
        </w:r>
      </w:hyperlink>
      <w:r>
        <w:t>, f. 4.</w:t>
      </w:r>
    </w:p>
    <w:p w14:paraId="68BAD4D6" w14:textId="0B36618B" w:rsidR="00601EEA" w:rsidRDefault="00601EEA" w:rsidP="00601EEA">
      <w:pPr>
        <w:pStyle w:val="SangriaFrancesaArticulo"/>
      </w:pPr>
      <w:r w:rsidRPr="00601EEA">
        <w:rPr>
          <w:rStyle w:val="TextoNormalNegritaCaracter"/>
        </w:rPr>
        <w:t>Artículo 12.</w:t>
      </w:r>
      <w:r w:rsidRPr="00601EEA">
        <w:rPr>
          <w:rStyle w:val="TextoNormalCaracter"/>
        </w:rPr>
        <w:t>-</w:t>
      </w:r>
      <w:r>
        <w:t xml:space="preserve"> Sentencia </w:t>
      </w:r>
      <w:hyperlink w:anchor="SENTENCIA_2024_66" w:history="1">
        <w:r w:rsidRPr="00601EEA">
          <w:rPr>
            <w:rStyle w:val="TextoNormalCaracter"/>
          </w:rPr>
          <w:t>66/2024</w:t>
        </w:r>
      </w:hyperlink>
      <w:r>
        <w:t>, f. 4.</w:t>
      </w:r>
    </w:p>
    <w:p w14:paraId="07342D7B" w14:textId="06CD3CE3" w:rsidR="00601EEA" w:rsidRDefault="00601EEA" w:rsidP="00601EEA">
      <w:pPr>
        <w:pStyle w:val="SangriaFrancesaArticulo"/>
      </w:pPr>
      <w:r w:rsidRPr="00601EEA">
        <w:rPr>
          <w:rStyle w:val="TextoNormalNegritaCaracter"/>
        </w:rPr>
        <w:t>Artículo 12.2</w:t>
      </w:r>
      <w:r>
        <w:t xml:space="preserve"> (versión original)</w:t>
      </w:r>
      <w:r w:rsidRPr="00601EEA">
        <w:rPr>
          <w:rStyle w:val="TextoNormalNegritaCaracter"/>
        </w:rPr>
        <w:t>.</w:t>
      </w:r>
      <w:r w:rsidRPr="00601EEA">
        <w:rPr>
          <w:rStyle w:val="TextoNormalCaracter"/>
        </w:rPr>
        <w:t>-</w:t>
      </w:r>
      <w:r>
        <w:t xml:space="preserve"> Sentencia </w:t>
      </w:r>
      <w:hyperlink w:anchor="SENTENCIA_2024_66" w:history="1">
        <w:r w:rsidRPr="00601EEA">
          <w:rPr>
            <w:rStyle w:val="TextoNormalCaracter"/>
          </w:rPr>
          <w:t>66/2024</w:t>
        </w:r>
      </w:hyperlink>
      <w:r>
        <w:t>, f. 4.</w:t>
      </w:r>
    </w:p>
    <w:p w14:paraId="2C02E37A" w14:textId="0ACB87D0" w:rsidR="00601EEA" w:rsidRDefault="00601EEA" w:rsidP="00601EEA">
      <w:pPr>
        <w:pStyle w:val="SangriaFrancesaArticulo"/>
      </w:pPr>
      <w:r w:rsidRPr="00601EEA">
        <w:rPr>
          <w:rStyle w:val="TextoNormalNegritaCaracter"/>
        </w:rPr>
        <w:t>Artículo 13.</w:t>
      </w:r>
      <w:r w:rsidRPr="00601EEA">
        <w:rPr>
          <w:rStyle w:val="TextoNormalCaracter"/>
        </w:rPr>
        <w:t>-</w:t>
      </w:r>
      <w:r>
        <w:t xml:space="preserve"> Sentencia </w:t>
      </w:r>
      <w:hyperlink w:anchor="SENTENCIA_2024_66" w:history="1">
        <w:r w:rsidRPr="00601EEA">
          <w:rPr>
            <w:rStyle w:val="TextoNormalCaracter"/>
          </w:rPr>
          <w:t>66/2024</w:t>
        </w:r>
      </w:hyperlink>
      <w:r>
        <w:t>, f. 4.</w:t>
      </w:r>
    </w:p>
    <w:p w14:paraId="62C50C06" w14:textId="16EBC58B" w:rsidR="00601EEA" w:rsidRDefault="00601EEA" w:rsidP="00601EEA">
      <w:pPr>
        <w:pStyle w:val="SangriaFrancesaArticulo"/>
      </w:pPr>
      <w:r w:rsidRPr="00601EEA">
        <w:rPr>
          <w:rStyle w:val="TextoNormalNegritaCaracter"/>
        </w:rPr>
        <w:t>Artículo 13.1.</w:t>
      </w:r>
      <w:r w:rsidRPr="00601EEA">
        <w:rPr>
          <w:rStyle w:val="TextoNormalCaracter"/>
        </w:rPr>
        <w:t>-</w:t>
      </w:r>
      <w:r>
        <w:t xml:space="preserve"> Sentencia </w:t>
      </w:r>
      <w:hyperlink w:anchor="SENTENCIA_2024_66" w:history="1">
        <w:r w:rsidRPr="00601EEA">
          <w:rPr>
            <w:rStyle w:val="TextoNormalCaracter"/>
          </w:rPr>
          <w:t>66/2024</w:t>
        </w:r>
      </w:hyperlink>
      <w:r>
        <w:t>, f. 4.</w:t>
      </w:r>
    </w:p>
    <w:p w14:paraId="038FDFEA" w14:textId="4E867847" w:rsidR="00601EEA" w:rsidRDefault="00601EEA" w:rsidP="00601EEA">
      <w:pPr>
        <w:pStyle w:val="SangriaFrancesaArticulo"/>
      </w:pPr>
      <w:r w:rsidRPr="00601EEA">
        <w:rPr>
          <w:rStyle w:val="TextoNormalNegritaCaracter"/>
        </w:rPr>
        <w:t>Artículo 13.2.</w:t>
      </w:r>
      <w:r w:rsidRPr="00601EEA">
        <w:rPr>
          <w:rStyle w:val="TextoNormalCaracter"/>
        </w:rPr>
        <w:t>-</w:t>
      </w:r>
      <w:r>
        <w:t xml:space="preserve"> Sentencia </w:t>
      </w:r>
      <w:hyperlink w:anchor="SENTENCIA_2024_66" w:history="1">
        <w:r w:rsidRPr="00601EEA">
          <w:rPr>
            <w:rStyle w:val="TextoNormalCaracter"/>
          </w:rPr>
          <w:t>66/2024</w:t>
        </w:r>
      </w:hyperlink>
      <w:r>
        <w:t>, f. 4.</w:t>
      </w:r>
    </w:p>
    <w:p w14:paraId="2D61F14C" w14:textId="13F7ABC0" w:rsidR="00601EEA" w:rsidRDefault="00601EEA" w:rsidP="00601EEA">
      <w:pPr>
        <w:pStyle w:val="SangriaFrancesaArticulo"/>
      </w:pPr>
      <w:r w:rsidRPr="00601EEA">
        <w:rPr>
          <w:rStyle w:val="TextoNormalNegritaCaracter"/>
        </w:rPr>
        <w:t>Artículo 13.3.</w:t>
      </w:r>
      <w:r w:rsidRPr="00601EEA">
        <w:rPr>
          <w:rStyle w:val="TextoNormalCaracter"/>
        </w:rPr>
        <w:t>-</w:t>
      </w:r>
      <w:r>
        <w:t xml:space="preserve"> Sentencia </w:t>
      </w:r>
      <w:hyperlink w:anchor="SENTENCIA_2024_66" w:history="1">
        <w:r w:rsidRPr="00601EEA">
          <w:rPr>
            <w:rStyle w:val="TextoNormalCaracter"/>
          </w:rPr>
          <w:t>66/2024</w:t>
        </w:r>
      </w:hyperlink>
      <w:r>
        <w:t>, f. 4.</w:t>
      </w:r>
    </w:p>
    <w:p w14:paraId="65EED371" w14:textId="163293EF" w:rsidR="00601EEA" w:rsidRDefault="00601EEA" w:rsidP="00601EEA">
      <w:pPr>
        <w:pStyle w:val="SangriaFrancesaArticulo"/>
      </w:pPr>
    </w:p>
    <w:p w14:paraId="0DBA9CB9" w14:textId="77777777" w:rsidR="00601EEA" w:rsidRDefault="00601EEA" w:rsidP="00601EEA">
      <w:pPr>
        <w:pStyle w:val="TextoNormalNegritaCursivandice"/>
        <w:keepNext/>
      </w:pPr>
      <w:r>
        <w:t>Directiva 77/249/CEE del Consejo, de 22 de marzo. Ejercicio efectivo de la libre prestación de servicios por los abogados</w:t>
      </w:r>
    </w:p>
    <w:p w14:paraId="6F64AD69" w14:textId="5F1B9F03" w:rsidR="00601EEA" w:rsidRDefault="00601EEA" w:rsidP="00601EEA">
      <w:pPr>
        <w:pStyle w:val="SangriaFrancesaArticulo"/>
      </w:pPr>
      <w:r w:rsidRPr="00601EEA">
        <w:rPr>
          <w:rStyle w:val="TextoNormalNegritaCaracter"/>
        </w:rPr>
        <w:t>Artículo 1.</w:t>
      </w:r>
      <w:r w:rsidRPr="00601EEA">
        <w:rPr>
          <w:rStyle w:val="TextoNormalCaracter"/>
        </w:rPr>
        <w:t>-</w:t>
      </w:r>
      <w:r>
        <w:t xml:space="preserve"> Sentencia </w:t>
      </w:r>
      <w:hyperlink w:anchor="SENTENCIA_2024_65" w:history="1">
        <w:r w:rsidRPr="00601EEA">
          <w:rPr>
            <w:rStyle w:val="TextoNormalCaracter"/>
          </w:rPr>
          <w:t>65/2024</w:t>
        </w:r>
      </w:hyperlink>
      <w:r>
        <w:t>, ff. 1, 4.</w:t>
      </w:r>
    </w:p>
    <w:p w14:paraId="6A5ADA10" w14:textId="3A6C7F84" w:rsidR="00601EEA" w:rsidRDefault="00601EEA" w:rsidP="00601EEA">
      <w:pPr>
        <w:pStyle w:val="SangriaFrancesaArticulo"/>
      </w:pPr>
    </w:p>
    <w:p w14:paraId="65A2DC6D" w14:textId="77777777" w:rsidR="00601EEA" w:rsidRDefault="00601EEA" w:rsidP="00601EEA">
      <w:pPr>
        <w:pStyle w:val="TextoNormalNegritaCursivandice"/>
        <w:keepNext/>
      </w:pPr>
      <w:r>
        <w:t>Directiva 79/7/CEE del Consejo, de 19 de diciembre de 1978. Aplicación progresiva del principio de igualdad de trato entre hombres y mujeres en materia de seguridad social</w:t>
      </w:r>
    </w:p>
    <w:p w14:paraId="3305598C" w14:textId="2C7F8D35" w:rsidR="00601EEA" w:rsidRDefault="00601EEA" w:rsidP="00601EEA">
      <w:pPr>
        <w:pStyle w:val="SangriaFrancesaArticulo"/>
      </w:pPr>
      <w:r w:rsidRPr="00601EEA">
        <w:rPr>
          <w:rStyle w:val="TextoNormalNegritaCaracter"/>
        </w:rPr>
        <w:t>En general.</w:t>
      </w:r>
      <w:r w:rsidRPr="00601EEA">
        <w:rPr>
          <w:rStyle w:val="TextoNormalCaracter"/>
        </w:rPr>
        <w:t>-</w:t>
      </w:r>
      <w:r>
        <w:t xml:space="preserve"> Auto </w:t>
      </w:r>
      <w:hyperlink w:anchor="AUTO_2024_30" w:history="1">
        <w:r w:rsidRPr="00601EEA">
          <w:rPr>
            <w:rStyle w:val="TextoNormalCaracter"/>
          </w:rPr>
          <w:t>30/2024</w:t>
        </w:r>
      </w:hyperlink>
      <w:r>
        <w:t>, ff. 3, 4.</w:t>
      </w:r>
    </w:p>
    <w:p w14:paraId="7A46AEED" w14:textId="04B1C5FE" w:rsidR="00601EEA" w:rsidRDefault="00601EEA" w:rsidP="00601EEA">
      <w:pPr>
        <w:pStyle w:val="SangriaFrancesaArticulo"/>
      </w:pPr>
    </w:p>
    <w:p w14:paraId="5E9BE9A7" w14:textId="77777777" w:rsidR="00601EEA" w:rsidRDefault="00601EEA" w:rsidP="00601EEA">
      <w:pPr>
        <w:pStyle w:val="TextoNormalNegritaCursivandice"/>
        <w:keepNext/>
      </w:pPr>
      <w:r>
        <w:t>Carta europea del litoral aprobada por la Conferencia de Regiones Periféricas Marítimas de la CEE el 8 de octubre de 1981</w:t>
      </w:r>
    </w:p>
    <w:p w14:paraId="6F285AFD" w14:textId="587F8721"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68" w:history="1">
        <w:r w:rsidRPr="00601EEA">
          <w:rPr>
            <w:rStyle w:val="TextoNormalCaracter"/>
          </w:rPr>
          <w:t>68/2024</w:t>
        </w:r>
      </w:hyperlink>
      <w:r>
        <w:t>, f. 5.</w:t>
      </w:r>
    </w:p>
    <w:p w14:paraId="51C83B71" w14:textId="099D35DF" w:rsidR="00601EEA" w:rsidRDefault="00601EEA" w:rsidP="00601EEA">
      <w:pPr>
        <w:pStyle w:val="SangriaFrancesaArticulo"/>
      </w:pPr>
    </w:p>
    <w:p w14:paraId="1FB73B41" w14:textId="77777777" w:rsidR="00601EEA" w:rsidRDefault="00601EEA" w:rsidP="00601EEA">
      <w:pPr>
        <w:pStyle w:val="TextoNormalNegritaCursivandice"/>
        <w:keepNext/>
      </w:pPr>
      <w:r>
        <w:lastRenderedPageBreak/>
        <w:t>Tratado de la Unión Europea —TUE—, hecho en Maastricht el 7 de febrero de 1992</w:t>
      </w:r>
    </w:p>
    <w:p w14:paraId="6AF3DEBD" w14:textId="2FB80D96" w:rsidR="00601EEA" w:rsidRDefault="00601EEA" w:rsidP="00601EEA">
      <w:pPr>
        <w:pStyle w:val="SangriaFrancesaArticulo"/>
      </w:pPr>
      <w:r w:rsidRPr="00601EEA">
        <w:rPr>
          <w:rStyle w:val="TextoNormalNegritaCaracter"/>
        </w:rPr>
        <w:t>Artículo 2.</w:t>
      </w:r>
      <w:r w:rsidRPr="00601EEA">
        <w:rPr>
          <w:rStyle w:val="TextoNormalCaracter"/>
        </w:rPr>
        <w:t>-</w:t>
      </w:r>
      <w:r>
        <w:t xml:space="preserve"> Sentencia </w:t>
      </w:r>
      <w:hyperlink w:anchor="SENTENCIA_2024_15" w:history="1">
        <w:r w:rsidRPr="00601EEA">
          <w:rPr>
            <w:rStyle w:val="TextoNormalCaracter"/>
          </w:rPr>
          <w:t>15/2024</w:t>
        </w:r>
      </w:hyperlink>
      <w:r>
        <w:t>, f. 3.</w:t>
      </w:r>
    </w:p>
    <w:p w14:paraId="526A1A18" w14:textId="5B8311D6" w:rsidR="00601EEA" w:rsidRDefault="00601EEA" w:rsidP="00601EEA">
      <w:pPr>
        <w:pStyle w:val="SangriaFrancesaArticulo"/>
      </w:pPr>
      <w:r w:rsidRPr="00601EEA">
        <w:rPr>
          <w:rStyle w:val="TextoNormalNegritaCaracter"/>
        </w:rPr>
        <w:t>Artículo 4.</w:t>
      </w:r>
      <w:r w:rsidRPr="00601EEA">
        <w:rPr>
          <w:rStyle w:val="TextoNormalCaracter"/>
        </w:rPr>
        <w:t>-</w:t>
      </w:r>
      <w:r>
        <w:t xml:space="preserve"> Sentencia </w:t>
      </w:r>
      <w:hyperlink w:anchor="SENTENCIA_2024_66" w:history="1">
        <w:r w:rsidRPr="00601EEA">
          <w:rPr>
            <w:rStyle w:val="TextoNormalCaracter"/>
          </w:rPr>
          <w:t>66/2024</w:t>
        </w:r>
      </w:hyperlink>
      <w:r>
        <w:t>, ff. 3, 5.</w:t>
      </w:r>
    </w:p>
    <w:p w14:paraId="5729A85B" w14:textId="4B420E41" w:rsidR="00601EEA" w:rsidRDefault="00601EEA" w:rsidP="00601EEA">
      <w:pPr>
        <w:pStyle w:val="SangriaFrancesaArticulo"/>
      </w:pPr>
      <w:r w:rsidRPr="00601EEA">
        <w:rPr>
          <w:rStyle w:val="TextoNormalNegritaCaracter"/>
        </w:rPr>
        <w:t>Artículo 4.3.</w:t>
      </w:r>
      <w:r w:rsidRPr="00601EEA">
        <w:rPr>
          <w:rStyle w:val="TextoNormalCaracter"/>
        </w:rPr>
        <w:t>-</w:t>
      </w:r>
      <w:r>
        <w:t xml:space="preserve"> Sentencia </w:t>
      </w:r>
      <w:hyperlink w:anchor="SENTENCIA_2024_66" w:history="1">
        <w:r w:rsidRPr="00601EEA">
          <w:rPr>
            <w:rStyle w:val="TextoNormalCaracter"/>
          </w:rPr>
          <w:t>66/2024</w:t>
        </w:r>
      </w:hyperlink>
      <w:r>
        <w:t>, f. 1.</w:t>
      </w:r>
    </w:p>
    <w:p w14:paraId="45A2918F" w14:textId="42D13382" w:rsidR="00601EEA" w:rsidRDefault="00601EEA" w:rsidP="00601EEA">
      <w:pPr>
        <w:pStyle w:val="SangriaFrancesaArticulo"/>
      </w:pPr>
      <w:r w:rsidRPr="00601EEA">
        <w:rPr>
          <w:rStyle w:val="TextoNormalNegritaCaracter"/>
        </w:rPr>
        <w:t>Articulo 19.</w:t>
      </w:r>
      <w:r w:rsidRPr="00601EEA">
        <w:rPr>
          <w:rStyle w:val="TextoNormalCaracter"/>
        </w:rPr>
        <w:t>-</w:t>
      </w:r>
      <w:r>
        <w:t xml:space="preserve"> Sentencia </w:t>
      </w:r>
      <w:hyperlink w:anchor="SENTENCIA_2024_15" w:history="1">
        <w:r w:rsidRPr="00601EEA">
          <w:rPr>
            <w:rStyle w:val="TextoNormalCaracter"/>
          </w:rPr>
          <w:t>15/2024</w:t>
        </w:r>
      </w:hyperlink>
      <w:r>
        <w:t>, f. 3.</w:t>
      </w:r>
    </w:p>
    <w:p w14:paraId="1C69D802" w14:textId="741A9D99" w:rsidR="00601EEA" w:rsidRDefault="00601EEA" w:rsidP="00601EEA">
      <w:pPr>
        <w:pStyle w:val="SangriaFrancesaArticulo"/>
      </w:pPr>
      <w:r w:rsidRPr="00601EEA">
        <w:rPr>
          <w:rStyle w:val="TextoNormalNegritaCaracter"/>
        </w:rPr>
        <w:t>Artículo 19.1.</w:t>
      </w:r>
      <w:r w:rsidRPr="00601EEA">
        <w:rPr>
          <w:rStyle w:val="TextoNormalCaracter"/>
        </w:rPr>
        <w:t>-</w:t>
      </w:r>
      <w:r>
        <w:t xml:space="preserve"> Sentencia </w:t>
      </w:r>
      <w:hyperlink w:anchor="SENTENCIA_2024_15" w:history="1">
        <w:r w:rsidRPr="00601EEA">
          <w:rPr>
            <w:rStyle w:val="TextoNormalCaracter"/>
          </w:rPr>
          <w:t>15/2024</w:t>
        </w:r>
      </w:hyperlink>
      <w:r>
        <w:t>, f. 3.</w:t>
      </w:r>
    </w:p>
    <w:p w14:paraId="3701191C" w14:textId="402D1420" w:rsidR="00601EEA" w:rsidRDefault="00601EEA" w:rsidP="00601EEA">
      <w:pPr>
        <w:pStyle w:val="SangriaFrancesaArticulo"/>
      </w:pPr>
    </w:p>
    <w:p w14:paraId="0D9E8ED8" w14:textId="77777777" w:rsidR="00601EEA" w:rsidRDefault="00601EEA" w:rsidP="00601EEA">
      <w:pPr>
        <w:pStyle w:val="TextoNormalNegritaCursivandice"/>
        <w:keepNext/>
      </w:pPr>
      <w:r>
        <w:t>Directiva 93/13/CEE del Consejo, de 5 de abril de 1993, sobre las cláusulas abusivas en los contratos celebrados con consumidores</w:t>
      </w:r>
    </w:p>
    <w:p w14:paraId="6B7EFB93" w14:textId="7620235A"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Sentencias </w:t>
      </w:r>
      <w:hyperlink w:anchor="SENTENCIA_2024_27" w:history="1">
        <w:r w:rsidRPr="00601EEA">
          <w:rPr>
            <w:rStyle w:val="TextoNormalCaracter"/>
          </w:rPr>
          <w:t>27/2024</w:t>
        </w:r>
      </w:hyperlink>
      <w:r>
        <w:t xml:space="preserve">, ff. 1, 3; </w:t>
      </w:r>
      <w:hyperlink w:anchor="SENTENCIA_2024_38" w:history="1">
        <w:r w:rsidRPr="00601EEA">
          <w:rPr>
            <w:rStyle w:val="TextoNormalCaracter"/>
          </w:rPr>
          <w:t>38/2024</w:t>
        </w:r>
      </w:hyperlink>
      <w:r>
        <w:t>, f. 2.</w:t>
      </w:r>
    </w:p>
    <w:p w14:paraId="1A86A6A8" w14:textId="392CF596" w:rsidR="00601EEA" w:rsidRDefault="00601EEA" w:rsidP="00601EEA">
      <w:pPr>
        <w:pStyle w:val="SangriaFrancesaArticulo"/>
      </w:pPr>
      <w:r w:rsidRPr="00601EEA">
        <w:rPr>
          <w:rStyle w:val="TextoNormalNegritaCaracter"/>
        </w:rPr>
        <w:t>Artículo 6.1.</w:t>
      </w:r>
      <w:r w:rsidRPr="00601EEA">
        <w:rPr>
          <w:rStyle w:val="TextoNormalCaracter"/>
        </w:rPr>
        <w:t>-</w:t>
      </w:r>
      <w:r>
        <w:t xml:space="preserve"> Sentencias </w:t>
      </w:r>
      <w:hyperlink w:anchor="SENTENCIA_2024_27" w:history="1">
        <w:r w:rsidRPr="00601EEA">
          <w:rPr>
            <w:rStyle w:val="TextoNormalCaracter"/>
          </w:rPr>
          <w:t>27/2024</w:t>
        </w:r>
      </w:hyperlink>
      <w:r>
        <w:t xml:space="preserve">, f. 3; </w:t>
      </w:r>
      <w:hyperlink w:anchor="SENTENCIA_2024_54" w:history="1">
        <w:r w:rsidRPr="00601EEA">
          <w:rPr>
            <w:rStyle w:val="TextoNormalCaracter"/>
          </w:rPr>
          <w:t>54/2024</w:t>
        </w:r>
      </w:hyperlink>
      <w:r>
        <w:t>, ff. 1 a 3.</w:t>
      </w:r>
    </w:p>
    <w:p w14:paraId="537DADDB" w14:textId="566629B8" w:rsidR="00601EEA" w:rsidRDefault="00601EEA" w:rsidP="00601EEA">
      <w:pPr>
        <w:pStyle w:val="SangriaFrancesaArticulo"/>
      </w:pPr>
      <w:r w:rsidRPr="00601EEA">
        <w:rPr>
          <w:rStyle w:val="TextoNormalNegritaCaracter"/>
        </w:rPr>
        <w:t>Artículo 7.1.</w:t>
      </w:r>
      <w:r w:rsidRPr="00601EEA">
        <w:rPr>
          <w:rStyle w:val="TextoNormalCaracter"/>
        </w:rPr>
        <w:t>-</w:t>
      </w:r>
      <w:r>
        <w:t xml:space="preserve"> Sentencias </w:t>
      </w:r>
      <w:hyperlink w:anchor="SENTENCIA_2024_27" w:history="1">
        <w:r w:rsidRPr="00601EEA">
          <w:rPr>
            <w:rStyle w:val="TextoNormalCaracter"/>
          </w:rPr>
          <w:t>27/2024</w:t>
        </w:r>
      </w:hyperlink>
      <w:r>
        <w:t xml:space="preserve">, f. 3; </w:t>
      </w:r>
      <w:hyperlink w:anchor="SENTENCIA_2024_54" w:history="1">
        <w:r w:rsidRPr="00601EEA">
          <w:rPr>
            <w:rStyle w:val="TextoNormalCaracter"/>
          </w:rPr>
          <w:t>54/2024</w:t>
        </w:r>
      </w:hyperlink>
      <w:r>
        <w:t>, ff. 1 a 3.</w:t>
      </w:r>
    </w:p>
    <w:p w14:paraId="158EAFD0" w14:textId="1DFB79D5" w:rsidR="00601EEA" w:rsidRDefault="00601EEA" w:rsidP="00601EEA">
      <w:pPr>
        <w:pStyle w:val="SangriaFrancesaArticulo"/>
      </w:pPr>
    </w:p>
    <w:p w14:paraId="124AB538" w14:textId="77777777" w:rsidR="00601EEA" w:rsidRDefault="00601EEA" w:rsidP="00601EEA">
      <w:pPr>
        <w:pStyle w:val="TextoNormalNegritaCursivandice"/>
        <w:keepNext/>
      </w:pPr>
      <w:r>
        <w:t>Directiva 94/62/CE del Parlamento Europeo y del Consejo, de 20 de diciembre de 1994, relativa a los envases y residuos de envases</w:t>
      </w:r>
    </w:p>
    <w:p w14:paraId="2F8EEC20" w14:textId="261CC303" w:rsidR="00601EEA" w:rsidRDefault="00601EEA" w:rsidP="00601EEA">
      <w:pPr>
        <w:pStyle w:val="SangriaFrancesaArticulo"/>
      </w:pPr>
      <w:r w:rsidRPr="00601EEA">
        <w:rPr>
          <w:rStyle w:val="TextoNormalNegritaCaracter"/>
        </w:rPr>
        <w:t>En general.</w:t>
      </w:r>
      <w:r w:rsidRPr="00601EEA">
        <w:rPr>
          <w:rStyle w:val="TextoNormalCaracter"/>
        </w:rPr>
        <w:t>-</w:t>
      </w:r>
      <w:r>
        <w:t xml:space="preserve"> Auto </w:t>
      </w:r>
      <w:hyperlink w:anchor="AUTO_2024_41" w:history="1">
        <w:r w:rsidRPr="00601EEA">
          <w:rPr>
            <w:rStyle w:val="TextoNormalCaracter"/>
          </w:rPr>
          <w:t>41/2024</w:t>
        </w:r>
      </w:hyperlink>
      <w:r>
        <w:t>, f. 5.</w:t>
      </w:r>
    </w:p>
    <w:p w14:paraId="43F50D6C" w14:textId="37CA10F5" w:rsidR="00601EEA" w:rsidRDefault="00601EEA" w:rsidP="00601EEA">
      <w:pPr>
        <w:pStyle w:val="SangriaFrancesaArticulo"/>
      </w:pPr>
      <w:r w:rsidRPr="00601EEA">
        <w:rPr>
          <w:rStyle w:val="TextoNormalNegritaCaracter"/>
        </w:rPr>
        <w:t>Artículo 6.1 h).</w:t>
      </w:r>
      <w:r w:rsidRPr="00601EEA">
        <w:rPr>
          <w:rStyle w:val="TextoNormalCaracter"/>
        </w:rPr>
        <w:t>-</w:t>
      </w:r>
      <w:r>
        <w:t xml:space="preserve"> Auto </w:t>
      </w:r>
      <w:hyperlink w:anchor="AUTO_2024_41" w:history="1">
        <w:r w:rsidRPr="00601EEA">
          <w:rPr>
            <w:rStyle w:val="TextoNormalCaracter"/>
          </w:rPr>
          <w:t>41/2024</w:t>
        </w:r>
      </w:hyperlink>
      <w:r>
        <w:t>, f. 5.</w:t>
      </w:r>
    </w:p>
    <w:p w14:paraId="0DBF544D" w14:textId="0011BFBB" w:rsidR="00601EEA" w:rsidRDefault="00601EEA" w:rsidP="00601EEA">
      <w:pPr>
        <w:pStyle w:val="SangriaFrancesaArticulo"/>
      </w:pPr>
    </w:p>
    <w:p w14:paraId="31B9C96B" w14:textId="77777777" w:rsidR="00601EEA" w:rsidRDefault="00601EEA" w:rsidP="00601EEA">
      <w:pPr>
        <w:pStyle w:val="TextoNormalNegritaCursivandice"/>
        <w:keepNext/>
      </w:pPr>
      <w:r>
        <w:t>Comunicación de la Comisión, de 21 de febrero de 1996. Integrar la igualdad de oportunidades entre las mujeres y los hombres en el conjunto de las políticas y acciones comunitarias [COM/96/0067 final]</w:t>
      </w:r>
    </w:p>
    <w:p w14:paraId="70A80D9E" w14:textId="33EDD4DA"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89" w:history="1">
        <w:r w:rsidRPr="00601EEA">
          <w:rPr>
            <w:rStyle w:val="TextoNormalCaracter"/>
          </w:rPr>
          <w:t>89/2024</w:t>
        </w:r>
      </w:hyperlink>
      <w:r>
        <w:t>, f. 2.</w:t>
      </w:r>
    </w:p>
    <w:p w14:paraId="65AA6E80" w14:textId="565E09BA" w:rsidR="00601EEA" w:rsidRDefault="00601EEA" w:rsidP="00601EEA">
      <w:pPr>
        <w:pStyle w:val="SangriaFrancesaArticulo"/>
      </w:pPr>
    </w:p>
    <w:p w14:paraId="7F658E5D" w14:textId="77777777" w:rsidR="00601EEA" w:rsidRDefault="00601EEA" w:rsidP="00601EEA">
      <w:pPr>
        <w:pStyle w:val="TextoNormalNegritaCursivandice"/>
        <w:keepNext/>
      </w:pPr>
      <w:r>
        <w:t>Tratado de Amsterdam, de 22 de octubre de 1997. Modificación del Tratado de la Unión Europea, los Tratados constitutivos de las Comunidades Europeas y determinados actos conexos</w:t>
      </w:r>
    </w:p>
    <w:p w14:paraId="385E807E" w14:textId="0B9047BD"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89" w:history="1">
        <w:r w:rsidRPr="00601EEA">
          <w:rPr>
            <w:rStyle w:val="TextoNormalCaracter"/>
          </w:rPr>
          <w:t>89/2024</w:t>
        </w:r>
      </w:hyperlink>
      <w:r>
        <w:t>, f. 2.</w:t>
      </w:r>
    </w:p>
    <w:p w14:paraId="63FFC423" w14:textId="66146B1F" w:rsidR="00601EEA" w:rsidRDefault="00601EEA" w:rsidP="00601EEA">
      <w:pPr>
        <w:pStyle w:val="SangriaFrancesaArticulo"/>
      </w:pPr>
    </w:p>
    <w:p w14:paraId="770057B3" w14:textId="77777777" w:rsidR="00601EEA" w:rsidRDefault="00601EEA" w:rsidP="00601EEA">
      <w:pPr>
        <w:pStyle w:val="TextoNormalNegritaCursivandice"/>
        <w:keepNext/>
      </w:pPr>
      <w:r>
        <w:t>Carta de los derechos fundamentales de la Unión Europea, firmada en Niza el 7 de diciembre de 2000</w:t>
      </w:r>
    </w:p>
    <w:p w14:paraId="712E4F83" w14:textId="6F7CED39" w:rsidR="00601EEA" w:rsidRDefault="00601EEA" w:rsidP="00601EEA">
      <w:pPr>
        <w:pStyle w:val="SangriaFrancesaArticulo"/>
      </w:pPr>
      <w:r w:rsidRPr="00601EEA">
        <w:rPr>
          <w:rStyle w:val="TextoNormalNegritaCaracter"/>
        </w:rPr>
        <w:t>Artículo 7.</w:t>
      </w:r>
      <w:r w:rsidRPr="00601EEA">
        <w:rPr>
          <w:rStyle w:val="TextoNormalCaracter"/>
        </w:rPr>
        <w:t>-</w:t>
      </w:r>
      <w:r>
        <w:t xml:space="preserve"> Sentencia </w:t>
      </w:r>
      <w:hyperlink w:anchor="SENTENCIA_2024_28" w:history="1">
        <w:r w:rsidRPr="00601EEA">
          <w:rPr>
            <w:rStyle w:val="TextoNormalCaracter"/>
          </w:rPr>
          <w:t>28/2024</w:t>
        </w:r>
      </w:hyperlink>
      <w:r>
        <w:t>, f. 3.</w:t>
      </w:r>
    </w:p>
    <w:p w14:paraId="61AB181E" w14:textId="201E7C49" w:rsidR="00601EEA" w:rsidRDefault="00601EEA" w:rsidP="00601EEA">
      <w:pPr>
        <w:pStyle w:val="SangriaFrancesaArticulo"/>
      </w:pPr>
      <w:r w:rsidRPr="00601EEA">
        <w:rPr>
          <w:rStyle w:val="TextoNormalNegritaCaracter"/>
        </w:rPr>
        <w:t>Artículo 14.</w:t>
      </w:r>
      <w:r w:rsidRPr="00601EEA">
        <w:rPr>
          <w:rStyle w:val="TextoNormalCaracter"/>
        </w:rPr>
        <w:t>-</w:t>
      </w:r>
      <w:r>
        <w:t xml:space="preserve"> Sentencia </w:t>
      </w:r>
      <w:hyperlink w:anchor="SENTENCIA_2024_26" w:history="1">
        <w:r w:rsidRPr="00601EEA">
          <w:rPr>
            <w:rStyle w:val="TextoNormalCaracter"/>
          </w:rPr>
          <w:t>26/2024</w:t>
        </w:r>
      </w:hyperlink>
      <w:r>
        <w:t>, f. 2.</w:t>
      </w:r>
    </w:p>
    <w:p w14:paraId="12B2059D" w14:textId="2D5299AC" w:rsidR="00601EEA" w:rsidRDefault="00601EEA" w:rsidP="00601EEA">
      <w:pPr>
        <w:pStyle w:val="SangriaFrancesaArticulo"/>
      </w:pPr>
      <w:r w:rsidRPr="00601EEA">
        <w:rPr>
          <w:rStyle w:val="TextoNormalNegritaCaracter"/>
        </w:rPr>
        <w:t>Artículo 20.</w:t>
      </w:r>
      <w:r w:rsidRPr="00601EEA">
        <w:rPr>
          <w:rStyle w:val="TextoNormalCaracter"/>
        </w:rPr>
        <w:t>-</w:t>
      </w:r>
      <w:r>
        <w:t xml:space="preserve"> Sentencia </w:t>
      </w:r>
      <w:hyperlink w:anchor="SENTENCIA_2024_66" w:history="1">
        <w:r w:rsidRPr="00601EEA">
          <w:rPr>
            <w:rStyle w:val="TextoNormalCaracter"/>
          </w:rPr>
          <w:t>66/2024</w:t>
        </w:r>
      </w:hyperlink>
      <w:r>
        <w:t>, f. 1.</w:t>
      </w:r>
    </w:p>
    <w:p w14:paraId="4B79E4A7" w14:textId="6C170A93" w:rsidR="00601EEA" w:rsidRDefault="00601EEA" w:rsidP="00601EEA">
      <w:pPr>
        <w:pStyle w:val="SangriaFrancesaArticulo"/>
      </w:pPr>
      <w:r w:rsidRPr="00601EEA">
        <w:rPr>
          <w:rStyle w:val="TextoNormalNegritaCaracter"/>
        </w:rPr>
        <w:t>Artículo 39.</w:t>
      </w:r>
      <w:r w:rsidRPr="00601EEA">
        <w:rPr>
          <w:rStyle w:val="TextoNormalCaracter"/>
        </w:rPr>
        <w:t>-</w:t>
      </w:r>
      <w:r>
        <w:t xml:space="preserve"> Sentencia </w:t>
      </w:r>
      <w:hyperlink w:anchor="SENTENCIA_2024_66" w:history="1">
        <w:r w:rsidRPr="00601EEA">
          <w:rPr>
            <w:rStyle w:val="TextoNormalCaracter"/>
          </w:rPr>
          <w:t>66/2024</w:t>
        </w:r>
      </w:hyperlink>
      <w:r>
        <w:t>, f. 1.</w:t>
      </w:r>
    </w:p>
    <w:p w14:paraId="2280C98A" w14:textId="217269FC" w:rsidR="00601EEA" w:rsidRDefault="00601EEA" w:rsidP="00601EEA">
      <w:pPr>
        <w:pStyle w:val="SangriaFrancesaArticulo"/>
      </w:pPr>
      <w:r w:rsidRPr="00601EEA">
        <w:rPr>
          <w:rStyle w:val="TextoNormalNegritaCaracter"/>
        </w:rPr>
        <w:t>Artículo 47.</w:t>
      </w:r>
      <w:r w:rsidRPr="00601EEA">
        <w:rPr>
          <w:rStyle w:val="TextoNormalCaracter"/>
        </w:rPr>
        <w:t>-</w:t>
      </w:r>
      <w:r>
        <w:t xml:space="preserve"> Sentencias </w:t>
      </w:r>
      <w:hyperlink w:anchor="SENTENCIA_2024_15" w:history="1">
        <w:r w:rsidRPr="00601EEA">
          <w:rPr>
            <w:rStyle w:val="TextoNormalCaracter"/>
          </w:rPr>
          <w:t>15/2024</w:t>
        </w:r>
      </w:hyperlink>
      <w:r>
        <w:t xml:space="preserve">, f. 3; </w:t>
      </w:r>
      <w:hyperlink w:anchor="SENTENCIA_2024_66" w:history="1">
        <w:r w:rsidRPr="00601EEA">
          <w:rPr>
            <w:rStyle w:val="TextoNormalCaracter"/>
          </w:rPr>
          <w:t>66/2024</w:t>
        </w:r>
      </w:hyperlink>
      <w:r>
        <w:t>, f. 1.</w:t>
      </w:r>
    </w:p>
    <w:p w14:paraId="184325F8" w14:textId="31324282" w:rsidR="00601EEA" w:rsidRDefault="00601EEA" w:rsidP="00601EEA">
      <w:pPr>
        <w:pStyle w:val="SangriaFrancesaArticulo"/>
      </w:pPr>
      <w:r w:rsidRPr="00601EEA">
        <w:rPr>
          <w:rStyle w:val="TextoNormalNegritaCaracter"/>
        </w:rPr>
        <w:t>Artículo 49.</w:t>
      </w:r>
      <w:r w:rsidRPr="00601EEA">
        <w:rPr>
          <w:rStyle w:val="TextoNormalCaracter"/>
        </w:rPr>
        <w:t>-</w:t>
      </w:r>
      <w:r>
        <w:t xml:space="preserve"> Sentencia </w:t>
      </w:r>
      <w:hyperlink w:anchor="SENTENCIA_2024_8" w:history="1">
        <w:r w:rsidRPr="00601EEA">
          <w:rPr>
            <w:rStyle w:val="TextoNormalCaracter"/>
          </w:rPr>
          <w:t>8/2024</w:t>
        </w:r>
      </w:hyperlink>
      <w:r>
        <w:t>, VP I.</w:t>
      </w:r>
    </w:p>
    <w:p w14:paraId="655CEABA" w14:textId="53D4FFD5" w:rsidR="00601EEA" w:rsidRDefault="00601EEA" w:rsidP="00601EEA">
      <w:pPr>
        <w:pStyle w:val="SangriaFrancesaArticulo"/>
      </w:pPr>
      <w:r w:rsidRPr="00601EEA">
        <w:rPr>
          <w:rStyle w:val="TextoNormalNegritaCaracter"/>
        </w:rPr>
        <w:t>Artículo 49.3.</w:t>
      </w:r>
      <w:r w:rsidRPr="00601EEA">
        <w:rPr>
          <w:rStyle w:val="TextoNormalCaracter"/>
        </w:rPr>
        <w:t>-</w:t>
      </w:r>
      <w:r>
        <w:t xml:space="preserve"> Sentencia </w:t>
      </w:r>
      <w:hyperlink w:anchor="SENTENCIA_2024_8" w:history="1">
        <w:r w:rsidRPr="00601EEA">
          <w:rPr>
            <w:rStyle w:val="TextoNormalCaracter"/>
          </w:rPr>
          <w:t>8/2024</w:t>
        </w:r>
      </w:hyperlink>
      <w:r>
        <w:t>, VP I.</w:t>
      </w:r>
    </w:p>
    <w:p w14:paraId="7DA0A444" w14:textId="28B3745D" w:rsidR="00601EEA" w:rsidRDefault="00601EEA" w:rsidP="00601EEA">
      <w:pPr>
        <w:pStyle w:val="SangriaFrancesaArticulo"/>
      </w:pPr>
      <w:r w:rsidRPr="00601EEA">
        <w:rPr>
          <w:rStyle w:val="TextoNormalNegritaCaracter"/>
        </w:rPr>
        <w:t>Artículo 50.</w:t>
      </w:r>
      <w:r w:rsidRPr="00601EEA">
        <w:rPr>
          <w:rStyle w:val="TextoNormalCaracter"/>
        </w:rPr>
        <w:t>-</w:t>
      </w:r>
      <w:r>
        <w:t xml:space="preserve"> Sentencia </w:t>
      </w:r>
      <w:hyperlink w:anchor="SENTENCIA_2024_9" w:history="1">
        <w:r w:rsidRPr="00601EEA">
          <w:rPr>
            <w:rStyle w:val="TextoNormalCaracter"/>
          </w:rPr>
          <w:t>9/2024</w:t>
        </w:r>
      </w:hyperlink>
      <w:r>
        <w:t>, ff. 1, 3.</w:t>
      </w:r>
    </w:p>
    <w:p w14:paraId="722D287D" w14:textId="497737B3" w:rsidR="00601EEA" w:rsidRDefault="00601EEA" w:rsidP="00601EEA">
      <w:pPr>
        <w:pStyle w:val="SangriaFrancesaArticulo"/>
      </w:pPr>
    </w:p>
    <w:p w14:paraId="43D80409" w14:textId="77777777" w:rsidR="00601EEA" w:rsidRDefault="00601EEA" w:rsidP="00601EEA">
      <w:pPr>
        <w:pStyle w:val="TextoNormalNegritaCursivandice"/>
        <w:keepNext/>
      </w:pPr>
      <w:r>
        <w:t>Decisión del Consejo, de 20 de diciembre de 2000, por la que se establece un programa de acción comunitaria sobre la estrategia comunitaria en materia de igualdad entre mujeres y hombres (2001-2005)</w:t>
      </w:r>
    </w:p>
    <w:p w14:paraId="6C8A92FB" w14:textId="7BAAEE6D"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89" w:history="1">
        <w:r w:rsidRPr="00601EEA">
          <w:rPr>
            <w:rStyle w:val="TextoNormalCaracter"/>
          </w:rPr>
          <w:t>89/2024</w:t>
        </w:r>
      </w:hyperlink>
      <w:r>
        <w:t>, f. 2.</w:t>
      </w:r>
    </w:p>
    <w:p w14:paraId="45AE369A" w14:textId="47719C6B" w:rsidR="00601EEA" w:rsidRDefault="00601EEA" w:rsidP="00601EEA">
      <w:pPr>
        <w:pStyle w:val="SangriaFrancesaArticulo"/>
      </w:pPr>
    </w:p>
    <w:p w14:paraId="42B04D96" w14:textId="77777777" w:rsidR="00601EEA" w:rsidRDefault="00601EEA" w:rsidP="00601EEA">
      <w:pPr>
        <w:pStyle w:val="TextoNormalNegritaCursivandice"/>
        <w:keepNext/>
      </w:pPr>
      <w:r>
        <w:lastRenderedPageBreak/>
        <w:t>Decisión marco 2002/584/JAI del Consejo, de 13 de junio de 2002, relativa a la orden de detención europea y procedimientos de entrega entre Estados miembros</w:t>
      </w:r>
    </w:p>
    <w:p w14:paraId="17141BE2" w14:textId="4E623173" w:rsidR="00601EEA" w:rsidRDefault="00601EEA" w:rsidP="00601EEA">
      <w:pPr>
        <w:pStyle w:val="SangriaFrancesaArticulo"/>
      </w:pPr>
      <w:r w:rsidRPr="00601EEA">
        <w:rPr>
          <w:rStyle w:val="TextoNormalNegritaCaracter"/>
        </w:rPr>
        <w:t>Artículo 6.1.</w:t>
      </w:r>
      <w:r w:rsidRPr="00601EEA">
        <w:rPr>
          <w:rStyle w:val="TextoNormalCaracter"/>
        </w:rPr>
        <w:t>-</w:t>
      </w:r>
      <w:r>
        <w:t xml:space="preserve"> Sentencia </w:t>
      </w:r>
      <w:hyperlink w:anchor="SENTENCIA_2024_17" w:history="1">
        <w:r w:rsidRPr="00601EEA">
          <w:rPr>
            <w:rStyle w:val="TextoNormalCaracter"/>
          </w:rPr>
          <w:t>17/2024</w:t>
        </w:r>
      </w:hyperlink>
      <w:r>
        <w:t>, f. 3.</w:t>
      </w:r>
    </w:p>
    <w:p w14:paraId="2D592B4D" w14:textId="50DF06C9" w:rsidR="00601EEA" w:rsidRDefault="00601EEA" w:rsidP="00601EEA">
      <w:pPr>
        <w:pStyle w:val="SangriaFrancesaArticulo"/>
      </w:pPr>
    </w:p>
    <w:p w14:paraId="5DA73B7D" w14:textId="77777777" w:rsidR="00601EEA" w:rsidRDefault="00601EEA" w:rsidP="00601EEA">
      <w:pPr>
        <w:pStyle w:val="TextoNormalNegritaCursivandice"/>
        <w:keepNext/>
      </w:pPr>
      <w:r>
        <w:t>Directiva 2004/18/CE del Parlamento Europeo y del Consejo, de 31 de marzo de 2004.  Coordinación de los procedimientos de adjudicación de los contratos públicos de obras, de suministro y de servicios</w:t>
      </w:r>
    </w:p>
    <w:p w14:paraId="40D649D8" w14:textId="5F0BA8C9"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65" w:history="1">
        <w:r w:rsidRPr="00601EEA">
          <w:rPr>
            <w:rStyle w:val="TextoNormalCaracter"/>
          </w:rPr>
          <w:t>65/2024</w:t>
        </w:r>
      </w:hyperlink>
      <w:r>
        <w:t>, f. 2.</w:t>
      </w:r>
    </w:p>
    <w:p w14:paraId="2A0B371B" w14:textId="0B4DC048" w:rsidR="00601EEA" w:rsidRDefault="00601EEA" w:rsidP="00601EEA">
      <w:pPr>
        <w:pStyle w:val="SangriaFrancesaArticulo"/>
      </w:pPr>
    </w:p>
    <w:p w14:paraId="185C7FC9" w14:textId="77777777" w:rsidR="00601EEA" w:rsidRDefault="00601EEA" w:rsidP="00601EEA">
      <w:pPr>
        <w:pStyle w:val="TextoNormalNegritaCursivandice"/>
        <w:keepNext/>
      </w:pPr>
      <w:r>
        <w:t>Reglamento (CE) 1393/2007 del Parlamento Europeo y del Consejo, de 13 de noviembre de 2007, relativo a la notificación y al traslado en los Estados miembros de documentos judiciales y extrajudiciales en materia civil o mercantil (notificación y traslado de documentos) y por el que se deroga el Reglamento (CE) 1348/2000 del Consejo</w:t>
      </w:r>
    </w:p>
    <w:p w14:paraId="255DBD76" w14:textId="4A4256F2"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14" w:history="1">
        <w:r w:rsidRPr="00601EEA">
          <w:rPr>
            <w:rStyle w:val="TextoNormalCaracter"/>
          </w:rPr>
          <w:t>14/2024</w:t>
        </w:r>
      </w:hyperlink>
      <w:r>
        <w:t>, f. 3.</w:t>
      </w:r>
    </w:p>
    <w:p w14:paraId="0025DBD9" w14:textId="476FC177" w:rsidR="00601EEA" w:rsidRDefault="00601EEA" w:rsidP="00601EEA">
      <w:pPr>
        <w:pStyle w:val="SangriaFrancesaArticulo"/>
      </w:pPr>
    </w:p>
    <w:p w14:paraId="095979A5" w14:textId="77777777" w:rsidR="00601EEA" w:rsidRDefault="00601EEA" w:rsidP="00601EEA">
      <w:pPr>
        <w:pStyle w:val="TextoNormalNegritaCursivandice"/>
        <w:keepNext/>
      </w:pPr>
      <w:r>
        <w:t>Tratado de funcionamiento de la Unión Europea —TFUE— hecho en Lisboa, de 13 de diciembre de 2007</w:t>
      </w:r>
    </w:p>
    <w:p w14:paraId="33F6FA03" w14:textId="10365D4C" w:rsidR="00601EEA" w:rsidRDefault="00601EEA" w:rsidP="00601EEA">
      <w:pPr>
        <w:pStyle w:val="SangriaFrancesaArticulo"/>
      </w:pPr>
      <w:r w:rsidRPr="00601EEA">
        <w:rPr>
          <w:rStyle w:val="TextoNormalNegritaCaracter"/>
        </w:rPr>
        <w:t>Artículo 263.</w:t>
      </w:r>
      <w:r w:rsidRPr="00601EEA">
        <w:rPr>
          <w:rStyle w:val="TextoNormalCaracter"/>
        </w:rPr>
        <w:t>-</w:t>
      </w:r>
      <w:r>
        <w:t xml:space="preserve"> Sentencia </w:t>
      </w:r>
      <w:hyperlink w:anchor="SENTENCIA_2024_66" w:history="1">
        <w:r w:rsidRPr="00601EEA">
          <w:rPr>
            <w:rStyle w:val="TextoNormalCaracter"/>
          </w:rPr>
          <w:t>66/2024</w:t>
        </w:r>
      </w:hyperlink>
      <w:r>
        <w:t>, f. 4.</w:t>
      </w:r>
    </w:p>
    <w:p w14:paraId="4ADA880C" w14:textId="15339435" w:rsidR="00601EEA" w:rsidRDefault="00601EEA" w:rsidP="00601EEA">
      <w:pPr>
        <w:pStyle w:val="SangriaFrancesaArticulo"/>
      </w:pPr>
      <w:r w:rsidRPr="00601EEA">
        <w:rPr>
          <w:rStyle w:val="TextoNormalNegritaCaracter"/>
        </w:rPr>
        <w:t>Artículo 267.</w:t>
      </w:r>
      <w:r w:rsidRPr="00601EEA">
        <w:rPr>
          <w:rStyle w:val="TextoNormalCaracter"/>
        </w:rPr>
        <w:t>-</w:t>
      </w:r>
      <w:r>
        <w:t xml:space="preserve"> Sentencia </w:t>
      </w:r>
      <w:hyperlink w:anchor="SENTENCIA_2024_66" w:history="1">
        <w:r w:rsidRPr="00601EEA">
          <w:rPr>
            <w:rStyle w:val="TextoNormalCaracter"/>
          </w:rPr>
          <w:t>66/2024</w:t>
        </w:r>
      </w:hyperlink>
      <w:r>
        <w:t>, f. 1.</w:t>
      </w:r>
    </w:p>
    <w:p w14:paraId="725F2469" w14:textId="2572DC76" w:rsidR="00601EEA" w:rsidRDefault="00601EEA" w:rsidP="00601EEA">
      <w:pPr>
        <w:pStyle w:val="SangriaIzquierdaArticulo"/>
      </w:pPr>
      <w:r>
        <w:t xml:space="preserve">Auto </w:t>
      </w:r>
      <w:hyperlink w:anchor="AUTO_2024_30" w:history="1">
        <w:r w:rsidRPr="00601EEA">
          <w:rPr>
            <w:rStyle w:val="TextoNormalCaracter"/>
          </w:rPr>
          <w:t>30/2024</w:t>
        </w:r>
      </w:hyperlink>
      <w:r>
        <w:t>, ff. 3, 4.</w:t>
      </w:r>
    </w:p>
    <w:p w14:paraId="73C60842" w14:textId="7F22965C" w:rsidR="00601EEA" w:rsidRDefault="00601EEA" w:rsidP="00601EEA">
      <w:pPr>
        <w:pStyle w:val="SangriaFrancesaArticulo"/>
      </w:pPr>
      <w:r w:rsidRPr="00601EEA">
        <w:rPr>
          <w:rStyle w:val="TextoNormalNegritaCaracter"/>
        </w:rPr>
        <w:t>Artículo 325.1.</w:t>
      </w:r>
      <w:r w:rsidRPr="00601EEA">
        <w:rPr>
          <w:rStyle w:val="TextoNormalCaracter"/>
        </w:rPr>
        <w:t>-</w:t>
      </w:r>
      <w:r>
        <w:t xml:space="preserve"> Sentencia </w:t>
      </w:r>
      <w:hyperlink w:anchor="SENTENCIA_2024_93" w:history="1">
        <w:r w:rsidRPr="00601EEA">
          <w:rPr>
            <w:rStyle w:val="TextoNormalCaracter"/>
          </w:rPr>
          <w:t>93/2024</w:t>
        </w:r>
      </w:hyperlink>
      <w:r>
        <w:t>, VP II.</w:t>
      </w:r>
    </w:p>
    <w:p w14:paraId="531BABAB" w14:textId="6795AACA" w:rsidR="00601EEA" w:rsidRDefault="00601EEA" w:rsidP="00601EEA">
      <w:pPr>
        <w:pStyle w:val="SangriaFrancesaArticulo"/>
      </w:pPr>
    </w:p>
    <w:p w14:paraId="4AB44F56" w14:textId="77777777" w:rsidR="00601EEA" w:rsidRDefault="00601EEA" w:rsidP="00601EEA">
      <w:pPr>
        <w:pStyle w:val="TextoNormalNegritaCursivandice"/>
        <w:keepNext/>
      </w:pPr>
      <w:r>
        <w:t>Directiva 2008/115/CE del Parlamento Europeo y del Consejo, de 16 de diciembre de 2008, relativa a normas y procedimientos comunes en los Estados miembros para el retorno de los nacionales de terceros países en situación irregular</w:t>
      </w:r>
    </w:p>
    <w:p w14:paraId="661FBDAA" w14:textId="186E98CD"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49" w:history="1">
        <w:r w:rsidRPr="00601EEA">
          <w:rPr>
            <w:rStyle w:val="TextoNormalCaracter"/>
          </w:rPr>
          <w:t>49/2024</w:t>
        </w:r>
      </w:hyperlink>
      <w:r>
        <w:t>, f. 1.</w:t>
      </w:r>
    </w:p>
    <w:p w14:paraId="18C0D606" w14:textId="721ADBD8" w:rsidR="00601EEA" w:rsidRDefault="00601EEA" w:rsidP="00601EEA">
      <w:pPr>
        <w:pStyle w:val="SangriaFrancesaArticulo"/>
      </w:pPr>
      <w:r w:rsidRPr="00601EEA">
        <w:rPr>
          <w:rStyle w:val="TextoNormalNegritaCaracter"/>
        </w:rPr>
        <w:t>Artículo 6.1.</w:t>
      </w:r>
      <w:r w:rsidRPr="00601EEA">
        <w:rPr>
          <w:rStyle w:val="TextoNormalCaracter"/>
        </w:rPr>
        <w:t>-</w:t>
      </w:r>
      <w:r>
        <w:t xml:space="preserve"> Sentencia </w:t>
      </w:r>
      <w:hyperlink w:anchor="SENTENCIA_2024_49" w:history="1">
        <w:r w:rsidRPr="00601EEA">
          <w:rPr>
            <w:rStyle w:val="TextoNormalCaracter"/>
          </w:rPr>
          <w:t>49/2024</w:t>
        </w:r>
      </w:hyperlink>
      <w:r>
        <w:t>, f. 3.</w:t>
      </w:r>
    </w:p>
    <w:p w14:paraId="2D41C0C6" w14:textId="4E8D2B3E" w:rsidR="00601EEA" w:rsidRDefault="00601EEA" w:rsidP="00601EEA">
      <w:pPr>
        <w:pStyle w:val="SangriaFrancesaArticulo"/>
      </w:pPr>
    </w:p>
    <w:p w14:paraId="7BA696BA" w14:textId="77777777" w:rsidR="00601EEA" w:rsidRDefault="00601EEA" w:rsidP="00601EEA">
      <w:pPr>
        <w:pStyle w:val="TextoNormalNegritaCursivandice"/>
        <w:keepNext/>
      </w:pPr>
      <w:r>
        <w:t>Decisión marco 2009/299/JAI del Consejo, de 26 de febrero de 2009, por la que se modifican las decisiones marco 2002/584/JAI, 2005/214/JAI, 2006/783/JAI, 2008/909/JAI y 2008/947/JAI, destinada a reforzar los derechos procesales de las personas y a propiciar la aplicación del principio de reconocimiento mutuo de las resoluciones dictadas a raíz de juicios celebrados sin comparecencia del imputado</w:t>
      </w:r>
    </w:p>
    <w:p w14:paraId="3DBCF348" w14:textId="1C7CDD7F"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17" w:history="1">
        <w:r w:rsidRPr="00601EEA">
          <w:rPr>
            <w:rStyle w:val="TextoNormalCaracter"/>
          </w:rPr>
          <w:t>17/2024</w:t>
        </w:r>
      </w:hyperlink>
      <w:r>
        <w:t>, f. 3.</w:t>
      </w:r>
    </w:p>
    <w:p w14:paraId="0725C0FD" w14:textId="4E696E65" w:rsidR="00601EEA" w:rsidRDefault="00601EEA" w:rsidP="00601EEA">
      <w:pPr>
        <w:pStyle w:val="SangriaFrancesaArticulo"/>
      </w:pPr>
    </w:p>
    <w:p w14:paraId="7C79CBE0" w14:textId="77777777" w:rsidR="00601EEA" w:rsidRDefault="00601EEA" w:rsidP="00601EEA">
      <w:pPr>
        <w:pStyle w:val="TextoNormalNegritaCursivandice"/>
        <w:keepNext/>
      </w:pPr>
      <w:r>
        <w:t>Protocolo núm. 7 sobre los privilegios y las inmunidades de la Unión Europea; anexo al Tratado de la Unión Europea, al Tratado de funcionamiento de la Unión Europea y al Tratado constitutivo de la Comunidad Europea de la Energía Atómica. DOUE de 26 de octubre de 2012</w:t>
      </w:r>
    </w:p>
    <w:p w14:paraId="03A91297" w14:textId="6C384F0B" w:rsidR="00601EEA" w:rsidRDefault="00601EEA" w:rsidP="00601EEA">
      <w:pPr>
        <w:pStyle w:val="SangriaFrancesaArticulo"/>
      </w:pPr>
      <w:r w:rsidRPr="00601EEA">
        <w:rPr>
          <w:rStyle w:val="TextoNormalNegritaCaracter"/>
        </w:rPr>
        <w:t>Artículo 9.</w:t>
      </w:r>
      <w:r w:rsidRPr="00601EEA">
        <w:rPr>
          <w:rStyle w:val="TextoNormalCaracter"/>
        </w:rPr>
        <w:t>-</w:t>
      </w:r>
      <w:r>
        <w:t xml:space="preserve"> Sentencia </w:t>
      </w:r>
      <w:hyperlink w:anchor="SENTENCIA_2024_66" w:history="1">
        <w:r w:rsidRPr="00601EEA">
          <w:rPr>
            <w:rStyle w:val="TextoNormalCaracter"/>
          </w:rPr>
          <w:t>66/2024</w:t>
        </w:r>
      </w:hyperlink>
      <w:r>
        <w:t>, ff. 4, 5.</w:t>
      </w:r>
    </w:p>
    <w:p w14:paraId="7E4FC3E3" w14:textId="551AE3FC" w:rsidR="00601EEA" w:rsidRDefault="00601EEA" w:rsidP="00601EEA">
      <w:pPr>
        <w:pStyle w:val="SangriaFrancesaArticulo"/>
      </w:pPr>
    </w:p>
    <w:p w14:paraId="2DE5C9AA" w14:textId="77777777" w:rsidR="00601EEA" w:rsidRDefault="00601EEA" w:rsidP="00601EEA">
      <w:pPr>
        <w:pStyle w:val="TextoNormalNegritaCursivandice"/>
        <w:keepNext/>
      </w:pPr>
      <w:r>
        <w:t>Directiva 2014/24/UE del Parlamento Europeo y del Consejo, de 26 de febrero de 2014, sobre contratación pública y por la que se deroga la Directiva 2004/18/CE</w:t>
      </w:r>
    </w:p>
    <w:p w14:paraId="08BD00F8" w14:textId="6A1C167F"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65" w:history="1">
        <w:r w:rsidRPr="00601EEA">
          <w:rPr>
            <w:rStyle w:val="TextoNormalCaracter"/>
          </w:rPr>
          <w:t>65/2024</w:t>
        </w:r>
      </w:hyperlink>
      <w:r>
        <w:t>, f. 4.</w:t>
      </w:r>
    </w:p>
    <w:p w14:paraId="5274F889" w14:textId="3EDECD8A" w:rsidR="00601EEA" w:rsidRDefault="00601EEA" w:rsidP="00601EEA">
      <w:pPr>
        <w:pStyle w:val="SangriaFrancesaArticulo"/>
      </w:pPr>
      <w:r w:rsidRPr="00601EEA">
        <w:rPr>
          <w:rStyle w:val="TextoNormalNegritaCaracter"/>
        </w:rPr>
        <w:lastRenderedPageBreak/>
        <w:t>Artículo 10 d).</w:t>
      </w:r>
      <w:r w:rsidRPr="00601EEA">
        <w:rPr>
          <w:rStyle w:val="TextoNormalCaracter"/>
        </w:rPr>
        <w:t>-</w:t>
      </w:r>
      <w:r>
        <w:t xml:space="preserve"> Sentencia </w:t>
      </w:r>
      <w:hyperlink w:anchor="SENTENCIA_2024_65" w:history="1">
        <w:r w:rsidRPr="00601EEA">
          <w:rPr>
            <w:rStyle w:val="TextoNormalCaracter"/>
          </w:rPr>
          <w:t>65/2024</w:t>
        </w:r>
      </w:hyperlink>
      <w:r>
        <w:t>, f. 4.</w:t>
      </w:r>
    </w:p>
    <w:p w14:paraId="2BBC9A5A" w14:textId="7D7A289D" w:rsidR="00601EEA" w:rsidRDefault="00601EEA" w:rsidP="00601EEA">
      <w:pPr>
        <w:pStyle w:val="SangriaFrancesaArticulo"/>
      </w:pPr>
    </w:p>
    <w:p w14:paraId="13224415" w14:textId="77777777" w:rsidR="00601EEA" w:rsidRDefault="00601EEA" w:rsidP="00601EEA">
      <w:pPr>
        <w:pStyle w:val="TextoNormalNegritaCursivandice"/>
        <w:keepNext/>
      </w:pPr>
      <w:r>
        <w:t>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w:t>
      </w:r>
    </w:p>
    <w:p w14:paraId="32703A67" w14:textId="55712A89" w:rsidR="00601EEA" w:rsidRDefault="00601EEA" w:rsidP="00601EEA">
      <w:pPr>
        <w:pStyle w:val="SangriaFrancesaArticulo"/>
      </w:pPr>
      <w:r w:rsidRPr="00601EEA">
        <w:rPr>
          <w:rStyle w:val="TextoNormalNegritaCaracter"/>
        </w:rPr>
        <w:t>Artículo 9.1.</w:t>
      </w:r>
      <w:r w:rsidRPr="00601EEA">
        <w:rPr>
          <w:rStyle w:val="TextoNormalCaracter"/>
        </w:rPr>
        <w:t>-</w:t>
      </w:r>
      <w:r>
        <w:t xml:space="preserve"> Sentencia </w:t>
      </w:r>
      <w:hyperlink w:anchor="SENTENCIA_2024_92" w:history="1">
        <w:r w:rsidRPr="00601EEA">
          <w:rPr>
            <w:rStyle w:val="TextoNormalCaracter"/>
          </w:rPr>
          <w:t>92/2024</w:t>
        </w:r>
      </w:hyperlink>
      <w:r>
        <w:t>, f. 9.</w:t>
      </w:r>
    </w:p>
    <w:p w14:paraId="6F033814" w14:textId="0772E842" w:rsidR="00601EEA" w:rsidRDefault="00601EEA" w:rsidP="00601EEA">
      <w:pPr>
        <w:pStyle w:val="SangriaFrancesaArticulo"/>
      </w:pPr>
      <w:r w:rsidRPr="00601EEA">
        <w:rPr>
          <w:rStyle w:val="TextoNormalNegritaCaracter"/>
        </w:rPr>
        <w:t>Artículo 25.</w:t>
      </w:r>
      <w:r w:rsidRPr="00601EEA">
        <w:rPr>
          <w:rStyle w:val="TextoNormalCaracter"/>
        </w:rPr>
        <w:t>-</w:t>
      </w:r>
      <w:r>
        <w:t xml:space="preserve"> Sentencia </w:t>
      </w:r>
      <w:hyperlink w:anchor="SENTENCIA_2024_92" w:history="1">
        <w:r w:rsidRPr="00601EEA">
          <w:rPr>
            <w:rStyle w:val="TextoNormalCaracter"/>
          </w:rPr>
          <w:t>92/2024</w:t>
        </w:r>
      </w:hyperlink>
      <w:r>
        <w:t>, f. 9.</w:t>
      </w:r>
    </w:p>
    <w:p w14:paraId="63FEF866" w14:textId="478C5E1C" w:rsidR="00601EEA" w:rsidRDefault="00601EEA" w:rsidP="00601EEA">
      <w:pPr>
        <w:pStyle w:val="SangriaFrancesaArticulo"/>
      </w:pPr>
    </w:p>
    <w:p w14:paraId="593651B1" w14:textId="77777777" w:rsidR="00601EEA" w:rsidRDefault="00601EEA" w:rsidP="00601EEA">
      <w:pPr>
        <w:pStyle w:val="TextoNormalNegritaCursivandice"/>
        <w:keepNext/>
      </w:pPr>
      <w:r>
        <w:t>Recomendación (UE) 2017/1520, de la Comisión, de 26 de julio de 2017, por lo que respecta al Estado de Derecho en Polonia complementaria a las Recomendaciones (UE) 2016/1374 y (UE) 2017/146</w:t>
      </w:r>
    </w:p>
    <w:p w14:paraId="26419888" w14:textId="11727029"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15" w:history="1">
        <w:r w:rsidRPr="00601EEA">
          <w:rPr>
            <w:rStyle w:val="TextoNormalCaracter"/>
          </w:rPr>
          <w:t>15/2024</w:t>
        </w:r>
      </w:hyperlink>
      <w:r>
        <w:t>, f. 3.</w:t>
      </w:r>
    </w:p>
    <w:p w14:paraId="693D1FC5" w14:textId="68F8A793" w:rsidR="00601EEA" w:rsidRDefault="00601EEA" w:rsidP="00601EEA">
      <w:pPr>
        <w:pStyle w:val="SangriaFrancesaArticulo"/>
      </w:pPr>
    </w:p>
    <w:p w14:paraId="5F512588" w14:textId="77777777" w:rsidR="00601EEA" w:rsidRDefault="00601EEA" w:rsidP="00601EEA">
      <w:pPr>
        <w:pStyle w:val="TextoNormalNegritaCursivandice"/>
        <w:keepNext/>
      </w:pPr>
      <w:r>
        <w:t>Recomendación (UE) 2018/103, de la Comisión, de 20 de diciembre de 2017, por lo que respecta al Estado de Derecho en Polonia complementaria a las Recomendaciones (UE) 2016/1374, (UE) 2017/146 y (UE) 2017/1520</w:t>
      </w:r>
    </w:p>
    <w:p w14:paraId="200B7E4A" w14:textId="4168A85A"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15" w:history="1">
        <w:r w:rsidRPr="00601EEA">
          <w:rPr>
            <w:rStyle w:val="TextoNormalCaracter"/>
          </w:rPr>
          <w:t>15/2024</w:t>
        </w:r>
      </w:hyperlink>
      <w:r>
        <w:t>, f. 3.</w:t>
      </w:r>
    </w:p>
    <w:p w14:paraId="433BCD28" w14:textId="683A4F92" w:rsidR="00601EEA" w:rsidRDefault="00601EEA" w:rsidP="00601EEA">
      <w:pPr>
        <w:pStyle w:val="SangriaFrancesaArticulo"/>
      </w:pPr>
    </w:p>
    <w:p w14:paraId="707FB8AB" w14:textId="77777777" w:rsidR="00601EEA" w:rsidRDefault="00601EEA" w:rsidP="00601EEA">
      <w:pPr>
        <w:pStyle w:val="TextoNormalNegritaCursivandice"/>
        <w:keepNext/>
      </w:pPr>
      <w:r>
        <w:t>Directiva (UE) 2018/852 del Parlamento Europeo y del Consejo, de 30 de mayo de 2018, por la que se modifica la Directiva 94/62/CE relativa a los envases y residuos de envases</w:t>
      </w:r>
    </w:p>
    <w:p w14:paraId="53A91B37" w14:textId="688503DB" w:rsidR="00601EEA" w:rsidRDefault="00601EEA" w:rsidP="00601EEA">
      <w:pPr>
        <w:pStyle w:val="SangriaFrancesaArticulo"/>
      </w:pPr>
      <w:r w:rsidRPr="00601EEA">
        <w:rPr>
          <w:rStyle w:val="TextoNormalNegritaCaracter"/>
        </w:rPr>
        <w:t>En general.</w:t>
      </w:r>
      <w:r w:rsidRPr="00601EEA">
        <w:rPr>
          <w:rStyle w:val="TextoNormalCaracter"/>
        </w:rPr>
        <w:t>-</w:t>
      </w:r>
      <w:r>
        <w:t xml:space="preserve"> Auto </w:t>
      </w:r>
      <w:hyperlink w:anchor="AUTO_2024_41" w:history="1">
        <w:r w:rsidRPr="00601EEA">
          <w:rPr>
            <w:rStyle w:val="TextoNormalCaracter"/>
          </w:rPr>
          <w:t>41/2024</w:t>
        </w:r>
      </w:hyperlink>
      <w:r>
        <w:t>, f. 5.</w:t>
      </w:r>
    </w:p>
    <w:p w14:paraId="1B937362" w14:textId="02BE2549" w:rsidR="00601EEA" w:rsidRDefault="00601EEA" w:rsidP="00601EEA">
      <w:pPr>
        <w:pStyle w:val="SangriaFrancesaArticulo"/>
      </w:pPr>
    </w:p>
    <w:p w14:paraId="139579E2" w14:textId="77777777" w:rsidR="00601EEA" w:rsidRDefault="00601EEA" w:rsidP="00601EEA">
      <w:pPr>
        <w:pStyle w:val="TextoNormalNegritaCursivandice"/>
        <w:keepNext/>
      </w:pPr>
      <w:r>
        <w:t>Reglamento interno del Parlamento Europeo, de julio de 2019. Publicado en el DOUE de 22 de noviembre de 2019</w:t>
      </w:r>
    </w:p>
    <w:p w14:paraId="44B04A3E" w14:textId="3CF867A6" w:rsidR="00601EEA" w:rsidRDefault="00601EEA" w:rsidP="00601EEA">
      <w:pPr>
        <w:pStyle w:val="SangriaFrancesaArticulo"/>
      </w:pPr>
      <w:r w:rsidRPr="00601EEA">
        <w:rPr>
          <w:rStyle w:val="TextoNormalNegritaCaracter"/>
        </w:rPr>
        <w:t>Artículo 3.3.</w:t>
      </w:r>
      <w:r w:rsidRPr="00601EEA">
        <w:rPr>
          <w:rStyle w:val="TextoNormalCaracter"/>
        </w:rPr>
        <w:t>-</w:t>
      </w:r>
      <w:r>
        <w:t xml:space="preserve"> Sentencia </w:t>
      </w:r>
      <w:hyperlink w:anchor="SENTENCIA_2024_66" w:history="1">
        <w:r w:rsidRPr="00601EEA">
          <w:rPr>
            <w:rStyle w:val="TextoNormalCaracter"/>
          </w:rPr>
          <w:t>66/2024</w:t>
        </w:r>
      </w:hyperlink>
      <w:r>
        <w:t>, f. 4.</w:t>
      </w:r>
    </w:p>
    <w:p w14:paraId="3E3AF747" w14:textId="56BCABAA" w:rsidR="00601EEA" w:rsidRDefault="00601EEA" w:rsidP="00601EEA">
      <w:pPr>
        <w:pStyle w:val="SangriaFrancesaArticulo"/>
      </w:pPr>
      <w:r w:rsidRPr="00601EEA">
        <w:rPr>
          <w:rStyle w:val="TextoNormalNegritaCaracter"/>
        </w:rPr>
        <w:t>Artículo 4.4, párrafo 2.</w:t>
      </w:r>
      <w:r w:rsidRPr="00601EEA">
        <w:rPr>
          <w:rStyle w:val="TextoNormalCaracter"/>
        </w:rPr>
        <w:t>-</w:t>
      </w:r>
      <w:r>
        <w:t xml:space="preserve"> Sentencia </w:t>
      </w:r>
      <w:hyperlink w:anchor="SENTENCIA_2024_66" w:history="1">
        <w:r w:rsidRPr="00601EEA">
          <w:rPr>
            <w:rStyle w:val="TextoNormalCaracter"/>
          </w:rPr>
          <w:t>66/2024</w:t>
        </w:r>
      </w:hyperlink>
      <w:r>
        <w:t>, f. 4.</w:t>
      </w:r>
    </w:p>
    <w:p w14:paraId="1A1B423B" w14:textId="1E281EDF" w:rsidR="00601EEA" w:rsidRDefault="00601EEA" w:rsidP="00601EEA">
      <w:pPr>
        <w:pStyle w:val="SangriaFrancesaArticulo"/>
      </w:pPr>
      <w:r w:rsidRPr="00601EEA">
        <w:rPr>
          <w:rStyle w:val="TextoNormalNegritaCaracter"/>
        </w:rPr>
        <w:t>Artículo 4.7.</w:t>
      </w:r>
      <w:r w:rsidRPr="00601EEA">
        <w:rPr>
          <w:rStyle w:val="TextoNormalCaracter"/>
        </w:rPr>
        <w:t>-</w:t>
      </w:r>
      <w:r>
        <w:t xml:space="preserve"> Sentencia </w:t>
      </w:r>
      <w:hyperlink w:anchor="SENTENCIA_2024_66" w:history="1">
        <w:r w:rsidRPr="00601EEA">
          <w:rPr>
            <w:rStyle w:val="TextoNormalCaracter"/>
          </w:rPr>
          <w:t>66/2024</w:t>
        </w:r>
      </w:hyperlink>
      <w:r>
        <w:t>, f. 4.</w:t>
      </w:r>
    </w:p>
    <w:p w14:paraId="22BD3E01" w14:textId="5100787D" w:rsidR="00601EEA" w:rsidRDefault="00601EEA" w:rsidP="00601EEA">
      <w:pPr>
        <w:pStyle w:val="SangriaFrancesaArticulo"/>
      </w:pPr>
    </w:p>
    <w:p w14:paraId="204A4C64" w14:textId="77777777" w:rsidR="00601EEA" w:rsidRDefault="00601EEA" w:rsidP="00601EEA">
      <w:pPr>
        <w:pStyle w:val="TextoNormalNegritaCursivandice"/>
        <w:keepNext/>
      </w:pPr>
      <w:r>
        <w:t>Comunicación de la Comisión al Parlamento Europeo, al Consejo, al Comité Económico y Social Europeo y al Comité de las Regiones - Una Unión de la igualdad: Estrategia para la Igualdad de Género 2020-2025 de 5 de marzo de 2020 (COM/2020/152 final)</w:t>
      </w:r>
    </w:p>
    <w:p w14:paraId="5ADC3F07" w14:textId="2936E148"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92" w:history="1">
        <w:r w:rsidRPr="00601EEA">
          <w:rPr>
            <w:rStyle w:val="TextoNormalCaracter"/>
          </w:rPr>
          <w:t>92/2024</w:t>
        </w:r>
      </w:hyperlink>
      <w:r>
        <w:t>, f. 3.</w:t>
      </w:r>
    </w:p>
    <w:p w14:paraId="79FEDFFC" w14:textId="41E3CA7F" w:rsidR="00601EEA" w:rsidRDefault="00601EEA" w:rsidP="00601EEA">
      <w:pPr>
        <w:pStyle w:val="SangriaFrancesaArticulo"/>
      </w:pPr>
    </w:p>
    <w:p w14:paraId="2FA03F58" w14:textId="77777777" w:rsidR="00601EEA" w:rsidRDefault="00601EEA" w:rsidP="00601EEA">
      <w:pPr>
        <w:pStyle w:val="TextoNormalNegritaCursivandice"/>
        <w:keepNext/>
      </w:pPr>
      <w:r>
        <w:t>Resolución del Parlamento Europeo, de 24 de junio de 2021, relativa a la situación de la salud y los derechos sexuales y reproductivos en la Unión, en el marco de la salud de las mujeres [2020/2215 (INI)]</w:t>
      </w:r>
    </w:p>
    <w:p w14:paraId="47B4AD8B" w14:textId="104B4EC5"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92" w:history="1">
        <w:r w:rsidRPr="00601EEA">
          <w:rPr>
            <w:rStyle w:val="TextoNormalCaracter"/>
          </w:rPr>
          <w:t>92/2024</w:t>
        </w:r>
      </w:hyperlink>
      <w:r>
        <w:t>, VP III.</w:t>
      </w:r>
    </w:p>
    <w:p w14:paraId="00CDD4FE" w14:textId="7370C14D" w:rsidR="00601EEA" w:rsidRDefault="00601EEA" w:rsidP="00601EEA">
      <w:pPr>
        <w:pStyle w:val="SangriaFrancesaArticulo"/>
      </w:pPr>
    </w:p>
    <w:p w14:paraId="41F60F79" w14:textId="77777777" w:rsidR="00601EEA" w:rsidRDefault="00601EEA" w:rsidP="00601EEA">
      <w:pPr>
        <w:pStyle w:val="TextoNormalNegritaCursivandice"/>
        <w:keepNext/>
      </w:pPr>
      <w:r>
        <w:t>Plan para reducir rápidamente la dependencia con respecto a los combustibles fósiles rusos y avanzar con rapidez en la transición ecológica (REPowerEU), presentado por la Comisión Europea el 18 de mayo de 2022</w:t>
      </w:r>
    </w:p>
    <w:p w14:paraId="28507A36" w14:textId="708F89E7"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20" w:history="1">
        <w:r w:rsidRPr="00601EEA">
          <w:rPr>
            <w:rStyle w:val="TextoNormalCaracter"/>
          </w:rPr>
          <w:t>20/2024</w:t>
        </w:r>
      </w:hyperlink>
      <w:r>
        <w:t>, f. 3.</w:t>
      </w:r>
    </w:p>
    <w:p w14:paraId="316F4B3E" w14:textId="15A64FCF" w:rsidR="00601EEA" w:rsidRDefault="00601EEA" w:rsidP="00601EEA">
      <w:pPr>
        <w:pStyle w:val="SangriaFrancesaArticulo"/>
      </w:pPr>
    </w:p>
    <w:p w14:paraId="45B471B8" w14:textId="77777777" w:rsidR="00601EEA" w:rsidRDefault="00601EEA" w:rsidP="00601EEA">
      <w:pPr>
        <w:pStyle w:val="TextoNormalNegritaCursivandice"/>
        <w:keepNext/>
      </w:pPr>
      <w:r>
        <w:lastRenderedPageBreak/>
        <w:t>Acuerdo del Consejo Extraordinario de Ministros de Transporte, Telecomunicaciones y Energía (Energía), de 26 de julio de 2022, sobre una reducción voluntaria de la demanda de gas natural en un 15 por 100</w:t>
      </w:r>
    </w:p>
    <w:p w14:paraId="73CF4CC5" w14:textId="4894E34C"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20" w:history="1">
        <w:r w:rsidRPr="00601EEA">
          <w:rPr>
            <w:rStyle w:val="TextoNormalCaracter"/>
          </w:rPr>
          <w:t>20/2024</w:t>
        </w:r>
      </w:hyperlink>
      <w:r>
        <w:t>, f. 3.</w:t>
      </w:r>
    </w:p>
    <w:p w14:paraId="3C39C641" w14:textId="0F776E4E" w:rsidR="00601EEA" w:rsidRDefault="00601EEA" w:rsidP="00601EEA">
      <w:pPr>
        <w:pStyle w:val="SangriaFrancesaArticulo"/>
      </w:pPr>
    </w:p>
    <w:p w14:paraId="0D5BFFAB" w14:textId="77777777" w:rsidR="00601EEA" w:rsidRDefault="00601EEA" w:rsidP="00601EEA">
      <w:pPr>
        <w:pStyle w:val="TextoNormalNegritaCursivandice"/>
        <w:keepNext/>
      </w:pPr>
      <w:r>
        <w:t>Reglamento (UE) 2022/1369 del Consejo, de 5 de agosto de 2022, sobre medidas coordinadas para la reducción de la demanda de gas</w:t>
      </w:r>
    </w:p>
    <w:p w14:paraId="2ABF4463" w14:textId="0357BE77"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20" w:history="1">
        <w:r w:rsidRPr="00601EEA">
          <w:rPr>
            <w:rStyle w:val="TextoNormalCaracter"/>
          </w:rPr>
          <w:t>20/2024</w:t>
        </w:r>
      </w:hyperlink>
      <w:r>
        <w:t>, f. 3.</w:t>
      </w:r>
    </w:p>
    <w:p w14:paraId="51DD3D62" w14:textId="2F88B61D" w:rsidR="00601EEA" w:rsidRDefault="00601EEA" w:rsidP="00601EEA">
      <w:pPr>
        <w:pStyle w:val="TextoNormal"/>
      </w:pPr>
    </w:p>
    <w:p w14:paraId="293FE8E8" w14:textId="77777777" w:rsidR="00601EEA" w:rsidRDefault="00601EEA" w:rsidP="00601EEA">
      <w:pPr>
        <w:pStyle w:val="SangriaFrancesaArticulo"/>
      </w:pPr>
      <w:bookmarkStart w:id="174" w:name="INDICE27994"/>
    </w:p>
    <w:bookmarkEnd w:id="174"/>
    <w:p w14:paraId="3A13271B" w14:textId="77777777" w:rsidR="00601EEA" w:rsidRDefault="00601EEA" w:rsidP="00601EEA">
      <w:pPr>
        <w:pStyle w:val="TextoIndiceNivel2"/>
        <w:suppressAutoHyphens/>
      </w:pPr>
      <w:r>
        <w:t>N) Consejo de Europa</w:t>
      </w:r>
    </w:p>
    <w:p w14:paraId="5742AC7D" w14:textId="33E02C60" w:rsidR="00601EEA" w:rsidRDefault="00601EEA" w:rsidP="00601EEA">
      <w:pPr>
        <w:pStyle w:val="TextoIndiceNivel2"/>
      </w:pPr>
    </w:p>
    <w:p w14:paraId="44CEDDD2" w14:textId="77777777" w:rsidR="00601EEA" w:rsidRDefault="00601EEA" w:rsidP="00601EEA">
      <w:pPr>
        <w:pStyle w:val="TextoNormalNegritaCursivandice"/>
        <w:keepNext/>
      </w:pPr>
      <w:r>
        <w:t>Convenio europeo para la protección de los derechos humanos y de las libertades fundamentales, hecho en Roma el 4 de noviembre de 1950. Ratificado por Instrumento de 26 de septiembre de 1979</w:t>
      </w:r>
    </w:p>
    <w:p w14:paraId="6EE08E73" w14:textId="66B5135E" w:rsidR="00601EEA" w:rsidRDefault="00601EEA" w:rsidP="00601EEA">
      <w:pPr>
        <w:pStyle w:val="SangriaFrancesaArticulo"/>
        <w:keepNext/>
      </w:pPr>
      <w:r w:rsidRPr="00601EEA">
        <w:rPr>
          <w:rStyle w:val="TextoNormalNegritaCaracter"/>
        </w:rPr>
        <w:t>En general.</w:t>
      </w:r>
      <w:r w:rsidRPr="00601EEA">
        <w:rPr>
          <w:rStyle w:val="TextoNormalCaracter"/>
        </w:rPr>
        <w:t>-</w:t>
      </w:r>
      <w:r>
        <w:t xml:space="preserve"> Sentencias </w:t>
      </w:r>
      <w:hyperlink w:anchor="SENTENCIA_2024_61" w:history="1">
        <w:r w:rsidRPr="00601EEA">
          <w:rPr>
            <w:rStyle w:val="TextoNormalCaracter"/>
          </w:rPr>
          <w:t>61/2024</w:t>
        </w:r>
      </w:hyperlink>
      <w:r>
        <w:t xml:space="preserve">, VP; </w:t>
      </w:r>
      <w:hyperlink w:anchor="SENTENCIA_2024_66" w:history="1">
        <w:r w:rsidRPr="00601EEA">
          <w:rPr>
            <w:rStyle w:val="TextoNormalCaracter"/>
          </w:rPr>
          <w:t>66/2024</w:t>
        </w:r>
      </w:hyperlink>
      <w:r>
        <w:t>, f. 1.</w:t>
      </w:r>
    </w:p>
    <w:p w14:paraId="65B0D1E1" w14:textId="4C559DEF" w:rsidR="00601EEA" w:rsidRDefault="00601EEA" w:rsidP="00601EEA">
      <w:pPr>
        <w:pStyle w:val="SangriaIzquierdaArticulo"/>
      </w:pPr>
      <w:r>
        <w:t xml:space="preserve">Auto </w:t>
      </w:r>
      <w:hyperlink w:anchor="AUTO_2024_57" w:history="1">
        <w:r w:rsidRPr="00601EEA">
          <w:rPr>
            <w:rStyle w:val="TextoNormalCaracter"/>
          </w:rPr>
          <w:t>57/2024</w:t>
        </w:r>
      </w:hyperlink>
      <w:r>
        <w:t>, VP II.</w:t>
      </w:r>
    </w:p>
    <w:p w14:paraId="45FC53AC" w14:textId="55CB6845" w:rsidR="00601EEA" w:rsidRDefault="00601EEA" w:rsidP="00601EEA">
      <w:pPr>
        <w:pStyle w:val="SangriaFrancesaArticulo"/>
      </w:pPr>
      <w:r w:rsidRPr="00601EEA">
        <w:rPr>
          <w:rStyle w:val="TextoNormalNegritaCaracter"/>
        </w:rPr>
        <w:t>Artículo 1.</w:t>
      </w:r>
      <w:r w:rsidRPr="00601EEA">
        <w:rPr>
          <w:rStyle w:val="TextoNormalCaracter"/>
        </w:rPr>
        <w:t>-</w:t>
      </w:r>
      <w:r>
        <w:t xml:space="preserve"> Sentencias </w:t>
      </w:r>
      <w:hyperlink w:anchor="SENTENCIA_2024_17" w:history="1">
        <w:r w:rsidRPr="00601EEA">
          <w:rPr>
            <w:rStyle w:val="TextoNormalCaracter"/>
          </w:rPr>
          <w:t>17/2024</w:t>
        </w:r>
      </w:hyperlink>
      <w:r>
        <w:t xml:space="preserve">, f. 3; </w:t>
      </w:r>
      <w:hyperlink w:anchor="SENTENCIA_2024_35" w:history="1">
        <w:r w:rsidRPr="00601EEA">
          <w:rPr>
            <w:rStyle w:val="TextoNormalCaracter"/>
          </w:rPr>
          <w:t>35/2024</w:t>
        </w:r>
      </w:hyperlink>
      <w:r>
        <w:t>, f. 2.</w:t>
      </w:r>
    </w:p>
    <w:p w14:paraId="66A30583" w14:textId="147CA4C6" w:rsidR="00601EEA" w:rsidRDefault="00601EEA" w:rsidP="00601EEA">
      <w:pPr>
        <w:pStyle w:val="SangriaFrancesaArticulo"/>
      </w:pPr>
      <w:r w:rsidRPr="00601EEA">
        <w:rPr>
          <w:rStyle w:val="TextoNormalNegritaCaracter"/>
        </w:rPr>
        <w:t>Artículo 2.</w:t>
      </w:r>
      <w:r w:rsidRPr="00601EEA">
        <w:rPr>
          <w:rStyle w:val="TextoNormalCaracter"/>
        </w:rPr>
        <w:t>-</w:t>
      </w:r>
      <w:r>
        <w:t xml:space="preserve"> Sentencia </w:t>
      </w:r>
      <w:hyperlink w:anchor="SENTENCIA_2024_1" w:history="1">
        <w:r w:rsidRPr="00601EEA">
          <w:rPr>
            <w:rStyle w:val="TextoNormalCaracter"/>
          </w:rPr>
          <w:t>1/2024</w:t>
        </w:r>
      </w:hyperlink>
      <w:r>
        <w:t>, f. 3.</w:t>
      </w:r>
    </w:p>
    <w:p w14:paraId="19AA307D" w14:textId="7091C8BB" w:rsidR="00601EEA" w:rsidRDefault="00601EEA" w:rsidP="00601EEA">
      <w:pPr>
        <w:pStyle w:val="SangriaFrancesaArticulo"/>
      </w:pPr>
      <w:r w:rsidRPr="00601EEA">
        <w:rPr>
          <w:rStyle w:val="TextoNormalNegritaCaracter"/>
        </w:rPr>
        <w:t>Artículo 3.</w:t>
      </w:r>
      <w:r w:rsidRPr="00601EEA">
        <w:rPr>
          <w:rStyle w:val="TextoNormalCaracter"/>
        </w:rPr>
        <w:t>-</w:t>
      </w:r>
      <w:r>
        <w:t xml:space="preserve"> Sentencias </w:t>
      </w:r>
      <w:hyperlink w:anchor="SENTENCIA_2024_35" w:history="1">
        <w:r w:rsidRPr="00601EEA">
          <w:rPr>
            <w:rStyle w:val="TextoNormalCaracter"/>
          </w:rPr>
          <w:t>35/2024</w:t>
        </w:r>
      </w:hyperlink>
      <w:r>
        <w:t xml:space="preserve">, f. 2, VP; </w:t>
      </w:r>
      <w:hyperlink w:anchor="SENTENCIA_2024_61" w:history="1">
        <w:r w:rsidRPr="00601EEA">
          <w:rPr>
            <w:rStyle w:val="TextoNormalCaracter"/>
          </w:rPr>
          <w:t>61/2024</w:t>
        </w:r>
      </w:hyperlink>
      <w:r>
        <w:t>, VP.</w:t>
      </w:r>
    </w:p>
    <w:p w14:paraId="58C19172" w14:textId="571E1DCC" w:rsidR="00601EEA" w:rsidRDefault="00601EEA" w:rsidP="00601EEA">
      <w:pPr>
        <w:pStyle w:val="SangriaFrancesaArticulo"/>
      </w:pPr>
      <w:r w:rsidRPr="00601EEA">
        <w:rPr>
          <w:rStyle w:val="TextoNormalNegritaCaracter"/>
        </w:rPr>
        <w:t>Artículo 4.2.</w:t>
      </w:r>
      <w:r w:rsidRPr="00601EEA">
        <w:rPr>
          <w:rStyle w:val="TextoNormalCaracter"/>
        </w:rPr>
        <w:t>-</w:t>
      </w:r>
      <w:r>
        <w:t xml:space="preserve"> Sentencia </w:t>
      </w:r>
      <w:hyperlink w:anchor="SENTENCIA_2024_34" w:history="1">
        <w:r w:rsidRPr="00601EEA">
          <w:rPr>
            <w:rStyle w:val="TextoNormalCaracter"/>
          </w:rPr>
          <w:t>34/2024</w:t>
        </w:r>
      </w:hyperlink>
      <w:r>
        <w:t>, f. 7.</w:t>
      </w:r>
    </w:p>
    <w:p w14:paraId="4EB5309F" w14:textId="1C7593A1" w:rsidR="00601EEA" w:rsidRDefault="00601EEA" w:rsidP="00601EEA">
      <w:pPr>
        <w:pStyle w:val="SangriaFrancesaArticulo"/>
      </w:pPr>
      <w:r w:rsidRPr="00601EEA">
        <w:rPr>
          <w:rStyle w:val="TextoNormalNegritaCaracter"/>
        </w:rPr>
        <w:t>Artículo 5.1.</w:t>
      </w:r>
      <w:r w:rsidRPr="00601EEA">
        <w:rPr>
          <w:rStyle w:val="TextoNormalCaracter"/>
        </w:rPr>
        <w:t>-</w:t>
      </w:r>
      <w:r>
        <w:t xml:space="preserve"> Sentencia </w:t>
      </w:r>
      <w:hyperlink w:anchor="SENTENCIA_2024_17" w:history="1">
        <w:r w:rsidRPr="00601EEA">
          <w:rPr>
            <w:rStyle w:val="TextoNormalCaracter"/>
          </w:rPr>
          <w:t>17/2024</w:t>
        </w:r>
      </w:hyperlink>
      <w:r>
        <w:t>, f. 3.</w:t>
      </w:r>
    </w:p>
    <w:p w14:paraId="0DF03C8C" w14:textId="33C8F3E9" w:rsidR="00601EEA" w:rsidRDefault="00601EEA" w:rsidP="00601EEA">
      <w:pPr>
        <w:pStyle w:val="SangriaFrancesaArticulo"/>
      </w:pPr>
      <w:r w:rsidRPr="00601EEA">
        <w:rPr>
          <w:rStyle w:val="TextoNormalNegritaCaracter"/>
        </w:rPr>
        <w:t>Artículo 5.1 f).</w:t>
      </w:r>
      <w:r w:rsidRPr="00601EEA">
        <w:rPr>
          <w:rStyle w:val="TextoNormalCaracter"/>
        </w:rPr>
        <w:t>-</w:t>
      </w:r>
      <w:r>
        <w:t xml:space="preserve"> Sentencia </w:t>
      </w:r>
      <w:hyperlink w:anchor="SENTENCIA_2024_17" w:history="1">
        <w:r w:rsidRPr="00601EEA">
          <w:rPr>
            <w:rStyle w:val="TextoNormalCaracter"/>
          </w:rPr>
          <w:t>17/2024</w:t>
        </w:r>
      </w:hyperlink>
      <w:r>
        <w:t>, f. 3.</w:t>
      </w:r>
    </w:p>
    <w:p w14:paraId="20307FF5" w14:textId="7FDD0FC9" w:rsidR="00601EEA" w:rsidRDefault="00601EEA" w:rsidP="00601EEA">
      <w:pPr>
        <w:pStyle w:val="SangriaFrancesaArticulo"/>
      </w:pPr>
      <w:r w:rsidRPr="00601EEA">
        <w:rPr>
          <w:rStyle w:val="TextoNormalNegritaCaracter"/>
        </w:rPr>
        <w:t>Artículo 6.</w:t>
      </w:r>
      <w:r w:rsidRPr="00601EEA">
        <w:rPr>
          <w:rStyle w:val="TextoNormalCaracter"/>
        </w:rPr>
        <w:t>-</w:t>
      </w:r>
      <w:r>
        <w:t xml:space="preserve"> Sentencias </w:t>
      </w:r>
      <w:hyperlink w:anchor="SENTENCIA_2024_8" w:history="1">
        <w:r w:rsidRPr="00601EEA">
          <w:rPr>
            <w:rStyle w:val="TextoNormalCaracter"/>
          </w:rPr>
          <w:t>8/2024</w:t>
        </w:r>
      </w:hyperlink>
      <w:r>
        <w:t xml:space="preserve">, f. 3; </w:t>
      </w:r>
      <w:hyperlink w:anchor="SENTENCIA_2024_9" w:history="1">
        <w:r w:rsidRPr="00601EEA">
          <w:rPr>
            <w:rStyle w:val="TextoNormalCaracter"/>
          </w:rPr>
          <w:t>9/2024</w:t>
        </w:r>
      </w:hyperlink>
      <w:r>
        <w:t xml:space="preserve">, f. 5, VP II; </w:t>
      </w:r>
      <w:hyperlink w:anchor="SENTENCIA_2024_66" w:history="1">
        <w:r w:rsidRPr="00601EEA">
          <w:rPr>
            <w:rStyle w:val="TextoNormalCaracter"/>
          </w:rPr>
          <w:t>66/2024</w:t>
        </w:r>
      </w:hyperlink>
      <w:r>
        <w:t xml:space="preserve">, f. 1; </w:t>
      </w:r>
      <w:hyperlink w:anchor="SENTENCIA_2024_72" w:history="1">
        <w:r w:rsidRPr="00601EEA">
          <w:rPr>
            <w:rStyle w:val="TextoNormalCaracter"/>
          </w:rPr>
          <w:t>72/2024</w:t>
        </w:r>
      </w:hyperlink>
      <w:r>
        <w:t xml:space="preserve">, f. 4; </w:t>
      </w:r>
      <w:hyperlink w:anchor="SENTENCIA_2024_84" w:history="1">
        <w:r w:rsidRPr="00601EEA">
          <w:rPr>
            <w:rStyle w:val="TextoNormalCaracter"/>
          </w:rPr>
          <w:t>84/2024</w:t>
        </w:r>
      </w:hyperlink>
      <w:r>
        <w:t xml:space="preserve">, f. 2; </w:t>
      </w:r>
      <w:hyperlink w:anchor="SENTENCIA_2024_87" w:history="1">
        <w:r w:rsidRPr="00601EEA">
          <w:rPr>
            <w:rStyle w:val="TextoNormalCaracter"/>
          </w:rPr>
          <w:t>87/2024</w:t>
        </w:r>
      </w:hyperlink>
      <w:r>
        <w:t>, ff. 2, 3, VP II.</w:t>
      </w:r>
    </w:p>
    <w:p w14:paraId="3CFF7B97" w14:textId="61CC9D54" w:rsidR="00601EEA" w:rsidRDefault="00601EEA" w:rsidP="00601EEA">
      <w:pPr>
        <w:pStyle w:val="SangriaIzquierdaArticulo"/>
      </w:pPr>
      <w:r>
        <w:t xml:space="preserve">Auto </w:t>
      </w:r>
      <w:hyperlink w:anchor="AUTO_2024_29" w:history="1">
        <w:r w:rsidRPr="00601EEA">
          <w:rPr>
            <w:rStyle w:val="TextoNormalCaracter"/>
          </w:rPr>
          <w:t>29/2024</w:t>
        </w:r>
      </w:hyperlink>
      <w:r>
        <w:t>, f. 2.</w:t>
      </w:r>
    </w:p>
    <w:p w14:paraId="72A5F123" w14:textId="2CC649D5" w:rsidR="00601EEA" w:rsidRDefault="00601EEA" w:rsidP="00601EEA">
      <w:pPr>
        <w:pStyle w:val="SangriaFrancesaArticulo"/>
      </w:pPr>
      <w:r w:rsidRPr="00601EEA">
        <w:rPr>
          <w:rStyle w:val="TextoNormalNegritaCaracter"/>
        </w:rPr>
        <w:t>Artículo 6.1.</w:t>
      </w:r>
      <w:r w:rsidRPr="00601EEA">
        <w:rPr>
          <w:rStyle w:val="TextoNormalCaracter"/>
        </w:rPr>
        <w:t>-</w:t>
      </w:r>
      <w:r>
        <w:t xml:space="preserve"> Sentencias </w:t>
      </w:r>
      <w:hyperlink w:anchor="SENTENCIA_2024_9" w:history="1">
        <w:r w:rsidRPr="00601EEA">
          <w:rPr>
            <w:rStyle w:val="TextoNormalCaracter"/>
          </w:rPr>
          <w:t>9/2024</w:t>
        </w:r>
      </w:hyperlink>
      <w:r>
        <w:t xml:space="preserve">, ff. 1, 4, 5; </w:t>
      </w:r>
      <w:hyperlink w:anchor="SENTENCIA_2024_72" w:history="1">
        <w:r w:rsidRPr="00601EEA">
          <w:rPr>
            <w:rStyle w:val="TextoNormalCaracter"/>
          </w:rPr>
          <w:t>72/2024</w:t>
        </w:r>
      </w:hyperlink>
      <w:r>
        <w:t xml:space="preserve">, f. 4, VP; </w:t>
      </w:r>
      <w:hyperlink w:anchor="SENTENCIA_2024_80" w:history="1">
        <w:r w:rsidRPr="00601EEA">
          <w:rPr>
            <w:rStyle w:val="TextoNormalCaracter"/>
          </w:rPr>
          <w:t>80/2024</w:t>
        </w:r>
      </w:hyperlink>
      <w:r>
        <w:t xml:space="preserve">, ff. 5, 6; </w:t>
      </w:r>
      <w:hyperlink w:anchor="SENTENCIA_2024_87" w:history="1">
        <w:r w:rsidRPr="00601EEA">
          <w:rPr>
            <w:rStyle w:val="TextoNormalCaracter"/>
          </w:rPr>
          <w:t>87/2024</w:t>
        </w:r>
      </w:hyperlink>
      <w:r>
        <w:t>, f. 3.</w:t>
      </w:r>
    </w:p>
    <w:p w14:paraId="5738A5B2" w14:textId="6109C008" w:rsidR="00601EEA" w:rsidRDefault="00601EEA" w:rsidP="00601EEA">
      <w:pPr>
        <w:pStyle w:val="SangriaIzquierdaArticulo"/>
      </w:pPr>
      <w:r>
        <w:t xml:space="preserve">Auto </w:t>
      </w:r>
      <w:hyperlink w:anchor="AUTO_2024_51" w:history="1">
        <w:r w:rsidRPr="00601EEA">
          <w:rPr>
            <w:rStyle w:val="TextoNormalCaracter"/>
          </w:rPr>
          <w:t>51/2024</w:t>
        </w:r>
      </w:hyperlink>
      <w:r>
        <w:t>, f. 4.</w:t>
      </w:r>
    </w:p>
    <w:p w14:paraId="5019A811" w14:textId="725F3E60" w:rsidR="00601EEA" w:rsidRDefault="00601EEA" w:rsidP="00601EEA">
      <w:pPr>
        <w:pStyle w:val="SangriaFrancesaArticulo"/>
      </w:pPr>
      <w:r w:rsidRPr="00601EEA">
        <w:rPr>
          <w:rStyle w:val="TextoNormalNegritaCaracter"/>
        </w:rPr>
        <w:t>Artículo 7.</w:t>
      </w:r>
      <w:r w:rsidRPr="00601EEA">
        <w:rPr>
          <w:rStyle w:val="TextoNormalCaracter"/>
        </w:rPr>
        <w:t>-</w:t>
      </w:r>
      <w:r>
        <w:t xml:space="preserve"> Sentencias </w:t>
      </w:r>
      <w:hyperlink w:anchor="SENTENCIA_2024_8" w:history="1">
        <w:r w:rsidRPr="00601EEA">
          <w:rPr>
            <w:rStyle w:val="TextoNormalCaracter"/>
          </w:rPr>
          <w:t>8/2024</w:t>
        </w:r>
      </w:hyperlink>
      <w:r>
        <w:t xml:space="preserve">, VP I; </w:t>
      </w:r>
      <w:hyperlink w:anchor="SENTENCIA_2024_75" w:history="1">
        <w:r w:rsidRPr="00601EEA">
          <w:rPr>
            <w:rStyle w:val="TextoNormalCaracter"/>
          </w:rPr>
          <w:t>75/2024</w:t>
        </w:r>
      </w:hyperlink>
      <w:r>
        <w:t>, f. 1.</w:t>
      </w:r>
    </w:p>
    <w:p w14:paraId="40D6CC52" w14:textId="7F67D982" w:rsidR="00601EEA" w:rsidRDefault="00601EEA" w:rsidP="00601EEA">
      <w:pPr>
        <w:pStyle w:val="SangriaFrancesaArticulo"/>
      </w:pPr>
      <w:r w:rsidRPr="00601EEA">
        <w:rPr>
          <w:rStyle w:val="TextoNormalNegritaCaracter"/>
        </w:rPr>
        <w:t>Artículo 8.</w:t>
      </w:r>
      <w:r w:rsidRPr="00601EEA">
        <w:rPr>
          <w:rStyle w:val="TextoNormalCaracter"/>
        </w:rPr>
        <w:t>-</w:t>
      </w:r>
      <w:r>
        <w:t xml:space="preserve"> Sentencias </w:t>
      </w:r>
      <w:hyperlink w:anchor="SENTENCIA_2024_28" w:history="1">
        <w:r w:rsidRPr="00601EEA">
          <w:rPr>
            <w:rStyle w:val="TextoNormalCaracter"/>
          </w:rPr>
          <w:t>28/2024</w:t>
        </w:r>
      </w:hyperlink>
      <w:r>
        <w:t xml:space="preserve">, ff. 1, 3; </w:t>
      </w:r>
      <w:hyperlink w:anchor="SENTENCIA_2024_82" w:history="1">
        <w:r w:rsidRPr="00601EEA">
          <w:rPr>
            <w:rStyle w:val="TextoNormalCaracter"/>
          </w:rPr>
          <w:t>82/2024</w:t>
        </w:r>
      </w:hyperlink>
      <w:r>
        <w:t xml:space="preserve">, f. 2; </w:t>
      </w:r>
      <w:hyperlink w:anchor="SENTENCIA_2024_87" w:history="1">
        <w:r w:rsidRPr="00601EEA">
          <w:rPr>
            <w:rStyle w:val="TextoNormalCaracter"/>
          </w:rPr>
          <w:t>87/2024</w:t>
        </w:r>
      </w:hyperlink>
      <w:r>
        <w:t xml:space="preserve">, ff. 2, 4, VP II, VP III; </w:t>
      </w:r>
      <w:hyperlink w:anchor="SENTENCIA_2024_92" w:history="1">
        <w:r w:rsidRPr="00601EEA">
          <w:rPr>
            <w:rStyle w:val="TextoNormalCaracter"/>
          </w:rPr>
          <w:t>92/2024</w:t>
        </w:r>
      </w:hyperlink>
      <w:r>
        <w:t>, VP III.</w:t>
      </w:r>
    </w:p>
    <w:p w14:paraId="33B6432E" w14:textId="01AECCE6" w:rsidR="00601EEA" w:rsidRDefault="00601EEA" w:rsidP="00601EEA">
      <w:pPr>
        <w:pStyle w:val="SangriaFrancesaArticulo"/>
      </w:pPr>
      <w:r w:rsidRPr="00601EEA">
        <w:rPr>
          <w:rStyle w:val="TextoNormalNegritaCaracter"/>
        </w:rPr>
        <w:t>Artículo 8.1.</w:t>
      </w:r>
      <w:r w:rsidRPr="00601EEA">
        <w:rPr>
          <w:rStyle w:val="TextoNormalCaracter"/>
        </w:rPr>
        <w:t>-</w:t>
      </w:r>
      <w:r>
        <w:t xml:space="preserve"> Sentencias </w:t>
      </w:r>
      <w:hyperlink w:anchor="SENTENCIA_2024_28" w:history="1">
        <w:r w:rsidRPr="00601EEA">
          <w:rPr>
            <w:rStyle w:val="TextoNormalCaracter"/>
          </w:rPr>
          <w:t>28/2024</w:t>
        </w:r>
      </w:hyperlink>
      <w:r>
        <w:t xml:space="preserve">, ff. 3, 5; </w:t>
      </w:r>
      <w:hyperlink w:anchor="SENTENCIA_2024_87" w:history="1">
        <w:r w:rsidRPr="00601EEA">
          <w:rPr>
            <w:rStyle w:val="TextoNormalCaracter"/>
          </w:rPr>
          <w:t>87/2024</w:t>
        </w:r>
      </w:hyperlink>
      <w:r>
        <w:t xml:space="preserve">, VP II; </w:t>
      </w:r>
      <w:hyperlink w:anchor="SENTENCIA_2024_92" w:history="1">
        <w:r w:rsidRPr="00601EEA">
          <w:rPr>
            <w:rStyle w:val="TextoNormalCaracter"/>
          </w:rPr>
          <w:t>92/2024</w:t>
        </w:r>
      </w:hyperlink>
      <w:r>
        <w:t>, f. 7.</w:t>
      </w:r>
    </w:p>
    <w:p w14:paraId="5F813032" w14:textId="506AE8BB" w:rsidR="00601EEA" w:rsidRDefault="00601EEA" w:rsidP="00601EEA">
      <w:pPr>
        <w:pStyle w:val="SangriaFrancesaArticulo"/>
      </w:pPr>
      <w:r w:rsidRPr="00601EEA">
        <w:rPr>
          <w:rStyle w:val="TextoNormalNegritaCaracter"/>
        </w:rPr>
        <w:t>Artículo 8.2.</w:t>
      </w:r>
      <w:r w:rsidRPr="00601EEA">
        <w:rPr>
          <w:rStyle w:val="TextoNormalCaracter"/>
        </w:rPr>
        <w:t>-</w:t>
      </w:r>
      <w:r>
        <w:t xml:space="preserve"> Sentencia </w:t>
      </w:r>
      <w:hyperlink w:anchor="SENTENCIA_2024_87" w:history="1">
        <w:r w:rsidRPr="00601EEA">
          <w:rPr>
            <w:rStyle w:val="TextoNormalCaracter"/>
          </w:rPr>
          <w:t>87/2024</w:t>
        </w:r>
      </w:hyperlink>
      <w:r>
        <w:t>, VP II.</w:t>
      </w:r>
    </w:p>
    <w:p w14:paraId="7FF7E864" w14:textId="7F2825E5" w:rsidR="00601EEA" w:rsidRDefault="00601EEA" w:rsidP="00601EEA">
      <w:pPr>
        <w:pStyle w:val="SangriaFrancesaArticulo"/>
      </w:pPr>
      <w:r w:rsidRPr="00601EEA">
        <w:rPr>
          <w:rStyle w:val="TextoNormalNegritaCaracter"/>
        </w:rPr>
        <w:t>Artículo 11.</w:t>
      </w:r>
      <w:r w:rsidRPr="00601EEA">
        <w:rPr>
          <w:rStyle w:val="TextoNormalCaracter"/>
        </w:rPr>
        <w:t>-</w:t>
      </w:r>
      <w:r>
        <w:t xml:space="preserve"> Sentencia </w:t>
      </w:r>
      <w:hyperlink w:anchor="SENTENCIA_2024_75" w:history="1">
        <w:r w:rsidRPr="00601EEA">
          <w:rPr>
            <w:rStyle w:val="TextoNormalCaracter"/>
          </w:rPr>
          <w:t>75/2024</w:t>
        </w:r>
      </w:hyperlink>
      <w:r>
        <w:t>, VP II.</w:t>
      </w:r>
    </w:p>
    <w:p w14:paraId="6DC4D116" w14:textId="6A5EE712" w:rsidR="00601EEA" w:rsidRDefault="00601EEA" w:rsidP="00601EEA">
      <w:pPr>
        <w:pStyle w:val="SangriaFrancesaArticulo"/>
      </w:pPr>
      <w:r w:rsidRPr="00601EEA">
        <w:rPr>
          <w:rStyle w:val="TextoNormalNegritaCaracter"/>
        </w:rPr>
        <w:t>Artículo 13.</w:t>
      </w:r>
      <w:r w:rsidRPr="00601EEA">
        <w:rPr>
          <w:rStyle w:val="TextoNormalCaracter"/>
        </w:rPr>
        <w:t>-</w:t>
      </w:r>
      <w:r>
        <w:t xml:space="preserve"> Sentencias </w:t>
      </w:r>
      <w:hyperlink w:anchor="SENTENCIA_2024_48" w:history="1">
        <w:r w:rsidRPr="00601EEA">
          <w:rPr>
            <w:rStyle w:val="TextoNormalCaracter"/>
          </w:rPr>
          <w:t>48/2024</w:t>
        </w:r>
      </w:hyperlink>
      <w:r>
        <w:t xml:space="preserve">, f. 1; </w:t>
      </w:r>
      <w:hyperlink w:anchor="SENTENCIA_2024_50" w:history="1">
        <w:r w:rsidRPr="00601EEA">
          <w:rPr>
            <w:rStyle w:val="TextoNormalCaracter"/>
          </w:rPr>
          <w:t>50/2024</w:t>
        </w:r>
      </w:hyperlink>
      <w:r>
        <w:t xml:space="preserve">, ff. 1, 3; </w:t>
      </w:r>
      <w:hyperlink w:anchor="SENTENCIA_2024_61" w:history="1">
        <w:r w:rsidRPr="00601EEA">
          <w:rPr>
            <w:rStyle w:val="TextoNormalCaracter"/>
          </w:rPr>
          <w:t>61/2024</w:t>
        </w:r>
      </w:hyperlink>
      <w:r>
        <w:t xml:space="preserve">, ff. 2, 3, VP; </w:t>
      </w:r>
      <w:hyperlink w:anchor="SENTENCIA_2024_66" w:history="1">
        <w:r w:rsidRPr="00601EEA">
          <w:rPr>
            <w:rStyle w:val="TextoNormalCaracter"/>
          </w:rPr>
          <w:t>66/2024</w:t>
        </w:r>
      </w:hyperlink>
      <w:r>
        <w:t>, ff. 1, 3, 4.</w:t>
      </w:r>
    </w:p>
    <w:p w14:paraId="73C9AC03" w14:textId="7E822D4B" w:rsidR="00601EEA" w:rsidRDefault="00601EEA" w:rsidP="00601EEA">
      <w:pPr>
        <w:pStyle w:val="SangriaIzquierdaArticulo"/>
      </w:pPr>
      <w:r>
        <w:t xml:space="preserve">Auto </w:t>
      </w:r>
      <w:hyperlink w:anchor="AUTO_2024_57" w:history="1">
        <w:r w:rsidRPr="00601EEA">
          <w:rPr>
            <w:rStyle w:val="TextoNormalCaracter"/>
          </w:rPr>
          <w:t>57/2024</w:t>
        </w:r>
      </w:hyperlink>
      <w:r>
        <w:t>, VP II.</w:t>
      </w:r>
    </w:p>
    <w:p w14:paraId="25A033AF" w14:textId="56F7E734" w:rsidR="00601EEA" w:rsidRDefault="00601EEA" w:rsidP="00601EEA">
      <w:pPr>
        <w:pStyle w:val="SangriaFrancesaArticulo"/>
      </w:pPr>
      <w:r w:rsidRPr="00601EEA">
        <w:rPr>
          <w:rStyle w:val="TextoNormalNegritaCaracter"/>
        </w:rPr>
        <w:t>Artículo 14.</w:t>
      </w:r>
      <w:r w:rsidRPr="00601EEA">
        <w:rPr>
          <w:rStyle w:val="TextoNormalCaracter"/>
        </w:rPr>
        <w:t>-</w:t>
      </w:r>
      <w:r>
        <w:t xml:space="preserve"> Sentencias </w:t>
      </w:r>
      <w:hyperlink w:anchor="SENTENCIA_2024_66" w:history="1">
        <w:r w:rsidRPr="00601EEA">
          <w:rPr>
            <w:rStyle w:val="TextoNormalCaracter"/>
          </w:rPr>
          <w:t>66/2024</w:t>
        </w:r>
      </w:hyperlink>
      <w:r>
        <w:t xml:space="preserve">, f. 1; </w:t>
      </w:r>
      <w:hyperlink w:anchor="SENTENCIA_2024_81" w:history="1">
        <w:r w:rsidRPr="00601EEA">
          <w:rPr>
            <w:rStyle w:val="TextoNormalCaracter"/>
          </w:rPr>
          <w:t>81/2024</w:t>
        </w:r>
      </w:hyperlink>
      <w:r>
        <w:t>, f. 3.</w:t>
      </w:r>
    </w:p>
    <w:p w14:paraId="03B7FFB6" w14:textId="076E8AF4" w:rsidR="00601EEA" w:rsidRDefault="00601EEA" w:rsidP="00601EEA">
      <w:pPr>
        <w:pStyle w:val="SangriaFrancesaArticulo"/>
      </w:pPr>
      <w:r w:rsidRPr="00601EEA">
        <w:rPr>
          <w:rStyle w:val="TextoNormalNegritaCaracter"/>
        </w:rPr>
        <w:t>Artículo 15.</w:t>
      </w:r>
      <w:r w:rsidRPr="00601EEA">
        <w:rPr>
          <w:rStyle w:val="TextoNormalCaracter"/>
        </w:rPr>
        <w:t>-</w:t>
      </w:r>
      <w:r>
        <w:t xml:space="preserve"> Sentencia </w:t>
      </w:r>
      <w:hyperlink w:anchor="SENTENCIA_2024_9" w:history="1">
        <w:r w:rsidRPr="00601EEA">
          <w:rPr>
            <w:rStyle w:val="TextoNormalCaracter"/>
          </w:rPr>
          <w:t>9/2024</w:t>
        </w:r>
      </w:hyperlink>
      <w:r>
        <w:t>, VP II.</w:t>
      </w:r>
    </w:p>
    <w:p w14:paraId="0A0577F1" w14:textId="41FBCA63" w:rsidR="00601EEA" w:rsidRDefault="00601EEA" w:rsidP="00601EEA">
      <w:pPr>
        <w:pStyle w:val="SangriaFrancesaArticulo"/>
      </w:pPr>
      <w:r w:rsidRPr="00601EEA">
        <w:rPr>
          <w:rStyle w:val="TextoNormalNegritaCaracter"/>
        </w:rPr>
        <w:t>Artículo 18.</w:t>
      </w:r>
      <w:r w:rsidRPr="00601EEA">
        <w:rPr>
          <w:rStyle w:val="TextoNormalCaracter"/>
        </w:rPr>
        <w:t>-</w:t>
      </w:r>
      <w:r>
        <w:t xml:space="preserve"> Sentencia </w:t>
      </w:r>
      <w:hyperlink w:anchor="SENTENCIA_2024_28" w:history="1">
        <w:r w:rsidRPr="00601EEA">
          <w:rPr>
            <w:rStyle w:val="TextoNormalCaracter"/>
          </w:rPr>
          <w:t>28/2024</w:t>
        </w:r>
      </w:hyperlink>
      <w:r>
        <w:t>, VP.</w:t>
      </w:r>
    </w:p>
    <w:p w14:paraId="14E7CDA9" w14:textId="35BF43F8" w:rsidR="00601EEA" w:rsidRDefault="00601EEA" w:rsidP="00601EEA">
      <w:pPr>
        <w:pStyle w:val="SangriaFrancesaArticulo"/>
      </w:pPr>
      <w:r w:rsidRPr="00601EEA">
        <w:rPr>
          <w:rStyle w:val="TextoNormalNegritaCaracter"/>
        </w:rPr>
        <w:t>Artículo 34.</w:t>
      </w:r>
      <w:r w:rsidRPr="00601EEA">
        <w:rPr>
          <w:rStyle w:val="TextoNormalCaracter"/>
        </w:rPr>
        <w:t>-</w:t>
      </w:r>
      <w:r>
        <w:t xml:space="preserve"> Sentencia </w:t>
      </w:r>
      <w:hyperlink w:anchor="SENTENCIA_2024_61" w:history="1">
        <w:r w:rsidRPr="00601EEA">
          <w:rPr>
            <w:rStyle w:val="TextoNormalCaracter"/>
          </w:rPr>
          <w:t>61/2024</w:t>
        </w:r>
      </w:hyperlink>
      <w:r>
        <w:t>, f. 2.</w:t>
      </w:r>
    </w:p>
    <w:p w14:paraId="4151252E" w14:textId="58F19F3B" w:rsidR="00601EEA" w:rsidRDefault="00601EEA" w:rsidP="00601EEA">
      <w:pPr>
        <w:pStyle w:val="SangriaFrancesaArticulo"/>
      </w:pPr>
      <w:r w:rsidRPr="00601EEA">
        <w:rPr>
          <w:rStyle w:val="TextoNormalNegritaCaracter"/>
        </w:rPr>
        <w:t>Artículo 35.3.</w:t>
      </w:r>
      <w:r w:rsidRPr="00601EEA">
        <w:rPr>
          <w:rStyle w:val="TextoNormalCaracter"/>
        </w:rPr>
        <w:t>-</w:t>
      </w:r>
      <w:r>
        <w:t xml:space="preserve"> Auto </w:t>
      </w:r>
      <w:hyperlink w:anchor="AUTO_2024_29" w:history="1">
        <w:r w:rsidRPr="00601EEA">
          <w:rPr>
            <w:rStyle w:val="TextoNormalCaracter"/>
          </w:rPr>
          <w:t>29/2024</w:t>
        </w:r>
      </w:hyperlink>
      <w:r>
        <w:t>, f. 2.</w:t>
      </w:r>
    </w:p>
    <w:p w14:paraId="2DF253E6" w14:textId="307F898C" w:rsidR="00601EEA" w:rsidRDefault="00601EEA" w:rsidP="00601EEA">
      <w:pPr>
        <w:pStyle w:val="SangriaFrancesaArticulo"/>
      </w:pPr>
      <w:r w:rsidRPr="00601EEA">
        <w:rPr>
          <w:rStyle w:val="TextoNormalNegritaCaracter"/>
        </w:rPr>
        <w:t>Artículo 35.4.</w:t>
      </w:r>
      <w:r w:rsidRPr="00601EEA">
        <w:rPr>
          <w:rStyle w:val="TextoNormalCaracter"/>
        </w:rPr>
        <w:t>-</w:t>
      </w:r>
      <w:r>
        <w:t xml:space="preserve"> Auto </w:t>
      </w:r>
      <w:hyperlink w:anchor="AUTO_2024_29" w:history="1">
        <w:r w:rsidRPr="00601EEA">
          <w:rPr>
            <w:rStyle w:val="TextoNormalCaracter"/>
          </w:rPr>
          <w:t>29/2024</w:t>
        </w:r>
      </w:hyperlink>
      <w:r>
        <w:t>, f. 2.</w:t>
      </w:r>
    </w:p>
    <w:p w14:paraId="07EF1E36" w14:textId="7B66B31D" w:rsidR="00601EEA" w:rsidRDefault="00601EEA" w:rsidP="00601EEA">
      <w:pPr>
        <w:pStyle w:val="SangriaFrancesaArticulo"/>
      </w:pPr>
    </w:p>
    <w:p w14:paraId="4DDE45C2" w14:textId="77777777" w:rsidR="00601EEA" w:rsidRDefault="00601EEA" w:rsidP="00601EEA">
      <w:pPr>
        <w:pStyle w:val="TextoNormalNegritaCursivandice"/>
        <w:keepNext/>
      </w:pPr>
      <w:r>
        <w:lastRenderedPageBreak/>
        <w:t>Protocolo adicional (conocido como núm. 1) al Convenio europeo para la protección de los derechos humanos y de las libertades fundamentales, de 20 de marzo de 1952. Ratificado por Instrumento de 2 de noviembre de 1990</w:t>
      </w:r>
    </w:p>
    <w:p w14:paraId="6EA91019" w14:textId="4672A238"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Sentencias </w:t>
      </w:r>
      <w:hyperlink w:anchor="SENTENCIA_2024_26" w:history="1">
        <w:r w:rsidRPr="00601EEA">
          <w:rPr>
            <w:rStyle w:val="TextoNormalCaracter"/>
          </w:rPr>
          <w:t>26/2024</w:t>
        </w:r>
      </w:hyperlink>
      <w:r>
        <w:t xml:space="preserve">, f. 3; </w:t>
      </w:r>
      <w:hyperlink w:anchor="SENTENCIA_2024_66" w:history="1">
        <w:r w:rsidRPr="00601EEA">
          <w:rPr>
            <w:rStyle w:val="TextoNormalCaracter"/>
          </w:rPr>
          <w:t>66/2024</w:t>
        </w:r>
      </w:hyperlink>
      <w:r>
        <w:t>, f. 1.</w:t>
      </w:r>
    </w:p>
    <w:p w14:paraId="2C121296" w14:textId="3F0FCF69" w:rsidR="00601EEA" w:rsidRDefault="00601EEA" w:rsidP="00601EEA">
      <w:pPr>
        <w:pStyle w:val="SangriaFrancesaArticulo"/>
      </w:pPr>
      <w:r w:rsidRPr="00601EEA">
        <w:rPr>
          <w:rStyle w:val="TextoNormalNegritaCaracter"/>
        </w:rPr>
        <w:t>Artículo 2.</w:t>
      </w:r>
      <w:r w:rsidRPr="00601EEA">
        <w:rPr>
          <w:rStyle w:val="TextoNormalCaracter"/>
        </w:rPr>
        <w:t>-</w:t>
      </w:r>
      <w:r>
        <w:t xml:space="preserve"> Sentencias </w:t>
      </w:r>
      <w:hyperlink w:anchor="SENTENCIA_2024_26" w:history="1">
        <w:r w:rsidRPr="00601EEA">
          <w:rPr>
            <w:rStyle w:val="TextoNormalCaracter"/>
          </w:rPr>
          <w:t>26/2024</w:t>
        </w:r>
      </w:hyperlink>
      <w:r>
        <w:t xml:space="preserve">, ff. 2, 3, VP I; </w:t>
      </w:r>
      <w:hyperlink w:anchor="SENTENCIA_2024_92" w:history="1">
        <w:r w:rsidRPr="00601EEA">
          <w:rPr>
            <w:rStyle w:val="TextoNormalCaracter"/>
          </w:rPr>
          <w:t>92/2024</w:t>
        </w:r>
      </w:hyperlink>
      <w:r>
        <w:t>, f. 5.</w:t>
      </w:r>
    </w:p>
    <w:p w14:paraId="00965A63" w14:textId="0E09E191" w:rsidR="00601EEA" w:rsidRDefault="00601EEA" w:rsidP="00601EEA">
      <w:pPr>
        <w:pStyle w:val="SangriaFrancesaArticulo"/>
      </w:pPr>
      <w:r w:rsidRPr="00601EEA">
        <w:rPr>
          <w:rStyle w:val="TextoNormalNegritaCaracter"/>
        </w:rPr>
        <w:t>Artículo 3.</w:t>
      </w:r>
      <w:r w:rsidRPr="00601EEA">
        <w:rPr>
          <w:rStyle w:val="TextoNormalCaracter"/>
        </w:rPr>
        <w:t>-</w:t>
      </w:r>
      <w:r>
        <w:t xml:space="preserve"> Sentencias </w:t>
      </w:r>
      <w:hyperlink w:anchor="SENTENCIA_2024_50" w:history="1">
        <w:r w:rsidRPr="00601EEA">
          <w:rPr>
            <w:rStyle w:val="TextoNormalCaracter"/>
          </w:rPr>
          <w:t>50/2024</w:t>
        </w:r>
      </w:hyperlink>
      <w:r>
        <w:t xml:space="preserve">, ff. 1, 3, 4; </w:t>
      </w:r>
      <w:hyperlink w:anchor="SENTENCIA_2024_66" w:history="1">
        <w:r w:rsidRPr="00601EEA">
          <w:rPr>
            <w:rStyle w:val="TextoNormalCaracter"/>
          </w:rPr>
          <w:t>66/2024</w:t>
        </w:r>
      </w:hyperlink>
      <w:r>
        <w:t>, ff. 1, 3.</w:t>
      </w:r>
    </w:p>
    <w:p w14:paraId="63D312A4" w14:textId="636EA634" w:rsidR="00601EEA" w:rsidRDefault="00601EEA" w:rsidP="00601EEA">
      <w:pPr>
        <w:pStyle w:val="SangriaFrancesaArticulo"/>
      </w:pPr>
      <w:r w:rsidRPr="00601EEA">
        <w:rPr>
          <w:rStyle w:val="TextoNormalNegritaCaracter"/>
        </w:rPr>
        <w:t>Artículo 9.</w:t>
      </w:r>
      <w:r w:rsidRPr="00601EEA">
        <w:rPr>
          <w:rStyle w:val="TextoNormalCaracter"/>
        </w:rPr>
        <w:t>-</w:t>
      </w:r>
      <w:r>
        <w:t xml:space="preserve"> Sentencia </w:t>
      </w:r>
      <w:hyperlink w:anchor="SENTENCIA_2024_26" w:history="1">
        <w:r w:rsidRPr="00601EEA">
          <w:rPr>
            <w:rStyle w:val="TextoNormalCaracter"/>
          </w:rPr>
          <w:t>26/2024</w:t>
        </w:r>
      </w:hyperlink>
      <w:r>
        <w:t>, f. 3, VP I.</w:t>
      </w:r>
    </w:p>
    <w:p w14:paraId="72578FB4" w14:textId="2DFAAAC0" w:rsidR="00601EEA" w:rsidRDefault="00601EEA" w:rsidP="00601EEA">
      <w:pPr>
        <w:pStyle w:val="SangriaFrancesaArticulo"/>
      </w:pPr>
      <w:r w:rsidRPr="00601EEA">
        <w:rPr>
          <w:rStyle w:val="TextoNormalNegritaCaracter"/>
        </w:rPr>
        <w:t>Artículo 14.</w:t>
      </w:r>
      <w:r w:rsidRPr="00601EEA">
        <w:rPr>
          <w:rStyle w:val="TextoNormalCaracter"/>
        </w:rPr>
        <w:t>-</w:t>
      </w:r>
      <w:r>
        <w:t xml:space="preserve"> Sentencia </w:t>
      </w:r>
      <w:hyperlink w:anchor="SENTENCIA_2024_26" w:history="1">
        <w:r w:rsidRPr="00601EEA">
          <w:rPr>
            <w:rStyle w:val="TextoNormalCaracter"/>
          </w:rPr>
          <w:t>26/2024</w:t>
        </w:r>
      </w:hyperlink>
      <w:r>
        <w:t>, VP I.</w:t>
      </w:r>
    </w:p>
    <w:p w14:paraId="21E419C6" w14:textId="46BD9706" w:rsidR="00601EEA" w:rsidRDefault="00601EEA" w:rsidP="00601EEA">
      <w:pPr>
        <w:pStyle w:val="SangriaFrancesaArticulo"/>
      </w:pPr>
    </w:p>
    <w:p w14:paraId="0851EFD4" w14:textId="77777777" w:rsidR="00601EEA" w:rsidRDefault="00601EEA" w:rsidP="00601EEA">
      <w:pPr>
        <w:pStyle w:val="TextoNormalNegritaCursivandice"/>
        <w:keepNext/>
      </w:pPr>
      <w:r>
        <w:t>Protocolo núm. 7 al Convenio europeo para la protección de los derechos humanos y de las libertades fundamentales, de 22 de noviembre de 1984. Ratificado por Instrumento de 28 de agosto de 2009</w:t>
      </w:r>
    </w:p>
    <w:p w14:paraId="3C429DBD" w14:textId="1A0CD198" w:rsidR="00601EEA" w:rsidRDefault="00601EEA" w:rsidP="00601EEA">
      <w:pPr>
        <w:pStyle w:val="SangriaFrancesaArticulo"/>
      </w:pPr>
      <w:r w:rsidRPr="00601EEA">
        <w:rPr>
          <w:rStyle w:val="TextoNormalNegritaCaracter"/>
        </w:rPr>
        <w:t>Artículo 2.</w:t>
      </w:r>
      <w:r w:rsidRPr="00601EEA">
        <w:rPr>
          <w:rStyle w:val="TextoNormalCaracter"/>
        </w:rPr>
        <w:t>-</w:t>
      </w:r>
      <w:r>
        <w:t xml:space="preserve"> Auto </w:t>
      </w:r>
      <w:hyperlink w:anchor="AUTO_2024_51" w:history="1">
        <w:r w:rsidRPr="00601EEA">
          <w:rPr>
            <w:rStyle w:val="TextoNormalCaracter"/>
          </w:rPr>
          <w:t>51/2024</w:t>
        </w:r>
      </w:hyperlink>
      <w:r>
        <w:t>, f. 4.</w:t>
      </w:r>
    </w:p>
    <w:p w14:paraId="20F89A72" w14:textId="1468F803" w:rsidR="00601EEA" w:rsidRDefault="00601EEA" w:rsidP="00601EEA">
      <w:pPr>
        <w:pStyle w:val="SangriaFrancesaArticulo"/>
      </w:pPr>
      <w:r w:rsidRPr="00601EEA">
        <w:rPr>
          <w:rStyle w:val="TextoNormalNegritaCaracter"/>
        </w:rPr>
        <w:t>Artículo 4.</w:t>
      </w:r>
      <w:r w:rsidRPr="00601EEA">
        <w:rPr>
          <w:rStyle w:val="TextoNormalCaracter"/>
        </w:rPr>
        <w:t>-</w:t>
      </w:r>
      <w:r>
        <w:t xml:space="preserve"> Sentencia </w:t>
      </w:r>
      <w:hyperlink w:anchor="SENTENCIA_2024_9" w:history="1">
        <w:r w:rsidRPr="00601EEA">
          <w:rPr>
            <w:rStyle w:val="TextoNormalCaracter"/>
          </w:rPr>
          <w:t>9/2024</w:t>
        </w:r>
      </w:hyperlink>
      <w:r>
        <w:t>, ff. 1, 3, VP II.</w:t>
      </w:r>
    </w:p>
    <w:p w14:paraId="480226BD" w14:textId="63A481B7" w:rsidR="00601EEA" w:rsidRDefault="00601EEA" w:rsidP="00601EEA">
      <w:pPr>
        <w:pStyle w:val="SangriaFrancesaArticulo"/>
      </w:pPr>
      <w:r w:rsidRPr="00601EEA">
        <w:rPr>
          <w:rStyle w:val="TextoNormalNegritaCaracter"/>
        </w:rPr>
        <w:t>Informe explicativo, párrafo 30.</w:t>
      </w:r>
      <w:r w:rsidRPr="00601EEA">
        <w:rPr>
          <w:rStyle w:val="TextoNormalCaracter"/>
        </w:rPr>
        <w:t>-</w:t>
      </w:r>
      <w:r>
        <w:t xml:space="preserve"> Sentencia </w:t>
      </w:r>
      <w:hyperlink w:anchor="SENTENCIA_2024_9" w:history="1">
        <w:r w:rsidRPr="00601EEA">
          <w:rPr>
            <w:rStyle w:val="TextoNormalCaracter"/>
          </w:rPr>
          <w:t>9/2024</w:t>
        </w:r>
      </w:hyperlink>
      <w:r>
        <w:t>, VP II.</w:t>
      </w:r>
    </w:p>
    <w:p w14:paraId="2BF649FE" w14:textId="632BBD35" w:rsidR="00601EEA" w:rsidRDefault="00601EEA" w:rsidP="00601EEA">
      <w:pPr>
        <w:pStyle w:val="SangriaFrancesaArticulo"/>
      </w:pPr>
      <w:r w:rsidRPr="00601EEA">
        <w:rPr>
          <w:rStyle w:val="TextoNormalNegritaCaracter"/>
        </w:rPr>
        <w:t>Artículo 2.</w:t>
      </w:r>
      <w:r w:rsidRPr="00601EEA">
        <w:rPr>
          <w:rStyle w:val="TextoNormalCaracter"/>
        </w:rPr>
        <w:t>-</w:t>
      </w:r>
      <w:r>
        <w:t xml:space="preserve"> Sentencias </w:t>
      </w:r>
      <w:hyperlink w:anchor="SENTENCIA_2024_72" w:history="1">
        <w:r w:rsidRPr="00601EEA">
          <w:rPr>
            <w:rStyle w:val="TextoNormalCaracter"/>
          </w:rPr>
          <w:t>72/2024</w:t>
        </w:r>
      </w:hyperlink>
      <w:r>
        <w:t xml:space="preserve">, f. 4; </w:t>
      </w:r>
      <w:hyperlink w:anchor="SENTENCIA_2024_80" w:history="1">
        <w:r w:rsidRPr="00601EEA">
          <w:rPr>
            <w:rStyle w:val="TextoNormalCaracter"/>
          </w:rPr>
          <w:t>80/2024</w:t>
        </w:r>
      </w:hyperlink>
      <w:r>
        <w:t>, f. 4.</w:t>
      </w:r>
    </w:p>
    <w:p w14:paraId="36DABDB1" w14:textId="49B60CF9" w:rsidR="00601EEA" w:rsidRDefault="00601EEA" w:rsidP="00601EEA">
      <w:pPr>
        <w:pStyle w:val="SangriaFrancesaArticulo"/>
      </w:pPr>
      <w:r w:rsidRPr="00601EEA">
        <w:rPr>
          <w:rStyle w:val="TextoNormalNegritaCaracter"/>
        </w:rPr>
        <w:t>Informe explicativo, párrafo 31.</w:t>
      </w:r>
      <w:r w:rsidRPr="00601EEA">
        <w:rPr>
          <w:rStyle w:val="TextoNormalCaracter"/>
        </w:rPr>
        <w:t>-</w:t>
      </w:r>
      <w:r>
        <w:t xml:space="preserve"> Sentencia </w:t>
      </w:r>
      <w:hyperlink w:anchor="SENTENCIA_2024_9" w:history="1">
        <w:r w:rsidRPr="00601EEA">
          <w:rPr>
            <w:rStyle w:val="TextoNormalCaracter"/>
          </w:rPr>
          <w:t>9/2024</w:t>
        </w:r>
      </w:hyperlink>
      <w:r>
        <w:t>, VP II.</w:t>
      </w:r>
    </w:p>
    <w:p w14:paraId="15372E1C" w14:textId="6DE181AB" w:rsidR="00601EEA" w:rsidRDefault="00601EEA" w:rsidP="00601EEA">
      <w:pPr>
        <w:pStyle w:val="SangriaFrancesaArticulo"/>
      </w:pPr>
      <w:r w:rsidRPr="00601EEA">
        <w:rPr>
          <w:rStyle w:val="TextoNormalNegritaCaracter"/>
        </w:rPr>
        <w:t>Artículo 4.1.</w:t>
      </w:r>
      <w:r w:rsidRPr="00601EEA">
        <w:rPr>
          <w:rStyle w:val="TextoNormalCaracter"/>
        </w:rPr>
        <w:t>-</w:t>
      </w:r>
      <w:r>
        <w:t xml:space="preserve"> Sentencia </w:t>
      </w:r>
      <w:hyperlink w:anchor="SENTENCIA_2024_9" w:history="1">
        <w:r w:rsidRPr="00601EEA">
          <w:rPr>
            <w:rStyle w:val="TextoNormalCaracter"/>
          </w:rPr>
          <w:t>9/2024</w:t>
        </w:r>
      </w:hyperlink>
      <w:r>
        <w:t>, f. 3, VP II.</w:t>
      </w:r>
    </w:p>
    <w:p w14:paraId="0B4A2F95" w14:textId="30A54487" w:rsidR="00601EEA" w:rsidRDefault="00601EEA" w:rsidP="00601EEA">
      <w:pPr>
        <w:pStyle w:val="SangriaFrancesaArticulo"/>
      </w:pPr>
      <w:r w:rsidRPr="00601EEA">
        <w:rPr>
          <w:rStyle w:val="TextoNormalNegritaCaracter"/>
        </w:rPr>
        <w:t>Artículo 4.2.</w:t>
      </w:r>
      <w:r w:rsidRPr="00601EEA">
        <w:rPr>
          <w:rStyle w:val="TextoNormalCaracter"/>
        </w:rPr>
        <w:t>-</w:t>
      </w:r>
      <w:r>
        <w:t xml:space="preserve"> Sentencia </w:t>
      </w:r>
      <w:hyperlink w:anchor="SENTENCIA_2024_9" w:history="1">
        <w:r w:rsidRPr="00601EEA">
          <w:rPr>
            <w:rStyle w:val="TextoNormalCaracter"/>
          </w:rPr>
          <w:t>9/2024</w:t>
        </w:r>
      </w:hyperlink>
      <w:r>
        <w:t>, ff. 3, 4, VP II.</w:t>
      </w:r>
    </w:p>
    <w:p w14:paraId="3526EB29" w14:textId="31184635" w:rsidR="00601EEA" w:rsidRDefault="00601EEA" w:rsidP="00601EEA">
      <w:pPr>
        <w:pStyle w:val="SangriaFrancesaArticulo"/>
      </w:pPr>
    </w:p>
    <w:p w14:paraId="28FDA97D" w14:textId="77777777" w:rsidR="00601EEA" w:rsidRDefault="00601EEA" w:rsidP="00601EEA">
      <w:pPr>
        <w:pStyle w:val="TextoNormalNegritaCursivandice"/>
        <w:keepNext/>
      </w:pPr>
      <w:r>
        <w:t>Convenio relativo a los derechos humanos y la biomedicina, hecho en Oviedo el 4 de abril de 1997. Ratificado por Instrumento de 23 de julio de 1999</w:t>
      </w:r>
    </w:p>
    <w:p w14:paraId="4CBCF8C0" w14:textId="1FF69AA3"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28" w:history="1">
        <w:r w:rsidRPr="00601EEA">
          <w:rPr>
            <w:rStyle w:val="TextoNormalCaracter"/>
          </w:rPr>
          <w:t>28/2024</w:t>
        </w:r>
      </w:hyperlink>
      <w:r>
        <w:t>, VP.</w:t>
      </w:r>
    </w:p>
    <w:p w14:paraId="46FBFAB0" w14:textId="2B0917FF" w:rsidR="00601EEA" w:rsidRDefault="00601EEA" w:rsidP="00601EEA">
      <w:pPr>
        <w:pStyle w:val="SangriaFrancesaArticulo"/>
      </w:pPr>
      <w:r w:rsidRPr="00601EEA">
        <w:rPr>
          <w:rStyle w:val="TextoNormalNegritaCaracter"/>
        </w:rPr>
        <w:t>Artículo 21.</w:t>
      </w:r>
      <w:r w:rsidRPr="00601EEA">
        <w:rPr>
          <w:rStyle w:val="TextoNormalCaracter"/>
        </w:rPr>
        <w:t>-</w:t>
      </w:r>
      <w:r>
        <w:t xml:space="preserve"> Sentencia </w:t>
      </w:r>
      <w:hyperlink w:anchor="SENTENCIA_2024_28" w:history="1">
        <w:r w:rsidRPr="00601EEA">
          <w:rPr>
            <w:rStyle w:val="TextoNormalCaracter"/>
          </w:rPr>
          <w:t>28/2024</w:t>
        </w:r>
      </w:hyperlink>
      <w:r>
        <w:t>, VP.</w:t>
      </w:r>
    </w:p>
    <w:p w14:paraId="0A52E65B" w14:textId="295BEF67" w:rsidR="00601EEA" w:rsidRDefault="00601EEA" w:rsidP="00601EEA">
      <w:pPr>
        <w:pStyle w:val="SangriaFrancesaArticulo"/>
      </w:pPr>
    </w:p>
    <w:p w14:paraId="39A336B1" w14:textId="77777777" w:rsidR="00601EEA" w:rsidRDefault="00601EEA" w:rsidP="00601EEA">
      <w:pPr>
        <w:pStyle w:val="TextoNormalNegritaCursivandice"/>
        <w:keepNext/>
      </w:pPr>
      <w:r>
        <w:t>Recomendación R (2000) 2, del Comité de Ministros del Consejo de Europa, de 19 de enero de 2000, sobre reexamen o reapertura de procedimientos nacionales a raíz de sentencias dictadas por el Tribunal Europeo de Derechos Humanos</w:t>
      </w:r>
    </w:p>
    <w:p w14:paraId="702821A3" w14:textId="67ED8124"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9" w:history="1">
        <w:r w:rsidRPr="00601EEA">
          <w:rPr>
            <w:rStyle w:val="TextoNormalCaracter"/>
          </w:rPr>
          <w:t>9/2024</w:t>
        </w:r>
      </w:hyperlink>
      <w:r>
        <w:t>, f. 4, VP II.</w:t>
      </w:r>
    </w:p>
    <w:p w14:paraId="57F19BC9" w14:textId="6AF26561" w:rsidR="00601EEA" w:rsidRDefault="00601EEA" w:rsidP="00601EEA">
      <w:pPr>
        <w:pStyle w:val="SangriaFrancesaArticulo"/>
      </w:pPr>
    </w:p>
    <w:p w14:paraId="1E11E0FC" w14:textId="77777777" w:rsidR="00601EEA" w:rsidRDefault="00601EEA" w:rsidP="00601EEA">
      <w:pPr>
        <w:pStyle w:val="TextoNormalNegritaCursivandice"/>
        <w:keepNext/>
      </w:pPr>
      <w:r>
        <w:t>Protocolo núm. 12 al Convenio europeo para la protección de los derechos humanos y de las libertades fundamentales, de 4 de noviembre de 2000. Ratificado por Instrumento de 6 de marzo de 2008</w:t>
      </w:r>
    </w:p>
    <w:p w14:paraId="7414D76A" w14:textId="5299B2EE"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81" w:history="1">
        <w:r w:rsidRPr="00601EEA">
          <w:rPr>
            <w:rStyle w:val="TextoNormalCaracter"/>
          </w:rPr>
          <w:t>81/2024</w:t>
        </w:r>
      </w:hyperlink>
      <w:r>
        <w:t>, f. 3.</w:t>
      </w:r>
    </w:p>
    <w:p w14:paraId="05440AEC" w14:textId="6BE87DF0" w:rsidR="00601EEA" w:rsidRDefault="00601EEA" w:rsidP="00601EEA">
      <w:pPr>
        <w:pStyle w:val="SangriaFrancesaArticulo"/>
      </w:pPr>
      <w:r w:rsidRPr="00601EEA">
        <w:rPr>
          <w:rStyle w:val="TextoNormalNegritaCaracter"/>
        </w:rPr>
        <w:t>Artículo 1.</w:t>
      </w:r>
      <w:r w:rsidRPr="00601EEA">
        <w:rPr>
          <w:rStyle w:val="TextoNormalCaracter"/>
        </w:rPr>
        <w:t>-</w:t>
      </w:r>
      <w:r>
        <w:t xml:space="preserve"> Sentencia </w:t>
      </w:r>
      <w:hyperlink w:anchor="SENTENCIA_2024_48" w:history="1">
        <w:r w:rsidRPr="00601EEA">
          <w:rPr>
            <w:rStyle w:val="TextoNormalCaracter"/>
          </w:rPr>
          <w:t>48/2024</w:t>
        </w:r>
      </w:hyperlink>
      <w:r>
        <w:t>, f. 2.</w:t>
      </w:r>
    </w:p>
    <w:p w14:paraId="1E8F8BD5" w14:textId="181F27A8" w:rsidR="00601EEA" w:rsidRDefault="00601EEA" w:rsidP="00601EEA">
      <w:pPr>
        <w:pStyle w:val="SangriaFrancesaArticulo"/>
      </w:pPr>
      <w:r w:rsidRPr="00601EEA">
        <w:rPr>
          <w:rStyle w:val="TextoNormalNegritaCaracter"/>
        </w:rPr>
        <w:t>Artículo 3.</w:t>
      </w:r>
      <w:r w:rsidRPr="00601EEA">
        <w:rPr>
          <w:rStyle w:val="TextoNormalCaracter"/>
        </w:rPr>
        <w:t>-</w:t>
      </w:r>
      <w:r>
        <w:t xml:space="preserve"> Sentencia </w:t>
      </w:r>
      <w:hyperlink w:anchor="SENTENCIA_2024_48" w:history="1">
        <w:r w:rsidRPr="00601EEA">
          <w:rPr>
            <w:rStyle w:val="TextoNormalCaracter"/>
          </w:rPr>
          <w:t>48/2024</w:t>
        </w:r>
      </w:hyperlink>
      <w:r>
        <w:t>, f. 2.</w:t>
      </w:r>
    </w:p>
    <w:p w14:paraId="5CB066F2" w14:textId="58093B97" w:rsidR="00601EEA" w:rsidRDefault="00601EEA" w:rsidP="00601EEA">
      <w:pPr>
        <w:pStyle w:val="SangriaFrancesaArticulo"/>
      </w:pPr>
      <w:r w:rsidRPr="00601EEA">
        <w:rPr>
          <w:rStyle w:val="TextoNormalNegritaCaracter"/>
        </w:rPr>
        <w:t>Artículo 6.</w:t>
      </w:r>
      <w:r w:rsidRPr="00601EEA">
        <w:rPr>
          <w:rStyle w:val="TextoNormalCaracter"/>
        </w:rPr>
        <w:t>-</w:t>
      </w:r>
      <w:r>
        <w:t xml:space="preserve"> Sentencia </w:t>
      </w:r>
      <w:hyperlink w:anchor="SENTENCIA_2024_48" w:history="1">
        <w:r w:rsidRPr="00601EEA">
          <w:rPr>
            <w:rStyle w:val="TextoNormalCaracter"/>
          </w:rPr>
          <w:t>48/2024</w:t>
        </w:r>
      </w:hyperlink>
      <w:r>
        <w:t>, f. 2.</w:t>
      </w:r>
    </w:p>
    <w:p w14:paraId="3B332E41" w14:textId="617C8CCE" w:rsidR="00601EEA" w:rsidRDefault="00601EEA" w:rsidP="00601EEA">
      <w:pPr>
        <w:pStyle w:val="SangriaFrancesaArticulo"/>
      </w:pPr>
      <w:r w:rsidRPr="00601EEA">
        <w:rPr>
          <w:rStyle w:val="TextoNormalNegritaCaracter"/>
        </w:rPr>
        <w:t>Artículo 13.</w:t>
      </w:r>
      <w:r w:rsidRPr="00601EEA">
        <w:rPr>
          <w:rStyle w:val="TextoNormalCaracter"/>
        </w:rPr>
        <w:t>-</w:t>
      </w:r>
      <w:r>
        <w:t xml:space="preserve"> Sentencia </w:t>
      </w:r>
      <w:hyperlink w:anchor="SENTENCIA_2024_48" w:history="1">
        <w:r w:rsidRPr="00601EEA">
          <w:rPr>
            <w:rStyle w:val="TextoNormalCaracter"/>
          </w:rPr>
          <w:t>48/2024</w:t>
        </w:r>
      </w:hyperlink>
      <w:r>
        <w:t>, f. 2.</w:t>
      </w:r>
    </w:p>
    <w:p w14:paraId="25F47248" w14:textId="4A12D194" w:rsidR="00601EEA" w:rsidRDefault="00601EEA" w:rsidP="00601EEA">
      <w:pPr>
        <w:pStyle w:val="SangriaFrancesaArticulo"/>
      </w:pPr>
      <w:r w:rsidRPr="00601EEA">
        <w:rPr>
          <w:rStyle w:val="TextoNormalNegritaCaracter"/>
        </w:rPr>
        <w:t>Artículo 14.</w:t>
      </w:r>
      <w:r w:rsidRPr="00601EEA">
        <w:rPr>
          <w:rStyle w:val="TextoNormalCaracter"/>
        </w:rPr>
        <w:t>-</w:t>
      </w:r>
      <w:r>
        <w:t xml:space="preserve"> Sentencia </w:t>
      </w:r>
      <w:hyperlink w:anchor="SENTENCIA_2024_48" w:history="1">
        <w:r w:rsidRPr="00601EEA">
          <w:rPr>
            <w:rStyle w:val="TextoNormalCaracter"/>
          </w:rPr>
          <w:t>48/2024</w:t>
        </w:r>
      </w:hyperlink>
      <w:r>
        <w:t>, f. 2.</w:t>
      </w:r>
    </w:p>
    <w:p w14:paraId="6DF0CF4E" w14:textId="4A4DCE69" w:rsidR="00601EEA" w:rsidRDefault="00601EEA" w:rsidP="00601EEA">
      <w:pPr>
        <w:pStyle w:val="SangriaFrancesaArticulo"/>
      </w:pPr>
    </w:p>
    <w:p w14:paraId="216AA285" w14:textId="77777777" w:rsidR="00601EEA" w:rsidRDefault="00601EEA" w:rsidP="00601EEA">
      <w:pPr>
        <w:pStyle w:val="TextoNormalNegritaCursivandice"/>
        <w:keepNext/>
      </w:pPr>
      <w:r>
        <w:t>Recomendación (2006) 2, del Comité de Ministros del Consejo de Europa, de 11 de enero de 2006, sobre reglas penitenciarias europeas</w:t>
      </w:r>
    </w:p>
    <w:p w14:paraId="1A5BE4B5" w14:textId="7618CA6B"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53" w:history="1">
        <w:r w:rsidRPr="00601EEA">
          <w:rPr>
            <w:rStyle w:val="TextoNormalCaracter"/>
          </w:rPr>
          <w:t>53/2024</w:t>
        </w:r>
      </w:hyperlink>
      <w:r>
        <w:t>, f. 4.</w:t>
      </w:r>
    </w:p>
    <w:p w14:paraId="544829F3" w14:textId="569ACC61" w:rsidR="00601EEA" w:rsidRDefault="00601EEA" w:rsidP="00601EEA">
      <w:pPr>
        <w:pStyle w:val="SangriaFrancesaArticulo"/>
      </w:pPr>
      <w:r w:rsidRPr="00601EEA">
        <w:rPr>
          <w:rStyle w:val="TextoNormalNegritaCaracter"/>
        </w:rPr>
        <w:t>Principio fundamental 2.</w:t>
      </w:r>
      <w:r w:rsidRPr="00601EEA">
        <w:rPr>
          <w:rStyle w:val="TextoNormalCaracter"/>
        </w:rPr>
        <w:t>-</w:t>
      </w:r>
      <w:r>
        <w:t xml:space="preserve"> Sentencia </w:t>
      </w:r>
      <w:hyperlink w:anchor="SENTENCIA_2024_53" w:history="1">
        <w:r w:rsidRPr="00601EEA">
          <w:rPr>
            <w:rStyle w:val="TextoNormalCaracter"/>
          </w:rPr>
          <w:t>53/2024</w:t>
        </w:r>
      </w:hyperlink>
      <w:r>
        <w:t>, f. 4.</w:t>
      </w:r>
    </w:p>
    <w:p w14:paraId="6E43E0C2" w14:textId="44253208" w:rsidR="00601EEA" w:rsidRDefault="00601EEA" w:rsidP="00601EEA">
      <w:pPr>
        <w:pStyle w:val="SangriaFrancesaArticulo"/>
      </w:pPr>
      <w:r w:rsidRPr="00601EEA">
        <w:rPr>
          <w:rStyle w:val="TextoNormalNegritaCaracter"/>
        </w:rPr>
        <w:t>Principio fundamental 3.</w:t>
      </w:r>
      <w:r w:rsidRPr="00601EEA">
        <w:rPr>
          <w:rStyle w:val="TextoNormalCaracter"/>
        </w:rPr>
        <w:t>-</w:t>
      </w:r>
      <w:r>
        <w:t xml:space="preserve"> Sentencia </w:t>
      </w:r>
      <w:hyperlink w:anchor="SENTENCIA_2024_53" w:history="1">
        <w:r w:rsidRPr="00601EEA">
          <w:rPr>
            <w:rStyle w:val="TextoNormalCaracter"/>
          </w:rPr>
          <w:t>53/2024</w:t>
        </w:r>
      </w:hyperlink>
      <w:r>
        <w:t>, f. 4.</w:t>
      </w:r>
    </w:p>
    <w:p w14:paraId="74AD999F" w14:textId="2D0FC731" w:rsidR="00601EEA" w:rsidRDefault="00601EEA" w:rsidP="00601EEA">
      <w:pPr>
        <w:pStyle w:val="SangriaFrancesaArticulo"/>
      </w:pPr>
      <w:r w:rsidRPr="00601EEA">
        <w:rPr>
          <w:rStyle w:val="TextoNormalNegritaCaracter"/>
        </w:rPr>
        <w:t>Principio fundamental 5.</w:t>
      </w:r>
      <w:r w:rsidRPr="00601EEA">
        <w:rPr>
          <w:rStyle w:val="TextoNormalCaracter"/>
        </w:rPr>
        <w:t>-</w:t>
      </w:r>
      <w:r>
        <w:t xml:space="preserve"> Sentencia </w:t>
      </w:r>
      <w:hyperlink w:anchor="SENTENCIA_2024_53" w:history="1">
        <w:r w:rsidRPr="00601EEA">
          <w:rPr>
            <w:rStyle w:val="TextoNormalCaracter"/>
          </w:rPr>
          <w:t>53/2024</w:t>
        </w:r>
      </w:hyperlink>
      <w:r>
        <w:t>, f. 4.</w:t>
      </w:r>
    </w:p>
    <w:p w14:paraId="022E9F1F" w14:textId="61AC6E79" w:rsidR="00601EEA" w:rsidRDefault="00601EEA" w:rsidP="00601EEA">
      <w:pPr>
        <w:pStyle w:val="SangriaFrancesaArticulo"/>
      </w:pPr>
      <w:r w:rsidRPr="00601EEA">
        <w:rPr>
          <w:rStyle w:val="TextoNormalNegritaCaracter"/>
        </w:rPr>
        <w:t>Principio fundamental 6.</w:t>
      </w:r>
      <w:r w:rsidRPr="00601EEA">
        <w:rPr>
          <w:rStyle w:val="TextoNormalCaracter"/>
        </w:rPr>
        <w:t>-</w:t>
      </w:r>
      <w:r>
        <w:t xml:space="preserve"> Sentencia </w:t>
      </w:r>
      <w:hyperlink w:anchor="SENTENCIA_2024_53" w:history="1">
        <w:r w:rsidRPr="00601EEA">
          <w:rPr>
            <w:rStyle w:val="TextoNormalCaracter"/>
          </w:rPr>
          <w:t>53/2024</w:t>
        </w:r>
      </w:hyperlink>
      <w:r>
        <w:t>, f. 4.</w:t>
      </w:r>
    </w:p>
    <w:p w14:paraId="7068B8C0" w14:textId="7C847FFA" w:rsidR="00601EEA" w:rsidRDefault="00601EEA" w:rsidP="00601EEA">
      <w:pPr>
        <w:pStyle w:val="SangriaFrancesaArticulo"/>
      </w:pPr>
    </w:p>
    <w:p w14:paraId="7639644C" w14:textId="77777777" w:rsidR="00601EEA" w:rsidRDefault="00601EEA" w:rsidP="00601EEA">
      <w:pPr>
        <w:pStyle w:val="TextoNormalNegritaCursivandice"/>
        <w:keepNext/>
      </w:pPr>
      <w:r>
        <w:t>Convenio del Consejo de Europa sobre prevención y lucha contra la violencia contra la mujer y la violencia doméstica, hecho en Estambul el 11 de mayo de 2011. Ratificado por Instrumento de 18 de marzo de 2014</w:t>
      </w:r>
    </w:p>
    <w:p w14:paraId="653932DB" w14:textId="1B278396"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Sentencias </w:t>
      </w:r>
      <w:hyperlink w:anchor="SENTENCIA_2024_44" w:history="1">
        <w:r w:rsidRPr="00601EEA">
          <w:rPr>
            <w:rStyle w:val="TextoNormalCaracter"/>
          </w:rPr>
          <w:t>44/2024</w:t>
        </w:r>
      </w:hyperlink>
      <w:r>
        <w:t xml:space="preserve">, f. 2; </w:t>
      </w:r>
      <w:hyperlink w:anchor="SENTENCIA_2024_92" w:history="1">
        <w:r w:rsidRPr="00601EEA">
          <w:rPr>
            <w:rStyle w:val="TextoNormalCaracter"/>
          </w:rPr>
          <w:t>92/2024</w:t>
        </w:r>
      </w:hyperlink>
      <w:r>
        <w:t>, f. 3.</w:t>
      </w:r>
    </w:p>
    <w:p w14:paraId="7C26FEB1" w14:textId="4D68CCAA" w:rsidR="00601EEA" w:rsidRDefault="00601EEA" w:rsidP="00601EEA">
      <w:pPr>
        <w:pStyle w:val="SangriaFrancesaArticulo"/>
      </w:pPr>
      <w:r w:rsidRPr="00601EEA">
        <w:rPr>
          <w:rStyle w:val="TextoNormalNegritaCaracter"/>
        </w:rPr>
        <w:t>Artículo 5.</w:t>
      </w:r>
      <w:r w:rsidRPr="00601EEA">
        <w:rPr>
          <w:rStyle w:val="TextoNormalCaracter"/>
        </w:rPr>
        <w:t>-</w:t>
      </w:r>
      <w:r>
        <w:t xml:space="preserve"> Sentencia </w:t>
      </w:r>
      <w:hyperlink w:anchor="SENTENCIA_2024_48" w:history="1">
        <w:r w:rsidRPr="00601EEA">
          <w:rPr>
            <w:rStyle w:val="TextoNormalCaracter"/>
          </w:rPr>
          <w:t>48/2024</w:t>
        </w:r>
      </w:hyperlink>
      <w:r>
        <w:t>, f. 2.</w:t>
      </w:r>
    </w:p>
    <w:p w14:paraId="7187DBC8" w14:textId="7A40B655" w:rsidR="00601EEA" w:rsidRDefault="00601EEA" w:rsidP="00601EEA">
      <w:pPr>
        <w:pStyle w:val="SangriaFrancesaArticulo"/>
      </w:pPr>
      <w:r w:rsidRPr="00601EEA">
        <w:rPr>
          <w:rStyle w:val="TextoNormalNegritaCaracter"/>
        </w:rPr>
        <w:t>Artículo 6.</w:t>
      </w:r>
      <w:r w:rsidRPr="00601EEA">
        <w:rPr>
          <w:rStyle w:val="TextoNormalCaracter"/>
        </w:rPr>
        <w:t>-</w:t>
      </w:r>
      <w:r>
        <w:t xml:space="preserve"> Sentencia </w:t>
      </w:r>
      <w:hyperlink w:anchor="SENTENCIA_2024_48" w:history="1">
        <w:r w:rsidRPr="00601EEA">
          <w:rPr>
            <w:rStyle w:val="TextoNormalCaracter"/>
          </w:rPr>
          <w:t>48/2024</w:t>
        </w:r>
      </w:hyperlink>
      <w:r>
        <w:t>, f. 2.</w:t>
      </w:r>
    </w:p>
    <w:p w14:paraId="39A7D348" w14:textId="57D06777" w:rsidR="00601EEA" w:rsidRDefault="00601EEA" w:rsidP="00601EEA">
      <w:pPr>
        <w:pStyle w:val="SangriaFrancesaArticulo"/>
      </w:pPr>
      <w:r w:rsidRPr="00601EEA">
        <w:rPr>
          <w:rStyle w:val="TextoNormalNegritaCaracter"/>
        </w:rPr>
        <w:t>Artículo 36.2.</w:t>
      </w:r>
      <w:r w:rsidRPr="00601EEA">
        <w:rPr>
          <w:rStyle w:val="TextoNormalCaracter"/>
        </w:rPr>
        <w:t>-</w:t>
      </w:r>
      <w:r>
        <w:t xml:space="preserve"> Sentencia </w:t>
      </w:r>
      <w:hyperlink w:anchor="SENTENCIA_2024_44" w:history="1">
        <w:r w:rsidRPr="00601EEA">
          <w:rPr>
            <w:rStyle w:val="TextoNormalCaracter"/>
          </w:rPr>
          <w:t>44/2024</w:t>
        </w:r>
      </w:hyperlink>
      <w:r>
        <w:t>, f. 3.</w:t>
      </w:r>
    </w:p>
    <w:p w14:paraId="5775DB8E" w14:textId="66555EFB" w:rsidR="00601EEA" w:rsidRDefault="00601EEA" w:rsidP="00601EEA">
      <w:pPr>
        <w:pStyle w:val="SangriaFrancesaArticulo"/>
      </w:pPr>
      <w:r w:rsidRPr="00601EEA">
        <w:rPr>
          <w:rStyle w:val="TextoNormalNegritaCaracter"/>
        </w:rPr>
        <w:t>Artículo 49.2.</w:t>
      </w:r>
      <w:r w:rsidRPr="00601EEA">
        <w:rPr>
          <w:rStyle w:val="TextoNormalCaracter"/>
        </w:rPr>
        <w:t>-</w:t>
      </w:r>
      <w:r>
        <w:t xml:space="preserve"> Sentencia </w:t>
      </w:r>
      <w:hyperlink w:anchor="SENTENCIA_2024_48" w:history="1">
        <w:r w:rsidRPr="00601EEA">
          <w:rPr>
            <w:rStyle w:val="TextoNormalCaracter"/>
          </w:rPr>
          <w:t>48/2024</w:t>
        </w:r>
      </w:hyperlink>
      <w:r>
        <w:t>, f. 5.</w:t>
      </w:r>
    </w:p>
    <w:p w14:paraId="2F2AC48D" w14:textId="16C3252D" w:rsidR="00601EEA" w:rsidRDefault="00601EEA" w:rsidP="00601EEA">
      <w:pPr>
        <w:pStyle w:val="TextoNormal"/>
      </w:pPr>
    </w:p>
    <w:p w14:paraId="7C7F5514" w14:textId="77777777" w:rsidR="00601EEA" w:rsidRDefault="00601EEA" w:rsidP="00601EEA">
      <w:pPr>
        <w:pStyle w:val="SangriaFrancesaArticulo"/>
      </w:pPr>
      <w:bookmarkStart w:id="175" w:name="INDICE22872"/>
    </w:p>
    <w:bookmarkEnd w:id="175"/>
    <w:p w14:paraId="2F687B2D" w14:textId="77777777" w:rsidR="00601EEA" w:rsidRDefault="00601EEA" w:rsidP="00601EEA">
      <w:pPr>
        <w:pStyle w:val="TextoIndiceNivel2"/>
        <w:suppressAutoHyphens/>
      </w:pPr>
      <w:r>
        <w:t>Ñ) Legislación extranjera</w:t>
      </w:r>
    </w:p>
    <w:p w14:paraId="65333E23" w14:textId="79E3B375" w:rsidR="00601EEA" w:rsidRDefault="00601EEA" w:rsidP="00601EEA">
      <w:pPr>
        <w:pStyle w:val="TextoIndiceNivel2"/>
      </w:pPr>
    </w:p>
    <w:p w14:paraId="214C2366" w14:textId="77777777" w:rsidR="00601EEA" w:rsidRDefault="00601EEA" w:rsidP="00601EEA">
      <w:pPr>
        <w:pStyle w:val="TextoNormalNegritaCursivandice"/>
        <w:keepNext/>
      </w:pPr>
      <w:r>
        <w:t>Constitución de los Estados Unidos de América, 1787</w:t>
      </w:r>
    </w:p>
    <w:p w14:paraId="6F625F85" w14:textId="58E6A7A0" w:rsidR="00601EEA" w:rsidRDefault="00601EEA" w:rsidP="00601EEA">
      <w:pPr>
        <w:pStyle w:val="SangriaFrancesaArticulo"/>
      </w:pPr>
      <w:r w:rsidRPr="00601EEA">
        <w:rPr>
          <w:rStyle w:val="TextoNormalNegritaCaracter"/>
        </w:rPr>
        <w:t>Enmienda XIV.</w:t>
      </w:r>
      <w:r w:rsidRPr="00601EEA">
        <w:rPr>
          <w:rStyle w:val="TextoNormalCaracter"/>
        </w:rPr>
        <w:t>-</w:t>
      </w:r>
      <w:r>
        <w:t xml:space="preserve"> Sentencia </w:t>
      </w:r>
      <w:hyperlink w:anchor="SENTENCIA_2024_92" w:history="1">
        <w:r w:rsidRPr="00601EEA">
          <w:rPr>
            <w:rStyle w:val="TextoNormalCaracter"/>
          </w:rPr>
          <w:t>92/2024</w:t>
        </w:r>
      </w:hyperlink>
      <w:r>
        <w:t>, VP III.</w:t>
      </w:r>
    </w:p>
    <w:p w14:paraId="173D6CF2" w14:textId="2A894680" w:rsidR="00601EEA" w:rsidRDefault="00601EEA" w:rsidP="00601EEA">
      <w:pPr>
        <w:pStyle w:val="SangriaFrancesaArticulo"/>
      </w:pPr>
    </w:p>
    <w:p w14:paraId="1826D762" w14:textId="77777777" w:rsidR="00601EEA" w:rsidRDefault="00601EEA" w:rsidP="00601EEA">
      <w:pPr>
        <w:pStyle w:val="TextoNormalNegritaCursivandice"/>
        <w:keepNext/>
      </w:pPr>
      <w:r>
        <w:t>Constitución de Alemania, de 23 de mayo de 1949</w:t>
      </w:r>
    </w:p>
    <w:p w14:paraId="03875069" w14:textId="34F5F4D3" w:rsidR="00601EEA" w:rsidRDefault="00601EEA" w:rsidP="00601EEA">
      <w:pPr>
        <w:pStyle w:val="SangriaFrancesaArticulo"/>
      </w:pPr>
      <w:r w:rsidRPr="00601EEA">
        <w:rPr>
          <w:rStyle w:val="TextoNormalNegritaCaracter"/>
        </w:rPr>
        <w:t>Artículo 2.</w:t>
      </w:r>
      <w:r w:rsidRPr="00601EEA">
        <w:rPr>
          <w:rStyle w:val="TextoNormalCaracter"/>
        </w:rPr>
        <w:t>-</w:t>
      </w:r>
      <w:r>
        <w:t xml:space="preserve"> Sentencia </w:t>
      </w:r>
      <w:hyperlink w:anchor="SENTENCIA_2024_92" w:history="1">
        <w:r w:rsidRPr="00601EEA">
          <w:rPr>
            <w:rStyle w:val="TextoNormalCaracter"/>
          </w:rPr>
          <w:t>92/2024</w:t>
        </w:r>
      </w:hyperlink>
      <w:r>
        <w:t>, VP III.</w:t>
      </w:r>
    </w:p>
    <w:p w14:paraId="129DC38B" w14:textId="49635A2D" w:rsidR="00601EEA" w:rsidRDefault="00601EEA" w:rsidP="00601EEA">
      <w:pPr>
        <w:pStyle w:val="SangriaFrancesaArticulo"/>
      </w:pPr>
    </w:p>
    <w:p w14:paraId="51148EE3" w14:textId="77777777" w:rsidR="00601EEA" w:rsidRDefault="00601EEA" w:rsidP="00601EEA">
      <w:pPr>
        <w:pStyle w:val="TextoNormalNegritaCursivandice"/>
        <w:keepNext/>
      </w:pPr>
      <w:r>
        <w:t>Dahir de promulgación de la Ley 1-77-339, de 9 de octubre de 1977, que aprueba el Código de aduanas así como los impuestos indirectos que corresponden a la administración de aduanas e impuestos indirectos de Marruecos</w:t>
      </w:r>
    </w:p>
    <w:p w14:paraId="2756A9DD" w14:textId="255B092F" w:rsidR="00601EEA" w:rsidRDefault="00601EEA" w:rsidP="00601EEA">
      <w:pPr>
        <w:pStyle w:val="SangriaFrancesaArticulo"/>
      </w:pPr>
      <w:r w:rsidRPr="00601EEA">
        <w:rPr>
          <w:rStyle w:val="TextoNormalNegritaCaracter"/>
        </w:rPr>
        <w:t>Artículo 239 bis.</w:t>
      </w:r>
      <w:r w:rsidRPr="00601EEA">
        <w:rPr>
          <w:rStyle w:val="TextoNormalCaracter"/>
        </w:rPr>
        <w:t>-</w:t>
      </w:r>
      <w:r>
        <w:t xml:space="preserve"> Sentencia </w:t>
      </w:r>
      <w:hyperlink w:anchor="SENTENCIA_2024_57" w:history="1">
        <w:r w:rsidRPr="00601EEA">
          <w:rPr>
            <w:rStyle w:val="TextoNormalCaracter"/>
          </w:rPr>
          <w:t>57/2024</w:t>
        </w:r>
      </w:hyperlink>
      <w:r>
        <w:t>, f. 6.</w:t>
      </w:r>
    </w:p>
    <w:p w14:paraId="396B563B" w14:textId="65D7EAC6" w:rsidR="00601EEA" w:rsidRDefault="00601EEA" w:rsidP="00601EEA">
      <w:pPr>
        <w:pStyle w:val="SangriaFrancesaArticulo"/>
      </w:pPr>
    </w:p>
    <w:p w14:paraId="0928C15C" w14:textId="77777777" w:rsidR="00601EEA" w:rsidRDefault="00601EEA" w:rsidP="00601EEA">
      <w:pPr>
        <w:pStyle w:val="TextoNormalNegritaCursivandice"/>
        <w:keepNext/>
      </w:pPr>
      <w:r>
        <w:t>Ley de la República Francesa 2024-200, de 8 de marzo de 2024, relativa a la libertad de recurrir a la interrupción voluntaria del embarazo</w:t>
      </w:r>
    </w:p>
    <w:p w14:paraId="0A1CD91D" w14:textId="0B3B8332"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75" w:history="1">
        <w:r w:rsidRPr="00601EEA">
          <w:rPr>
            <w:rStyle w:val="TextoNormalCaracter"/>
          </w:rPr>
          <w:t>75/2024</w:t>
        </w:r>
      </w:hyperlink>
      <w:r>
        <w:t>, VP I.</w:t>
      </w:r>
    </w:p>
    <w:p w14:paraId="6D1B654D" w14:textId="4F0A39FA" w:rsidR="00601EEA" w:rsidRDefault="00601EEA">
      <w:pPr>
        <w:spacing w:after="160" w:line="259" w:lineRule="auto"/>
        <w:rPr>
          <w:rFonts w:ascii="Times New Roman" w:eastAsia="Times New Roman" w:hAnsi="Times New Roman" w:cs="Times New Roman"/>
          <w:sz w:val="24"/>
          <w:szCs w:val="24"/>
          <w:lang w:eastAsia="es-ES"/>
        </w:rPr>
      </w:pPr>
      <w:r>
        <w:br w:type="page"/>
      </w:r>
    </w:p>
    <w:p w14:paraId="565F012A" w14:textId="77777777" w:rsidR="00601EEA" w:rsidRDefault="00601EEA" w:rsidP="00601EEA">
      <w:pPr>
        <w:pStyle w:val="SangriaFrancesaArticulo"/>
      </w:pPr>
    </w:p>
    <w:p w14:paraId="7B33F21F" w14:textId="77777777" w:rsidR="00601EEA" w:rsidRDefault="00601EEA" w:rsidP="00601EEA">
      <w:pPr>
        <w:pStyle w:val="TextoNormal"/>
      </w:pPr>
    </w:p>
    <w:p w14:paraId="331C7288" w14:textId="77777777" w:rsidR="00601EEA" w:rsidRDefault="00601EEA" w:rsidP="00601EEA">
      <w:pPr>
        <w:pStyle w:val="TextoNormal"/>
      </w:pPr>
    </w:p>
    <w:p w14:paraId="13A3DC7C" w14:textId="77777777" w:rsidR="00601EEA" w:rsidRDefault="00601EEA" w:rsidP="00601EEA">
      <w:pPr>
        <w:pStyle w:val="TextoNormal"/>
      </w:pPr>
    </w:p>
    <w:p w14:paraId="774B2BC8" w14:textId="77777777" w:rsidR="00601EEA" w:rsidRDefault="00601EEA" w:rsidP="00601EEA">
      <w:pPr>
        <w:pStyle w:val="Ttulondice"/>
        <w:suppressAutoHyphens/>
      </w:pPr>
      <w:r>
        <w:t>6. ÍNDICE DE RESOLUCIONES DE OTROS TRIBUNALES CITADAS</w:t>
      </w:r>
    </w:p>
    <w:p w14:paraId="258F0FD7" w14:textId="7C5F83AB" w:rsidR="00601EEA" w:rsidRDefault="00601EEA" w:rsidP="00601EEA">
      <w:pPr>
        <w:pStyle w:val="TextoNormal"/>
        <w:suppressAutoHyphens/>
      </w:pPr>
    </w:p>
    <w:p w14:paraId="174F70D4" w14:textId="77777777" w:rsidR="00601EEA" w:rsidRDefault="00601EEA" w:rsidP="00601EEA">
      <w:pPr>
        <w:pStyle w:val="TextoNormal"/>
        <w:suppressAutoHyphens/>
      </w:pPr>
    </w:p>
    <w:p w14:paraId="18B009BB" w14:textId="77777777" w:rsidR="00601EEA" w:rsidRDefault="00601EEA" w:rsidP="00601EEA">
      <w:pPr>
        <w:pStyle w:val="TextoNormal"/>
        <w:suppressAutoHyphens/>
      </w:pPr>
    </w:p>
    <w:p w14:paraId="15C961D8" w14:textId="77777777" w:rsidR="00601EEA" w:rsidRDefault="00601EEA" w:rsidP="00601EEA">
      <w:pPr>
        <w:pStyle w:val="TextoNormal"/>
        <w:suppressAutoHyphens/>
      </w:pPr>
    </w:p>
    <w:p w14:paraId="5223C7D6" w14:textId="77777777" w:rsidR="00601EEA" w:rsidRDefault="00601EEA" w:rsidP="00601EEA">
      <w:pPr>
        <w:pStyle w:val="TextoNormal"/>
        <w:suppressAutoHyphens/>
      </w:pPr>
    </w:p>
    <w:p w14:paraId="059DEC36" w14:textId="77777777" w:rsidR="00601EEA" w:rsidRDefault="00601EEA" w:rsidP="00601EEA">
      <w:pPr>
        <w:pStyle w:val="TextoNormal"/>
        <w:suppressAutoHyphens/>
      </w:pPr>
    </w:p>
    <w:p w14:paraId="1BCF5755" w14:textId="77777777" w:rsidR="00601EEA" w:rsidRDefault="00601EEA" w:rsidP="00601EEA">
      <w:pPr>
        <w:pStyle w:val="TextoNormal"/>
        <w:suppressAutoHyphens/>
      </w:pPr>
    </w:p>
    <w:p w14:paraId="0F70EC08" w14:textId="77777777" w:rsidR="00601EEA" w:rsidRDefault="00601EEA" w:rsidP="00601EEA">
      <w:pPr>
        <w:pStyle w:val="TextoNormal"/>
        <w:suppressAutoHyphens/>
      </w:pPr>
    </w:p>
    <w:p w14:paraId="11429A80" w14:textId="77777777" w:rsidR="00601EEA" w:rsidRDefault="00601EEA" w:rsidP="00601EEA">
      <w:pPr>
        <w:pStyle w:val="TextoNormal"/>
        <w:suppressAutoHyphens/>
      </w:pPr>
    </w:p>
    <w:p w14:paraId="5223D8BB" w14:textId="77777777" w:rsidR="00601EEA" w:rsidRDefault="00601EEA" w:rsidP="00601EEA">
      <w:pPr>
        <w:pStyle w:val="TextoNormal"/>
      </w:pPr>
    </w:p>
    <w:p w14:paraId="2732D32C" w14:textId="77777777" w:rsidR="00601EEA" w:rsidRDefault="00601EEA" w:rsidP="00601EEA">
      <w:pPr>
        <w:pStyle w:val="TextoNormal"/>
      </w:pPr>
      <w:bookmarkStart w:id="176" w:name="INDICE22805"/>
      <w:bookmarkEnd w:id="176"/>
    </w:p>
    <w:p w14:paraId="22E39962" w14:textId="77777777" w:rsidR="00601EEA" w:rsidRDefault="00601EEA" w:rsidP="00601EEA">
      <w:pPr>
        <w:pStyle w:val="TextoIndiceNivel2"/>
        <w:suppressAutoHyphens/>
      </w:pPr>
      <w:r>
        <w:t>A) Tribunal Europeo de Derechos Humanos</w:t>
      </w:r>
    </w:p>
    <w:p w14:paraId="0AAECAFD" w14:textId="6EADF6D7" w:rsidR="00601EEA" w:rsidRDefault="00601EEA" w:rsidP="00601EEA">
      <w:pPr>
        <w:pStyle w:val="TextoIndiceNivel2"/>
      </w:pPr>
    </w:p>
    <w:p w14:paraId="3F8AAC4B" w14:textId="77777777" w:rsidR="00601EEA" w:rsidRDefault="00601EEA" w:rsidP="00601EEA">
      <w:pPr>
        <w:pStyle w:val="TextoNormalNegritaCursivandice"/>
        <w:keepNext/>
      </w:pPr>
      <w:r>
        <w:t>Sentencia del Tribunal Europeo de Derechos Humanos de 18 de junio de 1971 (De Wilde, Ooms y Versyp c. Bélgica)</w:t>
      </w:r>
    </w:p>
    <w:p w14:paraId="32CA2F7E" w14:textId="442DB953" w:rsidR="00601EEA" w:rsidRDefault="00601EEA" w:rsidP="00601EEA">
      <w:pPr>
        <w:pStyle w:val="SangriaFrancesaArticulo"/>
      </w:pPr>
      <w:r w:rsidRPr="00601EEA">
        <w:rPr>
          <w:rStyle w:val="TextoNormalNegritaCaracter"/>
        </w:rPr>
        <w:t>§ 65.</w:t>
      </w:r>
      <w:r w:rsidRPr="00601EEA">
        <w:rPr>
          <w:rStyle w:val="TextoNormalCaracter"/>
        </w:rPr>
        <w:t>-</w:t>
      </w:r>
      <w:r>
        <w:t xml:space="preserve"> Sentencia </w:t>
      </w:r>
      <w:hyperlink w:anchor="SENTENCIA_2024_40" w:history="1">
        <w:r w:rsidRPr="00601EEA">
          <w:rPr>
            <w:rStyle w:val="TextoNormalCaracter"/>
          </w:rPr>
          <w:t>40/2024</w:t>
        </w:r>
      </w:hyperlink>
      <w:r>
        <w:t>, f. 2.</w:t>
      </w:r>
    </w:p>
    <w:p w14:paraId="1F56C1D2" w14:textId="5E5660BE" w:rsidR="00601EEA" w:rsidRDefault="00601EEA" w:rsidP="00601EEA">
      <w:pPr>
        <w:pStyle w:val="SangriaFrancesaArticulo"/>
      </w:pPr>
    </w:p>
    <w:p w14:paraId="7B591FB4" w14:textId="77777777" w:rsidR="00601EEA" w:rsidRDefault="00601EEA" w:rsidP="00601EEA">
      <w:pPr>
        <w:pStyle w:val="TextoNormalNegritaCursivandice"/>
        <w:keepNext/>
      </w:pPr>
      <w:r>
        <w:t>Sentencia del Tribunal Europeo de Derechos Humanos de 27 de octubre de 1975 (Sindicato nacional de la policía belga)</w:t>
      </w:r>
    </w:p>
    <w:p w14:paraId="78D23685" w14:textId="3ED44D73"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63" w:history="1">
        <w:r w:rsidRPr="00601EEA">
          <w:rPr>
            <w:rStyle w:val="TextoNormalCaracter"/>
          </w:rPr>
          <w:t>63/2024</w:t>
        </w:r>
      </w:hyperlink>
      <w:r>
        <w:t>, f. 4.</w:t>
      </w:r>
    </w:p>
    <w:p w14:paraId="2F5E4F3D" w14:textId="5012B5B8" w:rsidR="00601EEA" w:rsidRDefault="00601EEA" w:rsidP="00601EEA">
      <w:pPr>
        <w:pStyle w:val="SangriaFrancesaArticulo"/>
      </w:pPr>
    </w:p>
    <w:p w14:paraId="64779EFE" w14:textId="77777777" w:rsidR="00601EEA" w:rsidRDefault="00601EEA" w:rsidP="00601EEA">
      <w:pPr>
        <w:pStyle w:val="TextoNormalNegritaCursivandice"/>
        <w:keepNext/>
      </w:pPr>
      <w:r>
        <w:t>Sentencia del Tribunal Europeo de Derechos Humanos de 6 de febrero de 1976 (Sindicato sueco de conductores de locomotoras)</w:t>
      </w:r>
    </w:p>
    <w:p w14:paraId="6B04ECE2" w14:textId="788A0530"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63" w:history="1">
        <w:r w:rsidRPr="00601EEA">
          <w:rPr>
            <w:rStyle w:val="TextoNormalCaracter"/>
          </w:rPr>
          <w:t>63/2024</w:t>
        </w:r>
      </w:hyperlink>
      <w:r>
        <w:t>, f. 4.</w:t>
      </w:r>
    </w:p>
    <w:p w14:paraId="1F58D4A6" w14:textId="2DE2A5F1" w:rsidR="00601EEA" w:rsidRDefault="00601EEA" w:rsidP="00601EEA">
      <w:pPr>
        <w:pStyle w:val="SangriaFrancesaArticulo"/>
      </w:pPr>
    </w:p>
    <w:p w14:paraId="3229D702" w14:textId="77777777" w:rsidR="00601EEA" w:rsidRDefault="00601EEA" w:rsidP="00601EEA">
      <w:pPr>
        <w:pStyle w:val="TextoNormalNegritaCursivandice"/>
        <w:keepNext/>
      </w:pPr>
      <w:r>
        <w:t>Sentencia del Tribunal Europeo de Derechos Humanos de 7 de diciembre de 1976 (Kjeldsen, Busk Madsen y Pedersen c. Dinamarca)</w:t>
      </w:r>
    </w:p>
    <w:p w14:paraId="1575EE4B" w14:textId="6DAB3A6F" w:rsidR="00601EEA" w:rsidRDefault="00601EEA" w:rsidP="00601EEA">
      <w:pPr>
        <w:pStyle w:val="SangriaFrancesaArticulo"/>
      </w:pPr>
      <w:r w:rsidRPr="00601EEA">
        <w:rPr>
          <w:rStyle w:val="TextoNormalNegritaCaracter"/>
        </w:rPr>
        <w:t>§ 53.</w:t>
      </w:r>
      <w:r w:rsidRPr="00601EEA">
        <w:rPr>
          <w:rStyle w:val="TextoNormalCaracter"/>
        </w:rPr>
        <w:t>-</w:t>
      </w:r>
      <w:r>
        <w:t xml:space="preserve"> Sentencia </w:t>
      </w:r>
      <w:hyperlink w:anchor="SENTENCIA_2024_92" w:history="1">
        <w:r w:rsidRPr="00601EEA">
          <w:rPr>
            <w:rStyle w:val="TextoNormalCaracter"/>
          </w:rPr>
          <w:t>92/2024</w:t>
        </w:r>
      </w:hyperlink>
      <w:r>
        <w:t>, f. 5.</w:t>
      </w:r>
    </w:p>
    <w:p w14:paraId="39F9D179" w14:textId="315315B7" w:rsidR="00601EEA" w:rsidRDefault="00601EEA" w:rsidP="00601EEA">
      <w:pPr>
        <w:pStyle w:val="SangriaFrancesaArticulo"/>
      </w:pPr>
      <w:r w:rsidRPr="00601EEA">
        <w:rPr>
          <w:rStyle w:val="TextoNormalNegritaCaracter"/>
        </w:rPr>
        <w:t>§ 54.</w:t>
      </w:r>
      <w:r w:rsidRPr="00601EEA">
        <w:rPr>
          <w:rStyle w:val="TextoNormalCaracter"/>
        </w:rPr>
        <w:t>-</w:t>
      </w:r>
      <w:r>
        <w:t xml:space="preserve"> Sentencia </w:t>
      </w:r>
      <w:hyperlink w:anchor="SENTENCIA_2024_92" w:history="1">
        <w:r w:rsidRPr="00601EEA">
          <w:rPr>
            <w:rStyle w:val="TextoNormalCaracter"/>
          </w:rPr>
          <w:t>92/2024</w:t>
        </w:r>
      </w:hyperlink>
      <w:r>
        <w:t>, f. 5.</w:t>
      </w:r>
    </w:p>
    <w:p w14:paraId="252AFCB1" w14:textId="7D2CC7CC" w:rsidR="00601EEA" w:rsidRDefault="00601EEA" w:rsidP="00601EEA">
      <w:pPr>
        <w:pStyle w:val="SangriaFrancesaArticulo"/>
      </w:pPr>
    </w:p>
    <w:p w14:paraId="630E1A05" w14:textId="77777777" w:rsidR="00601EEA" w:rsidRDefault="00601EEA" w:rsidP="00601EEA">
      <w:pPr>
        <w:pStyle w:val="TextoNormalNegritaCursivandice"/>
        <w:keepNext/>
      </w:pPr>
      <w:r>
        <w:t>Sentencia del Tribunal Europeo de Derechos Humanos de 18 de enero de 1978 (Irlanda c. Reino Unido)</w:t>
      </w:r>
    </w:p>
    <w:p w14:paraId="4ED7B45F" w14:textId="56E7DA38" w:rsidR="00601EEA" w:rsidRDefault="00601EEA" w:rsidP="00601EEA">
      <w:pPr>
        <w:pStyle w:val="SangriaFrancesaArticulo"/>
      </w:pPr>
      <w:r w:rsidRPr="00601EEA">
        <w:rPr>
          <w:rStyle w:val="TextoNormalNegritaCaracter"/>
        </w:rPr>
        <w:t>§ 162.</w:t>
      </w:r>
      <w:r w:rsidRPr="00601EEA">
        <w:rPr>
          <w:rStyle w:val="TextoNormalCaracter"/>
        </w:rPr>
        <w:t>-</w:t>
      </w:r>
      <w:r>
        <w:t xml:space="preserve"> Sentencia </w:t>
      </w:r>
      <w:hyperlink w:anchor="SENTENCIA_2024_35" w:history="1">
        <w:r w:rsidRPr="00601EEA">
          <w:rPr>
            <w:rStyle w:val="TextoNormalCaracter"/>
          </w:rPr>
          <w:t>35/2024</w:t>
        </w:r>
      </w:hyperlink>
      <w:r>
        <w:t>, VP.</w:t>
      </w:r>
    </w:p>
    <w:p w14:paraId="0E4C8171" w14:textId="280E7CD5" w:rsidR="00601EEA" w:rsidRDefault="00601EEA" w:rsidP="00601EEA">
      <w:pPr>
        <w:pStyle w:val="SangriaFrancesaArticulo"/>
      </w:pPr>
    </w:p>
    <w:p w14:paraId="545F02E7" w14:textId="77777777" w:rsidR="00601EEA" w:rsidRDefault="00601EEA" w:rsidP="00601EEA">
      <w:pPr>
        <w:pStyle w:val="TextoNormalNegritaCursivandice"/>
        <w:keepNext/>
      </w:pPr>
      <w:r>
        <w:t>Sentencia del Tribunal Europeo de Derechos Humanos de 25 de febrero de 1982 (Campbell y Cosans c. Reino Unido)</w:t>
      </w:r>
    </w:p>
    <w:p w14:paraId="434E396C" w14:textId="53282C02" w:rsidR="00601EEA" w:rsidRDefault="00601EEA" w:rsidP="00601EEA">
      <w:pPr>
        <w:pStyle w:val="SangriaFrancesaArticulo"/>
      </w:pPr>
      <w:r w:rsidRPr="00601EEA">
        <w:rPr>
          <w:rStyle w:val="TextoNormalNegritaCaracter"/>
        </w:rPr>
        <w:t>§ 28.</w:t>
      </w:r>
      <w:r w:rsidRPr="00601EEA">
        <w:rPr>
          <w:rStyle w:val="TextoNormalCaracter"/>
        </w:rPr>
        <w:t>-</w:t>
      </w:r>
      <w:r>
        <w:t xml:space="preserve"> Sentencia </w:t>
      </w:r>
      <w:hyperlink w:anchor="SENTENCIA_2024_35" w:history="1">
        <w:r w:rsidRPr="00601EEA">
          <w:rPr>
            <w:rStyle w:val="TextoNormalCaracter"/>
          </w:rPr>
          <w:t>35/2024</w:t>
        </w:r>
      </w:hyperlink>
      <w:r>
        <w:t>, VP.</w:t>
      </w:r>
    </w:p>
    <w:p w14:paraId="68CB751C" w14:textId="6058A210" w:rsidR="00601EEA" w:rsidRDefault="00601EEA" w:rsidP="00601EEA">
      <w:pPr>
        <w:pStyle w:val="SangriaFrancesaArticulo"/>
      </w:pPr>
    </w:p>
    <w:p w14:paraId="1EFC7C68" w14:textId="77777777" w:rsidR="00601EEA" w:rsidRDefault="00601EEA" w:rsidP="00601EEA">
      <w:pPr>
        <w:pStyle w:val="TextoNormalNegritaCursivandice"/>
        <w:keepNext/>
      </w:pPr>
      <w:r>
        <w:lastRenderedPageBreak/>
        <w:t>Sentencia del Tribunal Europeo de Derechos Humanos de 24 de junio de 1982 (Van Droogenbroeck c. Bélgica)</w:t>
      </w:r>
    </w:p>
    <w:p w14:paraId="2435130D" w14:textId="1199AF57" w:rsidR="00601EEA" w:rsidRDefault="00601EEA" w:rsidP="00601EEA">
      <w:pPr>
        <w:pStyle w:val="SangriaFrancesaArticulo"/>
      </w:pPr>
      <w:r w:rsidRPr="00601EEA">
        <w:rPr>
          <w:rStyle w:val="TextoNormalNegritaCaracter"/>
        </w:rPr>
        <w:t>§ 59.</w:t>
      </w:r>
      <w:r w:rsidRPr="00601EEA">
        <w:rPr>
          <w:rStyle w:val="TextoNormalCaracter"/>
        </w:rPr>
        <w:t>-</w:t>
      </w:r>
      <w:r>
        <w:t xml:space="preserve"> Sentencia </w:t>
      </w:r>
      <w:hyperlink w:anchor="SENTENCIA_2024_34" w:history="1">
        <w:r w:rsidRPr="00601EEA">
          <w:rPr>
            <w:rStyle w:val="TextoNormalCaracter"/>
          </w:rPr>
          <w:t>34/2024</w:t>
        </w:r>
      </w:hyperlink>
      <w:r>
        <w:t>, f. 7.</w:t>
      </w:r>
    </w:p>
    <w:p w14:paraId="66D45875" w14:textId="7B526D39" w:rsidR="00601EEA" w:rsidRDefault="00601EEA" w:rsidP="00601EEA">
      <w:pPr>
        <w:pStyle w:val="SangriaFrancesaArticulo"/>
      </w:pPr>
    </w:p>
    <w:p w14:paraId="36FB499E" w14:textId="77777777" w:rsidR="00601EEA" w:rsidRDefault="00601EEA" w:rsidP="00601EEA">
      <w:pPr>
        <w:pStyle w:val="TextoNormalNegritaCursivandice"/>
        <w:keepNext/>
      </w:pPr>
      <w:r>
        <w:t>Sentencia del Tribunal Europeo de Derechos Humanos de 25 de marzo de 1983 (Minelli c. Suiza)</w:t>
      </w:r>
    </w:p>
    <w:p w14:paraId="7D3FCAED" w14:textId="0208B8ED" w:rsidR="00601EEA" w:rsidRDefault="00601EEA" w:rsidP="00601EEA">
      <w:pPr>
        <w:pStyle w:val="SangriaFrancesaArticulo"/>
      </w:pPr>
      <w:r w:rsidRPr="00601EEA">
        <w:rPr>
          <w:rStyle w:val="TextoNormalNegritaCaracter"/>
        </w:rPr>
        <w:t>§ 37.</w:t>
      </w:r>
      <w:r w:rsidRPr="00601EEA">
        <w:rPr>
          <w:rStyle w:val="TextoNormalCaracter"/>
        </w:rPr>
        <w:t>-</w:t>
      </w:r>
      <w:r>
        <w:t xml:space="preserve"> Sentencia </w:t>
      </w:r>
      <w:hyperlink w:anchor="SENTENCIA_2024_72" w:history="1">
        <w:r w:rsidRPr="00601EEA">
          <w:rPr>
            <w:rStyle w:val="TextoNormalCaracter"/>
          </w:rPr>
          <w:t>72/2024</w:t>
        </w:r>
      </w:hyperlink>
      <w:r>
        <w:t>, f. 6, VP.</w:t>
      </w:r>
    </w:p>
    <w:p w14:paraId="0B260B5F" w14:textId="4D8EE04D" w:rsidR="00601EEA" w:rsidRDefault="00601EEA" w:rsidP="00601EEA">
      <w:pPr>
        <w:pStyle w:val="SangriaFrancesaArticulo"/>
      </w:pPr>
    </w:p>
    <w:p w14:paraId="13E42973" w14:textId="77777777" w:rsidR="00601EEA" w:rsidRDefault="00601EEA" w:rsidP="00601EEA">
      <w:pPr>
        <w:pStyle w:val="TextoNormalNegritaCursivandice"/>
        <w:keepNext/>
      </w:pPr>
      <w:r>
        <w:t>Sentencia del Tribunal Europeo de Derechos Humanos de 25 de marzo de 1983 (Silver y otros c. Reino Unido)</w:t>
      </w:r>
    </w:p>
    <w:p w14:paraId="6FB3659B" w14:textId="32FC29F6" w:rsidR="00601EEA" w:rsidRDefault="00601EEA" w:rsidP="00601EEA">
      <w:pPr>
        <w:pStyle w:val="SangriaFrancesaArticulo"/>
      </w:pPr>
      <w:r w:rsidRPr="00601EEA">
        <w:rPr>
          <w:rStyle w:val="TextoNormalNegritaCaracter"/>
        </w:rPr>
        <w:t>§ 113.</w:t>
      </w:r>
      <w:r w:rsidRPr="00601EEA">
        <w:rPr>
          <w:rStyle w:val="TextoNormalCaracter"/>
        </w:rPr>
        <w:t>-</w:t>
      </w:r>
      <w:r>
        <w:t xml:space="preserve"> Sentencia </w:t>
      </w:r>
      <w:hyperlink w:anchor="SENTENCIA_2024_50" w:history="1">
        <w:r w:rsidRPr="00601EEA">
          <w:rPr>
            <w:rStyle w:val="TextoNormalCaracter"/>
          </w:rPr>
          <w:t>50/2024</w:t>
        </w:r>
      </w:hyperlink>
      <w:r>
        <w:t>, f. 3.</w:t>
      </w:r>
    </w:p>
    <w:p w14:paraId="0CC87F93" w14:textId="02D2E54D" w:rsidR="00601EEA" w:rsidRDefault="00601EEA" w:rsidP="00601EEA">
      <w:pPr>
        <w:pStyle w:val="SangriaFrancesaArticulo"/>
      </w:pPr>
    </w:p>
    <w:p w14:paraId="6B51611F" w14:textId="77777777" w:rsidR="00601EEA" w:rsidRDefault="00601EEA" w:rsidP="00601EEA">
      <w:pPr>
        <w:pStyle w:val="TextoNormalNegritaCursivandice"/>
        <w:keepNext/>
      </w:pPr>
      <w:r>
        <w:t>Sentencia del Tribunal Europeo de Derechos Humanos de 26 de mayo de 1988 (Ekbatani c. Suecia)</w:t>
      </w:r>
    </w:p>
    <w:p w14:paraId="08745AC7" w14:textId="6C19F52A" w:rsidR="00601EEA" w:rsidRDefault="00601EEA" w:rsidP="00601EEA">
      <w:pPr>
        <w:pStyle w:val="SangriaFrancesaArticulo"/>
      </w:pPr>
      <w:r w:rsidRPr="00601EEA">
        <w:rPr>
          <w:rStyle w:val="TextoNormalNegritaCaracter"/>
        </w:rPr>
        <w:t>En general.</w:t>
      </w:r>
      <w:r w:rsidRPr="00601EEA">
        <w:rPr>
          <w:rStyle w:val="TextoNormalCaracter"/>
        </w:rPr>
        <w:t>-</w:t>
      </w:r>
      <w:r>
        <w:t xml:space="preserve"> Auto </w:t>
      </w:r>
      <w:hyperlink w:anchor="AUTO_2024_51" w:history="1">
        <w:r w:rsidRPr="00601EEA">
          <w:rPr>
            <w:rStyle w:val="TextoNormalCaracter"/>
          </w:rPr>
          <w:t>51/2024</w:t>
        </w:r>
      </w:hyperlink>
      <w:r>
        <w:t>, f. 4.</w:t>
      </w:r>
    </w:p>
    <w:p w14:paraId="3709508D" w14:textId="198A8CDA" w:rsidR="00601EEA" w:rsidRDefault="00601EEA" w:rsidP="00601EEA">
      <w:pPr>
        <w:pStyle w:val="SangriaFrancesaArticulo"/>
      </w:pPr>
      <w:r w:rsidRPr="00601EEA">
        <w:rPr>
          <w:rStyle w:val="TextoNormalNegritaCaracter"/>
        </w:rPr>
        <w:t>§ 24.</w:t>
      </w:r>
      <w:r w:rsidRPr="00601EEA">
        <w:rPr>
          <w:rStyle w:val="TextoNormalCaracter"/>
        </w:rPr>
        <w:t>-</w:t>
      </w:r>
      <w:r>
        <w:t xml:space="preserve"> Sentencia </w:t>
      </w:r>
      <w:hyperlink w:anchor="SENTENCIA_2024_72" w:history="1">
        <w:r w:rsidRPr="00601EEA">
          <w:rPr>
            <w:rStyle w:val="TextoNormalCaracter"/>
          </w:rPr>
          <w:t>72/2024</w:t>
        </w:r>
      </w:hyperlink>
      <w:r>
        <w:t>, f. 4.</w:t>
      </w:r>
    </w:p>
    <w:p w14:paraId="23571EAF" w14:textId="6040F524" w:rsidR="00601EEA" w:rsidRDefault="00601EEA" w:rsidP="00601EEA">
      <w:pPr>
        <w:pStyle w:val="SangriaFrancesaArticulo"/>
      </w:pPr>
    </w:p>
    <w:p w14:paraId="7E88F879" w14:textId="77777777" w:rsidR="00601EEA" w:rsidRDefault="00601EEA" w:rsidP="00601EEA">
      <w:pPr>
        <w:pStyle w:val="TextoNormalNegritaCursivandice"/>
        <w:keepNext/>
      </w:pPr>
      <w:r>
        <w:t>Decisión de inadmisión de la Comisión Europea de Derechos Humanos 11684/85, de 5 de octubre de 1988 (Jean-Jacques AMY c. Bélgica)</w:t>
      </w:r>
    </w:p>
    <w:p w14:paraId="60F2654E" w14:textId="37458741"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92" w:history="1">
        <w:r w:rsidRPr="00601EEA">
          <w:rPr>
            <w:rStyle w:val="TextoNormalCaracter"/>
          </w:rPr>
          <w:t>92/2024</w:t>
        </w:r>
      </w:hyperlink>
      <w:r>
        <w:t>, VP III.</w:t>
      </w:r>
    </w:p>
    <w:p w14:paraId="12AFA410" w14:textId="7735AB1D" w:rsidR="00601EEA" w:rsidRDefault="00601EEA" w:rsidP="00601EEA">
      <w:pPr>
        <w:pStyle w:val="SangriaFrancesaArticulo"/>
      </w:pPr>
    </w:p>
    <w:p w14:paraId="32B996B1" w14:textId="77777777" w:rsidR="00601EEA" w:rsidRDefault="00601EEA" w:rsidP="00601EEA">
      <w:pPr>
        <w:pStyle w:val="TextoNormalNegritaCursivandice"/>
        <w:keepNext/>
      </w:pPr>
      <w:r>
        <w:t>Sentencia del Tribunal Europeo de Derechos Humanos de 7 de julio de 1989 (Soering c. Reino Unido)</w:t>
      </w:r>
    </w:p>
    <w:p w14:paraId="1B340682" w14:textId="035130CD"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1" w:history="1">
        <w:r w:rsidRPr="00601EEA">
          <w:rPr>
            <w:rStyle w:val="TextoNormalCaracter"/>
          </w:rPr>
          <w:t>1/2024</w:t>
        </w:r>
      </w:hyperlink>
      <w:r>
        <w:t>, f. 2.</w:t>
      </w:r>
    </w:p>
    <w:p w14:paraId="53138371" w14:textId="1F79FF40" w:rsidR="00601EEA" w:rsidRDefault="00601EEA" w:rsidP="00601EEA">
      <w:pPr>
        <w:pStyle w:val="SangriaFrancesaArticulo"/>
      </w:pPr>
      <w:r w:rsidRPr="00601EEA">
        <w:rPr>
          <w:rStyle w:val="TextoNormalNegritaCaracter"/>
        </w:rPr>
        <w:t>§ 91.</w:t>
      </w:r>
      <w:r w:rsidRPr="00601EEA">
        <w:rPr>
          <w:rStyle w:val="TextoNormalCaracter"/>
        </w:rPr>
        <w:t>-</w:t>
      </w:r>
      <w:r>
        <w:t xml:space="preserve"> Sentencias </w:t>
      </w:r>
      <w:hyperlink w:anchor="SENTENCIA_2024_37" w:history="1">
        <w:r w:rsidRPr="00601EEA">
          <w:rPr>
            <w:rStyle w:val="TextoNormalCaracter"/>
          </w:rPr>
          <w:t>37/2024</w:t>
        </w:r>
      </w:hyperlink>
      <w:r>
        <w:t xml:space="preserve">, VP; </w:t>
      </w:r>
      <w:hyperlink w:anchor="SENTENCIA_2024_42" w:history="1">
        <w:r w:rsidRPr="00601EEA">
          <w:rPr>
            <w:rStyle w:val="TextoNormalCaracter"/>
          </w:rPr>
          <w:t>42/2024</w:t>
        </w:r>
      </w:hyperlink>
      <w:r>
        <w:t xml:space="preserve">, VP; </w:t>
      </w:r>
      <w:hyperlink w:anchor="SENTENCIA_2024_43" w:history="1">
        <w:r w:rsidRPr="00601EEA">
          <w:rPr>
            <w:rStyle w:val="TextoNormalCaracter"/>
          </w:rPr>
          <w:t>43/2024</w:t>
        </w:r>
      </w:hyperlink>
      <w:r>
        <w:t>, VP I.</w:t>
      </w:r>
    </w:p>
    <w:p w14:paraId="4974AF04" w14:textId="1C6B150E" w:rsidR="00601EEA" w:rsidRDefault="00601EEA" w:rsidP="00601EEA">
      <w:pPr>
        <w:pStyle w:val="SangriaFrancesaArticulo"/>
      </w:pPr>
    </w:p>
    <w:p w14:paraId="755927C7" w14:textId="77777777" w:rsidR="00601EEA" w:rsidRDefault="00601EEA" w:rsidP="00601EEA">
      <w:pPr>
        <w:pStyle w:val="TextoNormalNegritaCursivandice"/>
        <w:keepNext/>
      </w:pPr>
      <w:r>
        <w:t>Sentencia del Tribunal Europeo de Derechos Humanos de 15 de junio de 1992 (Lüdi c. Suiza)</w:t>
      </w:r>
    </w:p>
    <w:p w14:paraId="7783050B" w14:textId="1DF66A53"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87" w:history="1">
        <w:r w:rsidRPr="00601EEA">
          <w:rPr>
            <w:rStyle w:val="TextoNormalCaracter"/>
          </w:rPr>
          <w:t>87/2024</w:t>
        </w:r>
      </w:hyperlink>
      <w:r>
        <w:t>, f. 4, VP II, VP III.</w:t>
      </w:r>
    </w:p>
    <w:p w14:paraId="7BE07A23" w14:textId="0DD39364" w:rsidR="00601EEA" w:rsidRDefault="00601EEA" w:rsidP="00601EEA">
      <w:pPr>
        <w:pStyle w:val="SangriaFrancesaArticulo"/>
      </w:pPr>
      <w:r w:rsidRPr="00601EEA">
        <w:rPr>
          <w:rStyle w:val="TextoNormalNegritaCaracter"/>
        </w:rPr>
        <w:t>§ 40.</w:t>
      </w:r>
      <w:r w:rsidRPr="00601EEA">
        <w:rPr>
          <w:rStyle w:val="TextoNormalCaracter"/>
        </w:rPr>
        <w:t>-</w:t>
      </w:r>
      <w:r>
        <w:t xml:space="preserve"> Sentencia </w:t>
      </w:r>
      <w:hyperlink w:anchor="SENTENCIA_2024_87" w:history="1">
        <w:r w:rsidRPr="00601EEA">
          <w:rPr>
            <w:rStyle w:val="TextoNormalCaracter"/>
          </w:rPr>
          <w:t>87/2024</w:t>
        </w:r>
      </w:hyperlink>
      <w:r>
        <w:t>, ff. 2, 4, VP II.</w:t>
      </w:r>
    </w:p>
    <w:p w14:paraId="3A6FBDEA" w14:textId="6BD595CB" w:rsidR="00601EEA" w:rsidRDefault="00601EEA" w:rsidP="00601EEA">
      <w:pPr>
        <w:pStyle w:val="SangriaFrancesaArticulo"/>
      </w:pPr>
    </w:p>
    <w:p w14:paraId="744C04C9" w14:textId="77777777" w:rsidR="00601EEA" w:rsidRDefault="00601EEA" w:rsidP="00601EEA">
      <w:pPr>
        <w:pStyle w:val="TextoNormalNegritaCursivandice"/>
        <w:keepNext/>
      </w:pPr>
      <w:r>
        <w:t>Sentencia del Tribunal Europeo de Derechos Humanos de 25 de marzo de 1993 (Costello-Roberts c. Reino Unido)</w:t>
      </w:r>
    </w:p>
    <w:p w14:paraId="1C1DBC4F" w14:textId="30245BF1" w:rsidR="00601EEA" w:rsidRDefault="00601EEA" w:rsidP="00601EEA">
      <w:pPr>
        <w:pStyle w:val="SangriaFrancesaArticulo"/>
      </w:pPr>
      <w:r w:rsidRPr="00601EEA">
        <w:rPr>
          <w:rStyle w:val="TextoNormalNegritaCaracter"/>
        </w:rPr>
        <w:t>§ 30.</w:t>
      </w:r>
      <w:r w:rsidRPr="00601EEA">
        <w:rPr>
          <w:rStyle w:val="TextoNormalCaracter"/>
        </w:rPr>
        <w:t>-</w:t>
      </w:r>
      <w:r>
        <w:t xml:space="preserve"> Sentencia </w:t>
      </w:r>
      <w:hyperlink w:anchor="SENTENCIA_2024_35" w:history="1">
        <w:r w:rsidRPr="00601EEA">
          <w:rPr>
            <w:rStyle w:val="TextoNormalCaracter"/>
          </w:rPr>
          <w:t>35/2024</w:t>
        </w:r>
      </w:hyperlink>
      <w:r>
        <w:t>, VP.</w:t>
      </w:r>
    </w:p>
    <w:p w14:paraId="48987F13" w14:textId="1D4FDEA9" w:rsidR="00601EEA" w:rsidRDefault="00601EEA" w:rsidP="00601EEA">
      <w:pPr>
        <w:pStyle w:val="SangriaFrancesaArticulo"/>
      </w:pPr>
    </w:p>
    <w:p w14:paraId="42096225" w14:textId="77777777" w:rsidR="00601EEA" w:rsidRDefault="00601EEA" w:rsidP="00601EEA">
      <w:pPr>
        <w:pStyle w:val="TextoNormalNegritaCursivandice"/>
        <w:keepNext/>
      </w:pPr>
      <w:r>
        <w:t>Sentencia del Tribunal Europeo de Derechos Humanos de 25 de mayo de 1993 (Kokkinakis c. Grecia)</w:t>
      </w:r>
    </w:p>
    <w:p w14:paraId="274B0956" w14:textId="457904CE" w:rsidR="00601EEA" w:rsidRDefault="00601EEA" w:rsidP="00601EEA">
      <w:pPr>
        <w:pStyle w:val="SangriaFrancesaArticulo"/>
      </w:pPr>
      <w:r w:rsidRPr="00601EEA">
        <w:rPr>
          <w:rStyle w:val="TextoNormalNegritaCaracter"/>
        </w:rPr>
        <w:t>§ 42 a 44.</w:t>
      </w:r>
      <w:r w:rsidRPr="00601EEA">
        <w:rPr>
          <w:rStyle w:val="TextoNormalCaracter"/>
        </w:rPr>
        <w:t>-</w:t>
      </w:r>
      <w:r>
        <w:t xml:space="preserve"> Sentencia </w:t>
      </w:r>
      <w:hyperlink w:anchor="SENTENCIA_2024_26" w:history="1">
        <w:r w:rsidRPr="00601EEA">
          <w:rPr>
            <w:rStyle w:val="TextoNormalCaracter"/>
          </w:rPr>
          <w:t>26/2024</w:t>
        </w:r>
      </w:hyperlink>
      <w:r>
        <w:t>, f. 2.</w:t>
      </w:r>
    </w:p>
    <w:p w14:paraId="6AC2AD22" w14:textId="5861F46C" w:rsidR="00601EEA" w:rsidRDefault="00601EEA" w:rsidP="00601EEA">
      <w:pPr>
        <w:pStyle w:val="SangriaFrancesaArticulo"/>
      </w:pPr>
      <w:r w:rsidRPr="00601EEA">
        <w:rPr>
          <w:rStyle w:val="TextoNormalNegritaCaracter"/>
        </w:rPr>
        <w:t>§ 47.</w:t>
      </w:r>
      <w:r w:rsidRPr="00601EEA">
        <w:rPr>
          <w:rStyle w:val="TextoNormalCaracter"/>
        </w:rPr>
        <w:t>-</w:t>
      </w:r>
      <w:r>
        <w:t xml:space="preserve"> Sentencia </w:t>
      </w:r>
      <w:hyperlink w:anchor="SENTENCIA_2024_26" w:history="1">
        <w:r w:rsidRPr="00601EEA">
          <w:rPr>
            <w:rStyle w:val="TextoNormalCaracter"/>
          </w:rPr>
          <w:t>26/2024</w:t>
        </w:r>
      </w:hyperlink>
      <w:r>
        <w:t>, f. 2.</w:t>
      </w:r>
    </w:p>
    <w:p w14:paraId="58C389D6" w14:textId="608BB59A" w:rsidR="00601EEA" w:rsidRDefault="00601EEA" w:rsidP="00601EEA">
      <w:pPr>
        <w:pStyle w:val="SangriaFrancesaArticulo"/>
      </w:pPr>
    </w:p>
    <w:p w14:paraId="62E0E957" w14:textId="77777777" w:rsidR="00601EEA" w:rsidRDefault="00601EEA" w:rsidP="00601EEA">
      <w:pPr>
        <w:pStyle w:val="TextoNormalNegritaCursivandice"/>
        <w:keepNext/>
      </w:pPr>
      <w:r>
        <w:t>Sentencia del Tribunal Europeo de Derechos Humanos de 24 de febrero de 1997 (De Haes y Gijsels c. Bélgica)</w:t>
      </w:r>
    </w:p>
    <w:p w14:paraId="65E6F02A" w14:textId="7C37C4E4" w:rsidR="00601EEA" w:rsidRDefault="00601EEA" w:rsidP="00601EEA">
      <w:pPr>
        <w:pStyle w:val="SangriaFrancesaArticulo"/>
      </w:pPr>
      <w:r w:rsidRPr="00601EEA">
        <w:rPr>
          <w:rStyle w:val="TextoNormalNegritaCaracter"/>
        </w:rPr>
        <w:t>§ 49.</w:t>
      </w:r>
      <w:r w:rsidRPr="00601EEA">
        <w:rPr>
          <w:rStyle w:val="TextoNormalCaracter"/>
        </w:rPr>
        <w:t>-</w:t>
      </w:r>
      <w:r>
        <w:t xml:space="preserve"> Sentencia </w:t>
      </w:r>
      <w:hyperlink w:anchor="SENTENCIA_2024_75" w:history="1">
        <w:r w:rsidRPr="00601EEA">
          <w:rPr>
            <w:rStyle w:val="TextoNormalCaracter"/>
          </w:rPr>
          <w:t>75/2024</w:t>
        </w:r>
      </w:hyperlink>
      <w:r>
        <w:t>, VP II.</w:t>
      </w:r>
    </w:p>
    <w:p w14:paraId="5165E87D" w14:textId="4D94F0CE" w:rsidR="00601EEA" w:rsidRDefault="00601EEA" w:rsidP="00601EEA">
      <w:pPr>
        <w:pStyle w:val="SangriaFrancesaArticulo"/>
      </w:pPr>
    </w:p>
    <w:p w14:paraId="00D8CC19" w14:textId="77777777" w:rsidR="00601EEA" w:rsidRDefault="00601EEA" w:rsidP="00601EEA">
      <w:pPr>
        <w:pStyle w:val="TextoNormalNegritaCursivandice"/>
        <w:keepNext/>
      </w:pPr>
      <w:r>
        <w:lastRenderedPageBreak/>
        <w:t>Decisión del Tribunal Europeo de Derechos Humanos de 19 de febrero de 1998 (Kaya c. Turquía)</w:t>
      </w:r>
    </w:p>
    <w:p w14:paraId="25CDEE05" w14:textId="2AE5AFD2" w:rsidR="00601EEA" w:rsidRDefault="00601EEA" w:rsidP="00601EEA">
      <w:pPr>
        <w:pStyle w:val="SangriaFrancesaArticulo"/>
      </w:pPr>
      <w:r w:rsidRPr="00601EEA">
        <w:rPr>
          <w:rStyle w:val="TextoNormalNegritaCaracter"/>
        </w:rPr>
        <w:t>§ 86.</w:t>
      </w:r>
      <w:r w:rsidRPr="00601EEA">
        <w:rPr>
          <w:rStyle w:val="TextoNormalCaracter"/>
        </w:rPr>
        <w:t>-</w:t>
      </w:r>
      <w:r>
        <w:t xml:space="preserve"> Sentencia </w:t>
      </w:r>
      <w:hyperlink w:anchor="SENTENCIA_2024_1" w:history="1">
        <w:r w:rsidRPr="00601EEA">
          <w:rPr>
            <w:rStyle w:val="TextoNormalCaracter"/>
          </w:rPr>
          <w:t>1/2024</w:t>
        </w:r>
      </w:hyperlink>
      <w:r>
        <w:t>, f. 3.</w:t>
      </w:r>
    </w:p>
    <w:p w14:paraId="4FEF9DB2" w14:textId="36819F6D" w:rsidR="00601EEA" w:rsidRDefault="00601EEA" w:rsidP="00601EEA">
      <w:pPr>
        <w:pStyle w:val="SangriaFrancesaArticulo"/>
      </w:pPr>
    </w:p>
    <w:p w14:paraId="14051F71" w14:textId="77777777" w:rsidR="00601EEA" w:rsidRDefault="00601EEA" w:rsidP="00601EEA">
      <w:pPr>
        <w:pStyle w:val="TextoNormalNegritaCursivandice"/>
        <w:keepNext/>
      </w:pPr>
      <w:r>
        <w:t>Sentencia del Tribunal Europeo de Derechos Humanos de 24 de febrero de 1998 (Larissis y otros c. Grecia)</w:t>
      </w:r>
    </w:p>
    <w:p w14:paraId="77F85D69" w14:textId="0DE8EDFE" w:rsidR="00601EEA" w:rsidRDefault="00601EEA" w:rsidP="00601EEA">
      <w:pPr>
        <w:pStyle w:val="SangriaFrancesaArticulo"/>
      </w:pPr>
      <w:r w:rsidRPr="00601EEA">
        <w:rPr>
          <w:rStyle w:val="TextoNormalNegritaCaracter"/>
        </w:rPr>
        <w:t>§ 45.</w:t>
      </w:r>
      <w:r w:rsidRPr="00601EEA">
        <w:rPr>
          <w:rStyle w:val="TextoNormalCaracter"/>
        </w:rPr>
        <w:t>-</w:t>
      </w:r>
      <w:r>
        <w:t xml:space="preserve"> Sentencia </w:t>
      </w:r>
      <w:hyperlink w:anchor="SENTENCIA_2024_26" w:history="1">
        <w:r w:rsidRPr="00601EEA">
          <w:rPr>
            <w:rStyle w:val="TextoNormalCaracter"/>
          </w:rPr>
          <w:t>26/2024</w:t>
        </w:r>
      </w:hyperlink>
      <w:r>
        <w:t>, f. 2.</w:t>
      </w:r>
    </w:p>
    <w:p w14:paraId="7BBF5EE0" w14:textId="77A7B5DA" w:rsidR="00601EEA" w:rsidRDefault="00601EEA" w:rsidP="00601EEA">
      <w:pPr>
        <w:pStyle w:val="SangriaFrancesaArticulo"/>
      </w:pPr>
    </w:p>
    <w:p w14:paraId="32D5D541" w14:textId="77777777" w:rsidR="00601EEA" w:rsidRDefault="00601EEA" w:rsidP="00601EEA">
      <w:pPr>
        <w:pStyle w:val="TextoNormalNegritaCursivandice"/>
        <w:keepNext/>
      </w:pPr>
      <w:r>
        <w:t>Sentencia del Tribunal Europeo de Derechos Humanos de 9 de junio de 1998 (Teixeira de Castro c. Portugal)</w:t>
      </w:r>
    </w:p>
    <w:p w14:paraId="4EF6EC44" w14:textId="1B81455E" w:rsidR="00601EEA" w:rsidRDefault="00601EEA" w:rsidP="00601EEA">
      <w:pPr>
        <w:pStyle w:val="SangriaFrancesaArticulo"/>
      </w:pPr>
      <w:r w:rsidRPr="00601EEA">
        <w:rPr>
          <w:rStyle w:val="TextoNormalNegritaCaracter"/>
        </w:rPr>
        <w:t>§ 36.</w:t>
      </w:r>
      <w:r w:rsidRPr="00601EEA">
        <w:rPr>
          <w:rStyle w:val="TextoNormalCaracter"/>
        </w:rPr>
        <w:t>-</w:t>
      </w:r>
      <w:r>
        <w:t xml:space="preserve"> Sentencia </w:t>
      </w:r>
      <w:hyperlink w:anchor="SENTENCIA_2024_87" w:history="1">
        <w:r w:rsidRPr="00601EEA">
          <w:rPr>
            <w:rStyle w:val="TextoNormalCaracter"/>
          </w:rPr>
          <w:t>87/2024</w:t>
        </w:r>
      </w:hyperlink>
      <w:r>
        <w:t>, f. 2.</w:t>
      </w:r>
    </w:p>
    <w:p w14:paraId="0A2BA86A" w14:textId="3059DF72" w:rsidR="00601EEA" w:rsidRDefault="00601EEA" w:rsidP="00601EEA">
      <w:pPr>
        <w:pStyle w:val="SangriaFrancesaArticulo"/>
      </w:pPr>
      <w:r w:rsidRPr="00601EEA">
        <w:rPr>
          <w:rStyle w:val="TextoNormalNegritaCaracter"/>
        </w:rPr>
        <w:t>§ 39.</w:t>
      </w:r>
      <w:r w:rsidRPr="00601EEA">
        <w:rPr>
          <w:rStyle w:val="TextoNormalCaracter"/>
        </w:rPr>
        <w:t>-</w:t>
      </w:r>
      <w:r>
        <w:t xml:space="preserve"> Sentencia </w:t>
      </w:r>
      <w:hyperlink w:anchor="SENTENCIA_2024_87" w:history="1">
        <w:r w:rsidRPr="00601EEA">
          <w:rPr>
            <w:rStyle w:val="TextoNormalCaracter"/>
          </w:rPr>
          <w:t>87/2024</w:t>
        </w:r>
      </w:hyperlink>
      <w:r>
        <w:t>, ff. 2, 3.</w:t>
      </w:r>
    </w:p>
    <w:p w14:paraId="70B02319" w14:textId="303F5EFC" w:rsidR="00601EEA" w:rsidRDefault="00601EEA" w:rsidP="00601EEA">
      <w:pPr>
        <w:pStyle w:val="SangriaFrancesaArticulo"/>
      </w:pPr>
    </w:p>
    <w:p w14:paraId="7F59002B" w14:textId="77777777" w:rsidR="00601EEA" w:rsidRDefault="00601EEA" w:rsidP="00601EEA">
      <w:pPr>
        <w:pStyle w:val="TextoNormalNegritaCursivandice"/>
        <w:keepNext/>
      </w:pPr>
      <w:r>
        <w:t>Sentencia del Tribunal Europeo de Derechos Humanos de 28 de julio de 1998 (Ergi c. Turquía)</w:t>
      </w:r>
    </w:p>
    <w:p w14:paraId="49F7B064" w14:textId="7B3D1FF9" w:rsidR="00601EEA" w:rsidRDefault="00601EEA" w:rsidP="00601EEA">
      <w:pPr>
        <w:pStyle w:val="SangriaFrancesaArticulo"/>
      </w:pPr>
      <w:r w:rsidRPr="00601EEA">
        <w:rPr>
          <w:rStyle w:val="TextoNormalNegritaCaracter"/>
        </w:rPr>
        <w:t>§ 82.</w:t>
      </w:r>
      <w:r w:rsidRPr="00601EEA">
        <w:rPr>
          <w:rStyle w:val="TextoNormalCaracter"/>
        </w:rPr>
        <w:t>-</w:t>
      </w:r>
      <w:r>
        <w:t xml:space="preserve"> Sentencia </w:t>
      </w:r>
      <w:hyperlink w:anchor="SENTENCIA_2024_1" w:history="1">
        <w:r w:rsidRPr="00601EEA">
          <w:rPr>
            <w:rStyle w:val="TextoNormalCaracter"/>
          </w:rPr>
          <w:t>1/2024</w:t>
        </w:r>
      </w:hyperlink>
      <w:r>
        <w:t>, f. 3.</w:t>
      </w:r>
    </w:p>
    <w:p w14:paraId="06FA50C9" w14:textId="4BF9D1F0" w:rsidR="00601EEA" w:rsidRDefault="00601EEA" w:rsidP="00601EEA">
      <w:pPr>
        <w:pStyle w:val="SangriaFrancesaArticulo"/>
      </w:pPr>
    </w:p>
    <w:p w14:paraId="6A95A774" w14:textId="77777777" w:rsidR="00601EEA" w:rsidRDefault="00601EEA" w:rsidP="00601EEA">
      <w:pPr>
        <w:pStyle w:val="TextoNormalNegritaCursivandice"/>
        <w:keepNext/>
      </w:pPr>
      <w:r>
        <w:t>Sentencia del Tribunal Europeo de Derechos Humanos de 2 de septiembre de 1998 (Yasa c. Turquía)</w:t>
      </w:r>
    </w:p>
    <w:p w14:paraId="3CE3251F" w14:textId="7E118B72" w:rsidR="00601EEA" w:rsidRDefault="00601EEA" w:rsidP="00601EEA">
      <w:pPr>
        <w:pStyle w:val="SangriaFrancesaArticulo"/>
      </w:pPr>
      <w:r w:rsidRPr="00601EEA">
        <w:rPr>
          <w:rStyle w:val="TextoNormalNegritaCaracter"/>
        </w:rPr>
        <w:t>§ 98-100.</w:t>
      </w:r>
      <w:r w:rsidRPr="00601EEA">
        <w:rPr>
          <w:rStyle w:val="TextoNormalCaracter"/>
        </w:rPr>
        <w:t>-</w:t>
      </w:r>
      <w:r>
        <w:t xml:space="preserve"> Sentencia </w:t>
      </w:r>
      <w:hyperlink w:anchor="SENTENCIA_2024_1" w:history="1">
        <w:r w:rsidRPr="00601EEA">
          <w:rPr>
            <w:rStyle w:val="TextoNormalCaracter"/>
          </w:rPr>
          <w:t>1/2024</w:t>
        </w:r>
      </w:hyperlink>
      <w:r>
        <w:t>, f. 3.</w:t>
      </w:r>
    </w:p>
    <w:p w14:paraId="386D0954" w14:textId="4A0BAC70" w:rsidR="00601EEA" w:rsidRDefault="00601EEA" w:rsidP="00601EEA">
      <w:pPr>
        <w:pStyle w:val="SangriaFrancesaArticulo"/>
      </w:pPr>
    </w:p>
    <w:p w14:paraId="001AD52E" w14:textId="77777777" w:rsidR="00601EEA" w:rsidRDefault="00601EEA" w:rsidP="00601EEA">
      <w:pPr>
        <w:pStyle w:val="TextoNormalNegritaCursivandice"/>
        <w:keepNext/>
      </w:pPr>
      <w:r>
        <w:t>Sentencia del Tribunal Europeo de Derechos Humanos de 28 de octubre de 1998 (Assenov y otros c. Bulgaria)</w:t>
      </w:r>
    </w:p>
    <w:p w14:paraId="036EBB09" w14:textId="0AF4AF17" w:rsidR="00601EEA" w:rsidRDefault="00601EEA" w:rsidP="00601EEA">
      <w:pPr>
        <w:pStyle w:val="SangriaFrancesaArticulo"/>
      </w:pPr>
      <w:r w:rsidRPr="00601EEA">
        <w:rPr>
          <w:rStyle w:val="TextoNormalNegritaCaracter"/>
        </w:rPr>
        <w:t>§ 102.</w:t>
      </w:r>
      <w:r w:rsidRPr="00601EEA">
        <w:rPr>
          <w:rStyle w:val="TextoNormalCaracter"/>
        </w:rPr>
        <w:t>-</w:t>
      </w:r>
      <w:r>
        <w:t xml:space="preserve"> Sentencia </w:t>
      </w:r>
      <w:hyperlink w:anchor="SENTENCIA_2024_35" w:history="1">
        <w:r w:rsidRPr="00601EEA">
          <w:rPr>
            <w:rStyle w:val="TextoNormalCaracter"/>
          </w:rPr>
          <w:t>35/2024</w:t>
        </w:r>
      </w:hyperlink>
      <w:r>
        <w:t>, f. 2.</w:t>
      </w:r>
    </w:p>
    <w:p w14:paraId="28C3FBBC" w14:textId="019D1D03" w:rsidR="00601EEA" w:rsidRDefault="00601EEA" w:rsidP="00601EEA">
      <w:pPr>
        <w:pStyle w:val="SangriaFrancesaArticulo"/>
      </w:pPr>
    </w:p>
    <w:p w14:paraId="3FA1B8CB" w14:textId="77777777" w:rsidR="00601EEA" w:rsidRDefault="00601EEA" w:rsidP="00601EEA">
      <w:pPr>
        <w:pStyle w:val="TextoNormalNegritaCursivandice"/>
        <w:keepNext/>
      </w:pPr>
      <w:r>
        <w:t>Sentencia del Tribunal Europeo de Derechos Humanos de 28 de julio de 1999 (Selmouni c. Francia)</w:t>
      </w:r>
    </w:p>
    <w:p w14:paraId="36E67284" w14:textId="774935E2"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Sentencias </w:t>
      </w:r>
      <w:hyperlink w:anchor="SENTENCIA_2024_1" w:history="1">
        <w:r w:rsidRPr="00601EEA">
          <w:rPr>
            <w:rStyle w:val="TextoNormalCaracter"/>
          </w:rPr>
          <w:t>1/2024</w:t>
        </w:r>
      </w:hyperlink>
      <w:r>
        <w:t xml:space="preserve">, f. 2; </w:t>
      </w:r>
      <w:hyperlink w:anchor="SENTENCIA_2024_33" w:history="1">
        <w:r w:rsidRPr="00601EEA">
          <w:rPr>
            <w:rStyle w:val="TextoNormalCaracter"/>
          </w:rPr>
          <w:t>33/2024</w:t>
        </w:r>
      </w:hyperlink>
      <w:r>
        <w:t>, f. 2.</w:t>
      </w:r>
    </w:p>
    <w:p w14:paraId="066CB1E1" w14:textId="12F0B1EC" w:rsidR="00601EEA" w:rsidRDefault="00601EEA" w:rsidP="00601EEA">
      <w:pPr>
        <w:pStyle w:val="SangriaFrancesaArticulo"/>
      </w:pPr>
    </w:p>
    <w:p w14:paraId="4145C9D5" w14:textId="77777777" w:rsidR="00601EEA" w:rsidRDefault="00601EEA" w:rsidP="00601EEA">
      <w:pPr>
        <w:pStyle w:val="TextoNormalNegritaCursivandice"/>
        <w:keepNext/>
      </w:pPr>
      <w:r>
        <w:t>Sentencia del Tribunal Europeo de Derechos Humanos de 8 de febrero de 2000 (Cooke c. Austria)</w:t>
      </w:r>
    </w:p>
    <w:p w14:paraId="0BF0A827" w14:textId="4B4CD260" w:rsidR="00601EEA" w:rsidRDefault="00601EEA" w:rsidP="00601EEA">
      <w:pPr>
        <w:pStyle w:val="SangriaFrancesaArticulo"/>
      </w:pPr>
      <w:r w:rsidRPr="00601EEA">
        <w:rPr>
          <w:rStyle w:val="TextoNormalNegritaCaracter"/>
        </w:rPr>
        <w:t>§ 43.</w:t>
      </w:r>
      <w:r w:rsidRPr="00601EEA">
        <w:rPr>
          <w:rStyle w:val="TextoNormalCaracter"/>
        </w:rPr>
        <w:t>-</w:t>
      </w:r>
      <w:r>
        <w:t xml:space="preserve"> Sentencia </w:t>
      </w:r>
      <w:hyperlink w:anchor="SENTENCIA_2024_72" w:history="1">
        <w:r w:rsidRPr="00601EEA">
          <w:rPr>
            <w:rStyle w:val="TextoNormalCaracter"/>
          </w:rPr>
          <w:t>72/2024</w:t>
        </w:r>
      </w:hyperlink>
      <w:r>
        <w:t>, VP.</w:t>
      </w:r>
    </w:p>
    <w:p w14:paraId="58C15ACE" w14:textId="0CC56642" w:rsidR="00601EEA" w:rsidRDefault="00601EEA" w:rsidP="00601EEA">
      <w:pPr>
        <w:pStyle w:val="SangriaFrancesaArticulo"/>
      </w:pPr>
    </w:p>
    <w:p w14:paraId="03C6232C" w14:textId="77777777" w:rsidR="00601EEA" w:rsidRDefault="00601EEA" w:rsidP="00601EEA">
      <w:pPr>
        <w:pStyle w:val="TextoNormalNegritaCursivandice"/>
        <w:keepNext/>
      </w:pPr>
      <w:r>
        <w:t>Sentencia del Tribunal Europeo de Derechos Humanos de 16 de febrero de 2000 (Amann c. Suiza)</w:t>
      </w:r>
    </w:p>
    <w:p w14:paraId="2557544B" w14:textId="022D8829" w:rsidR="00601EEA" w:rsidRDefault="00601EEA" w:rsidP="00601EEA">
      <w:pPr>
        <w:pStyle w:val="SangriaFrancesaArticulo"/>
      </w:pPr>
      <w:r w:rsidRPr="00601EEA">
        <w:rPr>
          <w:rStyle w:val="TextoNormalNegritaCaracter"/>
        </w:rPr>
        <w:t>§ 65 a 67.</w:t>
      </w:r>
      <w:r w:rsidRPr="00601EEA">
        <w:rPr>
          <w:rStyle w:val="TextoNormalCaracter"/>
        </w:rPr>
        <w:t>-</w:t>
      </w:r>
      <w:r>
        <w:t xml:space="preserve"> Sentencia </w:t>
      </w:r>
      <w:hyperlink w:anchor="SENTENCIA_2024_87" w:history="1">
        <w:r w:rsidRPr="00601EEA">
          <w:rPr>
            <w:rStyle w:val="TextoNormalCaracter"/>
          </w:rPr>
          <w:t>87/2024</w:t>
        </w:r>
      </w:hyperlink>
      <w:r>
        <w:t>, VP II.</w:t>
      </w:r>
    </w:p>
    <w:p w14:paraId="2B3DA86F" w14:textId="77738236" w:rsidR="00601EEA" w:rsidRDefault="00601EEA" w:rsidP="00601EEA">
      <w:pPr>
        <w:pStyle w:val="SangriaFrancesaArticulo"/>
      </w:pPr>
    </w:p>
    <w:p w14:paraId="1DBF4514" w14:textId="77777777" w:rsidR="00601EEA" w:rsidRDefault="00601EEA" w:rsidP="00601EEA">
      <w:pPr>
        <w:pStyle w:val="TextoNormalNegritaCursivandice"/>
        <w:keepNext/>
      </w:pPr>
      <w:r>
        <w:t>Sentencia del Tribunal Europeo de Derechos Humanos de 21 de marzo de 2000 (Rushiti c. Austria)</w:t>
      </w:r>
    </w:p>
    <w:p w14:paraId="648490F2" w14:textId="67E8401F" w:rsidR="00601EEA" w:rsidRDefault="00601EEA" w:rsidP="00601EEA">
      <w:pPr>
        <w:pStyle w:val="SangriaFrancesaArticulo"/>
      </w:pPr>
      <w:r w:rsidRPr="00601EEA">
        <w:rPr>
          <w:rStyle w:val="TextoNormalNegritaCaracter"/>
        </w:rPr>
        <w:t>§ 31.</w:t>
      </w:r>
      <w:r w:rsidRPr="00601EEA">
        <w:rPr>
          <w:rStyle w:val="TextoNormalCaracter"/>
        </w:rPr>
        <w:t>-</w:t>
      </w:r>
      <w:r>
        <w:t xml:space="preserve"> Sentencia </w:t>
      </w:r>
      <w:hyperlink w:anchor="SENTENCIA_2024_72" w:history="1">
        <w:r w:rsidRPr="00601EEA">
          <w:rPr>
            <w:rStyle w:val="TextoNormalCaracter"/>
          </w:rPr>
          <w:t>72/2024</w:t>
        </w:r>
      </w:hyperlink>
      <w:r>
        <w:t>, VP.</w:t>
      </w:r>
    </w:p>
    <w:p w14:paraId="508C8003" w14:textId="3917E3A2" w:rsidR="00601EEA" w:rsidRDefault="00601EEA" w:rsidP="00601EEA">
      <w:pPr>
        <w:pStyle w:val="SangriaFrancesaArticulo"/>
      </w:pPr>
    </w:p>
    <w:p w14:paraId="765C91D2" w14:textId="77777777" w:rsidR="00601EEA" w:rsidRDefault="00601EEA" w:rsidP="00601EEA">
      <w:pPr>
        <w:pStyle w:val="TextoNormalNegritaCursivandice"/>
        <w:keepNext/>
      </w:pPr>
      <w:r>
        <w:t>Sentencia del Tribunal Europeo de Derechos Humanos de 28 de marzo de 2000 (Mahmut Kaya c. Turquía)</w:t>
      </w:r>
    </w:p>
    <w:p w14:paraId="44B445DD" w14:textId="2D13B32C"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1" w:history="1">
        <w:r w:rsidRPr="00601EEA">
          <w:rPr>
            <w:rStyle w:val="TextoNormalCaracter"/>
          </w:rPr>
          <w:t>1/2024</w:t>
        </w:r>
      </w:hyperlink>
      <w:r>
        <w:t>, f. 3.</w:t>
      </w:r>
    </w:p>
    <w:p w14:paraId="09A3FB02" w14:textId="72E134D2" w:rsidR="00601EEA" w:rsidRDefault="00601EEA" w:rsidP="00601EEA">
      <w:pPr>
        <w:pStyle w:val="SangriaFrancesaArticulo"/>
      </w:pPr>
    </w:p>
    <w:p w14:paraId="1DCA6793" w14:textId="77777777" w:rsidR="00601EEA" w:rsidRDefault="00601EEA" w:rsidP="00601EEA">
      <w:pPr>
        <w:pStyle w:val="TextoNormalNegritaCursivandice"/>
        <w:keepNext/>
      </w:pPr>
      <w:r>
        <w:lastRenderedPageBreak/>
        <w:t>Sentencia del Tribunal Europeo de Derechos Humanos de 6 de abril de 2000 (Labita c. Italia)</w:t>
      </w:r>
    </w:p>
    <w:p w14:paraId="5878C2A7" w14:textId="6E0C225C" w:rsidR="00601EEA" w:rsidRDefault="00601EEA" w:rsidP="00601EEA">
      <w:pPr>
        <w:pStyle w:val="SangriaFrancesaArticulo"/>
      </w:pPr>
      <w:r w:rsidRPr="00601EEA">
        <w:rPr>
          <w:rStyle w:val="TextoNormalNegritaCaracter"/>
        </w:rPr>
        <w:t>§ 119.</w:t>
      </w:r>
      <w:r w:rsidRPr="00601EEA">
        <w:rPr>
          <w:rStyle w:val="TextoNormalCaracter"/>
        </w:rPr>
        <w:t>-</w:t>
      </w:r>
      <w:r>
        <w:t xml:space="preserve"> Sentencia </w:t>
      </w:r>
      <w:hyperlink w:anchor="SENTENCIA_2024_35" w:history="1">
        <w:r w:rsidRPr="00601EEA">
          <w:rPr>
            <w:rStyle w:val="TextoNormalCaracter"/>
          </w:rPr>
          <w:t>35/2024</w:t>
        </w:r>
      </w:hyperlink>
      <w:r>
        <w:t>, f. 2.</w:t>
      </w:r>
    </w:p>
    <w:p w14:paraId="171436E9" w14:textId="363C9BEC" w:rsidR="00601EEA" w:rsidRDefault="00601EEA" w:rsidP="00601EEA">
      <w:pPr>
        <w:pStyle w:val="SangriaFrancesaArticulo"/>
      </w:pPr>
      <w:r w:rsidRPr="00601EEA">
        <w:rPr>
          <w:rStyle w:val="TextoNormalNegritaCaracter"/>
        </w:rPr>
        <w:t>§ 131.</w:t>
      </w:r>
      <w:r w:rsidRPr="00601EEA">
        <w:rPr>
          <w:rStyle w:val="TextoNormalCaracter"/>
        </w:rPr>
        <w:t>-</w:t>
      </w:r>
      <w:r>
        <w:t xml:space="preserve"> Sentencia </w:t>
      </w:r>
      <w:hyperlink w:anchor="SENTENCIA_2024_35" w:history="1">
        <w:r w:rsidRPr="00601EEA">
          <w:rPr>
            <w:rStyle w:val="TextoNormalCaracter"/>
          </w:rPr>
          <w:t>35/2024</w:t>
        </w:r>
      </w:hyperlink>
      <w:r>
        <w:t>, f. 2.</w:t>
      </w:r>
    </w:p>
    <w:p w14:paraId="2517C853" w14:textId="1C6CDAD7" w:rsidR="00601EEA" w:rsidRDefault="00601EEA" w:rsidP="00601EEA">
      <w:pPr>
        <w:pStyle w:val="SangriaFrancesaArticulo"/>
      </w:pPr>
    </w:p>
    <w:p w14:paraId="64E30286" w14:textId="77777777" w:rsidR="00601EEA" w:rsidRDefault="00601EEA" w:rsidP="00601EEA">
      <w:pPr>
        <w:pStyle w:val="TextoNormalNegritaCursivandice"/>
        <w:keepNext/>
      </w:pPr>
      <w:r>
        <w:t>Sentencia del Tribunal Europeo de Derechos Humanos de 11 de abril de 2000 (Sevtap Veznedaroglu c. Turquía)</w:t>
      </w:r>
    </w:p>
    <w:p w14:paraId="1814D8AC" w14:textId="4FA6DC61"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Sentencias </w:t>
      </w:r>
      <w:hyperlink w:anchor="SENTENCIA_2024_1" w:history="1">
        <w:r w:rsidRPr="00601EEA">
          <w:rPr>
            <w:rStyle w:val="TextoNormalCaracter"/>
          </w:rPr>
          <w:t>1/2024</w:t>
        </w:r>
      </w:hyperlink>
      <w:r>
        <w:t xml:space="preserve">, f. 2; </w:t>
      </w:r>
      <w:hyperlink w:anchor="SENTENCIA_2024_33" w:history="1">
        <w:r w:rsidRPr="00601EEA">
          <w:rPr>
            <w:rStyle w:val="TextoNormalCaracter"/>
          </w:rPr>
          <w:t>33/2024</w:t>
        </w:r>
      </w:hyperlink>
      <w:r>
        <w:t>, f. 2.</w:t>
      </w:r>
    </w:p>
    <w:p w14:paraId="2960829D" w14:textId="767F98C6" w:rsidR="00601EEA" w:rsidRDefault="00601EEA" w:rsidP="00601EEA">
      <w:pPr>
        <w:pStyle w:val="SangriaFrancesaArticulo"/>
      </w:pPr>
    </w:p>
    <w:p w14:paraId="0ED80BA4" w14:textId="77777777" w:rsidR="00601EEA" w:rsidRDefault="00601EEA" w:rsidP="00601EEA">
      <w:pPr>
        <w:pStyle w:val="TextoNormalNegritaCursivandice"/>
        <w:keepNext/>
      </w:pPr>
      <w:r>
        <w:t>Sentencia del Tribunal Europeo de Derechos Humanos de 4 de mayo de 2000 (Rotaru c. Rumania)</w:t>
      </w:r>
    </w:p>
    <w:p w14:paraId="2A7C41D2" w14:textId="00F4BAF7" w:rsidR="00601EEA" w:rsidRDefault="00601EEA" w:rsidP="00601EEA">
      <w:pPr>
        <w:pStyle w:val="SangriaFrancesaArticulo"/>
      </w:pPr>
      <w:r w:rsidRPr="00601EEA">
        <w:rPr>
          <w:rStyle w:val="TextoNormalNegritaCaracter"/>
        </w:rPr>
        <w:t>§ 43.</w:t>
      </w:r>
      <w:r w:rsidRPr="00601EEA">
        <w:rPr>
          <w:rStyle w:val="TextoNormalCaracter"/>
        </w:rPr>
        <w:t>-</w:t>
      </w:r>
      <w:r>
        <w:t xml:space="preserve"> Sentencia </w:t>
      </w:r>
      <w:hyperlink w:anchor="SENTENCIA_2024_87" w:history="1">
        <w:r w:rsidRPr="00601EEA">
          <w:rPr>
            <w:rStyle w:val="TextoNormalCaracter"/>
          </w:rPr>
          <w:t>87/2024</w:t>
        </w:r>
      </w:hyperlink>
      <w:r>
        <w:t>, VP II.</w:t>
      </w:r>
    </w:p>
    <w:p w14:paraId="1AC4AD30" w14:textId="728A9BEF" w:rsidR="00601EEA" w:rsidRDefault="00601EEA" w:rsidP="00601EEA">
      <w:pPr>
        <w:pStyle w:val="SangriaFrancesaArticulo"/>
      </w:pPr>
      <w:r w:rsidRPr="00601EEA">
        <w:rPr>
          <w:rStyle w:val="TextoNormalNegritaCaracter"/>
        </w:rPr>
        <w:t>§ 44.</w:t>
      </w:r>
      <w:r w:rsidRPr="00601EEA">
        <w:rPr>
          <w:rStyle w:val="TextoNormalCaracter"/>
        </w:rPr>
        <w:t>-</w:t>
      </w:r>
      <w:r>
        <w:t xml:space="preserve"> Sentencia </w:t>
      </w:r>
      <w:hyperlink w:anchor="SENTENCIA_2024_87" w:history="1">
        <w:r w:rsidRPr="00601EEA">
          <w:rPr>
            <w:rStyle w:val="TextoNormalCaracter"/>
          </w:rPr>
          <w:t>87/2024</w:t>
        </w:r>
      </w:hyperlink>
      <w:r>
        <w:t>, VP II.</w:t>
      </w:r>
    </w:p>
    <w:p w14:paraId="0E1466F8" w14:textId="3FBEEE31" w:rsidR="00601EEA" w:rsidRDefault="00601EEA" w:rsidP="00601EEA">
      <w:pPr>
        <w:pStyle w:val="SangriaFrancesaArticulo"/>
      </w:pPr>
    </w:p>
    <w:p w14:paraId="47F02299" w14:textId="77777777" w:rsidR="00601EEA" w:rsidRDefault="00601EEA" w:rsidP="00601EEA">
      <w:pPr>
        <w:pStyle w:val="TextoNormalNegritaCursivandice"/>
        <w:keepNext/>
      </w:pPr>
      <w:r>
        <w:t>Decisión del Tribunal Europeo de Derechos Humanos de 25 de mayo de 2000 (Jiménez Alonso y Jiménez Merino c. España)</w:t>
      </w:r>
    </w:p>
    <w:p w14:paraId="55E96314" w14:textId="370DBA5C"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92" w:history="1">
        <w:r w:rsidRPr="00601EEA">
          <w:rPr>
            <w:rStyle w:val="TextoNormalCaracter"/>
          </w:rPr>
          <w:t>92/2024</w:t>
        </w:r>
      </w:hyperlink>
      <w:r>
        <w:t>, f. 5.</w:t>
      </w:r>
    </w:p>
    <w:p w14:paraId="678A9214" w14:textId="4A12FFBA" w:rsidR="00601EEA" w:rsidRDefault="00601EEA" w:rsidP="00601EEA">
      <w:pPr>
        <w:pStyle w:val="SangriaFrancesaArticulo"/>
      </w:pPr>
    </w:p>
    <w:p w14:paraId="4D58A9C4" w14:textId="77777777" w:rsidR="00601EEA" w:rsidRDefault="00601EEA" w:rsidP="00601EEA">
      <w:pPr>
        <w:pStyle w:val="TextoNormalNegritaCursivandice"/>
        <w:keepNext/>
      </w:pPr>
      <w:r>
        <w:t>Sentencia del Tribunal Europeo de Derechos Humanos de 27 de junio de 2000 (Constantinescu c. Rumania)</w:t>
      </w:r>
    </w:p>
    <w:p w14:paraId="5BDBFA09" w14:textId="25026C3B" w:rsidR="00601EEA" w:rsidRDefault="00601EEA" w:rsidP="00601EEA">
      <w:pPr>
        <w:pStyle w:val="SangriaFrancesaArticulo"/>
      </w:pPr>
      <w:r w:rsidRPr="00601EEA">
        <w:rPr>
          <w:rStyle w:val="TextoNormalNegritaCaracter"/>
        </w:rPr>
        <w:t>En general.</w:t>
      </w:r>
      <w:r w:rsidRPr="00601EEA">
        <w:rPr>
          <w:rStyle w:val="TextoNormalCaracter"/>
        </w:rPr>
        <w:t>-</w:t>
      </w:r>
      <w:r>
        <w:t xml:space="preserve"> Auto </w:t>
      </w:r>
      <w:hyperlink w:anchor="AUTO_2024_51" w:history="1">
        <w:r w:rsidRPr="00601EEA">
          <w:rPr>
            <w:rStyle w:val="TextoNormalCaracter"/>
          </w:rPr>
          <w:t>51/2024</w:t>
        </w:r>
      </w:hyperlink>
      <w:r>
        <w:t>, f. 4.</w:t>
      </w:r>
    </w:p>
    <w:p w14:paraId="0522D353" w14:textId="2411D9C4" w:rsidR="00601EEA" w:rsidRDefault="00601EEA" w:rsidP="00601EEA">
      <w:pPr>
        <w:pStyle w:val="SangriaFrancesaArticulo"/>
      </w:pPr>
    </w:p>
    <w:p w14:paraId="7BA26132" w14:textId="77777777" w:rsidR="00601EEA" w:rsidRDefault="00601EEA" w:rsidP="00601EEA">
      <w:pPr>
        <w:pStyle w:val="TextoNormalNegritaCursivandice"/>
        <w:keepNext/>
      </w:pPr>
      <w:r>
        <w:t>Sentencia del Tribunal Europeo de Derechos Humanos de 19 de septiembre de 2000 (Gnahoré c. Francia)</w:t>
      </w:r>
    </w:p>
    <w:p w14:paraId="57B47A14" w14:textId="65213FCF" w:rsidR="00601EEA" w:rsidRDefault="00601EEA" w:rsidP="00601EEA">
      <w:pPr>
        <w:pStyle w:val="SangriaFrancesaArticulo"/>
      </w:pPr>
      <w:r w:rsidRPr="00601EEA">
        <w:rPr>
          <w:rStyle w:val="TextoNormalNegritaCaracter"/>
        </w:rPr>
        <w:t>§ 59.</w:t>
      </w:r>
      <w:r w:rsidRPr="00601EEA">
        <w:rPr>
          <w:rStyle w:val="TextoNormalCaracter"/>
        </w:rPr>
        <w:t>-</w:t>
      </w:r>
      <w:r>
        <w:t xml:space="preserve"> Sentencia </w:t>
      </w:r>
      <w:hyperlink w:anchor="SENTENCIA_2024_53" w:history="1">
        <w:r w:rsidRPr="00601EEA">
          <w:rPr>
            <w:rStyle w:val="TextoNormalCaracter"/>
          </w:rPr>
          <w:t>53/2024</w:t>
        </w:r>
      </w:hyperlink>
      <w:r>
        <w:t>, f. 3.</w:t>
      </w:r>
    </w:p>
    <w:p w14:paraId="513BE15F" w14:textId="0141E32A" w:rsidR="00601EEA" w:rsidRDefault="00601EEA" w:rsidP="00601EEA">
      <w:pPr>
        <w:pStyle w:val="SangriaFrancesaArticulo"/>
      </w:pPr>
    </w:p>
    <w:p w14:paraId="472215C1" w14:textId="77777777" w:rsidR="00601EEA" w:rsidRDefault="00601EEA" w:rsidP="00601EEA">
      <w:pPr>
        <w:pStyle w:val="TextoNormalNegritaCursivandice"/>
        <w:keepNext/>
      </w:pPr>
      <w:r>
        <w:t>Sentencia del Tribunal Europeo de Derechos Humanos de 26 de octubre de 2000 (Kudla c. Polonia)</w:t>
      </w:r>
    </w:p>
    <w:p w14:paraId="41F14D80" w14:textId="08E6E1B3" w:rsidR="00601EEA" w:rsidRDefault="00601EEA" w:rsidP="00601EEA">
      <w:pPr>
        <w:pStyle w:val="SangriaFrancesaArticulo"/>
      </w:pPr>
      <w:r w:rsidRPr="00601EEA">
        <w:rPr>
          <w:rStyle w:val="TextoNormalNegritaCaracter"/>
        </w:rPr>
        <w:t>§ 91.</w:t>
      </w:r>
      <w:r w:rsidRPr="00601EEA">
        <w:rPr>
          <w:rStyle w:val="TextoNormalCaracter"/>
        </w:rPr>
        <w:t>-</w:t>
      </w:r>
      <w:r>
        <w:t xml:space="preserve"> Sentencia </w:t>
      </w:r>
      <w:hyperlink w:anchor="SENTENCIA_2024_35" w:history="1">
        <w:r w:rsidRPr="00601EEA">
          <w:rPr>
            <w:rStyle w:val="TextoNormalCaracter"/>
          </w:rPr>
          <w:t>35/2024</w:t>
        </w:r>
      </w:hyperlink>
      <w:r>
        <w:t>, VP.</w:t>
      </w:r>
    </w:p>
    <w:p w14:paraId="688644E5" w14:textId="1E7F6AF4" w:rsidR="00601EEA" w:rsidRDefault="00601EEA" w:rsidP="00601EEA">
      <w:pPr>
        <w:pStyle w:val="SangriaFrancesaArticulo"/>
      </w:pPr>
      <w:r w:rsidRPr="00601EEA">
        <w:rPr>
          <w:rStyle w:val="TextoNormalNegritaCaracter"/>
        </w:rPr>
        <w:t>§ 157.</w:t>
      </w:r>
      <w:r w:rsidRPr="00601EEA">
        <w:rPr>
          <w:rStyle w:val="TextoNormalCaracter"/>
        </w:rPr>
        <w:t>-</w:t>
      </w:r>
      <w:r>
        <w:t xml:space="preserve"> Sentencia </w:t>
      </w:r>
      <w:hyperlink w:anchor="SENTENCIA_2024_61" w:history="1">
        <w:r w:rsidRPr="00601EEA">
          <w:rPr>
            <w:rStyle w:val="TextoNormalCaracter"/>
          </w:rPr>
          <w:t>61/2024</w:t>
        </w:r>
      </w:hyperlink>
      <w:r>
        <w:t>, VP.</w:t>
      </w:r>
    </w:p>
    <w:p w14:paraId="25DD87E2" w14:textId="3EB2B2E8" w:rsidR="00601EEA" w:rsidRDefault="00601EEA" w:rsidP="00601EEA">
      <w:pPr>
        <w:pStyle w:val="SangriaFrancesaArticulo"/>
      </w:pPr>
    </w:p>
    <w:p w14:paraId="36E22C15" w14:textId="77777777" w:rsidR="00601EEA" w:rsidRDefault="00601EEA" w:rsidP="00601EEA">
      <w:pPr>
        <w:pStyle w:val="TextoNormalNegritaCursivandice"/>
        <w:keepNext/>
      </w:pPr>
      <w:r>
        <w:t>Sentencia del Tribunal Europeo de Derechos Humanos de 6 de marzo de 2001 (Hilal c. Reino Unido)</w:t>
      </w:r>
    </w:p>
    <w:p w14:paraId="632DF52A" w14:textId="13A266E8" w:rsidR="00601EEA" w:rsidRDefault="00601EEA" w:rsidP="00601EEA">
      <w:pPr>
        <w:pStyle w:val="SangriaFrancesaArticulo"/>
      </w:pPr>
      <w:r w:rsidRPr="00601EEA">
        <w:rPr>
          <w:rStyle w:val="TextoNormalNegritaCaracter"/>
        </w:rPr>
        <w:t>§ 78.</w:t>
      </w:r>
      <w:r w:rsidRPr="00601EEA">
        <w:rPr>
          <w:rStyle w:val="TextoNormalCaracter"/>
        </w:rPr>
        <w:t>-</w:t>
      </w:r>
      <w:r>
        <w:t xml:space="preserve"> Sentencia </w:t>
      </w:r>
      <w:hyperlink w:anchor="SENTENCIA_2024_61" w:history="1">
        <w:r w:rsidRPr="00601EEA">
          <w:rPr>
            <w:rStyle w:val="TextoNormalCaracter"/>
          </w:rPr>
          <w:t>61/2024</w:t>
        </w:r>
      </w:hyperlink>
      <w:r>
        <w:t>, VP.</w:t>
      </w:r>
    </w:p>
    <w:p w14:paraId="36BEF1EC" w14:textId="5653AD58" w:rsidR="00601EEA" w:rsidRDefault="00601EEA" w:rsidP="00601EEA">
      <w:pPr>
        <w:pStyle w:val="SangriaFrancesaArticulo"/>
      </w:pPr>
    </w:p>
    <w:p w14:paraId="017DA056" w14:textId="77777777" w:rsidR="00601EEA" w:rsidRDefault="00601EEA" w:rsidP="00601EEA">
      <w:pPr>
        <w:pStyle w:val="TextoNormalNegritaCursivandice"/>
        <w:keepNext/>
      </w:pPr>
      <w:r>
        <w:t>Sentencia del Tribunal Europeo de Derechos Humanos de 3 de abril de 2001 (Keenan c. Reino Unido)</w:t>
      </w:r>
    </w:p>
    <w:p w14:paraId="26D38518" w14:textId="0473CB9A"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1" w:history="1">
        <w:r w:rsidRPr="00601EEA">
          <w:rPr>
            <w:rStyle w:val="TextoNormalCaracter"/>
          </w:rPr>
          <w:t>1/2024</w:t>
        </w:r>
      </w:hyperlink>
      <w:r>
        <w:t>, f. 3.</w:t>
      </w:r>
    </w:p>
    <w:p w14:paraId="64ABD40A" w14:textId="124BAA9D" w:rsidR="00601EEA" w:rsidRDefault="00601EEA" w:rsidP="00601EEA">
      <w:pPr>
        <w:pStyle w:val="SangriaFrancesaArticulo"/>
      </w:pPr>
      <w:r w:rsidRPr="00601EEA">
        <w:rPr>
          <w:rStyle w:val="TextoNormalNegritaCaracter"/>
        </w:rPr>
        <w:t>§ 90.</w:t>
      </w:r>
      <w:r w:rsidRPr="00601EEA">
        <w:rPr>
          <w:rStyle w:val="TextoNormalCaracter"/>
        </w:rPr>
        <w:t>-</w:t>
      </w:r>
      <w:r>
        <w:t xml:space="preserve"> Sentencia </w:t>
      </w:r>
      <w:hyperlink w:anchor="SENTENCIA_2024_1" w:history="1">
        <w:r w:rsidRPr="00601EEA">
          <w:rPr>
            <w:rStyle w:val="TextoNormalCaracter"/>
          </w:rPr>
          <w:t>1/2024</w:t>
        </w:r>
      </w:hyperlink>
      <w:r>
        <w:t>, f. 3.</w:t>
      </w:r>
    </w:p>
    <w:p w14:paraId="38C89F63" w14:textId="0397768E" w:rsidR="00601EEA" w:rsidRDefault="00601EEA" w:rsidP="00601EEA">
      <w:pPr>
        <w:pStyle w:val="SangriaFrancesaArticulo"/>
      </w:pPr>
    </w:p>
    <w:p w14:paraId="70DF9126" w14:textId="77777777" w:rsidR="00601EEA" w:rsidRDefault="00601EEA" w:rsidP="00601EEA">
      <w:pPr>
        <w:pStyle w:val="TextoNormalNegritaCursivandice"/>
        <w:keepNext/>
      </w:pPr>
      <w:r>
        <w:t>Sentencia del Tribunal Europeo de Derechos Humanos de 19 de abril de 2001 (Peers c. Grecia )</w:t>
      </w:r>
    </w:p>
    <w:p w14:paraId="297177EF" w14:textId="10A64076" w:rsidR="00601EEA" w:rsidRDefault="00601EEA" w:rsidP="00601EEA">
      <w:pPr>
        <w:pStyle w:val="SangriaFrancesaArticulo"/>
      </w:pPr>
      <w:r w:rsidRPr="00601EEA">
        <w:rPr>
          <w:rStyle w:val="TextoNormalNegritaCaracter"/>
        </w:rPr>
        <w:t>§ 67.</w:t>
      </w:r>
      <w:r w:rsidRPr="00601EEA">
        <w:rPr>
          <w:rStyle w:val="TextoNormalCaracter"/>
        </w:rPr>
        <w:t>-</w:t>
      </w:r>
      <w:r>
        <w:t xml:space="preserve"> Sentencia </w:t>
      </w:r>
      <w:hyperlink w:anchor="SENTENCIA_2024_35" w:history="1">
        <w:r w:rsidRPr="00601EEA">
          <w:rPr>
            <w:rStyle w:val="TextoNormalCaracter"/>
          </w:rPr>
          <w:t>35/2024</w:t>
        </w:r>
      </w:hyperlink>
      <w:r>
        <w:t>, VP.</w:t>
      </w:r>
    </w:p>
    <w:p w14:paraId="110DE1C1" w14:textId="5C9A6069" w:rsidR="00601EEA" w:rsidRDefault="00601EEA" w:rsidP="00601EEA">
      <w:pPr>
        <w:pStyle w:val="SangriaFrancesaArticulo"/>
      </w:pPr>
    </w:p>
    <w:p w14:paraId="5968F706" w14:textId="77777777" w:rsidR="00601EEA" w:rsidRDefault="00601EEA" w:rsidP="00601EEA">
      <w:pPr>
        <w:pStyle w:val="TextoNormalNegritaCursivandice"/>
        <w:keepNext/>
      </w:pPr>
      <w:r>
        <w:lastRenderedPageBreak/>
        <w:t>Sentencia del Tribunal Europeo de Derechos Humanos de 29 de abril de 2002 (Pretty c. Reino Unido)</w:t>
      </w:r>
    </w:p>
    <w:p w14:paraId="469A1B08" w14:textId="3E957948" w:rsidR="00601EEA" w:rsidRDefault="00601EEA" w:rsidP="00601EEA">
      <w:pPr>
        <w:pStyle w:val="SangriaFrancesaArticulo"/>
      </w:pPr>
      <w:r w:rsidRPr="00601EEA">
        <w:rPr>
          <w:rStyle w:val="TextoNormalNegritaCaracter"/>
        </w:rPr>
        <w:t>§ 63.</w:t>
      </w:r>
      <w:r w:rsidRPr="00601EEA">
        <w:rPr>
          <w:rStyle w:val="TextoNormalCaracter"/>
        </w:rPr>
        <w:t>-</w:t>
      </w:r>
      <w:r>
        <w:t xml:space="preserve"> Sentencia </w:t>
      </w:r>
      <w:hyperlink w:anchor="SENTENCIA_2024_92" w:history="1">
        <w:r w:rsidRPr="00601EEA">
          <w:rPr>
            <w:rStyle w:val="TextoNormalCaracter"/>
          </w:rPr>
          <w:t>92/2024</w:t>
        </w:r>
      </w:hyperlink>
      <w:r>
        <w:t>, f. 7.</w:t>
      </w:r>
    </w:p>
    <w:p w14:paraId="2BBEC672" w14:textId="34B03CED" w:rsidR="00601EEA" w:rsidRDefault="00601EEA" w:rsidP="00601EEA">
      <w:pPr>
        <w:pStyle w:val="SangriaFrancesaArticulo"/>
      </w:pPr>
      <w:r w:rsidRPr="00601EEA">
        <w:rPr>
          <w:rStyle w:val="TextoNormalNegritaCaracter"/>
        </w:rPr>
        <w:t>§ 65.</w:t>
      </w:r>
      <w:r w:rsidRPr="00601EEA">
        <w:rPr>
          <w:rStyle w:val="TextoNormalCaracter"/>
        </w:rPr>
        <w:t>-</w:t>
      </w:r>
      <w:r>
        <w:t xml:space="preserve"> Sentencia </w:t>
      </w:r>
      <w:hyperlink w:anchor="SENTENCIA_2024_92" w:history="1">
        <w:r w:rsidRPr="00601EEA">
          <w:rPr>
            <w:rStyle w:val="TextoNormalCaracter"/>
          </w:rPr>
          <w:t>92/2024</w:t>
        </w:r>
      </w:hyperlink>
      <w:r>
        <w:t>, f. 7.</w:t>
      </w:r>
    </w:p>
    <w:p w14:paraId="391C86C7" w14:textId="166B418F" w:rsidR="00601EEA" w:rsidRDefault="00601EEA" w:rsidP="00601EEA">
      <w:pPr>
        <w:pStyle w:val="SangriaFrancesaArticulo"/>
      </w:pPr>
    </w:p>
    <w:p w14:paraId="4634DAA0" w14:textId="77777777" w:rsidR="00601EEA" w:rsidRDefault="00601EEA" w:rsidP="00601EEA">
      <w:pPr>
        <w:pStyle w:val="TextoNormalNegritaCursivandice"/>
        <w:keepNext/>
      </w:pPr>
      <w:r>
        <w:t>Sentencia del Tribunal Europeo de Derechos Humanos de 5 de septiembre de 2002 (Boso c. Italia)</w:t>
      </w:r>
    </w:p>
    <w:p w14:paraId="0AE9DE5E" w14:textId="79B0CD30"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92" w:history="1">
        <w:r w:rsidRPr="00601EEA">
          <w:rPr>
            <w:rStyle w:val="TextoNormalCaracter"/>
          </w:rPr>
          <w:t>92/2024</w:t>
        </w:r>
      </w:hyperlink>
      <w:r>
        <w:t>, VP III.</w:t>
      </w:r>
    </w:p>
    <w:p w14:paraId="3847728F" w14:textId="2802B516" w:rsidR="00601EEA" w:rsidRDefault="00601EEA" w:rsidP="00601EEA">
      <w:pPr>
        <w:pStyle w:val="SangriaFrancesaArticulo"/>
      </w:pPr>
    </w:p>
    <w:p w14:paraId="1A045B9A" w14:textId="77777777" w:rsidR="00601EEA" w:rsidRDefault="00601EEA" w:rsidP="00601EEA">
      <w:pPr>
        <w:pStyle w:val="TextoNormalNegritaCursivandice"/>
        <w:keepNext/>
      </w:pPr>
      <w:r>
        <w:t>Sentencia del Tribunal Europeo de Derechos Humanos de 17 de octubre de 2002 (Vostic c. Austria)</w:t>
      </w:r>
    </w:p>
    <w:p w14:paraId="1280F1C3" w14:textId="2541D86C" w:rsidR="00601EEA" w:rsidRDefault="00601EEA" w:rsidP="00601EEA">
      <w:pPr>
        <w:pStyle w:val="SangriaFrancesaArticulo"/>
      </w:pPr>
      <w:r w:rsidRPr="00601EEA">
        <w:rPr>
          <w:rStyle w:val="TextoNormalNegritaCaracter"/>
        </w:rPr>
        <w:t>§ 19.</w:t>
      </w:r>
      <w:r w:rsidRPr="00601EEA">
        <w:rPr>
          <w:rStyle w:val="TextoNormalCaracter"/>
        </w:rPr>
        <w:t>-</w:t>
      </w:r>
      <w:r>
        <w:t xml:space="preserve"> Sentencia </w:t>
      </w:r>
      <w:hyperlink w:anchor="SENTENCIA_2024_72" w:history="1">
        <w:r w:rsidRPr="00601EEA">
          <w:rPr>
            <w:rStyle w:val="TextoNormalCaracter"/>
          </w:rPr>
          <w:t>72/2024</w:t>
        </w:r>
      </w:hyperlink>
      <w:r>
        <w:t>, VP.</w:t>
      </w:r>
    </w:p>
    <w:p w14:paraId="522ECCB0" w14:textId="686F579C" w:rsidR="00601EEA" w:rsidRDefault="00601EEA" w:rsidP="00601EEA">
      <w:pPr>
        <w:pStyle w:val="SangriaFrancesaArticulo"/>
      </w:pPr>
    </w:p>
    <w:p w14:paraId="24638AB5" w14:textId="77777777" w:rsidR="00601EEA" w:rsidRDefault="00601EEA" w:rsidP="00601EEA">
      <w:pPr>
        <w:pStyle w:val="TextoNormalNegritaCursivandice"/>
        <w:keepNext/>
      </w:pPr>
      <w:r>
        <w:t>Sentencia del Tribunal Europeo de Derechos Humanos de 20 de febrero de 2003 (Djavit An c. Turquía)</w:t>
      </w:r>
    </w:p>
    <w:p w14:paraId="7888EED2" w14:textId="581BF784" w:rsidR="00601EEA" w:rsidRDefault="00601EEA" w:rsidP="00601EEA">
      <w:pPr>
        <w:pStyle w:val="SangriaFrancesaArticulo"/>
      </w:pPr>
      <w:r w:rsidRPr="00601EEA">
        <w:rPr>
          <w:rStyle w:val="TextoNormalNegritaCaracter"/>
        </w:rPr>
        <w:t>§ 56.</w:t>
      </w:r>
      <w:r w:rsidRPr="00601EEA">
        <w:rPr>
          <w:rStyle w:val="TextoNormalCaracter"/>
        </w:rPr>
        <w:t>-</w:t>
      </w:r>
      <w:r>
        <w:t xml:space="preserve"> Sentencia </w:t>
      </w:r>
      <w:hyperlink w:anchor="SENTENCIA_2024_75" w:history="1">
        <w:r w:rsidRPr="00601EEA">
          <w:rPr>
            <w:rStyle w:val="TextoNormalCaracter"/>
          </w:rPr>
          <w:t>75/2024</w:t>
        </w:r>
      </w:hyperlink>
      <w:r>
        <w:t>, VP II.</w:t>
      </w:r>
    </w:p>
    <w:p w14:paraId="5D311387" w14:textId="0E2074D1" w:rsidR="00601EEA" w:rsidRDefault="00601EEA" w:rsidP="00601EEA">
      <w:pPr>
        <w:pStyle w:val="SangriaFrancesaArticulo"/>
      </w:pPr>
      <w:r w:rsidRPr="00601EEA">
        <w:rPr>
          <w:rStyle w:val="TextoNormalNegritaCaracter"/>
        </w:rPr>
        <w:t>§ 57.</w:t>
      </w:r>
      <w:r w:rsidRPr="00601EEA">
        <w:rPr>
          <w:rStyle w:val="TextoNormalCaracter"/>
        </w:rPr>
        <w:t>-</w:t>
      </w:r>
      <w:r>
        <w:t xml:space="preserve"> Sentencia </w:t>
      </w:r>
      <w:hyperlink w:anchor="SENTENCIA_2024_75" w:history="1">
        <w:r w:rsidRPr="00601EEA">
          <w:rPr>
            <w:rStyle w:val="TextoNormalCaracter"/>
          </w:rPr>
          <w:t>75/2024</w:t>
        </w:r>
      </w:hyperlink>
      <w:r>
        <w:t>, VP II.</w:t>
      </w:r>
    </w:p>
    <w:p w14:paraId="6EA83676" w14:textId="463E402F" w:rsidR="00601EEA" w:rsidRDefault="00601EEA" w:rsidP="00601EEA">
      <w:pPr>
        <w:pStyle w:val="SangriaFrancesaArticulo"/>
      </w:pPr>
    </w:p>
    <w:p w14:paraId="2EC60AC7" w14:textId="77777777" w:rsidR="00601EEA" w:rsidRDefault="00601EEA" w:rsidP="00601EEA">
      <w:pPr>
        <w:pStyle w:val="TextoNormalNegritaCursivandice"/>
        <w:keepNext/>
      </w:pPr>
      <w:r>
        <w:t>Sentencia del Tribunal Europeo de Derechos Humanos de 23 de octubre de 2003 (Gençel c. Turquía)</w:t>
      </w:r>
    </w:p>
    <w:p w14:paraId="303101B6" w14:textId="5D531399"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9" w:history="1">
        <w:r w:rsidRPr="00601EEA">
          <w:rPr>
            <w:rStyle w:val="TextoNormalCaracter"/>
          </w:rPr>
          <w:t>9/2024</w:t>
        </w:r>
      </w:hyperlink>
      <w:r>
        <w:t>, VP II.</w:t>
      </w:r>
    </w:p>
    <w:p w14:paraId="41553DAA" w14:textId="246E1C01" w:rsidR="00601EEA" w:rsidRDefault="00601EEA" w:rsidP="00601EEA">
      <w:pPr>
        <w:pStyle w:val="SangriaFrancesaArticulo"/>
      </w:pPr>
      <w:r w:rsidRPr="00601EEA">
        <w:rPr>
          <w:rStyle w:val="TextoNormalNegritaCaracter"/>
        </w:rPr>
        <w:t>§ 27.</w:t>
      </w:r>
      <w:r w:rsidRPr="00601EEA">
        <w:rPr>
          <w:rStyle w:val="TextoNormalCaracter"/>
        </w:rPr>
        <w:t>-</w:t>
      </w:r>
      <w:r>
        <w:t xml:space="preserve"> Sentencia </w:t>
      </w:r>
      <w:hyperlink w:anchor="SENTENCIA_2024_9" w:history="1">
        <w:r w:rsidRPr="00601EEA">
          <w:rPr>
            <w:rStyle w:val="TextoNormalCaracter"/>
          </w:rPr>
          <w:t>9/2024</w:t>
        </w:r>
      </w:hyperlink>
      <w:r>
        <w:t>, VP II.</w:t>
      </w:r>
    </w:p>
    <w:p w14:paraId="127C391E" w14:textId="42A7FB01" w:rsidR="00601EEA" w:rsidRDefault="00601EEA" w:rsidP="00601EEA">
      <w:pPr>
        <w:pStyle w:val="SangriaFrancesaArticulo"/>
      </w:pPr>
    </w:p>
    <w:p w14:paraId="616839F3" w14:textId="77777777" w:rsidR="00601EEA" w:rsidRDefault="00601EEA" w:rsidP="00601EEA">
      <w:pPr>
        <w:pStyle w:val="TextoNormalNegritaCursivandice"/>
        <w:keepNext/>
      </w:pPr>
      <w:r>
        <w:t>Sentencia del Tribunal Europeo de Derechos Humanos de 28 de octubre de 2003 (Baars c. Países Bajos)</w:t>
      </w:r>
    </w:p>
    <w:p w14:paraId="3AD3938C" w14:textId="0FB0051E" w:rsidR="00601EEA" w:rsidRDefault="00601EEA" w:rsidP="00601EEA">
      <w:pPr>
        <w:pStyle w:val="SangriaFrancesaArticulo"/>
      </w:pPr>
      <w:r w:rsidRPr="00601EEA">
        <w:rPr>
          <w:rStyle w:val="TextoNormalNegritaCaracter"/>
        </w:rPr>
        <w:t>§ 26.</w:t>
      </w:r>
      <w:r w:rsidRPr="00601EEA">
        <w:rPr>
          <w:rStyle w:val="TextoNormalCaracter"/>
        </w:rPr>
        <w:t>-</w:t>
      </w:r>
      <w:r>
        <w:t xml:space="preserve"> Sentencia </w:t>
      </w:r>
      <w:hyperlink w:anchor="SENTENCIA_2024_72" w:history="1">
        <w:r w:rsidRPr="00601EEA">
          <w:rPr>
            <w:rStyle w:val="TextoNormalCaracter"/>
          </w:rPr>
          <w:t>72/2024</w:t>
        </w:r>
      </w:hyperlink>
      <w:r>
        <w:t>, f. 6, VP.</w:t>
      </w:r>
    </w:p>
    <w:p w14:paraId="441A95FA" w14:textId="4AF88358" w:rsidR="00601EEA" w:rsidRDefault="00601EEA" w:rsidP="00601EEA">
      <w:pPr>
        <w:pStyle w:val="SangriaFrancesaArticulo"/>
      </w:pPr>
    </w:p>
    <w:p w14:paraId="1DD4696B" w14:textId="77777777" w:rsidR="00601EEA" w:rsidRDefault="00601EEA" w:rsidP="00601EEA">
      <w:pPr>
        <w:pStyle w:val="TextoNormalNegritaCursivandice"/>
        <w:keepNext/>
      </w:pPr>
      <w:r>
        <w:t>Sentencia del Tribunal Europeo de Derechos Humanos de 16 de diciembre de 2003 (Kmetty c. Hungría)</w:t>
      </w:r>
    </w:p>
    <w:p w14:paraId="0BCE8FE9" w14:textId="6709F22A"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Sentencias </w:t>
      </w:r>
      <w:hyperlink w:anchor="SENTENCIA_2024_1" w:history="1">
        <w:r w:rsidRPr="00601EEA">
          <w:rPr>
            <w:rStyle w:val="TextoNormalCaracter"/>
          </w:rPr>
          <w:t>1/2024</w:t>
        </w:r>
      </w:hyperlink>
      <w:r>
        <w:t xml:space="preserve">, f. 2; </w:t>
      </w:r>
      <w:hyperlink w:anchor="SENTENCIA_2024_33" w:history="1">
        <w:r w:rsidRPr="00601EEA">
          <w:rPr>
            <w:rStyle w:val="TextoNormalCaracter"/>
          </w:rPr>
          <w:t>33/2024</w:t>
        </w:r>
      </w:hyperlink>
      <w:r>
        <w:t>, f. 2.</w:t>
      </w:r>
    </w:p>
    <w:p w14:paraId="4DF1772A" w14:textId="43757321" w:rsidR="00601EEA" w:rsidRDefault="00601EEA" w:rsidP="00601EEA">
      <w:pPr>
        <w:pStyle w:val="SangriaFrancesaArticulo"/>
      </w:pPr>
    </w:p>
    <w:p w14:paraId="11A5C3D7" w14:textId="77777777" w:rsidR="00601EEA" w:rsidRDefault="00601EEA" w:rsidP="00601EEA">
      <w:pPr>
        <w:pStyle w:val="TextoNormalNegritaCursivandice"/>
        <w:keepNext/>
      </w:pPr>
      <w:r>
        <w:t>Sentencia del Tribunal Europeo de Derechos Humanos de 8 de abril de 2004 (Özalp y otros c. Turquía)</w:t>
      </w:r>
    </w:p>
    <w:p w14:paraId="1646C809" w14:textId="13EF9F0E" w:rsidR="00601EEA" w:rsidRDefault="00601EEA" w:rsidP="00601EEA">
      <w:pPr>
        <w:pStyle w:val="SangriaFrancesaArticulo"/>
      </w:pPr>
      <w:r w:rsidRPr="00601EEA">
        <w:rPr>
          <w:rStyle w:val="TextoNormalNegritaCaracter"/>
        </w:rPr>
        <w:t>§ 59.</w:t>
      </w:r>
      <w:r w:rsidRPr="00601EEA">
        <w:rPr>
          <w:rStyle w:val="TextoNormalCaracter"/>
        </w:rPr>
        <w:t>-</w:t>
      </w:r>
      <w:r>
        <w:t xml:space="preserve"> Auto </w:t>
      </w:r>
      <w:hyperlink w:anchor="AUTO_2024_57" w:history="1">
        <w:r w:rsidRPr="00601EEA">
          <w:rPr>
            <w:rStyle w:val="TextoNormalCaracter"/>
          </w:rPr>
          <w:t>57/2024</w:t>
        </w:r>
      </w:hyperlink>
      <w:r>
        <w:t>, VP II.</w:t>
      </w:r>
    </w:p>
    <w:p w14:paraId="5FC110CC" w14:textId="0CAE502F" w:rsidR="00601EEA" w:rsidRDefault="00601EEA" w:rsidP="00601EEA">
      <w:pPr>
        <w:pStyle w:val="SangriaFrancesaArticulo"/>
      </w:pPr>
    </w:p>
    <w:p w14:paraId="399474BF" w14:textId="77777777" w:rsidR="00601EEA" w:rsidRDefault="00601EEA" w:rsidP="00601EEA">
      <w:pPr>
        <w:pStyle w:val="TextoNormalNegritaCursivandice"/>
        <w:keepNext/>
      </w:pPr>
      <w:r>
        <w:t>Sentencia del Tribunal Europeo de Derechos Humanos de 8 de julio de 2004 (VO c. Francia)</w:t>
      </w:r>
    </w:p>
    <w:p w14:paraId="5D669A7D" w14:textId="62A75C4C"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92" w:history="1">
        <w:r w:rsidRPr="00601EEA">
          <w:rPr>
            <w:rStyle w:val="TextoNormalCaracter"/>
          </w:rPr>
          <w:t>92/2024</w:t>
        </w:r>
      </w:hyperlink>
      <w:r>
        <w:t>, VP III.</w:t>
      </w:r>
    </w:p>
    <w:p w14:paraId="789536AD" w14:textId="0F5F7DB7" w:rsidR="00601EEA" w:rsidRDefault="00601EEA" w:rsidP="00601EEA">
      <w:pPr>
        <w:pStyle w:val="SangriaFrancesaArticulo"/>
      </w:pPr>
    </w:p>
    <w:p w14:paraId="7A20D3A4" w14:textId="77777777" w:rsidR="00601EEA" w:rsidRDefault="00601EEA" w:rsidP="00601EEA">
      <w:pPr>
        <w:pStyle w:val="TextoNormalNegritaCursivandice"/>
        <w:keepNext/>
      </w:pPr>
      <w:r>
        <w:t>Sentencia del Tribunal Europeo de Derechos Humanos de 20 de julio de 2004 (Nikitin c. Rusia)</w:t>
      </w:r>
    </w:p>
    <w:p w14:paraId="4E99DE0D" w14:textId="00244B86" w:rsidR="00601EEA" w:rsidRDefault="00601EEA" w:rsidP="00601EEA">
      <w:pPr>
        <w:pStyle w:val="SangriaFrancesaArticulo"/>
      </w:pPr>
      <w:r w:rsidRPr="00601EEA">
        <w:rPr>
          <w:rStyle w:val="TextoNormalNegritaCaracter"/>
        </w:rPr>
        <w:t>§ 36.</w:t>
      </w:r>
      <w:r w:rsidRPr="00601EEA">
        <w:rPr>
          <w:rStyle w:val="TextoNormalCaracter"/>
        </w:rPr>
        <w:t>-</w:t>
      </w:r>
      <w:r>
        <w:t xml:space="preserve"> Sentencia </w:t>
      </w:r>
      <w:hyperlink w:anchor="SENTENCIA_2024_9" w:history="1">
        <w:r w:rsidRPr="00601EEA">
          <w:rPr>
            <w:rStyle w:val="TextoNormalCaracter"/>
          </w:rPr>
          <w:t>9/2024</w:t>
        </w:r>
      </w:hyperlink>
      <w:r>
        <w:t>, f. 3.</w:t>
      </w:r>
    </w:p>
    <w:p w14:paraId="189E751F" w14:textId="220619B7" w:rsidR="00601EEA" w:rsidRDefault="00601EEA" w:rsidP="00601EEA">
      <w:pPr>
        <w:pStyle w:val="SangriaFrancesaArticulo"/>
      </w:pPr>
      <w:r w:rsidRPr="00601EEA">
        <w:rPr>
          <w:rStyle w:val="TextoNormalNegritaCaracter"/>
        </w:rPr>
        <w:t>§ 45.</w:t>
      </w:r>
      <w:r w:rsidRPr="00601EEA">
        <w:rPr>
          <w:rStyle w:val="TextoNormalCaracter"/>
        </w:rPr>
        <w:t>-</w:t>
      </w:r>
      <w:r>
        <w:t xml:space="preserve"> Sentencia </w:t>
      </w:r>
      <w:hyperlink w:anchor="SENTENCIA_2024_9" w:history="1">
        <w:r w:rsidRPr="00601EEA">
          <w:rPr>
            <w:rStyle w:val="TextoNormalCaracter"/>
          </w:rPr>
          <w:t>9/2024</w:t>
        </w:r>
      </w:hyperlink>
      <w:r>
        <w:t>, VP II.</w:t>
      </w:r>
    </w:p>
    <w:p w14:paraId="117B2E16" w14:textId="08B7AE55" w:rsidR="00601EEA" w:rsidRDefault="00601EEA" w:rsidP="00601EEA">
      <w:pPr>
        <w:pStyle w:val="SangriaFrancesaArticulo"/>
      </w:pPr>
      <w:r w:rsidRPr="00601EEA">
        <w:rPr>
          <w:rStyle w:val="TextoNormalNegritaCaracter"/>
        </w:rPr>
        <w:t>§ 56.</w:t>
      </w:r>
      <w:r w:rsidRPr="00601EEA">
        <w:rPr>
          <w:rStyle w:val="TextoNormalCaracter"/>
        </w:rPr>
        <w:t>-</w:t>
      </w:r>
      <w:r>
        <w:t xml:space="preserve"> Sentencia </w:t>
      </w:r>
      <w:hyperlink w:anchor="SENTENCIA_2024_9" w:history="1">
        <w:r w:rsidRPr="00601EEA">
          <w:rPr>
            <w:rStyle w:val="TextoNormalCaracter"/>
          </w:rPr>
          <w:t>9/2024</w:t>
        </w:r>
      </w:hyperlink>
      <w:r>
        <w:t>, VP II.</w:t>
      </w:r>
    </w:p>
    <w:p w14:paraId="4F40C2C6" w14:textId="027D06D1" w:rsidR="00601EEA" w:rsidRDefault="00601EEA" w:rsidP="00601EEA">
      <w:pPr>
        <w:pStyle w:val="SangriaFrancesaArticulo"/>
      </w:pPr>
    </w:p>
    <w:p w14:paraId="50755AC4" w14:textId="77777777" w:rsidR="00601EEA" w:rsidRDefault="00601EEA" w:rsidP="00601EEA">
      <w:pPr>
        <w:pStyle w:val="TextoNormalNegritaCursivandice"/>
        <w:keepNext/>
      </w:pPr>
      <w:r>
        <w:lastRenderedPageBreak/>
        <w:t>Sentencia del Tribunal Europeo de Derechos Humanos de 27 de julio de 2004 (Slimani c. Francia)</w:t>
      </w:r>
    </w:p>
    <w:p w14:paraId="3CFFC595" w14:textId="3F1D53E1" w:rsidR="00601EEA" w:rsidRDefault="00601EEA" w:rsidP="00601EEA">
      <w:pPr>
        <w:pStyle w:val="SangriaFrancesaArticulo"/>
      </w:pPr>
      <w:r w:rsidRPr="00601EEA">
        <w:rPr>
          <w:rStyle w:val="TextoNormalNegritaCaracter"/>
        </w:rPr>
        <w:t>§ 39 a 42.</w:t>
      </w:r>
      <w:r w:rsidRPr="00601EEA">
        <w:rPr>
          <w:rStyle w:val="TextoNormalCaracter"/>
        </w:rPr>
        <w:t>-</w:t>
      </w:r>
      <w:r>
        <w:t xml:space="preserve"> Sentencia </w:t>
      </w:r>
      <w:hyperlink w:anchor="SENTENCIA_2024_61" w:history="1">
        <w:r w:rsidRPr="00601EEA">
          <w:rPr>
            <w:rStyle w:val="TextoNormalCaracter"/>
          </w:rPr>
          <w:t>61/2024</w:t>
        </w:r>
      </w:hyperlink>
      <w:r>
        <w:t>, VP.</w:t>
      </w:r>
    </w:p>
    <w:p w14:paraId="34EC4599" w14:textId="6736D113" w:rsidR="00601EEA" w:rsidRDefault="00601EEA" w:rsidP="00601EEA">
      <w:pPr>
        <w:pStyle w:val="SangriaFrancesaArticulo"/>
      </w:pPr>
    </w:p>
    <w:p w14:paraId="22D8A2F8" w14:textId="77777777" w:rsidR="00601EEA" w:rsidRDefault="00601EEA" w:rsidP="00601EEA">
      <w:pPr>
        <w:pStyle w:val="TextoNormalNegritaCursivandice"/>
        <w:keepNext/>
      </w:pPr>
      <w:r>
        <w:t>Sentencia del Tribunal Europeo de Derechos Humanos de 2 de noviembre de 2004 (Martínez Sala y otros c. España)</w:t>
      </w:r>
    </w:p>
    <w:p w14:paraId="0FDA365C" w14:textId="54E9CF0D"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1" w:history="1">
        <w:r w:rsidRPr="00601EEA">
          <w:rPr>
            <w:rStyle w:val="TextoNormalCaracter"/>
          </w:rPr>
          <w:t>1/2024</w:t>
        </w:r>
      </w:hyperlink>
      <w:r>
        <w:t>, f. 2.</w:t>
      </w:r>
    </w:p>
    <w:p w14:paraId="11767766" w14:textId="08CF32BD" w:rsidR="00601EEA" w:rsidRDefault="00601EEA" w:rsidP="00601EEA">
      <w:pPr>
        <w:pStyle w:val="SangriaFrancesaArticulo"/>
      </w:pPr>
    </w:p>
    <w:p w14:paraId="5BBB8FFD" w14:textId="77777777" w:rsidR="00601EEA" w:rsidRDefault="00601EEA" w:rsidP="00601EEA">
      <w:pPr>
        <w:pStyle w:val="TextoNormalNegritaCursivandice"/>
        <w:keepNext/>
      </w:pPr>
      <w:r>
        <w:t>Sentencia del Tribunal Europeo de Derechos Humanos de 12 de mayo de 2005 (Öcalan c. Turquía)</w:t>
      </w:r>
    </w:p>
    <w:p w14:paraId="16CAB44D" w14:textId="2A9C3975" w:rsidR="00601EEA" w:rsidRDefault="00601EEA" w:rsidP="00601EEA">
      <w:pPr>
        <w:pStyle w:val="SangriaFrancesaArticulo"/>
      </w:pPr>
      <w:r w:rsidRPr="00601EEA">
        <w:rPr>
          <w:rStyle w:val="TextoNormalNegritaCaracter"/>
        </w:rPr>
        <w:t>§ 210.</w:t>
      </w:r>
      <w:r w:rsidRPr="00601EEA">
        <w:rPr>
          <w:rStyle w:val="TextoNormalCaracter"/>
        </w:rPr>
        <w:t>-</w:t>
      </w:r>
      <w:r>
        <w:t xml:space="preserve"> Sentencia </w:t>
      </w:r>
      <w:hyperlink w:anchor="SENTENCIA_2024_9" w:history="1">
        <w:r w:rsidRPr="00601EEA">
          <w:rPr>
            <w:rStyle w:val="TextoNormalCaracter"/>
          </w:rPr>
          <w:t>9/2024</w:t>
        </w:r>
      </w:hyperlink>
      <w:r>
        <w:t>, f. 4.</w:t>
      </w:r>
    </w:p>
    <w:p w14:paraId="386DB260" w14:textId="6360E1FE" w:rsidR="00601EEA" w:rsidRDefault="00601EEA" w:rsidP="00601EEA">
      <w:pPr>
        <w:pStyle w:val="SangriaFrancesaArticulo"/>
      </w:pPr>
    </w:p>
    <w:p w14:paraId="64DD4CA7" w14:textId="77777777" w:rsidR="00601EEA" w:rsidRDefault="00601EEA" w:rsidP="00601EEA">
      <w:pPr>
        <w:pStyle w:val="TextoNormalNegritaCursivandice"/>
        <w:keepNext/>
      </w:pPr>
      <w:r>
        <w:t>Decisión del Tribunal Europeo de Derechos Humanos de 11 de octubre de 2005 (Stern c. Francia)</w:t>
      </w:r>
    </w:p>
    <w:p w14:paraId="3CF544C7" w14:textId="28A53E56"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1" w:history="1">
        <w:r w:rsidRPr="00601EEA">
          <w:rPr>
            <w:rStyle w:val="TextoNormalCaracter"/>
          </w:rPr>
          <w:t>1/2024</w:t>
        </w:r>
      </w:hyperlink>
      <w:r>
        <w:t>, f. 3.</w:t>
      </w:r>
    </w:p>
    <w:p w14:paraId="63043F17" w14:textId="34F52E12" w:rsidR="00601EEA" w:rsidRDefault="00601EEA" w:rsidP="00601EEA">
      <w:pPr>
        <w:pStyle w:val="SangriaFrancesaArticulo"/>
      </w:pPr>
    </w:p>
    <w:p w14:paraId="7588E263" w14:textId="77777777" w:rsidR="00601EEA" w:rsidRDefault="00601EEA" w:rsidP="00601EEA">
      <w:pPr>
        <w:pStyle w:val="TextoNormalNegritaCursivandice"/>
        <w:keepNext/>
      </w:pPr>
      <w:r>
        <w:t>Sentencia del Tribunal Europeo de Derechos Humanos de 1 de marzo de 2006 (Sejdovic c. Italia)</w:t>
      </w:r>
    </w:p>
    <w:p w14:paraId="19647320" w14:textId="1B2545B0" w:rsidR="00601EEA" w:rsidRDefault="00601EEA" w:rsidP="00601EEA">
      <w:pPr>
        <w:pStyle w:val="SangriaFrancesaArticulo"/>
      </w:pPr>
      <w:r w:rsidRPr="00601EEA">
        <w:rPr>
          <w:rStyle w:val="TextoNormalNegritaCaracter"/>
        </w:rPr>
        <w:t>§ 28.</w:t>
      </w:r>
      <w:r w:rsidRPr="00601EEA">
        <w:rPr>
          <w:rStyle w:val="TextoNormalCaracter"/>
        </w:rPr>
        <w:t>-</w:t>
      </w:r>
      <w:r>
        <w:t xml:space="preserve"> Sentencia </w:t>
      </w:r>
      <w:hyperlink w:anchor="SENTENCIA_2024_9" w:history="1">
        <w:r w:rsidRPr="00601EEA">
          <w:rPr>
            <w:rStyle w:val="TextoNormalCaracter"/>
          </w:rPr>
          <w:t>9/2024</w:t>
        </w:r>
      </w:hyperlink>
      <w:r>
        <w:t>, f. 4.</w:t>
      </w:r>
    </w:p>
    <w:p w14:paraId="58D7E3C5" w14:textId="6189CA1F" w:rsidR="00601EEA" w:rsidRDefault="00601EEA" w:rsidP="00601EEA">
      <w:pPr>
        <w:pStyle w:val="SangriaFrancesaArticulo"/>
      </w:pPr>
      <w:r w:rsidRPr="00601EEA">
        <w:rPr>
          <w:rStyle w:val="TextoNormalNegritaCaracter"/>
        </w:rPr>
        <w:t>§ 126.</w:t>
      </w:r>
      <w:r w:rsidRPr="00601EEA">
        <w:rPr>
          <w:rStyle w:val="TextoNormalCaracter"/>
        </w:rPr>
        <w:t>-</w:t>
      </w:r>
      <w:r>
        <w:t xml:space="preserve"> Sentencia </w:t>
      </w:r>
      <w:hyperlink w:anchor="SENTENCIA_2024_9" w:history="1">
        <w:r w:rsidRPr="00601EEA">
          <w:rPr>
            <w:rStyle w:val="TextoNormalCaracter"/>
          </w:rPr>
          <w:t>9/2024</w:t>
        </w:r>
      </w:hyperlink>
      <w:r>
        <w:t>, f. 4, VP II.</w:t>
      </w:r>
    </w:p>
    <w:p w14:paraId="17FDDE06" w14:textId="013B3E76" w:rsidR="00601EEA" w:rsidRDefault="00601EEA" w:rsidP="00601EEA">
      <w:pPr>
        <w:pStyle w:val="SangriaFrancesaArticulo"/>
      </w:pPr>
    </w:p>
    <w:p w14:paraId="2275D49F" w14:textId="77777777" w:rsidR="00601EEA" w:rsidRDefault="00601EEA" w:rsidP="00601EEA">
      <w:pPr>
        <w:pStyle w:val="TextoNormalNegritaCursivandice"/>
        <w:keepNext/>
      </w:pPr>
      <w:r>
        <w:t>Decisión del Tribunal Europeo de Derechos Humanos de 9 de marzo de 2006 (Bratyakin c. Rusia)</w:t>
      </w:r>
    </w:p>
    <w:p w14:paraId="60281CA8" w14:textId="09D6ECEA"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9" w:history="1">
        <w:r w:rsidRPr="00601EEA">
          <w:rPr>
            <w:rStyle w:val="TextoNormalCaracter"/>
          </w:rPr>
          <w:t>9/2024</w:t>
        </w:r>
      </w:hyperlink>
      <w:r>
        <w:t>, VP II.</w:t>
      </w:r>
    </w:p>
    <w:p w14:paraId="1E2135AB" w14:textId="7B14986A" w:rsidR="00601EEA" w:rsidRDefault="00601EEA" w:rsidP="00601EEA">
      <w:pPr>
        <w:pStyle w:val="SangriaFrancesaArticulo"/>
      </w:pPr>
    </w:p>
    <w:p w14:paraId="487877AF" w14:textId="77777777" w:rsidR="00601EEA" w:rsidRDefault="00601EEA" w:rsidP="00601EEA">
      <w:pPr>
        <w:pStyle w:val="TextoNormalNegritaCursivandice"/>
        <w:keepNext/>
      </w:pPr>
      <w:r>
        <w:t>Sentencia del Tribunal Europeo de Derechos Humanos de 19 de junio de 2006 (Hutten-Czapska c. Polonia)</w:t>
      </w:r>
    </w:p>
    <w:p w14:paraId="16F9768D" w14:textId="0E454AF3"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7" w:history="1">
        <w:r w:rsidRPr="00601EEA">
          <w:rPr>
            <w:rStyle w:val="TextoNormalCaracter"/>
          </w:rPr>
          <w:t>7/2024</w:t>
        </w:r>
      </w:hyperlink>
      <w:r>
        <w:t>, VP.</w:t>
      </w:r>
    </w:p>
    <w:p w14:paraId="667F73EF" w14:textId="428F854B" w:rsidR="00601EEA" w:rsidRDefault="00601EEA" w:rsidP="00601EEA">
      <w:pPr>
        <w:pStyle w:val="SangriaFrancesaArticulo"/>
      </w:pPr>
    </w:p>
    <w:p w14:paraId="36BE6247" w14:textId="77777777" w:rsidR="00601EEA" w:rsidRDefault="00601EEA" w:rsidP="00601EEA">
      <w:pPr>
        <w:pStyle w:val="TextoNormalNegritaCursivandice"/>
        <w:keepNext/>
      </w:pPr>
      <w:r>
        <w:t>Sentencia del Tribunal Europeo de Derechos Humanos de 27 de julio de 2006 (Fadin c. Rusia)</w:t>
      </w:r>
    </w:p>
    <w:p w14:paraId="5959C90B" w14:textId="5D4C0311" w:rsidR="00601EEA" w:rsidRDefault="00601EEA" w:rsidP="00601EEA">
      <w:pPr>
        <w:pStyle w:val="SangriaFrancesaArticulo"/>
      </w:pPr>
      <w:r w:rsidRPr="00601EEA">
        <w:rPr>
          <w:rStyle w:val="TextoNormalNegritaCaracter"/>
        </w:rPr>
        <w:t>§ 32.</w:t>
      </w:r>
      <w:r w:rsidRPr="00601EEA">
        <w:rPr>
          <w:rStyle w:val="TextoNormalCaracter"/>
        </w:rPr>
        <w:t>-</w:t>
      </w:r>
      <w:r>
        <w:t xml:space="preserve"> Sentencia </w:t>
      </w:r>
      <w:hyperlink w:anchor="SENTENCIA_2024_9" w:history="1">
        <w:r w:rsidRPr="00601EEA">
          <w:rPr>
            <w:rStyle w:val="TextoNormalCaracter"/>
          </w:rPr>
          <w:t>9/2024</w:t>
        </w:r>
      </w:hyperlink>
      <w:r>
        <w:t>, VP II.</w:t>
      </w:r>
    </w:p>
    <w:p w14:paraId="1694D916" w14:textId="6758EBC5" w:rsidR="00601EEA" w:rsidRDefault="00601EEA" w:rsidP="00601EEA">
      <w:pPr>
        <w:pStyle w:val="SangriaFrancesaArticulo"/>
      </w:pPr>
    </w:p>
    <w:p w14:paraId="6357BC0A" w14:textId="77777777" w:rsidR="00601EEA" w:rsidRDefault="00601EEA" w:rsidP="00601EEA">
      <w:pPr>
        <w:pStyle w:val="TextoNormalNegritaCursivandice"/>
        <w:keepNext/>
      </w:pPr>
      <w:r>
        <w:t>Sentencia del Tribunal Europeo de Derechos Humanos de 17 de octubre de 2006 (Sultan Öner y otros c. Turquía)</w:t>
      </w:r>
    </w:p>
    <w:p w14:paraId="09773889" w14:textId="6D5F4C76" w:rsidR="00601EEA" w:rsidRDefault="00601EEA" w:rsidP="00601EEA">
      <w:pPr>
        <w:pStyle w:val="SangriaFrancesaArticulo"/>
      </w:pPr>
      <w:r w:rsidRPr="00601EEA">
        <w:rPr>
          <w:rStyle w:val="TextoNormalNegritaCaracter"/>
        </w:rPr>
        <w:t>§ 117.</w:t>
      </w:r>
      <w:r w:rsidRPr="00601EEA">
        <w:rPr>
          <w:rStyle w:val="TextoNormalCaracter"/>
        </w:rPr>
        <w:t>-</w:t>
      </w:r>
      <w:r>
        <w:t xml:space="preserve"> Sentencia </w:t>
      </w:r>
      <w:hyperlink w:anchor="SENTENCIA_2024_61" w:history="1">
        <w:r w:rsidRPr="00601EEA">
          <w:rPr>
            <w:rStyle w:val="TextoNormalCaracter"/>
          </w:rPr>
          <w:t>61/2024</w:t>
        </w:r>
      </w:hyperlink>
      <w:r>
        <w:t>, VP.</w:t>
      </w:r>
    </w:p>
    <w:p w14:paraId="1C872A1F" w14:textId="08679978" w:rsidR="00601EEA" w:rsidRDefault="00601EEA" w:rsidP="00601EEA">
      <w:pPr>
        <w:pStyle w:val="SangriaFrancesaArticulo"/>
      </w:pPr>
    </w:p>
    <w:p w14:paraId="46A97685" w14:textId="77777777" w:rsidR="00601EEA" w:rsidRDefault="00601EEA" w:rsidP="00601EEA">
      <w:pPr>
        <w:pStyle w:val="TextoNormalNegritaCursivandice"/>
        <w:keepNext/>
      </w:pPr>
      <w:r>
        <w:t>Sentencia del Tribunal Europeo de Derechos Humanos de 15 de mayo de 2007 (Ramsahai y otros c. Paises Bajos)</w:t>
      </w:r>
    </w:p>
    <w:p w14:paraId="73DF420C" w14:textId="55BB1BD2" w:rsidR="00601EEA" w:rsidRDefault="00601EEA" w:rsidP="00601EEA">
      <w:pPr>
        <w:pStyle w:val="SangriaFrancesaArticulo"/>
      </w:pPr>
      <w:r w:rsidRPr="00601EEA">
        <w:rPr>
          <w:rStyle w:val="TextoNormalNegritaCaracter"/>
        </w:rPr>
        <w:t>§ 324.</w:t>
      </w:r>
      <w:r w:rsidRPr="00601EEA">
        <w:rPr>
          <w:rStyle w:val="TextoNormalCaracter"/>
        </w:rPr>
        <w:t>-</w:t>
      </w:r>
      <w:r>
        <w:t xml:space="preserve"> Sentencia </w:t>
      </w:r>
      <w:hyperlink w:anchor="SENTENCIA_2024_1" w:history="1">
        <w:r w:rsidRPr="00601EEA">
          <w:rPr>
            <w:rStyle w:val="TextoNormalCaracter"/>
          </w:rPr>
          <w:t>1/2024</w:t>
        </w:r>
      </w:hyperlink>
      <w:r>
        <w:t>, f. 3.</w:t>
      </w:r>
    </w:p>
    <w:p w14:paraId="76276F12" w14:textId="61DCEF90" w:rsidR="00601EEA" w:rsidRDefault="00601EEA" w:rsidP="00601EEA">
      <w:pPr>
        <w:pStyle w:val="SangriaFrancesaArticulo"/>
      </w:pPr>
    </w:p>
    <w:p w14:paraId="2C2690D9" w14:textId="77777777" w:rsidR="00601EEA" w:rsidRDefault="00601EEA" w:rsidP="00601EEA">
      <w:pPr>
        <w:pStyle w:val="TextoNormalNegritaCursivandice"/>
        <w:keepNext/>
      </w:pPr>
      <w:r>
        <w:t>Sentencia del Tribunal Europeo de Derechos Humanos de 28 de junio de 2007 (Wagner y J.M.W.L. c. Luxemburgo)</w:t>
      </w:r>
    </w:p>
    <w:p w14:paraId="5319CB64" w14:textId="23575AB6"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28" w:history="1">
        <w:r w:rsidRPr="00601EEA">
          <w:rPr>
            <w:rStyle w:val="TextoNormalCaracter"/>
          </w:rPr>
          <w:t>28/2024</w:t>
        </w:r>
      </w:hyperlink>
      <w:r>
        <w:t>, f. 5.</w:t>
      </w:r>
    </w:p>
    <w:p w14:paraId="46DF88AB" w14:textId="088AE257" w:rsidR="00601EEA" w:rsidRDefault="00601EEA" w:rsidP="00601EEA">
      <w:pPr>
        <w:pStyle w:val="SangriaFrancesaArticulo"/>
      </w:pPr>
    </w:p>
    <w:p w14:paraId="4027DEB8" w14:textId="77777777" w:rsidR="00601EEA" w:rsidRDefault="00601EEA" w:rsidP="00601EEA">
      <w:pPr>
        <w:pStyle w:val="TextoNormalNegritaCursivandice"/>
        <w:keepNext/>
      </w:pPr>
      <w:r>
        <w:lastRenderedPageBreak/>
        <w:t>Sentencia del Tribunal Europeo de Derechos Humanos de 29 de junio de 2007 (Folgerø y otros  c. Noruega)</w:t>
      </w:r>
    </w:p>
    <w:p w14:paraId="5789A064" w14:textId="601A75D9"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26" w:history="1">
        <w:r w:rsidRPr="00601EEA">
          <w:rPr>
            <w:rStyle w:val="TextoNormalCaracter"/>
          </w:rPr>
          <w:t>26/2024</w:t>
        </w:r>
      </w:hyperlink>
      <w:r>
        <w:t>, ff. 3, 5.</w:t>
      </w:r>
    </w:p>
    <w:p w14:paraId="6DB7B687" w14:textId="0774D0B1" w:rsidR="00601EEA" w:rsidRDefault="00601EEA" w:rsidP="00601EEA">
      <w:pPr>
        <w:pStyle w:val="SangriaFrancesaArticulo"/>
      </w:pPr>
      <w:r w:rsidRPr="00601EEA">
        <w:rPr>
          <w:rStyle w:val="TextoNormalNegritaCaracter"/>
        </w:rPr>
        <w:t>§ 84 c).</w:t>
      </w:r>
      <w:r w:rsidRPr="00601EEA">
        <w:rPr>
          <w:rStyle w:val="TextoNormalCaracter"/>
        </w:rPr>
        <w:t>-</w:t>
      </w:r>
      <w:r>
        <w:t xml:space="preserve"> Sentencia </w:t>
      </w:r>
      <w:hyperlink w:anchor="SENTENCIA_2024_26" w:history="1">
        <w:r w:rsidRPr="00601EEA">
          <w:rPr>
            <w:rStyle w:val="TextoNormalCaracter"/>
          </w:rPr>
          <w:t>26/2024</w:t>
        </w:r>
      </w:hyperlink>
      <w:r>
        <w:t>, f. 3.</w:t>
      </w:r>
    </w:p>
    <w:p w14:paraId="7D8ABB31" w14:textId="547018AC" w:rsidR="00601EEA" w:rsidRDefault="00601EEA" w:rsidP="00601EEA">
      <w:pPr>
        <w:pStyle w:val="SangriaFrancesaArticulo"/>
      </w:pPr>
      <w:r w:rsidRPr="00601EEA">
        <w:rPr>
          <w:rStyle w:val="TextoNormalNegritaCaracter"/>
        </w:rPr>
        <w:t>§ 84 b).</w:t>
      </w:r>
      <w:r w:rsidRPr="00601EEA">
        <w:rPr>
          <w:rStyle w:val="TextoNormalCaracter"/>
        </w:rPr>
        <w:t>-</w:t>
      </w:r>
      <w:r>
        <w:t xml:space="preserve"> Sentencia </w:t>
      </w:r>
      <w:hyperlink w:anchor="SENTENCIA_2024_26" w:history="1">
        <w:r w:rsidRPr="00601EEA">
          <w:rPr>
            <w:rStyle w:val="TextoNormalCaracter"/>
          </w:rPr>
          <w:t>26/2024</w:t>
        </w:r>
      </w:hyperlink>
      <w:r>
        <w:t>, f. 3.</w:t>
      </w:r>
    </w:p>
    <w:p w14:paraId="5BE8800F" w14:textId="6A787623" w:rsidR="00601EEA" w:rsidRDefault="00601EEA" w:rsidP="00601EEA">
      <w:pPr>
        <w:pStyle w:val="SangriaFrancesaArticulo"/>
      </w:pPr>
      <w:r w:rsidRPr="00601EEA">
        <w:rPr>
          <w:rStyle w:val="TextoNormalNegritaCaracter"/>
        </w:rPr>
        <w:t>§ 84 h).</w:t>
      </w:r>
      <w:r w:rsidRPr="00601EEA">
        <w:rPr>
          <w:rStyle w:val="TextoNormalCaracter"/>
        </w:rPr>
        <w:t>-</w:t>
      </w:r>
      <w:r>
        <w:t xml:space="preserve"> Sentencia </w:t>
      </w:r>
      <w:hyperlink w:anchor="SENTENCIA_2024_26" w:history="1">
        <w:r w:rsidRPr="00601EEA">
          <w:rPr>
            <w:rStyle w:val="TextoNormalCaracter"/>
          </w:rPr>
          <w:t>26/2024</w:t>
        </w:r>
      </w:hyperlink>
      <w:r>
        <w:t>, f. 3.</w:t>
      </w:r>
    </w:p>
    <w:p w14:paraId="2C70993C" w14:textId="76B369A3" w:rsidR="00601EEA" w:rsidRDefault="00601EEA" w:rsidP="00601EEA">
      <w:pPr>
        <w:pStyle w:val="SangriaFrancesaArticulo"/>
      </w:pPr>
    </w:p>
    <w:p w14:paraId="646B2CB1" w14:textId="77777777" w:rsidR="00601EEA" w:rsidRDefault="00601EEA" w:rsidP="00601EEA">
      <w:pPr>
        <w:pStyle w:val="TextoNormalNegritaCursivandice"/>
        <w:keepNext/>
      </w:pPr>
      <w:r>
        <w:t>Sentencia del Tribunal Europeo de Derechos Humanos de 17 de julio de 2007 (Bukta y otros c. Hungría)</w:t>
      </w:r>
    </w:p>
    <w:p w14:paraId="1042F59E" w14:textId="2543E6B6" w:rsidR="00601EEA" w:rsidRDefault="00601EEA" w:rsidP="00601EEA">
      <w:pPr>
        <w:pStyle w:val="SangriaFrancesaArticulo"/>
      </w:pPr>
      <w:r w:rsidRPr="00601EEA">
        <w:rPr>
          <w:rStyle w:val="TextoNormalNegritaCaracter"/>
        </w:rPr>
        <w:t>§ 37.</w:t>
      </w:r>
      <w:r w:rsidRPr="00601EEA">
        <w:rPr>
          <w:rStyle w:val="TextoNormalCaracter"/>
        </w:rPr>
        <w:t>-</w:t>
      </w:r>
      <w:r>
        <w:t xml:space="preserve"> Sentencia </w:t>
      </w:r>
      <w:hyperlink w:anchor="SENTENCIA_2024_75" w:history="1">
        <w:r w:rsidRPr="00601EEA">
          <w:rPr>
            <w:rStyle w:val="TextoNormalCaracter"/>
          </w:rPr>
          <w:t>75/2024</w:t>
        </w:r>
      </w:hyperlink>
      <w:r>
        <w:t>, VP II.</w:t>
      </w:r>
    </w:p>
    <w:p w14:paraId="1FA89B91" w14:textId="2264CE16" w:rsidR="00601EEA" w:rsidRDefault="00601EEA" w:rsidP="00601EEA">
      <w:pPr>
        <w:pStyle w:val="SangriaFrancesaArticulo"/>
      </w:pPr>
    </w:p>
    <w:p w14:paraId="13AC8283" w14:textId="77777777" w:rsidR="00601EEA" w:rsidRDefault="00601EEA" w:rsidP="00601EEA">
      <w:pPr>
        <w:pStyle w:val="TextoNormalNegritaCursivandice"/>
        <w:keepNext/>
      </w:pPr>
      <w:r>
        <w:t>Sentencia del Tribunal Europeo de Derechos Humanos de 27 de septiembre de 2007 (Vassilios Stavropoulos c. Grecia)</w:t>
      </w:r>
    </w:p>
    <w:p w14:paraId="0EB22C14" w14:textId="6B5A5074" w:rsidR="00601EEA" w:rsidRDefault="00601EEA" w:rsidP="00601EEA">
      <w:pPr>
        <w:pStyle w:val="SangriaFrancesaArticulo"/>
      </w:pPr>
      <w:r w:rsidRPr="00601EEA">
        <w:rPr>
          <w:rStyle w:val="TextoNormalNegritaCaracter"/>
        </w:rPr>
        <w:t>§ 38.</w:t>
      </w:r>
      <w:r w:rsidRPr="00601EEA">
        <w:rPr>
          <w:rStyle w:val="TextoNormalCaracter"/>
        </w:rPr>
        <w:t>-</w:t>
      </w:r>
      <w:r>
        <w:t xml:space="preserve"> Sentencia </w:t>
      </w:r>
      <w:hyperlink w:anchor="SENTENCIA_2024_72" w:history="1">
        <w:r w:rsidRPr="00601EEA">
          <w:rPr>
            <w:rStyle w:val="TextoNormalCaracter"/>
          </w:rPr>
          <w:t>72/2024</w:t>
        </w:r>
      </w:hyperlink>
      <w:r>
        <w:t>, VP.</w:t>
      </w:r>
    </w:p>
    <w:p w14:paraId="74B061B5" w14:textId="0C22E047" w:rsidR="00601EEA" w:rsidRDefault="00601EEA" w:rsidP="00601EEA">
      <w:pPr>
        <w:pStyle w:val="SangriaFrancesaArticulo"/>
      </w:pPr>
      <w:r w:rsidRPr="00601EEA">
        <w:rPr>
          <w:rStyle w:val="TextoNormalNegritaCaracter"/>
        </w:rPr>
        <w:t>§ 39.</w:t>
      </w:r>
      <w:r w:rsidRPr="00601EEA">
        <w:rPr>
          <w:rStyle w:val="TextoNormalCaracter"/>
        </w:rPr>
        <w:t>-</w:t>
      </w:r>
      <w:r>
        <w:t xml:space="preserve"> Sentencia </w:t>
      </w:r>
      <w:hyperlink w:anchor="SENTENCIA_2024_72" w:history="1">
        <w:r w:rsidRPr="00601EEA">
          <w:rPr>
            <w:rStyle w:val="TextoNormalCaracter"/>
          </w:rPr>
          <w:t>72/2024</w:t>
        </w:r>
      </w:hyperlink>
      <w:r>
        <w:t>, VP.</w:t>
      </w:r>
    </w:p>
    <w:p w14:paraId="1D62136E" w14:textId="569030E3" w:rsidR="00601EEA" w:rsidRDefault="00601EEA" w:rsidP="00601EEA">
      <w:pPr>
        <w:pStyle w:val="SangriaFrancesaArticulo"/>
      </w:pPr>
    </w:p>
    <w:p w14:paraId="47DC3519" w14:textId="77777777" w:rsidR="00601EEA" w:rsidRDefault="00601EEA" w:rsidP="00601EEA">
      <w:pPr>
        <w:pStyle w:val="TextoNormalNegritaCursivandice"/>
        <w:keepNext/>
      </w:pPr>
      <w:r>
        <w:t>Sentencia del Tribunal Europeo de Derechos Humanos de 9 de octubre de 2007 (Hasan y Eylem Zengin c. Turquia)</w:t>
      </w:r>
    </w:p>
    <w:p w14:paraId="2A977260" w14:textId="204E589A"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92" w:history="1">
        <w:r w:rsidRPr="00601EEA">
          <w:rPr>
            <w:rStyle w:val="TextoNormalCaracter"/>
          </w:rPr>
          <w:t>92/2024</w:t>
        </w:r>
      </w:hyperlink>
      <w:r>
        <w:t>, f. 5.</w:t>
      </w:r>
    </w:p>
    <w:p w14:paraId="71F8F6F4" w14:textId="7726E7CC" w:rsidR="00601EEA" w:rsidRDefault="00601EEA" w:rsidP="00601EEA">
      <w:pPr>
        <w:pStyle w:val="SangriaFrancesaArticulo"/>
      </w:pPr>
    </w:p>
    <w:p w14:paraId="520B8E8A" w14:textId="77777777" w:rsidR="00601EEA" w:rsidRDefault="00601EEA" w:rsidP="00601EEA">
      <w:pPr>
        <w:pStyle w:val="TextoNormalNegritaCursivandice"/>
        <w:keepNext/>
      </w:pPr>
      <w:r>
        <w:t>Sentencia del Tribunal Europeo de Derechos Humanos de 5 de febrero de 2008 (Ramanauskas c. Lituanie)</w:t>
      </w:r>
    </w:p>
    <w:p w14:paraId="58AF8BB6" w14:textId="51021B7E" w:rsidR="00601EEA" w:rsidRDefault="00601EEA" w:rsidP="00601EEA">
      <w:pPr>
        <w:pStyle w:val="SangriaFrancesaArticulo"/>
      </w:pPr>
      <w:r w:rsidRPr="00601EEA">
        <w:rPr>
          <w:rStyle w:val="TextoNormalNegritaCaracter"/>
        </w:rPr>
        <w:t>§ 73.</w:t>
      </w:r>
      <w:r w:rsidRPr="00601EEA">
        <w:rPr>
          <w:rStyle w:val="TextoNormalCaracter"/>
        </w:rPr>
        <w:t>-</w:t>
      </w:r>
      <w:r>
        <w:t xml:space="preserve"> Sentencia </w:t>
      </w:r>
      <w:hyperlink w:anchor="SENTENCIA_2024_87" w:history="1">
        <w:r w:rsidRPr="00601EEA">
          <w:rPr>
            <w:rStyle w:val="TextoNormalCaracter"/>
          </w:rPr>
          <w:t>87/2024</w:t>
        </w:r>
      </w:hyperlink>
      <w:r>
        <w:t>, f. 3.</w:t>
      </w:r>
    </w:p>
    <w:p w14:paraId="56555F7D" w14:textId="243D248A" w:rsidR="00601EEA" w:rsidRDefault="00601EEA" w:rsidP="00601EEA">
      <w:pPr>
        <w:pStyle w:val="SangriaFrancesaArticulo"/>
      </w:pPr>
    </w:p>
    <w:p w14:paraId="0F00A310" w14:textId="77777777" w:rsidR="00601EEA" w:rsidRDefault="00601EEA" w:rsidP="00601EEA">
      <w:pPr>
        <w:pStyle w:val="TextoNormalNegritaCursivandice"/>
        <w:keepNext/>
      </w:pPr>
      <w:r>
        <w:t>Sentencia del Tribunal Europeo de Derechos Humanos de 16 de octubre de 2008 (Renolde c. Francia)</w:t>
      </w:r>
    </w:p>
    <w:p w14:paraId="349F8256" w14:textId="181E866F"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1" w:history="1">
        <w:r w:rsidRPr="00601EEA">
          <w:rPr>
            <w:rStyle w:val="TextoNormalCaracter"/>
          </w:rPr>
          <w:t>1/2024</w:t>
        </w:r>
      </w:hyperlink>
      <w:r>
        <w:t>, f. 3.</w:t>
      </w:r>
    </w:p>
    <w:p w14:paraId="31C2039F" w14:textId="69D11ECB" w:rsidR="00601EEA" w:rsidRDefault="00601EEA" w:rsidP="00601EEA">
      <w:pPr>
        <w:pStyle w:val="SangriaFrancesaArticulo"/>
      </w:pPr>
      <w:r w:rsidRPr="00601EEA">
        <w:rPr>
          <w:rStyle w:val="TextoNormalNegritaCaracter"/>
        </w:rPr>
        <w:t>§ 81.</w:t>
      </w:r>
      <w:r w:rsidRPr="00601EEA">
        <w:rPr>
          <w:rStyle w:val="TextoNormalCaracter"/>
        </w:rPr>
        <w:t>-</w:t>
      </w:r>
      <w:r>
        <w:t xml:space="preserve"> Sentencia </w:t>
      </w:r>
      <w:hyperlink w:anchor="SENTENCIA_2024_1" w:history="1">
        <w:r w:rsidRPr="00601EEA">
          <w:rPr>
            <w:rStyle w:val="TextoNormalCaracter"/>
          </w:rPr>
          <w:t>1/2024</w:t>
        </w:r>
      </w:hyperlink>
      <w:r>
        <w:t>, f. 3.</w:t>
      </w:r>
    </w:p>
    <w:p w14:paraId="44D4C46F" w14:textId="3180B58F" w:rsidR="00601EEA" w:rsidRDefault="00601EEA" w:rsidP="00601EEA">
      <w:pPr>
        <w:pStyle w:val="SangriaFrancesaArticulo"/>
      </w:pPr>
    </w:p>
    <w:p w14:paraId="7F74F5E5" w14:textId="77777777" w:rsidR="00601EEA" w:rsidRDefault="00601EEA" w:rsidP="00601EEA">
      <w:pPr>
        <w:pStyle w:val="TextoNormalNegritaCursivandice"/>
        <w:keepNext/>
      </w:pPr>
      <w:r>
        <w:t>Decisión del Tribunal Europeo de Derechos Humanos de 27 de noviembre de 2008 (Goncharovy c. Rusia)</w:t>
      </w:r>
    </w:p>
    <w:p w14:paraId="5DF58AA4" w14:textId="05F0237E"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9" w:history="1">
        <w:r w:rsidRPr="00601EEA">
          <w:rPr>
            <w:rStyle w:val="TextoNormalCaracter"/>
          </w:rPr>
          <w:t>9/2024</w:t>
        </w:r>
      </w:hyperlink>
      <w:r>
        <w:t>, VP II.</w:t>
      </w:r>
    </w:p>
    <w:p w14:paraId="3652D219" w14:textId="2252CFAB" w:rsidR="00601EEA" w:rsidRDefault="00601EEA" w:rsidP="00601EEA">
      <w:pPr>
        <w:pStyle w:val="SangriaFrancesaArticulo"/>
      </w:pPr>
    </w:p>
    <w:p w14:paraId="77798FB7" w14:textId="77777777" w:rsidR="00601EEA" w:rsidRDefault="00601EEA" w:rsidP="00601EEA">
      <w:pPr>
        <w:pStyle w:val="TextoNormalNegritaCursivandice"/>
        <w:keepNext/>
      </w:pPr>
      <w:r>
        <w:t>Sentencia del Tribunal Europeo de Derechos Humanos de 10 de febrero de 2009 (Sergey Zolotukhin c. Rusia)</w:t>
      </w:r>
    </w:p>
    <w:p w14:paraId="0016C406" w14:textId="6EC34E44" w:rsidR="00601EEA" w:rsidRDefault="00601EEA" w:rsidP="00601EEA">
      <w:pPr>
        <w:pStyle w:val="SangriaFrancesaArticulo"/>
      </w:pPr>
      <w:r w:rsidRPr="00601EEA">
        <w:rPr>
          <w:rStyle w:val="TextoNormalNegritaCaracter"/>
        </w:rPr>
        <w:t>§ 110.</w:t>
      </w:r>
      <w:r w:rsidRPr="00601EEA">
        <w:rPr>
          <w:rStyle w:val="TextoNormalCaracter"/>
        </w:rPr>
        <w:t>-</w:t>
      </w:r>
      <w:r>
        <w:t xml:space="preserve"> Sentencia </w:t>
      </w:r>
      <w:hyperlink w:anchor="SENTENCIA_2024_9" w:history="1">
        <w:r w:rsidRPr="00601EEA">
          <w:rPr>
            <w:rStyle w:val="TextoNormalCaracter"/>
          </w:rPr>
          <w:t>9/2024</w:t>
        </w:r>
      </w:hyperlink>
      <w:r>
        <w:t>, f. 3.</w:t>
      </w:r>
    </w:p>
    <w:p w14:paraId="37558926" w14:textId="677B4BC5" w:rsidR="00601EEA" w:rsidRDefault="00601EEA" w:rsidP="00601EEA">
      <w:pPr>
        <w:pStyle w:val="SangriaFrancesaArticulo"/>
      </w:pPr>
    </w:p>
    <w:p w14:paraId="53F2A695" w14:textId="77777777" w:rsidR="00601EEA" w:rsidRDefault="00601EEA" w:rsidP="00601EEA">
      <w:pPr>
        <w:pStyle w:val="TextoNormalNegritaCursivandice"/>
        <w:keepNext/>
      </w:pPr>
      <w:r>
        <w:t>Sentencia del Tribunal Europeo de Derechos Humanos de 21 de abril de 2009 (Stephens c. Malta núm. 1)</w:t>
      </w:r>
    </w:p>
    <w:p w14:paraId="0CF5339D" w14:textId="0F1785DF" w:rsidR="00601EEA" w:rsidRDefault="00601EEA" w:rsidP="00601EEA">
      <w:pPr>
        <w:pStyle w:val="SangriaFrancesaArticulo"/>
      </w:pPr>
      <w:r w:rsidRPr="00601EEA">
        <w:rPr>
          <w:rStyle w:val="TextoNormalNegritaCaracter"/>
        </w:rPr>
        <w:t>§ 45.</w:t>
      </w:r>
      <w:r w:rsidRPr="00601EEA">
        <w:rPr>
          <w:rStyle w:val="TextoNormalCaracter"/>
        </w:rPr>
        <w:t>-</w:t>
      </w:r>
      <w:r>
        <w:t xml:space="preserve"> Sentencia </w:t>
      </w:r>
      <w:hyperlink w:anchor="SENTENCIA_2024_17" w:history="1">
        <w:r w:rsidRPr="00601EEA">
          <w:rPr>
            <w:rStyle w:val="TextoNormalCaracter"/>
          </w:rPr>
          <w:t>17/2024</w:t>
        </w:r>
      </w:hyperlink>
      <w:r>
        <w:t>, f. 3.</w:t>
      </w:r>
    </w:p>
    <w:p w14:paraId="22CEDECB" w14:textId="2A4C04A3" w:rsidR="00601EEA" w:rsidRDefault="00601EEA" w:rsidP="00601EEA">
      <w:pPr>
        <w:pStyle w:val="SangriaFrancesaArticulo"/>
      </w:pPr>
      <w:r w:rsidRPr="00601EEA">
        <w:rPr>
          <w:rStyle w:val="TextoNormalNegritaCaracter"/>
        </w:rPr>
        <w:t>§ 52.</w:t>
      </w:r>
      <w:r w:rsidRPr="00601EEA">
        <w:rPr>
          <w:rStyle w:val="TextoNormalCaracter"/>
        </w:rPr>
        <w:t>-</w:t>
      </w:r>
      <w:r>
        <w:t xml:space="preserve"> Sentencia </w:t>
      </w:r>
      <w:hyperlink w:anchor="SENTENCIA_2024_17" w:history="1">
        <w:r w:rsidRPr="00601EEA">
          <w:rPr>
            <w:rStyle w:val="TextoNormalCaracter"/>
          </w:rPr>
          <w:t>17/2024</w:t>
        </w:r>
      </w:hyperlink>
      <w:r>
        <w:t>, f. 3.</w:t>
      </w:r>
    </w:p>
    <w:p w14:paraId="43FA2BB9" w14:textId="6F6C24DB" w:rsidR="00601EEA" w:rsidRDefault="00601EEA" w:rsidP="00601EEA">
      <w:pPr>
        <w:pStyle w:val="SangriaFrancesaArticulo"/>
      </w:pPr>
    </w:p>
    <w:p w14:paraId="3945BA94" w14:textId="77777777" w:rsidR="00601EEA" w:rsidRDefault="00601EEA" w:rsidP="00601EEA">
      <w:pPr>
        <w:pStyle w:val="TextoNormalNegritaCursivandice"/>
        <w:keepNext/>
      </w:pPr>
      <w:r>
        <w:t>Sentencia del Tribunal Europeo de Derechos Humanos de 7 de enero de 2010 (Petyo Petkov c. Bulgaria)</w:t>
      </w:r>
    </w:p>
    <w:p w14:paraId="01120DFE" w14:textId="78894B60" w:rsidR="00601EEA" w:rsidRDefault="00601EEA" w:rsidP="00601EEA">
      <w:pPr>
        <w:pStyle w:val="SangriaFrancesaArticulo"/>
      </w:pPr>
      <w:r w:rsidRPr="00601EEA">
        <w:rPr>
          <w:rStyle w:val="TextoNormalNegritaCaracter"/>
        </w:rPr>
        <w:t>§ 90.</w:t>
      </w:r>
      <w:r w:rsidRPr="00601EEA">
        <w:rPr>
          <w:rStyle w:val="TextoNormalCaracter"/>
        </w:rPr>
        <w:t>-</w:t>
      </w:r>
      <w:r>
        <w:t xml:space="preserve"> Sentencia </w:t>
      </w:r>
      <w:hyperlink w:anchor="SENTENCIA_2024_72" w:history="1">
        <w:r w:rsidRPr="00601EEA">
          <w:rPr>
            <w:rStyle w:val="TextoNormalCaracter"/>
          </w:rPr>
          <w:t>72/2024</w:t>
        </w:r>
      </w:hyperlink>
      <w:r>
        <w:t>, f. 6, VP.</w:t>
      </w:r>
    </w:p>
    <w:p w14:paraId="636E502B" w14:textId="1A065C5D" w:rsidR="00601EEA" w:rsidRDefault="00601EEA" w:rsidP="00601EEA">
      <w:pPr>
        <w:pStyle w:val="SangriaFrancesaArticulo"/>
      </w:pPr>
    </w:p>
    <w:p w14:paraId="760C1CCD" w14:textId="77777777" w:rsidR="00601EEA" w:rsidRDefault="00601EEA" w:rsidP="00601EEA">
      <w:pPr>
        <w:pStyle w:val="TextoNormalNegritaCursivandice"/>
        <w:keepNext/>
      </w:pPr>
      <w:r>
        <w:lastRenderedPageBreak/>
        <w:t>Sentencia del Tribunal Europeo de Derechos Humanos de 23 de marzo de 2010 (Cudak c. Lituania)</w:t>
      </w:r>
    </w:p>
    <w:p w14:paraId="473451EC" w14:textId="0CA060C0" w:rsidR="00601EEA" w:rsidRDefault="00601EEA" w:rsidP="00601EEA">
      <w:pPr>
        <w:pStyle w:val="SangriaFrancesaArticulo"/>
      </w:pPr>
      <w:r w:rsidRPr="00601EEA">
        <w:rPr>
          <w:rStyle w:val="TextoNormalNegritaCaracter"/>
        </w:rPr>
        <w:t>§ 79.</w:t>
      </w:r>
      <w:r w:rsidRPr="00601EEA">
        <w:rPr>
          <w:rStyle w:val="TextoNormalCaracter"/>
        </w:rPr>
        <w:t>-</w:t>
      </w:r>
      <w:r>
        <w:t xml:space="preserve"> Sentencia </w:t>
      </w:r>
      <w:hyperlink w:anchor="SENTENCIA_2024_9" w:history="1">
        <w:r w:rsidRPr="00601EEA">
          <w:rPr>
            <w:rStyle w:val="TextoNormalCaracter"/>
          </w:rPr>
          <w:t>9/2024</w:t>
        </w:r>
      </w:hyperlink>
      <w:r>
        <w:t>, VP II.</w:t>
      </w:r>
    </w:p>
    <w:p w14:paraId="78B2332E" w14:textId="67627521" w:rsidR="00601EEA" w:rsidRDefault="00601EEA" w:rsidP="00601EEA">
      <w:pPr>
        <w:pStyle w:val="SangriaFrancesaArticulo"/>
      </w:pPr>
    </w:p>
    <w:p w14:paraId="0211349C" w14:textId="77777777" w:rsidR="00601EEA" w:rsidRDefault="00601EEA" w:rsidP="00601EEA">
      <w:pPr>
        <w:pStyle w:val="TextoNormalNegritaCursivandice"/>
        <w:keepNext/>
      </w:pPr>
      <w:r>
        <w:t>Sentencia del Tribunal Europeo de Derechos Humanos de 1 de junio de 2010 (Gäfgen c. Alemania)</w:t>
      </w:r>
    </w:p>
    <w:p w14:paraId="5DA219DB" w14:textId="1AA86EEC" w:rsidR="00601EEA" w:rsidRDefault="00601EEA" w:rsidP="00601EEA">
      <w:pPr>
        <w:pStyle w:val="SangriaFrancesaArticulo"/>
      </w:pPr>
      <w:r w:rsidRPr="00601EEA">
        <w:rPr>
          <w:rStyle w:val="TextoNormalNegritaCaracter"/>
        </w:rPr>
        <w:t>§ 87.</w:t>
      </w:r>
      <w:r w:rsidRPr="00601EEA">
        <w:rPr>
          <w:rStyle w:val="TextoNormalCaracter"/>
        </w:rPr>
        <w:t>-</w:t>
      </w:r>
      <w:r>
        <w:t xml:space="preserve"> Sentencia </w:t>
      </w:r>
      <w:hyperlink w:anchor="SENTENCIA_2024_35" w:history="1">
        <w:r w:rsidRPr="00601EEA">
          <w:rPr>
            <w:rStyle w:val="TextoNormalCaracter"/>
          </w:rPr>
          <w:t>35/2024</w:t>
        </w:r>
      </w:hyperlink>
      <w:r>
        <w:t>, f. 2.</w:t>
      </w:r>
    </w:p>
    <w:p w14:paraId="1AB761B5" w14:textId="0FCBCFA0" w:rsidR="00601EEA" w:rsidRDefault="00601EEA" w:rsidP="00601EEA">
      <w:pPr>
        <w:pStyle w:val="SangriaFrancesaArticulo"/>
      </w:pPr>
      <w:r w:rsidRPr="00601EEA">
        <w:rPr>
          <w:rStyle w:val="TextoNormalNegritaCaracter"/>
        </w:rPr>
        <w:t>§ 89.</w:t>
      </w:r>
      <w:r w:rsidRPr="00601EEA">
        <w:rPr>
          <w:rStyle w:val="TextoNormalCaracter"/>
        </w:rPr>
        <w:t>-</w:t>
      </w:r>
      <w:r>
        <w:t xml:space="preserve"> Sentencia </w:t>
      </w:r>
      <w:hyperlink w:anchor="SENTENCIA_2024_35" w:history="1">
        <w:r w:rsidRPr="00601EEA">
          <w:rPr>
            <w:rStyle w:val="TextoNormalCaracter"/>
          </w:rPr>
          <w:t>35/2024</w:t>
        </w:r>
      </w:hyperlink>
      <w:r>
        <w:t>, f. 2.</w:t>
      </w:r>
    </w:p>
    <w:p w14:paraId="7B2BAA41" w14:textId="552F82BD" w:rsidR="00601EEA" w:rsidRDefault="00601EEA" w:rsidP="00601EEA">
      <w:pPr>
        <w:pStyle w:val="SangriaFrancesaArticulo"/>
      </w:pPr>
    </w:p>
    <w:p w14:paraId="623681B2" w14:textId="77777777" w:rsidR="00601EEA" w:rsidRDefault="00601EEA" w:rsidP="00601EEA">
      <w:pPr>
        <w:pStyle w:val="TextoNormalNegritaCursivandice"/>
        <w:keepNext/>
      </w:pPr>
      <w:r>
        <w:t>Sentencia del Tribunal Europeo de Derechos Humanos de 13 de julio de 2010 (Tendam c. España)</w:t>
      </w:r>
    </w:p>
    <w:p w14:paraId="7C179680" w14:textId="63899D68" w:rsidR="00601EEA" w:rsidRDefault="00601EEA" w:rsidP="00601EEA">
      <w:pPr>
        <w:pStyle w:val="SangriaFrancesaArticulo"/>
      </w:pPr>
      <w:r w:rsidRPr="00601EEA">
        <w:rPr>
          <w:rStyle w:val="TextoNormalNegritaCaracter"/>
        </w:rPr>
        <w:t>§ 35.</w:t>
      </w:r>
      <w:r w:rsidRPr="00601EEA">
        <w:rPr>
          <w:rStyle w:val="TextoNormalCaracter"/>
        </w:rPr>
        <w:t>-</w:t>
      </w:r>
      <w:r>
        <w:t xml:space="preserve"> Sentencia </w:t>
      </w:r>
      <w:hyperlink w:anchor="SENTENCIA_2024_72" w:history="1">
        <w:r w:rsidRPr="00601EEA">
          <w:rPr>
            <w:rStyle w:val="TextoNormalCaracter"/>
          </w:rPr>
          <w:t>72/2024</w:t>
        </w:r>
      </w:hyperlink>
      <w:r>
        <w:t>, f. 6, VP.</w:t>
      </w:r>
    </w:p>
    <w:p w14:paraId="78F6F81F" w14:textId="21A3BB32" w:rsidR="00601EEA" w:rsidRDefault="00601EEA" w:rsidP="00601EEA">
      <w:pPr>
        <w:pStyle w:val="SangriaFrancesaArticulo"/>
      </w:pPr>
      <w:r w:rsidRPr="00601EEA">
        <w:rPr>
          <w:rStyle w:val="TextoNormalNegritaCaracter"/>
        </w:rPr>
        <w:t>§ 36.</w:t>
      </w:r>
      <w:r w:rsidRPr="00601EEA">
        <w:rPr>
          <w:rStyle w:val="TextoNormalCaracter"/>
        </w:rPr>
        <w:t>-</w:t>
      </w:r>
      <w:r>
        <w:t xml:space="preserve"> Sentencia </w:t>
      </w:r>
      <w:hyperlink w:anchor="SENTENCIA_2024_72" w:history="1">
        <w:r w:rsidRPr="00601EEA">
          <w:rPr>
            <w:rStyle w:val="TextoNormalCaracter"/>
          </w:rPr>
          <w:t>72/2024</w:t>
        </w:r>
      </w:hyperlink>
      <w:r>
        <w:t>, VP.</w:t>
      </w:r>
    </w:p>
    <w:p w14:paraId="12F297F8" w14:textId="4D6371B7" w:rsidR="00601EEA" w:rsidRDefault="00601EEA" w:rsidP="00601EEA">
      <w:pPr>
        <w:pStyle w:val="SangriaFrancesaArticulo"/>
      </w:pPr>
      <w:r w:rsidRPr="00601EEA">
        <w:rPr>
          <w:rStyle w:val="TextoNormalNegritaCaracter"/>
        </w:rPr>
        <w:t>§ 39.</w:t>
      </w:r>
      <w:r w:rsidRPr="00601EEA">
        <w:rPr>
          <w:rStyle w:val="TextoNormalCaracter"/>
        </w:rPr>
        <w:t>-</w:t>
      </w:r>
      <w:r>
        <w:t xml:space="preserve"> Sentencia </w:t>
      </w:r>
      <w:hyperlink w:anchor="SENTENCIA_2024_72" w:history="1">
        <w:r w:rsidRPr="00601EEA">
          <w:rPr>
            <w:rStyle w:val="TextoNormalCaracter"/>
          </w:rPr>
          <w:t>72/2024</w:t>
        </w:r>
      </w:hyperlink>
      <w:r>
        <w:t>, VP.</w:t>
      </w:r>
    </w:p>
    <w:p w14:paraId="42A58AFF" w14:textId="63D23971" w:rsidR="00601EEA" w:rsidRDefault="00601EEA" w:rsidP="00601EEA">
      <w:pPr>
        <w:pStyle w:val="SangriaFrancesaArticulo"/>
      </w:pPr>
    </w:p>
    <w:p w14:paraId="29B1A8B9" w14:textId="77777777" w:rsidR="00601EEA" w:rsidRDefault="00601EEA" w:rsidP="00601EEA">
      <w:pPr>
        <w:pStyle w:val="TextoNormalNegritaCursivandice"/>
        <w:keepNext/>
      </w:pPr>
      <w:r>
        <w:t>Sentencia del Tribunal Europeo de Derechos Humanos de 2 de septiembre de 2010 (Uzun c. Alemania)</w:t>
      </w:r>
    </w:p>
    <w:p w14:paraId="40343A43" w14:textId="17BB0CAF" w:rsidR="00601EEA" w:rsidRDefault="00601EEA" w:rsidP="00601EEA">
      <w:pPr>
        <w:pStyle w:val="SangriaFrancesaArticulo"/>
      </w:pPr>
      <w:r w:rsidRPr="00601EEA">
        <w:rPr>
          <w:rStyle w:val="TextoNormalNegritaCaracter"/>
        </w:rPr>
        <w:t>§ 44.</w:t>
      </w:r>
      <w:r w:rsidRPr="00601EEA">
        <w:rPr>
          <w:rStyle w:val="TextoNormalCaracter"/>
        </w:rPr>
        <w:t>-</w:t>
      </w:r>
      <w:r>
        <w:t xml:space="preserve"> Sentencia </w:t>
      </w:r>
      <w:hyperlink w:anchor="SENTENCIA_2024_87" w:history="1">
        <w:r w:rsidRPr="00601EEA">
          <w:rPr>
            <w:rStyle w:val="TextoNormalCaracter"/>
          </w:rPr>
          <w:t>87/2024</w:t>
        </w:r>
      </w:hyperlink>
      <w:r>
        <w:t>, VP II.</w:t>
      </w:r>
    </w:p>
    <w:p w14:paraId="7B71E1B3" w14:textId="11E33BA4" w:rsidR="00601EEA" w:rsidRDefault="00601EEA" w:rsidP="00601EEA">
      <w:pPr>
        <w:pStyle w:val="SangriaFrancesaArticulo"/>
      </w:pPr>
      <w:r w:rsidRPr="00601EEA">
        <w:rPr>
          <w:rStyle w:val="TextoNormalNegritaCaracter"/>
        </w:rPr>
        <w:t>§ 46.</w:t>
      </w:r>
      <w:r w:rsidRPr="00601EEA">
        <w:rPr>
          <w:rStyle w:val="TextoNormalCaracter"/>
        </w:rPr>
        <w:t>-</w:t>
      </w:r>
      <w:r>
        <w:t xml:space="preserve"> Sentencia </w:t>
      </w:r>
      <w:hyperlink w:anchor="SENTENCIA_2024_87" w:history="1">
        <w:r w:rsidRPr="00601EEA">
          <w:rPr>
            <w:rStyle w:val="TextoNormalCaracter"/>
          </w:rPr>
          <w:t>87/2024</w:t>
        </w:r>
      </w:hyperlink>
      <w:r>
        <w:t>, VP II.</w:t>
      </w:r>
    </w:p>
    <w:p w14:paraId="6E0ABE87" w14:textId="2D3C400C" w:rsidR="00601EEA" w:rsidRDefault="00601EEA" w:rsidP="00601EEA">
      <w:pPr>
        <w:pStyle w:val="SangriaFrancesaArticulo"/>
      </w:pPr>
    </w:p>
    <w:p w14:paraId="42B5F0C6" w14:textId="77777777" w:rsidR="00601EEA" w:rsidRDefault="00601EEA" w:rsidP="00601EEA">
      <w:pPr>
        <w:pStyle w:val="TextoNormalNegritaCursivandice"/>
        <w:keepNext/>
      </w:pPr>
      <w:r>
        <w:t>Sentencia del Tribunal Europeo de Derechos Humanos de 28 de septiembre de 2010 (San Argimiro Isasa c. España)</w:t>
      </w:r>
    </w:p>
    <w:p w14:paraId="630E933F" w14:textId="416B294C" w:rsidR="00601EEA" w:rsidRDefault="00601EEA" w:rsidP="00601EEA">
      <w:pPr>
        <w:pStyle w:val="SangriaFrancesaArticulo"/>
      </w:pPr>
      <w:r w:rsidRPr="00601EEA">
        <w:rPr>
          <w:rStyle w:val="TextoNormalNegritaCaracter"/>
        </w:rPr>
        <w:t>§ 45.</w:t>
      </w:r>
      <w:r w:rsidRPr="00601EEA">
        <w:rPr>
          <w:rStyle w:val="TextoNormalCaracter"/>
        </w:rPr>
        <w:t>-</w:t>
      </w:r>
      <w:r>
        <w:t xml:space="preserve"> Sentencia </w:t>
      </w:r>
      <w:hyperlink w:anchor="SENTENCIA_2024_35" w:history="1">
        <w:r w:rsidRPr="00601EEA">
          <w:rPr>
            <w:rStyle w:val="TextoNormalCaracter"/>
          </w:rPr>
          <w:t>35/2024</w:t>
        </w:r>
      </w:hyperlink>
      <w:r>
        <w:t>, f. 2.</w:t>
      </w:r>
    </w:p>
    <w:p w14:paraId="41E3E389" w14:textId="23730954" w:rsidR="00601EEA" w:rsidRDefault="00601EEA" w:rsidP="00601EEA">
      <w:pPr>
        <w:pStyle w:val="SangriaFrancesaArticulo"/>
      </w:pPr>
      <w:r w:rsidRPr="00601EEA">
        <w:rPr>
          <w:rStyle w:val="TextoNormalNegritaCaracter"/>
        </w:rPr>
        <w:t>§ 65.</w:t>
      </w:r>
      <w:r w:rsidRPr="00601EEA">
        <w:rPr>
          <w:rStyle w:val="TextoNormalCaracter"/>
        </w:rPr>
        <w:t>-</w:t>
      </w:r>
      <w:r>
        <w:t xml:space="preserve"> Sentencia </w:t>
      </w:r>
      <w:hyperlink w:anchor="SENTENCIA_2024_35" w:history="1">
        <w:r w:rsidRPr="00601EEA">
          <w:rPr>
            <w:rStyle w:val="TextoNormalCaracter"/>
          </w:rPr>
          <w:t>35/2024</w:t>
        </w:r>
      </w:hyperlink>
      <w:r>
        <w:t>, f. 2.</w:t>
      </w:r>
    </w:p>
    <w:p w14:paraId="1F5C50B1" w14:textId="33904CED" w:rsidR="00601EEA" w:rsidRDefault="00601EEA" w:rsidP="00601EEA">
      <w:pPr>
        <w:pStyle w:val="SangriaFrancesaArticulo"/>
      </w:pPr>
    </w:p>
    <w:p w14:paraId="67A7BB0A" w14:textId="77777777" w:rsidR="00601EEA" w:rsidRDefault="00601EEA" w:rsidP="00601EEA">
      <w:pPr>
        <w:pStyle w:val="TextoNormalNegritaCursivandice"/>
        <w:keepNext/>
      </w:pPr>
      <w:r>
        <w:t>Sentencia del Tribunal Europeo de Derechos Humanos de 4 de noviembre de 2010 (Bannikova c. Russia)</w:t>
      </w:r>
    </w:p>
    <w:p w14:paraId="60CAAAD4" w14:textId="0B9DE585" w:rsidR="00601EEA" w:rsidRDefault="00601EEA" w:rsidP="00601EEA">
      <w:pPr>
        <w:pStyle w:val="SangriaFrancesaArticulo"/>
      </w:pPr>
      <w:r w:rsidRPr="00601EEA">
        <w:rPr>
          <w:rStyle w:val="TextoNormalNegritaCaracter"/>
        </w:rPr>
        <w:t>§ 65.</w:t>
      </w:r>
      <w:r w:rsidRPr="00601EEA">
        <w:rPr>
          <w:rStyle w:val="TextoNormalCaracter"/>
        </w:rPr>
        <w:t>-</w:t>
      </w:r>
      <w:r>
        <w:t xml:space="preserve"> Sentencia </w:t>
      </w:r>
      <w:hyperlink w:anchor="SENTENCIA_2024_87" w:history="1">
        <w:r w:rsidRPr="00601EEA">
          <w:rPr>
            <w:rStyle w:val="TextoNormalCaracter"/>
          </w:rPr>
          <w:t>87/2024</w:t>
        </w:r>
      </w:hyperlink>
      <w:r>
        <w:t>, f. 2.</w:t>
      </w:r>
    </w:p>
    <w:p w14:paraId="5270A066" w14:textId="45C63ACD" w:rsidR="00601EEA" w:rsidRDefault="00601EEA" w:rsidP="00601EEA">
      <w:pPr>
        <w:pStyle w:val="SangriaFrancesaArticulo"/>
      </w:pPr>
    </w:p>
    <w:p w14:paraId="750D0C0F" w14:textId="77777777" w:rsidR="00601EEA" w:rsidRDefault="00601EEA" w:rsidP="00601EEA">
      <w:pPr>
        <w:pStyle w:val="TextoNormalNegritaCursivandice"/>
        <w:keepNext/>
      </w:pPr>
      <w:r>
        <w:t>Sentencia del Tribunal Europeo de Derechos Humanos de 16 de diciembre de 2010 (A, B y C c. Irlanda)</w:t>
      </w:r>
    </w:p>
    <w:p w14:paraId="28319DFC" w14:textId="44A6E409"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92" w:history="1">
        <w:r w:rsidRPr="00601EEA">
          <w:rPr>
            <w:rStyle w:val="TextoNormalCaracter"/>
          </w:rPr>
          <w:t>92/2024</w:t>
        </w:r>
      </w:hyperlink>
      <w:r>
        <w:t>, VP III.</w:t>
      </w:r>
    </w:p>
    <w:p w14:paraId="2DD4020F" w14:textId="395FB864" w:rsidR="00601EEA" w:rsidRDefault="00601EEA" w:rsidP="00601EEA">
      <w:pPr>
        <w:pStyle w:val="SangriaFrancesaArticulo"/>
      </w:pPr>
    </w:p>
    <w:p w14:paraId="2663B110" w14:textId="77777777" w:rsidR="00601EEA" w:rsidRDefault="00601EEA" w:rsidP="00601EEA">
      <w:pPr>
        <w:pStyle w:val="TextoNormalNegritaCursivandice"/>
        <w:keepNext/>
      </w:pPr>
      <w:r>
        <w:t>Sentencia del Tribunal Europeo de Derechos Humanos de 8 de marzo de 2011 (Beristain Ukar c. España)</w:t>
      </w:r>
    </w:p>
    <w:p w14:paraId="57B7968C" w14:textId="2FC2BEC8" w:rsidR="00601EEA" w:rsidRDefault="00601EEA" w:rsidP="00601EEA">
      <w:pPr>
        <w:pStyle w:val="SangriaFrancesaArticulo"/>
      </w:pPr>
      <w:r w:rsidRPr="00601EEA">
        <w:rPr>
          <w:rStyle w:val="TextoNormalNegritaCaracter"/>
        </w:rPr>
        <w:t>§ 34.</w:t>
      </w:r>
      <w:r w:rsidRPr="00601EEA">
        <w:rPr>
          <w:rStyle w:val="TextoNormalCaracter"/>
        </w:rPr>
        <w:t>-</w:t>
      </w:r>
      <w:r>
        <w:t xml:space="preserve"> Sentencia </w:t>
      </w:r>
      <w:hyperlink w:anchor="SENTENCIA_2024_35" w:history="1">
        <w:r w:rsidRPr="00601EEA">
          <w:rPr>
            <w:rStyle w:val="TextoNormalCaracter"/>
          </w:rPr>
          <w:t>35/2024</w:t>
        </w:r>
      </w:hyperlink>
      <w:r>
        <w:t>, f. 2.</w:t>
      </w:r>
    </w:p>
    <w:p w14:paraId="5CF2762C" w14:textId="554EF734" w:rsidR="00601EEA" w:rsidRDefault="00601EEA" w:rsidP="00601EEA">
      <w:pPr>
        <w:pStyle w:val="SangriaFrancesaArticulo"/>
      </w:pPr>
      <w:r w:rsidRPr="00601EEA">
        <w:rPr>
          <w:rStyle w:val="TextoNormalNegritaCaracter"/>
        </w:rPr>
        <w:t>§ 42.</w:t>
      </w:r>
      <w:r w:rsidRPr="00601EEA">
        <w:rPr>
          <w:rStyle w:val="TextoNormalCaracter"/>
        </w:rPr>
        <w:t>-</w:t>
      </w:r>
      <w:r>
        <w:t xml:space="preserve"> Sentencia </w:t>
      </w:r>
      <w:hyperlink w:anchor="SENTENCIA_2024_35" w:history="1">
        <w:r w:rsidRPr="00601EEA">
          <w:rPr>
            <w:rStyle w:val="TextoNormalCaracter"/>
          </w:rPr>
          <w:t>35/2024</w:t>
        </w:r>
      </w:hyperlink>
      <w:r>
        <w:t>, f. 2.</w:t>
      </w:r>
    </w:p>
    <w:p w14:paraId="5C9736DA" w14:textId="302029DB" w:rsidR="00601EEA" w:rsidRDefault="00601EEA" w:rsidP="00601EEA">
      <w:pPr>
        <w:pStyle w:val="SangriaFrancesaArticulo"/>
      </w:pPr>
    </w:p>
    <w:p w14:paraId="40ED0EDA" w14:textId="77777777" w:rsidR="00601EEA" w:rsidRDefault="00601EEA" w:rsidP="00601EEA">
      <w:pPr>
        <w:pStyle w:val="TextoNormalNegritaCursivandice"/>
        <w:keepNext/>
      </w:pPr>
      <w:r>
        <w:t>Sentencia del Tribunal Europeo de Derechos Humanos de 18 de marzo de 2011 ( Lautsi y otros c. Italia)</w:t>
      </w:r>
    </w:p>
    <w:p w14:paraId="6D300F9F" w14:textId="30072F25"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26" w:history="1">
        <w:r w:rsidRPr="00601EEA">
          <w:rPr>
            <w:rStyle w:val="TextoNormalCaracter"/>
          </w:rPr>
          <w:t>26/2024</w:t>
        </w:r>
      </w:hyperlink>
      <w:r>
        <w:t>, f. 5.</w:t>
      </w:r>
    </w:p>
    <w:p w14:paraId="371B27A0" w14:textId="02A798FE" w:rsidR="00601EEA" w:rsidRDefault="00601EEA" w:rsidP="00601EEA">
      <w:pPr>
        <w:pStyle w:val="SangriaFrancesaArticulo"/>
      </w:pPr>
      <w:r w:rsidRPr="00601EEA">
        <w:rPr>
          <w:rStyle w:val="TextoNormalNegritaCaracter"/>
        </w:rPr>
        <w:t>§ 60.</w:t>
      </w:r>
      <w:r w:rsidRPr="00601EEA">
        <w:rPr>
          <w:rStyle w:val="TextoNormalCaracter"/>
        </w:rPr>
        <w:t>-</w:t>
      </w:r>
      <w:r>
        <w:t xml:space="preserve"> Sentencia </w:t>
      </w:r>
      <w:hyperlink w:anchor="SENTENCIA_2024_26" w:history="1">
        <w:r w:rsidRPr="00601EEA">
          <w:rPr>
            <w:rStyle w:val="TextoNormalCaracter"/>
          </w:rPr>
          <w:t>26/2024</w:t>
        </w:r>
      </w:hyperlink>
      <w:r>
        <w:t>, f. 3.</w:t>
      </w:r>
    </w:p>
    <w:p w14:paraId="19E118F4" w14:textId="49CBCE3C" w:rsidR="00601EEA" w:rsidRDefault="00601EEA" w:rsidP="00601EEA">
      <w:pPr>
        <w:pStyle w:val="SangriaFrancesaArticulo"/>
      </w:pPr>
      <w:r w:rsidRPr="00601EEA">
        <w:rPr>
          <w:rStyle w:val="TextoNormalNegritaCaracter"/>
        </w:rPr>
        <w:t>§ 62.</w:t>
      </w:r>
      <w:r w:rsidRPr="00601EEA">
        <w:rPr>
          <w:rStyle w:val="TextoNormalCaracter"/>
        </w:rPr>
        <w:t>-</w:t>
      </w:r>
      <w:r>
        <w:t xml:space="preserve"> Sentencia </w:t>
      </w:r>
      <w:hyperlink w:anchor="SENTENCIA_2024_26" w:history="1">
        <w:r w:rsidRPr="00601EEA">
          <w:rPr>
            <w:rStyle w:val="TextoNormalCaracter"/>
          </w:rPr>
          <w:t>26/2024</w:t>
        </w:r>
      </w:hyperlink>
      <w:r>
        <w:t>, f. 3.</w:t>
      </w:r>
    </w:p>
    <w:p w14:paraId="171F83F9" w14:textId="15A4A048" w:rsidR="00601EEA" w:rsidRDefault="00601EEA" w:rsidP="00601EEA">
      <w:pPr>
        <w:pStyle w:val="SangriaFrancesaArticulo"/>
      </w:pPr>
      <w:r w:rsidRPr="00601EEA">
        <w:rPr>
          <w:rStyle w:val="TextoNormalNegritaCaracter"/>
        </w:rPr>
        <w:t>§ 71.</w:t>
      </w:r>
      <w:r w:rsidRPr="00601EEA">
        <w:rPr>
          <w:rStyle w:val="TextoNormalCaracter"/>
        </w:rPr>
        <w:t>-</w:t>
      </w:r>
      <w:r>
        <w:t xml:space="preserve"> Sentencia </w:t>
      </w:r>
      <w:hyperlink w:anchor="SENTENCIA_2024_26" w:history="1">
        <w:r w:rsidRPr="00601EEA">
          <w:rPr>
            <w:rStyle w:val="TextoNormalCaracter"/>
          </w:rPr>
          <w:t>26/2024</w:t>
        </w:r>
      </w:hyperlink>
      <w:r>
        <w:t>, VP I.</w:t>
      </w:r>
    </w:p>
    <w:p w14:paraId="19D6050A" w14:textId="1E440F42" w:rsidR="00601EEA" w:rsidRDefault="00601EEA" w:rsidP="00601EEA">
      <w:pPr>
        <w:pStyle w:val="SangriaFrancesaArticulo"/>
      </w:pPr>
      <w:r w:rsidRPr="00601EEA">
        <w:rPr>
          <w:rStyle w:val="TextoNormalNegritaCaracter"/>
        </w:rPr>
        <w:t>§ 72.</w:t>
      </w:r>
      <w:r w:rsidRPr="00601EEA">
        <w:rPr>
          <w:rStyle w:val="TextoNormalCaracter"/>
        </w:rPr>
        <w:t>-</w:t>
      </w:r>
      <w:r>
        <w:t xml:space="preserve"> Sentencia </w:t>
      </w:r>
      <w:hyperlink w:anchor="SENTENCIA_2024_26" w:history="1">
        <w:r w:rsidRPr="00601EEA">
          <w:rPr>
            <w:rStyle w:val="TextoNormalCaracter"/>
          </w:rPr>
          <w:t>26/2024</w:t>
        </w:r>
      </w:hyperlink>
      <w:r>
        <w:t>, VP I.</w:t>
      </w:r>
    </w:p>
    <w:p w14:paraId="49B48F26" w14:textId="43E25D70" w:rsidR="00601EEA" w:rsidRDefault="00601EEA" w:rsidP="00601EEA">
      <w:pPr>
        <w:pStyle w:val="SangriaFrancesaArticulo"/>
      </w:pPr>
      <w:r w:rsidRPr="00601EEA">
        <w:rPr>
          <w:rStyle w:val="TextoNormalNegritaCaracter"/>
        </w:rPr>
        <w:t>§ 74.</w:t>
      </w:r>
      <w:r w:rsidRPr="00601EEA">
        <w:rPr>
          <w:rStyle w:val="TextoNormalCaracter"/>
        </w:rPr>
        <w:t>-</w:t>
      </w:r>
      <w:r>
        <w:t xml:space="preserve"> Sentencia </w:t>
      </w:r>
      <w:hyperlink w:anchor="SENTENCIA_2024_26" w:history="1">
        <w:r w:rsidRPr="00601EEA">
          <w:rPr>
            <w:rStyle w:val="TextoNormalCaracter"/>
          </w:rPr>
          <w:t>26/2024</w:t>
        </w:r>
      </w:hyperlink>
      <w:r>
        <w:t>, VP I.</w:t>
      </w:r>
    </w:p>
    <w:p w14:paraId="44649AFD" w14:textId="5C2F026A" w:rsidR="00601EEA" w:rsidRDefault="00601EEA" w:rsidP="00601EEA">
      <w:pPr>
        <w:pStyle w:val="SangriaFrancesaArticulo"/>
      </w:pPr>
      <w:r w:rsidRPr="00601EEA">
        <w:rPr>
          <w:rStyle w:val="TextoNormalNegritaCaracter"/>
        </w:rPr>
        <w:t>§ 77.</w:t>
      </w:r>
      <w:r w:rsidRPr="00601EEA">
        <w:rPr>
          <w:rStyle w:val="TextoNormalCaracter"/>
        </w:rPr>
        <w:t>-</w:t>
      </w:r>
      <w:r>
        <w:t xml:space="preserve"> Sentencia </w:t>
      </w:r>
      <w:hyperlink w:anchor="SENTENCIA_2024_26" w:history="1">
        <w:r w:rsidRPr="00601EEA">
          <w:rPr>
            <w:rStyle w:val="TextoNormalCaracter"/>
          </w:rPr>
          <w:t>26/2024</w:t>
        </w:r>
      </w:hyperlink>
      <w:r>
        <w:t>, VP I.</w:t>
      </w:r>
    </w:p>
    <w:p w14:paraId="2852375B" w14:textId="75226AB5" w:rsidR="00601EEA" w:rsidRDefault="00601EEA" w:rsidP="00601EEA">
      <w:pPr>
        <w:pStyle w:val="SangriaFrancesaArticulo"/>
      </w:pPr>
    </w:p>
    <w:p w14:paraId="5D96E610" w14:textId="77777777" w:rsidR="00601EEA" w:rsidRDefault="00601EEA" w:rsidP="00601EEA">
      <w:pPr>
        <w:pStyle w:val="TextoNormalNegritaCursivandice"/>
        <w:keepNext/>
      </w:pPr>
      <w:r>
        <w:t>Decisión del Tribunal Europeo de Derechos Humanos de 13 de septiembre de 2011 (Dojan y otros c. Alemania)</w:t>
      </w:r>
    </w:p>
    <w:p w14:paraId="42686086" w14:textId="780410BB"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92" w:history="1">
        <w:r w:rsidRPr="00601EEA">
          <w:rPr>
            <w:rStyle w:val="TextoNormalCaracter"/>
          </w:rPr>
          <w:t>92/2024</w:t>
        </w:r>
      </w:hyperlink>
      <w:r>
        <w:t>, f. 5.</w:t>
      </w:r>
    </w:p>
    <w:p w14:paraId="302A1327" w14:textId="592D8587" w:rsidR="00601EEA" w:rsidRDefault="00601EEA" w:rsidP="00601EEA">
      <w:pPr>
        <w:pStyle w:val="SangriaFrancesaArticulo"/>
      </w:pPr>
    </w:p>
    <w:p w14:paraId="0C30F99C" w14:textId="77777777" w:rsidR="00601EEA" w:rsidRDefault="00601EEA" w:rsidP="00601EEA">
      <w:pPr>
        <w:pStyle w:val="TextoNormalNegritaCursivandice"/>
        <w:keepNext/>
      </w:pPr>
      <w:r>
        <w:t>Sentencia del Tribunal Europeo de Derechos Humanos de 7 de febrero de 2012 (Von Hannover c. Alemania —núm. 2—)</w:t>
      </w:r>
    </w:p>
    <w:p w14:paraId="7544AD8F" w14:textId="2E010F2E" w:rsidR="00601EEA" w:rsidRDefault="00601EEA" w:rsidP="00601EEA">
      <w:pPr>
        <w:pStyle w:val="SangriaFrancesaArticulo"/>
      </w:pPr>
      <w:r w:rsidRPr="00601EEA">
        <w:rPr>
          <w:rStyle w:val="TextoNormalNegritaCaracter"/>
        </w:rPr>
        <w:t>§ 69.</w:t>
      </w:r>
      <w:r w:rsidRPr="00601EEA">
        <w:rPr>
          <w:rStyle w:val="TextoNormalCaracter"/>
        </w:rPr>
        <w:t>-</w:t>
      </w:r>
      <w:r>
        <w:t xml:space="preserve"> Sentencia </w:t>
      </w:r>
      <w:hyperlink w:anchor="SENTENCIA_2024_87" w:history="1">
        <w:r w:rsidRPr="00601EEA">
          <w:rPr>
            <w:rStyle w:val="TextoNormalCaracter"/>
          </w:rPr>
          <w:t>87/2024</w:t>
        </w:r>
      </w:hyperlink>
      <w:r>
        <w:t>, VP III.</w:t>
      </w:r>
    </w:p>
    <w:p w14:paraId="51E47A32" w14:textId="45309EB0" w:rsidR="00601EEA" w:rsidRDefault="00601EEA" w:rsidP="00601EEA">
      <w:pPr>
        <w:pStyle w:val="SangriaFrancesaArticulo"/>
      </w:pPr>
    </w:p>
    <w:p w14:paraId="0A080CDD" w14:textId="77777777" w:rsidR="00601EEA" w:rsidRDefault="00601EEA" w:rsidP="00601EEA">
      <w:pPr>
        <w:pStyle w:val="TextoNormalNegritaCursivandice"/>
        <w:keepNext/>
      </w:pPr>
      <w:r>
        <w:t>Sentencia del Tribunal Europeo de Derechos Humanos de 10 de abril de 2012 (Popa y Tanasescu c. Rumanía)</w:t>
      </w:r>
    </w:p>
    <w:p w14:paraId="6CF88D75" w14:textId="041C0847"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80" w:history="1">
        <w:r w:rsidRPr="00601EEA">
          <w:rPr>
            <w:rStyle w:val="TextoNormalCaracter"/>
          </w:rPr>
          <w:t>80/2024</w:t>
        </w:r>
      </w:hyperlink>
      <w:r>
        <w:t>, f. 5.</w:t>
      </w:r>
    </w:p>
    <w:p w14:paraId="0C672A80" w14:textId="6CD61BE2" w:rsidR="00601EEA" w:rsidRDefault="00601EEA" w:rsidP="00601EEA">
      <w:pPr>
        <w:pStyle w:val="SangriaFrancesaArticulo"/>
      </w:pPr>
    </w:p>
    <w:p w14:paraId="4D3DAE4E" w14:textId="77777777" w:rsidR="00601EEA" w:rsidRDefault="00601EEA" w:rsidP="00601EEA">
      <w:pPr>
        <w:pStyle w:val="TextoNormalNegritaCursivandice"/>
        <w:keepNext/>
      </w:pPr>
      <w:r>
        <w:t>Sentencia del Tribunal Europeo de Derechos Humanos de 17 de abril de 2012 (Rizvanov c. Azerbaiyán)</w:t>
      </w:r>
    </w:p>
    <w:p w14:paraId="44DD4E95" w14:textId="267BF23D"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35" w:history="1">
        <w:r w:rsidRPr="00601EEA">
          <w:rPr>
            <w:rStyle w:val="TextoNormalCaracter"/>
          </w:rPr>
          <w:t>35/2024</w:t>
        </w:r>
      </w:hyperlink>
      <w:r>
        <w:t>, VP.</w:t>
      </w:r>
    </w:p>
    <w:p w14:paraId="1726DDFD" w14:textId="491EFD04" w:rsidR="00601EEA" w:rsidRDefault="00601EEA" w:rsidP="00601EEA">
      <w:pPr>
        <w:pStyle w:val="SangriaFrancesaArticulo"/>
      </w:pPr>
    </w:p>
    <w:p w14:paraId="33D39559" w14:textId="77777777" w:rsidR="00601EEA" w:rsidRDefault="00601EEA" w:rsidP="00601EEA">
      <w:pPr>
        <w:pStyle w:val="TextoNormalNegritaCursivandice"/>
        <w:keepNext/>
      </w:pPr>
      <w:r>
        <w:t>Sentencia del Tribunal Europeo de Derechos Humanos de 24 de julio de 2012 (B.S. c. España)</w:t>
      </w:r>
    </w:p>
    <w:p w14:paraId="1F57EA17" w14:textId="1FF7FB41"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Sentencias </w:t>
      </w:r>
      <w:hyperlink w:anchor="SENTENCIA_2024_1" w:history="1">
        <w:r w:rsidRPr="00601EEA">
          <w:rPr>
            <w:rStyle w:val="TextoNormalCaracter"/>
          </w:rPr>
          <w:t>1/2024</w:t>
        </w:r>
      </w:hyperlink>
      <w:r>
        <w:t xml:space="preserve">, f. 3; </w:t>
      </w:r>
      <w:hyperlink w:anchor="SENTENCIA_2024_33" w:history="1">
        <w:r w:rsidRPr="00601EEA">
          <w:rPr>
            <w:rStyle w:val="TextoNormalCaracter"/>
          </w:rPr>
          <w:t>33/2024</w:t>
        </w:r>
      </w:hyperlink>
      <w:r>
        <w:t>, f. 2.</w:t>
      </w:r>
    </w:p>
    <w:p w14:paraId="63E4042D" w14:textId="3D812AE8" w:rsidR="00601EEA" w:rsidRDefault="00601EEA" w:rsidP="00601EEA">
      <w:pPr>
        <w:pStyle w:val="SangriaFrancesaArticulo"/>
      </w:pPr>
    </w:p>
    <w:p w14:paraId="219CAD83" w14:textId="77777777" w:rsidR="00601EEA" w:rsidRDefault="00601EEA" w:rsidP="00601EEA">
      <w:pPr>
        <w:pStyle w:val="TextoNormalNegritaCursivandice"/>
        <w:keepNext/>
      </w:pPr>
      <w:r>
        <w:t>Sentencia del Tribunal Europeo de Derechos Humanos de 30 de octubre de 2012 (P. y S. c. Polonia)</w:t>
      </w:r>
    </w:p>
    <w:p w14:paraId="296D611B" w14:textId="2B514EF1" w:rsidR="00601EEA" w:rsidRDefault="00601EEA" w:rsidP="00601EEA">
      <w:pPr>
        <w:pStyle w:val="SangriaFrancesaArticulo"/>
      </w:pPr>
      <w:r w:rsidRPr="00601EEA">
        <w:rPr>
          <w:rStyle w:val="TextoNormalNegritaCaracter"/>
        </w:rPr>
        <w:t>§ 111.</w:t>
      </w:r>
      <w:r w:rsidRPr="00601EEA">
        <w:rPr>
          <w:rStyle w:val="TextoNormalCaracter"/>
        </w:rPr>
        <w:t>-</w:t>
      </w:r>
      <w:r>
        <w:t xml:space="preserve"> Sentencia </w:t>
      </w:r>
      <w:hyperlink w:anchor="SENTENCIA_2024_92" w:history="1">
        <w:r w:rsidRPr="00601EEA">
          <w:rPr>
            <w:rStyle w:val="TextoNormalCaracter"/>
          </w:rPr>
          <w:t>92/2024</w:t>
        </w:r>
      </w:hyperlink>
      <w:r>
        <w:t>, f. 7, VP III.</w:t>
      </w:r>
    </w:p>
    <w:p w14:paraId="691A0674" w14:textId="267674D9" w:rsidR="00601EEA" w:rsidRDefault="00601EEA" w:rsidP="00601EEA">
      <w:pPr>
        <w:pStyle w:val="SangriaFrancesaArticulo"/>
      </w:pPr>
    </w:p>
    <w:p w14:paraId="74942561" w14:textId="77777777" w:rsidR="00601EEA" w:rsidRDefault="00601EEA" w:rsidP="00601EEA">
      <w:pPr>
        <w:pStyle w:val="TextoNormalNegritaCursivandice"/>
        <w:keepNext/>
      </w:pPr>
      <w:r>
        <w:t>Sentencia del Tribunal Europeo de Derechos Humanos de 27 de noviembre de 2012 (Disk y Kesk c. Turquía)</w:t>
      </w:r>
    </w:p>
    <w:p w14:paraId="168F439B" w14:textId="12E67836" w:rsidR="00601EEA" w:rsidRDefault="00601EEA" w:rsidP="00601EEA">
      <w:pPr>
        <w:pStyle w:val="SangriaFrancesaArticulo"/>
      </w:pPr>
      <w:r w:rsidRPr="00601EEA">
        <w:rPr>
          <w:rStyle w:val="TextoNormalNegritaCaracter"/>
        </w:rPr>
        <w:t>§ 29.</w:t>
      </w:r>
      <w:r w:rsidRPr="00601EEA">
        <w:rPr>
          <w:rStyle w:val="TextoNormalCaracter"/>
        </w:rPr>
        <w:t>-</w:t>
      </w:r>
      <w:r>
        <w:t xml:space="preserve"> Sentencia </w:t>
      </w:r>
      <w:hyperlink w:anchor="SENTENCIA_2024_75" w:history="1">
        <w:r w:rsidRPr="00601EEA">
          <w:rPr>
            <w:rStyle w:val="TextoNormalCaracter"/>
          </w:rPr>
          <w:t>75/2024</w:t>
        </w:r>
      </w:hyperlink>
      <w:r>
        <w:t>, VP II.</w:t>
      </w:r>
    </w:p>
    <w:p w14:paraId="0BF9FF88" w14:textId="10CCA980" w:rsidR="00601EEA" w:rsidRDefault="00601EEA" w:rsidP="00601EEA">
      <w:pPr>
        <w:pStyle w:val="SangriaFrancesaArticulo"/>
      </w:pPr>
    </w:p>
    <w:p w14:paraId="60B826CD" w14:textId="77777777" w:rsidR="00601EEA" w:rsidRDefault="00601EEA" w:rsidP="00601EEA">
      <w:pPr>
        <w:pStyle w:val="TextoNormalNegritaCursivandice"/>
        <w:keepNext/>
      </w:pPr>
      <w:r>
        <w:t>Sentencia del Tribunal Europeo de Derechos Humanos de 13 de diciembre de 2012 (De Souza Ribeiro c. Francia)</w:t>
      </w:r>
    </w:p>
    <w:p w14:paraId="13139518" w14:textId="2CA43E40" w:rsidR="00601EEA" w:rsidRDefault="00601EEA" w:rsidP="00601EEA">
      <w:pPr>
        <w:pStyle w:val="SangriaFrancesaArticulo"/>
      </w:pPr>
      <w:r w:rsidRPr="00601EEA">
        <w:rPr>
          <w:rStyle w:val="TextoNormalNegritaCaracter"/>
        </w:rPr>
        <w:t>§ 79.</w:t>
      </w:r>
      <w:r w:rsidRPr="00601EEA">
        <w:rPr>
          <w:rStyle w:val="TextoNormalCaracter"/>
        </w:rPr>
        <w:t>-</w:t>
      </w:r>
      <w:r>
        <w:t xml:space="preserve"> Sentencia </w:t>
      </w:r>
      <w:hyperlink w:anchor="SENTENCIA_2024_61" w:history="1">
        <w:r w:rsidRPr="00601EEA">
          <w:rPr>
            <w:rStyle w:val="TextoNormalCaracter"/>
          </w:rPr>
          <w:t>61/2024</w:t>
        </w:r>
      </w:hyperlink>
      <w:r>
        <w:t>, VP.</w:t>
      </w:r>
    </w:p>
    <w:p w14:paraId="318FDF7A" w14:textId="777D0AC8" w:rsidR="00601EEA" w:rsidRDefault="00601EEA" w:rsidP="00601EEA">
      <w:pPr>
        <w:pStyle w:val="SangriaFrancesaArticulo"/>
      </w:pPr>
    </w:p>
    <w:p w14:paraId="0D4F0266" w14:textId="77777777" w:rsidR="00601EEA" w:rsidRDefault="00601EEA" w:rsidP="00601EEA">
      <w:pPr>
        <w:pStyle w:val="TextoNormalNegritaCursivandice"/>
        <w:keepNext/>
      </w:pPr>
      <w:r>
        <w:t>Sentencia del Tribunal Europeo de Derechos Humanos de 13 de diciembre de 2012 (El-Masri c. Ex-República Yugoslava de Macedonia)</w:t>
      </w:r>
    </w:p>
    <w:p w14:paraId="7179D059" w14:textId="627E3E2B" w:rsidR="00601EEA" w:rsidRDefault="00601EEA" w:rsidP="00601EEA">
      <w:pPr>
        <w:pStyle w:val="SangriaFrancesaArticulo"/>
      </w:pPr>
      <w:r w:rsidRPr="00601EEA">
        <w:rPr>
          <w:rStyle w:val="TextoNormalNegritaCaracter"/>
        </w:rPr>
        <w:t>§ 182.</w:t>
      </w:r>
      <w:r w:rsidRPr="00601EEA">
        <w:rPr>
          <w:rStyle w:val="TextoNormalCaracter"/>
        </w:rPr>
        <w:t>-</w:t>
      </w:r>
      <w:r>
        <w:t xml:space="preserve"> Sentencia </w:t>
      </w:r>
      <w:hyperlink w:anchor="SENTENCIA_2024_35" w:history="1">
        <w:r w:rsidRPr="00601EEA">
          <w:rPr>
            <w:rStyle w:val="TextoNormalCaracter"/>
          </w:rPr>
          <w:t>35/2024</w:t>
        </w:r>
      </w:hyperlink>
      <w:r>
        <w:t>, f. 2.</w:t>
      </w:r>
    </w:p>
    <w:p w14:paraId="6335FA0E" w14:textId="28C6E632" w:rsidR="00601EEA" w:rsidRDefault="00601EEA" w:rsidP="00601EEA">
      <w:pPr>
        <w:pStyle w:val="SangriaFrancesaArticulo"/>
      </w:pPr>
    </w:p>
    <w:p w14:paraId="58BFE079" w14:textId="77777777" w:rsidR="00601EEA" w:rsidRDefault="00601EEA" w:rsidP="00601EEA">
      <w:pPr>
        <w:pStyle w:val="TextoNormalNegritaCursivandice"/>
        <w:keepNext/>
      </w:pPr>
      <w:r>
        <w:t>Sentencia del Tribunal Europeo de Derechos Humanos de 4 de junio de 2013 (Hanu c. Rumanía)</w:t>
      </w:r>
    </w:p>
    <w:p w14:paraId="137F02EB" w14:textId="5D987F87"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80" w:history="1">
        <w:r w:rsidRPr="00601EEA">
          <w:rPr>
            <w:rStyle w:val="TextoNormalCaracter"/>
          </w:rPr>
          <w:t>80/2024</w:t>
        </w:r>
      </w:hyperlink>
      <w:r>
        <w:t>, f. 5.</w:t>
      </w:r>
    </w:p>
    <w:p w14:paraId="049E9F54" w14:textId="54531CA7" w:rsidR="00601EEA" w:rsidRDefault="00601EEA" w:rsidP="00601EEA">
      <w:pPr>
        <w:pStyle w:val="SangriaFrancesaArticulo"/>
      </w:pPr>
    </w:p>
    <w:p w14:paraId="2B10B429" w14:textId="77777777" w:rsidR="00601EEA" w:rsidRDefault="00601EEA" w:rsidP="00601EEA">
      <w:pPr>
        <w:pStyle w:val="TextoNormalNegritaCursivandice"/>
        <w:keepNext/>
      </w:pPr>
      <w:r>
        <w:t>Sentencia del Tribunal Europeo de Derechos Humanos de 5 de septiembre de 2013 (Cepek c. República Checa)</w:t>
      </w:r>
    </w:p>
    <w:p w14:paraId="0914DD71" w14:textId="050EA727" w:rsidR="00601EEA" w:rsidRDefault="00601EEA" w:rsidP="00601EEA">
      <w:pPr>
        <w:pStyle w:val="SangriaFrancesaArticulo"/>
      </w:pPr>
      <w:r w:rsidRPr="00601EEA">
        <w:rPr>
          <w:rStyle w:val="TextoNormalNegritaCaracter"/>
        </w:rPr>
        <w:t>§ 48.</w:t>
      </w:r>
      <w:r w:rsidRPr="00601EEA">
        <w:rPr>
          <w:rStyle w:val="TextoNormalCaracter"/>
        </w:rPr>
        <w:t>-</w:t>
      </w:r>
      <w:r>
        <w:t xml:space="preserve"> Sentencia </w:t>
      </w:r>
      <w:hyperlink w:anchor="SENTENCIA_2024_77" w:history="1">
        <w:r w:rsidRPr="00601EEA">
          <w:rPr>
            <w:rStyle w:val="TextoNormalCaracter"/>
          </w:rPr>
          <w:t>77/2024</w:t>
        </w:r>
      </w:hyperlink>
      <w:r>
        <w:t>, f. 4.</w:t>
      </w:r>
    </w:p>
    <w:p w14:paraId="2F918857" w14:textId="7D282B5F" w:rsidR="00601EEA" w:rsidRDefault="00601EEA" w:rsidP="00601EEA">
      <w:pPr>
        <w:pStyle w:val="SangriaFrancesaArticulo"/>
      </w:pPr>
    </w:p>
    <w:p w14:paraId="3BAAB287" w14:textId="77777777" w:rsidR="00601EEA" w:rsidRDefault="00601EEA" w:rsidP="00601EEA">
      <w:pPr>
        <w:pStyle w:val="TextoNormalNegritaCursivandice"/>
        <w:keepNext/>
      </w:pPr>
      <w:r>
        <w:lastRenderedPageBreak/>
        <w:t>Sentencia del Tribunal Europeo de Derechos Humanos de 17 de diciembre de 2013 (Ion Tudor c. Rumanía)</w:t>
      </w:r>
    </w:p>
    <w:p w14:paraId="6CD9A9B3" w14:textId="3EF99451" w:rsidR="00601EEA" w:rsidRDefault="00601EEA" w:rsidP="00601EEA">
      <w:pPr>
        <w:pStyle w:val="SangriaFrancesaArticulo"/>
      </w:pPr>
      <w:r w:rsidRPr="00601EEA">
        <w:rPr>
          <w:rStyle w:val="TextoNormalNegritaCaracter"/>
        </w:rPr>
        <w:t>§ 25 a 29.</w:t>
      </w:r>
      <w:r w:rsidRPr="00601EEA">
        <w:rPr>
          <w:rStyle w:val="TextoNormalCaracter"/>
        </w:rPr>
        <w:t>-</w:t>
      </w:r>
      <w:r>
        <w:t xml:space="preserve"> Sentencia </w:t>
      </w:r>
      <w:hyperlink w:anchor="SENTENCIA_2024_80" w:history="1">
        <w:r w:rsidRPr="00601EEA">
          <w:rPr>
            <w:rStyle w:val="TextoNormalCaracter"/>
          </w:rPr>
          <w:t>80/2024</w:t>
        </w:r>
      </w:hyperlink>
      <w:r>
        <w:t>, f. 5.</w:t>
      </w:r>
    </w:p>
    <w:p w14:paraId="4EA01D06" w14:textId="24E57BF5" w:rsidR="00601EEA" w:rsidRDefault="00601EEA" w:rsidP="00601EEA">
      <w:pPr>
        <w:pStyle w:val="SangriaFrancesaArticulo"/>
      </w:pPr>
      <w:r w:rsidRPr="00601EEA">
        <w:rPr>
          <w:rStyle w:val="TextoNormalNegritaCaracter"/>
        </w:rPr>
        <w:t>§ 28.</w:t>
      </w:r>
      <w:r w:rsidRPr="00601EEA">
        <w:rPr>
          <w:rStyle w:val="TextoNormalCaracter"/>
        </w:rPr>
        <w:t>-</w:t>
      </w:r>
      <w:r>
        <w:t xml:space="preserve"> Sentencia </w:t>
      </w:r>
      <w:hyperlink w:anchor="SENTENCIA_2024_80" w:history="1">
        <w:r w:rsidRPr="00601EEA">
          <w:rPr>
            <w:rStyle w:val="TextoNormalCaracter"/>
          </w:rPr>
          <w:t>80/2024</w:t>
        </w:r>
      </w:hyperlink>
      <w:r>
        <w:t>, f. 5.</w:t>
      </w:r>
    </w:p>
    <w:p w14:paraId="46E6F6EA" w14:textId="259B372A" w:rsidR="00601EEA" w:rsidRDefault="00601EEA" w:rsidP="00601EEA">
      <w:pPr>
        <w:pStyle w:val="SangriaFrancesaArticulo"/>
      </w:pPr>
    </w:p>
    <w:p w14:paraId="5073D62A" w14:textId="77777777" w:rsidR="00601EEA" w:rsidRDefault="00601EEA" w:rsidP="00601EEA">
      <w:pPr>
        <w:pStyle w:val="TextoNormalNegritaCursivandice"/>
        <w:keepNext/>
      </w:pPr>
      <w:r>
        <w:t>Sentencia del Tribunal Europeo de Derechos Humanos de 26 de junio de 2014 (Labassee c. Francia)</w:t>
      </w:r>
    </w:p>
    <w:p w14:paraId="146B221D" w14:textId="3A95D4AA"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28" w:history="1">
        <w:r w:rsidRPr="00601EEA">
          <w:rPr>
            <w:rStyle w:val="TextoNormalCaracter"/>
          </w:rPr>
          <w:t>28/2024</w:t>
        </w:r>
      </w:hyperlink>
      <w:r>
        <w:t>, f. 3.</w:t>
      </w:r>
    </w:p>
    <w:p w14:paraId="008C5ACF" w14:textId="3ADD3F25" w:rsidR="00601EEA" w:rsidRDefault="00601EEA" w:rsidP="00601EEA">
      <w:pPr>
        <w:pStyle w:val="SangriaFrancesaArticulo"/>
      </w:pPr>
      <w:r w:rsidRPr="00601EEA">
        <w:rPr>
          <w:rStyle w:val="TextoNormalNegritaCaracter"/>
        </w:rPr>
        <w:t>§ 50.</w:t>
      </w:r>
      <w:r w:rsidRPr="00601EEA">
        <w:rPr>
          <w:rStyle w:val="TextoNormalCaracter"/>
        </w:rPr>
        <w:t>-</w:t>
      </w:r>
      <w:r>
        <w:t xml:space="preserve"> Sentencia </w:t>
      </w:r>
      <w:hyperlink w:anchor="SENTENCIA_2024_28" w:history="1">
        <w:r w:rsidRPr="00601EEA">
          <w:rPr>
            <w:rStyle w:val="TextoNormalCaracter"/>
          </w:rPr>
          <w:t>28/2024</w:t>
        </w:r>
      </w:hyperlink>
      <w:r>
        <w:t>, f. 5.</w:t>
      </w:r>
    </w:p>
    <w:p w14:paraId="6E0E4258" w14:textId="34140EE6" w:rsidR="00601EEA" w:rsidRDefault="00601EEA" w:rsidP="00601EEA">
      <w:pPr>
        <w:pStyle w:val="SangriaFrancesaArticulo"/>
      </w:pPr>
    </w:p>
    <w:p w14:paraId="38975191" w14:textId="77777777" w:rsidR="00601EEA" w:rsidRDefault="00601EEA" w:rsidP="00601EEA">
      <w:pPr>
        <w:pStyle w:val="TextoNormalNegritaCursivandice"/>
        <w:keepNext/>
      </w:pPr>
      <w:r>
        <w:t>Sentencia del Tribunal Europeo de Derechos Humanos de 26 de junio de 2014 (Mennesson c. Francia)</w:t>
      </w:r>
    </w:p>
    <w:p w14:paraId="69EA9703" w14:textId="30E49495"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28" w:history="1">
        <w:r w:rsidRPr="00601EEA">
          <w:rPr>
            <w:rStyle w:val="TextoNormalCaracter"/>
          </w:rPr>
          <w:t>28/2024</w:t>
        </w:r>
      </w:hyperlink>
      <w:r>
        <w:t>, f. 3.</w:t>
      </w:r>
    </w:p>
    <w:p w14:paraId="69C2C8D5" w14:textId="37B8C3F2" w:rsidR="00601EEA" w:rsidRDefault="00601EEA" w:rsidP="00601EEA">
      <w:pPr>
        <w:pStyle w:val="SangriaFrancesaArticulo"/>
      </w:pPr>
      <w:r w:rsidRPr="00601EEA">
        <w:rPr>
          <w:rStyle w:val="TextoNormalNegritaCaracter"/>
        </w:rPr>
        <w:t>§ 45.</w:t>
      </w:r>
      <w:r w:rsidRPr="00601EEA">
        <w:rPr>
          <w:rStyle w:val="TextoNormalCaracter"/>
        </w:rPr>
        <w:t>-</w:t>
      </w:r>
      <w:r>
        <w:t xml:space="preserve"> Sentencia </w:t>
      </w:r>
      <w:hyperlink w:anchor="SENTENCIA_2024_28" w:history="1">
        <w:r w:rsidRPr="00601EEA">
          <w:rPr>
            <w:rStyle w:val="TextoNormalCaracter"/>
          </w:rPr>
          <w:t>28/2024</w:t>
        </w:r>
      </w:hyperlink>
      <w:r>
        <w:t>, f. 5.</w:t>
      </w:r>
    </w:p>
    <w:p w14:paraId="3DEB2538" w14:textId="00FFA0A7" w:rsidR="00601EEA" w:rsidRDefault="00601EEA" w:rsidP="00601EEA">
      <w:pPr>
        <w:pStyle w:val="SangriaFrancesaArticulo"/>
      </w:pPr>
    </w:p>
    <w:p w14:paraId="7A5D850A" w14:textId="77777777" w:rsidR="00601EEA" w:rsidRDefault="00601EEA" w:rsidP="00601EEA">
      <w:pPr>
        <w:pStyle w:val="TextoNormalNegritaCursivandice"/>
        <w:keepNext/>
      </w:pPr>
      <w:r>
        <w:t>Sentencia del Tribunal Europeo de Derechos Humanos de 16 de julio de 2014 (Hämäläinen c. Finlandia)</w:t>
      </w:r>
    </w:p>
    <w:p w14:paraId="64E4C64C" w14:textId="456EB19D" w:rsidR="00601EEA" w:rsidRDefault="00601EEA" w:rsidP="00601EEA">
      <w:pPr>
        <w:pStyle w:val="SangriaFrancesaArticulo"/>
      </w:pPr>
      <w:r w:rsidRPr="00601EEA">
        <w:rPr>
          <w:rStyle w:val="TextoNormalNegritaCaracter"/>
        </w:rPr>
        <w:t>§ 109.</w:t>
      </w:r>
      <w:r w:rsidRPr="00601EEA">
        <w:rPr>
          <w:rStyle w:val="TextoNormalCaracter"/>
        </w:rPr>
        <w:t>-</w:t>
      </w:r>
      <w:r>
        <w:t xml:space="preserve"> Sentencia </w:t>
      </w:r>
      <w:hyperlink w:anchor="SENTENCIA_2024_81" w:history="1">
        <w:r w:rsidRPr="00601EEA">
          <w:rPr>
            <w:rStyle w:val="TextoNormalCaracter"/>
          </w:rPr>
          <w:t>81/2024</w:t>
        </w:r>
      </w:hyperlink>
      <w:r>
        <w:t>, f. 3.</w:t>
      </w:r>
    </w:p>
    <w:p w14:paraId="6C2F1E6C" w14:textId="66AF0F24" w:rsidR="00601EEA" w:rsidRDefault="00601EEA" w:rsidP="00601EEA">
      <w:pPr>
        <w:pStyle w:val="SangriaFrancesaArticulo"/>
      </w:pPr>
    </w:p>
    <w:p w14:paraId="521B4ABC" w14:textId="77777777" w:rsidR="00601EEA" w:rsidRDefault="00601EEA" w:rsidP="00601EEA">
      <w:pPr>
        <w:pStyle w:val="TextoNormalNegritaCursivandice"/>
        <w:keepNext/>
      </w:pPr>
      <w:r>
        <w:t>Sentencia del Tribunal Europeo de Derechos Humanos de 30 de octubre de 2014 (Nosko y Nefedov c. Russia)</w:t>
      </w:r>
    </w:p>
    <w:p w14:paraId="5C945B82" w14:textId="36FEBD4A" w:rsidR="00601EEA" w:rsidRDefault="00601EEA" w:rsidP="00601EEA">
      <w:pPr>
        <w:pStyle w:val="SangriaFrancesaArticulo"/>
      </w:pPr>
      <w:r w:rsidRPr="00601EEA">
        <w:rPr>
          <w:rStyle w:val="TextoNormalNegritaCaracter"/>
        </w:rPr>
        <w:t>§ 49.</w:t>
      </w:r>
      <w:r w:rsidRPr="00601EEA">
        <w:rPr>
          <w:rStyle w:val="TextoNormalCaracter"/>
        </w:rPr>
        <w:t>-</w:t>
      </w:r>
      <w:r>
        <w:t xml:space="preserve"> Sentencia </w:t>
      </w:r>
      <w:hyperlink w:anchor="SENTENCIA_2024_87" w:history="1">
        <w:r w:rsidRPr="00601EEA">
          <w:rPr>
            <w:rStyle w:val="TextoNormalCaracter"/>
          </w:rPr>
          <w:t>87/2024</w:t>
        </w:r>
      </w:hyperlink>
      <w:r>
        <w:t>, f. 2.</w:t>
      </w:r>
    </w:p>
    <w:p w14:paraId="64A70478" w14:textId="76635A83" w:rsidR="00601EEA" w:rsidRDefault="00601EEA" w:rsidP="00601EEA">
      <w:pPr>
        <w:pStyle w:val="SangriaFrancesaArticulo"/>
      </w:pPr>
    </w:p>
    <w:p w14:paraId="19F7E1AF" w14:textId="77777777" w:rsidR="00601EEA" w:rsidRDefault="00601EEA" w:rsidP="00601EEA">
      <w:pPr>
        <w:pStyle w:val="TextoNormalNegritaCursivandice"/>
        <w:keepNext/>
      </w:pPr>
      <w:r>
        <w:t>Decisión del Tribunal Europeo de Derechos Humanos de 9 de diciembre de 2014 (Taner c. Turquía)</w:t>
      </w:r>
    </w:p>
    <w:p w14:paraId="35193ACC" w14:textId="0F48336A" w:rsidR="00601EEA" w:rsidRDefault="00601EEA" w:rsidP="00601EEA">
      <w:pPr>
        <w:pStyle w:val="SangriaFrancesaArticulo"/>
      </w:pPr>
      <w:r w:rsidRPr="00601EEA">
        <w:rPr>
          <w:rStyle w:val="TextoNormalNegritaCaracter"/>
        </w:rPr>
        <w:t>§ 53.</w:t>
      </w:r>
      <w:r w:rsidRPr="00601EEA">
        <w:rPr>
          <w:rStyle w:val="TextoNormalCaracter"/>
        </w:rPr>
        <w:t>-</w:t>
      </w:r>
      <w:r>
        <w:t xml:space="preserve"> Sentencia </w:t>
      </w:r>
      <w:hyperlink w:anchor="SENTENCIA_2024_1" w:history="1">
        <w:r w:rsidRPr="00601EEA">
          <w:rPr>
            <w:rStyle w:val="TextoNormalCaracter"/>
          </w:rPr>
          <w:t>1/2024</w:t>
        </w:r>
      </w:hyperlink>
      <w:r>
        <w:t>, f. 3.</w:t>
      </w:r>
    </w:p>
    <w:p w14:paraId="0FC18415" w14:textId="351B936C" w:rsidR="00601EEA" w:rsidRDefault="00601EEA" w:rsidP="00601EEA">
      <w:pPr>
        <w:pStyle w:val="SangriaFrancesaArticulo"/>
      </w:pPr>
      <w:r w:rsidRPr="00601EEA">
        <w:rPr>
          <w:rStyle w:val="TextoNormalNegritaCaracter"/>
        </w:rPr>
        <w:t>§ 54.</w:t>
      </w:r>
      <w:r w:rsidRPr="00601EEA">
        <w:rPr>
          <w:rStyle w:val="TextoNormalCaracter"/>
        </w:rPr>
        <w:t>-</w:t>
      </w:r>
      <w:r>
        <w:t xml:space="preserve"> Sentencia </w:t>
      </w:r>
      <w:hyperlink w:anchor="SENTENCIA_2024_1" w:history="1">
        <w:r w:rsidRPr="00601EEA">
          <w:rPr>
            <w:rStyle w:val="TextoNormalCaracter"/>
          </w:rPr>
          <w:t>1/2024</w:t>
        </w:r>
      </w:hyperlink>
      <w:r>
        <w:t>, f. 3.</w:t>
      </w:r>
    </w:p>
    <w:p w14:paraId="4870BC7D" w14:textId="468800B3" w:rsidR="00601EEA" w:rsidRDefault="00601EEA" w:rsidP="00601EEA">
      <w:pPr>
        <w:pStyle w:val="SangriaFrancesaArticulo"/>
      </w:pPr>
      <w:r w:rsidRPr="00601EEA">
        <w:rPr>
          <w:rStyle w:val="TextoNormalNegritaCaracter"/>
        </w:rPr>
        <w:t>§ 55.</w:t>
      </w:r>
      <w:r w:rsidRPr="00601EEA">
        <w:rPr>
          <w:rStyle w:val="TextoNormalCaracter"/>
        </w:rPr>
        <w:t>-</w:t>
      </w:r>
      <w:r>
        <w:t xml:space="preserve"> Sentencia </w:t>
      </w:r>
      <w:hyperlink w:anchor="SENTENCIA_2024_1" w:history="1">
        <w:r w:rsidRPr="00601EEA">
          <w:rPr>
            <w:rStyle w:val="TextoNormalCaracter"/>
          </w:rPr>
          <w:t>1/2024</w:t>
        </w:r>
      </w:hyperlink>
      <w:r>
        <w:t>, f. 3.</w:t>
      </w:r>
    </w:p>
    <w:p w14:paraId="7EB7DF3A" w14:textId="6EFBAEE0" w:rsidR="00601EEA" w:rsidRDefault="00601EEA" w:rsidP="00601EEA">
      <w:pPr>
        <w:pStyle w:val="SangriaFrancesaArticulo"/>
      </w:pPr>
    </w:p>
    <w:p w14:paraId="6DE27B40" w14:textId="77777777" w:rsidR="00601EEA" w:rsidRDefault="00601EEA" w:rsidP="00601EEA">
      <w:pPr>
        <w:pStyle w:val="TextoNormalNegritaCursivandice"/>
        <w:keepNext/>
      </w:pPr>
      <w:r>
        <w:t>Sentencia del Tribunal Europeo de Derechos Humanos de 15 de enero de 2015 (Cleve c. Alemania)</w:t>
      </w:r>
    </w:p>
    <w:p w14:paraId="6875564F" w14:textId="2A653993" w:rsidR="00601EEA" w:rsidRDefault="00601EEA" w:rsidP="00601EEA">
      <w:pPr>
        <w:pStyle w:val="SangriaFrancesaArticulo"/>
      </w:pPr>
      <w:r w:rsidRPr="00601EEA">
        <w:rPr>
          <w:rStyle w:val="TextoNormalNegritaCaracter"/>
        </w:rPr>
        <w:t>§ 36.</w:t>
      </w:r>
      <w:r w:rsidRPr="00601EEA">
        <w:rPr>
          <w:rStyle w:val="TextoNormalCaracter"/>
        </w:rPr>
        <w:t>-</w:t>
      </w:r>
      <w:r>
        <w:t xml:space="preserve"> Sentencia </w:t>
      </w:r>
      <w:hyperlink w:anchor="SENTENCIA_2024_72" w:history="1">
        <w:r w:rsidRPr="00601EEA">
          <w:rPr>
            <w:rStyle w:val="TextoNormalCaracter"/>
          </w:rPr>
          <w:t>72/2024</w:t>
        </w:r>
      </w:hyperlink>
      <w:r>
        <w:t>, VP.</w:t>
      </w:r>
    </w:p>
    <w:p w14:paraId="53AF8745" w14:textId="34DE6B57" w:rsidR="00601EEA" w:rsidRDefault="00601EEA" w:rsidP="00601EEA">
      <w:pPr>
        <w:pStyle w:val="SangriaFrancesaArticulo"/>
      </w:pPr>
      <w:r w:rsidRPr="00601EEA">
        <w:rPr>
          <w:rStyle w:val="TextoNormalNegritaCaracter"/>
        </w:rPr>
        <w:t>§ 53.</w:t>
      </w:r>
      <w:r w:rsidRPr="00601EEA">
        <w:rPr>
          <w:rStyle w:val="TextoNormalCaracter"/>
        </w:rPr>
        <w:t>-</w:t>
      </w:r>
      <w:r>
        <w:t xml:space="preserve"> Sentencia </w:t>
      </w:r>
      <w:hyperlink w:anchor="SENTENCIA_2024_72" w:history="1">
        <w:r w:rsidRPr="00601EEA">
          <w:rPr>
            <w:rStyle w:val="TextoNormalCaracter"/>
          </w:rPr>
          <w:t>72/2024</w:t>
        </w:r>
      </w:hyperlink>
      <w:r>
        <w:t>, f. 6, VP.</w:t>
      </w:r>
    </w:p>
    <w:p w14:paraId="72250FC0" w14:textId="398BA4E5" w:rsidR="00601EEA" w:rsidRDefault="00601EEA" w:rsidP="00601EEA">
      <w:pPr>
        <w:pStyle w:val="SangriaFrancesaArticulo"/>
      </w:pPr>
      <w:r w:rsidRPr="00601EEA">
        <w:rPr>
          <w:rStyle w:val="TextoNormalNegritaCaracter"/>
        </w:rPr>
        <w:t>§ 62.</w:t>
      </w:r>
      <w:r w:rsidRPr="00601EEA">
        <w:rPr>
          <w:rStyle w:val="TextoNormalCaracter"/>
        </w:rPr>
        <w:t>-</w:t>
      </w:r>
      <w:r>
        <w:t xml:space="preserve"> Sentencia </w:t>
      </w:r>
      <w:hyperlink w:anchor="SENTENCIA_2024_72" w:history="1">
        <w:r w:rsidRPr="00601EEA">
          <w:rPr>
            <w:rStyle w:val="TextoNormalCaracter"/>
          </w:rPr>
          <w:t>72/2024</w:t>
        </w:r>
      </w:hyperlink>
      <w:r>
        <w:t>, VP.</w:t>
      </w:r>
    </w:p>
    <w:p w14:paraId="592B91D3" w14:textId="7786317A" w:rsidR="00601EEA" w:rsidRDefault="00601EEA" w:rsidP="00601EEA">
      <w:pPr>
        <w:pStyle w:val="SangriaFrancesaArticulo"/>
      </w:pPr>
    </w:p>
    <w:p w14:paraId="66F51258" w14:textId="77777777" w:rsidR="00601EEA" w:rsidRDefault="00601EEA" w:rsidP="00601EEA">
      <w:pPr>
        <w:pStyle w:val="TextoNormalNegritaCursivandice"/>
        <w:keepNext/>
      </w:pPr>
      <w:r>
        <w:t>Sentencia del Tribunal Europeo de Derechos Humanos de 20 de enero de 2015 (Arribas Antón c. España)</w:t>
      </w:r>
    </w:p>
    <w:p w14:paraId="7D675ED3" w14:textId="63C2B260"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Sentencias </w:t>
      </w:r>
      <w:hyperlink w:anchor="SENTENCIA_2024_17" w:history="1">
        <w:r w:rsidRPr="00601EEA">
          <w:rPr>
            <w:rStyle w:val="TextoNormalCaracter"/>
          </w:rPr>
          <w:t>17/2024</w:t>
        </w:r>
      </w:hyperlink>
      <w:r>
        <w:t xml:space="preserve">, f. 2; </w:t>
      </w:r>
      <w:hyperlink w:anchor="SENTENCIA_2024_34" w:history="1">
        <w:r w:rsidRPr="00601EEA">
          <w:rPr>
            <w:rStyle w:val="TextoNormalCaracter"/>
          </w:rPr>
          <w:t>34/2024</w:t>
        </w:r>
      </w:hyperlink>
      <w:r>
        <w:t xml:space="preserve">, f. 2; </w:t>
      </w:r>
      <w:hyperlink w:anchor="SENTENCIA_2024_36" w:history="1">
        <w:r w:rsidRPr="00601EEA">
          <w:rPr>
            <w:rStyle w:val="TextoNormalCaracter"/>
          </w:rPr>
          <w:t>36/2024</w:t>
        </w:r>
      </w:hyperlink>
      <w:r>
        <w:t xml:space="preserve">, f. 2; </w:t>
      </w:r>
      <w:hyperlink w:anchor="SENTENCIA_2024_37" w:history="1">
        <w:r w:rsidRPr="00601EEA">
          <w:rPr>
            <w:rStyle w:val="TextoNormalCaracter"/>
          </w:rPr>
          <w:t>37/2024</w:t>
        </w:r>
      </w:hyperlink>
      <w:r>
        <w:t xml:space="preserve">, f. 2; </w:t>
      </w:r>
      <w:hyperlink w:anchor="SENTENCIA_2024_43" w:history="1">
        <w:r w:rsidRPr="00601EEA">
          <w:rPr>
            <w:rStyle w:val="TextoNormalCaracter"/>
          </w:rPr>
          <w:t>43/2024</w:t>
        </w:r>
      </w:hyperlink>
      <w:r>
        <w:t xml:space="preserve">, f. 2; </w:t>
      </w:r>
      <w:hyperlink w:anchor="SENTENCIA_2024_52" w:history="1">
        <w:r w:rsidRPr="00601EEA">
          <w:rPr>
            <w:rStyle w:val="TextoNormalCaracter"/>
          </w:rPr>
          <w:t>52/2024</w:t>
        </w:r>
      </w:hyperlink>
      <w:r>
        <w:t xml:space="preserve">, f. 2; </w:t>
      </w:r>
      <w:hyperlink w:anchor="SENTENCIA_2024_57" w:history="1">
        <w:r w:rsidRPr="00601EEA">
          <w:rPr>
            <w:rStyle w:val="TextoNormalCaracter"/>
          </w:rPr>
          <w:t>57/2024</w:t>
        </w:r>
      </w:hyperlink>
      <w:r>
        <w:t>, f. 2.</w:t>
      </w:r>
    </w:p>
    <w:p w14:paraId="16C7E74B" w14:textId="225E8AE6" w:rsidR="00601EEA" w:rsidRDefault="00601EEA" w:rsidP="00601EEA">
      <w:pPr>
        <w:pStyle w:val="SangriaFrancesaArticulo"/>
      </w:pPr>
      <w:r w:rsidRPr="00601EEA">
        <w:rPr>
          <w:rStyle w:val="TextoNormalNegritaCaracter"/>
        </w:rPr>
        <w:t>§ 46.</w:t>
      </w:r>
      <w:r w:rsidRPr="00601EEA">
        <w:rPr>
          <w:rStyle w:val="TextoNormalCaracter"/>
        </w:rPr>
        <w:t>-</w:t>
      </w:r>
      <w:r>
        <w:t xml:space="preserve"> Sentencias </w:t>
      </w:r>
      <w:hyperlink w:anchor="SENTENCIA_2024_40" w:history="1">
        <w:r w:rsidRPr="00601EEA">
          <w:rPr>
            <w:rStyle w:val="TextoNormalCaracter"/>
          </w:rPr>
          <w:t>40/2024</w:t>
        </w:r>
      </w:hyperlink>
      <w:r>
        <w:t xml:space="preserve">, f. 1; </w:t>
      </w:r>
      <w:hyperlink w:anchor="SENTENCIA_2024_85" w:history="1">
        <w:r w:rsidRPr="00601EEA">
          <w:rPr>
            <w:rStyle w:val="TextoNormalCaracter"/>
          </w:rPr>
          <w:t>85/2024</w:t>
        </w:r>
      </w:hyperlink>
      <w:r>
        <w:t>, f. 1.</w:t>
      </w:r>
    </w:p>
    <w:p w14:paraId="5E8618E4" w14:textId="5975C9B4" w:rsidR="00601EEA" w:rsidRDefault="00601EEA" w:rsidP="00601EEA">
      <w:pPr>
        <w:pStyle w:val="SangriaFrancesaArticulo"/>
      </w:pPr>
    </w:p>
    <w:p w14:paraId="38CA30C7" w14:textId="77777777" w:rsidR="00601EEA" w:rsidRDefault="00601EEA" w:rsidP="00601EEA">
      <w:pPr>
        <w:pStyle w:val="TextoNormalNegritaCursivandice"/>
        <w:keepNext/>
      </w:pPr>
      <w:r>
        <w:t>Sentencia del Tribunal Europeo de Derechos Humanos de 24 de marzo de 2015 (Gallardo Sánchez c. Italia)</w:t>
      </w:r>
    </w:p>
    <w:p w14:paraId="4A627E84" w14:textId="1212F2CF" w:rsidR="00601EEA" w:rsidRDefault="00601EEA" w:rsidP="00601EEA">
      <w:pPr>
        <w:pStyle w:val="SangriaFrancesaArticulo"/>
      </w:pPr>
      <w:r w:rsidRPr="00601EEA">
        <w:rPr>
          <w:rStyle w:val="TextoNormalNegritaCaracter"/>
        </w:rPr>
        <w:t>§ 39.</w:t>
      </w:r>
      <w:r w:rsidRPr="00601EEA">
        <w:rPr>
          <w:rStyle w:val="TextoNormalCaracter"/>
        </w:rPr>
        <w:t>-</w:t>
      </w:r>
      <w:r>
        <w:t xml:space="preserve"> Sentencias </w:t>
      </w:r>
      <w:hyperlink w:anchor="SENTENCIA_2024_37" w:history="1">
        <w:r w:rsidRPr="00601EEA">
          <w:rPr>
            <w:rStyle w:val="TextoNormalCaracter"/>
          </w:rPr>
          <w:t>37/2024</w:t>
        </w:r>
      </w:hyperlink>
      <w:r>
        <w:t xml:space="preserve">, VP; </w:t>
      </w:r>
      <w:hyperlink w:anchor="SENTENCIA_2024_42" w:history="1">
        <w:r w:rsidRPr="00601EEA">
          <w:rPr>
            <w:rStyle w:val="TextoNormalCaracter"/>
          </w:rPr>
          <w:t>42/2024</w:t>
        </w:r>
      </w:hyperlink>
      <w:r>
        <w:t xml:space="preserve">, VP; </w:t>
      </w:r>
      <w:hyperlink w:anchor="SENTENCIA_2024_43" w:history="1">
        <w:r w:rsidRPr="00601EEA">
          <w:rPr>
            <w:rStyle w:val="TextoNormalCaracter"/>
          </w:rPr>
          <w:t>43/2024</w:t>
        </w:r>
      </w:hyperlink>
      <w:r>
        <w:t>, VP I.</w:t>
      </w:r>
    </w:p>
    <w:p w14:paraId="7C8367EC" w14:textId="5836D3A6" w:rsidR="00601EEA" w:rsidRDefault="00601EEA" w:rsidP="00601EEA">
      <w:pPr>
        <w:pStyle w:val="SangriaFrancesaArticulo"/>
      </w:pPr>
    </w:p>
    <w:p w14:paraId="08E5AF95" w14:textId="77777777" w:rsidR="00601EEA" w:rsidRDefault="00601EEA" w:rsidP="00601EEA">
      <w:pPr>
        <w:pStyle w:val="TextoNormalNegritaCursivandice"/>
        <w:keepNext/>
      </w:pPr>
      <w:r>
        <w:lastRenderedPageBreak/>
        <w:t>Sentencia del Tribunal Europeo de Derechos Humanos de 5 de mayo de 2015 (Arratibel Garciandia c. España)</w:t>
      </w:r>
    </w:p>
    <w:p w14:paraId="78468A5B" w14:textId="360B5D68"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33" w:history="1">
        <w:r w:rsidRPr="00601EEA">
          <w:rPr>
            <w:rStyle w:val="TextoNormalCaracter"/>
          </w:rPr>
          <w:t>33/2024</w:t>
        </w:r>
      </w:hyperlink>
      <w:r>
        <w:t>, f. 2.</w:t>
      </w:r>
    </w:p>
    <w:p w14:paraId="4B510862" w14:textId="7EBB7363" w:rsidR="00601EEA" w:rsidRDefault="00601EEA" w:rsidP="00601EEA">
      <w:pPr>
        <w:pStyle w:val="SangriaFrancesaArticulo"/>
      </w:pPr>
    </w:p>
    <w:p w14:paraId="61924491" w14:textId="77777777" w:rsidR="00601EEA" w:rsidRDefault="00601EEA" w:rsidP="00601EEA">
      <w:pPr>
        <w:pStyle w:val="TextoNormalNegritaCursivandice"/>
        <w:keepNext/>
      </w:pPr>
      <w:r>
        <w:t>Sentencia del Tribunal Europeo de Derechos Humanos de 12 de mayo de 2015 (Identoba y otros c. Georgia)</w:t>
      </w:r>
    </w:p>
    <w:p w14:paraId="2D2008BA" w14:textId="3FC1905E" w:rsidR="00601EEA" w:rsidRDefault="00601EEA" w:rsidP="00601EEA">
      <w:pPr>
        <w:pStyle w:val="SangriaFrancesaArticulo"/>
      </w:pPr>
      <w:r w:rsidRPr="00601EEA">
        <w:rPr>
          <w:rStyle w:val="TextoNormalNegritaCaracter"/>
        </w:rPr>
        <w:t>§ 96.</w:t>
      </w:r>
      <w:r w:rsidRPr="00601EEA">
        <w:rPr>
          <w:rStyle w:val="TextoNormalCaracter"/>
        </w:rPr>
        <w:t>-</w:t>
      </w:r>
      <w:r>
        <w:t xml:space="preserve"> Sentencia </w:t>
      </w:r>
      <w:hyperlink w:anchor="SENTENCIA_2024_81" w:history="1">
        <w:r w:rsidRPr="00601EEA">
          <w:rPr>
            <w:rStyle w:val="TextoNormalCaracter"/>
          </w:rPr>
          <w:t>81/2024</w:t>
        </w:r>
      </w:hyperlink>
      <w:r>
        <w:t>, f. 3.</w:t>
      </w:r>
    </w:p>
    <w:p w14:paraId="6E9C6BA3" w14:textId="01DA41EE" w:rsidR="00601EEA" w:rsidRDefault="00601EEA" w:rsidP="00601EEA">
      <w:pPr>
        <w:pStyle w:val="SangriaFrancesaArticulo"/>
      </w:pPr>
    </w:p>
    <w:p w14:paraId="02582316" w14:textId="77777777" w:rsidR="00601EEA" w:rsidRDefault="00601EEA" w:rsidP="00601EEA">
      <w:pPr>
        <w:pStyle w:val="TextoNormalNegritaCursivandice"/>
        <w:keepNext/>
      </w:pPr>
      <w:r>
        <w:t>Sentencia del Tribunal Europeo de Derechos Humanos de 5 de junio de 2015 (Lambert y otros c. Francia)</w:t>
      </w:r>
    </w:p>
    <w:p w14:paraId="6A0DB947" w14:textId="12CD8112" w:rsidR="00601EEA" w:rsidRDefault="00601EEA" w:rsidP="00601EEA">
      <w:pPr>
        <w:pStyle w:val="SangriaFrancesaArticulo"/>
      </w:pPr>
      <w:r w:rsidRPr="00601EEA">
        <w:rPr>
          <w:rStyle w:val="TextoNormalNegritaCaracter"/>
        </w:rPr>
        <w:t>§ 142.</w:t>
      </w:r>
      <w:r w:rsidRPr="00601EEA">
        <w:rPr>
          <w:rStyle w:val="TextoNormalCaracter"/>
        </w:rPr>
        <w:t>-</w:t>
      </w:r>
      <w:r>
        <w:t xml:space="preserve"> Sentencia </w:t>
      </w:r>
      <w:hyperlink w:anchor="SENTENCIA_2024_92" w:history="1">
        <w:r w:rsidRPr="00601EEA">
          <w:rPr>
            <w:rStyle w:val="TextoNormalCaracter"/>
          </w:rPr>
          <w:t>92/2024</w:t>
        </w:r>
      </w:hyperlink>
      <w:r>
        <w:t>, f. 7.</w:t>
      </w:r>
    </w:p>
    <w:p w14:paraId="08B9FE71" w14:textId="4389A1AD" w:rsidR="00601EEA" w:rsidRDefault="00601EEA" w:rsidP="00601EEA">
      <w:pPr>
        <w:pStyle w:val="SangriaFrancesaArticulo"/>
      </w:pPr>
      <w:r w:rsidRPr="00601EEA">
        <w:rPr>
          <w:rStyle w:val="TextoNormalNegritaCaracter"/>
        </w:rPr>
        <w:t>§ 180.</w:t>
      </w:r>
      <w:r w:rsidRPr="00601EEA">
        <w:rPr>
          <w:rStyle w:val="TextoNormalCaracter"/>
        </w:rPr>
        <w:t>-</w:t>
      </w:r>
      <w:r>
        <w:t xml:space="preserve"> Sentencia </w:t>
      </w:r>
      <w:hyperlink w:anchor="SENTENCIA_2024_92" w:history="1">
        <w:r w:rsidRPr="00601EEA">
          <w:rPr>
            <w:rStyle w:val="TextoNormalCaracter"/>
          </w:rPr>
          <w:t>92/2024</w:t>
        </w:r>
      </w:hyperlink>
      <w:r>
        <w:t>, f. 7.</w:t>
      </w:r>
    </w:p>
    <w:p w14:paraId="71D13419" w14:textId="01C8A04B" w:rsidR="00601EEA" w:rsidRDefault="00601EEA" w:rsidP="00601EEA">
      <w:pPr>
        <w:pStyle w:val="SangriaFrancesaArticulo"/>
      </w:pPr>
    </w:p>
    <w:p w14:paraId="17E89918" w14:textId="77777777" w:rsidR="00601EEA" w:rsidRDefault="00601EEA" w:rsidP="00601EEA">
      <w:pPr>
        <w:pStyle w:val="TextoNormalNegritaCursivandice"/>
        <w:keepNext/>
      </w:pPr>
      <w:r>
        <w:t>Sentencia del Tribunal Europeo de Derechos Humanos de 9 de julio de 2015 (A.K. c. Liechtenstein)</w:t>
      </w:r>
    </w:p>
    <w:p w14:paraId="1A4B0B84" w14:textId="0FF01B52" w:rsidR="00601EEA" w:rsidRDefault="00601EEA" w:rsidP="00601EEA">
      <w:pPr>
        <w:pStyle w:val="SangriaFrancesaArticulo"/>
      </w:pPr>
      <w:r w:rsidRPr="00601EEA">
        <w:rPr>
          <w:rStyle w:val="TextoNormalNegritaCaracter"/>
        </w:rPr>
        <w:t>§ 78.</w:t>
      </w:r>
      <w:r w:rsidRPr="00601EEA">
        <w:rPr>
          <w:rStyle w:val="TextoNormalCaracter"/>
        </w:rPr>
        <w:t>-</w:t>
      </w:r>
      <w:r>
        <w:t xml:space="preserve"> Auto </w:t>
      </w:r>
      <w:hyperlink w:anchor="AUTO_2024_29" w:history="1">
        <w:r w:rsidRPr="00601EEA">
          <w:rPr>
            <w:rStyle w:val="TextoNormalCaracter"/>
          </w:rPr>
          <w:t>29/2024</w:t>
        </w:r>
      </w:hyperlink>
      <w:r>
        <w:t>, f. 2.</w:t>
      </w:r>
    </w:p>
    <w:p w14:paraId="16F95D01" w14:textId="770DBF44" w:rsidR="00601EEA" w:rsidRDefault="00601EEA" w:rsidP="00601EEA">
      <w:pPr>
        <w:pStyle w:val="SangriaFrancesaArticulo"/>
      </w:pPr>
      <w:r w:rsidRPr="00601EEA">
        <w:rPr>
          <w:rStyle w:val="TextoNormalNegritaCaracter"/>
        </w:rPr>
        <w:t>§ 82.</w:t>
      </w:r>
      <w:r w:rsidRPr="00601EEA">
        <w:rPr>
          <w:rStyle w:val="TextoNormalCaracter"/>
        </w:rPr>
        <w:t>-</w:t>
      </w:r>
      <w:r>
        <w:t xml:space="preserve"> Auto </w:t>
      </w:r>
      <w:hyperlink w:anchor="AUTO_2024_29" w:history="1">
        <w:r w:rsidRPr="00601EEA">
          <w:rPr>
            <w:rStyle w:val="TextoNormalCaracter"/>
          </w:rPr>
          <w:t>29/2024</w:t>
        </w:r>
      </w:hyperlink>
      <w:r>
        <w:t>, f. 2.</w:t>
      </w:r>
    </w:p>
    <w:p w14:paraId="1649B193" w14:textId="242E1571" w:rsidR="00601EEA" w:rsidRDefault="00601EEA" w:rsidP="00601EEA">
      <w:pPr>
        <w:pStyle w:val="SangriaFrancesaArticulo"/>
      </w:pPr>
    </w:p>
    <w:p w14:paraId="279F975E" w14:textId="77777777" w:rsidR="00601EEA" w:rsidRDefault="00601EEA" w:rsidP="00601EEA">
      <w:pPr>
        <w:pStyle w:val="TextoNormalNegritaCursivandice"/>
        <w:keepNext/>
      </w:pPr>
      <w:r>
        <w:t>Sentencia del Tribunal Europeo de Derechos Humanos de 28 de septiembre de 2015 (Bouyid c. Bélgica)</w:t>
      </w:r>
    </w:p>
    <w:p w14:paraId="5462E846" w14:textId="537730AC" w:rsidR="00601EEA" w:rsidRDefault="00601EEA" w:rsidP="00601EEA">
      <w:pPr>
        <w:pStyle w:val="SangriaFrancesaArticulo"/>
      </w:pPr>
      <w:r w:rsidRPr="00601EEA">
        <w:rPr>
          <w:rStyle w:val="TextoNormalNegritaCaracter"/>
        </w:rPr>
        <w:t>§ 81.</w:t>
      </w:r>
      <w:r w:rsidRPr="00601EEA">
        <w:rPr>
          <w:rStyle w:val="TextoNormalCaracter"/>
        </w:rPr>
        <w:t>-</w:t>
      </w:r>
      <w:r>
        <w:t xml:space="preserve"> Sentencia </w:t>
      </w:r>
      <w:hyperlink w:anchor="SENTENCIA_2024_35" w:history="1">
        <w:r w:rsidRPr="00601EEA">
          <w:rPr>
            <w:rStyle w:val="TextoNormalCaracter"/>
          </w:rPr>
          <w:t>35/2024</w:t>
        </w:r>
      </w:hyperlink>
      <w:r>
        <w:t>, f. 2.</w:t>
      </w:r>
    </w:p>
    <w:p w14:paraId="06AE832E" w14:textId="614D8038" w:rsidR="00601EEA" w:rsidRDefault="00601EEA" w:rsidP="00601EEA">
      <w:pPr>
        <w:pStyle w:val="SangriaFrancesaArticulo"/>
      </w:pPr>
      <w:r w:rsidRPr="00601EEA">
        <w:rPr>
          <w:rStyle w:val="TextoNormalNegritaCaracter"/>
        </w:rPr>
        <w:t>§ 85.</w:t>
      </w:r>
      <w:r w:rsidRPr="00601EEA">
        <w:rPr>
          <w:rStyle w:val="TextoNormalCaracter"/>
        </w:rPr>
        <w:t>-</w:t>
      </w:r>
      <w:r>
        <w:t xml:space="preserve"> Sentencia </w:t>
      </w:r>
      <w:hyperlink w:anchor="SENTENCIA_2024_35" w:history="1">
        <w:r w:rsidRPr="00601EEA">
          <w:rPr>
            <w:rStyle w:val="TextoNormalCaracter"/>
          </w:rPr>
          <w:t>35/2024</w:t>
        </w:r>
      </w:hyperlink>
      <w:r>
        <w:t>, f. 2.</w:t>
      </w:r>
    </w:p>
    <w:p w14:paraId="1B44528F" w14:textId="071C342A" w:rsidR="00601EEA" w:rsidRDefault="00601EEA" w:rsidP="00601EEA">
      <w:pPr>
        <w:pStyle w:val="SangriaFrancesaArticulo"/>
      </w:pPr>
      <w:r w:rsidRPr="00601EEA">
        <w:rPr>
          <w:rStyle w:val="TextoNormalNegritaCaracter"/>
        </w:rPr>
        <w:t>§ 87.</w:t>
      </w:r>
      <w:r w:rsidRPr="00601EEA">
        <w:rPr>
          <w:rStyle w:val="TextoNormalCaracter"/>
        </w:rPr>
        <w:t>-</w:t>
      </w:r>
      <w:r>
        <w:t xml:space="preserve"> Sentencia </w:t>
      </w:r>
      <w:hyperlink w:anchor="SENTENCIA_2024_35" w:history="1">
        <w:r w:rsidRPr="00601EEA">
          <w:rPr>
            <w:rStyle w:val="TextoNormalCaracter"/>
          </w:rPr>
          <w:t>35/2024</w:t>
        </w:r>
      </w:hyperlink>
      <w:r>
        <w:t>, f. 2.</w:t>
      </w:r>
    </w:p>
    <w:p w14:paraId="1BE8C968" w14:textId="797031AF" w:rsidR="00601EEA" w:rsidRDefault="00601EEA" w:rsidP="00601EEA">
      <w:pPr>
        <w:pStyle w:val="SangriaFrancesaArticulo"/>
      </w:pPr>
      <w:r w:rsidRPr="00601EEA">
        <w:rPr>
          <w:rStyle w:val="TextoNormalNegritaCaracter"/>
        </w:rPr>
        <w:t>§ 117.</w:t>
      </w:r>
      <w:r w:rsidRPr="00601EEA">
        <w:rPr>
          <w:rStyle w:val="TextoNormalCaracter"/>
        </w:rPr>
        <w:t>-</w:t>
      </w:r>
      <w:r>
        <w:t xml:space="preserve"> Sentencia </w:t>
      </w:r>
      <w:hyperlink w:anchor="SENTENCIA_2024_35" w:history="1">
        <w:r w:rsidRPr="00601EEA">
          <w:rPr>
            <w:rStyle w:val="TextoNormalCaracter"/>
          </w:rPr>
          <w:t>35/2024</w:t>
        </w:r>
      </w:hyperlink>
      <w:r>
        <w:t>, f. 2.</w:t>
      </w:r>
    </w:p>
    <w:p w14:paraId="7569022F" w14:textId="5885B11F" w:rsidR="00601EEA" w:rsidRDefault="00601EEA" w:rsidP="00601EEA">
      <w:pPr>
        <w:pStyle w:val="SangriaFrancesaArticulo"/>
      </w:pPr>
    </w:p>
    <w:p w14:paraId="379B36D7" w14:textId="77777777" w:rsidR="00601EEA" w:rsidRDefault="00601EEA" w:rsidP="00601EEA">
      <w:pPr>
        <w:pStyle w:val="TextoNormalNegritaCursivandice"/>
        <w:keepNext/>
      </w:pPr>
      <w:r>
        <w:t>Sentencia del Tribunal Europeo de Derechos Humanos de 15 de octubre de 2015 (Kudrevicius y otros c. Lituania)</w:t>
      </w:r>
    </w:p>
    <w:p w14:paraId="04B667CF" w14:textId="30044C6F" w:rsidR="00601EEA" w:rsidRDefault="00601EEA" w:rsidP="00601EEA">
      <w:pPr>
        <w:pStyle w:val="SangriaFrancesaArticulo"/>
      </w:pPr>
      <w:r w:rsidRPr="00601EEA">
        <w:rPr>
          <w:rStyle w:val="TextoNormalNegritaCaracter"/>
        </w:rPr>
        <w:t>§ 85.</w:t>
      </w:r>
      <w:r w:rsidRPr="00601EEA">
        <w:rPr>
          <w:rStyle w:val="TextoNormalCaracter"/>
        </w:rPr>
        <w:t>-</w:t>
      </w:r>
      <w:r>
        <w:t xml:space="preserve"> Sentencia </w:t>
      </w:r>
      <w:hyperlink w:anchor="SENTENCIA_2024_75" w:history="1">
        <w:r w:rsidRPr="00601EEA">
          <w:rPr>
            <w:rStyle w:val="TextoNormalCaracter"/>
          </w:rPr>
          <w:t>75/2024</w:t>
        </w:r>
      </w:hyperlink>
      <w:r>
        <w:t>, VP II.</w:t>
      </w:r>
    </w:p>
    <w:p w14:paraId="6F7BF1BF" w14:textId="7A38AEE5" w:rsidR="00601EEA" w:rsidRDefault="00601EEA" w:rsidP="00601EEA">
      <w:pPr>
        <w:pStyle w:val="SangriaFrancesaArticulo"/>
      </w:pPr>
      <w:r w:rsidRPr="00601EEA">
        <w:rPr>
          <w:rStyle w:val="TextoNormalNegritaCaracter"/>
        </w:rPr>
        <w:t>§ 86.</w:t>
      </w:r>
      <w:r w:rsidRPr="00601EEA">
        <w:rPr>
          <w:rStyle w:val="TextoNormalCaracter"/>
        </w:rPr>
        <w:t>-</w:t>
      </w:r>
      <w:r>
        <w:t xml:space="preserve"> Sentencia </w:t>
      </w:r>
      <w:hyperlink w:anchor="SENTENCIA_2024_75" w:history="1">
        <w:r w:rsidRPr="00601EEA">
          <w:rPr>
            <w:rStyle w:val="TextoNormalCaracter"/>
          </w:rPr>
          <w:t>75/2024</w:t>
        </w:r>
      </w:hyperlink>
      <w:r>
        <w:t>, VP II.</w:t>
      </w:r>
    </w:p>
    <w:p w14:paraId="66C14B0B" w14:textId="2068CC8D" w:rsidR="00601EEA" w:rsidRDefault="00601EEA" w:rsidP="00601EEA">
      <w:pPr>
        <w:pStyle w:val="SangriaFrancesaArticulo"/>
      </w:pPr>
    </w:p>
    <w:p w14:paraId="018AF612" w14:textId="77777777" w:rsidR="00601EEA" w:rsidRDefault="00601EEA" w:rsidP="00601EEA">
      <w:pPr>
        <w:pStyle w:val="TextoNormalNegritaCursivandice"/>
        <w:keepNext/>
      </w:pPr>
      <w:r>
        <w:t>Sentencia del Tribunal Europeo de Derechos Humanos, de 3 de noviembre de 2015 (Otegi Mondragón y otros c. España)</w:t>
      </w:r>
    </w:p>
    <w:p w14:paraId="646AF45A" w14:textId="0540D957" w:rsidR="00601EEA" w:rsidRDefault="00601EEA" w:rsidP="00601EEA">
      <w:pPr>
        <w:pStyle w:val="SangriaFrancesaArticulo"/>
      </w:pPr>
      <w:r w:rsidRPr="00601EEA">
        <w:rPr>
          <w:rStyle w:val="TextoNormalNegritaCaracter"/>
        </w:rPr>
        <w:t>§ 33 a 35.</w:t>
      </w:r>
      <w:r w:rsidRPr="00601EEA">
        <w:rPr>
          <w:rStyle w:val="TextoNormalCaracter"/>
        </w:rPr>
        <w:t>-</w:t>
      </w:r>
      <w:r>
        <w:t xml:space="preserve"> Auto </w:t>
      </w:r>
      <w:hyperlink w:anchor="AUTO_2024_29" w:history="1">
        <w:r w:rsidRPr="00601EEA">
          <w:rPr>
            <w:rStyle w:val="TextoNormalCaracter"/>
          </w:rPr>
          <w:t>29/2024</w:t>
        </w:r>
      </w:hyperlink>
      <w:r>
        <w:t>, f. 2.</w:t>
      </w:r>
    </w:p>
    <w:p w14:paraId="116CE497" w14:textId="198A299C" w:rsidR="00601EEA" w:rsidRDefault="00601EEA" w:rsidP="00601EEA">
      <w:pPr>
        <w:pStyle w:val="SangriaFrancesaArticulo"/>
      </w:pPr>
    </w:p>
    <w:p w14:paraId="16FE3E98" w14:textId="77777777" w:rsidR="00601EEA" w:rsidRDefault="00601EEA" w:rsidP="00601EEA">
      <w:pPr>
        <w:pStyle w:val="TextoNormalNegritaCursivandice"/>
        <w:keepNext/>
      </w:pPr>
      <w:r>
        <w:t>Sentencia del Tribunal Europeo de Derechos Humanos de 26 de abril de 2016 (Cumhuriyet Halk Partisi c. Turquía)</w:t>
      </w:r>
    </w:p>
    <w:p w14:paraId="27F632C9" w14:textId="74A663B4" w:rsidR="00601EEA" w:rsidRDefault="00601EEA" w:rsidP="00601EEA">
      <w:pPr>
        <w:pStyle w:val="SangriaFrancesaArticulo"/>
      </w:pPr>
      <w:r w:rsidRPr="00601EEA">
        <w:rPr>
          <w:rStyle w:val="TextoNormalNegritaCaracter"/>
        </w:rPr>
        <w:t>§ 69.</w:t>
      </w:r>
      <w:r w:rsidRPr="00601EEA">
        <w:rPr>
          <w:rStyle w:val="TextoNormalCaracter"/>
        </w:rPr>
        <w:t>-</w:t>
      </w:r>
      <w:r>
        <w:t xml:space="preserve"> Sentencia </w:t>
      </w:r>
      <w:hyperlink w:anchor="SENTENCIA_2024_69" w:history="1">
        <w:r w:rsidRPr="00601EEA">
          <w:rPr>
            <w:rStyle w:val="TextoNormalCaracter"/>
          </w:rPr>
          <w:t>69/2024</w:t>
        </w:r>
      </w:hyperlink>
      <w:r>
        <w:t>, f. 4.</w:t>
      </w:r>
    </w:p>
    <w:p w14:paraId="41687D5C" w14:textId="609DFCC0" w:rsidR="00601EEA" w:rsidRDefault="00601EEA" w:rsidP="00601EEA">
      <w:pPr>
        <w:pStyle w:val="SangriaFrancesaArticulo"/>
      </w:pPr>
    </w:p>
    <w:p w14:paraId="11D9802C" w14:textId="77777777" w:rsidR="00601EEA" w:rsidRDefault="00601EEA" w:rsidP="00601EEA">
      <w:pPr>
        <w:pStyle w:val="TextoNormalNegritaCursivandice"/>
        <w:keepNext/>
      </w:pPr>
      <w:r>
        <w:t>Sentencia del Tribunal Europeo de Derechos Humanos de 31 de mayo de 2016 (Beortegui Martínez c. España)</w:t>
      </w:r>
    </w:p>
    <w:p w14:paraId="767B0FDF" w14:textId="5F675E8E"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33" w:history="1">
        <w:r w:rsidRPr="00601EEA">
          <w:rPr>
            <w:rStyle w:val="TextoNormalCaracter"/>
          </w:rPr>
          <w:t>33/2024</w:t>
        </w:r>
      </w:hyperlink>
      <w:r>
        <w:t>, f. 2.</w:t>
      </w:r>
    </w:p>
    <w:p w14:paraId="67068E56" w14:textId="018F6DFC" w:rsidR="00601EEA" w:rsidRDefault="00601EEA" w:rsidP="00601EEA">
      <w:pPr>
        <w:pStyle w:val="SangriaFrancesaArticulo"/>
      </w:pPr>
    </w:p>
    <w:p w14:paraId="5CD4E59E" w14:textId="77777777" w:rsidR="00601EEA" w:rsidRDefault="00601EEA" w:rsidP="00601EEA">
      <w:pPr>
        <w:pStyle w:val="TextoNormalNegritaCursivandice"/>
        <w:keepNext/>
      </w:pPr>
      <w:r>
        <w:t>Sentencia del Tribunal Europeo de Derechos Humanos de 15 de noviembre de 2016 (A y B c. Noruega)</w:t>
      </w:r>
    </w:p>
    <w:p w14:paraId="5C4B6492" w14:textId="3AF94E8D" w:rsidR="00601EEA" w:rsidRDefault="00601EEA" w:rsidP="00601EEA">
      <w:pPr>
        <w:pStyle w:val="SangriaFrancesaArticulo"/>
      </w:pPr>
      <w:r w:rsidRPr="00601EEA">
        <w:rPr>
          <w:rStyle w:val="TextoNormalNegritaCaracter"/>
        </w:rPr>
        <w:t>§ 110.</w:t>
      </w:r>
      <w:r w:rsidRPr="00601EEA">
        <w:rPr>
          <w:rStyle w:val="TextoNormalCaracter"/>
        </w:rPr>
        <w:t>-</w:t>
      </w:r>
      <w:r>
        <w:t xml:space="preserve"> Sentencia </w:t>
      </w:r>
      <w:hyperlink w:anchor="SENTENCIA_2024_9" w:history="1">
        <w:r w:rsidRPr="00601EEA">
          <w:rPr>
            <w:rStyle w:val="TextoNormalCaracter"/>
          </w:rPr>
          <w:t>9/2024</w:t>
        </w:r>
      </w:hyperlink>
      <w:r>
        <w:t>, f. 3.</w:t>
      </w:r>
    </w:p>
    <w:p w14:paraId="5297600D" w14:textId="144CAB11" w:rsidR="00601EEA" w:rsidRDefault="00601EEA" w:rsidP="00601EEA">
      <w:pPr>
        <w:pStyle w:val="SangriaFrancesaArticulo"/>
      </w:pPr>
    </w:p>
    <w:p w14:paraId="07EDFAB7" w14:textId="77777777" w:rsidR="00601EEA" w:rsidRDefault="00601EEA" w:rsidP="00601EEA">
      <w:pPr>
        <w:pStyle w:val="TextoNormalNegritaCursivandice"/>
        <w:keepNext/>
      </w:pPr>
      <w:r>
        <w:lastRenderedPageBreak/>
        <w:t>Sentencia del Tribunal Europeo de Derechos Humanos de 4 de abril de 2017 (Matanovic c. Croatia)</w:t>
      </w:r>
    </w:p>
    <w:p w14:paraId="067CACD6" w14:textId="5A889431" w:rsidR="00601EEA" w:rsidRDefault="00601EEA" w:rsidP="00601EEA">
      <w:pPr>
        <w:pStyle w:val="SangriaFrancesaArticulo"/>
      </w:pPr>
      <w:r w:rsidRPr="00601EEA">
        <w:rPr>
          <w:rStyle w:val="TextoNormalNegritaCaracter"/>
        </w:rPr>
        <w:t>§ 123.</w:t>
      </w:r>
      <w:r w:rsidRPr="00601EEA">
        <w:rPr>
          <w:rStyle w:val="TextoNormalCaracter"/>
        </w:rPr>
        <w:t>-</w:t>
      </w:r>
      <w:r>
        <w:t xml:space="preserve"> Sentencia </w:t>
      </w:r>
      <w:hyperlink w:anchor="SENTENCIA_2024_87" w:history="1">
        <w:r w:rsidRPr="00601EEA">
          <w:rPr>
            <w:rStyle w:val="TextoNormalCaracter"/>
          </w:rPr>
          <w:t>87/2024</w:t>
        </w:r>
      </w:hyperlink>
      <w:r>
        <w:t>, ff. 2, 3.</w:t>
      </w:r>
    </w:p>
    <w:p w14:paraId="0688D6C6" w14:textId="02EA4394" w:rsidR="00601EEA" w:rsidRDefault="00601EEA" w:rsidP="00601EEA">
      <w:pPr>
        <w:pStyle w:val="SangriaFrancesaArticulo"/>
      </w:pPr>
      <w:r w:rsidRPr="00601EEA">
        <w:rPr>
          <w:rStyle w:val="TextoNormalNegritaCaracter"/>
        </w:rPr>
        <w:t>§ 124.</w:t>
      </w:r>
      <w:r w:rsidRPr="00601EEA">
        <w:rPr>
          <w:rStyle w:val="TextoNormalCaracter"/>
        </w:rPr>
        <w:t>-</w:t>
      </w:r>
      <w:r>
        <w:t xml:space="preserve"> Sentencia </w:t>
      </w:r>
      <w:hyperlink w:anchor="SENTENCIA_2024_87" w:history="1">
        <w:r w:rsidRPr="00601EEA">
          <w:rPr>
            <w:rStyle w:val="TextoNormalCaracter"/>
          </w:rPr>
          <w:t>87/2024</w:t>
        </w:r>
      </w:hyperlink>
      <w:r>
        <w:t>, f. 2.</w:t>
      </w:r>
    </w:p>
    <w:p w14:paraId="549D3F86" w14:textId="01EDB4ED" w:rsidR="00601EEA" w:rsidRDefault="00601EEA" w:rsidP="00601EEA">
      <w:pPr>
        <w:pStyle w:val="SangriaFrancesaArticulo"/>
      </w:pPr>
      <w:r w:rsidRPr="00601EEA">
        <w:rPr>
          <w:rStyle w:val="TextoNormalNegritaCaracter"/>
        </w:rPr>
        <w:t>§ 126.</w:t>
      </w:r>
      <w:r w:rsidRPr="00601EEA">
        <w:rPr>
          <w:rStyle w:val="TextoNormalCaracter"/>
        </w:rPr>
        <w:t>-</w:t>
      </w:r>
      <w:r>
        <w:t xml:space="preserve"> Sentencia </w:t>
      </w:r>
      <w:hyperlink w:anchor="SENTENCIA_2024_87" w:history="1">
        <w:r w:rsidRPr="00601EEA">
          <w:rPr>
            <w:rStyle w:val="TextoNormalCaracter"/>
          </w:rPr>
          <w:t>87/2024</w:t>
        </w:r>
      </w:hyperlink>
      <w:r>
        <w:t>, f. 3.</w:t>
      </w:r>
    </w:p>
    <w:p w14:paraId="5A72A3A6" w14:textId="79F8BE9F" w:rsidR="00601EEA" w:rsidRDefault="00601EEA" w:rsidP="00601EEA">
      <w:pPr>
        <w:pStyle w:val="SangriaFrancesaArticulo"/>
      </w:pPr>
      <w:r w:rsidRPr="00601EEA">
        <w:rPr>
          <w:rStyle w:val="TextoNormalNegritaCaracter"/>
        </w:rPr>
        <w:t>§ 129.</w:t>
      </w:r>
      <w:r w:rsidRPr="00601EEA">
        <w:rPr>
          <w:rStyle w:val="TextoNormalCaracter"/>
        </w:rPr>
        <w:t>-</w:t>
      </w:r>
      <w:r>
        <w:t xml:space="preserve"> Sentencia </w:t>
      </w:r>
      <w:hyperlink w:anchor="SENTENCIA_2024_87" w:history="1">
        <w:r w:rsidRPr="00601EEA">
          <w:rPr>
            <w:rStyle w:val="TextoNormalCaracter"/>
          </w:rPr>
          <w:t>87/2024</w:t>
        </w:r>
      </w:hyperlink>
      <w:r>
        <w:t>, f. 3.</w:t>
      </w:r>
    </w:p>
    <w:p w14:paraId="33018636" w14:textId="658A9265" w:rsidR="00601EEA" w:rsidRDefault="00601EEA" w:rsidP="00601EEA">
      <w:pPr>
        <w:pStyle w:val="SangriaFrancesaArticulo"/>
      </w:pPr>
      <w:r w:rsidRPr="00601EEA">
        <w:rPr>
          <w:rStyle w:val="TextoNormalNegritaCaracter"/>
        </w:rPr>
        <w:t>§ 130.</w:t>
      </w:r>
      <w:r w:rsidRPr="00601EEA">
        <w:rPr>
          <w:rStyle w:val="TextoNormalCaracter"/>
        </w:rPr>
        <w:t>-</w:t>
      </w:r>
      <w:r>
        <w:t xml:space="preserve"> Sentencia </w:t>
      </w:r>
      <w:hyperlink w:anchor="SENTENCIA_2024_87" w:history="1">
        <w:r w:rsidRPr="00601EEA">
          <w:rPr>
            <w:rStyle w:val="TextoNormalCaracter"/>
          </w:rPr>
          <w:t>87/2024</w:t>
        </w:r>
      </w:hyperlink>
      <w:r>
        <w:t>, f. 3.</w:t>
      </w:r>
    </w:p>
    <w:p w14:paraId="7FA749A3" w14:textId="62A10B03" w:rsidR="00601EEA" w:rsidRDefault="00601EEA" w:rsidP="00601EEA">
      <w:pPr>
        <w:pStyle w:val="SangriaFrancesaArticulo"/>
      </w:pPr>
      <w:r w:rsidRPr="00601EEA">
        <w:rPr>
          <w:rStyle w:val="TextoNormalNegritaCaracter"/>
        </w:rPr>
        <w:t>§ 132.</w:t>
      </w:r>
      <w:r w:rsidRPr="00601EEA">
        <w:rPr>
          <w:rStyle w:val="TextoNormalCaracter"/>
        </w:rPr>
        <w:t>-</w:t>
      </w:r>
      <w:r>
        <w:t xml:space="preserve"> Sentencia </w:t>
      </w:r>
      <w:hyperlink w:anchor="SENTENCIA_2024_87" w:history="1">
        <w:r w:rsidRPr="00601EEA">
          <w:rPr>
            <w:rStyle w:val="TextoNormalCaracter"/>
          </w:rPr>
          <w:t>87/2024</w:t>
        </w:r>
      </w:hyperlink>
      <w:r>
        <w:t>, f. 2.</w:t>
      </w:r>
    </w:p>
    <w:p w14:paraId="1208188C" w14:textId="5BA26270" w:rsidR="00601EEA" w:rsidRDefault="00601EEA" w:rsidP="00601EEA">
      <w:pPr>
        <w:pStyle w:val="SangriaFrancesaArticulo"/>
      </w:pPr>
    </w:p>
    <w:p w14:paraId="7E94B835" w14:textId="77777777" w:rsidR="00601EEA" w:rsidRDefault="00601EEA" w:rsidP="00601EEA">
      <w:pPr>
        <w:pStyle w:val="TextoNormalNegritaCursivandice"/>
        <w:keepNext/>
      </w:pPr>
      <w:r>
        <w:t>Sentencia del Tribunal Europeo de Derechos Humanos de 2 de mayo de 2017 (Vasiliciuc c. la República de Moldavia)</w:t>
      </w:r>
    </w:p>
    <w:p w14:paraId="63D2AD67" w14:textId="355E215F" w:rsidR="00601EEA" w:rsidRDefault="00601EEA" w:rsidP="00601EEA">
      <w:pPr>
        <w:pStyle w:val="SangriaFrancesaArticulo"/>
      </w:pPr>
      <w:r w:rsidRPr="00601EEA">
        <w:rPr>
          <w:rStyle w:val="TextoNormalNegritaCaracter"/>
        </w:rPr>
        <w:t>§ 24.</w:t>
      </w:r>
      <w:r w:rsidRPr="00601EEA">
        <w:rPr>
          <w:rStyle w:val="TextoNormalCaracter"/>
        </w:rPr>
        <w:t>-</w:t>
      </w:r>
      <w:r>
        <w:t xml:space="preserve"> Sentencia </w:t>
      </w:r>
      <w:hyperlink w:anchor="SENTENCIA_2024_17" w:history="1">
        <w:r w:rsidRPr="00601EEA">
          <w:rPr>
            <w:rStyle w:val="TextoNormalCaracter"/>
          </w:rPr>
          <w:t>17/2024</w:t>
        </w:r>
      </w:hyperlink>
      <w:r>
        <w:t>, f. 3.</w:t>
      </w:r>
    </w:p>
    <w:p w14:paraId="21A44B70" w14:textId="420967FD" w:rsidR="00601EEA" w:rsidRDefault="00601EEA" w:rsidP="00601EEA">
      <w:pPr>
        <w:pStyle w:val="SangriaFrancesaArticulo"/>
      </w:pPr>
      <w:r w:rsidRPr="00601EEA">
        <w:rPr>
          <w:rStyle w:val="TextoNormalNegritaCaracter"/>
        </w:rPr>
        <w:t>§ 40.</w:t>
      </w:r>
      <w:r w:rsidRPr="00601EEA">
        <w:rPr>
          <w:rStyle w:val="TextoNormalCaracter"/>
        </w:rPr>
        <w:t>-</w:t>
      </w:r>
      <w:r>
        <w:t xml:space="preserve"> Sentencia </w:t>
      </w:r>
      <w:hyperlink w:anchor="SENTENCIA_2024_17" w:history="1">
        <w:r w:rsidRPr="00601EEA">
          <w:rPr>
            <w:rStyle w:val="TextoNormalCaracter"/>
          </w:rPr>
          <w:t>17/2024</w:t>
        </w:r>
      </w:hyperlink>
      <w:r>
        <w:t>, f. 3.</w:t>
      </w:r>
    </w:p>
    <w:p w14:paraId="7AC57488" w14:textId="041480F8" w:rsidR="00601EEA" w:rsidRDefault="00601EEA" w:rsidP="00601EEA">
      <w:pPr>
        <w:pStyle w:val="SangriaFrancesaArticulo"/>
      </w:pPr>
    </w:p>
    <w:p w14:paraId="502438BA" w14:textId="77777777" w:rsidR="00601EEA" w:rsidRDefault="00601EEA" w:rsidP="00601EEA">
      <w:pPr>
        <w:pStyle w:val="TextoNormalNegritaCursivandice"/>
        <w:keepNext/>
      </w:pPr>
      <w:r>
        <w:t>Sentencia del Tribunal Europeo de Derechos Humanos de 23 de noviembre de 2017 (GRBA c. Croacia)</w:t>
      </w:r>
    </w:p>
    <w:p w14:paraId="6448192D" w14:textId="46450E51" w:rsidR="00601EEA" w:rsidRDefault="00601EEA" w:rsidP="00601EEA">
      <w:pPr>
        <w:pStyle w:val="SangriaFrancesaArticulo"/>
      </w:pPr>
      <w:r w:rsidRPr="00601EEA">
        <w:rPr>
          <w:rStyle w:val="TextoNormalNegritaCaracter"/>
        </w:rPr>
        <w:t>§ 100.</w:t>
      </w:r>
      <w:r w:rsidRPr="00601EEA">
        <w:rPr>
          <w:rStyle w:val="TextoNormalCaracter"/>
        </w:rPr>
        <w:t>-</w:t>
      </w:r>
      <w:r>
        <w:t xml:space="preserve"> Sentencia </w:t>
      </w:r>
      <w:hyperlink w:anchor="SENTENCIA_2024_87" w:history="1">
        <w:r w:rsidRPr="00601EEA">
          <w:rPr>
            <w:rStyle w:val="TextoNormalCaracter"/>
          </w:rPr>
          <w:t>87/2024</w:t>
        </w:r>
      </w:hyperlink>
      <w:r>
        <w:t>, f. 2.</w:t>
      </w:r>
    </w:p>
    <w:p w14:paraId="5080B4AF" w14:textId="06C21EB0" w:rsidR="00601EEA" w:rsidRDefault="00601EEA" w:rsidP="00601EEA">
      <w:pPr>
        <w:pStyle w:val="SangriaFrancesaArticulo"/>
      </w:pPr>
      <w:r w:rsidRPr="00601EEA">
        <w:rPr>
          <w:rStyle w:val="TextoNormalNegritaCaracter"/>
        </w:rPr>
        <w:t>§ 105.</w:t>
      </w:r>
      <w:r w:rsidRPr="00601EEA">
        <w:rPr>
          <w:rStyle w:val="TextoNormalCaracter"/>
        </w:rPr>
        <w:t>-</w:t>
      </w:r>
      <w:r>
        <w:t xml:space="preserve"> Sentencia </w:t>
      </w:r>
      <w:hyperlink w:anchor="SENTENCIA_2024_87" w:history="1">
        <w:r w:rsidRPr="00601EEA">
          <w:rPr>
            <w:rStyle w:val="TextoNormalCaracter"/>
          </w:rPr>
          <w:t>87/2024</w:t>
        </w:r>
      </w:hyperlink>
      <w:r>
        <w:t>, f. 2.</w:t>
      </w:r>
    </w:p>
    <w:p w14:paraId="324C32BA" w14:textId="073791C2" w:rsidR="00601EEA" w:rsidRDefault="00601EEA" w:rsidP="00601EEA">
      <w:pPr>
        <w:pStyle w:val="SangriaFrancesaArticulo"/>
      </w:pPr>
      <w:r w:rsidRPr="00601EEA">
        <w:rPr>
          <w:rStyle w:val="TextoNormalNegritaCaracter"/>
        </w:rPr>
        <w:t>§ 119.</w:t>
      </w:r>
      <w:r w:rsidRPr="00601EEA">
        <w:rPr>
          <w:rStyle w:val="TextoNormalCaracter"/>
        </w:rPr>
        <w:t>-</w:t>
      </w:r>
      <w:r>
        <w:t xml:space="preserve"> Sentencia </w:t>
      </w:r>
      <w:hyperlink w:anchor="SENTENCIA_2024_87" w:history="1">
        <w:r w:rsidRPr="00601EEA">
          <w:rPr>
            <w:rStyle w:val="TextoNormalCaracter"/>
          </w:rPr>
          <w:t>87/2024</w:t>
        </w:r>
      </w:hyperlink>
      <w:r>
        <w:t>, f. 2.</w:t>
      </w:r>
    </w:p>
    <w:p w14:paraId="4379E2A8" w14:textId="35F926A4" w:rsidR="00601EEA" w:rsidRDefault="00601EEA" w:rsidP="00601EEA">
      <w:pPr>
        <w:pStyle w:val="SangriaFrancesaArticulo"/>
      </w:pPr>
    </w:p>
    <w:p w14:paraId="26B2D0F5" w14:textId="77777777" w:rsidR="00601EEA" w:rsidRDefault="00601EEA" w:rsidP="00601EEA">
      <w:pPr>
        <w:pStyle w:val="TextoNormalNegritaCursivandice"/>
        <w:keepNext/>
      </w:pPr>
      <w:r>
        <w:t>Sentencia del Tribunal Europeo de Derechos Humanos de 9 de enero de 2018 (Kadušic c. Suiza)</w:t>
      </w:r>
    </w:p>
    <w:p w14:paraId="4312C35C" w14:textId="31F82664" w:rsidR="00601EEA" w:rsidRDefault="00601EEA" w:rsidP="00601EEA">
      <w:pPr>
        <w:pStyle w:val="SangriaFrancesaArticulo"/>
      </w:pPr>
      <w:r w:rsidRPr="00601EEA">
        <w:rPr>
          <w:rStyle w:val="TextoNormalNegritaCaracter"/>
        </w:rPr>
        <w:t>§ 84.</w:t>
      </w:r>
      <w:r w:rsidRPr="00601EEA">
        <w:rPr>
          <w:rStyle w:val="TextoNormalCaracter"/>
        </w:rPr>
        <w:t>-</w:t>
      </w:r>
      <w:r>
        <w:t xml:space="preserve"> Sentencia </w:t>
      </w:r>
      <w:hyperlink w:anchor="SENTENCIA_2024_9" w:history="1">
        <w:r w:rsidRPr="00601EEA">
          <w:rPr>
            <w:rStyle w:val="TextoNormalCaracter"/>
          </w:rPr>
          <w:t>9/2024</w:t>
        </w:r>
      </w:hyperlink>
      <w:r>
        <w:t>, VP II.</w:t>
      </w:r>
    </w:p>
    <w:p w14:paraId="68650B1C" w14:textId="07683054" w:rsidR="00601EEA" w:rsidRDefault="00601EEA" w:rsidP="00601EEA">
      <w:pPr>
        <w:pStyle w:val="SangriaFrancesaArticulo"/>
      </w:pPr>
    </w:p>
    <w:p w14:paraId="563C59A0" w14:textId="77777777" w:rsidR="00601EEA" w:rsidRDefault="00601EEA" w:rsidP="00601EEA">
      <w:pPr>
        <w:pStyle w:val="TextoNormalNegritaCursivandice"/>
        <w:keepNext/>
      </w:pPr>
      <w:r>
        <w:t>Sentencia del Tribunal Europeo de Derechos Humanos de 13 de marzo de 2018 (Stern Taulats y Roura Capellera c. España)</w:t>
      </w:r>
    </w:p>
    <w:p w14:paraId="47B80954" w14:textId="2D45CCAD" w:rsidR="00601EEA" w:rsidRDefault="00601EEA" w:rsidP="00601EEA">
      <w:pPr>
        <w:pStyle w:val="SangriaFrancesaArticulo"/>
      </w:pPr>
      <w:r w:rsidRPr="00601EEA">
        <w:rPr>
          <w:rStyle w:val="TextoNormalNegritaCaracter"/>
        </w:rPr>
        <w:t>§ 34.</w:t>
      </w:r>
      <w:r w:rsidRPr="00601EEA">
        <w:rPr>
          <w:rStyle w:val="TextoNormalCaracter"/>
        </w:rPr>
        <w:t>-</w:t>
      </w:r>
      <w:r>
        <w:t xml:space="preserve"> Sentencia </w:t>
      </w:r>
      <w:hyperlink w:anchor="SENTENCIA_2024_75" w:history="1">
        <w:r w:rsidRPr="00601EEA">
          <w:rPr>
            <w:rStyle w:val="TextoNormalCaracter"/>
          </w:rPr>
          <w:t>75/2024</w:t>
        </w:r>
      </w:hyperlink>
      <w:r>
        <w:t>, VP II.</w:t>
      </w:r>
    </w:p>
    <w:p w14:paraId="1896C1EE" w14:textId="6A9A97A2" w:rsidR="00601EEA" w:rsidRDefault="00601EEA" w:rsidP="00601EEA">
      <w:pPr>
        <w:pStyle w:val="SangriaFrancesaArticulo"/>
      </w:pPr>
    </w:p>
    <w:p w14:paraId="6841D9A3" w14:textId="77777777" w:rsidR="00601EEA" w:rsidRDefault="00601EEA" w:rsidP="00601EEA">
      <w:pPr>
        <w:pStyle w:val="TextoNormalNegritaCursivandice"/>
        <w:keepNext/>
      </w:pPr>
      <w:r>
        <w:t>Sentencia del Tribunal Europeo de Derechos Humanos de 6 de septiembre de 2018 (Jansen c. Noruega)</w:t>
      </w:r>
    </w:p>
    <w:p w14:paraId="4BB26541" w14:textId="0A7A5639" w:rsidR="00601EEA" w:rsidRDefault="00601EEA" w:rsidP="00601EEA">
      <w:pPr>
        <w:pStyle w:val="SangriaFrancesaArticulo"/>
      </w:pPr>
      <w:r w:rsidRPr="00601EEA">
        <w:rPr>
          <w:rStyle w:val="TextoNormalNegritaCaracter"/>
        </w:rPr>
        <w:t>§ 88 a 93.</w:t>
      </w:r>
      <w:r w:rsidRPr="00601EEA">
        <w:rPr>
          <w:rStyle w:val="TextoNormalCaracter"/>
        </w:rPr>
        <w:t>-</w:t>
      </w:r>
      <w:r>
        <w:t xml:space="preserve"> Sentencia </w:t>
      </w:r>
      <w:hyperlink w:anchor="SENTENCIA_2024_53" w:history="1">
        <w:r w:rsidRPr="00601EEA">
          <w:rPr>
            <w:rStyle w:val="TextoNormalCaracter"/>
          </w:rPr>
          <w:t>53/2024</w:t>
        </w:r>
      </w:hyperlink>
      <w:r>
        <w:t>, f. 3.</w:t>
      </w:r>
    </w:p>
    <w:p w14:paraId="60C9CE38" w14:textId="38F936A7" w:rsidR="00601EEA" w:rsidRDefault="00601EEA" w:rsidP="00601EEA">
      <w:pPr>
        <w:pStyle w:val="SangriaFrancesaArticulo"/>
      </w:pPr>
    </w:p>
    <w:p w14:paraId="3F8C7E86" w14:textId="77777777" w:rsidR="00601EEA" w:rsidRDefault="00601EEA" w:rsidP="00601EEA">
      <w:pPr>
        <w:pStyle w:val="TextoNormalNegritaCursivandice"/>
        <w:keepNext/>
      </w:pPr>
      <w:r>
        <w:t>Sentencia del Tribunal Europeo de Derechos Humanos de 23 de octubre de 2018 (Arrozpide Sarasola y otros c. España)</w:t>
      </w:r>
    </w:p>
    <w:p w14:paraId="35C90449" w14:textId="614E38C7" w:rsidR="00601EEA" w:rsidRDefault="00601EEA" w:rsidP="00601EEA">
      <w:pPr>
        <w:pStyle w:val="SangriaFrancesaArticulo"/>
      </w:pPr>
      <w:r w:rsidRPr="00601EEA">
        <w:rPr>
          <w:rStyle w:val="TextoNormalNegritaCaracter"/>
        </w:rPr>
        <w:t>§ 107.</w:t>
      </w:r>
      <w:r w:rsidRPr="00601EEA">
        <w:rPr>
          <w:rStyle w:val="TextoNormalCaracter"/>
        </w:rPr>
        <w:t>-</w:t>
      </w:r>
      <w:r>
        <w:t xml:space="preserve"> Sentencia </w:t>
      </w:r>
      <w:hyperlink w:anchor="SENTENCIA_2024_9" w:history="1">
        <w:r w:rsidRPr="00601EEA">
          <w:rPr>
            <w:rStyle w:val="TextoNormalCaracter"/>
          </w:rPr>
          <w:t>9/2024</w:t>
        </w:r>
      </w:hyperlink>
      <w:r>
        <w:t>, f. 2.</w:t>
      </w:r>
    </w:p>
    <w:p w14:paraId="7A4CFDA6" w14:textId="76ABBEF0" w:rsidR="00601EEA" w:rsidRDefault="00601EEA" w:rsidP="00601EEA">
      <w:pPr>
        <w:pStyle w:val="SangriaFrancesaArticulo"/>
      </w:pPr>
    </w:p>
    <w:p w14:paraId="19511102" w14:textId="77777777" w:rsidR="00601EEA" w:rsidRDefault="00601EEA" w:rsidP="00601EEA">
      <w:pPr>
        <w:pStyle w:val="TextoNormalNegritaCursivandice"/>
        <w:keepNext/>
      </w:pPr>
      <w:r>
        <w:t>Sentencia del Tribunal Europeo de Derechos Humanos de 23 de octubre de 2018 (Guerni c. Bélgica)</w:t>
      </w:r>
    </w:p>
    <w:p w14:paraId="023FE54E" w14:textId="31393C9C"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87" w:history="1">
        <w:r w:rsidRPr="00601EEA">
          <w:rPr>
            <w:rStyle w:val="TextoNormalCaracter"/>
          </w:rPr>
          <w:t>87/2024</w:t>
        </w:r>
      </w:hyperlink>
      <w:r>
        <w:t>, f. 4, VP III.</w:t>
      </w:r>
    </w:p>
    <w:p w14:paraId="09F821CE" w14:textId="15602B09" w:rsidR="00601EEA" w:rsidRDefault="00601EEA" w:rsidP="00601EEA">
      <w:pPr>
        <w:pStyle w:val="SangriaFrancesaArticulo"/>
      </w:pPr>
      <w:r w:rsidRPr="00601EEA">
        <w:rPr>
          <w:rStyle w:val="TextoNormalNegritaCaracter"/>
        </w:rPr>
        <w:t>§ 73.</w:t>
      </w:r>
      <w:r w:rsidRPr="00601EEA">
        <w:rPr>
          <w:rStyle w:val="TextoNormalCaracter"/>
        </w:rPr>
        <w:t>-</w:t>
      </w:r>
      <w:r>
        <w:t xml:space="preserve"> Sentencia </w:t>
      </w:r>
      <w:hyperlink w:anchor="SENTENCIA_2024_87" w:history="1">
        <w:r w:rsidRPr="00601EEA">
          <w:rPr>
            <w:rStyle w:val="TextoNormalCaracter"/>
          </w:rPr>
          <w:t>87/2024</w:t>
        </w:r>
      </w:hyperlink>
      <w:r>
        <w:t>, f. 2, VP II.</w:t>
      </w:r>
    </w:p>
    <w:p w14:paraId="7F75AB8C" w14:textId="60431E8E" w:rsidR="00601EEA" w:rsidRDefault="00601EEA" w:rsidP="00601EEA">
      <w:pPr>
        <w:pStyle w:val="SangriaFrancesaArticulo"/>
      </w:pPr>
    </w:p>
    <w:p w14:paraId="64FF9873" w14:textId="77777777" w:rsidR="00601EEA" w:rsidRDefault="00601EEA" w:rsidP="00601EEA">
      <w:pPr>
        <w:pStyle w:val="TextoNormalNegritaCursivandice"/>
        <w:keepNext/>
      </w:pPr>
      <w:r>
        <w:t>Sentencia del Tribunal Europeo de Derechos Humanos de 30 de octubre de 2018 (S.S., c. Eslovenia)</w:t>
      </w:r>
    </w:p>
    <w:p w14:paraId="7B0AD0EB" w14:textId="0E142FC1" w:rsidR="00601EEA" w:rsidRDefault="00601EEA" w:rsidP="00601EEA">
      <w:pPr>
        <w:pStyle w:val="SangriaFrancesaArticulo"/>
      </w:pPr>
      <w:r w:rsidRPr="00601EEA">
        <w:rPr>
          <w:rStyle w:val="TextoNormalNegritaCaracter"/>
        </w:rPr>
        <w:t>§ 85.</w:t>
      </w:r>
      <w:r w:rsidRPr="00601EEA">
        <w:rPr>
          <w:rStyle w:val="TextoNormalCaracter"/>
        </w:rPr>
        <w:t>-</w:t>
      </w:r>
      <w:r>
        <w:t xml:space="preserve"> Sentencia </w:t>
      </w:r>
      <w:hyperlink w:anchor="SENTENCIA_2024_82" w:history="1">
        <w:r w:rsidRPr="00601EEA">
          <w:rPr>
            <w:rStyle w:val="TextoNormalCaracter"/>
          </w:rPr>
          <w:t>82/2024</w:t>
        </w:r>
      </w:hyperlink>
      <w:r>
        <w:t>, f. 2.</w:t>
      </w:r>
    </w:p>
    <w:p w14:paraId="550ACD14" w14:textId="1A6A4CA3" w:rsidR="00601EEA" w:rsidRDefault="00601EEA" w:rsidP="00601EEA">
      <w:pPr>
        <w:pStyle w:val="SangriaFrancesaArticulo"/>
      </w:pPr>
    </w:p>
    <w:p w14:paraId="394F6062" w14:textId="77777777" w:rsidR="00601EEA" w:rsidRDefault="00601EEA" w:rsidP="00601EEA">
      <w:pPr>
        <w:pStyle w:val="TextoNormalNegritaCursivandice"/>
        <w:keepNext/>
      </w:pPr>
      <w:r>
        <w:lastRenderedPageBreak/>
        <w:t>Sentencia del Tribunal Europeo de Derechos Humanos de 6 de noviembre de 2018 (Otegi Mondragón y otros c. España)</w:t>
      </w:r>
    </w:p>
    <w:p w14:paraId="510E5D50" w14:textId="4F71D0B9"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9" w:history="1">
        <w:r w:rsidRPr="00601EEA">
          <w:rPr>
            <w:rStyle w:val="TextoNormalCaracter"/>
          </w:rPr>
          <w:t>9/2024</w:t>
        </w:r>
      </w:hyperlink>
      <w:r>
        <w:t>, ff. 1, 6, VP I, VP II.</w:t>
      </w:r>
    </w:p>
    <w:p w14:paraId="61AB3845" w14:textId="156AC9F7" w:rsidR="00601EEA" w:rsidRDefault="00601EEA" w:rsidP="00601EEA">
      <w:pPr>
        <w:pStyle w:val="SangriaFrancesaArticulo"/>
      </w:pPr>
      <w:r w:rsidRPr="00601EEA">
        <w:rPr>
          <w:rStyle w:val="TextoNormalNegritaCaracter"/>
        </w:rPr>
        <w:t>§ 74.</w:t>
      </w:r>
      <w:r w:rsidRPr="00601EEA">
        <w:rPr>
          <w:rStyle w:val="TextoNormalCaracter"/>
        </w:rPr>
        <w:t>-</w:t>
      </w:r>
      <w:r>
        <w:t xml:space="preserve"> Sentencia </w:t>
      </w:r>
      <w:hyperlink w:anchor="SENTENCIA_2024_9" w:history="1">
        <w:r w:rsidRPr="00601EEA">
          <w:rPr>
            <w:rStyle w:val="TextoNormalCaracter"/>
          </w:rPr>
          <w:t>9/2024</w:t>
        </w:r>
      </w:hyperlink>
      <w:r>
        <w:t>, f. 4, VP II.</w:t>
      </w:r>
    </w:p>
    <w:p w14:paraId="499010A7" w14:textId="7C96E26D" w:rsidR="00601EEA" w:rsidRDefault="00601EEA" w:rsidP="00601EEA">
      <w:pPr>
        <w:pStyle w:val="SangriaFrancesaArticulo"/>
      </w:pPr>
      <w:r w:rsidRPr="00601EEA">
        <w:rPr>
          <w:rStyle w:val="TextoNormalNegritaCaracter"/>
        </w:rPr>
        <w:t>§ 75.</w:t>
      </w:r>
      <w:r w:rsidRPr="00601EEA">
        <w:rPr>
          <w:rStyle w:val="TextoNormalCaracter"/>
        </w:rPr>
        <w:t>-</w:t>
      </w:r>
      <w:r>
        <w:t xml:space="preserve"> Sentencia </w:t>
      </w:r>
      <w:hyperlink w:anchor="SENTENCIA_2024_9" w:history="1">
        <w:r w:rsidRPr="00601EEA">
          <w:rPr>
            <w:rStyle w:val="TextoNormalCaracter"/>
          </w:rPr>
          <w:t>9/2024</w:t>
        </w:r>
      </w:hyperlink>
      <w:r>
        <w:t>, VP II.</w:t>
      </w:r>
    </w:p>
    <w:p w14:paraId="7C6E24B5" w14:textId="288320DA" w:rsidR="00601EEA" w:rsidRDefault="00601EEA" w:rsidP="00601EEA">
      <w:pPr>
        <w:pStyle w:val="SangriaFrancesaArticulo"/>
      </w:pPr>
    </w:p>
    <w:p w14:paraId="05A4D071" w14:textId="77777777" w:rsidR="00601EEA" w:rsidRDefault="00601EEA" w:rsidP="00601EEA">
      <w:pPr>
        <w:pStyle w:val="TextoNormalNegritaCursivandice"/>
        <w:keepNext/>
      </w:pPr>
      <w:r>
        <w:t>Sentencia del Tribunal Europeo de Derechos Humanos de 20 de noviembre de 2018 (Toranzo Gómez c. España)</w:t>
      </w:r>
    </w:p>
    <w:p w14:paraId="10DE7D3C" w14:textId="440C6A91" w:rsidR="00601EEA" w:rsidRDefault="00601EEA" w:rsidP="00601EEA">
      <w:pPr>
        <w:pStyle w:val="SangriaFrancesaArticulo"/>
      </w:pPr>
      <w:r w:rsidRPr="00601EEA">
        <w:rPr>
          <w:rStyle w:val="TextoNormalNegritaCaracter"/>
        </w:rPr>
        <w:t>§ 62 a 68.</w:t>
      </w:r>
      <w:r w:rsidRPr="00601EEA">
        <w:rPr>
          <w:rStyle w:val="TextoNormalCaracter"/>
        </w:rPr>
        <w:t>-</w:t>
      </w:r>
      <w:r>
        <w:t xml:space="preserve"> Sentencia </w:t>
      </w:r>
      <w:hyperlink w:anchor="SENTENCIA_2024_75" w:history="1">
        <w:r w:rsidRPr="00601EEA">
          <w:rPr>
            <w:rStyle w:val="TextoNormalCaracter"/>
          </w:rPr>
          <w:t>75/2024</w:t>
        </w:r>
      </w:hyperlink>
      <w:r>
        <w:t>, VP II.</w:t>
      </w:r>
    </w:p>
    <w:p w14:paraId="28834439" w14:textId="4EDD0A3C" w:rsidR="00601EEA" w:rsidRDefault="00601EEA" w:rsidP="00601EEA">
      <w:pPr>
        <w:pStyle w:val="SangriaFrancesaArticulo"/>
      </w:pPr>
    </w:p>
    <w:p w14:paraId="7260EE17" w14:textId="77777777" w:rsidR="00601EEA" w:rsidRDefault="00601EEA" w:rsidP="00601EEA">
      <w:pPr>
        <w:pStyle w:val="TextoNormalNegritaCursivandice"/>
        <w:keepNext/>
      </w:pPr>
      <w:r>
        <w:t>Sentencia del Tribunal Europeo de Derechos Humanos de 31 de enero de 2019 (Fernandes de Oliveira c. Portugal)</w:t>
      </w:r>
    </w:p>
    <w:p w14:paraId="5E296D57" w14:textId="0E0ABF2D"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1" w:history="1">
        <w:r w:rsidRPr="00601EEA">
          <w:rPr>
            <w:rStyle w:val="TextoNormalCaracter"/>
          </w:rPr>
          <w:t>1/2024</w:t>
        </w:r>
      </w:hyperlink>
      <w:r>
        <w:t>, f. 3.</w:t>
      </w:r>
    </w:p>
    <w:p w14:paraId="52A0BA19" w14:textId="32CCEF11" w:rsidR="00601EEA" w:rsidRDefault="00601EEA" w:rsidP="00601EEA">
      <w:pPr>
        <w:pStyle w:val="SangriaFrancesaArticulo"/>
      </w:pPr>
      <w:r w:rsidRPr="00601EEA">
        <w:rPr>
          <w:rStyle w:val="TextoNormalNegritaCaracter"/>
        </w:rPr>
        <w:t>§ 103.</w:t>
      </w:r>
      <w:r w:rsidRPr="00601EEA">
        <w:rPr>
          <w:rStyle w:val="TextoNormalCaracter"/>
        </w:rPr>
        <w:t>-</w:t>
      </w:r>
      <w:r>
        <w:t xml:space="preserve"> Sentencia </w:t>
      </w:r>
      <w:hyperlink w:anchor="SENTENCIA_2024_1" w:history="1">
        <w:r w:rsidRPr="00601EEA">
          <w:rPr>
            <w:rStyle w:val="TextoNormalCaracter"/>
          </w:rPr>
          <w:t>1/2024</w:t>
        </w:r>
      </w:hyperlink>
      <w:r>
        <w:t>, f. 3.</w:t>
      </w:r>
    </w:p>
    <w:p w14:paraId="2CBC3BAA" w14:textId="1C889CA3" w:rsidR="00601EEA" w:rsidRDefault="00601EEA" w:rsidP="00601EEA">
      <w:pPr>
        <w:pStyle w:val="SangriaFrancesaArticulo"/>
      </w:pPr>
      <w:r w:rsidRPr="00601EEA">
        <w:rPr>
          <w:rStyle w:val="TextoNormalNegritaCaracter"/>
        </w:rPr>
        <w:t>§ 110.</w:t>
      </w:r>
      <w:r w:rsidRPr="00601EEA">
        <w:rPr>
          <w:rStyle w:val="TextoNormalCaracter"/>
        </w:rPr>
        <w:t>-</w:t>
      </w:r>
      <w:r>
        <w:t xml:space="preserve"> Sentencia </w:t>
      </w:r>
      <w:hyperlink w:anchor="SENTENCIA_2024_1" w:history="1">
        <w:r w:rsidRPr="00601EEA">
          <w:rPr>
            <w:rStyle w:val="TextoNormalCaracter"/>
          </w:rPr>
          <w:t>1/2024</w:t>
        </w:r>
      </w:hyperlink>
      <w:r>
        <w:t>, f. 3.</w:t>
      </w:r>
    </w:p>
    <w:p w14:paraId="39521E0E" w14:textId="1E57E36B" w:rsidR="00601EEA" w:rsidRDefault="00601EEA" w:rsidP="00601EEA">
      <w:pPr>
        <w:pStyle w:val="SangriaFrancesaArticulo"/>
      </w:pPr>
    </w:p>
    <w:p w14:paraId="44E27C43" w14:textId="77777777" w:rsidR="00601EEA" w:rsidRDefault="00601EEA" w:rsidP="00601EEA">
      <w:pPr>
        <w:pStyle w:val="TextoNormalNegritaCursivandice"/>
        <w:keepNext/>
      </w:pPr>
      <w:r>
        <w:t>Sentencia del Tribunal Europeo de Derechos Humanos de 8 de julio de 2019 (Mihalache c. Rumanía)</w:t>
      </w:r>
    </w:p>
    <w:p w14:paraId="331CDAD7" w14:textId="5901997C"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9" w:history="1">
        <w:r w:rsidRPr="00601EEA">
          <w:rPr>
            <w:rStyle w:val="TextoNormalCaracter"/>
          </w:rPr>
          <w:t>9/2024</w:t>
        </w:r>
      </w:hyperlink>
      <w:r>
        <w:t>, VP II.</w:t>
      </w:r>
    </w:p>
    <w:p w14:paraId="4A7424A8" w14:textId="13C2CAA4" w:rsidR="00601EEA" w:rsidRDefault="00601EEA" w:rsidP="00601EEA">
      <w:pPr>
        <w:pStyle w:val="SangriaFrancesaArticulo"/>
      </w:pPr>
      <w:r w:rsidRPr="00601EEA">
        <w:rPr>
          <w:rStyle w:val="TextoNormalNegritaCaracter"/>
        </w:rPr>
        <w:t>§ 37.</w:t>
      </w:r>
      <w:r w:rsidRPr="00601EEA">
        <w:rPr>
          <w:rStyle w:val="TextoNormalCaracter"/>
        </w:rPr>
        <w:t>-</w:t>
      </w:r>
      <w:r>
        <w:t xml:space="preserve"> Sentencia </w:t>
      </w:r>
      <w:hyperlink w:anchor="SENTENCIA_2024_9" w:history="1">
        <w:r w:rsidRPr="00601EEA">
          <w:rPr>
            <w:rStyle w:val="TextoNormalCaracter"/>
          </w:rPr>
          <w:t>9/2024</w:t>
        </w:r>
      </w:hyperlink>
      <w:r>
        <w:t>, VP II.</w:t>
      </w:r>
    </w:p>
    <w:p w14:paraId="65CD3EA0" w14:textId="639E4230" w:rsidR="00601EEA" w:rsidRDefault="00601EEA" w:rsidP="00601EEA">
      <w:pPr>
        <w:pStyle w:val="SangriaFrancesaArticulo"/>
      </w:pPr>
      <w:r w:rsidRPr="00601EEA">
        <w:rPr>
          <w:rStyle w:val="TextoNormalNegritaCaracter"/>
        </w:rPr>
        <w:t>§ 128.</w:t>
      </w:r>
      <w:r w:rsidRPr="00601EEA">
        <w:rPr>
          <w:rStyle w:val="TextoNormalCaracter"/>
        </w:rPr>
        <w:t>-</w:t>
      </w:r>
      <w:r>
        <w:t xml:space="preserve"> Sentencia </w:t>
      </w:r>
      <w:hyperlink w:anchor="SENTENCIA_2024_9" w:history="1">
        <w:r w:rsidRPr="00601EEA">
          <w:rPr>
            <w:rStyle w:val="TextoNormalCaracter"/>
          </w:rPr>
          <w:t>9/2024</w:t>
        </w:r>
      </w:hyperlink>
      <w:r>
        <w:t>, VP II.</w:t>
      </w:r>
    </w:p>
    <w:p w14:paraId="56CA74E1" w14:textId="23FB3806" w:rsidR="00601EEA" w:rsidRDefault="00601EEA" w:rsidP="00601EEA">
      <w:pPr>
        <w:pStyle w:val="SangriaFrancesaArticulo"/>
      </w:pPr>
      <w:r w:rsidRPr="00601EEA">
        <w:rPr>
          <w:rStyle w:val="TextoNormalNegritaCaracter"/>
        </w:rPr>
        <w:t>§ 129.</w:t>
      </w:r>
      <w:r w:rsidRPr="00601EEA">
        <w:rPr>
          <w:rStyle w:val="TextoNormalCaracter"/>
        </w:rPr>
        <w:t>-</w:t>
      </w:r>
      <w:r>
        <w:t xml:space="preserve"> Sentencia </w:t>
      </w:r>
      <w:hyperlink w:anchor="SENTENCIA_2024_9" w:history="1">
        <w:r w:rsidRPr="00601EEA">
          <w:rPr>
            <w:rStyle w:val="TextoNormalCaracter"/>
          </w:rPr>
          <w:t>9/2024</w:t>
        </w:r>
      </w:hyperlink>
      <w:r>
        <w:t>, VP II.</w:t>
      </w:r>
    </w:p>
    <w:p w14:paraId="4F073144" w14:textId="52055986" w:rsidR="00601EEA" w:rsidRDefault="00601EEA" w:rsidP="00601EEA">
      <w:pPr>
        <w:pStyle w:val="SangriaFrancesaArticulo"/>
      </w:pPr>
      <w:r w:rsidRPr="00601EEA">
        <w:rPr>
          <w:rStyle w:val="TextoNormalNegritaCaracter"/>
        </w:rPr>
        <w:t>§ 130.</w:t>
      </w:r>
      <w:r w:rsidRPr="00601EEA">
        <w:rPr>
          <w:rStyle w:val="TextoNormalCaracter"/>
        </w:rPr>
        <w:t>-</w:t>
      </w:r>
      <w:r>
        <w:t xml:space="preserve"> Sentencia </w:t>
      </w:r>
      <w:hyperlink w:anchor="SENTENCIA_2024_9" w:history="1">
        <w:r w:rsidRPr="00601EEA">
          <w:rPr>
            <w:rStyle w:val="TextoNormalCaracter"/>
          </w:rPr>
          <w:t>9/2024</w:t>
        </w:r>
      </w:hyperlink>
      <w:r>
        <w:t>, VP II.</w:t>
      </w:r>
    </w:p>
    <w:p w14:paraId="0E92F394" w14:textId="0EFD3FB4" w:rsidR="00601EEA" w:rsidRDefault="00601EEA" w:rsidP="00601EEA">
      <w:pPr>
        <w:pStyle w:val="SangriaFrancesaArticulo"/>
      </w:pPr>
      <w:r w:rsidRPr="00601EEA">
        <w:rPr>
          <w:rStyle w:val="TextoNormalNegritaCaracter"/>
        </w:rPr>
        <w:t>§ 132.</w:t>
      </w:r>
      <w:r w:rsidRPr="00601EEA">
        <w:rPr>
          <w:rStyle w:val="TextoNormalCaracter"/>
        </w:rPr>
        <w:t>-</w:t>
      </w:r>
      <w:r>
        <w:t xml:space="preserve"> Sentencia </w:t>
      </w:r>
      <w:hyperlink w:anchor="SENTENCIA_2024_9" w:history="1">
        <w:r w:rsidRPr="00601EEA">
          <w:rPr>
            <w:rStyle w:val="TextoNormalCaracter"/>
          </w:rPr>
          <w:t>9/2024</w:t>
        </w:r>
      </w:hyperlink>
      <w:r>
        <w:t>, VP II.</w:t>
      </w:r>
    </w:p>
    <w:p w14:paraId="73589E8C" w14:textId="08F44D42" w:rsidR="00601EEA" w:rsidRDefault="00601EEA" w:rsidP="00601EEA">
      <w:pPr>
        <w:pStyle w:val="SangriaFrancesaArticulo"/>
      </w:pPr>
      <w:r w:rsidRPr="00601EEA">
        <w:rPr>
          <w:rStyle w:val="TextoNormalNegritaCaracter"/>
        </w:rPr>
        <w:t>§ 133.</w:t>
      </w:r>
      <w:r w:rsidRPr="00601EEA">
        <w:rPr>
          <w:rStyle w:val="TextoNormalCaracter"/>
        </w:rPr>
        <w:t>-</w:t>
      </w:r>
      <w:r>
        <w:t xml:space="preserve"> Sentencia </w:t>
      </w:r>
      <w:hyperlink w:anchor="SENTENCIA_2024_9" w:history="1">
        <w:r w:rsidRPr="00601EEA">
          <w:rPr>
            <w:rStyle w:val="TextoNormalCaracter"/>
          </w:rPr>
          <w:t>9/2024</w:t>
        </w:r>
      </w:hyperlink>
      <w:r>
        <w:t>, VP II.</w:t>
      </w:r>
    </w:p>
    <w:p w14:paraId="17E69B6E" w14:textId="04E57F7D" w:rsidR="00601EEA" w:rsidRDefault="00601EEA" w:rsidP="00601EEA">
      <w:pPr>
        <w:pStyle w:val="SangriaFrancesaArticulo"/>
      </w:pPr>
    </w:p>
    <w:p w14:paraId="0F3ED4CE" w14:textId="77777777" w:rsidR="00601EEA" w:rsidRDefault="00601EEA" w:rsidP="00601EEA">
      <w:pPr>
        <w:pStyle w:val="TextoNormalNegritaCursivandice"/>
        <w:keepNext/>
      </w:pPr>
      <w:r>
        <w:t>Sentencia del Tribunal Europeo de Derechos Humanos de 10 de septiembre de 2019 (Strand Lobben c. Noruega)</w:t>
      </w:r>
    </w:p>
    <w:p w14:paraId="27E39528" w14:textId="070CC940" w:rsidR="00601EEA" w:rsidRDefault="00601EEA" w:rsidP="00601EEA">
      <w:pPr>
        <w:pStyle w:val="SangriaFrancesaArticulo"/>
      </w:pPr>
      <w:r w:rsidRPr="00601EEA">
        <w:rPr>
          <w:rStyle w:val="TextoNormalNegritaCaracter"/>
        </w:rPr>
        <w:t>§ 205.</w:t>
      </w:r>
      <w:r w:rsidRPr="00601EEA">
        <w:rPr>
          <w:rStyle w:val="TextoNormalCaracter"/>
        </w:rPr>
        <w:t>-</w:t>
      </w:r>
      <w:r>
        <w:t xml:space="preserve"> Sentencia </w:t>
      </w:r>
      <w:hyperlink w:anchor="SENTENCIA_2024_82" w:history="1">
        <w:r w:rsidRPr="00601EEA">
          <w:rPr>
            <w:rStyle w:val="TextoNormalCaracter"/>
          </w:rPr>
          <w:t>82/2024</w:t>
        </w:r>
      </w:hyperlink>
      <w:r>
        <w:t>, f. 2.</w:t>
      </w:r>
    </w:p>
    <w:p w14:paraId="7AC731D5" w14:textId="46CFAB18" w:rsidR="00601EEA" w:rsidRDefault="00601EEA" w:rsidP="00601EEA">
      <w:pPr>
        <w:pStyle w:val="SangriaFrancesaArticulo"/>
      </w:pPr>
    </w:p>
    <w:p w14:paraId="7FF47E9B" w14:textId="77777777" w:rsidR="00601EEA" w:rsidRDefault="00601EEA" w:rsidP="00601EEA">
      <w:pPr>
        <w:pStyle w:val="TextoNormalNegritaCursivandice"/>
        <w:keepNext/>
      </w:pPr>
      <w:r>
        <w:t>Sentencia del Tribunal Europeo de Derechos Humanos, de 3 de octubre de 2019 (Pastors c. Alemania)</w:t>
      </w:r>
    </w:p>
    <w:p w14:paraId="729745C3" w14:textId="7EF846D4" w:rsidR="00601EEA" w:rsidRDefault="00601EEA" w:rsidP="00601EEA">
      <w:pPr>
        <w:pStyle w:val="SangriaFrancesaArticulo"/>
      </w:pPr>
      <w:r w:rsidRPr="00601EEA">
        <w:rPr>
          <w:rStyle w:val="TextoNormalNegritaCaracter"/>
        </w:rPr>
        <w:t>§ 62.</w:t>
      </w:r>
      <w:r w:rsidRPr="00601EEA">
        <w:rPr>
          <w:rStyle w:val="TextoNormalCaracter"/>
        </w:rPr>
        <w:t>-</w:t>
      </w:r>
      <w:r>
        <w:t xml:space="preserve"> Auto </w:t>
      </w:r>
      <w:hyperlink w:anchor="AUTO_2024_29" w:history="1">
        <w:r w:rsidRPr="00601EEA">
          <w:rPr>
            <w:rStyle w:val="TextoNormalCaracter"/>
          </w:rPr>
          <w:t>29/2024</w:t>
        </w:r>
      </w:hyperlink>
      <w:r>
        <w:t>, f. 2.</w:t>
      </w:r>
    </w:p>
    <w:p w14:paraId="53F91B48" w14:textId="16987A44" w:rsidR="00601EEA" w:rsidRDefault="00601EEA" w:rsidP="00601EEA">
      <w:pPr>
        <w:pStyle w:val="SangriaFrancesaArticulo"/>
      </w:pPr>
    </w:p>
    <w:p w14:paraId="6338FCBD" w14:textId="77777777" w:rsidR="00601EEA" w:rsidRDefault="00601EEA" w:rsidP="00601EEA">
      <w:pPr>
        <w:pStyle w:val="TextoNormalNegritaCursivandice"/>
        <w:keepNext/>
      </w:pPr>
      <w:r>
        <w:t>Sentencia del Tribunal Europeo de Derechos Humanos de 30 de junio de 2020 (S.F. c. Suiza)</w:t>
      </w:r>
    </w:p>
    <w:p w14:paraId="0B668C64" w14:textId="06E3F51C"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1" w:history="1">
        <w:r w:rsidRPr="00601EEA">
          <w:rPr>
            <w:rStyle w:val="TextoNormalCaracter"/>
          </w:rPr>
          <w:t>1/2024</w:t>
        </w:r>
      </w:hyperlink>
      <w:r>
        <w:t>, f. 3.</w:t>
      </w:r>
    </w:p>
    <w:p w14:paraId="24D41D08" w14:textId="1A07D175" w:rsidR="00601EEA" w:rsidRDefault="00601EEA" w:rsidP="00601EEA">
      <w:pPr>
        <w:pStyle w:val="SangriaFrancesaArticulo"/>
      </w:pPr>
      <w:r w:rsidRPr="00601EEA">
        <w:rPr>
          <w:rStyle w:val="TextoNormalNegritaCaracter"/>
        </w:rPr>
        <w:t>§ 119.</w:t>
      </w:r>
      <w:r w:rsidRPr="00601EEA">
        <w:rPr>
          <w:rStyle w:val="TextoNormalCaracter"/>
        </w:rPr>
        <w:t>-</w:t>
      </w:r>
      <w:r>
        <w:t xml:space="preserve"> Sentencia </w:t>
      </w:r>
      <w:hyperlink w:anchor="SENTENCIA_2024_1" w:history="1">
        <w:r w:rsidRPr="00601EEA">
          <w:rPr>
            <w:rStyle w:val="TextoNormalCaracter"/>
          </w:rPr>
          <w:t>1/2024</w:t>
        </w:r>
      </w:hyperlink>
      <w:r>
        <w:t>, f. 3.</w:t>
      </w:r>
    </w:p>
    <w:p w14:paraId="2D2A670C" w14:textId="60E2BAB8" w:rsidR="00601EEA" w:rsidRDefault="00601EEA" w:rsidP="00601EEA">
      <w:pPr>
        <w:pStyle w:val="SangriaFrancesaArticulo"/>
      </w:pPr>
      <w:r w:rsidRPr="00601EEA">
        <w:rPr>
          <w:rStyle w:val="TextoNormalNegritaCaracter"/>
        </w:rPr>
        <w:t>§ 120.</w:t>
      </w:r>
      <w:r w:rsidRPr="00601EEA">
        <w:rPr>
          <w:rStyle w:val="TextoNormalCaracter"/>
        </w:rPr>
        <w:t>-</w:t>
      </w:r>
      <w:r>
        <w:t xml:space="preserve"> Sentencia </w:t>
      </w:r>
      <w:hyperlink w:anchor="SENTENCIA_2024_1" w:history="1">
        <w:r w:rsidRPr="00601EEA">
          <w:rPr>
            <w:rStyle w:val="TextoNormalCaracter"/>
          </w:rPr>
          <w:t>1/2024</w:t>
        </w:r>
      </w:hyperlink>
      <w:r>
        <w:t>, f. 3.</w:t>
      </w:r>
    </w:p>
    <w:p w14:paraId="19653412" w14:textId="5A8B4D89" w:rsidR="00601EEA" w:rsidRDefault="00601EEA" w:rsidP="00601EEA">
      <w:pPr>
        <w:pStyle w:val="SangriaFrancesaArticulo"/>
      </w:pPr>
    </w:p>
    <w:p w14:paraId="401F08A2" w14:textId="77777777" w:rsidR="00601EEA" w:rsidRDefault="00601EEA" w:rsidP="00601EEA">
      <w:pPr>
        <w:pStyle w:val="TextoNormalNegritaCursivandice"/>
        <w:keepNext/>
      </w:pPr>
      <w:r>
        <w:t>Sentencia del Tribunal Europeo de Derechos Humanos de 10 de julio de 2020 (Mugemangango c. Bélgica)</w:t>
      </w:r>
    </w:p>
    <w:p w14:paraId="4BEE3008" w14:textId="4DC77ADD" w:rsidR="00601EEA" w:rsidRDefault="00601EEA" w:rsidP="00601EEA">
      <w:pPr>
        <w:pStyle w:val="SangriaFrancesaArticulo"/>
      </w:pPr>
      <w:r w:rsidRPr="00601EEA">
        <w:rPr>
          <w:rStyle w:val="TextoNormalNegritaCaracter"/>
        </w:rPr>
        <w:t>§ 79.</w:t>
      </w:r>
      <w:r w:rsidRPr="00601EEA">
        <w:rPr>
          <w:rStyle w:val="TextoNormalCaracter"/>
        </w:rPr>
        <w:t>-</w:t>
      </w:r>
      <w:r>
        <w:t xml:space="preserve"> Sentencia </w:t>
      </w:r>
      <w:hyperlink w:anchor="SENTENCIA_2024_50" w:history="1">
        <w:r w:rsidRPr="00601EEA">
          <w:rPr>
            <w:rStyle w:val="TextoNormalCaracter"/>
          </w:rPr>
          <w:t>50/2024</w:t>
        </w:r>
      </w:hyperlink>
      <w:r>
        <w:t>, f. 3.</w:t>
      </w:r>
    </w:p>
    <w:p w14:paraId="00D678CF" w14:textId="2DA84F7C" w:rsidR="00601EEA" w:rsidRDefault="00601EEA" w:rsidP="00601EEA">
      <w:pPr>
        <w:pStyle w:val="SangriaFrancesaArticulo"/>
      </w:pPr>
      <w:r w:rsidRPr="00601EEA">
        <w:rPr>
          <w:rStyle w:val="TextoNormalNegritaCaracter"/>
        </w:rPr>
        <w:t>§ 83.</w:t>
      </w:r>
      <w:r w:rsidRPr="00601EEA">
        <w:rPr>
          <w:rStyle w:val="TextoNormalCaracter"/>
        </w:rPr>
        <w:t>-</w:t>
      </w:r>
      <w:r>
        <w:t xml:space="preserve"> Sentencia </w:t>
      </w:r>
      <w:hyperlink w:anchor="SENTENCIA_2024_50" w:history="1">
        <w:r w:rsidRPr="00601EEA">
          <w:rPr>
            <w:rStyle w:val="TextoNormalCaracter"/>
          </w:rPr>
          <w:t>50/2024</w:t>
        </w:r>
      </w:hyperlink>
      <w:r>
        <w:t>, f. 3.</w:t>
      </w:r>
    </w:p>
    <w:p w14:paraId="255E1787" w14:textId="710D540A" w:rsidR="00601EEA" w:rsidRDefault="00601EEA" w:rsidP="00601EEA">
      <w:pPr>
        <w:pStyle w:val="SangriaFrancesaArticulo"/>
      </w:pPr>
      <w:r w:rsidRPr="00601EEA">
        <w:rPr>
          <w:rStyle w:val="TextoNormalNegritaCaracter"/>
        </w:rPr>
        <w:t>§ 85.</w:t>
      </w:r>
      <w:r w:rsidRPr="00601EEA">
        <w:rPr>
          <w:rStyle w:val="TextoNormalCaracter"/>
        </w:rPr>
        <w:t>-</w:t>
      </w:r>
      <w:r>
        <w:t xml:space="preserve"> Sentencia </w:t>
      </w:r>
      <w:hyperlink w:anchor="SENTENCIA_2024_50" w:history="1">
        <w:r w:rsidRPr="00601EEA">
          <w:rPr>
            <w:rStyle w:val="TextoNormalCaracter"/>
          </w:rPr>
          <w:t>50/2024</w:t>
        </w:r>
      </w:hyperlink>
      <w:r>
        <w:t>, f. 3.</w:t>
      </w:r>
    </w:p>
    <w:p w14:paraId="287DF0BF" w14:textId="1C280772" w:rsidR="00601EEA" w:rsidRDefault="00601EEA" w:rsidP="00601EEA">
      <w:pPr>
        <w:pStyle w:val="SangriaFrancesaArticulo"/>
      </w:pPr>
      <w:r w:rsidRPr="00601EEA">
        <w:rPr>
          <w:rStyle w:val="TextoNormalNegritaCaracter"/>
        </w:rPr>
        <w:t>§ 131.</w:t>
      </w:r>
      <w:r w:rsidRPr="00601EEA">
        <w:rPr>
          <w:rStyle w:val="TextoNormalCaracter"/>
        </w:rPr>
        <w:t>-</w:t>
      </w:r>
      <w:r>
        <w:t xml:space="preserve"> Sentencia </w:t>
      </w:r>
      <w:hyperlink w:anchor="SENTENCIA_2024_61" w:history="1">
        <w:r w:rsidRPr="00601EEA">
          <w:rPr>
            <w:rStyle w:val="TextoNormalCaracter"/>
          </w:rPr>
          <w:t>61/2024</w:t>
        </w:r>
      </w:hyperlink>
      <w:r>
        <w:t>, VP.</w:t>
      </w:r>
    </w:p>
    <w:p w14:paraId="5B72C9C0" w14:textId="5DB29EAB" w:rsidR="00601EEA" w:rsidRDefault="00601EEA" w:rsidP="00601EEA">
      <w:pPr>
        <w:pStyle w:val="SangriaFrancesaArticulo"/>
      </w:pPr>
    </w:p>
    <w:p w14:paraId="5ADC1414" w14:textId="77777777" w:rsidR="00601EEA" w:rsidRDefault="00601EEA" w:rsidP="00601EEA">
      <w:pPr>
        <w:pStyle w:val="TextoNormalNegritaCursivandice"/>
        <w:keepNext/>
      </w:pPr>
      <w:r>
        <w:lastRenderedPageBreak/>
        <w:t>Sentencia del Tribunal Europeo de Derechos Humanos de 16 de julio de 2020 (D. c. Francia)</w:t>
      </w:r>
    </w:p>
    <w:p w14:paraId="4AF64661" w14:textId="1182A914"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28" w:history="1">
        <w:r w:rsidRPr="00601EEA">
          <w:rPr>
            <w:rStyle w:val="TextoNormalCaracter"/>
          </w:rPr>
          <w:t>28/2024</w:t>
        </w:r>
      </w:hyperlink>
      <w:r>
        <w:t>, f. 3.</w:t>
      </w:r>
    </w:p>
    <w:p w14:paraId="096FD146" w14:textId="21BC2C25" w:rsidR="00601EEA" w:rsidRDefault="00601EEA" w:rsidP="00601EEA">
      <w:pPr>
        <w:pStyle w:val="SangriaFrancesaArticulo"/>
      </w:pPr>
    </w:p>
    <w:p w14:paraId="0CC7AE41" w14:textId="77777777" w:rsidR="00601EEA" w:rsidRDefault="00601EEA" w:rsidP="00601EEA">
      <w:pPr>
        <w:pStyle w:val="TextoNormalNegritaCursivandice"/>
        <w:keepNext/>
      </w:pPr>
      <w:r>
        <w:t>Sentencia del Tribunal Europeo de Derechos Humanos de 20 de octubre de 2020 (Perovy c. Rusia)</w:t>
      </w:r>
    </w:p>
    <w:p w14:paraId="313B7E5E" w14:textId="5B672BA8"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26" w:history="1">
        <w:r w:rsidRPr="00601EEA">
          <w:rPr>
            <w:rStyle w:val="TextoNormalCaracter"/>
          </w:rPr>
          <w:t>26/2024</w:t>
        </w:r>
      </w:hyperlink>
      <w:r>
        <w:t>, ff. 3, 5.</w:t>
      </w:r>
    </w:p>
    <w:p w14:paraId="6F108BC1" w14:textId="45B9C695" w:rsidR="00601EEA" w:rsidRDefault="00601EEA" w:rsidP="00601EEA">
      <w:pPr>
        <w:pStyle w:val="SangriaFrancesaArticulo"/>
      </w:pPr>
      <w:r w:rsidRPr="00601EEA">
        <w:rPr>
          <w:rStyle w:val="TextoNormalNegritaCaracter"/>
        </w:rPr>
        <w:t>§ 57.</w:t>
      </w:r>
      <w:r w:rsidRPr="00601EEA">
        <w:rPr>
          <w:rStyle w:val="TextoNormalCaracter"/>
        </w:rPr>
        <w:t>-</w:t>
      </w:r>
      <w:r>
        <w:t xml:space="preserve"> Sentencia </w:t>
      </w:r>
      <w:hyperlink w:anchor="SENTENCIA_2024_26" w:history="1">
        <w:r w:rsidRPr="00601EEA">
          <w:rPr>
            <w:rStyle w:val="TextoNormalCaracter"/>
          </w:rPr>
          <w:t>26/2024</w:t>
        </w:r>
      </w:hyperlink>
      <w:r>
        <w:t>, VP I.</w:t>
      </w:r>
    </w:p>
    <w:p w14:paraId="24B12B77" w14:textId="34F33B5F" w:rsidR="00601EEA" w:rsidRDefault="00601EEA" w:rsidP="00601EEA">
      <w:pPr>
        <w:pStyle w:val="SangriaFrancesaArticulo"/>
      </w:pPr>
      <w:r w:rsidRPr="00601EEA">
        <w:rPr>
          <w:rStyle w:val="TextoNormalNegritaCaracter"/>
        </w:rPr>
        <w:t>§ 76.</w:t>
      </w:r>
      <w:r w:rsidRPr="00601EEA">
        <w:rPr>
          <w:rStyle w:val="TextoNormalCaracter"/>
        </w:rPr>
        <w:t>-</w:t>
      </w:r>
      <w:r>
        <w:t xml:space="preserve"> Sentencia </w:t>
      </w:r>
      <w:hyperlink w:anchor="SENTENCIA_2024_26" w:history="1">
        <w:r w:rsidRPr="00601EEA">
          <w:rPr>
            <w:rStyle w:val="TextoNormalCaracter"/>
          </w:rPr>
          <w:t>26/2024</w:t>
        </w:r>
      </w:hyperlink>
      <w:r>
        <w:t>, VP I.</w:t>
      </w:r>
    </w:p>
    <w:p w14:paraId="5E37C269" w14:textId="4C0EF703" w:rsidR="00601EEA" w:rsidRDefault="00601EEA" w:rsidP="00601EEA">
      <w:pPr>
        <w:pStyle w:val="SangriaFrancesaArticulo"/>
      </w:pPr>
      <w:r w:rsidRPr="00601EEA">
        <w:rPr>
          <w:rStyle w:val="TextoNormalNegritaCaracter"/>
        </w:rPr>
        <w:t>§ 77.</w:t>
      </w:r>
      <w:r w:rsidRPr="00601EEA">
        <w:rPr>
          <w:rStyle w:val="TextoNormalCaracter"/>
        </w:rPr>
        <w:t>-</w:t>
      </w:r>
      <w:r>
        <w:t xml:space="preserve"> Sentencia </w:t>
      </w:r>
      <w:hyperlink w:anchor="SENTENCIA_2024_26" w:history="1">
        <w:r w:rsidRPr="00601EEA">
          <w:rPr>
            <w:rStyle w:val="TextoNormalCaracter"/>
          </w:rPr>
          <w:t>26/2024</w:t>
        </w:r>
      </w:hyperlink>
      <w:r>
        <w:t>, VP I.</w:t>
      </w:r>
    </w:p>
    <w:p w14:paraId="21C3B621" w14:textId="6C2EE5EE" w:rsidR="00601EEA" w:rsidRDefault="00601EEA" w:rsidP="00601EEA">
      <w:pPr>
        <w:pStyle w:val="SangriaFrancesaArticulo"/>
      </w:pPr>
    </w:p>
    <w:p w14:paraId="164E3385" w14:textId="77777777" w:rsidR="00601EEA" w:rsidRDefault="00601EEA" w:rsidP="00601EEA">
      <w:pPr>
        <w:pStyle w:val="TextoNormalNegritaCursivandice"/>
        <w:keepNext/>
      </w:pPr>
      <w:r>
        <w:t>Sentencia del Tribunal Europeo de Derechos Humanos de 10 de diciembre de 2020 (Shiksaitov c. Eslovaquia)</w:t>
      </w:r>
    </w:p>
    <w:p w14:paraId="699530A7" w14:textId="25D85DAE" w:rsidR="00601EEA" w:rsidRDefault="00601EEA" w:rsidP="00601EEA">
      <w:pPr>
        <w:pStyle w:val="SangriaFrancesaArticulo"/>
      </w:pPr>
      <w:r w:rsidRPr="00601EEA">
        <w:rPr>
          <w:rStyle w:val="TextoNormalNegritaCaracter"/>
        </w:rPr>
        <w:t>§ 53 a 56.</w:t>
      </w:r>
      <w:r w:rsidRPr="00601EEA">
        <w:rPr>
          <w:rStyle w:val="TextoNormalCaracter"/>
        </w:rPr>
        <w:t>-</w:t>
      </w:r>
      <w:r>
        <w:t xml:space="preserve"> Sentencia </w:t>
      </w:r>
      <w:hyperlink w:anchor="SENTENCIA_2024_17" w:history="1">
        <w:r w:rsidRPr="00601EEA">
          <w:rPr>
            <w:rStyle w:val="TextoNormalCaracter"/>
          </w:rPr>
          <w:t>17/2024</w:t>
        </w:r>
      </w:hyperlink>
      <w:r>
        <w:t>, f. 3.</w:t>
      </w:r>
    </w:p>
    <w:p w14:paraId="1D937BE8" w14:textId="3E053A2A" w:rsidR="00601EEA" w:rsidRDefault="00601EEA" w:rsidP="00601EEA">
      <w:pPr>
        <w:pStyle w:val="SangriaFrancesaArticulo"/>
      </w:pPr>
    </w:p>
    <w:p w14:paraId="39D156B9" w14:textId="77777777" w:rsidR="00601EEA" w:rsidRDefault="00601EEA" w:rsidP="00601EEA">
      <w:pPr>
        <w:pStyle w:val="TextoNormalNegritaCursivandice"/>
        <w:keepNext/>
      </w:pPr>
      <w:r>
        <w:t>Sentencia del Tribunal Europeo de Derechos Humanos de 15 de diciembre de 2020 (Karesvaara y Njie c. España)</w:t>
      </w:r>
    </w:p>
    <w:p w14:paraId="6BD4D9BC" w14:textId="4F36FCBA"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84" w:history="1">
        <w:r w:rsidRPr="00601EEA">
          <w:rPr>
            <w:rStyle w:val="TextoNormalCaracter"/>
          </w:rPr>
          <w:t>84/2024</w:t>
        </w:r>
      </w:hyperlink>
      <w:r>
        <w:t>, f. 2.</w:t>
      </w:r>
    </w:p>
    <w:p w14:paraId="03F5D290" w14:textId="6F68791A" w:rsidR="00601EEA" w:rsidRDefault="00601EEA" w:rsidP="00601EEA">
      <w:pPr>
        <w:pStyle w:val="SangriaFrancesaArticulo"/>
      </w:pPr>
      <w:r w:rsidRPr="00601EEA">
        <w:rPr>
          <w:rStyle w:val="TextoNormalNegritaCaracter"/>
        </w:rPr>
        <w:t>§ 54 a 58.</w:t>
      </w:r>
      <w:r w:rsidRPr="00601EEA">
        <w:rPr>
          <w:rStyle w:val="TextoNormalCaracter"/>
        </w:rPr>
        <w:t>-</w:t>
      </w:r>
      <w:r>
        <w:t xml:space="preserve"> Sentencia </w:t>
      </w:r>
      <w:hyperlink w:anchor="SENTENCIA_2024_84" w:history="1">
        <w:r w:rsidRPr="00601EEA">
          <w:rPr>
            <w:rStyle w:val="TextoNormalCaracter"/>
          </w:rPr>
          <w:t>84/2024</w:t>
        </w:r>
      </w:hyperlink>
      <w:r>
        <w:t>, f. 2.</w:t>
      </w:r>
    </w:p>
    <w:p w14:paraId="2A8D8789" w14:textId="3CED5693" w:rsidR="00601EEA" w:rsidRDefault="00601EEA" w:rsidP="00601EEA">
      <w:pPr>
        <w:pStyle w:val="SangriaFrancesaArticulo"/>
      </w:pPr>
      <w:r w:rsidRPr="00601EEA">
        <w:rPr>
          <w:rStyle w:val="TextoNormalNegritaCaracter"/>
        </w:rPr>
        <w:t>§ 57.</w:t>
      </w:r>
      <w:r w:rsidRPr="00601EEA">
        <w:rPr>
          <w:rStyle w:val="TextoNormalCaracter"/>
        </w:rPr>
        <w:t>-</w:t>
      </w:r>
      <w:r>
        <w:t xml:space="preserve"> Sentencia </w:t>
      </w:r>
      <w:hyperlink w:anchor="SENTENCIA_2024_84" w:history="1">
        <w:r w:rsidRPr="00601EEA">
          <w:rPr>
            <w:rStyle w:val="TextoNormalCaracter"/>
          </w:rPr>
          <w:t>84/2024</w:t>
        </w:r>
      </w:hyperlink>
      <w:r>
        <w:t>, f. 2.</w:t>
      </w:r>
    </w:p>
    <w:p w14:paraId="5401BFB5" w14:textId="62246D9A" w:rsidR="00601EEA" w:rsidRDefault="00601EEA" w:rsidP="00601EEA">
      <w:pPr>
        <w:pStyle w:val="SangriaFrancesaArticulo"/>
      </w:pPr>
    </w:p>
    <w:p w14:paraId="1342CC57" w14:textId="77777777" w:rsidR="00601EEA" w:rsidRDefault="00601EEA" w:rsidP="00601EEA">
      <w:pPr>
        <w:pStyle w:val="TextoNormalNegritaCursivandice"/>
        <w:keepNext/>
      </w:pPr>
      <w:r>
        <w:t>Sentencia del Tribunal Europeo de Derechos Humanos de 14 de enero de 2021 (Sabalic c. Croacia)</w:t>
      </w:r>
    </w:p>
    <w:p w14:paraId="7D716944" w14:textId="3C45A01A" w:rsidR="00601EEA" w:rsidRDefault="00601EEA" w:rsidP="00601EEA">
      <w:pPr>
        <w:pStyle w:val="SangriaFrancesaArticulo"/>
      </w:pPr>
      <w:r w:rsidRPr="00601EEA">
        <w:rPr>
          <w:rStyle w:val="TextoNormalNegritaCaracter"/>
        </w:rPr>
        <w:t>§ 99.</w:t>
      </w:r>
      <w:r w:rsidRPr="00601EEA">
        <w:rPr>
          <w:rStyle w:val="TextoNormalCaracter"/>
        </w:rPr>
        <w:t>-</w:t>
      </w:r>
      <w:r>
        <w:t xml:space="preserve"> Sentencia </w:t>
      </w:r>
      <w:hyperlink w:anchor="SENTENCIA_2024_9" w:history="1">
        <w:r w:rsidRPr="00601EEA">
          <w:rPr>
            <w:rStyle w:val="TextoNormalCaracter"/>
          </w:rPr>
          <w:t>9/2024</w:t>
        </w:r>
      </w:hyperlink>
      <w:r>
        <w:t>, VP II.</w:t>
      </w:r>
    </w:p>
    <w:p w14:paraId="6D851E42" w14:textId="26E6C071" w:rsidR="00601EEA" w:rsidRDefault="00601EEA" w:rsidP="00601EEA">
      <w:pPr>
        <w:pStyle w:val="SangriaFrancesaArticulo"/>
      </w:pPr>
    </w:p>
    <w:p w14:paraId="47C4BF13" w14:textId="77777777" w:rsidR="00601EEA" w:rsidRDefault="00601EEA" w:rsidP="00601EEA">
      <w:pPr>
        <w:pStyle w:val="TextoNormalNegritaCursivandice"/>
        <w:keepNext/>
      </w:pPr>
      <w:r>
        <w:t>Sentencia del Tribunal Europeo de Derechos Humanos de 14 de enero de 2021 (Terna c. Italia)</w:t>
      </w:r>
    </w:p>
    <w:p w14:paraId="22FB6A2D" w14:textId="172B96FD" w:rsidR="00601EEA" w:rsidRDefault="00601EEA" w:rsidP="00601EEA">
      <w:pPr>
        <w:pStyle w:val="SangriaFrancesaArticulo"/>
      </w:pPr>
      <w:r w:rsidRPr="00601EEA">
        <w:rPr>
          <w:rStyle w:val="TextoNormalNegritaCaracter"/>
        </w:rPr>
        <w:t>§ 64.</w:t>
      </w:r>
      <w:r w:rsidRPr="00601EEA">
        <w:rPr>
          <w:rStyle w:val="TextoNormalCaracter"/>
        </w:rPr>
        <w:t>-</w:t>
      </w:r>
      <w:r>
        <w:t xml:space="preserve"> Sentencia </w:t>
      </w:r>
      <w:hyperlink w:anchor="SENTENCIA_2024_82" w:history="1">
        <w:r w:rsidRPr="00601EEA">
          <w:rPr>
            <w:rStyle w:val="TextoNormalCaracter"/>
          </w:rPr>
          <w:t>82/2024</w:t>
        </w:r>
      </w:hyperlink>
      <w:r>
        <w:t>, ff. 2, 3.</w:t>
      </w:r>
    </w:p>
    <w:p w14:paraId="61A5F619" w14:textId="36DEF8CC" w:rsidR="00601EEA" w:rsidRDefault="00601EEA" w:rsidP="00601EEA">
      <w:pPr>
        <w:pStyle w:val="SangriaFrancesaArticulo"/>
      </w:pPr>
    </w:p>
    <w:p w14:paraId="2969DD43" w14:textId="77777777" w:rsidR="00601EEA" w:rsidRDefault="00601EEA" w:rsidP="00601EEA">
      <w:pPr>
        <w:pStyle w:val="TextoNormalNegritaCursivandice"/>
        <w:keepNext/>
      </w:pPr>
      <w:r>
        <w:t>Sentencia del Tribunal Europeo de Derechos Humanos de 19 de enero de 2021 (González Etayo c. España)</w:t>
      </w:r>
    </w:p>
    <w:p w14:paraId="7D8FF6B6" w14:textId="05B7221D"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33" w:history="1">
        <w:r w:rsidRPr="00601EEA">
          <w:rPr>
            <w:rStyle w:val="TextoNormalCaracter"/>
          </w:rPr>
          <w:t>33/2024</w:t>
        </w:r>
      </w:hyperlink>
      <w:r>
        <w:t>, f. 2.</w:t>
      </w:r>
    </w:p>
    <w:p w14:paraId="62B5C6BC" w14:textId="7295F2C9" w:rsidR="00601EEA" w:rsidRDefault="00601EEA" w:rsidP="00601EEA">
      <w:pPr>
        <w:pStyle w:val="SangriaFrancesaArticulo"/>
      </w:pPr>
    </w:p>
    <w:p w14:paraId="45D5F77D" w14:textId="77777777" w:rsidR="00601EEA" w:rsidRDefault="00601EEA" w:rsidP="00601EEA">
      <w:pPr>
        <w:pStyle w:val="TextoNormalNegritaCursivandice"/>
        <w:keepNext/>
      </w:pPr>
      <w:r>
        <w:t>Sentencia del Tribunal Europeo de Derechos Humanos de 2 de marzo de 2021 (Kolesnikova c. Rusia)</w:t>
      </w:r>
    </w:p>
    <w:p w14:paraId="14259DD9" w14:textId="40573BF9" w:rsidR="00601EEA" w:rsidRDefault="00601EEA" w:rsidP="00601EEA">
      <w:pPr>
        <w:pStyle w:val="SangriaFrancesaArticulo"/>
      </w:pPr>
      <w:r w:rsidRPr="00601EEA">
        <w:rPr>
          <w:rStyle w:val="TextoNormalNegritaCaracter"/>
        </w:rPr>
        <w:t>§ 55.</w:t>
      </w:r>
      <w:r w:rsidRPr="00601EEA">
        <w:rPr>
          <w:rStyle w:val="TextoNormalCaracter"/>
        </w:rPr>
        <w:t>-</w:t>
      </w:r>
      <w:r>
        <w:t xml:space="preserve"> Auto </w:t>
      </w:r>
      <w:hyperlink w:anchor="AUTO_2024_29" w:history="1">
        <w:r w:rsidRPr="00601EEA">
          <w:rPr>
            <w:rStyle w:val="TextoNormalCaracter"/>
          </w:rPr>
          <w:t>29/2024</w:t>
        </w:r>
      </w:hyperlink>
      <w:r>
        <w:t>, f. 2.</w:t>
      </w:r>
    </w:p>
    <w:p w14:paraId="3A32C27E" w14:textId="485C3337" w:rsidR="00601EEA" w:rsidRDefault="00601EEA" w:rsidP="00601EEA">
      <w:pPr>
        <w:pStyle w:val="SangriaFrancesaArticulo"/>
      </w:pPr>
    </w:p>
    <w:p w14:paraId="5ABAF11F" w14:textId="77777777" w:rsidR="00601EEA" w:rsidRDefault="00601EEA" w:rsidP="00601EEA">
      <w:pPr>
        <w:pStyle w:val="TextoNormalNegritaCursivandice"/>
        <w:keepNext/>
      </w:pPr>
      <w:r>
        <w:t>Sentencia del Tribunal Europeo de Derechos Humanos de 9 de marzo de 2021 (López Martínez c. España)</w:t>
      </w:r>
    </w:p>
    <w:p w14:paraId="5E37DED1" w14:textId="2C86E844"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Sentencias </w:t>
      </w:r>
      <w:hyperlink w:anchor="SENTENCIA_2024_1" w:history="1">
        <w:r w:rsidRPr="00601EEA">
          <w:rPr>
            <w:rStyle w:val="TextoNormalCaracter"/>
          </w:rPr>
          <w:t>1/2024</w:t>
        </w:r>
      </w:hyperlink>
      <w:r>
        <w:t xml:space="preserve">, f. 3; </w:t>
      </w:r>
      <w:hyperlink w:anchor="SENTENCIA_2024_33" w:history="1">
        <w:r w:rsidRPr="00601EEA">
          <w:rPr>
            <w:rStyle w:val="TextoNormalCaracter"/>
          </w:rPr>
          <w:t>33/2024</w:t>
        </w:r>
      </w:hyperlink>
      <w:r>
        <w:t>, f. 2.</w:t>
      </w:r>
    </w:p>
    <w:p w14:paraId="1A3C04A3" w14:textId="0B8A930C" w:rsidR="00601EEA" w:rsidRDefault="00601EEA" w:rsidP="00601EEA">
      <w:pPr>
        <w:pStyle w:val="SangriaFrancesaArticulo"/>
      </w:pPr>
    </w:p>
    <w:p w14:paraId="696A4B30" w14:textId="77777777" w:rsidR="00601EEA" w:rsidRDefault="00601EEA" w:rsidP="00601EEA">
      <w:pPr>
        <w:pStyle w:val="TextoNormalNegritaCursivandice"/>
        <w:keepNext/>
      </w:pPr>
      <w:r>
        <w:t>Sentencia del Tribunal Europeo de Derechos Humanos de 9 de abril de 2009 (Šilih c. Eslovenia)</w:t>
      </w:r>
    </w:p>
    <w:p w14:paraId="5E3BAE57" w14:textId="4C32F70A"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1" w:history="1">
        <w:r w:rsidRPr="00601EEA">
          <w:rPr>
            <w:rStyle w:val="TextoNormalCaracter"/>
          </w:rPr>
          <w:t>1/2024</w:t>
        </w:r>
      </w:hyperlink>
      <w:r>
        <w:t>, f. 3.</w:t>
      </w:r>
    </w:p>
    <w:p w14:paraId="20E61429" w14:textId="35A035C6" w:rsidR="00601EEA" w:rsidRDefault="00601EEA" w:rsidP="00601EEA">
      <w:pPr>
        <w:pStyle w:val="SangriaFrancesaArticulo"/>
      </w:pPr>
    </w:p>
    <w:p w14:paraId="3E5A35F8" w14:textId="77777777" w:rsidR="00601EEA" w:rsidRDefault="00601EEA" w:rsidP="00601EEA">
      <w:pPr>
        <w:pStyle w:val="TextoNormalNegritaCursivandice"/>
        <w:keepNext/>
      </w:pPr>
      <w:r>
        <w:lastRenderedPageBreak/>
        <w:t>Sentencia del Tribunal Europeo de Derechos Humanos de 18 de mayo de 2021 (Valdís Fjölnisdóttir c. Dinamarca)</w:t>
      </w:r>
    </w:p>
    <w:p w14:paraId="1F445384" w14:textId="5ECACD5F"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28" w:history="1">
        <w:r w:rsidRPr="00601EEA">
          <w:rPr>
            <w:rStyle w:val="TextoNormalCaracter"/>
          </w:rPr>
          <w:t>28/2024</w:t>
        </w:r>
      </w:hyperlink>
      <w:r>
        <w:t>, f. 3.</w:t>
      </w:r>
    </w:p>
    <w:p w14:paraId="7F80907D" w14:textId="0233FB82" w:rsidR="00601EEA" w:rsidRDefault="00601EEA" w:rsidP="00601EEA">
      <w:pPr>
        <w:pStyle w:val="SangriaFrancesaArticulo"/>
      </w:pPr>
    </w:p>
    <w:p w14:paraId="07F47D57" w14:textId="77777777" w:rsidR="00601EEA" w:rsidRDefault="00601EEA" w:rsidP="00601EEA">
      <w:pPr>
        <w:pStyle w:val="TextoNormalNegritaCursivandice"/>
        <w:keepNext/>
      </w:pPr>
      <w:r>
        <w:t>Sentencia del Tribunal Europeo de Derechos Humanos de 30 de noviembre de 2021 (T.A., y otros c. Moldavia)</w:t>
      </w:r>
    </w:p>
    <w:p w14:paraId="53B3E20C" w14:textId="3CF8BE24" w:rsidR="00601EEA" w:rsidRDefault="00601EEA" w:rsidP="00601EEA">
      <w:pPr>
        <w:pStyle w:val="SangriaFrancesaArticulo"/>
      </w:pPr>
      <w:r w:rsidRPr="00601EEA">
        <w:rPr>
          <w:rStyle w:val="TextoNormalNegritaCaracter"/>
        </w:rPr>
        <w:t>§ 49.</w:t>
      </w:r>
      <w:r w:rsidRPr="00601EEA">
        <w:rPr>
          <w:rStyle w:val="TextoNormalCaracter"/>
        </w:rPr>
        <w:t>-</w:t>
      </w:r>
      <w:r>
        <w:t xml:space="preserve"> Sentencia </w:t>
      </w:r>
      <w:hyperlink w:anchor="SENTENCIA_2024_82" w:history="1">
        <w:r w:rsidRPr="00601EEA">
          <w:rPr>
            <w:rStyle w:val="TextoNormalCaracter"/>
          </w:rPr>
          <w:t>82/2024</w:t>
        </w:r>
      </w:hyperlink>
      <w:r>
        <w:t>, f. 2.</w:t>
      </w:r>
    </w:p>
    <w:p w14:paraId="17DA4BF5" w14:textId="0F04B210" w:rsidR="00601EEA" w:rsidRDefault="00601EEA" w:rsidP="00601EEA">
      <w:pPr>
        <w:pStyle w:val="SangriaFrancesaArticulo"/>
      </w:pPr>
      <w:r w:rsidRPr="00601EEA">
        <w:rPr>
          <w:rStyle w:val="TextoNormalNegritaCaracter"/>
        </w:rPr>
        <w:t>§ 50.</w:t>
      </w:r>
      <w:r w:rsidRPr="00601EEA">
        <w:rPr>
          <w:rStyle w:val="TextoNormalCaracter"/>
        </w:rPr>
        <w:t>-</w:t>
      </w:r>
      <w:r>
        <w:t xml:space="preserve"> Sentencia </w:t>
      </w:r>
      <w:hyperlink w:anchor="SENTENCIA_2024_82" w:history="1">
        <w:r w:rsidRPr="00601EEA">
          <w:rPr>
            <w:rStyle w:val="TextoNormalCaracter"/>
          </w:rPr>
          <w:t>82/2024</w:t>
        </w:r>
      </w:hyperlink>
      <w:r>
        <w:t>, ff. 2, 3.</w:t>
      </w:r>
    </w:p>
    <w:p w14:paraId="6C751315" w14:textId="626A01F7" w:rsidR="00601EEA" w:rsidRDefault="00601EEA" w:rsidP="00601EEA">
      <w:pPr>
        <w:pStyle w:val="SangriaFrancesaArticulo"/>
      </w:pPr>
    </w:p>
    <w:p w14:paraId="587EF5A2" w14:textId="77777777" w:rsidR="00601EEA" w:rsidRDefault="00601EEA" w:rsidP="00601EEA">
      <w:pPr>
        <w:pStyle w:val="TextoNormalNegritaCursivandice"/>
        <w:keepNext/>
      </w:pPr>
      <w:r>
        <w:t>Sentencia del Tribunal Europeo de Derechos Humanos de 16 de diciembre de 2021 (Yakhymovych c. Ukraine)</w:t>
      </w:r>
    </w:p>
    <w:p w14:paraId="02C50A2F" w14:textId="382EE65D" w:rsidR="00601EEA" w:rsidRDefault="00601EEA" w:rsidP="00601EEA">
      <w:pPr>
        <w:pStyle w:val="SangriaFrancesaArticulo"/>
      </w:pPr>
      <w:r w:rsidRPr="00601EEA">
        <w:rPr>
          <w:rStyle w:val="TextoNormalNegritaCaracter"/>
        </w:rPr>
        <w:t>§ 30.</w:t>
      </w:r>
      <w:r w:rsidRPr="00601EEA">
        <w:rPr>
          <w:rStyle w:val="TextoNormalCaracter"/>
        </w:rPr>
        <w:t>-</w:t>
      </w:r>
      <w:r>
        <w:t xml:space="preserve"> Sentencia </w:t>
      </w:r>
      <w:hyperlink w:anchor="SENTENCIA_2024_87" w:history="1">
        <w:r w:rsidRPr="00601EEA">
          <w:rPr>
            <w:rStyle w:val="TextoNormalCaracter"/>
          </w:rPr>
          <w:t>87/2024</w:t>
        </w:r>
      </w:hyperlink>
      <w:r>
        <w:t>, f. 3.</w:t>
      </w:r>
    </w:p>
    <w:p w14:paraId="7F62ED65" w14:textId="113A4065" w:rsidR="00601EEA" w:rsidRDefault="00601EEA" w:rsidP="00601EEA">
      <w:pPr>
        <w:pStyle w:val="SangriaFrancesaArticulo"/>
      </w:pPr>
    </w:p>
    <w:p w14:paraId="5AC6AD49" w14:textId="77777777" w:rsidR="00601EEA" w:rsidRDefault="00601EEA" w:rsidP="00601EEA">
      <w:pPr>
        <w:pStyle w:val="TextoNormalNegritaCursivandice"/>
        <w:keepNext/>
      </w:pPr>
      <w:r>
        <w:t>Sentencia del Tribunal Europeo de Derechos Humanos de 19 de mayo de 2022 (T.C., c. Italia)</w:t>
      </w:r>
    </w:p>
    <w:p w14:paraId="566CE650" w14:textId="6CB00CC9" w:rsidR="00601EEA" w:rsidRDefault="00601EEA" w:rsidP="00601EEA">
      <w:pPr>
        <w:pStyle w:val="SangriaFrancesaArticulo"/>
      </w:pPr>
      <w:r w:rsidRPr="00601EEA">
        <w:rPr>
          <w:rStyle w:val="TextoNormalNegritaCaracter"/>
        </w:rPr>
        <w:t>§ 42.</w:t>
      </w:r>
      <w:r w:rsidRPr="00601EEA">
        <w:rPr>
          <w:rStyle w:val="TextoNormalCaracter"/>
        </w:rPr>
        <w:t>-</w:t>
      </w:r>
      <w:r>
        <w:t xml:space="preserve"> Sentencia </w:t>
      </w:r>
      <w:hyperlink w:anchor="SENTENCIA_2024_26" w:history="1">
        <w:r w:rsidRPr="00601EEA">
          <w:rPr>
            <w:rStyle w:val="TextoNormalCaracter"/>
          </w:rPr>
          <w:t>26/2024</w:t>
        </w:r>
      </w:hyperlink>
      <w:r>
        <w:t>, f. 3.</w:t>
      </w:r>
    </w:p>
    <w:p w14:paraId="1106BFB5" w14:textId="65A2CD92" w:rsidR="00601EEA" w:rsidRDefault="00601EEA" w:rsidP="00601EEA">
      <w:pPr>
        <w:pStyle w:val="SangriaFrancesaArticulo"/>
      </w:pPr>
      <w:r w:rsidRPr="00601EEA">
        <w:rPr>
          <w:rStyle w:val="TextoNormalNegritaCaracter"/>
        </w:rPr>
        <w:t>§ 44.</w:t>
      </w:r>
      <w:r w:rsidRPr="00601EEA">
        <w:rPr>
          <w:rStyle w:val="TextoNormalCaracter"/>
        </w:rPr>
        <w:t>-</w:t>
      </w:r>
      <w:r>
        <w:t xml:space="preserve"> Sentencia </w:t>
      </w:r>
      <w:hyperlink w:anchor="SENTENCIA_2024_26" w:history="1">
        <w:r w:rsidRPr="00601EEA">
          <w:rPr>
            <w:rStyle w:val="TextoNormalCaracter"/>
          </w:rPr>
          <w:t>26/2024</w:t>
        </w:r>
      </w:hyperlink>
      <w:r>
        <w:t>, ff. 3, 5.</w:t>
      </w:r>
    </w:p>
    <w:p w14:paraId="34946DFC" w14:textId="427B6917" w:rsidR="00601EEA" w:rsidRDefault="00601EEA" w:rsidP="00601EEA">
      <w:pPr>
        <w:pStyle w:val="SangriaFrancesaArticulo"/>
      </w:pPr>
      <w:r w:rsidRPr="00601EEA">
        <w:rPr>
          <w:rStyle w:val="TextoNormalNegritaCaracter"/>
        </w:rPr>
        <w:t>§ 46.</w:t>
      </w:r>
      <w:r w:rsidRPr="00601EEA">
        <w:rPr>
          <w:rStyle w:val="TextoNormalCaracter"/>
        </w:rPr>
        <w:t>-</w:t>
      </w:r>
      <w:r>
        <w:t xml:space="preserve"> Sentencia </w:t>
      </w:r>
      <w:hyperlink w:anchor="SENTENCIA_2024_26" w:history="1">
        <w:r w:rsidRPr="00601EEA">
          <w:rPr>
            <w:rStyle w:val="TextoNormalCaracter"/>
          </w:rPr>
          <w:t>26/2024</w:t>
        </w:r>
      </w:hyperlink>
      <w:r>
        <w:t>, VP II.</w:t>
      </w:r>
    </w:p>
    <w:p w14:paraId="1E0F1EBE" w14:textId="6A01F25D" w:rsidR="00601EEA" w:rsidRDefault="00601EEA" w:rsidP="00601EEA">
      <w:pPr>
        <w:pStyle w:val="SangriaFrancesaArticulo"/>
      </w:pPr>
      <w:r w:rsidRPr="00601EEA">
        <w:rPr>
          <w:rStyle w:val="TextoNormalNegritaCaracter"/>
        </w:rPr>
        <w:t>§ 52.</w:t>
      </w:r>
      <w:r w:rsidRPr="00601EEA">
        <w:rPr>
          <w:rStyle w:val="TextoNormalCaracter"/>
        </w:rPr>
        <w:t>-</w:t>
      </w:r>
      <w:r>
        <w:t xml:space="preserve"> Sentencia </w:t>
      </w:r>
      <w:hyperlink w:anchor="SENTENCIA_2024_26" w:history="1">
        <w:r w:rsidRPr="00601EEA">
          <w:rPr>
            <w:rStyle w:val="TextoNormalCaracter"/>
          </w:rPr>
          <w:t>26/2024</w:t>
        </w:r>
      </w:hyperlink>
      <w:r>
        <w:t>, VP I.</w:t>
      </w:r>
    </w:p>
    <w:p w14:paraId="018A1EA7" w14:textId="2AC68CAA" w:rsidR="00601EEA" w:rsidRDefault="00601EEA" w:rsidP="00601EEA">
      <w:pPr>
        <w:pStyle w:val="SangriaFrancesaArticulo"/>
      </w:pPr>
    </w:p>
    <w:p w14:paraId="7D8EF453" w14:textId="77777777" w:rsidR="00601EEA" w:rsidRDefault="00601EEA" w:rsidP="00601EEA">
      <w:pPr>
        <w:pStyle w:val="TextoNormalNegritaCursivandice"/>
        <w:keepNext/>
      </w:pPr>
      <w:r>
        <w:t>Sentencia del Tribunal Europeo de Derechos Humanos de 7 de julio de 2022 (Torosian c. Grecia)</w:t>
      </w:r>
    </w:p>
    <w:p w14:paraId="74D0D909" w14:textId="5EA41EDB"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33" w:history="1">
        <w:r w:rsidRPr="00601EEA">
          <w:rPr>
            <w:rStyle w:val="TextoNormalCaracter"/>
          </w:rPr>
          <w:t>33/2024</w:t>
        </w:r>
      </w:hyperlink>
      <w:r>
        <w:t>, f. 2.</w:t>
      </w:r>
    </w:p>
    <w:p w14:paraId="66902AD6" w14:textId="43C84376" w:rsidR="00601EEA" w:rsidRDefault="00601EEA" w:rsidP="00601EEA">
      <w:pPr>
        <w:pStyle w:val="SangriaFrancesaArticulo"/>
      </w:pPr>
    </w:p>
    <w:p w14:paraId="25A1230B" w14:textId="77777777" w:rsidR="00601EEA" w:rsidRDefault="00601EEA" w:rsidP="00601EEA">
      <w:pPr>
        <w:pStyle w:val="TextoNormalNegritaCursivandice"/>
        <w:keepNext/>
      </w:pPr>
      <w:r>
        <w:t>Sentencia del Tribunal Europeo de Derechos Humanos de 11 de octubre de 2022 (Garrido Herrero c. España)</w:t>
      </w:r>
    </w:p>
    <w:p w14:paraId="1B25E89F" w14:textId="73A99271"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1" w:history="1">
        <w:r w:rsidRPr="00601EEA">
          <w:rPr>
            <w:rStyle w:val="TextoNormalCaracter"/>
          </w:rPr>
          <w:t>1/2024</w:t>
        </w:r>
      </w:hyperlink>
      <w:r>
        <w:t>, f. 3.</w:t>
      </w:r>
    </w:p>
    <w:p w14:paraId="30EF37BB" w14:textId="6439DED1" w:rsidR="00601EEA" w:rsidRDefault="00601EEA" w:rsidP="00601EEA">
      <w:pPr>
        <w:pStyle w:val="SangriaFrancesaArticulo"/>
      </w:pPr>
    </w:p>
    <w:p w14:paraId="392014EB" w14:textId="77777777" w:rsidR="00601EEA" w:rsidRDefault="00601EEA" w:rsidP="00601EEA">
      <w:pPr>
        <w:pStyle w:val="TextoNormalNegritaCursivandice"/>
        <w:keepNext/>
      </w:pPr>
      <w:r>
        <w:t>Sentencia del Tribunal Europeo de Derechos Humanos de 6 de diciembre de 2022 (K.K. y otros c. Dinamarca)</w:t>
      </w:r>
    </w:p>
    <w:p w14:paraId="196EFD4A" w14:textId="2046E23E"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28" w:history="1">
        <w:r w:rsidRPr="00601EEA">
          <w:rPr>
            <w:rStyle w:val="TextoNormalCaracter"/>
          </w:rPr>
          <w:t>28/2024</w:t>
        </w:r>
      </w:hyperlink>
      <w:r>
        <w:t>, f. 3.</w:t>
      </w:r>
    </w:p>
    <w:p w14:paraId="0FE5AE3F" w14:textId="795A54AA" w:rsidR="00601EEA" w:rsidRDefault="00601EEA" w:rsidP="00601EEA">
      <w:pPr>
        <w:pStyle w:val="SangriaFrancesaArticulo"/>
      </w:pPr>
    </w:p>
    <w:p w14:paraId="6EC408F5" w14:textId="77777777" w:rsidR="00601EEA" w:rsidRDefault="00601EEA" w:rsidP="00601EEA">
      <w:pPr>
        <w:pStyle w:val="TextoNormalNegritaCursivandice"/>
        <w:keepNext/>
      </w:pPr>
      <w:r>
        <w:t>Decisión del Tribunal Europeo de Derechos Humanos de 30 de mayo de 2023 (Bonzano y otros c. Italia)</w:t>
      </w:r>
    </w:p>
    <w:p w14:paraId="7E9FD251" w14:textId="2EA2713D"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28" w:history="1">
        <w:r w:rsidRPr="00601EEA">
          <w:rPr>
            <w:rStyle w:val="TextoNormalCaracter"/>
          </w:rPr>
          <w:t>28/2024</w:t>
        </w:r>
      </w:hyperlink>
      <w:r>
        <w:t>, f. 3.</w:t>
      </w:r>
    </w:p>
    <w:p w14:paraId="079F0050" w14:textId="79DBC19E" w:rsidR="00601EEA" w:rsidRDefault="00601EEA" w:rsidP="00601EEA">
      <w:pPr>
        <w:pStyle w:val="SangriaFrancesaArticulo"/>
      </w:pPr>
    </w:p>
    <w:p w14:paraId="14661E8B" w14:textId="77777777" w:rsidR="00601EEA" w:rsidRDefault="00601EEA" w:rsidP="00601EEA">
      <w:pPr>
        <w:pStyle w:val="TextoNormalNegritaCursivandice"/>
        <w:keepNext/>
      </w:pPr>
      <w:r>
        <w:t>Sentencia del Tribunal Europeo de Derechos Humanos de 12 de diciembre de 2023 (Vuckovic c. Croacia)</w:t>
      </w:r>
    </w:p>
    <w:p w14:paraId="0581ABFA" w14:textId="3FECE5CA" w:rsidR="00601EEA" w:rsidRDefault="00601EEA" w:rsidP="00601EEA">
      <w:pPr>
        <w:pStyle w:val="SangriaFrancesaArticulo"/>
      </w:pPr>
      <w:r w:rsidRPr="00601EEA">
        <w:rPr>
          <w:rStyle w:val="TextoNormalNegritaCaracter"/>
        </w:rPr>
        <w:t>§ 52.</w:t>
      </w:r>
      <w:r w:rsidRPr="00601EEA">
        <w:rPr>
          <w:rStyle w:val="TextoNormalCaracter"/>
        </w:rPr>
        <w:t>-</w:t>
      </w:r>
      <w:r>
        <w:t xml:space="preserve"> Sentencia </w:t>
      </w:r>
      <w:hyperlink w:anchor="SENTENCIA_2024_48" w:history="1">
        <w:r w:rsidRPr="00601EEA">
          <w:rPr>
            <w:rStyle w:val="TextoNormalCaracter"/>
          </w:rPr>
          <w:t>48/2024</w:t>
        </w:r>
      </w:hyperlink>
      <w:r>
        <w:t>, f. 5.</w:t>
      </w:r>
    </w:p>
    <w:p w14:paraId="57D5215B" w14:textId="51C659EA" w:rsidR="00601EEA" w:rsidRDefault="00601EEA" w:rsidP="00601EEA">
      <w:pPr>
        <w:pStyle w:val="SangriaFrancesaArticulo"/>
      </w:pPr>
      <w:r w:rsidRPr="00601EEA">
        <w:rPr>
          <w:rStyle w:val="TextoNormalNegritaCaracter"/>
        </w:rPr>
        <w:t>§ 55.</w:t>
      </w:r>
      <w:r w:rsidRPr="00601EEA">
        <w:rPr>
          <w:rStyle w:val="TextoNormalCaracter"/>
        </w:rPr>
        <w:t>-</w:t>
      </w:r>
      <w:r>
        <w:t xml:space="preserve"> Sentencia </w:t>
      </w:r>
      <w:hyperlink w:anchor="SENTENCIA_2024_48" w:history="1">
        <w:r w:rsidRPr="00601EEA">
          <w:rPr>
            <w:rStyle w:val="TextoNormalCaracter"/>
          </w:rPr>
          <w:t>48/2024</w:t>
        </w:r>
      </w:hyperlink>
      <w:r>
        <w:t>, f. 5.</w:t>
      </w:r>
    </w:p>
    <w:p w14:paraId="4E960CF8" w14:textId="6D7C6254" w:rsidR="00601EEA" w:rsidRDefault="00601EEA" w:rsidP="00601EEA">
      <w:pPr>
        <w:pStyle w:val="TextoNormal"/>
      </w:pPr>
    </w:p>
    <w:p w14:paraId="27A1ECE3" w14:textId="77777777" w:rsidR="00601EEA" w:rsidRDefault="00601EEA" w:rsidP="00601EEA">
      <w:pPr>
        <w:pStyle w:val="SangriaFrancesaArticulo"/>
      </w:pPr>
      <w:bookmarkStart w:id="177" w:name="INDICE22924"/>
    </w:p>
    <w:bookmarkEnd w:id="177"/>
    <w:p w14:paraId="6DCD6BAD" w14:textId="77777777" w:rsidR="00601EEA" w:rsidRDefault="00601EEA" w:rsidP="00601EEA">
      <w:pPr>
        <w:pStyle w:val="TextoIndiceNivel2"/>
        <w:suppressAutoHyphens/>
      </w:pPr>
      <w:r>
        <w:t>B) Tribunales de Justicia de las Comunidades Europeas y de la Unión Europea</w:t>
      </w:r>
    </w:p>
    <w:p w14:paraId="652C979F" w14:textId="7AC189B9" w:rsidR="00601EEA" w:rsidRDefault="00601EEA" w:rsidP="00601EEA">
      <w:pPr>
        <w:pStyle w:val="TextoIndiceNivel2"/>
      </w:pPr>
    </w:p>
    <w:p w14:paraId="427CDE41" w14:textId="77777777" w:rsidR="00601EEA" w:rsidRDefault="00601EEA" w:rsidP="00601EEA">
      <w:pPr>
        <w:pStyle w:val="TextoNormalNegritaCursivandice"/>
        <w:keepNext/>
      </w:pPr>
      <w:r>
        <w:lastRenderedPageBreak/>
        <w:t>Sentencia del Tribunal de Justicia de las Comunidades Europeas de 6 de octubre de 1982 (Srl Cilfit y Lanificio di Gavardo SpA c. Ministero della Sanità, asunto C-283/81)</w:t>
      </w:r>
    </w:p>
    <w:p w14:paraId="4C7A02B8" w14:textId="3DE05A10" w:rsidR="00601EEA" w:rsidRDefault="00601EEA" w:rsidP="00601EEA">
      <w:pPr>
        <w:pStyle w:val="SangriaFrancesaArticulo"/>
      </w:pPr>
      <w:r w:rsidRPr="00601EEA">
        <w:rPr>
          <w:rStyle w:val="TextoNormalNegritaCaracter"/>
        </w:rPr>
        <w:t>§ 10.</w:t>
      </w:r>
      <w:r w:rsidRPr="00601EEA">
        <w:rPr>
          <w:rStyle w:val="TextoNormalCaracter"/>
        </w:rPr>
        <w:t>-</w:t>
      </w:r>
      <w:r>
        <w:t xml:space="preserve"> Sentencia </w:t>
      </w:r>
      <w:hyperlink w:anchor="SENTENCIA_2024_66" w:history="1">
        <w:r w:rsidRPr="00601EEA">
          <w:rPr>
            <w:rStyle w:val="TextoNormalCaracter"/>
          </w:rPr>
          <w:t>66/2024</w:t>
        </w:r>
      </w:hyperlink>
      <w:r>
        <w:t>, f. 4.</w:t>
      </w:r>
    </w:p>
    <w:p w14:paraId="52E3FA5B" w14:textId="0F084CE1" w:rsidR="00601EEA" w:rsidRDefault="00601EEA" w:rsidP="00601EEA">
      <w:pPr>
        <w:pStyle w:val="SangriaFrancesaArticulo"/>
      </w:pPr>
    </w:p>
    <w:p w14:paraId="5EA5FFCA" w14:textId="77777777" w:rsidR="00601EEA" w:rsidRDefault="00601EEA" w:rsidP="00601EEA">
      <w:pPr>
        <w:pStyle w:val="TextoNormalNegritaCursivandice"/>
        <w:keepNext/>
      </w:pPr>
      <w:r>
        <w:t>Sentencia del Tribunal de Justicia de la Unión Europea de 18 de marzo de 2010 (Rosalba Alassini c. Telecom Italia SpA, Filomena Califano c. Wind SpA, Lucia Anna Giorgia Iacono c. Telecom Italia SpA y Multiservice Srl c. Telecom Italia SpA, asuntos acumulados C-317/08, C-318/08, C-319/08 y C-320/08)</w:t>
      </w:r>
    </w:p>
    <w:p w14:paraId="25E1F1A1" w14:textId="3F2F9878" w:rsidR="00601EEA" w:rsidRDefault="00601EEA" w:rsidP="00601EEA">
      <w:pPr>
        <w:pStyle w:val="SangriaFrancesaArticulo"/>
      </w:pPr>
      <w:r w:rsidRPr="00601EEA">
        <w:rPr>
          <w:rStyle w:val="TextoNormalNegritaCaracter"/>
        </w:rPr>
        <w:t>§ 40.</w:t>
      </w:r>
      <w:r w:rsidRPr="00601EEA">
        <w:rPr>
          <w:rStyle w:val="TextoNormalCaracter"/>
        </w:rPr>
        <w:t>-</w:t>
      </w:r>
      <w:r>
        <w:t xml:space="preserve"> Sentencia </w:t>
      </w:r>
      <w:hyperlink w:anchor="SENTENCIA_2024_15" w:history="1">
        <w:r w:rsidRPr="00601EEA">
          <w:rPr>
            <w:rStyle w:val="TextoNormalCaracter"/>
          </w:rPr>
          <w:t>15/2024</w:t>
        </w:r>
      </w:hyperlink>
      <w:r>
        <w:t>, f. 3.</w:t>
      </w:r>
    </w:p>
    <w:p w14:paraId="02A66BB5" w14:textId="457EA08C" w:rsidR="00601EEA" w:rsidRDefault="00601EEA" w:rsidP="00601EEA">
      <w:pPr>
        <w:pStyle w:val="SangriaFrancesaArticulo"/>
      </w:pPr>
    </w:p>
    <w:p w14:paraId="4B45FA3C" w14:textId="77777777" w:rsidR="00601EEA" w:rsidRDefault="00601EEA" w:rsidP="00601EEA">
      <w:pPr>
        <w:pStyle w:val="TextoNormalNegritaCursivandice"/>
        <w:keepNext/>
      </w:pPr>
      <w:r>
        <w:t>Sentencia del Tribunal de Justicia de la Unión Europea de 22 de junio de 2010 (Aziz Melki, asunto C-188/10, y Sélim Abdeli, asunto C-189/10)</w:t>
      </w:r>
    </w:p>
    <w:p w14:paraId="668B67F8" w14:textId="0E78042A" w:rsidR="00601EEA" w:rsidRDefault="00601EEA" w:rsidP="00601EEA">
      <w:pPr>
        <w:pStyle w:val="SangriaFrancesaArticulo"/>
      </w:pPr>
      <w:r w:rsidRPr="00601EEA">
        <w:rPr>
          <w:rStyle w:val="TextoNormalNegritaCaracter"/>
        </w:rPr>
        <w:t>En general.</w:t>
      </w:r>
      <w:r w:rsidRPr="00601EEA">
        <w:rPr>
          <w:rStyle w:val="TextoNormalCaracter"/>
        </w:rPr>
        <w:t>-</w:t>
      </w:r>
      <w:r>
        <w:t xml:space="preserve"> Auto </w:t>
      </w:r>
      <w:hyperlink w:anchor="AUTO_2024_30" w:history="1">
        <w:r w:rsidRPr="00601EEA">
          <w:rPr>
            <w:rStyle w:val="TextoNormalCaracter"/>
          </w:rPr>
          <w:t>30/2024</w:t>
        </w:r>
      </w:hyperlink>
      <w:r>
        <w:t>, f. 3.</w:t>
      </w:r>
    </w:p>
    <w:p w14:paraId="78D80B84" w14:textId="133EAD4F" w:rsidR="00601EEA" w:rsidRDefault="00601EEA" w:rsidP="00601EEA">
      <w:pPr>
        <w:pStyle w:val="SangriaFrancesaArticulo"/>
      </w:pPr>
    </w:p>
    <w:p w14:paraId="0CFEA5EC" w14:textId="77777777" w:rsidR="00601EEA" w:rsidRDefault="00601EEA" w:rsidP="00601EEA">
      <w:pPr>
        <w:pStyle w:val="TextoNormalNegritaCursivandice"/>
        <w:keepNext/>
      </w:pPr>
      <w:r>
        <w:t>Sentencia del Tribunal de Justicia de la Unión Europea de 18 de julio de 2013 (Consiglio nazionale dei geologi c. Autorità garante della concorrenza e del mercato, asunto C-136/12)</w:t>
      </w:r>
    </w:p>
    <w:p w14:paraId="7B1871D3" w14:textId="1030352F" w:rsidR="00601EEA" w:rsidRDefault="00601EEA" w:rsidP="00601EEA">
      <w:pPr>
        <w:pStyle w:val="SangriaFrancesaArticulo"/>
      </w:pPr>
      <w:r w:rsidRPr="00601EEA">
        <w:rPr>
          <w:rStyle w:val="TextoNormalNegritaCaracter"/>
        </w:rPr>
        <w:t>§ 26.</w:t>
      </w:r>
      <w:r w:rsidRPr="00601EEA">
        <w:rPr>
          <w:rStyle w:val="TextoNormalCaracter"/>
        </w:rPr>
        <w:t>-</w:t>
      </w:r>
      <w:r>
        <w:t xml:space="preserve"> Sentencia </w:t>
      </w:r>
      <w:hyperlink w:anchor="SENTENCIA_2024_66" w:history="1">
        <w:r w:rsidRPr="00601EEA">
          <w:rPr>
            <w:rStyle w:val="TextoNormalCaracter"/>
          </w:rPr>
          <w:t>66/2024</w:t>
        </w:r>
      </w:hyperlink>
      <w:r>
        <w:t>, f. 4.</w:t>
      </w:r>
    </w:p>
    <w:p w14:paraId="6AC67AD3" w14:textId="5B62DF2C" w:rsidR="00601EEA" w:rsidRDefault="00601EEA" w:rsidP="00601EEA">
      <w:pPr>
        <w:pStyle w:val="SangriaFrancesaArticulo"/>
      </w:pPr>
    </w:p>
    <w:p w14:paraId="70D10448" w14:textId="77777777" w:rsidR="00601EEA" w:rsidRDefault="00601EEA" w:rsidP="00601EEA">
      <w:pPr>
        <w:pStyle w:val="TextoNormalNegritaCursivandice"/>
        <w:keepNext/>
      </w:pPr>
      <w:r>
        <w:t>Sentencia del Tribunal de Justicia de la Unión Europea de 11 de septiembre de 2014 (A c. B y otros, asunto C-112/13)</w:t>
      </w:r>
    </w:p>
    <w:p w14:paraId="385B75FD" w14:textId="1D715A6C" w:rsidR="00601EEA" w:rsidRDefault="00601EEA" w:rsidP="00601EEA">
      <w:pPr>
        <w:pStyle w:val="SangriaFrancesaArticulo"/>
      </w:pPr>
      <w:r w:rsidRPr="00601EEA">
        <w:rPr>
          <w:rStyle w:val="TextoNormalNegritaCaracter"/>
        </w:rPr>
        <w:t>En general.</w:t>
      </w:r>
      <w:r w:rsidRPr="00601EEA">
        <w:rPr>
          <w:rStyle w:val="TextoNormalCaracter"/>
        </w:rPr>
        <w:t>-</w:t>
      </w:r>
      <w:r>
        <w:t xml:space="preserve"> Auto </w:t>
      </w:r>
      <w:hyperlink w:anchor="AUTO_2024_30" w:history="1">
        <w:r w:rsidRPr="00601EEA">
          <w:rPr>
            <w:rStyle w:val="TextoNormalCaracter"/>
          </w:rPr>
          <w:t>30/2024</w:t>
        </w:r>
      </w:hyperlink>
      <w:r>
        <w:t>, f. 3.</w:t>
      </w:r>
    </w:p>
    <w:p w14:paraId="5A63A5D3" w14:textId="3BDD6AEA" w:rsidR="00601EEA" w:rsidRDefault="00601EEA" w:rsidP="00601EEA">
      <w:pPr>
        <w:pStyle w:val="SangriaFrancesaArticulo"/>
      </w:pPr>
    </w:p>
    <w:p w14:paraId="757EDA00" w14:textId="77777777" w:rsidR="00601EEA" w:rsidRDefault="00601EEA" w:rsidP="00601EEA">
      <w:pPr>
        <w:pStyle w:val="TextoNormalNegritaCursivandice"/>
        <w:keepNext/>
      </w:pPr>
      <w:r>
        <w:t>Sentencia del Tribunal de Justicia de la Unión Europea de 23 de abril de 2015 (Subdelegación del Gobierno en Gipuzkoa - Extranjería c. Samir Zaizoune, asunto C-38/14)</w:t>
      </w:r>
    </w:p>
    <w:p w14:paraId="0DB95DA2" w14:textId="73E6BE62"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49" w:history="1">
        <w:r w:rsidRPr="00601EEA">
          <w:rPr>
            <w:rStyle w:val="TextoNormalCaracter"/>
          </w:rPr>
          <w:t>49/2024</w:t>
        </w:r>
      </w:hyperlink>
      <w:r>
        <w:t>, f. 2.</w:t>
      </w:r>
    </w:p>
    <w:p w14:paraId="686A5CE1" w14:textId="537A1661" w:rsidR="00601EEA" w:rsidRDefault="00601EEA" w:rsidP="00601EEA">
      <w:pPr>
        <w:pStyle w:val="SangriaFrancesaArticulo"/>
      </w:pPr>
    </w:p>
    <w:p w14:paraId="38ABA36F" w14:textId="77777777" w:rsidR="00601EEA" w:rsidRDefault="00601EEA" w:rsidP="00601EEA">
      <w:pPr>
        <w:pStyle w:val="TextoNormalNegritaCursivandice"/>
        <w:keepNext/>
      </w:pPr>
      <w:r>
        <w:t>Sentencia del Tribunal de Justicia de la Unión Europea de 4 de junio de 2015 (Kernkraftwerke Lippe-Ems GmbH c. Hauptzollamt Osnabrück, asunto C-5/14)</w:t>
      </w:r>
    </w:p>
    <w:p w14:paraId="3CBF798A" w14:textId="4DC3DEAD" w:rsidR="00601EEA" w:rsidRDefault="00601EEA" w:rsidP="00601EEA">
      <w:pPr>
        <w:pStyle w:val="SangriaFrancesaArticulo"/>
      </w:pPr>
      <w:r w:rsidRPr="00601EEA">
        <w:rPr>
          <w:rStyle w:val="TextoNormalNegritaCaracter"/>
        </w:rPr>
        <w:t>En general.</w:t>
      </w:r>
      <w:r w:rsidRPr="00601EEA">
        <w:rPr>
          <w:rStyle w:val="TextoNormalCaracter"/>
        </w:rPr>
        <w:t>-</w:t>
      </w:r>
      <w:r>
        <w:t xml:space="preserve"> Auto </w:t>
      </w:r>
      <w:hyperlink w:anchor="AUTO_2024_30" w:history="1">
        <w:r w:rsidRPr="00601EEA">
          <w:rPr>
            <w:rStyle w:val="TextoNormalCaracter"/>
          </w:rPr>
          <w:t>30/2024</w:t>
        </w:r>
      </w:hyperlink>
      <w:r>
        <w:t>, f. 3.</w:t>
      </w:r>
    </w:p>
    <w:p w14:paraId="258803BF" w14:textId="6E0479BF" w:rsidR="00601EEA" w:rsidRDefault="00601EEA" w:rsidP="00601EEA">
      <w:pPr>
        <w:pStyle w:val="SangriaFrancesaArticulo"/>
      </w:pPr>
    </w:p>
    <w:p w14:paraId="14421F65" w14:textId="77777777" w:rsidR="00601EEA" w:rsidRDefault="00601EEA" w:rsidP="00601EEA">
      <w:pPr>
        <w:pStyle w:val="TextoNormalNegritaCursivandice"/>
        <w:keepNext/>
      </w:pPr>
      <w:r>
        <w:t>Sentencia del Tribunal de Justicia de la Unión Europea de 2 de junio de 2016(Dr. Falk Pharma GmbH c. DAK-Gesundheit, asunto C-410/14)</w:t>
      </w:r>
    </w:p>
    <w:p w14:paraId="22BFCFF8" w14:textId="6DBB22FD"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65" w:history="1">
        <w:r w:rsidRPr="00601EEA">
          <w:rPr>
            <w:rStyle w:val="TextoNormalCaracter"/>
          </w:rPr>
          <w:t>65/2024</w:t>
        </w:r>
      </w:hyperlink>
      <w:r>
        <w:t>, f. 2.</w:t>
      </w:r>
    </w:p>
    <w:p w14:paraId="7336B075" w14:textId="141C74F6" w:rsidR="00601EEA" w:rsidRDefault="00601EEA" w:rsidP="00601EEA">
      <w:pPr>
        <w:pStyle w:val="SangriaFrancesaArticulo"/>
      </w:pPr>
    </w:p>
    <w:p w14:paraId="07A94139" w14:textId="77777777" w:rsidR="00601EEA" w:rsidRDefault="00601EEA" w:rsidP="00601EEA">
      <w:pPr>
        <w:pStyle w:val="TextoNormalNegritaCursivandice"/>
        <w:keepNext/>
      </w:pPr>
      <w:r>
        <w:t>Sentencia del Tribunal de Justicia de la Unión Europea de 26 de enero de 2017 (Banco Primus, S.A., c. Jesús Gutiérrez García, asunto C-421/14)</w:t>
      </w:r>
    </w:p>
    <w:p w14:paraId="7C99373C" w14:textId="5D48CF22"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27" w:history="1">
        <w:r w:rsidRPr="00601EEA">
          <w:rPr>
            <w:rStyle w:val="TextoNormalCaracter"/>
          </w:rPr>
          <w:t>27/2024</w:t>
        </w:r>
      </w:hyperlink>
      <w:r>
        <w:t>, ff. 2, 3.</w:t>
      </w:r>
    </w:p>
    <w:p w14:paraId="13D7609A" w14:textId="48A1A73A" w:rsidR="00601EEA" w:rsidRDefault="00601EEA" w:rsidP="00601EEA">
      <w:pPr>
        <w:pStyle w:val="SangriaFrancesaArticulo"/>
      </w:pPr>
    </w:p>
    <w:p w14:paraId="06AF818D" w14:textId="77777777" w:rsidR="00601EEA" w:rsidRDefault="00601EEA" w:rsidP="00601EEA">
      <w:pPr>
        <w:pStyle w:val="TextoNormalNegritaCursivandice"/>
        <w:keepNext/>
      </w:pPr>
      <w:r>
        <w:t>Sentencia del Tribunal de Justicia de la Unión Europea de 15 de marzo de 2017 (Aquino c. Bélgica, asunto C-3/16)</w:t>
      </w:r>
    </w:p>
    <w:p w14:paraId="73DC08D0" w14:textId="74F08CD7" w:rsidR="00601EEA" w:rsidRDefault="00601EEA" w:rsidP="00601EEA">
      <w:pPr>
        <w:pStyle w:val="SangriaFrancesaArticulo"/>
      </w:pPr>
      <w:r w:rsidRPr="00601EEA">
        <w:rPr>
          <w:rStyle w:val="TextoNormalNegritaCaracter"/>
        </w:rPr>
        <w:t>§ 43.</w:t>
      </w:r>
      <w:r w:rsidRPr="00601EEA">
        <w:rPr>
          <w:rStyle w:val="TextoNormalCaracter"/>
        </w:rPr>
        <w:t>-</w:t>
      </w:r>
      <w:r>
        <w:t xml:space="preserve"> Sentencia </w:t>
      </w:r>
      <w:hyperlink w:anchor="SENTENCIA_2024_66" w:history="1">
        <w:r w:rsidRPr="00601EEA">
          <w:rPr>
            <w:rStyle w:val="TextoNormalCaracter"/>
          </w:rPr>
          <w:t>66/2024</w:t>
        </w:r>
      </w:hyperlink>
      <w:r>
        <w:t>, f. 4.</w:t>
      </w:r>
    </w:p>
    <w:p w14:paraId="0AFEC835" w14:textId="6B534070" w:rsidR="00601EEA" w:rsidRDefault="00601EEA" w:rsidP="00601EEA">
      <w:pPr>
        <w:pStyle w:val="SangriaFrancesaArticulo"/>
      </w:pPr>
    </w:p>
    <w:p w14:paraId="33374C35" w14:textId="77777777" w:rsidR="00601EEA" w:rsidRDefault="00601EEA" w:rsidP="00601EEA">
      <w:pPr>
        <w:pStyle w:val="TextoNormalNegritaCursivandice"/>
        <w:keepNext/>
      </w:pPr>
      <w:r>
        <w:lastRenderedPageBreak/>
        <w:t>Sentencia del Tribunal de Justicia de la Unión Europea de 13 de septiembre de 2018 (Profi Credit Polska S.A. w Bielsku Bialej c. Mariusz Wawrzosek, asunto C-176/17)</w:t>
      </w:r>
    </w:p>
    <w:p w14:paraId="44BBD8B1" w14:textId="18CE6696"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54" w:history="1">
        <w:r w:rsidRPr="00601EEA">
          <w:rPr>
            <w:rStyle w:val="TextoNormalCaracter"/>
          </w:rPr>
          <w:t>54/2024</w:t>
        </w:r>
      </w:hyperlink>
      <w:r>
        <w:t>, f. 2.</w:t>
      </w:r>
    </w:p>
    <w:p w14:paraId="432A6DB4" w14:textId="4DBF736C" w:rsidR="00601EEA" w:rsidRDefault="00601EEA" w:rsidP="00601EEA">
      <w:pPr>
        <w:pStyle w:val="SangriaFrancesaArticulo"/>
      </w:pPr>
    </w:p>
    <w:p w14:paraId="7DD63F5B" w14:textId="77777777" w:rsidR="00601EEA" w:rsidRDefault="00601EEA" w:rsidP="00601EEA">
      <w:pPr>
        <w:pStyle w:val="TextoNormalNegritaCursivandice"/>
        <w:keepNext/>
      </w:pPr>
      <w:r>
        <w:t>Sentencia del Tribunal de Justicia de la Unión Europea de 6 de junio de 2019 (P.M. y otros c. Ministerraad, asunto C-264/18)</w:t>
      </w:r>
    </w:p>
    <w:p w14:paraId="1F5B78D9" w14:textId="61842DC7"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65" w:history="1">
        <w:r w:rsidRPr="00601EEA">
          <w:rPr>
            <w:rStyle w:val="TextoNormalCaracter"/>
          </w:rPr>
          <w:t>65/2024</w:t>
        </w:r>
      </w:hyperlink>
      <w:r>
        <w:t>, f. 4.</w:t>
      </w:r>
    </w:p>
    <w:p w14:paraId="0849C412" w14:textId="705D1D30" w:rsidR="00601EEA" w:rsidRDefault="00601EEA" w:rsidP="00601EEA">
      <w:pPr>
        <w:pStyle w:val="SangriaFrancesaArticulo"/>
      </w:pPr>
      <w:r w:rsidRPr="00601EEA">
        <w:rPr>
          <w:rStyle w:val="TextoNormalNegritaCaracter"/>
        </w:rPr>
        <w:t>§ 21.</w:t>
      </w:r>
      <w:r w:rsidRPr="00601EEA">
        <w:rPr>
          <w:rStyle w:val="TextoNormalCaracter"/>
        </w:rPr>
        <w:t>-</w:t>
      </w:r>
      <w:r>
        <w:t xml:space="preserve"> Sentencia </w:t>
      </w:r>
      <w:hyperlink w:anchor="SENTENCIA_2024_65" w:history="1">
        <w:r w:rsidRPr="00601EEA">
          <w:rPr>
            <w:rStyle w:val="TextoNormalCaracter"/>
          </w:rPr>
          <w:t>65/2024</w:t>
        </w:r>
      </w:hyperlink>
      <w:r>
        <w:t>, f. 4.</w:t>
      </w:r>
    </w:p>
    <w:p w14:paraId="08EC9196" w14:textId="7699E096" w:rsidR="00601EEA" w:rsidRDefault="00601EEA" w:rsidP="00601EEA">
      <w:pPr>
        <w:pStyle w:val="SangriaFrancesaArticulo"/>
      </w:pPr>
    </w:p>
    <w:p w14:paraId="7EDC11D3" w14:textId="77777777" w:rsidR="00601EEA" w:rsidRDefault="00601EEA" w:rsidP="00601EEA">
      <w:pPr>
        <w:pStyle w:val="TextoNormalNegritaCursivandice"/>
        <w:keepNext/>
      </w:pPr>
      <w:r>
        <w:t>Sentencia del Tribunal de Justicia de la Unión Europea de 24 de junio de 2019 (Comisión Europea c. República de Polonia, asunto C-619/18)</w:t>
      </w:r>
    </w:p>
    <w:p w14:paraId="0F96A88D" w14:textId="1C084A37"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15" w:history="1">
        <w:r w:rsidRPr="00601EEA">
          <w:rPr>
            <w:rStyle w:val="TextoNormalCaracter"/>
          </w:rPr>
          <w:t>15/2024</w:t>
        </w:r>
      </w:hyperlink>
      <w:r>
        <w:t>, f. 3.</w:t>
      </w:r>
    </w:p>
    <w:p w14:paraId="2641F3E4" w14:textId="2541DFC0" w:rsidR="00601EEA" w:rsidRDefault="00601EEA" w:rsidP="00601EEA">
      <w:pPr>
        <w:pStyle w:val="SangriaFrancesaArticulo"/>
      </w:pPr>
      <w:r w:rsidRPr="00601EEA">
        <w:rPr>
          <w:rStyle w:val="TextoNormalNegritaCaracter"/>
        </w:rPr>
        <w:t>§ 55.</w:t>
      </w:r>
      <w:r w:rsidRPr="00601EEA">
        <w:rPr>
          <w:rStyle w:val="TextoNormalCaracter"/>
        </w:rPr>
        <w:t>-</w:t>
      </w:r>
      <w:r>
        <w:t xml:space="preserve"> Sentencia </w:t>
      </w:r>
      <w:hyperlink w:anchor="SENTENCIA_2024_15" w:history="1">
        <w:r w:rsidRPr="00601EEA">
          <w:rPr>
            <w:rStyle w:val="TextoNormalCaracter"/>
          </w:rPr>
          <w:t>15/2024</w:t>
        </w:r>
      </w:hyperlink>
      <w:r>
        <w:t>, f. 3.</w:t>
      </w:r>
    </w:p>
    <w:p w14:paraId="6578B79B" w14:textId="632890A5" w:rsidR="00601EEA" w:rsidRDefault="00601EEA" w:rsidP="00601EEA">
      <w:pPr>
        <w:pStyle w:val="SangriaFrancesaArticulo"/>
      </w:pPr>
    </w:p>
    <w:p w14:paraId="4C57F394" w14:textId="77777777" w:rsidR="00601EEA" w:rsidRDefault="00601EEA" w:rsidP="00601EEA">
      <w:pPr>
        <w:pStyle w:val="TextoNormalNegritaCursivandice"/>
        <w:keepNext/>
      </w:pPr>
      <w:r>
        <w:t>Sentencia del Tribunal de Justicia de la Unión Europea de 19 de noviembre de 2019 (A.K. c. Krajowa Rada Sadownictwa y CP y DO c. Sad Najwyzszy, asuntos acumulados C-585/18, C-624/18 y C-625/18)</w:t>
      </w:r>
    </w:p>
    <w:p w14:paraId="1151885B" w14:textId="4DC5E709"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15" w:history="1">
        <w:r w:rsidRPr="00601EEA">
          <w:rPr>
            <w:rStyle w:val="TextoNormalCaracter"/>
          </w:rPr>
          <w:t>15/2024</w:t>
        </w:r>
      </w:hyperlink>
      <w:r>
        <w:t>, f. 3.</w:t>
      </w:r>
    </w:p>
    <w:p w14:paraId="6B5CC31F" w14:textId="3AE88795" w:rsidR="00601EEA" w:rsidRDefault="00601EEA" w:rsidP="00601EEA">
      <w:pPr>
        <w:pStyle w:val="SangriaFrancesaArticulo"/>
      </w:pPr>
      <w:r w:rsidRPr="00601EEA">
        <w:rPr>
          <w:rStyle w:val="TextoNormalNegritaCaracter"/>
        </w:rPr>
        <w:t>§ 121.</w:t>
      </w:r>
      <w:r w:rsidRPr="00601EEA">
        <w:rPr>
          <w:rStyle w:val="TextoNormalCaracter"/>
        </w:rPr>
        <w:t>-</w:t>
      </w:r>
      <w:r>
        <w:t xml:space="preserve"> Sentencia </w:t>
      </w:r>
      <w:hyperlink w:anchor="SENTENCIA_2024_15" w:history="1">
        <w:r w:rsidRPr="00601EEA">
          <w:rPr>
            <w:rStyle w:val="TextoNormalCaracter"/>
          </w:rPr>
          <w:t>15/2024</w:t>
        </w:r>
      </w:hyperlink>
      <w:r>
        <w:t>, f. 3.</w:t>
      </w:r>
    </w:p>
    <w:p w14:paraId="4A3406A3" w14:textId="1EF0243F" w:rsidR="00601EEA" w:rsidRDefault="00601EEA" w:rsidP="00601EEA">
      <w:pPr>
        <w:pStyle w:val="SangriaFrancesaArticulo"/>
      </w:pPr>
      <w:r w:rsidRPr="00601EEA">
        <w:rPr>
          <w:rStyle w:val="TextoNormalNegritaCaracter"/>
        </w:rPr>
        <w:t>§ 137.</w:t>
      </w:r>
      <w:r w:rsidRPr="00601EEA">
        <w:rPr>
          <w:rStyle w:val="TextoNormalCaracter"/>
        </w:rPr>
        <w:t>-</w:t>
      </w:r>
      <w:r>
        <w:t xml:space="preserve"> Sentencia </w:t>
      </w:r>
      <w:hyperlink w:anchor="SENTENCIA_2024_15" w:history="1">
        <w:r w:rsidRPr="00601EEA">
          <w:rPr>
            <w:rStyle w:val="TextoNormalCaracter"/>
          </w:rPr>
          <w:t>15/2024</w:t>
        </w:r>
      </w:hyperlink>
      <w:r>
        <w:t>, f. 3.</w:t>
      </w:r>
    </w:p>
    <w:p w14:paraId="45418A05" w14:textId="60D219F0" w:rsidR="00601EEA" w:rsidRDefault="00601EEA" w:rsidP="00601EEA">
      <w:pPr>
        <w:pStyle w:val="SangriaFrancesaArticulo"/>
      </w:pPr>
      <w:r w:rsidRPr="00601EEA">
        <w:rPr>
          <w:rStyle w:val="TextoNormalNegritaCaracter"/>
        </w:rPr>
        <w:t>§ 138.</w:t>
      </w:r>
      <w:r w:rsidRPr="00601EEA">
        <w:rPr>
          <w:rStyle w:val="TextoNormalCaracter"/>
        </w:rPr>
        <w:t>-</w:t>
      </w:r>
      <w:r>
        <w:t xml:space="preserve"> Sentencia </w:t>
      </w:r>
      <w:hyperlink w:anchor="SENTENCIA_2024_15" w:history="1">
        <w:r w:rsidRPr="00601EEA">
          <w:rPr>
            <w:rStyle w:val="TextoNormalCaracter"/>
          </w:rPr>
          <w:t>15/2024</w:t>
        </w:r>
      </w:hyperlink>
      <w:r>
        <w:t>, f. 3.</w:t>
      </w:r>
    </w:p>
    <w:p w14:paraId="2FCE18C1" w14:textId="10987EB4" w:rsidR="00601EEA" w:rsidRDefault="00601EEA" w:rsidP="00601EEA">
      <w:pPr>
        <w:pStyle w:val="SangriaFrancesaArticulo"/>
      </w:pPr>
    </w:p>
    <w:p w14:paraId="512A78CA" w14:textId="77777777" w:rsidR="00601EEA" w:rsidRDefault="00601EEA" w:rsidP="00601EEA">
      <w:pPr>
        <w:pStyle w:val="TextoNormalNegritaCursivandice"/>
        <w:keepNext/>
      </w:pPr>
      <w:r>
        <w:t>Sentencia del Tribunal de Justicia de la Unión Europea de 12 de diciembre de 2019 [WA c. Instituto Nacional de la Seguridad Social (INSS), asunto C-450/18]</w:t>
      </w:r>
    </w:p>
    <w:p w14:paraId="19FC7355" w14:textId="0D0BC341" w:rsidR="00601EEA" w:rsidRDefault="00601EEA" w:rsidP="00601EEA">
      <w:pPr>
        <w:pStyle w:val="SangriaFrancesaArticulo"/>
      </w:pPr>
      <w:r w:rsidRPr="00601EEA">
        <w:rPr>
          <w:rStyle w:val="TextoNormalNegritaCaracter"/>
        </w:rPr>
        <w:t>En general.</w:t>
      </w:r>
      <w:r w:rsidRPr="00601EEA">
        <w:rPr>
          <w:rStyle w:val="TextoNormalCaracter"/>
        </w:rPr>
        <w:t>-</w:t>
      </w:r>
      <w:r>
        <w:t xml:space="preserve"> Auto </w:t>
      </w:r>
      <w:hyperlink w:anchor="AUTO_2024_30" w:history="1">
        <w:r w:rsidRPr="00601EEA">
          <w:rPr>
            <w:rStyle w:val="TextoNormalCaracter"/>
          </w:rPr>
          <w:t>30/2024</w:t>
        </w:r>
      </w:hyperlink>
      <w:r>
        <w:t>, ff. 1, 3, 4.</w:t>
      </w:r>
    </w:p>
    <w:p w14:paraId="0096F15C" w14:textId="39B6197C" w:rsidR="00601EEA" w:rsidRDefault="00601EEA" w:rsidP="00601EEA">
      <w:pPr>
        <w:pStyle w:val="SangriaFrancesaArticulo"/>
      </w:pPr>
    </w:p>
    <w:p w14:paraId="34CB1355" w14:textId="77777777" w:rsidR="00601EEA" w:rsidRDefault="00601EEA" w:rsidP="00601EEA">
      <w:pPr>
        <w:pStyle w:val="TextoNormalNegritaCursivandice"/>
        <w:keepNext/>
      </w:pPr>
      <w:r>
        <w:t>Sentencia del Tribunal de Justicia de la Unión Europea de 19 de diciembre de 2019 (Junqueras Vies, asunto C-502/19)</w:t>
      </w:r>
    </w:p>
    <w:p w14:paraId="446CD5C3" w14:textId="3BF42A9E" w:rsidR="00601EEA" w:rsidRDefault="00601EEA" w:rsidP="00601EEA">
      <w:pPr>
        <w:pStyle w:val="SangriaFrancesaArticulo"/>
      </w:pPr>
      <w:r w:rsidRPr="00601EEA">
        <w:rPr>
          <w:rStyle w:val="TextoNormalNegritaCaracter"/>
        </w:rPr>
        <w:t>Fallo.</w:t>
      </w:r>
      <w:r w:rsidRPr="00601EEA">
        <w:rPr>
          <w:rStyle w:val="TextoNormalCaracter"/>
        </w:rPr>
        <w:t>-</w:t>
      </w:r>
      <w:r>
        <w:t xml:space="preserve"> Sentencia </w:t>
      </w:r>
      <w:hyperlink w:anchor="SENTENCIA_2024_66" w:history="1">
        <w:r w:rsidRPr="00601EEA">
          <w:rPr>
            <w:rStyle w:val="TextoNormalCaracter"/>
          </w:rPr>
          <w:t>66/2024</w:t>
        </w:r>
      </w:hyperlink>
      <w:r>
        <w:t>, f. 4.</w:t>
      </w:r>
    </w:p>
    <w:p w14:paraId="7780E798" w14:textId="1A758BA9"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Sentencias </w:t>
      </w:r>
      <w:hyperlink w:anchor="SENTENCIA_2024_31" w:history="1">
        <w:r w:rsidRPr="00601EEA">
          <w:rPr>
            <w:rStyle w:val="TextoNormalCaracter"/>
          </w:rPr>
          <w:t>31/2024</w:t>
        </w:r>
      </w:hyperlink>
      <w:r>
        <w:t xml:space="preserve">, f. único; </w:t>
      </w:r>
      <w:hyperlink w:anchor="SENTENCIA_2024_45" w:history="1">
        <w:r w:rsidRPr="00601EEA">
          <w:rPr>
            <w:rStyle w:val="TextoNormalCaracter"/>
          </w:rPr>
          <w:t>45/2024</w:t>
        </w:r>
      </w:hyperlink>
      <w:r>
        <w:t xml:space="preserve">, f. 2; </w:t>
      </w:r>
      <w:hyperlink w:anchor="SENTENCIA_2024_66" w:history="1">
        <w:r w:rsidRPr="00601EEA">
          <w:rPr>
            <w:rStyle w:val="TextoNormalCaracter"/>
          </w:rPr>
          <w:t>66/2024</w:t>
        </w:r>
      </w:hyperlink>
      <w:r>
        <w:t>, ff. 4, 5.</w:t>
      </w:r>
    </w:p>
    <w:p w14:paraId="0300191B" w14:textId="74AD862B" w:rsidR="00601EEA" w:rsidRDefault="00601EEA" w:rsidP="00601EEA">
      <w:pPr>
        <w:pStyle w:val="SangriaFrancesaArticulo"/>
      </w:pPr>
      <w:r w:rsidRPr="00601EEA">
        <w:rPr>
          <w:rStyle w:val="TextoNormalNegritaCaracter"/>
        </w:rPr>
        <w:t>§ 89 a 91.</w:t>
      </w:r>
      <w:r w:rsidRPr="00601EEA">
        <w:rPr>
          <w:rStyle w:val="TextoNormalCaracter"/>
        </w:rPr>
        <w:t>-</w:t>
      </w:r>
      <w:r>
        <w:t xml:space="preserve"> Sentencia </w:t>
      </w:r>
      <w:hyperlink w:anchor="SENTENCIA_2024_66" w:history="1">
        <w:r w:rsidRPr="00601EEA">
          <w:rPr>
            <w:rStyle w:val="TextoNormalCaracter"/>
          </w:rPr>
          <w:t>66/2024</w:t>
        </w:r>
      </w:hyperlink>
      <w:r>
        <w:t>, f. 4.</w:t>
      </w:r>
    </w:p>
    <w:p w14:paraId="6204B413" w14:textId="697D3250" w:rsidR="00601EEA" w:rsidRDefault="00601EEA" w:rsidP="00601EEA">
      <w:pPr>
        <w:pStyle w:val="SangriaFrancesaArticulo"/>
      </w:pPr>
    </w:p>
    <w:p w14:paraId="64A97C8B" w14:textId="77777777" w:rsidR="00601EEA" w:rsidRDefault="00601EEA" w:rsidP="00601EEA">
      <w:pPr>
        <w:pStyle w:val="TextoNormalNegritaCursivandice"/>
        <w:keepNext/>
      </w:pPr>
      <w:r>
        <w:t>Sentencia del Tribunal de Justicia de la Unión Europea de 16 de julio de 2020 (CY c. Caixabank, S.A. y LG y PK c. Banco Bilbao Vizcaya Argentaria, S.A., asuntos acumulados C-224/19 y C-259/19)</w:t>
      </w:r>
    </w:p>
    <w:p w14:paraId="6868A11F" w14:textId="5C7526C3"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54" w:history="1">
        <w:r w:rsidRPr="00601EEA">
          <w:rPr>
            <w:rStyle w:val="TextoNormalCaracter"/>
          </w:rPr>
          <w:t>54/2024</w:t>
        </w:r>
      </w:hyperlink>
      <w:r>
        <w:t>, ff. 2, 3.</w:t>
      </w:r>
    </w:p>
    <w:p w14:paraId="24C53B89" w14:textId="3D89BEC7" w:rsidR="00601EEA" w:rsidRDefault="00601EEA" w:rsidP="00601EEA">
      <w:pPr>
        <w:pStyle w:val="SangriaFrancesaArticulo"/>
      </w:pPr>
    </w:p>
    <w:p w14:paraId="2C5DF7E3" w14:textId="77777777" w:rsidR="00601EEA" w:rsidRDefault="00601EEA" w:rsidP="00601EEA">
      <w:pPr>
        <w:pStyle w:val="TextoNormalNegritaCursivandice"/>
        <w:keepNext/>
      </w:pPr>
      <w:r>
        <w:t>Sentencia del Tribunal de Justicia de la Unión Europea de 8 de octubre de 2020 (MO c. Subdelegación del Gobierno en Toledo, asunto C-568/19)</w:t>
      </w:r>
    </w:p>
    <w:p w14:paraId="3F264CF8" w14:textId="5BADC54C"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49" w:history="1">
        <w:r w:rsidRPr="00601EEA">
          <w:rPr>
            <w:rStyle w:val="TextoNormalCaracter"/>
          </w:rPr>
          <w:t>49/2024</w:t>
        </w:r>
      </w:hyperlink>
      <w:r>
        <w:t>, f. 2.</w:t>
      </w:r>
    </w:p>
    <w:p w14:paraId="1FA2D18F" w14:textId="1978822A" w:rsidR="00601EEA" w:rsidRDefault="00601EEA" w:rsidP="00601EEA">
      <w:pPr>
        <w:pStyle w:val="SangriaFrancesaArticulo"/>
      </w:pPr>
    </w:p>
    <w:p w14:paraId="56FD8672" w14:textId="77777777" w:rsidR="00601EEA" w:rsidRDefault="00601EEA" w:rsidP="00601EEA">
      <w:pPr>
        <w:pStyle w:val="TextoNormalNegritaCursivandice"/>
        <w:keepNext/>
      </w:pPr>
      <w:r>
        <w:t>Auto del Tribunal General de la Unión Europea de 15 de diciembre de 2020 (Junqueras i Vies c. Parlamento Europeo, asunto T-24/20)</w:t>
      </w:r>
    </w:p>
    <w:p w14:paraId="29B0D23C" w14:textId="1C065D90"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66" w:history="1">
        <w:r w:rsidRPr="00601EEA">
          <w:rPr>
            <w:rStyle w:val="TextoNormalCaracter"/>
          </w:rPr>
          <w:t>66/2024</w:t>
        </w:r>
      </w:hyperlink>
      <w:r>
        <w:t>, f. 4.</w:t>
      </w:r>
    </w:p>
    <w:p w14:paraId="34CB4415" w14:textId="4E738467" w:rsidR="00601EEA" w:rsidRDefault="00601EEA" w:rsidP="00601EEA">
      <w:pPr>
        <w:pStyle w:val="SangriaFrancesaArticulo"/>
      </w:pPr>
      <w:r w:rsidRPr="00601EEA">
        <w:rPr>
          <w:rStyle w:val="TextoNormalNegritaCaracter"/>
        </w:rPr>
        <w:t>§ 59.</w:t>
      </w:r>
      <w:r w:rsidRPr="00601EEA">
        <w:rPr>
          <w:rStyle w:val="TextoNormalCaracter"/>
        </w:rPr>
        <w:t>-</w:t>
      </w:r>
      <w:r>
        <w:t xml:space="preserve"> Sentencia </w:t>
      </w:r>
      <w:hyperlink w:anchor="SENTENCIA_2024_66" w:history="1">
        <w:r w:rsidRPr="00601EEA">
          <w:rPr>
            <w:rStyle w:val="TextoNormalCaracter"/>
          </w:rPr>
          <w:t>66/2024</w:t>
        </w:r>
      </w:hyperlink>
      <w:r>
        <w:t>, f. 4.</w:t>
      </w:r>
    </w:p>
    <w:p w14:paraId="381D0A0A" w14:textId="03B6D3D8" w:rsidR="00601EEA" w:rsidRDefault="00601EEA" w:rsidP="00601EEA">
      <w:pPr>
        <w:pStyle w:val="SangriaFrancesaArticulo"/>
      </w:pPr>
      <w:r w:rsidRPr="00601EEA">
        <w:rPr>
          <w:rStyle w:val="TextoNormalNegritaCaracter"/>
        </w:rPr>
        <w:lastRenderedPageBreak/>
        <w:t>§ 60.</w:t>
      </w:r>
      <w:r w:rsidRPr="00601EEA">
        <w:rPr>
          <w:rStyle w:val="TextoNormalCaracter"/>
        </w:rPr>
        <w:t>-</w:t>
      </w:r>
      <w:r>
        <w:t xml:space="preserve"> Sentencia </w:t>
      </w:r>
      <w:hyperlink w:anchor="SENTENCIA_2024_66" w:history="1">
        <w:r w:rsidRPr="00601EEA">
          <w:rPr>
            <w:rStyle w:val="TextoNormalCaracter"/>
          </w:rPr>
          <w:t>66/2024</w:t>
        </w:r>
      </w:hyperlink>
      <w:r>
        <w:t>, f. 4.</w:t>
      </w:r>
    </w:p>
    <w:p w14:paraId="2B3008C6" w14:textId="663CAEA4" w:rsidR="00601EEA" w:rsidRDefault="00601EEA" w:rsidP="00601EEA">
      <w:pPr>
        <w:pStyle w:val="SangriaFrancesaArticulo"/>
      </w:pPr>
      <w:r w:rsidRPr="00601EEA">
        <w:rPr>
          <w:rStyle w:val="TextoNormalNegritaCaracter"/>
        </w:rPr>
        <w:t>§ 70.</w:t>
      </w:r>
      <w:r w:rsidRPr="00601EEA">
        <w:rPr>
          <w:rStyle w:val="TextoNormalCaracter"/>
        </w:rPr>
        <w:t>-</w:t>
      </w:r>
      <w:r>
        <w:t xml:space="preserve"> Sentencia </w:t>
      </w:r>
      <w:hyperlink w:anchor="SENTENCIA_2024_66" w:history="1">
        <w:r w:rsidRPr="00601EEA">
          <w:rPr>
            <w:rStyle w:val="TextoNormalCaracter"/>
          </w:rPr>
          <w:t>66/2024</w:t>
        </w:r>
      </w:hyperlink>
      <w:r>
        <w:t>, f. 4.</w:t>
      </w:r>
    </w:p>
    <w:p w14:paraId="7AA881C2" w14:textId="2D86E5F1" w:rsidR="00601EEA" w:rsidRDefault="00601EEA" w:rsidP="00601EEA">
      <w:pPr>
        <w:pStyle w:val="SangriaFrancesaArticulo"/>
      </w:pPr>
    </w:p>
    <w:p w14:paraId="755428F2" w14:textId="77777777" w:rsidR="00601EEA" w:rsidRDefault="00601EEA" w:rsidP="00601EEA">
      <w:pPr>
        <w:pStyle w:val="TextoNormalNegritaCursivandice"/>
        <w:keepNext/>
      </w:pPr>
      <w:r>
        <w:t>Sentencia del Tribunal de Justicia de la Unión Europea de 2 de marzo de 2021 (A.B. y otros c. Krajowa Rada Sadownictwa y otros, asunto C-824/18)</w:t>
      </w:r>
    </w:p>
    <w:p w14:paraId="180A600B" w14:textId="073C3645"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15" w:history="1">
        <w:r w:rsidRPr="00601EEA">
          <w:rPr>
            <w:rStyle w:val="TextoNormalCaracter"/>
          </w:rPr>
          <w:t>15/2024</w:t>
        </w:r>
      </w:hyperlink>
      <w:r>
        <w:t>, f. 3.</w:t>
      </w:r>
    </w:p>
    <w:p w14:paraId="4B7BEC11" w14:textId="7D4EAB7D" w:rsidR="00601EEA" w:rsidRDefault="00601EEA" w:rsidP="00601EEA">
      <w:pPr>
        <w:pStyle w:val="SangriaFrancesaArticulo"/>
      </w:pPr>
      <w:r w:rsidRPr="00601EEA">
        <w:rPr>
          <w:rStyle w:val="TextoNormalNegritaCaracter"/>
        </w:rPr>
        <w:t>§ 68.</w:t>
      </w:r>
      <w:r w:rsidRPr="00601EEA">
        <w:rPr>
          <w:rStyle w:val="TextoNormalCaracter"/>
        </w:rPr>
        <w:t>-</w:t>
      </w:r>
      <w:r>
        <w:t xml:space="preserve"> Sentencia </w:t>
      </w:r>
      <w:hyperlink w:anchor="SENTENCIA_2024_15" w:history="1">
        <w:r w:rsidRPr="00601EEA">
          <w:rPr>
            <w:rStyle w:val="TextoNormalCaracter"/>
          </w:rPr>
          <w:t>15/2024</w:t>
        </w:r>
      </w:hyperlink>
      <w:r>
        <w:t>, f. 3.</w:t>
      </w:r>
    </w:p>
    <w:p w14:paraId="491DF9CF" w14:textId="1E0546DA" w:rsidR="00601EEA" w:rsidRDefault="00601EEA" w:rsidP="00601EEA">
      <w:pPr>
        <w:pStyle w:val="SangriaFrancesaArticulo"/>
      </w:pPr>
    </w:p>
    <w:p w14:paraId="4FDDEFE5" w14:textId="77777777" w:rsidR="00601EEA" w:rsidRDefault="00601EEA" w:rsidP="00601EEA">
      <w:pPr>
        <w:pStyle w:val="TextoNormalNegritaCursivandice"/>
        <w:keepNext/>
      </w:pPr>
      <w:r>
        <w:t>Sentencia del Tribunal de Justicia de la Unión Europea de 20 de abril de 2021 (Repubblika c. Il-Prim Ministru, asunto C-896/19)</w:t>
      </w:r>
    </w:p>
    <w:p w14:paraId="31D815A0" w14:textId="2D851B61" w:rsidR="00601EEA" w:rsidRDefault="00601EEA" w:rsidP="00601EEA">
      <w:pPr>
        <w:pStyle w:val="SangriaFrancesaArticulo"/>
      </w:pPr>
      <w:r w:rsidRPr="00601EEA">
        <w:rPr>
          <w:rStyle w:val="TextoNormalNegritaCaracter"/>
        </w:rPr>
        <w:t>§ 51.</w:t>
      </w:r>
      <w:r w:rsidRPr="00601EEA">
        <w:rPr>
          <w:rStyle w:val="TextoNormalCaracter"/>
        </w:rPr>
        <w:t>-</w:t>
      </w:r>
      <w:r>
        <w:t xml:space="preserve"> Sentencia </w:t>
      </w:r>
      <w:hyperlink w:anchor="SENTENCIA_2024_15" w:history="1">
        <w:r w:rsidRPr="00601EEA">
          <w:rPr>
            <w:rStyle w:val="TextoNormalCaracter"/>
          </w:rPr>
          <w:t>15/2024</w:t>
        </w:r>
      </w:hyperlink>
      <w:r>
        <w:t>, f. 3.</w:t>
      </w:r>
    </w:p>
    <w:p w14:paraId="2CD36159" w14:textId="42AC9D19" w:rsidR="00601EEA" w:rsidRDefault="00601EEA" w:rsidP="00601EEA">
      <w:pPr>
        <w:pStyle w:val="SangriaFrancesaArticulo"/>
      </w:pPr>
      <w:r w:rsidRPr="00601EEA">
        <w:rPr>
          <w:rStyle w:val="TextoNormalNegritaCaracter"/>
        </w:rPr>
        <w:t>§ 64.</w:t>
      </w:r>
      <w:r w:rsidRPr="00601EEA">
        <w:rPr>
          <w:rStyle w:val="TextoNormalCaracter"/>
        </w:rPr>
        <w:t>-</w:t>
      </w:r>
      <w:r>
        <w:t xml:space="preserve"> Sentencia </w:t>
      </w:r>
      <w:hyperlink w:anchor="SENTENCIA_2024_15" w:history="1">
        <w:r w:rsidRPr="00601EEA">
          <w:rPr>
            <w:rStyle w:val="TextoNormalCaracter"/>
          </w:rPr>
          <w:t>15/2024</w:t>
        </w:r>
      </w:hyperlink>
      <w:r>
        <w:t>, f. 3.</w:t>
      </w:r>
    </w:p>
    <w:p w14:paraId="2CC6F3B2" w14:textId="677FCC74" w:rsidR="00601EEA" w:rsidRDefault="00601EEA" w:rsidP="00601EEA">
      <w:pPr>
        <w:pStyle w:val="SangriaFrancesaArticulo"/>
      </w:pPr>
    </w:p>
    <w:p w14:paraId="56BAAE1E" w14:textId="77777777" w:rsidR="00601EEA" w:rsidRDefault="00601EEA" w:rsidP="00601EEA">
      <w:pPr>
        <w:pStyle w:val="TextoNormalNegritaCursivandice"/>
        <w:keepNext/>
      </w:pPr>
      <w:r>
        <w:t>Sentencia del Tribunal de Justicia de la Unión Europea de 18 de mayo de 2021 (Asociatia “Forumul Judecatorilor din România”, asuntos acumulados C-83/19, C-127/19, C-195/19, C-291/19, C-355/19 y C-397/19)</w:t>
      </w:r>
    </w:p>
    <w:p w14:paraId="72C60075" w14:textId="4B288464" w:rsidR="00601EEA" w:rsidRDefault="00601EEA" w:rsidP="00601EEA">
      <w:pPr>
        <w:pStyle w:val="SangriaFrancesaArticulo"/>
      </w:pPr>
      <w:r w:rsidRPr="00601EEA">
        <w:rPr>
          <w:rStyle w:val="TextoNormalNegritaCaracter"/>
        </w:rPr>
        <w:t>§ 225 y siguientes.</w:t>
      </w:r>
      <w:r w:rsidRPr="00601EEA">
        <w:rPr>
          <w:rStyle w:val="TextoNormalCaracter"/>
        </w:rPr>
        <w:t>-</w:t>
      </w:r>
      <w:r>
        <w:t xml:space="preserve"> Sentencia </w:t>
      </w:r>
      <w:hyperlink w:anchor="SENTENCIA_2024_61" w:history="1">
        <w:r w:rsidRPr="00601EEA">
          <w:rPr>
            <w:rStyle w:val="TextoNormalCaracter"/>
          </w:rPr>
          <w:t>61/2024</w:t>
        </w:r>
      </w:hyperlink>
      <w:r>
        <w:t>, VP.</w:t>
      </w:r>
    </w:p>
    <w:p w14:paraId="4E54FE1D" w14:textId="588EA111" w:rsidR="00601EEA" w:rsidRDefault="00601EEA" w:rsidP="00601EEA">
      <w:pPr>
        <w:pStyle w:val="SangriaFrancesaArticulo"/>
      </w:pPr>
    </w:p>
    <w:p w14:paraId="628EDFA0" w14:textId="77777777" w:rsidR="00601EEA" w:rsidRDefault="00601EEA" w:rsidP="00601EEA">
      <w:pPr>
        <w:pStyle w:val="TextoNormalNegritaCursivandice"/>
        <w:keepNext/>
      </w:pPr>
      <w:r>
        <w:t>Sentencia del Tribunal de Justicia de la Unión Europea de 6 de octubre de 2021 (Consorzio Italian Management y Catania Multiservizi SpA c. Rete Ferroviaria Italiana SpA, asunto C-561/19)</w:t>
      </w:r>
    </w:p>
    <w:p w14:paraId="6E6ED8D6" w14:textId="20FCB717"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66" w:history="1">
        <w:r w:rsidRPr="00601EEA">
          <w:rPr>
            <w:rStyle w:val="TextoNormalCaracter"/>
          </w:rPr>
          <w:t>66/2024</w:t>
        </w:r>
      </w:hyperlink>
      <w:r>
        <w:t>, f. 4.</w:t>
      </w:r>
    </w:p>
    <w:p w14:paraId="5A3F531D" w14:textId="2C1BFE53" w:rsidR="00601EEA" w:rsidRDefault="00601EEA" w:rsidP="00601EEA">
      <w:pPr>
        <w:pStyle w:val="SangriaFrancesaArticulo"/>
      </w:pPr>
      <w:r w:rsidRPr="00601EEA">
        <w:rPr>
          <w:rStyle w:val="TextoNormalNegritaCaracter"/>
        </w:rPr>
        <w:t>§ 33.</w:t>
      </w:r>
      <w:r w:rsidRPr="00601EEA">
        <w:rPr>
          <w:rStyle w:val="TextoNormalCaracter"/>
        </w:rPr>
        <w:t>-</w:t>
      </w:r>
      <w:r>
        <w:t xml:space="preserve"> Sentencia </w:t>
      </w:r>
      <w:hyperlink w:anchor="SENTENCIA_2024_66" w:history="1">
        <w:r w:rsidRPr="00601EEA">
          <w:rPr>
            <w:rStyle w:val="TextoNormalCaracter"/>
          </w:rPr>
          <w:t>66/2024</w:t>
        </w:r>
      </w:hyperlink>
      <w:r>
        <w:t>, f. 4.</w:t>
      </w:r>
    </w:p>
    <w:p w14:paraId="7FFB8AF4" w14:textId="2C54B1BD" w:rsidR="00601EEA" w:rsidRDefault="00601EEA" w:rsidP="00601EEA">
      <w:pPr>
        <w:pStyle w:val="SangriaFrancesaArticulo"/>
      </w:pPr>
      <w:r w:rsidRPr="00601EEA">
        <w:rPr>
          <w:rStyle w:val="TextoNormalNegritaCaracter"/>
        </w:rPr>
        <w:t>§ 34.</w:t>
      </w:r>
      <w:r w:rsidRPr="00601EEA">
        <w:rPr>
          <w:rStyle w:val="TextoNormalCaracter"/>
        </w:rPr>
        <w:t>-</w:t>
      </w:r>
      <w:r>
        <w:t xml:space="preserve"> Sentencia </w:t>
      </w:r>
      <w:hyperlink w:anchor="SENTENCIA_2024_66" w:history="1">
        <w:r w:rsidRPr="00601EEA">
          <w:rPr>
            <w:rStyle w:val="TextoNormalCaracter"/>
          </w:rPr>
          <w:t>66/2024</w:t>
        </w:r>
      </w:hyperlink>
      <w:r>
        <w:t>, f. 4.</w:t>
      </w:r>
    </w:p>
    <w:p w14:paraId="2C83D4BF" w14:textId="41A80D6C" w:rsidR="00601EEA" w:rsidRDefault="00601EEA" w:rsidP="00601EEA">
      <w:pPr>
        <w:pStyle w:val="SangriaFrancesaArticulo"/>
      </w:pPr>
      <w:r w:rsidRPr="00601EEA">
        <w:rPr>
          <w:rStyle w:val="TextoNormalNegritaCaracter"/>
        </w:rPr>
        <w:t>§ 51.</w:t>
      </w:r>
      <w:r w:rsidRPr="00601EEA">
        <w:rPr>
          <w:rStyle w:val="TextoNormalCaracter"/>
        </w:rPr>
        <w:t>-</w:t>
      </w:r>
      <w:r>
        <w:t xml:space="preserve"> Sentencia </w:t>
      </w:r>
      <w:hyperlink w:anchor="SENTENCIA_2024_66" w:history="1">
        <w:r w:rsidRPr="00601EEA">
          <w:rPr>
            <w:rStyle w:val="TextoNormalCaracter"/>
          </w:rPr>
          <w:t>66/2024</w:t>
        </w:r>
      </w:hyperlink>
      <w:r>
        <w:t>, f. 4.</w:t>
      </w:r>
    </w:p>
    <w:p w14:paraId="442C4DC9" w14:textId="7F65DA3A" w:rsidR="00601EEA" w:rsidRDefault="00601EEA" w:rsidP="00601EEA">
      <w:pPr>
        <w:pStyle w:val="SangriaFrancesaArticulo"/>
      </w:pPr>
      <w:r w:rsidRPr="00601EEA">
        <w:rPr>
          <w:rStyle w:val="TextoNormalNegritaCaracter"/>
        </w:rPr>
        <w:t>§ 66.</w:t>
      </w:r>
      <w:r w:rsidRPr="00601EEA">
        <w:rPr>
          <w:rStyle w:val="TextoNormalCaracter"/>
        </w:rPr>
        <w:t>-</w:t>
      </w:r>
      <w:r>
        <w:t xml:space="preserve"> Sentencia </w:t>
      </w:r>
      <w:hyperlink w:anchor="SENTENCIA_2024_66" w:history="1">
        <w:r w:rsidRPr="00601EEA">
          <w:rPr>
            <w:rStyle w:val="TextoNormalCaracter"/>
          </w:rPr>
          <w:t>66/2024</w:t>
        </w:r>
      </w:hyperlink>
      <w:r>
        <w:t>, f. 4.</w:t>
      </w:r>
    </w:p>
    <w:p w14:paraId="07ACCC76" w14:textId="24F4B11A" w:rsidR="00601EEA" w:rsidRDefault="00601EEA" w:rsidP="00601EEA">
      <w:pPr>
        <w:pStyle w:val="SangriaFrancesaArticulo"/>
      </w:pPr>
      <w:r w:rsidRPr="00601EEA">
        <w:rPr>
          <w:rStyle w:val="TextoNormalNegritaCaracter"/>
        </w:rPr>
        <w:t>Fallo.</w:t>
      </w:r>
      <w:r w:rsidRPr="00601EEA">
        <w:rPr>
          <w:rStyle w:val="TextoNormalCaracter"/>
        </w:rPr>
        <w:t>-</w:t>
      </w:r>
      <w:r>
        <w:t xml:space="preserve"> Sentencia </w:t>
      </w:r>
      <w:hyperlink w:anchor="SENTENCIA_2024_66" w:history="1">
        <w:r w:rsidRPr="00601EEA">
          <w:rPr>
            <w:rStyle w:val="TextoNormalCaracter"/>
          </w:rPr>
          <w:t>66/2024</w:t>
        </w:r>
      </w:hyperlink>
      <w:r>
        <w:t>, f. 4.</w:t>
      </w:r>
    </w:p>
    <w:p w14:paraId="071D9DB8" w14:textId="1638449C" w:rsidR="00601EEA" w:rsidRDefault="00601EEA" w:rsidP="00601EEA">
      <w:pPr>
        <w:pStyle w:val="SangriaFrancesaArticulo"/>
      </w:pPr>
    </w:p>
    <w:p w14:paraId="20E9E532" w14:textId="77777777" w:rsidR="00601EEA" w:rsidRDefault="00601EEA" w:rsidP="00601EEA">
      <w:pPr>
        <w:pStyle w:val="TextoNormalNegritaCursivandice"/>
        <w:keepNext/>
      </w:pPr>
      <w:r>
        <w:t>Sentencia del Tribunal de Justicia de la Unión Europea de 21 de diciembre de 2021 (Euro Box Promotion y otros, asuntos acumulados C-357/19, C-379/19, C-547/19, C-811/19 y C-840/19)</w:t>
      </w:r>
    </w:p>
    <w:p w14:paraId="672ECABC" w14:textId="3FC09831" w:rsidR="00601EEA" w:rsidRDefault="00601EEA" w:rsidP="00601EEA">
      <w:pPr>
        <w:pStyle w:val="SangriaFrancesaArticulo"/>
      </w:pPr>
      <w:r w:rsidRPr="00601EEA">
        <w:rPr>
          <w:rStyle w:val="TextoNormalNegritaCaracter"/>
        </w:rPr>
        <w:t>§ 184-187.</w:t>
      </w:r>
      <w:r w:rsidRPr="00601EEA">
        <w:rPr>
          <w:rStyle w:val="TextoNormalCaracter"/>
        </w:rPr>
        <w:t>-</w:t>
      </w:r>
      <w:r>
        <w:t xml:space="preserve"> Sentencia </w:t>
      </w:r>
      <w:hyperlink w:anchor="SENTENCIA_2024_93" w:history="1">
        <w:r w:rsidRPr="00601EEA">
          <w:rPr>
            <w:rStyle w:val="TextoNormalCaracter"/>
          </w:rPr>
          <w:t>93/2024</w:t>
        </w:r>
      </w:hyperlink>
      <w:r>
        <w:t>, VP II.</w:t>
      </w:r>
    </w:p>
    <w:p w14:paraId="28FB2A2A" w14:textId="17182C3E" w:rsidR="00601EEA" w:rsidRDefault="00601EEA" w:rsidP="00601EEA">
      <w:pPr>
        <w:pStyle w:val="SangriaFrancesaArticulo"/>
      </w:pPr>
      <w:r w:rsidRPr="00601EEA">
        <w:rPr>
          <w:rStyle w:val="TextoNormalNegritaCaracter"/>
        </w:rPr>
        <w:t>§ 193.</w:t>
      </w:r>
      <w:r w:rsidRPr="00601EEA">
        <w:rPr>
          <w:rStyle w:val="TextoNormalCaracter"/>
        </w:rPr>
        <w:t>-</w:t>
      </w:r>
      <w:r>
        <w:t xml:space="preserve"> Sentencia </w:t>
      </w:r>
      <w:hyperlink w:anchor="SENTENCIA_2024_93" w:history="1">
        <w:r w:rsidRPr="00601EEA">
          <w:rPr>
            <w:rStyle w:val="TextoNormalCaracter"/>
          </w:rPr>
          <w:t>93/2024</w:t>
        </w:r>
      </w:hyperlink>
      <w:r>
        <w:t>, VP II.</w:t>
      </w:r>
    </w:p>
    <w:p w14:paraId="6DEA14B2" w14:textId="670FC9EB" w:rsidR="00601EEA" w:rsidRDefault="00601EEA" w:rsidP="00601EEA">
      <w:pPr>
        <w:pStyle w:val="SangriaFrancesaArticulo"/>
      </w:pPr>
      <w:r w:rsidRPr="00601EEA">
        <w:rPr>
          <w:rStyle w:val="TextoNormalNegritaCaracter"/>
        </w:rPr>
        <w:t>§ 194.</w:t>
      </w:r>
      <w:r w:rsidRPr="00601EEA">
        <w:rPr>
          <w:rStyle w:val="TextoNormalCaracter"/>
        </w:rPr>
        <w:t>-</w:t>
      </w:r>
      <w:r>
        <w:t xml:space="preserve"> Sentencia </w:t>
      </w:r>
      <w:hyperlink w:anchor="SENTENCIA_2024_93" w:history="1">
        <w:r w:rsidRPr="00601EEA">
          <w:rPr>
            <w:rStyle w:val="TextoNormalCaracter"/>
          </w:rPr>
          <w:t>93/2024</w:t>
        </w:r>
      </w:hyperlink>
      <w:r>
        <w:t>, VP II.</w:t>
      </w:r>
    </w:p>
    <w:p w14:paraId="04993F26" w14:textId="0618510D" w:rsidR="00601EEA" w:rsidRDefault="00601EEA" w:rsidP="00601EEA">
      <w:pPr>
        <w:pStyle w:val="SangriaFrancesaArticulo"/>
      </w:pPr>
    </w:p>
    <w:p w14:paraId="6038A41A" w14:textId="77777777" w:rsidR="00601EEA" w:rsidRDefault="00601EEA" w:rsidP="00601EEA">
      <w:pPr>
        <w:pStyle w:val="TextoNormalNegritaCursivandice"/>
        <w:keepNext/>
      </w:pPr>
      <w:r>
        <w:t>Sentencia del Tribunal de Justicia de la Unión Europea de 7 de abril de 2022 (EL y TP c. Caixabank, S. A., asunto C-385/20)</w:t>
      </w:r>
    </w:p>
    <w:p w14:paraId="2DA70393" w14:textId="50D3FC7E"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54" w:history="1">
        <w:r w:rsidRPr="00601EEA">
          <w:rPr>
            <w:rStyle w:val="TextoNormalCaracter"/>
          </w:rPr>
          <w:t>54/2024</w:t>
        </w:r>
      </w:hyperlink>
      <w:r>
        <w:t>, f. 2.</w:t>
      </w:r>
    </w:p>
    <w:p w14:paraId="2C61A313" w14:textId="2E91E265" w:rsidR="00601EEA" w:rsidRDefault="00601EEA" w:rsidP="00601EEA">
      <w:pPr>
        <w:pStyle w:val="SangriaFrancesaArticulo"/>
      </w:pPr>
    </w:p>
    <w:p w14:paraId="7CB7D48A" w14:textId="77777777" w:rsidR="00601EEA" w:rsidRDefault="00601EEA" w:rsidP="00601EEA">
      <w:pPr>
        <w:pStyle w:val="TextoNormalNegritaCursivandice"/>
        <w:keepNext/>
      </w:pPr>
      <w:r>
        <w:t>Sentencia del Tribunal de Justicia de la Unión Europea de 17 de mayo de 2022 (M.A. c. Ibercaja Banco, S.A., asunto C-600/19)</w:t>
      </w:r>
    </w:p>
    <w:p w14:paraId="5915C555" w14:textId="10B3292D"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Sentencias </w:t>
      </w:r>
      <w:hyperlink w:anchor="SENTENCIA_2024_27" w:history="1">
        <w:r w:rsidRPr="00601EEA">
          <w:rPr>
            <w:rStyle w:val="TextoNormalCaracter"/>
          </w:rPr>
          <w:t>27/2024</w:t>
        </w:r>
      </w:hyperlink>
      <w:r>
        <w:t xml:space="preserve">, f. 3; </w:t>
      </w:r>
      <w:hyperlink w:anchor="SENTENCIA_2024_38" w:history="1">
        <w:r w:rsidRPr="00601EEA">
          <w:rPr>
            <w:rStyle w:val="TextoNormalCaracter"/>
          </w:rPr>
          <w:t>38/2024</w:t>
        </w:r>
      </w:hyperlink>
      <w:r>
        <w:t>, f. 2.</w:t>
      </w:r>
    </w:p>
    <w:p w14:paraId="2D781DF2" w14:textId="7BE69CAE" w:rsidR="00601EEA" w:rsidRDefault="00601EEA" w:rsidP="00601EEA">
      <w:pPr>
        <w:pStyle w:val="SangriaFrancesaArticulo"/>
      </w:pPr>
    </w:p>
    <w:p w14:paraId="10E77B77" w14:textId="77777777" w:rsidR="00601EEA" w:rsidRDefault="00601EEA" w:rsidP="00601EEA">
      <w:pPr>
        <w:pStyle w:val="TextoNormalNegritaCursivandice"/>
        <w:keepNext/>
      </w:pPr>
      <w:r>
        <w:t>Auto del Tribunal de Justicia de la Unión Europea de 7 de noviembre de 2022 (F.X., y otros, asuntos acumulados C-859/19, C-926/19 y C-929/19))</w:t>
      </w:r>
    </w:p>
    <w:p w14:paraId="64E2EECF" w14:textId="2AEB7561" w:rsidR="00601EEA" w:rsidRDefault="00601EEA" w:rsidP="00601EEA">
      <w:pPr>
        <w:pStyle w:val="SangriaFrancesaArticulo"/>
      </w:pPr>
      <w:r w:rsidRPr="00601EEA">
        <w:rPr>
          <w:rStyle w:val="TextoNormalNegritaCaracter"/>
        </w:rPr>
        <w:t>§ 92.</w:t>
      </w:r>
      <w:r w:rsidRPr="00601EEA">
        <w:rPr>
          <w:rStyle w:val="TextoNormalCaracter"/>
        </w:rPr>
        <w:t>-</w:t>
      </w:r>
      <w:r>
        <w:t xml:space="preserve"> Sentencia </w:t>
      </w:r>
      <w:hyperlink w:anchor="SENTENCIA_2024_93" w:history="1">
        <w:r w:rsidRPr="00601EEA">
          <w:rPr>
            <w:rStyle w:val="TextoNormalCaracter"/>
          </w:rPr>
          <w:t>93/2024</w:t>
        </w:r>
      </w:hyperlink>
      <w:r>
        <w:t>, VP II.</w:t>
      </w:r>
    </w:p>
    <w:p w14:paraId="5BCF5AD7" w14:textId="63343505" w:rsidR="00601EEA" w:rsidRDefault="00601EEA" w:rsidP="00601EEA">
      <w:pPr>
        <w:pStyle w:val="SangriaFrancesaArticulo"/>
      </w:pPr>
    </w:p>
    <w:p w14:paraId="5270635B" w14:textId="77777777" w:rsidR="00601EEA" w:rsidRDefault="00601EEA" w:rsidP="00601EEA">
      <w:pPr>
        <w:pStyle w:val="TextoNormalNegritaCursivandice"/>
        <w:keepNext/>
      </w:pPr>
      <w:r>
        <w:lastRenderedPageBreak/>
        <w:t>Sentencia del Tribunal de Justicia de la Unión Europea de 22 de diciembre de 2022 (Junqueras i Vies c. Parlamento Europeo, asunto C-115/21)</w:t>
      </w:r>
    </w:p>
    <w:p w14:paraId="7A8E06E6" w14:textId="170F13A0"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66" w:history="1">
        <w:r w:rsidRPr="00601EEA">
          <w:rPr>
            <w:rStyle w:val="TextoNormalCaracter"/>
          </w:rPr>
          <w:t>66/2024</w:t>
        </w:r>
      </w:hyperlink>
      <w:r>
        <w:t>, f. 4.</w:t>
      </w:r>
    </w:p>
    <w:p w14:paraId="093E8891" w14:textId="769D13AB" w:rsidR="00601EEA" w:rsidRDefault="00601EEA" w:rsidP="00601EEA">
      <w:pPr>
        <w:pStyle w:val="SangriaFrancesaArticulo"/>
      </w:pPr>
      <w:r w:rsidRPr="00601EEA">
        <w:rPr>
          <w:rStyle w:val="TextoNormalNegritaCaracter"/>
        </w:rPr>
        <w:t>§ 62.</w:t>
      </w:r>
      <w:r w:rsidRPr="00601EEA">
        <w:rPr>
          <w:rStyle w:val="TextoNormalCaracter"/>
        </w:rPr>
        <w:t>-</w:t>
      </w:r>
      <w:r>
        <w:t xml:space="preserve"> Sentencia </w:t>
      </w:r>
      <w:hyperlink w:anchor="SENTENCIA_2024_66" w:history="1">
        <w:r w:rsidRPr="00601EEA">
          <w:rPr>
            <w:rStyle w:val="TextoNormalCaracter"/>
          </w:rPr>
          <w:t>66/2024</w:t>
        </w:r>
      </w:hyperlink>
      <w:r>
        <w:t>, f. 4.</w:t>
      </w:r>
    </w:p>
    <w:p w14:paraId="1644EE75" w14:textId="2F202487" w:rsidR="00601EEA" w:rsidRDefault="00601EEA" w:rsidP="00601EEA">
      <w:pPr>
        <w:pStyle w:val="SangriaFrancesaArticulo"/>
      </w:pPr>
      <w:r w:rsidRPr="00601EEA">
        <w:rPr>
          <w:rStyle w:val="TextoNormalNegritaCaracter"/>
        </w:rPr>
        <w:t>§ 66.</w:t>
      </w:r>
      <w:r w:rsidRPr="00601EEA">
        <w:rPr>
          <w:rStyle w:val="TextoNormalCaracter"/>
        </w:rPr>
        <w:t>-</w:t>
      </w:r>
      <w:r>
        <w:t xml:space="preserve"> Sentencia </w:t>
      </w:r>
      <w:hyperlink w:anchor="SENTENCIA_2024_66" w:history="1">
        <w:r w:rsidRPr="00601EEA">
          <w:rPr>
            <w:rStyle w:val="TextoNormalCaracter"/>
          </w:rPr>
          <w:t>66/2024</w:t>
        </w:r>
      </w:hyperlink>
      <w:r>
        <w:t>, f. 4.</w:t>
      </w:r>
    </w:p>
    <w:p w14:paraId="7AC05B83" w14:textId="4083AB06" w:rsidR="00601EEA" w:rsidRDefault="00601EEA" w:rsidP="00601EEA">
      <w:pPr>
        <w:pStyle w:val="SangriaFrancesaArticulo"/>
      </w:pPr>
    </w:p>
    <w:p w14:paraId="1503B261" w14:textId="77777777" w:rsidR="00601EEA" w:rsidRDefault="00601EEA" w:rsidP="00601EEA">
      <w:pPr>
        <w:pStyle w:val="TextoNormalNegritaCursivandice"/>
        <w:keepNext/>
      </w:pPr>
      <w:r>
        <w:t>Sentencia del Tribunal de Justicia de la Unión Europea de 8 de junio de 2023 (Prestige and Limousine, C-50/21)</w:t>
      </w:r>
    </w:p>
    <w:p w14:paraId="444491BC" w14:textId="37BE2192"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88" w:history="1">
        <w:r w:rsidRPr="00601EEA">
          <w:rPr>
            <w:rStyle w:val="TextoNormalCaracter"/>
          </w:rPr>
          <w:t>88/2024</w:t>
        </w:r>
      </w:hyperlink>
      <w:r>
        <w:t>, f. 4.</w:t>
      </w:r>
    </w:p>
    <w:p w14:paraId="06182189" w14:textId="2BFA8171" w:rsidR="00601EEA" w:rsidRDefault="00601EEA" w:rsidP="00601EEA">
      <w:pPr>
        <w:pStyle w:val="SangriaFrancesaArticulo"/>
      </w:pPr>
    </w:p>
    <w:p w14:paraId="43342A19" w14:textId="77777777" w:rsidR="00601EEA" w:rsidRDefault="00601EEA" w:rsidP="00601EEA">
      <w:pPr>
        <w:pStyle w:val="TextoNormalNegritaCursivandice"/>
        <w:keepNext/>
      </w:pPr>
      <w:r>
        <w:t>Sentencia del Tribunal de Justicia de la Unión Europea de 13 de julio de 2023 (Cajasur Banco, S. A. c. JO y IM, asunto C-35/22)</w:t>
      </w:r>
    </w:p>
    <w:p w14:paraId="7A6CDB86" w14:textId="7AB9EB91"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54" w:history="1">
        <w:r w:rsidRPr="00601EEA">
          <w:rPr>
            <w:rStyle w:val="TextoNormalCaracter"/>
          </w:rPr>
          <w:t>54/2024</w:t>
        </w:r>
      </w:hyperlink>
      <w:r>
        <w:t>, f. 2.</w:t>
      </w:r>
    </w:p>
    <w:p w14:paraId="7B427E15" w14:textId="5A2C8EBD" w:rsidR="00601EEA" w:rsidRDefault="00601EEA" w:rsidP="00601EEA">
      <w:pPr>
        <w:pStyle w:val="SangriaFrancesaArticulo"/>
      </w:pPr>
    </w:p>
    <w:p w14:paraId="3E31F4F4" w14:textId="77777777" w:rsidR="00601EEA" w:rsidRDefault="00601EEA" w:rsidP="00601EEA">
      <w:pPr>
        <w:pStyle w:val="TextoNormalNegritaCursivandice"/>
        <w:keepNext/>
      </w:pPr>
      <w:r>
        <w:t>Sentencia del Tribunal de Justicia de la Unión Europea de 24 de julio de 2023 (Lin, asunto C-107/23)</w:t>
      </w:r>
    </w:p>
    <w:p w14:paraId="6F1E31DA" w14:textId="4EB61653" w:rsidR="00601EEA" w:rsidRDefault="00601EEA" w:rsidP="00601EEA">
      <w:pPr>
        <w:pStyle w:val="SangriaFrancesaArticulo"/>
      </w:pPr>
      <w:r w:rsidRPr="00601EEA">
        <w:rPr>
          <w:rStyle w:val="TextoNormalNegritaCaracter"/>
        </w:rPr>
        <w:t>§ 83.</w:t>
      </w:r>
      <w:r w:rsidRPr="00601EEA">
        <w:rPr>
          <w:rStyle w:val="TextoNormalCaracter"/>
        </w:rPr>
        <w:t>-</w:t>
      </w:r>
      <w:r>
        <w:t xml:space="preserve"> Sentencia </w:t>
      </w:r>
      <w:hyperlink w:anchor="SENTENCIA_2024_93" w:history="1">
        <w:r w:rsidRPr="00601EEA">
          <w:rPr>
            <w:rStyle w:val="TextoNormalCaracter"/>
          </w:rPr>
          <w:t>93/2024</w:t>
        </w:r>
      </w:hyperlink>
      <w:r>
        <w:t>, VP II.</w:t>
      </w:r>
    </w:p>
    <w:p w14:paraId="3AB92A46" w14:textId="5427C465" w:rsidR="00601EEA" w:rsidRDefault="00601EEA" w:rsidP="00601EEA">
      <w:pPr>
        <w:pStyle w:val="SangriaFrancesaArticulo"/>
      </w:pPr>
      <w:r w:rsidRPr="00601EEA">
        <w:rPr>
          <w:rStyle w:val="TextoNormalNegritaCaracter"/>
        </w:rPr>
        <w:t>§ 84.</w:t>
      </w:r>
      <w:r w:rsidRPr="00601EEA">
        <w:rPr>
          <w:rStyle w:val="TextoNormalCaracter"/>
        </w:rPr>
        <w:t>-</w:t>
      </w:r>
      <w:r>
        <w:t xml:space="preserve"> Sentencia </w:t>
      </w:r>
      <w:hyperlink w:anchor="SENTENCIA_2024_93" w:history="1">
        <w:r w:rsidRPr="00601EEA">
          <w:rPr>
            <w:rStyle w:val="TextoNormalCaracter"/>
          </w:rPr>
          <w:t>93/2024</w:t>
        </w:r>
      </w:hyperlink>
      <w:r>
        <w:t>, VP II.</w:t>
      </w:r>
    </w:p>
    <w:p w14:paraId="4A9A3C02" w14:textId="145B5C29" w:rsidR="00601EEA" w:rsidRDefault="00601EEA" w:rsidP="00601EEA">
      <w:pPr>
        <w:pStyle w:val="SangriaFrancesaArticulo"/>
      </w:pPr>
      <w:r w:rsidRPr="00601EEA">
        <w:rPr>
          <w:rStyle w:val="TextoNormalNegritaCaracter"/>
        </w:rPr>
        <w:t>§ 86.</w:t>
      </w:r>
      <w:r w:rsidRPr="00601EEA">
        <w:rPr>
          <w:rStyle w:val="TextoNormalCaracter"/>
        </w:rPr>
        <w:t>-</w:t>
      </w:r>
      <w:r>
        <w:t xml:space="preserve"> Sentencia </w:t>
      </w:r>
      <w:hyperlink w:anchor="SENTENCIA_2024_93" w:history="1">
        <w:r w:rsidRPr="00601EEA">
          <w:rPr>
            <w:rStyle w:val="TextoNormalCaracter"/>
          </w:rPr>
          <w:t>93/2024</w:t>
        </w:r>
      </w:hyperlink>
      <w:r>
        <w:t>, VP II.</w:t>
      </w:r>
    </w:p>
    <w:p w14:paraId="18A89736" w14:textId="5209BF64" w:rsidR="00601EEA" w:rsidRDefault="00601EEA" w:rsidP="00601EEA">
      <w:pPr>
        <w:pStyle w:val="SangriaFrancesaArticulo"/>
      </w:pPr>
      <w:r w:rsidRPr="00601EEA">
        <w:rPr>
          <w:rStyle w:val="TextoNormalNegritaCaracter"/>
        </w:rPr>
        <w:t>§ 91-94.</w:t>
      </w:r>
      <w:r w:rsidRPr="00601EEA">
        <w:rPr>
          <w:rStyle w:val="TextoNormalCaracter"/>
        </w:rPr>
        <w:t>-</w:t>
      </w:r>
      <w:r>
        <w:t xml:space="preserve"> Sentencia </w:t>
      </w:r>
      <w:hyperlink w:anchor="SENTENCIA_2024_93" w:history="1">
        <w:r w:rsidRPr="00601EEA">
          <w:rPr>
            <w:rStyle w:val="TextoNormalCaracter"/>
          </w:rPr>
          <w:t>93/2024</w:t>
        </w:r>
      </w:hyperlink>
      <w:r>
        <w:t>, VP II.</w:t>
      </w:r>
    </w:p>
    <w:p w14:paraId="4EA80DD3" w14:textId="2027244E" w:rsidR="00601EEA" w:rsidRDefault="00601EEA" w:rsidP="00601EEA">
      <w:pPr>
        <w:pStyle w:val="TextoNormal"/>
      </w:pPr>
    </w:p>
    <w:p w14:paraId="317BA55B" w14:textId="77777777" w:rsidR="00601EEA" w:rsidRDefault="00601EEA" w:rsidP="00601EEA">
      <w:pPr>
        <w:pStyle w:val="SangriaFrancesaArticulo"/>
      </w:pPr>
      <w:bookmarkStart w:id="178" w:name="INDICE22925"/>
    </w:p>
    <w:bookmarkEnd w:id="178"/>
    <w:p w14:paraId="375AC6D0" w14:textId="77777777" w:rsidR="00601EEA" w:rsidRDefault="00601EEA" w:rsidP="00601EEA">
      <w:pPr>
        <w:pStyle w:val="TextoIndiceNivel2"/>
        <w:suppressAutoHyphens/>
      </w:pPr>
      <w:r>
        <w:t>C) Tribunal Supremo</w:t>
      </w:r>
    </w:p>
    <w:p w14:paraId="3839C774" w14:textId="1BA58136" w:rsidR="00601EEA" w:rsidRDefault="00601EEA" w:rsidP="00601EEA">
      <w:pPr>
        <w:pStyle w:val="TextoIndiceNivel2"/>
      </w:pPr>
    </w:p>
    <w:p w14:paraId="6D2E5055" w14:textId="77777777" w:rsidR="00601EEA" w:rsidRDefault="00601EEA" w:rsidP="00601EEA">
      <w:pPr>
        <w:pStyle w:val="TextoNormalNegritaCursivandice"/>
        <w:keepNext/>
      </w:pPr>
      <w:r>
        <w:t>Sentencia 7382/1993, de 3 de noviembre, de la Sala de lo Penal del Tribunal Supremo (ECLI:ES:TS:1993:7382)</w:t>
      </w:r>
    </w:p>
    <w:p w14:paraId="6E0DEDAB" w14:textId="565FEEF6" w:rsidR="00601EEA" w:rsidRDefault="00601EEA" w:rsidP="00601EEA">
      <w:pPr>
        <w:pStyle w:val="SangriaFrancesaArticulo"/>
      </w:pPr>
      <w:r>
        <w:t xml:space="preserve">Sentencia </w:t>
      </w:r>
      <w:hyperlink w:anchor="SENTENCIA_2024_87" w:history="1">
        <w:r w:rsidRPr="00601EEA">
          <w:rPr>
            <w:rStyle w:val="TextoNormalCaracter"/>
          </w:rPr>
          <w:t>87/2024</w:t>
        </w:r>
      </w:hyperlink>
      <w:r>
        <w:t>, VP II.</w:t>
      </w:r>
    </w:p>
    <w:p w14:paraId="54256212" w14:textId="698D554A" w:rsidR="00601EEA" w:rsidRDefault="00601EEA" w:rsidP="00601EEA">
      <w:pPr>
        <w:pStyle w:val="SangriaFrancesaArticulo"/>
      </w:pPr>
    </w:p>
    <w:p w14:paraId="575FC060" w14:textId="77777777" w:rsidR="00601EEA" w:rsidRDefault="00601EEA" w:rsidP="00601EEA">
      <w:pPr>
        <w:pStyle w:val="TextoNormalNegritaCursivandice"/>
        <w:keepNext/>
      </w:pPr>
      <w:r>
        <w:t>Sentencia de la Sala de lo Contencioso-Administrativo del Tribunal Supremo de 20 de enero de 2003 (ECLI:ES:TS:2003:179)</w:t>
      </w:r>
    </w:p>
    <w:p w14:paraId="06D47B82" w14:textId="329C5C38" w:rsidR="00601EEA" w:rsidRDefault="00601EEA" w:rsidP="00601EEA">
      <w:pPr>
        <w:pStyle w:val="SangriaFrancesaArticulo"/>
      </w:pPr>
      <w:r>
        <w:t xml:space="preserve">Sentencia </w:t>
      </w:r>
      <w:hyperlink w:anchor="SENTENCIA_2024_61" w:history="1">
        <w:r w:rsidRPr="00601EEA">
          <w:rPr>
            <w:rStyle w:val="TextoNormalCaracter"/>
          </w:rPr>
          <w:t>61/2024</w:t>
        </w:r>
      </w:hyperlink>
      <w:r>
        <w:t>, VP.</w:t>
      </w:r>
    </w:p>
    <w:p w14:paraId="6C0E4E7E" w14:textId="0DDD88C4" w:rsidR="00601EEA" w:rsidRDefault="00601EEA" w:rsidP="00601EEA">
      <w:pPr>
        <w:pStyle w:val="SangriaFrancesaArticulo"/>
      </w:pPr>
    </w:p>
    <w:p w14:paraId="616AD7C7" w14:textId="77777777" w:rsidR="00601EEA" w:rsidRDefault="00601EEA" w:rsidP="00601EEA">
      <w:pPr>
        <w:pStyle w:val="TextoNormalNegritaCursivandice"/>
        <w:keepNext/>
      </w:pPr>
      <w:r>
        <w:t>Sentencia de la Sala de lo Contencioso-Administrativo del Tribunal Supremo de 20 de enero de 2003 (ECLI:ES:TS:2003:180)</w:t>
      </w:r>
    </w:p>
    <w:p w14:paraId="305E38D9" w14:textId="71794367" w:rsidR="00601EEA" w:rsidRDefault="00601EEA" w:rsidP="00601EEA">
      <w:pPr>
        <w:pStyle w:val="SangriaFrancesaArticulo"/>
      </w:pPr>
      <w:r>
        <w:t xml:space="preserve">Sentencia </w:t>
      </w:r>
      <w:hyperlink w:anchor="SENTENCIA_2024_61" w:history="1">
        <w:r w:rsidRPr="00601EEA">
          <w:rPr>
            <w:rStyle w:val="TextoNormalCaracter"/>
          </w:rPr>
          <w:t>61/2024</w:t>
        </w:r>
      </w:hyperlink>
      <w:r>
        <w:t>, VP.</w:t>
      </w:r>
    </w:p>
    <w:p w14:paraId="6313D3AA" w14:textId="297CB5FB" w:rsidR="00601EEA" w:rsidRDefault="00601EEA" w:rsidP="00601EEA">
      <w:pPr>
        <w:pStyle w:val="SangriaFrancesaArticulo"/>
      </w:pPr>
    </w:p>
    <w:p w14:paraId="01AAEECA" w14:textId="77777777" w:rsidR="00601EEA" w:rsidRDefault="00601EEA" w:rsidP="00601EEA">
      <w:pPr>
        <w:pStyle w:val="TextoNormalNegritaCursivandice"/>
        <w:keepNext/>
      </w:pPr>
      <w:r>
        <w:t>Sentencia 291/2003, de 3 de marzo de 2003, de la Sala de lo Penal del Tribunal Supremo (ECLI:ES:TS:2003:1439)</w:t>
      </w:r>
    </w:p>
    <w:p w14:paraId="34B6DD2F" w14:textId="3DF3A76E" w:rsidR="00601EEA" w:rsidRDefault="00601EEA" w:rsidP="00601EEA">
      <w:pPr>
        <w:pStyle w:val="SangriaFrancesaArticulo"/>
      </w:pPr>
      <w:r>
        <w:t xml:space="preserve">Sentencia </w:t>
      </w:r>
      <w:hyperlink w:anchor="SENTENCIA_2024_48" w:history="1">
        <w:r w:rsidRPr="00601EEA">
          <w:rPr>
            <w:rStyle w:val="TextoNormalCaracter"/>
          </w:rPr>
          <w:t>48/2024</w:t>
        </w:r>
      </w:hyperlink>
      <w:r>
        <w:t>, VP II.</w:t>
      </w:r>
    </w:p>
    <w:p w14:paraId="507EF4F7" w14:textId="34CCED42" w:rsidR="00601EEA" w:rsidRDefault="00601EEA" w:rsidP="00601EEA">
      <w:pPr>
        <w:pStyle w:val="SangriaFrancesaArticulo"/>
      </w:pPr>
    </w:p>
    <w:p w14:paraId="0CAF4168" w14:textId="77777777" w:rsidR="00601EEA" w:rsidRDefault="00601EEA" w:rsidP="00601EEA">
      <w:pPr>
        <w:pStyle w:val="TextoNormalNegritaCursivandice"/>
        <w:keepNext/>
      </w:pPr>
      <w:r>
        <w:t>Sentencia 1487/2003, de 7 de noviembre de 2003, de la Sala de lo Penal del Tribunal Supremo (ECLI:ES:TS:2003:6972)</w:t>
      </w:r>
    </w:p>
    <w:p w14:paraId="3AC65367" w14:textId="291E0E04" w:rsidR="00601EEA" w:rsidRDefault="00601EEA" w:rsidP="00601EEA">
      <w:pPr>
        <w:pStyle w:val="SangriaFrancesaArticulo"/>
      </w:pPr>
      <w:r>
        <w:t xml:space="preserve">Sentencia </w:t>
      </w:r>
      <w:hyperlink w:anchor="SENTENCIA_2024_48" w:history="1">
        <w:r w:rsidRPr="00601EEA">
          <w:rPr>
            <w:rStyle w:val="TextoNormalCaracter"/>
          </w:rPr>
          <w:t>48/2024</w:t>
        </w:r>
      </w:hyperlink>
      <w:r>
        <w:t>, VP I.</w:t>
      </w:r>
    </w:p>
    <w:p w14:paraId="015D5650" w14:textId="01EB4BC4" w:rsidR="00601EEA" w:rsidRDefault="00601EEA" w:rsidP="00601EEA">
      <w:pPr>
        <w:pStyle w:val="SangriaFrancesaArticulo"/>
      </w:pPr>
    </w:p>
    <w:p w14:paraId="27C4731B" w14:textId="77777777" w:rsidR="00601EEA" w:rsidRDefault="00601EEA" w:rsidP="00601EEA">
      <w:pPr>
        <w:pStyle w:val="TextoNormalNegritaCursivandice"/>
        <w:keepNext/>
      </w:pPr>
      <w:r>
        <w:lastRenderedPageBreak/>
        <w:t>Sentencia 407/2004, de 28 de enero de 2004, de la Sala de lo Contencioso del Tribunal Supremo (ECLI:ES:TS:2004:407)</w:t>
      </w:r>
    </w:p>
    <w:p w14:paraId="21CA8018" w14:textId="5DA5C37C"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68" w:history="1">
        <w:r w:rsidRPr="00601EEA">
          <w:rPr>
            <w:rStyle w:val="TextoNormalCaracter"/>
          </w:rPr>
          <w:t>68/2024</w:t>
        </w:r>
      </w:hyperlink>
      <w:r>
        <w:t>, ff. 7, 8.</w:t>
      </w:r>
    </w:p>
    <w:p w14:paraId="1FC45C5B" w14:textId="40C6B2EA" w:rsidR="00601EEA" w:rsidRDefault="00601EEA" w:rsidP="00601EEA">
      <w:pPr>
        <w:pStyle w:val="SangriaFrancesaArticulo"/>
      </w:pPr>
    </w:p>
    <w:p w14:paraId="7F0C69ED" w14:textId="77777777" w:rsidR="00601EEA" w:rsidRDefault="00601EEA" w:rsidP="00601EEA">
      <w:pPr>
        <w:pStyle w:val="TextoNormalNegritaCursivandice"/>
        <w:keepNext/>
      </w:pPr>
      <w:r>
        <w:t>Sentencia 1158/2004, de 7 de octubre de 2004, de la Sala de lo Penal del Tribunal Supremo (ECLI:ES:TS:2004:6298)</w:t>
      </w:r>
    </w:p>
    <w:p w14:paraId="0A5BD633" w14:textId="19DFFF47" w:rsidR="00601EEA" w:rsidRDefault="00601EEA" w:rsidP="00601EEA">
      <w:pPr>
        <w:pStyle w:val="SangriaFrancesaArticulo"/>
      </w:pPr>
      <w:r>
        <w:t xml:space="preserve">Sentencia </w:t>
      </w:r>
      <w:hyperlink w:anchor="SENTENCIA_2024_48" w:history="1">
        <w:r w:rsidRPr="00601EEA">
          <w:rPr>
            <w:rStyle w:val="TextoNormalCaracter"/>
          </w:rPr>
          <w:t>48/2024</w:t>
        </w:r>
      </w:hyperlink>
      <w:r>
        <w:t>, VP I.</w:t>
      </w:r>
    </w:p>
    <w:p w14:paraId="636F310D" w14:textId="0766B5DF" w:rsidR="00601EEA" w:rsidRDefault="00601EEA" w:rsidP="00601EEA">
      <w:pPr>
        <w:pStyle w:val="SangriaFrancesaArticulo"/>
      </w:pPr>
    </w:p>
    <w:p w14:paraId="4C2729D8" w14:textId="77777777" w:rsidR="00601EEA" w:rsidRDefault="00601EEA" w:rsidP="00601EEA">
      <w:pPr>
        <w:pStyle w:val="TextoNormalNegritaCursivandice"/>
        <w:keepNext/>
      </w:pPr>
      <w:r>
        <w:t>Sentencia de la Sala de lo Contencioso-Administrativo del Tribunal Supremo de 7 de noviembre de 2006 (ECLI:ES:TS:2006:6876)</w:t>
      </w:r>
    </w:p>
    <w:p w14:paraId="70C119DD" w14:textId="7A261212" w:rsidR="00601EEA" w:rsidRDefault="00601EEA" w:rsidP="00601EEA">
      <w:pPr>
        <w:pStyle w:val="SangriaFrancesaArticulo"/>
      </w:pPr>
      <w:r>
        <w:t xml:space="preserve">Sentencia </w:t>
      </w:r>
      <w:hyperlink w:anchor="SENTENCIA_2024_61" w:history="1">
        <w:r w:rsidRPr="00601EEA">
          <w:rPr>
            <w:rStyle w:val="TextoNormalCaracter"/>
          </w:rPr>
          <w:t>61/2024</w:t>
        </w:r>
      </w:hyperlink>
      <w:r>
        <w:t>, VP.</w:t>
      </w:r>
    </w:p>
    <w:p w14:paraId="5E1CA7CD" w14:textId="3FE935C8" w:rsidR="00601EEA" w:rsidRDefault="00601EEA" w:rsidP="00601EEA">
      <w:pPr>
        <w:pStyle w:val="SangriaFrancesaArticulo"/>
      </w:pPr>
    </w:p>
    <w:p w14:paraId="1B05FE9A" w14:textId="77777777" w:rsidR="00601EEA" w:rsidRDefault="00601EEA" w:rsidP="00601EEA">
      <w:pPr>
        <w:pStyle w:val="TextoNormalNegritaCursivandice"/>
        <w:keepNext/>
      </w:pPr>
      <w:r>
        <w:t>Sentencia 132/2008, de 12 de febrero de 2008, de la Sala de lo Penal del Tribunal Supremo (ECLI:ES:TS:2008:1193)</w:t>
      </w:r>
    </w:p>
    <w:p w14:paraId="1A735982" w14:textId="5D0BDDEF" w:rsidR="00601EEA" w:rsidRDefault="00601EEA" w:rsidP="00601EEA">
      <w:pPr>
        <w:pStyle w:val="SangriaFrancesaArticulo"/>
      </w:pPr>
      <w:r>
        <w:t xml:space="preserve">Sentencia </w:t>
      </w:r>
      <w:hyperlink w:anchor="SENTENCIA_2024_48" w:history="1">
        <w:r w:rsidRPr="00601EEA">
          <w:rPr>
            <w:rStyle w:val="TextoNormalCaracter"/>
          </w:rPr>
          <w:t>48/2024</w:t>
        </w:r>
      </w:hyperlink>
      <w:r>
        <w:t>, VP II.</w:t>
      </w:r>
    </w:p>
    <w:p w14:paraId="70930EF3" w14:textId="16A6DCDA" w:rsidR="00601EEA" w:rsidRDefault="00601EEA" w:rsidP="00601EEA">
      <w:pPr>
        <w:pStyle w:val="SangriaFrancesaArticulo"/>
      </w:pPr>
    </w:p>
    <w:p w14:paraId="492884D3" w14:textId="77777777" w:rsidR="00601EEA" w:rsidRDefault="00601EEA" w:rsidP="00601EEA">
      <w:pPr>
        <w:pStyle w:val="TextoNormalNegritaCursivandice"/>
        <w:keepNext/>
      </w:pPr>
      <w:r>
        <w:t>Sentencia de 3 de octubre de 2008, de la Sala de lo Contencioso-Administrativo del Tribunal Supremo (ECLI:ES:TS:2008:5318)</w:t>
      </w:r>
    </w:p>
    <w:p w14:paraId="1165704A" w14:textId="7EFEA467" w:rsidR="00601EEA" w:rsidRDefault="00601EEA" w:rsidP="00601EEA">
      <w:pPr>
        <w:pStyle w:val="SangriaFrancesaArticulo"/>
      </w:pPr>
      <w:r>
        <w:t xml:space="preserve">Sentencia </w:t>
      </w:r>
      <w:hyperlink w:anchor="SENTENCIA_2024_61" w:history="1">
        <w:r w:rsidRPr="00601EEA">
          <w:rPr>
            <w:rStyle w:val="TextoNormalCaracter"/>
          </w:rPr>
          <w:t>61/2024</w:t>
        </w:r>
      </w:hyperlink>
      <w:r>
        <w:t>, VP.</w:t>
      </w:r>
    </w:p>
    <w:p w14:paraId="1EDE9034" w14:textId="4570BF3D" w:rsidR="00601EEA" w:rsidRDefault="00601EEA" w:rsidP="00601EEA">
      <w:pPr>
        <w:pStyle w:val="SangriaFrancesaArticulo"/>
      </w:pPr>
    </w:p>
    <w:p w14:paraId="6FF31C72" w14:textId="77777777" w:rsidR="00601EEA" w:rsidRDefault="00601EEA" w:rsidP="00601EEA">
      <w:pPr>
        <w:pStyle w:val="TextoNormalNegritaCursivandice"/>
        <w:keepNext/>
      </w:pPr>
      <w:r>
        <w:t>Sentencia 896/2008, de 12 de diciembre de 2008, de la Sala de lo Penal del Tribunal Supremo (ECLI:ES:TS:2008:7110)</w:t>
      </w:r>
    </w:p>
    <w:p w14:paraId="7A389355" w14:textId="56E79897" w:rsidR="00601EEA" w:rsidRDefault="00601EEA" w:rsidP="00601EEA">
      <w:pPr>
        <w:pStyle w:val="SangriaFrancesaArticulo"/>
      </w:pPr>
      <w:r>
        <w:t xml:space="preserve">Sentencia </w:t>
      </w:r>
      <w:hyperlink w:anchor="SENTENCIA_2024_48" w:history="1">
        <w:r w:rsidRPr="00601EEA">
          <w:rPr>
            <w:rStyle w:val="TextoNormalCaracter"/>
          </w:rPr>
          <w:t>48/2024</w:t>
        </w:r>
      </w:hyperlink>
      <w:r>
        <w:t>, VP II.</w:t>
      </w:r>
    </w:p>
    <w:p w14:paraId="792CD5D9" w14:textId="78CA0BEE" w:rsidR="00601EEA" w:rsidRDefault="00601EEA" w:rsidP="00601EEA">
      <w:pPr>
        <w:pStyle w:val="SangriaFrancesaArticulo"/>
      </w:pPr>
    </w:p>
    <w:p w14:paraId="0F8F6A19" w14:textId="77777777" w:rsidR="00601EEA" w:rsidRDefault="00601EEA" w:rsidP="00601EEA">
      <w:pPr>
        <w:pStyle w:val="TextoNormalNegritaCursivandice"/>
        <w:keepNext/>
      </w:pPr>
      <w:r>
        <w:t>Sentencia 342/2009, de 11 de febrero de 2009, de la Sala de lo Contencioso-Administrativo del Tribunal Supremo (ECLI:ES:TS:2009:342)</w:t>
      </w:r>
    </w:p>
    <w:p w14:paraId="24D60206" w14:textId="6F5B0ED5"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92" w:history="1">
        <w:r w:rsidRPr="00601EEA">
          <w:rPr>
            <w:rStyle w:val="TextoNormalCaracter"/>
          </w:rPr>
          <w:t>92/2024</w:t>
        </w:r>
      </w:hyperlink>
      <w:r>
        <w:t>, f. 5.</w:t>
      </w:r>
    </w:p>
    <w:p w14:paraId="24752FED" w14:textId="640EBF83" w:rsidR="00601EEA" w:rsidRDefault="00601EEA" w:rsidP="00601EEA">
      <w:pPr>
        <w:pStyle w:val="SangriaFrancesaArticulo"/>
      </w:pPr>
    </w:p>
    <w:p w14:paraId="0732186B" w14:textId="77777777" w:rsidR="00601EEA" w:rsidRDefault="00601EEA" w:rsidP="00601EEA">
      <w:pPr>
        <w:pStyle w:val="TextoNormalNegritaCursivandice"/>
        <w:keepNext/>
      </w:pPr>
      <w:r>
        <w:t>Sentencia 941/2009, de 29 de septiembre de 2009, de la Sala de lo Penal del Tribunal Supremo (ECLI:ES:TS:2009:5849)</w:t>
      </w:r>
    </w:p>
    <w:p w14:paraId="69EF30D4" w14:textId="58D0B9E2" w:rsidR="00601EEA" w:rsidRDefault="00601EEA" w:rsidP="00601EEA">
      <w:pPr>
        <w:pStyle w:val="SangriaFrancesaArticulo"/>
      </w:pPr>
      <w:r>
        <w:t xml:space="preserve">Sentencia </w:t>
      </w:r>
      <w:hyperlink w:anchor="SENTENCIA_2024_93" w:history="1">
        <w:r w:rsidRPr="00601EEA">
          <w:rPr>
            <w:rStyle w:val="TextoNormalCaracter"/>
          </w:rPr>
          <w:t>93/2024</w:t>
        </w:r>
      </w:hyperlink>
      <w:r>
        <w:t>, VP II.</w:t>
      </w:r>
    </w:p>
    <w:p w14:paraId="5BCB5716" w14:textId="53511DC0" w:rsidR="00601EEA" w:rsidRDefault="00601EEA" w:rsidP="00601EEA">
      <w:pPr>
        <w:pStyle w:val="SangriaFrancesaArticulo"/>
      </w:pPr>
    </w:p>
    <w:p w14:paraId="74C57D77" w14:textId="77777777" w:rsidR="00601EEA" w:rsidRDefault="00601EEA" w:rsidP="00601EEA">
      <w:pPr>
        <w:pStyle w:val="TextoNormalNegritaCursivandice"/>
        <w:keepNext/>
      </w:pPr>
      <w:r>
        <w:t>Sentencia 91/2010, de 15 de febrero de 2010, de la Sala de lo Penal del Tribunal Supremo (ECLI:ES:TS:2010:916)</w:t>
      </w:r>
    </w:p>
    <w:p w14:paraId="5DE79BFE" w14:textId="61DCF127" w:rsidR="00601EEA" w:rsidRDefault="00601EEA" w:rsidP="00601EEA">
      <w:pPr>
        <w:pStyle w:val="SangriaFrancesaArticulo"/>
      </w:pPr>
      <w:r>
        <w:t xml:space="preserve">Sentencia </w:t>
      </w:r>
      <w:hyperlink w:anchor="SENTENCIA_2024_48" w:history="1">
        <w:r w:rsidRPr="00601EEA">
          <w:rPr>
            <w:rStyle w:val="TextoNormalCaracter"/>
          </w:rPr>
          <w:t>48/2024</w:t>
        </w:r>
      </w:hyperlink>
      <w:r>
        <w:t>, VP II.</w:t>
      </w:r>
    </w:p>
    <w:p w14:paraId="14666022" w14:textId="1DE10E20" w:rsidR="00601EEA" w:rsidRDefault="00601EEA" w:rsidP="00601EEA">
      <w:pPr>
        <w:pStyle w:val="SangriaFrancesaArticulo"/>
      </w:pPr>
    </w:p>
    <w:p w14:paraId="08134EE2" w14:textId="77777777" w:rsidR="00601EEA" w:rsidRDefault="00601EEA" w:rsidP="00601EEA">
      <w:pPr>
        <w:pStyle w:val="TextoNormalNegritaCursivandice"/>
        <w:keepNext/>
      </w:pPr>
      <w:r>
        <w:t>Sentencia 470/2010, de 20 de mayo de 2010, de la Sala de lo Penal del Tribunal Supremo (ECLI:ES:TS:2010:2964)</w:t>
      </w:r>
    </w:p>
    <w:p w14:paraId="411CCC72" w14:textId="659B83C1" w:rsidR="00601EEA" w:rsidRDefault="00601EEA" w:rsidP="00601EEA">
      <w:pPr>
        <w:pStyle w:val="SangriaFrancesaArticulo"/>
      </w:pPr>
      <w:r>
        <w:t xml:space="preserve">Sentencia </w:t>
      </w:r>
      <w:hyperlink w:anchor="SENTENCIA_2024_48" w:history="1">
        <w:r w:rsidRPr="00601EEA">
          <w:rPr>
            <w:rStyle w:val="TextoNormalCaracter"/>
          </w:rPr>
          <w:t>48/2024</w:t>
        </w:r>
      </w:hyperlink>
      <w:r>
        <w:t>, VP II.</w:t>
      </w:r>
    </w:p>
    <w:p w14:paraId="1BA97F1D" w14:textId="1E8DCDCC" w:rsidR="00601EEA" w:rsidRDefault="00601EEA" w:rsidP="00601EEA">
      <w:pPr>
        <w:pStyle w:val="SangriaFrancesaArticulo"/>
      </w:pPr>
    </w:p>
    <w:p w14:paraId="7A1A7ACC" w14:textId="77777777" w:rsidR="00601EEA" w:rsidRDefault="00601EEA" w:rsidP="00601EEA">
      <w:pPr>
        <w:pStyle w:val="TextoNormalNegritaCursivandice"/>
        <w:keepNext/>
      </w:pPr>
      <w:r>
        <w:t>Sentencia 31/2011, de 2 de febrero, de la Sala de lo Penal del Tribunal Supremo (ECLI:ES:TS:2011:687)</w:t>
      </w:r>
    </w:p>
    <w:p w14:paraId="0EED5F9B" w14:textId="55C36CE1" w:rsidR="00601EEA" w:rsidRDefault="00601EEA" w:rsidP="00601EEA">
      <w:pPr>
        <w:pStyle w:val="SangriaFrancesaArticulo"/>
      </w:pPr>
      <w:r>
        <w:t xml:space="preserve">Sentencia </w:t>
      </w:r>
      <w:hyperlink w:anchor="SENTENCIA_2024_9" w:history="1">
        <w:r w:rsidRPr="00601EEA">
          <w:rPr>
            <w:rStyle w:val="TextoNormalCaracter"/>
          </w:rPr>
          <w:t>9/2024</w:t>
        </w:r>
      </w:hyperlink>
      <w:r>
        <w:t>, VP II.</w:t>
      </w:r>
    </w:p>
    <w:p w14:paraId="48512002" w14:textId="2856399F" w:rsidR="00601EEA" w:rsidRDefault="00601EEA" w:rsidP="00601EEA">
      <w:pPr>
        <w:pStyle w:val="SangriaFrancesaArticulo"/>
      </w:pPr>
    </w:p>
    <w:p w14:paraId="28CDC829" w14:textId="77777777" w:rsidR="00601EEA" w:rsidRDefault="00601EEA" w:rsidP="00601EEA">
      <w:pPr>
        <w:pStyle w:val="TextoNormalNegritaCursivandice"/>
        <w:keepNext/>
      </w:pPr>
      <w:r>
        <w:lastRenderedPageBreak/>
        <w:t>Sentencia de 13 de mayo de 2011, de la Sala de lo Contencioso-Administrativo del Tribunal Supremo (ECLI:ES:TS:2011:2994)</w:t>
      </w:r>
    </w:p>
    <w:p w14:paraId="5FA82F7C" w14:textId="6DFB1E5F" w:rsidR="00601EEA" w:rsidRDefault="00601EEA" w:rsidP="00601EEA">
      <w:pPr>
        <w:pStyle w:val="SangriaFrancesaArticulo"/>
      </w:pPr>
      <w:r>
        <w:t xml:space="preserve">Sentencia </w:t>
      </w:r>
      <w:hyperlink w:anchor="SENTENCIA_2024_61" w:history="1">
        <w:r w:rsidRPr="00601EEA">
          <w:rPr>
            <w:rStyle w:val="TextoNormalCaracter"/>
          </w:rPr>
          <w:t>61/2024</w:t>
        </w:r>
      </w:hyperlink>
      <w:r>
        <w:t>, VP.</w:t>
      </w:r>
    </w:p>
    <w:p w14:paraId="4280CC2D" w14:textId="64710A62" w:rsidR="00601EEA" w:rsidRDefault="00601EEA" w:rsidP="00601EEA">
      <w:pPr>
        <w:pStyle w:val="SangriaFrancesaArticulo"/>
      </w:pPr>
    </w:p>
    <w:p w14:paraId="091A77D7" w14:textId="77777777" w:rsidR="00601EEA" w:rsidRDefault="00601EEA" w:rsidP="00601EEA">
      <w:pPr>
        <w:pStyle w:val="TextoNormalNegritaCursivandice"/>
        <w:keepNext/>
      </w:pPr>
      <w:r>
        <w:t>Sentencia de 21 de diciembre de 2011, de la Sala de lo Contencioso-Administrativo del Tribunal Supremo (ECLI:ES:TS:2011:8582)</w:t>
      </w:r>
    </w:p>
    <w:p w14:paraId="2E122EDE" w14:textId="6DA74C69" w:rsidR="00601EEA" w:rsidRDefault="00601EEA" w:rsidP="00601EEA">
      <w:pPr>
        <w:pStyle w:val="SangriaFrancesaArticulo"/>
      </w:pPr>
      <w:r>
        <w:t xml:space="preserve">Sentencia </w:t>
      </w:r>
      <w:hyperlink w:anchor="SENTENCIA_2024_93" w:history="1">
        <w:r w:rsidRPr="00601EEA">
          <w:rPr>
            <w:rStyle w:val="TextoNormalCaracter"/>
          </w:rPr>
          <w:t>93/2024</w:t>
        </w:r>
      </w:hyperlink>
      <w:r>
        <w:t>, VP II.</w:t>
      </w:r>
    </w:p>
    <w:p w14:paraId="32FC0F6C" w14:textId="2D1F8A87" w:rsidR="00601EEA" w:rsidRDefault="00601EEA" w:rsidP="00601EEA">
      <w:pPr>
        <w:pStyle w:val="SangriaFrancesaArticulo"/>
      </w:pPr>
    </w:p>
    <w:p w14:paraId="6BDCE4E4" w14:textId="77777777" w:rsidR="00601EEA" w:rsidRDefault="00601EEA" w:rsidP="00601EEA">
      <w:pPr>
        <w:pStyle w:val="TextoNormalNegritaCursivandice"/>
        <w:keepNext/>
      </w:pPr>
      <w:r>
        <w:t>Sentencia 2/2012, de 2 de enero de 2012, de la Sala de lo Penal del Tribunal Supremo (ECLI:ES:TS:2012:2)</w:t>
      </w:r>
    </w:p>
    <w:p w14:paraId="769AF4E1" w14:textId="37B83221"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92" w:history="1">
        <w:r w:rsidRPr="00601EEA">
          <w:rPr>
            <w:rStyle w:val="TextoNormalCaracter"/>
          </w:rPr>
          <w:t>92/2024</w:t>
        </w:r>
      </w:hyperlink>
      <w:r>
        <w:t>, VP IV.</w:t>
      </w:r>
    </w:p>
    <w:p w14:paraId="4FF8B75E" w14:textId="2BC66EF2" w:rsidR="00601EEA" w:rsidRDefault="00601EEA" w:rsidP="00601EEA">
      <w:pPr>
        <w:pStyle w:val="SangriaFrancesaArticulo"/>
      </w:pPr>
    </w:p>
    <w:p w14:paraId="47395B3B" w14:textId="77777777" w:rsidR="00601EEA" w:rsidRDefault="00601EEA" w:rsidP="00601EEA">
      <w:pPr>
        <w:pStyle w:val="TextoNormalNegritaCursivandice"/>
        <w:keepNext/>
      </w:pPr>
      <w:r>
        <w:t>Sentencia 883/2012, de 24 de octubre, de la Sala de lo Penal del Tribunal Supremo (ECLI:ES:TS:2012:7385)</w:t>
      </w:r>
    </w:p>
    <w:p w14:paraId="0D2578E0" w14:textId="2317778E" w:rsidR="00601EEA" w:rsidRDefault="00601EEA" w:rsidP="00601EEA">
      <w:pPr>
        <w:pStyle w:val="SangriaFrancesaArticulo"/>
      </w:pPr>
      <w:r>
        <w:t xml:space="preserve">Sentencia </w:t>
      </w:r>
      <w:hyperlink w:anchor="SENTENCIA_2024_9" w:history="1">
        <w:r w:rsidRPr="00601EEA">
          <w:rPr>
            <w:rStyle w:val="TextoNormalCaracter"/>
          </w:rPr>
          <w:t>9/2024</w:t>
        </w:r>
      </w:hyperlink>
      <w:r>
        <w:t>, VP II.</w:t>
      </w:r>
    </w:p>
    <w:p w14:paraId="20108D10" w14:textId="308583FE" w:rsidR="00601EEA" w:rsidRDefault="00601EEA" w:rsidP="00601EEA">
      <w:pPr>
        <w:pStyle w:val="SangriaFrancesaArticulo"/>
      </w:pPr>
    </w:p>
    <w:p w14:paraId="0F9C7BD5" w14:textId="77777777" w:rsidR="00601EEA" w:rsidRDefault="00601EEA" w:rsidP="00601EEA">
      <w:pPr>
        <w:pStyle w:val="TextoNormalNegritaCursivandice"/>
        <w:keepNext/>
      </w:pPr>
      <w:r>
        <w:t>Sentencia 7975/2012, de 12 de noviembre de 2012, de la Sala de lo Contencioso-Administrativo del Tribunal Supremo (ECLI:ES:TS:2012:7975)</w:t>
      </w:r>
    </w:p>
    <w:p w14:paraId="7356C101" w14:textId="2D6DC311"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92" w:history="1">
        <w:r w:rsidRPr="00601EEA">
          <w:rPr>
            <w:rStyle w:val="TextoNormalCaracter"/>
          </w:rPr>
          <w:t>92/2024</w:t>
        </w:r>
      </w:hyperlink>
      <w:r>
        <w:t>, f. 5.</w:t>
      </w:r>
    </w:p>
    <w:p w14:paraId="01C7DA44" w14:textId="0EDDF042" w:rsidR="00601EEA" w:rsidRDefault="00601EEA" w:rsidP="00601EEA">
      <w:pPr>
        <w:pStyle w:val="SangriaFrancesaArticulo"/>
      </w:pPr>
    </w:p>
    <w:p w14:paraId="7F7C7C6C" w14:textId="77777777" w:rsidR="00601EEA" w:rsidRDefault="00601EEA" w:rsidP="00601EEA">
      <w:pPr>
        <w:pStyle w:val="TextoNormalNegritaCursivandice"/>
        <w:keepNext/>
      </w:pPr>
      <w:r>
        <w:t>Sentencia 1051/2013, de 26 de septiembre de 2013, de la Sala de lo Penal del Tribunal Supremo (ECLI:ES:TS:2013:5074)</w:t>
      </w:r>
    </w:p>
    <w:p w14:paraId="5E54AD3F" w14:textId="72E13AFD" w:rsidR="00601EEA" w:rsidRDefault="00601EEA" w:rsidP="00601EEA">
      <w:pPr>
        <w:pStyle w:val="SangriaFrancesaArticulo"/>
      </w:pPr>
      <w:r>
        <w:t xml:space="preserve">Sentencia </w:t>
      </w:r>
      <w:hyperlink w:anchor="SENTENCIA_2024_93" w:history="1">
        <w:r w:rsidRPr="00601EEA">
          <w:rPr>
            <w:rStyle w:val="TextoNormalCaracter"/>
          </w:rPr>
          <w:t>93/2024</w:t>
        </w:r>
      </w:hyperlink>
      <w:r>
        <w:t>, VP II.</w:t>
      </w:r>
    </w:p>
    <w:p w14:paraId="494FA2AA" w14:textId="01E23695" w:rsidR="00601EEA" w:rsidRDefault="00601EEA" w:rsidP="00601EEA">
      <w:pPr>
        <w:pStyle w:val="SangriaFrancesaArticulo"/>
      </w:pPr>
    </w:p>
    <w:p w14:paraId="6290A837" w14:textId="77777777" w:rsidR="00601EEA" w:rsidRDefault="00601EEA" w:rsidP="00601EEA">
      <w:pPr>
        <w:pStyle w:val="TextoNormalNegritaCursivandice"/>
        <w:keepNext/>
      </w:pPr>
      <w:r>
        <w:t>Sentencia 743/2013, de 11 de octubre de 2013, de la Sala de lo Penal del Tribunal Supremo (ECLI:ES:TS:2013:4949)</w:t>
      </w:r>
    </w:p>
    <w:p w14:paraId="42142123" w14:textId="2A959C70" w:rsidR="00601EEA" w:rsidRDefault="00601EEA" w:rsidP="00601EEA">
      <w:pPr>
        <w:pStyle w:val="SangriaFrancesaArticulo"/>
      </w:pPr>
      <w:r>
        <w:t xml:space="preserve">Sentencia </w:t>
      </w:r>
      <w:hyperlink w:anchor="SENTENCIA_2024_93" w:history="1">
        <w:r w:rsidRPr="00601EEA">
          <w:rPr>
            <w:rStyle w:val="TextoNormalCaracter"/>
          </w:rPr>
          <w:t>93/2024</w:t>
        </w:r>
      </w:hyperlink>
      <w:r>
        <w:t>, VP II.</w:t>
      </w:r>
    </w:p>
    <w:p w14:paraId="3A418CD7" w14:textId="7FC4F5BC" w:rsidR="00601EEA" w:rsidRDefault="00601EEA" w:rsidP="00601EEA">
      <w:pPr>
        <w:pStyle w:val="SangriaFrancesaArticulo"/>
      </w:pPr>
    </w:p>
    <w:p w14:paraId="27B83AC8" w14:textId="77777777" w:rsidR="00601EEA" w:rsidRDefault="00601EEA" w:rsidP="00601EEA">
      <w:pPr>
        <w:pStyle w:val="TextoNormalNegritaCursivandice"/>
        <w:keepNext/>
      </w:pPr>
      <w:r>
        <w:t>Sentencia 856/2013, de 12 de noviembre, de la Sala de lo Penal del Tribunal Supremo (ECLI:ES:TS:2013:5456)</w:t>
      </w:r>
    </w:p>
    <w:p w14:paraId="63DFBFE7" w14:textId="768FC398" w:rsidR="00601EEA" w:rsidRDefault="00601EEA" w:rsidP="00601EEA">
      <w:pPr>
        <w:pStyle w:val="SangriaFrancesaArticulo"/>
      </w:pPr>
      <w:r>
        <w:t xml:space="preserve">Sentencia </w:t>
      </w:r>
      <w:hyperlink w:anchor="SENTENCIA_2024_9" w:history="1">
        <w:r w:rsidRPr="00601EEA">
          <w:rPr>
            <w:rStyle w:val="TextoNormalCaracter"/>
          </w:rPr>
          <w:t>9/2024</w:t>
        </w:r>
      </w:hyperlink>
      <w:r>
        <w:t>, VP II.</w:t>
      </w:r>
    </w:p>
    <w:p w14:paraId="4AFBC8B5" w14:textId="384FAE55" w:rsidR="00601EEA" w:rsidRDefault="00601EEA" w:rsidP="00601EEA">
      <w:pPr>
        <w:pStyle w:val="SangriaFrancesaArticulo"/>
      </w:pPr>
    </w:p>
    <w:p w14:paraId="5438C06D" w14:textId="77777777" w:rsidR="00601EEA" w:rsidRDefault="00601EEA" w:rsidP="00601EEA">
      <w:pPr>
        <w:pStyle w:val="TextoNormalNegritaCursivandice"/>
        <w:keepNext/>
      </w:pPr>
      <w:r>
        <w:t>Sentencia 18/2014, de 23 de enero de 2014, de la Sala de lo Penal del Tribunal Supremo (ECLI:ES:TS:2014:235)</w:t>
      </w:r>
    </w:p>
    <w:p w14:paraId="386B9161" w14:textId="3A8858A0" w:rsidR="00601EEA" w:rsidRDefault="00601EEA" w:rsidP="00601EEA">
      <w:pPr>
        <w:pStyle w:val="SangriaFrancesaArticulo"/>
      </w:pPr>
      <w:r>
        <w:t xml:space="preserve">Sentencia </w:t>
      </w:r>
      <w:hyperlink w:anchor="SENTENCIA_2024_93" w:history="1">
        <w:r w:rsidRPr="00601EEA">
          <w:rPr>
            <w:rStyle w:val="TextoNormalCaracter"/>
          </w:rPr>
          <w:t>93/2024</w:t>
        </w:r>
      </w:hyperlink>
      <w:r>
        <w:t>, VP II.</w:t>
      </w:r>
    </w:p>
    <w:p w14:paraId="14057F10" w14:textId="31E850AB" w:rsidR="00601EEA" w:rsidRDefault="00601EEA" w:rsidP="00601EEA">
      <w:pPr>
        <w:pStyle w:val="SangriaFrancesaArticulo"/>
      </w:pPr>
    </w:p>
    <w:p w14:paraId="558195AB" w14:textId="77777777" w:rsidR="00601EEA" w:rsidRDefault="00601EEA" w:rsidP="00601EEA">
      <w:pPr>
        <w:pStyle w:val="TextoNormalNegritaCursivandice"/>
        <w:keepNext/>
      </w:pPr>
      <w:r>
        <w:t>Sentencia 835/2013, de 6 de febrero de 2014, de la Sala de lo Civil del Tribunal Supremo (ECLI:ES:TS:2014:247)</w:t>
      </w:r>
    </w:p>
    <w:p w14:paraId="30063B67" w14:textId="7F18B103" w:rsidR="00601EEA" w:rsidRDefault="00601EEA" w:rsidP="00601EEA">
      <w:pPr>
        <w:pStyle w:val="SangriaFrancesaArticulo"/>
      </w:pPr>
      <w:r>
        <w:t xml:space="preserve">Sentencia </w:t>
      </w:r>
      <w:hyperlink w:anchor="SENTENCIA_2024_28" w:history="1">
        <w:r w:rsidRPr="00601EEA">
          <w:rPr>
            <w:rStyle w:val="TextoNormalCaracter"/>
          </w:rPr>
          <w:t>28/2024</w:t>
        </w:r>
      </w:hyperlink>
      <w:r>
        <w:t>, VP.</w:t>
      </w:r>
    </w:p>
    <w:p w14:paraId="2AEB727C" w14:textId="2593BEAA" w:rsidR="00601EEA" w:rsidRDefault="00601EEA" w:rsidP="00601EEA">
      <w:pPr>
        <w:pStyle w:val="SangriaFrancesaArticulo"/>
      </w:pPr>
    </w:p>
    <w:p w14:paraId="63EBB339" w14:textId="77777777" w:rsidR="00601EEA" w:rsidRDefault="00601EEA" w:rsidP="00601EEA">
      <w:pPr>
        <w:pStyle w:val="TextoNormalNegritaCursivandice"/>
        <w:keepNext/>
      </w:pPr>
      <w:r>
        <w:t>Sentencia de 16 de mayo de 2014, de la Sala de lo Contencioso-Administrativo del Tribunal Supremo (ECLI:ES:TS:2014:1899)</w:t>
      </w:r>
    </w:p>
    <w:p w14:paraId="08D5D0A1" w14:textId="68CAB1B1" w:rsidR="00601EEA" w:rsidRDefault="00601EEA" w:rsidP="00601EEA">
      <w:pPr>
        <w:pStyle w:val="SangriaFrancesaArticulo"/>
      </w:pPr>
      <w:r>
        <w:t xml:space="preserve">Sentencia </w:t>
      </w:r>
      <w:hyperlink w:anchor="SENTENCIA_2024_61" w:history="1">
        <w:r w:rsidRPr="00601EEA">
          <w:rPr>
            <w:rStyle w:val="TextoNormalCaracter"/>
          </w:rPr>
          <w:t>61/2024</w:t>
        </w:r>
      </w:hyperlink>
      <w:r>
        <w:t>, VP.</w:t>
      </w:r>
    </w:p>
    <w:p w14:paraId="2670DA72" w14:textId="52790C33" w:rsidR="00601EEA" w:rsidRDefault="00601EEA" w:rsidP="00601EEA">
      <w:pPr>
        <w:pStyle w:val="SangriaFrancesaArticulo"/>
      </w:pPr>
    </w:p>
    <w:p w14:paraId="3A112F38" w14:textId="77777777" w:rsidR="00601EEA" w:rsidRDefault="00601EEA" w:rsidP="00601EEA">
      <w:pPr>
        <w:pStyle w:val="TextoNormalNegritaCursivandice"/>
        <w:keepNext/>
      </w:pPr>
      <w:r>
        <w:lastRenderedPageBreak/>
        <w:t>Sentencia de 23 de enero de 2015, de la Sala de lo Contencioso-Administrativo del Tribunal Supremo (ECLI:ES:TS:2015:85)</w:t>
      </w:r>
    </w:p>
    <w:p w14:paraId="34E6643F" w14:textId="342CC6CF" w:rsidR="00601EEA" w:rsidRDefault="00601EEA" w:rsidP="00601EEA">
      <w:pPr>
        <w:pStyle w:val="SangriaFrancesaArticulo"/>
      </w:pPr>
      <w:r>
        <w:t xml:space="preserve">Sentencia </w:t>
      </w:r>
      <w:hyperlink w:anchor="SENTENCIA_2024_61" w:history="1">
        <w:r w:rsidRPr="00601EEA">
          <w:rPr>
            <w:rStyle w:val="TextoNormalCaracter"/>
          </w:rPr>
          <w:t>61/2024</w:t>
        </w:r>
      </w:hyperlink>
      <w:r>
        <w:t>, VP.</w:t>
      </w:r>
    </w:p>
    <w:p w14:paraId="6D5935F9" w14:textId="1278872C" w:rsidR="00601EEA" w:rsidRDefault="00601EEA" w:rsidP="00601EEA">
      <w:pPr>
        <w:pStyle w:val="SangriaFrancesaArticulo"/>
      </w:pPr>
    </w:p>
    <w:p w14:paraId="21438E0F" w14:textId="77777777" w:rsidR="00601EEA" w:rsidRDefault="00601EEA" w:rsidP="00601EEA">
      <w:pPr>
        <w:pStyle w:val="TextoNormalNegritaCursivandice"/>
        <w:keepNext/>
      </w:pPr>
      <w:r>
        <w:t>Sentencia 259/2015, de 30 de abril de 2015, de la Sala de lo Penal del Tribunal Supremo (ECLI:ES:TS:2015:1718)</w:t>
      </w:r>
    </w:p>
    <w:p w14:paraId="61804DDE" w14:textId="57C8CA56" w:rsidR="00601EEA" w:rsidRDefault="00601EEA" w:rsidP="00601EEA">
      <w:pPr>
        <w:pStyle w:val="SangriaFrancesaArticulo"/>
      </w:pPr>
      <w:r>
        <w:t xml:space="preserve">Sentencia </w:t>
      </w:r>
      <w:hyperlink w:anchor="SENTENCIA_2024_93" w:history="1">
        <w:r w:rsidRPr="00601EEA">
          <w:rPr>
            <w:rStyle w:val="TextoNormalCaracter"/>
          </w:rPr>
          <w:t>93/2024</w:t>
        </w:r>
      </w:hyperlink>
      <w:r>
        <w:t>, VP II.</w:t>
      </w:r>
    </w:p>
    <w:p w14:paraId="1AD49675" w14:textId="689CC6B7" w:rsidR="00601EEA" w:rsidRDefault="00601EEA" w:rsidP="00601EEA">
      <w:pPr>
        <w:pStyle w:val="SangriaFrancesaArticulo"/>
      </w:pPr>
    </w:p>
    <w:p w14:paraId="336BCA35" w14:textId="77777777" w:rsidR="00601EEA" w:rsidRDefault="00601EEA" w:rsidP="00601EEA">
      <w:pPr>
        <w:pStyle w:val="TextoNormalNegritaCursivandice"/>
        <w:keepNext/>
      </w:pPr>
      <w:r>
        <w:t>Sentencia 721/2015, de 22 de octubre de 2015, de la Sala de lo Penal del Tribunal Supremo (ECLI:ES:TS:2015:4705)</w:t>
      </w:r>
    </w:p>
    <w:p w14:paraId="2FC8B48E" w14:textId="0C88D35B" w:rsidR="00601EEA" w:rsidRDefault="00601EEA" w:rsidP="00601EEA">
      <w:pPr>
        <w:pStyle w:val="SangriaFrancesaArticulo"/>
      </w:pPr>
      <w:r>
        <w:t xml:space="preserve">Sentencia </w:t>
      </w:r>
      <w:hyperlink w:anchor="SENTENCIA_2024_48" w:history="1">
        <w:r w:rsidRPr="00601EEA">
          <w:rPr>
            <w:rStyle w:val="TextoNormalCaracter"/>
          </w:rPr>
          <w:t>48/2024</w:t>
        </w:r>
      </w:hyperlink>
      <w:r>
        <w:t>, VP I.</w:t>
      </w:r>
    </w:p>
    <w:p w14:paraId="310B08D3" w14:textId="0F5E4D50" w:rsidR="00601EEA" w:rsidRDefault="00601EEA" w:rsidP="00601EEA">
      <w:pPr>
        <w:pStyle w:val="SangriaFrancesaArticulo"/>
      </w:pPr>
    </w:p>
    <w:p w14:paraId="1952940F" w14:textId="77777777" w:rsidR="00601EEA" w:rsidRDefault="00601EEA" w:rsidP="00601EEA">
      <w:pPr>
        <w:pStyle w:val="TextoNormalNegritaCursivandice"/>
        <w:keepNext/>
      </w:pPr>
      <w:r>
        <w:t>Sentencia 53/2016, de 3 de febrero, de la Sala de lo Penal del Tribunal Supremo (ECLI:ES:TS:2016:340)</w:t>
      </w:r>
    </w:p>
    <w:p w14:paraId="1B0EABC3" w14:textId="15BD78E9" w:rsidR="00601EEA" w:rsidRDefault="00601EEA" w:rsidP="00601EEA">
      <w:pPr>
        <w:pStyle w:val="SangriaFrancesaArticulo"/>
      </w:pPr>
      <w:r>
        <w:t xml:space="preserve">Sentencia </w:t>
      </w:r>
      <w:hyperlink w:anchor="SENTENCIA_2024_9" w:history="1">
        <w:r w:rsidRPr="00601EEA">
          <w:rPr>
            <w:rStyle w:val="TextoNormalCaracter"/>
          </w:rPr>
          <w:t>9/2024</w:t>
        </w:r>
      </w:hyperlink>
      <w:r>
        <w:t>, VP II.</w:t>
      </w:r>
    </w:p>
    <w:p w14:paraId="6C0EFA7E" w14:textId="15ACA3A5" w:rsidR="00601EEA" w:rsidRDefault="00601EEA" w:rsidP="00601EEA">
      <w:pPr>
        <w:pStyle w:val="SangriaFrancesaArticulo"/>
      </w:pPr>
    </w:p>
    <w:p w14:paraId="14B93040" w14:textId="77777777" w:rsidR="00601EEA" w:rsidRDefault="00601EEA" w:rsidP="00601EEA">
      <w:pPr>
        <w:pStyle w:val="TextoNormalNegritaCursivandice"/>
        <w:keepNext/>
      </w:pPr>
      <w:r>
        <w:t>Sentencia 111/2016, de 19 de febrero de 2016, de la Sala de lo Penal del Tribunal Supremo (ECLI:ES:TS:2016:597)</w:t>
      </w:r>
    </w:p>
    <w:p w14:paraId="21DACB27" w14:textId="5B7B5EBA" w:rsidR="00601EEA" w:rsidRDefault="00601EEA" w:rsidP="00601EEA">
      <w:pPr>
        <w:pStyle w:val="SangriaFrancesaArticulo"/>
      </w:pPr>
      <w:r>
        <w:t xml:space="preserve">Sentencia </w:t>
      </w:r>
      <w:hyperlink w:anchor="SENTENCIA_2024_48" w:history="1">
        <w:r w:rsidRPr="00601EEA">
          <w:rPr>
            <w:rStyle w:val="TextoNormalCaracter"/>
          </w:rPr>
          <w:t>48/2024</w:t>
        </w:r>
      </w:hyperlink>
      <w:r>
        <w:t>, VP I.</w:t>
      </w:r>
    </w:p>
    <w:p w14:paraId="0EBE0720" w14:textId="2B241232" w:rsidR="00601EEA" w:rsidRDefault="00601EEA" w:rsidP="00601EEA">
      <w:pPr>
        <w:pStyle w:val="SangriaFrancesaArticulo"/>
      </w:pPr>
    </w:p>
    <w:p w14:paraId="0FE53019" w14:textId="77777777" w:rsidR="00601EEA" w:rsidRDefault="00601EEA" w:rsidP="00601EEA">
      <w:pPr>
        <w:pStyle w:val="TextoNormalNegritaCursivandice"/>
        <w:keepNext/>
      </w:pPr>
      <w:r>
        <w:t>Sentencia 706/2016, de 21 de julio, de la Sala de lo Social del Tribunal Supremo (ECLI:ES:TS:2016:4011)</w:t>
      </w:r>
    </w:p>
    <w:p w14:paraId="2958B993" w14:textId="667CF169"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22" w:history="1">
        <w:r w:rsidRPr="00601EEA">
          <w:rPr>
            <w:rStyle w:val="TextoNormalCaracter"/>
          </w:rPr>
          <w:t>22/2024</w:t>
        </w:r>
      </w:hyperlink>
      <w:r>
        <w:t>, f. 2.</w:t>
      </w:r>
    </w:p>
    <w:p w14:paraId="6394F526" w14:textId="648DA751" w:rsidR="00601EEA" w:rsidRDefault="00601EEA" w:rsidP="00601EEA">
      <w:pPr>
        <w:pStyle w:val="SangriaFrancesaArticulo"/>
      </w:pPr>
    </w:p>
    <w:p w14:paraId="4F087B8A" w14:textId="77777777" w:rsidR="00601EEA" w:rsidRDefault="00601EEA" w:rsidP="00601EEA">
      <w:pPr>
        <w:pStyle w:val="TextoNormalNegritaCursivandice"/>
        <w:keepNext/>
      </w:pPr>
      <w:r>
        <w:t>Sentencia 2773/2016, de 29 de diciembre, de la Sala de lo Contencioso-Administrativo del Tribunal Supremo (ECLI:ES:TS:2016:5766)</w:t>
      </w:r>
    </w:p>
    <w:p w14:paraId="30DD7FC6" w14:textId="16D35C94"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68" w:history="1">
        <w:r w:rsidRPr="00601EEA">
          <w:rPr>
            <w:rStyle w:val="TextoNormalCaracter"/>
          </w:rPr>
          <w:t>68/2024</w:t>
        </w:r>
      </w:hyperlink>
      <w:r>
        <w:t>, f. 8.</w:t>
      </w:r>
    </w:p>
    <w:p w14:paraId="0582E467" w14:textId="0980E4FD" w:rsidR="00601EEA" w:rsidRDefault="00601EEA" w:rsidP="00601EEA">
      <w:pPr>
        <w:pStyle w:val="SangriaFrancesaArticulo"/>
      </w:pPr>
    </w:p>
    <w:p w14:paraId="2FF3DC4B" w14:textId="77777777" w:rsidR="00601EEA" w:rsidRDefault="00601EEA" w:rsidP="00601EEA">
      <w:pPr>
        <w:pStyle w:val="TextoNormalNegritaCursivandice"/>
        <w:keepNext/>
      </w:pPr>
      <w:r>
        <w:t>Sentencia 419/2017, de 4 de julio, de la Sala de lo Civil del Tribunal Supremo (ECLI:ES:TS:2017:2501)</w:t>
      </w:r>
    </w:p>
    <w:p w14:paraId="50529014" w14:textId="2B90A9F2"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54" w:history="1">
        <w:r w:rsidRPr="00601EEA">
          <w:rPr>
            <w:rStyle w:val="TextoNormalCaracter"/>
          </w:rPr>
          <w:t>54/2024</w:t>
        </w:r>
      </w:hyperlink>
      <w:r>
        <w:t>, f. 3.</w:t>
      </w:r>
    </w:p>
    <w:p w14:paraId="5982FBA5" w14:textId="10FCE10E" w:rsidR="00601EEA" w:rsidRDefault="00601EEA" w:rsidP="00601EEA">
      <w:pPr>
        <w:pStyle w:val="SangriaFrancesaArticulo"/>
      </w:pPr>
    </w:p>
    <w:p w14:paraId="6488897B" w14:textId="77777777" w:rsidR="00601EEA" w:rsidRDefault="00601EEA" w:rsidP="00601EEA">
      <w:pPr>
        <w:pStyle w:val="TextoNormalNegritaCursivandice"/>
        <w:keepNext/>
      </w:pPr>
      <w:r>
        <w:t>Sentencia 708/2017, de 25 de septiembre, de la Sala de lo Social del Tribunal Supremo (ECLI:ES:TS:2017:3522)</w:t>
      </w:r>
    </w:p>
    <w:p w14:paraId="07543F71" w14:textId="6A38EC19"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22" w:history="1">
        <w:r w:rsidRPr="00601EEA">
          <w:rPr>
            <w:rStyle w:val="TextoNormalCaracter"/>
          </w:rPr>
          <w:t>22/2024</w:t>
        </w:r>
      </w:hyperlink>
      <w:r>
        <w:t>, f. 2.</w:t>
      </w:r>
    </w:p>
    <w:p w14:paraId="0E6C9502" w14:textId="769D3056" w:rsidR="00601EEA" w:rsidRDefault="00601EEA" w:rsidP="00601EEA">
      <w:pPr>
        <w:pStyle w:val="SangriaFrancesaArticulo"/>
      </w:pPr>
    </w:p>
    <w:p w14:paraId="3B5214D7" w14:textId="77777777" w:rsidR="00601EEA" w:rsidRDefault="00601EEA" w:rsidP="00601EEA">
      <w:pPr>
        <w:pStyle w:val="TextoNormalNegritaCursivandice"/>
        <w:keepNext/>
      </w:pPr>
      <w:r>
        <w:t>Sentencia 846/2017, de 25 de octubre, de la Sala de lo Social del Tribunal Supremo (ECLI:ES:TS:2017:4014)</w:t>
      </w:r>
    </w:p>
    <w:p w14:paraId="3F021274" w14:textId="1C79F1A7"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22" w:history="1">
        <w:r w:rsidRPr="00601EEA">
          <w:rPr>
            <w:rStyle w:val="TextoNormalCaracter"/>
          </w:rPr>
          <w:t>22/2024</w:t>
        </w:r>
      </w:hyperlink>
      <w:r>
        <w:t>, f. 2.</w:t>
      </w:r>
    </w:p>
    <w:p w14:paraId="43CD50C4" w14:textId="36A04EF6" w:rsidR="00601EEA" w:rsidRDefault="00601EEA" w:rsidP="00601EEA">
      <w:pPr>
        <w:pStyle w:val="SangriaFrancesaArticulo"/>
      </w:pPr>
    </w:p>
    <w:p w14:paraId="57941AF9" w14:textId="77777777" w:rsidR="00601EEA" w:rsidRDefault="00601EEA" w:rsidP="00601EEA">
      <w:pPr>
        <w:pStyle w:val="TextoNormalNegritaCursivandice"/>
        <w:keepNext/>
      </w:pPr>
      <w:r>
        <w:t>Sentencia 362/2018, de 4 de abril, de la Sala de lo Social del Tribunal Supremo (ECLI:ES:TS:2018:1344)</w:t>
      </w:r>
    </w:p>
    <w:p w14:paraId="18197554" w14:textId="533F0E5C"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22" w:history="1">
        <w:r w:rsidRPr="00601EEA">
          <w:rPr>
            <w:rStyle w:val="TextoNormalCaracter"/>
          </w:rPr>
          <w:t>22/2024</w:t>
        </w:r>
      </w:hyperlink>
      <w:r>
        <w:t>, f. 2.</w:t>
      </w:r>
    </w:p>
    <w:p w14:paraId="6FB45985" w14:textId="74DB31FC" w:rsidR="00601EEA" w:rsidRDefault="00601EEA" w:rsidP="00601EEA">
      <w:pPr>
        <w:pStyle w:val="SangriaFrancesaArticulo"/>
      </w:pPr>
    </w:p>
    <w:p w14:paraId="0B42F7ED" w14:textId="77777777" w:rsidR="00601EEA" w:rsidRDefault="00601EEA" w:rsidP="00601EEA">
      <w:pPr>
        <w:pStyle w:val="TextoNormalNegritaCursivandice"/>
        <w:keepNext/>
      </w:pPr>
      <w:r>
        <w:lastRenderedPageBreak/>
        <w:t>Sentencia 980/2018, de 12 de junio de 2018, de la Sala de lo Contencioso-Administrativo del Tribunal Supremo (ECLI:ES:TS:2018:2523)</w:t>
      </w:r>
    </w:p>
    <w:p w14:paraId="56EA390B" w14:textId="5F568036"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49" w:history="1">
        <w:r w:rsidRPr="00601EEA">
          <w:rPr>
            <w:rStyle w:val="TextoNormalCaracter"/>
          </w:rPr>
          <w:t>49/2024</w:t>
        </w:r>
      </w:hyperlink>
      <w:r>
        <w:t>, f. 2.</w:t>
      </w:r>
    </w:p>
    <w:p w14:paraId="37E1BEFE" w14:textId="6A68F0C9" w:rsidR="00601EEA" w:rsidRDefault="00601EEA" w:rsidP="00601EEA">
      <w:pPr>
        <w:pStyle w:val="SangriaFrancesaArticulo"/>
      </w:pPr>
    </w:p>
    <w:p w14:paraId="50DE3E00" w14:textId="77777777" w:rsidR="00601EEA" w:rsidRDefault="00601EEA" w:rsidP="00601EEA">
      <w:pPr>
        <w:pStyle w:val="TextoNormalNegritaCursivandice"/>
        <w:keepNext/>
      </w:pPr>
      <w:r>
        <w:t>Sentencia 1194/2018, de 11 de julio, de la Sala de lo Contencioso-Administrativo del Tribunal Supremo (ECLI:ES:TS:2018:2972)</w:t>
      </w:r>
    </w:p>
    <w:p w14:paraId="417F8B3E" w14:textId="6D0C140D" w:rsidR="00601EEA" w:rsidRDefault="00601EEA" w:rsidP="00601EEA">
      <w:pPr>
        <w:pStyle w:val="SangriaFrancesaArticulo"/>
      </w:pPr>
      <w:r>
        <w:t xml:space="preserve">Sentencia </w:t>
      </w:r>
      <w:hyperlink w:anchor="SENTENCIA_2024_76" w:history="1">
        <w:r w:rsidRPr="00601EEA">
          <w:rPr>
            <w:rStyle w:val="TextoNormalCaracter"/>
          </w:rPr>
          <w:t>76/2024</w:t>
        </w:r>
      </w:hyperlink>
      <w:r>
        <w:t>, f. 4.</w:t>
      </w:r>
    </w:p>
    <w:p w14:paraId="2AEB116F" w14:textId="1708A3C5" w:rsidR="00601EEA" w:rsidRDefault="00601EEA" w:rsidP="00601EEA">
      <w:pPr>
        <w:pStyle w:val="SangriaFrancesaArticulo"/>
      </w:pPr>
    </w:p>
    <w:p w14:paraId="2985E332" w14:textId="77777777" w:rsidR="00601EEA" w:rsidRDefault="00601EEA" w:rsidP="00601EEA">
      <w:pPr>
        <w:pStyle w:val="TextoNormalNegritaCursivandice"/>
        <w:keepNext/>
      </w:pPr>
      <w:r>
        <w:t>Sentencia 1263/2018, de 17 de julio, de la Sala de lo Contencioso-Administrativo del Tribunal Supremo (ECLI:ES:TS:2018:2747)</w:t>
      </w:r>
    </w:p>
    <w:p w14:paraId="1336B15E" w14:textId="1B5E9360" w:rsidR="00601EEA" w:rsidRDefault="00601EEA" w:rsidP="00601EEA">
      <w:pPr>
        <w:pStyle w:val="SangriaFrancesaArticulo"/>
      </w:pPr>
      <w:r>
        <w:t xml:space="preserve">Sentencia </w:t>
      </w:r>
      <w:hyperlink w:anchor="SENTENCIA_2024_61" w:history="1">
        <w:r w:rsidRPr="00601EEA">
          <w:rPr>
            <w:rStyle w:val="TextoNormalCaracter"/>
          </w:rPr>
          <w:t>61/2024</w:t>
        </w:r>
      </w:hyperlink>
      <w:r>
        <w:t>, f. 1.</w:t>
      </w:r>
    </w:p>
    <w:p w14:paraId="41EFFC4F" w14:textId="2EAF3951" w:rsidR="00601EEA" w:rsidRDefault="00601EEA" w:rsidP="00601EEA">
      <w:pPr>
        <w:pStyle w:val="SangriaFrancesaArticulo"/>
      </w:pPr>
    </w:p>
    <w:p w14:paraId="4F893D3A" w14:textId="77777777" w:rsidR="00601EEA" w:rsidRDefault="00601EEA" w:rsidP="00601EEA">
      <w:pPr>
        <w:pStyle w:val="TextoNormalNegritaCursivandice"/>
        <w:keepNext/>
      </w:pPr>
      <w:r>
        <w:t>Sentencia 864/2018, de 26 de septiembre de 2018, de la Sala de lo Social del Tribunal Supremo (ECLI:ES:TS:2018:3604)</w:t>
      </w:r>
    </w:p>
    <w:p w14:paraId="7FA3287A" w14:textId="5E40400A" w:rsidR="00601EEA" w:rsidRDefault="00601EEA" w:rsidP="00601EEA">
      <w:pPr>
        <w:pStyle w:val="SangriaFrancesaArticulo"/>
      </w:pPr>
      <w:r>
        <w:t xml:space="preserve">Sentencia </w:t>
      </w:r>
      <w:hyperlink w:anchor="SENTENCIA_2024_48" w:history="1">
        <w:r w:rsidRPr="00601EEA">
          <w:rPr>
            <w:rStyle w:val="TextoNormalCaracter"/>
          </w:rPr>
          <w:t>48/2024</w:t>
        </w:r>
      </w:hyperlink>
      <w:r>
        <w:t>, VP I.</w:t>
      </w:r>
    </w:p>
    <w:p w14:paraId="6E202E1B" w14:textId="6395A9E2" w:rsidR="00601EEA" w:rsidRDefault="00601EEA" w:rsidP="00601EEA">
      <w:pPr>
        <w:pStyle w:val="SangriaFrancesaArticulo"/>
      </w:pPr>
    </w:p>
    <w:p w14:paraId="70A7D389" w14:textId="77777777" w:rsidR="00601EEA" w:rsidRDefault="00601EEA" w:rsidP="00601EEA">
      <w:pPr>
        <w:pStyle w:val="TextoNormalNegritaCursivandice"/>
        <w:keepNext/>
      </w:pPr>
      <w:r>
        <w:t>Sentencia 528/2018, de 5 de noviembre de 2018, de la Sala de lo Penal del Tribunal Supremo (ECLI:ES:TS:2018:3791)</w:t>
      </w:r>
    </w:p>
    <w:p w14:paraId="016FE7EF" w14:textId="7AA0F4DE" w:rsidR="00601EEA" w:rsidRDefault="00601EEA" w:rsidP="00601EEA">
      <w:pPr>
        <w:pStyle w:val="SangriaFrancesaArticulo"/>
      </w:pPr>
      <w:r>
        <w:t xml:space="preserve">Sentencia </w:t>
      </w:r>
      <w:hyperlink w:anchor="SENTENCIA_2024_8" w:history="1">
        <w:r w:rsidRPr="00601EEA">
          <w:rPr>
            <w:rStyle w:val="TextoNormalCaracter"/>
          </w:rPr>
          <w:t>8/2024</w:t>
        </w:r>
      </w:hyperlink>
      <w:r>
        <w:t>, f. 6.</w:t>
      </w:r>
    </w:p>
    <w:p w14:paraId="33838B6B" w14:textId="5888569F" w:rsidR="00601EEA" w:rsidRDefault="00601EEA" w:rsidP="00601EEA">
      <w:pPr>
        <w:pStyle w:val="SangriaFrancesaArticulo"/>
      </w:pPr>
    </w:p>
    <w:p w14:paraId="59F1FFE3" w14:textId="77777777" w:rsidR="00601EEA" w:rsidRDefault="00601EEA" w:rsidP="00601EEA">
      <w:pPr>
        <w:pStyle w:val="TextoNormalNegritaCursivandice"/>
        <w:keepNext/>
      </w:pPr>
      <w:r>
        <w:t>Sentencia 683/2019, de 29 de enero de 2019, de la Sala de lo Penal del Tribunal Supremo (ECLI:ES:TS:2020:685)</w:t>
      </w:r>
    </w:p>
    <w:p w14:paraId="75A3607C" w14:textId="56B763E5" w:rsidR="00601EEA" w:rsidRDefault="00601EEA" w:rsidP="00601EEA">
      <w:pPr>
        <w:pStyle w:val="SangriaFrancesaArticulo"/>
      </w:pPr>
      <w:r>
        <w:t xml:space="preserve">Sentencia </w:t>
      </w:r>
      <w:hyperlink w:anchor="SENTENCIA_2024_8" w:history="1">
        <w:r w:rsidRPr="00601EEA">
          <w:rPr>
            <w:rStyle w:val="TextoNormalCaracter"/>
          </w:rPr>
          <w:t>8/2024</w:t>
        </w:r>
      </w:hyperlink>
      <w:r>
        <w:t>, f. 6.</w:t>
      </w:r>
    </w:p>
    <w:p w14:paraId="7B03ABBC" w14:textId="56E04AD3" w:rsidR="00601EEA" w:rsidRDefault="00601EEA" w:rsidP="00601EEA">
      <w:pPr>
        <w:pStyle w:val="SangriaFrancesaArticulo"/>
      </w:pPr>
    </w:p>
    <w:p w14:paraId="29A7F3B3" w14:textId="77777777" w:rsidR="00601EEA" w:rsidRDefault="00601EEA" w:rsidP="00601EEA">
      <w:pPr>
        <w:pStyle w:val="TextoNormalNegritaCursivandice"/>
        <w:keepNext/>
      </w:pPr>
      <w:r>
        <w:t>Sentencia 163/2019, de 26 de marzo de 2019, de la Sala de lo Penal del Tribunal Supremo (ECLI:ES:TS:2019:881)</w:t>
      </w:r>
    </w:p>
    <w:p w14:paraId="503699CB" w14:textId="2F90DB29" w:rsidR="00601EEA" w:rsidRDefault="00601EEA" w:rsidP="00601EEA">
      <w:pPr>
        <w:pStyle w:val="SangriaFrancesaArticulo"/>
      </w:pPr>
      <w:r>
        <w:t xml:space="preserve">Sentencia </w:t>
      </w:r>
      <w:hyperlink w:anchor="SENTENCIA_2024_93" w:history="1">
        <w:r w:rsidRPr="00601EEA">
          <w:rPr>
            <w:rStyle w:val="TextoNormalCaracter"/>
          </w:rPr>
          <w:t>93/2024</w:t>
        </w:r>
      </w:hyperlink>
      <w:r>
        <w:t>, f. 4, VP II.</w:t>
      </w:r>
    </w:p>
    <w:p w14:paraId="5890296B" w14:textId="2D91DF77" w:rsidR="00601EEA" w:rsidRDefault="00601EEA" w:rsidP="00601EEA">
      <w:pPr>
        <w:pStyle w:val="SangriaFrancesaArticulo"/>
      </w:pPr>
    </w:p>
    <w:p w14:paraId="76F840FD" w14:textId="77777777" w:rsidR="00601EEA" w:rsidRDefault="00601EEA" w:rsidP="00601EEA">
      <w:pPr>
        <w:pStyle w:val="TextoNormalNegritaCursivandice"/>
        <w:keepNext/>
      </w:pPr>
      <w:r>
        <w:t>Sentencia 920/2019, de 26 de junio de 2019, de la Sala de lo Contencioso-Administrativo del Tribunal Supremo (ECLI:ES:TS:2019:2088)</w:t>
      </w:r>
    </w:p>
    <w:p w14:paraId="19F043D3" w14:textId="36ABB4FD" w:rsidR="00601EEA" w:rsidRDefault="00601EEA" w:rsidP="00601EEA">
      <w:pPr>
        <w:pStyle w:val="SangriaFrancesaArticulo"/>
      </w:pPr>
      <w:r>
        <w:t xml:space="preserve">Sentencia </w:t>
      </w:r>
      <w:hyperlink w:anchor="SENTENCIA_2024_93" w:history="1">
        <w:r w:rsidRPr="00601EEA">
          <w:rPr>
            <w:rStyle w:val="TextoNormalCaracter"/>
          </w:rPr>
          <w:t>93/2024</w:t>
        </w:r>
      </w:hyperlink>
      <w:r>
        <w:t>, VP II.</w:t>
      </w:r>
    </w:p>
    <w:p w14:paraId="79E3FE62" w14:textId="3AA2FDD2" w:rsidR="00601EEA" w:rsidRDefault="00601EEA" w:rsidP="00601EEA">
      <w:pPr>
        <w:pStyle w:val="SangriaFrancesaArticulo"/>
      </w:pPr>
    </w:p>
    <w:p w14:paraId="1570C96A" w14:textId="77777777" w:rsidR="00601EEA" w:rsidRDefault="00601EEA" w:rsidP="00601EEA">
      <w:pPr>
        <w:pStyle w:val="TextoNormalNegritaCursivandice"/>
        <w:keepNext/>
      </w:pPr>
      <w:r>
        <w:t>Causa especial núm. 20907-2017 (derivada del denominado “procés” en Cataluña): Auto de 14 de octubre de 2019, de la Sala de lo Penal del Tribunal Supremo (ECLI:ES:TS:2019:10991A)</w:t>
      </w:r>
    </w:p>
    <w:p w14:paraId="42AA9CD3" w14:textId="1D48DF06" w:rsidR="00601EEA" w:rsidRDefault="00601EEA" w:rsidP="00601EEA">
      <w:pPr>
        <w:pStyle w:val="SangriaFrancesaArticulo"/>
      </w:pPr>
      <w:r>
        <w:t xml:space="preserve">Sentencia </w:t>
      </w:r>
      <w:hyperlink w:anchor="SENTENCIA_2024_50" w:history="1">
        <w:r w:rsidRPr="00601EEA">
          <w:rPr>
            <w:rStyle w:val="TextoNormalCaracter"/>
          </w:rPr>
          <w:t>50/2024</w:t>
        </w:r>
      </w:hyperlink>
      <w:r>
        <w:t>, f. 5.</w:t>
      </w:r>
    </w:p>
    <w:p w14:paraId="4271F50F" w14:textId="28D3066F" w:rsidR="00601EEA" w:rsidRDefault="00601EEA" w:rsidP="00601EEA">
      <w:pPr>
        <w:pStyle w:val="SangriaFrancesaArticulo"/>
      </w:pPr>
    </w:p>
    <w:p w14:paraId="64BD2495" w14:textId="77777777" w:rsidR="00601EEA" w:rsidRDefault="00601EEA" w:rsidP="00601EEA">
      <w:pPr>
        <w:pStyle w:val="TextoNormalNegritaCursivandice"/>
        <w:keepNext/>
      </w:pPr>
      <w:r>
        <w:t>Causa especial núm. 20907-2017 (derivada del denominado “procés” en Cataluña): Sentencia núm. 459/2019 de 14 de octubre de 2019, dictada por la Sala de lo Penal del Tribunal Supremo (ECLI:ES:TS:2019:2997)</w:t>
      </w:r>
    </w:p>
    <w:p w14:paraId="369F7BD8" w14:textId="5736CA5D" w:rsidR="00601EEA" w:rsidRDefault="00601EEA" w:rsidP="00601EEA">
      <w:pPr>
        <w:pStyle w:val="SangriaFrancesaArticulo"/>
      </w:pPr>
      <w:r>
        <w:t xml:space="preserve">Sentencia </w:t>
      </w:r>
      <w:hyperlink w:anchor="SENTENCIA_2024_50" w:history="1">
        <w:r w:rsidRPr="00601EEA">
          <w:rPr>
            <w:rStyle w:val="TextoNormalCaracter"/>
          </w:rPr>
          <w:t>50/2024</w:t>
        </w:r>
      </w:hyperlink>
      <w:r>
        <w:t>, f. 1.</w:t>
      </w:r>
    </w:p>
    <w:p w14:paraId="4D683775" w14:textId="32245361" w:rsidR="00601EEA" w:rsidRDefault="00601EEA" w:rsidP="00601EEA">
      <w:pPr>
        <w:pStyle w:val="SangriaFrancesaArticulo"/>
      </w:pPr>
    </w:p>
    <w:p w14:paraId="53444919" w14:textId="77777777" w:rsidR="00601EEA" w:rsidRDefault="00601EEA" w:rsidP="00601EEA">
      <w:pPr>
        <w:pStyle w:val="TextoNormalNegritaCursivandice"/>
        <w:keepNext/>
      </w:pPr>
      <w:r>
        <w:t>Sentencia 778/2019, de 13 de noviembre de 2019, de la Sala de lo Social del Tribunal Supremo (ECLI:ES:TS:2019:3703)</w:t>
      </w:r>
    </w:p>
    <w:p w14:paraId="31A21B21" w14:textId="4AA2BBAA" w:rsidR="00601EEA" w:rsidRDefault="00601EEA" w:rsidP="00601EEA">
      <w:pPr>
        <w:pStyle w:val="SangriaFrancesaArticulo"/>
      </w:pPr>
      <w:r>
        <w:t xml:space="preserve">Sentencia </w:t>
      </w:r>
      <w:hyperlink w:anchor="SENTENCIA_2024_48" w:history="1">
        <w:r w:rsidRPr="00601EEA">
          <w:rPr>
            <w:rStyle w:val="TextoNormalCaracter"/>
          </w:rPr>
          <w:t>48/2024</w:t>
        </w:r>
      </w:hyperlink>
      <w:r>
        <w:t>, VP I.</w:t>
      </w:r>
    </w:p>
    <w:p w14:paraId="2A9F9D82" w14:textId="486A5094" w:rsidR="00601EEA" w:rsidRDefault="00601EEA" w:rsidP="00601EEA">
      <w:pPr>
        <w:pStyle w:val="SangriaFrancesaArticulo"/>
      </w:pPr>
    </w:p>
    <w:p w14:paraId="2F0392A2" w14:textId="77777777" w:rsidR="00601EEA" w:rsidRDefault="00601EEA" w:rsidP="00601EEA">
      <w:pPr>
        <w:pStyle w:val="TextoNormalNegritaCursivandice"/>
        <w:keepNext/>
      </w:pPr>
      <w:r>
        <w:lastRenderedPageBreak/>
        <w:t>Sentencia 5/2020, de 10 de enero de 2020, de la Sala de lo Contencioso-Administrativo del Tribunal Supremo (ECLI:ES:TS:2020:5A)</w:t>
      </w:r>
    </w:p>
    <w:p w14:paraId="2DBBE951" w14:textId="7E079FCC" w:rsidR="00601EEA" w:rsidRDefault="00601EEA" w:rsidP="00601EEA">
      <w:pPr>
        <w:pStyle w:val="SangriaFrancesaArticulo"/>
      </w:pPr>
      <w:r>
        <w:t xml:space="preserve">Sentencia </w:t>
      </w:r>
      <w:hyperlink w:anchor="SENTENCIA_2024_62" w:history="1">
        <w:r w:rsidRPr="00601EEA">
          <w:rPr>
            <w:rStyle w:val="TextoNormalCaracter"/>
          </w:rPr>
          <w:t>62/2024</w:t>
        </w:r>
      </w:hyperlink>
      <w:r>
        <w:t>, f. 2.</w:t>
      </w:r>
    </w:p>
    <w:p w14:paraId="741B640F" w14:textId="59DA7B60" w:rsidR="00601EEA" w:rsidRDefault="00601EEA" w:rsidP="00601EEA">
      <w:pPr>
        <w:pStyle w:val="SangriaFrancesaArticulo"/>
      </w:pPr>
    </w:p>
    <w:p w14:paraId="5CFB66FF" w14:textId="77777777" w:rsidR="00601EEA" w:rsidRDefault="00601EEA" w:rsidP="00601EEA">
      <w:pPr>
        <w:pStyle w:val="TextoNormalNegritaCursivandice"/>
        <w:keepNext/>
      </w:pPr>
      <w:r>
        <w:t>Sentencia 1000/2020, de 15 de julio, de la Sala de lo Contencioso-Administrativo del Tribunal Supremo (ECLI:ES:TS:2020:2386)</w:t>
      </w:r>
    </w:p>
    <w:p w14:paraId="10CFD646" w14:textId="1E3ADBBA" w:rsidR="00601EEA" w:rsidRDefault="00601EEA" w:rsidP="00601EEA">
      <w:pPr>
        <w:pStyle w:val="SangriaFrancesaArticulo"/>
      </w:pPr>
      <w:r>
        <w:t xml:space="preserve">Sentencia </w:t>
      </w:r>
      <w:hyperlink w:anchor="SENTENCIA_2024_61" w:history="1">
        <w:r w:rsidRPr="00601EEA">
          <w:rPr>
            <w:rStyle w:val="TextoNormalCaracter"/>
          </w:rPr>
          <w:t>61/2024</w:t>
        </w:r>
      </w:hyperlink>
      <w:r>
        <w:t>, VP.</w:t>
      </w:r>
    </w:p>
    <w:p w14:paraId="4985DFEB" w14:textId="2FEC218C" w:rsidR="00601EEA" w:rsidRDefault="00601EEA" w:rsidP="00601EEA">
      <w:pPr>
        <w:pStyle w:val="SangriaFrancesaArticulo"/>
      </w:pPr>
    </w:p>
    <w:p w14:paraId="2B628665" w14:textId="77777777" w:rsidR="00601EEA" w:rsidRDefault="00601EEA" w:rsidP="00601EEA">
      <w:pPr>
        <w:pStyle w:val="TextoNormalNegritaCursivandice"/>
        <w:keepNext/>
      </w:pPr>
      <w:r>
        <w:t>Sentencia 472/2020, de 17 de septiembre, de la Sala de lo Civil del Tribunal Supremo (ECLI:ES:TS:2020:2838)</w:t>
      </w:r>
    </w:p>
    <w:p w14:paraId="1B5F2A5C" w14:textId="216EDD37"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54" w:history="1">
        <w:r w:rsidRPr="00601EEA">
          <w:rPr>
            <w:rStyle w:val="TextoNormalCaracter"/>
          </w:rPr>
          <w:t>54/2024</w:t>
        </w:r>
      </w:hyperlink>
      <w:r>
        <w:t>, f. 3.</w:t>
      </w:r>
    </w:p>
    <w:p w14:paraId="5E3D0BC8" w14:textId="66F9E1FA" w:rsidR="00601EEA" w:rsidRDefault="00601EEA" w:rsidP="00601EEA">
      <w:pPr>
        <w:pStyle w:val="SangriaFrancesaArticulo"/>
      </w:pPr>
    </w:p>
    <w:p w14:paraId="2A3595C2" w14:textId="77777777" w:rsidR="00601EEA" w:rsidRDefault="00601EEA" w:rsidP="00601EEA">
      <w:pPr>
        <w:pStyle w:val="TextoNormalNegritaCursivandice"/>
        <w:keepNext/>
      </w:pPr>
      <w:r>
        <w:t>Sentencia 477/2020, de 28 de septiembre de 2020, de la Sala de lo Penal del Tribunal Supremo (ECLI:ES:TS:2020:2986)</w:t>
      </w:r>
    </w:p>
    <w:p w14:paraId="490CBE09" w14:textId="6EA574FE" w:rsidR="00601EEA" w:rsidRDefault="00601EEA" w:rsidP="00601EEA">
      <w:pPr>
        <w:pStyle w:val="SangriaFrancesaArticulo"/>
      </w:pPr>
      <w:r>
        <w:t xml:space="preserve">Sentencia </w:t>
      </w:r>
      <w:hyperlink w:anchor="SENTENCIA_2024_62" w:history="1">
        <w:r w:rsidRPr="00601EEA">
          <w:rPr>
            <w:rStyle w:val="TextoNormalCaracter"/>
          </w:rPr>
          <w:t>62/2024</w:t>
        </w:r>
      </w:hyperlink>
      <w:r>
        <w:t>, ff. 1, 2.</w:t>
      </w:r>
    </w:p>
    <w:p w14:paraId="0E3587B5" w14:textId="36A3E81F" w:rsidR="00601EEA" w:rsidRDefault="00601EEA" w:rsidP="00601EEA">
      <w:pPr>
        <w:pStyle w:val="SangriaFrancesaArticulo"/>
      </w:pPr>
    </w:p>
    <w:p w14:paraId="3BACD083" w14:textId="77777777" w:rsidR="00601EEA" w:rsidRDefault="00601EEA" w:rsidP="00601EEA">
      <w:pPr>
        <w:pStyle w:val="TextoNormalNegritaCursivandice"/>
        <w:keepNext/>
      </w:pPr>
      <w:r>
        <w:t>Sentencia 1284/2020, de 13 de octubre, de la Sala de lo Contencioso-Administrativo del Tribunal Supremo (ECLI:ES:TS:2020:3380)</w:t>
      </w:r>
    </w:p>
    <w:p w14:paraId="1DAE202E" w14:textId="4A430D72" w:rsidR="00601EEA" w:rsidRDefault="00601EEA" w:rsidP="00601EEA">
      <w:pPr>
        <w:pStyle w:val="SangriaFrancesaArticulo"/>
      </w:pPr>
      <w:r>
        <w:t xml:space="preserve">Sentencia </w:t>
      </w:r>
      <w:hyperlink w:anchor="SENTENCIA_2024_61" w:history="1">
        <w:r w:rsidRPr="00601EEA">
          <w:rPr>
            <w:rStyle w:val="TextoNormalCaracter"/>
          </w:rPr>
          <w:t>61/2024</w:t>
        </w:r>
      </w:hyperlink>
      <w:r>
        <w:t>, VP.</w:t>
      </w:r>
    </w:p>
    <w:p w14:paraId="690F2542" w14:textId="05155016" w:rsidR="00601EEA" w:rsidRDefault="00601EEA" w:rsidP="00601EEA">
      <w:pPr>
        <w:pStyle w:val="SangriaFrancesaArticulo"/>
      </w:pPr>
    </w:p>
    <w:p w14:paraId="251126A6" w14:textId="77777777" w:rsidR="00601EEA" w:rsidRDefault="00601EEA" w:rsidP="00601EEA">
      <w:pPr>
        <w:pStyle w:val="TextoNormalNegritaCursivandice"/>
        <w:keepNext/>
      </w:pPr>
      <w:r>
        <w:t>Sentencia 1645/2020, de 2 de diciembre, de la Sala de lo Contencioso-Administrativo del Tribunal Supremo (ECLI:ES:TS:2020:4111)</w:t>
      </w:r>
    </w:p>
    <w:p w14:paraId="02E2160B" w14:textId="6514C5C2" w:rsidR="00601EEA" w:rsidRDefault="00601EEA" w:rsidP="00601EEA">
      <w:pPr>
        <w:pStyle w:val="SangriaFrancesaArticulo"/>
      </w:pPr>
      <w:r>
        <w:t xml:space="preserve">Sentencia </w:t>
      </w:r>
      <w:hyperlink w:anchor="SENTENCIA_2024_76" w:history="1">
        <w:r w:rsidRPr="00601EEA">
          <w:rPr>
            <w:rStyle w:val="TextoNormalCaracter"/>
          </w:rPr>
          <w:t>76/2024</w:t>
        </w:r>
      </w:hyperlink>
      <w:r>
        <w:t>, f. 4.</w:t>
      </w:r>
    </w:p>
    <w:p w14:paraId="2E8EA920" w14:textId="31FAF051" w:rsidR="00601EEA" w:rsidRDefault="00601EEA" w:rsidP="00601EEA">
      <w:pPr>
        <w:pStyle w:val="SangriaFrancesaArticulo"/>
      </w:pPr>
    </w:p>
    <w:p w14:paraId="7B937D4D" w14:textId="77777777" w:rsidR="00601EEA" w:rsidRDefault="00601EEA" w:rsidP="00601EEA">
      <w:pPr>
        <w:pStyle w:val="TextoNormalNegritaCursivandice"/>
        <w:keepNext/>
      </w:pPr>
      <w:r>
        <w:t>Sentencia 1061/2021, de 20 de julio de 2021, de la Sala de lo Contencioso-Administrativo del Tribunal Supremo (ECLI:ES:TS:2021:3092)</w:t>
      </w:r>
    </w:p>
    <w:p w14:paraId="41FED7A6" w14:textId="708D88E3" w:rsidR="00601EEA" w:rsidRDefault="00601EEA" w:rsidP="00601EEA">
      <w:pPr>
        <w:pStyle w:val="SangriaFrancesaArticulo"/>
      </w:pPr>
      <w:r>
        <w:t xml:space="preserve">Sentencia </w:t>
      </w:r>
      <w:hyperlink w:anchor="SENTENCIA_2024_62" w:history="1">
        <w:r w:rsidRPr="00601EEA">
          <w:rPr>
            <w:rStyle w:val="TextoNormalCaracter"/>
          </w:rPr>
          <w:t>62/2024</w:t>
        </w:r>
      </w:hyperlink>
      <w:r>
        <w:t>, f. 1.</w:t>
      </w:r>
    </w:p>
    <w:p w14:paraId="43B28121" w14:textId="32109A5E" w:rsidR="00601EEA" w:rsidRDefault="00601EEA" w:rsidP="00601EEA">
      <w:pPr>
        <w:pStyle w:val="SangriaFrancesaArticulo"/>
      </w:pPr>
    </w:p>
    <w:p w14:paraId="46508781" w14:textId="77777777" w:rsidR="00601EEA" w:rsidRDefault="00601EEA" w:rsidP="00601EEA">
      <w:pPr>
        <w:pStyle w:val="TextoNormalNegritaCursivandice"/>
        <w:keepNext/>
      </w:pPr>
      <w:r>
        <w:t>Sentencia 750/2021, de 6 de octubre de 2021, de la Sala de lo Penal del Tribunal Supremo (ECLI:ES:TS:2021:3638)</w:t>
      </w:r>
    </w:p>
    <w:p w14:paraId="70B4D1F0" w14:textId="52E7639D" w:rsidR="00601EEA" w:rsidRDefault="00601EEA" w:rsidP="00601EEA">
      <w:pPr>
        <w:pStyle w:val="SangriaFrancesaArticulo"/>
      </w:pPr>
      <w:r>
        <w:t xml:space="preserve">Sentencia </w:t>
      </w:r>
      <w:hyperlink w:anchor="SENTENCIA_2024_8" w:history="1">
        <w:r w:rsidRPr="00601EEA">
          <w:rPr>
            <w:rStyle w:val="TextoNormalCaracter"/>
          </w:rPr>
          <w:t>8/2024</w:t>
        </w:r>
      </w:hyperlink>
      <w:r>
        <w:t>, VP I.</w:t>
      </w:r>
    </w:p>
    <w:p w14:paraId="1C3B9AF7" w14:textId="35B4B5F2" w:rsidR="00601EEA" w:rsidRDefault="00601EEA" w:rsidP="00601EEA">
      <w:pPr>
        <w:pStyle w:val="SangriaFrancesaArticulo"/>
      </w:pPr>
    </w:p>
    <w:p w14:paraId="2AF8491A" w14:textId="77777777" w:rsidR="00601EEA" w:rsidRDefault="00601EEA" w:rsidP="00601EEA">
      <w:pPr>
        <w:pStyle w:val="TextoNormalNegritaCursivandice"/>
        <w:keepNext/>
      </w:pPr>
      <w:r>
        <w:t>Sentencia 136/2022, de 17 de febrero, de la Sala de lo Penal del Tribunal Supremo (ECLI:ES:TS:2022:680)</w:t>
      </w:r>
    </w:p>
    <w:p w14:paraId="054C37DA" w14:textId="510EA6E2" w:rsidR="00601EEA" w:rsidRDefault="00601EEA" w:rsidP="00601EEA">
      <w:pPr>
        <w:pStyle w:val="SangriaFrancesaArticulo"/>
      </w:pPr>
      <w:r>
        <w:t xml:space="preserve">Sentencia </w:t>
      </w:r>
      <w:hyperlink w:anchor="SENTENCIA_2024_80" w:history="1">
        <w:r w:rsidRPr="00601EEA">
          <w:rPr>
            <w:rStyle w:val="TextoNormalCaracter"/>
          </w:rPr>
          <w:t>80/2024</w:t>
        </w:r>
      </w:hyperlink>
      <w:r>
        <w:t>, f. 4.</w:t>
      </w:r>
    </w:p>
    <w:p w14:paraId="6C860B66" w14:textId="6D70391E" w:rsidR="00601EEA" w:rsidRDefault="00601EEA" w:rsidP="00601EEA">
      <w:pPr>
        <w:pStyle w:val="SangriaFrancesaArticulo"/>
      </w:pPr>
    </w:p>
    <w:p w14:paraId="54AEF09C" w14:textId="77777777" w:rsidR="00601EEA" w:rsidRDefault="00601EEA" w:rsidP="00601EEA">
      <w:pPr>
        <w:pStyle w:val="TextoNormalNegritaCursivandice"/>
        <w:keepNext/>
      </w:pPr>
      <w:r>
        <w:t>Sentencia 277/2022, de 31 de marzo de 2022, de la Sala de lo Civil del Tribunal Supremo (ECLI:ES:TS:2022:1153)</w:t>
      </w:r>
    </w:p>
    <w:p w14:paraId="47A53383" w14:textId="17E6C9CD" w:rsidR="00601EEA" w:rsidRDefault="00601EEA" w:rsidP="00601EEA">
      <w:pPr>
        <w:pStyle w:val="SangriaFrancesaArticulo"/>
      </w:pPr>
      <w:r>
        <w:t xml:space="preserve">Sentencia </w:t>
      </w:r>
      <w:hyperlink w:anchor="SENTENCIA_2024_28" w:history="1">
        <w:r w:rsidRPr="00601EEA">
          <w:rPr>
            <w:rStyle w:val="TextoNormalCaracter"/>
          </w:rPr>
          <w:t>28/2024</w:t>
        </w:r>
      </w:hyperlink>
      <w:r>
        <w:t>, VP.</w:t>
      </w:r>
    </w:p>
    <w:p w14:paraId="0D10EE06" w14:textId="5D880E9B" w:rsidR="00601EEA" w:rsidRDefault="00601EEA" w:rsidP="00601EEA">
      <w:pPr>
        <w:pStyle w:val="SangriaFrancesaArticulo"/>
      </w:pPr>
    </w:p>
    <w:p w14:paraId="2E2433A2" w14:textId="77777777" w:rsidR="00601EEA" w:rsidRDefault="00601EEA" w:rsidP="00601EEA">
      <w:pPr>
        <w:pStyle w:val="TextoNormalNegritaCursivandice"/>
        <w:keepNext/>
      </w:pPr>
      <w:r>
        <w:t>Sentencia 570/2022, de 8 de junio, de la Sala de lo Penal del Tribunal Supremo (ECLI:ES:TS:2022:2354)</w:t>
      </w:r>
    </w:p>
    <w:p w14:paraId="19D75096" w14:textId="4C7BCF8D" w:rsidR="00601EEA" w:rsidRDefault="00601EEA" w:rsidP="00601EEA">
      <w:pPr>
        <w:pStyle w:val="SangriaFrancesaArticulo"/>
      </w:pPr>
      <w:r>
        <w:t xml:space="preserve">Sentencia </w:t>
      </w:r>
      <w:hyperlink w:anchor="SENTENCIA_2024_80" w:history="1">
        <w:r w:rsidRPr="00601EEA">
          <w:rPr>
            <w:rStyle w:val="TextoNormalCaracter"/>
          </w:rPr>
          <w:t>80/2024</w:t>
        </w:r>
      </w:hyperlink>
      <w:r>
        <w:t>, f. 4.</w:t>
      </w:r>
    </w:p>
    <w:p w14:paraId="7A0CD344" w14:textId="5911C59F" w:rsidR="00601EEA" w:rsidRDefault="00601EEA" w:rsidP="00601EEA">
      <w:pPr>
        <w:pStyle w:val="SangriaFrancesaArticulo"/>
      </w:pPr>
    </w:p>
    <w:p w14:paraId="458C8579" w14:textId="77777777" w:rsidR="00601EEA" w:rsidRDefault="00601EEA" w:rsidP="00601EEA">
      <w:pPr>
        <w:pStyle w:val="TextoNormalNegritaCursivandice"/>
        <w:keepNext/>
      </w:pPr>
      <w:r>
        <w:lastRenderedPageBreak/>
        <w:t>Sentencia 576/2022, de 23 de junio de 2022, de la Sala de lo Social del Tribunal Supremo (ECLI:ES:TS:2022:2549)</w:t>
      </w:r>
    </w:p>
    <w:p w14:paraId="11B9BB2A" w14:textId="7A455963" w:rsidR="00601EEA" w:rsidRDefault="00601EEA" w:rsidP="00601EEA">
      <w:pPr>
        <w:pStyle w:val="SangriaFrancesaArticulo"/>
      </w:pPr>
      <w:r>
        <w:t xml:space="preserve">Sentencia </w:t>
      </w:r>
      <w:hyperlink w:anchor="SENTENCIA_2024_48" w:history="1">
        <w:r w:rsidRPr="00601EEA">
          <w:rPr>
            <w:rStyle w:val="TextoNormalCaracter"/>
          </w:rPr>
          <w:t>48/2024</w:t>
        </w:r>
      </w:hyperlink>
      <w:r>
        <w:t>, VP I.</w:t>
      </w:r>
    </w:p>
    <w:p w14:paraId="224B2A42" w14:textId="38A0F3E7" w:rsidR="00601EEA" w:rsidRDefault="00601EEA" w:rsidP="00601EEA">
      <w:pPr>
        <w:pStyle w:val="SangriaFrancesaArticulo"/>
      </w:pPr>
    </w:p>
    <w:p w14:paraId="57B0DDB2" w14:textId="77777777" w:rsidR="00601EEA" w:rsidRDefault="00601EEA" w:rsidP="00601EEA">
      <w:pPr>
        <w:pStyle w:val="TextoNormalNegritaCursivandice"/>
        <w:keepNext/>
      </w:pPr>
      <w:r>
        <w:t>Sentencia 514/2023, de 28 de junio, de la Sala de lo Penal del Tribunal Supremo (ECLI:ES:TS:2023:2831)</w:t>
      </w:r>
    </w:p>
    <w:p w14:paraId="104E91EA" w14:textId="47533068" w:rsidR="00601EEA" w:rsidRDefault="00601EEA" w:rsidP="00601EEA">
      <w:pPr>
        <w:pStyle w:val="SangriaFrancesaArticulo"/>
      </w:pPr>
      <w:r>
        <w:t xml:space="preserve">Sentencia </w:t>
      </w:r>
      <w:hyperlink w:anchor="SENTENCIA_2024_80" w:history="1">
        <w:r w:rsidRPr="00601EEA">
          <w:rPr>
            <w:rStyle w:val="TextoNormalCaracter"/>
          </w:rPr>
          <w:t>80/2024</w:t>
        </w:r>
      </w:hyperlink>
      <w:r>
        <w:t>, f. 4.</w:t>
      </w:r>
    </w:p>
    <w:p w14:paraId="258EC33D" w14:textId="70E4B05B" w:rsidR="00601EEA" w:rsidRDefault="00601EEA" w:rsidP="00601EEA">
      <w:pPr>
        <w:pStyle w:val="SangriaFrancesaArticulo"/>
      </w:pPr>
    </w:p>
    <w:p w14:paraId="2A4E90F0" w14:textId="77777777" w:rsidR="00601EEA" w:rsidRDefault="00601EEA" w:rsidP="00601EEA">
      <w:pPr>
        <w:pStyle w:val="TextoNormalNegritaCursivandice"/>
        <w:keepNext/>
      </w:pPr>
      <w:r>
        <w:t>Sentencia 871/2023, de 23 de noviembre, de la Sala de lo Penal del Tribunal Supremo (ECLI:ES:TS:2023:5305)</w:t>
      </w:r>
    </w:p>
    <w:p w14:paraId="64587C46" w14:textId="1DCE1EB0" w:rsidR="00601EEA" w:rsidRDefault="00601EEA" w:rsidP="00601EEA">
      <w:pPr>
        <w:pStyle w:val="SangriaFrancesaArticulo"/>
      </w:pPr>
      <w:r>
        <w:t xml:space="preserve">Sentencia </w:t>
      </w:r>
      <w:hyperlink w:anchor="SENTENCIA_2024_87" w:history="1">
        <w:r w:rsidRPr="00601EEA">
          <w:rPr>
            <w:rStyle w:val="TextoNormalCaracter"/>
          </w:rPr>
          <w:t>87/2024</w:t>
        </w:r>
      </w:hyperlink>
      <w:r>
        <w:t>, f. 3.</w:t>
      </w:r>
    </w:p>
    <w:p w14:paraId="5DB01630" w14:textId="4750083A" w:rsidR="00601EEA" w:rsidRDefault="00601EEA" w:rsidP="00601EEA">
      <w:pPr>
        <w:pStyle w:val="SangriaFrancesaArticulo"/>
      </w:pPr>
    </w:p>
    <w:p w14:paraId="183E0DD5" w14:textId="77777777" w:rsidR="00601EEA" w:rsidRDefault="00601EEA" w:rsidP="00601EEA">
      <w:pPr>
        <w:pStyle w:val="TextoNormalNegritaCursivandice"/>
        <w:keepNext/>
      </w:pPr>
      <w:r>
        <w:t>Sentencia 150/2024, de 31 de enero, de la Sala de lo Contencioso-Administrativo del Tribunal Supremo (ECLI:ES:TS:2024:481)</w:t>
      </w:r>
    </w:p>
    <w:p w14:paraId="3CA2D163" w14:textId="49C8CD1E"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68" w:history="1">
        <w:r w:rsidRPr="00601EEA">
          <w:rPr>
            <w:rStyle w:val="TextoNormalCaracter"/>
          </w:rPr>
          <w:t>68/2024</w:t>
        </w:r>
      </w:hyperlink>
      <w:r>
        <w:t>, ff. 2, 8.</w:t>
      </w:r>
    </w:p>
    <w:p w14:paraId="26674FE1" w14:textId="647020AF" w:rsidR="00601EEA" w:rsidRDefault="00601EEA" w:rsidP="00601EEA">
      <w:pPr>
        <w:pStyle w:val="TextoNormal"/>
      </w:pPr>
    </w:p>
    <w:p w14:paraId="23E9F872" w14:textId="77777777" w:rsidR="00601EEA" w:rsidRDefault="00601EEA" w:rsidP="00601EEA">
      <w:pPr>
        <w:pStyle w:val="SangriaFrancesaArticulo"/>
      </w:pPr>
      <w:bookmarkStart w:id="179" w:name="INDICE22926"/>
    </w:p>
    <w:bookmarkEnd w:id="179"/>
    <w:p w14:paraId="09218E25" w14:textId="77777777" w:rsidR="00601EEA" w:rsidRDefault="00601EEA" w:rsidP="00601EEA">
      <w:pPr>
        <w:pStyle w:val="TextoIndiceNivel2"/>
        <w:suppressAutoHyphens/>
      </w:pPr>
      <w:r>
        <w:t>D) Otros Tribunales</w:t>
      </w:r>
    </w:p>
    <w:p w14:paraId="453F8D20" w14:textId="3215CB35" w:rsidR="00601EEA" w:rsidRDefault="00601EEA" w:rsidP="00601EEA">
      <w:pPr>
        <w:pStyle w:val="TextoIndiceNivel2"/>
      </w:pPr>
    </w:p>
    <w:p w14:paraId="25258CEF" w14:textId="77777777" w:rsidR="00601EEA" w:rsidRDefault="00601EEA" w:rsidP="00601EEA">
      <w:pPr>
        <w:pStyle w:val="TextoNormalNegritaCursivandice"/>
        <w:keepNext/>
      </w:pPr>
      <w:r>
        <w:t>Sentencia del Tribunal Supremo de los Estados Unidos de América (Roe vs. Wade) (410 U.S., 1973)</w:t>
      </w:r>
    </w:p>
    <w:p w14:paraId="5C8E7D03" w14:textId="315C3E5D"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92" w:history="1">
        <w:r w:rsidRPr="00601EEA">
          <w:rPr>
            <w:rStyle w:val="TextoNormalCaracter"/>
          </w:rPr>
          <w:t>92/2024</w:t>
        </w:r>
      </w:hyperlink>
      <w:r>
        <w:t>, VP III.</w:t>
      </w:r>
    </w:p>
    <w:p w14:paraId="0697569B" w14:textId="76E22410" w:rsidR="00601EEA" w:rsidRDefault="00601EEA" w:rsidP="00601EEA">
      <w:pPr>
        <w:pStyle w:val="SangriaFrancesaArticulo"/>
      </w:pPr>
    </w:p>
    <w:p w14:paraId="32BB805C" w14:textId="77777777" w:rsidR="00601EEA" w:rsidRDefault="00601EEA" w:rsidP="00601EEA">
      <w:pPr>
        <w:pStyle w:val="TextoNormalNegritaCursivandice"/>
        <w:keepNext/>
      </w:pPr>
      <w:r>
        <w:t>Sentencia del Tribunal Supremo de los Estados Unidos de América (Planned Parenthood vs. Casey) (505 U.S., 1992)</w:t>
      </w:r>
    </w:p>
    <w:p w14:paraId="198F4241" w14:textId="051619DE"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92" w:history="1">
        <w:r w:rsidRPr="00601EEA">
          <w:rPr>
            <w:rStyle w:val="TextoNormalCaracter"/>
          </w:rPr>
          <w:t>92/2024</w:t>
        </w:r>
      </w:hyperlink>
      <w:r>
        <w:t>, VP III.</w:t>
      </w:r>
    </w:p>
    <w:p w14:paraId="28D0687B" w14:textId="5E4509A1" w:rsidR="00601EEA" w:rsidRDefault="00601EEA" w:rsidP="00601EEA">
      <w:pPr>
        <w:pStyle w:val="SangriaFrancesaArticulo"/>
      </w:pPr>
    </w:p>
    <w:p w14:paraId="6DA5D55D" w14:textId="77777777" w:rsidR="00601EEA" w:rsidRDefault="00601EEA" w:rsidP="00601EEA">
      <w:pPr>
        <w:pStyle w:val="TextoNormalNegritaCursivandice"/>
        <w:keepNext/>
      </w:pPr>
      <w:r>
        <w:t>Sentencia del Tribunal Supremo de los Estados Unidos de América (Dobbs v. Jackson Women's Health Organization) (597 U.S., 2022)</w:t>
      </w:r>
    </w:p>
    <w:p w14:paraId="5F84F5A1" w14:textId="04878D06" w:rsidR="00601EEA" w:rsidRDefault="00601EEA" w:rsidP="00601EEA">
      <w:pPr>
        <w:pStyle w:val="SangriaFrancesaArticulo"/>
      </w:pPr>
      <w:r w:rsidRPr="00601EEA">
        <w:rPr>
          <w:rStyle w:val="TextoNormalNegritaCaracter"/>
        </w:rPr>
        <w:t>En general.</w:t>
      </w:r>
      <w:r w:rsidRPr="00601EEA">
        <w:rPr>
          <w:rStyle w:val="TextoNormalCaracter"/>
        </w:rPr>
        <w:t>-</w:t>
      </w:r>
      <w:r>
        <w:t xml:space="preserve"> Sentencia </w:t>
      </w:r>
      <w:hyperlink w:anchor="SENTENCIA_2024_92" w:history="1">
        <w:r w:rsidRPr="00601EEA">
          <w:rPr>
            <w:rStyle w:val="TextoNormalCaracter"/>
          </w:rPr>
          <w:t>92/2024</w:t>
        </w:r>
      </w:hyperlink>
      <w:r>
        <w:t>, VP III.</w:t>
      </w:r>
    </w:p>
    <w:p w14:paraId="49F6F5D2" w14:textId="22415ED2" w:rsidR="00601EEA" w:rsidRDefault="00601EEA">
      <w:pPr>
        <w:spacing w:after="160" w:line="259" w:lineRule="auto"/>
        <w:rPr>
          <w:rFonts w:ascii="Times New Roman" w:eastAsia="Times New Roman" w:hAnsi="Times New Roman" w:cs="Times New Roman"/>
          <w:sz w:val="24"/>
          <w:szCs w:val="24"/>
          <w:lang w:eastAsia="es-ES"/>
        </w:rPr>
      </w:pPr>
      <w:r>
        <w:br w:type="page"/>
      </w:r>
    </w:p>
    <w:p w14:paraId="40DF567C" w14:textId="77777777" w:rsidR="00601EEA" w:rsidRDefault="00601EEA" w:rsidP="00601EEA">
      <w:pPr>
        <w:pStyle w:val="SangriaFrancesaArticulo"/>
      </w:pPr>
      <w:bookmarkStart w:id="180" w:name="DESCRIPTOR1"/>
      <w:bookmarkStart w:id="181" w:name="DESCRIPTOR2"/>
      <w:bookmarkStart w:id="182" w:name="DESCRIPTOR3"/>
      <w:bookmarkStart w:id="183" w:name="DESCRIPTOR4"/>
      <w:bookmarkStart w:id="184" w:name="DESCRIPTOR5"/>
      <w:bookmarkStart w:id="185" w:name="DESCRIPTOR6"/>
      <w:bookmarkStart w:id="186" w:name="DESCRIPTOR7"/>
      <w:bookmarkStart w:id="187" w:name="DESCRIPTOR8"/>
      <w:bookmarkStart w:id="188" w:name="DESCRIPTOR9"/>
      <w:bookmarkStart w:id="189" w:name="DESCRIPTOR10"/>
      <w:bookmarkStart w:id="190" w:name="DESCRIPTOR11"/>
      <w:bookmarkStart w:id="191" w:name="DESCRIPTOR12"/>
      <w:bookmarkStart w:id="192" w:name="DESCRIPTOR13"/>
      <w:bookmarkStart w:id="193" w:name="DESCRIPTOR14"/>
      <w:bookmarkStart w:id="194" w:name="DESCRIPTOR15"/>
      <w:bookmarkStart w:id="195" w:name="DESCRIPTOR16"/>
      <w:bookmarkStart w:id="196" w:name="DESCRIPTOR17"/>
      <w:bookmarkStart w:id="197" w:name="DESCRIPTOR18"/>
      <w:bookmarkStart w:id="198" w:name="DESCRIPTOR19"/>
      <w:bookmarkStart w:id="199" w:name="DESCRIPTOR20"/>
      <w:bookmarkStart w:id="200" w:name="DESCRIPTOR21"/>
      <w:bookmarkStart w:id="201" w:name="DESCRIPTOR22"/>
      <w:bookmarkStart w:id="202" w:name="DESCRIPTOR23"/>
      <w:bookmarkStart w:id="203" w:name="DESCRIPTOR24"/>
      <w:bookmarkStart w:id="204" w:name="DESCRIPTOR25"/>
      <w:bookmarkStart w:id="205" w:name="DESCRIPTOR26"/>
      <w:bookmarkStart w:id="206" w:name="DESCRIPTOR27"/>
      <w:bookmarkStart w:id="207" w:name="DESCRIPTOR28"/>
      <w:bookmarkStart w:id="208" w:name="DESCRIPTOR29"/>
      <w:bookmarkStart w:id="209" w:name="DESCRIPTOR30"/>
      <w:bookmarkStart w:id="210" w:name="DESCRIPTOR31"/>
      <w:bookmarkStart w:id="211" w:name="DESCRIPTOR32"/>
      <w:bookmarkStart w:id="212" w:name="DESCRIPTOR33"/>
      <w:bookmarkStart w:id="213" w:name="DESCRIPTOR34"/>
      <w:bookmarkStart w:id="214" w:name="DESCRIPTOR35"/>
      <w:bookmarkStart w:id="215" w:name="DESCRIPTOR36"/>
      <w:bookmarkStart w:id="216" w:name="DESCRIPTOR37"/>
      <w:bookmarkStart w:id="217" w:name="DESCRIPTOR38"/>
      <w:bookmarkStart w:id="218" w:name="DESCRIPTOR39"/>
      <w:bookmarkStart w:id="219" w:name="DESCRIPTOR40"/>
      <w:bookmarkStart w:id="220" w:name="DESCRIPTOR41"/>
      <w:bookmarkStart w:id="221" w:name="DESCRIPTOR42"/>
      <w:bookmarkStart w:id="222" w:name="DESCRIPTOR43"/>
      <w:bookmarkStart w:id="223" w:name="DESCRIPTOR44"/>
      <w:bookmarkStart w:id="224" w:name="DESCRIPTOR45"/>
      <w:bookmarkStart w:id="225" w:name="DESCRIPTOR46"/>
      <w:bookmarkStart w:id="226" w:name="DESCRIPTOR47"/>
      <w:bookmarkStart w:id="227" w:name="DESCRIPTOR48"/>
      <w:bookmarkStart w:id="228" w:name="DESCRIPTOR49"/>
      <w:bookmarkStart w:id="229" w:name="DESCRIPTOR50"/>
      <w:bookmarkStart w:id="230" w:name="DESCRIPTOR51"/>
      <w:bookmarkStart w:id="231" w:name="DESCRIPTOR52"/>
      <w:bookmarkStart w:id="232" w:name="DESCRIPTOR53"/>
      <w:bookmarkStart w:id="233" w:name="DESCRIPTOR54"/>
      <w:bookmarkStart w:id="234" w:name="DESCRIPTOR55"/>
      <w:bookmarkStart w:id="235" w:name="DESCRIPTOR56"/>
      <w:bookmarkStart w:id="236" w:name="DESCRIPTOR57"/>
      <w:bookmarkStart w:id="237" w:name="DESCRIPTOR58"/>
      <w:bookmarkStart w:id="238" w:name="DESCRIPTOR59"/>
      <w:bookmarkStart w:id="239" w:name="DESCRIPTOR60"/>
      <w:bookmarkStart w:id="240" w:name="DESCRIPTOR61"/>
      <w:bookmarkStart w:id="241" w:name="DESCRIPTOR62"/>
      <w:bookmarkStart w:id="242" w:name="DESCRIPTOR63"/>
      <w:bookmarkStart w:id="243" w:name="DESCRIPTOR64"/>
      <w:bookmarkStart w:id="244" w:name="DESCRIPTOR65"/>
      <w:bookmarkStart w:id="245" w:name="DESCRIPTOR66"/>
      <w:bookmarkStart w:id="246" w:name="DESCRIPTOR67"/>
      <w:bookmarkStart w:id="247" w:name="DESCRIPTOR68"/>
      <w:bookmarkStart w:id="248" w:name="DESCRIPTOR69"/>
      <w:bookmarkStart w:id="249" w:name="DESCRIPTOR70"/>
      <w:bookmarkStart w:id="250" w:name="DESCRIPTOR71"/>
      <w:bookmarkStart w:id="251" w:name="DESCRIPTOR72"/>
      <w:bookmarkStart w:id="252" w:name="DESCRIPTOR73"/>
      <w:bookmarkStart w:id="253" w:name="DESCRIPTOR74"/>
      <w:bookmarkStart w:id="254" w:name="DESCRIPTOR75"/>
      <w:bookmarkStart w:id="255" w:name="DESCRIPTOR76"/>
      <w:bookmarkStart w:id="256" w:name="DESCRIPTOR77"/>
      <w:bookmarkStart w:id="257" w:name="DESCRIPTOR78"/>
      <w:bookmarkStart w:id="258" w:name="DESCRIPTOR79"/>
      <w:bookmarkStart w:id="259" w:name="DESCRIPTOR80"/>
      <w:bookmarkStart w:id="260" w:name="DESCRIPTOR81"/>
      <w:bookmarkStart w:id="261" w:name="DESCRIPTOR82"/>
      <w:bookmarkStart w:id="262" w:name="DESCRIPTOR83"/>
      <w:bookmarkStart w:id="263" w:name="DESCRIPTOR84"/>
      <w:bookmarkStart w:id="264" w:name="DESCRIPTOR85"/>
      <w:bookmarkStart w:id="265" w:name="DESCRIPTOR86"/>
      <w:bookmarkStart w:id="266" w:name="DESCRIPTOR87"/>
      <w:bookmarkStart w:id="267" w:name="DESCRIPTOR88"/>
      <w:bookmarkStart w:id="268" w:name="DESCRIPTOR89"/>
      <w:bookmarkStart w:id="269" w:name="DESCRIPTOR90"/>
      <w:bookmarkStart w:id="270" w:name="DESCRIPTOR91"/>
      <w:bookmarkStart w:id="271" w:name="DESCRIPTOR92"/>
      <w:bookmarkStart w:id="272" w:name="DESCRIPTOR93"/>
      <w:bookmarkStart w:id="273" w:name="DESCRIPTOR94"/>
      <w:bookmarkStart w:id="274" w:name="DESCRIPTOR95"/>
      <w:bookmarkStart w:id="275" w:name="DESCRIPTOR96"/>
      <w:bookmarkStart w:id="276" w:name="DESCRIPTOR97"/>
      <w:bookmarkStart w:id="277" w:name="DESCRIPTOR98"/>
      <w:bookmarkStart w:id="278" w:name="DESCRIPTOR99"/>
      <w:bookmarkStart w:id="279" w:name="DESCRIPTOR100"/>
      <w:bookmarkStart w:id="280" w:name="DESCRIPTOR101"/>
      <w:bookmarkStart w:id="281" w:name="DESCRIPTOR102"/>
      <w:bookmarkStart w:id="282" w:name="DESCRIPTOR103"/>
      <w:bookmarkStart w:id="283" w:name="DESCRIPTOR104"/>
      <w:bookmarkStart w:id="284" w:name="DESCRIPTOR105"/>
      <w:bookmarkStart w:id="285" w:name="DESCRIPTOR106"/>
      <w:bookmarkStart w:id="286" w:name="DESCRIPTOR107"/>
      <w:bookmarkStart w:id="287" w:name="DESCRIPTOR108"/>
      <w:bookmarkStart w:id="288" w:name="DESCRIPTOR109"/>
      <w:bookmarkStart w:id="289" w:name="DESCRIPTOR110"/>
      <w:bookmarkStart w:id="290" w:name="DESCRIPTOR111"/>
      <w:bookmarkStart w:id="291" w:name="DESCRIPTOR112"/>
      <w:bookmarkStart w:id="292" w:name="DESCRIPTOR113"/>
      <w:bookmarkStart w:id="293" w:name="DESCRIPTOR114"/>
      <w:bookmarkStart w:id="294" w:name="DESCRIPTOR115"/>
      <w:bookmarkStart w:id="295" w:name="DESCRIPTOR116"/>
      <w:bookmarkStart w:id="296" w:name="DESCRIPTOR117"/>
      <w:bookmarkStart w:id="297" w:name="DESCRIPTOR118"/>
      <w:bookmarkStart w:id="298" w:name="DESCRIPTOR119"/>
      <w:bookmarkStart w:id="299" w:name="DESCRIPTOR120"/>
      <w:bookmarkStart w:id="300" w:name="DESCRIPTOR121"/>
      <w:bookmarkStart w:id="301" w:name="DESCRIPTOR122"/>
      <w:bookmarkStart w:id="302" w:name="DESCRIPTOR123"/>
      <w:bookmarkStart w:id="303" w:name="DESCRIPTOR124"/>
      <w:bookmarkStart w:id="304" w:name="DESCRIPTOR125"/>
      <w:bookmarkStart w:id="305" w:name="DESCRIPTOR126"/>
      <w:bookmarkStart w:id="306" w:name="DESCRIPTOR127"/>
      <w:bookmarkStart w:id="307" w:name="DESCRIPTOR128"/>
      <w:bookmarkStart w:id="308" w:name="DESCRIPTOR129"/>
      <w:bookmarkStart w:id="309" w:name="DESCRIPTOR130"/>
      <w:bookmarkStart w:id="310" w:name="DESCRIPTOR131"/>
      <w:bookmarkStart w:id="311" w:name="DESCRIPTOR132"/>
      <w:bookmarkStart w:id="312" w:name="DESCRIPTOR133"/>
      <w:bookmarkStart w:id="313" w:name="DESCRIPTOR134"/>
      <w:bookmarkStart w:id="314" w:name="DESCRIPTOR135"/>
      <w:bookmarkStart w:id="315" w:name="DESCRIPTOR136"/>
      <w:bookmarkStart w:id="316" w:name="DESCRIPTOR137"/>
      <w:bookmarkStart w:id="317" w:name="DESCRIPTOR138"/>
      <w:bookmarkStart w:id="318" w:name="DESCRIPTOR139"/>
      <w:bookmarkStart w:id="319" w:name="DESCRIPTOR140"/>
      <w:bookmarkStart w:id="320" w:name="DESCRIPTOR141"/>
      <w:bookmarkStart w:id="321" w:name="DESCRIPTOR142"/>
      <w:bookmarkStart w:id="322" w:name="DESCRIPTOR143"/>
      <w:bookmarkStart w:id="323" w:name="DESCRIPTOR144"/>
      <w:bookmarkStart w:id="324" w:name="DESCRIPTOR145"/>
      <w:bookmarkStart w:id="325" w:name="DESCRIPTOR146"/>
      <w:bookmarkStart w:id="326" w:name="DESCRIPTOR147"/>
      <w:bookmarkStart w:id="327" w:name="DESCRIPTOR148"/>
      <w:bookmarkStart w:id="328" w:name="DESCRIPTOR149"/>
      <w:bookmarkStart w:id="329" w:name="DESCRIPTOR150"/>
      <w:bookmarkStart w:id="330" w:name="DESCRIPTOR151"/>
      <w:bookmarkStart w:id="331" w:name="DESCRIPTOR152"/>
      <w:bookmarkStart w:id="332" w:name="DESCRIPTOR153"/>
      <w:bookmarkStart w:id="333" w:name="DESCRIPTOR154"/>
      <w:bookmarkStart w:id="334" w:name="DESCRIPTOR155"/>
      <w:bookmarkStart w:id="335" w:name="DESCRIPTOR156"/>
      <w:bookmarkStart w:id="336" w:name="DESCRIPTOR157"/>
      <w:bookmarkStart w:id="337" w:name="DESCRIPTOR158"/>
      <w:bookmarkStart w:id="338" w:name="DESCRIPTOR159"/>
      <w:bookmarkStart w:id="339" w:name="DESCRIPTOR160"/>
      <w:bookmarkStart w:id="340" w:name="DESCRIPTOR161"/>
      <w:bookmarkStart w:id="341" w:name="DESCRIPTOR162"/>
      <w:bookmarkStart w:id="342" w:name="DESCRIPTOR163"/>
      <w:bookmarkStart w:id="343" w:name="DESCRIPTOR164"/>
      <w:bookmarkStart w:id="344" w:name="DESCRIPTOR165"/>
      <w:bookmarkStart w:id="345" w:name="DESCRIPTOR166"/>
      <w:bookmarkStart w:id="346" w:name="DESCRIPTOR167"/>
      <w:bookmarkStart w:id="347" w:name="DESCRIPTOR168"/>
      <w:bookmarkStart w:id="348" w:name="DESCRIPTOR169"/>
      <w:bookmarkStart w:id="349" w:name="DESCRIPTOR170"/>
      <w:bookmarkStart w:id="350" w:name="DESCRIPTOR171"/>
      <w:bookmarkStart w:id="351" w:name="DESCRIPTOR172"/>
      <w:bookmarkStart w:id="352" w:name="DESCRIPTOR173"/>
      <w:bookmarkStart w:id="353" w:name="DESCRIPTOR174"/>
      <w:bookmarkStart w:id="354" w:name="DESCRIPTOR175"/>
      <w:bookmarkStart w:id="355" w:name="DESCRIPTOR176"/>
      <w:bookmarkStart w:id="356" w:name="DESCRIPTOR177"/>
      <w:bookmarkStart w:id="357" w:name="DESCRIPTOR178"/>
      <w:bookmarkStart w:id="358" w:name="DESCRIPTOR179"/>
      <w:bookmarkStart w:id="359" w:name="DESCRIPTOR180"/>
      <w:bookmarkStart w:id="360" w:name="DESCRIPTOR181"/>
      <w:bookmarkStart w:id="361" w:name="DESCRIPTOR182"/>
      <w:bookmarkStart w:id="362" w:name="DESCRIPTOR183"/>
      <w:bookmarkStart w:id="363" w:name="DESCRIPTOR184"/>
      <w:bookmarkStart w:id="364" w:name="DESCRIPTOR185"/>
      <w:bookmarkStart w:id="365" w:name="DESCRIPTOR186"/>
      <w:bookmarkStart w:id="366" w:name="DESCRIPTOR187"/>
      <w:bookmarkStart w:id="367" w:name="DESCRIPTOR188"/>
      <w:bookmarkStart w:id="368" w:name="DESCRIPTOR189"/>
      <w:bookmarkStart w:id="369" w:name="DESCRIPTOR190"/>
      <w:bookmarkStart w:id="370" w:name="DESCRIPTOR191"/>
      <w:bookmarkStart w:id="371" w:name="DESCRIPTOR192"/>
      <w:bookmarkStart w:id="372" w:name="DESCRIPTOR193"/>
      <w:bookmarkStart w:id="373" w:name="DESCRIPTOR194"/>
      <w:bookmarkStart w:id="374" w:name="DESCRIPTOR195"/>
      <w:bookmarkStart w:id="375" w:name="DESCRIPTOR196"/>
      <w:bookmarkStart w:id="376" w:name="DESCRIPTOR197"/>
      <w:bookmarkStart w:id="377" w:name="DESCRIPTOR198"/>
      <w:bookmarkStart w:id="378" w:name="DESCRIPTOR199"/>
      <w:bookmarkStart w:id="379" w:name="DESCRIPTOR200"/>
      <w:bookmarkStart w:id="380" w:name="DESCRIPTOR201"/>
      <w:bookmarkStart w:id="381" w:name="DESCRIPTOR202"/>
      <w:bookmarkStart w:id="382" w:name="DESCRIPTOR203"/>
      <w:bookmarkStart w:id="383" w:name="DESCRIPTOR204"/>
      <w:bookmarkStart w:id="384" w:name="DESCRIPTOR205"/>
      <w:bookmarkStart w:id="385" w:name="DESCRIPTOR206"/>
      <w:bookmarkStart w:id="386" w:name="DESCRIPTOR207"/>
      <w:bookmarkStart w:id="387" w:name="DESCRIPTOR208"/>
      <w:bookmarkStart w:id="388" w:name="DESCRIPTOR209"/>
      <w:bookmarkStart w:id="389" w:name="DESCRIPTOR210"/>
      <w:bookmarkStart w:id="390" w:name="DESCRIPTOR211"/>
      <w:bookmarkStart w:id="391" w:name="DESCRIPTOR212"/>
      <w:bookmarkStart w:id="392" w:name="DESCRIPTOR213"/>
      <w:bookmarkStart w:id="393" w:name="DESCRIPTOR214"/>
      <w:bookmarkStart w:id="394" w:name="DESCRIPTOR215"/>
      <w:bookmarkStart w:id="395" w:name="DESCRIPTOR216"/>
      <w:bookmarkStart w:id="396" w:name="DESCRIPTOR217"/>
      <w:bookmarkStart w:id="397" w:name="DESCRIPTOR218"/>
      <w:bookmarkStart w:id="398" w:name="DESCRIPTOR219"/>
      <w:bookmarkStart w:id="399" w:name="DESCRIPTOR220"/>
      <w:bookmarkStart w:id="400" w:name="DESCRIPTOR221"/>
      <w:bookmarkStart w:id="401" w:name="DESCRIPTOR222"/>
      <w:bookmarkStart w:id="402" w:name="DESCRIPTOR223"/>
      <w:bookmarkStart w:id="403" w:name="DESCRIPTOR224"/>
      <w:bookmarkStart w:id="404" w:name="DESCRIPTOR225"/>
      <w:bookmarkStart w:id="405" w:name="DESCRIPTOR226"/>
      <w:bookmarkStart w:id="406" w:name="DESCRIPTOR227"/>
      <w:bookmarkStart w:id="407" w:name="DESCRIPTOR228"/>
      <w:bookmarkStart w:id="408" w:name="DESCRIPTOR229"/>
      <w:bookmarkStart w:id="409" w:name="DESCRIPTOR230"/>
      <w:bookmarkStart w:id="410" w:name="DESCRIPTOR231"/>
      <w:bookmarkStart w:id="411" w:name="DESCRIPTOR232"/>
      <w:bookmarkStart w:id="412" w:name="DESCRIPTOR233"/>
      <w:bookmarkStart w:id="413" w:name="DESCRIPTOR234"/>
      <w:bookmarkStart w:id="414" w:name="DESCRIPTOR235"/>
      <w:bookmarkStart w:id="415" w:name="DESCRIPTOR236"/>
      <w:bookmarkStart w:id="416" w:name="DESCRIPTOR237"/>
      <w:bookmarkStart w:id="417" w:name="DESCRIPTOR238"/>
      <w:bookmarkStart w:id="418" w:name="DESCRIPTOR239"/>
      <w:bookmarkStart w:id="419" w:name="DESCRIPTOR240"/>
      <w:bookmarkStart w:id="420" w:name="DESCRIPTOR241"/>
      <w:bookmarkStart w:id="421" w:name="DESCRIPTOR242"/>
      <w:bookmarkStart w:id="422" w:name="DESCRIPTOR243"/>
      <w:bookmarkStart w:id="423" w:name="DESCRIPTOR244"/>
      <w:bookmarkStart w:id="424" w:name="DESCRIPTOR245"/>
      <w:bookmarkStart w:id="425" w:name="DESCRIPTOR246"/>
      <w:bookmarkStart w:id="426" w:name="DESCRIPTOR247"/>
      <w:bookmarkStart w:id="427" w:name="DESCRIPTOR248"/>
      <w:bookmarkStart w:id="428" w:name="DESCRIPTOR249"/>
      <w:bookmarkStart w:id="429" w:name="DESCRIPTOR250"/>
      <w:bookmarkStart w:id="430" w:name="DESCRIPTOR251"/>
      <w:bookmarkStart w:id="431" w:name="DESCRIPTOR252"/>
      <w:bookmarkStart w:id="432" w:name="DESCRIPTOR253"/>
      <w:bookmarkStart w:id="433" w:name="DESCRIPTOR254"/>
      <w:bookmarkStart w:id="434" w:name="DESCRIPTOR255"/>
      <w:bookmarkStart w:id="435" w:name="DESCRIPTOR256"/>
      <w:bookmarkStart w:id="436" w:name="DESCRIPTOR257"/>
      <w:bookmarkStart w:id="437" w:name="DESCRIPTOR258"/>
      <w:bookmarkStart w:id="438" w:name="DESCRIPTOR259"/>
      <w:bookmarkStart w:id="439" w:name="DESCRIPTOR260"/>
      <w:bookmarkStart w:id="440" w:name="DESCRIPTOR261"/>
      <w:bookmarkStart w:id="441" w:name="DESCRIPTOR262"/>
      <w:bookmarkStart w:id="442" w:name="DESCRIPTOR263"/>
      <w:bookmarkStart w:id="443" w:name="DESCRIPTOR264"/>
      <w:bookmarkStart w:id="444" w:name="DESCRIPTOR265"/>
      <w:bookmarkStart w:id="445" w:name="DESCRIPTOR266"/>
      <w:bookmarkStart w:id="446" w:name="DESCRIPTOR267"/>
      <w:bookmarkStart w:id="447" w:name="DESCRIPTOR268"/>
      <w:bookmarkStart w:id="448" w:name="DESCRIPTOR269"/>
      <w:bookmarkStart w:id="449" w:name="DESCRIPTOR270"/>
      <w:bookmarkStart w:id="450" w:name="DESCRIPTOR271"/>
      <w:bookmarkStart w:id="451" w:name="DESCRIPTOR272"/>
      <w:bookmarkStart w:id="452" w:name="DESCRIPTOR273"/>
      <w:bookmarkStart w:id="453" w:name="DESCRIPTOR274"/>
      <w:bookmarkStart w:id="454" w:name="DESCRIPTOR275"/>
      <w:bookmarkStart w:id="455" w:name="DESCRIPTOR276"/>
      <w:bookmarkStart w:id="456" w:name="DESCRIPTOR277"/>
      <w:bookmarkStart w:id="457" w:name="DESCRIPTOR278"/>
      <w:bookmarkStart w:id="458" w:name="DESCRIPTOR279"/>
      <w:bookmarkStart w:id="459" w:name="DESCRIPTOR280"/>
      <w:bookmarkStart w:id="460" w:name="DESCRIPTOR281"/>
      <w:bookmarkStart w:id="461" w:name="DESCRIPTOR282"/>
      <w:bookmarkStart w:id="462" w:name="DESCRIPTOR283"/>
      <w:bookmarkStart w:id="463" w:name="DESCRIPTOR284"/>
      <w:bookmarkStart w:id="464" w:name="DESCRIPTOR285"/>
      <w:bookmarkStart w:id="465" w:name="DESCRIPTOR286"/>
      <w:bookmarkStart w:id="466" w:name="DESCRIPTOR287"/>
      <w:bookmarkStart w:id="467" w:name="DESCRIPTOR288"/>
      <w:bookmarkStart w:id="468" w:name="DESCRIPTOR289"/>
      <w:bookmarkStart w:id="469" w:name="DESCRIPTOR290"/>
      <w:bookmarkStart w:id="470" w:name="DESCRIPTOR291"/>
      <w:bookmarkStart w:id="471" w:name="DESCRIPTOR292"/>
      <w:bookmarkStart w:id="472" w:name="DESCRIPTOR293"/>
      <w:bookmarkStart w:id="473" w:name="DESCRIPTOR294"/>
      <w:bookmarkStart w:id="474" w:name="DESCRIPTOR295"/>
      <w:bookmarkStart w:id="475" w:name="DESCRIPTOR296"/>
      <w:bookmarkStart w:id="476" w:name="DESCRIPTOR297"/>
      <w:bookmarkStart w:id="477" w:name="DESCRIPTOR298"/>
      <w:bookmarkStart w:id="478" w:name="DESCRIPTOR299"/>
      <w:bookmarkStart w:id="479" w:name="DESCRIPTOR300"/>
      <w:bookmarkStart w:id="480" w:name="DESCRIPTOR301"/>
      <w:bookmarkStart w:id="481" w:name="DESCRIPTOR302"/>
      <w:bookmarkStart w:id="482" w:name="DESCRIPTOR303"/>
      <w:bookmarkStart w:id="483" w:name="DESCRIPTOR304"/>
      <w:bookmarkStart w:id="484" w:name="DESCRIPTOR305"/>
      <w:bookmarkStart w:id="485" w:name="DESCRIPTOR306"/>
      <w:bookmarkStart w:id="486" w:name="DESCRIPTOR307"/>
      <w:bookmarkStart w:id="487" w:name="DESCRIPTOR308"/>
      <w:bookmarkStart w:id="488" w:name="DESCRIPTOR309"/>
      <w:bookmarkStart w:id="489" w:name="DESCRIPTOR310"/>
      <w:bookmarkStart w:id="490" w:name="DESCRIPTOR311"/>
      <w:bookmarkStart w:id="491" w:name="DESCRIPTOR312"/>
      <w:bookmarkStart w:id="492" w:name="DESCRIPTOR313"/>
      <w:bookmarkStart w:id="493" w:name="DESCRIPTOR314"/>
      <w:bookmarkStart w:id="494" w:name="DESCRIPTOR315"/>
      <w:bookmarkStart w:id="495" w:name="DESCRIPTOR316"/>
      <w:bookmarkStart w:id="496" w:name="DESCRIPTOR317"/>
      <w:bookmarkStart w:id="497" w:name="DESCRIPTOR318"/>
      <w:bookmarkStart w:id="498" w:name="DESCRIPTOR319"/>
      <w:bookmarkStart w:id="499" w:name="DESCRIPTOR320"/>
      <w:bookmarkStart w:id="500" w:name="DESCRIPTOR321"/>
      <w:bookmarkStart w:id="501" w:name="DESCRIPTOR322"/>
      <w:bookmarkStart w:id="502" w:name="DESCRIPTOR323"/>
      <w:bookmarkStart w:id="503" w:name="DESCRIPTOR324"/>
      <w:bookmarkStart w:id="504" w:name="DESCRIPTOR325"/>
      <w:bookmarkStart w:id="505" w:name="DESCRIPTOR326"/>
      <w:bookmarkStart w:id="506" w:name="DESCRIPTOR327"/>
      <w:bookmarkStart w:id="507" w:name="DESCRIPTOR328"/>
      <w:bookmarkStart w:id="508" w:name="DESCRIPTOR329"/>
      <w:bookmarkStart w:id="509" w:name="DESCRIPTOR330"/>
      <w:bookmarkStart w:id="510" w:name="DESCRIPTOR331"/>
      <w:bookmarkStart w:id="511" w:name="DESCRIPTOR332"/>
      <w:bookmarkStart w:id="512" w:name="DESCRIPTOR333"/>
      <w:bookmarkStart w:id="513" w:name="DESCRIPTOR334"/>
      <w:bookmarkStart w:id="514" w:name="DESCRIPTOR335"/>
      <w:bookmarkStart w:id="515" w:name="DESCRIPTOR336"/>
      <w:bookmarkStart w:id="516" w:name="DESCRIPTOR337"/>
      <w:bookmarkStart w:id="517" w:name="DESCRIPTOR338"/>
      <w:bookmarkStart w:id="518" w:name="DESCRIPTOR339"/>
      <w:bookmarkStart w:id="519" w:name="DESCRIPTOR340"/>
      <w:bookmarkStart w:id="520" w:name="DESCRIPTOR341"/>
      <w:bookmarkStart w:id="521" w:name="DESCRIPTOR342"/>
      <w:bookmarkStart w:id="522" w:name="DESCRIPTOR343"/>
      <w:bookmarkStart w:id="523" w:name="DESCRIPTOR344"/>
      <w:bookmarkStart w:id="524" w:name="DESCRIPTOR345"/>
      <w:bookmarkStart w:id="525" w:name="DESCRIPTOR346"/>
      <w:bookmarkStart w:id="526" w:name="DESCRIPTOR347"/>
      <w:bookmarkStart w:id="527" w:name="DESCRIPTOR348"/>
      <w:bookmarkStart w:id="528" w:name="DESCRIPTOR349"/>
      <w:bookmarkStart w:id="529" w:name="DESCRIPTOR350"/>
      <w:bookmarkStart w:id="530" w:name="DESCRIPTOR351"/>
      <w:bookmarkStart w:id="531" w:name="DESCRIPTOR352"/>
      <w:bookmarkStart w:id="532" w:name="DESCRIPTOR353"/>
      <w:bookmarkStart w:id="533" w:name="DESCRIPTOR354"/>
      <w:bookmarkStart w:id="534" w:name="DESCRIPTOR355"/>
      <w:bookmarkStart w:id="535" w:name="DESCRIPTOR356"/>
      <w:bookmarkStart w:id="536" w:name="DESCRIPTOR357"/>
      <w:bookmarkStart w:id="537" w:name="DESCRIPTOR358"/>
      <w:bookmarkStart w:id="538" w:name="DESCRIPTOR359"/>
      <w:bookmarkStart w:id="539" w:name="DESCRIPTOR360"/>
      <w:bookmarkStart w:id="540" w:name="DESCRIPTOR361"/>
      <w:bookmarkStart w:id="541" w:name="DESCRIPTOR362"/>
      <w:bookmarkStart w:id="542" w:name="DESCRIPTOR363"/>
      <w:bookmarkStart w:id="543" w:name="DESCRIPTOR364"/>
      <w:bookmarkStart w:id="544" w:name="DESCRIPTOR365"/>
      <w:bookmarkStart w:id="545" w:name="DESCRIPTOR366"/>
      <w:bookmarkStart w:id="546" w:name="DESCRIPTOR367"/>
      <w:bookmarkStart w:id="547" w:name="DESCRIPTOR368"/>
      <w:bookmarkStart w:id="548" w:name="DESCRIPTOR369"/>
      <w:bookmarkStart w:id="549" w:name="DESCRIPTOR370"/>
      <w:bookmarkStart w:id="550" w:name="DESCRIPTOR371"/>
      <w:bookmarkStart w:id="551" w:name="DESCRIPTOR372"/>
      <w:bookmarkStart w:id="552" w:name="DESCRIPTOR373"/>
      <w:bookmarkStart w:id="553" w:name="DESCRIPTOR374"/>
      <w:bookmarkStart w:id="554" w:name="DESCRIPTOR375"/>
      <w:bookmarkStart w:id="555" w:name="DESCRIPTOR376"/>
      <w:bookmarkStart w:id="556" w:name="DESCRIPTOR377"/>
      <w:bookmarkStart w:id="557" w:name="DESCRIPTOR378"/>
      <w:bookmarkStart w:id="558" w:name="DESCRIPTOR379"/>
      <w:bookmarkStart w:id="559" w:name="DESCRIPTOR380"/>
      <w:bookmarkStart w:id="560" w:name="DESCRIPTOR381"/>
      <w:bookmarkStart w:id="561" w:name="DESCRIPTOR382"/>
      <w:bookmarkStart w:id="562" w:name="DESCRIPTOR383"/>
      <w:bookmarkStart w:id="563" w:name="DESCRIPTOR384"/>
      <w:bookmarkStart w:id="564" w:name="DESCRIPTOR385"/>
      <w:bookmarkStart w:id="565" w:name="DESCRIPTOR386"/>
      <w:bookmarkStart w:id="566" w:name="DESCRIPTOR387"/>
      <w:bookmarkStart w:id="567" w:name="DESCRIPTOR388"/>
      <w:bookmarkStart w:id="568" w:name="DESCRIPTOR389"/>
      <w:bookmarkStart w:id="569" w:name="DESCRIPTOR390"/>
      <w:bookmarkStart w:id="570" w:name="DESCRIPTOR391"/>
      <w:bookmarkStart w:id="571" w:name="DESCRIPTOR392"/>
      <w:bookmarkStart w:id="572" w:name="DESCRIPTOR393"/>
      <w:bookmarkStart w:id="573" w:name="DESCRIPTOR394"/>
      <w:bookmarkStart w:id="574" w:name="DESCRIPTOR395"/>
      <w:bookmarkStart w:id="575" w:name="DESCRIPTOR396"/>
      <w:bookmarkStart w:id="576" w:name="DESCRIPTOR397"/>
      <w:bookmarkStart w:id="577" w:name="DESCRIPTOR398"/>
      <w:bookmarkStart w:id="578" w:name="DESCRIPTOR399"/>
      <w:bookmarkStart w:id="579" w:name="DESCRIPTOR400"/>
      <w:bookmarkStart w:id="580" w:name="DESCRIPTOR401"/>
      <w:bookmarkStart w:id="581" w:name="DESCRIPTOR402"/>
      <w:bookmarkStart w:id="582" w:name="DESCRIPTOR403"/>
      <w:bookmarkStart w:id="583" w:name="DESCRIPTOR404"/>
      <w:bookmarkStart w:id="584" w:name="DESCRIPTOR405"/>
      <w:bookmarkStart w:id="585" w:name="DESCRIPTOR406"/>
      <w:bookmarkStart w:id="586" w:name="DESCRIPTOR407"/>
      <w:bookmarkStart w:id="587" w:name="DESCRIPTOR408"/>
      <w:bookmarkStart w:id="588" w:name="DESCRIPTOR409"/>
      <w:bookmarkStart w:id="589" w:name="DESCRIPTOR410"/>
      <w:bookmarkStart w:id="590" w:name="DESCRIPTOR411"/>
      <w:bookmarkStart w:id="591" w:name="DESCRIPTOR412"/>
      <w:bookmarkStart w:id="592" w:name="DESCRIPTOR413"/>
      <w:bookmarkStart w:id="593" w:name="DESCRIPTOR414"/>
      <w:bookmarkStart w:id="594" w:name="DESCRIPTOR415"/>
      <w:bookmarkStart w:id="595" w:name="DESCRIPTOR416"/>
      <w:bookmarkStart w:id="596" w:name="DESCRIPTOR417"/>
      <w:bookmarkStart w:id="597" w:name="DESCRIPTOR418"/>
      <w:bookmarkStart w:id="598" w:name="DESCRIPTOR419"/>
      <w:bookmarkStart w:id="599" w:name="DESCRIPTOR420"/>
      <w:bookmarkStart w:id="600" w:name="DESCRIPTOR421"/>
      <w:bookmarkStart w:id="601" w:name="DESCRIPTOR422"/>
      <w:bookmarkStart w:id="602" w:name="DESCRIPTOR423"/>
      <w:bookmarkStart w:id="603" w:name="DESCRIPTOR424"/>
      <w:bookmarkStart w:id="604" w:name="DESCRIPTOR425"/>
      <w:bookmarkStart w:id="605" w:name="DESCRIPTOR426"/>
      <w:bookmarkStart w:id="606" w:name="DESCRIPTOR427"/>
      <w:bookmarkStart w:id="607" w:name="DESCRIPTOR428"/>
      <w:bookmarkStart w:id="608" w:name="DESCRIPTOR429"/>
      <w:bookmarkStart w:id="609" w:name="DESCRIPTOR430"/>
      <w:bookmarkStart w:id="610" w:name="DESCRIPTOR431"/>
      <w:bookmarkStart w:id="611" w:name="DESCRIPTOR432"/>
      <w:bookmarkStart w:id="612" w:name="DESCRIPTOR433"/>
      <w:bookmarkStart w:id="613" w:name="DESCRIPTOR434"/>
      <w:bookmarkStart w:id="614" w:name="DESCRIPTOR435"/>
      <w:bookmarkStart w:id="615" w:name="DESCRIPTOR436"/>
      <w:bookmarkStart w:id="616" w:name="DESCRIPTOR437"/>
      <w:bookmarkStart w:id="617" w:name="DESCRIPTOR438"/>
      <w:bookmarkStart w:id="618" w:name="DESCRIPTOR439"/>
      <w:bookmarkStart w:id="619" w:name="DESCRIPTOR440"/>
      <w:bookmarkStart w:id="620" w:name="DESCRIPTOR441"/>
      <w:bookmarkStart w:id="621" w:name="DESCRIPTOR442"/>
      <w:bookmarkStart w:id="622" w:name="DESCRIPTOR443"/>
      <w:bookmarkStart w:id="623" w:name="DESCRIPTOR444"/>
      <w:bookmarkStart w:id="624" w:name="DESCRIPTOR445"/>
      <w:bookmarkStart w:id="625" w:name="DESCRIPTOR446"/>
      <w:bookmarkStart w:id="626" w:name="DESCRIPTOR447"/>
      <w:bookmarkStart w:id="627" w:name="DESCRIPTOR448"/>
      <w:bookmarkStart w:id="628" w:name="DESCRIPTOR449"/>
      <w:bookmarkStart w:id="629" w:name="DESCRIPTOR450"/>
      <w:bookmarkStart w:id="630" w:name="DESCRIPTOR451"/>
      <w:bookmarkStart w:id="631" w:name="DESCRIPTOR452"/>
      <w:bookmarkStart w:id="632" w:name="DESCRIPTOR453"/>
      <w:bookmarkStart w:id="633" w:name="DESCRIPTOR454"/>
      <w:bookmarkStart w:id="634" w:name="DESCRIPTOR455"/>
      <w:bookmarkStart w:id="635" w:name="DESCRIPTOR456"/>
      <w:bookmarkStart w:id="636" w:name="DESCRIPTOR457"/>
      <w:bookmarkStart w:id="637" w:name="DESCRIPTOR458"/>
      <w:bookmarkStart w:id="638" w:name="DESCRIPTOR459"/>
      <w:bookmarkStart w:id="639" w:name="DESCRIPTOR460"/>
      <w:bookmarkStart w:id="640" w:name="DESCRIPTOR461"/>
      <w:bookmarkStart w:id="641" w:name="DESCRIPTOR462"/>
      <w:bookmarkStart w:id="642" w:name="DESCRIPTOR463"/>
      <w:bookmarkStart w:id="643" w:name="DESCRIPTOR464"/>
      <w:bookmarkStart w:id="644" w:name="DESCRIPTOR465"/>
      <w:bookmarkStart w:id="645" w:name="DESCRIPTOR466"/>
      <w:bookmarkStart w:id="646" w:name="DESCRIPTOR467"/>
      <w:bookmarkStart w:id="647" w:name="DESCRIPTOR468"/>
      <w:bookmarkStart w:id="648" w:name="DESCRIPTOR469"/>
      <w:bookmarkStart w:id="649" w:name="DESCRIPTOR470"/>
      <w:bookmarkStart w:id="650" w:name="DESCRIPTOR471"/>
      <w:bookmarkStart w:id="651" w:name="DESCRIPTOR472"/>
      <w:bookmarkStart w:id="652" w:name="DESCRIPTOR473"/>
      <w:bookmarkStart w:id="653" w:name="DESCRIPTOR474"/>
      <w:bookmarkStart w:id="654" w:name="DESCRIPTOR475"/>
      <w:bookmarkStart w:id="655" w:name="DESCRIPTOR476"/>
      <w:bookmarkStart w:id="656" w:name="DESCRIPTOR477"/>
      <w:bookmarkStart w:id="657" w:name="DESCRIPTOR478"/>
      <w:bookmarkStart w:id="658" w:name="DESCRIPTOR479"/>
      <w:bookmarkStart w:id="659" w:name="DESCRIPTOR480"/>
      <w:bookmarkStart w:id="660" w:name="DESCRIPTOR481"/>
      <w:bookmarkStart w:id="661" w:name="DESCRIPTOR482"/>
      <w:bookmarkStart w:id="662" w:name="DESCRIPTOR483"/>
      <w:bookmarkStart w:id="663" w:name="DESCRIPTOR484"/>
      <w:bookmarkStart w:id="664" w:name="DESCRIPTOR485"/>
      <w:bookmarkStart w:id="665" w:name="DESCRIPTOR486"/>
      <w:bookmarkStart w:id="666" w:name="DESCRIPTOR487"/>
      <w:bookmarkStart w:id="667" w:name="DESCRIPTOR488"/>
      <w:bookmarkStart w:id="668" w:name="DESCRIPTOR489"/>
      <w:bookmarkStart w:id="669" w:name="DESCRIPTOR490"/>
      <w:bookmarkStart w:id="670" w:name="DESCRIPTOR491"/>
      <w:bookmarkStart w:id="671" w:name="DESCRIPTOR492"/>
      <w:bookmarkStart w:id="672" w:name="DESCRIPTOR493"/>
      <w:bookmarkStart w:id="673" w:name="DESCRIPTOR494"/>
      <w:bookmarkStart w:id="674" w:name="DESCRIPTOR495"/>
      <w:bookmarkStart w:id="675" w:name="DESCRIPTOR496"/>
      <w:bookmarkStart w:id="676" w:name="DESCRIPTOR497"/>
      <w:bookmarkStart w:id="677" w:name="DESCRIPTOR498"/>
      <w:bookmarkStart w:id="678" w:name="DESCRIPTOR499"/>
      <w:bookmarkStart w:id="679" w:name="DESCRIPTOR500"/>
      <w:bookmarkStart w:id="680" w:name="DESCRIPTOR501"/>
      <w:bookmarkStart w:id="681" w:name="DESCRIPTOR502"/>
      <w:bookmarkStart w:id="682" w:name="DESCRIPTOR503"/>
      <w:bookmarkStart w:id="683" w:name="DESCRIPTOR504"/>
      <w:bookmarkStart w:id="684" w:name="DESCRIPTOR505"/>
      <w:bookmarkStart w:id="685" w:name="DESCRIPTOR506"/>
      <w:bookmarkStart w:id="686" w:name="DESCRIPTOR507"/>
      <w:bookmarkStart w:id="687" w:name="DESCRIPTOR508"/>
      <w:bookmarkStart w:id="688" w:name="DESCRIPTOR509"/>
      <w:bookmarkStart w:id="689" w:name="DESCRIPTOR510"/>
      <w:bookmarkStart w:id="690" w:name="DESCRIPTOR511"/>
      <w:bookmarkStart w:id="691" w:name="DESCRIPTOR512"/>
      <w:bookmarkStart w:id="692" w:name="DESCRIPTOR513"/>
      <w:bookmarkStart w:id="693" w:name="DESCRIPTOR514"/>
      <w:bookmarkStart w:id="694" w:name="DESCRIPTOR515"/>
      <w:bookmarkStart w:id="695" w:name="DESCRIPTOR516"/>
      <w:bookmarkStart w:id="696" w:name="DESCRIPTOR517"/>
      <w:bookmarkStart w:id="697" w:name="DESCRIPTOR518"/>
      <w:bookmarkStart w:id="698" w:name="DESCRIPTOR519"/>
      <w:bookmarkStart w:id="699" w:name="DESCRIPTOR520"/>
      <w:bookmarkStart w:id="700" w:name="DESCRIPTOR521"/>
      <w:bookmarkStart w:id="701" w:name="DESCRIPTOR522"/>
      <w:bookmarkStart w:id="702" w:name="DESCRIPTOR523"/>
      <w:bookmarkStart w:id="703" w:name="INDICE5ALFABETICO"/>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p>
    <w:p w14:paraId="51A84D6D" w14:textId="77777777" w:rsidR="00E55613" w:rsidRDefault="00E55613" w:rsidP="00E55613">
      <w:pPr>
        <w:pStyle w:val="TextoNormal"/>
      </w:pPr>
    </w:p>
    <w:p w14:paraId="1C69CE72" w14:textId="77777777" w:rsidR="00E55613" w:rsidRDefault="00E55613" w:rsidP="00E55613">
      <w:pPr>
        <w:pStyle w:val="TextoNormal"/>
      </w:pPr>
    </w:p>
    <w:p w14:paraId="0168C505" w14:textId="77777777" w:rsidR="00E55613" w:rsidRDefault="00E55613" w:rsidP="00E55613">
      <w:pPr>
        <w:pStyle w:val="TextoNormal"/>
      </w:pPr>
    </w:p>
    <w:p w14:paraId="06F050F1" w14:textId="77777777" w:rsidR="00E55613" w:rsidRDefault="00E55613" w:rsidP="00E55613">
      <w:pPr>
        <w:pStyle w:val="Ttulondice"/>
      </w:pPr>
      <w:r>
        <w:t>7. ÍNDICE ANALÍTICO</w:t>
      </w:r>
    </w:p>
    <w:p w14:paraId="5ADAE449" w14:textId="1A749E79" w:rsidR="00E55613" w:rsidRDefault="00E55613" w:rsidP="00E55613">
      <w:pPr>
        <w:pStyle w:val="TextoNormal"/>
      </w:pPr>
    </w:p>
    <w:p w14:paraId="4815E0A5" w14:textId="77777777" w:rsidR="00E55613" w:rsidRDefault="00E55613" w:rsidP="00E55613">
      <w:pPr>
        <w:pStyle w:val="Ttulondice"/>
      </w:pPr>
    </w:p>
    <w:p w14:paraId="6E0FF038" w14:textId="77777777" w:rsidR="00E55613" w:rsidRDefault="00E55613" w:rsidP="00E55613">
      <w:pPr>
        <w:pStyle w:val="Ttulondice"/>
      </w:pPr>
    </w:p>
    <w:p w14:paraId="5A81727D" w14:textId="77777777" w:rsidR="00E55613" w:rsidRDefault="00E55613" w:rsidP="00E55613">
      <w:pPr>
        <w:pStyle w:val="Ttulondice"/>
      </w:pPr>
    </w:p>
    <w:p w14:paraId="564BB6F8" w14:textId="77777777" w:rsidR="00E55613" w:rsidRDefault="00E55613" w:rsidP="00E55613">
      <w:pPr>
        <w:pStyle w:val="Ttulondice"/>
      </w:pPr>
    </w:p>
    <w:p w14:paraId="5CFBF8B2" w14:textId="77777777" w:rsidR="00E55613" w:rsidRDefault="00E55613" w:rsidP="00E55613">
      <w:pPr>
        <w:pStyle w:val="Ttulondice"/>
      </w:pPr>
    </w:p>
    <w:p w14:paraId="6AAE9A19" w14:textId="77777777" w:rsidR="00E55613" w:rsidRDefault="00E55613" w:rsidP="00E55613">
      <w:pPr>
        <w:pStyle w:val="Ttulondice"/>
      </w:pPr>
    </w:p>
    <w:p w14:paraId="781A4B32" w14:textId="77777777" w:rsidR="00E55613" w:rsidRDefault="00E55613" w:rsidP="00E55613">
      <w:pPr>
        <w:pStyle w:val="Ttulondice"/>
      </w:pPr>
    </w:p>
    <w:p w14:paraId="00CDB5E9" w14:textId="77777777" w:rsidR="00E55613" w:rsidRDefault="00E55613" w:rsidP="00E55613">
      <w:pPr>
        <w:pStyle w:val="TextoNormalNegritaCentrado"/>
      </w:pPr>
      <w:r>
        <w:t>A</w:t>
      </w:r>
    </w:p>
    <w:p w14:paraId="440ED6E4" w14:textId="0856B0EA" w:rsidR="00E55613" w:rsidRDefault="00E55613" w:rsidP="00E55613">
      <w:pPr>
        <w:pStyle w:val="TextoNormalNegritaCentrado"/>
      </w:pPr>
    </w:p>
    <w:p w14:paraId="156CEA98" w14:textId="62E72D2B" w:rsidR="00E55613" w:rsidRPr="00E55613" w:rsidRDefault="00E55613" w:rsidP="00E55613">
      <w:pPr>
        <w:pStyle w:val="TextoNormalSangraFrancesa"/>
        <w:rPr>
          <w:rStyle w:val="TextoNormalCaracter"/>
        </w:rPr>
      </w:pPr>
      <w:bookmarkStart w:id="704" w:name="DESCRIPTORALFABETICO333"/>
      <w:r w:rsidRPr="00E55613">
        <w:rPr>
          <w:rStyle w:val="TextoNormalNegritaCaracter"/>
        </w:rPr>
        <w:t>Aborto</w:t>
      </w:r>
      <w:bookmarkEnd w:id="704"/>
      <w:r w:rsidRPr="00E55613">
        <w:rPr>
          <w:rStyle w:val="TextoNormalCaracter"/>
        </w:rPr>
        <w:t xml:space="preserve">, Sentencia </w:t>
      </w:r>
      <w:hyperlink w:anchor="SENTENCIA_2024_92" w:history="1">
        <w:r w:rsidRPr="00E55613">
          <w:rPr>
            <w:rStyle w:val="TextoNormalCaracter"/>
          </w:rPr>
          <w:t>92/2024</w:t>
        </w:r>
      </w:hyperlink>
      <w:r w:rsidRPr="00E55613">
        <w:rPr>
          <w:rStyle w:val="TextoNormalCaracter"/>
        </w:rPr>
        <w:t>, f. 1.</w:t>
      </w:r>
    </w:p>
    <w:p w14:paraId="42ABB382" w14:textId="77777777" w:rsidR="00E55613" w:rsidRPr="00E55613" w:rsidRDefault="00E55613" w:rsidP="00E55613">
      <w:pPr>
        <w:pStyle w:val="TextoNormalSangraFrancesa"/>
        <w:rPr>
          <w:rStyle w:val="TextoNormalCaracter"/>
        </w:rPr>
      </w:pPr>
      <w:bookmarkStart w:id="705" w:name="DESCRIPTORALFABETICO142"/>
      <w:r w:rsidRPr="00E55613">
        <w:rPr>
          <w:rStyle w:val="TextoNormalNegritaCaracter"/>
        </w:rPr>
        <w:t>Abstención de magistrados del Tribunal Constitucional</w:t>
      </w:r>
      <w:bookmarkEnd w:id="705"/>
      <w:r w:rsidRPr="00E55613">
        <w:rPr>
          <w:rStyle w:val="TextoNormalCaracter"/>
        </w:rPr>
        <w:t xml:space="preserve">, </w:t>
      </w:r>
    </w:p>
    <w:p w14:paraId="7C217B81" w14:textId="2B432784" w:rsidR="00E55613" w:rsidRPr="00E55613" w:rsidRDefault="00E55613" w:rsidP="00E55613">
      <w:pPr>
        <w:pStyle w:val="TextoNormalSangraFrancesa"/>
        <w:rPr>
          <w:rStyle w:val="TextoNormalCaracter"/>
        </w:rPr>
      </w:pPr>
      <w:r w:rsidRPr="00E55613">
        <w:rPr>
          <w:rStyle w:val="TextoNormalCursivaCaracter"/>
        </w:rPr>
        <w:t xml:space="preserve">    Acepta, </w:t>
      </w:r>
      <w:r w:rsidRPr="00E55613">
        <w:rPr>
          <w:rStyle w:val="TextoNormalCaracter"/>
        </w:rPr>
        <w:t xml:space="preserve">Autos </w:t>
      </w:r>
      <w:hyperlink w:anchor="AUTO_2024_2" w:history="1">
        <w:r w:rsidRPr="00E55613">
          <w:rPr>
            <w:rStyle w:val="TextoNormalCaracter"/>
          </w:rPr>
          <w:t>2/2024</w:t>
        </w:r>
      </w:hyperlink>
      <w:r w:rsidRPr="00E55613">
        <w:rPr>
          <w:rStyle w:val="TextoNormalCaracter"/>
        </w:rPr>
        <w:t xml:space="preserve">, único; </w:t>
      </w:r>
      <w:hyperlink w:anchor="AUTO_2024_3" w:history="1">
        <w:r w:rsidRPr="00E55613">
          <w:rPr>
            <w:rStyle w:val="TextoNormalCaracter"/>
          </w:rPr>
          <w:t>3/2024</w:t>
        </w:r>
      </w:hyperlink>
      <w:r w:rsidRPr="00E55613">
        <w:rPr>
          <w:rStyle w:val="TextoNormalCaracter"/>
        </w:rPr>
        <w:t xml:space="preserve">, f. único; </w:t>
      </w:r>
      <w:hyperlink w:anchor="AUTO_2024_6" w:history="1">
        <w:r w:rsidRPr="00E55613">
          <w:rPr>
            <w:rStyle w:val="TextoNormalCaracter"/>
          </w:rPr>
          <w:t>6/2024</w:t>
        </w:r>
      </w:hyperlink>
      <w:r w:rsidRPr="00E55613">
        <w:rPr>
          <w:rStyle w:val="TextoNormalCaracter"/>
        </w:rPr>
        <w:t xml:space="preserve">, f. único; </w:t>
      </w:r>
      <w:hyperlink w:anchor="AUTO_2024_7" w:history="1">
        <w:r w:rsidRPr="00E55613">
          <w:rPr>
            <w:rStyle w:val="TextoNormalCaracter"/>
          </w:rPr>
          <w:t>7/2024</w:t>
        </w:r>
      </w:hyperlink>
      <w:r w:rsidRPr="00E55613">
        <w:rPr>
          <w:rStyle w:val="TextoNormalCaracter"/>
        </w:rPr>
        <w:t xml:space="preserve">, único; </w:t>
      </w:r>
      <w:hyperlink w:anchor="AUTO_2024_10" w:history="1">
        <w:r w:rsidRPr="00E55613">
          <w:rPr>
            <w:rStyle w:val="TextoNormalCaracter"/>
          </w:rPr>
          <w:t>10/2024</w:t>
        </w:r>
      </w:hyperlink>
      <w:r w:rsidRPr="00E55613">
        <w:rPr>
          <w:rStyle w:val="TextoNormalCaracter"/>
        </w:rPr>
        <w:t xml:space="preserve">, f. único; </w:t>
      </w:r>
      <w:hyperlink w:anchor="AUTO_2024_11" w:history="1">
        <w:r w:rsidRPr="00E55613">
          <w:rPr>
            <w:rStyle w:val="TextoNormalCaracter"/>
          </w:rPr>
          <w:t>11/2024</w:t>
        </w:r>
      </w:hyperlink>
      <w:r w:rsidRPr="00E55613">
        <w:rPr>
          <w:rStyle w:val="TextoNormalCaracter"/>
        </w:rPr>
        <w:t xml:space="preserve">, f. único; </w:t>
      </w:r>
      <w:hyperlink w:anchor="AUTO_2024_12" w:history="1">
        <w:r w:rsidRPr="00E55613">
          <w:rPr>
            <w:rStyle w:val="TextoNormalCaracter"/>
          </w:rPr>
          <w:t>12/2024</w:t>
        </w:r>
      </w:hyperlink>
      <w:r w:rsidRPr="00E55613">
        <w:rPr>
          <w:rStyle w:val="TextoNormalCaracter"/>
        </w:rPr>
        <w:t xml:space="preserve">, único; </w:t>
      </w:r>
      <w:hyperlink w:anchor="AUTO_2024_14" w:history="1">
        <w:r w:rsidRPr="00E55613">
          <w:rPr>
            <w:rStyle w:val="TextoNormalCaracter"/>
          </w:rPr>
          <w:t>14/2024</w:t>
        </w:r>
      </w:hyperlink>
      <w:r w:rsidRPr="00E55613">
        <w:rPr>
          <w:rStyle w:val="TextoNormalCaracter"/>
        </w:rPr>
        <w:t xml:space="preserve">, f. único; </w:t>
      </w:r>
      <w:hyperlink w:anchor="AUTO_2024_16" w:history="1">
        <w:r w:rsidRPr="00E55613">
          <w:rPr>
            <w:rStyle w:val="TextoNormalCaracter"/>
          </w:rPr>
          <w:t>16/2024</w:t>
        </w:r>
      </w:hyperlink>
      <w:r w:rsidRPr="00E55613">
        <w:rPr>
          <w:rStyle w:val="TextoNormalCaracter"/>
        </w:rPr>
        <w:t xml:space="preserve">, f. único; </w:t>
      </w:r>
      <w:hyperlink w:anchor="AUTO_2024_18" w:history="1">
        <w:r w:rsidRPr="00E55613">
          <w:rPr>
            <w:rStyle w:val="TextoNormalCaracter"/>
          </w:rPr>
          <w:t>18/2024</w:t>
        </w:r>
      </w:hyperlink>
      <w:r w:rsidRPr="00E55613">
        <w:rPr>
          <w:rStyle w:val="TextoNormalCaracter"/>
        </w:rPr>
        <w:t xml:space="preserve">, f. único; </w:t>
      </w:r>
      <w:hyperlink w:anchor="AUTO_2024_23" w:history="1">
        <w:r w:rsidRPr="00E55613">
          <w:rPr>
            <w:rStyle w:val="TextoNormalCaracter"/>
          </w:rPr>
          <w:t>23/2024</w:t>
        </w:r>
      </w:hyperlink>
      <w:r w:rsidRPr="00E55613">
        <w:rPr>
          <w:rStyle w:val="TextoNormalCaracter"/>
        </w:rPr>
        <w:t xml:space="preserve">, f. único; </w:t>
      </w:r>
      <w:hyperlink w:anchor="AUTO_2024_25" w:history="1">
        <w:r w:rsidRPr="00E55613">
          <w:rPr>
            <w:rStyle w:val="TextoNormalCaracter"/>
          </w:rPr>
          <w:t>25/2024</w:t>
        </w:r>
      </w:hyperlink>
      <w:r w:rsidRPr="00E55613">
        <w:rPr>
          <w:rStyle w:val="TextoNormalCaracter"/>
        </w:rPr>
        <w:t xml:space="preserve">, f. único; </w:t>
      </w:r>
      <w:hyperlink w:anchor="AUTO_2024_28" w:history="1">
        <w:r w:rsidRPr="00E55613">
          <w:rPr>
            <w:rStyle w:val="TextoNormalCaracter"/>
          </w:rPr>
          <w:t>28/2024</w:t>
        </w:r>
      </w:hyperlink>
      <w:r w:rsidRPr="00E55613">
        <w:rPr>
          <w:rStyle w:val="TextoNormalCaracter"/>
        </w:rPr>
        <w:t xml:space="preserve">, f. único; </w:t>
      </w:r>
      <w:hyperlink w:anchor="AUTO_2024_35" w:history="1">
        <w:r w:rsidRPr="00E55613">
          <w:rPr>
            <w:rStyle w:val="TextoNormalCaracter"/>
          </w:rPr>
          <w:t>35/2024</w:t>
        </w:r>
      </w:hyperlink>
      <w:r w:rsidRPr="00E55613">
        <w:rPr>
          <w:rStyle w:val="TextoNormalCaracter"/>
        </w:rPr>
        <w:t xml:space="preserve">, f. único; </w:t>
      </w:r>
      <w:hyperlink w:anchor="AUTO_2024_43" w:history="1">
        <w:r w:rsidRPr="00E55613">
          <w:rPr>
            <w:rStyle w:val="TextoNormalCaracter"/>
          </w:rPr>
          <w:t>43/2024</w:t>
        </w:r>
      </w:hyperlink>
      <w:r w:rsidRPr="00E55613">
        <w:rPr>
          <w:rStyle w:val="TextoNormalCaracter"/>
        </w:rPr>
        <w:t xml:space="preserve">, f. Unico; </w:t>
      </w:r>
      <w:hyperlink w:anchor="AUTO_2024_44" w:history="1">
        <w:r w:rsidRPr="00E55613">
          <w:rPr>
            <w:rStyle w:val="TextoNormalCaracter"/>
          </w:rPr>
          <w:t>44/2024</w:t>
        </w:r>
      </w:hyperlink>
      <w:r w:rsidRPr="00E55613">
        <w:rPr>
          <w:rStyle w:val="TextoNormalCaracter"/>
        </w:rPr>
        <w:t xml:space="preserve">, f. único; </w:t>
      </w:r>
      <w:hyperlink w:anchor="AUTO_2024_45" w:history="1">
        <w:r w:rsidRPr="00E55613">
          <w:rPr>
            <w:rStyle w:val="TextoNormalCaracter"/>
          </w:rPr>
          <w:t>45/2024</w:t>
        </w:r>
      </w:hyperlink>
      <w:r w:rsidRPr="00E55613">
        <w:rPr>
          <w:rStyle w:val="TextoNormalCaracter"/>
        </w:rPr>
        <w:t xml:space="preserve">, f. único; </w:t>
      </w:r>
      <w:hyperlink w:anchor="AUTO_2024_46" w:history="1">
        <w:r w:rsidRPr="00E55613">
          <w:rPr>
            <w:rStyle w:val="TextoNormalCaracter"/>
          </w:rPr>
          <w:t>46/2024</w:t>
        </w:r>
      </w:hyperlink>
      <w:r w:rsidRPr="00E55613">
        <w:rPr>
          <w:rStyle w:val="TextoNormalCaracter"/>
        </w:rPr>
        <w:t xml:space="preserve">, f. único; </w:t>
      </w:r>
      <w:hyperlink w:anchor="AUTO_2024_50" w:history="1">
        <w:r w:rsidRPr="00E55613">
          <w:rPr>
            <w:rStyle w:val="TextoNormalCaracter"/>
          </w:rPr>
          <w:t>50/2024</w:t>
        </w:r>
      </w:hyperlink>
      <w:r w:rsidRPr="00E55613">
        <w:rPr>
          <w:rStyle w:val="TextoNormalCaracter"/>
        </w:rPr>
        <w:t xml:space="preserve">, f. único; </w:t>
      </w:r>
      <w:hyperlink w:anchor="AUTO_2024_56" w:history="1">
        <w:r w:rsidRPr="00E55613">
          <w:rPr>
            <w:rStyle w:val="TextoNormalCaracter"/>
          </w:rPr>
          <w:t>56/2024</w:t>
        </w:r>
      </w:hyperlink>
      <w:r w:rsidRPr="00E55613">
        <w:rPr>
          <w:rStyle w:val="TextoNormalCaracter"/>
        </w:rPr>
        <w:t xml:space="preserve">, f. único; </w:t>
      </w:r>
      <w:hyperlink w:anchor="AUTO_2024_59" w:history="1">
        <w:r w:rsidRPr="00E55613">
          <w:rPr>
            <w:rStyle w:val="TextoNormalCaracter"/>
          </w:rPr>
          <w:t>59/2024</w:t>
        </w:r>
      </w:hyperlink>
      <w:r w:rsidRPr="00E55613">
        <w:rPr>
          <w:rStyle w:val="TextoNormalCaracter"/>
        </w:rPr>
        <w:t>, f. único.</w:t>
      </w:r>
    </w:p>
    <w:p w14:paraId="73E32498" w14:textId="6EDDC509" w:rsidR="00E55613" w:rsidRPr="00E55613" w:rsidRDefault="00E55613" w:rsidP="00E55613">
      <w:pPr>
        <w:pStyle w:val="TextoNormalSangraFrancesa"/>
        <w:rPr>
          <w:rStyle w:val="TextoNormalCaracter"/>
        </w:rPr>
      </w:pPr>
      <w:bookmarkStart w:id="706" w:name="DESCRIPTORALFABETICO178"/>
      <w:r w:rsidRPr="00E55613">
        <w:rPr>
          <w:rStyle w:val="TextoNormalNegritaCaracter"/>
        </w:rPr>
        <w:t>Aclaración de doctrina constitucional</w:t>
      </w:r>
      <w:bookmarkEnd w:id="706"/>
      <w:r w:rsidRPr="00E55613">
        <w:rPr>
          <w:rStyle w:val="TextoNormalCaracter"/>
        </w:rPr>
        <w:t xml:space="preserve">, Sentencia </w:t>
      </w:r>
      <w:hyperlink w:anchor="SENTENCIA_2024_80" w:history="1">
        <w:r w:rsidRPr="00E55613">
          <w:rPr>
            <w:rStyle w:val="TextoNormalCaracter"/>
          </w:rPr>
          <w:t>80/2024</w:t>
        </w:r>
      </w:hyperlink>
      <w:r w:rsidRPr="00E55613">
        <w:rPr>
          <w:rStyle w:val="TextoNormalCaracter"/>
        </w:rPr>
        <w:t>, f. 2.</w:t>
      </w:r>
    </w:p>
    <w:p w14:paraId="502BCDAA" w14:textId="5F33784F" w:rsidR="00E55613" w:rsidRPr="00E55613" w:rsidRDefault="00E55613" w:rsidP="00E55613">
      <w:pPr>
        <w:pStyle w:val="TextoNormalSangraFrancesa"/>
        <w:rPr>
          <w:rStyle w:val="TextoNormalCaracter"/>
        </w:rPr>
      </w:pPr>
      <w:bookmarkStart w:id="707" w:name="DESCRIPTORALFABETICO318"/>
      <w:r w:rsidRPr="00E55613">
        <w:rPr>
          <w:rStyle w:val="TextoNormalNegritaCaracter"/>
        </w:rPr>
        <w:t>Acogimiento familiar</w:t>
      </w:r>
      <w:bookmarkEnd w:id="707"/>
      <w:r w:rsidRPr="00E55613">
        <w:rPr>
          <w:rStyle w:val="TextoNormalCaracter"/>
        </w:rPr>
        <w:t xml:space="preserve">, Sentencia </w:t>
      </w:r>
      <w:hyperlink w:anchor="SENTENCIA_2024_82" w:history="1">
        <w:r w:rsidRPr="00E55613">
          <w:rPr>
            <w:rStyle w:val="TextoNormalCaracter"/>
          </w:rPr>
          <w:t>82/2024</w:t>
        </w:r>
      </w:hyperlink>
      <w:r w:rsidRPr="00E55613">
        <w:rPr>
          <w:rStyle w:val="TextoNormalCaracter"/>
        </w:rPr>
        <w:t>, ff. 2 a 3.</w:t>
      </w:r>
    </w:p>
    <w:p w14:paraId="6587EEF1" w14:textId="41BA3EC5" w:rsidR="00E55613" w:rsidRPr="00E55613" w:rsidRDefault="00E55613" w:rsidP="00E55613">
      <w:pPr>
        <w:pStyle w:val="TextoNormalSangraFrancesa"/>
        <w:rPr>
          <w:rStyle w:val="TextoNormalCaracter"/>
        </w:rPr>
      </w:pPr>
      <w:bookmarkStart w:id="708" w:name="DESCRIPTORALFABETICO232"/>
      <w:r w:rsidRPr="00E55613">
        <w:rPr>
          <w:rStyle w:val="TextoNormalNegritaCaracter"/>
        </w:rPr>
        <w:t>Actos parlamentarios</w:t>
      </w:r>
      <w:bookmarkEnd w:id="708"/>
      <w:r w:rsidRPr="00E55613">
        <w:rPr>
          <w:rStyle w:val="TextoNormalCaracter"/>
        </w:rPr>
        <w:t xml:space="preserve">, Sentencia </w:t>
      </w:r>
      <w:hyperlink w:anchor="SENTENCIA_2024_10" w:history="1">
        <w:r w:rsidRPr="00E55613">
          <w:rPr>
            <w:rStyle w:val="TextoNormalCaracter"/>
          </w:rPr>
          <w:t>10/2024</w:t>
        </w:r>
      </w:hyperlink>
      <w:r w:rsidRPr="00E55613">
        <w:rPr>
          <w:rStyle w:val="TextoNormalCaracter"/>
        </w:rPr>
        <w:t>, ff. 2 a 4, VP.</w:t>
      </w:r>
    </w:p>
    <w:p w14:paraId="12C09285" w14:textId="77777777" w:rsidR="00E55613" w:rsidRPr="00E55613" w:rsidRDefault="00E55613" w:rsidP="00E55613">
      <w:pPr>
        <w:pStyle w:val="TextoNormalSangraFrancesa"/>
        <w:rPr>
          <w:rStyle w:val="TextoNormalCaracter"/>
        </w:rPr>
      </w:pPr>
      <w:bookmarkStart w:id="709" w:name="DESCRIPTORALFABETICO450"/>
      <w:r w:rsidRPr="00E55613">
        <w:rPr>
          <w:rStyle w:val="TextoNormalNegritaCaracter"/>
        </w:rPr>
        <w:t>Actos procesales de comunicación</w:t>
      </w:r>
      <w:bookmarkEnd w:id="709"/>
      <w:r w:rsidRPr="00E55613">
        <w:rPr>
          <w:rStyle w:val="TextoNormalCaracter"/>
        </w:rPr>
        <w:t xml:space="preserve">, </w:t>
      </w:r>
    </w:p>
    <w:p w14:paraId="394B77DE" w14:textId="0D82925D" w:rsidR="00E55613" w:rsidRPr="00E55613" w:rsidRDefault="00E55613" w:rsidP="00E55613">
      <w:pPr>
        <w:pStyle w:val="TextoNormalSangraFrancesa"/>
        <w:rPr>
          <w:rStyle w:val="TextoNormalCaracter"/>
        </w:rPr>
      </w:pPr>
      <w:r w:rsidRPr="00E55613">
        <w:rPr>
          <w:rStyle w:val="TextoNormalCursivaCaracter"/>
        </w:rPr>
        <w:t xml:space="preserve">    Doctrina constitucional, </w:t>
      </w:r>
      <w:r w:rsidRPr="00E55613">
        <w:rPr>
          <w:rStyle w:val="TextoNormalCaracter"/>
        </w:rPr>
        <w:t xml:space="preserve">Sentencia </w:t>
      </w:r>
      <w:hyperlink w:anchor="SENTENCIA_2024_12" w:history="1">
        <w:r w:rsidRPr="00E55613">
          <w:rPr>
            <w:rStyle w:val="TextoNormalCaracter"/>
          </w:rPr>
          <w:t>12/2024</w:t>
        </w:r>
      </w:hyperlink>
      <w:r w:rsidRPr="00E55613">
        <w:rPr>
          <w:rStyle w:val="TextoNormalCaracter"/>
        </w:rPr>
        <w:t>, f. 2.</w:t>
      </w:r>
    </w:p>
    <w:p w14:paraId="7E950EFD" w14:textId="408DF749" w:rsidR="00E55613" w:rsidRPr="00E55613" w:rsidRDefault="00E55613" w:rsidP="00E55613">
      <w:pPr>
        <w:pStyle w:val="TextoNormalSangraFrancesa"/>
        <w:rPr>
          <w:rStyle w:val="TextoNormalCaracter"/>
        </w:rPr>
      </w:pPr>
      <w:bookmarkStart w:id="710" w:name="DESCRIPTORALFABETICO26"/>
      <w:r w:rsidRPr="00E55613">
        <w:rPr>
          <w:rStyle w:val="TextoNormalNegritaCaracter"/>
        </w:rPr>
        <w:t>Actualización de valores de elementos patrimoniales</w:t>
      </w:r>
      <w:bookmarkEnd w:id="710"/>
      <w:r w:rsidRPr="00E55613">
        <w:rPr>
          <w:rStyle w:val="TextoNormalCaracter"/>
        </w:rPr>
        <w:t xml:space="preserve">, Sentencia </w:t>
      </w:r>
      <w:hyperlink w:anchor="SENTENCIA_2024_11" w:history="1">
        <w:r w:rsidRPr="00E55613">
          <w:rPr>
            <w:rStyle w:val="TextoNormalCaracter"/>
          </w:rPr>
          <w:t>11/2024</w:t>
        </w:r>
      </w:hyperlink>
      <w:r w:rsidRPr="00E55613">
        <w:rPr>
          <w:rStyle w:val="TextoNormalCaracter"/>
        </w:rPr>
        <w:t>, ff. 1 y 3.</w:t>
      </w:r>
    </w:p>
    <w:p w14:paraId="65522CF9" w14:textId="4FE5BB6C" w:rsidR="00E55613" w:rsidRPr="00E55613" w:rsidRDefault="00E55613" w:rsidP="00E55613">
      <w:pPr>
        <w:pStyle w:val="TextoNormalSangraFrancesa"/>
        <w:rPr>
          <w:rStyle w:val="TextoNormalCaracter"/>
        </w:rPr>
      </w:pPr>
      <w:bookmarkStart w:id="711" w:name="DESCRIPTORALFABETICO239"/>
      <w:r w:rsidRPr="00E55613">
        <w:rPr>
          <w:rStyle w:val="TextoNormalNegritaCaracter"/>
        </w:rPr>
        <w:t>Acuerdo de la Mesa desestimando solicitud de varios diputados</w:t>
      </w:r>
      <w:bookmarkEnd w:id="711"/>
      <w:r w:rsidRPr="00E55613">
        <w:rPr>
          <w:rStyle w:val="TextoNormalCaracter"/>
        </w:rPr>
        <w:t xml:space="preserve">, Sentencia </w:t>
      </w:r>
      <w:hyperlink w:anchor="SENTENCIA_2024_86" w:history="1">
        <w:r w:rsidRPr="00E55613">
          <w:rPr>
            <w:rStyle w:val="TextoNormalCaracter"/>
          </w:rPr>
          <w:t>86/2024</w:t>
        </w:r>
      </w:hyperlink>
      <w:r w:rsidRPr="00E55613">
        <w:rPr>
          <w:rStyle w:val="TextoNormalCaracter"/>
        </w:rPr>
        <w:t>, f. 3.</w:t>
      </w:r>
    </w:p>
    <w:p w14:paraId="0D1F8812" w14:textId="00476040" w:rsidR="00E55613" w:rsidRPr="00E55613" w:rsidRDefault="00E55613" w:rsidP="00E55613">
      <w:pPr>
        <w:pStyle w:val="TextoNormalSangraFrancesa"/>
        <w:rPr>
          <w:rStyle w:val="TextoNormalCaracter"/>
        </w:rPr>
      </w:pPr>
      <w:bookmarkStart w:id="712" w:name="DESCRIPTORALFABETICO240"/>
      <w:r w:rsidRPr="00E55613">
        <w:rPr>
          <w:rStyle w:val="TextoNormalNegritaCaracter"/>
        </w:rPr>
        <w:t>Acuerdo de la Mesa inadmitiendo solicitud parlamentaria</w:t>
      </w:r>
      <w:bookmarkEnd w:id="712"/>
      <w:r w:rsidRPr="00E55613">
        <w:rPr>
          <w:rStyle w:val="TextoNormalCaracter"/>
        </w:rPr>
        <w:t xml:space="preserve">, Sentencias </w:t>
      </w:r>
      <w:hyperlink w:anchor="SENTENCIA_2024_10" w:history="1">
        <w:r w:rsidRPr="00E55613">
          <w:rPr>
            <w:rStyle w:val="TextoNormalCaracter"/>
          </w:rPr>
          <w:t>10/2024</w:t>
        </w:r>
      </w:hyperlink>
      <w:r w:rsidRPr="00E55613">
        <w:rPr>
          <w:rStyle w:val="TextoNormalCaracter"/>
        </w:rPr>
        <w:t xml:space="preserve">, ff. 2 a 4, VP; </w:t>
      </w:r>
      <w:hyperlink w:anchor="SENTENCIA_2024_30" w:history="1">
        <w:r w:rsidRPr="00E55613">
          <w:rPr>
            <w:rStyle w:val="TextoNormalCaracter"/>
          </w:rPr>
          <w:t>30/2024</w:t>
        </w:r>
      </w:hyperlink>
      <w:r w:rsidRPr="00E55613">
        <w:rPr>
          <w:rStyle w:val="TextoNormalCaracter"/>
        </w:rPr>
        <w:t>, ff. 1, 3 y 4, VP I, VP II.</w:t>
      </w:r>
    </w:p>
    <w:p w14:paraId="5EE511C9" w14:textId="2F3EC0C1" w:rsidR="00E55613" w:rsidRPr="00E55613" w:rsidRDefault="00E55613" w:rsidP="00E55613">
      <w:pPr>
        <w:pStyle w:val="TextoNormalSangraFrancesa"/>
        <w:rPr>
          <w:rStyle w:val="TextoNormalCaracter"/>
        </w:rPr>
      </w:pPr>
      <w:bookmarkStart w:id="713" w:name="DESCRIPTORALFABETICO31"/>
      <w:r w:rsidRPr="00E55613">
        <w:rPr>
          <w:rStyle w:val="TextoNormalNegritaCaracter"/>
        </w:rPr>
        <w:t>Acuerdos de las juntas electorales</w:t>
      </w:r>
      <w:bookmarkEnd w:id="713"/>
      <w:r w:rsidRPr="00E55613">
        <w:rPr>
          <w:rStyle w:val="TextoNormalCaracter"/>
        </w:rPr>
        <w:t xml:space="preserve">, Sentencia </w:t>
      </w:r>
      <w:hyperlink w:anchor="SENTENCIA_2024_62" w:history="1">
        <w:r w:rsidRPr="00E55613">
          <w:rPr>
            <w:rStyle w:val="TextoNormalCaracter"/>
          </w:rPr>
          <w:t>62/2024</w:t>
        </w:r>
      </w:hyperlink>
      <w:r w:rsidRPr="00E55613">
        <w:rPr>
          <w:rStyle w:val="TextoNormalCaracter"/>
        </w:rPr>
        <w:t>, f. 1.</w:t>
      </w:r>
    </w:p>
    <w:p w14:paraId="37201C85" w14:textId="07FB2C09" w:rsidR="00E55613" w:rsidRPr="00E55613" w:rsidRDefault="00E55613" w:rsidP="00E55613">
      <w:pPr>
        <w:pStyle w:val="TextoNormalSangraFrancesa"/>
        <w:rPr>
          <w:rStyle w:val="TextoNormalCaracter"/>
        </w:rPr>
      </w:pPr>
      <w:bookmarkStart w:id="714" w:name="DESCRIPTORALFABETICO238"/>
      <w:r w:rsidRPr="00E55613">
        <w:rPr>
          <w:rStyle w:val="TextoNormalNegritaCaracter"/>
        </w:rPr>
        <w:t>Acuerdos de las mesas parlamentarias</w:t>
      </w:r>
      <w:bookmarkEnd w:id="714"/>
      <w:r w:rsidRPr="00E55613">
        <w:rPr>
          <w:rStyle w:val="TextoNormalCaracter"/>
        </w:rPr>
        <w:t xml:space="preserve">, Autos </w:t>
      </w:r>
      <w:hyperlink w:anchor="AUTO_2024_24" w:history="1">
        <w:r w:rsidRPr="00E55613">
          <w:rPr>
            <w:rStyle w:val="TextoNormalCaracter"/>
          </w:rPr>
          <w:t>24/2024</w:t>
        </w:r>
      </w:hyperlink>
      <w:r w:rsidRPr="00E55613">
        <w:rPr>
          <w:rStyle w:val="TextoNormalCaracter"/>
        </w:rPr>
        <w:t xml:space="preserve">, f. 1, VP; </w:t>
      </w:r>
      <w:hyperlink w:anchor="AUTO_2024_47" w:history="1">
        <w:r w:rsidRPr="00E55613">
          <w:rPr>
            <w:rStyle w:val="TextoNormalCaracter"/>
          </w:rPr>
          <w:t>47/2024</w:t>
        </w:r>
      </w:hyperlink>
      <w:r w:rsidRPr="00E55613">
        <w:rPr>
          <w:rStyle w:val="TextoNormalCaracter"/>
        </w:rPr>
        <w:t>, f. 3, VP.</w:t>
      </w:r>
    </w:p>
    <w:p w14:paraId="3CD44C2F" w14:textId="28117D79" w:rsidR="00E55613" w:rsidRPr="00E55613" w:rsidRDefault="00E55613" w:rsidP="00E55613">
      <w:pPr>
        <w:pStyle w:val="TextoNormalSangraFrancesa"/>
        <w:rPr>
          <w:rStyle w:val="TextoNormalCaracter"/>
        </w:rPr>
      </w:pPr>
      <w:bookmarkStart w:id="715" w:name="DESCRIPTORALFABETICO198"/>
      <w:r w:rsidRPr="00E55613">
        <w:rPr>
          <w:rStyle w:val="TextoNormalNegritaCaracter"/>
        </w:rPr>
        <w:t>Acuerdos del Tribunal Constitucional</w:t>
      </w:r>
      <w:bookmarkEnd w:id="715"/>
      <w:r w:rsidRPr="00E55613">
        <w:rPr>
          <w:rStyle w:val="TextoNormalCaracter"/>
        </w:rPr>
        <w:t xml:space="preserve">, Auto </w:t>
      </w:r>
      <w:hyperlink w:anchor="AUTO_2024_8" w:history="1">
        <w:r w:rsidRPr="00E55613">
          <w:rPr>
            <w:rStyle w:val="TextoNormalCaracter"/>
          </w:rPr>
          <w:t>8/2024</w:t>
        </w:r>
      </w:hyperlink>
      <w:r w:rsidRPr="00E55613">
        <w:rPr>
          <w:rStyle w:val="TextoNormalCaracter"/>
        </w:rPr>
        <w:t>, f. 2.</w:t>
      </w:r>
    </w:p>
    <w:p w14:paraId="3F80E856" w14:textId="2A814E88" w:rsidR="00E55613" w:rsidRPr="00E55613" w:rsidRDefault="00E55613" w:rsidP="00E55613">
      <w:pPr>
        <w:pStyle w:val="TextoNormalSangraFrancesa"/>
        <w:rPr>
          <w:rStyle w:val="TextoNormalCaracter"/>
        </w:rPr>
      </w:pPr>
      <w:bookmarkStart w:id="716" w:name="DESCRIPTORALFABETICO319"/>
      <w:r w:rsidRPr="00E55613">
        <w:rPr>
          <w:rStyle w:val="TextoNormalNegritaCaracter"/>
        </w:rPr>
        <w:t>Adopción</w:t>
      </w:r>
      <w:bookmarkEnd w:id="716"/>
      <w:r w:rsidRPr="00E55613">
        <w:rPr>
          <w:rStyle w:val="TextoNormalCaracter"/>
        </w:rPr>
        <w:t xml:space="preserve">, Sentencias </w:t>
      </w:r>
      <w:hyperlink w:anchor="SENTENCIA_2024_28" w:history="1">
        <w:r w:rsidRPr="00E55613">
          <w:rPr>
            <w:rStyle w:val="TextoNormalCaracter"/>
          </w:rPr>
          <w:t>28/2024</w:t>
        </w:r>
      </w:hyperlink>
      <w:r w:rsidRPr="00E55613">
        <w:rPr>
          <w:rStyle w:val="TextoNormalCaracter"/>
        </w:rPr>
        <w:t xml:space="preserve">, ff. 2,3,5,6, VP; </w:t>
      </w:r>
      <w:hyperlink w:anchor="SENTENCIA_2024_82" w:history="1">
        <w:r w:rsidRPr="00E55613">
          <w:rPr>
            <w:rStyle w:val="TextoNormalCaracter"/>
          </w:rPr>
          <w:t>82/2024</w:t>
        </w:r>
      </w:hyperlink>
      <w:r w:rsidRPr="00E55613">
        <w:rPr>
          <w:rStyle w:val="TextoNormalCaracter"/>
        </w:rPr>
        <w:t>, ff. 2 a 4.</w:t>
      </w:r>
    </w:p>
    <w:p w14:paraId="6D769A97" w14:textId="3BE695AC" w:rsidR="00E55613" w:rsidRPr="00E55613" w:rsidRDefault="00E55613" w:rsidP="00E55613">
      <w:pPr>
        <w:pStyle w:val="TextoNormalSangraFrancesa"/>
        <w:rPr>
          <w:rStyle w:val="TextoNormalCaracter"/>
        </w:rPr>
      </w:pPr>
      <w:bookmarkStart w:id="717" w:name="DESCRIPTORALFABETICO328"/>
      <w:r w:rsidRPr="00E55613">
        <w:rPr>
          <w:rStyle w:val="TextoNormalNegritaCaracter"/>
        </w:rPr>
        <w:t>Agente encubierto</w:t>
      </w:r>
      <w:bookmarkEnd w:id="717"/>
      <w:r w:rsidRPr="00E55613">
        <w:rPr>
          <w:rStyle w:val="TextoNormalCaracter"/>
        </w:rPr>
        <w:t xml:space="preserve">, Sentencia </w:t>
      </w:r>
      <w:hyperlink w:anchor="SENTENCIA_2024_87" w:history="1">
        <w:r w:rsidRPr="00E55613">
          <w:rPr>
            <w:rStyle w:val="TextoNormalCaracter"/>
          </w:rPr>
          <w:t>87/2024</w:t>
        </w:r>
      </w:hyperlink>
      <w:r w:rsidRPr="00E55613">
        <w:rPr>
          <w:rStyle w:val="TextoNormalCaracter"/>
        </w:rPr>
        <w:t>, ff. 2 a 5.</w:t>
      </w:r>
    </w:p>
    <w:p w14:paraId="372B4441" w14:textId="7536472D" w:rsidR="00E55613" w:rsidRPr="00E55613" w:rsidRDefault="00E55613" w:rsidP="00E55613">
      <w:pPr>
        <w:pStyle w:val="TextoNormalSangraFrancesa"/>
        <w:rPr>
          <w:rStyle w:val="TextoNormalCaracter"/>
        </w:rPr>
      </w:pPr>
      <w:bookmarkStart w:id="718" w:name="DESCRIPTORALFABETICO175"/>
      <w:r w:rsidRPr="00E55613">
        <w:rPr>
          <w:rStyle w:val="TextoNormalNegritaCaracter"/>
        </w:rPr>
        <w:t>Agotamiento de la vía judicial</w:t>
      </w:r>
      <w:bookmarkEnd w:id="718"/>
      <w:r w:rsidRPr="00E55613">
        <w:rPr>
          <w:rStyle w:val="TextoNormalCaracter"/>
        </w:rPr>
        <w:t xml:space="preserve">, Sentencias </w:t>
      </w:r>
      <w:hyperlink w:anchor="SENTENCIA_2024_9" w:history="1">
        <w:r w:rsidRPr="00E55613">
          <w:rPr>
            <w:rStyle w:val="TextoNormalCaracter"/>
          </w:rPr>
          <w:t>9/2024</w:t>
        </w:r>
      </w:hyperlink>
      <w:r w:rsidRPr="00E55613">
        <w:rPr>
          <w:rStyle w:val="TextoNormalCaracter"/>
        </w:rPr>
        <w:t xml:space="preserve">, f. 2, VP II; </w:t>
      </w:r>
      <w:hyperlink w:anchor="SENTENCIA_2024_55" w:history="1">
        <w:r w:rsidRPr="00E55613">
          <w:rPr>
            <w:rStyle w:val="TextoNormalCaracter"/>
          </w:rPr>
          <w:t>55/2024</w:t>
        </w:r>
      </w:hyperlink>
      <w:r w:rsidRPr="00E55613">
        <w:rPr>
          <w:rStyle w:val="TextoNormalCaracter"/>
        </w:rPr>
        <w:t>, f. 2.</w:t>
      </w:r>
    </w:p>
    <w:p w14:paraId="6C01036A" w14:textId="57BD6F75" w:rsidR="00E55613" w:rsidRPr="00E55613" w:rsidRDefault="00E55613" w:rsidP="00E55613">
      <w:pPr>
        <w:pStyle w:val="TextoNormalSangraFrancesa"/>
        <w:rPr>
          <w:rStyle w:val="TextoNormalCaracter"/>
        </w:rPr>
      </w:pPr>
      <w:bookmarkStart w:id="719" w:name="DESCRIPTORALFABETICO174"/>
      <w:r w:rsidRPr="00E55613">
        <w:rPr>
          <w:rStyle w:val="TextoNormalNegritaCaracter"/>
        </w:rPr>
        <w:t>Agotamiento de la vía previa</w:t>
      </w:r>
      <w:bookmarkEnd w:id="719"/>
      <w:r w:rsidRPr="00E55613">
        <w:rPr>
          <w:rStyle w:val="TextoNormalCaracter"/>
        </w:rPr>
        <w:t xml:space="preserve">, Sentencia </w:t>
      </w:r>
      <w:hyperlink w:anchor="SENTENCIA_2024_3" w:history="1">
        <w:r w:rsidRPr="00E55613">
          <w:rPr>
            <w:rStyle w:val="TextoNormalCaracter"/>
          </w:rPr>
          <w:t>3/2024</w:t>
        </w:r>
      </w:hyperlink>
      <w:r w:rsidRPr="00E55613">
        <w:rPr>
          <w:rStyle w:val="TextoNormalCaracter"/>
        </w:rPr>
        <w:t>, ff. 3 y 4.</w:t>
      </w:r>
    </w:p>
    <w:p w14:paraId="768A97EC" w14:textId="53482790" w:rsidR="00E55613" w:rsidRPr="00E55613" w:rsidRDefault="00E55613" w:rsidP="00E55613">
      <w:pPr>
        <w:pStyle w:val="TextoNormalSangraFrancesa"/>
        <w:rPr>
          <w:rStyle w:val="TextoNormalCaracter"/>
        </w:rPr>
      </w:pPr>
      <w:bookmarkStart w:id="720" w:name="DESCRIPTORALFABETICO378"/>
      <w:r w:rsidRPr="00E55613">
        <w:rPr>
          <w:rStyle w:val="TextoNormalNegritaCaracter"/>
        </w:rPr>
        <w:t xml:space="preserve">Analogía </w:t>
      </w:r>
      <w:r w:rsidRPr="00E55613">
        <w:rPr>
          <w:rStyle w:val="TextoNormalNegritaCaracter"/>
          <w:i/>
        </w:rPr>
        <w:t>in malam partem</w:t>
      </w:r>
      <w:bookmarkEnd w:id="720"/>
      <w:r w:rsidRPr="00E55613">
        <w:rPr>
          <w:rStyle w:val="TextoNormalCaracter"/>
        </w:rPr>
        <w:t xml:space="preserve">, Sentencia </w:t>
      </w:r>
      <w:hyperlink w:anchor="SENTENCIA_2024_8" w:history="1">
        <w:r w:rsidRPr="00E55613">
          <w:rPr>
            <w:rStyle w:val="TextoNormalCaracter"/>
          </w:rPr>
          <w:t>8/2024</w:t>
        </w:r>
      </w:hyperlink>
      <w:r w:rsidRPr="00E55613">
        <w:rPr>
          <w:rStyle w:val="TextoNormalCaracter"/>
        </w:rPr>
        <w:t>, f. 6.</w:t>
      </w:r>
    </w:p>
    <w:p w14:paraId="390DFBB0" w14:textId="02623B5A" w:rsidR="00E55613" w:rsidRPr="00E55613" w:rsidRDefault="00E55613" w:rsidP="00E55613">
      <w:pPr>
        <w:pStyle w:val="TextoNormalSangraFrancesa"/>
        <w:rPr>
          <w:rStyle w:val="TextoNormalCaracter"/>
        </w:rPr>
      </w:pPr>
      <w:bookmarkStart w:id="721" w:name="DESCRIPTORALFABETICO517"/>
      <w:r w:rsidRPr="00E55613">
        <w:rPr>
          <w:rStyle w:val="TextoNormalNegritaCaracter"/>
        </w:rPr>
        <w:t>Andalucía</w:t>
      </w:r>
      <w:bookmarkEnd w:id="721"/>
      <w:r w:rsidRPr="00E55613">
        <w:rPr>
          <w:rStyle w:val="TextoNormalCaracter"/>
        </w:rPr>
        <w:t xml:space="preserve">, Sentencia </w:t>
      </w:r>
      <w:hyperlink w:anchor="SENTENCIA_2024_25" w:history="1">
        <w:r w:rsidRPr="00E55613">
          <w:rPr>
            <w:rStyle w:val="TextoNormalCaracter"/>
          </w:rPr>
          <w:t>25/2024</w:t>
        </w:r>
      </w:hyperlink>
      <w:r w:rsidRPr="00E55613">
        <w:rPr>
          <w:rStyle w:val="TextoNormalCaracter"/>
        </w:rPr>
        <w:t>.</w:t>
      </w:r>
    </w:p>
    <w:p w14:paraId="6899D41C" w14:textId="3790634F" w:rsidR="00E55613" w:rsidRPr="00E55613" w:rsidRDefault="00E55613" w:rsidP="00E55613">
      <w:pPr>
        <w:pStyle w:val="TextoNormalSangraFrancesa"/>
        <w:rPr>
          <w:rStyle w:val="TextoNormalCaracter"/>
        </w:rPr>
      </w:pPr>
      <w:bookmarkStart w:id="722" w:name="DESCRIPTORALFABETICO225"/>
      <w:r w:rsidRPr="00E55613">
        <w:rPr>
          <w:rStyle w:val="TextoNormalNegritaCaracter"/>
        </w:rPr>
        <w:t>Anteproyectos de ley</w:t>
      </w:r>
      <w:bookmarkEnd w:id="722"/>
      <w:r w:rsidRPr="00E55613">
        <w:rPr>
          <w:rStyle w:val="TextoNormalCaracter"/>
        </w:rPr>
        <w:t xml:space="preserve">, Sentencias </w:t>
      </w:r>
      <w:hyperlink w:anchor="SENTENCIA_2024_15" w:history="1">
        <w:r w:rsidRPr="00E55613">
          <w:rPr>
            <w:rStyle w:val="TextoNormalCaracter"/>
          </w:rPr>
          <w:t>15/2024</w:t>
        </w:r>
      </w:hyperlink>
      <w:r w:rsidRPr="00E55613">
        <w:rPr>
          <w:rStyle w:val="TextoNormalCaracter"/>
        </w:rPr>
        <w:t xml:space="preserve">, f. 3; </w:t>
      </w:r>
      <w:hyperlink w:anchor="SENTENCIA_2024_93" w:history="1">
        <w:r w:rsidRPr="00E55613">
          <w:rPr>
            <w:rStyle w:val="TextoNormalCaracter"/>
          </w:rPr>
          <w:t>93/2024</w:t>
        </w:r>
      </w:hyperlink>
      <w:r w:rsidRPr="00E55613">
        <w:rPr>
          <w:rStyle w:val="TextoNormalCaracter"/>
        </w:rPr>
        <w:t>, ff. 2 y 4, VP I, VP II.</w:t>
      </w:r>
    </w:p>
    <w:p w14:paraId="275ADABE" w14:textId="0E9AB417" w:rsidR="00E55613" w:rsidRPr="00E55613" w:rsidRDefault="00E55613" w:rsidP="00E55613">
      <w:pPr>
        <w:pStyle w:val="TextoNormalSangraFrancesa"/>
        <w:rPr>
          <w:rStyle w:val="TextoNormalCaracter"/>
        </w:rPr>
      </w:pPr>
      <w:bookmarkStart w:id="723" w:name="DESCRIPTORALFABETICO352"/>
      <w:r w:rsidRPr="00E55613">
        <w:rPr>
          <w:rStyle w:val="TextoNormalNegritaCaracter"/>
        </w:rPr>
        <w:lastRenderedPageBreak/>
        <w:t>Aplicación del Derecho de la Unión Europea</w:t>
      </w:r>
      <w:bookmarkEnd w:id="723"/>
      <w:r w:rsidRPr="00E55613">
        <w:rPr>
          <w:rStyle w:val="TextoNormalCaracter"/>
        </w:rPr>
        <w:t xml:space="preserve">, Sentencia </w:t>
      </w:r>
      <w:hyperlink w:anchor="SENTENCIA_2024_54" w:history="1">
        <w:r w:rsidRPr="00E55613">
          <w:rPr>
            <w:rStyle w:val="TextoNormalCaracter"/>
          </w:rPr>
          <w:t>54/2024</w:t>
        </w:r>
      </w:hyperlink>
      <w:r w:rsidRPr="00E55613">
        <w:rPr>
          <w:rStyle w:val="TextoNormalCaracter"/>
        </w:rPr>
        <w:t>, ff. 1 a 3.</w:t>
      </w:r>
    </w:p>
    <w:p w14:paraId="76FEE41E" w14:textId="0B2AC1B2" w:rsidR="00E55613" w:rsidRPr="00E55613" w:rsidRDefault="00E55613" w:rsidP="00E55613">
      <w:pPr>
        <w:pStyle w:val="TextoNormalSangraFrancesa"/>
        <w:rPr>
          <w:rStyle w:val="TextoNormalCaracter"/>
        </w:rPr>
      </w:pPr>
      <w:bookmarkStart w:id="724" w:name="DESCRIPTORALFABETICO518"/>
      <w:r w:rsidRPr="00E55613">
        <w:rPr>
          <w:rStyle w:val="TextoNormalNegritaCaracter"/>
        </w:rPr>
        <w:t>Aragón</w:t>
      </w:r>
      <w:bookmarkEnd w:id="724"/>
      <w:r w:rsidRPr="00E55613">
        <w:rPr>
          <w:rStyle w:val="TextoNormalCaracter"/>
        </w:rPr>
        <w:t xml:space="preserve">, Auto </w:t>
      </w:r>
      <w:hyperlink w:anchor="AUTO_2024_37" w:history="1">
        <w:r w:rsidRPr="00E55613">
          <w:rPr>
            <w:rStyle w:val="TextoNormalCaracter"/>
          </w:rPr>
          <w:t>37/2024</w:t>
        </w:r>
      </w:hyperlink>
      <w:r w:rsidRPr="00E55613">
        <w:rPr>
          <w:rStyle w:val="TextoNormalCaracter"/>
        </w:rPr>
        <w:t>, f. 3.</w:t>
      </w:r>
    </w:p>
    <w:p w14:paraId="36C0485C" w14:textId="36F9E798" w:rsidR="00E55613" w:rsidRPr="00E55613" w:rsidRDefault="00E55613" w:rsidP="00E55613">
      <w:pPr>
        <w:pStyle w:val="TextoNormalSangraFrancesa"/>
        <w:rPr>
          <w:rStyle w:val="TextoNormalCaracter"/>
        </w:rPr>
      </w:pPr>
      <w:bookmarkStart w:id="725" w:name="DESCRIPTORALFABETICO257"/>
      <w:r w:rsidRPr="00E55613">
        <w:rPr>
          <w:rStyle w:val="TextoNormalNegritaCaracter"/>
        </w:rPr>
        <w:t>Arbitrariedad del legislador</w:t>
      </w:r>
      <w:bookmarkEnd w:id="725"/>
      <w:r w:rsidRPr="00E55613">
        <w:rPr>
          <w:rStyle w:val="TextoNormalCaracter"/>
        </w:rPr>
        <w:t xml:space="preserve">, Sentencia </w:t>
      </w:r>
      <w:hyperlink w:anchor="SENTENCIA_2024_25" w:history="1">
        <w:r w:rsidRPr="00E55613">
          <w:rPr>
            <w:rStyle w:val="TextoNormalCaracter"/>
          </w:rPr>
          <w:t>25/2024</w:t>
        </w:r>
      </w:hyperlink>
      <w:r w:rsidRPr="00E55613">
        <w:rPr>
          <w:rStyle w:val="TextoNormalCaracter"/>
        </w:rPr>
        <w:t>, f. 13.</w:t>
      </w:r>
    </w:p>
    <w:p w14:paraId="0DE66FF9" w14:textId="55F7379A" w:rsidR="00E55613" w:rsidRPr="00E55613" w:rsidRDefault="00E55613" w:rsidP="00E55613">
      <w:pPr>
        <w:pStyle w:val="TextoNormalSangraFrancesa"/>
        <w:rPr>
          <w:rStyle w:val="TextoNormalCaracter"/>
        </w:rPr>
      </w:pPr>
      <w:bookmarkStart w:id="726" w:name="DESCRIPTORALFABETICO458"/>
      <w:r w:rsidRPr="00E55613">
        <w:rPr>
          <w:rStyle w:val="TextoNormalNegritaCaracter"/>
        </w:rPr>
        <w:t>Archivo de causa penal</w:t>
      </w:r>
      <w:bookmarkEnd w:id="726"/>
      <w:r w:rsidRPr="00E55613">
        <w:rPr>
          <w:rStyle w:val="TextoNormalCaracter"/>
        </w:rPr>
        <w:t xml:space="preserve">, Sentencias </w:t>
      </w:r>
      <w:hyperlink w:anchor="SENTENCIA_2024_1" w:history="1">
        <w:r w:rsidRPr="00E55613">
          <w:rPr>
            <w:rStyle w:val="TextoNormalCaracter"/>
          </w:rPr>
          <w:t>1/2024</w:t>
        </w:r>
      </w:hyperlink>
      <w:r w:rsidRPr="00E55613">
        <w:rPr>
          <w:rStyle w:val="TextoNormalCaracter"/>
        </w:rPr>
        <w:t xml:space="preserve">, ff. 1 a 5; </w:t>
      </w:r>
      <w:hyperlink w:anchor="SENTENCIA_2024_33" w:history="1">
        <w:r w:rsidRPr="00E55613">
          <w:rPr>
            <w:rStyle w:val="TextoNormalCaracter"/>
          </w:rPr>
          <w:t>33/2024</w:t>
        </w:r>
      </w:hyperlink>
      <w:r w:rsidRPr="00E55613">
        <w:rPr>
          <w:rStyle w:val="TextoNormalCaracter"/>
        </w:rPr>
        <w:t>, ff. 1 a 5.</w:t>
      </w:r>
    </w:p>
    <w:p w14:paraId="450551E5" w14:textId="43BFFAE0" w:rsidR="00E55613" w:rsidRPr="00E55613" w:rsidRDefault="00E55613" w:rsidP="00E55613">
      <w:pPr>
        <w:pStyle w:val="TextoNormalSangraFrancesa"/>
        <w:rPr>
          <w:rStyle w:val="TextoNormalCaracter"/>
        </w:rPr>
      </w:pPr>
      <w:bookmarkStart w:id="727" w:name="DESCRIPTORALFABETICO315"/>
      <w:r w:rsidRPr="00E55613">
        <w:rPr>
          <w:rStyle w:val="TextoNormalNegritaCaracter"/>
        </w:rPr>
        <w:t>Arraigo familiar</w:t>
      </w:r>
      <w:bookmarkEnd w:id="727"/>
      <w:r w:rsidRPr="00E55613">
        <w:rPr>
          <w:rStyle w:val="TextoNormalCaracter"/>
        </w:rPr>
        <w:t xml:space="preserve">, Sentencia </w:t>
      </w:r>
      <w:hyperlink w:anchor="SENTENCIA_2024_49" w:history="1">
        <w:r w:rsidRPr="00E55613">
          <w:rPr>
            <w:rStyle w:val="TextoNormalCaracter"/>
          </w:rPr>
          <w:t>49/2024</w:t>
        </w:r>
      </w:hyperlink>
      <w:r w:rsidRPr="00E55613">
        <w:rPr>
          <w:rStyle w:val="TextoNormalCaracter"/>
        </w:rPr>
        <w:t>, f. 3.</w:t>
      </w:r>
    </w:p>
    <w:p w14:paraId="761E6D1E" w14:textId="701D08B5" w:rsidR="00E55613" w:rsidRPr="00E55613" w:rsidRDefault="00E55613" w:rsidP="00E55613">
      <w:pPr>
        <w:pStyle w:val="TextoNormalSangraFrancesa"/>
        <w:rPr>
          <w:rStyle w:val="TextoNormalCaracter"/>
        </w:rPr>
      </w:pPr>
      <w:bookmarkStart w:id="728" w:name="DESCRIPTORALFABETICO291"/>
      <w:r w:rsidRPr="00E55613">
        <w:rPr>
          <w:rStyle w:val="TextoNormalNegritaCaracter"/>
        </w:rPr>
        <w:t>Arrendamiento de vehículos con conductor</w:t>
      </w:r>
      <w:bookmarkEnd w:id="728"/>
      <w:r w:rsidRPr="00E55613">
        <w:rPr>
          <w:rStyle w:val="TextoNormalCaracter"/>
        </w:rPr>
        <w:t xml:space="preserve">, Sentencia </w:t>
      </w:r>
      <w:hyperlink w:anchor="SENTENCIA_2024_88" w:history="1">
        <w:r w:rsidRPr="00E55613">
          <w:rPr>
            <w:rStyle w:val="TextoNormalCaracter"/>
          </w:rPr>
          <w:t>88/2024</w:t>
        </w:r>
      </w:hyperlink>
      <w:r w:rsidRPr="00E55613">
        <w:rPr>
          <w:rStyle w:val="TextoNormalCaracter"/>
        </w:rPr>
        <w:t>, ff. 1 a 7.</w:t>
      </w:r>
    </w:p>
    <w:p w14:paraId="1C20C7A5" w14:textId="638F8EE3" w:rsidR="00E55613" w:rsidRPr="00E55613" w:rsidRDefault="00E55613" w:rsidP="00E55613">
      <w:pPr>
        <w:pStyle w:val="TextoNormalSangraFrancesa"/>
        <w:rPr>
          <w:rStyle w:val="TextoNormalCaracter"/>
        </w:rPr>
      </w:pPr>
      <w:bookmarkStart w:id="729" w:name="DESCRIPTORALFABETICO292"/>
      <w:r w:rsidRPr="00E55613">
        <w:rPr>
          <w:rStyle w:val="TextoNormalNegritaCaracter"/>
        </w:rPr>
        <w:t>Arrendamientos urbanos</w:t>
      </w:r>
      <w:bookmarkEnd w:id="729"/>
      <w:r w:rsidRPr="00E55613">
        <w:rPr>
          <w:rStyle w:val="TextoNormalCaracter"/>
        </w:rPr>
        <w:t xml:space="preserve">, Sentencia </w:t>
      </w:r>
      <w:hyperlink w:anchor="SENTENCIA_2024_79" w:history="1">
        <w:r w:rsidRPr="00E55613">
          <w:rPr>
            <w:rStyle w:val="TextoNormalCaracter"/>
          </w:rPr>
          <w:t>79/2024</w:t>
        </w:r>
      </w:hyperlink>
      <w:r w:rsidRPr="00E55613">
        <w:rPr>
          <w:rStyle w:val="TextoNormalCaracter"/>
        </w:rPr>
        <w:t>, f. 9.</w:t>
      </w:r>
    </w:p>
    <w:p w14:paraId="10FF57EA" w14:textId="55825FBD" w:rsidR="00E55613" w:rsidRPr="00E55613" w:rsidRDefault="00E55613" w:rsidP="00E55613">
      <w:pPr>
        <w:pStyle w:val="TextoNormalSangraFrancesa"/>
        <w:rPr>
          <w:rStyle w:val="TextoNormalCaracter"/>
        </w:rPr>
      </w:pPr>
      <w:bookmarkStart w:id="730" w:name="DESCRIPTORALFABETICO334"/>
      <w:r w:rsidRPr="00E55613">
        <w:rPr>
          <w:rStyle w:val="TextoNormalNegritaCaracter"/>
        </w:rPr>
        <w:t>Atentado contra la autoridad</w:t>
      </w:r>
      <w:bookmarkEnd w:id="730"/>
      <w:r w:rsidRPr="00E55613">
        <w:rPr>
          <w:rStyle w:val="TextoNormalCaracter"/>
        </w:rPr>
        <w:t xml:space="preserve">, Sentencia </w:t>
      </w:r>
      <w:hyperlink w:anchor="SENTENCIA_2024_8" w:history="1">
        <w:r w:rsidRPr="00E55613">
          <w:rPr>
            <w:rStyle w:val="TextoNormalCaracter"/>
          </w:rPr>
          <w:t>8/2024</w:t>
        </w:r>
      </w:hyperlink>
      <w:r w:rsidRPr="00E55613">
        <w:rPr>
          <w:rStyle w:val="TextoNormalCaracter"/>
        </w:rPr>
        <w:t>, ff. 1 y 4.</w:t>
      </w:r>
    </w:p>
    <w:p w14:paraId="6451C339" w14:textId="57904E4B" w:rsidR="00E55613" w:rsidRPr="00E55613" w:rsidRDefault="00E55613" w:rsidP="00E55613">
      <w:pPr>
        <w:pStyle w:val="TextoNormalSangraFrancesa"/>
        <w:rPr>
          <w:rStyle w:val="TextoNormalCaracter"/>
        </w:rPr>
      </w:pPr>
      <w:bookmarkStart w:id="731" w:name="DESCRIPTORALFABETICO179"/>
      <w:r w:rsidRPr="00E55613">
        <w:rPr>
          <w:rStyle w:val="TextoNormalNegritaCaracter"/>
        </w:rPr>
        <w:t>Ausencia de doctrina constitucional</w:t>
      </w:r>
      <w:bookmarkEnd w:id="731"/>
      <w:r w:rsidRPr="00E55613">
        <w:rPr>
          <w:rStyle w:val="TextoNormalCaracter"/>
        </w:rPr>
        <w:t xml:space="preserve">, Sentencias </w:t>
      </w:r>
      <w:hyperlink w:anchor="SENTENCIA_2024_8" w:history="1">
        <w:r w:rsidRPr="00E55613">
          <w:rPr>
            <w:rStyle w:val="TextoNormalCaracter"/>
          </w:rPr>
          <w:t>8/2024</w:t>
        </w:r>
      </w:hyperlink>
      <w:r w:rsidRPr="00E55613">
        <w:rPr>
          <w:rStyle w:val="TextoNormalCaracter"/>
        </w:rPr>
        <w:t xml:space="preserve">, f. 2; </w:t>
      </w:r>
      <w:hyperlink w:anchor="SENTENCIA_2024_22" w:history="1">
        <w:r w:rsidRPr="00E55613">
          <w:rPr>
            <w:rStyle w:val="TextoNormalCaracter"/>
          </w:rPr>
          <w:t>22/2024</w:t>
        </w:r>
      </w:hyperlink>
      <w:r w:rsidRPr="00E55613">
        <w:rPr>
          <w:rStyle w:val="TextoNormalCaracter"/>
        </w:rPr>
        <w:t xml:space="preserve">, f. 2; </w:t>
      </w:r>
      <w:hyperlink w:anchor="SENTENCIA_2024_30" w:history="1">
        <w:r w:rsidRPr="00E55613">
          <w:rPr>
            <w:rStyle w:val="TextoNormalCaracter"/>
          </w:rPr>
          <w:t>30/2024</w:t>
        </w:r>
      </w:hyperlink>
      <w:r w:rsidRPr="00E55613">
        <w:rPr>
          <w:rStyle w:val="TextoNormalCaracter"/>
        </w:rPr>
        <w:t xml:space="preserve">, f. 2; </w:t>
      </w:r>
      <w:hyperlink w:anchor="SENTENCIA_2024_61" w:history="1">
        <w:r w:rsidRPr="00E55613">
          <w:rPr>
            <w:rStyle w:val="TextoNormalCaracter"/>
          </w:rPr>
          <w:t>61/2024</w:t>
        </w:r>
      </w:hyperlink>
      <w:r w:rsidRPr="00E55613">
        <w:rPr>
          <w:rStyle w:val="TextoNormalCaracter"/>
        </w:rPr>
        <w:t xml:space="preserve">, f. 2; </w:t>
      </w:r>
      <w:hyperlink w:anchor="SENTENCIA_2024_81" w:history="1">
        <w:r w:rsidRPr="00E55613">
          <w:rPr>
            <w:rStyle w:val="TextoNormalCaracter"/>
          </w:rPr>
          <w:t>81/2024</w:t>
        </w:r>
      </w:hyperlink>
      <w:r w:rsidRPr="00E55613">
        <w:rPr>
          <w:rStyle w:val="TextoNormalCaracter"/>
        </w:rPr>
        <w:t xml:space="preserve">, f. 2; </w:t>
      </w:r>
      <w:hyperlink w:anchor="SENTENCIA_2024_85" w:history="1">
        <w:r w:rsidRPr="00E55613">
          <w:rPr>
            <w:rStyle w:val="TextoNormalCaracter"/>
          </w:rPr>
          <w:t>85/2024</w:t>
        </w:r>
      </w:hyperlink>
      <w:r w:rsidRPr="00E55613">
        <w:rPr>
          <w:rStyle w:val="TextoNormalCaracter"/>
        </w:rPr>
        <w:t>, f. 1.</w:t>
      </w:r>
    </w:p>
    <w:p w14:paraId="1BBB1C62" w14:textId="69C42562" w:rsidR="00E55613" w:rsidRPr="00E55613" w:rsidRDefault="00E55613" w:rsidP="00E55613">
      <w:pPr>
        <w:pStyle w:val="TextoNormalSangraFrancesa"/>
        <w:rPr>
          <w:rStyle w:val="TextoNormalCaracter"/>
        </w:rPr>
      </w:pPr>
      <w:bookmarkStart w:id="732" w:name="DESCRIPTORALFABETICO185"/>
      <w:r w:rsidRPr="00E55613">
        <w:rPr>
          <w:rStyle w:val="TextoNormalNegritaCaracter"/>
        </w:rPr>
        <w:t>Ausencia de lesión para el recurrente</w:t>
      </w:r>
      <w:bookmarkEnd w:id="732"/>
      <w:r w:rsidRPr="00E55613">
        <w:rPr>
          <w:rStyle w:val="TextoNormalCaracter"/>
        </w:rPr>
        <w:t xml:space="preserve">, Auto </w:t>
      </w:r>
      <w:hyperlink w:anchor="AUTO_2024_57" w:history="1">
        <w:r w:rsidRPr="00E55613">
          <w:rPr>
            <w:rStyle w:val="TextoNormalCaracter"/>
          </w:rPr>
          <w:t>57/2024</w:t>
        </w:r>
      </w:hyperlink>
      <w:r w:rsidRPr="00E55613">
        <w:rPr>
          <w:rStyle w:val="TextoNormalCaracter"/>
        </w:rPr>
        <w:t>, f. 5.</w:t>
      </w:r>
    </w:p>
    <w:p w14:paraId="66498936" w14:textId="73A52818" w:rsidR="00E55613" w:rsidRPr="00E55613" w:rsidRDefault="00E55613" w:rsidP="00E55613">
      <w:pPr>
        <w:pStyle w:val="TextoNormalSangraFrancesa"/>
        <w:rPr>
          <w:rStyle w:val="TextoNormalCaracter"/>
        </w:rPr>
      </w:pPr>
      <w:bookmarkStart w:id="733" w:name="DESCRIPTORALFABETICO424"/>
      <w:r w:rsidRPr="00E55613">
        <w:rPr>
          <w:rStyle w:val="TextoNormalNegritaCaracter"/>
        </w:rPr>
        <w:t>Autonomía del paciente</w:t>
      </w:r>
      <w:bookmarkEnd w:id="733"/>
      <w:r w:rsidRPr="00E55613">
        <w:rPr>
          <w:rStyle w:val="TextoNormalCaracter"/>
        </w:rPr>
        <w:t xml:space="preserve">, Sentencia </w:t>
      </w:r>
      <w:hyperlink w:anchor="SENTENCIA_2024_92" w:history="1">
        <w:r w:rsidRPr="00E55613">
          <w:rPr>
            <w:rStyle w:val="TextoNormalCaracter"/>
          </w:rPr>
          <w:t>92/2024</w:t>
        </w:r>
      </w:hyperlink>
      <w:r w:rsidRPr="00E55613">
        <w:rPr>
          <w:rStyle w:val="TextoNormalCaracter"/>
        </w:rPr>
        <w:t>, ff. 6 a 8, VP I, VP II, VP IV.</w:t>
      </w:r>
    </w:p>
    <w:p w14:paraId="10F97F24" w14:textId="26EC90A9" w:rsidR="00E55613" w:rsidRPr="00E55613" w:rsidRDefault="00E55613" w:rsidP="00E55613">
      <w:pPr>
        <w:pStyle w:val="TextoNormalSangraFrancesa"/>
        <w:rPr>
          <w:rStyle w:val="TextoNormalCaracter"/>
        </w:rPr>
      </w:pPr>
      <w:bookmarkStart w:id="734" w:name="DESCRIPTORALFABETICO254"/>
      <w:r w:rsidRPr="00E55613">
        <w:rPr>
          <w:rStyle w:val="TextoNormalNegritaCaracter"/>
        </w:rPr>
        <w:t>Autonomía local</w:t>
      </w:r>
      <w:bookmarkEnd w:id="734"/>
      <w:r w:rsidRPr="00E55613">
        <w:rPr>
          <w:rStyle w:val="TextoNormalCaracter"/>
        </w:rPr>
        <w:t xml:space="preserve">, Sentencias </w:t>
      </w:r>
      <w:hyperlink w:anchor="SENTENCIA_2024_25" w:history="1">
        <w:r w:rsidRPr="00E55613">
          <w:rPr>
            <w:rStyle w:val="TextoNormalCaracter"/>
          </w:rPr>
          <w:t>25/2024</w:t>
        </w:r>
      </w:hyperlink>
      <w:r w:rsidRPr="00E55613">
        <w:rPr>
          <w:rStyle w:val="TextoNormalCaracter"/>
        </w:rPr>
        <w:t xml:space="preserve">, ff. 1, 2, 5, 7, 8, 9, 10; </w:t>
      </w:r>
      <w:hyperlink w:anchor="SENTENCIA_2024_88" w:history="1">
        <w:r w:rsidRPr="00E55613">
          <w:rPr>
            <w:rStyle w:val="TextoNormalCaracter"/>
          </w:rPr>
          <w:t>88/2024</w:t>
        </w:r>
      </w:hyperlink>
      <w:r w:rsidRPr="00E55613">
        <w:rPr>
          <w:rStyle w:val="TextoNormalCaracter"/>
        </w:rPr>
        <w:t>, f. 6.</w:t>
      </w:r>
    </w:p>
    <w:p w14:paraId="5374BA7D" w14:textId="550F1AA4" w:rsidR="00E55613" w:rsidRPr="00E55613" w:rsidRDefault="00E55613" w:rsidP="00E55613">
      <w:pPr>
        <w:pStyle w:val="TextoNormalSangraFrancesa"/>
        <w:rPr>
          <w:rStyle w:val="TextoNormalCaracter"/>
        </w:rPr>
      </w:pPr>
      <w:bookmarkStart w:id="735" w:name="DESCRIPTORALFABETICO233"/>
      <w:r w:rsidRPr="00E55613">
        <w:rPr>
          <w:rStyle w:val="TextoNormalNegritaCaracter"/>
        </w:rPr>
        <w:t>Autonomía parlamentaria</w:t>
      </w:r>
      <w:bookmarkEnd w:id="735"/>
      <w:r w:rsidRPr="00E55613">
        <w:rPr>
          <w:rStyle w:val="TextoNormalCaracter"/>
        </w:rPr>
        <w:t xml:space="preserve">, Sentencia </w:t>
      </w:r>
      <w:hyperlink w:anchor="SENTENCIA_2024_30" w:history="1">
        <w:r w:rsidRPr="00E55613">
          <w:rPr>
            <w:rStyle w:val="TextoNormalCaracter"/>
          </w:rPr>
          <w:t>30/2024</w:t>
        </w:r>
      </w:hyperlink>
      <w:r w:rsidRPr="00E55613">
        <w:rPr>
          <w:rStyle w:val="TextoNormalCaracter"/>
        </w:rPr>
        <w:t>, f. 4, VP I.</w:t>
      </w:r>
    </w:p>
    <w:p w14:paraId="132A35A7" w14:textId="43E81226" w:rsidR="00E55613" w:rsidRPr="00E55613" w:rsidRDefault="00E55613" w:rsidP="00E55613">
      <w:pPr>
        <w:pStyle w:val="TextoNormalSangraFrancesa"/>
        <w:rPr>
          <w:rStyle w:val="TextoNormalCaracter"/>
        </w:rPr>
      </w:pPr>
      <w:bookmarkStart w:id="736" w:name="DESCRIPTORALFABETICO203"/>
      <w:r w:rsidRPr="00E55613">
        <w:rPr>
          <w:rStyle w:val="TextoNormalNegritaCaracter"/>
        </w:rPr>
        <w:t>Autoorganización de partidos políticos</w:t>
      </w:r>
      <w:bookmarkEnd w:id="736"/>
      <w:r w:rsidRPr="00E55613">
        <w:rPr>
          <w:rStyle w:val="TextoNormalCaracter"/>
        </w:rPr>
        <w:t xml:space="preserve">, Sentencia </w:t>
      </w:r>
      <w:hyperlink w:anchor="SENTENCIA_2024_44" w:history="1">
        <w:r w:rsidRPr="00E55613">
          <w:rPr>
            <w:rStyle w:val="TextoNormalCaracter"/>
          </w:rPr>
          <w:t>44/2024</w:t>
        </w:r>
      </w:hyperlink>
      <w:r w:rsidRPr="00E55613">
        <w:rPr>
          <w:rStyle w:val="TextoNormalCaracter"/>
        </w:rPr>
        <w:t>, f. 5.</w:t>
      </w:r>
    </w:p>
    <w:p w14:paraId="1401A304" w14:textId="2ACB3064" w:rsidR="00E55613" w:rsidRPr="00E55613" w:rsidRDefault="00E55613" w:rsidP="00E55613">
      <w:pPr>
        <w:pStyle w:val="TextoNormalSangraFrancesa"/>
        <w:rPr>
          <w:rStyle w:val="TextoNormalCaracter"/>
        </w:rPr>
      </w:pPr>
      <w:bookmarkStart w:id="737" w:name="DESCRIPTORALFABETICO460"/>
      <w:r w:rsidRPr="00E55613">
        <w:rPr>
          <w:rStyle w:val="TextoNormalNegritaCaracter"/>
        </w:rPr>
        <w:t>Autorización judicial</w:t>
      </w:r>
      <w:bookmarkEnd w:id="737"/>
      <w:r w:rsidRPr="00E55613">
        <w:rPr>
          <w:rStyle w:val="TextoNormalCaracter"/>
        </w:rPr>
        <w:t xml:space="preserve">, Sentencia </w:t>
      </w:r>
      <w:hyperlink w:anchor="SENTENCIA_2024_87" w:history="1">
        <w:r w:rsidRPr="00E55613">
          <w:rPr>
            <w:rStyle w:val="TextoNormalCaracter"/>
          </w:rPr>
          <w:t>87/2024</w:t>
        </w:r>
      </w:hyperlink>
      <w:r w:rsidRPr="00E55613">
        <w:rPr>
          <w:rStyle w:val="TextoNormalCaracter"/>
        </w:rPr>
        <w:t>, f. 2.</w:t>
      </w:r>
    </w:p>
    <w:p w14:paraId="29275897" w14:textId="69AE5202" w:rsidR="00E55613" w:rsidRPr="00E55613" w:rsidRDefault="00E55613" w:rsidP="00E55613">
      <w:pPr>
        <w:pStyle w:val="TextoNormalSangraFrancesa"/>
        <w:rPr>
          <w:rStyle w:val="TextoNormalCaracter"/>
        </w:rPr>
      </w:pPr>
      <w:bookmarkStart w:id="738" w:name="DESCRIPTORALFABETICO206"/>
      <w:r w:rsidRPr="00E55613">
        <w:rPr>
          <w:rStyle w:val="TextoNormalNegritaCaracter"/>
        </w:rPr>
        <w:t>Autorizaciones administrativas</w:t>
      </w:r>
      <w:bookmarkEnd w:id="738"/>
      <w:r w:rsidRPr="00E55613">
        <w:rPr>
          <w:rStyle w:val="TextoNormalCaracter"/>
        </w:rPr>
        <w:t xml:space="preserve">, Sentencia </w:t>
      </w:r>
      <w:hyperlink w:anchor="SENTENCIA_2024_88" w:history="1">
        <w:r w:rsidRPr="00E55613">
          <w:rPr>
            <w:rStyle w:val="TextoNormalCaracter"/>
          </w:rPr>
          <w:t>88/2024</w:t>
        </w:r>
      </w:hyperlink>
      <w:r w:rsidRPr="00E55613">
        <w:rPr>
          <w:rStyle w:val="TextoNormalCaracter"/>
        </w:rPr>
        <w:t>, ff. 4 a 7.</w:t>
      </w:r>
    </w:p>
    <w:p w14:paraId="7D4F4671" w14:textId="2E91C460" w:rsidR="00E55613" w:rsidRDefault="00E55613" w:rsidP="00E55613">
      <w:pPr>
        <w:pStyle w:val="TextoNormalSangraFrancesa"/>
      </w:pPr>
    </w:p>
    <w:p w14:paraId="3DEFD119" w14:textId="77777777" w:rsidR="00E55613" w:rsidRDefault="00E55613" w:rsidP="00E55613">
      <w:pPr>
        <w:pStyle w:val="TextoNormalSangraFrancesa"/>
      </w:pPr>
    </w:p>
    <w:p w14:paraId="0BC0B31F" w14:textId="77777777" w:rsidR="00E55613" w:rsidRDefault="00E55613" w:rsidP="00E55613">
      <w:pPr>
        <w:pStyle w:val="TextoNormalNegritaCentrado"/>
      </w:pPr>
      <w:r>
        <w:t>B</w:t>
      </w:r>
    </w:p>
    <w:p w14:paraId="16E2D110" w14:textId="167B1AD2" w:rsidR="00E55613" w:rsidRDefault="00E55613" w:rsidP="00E55613">
      <w:pPr>
        <w:pStyle w:val="TextoNormalNegritaCentrado"/>
      </w:pPr>
    </w:p>
    <w:p w14:paraId="055DFC8F" w14:textId="344554E2" w:rsidR="00E55613" w:rsidRPr="00E55613" w:rsidRDefault="00E55613" w:rsidP="00E55613">
      <w:pPr>
        <w:pStyle w:val="TextoNormalSangraFrancesa"/>
        <w:rPr>
          <w:rStyle w:val="TextoNormalCaracter"/>
        </w:rPr>
      </w:pPr>
      <w:bookmarkStart w:id="739" w:name="DESCRIPTORALFABETICO25"/>
      <w:r w:rsidRPr="00E55613">
        <w:rPr>
          <w:rStyle w:val="TextoNormalNegritaCaracter"/>
        </w:rPr>
        <w:t>Base imponible</w:t>
      </w:r>
      <w:bookmarkEnd w:id="739"/>
      <w:r w:rsidRPr="00E55613">
        <w:rPr>
          <w:rStyle w:val="TextoNormalCaracter"/>
        </w:rPr>
        <w:t xml:space="preserve">, Sentencias </w:t>
      </w:r>
      <w:hyperlink w:anchor="SENTENCIA_2024_11" w:history="1">
        <w:r w:rsidRPr="00E55613">
          <w:rPr>
            <w:rStyle w:val="TextoNormalCaracter"/>
          </w:rPr>
          <w:t>11/2024</w:t>
        </w:r>
      </w:hyperlink>
      <w:r w:rsidRPr="00E55613">
        <w:rPr>
          <w:rStyle w:val="TextoNormalCaracter"/>
        </w:rPr>
        <w:t xml:space="preserve">, ff. 1 y 3; </w:t>
      </w:r>
      <w:hyperlink w:anchor="SENTENCIA_2024_46" w:history="1">
        <w:r w:rsidRPr="00E55613">
          <w:rPr>
            <w:rStyle w:val="TextoNormalCaracter"/>
          </w:rPr>
          <w:t>46/2024</w:t>
        </w:r>
      </w:hyperlink>
      <w:r w:rsidRPr="00E55613">
        <w:rPr>
          <w:rStyle w:val="TextoNormalCaracter"/>
        </w:rPr>
        <w:t>, f. 3.</w:t>
      </w:r>
    </w:p>
    <w:p w14:paraId="13A47B9F" w14:textId="282743BA" w:rsidR="00E55613" w:rsidRDefault="00E55613" w:rsidP="00E55613">
      <w:pPr>
        <w:pStyle w:val="TextoNormalSangraFrancesa"/>
      </w:pPr>
    </w:p>
    <w:p w14:paraId="4F95806C" w14:textId="77777777" w:rsidR="00E55613" w:rsidRDefault="00E55613" w:rsidP="00E55613">
      <w:pPr>
        <w:pStyle w:val="TextoNormalSangraFrancesa"/>
      </w:pPr>
    </w:p>
    <w:p w14:paraId="68C2EEF4" w14:textId="77777777" w:rsidR="00E55613" w:rsidRDefault="00E55613" w:rsidP="00E55613">
      <w:pPr>
        <w:pStyle w:val="TextoNormalNegritaCentrado"/>
      </w:pPr>
      <w:r>
        <w:t>C</w:t>
      </w:r>
    </w:p>
    <w:p w14:paraId="5400A9CA" w14:textId="387E850C" w:rsidR="00E55613" w:rsidRDefault="00E55613" w:rsidP="00E55613">
      <w:pPr>
        <w:pStyle w:val="TextoNormalNegritaCentrado"/>
      </w:pPr>
    </w:p>
    <w:p w14:paraId="7E4DEB1A" w14:textId="242C2FB8" w:rsidR="00E55613" w:rsidRPr="00E55613" w:rsidRDefault="00E55613" w:rsidP="00E55613">
      <w:pPr>
        <w:pStyle w:val="TextoNormalSangraFrancesa"/>
        <w:rPr>
          <w:rStyle w:val="TextoNormalCaracter"/>
        </w:rPr>
      </w:pPr>
      <w:bookmarkStart w:id="740" w:name="DESCRIPTORALFABETICO428"/>
      <w:r w:rsidRPr="00E55613">
        <w:rPr>
          <w:rStyle w:val="TextoNormalNegritaCaracter"/>
        </w:rPr>
        <w:t>Caja única de la Seguridad Social</w:t>
      </w:r>
      <w:bookmarkEnd w:id="740"/>
      <w:r w:rsidRPr="00E55613">
        <w:rPr>
          <w:rStyle w:val="TextoNormalCaracter"/>
        </w:rPr>
        <w:t xml:space="preserve">, Sentencias </w:t>
      </w:r>
      <w:hyperlink w:anchor="SENTENCIA_2024_19" w:history="1">
        <w:r w:rsidRPr="00E55613">
          <w:rPr>
            <w:rStyle w:val="TextoNormalCaracter"/>
          </w:rPr>
          <w:t>19/2024</w:t>
        </w:r>
      </w:hyperlink>
      <w:r w:rsidRPr="00E55613">
        <w:rPr>
          <w:rStyle w:val="TextoNormalCaracter"/>
        </w:rPr>
        <w:t xml:space="preserve">, ff. 4 y 5; </w:t>
      </w:r>
      <w:hyperlink w:anchor="SENTENCIA_2024_32" w:history="1">
        <w:r w:rsidRPr="00E55613">
          <w:rPr>
            <w:rStyle w:val="TextoNormalCaracter"/>
          </w:rPr>
          <w:t>32/2024</w:t>
        </w:r>
      </w:hyperlink>
      <w:r w:rsidRPr="00E55613">
        <w:rPr>
          <w:rStyle w:val="TextoNormalCaracter"/>
        </w:rPr>
        <w:t>, f. 2.</w:t>
      </w:r>
    </w:p>
    <w:p w14:paraId="594401DC" w14:textId="40877292" w:rsidR="00E55613" w:rsidRPr="00E55613" w:rsidRDefault="00E55613" w:rsidP="00E55613">
      <w:pPr>
        <w:pStyle w:val="TextoNormalSangraFrancesa"/>
        <w:rPr>
          <w:rStyle w:val="TextoNormalCaracter"/>
        </w:rPr>
      </w:pPr>
      <w:bookmarkStart w:id="741" w:name="DESCRIPTORALFABETICO75"/>
      <w:r w:rsidRPr="00E55613">
        <w:rPr>
          <w:rStyle w:val="TextoNormalNegritaCaracter"/>
        </w:rPr>
        <w:t>Canon de motivación reforzado</w:t>
      </w:r>
      <w:bookmarkEnd w:id="741"/>
      <w:r w:rsidRPr="00E55613">
        <w:rPr>
          <w:rStyle w:val="TextoNormalCaracter"/>
        </w:rPr>
        <w:t xml:space="preserve">, Sentencias </w:t>
      </w:r>
      <w:hyperlink w:anchor="SENTENCIA_2024_2" w:history="1">
        <w:r w:rsidRPr="00E55613">
          <w:rPr>
            <w:rStyle w:val="TextoNormalCaracter"/>
          </w:rPr>
          <w:t>2/2024</w:t>
        </w:r>
      </w:hyperlink>
      <w:r w:rsidRPr="00E55613">
        <w:rPr>
          <w:rStyle w:val="TextoNormalCaracter"/>
        </w:rPr>
        <w:t xml:space="preserve">, f. 3; </w:t>
      </w:r>
      <w:hyperlink w:anchor="SENTENCIA_2024_53" w:history="1">
        <w:r w:rsidRPr="00E55613">
          <w:rPr>
            <w:rStyle w:val="TextoNormalCaracter"/>
          </w:rPr>
          <w:t>53/2024</w:t>
        </w:r>
      </w:hyperlink>
      <w:r w:rsidRPr="00E55613">
        <w:rPr>
          <w:rStyle w:val="TextoNormalCaracter"/>
        </w:rPr>
        <w:t>, f. 3.</w:t>
      </w:r>
    </w:p>
    <w:p w14:paraId="71FBAF55" w14:textId="5AE41C61" w:rsidR="00E55613" w:rsidRPr="00E55613" w:rsidRDefault="00E55613" w:rsidP="00E55613">
      <w:pPr>
        <w:pStyle w:val="TextoNormalSangraFrancesa"/>
        <w:rPr>
          <w:rStyle w:val="TextoNormalCaracter"/>
        </w:rPr>
      </w:pPr>
      <w:bookmarkStart w:id="742" w:name="DESCRIPTORALFABETICO76"/>
      <w:r w:rsidRPr="00E55613">
        <w:rPr>
          <w:rStyle w:val="TextoNormalNegritaCaracter"/>
        </w:rPr>
        <w:t>Canon de motivación reforzado cuando afecta a derechos fundamentales</w:t>
      </w:r>
      <w:bookmarkEnd w:id="742"/>
      <w:r w:rsidRPr="00E55613">
        <w:rPr>
          <w:rStyle w:val="TextoNormalCaracter"/>
        </w:rPr>
        <w:t xml:space="preserve">, Sentencia </w:t>
      </w:r>
      <w:hyperlink w:anchor="SENTENCIA_2024_28" w:history="1">
        <w:r w:rsidRPr="00E55613">
          <w:rPr>
            <w:rStyle w:val="TextoNormalCaracter"/>
          </w:rPr>
          <w:t>28/2024</w:t>
        </w:r>
      </w:hyperlink>
      <w:r w:rsidRPr="00E55613">
        <w:rPr>
          <w:rStyle w:val="TextoNormalCaracter"/>
        </w:rPr>
        <w:t>, ff. 4 a 6.</w:t>
      </w:r>
    </w:p>
    <w:p w14:paraId="6BF6F463" w14:textId="2E675ED9" w:rsidR="00E55613" w:rsidRPr="00E55613" w:rsidRDefault="00E55613" w:rsidP="00E55613">
      <w:pPr>
        <w:pStyle w:val="TextoNormalSangraFrancesa"/>
        <w:rPr>
          <w:rStyle w:val="TextoNormalCaracter"/>
        </w:rPr>
      </w:pPr>
      <w:bookmarkStart w:id="743" w:name="DESCRIPTORALFABETICO77"/>
      <w:r w:rsidRPr="00E55613">
        <w:rPr>
          <w:rStyle w:val="TextoNormalNegritaCaracter"/>
        </w:rPr>
        <w:t>Canon de motivación reforzado cuando afecta a la libertad personal</w:t>
      </w:r>
      <w:bookmarkEnd w:id="743"/>
      <w:r w:rsidRPr="00E55613">
        <w:rPr>
          <w:rStyle w:val="TextoNormalCaracter"/>
        </w:rPr>
        <w:t xml:space="preserve">, Sentencias </w:t>
      </w:r>
      <w:hyperlink w:anchor="SENTENCIA_2024_39" w:history="1">
        <w:r w:rsidRPr="00E55613">
          <w:rPr>
            <w:rStyle w:val="TextoNormalCaracter"/>
          </w:rPr>
          <w:t>39/2024</w:t>
        </w:r>
      </w:hyperlink>
      <w:r w:rsidRPr="00E55613">
        <w:rPr>
          <w:rStyle w:val="TextoNormalCaracter"/>
        </w:rPr>
        <w:t xml:space="preserve">, ff. 3 a 5; </w:t>
      </w:r>
      <w:hyperlink w:anchor="SENTENCIA_2024_70" w:history="1">
        <w:r w:rsidRPr="00E55613">
          <w:rPr>
            <w:rStyle w:val="TextoNormalCaracter"/>
          </w:rPr>
          <w:t>70/2024</w:t>
        </w:r>
      </w:hyperlink>
      <w:r w:rsidRPr="00E55613">
        <w:rPr>
          <w:rStyle w:val="TextoNormalCaracter"/>
        </w:rPr>
        <w:t xml:space="preserve">, f. 3; </w:t>
      </w:r>
      <w:hyperlink w:anchor="SENTENCIA_2024_78" w:history="1">
        <w:r w:rsidRPr="00E55613">
          <w:rPr>
            <w:rStyle w:val="TextoNormalCaracter"/>
          </w:rPr>
          <w:t>78/2024</w:t>
        </w:r>
      </w:hyperlink>
      <w:r w:rsidRPr="00E55613">
        <w:rPr>
          <w:rStyle w:val="TextoNormalCaracter"/>
        </w:rPr>
        <w:t>, f. único.</w:t>
      </w:r>
    </w:p>
    <w:p w14:paraId="2714ED27" w14:textId="09C6E43B" w:rsidR="00E55613" w:rsidRPr="00E55613" w:rsidRDefault="00E55613" w:rsidP="00E55613">
      <w:pPr>
        <w:pStyle w:val="TextoNormalSangraFrancesa"/>
        <w:rPr>
          <w:rStyle w:val="TextoNormalCaracter"/>
        </w:rPr>
      </w:pPr>
      <w:bookmarkStart w:id="744" w:name="DESCRIPTORALFABETICO78"/>
      <w:r w:rsidRPr="00E55613">
        <w:rPr>
          <w:rStyle w:val="TextoNormalNegritaCaracter"/>
        </w:rPr>
        <w:t>Canon de motivación reforzado para la extradición</w:t>
      </w:r>
      <w:bookmarkEnd w:id="744"/>
      <w:r w:rsidRPr="00E55613">
        <w:rPr>
          <w:rStyle w:val="TextoNormalCaracter"/>
        </w:rPr>
        <w:t xml:space="preserve">, Sentencias </w:t>
      </w:r>
      <w:hyperlink w:anchor="SENTENCIA_2024_17" w:history="1">
        <w:r w:rsidRPr="00E55613">
          <w:rPr>
            <w:rStyle w:val="TextoNormalCaracter"/>
          </w:rPr>
          <w:t>17/2024</w:t>
        </w:r>
      </w:hyperlink>
      <w:r w:rsidRPr="00E55613">
        <w:rPr>
          <w:rStyle w:val="TextoNormalCaracter"/>
        </w:rPr>
        <w:t xml:space="preserve">, f. 3; </w:t>
      </w:r>
      <w:hyperlink w:anchor="SENTENCIA_2024_36" w:history="1">
        <w:r w:rsidRPr="00E55613">
          <w:rPr>
            <w:rStyle w:val="TextoNormalCaracter"/>
          </w:rPr>
          <w:t>36/2024</w:t>
        </w:r>
      </w:hyperlink>
      <w:r w:rsidRPr="00E55613">
        <w:rPr>
          <w:rStyle w:val="TextoNormalCaracter"/>
        </w:rPr>
        <w:t>, f. 6.</w:t>
      </w:r>
    </w:p>
    <w:p w14:paraId="7FF24DDE" w14:textId="34CB277F" w:rsidR="00E55613" w:rsidRPr="00E55613" w:rsidRDefault="00E55613" w:rsidP="00E55613">
      <w:pPr>
        <w:pStyle w:val="TextoNormalSangraFrancesa"/>
        <w:rPr>
          <w:rStyle w:val="TextoNormalCaracter"/>
        </w:rPr>
      </w:pPr>
      <w:bookmarkStart w:id="745" w:name="DESCRIPTORALFABETICO48"/>
      <w:r w:rsidRPr="00E55613">
        <w:rPr>
          <w:rStyle w:val="TextoNormalNegritaCaracter"/>
        </w:rPr>
        <w:t>Canon reforzado de investigación</w:t>
      </w:r>
      <w:bookmarkEnd w:id="745"/>
      <w:r w:rsidRPr="00E55613">
        <w:rPr>
          <w:rStyle w:val="TextoNormalCaracter"/>
        </w:rPr>
        <w:t xml:space="preserve">, Sentencias </w:t>
      </w:r>
      <w:hyperlink w:anchor="SENTENCIA_2024_1" w:history="1">
        <w:r w:rsidRPr="00E55613">
          <w:rPr>
            <w:rStyle w:val="TextoNormalCaracter"/>
          </w:rPr>
          <w:t>1/2024</w:t>
        </w:r>
      </w:hyperlink>
      <w:r w:rsidRPr="00E55613">
        <w:rPr>
          <w:rStyle w:val="TextoNormalCaracter"/>
        </w:rPr>
        <w:t xml:space="preserve">, f. 2; </w:t>
      </w:r>
      <w:hyperlink w:anchor="SENTENCIA_2024_33" w:history="1">
        <w:r w:rsidRPr="00E55613">
          <w:rPr>
            <w:rStyle w:val="TextoNormalCaracter"/>
          </w:rPr>
          <w:t>33/2024</w:t>
        </w:r>
      </w:hyperlink>
      <w:r w:rsidRPr="00E55613">
        <w:rPr>
          <w:rStyle w:val="TextoNormalCaracter"/>
        </w:rPr>
        <w:t xml:space="preserve">, f. 2; </w:t>
      </w:r>
      <w:hyperlink w:anchor="SENTENCIA_2024_35" w:history="1">
        <w:r w:rsidRPr="00E55613">
          <w:rPr>
            <w:rStyle w:val="TextoNormalCaracter"/>
          </w:rPr>
          <w:t>35/2024</w:t>
        </w:r>
      </w:hyperlink>
      <w:r w:rsidRPr="00E55613">
        <w:rPr>
          <w:rStyle w:val="TextoNormalCaracter"/>
        </w:rPr>
        <w:t>, ff. 2 y 3, VP.</w:t>
      </w:r>
    </w:p>
    <w:p w14:paraId="78352BD4" w14:textId="2E92AE23" w:rsidR="00E55613" w:rsidRPr="00E55613" w:rsidRDefault="00E55613" w:rsidP="00E55613">
      <w:pPr>
        <w:pStyle w:val="TextoNormalSangraFrancesa"/>
        <w:rPr>
          <w:rStyle w:val="TextoNormalCaracter"/>
        </w:rPr>
      </w:pPr>
      <w:bookmarkStart w:id="746" w:name="DESCRIPTORALFABETICO138"/>
      <w:r w:rsidRPr="00E55613">
        <w:rPr>
          <w:rStyle w:val="TextoNormalNegritaCaracter"/>
        </w:rPr>
        <w:t>Carácter excepcional de la suspensión de normas jurídicas</w:t>
      </w:r>
      <w:bookmarkEnd w:id="746"/>
      <w:r w:rsidRPr="00E55613">
        <w:rPr>
          <w:rStyle w:val="TextoNormalCaracter"/>
        </w:rPr>
        <w:t xml:space="preserve">, Auto </w:t>
      </w:r>
      <w:hyperlink w:anchor="AUTO_2024_21" w:history="1">
        <w:r w:rsidRPr="00E55613">
          <w:rPr>
            <w:rStyle w:val="TextoNormalCaracter"/>
          </w:rPr>
          <w:t>21/2024</w:t>
        </w:r>
      </w:hyperlink>
      <w:r w:rsidRPr="00E55613">
        <w:rPr>
          <w:rStyle w:val="TextoNormalCaracter"/>
        </w:rPr>
        <w:t>, ff. 2 y 3.</w:t>
      </w:r>
    </w:p>
    <w:p w14:paraId="48193583" w14:textId="39816E11" w:rsidR="00E55613" w:rsidRPr="00E55613" w:rsidRDefault="00E55613" w:rsidP="00E55613">
      <w:pPr>
        <w:pStyle w:val="TextoNormalSangraFrancesa"/>
        <w:rPr>
          <w:rStyle w:val="TextoNormalCaracter"/>
        </w:rPr>
      </w:pPr>
      <w:bookmarkStart w:id="747" w:name="DESCRIPTORALFABETICO364"/>
      <w:r w:rsidRPr="00E55613">
        <w:rPr>
          <w:rStyle w:val="TextoNormalNegritaCaracter"/>
        </w:rPr>
        <w:t>Carácter excepcional de los decretos-leyes</w:t>
      </w:r>
      <w:bookmarkEnd w:id="747"/>
      <w:r w:rsidRPr="00E55613">
        <w:rPr>
          <w:rStyle w:val="TextoNormalCaracter"/>
        </w:rPr>
        <w:t xml:space="preserve">, Sentencias </w:t>
      </w:r>
      <w:hyperlink w:anchor="SENTENCIA_2024_7" w:history="1">
        <w:r w:rsidRPr="00E55613">
          <w:rPr>
            <w:rStyle w:val="TextoNormalCaracter"/>
          </w:rPr>
          <w:t>7/2024</w:t>
        </w:r>
      </w:hyperlink>
      <w:r w:rsidRPr="00E55613">
        <w:rPr>
          <w:rStyle w:val="TextoNormalCaracter"/>
        </w:rPr>
        <w:t xml:space="preserve">, f. 3; </w:t>
      </w:r>
      <w:hyperlink w:anchor="SENTENCIA_2024_11" w:history="1">
        <w:r w:rsidRPr="00E55613">
          <w:rPr>
            <w:rStyle w:val="TextoNormalCaracter"/>
          </w:rPr>
          <w:t>11/2024</w:t>
        </w:r>
      </w:hyperlink>
      <w:r w:rsidRPr="00E55613">
        <w:rPr>
          <w:rStyle w:val="TextoNormalCaracter"/>
        </w:rPr>
        <w:t xml:space="preserve">, f. 2; </w:t>
      </w:r>
      <w:hyperlink w:anchor="SENTENCIA_2024_20" w:history="1">
        <w:r w:rsidRPr="00E55613">
          <w:rPr>
            <w:rStyle w:val="TextoNormalCaracter"/>
          </w:rPr>
          <w:t>20/2024</w:t>
        </w:r>
      </w:hyperlink>
      <w:r w:rsidRPr="00E55613">
        <w:rPr>
          <w:rStyle w:val="TextoNormalCaracter"/>
        </w:rPr>
        <w:t>, f. 3, VP.</w:t>
      </w:r>
    </w:p>
    <w:p w14:paraId="7D4784E3" w14:textId="4E859288" w:rsidR="00E55613" w:rsidRPr="00E55613" w:rsidRDefault="00E55613" w:rsidP="00E55613">
      <w:pPr>
        <w:pStyle w:val="TextoNormalSangraFrancesa"/>
        <w:rPr>
          <w:rStyle w:val="TextoNormalCaracter"/>
        </w:rPr>
      </w:pPr>
      <w:bookmarkStart w:id="748" w:name="DESCRIPTORALFABETICO165"/>
      <w:r w:rsidRPr="00E55613">
        <w:rPr>
          <w:rStyle w:val="TextoNormalNegritaCaracter"/>
        </w:rPr>
        <w:t>Carencia de fundamentación de la demanda de amparo</w:t>
      </w:r>
      <w:bookmarkEnd w:id="748"/>
      <w:r w:rsidRPr="00E55613">
        <w:rPr>
          <w:rStyle w:val="TextoNormalCaracter"/>
        </w:rPr>
        <w:t xml:space="preserve">, Sentencia </w:t>
      </w:r>
      <w:hyperlink w:anchor="SENTENCIA_2024_90" w:history="1">
        <w:r w:rsidRPr="00E55613">
          <w:rPr>
            <w:rStyle w:val="TextoNormalCaracter"/>
          </w:rPr>
          <w:t>90/2024</w:t>
        </w:r>
      </w:hyperlink>
      <w:r w:rsidRPr="00E55613">
        <w:rPr>
          <w:rStyle w:val="TextoNormalCaracter"/>
        </w:rPr>
        <w:t>, f. 2.</w:t>
      </w:r>
    </w:p>
    <w:p w14:paraId="23D54E63" w14:textId="5D88646A" w:rsidR="00E55613" w:rsidRPr="00E55613" w:rsidRDefault="00E55613" w:rsidP="00E55613">
      <w:pPr>
        <w:pStyle w:val="TextoNormalSangraFrancesa"/>
        <w:rPr>
          <w:rStyle w:val="TextoNormalCaracter"/>
        </w:rPr>
      </w:pPr>
      <w:bookmarkStart w:id="749" w:name="DESCRIPTORALFABETICO213"/>
      <w:r w:rsidRPr="00E55613">
        <w:rPr>
          <w:rStyle w:val="TextoNormalNegritaCaracter"/>
        </w:rPr>
        <w:t>Cargos al servicio del Consejo General del Poder Judicial</w:t>
      </w:r>
      <w:bookmarkEnd w:id="749"/>
      <w:r w:rsidRPr="00E55613">
        <w:rPr>
          <w:rStyle w:val="TextoNormalCaracter"/>
        </w:rPr>
        <w:t xml:space="preserve">, Sentencia </w:t>
      </w:r>
      <w:hyperlink w:anchor="SENTENCIA_2024_15" w:history="1">
        <w:r w:rsidRPr="00E55613">
          <w:rPr>
            <w:rStyle w:val="TextoNormalCaracter"/>
          </w:rPr>
          <w:t>15/2024</w:t>
        </w:r>
      </w:hyperlink>
      <w:r w:rsidRPr="00E55613">
        <w:rPr>
          <w:rStyle w:val="TextoNormalCaracter"/>
        </w:rPr>
        <w:t>, f. 7.</w:t>
      </w:r>
    </w:p>
    <w:p w14:paraId="12D8E373" w14:textId="125EE6CA" w:rsidR="00E55613" w:rsidRPr="00E55613" w:rsidRDefault="00E55613" w:rsidP="00E55613">
      <w:pPr>
        <w:pStyle w:val="TextoNormalSangraFrancesa"/>
        <w:rPr>
          <w:rStyle w:val="TextoNormalCaracter"/>
        </w:rPr>
      </w:pPr>
      <w:bookmarkStart w:id="750" w:name="DESCRIPTORALFABETICO519"/>
      <w:r w:rsidRPr="00E55613">
        <w:rPr>
          <w:rStyle w:val="TextoNormalNegritaCaracter"/>
        </w:rPr>
        <w:t>Cataluña</w:t>
      </w:r>
      <w:bookmarkEnd w:id="750"/>
      <w:r w:rsidRPr="00E55613">
        <w:rPr>
          <w:rStyle w:val="TextoNormalCaracter"/>
        </w:rPr>
        <w:t xml:space="preserve">, Sentencia </w:t>
      </w:r>
      <w:hyperlink w:anchor="SENTENCIA_2024_44" w:history="1">
        <w:r w:rsidRPr="00E55613">
          <w:rPr>
            <w:rStyle w:val="TextoNormalCaracter"/>
          </w:rPr>
          <w:t>44/2024</w:t>
        </w:r>
      </w:hyperlink>
      <w:r w:rsidRPr="00E55613">
        <w:rPr>
          <w:rStyle w:val="TextoNormalCaracter"/>
        </w:rPr>
        <w:t>, ff. 2 y 5.</w:t>
      </w:r>
    </w:p>
    <w:p w14:paraId="2484C295" w14:textId="4E2078E9" w:rsidR="00E55613" w:rsidRPr="00E55613" w:rsidRDefault="00E55613" w:rsidP="00E55613">
      <w:pPr>
        <w:pStyle w:val="TextoNormalSangraFrancesa"/>
        <w:rPr>
          <w:rStyle w:val="TextoNormalCaracter"/>
        </w:rPr>
      </w:pPr>
      <w:bookmarkStart w:id="751" w:name="DESCRIPTORALFABETICO288"/>
      <w:r w:rsidRPr="00E55613">
        <w:rPr>
          <w:rStyle w:val="TextoNormalNegritaCaracter"/>
        </w:rPr>
        <w:t>Causas de inelegibilidad</w:t>
      </w:r>
      <w:bookmarkEnd w:id="751"/>
      <w:r w:rsidRPr="00E55613">
        <w:rPr>
          <w:rStyle w:val="TextoNormalCaracter"/>
        </w:rPr>
        <w:t xml:space="preserve">, Sentencias </w:t>
      </w:r>
      <w:hyperlink w:anchor="SENTENCIA_2024_50" w:history="1">
        <w:r w:rsidRPr="00E55613">
          <w:rPr>
            <w:rStyle w:val="TextoNormalCaracter"/>
          </w:rPr>
          <w:t>50/2024</w:t>
        </w:r>
      </w:hyperlink>
      <w:r w:rsidRPr="00E55613">
        <w:rPr>
          <w:rStyle w:val="TextoNormalCaracter"/>
        </w:rPr>
        <w:t xml:space="preserve">, f. 1; </w:t>
      </w:r>
      <w:hyperlink w:anchor="SENTENCIA_2024_66" w:history="1">
        <w:r w:rsidRPr="00E55613">
          <w:rPr>
            <w:rStyle w:val="TextoNormalCaracter"/>
          </w:rPr>
          <w:t>66/2024</w:t>
        </w:r>
      </w:hyperlink>
      <w:r w:rsidRPr="00E55613">
        <w:rPr>
          <w:rStyle w:val="TextoNormalCaracter"/>
        </w:rPr>
        <w:t>, f. 1.</w:t>
      </w:r>
    </w:p>
    <w:p w14:paraId="72BA7F3E" w14:textId="6C708F89" w:rsidR="00E55613" w:rsidRPr="00E55613" w:rsidRDefault="00E55613" w:rsidP="00E55613">
      <w:pPr>
        <w:pStyle w:val="TextoNormalSangraFrancesa"/>
        <w:rPr>
          <w:rStyle w:val="TextoNormalCaracter"/>
        </w:rPr>
      </w:pPr>
      <w:bookmarkStart w:id="752" w:name="DESCRIPTORALFABETICO307"/>
      <w:r w:rsidRPr="00E55613">
        <w:rPr>
          <w:rStyle w:val="TextoNormalNegritaCaracter"/>
        </w:rPr>
        <w:t>Centros docentes sostenidos con fondos públicos</w:t>
      </w:r>
      <w:bookmarkEnd w:id="752"/>
      <w:r w:rsidRPr="00E55613">
        <w:rPr>
          <w:rStyle w:val="TextoNormalCaracter"/>
        </w:rPr>
        <w:t xml:space="preserve">, Sentencia </w:t>
      </w:r>
      <w:hyperlink w:anchor="SENTENCIA_2024_89" w:history="1">
        <w:r w:rsidRPr="00E55613">
          <w:rPr>
            <w:rStyle w:val="TextoNormalCaracter"/>
          </w:rPr>
          <w:t>89/2024</w:t>
        </w:r>
      </w:hyperlink>
      <w:r w:rsidRPr="00E55613">
        <w:rPr>
          <w:rStyle w:val="TextoNormalCaracter"/>
        </w:rPr>
        <w:t>, f. 4.</w:t>
      </w:r>
    </w:p>
    <w:p w14:paraId="58EC91EA" w14:textId="24603C6D" w:rsidR="00E55613" w:rsidRPr="00E55613" w:rsidRDefault="00E55613" w:rsidP="00E55613">
      <w:pPr>
        <w:pStyle w:val="TextoNormalSangraFrancesa"/>
        <w:rPr>
          <w:rStyle w:val="TextoNormalCaracter"/>
        </w:rPr>
      </w:pPr>
      <w:bookmarkStart w:id="753" w:name="DESCRIPTORALFABETICO283"/>
      <w:r w:rsidRPr="00E55613">
        <w:rPr>
          <w:rStyle w:val="TextoNormalNegritaCaracter"/>
        </w:rPr>
        <w:t>Cese de funcionarios interinos</w:t>
      </w:r>
      <w:bookmarkEnd w:id="753"/>
      <w:r w:rsidRPr="00E55613">
        <w:rPr>
          <w:rStyle w:val="TextoNormalCaracter"/>
        </w:rPr>
        <w:t xml:space="preserve">, Sentencia </w:t>
      </w:r>
      <w:hyperlink w:anchor="SENTENCIA_2024_81" w:history="1">
        <w:r w:rsidRPr="00E55613">
          <w:rPr>
            <w:rStyle w:val="TextoNormalCaracter"/>
          </w:rPr>
          <w:t>81/2024</w:t>
        </w:r>
      </w:hyperlink>
      <w:r w:rsidRPr="00E55613">
        <w:rPr>
          <w:rStyle w:val="TextoNormalCaracter"/>
        </w:rPr>
        <w:t>, ff. 2 y 3.</w:t>
      </w:r>
    </w:p>
    <w:p w14:paraId="5CB32ACE" w14:textId="2B0BC890" w:rsidR="00E55613" w:rsidRPr="00E55613" w:rsidRDefault="00E55613" w:rsidP="00E55613">
      <w:pPr>
        <w:pStyle w:val="TextoNormalSangraFrancesa"/>
        <w:rPr>
          <w:rStyle w:val="TextoNormalCaracter"/>
        </w:rPr>
      </w:pPr>
      <w:bookmarkStart w:id="754" w:name="DESCRIPTORALFABETICO421"/>
      <w:r w:rsidRPr="00E55613">
        <w:rPr>
          <w:rStyle w:val="TextoNormalNegritaCaracter"/>
        </w:rPr>
        <w:t>Circunstancias atenuantes de la responsabilidad penal</w:t>
      </w:r>
      <w:bookmarkEnd w:id="754"/>
      <w:r w:rsidRPr="00E55613">
        <w:rPr>
          <w:rStyle w:val="TextoNormalCaracter"/>
        </w:rPr>
        <w:t xml:space="preserve">, Sentencia </w:t>
      </w:r>
      <w:hyperlink w:anchor="SENTENCIA_2024_48" w:history="1">
        <w:r w:rsidRPr="00E55613">
          <w:rPr>
            <w:rStyle w:val="TextoNormalCaracter"/>
          </w:rPr>
          <w:t>48/2024</w:t>
        </w:r>
      </w:hyperlink>
      <w:r w:rsidRPr="00E55613">
        <w:rPr>
          <w:rStyle w:val="TextoNormalCaracter"/>
        </w:rPr>
        <w:t>, ff. 1 y 5, VP I, VP II.</w:t>
      </w:r>
    </w:p>
    <w:p w14:paraId="4CD7E8B4" w14:textId="24D9CCB5" w:rsidR="00E55613" w:rsidRPr="00E55613" w:rsidRDefault="00E55613" w:rsidP="00E55613">
      <w:pPr>
        <w:pStyle w:val="TextoNormalSangraFrancesa"/>
        <w:rPr>
          <w:rStyle w:val="TextoNormalCaracter"/>
        </w:rPr>
      </w:pPr>
      <w:bookmarkStart w:id="755" w:name="DESCRIPTORALFABETICO41"/>
      <w:r w:rsidRPr="00E55613">
        <w:rPr>
          <w:rStyle w:val="TextoNormalNegritaCaracter"/>
        </w:rPr>
        <w:lastRenderedPageBreak/>
        <w:t xml:space="preserve">Cláusula general de igualdad </w:t>
      </w:r>
      <w:r w:rsidRPr="00E55613">
        <w:rPr>
          <w:rStyle w:val="TextoNormalNegritaCaracter"/>
          <w:i/>
        </w:rPr>
        <w:t>versus</w:t>
      </w:r>
      <w:r w:rsidRPr="00E55613">
        <w:rPr>
          <w:rStyle w:val="TextoNormalNegritaCaracter"/>
        </w:rPr>
        <w:t xml:space="preserve"> discriminación por razón de sexo</w:t>
      </w:r>
      <w:bookmarkEnd w:id="755"/>
      <w:r w:rsidRPr="00E55613">
        <w:rPr>
          <w:rStyle w:val="TextoNormalCaracter"/>
        </w:rPr>
        <w:t xml:space="preserve">, Sentencia </w:t>
      </w:r>
      <w:hyperlink w:anchor="SENTENCIA_2024_89" w:history="1">
        <w:r w:rsidRPr="00E55613">
          <w:rPr>
            <w:rStyle w:val="TextoNormalCaracter"/>
          </w:rPr>
          <w:t>89/2024</w:t>
        </w:r>
      </w:hyperlink>
      <w:r w:rsidRPr="00E55613">
        <w:rPr>
          <w:rStyle w:val="TextoNormalCaracter"/>
        </w:rPr>
        <w:t>, f. 2.</w:t>
      </w:r>
    </w:p>
    <w:p w14:paraId="574273A4" w14:textId="05717A58" w:rsidR="00E55613" w:rsidRPr="00E55613" w:rsidRDefault="00E55613" w:rsidP="00E55613">
      <w:pPr>
        <w:pStyle w:val="TextoNormalSangraFrancesa"/>
        <w:rPr>
          <w:rStyle w:val="TextoNormalCaracter"/>
        </w:rPr>
      </w:pPr>
      <w:bookmarkStart w:id="756" w:name="DESCRIPTORALFABETICO42"/>
      <w:r w:rsidRPr="00E55613">
        <w:rPr>
          <w:rStyle w:val="TextoNormalNegritaCaracter"/>
        </w:rPr>
        <w:t xml:space="preserve">Cláusula general de igualdad </w:t>
      </w:r>
      <w:r w:rsidRPr="00E55613">
        <w:rPr>
          <w:rStyle w:val="TextoNormalNegritaCaracter"/>
          <w:i/>
        </w:rPr>
        <w:t>versus</w:t>
      </w:r>
      <w:r w:rsidRPr="00E55613">
        <w:rPr>
          <w:rStyle w:val="TextoNormalNegritaCaracter"/>
        </w:rPr>
        <w:t xml:space="preserve"> prohibiciones de discriminación</w:t>
      </w:r>
      <w:bookmarkEnd w:id="756"/>
      <w:r w:rsidRPr="00E55613">
        <w:rPr>
          <w:rStyle w:val="TextoNormalCaracter"/>
        </w:rPr>
        <w:t xml:space="preserve">, Sentencia </w:t>
      </w:r>
      <w:hyperlink w:anchor="SENTENCIA_2024_22" w:history="1">
        <w:r w:rsidRPr="00E55613">
          <w:rPr>
            <w:rStyle w:val="TextoNormalCaracter"/>
          </w:rPr>
          <w:t>22/2024</w:t>
        </w:r>
      </w:hyperlink>
      <w:r w:rsidRPr="00E55613">
        <w:rPr>
          <w:rStyle w:val="TextoNormalCaracter"/>
        </w:rPr>
        <w:t>, f. 3.</w:t>
      </w:r>
    </w:p>
    <w:p w14:paraId="4AC677BF" w14:textId="4035A541" w:rsidR="00E55613" w:rsidRPr="00E55613" w:rsidRDefault="00E55613" w:rsidP="00E55613">
      <w:pPr>
        <w:pStyle w:val="TextoNormalSangraFrancesa"/>
        <w:rPr>
          <w:rStyle w:val="TextoNormalCaracter"/>
        </w:rPr>
      </w:pPr>
      <w:bookmarkStart w:id="757" w:name="DESCRIPTORALFABETICO290"/>
      <w:r w:rsidRPr="00E55613">
        <w:rPr>
          <w:rStyle w:val="TextoNormalNegritaCaracter"/>
        </w:rPr>
        <w:t>Cláusulas abusivas</w:t>
      </w:r>
      <w:bookmarkEnd w:id="757"/>
      <w:r w:rsidRPr="00E55613">
        <w:rPr>
          <w:rStyle w:val="TextoNormalCaracter"/>
        </w:rPr>
        <w:t xml:space="preserve">, Sentencias </w:t>
      </w:r>
      <w:hyperlink w:anchor="SENTENCIA_2024_27" w:history="1">
        <w:r w:rsidRPr="00E55613">
          <w:rPr>
            <w:rStyle w:val="TextoNormalCaracter"/>
          </w:rPr>
          <w:t>27/2024</w:t>
        </w:r>
      </w:hyperlink>
      <w:r w:rsidRPr="00E55613">
        <w:rPr>
          <w:rStyle w:val="TextoNormalCaracter"/>
        </w:rPr>
        <w:t xml:space="preserve">, ff. 1 a 3; </w:t>
      </w:r>
      <w:hyperlink w:anchor="SENTENCIA_2024_38" w:history="1">
        <w:r w:rsidRPr="00E55613">
          <w:rPr>
            <w:rStyle w:val="TextoNormalCaracter"/>
          </w:rPr>
          <w:t>38/2024</w:t>
        </w:r>
      </w:hyperlink>
      <w:r w:rsidRPr="00E55613">
        <w:rPr>
          <w:rStyle w:val="TextoNormalCaracter"/>
        </w:rPr>
        <w:t xml:space="preserve">, ff. 1 y 2; </w:t>
      </w:r>
      <w:hyperlink w:anchor="SENTENCIA_2024_54" w:history="1">
        <w:r w:rsidRPr="00E55613">
          <w:rPr>
            <w:rStyle w:val="TextoNormalCaracter"/>
          </w:rPr>
          <w:t>54/2024</w:t>
        </w:r>
      </w:hyperlink>
      <w:r w:rsidRPr="00E55613">
        <w:rPr>
          <w:rStyle w:val="TextoNormalCaracter"/>
        </w:rPr>
        <w:t>, f. 3.</w:t>
      </w:r>
    </w:p>
    <w:p w14:paraId="447C1C89" w14:textId="1D53193F" w:rsidR="00E55613" w:rsidRPr="00E55613" w:rsidRDefault="00E55613" w:rsidP="00E55613">
      <w:pPr>
        <w:pStyle w:val="TextoNormalSangraFrancesa"/>
        <w:rPr>
          <w:rStyle w:val="TextoNormalCaracter"/>
        </w:rPr>
      </w:pPr>
      <w:bookmarkStart w:id="758" w:name="DESCRIPTORALFABETICO124"/>
      <w:r w:rsidRPr="00E55613">
        <w:rPr>
          <w:rStyle w:val="TextoNormalNegritaCaracter"/>
        </w:rPr>
        <w:t>Cobertura legal de medidas limitativas de derechos fundamentales</w:t>
      </w:r>
      <w:bookmarkEnd w:id="758"/>
      <w:r w:rsidRPr="00E55613">
        <w:rPr>
          <w:rStyle w:val="TextoNormalCaracter"/>
        </w:rPr>
        <w:t xml:space="preserve">, Sentencia </w:t>
      </w:r>
      <w:hyperlink w:anchor="SENTENCIA_2024_40" w:history="1">
        <w:r w:rsidRPr="00E55613">
          <w:rPr>
            <w:rStyle w:val="TextoNormalCaracter"/>
          </w:rPr>
          <w:t>40/2024</w:t>
        </w:r>
      </w:hyperlink>
      <w:r w:rsidRPr="00E55613">
        <w:rPr>
          <w:rStyle w:val="TextoNormalCaracter"/>
        </w:rPr>
        <w:t>, f. 4.</w:t>
      </w:r>
    </w:p>
    <w:p w14:paraId="66F0B080" w14:textId="1522AB7D" w:rsidR="00E55613" w:rsidRPr="00E55613" w:rsidRDefault="00E55613" w:rsidP="00E55613">
      <w:pPr>
        <w:pStyle w:val="TextoNormalSangraFrancesa"/>
        <w:rPr>
          <w:rStyle w:val="TextoNormalCaracter"/>
        </w:rPr>
      </w:pPr>
      <w:bookmarkStart w:id="759" w:name="DESCRIPTORALFABETICO159"/>
      <w:r w:rsidRPr="00E55613">
        <w:rPr>
          <w:rStyle w:val="TextoNormalNegritaCaracter"/>
        </w:rPr>
        <w:t>Colisión con normas básicas</w:t>
      </w:r>
      <w:bookmarkEnd w:id="759"/>
      <w:r w:rsidRPr="00E55613">
        <w:rPr>
          <w:rStyle w:val="TextoNormalCaracter"/>
        </w:rPr>
        <w:t xml:space="preserve">, Auto </w:t>
      </w:r>
      <w:hyperlink w:anchor="AUTO_2024_41" w:history="1">
        <w:r w:rsidRPr="00E55613">
          <w:rPr>
            <w:rStyle w:val="TextoNormalCaracter"/>
          </w:rPr>
          <w:t>41/2024</w:t>
        </w:r>
      </w:hyperlink>
      <w:r w:rsidRPr="00E55613">
        <w:rPr>
          <w:rStyle w:val="TextoNormalCaracter"/>
        </w:rPr>
        <w:t>, ff. 3 a 5.</w:t>
      </w:r>
    </w:p>
    <w:p w14:paraId="5DFA429F" w14:textId="67798CE8" w:rsidR="00E55613" w:rsidRPr="00E55613" w:rsidRDefault="00E55613" w:rsidP="00E55613">
      <w:pPr>
        <w:pStyle w:val="TextoNormalSangraFrancesa"/>
        <w:rPr>
          <w:rStyle w:val="TextoNormalCaracter"/>
        </w:rPr>
      </w:pPr>
      <w:bookmarkStart w:id="760" w:name="DESCRIPTORALFABETICO358"/>
      <w:r w:rsidRPr="00E55613">
        <w:rPr>
          <w:rStyle w:val="TextoNormalNegritaCaracter"/>
        </w:rPr>
        <w:t>Comité de Derechos Humanos de la Organización de las Naciones Unidas</w:t>
      </w:r>
      <w:bookmarkEnd w:id="760"/>
      <w:r w:rsidRPr="00E55613">
        <w:rPr>
          <w:rStyle w:val="TextoNormalCaracter"/>
        </w:rPr>
        <w:t xml:space="preserve">, Sentencia </w:t>
      </w:r>
      <w:hyperlink w:anchor="SENTENCIA_2024_61" w:history="1">
        <w:r w:rsidRPr="00E55613">
          <w:rPr>
            <w:rStyle w:val="TextoNormalCaracter"/>
          </w:rPr>
          <w:t>61/2024</w:t>
        </w:r>
      </w:hyperlink>
      <w:r w:rsidRPr="00E55613">
        <w:rPr>
          <w:rStyle w:val="TextoNormalCaracter"/>
        </w:rPr>
        <w:t>, ff. 1, 3, 4, VP.</w:t>
      </w:r>
    </w:p>
    <w:p w14:paraId="7F559827" w14:textId="07FEAD70" w:rsidR="00E55613" w:rsidRPr="00E55613" w:rsidRDefault="00E55613" w:rsidP="00E55613">
      <w:pPr>
        <w:pStyle w:val="TextoNormalSangraFrancesa"/>
        <w:rPr>
          <w:rStyle w:val="TextoNormalCaracter"/>
        </w:rPr>
      </w:pPr>
      <w:bookmarkStart w:id="761" w:name="DESCRIPTORALFABETICO237"/>
      <w:r w:rsidRPr="00E55613">
        <w:rPr>
          <w:rStyle w:val="TextoNormalNegritaCaracter"/>
        </w:rPr>
        <w:t>Comparecencia parlamentaria</w:t>
      </w:r>
      <w:bookmarkEnd w:id="761"/>
      <w:r w:rsidRPr="00E55613">
        <w:rPr>
          <w:rStyle w:val="TextoNormalCaracter"/>
        </w:rPr>
        <w:t xml:space="preserve">, Auto </w:t>
      </w:r>
      <w:hyperlink w:anchor="AUTO_2024_47" w:history="1">
        <w:r w:rsidRPr="00E55613">
          <w:rPr>
            <w:rStyle w:val="TextoNormalCaracter"/>
          </w:rPr>
          <w:t>47/2024</w:t>
        </w:r>
      </w:hyperlink>
      <w:r w:rsidRPr="00E55613">
        <w:rPr>
          <w:rStyle w:val="TextoNormalCaracter"/>
        </w:rPr>
        <w:t>, ff. 1 y 3, VP.</w:t>
      </w:r>
    </w:p>
    <w:p w14:paraId="5A8E90C6" w14:textId="44724B38" w:rsidR="00E55613" w:rsidRPr="00E55613" w:rsidRDefault="00E55613" w:rsidP="00E55613">
      <w:pPr>
        <w:pStyle w:val="TextoNormalSangraFrancesa"/>
        <w:rPr>
          <w:rStyle w:val="TextoNormalCaracter"/>
        </w:rPr>
      </w:pPr>
      <w:bookmarkStart w:id="762" w:name="DESCRIPTORALFABETICO2"/>
      <w:r w:rsidRPr="00E55613">
        <w:rPr>
          <w:rStyle w:val="TextoNormalNegritaCaracter"/>
        </w:rPr>
        <w:t>Competencias autonómicas de gestión</w:t>
      </w:r>
      <w:bookmarkEnd w:id="762"/>
      <w:r w:rsidRPr="00E55613">
        <w:rPr>
          <w:rStyle w:val="TextoNormalCaracter"/>
        </w:rPr>
        <w:t xml:space="preserve">, Sentencias </w:t>
      </w:r>
      <w:hyperlink w:anchor="SENTENCIA_2024_19" w:history="1">
        <w:r w:rsidRPr="00E55613">
          <w:rPr>
            <w:rStyle w:val="TextoNormalCaracter"/>
          </w:rPr>
          <w:t>19/2024</w:t>
        </w:r>
      </w:hyperlink>
      <w:r w:rsidRPr="00E55613">
        <w:rPr>
          <w:rStyle w:val="TextoNormalCaracter"/>
        </w:rPr>
        <w:t xml:space="preserve">, ff. 3, 4 y 5; </w:t>
      </w:r>
      <w:hyperlink w:anchor="SENTENCIA_2024_32" w:history="1">
        <w:r w:rsidRPr="00E55613">
          <w:rPr>
            <w:rStyle w:val="TextoNormalCaracter"/>
          </w:rPr>
          <w:t>32/2024</w:t>
        </w:r>
      </w:hyperlink>
      <w:r w:rsidRPr="00E55613">
        <w:rPr>
          <w:rStyle w:val="TextoNormalCaracter"/>
        </w:rPr>
        <w:t>, f. 2.</w:t>
      </w:r>
    </w:p>
    <w:p w14:paraId="1999F9D1" w14:textId="11A30548" w:rsidR="00E55613" w:rsidRPr="00E55613" w:rsidRDefault="00E55613" w:rsidP="00E55613">
      <w:pPr>
        <w:pStyle w:val="TextoNormalSangraFrancesa"/>
        <w:rPr>
          <w:rStyle w:val="TextoNormalCaracter"/>
        </w:rPr>
      </w:pPr>
      <w:bookmarkStart w:id="763" w:name="DESCRIPTORALFABETICO5"/>
      <w:r w:rsidRPr="00E55613">
        <w:rPr>
          <w:rStyle w:val="TextoNormalNegritaCaracter"/>
        </w:rPr>
        <w:t>Competencias del Estado</w:t>
      </w:r>
      <w:bookmarkEnd w:id="763"/>
      <w:r w:rsidRPr="00E55613">
        <w:rPr>
          <w:rStyle w:val="TextoNormalCaracter"/>
        </w:rPr>
        <w:t xml:space="preserve">, Sentencia </w:t>
      </w:r>
      <w:hyperlink w:anchor="SENTENCIA_2024_88" w:history="1">
        <w:r w:rsidRPr="00E55613">
          <w:rPr>
            <w:rStyle w:val="TextoNormalCaracter"/>
          </w:rPr>
          <w:t>88/2024</w:t>
        </w:r>
      </w:hyperlink>
      <w:r w:rsidRPr="00E55613">
        <w:rPr>
          <w:rStyle w:val="TextoNormalCaracter"/>
        </w:rPr>
        <w:t>, ff. 4 y 5.</w:t>
      </w:r>
    </w:p>
    <w:p w14:paraId="3B86B980" w14:textId="77777777" w:rsidR="00E55613" w:rsidRPr="00E55613" w:rsidRDefault="00E55613" w:rsidP="00E55613">
      <w:pPr>
        <w:pStyle w:val="TextoNormalSangraFrancesa"/>
        <w:rPr>
          <w:rStyle w:val="TextoNormalCaracter"/>
        </w:rPr>
      </w:pPr>
      <w:bookmarkStart w:id="764" w:name="DESCRIPTORALFABETICO132"/>
      <w:r w:rsidRPr="00E55613">
        <w:rPr>
          <w:rStyle w:val="TextoNormalNegritaCaracter"/>
        </w:rPr>
        <w:t>Competencias del Tribunal Constitucional</w:t>
      </w:r>
      <w:bookmarkEnd w:id="764"/>
      <w:r w:rsidRPr="00E55613">
        <w:rPr>
          <w:rStyle w:val="TextoNormalCaracter"/>
        </w:rPr>
        <w:t xml:space="preserve">, </w:t>
      </w:r>
    </w:p>
    <w:p w14:paraId="0478A946" w14:textId="3A47F269" w:rsidR="00E55613" w:rsidRPr="00E55613" w:rsidRDefault="00E55613" w:rsidP="00E55613">
      <w:pPr>
        <w:pStyle w:val="TextoNormalSangraFrancesa"/>
        <w:rPr>
          <w:rStyle w:val="TextoNormalCaracter"/>
        </w:rPr>
      </w:pPr>
      <w:r w:rsidRPr="00E55613">
        <w:rPr>
          <w:rStyle w:val="TextoNormalCursivaCaracter"/>
        </w:rPr>
        <w:t xml:space="preserve">    Naturaleza, </w:t>
      </w:r>
      <w:r w:rsidRPr="00E55613">
        <w:rPr>
          <w:rStyle w:val="TextoNormalCaracter"/>
        </w:rPr>
        <w:t xml:space="preserve">Sentencia </w:t>
      </w:r>
      <w:hyperlink w:anchor="SENTENCIA_2024_15" w:history="1">
        <w:r w:rsidRPr="00E55613">
          <w:rPr>
            <w:rStyle w:val="TextoNormalCaracter"/>
          </w:rPr>
          <w:t>15/2024</w:t>
        </w:r>
      </w:hyperlink>
      <w:r w:rsidRPr="00E55613">
        <w:rPr>
          <w:rStyle w:val="TextoNormalCaracter"/>
        </w:rPr>
        <w:t>, ff. 4 a 7.</w:t>
      </w:r>
    </w:p>
    <w:p w14:paraId="54506244" w14:textId="2FC98B10" w:rsidR="00E55613" w:rsidRPr="00E55613" w:rsidRDefault="00E55613" w:rsidP="00E55613">
      <w:pPr>
        <w:pStyle w:val="TextoNormalSangraFrancesa"/>
        <w:rPr>
          <w:rStyle w:val="TextoNormalCaracter"/>
        </w:rPr>
      </w:pPr>
      <w:bookmarkStart w:id="765" w:name="DESCRIPTORALFABETICO3"/>
      <w:r w:rsidRPr="00E55613">
        <w:rPr>
          <w:rStyle w:val="TextoNormalNegritaCaracter"/>
        </w:rPr>
        <w:t>Competencias delimitadas por la legislación básica</w:t>
      </w:r>
      <w:bookmarkEnd w:id="765"/>
      <w:r w:rsidRPr="00E55613">
        <w:rPr>
          <w:rStyle w:val="TextoNormalCaracter"/>
        </w:rPr>
        <w:t xml:space="preserve">, Sentencia </w:t>
      </w:r>
      <w:hyperlink w:anchor="SENTENCIA_2024_65" w:history="1">
        <w:r w:rsidRPr="00E55613">
          <w:rPr>
            <w:rStyle w:val="TextoNormalCaracter"/>
          </w:rPr>
          <w:t>65/2024</w:t>
        </w:r>
      </w:hyperlink>
      <w:r w:rsidRPr="00E55613">
        <w:rPr>
          <w:rStyle w:val="TextoNormalCaracter"/>
        </w:rPr>
        <w:t>, f. 3.</w:t>
      </w:r>
    </w:p>
    <w:p w14:paraId="563F963F" w14:textId="045703A4" w:rsidR="00E55613" w:rsidRPr="00E55613" w:rsidRDefault="00E55613" w:rsidP="00E55613">
      <w:pPr>
        <w:pStyle w:val="TextoNormalSangraFrancesa"/>
        <w:rPr>
          <w:rStyle w:val="TextoNormalCaracter"/>
        </w:rPr>
      </w:pPr>
      <w:bookmarkStart w:id="766" w:name="DESCRIPTORALFABETICO8"/>
      <w:r w:rsidRPr="00E55613">
        <w:rPr>
          <w:rStyle w:val="TextoNormalNegritaCaracter"/>
        </w:rPr>
        <w:t>Competencias en materia de contratación administrativa</w:t>
      </w:r>
      <w:bookmarkEnd w:id="766"/>
      <w:r w:rsidRPr="00E55613">
        <w:rPr>
          <w:rStyle w:val="TextoNormalCaracter"/>
        </w:rPr>
        <w:t xml:space="preserve">, Sentencia </w:t>
      </w:r>
      <w:hyperlink w:anchor="SENTENCIA_2024_65" w:history="1">
        <w:r w:rsidRPr="00E55613">
          <w:rPr>
            <w:rStyle w:val="TextoNormalCaracter"/>
          </w:rPr>
          <w:t>65/2024</w:t>
        </w:r>
      </w:hyperlink>
      <w:r w:rsidRPr="00E55613">
        <w:rPr>
          <w:rStyle w:val="TextoNormalCaracter"/>
        </w:rPr>
        <w:t>, ff.2 a 5.</w:t>
      </w:r>
    </w:p>
    <w:p w14:paraId="5BCEF9BF" w14:textId="0CC2341F" w:rsidR="00E55613" w:rsidRPr="00E55613" w:rsidRDefault="00E55613" w:rsidP="00E55613">
      <w:pPr>
        <w:pStyle w:val="TextoNormalSangraFrancesa"/>
        <w:rPr>
          <w:rStyle w:val="TextoNormalCaracter"/>
        </w:rPr>
      </w:pPr>
      <w:bookmarkStart w:id="767" w:name="DESCRIPTORALFABETICO9"/>
      <w:r w:rsidRPr="00E55613">
        <w:rPr>
          <w:rStyle w:val="TextoNormalNegritaCaracter"/>
        </w:rPr>
        <w:t>Competencias en materia de dominio público marítimo-terrestre</w:t>
      </w:r>
      <w:bookmarkEnd w:id="767"/>
      <w:r w:rsidRPr="00E55613">
        <w:rPr>
          <w:rStyle w:val="TextoNormalCaracter"/>
        </w:rPr>
        <w:t xml:space="preserve">, Sentencias </w:t>
      </w:r>
      <w:hyperlink w:anchor="SENTENCIA_2024_68" w:history="1">
        <w:r w:rsidRPr="00E55613">
          <w:rPr>
            <w:rStyle w:val="TextoNormalCaracter"/>
          </w:rPr>
          <w:t>68/2024</w:t>
        </w:r>
      </w:hyperlink>
      <w:r w:rsidRPr="00E55613">
        <w:rPr>
          <w:rStyle w:val="TextoNormalCaracter"/>
        </w:rPr>
        <w:t xml:space="preserve">, ff. 5 a 8, 10, 11, VP; </w:t>
      </w:r>
      <w:hyperlink w:anchor="SENTENCIA_2024_76" w:history="1">
        <w:r w:rsidRPr="00E55613">
          <w:rPr>
            <w:rStyle w:val="TextoNormalCaracter"/>
          </w:rPr>
          <w:t>76/2024</w:t>
        </w:r>
      </w:hyperlink>
      <w:r w:rsidRPr="00E55613">
        <w:rPr>
          <w:rStyle w:val="TextoNormalCaracter"/>
        </w:rPr>
        <w:t xml:space="preserve">, f. 3, VP; </w:t>
      </w:r>
      <w:hyperlink w:anchor="SENTENCIA_2024_91" w:history="1">
        <w:r w:rsidRPr="00E55613">
          <w:rPr>
            <w:rStyle w:val="TextoNormalCaracter"/>
          </w:rPr>
          <w:t>91/2024</w:t>
        </w:r>
      </w:hyperlink>
      <w:r w:rsidRPr="00E55613">
        <w:rPr>
          <w:rStyle w:val="TextoNormalCaracter"/>
        </w:rPr>
        <w:t>, f. 1.</w:t>
      </w:r>
    </w:p>
    <w:p w14:paraId="0CE32F7E" w14:textId="7EF540F3" w:rsidR="00E55613" w:rsidRPr="00E55613" w:rsidRDefault="00E55613" w:rsidP="00E55613">
      <w:pPr>
        <w:pStyle w:val="TextoNormalSangraFrancesa"/>
        <w:rPr>
          <w:rStyle w:val="TextoNormalCaracter"/>
        </w:rPr>
      </w:pPr>
      <w:r w:rsidRPr="00E55613">
        <w:rPr>
          <w:rStyle w:val="TextoNormalCaracter"/>
        </w:rPr>
        <w:t xml:space="preserve">    Auto </w:t>
      </w:r>
      <w:hyperlink w:anchor="AUTO_2024_22" w:history="1">
        <w:r w:rsidRPr="00E55613">
          <w:rPr>
            <w:rStyle w:val="TextoNormalCaracter"/>
          </w:rPr>
          <w:t>22/2024</w:t>
        </w:r>
      </w:hyperlink>
      <w:r w:rsidRPr="00E55613">
        <w:rPr>
          <w:rStyle w:val="TextoNormalCaracter"/>
        </w:rPr>
        <w:t>, ff. 4 a 6.</w:t>
      </w:r>
    </w:p>
    <w:p w14:paraId="07455EA4" w14:textId="4F4874BB" w:rsidR="00E55613" w:rsidRPr="00E55613" w:rsidRDefault="00E55613" w:rsidP="00E55613">
      <w:pPr>
        <w:pStyle w:val="TextoNormalSangraFrancesa"/>
        <w:rPr>
          <w:rStyle w:val="TextoNormalCaracter"/>
        </w:rPr>
      </w:pPr>
      <w:bookmarkStart w:id="768" w:name="DESCRIPTORALFABETICO10"/>
      <w:r w:rsidRPr="00E55613">
        <w:rPr>
          <w:rStyle w:val="TextoNormalNegritaCaracter"/>
        </w:rPr>
        <w:t>Competencias en materia de legislación básica y régimen económico de la Seguridad Social</w:t>
      </w:r>
      <w:bookmarkEnd w:id="768"/>
      <w:r w:rsidRPr="00E55613">
        <w:rPr>
          <w:rStyle w:val="TextoNormalCaracter"/>
        </w:rPr>
        <w:t xml:space="preserve">, Sentencias </w:t>
      </w:r>
      <w:hyperlink w:anchor="SENTENCIA_2024_19" w:history="1">
        <w:r w:rsidRPr="00E55613">
          <w:rPr>
            <w:rStyle w:val="TextoNormalCaracter"/>
          </w:rPr>
          <w:t>19/2024</w:t>
        </w:r>
      </w:hyperlink>
      <w:r w:rsidRPr="00E55613">
        <w:rPr>
          <w:rStyle w:val="TextoNormalCaracter"/>
        </w:rPr>
        <w:t xml:space="preserve">, ff. 1, 3, 4 y 5; </w:t>
      </w:r>
      <w:hyperlink w:anchor="SENTENCIA_2024_32" w:history="1">
        <w:r w:rsidRPr="00E55613">
          <w:rPr>
            <w:rStyle w:val="TextoNormalCaracter"/>
          </w:rPr>
          <w:t>32/2024</w:t>
        </w:r>
      </w:hyperlink>
      <w:r w:rsidRPr="00E55613">
        <w:rPr>
          <w:rStyle w:val="TextoNormalCaracter"/>
        </w:rPr>
        <w:t>, f. 2.</w:t>
      </w:r>
    </w:p>
    <w:p w14:paraId="7A6F92E7" w14:textId="38023C4C" w:rsidR="00E55613" w:rsidRPr="00E55613" w:rsidRDefault="00E55613" w:rsidP="00E55613">
      <w:pPr>
        <w:pStyle w:val="TextoNormalSangraFrancesa"/>
        <w:rPr>
          <w:rStyle w:val="TextoNormalCaracter"/>
        </w:rPr>
      </w:pPr>
      <w:bookmarkStart w:id="769" w:name="DESCRIPTORALFABETICO11"/>
      <w:r w:rsidRPr="00E55613">
        <w:rPr>
          <w:rStyle w:val="TextoNormalNegritaCaracter"/>
        </w:rPr>
        <w:t>Competencias en materia de legislación civil</w:t>
      </w:r>
      <w:bookmarkEnd w:id="769"/>
      <w:r w:rsidRPr="00E55613">
        <w:rPr>
          <w:rStyle w:val="TextoNormalCaracter"/>
        </w:rPr>
        <w:t xml:space="preserve">, Sentencia </w:t>
      </w:r>
      <w:hyperlink w:anchor="SENTENCIA_2024_79" w:history="1">
        <w:r w:rsidRPr="00E55613">
          <w:rPr>
            <w:rStyle w:val="TextoNormalCaracter"/>
          </w:rPr>
          <w:t>79/2024</w:t>
        </w:r>
      </w:hyperlink>
      <w:r w:rsidRPr="00E55613">
        <w:rPr>
          <w:rStyle w:val="TextoNormalCaracter"/>
        </w:rPr>
        <w:t>, ff. 3, 6, 9.</w:t>
      </w:r>
    </w:p>
    <w:p w14:paraId="46B3BC9A" w14:textId="1814B60B" w:rsidR="00E55613" w:rsidRPr="00E55613" w:rsidRDefault="00E55613" w:rsidP="00E55613">
      <w:pPr>
        <w:pStyle w:val="TextoNormalSangraFrancesa"/>
        <w:rPr>
          <w:rStyle w:val="TextoNormalCaracter"/>
        </w:rPr>
      </w:pPr>
      <w:bookmarkStart w:id="770" w:name="DESCRIPTORALFABETICO12"/>
      <w:r w:rsidRPr="00E55613">
        <w:rPr>
          <w:rStyle w:val="TextoNormalNegritaCaracter"/>
        </w:rPr>
        <w:t>Competencias en materia de legislación penal</w:t>
      </w:r>
      <w:bookmarkEnd w:id="770"/>
      <w:r w:rsidRPr="00E55613">
        <w:rPr>
          <w:rStyle w:val="TextoNormalCaracter"/>
        </w:rPr>
        <w:t xml:space="preserve">, Sentencia </w:t>
      </w:r>
      <w:hyperlink w:anchor="SENTENCIA_2024_44" w:history="1">
        <w:r w:rsidRPr="00E55613">
          <w:rPr>
            <w:rStyle w:val="TextoNormalCaracter"/>
          </w:rPr>
          <w:t>44/2024</w:t>
        </w:r>
      </w:hyperlink>
      <w:r w:rsidRPr="00E55613">
        <w:rPr>
          <w:rStyle w:val="TextoNormalCaracter"/>
        </w:rPr>
        <w:t>, ff. 3 y 6, VP I, VP II.</w:t>
      </w:r>
    </w:p>
    <w:p w14:paraId="61743415" w14:textId="1E2515B4" w:rsidR="00E55613" w:rsidRPr="00E55613" w:rsidRDefault="00E55613" w:rsidP="00E55613">
      <w:pPr>
        <w:pStyle w:val="TextoNormalSangraFrancesa"/>
        <w:rPr>
          <w:rStyle w:val="TextoNormalCaracter"/>
        </w:rPr>
      </w:pPr>
      <w:bookmarkStart w:id="771" w:name="DESCRIPTORALFABETICO13"/>
      <w:r w:rsidRPr="00E55613">
        <w:rPr>
          <w:rStyle w:val="TextoNormalNegritaCaracter"/>
        </w:rPr>
        <w:t>Competencias en materia de medio ambiente</w:t>
      </w:r>
      <w:bookmarkEnd w:id="771"/>
      <w:r w:rsidRPr="00E55613">
        <w:rPr>
          <w:rStyle w:val="TextoNormalCaracter"/>
        </w:rPr>
        <w:t xml:space="preserve">, Sentencias </w:t>
      </w:r>
      <w:hyperlink w:anchor="SENTENCIA_2024_25" w:history="1">
        <w:r w:rsidRPr="00E55613">
          <w:rPr>
            <w:rStyle w:val="TextoNormalCaracter"/>
          </w:rPr>
          <w:t>25/2024</w:t>
        </w:r>
      </w:hyperlink>
      <w:r w:rsidRPr="00E55613">
        <w:rPr>
          <w:rStyle w:val="TextoNormalCaracter"/>
        </w:rPr>
        <w:t xml:space="preserve">, ff. 10 a 13; </w:t>
      </w:r>
      <w:hyperlink w:anchor="SENTENCIA_2024_76" w:history="1">
        <w:r w:rsidRPr="00E55613">
          <w:rPr>
            <w:rStyle w:val="TextoNormalCaracter"/>
          </w:rPr>
          <w:t>76/2024</w:t>
        </w:r>
      </w:hyperlink>
      <w:r w:rsidRPr="00E55613">
        <w:rPr>
          <w:rStyle w:val="TextoNormalCaracter"/>
        </w:rPr>
        <w:t>, f. 3.</w:t>
      </w:r>
    </w:p>
    <w:p w14:paraId="0D323FAD" w14:textId="017D5EAB" w:rsidR="00E55613" w:rsidRPr="00E55613" w:rsidRDefault="00E55613" w:rsidP="00E55613">
      <w:pPr>
        <w:pStyle w:val="TextoNormalSangraFrancesa"/>
        <w:rPr>
          <w:rStyle w:val="TextoNormalCaracter"/>
        </w:rPr>
      </w:pPr>
      <w:r w:rsidRPr="00E55613">
        <w:rPr>
          <w:rStyle w:val="TextoNormalCaracter"/>
        </w:rPr>
        <w:t xml:space="preserve">    Autos </w:t>
      </w:r>
      <w:hyperlink w:anchor="AUTO_2024_21" w:history="1">
        <w:r w:rsidRPr="00E55613">
          <w:rPr>
            <w:rStyle w:val="TextoNormalCaracter"/>
          </w:rPr>
          <w:t>21/2024</w:t>
        </w:r>
      </w:hyperlink>
      <w:r w:rsidRPr="00E55613">
        <w:rPr>
          <w:rStyle w:val="TextoNormalCaracter"/>
        </w:rPr>
        <w:t xml:space="preserve">, ff. 2 y 3; </w:t>
      </w:r>
      <w:hyperlink w:anchor="AUTO_2024_41" w:history="1">
        <w:r w:rsidRPr="00E55613">
          <w:rPr>
            <w:rStyle w:val="TextoNormalCaracter"/>
          </w:rPr>
          <w:t>41/2024</w:t>
        </w:r>
      </w:hyperlink>
      <w:r w:rsidRPr="00E55613">
        <w:rPr>
          <w:rStyle w:val="TextoNormalCaracter"/>
        </w:rPr>
        <w:t>, f. 4.</w:t>
      </w:r>
    </w:p>
    <w:p w14:paraId="67CD4B38" w14:textId="305CD9EB" w:rsidR="00E55613" w:rsidRPr="00E55613" w:rsidRDefault="00E55613" w:rsidP="00E55613">
      <w:pPr>
        <w:pStyle w:val="TextoNormalSangraFrancesa"/>
        <w:rPr>
          <w:rStyle w:val="TextoNormalCaracter"/>
        </w:rPr>
      </w:pPr>
      <w:bookmarkStart w:id="772" w:name="DESCRIPTORALFABETICO14"/>
      <w:r w:rsidRPr="00E55613">
        <w:rPr>
          <w:rStyle w:val="TextoNormalNegritaCaracter"/>
        </w:rPr>
        <w:t>Competencias en materia de ordenación de los registros e instrumentos públicos</w:t>
      </w:r>
      <w:bookmarkEnd w:id="772"/>
      <w:r w:rsidRPr="00E55613">
        <w:rPr>
          <w:rStyle w:val="TextoNormalCaracter"/>
        </w:rPr>
        <w:t xml:space="preserve">, Sentencia </w:t>
      </w:r>
      <w:hyperlink w:anchor="SENTENCIA_2024_44" w:history="1">
        <w:r w:rsidRPr="00E55613">
          <w:rPr>
            <w:rStyle w:val="TextoNormalCaracter"/>
          </w:rPr>
          <w:t>44/2024</w:t>
        </w:r>
      </w:hyperlink>
      <w:r w:rsidRPr="00E55613">
        <w:rPr>
          <w:rStyle w:val="TextoNormalCaracter"/>
        </w:rPr>
        <w:t>, f. 4, VP I, VP II.</w:t>
      </w:r>
    </w:p>
    <w:p w14:paraId="22829419" w14:textId="4F79DC2D" w:rsidR="00E55613" w:rsidRPr="00E55613" w:rsidRDefault="00E55613" w:rsidP="00E55613">
      <w:pPr>
        <w:pStyle w:val="TextoNormalSangraFrancesa"/>
        <w:rPr>
          <w:rStyle w:val="TextoNormalCaracter"/>
        </w:rPr>
      </w:pPr>
      <w:bookmarkStart w:id="773" w:name="DESCRIPTORALFABETICO15"/>
      <w:r w:rsidRPr="00E55613">
        <w:rPr>
          <w:rStyle w:val="TextoNormalNegritaCaracter"/>
        </w:rPr>
        <w:t>Competencias en materia de ordenación del sector pesquero</w:t>
      </w:r>
      <w:bookmarkEnd w:id="773"/>
      <w:r w:rsidRPr="00E55613">
        <w:rPr>
          <w:rStyle w:val="TextoNormalCaracter"/>
        </w:rPr>
        <w:t xml:space="preserve">, Sentencia </w:t>
      </w:r>
      <w:hyperlink w:anchor="SENTENCIA_2024_68" w:history="1">
        <w:r w:rsidRPr="00E55613">
          <w:rPr>
            <w:rStyle w:val="TextoNormalCaracter"/>
          </w:rPr>
          <w:t>68/2024</w:t>
        </w:r>
      </w:hyperlink>
      <w:r w:rsidRPr="00E55613">
        <w:rPr>
          <w:rStyle w:val="TextoNormalCaracter"/>
        </w:rPr>
        <w:t>, f. 5.</w:t>
      </w:r>
    </w:p>
    <w:p w14:paraId="0453053B" w14:textId="6557002C" w:rsidR="00E55613" w:rsidRPr="00E55613" w:rsidRDefault="00E55613" w:rsidP="00E55613">
      <w:pPr>
        <w:pStyle w:val="TextoNormalSangraFrancesa"/>
        <w:rPr>
          <w:rStyle w:val="TextoNormalCaracter"/>
        </w:rPr>
      </w:pPr>
      <w:bookmarkStart w:id="774" w:name="DESCRIPTORALFABETICO16"/>
      <w:r w:rsidRPr="00E55613">
        <w:rPr>
          <w:rStyle w:val="TextoNormalNegritaCaracter"/>
        </w:rPr>
        <w:t>Competencias en materia de ordenación del territorio</w:t>
      </w:r>
      <w:bookmarkEnd w:id="774"/>
      <w:r w:rsidRPr="00E55613">
        <w:rPr>
          <w:rStyle w:val="TextoNormalCaracter"/>
        </w:rPr>
        <w:t xml:space="preserve">, Sentencia </w:t>
      </w:r>
      <w:hyperlink w:anchor="SENTENCIA_2024_76" w:history="1">
        <w:r w:rsidRPr="00E55613">
          <w:rPr>
            <w:rStyle w:val="TextoNormalCaracter"/>
          </w:rPr>
          <w:t>76/2024</w:t>
        </w:r>
      </w:hyperlink>
      <w:r w:rsidRPr="00E55613">
        <w:rPr>
          <w:rStyle w:val="TextoNormalCaracter"/>
        </w:rPr>
        <w:t>, f. 3.</w:t>
      </w:r>
    </w:p>
    <w:p w14:paraId="4DAC54B9" w14:textId="3A98D9EC" w:rsidR="00E55613" w:rsidRPr="00E55613" w:rsidRDefault="00E55613" w:rsidP="00E55613">
      <w:pPr>
        <w:pStyle w:val="TextoNormalSangraFrancesa"/>
        <w:rPr>
          <w:rStyle w:val="TextoNormalCaracter"/>
        </w:rPr>
      </w:pPr>
      <w:bookmarkStart w:id="775" w:name="DESCRIPTORALFABETICO17"/>
      <w:r w:rsidRPr="00E55613">
        <w:rPr>
          <w:rStyle w:val="TextoNormalNegritaCaracter"/>
        </w:rPr>
        <w:t>Competencias en materia de planificación económica</w:t>
      </w:r>
      <w:bookmarkEnd w:id="775"/>
      <w:r w:rsidRPr="00E55613">
        <w:rPr>
          <w:rStyle w:val="TextoNormalCaracter"/>
        </w:rPr>
        <w:t xml:space="preserve">, Sentencia </w:t>
      </w:r>
      <w:hyperlink w:anchor="SENTENCIA_2024_79" w:history="1">
        <w:r w:rsidRPr="00E55613">
          <w:rPr>
            <w:rStyle w:val="TextoNormalCaracter"/>
          </w:rPr>
          <w:t>79/2024</w:t>
        </w:r>
      </w:hyperlink>
      <w:r w:rsidRPr="00E55613">
        <w:rPr>
          <w:rStyle w:val="TextoNormalCaracter"/>
        </w:rPr>
        <w:t>, ff. 3 y 5.</w:t>
      </w:r>
    </w:p>
    <w:p w14:paraId="78DCDB2C" w14:textId="02C0C0BE" w:rsidR="00E55613" w:rsidRPr="00E55613" w:rsidRDefault="00E55613" w:rsidP="00E55613">
      <w:pPr>
        <w:pStyle w:val="TextoNormalSangraFrancesa"/>
        <w:rPr>
          <w:rStyle w:val="TextoNormalCaracter"/>
        </w:rPr>
      </w:pPr>
      <w:bookmarkStart w:id="776" w:name="DESCRIPTORALFABETICO18"/>
      <w:r w:rsidRPr="00E55613">
        <w:rPr>
          <w:rStyle w:val="TextoNormalNegritaCaracter"/>
        </w:rPr>
        <w:t>Competencias en materia de productos farmacéuticos</w:t>
      </w:r>
      <w:bookmarkEnd w:id="776"/>
      <w:r w:rsidRPr="00E55613">
        <w:rPr>
          <w:rStyle w:val="TextoNormalCaracter"/>
        </w:rPr>
        <w:t xml:space="preserve">, Sentencia </w:t>
      </w:r>
      <w:hyperlink w:anchor="SENTENCIA_2024_65" w:history="1">
        <w:r w:rsidRPr="00E55613">
          <w:rPr>
            <w:rStyle w:val="TextoNormalCaracter"/>
          </w:rPr>
          <w:t>65/2024</w:t>
        </w:r>
      </w:hyperlink>
      <w:r w:rsidRPr="00E55613">
        <w:rPr>
          <w:rStyle w:val="TextoNormalCaracter"/>
        </w:rPr>
        <w:t>, f. 2.</w:t>
      </w:r>
    </w:p>
    <w:p w14:paraId="1EFB8A8B" w14:textId="4F20E062" w:rsidR="00E55613" w:rsidRPr="00E55613" w:rsidRDefault="00E55613" w:rsidP="00E55613">
      <w:pPr>
        <w:pStyle w:val="TextoNormalSangraFrancesa"/>
        <w:rPr>
          <w:rStyle w:val="TextoNormalCaracter"/>
        </w:rPr>
      </w:pPr>
      <w:bookmarkStart w:id="777" w:name="DESCRIPTORALFABETICO19"/>
      <w:r w:rsidRPr="00E55613">
        <w:rPr>
          <w:rStyle w:val="TextoNormalNegritaCaracter"/>
        </w:rPr>
        <w:t>Competencias en materia de régimen energético</w:t>
      </w:r>
      <w:bookmarkEnd w:id="777"/>
      <w:r w:rsidRPr="00E55613">
        <w:rPr>
          <w:rStyle w:val="TextoNormalCaracter"/>
        </w:rPr>
        <w:t xml:space="preserve">, Sentencia </w:t>
      </w:r>
      <w:hyperlink w:anchor="SENTENCIA_2024_20" w:history="1">
        <w:r w:rsidRPr="00E55613">
          <w:rPr>
            <w:rStyle w:val="TextoNormalCaracter"/>
          </w:rPr>
          <w:t>20/2024</w:t>
        </w:r>
      </w:hyperlink>
      <w:r w:rsidRPr="00E55613">
        <w:rPr>
          <w:rStyle w:val="TextoNormalCaracter"/>
        </w:rPr>
        <w:t>, f. 4.</w:t>
      </w:r>
    </w:p>
    <w:p w14:paraId="2C12B14E" w14:textId="14B71123" w:rsidR="00E55613" w:rsidRPr="00E55613" w:rsidRDefault="00E55613" w:rsidP="00E55613">
      <w:pPr>
        <w:pStyle w:val="TextoNormalSangraFrancesa"/>
        <w:rPr>
          <w:rStyle w:val="TextoNormalCaracter"/>
        </w:rPr>
      </w:pPr>
      <w:bookmarkStart w:id="778" w:name="DESCRIPTORALFABETICO20"/>
      <w:r w:rsidRPr="00E55613">
        <w:rPr>
          <w:rStyle w:val="TextoNormalNegritaCaracter"/>
        </w:rPr>
        <w:t>Competencias en materia de regulación de condiciones básicas de igualdad</w:t>
      </w:r>
      <w:bookmarkEnd w:id="778"/>
      <w:r w:rsidRPr="00E55613">
        <w:rPr>
          <w:rStyle w:val="TextoNormalCaracter"/>
        </w:rPr>
        <w:t xml:space="preserve">, Sentencias </w:t>
      </w:r>
      <w:hyperlink w:anchor="SENTENCIA_2024_44" w:history="1">
        <w:r w:rsidRPr="00E55613">
          <w:rPr>
            <w:rStyle w:val="TextoNormalCaracter"/>
          </w:rPr>
          <w:t>44/2024</w:t>
        </w:r>
      </w:hyperlink>
      <w:r w:rsidRPr="00E55613">
        <w:rPr>
          <w:rStyle w:val="TextoNormalCaracter"/>
        </w:rPr>
        <w:t xml:space="preserve">, ff. 2 a 5; </w:t>
      </w:r>
      <w:hyperlink w:anchor="SENTENCIA_2024_68" w:history="1">
        <w:r w:rsidRPr="00E55613">
          <w:rPr>
            <w:rStyle w:val="TextoNormalCaracter"/>
          </w:rPr>
          <w:t>68/2024</w:t>
        </w:r>
      </w:hyperlink>
      <w:r w:rsidRPr="00E55613">
        <w:rPr>
          <w:rStyle w:val="TextoNormalCaracter"/>
        </w:rPr>
        <w:t xml:space="preserve">, ff. 5 y 7, VP; </w:t>
      </w:r>
      <w:hyperlink w:anchor="SENTENCIA_2024_79" w:history="1">
        <w:r w:rsidRPr="00E55613">
          <w:rPr>
            <w:rStyle w:val="TextoNormalCaracter"/>
          </w:rPr>
          <w:t>79/2024</w:t>
        </w:r>
      </w:hyperlink>
      <w:r w:rsidRPr="00E55613">
        <w:rPr>
          <w:rStyle w:val="TextoNormalCaracter"/>
        </w:rPr>
        <w:t>, ff. 3 a 8.</w:t>
      </w:r>
    </w:p>
    <w:p w14:paraId="71DC6AD2" w14:textId="24E73613" w:rsidR="00E55613" w:rsidRPr="00E55613" w:rsidRDefault="00E55613" w:rsidP="00E55613">
      <w:pPr>
        <w:pStyle w:val="TextoNormalSangraFrancesa"/>
        <w:rPr>
          <w:rStyle w:val="TextoNormalCaracter"/>
        </w:rPr>
      </w:pPr>
      <w:bookmarkStart w:id="779" w:name="DESCRIPTORALFABETICO21"/>
      <w:r w:rsidRPr="00E55613">
        <w:rPr>
          <w:rStyle w:val="TextoNormalNegritaCaracter"/>
        </w:rPr>
        <w:t>Competencias en materia de sanidad</w:t>
      </w:r>
      <w:bookmarkEnd w:id="779"/>
      <w:r w:rsidRPr="00E55613">
        <w:rPr>
          <w:rStyle w:val="TextoNormalCaracter"/>
        </w:rPr>
        <w:t xml:space="preserve">, Sentencia </w:t>
      </w:r>
      <w:hyperlink w:anchor="SENTENCIA_2024_20" w:history="1">
        <w:r w:rsidRPr="00E55613">
          <w:rPr>
            <w:rStyle w:val="TextoNormalCaracter"/>
          </w:rPr>
          <w:t>20/2024</w:t>
        </w:r>
      </w:hyperlink>
      <w:r w:rsidRPr="00E55613">
        <w:rPr>
          <w:rStyle w:val="TextoNormalCaracter"/>
        </w:rPr>
        <w:t>, f. 4.</w:t>
      </w:r>
    </w:p>
    <w:p w14:paraId="0488DB3C" w14:textId="32DF9984" w:rsidR="00E55613" w:rsidRPr="00E55613" w:rsidRDefault="00E55613" w:rsidP="00E55613">
      <w:pPr>
        <w:pStyle w:val="TextoNormalSangraFrancesa"/>
        <w:rPr>
          <w:rStyle w:val="TextoNormalCaracter"/>
        </w:rPr>
      </w:pPr>
      <w:bookmarkStart w:id="780" w:name="DESCRIPTORALFABETICO22"/>
      <w:r w:rsidRPr="00E55613">
        <w:rPr>
          <w:rStyle w:val="TextoNormalNegritaCaracter"/>
        </w:rPr>
        <w:t>Competencias en materia de transporte por carretera</w:t>
      </w:r>
      <w:bookmarkEnd w:id="780"/>
      <w:r w:rsidRPr="00E55613">
        <w:rPr>
          <w:rStyle w:val="TextoNormalCaracter"/>
        </w:rPr>
        <w:t xml:space="preserve">, Sentencia </w:t>
      </w:r>
      <w:hyperlink w:anchor="SENTENCIA_2024_88" w:history="1">
        <w:r w:rsidRPr="00E55613">
          <w:rPr>
            <w:rStyle w:val="TextoNormalCaracter"/>
          </w:rPr>
          <w:t>88/2024</w:t>
        </w:r>
      </w:hyperlink>
      <w:r w:rsidRPr="00E55613">
        <w:rPr>
          <w:rStyle w:val="TextoNormalCaracter"/>
        </w:rPr>
        <w:t>, ff. 4 y 5.</w:t>
      </w:r>
    </w:p>
    <w:p w14:paraId="74136EF4" w14:textId="581FC547" w:rsidR="00E55613" w:rsidRPr="00E55613" w:rsidRDefault="00E55613" w:rsidP="00E55613">
      <w:pPr>
        <w:pStyle w:val="TextoNormalSangraFrancesa"/>
        <w:rPr>
          <w:rStyle w:val="TextoNormalCaracter"/>
        </w:rPr>
      </w:pPr>
      <w:bookmarkStart w:id="781" w:name="DESCRIPTORALFABETICO23"/>
      <w:r w:rsidRPr="00E55613">
        <w:rPr>
          <w:rStyle w:val="TextoNormalNegritaCaracter"/>
        </w:rPr>
        <w:t>Competencias en materia de vivienda</w:t>
      </w:r>
      <w:bookmarkEnd w:id="781"/>
      <w:r w:rsidRPr="00E55613">
        <w:rPr>
          <w:rStyle w:val="TextoNormalCaracter"/>
        </w:rPr>
        <w:t xml:space="preserve">, Sentencia </w:t>
      </w:r>
      <w:hyperlink w:anchor="SENTENCIA_2024_79" w:history="1">
        <w:r w:rsidRPr="00E55613">
          <w:rPr>
            <w:rStyle w:val="TextoNormalCaracter"/>
          </w:rPr>
          <w:t>79/2024</w:t>
        </w:r>
      </w:hyperlink>
      <w:r w:rsidRPr="00E55613">
        <w:rPr>
          <w:rStyle w:val="TextoNormalCaracter"/>
        </w:rPr>
        <w:t>, ff. 3 y 6.</w:t>
      </w:r>
    </w:p>
    <w:p w14:paraId="46C2E8AA" w14:textId="27260058" w:rsidR="00E55613" w:rsidRPr="00E55613" w:rsidRDefault="00E55613" w:rsidP="00E55613">
      <w:pPr>
        <w:pStyle w:val="TextoNormalSangraFrancesa"/>
        <w:rPr>
          <w:rStyle w:val="TextoNormalCaracter"/>
        </w:rPr>
      </w:pPr>
      <w:bookmarkStart w:id="782" w:name="DESCRIPTORALFABETICO520"/>
      <w:r w:rsidRPr="00E55613">
        <w:rPr>
          <w:rStyle w:val="TextoNormalNegritaCaracter"/>
        </w:rPr>
        <w:t>Comunidad de Madrid</w:t>
      </w:r>
      <w:bookmarkEnd w:id="782"/>
      <w:r w:rsidRPr="00E55613">
        <w:rPr>
          <w:rStyle w:val="TextoNormalCaracter"/>
        </w:rPr>
        <w:t xml:space="preserve">, Sentencias </w:t>
      </w:r>
      <w:hyperlink w:anchor="SENTENCIA_2024_29" w:history="1">
        <w:r w:rsidRPr="00E55613">
          <w:rPr>
            <w:rStyle w:val="TextoNormalCaracter"/>
          </w:rPr>
          <w:t>29/2024</w:t>
        </w:r>
      </w:hyperlink>
      <w:r w:rsidRPr="00E55613">
        <w:rPr>
          <w:rStyle w:val="TextoNormalCaracter"/>
        </w:rPr>
        <w:t xml:space="preserve">, f. 1; </w:t>
      </w:r>
      <w:hyperlink w:anchor="SENTENCIA_2024_88" w:history="1">
        <w:r w:rsidRPr="00E55613">
          <w:rPr>
            <w:rStyle w:val="TextoNormalCaracter"/>
          </w:rPr>
          <w:t>88/2024</w:t>
        </w:r>
      </w:hyperlink>
      <w:r w:rsidRPr="00E55613">
        <w:rPr>
          <w:rStyle w:val="TextoNormalCaracter"/>
        </w:rPr>
        <w:t>, f. 1.</w:t>
      </w:r>
    </w:p>
    <w:p w14:paraId="431D240A" w14:textId="7D0CB89C" w:rsidR="00E55613" w:rsidRPr="00E55613" w:rsidRDefault="00E55613" w:rsidP="00E55613">
      <w:pPr>
        <w:pStyle w:val="TextoNormalSangraFrancesa"/>
        <w:rPr>
          <w:rStyle w:val="TextoNormalCaracter"/>
        </w:rPr>
      </w:pPr>
      <w:bookmarkStart w:id="783" w:name="DESCRIPTORALFABETICO521"/>
      <w:r w:rsidRPr="00E55613">
        <w:rPr>
          <w:rStyle w:val="TextoNormalNegritaCaracter"/>
        </w:rPr>
        <w:t>Comunidad Foral de Navarra</w:t>
      </w:r>
      <w:bookmarkEnd w:id="783"/>
      <w:r w:rsidRPr="00E55613">
        <w:rPr>
          <w:rStyle w:val="TextoNormalCaracter"/>
        </w:rPr>
        <w:t xml:space="preserve">, Sentencia </w:t>
      </w:r>
      <w:hyperlink w:anchor="SENTENCIA_2024_65" w:history="1">
        <w:r w:rsidRPr="00E55613">
          <w:rPr>
            <w:rStyle w:val="TextoNormalCaracter"/>
          </w:rPr>
          <w:t>65/2024</w:t>
        </w:r>
      </w:hyperlink>
      <w:r w:rsidRPr="00E55613">
        <w:rPr>
          <w:rStyle w:val="TextoNormalCaracter"/>
        </w:rPr>
        <w:t>, f. 1.</w:t>
      </w:r>
    </w:p>
    <w:p w14:paraId="5D29BEA1" w14:textId="593CF3FD" w:rsidR="00E55613" w:rsidRPr="00E55613" w:rsidRDefault="00E55613" w:rsidP="00E55613">
      <w:pPr>
        <w:pStyle w:val="TextoNormalSangraFrancesa"/>
        <w:rPr>
          <w:rStyle w:val="TextoNormalCaracter"/>
        </w:rPr>
      </w:pPr>
      <w:bookmarkStart w:id="784" w:name="DESCRIPTORALFABETICO7"/>
      <w:r w:rsidRPr="00E55613">
        <w:rPr>
          <w:rStyle w:val="TextoNormalNegritaCaracter"/>
        </w:rPr>
        <w:t>Concurrencia de títulos competenciales</w:t>
      </w:r>
      <w:bookmarkEnd w:id="784"/>
      <w:r w:rsidRPr="00E55613">
        <w:rPr>
          <w:rStyle w:val="TextoNormalCaracter"/>
        </w:rPr>
        <w:t xml:space="preserve">, Sentencia </w:t>
      </w:r>
      <w:hyperlink w:anchor="SENTENCIA_2024_20" w:history="1">
        <w:r w:rsidRPr="00E55613">
          <w:rPr>
            <w:rStyle w:val="TextoNormalCaracter"/>
          </w:rPr>
          <w:t>20/2024</w:t>
        </w:r>
      </w:hyperlink>
      <w:r w:rsidRPr="00E55613">
        <w:rPr>
          <w:rStyle w:val="TextoNormalCaracter"/>
        </w:rPr>
        <w:t>, f. 4.</w:t>
      </w:r>
    </w:p>
    <w:p w14:paraId="5FD78B6F" w14:textId="0F34172A" w:rsidR="00E55613" w:rsidRPr="00E55613" w:rsidRDefault="00E55613" w:rsidP="00E55613">
      <w:pPr>
        <w:pStyle w:val="TextoNormalSangraFrancesa"/>
        <w:rPr>
          <w:rStyle w:val="TextoNormalCaracter"/>
        </w:rPr>
      </w:pPr>
      <w:bookmarkStart w:id="785" w:name="DESCRIPTORALFABETICO512"/>
      <w:r w:rsidRPr="00E55613">
        <w:rPr>
          <w:rStyle w:val="TextoNormalNegritaCaracter"/>
        </w:rPr>
        <w:t>Condena penal en apelación</w:t>
      </w:r>
      <w:bookmarkEnd w:id="785"/>
      <w:r w:rsidRPr="00E55613">
        <w:rPr>
          <w:rStyle w:val="TextoNormalCaracter"/>
        </w:rPr>
        <w:t xml:space="preserve">, Sentencias </w:t>
      </w:r>
      <w:hyperlink w:anchor="SENTENCIA_2024_72" w:history="1">
        <w:r w:rsidRPr="00E55613">
          <w:rPr>
            <w:rStyle w:val="TextoNormalCaracter"/>
          </w:rPr>
          <w:t>72/2024</w:t>
        </w:r>
      </w:hyperlink>
      <w:r w:rsidRPr="00E55613">
        <w:rPr>
          <w:rStyle w:val="TextoNormalCaracter"/>
        </w:rPr>
        <w:t xml:space="preserve">, ff. 1, 4 y 6, VP; </w:t>
      </w:r>
      <w:hyperlink w:anchor="SENTENCIA_2024_77" w:history="1">
        <w:r w:rsidRPr="00E55613">
          <w:rPr>
            <w:rStyle w:val="TextoNormalCaracter"/>
          </w:rPr>
          <w:t>77/2024</w:t>
        </w:r>
      </w:hyperlink>
      <w:r w:rsidRPr="00E55613">
        <w:rPr>
          <w:rStyle w:val="TextoNormalCaracter"/>
        </w:rPr>
        <w:t>, ff. 1, 4.</w:t>
      </w:r>
    </w:p>
    <w:p w14:paraId="39E62129" w14:textId="2DCBE1FA" w:rsidR="00E55613" w:rsidRPr="00E55613" w:rsidRDefault="00E55613" w:rsidP="00E55613">
      <w:pPr>
        <w:pStyle w:val="TextoNormalSangraFrancesa"/>
        <w:rPr>
          <w:rStyle w:val="TextoNormalCaracter"/>
        </w:rPr>
      </w:pPr>
      <w:bookmarkStart w:id="786" w:name="DESCRIPTORALFABETICO513"/>
      <w:r w:rsidRPr="00E55613">
        <w:rPr>
          <w:rStyle w:val="TextoNormalNegritaCaracter"/>
        </w:rPr>
        <w:t>Condena penal en casación</w:t>
      </w:r>
      <w:bookmarkEnd w:id="786"/>
      <w:r w:rsidRPr="00E55613">
        <w:rPr>
          <w:rStyle w:val="TextoNormalCaracter"/>
        </w:rPr>
        <w:t xml:space="preserve">, Sentencia </w:t>
      </w:r>
      <w:hyperlink w:anchor="SENTENCIA_2024_80" w:history="1">
        <w:r w:rsidRPr="00E55613">
          <w:rPr>
            <w:rStyle w:val="TextoNormalCaracter"/>
          </w:rPr>
          <w:t>80/2024</w:t>
        </w:r>
      </w:hyperlink>
      <w:r w:rsidRPr="00E55613">
        <w:rPr>
          <w:rStyle w:val="TextoNormalCaracter"/>
        </w:rPr>
        <w:t>, ff. 1, 5, 6.</w:t>
      </w:r>
    </w:p>
    <w:p w14:paraId="2A70D0E5" w14:textId="0C105279" w:rsidR="00E55613" w:rsidRPr="00E55613" w:rsidRDefault="00E55613" w:rsidP="00E55613">
      <w:pPr>
        <w:pStyle w:val="TextoNormalSangraFrancesa"/>
        <w:rPr>
          <w:rStyle w:val="TextoNormalCaracter"/>
        </w:rPr>
      </w:pPr>
      <w:bookmarkStart w:id="787" w:name="DESCRIPTORALFABETICO370"/>
      <w:r w:rsidRPr="00E55613">
        <w:rPr>
          <w:rStyle w:val="TextoNormalNegritaCaracter"/>
        </w:rPr>
        <w:t>Conexión de sentido entre la situación de urgencia y las medidas adoptadas</w:t>
      </w:r>
      <w:bookmarkEnd w:id="787"/>
      <w:r w:rsidRPr="00E55613">
        <w:rPr>
          <w:rStyle w:val="TextoNormalCaracter"/>
        </w:rPr>
        <w:t xml:space="preserve">, Sentencias </w:t>
      </w:r>
      <w:hyperlink w:anchor="SENTENCIA_2024_7" w:history="1">
        <w:r w:rsidRPr="00E55613">
          <w:rPr>
            <w:rStyle w:val="TextoNormalCaracter"/>
          </w:rPr>
          <w:t>7/2024</w:t>
        </w:r>
      </w:hyperlink>
      <w:r w:rsidRPr="00E55613">
        <w:rPr>
          <w:rStyle w:val="TextoNormalCaracter"/>
        </w:rPr>
        <w:t xml:space="preserve">, f. 3; </w:t>
      </w:r>
      <w:hyperlink w:anchor="SENTENCIA_2024_20" w:history="1">
        <w:r w:rsidRPr="00E55613">
          <w:rPr>
            <w:rStyle w:val="TextoNormalCaracter"/>
          </w:rPr>
          <w:t>20/2024</w:t>
        </w:r>
      </w:hyperlink>
      <w:r w:rsidRPr="00E55613">
        <w:rPr>
          <w:rStyle w:val="TextoNormalCaracter"/>
        </w:rPr>
        <w:t>, f. 3.</w:t>
      </w:r>
    </w:p>
    <w:p w14:paraId="5CC1E4E9" w14:textId="23E69B4C" w:rsidR="00E55613" w:rsidRPr="00E55613" w:rsidRDefault="00E55613" w:rsidP="00E55613">
      <w:pPr>
        <w:pStyle w:val="TextoNormalSangraFrancesa"/>
        <w:rPr>
          <w:rStyle w:val="TextoNormalCaracter"/>
        </w:rPr>
      </w:pPr>
      <w:bookmarkStart w:id="788" w:name="DESCRIPTORALFABETICO211"/>
      <w:r w:rsidRPr="00E55613">
        <w:rPr>
          <w:rStyle w:val="TextoNormalNegritaCaracter"/>
        </w:rPr>
        <w:t>Conflictos de atribuciones</w:t>
      </w:r>
      <w:bookmarkEnd w:id="788"/>
      <w:r w:rsidRPr="00E55613">
        <w:rPr>
          <w:rStyle w:val="TextoNormalCaracter"/>
        </w:rPr>
        <w:t xml:space="preserve">, Sentencia </w:t>
      </w:r>
      <w:hyperlink w:anchor="SENTENCIA_2024_15" w:history="1">
        <w:r w:rsidRPr="00E55613">
          <w:rPr>
            <w:rStyle w:val="TextoNormalCaracter"/>
          </w:rPr>
          <w:t>15/2024</w:t>
        </w:r>
      </w:hyperlink>
      <w:r w:rsidRPr="00E55613">
        <w:rPr>
          <w:rStyle w:val="TextoNormalCaracter"/>
        </w:rPr>
        <w:t>, ff. 4 a 6.</w:t>
      </w:r>
    </w:p>
    <w:p w14:paraId="302F1C8E" w14:textId="510C635A" w:rsidR="00E55613" w:rsidRPr="00E55613" w:rsidRDefault="00E55613" w:rsidP="00E55613">
      <w:pPr>
        <w:pStyle w:val="TextoNormalSangraFrancesa"/>
        <w:rPr>
          <w:rStyle w:val="TextoNormalCaracter"/>
        </w:rPr>
      </w:pPr>
      <w:bookmarkStart w:id="789" w:name="DESCRIPTORALFABETICO246"/>
      <w:r w:rsidRPr="00E55613">
        <w:rPr>
          <w:rStyle w:val="TextoNormalNegritaCaracter"/>
        </w:rPr>
        <w:t>Congreso</w:t>
      </w:r>
      <w:bookmarkEnd w:id="789"/>
      <w:r w:rsidRPr="00E55613">
        <w:rPr>
          <w:rStyle w:val="TextoNormalCaracter"/>
        </w:rPr>
        <w:t xml:space="preserve">, Sentencia </w:t>
      </w:r>
      <w:hyperlink w:anchor="SENTENCIA_2024_10" w:history="1">
        <w:r w:rsidRPr="00E55613">
          <w:rPr>
            <w:rStyle w:val="TextoNormalCaracter"/>
          </w:rPr>
          <w:t>10/2024</w:t>
        </w:r>
      </w:hyperlink>
      <w:r w:rsidRPr="00E55613">
        <w:rPr>
          <w:rStyle w:val="TextoNormalCaracter"/>
        </w:rPr>
        <w:t>, ff. 2 a 4, VP.</w:t>
      </w:r>
    </w:p>
    <w:p w14:paraId="629377EF" w14:textId="79C1E3EA" w:rsidR="00E55613" w:rsidRPr="00E55613" w:rsidRDefault="00E55613" w:rsidP="00E55613">
      <w:pPr>
        <w:pStyle w:val="TextoNormalSangraFrancesa"/>
        <w:rPr>
          <w:rStyle w:val="TextoNormalCaracter"/>
        </w:rPr>
      </w:pPr>
      <w:bookmarkStart w:id="790" w:name="DESCRIPTORALFABETICO212"/>
      <w:r w:rsidRPr="00E55613">
        <w:rPr>
          <w:rStyle w:val="TextoNormalNegritaCaracter"/>
        </w:rPr>
        <w:lastRenderedPageBreak/>
        <w:t>Consejo General del Poder Judicial</w:t>
      </w:r>
      <w:bookmarkEnd w:id="790"/>
      <w:r w:rsidRPr="00E55613">
        <w:rPr>
          <w:rStyle w:val="TextoNormalCaracter"/>
        </w:rPr>
        <w:t xml:space="preserve">, Sentencias </w:t>
      </w:r>
      <w:hyperlink w:anchor="SENTENCIA_2024_15" w:history="1">
        <w:r w:rsidRPr="00E55613">
          <w:rPr>
            <w:rStyle w:val="TextoNormalCaracter"/>
          </w:rPr>
          <w:t>15/2024</w:t>
        </w:r>
      </w:hyperlink>
      <w:r w:rsidRPr="00E55613">
        <w:rPr>
          <w:rStyle w:val="TextoNormalCaracter"/>
        </w:rPr>
        <w:t xml:space="preserve">, ff. 1 a 7, VP II; </w:t>
      </w:r>
      <w:hyperlink w:anchor="SENTENCIA_2024_30" w:history="1">
        <w:r w:rsidRPr="00E55613">
          <w:rPr>
            <w:rStyle w:val="TextoNormalCaracter"/>
          </w:rPr>
          <w:t>30/2024</w:t>
        </w:r>
      </w:hyperlink>
      <w:r w:rsidRPr="00E55613">
        <w:rPr>
          <w:rStyle w:val="TextoNormalCaracter"/>
        </w:rPr>
        <w:t>, f.1, VP I, VP II.</w:t>
      </w:r>
    </w:p>
    <w:p w14:paraId="16A3E344" w14:textId="302D4819" w:rsidR="00E55613" w:rsidRPr="00E55613" w:rsidRDefault="00E55613" w:rsidP="00E55613">
      <w:pPr>
        <w:pStyle w:val="TextoNormalSangraFrancesa"/>
        <w:rPr>
          <w:rStyle w:val="TextoNormalCaracter"/>
        </w:rPr>
      </w:pPr>
      <w:r w:rsidRPr="00E55613">
        <w:rPr>
          <w:rStyle w:val="TextoNormalCursivaCaracter"/>
        </w:rPr>
        <w:t xml:space="preserve">    Función, </w:t>
      </w:r>
      <w:r w:rsidRPr="00E55613">
        <w:rPr>
          <w:rStyle w:val="TextoNormalCaracter"/>
        </w:rPr>
        <w:t xml:space="preserve">Sentencia </w:t>
      </w:r>
      <w:hyperlink w:anchor="SENTENCIA_2024_15" w:history="1">
        <w:r w:rsidRPr="00E55613">
          <w:rPr>
            <w:rStyle w:val="TextoNormalCaracter"/>
          </w:rPr>
          <w:t>15/2024</w:t>
        </w:r>
      </w:hyperlink>
      <w:r w:rsidRPr="00E55613">
        <w:rPr>
          <w:rStyle w:val="TextoNormalCaracter"/>
        </w:rPr>
        <w:t>, ff. 1 a 7, VP II.</w:t>
      </w:r>
    </w:p>
    <w:p w14:paraId="2E3B8494" w14:textId="445E0503" w:rsidR="00E55613" w:rsidRPr="00E55613" w:rsidRDefault="00E55613" w:rsidP="00E55613">
      <w:pPr>
        <w:pStyle w:val="TextoNormalSangraFrancesa"/>
        <w:rPr>
          <w:rStyle w:val="TextoNormalCaracter"/>
        </w:rPr>
      </w:pPr>
      <w:r w:rsidRPr="00E55613">
        <w:rPr>
          <w:rStyle w:val="TextoNormalCursivaCaracter"/>
        </w:rPr>
        <w:t xml:space="preserve">    Régimen jurídico, </w:t>
      </w:r>
      <w:r w:rsidRPr="00E55613">
        <w:rPr>
          <w:rStyle w:val="TextoNormalCaracter"/>
        </w:rPr>
        <w:t xml:space="preserve">Sentencia </w:t>
      </w:r>
      <w:hyperlink w:anchor="SENTENCIA_2024_15" w:history="1">
        <w:r w:rsidRPr="00E55613">
          <w:rPr>
            <w:rStyle w:val="TextoNormalCaracter"/>
          </w:rPr>
          <w:t>15/2024</w:t>
        </w:r>
      </w:hyperlink>
      <w:r w:rsidRPr="00E55613">
        <w:rPr>
          <w:rStyle w:val="TextoNormalCaracter"/>
        </w:rPr>
        <w:t>, ff. 1 a 7, VP II.</w:t>
      </w:r>
    </w:p>
    <w:p w14:paraId="47513C62" w14:textId="0CF20483" w:rsidR="00E55613" w:rsidRPr="00E55613" w:rsidRDefault="00E55613" w:rsidP="00E55613">
      <w:pPr>
        <w:pStyle w:val="TextoNormalSangraFrancesa"/>
        <w:rPr>
          <w:rStyle w:val="TextoNormalCaracter"/>
        </w:rPr>
      </w:pPr>
      <w:bookmarkStart w:id="791" w:name="DESCRIPTORALFABETICO398"/>
      <w:r w:rsidRPr="00E55613">
        <w:rPr>
          <w:rStyle w:val="TextoNormalNegritaCaracter"/>
        </w:rPr>
        <w:t>Consentimiento de personas con discapacidad</w:t>
      </w:r>
      <w:bookmarkEnd w:id="791"/>
      <w:r w:rsidRPr="00E55613">
        <w:rPr>
          <w:rStyle w:val="TextoNormalCaracter"/>
        </w:rPr>
        <w:t xml:space="preserve">, Sentencia </w:t>
      </w:r>
      <w:hyperlink w:anchor="SENTENCIA_2024_71" w:history="1">
        <w:r w:rsidRPr="00E55613">
          <w:rPr>
            <w:rStyle w:val="TextoNormalCaracter"/>
          </w:rPr>
          <w:t>71/2024</w:t>
        </w:r>
      </w:hyperlink>
      <w:r w:rsidRPr="00E55613">
        <w:rPr>
          <w:rStyle w:val="TextoNormalCaracter"/>
        </w:rPr>
        <w:t>, f. único.</w:t>
      </w:r>
    </w:p>
    <w:p w14:paraId="5638388F" w14:textId="4AA6C08D" w:rsidR="00E55613" w:rsidRPr="00E55613" w:rsidRDefault="00E55613" w:rsidP="00E55613">
      <w:pPr>
        <w:pStyle w:val="TextoNormalSangraFrancesa"/>
        <w:rPr>
          <w:rStyle w:val="TextoNormalCaracter"/>
        </w:rPr>
      </w:pPr>
      <w:bookmarkStart w:id="792" w:name="DESCRIPTORALFABETICO399"/>
      <w:r w:rsidRPr="00E55613">
        <w:rPr>
          <w:rStyle w:val="TextoNormalNegritaCaracter"/>
        </w:rPr>
        <w:t>Consentimiento informado</w:t>
      </w:r>
      <w:bookmarkEnd w:id="792"/>
      <w:r w:rsidRPr="00E55613">
        <w:rPr>
          <w:rStyle w:val="TextoNormalCaracter"/>
        </w:rPr>
        <w:t xml:space="preserve">, Sentencias </w:t>
      </w:r>
      <w:hyperlink w:anchor="SENTENCIA_2024_4" w:history="1">
        <w:r w:rsidRPr="00E55613">
          <w:rPr>
            <w:rStyle w:val="TextoNormalCaracter"/>
          </w:rPr>
          <w:t>4/2024</w:t>
        </w:r>
      </w:hyperlink>
      <w:r w:rsidRPr="00E55613">
        <w:rPr>
          <w:rStyle w:val="TextoNormalCaracter"/>
        </w:rPr>
        <w:t xml:space="preserve">, f. 1; </w:t>
      </w:r>
      <w:hyperlink w:anchor="SENTENCIA_2024_5" w:history="1">
        <w:r w:rsidRPr="00E55613">
          <w:rPr>
            <w:rStyle w:val="TextoNormalCaracter"/>
          </w:rPr>
          <w:t>5/2024</w:t>
        </w:r>
      </w:hyperlink>
      <w:r w:rsidRPr="00E55613">
        <w:rPr>
          <w:rStyle w:val="TextoNormalCaracter"/>
        </w:rPr>
        <w:t xml:space="preserve">, f. 3; </w:t>
      </w:r>
      <w:hyperlink w:anchor="SENTENCIA_2024_6" w:history="1">
        <w:r w:rsidRPr="00E55613">
          <w:rPr>
            <w:rStyle w:val="TextoNormalCaracter"/>
          </w:rPr>
          <w:t>6/2024</w:t>
        </w:r>
      </w:hyperlink>
      <w:r w:rsidRPr="00E55613">
        <w:rPr>
          <w:rStyle w:val="TextoNormalCaracter"/>
        </w:rPr>
        <w:t xml:space="preserve">, f. 3; </w:t>
      </w:r>
      <w:hyperlink w:anchor="SENTENCIA_2024_13" w:history="1">
        <w:r w:rsidRPr="00E55613">
          <w:rPr>
            <w:rStyle w:val="TextoNormalCaracter"/>
          </w:rPr>
          <w:t>13/2024</w:t>
        </w:r>
      </w:hyperlink>
      <w:r w:rsidRPr="00E55613">
        <w:rPr>
          <w:rStyle w:val="TextoNormalCaracter"/>
        </w:rPr>
        <w:t xml:space="preserve">, f. 3; </w:t>
      </w:r>
      <w:hyperlink w:anchor="SENTENCIA_2024_14" w:history="1">
        <w:r w:rsidRPr="00E55613">
          <w:rPr>
            <w:rStyle w:val="TextoNormalCaracter"/>
          </w:rPr>
          <w:t>14/2024</w:t>
        </w:r>
      </w:hyperlink>
      <w:r w:rsidRPr="00E55613">
        <w:rPr>
          <w:rStyle w:val="TextoNormalCaracter"/>
        </w:rPr>
        <w:t xml:space="preserve">, f. 4; </w:t>
      </w:r>
      <w:hyperlink w:anchor="SENTENCIA_2024_24" w:history="1">
        <w:r w:rsidRPr="00E55613">
          <w:rPr>
            <w:rStyle w:val="TextoNormalCaracter"/>
          </w:rPr>
          <w:t>24/2024</w:t>
        </w:r>
      </w:hyperlink>
      <w:r w:rsidRPr="00E55613">
        <w:rPr>
          <w:rStyle w:val="TextoNormalCaracter"/>
        </w:rPr>
        <w:t xml:space="preserve">, f. 3; </w:t>
      </w:r>
      <w:hyperlink w:anchor="SENTENCIA_2024_41" w:history="1">
        <w:r w:rsidRPr="00E55613">
          <w:rPr>
            <w:rStyle w:val="TextoNormalCaracter"/>
          </w:rPr>
          <w:t>41/2024</w:t>
        </w:r>
      </w:hyperlink>
      <w:r w:rsidRPr="00E55613">
        <w:rPr>
          <w:rStyle w:val="TextoNormalCaracter"/>
        </w:rPr>
        <w:t xml:space="preserve">, f. 3; </w:t>
      </w:r>
      <w:hyperlink w:anchor="SENTENCIA_2024_56" w:history="1">
        <w:r w:rsidRPr="00E55613">
          <w:rPr>
            <w:rStyle w:val="TextoNormalCaracter"/>
          </w:rPr>
          <w:t>56/2024</w:t>
        </w:r>
      </w:hyperlink>
      <w:r w:rsidRPr="00E55613">
        <w:rPr>
          <w:rStyle w:val="TextoNormalCaracter"/>
        </w:rPr>
        <w:t xml:space="preserve">, f. 3; </w:t>
      </w:r>
      <w:hyperlink w:anchor="SENTENCIA_2024_58" w:history="1">
        <w:r w:rsidRPr="00E55613">
          <w:rPr>
            <w:rStyle w:val="TextoNormalCaracter"/>
          </w:rPr>
          <w:t>58/2024</w:t>
        </w:r>
      </w:hyperlink>
      <w:r w:rsidRPr="00E55613">
        <w:rPr>
          <w:rStyle w:val="TextoNormalCaracter"/>
        </w:rPr>
        <w:t xml:space="preserve">, f. 3; </w:t>
      </w:r>
      <w:hyperlink w:anchor="SENTENCIA_2024_59" w:history="1">
        <w:r w:rsidRPr="00E55613">
          <w:rPr>
            <w:rStyle w:val="TextoNormalCaracter"/>
          </w:rPr>
          <w:t>59/2024</w:t>
        </w:r>
      </w:hyperlink>
      <w:r w:rsidRPr="00E55613">
        <w:rPr>
          <w:rStyle w:val="TextoNormalCaracter"/>
        </w:rPr>
        <w:t xml:space="preserve">, f. 3; </w:t>
      </w:r>
      <w:hyperlink w:anchor="SENTENCIA_2024_60" w:history="1">
        <w:r w:rsidRPr="00E55613">
          <w:rPr>
            <w:rStyle w:val="TextoNormalCaracter"/>
          </w:rPr>
          <w:t>60/2024</w:t>
        </w:r>
      </w:hyperlink>
      <w:r w:rsidRPr="00E55613">
        <w:rPr>
          <w:rStyle w:val="TextoNormalCaracter"/>
        </w:rPr>
        <w:t xml:space="preserve">, f. 3; </w:t>
      </w:r>
      <w:hyperlink w:anchor="SENTENCIA_2024_71" w:history="1">
        <w:r w:rsidRPr="00E55613">
          <w:rPr>
            <w:rStyle w:val="TextoNormalCaracter"/>
          </w:rPr>
          <w:t>71/2024</w:t>
        </w:r>
      </w:hyperlink>
      <w:r w:rsidRPr="00E55613">
        <w:rPr>
          <w:rStyle w:val="TextoNormalCaracter"/>
        </w:rPr>
        <w:t xml:space="preserve">, f. único; </w:t>
      </w:r>
      <w:hyperlink w:anchor="SENTENCIA_2024_83" w:history="1">
        <w:r w:rsidRPr="00E55613">
          <w:rPr>
            <w:rStyle w:val="TextoNormalCaracter"/>
          </w:rPr>
          <w:t>83/2024</w:t>
        </w:r>
      </w:hyperlink>
      <w:r w:rsidRPr="00E55613">
        <w:rPr>
          <w:rStyle w:val="TextoNormalCaracter"/>
        </w:rPr>
        <w:t xml:space="preserve">, f. 3; </w:t>
      </w:r>
      <w:hyperlink w:anchor="SENTENCIA_2024_92" w:history="1">
        <w:r w:rsidRPr="00E55613">
          <w:rPr>
            <w:rStyle w:val="TextoNormalCaracter"/>
          </w:rPr>
          <w:t>92/2024</w:t>
        </w:r>
      </w:hyperlink>
      <w:r w:rsidRPr="00E55613">
        <w:rPr>
          <w:rStyle w:val="TextoNormalCaracter"/>
        </w:rPr>
        <w:t>, ff. 6 y 7, VP I, VP II, VP III, VP IV.</w:t>
      </w:r>
    </w:p>
    <w:p w14:paraId="2083E70D" w14:textId="31E90B81" w:rsidR="00E55613" w:rsidRPr="00E55613" w:rsidRDefault="00E55613" w:rsidP="00E55613">
      <w:pPr>
        <w:pStyle w:val="TextoNormalSangraFrancesa"/>
        <w:rPr>
          <w:rStyle w:val="TextoNormalCaracter"/>
        </w:rPr>
      </w:pPr>
      <w:bookmarkStart w:id="793" w:name="DESCRIPTORALFABETICO400"/>
      <w:r w:rsidRPr="00E55613">
        <w:rPr>
          <w:rStyle w:val="TextoNormalNegritaCaracter"/>
        </w:rPr>
        <w:t>Consentimiento sexual</w:t>
      </w:r>
      <w:bookmarkEnd w:id="793"/>
      <w:r w:rsidRPr="00E55613">
        <w:rPr>
          <w:rStyle w:val="TextoNormalCaracter"/>
        </w:rPr>
        <w:t xml:space="preserve">, Sentencia </w:t>
      </w:r>
      <w:hyperlink w:anchor="SENTENCIA_2024_44" w:history="1">
        <w:r w:rsidRPr="00E55613">
          <w:rPr>
            <w:rStyle w:val="TextoNormalCaracter"/>
          </w:rPr>
          <w:t>44/2024</w:t>
        </w:r>
      </w:hyperlink>
      <w:r w:rsidRPr="00E55613">
        <w:rPr>
          <w:rStyle w:val="TextoNormalCaracter"/>
        </w:rPr>
        <w:t>, ff. 2 y 3.</w:t>
      </w:r>
    </w:p>
    <w:p w14:paraId="62E14CB4" w14:textId="09CA6A5B" w:rsidR="00E55613" w:rsidRPr="00E55613" w:rsidRDefault="00E55613" w:rsidP="00E55613">
      <w:pPr>
        <w:pStyle w:val="TextoNormalSangraFrancesa"/>
        <w:rPr>
          <w:rStyle w:val="TextoNormalCaracter"/>
        </w:rPr>
      </w:pPr>
      <w:bookmarkStart w:id="794" w:name="DESCRIPTORALFABETICO461"/>
      <w:r w:rsidRPr="00E55613">
        <w:rPr>
          <w:rStyle w:val="TextoNormalNegritaCaracter"/>
        </w:rPr>
        <w:t>Consignación de depósito para recurrir</w:t>
      </w:r>
      <w:bookmarkEnd w:id="794"/>
      <w:r w:rsidRPr="00E55613">
        <w:rPr>
          <w:rStyle w:val="TextoNormalCaracter"/>
        </w:rPr>
        <w:t xml:space="preserve">, Sentencia </w:t>
      </w:r>
      <w:hyperlink w:anchor="SENTENCIA_2024_55" w:history="1">
        <w:r w:rsidRPr="00E55613">
          <w:rPr>
            <w:rStyle w:val="TextoNormalCaracter"/>
          </w:rPr>
          <w:t>55/2024</w:t>
        </w:r>
      </w:hyperlink>
      <w:r w:rsidRPr="00E55613">
        <w:rPr>
          <w:rStyle w:val="TextoNormalCaracter"/>
        </w:rPr>
        <w:t>, ff. 1, 3 y 4.</w:t>
      </w:r>
    </w:p>
    <w:p w14:paraId="7640A379" w14:textId="08E03C66" w:rsidR="00E55613" w:rsidRPr="00E55613" w:rsidRDefault="00E55613" w:rsidP="00E55613">
      <w:pPr>
        <w:pStyle w:val="TextoNormalSangraFrancesa"/>
        <w:rPr>
          <w:rStyle w:val="TextoNormalCaracter"/>
        </w:rPr>
      </w:pPr>
      <w:bookmarkStart w:id="795" w:name="DESCRIPTORALFABETICO462"/>
      <w:r w:rsidRPr="00E55613">
        <w:rPr>
          <w:rStyle w:val="TextoNormalNegritaCaracter"/>
        </w:rPr>
        <w:t>Consignación en plazo de subsanación</w:t>
      </w:r>
      <w:bookmarkEnd w:id="795"/>
      <w:r w:rsidRPr="00E55613">
        <w:rPr>
          <w:rStyle w:val="TextoNormalCaracter"/>
        </w:rPr>
        <w:t xml:space="preserve">, Sentencia </w:t>
      </w:r>
      <w:hyperlink w:anchor="SENTENCIA_2024_55" w:history="1">
        <w:r w:rsidRPr="00E55613">
          <w:rPr>
            <w:rStyle w:val="TextoNormalCaracter"/>
          </w:rPr>
          <w:t>55/2024</w:t>
        </w:r>
      </w:hyperlink>
      <w:r w:rsidRPr="00E55613">
        <w:rPr>
          <w:rStyle w:val="TextoNormalCaracter"/>
        </w:rPr>
        <w:t>, ff. 1, 3 y 4.</w:t>
      </w:r>
    </w:p>
    <w:p w14:paraId="60FBD24F" w14:textId="3B01F80E" w:rsidR="00E55613" w:rsidRPr="00E55613" w:rsidRDefault="00E55613" w:rsidP="00E55613">
      <w:pPr>
        <w:pStyle w:val="TextoNormalSangraFrancesa"/>
        <w:rPr>
          <w:rStyle w:val="TextoNormalCaracter"/>
        </w:rPr>
      </w:pPr>
      <w:bookmarkStart w:id="796" w:name="DESCRIPTORALFABETICO457"/>
      <w:r w:rsidRPr="00E55613">
        <w:rPr>
          <w:rStyle w:val="TextoNormalNegritaCaracter"/>
        </w:rPr>
        <w:t>Constancia de la notificación</w:t>
      </w:r>
      <w:bookmarkEnd w:id="796"/>
      <w:r w:rsidRPr="00E55613">
        <w:rPr>
          <w:rStyle w:val="TextoNormalCaracter"/>
        </w:rPr>
        <w:t xml:space="preserve">, Sentencia </w:t>
      </w:r>
      <w:hyperlink w:anchor="SENTENCIA_2024_69" w:history="1">
        <w:r w:rsidRPr="00E55613">
          <w:rPr>
            <w:rStyle w:val="TextoNormalCaracter"/>
          </w:rPr>
          <w:t>69/2024</w:t>
        </w:r>
      </w:hyperlink>
      <w:r w:rsidRPr="00E55613">
        <w:rPr>
          <w:rStyle w:val="TextoNormalCaracter"/>
        </w:rPr>
        <w:t>, f. 2.</w:t>
      </w:r>
    </w:p>
    <w:p w14:paraId="4FDB57B6" w14:textId="1AF9EF1E" w:rsidR="00E55613" w:rsidRPr="00E55613" w:rsidRDefault="00E55613" w:rsidP="00E55613">
      <w:pPr>
        <w:pStyle w:val="TextoNormalSangraFrancesa"/>
        <w:rPr>
          <w:rStyle w:val="TextoNormalCaracter"/>
        </w:rPr>
      </w:pPr>
      <w:bookmarkStart w:id="797" w:name="DESCRIPTORALFABETICO200"/>
      <w:r w:rsidRPr="00E55613">
        <w:rPr>
          <w:rStyle w:val="TextoNormalNegritaCaracter"/>
        </w:rPr>
        <w:t>Consultas al Consejo de Estado</w:t>
      </w:r>
      <w:bookmarkEnd w:id="797"/>
      <w:r w:rsidRPr="00E55613">
        <w:rPr>
          <w:rStyle w:val="TextoNormalCaracter"/>
        </w:rPr>
        <w:t xml:space="preserve">, Sentencia </w:t>
      </w:r>
      <w:hyperlink w:anchor="SENTENCIA_2024_10" w:history="1">
        <w:r w:rsidRPr="00E55613">
          <w:rPr>
            <w:rStyle w:val="TextoNormalCaracter"/>
          </w:rPr>
          <w:t>10/2024</w:t>
        </w:r>
      </w:hyperlink>
      <w:r w:rsidRPr="00E55613">
        <w:rPr>
          <w:rStyle w:val="TextoNormalCaracter"/>
        </w:rPr>
        <w:t>, ff. 1 y 3, VP.</w:t>
      </w:r>
    </w:p>
    <w:p w14:paraId="222CDE82" w14:textId="47748FEA" w:rsidR="00E55613" w:rsidRPr="00E55613" w:rsidRDefault="00E55613" w:rsidP="00E55613">
      <w:pPr>
        <w:pStyle w:val="TextoNormalSangraFrancesa"/>
        <w:rPr>
          <w:rStyle w:val="TextoNormalCaracter"/>
        </w:rPr>
      </w:pPr>
      <w:bookmarkStart w:id="798" w:name="DESCRIPTORALFABETICO117"/>
      <w:r w:rsidRPr="00E55613">
        <w:rPr>
          <w:rStyle w:val="TextoNormalNegritaCaracter"/>
        </w:rPr>
        <w:t>Contenido de la libertad ideológica, religiosa y de culto</w:t>
      </w:r>
      <w:bookmarkEnd w:id="798"/>
      <w:r w:rsidRPr="00E55613">
        <w:rPr>
          <w:rStyle w:val="TextoNormalCaracter"/>
        </w:rPr>
        <w:t xml:space="preserve">, Sentencia </w:t>
      </w:r>
      <w:hyperlink w:anchor="SENTENCIA_2024_92" w:history="1">
        <w:r w:rsidRPr="00E55613">
          <w:rPr>
            <w:rStyle w:val="TextoNormalCaracter"/>
          </w:rPr>
          <w:t>92/2024</w:t>
        </w:r>
      </w:hyperlink>
      <w:r w:rsidRPr="00E55613">
        <w:rPr>
          <w:rStyle w:val="TextoNormalCaracter"/>
        </w:rPr>
        <w:t>, ff. 3, 4, 8 y 9, VP II, VP III, VP IV.</w:t>
      </w:r>
    </w:p>
    <w:p w14:paraId="574A6924" w14:textId="22852950" w:rsidR="00E55613" w:rsidRPr="00E55613" w:rsidRDefault="00E55613" w:rsidP="00E55613">
      <w:pPr>
        <w:pStyle w:val="TextoNormalSangraFrancesa"/>
        <w:rPr>
          <w:rStyle w:val="TextoNormalCaracter"/>
        </w:rPr>
      </w:pPr>
      <w:bookmarkStart w:id="799" w:name="DESCRIPTORALFABETICO122"/>
      <w:r w:rsidRPr="00E55613">
        <w:rPr>
          <w:rStyle w:val="TextoNormalNegritaCaracter"/>
        </w:rPr>
        <w:t>Contenido de la libertad sindical</w:t>
      </w:r>
      <w:bookmarkEnd w:id="799"/>
      <w:r w:rsidRPr="00E55613">
        <w:rPr>
          <w:rStyle w:val="TextoNormalCaracter"/>
        </w:rPr>
        <w:t xml:space="preserve">, Sentencia </w:t>
      </w:r>
      <w:hyperlink w:anchor="SENTENCIA_2024_63" w:history="1">
        <w:r w:rsidRPr="00E55613">
          <w:rPr>
            <w:rStyle w:val="TextoNormalCaracter"/>
          </w:rPr>
          <w:t>63/2024</w:t>
        </w:r>
      </w:hyperlink>
      <w:r w:rsidRPr="00E55613">
        <w:rPr>
          <w:rStyle w:val="TextoNormalCaracter"/>
        </w:rPr>
        <w:t>, f. 4.</w:t>
      </w:r>
    </w:p>
    <w:p w14:paraId="3580A667" w14:textId="61276387" w:rsidR="00E55613" w:rsidRPr="00E55613" w:rsidRDefault="00E55613" w:rsidP="00E55613">
      <w:pPr>
        <w:pStyle w:val="TextoNormalSangraFrancesa"/>
        <w:rPr>
          <w:rStyle w:val="TextoNormalCaracter"/>
        </w:rPr>
      </w:pPr>
      <w:bookmarkStart w:id="800" w:name="DESCRIPTORALFABETICO46"/>
      <w:r w:rsidRPr="00E55613">
        <w:rPr>
          <w:rStyle w:val="TextoNormalNegritaCaracter"/>
        </w:rPr>
        <w:t>Contenido del derecho a la integridad física y moral</w:t>
      </w:r>
      <w:bookmarkEnd w:id="800"/>
      <w:r w:rsidRPr="00E55613">
        <w:rPr>
          <w:rStyle w:val="TextoNormalCaracter"/>
        </w:rPr>
        <w:t xml:space="preserve">, Sentencia </w:t>
      </w:r>
      <w:hyperlink w:anchor="SENTENCIA_2024_92" w:history="1">
        <w:r w:rsidRPr="00E55613">
          <w:rPr>
            <w:rStyle w:val="TextoNormalCaracter"/>
          </w:rPr>
          <w:t>92/2024</w:t>
        </w:r>
      </w:hyperlink>
      <w:r w:rsidRPr="00E55613">
        <w:rPr>
          <w:rStyle w:val="TextoNormalCaracter"/>
        </w:rPr>
        <w:t>, ff. 6 a 8.</w:t>
      </w:r>
    </w:p>
    <w:p w14:paraId="69F9F3C6" w14:textId="76E713C6" w:rsidR="00E55613" w:rsidRPr="00E55613" w:rsidRDefault="00E55613" w:rsidP="00E55613">
      <w:pPr>
        <w:pStyle w:val="TextoNormalSangraFrancesa"/>
        <w:rPr>
          <w:rStyle w:val="TextoNormalCaracter"/>
        </w:rPr>
      </w:pPr>
      <w:bookmarkStart w:id="801" w:name="DESCRIPTORALFABETICO51"/>
      <w:r w:rsidRPr="00E55613">
        <w:rPr>
          <w:rStyle w:val="TextoNormalNegritaCaracter"/>
        </w:rPr>
        <w:t>Contenido del derecho a la intimidad</w:t>
      </w:r>
      <w:bookmarkEnd w:id="801"/>
      <w:r w:rsidRPr="00E55613">
        <w:rPr>
          <w:rStyle w:val="TextoNormalCaracter"/>
        </w:rPr>
        <w:t xml:space="preserve">, Sentencia </w:t>
      </w:r>
      <w:hyperlink w:anchor="SENTENCIA_2024_87" w:history="1">
        <w:r w:rsidRPr="00E55613">
          <w:rPr>
            <w:rStyle w:val="TextoNormalCaracter"/>
          </w:rPr>
          <w:t>87/2024</w:t>
        </w:r>
      </w:hyperlink>
      <w:r w:rsidRPr="00E55613">
        <w:rPr>
          <w:rStyle w:val="TextoNormalCaracter"/>
        </w:rPr>
        <w:t>, f. 4, VP I, VP II, VP III, VP IV.</w:t>
      </w:r>
    </w:p>
    <w:p w14:paraId="4E223393" w14:textId="060731B0" w:rsidR="00E55613" w:rsidRPr="00E55613" w:rsidRDefault="00E55613" w:rsidP="00E55613">
      <w:pPr>
        <w:pStyle w:val="TextoNormalSangraFrancesa"/>
        <w:rPr>
          <w:rStyle w:val="TextoNormalCaracter"/>
        </w:rPr>
      </w:pPr>
      <w:bookmarkStart w:id="802" w:name="DESCRIPTORALFABETICO86"/>
      <w:r w:rsidRPr="00E55613">
        <w:rPr>
          <w:rStyle w:val="TextoNormalNegritaCaracter"/>
        </w:rPr>
        <w:t>Contenido del derecho a la vida</w:t>
      </w:r>
      <w:bookmarkEnd w:id="802"/>
      <w:r w:rsidRPr="00E55613">
        <w:rPr>
          <w:rStyle w:val="TextoNormalCaracter"/>
        </w:rPr>
        <w:t xml:space="preserve">, Sentencia </w:t>
      </w:r>
      <w:hyperlink w:anchor="SENTENCIA_2024_92" w:history="1">
        <w:r w:rsidRPr="00E55613">
          <w:rPr>
            <w:rStyle w:val="TextoNormalCaracter"/>
          </w:rPr>
          <w:t>92/2024</w:t>
        </w:r>
      </w:hyperlink>
      <w:r w:rsidRPr="00E55613">
        <w:rPr>
          <w:rStyle w:val="TextoNormalCaracter"/>
        </w:rPr>
        <w:t>, ff. 7 y 8.</w:t>
      </w:r>
    </w:p>
    <w:p w14:paraId="118F99EB" w14:textId="567ED9F8" w:rsidR="00E55613" w:rsidRPr="00E55613" w:rsidRDefault="00E55613" w:rsidP="00E55613">
      <w:pPr>
        <w:pStyle w:val="TextoNormalSangraFrancesa"/>
        <w:rPr>
          <w:rStyle w:val="TextoNormalCaracter"/>
        </w:rPr>
      </w:pPr>
      <w:bookmarkStart w:id="803" w:name="DESCRIPTORALFABETICO104"/>
      <w:r w:rsidRPr="00E55613">
        <w:rPr>
          <w:rStyle w:val="TextoNormalNegritaCaracter"/>
        </w:rPr>
        <w:t>Contenido del derecho de asociación</w:t>
      </w:r>
      <w:bookmarkEnd w:id="803"/>
      <w:r w:rsidRPr="00E55613">
        <w:rPr>
          <w:rStyle w:val="TextoNormalCaracter"/>
        </w:rPr>
        <w:t xml:space="preserve">, Sentencia </w:t>
      </w:r>
      <w:hyperlink w:anchor="SENTENCIA_2024_44" w:history="1">
        <w:r w:rsidRPr="00E55613">
          <w:rPr>
            <w:rStyle w:val="TextoNormalCaracter"/>
          </w:rPr>
          <w:t>44/2024</w:t>
        </w:r>
      </w:hyperlink>
      <w:r w:rsidRPr="00E55613">
        <w:rPr>
          <w:rStyle w:val="TextoNormalCaracter"/>
        </w:rPr>
        <w:t>, f. 5.</w:t>
      </w:r>
    </w:p>
    <w:p w14:paraId="782C4755" w14:textId="0D1564D2" w:rsidR="00E55613" w:rsidRPr="00E55613" w:rsidRDefault="00E55613" w:rsidP="00E55613">
      <w:pPr>
        <w:pStyle w:val="TextoNormalSangraFrancesa"/>
        <w:rPr>
          <w:rStyle w:val="TextoNormalCaracter"/>
        </w:rPr>
      </w:pPr>
      <w:bookmarkStart w:id="804" w:name="DESCRIPTORALFABETICO374"/>
      <w:r w:rsidRPr="00E55613">
        <w:rPr>
          <w:rStyle w:val="TextoNormalNegritaCaracter"/>
        </w:rPr>
        <w:t>Contenido material de las leyes de presupuestos</w:t>
      </w:r>
      <w:bookmarkEnd w:id="804"/>
      <w:r w:rsidRPr="00E55613">
        <w:rPr>
          <w:rStyle w:val="TextoNormalCaracter"/>
        </w:rPr>
        <w:t xml:space="preserve">, Sentencias </w:t>
      </w:r>
      <w:hyperlink w:anchor="SENTENCIA_2024_67" w:history="1">
        <w:r w:rsidRPr="00E55613">
          <w:rPr>
            <w:rStyle w:val="TextoNormalCaracter"/>
          </w:rPr>
          <w:t>67/2024</w:t>
        </w:r>
      </w:hyperlink>
      <w:r w:rsidRPr="00E55613">
        <w:rPr>
          <w:rStyle w:val="TextoNormalCaracter"/>
        </w:rPr>
        <w:t xml:space="preserve">, ff. 3 y 4; </w:t>
      </w:r>
      <w:hyperlink w:anchor="SENTENCIA_2024_73" w:history="1">
        <w:r w:rsidRPr="00E55613">
          <w:rPr>
            <w:rStyle w:val="TextoNormalCaracter"/>
          </w:rPr>
          <w:t>73/2024</w:t>
        </w:r>
      </w:hyperlink>
      <w:r w:rsidRPr="00E55613">
        <w:rPr>
          <w:rStyle w:val="TextoNormalCaracter"/>
        </w:rPr>
        <w:t>, f. 1.</w:t>
      </w:r>
    </w:p>
    <w:p w14:paraId="374828C3" w14:textId="009F5162" w:rsidR="00E55613" w:rsidRPr="00E55613" w:rsidRDefault="00E55613" w:rsidP="00E55613">
      <w:pPr>
        <w:pStyle w:val="TextoNormalSangraFrancesa"/>
        <w:rPr>
          <w:rStyle w:val="TextoNormalCaracter"/>
        </w:rPr>
      </w:pPr>
      <w:bookmarkStart w:id="805" w:name="DESCRIPTORALFABETICO282"/>
      <w:r w:rsidRPr="00E55613">
        <w:rPr>
          <w:rStyle w:val="TextoNormalNegritaCaracter"/>
        </w:rPr>
        <w:t>Contratos del sector público</w:t>
      </w:r>
      <w:bookmarkEnd w:id="805"/>
      <w:r w:rsidRPr="00E55613">
        <w:rPr>
          <w:rStyle w:val="TextoNormalCaracter"/>
        </w:rPr>
        <w:t xml:space="preserve">, Sentencia </w:t>
      </w:r>
      <w:hyperlink w:anchor="SENTENCIA_2024_65" w:history="1">
        <w:r w:rsidRPr="00E55613">
          <w:rPr>
            <w:rStyle w:val="TextoNormalCaracter"/>
          </w:rPr>
          <w:t>65/2024</w:t>
        </w:r>
      </w:hyperlink>
      <w:r w:rsidRPr="00E55613">
        <w:rPr>
          <w:rStyle w:val="TextoNormalCaracter"/>
        </w:rPr>
        <w:t>, f. 1.</w:t>
      </w:r>
    </w:p>
    <w:p w14:paraId="3E0694E5" w14:textId="48C1915E" w:rsidR="00E55613" w:rsidRPr="00E55613" w:rsidRDefault="00E55613" w:rsidP="00E55613">
      <w:pPr>
        <w:pStyle w:val="TextoNormalSangraFrancesa"/>
        <w:rPr>
          <w:rStyle w:val="TextoNormalCaracter"/>
        </w:rPr>
      </w:pPr>
      <w:bookmarkStart w:id="806" w:name="DESCRIPTORALFABETICO130"/>
      <w:r w:rsidRPr="00E55613">
        <w:rPr>
          <w:rStyle w:val="TextoNormalNegritaCaracter"/>
        </w:rPr>
        <w:t>Control concreto de constitucionalidad</w:t>
      </w:r>
      <w:bookmarkEnd w:id="806"/>
      <w:r w:rsidRPr="00E55613">
        <w:rPr>
          <w:rStyle w:val="TextoNormalCaracter"/>
        </w:rPr>
        <w:t xml:space="preserve">, Sentencia </w:t>
      </w:r>
      <w:hyperlink w:anchor="SENTENCIA_2024_68" w:history="1">
        <w:r w:rsidRPr="00E55613">
          <w:rPr>
            <w:rStyle w:val="TextoNormalCaracter"/>
          </w:rPr>
          <w:t>68/2024</w:t>
        </w:r>
      </w:hyperlink>
      <w:r w:rsidRPr="00E55613">
        <w:rPr>
          <w:rStyle w:val="TextoNormalCaracter"/>
        </w:rPr>
        <w:t>, ff. 3, 7, 8.</w:t>
      </w:r>
    </w:p>
    <w:p w14:paraId="4C4C676D" w14:textId="0890EBDA" w:rsidR="00E55613" w:rsidRPr="00E55613" w:rsidRDefault="00E55613" w:rsidP="00E55613">
      <w:pPr>
        <w:pStyle w:val="TextoNormalSangraFrancesa"/>
        <w:rPr>
          <w:rStyle w:val="TextoNormalCaracter"/>
        </w:rPr>
      </w:pPr>
      <w:bookmarkStart w:id="807" w:name="DESCRIPTORALFABETICO129"/>
      <w:r w:rsidRPr="00E55613">
        <w:rPr>
          <w:rStyle w:val="TextoNormalNegritaCaracter"/>
        </w:rPr>
        <w:t>Control de constitucionalidad de las normas jurídicas</w:t>
      </w:r>
      <w:bookmarkEnd w:id="807"/>
      <w:r w:rsidRPr="00E55613">
        <w:rPr>
          <w:rStyle w:val="TextoNormalCaracter"/>
        </w:rPr>
        <w:t xml:space="preserve">, Sentencia </w:t>
      </w:r>
      <w:hyperlink w:anchor="SENTENCIA_2024_92" w:history="1">
        <w:r w:rsidRPr="00E55613">
          <w:rPr>
            <w:rStyle w:val="TextoNormalCaracter"/>
          </w:rPr>
          <w:t>92/2024</w:t>
        </w:r>
      </w:hyperlink>
      <w:r w:rsidRPr="00E55613">
        <w:rPr>
          <w:rStyle w:val="TextoNormalCaracter"/>
        </w:rPr>
        <w:t>, f. 6.</w:t>
      </w:r>
    </w:p>
    <w:p w14:paraId="4C232E0E" w14:textId="62C7F413" w:rsidR="00E55613" w:rsidRPr="00E55613" w:rsidRDefault="00E55613" w:rsidP="00E55613">
      <w:pPr>
        <w:pStyle w:val="TextoNormalSangraFrancesa"/>
        <w:rPr>
          <w:rStyle w:val="TextoNormalCaracter"/>
        </w:rPr>
      </w:pPr>
      <w:bookmarkStart w:id="808" w:name="DESCRIPTORALFABETICO131"/>
      <w:r w:rsidRPr="00E55613">
        <w:rPr>
          <w:rStyle w:val="TextoNormalNegritaCaracter"/>
        </w:rPr>
        <w:t>Control de constitucionalidad de los decretos-leyes</w:t>
      </w:r>
      <w:bookmarkEnd w:id="808"/>
      <w:r w:rsidRPr="00E55613">
        <w:rPr>
          <w:rStyle w:val="TextoNormalCaracter"/>
        </w:rPr>
        <w:t xml:space="preserve">, Sentencia </w:t>
      </w:r>
      <w:hyperlink w:anchor="SENTENCIA_2024_11" w:history="1">
        <w:r w:rsidRPr="00E55613">
          <w:rPr>
            <w:rStyle w:val="TextoNormalCaracter"/>
          </w:rPr>
          <w:t>11/2024</w:t>
        </w:r>
      </w:hyperlink>
      <w:r w:rsidRPr="00E55613">
        <w:rPr>
          <w:rStyle w:val="TextoNormalCaracter"/>
        </w:rPr>
        <w:t>, f. 1.</w:t>
      </w:r>
    </w:p>
    <w:p w14:paraId="22849413" w14:textId="1B10BDCC" w:rsidR="00E55613" w:rsidRPr="00E55613" w:rsidRDefault="00E55613" w:rsidP="00E55613">
      <w:pPr>
        <w:pStyle w:val="TextoNormalSangraFrancesa"/>
        <w:rPr>
          <w:rStyle w:val="TextoNormalCaracter"/>
        </w:rPr>
      </w:pPr>
      <w:bookmarkStart w:id="809" w:name="DESCRIPTORALFABETICO502"/>
      <w:r w:rsidRPr="00E55613">
        <w:rPr>
          <w:rStyle w:val="TextoNormalNegritaCaracter"/>
        </w:rPr>
        <w:t>Control judicial de la detención</w:t>
      </w:r>
      <w:bookmarkEnd w:id="809"/>
      <w:r w:rsidRPr="00E55613">
        <w:rPr>
          <w:rStyle w:val="TextoNormalCaracter"/>
        </w:rPr>
        <w:t xml:space="preserve">, Sentencia </w:t>
      </w:r>
      <w:hyperlink w:anchor="SENTENCIA_2024_85" w:history="1">
        <w:r w:rsidRPr="00E55613">
          <w:rPr>
            <w:rStyle w:val="TextoNormalCaracter"/>
          </w:rPr>
          <w:t>85/2024</w:t>
        </w:r>
      </w:hyperlink>
      <w:r w:rsidRPr="00E55613">
        <w:rPr>
          <w:rStyle w:val="TextoNormalCaracter"/>
        </w:rPr>
        <w:t>, ff. 1 a 4.</w:t>
      </w:r>
    </w:p>
    <w:p w14:paraId="7DFFCB48" w14:textId="4503B86F" w:rsidR="00E55613" w:rsidRPr="00E55613" w:rsidRDefault="00E55613" w:rsidP="00E55613">
      <w:pPr>
        <w:pStyle w:val="TextoNormalSangraFrancesa"/>
        <w:rPr>
          <w:rStyle w:val="TextoNormalCaracter"/>
        </w:rPr>
      </w:pPr>
      <w:bookmarkStart w:id="810" w:name="DESCRIPTORALFABETICO365"/>
      <w:r w:rsidRPr="00E55613">
        <w:rPr>
          <w:rStyle w:val="TextoNormalNegritaCaracter"/>
        </w:rPr>
        <w:t>Convalidación de decretos-leyes</w:t>
      </w:r>
      <w:bookmarkEnd w:id="810"/>
      <w:r w:rsidRPr="00E55613">
        <w:rPr>
          <w:rStyle w:val="TextoNormalCaracter"/>
        </w:rPr>
        <w:t xml:space="preserve">, Sentencia </w:t>
      </w:r>
      <w:hyperlink w:anchor="SENTENCIA_2024_10" w:history="1">
        <w:r w:rsidRPr="00E55613">
          <w:rPr>
            <w:rStyle w:val="TextoNormalCaracter"/>
          </w:rPr>
          <w:t>10/2024</w:t>
        </w:r>
      </w:hyperlink>
      <w:r w:rsidRPr="00E55613">
        <w:rPr>
          <w:rStyle w:val="TextoNormalCaracter"/>
        </w:rPr>
        <w:t>, f. 3, VP.</w:t>
      </w:r>
    </w:p>
    <w:p w14:paraId="0C66ABE4" w14:textId="46E261A0" w:rsidR="00E55613" w:rsidRPr="00E55613" w:rsidRDefault="00E55613" w:rsidP="00E55613">
      <w:pPr>
        <w:pStyle w:val="TextoNormalSangraFrancesa"/>
        <w:rPr>
          <w:rStyle w:val="TextoNormalCaracter"/>
        </w:rPr>
      </w:pPr>
      <w:bookmarkStart w:id="811" w:name="DESCRIPTORALFABETICO507"/>
      <w:r w:rsidRPr="00E55613">
        <w:rPr>
          <w:rStyle w:val="TextoNormalNegritaCaracter"/>
        </w:rPr>
        <w:t>Convenio bilateral de extradición</w:t>
      </w:r>
      <w:bookmarkEnd w:id="811"/>
      <w:r w:rsidRPr="00E55613">
        <w:rPr>
          <w:rStyle w:val="TextoNormalCaracter"/>
        </w:rPr>
        <w:t xml:space="preserve">, Sentencias </w:t>
      </w:r>
      <w:hyperlink w:anchor="SENTENCIA_2024_34" w:history="1">
        <w:r w:rsidRPr="00E55613">
          <w:rPr>
            <w:rStyle w:val="TextoNormalCaracter"/>
          </w:rPr>
          <w:t>34/2024</w:t>
        </w:r>
      </w:hyperlink>
      <w:r w:rsidRPr="00E55613">
        <w:rPr>
          <w:rStyle w:val="TextoNormalCaracter"/>
        </w:rPr>
        <w:t xml:space="preserve">, ff. 1 y 4; </w:t>
      </w:r>
      <w:hyperlink w:anchor="SENTENCIA_2024_36" w:history="1">
        <w:r w:rsidRPr="00E55613">
          <w:rPr>
            <w:rStyle w:val="TextoNormalCaracter"/>
          </w:rPr>
          <w:t>36/2024</w:t>
        </w:r>
      </w:hyperlink>
      <w:r w:rsidRPr="00E55613">
        <w:rPr>
          <w:rStyle w:val="TextoNormalCaracter"/>
        </w:rPr>
        <w:t xml:space="preserve">, ff. 1 y 4; </w:t>
      </w:r>
      <w:hyperlink w:anchor="SENTENCIA_2024_37" w:history="1">
        <w:r w:rsidRPr="00E55613">
          <w:rPr>
            <w:rStyle w:val="TextoNormalCaracter"/>
          </w:rPr>
          <w:t>37/2024</w:t>
        </w:r>
      </w:hyperlink>
      <w:r w:rsidRPr="00E55613">
        <w:rPr>
          <w:rStyle w:val="TextoNormalCaracter"/>
        </w:rPr>
        <w:t xml:space="preserve">, ff. 1 y 3; </w:t>
      </w:r>
      <w:hyperlink w:anchor="SENTENCIA_2024_42" w:history="1">
        <w:r w:rsidRPr="00E55613">
          <w:rPr>
            <w:rStyle w:val="TextoNormalCaracter"/>
          </w:rPr>
          <w:t>42/2024</w:t>
        </w:r>
      </w:hyperlink>
      <w:r w:rsidRPr="00E55613">
        <w:rPr>
          <w:rStyle w:val="TextoNormalCaracter"/>
        </w:rPr>
        <w:t xml:space="preserve">, ff. 1 y 3 a 5; </w:t>
      </w:r>
      <w:hyperlink w:anchor="SENTENCIA_2024_43" w:history="1">
        <w:r w:rsidRPr="00E55613">
          <w:rPr>
            <w:rStyle w:val="TextoNormalCaracter"/>
          </w:rPr>
          <w:t>43/2024</w:t>
        </w:r>
      </w:hyperlink>
      <w:r w:rsidRPr="00E55613">
        <w:rPr>
          <w:rStyle w:val="TextoNormalCaracter"/>
        </w:rPr>
        <w:t xml:space="preserve">, ff. 1 y 4; </w:t>
      </w:r>
      <w:hyperlink w:anchor="SENTENCIA_2024_51" w:history="1">
        <w:r w:rsidRPr="00E55613">
          <w:rPr>
            <w:rStyle w:val="TextoNormalCaracter"/>
          </w:rPr>
          <w:t>51/2024</w:t>
        </w:r>
      </w:hyperlink>
      <w:r w:rsidRPr="00E55613">
        <w:rPr>
          <w:rStyle w:val="TextoNormalCaracter"/>
        </w:rPr>
        <w:t xml:space="preserve">, f. 2; </w:t>
      </w:r>
      <w:hyperlink w:anchor="SENTENCIA_2024_52" w:history="1">
        <w:r w:rsidRPr="00E55613">
          <w:rPr>
            <w:rStyle w:val="TextoNormalCaracter"/>
          </w:rPr>
          <w:t>52/2024</w:t>
        </w:r>
      </w:hyperlink>
      <w:r w:rsidRPr="00E55613">
        <w:rPr>
          <w:rStyle w:val="TextoNormalCaracter"/>
        </w:rPr>
        <w:t xml:space="preserve">, f. 1 y 4; </w:t>
      </w:r>
      <w:hyperlink w:anchor="SENTENCIA_2024_57" w:history="1">
        <w:r w:rsidRPr="00E55613">
          <w:rPr>
            <w:rStyle w:val="TextoNormalCaracter"/>
          </w:rPr>
          <w:t>57/2024</w:t>
        </w:r>
      </w:hyperlink>
      <w:r w:rsidRPr="00E55613">
        <w:rPr>
          <w:rStyle w:val="TextoNormalCaracter"/>
        </w:rPr>
        <w:t>, f. 1 y 4.</w:t>
      </w:r>
    </w:p>
    <w:p w14:paraId="40D6912D" w14:textId="59E71689" w:rsidR="00E55613" w:rsidRPr="00E55613" w:rsidRDefault="00E55613" w:rsidP="00E55613">
      <w:pPr>
        <w:pStyle w:val="TextoNormalSangraFrancesa"/>
        <w:rPr>
          <w:rStyle w:val="TextoNormalCaracter"/>
        </w:rPr>
      </w:pPr>
      <w:bookmarkStart w:id="812" w:name="DESCRIPTORALFABETICO210"/>
      <w:r w:rsidRPr="00E55613">
        <w:rPr>
          <w:rStyle w:val="TextoNormalNegritaCaracter"/>
        </w:rPr>
        <w:t>Convenios de cooperación entre el Estado y las Comunidades Autónomas</w:t>
      </w:r>
      <w:bookmarkEnd w:id="812"/>
      <w:r w:rsidRPr="00E55613">
        <w:rPr>
          <w:rStyle w:val="TextoNormalCaracter"/>
        </w:rPr>
        <w:t xml:space="preserve">, Sentencias </w:t>
      </w:r>
      <w:hyperlink w:anchor="SENTENCIA_2024_19" w:history="1">
        <w:r w:rsidRPr="00E55613">
          <w:rPr>
            <w:rStyle w:val="TextoNormalCaracter"/>
          </w:rPr>
          <w:t>19/2024</w:t>
        </w:r>
      </w:hyperlink>
      <w:r w:rsidRPr="00E55613">
        <w:rPr>
          <w:rStyle w:val="TextoNormalCaracter"/>
        </w:rPr>
        <w:t xml:space="preserve">, ff. 3, 4 y 5; </w:t>
      </w:r>
      <w:hyperlink w:anchor="SENTENCIA_2024_32" w:history="1">
        <w:r w:rsidRPr="00E55613">
          <w:rPr>
            <w:rStyle w:val="TextoNormalCaracter"/>
          </w:rPr>
          <w:t>32/2024</w:t>
        </w:r>
      </w:hyperlink>
      <w:r w:rsidRPr="00E55613">
        <w:rPr>
          <w:rStyle w:val="TextoNormalCaracter"/>
        </w:rPr>
        <w:t>, f. 2.</w:t>
      </w:r>
    </w:p>
    <w:p w14:paraId="72166BF7" w14:textId="58A4F427" w:rsidR="00E55613" w:rsidRPr="00E55613" w:rsidRDefault="00E55613" w:rsidP="00E55613">
      <w:pPr>
        <w:pStyle w:val="TextoNormalSangraFrancesa"/>
        <w:rPr>
          <w:rStyle w:val="TextoNormalCaracter"/>
        </w:rPr>
      </w:pPr>
      <w:bookmarkStart w:id="813" w:name="DESCRIPTORALFABETICO366"/>
      <w:r w:rsidRPr="00E55613">
        <w:rPr>
          <w:rStyle w:val="TextoNormalNegritaCaracter"/>
        </w:rPr>
        <w:t>Conversión de decretos-leyes en leyes</w:t>
      </w:r>
      <w:bookmarkEnd w:id="813"/>
      <w:r w:rsidRPr="00E55613">
        <w:rPr>
          <w:rStyle w:val="TextoNormalCaracter"/>
        </w:rPr>
        <w:t xml:space="preserve">, Sentencia </w:t>
      </w:r>
      <w:hyperlink w:anchor="SENTENCIA_2024_10" w:history="1">
        <w:r w:rsidRPr="00E55613">
          <w:rPr>
            <w:rStyle w:val="TextoNormalCaracter"/>
          </w:rPr>
          <w:t>10/2024</w:t>
        </w:r>
      </w:hyperlink>
      <w:r w:rsidRPr="00E55613">
        <w:rPr>
          <w:rStyle w:val="TextoNormalCaracter"/>
        </w:rPr>
        <w:t>, f. 4, VP.</w:t>
      </w:r>
    </w:p>
    <w:p w14:paraId="46BEE49A" w14:textId="7B7FAF4E" w:rsidR="00E55613" w:rsidRPr="00E55613" w:rsidRDefault="00E55613" w:rsidP="00E55613">
      <w:pPr>
        <w:pStyle w:val="TextoNormalSangraFrancesa"/>
        <w:rPr>
          <w:rStyle w:val="TextoNormalCaracter"/>
        </w:rPr>
      </w:pPr>
      <w:bookmarkStart w:id="814" w:name="DESCRIPTORALFABETICO293"/>
      <w:r w:rsidRPr="00E55613">
        <w:rPr>
          <w:rStyle w:val="TextoNormalNegritaCaracter"/>
        </w:rPr>
        <w:t>Crisis derivada de la covid-19</w:t>
      </w:r>
      <w:bookmarkEnd w:id="814"/>
      <w:r w:rsidRPr="00E55613">
        <w:rPr>
          <w:rStyle w:val="TextoNormalCaracter"/>
        </w:rPr>
        <w:t xml:space="preserve">, Sentencias </w:t>
      </w:r>
      <w:hyperlink w:anchor="SENTENCIA_2024_4" w:history="1">
        <w:r w:rsidRPr="00E55613">
          <w:rPr>
            <w:rStyle w:val="TextoNormalCaracter"/>
          </w:rPr>
          <w:t>4/2024</w:t>
        </w:r>
      </w:hyperlink>
      <w:r w:rsidRPr="00E55613">
        <w:rPr>
          <w:rStyle w:val="TextoNormalCaracter"/>
        </w:rPr>
        <w:t xml:space="preserve">, f. 1; </w:t>
      </w:r>
      <w:hyperlink w:anchor="SENTENCIA_2024_5" w:history="1">
        <w:r w:rsidRPr="00E55613">
          <w:rPr>
            <w:rStyle w:val="TextoNormalCaracter"/>
          </w:rPr>
          <w:t>5/2024</w:t>
        </w:r>
      </w:hyperlink>
      <w:r w:rsidRPr="00E55613">
        <w:rPr>
          <w:rStyle w:val="TextoNormalCaracter"/>
        </w:rPr>
        <w:t xml:space="preserve">, f. 3; </w:t>
      </w:r>
      <w:hyperlink w:anchor="SENTENCIA_2024_7" w:history="1">
        <w:r w:rsidRPr="00E55613">
          <w:rPr>
            <w:rStyle w:val="TextoNormalCaracter"/>
          </w:rPr>
          <w:t>7/2024</w:t>
        </w:r>
      </w:hyperlink>
      <w:r w:rsidRPr="00E55613">
        <w:rPr>
          <w:rStyle w:val="TextoNormalCaracter"/>
        </w:rPr>
        <w:t>, ff. 1, 4 y 6.</w:t>
      </w:r>
    </w:p>
    <w:p w14:paraId="2F839E7E" w14:textId="5785442D" w:rsidR="00E55613" w:rsidRPr="00E55613" w:rsidRDefault="00E55613" w:rsidP="00E55613">
      <w:pPr>
        <w:pStyle w:val="TextoNormalSangraFrancesa"/>
        <w:rPr>
          <w:rStyle w:val="TextoNormalCaracter"/>
        </w:rPr>
      </w:pPr>
      <w:bookmarkStart w:id="815" w:name="DESCRIPTORALFABETICO101"/>
      <w:r w:rsidRPr="00E55613">
        <w:rPr>
          <w:rStyle w:val="TextoNormalNegritaCaracter"/>
        </w:rPr>
        <w:t>Criterios de apreciación de dilaciones indebidas</w:t>
      </w:r>
      <w:bookmarkEnd w:id="815"/>
      <w:r w:rsidRPr="00E55613">
        <w:rPr>
          <w:rStyle w:val="TextoNormalCaracter"/>
        </w:rPr>
        <w:t xml:space="preserve">, Sentencia </w:t>
      </w:r>
      <w:hyperlink w:anchor="SENTENCIA_2024_48" w:history="1">
        <w:r w:rsidRPr="00E55613">
          <w:rPr>
            <w:rStyle w:val="TextoNormalCaracter"/>
          </w:rPr>
          <w:t>48/2024</w:t>
        </w:r>
      </w:hyperlink>
      <w:r w:rsidRPr="00E55613">
        <w:rPr>
          <w:rStyle w:val="TextoNormalCaracter"/>
        </w:rPr>
        <w:t>, f. 5, VP I, VP II.</w:t>
      </w:r>
    </w:p>
    <w:p w14:paraId="06DF0C43" w14:textId="40622795" w:rsidR="00E55613" w:rsidRPr="00E55613" w:rsidRDefault="00E55613" w:rsidP="00E55613">
      <w:pPr>
        <w:pStyle w:val="TextoNormalSangraFrancesa"/>
        <w:rPr>
          <w:rStyle w:val="TextoNormalCaracter"/>
        </w:rPr>
      </w:pPr>
      <w:bookmarkStart w:id="816" w:name="DESCRIPTORALFABETICO155"/>
      <w:r w:rsidRPr="00E55613">
        <w:rPr>
          <w:rStyle w:val="TextoNormalNegritaCaracter"/>
        </w:rPr>
        <w:t>Cuestión de inconstitucionalidad notoriamente infundada</w:t>
      </w:r>
      <w:bookmarkEnd w:id="816"/>
      <w:r w:rsidRPr="00E55613">
        <w:rPr>
          <w:rStyle w:val="TextoNormalCaracter"/>
        </w:rPr>
        <w:t xml:space="preserve">, Autos </w:t>
      </w:r>
      <w:hyperlink w:anchor="AUTO_2024_20" w:history="1">
        <w:r w:rsidRPr="00E55613">
          <w:rPr>
            <w:rStyle w:val="TextoNormalCaracter"/>
          </w:rPr>
          <w:t>20/2024</w:t>
        </w:r>
      </w:hyperlink>
      <w:r w:rsidRPr="00E55613">
        <w:rPr>
          <w:rStyle w:val="TextoNormalCaracter"/>
        </w:rPr>
        <w:t xml:space="preserve">, f. 5; </w:t>
      </w:r>
      <w:hyperlink w:anchor="AUTO_2024_41" w:history="1">
        <w:r w:rsidRPr="00E55613">
          <w:rPr>
            <w:rStyle w:val="TextoNormalCaracter"/>
          </w:rPr>
          <w:t>41/2024</w:t>
        </w:r>
      </w:hyperlink>
      <w:r w:rsidRPr="00E55613">
        <w:rPr>
          <w:rStyle w:val="TextoNormalCaracter"/>
        </w:rPr>
        <w:t>, ff. 2 y 5.</w:t>
      </w:r>
    </w:p>
    <w:p w14:paraId="3E321866" w14:textId="50263FBC" w:rsidR="00E55613" w:rsidRPr="00E55613" w:rsidRDefault="00E55613" w:rsidP="00E55613">
      <w:pPr>
        <w:pStyle w:val="TextoNormalSangraFrancesa"/>
        <w:rPr>
          <w:rStyle w:val="TextoNormalCaracter"/>
        </w:rPr>
      </w:pPr>
      <w:bookmarkStart w:id="817" w:name="DESCRIPTORALFABETICO448"/>
      <w:r w:rsidRPr="00E55613">
        <w:rPr>
          <w:rStyle w:val="TextoNormalNegritaCaracter"/>
        </w:rPr>
        <w:t>Cuestión prejudicial penal</w:t>
      </w:r>
      <w:bookmarkEnd w:id="817"/>
      <w:r w:rsidRPr="00E55613">
        <w:rPr>
          <w:rStyle w:val="TextoNormalCaracter"/>
        </w:rPr>
        <w:t xml:space="preserve">, Sentencia </w:t>
      </w:r>
      <w:hyperlink w:anchor="SENTENCIA_2024_66" w:history="1">
        <w:r w:rsidRPr="00E55613">
          <w:rPr>
            <w:rStyle w:val="TextoNormalCaracter"/>
          </w:rPr>
          <w:t>66/2024</w:t>
        </w:r>
      </w:hyperlink>
      <w:r w:rsidRPr="00E55613">
        <w:rPr>
          <w:rStyle w:val="TextoNormalCaracter"/>
        </w:rPr>
        <w:t>, f. 5.</w:t>
      </w:r>
    </w:p>
    <w:p w14:paraId="4C6914EE" w14:textId="009DBB96" w:rsidR="00E55613" w:rsidRDefault="00E55613" w:rsidP="00E55613">
      <w:pPr>
        <w:pStyle w:val="TextoNormalSangraFrancesa"/>
      </w:pPr>
    </w:p>
    <w:p w14:paraId="39DB073C" w14:textId="77777777" w:rsidR="00E55613" w:rsidRDefault="00E55613" w:rsidP="00E55613">
      <w:pPr>
        <w:pStyle w:val="TextoNormalSangraFrancesa"/>
      </w:pPr>
    </w:p>
    <w:p w14:paraId="4B857F74" w14:textId="77777777" w:rsidR="00E55613" w:rsidRDefault="00E55613" w:rsidP="00E55613">
      <w:pPr>
        <w:pStyle w:val="TextoNormalNegritaCentrado"/>
      </w:pPr>
      <w:r>
        <w:t>D</w:t>
      </w:r>
    </w:p>
    <w:p w14:paraId="012098A1" w14:textId="5A8C181A" w:rsidR="00E55613" w:rsidRDefault="00E55613" w:rsidP="00E55613">
      <w:pPr>
        <w:pStyle w:val="TextoNormalNegritaCentrado"/>
      </w:pPr>
    </w:p>
    <w:p w14:paraId="4EA7CBE5" w14:textId="4DA349F7" w:rsidR="00E55613" w:rsidRPr="00E55613" w:rsidRDefault="00E55613" w:rsidP="00E55613">
      <w:pPr>
        <w:pStyle w:val="TextoNormalSangraFrancesa"/>
        <w:rPr>
          <w:rStyle w:val="TextoNormalCaracter"/>
        </w:rPr>
      </w:pPr>
      <w:bookmarkStart w:id="818" w:name="DESCRIPTORALFABETICO30"/>
      <w:r w:rsidRPr="00E55613">
        <w:rPr>
          <w:rStyle w:val="TextoNormalNegritaCaracter"/>
        </w:rPr>
        <w:t>Deber de contribución al gasto público</w:t>
      </w:r>
      <w:bookmarkEnd w:id="818"/>
      <w:r w:rsidRPr="00E55613">
        <w:rPr>
          <w:rStyle w:val="TextoNormalCaracter"/>
        </w:rPr>
        <w:t xml:space="preserve">, Sentencia </w:t>
      </w:r>
      <w:hyperlink w:anchor="SENTENCIA_2024_11" w:history="1">
        <w:r w:rsidRPr="00E55613">
          <w:rPr>
            <w:rStyle w:val="TextoNormalCaracter"/>
          </w:rPr>
          <w:t>11/2024</w:t>
        </w:r>
      </w:hyperlink>
      <w:r w:rsidRPr="00E55613">
        <w:rPr>
          <w:rStyle w:val="TextoNormalCaracter"/>
        </w:rPr>
        <w:t>, f. 2.</w:t>
      </w:r>
    </w:p>
    <w:p w14:paraId="0C1DB4C7" w14:textId="4842867F" w:rsidR="00E55613" w:rsidRPr="00E55613" w:rsidRDefault="00E55613" w:rsidP="00E55613">
      <w:pPr>
        <w:pStyle w:val="TextoNormalSangraFrancesa"/>
        <w:rPr>
          <w:rStyle w:val="TextoNormalCaracter"/>
        </w:rPr>
      </w:pPr>
      <w:bookmarkStart w:id="819" w:name="DESCRIPTORALFABETICO508"/>
      <w:r w:rsidRPr="00E55613">
        <w:rPr>
          <w:rStyle w:val="TextoNormalNegritaCaracter"/>
        </w:rPr>
        <w:t>Deber de instrucción del órgano judicial</w:t>
      </w:r>
      <w:bookmarkEnd w:id="819"/>
      <w:r w:rsidRPr="00E55613">
        <w:rPr>
          <w:rStyle w:val="TextoNormalCaracter"/>
        </w:rPr>
        <w:t xml:space="preserve">, Sentencia </w:t>
      </w:r>
      <w:hyperlink w:anchor="SENTENCIA_2024_1" w:history="1">
        <w:r w:rsidRPr="00E55613">
          <w:rPr>
            <w:rStyle w:val="TextoNormalCaracter"/>
          </w:rPr>
          <w:t>1/2024</w:t>
        </w:r>
      </w:hyperlink>
      <w:r w:rsidRPr="00E55613">
        <w:rPr>
          <w:rStyle w:val="TextoNormalCaracter"/>
        </w:rPr>
        <w:t>, ff. 2 a 5.</w:t>
      </w:r>
    </w:p>
    <w:p w14:paraId="03A2BB17" w14:textId="49542EE0" w:rsidR="00E55613" w:rsidRPr="00E55613" w:rsidRDefault="00E55613" w:rsidP="00E55613">
      <w:pPr>
        <w:pStyle w:val="TextoNormalSangraFrancesa"/>
        <w:rPr>
          <w:rStyle w:val="TextoNormalCaracter"/>
        </w:rPr>
      </w:pPr>
      <w:bookmarkStart w:id="820" w:name="DESCRIPTORALFABETICO477"/>
      <w:r w:rsidRPr="00E55613">
        <w:rPr>
          <w:rStyle w:val="TextoNormalNegritaCaracter"/>
        </w:rPr>
        <w:t>Deber de someterse a la prueba de alcoholemia</w:t>
      </w:r>
      <w:bookmarkEnd w:id="820"/>
      <w:r w:rsidRPr="00E55613">
        <w:rPr>
          <w:rStyle w:val="TextoNormalCaracter"/>
        </w:rPr>
        <w:t xml:space="preserve">, Sentencia </w:t>
      </w:r>
      <w:hyperlink w:anchor="SENTENCIA_2024_40" w:history="1">
        <w:r w:rsidRPr="00E55613">
          <w:rPr>
            <w:rStyle w:val="TextoNormalCaracter"/>
          </w:rPr>
          <w:t>40/2024</w:t>
        </w:r>
      </w:hyperlink>
      <w:r w:rsidRPr="00E55613">
        <w:rPr>
          <w:rStyle w:val="TextoNormalCaracter"/>
        </w:rPr>
        <w:t>, ff. 3 a 5.</w:t>
      </w:r>
    </w:p>
    <w:p w14:paraId="4CA4E208" w14:textId="2AEF93C9" w:rsidR="00E55613" w:rsidRPr="00E55613" w:rsidRDefault="00E55613" w:rsidP="00E55613">
      <w:pPr>
        <w:pStyle w:val="TextoNormalSangraFrancesa"/>
        <w:rPr>
          <w:rStyle w:val="TextoNormalCaracter"/>
        </w:rPr>
      </w:pPr>
      <w:bookmarkStart w:id="821" w:name="DESCRIPTORALFABETICO234"/>
      <w:r w:rsidRPr="00E55613">
        <w:rPr>
          <w:rStyle w:val="TextoNormalNegritaCaracter"/>
        </w:rPr>
        <w:lastRenderedPageBreak/>
        <w:t>Decisiones parlamentarias</w:t>
      </w:r>
      <w:bookmarkEnd w:id="821"/>
      <w:r w:rsidRPr="00E55613">
        <w:rPr>
          <w:rStyle w:val="TextoNormalCaracter"/>
        </w:rPr>
        <w:t xml:space="preserve">, Auto </w:t>
      </w:r>
      <w:hyperlink w:anchor="AUTO_2024_47" w:history="1">
        <w:r w:rsidRPr="00E55613">
          <w:rPr>
            <w:rStyle w:val="TextoNormalCaracter"/>
          </w:rPr>
          <w:t>47/2024</w:t>
        </w:r>
      </w:hyperlink>
      <w:r w:rsidRPr="00E55613">
        <w:rPr>
          <w:rStyle w:val="TextoNormalCaracter"/>
        </w:rPr>
        <w:t>, f. 3, VP.</w:t>
      </w:r>
    </w:p>
    <w:p w14:paraId="0C9DB582" w14:textId="5F991C3B" w:rsidR="00E55613" w:rsidRPr="00E55613" w:rsidRDefault="00E55613" w:rsidP="00E55613">
      <w:pPr>
        <w:pStyle w:val="TextoNormalSangraFrancesa"/>
        <w:rPr>
          <w:rStyle w:val="TextoNormalCaracter"/>
        </w:rPr>
      </w:pPr>
      <w:bookmarkStart w:id="822" w:name="DESCRIPTORALFABETICO235"/>
      <w:r w:rsidRPr="00E55613">
        <w:rPr>
          <w:rStyle w:val="TextoNormalNegritaCaracter"/>
        </w:rPr>
        <w:t>Decisiones políticas</w:t>
      </w:r>
      <w:bookmarkEnd w:id="822"/>
      <w:r w:rsidRPr="00E55613">
        <w:rPr>
          <w:rStyle w:val="TextoNormalCaracter"/>
        </w:rPr>
        <w:t xml:space="preserve">, Auto </w:t>
      </w:r>
      <w:hyperlink w:anchor="AUTO_2024_47" w:history="1">
        <w:r w:rsidRPr="00E55613">
          <w:rPr>
            <w:rStyle w:val="TextoNormalCaracter"/>
          </w:rPr>
          <w:t>47/2024</w:t>
        </w:r>
      </w:hyperlink>
      <w:r w:rsidRPr="00E55613">
        <w:rPr>
          <w:rStyle w:val="TextoNormalCaracter"/>
        </w:rPr>
        <w:t>, f. 3, VP.</w:t>
      </w:r>
    </w:p>
    <w:p w14:paraId="0B36977B" w14:textId="2B5C26D8" w:rsidR="00E55613" w:rsidRPr="00E55613" w:rsidRDefault="00E55613" w:rsidP="00E55613">
      <w:pPr>
        <w:pStyle w:val="TextoNormalSangraFrancesa"/>
        <w:rPr>
          <w:rStyle w:val="TextoNormalCaracter"/>
        </w:rPr>
      </w:pPr>
      <w:bookmarkStart w:id="823" w:name="DESCRIPTORALFABETICO287"/>
      <w:r w:rsidRPr="00E55613">
        <w:rPr>
          <w:rStyle w:val="TextoNormalNegritaCaracter"/>
        </w:rPr>
        <w:t>Declaración de error judicial</w:t>
      </w:r>
      <w:bookmarkEnd w:id="823"/>
      <w:r w:rsidRPr="00E55613">
        <w:rPr>
          <w:rStyle w:val="TextoNormalCaracter"/>
        </w:rPr>
        <w:t xml:space="preserve">, Sentencia </w:t>
      </w:r>
      <w:hyperlink w:anchor="SENTENCIA_2024_61" w:history="1">
        <w:r w:rsidRPr="00E55613">
          <w:rPr>
            <w:rStyle w:val="TextoNormalCaracter"/>
          </w:rPr>
          <w:t>61/2024</w:t>
        </w:r>
      </w:hyperlink>
      <w:r w:rsidRPr="00E55613">
        <w:rPr>
          <w:rStyle w:val="TextoNormalCaracter"/>
        </w:rPr>
        <w:t>, ff. 3 y 4, VP.</w:t>
      </w:r>
    </w:p>
    <w:p w14:paraId="7B485EA4" w14:textId="4B603EA5" w:rsidR="00E55613" w:rsidRPr="00E55613" w:rsidRDefault="00E55613" w:rsidP="00E55613">
      <w:pPr>
        <w:pStyle w:val="TextoNormalSangraFrancesa"/>
        <w:rPr>
          <w:rStyle w:val="TextoNormalCaracter"/>
        </w:rPr>
      </w:pPr>
      <w:bookmarkStart w:id="824" w:name="DESCRIPTORALFABETICO289"/>
      <w:r w:rsidRPr="00E55613">
        <w:rPr>
          <w:rStyle w:val="TextoNormalNegritaCaracter"/>
        </w:rPr>
        <w:t>Declaración de inelegibilidad de candidato</w:t>
      </w:r>
      <w:bookmarkEnd w:id="824"/>
      <w:r w:rsidRPr="00E55613">
        <w:rPr>
          <w:rStyle w:val="TextoNormalCaracter"/>
        </w:rPr>
        <w:t xml:space="preserve">, Sentencias </w:t>
      </w:r>
      <w:hyperlink w:anchor="SENTENCIA_2024_50" w:history="1">
        <w:r w:rsidRPr="00E55613">
          <w:rPr>
            <w:rStyle w:val="TextoNormalCaracter"/>
          </w:rPr>
          <w:t>50/2024</w:t>
        </w:r>
      </w:hyperlink>
      <w:r w:rsidRPr="00E55613">
        <w:rPr>
          <w:rStyle w:val="TextoNormalCaracter"/>
        </w:rPr>
        <w:t xml:space="preserve">, f. 1; </w:t>
      </w:r>
      <w:hyperlink w:anchor="SENTENCIA_2024_66" w:history="1">
        <w:r w:rsidRPr="00E55613">
          <w:rPr>
            <w:rStyle w:val="TextoNormalCaracter"/>
          </w:rPr>
          <w:t>66/2024</w:t>
        </w:r>
      </w:hyperlink>
      <w:r w:rsidRPr="00E55613">
        <w:rPr>
          <w:rStyle w:val="TextoNormalCaracter"/>
        </w:rPr>
        <w:t>, f. 1.</w:t>
      </w:r>
    </w:p>
    <w:p w14:paraId="587EF322" w14:textId="1273796B" w:rsidR="00E55613" w:rsidRPr="00E55613" w:rsidRDefault="00E55613" w:rsidP="00E55613">
      <w:pPr>
        <w:pStyle w:val="TextoNormalSangraFrancesa"/>
        <w:rPr>
          <w:rStyle w:val="TextoNormalCaracter"/>
        </w:rPr>
      </w:pPr>
      <w:bookmarkStart w:id="825" w:name="DESCRIPTORALFABETICO363"/>
      <w:r w:rsidRPr="00E55613">
        <w:rPr>
          <w:rStyle w:val="TextoNormalNegritaCaracter"/>
        </w:rPr>
        <w:t>Decretos-leyes</w:t>
      </w:r>
      <w:bookmarkEnd w:id="825"/>
      <w:r w:rsidRPr="00E55613">
        <w:rPr>
          <w:rStyle w:val="TextoNormalCaracter"/>
        </w:rPr>
        <w:t xml:space="preserve">, Sentencia </w:t>
      </w:r>
      <w:hyperlink w:anchor="SENTENCIA_2024_20" w:history="1">
        <w:r w:rsidRPr="00E55613">
          <w:rPr>
            <w:rStyle w:val="TextoNormalCaracter"/>
          </w:rPr>
          <w:t>20/2024</w:t>
        </w:r>
      </w:hyperlink>
      <w:r w:rsidRPr="00E55613">
        <w:rPr>
          <w:rStyle w:val="TextoNormalCaracter"/>
        </w:rPr>
        <w:t>, f. 1.</w:t>
      </w:r>
    </w:p>
    <w:p w14:paraId="2588729D" w14:textId="006FEA28" w:rsidR="00E55613" w:rsidRPr="00E55613" w:rsidRDefault="00E55613" w:rsidP="00E55613">
      <w:pPr>
        <w:pStyle w:val="TextoNormalSangraFrancesa"/>
        <w:rPr>
          <w:rStyle w:val="TextoNormalCaracter"/>
        </w:rPr>
      </w:pPr>
      <w:bookmarkStart w:id="826" w:name="DESCRIPTORALFABETICO466"/>
      <w:r w:rsidRPr="00E55613">
        <w:rPr>
          <w:rStyle w:val="TextoNormalNegritaCaracter"/>
        </w:rPr>
        <w:t>Defectos procesales insubsanables</w:t>
      </w:r>
      <w:bookmarkEnd w:id="826"/>
      <w:r w:rsidRPr="00E55613">
        <w:rPr>
          <w:rStyle w:val="TextoNormalCaracter"/>
        </w:rPr>
        <w:t xml:space="preserve">, Sentencia </w:t>
      </w:r>
      <w:hyperlink w:anchor="SENTENCIA_2024_90" w:history="1">
        <w:r w:rsidRPr="00E55613">
          <w:rPr>
            <w:rStyle w:val="TextoNormalCaracter"/>
          </w:rPr>
          <w:t>90/2024</w:t>
        </w:r>
      </w:hyperlink>
      <w:r w:rsidRPr="00E55613">
        <w:rPr>
          <w:rStyle w:val="TextoNormalCaracter"/>
        </w:rPr>
        <w:t>, f. 2.</w:t>
      </w:r>
    </w:p>
    <w:p w14:paraId="1E7FA5D6" w14:textId="727E6904" w:rsidR="00E55613" w:rsidRPr="00E55613" w:rsidRDefault="00E55613" w:rsidP="00E55613">
      <w:pPr>
        <w:pStyle w:val="TextoNormalSangraFrancesa"/>
        <w:rPr>
          <w:rStyle w:val="TextoNormalCaracter"/>
        </w:rPr>
      </w:pPr>
      <w:bookmarkStart w:id="827" w:name="DESCRIPTORALFABETICO249"/>
      <w:r w:rsidRPr="00E55613">
        <w:rPr>
          <w:rStyle w:val="TextoNormalNegritaCaracter"/>
        </w:rPr>
        <w:t>Delegación de voto parlamentario</w:t>
      </w:r>
      <w:bookmarkEnd w:id="827"/>
      <w:r w:rsidRPr="00E55613">
        <w:rPr>
          <w:rStyle w:val="TextoNormalCaracter"/>
        </w:rPr>
        <w:t xml:space="preserve">, Sentencia </w:t>
      </w:r>
      <w:hyperlink w:anchor="SENTENCIA_2024_86" w:history="1">
        <w:r w:rsidRPr="00E55613">
          <w:rPr>
            <w:rStyle w:val="TextoNormalCaracter"/>
          </w:rPr>
          <w:t>86/2024</w:t>
        </w:r>
      </w:hyperlink>
      <w:r w:rsidRPr="00E55613">
        <w:rPr>
          <w:rStyle w:val="TextoNormalCaracter"/>
        </w:rPr>
        <w:t>, f. 3.</w:t>
      </w:r>
    </w:p>
    <w:p w14:paraId="54793E25" w14:textId="4D1EDDD4" w:rsidR="00E55613" w:rsidRPr="00E55613" w:rsidRDefault="00E55613" w:rsidP="00E55613">
      <w:pPr>
        <w:pStyle w:val="TextoNormalSangraFrancesa"/>
        <w:rPr>
          <w:rStyle w:val="TextoNormalCaracter"/>
        </w:rPr>
      </w:pPr>
      <w:bookmarkStart w:id="828" w:name="DESCRIPTORALFABETICO298"/>
      <w:r w:rsidRPr="00E55613">
        <w:rPr>
          <w:rStyle w:val="TextoNormalNegritaCaracter"/>
        </w:rPr>
        <w:t>Delimitación del derecho de propiedad</w:t>
      </w:r>
      <w:bookmarkEnd w:id="828"/>
      <w:r w:rsidRPr="00E55613">
        <w:rPr>
          <w:rStyle w:val="TextoNormalCaracter"/>
        </w:rPr>
        <w:t xml:space="preserve">, Sentencia </w:t>
      </w:r>
      <w:hyperlink w:anchor="SENTENCIA_2024_7" w:history="1">
        <w:r w:rsidRPr="00E55613">
          <w:rPr>
            <w:rStyle w:val="TextoNormalCaracter"/>
          </w:rPr>
          <w:t>7/2024</w:t>
        </w:r>
      </w:hyperlink>
      <w:r w:rsidRPr="00E55613">
        <w:rPr>
          <w:rStyle w:val="TextoNormalCaracter"/>
        </w:rPr>
        <w:t>, ff. 5 y 6.</w:t>
      </w:r>
    </w:p>
    <w:p w14:paraId="3F936927" w14:textId="0E0E7859" w:rsidR="00E55613" w:rsidRPr="00E55613" w:rsidRDefault="00E55613" w:rsidP="00E55613">
      <w:pPr>
        <w:pStyle w:val="TextoNormalSangraFrancesa"/>
        <w:rPr>
          <w:rStyle w:val="TextoNormalCaracter"/>
        </w:rPr>
      </w:pPr>
      <w:bookmarkStart w:id="829" w:name="DESCRIPTORALFABETICO163"/>
      <w:r w:rsidRPr="00E55613">
        <w:rPr>
          <w:rStyle w:val="TextoNormalNegritaCaracter"/>
        </w:rPr>
        <w:t>Delimitación del objeto del recurso de inconstitucionalidad</w:t>
      </w:r>
      <w:bookmarkEnd w:id="829"/>
      <w:r w:rsidRPr="00E55613">
        <w:rPr>
          <w:rStyle w:val="TextoNormalCaracter"/>
        </w:rPr>
        <w:t xml:space="preserve">, Sentencias </w:t>
      </w:r>
      <w:hyperlink w:anchor="SENTENCIA_2024_15" w:history="1">
        <w:r w:rsidRPr="00E55613">
          <w:rPr>
            <w:rStyle w:val="TextoNormalCaracter"/>
          </w:rPr>
          <w:t>15/2024</w:t>
        </w:r>
      </w:hyperlink>
      <w:r w:rsidRPr="00E55613">
        <w:rPr>
          <w:rStyle w:val="TextoNormalCaracter"/>
        </w:rPr>
        <w:t xml:space="preserve">, f. 2; </w:t>
      </w:r>
      <w:hyperlink w:anchor="SENTENCIA_2024_76" w:history="1">
        <w:r w:rsidRPr="00E55613">
          <w:rPr>
            <w:rStyle w:val="TextoNormalCaracter"/>
          </w:rPr>
          <w:t>76/2024</w:t>
        </w:r>
      </w:hyperlink>
      <w:r w:rsidRPr="00E55613">
        <w:rPr>
          <w:rStyle w:val="TextoNormalCaracter"/>
        </w:rPr>
        <w:t>, f. 2.</w:t>
      </w:r>
    </w:p>
    <w:p w14:paraId="30EF3D21" w14:textId="38E9A688" w:rsidR="00E55613" w:rsidRPr="00E55613" w:rsidRDefault="00E55613" w:rsidP="00E55613">
      <w:pPr>
        <w:pStyle w:val="TextoNormalSangraFrancesa"/>
        <w:rPr>
          <w:rStyle w:val="TextoNormalCaracter"/>
        </w:rPr>
      </w:pPr>
      <w:bookmarkStart w:id="830" w:name="DESCRIPTORALFABETICO332"/>
      <w:r w:rsidRPr="00E55613">
        <w:rPr>
          <w:rStyle w:val="TextoNormalNegritaCaracter"/>
        </w:rPr>
        <w:t>Delito provocado</w:t>
      </w:r>
      <w:bookmarkEnd w:id="830"/>
      <w:r w:rsidRPr="00E55613">
        <w:rPr>
          <w:rStyle w:val="TextoNormalCaracter"/>
        </w:rPr>
        <w:t xml:space="preserve">, Sentencia </w:t>
      </w:r>
      <w:hyperlink w:anchor="SENTENCIA_2024_87" w:history="1">
        <w:r w:rsidRPr="00E55613">
          <w:rPr>
            <w:rStyle w:val="TextoNormalCaracter"/>
          </w:rPr>
          <w:t>87/2024</w:t>
        </w:r>
      </w:hyperlink>
      <w:r w:rsidRPr="00E55613">
        <w:rPr>
          <w:rStyle w:val="TextoNormalCaracter"/>
        </w:rPr>
        <w:t>, f. 2.</w:t>
      </w:r>
    </w:p>
    <w:p w14:paraId="26E8CB10" w14:textId="673F5637" w:rsidR="00E55613" w:rsidRPr="00E55613" w:rsidRDefault="00E55613" w:rsidP="00E55613">
      <w:pPr>
        <w:pStyle w:val="TextoNormalSangraFrancesa"/>
        <w:rPr>
          <w:rStyle w:val="TextoNormalCaracter"/>
        </w:rPr>
      </w:pPr>
      <w:bookmarkStart w:id="831" w:name="DESCRIPTORALFABETICO335"/>
      <w:r w:rsidRPr="00E55613">
        <w:rPr>
          <w:rStyle w:val="TextoNormalNegritaCaracter"/>
        </w:rPr>
        <w:t>Delitos contra la seguridad del tráfico</w:t>
      </w:r>
      <w:bookmarkEnd w:id="831"/>
      <w:r w:rsidRPr="00E55613">
        <w:rPr>
          <w:rStyle w:val="TextoNormalCaracter"/>
        </w:rPr>
        <w:t xml:space="preserve">, Sentencia </w:t>
      </w:r>
      <w:hyperlink w:anchor="SENTENCIA_2024_40" w:history="1">
        <w:r w:rsidRPr="00E55613">
          <w:rPr>
            <w:rStyle w:val="TextoNormalCaracter"/>
          </w:rPr>
          <w:t>40/2024</w:t>
        </w:r>
      </w:hyperlink>
      <w:r w:rsidRPr="00E55613">
        <w:rPr>
          <w:rStyle w:val="TextoNormalCaracter"/>
        </w:rPr>
        <w:t>, ff. 1 a 5.</w:t>
      </w:r>
    </w:p>
    <w:p w14:paraId="14CA27D7" w14:textId="3BBC7024" w:rsidR="00E55613" w:rsidRPr="00E55613" w:rsidRDefault="00E55613" w:rsidP="00E55613">
      <w:pPr>
        <w:pStyle w:val="TextoNormalSangraFrancesa"/>
        <w:rPr>
          <w:rStyle w:val="TextoNormalCaracter"/>
        </w:rPr>
      </w:pPr>
      <w:bookmarkStart w:id="832" w:name="DESCRIPTORALFABETICO336"/>
      <w:r w:rsidRPr="00E55613">
        <w:rPr>
          <w:rStyle w:val="TextoNormalNegritaCaracter"/>
        </w:rPr>
        <w:t>Delitos de lesa humanidad</w:t>
      </w:r>
      <w:bookmarkEnd w:id="832"/>
      <w:r w:rsidRPr="00E55613">
        <w:rPr>
          <w:rStyle w:val="TextoNormalCaracter"/>
        </w:rPr>
        <w:t xml:space="preserve">, Auto </w:t>
      </w:r>
      <w:hyperlink w:anchor="AUTO_2024_57" w:history="1">
        <w:r w:rsidRPr="00E55613">
          <w:rPr>
            <w:rStyle w:val="TextoNormalCaracter"/>
          </w:rPr>
          <w:t>57/2024</w:t>
        </w:r>
      </w:hyperlink>
      <w:r w:rsidRPr="00E55613">
        <w:rPr>
          <w:rStyle w:val="TextoNormalCaracter"/>
        </w:rPr>
        <w:t>, ff. 1 y 4.</w:t>
      </w:r>
    </w:p>
    <w:p w14:paraId="729D9CBE" w14:textId="166448C6" w:rsidR="00E55613" w:rsidRPr="00E55613" w:rsidRDefault="00E55613" w:rsidP="00E55613">
      <w:pPr>
        <w:pStyle w:val="TextoNormalSangraFrancesa"/>
        <w:rPr>
          <w:rStyle w:val="TextoNormalCaracter"/>
        </w:rPr>
      </w:pPr>
      <w:bookmarkStart w:id="833" w:name="DESCRIPTORALFABETICO204"/>
      <w:r w:rsidRPr="00E55613">
        <w:rPr>
          <w:rStyle w:val="TextoNormalNegritaCaracter"/>
        </w:rPr>
        <w:t>Denegación de la aplicación de amnistía</w:t>
      </w:r>
      <w:bookmarkEnd w:id="833"/>
      <w:r w:rsidRPr="00E55613">
        <w:rPr>
          <w:rStyle w:val="TextoNormalCaracter"/>
        </w:rPr>
        <w:t xml:space="preserve">, Auto </w:t>
      </w:r>
      <w:hyperlink w:anchor="AUTO_2024_57" w:history="1">
        <w:r w:rsidRPr="00E55613">
          <w:rPr>
            <w:rStyle w:val="TextoNormalCaracter"/>
          </w:rPr>
          <w:t>57/2024</w:t>
        </w:r>
      </w:hyperlink>
      <w:r w:rsidRPr="00E55613">
        <w:rPr>
          <w:rStyle w:val="TextoNormalCaracter"/>
        </w:rPr>
        <w:t>, f. 4, VP II.</w:t>
      </w:r>
    </w:p>
    <w:p w14:paraId="0C8B4FBB" w14:textId="64447B15" w:rsidR="00E55613" w:rsidRPr="00E55613" w:rsidRDefault="00E55613" w:rsidP="00E55613">
      <w:pPr>
        <w:pStyle w:val="TextoNormalSangraFrancesa"/>
        <w:rPr>
          <w:rStyle w:val="TextoNormalCaracter"/>
        </w:rPr>
      </w:pPr>
      <w:bookmarkStart w:id="834" w:name="DESCRIPTORALFABETICO251"/>
      <w:r w:rsidRPr="00E55613">
        <w:rPr>
          <w:rStyle w:val="TextoNormalNegritaCaracter"/>
        </w:rPr>
        <w:t>Denegación de planteamiento de cuestión prejudicial ante el TJUE</w:t>
      </w:r>
      <w:bookmarkEnd w:id="834"/>
      <w:r w:rsidRPr="00E55613">
        <w:rPr>
          <w:rStyle w:val="TextoNormalCaracter"/>
        </w:rPr>
        <w:t xml:space="preserve">, Sentencia </w:t>
      </w:r>
      <w:hyperlink w:anchor="SENTENCIA_2024_66" w:history="1">
        <w:r w:rsidRPr="00E55613">
          <w:rPr>
            <w:rStyle w:val="TextoNormalCaracter"/>
          </w:rPr>
          <w:t>66/2024</w:t>
        </w:r>
      </w:hyperlink>
      <w:r w:rsidRPr="00E55613">
        <w:rPr>
          <w:rStyle w:val="TextoNormalCaracter"/>
        </w:rPr>
        <w:t>, f. 4.</w:t>
      </w:r>
    </w:p>
    <w:p w14:paraId="431BCF67" w14:textId="66EA487E" w:rsidR="00E55613" w:rsidRPr="00E55613" w:rsidRDefault="00E55613" w:rsidP="00E55613">
      <w:pPr>
        <w:pStyle w:val="TextoNormalSangraFrancesa"/>
        <w:rPr>
          <w:rStyle w:val="TextoNormalCaracter"/>
        </w:rPr>
      </w:pPr>
      <w:bookmarkStart w:id="835" w:name="DESCRIPTORALFABETICO134"/>
      <w:r w:rsidRPr="00E55613">
        <w:rPr>
          <w:rStyle w:val="TextoNormalNegritaCaracter"/>
        </w:rPr>
        <w:t>Denegación de suspensión de resoluciones judiciales</w:t>
      </w:r>
      <w:bookmarkEnd w:id="835"/>
      <w:r w:rsidRPr="00E55613">
        <w:rPr>
          <w:rStyle w:val="TextoNormalCaracter"/>
        </w:rPr>
        <w:t xml:space="preserve">, Auto </w:t>
      </w:r>
      <w:hyperlink w:anchor="AUTO_2024_48" w:history="1">
        <w:r w:rsidRPr="00E55613">
          <w:rPr>
            <w:rStyle w:val="TextoNormalCaracter"/>
          </w:rPr>
          <w:t>48/2024</w:t>
        </w:r>
      </w:hyperlink>
      <w:r w:rsidRPr="00E55613">
        <w:rPr>
          <w:rStyle w:val="TextoNormalCaracter"/>
        </w:rPr>
        <w:t>, f. único.</w:t>
      </w:r>
    </w:p>
    <w:p w14:paraId="1991ADD7" w14:textId="18DF17C7" w:rsidR="00E55613" w:rsidRPr="00E55613" w:rsidRDefault="00E55613" w:rsidP="00E55613">
      <w:pPr>
        <w:pStyle w:val="TextoNormalSangraFrancesa"/>
        <w:rPr>
          <w:rStyle w:val="TextoNormalCaracter"/>
        </w:rPr>
      </w:pPr>
      <w:bookmarkStart w:id="836" w:name="DESCRIPTORALFABETICO35"/>
      <w:r w:rsidRPr="00E55613">
        <w:rPr>
          <w:rStyle w:val="TextoNormalNegritaCaracter"/>
        </w:rPr>
        <w:t>Derecho a acceder a los cargos públicos</w:t>
      </w:r>
      <w:bookmarkEnd w:id="836"/>
      <w:r w:rsidRPr="00E55613">
        <w:rPr>
          <w:rStyle w:val="TextoNormalCaracter"/>
        </w:rPr>
        <w:t xml:space="preserve">, Sentencias </w:t>
      </w:r>
      <w:hyperlink w:anchor="SENTENCIA_2024_31" w:history="1">
        <w:r w:rsidRPr="00E55613">
          <w:rPr>
            <w:rStyle w:val="TextoNormalCaracter"/>
          </w:rPr>
          <w:t>31/2024</w:t>
        </w:r>
      </w:hyperlink>
      <w:r w:rsidRPr="00E55613">
        <w:rPr>
          <w:rStyle w:val="TextoNormalCaracter"/>
        </w:rPr>
        <w:t xml:space="preserve">, f. único; </w:t>
      </w:r>
      <w:hyperlink w:anchor="SENTENCIA_2024_45" w:history="1">
        <w:r w:rsidRPr="00E55613">
          <w:rPr>
            <w:rStyle w:val="TextoNormalCaracter"/>
          </w:rPr>
          <w:t>45/2024</w:t>
        </w:r>
      </w:hyperlink>
      <w:r w:rsidRPr="00E55613">
        <w:rPr>
          <w:rStyle w:val="TextoNormalCaracter"/>
        </w:rPr>
        <w:t xml:space="preserve">, ff. 1 y 2; </w:t>
      </w:r>
      <w:hyperlink w:anchor="SENTENCIA_2024_64" w:history="1">
        <w:r w:rsidRPr="00E55613">
          <w:rPr>
            <w:rStyle w:val="TextoNormalCaracter"/>
          </w:rPr>
          <w:t>64/2024</w:t>
        </w:r>
      </w:hyperlink>
      <w:r w:rsidRPr="00E55613">
        <w:rPr>
          <w:rStyle w:val="TextoNormalCaracter"/>
        </w:rPr>
        <w:t>, f. único.</w:t>
      </w:r>
    </w:p>
    <w:p w14:paraId="22D888AF" w14:textId="42A3FE56" w:rsidR="00E55613" w:rsidRPr="00E55613" w:rsidRDefault="00E55613" w:rsidP="00E55613">
      <w:pPr>
        <w:pStyle w:val="TextoNormalSangraFrancesa"/>
        <w:rPr>
          <w:rStyle w:val="TextoNormalCaracter"/>
        </w:rPr>
      </w:pPr>
      <w:r w:rsidRPr="00E55613">
        <w:rPr>
          <w:rStyle w:val="TextoNormalCursivaCaracter"/>
        </w:rPr>
        <w:t xml:space="preserve">    Respetado, </w:t>
      </w:r>
      <w:r w:rsidRPr="00E55613">
        <w:rPr>
          <w:rStyle w:val="TextoNormalCaracter"/>
        </w:rPr>
        <w:t xml:space="preserve">Sentencia </w:t>
      </w:r>
      <w:hyperlink w:anchor="SENTENCIA_2024_66" w:history="1">
        <w:r w:rsidRPr="00E55613">
          <w:rPr>
            <w:rStyle w:val="TextoNormalCaracter"/>
          </w:rPr>
          <w:t>66/2024</w:t>
        </w:r>
      </w:hyperlink>
      <w:r w:rsidRPr="00E55613">
        <w:rPr>
          <w:rStyle w:val="TextoNormalCaracter"/>
        </w:rPr>
        <w:t>, f. 4.</w:t>
      </w:r>
    </w:p>
    <w:p w14:paraId="598848ED" w14:textId="4AE8E8C4" w:rsidR="00E55613" w:rsidRPr="00E55613" w:rsidRDefault="00E55613" w:rsidP="00E55613">
      <w:pPr>
        <w:pStyle w:val="TextoNormalSangraFrancesa"/>
        <w:rPr>
          <w:rStyle w:val="TextoNormalCaracter"/>
        </w:rPr>
      </w:pPr>
      <w:bookmarkStart w:id="837" w:name="DESCRIPTORALFABETICO36"/>
      <w:r w:rsidRPr="00E55613">
        <w:rPr>
          <w:rStyle w:val="TextoNormalNegritaCaracter"/>
        </w:rPr>
        <w:t>Derecho a ejercer los cargos públicos</w:t>
      </w:r>
      <w:bookmarkEnd w:id="837"/>
      <w:r w:rsidRPr="00E55613">
        <w:rPr>
          <w:rStyle w:val="TextoNormalCaracter"/>
        </w:rPr>
        <w:t xml:space="preserve">, Sentencias </w:t>
      </w:r>
      <w:hyperlink w:anchor="SENTENCIA_2024_15" w:history="1">
        <w:r w:rsidRPr="00E55613">
          <w:rPr>
            <w:rStyle w:val="TextoNormalCaracter"/>
          </w:rPr>
          <w:t>15/2024</w:t>
        </w:r>
      </w:hyperlink>
      <w:r w:rsidRPr="00E55613">
        <w:rPr>
          <w:rStyle w:val="TextoNormalCaracter"/>
        </w:rPr>
        <w:t xml:space="preserve">, ff. 4 a 7; </w:t>
      </w:r>
      <w:hyperlink w:anchor="SENTENCIA_2024_25" w:history="1">
        <w:r w:rsidRPr="00E55613">
          <w:rPr>
            <w:rStyle w:val="TextoNormalCaracter"/>
          </w:rPr>
          <w:t>25/2024</w:t>
        </w:r>
      </w:hyperlink>
      <w:r w:rsidRPr="00E55613">
        <w:rPr>
          <w:rStyle w:val="TextoNormalCaracter"/>
        </w:rPr>
        <w:t>, f. 3.</w:t>
      </w:r>
    </w:p>
    <w:p w14:paraId="4328E9A7" w14:textId="79E2E854" w:rsidR="00E55613" w:rsidRPr="00E55613" w:rsidRDefault="00E55613" w:rsidP="00E55613">
      <w:pPr>
        <w:pStyle w:val="TextoNormalSangraFrancesa"/>
        <w:rPr>
          <w:rStyle w:val="TextoNormalCaracter"/>
        </w:rPr>
      </w:pPr>
      <w:r w:rsidRPr="00E55613">
        <w:rPr>
          <w:rStyle w:val="TextoNormalCursivaCaracter"/>
        </w:rPr>
        <w:t xml:space="preserve">    Respetado, </w:t>
      </w:r>
      <w:r w:rsidRPr="00E55613">
        <w:rPr>
          <w:rStyle w:val="TextoNormalCaracter"/>
        </w:rPr>
        <w:t xml:space="preserve">Sentencia </w:t>
      </w:r>
      <w:hyperlink w:anchor="SENTENCIA_2024_10" w:history="1">
        <w:r w:rsidRPr="00E55613">
          <w:rPr>
            <w:rStyle w:val="TextoNormalCaracter"/>
          </w:rPr>
          <w:t>10/2024</w:t>
        </w:r>
      </w:hyperlink>
      <w:r w:rsidRPr="00E55613">
        <w:rPr>
          <w:rStyle w:val="TextoNormalCaracter"/>
        </w:rPr>
        <w:t>, ff. 2, 3 y 4.</w:t>
      </w:r>
    </w:p>
    <w:p w14:paraId="6919AEDC" w14:textId="1CCCFA08" w:rsidR="00E55613" w:rsidRPr="00E55613" w:rsidRDefault="00E55613" w:rsidP="00E55613">
      <w:pPr>
        <w:pStyle w:val="TextoNormalSangraFrancesa"/>
        <w:rPr>
          <w:rStyle w:val="TextoNormalCaracter"/>
        </w:rPr>
      </w:pPr>
      <w:r w:rsidRPr="00E55613">
        <w:rPr>
          <w:rStyle w:val="TextoNormalCursivaCaracter"/>
        </w:rPr>
        <w:t xml:space="preserve">    Vulnerado, </w:t>
      </w:r>
      <w:r w:rsidRPr="00E55613">
        <w:rPr>
          <w:rStyle w:val="TextoNormalCaracter"/>
        </w:rPr>
        <w:t xml:space="preserve">Sentencias </w:t>
      </w:r>
      <w:hyperlink w:anchor="SENTENCIA_2024_18" w:history="1">
        <w:r w:rsidRPr="00E55613">
          <w:rPr>
            <w:rStyle w:val="TextoNormalCaracter"/>
          </w:rPr>
          <w:t>18/2024</w:t>
        </w:r>
      </w:hyperlink>
      <w:r w:rsidRPr="00E55613">
        <w:rPr>
          <w:rStyle w:val="TextoNormalCaracter"/>
        </w:rPr>
        <w:t xml:space="preserve">, f. único, VP; </w:t>
      </w:r>
      <w:hyperlink w:anchor="SENTENCIA_2024_86" w:history="1">
        <w:r w:rsidRPr="00E55613">
          <w:rPr>
            <w:rStyle w:val="TextoNormalCaracter"/>
          </w:rPr>
          <w:t>86/2024</w:t>
        </w:r>
      </w:hyperlink>
      <w:r w:rsidRPr="00E55613">
        <w:rPr>
          <w:rStyle w:val="TextoNormalCaracter"/>
        </w:rPr>
        <w:t>, f. 3.</w:t>
      </w:r>
    </w:p>
    <w:p w14:paraId="659E3D12" w14:textId="36117D8C" w:rsidR="00E55613" w:rsidRPr="00E55613" w:rsidRDefault="00E55613" w:rsidP="00E55613">
      <w:pPr>
        <w:pStyle w:val="TextoNormalSangraFrancesa"/>
        <w:rPr>
          <w:rStyle w:val="TextoNormalCaracter"/>
        </w:rPr>
      </w:pPr>
      <w:bookmarkStart w:id="838" w:name="DESCRIPTORALFABETICO39"/>
      <w:r w:rsidRPr="00E55613">
        <w:rPr>
          <w:rStyle w:val="TextoNormalNegritaCaracter"/>
        </w:rPr>
        <w:t>Derecho a elegir la formación religiosa y moral de los hijos</w:t>
      </w:r>
      <w:bookmarkEnd w:id="838"/>
      <w:r w:rsidRPr="00E55613">
        <w:rPr>
          <w:rStyle w:val="TextoNormalCaracter"/>
        </w:rPr>
        <w:t xml:space="preserve">, Sentencia </w:t>
      </w:r>
      <w:hyperlink w:anchor="SENTENCIA_2024_92" w:history="1">
        <w:r w:rsidRPr="00E55613">
          <w:rPr>
            <w:rStyle w:val="TextoNormalCaracter"/>
          </w:rPr>
          <w:t>92/2024</w:t>
        </w:r>
      </w:hyperlink>
      <w:r w:rsidRPr="00E55613">
        <w:rPr>
          <w:rStyle w:val="TextoNormalCaracter"/>
        </w:rPr>
        <w:t>, f. 5.</w:t>
      </w:r>
    </w:p>
    <w:p w14:paraId="43ECB523" w14:textId="561F2034" w:rsidR="00E55613" w:rsidRPr="00E55613" w:rsidRDefault="00E55613" w:rsidP="00E55613">
      <w:pPr>
        <w:pStyle w:val="TextoNormalSangraFrancesa"/>
        <w:rPr>
          <w:rStyle w:val="TextoNormalCaracter"/>
        </w:rPr>
      </w:pPr>
      <w:r w:rsidRPr="00E55613">
        <w:rPr>
          <w:rStyle w:val="TextoNormalCursivaCaracter"/>
        </w:rPr>
        <w:t xml:space="preserve">    Vulnerado, </w:t>
      </w:r>
      <w:r w:rsidRPr="00E55613">
        <w:rPr>
          <w:rStyle w:val="TextoNormalCaracter"/>
        </w:rPr>
        <w:t xml:space="preserve">Sentencia </w:t>
      </w:r>
      <w:hyperlink w:anchor="SENTENCIA_2024_26" w:history="1">
        <w:r w:rsidRPr="00E55613">
          <w:rPr>
            <w:rStyle w:val="TextoNormalCaracter"/>
          </w:rPr>
          <w:t>26/2024</w:t>
        </w:r>
      </w:hyperlink>
      <w:r w:rsidRPr="00E55613">
        <w:rPr>
          <w:rStyle w:val="TextoNormalCaracter"/>
        </w:rPr>
        <w:t>.</w:t>
      </w:r>
    </w:p>
    <w:p w14:paraId="012CC3EB" w14:textId="77777777" w:rsidR="00E55613" w:rsidRPr="00E55613" w:rsidRDefault="00E55613" w:rsidP="00E55613">
      <w:pPr>
        <w:pStyle w:val="TextoNormalSangraFrancesa"/>
        <w:rPr>
          <w:rStyle w:val="TextoNormalCaracter"/>
        </w:rPr>
      </w:pPr>
      <w:bookmarkStart w:id="839" w:name="DESCRIPTORALFABETICO65"/>
      <w:r w:rsidRPr="00E55613">
        <w:rPr>
          <w:rStyle w:val="TextoNormalNegritaCaracter"/>
        </w:rPr>
        <w:t>Derecho a la acción penal</w:t>
      </w:r>
      <w:bookmarkEnd w:id="839"/>
      <w:r w:rsidRPr="00E55613">
        <w:rPr>
          <w:rStyle w:val="TextoNormalCaracter"/>
        </w:rPr>
        <w:t xml:space="preserve">, </w:t>
      </w:r>
    </w:p>
    <w:p w14:paraId="548B71B9" w14:textId="5D378167" w:rsidR="00E55613" w:rsidRPr="00E55613" w:rsidRDefault="00E55613" w:rsidP="00E55613">
      <w:pPr>
        <w:pStyle w:val="TextoNormalSangraFrancesa"/>
        <w:rPr>
          <w:rStyle w:val="TextoNormalCaracter"/>
        </w:rPr>
      </w:pPr>
      <w:r w:rsidRPr="00E55613">
        <w:rPr>
          <w:rStyle w:val="TextoNormalCursivaCaracter"/>
        </w:rPr>
        <w:t xml:space="preserve">    Respetado, </w:t>
      </w:r>
      <w:r w:rsidRPr="00E55613">
        <w:rPr>
          <w:rStyle w:val="TextoNormalCaracter"/>
        </w:rPr>
        <w:t xml:space="preserve">Auto </w:t>
      </w:r>
      <w:hyperlink w:anchor="AUTO_2024_57" w:history="1">
        <w:r w:rsidRPr="00E55613">
          <w:rPr>
            <w:rStyle w:val="TextoNormalCaracter"/>
          </w:rPr>
          <w:t>57/2024</w:t>
        </w:r>
      </w:hyperlink>
      <w:r w:rsidRPr="00E55613">
        <w:rPr>
          <w:rStyle w:val="TextoNormalCaracter"/>
        </w:rPr>
        <w:t>, f. 4, VP II.</w:t>
      </w:r>
    </w:p>
    <w:p w14:paraId="68C7200D" w14:textId="77777777" w:rsidR="00E55613" w:rsidRPr="00E55613" w:rsidRDefault="00E55613" w:rsidP="00E55613">
      <w:pPr>
        <w:pStyle w:val="TextoNormalSangraFrancesa"/>
        <w:rPr>
          <w:rStyle w:val="TextoNormalCaracter"/>
        </w:rPr>
      </w:pPr>
      <w:bookmarkStart w:id="840" w:name="DESCRIPTORALFABETICO99"/>
      <w:r w:rsidRPr="00E55613">
        <w:rPr>
          <w:rStyle w:val="TextoNormalNegritaCaracter"/>
        </w:rPr>
        <w:t>Derecho a la defensa</w:t>
      </w:r>
      <w:bookmarkEnd w:id="840"/>
      <w:r w:rsidRPr="00E55613">
        <w:rPr>
          <w:rStyle w:val="TextoNormalCaracter"/>
        </w:rPr>
        <w:t xml:space="preserve">, </w:t>
      </w:r>
    </w:p>
    <w:p w14:paraId="1202A160" w14:textId="0136D6FD" w:rsidR="00E55613" w:rsidRPr="00E55613" w:rsidRDefault="00E55613" w:rsidP="00E55613">
      <w:pPr>
        <w:pStyle w:val="TextoNormalSangraFrancesa"/>
        <w:rPr>
          <w:rStyle w:val="TextoNormalCaracter"/>
        </w:rPr>
      </w:pPr>
      <w:r w:rsidRPr="00E55613">
        <w:rPr>
          <w:rStyle w:val="TextoNormalCursivaCaracter"/>
        </w:rPr>
        <w:t xml:space="preserve">    Vulnerado, </w:t>
      </w:r>
      <w:r w:rsidRPr="00E55613">
        <w:rPr>
          <w:rStyle w:val="TextoNormalCaracter"/>
        </w:rPr>
        <w:t xml:space="preserve">Sentencia </w:t>
      </w:r>
      <w:hyperlink w:anchor="SENTENCIA_2024_40" w:history="1">
        <w:r w:rsidRPr="00E55613">
          <w:rPr>
            <w:rStyle w:val="TextoNormalCaracter"/>
          </w:rPr>
          <w:t>40/2024</w:t>
        </w:r>
      </w:hyperlink>
      <w:r w:rsidRPr="00E55613">
        <w:rPr>
          <w:rStyle w:val="TextoNormalCaracter"/>
        </w:rPr>
        <w:t>, ff. 3 a 5.</w:t>
      </w:r>
    </w:p>
    <w:p w14:paraId="0C3718A6" w14:textId="77777777" w:rsidR="00E55613" w:rsidRPr="00E55613" w:rsidRDefault="00E55613" w:rsidP="00E55613">
      <w:pPr>
        <w:pStyle w:val="TextoNormalSangraFrancesa"/>
        <w:rPr>
          <w:rStyle w:val="TextoNormalCaracter"/>
        </w:rPr>
      </w:pPr>
      <w:bookmarkStart w:id="841" w:name="DESCRIPTORALFABETICO38"/>
      <w:r w:rsidRPr="00E55613">
        <w:rPr>
          <w:rStyle w:val="TextoNormalNegritaCaracter"/>
        </w:rPr>
        <w:t>Derecho a la educación</w:t>
      </w:r>
      <w:bookmarkEnd w:id="841"/>
      <w:r w:rsidRPr="00E55613">
        <w:rPr>
          <w:rStyle w:val="TextoNormalCaracter"/>
        </w:rPr>
        <w:t xml:space="preserve">, </w:t>
      </w:r>
    </w:p>
    <w:p w14:paraId="72FA0CC3" w14:textId="2C36284F" w:rsidR="00E55613" w:rsidRPr="00E55613" w:rsidRDefault="00E55613" w:rsidP="00E55613">
      <w:pPr>
        <w:pStyle w:val="TextoNormalSangraFrancesa"/>
        <w:rPr>
          <w:rStyle w:val="TextoNormalCaracter"/>
        </w:rPr>
      </w:pPr>
      <w:r w:rsidRPr="00E55613">
        <w:rPr>
          <w:rStyle w:val="TextoNormalCursivaCaracter"/>
        </w:rPr>
        <w:t xml:space="preserve">    Respetado, </w:t>
      </w:r>
      <w:r w:rsidRPr="00E55613">
        <w:rPr>
          <w:rStyle w:val="TextoNormalCaracter"/>
        </w:rPr>
        <w:t xml:space="preserve">Sentencia </w:t>
      </w:r>
      <w:hyperlink w:anchor="SENTENCIA_2024_92" w:history="1">
        <w:r w:rsidRPr="00E55613">
          <w:rPr>
            <w:rStyle w:val="TextoNormalCaracter"/>
          </w:rPr>
          <w:t>92/2024</w:t>
        </w:r>
      </w:hyperlink>
      <w:r w:rsidRPr="00E55613">
        <w:rPr>
          <w:rStyle w:val="TextoNormalCaracter"/>
        </w:rPr>
        <w:t>, ff. 5 y 6.</w:t>
      </w:r>
    </w:p>
    <w:p w14:paraId="1AE29061" w14:textId="77777777" w:rsidR="00E55613" w:rsidRPr="00E55613" w:rsidRDefault="00E55613" w:rsidP="00E55613">
      <w:pPr>
        <w:pStyle w:val="TextoNormalSangraFrancesa"/>
        <w:rPr>
          <w:rStyle w:val="TextoNormalCaracter"/>
        </w:rPr>
      </w:pPr>
      <w:bookmarkStart w:id="842" w:name="DESCRIPTORALFABETICO63"/>
      <w:r w:rsidRPr="00E55613">
        <w:rPr>
          <w:rStyle w:val="TextoNormalNegritaCaracter"/>
        </w:rPr>
        <w:t>Derecho a la ejecución de resoluciones judiciales</w:t>
      </w:r>
      <w:bookmarkEnd w:id="842"/>
      <w:r w:rsidRPr="00E55613">
        <w:rPr>
          <w:rStyle w:val="TextoNormalCaracter"/>
        </w:rPr>
        <w:t xml:space="preserve">, </w:t>
      </w:r>
    </w:p>
    <w:p w14:paraId="7A8EBDEA" w14:textId="26E83611" w:rsidR="00E55613" w:rsidRPr="00E55613" w:rsidRDefault="00E55613" w:rsidP="00E55613">
      <w:pPr>
        <w:pStyle w:val="TextoNormalSangraFrancesa"/>
        <w:rPr>
          <w:rStyle w:val="TextoNormalCaracter"/>
        </w:rPr>
      </w:pPr>
      <w:r w:rsidRPr="00E55613">
        <w:rPr>
          <w:rStyle w:val="TextoNormalCursivaCaracter"/>
        </w:rPr>
        <w:t xml:space="preserve">    Respetado, </w:t>
      </w:r>
      <w:r w:rsidRPr="00E55613">
        <w:rPr>
          <w:rStyle w:val="TextoNormalCaracter"/>
        </w:rPr>
        <w:t xml:space="preserve">Sentencias </w:t>
      </w:r>
      <w:hyperlink w:anchor="SENTENCIA_2024_50" w:history="1">
        <w:r w:rsidRPr="00E55613">
          <w:rPr>
            <w:rStyle w:val="TextoNormalCaracter"/>
          </w:rPr>
          <w:t>50/2024</w:t>
        </w:r>
      </w:hyperlink>
      <w:r w:rsidRPr="00E55613">
        <w:rPr>
          <w:rStyle w:val="TextoNormalCaracter"/>
        </w:rPr>
        <w:t xml:space="preserve">, f. 5; </w:t>
      </w:r>
      <w:hyperlink w:anchor="SENTENCIA_2024_66" w:history="1">
        <w:r w:rsidRPr="00E55613">
          <w:rPr>
            <w:rStyle w:val="TextoNormalCaracter"/>
          </w:rPr>
          <w:t>66/2024</w:t>
        </w:r>
      </w:hyperlink>
      <w:r w:rsidRPr="00E55613">
        <w:rPr>
          <w:rStyle w:val="TextoNormalCaracter"/>
        </w:rPr>
        <w:t>, f. 4.</w:t>
      </w:r>
    </w:p>
    <w:p w14:paraId="0411066E" w14:textId="519503BB" w:rsidR="00E55613" w:rsidRPr="00E55613" w:rsidRDefault="00E55613" w:rsidP="00E55613">
      <w:pPr>
        <w:pStyle w:val="TextoNormalSangraFrancesa"/>
        <w:rPr>
          <w:rStyle w:val="TextoNormalCaracter"/>
        </w:rPr>
      </w:pPr>
      <w:bookmarkStart w:id="843" w:name="DESCRIPTORALFABETICO40"/>
      <w:r w:rsidRPr="00E55613">
        <w:rPr>
          <w:rStyle w:val="TextoNormalNegritaCaracter"/>
        </w:rPr>
        <w:t>Derecho a la igualdad</w:t>
      </w:r>
      <w:bookmarkEnd w:id="843"/>
      <w:r w:rsidRPr="00E55613">
        <w:rPr>
          <w:rStyle w:val="TextoNormalCaracter"/>
        </w:rPr>
        <w:t xml:space="preserve">, Sentencias </w:t>
      </w:r>
      <w:hyperlink w:anchor="SENTENCIA_2024_25" w:history="1">
        <w:r w:rsidRPr="00E55613">
          <w:rPr>
            <w:rStyle w:val="TextoNormalCaracter"/>
          </w:rPr>
          <w:t>25/2024</w:t>
        </w:r>
      </w:hyperlink>
      <w:r w:rsidRPr="00E55613">
        <w:rPr>
          <w:rStyle w:val="TextoNormalCaracter"/>
        </w:rPr>
        <w:t xml:space="preserve">, ff. 1 y 11; </w:t>
      </w:r>
      <w:hyperlink w:anchor="SENTENCIA_2024_75" w:history="1">
        <w:r w:rsidRPr="00E55613">
          <w:rPr>
            <w:rStyle w:val="TextoNormalCaracter"/>
          </w:rPr>
          <w:t>75/2024</w:t>
        </w:r>
      </w:hyperlink>
      <w:r w:rsidRPr="00E55613">
        <w:rPr>
          <w:rStyle w:val="TextoNormalCaracter"/>
        </w:rPr>
        <w:t xml:space="preserve">, f. 5; </w:t>
      </w:r>
      <w:hyperlink w:anchor="SENTENCIA_2024_92" w:history="1">
        <w:r w:rsidRPr="00E55613">
          <w:rPr>
            <w:rStyle w:val="TextoNormalCaracter"/>
          </w:rPr>
          <w:t>92/2024</w:t>
        </w:r>
      </w:hyperlink>
      <w:r w:rsidRPr="00E55613">
        <w:rPr>
          <w:rStyle w:val="TextoNormalCaracter"/>
        </w:rPr>
        <w:t>, ff. 3, 4 y 9.</w:t>
      </w:r>
    </w:p>
    <w:p w14:paraId="02763C00" w14:textId="77777777" w:rsidR="00E55613" w:rsidRPr="00E55613" w:rsidRDefault="00E55613" w:rsidP="00E55613">
      <w:pPr>
        <w:pStyle w:val="TextoNormalSangraFrancesa"/>
        <w:rPr>
          <w:rStyle w:val="TextoNormalCaracter"/>
        </w:rPr>
      </w:pPr>
      <w:bookmarkStart w:id="844" w:name="DESCRIPTORALFABETICO45"/>
      <w:r w:rsidRPr="00E55613">
        <w:rPr>
          <w:rStyle w:val="TextoNormalNegritaCaracter"/>
        </w:rPr>
        <w:t>Derecho a la integridad física y moral</w:t>
      </w:r>
      <w:bookmarkEnd w:id="844"/>
      <w:r w:rsidRPr="00E55613">
        <w:rPr>
          <w:rStyle w:val="TextoNormalCaracter"/>
        </w:rPr>
        <w:t xml:space="preserve">, </w:t>
      </w:r>
    </w:p>
    <w:p w14:paraId="43195B9A" w14:textId="2EA1EC0F" w:rsidR="00E55613" w:rsidRPr="00E55613" w:rsidRDefault="00E55613" w:rsidP="00E55613">
      <w:pPr>
        <w:pStyle w:val="TextoNormalSangraFrancesa"/>
        <w:rPr>
          <w:rStyle w:val="TextoNormalCaracter"/>
        </w:rPr>
      </w:pPr>
      <w:r w:rsidRPr="00E55613">
        <w:rPr>
          <w:rStyle w:val="TextoNormalCursivaCaracter"/>
        </w:rPr>
        <w:t xml:space="preserve">    Doctrina constitucional, </w:t>
      </w:r>
      <w:r w:rsidRPr="00E55613">
        <w:rPr>
          <w:rStyle w:val="TextoNormalCaracter"/>
        </w:rPr>
        <w:t xml:space="preserve">Sentencia </w:t>
      </w:r>
      <w:hyperlink w:anchor="SENTENCIA_2024_28" w:history="1">
        <w:r w:rsidRPr="00E55613">
          <w:rPr>
            <w:rStyle w:val="TextoNormalCaracter"/>
          </w:rPr>
          <w:t>28/2024</w:t>
        </w:r>
      </w:hyperlink>
      <w:r w:rsidRPr="00E55613">
        <w:rPr>
          <w:rStyle w:val="TextoNormalCaracter"/>
        </w:rPr>
        <w:t>, f. 3, VP.</w:t>
      </w:r>
    </w:p>
    <w:p w14:paraId="0F22A435" w14:textId="1C187BA0" w:rsidR="00E55613" w:rsidRPr="00E55613" w:rsidRDefault="00E55613" w:rsidP="00E55613">
      <w:pPr>
        <w:pStyle w:val="TextoNormalSangraFrancesa"/>
        <w:rPr>
          <w:rStyle w:val="TextoNormalCaracter"/>
        </w:rPr>
      </w:pPr>
      <w:r w:rsidRPr="00E55613">
        <w:rPr>
          <w:rStyle w:val="TextoNormalCursivaCaracter"/>
        </w:rPr>
        <w:t xml:space="preserve">    Respetado, </w:t>
      </w:r>
      <w:r w:rsidRPr="00E55613">
        <w:rPr>
          <w:rStyle w:val="TextoNormalCaracter"/>
        </w:rPr>
        <w:t xml:space="preserve">Sentencias </w:t>
      </w:r>
      <w:hyperlink w:anchor="SENTENCIA_2024_4" w:history="1">
        <w:r w:rsidRPr="00E55613">
          <w:rPr>
            <w:rStyle w:val="TextoNormalCaracter"/>
          </w:rPr>
          <w:t>4/2024</w:t>
        </w:r>
      </w:hyperlink>
      <w:r w:rsidRPr="00E55613">
        <w:rPr>
          <w:rStyle w:val="TextoNormalCaracter"/>
        </w:rPr>
        <w:t xml:space="preserve">, f. 3; </w:t>
      </w:r>
      <w:hyperlink w:anchor="SENTENCIA_2024_5" w:history="1">
        <w:r w:rsidRPr="00E55613">
          <w:rPr>
            <w:rStyle w:val="TextoNormalCaracter"/>
          </w:rPr>
          <w:t>5/2024</w:t>
        </w:r>
      </w:hyperlink>
      <w:r w:rsidRPr="00E55613">
        <w:rPr>
          <w:rStyle w:val="TextoNormalCaracter"/>
        </w:rPr>
        <w:t xml:space="preserve">, f. 3; </w:t>
      </w:r>
      <w:hyperlink w:anchor="SENTENCIA_2024_6" w:history="1">
        <w:r w:rsidRPr="00E55613">
          <w:rPr>
            <w:rStyle w:val="TextoNormalCaracter"/>
          </w:rPr>
          <w:t>6/2024</w:t>
        </w:r>
      </w:hyperlink>
      <w:r w:rsidRPr="00E55613">
        <w:rPr>
          <w:rStyle w:val="TextoNormalCaracter"/>
        </w:rPr>
        <w:t xml:space="preserve">, f. 3; </w:t>
      </w:r>
      <w:hyperlink w:anchor="SENTENCIA_2024_13" w:history="1">
        <w:r w:rsidRPr="00E55613">
          <w:rPr>
            <w:rStyle w:val="TextoNormalCaracter"/>
          </w:rPr>
          <w:t>13/2024</w:t>
        </w:r>
      </w:hyperlink>
      <w:r w:rsidRPr="00E55613">
        <w:rPr>
          <w:rStyle w:val="TextoNormalCaracter"/>
        </w:rPr>
        <w:t xml:space="preserve">, f. 3; </w:t>
      </w:r>
      <w:hyperlink w:anchor="SENTENCIA_2024_14" w:history="1">
        <w:r w:rsidRPr="00E55613">
          <w:rPr>
            <w:rStyle w:val="TextoNormalCaracter"/>
          </w:rPr>
          <w:t>14/2024</w:t>
        </w:r>
      </w:hyperlink>
      <w:r w:rsidRPr="00E55613">
        <w:rPr>
          <w:rStyle w:val="TextoNormalCaracter"/>
        </w:rPr>
        <w:t xml:space="preserve">, f. 4; </w:t>
      </w:r>
      <w:hyperlink w:anchor="SENTENCIA_2024_24" w:history="1">
        <w:r w:rsidRPr="00E55613">
          <w:rPr>
            <w:rStyle w:val="TextoNormalCaracter"/>
          </w:rPr>
          <w:t>24/2024</w:t>
        </w:r>
      </w:hyperlink>
      <w:r w:rsidRPr="00E55613">
        <w:rPr>
          <w:rStyle w:val="TextoNormalCaracter"/>
        </w:rPr>
        <w:t xml:space="preserve">, f. 3; </w:t>
      </w:r>
      <w:hyperlink w:anchor="SENTENCIA_2024_41" w:history="1">
        <w:r w:rsidRPr="00E55613">
          <w:rPr>
            <w:rStyle w:val="TextoNormalCaracter"/>
          </w:rPr>
          <w:t>41/2024</w:t>
        </w:r>
      </w:hyperlink>
      <w:r w:rsidRPr="00E55613">
        <w:rPr>
          <w:rStyle w:val="TextoNormalCaracter"/>
        </w:rPr>
        <w:t xml:space="preserve">, f. 3; </w:t>
      </w:r>
      <w:hyperlink w:anchor="SENTENCIA_2024_56" w:history="1">
        <w:r w:rsidRPr="00E55613">
          <w:rPr>
            <w:rStyle w:val="TextoNormalCaracter"/>
          </w:rPr>
          <w:t>56/2024</w:t>
        </w:r>
      </w:hyperlink>
      <w:r w:rsidRPr="00E55613">
        <w:rPr>
          <w:rStyle w:val="TextoNormalCaracter"/>
        </w:rPr>
        <w:t xml:space="preserve">, f. 3; </w:t>
      </w:r>
      <w:hyperlink w:anchor="SENTENCIA_2024_58" w:history="1">
        <w:r w:rsidRPr="00E55613">
          <w:rPr>
            <w:rStyle w:val="TextoNormalCaracter"/>
          </w:rPr>
          <w:t>58/2024</w:t>
        </w:r>
      </w:hyperlink>
      <w:r w:rsidRPr="00E55613">
        <w:rPr>
          <w:rStyle w:val="TextoNormalCaracter"/>
        </w:rPr>
        <w:t xml:space="preserve">, f. 3; </w:t>
      </w:r>
      <w:hyperlink w:anchor="SENTENCIA_2024_59" w:history="1">
        <w:r w:rsidRPr="00E55613">
          <w:rPr>
            <w:rStyle w:val="TextoNormalCaracter"/>
          </w:rPr>
          <w:t>59/2024</w:t>
        </w:r>
      </w:hyperlink>
      <w:r w:rsidRPr="00E55613">
        <w:rPr>
          <w:rStyle w:val="TextoNormalCaracter"/>
        </w:rPr>
        <w:t xml:space="preserve">, f. 3; </w:t>
      </w:r>
      <w:hyperlink w:anchor="SENTENCIA_2024_60" w:history="1">
        <w:r w:rsidRPr="00E55613">
          <w:rPr>
            <w:rStyle w:val="TextoNormalCaracter"/>
          </w:rPr>
          <w:t>60/2024</w:t>
        </w:r>
      </w:hyperlink>
      <w:r w:rsidRPr="00E55613">
        <w:rPr>
          <w:rStyle w:val="TextoNormalCaracter"/>
        </w:rPr>
        <w:t xml:space="preserve">, f. 3; </w:t>
      </w:r>
      <w:hyperlink w:anchor="SENTENCIA_2024_71" w:history="1">
        <w:r w:rsidRPr="00E55613">
          <w:rPr>
            <w:rStyle w:val="TextoNormalCaracter"/>
          </w:rPr>
          <w:t>71/2024</w:t>
        </w:r>
      </w:hyperlink>
      <w:r w:rsidRPr="00E55613">
        <w:rPr>
          <w:rStyle w:val="TextoNormalCaracter"/>
        </w:rPr>
        <w:t xml:space="preserve">, f. único; </w:t>
      </w:r>
      <w:hyperlink w:anchor="SENTENCIA_2024_75" w:history="1">
        <w:r w:rsidRPr="00E55613">
          <w:rPr>
            <w:rStyle w:val="TextoNormalCaracter"/>
          </w:rPr>
          <w:t>75/2024</w:t>
        </w:r>
      </w:hyperlink>
      <w:r w:rsidRPr="00E55613">
        <w:rPr>
          <w:rStyle w:val="TextoNormalCaracter"/>
        </w:rPr>
        <w:t xml:space="preserve">, f. 5, VP I; </w:t>
      </w:r>
      <w:hyperlink w:anchor="SENTENCIA_2024_83" w:history="1">
        <w:r w:rsidRPr="00E55613">
          <w:rPr>
            <w:rStyle w:val="TextoNormalCaracter"/>
          </w:rPr>
          <w:t>83/2024</w:t>
        </w:r>
      </w:hyperlink>
      <w:r w:rsidRPr="00E55613">
        <w:rPr>
          <w:rStyle w:val="TextoNormalCaracter"/>
        </w:rPr>
        <w:t>, f. 3.</w:t>
      </w:r>
    </w:p>
    <w:p w14:paraId="37ACA639" w14:textId="5C70DC22" w:rsidR="00E55613" w:rsidRPr="00E55613" w:rsidRDefault="00E55613" w:rsidP="00E55613">
      <w:pPr>
        <w:pStyle w:val="TextoNormalSangraFrancesa"/>
        <w:rPr>
          <w:rStyle w:val="TextoNormalCaracter"/>
        </w:rPr>
      </w:pPr>
      <w:r w:rsidRPr="00E55613">
        <w:rPr>
          <w:rStyle w:val="TextoNormalCursivaCaracter"/>
        </w:rPr>
        <w:t xml:space="preserve">    Vulnerado, </w:t>
      </w:r>
      <w:r w:rsidRPr="00E55613">
        <w:rPr>
          <w:rStyle w:val="TextoNormalCaracter"/>
        </w:rPr>
        <w:t xml:space="preserve">Sentencia </w:t>
      </w:r>
      <w:hyperlink w:anchor="SENTENCIA_2024_33" w:history="1">
        <w:r w:rsidRPr="00E55613">
          <w:rPr>
            <w:rStyle w:val="TextoNormalCaracter"/>
          </w:rPr>
          <w:t>33/2024</w:t>
        </w:r>
      </w:hyperlink>
      <w:r w:rsidRPr="00E55613">
        <w:rPr>
          <w:rStyle w:val="TextoNormalCaracter"/>
        </w:rPr>
        <w:t>, f. 5.</w:t>
      </w:r>
    </w:p>
    <w:p w14:paraId="587F9466" w14:textId="77777777" w:rsidR="00E55613" w:rsidRPr="00E55613" w:rsidRDefault="00E55613" w:rsidP="00E55613">
      <w:pPr>
        <w:pStyle w:val="TextoNormalSangraFrancesa"/>
        <w:rPr>
          <w:rStyle w:val="TextoNormalCaracter"/>
        </w:rPr>
      </w:pPr>
      <w:bookmarkStart w:id="845" w:name="DESCRIPTORALFABETICO50"/>
      <w:r w:rsidRPr="00E55613">
        <w:rPr>
          <w:rStyle w:val="TextoNormalNegritaCaracter"/>
        </w:rPr>
        <w:t>Derecho a la intimidad personal y familiar</w:t>
      </w:r>
      <w:bookmarkEnd w:id="845"/>
      <w:r w:rsidRPr="00E55613">
        <w:rPr>
          <w:rStyle w:val="TextoNormalCaracter"/>
        </w:rPr>
        <w:t xml:space="preserve">, </w:t>
      </w:r>
    </w:p>
    <w:p w14:paraId="56851656" w14:textId="0D54AD0A" w:rsidR="00E55613" w:rsidRPr="00E55613" w:rsidRDefault="00E55613" w:rsidP="00E55613">
      <w:pPr>
        <w:pStyle w:val="TextoNormalSangraFrancesa"/>
        <w:rPr>
          <w:rStyle w:val="TextoNormalCaracter"/>
        </w:rPr>
      </w:pPr>
      <w:r w:rsidRPr="00E55613">
        <w:rPr>
          <w:rStyle w:val="TextoNormalCursivaCaracter"/>
        </w:rPr>
        <w:t xml:space="preserve">    Doctrina constitucional, </w:t>
      </w:r>
      <w:r w:rsidRPr="00E55613">
        <w:rPr>
          <w:rStyle w:val="TextoNormalCaracter"/>
        </w:rPr>
        <w:t xml:space="preserve">Sentencia </w:t>
      </w:r>
      <w:hyperlink w:anchor="SENTENCIA_2024_28" w:history="1">
        <w:r w:rsidRPr="00E55613">
          <w:rPr>
            <w:rStyle w:val="TextoNormalCaracter"/>
          </w:rPr>
          <w:t>28/2024</w:t>
        </w:r>
      </w:hyperlink>
      <w:r w:rsidRPr="00E55613">
        <w:rPr>
          <w:rStyle w:val="TextoNormalCaracter"/>
        </w:rPr>
        <w:t>, f. 3, VP.</w:t>
      </w:r>
    </w:p>
    <w:p w14:paraId="50D32524" w14:textId="2C468FD1" w:rsidR="00E55613" w:rsidRPr="00E55613" w:rsidRDefault="00E55613" w:rsidP="00E55613">
      <w:pPr>
        <w:pStyle w:val="TextoNormalSangraFrancesa"/>
        <w:rPr>
          <w:rStyle w:val="TextoNormalCaracter"/>
        </w:rPr>
      </w:pPr>
      <w:r w:rsidRPr="00E55613">
        <w:rPr>
          <w:rStyle w:val="TextoNormalCursivaCaracter"/>
        </w:rPr>
        <w:t xml:space="preserve">    Respetado, </w:t>
      </w:r>
      <w:r w:rsidRPr="00E55613">
        <w:rPr>
          <w:rStyle w:val="TextoNormalCaracter"/>
        </w:rPr>
        <w:t xml:space="preserve">Sentencia </w:t>
      </w:r>
      <w:hyperlink w:anchor="SENTENCIA_2024_87" w:history="1">
        <w:r w:rsidRPr="00E55613">
          <w:rPr>
            <w:rStyle w:val="TextoNormalCaracter"/>
          </w:rPr>
          <w:t>87/2024</w:t>
        </w:r>
      </w:hyperlink>
      <w:r w:rsidRPr="00E55613">
        <w:rPr>
          <w:rStyle w:val="TextoNormalCaracter"/>
        </w:rPr>
        <w:t>, ff. 4 y 5, VP II, VP III.</w:t>
      </w:r>
    </w:p>
    <w:p w14:paraId="58919AA9" w14:textId="77777777" w:rsidR="00E55613" w:rsidRPr="00E55613" w:rsidRDefault="00E55613" w:rsidP="00E55613">
      <w:pPr>
        <w:pStyle w:val="TextoNormalSangraFrancesa"/>
        <w:rPr>
          <w:rStyle w:val="TextoNormalCaracter"/>
        </w:rPr>
      </w:pPr>
      <w:bookmarkStart w:id="846" w:name="DESCRIPTORALFABETICO53"/>
      <w:r w:rsidRPr="00E55613">
        <w:rPr>
          <w:rStyle w:val="TextoNormalNegritaCaracter"/>
        </w:rPr>
        <w:t>Derecho a la legalidad penal</w:t>
      </w:r>
      <w:bookmarkEnd w:id="846"/>
      <w:r w:rsidRPr="00E55613">
        <w:rPr>
          <w:rStyle w:val="TextoNormalCaracter"/>
        </w:rPr>
        <w:t xml:space="preserve">, </w:t>
      </w:r>
    </w:p>
    <w:p w14:paraId="17CAEB88" w14:textId="731ECFCE" w:rsidR="00E55613" w:rsidRPr="00E55613" w:rsidRDefault="00E55613" w:rsidP="00E55613">
      <w:pPr>
        <w:pStyle w:val="TextoNormalSangraFrancesa"/>
        <w:rPr>
          <w:rStyle w:val="TextoNormalCaracter"/>
        </w:rPr>
      </w:pPr>
      <w:r w:rsidRPr="00E55613">
        <w:rPr>
          <w:rStyle w:val="TextoNormalCursivaCaracter"/>
        </w:rPr>
        <w:t xml:space="preserve">    Respetado, </w:t>
      </w:r>
      <w:r w:rsidRPr="00E55613">
        <w:rPr>
          <w:rStyle w:val="TextoNormalCaracter"/>
        </w:rPr>
        <w:t xml:space="preserve">Auto </w:t>
      </w:r>
      <w:hyperlink w:anchor="AUTO_2024_57" w:history="1">
        <w:r w:rsidRPr="00E55613">
          <w:rPr>
            <w:rStyle w:val="TextoNormalCaracter"/>
          </w:rPr>
          <w:t>57/2024</w:t>
        </w:r>
      </w:hyperlink>
      <w:r w:rsidRPr="00E55613">
        <w:rPr>
          <w:rStyle w:val="TextoNormalCaracter"/>
        </w:rPr>
        <w:t>, ff. 4 y 5.</w:t>
      </w:r>
    </w:p>
    <w:p w14:paraId="3F8BE713" w14:textId="2C9050CA" w:rsidR="00E55613" w:rsidRPr="00E55613" w:rsidRDefault="00E55613" w:rsidP="00E55613">
      <w:pPr>
        <w:pStyle w:val="TextoNormalSangraFrancesa"/>
        <w:rPr>
          <w:rStyle w:val="TextoNormalCaracter"/>
        </w:rPr>
      </w:pPr>
      <w:r w:rsidRPr="00E55613">
        <w:rPr>
          <w:rStyle w:val="TextoNormalCursivaCaracter"/>
        </w:rPr>
        <w:t xml:space="preserve">    Vulnerado, </w:t>
      </w:r>
      <w:r w:rsidRPr="00E55613">
        <w:rPr>
          <w:rStyle w:val="TextoNormalCaracter"/>
        </w:rPr>
        <w:t xml:space="preserve">Sentencias </w:t>
      </w:r>
      <w:hyperlink w:anchor="SENTENCIA_2024_8" w:history="1">
        <w:r w:rsidRPr="00E55613">
          <w:rPr>
            <w:rStyle w:val="TextoNormalCaracter"/>
          </w:rPr>
          <w:t>8/2024</w:t>
        </w:r>
      </w:hyperlink>
      <w:r w:rsidRPr="00E55613">
        <w:rPr>
          <w:rStyle w:val="TextoNormalCaracter"/>
        </w:rPr>
        <w:t xml:space="preserve">, f. 6, VP I; </w:t>
      </w:r>
      <w:hyperlink w:anchor="SENTENCIA_2024_93" w:history="1">
        <w:r w:rsidRPr="00E55613">
          <w:rPr>
            <w:rStyle w:val="TextoNormalCaracter"/>
          </w:rPr>
          <w:t>93/2024</w:t>
        </w:r>
      </w:hyperlink>
      <w:r w:rsidRPr="00E55613">
        <w:rPr>
          <w:rStyle w:val="TextoNormalCaracter"/>
        </w:rPr>
        <w:t>, ff. 3, 4, 5, VP I, VP II.</w:t>
      </w:r>
    </w:p>
    <w:p w14:paraId="4A41DEA5" w14:textId="77777777" w:rsidR="00E55613" w:rsidRPr="00E55613" w:rsidRDefault="00E55613" w:rsidP="00E55613">
      <w:pPr>
        <w:pStyle w:val="TextoNormalSangraFrancesa"/>
        <w:rPr>
          <w:rStyle w:val="TextoNormalCaracter"/>
        </w:rPr>
      </w:pPr>
      <w:bookmarkStart w:id="847" w:name="DESCRIPTORALFABETICO54"/>
      <w:r w:rsidRPr="00E55613">
        <w:rPr>
          <w:rStyle w:val="TextoNormalNegritaCaracter"/>
        </w:rPr>
        <w:t>Derecho a la legalidad sancionadora</w:t>
      </w:r>
      <w:bookmarkEnd w:id="847"/>
      <w:r w:rsidRPr="00E55613">
        <w:rPr>
          <w:rStyle w:val="TextoNormalCaracter"/>
        </w:rPr>
        <w:t xml:space="preserve">, </w:t>
      </w:r>
    </w:p>
    <w:p w14:paraId="1307DA8F" w14:textId="64BE2834" w:rsidR="00E55613" w:rsidRPr="00E55613" w:rsidRDefault="00E55613" w:rsidP="00E55613">
      <w:pPr>
        <w:pStyle w:val="TextoNormalSangraFrancesa"/>
        <w:rPr>
          <w:rStyle w:val="TextoNormalCaracter"/>
        </w:rPr>
      </w:pPr>
      <w:r w:rsidRPr="00E55613">
        <w:rPr>
          <w:rStyle w:val="TextoNormalCursivaCaracter"/>
        </w:rPr>
        <w:t xml:space="preserve">    Respetado, </w:t>
      </w:r>
      <w:r w:rsidRPr="00E55613">
        <w:rPr>
          <w:rStyle w:val="TextoNormalCaracter"/>
        </w:rPr>
        <w:t xml:space="preserve">Sentencia </w:t>
      </w:r>
      <w:hyperlink w:anchor="SENTENCIA_2024_89" w:history="1">
        <w:r w:rsidRPr="00E55613">
          <w:rPr>
            <w:rStyle w:val="TextoNormalCaracter"/>
          </w:rPr>
          <w:t>89/2024</w:t>
        </w:r>
      </w:hyperlink>
      <w:r w:rsidRPr="00E55613">
        <w:rPr>
          <w:rStyle w:val="TextoNormalCaracter"/>
        </w:rPr>
        <w:t>, f. 5, VP III.</w:t>
      </w:r>
    </w:p>
    <w:p w14:paraId="65D903CE" w14:textId="3A69CB7F" w:rsidR="00E55613" w:rsidRPr="00E55613" w:rsidRDefault="00E55613" w:rsidP="00E55613">
      <w:pPr>
        <w:pStyle w:val="TextoNormalSangraFrancesa"/>
        <w:rPr>
          <w:rStyle w:val="TextoNormalCaracter"/>
        </w:rPr>
      </w:pPr>
      <w:r w:rsidRPr="00E55613">
        <w:rPr>
          <w:rStyle w:val="TextoNormalCursivaCaracter"/>
        </w:rPr>
        <w:lastRenderedPageBreak/>
        <w:t xml:space="preserve">    Vulnerado, </w:t>
      </w:r>
      <w:r w:rsidRPr="00E55613">
        <w:rPr>
          <w:rStyle w:val="TextoNormalCaracter"/>
        </w:rPr>
        <w:t xml:space="preserve">Sentencia </w:t>
      </w:r>
      <w:hyperlink w:anchor="SENTENCIA_2024_49" w:history="1">
        <w:r w:rsidRPr="00E55613">
          <w:rPr>
            <w:rStyle w:val="TextoNormalCaracter"/>
          </w:rPr>
          <w:t>49/2024</w:t>
        </w:r>
      </w:hyperlink>
      <w:r w:rsidRPr="00E55613">
        <w:rPr>
          <w:rStyle w:val="TextoNormalCaracter"/>
        </w:rPr>
        <w:t>, ff. 2 y 3.</w:t>
      </w:r>
    </w:p>
    <w:p w14:paraId="0418EACF" w14:textId="77777777" w:rsidR="00E55613" w:rsidRPr="00E55613" w:rsidRDefault="00E55613" w:rsidP="00E55613">
      <w:pPr>
        <w:pStyle w:val="TextoNormalSangraFrancesa"/>
        <w:rPr>
          <w:rStyle w:val="TextoNormalCaracter"/>
        </w:rPr>
      </w:pPr>
      <w:bookmarkStart w:id="848" w:name="DESCRIPTORALFABETICO56"/>
      <w:r w:rsidRPr="00E55613">
        <w:rPr>
          <w:rStyle w:val="TextoNormalNegritaCaracter"/>
        </w:rPr>
        <w:t>Derecho a la libertad personal</w:t>
      </w:r>
      <w:bookmarkEnd w:id="848"/>
      <w:r w:rsidRPr="00E55613">
        <w:rPr>
          <w:rStyle w:val="TextoNormalCaracter"/>
        </w:rPr>
        <w:t xml:space="preserve">, </w:t>
      </w:r>
    </w:p>
    <w:p w14:paraId="33EE4498" w14:textId="7676EEDC" w:rsidR="00E55613" w:rsidRPr="00E55613" w:rsidRDefault="00E55613" w:rsidP="00E55613">
      <w:pPr>
        <w:pStyle w:val="TextoNormalSangraFrancesa"/>
        <w:rPr>
          <w:rStyle w:val="TextoNormalCaracter"/>
        </w:rPr>
      </w:pPr>
      <w:r w:rsidRPr="00E55613">
        <w:rPr>
          <w:rStyle w:val="TextoNormalCursivaCaracter"/>
        </w:rPr>
        <w:t xml:space="preserve">    Respetado, </w:t>
      </w:r>
      <w:r w:rsidRPr="00E55613">
        <w:rPr>
          <w:rStyle w:val="TextoNormalCaracter"/>
        </w:rPr>
        <w:t xml:space="preserve">Sentencias </w:t>
      </w:r>
      <w:hyperlink w:anchor="SENTENCIA_2024_17" w:history="1">
        <w:r w:rsidRPr="00E55613">
          <w:rPr>
            <w:rStyle w:val="TextoNormalCaracter"/>
          </w:rPr>
          <w:t>17/2024</w:t>
        </w:r>
      </w:hyperlink>
      <w:r w:rsidRPr="00E55613">
        <w:rPr>
          <w:rStyle w:val="TextoNormalCaracter"/>
        </w:rPr>
        <w:t xml:space="preserve">; </w:t>
      </w:r>
      <w:hyperlink w:anchor="SENTENCIA_2024_34" w:history="1">
        <w:r w:rsidRPr="00E55613">
          <w:rPr>
            <w:rStyle w:val="TextoNormalCaracter"/>
          </w:rPr>
          <w:t>34/2024</w:t>
        </w:r>
      </w:hyperlink>
      <w:r w:rsidRPr="00E55613">
        <w:rPr>
          <w:rStyle w:val="TextoNormalCaracter"/>
        </w:rPr>
        <w:t xml:space="preserve">, f. 4; </w:t>
      </w:r>
      <w:hyperlink w:anchor="SENTENCIA_2024_36" w:history="1">
        <w:r w:rsidRPr="00E55613">
          <w:rPr>
            <w:rStyle w:val="TextoNormalCaracter"/>
          </w:rPr>
          <w:t>36/2024</w:t>
        </w:r>
      </w:hyperlink>
      <w:r w:rsidRPr="00E55613">
        <w:rPr>
          <w:rStyle w:val="TextoNormalCaracter"/>
        </w:rPr>
        <w:t xml:space="preserve">, ff. 4 y 5; </w:t>
      </w:r>
      <w:hyperlink w:anchor="SENTENCIA_2024_37" w:history="1">
        <w:r w:rsidRPr="00E55613">
          <w:rPr>
            <w:rStyle w:val="TextoNormalCaracter"/>
          </w:rPr>
          <w:t>37/2024</w:t>
        </w:r>
      </w:hyperlink>
      <w:r w:rsidRPr="00E55613">
        <w:rPr>
          <w:rStyle w:val="TextoNormalCaracter"/>
        </w:rPr>
        <w:t xml:space="preserve">, ff. 3 y 4, VP; </w:t>
      </w:r>
      <w:hyperlink w:anchor="SENTENCIA_2024_42" w:history="1">
        <w:r w:rsidRPr="00E55613">
          <w:rPr>
            <w:rStyle w:val="TextoNormalCaracter"/>
          </w:rPr>
          <w:t>42/2024</w:t>
        </w:r>
      </w:hyperlink>
      <w:r w:rsidRPr="00E55613">
        <w:rPr>
          <w:rStyle w:val="TextoNormalCaracter"/>
        </w:rPr>
        <w:t xml:space="preserve">, ff. 3 y 4, VP; </w:t>
      </w:r>
      <w:hyperlink w:anchor="SENTENCIA_2024_43" w:history="1">
        <w:r w:rsidRPr="00E55613">
          <w:rPr>
            <w:rStyle w:val="TextoNormalCaracter"/>
          </w:rPr>
          <w:t>43/2024</w:t>
        </w:r>
      </w:hyperlink>
      <w:r w:rsidRPr="00E55613">
        <w:rPr>
          <w:rStyle w:val="TextoNormalCaracter"/>
        </w:rPr>
        <w:t xml:space="preserve">, ff. 4 y 5, VP; </w:t>
      </w:r>
      <w:hyperlink w:anchor="SENTENCIA_2024_51" w:history="1">
        <w:r w:rsidRPr="00E55613">
          <w:rPr>
            <w:rStyle w:val="TextoNormalCaracter"/>
          </w:rPr>
          <w:t>51/2024</w:t>
        </w:r>
      </w:hyperlink>
      <w:r w:rsidRPr="00E55613">
        <w:rPr>
          <w:rStyle w:val="TextoNormalCaracter"/>
        </w:rPr>
        <w:t xml:space="preserve">, f. 3; </w:t>
      </w:r>
      <w:hyperlink w:anchor="SENTENCIA_2024_52" w:history="1">
        <w:r w:rsidRPr="00E55613">
          <w:rPr>
            <w:rStyle w:val="TextoNormalCaracter"/>
          </w:rPr>
          <w:t>52/2024</w:t>
        </w:r>
      </w:hyperlink>
      <w:r w:rsidRPr="00E55613">
        <w:rPr>
          <w:rStyle w:val="TextoNormalCaracter"/>
        </w:rPr>
        <w:t xml:space="preserve">, f. 3; </w:t>
      </w:r>
      <w:hyperlink w:anchor="SENTENCIA_2024_57" w:history="1">
        <w:r w:rsidRPr="00E55613">
          <w:rPr>
            <w:rStyle w:val="TextoNormalCaracter"/>
          </w:rPr>
          <w:t>57/2024</w:t>
        </w:r>
      </w:hyperlink>
      <w:r w:rsidRPr="00E55613">
        <w:rPr>
          <w:rStyle w:val="TextoNormalCaracter"/>
        </w:rPr>
        <w:t>, f. 5.</w:t>
      </w:r>
    </w:p>
    <w:p w14:paraId="1EA255D0" w14:textId="4854F657" w:rsidR="00E55613" w:rsidRPr="00E55613" w:rsidRDefault="00E55613" w:rsidP="00E55613">
      <w:pPr>
        <w:pStyle w:val="TextoNormalSangraFrancesa"/>
        <w:rPr>
          <w:rStyle w:val="TextoNormalCaracter"/>
        </w:rPr>
      </w:pPr>
      <w:r w:rsidRPr="00E55613">
        <w:rPr>
          <w:rStyle w:val="TextoNormalCursivaCaracter"/>
        </w:rPr>
        <w:t xml:space="preserve">    Vulnerado, </w:t>
      </w:r>
      <w:r w:rsidRPr="00E55613">
        <w:rPr>
          <w:rStyle w:val="TextoNormalCaracter"/>
        </w:rPr>
        <w:t xml:space="preserve">Sentencias </w:t>
      </w:r>
      <w:hyperlink w:anchor="SENTENCIA_2024_39" w:history="1">
        <w:r w:rsidRPr="00E55613">
          <w:rPr>
            <w:rStyle w:val="TextoNormalCaracter"/>
          </w:rPr>
          <w:t>39/2024</w:t>
        </w:r>
      </w:hyperlink>
      <w:r w:rsidRPr="00E55613">
        <w:rPr>
          <w:rStyle w:val="TextoNormalCaracter"/>
        </w:rPr>
        <w:t xml:space="preserve">, f. 5; </w:t>
      </w:r>
      <w:hyperlink w:anchor="SENTENCIA_2024_40" w:history="1">
        <w:r w:rsidRPr="00E55613">
          <w:rPr>
            <w:rStyle w:val="TextoNormalCaracter"/>
          </w:rPr>
          <w:t>40/2024</w:t>
        </w:r>
      </w:hyperlink>
      <w:r w:rsidRPr="00E55613">
        <w:rPr>
          <w:rStyle w:val="TextoNormalCaracter"/>
        </w:rPr>
        <w:t xml:space="preserve">, ff. 2, 4 y 5; </w:t>
      </w:r>
      <w:hyperlink w:anchor="SENTENCIA_2024_70" w:history="1">
        <w:r w:rsidRPr="00E55613">
          <w:rPr>
            <w:rStyle w:val="TextoNormalCaracter"/>
          </w:rPr>
          <w:t>70/2024</w:t>
        </w:r>
      </w:hyperlink>
      <w:r w:rsidRPr="00E55613">
        <w:rPr>
          <w:rStyle w:val="TextoNormalCaracter"/>
        </w:rPr>
        <w:t xml:space="preserve">, f. 4; </w:t>
      </w:r>
      <w:hyperlink w:anchor="SENTENCIA_2024_78" w:history="1">
        <w:r w:rsidRPr="00E55613">
          <w:rPr>
            <w:rStyle w:val="TextoNormalCaracter"/>
          </w:rPr>
          <w:t>78/2024</w:t>
        </w:r>
      </w:hyperlink>
      <w:r w:rsidRPr="00E55613">
        <w:rPr>
          <w:rStyle w:val="TextoNormalCaracter"/>
        </w:rPr>
        <w:t xml:space="preserve">, f. único; </w:t>
      </w:r>
      <w:hyperlink w:anchor="SENTENCIA_2024_85" w:history="1">
        <w:r w:rsidRPr="00E55613">
          <w:rPr>
            <w:rStyle w:val="TextoNormalCaracter"/>
          </w:rPr>
          <w:t>85/2024</w:t>
        </w:r>
      </w:hyperlink>
      <w:r w:rsidRPr="00E55613">
        <w:rPr>
          <w:rStyle w:val="TextoNormalCaracter"/>
        </w:rPr>
        <w:t>, f. 3.</w:t>
      </w:r>
    </w:p>
    <w:p w14:paraId="0A6B8DED" w14:textId="77777777" w:rsidR="00E55613" w:rsidRPr="00E55613" w:rsidRDefault="00E55613" w:rsidP="00E55613">
      <w:pPr>
        <w:pStyle w:val="TextoNormalSangraFrancesa"/>
        <w:rPr>
          <w:rStyle w:val="TextoNormalCaracter"/>
        </w:rPr>
      </w:pPr>
      <w:bookmarkStart w:id="849" w:name="DESCRIPTORALFABETICO59"/>
      <w:r w:rsidRPr="00E55613">
        <w:rPr>
          <w:rStyle w:val="TextoNormalNegritaCaracter"/>
        </w:rPr>
        <w:t>Derecho a la presunción de inocencia</w:t>
      </w:r>
      <w:bookmarkEnd w:id="849"/>
      <w:r w:rsidRPr="00E55613">
        <w:rPr>
          <w:rStyle w:val="TextoNormalCaracter"/>
        </w:rPr>
        <w:t xml:space="preserve">, </w:t>
      </w:r>
    </w:p>
    <w:p w14:paraId="4489959C" w14:textId="3F5EB1D1" w:rsidR="00E55613" w:rsidRPr="00E55613" w:rsidRDefault="00E55613" w:rsidP="00E55613">
      <w:pPr>
        <w:pStyle w:val="TextoNormalSangraFrancesa"/>
        <w:rPr>
          <w:rStyle w:val="TextoNormalCaracter"/>
        </w:rPr>
      </w:pPr>
      <w:r w:rsidRPr="00E55613">
        <w:rPr>
          <w:rStyle w:val="TextoNormalCursivaCaracter"/>
        </w:rPr>
        <w:t xml:space="preserve">    Respetado, </w:t>
      </w:r>
      <w:r w:rsidRPr="00E55613">
        <w:rPr>
          <w:rStyle w:val="TextoNormalCaracter"/>
        </w:rPr>
        <w:t xml:space="preserve">Sentencias </w:t>
      </w:r>
      <w:hyperlink w:anchor="SENTENCIA_2024_8" w:history="1">
        <w:r w:rsidRPr="00E55613">
          <w:rPr>
            <w:rStyle w:val="TextoNormalCaracter"/>
          </w:rPr>
          <w:t>8/2024</w:t>
        </w:r>
      </w:hyperlink>
      <w:r w:rsidRPr="00E55613">
        <w:rPr>
          <w:rStyle w:val="TextoNormalCaracter"/>
        </w:rPr>
        <w:t xml:space="preserve">, f. 4, VP II; </w:t>
      </w:r>
      <w:hyperlink w:anchor="SENTENCIA_2024_90" w:history="1">
        <w:r w:rsidRPr="00E55613">
          <w:rPr>
            <w:rStyle w:val="TextoNormalCaracter"/>
          </w:rPr>
          <w:t>90/2024</w:t>
        </w:r>
      </w:hyperlink>
      <w:r w:rsidRPr="00E55613">
        <w:rPr>
          <w:rStyle w:val="TextoNormalCaracter"/>
        </w:rPr>
        <w:t>, f. 2.</w:t>
      </w:r>
    </w:p>
    <w:p w14:paraId="5ECFBB80" w14:textId="34782B64" w:rsidR="00E55613" w:rsidRPr="00E55613" w:rsidRDefault="00E55613" w:rsidP="00E55613">
      <w:pPr>
        <w:pStyle w:val="TextoNormalSangraFrancesa"/>
        <w:rPr>
          <w:rStyle w:val="TextoNormalCaracter"/>
        </w:rPr>
      </w:pPr>
      <w:r w:rsidRPr="00E55613">
        <w:rPr>
          <w:rStyle w:val="TextoNormalCursivaCaracter"/>
        </w:rPr>
        <w:t xml:space="preserve">    Vulnerado, </w:t>
      </w:r>
      <w:r w:rsidRPr="00E55613">
        <w:rPr>
          <w:rStyle w:val="TextoNormalCaracter"/>
        </w:rPr>
        <w:t xml:space="preserve">Sentencias </w:t>
      </w:r>
      <w:hyperlink w:anchor="SENTENCIA_2024_40" w:history="1">
        <w:r w:rsidRPr="00E55613">
          <w:rPr>
            <w:rStyle w:val="TextoNormalCaracter"/>
          </w:rPr>
          <w:t>40/2024</w:t>
        </w:r>
      </w:hyperlink>
      <w:r w:rsidRPr="00E55613">
        <w:rPr>
          <w:rStyle w:val="TextoNormalCaracter"/>
        </w:rPr>
        <w:t xml:space="preserve">, f. 5, VP; </w:t>
      </w:r>
      <w:hyperlink w:anchor="SENTENCIA_2024_72" w:history="1">
        <w:r w:rsidRPr="00E55613">
          <w:rPr>
            <w:rStyle w:val="TextoNormalCaracter"/>
          </w:rPr>
          <w:t>72/2024</w:t>
        </w:r>
      </w:hyperlink>
      <w:r w:rsidRPr="00E55613">
        <w:rPr>
          <w:rStyle w:val="TextoNormalCaracter"/>
        </w:rPr>
        <w:t xml:space="preserve">, f. 6, VP; </w:t>
      </w:r>
      <w:hyperlink w:anchor="SENTENCIA_2024_80" w:history="1">
        <w:r w:rsidRPr="00E55613">
          <w:rPr>
            <w:rStyle w:val="TextoNormalCaracter"/>
          </w:rPr>
          <w:t>80/2024</w:t>
        </w:r>
      </w:hyperlink>
      <w:r w:rsidRPr="00E55613">
        <w:rPr>
          <w:rStyle w:val="TextoNormalCaracter"/>
        </w:rPr>
        <w:t>, ff. 4 a 6.</w:t>
      </w:r>
    </w:p>
    <w:p w14:paraId="13A7971A" w14:textId="362AF1AB" w:rsidR="00E55613" w:rsidRPr="00E55613" w:rsidRDefault="00E55613" w:rsidP="00E55613">
      <w:pPr>
        <w:pStyle w:val="TextoNormalSangraFrancesa"/>
        <w:rPr>
          <w:rStyle w:val="TextoNormalCaracter"/>
        </w:rPr>
      </w:pPr>
      <w:bookmarkStart w:id="850" w:name="DESCRIPTORALFABETICO60"/>
      <w:r w:rsidRPr="00E55613">
        <w:rPr>
          <w:rStyle w:val="TextoNormalNegritaCaracter"/>
        </w:rPr>
        <w:t>Derecho a la protección de datos personales</w:t>
      </w:r>
      <w:bookmarkEnd w:id="850"/>
      <w:r w:rsidRPr="00E55613">
        <w:rPr>
          <w:rStyle w:val="TextoNormalCaracter"/>
        </w:rPr>
        <w:t xml:space="preserve">, Sentencia </w:t>
      </w:r>
      <w:hyperlink w:anchor="SENTENCIA_2024_92" w:history="1">
        <w:r w:rsidRPr="00E55613">
          <w:rPr>
            <w:rStyle w:val="TextoNormalCaracter"/>
          </w:rPr>
          <w:t>92/2024</w:t>
        </w:r>
      </w:hyperlink>
      <w:r w:rsidRPr="00E55613">
        <w:rPr>
          <w:rStyle w:val="TextoNormalCaracter"/>
        </w:rPr>
        <w:t>, f. 9.</w:t>
      </w:r>
    </w:p>
    <w:p w14:paraId="260C92D1" w14:textId="788BB2D7" w:rsidR="00E55613" w:rsidRPr="00E55613" w:rsidRDefault="00E55613" w:rsidP="00E55613">
      <w:pPr>
        <w:pStyle w:val="TextoNormalSangraFrancesa"/>
        <w:rPr>
          <w:rStyle w:val="TextoNormalCaracter"/>
        </w:rPr>
      </w:pPr>
      <w:bookmarkStart w:id="851" w:name="DESCRIPTORALFABETICO61"/>
      <w:r w:rsidRPr="00E55613">
        <w:rPr>
          <w:rStyle w:val="TextoNormalNegritaCaracter"/>
        </w:rPr>
        <w:t>Derecho a la protección de la salud</w:t>
      </w:r>
      <w:bookmarkEnd w:id="851"/>
      <w:r w:rsidRPr="00E55613">
        <w:rPr>
          <w:rStyle w:val="TextoNormalCaracter"/>
        </w:rPr>
        <w:t xml:space="preserve">, Sentencia </w:t>
      </w:r>
      <w:hyperlink w:anchor="SENTENCIA_2024_75" w:history="1">
        <w:r w:rsidRPr="00E55613">
          <w:rPr>
            <w:rStyle w:val="TextoNormalCaracter"/>
          </w:rPr>
          <w:t>75/2024</w:t>
        </w:r>
      </w:hyperlink>
      <w:r w:rsidRPr="00E55613">
        <w:rPr>
          <w:rStyle w:val="TextoNormalCaracter"/>
        </w:rPr>
        <w:t>, ff. 4 a 6.</w:t>
      </w:r>
    </w:p>
    <w:p w14:paraId="5B3B11CD" w14:textId="77777777" w:rsidR="00E55613" w:rsidRPr="00E55613" w:rsidRDefault="00E55613" w:rsidP="00E55613">
      <w:pPr>
        <w:pStyle w:val="TextoNormalSangraFrancesa"/>
        <w:rPr>
          <w:rStyle w:val="TextoNormalCaracter"/>
        </w:rPr>
      </w:pPr>
      <w:bookmarkStart w:id="852" w:name="DESCRIPTORALFABETICO62"/>
      <w:r w:rsidRPr="00E55613">
        <w:rPr>
          <w:rStyle w:val="TextoNormalNegritaCaracter"/>
        </w:rPr>
        <w:t>Derecho a la tutela judicial efectiva</w:t>
      </w:r>
      <w:bookmarkEnd w:id="852"/>
      <w:r w:rsidRPr="00E55613">
        <w:rPr>
          <w:rStyle w:val="TextoNormalCaracter"/>
        </w:rPr>
        <w:t xml:space="preserve">, </w:t>
      </w:r>
    </w:p>
    <w:p w14:paraId="1004703C" w14:textId="784179C9" w:rsidR="00E55613" w:rsidRPr="00E55613" w:rsidRDefault="00E55613" w:rsidP="00E55613">
      <w:pPr>
        <w:pStyle w:val="TextoNormalSangraFrancesa"/>
        <w:rPr>
          <w:rStyle w:val="TextoNormalCaracter"/>
        </w:rPr>
      </w:pPr>
      <w:r w:rsidRPr="00E55613">
        <w:rPr>
          <w:rStyle w:val="TextoNormalCursivaCaracter"/>
        </w:rPr>
        <w:t xml:space="preserve">    Respetado, </w:t>
      </w:r>
      <w:r w:rsidRPr="00E55613">
        <w:rPr>
          <w:rStyle w:val="TextoNormalCaracter"/>
        </w:rPr>
        <w:t xml:space="preserve">Sentencias </w:t>
      </w:r>
      <w:hyperlink w:anchor="SENTENCIA_2024_17" w:history="1">
        <w:r w:rsidRPr="00E55613">
          <w:rPr>
            <w:rStyle w:val="TextoNormalCaracter"/>
          </w:rPr>
          <w:t>17/2024</w:t>
        </w:r>
      </w:hyperlink>
      <w:r w:rsidRPr="00E55613">
        <w:rPr>
          <w:rStyle w:val="TextoNormalCaracter"/>
        </w:rPr>
        <w:t xml:space="preserve">; </w:t>
      </w:r>
      <w:hyperlink w:anchor="SENTENCIA_2024_34" w:history="1">
        <w:r w:rsidRPr="00E55613">
          <w:rPr>
            <w:rStyle w:val="TextoNormalCaracter"/>
          </w:rPr>
          <w:t>34/2024</w:t>
        </w:r>
      </w:hyperlink>
      <w:r w:rsidRPr="00E55613">
        <w:rPr>
          <w:rStyle w:val="TextoNormalCaracter"/>
        </w:rPr>
        <w:t xml:space="preserve">, ff. 4 y 6; </w:t>
      </w:r>
      <w:hyperlink w:anchor="SENTENCIA_2024_36" w:history="1">
        <w:r w:rsidRPr="00E55613">
          <w:rPr>
            <w:rStyle w:val="TextoNormalCaracter"/>
          </w:rPr>
          <w:t>36/2024</w:t>
        </w:r>
      </w:hyperlink>
      <w:r w:rsidRPr="00E55613">
        <w:rPr>
          <w:rStyle w:val="TextoNormalCaracter"/>
        </w:rPr>
        <w:t xml:space="preserve">, ff. 4 a 6; </w:t>
      </w:r>
      <w:hyperlink w:anchor="SENTENCIA_2024_37" w:history="1">
        <w:r w:rsidRPr="00E55613">
          <w:rPr>
            <w:rStyle w:val="TextoNormalCaracter"/>
          </w:rPr>
          <w:t>37/2024</w:t>
        </w:r>
      </w:hyperlink>
      <w:r w:rsidRPr="00E55613">
        <w:rPr>
          <w:rStyle w:val="TextoNormalCaracter"/>
        </w:rPr>
        <w:t xml:space="preserve">, ff. 3 y 4, VP; </w:t>
      </w:r>
      <w:hyperlink w:anchor="SENTENCIA_2024_42" w:history="1">
        <w:r w:rsidRPr="00E55613">
          <w:rPr>
            <w:rStyle w:val="TextoNormalCaracter"/>
          </w:rPr>
          <w:t>42/2024</w:t>
        </w:r>
      </w:hyperlink>
      <w:r w:rsidRPr="00E55613">
        <w:rPr>
          <w:rStyle w:val="TextoNormalCaracter"/>
        </w:rPr>
        <w:t xml:space="preserve">, ff. 3 a 5, VP; </w:t>
      </w:r>
      <w:hyperlink w:anchor="SENTENCIA_2024_43" w:history="1">
        <w:r w:rsidRPr="00E55613">
          <w:rPr>
            <w:rStyle w:val="TextoNormalCaracter"/>
          </w:rPr>
          <w:t>43/2024</w:t>
        </w:r>
      </w:hyperlink>
      <w:r w:rsidRPr="00E55613">
        <w:rPr>
          <w:rStyle w:val="TextoNormalCaracter"/>
        </w:rPr>
        <w:t xml:space="preserve">, ff. 4 a 6, VP; </w:t>
      </w:r>
      <w:hyperlink w:anchor="SENTENCIA_2024_51" w:history="1">
        <w:r w:rsidRPr="00E55613">
          <w:rPr>
            <w:rStyle w:val="TextoNormalCaracter"/>
          </w:rPr>
          <w:t>51/2024</w:t>
        </w:r>
      </w:hyperlink>
      <w:r w:rsidRPr="00E55613">
        <w:rPr>
          <w:rStyle w:val="TextoNormalCaracter"/>
        </w:rPr>
        <w:t xml:space="preserve">, f. 3; </w:t>
      </w:r>
      <w:hyperlink w:anchor="SENTENCIA_2024_52" w:history="1">
        <w:r w:rsidRPr="00E55613">
          <w:rPr>
            <w:rStyle w:val="TextoNormalCaracter"/>
          </w:rPr>
          <w:t>52/2024</w:t>
        </w:r>
      </w:hyperlink>
      <w:r w:rsidRPr="00E55613">
        <w:rPr>
          <w:rStyle w:val="TextoNormalCaracter"/>
        </w:rPr>
        <w:t xml:space="preserve">, f. 3; </w:t>
      </w:r>
      <w:hyperlink w:anchor="SENTENCIA_2024_57" w:history="1">
        <w:r w:rsidRPr="00E55613">
          <w:rPr>
            <w:rStyle w:val="TextoNormalCaracter"/>
          </w:rPr>
          <w:t>57/2024</w:t>
        </w:r>
      </w:hyperlink>
      <w:r w:rsidRPr="00E55613">
        <w:rPr>
          <w:rStyle w:val="TextoNormalCaracter"/>
        </w:rPr>
        <w:t xml:space="preserve">, f. 5; </w:t>
      </w:r>
      <w:hyperlink w:anchor="SENTENCIA_2024_90" w:history="1">
        <w:r w:rsidRPr="00E55613">
          <w:rPr>
            <w:rStyle w:val="TextoNormalCaracter"/>
          </w:rPr>
          <w:t>90/2024</w:t>
        </w:r>
      </w:hyperlink>
      <w:r w:rsidRPr="00E55613">
        <w:rPr>
          <w:rStyle w:val="TextoNormalCaracter"/>
        </w:rPr>
        <w:t>, f. 2.</w:t>
      </w:r>
    </w:p>
    <w:p w14:paraId="4D2F9624" w14:textId="45BEC1BE" w:rsidR="00E55613" w:rsidRPr="00E55613" w:rsidRDefault="00E55613" w:rsidP="00E55613">
      <w:pPr>
        <w:pStyle w:val="TextoNormalSangraFrancesa"/>
        <w:rPr>
          <w:rStyle w:val="TextoNormalCaracter"/>
        </w:rPr>
      </w:pPr>
      <w:r w:rsidRPr="00E55613">
        <w:rPr>
          <w:rStyle w:val="TextoNormalCursivaCaracter"/>
        </w:rPr>
        <w:t xml:space="preserve">    Vulnerado, </w:t>
      </w:r>
      <w:r w:rsidRPr="00E55613">
        <w:rPr>
          <w:rStyle w:val="TextoNormalCaracter"/>
        </w:rPr>
        <w:t xml:space="preserve">Sentencias </w:t>
      </w:r>
      <w:hyperlink w:anchor="SENTENCIA_2024_1" w:history="1">
        <w:r w:rsidRPr="00E55613">
          <w:rPr>
            <w:rStyle w:val="TextoNormalCaracter"/>
          </w:rPr>
          <w:t>1/2024</w:t>
        </w:r>
      </w:hyperlink>
      <w:r w:rsidRPr="00E55613">
        <w:rPr>
          <w:rStyle w:val="TextoNormalCaracter"/>
        </w:rPr>
        <w:t xml:space="preserve">, f. 5; </w:t>
      </w:r>
      <w:hyperlink w:anchor="SENTENCIA_2024_2" w:history="1">
        <w:r w:rsidRPr="00E55613">
          <w:rPr>
            <w:rStyle w:val="TextoNormalCaracter"/>
          </w:rPr>
          <w:t>2/2024</w:t>
        </w:r>
      </w:hyperlink>
      <w:r w:rsidRPr="00E55613">
        <w:rPr>
          <w:rStyle w:val="TextoNormalCaracter"/>
        </w:rPr>
        <w:t xml:space="preserve">, f. 3; </w:t>
      </w:r>
      <w:hyperlink w:anchor="SENTENCIA_2024_23" w:history="1">
        <w:r w:rsidRPr="00E55613">
          <w:rPr>
            <w:rStyle w:val="TextoNormalCaracter"/>
          </w:rPr>
          <w:t>23/2024</w:t>
        </w:r>
      </w:hyperlink>
      <w:r w:rsidRPr="00E55613">
        <w:rPr>
          <w:rStyle w:val="TextoNormalCaracter"/>
        </w:rPr>
        <w:t xml:space="preserve">; </w:t>
      </w:r>
      <w:hyperlink w:anchor="SENTENCIA_2024_28" w:history="1">
        <w:r w:rsidRPr="00E55613">
          <w:rPr>
            <w:rStyle w:val="TextoNormalCaracter"/>
          </w:rPr>
          <w:t>28/2024</w:t>
        </w:r>
      </w:hyperlink>
      <w:r w:rsidRPr="00E55613">
        <w:rPr>
          <w:rStyle w:val="TextoNormalCaracter"/>
        </w:rPr>
        <w:t xml:space="preserve">, ff. 4 a 6; </w:t>
      </w:r>
      <w:hyperlink w:anchor="SENTENCIA_2024_33" w:history="1">
        <w:r w:rsidRPr="00E55613">
          <w:rPr>
            <w:rStyle w:val="TextoNormalCaracter"/>
          </w:rPr>
          <w:t>33/2024</w:t>
        </w:r>
      </w:hyperlink>
      <w:r w:rsidRPr="00E55613">
        <w:rPr>
          <w:rStyle w:val="TextoNormalCaracter"/>
        </w:rPr>
        <w:t xml:space="preserve">, f. 5; </w:t>
      </w:r>
      <w:hyperlink w:anchor="SENTENCIA_2024_38" w:history="1">
        <w:r w:rsidRPr="00E55613">
          <w:rPr>
            <w:rStyle w:val="TextoNormalCaracter"/>
          </w:rPr>
          <w:t>38/2024</w:t>
        </w:r>
      </w:hyperlink>
      <w:r w:rsidRPr="00E55613">
        <w:rPr>
          <w:rStyle w:val="TextoNormalCaracter"/>
        </w:rPr>
        <w:t xml:space="preserve">, ff. 1 y 2; </w:t>
      </w:r>
      <w:hyperlink w:anchor="SENTENCIA_2024_39" w:history="1">
        <w:r w:rsidRPr="00E55613">
          <w:rPr>
            <w:rStyle w:val="TextoNormalCaracter"/>
          </w:rPr>
          <w:t>39/2024</w:t>
        </w:r>
      </w:hyperlink>
      <w:r w:rsidRPr="00E55613">
        <w:rPr>
          <w:rStyle w:val="TextoNormalCaracter"/>
        </w:rPr>
        <w:t xml:space="preserve">, f. 5; </w:t>
      </w:r>
      <w:hyperlink w:anchor="SENTENCIA_2024_47" w:history="1">
        <w:r w:rsidRPr="00E55613">
          <w:rPr>
            <w:rStyle w:val="TextoNormalCaracter"/>
          </w:rPr>
          <w:t>47/2024</w:t>
        </w:r>
      </w:hyperlink>
      <w:r w:rsidRPr="00E55613">
        <w:rPr>
          <w:rStyle w:val="TextoNormalCaracter"/>
        </w:rPr>
        <w:t xml:space="preserve">, ff. 1 a 4; </w:t>
      </w:r>
      <w:hyperlink w:anchor="SENTENCIA_2024_48" w:history="1">
        <w:r w:rsidRPr="00E55613">
          <w:rPr>
            <w:rStyle w:val="TextoNormalCaracter"/>
          </w:rPr>
          <w:t>48/2024</w:t>
        </w:r>
      </w:hyperlink>
      <w:r w:rsidRPr="00E55613">
        <w:rPr>
          <w:rStyle w:val="TextoNormalCaracter"/>
        </w:rPr>
        <w:t xml:space="preserve">; </w:t>
      </w:r>
      <w:hyperlink w:anchor="SENTENCIA_2024_70" w:history="1">
        <w:r w:rsidRPr="00E55613">
          <w:rPr>
            <w:rStyle w:val="TextoNormalCaracter"/>
          </w:rPr>
          <w:t>70/2024</w:t>
        </w:r>
      </w:hyperlink>
      <w:r w:rsidRPr="00E55613">
        <w:rPr>
          <w:rStyle w:val="TextoNormalCaracter"/>
        </w:rPr>
        <w:t xml:space="preserve">, f. 4; </w:t>
      </w:r>
      <w:hyperlink w:anchor="SENTENCIA_2024_72" w:history="1">
        <w:r w:rsidRPr="00E55613">
          <w:rPr>
            <w:rStyle w:val="TextoNormalCaracter"/>
          </w:rPr>
          <w:t>72/2024</w:t>
        </w:r>
      </w:hyperlink>
      <w:r w:rsidRPr="00E55613">
        <w:rPr>
          <w:rStyle w:val="TextoNormalCaracter"/>
        </w:rPr>
        <w:t xml:space="preserve">, f. 6, VP; </w:t>
      </w:r>
      <w:hyperlink w:anchor="SENTENCIA_2024_77" w:history="1">
        <w:r w:rsidRPr="00E55613">
          <w:rPr>
            <w:rStyle w:val="TextoNormalCaracter"/>
          </w:rPr>
          <w:t>77/2024</w:t>
        </w:r>
      </w:hyperlink>
      <w:r w:rsidRPr="00E55613">
        <w:rPr>
          <w:rStyle w:val="TextoNormalCaracter"/>
        </w:rPr>
        <w:t xml:space="preserve">, f. 4; </w:t>
      </w:r>
      <w:hyperlink w:anchor="SENTENCIA_2024_78" w:history="1">
        <w:r w:rsidRPr="00E55613">
          <w:rPr>
            <w:rStyle w:val="TextoNormalCaracter"/>
          </w:rPr>
          <w:t>78/2024</w:t>
        </w:r>
      </w:hyperlink>
      <w:r w:rsidRPr="00E55613">
        <w:rPr>
          <w:rStyle w:val="TextoNormalCaracter"/>
        </w:rPr>
        <w:t xml:space="preserve">, f. único; </w:t>
      </w:r>
      <w:hyperlink w:anchor="SENTENCIA_2024_82" w:history="1">
        <w:r w:rsidRPr="00E55613">
          <w:rPr>
            <w:rStyle w:val="TextoNormalCaracter"/>
          </w:rPr>
          <w:t>82/2024</w:t>
        </w:r>
      </w:hyperlink>
      <w:r w:rsidRPr="00E55613">
        <w:rPr>
          <w:rStyle w:val="TextoNormalCaracter"/>
        </w:rPr>
        <w:t>, ff. 3 y 4.</w:t>
      </w:r>
    </w:p>
    <w:p w14:paraId="456A2CDF" w14:textId="77777777" w:rsidR="00E55613" w:rsidRPr="00E55613" w:rsidRDefault="00E55613" w:rsidP="00E55613">
      <w:pPr>
        <w:pStyle w:val="TextoNormalSangraFrancesa"/>
        <w:rPr>
          <w:rStyle w:val="TextoNormalCaracter"/>
        </w:rPr>
      </w:pPr>
      <w:bookmarkStart w:id="853" w:name="DESCRIPTORALFABETICO84"/>
      <w:r w:rsidRPr="00E55613">
        <w:rPr>
          <w:rStyle w:val="TextoNormalNegritaCaracter"/>
        </w:rPr>
        <w:t>Derecho a la tutela judicial sin indefensión</w:t>
      </w:r>
      <w:bookmarkEnd w:id="853"/>
      <w:r w:rsidRPr="00E55613">
        <w:rPr>
          <w:rStyle w:val="TextoNormalCaracter"/>
        </w:rPr>
        <w:t xml:space="preserve">, </w:t>
      </w:r>
    </w:p>
    <w:p w14:paraId="0EDA2301" w14:textId="273B91A5" w:rsidR="00E55613" w:rsidRPr="00E55613" w:rsidRDefault="00E55613" w:rsidP="00E55613">
      <w:pPr>
        <w:pStyle w:val="TextoNormalSangraFrancesa"/>
        <w:rPr>
          <w:rStyle w:val="TextoNormalCaracter"/>
        </w:rPr>
      </w:pPr>
      <w:r w:rsidRPr="00E55613">
        <w:rPr>
          <w:rStyle w:val="TextoNormalCursivaCaracter"/>
        </w:rPr>
        <w:t xml:space="preserve">    Respetado, </w:t>
      </w:r>
      <w:r w:rsidRPr="00E55613">
        <w:rPr>
          <w:rStyle w:val="TextoNormalCaracter"/>
        </w:rPr>
        <w:t xml:space="preserve">Sentencia </w:t>
      </w:r>
      <w:hyperlink w:anchor="SENTENCIA_2024_14" w:history="1">
        <w:r w:rsidRPr="00E55613">
          <w:rPr>
            <w:rStyle w:val="TextoNormalCaracter"/>
          </w:rPr>
          <w:t>14/2024</w:t>
        </w:r>
      </w:hyperlink>
      <w:r w:rsidRPr="00E55613">
        <w:rPr>
          <w:rStyle w:val="TextoNormalCaracter"/>
        </w:rPr>
        <w:t>, f. 3.</w:t>
      </w:r>
    </w:p>
    <w:p w14:paraId="6F6DFF90" w14:textId="7A6F02BE" w:rsidR="00E55613" w:rsidRPr="00E55613" w:rsidRDefault="00E55613" w:rsidP="00E55613">
      <w:pPr>
        <w:pStyle w:val="TextoNormalSangraFrancesa"/>
        <w:rPr>
          <w:rStyle w:val="TextoNormalCaracter"/>
        </w:rPr>
      </w:pPr>
      <w:r w:rsidRPr="00E55613">
        <w:rPr>
          <w:rStyle w:val="TextoNormalCursivaCaracter"/>
        </w:rPr>
        <w:t xml:space="preserve">    Vulnerado, </w:t>
      </w:r>
      <w:r w:rsidRPr="00E55613">
        <w:rPr>
          <w:rStyle w:val="TextoNormalCaracter"/>
        </w:rPr>
        <w:t xml:space="preserve">Sentencias </w:t>
      </w:r>
      <w:hyperlink w:anchor="SENTENCIA_2024_3" w:history="1">
        <w:r w:rsidRPr="00E55613">
          <w:rPr>
            <w:rStyle w:val="TextoNormalCaracter"/>
          </w:rPr>
          <w:t>3/2024</w:t>
        </w:r>
      </w:hyperlink>
      <w:r w:rsidRPr="00E55613">
        <w:rPr>
          <w:rStyle w:val="TextoNormalCaracter"/>
        </w:rPr>
        <w:t xml:space="preserve">, f. 4; </w:t>
      </w:r>
      <w:hyperlink w:anchor="SENTENCIA_2024_9" w:history="1">
        <w:r w:rsidRPr="00E55613">
          <w:rPr>
            <w:rStyle w:val="TextoNormalCaracter"/>
          </w:rPr>
          <w:t>9/2024</w:t>
        </w:r>
      </w:hyperlink>
      <w:r w:rsidRPr="00E55613">
        <w:rPr>
          <w:rStyle w:val="TextoNormalCaracter"/>
        </w:rPr>
        <w:t xml:space="preserve">, f. 3; </w:t>
      </w:r>
      <w:hyperlink w:anchor="SENTENCIA_2024_12" w:history="1">
        <w:r w:rsidRPr="00E55613">
          <w:rPr>
            <w:rStyle w:val="TextoNormalCaracter"/>
          </w:rPr>
          <w:t>12/2024</w:t>
        </w:r>
      </w:hyperlink>
      <w:r w:rsidRPr="00E55613">
        <w:rPr>
          <w:rStyle w:val="TextoNormalCaracter"/>
        </w:rPr>
        <w:t xml:space="preserve">; </w:t>
      </w:r>
      <w:hyperlink w:anchor="SENTENCIA_2024_21" w:history="1">
        <w:r w:rsidRPr="00E55613">
          <w:rPr>
            <w:rStyle w:val="TextoNormalCaracter"/>
          </w:rPr>
          <w:t>21/2024</w:t>
        </w:r>
      </w:hyperlink>
      <w:r w:rsidRPr="00E55613">
        <w:rPr>
          <w:rStyle w:val="TextoNormalCaracter"/>
        </w:rPr>
        <w:t xml:space="preserve">, f. 4; </w:t>
      </w:r>
      <w:hyperlink w:anchor="SENTENCIA_2024_35" w:history="1">
        <w:r w:rsidRPr="00E55613">
          <w:rPr>
            <w:rStyle w:val="TextoNormalCaracter"/>
          </w:rPr>
          <w:t>35/2024</w:t>
        </w:r>
      </w:hyperlink>
      <w:r w:rsidRPr="00E55613">
        <w:rPr>
          <w:rStyle w:val="TextoNormalCaracter"/>
        </w:rPr>
        <w:t xml:space="preserve">, ff. 2 y 3; </w:t>
      </w:r>
      <w:hyperlink w:anchor="SENTENCIA_2024_53" w:history="1">
        <w:r w:rsidRPr="00E55613">
          <w:rPr>
            <w:rStyle w:val="TextoNormalCaracter"/>
          </w:rPr>
          <w:t>53/2024</w:t>
        </w:r>
      </w:hyperlink>
      <w:r w:rsidRPr="00E55613">
        <w:rPr>
          <w:rStyle w:val="TextoNormalCaracter"/>
        </w:rPr>
        <w:t xml:space="preserve">, ff. 2, 3, y 5; </w:t>
      </w:r>
      <w:hyperlink w:anchor="SENTENCIA_2024_54" w:history="1">
        <w:r w:rsidRPr="00E55613">
          <w:rPr>
            <w:rStyle w:val="TextoNormalCaracter"/>
          </w:rPr>
          <w:t>54/2024</w:t>
        </w:r>
      </w:hyperlink>
      <w:r w:rsidRPr="00E55613">
        <w:rPr>
          <w:rStyle w:val="TextoNormalCaracter"/>
        </w:rPr>
        <w:t xml:space="preserve">, f. 2; </w:t>
      </w:r>
      <w:hyperlink w:anchor="SENTENCIA_2024_61" w:history="1">
        <w:r w:rsidRPr="00E55613">
          <w:rPr>
            <w:rStyle w:val="TextoNormalCaracter"/>
          </w:rPr>
          <w:t>61/2024</w:t>
        </w:r>
      </w:hyperlink>
      <w:r w:rsidRPr="00E55613">
        <w:rPr>
          <w:rStyle w:val="TextoNormalCaracter"/>
        </w:rPr>
        <w:t xml:space="preserve">, f. 4, VP; </w:t>
      </w:r>
      <w:hyperlink w:anchor="SENTENCIA_2024_84" w:history="1">
        <w:r w:rsidRPr="00E55613">
          <w:rPr>
            <w:rStyle w:val="TextoNormalCaracter"/>
          </w:rPr>
          <w:t>84/2024</w:t>
        </w:r>
      </w:hyperlink>
      <w:r w:rsidRPr="00E55613">
        <w:rPr>
          <w:rStyle w:val="TextoNormalCaracter"/>
        </w:rPr>
        <w:t>, f. 2.</w:t>
      </w:r>
    </w:p>
    <w:p w14:paraId="5EA473BC" w14:textId="77777777" w:rsidR="00E55613" w:rsidRPr="00E55613" w:rsidRDefault="00E55613" w:rsidP="00E55613">
      <w:pPr>
        <w:pStyle w:val="TextoNormalSangraFrancesa"/>
        <w:rPr>
          <w:rStyle w:val="TextoNormalCaracter"/>
        </w:rPr>
      </w:pPr>
      <w:bookmarkStart w:id="854" w:name="DESCRIPTORALFABETICO85"/>
      <w:r w:rsidRPr="00E55613">
        <w:rPr>
          <w:rStyle w:val="TextoNormalNegritaCaracter"/>
        </w:rPr>
        <w:t>Derecho a la vida</w:t>
      </w:r>
      <w:bookmarkEnd w:id="854"/>
      <w:r w:rsidRPr="00E55613">
        <w:rPr>
          <w:rStyle w:val="TextoNormalCaracter"/>
        </w:rPr>
        <w:t xml:space="preserve">, </w:t>
      </w:r>
    </w:p>
    <w:p w14:paraId="406F0558" w14:textId="573D07CC" w:rsidR="00E55613" w:rsidRPr="00E55613" w:rsidRDefault="00E55613" w:rsidP="00E55613">
      <w:pPr>
        <w:pStyle w:val="TextoNormalSangraFrancesa"/>
        <w:rPr>
          <w:rStyle w:val="TextoNormalCaracter"/>
        </w:rPr>
      </w:pPr>
      <w:r w:rsidRPr="00E55613">
        <w:rPr>
          <w:rStyle w:val="TextoNormalCursivaCaracter"/>
        </w:rPr>
        <w:t xml:space="preserve">    Respetado, </w:t>
      </w:r>
      <w:r w:rsidRPr="00E55613">
        <w:rPr>
          <w:rStyle w:val="TextoNormalCaracter"/>
        </w:rPr>
        <w:t xml:space="preserve">Sentencia </w:t>
      </w:r>
      <w:hyperlink w:anchor="SENTENCIA_2024_92" w:history="1">
        <w:r w:rsidRPr="00E55613">
          <w:rPr>
            <w:rStyle w:val="TextoNormalCaracter"/>
          </w:rPr>
          <w:t>92/2024</w:t>
        </w:r>
      </w:hyperlink>
      <w:r w:rsidRPr="00E55613">
        <w:rPr>
          <w:rStyle w:val="TextoNormalCaracter"/>
        </w:rPr>
        <w:t>, ff. 4, 6, 7 y 8, VP III.</w:t>
      </w:r>
    </w:p>
    <w:p w14:paraId="3AF40460" w14:textId="77777777" w:rsidR="00E55613" w:rsidRPr="00E55613" w:rsidRDefault="00E55613" w:rsidP="00E55613">
      <w:pPr>
        <w:pStyle w:val="TextoNormalSangraFrancesa"/>
        <w:rPr>
          <w:rStyle w:val="TextoNormalCaracter"/>
        </w:rPr>
      </w:pPr>
      <w:bookmarkStart w:id="855" w:name="DESCRIPTORALFABETICO88"/>
      <w:r w:rsidRPr="00E55613">
        <w:rPr>
          <w:rStyle w:val="TextoNormalNegritaCaracter"/>
        </w:rPr>
        <w:t>Derecho a la vivienda</w:t>
      </w:r>
      <w:bookmarkEnd w:id="855"/>
      <w:r w:rsidRPr="00E55613">
        <w:rPr>
          <w:rStyle w:val="TextoNormalCaracter"/>
        </w:rPr>
        <w:t xml:space="preserve">, </w:t>
      </w:r>
    </w:p>
    <w:p w14:paraId="172B3498" w14:textId="75D70381" w:rsidR="00E55613" w:rsidRPr="00E55613" w:rsidRDefault="00E55613" w:rsidP="00E55613">
      <w:pPr>
        <w:pStyle w:val="TextoNormalSangraFrancesa"/>
        <w:rPr>
          <w:rStyle w:val="TextoNormalCaracter"/>
        </w:rPr>
      </w:pPr>
      <w:r w:rsidRPr="00E55613">
        <w:rPr>
          <w:rStyle w:val="TextoNormalCursivaCaracter"/>
        </w:rPr>
        <w:t xml:space="preserve">    Doctrina constitucional, </w:t>
      </w:r>
      <w:r w:rsidRPr="00E55613">
        <w:rPr>
          <w:rStyle w:val="TextoNormalCaracter"/>
        </w:rPr>
        <w:t xml:space="preserve">Sentencia </w:t>
      </w:r>
      <w:hyperlink w:anchor="SENTENCIA_2024_79" w:history="1">
        <w:r w:rsidRPr="00E55613">
          <w:rPr>
            <w:rStyle w:val="TextoNormalCaracter"/>
          </w:rPr>
          <w:t>79/2024</w:t>
        </w:r>
      </w:hyperlink>
      <w:r w:rsidRPr="00E55613">
        <w:rPr>
          <w:rStyle w:val="TextoNormalCaracter"/>
        </w:rPr>
        <w:t>, ff. 3 y 4.</w:t>
      </w:r>
    </w:p>
    <w:p w14:paraId="0A63EC70" w14:textId="77777777" w:rsidR="00E55613" w:rsidRPr="00E55613" w:rsidRDefault="00E55613" w:rsidP="00E55613">
      <w:pPr>
        <w:pStyle w:val="TextoNormalSangraFrancesa"/>
        <w:rPr>
          <w:rStyle w:val="TextoNormalCaracter"/>
        </w:rPr>
      </w:pPr>
      <w:bookmarkStart w:id="856" w:name="DESCRIPTORALFABETICO89"/>
      <w:r w:rsidRPr="00E55613">
        <w:rPr>
          <w:rStyle w:val="TextoNormalNegritaCaracter"/>
        </w:rPr>
        <w:t>Derecho a no padecer discriminación</w:t>
      </w:r>
      <w:bookmarkEnd w:id="856"/>
      <w:r w:rsidRPr="00E55613">
        <w:rPr>
          <w:rStyle w:val="TextoNormalCaracter"/>
        </w:rPr>
        <w:t xml:space="preserve">, </w:t>
      </w:r>
    </w:p>
    <w:p w14:paraId="51E51565" w14:textId="506F3B33" w:rsidR="00E55613" w:rsidRPr="00E55613" w:rsidRDefault="00E55613" w:rsidP="00E55613">
      <w:pPr>
        <w:pStyle w:val="TextoNormalSangraFrancesa"/>
        <w:rPr>
          <w:rStyle w:val="TextoNormalCaracter"/>
        </w:rPr>
      </w:pPr>
      <w:r w:rsidRPr="00E55613">
        <w:rPr>
          <w:rStyle w:val="TextoNormalCursivaCaracter"/>
        </w:rPr>
        <w:t xml:space="preserve">    Respetado, </w:t>
      </w:r>
      <w:r w:rsidRPr="00E55613">
        <w:rPr>
          <w:rStyle w:val="TextoNormalCaracter"/>
        </w:rPr>
        <w:t xml:space="preserve">Sentencias </w:t>
      </w:r>
      <w:hyperlink w:anchor="SENTENCIA_2024_66" w:history="1">
        <w:r w:rsidRPr="00E55613">
          <w:rPr>
            <w:rStyle w:val="TextoNormalCaracter"/>
          </w:rPr>
          <w:t>66/2024</w:t>
        </w:r>
      </w:hyperlink>
      <w:r w:rsidRPr="00E55613">
        <w:rPr>
          <w:rStyle w:val="TextoNormalCaracter"/>
        </w:rPr>
        <w:t xml:space="preserve">, f. 3; </w:t>
      </w:r>
      <w:hyperlink w:anchor="SENTENCIA_2024_81" w:history="1">
        <w:r w:rsidRPr="00E55613">
          <w:rPr>
            <w:rStyle w:val="TextoNormalCaracter"/>
          </w:rPr>
          <w:t>81/2024</w:t>
        </w:r>
      </w:hyperlink>
      <w:r w:rsidRPr="00E55613">
        <w:rPr>
          <w:rStyle w:val="TextoNormalCaracter"/>
        </w:rPr>
        <w:t>, ff. 1, 3, 4.</w:t>
      </w:r>
    </w:p>
    <w:p w14:paraId="369B55C1" w14:textId="75955442" w:rsidR="00E55613" w:rsidRPr="00E55613" w:rsidRDefault="00E55613" w:rsidP="00E55613">
      <w:pPr>
        <w:pStyle w:val="TextoNormalSangraFrancesa"/>
        <w:rPr>
          <w:rStyle w:val="TextoNormalCaracter"/>
        </w:rPr>
      </w:pPr>
      <w:r w:rsidRPr="00E55613">
        <w:rPr>
          <w:rStyle w:val="TextoNormalCursivaCaracter"/>
        </w:rPr>
        <w:t xml:space="preserve">    Vulnerado, </w:t>
      </w:r>
      <w:r w:rsidRPr="00E55613">
        <w:rPr>
          <w:rStyle w:val="TextoNormalCaracter"/>
        </w:rPr>
        <w:t xml:space="preserve">Sentencias </w:t>
      </w:r>
      <w:hyperlink w:anchor="SENTENCIA_2024_22" w:history="1">
        <w:r w:rsidRPr="00E55613">
          <w:rPr>
            <w:rStyle w:val="TextoNormalCaracter"/>
          </w:rPr>
          <w:t>22/2024</w:t>
        </w:r>
      </w:hyperlink>
      <w:r w:rsidRPr="00E55613">
        <w:rPr>
          <w:rStyle w:val="TextoNormalCaracter"/>
        </w:rPr>
        <w:t xml:space="preserve">, f. 4; </w:t>
      </w:r>
      <w:hyperlink w:anchor="SENTENCIA_2024_48" w:history="1">
        <w:r w:rsidRPr="00E55613">
          <w:rPr>
            <w:rStyle w:val="TextoNormalCaracter"/>
          </w:rPr>
          <w:t>48/2024</w:t>
        </w:r>
      </w:hyperlink>
      <w:r w:rsidRPr="00E55613">
        <w:rPr>
          <w:rStyle w:val="TextoNormalCaracter"/>
        </w:rPr>
        <w:t>.</w:t>
      </w:r>
    </w:p>
    <w:p w14:paraId="51B37179" w14:textId="5E13D1BA" w:rsidR="00E55613" w:rsidRPr="00E55613" w:rsidRDefault="00E55613" w:rsidP="00E55613">
      <w:pPr>
        <w:pStyle w:val="TextoNormalSangraFrancesa"/>
        <w:rPr>
          <w:rStyle w:val="TextoNormalCaracter"/>
        </w:rPr>
      </w:pPr>
      <w:bookmarkStart w:id="857" w:name="DESCRIPTORALFABETICO47"/>
      <w:r w:rsidRPr="00E55613">
        <w:rPr>
          <w:rStyle w:val="TextoNormalNegritaCaracter"/>
        </w:rPr>
        <w:t>Derecho a no ser sometido a torturas o tratos inhumanos o degradantes</w:t>
      </w:r>
      <w:bookmarkEnd w:id="857"/>
      <w:r w:rsidRPr="00E55613">
        <w:rPr>
          <w:rStyle w:val="TextoNormalCaracter"/>
        </w:rPr>
        <w:t xml:space="preserve">, Sentencia </w:t>
      </w:r>
      <w:hyperlink w:anchor="SENTENCIA_2024_34" w:history="1">
        <w:r w:rsidRPr="00E55613">
          <w:rPr>
            <w:rStyle w:val="TextoNormalCaracter"/>
          </w:rPr>
          <w:t>34/2024</w:t>
        </w:r>
      </w:hyperlink>
      <w:r w:rsidRPr="00E55613">
        <w:rPr>
          <w:rStyle w:val="TextoNormalCaracter"/>
        </w:rPr>
        <w:t>, f. 7.</w:t>
      </w:r>
    </w:p>
    <w:p w14:paraId="3916F4D7" w14:textId="17C4E113" w:rsidR="00E55613" w:rsidRPr="00E55613" w:rsidRDefault="00E55613" w:rsidP="00E55613">
      <w:pPr>
        <w:pStyle w:val="TextoNormalSangraFrancesa"/>
        <w:rPr>
          <w:rStyle w:val="TextoNormalCaracter"/>
        </w:rPr>
      </w:pPr>
      <w:r w:rsidRPr="00E55613">
        <w:rPr>
          <w:rStyle w:val="TextoNormalCursivaCaracter"/>
        </w:rPr>
        <w:t xml:space="preserve">    Vulnerado, </w:t>
      </w:r>
      <w:r w:rsidRPr="00E55613">
        <w:rPr>
          <w:rStyle w:val="TextoNormalCaracter"/>
        </w:rPr>
        <w:t xml:space="preserve">Sentencias </w:t>
      </w:r>
      <w:hyperlink w:anchor="SENTENCIA_2024_35" w:history="1">
        <w:r w:rsidRPr="00E55613">
          <w:rPr>
            <w:rStyle w:val="TextoNormalCaracter"/>
          </w:rPr>
          <w:t>35/2024</w:t>
        </w:r>
      </w:hyperlink>
      <w:r w:rsidRPr="00E55613">
        <w:rPr>
          <w:rStyle w:val="TextoNormalCaracter"/>
        </w:rPr>
        <w:t xml:space="preserve">, ff. 2 y 3, VP; </w:t>
      </w:r>
      <w:hyperlink w:anchor="SENTENCIA_2024_61" w:history="1">
        <w:r w:rsidRPr="00E55613">
          <w:rPr>
            <w:rStyle w:val="TextoNormalCaracter"/>
          </w:rPr>
          <w:t>61/2024</w:t>
        </w:r>
      </w:hyperlink>
      <w:r w:rsidRPr="00E55613">
        <w:rPr>
          <w:rStyle w:val="TextoNormalCaracter"/>
        </w:rPr>
        <w:t>, f. 4, VP.</w:t>
      </w:r>
    </w:p>
    <w:p w14:paraId="7CD29258" w14:textId="5CD917B8" w:rsidR="00E55613" w:rsidRPr="00E55613" w:rsidRDefault="00E55613" w:rsidP="00E55613">
      <w:pPr>
        <w:pStyle w:val="TextoNormalSangraFrancesa"/>
        <w:rPr>
          <w:rStyle w:val="TextoNormalCaracter"/>
        </w:rPr>
      </w:pPr>
      <w:bookmarkStart w:id="858" w:name="DESCRIPTORALFABETICO96"/>
      <w:r w:rsidRPr="00E55613">
        <w:rPr>
          <w:rStyle w:val="TextoNormalNegritaCaracter"/>
        </w:rPr>
        <w:t>Derecho a participar en los asuntos públicos</w:t>
      </w:r>
      <w:bookmarkEnd w:id="858"/>
      <w:r w:rsidRPr="00E55613">
        <w:rPr>
          <w:rStyle w:val="TextoNormalCaracter"/>
        </w:rPr>
        <w:t xml:space="preserve">, Sentencia </w:t>
      </w:r>
      <w:hyperlink w:anchor="SENTENCIA_2024_15" w:history="1">
        <w:r w:rsidRPr="00E55613">
          <w:rPr>
            <w:rStyle w:val="TextoNormalCaracter"/>
          </w:rPr>
          <w:t>15/2024</w:t>
        </w:r>
      </w:hyperlink>
      <w:r w:rsidRPr="00E55613">
        <w:rPr>
          <w:rStyle w:val="TextoNormalCaracter"/>
        </w:rPr>
        <w:t>, f. 3.</w:t>
      </w:r>
    </w:p>
    <w:p w14:paraId="3E0A6785" w14:textId="199D5860" w:rsidR="00E55613" w:rsidRPr="00E55613" w:rsidRDefault="00E55613" w:rsidP="00E55613">
      <w:pPr>
        <w:pStyle w:val="TextoNormalSangraFrancesa"/>
        <w:rPr>
          <w:rStyle w:val="TextoNormalCaracter"/>
        </w:rPr>
      </w:pPr>
      <w:r w:rsidRPr="00E55613">
        <w:rPr>
          <w:rStyle w:val="TextoNormalCursivaCaracter"/>
        </w:rPr>
        <w:t xml:space="preserve">    Vulnerado, </w:t>
      </w:r>
      <w:r w:rsidRPr="00E55613">
        <w:rPr>
          <w:rStyle w:val="TextoNormalCaracter"/>
        </w:rPr>
        <w:t xml:space="preserve">Sentencia </w:t>
      </w:r>
      <w:hyperlink w:anchor="SENTENCIA_2024_86" w:history="1">
        <w:r w:rsidRPr="00E55613">
          <w:rPr>
            <w:rStyle w:val="TextoNormalCaracter"/>
          </w:rPr>
          <w:t>86/2024</w:t>
        </w:r>
      </w:hyperlink>
      <w:r w:rsidRPr="00E55613">
        <w:rPr>
          <w:rStyle w:val="TextoNormalCaracter"/>
        </w:rPr>
        <w:t>, f. 3.</w:t>
      </w:r>
    </w:p>
    <w:p w14:paraId="532D4196" w14:textId="77777777" w:rsidR="00E55613" w:rsidRPr="00E55613" w:rsidRDefault="00E55613" w:rsidP="00E55613">
      <w:pPr>
        <w:pStyle w:val="TextoNormalSangraFrancesa"/>
        <w:rPr>
          <w:rStyle w:val="TextoNormalCaracter"/>
        </w:rPr>
      </w:pPr>
      <w:bookmarkStart w:id="859" w:name="DESCRIPTORALFABETICO100"/>
      <w:r w:rsidRPr="00E55613">
        <w:rPr>
          <w:rStyle w:val="TextoNormalNegritaCaracter"/>
        </w:rPr>
        <w:t>Derecho a un juez imparcial</w:t>
      </w:r>
      <w:bookmarkEnd w:id="859"/>
      <w:r w:rsidRPr="00E55613">
        <w:rPr>
          <w:rStyle w:val="TextoNormalCaracter"/>
        </w:rPr>
        <w:t xml:space="preserve">, </w:t>
      </w:r>
    </w:p>
    <w:p w14:paraId="0FAD3177" w14:textId="3FFE1CB0" w:rsidR="00E55613" w:rsidRPr="00E55613" w:rsidRDefault="00E55613" w:rsidP="00E55613">
      <w:pPr>
        <w:pStyle w:val="TextoNormalSangraFrancesa"/>
        <w:rPr>
          <w:rStyle w:val="TextoNormalCaracter"/>
        </w:rPr>
      </w:pPr>
      <w:r w:rsidRPr="00E55613">
        <w:rPr>
          <w:rStyle w:val="TextoNormalCursivaCaracter"/>
        </w:rPr>
        <w:t xml:space="preserve">    Doctrina constitucional, </w:t>
      </w:r>
      <w:r w:rsidRPr="00E55613">
        <w:rPr>
          <w:rStyle w:val="TextoNormalCaracter"/>
        </w:rPr>
        <w:t xml:space="preserve">Sentencia </w:t>
      </w:r>
      <w:hyperlink w:anchor="SENTENCIA_2024_9" w:history="1">
        <w:r w:rsidRPr="00E55613">
          <w:rPr>
            <w:rStyle w:val="TextoNormalCaracter"/>
          </w:rPr>
          <w:t>9/2024</w:t>
        </w:r>
      </w:hyperlink>
      <w:r w:rsidRPr="00E55613">
        <w:rPr>
          <w:rStyle w:val="TextoNormalCaracter"/>
        </w:rPr>
        <w:t>, f. 3.</w:t>
      </w:r>
    </w:p>
    <w:p w14:paraId="3F44C64B" w14:textId="0E2E03BB" w:rsidR="00E55613" w:rsidRPr="00E55613" w:rsidRDefault="00E55613" w:rsidP="00E55613">
      <w:pPr>
        <w:pStyle w:val="TextoNormalSangraFrancesa"/>
        <w:rPr>
          <w:rStyle w:val="TextoNormalCaracter"/>
        </w:rPr>
      </w:pPr>
      <w:r w:rsidRPr="00E55613">
        <w:rPr>
          <w:rStyle w:val="TextoNormalCursivaCaracter"/>
        </w:rPr>
        <w:t xml:space="preserve">    Respetado, </w:t>
      </w:r>
      <w:r w:rsidRPr="00E55613">
        <w:rPr>
          <w:rStyle w:val="TextoNormalCaracter"/>
        </w:rPr>
        <w:t xml:space="preserve">Sentencia </w:t>
      </w:r>
      <w:hyperlink w:anchor="SENTENCIA_2024_8" w:history="1">
        <w:r w:rsidRPr="00E55613">
          <w:rPr>
            <w:rStyle w:val="TextoNormalCaracter"/>
          </w:rPr>
          <w:t>8/2024</w:t>
        </w:r>
      </w:hyperlink>
      <w:r w:rsidRPr="00E55613">
        <w:rPr>
          <w:rStyle w:val="TextoNormalCaracter"/>
        </w:rPr>
        <w:t>, f. 3.</w:t>
      </w:r>
    </w:p>
    <w:p w14:paraId="24EE610C" w14:textId="77777777" w:rsidR="00E55613" w:rsidRPr="00E55613" w:rsidRDefault="00E55613" w:rsidP="00E55613">
      <w:pPr>
        <w:pStyle w:val="TextoNormalSangraFrancesa"/>
        <w:rPr>
          <w:rStyle w:val="TextoNormalCaracter"/>
        </w:rPr>
      </w:pPr>
      <w:bookmarkStart w:id="860" w:name="DESCRIPTORALFABETICO98"/>
      <w:r w:rsidRPr="00E55613">
        <w:rPr>
          <w:rStyle w:val="TextoNormalNegritaCaracter"/>
        </w:rPr>
        <w:t>Derecho a un proceso con todas las garantías</w:t>
      </w:r>
      <w:bookmarkEnd w:id="860"/>
      <w:r w:rsidRPr="00E55613">
        <w:rPr>
          <w:rStyle w:val="TextoNormalCaracter"/>
        </w:rPr>
        <w:t xml:space="preserve">, </w:t>
      </w:r>
    </w:p>
    <w:p w14:paraId="744A276B" w14:textId="3FC4C87E" w:rsidR="00E55613" w:rsidRPr="00E55613" w:rsidRDefault="00E55613" w:rsidP="00E55613">
      <w:pPr>
        <w:pStyle w:val="TextoNormalSangraFrancesa"/>
        <w:rPr>
          <w:rStyle w:val="TextoNormalCaracter"/>
        </w:rPr>
      </w:pPr>
      <w:r w:rsidRPr="00E55613">
        <w:rPr>
          <w:rStyle w:val="TextoNormalCursivaCaracter"/>
        </w:rPr>
        <w:t xml:space="preserve">    Respetado, </w:t>
      </w:r>
      <w:r w:rsidRPr="00E55613">
        <w:rPr>
          <w:rStyle w:val="TextoNormalCaracter"/>
        </w:rPr>
        <w:t xml:space="preserve">Sentencias </w:t>
      </w:r>
      <w:hyperlink w:anchor="SENTENCIA_2024_17" w:history="1">
        <w:r w:rsidRPr="00E55613">
          <w:rPr>
            <w:rStyle w:val="TextoNormalCaracter"/>
          </w:rPr>
          <w:t>17/2024</w:t>
        </w:r>
      </w:hyperlink>
      <w:r w:rsidRPr="00E55613">
        <w:rPr>
          <w:rStyle w:val="TextoNormalCaracter"/>
        </w:rPr>
        <w:t xml:space="preserve">; </w:t>
      </w:r>
      <w:hyperlink w:anchor="SENTENCIA_2024_34" w:history="1">
        <w:r w:rsidRPr="00E55613">
          <w:rPr>
            <w:rStyle w:val="TextoNormalCaracter"/>
          </w:rPr>
          <w:t>34/2024</w:t>
        </w:r>
      </w:hyperlink>
      <w:r w:rsidRPr="00E55613">
        <w:rPr>
          <w:rStyle w:val="TextoNormalCaracter"/>
        </w:rPr>
        <w:t xml:space="preserve">, f. 7; </w:t>
      </w:r>
      <w:hyperlink w:anchor="SENTENCIA_2024_36" w:history="1">
        <w:r w:rsidRPr="00E55613">
          <w:rPr>
            <w:rStyle w:val="TextoNormalCaracter"/>
          </w:rPr>
          <w:t>36/2024</w:t>
        </w:r>
      </w:hyperlink>
      <w:r w:rsidRPr="00E55613">
        <w:rPr>
          <w:rStyle w:val="TextoNormalCaracter"/>
        </w:rPr>
        <w:t xml:space="preserve">, f .4; </w:t>
      </w:r>
      <w:hyperlink w:anchor="SENTENCIA_2024_37" w:history="1">
        <w:r w:rsidRPr="00E55613">
          <w:rPr>
            <w:rStyle w:val="TextoNormalCaracter"/>
          </w:rPr>
          <w:t>37/2024</w:t>
        </w:r>
      </w:hyperlink>
      <w:r w:rsidRPr="00E55613">
        <w:rPr>
          <w:rStyle w:val="TextoNormalCaracter"/>
        </w:rPr>
        <w:t xml:space="preserve">, ff. 3 y 4, VP; </w:t>
      </w:r>
      <w:hyperlink w:anchor="SENTENCIA_2024_42" w:history="1">
        <w:r w:rsidRPr="00E55613">
          <w:rPr>
            <w:rStyle w:val="TextoNormalCaracter"/>
          </w:rPr>
          <w:t>42/2024</w:t>
        </w:r>
      </w:hyperlink>
      <w:r w:rsidRPr="00E55613">
        <w:rPr>
          <w:rStyle w:val="TextoNormalCaracter"/>
        </w:rPr>
        <w:t xml:space="preserve">, ff. 3 y 4, VP; </w:t>
      </w:r>
      <w:hyperlink w:anchor="SENTENCIA_2024_43" w:history="1">
        <w:r w:rsidRPr="00E55613">
          <w:rPr>
            <w:rStyle w:val="TextoNormalCaracter"/>
          </w:rPr>
          <w:t>43/2024</w:t>
        </w:r>
      </w:hyperlink>
      <w:r w:rsidRPr="00E55613">
        <w:rPr>
          <w:rStyle w:val="TextoNormalCaracter"/>
        </w:rPr>
        <w:t xml:space="preserve">, ff. 4 a 6, VP; </w:t>
      </w:r>
      <w:hyperlink w:anchor="SENTENCIA_2024_51" w:history="1">
        <w:r w:rsidRPr="00E55613">
          <w:rPr>
            <w:rStyle w:val="TextoNormalCaracter"/>
          </w:rPr>
          <w:t>51/2024</w:t>
        </w:r>
      </w:hyperlink>
      <w:r w:rsidRPr="00E55613">
        <w:rPr>
          <w:rStyle w:val="TextoNormalCaracter"/>
        </w:rPr>
        <w:t xml:space="preserve">, f. 3; </w:t>
      </w:r>
      <w:hyperlink w:anchor="SENTENCIA_2024_52" w:history="1">
        <w:r w:rsidRPr="00E55613">
          <w:rPr>
            <w:rStyle w:val="TextoNormalCaracter"/>
          </w:rPr>
          <w:t>52/2024</w:t>
        </w:r>
      </w:hyperlink>
      <w:r w:rsidRPr="00E55613">
        <w:rPr>
          <w:rStyle w:val="TextoNormalCaracter"/>
        </w:rPr>
        <w:t xml:space="preserve">, f. 3; </w:t>
      </w:r>
      <w:hyperlink w:anchor="SENTENCIA_2024_57" w:history="1">
        <w:r w:rsidRPr="00E55613">
          <w:rPr>
            <w:rStyle w:val="TextoNormalCaracter"/>
          </w:rPr>
          <w:t>57/2024</w:t>
        </w:r>
      </w:hyperlink>
      <w:r w:rsidRPr="00E55613">
        <w:rPr>
          <w:rStyle w:val="TextoNormalCaracter"/>
        </w:rPr>
        <w:t xml:space="preserve">, f. 5; </w:t>
      </w:r>
      <w:hyperlink w:anchor="SENTENCIA_2024_66" w:history="1">
        <w:r w:rsidRPr="00E55613">
          <w:rPr>
            <w:rStyle w:val="TextoNormalCaracter"/>
          </w:rPr>
          <w:t>66/2024</w:t>
        </w:r>
      </w:hyperlink>
      <w:r w:rsidRPr="00E55613">
        <w:rPr>
          <w:rStyle w:val="TextoNormalCaracter"/>
        </w:rPr>
        <w:t xml:space="preserve">, f. 3; </w:t>
      </w:r>
      <w:hyperlink w:anchor="SENTENCIA_2024_87" w:history="1">
        <w:r w:rsidRPr="00E55613">
          <w:rPr>
            <w:rStyle w:val="TextoNormalCaracter"/>
          </w:rPr>
          <w:t>87/2024</w:t>
        </w:r>
      </w:hyperlink>
      <w:r w:rsidRPr="00E55613">
        <w:rPr>
          <w:rStyle w:val="TextoNormalCaracter"/>
        </w:rPr>
        <w:t>, f. 3, VP III.</w:t>
      </w:r>
    </w:p>
    <w:p w14:paraId="337DC2C1" w14:textId="29212BAB" w:rsidR="00E55613" w:rsidRPr="00E55613" w:rsidRDefault="00E55613" w:rsidP="00E55613">
      <w:pPr>
        <w:pStyle w:val="TextoNormalSangraFrancesa"/>
        <w:rPr>
          <w:rStyle w:val="TextoNormalCaracter"/>
        </w:rPr>
      </w:pPr>
      <w:r w:rsidRPr="00E55613">
        <w:rPr>
          <w:rStyle w:val="TextoNormalCursivaCaracter"/>
        </w:rPr>
        <w:t xml:space="preserve">    Vulnerado, </w:t>
      </w:r>
      <w:r w:rsidRPr="00E55613">
        <w:rPr>
          <w:rStyle w:val="TextoNormalCaracter"/>
        </w:rPr>
        <w:t xml:space="preserve">Sentencia </w:t>
      </w:r>
      <w:hyperlink w:anchor="SENTENCIA_2024_80" w:history="1">
        <w:r w:rsidRPr="00E55613">
          <w:rPr>
            <w:rStyle w:val="TextoNormalCaracter"/>
          </w:rPr>
          <w:t>80/2024</w:t>
        </w:r>
      </w:hyperlink>
      <w:r w:rsidRPr="00E55613">
        <w:rPr>
          <w:rStyle w:val="TextoNormalCaracter"/>
        </w:rPr>
        <w:t>, ff. 4 a 6.</w:t>
      </w:r>
    </w:p>
    <w:p w14:paraId="257987A2" w14:textId="2B7A12A9" w:rsidR="00E55613" w:rsidRPr="00E55613" w:rsidRDefault="00E55613" w:rsidP="00E55613">
      <w:pPr>
        <w:pStyle w:val="TextoNormalSangraFrancesa"/>
        <w:rPr>
          <w:rStyle w:val="TextoNormalCaracter"/>
        </w:rPr>
      </w:pPr>
      <w:bookmarkStart w:id="861" w:name="DESCRIPTORALFABETICO296"/>
      <w:r w:rsidRPr="00E55613">
        <w:rPr>
          <w:rStyle w:val="TextoNormalNegritaCaracter"/>
        </w:rPr>
        <w:t>Derecho administrativo sancionador</w:t>
      </w:r>
      <w:bookmarkEnd w:id="861"/>
      <w:r w:rsidRPr="00E55613">
        <w:rPr>
          <w:rStyle w:val="TextoNormalCaracter"/>
        </w:rPr>
        <w:t xml:space="preserve">, Sentencia </w:t>
      </w:r>
      <w:hyperlink w:anchor="SENTENCIA_2024_69" w:history="1">
        <w:r w:rsidRPr="00E55613">
          <w:rPr>
            <w:rStyle w:val="TextoNormalCaracter"/>
          </w:rPr>
          <w:t>69/2024</w:t>
        </w:r>
      </w:hyperlink>
      <w:r w:rsidRPr="00E55613">
        <w:rPr>
          <w:rStyle w:val="TextoNormalCaracter"/>
        </w:rPr>
        <w:t>, f. 1.</w:t>
      </w:r>
    </w:p>
    <w:p w14:paraId="628D3BCF" w14:textId="33875AE8" w:rsidR="00E55613" w:rsidRPr="00E55613" w:rsidRDefault="00E55613" w:rsidP="00E55613">
      <w:pPr>
        <w:pStyle w:val="TextoNormalSangraFrancesa"/>
        <w:rPr>
          <w:rStyle w:val="TextoNormalCaracter"/>
        </w:rPr>
      </w:pPr>
      <w:bookmarkStart w:id="862" w:name="DESCRIPTORALFABETICO103"/>
      <w:r w:rsidRPr="00E55613">
        <w:rPr>
          <w:rStyle w:val="TextoNormalNegritaCaracter"/>
        </w:rPr>
        <w:t>Derecho al libre desarrollo de la personalidad</w:t>
      </w:r>
      <w:bookmarkEnd w:id="862"/>
      <w:r w:rsidRPr="00E55613">
        <w:rPr>
          <w:rStyle w:val="TextoNormalCaracter"/>
        </w:rPr>
        <w:t xml:space="preserve">, Sentencia </w:t>
      </w:r>
      <w:hyperlink w:anchor="SENTENCIA_2024_92" w:history="1">
        <w:r w:rsidRPr="00E55613">
          <w:rPr>
            <w:rStyle w:val="TextoNormalCaracter"/>
          </w:rPr>
          <w:t>92/2024</w:t>
        </w:r>
      </w:hyperlink>
      <w:r w:rsidRPr="00E55613">
        <w:rPr>
          <w:rStyle w:val="TextoNormalCaracter"/>
        </w:rPr>
        <w:t>, ff. 6 y 7, VP III.</w:t>
      </w:r>
    </w:p>
    <w:p w14:paraId="535F431B" w14:textId="77777777" w:rsidR="00E55613" w:rsidRPr="00E55613" w:rsidRDefault="00E55613" w:rsidP="00E55613">
      <w:pPr>
        <w:pStyle w:val="TextoNormalSangraFrancesa"/>
        <w:rPr>
          <w:rStyle w:val="TextoNormalCaracter"/>
        </w:rPr>
      </w:pPr>
      <w:bookmarkStart w:id="863" w:name="DESCRIPTORALFABETICO64"/>
      <w:r w:rsidRPr="00E55613">
        <w:rPr>
          <w:rStyle w:val="TextoNormalNegritaCaracter"/>
        </w:rPr>
        <w:t>Derecho de acceso a la jurisdicción</w:t>
      </w:r>
      <w:bookmarkEnd w:id="863"/>
      <w:r w:rsidRPr="00E55613">
        <w:rPr>
          <w:rStyle w:val="TextoNormalCaracter"/>
        </w:rPr>
        <w:t xml:space="preserve">, </w:t>
      </w:r>
    </w:p>
    <w:p w14:paraId="152FF6FB" w14:textId="29C81F9F" w:rsidR="00E55613" w:rsidRPr="00E55613" w:rsidRDefault="00E55613" w:rsidP="00E55613">
      <w:pPr>
        <w:pStyle w:val="TextoNormalSangraFrancesa"/>
        <w:rPr>
          <w:rStyle w:val="TextoNormalCaracter"/>
        </w:rPr>
      </w:pPr>
      <w:r w:rsidRPr="00E55613">
        <w:rPr>
          <w:rStyle w:val="TextoNormalCursivaCaracter"/>
        </w:rPr>
        <w:t xml:space="preserve">    Vulnerado, </w:t>
      </w:r>
      <w:r w:rsidRPr="00E55613">
        <w:rPr>
          <w:rStyle w:val="TextoNormalCaracter"/>
        </w:rPr>
        <w:t xml:space="preserve">Sentencias </w:t>
      </w:r>
      <w:hyperlink w:anchor="SENTENCIA_2024_61" w:history="1">
        <w:r w:rsidRPr="00E55613">
          <w:rPr>
            <w:rStyle w:val="TextoNormalCaracter"/>
          </w:rPr>
          <w:t>61/2024</w:t>
        </w:r>
      </w:hyperlink>
      <w:r w:rsidRPr="00E55613">
        <w:rPr>
          <w:rStyle w:val="TextoNormalCaracter"/>
        </w:rPr>
        <w:t xml:space="preserve">, f. 4; </w:t>
      </w:r>
      <w:hyperlink w:anchor="SENTENCIA_2024_82" w:history="1">
        <w:r w:rsidRPr="00E55613">
          <w:rPr>
            <w:rStyle w:val="TextoNormalCaracter"/>
          </w:rPr>
          <w:t>82/2024</w:t>
        </w:r>
      </w:hyperlink>
      <w:r w:rsidRPr="00E55613">
        <w:rPr>
          <w:rStyle w:val="TextoNormalCaracter"/>
        </w:rPr>
        <w:t>, ff. 3 y 4.</w:t>
      </w:r>
    </w:p>
    <w:p w14:paraId="4D17462A" w14:textId="496AD000" w:rsidR="00E55613" w:rsidRPr="00E55613" w:rsidRDefault="00E55613" w:rsidP="00E55613">
      <w:pPr>
        <w:pStyle w:val="TextoNormalSangraFrancesa"/>
        <w:rPr>
          <w:rStyle w:val="TextoNormalCaracter"/>
        </w:rPr>
      </w:pPr>
      <w:bookmarkStart w:id="864" w:name="DESCRIPTORALFABETICO67"/>
      <w:r w:rsidRPr="00E55613">
        <w:rPr>
          <w:rStyle w:val="TextoNormalNegritaCaracter"/>
        </w:rPr>
        <w:t>Derecho de acceso al recurso legal</w:t>
      </w:r>
      <w:bookmarkEnd w:id="864"/>
      <w:r w:rsidRPr="00E55613">
        <w:rPr>
          <w:rStyle w:val="TextoNormalCaracter"/>
        </w:rPr>
        <w:t xml:space="preserve">, Sentencia </w:t>
      </w:r>
      <w:hyperlink w:anchor="SENTENCIA_2024_47" w:history="1">
        <w:r w:rsidRPr="00E55613">
          <w:rPr>
            <w:rStyle w:val="TextoNormalCaracter"/>
          </w:rPr>
          <w:t>47/2024</w:t>
        </w:r>
      </w:hyperlink>
      <w:r w:rsidRPr="00E55613">
        <w:rPr>
          <w:rStyle w:val="TextoNormalCaracter"/>
        </w:rPr>
        <w:t>, f. 3.</w:t>
      </w:r>
    </w:p>
    <w:p w14:paraId="13F0E14E" w14:textId="0F0F69BD" w:rsidR="00E55613" w:rsidRPr="00E55613" w:rsidRDefault="00E55613" w:rsidP="00E55613">
      <w:pPr>
        <w:pStyle w:val="TextoNormalSangraFrancesa"/>
        <w:rPr>
          <w:rStyle w:val="TextoNormalCaracter"/>
        </w:rPr>
      </w:pPr>
      <w:r w:rsidRPr="00E55613">
        <w:rPr>
          <w:rStyle w:val="TextoNormalCursivaCaracter"/>
        </w:rPr>
        <w:t xml:space="preserve">    Respetado, </w:t>
      </w:r>
      <w:r w:rsidRPr="00E55613">
        <w:rPr>
          <w:rStyle w:val="TextoNormalCaracter"/>
        </w:rPr>
        <w:t xml:space="preserve">Sentencia </w:t>
      </w:r>
      <w:hyperlink w:anchor="SENTENCIA_2024_50" w:history="1">
        <w:r w:rsidRPr="00E55613">
          <w:rPr>
            <w:rStyle w:val="TextoNormalCaracter"/>
          </w:rPr>
          <w:t>50/2024</w:t>
        </w:r>
      </w:hyperlink>
      <w:r w:rsidRPr="00E55613">
        <w:rPr>
          <w:rStyle w:val="TextoNormalCaracter"/>
        </w:rPr>
        <w:t>, f. 3.</w:t>
      </w:r>
    </w:p>
    <w:p w14:paraId="0395A745" w14:textId="411FB945" w:rsidR="00E55613" w:rsidRPr="00E55613" w:rsidRDefault="00E55613" w:rsidP="00E55613">
      <w:pPr>
        <w:pStyle w:val="TextoNormalSangraFrancesa"/>
        <w:rPr>
          <w:rStyle w:val="TextoNormalCaracter"/>
        </w:rPr>
      </w:pPr>
      <w:r w:rsidRPr="00E55613">
        <w:rPr>
          <w:rStyle w:val="TextoNormalCursivaCaracter"/>
        </w:rPr>
        <w:lastRenderedPageBreak/>
        <w:t xml:space="preserve">    Vulnerado, </w:t>
      </w:r>
      <w:r w:rsidRPr="00E55613">
        <w:rPr>
          <w:rStyle w:val="TextoNormalCaracter"/>
        </w:rPr>
        <w:t xml:space="preserve">Sentencias </w:t>
      </w:r>
      <w:hyperlink w:anchor="SENTENCIA_2024_3" w:history="1">
        <w:r w:rsidRPr="00E55613">
          <w:rPr>
            <w:rStyle w:val="TextoNormalCaracter"/>
          </w:rPr>
          <w:t>3/2024</w:t>
        </w:r>
      </w:hyperlink>
      <w:r w:rsidRPr="00E55613">
        <w:rPr>
          <w:rStyle w:val="TextoNormalCaracter"/>
        </w:rPr>
        <w:t xml:space="preserve">; </w:t>
      </w:r>
      <w:hyperlink w:anchor="SENTENCIA_2024_55" w:history="1">
        <w:r w:rsidRPr="00E55613">
          <w:rPr>
            <w:rStyle w:val="TextoNormalCaracter"/>
          </w:rPr>
          <w:t>55/2024</w:t>
        </w:r>
      </w:hyperlink>
      <w:r w:rsidRPr="00E55613">
        <w:rPr>
          <w:rStyle w:val="TextoNormalCaracter"/>
        </w:rPr>
        <w:t>, f. 4.</w:t>
      </w:r>
    </w:p>
    <w:p w14:paraId="78DE9D5E" w14:textId="183279F7" w:rsidR="00E55613" w:rsidRPr="00E55613" w:rsidRDefault="00E55613" w:rsidP="00E55613">
      <w:pPr>
        <w:pStyle w:val="TextoNormalSangraFrancesa"/>
        <w:rPr>
          <w:rStyle w:val="TextoNormalCaracter"/>
        </w:rPr>
      </w:pPr>
      <w:bookmarkStart w:id="865" w:name="DESCRIPTORALFABETICO97"/>
      <w:r w:rsidRPr="00E55613">
        <w:rPr>
          <w:rStyle w:val="TextoNormalNegritaCaracter"/>
        </w:rPr>
        <w:t>Derecho de participación política</w:t>
      </w:r>
      <w:bookmarkEnd w:id="865"/>
      <w:r w:rsidRPr="00E55613">
        <w:rPr>
          <w:rStyle w:val="TextoNormalCaracter"/>
        </w:rPr>
        <w:t xml:space="preserve">, Sentencias </w:t>
      </w:r>
      <w:hyperlink w:anchor="SENTENCIA_2024_29" w:history="1">
        <w:r w:rsidRPr="00E55613">
          <w:rPr>
            <w:rStyle w:val="TextoNormalCaracter"/>
          </w:rPr>
          <w:t>29/2024</w:t>
        </w:r>
      </w:hyperlink>
      <w:r w:rsidRPr="00E55613">
        <w:rPr>
          <w:rStyle w:val="TextoNormalCaracter"/>
        </w:rPr>
        <w:t xml:space="preserve">, ff. 1 y 2; </w:t>
      </w:r>
      <w:hyperlink w:anchor="SENTENCIA_2024_86" w:history="1">
        <w:r w:rsidRPr="00E55613">
          <w:rPr>
            <w:rStyle w:val="TextoNormalCaracter"/>
          </w:rPr>
          <w:t>86/2024</w:t>
        </w:r>
      </w:hyperlink>
      <w:r w:rsidRPr="00E55613">
        <w:rPr>
          <w:rStyle w:val="TextoNormalCaracter"/>
        </w:rPr>
        <w:t>, f. 3.</w:t>
      </w:r>
    </w:p>
    <w:p w14:paraId="74A074DB" w14:textId="3DAED40A" w:rsidR="00E55613" w:rsidRPr="00E55613" w:rsidRDefault="00E55613" w:rsidP="00E55613">
      <w:pPr>
        <w:pStyle w:val="TextoNormalSangraFrancesa"/>
        <w:rPr>
          <w:rStyle w:val="TextoNormalCaracter"/>
        </w:rPr>
      </w:pPr>
      <w:r w:rsidRPr="00E55613">
        <w:rPr>
          <w:rStyle w:val="TextoNormalCaracter"/>
        </w:rPr>
        <w:t xml:space="preserve">    Auto </w:t>
      </w:r>
      <w:hyperlink w:anchor="AUTO_2024_47" w:history="1">
        <w:r w:rsidRPr="00E55613">
          <w:rPr>
            <w:rStyle w:val="TextoNormalCaracter"/>
          </w:rPr>
          <w:t>47/2024</w:t>
        </w:r>
      </w:hyperlink>
      <w:r w:rsidRPr="00E55613">
        <w:rPr>
          <w:rStyle w:val="TextoNormalCaracter"/>
        </w:rPr>
        <w:t>, f. 3.</w:t>
      </w:r>
    </w:p>
    <w:p w14:paraId="3419E8A3" w14:textId="77777777" w:rsidR="00E55613" w:rsidRPr="00E55613" w:rsidRDefault="00E55613" w:rsidP="00E55613">
      <w:pPr>
        <w:pStyle w:val="TextoNormalSangraFrancesa"/>
        <w:rPr>
          <w:rStyle w:val="TextoNormalCaracter"/>
        </w:rPr>
      </w:pPr>
      <w:bookmarkStart w:id="866" w:name="DESCRIPTORALFABETICO37"/>
      <w:r w:rsidRPr="00E55613">
        <w:rPr>
          <w:rStyle w:val="TextoNormalNegritaCaracter"/>
        </w:rPr>
        <w:t>Derecho de representación política</w:t>
      </w:r>
      <w:bookmarkEnd w:id="866"/>
      <w:r w:rsidRPr="00E55613">
        <w:rPr>
          <w:rStyle w:val="TextoNormalCaracter"/>
        </w:rPr>
        <w:t xml:space="preserve">, </w:t>
      </w:r>
    </w:p>
    <w:p w14:paraId="70BF7CE3" w14:textId="3214E448" w:rsidR="00E55613" w:rsidRPr="00E55613" w:rsidRDefault="00E55613" w:rsidP="00E55613">
      <w:pPr>
        <w:pStyle w:val="TextoNormalSangraFrancesa"/>
        <w:rPr>
          <w:rStyle w:val="TextoNormalCaracter"/>
        </w:rPr>
      </w:pPr>
      <w:r w:rsidRPr="00E55613">
        <w:rPr>
          <w:rStyle w:val="TextoNormalCursivaCaracter"/>
        </w:rPr>
        <w:t xml:space="preserve">    Respetado, </w:t>
      </w:r>
      <w:r w:rsidRPr="00E55613">
        <w:rPr>
          <w:rStyle w:val="TextoNormalCaracter"/>
        </w:rPr>
        <w:t xml:space="preserve">Sentencias </w:t>
      </w:r>
      <w:hyperlink w:anchor="SENTENCIA_2024_10" w:history="1">
        <w:r w:rsidRPr="00E55613">
          <w:rPr>
            <w:rStyle w:val="TextoNormalCaracter"/>
          </w:rPr>
          <w:t>10/2024</w:t>
        </w:r>
      </w:hyperlink>
      <w:r w:rsidRPr="00E55613">
        <w:rPr>
          <w:rStyle w:val="TextoNormalCaracter"/>
        </w:rPr>
        <w:t xml:space="preserve">, ff. 1 y 2, VP; </w:t>
      </w:r>
      <w:hyperlink w:anchor="SENTENCIA_2024_30" w:history="1">
        <w:r w:rsidRPr="00E55613">
          <w:rPr>
            <w:rStyle w:val="TextoNormalCaracter"/>
          </w:rPr>
          <w:t>30/2024</w:t>
        </w:r>
      </w:hyperlink>
      <w:r w:rsidRPr="00E55613">
        <w:rPr>
          <w:rStyle w:val="TextoNormalCaracter"/>
        </w:rPr>
        <w:t>, ff. 3 y 4, VP I, VP II.</w:t>
      </w:r>
    </w:p>
    <w:p w14:paraId="4F9F59BA" w14:textId="38235030" w:rsidR="00E55613" w:rsidRPr="00E55613" w:rsidRDefault="00E55613" w:rsidP="00E55613">
      <w:pPr>
        <w:pStyle w:val="TextoNormalSangraFrancesa"/>
        <w:rPr>
          <w:rStyle w:val="TextoNormalCaracter"/>
        </w:rPr>
      </w:pPr>
      <w:r w:rsidRPr="00E55613">
        <w:rPr>
          <w:rStyle w:val="TextoNormalCaracter"/>
        </w:rPr>
        <w:t xml:space="preserve">    Auto </w:t>
      </w:r>
      <w:hyperlink w:anchor="AUTO_2024_24" w:history="1">
        <w:r w:rsidRPr="00E55613">
          <w:rPr>
            <w:rStyle w:val="TextoNormalCaracter"/>
          </w:rPr>
          <w:t>24/2024</w:t>
        </w:r>
      </w:hyperlink>
      <w:r w:rsidRPr="00E55613">
        <w:rPr>
          <w:rStyle w:val="TextoNormalCaracter"/>
        </w:rPr>
        <w:t>, f. 2, VP.</w:t>
      </w:r>
    </w:p>
    <w:p w14:paraId="64A175B8" w14:textId="77777777" w:rsidR="00E55613" w:rsidRPr="00E55613" w:rsidRDefault="00E55613" w:rsidP="00E55613">
      <w:pPr>
        <w:pStyle w:val="TextoNormalSangraFrancesa"/>
        <w:rPr>
          <w:rStyle w:val="TextoNormalCaracter"/>
        </w:rPr>
      </w:pPr>
      <w:bookmarkStart w:id="867" w:name="DESCRIPTORALFABETICO107"/>
      <w:r w:rsidRPr="00E55613">
        <w:rPr>
          <w:rStyle w:val="TextoNormalNegritaCaracter"/>
        </w:rPr>
        <w:t>Derecho de reunión</w:t>
      </w:r>
      <w:bookmarkEnd w:id="867"/>
      <w:r w:rsidRPr="00E55613">
        <w:rPr>
          <w:rStyle w:val="TextoNormalCaracter"/>
        </w:rPr>
        <w:t xml:space="preserve">, </w:t>
      </w:r>
    </w:p>
    <w:p w14:paraId="27689DBE" w14:textId="694DFA37" w:rsidR="00E55613" w:rsidRPr="00E55613" w:rsidRDefault="00E55613" w:rsidP="00E55613">
      <w:pPr>
        <w:pStyle w:val="TextoNormalSangraFrancesa"/>
        <w:rPr>
          <w:rStyle w:val="TextoNormalCaracter"/>
        </w:rPr>
      </w:pPr>
      <w:r w:rsidRPr="00E55613">
        <w:rPr>
          <w:rStyle w:val="TextoNormalCursivaCaracter"/>
        </w:rPr>
        <w:t xml:space="preserve">    Respetado, </w:t>
      </w:r>
      <w:r w:rsidRPr="00E55613">
        <w:rPr>
          <w:rStyle w:val="TextoNormalCaracter"/>
        </w:rPr>
        <w:t xml:space="preserve">Sentencia </w:t>
      </w:r>
      <w:hyperlink w:anchor="SENTENCIA_2024_8" w:history="1">
        <w:r w:rsidRPr="00E55613">
          <w:rPr>
            <w:rStyle w:val="TextoNormalCaracter"/>
          </w:rPr>
          <w:t>8/2024</w:t>
        </w:r>
      </w:hyperlink>
      <w:r w:rsidRPr="00E55613">
        <w:rPr>
          <w:rStyle w:val="TextoNormalCaracter"/>
        </w:rPr>
        <w:t>, f. 5.</w:t>
      </w:r>
    </w:p>
    <w:p w14:paraId="45244851" w14:textId="77777777" w:rsidR="00E55613" w:rsidRPr="00E55613" w:rsidRDefault="00E55613" w:rsidP="00E55613">
      <w:pPr>
        <w:pStyle w:val="TextoNormalSangraFrancesa"/>
        <w:rPr>
          <w:rStyle w:val="TextoNormalCaracter"/>
        </w:rPr>
      </w:pPr>
      <w:bookmarkStart w:id="868" w:name="DESCRIPTORALFABETICO106"/>
      <w:r w:rsidRPr="00E55613">
        <w:rPr>
          <w:rStyle w:val="TextoNormalNegritaCaracter"/>
        </w:rPr>
        <w:t>Derecho de reunión y de manifestación</w:t>
      </w:r>
      <w:bookmarkEnd w:id="868"/>
      <w:r w:rsidRPr="00E55613">
        <w:rPr>
          <w:rStyle w:val="TextoNormalCaracter"/>
        </w:rPr>
        <w:t xml:space="preserve">, </w:t>
      </w:r>
    </w:p>
    <w:p w14:paraId="462FB94C" w14:textId="2F5B1E65" w:rsidR="00E55613" w:rsidRPr="00E55613" w:rsidRDefault="00E55613" w:rsidP="00E55613">
      <w:pPr>
        <w:pStyle w:val="TextoNormalSangraFrancesa"/>
        <w:rPr>
          <w:rStyle w:val="TextoNormalCaracter"/>
        </w:rPr>
      </w:pPr>
      <w:r w:rsidRPr="00E55613">
        <w:rPr>
          <w:rStyle w:val="TextoNormalCursivaCaracter"/>
        </w:rPr>
        <w:t xml:space="preserve">    Respetado, </w:t>
      </w:r>
      <w:r w:rsidRPr="00E55613">
        <w:rPr>
          <w:rStyle w:val="TextoNormalCaracter"/>
        </w:rPr>
        <w:t xml:space="preserve">Sentencia </w:t>
      </w:r>
      <w:hyperlink w:anchor="SENTENCIA_2024_75" w:history="1">
        <w:r w:rsidRPr="00E55613">
          <w:rPr>
            <w:rStyle w:val="TextoNormalCaracter"/>
          </w:rPr>
          <w:t>75/2024</w:t>
        </w:r>
      </w:hyperlink>
      <w:r w:rsidRPr="00E55613">
        <w:rPr>
          <w:rStyle w:val="TextoNormalCaracter"/>
        </w:rPr>
        <w:t>, f. 5, VP II.</w:t>
      </w:r>
    </w:p>
    <w:p w14:paraId="45F688AA" w14:textId="45DF7E76" w:rsidR="00E55613" w:rsidRPr="00E55613" w:rsidRDefault="00E55613" w:rsidP="00E55613">
      <w:pPr>
        <w:pStyle w:val="TextoNormalSangraFrancesa"/>
        <w:rPr>
          <w:rStyle w:val="TextoNormalCaracter"/>
        </w:rPr>
      </w:pPr>
      <w:bookmarkStart w:id="869" w:name="DESCRIPTORALFABETICO109"/>
      <w:r w:rsidRPr="00E55613">
        <w:rPr>
          <w:rStyle w:val="TextoNormalNegritaCaracter"/>
        </w:rPr>
        <w:t>Derechos de la mujer</w:t>
      </w:r>
      <w:bookmarkEnd w:id="869"/>
      <w:r w:rsidRPr="00E55613">
        <w:rPr>
          <w:rStyle w:val="TextoNormalCaracter"/>
        </w:rPr>
        <w:t xml:space="preserve">, Sentencia </w:t>
      </w:r>
      <w:hyperlink w:anchor="SENTENCIA_2024_92" w:history="1">
        <w:r w:rsidRPr="00E55613">
          <w:rPr>
            <w:rStyle w:val="TextoNormalCaracter"/>
          </w:rPr>
          <w:t>92/2024</w:t>
        </w:r>
      </w:hyperlink>
      <w:r w:rsidRPr="00E55613">
        <w:rPr>
          <w:rStyle w:val="TextoNormalCaracter"/>
        </w:rPr>
        <w:t>, ff. 2, 7 y 8, VP III, VP IV.</w:t>
      </w:r>
    </w:p>
    <w:p w14:paraId="4F2C0D7E" w14:textId="3810DE68" w:rsidR="00E55613" w:rsidRPr="00E55613" w:rsidRDefault="00E55613" w:rsidP="00E55613">
      <w:pPr>
        <w:pStyle w:val="TextoNormalSangraFrancesa"/>
        <w:rPr>
          <w:rStyle w:val="TextoNormalCaracter"/>
        </w:rPr>
      </w:pPr>
      <w:bookmarkStart w:id="870" w:name="DESCRIPTORALFABETICO294"/>
      <w:r w:rsidRPr="00E55613">
        <w:rPr>
          <w:rStyle w:val="TextoNormalNegritaCaracter"/>
        </w:rPr>
        <w:t>Derechos de los consumidores</w:t>
      </w:r>
      <w:bookmarkEnd w:id="870"/>
      <w:r w:rsidRPr="00E55613">
        <w:rPr>
          <w:rStyle w:val="TextoNormalCaracter"/>
        </w:rPr>
        <w:t xml:space="preserve">, Sentencias </w:t>
      </w:r>
      <w:hyperlink w:anchor="SENTENCIA_2024_27" w:history="1">
        <w:r w:rsidRPr="00E55613">
          <w:rPr>
            <w:rStyle w:val="TextoNormalCaracter"/>
          </w:rPr>
          <w:t>27/2024</w:t>
        </w:r>
      </w:hyperlink>
      <w:r w:rsidRPr="00E55613">
        <w:rPr>
          <w:rStyle w:val="TextoNormalCaracter"/>
        </w:rPr>
        <w:t xml:space="preserve">, ff. 1 y 3; </w:t>
      </w:r>
      <w:hyperlink w:anchor="SENTENCIA_2024_38" w:history="1">
        <w:r w:rsidRPr="00E55613">
          <w:rPr>
            <w:rStyle w:val="TextoNormalCaracter"/>
          </w:rPr>
          <w:t>38/2024</w:t>
        </w:r>
      </w:hyperlink>
      <w:r w:rsidRPr="00E55613">
        <w:rPr>
          <w:rStyle w:val="TextoNormalCaracter"/>
        </w:rPr>
        <w:t>, ff. 2 y 3.</w:t>
      </w:r>
    </w:p>
    <w:p w14:paraId="3A2FFD1B" w14:textId="318ABA1D" w:rsidR="00E55613" w:rsidRPr="00E55613" w:rsidRDefault="00E55613" w:rsidP="00E55613">
      <w:pPr>
        <w:pStyle w:val="TextoNormalSangraFrancesa"/>
        <w:rPr>
          <w:rStyle w:val="TextoNormalCaracter"/>
        </w:rPr>
      </w:pPr>
      <w:bookmarkStart w:id="871" w:name="DESCRIPTORALFABETICO110"/>
      <w:r w:rsidRPr="00E55613">
        <w:rPr>
          <w:rStyle w:val="TextoNormalNegritaCaracter"/>
        </w:rPr>
        <w:t>Derechos fundamentales de los extranjeros</w:t>
      </w:r>
      <w:bookmarkEnd w:id="871"/>
      <w:r w:rsidRPr="00E55613">
        <w:rPr>
          <w:rStyle w:val="TextoNormalCaracter"/>
        </w:rPr>
        <w:t xml:space="preserve">, Sentencia </w:t>
      </w:r>
      <w:hyperlink w:anchor="SENTENCIA_2024_37" w:history="1">
        <w:r w:rsidRPr="00E55613">
          <w:rPr>
            <w:rStyle w:val="TextoNormalCaracter"/>
          </w:rPr>
          <w:t>37/2024</w:t>
        </w:r>
      </w:hyperlink>
      <w:r w:rsidRPr="00E55613">
        <w:rPr>
          <w:rStyle w:val="TextoNormalCaracter"/>
        </w:rPr>
        <w:t>, VP.</w:t>
      </w:r>
    </w:p>
    <w:p w14:paraId="7E2544F1" w14:textId="7EF72905" w:rsidR="00E55613" w:rsidRPr="00E55613" w:rsidRDefault="00E55613" w:rsidP="00E55613">
      <w:pPr>
        <w:pStyle w:val="TextoNormalSangraFrancesa"/>
        <w:rPr>
          <w:rStyle w:val="TextoNormalCaracter"/>
        </w:rPr>
      </w:pPr>
      <w:bookmarkStart w:id="872" w:name="DESCRIPTORALFABETICO418"/>
      <w:r w:rsidRPr="00E55613">
        <w:rPr>
          <w:rStyle w:val="TextoNormalNegritaCaracter"/>
        </w:rPr>
        <w:t>Derechos fundamentales de los reclusos</w:t>
      </w:r>
      <w:bookmarkEnd w:id="872"/>
      <w:r w:rsidRPr="00E55613">
        <w:rPr>
          <w:rStyle w:val="TextoNormalCaracter"/>
        </w:rPr>
        <w:t xml:space="preserve">, Sentencia </w:t>
      </w:r>
      <w:hyperlink w:anchor="SENTENCIA_2024_53" w:history="1">
        <w:r w:rsidRPr="00E55613">
          <w:rPr>
            <w:rStyle w:val="TextoNormalCaracter"/>
          </w:rPr>
          <w:t>53/2024</w:t>
        </w:r>
      </w:hyperlink>
      <w:r w:rsidRPr="00E55613">
        <w:rPr>
          <w:rStyle w:val="TextoNormalCaracter"/>
        </w:rPr>
        <w:t>, ff. 2 a 4.</w:t>
      </w:r>
    </w:p>
    <w:p w14:paraId="3D4B286D" w14:textId="62ABEDCF" w:rsidR="00E55613" w:rsidRPr="00E55613" w:rsidRDefault="00E55613" w:rsidP="00E55613">
      <w:pPr>
        <w:pStyle w:val="TextoNormalSangraFrancesa"/>
        <w:rPr>
          <w:rStyle w:val="TextoNormalCaracter"/>
        </w:rPr>
      </w:pPr>
      <w:bookmarkStart w:id="873" w:name="DESCRIPTORALFABETICO242"/>
      <w:r w:rsidRPr="00E55613">
        <w:rPr>
          <w:rStyle w:val="TextoNormalNegritaCaracter"/>
        </w:rPr>
        <w:t>Derechos parlamentarios</w:t>
      </w:r>
      <w:bookmarkEnd w:id="873"/>
      <w:r w:rsidRPr="00E55613">
        <w:rPr>
          <w:rStyle w:val="TextoNormalCaracter"/>
        </w:rPr>
        <w:t xml:space="preserve">, Sentencia </w:t>
      </w:r>
      <w:hyperlink w:anchor="SENTENCIA_2024_86" w:history="1">
        <w:r w:rsidRPr="00E55613">
          <w:rPr>
            <w:rStyle w:val="TextoNormalCaracter"/>
          </w:rPr>
          <w:t>86/2024</w:t>
        </w:r>
      </w:hyperlink>
      <w:r w:rsidRPr="00E55613">
        <w:rPr>
          <w:rStyle w:val="TextoNormalCaracter"/>
        </w:rPr>
        <w:t>, f. 3.</w:t>
      </w:r>
    </w:p>
    <w:p w14:paraId="6F62481A" w14:textId="11F0D7F5" w:rsidR="00E55613" w:rsidRPr="00E55613" w:rsidRDefault="00E55613" w:rsidP="00E55613">
      <w:pPr>
        <w:pStyle w:val="TextoNormalSangraFrancesa"/>
        <w:rPr>
          <w:rStyle w:val="TextoNormalCaracter"/>
        </w:rPr>
      </w:pPr>
      <w:bookmarkStart w:id="874" w:name="DESCRIPTORALFABETICO323"/>
      <w:r w:rsidRPr="00E55613">
        <w:rPr>
          <w:rStyle w:val="TextoNormalNegritaCaracter"/>
        </w:rPr>
        <w:t>Desacuerdo en el ejercicio de la patria potestad</w:t>
      </w:r>
      <w:bookmarkEnd w:id="874"/>
      <w:r w:rsidRPr="00E55613">
        <w:rPr>
          <w:rStyle w:val="TextoNormalCaracter"/>
        </w:rPr>
        <w:t xml:space="preserve">, Sentencias </w:t>
      </w:r>
      <w:hyperlink w:anchor="SENTENCIA_2024_26" w:history="1">
        <w:r w:rsidRPr="00E55613">
          <w:rPr>
            <w:rStyle w:val="TextoNormalCaracter"/>
          </w:rPr>
          <w:t>26/2024</w:t>
        </w:r>
      </w:hyperlink>
      <w:r w:rsidRPr="00E55613">
        <w:rPr>
          <w:rStyle w:val="TextoNormalCaracter"/>
        </w:rPr>
        <w:t xml:space="preserve">, f. 1; </w:t>
      </w:r>
      <w:hyperlink w:anchor="SENTENCIA_2024_53" w:history="1">
        <w:r w:rsidRPr="00E55613">
          <w:rPr>
            <w:rStyle w:val="TextoNormalCaracter"/>
          </w:rPr>
          <w:t>53/2024</w:t>
        </w:r>
      </w:hyperlink>
      <w:r w:rsidRPr="00E55613">
        <w:rPr>
          <w:rStyle w:val="TextoNormalCaracter"/>
        </w:rPr>
        <w:t>, f. 1.</w:t>
      </w:r>
    </w:p>
    <w:p w14:paraId="5BF98C51" w14:textId="5837E17A" w:rsidR="00E55613" w:rsidRPr="00E55613" w:rsidRDefault="00E55613" w:rsidP="00E55613">
      <w:pPr>
        <w:pStyle w:val="TextoNormalSangraFrancesa"/>
        <w:rPr>
          <w:rStyle w:val="TextoNormalCaracter"/>
        </w:rPr>
      </w:pPr>
      <w:bookmarkStart w:id="875" w:name="DESCRIPTORALFABETICO304"/>
      <w:r w:rsidRPr="00E55613">
        <w:rPr>
          <w:rStyle w:val="TextoNormalNegritaCaracter"/>
        </w:rPr>
        <w:t>Desafectación de bienes de dominio público</w:t>
      </w:r>
      <w:bookmarkEnd w:id="875"/>
      <w:r w:rsidRPr="00E55613">
        <w:rPr>
          <w:rStyle w:val="TextoNormalCaracter"/>
        </w:rPr>
        <w:t xml:space="preserve">, Sentencia </w:t>
      </w:r>
      <w:hyperlink w:anchor="SENTENCIA_2024_25" w:history="1">
        <w:r w:rsidRPr="00E55613">
          <w:rPr>
            <w:rStyle w:val="TextoNormalCaracter"/>
          </w:rPr>
          <w:t>25/2024</w:t>
        </w:r>
      </w:hyperlink>
      <w:r w:rsidRPr="00E55613">
        <w:rPr>
          <w:rStyle w:val="TextoNormalCaracter"/>
        </w:rPr>
        <w:t>, f. 12.</w:t>
      </w:r>
    </w:p>
    <w:p w14:paraId="412C9D75" w14:textId="28C539D1" w:rsidR="00E55613" w:rsidRPr="00E55613" w:rsidRDefault="00E55613" w:rsidP="00E55613">
      <w:pPr>
        <w:pStyle w:val="TextoNormalSangraFrancesa"/>
        <w:rPr>
          <w:rStyle w:val="TextoNormalCaracter"/>
        </w:rPr>
      </w:pPr>
      <w:bookmarkStart w:id="876" w:name="DESCRIPTORALFABETICO141"/>
      <w:r w:rsidRPr="00E55613">
        <w:rPr>
          <w:rStyle w:val="TextoNormalNegritaCaracter"/>
        </w:rPr>
        <w:t>Desestimación de la recusación</w:t>
      </w:r>
      <w:bookmarkEnd w:id="876"/>
      <w:r w:rsidRPr="00E55613">
        <w:rPr>
          <w:rStyle w:val="TextoNormalCaracter"/>
        </w:rPr>
        <w:t xml:space="preserve">, Auto </w:t>
      </w:r>
      <w:hyperlink w:anchor="AUTO_2024_42" w:history="1">
        <w:r w:rsidRPr="00E55613">
          <w:rPr>
            <w:rStyle w:val="TextoNormalCaracter"/>
          </w:rPr>
          <w:t>42/2024</w:t>
        </w:r>
      </w:hyperlink>
      <w:r w:rsidRPr="00E55613">
        <w:rPr>
          <w:rStyle w:val="TextoNormalCaracter"/>
        </w:rPr>
        <w:t>, f. Unico.</w:t>
      </w:r>
    </w:p>
    <w:p w14:paraId="1F7A861E" w14:textId="31729923" w:rsidR="00E55613" w:rsidRPr="00E55613" w:rsidRDefault="00E55613" w:rsidP="00E55613">
      <w:pPr>
        <w:pStyle w:val="TextoNormalSangraFrancesa"/>
        <w:rPr>
          <w:rStyle w:val="TextoNormalCaracter"/>
        </w:rPr>
      </w:pPr>
      <w:bookmarkStart w:id="877" w:name="DESCRIPTORALFABETICO493"/>
      <w:r w:rsidRPr="00E55613">
        <w:rPr>
          <w:rStyle w:val="TextoNormalNegritaCaracter"/>
        </w:rPr>
        <w:t>Desestimación de recurso de súplica</w:t>
      </w:r>
      <w:bookmarkEnd w:id="877"/>
      <w:r w:rsidRPr="00E55613">
        <w:rPr>
          <w:rStyle w:val="TextoNormalCaracter"/>
        </w:rPr>
        <w:t xml:space="preserve">, Auto </w:t>
      </w:r>
      <w:hyperlink w:anchor="AUTO_2024_39" w:history="1">
        <w:r w:rsidRPr="00E55613">
          <w:rPr>
            <w:rStyle w:val="TextoNormalCaracter"/>
          </w:rPr>
          <w:t>39/2024</w:t>
        </w:r>
      </w:hyperlink>
      <w:r w:rsidRPr="00E55613">
        <w:rPr>
          <w:rStyle w:val="TextoNormalCaracter"/>
        </w:rPr>
        <w:t>, f. Unico.</w:t>
      </w:r>
    </w:p>
    <w:p w14:paraId="64CC627A" w14:textId="74520114" w:rsidR="00E55613" w:rsidRPr="00E55613" w:rsidRDefault="00E55613" w:rsidP="00E55613">
      <w:pPr>
        <w:pStyle w:val="TextoNormalSangraFrancesa"/>
        <w:rPr>
          <w:rStyle w:val="TextoNormalCaracter"/>
        </w:rPr>
      </w:pPr>
      <w:bookmarkStart w:id="878" w:name="DESCRIPTORALFABETICO149"/>
      <w:r w:rsidRPr="00E55613">
        <w:rPr>
          <w:rStyle w:val="TextoNormalNegritaCaracter"/>
        </w:rPr>
        <w:t>Desestimación de recurso de súplica contra Autos del Tribunal Constitucional</w:t>
      </w:r>
      <w:bookmarkEnd w:id="878"/>
      <w:r w:rsidRPr="00E55613">
        <w:rPr>
          <w:rStyle w:val="TextoNormalCaracter"/>
        </w:rPr>
        <w:t xml:space="preserve">, Autos </w:t>
      </w:r>
      <w:hyperlink w:anchor="AUTO_2024_5" w:history="1">
        <w:r w:rsidRPr="00E55613">
          <w:rPr>
            <w:rStyle w:val="TextoNormalCaracter"/>
          </w:rPr>
          <w:t>5/2024</w:t>
        </w:r>
      </w:hyperlink>
      <w:r w:rsidRPr="00E55613">
        <w:rPr>
          <w:rStyle w:val="TextoNormalCaracter"/>
        </w:rPr>
        <w:t xml:space="preserve">, f. 2; </w:t>
      </w:r>
      <w:hyperlink w:anchor="AUTO_2024_26" w:history="1">
        <w:r w:rsidRPr="00E55613">
          <w:rPr>
            <w:rStyle w:val="TextoNormalCaracter"/>
          </w:rPr>
          <w:t>26/2024</w:t>
        </w:r>
      </w:hyperlink>
      <w:r w:rsidRPr="00E55613">
        <w:rPr>
          <w:rStyle w:val="TextoNormalCaracter"/>
        </w:rPr>
        <w:t xml:space="preserve">, f. 2; </w:t>
      </w:r>
      <w:hyperlink w:anchor="AUTO_2024_29" w:history="1">
        <w:r w:rsidRPr="00E55613">
          <w:rPr>
            <w:rStyle w:val="TextoNormalCaracter"/>
          </w:rPr>
          <w:t>29/2024</w:t>
        </w:r>
      </w:hyperlink>
      <w:r w:rsidRPr="00E55613">
        <w:rPr>
          <w:rStyle w:val="TextoNormalCaracter"/>
        </w:rPr>
        <w:t>, f. 2.</w:t>
      </w:r>
    </w:p>
    <w:p w14:paraId="4E542116" w14:textId="60F166BA" w:rsidR="00E55613" w:rsidRPr="00E55613" w:rsidRDefault="00E55613" w:rsidP="00E55613">
      <w:pPr>
        <w:pStyle w:val="TextoNormalSangraFrancesa"/>
        <w:rPr>
          <w:rStyle w:val="TextoNormalCaracter"/>
        </w:rPr>
      </w:pPr>
      <w:bookmarkStart w:id="879" w:name="DESCRIPTORALFABETICO151"/>
      <w:r w:rsidRPr="00E55613">
        <w:rPr>
          <w:rStyle w:val="TextoNormalNegritaCaracter"/>
        </w:rPr>
        <w:t>Desestimación de recurso de súplica contra providencias de inadmisión del Tribunal Constitucional</w:t>
      </w:r>
      <w:bookmarkEnd w:id="879"/>
      <w:r w:rsidRPr="00E55613">
        <w:rPr>
          <w:rStyle w:val="TextoNormalCaracter"/>
        </w:rPr>
        <w:t xml:space="preserve">, Autos </w:t>
      </w:r>
      <w:hyperlink w:anchor="AUTO_2024_1" w:history="1">
        <w:r w:rsidRPr="00E55613">
          <w:rPr>
            <w:rStyle w:val="TextoNormalCaracter"/>
          </w:rPr>
          <w:t>1/2024</w:t>
        </w:r>
      </w:hyperlink>
      <w:r w:rsidRPr="00E55613">
        <w:rPr>
          <w:rStyle w:val="TextoNormalCaracter"/>
        </w:rPr>
        <w:t xml:space="preserve">, f. 3; </w:t>
      </w:r>
      <w:hyperlink w:anchor="AUTO_2024_13" w:history="1">
        <w:r w:rsidRPr="00E55613">
          <w:rPr>
            <w:rStyle w:val="TextoNormalCaracter"/>
          </w:rPr>
          <w:t>13/2024</w:t>
        </w:r>
      </w:hyperlink>
      <w:r w:rsidRPr="00E55613">
        <w:rPr>
          <w:rStyle w:val="TextoNormalCaracter"/>
        </w:rPr>
        <w:t>, f. 3.</w:t>
      </w:r>
    </w:p>
    <w:p w14:paraId="06A5057C" w14:textId="57270AA1" w:rsidR="00E55613" w:rsidRPr="00E55613" w:rsidRDefault="00E55613" w:rsidP="00E55613">
      <w:pPr>
        <w:pStyle w:val="TextoNormalSangraFrancesa"/>
        <w:rPr>
          <w:rStyle w:val="TextoNormalCaracter"/>
        </w:rPr>
      </w:pPr>
      <w:bookmarkStart w:id="880" w:name="DESCRIPTORALFABETICO214"/>
      <w:r w:rsidRPr="00E55613">
        <w:rPr>
          <w:rStyle w:val="TextoNormalNegritaCaracter"/>
        </w:rPr>
        <w:t>Designación de miembros del Consejo General del Poder Judicial</w:t>
      </w:r>
      <w:bookmarkEnd w:id="880"/>
      <w:r w:rsidRPr="00E55613">
        <w:rPr>
          <w:rStyle w:val="TextoNormalCaracter"/>
        </w:rPr>
        <w:t xml:space="preserve">, Sentencia </w:t>
      </w:r>
      <w:hyperlink w:anchor="SENTENCIA_2024_15" w:history="1">
        <w:r w:rsidRPr="00E55613">
          <w:rPr>
            <w:rStyle w:val="TextoNormalCaracter"/>
          </w:rPr>
          <w:t>15/2024</w:t>
        </w:r>
      </w:hyperlink>
      <w:r w:rsidRPr="00E55613">
        <w:rPr>
          <w:rStyle w:val="TextoNormalCaracter"/>
        </w:rPr>
        <w:t>, ff. 3 a 7, VP II.</w:t>
      </w:r>
    </w:p>
    <w:p w14:paraId="3198C555" w14:textId="77777777" w:rsidR="00E55613" w:rsidRPr="00E55613" w:rsidRDefault="00E55613" w:rsidP="00E55613">
      <w:pPr>
        <w:pStyle w:val="TextoNormalSangraFrancesa"/>
        <w:rPr>
          <w:rStyle w:val="TextoNormalCaracter"/>
        </w:rPr>
      </w:pPr>
      <w:bookmarkStart w:id="881" w:name="DESCRIPTORALFABETICO153"/>
      <w:r w:rsidRPr="00E55613">
        <w:rPr>
          <w:rStyle w:val="TextoNormalNegritaCaracter"/>
        </w:rPr>
        <w:t>Desistimiento en el recurso de amparo</w:t>
      </w:r>
      <w:bookmarkEnd w:id="881"/>
      <w:r w:rsidRPr="00E55613">
        <w:rPr>
          <w:rStyle w:val="TextoNormalCaracter"/>
        </w:rPr>
        <w:t xml:space="preserve">, </w:t>
      </w:r>
    </w:p>
    <w:p w14:paraId="5C8369AD" w14:textId="138B77D0" w:rsidR="00E55613" w:rsidRPr="00E55613" w:rsidRDefault="00E55613" w:rsidP="00E55613">
      <w:pPr>
        <w:pStyle w:val="TextoNormalSangraFrancesa"/>
        <w:rPr>
          <w:rStyle w:val="TextoNormalCaracter"/>
        </w:rPr>
      </w:pPr>
      <w:r w:rsidRPr="00E55613">
        <w:rPr>
          <w:rStyle w:val="TextoNormalCursivaCaracter"/>
        </w:rPr>
        <w:t xml:space="preserve">    Procedencia, </w:t>
      </w:r>
      <w:r w:rsidRPr="00E55613">
        <w:rPr>
          <w:rStyle w:val="TextoNormalCaracter"/>
        </w:rPr>
        <w:t xml:space="preserve">Autos </w:t>
      </w:r>
      <w:hyperlink w:anchor="AUTO_2024_38" w:history="1">
        <w:r w:rsidRPr="00E55613">
          <w:rPr>
            <w:rStyle w:val="TextoNormalCaracter"/>
          </w:rPr>
          <w:t>38/2024</w:t>
        </w:r>
      </w:hyperlink>
      <w:r w:rsidRPr="00E55613">
        <w:rPr>
          <w:rStyle w:val="TextoNormalCaracter"/>
        </w:rPr>
        <w:t xml:space="preserve">, f. único; </w:t>
      </w:r>
      <w:hyperlink w:anchor="AUTO_2024_49" w:history="1">
        <w:r w:rsidRPr="00E55613">
          <w:rPr>
            <w:rStyle w:val="TextoNormalCaracter"/>
          </w:rPr>
          <w:t>49/2024</w:t>
        </w:r>
      </w:hyperlink>
      <w:r w:rsidRPr="00E55613">
        <w:rPr>
          <w:rStyle w:val="TextoNormalCaracter"/>
        </w:rPr>
        <w:t>, f. 5.</w:t>
      </w:r>
    </w:p>
    <w:p w14:paraId="4107FBF4" w14:textId="6C6B8A60" w:rsidR="00E55613" w:rsidRPr="00E55613" w:rsidRDefault="00E55613" w:rsidP="00E55613">
      <w:pPr>
        <w:pStyle w:val="TextoNormalSangraFrancesa"/>
        <w:rPr>
          <w:rStyle w:val="TextoNormalCaracter"/>
        </w:rPr>
      </w:pPr>
      <w:bookmarkStart w:id="882" w:name="DESCRIPTORALFABETICO435"/>
      <w:r w:rsidRPr="00E55613">
        <w:rPr>
          <w:rStyle w:val="TextoNormalNegritaCaracter"/>
        </w:rPr>
        <w:t>Despido improcedente</w:t>
      </w:r>
      <w:bookmarkEnd w:id="882"/>
      <w:r w:rsidRPr="00E55613">
        <w:rPr>
          <w:rStyle w:val="TextoNormalCaracter"/>
        </w:rPr>
        <w:t xml:space="preserve">, Sentencia </w:t>
      </w:r>
      <w:hyperlink w:anchor="SENTENCIA_2024_22" w:history="1">
        <w:r w:rsidRPr="00E55613">
          <w:rPr>
            <w:rStyle w:val="TextoNormalCaracter"/>
          </w:rPr>
          <w:t>22/2024</w:t>
        </w:r>
      </w:hyperlink>
      <w:r w:rsidRPr="00E55613">
        <w:rPr>
          <w:rStyle w:val="TextoNormalCaracter"/>
        </w:rPr>
        <w:t>, f. 1.</w:t>
      </w:r>
    </w:p>
    <w:p w14:paraId="632C1415" w14:textId="59C3E937" w:rsidR="00E55613" w:rsidRPr="00E55613" w:rsidRDefault="00E55613" w:rsidP="00E55613">
      <w:pPr>
        <w:pStyle w:val="TextoNormalSangraFrancesa"/>
        <w:rPr>
          <w:rStyle w:val="TextoNormalCaracter"/>
        </w:rPr>
      </w:pPr>
      <w:bookmarkStart w:id="883" w:name="DESCRIPTORALFABETICO436"/>
      <w:r w:rsidRPr="00E55613">
        <w:rPr>
          <w:rStyle w:val="TextoNormalNegritaCaracter"/>
        </w:rPr>
        <w:t>Despido no discriminatorio</w:t>
      </w:r>
      <w:bookmarkEnd w:id="883"/>
      <w:r w:rsidRPr="00E55613">
        <w:rPr>
          <w:rStyle w:val="TextoNormalCaracter"/>
        </w:rPr>
        <w:t xml:space="preserve">, Sentencia </w:t>
      </w:r>
      <w:hyperlink w:anchor="SENTENCIA_2024_81" w:history="1">
        <w:r w:rsidRPr="00E55613">
          <w:rPr>
            <w:rStyle w:val="TextoNormalCaracter"/>
          </w:rPr>
          <w:t>81/2024</w:t>
        </w:r>
      </w:hyperlink>
      <w:r w:rsidRPr="00E55613">
        <w:rPr>
          <w:rStyle w:val="TextoNormalCaracter"/>
        </w:rPr>
        <w:t>, f. 4.</w:t>
      </w:r>
    </w:p>
    <w:p w14:paraId="4C7C3258" w14:textId="454521EF" w:rsidR="00E55613" w:rsidRPr="00E55613" w:rsidRDefault="00E55613" w:rsidP="00E55613">
      <w:pPr>
        <w:pStyle w:val="TextoNormalSangraFrancesa"/>
        <w:rPr>
          <w:rStyle w:val="TextoNormalCaracter"/>
        </w:rPr>
      </w:pPr>
      <w:bookmarkStart w:id="884" w:name="DESCRIPTORALFABETICO437"/>
      <w:r w:rsidRPr="00E55613">
        <w:rPr>
          <w:rStyle w:val="TextoNormalNegritaCaracter"/>
        </w:rPr>
        <w:t>Despido nulo</w:t>
      </w:r>
      <w:bookmarkEnd w:id="884"/>
      <w:r w:rsidRPr="00E55613">
        <w:rPr>
          <w:rStyle w:val="TextoNormalCaracter"/>
        </w:rPr>
        <w:t xml:space="preserve">, Sentencia </w:t>
      </w:r>
      <w:hyperlink w:anchor="SENTENCIA_2024_22" w:history="1">
        <w:r w:rsidRPr="00E55613">
          <w:rPr>
            <w:rStyle w:val="TextoNormalCaracter"/>
          </w:rPr>
          <w:t>22/2024</w:t>
        </w:r>
      </w:hyperlink>
      <w:r w:rsidRPr="00E55613">
        <w:rPr>
          <w:rStyle w:val="TextoNormalCaracter"/>
        </w:rPr>
        <w:t>, f. 1.</w:t>
      </w:r>
    </w:p>
    <w:p w14:paraId="4361CF85" w14:textId="0609178D" w:rsidR="00E55613" w:rsidRPr="00E55613" w:rsidRDefault="00E55613" w:rsidP="00E55613">
      <w:pPr>
        <w:pStyle w:val="TextoNormalSangraFrancesa"/>
        <w:rPr>
          <w:rStyle w:val="TextoNormalCaracter"/>
        </w:rPr>
      </w:pPr>
      <w:bookmarkStart w:id="885" w:name="DESCRIPTORALFABETICO90"/>
      <w:r w:rsidRPr="00E55613">
        <w:rPr>
          <w:rStyle w:val="TextoNormalNegritaCaracter"/>
        </w:rPr>
        <w:t>Diferencia históricamente arraigada</w:t>
      </w:r>
      <w:bookmarkEnd w:id="885"/>
      <w:r w:rsidRPr="00E55613">
        <w:rPr>
          <w:rStyle w:val="TextoNormalCaracter"/>
        </w:rPr>
        <w:t xml:space="preserve">, Sentencia </w:t>
      </w:r>
      <w:hyperlink w:anchor="SENTENCIA_2024_22" w:history="1">
        <w:r w:rsidRPr="00E55613">
          <w:rPr>
            <w:rStyle w:val="TextoNormalCaracter"/>
          </w:rPr>
          <w:t>22/2024</w:t>
        </w:r>
      </w:hyperlink>
      <w:r w:rsidRPr="00E55613">
        <w:rPr>
          <w:rStyle w:val="TextoNormalCaracter"/>
        </w:rPr>
        <w:t>, f. 3.</w:t>
      </w:r>
    </w:p>
    <w:p w14:paraId="71F444CC" w14:textId="0ECE7278" w:rsidR="00E55613" w:rsidRPr="00E55613" w:rsidRDefault="00E55613" w:rsidP="00E55613">
      <w:pPr>
        <w:pStyle w:val="TextoNormalSangraFrancesa"/>
        <w:rPr>
          <w:rStyle w:val="TextoNormalCaracter"/>
        </w:rPr>
      </w:pPr>
      <w:bookmarkStart w:id="886" w:name="DESCRIPTORALFABETICO432"/>
      <w:r w:rsidRPr="00E55613">
        <w:rPr>
          <w:rStyle w:val="TextoNormalNegritaCaracter"/>
        </w:rPr>
        <w:t>Diferenciación por el grado de representatividad</w:t>
      </w:r>
      <w:bookmarkEnd w:id="886"/>
      <w:r w:rsidRPr="00E55613">
        <w:rPr>
          <w:rStyle w:val="TextoNormalCaracter"/>
        </w:rPr>
        <w:t xml:space="preserve">, Sentencia </w:t>
      </w:r>
      <w:hyperlink w:anchor="SENTENCIA_2024_63" w:history="1">
        <w:r w:rsidRPr="00E55613">
          <w:rPr>
            <w:rStyle w:val="TextoNormalCaracter"/>
          </w:rPr>
          <w:t>63/2024</w:t>
        </w:r>
      </w:hyperlink>
      <w:r w:rsidRPr="00E55613">
        <w:rPr>
          <w:rStyle w:val="TextoNormalCaracter"/>
        </w:rPr>
        <w:t>, ff. 1, 4, 5.</w:t>
      </w:r>
    </w:p>
    <w:p w14:paraId="24BDC924" w14:textId="299916D5" w:rsidR="00E55613" w:rsidRPr="00E55613" w:rsidRDefault="00E55613" w:rsidP="00E55613">
      <w:pPr>
        <w:pStyle w:val="TextoNormalSangraFrancesa"/>
        <w:rPr>
          <w:rStyle w:val="TextoNormalCaracter"/>
        </w:rPr>
      </w:pPr>
      <w:bookmarkStart w:id="887" w:name="DESCRIPTORALFABETICO472"/>
      <w:r w:rsidRPr="00E55613">
        <w:rPr>
          <w:rStyle w:val="TextoNormalNegritaCaracter"/>
        </w:rPr>
        <w:t>Dificultad de aportar medios de prueba</w:t>
      </w:r>
      <w:bookmarkEnd w:id="887"/>
      <w:r w:rsidRPr="00E55613">
        <w:rPr>
          <w:rStyle w:val="TextoNormalCaracter"/>
        </w:rPr>
        <w:t xml:space="preserve">, Sentencia </w:t>
      </w:r>
      <w:hyperlink w:anchor="SENTENCIA_2024_87" w:history="1">
        <w:r w:rsidRPr="00E55613">
          <w:rPr>
            <w:rStyle w:val="TextoNormalCaracter"/>
          </w:rPr>
          <w:t>87/2024</w:t>
        </w:r>
      </w:hyperlink>
      <w:r w:rsidRPr="00E55613">
        <w:rPr>
          <w:rStyle w:val="TextoNormalCaracter"/>
        </w:rPr>
        <w:t>, f. 2.</w:t>
      </w:r>
    </w:p>
    <w:p w14:paraId="03C8D615" w14:textId="1BF6A523" w:rsidR="00E55613" w:rsidRPr="00E55613" w:rsidRDefault="00E55613" w:rsidP="00E55613">
      <w:pPr>
        <w:pStyle w:val="TextoNormalSangraFrancesa"/>
        <w:rPr>
          <w:rStyle w:val="TextoNormalCaracter"/>
        </w:rPr>
      </w:pPr>
      <w:bookmarkStart w:id="888" w:name="DESCRIPTORALFABETICO402"/>
      <w:r w:rsidRPr="00E55613">
        <w:rPr>
          <w:rStyle w:val="TextoNormalNegritaCaracter"/>
        </w:rPr>
        <w:t>Dignidad de la persona</w:t>
      </w:r>
      <w:bookmarkEnd w:id="888"/>
      <w:r w:rsidRPr="00E55613">
        <w:rPr>
          <w:rStyle w:val="TextoNormalCaracter"/>
        </w:rPr>
        <w:t xml:space="preserve">, Sentencias </w:t>
      </w:r>
      <w:hyperlink w:anchor="SENTENCIA_2024_28" w:history="1">
        <w:r w:rsidRPr="00E55613">
          <w:rPr>
            <w:rStyle w:val="TextoNormalCaracter"/>
          </w:rPr>
          <w:t>28/2024</w:t>
        </w:r>
      </w:hyperlink>
      <w:r w:rsidRPr="00E55613">
        <w:rPr>
          <w:rStyle w:val="TextoNormalCaracter"/>
        </w:rPr>
        <w:t xml:space="preserve">, f. 5, VP; </w:t>
      </w:r>
      <w:hyperlink w:anchor="SENTENCIA_2024_92" w:history="1">
        <w:r w:rsidRPr="00E55613">
          <w:rPr>
            <w:rStyle w:val="TextoNormalCaracter"/>
          </w:rPr>
          <w:t>92/2024</w:t>
        </w:r>
      </w:hyperlink>
      <w:r w:rsidRPr="00E55613">
        <w:rPr>
          <w:rStyle w:val="TextoNormalCaracter"/>
        </w:rPr>
        <w:t>, ff. 2, 5, 6 y 7, VP III.</w:t>
      </w:r>
    </w:p>
    <w:p w14:paraId="250254B4" w14:textId="6F9C2CEC" w:rsidR="00E55613" w:rsidRPr="00E55613" w:rsidRDefault="00E55613" w:rsidP="00E55613">
      <w:pPr>
        <w:pStyle w:val="TextoNormalSangraFrancesa"/>
        <w:rPr>
          <w:rStyle w:val="TextoNormalCaracter"/>
        </w:rPr>
      </w:pPr>
      <w:bookmarkStart w:id="889" w:name="DESCRIPTORALFABETICO468"/>
      <w:r w:rsidRPr="00E55613">
        <w:rPr>
          <w:rStyle w:val="TextoNormalNegritaCaracter"/>
        </w:rPr>
        <w:t>Dilaciones indebidas en el procedimiento</w:t>
      </w:r>
      <w:bookmarkEnd w:id="889"/>
      <w:r w:rsidRPr="00E55613">
        <w:rPr>
          <w:rStyle w:val="TextoNormalCaracter"/>
        </w:rPr>
        <w:t xml:space="preserve">, Sentencia </w:t>
      </w:r>
      <w:hyperlink w:anchor="SENTENCIA_2024_8" w:history="1">
        <w:r w:rsidRPr="00E55613">
          <w:rPr>
            <w:rStyle w:val="TextoNormalCaracter"/>
          </w:rPr>
          <w:t>8/2024</w:t>
        </w:r>
      </w:hyperlink>
      <w:r w:rsidRPr="00E55613">
        <w:rPr>
          <w:rStyle w:val="TextoNormalCaracter"/>
        </w:rPr>
        <w:t>, f. 6, VP I.</w:t>
      </w:r>
    </w:p>
    <w:p w14:paraId="00A98B85" w14:textId="3968EDB0" w:rsidR="00E55613" w:rsidRPr="00E55613" w:rsidRDefault="00E55613" w:rsidP="00E55613">
      <w:pPr>
        <w:pStyle w:val="TextoNormalSangraFrancesa"/>
        <w:rPr>
          <w:rStyle w:val="TextoNormalCaracter"/>
        </w:rPr>
      </w:pPr>
      <w:bookmarkStart w:id="890" w:name="DESCRIPTORALFABETICO451"/>
      <w:r w:rsidRPr="00E55613">
        <w:rPr>
          <w:rStyle w:val="TextoNormalNegritaCaracter"/>
        </w:rPr>
        <w:t>Diligencia del órgano judicial en la averiguación del domicilio</w:t>
      </w:r>
      <w:bookmarkEnd w:id="890"/>
      <w:r w:rsidRPr="00E55613">
        <w:rPr>
          <w:rStyle w:val="TextoNormalCaracter"/>
        </w:rPr>
        <w:t xml:space="preserve">, Sentencias </w:t>
      </w:r>
      <w:hyperlink w:anchor="SENTENCIA_2024_12" w:history="1">
        <w:r w:rsidRPr="00E55613">
          <w:rPr>
            <w:rStyle w:val="TextoNormalCaracter"/>
          </w:rPr>
          <w:t>12/2024</w:t>
        </w:r>
      </w:hyperlink>
      <w:r w:rsidRPr="00E55613">
        <w:rPr>
          <w:rStyle w:val="TextoNormalCaracter"/>
        </w:rPr>
        <w:t xml:space="preserve">, f. 3; </w:t>
      </w:r>
      <w:hyperlink w:anchor="SENTENCIA_2024_21" w:history="1">
        <w:r w:rsidRPr="00E55613">
          <w:rPr>
            <w:rStyle w:val="TextoNormalCaracter"/>
          </w:rPr>
          <w:t>21/2024</w:t>
        </w:r>
      </w:hyperlink>
      <w:r w:rsidRPr="00E55613">
        <w:rPr>
          <w:rStyle w:val="TextoNormalCaracter"/>
        </w:rPr>
        <w:t xml:space="preserve">, ff. 3 y 4; </w:t>
      </w:r>
      <w:hyperlink w:anchor="SENTENCIA_2024_84" w:history="1">
        <w:r w:rsidRPr="00E55613">
          <w:rPr>
            <w:rStyle w:val="TextoNormalCaracter"/>
          </w:rPr>
          <w:t>84/2024</w:t>
        </w:r>
      </w:hyperlink>
      <w:r w:rsidRPr="00E55613">
        <w:rPr>
          <w:rStyle w:val="TextoNormalCaracter"/>
        </w:rPr>
        <w:t>, f. 2.</w:t>
      </w:r>
    </w:p>
    <w:p w14:paraId="474711A1" w14:textId="1A1978B6" w:rsidR="00E55613" w:rsidRPr="00E55613" w:rsidRDefault="00E55613" w:rsidP="00E55613">
      <w:pPr>
        <w:pStyle w:val="TextoNormalSangraFrancesa"/>
        <w:rPr>
          <w:rStyle w:val="TextoNormalCaracter"/>
        </w:rPr>
      </w:pPr>
      <w:bookmarkStart w:id="891" w:name="DESCRIPTORALFABETICO503"/>
      <w:r w:rsidRPr="00E55613">
        <w:rPr>
          <w:rStyle w:val="TextoNormalNegritaCaracter"/>
        </w:rPr>
        <w:t>Diligencias previas</w:t>
      </w:r>
      <w:bookmarkEnd w:id="891"/>
      <w:r w:rsidRPr="00E55613">
        <w:rPr>
          <w:rStyle w:val="TextoNormalCaracter"/>
        </w:rPr>
        <w:t xml:space="preserve">, Sentencia </w:t>
      </w:r>
      <w:hyperlink w:anchor="SENTENCIA_2024_87" w:history="1">
        <w:r w:rsidRPr="00E55613">
          <w:rPr>
            <w:rStyle w:val="TextoNormalCaracter"/>
          </w:rPr>
          <w:t>87/2024</w:t>
        </w:r>
      </w:hyperlink>
      <w:r w:rsidRPr="00E55613">
        <w:rPr>
          <w:rStyle w:val="TextoNormalCaracter"/>
        </w:rPr>
        <w:t>, ff. 1 y 2.</w:t>
      </w:r>
    </w:p>
    <w:p w14:paraId="271AA976" w14:textId="0490B546" w:rsidR="00E55613" w:rsidRPr="00E55613" w:rsidRDefault="00E55613" w:rsidP="00E55613">
      <w:pPr>
        <w:pStyle w:val="TextoNormalSangraFrancesa"/>
        <w:rPr>
          <w:rStyle w:val="TextoNormalCaracter"/>
        </w:rPr>
      </w:pPr>
      <w:bookmarkStart w:id="892" w:name="DESCRIPTORALFABETICO275"/>
      <w:r w:rsidRPr="00E55613">
        <w:rPr>
          <w:rStyle w:val="TextoNormalNegritaCaracter"/>
        </w:rPr>
        <w:t xml:space="preserve">Dimensión procesal del principio </w:t>
      </w:r>
      <w:r w:rsidRPr="00E55613">
        <w:rPr>
          <w:rStyle w:val="TextoNormalNegritaCaracter"/>
          <w:i/>
        </w:rPr>
        <w:t>non bis in idem</w:t>
      </w:r>
      <w:bookmarkEnd w:id="892"/>
      <w:r w:rsidRPr="00E55613">
        <w:rPr>
          <w:rStyle w:val="TextoNormalCaracter"/>
        </w:rPr>
        <w:t xml:space="preserve">, Sentencia </w:t>
      </w:r>
      <w:hyperlink w:anchor="SENTENCIA_2024_9" w:history="1">
        <w:r w:rsidRPr="00E55613">
          <w:rPr>
            <w:rStyle w:val="TextoNormalCaracter"/>
          </w:rPr>
          <w:t>9/2024</w:t>
        </w:r>
      </w:hyperlink>
      <w:r w:rsidRPr="00E55613">
        <w:rPr>
          <w:rStyle w:val="TextoNormalCaracter"/>
        </w:rPr>
        <w:t>, f. 3.</w:t>
      </w:r>
    </w:p>
    <w:p w14:paraId="725B7828" w14:textId="09F48A52" w:rsidR="00E55613" w:rsidRPr="00E55613" w:rsidRDefault="00E55613" w:rsidP="00E55613">
      <w:pPr>
        <w:pStyle w:val="TextoNormalSangraFrancesa"/>
        <w:rPr>
          <w:rStyle w:val="TextoNormalCaracter"/>
        </w:rPr>
      </w:pPr>
      <w:bookmarkStart w:id="893" w:name="DESCRIPTORALFABETICO479"/>
      <w:r w:rsidRPr="00E55613">
        <w:rPr>
          <w:rStyle w:val="TextoNormalNegritaCaracter"/>
        </w:rPr>
        <w:t>Discrepancia en la valoración de la prueba en las sucesivas instancias</w:t>
      </w:r>
      <w:bookmarkEnd w:id="893"/>
      <w:r w:rsidRPr="00E55613">
        <w:rPr>
          <w:rStyle w:val="TextoNormalCaracter"/>
        </w:rPr>
        <w:t xml:space="preserve">, Sentencias </w:t>
      </w:r>
      <w:hyperlink w:anchor="SENTENCIA_2024_72" w:history="1">
        <w:r w:rsidRPr="00E55613">
          <w:rPr>
            <w:rStyle w:val="TextoNormalCaracter"/>
          </w:rPr>
          <w:t>72/2024</w:t>
        </w:r>
      </w:hyperlink>
      <w:r w:rsidRPr="00E55613">
        <w:rPr>
          <w:rStyle w:val="TextoNormalCaracter"/>
        </w:rPr>
        <w:t xml:space="preserve">, f. 6, VP; </w:t>
      </w:r>
      <w:hyperlink w:anchor="SENTENCIA_2024_77" w:history="1">
        <w:r w:rsidRPr="00E55613">
          <w:rPr>
            <w:rStyle w:val="TextoNormalCaracter"/>
          </w:rPr>
          <w:t>77/2024</w:t>
        </w:r>
      </w:hyperlink>
      <w:r w:rsidRPr="00E55613">
        <w:rPr>
          <w:rStyle w:val="TextoNormalCaracter"/>
        </w:rPr>
        <w:t>, ff. 1, 4.</w:t>
      </w:r>
    </w:p>
    <w:p w14:paraId="52994D96" w14:textId="544186ED" w:rsidR="00E55613" w:rsidRPr="00E55613" w:rsidRDefault="00E55613" w:rsidP="00E55613">
      <w:pPr>
        <w:pStyle w:val="TextoNormalSangraFrancesa"/>
        <w:rPr>
          <w:rStyle w:val="TextoNormalCaracter"/>
        </w:rPr>
      </w:pPr>
      <w:bookmarkStart w:id="894" w:name="DESCRIPTORALFABETICO91"/>
      <w:r w:rsidRPr="00E55613">
        <w:rPr>
          <w:rStyle w:val="TextoNormalNegritaCaracter"/>
        </w:rPr>
        <w:t>Discriminación por indiferenciación</w:t>
      </w:r>
      <w:bookmarkEnd w:id="894"/>
      <w:r w:rsidRPr="00E55613">
        <w:rPr>
          <w:rStyle w:val="TextoNormalCaracter"/>
        </w:rPr>
        <w:t xml:space="preserve">, Sentencia </w:t>
      </w:r>
      <w:hyperlink w:anchor="SENTENCIA_2024_22" w:history="1">
        <w:r w:rsidRPr="00E55613">
          <w:rPr>
            <w:rStyle w:val="TextoNormalCaracter"/>
          </w:rPr>
          <w:t>22/2024</w:t>
        </w:r>
      </w:hyperlink>
      <w:r w:rsidRPr="00E55613">
        <w:rPr>
          <w:rStyle w:val="TextoNormalCaracter"/>
        </w:rPr>
        <w:t>, ff. 1 y 2.</w:t>
      </w:r>
    </w:p>
    <w:p w14:paraId="2187BB4A" w14:textId="0BDB5337" w:rsidR="00E55613" w:rsidRPr="00E55613" w:rsidRDefault="00E55613" w:rsidP="00E55613">
      <w:pPr>
        <w:pStyle w:val="TextoNormalSangraFrancesa"/>
        <w:rPr>
          <w:rStyle w:val="TextoNormalCaracter"/>
        </w:rPr>
      </w:pPr>
      <w:bookmarkStart w:id="895" w:name="DESCRIPTORALFABETICO92"/>
      <w:r w:rsidRPr="00E55613">
        <w:rPr>
          <w:rStyle w:val="TextoNormalNegritaCaracter"/>
        </w:rPr>
        <w:t>Discriminación por razón de identidad de género</w:t>
      </w:r>
      <w:bookmarkEnd w:id="895"/>
      <w:r w:rsidRPr="00E55613">
        <w:rPr>
          <w:rStyle w:val="TextoNormalCaracter"/>
        </w:rPr>
        <w:t xml:space="preserve">, Sentencia </w:t>
      </w:r>
      <w:hyperlink w:anchor="SENTENCIA_2024_81" w:history="1">
        <w:r w:rsidRPr="00E55613">
          <w:rPr>
            <w:rStyle w:val="TextoNormalCaracter"/>
          </w:rPr>
          <w:t>81/2024</w:t>
        </w:r>
      </w:hyperlink>
      <w:r w:rsidRPr="00E55613">
        <w:rPr>
          <w:rStyle w:val="TextoNormalCaracter"/>
        </w:rPr>
        <w:t>, ff. 1, 3, 4.</w:t>
      </w:r>
    </w:p>
    <w:p w14:paraId="2D70EE7F" w14:textId="77777777" w:rsidR="00E55613" w:rsidRPr="00E55613" w:rsidRDefault="00E55613" w:rsidP="00E55613">
      <w:pPr>
        <w:pStyle w:val="TextoNormalSangraFrancesa"/>
        <w:rPr>
          <w:rStyle w:val="TextoNormalCaracter"/>
        </w:rPr>
      </w:pPr>
      <w:bookmarkStart w:id="896" w:name="DESCRIPTORALFABETICO93"/>
      <w:r w:rsidRPr="00E55613">
        <w:rPr>
          <w:rStyle w:val="TextoNormalNegritaCaracter"/>
        </w:rPr>
        <w:t>Discriminación por razón de nacimiento</w:t>
      </w:r>
      <w:bookmarkEnd w:id="896"/>
      <w:r w:rsidRPr="00E55613">
        <w:rPr>
          <w:rStyle w:val="TextoNormalCaracter"/>
        </w:rPr>
        <w:t xml:space="preserve">, </w:t>
      </w:r>
    </w:p>
    <w:p w14:paraId="08CC71B2" w14:textId="4C438F3E" w:rsidR="00E55613" w:rsidRPr="00E55613" w:rsidRDefault="00E55613" w:rsidP="00E55613">
      <w:pPr>
        <w:pStyle w:val="TextoNormalSangraFrancesa"/>
        <w:rPr>
          <w:rStyle w:val="TextoNormalCaracter"/>
        </w:rPr>
      </w:pPr>
      <w:r w:rsidRPr="00E55613">
        <w:rPr>
          <w:rStyle w:val="TextoNormalCursivaCaracter"/>
        </w:rPr>
        <w:t xml:space="preserve">    Doctrina constitucional, </w:t>
      </w:r>
      <w:r w:rsidRPr="00E55613">
        <w:rPr>
          <w:rStyle w:val="TextoNormalCaracter"/>
        </w:rPr>
        <w:t xml:space="preserve">Sentencia </w:t>
      </w:r>
      <w:hyperlink w:anchor="SENTENCIA_2024_28" w:history="1">
        <w:r w:rsidRPr="00E55613">
          <w:rPr>
            <w:rStyle w:val="TextoNormalCaracter"/>
          </w:rPr>
          <w:t>28/2024</w:t>
        </w:r>
      </w:hyperlink>
      <w:r w:rsidRPr="00E55613">
        <w:rPr>
          <w:rStyle w:val="TextoNormalCaracter"/>
        </w:rPr>
        <w:t>, f. 3.</w:t>
      </w:r>
    </w:p>
    <w:p w14:paraId="6EAB6226" w14:textId="2D187A66" w:rsidR="00E55613" w:rsidRPr="00E55613" w:rsidRDefault="00E55613" w:rsidP="00E55613">
      <w:pPr>
        <w:pStyle w:val="TextoNormalSangraFrancesa"/>
        <w:rPr>
          <w:rStyle w:val="TextoNormalCaracter"/>
        </w:rPr>
      </w:pPr>
      <w:bookmarkStart w:id="897" w:name="DESCRIPTORALFABETICO94"/>
      <w:r w:rsidRPr="00E55613">
        <w:rPr>
          <w:rStyle w:val="TextoNormalNegritaCaracter"/>
        </w:rPr>
        <w:t>Discriminación por razón de sexo</w:t>
      </w:r>
      <w:bookmarkEnd w:id="897"/>
      <w:r w:rsidRPr="00E55613">
        <w:rPr>
          <w:rStyle w:val="TextoNormalCaracter"/>
        </w:rPr>
        <w:t xml:space="preserve">, Sentencias </w:t>
      </w:r>
      <w:hyperlink w:anchor="SENTENCIA_2024_22" w:history="1">
        <w:r w:rsidRPr="00E55613">
          <w:rPr>
            <w:rStyle w:val="TextoNormalCaracter"/>
          </w:rPr>
          <w:t>22/2024</w:t>
        </w:r>
      </w:hyperlink>
      <w:r w:rsidRPr="00E55613">
        <w:rPr>
          <w:rStyle w:val="TextoNormalCaracter"/>
        </w:rPr>
        <w:t xml:space="preserve">, f. 4; </w:t>
      </w:r>
      <w:hyperlink w:anchor="SENTENCIA_2024_28" w:history="1">
        <w:r w:rsidRPr="00E55613">
          <w:rPr>
            <w:rStyle w:val="TextoNormalCaracter"/>
          </w:rPr>
          <w:t>28/2024</w:t>
        </w:r>
      </w:hyperlink>
      <w:r w:rsidRPr="00E55613">
        <w:rPr>
          <w:rStyle w:val="TextoNormalCaracter"/>
        </w:rPr>
        <w:t xml:space="preserve">, VP; </w:t>
      </w:r>
      <w:hyperlink w:anchor="SENTENCIA_2024_48" w:history="1">
        <w:r w:rsidRPr="00E55613">
          <w:rPr>
            <w:rStyle w:val="TextoNormalCaracter"/>
          </w:rPr>
          <w:t>48/2024</w:t>
        </w:r>
      </w:hyperlink>
      <w:r w:rsidRPr="00E55613">
        <w:rPr>
          <w:rStyle w:val="TextoNormalCaracter"/>
        </w:rPr>
        <w:t>, f. 5.</w:t>
      </w:r>
    </w:p>
    <w:p w14:paraId="6783696D" w14:textId="1DEA5783" w:rsidR="00E55613" w:rsidRPr="00E55613" w:rsidRDefault="00E55613" w:rsidP="00E55613">
      <w:pPr>
        <w:pStyle w:val="TextoNormalSangraFrancesa"/>
        <w:rPr>
          <w:rStyle w:val="TextoNormalCaracter"/>
        </w:rPr>
      </w:pPr>
      <w:bookmarkStart w:id="898" w:name="DESCRIPTORALFABETICO68"/>
      <w:r w:rsidRPr="00E55613">
        <w:rPr>
          <w:rStyle w:val="TextoNormalNegritaCaracter"/>
        </w:rPr>
        <w:t>Doble instancia penal</w:t>
      </w:r>
      <w:bookmarkEnd w:id="898"/>
      <w:r w:rsidRPr="00E55613">
        <w:rPr>
          <w:rStyle w:val="TextoNormalCaracter"/>
        </w:rPr>
        <w:t xml:space="preserve">, Sentencia </w:t>
      </w:r>
      <w:hyperlink w:anchor="SENTENCIA_2024_80" w:history="1">
        <w:r w:rsidRPr="00E55613">
          <w:rPr>
            <w:rStyle w:val="TextoNormalCaracter"/>
          </w:rPr>
          <w:t>80/2024</w:t>
        </w:r>
      </w:hyperlink>
      <w:r w:rsidRPr="00E55613">
        <w:rPr>
          <w:rStyle w:val="TextoNormalCaracter"/>
        </w:rPr>
        <w:t>, ff. 4 y 5.</w:t>
      </w:r>
    </w:p>
    <w:p w14:paraId="742BC0E6" w14:textId="487D3595" w:rsidR="00E55613" w:rsidRPr="00E55613" w:rsidRDefault="00E55613" w:rsidP="00E55613">
      <w:pPr>
        <w:pStyle w:val="TextoNormalSangraFrancesa"/>
        <w:rPr>
          <w:rStyle w:val="TextoNormalCaracter"/>
        </w:rPr>
      </w:pPr>
      <w:bookmarkStart w:id="899" w:name="DESCRIPTORALFABETICO252"/>
      <w:r w:rsidRPr="00E55613">
        <w:rPr>
          <w:rStyle w:val="TextoNormalNegritaCaracter"/>
        </w:rPr>
        <w:lastRenderedPageBreak/>
        <w:t>Doctrina del Tribunal de Justicia de la Unión Europea</w:t>
      </w:r>
      <w:bookmarkEnd w:id="899"/>
      <w:r w:rsidRPr="00E55613">
        <w:rPr>
          <w:rStyle w:val="TextoNormalCaracter"/>
        </w:rPr>
        <w:t xml:space="preserve">, Sentencias </w:t>
      </w:r>
      <w:hyperlink w:anchor="SENTENCIA_2024_17" w:history="1">
        <w:r w:rsidRPr="00E55613">
          <w:rPr>
            <w:rStyle w:val="TextoNormalCaracter"/>
          </w:rPr>
          <w:t>17/2024</w:t>
        </w:r>
      </w:hyperlink>
      <w:r w:rsidRPr="00E55613">
        <w:rPr>
          <w:rStyle w:val="TextoNormalCaracter"/>
        </w:rPr>
        <w:t xml:space="preserve">, f. 3; </w:t>
      </w:r>
      <w:hyperlink w:anchor="SENTENCIA_2024_38" w:history="1">
        <w:r w:rsidRPr="00E55613">
          <w:rPr>
            <w:rStyle w:val="TextoNormalCaracter"/>
          </w:rPr>
          <w:t>38/2024</w:t>
        </w:r>
      </w:hyperlink>
      <w:r w:rsidRPr="00E55613">
        <w:rPr>
          <w:rStyle w:val="TextoNormalCaracter"/>
        </w:rPr>
        <w:t xml:space="preserve">, ff. 2 y 3; </w:t>
      </w:r>
      <w:hyperlink w:anchor="SENTENCIA_2024_49" w:history="1">
        <w:r w:rsidRPr="00E55613">
          <w:rPr>
            <w:rStyle w:val="TextoNormalCaracter"/>
          </w:rPr>
          <w:t>49/2024</w:t>
        </w:r>
      </w:hyperlink>
      <w:r w:rsidRPr="00E55613">
        <w:rPr>
          <w:rStyle w:val="TextoNormalCaracter"/>
        </w:rPr>
        <w:t xml:space="preserve">, ff. 2 y 3; </w:t>
      </w:r>
      <w:hyperlink w:anchor="SENTENCIA_2024_54" w:history="1">
        <w:r w:rsidRPr="00E55613">
          <w:rPr>
            <w:rStyle w:val="TextoNormalCaracter"/>
          </w:rPr>
          <w:t>54/2024</w:t>
        </w:r>
      </w:hyperlink>
      <w:r w:rsidRPr="00E55613">
        <w:rPr>
          <w:rStyle w:val="TextoNormalCaracter"/>
        </w:rPr>
        <w:t xml:space="preserve">, ff. 1 a 3; </w:t>
      </w:r>
      <w:hyperlink w:anchor="SENTENCIA_2024_65" w:history="1">
        <w:r w:rsidRPr="00E55613">
          <w:rPr>
            <w:rStyle w:val="TextoNormalCaracter"/>
          </w:rPr>
          <w:t>65/2024</w:t>
        </w:r>
      </w:hyperlink>
      <w:r w:rsidRPr="00E55613">
        <w:rPr>
          <w:rStyle w:val="TextoNormalCaracter"/>
        </w:rPr>
        <w:t xml:space="preserve">, ff. 2 y 4; </w:t>
      </w:r>
      <w:hyperlink w:anchor="SENTENCIA_2024_66" w:history="1">
        <w:r w:rsidRPr="00E55613">
          <w:rPr>
            <w:rStyle w:val="TextoNormalCaracter"/>
          </w:rPr>
          <w:t>66/2024</w:t>
        </w:r>
      </w:hyperlink>
      <w:r w:rsidRPr="00E55613">
        <w:rPr>
          <w:rStyle w:val="TextoNormalCaracter"/>
        </w:rPr>
        <w:t>, f. 4.</w:t>
      </w:r>
    </w:p>
    <w:p w14:paraId="359D2EF9" w14:textId="682C7383" w:rsidR="00E55613" w:rsidRPr="00E55613" w:rsidRDefault="00E55613" w:rsidP="00E55613">
      <w:pPr>
        <w:pStyle w:val="TextoNormalSangraFrancesa"/>
        <w:rPr>
          <w:rStyle w:val="TextoNormalCaracter"/>
        </w:rPr>
      </w:pPr>
      <w:bookmarkStart w:id="900" w:name="DESCRIPTORALFABETICO361"/>
      <w:r w:rsidRPr="00E55613">
        <w:rPr>
          <w:rStyle w:val="TextoNormalNegritaCaracter"/>
        </w:rPr>
        <w:t>Doctrina del Tribunal Europeo de Derechos Humanos</w:t>
      </w:r>
      <w:bookmarkEnd w:id="900"/>
      <w:r w:rsidRPr="00E55613">
        <w:rPr>
          <w:rStyle w:val="TextoNormalCaracter"/>
        </w:rPr>
        <w:t xml:space="preserve">, Sentencias </w:t>
      </w:r>
      <w:hyperlink w:anchor="SENTENCIA_2024_1" w:history="1">
        <w:r w:rsidRPr="00E55613">
          <w:rPr>
            <w:rStyle w:val="TextoNormalCaracter"/>
          </w:rPr>
          <w:t>1/2024</w:t>
        </w:r>
      </w:hyperlink>
      <w:r w:rsidRPr="00E55613">
        <w:rPr>
          <w:rStyle w:val="TextoNormalCaracter"/>
        </w:rPr>
        <w:t xml:space="preserve">, ff. 2 a 4; </w:t>
      </w:r>
      <w:hyperlink w:anchor="SENTENCIA_2024_9" w:history="1">
        <w:r w:rsidRPr="00E55613">
          <w:rPr>
            <w:rStyle w:val="TextoNormalCaracter"/>
          </w:rPr>
          <w:t>9/2024</w:t>
        </w:r>
      </w:hyperlink>
      <w:r w:rsidRPr="00E55613">
        <w:rPr>
          <w:rStyle w:val="TextoNormalCaracter"/>
        </w:rPr>
        <w:t xml:space="preserve">, ff. 3 y 4, VP II; </w:t>
      </w:r>
      <w:hyperlink w:anchor="SENTENCIA_2024_17" w:history="1">
        <w:r w:rsidRPr="00E55613">
          <w:rPr>
            <w:rStyle w:val="TextoNormalCaracter"/>
          </w:rPr>
          <w:t>17/2024</w:t>
        </w:r>
      </w:hyperlink>
      <w:r w:rsidRPr="00E55613">
        <w:rPr>
          <w:rStyle w:val="TextoNormalCaracter"/>
        </w:rPr>
        <w:t xml:space="preserve">, f. 3; </w:t>
      </w:r>
      <w:hyperlink w:anchor="SENTENCIA_2024_26" w:history="1">
        <w:r w:rsidRPr="00E55613">
          <w:rPr>
            <w:rStyle w:val="TextoNormalCaracter"/>
          </w:rPr>
          <w:t>26/2024</w:t>
        </w:r>
      </w:hyperlink>
      <w:r w:rsidRPr="00E55613">
        <w:rPr>
          <w:rStyle w:val="TextoNormalCaracter"/>
        </w:rPr>
        <w:t xml:space="preserve">, f. 3; </w:t>
      </w:r>
      <w:hyperlink w:anchor="SENTENCIA_2024_28" w:history="1">
        <w:r w:rsidRPr="00E55613">
          <w:rPr>
            <w:rStyle w:val="TextoNormalCaracter"/>
          </w:rPr>
          <w:t>28/2024</w:t>
        </w:r>
      </w:hyperlink>
      <w:r w:rsidRPr="00E55613">
        <w:rPr>
          <w:rStyle w:val="TextoNormalCaracter"/>
        </w:rPr>
        <w:t xml:space="preserve">, ff. 3 y 5; </w:t>
      </w:r>
      <w:hyperlink w:anchor="SENTENCIA_2024_33" w:history="1">
        <w:r w:rsidRPr="00E55613">
          <w:rPr>
            <w:rStyle w:val="TextoNormalCaracter"/>
          </w:rPr>
          <w:t>33/2024</w:t>
        </w:r>
      </w:hyperlink>
      <w:r w:rsidRPr="00E55613">
        <w:rPr>
          <w:rStyle w:val="TextoNormalCaracter"/>
        </w:rPr>
        <w:t xml:space="preserve">, ff. 2 y 4; </w:t>
      </w:r>
      <w:hyperlink w:anchor="SENTENCIA_2024_34" w:history="1">
        <w:r w:rsidRPr="00E55613">
          <w:rPr>
            <w:rStyle w:val="TextoNormalCaracter"/>
          </w:rPr>
          <w:t>34/2024</w:t>
        </w:r>
      </w:hyperlink>
      <w:r w:rsidRPr="00E55613">
        <w:rPr>
          <w:rStyle w:val="TextoNormalCaracter"/>
        </w:rPr>
        <w:t xml:space="preserve">; </w:t>
      </w:r>
      <w:hyperlink w:anchor="SENTENCIA_2024_35" w:history="1">
        <w:r w:rsidRPr="00E55613">
          <w:rPr>
            <w:rStyle w:val="TextoNormalCaracter"/>
          </w:rPr>
          <w:t>35/2024</w:t>
        </w:r>
      </w:hyperlink>
      <w:r w:rsidRPr="00E55613">
        <w:rPr>
          <w:rStyle w:val="TextoNormalCaracter"/>
        </w:rPr>
        <w:t xml:space="preserve">, ff. 2 y 3, VP; </w:t>
      </w:r>
      <w:hyperlink w:anchor="SENTENCIA_2024_48" w:history="1">
        <w:r w:rsidRPr="00E55613">
          <w:rPr>
            <w:rStyle w:val="TextoNormalCaracter"/>
          </w:rPr>
          <w:t>48/2024</w:t>
        </w:r>
      </w:hyperlink>
      <w:r w:rsidRPr="00E55613">
        <w:rPr>
          <w:rStyle w:val="TextoNormalCaracter"/>
        </w:rPr>
        <w:t xml:space="preserve">, f. 6; </w:t>
      </w:r>
      <w:hyperlink w:anchor="SENTENCIA_2024_61" w:history="1">
        <w:r w:rsidRPr="00E55613">
          <w:rPr>
            <w:rStyle w:val="TextoNormalCaracter"/>
          </w:rPr>
          <w:t>61/2024</w:t>
        </w:r>
      </w:hyperlink>
      <w:r w:rsidRPr="00E55613">
        <w:rPr>
          <w:rStyle w:val="TextoNormalCaracter"/>
        </w:rPr>
        <w:t xml:space="preserve">, VP; </w:t>
      </w:r>
      <w:hyperlink w:anchor="SENTENCIA_2024_72" w:history="1">
        <w:r w:rsidRPr="00E55613">
          <w:rPr>
            <w:rStyle w:val="TextoNormalCaracter"/>
          </w:rPr>
          <w:t>72/2024</w:t>
        </w:r>
      </w:hyperlink>
      <w:r w:rsidRPr="00E55613">
        <w:rPr>
          <w:rStyle w:val="TextoNormalCaracter"/>
        </w:rPr>
        <w:t xml:space="preserve">, f. 6, VP; </w:t>
      </w:r>
      <w:hyperlink w:anchor="SENTENCIA_2024_77" w:history="1">
        <w:r w:rsidRPr="00E55613">
          <w:rPr>
            <w:rStyle w:val="TextoNormalCaracter"/>
          </w:rPr>
          <w:t>77/2024</w:t>
        </w:r>
      </w:hyperlink>
      <w:r w:rsidRPr="00E55613">
        <w:rPr>
          <w:rStyle w:val="TextoNormalCaracter"/>
        </w:rPr>
        <w:t xml:space="preserve">, f. 4; </w:t>
      </w:r>
      <w:hyperlink w:anchor="SENTENCIA_2024_80" w:history="1">
        <w:r w:rsidRPr="00E55613">
          <w:rPr>
            <w:rStyle w:val="TextoNormalCaracter"/>
          </w:rPr>
          <w:t>80/2024</w:t>
        </w:r>
      </w:hyperlink>
      <w:r w:rsidRPr="00E55613">
        <w:rPr>
          <w:rStyle w:val="TextoNormalCaracter"/>
        </w:rPr>
        <w:t xml:space="preserve">, f. 5; </w:t>
      </w:r>
      <w:hyperlink w:anchor="SENTENCIA_2024_81" w:history="1">
        <w:r w:rsidRPr="00E55613">
          <w:rPr>
            <w:rStyle w:val="TextoNormalCaracter"/>
          </w:rPr>
          <w:t>81/2024</w:t>
        </w:r>
      </w:hyperlink>
      <w:r w:rsidRPr="00E55613">
        <w:rPr>
          <w:rStyle w:val="TextoNormalCaracter"/>
        </w:rPr>
        <w:t xml:space="preserve">, f. 3; </w:t>
      </w:r>
      <w:hyperlink w:anchor="SENTENCIA_2024_82" w:history="1">
        <w:r w:rsidRPr="00E55613">
          <w:rPr>
            <w:rStyle w:val="TextoNormalCaracter"/>
          </w:rPr>
          <w:t>82/2024</w:t>
        </w:r>
      </w:hyperlink>
      <w:r w:rsidRPr="00E55613">
        <w:rPr>
          <w:rStyle w:val="TextoNormalCaracter"/>
        </w:rPr>
        <w:t xml:space="preserve">, f. 2; </w:t>
      </w:r>
      <w:hyperlink w:anchor="SENTENCIA_2024_87" w:history="1">
        <w:r w:rsidRPr="00E55613">
          <w:rPr>
            <w:rStyle w:val="TextoNormalCaracter"/>
          </w:rPr>
          <w:t>87/2024</w:t>
        </w:r>
      </w:hyperlink>
      <w:r w:rsidRPr="00E55613">
        <w:rPr>
          <w:rStyle w:val="TextoNormalCaracter"/>
        </w:rPr>
        <w:t xml:space="preserve">, f. 2, VP II, VP III; </w:t>
      </w:r>
      <w:hyperlink w:anchor="SENTENCIA_2024_92" w:history="1">
        <w:r w:rsidRPr="00E55613">
          <w:rPr>
            <w:rStyle w:val="TextoNormalCaracter"/>
          </w:rPr>
          <w:t>92/2024</w:t>
        </w:r>
      </w:hyperlink>
      <w:r w:rsidRPr="00E55613">
        <w:rPr>
          <w:rStyle w:val="TextoNormalCaracter"/>
        </w:rPr>
        <w:t>, ff. 4, 5 y 7.</w:t>
      </w:r>
    </w:p>
    <w:p w14:paraId="53E186C8" w14:textId="025293BB" w:rsidR="00E55613" w:rsidRPr="00E55613" w:rsidRDefault="00E55613" w:rsidP="00E55613">
      <w:pPr>
        <w:pStyle w:val="TextoNormalSangraFrancesa"/>
        <w:rPr>
          <w:rStyle w:val="TextoNormalCaracter"/>
        </w:rPr>
      </w:pPr>
      <w:r w:rsidRPr="00E55613">
        <w:rPr>
          <w:rStyle w:val="TextoNormalCaracter"/>
        </w:rPr>
        <w:t xml:space="preserve">    Auto </w:t>
      </w:r>
      <w:hyperlink w:anchor="AUTO_2024_57" w:history="1">
        <w:r w:rsidRPr="00E55613">
          <w:rPr>
            <w:rStyle w:val="TextoNormalCaracter"/>
          </w:rPr>
          <w:t>57/2024</w:t>
        </w:r>
      </w:hyperlink>
      <w:r w:rsidRPr="00E55613">
        <w:rPr>
          <w:rStyle w:val="TextoNormalCaracter"/>
        </w:rPr>
        <w:t>, VP II.</w:t>
      </w:r>
    </w:p>
    <w:p w14:paraId="22DFDC64" w14:textId="53E8AFD2" w:rsidR="00E55613" w:rsidRPr="00E55613" w:rsidRDefault="00E55613" w:rsidP="00E55613">
      <w:pPr>
        <w:pStyle w:val="TextoNormalSangraFrancesa"/>
        <w:rPr>
          <w:rStyle w:val="TextoNormalCaracter"/>
        </w:rPr>
      </w:pPr>
      <w:bookmarkStart w:id="901" w:name="DESCRIPTORALFABETICO219"/>
      <w:r w:rsidRPr="00E55613">
        <w:rPr>
          <w:rStyle w:val="TextoNormalNegritaCaracter"/>
        </w:rPr>
        <w:t>Doctrina del Tribunal Supremo</w:t>
      </w:r>
      <w:bookmarkEnd w:id="901"/>
      <w:r w:rsidRPr="00E55613">
        <w:rPr>
          <w:rStyle w:val="TextoNormalCaracter"/>
        </w:rPr>
        <w:t xml:space="preserve">, Sentencia </w:t>
      </w:r>
      <w:hyperlink w:anchor="SENTENCIA_2024_54" w:history="1">
        <w:r w:rsidRPr="00E55613">
          <w:rPr>
            <w:rStyle w:val="TextoNormalCaracter"/>
          </w:rPr>
          <w:t>54/2024</w:t>
        </w:r>
      </w:hyperlink>
      <w:r w:rsidRPr="00E55613">
        <w:rPr>
          <w:rStyle w:val="TextoNormalCaracter"/>
        </w:rPr>
        <w:t>, f. 3.</w:t>
      </w:r>
    </w:p>
    <w:p w14:paraId="7C61531A" w14:textId="7522CF3D" w:rsidR="00E55613" w:rsidRPr="00E55613" w:rsidRDefault="00E55613" w:rsidP="00E55613">
      <w:pPr>
        <w:pStyle w:val="TextoNormalSangraFrancesa"/>
        <w:rPr>
          <w:rStyle w:val="TextoNormalCaracter"/>
        </w:rPr>
      </w:pPr>
      <w:bookmarkStart w:id="902" w:name="DESCRIPTORALFABETICO302"/>
      <w:r w:rsidRPr="00E55613">
        <w:rPr>
          <w:rStyle w:val="TextoNormalNegritaCaracter"/>
        </w:rPr>
        <w:t>Dominio público</w:t>
      </w:r>
      <w:bookmarkEnd w:id="902"/>
      <w:r w:rsidRPr="00E55613">
        <w:rPr>
          <w:rStyle w:val="TextoNormalCaracter"/>
        </w:rPr>
        <w:t xml:space="preserve">, Auto </w:t>
      </w:r>
      <w:hyperlink w:anchor="AUTO_2024_22" w:history="1">
        <w:r w:rsidRPr="00E55613">
          <w:rPr>
            <w:rStyle w:val="TextoNormalCaracter"/>
          </w:rPr>
          <w:t>22/2024</w:t>
        </w:r>
      </w:hyperlink>
      <w:r w:rsidRPr="00E55613">
        <w:rPr>
          <w:rStyle w:val="TextoNormalCaracter"/>
        </w:rPr>
        <w:t>, ff. 4 a 6.</w:t>
      </w:r>
    </w:p>
    <w:p w14:paraId="636BE0BD" w14:textId="3F03635C" w:rsidR="00E55613" w:rsidRPr="00E55613" w:rsidRDefault="00E55613" w:rsidP="00E55613">
      <w:pPr>
        <w:pStyle w:val="TextoNormalSangraFrancesa"/>
        <w:rPr>
          <w:rStyle w:val="TextoNormalCaracter"/>
        </w:rPr>
      </w:pPr>
      <w:bookmarkStart w:id="903" w:name="DESCRIPTORALFABETICO305"/>
      <w:r w:rsidRPr="00E55613">
        <w:rPr>
          <w:rStyle w:val="TextoNormalNegritaCaracter"/>
        </w:rPr>
        <w:t>Dominio público autonómico</w:t>
      </w:r>
      <w:bookmarkEnd w:id="903"/>
      <w:r w:rsidRPr="00E55613">
        <w:rPr>
          <w:rStyle w:val="TextoNormalCaracter"/>
        </w:rPr>
        <w:t xml:space="preserve">, Sentencia </w:t>
      </w:r>
      <w:hyperlink w:anchor="SENTENCIA_2024_25" w:history="1">
        <w:r w:rsidRPr="00E55613">
          <w:rPr>
            <w:rStyle w:val="TextoNormalCaracter"/>
          </w:rPr>
          <w:t>25/2024</w:t>
        </w:r>
      </w:hyperlink>
      <w:r w:rsidRPr="00E55613">
        <w:rPr>
          <w:rStyle w:val="TextoNormalCaracter"/>
        </w:rPr>
        <w:t>, ff. 11 y 12.</w:t>
      </w:r>
    </w:p>
    <w:p w14:paraId="2BCDD70B" w14:textId="20F7814C" w:rsidR="00E55613" w:rsidRPr="00E55613" w:rsidRDefault="00E55613" w:rsidP="00E55613">
      <w:pPr>
        <w:pStyle w:val="TextoNormalSangraFrancesa"/>
        <w:rPr>
          <w:rStyle w:val="TextoNormalCaracter"/>
        </w:rPr>
      </w:pPr>
      <w:bookmarkStart w:id="904" w:name="DESCRIPTORALFABETICO306"/>
      <w:r w:rsidRPr="00E55613">
        <w:rPr>
          <w:rStyle w:val="TextoNormalNegritaCaracter"/>
        </w:rPr>
        <w:t>Dominio público estatal</w:t>
      </w:r>
      <w:bookmarkEnd w:id="904"/>
      <w:r w:rsidRPr="00E55613">
        <w:rPr>
          <w:rStyle w:val="TextoNormalCaracter"/>
        </w:rPr>
        <w:t xml:space="preserve">, Sentencia </w:t>
      </w:r>
      <w:hyperlink w:anchor="SENTENCIA_2024_68" w:history="1">
        <w:r w:rsidRPr="00E55613">
          <w:rPr>
            <w:rStyle w:val="TextoNormalCaracter"/>
          </w:rPr>
          <w:t>68/2024</w:t>
        </w:r>
      </w:hyperlink>
      <w:r w:rsidRPr="00E55613">
        <w:rPr>
          <w:rStyle w:val="TextoNormalCaracter"/>
        </w:rPr>
        <w:t>, ff. 5, 7.</w:t>
      </w:r>
    </w:p>
    <w:p w14:paraId="3F7C2517" w14:textId="2B9C71FE" w:rsidR="00E55613" w:rsidRDefault="00E55613" w:rsidP="00E55613">
      <w:pPr>
        <w:pStyle w:val="TextoNormalSangraFrancesa"/>
      </w:pPr>
    </w:p>
    <w:p w14:paraId="6501DCAD" w14:textId="77777777" w:rsidR="00E55613" w:rsidRDefault="00E55613" w:rsidP="00E55613">
      <w:pPr>
        <w:pStyle w:val="TextoNormalSangraFrancesa"/>
      </w:pPr>
    </w:p>
    <w:p w14:paraId="6DAC8156" w14:textId="77777777" w:rsidR="00E55613" w:rsidRDefault="00E55613" w:rsidP="00E55613">
      <w:pPr>
        <w:pStyle w:val="TextoNormalNegritaCentrado"/>
      </w:pPr>
      <w:r>
        <w:t>E</w:t>
      </w:r>
    </w:p>
    <w:p w14:paraId="7A06FE8A" w14:textId="795FDCF4" w:rsidR="00E55613" w:rsidRDefault="00E55613" w:rsidP="00E55613">
      <w:pPr>
        <w:pStyle w:val="TextoNormalNegritaCentrado"/>
      </w:pPr>
    </w:p>
    <w:p w14:paraId="2D44E538" w14:textId="78D49D4D" w:rsidR="00E55613" w:rsidRPr="00E55613" w:rsidRDefault="00E55613" w:rsidP="00E55613">
      <w:pPr>
        <w:pStyle w:val="TextoNormalSangraFrancesa"/>
        <w:rPr>
          <w:rStyle w:val="TextoNormalCaracter"/>
        </w:rPr>
      </w:pPr>
      <w:bookmarkStart w:id="905" w:name="DESCRIPTORALFABETICO311"/>
      <w:r w:rsidRPr="00E55613">
        <w:rPr>
          <w:rStyle w:val="TextoNormalNegritaCaracter"/>
        </w:rPr>
        <w:t>Educación diferenciada por sexos</w:t>
      </w:r>
      <w:bookmarkEnd w:id="905"/>
      <w:r w:rsidRPr="00E55613">
        <w:rPr>
          <w:rStyle w:val="TextoNormalCaracter"/>
        </w:rPr>
        <w:t xml:space="preserve">, Sentencia </w:t>
      </w:r>
      <w:hyperlink w:anchor="SENTENCIA_2024_89" w:history="1">
        <w:r w:rsidRPr="00E55613">
          <w:rPr>
            <w:rStyle w:val="TextoNormalCaracter"/>
          </w:rPr>
          <w:t>89/2024</w:t>
        </w:r>
      </w:hyperlink>
      <w:r w:rsidRPr="00E55613">
        <w:rPr>
          <w:rStyle w:val="TextoNormalCaracter"/>
        </w:rPr>
        <w:t>, f. 4, VP I, VP III.</w:t>
      </w:r>
    </w:p>
    <w:p w14:paraId="45AC8641" w14:textId="09113A24" w:rsidR="00E55613" w:rsidRPr="00E55613" w:rsidRDefault="00E55613" w:rsidP="00E55613">
      <w:pPr>
        <w:pStyle w:val="TextoNormalSangraFrancesa"/>
        <w:rPr>
          <w:rStyle w:val="TextoNormalCaracter"/>
        </w:rPr>
      </w:pPr>
      <w:bookmarkStart w:id="906" w:name="DESCRIPTORALFABETICO191"/>
      <w:r w:rsidRPr="00E55613">
        <w:rPr>
          <w:rStyle w:val="TextoNormalNegritaCaracter"/>
        </w:rPr>
        <w:t>Efectos de la sentencia de amparo</w:t>
      </w:r>
      <w:bookmarkEnd w:id="906"/>
      <w:r w:rsidRPr="00E55613">
        <w:rPr>
          <w:rStyle w:val="TextoNormalCaracter"/>
        </w:rPr>
        <w:t xml:space="preserve">, Sentencia </w:t>
      </w:r>
      <w:hyperlink w:anchor="SENTENCIA_2024_9" w:history="1">
        <w:r w:rsidRPr="00E55613">
          <w:rPr>
            <w:rStyle w:val="TextoNormalCaracter"/>
          </w:rPr>
          <w:t>9/2024</w:t>
        </w:r>
      </w:hyperlink>
      <w:r w:rsidRPr="00E55613">
        <w:rPr>
          <w:rStyle w:val="TextoNormalCaracter"/>
        </w:rPr>
        <w:t>, f. 6, VP I, VP II.</w:t>
      </w:r>
    </w:p>
    <w:p w14:paraId="5F00EBE7" w14:textId="12414DC4" w:rsidR="00E55613" w:rsidRPr="00E55613" w:rsidRDefault="00E55613" w:rsidP="00E55613">
      <w:pPr>
        <w:pStyle w:val="TextoNormalSangraFrancesa"/>
        <w:rPr>
          <w:rStyle w:val="TextoNormalCaracter"/>
        </w:rPr>
      </w:pPr>
      <w:bookmarkStart w:id="907" w:name="DESCRIPTORALFABETICO514"/>
      <w:r w:rsidRPr="00E55613">
        <w:rPr>
          <w:rStyle w:val="TextoNormalNegritaCaracter"/>
        </w:rPr>
        <w:t>Efectos de sentencia condenatoria firme</w:t>
      </w:r>
      <w:bookmarkEnd w:id="907"/>
      <w:r w:rsidRPr="00E55613">
        <w:rPr>
          <w:rStyle w:val="TextoNormalCaracter"/>
        </w:rPr>
        <w:t xml:space="preserve">, Sentencias </w:t>
      </w:r>
      <w:hyperlink w:anchor="SENTENCIA_2024_50" w:history="1">
        <w:r w:rsidRPr="00E55613">
          <w:rPr>
            <w:rStyle w:val="TextoNormalCaracter"/>
          </w:rPr>
          <w:t>50/2024</w:t>
        </w:r>
      </w:hyperlink>
      <w:r w:rsidRPr="00E55613">
        <w:rPr>
          <w:rStyle w:val="TextoNormalCaracter"/>
        </w:rPr>
        <w:t xml:space="preserve">, f. 4; </w:t>
      </w:r>
      <w:hyperlink w:anchor="SENTENCIA_2024_66" w:history="1">
        <w:r w:rsidRPr="00E55613">
          <w:rPr>
            <w:rStyle w:val="TextoNormalCaracter"/>
          </w:rPr>
          <w:t>66/2024</w:t>
        </w:r>
      </w:hyperlink>
      <w:r w:rsidRPr="00E55613">
        <w:rPr>
          <w:rStyle w:val="TextoNormalCaracter"/>
        </w:rPr>
        <w:t>, f. 1.</w:t>
      </w:r>
    </w:p>
    <w:p w14:paraId="70AD2015" w14:textId="612AAC23" w:rsidR="00E55613" w:rsidRPr="00E55613" w:rsidRDefault="00E55613" w:rsidP="00E55613">
      <w:pPr>
        <w:pStyle w:val="TextoNormalSangraFrancesa"/>
        <w:rPr>
          <w:rStyle w:val="TextoNormalCaracter"/>
        </w:rPr>
      </w:pPr>
      <w:bookmarkStart w:id="908" w:name="DESCRIPTORALFABETICO313"/>
      <w:r w:rsidRPr="00E55613">
        <w:rPr>
          <w:rStyle w:val="TextoNormalNegritaCaracter"/>
        </w:rPr>
        <w:t>Eficiencia energética</w:t>
      </w:r>
      <w:bookmarkEnd w:id="908"/>
      <w:r w:rsidRPr="00E55613">
        <w:rPr>
          <w:rStyle w:val="TextoNormalCaracter"/>
        </w:rPr>
        <w:t xml:space="preserve">, Sentencia </w:t>
      </w:r>
      <w:hyperlink w:anchor="SENTENCIA_2024_20" w:history="1">
        <w:r w:rsidRPr="00E55613">
          <w:rPr>
            <w:rStyle w:val="TextoNormalCaracter"/>
          </w:rPr>
          <w:t>20/2024</w:t>
        </w:r>
      </w:hyperlink>
      <w:r w:rsidRPr="00E55613">
        <w:rPr>
          <w:rStyle w:val="TextoNormalCaracter"/>
        </w:rPr>
        <w:t>, f. 1.</w:t>
      </w:r>
    </w:p>
    <w:p w14:paraId="1A03E7D1" w14:textId="2D74D472" w:rsidR="00E55613" w:rsidRPr="00E55613" w:rsidRDefault="00E55613" w:rsidP="00E55613">
      <w:pPr>
        <w:pStyle w:val="TextoNormalSangraFrancesa"/>
        <w:rPr>
          <w:rStyle w:val="TextoNormalCaracter"/>
        </w:rPr>
      </w:pPr>
      <w:bookmarkStart w:id="909" w:name="DESCRIPTORALFABETICO389"/>
      <w:r w:rsidRPr="00E55613">
        <w:rPr>
          <w:rStyle w:val="TextoNormalNegritaCaracter"/>
        </w:rPr>
        <w:t>Ejecución de la pena</w:t>
      </w:r>
      <w:bookmarkEnd w:id="909"/>
      <w:r w:rsidRPr="00E55613">
        <w:rPr>
          <w:rStyle w:val="TextoNormalCaracter"/>
        </w:rPr>
        <w:t xml:space="preserve">, Sentencia </w:t>
      </w:r>
      <w:hyperlink w:anchor="SENTENCIA_2024_18" w:history="1">
        <w:r w:rsidRPr="00E55613">
          <w:rPr>
            <w:rStyle w:val="TextoNormalCaracter"/>
          </w:rPr>
          <w:t>18/2024</w:t>
        </w:r>
      </w:hyperlink>
      <w:r w:rsidRPr="00E55613">
        <w:rPr>
          <w:rStyle w:val="TextoNormalCaracter"/>
        </w:rPr>
        <w:t>, f. único.</w:t>
      </w:r>
    </w:p>
    <w:p w14:paraId="6B996318" w14:textId="58CB5343" w:rsidR="00E55613" w:rsidRPr="00E55613" w:rsidRDefault="00E55613" w:rsidP="00E55613">
      <w:pPr>
        <w:pStyle w:val="TextoNormalSangraFrancesa"/>
        <w:rPr>
          <w:rStyle w:val="TextoNormalCaracter"/>
        </w:rPr>
      </w:pPr>
      <w:bookmarkStart w:id="910" w:name="DESCRIPTORALFABETICO362"/>
      <w:r w:rsidRPr="00E55613">
        <w:rPr>
          <w:rStyle w:val="TextoNormalNegritaCaracter"/>
        </w:rPr>
        <w:t>Ejecución de las resoluciones del Tribunal Europeo de Derechos Humanos</w:t>
      </w:r>
      <w:bookmarkEnd w:id="910"/>
      <w:r w:rsidRPr="00E55613">
        <w:rPr>
          <w:rStyle w:val="TextoNormalCaracter"/>
        </w:rPr>
        <w:t xml:space="preserve">, Sentencia </w:t>
      </w:r>
      <w:hyperlink w:anchor="SENTENCIA_2024_9" w:history="1">
        <w:r w:rsidRPr="00E55613">
          <w:rPr>
            <w:rStyle w:val="TextoNormalCaracter"/>
          </w:rPr>
          <w:t>9/2024</w:t>
        </w:r>
      </w:hyperlink>
      <w:r w:rsidRPr="00E55613">
        <w:rPr>
          <w:rStyle w:val="TextoNormalCaracter"/>
        </w:rPr>
        <w:t>, f. 1, VP II.</w:t>
      </w:r>
    </w:p>
    <w:p w14:paraId="69AB54B0" w14:textId="4A057080" w:rsidR="00E55613" w:rsidRPr="00E55613" w:rsidRDefault="00E55613" w:rsidP="00E55613">
      <w:pPr>
        <w:pStyle w:val="TextoNormalSangraFrancesa"/>
        <w:rPr>
          <w:rStyle w:val="TextoNormalCaracter"/>
        </w:rPr>
      </w:pPr>
      <w:bookmarkStart w:id="911" w:name="DESCRIPTORALFABETICO199"/>
      <w:r w:rsidRPr="00E55613">
        <w:rPr>
          <w:rStyle w:val="TextoNormalNegritaCaracter"/>
        </w:rPr>
        <w:t>Elección de magistrados por el Consejo General del Poder Judicial</w:t>
      </w:r>
      <w:bookmarkEnd w:id="911"/>
      <w:r w:rsidRPr="00E55613">
        <w:rPr>
          <w:rStyle w:val="TextoNormalCaracter"/>
        </w:rPr>
        <w:t xml:space="preserve">, Sentencia </w:t>
      </w:r>
      <w:hyperlink w:anchor="SENTENCIA_2024_15" w:history="1">
        <w:r w:rsidRPr="00E55613">
          <w:rPr>
            <w:rStyle w:val="TextoNormalCaracter"/>
          </w:rPr>
          <w:t>15/2024</w:t>
        </w:r>
      </w:hyperlink>
      <w:r w:rsidRPr="00E55613">
        <w:rPr>
          <w:rStyle w:val="TextoNormalCaracter"/>
        </w:rPr>
        <w:t>, f. 2, VP II.</w:t>
      </w:r>
    </w:p>
    <w:p w14:paraId="7BCB47BF" w14:textId="5E4737A1" w:rsidR="00E55613" w:rsidRPr="00E55613" w:rsidRDefault="00E55613" w:rsidP="00E55613">
      <w:pPr>
        <w:pStyle w:val="TextoNormalSangraFrancesa"/>
        <w:rPr>
          <w:rStyle w:val="TextoNormalCaracter"/>
        </w:rPr>
      </w:pPr>
      <w:bookmarkStart w:id="912" w:name="DESCRIPTORALFABETICO33"/>
      <w:r w:rsidRPr="00E55613">
        <w:rPr>
          <w:rStyle w:val="TextoNormalNegritaCaracter"/>
        </w:rPr>
        <w:t>Elecciones locales</w:t>
      </w:r>
      <w:bookmarkEnd w:id="912"/>
      <w:r w:rsidRPr="00E55613">
        <w:rPr>
          <w:rStyle w:val="TextoNormalCaracter"/>
        </w:rPr>
        <w:t xml:space="preserve">, Sentencia </w:t>
      </w:r>
      <w:hyperlink w:anchor="SENTENCIA_2024_69" w:history="1">
        <w:r w:rsidRPr="00E55613">
          <w:rPr>
            <w:rStyle w:val="TextoNormalCaracter"/>
          </w:rPr>
          <w:t>69/2024</w:t>
        </w:r>
      </w:hyperlink>
      <w:r w:rsidRPr="00E55613">
        <w:rPr>
          <w:rStyle w:val="TextoNormalCaracter"/>
        </w:rPr>
        <w:t>, f. 1.</w:t>
      </w:r>
    </w:p>
    <w:p w14:paraId="6B0F1F2A" w14:textId="0E16FD27" w:rsidR="00E55613" w:rsidRPr="00E55613" w:rsidRDefault="00E55613" w:rsidP="00E55613">
      <w:pPr>
        <w:pStyle w:val="TextoNormalSangraFrancesa"/>
        <w:rPr>
          <w:rStyle w:val="TextoNormalCaracter"/>
        </w:rPr>
      </w:pPr>
      <w:bookmarkStart w:id="913" w:name="DESCRIPTORALFABETICO407"/>
      <w:r w:rsidRPr="00E55613">
        <w:rPr>
          <w:rStyle w:val="TextoNormalNegritaCaracter"/>
        </w:rPr>
        <w:t>Embarazo</w:t>
      </w:r>
      <w:bookmarkEnd w:id="913"/>
      <w:r w:rsidRPr="00E55613">
        <w:rPr>
          <w:rStyle w:val="TextoNormalCaracter"/>
        </w:rPr>
        <w:t xml:space="preserve">, Sentencias </w:t>
      </w:r>
      <w:hyperlink w:anchor="SENTENCIA_2024_22" w:history="1">
        <w:r w:rsidRPr="00E55613">
          <w:rPr>
            <w:rStyle w:val="TextoNormalCaracter"/>
          </w:rPr>
          <w:t>22/2024</w:t>
        </w:r>
      </w:hyperlink>
      <w:r w:rsidRPr="00E55613">
        <w:rPr>
          <w:rStyle w:val="TextoNormalCaracter"/>
        </w:rPr>
        <w:t xml:space="preserve">, f. 1; </w:t>
      </w:r>
      <w:hyperlink w:anchor="SENTENCIA_2024_92" w:history="1">
        <w:r w:rsidRPr="00E55613">
          <w:rPr>
            <w:rStyle w:val="TextoNormalCaracter"/>
          </w:rPr>
          <w:t>92/2024</w:t>
        </w:r>
      </w:hyperlink>
      <w:r w:rsidRPr="00E55613">
        <w:rPr>
          <w:rStyle w:val="TextoNormalCaracter"/>
        </w:rPr>
        <w:t>, f. 1.</w:t>
      </w:r>
    </w:p>
    <w:p w14:paraId="36B5F333" w14:textId="38866C05" w:rsidR="00E55613" w:rsidRPr="00E55613" w:rsidRDefault="00E55613" w:rsidP="00E55613">
      <w:pPr>
        <w:pStyle w:val="TextoNormalSangraFrancesa"/>
        <w:rPr>
          <w:rStyle w:val="TextoNormalCaracter"/>
        </w:rPr>
      </w:pPr>
      <w:bookmarkStart w:id="914" w:name="DESCRIPTORALFABETICO452"/>
      <w:r w:rsidRPr="00E55613">
        <w:rPr>
          <w:rStyle w:val="TextoNormalNegritaCaracter"/>
        </w:rPr>
        <w:t>Emplazamiento de sociedades inscritas en el Registro Mercantil</w:t>
      </w:r>
      <w:bookmarkEnd w:id="914"/>
      <w:r w:rsidRPr="00E55613">
        <w:rPr>
          <w:rStyle w:val="TextoNormalCaracter"/>
        </w:rPr>
        <w:t xml:space="preserve">, Sentencia </w:t>
      </w:r>
      <w:hyperlink w:anchor="SENTENCIA_2024_12" w:history="1">
        <w:r w:rsidRPr="00E55613">
          <w:rPr>
            <w:rStyle w:val="TextoNormalCaracter"/>
          </w:rPr>
          <w:t>12/2024</w:t>
        </w:r>
      </w:hyperlink>
      <w:r w:rsidRPr="00E55613">
        <w:rPr>
          <w:rStyle w:val="TextoNormalCaracter"/>
        </w:rPr>
        <w:t>, f. 3.</w:t>
      </w:r>
    </w:p>
    <w:p w14:paraId="0BE3CBFD" w14:textId="54F3CC22" w:rsidR="00E55613" w:rsidRPr="00E55613" w:rsidRDefault="00E55613" w:rsidP="00E55613">
      <w:pPr>
        <w:pStyle w:val="TextoNormalSangraFrancesa"/>
        <w:rPr>
          <w:rStyle w:val="TextoNormalCaracter"/>
        </w:rPr>
      </w:pPr>
      <w:bookmarkStart w:id="915" w:name="DESCRIPTORALFABETICO453"/>
      <w:r w:rsidRPr="00E55613">
        <w:rPr>
          <w:rStyle w:val="TextoNormalNegritaCaracter"/>
        </w:rPr>
        <w:t>Emplazamiento edictal</w:t>
      </w:r>
      <w:bookmarkEnd w:id="915"/>
      <w:r w:rsidRPr="00E55613">
        <w:rPr>
          <w:rStyle w:val="TextoNormalCaracter"/>
        </w:rPr>
        <w:t xml:space="preserve">, Sentencias </w:t>
      </w:r>
      <w:hyperlink w:anchor="SENTENCIA_2024_12" w:history="1">
        <w:r w:rsidRPr="00E55613">
          <w:rPr>
            <w:rStyle w:val="TextoNormalCaracter"/>
          </w:rPr>
          <w:t>12/2024</w:t>
        </w:r>
      </w:hyperlink>
      <w:r w:rsidRPr="00E55613">
        <w:rPr>
          <w:rStyle w:val="TextoNormalCaracter"/>
        </w:rPr>
        <w:t xml:space="preserve">, f. 1; </w:t>
      </w:r>
      <w:hyperlink w:anchor="SENTENCIA_2024_84" w:history="1">
        <w:r w:rsidRPr="00E55613">
          <w:rPr>
            <w:rStyle w:val="TextoNormalCaracter"/>
          </w:rPr>
          <w:t>84/2024</w:t>
        </w:r>
      </w:hyperlink>
      <w:r w:rsidRPr="00E55613">
        <w:rPr>
          <w:rStyle w:val="TextoNormalCaracter"/>
        </w:rPr>
        <w:t>, ff. 1 y 2.</w:t>
      </w:r>
    </w:p>
    <w:p w14:paraId="2A43311B" w14:textId="67C31B60" w:rsidR="00E55613" w:rsidRPr="00E55613" w:rsidRDefault="00E55613" w:rsidP="00E55613">
      <w:pPr>
        <w:pStyle w:val="TextoNormalSangraFrancesa"/>
        <w:rPr>
          <w:rStyle w:val="TextoNormalCaracter"/>
        </w:rPr>
      </w:pPr>
      <w:bookmarkStart w:id="916" w:name="DESCRIPTORALFABETICO454"/>
      <w:r w:rsidRPr="00E55613">
        <w:rPr>
          <w:rStyle w:val="TextoNormalNegritaCaracter"/>
        </w:rPr>
        <w:t>Emplazamiento edictal causante de indefensión</w:t>
      </w:r>
      <w:bookmarkEnd w:id="916"/>
      <w:r w:rsidRPr="00E55613">
        <w:rPr>
          <w:rStyle w:val="TextoNormalCaracter"/>
        </w:rPr>
        <w:t xml:space="preserve">, Sentencias </w:t>
      </w:r>
      <w:hyperlink w:anchor="SENTENCIA_2024_12" w:history="1">
        <w:r w:rsidRPr="00E55613">
          <w:rPr>
            <w:rStyle w:val="TextoNormalCaracter"/>
          </w:rPr>
          <w:t>12/2024</w:t>
        </w:r>
      </w:hyperlink>
      <w:r w:rsidRPr="00E55613">
        <w:rPr>
          <w:rStyle w:val="TextoNormalCaracter"/>
        </w:rPr>
        <w:t xml:space="preserve">, f. 3; </w:t>
      </w:r>
      <w:hyperlink w:anchor="SENTENCIA_2024_84" w:history="1">
        <w:r w:rsidRPr="00E55613">
          <w:rPr>
            <w:rStyle w:val="TextoNormalCaracter"/>
          </w:rPr>
          <w:t>84/2024</w:t>
        </w:r>
      </w:hyperlink>
      <w:r w:rsidRPr="00E55613">
        <w:rPr>
          <w:rStyle w:val="TextoNormalCaracter"/>
        </w:rPr>
        <w:t>, ff. 1 y 2.</w:t>
      </w:r>
    </w:p>
    <w:p w14:paraId="788C4D7F" w14:textId="6052EBDD" w:rsidR="00E55613" w:rsidRPr="00E55613" w:rsidRDefault="00E55613" w:rsidP="00E55613">
      <w:pPr>
        <w:pStyle w:val="TextoNormalSangraFrancesa"/>
        <w:rPr>
          <w:rStyle w:val="TextoNormalCaracter"/>
        </w:rPr>
      </w:pPr>
      <w:bookmarkStart w:id="917" w:name="DESCRIPTORALFABETICO455"/>
      <w:r w:rsidRPr="00E55613">
        <w:rPr>
          <w:rStyle w:val="TextoNormalNegritaCaracter"/>
        </w:rPr>
        <w:t>Emplazamiento edictal sin agotar los medios de comunicación efectiva</w:t>
      </w:r>
      <w:bookmarkEnd w:id="917"/>
      <w:r w:rsidRPr="00E55613">
        <w:rPr>
          <w:rStyle w:val="TextoNormalCaracter"/>
        </w:rPr>
        <w:t xml:space="preserve">, Sentencias </w:t>
      </w:r>
      <w:hyperlink w:anchor="SENTENCIA_2024_12" w:history="1">
        <w:r w:rsidRPr="00E55613">
          <w:rPr>
            <w:rStyle w:val="TextoNormalCaracter"/>
          </w:rPr>
          <w:t>12/2024</w:t>
        </w:r>
      </w:hyperlink>
      <w:r w:rsidRPr="00E55613">
        <w:rPr>
          <w:rStyle w:val="TextoNormalCaracter"/>
        </w:rPr>
        <w:t xml:space="preserve">, f. 3; </w:t>
      </w:r>
      <w:hyperlink w:anchor="SENTENCIA_2024_21" w:history="1">
        <w:r w:rsidRPr="00E55613">
          <w:rPr>
            <w:rStyle w:val="TextoNormalCaracter"/>
          </w:rPr>
          <w:t>21/2024</w:t>
        </w:r>
      </w:hyperlink>
      <w:r w:rsidRPr="00E55613">
        <w:rPr>
          <w:rStyle w:val="TextoNormalCaracter"/>
        </w:rPr>
        <w:t xml:space="preserve">, ff. 3 y 4; </w:t>
      </w:r>
      <w:hyperlink w:anchor="SENTENCIA_2024_84" w:history="1">
        <w:r w:rsidRPr="00E55613">
          <w:rPr>
            <w:rStyle w:val="TextoNormalCaracter"/>
          </w:rPr>
          <w:t>84/2024</w:t>
        </w:r>
      </w:hyperlink>
      <w:r w:rsidRPr="00E55613">
        <w:rPr>
          <w:rStyle w:val="TextoNormalCaracter"/>
        </w:rPr>
        <w:t>, ff. 1 y 2.</w:t>
      </w:r>
    </w:p>
    <w:p w14:paraId="48154162" w14:textId="346B6D7C" w:rsidR="00E55613" w:rsidRPr="00E55613" w:rsidRDefault="00E55613" w:rsidP="00E55613">
      <w:pPr>
        <w:pStyle w:val="TextoNormalSangraFrancesa"/>
        <w:rPr>
          <w:rStyle w:val="TextoNormalCaracter"/>
        </w:rPr>
      </w:pPr>
      <w:bookmarkStart w:id="918" w:name="DESCRIPTORALFABETICO312"/>
      <w:r w:rsidRPr="00E55613">
        <w:rPr>
          <w:rStyle w:val="TextoNormalNegritaCaracter"/>
        </w:rPr>
        <w:t>Energía</w:t>
      </w:r>
      <w:bookmarkEnd w:id="918"/>
      <w:r w:rsidRPr="00E55613">
        <w:rPr>
          <w:rStyle w:val="TextoNormalCaracter"/>
        </w:rPr>
        <w:t xml:space="preserve">, Auto </w:t>
      </w:r>
      <w:hyperlink w:anchor="AUTO_2024_37" w:history="1">
        <w:r w:rsidRPr="00E55613">
          <w:rPr>
            <w:rStyle w:val="TextoNormalCaracter"/>
          </w:rPr>
          <w:t>37/2024</w:t>
        </w:r>
      </w:hyperlink>
      <w:r w:rsidRPr="00E55613">
        <w:rPr>
          <w:rStyle w:val="TextoNormalCaracter"/>
        </w:rPr>
        <w:t>, f. 3.</w:t>
      </w:r>
    </w:p>
    <w:p w14:paraId="6F8873E0" w14:textId="59126638" w:rsidR="00E55613" w:rsidRPr="00E55613" w:rsidRDefault="00E55613" w:rsidP="00E55613">
      <w:pPr>
        <w:pStyle w:val="TextoNormalSangraFrancesa"/>
        <w:rPr>
          <w:rStyle w:val="TextoNormalCaracter"/>
        </w:rPr>
      </w:pPr>
      <w:bookmarkStart w:id="919" w:name="DESCRIPTORALFABETICO308"/>
      <w:r w:rsidRPr="00E55613">
        <w:rPr>
          <w:rStyle w:val="TextoNormalNegritaCaracter"/>
        </w:rPr>
        <w:t>Enseñanza de religión</w:t>
      </w:r>
      <w:bookmarkEnd w:id="919"/>
      <w:r w:rsidRPr="00E55613">
        <w:rPr>
          <w:rStyle w:val="TextoNormalCaracter"/>
        </w:rPr>
        <w:t xml:space="preserve">, Sentencia </w:t>
      </w:r>
      <w:hyperlink w:anchor="SENTENCIA_2024_26" w:history="1">
        <w:r w:rsidRPr="00E55613">
          <w:rPr>
            <w:rStyle w:val="TextoNormalCaracter"/>
          </w:rPr>
          <w:t>26/2024</w:t>
        </w:r>
      </w:hyperlink>
      <w:r w:rsidRPr="00E55613">
        <w:rPr>
          <w:rStyle w:val="TextoNormalCaracter"/>
        </w:rPr>
        <w:t>, f. 1.</w:t>
      </w:r>
    </w:p>
    <w:p w14:paraId="4EEFBBC9" w14:textId="0CA8F321" w:rsidR="00E55613" w:rsidRPr="00E55613" w:rsidRDefault="00E55613" w:rsidP="00E55613">
      <w:pPr>
        <w:pStyle w:val="TextoNormalSangraFrancesa"/>
        <w:rPr>
          <w:rStyle w:val="TextoNormalCaracter"/>
        </w:rPr>
      </w:pPr>
      <w:bookmarkStart w:id="920" w:name="DESCRIPTORALFABETICO480"/>
      <w:r w:rsidRPr="00E55613">
        <w:rPr>
          <w:rStyle w:val="TextoNormalNegritaCaracter"/>
        </w:rPr>
        <w:t>Error en la valoración de la prueba</w:t>
      </w:r>
      <w:bookmarkEnd w:id="920"/>
      <w:r w:rsidRPr="00E55613">
        <w:rPr>
          <w:rStyle w:val="TextoNormalCaracter"/>
        </w:rPr>
        <w:t xml:space="preserve">, Sentencias </w:t>
      </w:r>
      <w:hyperlink w:anchor="SENTENCIA_2024_72" w:history="1">
        <w:r w:rsidRPr="00E55613">
          <w:rPr>
            <w:rStyle w:val="TextoNormalCaracter"/>
          </w:rPr>
          <w:t>72/2024</w:t>
        </w:r>
      </w:hyperlink>
      <w:r w:rsidRPr="00E55613">
        <w:rPr>
          <w:rStyle w:val="TextoNormalCaracter"/>
        </w:rPr>
        <w:t xml:space="preserve">, ff. 1, 3, 4 y 5, VP; </w:t>
      </w:r>
      <w:hyperlink w:anchor="SENTENCIA_2024_77" w:history="1">
        <w:r w:rsidRPr="00E55613">
          <w:rPr>
            <w:rStyle w:val="TextoNormalCaracter"/>
          </w:rPr>
          <w:t>77/2024</w:t>
        </w:r>
      </w:hyperlink>
      <w:r w:rsidRPr="00E55613">
        <w:rPr>
          <w:rStyle w:val="TextoNormalCaracter"/>
        </w:rPr>
        <w:t>, f. 4.</w:t>
      </w:r>
    </w:p>
    <w:p w14:paraId="15CFDA1B" w14:textId="0C6DABD9" w:rsidR="00E55613" w:rsidRPr="00E55613" w:rsidRDefault="00E55613" w:rsidP="00E55613">
      <w:pPr>
        <w:pStyle w:val="TextoNormalSangraFrancesa"/>
        <w:rPr>
          <w:rStyle w:val="TextoNormalCaracter"/>
        </w:rPr>
      </w:pPr>
      <w:bookmarkStart w:id="921" w:name="DESCRIPTORALFABETICO69"/>
      <w:r w:rsidRPr="00E55613">
        <w:rPr>
          <w:rStyle w:val="TextoNormalNegritaCaracter"/>
        </w:rPr>
        <w:t>Error patente con relevancia constitucional</w:t>
      </w:r>
      <w:bookmarkEnd w:id="921"/>
      <w:r w:rsidRPr="00E55613">
        <w:rPr>
          <w:rStyle w:val="TextoNormalCaracter"/>
        </w:rPr>
        <w:t xml:space="preserve">, Sentencia </w:t>
      </w:r>
      <w:hyperlink w:anchor="SENTENCIA_2024_70" w:history="1">
        <w:r w:rsidRPr="00E55613">
          <w:rPr>
            <w:rStyle w:val="TextoNormalCaracter"/>
          </w:rPr>
          <w:t>70/2024</w:t>
        </w:r>
      </w:hyperlink>
      <w:r w:rsidRPr="00E55613">
        <w:rPr>
          <w:rStyle w:val="TextoNormalCaracter"/>
        </w:rPr>
        <w:t>, f. 3.</w:t>
      </w:r>
    </w:p>
    <w:p w14:paraId="2D2BF7DB" w14:textId="7207D076" w:rsidR="00E55613" w:rsidRPr="00E55613" w:rsidRDefault="00E55613" w:rsidP="00E55613">
      <w:pPr>
        <w:pStyle w:val="TextoNormalSangraFrancesa"/>
        <w:rPr>
          <w:rStyle w:val="TextoNormalCaracter"/>
        </w:rPr>
      </w:pPr>
      <w:bookmarkStart w:id="922" w:name="DESCRIPTORALFABETICO309"/>
      <w:r w:rsidRPr="00E55613">
        <w:rPr>
          <w:rStyle w:val="TextoNormalNegritaCaracter"/>
        </w:rPr>
        <w:t>Escolarización de menores</w:t>
      </w:r>
      <w:bookmarkEnd w:id="922"/>
      <w:r w:rsidRPr="00E55613">
        <w:rPr>
          <w:rStyle w:val="TextoNormalCaracter"/>
        </w:rPr>
        <w:t xml:space="preserve">, Sentencia </w:t>
      </w:r>
      <w:hyperlink w:anchor="SENTENCIA_2024_26" w:history="1">
        <w:r w:rsidRPr="00E55613">
          <w:rPr>
            <w:rStyle w:val="TextoNormalCaracter"/>
          </w:rPr>
          <w:t>26/2024</w:t>
        </w:r>
      </w:hyperlink>
      <w:r w:rsidRPr="00E55613">
        <w:rPr>
          <w:rStyle w:val="TextoNormalCaracter"/>
        </w:rPr>
        <w:t>, ff. 2 a 5.</w:t>
      </w:r>
    </w:p>
    <w:p w14:paraId="2171837F" w14:textId="77777777" w:rsidR="00E55613" w:rsidRPr="00E55613" w:rsidRDefault="00E55613" w:rsidP="00E55613">
      <w:pPr>
        <w:pStyle w:val="TextoNormalSangraFrancesa"/>
        <w:rPr>
          <w:rStyle w:val="TextoNormalCaracter"/>
        </w:rPr>
      </w:pPr>
      <w:bookmarkStart w:id="923" w:name="DESCRIPTORALFABETICO177"/>
      <w:r w:rsidRPr="00E55613">
        <w:rPr>
          <w:rStyle w:val="TextoNormalNegritaCaracter"/>
        </w:rPr>
        <w:t>Especial trascendencia constitucional</w:t>
      </w:r>
      <w:bookmarkEnd w:id="923"/>
      <w:r w:rsidRPr="00E55613">
        <w:rPr>
          <w:rStyle w:val="TextoNormalCaracter"/>
        </w:rPr>
        <w:t xml:space="preserve">, </w:t>
      </w:r>
    </w:p>
    <w:p w14:paraId="7DB3B030" w14:textId="6770C2AD" w:rsidR="00E55613" w:rsidRPr="00E55613" w:rsidRDefault="00E55613" w:rsidP="00E55613">
      <w:pPr>
        <w:pStyle w:val="TextoNormalSangraFrancesa"/>
        <w:rPr>
          <w:rStyle w:val="TextoNormalCaracter"/>
        </w:rPr>
      </w:pPr>
      <w:r w:rsidRPr="00E55613">
        <w:rPr>
          <w:rStyle w:val="TextoNormalCursivaCaracter"/>
        </w:rPr>
        <w:t xml:space="preserve">    Doctrina constitucional, </w:t>
      </w:r>
      <w:r w:rsidRPr="00E55613">
        <w:rPr>
          <w:rStyle w:val="TextoNormalCaracter"/>
        </w:rPr>
        <w:t xml:space="preserve">Sentencia </w:t>
      </w:r>
      <w:hyperlink w:anchor="SENTENCIA_2024_21" w:history="1">
        <w:r w:rsidRPr="00E55613">
          <w:rPr>
            <w:rStyle w:val="TextoNormalCaracter"/>
          </w:rPr>
          <w:t>21/2024</w:t>
        </w:r>
      </w:hyperlink>
      <w:r w:rsidRPr="00E55613">
        <w:rPr>
          <w:rStyle w:val="TextoNormalCaracter"/>
        </w:rPr>
        <w:t>, f. 2.</w:t>
      </w:r>
    </w:p>
    <w:p w14:paraId="6560A0A9" w14:textId="387825F2" w:rsidR="00E55613" w:rsidRPr="00E55613" w:rsidRDefault="00E55613" w:rsidP="00E55613">
      <w:pPr>
        <w:pStyle w:val="TextoNormalSangraFrancesa"/>
        <w:rPr>
          <w:rStyle w:val="TextoNormalCaracter"/>
        </w:rPr>
      </w:pPr>
      <w:bookmarkStart w:id="924" w:name="DESCRIPTORALFABETICO417"/>
      <w:r w:rsidRPr="00E55613">
        <w:rPr>
          <w:rStyle w:val="TextoNormalNegritaCaracter"/>
        </w:rPr>
        <w:t>Establecimientos penitenciarios</w:t>
      </w:r>
      <w:bookmarkEnd w:id="924"/>
      <w:r w:rsidRPr="00E55613">
        <w:rPr>
          <w:rStyle w:val="TextoNormalCaracter"/>
        </w:rPr>
        <w:t xml:space="preserve">, Sentencia </w:t>
      </w:r>
      <w:hyperlink w:anchor="SENTENCIA_2024_35" w:history="1">
        <w:r w:rsidRPr="00E55613">
          <w:rPr>
            <w:rStyle w:val="TextoNormalCaracter"/>
          </w:rPr>
          <w:t>35/2024</w:t>
        </w:r>
      </w:hyperlink>
      <w:r w:rsidRPr="00E55613">
        <w:rPr>
          <w:rStyle w:val="TextoNormalCaracter"/>
        </w:rPr>
        <w:t>, f.1, VP.</w:t>
      </w:r>
    </w:p>
    <w:p w14:paraId="3F1C6C49" w14:textId="36722E0E" w:rsidR="00E55613" w:rsidRPr="00E55613" w:rsidRDefault="00E55613" w:rsidP="00E55613">
      <w:pPr>
        <w:pStyle w:val="TextoNormalSangraFrancesa"/>
        <w:rPr>
          <w:rStyle w:val="TextoNormalCaracter"/>
        </w:rPr>
      </w:pPr>
      <w:bookmarkStart w:id="925" w:name="DESCRIPTORALFABETICO152"/>
      <w:r w:rsidRPr="00E55613">
        <w:rPr>
          <w:rStyle w:val="TextoNormalNegritaCaracter"/>
        </w:rPr>
        <w:t>Estimación de recurso de súplica contra providencias de inadmisión del Tribunal Constitucional</w:t>
      </w:r>
      <w:bookmarkEnd w:id="925"/>
      <w:r w:rsidRPr="00E55613">
        <w:rPr>
          <w:rStyle w:val="TextoNormalCaracter"/>
        </w:rPr>
        <w:t xml:space="preserve">, Auto </w:t>
      </w:r>
      <w:hyperlink w:anchor="AUTO_2024_34" w:history="1">
        <w:r w:rsidRPr="00E55613">
          <w:rPr>
            <w:rStyle w:val="TextoNormalCaracter"/>
          </w:rPr>
          <w:t>34/2024</w:t>
        </w:r>
      </w:hyperlink>
      <w:r w:rsidRPr="00E55613">
        <w:rPr>
          <w:rStyle w:val="TextoNormalCaracter"/>
        </w:rPr>
        <w:t>, ff. 1 y 2.</w:t>
      </w:r>
    </w:p>
    <w:p w14:paraId="199974ED" w14:textId="123A2609" w:rsidR="00E55613" w:rsidRPr="00E55613" w:rsidRDefault="00E55613" w:rsidP="00E55613">
      <w:pPr>
        <w:pStyle w:val="TextoNormalSangraFrancesa"/>
        <w:rPr>
          <w:rStyle w:val="TextoNormalCaracter"/>
        </w:rPr>
      </w:pPr>
      <w:bookmarkStart w:id="926" w:name="DESCRIPTORALFABETICO150"/>
      <w:r w:rsidRPr="00E55613">
        <w:rPr>
          <w:rStyle w:val="TextoNormalNegritaCaracter"/>
        </w:rPr>
        <w:t>Estimación e inadmisión de recurso de amparo</w:t>
      </w:r>
      <w:bookmarkEnd w:id="926"/>
      <w:r w:rsidRPr="00E55613">
        <w:rPr>
          <w:rStyle w:val="TextoNormalCaracter"/>
        </w:rPr>
        <w:t xml:space="preserve">, Auto </w:t>
      </w:r>
      <w:hyperlink w:anchor="AUTO_2024_51" w:history="1">
        <w:r w:rsidRPr="00E55613">
          <w:rPr>
            <w:rStyle w:val="TextoNormalCaracter"/>
          </w:rPr>
          <w:t>51/2024</w:t>
        </w:r>
      </w:hyperlink>
      <w:r w:rsidRPr="00E55613">
        <w:rPr>
          <w:rStyle w:val="TextoNormalCaracter"/>
        </w:rPr>
        <w:t>, ff. 2 y 4.</w:t>
      </w:r>
    </w:p>
    <w:p w14:paraId="18AFE33A" w14:textId="4666E95C" w:rsidR="00E55613" w:rsidRPr="00E55613" w:rsidRDefault="00E55613" w:rsidP="00E55613">
      <w:pPr>
        <w:pStyle w:val="TextoNormalSangraFrancesa"/>
        <w:rPr>
          <w:rStyle w:val="TextoNormalCaracter"/>
        </w:rPr>
      </w:pPr>
      <w:bookmarkStart w:id="927" w:name="DESCRIPTORALFABETICO346"/>
      <w:r w:rsidRPr="00E55613">
        <w:rPr>
          <w:rStyle w:val="TextoNormalNegritaCaracter"/>
        </w:rPr>
        <w:t>Evaluación ambiental estratégica</w:t>
      </w:r>
      <w:bookmarkEnd w:id="927"/>
      <w:r w:rsidRPr="00E55613">
        <w:rPr>
          <w:rStyle w:val="TextoNormalCaracter"/>
        </w:rPr>
        <w:t xml:space="preserve">, Sentencia </w:t>
      </w:r>
      <w:hyperlink w:anchor="SENTENCIA_2024_25" w:history="1">
        <w:r w:rsidRPr="00E55613">
          <w:rPr>
            <w:rStyle w:val="TextoNormalCaracter"/>
          </w:rPr>
          <w:t>25/2024</w:t>
        </w:r>
      </w:hyperlink>
      <w:r w:rsidRPr="00E55613">
        <w:rPr>
          <w:rStyle w:val="TextoNormalCaracter"/>
        </w:rPr>
        <w:t>, f. 13.</w:t>
      </w:r>
    </w:p>
    <w:p w14:paraId="2DFBD7AB" w14:textId="77777777" w:rsidR="00E55613" w:rsidRPr="00E55613" w:rsidRDefault="00E55613" w:rsidP="00E55613">
      <w:pPr>
        <w:pStyle w:val="TextoNormalSangraFrancesa"/>
        <w:rPr>
          <w:rStyle w:val="TextoNormalCaracter"/>
        </w:rPr>
      </w:pPr>
      <w:bookmarkStart w:id="928" w:name="DESCRIPTORALFABETICO189"/>
      <w:r w:rsidRPr="00E55613">
        <w:rPr>
          <w:rStyle w:val="TextoNormalNegritaCaracter"/>
        </w:rPr>
        <w:t>Evolución de la doctrina constitucional</w:t>
      </w:r>
      <w:bookmarkEnd w:id="928"/>
      <w:r w:rsidRPr="00E55613">
        <w:rPr>
          <w:rStyle w:val="TextoNormalCaracter"/>
        </w:rPr>
        <w:t xml:space="preserve">, </w:t>
      </w:r>
    </w:p>
    <w:p w14:paraId="169ADDCA" w14:textId="405C62EF" w:rsidR="00E55613" w:rsidRPr="00E55613" w:rsidRDefault="00E55613" w:rsidP="00E55613">
      <w:pPr>
        <w:pStyle w:val="TextoNormalSangraFrancesa"/>
        <w:rPr>
          <w:rStyle w:val="TextoNormalCaracter"/>
        </w:rPr>
      </w:pPr>
      <w:r w:rsidRPr="00E55613">
        <w:rPr>
          <w:rStyle w:val="TextoNormalCursivaCaracter"/>
        </w:rPr>
        <w:lastRenderedPageBreak/>
        <w:t xml:space="preserve">    Doctrina constitucional, </w:t>
      </w:r>
      <w:r w:rsidRPr="00E55613">
        <w:rPr>
          <w:rStyle w:val="TextoNormalCaracter"/>
        </w:rPr>
        <w:t xml:space="preserve">Sentencia </w:t>
      </w:r>
      <w:hyperlink w:anchor="SENTENCIA_2024_92" w:history="1">
        <w:r w:rsidRPr="00E55613">
          <w:rPr>
            <w:rStyle w:val="TextoNormalCaracter"/>
          </w:rPr>
          <w:t>92/2024</w:t>
        </w:r>
      </w:hyperlink>
      <w:r w:rsidRPr="00E55613">
        <w:rPr>
          <w:rStyle w:val="TextoNormalCaracter"/>
        </w:rPr>
        <w:t>, f. 1.</w:t>
      </w:r>
    </w:p>
    <w:p w14:paraId="26AD3DA7" w14:textId="58880E13" w:rsidR="00E55613" w:rsidRPr="00E55613" w:rsidRDefault="00E55613" w:rsidP="00E55613">
      <w:pPr>
        <w:pStyle w:val="TextoNormalSangraFrancesa"/>
        <w:rPr>
          <w:rStyle w:val="TextoNormalCaracter"/>
        </w:rPr>
      </w:pPr>
      <w:bookmarkStart w:id="929" w:name="DESCRIPTORALFABETICO32"/>
      <w:r w:rsidRPr="00E55613">
        <w:rPr>
          <w:rStyle w:val="TextoNormalNegritaCaracter"/>
        </w:rPr>
        <w:t>Exclusión de candidatos</w:t>
      </w:r>
      <w:bookmarkEnd w:id="929"/>
      <w:r w:rsidRPr="00E55613">
        <w:rPr>
          <w:rStyle w:val="TextoNormalCaracter"/>
        </w:rPr>
        <w:t xml:space="preserve">, Sentencia </w:t>
      </w:r>
      <w:hyperlink w:anchor="SENTENCIA_2024_50" w:history="1">
        <w:r w:rsidRPr="00E55613">
          <w:rPr>
            <w:rStyle w:val="TextoNormalCaracter"/>
          </w:rPr>
          <w:t>50/2024</w:t>
        </w:r>
      </w:hyperlink>
      <w:r w:rsidRPr="00E55613">
        <w:rPr>
          <w:rStyle w:val="TextoNormalCaracter"/>
        </w:rPr>
        <w:t>, f. 1.</w:t>
      </w:r>
    </w:p>
    <w:p w14:paraId="36EBEB79" w14:textId="7EB752FE" w:rsidR="00E55613" w:rsidRPr="00E55613" w:rsidRDefault="00E55613" w:rsidP="00E55613">
      <w:pPr>
        <w:pStyle w:val="TextoNormalSangraFrancesa"/>
        <w:rPr>
          <w:rStyle w:val="TextoNormalCaracter"/>
        </w:rPr>
      </w:pPr>
      <w:bookmarkStart w:id="930" w:name="DESCRIPTORALFABETICO434"/>
      <w:r w:rsidRPr="00E55613">
        <w:rPr>
          <w:rStyle w:val="TextoNormalNegritaCaracter"/>
        </w:rPr>
        <w:t>Expediente de regulación de empleo</w:t>
      </w:r>
      <w:bookmarkEnd w:id="930"/>
      <w:r w:rsidRPr="00E55613">
        <w:rPr>
          <w:rStyle w:val="TextoNormalCaracter"/>
        </w:rPr>
        <w:t xml:space="preserve">, Sentencias </w:t>
      </w:r>
      <w:hyperlink w:anchor="SENTENCIA_2024_90" w:history="1">
        <w:r w:rsidRPr="00E55613">
          <w:rPr>
            <w:rStyle w:val="TextoNormalCaracter"/>
          </w:rPr>
          <w:t>90/2024</w:t>
        </w:r>
      </w:hyperlink>
      <w:r w:rsidRPr="00E55613">
        <w:rPr>
          <w:rStyle w:val="TextoNormalCaracter"/>
        </w:rPr>
        <w:t xml:space="preserve">, f. 1; </w:t>
      </w:r>
      <w:hyperlink w:anchor="SENTENCIA_2024_93" w:history="1">
        <w:r w:rsidRPr="00E55613">
          <w:rPr>
            <w:rStyle w:val="TextoNormalCaracter"/>
          </w:rPr>
          <w:t>93/2024</w:t>
        </w:r>
      </w:hyperlink>
      <w:r w:rsidRPr="00E55613">
        <w:rPr>
          <w:rStyle w:val="TextoNormalCaracter"/>
        </w:rPr>
        <w:t>, f. 1.</w:t>
      </w:r>
    </w:p>
    <w:p w14:paraId="6187D733" w14:textId="03BAF7A1" w:rsidR="00E55613" w:rsidRPr="00E55613" w:rsidRDefault="00E55613" w:rsidP="00E55613">
      <w:pPr>
        <w:pStyle w:val="TextoNormalSangraFrancesa"/>
        <w:rPr>
          <w:rStyle w:val="TextoNormalCaracter"/>
        </w:rPr>
      </w:pPr>
      <w:bookmarkStart w:id="931" w:name="DESCRIPTORALFABETICO316"/>
      <w:r w:rsidRPr="00E55613">
        <w:rPr>
          <w:rStyle w:val="TextoNormalNegritaCaracter"/>
        </w:rPr>
        <w:t>Expulsión de extranjeros</w:t>
      </w:r>
      <w:bookmarkEnd w:id="931"/>
      <w:r w:rsidRPr="00E55613">
        <w:rPr>
          <w:rStyle w:val="TextoNormalCaracter"/>
        </w:rPr>
        <w:t xml:space="preserve">, Sentencia </w:t>
      </w:r>
      <w:hyperlink w:anchor="SENTENCIA_2024_49" w:history="1">
        <w:r w:rsidRPr="00E55613">
          <w:rPr>
            <w:rStyle w:val="TextoNormalCaracter"/>
          </w:rPr>
          <w:t>49/2024</w:t>
        </w:r>
      </w:hyperlink>
      <w:r w:rsidRPr="00E55613">
        <w:rPr>
          <w:rStyle w:val="TextoNormalCaracter"/>
        </w:rPr>
        <w:t>, ff. 2 y 3.</w:t>
      </w:r>
    </w:p>
    <w:p w14:paraId="7ABDEB56" w14:textId="672984EB" w:rsidR="00E55613" w:rsidRPr="00E55613" w:rsidRDefault="00E55613" w:rsidP="00E55613">
      <w:pPr>
        <w:pStyle w:val="TextoNormalSangraFrancesa"/>
        <w:rPr>
          <w:rStyle w:val="TextoNormalCaracter"/>
        </w:rPr>
      </w:pPr>
      <w:bookmarkStart w:id="932" w:name="DESCRIPTORALFABETICO422"/>
      <w:r w:rsidRPr="00E55613">
        <w:rPr>
          <w:rStyle w:val="TextoNormalNegritaCaracter"/>
        </w:rPr>
        <w:t>Extinción de la responsabilidad penal</w:t>
      </w:r>
      <w:bookmarkEnd w:id="932"/>
      <w:r w:rsidRPr="00E55613">
        <w:rPr>
          <w:rStyle w:val="TextoNormalCaracter"/>
        </w:rPr>
        <w:t xml:space="preserve">, Auto </w:t>
      </w:r>
      <w:hyperlink w:anchor="AUTO_2024_57" w:history="1">
        <w:r w:rsidRPr="00E55613">
          <w:rPr>
            <w:rStyle w:val="TextoNormalCaracter"/>
          </w:rPr>
          <w:t>57/2024</w:t>
        </w:r>
      </w:hyperlink>
      <w:r w:rsidRPr="00E55613">
        <w:rPr>
          <w:rStyle w:val="TextoNormalCaracter"/>
        </w:rPr>
        <w:t>, ff. 4 y 5, VP II.</w:t>
      </w:r>
    </w:p>
    <w:p w14:paraId="0287FE0A" w14:textId="0A7DB6DF" w:rsidR="00E55613" w:rsidRPr="00E55613" w:rsidRDefault="00E55613" w:rsidP="00E55613">
      <w:pPr>
        <w:pStyle w:val="TextoNormalSangraFrancesa"/>
        <w:rPr>
          <w:rStyle w:val="TextoNormalCaracter"/>
        </w:rPr>
      </w:pPr>
      <w:bookmarkStart w:id="933" w:name="DESCRIPTORALFABETICO504"/>
      <w:r w:rsidRPr="00E55613">
        <w:rPr>
          <w:rStyle w:val="TextoNormalNegritaCaracter"/>
        </w:rPr>
        <w:t>Extradición</w:t>
      </w:r>
      <w:bookmarkEnd w:id="933"/>
      <w:r w:rsidRPr="00E55613">
        <w:rPr>
          <w:rStyle w:val="TextoNormalCaracter"/>
        </w:rPr>
        <w:t xml:space="preserve">, Sentencias </w:t>
      </w:r>
      <w:hyperlink w:anchor="SENTENCIA_2024_17" w:history="1">
        <w:r w:rsidRPr="00E55613">
          <w:rPr>
            <w:rStyle w:val="TextoNormalCaracter"/>
          </w:rPr>
          <w:t>17/2024</w:t>
        </w:r>
      </w:hyperlink>
      <w:r w:rsidRPr="00E55613">
        <w:rPr>
          <w:rStyle w:val="TextoNormalCaracter"/>
        </w:rPr>
        <w:t xml:space="preserve">, ff. 3 y 4; </w:t>
      </w:r>
      <w:hyperlink w:anchor="SENTENCIA_2024_34" w:history="1">
        <w:r w:rsidRPr="00E55613">
          <w:rPr>
            <w:rStyle w:val="TextoNormalCaracter"/>
          </w:rPr>
          <w:t>34/2024</w:t>
        </w:r>
      </w:hyperlink>
      <w:r w:rsidRPr="00E55613">
        <w:rPr>
          <w:rStyle w:val="TextoNormalCaracter"/>
        </w:rPr>
        <w:t xml:space="preserve">, ff. 4 a 7; </w:t>
      </w:r>
      <w:hyperlink w:anchor="SENTENCIA_2024_36" w:history="1">
        <w:r w:rsidRPr="00E55613">
          <w:rPr>
            <w:rStyle w:val="TextoNormalCaracter"/>
          </w:rPr>
          <w:t>36/2024</w:t>
        </w:r>
      </w:hyperlink>
      <w:r w:rsidRPr="00E55613">
        <w:rPr>
          <w:rStyle w:val="TextoNormalCaracter"/>
        </w:rPr>
        <w:t xml:space="preserve">, ff. 4 y 5; </w:t>
      </w:r>
      <w:hyperlink w:anchor="SENTENCIA_2024_37" w:history="1">
        <w:r w:rsidRPr="00E55613">
          <w:rPr>
            <w:rStyle w:val="TextoNormalCaracter"/>
          </w:rPr>
          <w:t>37/2024</w:t>
        </w:r>
      </w:hyperlink>
      <w:r w:rsidRPr="00E55613">
        <w:rPr>
          <w:rStyle w:val="TextoNormalCaracter"/>
        </w:rPr>
        <w:t xml:space="preserve">, ff. 3 y 4, VP; </w:t>
      </w:r>
      <w:hyperlink w:anchor="SENTENCIA_2024_42" w:history="1">
        <w:r w:rsidRPr="00E55613">
          <w:rPr>
            <w:rStyle w:val="TextoNormalCaracter"/>
          </w:rPr>
          <w:t>42/2024</w:t>
        </w:r>
      </w:hyperlink>
      <w:r w:rsidRPr="00E55613">
        <w:rPr>
          <w:rStyle w:val="TextoNormalCaracter"/>
        </w:rPr>
        <w:t xml:space="preserve">, ff. 3 a 5, VP; </w:t>
      </w:r>
      <w:hyperlink w:anchor="SENTENCIA_2024_43" w:history="1">
        <w:r w:rsidRPr="00E55613">
          <w:rPr>
            <w:rStyle w:val="TextoNormalCaracter"/>
          </w:rPr>
          <w:t>43/2024</w:t>
        </w:r>
      </w:hyperlink>
      <w:r w:rsidRPr="00E55613">
        <w:rPr>
          <w:rStyle w:val="TextoNormalCaracter"/>
        </w:rPr>
        <w:t xml:space="preserve">, ff. 4 a 6, VP; </w:t>
      </w:r>
      <w:hyperlink w:anchor="SENTENCIA_2024_51" w:history="1">
        <w:r w:rsidRPr="00E55613">
          <w:rPr>
            <w:rStyle w:val="TextoNormalCaracter"/>
          </w:rPr>
          <w:t>51/2024</w:t>
        </w:r>
      </w:hyperlink>
      <w:r w:rsidRPr="00E55613">
        <w:rPr>
          <w:rStyle w:val="TextoNormalCaracter"/>
        </w:rPr>
        <w:t xml:space="preserve">, f. 2; </w:t>
      </w:r>
      <w:hyperlink w:anchor="SENTENCIA_2024_52" w:history="1">
        <w:r w:rsidRPr="00E55613">
          <w:rPr>
            <w:rStyle w:val="TextoNormalCaracter"/>
          </w:rPr>
          <w:t>52/2024</w:t>
        </w:r>
      </w:hyperlink>
      <w:r w:rsidRPr="00E55613">
        <w:rPr>
          <w:rStyle w:val="TextoNormalCaracter"/>
        </w:rPr>
        <w:t xml:space="preserve">, f. 4; </w:t>
      </w:r>
      <w:hyperlink w:anchor="SENTENCIA_2024_57" w:history="1">
        <w:r w:rsidRPr="00E55613">
          <w:rPr>
            <w:rStyle w:val="TextoNormalCaracter"/>
          </w:rPr>
          <w:t>57/2024</w:t>
        </w:r>
      </w:hyperlink>
      <w:r w:rsidRPr="00E55613">
        <w:rPr>
          <w:rStyle w:val="TextoNormalCaracter"/>
        </w:rPr>
        <w:t xml:space="preserve">, f. 4; </w:t>
      </w:r>
      <w:hyperlink w:anchor="SENTENCIA_2024_61" w:history="1">
        <w:r w:rsidRPr="00E55613">
          <w:rPr>
            <w:rStyle w:val="TextoNormalCaracter"/>
          </w:rPr>
          <w:t>61/2024</w:t>
        </w:r>
      </w:hyperlink>
      <w:r w:rsidRPr="00E55613">
        <w:rPr>
          <w:rStyle w:val="TextoNormalCaracter"/>
        </w:rPr>
        <w:t>, f. 1.</w:t>
      </w:r>
    </w:p>
    <w:p w14:paraId="43B87F29" w14:textId="13BADB9E" w:rsidR="00E55613" w:rsidRDefault="00E55613" w:rsidP="00E55613">
      <w:pPr>
        <w:pStyle w:val="TextoNormalSangraFrancesa"/>
      </w:pPr>
    </w:p>
    <w:p w14:paraId="2BBC3E2F" w14:textId="77777777" w:rsidR="00E55613" w:rsidRDefault="00E55613" w:rsidP="00E55613">
      <w:pPr>
        <w:pStyle w:val="TextoNormalSangraFrancesa"/>
      </w:pPr>
    </w:p>
    <w:p w14:paraId="47E89B3A" w14:textId="77777777" w:rsidR="00E55613" w:rsidRDefault="00E55613" w:rsidP="00E55613">
      <w:pPr>
        <w:pStyle w:val="TextoNormalNegritaCentrado"/>
      </w:pPr>
      <w:r>
        <w:t>F</w:t>
      </w:r>
    </w:p>
    <w:p w14:paraId="422EDA90" w14:textId="1A83A89F" w:rsidR="00E55613" w:rsidRDefault="00E55613" w:rsidP="00E55613">
      <w:pPr>
        <w:pStyle w:val="TextoNormalNegritaCentrado"/>
      </w:pPr>
    </w:p>
    <w:p w14:paraId="1993ADEB" w14:textId="7C08CC53" w:rsidR="00E55613" w:rsidRPr="00E55613" w:rsidRDefault="00E55613" w:rsidP="00E55613">
      <w:pPr>
        <w:pStyle w:val="TextoNormalSangraFrancesa"/>
        <w:rPr>
          <w:rStyle w:val="TextoNormalCaracter"/>
        </w:rPr>
      </w:pPr>
      <w:bookmarkStart w:id="934" w:name="DESCRIPTORALFABETICO299"/>
      <w:r w:rsidRPr="00E55613">
        <w:rPr>
          <w:rStyle w:val="TextoNormalNegritaCaracter"/>
        </w:rPr>
        <w:t>Facultades de uso y disfrute</w:t>
      </w:r>
      <w:bookmarkEnd w:id="934"/>
      <w:r w:rsidRPr="00E55613">
        <w:rPr>
          <w:rStyle w:val="TextoNormalCaracter"/>
        </w:rPr>
        <w:t xml:space="preserve">, Sentencia </w:t>
      </w:r>
      <w:hyperlink w:anchor="SENTENCIA_2024_53" w:history="1">
        <w:r w:rsidRPr="00E55613">
          <w:rPr>
            <w:rStyle w:val="TextoNormalCaracter"/>
          </w:rPr>
          <w:t>53/2024</w:t>
        </w:r>
      </w:hyperlink>
      <w:r w:rsidRPr="00E55613">
        <w:rPr>
          <w:rStyle w:val="TextoNormalCaracter"/>
        </w:rPr>
        <w:t>, f. 2.</w:t>
      </w:r>
    </w:p>
    <w:p w14:paraId="3462DFDB" w14:textId="154D9D2D" w:rsidR="00E55613" w:rsidRPr="00E55613" w:rsidRDefault="00E55613" w:rsidP="00E55613">
      <w:pPr>
        <w:pStyle w:val="TextoNormalSangraFrancesa"/>
        <w:rPr>
          <w:rStyle w:val="TextoNormalCaracter"/>
        </w:rPr>
      </w:pPr>
      <w:bookmarkStart w:id="935" w:name="DESCRIPTORALFABETICO401"/>
      <w:r w:rsidRPr="00E55613">
        <w:rPr>
          <w:rStyle w:val="TextoNormalNegritaCaracter"/>
        </w:rPr>
        <w:t>Falta de consentimiento del interesado</w:t>
      </w:r>
      <w:bookmarkEnd w:id="935"/>
      <w:r w:rsidRPr="00E55613">
        <w:rPr>
          <w:rStyle w:val="TextoNormalCaracter"/>
        </w:rPr>
        <w:t xml:space="preserve">, Sentencia </w:t>
      </w:r>
      <w:hyperlink w:anchor="SENTENCIA_2024_40" w:history="1">
        <w:r w:rsidRPr="00E55613">
          <w:rPr>
            <w:rStyle w:val="TextoNormalCaracter"/>
          </w:rPr>
          <w:t>40/2024</w:t>
        </w:r>
      </w:hyperlink>
      <w:r w:rsidRPr="00E55613">
        <w:rPr>
          <w:rStyle w:val="TextoNormalCaracter"/>
        </w:rPr>
        <w:t>, ff. 2 y 3.</w:t>
      </w:r>
    </w:p>
    <w:p w14:paraId="0CC99EA2" w14:textId="3ECF2A57" w:rsidR="00E55613" w:rsidRPr="00E55613" w:rsidRDefault="00E55613" w:rsidP="00E55613">
      <w:pPr>
        <w:pStyle w:val="TextoNormalSangraFrancesa"/>
        <w:rPr>
          <w:rStyle w:val="TextoNormalCaracter"/>
        </w:rPr>
      </w:pPr>
      <w:bookmarkStart w:id="936" w:name="DESCRIPTORALFABETICO463"/>
      <w:r w:rsidRPr="00E55613">
        <w:rPr>
          <w:rStyle w:val="TextoNormalNegritaCaracter"/>
        </w:rPr>
        <w:t>Falta de consignación</w:t>
      </w:r>
      <w:bookmarkEnd w:id="936"/>
      <w:r w:rsidRPr="00E55613">
        <w:rPr>
          <w:rStyle w:val="TextoNormalCaracter"/>
        </w:rPr>
        <w:t xml:space="preserve">, Sentencia </w:t>
      </w:r>
      <w:hyperlink w:anchor="SENTENCIA_2024_55" w:history="1">
        <w:r w:rsidRPr="00E55613">
          <w:rPr>
            <w:rStyle w:val="TextoNormalCaracter"/>
          </w:rPr>
          <w:t>55/2024</w:t>
        </w:r>
      </w:hyperlink>
      <w:r w:rsidRPr="00E55613">
        <w:rPr>
          <w:rStyle w:val="TextoNormalCaracter"/>
        </w:rPr>
        <w:t>, ff. 1, 3 y 4.</w:t>
      </w:r>
    </w:p>
    <w:p w14:paraId="31F8C437" w14:textId="7EAF5CC2" w:rsidR="00E55613" w:rsidRPr="00E55613" w:rsidRDefault="00E55613" w:rsidP="00E55613">
      <w:pPr>
        <w:pStyle w:val="TextoNormalSangraFrancesa"/>
        <w:rPr>
          <w:rStyle w:val="TextoNormalCaracter"/>
        </w:rPr>
      </w:pPr>
      <w:bookmarkStart w:id="937" w:name="DESCRIPTORALFABETICO79"/>
      <w:r w:rsidRPr="00E55613">
        <w:rPr>
          <w:rStyle w:val="TextoNormalNegritaCaracter"/>
        </w:rPr>
        <w:t>Falta de motivación de las sentencias</w:t>
      </w:r>
      <w:bookmarkEnd w:id="937"/>
      <w:r w:rsidRPr="00E55613">
        <w:rPr>
          <w:rStyle w:val="TextoNormalCaracter"/>
        </w:rPr>
        <w:t xml:space="preserve">, Sentencias </w:t>
      </w:r>
      <w:hyperlink w:anchor="SENTENCIA_2024_2" w:history="1">
        <w:r w:rsidRPr="00E55613">
          <w:rPr>
            <w:rStyle w:val="TextoNormalCaracter"/>
          </w:rPr>
          <w:t>2/2024</w:t>
        </w:r>
      </w:hyperlink>
      <w:r w:rsidRPr="00E55613">
        <w:rPr>
          <w:rStyle w:val="TextoNormalCaracter"/>
        </w:rPr>
        <w:t xml:space="preserve">, f. 3; </w:t>
      </w:r>
      <w:hyperlink w:anchor="SENTENCIA_2024_77" w:history="1">
        <w:r w:rsidRPr="00E55613">
          <w:rPr>
            <w:rStyle w:val="TextoNormalCaracter"/>
          </w:rPr>
          <w:t>77/2024</w:t>
        </w:r>
      </w:hyperlink>
      <w:r w:rsidRPr="00E55613">
        <w:rPr>
          <w:rStyle w:val="TextoNormalCaracter"/>
        </w:rPr>
        <w:t>, f. 4.</w:t>
      </w:r>
    </w:p>
    <w:p w14:paraId="74A062FD" w14:textId="2C3304A9" w:rsidR="00E55613" w:rsidRPr="00E55613" w:rsidRDefault="00E55613" w:rsidP="00E55613">
      <w:pPr>
        <w:pStyle w:val="TextoNormalSangraFrancesa"/>
        <w:rPr>
          <w:rStyle w:val="TextoNormalCaracter"/>
        </w:rPr>
      </w:pPr>
      <w:bookmarkStart w:id="938" w:name="DESCRIPTORALFABETICO321"/>
      <w:r w:rsidRPr="00E55613">
        <w:rPr>
          <w:rStyle w:val="TextoNormalNegritaCaracter"/>
        </w:rPr>
        <w:t>Filiación</w:t>
      </w:r>
      <w:bookmarkEnd w:id="938"/>
      <w:r w:rsidRPr="00E55613">
        <w:rPr>
          <w:rStyle w:val="TextoNormalCaracter"/>
        </w:rPr>
        <w:t xml:space="preserve">, Sentencia </w:t>
      </w:r>
      <w:hyperlink w:anchor="SENTENCIA_2024_28" w:history="1">
        <w:r w:rsidRPr="00E55613">
          <w:rPr>
            <w:rStyle w:val="TextoNormalCaracter"/>
          </w:rPr>
          <w:t>28/2024</w:t>
        </w:r>
      </w:hyperlink>
      <w:r w:rsidRPr="00E55613">
        <w:rPr>
          <w:rStyle w:val="TextoNormalCaracter"/>
        </w:rPr>
        <w:t>, ff. 3 a 6, VP.</w:t>
      </w:r>
    </w:p>
    <w:p w14:paraId="51E5C8DC" w14:textId="5F2A0005" w:rsidR="00E55613" w:rsidRPr="00E55613" w:rsidRDefault="00E55613" w:rsidP="00E55613">
      <w:pPr>
        <w:pStyle w:val="TextoNormalSangraFrancesa"/>
        <w:rPr>
          <w:rStyle w:val="TextoNormalCaracter"/>
        </w:rPr>
      </w:pPr>
      <w:bookmarkStart w:id="939" w:name="DESCRIPTORALFABETICO167"/>
      <w:r w:rsidRPr="00E55613">
        <w:rPr>
          <w:rStyle w:val="TextoNormalNegritaCaracter"/>
        </w:rPr>
        <w:t>Finalidad del requisito de invocación del derecho vulnerado</w:t>
      </w:r>
      <w:bookmarkEnd w:id="939"/>
      <w:r w:rsidRPr="00E55613">
        <w:rPr>
          <w:rStyle w:val="TextoNormalCaracter"/>
        </w:rPr>
        <w:t xml:space="preserve">, Sentencia </w:t>
      </w:r>
      <w:hyperlink w:anchor="SENTENCIA_2024_39" w:history="1">
        <w:r w:rsidRPr="00E55613">
          <w:rPr>
            <w:rStyle w:val="TextoNormalCaracter"/>
          </w:rPr>
          <w:t>39/2024</w:t>
        </w:r>
      </w:hyperlink>
      <w:r w:rsidRPr="00E55613">
        <w:rPr>
          <w:rStyle w:val="TextoNormalCaracter"/>
        </w:rPr>
        <w:t>, f. 2.</w:t>
      </w:r>
    </w:p>
    <w:p w14:paraId="344ECBC6" w14:textId="360830D9" w:rsidR="00E55613" w:rsidRPr="00E55613" w:rsidRDefault="00E55613" w:rsidP="00E55613">
      <w:pPr>
        <w:pStyle w:val="TextoNormalSangraFrancesa"/>
        <w:rPr>
          <w:rStyle w:val="TextoNormalCaracter"/>
        </w:rPr>
      </w:pPr>
      <w:bookmarkStart w:id="940" w:name="DESCRIPTORALFABETICO168"/>
      <w:r w:rsidRPr="00E55613">
        <w:rPr>
          <w:rStyle w:val="TextoNormalNegritaCaracter"/>
        </w:rPr>
        <w:t>Flexibilidad del requisito de invocación del derecho vulnerado</w:t>
      </w:r>
      <w:bookmarkEnd w:id="940"/>
      <w:r w:rsidRPr="00E55613">
        <w:rPr>
          <w:rStyle w:val="TextoNormalCaracter"/>
        </w:rPr>
        <w:t xml:space="preserve">, Sentencia </w:t>
      </w:r>
      <w:hyperlink w:anchor="SENTENCIA_2024_39" w:history="1">
        <w:r w:rsidRPr="00E55613">
          <w:rPr>
            <w:rStyle w:val="TextoNormalCaracter"/>
          </w:rPr>
          <w:t>39/2024</w:t>
        </w:r>
      </w:hyperlink>
      <w:r w:rsidRPr="00E55613">
        <w:rPr>
          <w:rStyle w:val="TextoNormalCaracter"/>
        </w:rPr>
        <w:t>, f. 2.</w:t>
      </w:r>
    </w:p>
    <w:p w14:paraId="2AF22F0C" w14:textId="079C1FAE" w:rsidR="00E55613" w:rsidRPr="00E55613" w:rsidRDefault="00E55613" w:rsidP="00E55613">
      <w:pPr>
        <w:pStyle w:val="TextoNormalSangraFrancesa"/>
        <w:rPr>
          <w:rStyle w:val="TextoNormalCaracter"/>
        </w:rPr>
      </w:pPr>
      <w:bookmarkStart w:id="941" w:name="DESCRIPTORALFABETICO438"/>
      <w:r w:rsidRPr="00E55613">
        <w:rPr>
          <w:rStyle w:val="TextoNormalNegritaCaracter"/>
        </w:rPr>
        <w:t>Formación de los trabajadores</w:t>
      </w:r>
      <w:bookmarkEnd w:id="941"/>
      <w:r w:rsidRPr="00E55613">
        <w:rPr>
          <w:rStyle w:val="TextoNormalCaracter"/>
        </w:rPr>
        <w:t xml:space="preserve">, Sentencia </w:t>
      </w:r>
      <w:hyperlink w:anchor="SENTENCIA_2024_63" w:history="1">
        <w:r w:rsidRPr="00E55613">
          <w:rPr>
            <w:rStyle w:val="TextoNormalCaracter"/>
          </w:rPr>
          <w:t>63/2024</w:t>
        </w:r>
      </w:hyperlink>
      <w:r w:rsidRPr="00E55613">
        <w:rPr>
          <w:rStyle w:val="TextoNormalCaracter"/>
        </w:rPr>
        <w:t>, ff. 1 y 3.</w:t>
      </w:r>
    </w:p>
    <w:p w14:paraId="23CEA727" w14:textId="495526A3" w:rsidR="00E55613" w:rsidRPr="00E55613" w:rsidRDefault="00E55613" w:rsidP="00E55613">
      <w:pPr>
        <w:pStyle w:val="TextoNormalSangraFrancesa"/>
        <w:rPr>
          <w:rStyle w:val="TextoNormalCaracter"/>
        </w:rPr>
      </w:pPr>
      <w:bookmarkStart w:id="942" w:name="DESCRIPTORALFABETICO380"/>
      <w:r w:rsidRPr="00E55613">
        <w:rPr>
          <w:rStyle w:val="TextoNormalNegritaCaracter"/>
        </w:rPr>
        <w:t>Fraude de ley</w:t>
      </w:r>
      <w:bookmarkEnd w:id="942"/>
      <w:r w:rsidRPr="00E55613">
        <w:rPr>
          <w:rStyle w:val="TextoNormalCaracter"/>
        </w:rPr>
        <w:t xml:space="preserve">, Sentencia </w:t>
      </w:r>
      <w:hyperlink w:anchor="SENTENCIA_2024_15" w:history="1">
        <w:r w:rsidRPr="00E55613">
          <w:rPr>
            <w:rStyle w:val="TextoNormalCaracter"/>
          </w:rPr>
          <w:t>15/2024</w:t>
        </w:r>
      </w:hyperlink>
      <w:r w:rsidRPr="00E55613">
        <w:rPr>
          <w:rStyle w:val="TextoNormalCaracter"/>
        </w:rPr>
        <w:t>, ff. 2 y 3.</w:t>
      </w:r>
    </w:p>
    <w:p w14:paraId="11A85F2D" w14:textId="46ED18A6" w:rsidR="00E55613" w:rsidRPr="00E55613" w:rsidRDefault="00E55613" w:rsidP="00E55613">
      <w:pPr>
        <w:pStyle w:val="TextoNormalSangraFrancesa"/>
        <w:rPr>
          <w:rStyle w:val="TextoNormalCaracter"/>
        </w:rPr>
      </w:pPr>
      <w:bookmarkStart w:id="943" w:name="DESCRIPTORALFABETICO327"/>
      <w:r w:rsidRPr="00E55613">
        <w:rPr>
          <w:rStyle w:val="TextoNormalNegritaCaracter"/>
        </w:rPr>
        <w:t>Fuerzas y cuerpos de seguridad</w:t>
      </w:r>
      <w:bookmarkEnd w:id="943"/>
      <w:r w:rsidRPr="00E55613">
        <w:rPr>
          <w:rStyle w:val="TextoNormalCaracter"/>
        </w:rPr>
        <w:t xml:space="preserve">, Sentencia </w:t>
      </w:r>
      <w:hyperlink w:anchor="SENTENCIA_2024_1" w:history="1">
        <w:r w:rsidRPr="00E55613">
          <w:rPr>
            <w:rStyle w:val="TextoNormalCaracter"/>
          </w:rPr>
          <w:t>1/2024</w:t>
        </w:r>
      </w:hyperlink>
      <w:r w:rsidRPr="00E55613">
        <w:rPr>
          <w:rStyle w:val="TextoNormalCaracter"/>
        </w:rPr>
        <w:t>, f. 1.</w:t>
      </w:r>
    </w:p>
    <w:p w14:paraId="6256A3B9" w14:textId="06ACBA7F" w:rsidR="00E55613" w:rsidRPr="00E55613" w:rsidRDefault="00E55613" w:rsidP="00E55613">
      <w:pPr>
        <w:pStyle w:val="TextoNormalSangraFrancesa"/>
        <w:rPr>
          <w:rStyle w:val="TextoNormalCaracter"/>
        </w:rPr>
      </w:pPr>
      <w:bookmarkStart w:id="944" w:name="DESCRIPTORALFABETICO491"/>
      <w:r w:rsidRPr="00E55613">
        <w:rPr>
          <w:rStyle w:val="TextoNormalNegritaCaracter"/>
        </w:rPr>
        <w:t>Función revisora del recurso de apelación</w:t>
      </w:r>
      <w:bookmarkEnd w:id="944"/>
      <w:r w:rsidRPr="00E55613">
        <w:rPr>
          <w:rStyle w:val="TextoNormalCaracter"/>
        </w:rPr>
        <w:t xml:space="preserve">, Sentencia </w:t>
      </w:r>
      <w:hyperlink w:anchor="SENTENCIA_2024_80" w:history="1">
        <w:r w:rsidRPr="00E55613">
          <w:rPr>
            <w:rStyle w:val="TextoNormalCaracter"/>
          </w:rPr>
          <w:t>80/2024</w:t>
        </w:r>
      </w:hyperlink>
      <w:r w:rsidRPr="00E55613">
        <w:rPr>
          <w:rStyle w:val="TextoNormalCaracter"/>
        </w:rPr>
        <w:t>, f. 4.</w:t>
      </w:r>
    </w:p>
    <w:p w14:paraId="38699C02" w14:textId="5D4BA7B3" w:rsidR="00E55613" w:rsidRPr="00E55613" w:rsidRDefault="00E55613" w:rsidP="00E55613">
      <w:pPr>
        <w:pStyle w:val="TextoNormalSangraFrancesa"/>
        <w:rPr>
          <w:rStyle w:val="TextoNormalCaracter"/>
        </w:rPr>
      </w:pPr>
      <w:bookmarkStart w:id="945" w:name="DESCRIPTORALFABETICO300"/>
      <w:r w:rsidRPr="00E55613">
        <w:rPr>
          <w:rStyle w:val="TextoNormalNegritaCaracter"/>
        </w:rPr>
        <w:t>Función social de la propiedad</w:t>
      </w:r>
      <w:bookmarkEnd w:id="945"/>
      <w:r w:rsidRPr="00E55613">
        <w:rPr>
          <w:rStyle w:val="TextoNormalCaracter"/>
        </w:rPr>
        <w:t xml:space="preserve">, Sentencia </w:t>
      </w:r>
      <w:hyperlink w:anchor="SENTENCIA_2024_7" w:history="1">
        <w:r w:rsidRPr="00E55613">
          <w:rPr>
            <w:rStyle w:val="TextoNormalCaracter"/>
          </w:rPr>
          <w:t>7/2024</w:t>
        </w:r>
      </w:hyperlink>
      <w:r w:rsidRPr="00E55613">
        <w:rPr>
          <w:rStyle w:val="TextoNormalCaracter"/>
        </w:rPr>
        <w:t>, f. 4.</w:t>
      </w:r>
    </w:p>
    <w:p w14:paraId="57100A97" w14:textId="79AE3F6E" w:rsidR="00E55613" w:rsidRPr="00E55613" w:rsidRDefault="00E55613" w:rsidP="00E55613">
      <w:pPr>
        <w:pStyle w:val="TextoNormalSangraFrancesa"/>
        <w:rPr>
          <w:rStyle w:val="TextoNormalCaracter"/>
        </w:rPr>
      </w:pPr>
      <w:bookmarkStart w:id="946" w:name="DESCRIPTORALFABETICO445"/>
      <w:r w:rsidRPr="00E55613">
        <w:rPr>
          <w:rStyle w:val="TextoNormalNegritaCaracter"/>
        </w:rPr>
        <w:t>Función social de la vivienda</w:t>
      </w:r>
      <w:bookmarkEnd w:id="946"/>
      <w:r w:rsidRPr="00E55613">
        <w:rPr>
          <w:rStyle w:val="TextoNormalCaracter"/>
        </w:rPr>
        <w:t xml:space="preserve">, Sentencia </w:t>
      </w:r>
      <w:hyperlink w:anchor="SENTENCIA_2024_79" w:history="1">
        <w:r w:rsidRPr="00E55613">
          <w:rPr>
            <w:rStyle w:val="TextoNormalCaracter"/>
          </w:rPr>
          <w:t>79/2024</w:t>
        </w:r>
      </w:hyperlink>
      <w:r w:rsidRPr="00E55613">
        <w:rPr>
          <w:rStyle w:val="TextoNormalCaracter"/>
        </w:rPr>
        <w:t>, f. 6.</w:t>
      </w:r>
    </w:p>
    <w:p w14:paraId="63D7822A" w14:textId="15A8A9CC" w:rsidR="00E55613" w:rsidRPr="00E55613" w:rsidRDefault="00E55613" w:rsidP="00E55613">
      <w:pPr>
        <w:pStyle w:val="TextoNormalSangraFrancesa"/>
        <w:rPr>
          <w:rStyle w:val="TextoNormalCaracter"/>
        </w:rPr>
      </w:pPr>
      <w:bookmarkStart w:id="947" w:name="DESCRIPTORALFABETICO286"/>
      <w:r w:rsidRPr="00E55613">
        <w:rPr>
          <w:rStyle w:val="TextoNormalNegritaCaracter"/>
        </w:rPr>
        <w:t>Funcionamiento anormal de la Administración de justicia</w:t>
      </w:r>
      <w:bookmarkEnd w:id="947"/>
      <w:r w:rsidRPr="00E55613">
        <w:rPr>
          <w:rStyle w:val="TextoNormalCaracter"/>
        </w:rPr>
        <w:t xml:space="preserve">, Sentencia </w:t>
      </w:r>
      <w:hyperlink w:anchor="SENTENCIA_2024_61" w:history="1">
        <w:r w:rsidRPr="00E55613">
          <w:rPr>
            <w:rStyle w:val="TextoNormalCaracter"/>
          </w:rPr>
          <w:t>61/2024</w:t>
        </w:r>
      </w:hyperlink>
      <w:r w:rsidRPr="00E55613">
        <w:rPr>
          <w:rStyle w:val="TextoNormalCaracter"/>
        </w:rPr>
        <w:t>, ff. 1, 3, 4, VP.</w:t>
      </w:r>
    </w:p>
    <w:p w14:paraId="2E6FE69C" w14:textId="15DBAFC4" w:rsidR="00E55613" w:rsidRPr="00E55613" w:rsidRDefault="00E55613" w:rsidP="00E55613">
      <w:pPr>
        <w:pStyle w:val="TextoNormalSangraFrancesa"/>
        <w:rPr>
          <w:rStyle w:val="TextoNormalCaracter"/>
        </w:rPr>
      </w:pPr>
      <w:bookmarkStart w:id="948" w:name="DESCRIPTORALFABETICO284"/>
      <w:r w:rsidRPr="00E55613">
        <w:rPr>
          <w:rStyle w:val="TextoNormalNegritaCaracter"/>
        </w:rPr>
        <w:t>Funcionarios locales con habilitación nacional</w:t>
      </w:r>
      <w:bookmarkEnd w:id="948"/>
      <w:r w:rsidRPr="00E55613">
        <w:rPr>
          <w:rStyle w:val="TextoNormalCaracter"/>
        </w:rPr>
        <w:t xml:space="preserve">, Sentencia </w:t>
      </w:r>
      <w:hyperlink w:anchor="SENTENCIA_2024_67" w:history="1">
        <w:r w:rsidRPr="00E55613">
          <w:rPr>
            <w:rStyle w:val="TextoNormalCaracter"/>
          </w:rPr>
          <w:t>67/2024</w:t>
        </w:r>
      </w:hyperlink>
      <w:r w:rsidRPr="00E55613">
        <w:rPr>
          <w:rStyle w:val="TextoNormalCaracter"/>
        </w:rPr>
        <w:t>, f. 4.</w:t>
      </w:r>
    </w:p>
    <w:p w14:paraId="2F4AFAF5" w14:textId="58EAB632" w:rsidR="00E55613" w:rsidRPr="00E55613" w:rsidRDefault="00E55613" w:rsidP="00E55613">
      <w:pPr>
        <w:pStyle w:val="TextoNormalSangraFrancesa"/>
        <w:rPr>
          <w:rStyle w:val="TextoNormalCaracter"/>
        </w:rPr>
      </w:pPr>
      <w:bookmarkStart w:id="949" w:name="DESCRIPTORALFABETICO209"/>
      <w:r w:rsidRPr="00E55613">
        <w:rPr>
          <w:rStyle w:val="TextoNormalNegritaCaracter"/>
        </w:rPr>
        <w:t>Funciones de la policía judicial</w:t>
      </w:r>
      <w:bookmarkEnd w:id="949"/>
      <w:r w:rsidRPr="00E55613">
        <w:rPr>
          <w:rStyle w:val="TextoNormalCaracter"/>
        </w:rPr>
        <w:t xml:space="preserve">, Sentencia </w:t>
      </w:r>
      <w:hyperlink w:anchor="SENTENCIA_2024_87" w:history="1">
        <w:r w:rsidRPr="00E55613">
          <w:rPr>
            <w:rStyle w:val="TextoNormalCaracter"/>
          </w:rPr>
          <w:t>87/2024</w:t>
        </w:r>
      </w:hyperlink>
      <w:r w:rsidRPr="00E55613">
        <w:rPr>
          <w:rStyle w:val="TextoNormalCaracter"/>
        </w:rPr>
        <w:t>, f. 2, VP I, VP II, VP III, VP IV.</w:t>
      </w:r>
    </w:p>
    <w:p w14:paraId="1DE1BAA0" w14:textId="13336FE3" w:rsidR="00E55613" w:rsidRPr="00E55613" w:rsidRDefault="00E55613" w:rsidP="00E55613">
      <w:pPr>
        <w:pStyle w:val="TextoNormalSangraFrancesa"/>
        <w:rPr>
          <w:rStyle w:val="TextoNormalCaracter"/>
        </w:rPr>
      </w:pPr>
      <w:bookmarkStart w:id="950" w:name="DESCRIPTORALFABETICO241"/>
      <w:r w:rsidRPr="00E55613">
        <w:rPr>
          <w:rStyle w:val="TextoNormalNegritaCaracter"/>
        </w:rPr>
        <w:t>Funciones de las mesas parlamentarias</w:t>
      </w:r>
      <w:bookmarkEnd w:id="950"/>
      <w:r w:rsidRPr="00E55613">
        <w:rPr>
          <w:rStyle w:val="TextoNormalCaracter"/>
        </w:rPr>
        <w:t xml:space="preserve">, Sentencia </w:t>
      </w:r>
      <w:hyperlink w:anchor="SENTENCIA_2024_86" w:history="1">
        <w:r w:rsidRPr="00E55613">
          <w:rPr>
            <w:rStyle w:val="TextoNormalCaracter"/>
          </w:rPr>
          <w:t>86/2024</w:t>
        </w:r>
      </w:hyperlink>
      <w:r w:rsidRPr="00E55613">
        <w:rPr>
          <w:rStyle w:val="TextoNormalCaracter"/>
        </w:rPr>
        <w:t>, f. 3.</w:t>
      </w:r>
    </w:p>
    <w:p w14:paraId="3A66D61D" w14:textId="7C5C1BE1" w:rsidR="00E55613" w:rsidRPr="00E55613" w:rsidRDefault="00E55613" w:rsidP="00E55613">
      <w:pPr>
        <w:pStyle w:val="TextoNormalSangraFrancesa"/>
        <w:rPr>
          <w:rStyle w:val="TextoNormalCaracter"/>
        </w:rPr>
      </w:pPr>
      <w:bookmarkStart w:id="951" w:name="DESCRIPTORALFABETICO162"/>
      <w:r w:rsidRPr="00E55613">
        <w:rPr>
          <w:rStyle w:val="TextoNormalNegritaCaracter"/>
        </w:rPr>
        <w:t>Fundamentación de la demanda de inconstitucionalidad</w:t>
      </w:r>
      <w:bookmarkEnd w:id="951"/>
      <w:r w:rsidRPr="00E55613">
        <w:rPr>
          <w:rStyle w:val="TextoNormalCaracter"/>
        </w:rPr>
        <w:t xml:space="preserve">, Sentencias </w:t>
      </w:r>
      <w:hyperlink w:anchor="SENTENCIA_2024_68" w:history="1">
        <w:r w:rsidRPr="00E55613">
          <w:rPr>
            <w:rStyle w:val="TextoNormalCaracter"/>
          </w:rPr>
          <w:t>68/2024</w:t>
        </w:r>
      </w:hyperlink>
      <w:r w:rsidRPr="00E55613">
        <w:rPr>
          <w:rStyle w:val="TextoNormalCaracter"/>
        </w:rPr>
        <w:t xml:space="preserve">, f. 2; </w:t>
      </w:r>
      <w:hyperlink w:anchor="SENTENCIA_2024_79" w:history="1">
        <w:r w:rsidRPr="00E55613">
          <w:rPr>
            <w:rStyle w:val="TextoNormalCaracter"/>
          </w:rPr>
          <w:t>79/2024</w:t>
        </w:r>
      </w:hyperlink>
      <w:r w:rsidRPr="00E55613">
        <w:rPr>
          <w:rStyle w:val="TextoNormalCaracter"/>
        </w:rPr>
        <w:t>, f. 2.</w:t>
      </w:r>
    </w:p>
    <w:p w14:paraId="46DF5A46" w14:textId="5C260A52" w:rsidR="00E55613" w:rsidRDefault="00E55613" w:rsidP="00E55613">
      <w:pPr>
        <w:pStyle w:val="TextoNormalSangraFrancesa"/>
      </w:pPr>
    </w:p>
    <w:p w14:paraId="311E198C" w14:textId="77777777" w:rsidR="00E55613" w:rsidRDefault="00E55613" w:rsidP="00E55613">
      <w:pPr>
        <w:pStyle w:val="TextoNormalSangraFrancesa"/>
      </w:pPr>
    </w:p>
    <w:p w14:paraId="6B215CDB" w14:textId="77777777" w:rsidR="00E55613" w:rsidRDefault="00E55613" w:rsidP="00E55613">
      <w:pPr>
        <w:pStyle w:val="TextoNormalNegritaCentrado"/>
      </w:pPr>
      <w:r>
        <w:t>G</w:t>
      </w:r>
    </w:p>
    <w:p w14:paraId="5F6966E9" w14:textId="699DF087" w:rsidR="00E55613" w:rsidRDefault="00E55613" w:rsidP="00E55613">
      <w:pPr>
        <w:pStyle w:val="TextoNormalNegritaCentrado"/>
      </w:pPr>
    </w:p>
    <w:p w14:paraId="75F292AE" w14:textId="733A4FB0" w:rsidR="00E55613" w:rsidRPr="00E55613" w:rsidRDefault="00E55613" w:rsidP="00E55613">
      <w:pPr>
        <w:pStyle w:val="TextoNormalSangraFrancesa"/>
        <w:rPr>
          <w:rStyle w:val="TextoNormalCaracter"/>
        </w:rPr>
      </w:pPr>
      <w:bookmarkStart w:id="952" w:name="DESCRIPTORALFABETICO522"/>
      <w:r w:rsidRPr="00E55613">
        <w:rPr>
          <w:rStyle w:val="TextoNormalNegritaCaracter"/>
        </w:rPr>
        <w:t>Galicia</w:t>
      </w:r>
      <w:bookmarkEnd w:id="952"/>
      <w:r w:rsidRPr="00E55613">
        <w:rPr>
          <w:rStyle w:val="TextoNormalCaracter"/>
        </w:rPr>
        <w:t xml:space="preserve">, Sentencias </w:t>
      </w:r>
      <w:hyperlink w:anchor="SENTENCIA_2024_68" w:history="1">
        <w:r w:rsidRPr="00E55613">
          <w:rPr>
            <w:rStyle w:val="TextoNormalCaracter"/>
          </w:rPr>
          <w:t>68/2024</w:t>
        </w:r>
      </w:hyperlink>
      <w:r w:rsidRPr="00E55613">
        <w:rPr>
          <w:rStyle w:val="TextoNormalCaracter"/>
        </w:rPr>
        <w:t xml:space="preserve">, f. 1; </w:t>
      </w:r>
      <w:hyperlink w:anchor="SENTENCIA_2024_76" w:history="1">
        <w:r w:rsidRPr="00E55613">
          <w:rPr>
            <w:rStyle w:val="TextoNormalCaracter"/>
          </w:rPr>
          <w:t>76/2024</w:t>
        </w:r>
      </w:hyperlink>
      <w:r w:rsidRPr="00E55613">
        <w:rPr>
          <w:rStyle w:val="TextoNormalCaracter"/>
        </w:rPr>
        <w:t>, f. 1.</w:t>
      </w:r>
    </w:p>
    <w:p w14:paraId="401D15C7" w14:textId="79868BF7" w:rsidR="00E55613" w:rsidRPr="00E55613" w:rsidRDefault="00E55613" w:rsidP="00E55613">
      <w:pPr>
        <w:pStyle w:val="TextoNormalSangraFrancesa"/>
        <w:rPr>
          <w:rStyle w:val="TextoNormalCaracter"/>
        </w:rPr>
      </w:pPr>
      <w:r w:rsidRPr="00E55613">
        <w:rPr>
          <w:rStyle w:val="TextoNormalCaracter"/>
        </w:rPr>
        <w:t xml:space="preserve">    Autos </w:t>
      </w:r>
      <w:hyperlink w:anchor="AUTO_2024_21" w:history="1">
        <w:r w:rsidRPr="00E55613">
          <w:rPr>
            <w:rStyle w:val="TextoNormalCaracter"/>
          </w:rPr>
          <w:t>21/2024</w:t>
        </w:r>
      </w:hyperlink>
      <w:r w:rsidRPr="00E55613">
        <w:rPr>
          <w:rStyle w:val="TextoNormalCaracter"/>
        </w:rPr>
        <w:t xml:space="preserve">, f. 1; </w:t>
      </w:r>
      <w:hyperlink w:anchor="AUTO_2024_22" w:history="1">
        <w:r w:rsidRPr="00E55613">
          <w:rPr>
            <w:rStyle w:val="TextoNormalCaracter"/>
          </w:rPr>
          <w:t>22/2024</w:t>
        </w:r>
      </w:hyperlink>
      <w:r w:rsidRPr="00E55613">
        <w:rPr>
          <w:rStyle w:val="TextoNormalCaracter"/>
        </w:rPr>
        <w:t>.</w:t>
      </w:r>
    </w:p>
    <w:p w14:paraId="3019D298" w14:textId="5BF50108" w:rsidR="00E55613" w:rsidRPr="00E55613" w:rsidRDefault="00E55613" w:rsidP="00E55613">
      <w:pPr>
        <w:pStyle w:val="TextoNormalSangraFrancesa"/>
        <w:rPr>
          <w:rStyle w:val="TextoNormalCaracter"/>
        </w:rPr>
      </w:pPr>
      <w:bookmarkStart w:id="953" w:name="DESCRIPTORALFABETICO55"/>
      <w:r w:rsidRPr="00E55613">
        <w:rPr>
          <w:rStyle w:val="TextoNormalNegritaCaracter"/>
        </w:rPr>
        <w:t>Garantía material del derecho a la legalidad sancionadora</w:t>
      </w:r>
      <w:bookmarkEnd w:id="953"/>
      <w:r w:rsidRPr="00E55613">
        <w:rPr>
          <w:rStyle w:val="TextoNormalCaracter"/>
        </w:rPr>
        <w:t xml:space="preserve">, Sentencia </w:t>
      </w:r>
      <w:hyperlink w:anchor="SENTENCIA_2024_49" w:history="1">
        <w:r w:rsidRPr="00E55613">
          <w:rPr>
            <w:rStyle w:val="TextoNormalCaracter"/>
          </w:rPr>
          <w:t>49/2024</w:t>
        </w:r>
      </w:hyperlink>
      <w:r w:rsidRPr="00E55613">
        <w:rPr>
          <w:rStyle w:val="TextoNormalCaracter"/>
        </w:rPr>
        <w:t>, f. 3.</w:t>
      </w:r>
    </w:p>
    <w:p w14:paraId="6FF61ED3" w14:textId="531A86E3" w:rsidR="00E55613" w:rsidRPr="00E55613" w:rsidRDefault="00E55613" w:rsidP="00E55613">
      <w:pPr>
        <w:pStyle w:val="TextoNormalSangraFrancesa"/>
        <w:rPr>
          <w:rStyle w:val="TextoNormalCaracter"/>
        </w:rPr>
      </w:pPr>
      <w:bookmarkStart w:id="954" w:name="DESCRIPTORALFABETICO500"/>
      <w:r w:rsidRPr="00E55613">
        <w:rPr>
          <w:rStyle w:val="TextoNormalNegritaCaracter"/>
        </w:rPr>
        <w:t>Garantías en el procedimiento de adopción</w:t>
      </w:r>
      <w:bookmarkEnd w:id="954"/>
      <w:r w:rsidRPr="00E55613">
        <w:rPr>
          <w:rStyle w:val="TextoNormalCaracter"/>
        </w:rPr>
        <w:t xml:space="preserve">, Sentencia </w:t>
      </w:r>
      <w:hyperlink w:anchor="SENTENCIA_2024_82" w:history="1">
        <w:r w:rsidRPr="00E55613">
          <w:rPr>
            <w:rStyle w:val="TextoNormalCaracter"/>
          </w:rPr>
          <w:t>82/2024</w:t>
        </w:r>
      </w:hyperlink>
      <w:r w:rsidRPr="00E55613">
        <w:rPr>
          <w:rStyle w:val="TextoNormalCaracter"/>
        </w:rPr>
        <w:t>, ff. 2 y 3.</w:t>
      </w:r>
    </w:p>
    <w:p w14:paraId="123F437F" w14:textId="7DE42EFE" w:rsidR="00E55613" w:rsidRPr="00E55613" w:rsidRDefault="00E55613" w:rsidP="00E55613">
      <w:pPr>
        <w:pStyle w:val="TextoNormalSangraFrancesa"/>
        <w:rPr>
          <w:rStyle w:val="TextoNormalCaracter"/>
        </w:rPr>
      </w:pPr>
      <w:bookmarkStart w:id="955" w:name="DESCRIPTORALFABETICO261"/>
      <w:r w:rsidRPr="00E55613">
        <w:rPr>
          <w:rStyle w:val="TextoNormalNegritaCaracter"/>
        </w:rPr>
        <w:t>Garantías formales del principio de legalidad penal</w:t>
      </w:r>
      <w:bookmarkEnd w:id="955"/>
      <w:r w:rsidRPr="00E55613">
        <w:rPr>
          <w:rStyle w:val="TextoNormalCaracter"/>
        </w:rPr>
        <w:t xml:space="preserve">, Sentencia </w:t>
      </w:r>
      <w:hyperlink w:anchor="SENTENCIA_2024_93" w:history="1">
        <w:r w:rsidRPr="00E55613">
          <w:rPr>
            <w:rStyle w:val="TextoNormalCaracter"/>
          </w:rPr>
          <w:t>93/2024</w:t>
        </w:r>
      </w:hyperlink>
      <w:r w:rsidRPr="00E55613">
        <w:rPr>
          <w:rStyle w:val="TextoNormalCaracter"/>
        </w:rPr>
        <w:t>, f. 3.</w:t>
      </w:r>
    </w:p>
    <w:p w14:paraId="7442F051" w14:textId="3AD794A6" w:rsidR="00E55613" w:rsidRPr="00E55613" w:rsidRDefault="00E55613" w:rsidP="00E55613">
      <w:pPr>
        <w:pStyle w:val="TextoNormalSangraFrancesa"/>
        <w:rPr>
          <w:rStyle w:val="TextoNormalCaracter"/>
        </w:rPr>
      </w:pPr>
      <w:bookmarkStart w:id="956" w:name="DESCRIPTORALFABETICO264"/>
      <w:r w:rsidRPr="00E55613">
        <w:rPr>
          <w:rStyle w:val="TextoNormalNegritaCaracter"/>
        </w:rPr>
        <w:t>Garantías material y formal del principio de legalidad sancionadora</w:t>
      </w:r>
      <w:bookmarkEnd w:id="956"/>
      <w:r w:rsidRPr="00E55613">
        <w:rPr>
          <w:rStyle w:val="TextoNormalCaracter"/>
        </w:rPr>
        <w:t xml:space="preserve">, Sentencia </w:t>
      </w:r>
      <w:hyperlink w:anchor="SENTENCIA_2024_89" w:history="1">
        <w:r w:rsidRPr="00E55613">
          <w:rPr>
            <w:rStyle w:val="TextoNormalCaracter"/>
          </w:rPr>
          <w:t>89/2024</w:t>
        </w:r>
      </w:hyperlink>
      <w:r w:rsidRPr="00E55613">
        <w:rPr>
          <w:rStyle w:val="TextoNormalCaracter"/>
        </w:rPr>
        <w:t>, f. 5, VP III.</w:t>
      </w:r>
    </w:p>
    <w:p w14:paraId="779829B4" w14:textId="3B4455FD" w:rsidR="00E55613" w:rsidRPr="00E55613" w:rsidRDefault="00E55613" w:rsidP="00E55613">
      <w:pPr>
        <w:pStyle w:val="TextoNormalSangraFrancesa"/>
        <w:rPr>
          <w:rStyle w:val="TextoNormalCaracter"/>
        </w:rPr>
      </w:pPr>
      <w:bookmarkStart w:id="957" w:name="DESCRIPTORALFABETICO262"/>
      <w:r w:rsidRPr="00E55613">
        <w:rPr>
          <w:rStyle w:val="TextoNormalNegritaCaracter"/>
        </w:rPr>
        <w:t>Garantías materiales del principio de legalidad penal</w:t>
      </w:r>
      <w:bookmarkEnd w:id="957"/>
      <w:r w:rsidRPr="00E55613">
        <w:rPr>
          <w:rStyle w:val="TextoNormalCaracter"/>
        </w:rPr>
        <w:t xml:space="preserve">, Sentencia </w:t>
      </w:r>
      <w:hyperlink w:anchor="SENTENCIA_2024_93" w:history="1">
        <w:r w:rsidRPr="00E55613">
          <w:rPr>
            <w:rStyle w:val="TextoNormalCaracter"/>
          </w:rPr>
          <w:t>93/2024</w:t>
        </w:r>
      </w:hyperlink>
      <w:r w:rsidRPr="00E55613">
        <w:rPr>
          <w:rStyle w:val="TextoNormalCaracter"/>
        </w:rPr>
        <w:t>, f. 3.</w:t>
      </w:r>
    </w:p>
    <w:p w14:paraId="269B66B1" w14:textId="069EC4EF" w:rsidR="00E55613" w:rsidRPr="00E55613" w:rsidRDefault="00E55613" w:rsidP="00E55613">
      <w:pPr>
        <w:pStyle w:val="TextoNormalSangraFrancesa"/>
        <w:rPr>
          <w:rStyle w:val="TextoNormalCaracter"/>
        </w:rPr>
      </w:pPr>
      <w:bookmarkStart w:id="958" w:name="DESCRIPTORALFABETICO34"/>
      <w:r w:rsidRPr="00E55613">
        <w:rPr>
          <w:rStyle w:val="TextoNormalNegritaCaracter"/>
        </w:rPr>
        <w:t>Gastos electorales</w:t>
      </w:r>
      <w:bookmarkEnd w:id="958"/>
      <w:r w:rsidRPr="00E55613">
        <w:rPr>
          <w:rStyle w:val="TextoNormalCaracter"/>
        </w:rPr>
        <w:t xml:space="preserve">, Sentencias </w:t>
      </w:r>
      <w:hyperlink w:anchor="SENTENCIA_2024_69" w:history="1">
        <w:r w:rsidRPr="00E55613">
          <w:rPr>
            <w:rStyle w:val="TextoNormalCaracter"/>
          </w:rPr>
          <w:t>69/2024</w:t>
        </w:r>
      </w:hyperlink>
      <w:r w:rsidRPr="00E55613">
        <w:rPr>
          <w:rStyle w:val="TextoNormalCaracter"/>
        </w:rPr>
        <w:t xml:space="preserve">, ff. 1 a 6; </w:t>
      </w:r>
      <w:hyperlink w:anchor="SENTENCIA_2024_74" w:history="1">
        <w:r w:rsidRPr="00E55613">
          <w:rPr>
            <w:rStyle w:val="TextoNormalCaracter"/>
          </w:rPr>
          <w:t>74/2024</w:t>
        </w:r>
      </w:hyperlink>
      <w:r w:rsidRPr="00E55613">
        <w:rPr>
          <w:rStyle w:val="TextoNormalCaracter"/>
        </w:rPr>
        <w:t>, ff. 1 y 2.</w:t>
      </w:r>
    </w:p>
    <w:p w14:paraId="47C216D9" w14:textId="147B2B5C" w:rsidR="00E55613" w:rsidRPr="00E55613" w:rsidRDefault="00E55613" w:rsidP="00E55613">
      <w:pPr>
        <w:pStyle w:val="TextoNormalSangraFrancesa"/>
        <w:rPr>
          <w:rStyle w:val="TextoNormalCaracter"/>
        </w:rPr>
      </w:pPr>
      <w:bookmarkStart w:id="959" w:name="DESCRIPTORALFABETICO413"/>
      <w:r w:rsidRPr="00E55613">
        <w:rPr>
          <w:rStyle w:val="TextoNormalNegritaCaracter"/>
        </w:rPr>
        <w:t>Gestación por sustitución</w:t>
      </w:r>
      <w:bookmarkEnd w:id="959"/>
      <w:r w:rsidRPr="00E55613">
        <w:rPr>
          <w:rStyle w:val="TextoNormalCaracter"/>
        </w:rPr>
        <w:t xml:space="preserve">, Sentencia </w:t>
      </w:r>
      <w:hyperlink w:anchor="SENTENCIA_2024_28" w:history="1">
        <w:r w:rsidRPr="00E55613">
          <w:rPr>
            <w:rStyle w:val="TextoNormalCaracter"/>
          </w:rPr>
          <w:t>28/2024</w:t>
        </w:r>
      </w:hyperlink>
      <w:r w:rsidRPr="00E55613">
        <w:rPr>
          <w:rStyle w:val="TextoNormalCaracter"/>
        </w:rPr>
        <w:t>, ff. 3 y 6, VP.</w:t>
      </w:r>
    </w:p>
    <w:p w14:paraId="5B29C3C4" w14:textId="61CE850B" w:rsidR="00E55613" w:rsidRPr="00E55613" w:rsidRDefault="00E55613" w:rsidP="00E55613">
      <w:pPr>
        <w:pStyle w:val="TextoNormalSangraFrancesa"/>
        <w:rPr>
          <w:rStyle w:val="TextoNormalCaracter"/>
        </w:rPr>
      </w:pPr>
      <w:bookmarkStart w:id="960" w:name="DESCRIPTORALFABETICO523"/>
      <w:r w:rsidRPr="00E55613">
        <w:rPr>
          <w:rStyle w:val="TextoNormalNegritaCaracter"/>
        </w:rPr>
        <w:t>Gipuzkoa</w:t>
      </w:r>
      <w:bookmarkEnd w:id="960"/>
      <w:r w:rsidRPr="00E55613">
        <w:rPr>
          <w:rStyle w:val="TextoNormalCaracter"/>
        </w:rPr>
        <w:t xml:space="preserve">, Sentencia </w:t>
      </w:r>
      <w:hyperlink w:anchor="SENTENCIA_2024_46" w:history="1">
        <w:r w:rsidRPr="00E55613">
          <w:rPr>
            <w:rStyle w:val="TextoNormalCaracter"/>
          </w:rPr>
          <w:t>46/2024</w:t>
        </w:r>
      </w:hyperlink>
      <w:r w:rsidRPr="00E55613">
        <w:rPr>
          <w:rStyle w:val="TextoNormalCaracter"/>
        </w:rPr>
        <w:t>, f. 1.</w:t>
      </w:r>
    </w:p>
    <w:p w14:paraId="722A4320" w14:textId="6A4455C3" w:rsidR="00E55613" w:rsidRPr="00E55613" w:rsidRDefault="00E55613" w:rsidP="00E55613">
      <w:pPr>
        <w:pStyle w:val="TextoNormalSangraFrancesa"/>
        <w:rPr>
          <w:rStyle w:val="TextoNormalCaracter"/>
        </w:rPr>
      </w:pPr>
      <w:bookmarkStart w:id="961" w:name="DESCRIPTORALFABETICO265"/>
      <w:r w:rsidRPr="00E55613">
        <w:rPr>
          <w:rStyle w:val="TextoNormalNegritaCaracter"/>
        </w:rPr>
        <w:lastRenderedPageBreak/>
        <w:t>Graduación de la sanción administrativa</w:t>
      </w:r>
      <w:bookmarkEnd w:id="961"/>
      <w:r w:rsidRPr="00E55613">
        <w:rPr>
          <w:rStyle w:val="TextoNormalCaracter"/>
        </w:rPr>
        <w:t xml:space="preserve">, Sentencia </w:t>
      </w:r>
      <w:hyperlink w:anchor="SENTENCIA_2024_69" w:history="1">
        <w:r w:rsidRPr="00E55613">
          <w:rPr>
            <w:rStyle w:val="TextoNormalCaracter"/>
          </w:rPr>
          <w:t>69/2024</w:t>
        </w:r>
      </w:hyperlink>
      <w:r w:rsidRPr="00E55613">
        <w:rPr>
          <w:rStyle w:val="TextoNormalCaracter"/>
        </w:rPr>
        <w:t>, f. 5.</w:t>
      </w:r>
    </w:p>
    <w:p w14:paraId="21E7BEA8" w14:textId="760DEE4D" w:rsidR="00E55613" w:rsidRPr="00E55613" w:rsidRDefault="00E55613" w:rsidP="00E55613">
      <w:pPr>
        <w:pStyle w:val="TextoNormalSangraFrancesa"/>
        <w:rPr>
          <w:rStyle w:val="TextoNormalCaracter"/>
        </w:rPr>
      </w:pPr>
      <w:bookmarkStart w:id="962" w:name="DESCRIPTORALFABETICO329"/>
      <w:r w:rsidRPr="00E55613">
        <w:rPr>
          <w:rStyle w:val="TextoNormalNegritaCaracter"/>
        </w:rPr>
        <w:t>Guardia civil</w:t>
      </w:r>
      <w:bookmarkEnd w:id="962"/>
      <w:r w:rsidRPr="00E55613">
        <w:rPr>
          <w:rStyle w:val="TextoNormalCaracter"/>
        </w:rPr>
        <w:t xml:space="preserve">, Sentencia </w:t>
      </w:r>
      <w:hyperlink w:anchor="SENTENCIA_2024_33" w:history="1">
        <w:r w:rsidRPr="00E55613">
          <w:rPr>
            <w:rStyle w:val="TextoNormalCaracter"/>
          </w:rPr>
          <w:t>33/2024</w:t>
        </w:r>
      </w:hyperlink>
      <w:r w:rsidRPr="00E55613">
        <w:rPr>
          <w:rStyle w:val="TextoNormalCaracter"/>
        </w:rPr>
        <w:t>, f. 1.</w:t>
      </w:r>
    </w:p>
    <w:p w14:paraId="08042F0C" w14:textId="298301C5" w:rsidR="00E55613" w:rsidRDefault="00E55613" w:rsidP="00E55613">
      <w:pPr>
        <w:pStyle w:val="TextoNormalSangraFrancesa"/>
      </w:pPr>
    </w:p>
    <w:p w14:paraId="24560221" w14:textId="77777777" w:rsidR="00E55613" w:rsidRDefault="00E55613" w:rsidP="00E55613">
      <w:pPr>
        <w:pStyle w:val="TextoNormalSangraFrancesa"/>
      </w:pPr>
    </w:p>
    <w:p w14:paraId="5FCD33E0" w14:textId="77777777" w:rsidR="00E55613" w:rsidRDefault="00E55613" w:rsidP="00E55613">
      <w:pPr>
        <w:pStyle w:val="TextoNormalNegritaCentrado"/>
      </w:pPr>
      <w:r>
        <w:t>I</w:t>
      </w:r>
    </w:p>
    <w:p w14:paraId="125E0821" w14:textId="3C6A946F" w:rsidR="00E55613" w:rsidRDefault="00E55613" w:rsidP="00E55613">
      <w:pPr>
        <w:pStyle w:val="TextoNormalNegritaCentrado"/>
      </w:pPr>
    </w:p>
    <w:p w14:paraId="3F875304" w14:textId="4F32E333" w:rsidR="00E55613" w:rsidRPr="00E55613" w:rsidRDefault="00E55613" w:rsidP="00E55613">
      <w:pPr>
        <w:pStyle w:val="TextoNormalSangraFrancesa"/>
        <w:rPr>
          <w:rStyle w:val="TextoNormalCaracter"/>
        </w:rPr>
      </w:pPr>
      <w:bookmarkStart w:id="963" w:name="DESCRIPTORALFABETICO403"/>
      <w:r w:rsidRPr="00E55613">
        <w:rPr>
          <w:rStyle w:val="TextoNormalNegritaCaracter"/>
        </w:rPr>
        <w:t>Identidad de personas</w:t>
      </w:r>
      <w:bookmarkEnd w:id="963"/>
      <w:r w:rsidRPr="00E55613">
        <w:rPr>
          <w:rStyle w:val="TextoNormalCaracter"/>
        </w:rPr>
        <w:t xml:space="preserve">, Sentencias </w:t>
      </w:r>
      <w:hyperlink w:anchor="SENTENCIA_2024_28" w:history="1">
        <w:r w:rsidRPr="00E55613">
          <w:rPr>
            <w:rStyle w:val="TextoNormalCaracter"/>
          </w:rPr>
          <w:t>28/2024</w:t>
        </w:r>
      </w:hyperlink>
      <w:r w:rsidRPr="00E55613">
        <w:rPr>
          <w:rStyle w:val="TextoNormalCaracter"/>
        </w:rPr>
        <w:t xml:space="preserve">, ff. 5 y 6, VP; </w:t>
      </w:r>
      <w:hyperlink w:anchor="SENTENCIA_2024_44" w:history="1">
        <w:r w:rsidRPr="00E55613">
          <w:rPr>
            <w:rStyle w:val="TextoNormalCaracter"/>
          </w:rPr>
          <w:t>44/2024</w:t>
        </w:r>
      </w:hyperlink>
      <w:r w:rsidRPr="00E55613">
        <w:rPr>
          <w:rStyle w:val="TextoNormalCaracter"/>
        </w:rPr>
        <w:t>, ff. 3 y 4.</w:t>
      </w:r>
    </w:p>
    <w:p w14:paraId="0B2E4822" w14:textId="77777777" w:rsidR="00E55613" w:rsidRPr="00E55613" w:rsidRDefault="00E55613" w:rsidP="00E55613">
      <w:pPr>
        <w:pStyle w:val="TextoNormalSangraFrancesa"/>
        <w:rPr>
          <w:rStyle w:val="TextoNormalCaracter"/>
        </w:rPr>
      </w:pPr>
      <w:bookmarkStart w:id="964" w:name="DESCRIPTORALFABETICO43"/>
      <w:r w:rsidRPr="00E55613">
        <w:rPr>
          <w:rStyle w:val="TextoNormalNegritaCaracter"/>
        </w:rPr>
        <w:t>Igualdad ante la ley</w:t>
      </w:r>
      <w:bookmarkEnd w:id="964"/>
      <w:r w:rsidRPr="00E55613">
        <w:rPr>
          <w:rStyle w:val="TextoNormalCaracter"/>
        </w:rPr>
        <w:t xml:space="preserve">, </w:t>
      </w:r>
    </w:p>
    <w:p w14:paraId="171D8B68" w14:textId="0408A4CC" w:rsidR="00E55613" w:rsidRPr="00E55613" w:rsidRDefault="00E55613" w:rsidP="00E55613">
      <w:pPr>
        <w:pStyle w:val="TextoNormalSangraFrancesa"/>
        <w:rPr>
          <w:rStyle w:val="TextoNormalCaracter"/>
        </w:rPr>
      </w:pPr>
      <w:r w:rsidRPr="00E55613">
        <w:rPr>
          <w:rStyle w:val="TextoNormalCursivaCaracter"/>
        </w:rPr>
        <w:t xml:space="preserve">    Doctrina constitucional, </w:t>
      </w:r>
      <w:r w:rsidRPr="00E55613">
        <w:rPr>
          <w:rStyle w:val="TextoNormalCaracter"/>
        </w:rPr>
        <w:t xml:space="preserve">Sentencia </w:t>
      </w:r>
      <w:hyperlink w:anchor="SENTENCIA_2024_66" w:history="1">
        <w:r w:rsidRPr="00E55613">
          <w:rPr>
            <w:rStyle w:val="TextoNormalCaracter"/>
          </w:rPr>
          <w:t>66/2024</w:t>
        </w:r>
      </w:hyperlink>
      <w:r w:rsidRPr="00E55613">
        <w:rPr>
          <w:rStyle w:val="TextoNormalCaracter"/>
        </w:rPr>
        <w:t>, f. 6.</w:t>
      </w:r>
    </w:p>
    <w:p w14:paraId="5202CB24" w14:textId="6B1FFBFF" w:rsidR="00E55613" w:rsidRPr="00E55613" w:rsidRDefault="00E55613" w:rsidP="00E55613">
      <w:pPr>
        <w:pStyle w:val="TextoNormalSangraFrancesa"/>
        <w:rPr>
          <w:rStyle w:val="TextoNormalCaracter"/>
        </w:rPr>
      </w:pPr>
      <w:r w:rsidRPr="00E55613">
        <w:rPr>
          <w:rStyle w:val="TextoNormalCursivaCaracter"/>
        </w:rPr>
        <w:t xml:space="preserve">    Respetada, </w:t>
      </w:r>
      <w:r w:rsidRPr="00E55613">
        <w:rPr>
          <w:rStyle w:val="TextoNormalCaracter"/>
        </w:rPr>
        <w:t xml:space="preserve">Sentencia </w:t>
      </w:r>
      <w:hyperlink w:anchor="SENTENCIA_2024_66" w:history="1">
        <w:r w:rsidRPr="00E55613">
          <w:rPr>
            <w:rStyle w:val="TextoNormalCaracter"/>
          </w:rPr>
          <w:t>66/2024</w:t>
        </w:r>
      </w:hyperlink>
      <w:r w:rsidRPr="00E55613">
        <w:rPr>
          <w:rStyle w:val="TextoNormalCaracter"/>
        </w:rPr>
        <w:t>, f. 6.</w:t>
      </w:r>
    </w:p>
    <w:p w14:paraId="38A70A6F" w14:textId="71CCAF41" w:rsidR="00E55613" w:rsidRPr="00E55613" w:rsidRDefault="00E55613" w:rsidP="00E55613">
      <w:pPr>
        <w:pStyle w:val="TextoNormalSangraFrancesa"/>
        <w:rPr>
          <w:rStyle w:val="TextoNormalCaracter"/>
        </w:rPr>
      </w:pPr>
      <w:bookmarkStart w:id="965" w:name="DESCRIPTORALFABETICO102"/>
      <w:r w:rsidRPr="00E55613">
        <w:rPr>
          <w:rStyle w:val="TextoNormalNegritaCaracter"/>
        </w:rPr>
        <w:t>Igualdad de armas en el proceso penal</w:t>
      </w:r>
      <w:bookmarkEnd w:id="965"/>
      <w:r w:rsidRPr="00E55613">
        <w:rPr>
          <w:rStyle w:val="TextoNormalCaracter"/>
        </w:rPr>
        <w:t xml:space="preserve">, Sentencia </w:t>
      </w:r>
      <w:hyperlink w:anchor="SENTENCIA_2024_66" w:history="1">
        <w:r w:rsidRPr="00E55613">
          <w:rPr>
            <w:rStyle w:val="TextoNormalCaracter"/>
          </w:rPr>
          <w:t>66/2024</w:t>
        </w:r>
      </w:hyperlink>
      <w:r w:rsidRPr="00E55613">
        <w:rPr>
          <w:rStyle w:val="TextoNormalCaracter"/>
        </w:rPr>
        <w:t>, f. 2.</w:t>
      </w:r>
    </w:p>
    <w:p w14:paraId="375176CF" w14:textId="29E49CA7" w:rsidR="00E55613" w:rsidRPr="00E55613" w:rsidRDefault="00E55613" w:rsidP="00E55613">
      <w:pPr>
        <w:pStyle w:val="TextoNormalSangraFrancesa"/>
        <w:rPr>
          <w:rStyle w:val="TextoNormalCaracter"/>
        </w:rPr>
      </w:pPr>
      <w:bookmarkStart w:id="966" w:name="DESCRIPTORALFABETICO95"/>
      <w:r w:rsidRPr="00E55613">
        <w:rPr>
          <w:rStyle w:val="TextoNormalNegritaCaracter"/>
        </w:rPr>
        <w:t>Igualdad de género</w:t>
      </w:r>
      <w:bookmarkEnd w:id="966"/>
      <w:r w:rsidRPr="00E55613">
        <w:rPr>
          <w:rStyle w:val="TextoNormalCaracter"/>
        </w:rPr>
        <w:t xml:space="preserve">, Sentencia </w:t>
      </w:r>
      <w:hyperlink w:anchor="SENTENCIA_2024_48" w:history="1">
        <w:r w:rsidRPr="00E55613">
          <w:rPr>
            <w:rStyle w:val="TextoNormalCaracter"/>
          </w:rPr>
          <w:t>48/2024</w:t>
        </w:r>
      </w:hyperlink>
      <w:r w:rsidRPr="00E55613">
        <w:rPr>
          <w:rStyle w:val="TextoNormalCaracter"/>
        </w:rPr>
        <w:t>, f. 1, VP I.</w:t>
      </w:r>
    </w:p>
    <w:p w14:paraId="70421054" w14:textId="33A0D9C7" w:rsidR="00E55613" w:rsidRPr="00E55613" w:rsidRDefault="00E55613" w:rsidP="00E55613">
      <w:pPr>
        <w:pStyle w:val="TextoNormalSangraFrancesa"/>
        <w:rPr>
          <w:rStyle w:val="TextoNormalCaracter"/>
        </w:rPr>
      </w:pPr>
      <w:bookmarkStart w:id="967" w:name="DESCRIPTORALFABETICO123"/>
      <w:r w:rsidRPr="00E55613">
        <w:rPr>
          <w:rStyle w:val="TextoNormalNegritaCaracter"/>
        </w:rPr>
        <w:t>Igualdad de trato de los sindicatos</w:t>
      </w:r>
      <w:bookmarkEnd w:id="967"/>
      <w:r w:rsidRPr="00E55613">
        <w:rPr>
          <w:rStyle w:val="TextoNormalCaracter"/>
        </w:rPr>
        <w:t xml:space="preserve">, Sentencia </w:t>
      </w:r>
      <w:hyperlink w:anchor="SENTENCIA_2024_63" w:history="1">
        <w:r w:rsidRPr="00E55613">
          <w:rPr>
            <w:rStyle w:val="TextoNormalCaracter"/>
          </w:rPr>
          <w:t>63/2024</w:t>
        </w:r>
      </w:hyperlink>
      <w:r w:rsidRPr="00E55613">
        <w:rPr>
          <w:rStyle w:val="TextoNormalCaracter"/>
        </w:rPr>
        <w:t>, ff. 1, 4, 5.</w:t>
      </w:r>
    </w:p>
    <w:p w14:paraId="7D0E0AED" w14:textId="77777777" w:rsidR="00E55613" w:rsidRPr="00E55613" w:rsidRDefault="00E55613" w:rsidP="00E55613">
      <w:pPr>
        <w:pStyle w:val="TextoNormalSangraFrancesa"/>
        <w:rPr>
          <w:rStyle w:val="TextoNormalCaracter"/>
        </w:rPr>
      </w:pPr>
      <w:bookmarkStart w:id="968" w:name="DESCRIPTORALFABETICO44"/>
      <w:r w:rsidRPr="00E55613">
        <w:rPr>
          <w:rStyle w:val="TextoNormalNegritaCaracter"/>
        </w:rPr>
        <w:t>Igualdad en la aplicación de la ley</w:t>
      </w:r>
      <w:bookmarkEnd w:id="968"/>
      <w:r w:rsidRPr="00E55613">
        <w:rPr>
          <w:rStyle w:val="TextoNormalCaracter"/>
        </w:rPr>
        <w:t xml:space="preserve">, </w:t>
      </w:r>
    </w:p>
    <w:p w14:paraId="13C5705C" w14:textId="6A0A8BF8" w:rsidR="00E55613" w:rsidRPr="00E55613" w:rsidRDefault="00E55613" w:rsidP="00E55613">
      <w:pPr>
        <w:pStyle w:val="TextoNormalSangraFrancesa"/>
        <w:rPr>
          <w:rStyle w:val="TextoNormalCaracter"/>
        </w:rPr>
      </w:pPr>
      <w:r w:rsidRPr="00E55613">
        <w:rPr>
          <w:rStyle w:val="TextoNormalCursivaCaracter"/>
        </w:rPr>
        <w:t xml:space="preserve">    Doctrina constitucional, </w:t>
      </w:r>
      <w:r w:rsidRPr="00E55613">
        <w:rPr>
          <w:rStyle w:val="TextoNormalCaracter"/>
        </w:rPr>
        <w:t xml:space="preserve">Sentencia </w:t>
      </w:r>
      <w:hyperlink w:anchor="SENTENCIA_2024_28" w:history="1">
        <w:r w:rsidRPr="00E55613">
          <w:rPr>
            <w:rStyle w:val="TextoNormalCaracter"/>
          </w:rPr>
          <w:t>28/2024</w:t>
        </w:r>
      </w:hyperlink>
      <w:r w:rsidRPr="00E55613">
        <w:rPr>
          <w:rStyle w:val="TextoNormalCaracter"/>
        </w:rPr>
        <w:t>, f. 3.</w:t>
      </w:r>
    </w:p>
    <w:p w14:paraId="12F411B3" w14:textId="3131162C" w:rsidR="00E55613" w:rsidRPr="00E55613" w:rsidRDefault="00E55613" w:rsidP="00E55613">
      <w:pPr>
        <w:pStyle w:val="TextoNormalSangraFrancesa"/>
        <w:rPr>
          <w:rStyle w:val="TextoNormalCaracter"/>
        </w:rPr>
      </w:pPr>
      <w:bookmarkStart w:id="969" w:name="DESCRIPTORALFABETICO216"/>
      <w:r w:rsidRPr="00E55613">
        <w:rPr>
          <w:rStyle w:val="TextoNormalNegritaCaracter"/>
        </w:rPr>
        <w:t>Imparcialidad judicial</w:t>
      </w:r>
      <w:bookmarkEnd w:id="969"/>
      <w:r w:rsidRPr="00E55613">
        <w:rPr>
          <w:rStyle w:val="TextoNormalCaracter"/>
        </w:rPr>
        <w:t xml:space="preserve">, Sentencia </w:t>
      </w:r>
      <w:hyperlink w:anchor="SENTENCIA_2024_8" w:history="1">
        <w:r w:rsidRPr="00E55613">
          <w:rPr>
            <w:rStyle w:val="TextoNormalCaracter"/>
          </w:rPr>
          <w:t>8/2024</w:t>
        </w:r>
      </w:hyperlink>
      <w:r w:rsidRPr="00E55613">
        <w:rPr>
          <w:rStyle w:val="TextoNormalCaracter"/>
        </w:rPr>
        <w:t>, f. 3.</w:t>
      </w:r>
    </w:p>
    <w:p w14:paraId="7E4C4273" w14:textId="4D139C75" w:rsidR="00E55613" w:rsidRPr="00E55613" w:rsidRDefault="00E55613" w:rsidP="00E55613">
      <w:pPr>
        <w:pStyle w:val="TextoNormalSangraFrancesa"/>
        <w:rPr>
          <w:rStyle w:val="TextoNormalCaracter"/>
        </w:rPr>
      </w:pPr>
      <w:bookmarkStart w:id="970" w:name="DESCRIPTORALFABETICO166"/>
      <w:r w:rsidRPr="00E55613">
        <w:rPr>
          <w:rStyle w:val="TextoNormalNegritaCaracter"/>
        </w:rPr>
        <w:t>Imprecisión de la demanda de amparo</w:t>
      </w:r>
      <w:bookmarkEnd w:id="970"/>
      <w:r w:rsidRPr="00E55613">
        <w:rPr>
          <w:rStyle w:val="TextoNormalCaracter"/>
        </w:rPr>
        <w:t xml:space="preserve">, Sentencia </w:t>
      </w:r>
      <w:hyperlink w:anchor="SENTENCIA_2024_90" w:history="1">
        <w:r w:rsidRPr="00E55613">
          <w:rPr>
            <w:rStyle w:val="TextoNormalCaracter"/>
          </w:rPr>
          <w:t>90/2024</w:t>
        </w:r>
      </w:hyperlink>
      <w:r w:rsidRPr="00E55613">
        <w:rPr>
          <w:rStyle w:val="TextoNormalCaracter"/>
        </w:rPr>
        <w:t>, f. 2.</w:t>
      </w:r>
    </w:p>
    <w:p w14:paraId="701C0645" w14:textId="7F6B07E0" w:rsidR="00E55613" w:rsidRPr="00E55613" w:rsidRDefault="00E55613" w:rsidP="00E55613">
      <w:pPr>
        <w:pStyle w:val="TextoNormalSangraFrancesa"/>
        <w:rPr>
          <w:rStyle w:val="TextoNormalCaracter"/>
        </w:rPr>
      </w:pPr>
      <w:bookmarkStart w:id="971" w:name="DESCRIPTORALFABETICO28"/>
      <w:r w:rsidRPr="00E55613">
        <w:rPr>
          <w:rStyle w:val="TextoNormalNegritaCaracter"/>
        </w:rPr>
        <w:t>Impuesto municipal sobre el incremento del valor de los terrenos</w:t>
      </w:r>
      <w:bookmarkEnd w:id="971"/>
      <w:r w:rsidRPr="00E55613">
        <w:rPr>
          <w:rStyle w:val="TextoNormalCaracter"/>
        </w:rPr>
        <w:t xml:space="preserve">, Sentencia </w:t>
      </w:r>
      <w:hyperlink w:anchor="SENTENCIA_2024_46" w:history="1">
        <w:r w:rsidRPr="00E55613">
          <w:rPr>
            <w:rStyle w:val="TextoNormalCaracter"/>
          </w:rPr>
          <w:t>46/2024</w:t>
        </w:r>
      </w:hyperlink>
      <w:r w:rsidRPr="00E55613">
        <w:rPr>
          <w:rStyle w:val="TextoNormalCaracter"/>
        </w:rPr>
        <w:t>, f. 1.</w:t>
      </w:r>
    </w:p>
    <w:p w14:paraId="2BE09459" w14:textId="5080084C" w:rsidR="00E55613" w:rsidRPr="00E55613" w:rsidRDefault="00E55613" w:rsidP="00E55613">
      <w:pPr>
        <w:pStyle w:val="TextoNormalSangraFrancesa"/>
        <w:rPr>
          <w:rStyle w:val="TextoNormalCaracter"/>
        </w:rPr>
      </w:pPr>
      <w:bookmarkStart w:id="972" w:name="DESCRIPTORALFABETICO29"/>
      <w:r w:rsidRPr="00E55613">
        <w:rPr>
          <w:rStyle w:val="TextoNormalNegritaCaracter"/>
        </w:rPr>
        <w:t>Impuesto sobre sociedades</w:t>
      </w:r>
      <w:bookmarkEnd w:id="972"/>
      <w:r w:rsidRPr="00E55613">
        <w:rPr>
          <w:rStyle w:val="TextoNormalCaracter"/>
        </w:rPr>
        <w:t xml:space="preserve">, Sentencia </w:t>
      </w:r>
      <w:hyperlink w:anchor="SENTENCIA_2024_11" w:history="1">
        <w:r w:rsidRPr="00E55613">
          <w:rPr>
            <w:rStyle w:val="TextoNormalCaracter"/>
          </w:rPr>
          <w:t>11/2024</w:t>
        </w:r>
      </w:hyperlink>
      <w:r w:rsidRPr="00E55613">
        <w:rPr>
          <w:rStyle w:val="TextoNormalCaracter"/>
        </w:rPr>
        <w:t>, ff. 2 a 4.</w:t>
      </w:r>
    </w:p>
    <w:p w14:paraId="61F8452C" w14:textId="1C5C3722" w:rsidR="00E55613" w:rsidRPr="00E55613" w:rsidRDefault="00E55613" w:rsidP="00E55613">
      <w:pPr>
        <w:pStyle w:val="TextoNormalSangraFrancesa"/>
        <w:rPr>
          <w:rStyle w:val="TextoNormalCaracter"/>
        </w:rPr>
      </w:pPr>
      <w:bookmarkStart w:id="973" w:name="DESCRIPTORALFABETICO208"/>
      <w:r w:rsidRPr="00E55613">
        <w:rPr>
          <w:rStyle w:val="TextoNormalNegritaCaracter"/>
        </w:rPr>
        <w:t>Impugnación de las resoluciones de los letrados de la Administración de justicia</w:t>
      </w:r>
      <w:bookmarkEnd w:id="973"/>
      <w:r w:rsidRPr="00E55613">
        <w:rPr>
          <w:rStyle w:val="TextoNormalCaracter"/>
        </w:rPr>
        <w:t xml:space="preserve">, Sentencias </w:t>
      </w:r>
      <w:hyperlink w:anchor="SENTENCIA_2024_23" w:history="1">
        <w:r w:rsidRPr="00E55613">
          <w:rPr>
            <w:rStyle w:val="TextoNormalCaracter"/>
          </w:rPr>
          <w:t>23/2024</w:t>
        </w:r>
      </w:hyperlink>
      <w:r w:rsidRPr="00E55613">
        <w:rPr>
          <w:rStyle w:val="TextoNormalCaracter"/>
        </w:rPr>
        <w:t xml:space="preserve">, f. 2; </w:t>
      </w:r>
      <w:hyperlink w:anchor="SENTENCIA_2024_47" w:history="1">
        <w:r w:rsidRPr="00E55613">
          <w:rPr>
            <w:rStyle w:val="TextoNormalCaracter"/>
          </w:rPr>
          <w:t>47/2024</w:t>
        </w:r>
      </w:hyperlink>
      <w:r w:rsidRPr="00E55613">
        <w:rPr>
          <w:rStyle w:val="TextoNormalCaracter"/>
        </w:rPr>
        <w:t>, f. 2.</w:t>
      </w:r>
    </w:p>
    <w:p w14:paraId="79721DA9" w14:textId="2965F2EC" w:rsidR="00E55613" w:rsidRPr="00E55613" w:rsidRDefault="00E55613" w:rsidP="00E55613">
      <w:pPr>
        <w:pStyle w:val="TextoNormalSangraFrancesa"/>
        <w:rPr>
          <w:rStyle w:val="TextoNormalCaracter"/>
        </w:rPr>
      </w:pPr>
      <w:bookmarkStart w:id="974" w:name="DESCRIPTORALFABETICO154"/>
      <w:r w:rsidRPr="00E55613">
        <w:rPr>
          <w:rStyle w:val="TextoNormalNegritaCaracter"/>
        </w:rPr>
        <w:t>Inadmisión de cuestión de inconstitucionalidad</w:t>
      </w:r>
      <w:bookmarkEnd w:id="974"/>
      <w:r w:rsidRPr="00E55613">
        <w:rPr>
          <w:rStyle w:val="TextoNormalCaracter"/>
        </w:rPr>
        <w:t xml:space="preserve">, Auto </w:t>
      </w:r>
      <w:hyperlink w:anchor="AUTO_2024_30" w:history="1">
        <w:r w:rsidRPr="00E55613">
          <w:rPr>
            <w:rStyle w:val="TextoNormalCaracter"/>
          </w:rPr>
          <w:t>30/2024</w:t>
        </w:r>
      </w:hyperlink>
      <w:r w:rsidRPr="00E55613">
        <w:rPr>
          <w:rStyle w:val="TextoNormalCaracter"/>
        </w:rPr>
        <w:t>, ff. 3 y 4.</w:t>
      </w:r>
    </w:p>
    <w:p w14:paraId="6459EF93" w14:textId="2B099AEA" w:rsidR="00E55613" w:rsidRPr="00E55613" w:rsidRDefault="00E55613" w:rsidP="00E55613">
      <w:pPr>
        <w:pStyle w:val="TextoNormalSangraFrancesa"/>
        <w:rPr>
          <w:rStyle w:val="TextoNormalCaracter"/>
        </w:rPr>
      </w:pPr>
      <w:bookmarkStart w:id="975" w:name="DESCRIPTORALFABETICO156"/>
      <w:r w:rsidRPr="00E55613">
        <w:rPr>
          <w:rStyle w:val="TextoNormalNegritaCaracter"/>
        </w:rPr>
        <w:t>Inadmisión de cuestión de inconstitucionalidad por falta de requisitos procesales</w:t>
      </w:r>
      <w:bookmarkEnd w:id="975"/>
      <w:r w:rsidRPr="00E55613">
        <w:rPr>
          <w:rStyle w:val="TextoNormalCaracter"/>
        </w:rPr>
        <w:t xml:space="preserve">, Sentencia </w:t>
      </w:r>
      <w:hyperlink w:anchor="SENTENCIA_2024_63" w:history="1">
        <w:r w:rsidRPr="00E55613">
          <w:rPr>
            <w:rStyle w:val="TextoNormalCaracter"/>
          </w:rPr>
          <w:t>63/2024</w:t>
        </w:r>
      </w:hyperlink>
      <w:r w:rsidRPr="00E55613">
        <w:rPr>
          <w:rStyle w:val="TextoNormalCaracter"/>
        </w:rPr>
        <w:t>, f. 2.</w:t>
      </w:r>
    </w:p>
    <w:p w14:paraId="417A09F4" w14:textId="506DA952" w:rsidR="00E55613" w:rsidRPr="00E55613" w:rsidRDefault="00E55613" w:rsidP="00E55613">
      <w:pPr>
        <w:pStyle w:val="TextoNormalSangraFrancesa"/>
        <w:rPr>
          <w:rStyle w:val="TextoNormalCaracter"/>
        </w:rPr>
      </w:pPr>
      <w:r w:rsidRPr="00E55613">
        <w:rPr>
          <w:rStyle w:val="TextoNormalCaracter"/>
        </w:rPr>
        <w:t xml:space="preserve">    Auto </w:t>
      </w:r>
      <w:hyperlink w:anchor="AUTO_2024_20" w:history="1">
        <w:r w:rsidRPr="00E55613">
          <w:rPr>
            <w:rStyle w:val="TextoNormalCaracter"/>
          </w:rPr>
          <w:t>20/2024</w:t>
        </w:r>
      </w:hyperlink>
      <w:r w:rsidRPr="00E55613">
        <w:rPr>
          <w:rStyle w:val="TextoNormalCaracter"/>
        </w:rPr>
        <w:t>, ff. 3 a 5.</w:t>
      </w:r>
    </w:p>
    <w:p w14:paraId="2F97D8FF" w14:textId="6788419B" w:rsidR="00E55613" w:rsidRPr="00E55613" w:rsidRDefault="00E55613" w:rsidP="00E55613">
      <w:pPr>
        <w:pStyle w:val="TextoNormalSangraFrancesa"/>
        <w:rPr>
          <w:rStyle w:val="TextoNormalCaracter"/>
        </w:rPr>
      </w:pPr>
      <w:bookmarkStart w:id="976" w:name="DESCRIPTORALFABETICO187"/>
      <w:r w:rsidRPr="00E55613">
        <w:rPr>
          <w:rStyle w:val="TextoNormalNegritaCaracter"/>
        </w:rPr>
        <w:t>Inadmisión de cuestión prejudicial de validez sobre Normas Forales fiscales</w:t>
      </w:r>
      <w:bookmarkEnd w:id="976"/>
      <w:r w:rsidRPr="00E55613">
        <w:rPr>
          <w:rStyle w:val="TextoNormalCaracter"/>
        </w:rPr>
        <w:t xml:space="preserve">, Auto </w:t>
      </w:r>
      <w:hyperlink w:anchor="AUTO_2024_58" w:history="1">
        <w:r w:rsidRPr="00E55613">
          <w:rPr>
            <w:rStyle w:val="TextoNormalCaracter"/>
          </w:rPr>
          <w:t>58/2024</w:t>
        </w:r>
      </w:hyperlink>
      <w:r w:rsidRPr="00E55613">
        <w:rPr>
          <w:rStyle w:val="TextoNormalCaracter"/>
        </w:rPr>
        <w:t>, f. 1.</w:t>
      </w:r>
    </w:p>
    <w:p w14:paraId="0F7AFBAE" w14:textId="257A134F" w:rsidR="00E55613" w:rsidRPr="00E55613" w:rsidRDefault="00E55613" w:rsidP="00E55613">
      <w:pPr>
        <w:pStyle w:val="TextoNormalSangraFrancesa"/>
        <w:rPr>
          <w:rStyle w:val="TextoNormalCaracter"/>
        </w:rPr>
      </w:pPr>
      <w:bookmarkStart w:id="977" w:name="DESCRIPTORALFABETICO188"/>
      <w:r w:rsidRPr="00E55613">
        <w:rPr>
          <w:rStyle w:val="TextoNormalNegritaCaracter"/>
        </w:rPr>
        <w:t>Inadmisión de incidente de ejecución de sentencias de amparo</w:t>
      </w:r>
      <w:bookmarkEnd w:id="977"/>
      <w:r w:rsidRPr="00E55613">
        <w:rPr>
          <w:rStyle w:val="TextoNormalCaracter"/>
        </w:rPr>
        <w:t xml:space="preserve">, Autos </w:t>
      </w:r>
      <w:hyperlink w:anchor="AUTO_2024_9" w:history="1">
        <w:r w:rsidRPr="00E55613">
          <w:rPr>
            <w:rStyle w:val="TextoNormalCaracter"/>
          </w:rPr>
          <w:t>9/2024</w:t>
        </w:r>
      </w:hyperlink>
      <w:r w:rsidRPr="00E55613">
        <w:rPr>
          <w:rStyle w:val="TextoNormalCaracter"/>
        </w:rPr>
        <w:t xml:space="preserve">, f. 2; </w:t>
      </w:r>
      <w:hyperlink w:anchor="AUTO_2024_26" w:history="1">
        <w:r w:rsidRPr="00E55613">
          <w:rPr>
            <w:rStyle w:val="TextoNormalCaracter"/>
          </w:rPr>
          <w:t>26/2024</w:t>
        </w:r>
      </w:hyperlink>
      <w:r w:rsidRPr="00E55613">
        <w:rPr>
          <w:rStyle w:val="TextoNormalCaracter"/>
        </w:rPr>
        <w:t>, f. 2.</w:t>
      </w:r>
    </w:p>
    <w:p w14:paraId="41181128" w14:textId="6287697C" w:rsidR="00E55613" w:rsidRPr="00E55613" w:rsidRDefault="00E55613" w:rsidP="00E55613">
      <w:pPr>
        <w:pStyle w:val="TextoNormalSangraFrancesa"/>
        <w:rPr>
          <w:rStyle w:val="TextoNormalCaracter"/>
        </w:rPr>
      </w:pPr>
      <w:bookmarkStart w:id="978" w:name="DESCRIPTORALFABETICO184"/>
      <w:r w:rsidRPr="00E55613">
        <w:rPr>
          <w:rStyle w:val="TextoNormalNegritaCaracter"/>
        </w:rPr>
        <w:t>Inadmisión de recurso de amparo</w:t>
      </w:r>
      <w:bookmarkEnd w:id="978"/>
      <w:r w:rsidRPr="00E55613">
        <w:rPr>
          <w:rStyle w:val="TextoNormalCaracter"/>
        </w:rPr>
        <w:t xml:space="preserve">, Autos </w:t>
      </w:r>
      <w:hyperlink w:anchor="AUTO_2024_8" w:history="1">
        <w:r w:rsidRPr="00E55613">
          <w:rPr>
            <w:rStyle w:val="TextoNormalCaracter"/>
          </w:rPr>
          <w:t>8/2024</w:t>
        </w:r>
      </w:hyperlink>
      <w:r w:rsidRPr="00E55613">
        <w:rPr>
          <w:rStyle w:val="TextoNormalCaracter"/>
        </w:rPr>
        <w:t xml:space="preserve">, f. 2; </w:t>
      </w:r>
      <w:hyperlink w:anchor="AUTO_2024_47" w:history="1">
        <w:r w:rsidRPr="00E55613">
          <w:rPr>
            <w:rStyle w:val="TextoNormalCaracter"/>
          </w:rPr>
          <w:t>47/2024</w:t>
        </w:r>
      </w:hyperlink>
      <w:r w:rsidRPr="00E55613">
        <w:rPr>
          <w:rStyle w:val="TextoNormalCaracter"/>
        </w:rPr>
        <w:t xml:space="preserve">, f. 3; </w:t>
      </w:r>
      <w:hyperlink w:anchor="AUTO_2024_52" w:history="1">
        <w:r w:rsidRPr="00E55613">
          <w:rPr>
            <w:rStyle w:val="TextoNormalCaracter"/>
          </w:rPr>
          <w:t>52/2024</w:t>
        </w:r>
      </w:hyperlink>
      <w:r w:rsidRPr="00E55613">
        <w:rPr>
          <w:rStyle w:val="TextoNormalCaracter"/>
        </w:rPr>
        <w:t>, f. 2.</w:t>
      </w:r>
    </w:p>
    <w:p w14:paraId="35F68071" w14:textId="753264BD" w:rsidR="00E55613" w:rsidRPr="00E55613" w:rsidRDefault="00E55613" w:rsidP="00E55613">
      <w:pPr>
        <w:pStyle w:val="TextoNormalSangraFrancesa"/>
        <w:rPr>
          <w:rStyle w:val="TextoNormalCaracter"/>
        </w:rPr>
      </w:pPr>
      <w:bookmarkStart w:id="979" w:name="DESCRIPTORALFABETICO186"/>
      <w:r w:rsidRPr="00E55613">
        <w:rPr>
          <w:rStyle w:val="TextoNormalNegritaCaracter"/>
        </w:rPr>
        <w:t>Inadmisión de recurso de amparo por Auto</w:t>
      </w:r>
      <w:bookmarkEnd w:id="979"/>
      <w:r w:rsidRPr="00E55613">
        <w:rPr>
          <w:rStyle w:val="TextoNormalCaracter"/>
        </w:rPr>
        <w:t xml:space="preserve">, Autos </w:t>
      </w:r>
      <w:hyperlink w:anchor="AUTO_2024_24" w:history="1">
        <w:r w:rsidRPr="00E55613">
          <w:rPr>
            <w:rStyle w:val="TextoNormalCaracter"/>
          </w:rPr>
          <w:t>24/2024</w:t>
        </w:r>
      </w:hyperlink>
      <w:r w:rsidRPr="00E55613">
        <w:rPr>
          <w:rStyle w:val="TextoNormalCaracter"/>
        </w:rPr>
        <w:t xml:space="preserve">, f. 2; </w:t>
      </w:r>
      <w:hyperlink w:anchor="AUTO_2024_57" w:history="1">
        <w:r w:rsidRPr="00E55613">
          <w:rPr>
            <w:rStyle w:val="TextoNormalCaracter"/>
          </w:rPr>
          <w:t>57/2024</w:t>
        </w:r>
      </w:hyperlink>
      <w:r w:rsidRPr="00E55613">
        <w:rPr>
          <w:rStyle w:val="TextoNormalCaracter"/>
        </w:rPr>
        <w:t>, f. 1.</w:t>
      </w:r>
    </w:p>
    <w:p w14:paraId="11277B6C" w14:textId="000490CF" w:rsidR="00E55613" w:rsidRPr="00E55613" w:rsidRDefault="00E55613" w:rsidP="00E55613">
      <w:pPr>
        <w:pStyle w:val="TextoNormalSangraFrancesa"/>
        <w:rPr>
          <w:rStyle w:val="TextoNormalCaracter"/>
        </w:rPr>
      </w:pPr>
      <w:bookmarkStart w:id="980" w:name="DESCRIPTORALFABETICO494"/>
      <w:r w:rsidRPr="00E55613">
        <w:rPr>
          <w:rStyle w:val="TextoNormalNegritaCaracter"/>
        </w:rPr>
        <w:t>Inadmisión de recurso de súplica</w:t>
      </w:r>
      <w:bookmarkEnd w:id="980"/>
      <w:r w:rsidRPr="00E55613">
        <w:rPr>
          <w:rStyle w:val="TextoNormalCaracter"/>
        </w:rPr>
        <w:t xml:space="preserve">, Sentencia </w:t>
      </w:r>
      <w:hyperlink w:anchor="SENTENCIA_2024_3" w:history="1">
        <w:r w:rsidRPr="00E55613">
          <w:rPr>
            <w:rStyle w:val="TextoNormalCaracter"/>
          </w:rPr>
          <w:t>3/2024</w:t>
        </w:r>
      </w:hyperlink>
      <w:r w:rsidRPr="00E55613">
        <w:rPr>
          <w:rStyle w:val="TextoNormalCaracter"/>
        </w:rPr>
        <w:t>, ff. 3 y 4.</w:t>
      </w:r>
    </w:p>
    <w:p w14:paraId="68E954C3" w14:textId="6F946209" w:rsidR="00E55613" w:rsidRPr="00E55613" w:rsidRDefault="00E55613" w:rsidP="00E55613">
      <w:pPr>
        <w:pStyle w:val="TextoNormalSangraFrancesa"/>
        <w:rPr>
          <w:rStyle w:val="TextoNormalCaracter"/>
        </w:rPr>
      </w:pPr>
      <w:bookmarkStart w:id="981" w:name="DESCRIPTORALFABETICO143"/>
      <w:r w:rsidRPr="00E55613">
        <w:rPr>
          <w:rStyle w:val="TextoNormalNegritaCaracter"/>
        </w:rPr>
        <w:t>Inadmisión del incidente de recusación de magistrados del Tribunal Constitucional</w:t>
      </w:r>
      <w:bookmarkEnd w:id="981"/>
      <w:r w:rsidRPr="00E55613">
        <w:rPr>
          <w:rStyle w:val="TextoNormalCaracter"/>
        </w:rPr>
        <w:t xml:space="preserve">, Autos </w:t>
      </w:r>
      <w:hyperlink w:anchor="AUTO_2024_5" w:history="1">
        <w:r w:rsidRPr="00E55613">
          <w:rPr>
            <w:rStyle w:val="TextoNormalCaracter"/>
          </w:rPr>
          <w:t>5/2024</w:t>
        </w:r>
      </w:hyperlink>
      <w:r w:rsidRPr="00E55613">
        <w:rPr>
          <w:rStyle w:val="TextoNormalCaracter"/>
        </w:rPr>
        <w:t xml:space="preserve">, f. 2; </w:t>
      </w:r>
      <w:hyperlink w:anchor="AUTO_2024_31" w:history="1">
        <w:r w:rsidRPr="00E55613">
          <w:rPr>
            <w:rStyle w:val="TextoNormalCaracter"/>
          </w:rPr>
          <w:t>31/2024</w:t>
        </w:r>
      </w:hyperlink>
      <w:r w:rsidRPr="00E55613">
        <w:rPr>
          <w:rStyle w:val="TextoNormalCaracter"/>
        </w:rPr>
        <w:t xml:space="preserve">, f. 3; </w:t>
      </w:r>
      <w:hyperlink w:anchor="AUTO_2024_32" w:history="1">
        <w:r w:rsidRPr="00E55613">
          <w:rPr>
            <w:rStyle w:val="TextoNormalCaracter"/>
          </w:rPr>
          <w:t>32/2024</w:t>
        </w:r>
      </w:hyperlink>
      <w:r w:rsidRPr="00E55613">
        <w:rPr>
          <w:rStyle w:val="TextoNormalCaracter"/>
        </w:rPr>
        <w:t xml:space="preserve">, ff. 2 y 3; </w:t>
      </w:r>
      <w:hyperlink w:anchor="AUTO_2024_33" w:history="1">
        <w:r w:rsidRPr="00E55613">
          <w:rPr>
            <w:rStyle w:val="TextoNormalCaracter"/>
          </w:rPr>
          <w:t>33/2024</w:t>
        </w:r>
      </w:hyperlink>
      <w:r w:rsidRPr="00E55613">
        <w:rPr>
          <w:rStyle w:val="TextoNormalCaracter"/>
        </w:rPr>
        <w:t xml:space="preserve">, ff. 2 y 3; </w:t>
      </w:r>
      <w:hyperlink w:anchor="AUTO_2024_42" w:history="1">
        <w:r w:rsidRPr="00E55613">
          <w:rPr>
            <w:rStyle w:val="TextoNormalCaracter"/>
          </w:rPr>
          <w:t>42/2024</w:t>
        </w:r>
      </w:hyperlink>
      <w:r w:rsidRPr="00E55613">
        <w:rPr>
          <w:rStyle w:val="TextoNormalCaracter"/>
        </w:rPr>
        <w:t xml:space="preserve">, f. Unico; </w:t>
      </w:r>
      <w:hyperlink w:anchor="AUTO_2024_60" w:history="1">
        <w:r w:rsidRPr="00E55613">
          <w:rPr>
            <w:rStyle w:val="TextoNormalCaracter"/>
          </w:rPr>
          <w:t>60/2024</w:t>
        </w:r>
      </w:hyperlink>
      <w:r w:rsidRPr="00E55613">
        <w:rPr>
          <w:rStyle w:val="TextoNormalCaracter"/>
        </w:rPr>
        <w:t>, f. único.</w:t>
      </w:r>
    </w:p>
    <w:p w14:paraId="4F7478D1" w14:textId="218A9CAD" w:rsidR="00E55613" w:rsidRPr="00E55613" w:rsidRDefault="00E55613" w:rsidP="00E55613">
      <w:pPr>
        <w:pStyle w:val="TextoNormalSangraFrancesa"/>
        <w:rPr>
          <w:rStyle w:val="TextoNormalCaracter"/>
        </w:rPr>
      </w:pPr>
      <w:bookmarkStart w:id="982" w:name="DESCRIPTORALFABETICO57"/>
      <w:r w:rsidRPr="00E55613">
        <w:rPr>
          <w:rStyle w:val="TextoNormalNegritaCaracter"/>
        </w:rPr>
        <w:t>Inadmisión o denegación de habeas corpus por razones de fondo</w:t>
      </w:r>
      <w:bookmarkEnd w:id="982"/>
      <w:r w:rsidRPr="00E55613">
        <w:rPr>
          <w:rStyle w:val="TextoNormalCaracter"/>
        </w:rPr>
        <w:t xml:space="preserve">, Sentencia </w:t>
      </w:r>
      <w:hyperlink w:anchor="SENTENCIA_2024_85" w:history="1">
        <w:r w:rsidRPr="00E55613">
          <w:rPr>
            <w:rStyle w:val="TextoNormalCaracter"/>
          </w:rPr>
          <w:t>85/2024</w:t>
        </w:r>
      </w:hyperlink>
      <w:r w:rsidRPr="00E55613">
        <w:rPr>
          <w:rStyle w:val="TextoNormalCaracter"/>
        </w:rPr>
        <w:t>, ff. 1 a 4.</w:t>
      </w:r>
    </w:p>
    <w:p w14:paraId="4DD1C17D" w14:textId="3EFEBF25" w:rsidR="00E55613" w:rsidRPr="00E55613" w:rsidRDefault="00E55613" w:rsidP="00E55613">
      <w:pPr>
        <w:pStyle w:val="TextoNormalSangraFrancesa"/>
        <w:rPr>
          <w:rStyle w:val="TextoNormalCaracter"/>
        </w:rPr>
      </w:pPr>
      <w:bookmarkStart w:id="983" w:name="DESCRIPTORALFABETICO353"/>
      <w:r w:rsidRPr="00E55613">
        <w:rPr>
          <w:rStyle w:val="TextoNormalNegritaCaracter"/>
        </w:rPr>
        <w:t>Inaplicación del Derecho de la Unión Europea a situaciones internas</w:t>
      </w:r>
      <w:bookmarkEnd w:id="983"/>
      <w:r w:rsidRPr="00E55613">
        <w:rPr>
          <w:rStyle w:val="TextoNormalCaracter"/>
        </w:rPr>
        <w:t xml:space="preserve">, Sentencia </w:t>
      </w:r>
      <w:hyperlink w:anchor="SENTENCIA_2024_15" w:history="1">
        <w:r w:rsidRPr="00E55613">
          <w:rPr>
            <w:rStyle w:val="TextoNormalCaracter"/>
          </w:rPr>
          <w:t>15/2024</w:t>
        </w:r>
      </w:hyperlink>
      <w:r w:rsidRPr="00E55613">
        <w:rPr>
          <w:rStyle w:val="TextoNormalCaracter"/>
        </w:rPr>
        <w:t>, f. 3.</w:t>
      </w:r>
    </w:p>
    <w:p w14:paraId="788538AE" w14:textId="517DD9D5" w:rsidR="00E55613" w:rsidRPr="00E55613" w:rsidRDefault="00E55613" w:rsidP="00E55613">
      <w:pPr>
        <w:pStyle w:val="TextoNormalSangraFrancesa"/>
        <w:rPr>
          <w:rStyle w:val="TextoNormalCaracter"/>
        </w:rPr>
      </w:pPr>
      <w:bookmarkStart w:id="984" w:name="DESCRIPTORALFABETICO70"/>
      <w:r w:rsidRPr="00E55613">
        <w:rPr>
          <w:rStyle w:val="TextoNormalNegritaCaracter"/>
        </w:rPr>
        <w:t>Incongruencia de las sentencias</w:t>
      </w:r>
      <w:bookmarkEnd w:id="984"/>
      <w:r w:rsidRPr="00E55613">
        <w:rPr>
          <w:rStyle w:val="TextoNormalCaracter"/>
        </w:rPr>
        <w:t xml:space="preserve">, Sentencia </w:t>
      </w:r>
      <w:hyperlink w:anchor="SENTENCIA_2024_70" w:history="1">
        <w:r w:rsidRPr="00E55613">
          <w:rPr>
            <w:rStyle w:val="TextoNormalCaracter"/>
          </w:rPr>
          <w:t>70/2024</w:t>
        </w:r>
      </w:hyperlink>
      <w:r w:rsidRPr="00E55613">
        <w:rPr>
          <w:rStyle w:val="TextoNormalCaracter"/>
        </w:rPr>
        <w:t>, f. 4.</w:t>
      </w:r>
    </w:p>
    <w:p w14:paraId="43DECF76" w14:textId="2CA9E459" w:rsidR="00E55613" w:rsidRPr="00E55613" w:rsidRDefault="00E55613" w:rsidP="00E55613">
      <w:pPr>
        <w:pStyle w:val="TextoNormalSangraFrancesa"/>
        <w:rPr>
          <w:rStyle w:val="TextoNormalCaracter"/>
        </w:rPr>
      </w:pPr>
      <w:bookmarkStart w:id="985" w:name="DESCRIPTORALFABETICO71"/>
      <w:r w:rsidRPr="00E55613">
        <w:rPr>
          <w:rStyle w:val="TextoNormalNegritaCaracter"/>
        </w:rPr>
        <w:t xml:space="preserve">Incongruencia </w:t>
      </w:r>
      <w:r w:rsidRPr="00E55613">
        <w:rPr>
          <w:rStyle w:val="TextoNormalNegritaCaracter"/>
          <w:i/>
        </w:rPr>
        <w:t>extra petita</w:t>
      </w:r>
      <w:bookmarkEnd w:id="985"/>
      <w:r w:rsidRPr="00E55613">
        <w:rPr>
          <w:rStyle w:val="TextoNormalCaracter"/>
        </w:rPr>
        <w:t xml:space="preserve">, Sentencias </w:t>
      </w:r>
      <w:hyperlink w:anchor="SENTENCIA_2024_8" w:history="1">
        <w:r w:rsidRPr="00E55613">
          <w:rPr>
            <w:rStyle w:val="TextoNormalCaracter"/>
          </w:rPr>
          <w:t>8/2024</w:t>
        </w:r>
      </w:hyperlink>
      <w:r w:rsidRPr="00E55613">
        <w:rPr>
          <w:rStyle w:val="TextoNormalCaracter"/>
        </w:rPr>
        <w:t xml:space="preserve">, VP I; </w:t>
      </w:r>
      <w:hyperlink w:anchor="SENTENCIA_2024_18" w:history="1">
        <w:r w:rsidRPr="00E55613">
          <w:rPr>
            <w:rStyle w:val="TextoNormalCaracter"/>
          </w:rPr>
          <w:t>18/2024</w:t>
        </w:r>
      </w:hyperlink>
      <w:r w:rsidRPr="00E55613">
        <w:rPr>
          <w:rStyle w:val="TextoNormalCaracter"/>
        </w:rPr>
        <w:t>, VP.</w:t>
      </w:r>
    </w:p>
    <w:p w14:paraId="40354C1E" w14:textId="02FAC659" w:rsidR="00E55613" w:rsidRPr="00E55613" w:rsidRDefault="00E55613" w:rsidP="00E55613">
      <w:pPr>
        <w:pStyle w:val="TextoNormalSangraFrancesa"/>
        <w:rPr>
          <w:rStyle w:val="TextoNormalCaracter"/>
        </w:rPr>
      </w:pPr>
      <w:bookmarkStart w:id="986" w:name="DESCRIPTORALFABETICO72"/>
      <w:r w:rsidRPr="00E55613">
        <w:rPr>
          <w:rStyle w:val="TextoNormalNegritaCaracter"/>
        </w:rPr>
        <w:t>Incongruencia omisiva</w:t>
      </w:r>
      <w:bookmarkEnd w:id="986"/>
      <w:r w:rsidRPr="00E55613">
        <w:rPr>
          <w:rStyle w:val="TextoNormalCaracter"/>
        </w:rPr>
        <w:t xml:space="preserve">, Sentencia </w:t>
      </w:r>
      <w:hyperlink w:anchor="SENTENCIA_2024_40" w:history="1">
        <w:r w:rsidRPr="00E55613">
          <w:rPr>
            <w:rStyle w:val="TextoNormalCaracter"/>
          </w:rPr>
          <w:t>40/2024</w:t>
        </w:r>
      </w:hyperlink>
      <w:r w:rsidRPr="00E55613">
        <w:rPr>
          <w:rStyle w:val="TextoNormalCaracter"/>
        </w:rPr>
        <w:t>, f. 4.</w:t>
      </w:r>
    </w:p>
    <w:p w14:paraId="7DAA0A03" w14:textId="714E9889" w:rsidR="00E55613" w:rsidRPr="00E55613" w:rsidRDefault="00E55613" w:rsidP="00E55613">
      <w:pPr>
        <w:pStyle w:val="TextoNormalSangraFrancesa"/>
        <w:rPr>
          <w:rStyle w:val="TextoNormalCaracter"/>
        </w:rPr>
      </w:pPr>
      <w:bookmarkStart w:id="987" w:name="DESCRIPTORALFABETICO483"/>
      <w:r w:rsidRPr="00E55613">
        <w:rPr>
          <w:rStyle w:val="TextoNormalNegritaCaracter"/>
        </w:rPr>
        <w:t>Indefensión con relevancia constitucional</w:t>
      </w:r>
      <w:bookmarkEnd w:id="987"/>
      <w:r w:rsidRPr="00E55613">
        <w:rPr>
          <w:rStyle w:val="TextoNormalCaracter"/>
        </w:rPr>
        <w:t xml:space="preserve">, Sentencia </w:t>
      </w:r>
      <w:hyperlink w:anchor="SENTENCIA_2024_28" w:history="1">
        <w:r w:rsidRPr="00E55613">
          <w:rPr>
            <w:rStyle w:val="TextoNormalCaracter"/>
          </w:rPr>
          <w:t>28/2024</w:t>
        </w:r>
      </w:hyperlink>
      <w:r w:rsidRPr="00E55613">
        <w:rPr>
          <w:rStyle w:val="TextoNormalCaracter"/>
        </w:rPr>
        <w:t>, f. 3.</w:t>
      </w:r>
    </w:p>
    <w:p w14:paraId="31F7A452" w14:textId="680C5001" w:rsidR="00E55613" w:rsidRPr="00E55613" w:rsidRDefault="00E55613" w:rsidP="00E55613">
      <w:pPr>
        <w:pStyle w:val="TextoNormalSangraFrancesa"/>
        <w:rPr>
          <w:rStyle w:val="TextoNormalCaracter"/>
        </w:rPr>
      </w:pPr>
      <w:bookmarkStart w:id="988" w:name="DESCRIPTORALFABETICO285"/>
      <w:r w:rsidRPr="00E55613">
        <w:rPr>
          <w:rStyle w:val="TextoNormalNegritaCaracter"/>
        </w:rPr>
        <w:t>Indemnización por error judicial</w:t>
      </w:r>
      <w:bookmarkEnd w:id="988"/>
      <w:r w:rsidRPr="00E55613">
        <w:rPr>
          <w:rStyle w:val="TextoNormalCaracter"/>
        </w:rPr>
        <w:t xml:space="preserve">, Sentencia </w:t>
      </w:r>
      <w:hyperlink w:anchor="SENTENCIA_2024_61" w:history="1">
        <w:r w:rsidRPr="00E55613">
          <w:rPr>
            <w:rStyle w:val="TextoNormalCaracter"/>
          </w:rPr>
          <w:t>61/2024</w:t>
        </w:r>
      </w:hyperlink>
      <w:r w:rsidRPr="00E55613">
        <w:rPr>
          <w:rStyle w:val="TextoNormalCaracter"/>
        </w:rPr>
        <w:t>, f. 4, VP.</w:t>
      </w:r>
    </w:p>
    <w:p w14:paraId="63AEA70B" w14:textId="77777777" w:rsidR="00E55613" w:rsidRPr="00E55613" w:rsidRDefault="00E55613" w:rsidP="00E55613">
      <w:pPr>
        <w:pStyle w:val="TextoNormalSangraFrancesa"/>
        <w:rPr>
          <w:rStyle w:val="TextoNormalCaracter"/>
        </w:rPr>
      </w:pPr>
      <w:bookmarkStart w:id="989" w:name="DESCRIPTORALFABETICO217"/>
      <w:r w:rsidRPr="00E55613">
        <w:rPr>
          <w:rStyle w:val="TextoNormalNegritaCaracter"/>
        </w:rPr>
        <w:t>Independencia judicial</w:t>
      </w:r>
      <w:bookmarkEnd w:id="989"/>
      <w:r w:rsidRPr="00E55613">
        <w:rPr>
          <w:rStyle w:val="TextoNormalCaracter"/>
        </w:rPr>
        <w:t xml:space="preserve">, </w:t>
      </w:r>
    </w:p>
    <w:p w14:paraId="13058588" w14:textId="4F7A93A9" w:rsidR="00E55613" w:rsidRPr="00E55613" w:rsidRDefault="00E55613" w:rsidP="00E55613">
      <w:pPr>
        <w:pStyle w:val="TextoNormalSangraFrancesa"/>
        <w:rPr>
          <w:rStyle w:val="TextoNormalCaracter"/>
        </w:rPr>
      </w:pPr>
      <w:r w:rsidRPr="00E55613">
        <w:rPr>
          <w:rStyle w:val="TextoNormalCursivaCaracter"/>
        </w:rPr>
        <w:t xml:space="preserve">    Concepto, </w:t>
      </w:r>
      <w:r w:rsidRPr="00E55613">
        <w:rPr>
          <w:rStyle w:val="TextoNormalCaracter"/>
        </w:rPr>
        <w:t xml:space="preserve">Sentencia </w:t>
      </w:r>
      <w:hyperlink w:anchor="SENTENCIA_2024_15" w:history="1">
        <w:r w:rsidRPr="00E55613">
          <w:rPr>
            <w:rStyle w:val="TextoNormalCaracter"/>
          </w:rPr>
          <w:t>15/2024</w:t>
        </w:r>
      </w:hyperlink>
      <w:r w:rsidRPr="00E55613">
        <w:rPr>
          <w:rStyle w:val="TextoNormalCaracter"/>
        </w:rPr>
        <w:t>, ff. 1 a 5,  VP II.</w:t>
      </w:r>
    </w:p>
    <w:p w14:paraId="5131BF34" w14:textId="2337096C" w:rsidR="00E55613" w:rsidRPr="00E55613" w:rsidRDefault="00E55613" w:rsidP="00E55613">
      <w:pPr>
        <w:pStyle w:val="TextoNormalSangraFrancesa"/>
        <w:rPr>
          <w:rStyle w:val="TextoNormalCaracter"/>
        </w:rPr>
      </w:pPr>
      <w:bookmarkStart w:id="990" w:name="DESCRIPTORALFABETICO486"/>
      <w:r w:rsidRPr="00E55613">
        <w:rPr>
          <w:rStyle w:val="TextoNormalNegritaCaracter"/>
        </w:rPr>
        <w:t>Indicación de plazos errónea</w:t>
      </w:r>
      <w:bookmarkEnd w:id="990"/>
      <w:r w:rsidRPr="00E55613">
        <w:rPr>
          <w:rStyle w:val="TextoNormalCaracter"/>
        </w:rPr>
        <w:t xml:space="preserve">, Sentencia </w:t>
      </w:r>
      <w:hyperlink w:anchor="SENTENCIA_2024_3" w:history="1">
        <w:r w:rsidRPr="00E55613">
          <w:rPr>
            <w:rStyle w:val="TextoNormalCaracter"/>
          </w:rPr>
          <w:t>3/2024</w:t>
        </w:r>
      </w:hyperlink>
      <w:r w:rsidRPr="00E55613">
        <w:rPr>
          <w:rStyle w:val="TextoNormalCaracter"/>
        </w:rPr>
        <w:t>, ff. 3 y 4.</w:t>
      </w:r>
    </w:p>
    <w:p w14:paraId="6B3020FC" w14:textId="60A0A6D3" w:rsidR="00E55613" w:rsidRPr="00E55613" w:rsidRDefault="00E55613" w:rsidP="00E55613">
      <w:pPr>
        <w:pStyle w:val="TextoNormalSangraFrancesa"/>
        <w:rPr>
          <w:rStyle w:val="TextoNormalCaracter"/>
        </w:rPr>
      </w:pPr>
      <w:bookmarkStart w:id="991" w:name="DESCRIPTORALFABETICO215"/>
      <w:r w:rsidRPr="00E55613">
        <w:rPr>
          <w:rStyle w:val="TextoNormalNegritaCaracter"/>
        </w:rPr>
        <w:lastRenderedPageBreak/>
        <w:t>Informes del Consejo General del Poder Judicial</w:t>
      </w:r>
      <w:bookmarkEnd w:id="991"/>
      <w:r w:rsidRPr="00E55613">
        <w:rPr>
          <w:rStyle w:val="TextoNormalCaracter"/>
        </w:rPr>
        <w:t xml:space="preserve">, Sentencia </w:t>
      </w:r>
      <w:hyperlink w:anchor="SENTENCIA_2024_15" w:history="1">
        <w:r w:rsidRPr="00E55613">
          <w:rPr>
            <w:rStyle w:val="TextoNormalCaracter"/>
          </w:rPr>
          <w:t>15/2024</w:t>
        </w:r>
      </w:hyperlink>
      <w:r w:rsidRPr="00E55613">
        <w:rPr>
          <w:rStyle w:val="TextoNormalCaracter"/>
        </w:rPr>
        <w:t>, f. 3.</w:t>
      </w:r>
    </w:p>
    <w:p w14:paraId="4D103D3B" w14:textId="49BF2C1B" w:rsidR="00E55613" w:rsidRPr="00E55613" w:rsidRDefault="00E55613" w:rsidP="00E55613">
      <w:pPr>
        <w:pStyle w:val="TextoNormalSangraFrancesa"/>
        <w:rPr>
          <w:rStyle w:val="TextoNormalCaracter"/>
        </w:rPr>
      </w:pPr>
      <w:bookmarkStart w:id="992" w:name="DESCRIPTORALFABETICO236"/>
      <w:r w:rsidRPr="00E55613">
        <w:rPr>
          <w:rStyle w:val="TextoNormalNegritaCaracter"/>
        </w:rPr>
        <w:t>Informes parlamentarios</w:t>
      </w:r>
      <w:bookmarkEnd w:id="992"/>
      <w:r w:rsidRPr="00E55613">
        <w:rPr>
          <w:rStyle w:val="TextoNormalCaracter"/>
        </w:rPr>
        <w:t xml:space="preserve">, Sentencia </w:t>
      </w:r>
      <w:hyperlink w:anchor="SENTENCIA_2024_30" w:history="1">
        <w:r w:rsidRPr="00E55613">
          <w:rPr>
            <w:rStyle w:val="TextoNormalCaracter"/>
          </w:rPr>
          <w:t>30/2024</w:t>
        </w:r>
      </w:hyperlink>
      <w:r w:rsidRPr="00E55613">
        <w:rPr>
          <w:rStyle w:val="TextoNormalCaracter"/>
        </w:rPr>
        <w:t>, ff. 1 a 4, VP I, VP II.</w:t>
      </w:r>
    </w:p>
    <w:p w14:paraId="78DAD717" w14:textId="6C771936" w:rsidR="00E55613" w:rsidRPr="00E55613" w:rsidRDefault="00E55613" w:rsidP="00E55613">
      <w:pPr>
        <w:pStyle w:val="TextoNormalSangraFrancesa"/>
        <w:rPr>
          <w:rStyle w:val="TextoNormalCaracter"/>
        </w:rPr>
      </w:pPr>
      <w:bookmarkStart w:id="993" w:name="DESCRIPTORALFABETICO426"/>
      <w:r w:rsidRPr="00E55613">
        <w:rPr>
          <w:rStyle w:val="TextoNormalNegritaCaracter"/>
        </w:rPr>
        <w:t>Ingreso mínimo vital</w:t>
      </w:r>
      <w:bookmarkEnd w:id="993"/>
      <w:r w:rsidRPr="00E55613">
        <w:rPr>
          <w:rStyle w:val="TextoNormalCaracter"/>
        </w:rPr>
        <w:t xml:space="preserve">, Sentencias </w:t>
      </w:r>
      <w:hyperlink w:anchor="SENTENCIA_2024_19" w:history="1">
        <w:r w:rsidRPr="00E55613">
          <w:rPr>
            <w:rStyle w:val="TextoNormalCaracter"/>
          </w:rPr>
          <w:t>19/2024</w:t>
        </w:r>
      </w:hyperlink>
      <w:r w:rsidRPr="00E55613">
        <w:rPr>
          <w:rStyle w:val="TextoNormalCaracter"/>
        </w:rPr>
        <w:t xml:space="preserve">, f. 1; </w:t>
      </w:r>
      <w:hyperlink w:anchor="SENTENCIA_2024_32" w:history="1">
        <w:r w:rsidRPr="00E55613">
          <w:rPr>
            <w:rStyle w:val="TextoNormalCaracter"/>
          </w:rPr>
          <w:t>32/2024</w:t>
        </w:r>
      </w:hyperlink>
      <w:r w:rsidRPr="00E55613">
        <w:rPr>
          <w:rStyle w:val="TextoNormalCaracter"/>
        </w:rPr>
        <w:t>, f. 1.</w:t>
      </w:r>
    </w:p>
    <w:p w14:paraId="28F0CA55" w14:textId="590F6EB7" w:rsidR="00E55613" w:rsidRPr="00E55613" w:rsidRDefault="00E55613" w:rsidP="00E55613">
      <w:pPr>
        <w:pStyle w:val="TextoNormalSangraFrancesa"/>
        <w:rPr>
          <w:rStyle w:val="TextoNormalCaracter"/>
        </w:rPr>
      </w:pPr>
      <w:bookmarkStart w:id="994" w:name="DESCRIPTORALFABETICO393"/>
      <w:r w:rsidRPr="00E55613">
        <w:rPr>
          <w:rStyle w:val="TextoNormalNegritaCaracter"/>
        </w:rPr>
        <w:t>Inhabilitación absoluta</w:t>
      </w:r>
      <w:bookmarkEnd w:id="994"/>
      <w:r w:rsidRPr="00E55613">
        <w:rPr>
          <w:rStyle w:val="TextoNormalCaracter"/>
        </w:rPr>
        <w:t xml:space="preserve">, Sentencias </w:t>
      </w:r>
      <w:hyperlink w:anchor="SENTENCIA_2024_50" w:history="1">
        <w:r w:rsidRPr="00E55613">
          <w:rPr>
            <w:rStyle w:val="TextoNormalCaracter"/>
          </w:rPr>
          <w:t>50/2024</w:t>
        </w:r>
      </w:hyperlink>
      <w:r w:rsidRPr="00E55613">
        <w:rPr>
          <w:rStyle w:val="TextoNormalCaracter"/>
        </w:rPr>
        <w:t xml:space="preserve">, f. 1; </w:t>
      </w:r>
      <w:hyperlink w:anchor="SENTENCIA_2024_66" w:history="1">
        <w:r w:rsidRPr="00E55613">
          <w:rPr>
            <w:rStyle w:val="TextoNormalCaracter"/>
          </w:rPr>
          <w:t>66/2024</w:t>
        </w:r>
      </w:hyperlink>
      <w:r w:rsidRPr="00E55613">
        <w:rPr>
          <w:rStyle w:val="TextoNormalCaracter"/>
        </w:rPr>
        <w:t>, f. 1.</w:t>
      </w:r>
    </w:p>
    <w:p w14:paraId="5703DF3A" w14:textId="08A8AA18" w:rsidR="00E55613" w:rsidRPr="00E55613" w:rsidRDefault="00E55613" w:rsidP="00E55613">
      <w:pPr>
        <w:pStyle w:val="TextoNormalSangraFrancesa"/>
        <w:rPr>
          <w:rStyle w:val="TextoNormalCaracter"/>
        </w:rPr>
      </w:pPr>
      <w:bookmarkStart w:id="995" w:name="DESCRIPTORALFABETICO394"/>
      <w:r w:rsidRPr="00E55613">
        <w:rPr>
          <w:rStyle w:val="TextoNormalNegritaCaracter"/>
        </w:rPr>
        <w:t>Inhabilitación especial para el derecho de sufragio pasivo</w:t>
      </w:r>
      <w:bookmarkEnd w:id="995"/>
      <w:r w:rsidRPr="00E55613">
        <w:rPr>
          <w:rStyle w:val="TextoNormalCaracter"/>
        </w:rPr>
        <w:t xml:space="preserve">, Sentencias </w:t>
      </w:r>
      <w:hyperlink w:anchor="SENTENCIA_2024_8" w:history="1">
        <w:r w:rsidRPr="00E55613">
          <w:rPr>
            <w:rStyle w:val="TextoNormalCaracter"/>
          </w:rPr>
          <w:t>8/2024</w:t>
        </w:r>
      </w:hyperlink>
      <w:r w:rsidRPr="00E55613">
        <w:rPr>
          <w:rStyle w:val="TextoNormalCaracter"/>
        </w:rPr>
        <w:t xml:space="preserve">, ff. 1 y 6; </w:t>
      </w:r>
      <w:hyperlink w:anchor="SENTENCIA_2024_18" w:history="1">
        <w:r w:rsidRPr="00E55613">
          <w:rPr>
            <w:rStyle w:val="TextoNormalCaracter"/>
          </w:rPr>
          <w:t>18/2024</w:t>
        </w:r>
      </w:hyperlink>
      <w:r w:rsidRPr="00E55613">
        <w:rPr>
          <w:rStyle w:val="TextoNormalCaracter"/>
        </w:rPr>
        <w:t>, f. único, VP.</w:t>
      </w:r>
    </w:p>
    <w:p w14:paraId="2627B3A2" w14:textId="200A35FD" w:rsidR="00E55613" w:rsidRPr="00E55613" w:rsidRDefault="00E55613" w:rsidP="00E55613">
      <w:pPr>
        <w:pStyle w:val="TextoNormalSangraFrancesa"/>
        <w:rPr>
          <w:rStyle w:val="TextoNormalCaracter"/>
        </w:rPr>
      </w:pPr>
      <w:bookmarkStart w:id="996" w:name="DESCRIPTORALFABETICO223"/>
      <w:r w:rsidRPr="00E55613">
        <w:rPr>
          <w:rStyle w:val="TextoNormalNegritaCaracter"/>
        </w:rPr>
        <w:t>Iniciativa legislativa</w:t>
      </w:r>
      <w:bookmarkEnd w:id="996"/>
      <w:r w:rsidRPr="00E55613">
        <w:rPr>
          <w:rStyle w:val="TextoNormalCaracter"/>
        </w:rPr>
        <w:t xml:space="preserve">, Sentencia </w:t>
      </w:r>
      <w:hyperlink w:anchor="SENTENCIA_2024_15" w:history="1">
        <w:r w:rsidRPr="00E55613">
          <w:rPr>
            <w:rStyle w:val="TextoNormalCaracter"/>
          </w:rPr>
          <w:t>15/2024</w:t>
        </w:r>
      </w:hyperlink>
      <w:r w:rsidRPr="00E55613">
        <w:rPr>
          <w:rStyle w:val="TextoNormalCaracter"/>
        </w:rPr>
        <w:t>, ff. 1 a 3, VP II.</w:t>
      </w:r>
    </w:p>
    <w:p w14:paraId="7C3E9D1B" w14:textId="7E5C4796" w:rsidR="00E55613" w:rsidRPr="00E55613" w:rsidRDefault="00E55613" w:rsidP="00E55613">
      <w:pPr>
        <w:pStyle w:val="TextoNormalSangraFrancesa"/>
        <w:rPr>
          <w:rStyle w:val="TextoNormalCaracter"/>
        </w:rPr>
      </w:pPr>
      <w:bookmarkStart w:id="997" w:name="DESCRIPTORALFABETICO224"/>
      <w:r w:rsidRPr="00E55613">
        <w:rPr>
          <w:rStyle w:val="TextoNormalNegritaCaracter"/>
        </w:rPr>
        <w:t>Iniciativa legislativa del Gobierno</w:t>
      </w:r>
      <w:bookmarkEnd w:id="997"/>
      <w:r w:rsidRPr="00E55613">
        <w:rPr>
          <w:rStyle w:val="TextoNormalCaracter"/>
        </w:rPr>
        <w:t xml:space="preserve">, Sentencias </w:t>
      </w:r>
      <w:hyperlink w:anchor="SENTENCIA_2024_15" w:history="1">
        <w:r w:rsidRPr="00E55613">
          <w:rPr>
            <w:rStyle w:val="TextoNormalCaracter"/>
          </w:rPr>
          <w:t>15/2024</w:t>
        </w:r>
      </w:hyperlink>
      <w:r w:rsidRPr="00E55613">
        <w:rPr>
          <w:rStyle w:val="TextoNormalCaracter"/>
        </w:rPr>
        <w:t xml:space="preserve">, f. 3; </w:t>
      </w:r>
      <w:hyperlink w:anchor="SENTENCIA_2024_93" w:history="1">
        <w:r w:rsidRPr="00E55613">
          <w:rPr>
            <w:rStyle w:val="TextoNormalCaracter"/>
          </w:rPr>
          <w:t>93/2024</w:t>
        </w:r>
      </w:hyperlink>
      <w:r w:rsidRPr="00E55613">
        <w:rPr>
          <w:rStyle w:val="TextoNormalCaracter"/>
        </w:rPr>
        <w:t>, ff. 2 y 4, VP I, VP II.</w:t>
      </w:r>
    </w:p>
    <w:p w14:paraId="0B080BEC" w14:textId="60A0FB19" w:rsidR="00E55613" w:rsidRPr="00E55613" w:rsidRDefault="00E55613" w:rsidP="00E55613">
      <w:pPr>
        <w:pStyle w:val="TextoNormalSangraFrancesa"/>
        <w:rPr>
          <w:rStyle w:val="TextoNormalCaracter"/>
        </w:rPr>
      </w:pPr>
      <w:bookmarkStart w:id="998" w:name="DESCRIPTORALFABETICO420"/>
      <w:r w:rsidRPr="00E55613">
        <w:rPr>
          <w:rStyle w:val="TextoNormalNegritaCaracter"/>
        </w:rPr>
        <w:t>Insolvencia del penado</w:t>
      </w:r>
      <w:bookmarkEnd w:id="998"/>
      <w:r w:rsidRPr="00E55613">
        <w:rPr>
          <w:rStyle w:val="TextoNormalCaracter"/>
        </w:rPr>
        <w:t xml:space="preserve">, Sentencia </w:t>
      </w:r>
      <w:hyperlink w:anchor="SENTENCIA_2024_39" w:history="1">
        <w:r w:rsidRPr="00E55613">
          <w:rPr>
            <w:rStyle w:val="TextoNormalCaracter"/>
          </w:rPr>
          <w:t>39/2024</w:t>
        </w:r>
      </w:hyperlink>
      <w:r w:rsidRPr="00E55613">
        <w:rPr>
          <w:rStyle w:val="TextoNormalCaracter"/>
        </w:rPr>
        <w:t>, ff. 4 y 5.</w:t>
      </w:r>
    </w:p>
    <w:p w14:paraId="3B719037" w14:textId="3A3125F2" w:rsidR="00E55613" w:rsidRPr="00E55613" w:rsidRDefault="00E55613" w:rsidP="00E55613">
      <w:pPr>
        <w:pStyle w:val="TextoNormalSangraFrancesa"/>
        <w:rPr>
          <w:rStyle w:val="TextoNormalCaracter"/>
        </w:rPr>
      </w:pPr>
      <w:bookmarkStart w:id="999" w:name="DESCRIPTORALFABETICO485"/>
      <w:r w:rsidRPr="00E55613">
        <w:rPr>
          <w:rStyle w:val="TextoNormalNegritaCaracter"/>
        </w:rPr>
        <w:t>Interés legítimo</w:t>
      </w:r>
      <w:bookmarkEnd w:id="999"/>
      <w:r w:rsidRPr="00E55613">
        <w:rPr>
          <w:rStyle w:val="TextoNormalCaracter"/>
        </w:rPr>
        <w:t xml:space="preserve">, Sentencia </w:t>
      </w:r>
      <w:hyperlink w:anchor="SENTENCIA_2024_66" w:history="1">
        <w:r w:rsidRPr="00E55613">
          <w:rPr>
            <w:rStyle w:val="TextoNormalCaracter"/>
          </w:rPr>
          <w:t>66/2024</w:t>
        </w:r>
      </w:hyperlink>
      <w:r w:rsidRPr="00E55613">
        <w:rPr>
          <w:rStyle w:val="TextoNormalCaracter"/>
        </w:rPr>
        <w:t>, f. 2.</w:t>
      </w:r>
    </w:p>
    <w:p w14:paraId="7EA1E696" w14:textId="4B9D904E" w:rsidR="00E55613" w:rsidRPr="00E55613" w:rsidRDefault="00E55613" w:rsidP="00E55613">
      <w:pPr>
        <w:pStyle w:val="TextoNormalSangraFrancesa"/>
        <w:rPr>
          <w:rStyle w:val="TextoNormalCaracter"/>
        </w:rPr>
      </w:pPr>
      <w:bookmarkStart w:id="1000" w:name="DESCRIPTORALFABETICO405"/>
      <w:r w:rsidRPr="00E55613">
        <w:rPr>
          <w:rStyle w:val="TextoNormalNegritaCaracter"/>
        </w:rPr>
        <w:t>Interés superior del menor</w:t>
      </w:r>
      <w:bookmarkEnd w:id="1000"/>
      <w:r w:rsidRPr="00E55613">
        <w:rPr>
          <w:rStyle w:val="TextoNormalCaracter"/>
        </w:rPr>
        <w:t xml:space="preserve">, Sentencias </w:t>
      </w:r>
      <w:hyperlink w:anchor="SENTENCIA_2024_2" w:history="1">
        <w:r w:rsidRPr="00E55613">
          <w:rPr>
            <w:rStyle w:val="TextoNormalCaracter"/>
          </w:rPr>
          <w:t>2/2024</w:t>
        </w:r>
      </w:hyperlink>
      <w:r w:rsidRPr="00E55613">
        <w:rPr>
          <w:rStyle w:val="TextoNormalCaracter"/>
        </w:rPr>
        <w:t xml:space="preserve">, f. 3; </w:t>
      </w:r>
      <w:hyperlink w:anchor="SENTENCIA_2024_5" w:history="1">
        <w:r w:rsidRPr="00E55613">
          <w:rPr>
            <w:rStyle w:val="TextoNormalCaracter"/>
          </w:rPr>
          <w:t>5/2024</w:t>
        </w:r>
      </w:hyperlink>
      <w:r w:rsidRPr="00E55613">
        <w:rPr>
          <w:rStyle w:val="TextoNormalCaracter"/>
        </w:rPr>
        <w:t xml:space="preserve">, f. 3; </w:t>
      </w:r>
      <w:hyperlink w:anchor="SENTENCIA_2024_6" w:history="1">
        <w:r w:rsidRPr="00E55613">
          <w:rPr>
            <w:rStyle w:val="TextoNormalCaracter"/>
          </w:rPr>
          <w:t>6/2024</w:t>
        </w:r>
      </w:hyperlink>
      <w:r w:rsidRPr="00E55613">
        <w:rPr>
          <w:rStyle w:val="TextoNormalCaracter"/>
        </w:rPr>
        <w:t xml:space="preserve">, f. 3; </w:t>
      </w:r>
      <w:hyperlink w:anchor="SENTENCIA_2024_13" w:history="1">
        <w:r w:rsidRPr="00E55613">
          <w:rPr>
            <w:rStyle w:val="TextoNormalCaracter"/>
          </w:rPr>
          <w:t>13/2024</w:t>
        </w:r>
      </w:hyperlink>
      <w:r w:rsidRPr="00E55613">
        <w:rPr>
          <w:rStyle w:val="TextoNormalCaracter"/>
        </w:rPr>
        <w:t xml:space="preserve">, f. 3; </w:t>
      </w:r>
      <w:hyperlink w:anchor="SENTENCIA_2024_14" w:history="1">
        <w:r w:rsidRPr="00E55613">
          <w:rPr>
            <w:rStyle w:val="TextoNormalCaracter"/>
          </w:rPr>
          <w:t>14/2024</w:t>
        </w:r>
      </w:hyperlink>
      <w:r w:rsidRPr="00E55613">
        <w:rPr>
          <w:rStyle w:val="TextoNormalCaracter"/>
        </w:rPr>
        <w:t xml:space="preserve">, f. 4; </w:t>
      </w:r>
      <w:hyperlink w:anchor="SENTENCIA_2024_24" w:history="1">
        <w:r w:rsidRPr="00E55613">
          <w:rPr>
            <w:rStyle w:val="TextoNormalCaracter"/>
          </w:rPr>
          <w:t>24/2024</w:t>
        </w:r>
      </w:hyperlink>
      <w:r w:rsidRPr="00E55613">
        <w:rPr>
          <w:rStyle w:val="TextoNormalCaracter"/>
        </w:rPr>
        <w:t xml:space="preserve">, f. 3; </w:t>
      </w:r>
      <w:hyperlink w:anchor="SENTENCIA_2024_26" w:history="1">
        <w:r w:rsidRPr="00E55613">
          <w:rPr>
            <w:rStyle w:val="TextoNormalCaracter"/>
          </w:rPr>
          <w:t>26/2024</w:t>
        </w:r>
      </w:hyperlink>
      <w:r w:rsidRPr="00E55613">
        <w:rPr>
          <w:rStyle w:val="TextoNormalCaracter"/>
        </w:rPr>
        <w:t xml:space="preserve">, ff. 4 y 5, VP I, VP II; </w:t>
      </w:r>
      <w:hyperlink w:anchor="SENTENCIA_2024_28" w:history="1">
        <w:r w:rsidRPr="00E55613">
          <w:rPr>
            <w:rStyle w:val="TextoNormalCaracter"/>
          </w:rPr>
          <w:t>28/2024</w:t>
        </w:r>
      </w:hyperlink>
      <w:r w:rsidRPr="00E55613">
        <w:rPr>
          <w:rStyle w:val="TextoNormalCaracter"/>
        </w:rPr>
        <w:t xml:space="preserve">, ff. 5 y 6, VP; </w:t>
      </w:r>
      <w:hyperlink w:anchor="SENTENCIA_2024_41" w:history="1">
        <w:r w:rsidRPr="00E55613">
          <w:rPr>
            <w:rStyle w:val="TextoNormalCaracter"/>
          </w:rPr>
          <w:t>41/2024</w:t>
        </w:r>
      </w:hyperlink>
      <w:r w:rsidRPr="00E55613">
        <w:rPr>
          <w:rStyle w:val="TextoNormalCaracter"/>
        </w:rPr>
        <w:t xml:space="preserve">, f. 3; </w:t>
      </w:r>
      <w:hyperlink w:anchor="SENTENCIA_2024_53" w:history="1">
        <w:r w:rsidRPr="00E55613">
          <w:rPr>
            <w:rStyle w:val="TextoNormalCaracter"/>
          </w:rPr>
          <w:t>53/2024</w:t>
        </w:r>
      </w:hyperlink>
      <w:r w:rsidRPr="00E55613">
        <w:rPr>
          <w:rStyle w:val="TextoNormalCaracter"/>
        </w:rPr>
        <w:t xml:space="preserve">, ff. 1 a 5; </w:t>
      </w:r>
      <w:hyperlink w:anchor="SENTENCIA_2024_56" w:history="1">
        <w:r w:rsidRPr="00E55613">
          <w:rPr>
            <w:rStyle w:val="TextoNormalCaracter"/>
          </w:rPr>
          <w:t>56/2024</w:t>
        </w:r>
      </w:hyperlink>
      <w:r w:rsidRPr="00E55613">
        <w:rPr>
          <w:rStyle w:val="TextoNormalCaracter"/>
        </w:rPr>
        <w:t xml:space="preserve">, f. 3; </w:t>
      </w:r>
      <w:hyperlink w:anchor="SENTENCIA_2024_58" w:history="1">
        <w:r w:rsidRPr="00E55613">
          <w:rPr>
            <w:rStyle w:val="TextoNormalCaracter"/>
          </w:rPr>
          <w:t>58/2024</w:t>
        </w:r>
      </w:hyperlink>
      <w:r w:rsidRPr="00E55613">
        <w:rPr>
          <w:rStyle w:val="TextoNormalCaracter"/>
        </w:rPr>
        <w:t xml:space="preserve">, f. 3; </w:t>
      </w:r>
      <w:hyperlink w:anchor="SENTENCIA_2024_59" w:history="1">
        <w:r w:rsidRPr="00E55613">
          <w:rPr>
            <w:rStyle w:val="TextoNormalCaracter"/>
          </w:rPr>
          <w:t>59/2024</w:t>
        </w:r>
      </w:hyperlink>
      <w:r w:rsidRPr="00E55613">
        <w:rPr>
          <w:rStyle w:val="TextoNormalCaracter"/>
        </w:rPr>
        <w:t xml:space="preserve">, f. 3; </w:t>
      </w:r>
      <w:hyperlink w:anchor="SENTENCIA_2024_60" w:history="1">
        <w:r w:rsidRPr="00E55613">
          <w:rPr>
            <w:rStyle w:val="TextoNormalCaracter"/>
          </w:rPr>
          <w:t>60/2024</w:t>
        </w:r>
      </w:hyperlink>
      <w:r w:rsidRPr="00E55613">
        <w:rPr>
          <w:rStyle w:val="TextoNormalCaracter"/>
        </w:rPr>
        <w:t xml:space="preserve">, f. 3; </w:t>
      </w:r>
      <w:hyperlink w:anchor="SENTENCIA_2024_82" w:history="1">
        <w:r w:rsidRPr="00E55613">
          <w:rPr>
            <w:rStyle w:val="TextoNormalCaracter"/>
          </w:rPr>
          <w:t>82/2024</w:t>
        </w:r>
      </w:hyperlink>
      <w:r w:rsidRPr="00E55613">
        <w:rPr>
          <w:rStyle w:val="TextoNormalCaracter"/>
        </w:rPr>
        <w:t xml:space="preserve">, ff. 2 a 4; </w:t>
      </w:r>
      <w:hyperlink w:anchor="SENTENCIA_2024_83" w:history="1">
        <w:r w:rsidRPr="00E55613">
          <w:rPr>
            <w:rStyle w:val="TextoNormalCaracter"/>
          </w:rPr>
          <w:t>83/2024</w:t>
        </w:r>
      </w:hyperlink>
      <w:r w:rsidRPr="00E55613">
        <w:rPr>
          <w:rStyle w:val="TextoNormalCaracter"/>
        </w:rPr>
        <w:t xml:space="preserve">, f. 3; </w:t>
      </w:r>
      <w:hyperlink w:anchor="SENTENCIA_2024_92" w:history="1">
        <w:r w:rsidRPr="00E55613">
          <w:rPr>
            <w:rStyle w:val="TextoNormalCaracter"/>
          </w:rPr>
          <w:t>92/2024</w:t>
        </w:r>
      </w:hyperlink>
      <w:r w:rsidRPr="00E55613">
        <w:rPr>
          <w:rStyle w:val="TextoNormalCaracter"/>
        </w:rPr>
        <w:t>, f. 6.</w:t>
      </w:r>
    </w:p>
    <w:p w14:paraId="2258565B" w14:textId="42AEFBA0" w:rsidR="00E55613" w:rsidRPr="00E55613" w:rsidRDefault="00E55613" w:rsidP="00E55613">
      <w:pPr>
        <w:pStyle w:val="TextoNormalSangraFrancesa"/>
        <w:rPr>
          <w:rStyle w:val="TextoNormalCaracter"/>
        </w:rPr>
      </w:pPr>
      <w:bookmarkStart w:id="1001" w:name="DESCRIPTORALFABETICO382"/>
      <w:r w:rsidRPr="00E55613">
        <w:rPr>
          <w:rStyle w:val="TextoNormalNegritaCaracter"/>
        </w:rPr>
        <w:t>Interpretación conforme con la Constitución</w:t>
      </w:r>
      <w:bookmarkEnd w:id="1001"/>
      <w:r w:rsidRPr="00E55613">
        <w:rPr>
          <w:rStyle w:val="TextoNormalCaracter"/>
        </w:rPr>
        <w:t xml:space="preserve">, Sentencias </w:t>
      </w:r>
      <w:hyperlink w:anchor="SENTENCIA_2024_25" w:history="1">
        <w:r w:rsidRPr="00E55613">
          <w:rPr>
            <w:rStyle w:val="TextoNormalCaracter"/>
          </w:rPr>
          <w:t>25/2024</w:t>
        </w:r>
      </w:hyperlink>
      <w:r w:rsidRPr="00E55613">
        <w:rPr>
          <w:rStyle w:val="TextoNormalCaracter"/>
        </w:rPr>
        <w:t xml:space="preserve">, ff. 5 y 6; </w:t>
      </w:r>
      <w:hyperlink w:anchor="SENTENCIA_2024_68" w:history="1">
        <w:r w:rsidRPr="00E55613">
          <w:rPr>
            <w:rStyle w:val="TextoNormalCaracter"/>
          </w:rPr>
          <w:t>68/2024</w:t>
        </w:r>
      </w:hyperlink>
      <w:r w:rsidRPr="00E55613">
        <w:rPr>
          <w:rStyle w:val="TextoNormalCaracter"/>
        </w:rPr>
        <w:t>, ff. 2 y 11.</w:t>
      </w:r>
    </w:p>
    <w:p w14:paraId="5769B556" w14:textId="71BC38F9" w:rsidR="00E55613" w:rsidRPr="00E55613" w:rsidRDefault="00E55613" w:rsidP="00E55613">
      <w:pPr>
        <w:pStyle w:val="TextoNormalSangraFrancesa"/>
        <w:rPr>
          <w:rStyle w:val="TextoNormalCaracter"/>
        </w:rPr>
      </w:pPr>
      <w:bookmarkStart w:id="1002" w:name="DESCRIPTORALFABETICO383"/>
      <w:r w:rsidRPr="00E55613">
        <w:rPr>
          <w:rStyle w:val="TextoNormalNegritaCaracter"/>
        </w:rPr>
        <w:t>Interpretación de las normas más favorable a los derechos fundamentales</w:t>
      </w:r>
      <w:bookmarkEnd w:id="1002"/>
      <w:r w:rsidRPr="00E55613">
        <w:rPr>
          <w:rStyle w:val="TextoNormalCaracter"/>
        </w:rPr>
        <w:t xml:space="preserve">, Sentencia </w:t>
      </w:r>
      <w:hyperlink w:anchor="SENTENCIA_2024_92" w:history="1">
        <w:r w:rsidRPr="00E55613">
          <w:rPr>
            <w:rStyle w:val="TextoNormalCaracter"/>
          </w:rPr>
          <w:t>92/2024</w:t>
        </w:r>
      </w:hyperlink>
      <w:r w:rsidRPr="00E55613">
        <w:rPr>
          <w:rStyle w:val="TextoNormalCaracter"/>
        </w:rPr>
        <w:t>, f. 3.</w:t>
      </w:r>
    </w:p>
    <w:p w14:paraId="77C714F5" w14:textId="5844195C" w:rsidR="00E55613" w:rsidRPr="00E55613" w:rsidRDefault="00E55613" w:rsidP="00E55613">
      <w:pPr>
        <w:pStyle w:val="TextoNormalSangraFrancesa"/>
        <w:rPr>
          <w:rStyle w:val="TextoNormalCaracter"/>
        </w:rPr>
      </w:pPr>
      <w:bookmarkStart w:id="1003" w:name="DESCRIPTORALFABETICO384"/>
      <w:r w:rsidRPr="00E55613">
        <w:rPr>
          <w:rStyle w:val="TextoNormalNegritaCaracter"/>
        </w:rPr>
        <w:t>Interpretación extensiva del tipo</w:t>
      </w:r>
      <w:bookmarkEnd w:id="1003"/>
      <w:r w:rsidRPr="00E55613">
        <w:rPr>
          <w:rStyle w:val="TextoNormalCaracter"/>
        </w:rPr>
        <w:t xml:space="preserve">, Sentencias </w:t>
      </w:r>
      <w:hyperlink w:anchor="SENTENCIA_2024_8" w:history="1">
        <w:r w:rsidRPr="00E55613">
          <w:rPr>
            <w:rStyle w:val="TextoNormalCaracter"/>
          </w:rPr>
          <w:t>8/2024</w:t>
        </w:r>
      </w:hyperlink>
      <w:r w:rsidRPr="00E55613">
        <w:rPr>
          <w:rStyle w:val="TextoNormalCaracter"/>
        </w:rPr>
        <w:t xml:space="preserve">, f. 6; </w:t>
      </w:r>
      <w:hyperlink w:anchor="SENTENCIA_2024_93" w:history="1">
        <w:r w:rsidRPr="00E55613">
          <w:rPr>
            <w:rStyle w:val="TextoNormalCaracter"/>
          </w:rPr>
          <w:t>93/2024</w:t>
        </w:r>
      </w:hyperlink>
      <w:r w:rsidRPr="00E55613">
        <w:rPr>
          <w:rStyle w:val="TextoNormalCaracter"/>
        </w:rPr>
        <w:t>, f. 4.</w:t>
      </w:r>
    </w:p>
    <w:p w14:paraId="35B0D958" w14:textId="5A97CE4A" w:rsidR="00E55613" w:rsidRPr="00E55613" w:rsidRDefault="00E55613" w:rsidP="00E55613">
      <w:pPr>
        <w:pStyle w:val="TextoNormalSangraFrancesa"/>
        <w:rPr>
          <w:rStyle w:val="TextoNormalCaracter"/>
        </w:rPr>
      </w:pPr>
      <w:bookmarkStart w:id="1004" w:name="DESCRIPTORALFABETICO385"/>
      <w:r w:rsidRPr="00E55613">
        <w:rPr>
          <w:rStyle w:val="TextoNormalNegritaCaracter"/>
        </w:rPr>
        <w:t>Interpretación formalista</w:t>
      </w:r>
      <w:bookmarkEnd w:id="1004"/>
      <w:r w:rsidRPr="00E55613">
        <w:rPr>
          <w:rStyle w:val="TextoNormalCaracter"/>
        </w:rPr>
        <w:t xml:space="preserve">, Sentencia </w:t>
      </w:r>
      <w:hyperlink w:anchor="SENTENCIA_2024_22" w:history="1">
        <w:r w:rsidRPr="00E55613">
          <w:rPr>
            <w:rStyle w:val="TextoNormalCaracter"/>
          </w:rPr>
          <w:t>22/2024</w:t>
        </w:r>
      </w:hyperlink>
      <w:r w:rsidRPr="00E55613">
        <w:rPr>
          <w:rStyle w:val="TextoNormalCaracter"/>
        </w:rPr>
        <w:t>, f. 4.</w:t>
      </w:r>
    </w:p>
    <w:p w14:paraId="4ADE0C60" w14:textId="492B0403" w:rsidR="00E55613" w:rsidRPr="00E55613" w:rsidRDefault="00E55613" w:rsidP="00E55613">
      <w:pPr>
        <w:pStyle w:val="TextoNormalSangraFrancesa"/>
        <w:rPr>
          <w:rStyle w:val="TextoNormalCaracter"/>
        </w:rPr>
      </w:pPr>
      <w:bookmarkStart w:id="1005" w:name="DESCRIPTORALFABETICO408"/>
      <w:r w:rsidRPr="00E55613">
        <w:rPr>
          <w:rStyle w:val="TextoNormalNegritaCaracter"/>
        </w:rPr>
        <w:t>Interrupción voluntaria del embarazo</w:t>
      </w:r>
      <w:bookmarkEnd w:id="1005"/>
      <w:r w:rsidRPr="00E55613">
        <w:rPr>
          <w:rStyle w:val="TextoNormalCaracter"/>
        </w:rPr>
        <w:t xml:space="preserve">, Sentencias </w:t>
      </w:r>
      <w:hyperlink w:anchor="SENTENCIA_2024_75" w:history="1">
        <w:r w:rsidRPr="00E55613">
          <w:rPr>
            <w:rStyle w:val="TextoNormalCaracter"/>
          </w:rPr>
          <w:t>75/2024</w:t>
        </w:r>
      </w:hyperlink>
      <w:r w:rsidRPr="00E55613">
        <w:rPr>
          <w:rStyle w:val="TextoNormalCaracter"/>
        </w:rPr>
        <w:t xml:space="preserve">, ff. 3 a 6, VP I, VP II; </w:t>
      </w:r>
      <w:hyperlink w:anchor="SENTENCIA_2024_92" w:history="1">
        <w:r w:rsidRPr="00E55613">
          <w:rPr>
            <w:rStyle w:val="TextoNormalCaracter"/>
          </w:rPr>
          <w:t>92/2024</w:t>
        </w:r>
      </w:hyperlink>
      <w:r w:rsidRPr="00E55613">
        <w:rPr>
          <w:rStyle w:val="TextoNormalCaracter"/>
        </w:rPr>
        <w:t>, ff. 1, 4, 6, 7, 8 y 9, VP I, VP II, VP III, VP IV.</w:t>
      </w:r>
    </w:p>
    <w:p w14:paraId="28CD7924" w14:textId="65AA8E06" w:rsidR="00E55613" w:rsidRPr="00E55613" w:rsidRDefault="00E55613" w:rsidP="00E55613">
      <w:pPr>
        <w:pStyle w:val="TextoNormalSangraFrancesa"/>
        <w:rPr>
          <w:rStyle w:val="TextoNormalCaracter"/>
        </w:rPr>
      </w:pPr>
      <w:bookmarkStart w:id="1006" w:name="DESCRIPTORALFABETICO4"/>
      <w:r w:rsidRPr="00E55613">
        <w:rPr>
          <w:rStyle w:val="TextoNormalNegritaCaracter"/>
        </w:rPr>
        <w:t>Intervención del Estado en materia de competencia exclusiva de Comunidades Autónomas</w:t>
      </w:r>
      <w:bookmarkEnd w:id="1006"/>
      <w:r w:rsidRPr="00E55613">
        <w:rPr>
          <w:rStyle w:val="TextoNormalCaracter"/>
        </w:rPr>
        <w:t xml:space="preserve">, Sentencia </w:t>
      </w:r>
      <w:hyperlink w:anchor="SENTENCIA_2024_19" w:history="1">
        <w:r w:rsidRPr="00E55613">
          <w:rPr>
            <w:rStyle w:val="TextoNormalCaracter"/>
          </w:rPr>
          <w:t>19/2024</w:t>
        </w:r>
      </w:hyperlink>
      <w:r w:rsidRPr="00E55613">
        <w:rPr>
          <w:rStyle w:val="TextoNormalCaracter"/>
        </w:rPr>
        <w:t>, f. 3.</w:t>
      </w:r>
    </w:p>
    <w:p w14:paraId="1CFF3C7B" w14:textId="2A46E8CE" w:rsidR="00E55613" w:rsidRPr="00E55613" w:rsidRDefault="00E55613" w:rsidP="00E55613">
      <w:pPr>
        <w:pStyle w:val="TextoNormalSangraFrancesa"/>
        <w:rPr>
          <w:rStyle w:val="TextoNormalCaracter"/>
        </w:rPr>
      </w:pPr>
      <w:bookmarkStart w:id="1007" w:name="DESCRIPTORALFABETICO52"/>
      <w:r w:rsidRPr="00E55613">
        <w:rPr>
          <w:rStyle w:val="TextoNormalNegritaCaracter"/>
        </w:rPr>
        <w:t>Intimidad corporal</w:t>
      </w:r>
      <w:bookmarkEnd w:id="1007"/>
      <w:r w:rsidRPr="00E55613">
        <w:rPr>
          <w:rStyle w:val="TextoNormalCaracter"/>
        </w:rPr>
        <w:t xml:space="preserve">, Sentencia </w:t>
      </w:r>
      <w:hyperlink w:anchor="SENTENCIA_2024_75" w:history="1">
        <w:r w:rsidRPr="00E55613">
          <w:rPr>
            <w:rStyle w:val="TextoNormalCaracter"/>
          </w:rPr>
          <w:t>75/2024</w:t>
        </w:r>
      </w:hyperlink>
      <w:r w:rsidRPr="00E55613">
        <w:rPr>
          <w:rStyle w:val="TextoNormalCaracter"/>
        </w:rPr>
        <w:t>, f. 6, VP I.</w:t>
      </w:r>
    </w:p>
    <w:p w14:paraId="663FDF84" w14:textId="0797C28B" w:rsidR="00E55613" w:rsidRPr="00E55613" w:rsidRDefault="00E55613" w:rsidP="00E55613">
      <w:pPr>
        <w:pStyle w:val="TextoNormalSangraFrancesa"/>
        <w:rPr>
          <w:rStyle w:val="TextoNormalCaracter"/>
        </w:rPr>
      </w:pPr>
      <w:bookmarkStart w:id="1008" w:name="DESCRIPTORALFABETICO473"/>
      <w:r w:rsidRPr="00E55613">
        <w:rPr>
          <w:rStyle w:val="TextoNormalNegritaCaracter"/>
        </w:rPr>
        <w:t>Inversión de la carga de la prueba</w:t>
      </w:r>
      <w:bookmarkEnd w:id="1008"/>
      <w:r w:rsidRPr="00E55613">
        <w:rPr>
          <w:rStyle w:val="TextoNormalCaracter"/>
        </w:rPr>
        <w:t xml:space="preserve">, Sentencia </w:t>
      </w:r>
      <w:hyperlink w:anchor="SENTENCIA_2024_81" w:history="1">
        <w:r w:rsidRPr="00E55613">
          <w:rPr>
            <w:rStyle w:val="TextoNormalCaracter"/>
          </w:rPr>
          <w:t>81/2024</w:t>
        </w:r>
      </w:hyperlink>
      <w:r w:rsidRPr="00E55613">
        <w:rPr>
          <w:rStyle w:val="TextoNormalCaracter"/>
        </w:rPr>
        <w:t>, f. 4.</w:t>
      </w:r>
    </w:p>
    <w:p w14:paraId="2082D96D" w14:textId="1FBE1FC6" w:rsidR="00E55613" w:rsidRPr="00E55613" w:rsidRDefault="00E55613" w:rsidP="00E55613">
      <w:pPr>
        <w:pStyle w:val="TextoNormalSangraFrancesa"/>
        <w:rPr>
          <w:rStyle w:val="TextoNormalCaracter"/>
        </w:rPr>
      </w:pPr>
      <w:bookmarkStart w:id="1009" w:name="DESCRIPTORALFABETICO510"/>
      <w:r w:rsidRPr="00E55613">
        <w:rPr>
          <w:rStyle w:val="TextoNormalNegritaCaracter"/>
        </w:rPr>
        <w:t>Investigación insuficiente</w:t>
      </w:r>
      <w:bookmarkEnd w:id="1009"/>
      <w:r w:rsidRPr="00E55613">
        <w:rPr>
          <w:rStyle w:val="TextoNormalCaracter"/>
        </w:rPr>
        <w:t xml:space="preserve">, Sentencias </w:t>
      </w:r>
      <w:hyperlink w:anchor="SENTENCIA_2024_1" w:history="1">
        <w:r w:rsidRPr="00E55613">
          <w:rPr>
            <w:rStyle w:val="TextoNormalCaracter"/>
          </w:rPr>
          <w:t>1/2024</w:t>
        </w:r>
      </w:hyperlink>
      <w:r w:rsidRPr="00E55613">
        <w:rPr>
          <w:rStyle w:val="TextoNormalCaracter"/>
        </w:rPr>
        <w:t xml:space="preserve">, ff. 4 y 5; </w:t>
      </w:r>
      <w:hyperlink w:anchor="SENTENCIA_2024_33" w:history="1">
        <w:r w:rsidRPr="00E55613">
          <w:rPr>
            <w:rStyle w:val="TextoNormalCaracter"/>
          </w:rPr>
          <w:t>33/2024</w:t>
        </w:r>
      </w:hyperlink>
      <w:r w:rsidRPr="00E55613">
        <w:rPr>
          <w:rStyle w:val="TextoNormalCaracter"/>
        </w:rPr>
        <w:t>, ff. 4 y 5.</w:t>
      </w:r>
    </w:p>
    <w:p w14:paraId="785CED49" w14:textId="50260ED7" w:rsidR="00E55613" w:rsidRPr="00E55613" w:rsidRDefault="00E55613" w:rsidP="00E55613">
      <w:pPr>
        <w:pStyle w:val="TextoNormalSangraFrancesa"/>
        <w:rPr>
          <w:rStyle w:val="TextoNormalCaracter"/>
        </w:rPr>
      </w:pPr>
      <w:bookmarkStart w:id="1010" w:name="DESCRIPTORALFABETICO509"/>
      <w:r w:rsidRPr="00E55613">
        <w:rPr>
          <w:rStyle w:val="TextoNormalNegritaCaracter"/>
        </w:rPr>
        <w:t>Investigación judicial</w:t>
      </w:r>
      <w:bookmarkEnd w:id="1010"/>
      <w:r w:rsidRPr="00E55613">
        <w:rPr>
          <w:rStyle w:val="TextoNormalCaracter"/>
        </w:rPr>
        <w:t xml:space="preserve">, Sentencia </w:t>
      </w:r>
      <w:hyperlink w:anchor="SENTENCIA_2024_35" w:history="1">
        <w:r w:rsidRPr="00E55613">
          <w:rPr>
            <w:rStyle w:val="TextoNormalCaracter"/>
          </w:rPr>
          <w:t>35/2024</w:t>
        </w:r>
      </w:hyperlink>
      <w:r w:rsidRPr="00E55613">
        <w:rPr>
          <w:rStyle w:val="TextoNormalCaracter"/>
        </w:rPr>
        <w:t>, ff. 1 a 3.</w:t>
      </w:r>
    </w:p>
    <w:p w14:paraId="3ED114ED" w14:textId="270E6345" w:rsidR="00E55613" w:rsidRPr="00E55613" w:rsidRDefault="00E55613" w:rsidP="00E55613">
      <w:pPr>
        <w:pStyle w:val="TextoNormalSangraFrancesa"/>
        <w:rPr>
          <w:rStyle w:val="TextoNormalCaracter"/>
        </w:rPr>
      </w:pPr>
      <w:bookmarkStart w:id="1011" w:name="DESCRIPTORALFABETICO169"/>
      <w:r w:rsidRPr="00E55613">
        <w:rPr>
          <w:rStyle w:val="TextoNormalNegritaCaracter"/>
        </w:rPr>
        <w:t>Invocación implícita</w:t>
      </w:r>
      <w:bookmarkEnd w:id="1011"/>
      <w:r w:rsidRPr="00E55613">
        <w:rPr>
          <w:rStyle w:val="TextoNormalCaracter"/>
        </w:rPr>
        <w:t xml:space="preserve">, Sentencia </w:t>
      </w:r>
      <w:hyperlink w:anchor="SENTENCIA_2024_39" w:history="1">
        <w:r w:rsidRPr="00E55613">
          <w:rPr>
            <w:rStyle w:val="TextoNormalCaracter"/>
          </w:rPr>
          <w:t>39/2024</w:t>
        </w:r>
      </w:hyperlink>
      <w:r w:rsidRPr="00E55613">
        <w:rPr>
          <w:rStyle w:val="TextoNormalCaracter"/>
        </w:rPr>
        <w:t>, f. 2.</w:t>
      </w:r>
    </w:p>
    <w:p w14:paraId="44772EDF" w14:textId="0E243AD9" w:rsidR="00E55613" w:rsidRPr="00E55613" w:rsidRDefault="00E55613" w:rsidP="00E55613">
      <w:pPr>
        <w:pStyle w:val="TextoNormalSangraFrancesa"/>
        <w:rPr>
          <w:rStyle w:val="TextoNormalCaracter"/>
        </w:rPr>
      </w:pPr>
      <w:bookmarkStart w:id="1012" w:name="DESCRIPTORALFABETICO73"/>
      <w:r w:rsidRPr="00E55613">
        <w:rPr>
          <w:rStyle w:val="TextoNormalNegritaCaracter"/>
        </w:rPr>
        <w:t>Irrazonabilidad de las resoluciones judiciales</w:t>
      </w:r>
      <w:bookmarkEnd w:id="1012"/>
      <w:r w:rsidRPr="00E55613">
        <w:rPr>
          <w:rStyle w:val="TextoNormalCaracter"/>
        </w:rPr>
        <w:t xml:space="preserve">, Sentencia </w:t>
      </w:r>
      <w:hyperlink w:anchor="SENTENCIA_2024_28" w:history="1">
        <w:r w:rsidRPr="00E55613">
          <w:rPr>
            <w:rStyle w:val="TextoNormalCaracter"/>
          </w:rPr>
          <w:t>28/2024</w:t>
        </w:r>
      </w:hyperlink>
      <w:r w:rsidRPr="00E55613">
        <w:rPr>
          <w:rStyle w:val="TextoNormalCaracter"/>
        </w:rPr>
        <w:t>, f. 6.</w:t>
      </w:r>
    </w:p>
    <w:p w14:paraId="4215992B" w14:textId="528E91AC" w:rsidR="00E55613" w:rsidRPr="00E55613" w:rsidRDefault="00E55613" w:rsidP="00E55613">
      <w:pPr>
        <w:pStyle w:val="TextoNormalSangraFrancesa"/>
        <w:rPr>
          <w:rStyle w:val="TextoNormalCaracter"/>
        </w:rPr>
      </w:pPr>
      <w:bookmarkStart w:id="1013" w:name="DESCRIPTORALFABETICO381"/>
      <w:r w:rsidRPr="00E55613">
        <w:rPr>
          <w:rStyle w:val="TextoNormalNegritaCaracter"/>
          <w:i/>
        </w:rPr>
        <w:t>Ius cogens</w:t>
      </w:r>
      <w:bookmarkEnd w:id="1013"/>
      <w:r w:rsidRPr="00E55613">
        <w:rPr>
          <w:rStyle w:val="TextoNormalCaracter"/>
        </w:rPr>
        <w:t xml:space="preserve">, Auto </w:t>
      </w:r>
      <w:hyperlink w:anchor="AUTO_2024_57" w:history="1">
        <w:r w:rsidRPr="00E55613">
          <w:rPr>
            <w:rStyle w:val="TextoNormalCaracter"/>
          </w:rPr>
          <w:t>57/2024</w:t>
        </w:r>
      </w:hyperlink>
      <w:r w:rsidRPr="00E55613">
        <w:rPr>
          <w:rStyle w:val="TextoNormalCaracter"/>
        </w:rPr>
        <w:t>, VP II.</w:t>
      </w:r>
    </w:p>
    <w:p w14:paraId="5DFA597C" w14:textId="63FA06C3" w:rsidR="00E55613" w:rsidRPr="00E55613" w:rsidRDefault="00E55613" w:rsidP="00E55613">
      <w:pPr>
        <w:pStyle w:val="TextoNormalSangraFrancesa"/>
        <w:rPr>
          <w:rStyle w:val="TextoNormalCaracter"/>
        </w:rPr>
      </w:pPr>
      <w:bookmarkStart w:id="1014" w:name="DESCRIPTORALFABETICO66"/>
      <w:r w:rsidRPr="00E55613">
        <w:rPr>
          <w:rStyle w:val="TextoNormalNegritaCaracter"/>
          <w:i/>
        </w:rPr>
        <w:t>Ius ut procedatur</w:t>
      </w:r>
      <w:bookmarkEnd w:id="1014"/>
      <w:r w:rsidRPr="00E55613">
        <w:rPr>
          <w:rStyle w:val="TextoNormalCaracter"/>
        </w:rPr>
        <w:t xml:space="preserve">, Auto </w:t>
      </w:r>
      <w:hyperlink w:anchor="AUTO_2024_57" w:history="1">
        <w:r w:rsidRPr="00E55613">
          <w:rPr>
            <w:rStyle w:val="TextoNormalCaracter"/>
          </w:rPr>
          <w:t>57/2024</w:t>
        </w:r>
      </w:hyperlink>
      <w:r w:rsidRPr="00E55613">
        <w:rPr>
          <w:rStyle w:val="TextoNormalCaracter"/>
        </w:rPr>
        <w:t>, f. 4.</w:t>
      </w:r>
    </w:p>
    <w:p w14:paraId="760958E2" w14:textId="409CE497" w:rsidR="00E55613" w:rsidRDefault="00E55613" w:rsidP="00E55613">
      <w:pPr>
        <w:pStyle w:val="TextoNormalSangraFrancesa"/>
      </w:pPr>
    </w:p>
    <w:p w14:paraId="4B088027" w14:textId="77777777" w:rsidR="00E55613" w:rsidRDefault="00E55613" w:rsidP="00E55613">
      <w:pPr>
        <w:pStyle w:val="TextoNormalSangraFrancesa"/>
      </w:pPr>
    </w:p>
    <w:p w14:paraId="75F66EED" w14:textId="77777777" w:rsidR="00E55613" w:rsidRDefault="00E55613" w:rsidP="00E55613">
      <w:pPr>
        <w:pStyle w:val="TextoNormalNegritaCentrado"/>
      </w:pPr>
      <w:r>
        <w:t>J</w:t>
      </w:r>
    </w:p>
    <w:p w14:paraId="54FFD67E" w14:textId="75D48B71" w:rsidR="00E55613" w:rsidRDefault="00E55613" w:rsidP="00E55613">
      <w:pPr>
        <w:pStyle w:val="TextoNormalNegritaCentrado"/>
      </w:pPr>
    </w:p>
    <w:p w14:paraId="5899355A" w14:textId="40BC7084" w:rsidR="00E55613" w:rsidRPr="00E55613" w:rsidRDefault="00E55613" w:rsidP="00E55613">
      <w:pPr>
        <w:pStyle w:val="TextoNormalSangraFrancesa"/>
        <w:rPr>
          <w:rStyle w:val="TextoNormalCaracter"/>
        </w:rPr>
      </w:pPr>
      <w:bookmarkStart w:id="1015" w:name="DESCRIPTORALFABETICO160"/>
      <w:r w:rsidRPr="00E55613">
        <w:rPr>
          <w:rStyle w:val="TextoNormalNegritaCaracter"/>
        </w:rPr>
        <w:t>Juicio de aplicabilidad</w:t>
      </w:r>
      <w:bookmarkEnd w:id="1015"/>
      <w:r w:rsidRPr="00E55613">
        <w:rPr>
          <w:rStyle w:val="TextoNormalCaracter"/>
        </w:rPr>
        <w:t xml:space="preserve">, Sentencias </w:t>
      </w:r>
      <w:hyperlink w:anchor="SENTENCIA_2024_46" w:history="1">
        <w:r w:rsidRPr="00E55613">
          <w:rPr>
            <w:rStyle w:val="TextoNormalCaracter"/>
          </w:rPr>
          <w:t>46/2024</w:t>
        </w:r>
      </w:hyperlink>
      <w:r w:rsidRPr="00E55613">
        <w:rPr>
          <w:rStyle w:val="TextoNormalCaracter"/>
        </w:rPr>
        <w:t xml:space="preserve">, f. 2; </w:t>
      </w:r>
      <w:hyperlink w:anchor="SENTENCIA_2024_69" w:history="1">
        <w:r w:rsidRPr="00E55613">
          <w:rPr>
            <w:rStyle w:val="TextoNormalCaracter"/>
          </w:rPr>
          <w:t>69/2024</w:t>
        </w:r>
      </w:hyperlink>
      <w:r w:rsidRPr="00E55613">
        <w:rPr>
          <w:rStyle w:val="TextoNormalCaracter"/>
        </w:rPr>
        <w:t>, f. 2.</w:t>
      </w:r>
    </w:p>
    <w:p w14:paraId="5191C7ED" w14:textId="0FA4B639" w:rsidR="00E55613" w:rsidRPr="00E55613" w:rsidRDefault="00E55613" w:rsidP="00E55613">
      <w:pPr>
        <w:pStyle w:val="TextoNormalSangraFrancesa"/>
        <w:rPr>
          <w:rStyle w:val="TextoNormalCaracter"/>
        </w:rPr>
      </w:pPr>
      <w:bookmarkStart w:id="1016" w:name="DESCRIPTORALFABETICO498"/>
      <w:r w:rsidRPr="00E55613">
        <w:rPr>
          <w:rStyle w:val="TextoNormalNegritaCaracter"/>
        </w:rPr>
        <w:t>Juicio de desahucio</w:t>
      </w:r>
      <w:bookmarkEnd w:id="1016"/>
      <w:r w:rsidRPr="00E55613">
        <w:rPr>
          <w:rStyle w:val="TextoNormalCaracter"/>
        </w:rPr>
        <w:t xml:space="preserve">, Sentencia </w:t>
      </w:r>
      <w:hyperlink w:anchor="SENTENCIA_2024_84" w:history="1">
        <w:r w:rsidRPr="00E55613">
          <w:rPr>
            <w:rStyle w:val="TextoNormalCaracter"/>
          </w:rPr>
          <w:t>84/2024</w:t>
        </w:r>
      </w:hyperlink>
      <w:r w:rsidRPr="00E55613">
        <w:rPr>
          <w:rStyle w:val="TextoNormalCaracter"/>
        </w:rPr>
        <w:t>, ff. 1 y 2.</w:t>
      </w:r>
    </w:p>
    <w:p w14:paraId="51099632" w14:textId="4BB67B21" w:rsidR="00E55613" w:rsidRPr="00E55613" w:rsidRDefault="00E55613" w:rsidP="00E55613">
      <w:pPr>
        <w:pStyle w:val="TextoNormalSangraFrancesa"/>
        <w:rPr>
          <w:rStyle w:val="TextoNormalCaracter"/>
        </w:rPr>
      </w:pPr>
      <w:bookmarkStart w:id="1017" w:name="DESCRIPTORALFABETICO161"/>
      <w:r w:rsidRPr="00E55613">
        <w:rPr>
          <w:rStyle w:val="TextoNormalNegritaCaracter"/>
        </w:rPr>
        <w:t>Juicio de relevancia</w:t>
      </w:r>
      <w:bookmarkEnd w:id="1017"/>
      <w:r w:rsidRPr="00E55613">
        <w:rPr>
          <w:rStyle w:val="TextoNormalCaracter"/>
        </w:rPr>
        <w:t xml:space="preserve">, Sentencia </w:t>
      </w:r>
      <w:hyperlink w:anchor="SENTENCIA_2024_69" w:history="1">
        <w:r w:rsidRPr="00E55613">
          <w:rPr>
            <w:rStyle w:val="TextoNormalCaracter"/>
          </w:rPr>
          <w:t>69/2024</w:t>
        </w:r>
      </w:hyperlink>
      <w:r w:rsidRPr="00E55613">
        <w:rPr>
          <w:rStyle w:val="TextoNormalCaracter"/>
        </w:rPr>
        <w:t>, f. 2.</w:t>
      </w:r>
    </w:p>
    <w:p w14:paraId="42702FDF" w14:textId="5A878CD0" w:rsidR="00E55613" w:rsidRPr="00E55613" w:rsidRDefault="00E55613" w:rsidP="00E55613">
      <w:pPr>
        <w:pStyle w:val="TextoNormalSangraFrancesa"/>
        <w:rPr>
          <w:rStyle w:val="TextoNormalCaracter"/>
        </w:rPr>
      </w:pPr>
      <w:bookmarkStart w:id="1018" w:name="DESCRIPTORALFABETICO499"/>
      <w:r w:rsidRPr="00E55613">
        <w:rPr>
          <w:rStyle w:val="TextoNormalNegritaCaracter"/>
        </w:rPr>
        <w:t>Juicio verbal de desahucio</w:t>
      </w:r>
      <w:bookmarkEnd w:id="1018"/>
      <w:r w:rsidRPr="00E55613">
        <w:rPr>
          <w:rStyle w:val="TextoNormalCaracter"/>
        </w:rPr>
        <w:t xml:space="preserve">, Sentencia </w:t>
      </w:r>
      <w:hyperlink w:anchor="SENTENCIA_2024_21" w:history="1">
        <w:r w:rsidRPr="00E55613">
          <w:rPr>
            <w:rStyle w:val="TextoNormalCaracter"/>
          </w:rPr>
          <w:t>21/2024</w:t>
        </w:r>
      </w:hyperlink>
      <w:r w:rsidRPr="00E55613">
        <w:rPr>
          <w:rStyle w:val="TextoNormalCaracter"/>
        </w:rPr>
        <w:t>, d. 4.</w:t>
      </w:r>
    </w:p>
    <w:p w14:paraId="065377C0" w14:textId="037BE0EA" w:rsidR="00E55613" w:rsidRDefault="00E55613" w:rsidP="00E55613">
      <w:pPr>
        <w:pStyle w:val="TextoNormalSangraFrancesa"/>
      </w:pPr>
    </w:p>
    <w:p w14:paraId="1CCF2788" w14:textId="77777777" w:rsidR="00E55613" w:rsidRDefault="00E55613" w:rsidP="00E55613">
      <w:pPr>
        <w:pStyle w:val="TextoNormalSangraFrancesa"/>
      </w:pPr>
    </w:p>
    <w:p w14:paraId="716B5751" w14:textId="77777777" w:rsidR="00E55613" w:rsidRDefault="00E55613" w:rsidP="00E55613">
      <w:pPr>
        <w:pStyle w:val="TextoNormalNegritaCentrado"/>
      </w:pPr>
      <w:r>
        <w:t>L</w:t>
      </w:r>
    </w:p>
    <w:p w14:paraId="72510001" w14:textId="287A285E" w:rsidR="00E55613" w:rsidRDefault="00E55613" w:rsidP="00E55613">
      <w:pPr>
        <w:pStyle w:val="TextoNormalNegritaCentrado"/>
      </w:pPr>
    </w:p>
    <w:p w14:paraId="712ABB58" w14:textId="77777777" w:rsidR="00E55613" w:rsidRPr="00E55613" w:rsidRDefault="00E55613" w:rsidP="00E55613">
      <w:pPr>
        <w:pStyle w:val="TextoNormalSangraFrancesa"/>
        <w:rPr>
          <w:rStyle w:val="TextoNormalCaracter"/>
        </w:rPr>
      </w:pPr>
      <w:bookmarkStart w:id="1019" w:name="DESCRIPTORALFABETICO470"/>
      <w:r w:rsidRPr="00E55613">
        <w:rPr>
          <w:rStyle w:val="TextoNormalNegritaCaracter"/>
        </w:rPr>
        <w:t>Lanzamiento de vivienda</w:t>
      </w:r>
      <w:bookmarkEnd w:id="1019"/>
      <w:r w:rsidRPr="00E55613">
        <w:rPr>
          <w:rStyle w:val="TextoNormalCaracter"/>
        </w:rPr>
        <w:t xml:space="preserve">, </w:t>
      </w:r>
    </w:p>
    <w:p w14:paraId="4B155576" w14:textId="70DBB8E6" w:rsidR="00E55613" w:rsidRPr="00E55613" w:rsidRDefault="00E55613" w:rsidP="00E55613">
      <w:pPr>
        <w:pStyle w:val="TextoNormalSangraFrancesa"/>
        <w:rPr>
          <w:rStyle w:val="TextoNormalCaracter"/>
        </w:rPr>
      </w:pPr>
      <w:r w:rsidRPr="00E55613">
        <w:rPr>
          <w:rStyle w:val="TextoNormalCursivaCaracter"/>
        </w:rPr>
        <w:t xml:space="preserve">    Suspende, </w:t>
      </w:r>
      <w:r w:rsidRPr="00E55613">
        <w:rPr>
          <w:rStyle w:val="TextoNormalCaracter"/>
        </w:rPr>
        <w:t xml:space="preserve">Sentencia </w:t>
      </w:r>
      <w:hyperlink w:anchor="SENTENCIA_2024_7" w:history="1">
        <w:r w:rsidRPr="00E55613">
          <w:rPr>
            <w:rStyle w:val="TextoNormalCaracter"/>
          </w:rPr>
          <w:t>7/2024</w:t>
        </w:r>
      </w:hyperlink>
      <w:r w:rsidRPr="00E55613">
        <w:rPr>
          <w:rStyle w:val="TextoNormalCaracter"/>
        </w:rPr>
        <w:t>, ff. 1, 4 y 6.</w:t>
      </w:r>
    </w:p>
    <w:p w14:paraId="2159B792" w14:textId="4EE77139" w:rsidR="00E55613" w:rsidRPr="00E55613" w:rsidRDefault="00E55613" w:rsidP="00E55613">
      <w:pPr>
        <w:pStyle w:val="TextoNormalSangraFrancesa"/>
        <w:rPr>
          <w:rStyle w:val="TextoNormalCaracter"/>
        </w:rPr>
      </w:pPr>
      <w:bookmarkStart w:id="1020" w:name="DESCRIPTORALFABETICO171"/>
      <w:r w:rsidRPr="00E55613">
        <w:rPr>
          <w:rStyle w:val="TextoNormalNegritaCaracter"/>
        </w:rPr>
        <w:t>Legitimación activa en el recurso de amparo</w:t>
      </w:r>
      <w:bookmarkEnd w:id="1020"/>
      <w:r w:rsidRPr="00E55613">
        <w:rPr>
          <w:rStyle w:val="TextoNormalCaracter"/>
        </w:rPr>
        <w:t xml:space="preserve">, Sentencia </w:t>
      </w:r>
      <w:hyperlink w:anchor="SENTENCIA_2024_53" w:history="1">
        <w:r w:rsidRPr="00E55613">
          <w:rPr>
            <w:rStyle w:val="TextoNormalCaracter"/>
          </w:rPr>
          <w:t>53/2024</w:t>
        </w:r>
      </w:hyperlink>
      <w:r w:rsidRPr="00E55613">
        <w:rPr>
          <w:rStyle w:val="TextoNormalCaracter"/>
        </w:rPr>
        <w:t>, f. 2.</w:t>
      </w:r>
    </w:p>
    <w:p w14:paraId="2C7DC1ED" w14:textId="5A6A0319" w:rsidR="00E55613" w:rsidRPr="00E55613" w:rsidRDefault="00E55613" w:rsidP="00E55613">
      <w:pPr>
        <w:pStyle w:val="TextoNormalSangraFrancesa"/>
        <w:rPr>
          <w:rStyle w:val="TextoNormalCaracter"/>
        </w:rPr>
      </w:pPr>
      <w:bookmarkStart w:id="1021" w:name="DESCRIPTORALFABETICO337"/>
      <w:r w:rsidRPr="00E55613">
        <w:rPr>
          <w:rStyle w:val="TextoNormalNegritaCaracter"/>
        </w:rPr>
        <w:lastRenderedPageBreak/>
        <w:t>Lesiones</w:t>
      </w:r>
      <w:bookmarkEnd w:id="1021"/>
      <w:r w:rsidRPr="00E55613">
        <w:rPr>
          <w:rStyle w:val="TextoNormalCaracter"/>
        </w:rPr>
        <w:t xml:space="preserve">, Auto </w:t>
      </w:r>
      <w:hyperlink w:anchor="AUTO_2024_57" w:history="1">
        <w:r w:rsidRPr="00E55613">
          <w:rPr>
            <w:rStyle w:val="TextoNormalCaracter"/>
          </w:rPr>
          <w:t>57/2024</w:t>
        </w:r>
      </w:hyperlink>
      <w:r w:rsidRPr="00E55613">
        <w:rPr>
          <w:rStyle w:val="TextoNormalCaracter"/>
        </w:rPr>
        <w:t>, f. 1.</w:t>
      </w:r>
    </w:p>
    <w:p w14:paraId="7468E5E1" w14:textId="57088B12" w:rsidR="00E55613" w:rsidRPr="00E55613" w:rsidRDefault="00E55613" w:rsidP="00E55613">
      <w:pPr>
        <w:pStyle w:val="TextoNormalSangraFrancesa"/>
        <w:rPr>
          <w:rStyle w:val="TextoNormalCaracter"/>
        </w:rPr>
      </w:pPr>
      <w:bookmarkStart w:id="1022" w:name="DESCRIPTORALFABETICO338"/>
      <w:r w:rsidRPr="00E55613">
        <w:rPr>
          <w:rStyle w:val="TextoNormalNegritaCaracter"/>
        </w:rPr>
        <w:t>Lesiones psicológicas</w:t>
      </w:r>
      <w:bookmarkEnd w:id="1022"/>
      <w:r w:rsidRPr="00E55613">
        <w:rPr>
          <w:rStyle w:val="TextoNormalCaracter"/>
        </w:rPr>
        <w:t xml:space="preserve">, Sentencia </w:t>
      </w:r>
      <w:hyperlink w:anchor="SENTENCIA_2024_48" w:history="1">
        <w:r w:rsidRPr="00E55613">
          <w:rPr>
            <w:rStyle w:val="TextoNormalCaracter"/>
          </w:rPr>
          <w:t>48/2024</w:t>
        </w:r>
      </w:hyperlink>
      <w:r w:rsidRPr="00E55613">
        <w:rPr>
          <w:rStyle w:val="TextoNormalCaracter"/>
        </w:rPr>
        <w:t>, f. 4.</w:t>
      </w:r>
    </w:p>
    <w:p w14:paraId="577ED788" w14:textId="6140E265" w:rsidR="00E55613" w:rsidRPr="00E55613" w:rsidRDefault="00E55613" w:rsidP="00E55613">
      <w:pPr>
        <w:pStyle w:val="TextoNormalSangraFrancesa"/>
        <w:rPr>
          <w:rStyle w:val="TextoNormalCaracter"/>
        </w:rPr>
      </w:pPr>
      <w:bookmarkStart w:id="1023" w:name="DESCRIPTORALFABETICO139"/>
      <w:r w:rsidRPr="00E55613">
        <w:rPr>
          <w:rStyle w:val="TextoNormalNegritaCaracter"/>
        </w:rPr>
        <w:t>Levantamiento de la suspensión de disposiciones de las Comunidades Autónomas</w:t>
      </w:r>
      <w:bookmarkEnd w:id="1023"/>
      <w:r w:rsidRPr="00E55613">
        <w:rPr>
          <w:rStyle w:val="TextoNormalCaracter"/>
        </w:rPr>
        <w:t xml:space="preserve">, Autos </w:t>
      </w:r>
      <w:hyperlink w:anchor="AUTO_2024_21" w:history="1">
        <w:r w:rsidRPr="00E55613">
          <w:rPr>
            <w:rStyle w:val="TextoNormalCaracter"/>
          </w:rPr>
          <w:t>21/2024</w:t>
        </w:r>
      </w:hyperlink>
      <w:r w:rsidRPr="00E55613">
        <w:rPr>
          <w:rStyle w:val="TextoNormalCaracter"/>
        </w:rPr>
        <w:t xml:space="preserve">, ff. 2 y 3; </w:t>
      </w:r>
      <w:hyperlink w:anchor="AUTO_2024_22" w:history="1">
        <w:r w:rsidRPr="00E55613">
          <w:rPr>
            <w:rStyle w:val="TextoNormalCaracter"/>
          </w:rPr>
          <w:t>22/2024</w:t>
        </w:r>
      </w:hyperlink>
      <w:r w:rsidRPr="00E55613">
        <w:rPr>
          <w:rStyle w:val="TextoNormalCaracter"/>
        </w:rPr>
        <w:t xml:space="preserve">, ff. 2 a 4; </w:t>
      </w:r>
      <w:hyperlink w:anchor="AUTO_2024_37" w:history="1">
        <w:r w:rsidRPr="00E55613">
          <w:rPr>
            <w:rStyle w:val="TextoNormalCaracter"/>
          </w:rPr>
          <w:t>37/2024</w:t>
        </w:r>
      </w:hyperlink>
      <w:r w:rsidRPr="00E55613">
        <w:rPr>
          <w:rStyle w:val="TextoNormalCaracter"/>
        </w:rPr>
        <w:t>, ff. 2 a 4.</w:t>
      </w:r>
    </w:p>
    <w:p w14:paraId="169B7905" w14:textId="719BD38D" w:rsidR="00E55613" w:rsidRPr="00E55613" w:rsidRDefault="00E55613" w:rsidP="00E55613">
      <w:pPr>
        <w:pStyle w:val="TextoNormalSangraFrancesa"/>
        <w:rPr>
          <w:rStyle w:val="TextoNormalCaracter"/>
        </w:rPr>
      </w:pPr>
      <w:bookmarkStart w:id="1024" w:name="DESCRIPTORALFABETICO377"/>
      <w:r w:rsidRPr="00E55613">
        <w:rPr>
          <w:rStyle w:val="TextoNormalNegritaCaracter"/>
        </w:rPr>
        <w:t>Leyes autoaplicativas</w:t>
      </w:r>
      <w:bookmarkEnd w:id="1024"/>
      <w:r w:rsidRPr="00E55613">
        <w:rPr>
          <w:rStyle w:val="TextoNormalCaracter"/>
        </w:rPr>
        <w:t xml:space="preserve">, Sentencia </w:t>
      </w:r>
      <w:hyperlink w:anchor="SENTENCIA_2024_15" w:history="1">
        <w:r w:rsidRPr="00E55613">
          <w:rPr>
            <w:rStyle w:val="TextoNormalCaracter"/>
          </w:rPr>
          <w:t>15/2024</w:t>
        </w:r>
      </w:hyperlink>
      <w:r w:rsidRPr="00E55613">
        <w:rPr>
          <w:rStyle w:val="TextoNormalCaracter"/>
        </w:rPr>
        <w:t>, f. 7, VP II.</w:t>
      </w:r>
    </w:p>
    <w:p w14:paraId="4054A40E" w14:textId="77777777" w:rsidR="00E55613" w:rsidRPr="00E55613" w:rsidRDefault="00E55613" w:rsidP="00E55613">
      <w:pPr>
        <w:pStyle w:val="TextoNormalSangraFrancesa"/>
        <w:rPr>
          <w:rStyle w:val="TextoNormalCaracter"/>
        </w:rPr>
      </w:pPr>
      <w:bookmarkStart w:id="1025" w:name="DESCRIPTORALFABETICO205"/>
      <w:r w:rsidRPr="00E55613">
        <w:rPr>
          <w:rStyle w:val="TextoNormalNegritaCaracter"/>
        </w:rPr>
        <w:t>Leyes de amnistía</w:t>
      </w:r>
      <w:bookmarkEnd w:id="1025"/>
      <w:r w:rsidRPr="00E55613">
        <w:rPr>
          <w:rStyle w:val="TextoNormalCaracter"/>
        </w:rPr>
        <w:t xml:space="preserve">, </w:t>
      </w:r>
    </w:p>
    <w:p w14:paraId="0458F931" w14:textId="7BF16CDF" w:rsidR="00E55613" w:rsidRPr="00E55613" w:rsidRDefault="00E55613" w:rsidP="00E55613">
      <w:pPr>
        <w:pStyle w:val="TextoNormalSangraFrancesa"/>
        <w:rPr>
          <w:rStyle w:val="TextoNormalCaracter"/>
        </w:rPr>
      </w:pPr>
      <w:r w:rsidRPr="00E55613">
        <w:rPr>
          <w:rStyle w:val="TextoNormalCursivaCaracter"/>
        </w:rPr>
        <w:t xml:space="preserve">    Límites, </w:t>
      </w:r>
      <w:r w:rsidRPr="00E55613">
        <w:rPr>
          <w:rStyle w:val="TextoNormalCaracter"/>
        </w:rPr>
        <w:t xml:space="preserve">Auto </w:t>
      </w:r>
      <w:hyperlink w:anchor="AUTO_2024_57" w:history="1">
        <w:r w:rsidRPr="00E55613">
          <w:rPr>
            <w:rStyle w:val="TextoNormalCaracter"/>
          </w:rPr>
          <w:t>57/2024</w:t>
        </w:r>
      </w:hyperlink>
      <w:r w:rsidRPr="00E55613">
        <w:rPr>
          <w:rStyle w:val="TextoNormalCaracter"/>
        </w:rPr>
        <w:t>, f. 4, VP II.</w:t>
      </w:r>
    </w:p>
    <w:p w14:paraId="55082C28" w14:textId="77777777" w:rsidR="00E55613" w:rsidRPr="00E55613" w:rsidRDefault="00E55613" w:rsidP="00E55613">
      <w:pPr>
        <w:pStyle w:val="TextoNormalSangraFrancesa"/>
        <w:rPr>
          <w:rStyle w:val="TextoNormalCaracter"/>
        </w:rPr>
      </w:pPr>
      <w:bookmarkStart w:id="1026" w:name="DESCRIPTORALFABETICO376"/>
      <w:r w:rsidRPr="00E55613">
        <w:rPr>
          <w:rStyle w:val="TextoNormalNegritaCaracter"/>
        </w:rPr>
        <w:t>Leyes singulares</w:t>
      </w:r>
      <w:bookmarkEnd w:id="1026"/>
      <w:r w:rsidRPr="00E55613">
        <w:rPr>
          <w:rStyle w:val="TextoNormalCaracter"/>
        </w:rPr>
        <w:t xml:space="preserve">, </w:t>
      </w:r>
    </w:p>
    <w:p w14:paraId="2EFA49BC" w14:textId="5D4DE59E" w:rsidR="00E55613" w:rsidRPr="00E55613" w:rsidRDefault="00E55613" w:rsidP="00E55613">
      <w:pPr>
        <w:pStyle w:val="TextoNormalSangraFrancesa"/>
        <w:rPr>
          <w:rStyle w:val="TextoNormalCaracter"/>
        </w:rPr>
      </w:pPr>
      <w:r w:rsidRPr="00E55613">
        <w:rPr>
          <w:rStyle w:val="TextoNormalCursivaCaracter"/>
        </w:rPr>
        <w:t xml:space="preserve">    Naturaleza, </w:t>
      </w:r>
      <w:r w:rsidRPr="00E55613">
        <w:rPr>
          <w:rStyle w:val="TextoNormalCaracter"/>
        </w:rPr>
        <w:t xml:space="preserve">Sentencia </w:t>
      </w:r>
      <w:hyperlink w:anchor="SENTENCIA_2024_15" w:history="1">
        <w:r w:rsidRPr="00E55613">
          <w:rPr>
            <w:rStyle w:val="TextoNormalCaracter"/>
          </w:rPr>
          <w:t>15/2024</w:t>
        </w:r>
      </w:hyperlink>
      <w:r w:rsidRPr="00E55613">
        <w:rPr>
          <w:rStyle w:val="TextoNormalCaracter"/>
        </w:rPr>
        <w:t>, f. 7, VP II.</w:t>
      </w:r>
    </w:p>
    <w:p w14:paraId="6B9384F0" w14:textId="77777777" w:rsidR="00E55613" w:rsidRPr="00E55613" w:rsidRDefault="00E55613" w:rsidP="00E55613">
      <w:pPr>
        <w:pStyle w:val="TextoNormalSangraFrancesa"/>
        <w:rPr>
          <w:rStyle w:val="TextoNormalCaracter"/>
        </w:rPr>
      </w:pPr>
      <w:bookmarkStart w:id="1027" w:name="DESCRIPTORALFABETICO111"/>
      <w:r w:rsidRPr="00E55613">
        <w:rPr>
          <w:rStyle w:val="TextoNormalNegritaCaracter"/>
        </w:rPr>
        <w:t>Libertad de circulación</w:t>
      </w:r>
      <w:bookmarkEnd w:id="1027"/>
      <w:r w:rsidRPr="00E55613">
        <w:rPr>
          <w:rStyle w:val="TextoNormalCaracter"/>
        </w:rPr>
        <w:t xml:space="preserve">, </w:t>
      </w:r>
    </w:p>
    <w:p w14:paraId="49F4EB05" w14:textId="3675F9E6" w:rsidR="00E55613" w:rsidRPr="00E55613" w:rsidRDefault="00E55613" w:rsidP="00E55613">
      <w:pPr>
        <w:pStyle w:val="TextoNormalSangraFrancesa"/>
        <w:rPr>
          <w:rStyle w:val="TextoNormalCaracter"/>
        </w:rPr>
      </w:pPr>
      <w:r w:rsidRPr="00E55613">
        <w:rPr>
          <w:rStyle w:val="TextoNormalCursivaCaracter"/>
        </w:rPr>
        <w:t xml:space="preserve">    Respetada, </w:t>
      </w:r>
      <w:r w:rsidRPr="00E55613">
        <w:rPr>
          <w:rStyle w:val="TextoNormalCaracter"/>
        </w:rPr>
        <w:t xml:space="preserve">Sentencia </w:t>
      </w:r>
      <w:hyperlink w:anchor="SENTENCIA_2024_17" w:history="1">
        <w:r w:rsidRPr="00E55613">
          <w:rPr>
            <w:rStyle w:val="TextoNormalCaracter"/>
          </w:rPr>
          <w:t>17/2024</w:t>
        </w:r>
      </w:hyperlink>
      <w:r w:rsidRPr="00E55613">
        <w:rPr>
          <w:rStyle w:val="TextoNormalCaracter"/>
        </w:rPr>
        <w:t>.</w:t>
      </w:r>
    </w:p>
    <w:p w14:paraId="46E33DD2" w14:textId="1C3EF871" w:rsidR="00E55613" w:rsidRPr="00E55613" w:rsidRDefault="00E55613" w:rsidP="00E55613">
      <w:pPr>
        <w:pStyle w:val="TextoNormalSangraFrancesa"/>
        <w:rPr>
          <w:rStyle w:val="TextoNormalCaracter"/>
        </w:rPr>
      </w:pPr>
      <w:bookmarkStart w:id="1028" w:name="DESCRIPTORALFABETICO112"/>
      <w:r w:rsidRPr="00E55613">
        <w:rPr>
          <w:rStyle w:val="TextoNormalNegritaCaracter"/>
        </w:rPr>
        <w:t>Libertad de contratación</w:t>
      </w:r>
      <w:bookmarkEnd w:id="1028"/>
      <w:r w:rsidRPr="00E55613">
        <w:rPr>
          <w:rStyle w:val="TextoNormalCaracter"/>
        </w:rPr>
        <w:t xml:space="preserve">, Sentencia </w:t>
      </w:r>
      <w:hyperlink w:anchor="SENTENCIA_2024_89" w:history="1">
        <w:r w:rsidRPr="00E55613">
          <w:rPr>
            <w:rStyle w:val="TextoNormalCaracter"/>
          </w:rPr>
          <w:t>89/2024</w:t>
        </w:r>
      </w:hyperlink>
      <w:r w:rsidRPr="00E55613">
        <w:rPr>
          <w:rStyle w:val="TextoNormalCaracter"/>
        </w:rPr>
        <w:t>, f. 3.</w:t>
      </w:r>
    </w:p>
    <w:p w14:paraId="3192B7D2" w14:textId="3C2CDFDB" w:rsidR="00E55613" w:rsidRPr="00E55613" w:rsidRDefault="00E55613" w:rsidP="00E55613">
      <w:pPr>
        <w:pStyle w:val="TextoNormalSangraFrancesa"/>
        <w:rPr>
          <w:rStyle w:val="TextoNormalCaracter"/>
        </w:rPr>
      </w:pPr>
      <w:bookmarkStart w:id="1029" w:name="DESCRIPTORALFABETICO113"/>
      <w:r w:rsidRPr="00E55613">
        <w:rPr>
          <w:rStyle w:val="TextoNormalNegritaCaracter"/>
        </w:rPr>
        <w:t>Libertad de enseñanza</w:t>
      </w:r>
      <w:bookmarkEnd w:id="1029"/>
      <w:r w:rsidRPr="00E55613">
        <w:rPr>
          <w:rStyle w:val="TextoNormalCaracter"/>
        </w:rPr>
        <w:t xml:space="preserve">, Sentencia </w:t>
      </w:r>
      <w:hyperlink w:anchor="SENTENCIA_2024_89" w:history="1">
        <w:r w:rsidRPr="00E55613">
          <w:rPr>
            <w:rStyle w:val="TextoNormalCaracter"/>
          </w:rPr>
          <w:t>89/2024</w:t>
        </w:r>
      </w:hyperlink>
      <w:r w:rsidRPr="00E55613">
        <w:rPr>
          <w:rStyle w:val="TextoNormalCaracter"/>
        </w:rPr>
        <w:t>, f. 4, VP I.</w:t>
      </w:r>
    </w:p>
    <w:p w14:paraId="6B81208B" w14:textId="77777777" w:rsidR="00E55613" w:rsidRPr="00E55613" w:rsidRDefault="00E55613" w:rsidP="00E55613">
      <w:pPr>
        <w:pStyle w:val="TextoNormalSangraFrancesa"/>
        <w:rPr>
          <w:rStyle w:val="TextoNormalCaracter"/>
        </w:rPr>
      </w:pPr>
      <w:bookmarkStart w:id="1030" w:name="DESCRIPTORALFABETICO114"/>
      <w:r w:rsidRPr="00E55613">
        <w:rPr>
          <w:rStyle w:val="TextoNormalNegritaCaracter"/>
        </w:rPr>
        <w:t>Libertad de expresión</w:t>
      </w:r>
      <w:bookmarkEnd w:id="1030"/>
      <w:r w:rsidRPr="00E55613">
        <w:rPr>
          <w:rStyle w:val="TextoNormalCaracter"/>
        </w:rPr>
        <w:t xml:space="preserve">, </w:t>
      </w:r>
    </w:p>
    <w:p w14:paraId="62968913" w14:textId="6DFE4BB5" w:rsidR="00E55613" w:rsidRPr="00E55613" w:rsidRDefault="00E55613" w:rsidP="00E55613">
      <w:pPr>
        <w:pStyle w:val="TextoNormalSangraFrancesa"/>
        <w:rPr>
          <w:rStyle w:val="TextoNormalCaracter"/>
        </w:rPr>
      </w:pPr>
      <w:r w:rsidRPr="00E55613">
        <w:rPr>
          <w:rStyle w:val="TextoNormalCursivaCaracter"/>
        </w:rPr>
        <w:t xml:space="preserve">    Respetada, </w:t>
      </w:r>
      <w:r w:rsidRPr="00E55613">
        <w:rPr>
          <w:rStyle w:val="TextoNormalCaracter"/>
        </w:rPr>
        <w:t xml:space="preserve">Sentencia </w:t>
      </w:r>
      <w:hyperlink w:anchor="SENTENCIA_2024_75" w:history="1">
        <w:r w:rsidRPr="00E55613">
          <w:rPr>
            <w:rStyle w:val="TextoNormalCaracter"/>
          </w:rPr>
          <w:t>75/2024</w:t>
        </w:r>
      </w:hyperlink>
      <w:r w:rsidRPr="00E55613">
        <w:rPr>
          <w:rStyle w:val="TextoNormalCaracter"/>
        </w:rPr>
        <w:t>, f. 5, VP I, VP II.</w:t>
      </w:r>
    </w:p>
    <w:p w14:paraId="1CD51C30" w14:textId="77777777" w:rsidR="00E55613" w:rsidRPr="00E55613" w:rsidRDefault="00E55613" w:rsidP="00E55613">
      <w:pPr>
        <w:pStyle w:val="TextoNormalSangraFrancesa"/>
        <w:rPr>
          <w:rStyle w:val="TextoNormalCaracter"/>
        </w:rPr>
      </w:pPr>
      <w:bookmarkStart w:id="1031" w:name="DESCRIPTORALFABETICO115"/>
      <w:r w:rsidRPr="00E55613">
        <w:rPr>
          <w:rStyle w:val="TextoNormalNegritaCaracter"/>
        </w:rPr>
        <w:t>Libertad de residencia</w:t>
      </w:r>
      <w:bookmarkEnd w:id="1031"/>
      <w:r w:rsidRPr="00E55613">
        <w:rPr>
          <w:rStyle w:val="TextoNormalCaracter"/>
        </w:rPr>
        <w:t xml:space="preserve">, </w:t>
      </w:r>
    </w:p>
    <w:p w14:paraId="7988C9DD" w14:textId="0983BDED" w:rsidR="00E55613" w:rsidRPr="00E55613" w:rsidRDefault="00E55613" w:rsidP="00E55613">
      <w:pPr>
        <w:pStyle w:val="TextoNormalSangraFrancesa"/>
        <w:rPr>
          <w:rStyle w:val="TextoNormalCaracter"/>
        </w:rPr>
      </w:pPr>
      <w:r w:rsidRPr="00E55613">
        <w:rPr>
          <w:rStyle w:val="TextoNormalCursivaCaracter"/>
        </w:rPr>
        <w:t xml:space="preserve">    Respetada, </w:t>
      </w:r>
      <w:r w:rsidRPr="00E55613">
        <w:rPr>
          <w:rStyle w:val="TextoNormalCaracter"/>
        </w:rPr>
        <w:t xml:space="preserve">Sentencia </w:t>
      </w:r>
      <w:hyperlink w:anchor="SENTENCIA_2024_17" w:history="1">
        <w:r w:rsidRPr="00E55613">
          <w:rPr>
            <w:rStyle w:val="TextoNormalCaracter"/>
          </w:rPr>
          <w:t>17/2024</w:t>
        </w:r>
      </w:hyperlink>
      <w:r w:rsidRPr="00E55613">
        <w:rPr>
          <w:rStyle w:val="TextoNormalCaracter"/>
        </w:rPr>
        <w:t>.</w:t>
      </w:r>
    </w:p>
    <w:p w14:paraId="7A74EFE5" w14:textId="77777777" w:rsidR="00E55613" w:rsidRPr="00E55613" w:rsidRDefault="00E55613" w:rsidP="00E55613">
      <w:pPr>
        <w:pStyle w:val="TextoNormalSangraFrancesa"/>
        <w:rPr>
          <w:rStyle w:val="TextoNormalCaracter"/>
        </w:rPr>
      </w:pPr>
      <w:bookmarkStart w:id="1032" w:name="DESCRIPTORALFABETICO116"/>
      <w:r w:rsidRPr="00E55613">
        <w:rPr>
          <w:rStyle w:val="TextoNormalNegritaCaracter"/>
        </w:rPr>
        <w:t>Libertad ideológica, religiosa y de culto</w:t>
      </w:r>
      <w:bookmarkEnd w:id="1032"/>
      <w:r w:rsidRPr="00E55613">
        <w:rPr>
          <w:rStyle w:val="TextoNormalCaracter"/>
        </w:rPr>
        <w:t xml:space="preserve">, </w:t>
      </w:r>
    </w:p>
    <w:p w14:paraId="22BF37FE" w14:textId="1D0F7108" w:rsidR="00E55613" w:rsidRPr="00E55613" w:rsidRDefault="00E55613" w:rsidP="00E55613">
      <w:pPr>
        <w:pStyle w:val="TextoNormalSangraFrancesa"/>
        <w:rPr>
          <w:rStyle w:val="TextoNormalCaracter"/>
        </w:rPr>
      </w:pPr>
      <w:r w:rsidRPr="00E55613">
        <w:rPr>
          <w:rStyle w:val="TextoNormalCursivaCaracter"/>
        </w:rPr>
        <w:t xml:space="preserve">    Respetada, </w:t>
      </w:r>
      <w:r w:rsidRPr="00E55613">
        <w:rPr>
          <w:rStyle w:val="TextoNormalCaracter"/>
        </w:rPr>
        <w:t xml:space="preserve">Sentencia </w:t>
      </w:r>
      <w:hyperlink w:anchor="SENTENCIA_2024_75" w:history="1">
        <w:r w:rsidRPr="00E55613">
          <w:rPr>
            <w:rStyle w:val="TextoNormalCaracter"/>
          </w:rPr>
          <w:t>75/2024</w:t>
        </w:r>
      </w:hyperlink>
      <w:r w:rsidRPr="00E55613">
        <w:rPr>
          <w:rStyle w:val="TextoNormalCaracter"/>
        </w:rPr>
        <w:t>, f. 5, VP II.</w:t>
      </w:r>
    </w:p>
    <w:p w14:paraId="6DEA0F34" w14:textId="55E8F18F" w:rsidR="00E55613" w:rsidRPr="00E55613" w:rsidRDefault="00E55613" w:rsidP="00E55613">
      <w:pPr>
        <w:pStyle w:val="TextoNormalSangraFrancesa"/>
        <w:rPr>
          <w:rStyle w:val="TextoNormalCaracter"/>
        </w:rPr>
      </w:pPr>
      <w:bookmarkStart w:id="1033" w:name="DESCRIPTORALFABETICO119"/>
      <w:r w:rsidRPr="00E55613">
        <w:rPr>
          <w:rStyle w:val="TextoNormalNegritaCaracter"/>
        </w:rPr>
        <w:t>Libertad religiosa</w:t>
      </w:r>
      <w:bookmarkEnd w:id="1033"/>
      <w:r w:rsidRPr="00E55613">
        <w:rPr>
          <w:rStyle w:val="TextoNormalCaracter"/>
        </w:rPr>
        <w:t xml:space="preserve">, Sentencia </w:t>
      </w:r>
      <w:hyperlink w:anchor="SENTENCIA_2024_26" w:history="1">
        <w:r w:rsidRPr="00E55613">
          <w:rPr>
            <w:rStyle w:val="TextoNormalCaracter"/>
          </w:rPr>
          <w:t>26/2024</w:t>
        </w:r>
      </w:hyperlink>
      <w:r w:rsidRPr="00E55613">
        <w:rPr>
          <w:rStyle w:val="TextoNormalCaracter"/>
        </w:rPr>
        <w:t>, ff. 2 y 5, VP I.</w:t>
      </w:r>
    </w:p>
    <w:p w14:paraId="2BDFEC6D" w14:textId="6448FFD8" w:rsidR="00E55613" w:rsidRPr="00E55613" w:rsidRDefault="00E55613" w:rsidP="00E55613">
      <w:pPr>
        <w:pStyle w:val="TextoNormalSangraFrancesa"/>
        <w:rPr>
          <w:rStyle w:val="TextoNormalCaracter"/>
        </w:rPr>
      </w:pPr>
      <w:bookmarkStart w:id="1034" w:name="DESCRIPTORALFABETICO207"/>
      <w:r w:rsidRPr="00E55613">
        <w:rPr>
          <w:rStyle w:val="TextoNormalNegritaCaracter"/>
        </w:rPr>
        <w:t>Licencias municipales para la edificación y uso del suelo</w:t>
      </w:r>
      <w:bookmarkEnd w:id="1034"/>
      <w:r w:rsidRPr="00E55613">
        <w:rPr>
          <w:rStyle w:val="TextoNormalCaracter"/>
        </w:rPr>
        <w:t xml:space="preserve">, Sentencia </w:t>
      </w:r>
      <w:hyperlink w:anchor="SENTENCIA_2024_25" w:history="1">
        <w:r w:rsidRPr="00E55613">
          <w:rPr>
            <w:rStyle w:val="TextoNormalCaracter"/>
          </w:rPr>
          <w:t>25/2024</w:t>
        </w:r>
      </w:hyperlink>
      <w:r w:rsidRPr="00E55613">
        <w:rPr>
          <w:rStyle w:val="TextoNormalCaracter"/>
        </w:rPr>
        <w:t>, f. 10.</w:t>
      </w:r>
    </w:p>
    <w:p w14:paraId="76D7B9C2" w14:textId="48D0144A" w:rsidR="00E55613" w:rsidRPr="00E55613" w:rsidRDefault="00E55613" w:rsidP="00E55613">
      <w:pPr>
        <w:pStyle w:val="TextoNormalSangraFrancesa"/>
        <w:rPr>
          <w:rStyle w:val="TextoNormalCaracter"/>
        </w:rPr>
      </w:pPr>
      <w:bookmarkStart w:id="1035" w:name="DESCRIPTORALFABETICO222"/>
      <w:r w:rsidRPr="00E55613">
        <w:rPr>
          <w:rStyle w:val="TextoNormalNegritaCaracter"/>
        </w:rPr>
        <w:t>Limitaciones a la presentación de enmiendas</w:t>
      </w:r>
      <w:bookmarkEnd w:id="1035"/>
      <w:r w:rsidRPr="00E55613">
        <w:rPr>
          <w:rStyle w:val="TextoNormalCaracter"/>
        </w:rPr>
        <w:t xml:space="preserve">, Sentencia </w:t>
      </w:r>
      <w:hyperlink w:anchor="SENTENCIA_2024_29" w:history="1">
        <w:r w:rsidRPr="00E55613">
          <w:rPr>
            <w:rStyle w:val="TextoNormalCaracter"/>
          </w:rPr>
          <w:t>29/2024</w:t>
        </w:r>
      </w:hyperlink>
      <w:r w:rsidRPr="00E55613">
        <w:rPr>
          <w:rStyle w:val="TextoNormalCaracter"/>
        </w:rPr>
        <w:t>, f. 1.</w:t>
      </w:r>
    </w:p>
    <w:p w14:paraId="16253B70" w14:textId="2DA1B2F5" w:rsidR="00E55613" w:rsidRPr="00E55613" w:rsidRDefault="00E55613" w:rsidP="00E55613">
      <w:pPr>
        <w:pStyle w:val="TextoNormalSangraFrancesa"/>
        <w:rPr>
          <w:rStyle w:val="TextoNormalCaracter"/>
        </w:rPr>
      </w:pPr>
      <w:bookmarkStart w:id="1036" w:name="DESCRIPTORALFABETICO367"/>
      <w:r w:rsidRPr="00E55613">
        <w:rPr>
          <w:rStyle w:val="TextoNormalNegritaCaracter"/>
        </w:rPr>
        <w:t>Límite material de los decretos-leyes</w:t>
      </w:r>
      <w:bookmarkEnd w:id="1036"/>
      <w:r w:rsidRPr="00E55613">
        <w:rPr>
          <w:rStyle w:val="TextoNormalCaracter"/>
        </w:rPr>
        <w:t xml:space="preserve">, Sentencias </w:t>
      </w:r>
      <w:hyperlink w:anchor="SENTENCIA_2024_7" w:history="1">
        <w:r w:rsidRPr="00E55613">
          <w:rPr>
            <w:rStyle w:val="TextoNormalCaracter"/>
          </w:rPr>
          <w:t>7/2024</w:t>
        </w:r>
      </w:hyperlink>
      <w:r w:rsidRPr="00E55613">
        <w:rPr>
          <w:rStyle w:val="TextoNormalCaracter"/>
        </w:rPr>
        <w:t xml:space="preserve">, f. 6; </w:t>
      </w:r>
      <w:hyperlink w:anchor="SENTENCIA_2024_11" w:history="1">
        <w:r w:rsidRPr="00E55613">
          <w:rPr>
            <w:rStyle w:val="TextoNormalCaracter"/>
          </w:rPr>
          <w:t>11/2024</w:t>
        </w:r>
      </w:hyperlink>
      <w:r w:rsidRPr="00E55613">
        <w:rPr>
          <w:rStyle w:val="TextoNormalCaracter"/>
        </w:rPr>
        <w:t xml:space="preserve">, f. 3; </w:t>
      </w:r>
      <w:hyperlink w:anchor="SENTENCIA_2024_16" w:history="1">
        <w:r w:rsidRPr="00E55613">
          <w:rPr>
            <w:rStyle w:val="TextoNormalCaracter"/>
          </w:rPr>
          <w:t>16/2024</w:t>
        </w:r>
      </w:hyperlink>
      <w:r w:rsidRPr="00E55613">
        <w:rPr>
          <w:rStyle w:val="TextoNormalCaracter"/>
        </w:rPr>
        <w:t>, ff. 1 y 2.</w:t>
      </w:r>
    </w:p>
    <w:p w14:paraId="66CAFE31" w14:textId="2B756AE4" w:rsidR="00E55613" w:rsidRPr="00E55613" w:rsidRDefault="00E55613" w:rsidP="00E55613">
      <w:pPr>
        <w:pStyle w:val="TextoNormalSangraFrancesa"/>
        <w:rPr>
          <w:rStyle w:val="TextoNormalCaracter"/>
        </w:rPr>
      </w:pPr>
      <w:bookmarkStart w:id="1037" w:name="DESCRIPTORALFABETICO220"/>
      <w:r w:rsidRPr="00E55613">
        <w:rPr>
          <w:rStyle w:val="TextoNormalNegritaCaracter"/>
        </w:rPr>
        <w:t>Límites a la libertad de configuración del legislador</w:t>
      </w:r>
      <w:bookmarkEnd w:id="1037"/>
      <w:r w:rsidRPr="00E55613">
        <w:rPr>
          <w:rStyle w:val="TextoNormalCaracter"/>
        </w:rPr>
        <w:t xml:space="preserve">, Sentencia </w:t>
      </w:r>
      <w:hyperlink w:anchor="SENTENCIA_2024_92" w:history="1">
        <w:r w:rsidRPr="00E55613">
          <w:rPr>
            <w:rStyle w:val="TextoNormalCaracter"/>
          </w:rPr>
          <w:t>92/2024</w:t>
        </w:r>
      </w:hyperlink>
      <w:r w:rsidRPr="00E55613">
        <w:rPr>
          <w:rStyle w:val="TextoNormalCaracter"/>
        </w:rPr>
        <w:t>, f. 4.</w:t>
      </w:r>
    </w:p>
    <w:p w14:paraId="2FCFDE14" w14:textId="05E059F8" w:rsidR="00E55613" w:rsidRPr="00E55613" w:rsidRDefault="00E55613" w:rsidP="00E55613">
      <w:pPr>
        <w:pStyle w:val="TextoNormalSangraFrancesa"/>
        <w:rPr>
          <w:rStyle w:val="TextoNormalCaracter"/>
        </w:rPr>
      </w:pPr>
      <w:bookmarkStart w:id="1038" w:name="DESCRIPTORALFABETICO105"/>
      <w:r w:rsidRPr="00E55613">
        <w:rPr>
          <w:rStyle w:val="TextoNormalNegritaCaracter"/>
        </w:rPr>
        <w:t>Límites al derecho de asociación</w:t>
      </w:r>
      <w:bookmarkEnd w:id="1038"/>
      <w:r w:rsidRPr="00E55613">
        <w:rPr>
          <w:rStyle w:val="TextoNormalCaracter"/>
        </w:rPr>
        <w:t xml:space="preserve">, Sentencia </w:t>
      </w:r>
      <w:hyperlink w:anchor="SENTENCIA_2024_44" w:history="1">
        <w:r w:rsidRPr="00E55613">
          <w:rPr>
            <w:rStyle w:val="TextoNormalCaracter"/>
          </w:rPr>
          <w:t>44/2024</w:t>
        </w:r>
      </w:hyperlink>
      <w:r w:rsidRPr="00E55613">
        <w:rPr>
          <w:rStyle w:val="TextoNormalCaracter"/>
        </w:rPr>
        <w:t>, f. 5.</w:t>
      </w:r>
    </w:p>
    <w:p w14:paraId="5B965F06" w14:textId="3DEBFCAA" w:rsidR="00E55613" w:rsidRPr="00E55613" w:rsidRDefault="00E55613" w:rsidP="00E55613">
      <w:pPr>
        <w:pStyle w:val="TextoNormalSangraFrancesa"/>
        <w:rPr>
          <w:rStyle w:val="TextoNormalCaracter"/>
        </w:rPr>
      </w:pPr>
      <w:bookmarkStart w:id="1039" w:name="DESCRIPTORALFABETICO221"/>
      <w:r w:rsidRPr="00E55613">
        <w:rPr>
          <w:rStyle w:val="TextoNormalNegritaCaracter"/>
        </w:rPr>
        <w:t>Límites de la potestad legislativa</w:t>
      </w:r>
      <w:bookmarkEnd w:id="1039"/>
      <w:r w:rsidRPr="00E55613">
        <w:rPr>
          <w:rStyle w:val="TextoNormalCaracter"/>
        </w:rPr>
        <w:t xml:space="preserve">, Sentencia </w:t>
      </w:r>
      <w:hyperlink w:anchor="SENTENCIA_2024_15" w:history="1">
        <w:r w:rsidRPr="00E55613">
          <w:rPr>
            <w:rStyle w:val="TextoNormalCaracter"/>
          </w:rPr>
          <w:t>15/2024</w:t>
        </w:r>
      </w:hyperlink>
      <w:r w:rsidRPr="00E55613">
        <w:rPr>
          <w:rStyle w:val="TextoNormalCaracter"/>
        </w:rPr>
        <w:t>, ff. 3, 5 y 6.</w:t>
      </w:r>
    </w:p>
    <w:p w14:paraId="29E2686A" w14:textId="6527E1B0" w:rsidR="00E55613" w:rsidRPr="00E55613" w:rsidRDefault="00E55613" w:rsidP="00E55613">
      <w:pPr>
        <w:pStyle w:val="TextoNormalSangraFrancesa"/>
        <w:rPr>
          <w:rStyle w:val="TextoNormalCaracter"/>
        </w:rPr>
      </w:pPr>
      <w:bookmarkStart w:id="1040" w:name="DESCRIPTORALFABETICO375"/>
      <w:r w:rsidRPr="00E55613">
        <w:rPr>
          <w:rStyle w:val="TextoNormalNegritaCaracter"/>
        </w:rPr>
        <w:t>Límites materiales de las leyes de presupuestos</w:t>
      </w:r>
      <w:bookmarkEnd w:id="1040"/>
      <w:r w:rsidRPr="00E55613">
        <w:rPr>
          <w:rStyle w:val="TextoNormalCaracter"/>
        </w:rPr>
        <w:t xml:space="preserve">, Sentencias </w:t>
      </w:r>
      <w:hyperlink w:anchor="SENTENCIA_2024_67" w:history="1">
        <w:r w:rsidRPr="00E55613">
          <w:rPr>
            <w:rStyle w:val="TextoNormalCaracter"/>
          </w:rPr>
          <w:t>67/2024</w:t>
        </w:r>
      </w:hyperlink>
      <w:r w:rsidRPr="00E55613">
        <w:rPr>
          <w:rStyle w:val="TextoNormalCaracter"/>
        </w:rPr>
        <w:t xml:space="preserve">, ff. 3 y 4, VP; </w:t>
      </w:r>
      <w:hyperlink w:anchor="SENTENCIA_2024_73" w:history="1">
        <w:r w:rsidRPr="00E55613">
          <w:rPr>
            <w:rStyle w:val="TextoNormalCaracter"/>
          </w:rPr>
          <w:t>73/2024</w:t>
        </w:r>
      </w:hyperlink>
      <w:r w:rsidRPr="00E55613">
        <w:rPr>
          <w:rStyle w:val="TextoNormalCaracter"/>
        </w:rPr>
        <w:t>, f. 1.</w:t>
      </w:r>
    </w:p>
    <w:p w14:paraId="6E70787A" w14:textId="185800CE" w:rsidR="00E55613" w:rsidRPr="00E55613" w:rsidRDefault="00E55613" w:rsidP="00E55613">
      <w:pPr>
        <w:pStyle w:val="TextoNormalSangraFrancesa"/>
        <w:rPr>
          <w:rStyle w:val="TextoNormalCaracter"/>
        </w:rPr>
      </w:pPr>
      <w:bookmarkStart w:id="1041" w:name="DESCRIPTORALFABETICO125"/>
      <w:r w:rsidRPr="00E55613">
        <w:rPr>
          <w:rStyle w:val="TextoNormalNegritaCaracter"/>
        </w:rPr>
        <w:t>Límites penales</w:t>
      </w:r>
      <w:bookmarkEnd w:id="1041"/>
      <w:r w:rsidRPr="00E55613">
        <w:rPr>
          <w:rStyle w:val="TextoNormalCaracter"/>
        </w:rPr>
        <w:t xml:space="preserve">, Sentencia </w:t>
      </w:r>
      <w:hyperlink w:anchor="SENTENCIA_2024_75" w:history="1">
        <w:r w:rsidRPr="00E55613">
          <w:rPr>
            <w:rStyle w:val="TextoNormalCaracter"/>
          </w:rPr>
          <w:t>75/2024</w:t>
        </w:r>
      </w:hyperlink>
      <w:r w:rsidRPr="00E55613">
        <w:rPr>
          <w:rStyle w:val="TextoNormalCaracter"/>
        </w:rPr>
        <w:t>, f. 5.</w:t>
      </w:r>
    </w:p>
    <w:p w14:paraId="310278CA" w14:textId="21DCA103" w:rsidR="00E55613" w:rsidRPr="00E55613" w:rsidRDefault="00E55613" w:rsidP="00E55613">
      <w:pPr>
        <w:pStyle w:val="TextoNormalSangraFrancesa"/>
        <w:rPr>
          <w:rStyle w:val="TextoNormalCaracter"/>
        </w:rPr>
      </w:pPr>
      <w:bookmarkStart w:id="1042" w:name="DESCRIPTORALFABETICO303"/>
      <w:r w:rsidRPr="00E55613">
        <w:rPr>
          <w:rStyle w:val="TextoNormalNegritaCaracter"/>
        </w:rPr>
        <w:t>Litoral</w:t>
      </w:r>
      <w:bookmarkEnd w:id="1042"/>
      <w:r w:rsidRPr="00E55613">
        <w:rPr>
          <w:rStyle w:val="TextoNormalCaracter"/>
        </w:rPr>
        <w:t xml:space="preserve">, Sentencia </w:t>
      </w:r>
      <w:hyperlink w:anchor="SENTENCIA_2024_68" w:history="1">
        <w:r w:rsidRPr="00E55613">
          <w:rPr>
            <w:rStyle w:val="TextoNormalCaracter"/>
          </w:rPr>
          <w:t>68/2024</w:t>
        </w:r>
      </w:hyperlink>
      <w:r w:rsidRPr="00E55613">
        <w:rPr>
          <w:rStyle w:val="TextoNormalCaracter"/>
        </w:rPr>
        <w:t>, ff. 1 y 6.</w:t>
      </w:r>
    </w:p>
    <w:p w14:paraId="09E9D39F" w14:textId="4FEC22DE" w:rsidR="00E55613" w:rsidRDefault="00E55613" w:rsidP="00E55613">
      <w:pPr>
        <w:pStyle w:val="TextoNormalSangraFrancesa"/>
      </w:pPr>
    </w:p>
    <w:p w14:paraId="7DEEFD74" w14:textId="77777777" w:rsidR="00E55613" w:rsidRDefault="00E55613" w:rsidP="00E55613">
      <w:pPr>
        <w:pStyle w:val="TextoNormalSangraFrancesa"/>
      </w:pPr>
    </w:p>
    <w:p w14:paraId="1EB21916" w14:textId="77777777" w:rsidR="00E55613" w:rsidRDefault="00E55613" w:rsidP="00E55613">
      <w:pPr>
        <w:pStyle w:val="TextoNormalNegritaCentrado"/>
      </w:pPr>
      <w:r>
        <w:t>M</w:t>
      </w:r>
    </w:p>
    <w:p w14:paraId="133D47DE" w14:textId="30FAC05A" w:rsidR="00E55613" w:rsidRDefault="00E55613" w:rsidP="00E55613">
      <w:pPr>
        <w:pStyle w:val="TextoNormalNegritaCentrado"/>
      </w:pPr>
    </w:p>
    <w:p w14:paraId="17751F44" w14:textId="777FABA7" w:rsidR="00E55613" w:rsidRPr="00E55613" w:rsidRDefault="00E55613" w:rsidP="00E55613">
      <w:pPr>
        <w:pStyle w:val="TextoNormalSangraFrancesa"/>
        <w:rPr>
          <w:rStyle w:val="TextoNormalCaracter"/>
        </w:rPr>
      </w:pPr>
      <w:bookmarkStart w:id="1043" w:name="DESCRIPTORALFABETICO218"/>
      <w:r w:rsidRPr="00E55613">
        <w:rPr>
          <w:rStyle w:val="TextoNormalNegritaCaracter"/>
        </w:rPr>
        <w:t>Magistrados ponentes</w:t>
      </w:r>
      <w:bookmarkEnd w:id="1043"/>
      <w:r w:rsidRPr="00E55613">
        <w:rPr>
          <w:rStyle w:val="TextoNormalCaracter"/>
        </w:rPr>
        <w:t xml:space="preserve">, Auto </w:t>
      </w:r>
      <w:hyperlink w:anchor="AUTO_2024_8" w:history="1">
        <w:r w:rsidRPr="00E55613">
          <w:rPr>
            <w:rStyle w:val="TextoNormalCaracter"/>
          </w:rPr>
          <w:t>8/2024</w:t>
        </w:r>
      </w:hyperlink>
      <w:r w:rsidRPr="00E55613">
        <w:rPr>
          <w:rStyle w:val="TextoNormalCaracter"/>
        </w:rPr>
        <w:t>, f. 2.</w:t>
      </w:r>
    </w:p>
    <w:p w14:paraId="0AFC954F" w14:textId="79FD1A40" w:rsidR="00E55613" w:rsidRPr="00E55613" w:rsidRDefault="00E55613" w:rsidP="00E55613">
      <w:pPr>
        <w:pStyle w:val="TextoNormalSangraFrancesa"/>
        <w:rPr>
          <w:rStyle w:val="TextoNormalCaracter"/>
        </w:rPr>
      </w:pPr>
      <w:bookmarkStart w:id="1044" w:name="DESCRIPTORALFABETICO339"/>
      <w:r w:rsidRPr="00E55613">
        <w:rPr>
          <w:rStyle w:val="TextoNormalNegritaCaracter"/>
        </w:rPr>
        <w:t>Malversación de fondos públicos</w:t>
      </w:r>
      <w:bookmarkEnd w:id="1044"/>
      <w:r w:rsidRPr="00E55613">
        <w:rPr>
          <w:rStyle w:val="TextoNormalCaracter"/>
        </w:rPr>
        <w:t xml:space="preserve">, Sentencia </w:t>
      </w:r>
      <w:hyperlink w:anchor="SENTENCIA_2024_90" w:history="1">
        <w:r w:rsidRPr="00E55613">
          <w:rPr>
            <w:rStyle w:val="TextoNormalCaracter"/>
          </w:rPr>
          <w:t>90/2024</w:t>
        </w:r>
      </w:hyperlink>
      <w:r w:rsidRPr="00E55613">
        <w:rPr>
          <w:rStyle w:val="TextoNormalCaracter"/>
        </w:rPr>
        <w:t>, f. 1.</w:t>
      </w:r>
    </w:p>
    <w:p w14:paraId="65AC2DA0" w14:textId="74EB1320" w:rsidR="00E55613" w:rsidRPr="00E55613" w:rsidRDefault="00E55613" w:rsidP="00E55613">
      <w:pPr>
        <w:pStyle w:val="TextoNormalSangraFrancesa"/>
        <w:rPr>
          <w:rStyle w:val="TextoNormalCaracter"/>
        </w:rPr>
      </w:pPr>
      <w:bookmarkStart w:id="1045" w:name="DESCRIPTORALFABETICO140"/>
      <w:r w:rsidRPr="00E55613">
        <w:rPr>
          <w:rStyle w:val="TextoNormalNegritaCaracter"/>
        </w:rPr>
        <w:t>Mantenimiento de la suspensión de disposiciones de las Comunidades Autónomas</w:t>
      </w:r>
      <w:bookmarkEnd w:id="1045"/>
      <w:r w:rsidRPr="00E55613">
        <w:rPr>
          <w:rStyle w:val="TextoNormalCaracter"/>
        </w:rPr>
        <w:t xml:space="preserve">, Autos </w:t>
      </w:r>
      <w:hyperlink w:anchor="AUTO_2024_21" w:history="1">
        <w:r w:rsidRPr="00E55613">
          <w:rPr>
            <w:rStyle w:val="TextoNormalCaracter"/>
          </w:rPr>
          <w:t>21/2024</w:t>
        </w:r>
      </w:hyperlink>
      <w:r w:rsidRPr="00E55613">
        <w:rPr>
          <w:rStyle w:val="TextoNormalCaracter"/>
        </w:rPr>
        <w:t xml:space="preserve">, ff. 2 y 3; </w:t>
      </w:r>
      <w:hyperlink w:anchor="AUTO_2024_22" w:history="1">
        <w:r w:rsidRPr="00E55613">
          <w:rPr>
            <w:rStyle w:val="TextoNormalCaracter"/>
          </w:rPr>
          <w:t>22/2024</w:t>
        </w:r>
      </w:hyperlink>
      <w:r w:rsidRPr="00E55613">
        <w:rPr>
          <w:rStyle w:val="TextoNormalCaracter"/>
        </w:rPr>
        <w:t>, ff. 2 a 6.</w:t>
      </w:r>
    </w:p>
    <w:p w14:paraId="76B53279" w14:textId="7444E1D9" w:rsidR="00E55613" w:rsidRPr="00E55613" w:rsidRDefault="00E55613" w:rsidP="00E55613">
      <w:pPr>
        <w:pStyle w:val="TextoNormalSangraFrancesa"/>
        <w:rPr>
          <w:rStyle w:val="TextoNormalCaracter"/>
        </w:rPr>
      </w:pPr>
      <w:bookmarkStart w:id="1046" w:name="DESCRIPTORALFABETICO281"/>
      <w:r w:rsidRPr="00E55613">
        <w:rPr>
          <w:rStyle w:val="TextoNormalNegritaCaracter"/>
        </w:rPr>
        <w:t>Mar territorial</w:t>
      </w:r>
      <w:bookmarkEnd w:id="1046"/>
      <w:r w:rsidRPr="00E55613">
        <w:rPr>
          <w:rStyle w:val="TextoNormalCaracter"/>
        </w:rPr>
        <w:t xml:space="preserve">, Sentencia </w:t>
      </w:r>
      <w:hyperlink w:anchor="SENTENCIA_2024_68" w:history="1">
        <w:r w:rsidRPr="00E55613">
          <w:rPr>
            <w:rStyle w:val="TextoNormalCaracter"/>
          </w:rPr>
          <w:t>68/2024</w:t>
        </w:r>
      </w:hyperlink>
      <w:r w:rsidRPr="00E55613">
        <w:rPr>
          <w:rStyle w:val="TextoNormalCaracter"/>
        </w:rPr>
        <w:t>, ff. 5, 7 y 9.</w:t>
      </w:r>
    </w:p>
    <w:p w14:paraId="61F0C2D9" w14:textId="7EE7A06F" w:rsidR="00E55613" w:rsidRPr="00E55613" w:rsidRDefault="00E55613" w:rsidP="00E55613">
      <w:pPr>
        <w:pStyle w:val="TextoNormalSangraFrancesa"/>
        <w:rPr>
          <w:rStyle w:val="TextoNormalCaracter"/>
        </w:rPr>
      </w:pPr>
      <w:bookmarkStart w:id="1047" w:name="DESCRIPTORALFABETICO348"/>
      <w:r w:rsidRPr="00E55613">
        <w:rPr>
          <w:rStyle w:val="TextoNormalNegritaCaracter"/>
        </w:rPr>
        <w:t>Memoria democrática</w:t>
      </w:r>
      <w:bookmarkEnd w:id="1047"/>
      <w:r w:rsidRPr="00E55613">
        <w:rPr>
          <w:rStyle w:val="TextoNormalCaracter"/>
        </w:rPr>
        <w:t xml:space="preserve">, Auto </w:t>
      </w:r>
      <w:hyperlink w:anchor="AUTO_2024_57" w:history="1">
        <w:r w:rsidRPr="00E55613">
          <w:rPr>
            <w:rStyle w:val="TextoNormalCaracter"/>
          </w:rPr>
          <w:t>57/2024</w:t>
        </w:r>
      </w:hyperlink>
      <w:r w:rsidRPr="00E55613">
        <w:rPr>
          <w:rStyle w:val="TextoNormalCaracter"/>
        </w:rPr>
        <w:t>, f. 2, VP II.</w:t>
      </w:r>
    </w:p>
    <w:p w14:paraId="7E805031" w14:textId="6CC88097" w:rsidR="00E55613" w:rsidRPr="00E55613" w:rsidRDefault="00E55613" w:rsidP="00E55613">
      <w:pPr>
        <w:pStyle w:val="TextoNormalSangraFrancesa"/>
        <w:rPr>
          <w:rStyle w:val="TextoNormalCaracter"/>
        </w:rPr>
      </w:pPr>
      <w:bookmarkStart w:id="1048" w:name="DESCRIPTORALFABETICO404"/>
      <w:r w:rsidRPr="00E55613">
        <w:rPr>
          <w:rStyle w:val="TextoNormalNegritaCaracter"/>
        </w:rPr>
        <w:t>Menores</w:t>
      </w:r>
      <w:bookmarkEnd w:id="1048"/>
      <w:r w:rsidRPr="00E55613">
        <w:rPr>
          <w:rStyle w:val="TextoNormalCaracter"/>
        </w:rPr>
        <w:t xml:space="preserve">, Sentencia </w:t>
      </w:r>
      <w:hyperlink w:anchor="SENTENCIA_2024_92" w:history="1">
        <w:r w:rsidRPr="00E55613">
          <w:rPr>
            <w:rStyle w:val="TextoNormalCaracter"/>
          </w:rPr>
          <w:t>92/2024</w:t>
        </w:r>
      </w:hyperlink>
      <w:r w:rsidRPr="00E55613">
        <w:rPr>
          <w:rStyle w:val="TextoNormalCaracter"/>
        </w:rPr>
        <w:t>, f. 6.</w:t>
      </w:r>
    </w:p>
    <w:p w14:paraId="44F8CDCA" w14:textId="74377FC8" w:rsidR="00E55613" w:rsidRPr="00E55613" w:rsidRDefault="00E55613" w:rsidP="00E55613">
      <w:pPr>
        <w:pStyle w:val="TextoNormalSangraFrancesa"/>
        <w:rPr>
          <w:rStyle w:val="TextoNormalCaracter"/>
        </w:rPr>
      </w:pPr>
      <w:bookmarkStart w:id="1049" w:name="DESCRIPTORALFABETICO371"/>
      <w:r w:rsidRPr="00E55613">
        <w:rPr>
          <w:rStyle w:val="TextoNormalNegritaCaracter"/>
        </w:rPr>
        <w:t>Motivación de la extraordinaria y urgente necesidad</w:t>
      </w:r>
      <w:bookmarkEnd w:id="1049"/>
      <w:r w:rsidRPr="00E55613">
        <w:rPr>
          <w:rStyle w:val="TextoNormalCaracter"/>
        </w:rPr>
        <w:t xml:space="preserve">, Sentencias </w:t>
      </w:r>
      <w:hyperlink w:anchor="SENTENCIA_2024_7" w:history="1">
        <w:r w:rsidRPr="00E55613">
          <w:rPr>
            <w:rStyle w:val="TextoNormalCaracter"/>
          </w:rPr>
          <w:t>7/2024</w:t>
        </w:r>
      </w:hyperlink>
      <w:r w:rsidRPr="00E55613">
        <w:rPr>
          <w:rStyle w:val="TextoNormalCaracter"/>
        </w:rPr>
        <w:t xml:space="preserve">, f. 4; </w:t>
      </w:r>
      <w:hyperlink w:anchor="SENTENCIA_2024_20" w:history="1">
        <w:r w:rsidRPr="00E55613">
          <w:rPr>
            <w:rStyle w:val="TextoNormalCaracter"/>
          </w:rPr>
          <w:t>20/2024</w:t>
        </w:r>
      </w:hyperlink>
      <w:r w:rsidRPr="00E55613">
        <w:rPr>
          <w:rStyle w:val="TextoNormalCaracter"/>
        </w:rPr>
        <w:t>, f. 3.</w:t>
      </w:r>
    </w:p>
    <w:p w14:paraId="0DD683EA" w14:textId="6EC71976" w:rsidR="00E55613" w:rsidRPr="00E55613" w:rsidRDefault="00E55613" w:rsidP="00E55613">
      <w:pPr>
        <w:pStyle w:val="TextoNormalSangraFrancesa"/>
        <w:rPr>
          <w:rStyle w:val="TextoNormalCaracter"/>
        </w:rPr>
      </w:pPr>
      <w:bookmarkStart w:id="1050" w:name="DESCRIPTORALFABETICO74"/>
      <w:r w:rsidRPr="00E55613">
        <w:rPr>
          <w:rStyle w:val="TextoNormalNegritaCaracter"/>
        </w:rPr>
        <w:t>Motivación de las resoluciones judiciales</w:t>
      </w:r>
      <w:bookmarkEnd w:id="1050"/>
      <w:r w:rsidRPr="00E55613">
        <w:rPr>
          <w:rStyle w:val="TextoNormalCaracter"/>
        </w:rPr>
        <w:t xml:space="preserve">, Sentencias </w:t>
      </w:r>
      <w:hyperlink w:anchor="SENTENCIA_2024_61" w:history="1">
        <w:r w:rsidRPr="00E55613">
          <w:rPr>
            <w:rStyle w:val="TextoNormalCaracter"/>
          </w:rPr>
          <w:t>61/2024</w:t>
        </w:r>
      </w:hyperlink>
      <w:r w:rsidRPr="00E55613">
        <w:rPr>
          <w:rStyle w:val="TextoNormalCaracter"/>
        </w:rPr>
        <w:t xml:space="preserve">, VP; </w:t>
      </w:r>
      <w:hyperlink w:anchor="SENTENCIA_2024_66" w:history="1">
        <w:r w:rsidRPr="00E55613">
          <w:rPr>
            <w:rStyle w:val="TextoNormalCaracter"/>
          </w:rPr>
          <w:t>66/2024</w:t>
        </w:r>
      </w:hyperlink>
      <w:r w:rsidRPr="00E55613">
        <w:rPr>
          <w:rStyle w:val="TextoNormalCaracter"/>
        </w:rPr>
        <w:t>, f. 2.</w:t>
      </w:r>
    </w:p>
    <w:p w14:paraId="52062ED1" w14:textId="0825E943" w:rsidR="00E55613" w:rsidRPr="00E55613" w:rsidRDefault="00E55613" w:rsidP="00E55613">
      <w:pPr>
        <w:pStyle w:val="TextoNormalSangraFrancesa"/>
        <w:rPr>
          <w:rStyle w:val="TextoNormalCaracter"/>
        </w:rPr>
      </w:pPr>
      <w:r w:rsidRPr="00E55613">
        <w:rPr>
          <w:rStyle w:val="TextoNormalCursivaCaracter"/>
        </w:rPr>
        <w:t xml:space="preserve">    Vulnerado, </w:t>
      </w:r>
      <w:r w:rsidRPr="00E55613">
        <w:rPr>
          <w:rStyle w:val="TextoNormalCaracter"/>
        </w:rPr>
        <w:t xml:space="preserve">Sentencias </w:t>
      </w:r>
      <w:hyperlink w:anchor="SENTENCIA_2024_27" w:history="1">
        <w:r w:rsidRPr="00E55613">
          <w:rPr>
            <w:rStyle w:val="TextoNormalCaracter"/>
          </w:rPr>
          <w:t>27/2024</w:t>
        </w:r>
      </w:hyperlink>
      <w:r w:rsidRPr="00E55613">
        <w:rPr>
          <w:rStyle w:val="TextoNormalCaracter"/>
        </w:rPr>
        <w:t xml:space="preserve">, f. 4; </w:t>
      </w:r>
      <w:hyperlink w:anchor="SENTENCIA_2024_38" w:history="1">
        <w:r w:rsidRPr="00E55613">
          <w:rPr>
            <w:rStyle w:val="TextoNormalCaracter"/>
          </w:rPr>
          <w:t>38/2024</w:t>
        </w:r>
      </w:hyperlink>
      <w:r w:rsidRPr="00E55613">
        <w:rPr>
          <w:rStyle w:val="TextoNormalCaracter"/>
        </w:rPr>
        <w:t>, ff. 2 y 3.</w:t>
      </w:r>
    </w:p>
    <w:p w14:paraId="603AF0E3" w14:textId="5F575C2E" w:rsidR="00E55613" w:rsidRPr="00E55613" w:rsidRDefault="00E55613" w:rsidP="00E55613">
      <w:pPr>
        <w:pStyle w:val="TextoNormalSangraFrancesa"/>
        <w:rPr>
          <w:rStyle w:val="TextoNormalCaracter"/>
        </w:rPr>
      </w:pPr>
      <w:bookmarkStart w:id="1051" w:name="DESCRIPTORALFABETICO80"/>
      <w:r w:rsidRPr="00E55613">
        <w:rPr>
          <w:rStyle w:val="TextoNormalNegritaCaracter"/>
        </w:rPr>
        <w:t>Motivación insuficiente de resoluciones judiciales</w:t>
      </w:r>
      <w:bookmarkEnd w:id="1051"/>
      <w:r w:rsidRPr="00E55613">
        <w:rPr>
          <w:rStyle w:val="TextoNormalCaracter"/>
        </w:rPr>
        <w:t xml:space="preserve">, Sentencia </w:t>
      </w:r>
      <w:hyperlink w:anchor="SENTENCIA_2024_53" w:history="1">
        <w:r w:rsidRPr="00E55613">
          <w:rPr>
            <w:rStyle w:val="TextoNormalCaracter"/>
          </w:rPr>
          <w:t>53/2024</w:t>
        </w:r>
      </w:hyperlink>
      <w:r w:rsidRPr="00E55613">
        <w:rPr>
          <w:rStyle w:val="TextoNormalCaracter"/>
        </w:rPr>
        <w:t>, ff. 2 a 5.</w:t>
      </w:r>
    </w:p>
    <w:p w14:paraId="4E1C0378" w14:textId="32245F96" w:rsidR="00E55613" w:rsidRPr="00E55613" w:rsidRDefault="00E55613" w:rsidP="00E55613">
      <w:pPr>
        <w:pStyle w:val="TextoNormalSangraFrancesa"/>
        <w:rPr>
          <w:rStyle w:val="TextoNormalCaracter"/>
        </w:rPr>
      </w:pPr>
      <w:bookmarkStart w:id="1052" w:name="DESCRIPTORALFABETICO81"/>
      <w:r w:rsidRPr="00E55613">
        <w:rPr>
          <w:rStyle w:val="TextoNormalNegritaCaracter"/>
        </w:rPr>
        <w:t>Motivación suficiente de resoluciones judiciales</w:t>
      </w:r>
      <w:bookmarkEnd w:id="1052"/>
      <w:r w:rsidRPr="00E55613">
        <w:rPr>
          <w:rStyle w:val="TextoNormalCaracter"/>
        </w:rPr>
        <w:t xml:space="preserve">, Sentencia </w:t>
      </w:r>
      <w:hyperlink w:anchor="SENTENCIA_2024_8" w:history="1">
        <w:r w:rsidRPr="00E55613">
          <w:rPr>
            <w:rStyle w:val="TextoNormalCaracter"/>
          </w:rPr>
          <w:t>8/2024</w:t>
        </w:r>
      </w:hyperlink>
      <w:r w:rsidRPr="00E55613">
        <w:rPr>
          <w:rStyle w:val="TextoNormalCaracter"/>
        </w:rPr>
        <w:t>, f. 4.</w:t>
      </w:r>
    </w:p>
    <w:p w14:paraId="5F73B792" w14:textId="77AAECED" w:rsidR="00E55613" w:rsidRPr="00E55613" w:rsidRDefault="00E55613" w:rsidP="00E55613">
      <w:pPr>
        <w:pStyle w:val="TextoNormalSangraFrancesa"/>
        <w:rPr>
          <w:rStyle w:val="TextoNormalCaracter"/>
        </w:rPr>
      </w:pPr>
      <w:bookmarkStart w:id="1053" w:name="DESCRIPTORALFABETICO406"/>
      <w:r w:rsidRPr="00E55613">
        <w:rPr>
          <w:rStyle w:val="TextoNormalNegritaCaracter"/>
        </w:rPr>
        <w:lastRenderedPageBreak/>
        <w:t>Mujer</w:t>
      </w:r>
      <w:bookmarkEnd w:id="1053"/>
      <w:r w:rsidRPr="00E55613">
        <w:rPr>
          <w:rStyle w:val="TextoNormalCaracter"/>
        </w:rPr>
        <w:t xml:space="preserve">, Sentencia </w:t>
      </w:r>
      <w:hyperlink w:anchor="SENTENCIA_2024_44" w:history="1">
        <w:r w:rsidRPr="00E55613">
          <w:rPr>
            <w:rStyle w:val="TextoNormalCaracter"/>
          </w:rPr>
          <w:t>44/2024</w:t>
        </w:r>
      </w:hyperlink>
      <w:r w:rsidRPr="00E55613">
        <w:rPr>
          <w:rStyle w:val="TextoNormalCaracter"/>
        </w:rPr>
        <w:t>, ff. 3 y 4.</w:t>
      </w:r>
    </w:p>
    <w:p w14:paraId="4D8BFB66" w14:textId="320E08C8" w:rsidR="00E55613" w:rsidRDefault="00E55613" w:rsidP="00E55613">
      <w:pPr>
        <w:pStyle w:val="TextoNormalSangraFrancesa"/>
      </w:pPr>
    </w:p>
    <w:p w14:paraId="66C5B27B" w14:textId="77777777" w:rsidR="00E55613" w:rsidRDefault="00E55613" w:rsidP="00E55613">
      <w:pPr>
        <w:pStyle w:val="TextoNormalSangraFrancesa"/>
      </w:pPr>
    </w:p>
    <w:p w14:paraId="3A43F3C6" w14:textId="77777777" w:rsidR="00E55613" w:rsidRDefault="00E55613" w:rsidP="00E55613">
      <w:pPr>
        <w:pStyle w:val="TextoNormalNegritaCentrado"/>
      </w:pPr>
      <w:r>
        <w:t>N</w:t>
      </w:r>
    </w:p>
    <w:p w14:paraId="711A431F" w14:textId="178DE983" w:rsidR="00E55613" w:rsidRDefault="00E55613" w:rsidP="00E55613">
      <w:pPr>
        <w:pStyle w:val="TextoNormalNegritaCentrado"/>
      </w:pPr>
    </w:p>
    <w:p w14:paraId="2BAA36EF" w14:textId="37EADB93" w:rsidR="00E55613" w:rsidRPr="00E55613" w:rsidRDefault="00E55613" w:rsidP="00E55613">
      <w:pPr>
        <w:pStyle w:val="TextoNormalSangraFrancesa"/>
        <w:rPr>
          <w:rStyle w:val="TextoNormalCaracter"/>
        </w:rPr>
      </w:pPr>
      <w:bookmarkStart w:id="1054" w:name="DESCRIPTORALFABETICO87"/>
      <w:r w:rsidRPr="00E55613">
        <w:rPr>
          <w:rStyle w:val="TextoNormalNegritaCaracter"/>
          <w:i/>
        </w:rPr>
        <w:t>Nasciturus</w:t>
      </w:r>
      <w:bookmarkEnd w:id="1054"/>
      <w:r w:rsidRPr="00E55613">
        <w:rPr>
          <w:rStyle w:val="TextoNormalCaracter"/>
        </w:rPr>
        <w:t xml:space="preserve">, Sentencia </w:t>
      </w:r>
      <w:hyperlink w:anchor="SENTENCIA_2024_92" w:history="1">
        <w:r w:rsidRPr="00E55613">
          <w:rPr>
            <w:rStyle w:val="TextoNormalCaracter"/>
          </w:rPr>
          <w:t>92/2024</w:t>
        </w:r>
      </w:hyperlink>
      <w:r w:rsidRPr="00E55613">
        <w:rPr>
          <w:rStyle w:val="TextoNormalCaracter"/>
        </w:rPr>
        <w:t>, ff. 6 a 8, VP I, VP II, VP III, VP IV.</w:t>
      </w:r>
    </w:p>
    <w:p w14:paraId="594A2CF8" w14:textId="7D9DA95D" w:rsidR="00E55613" w:rsidRPr="00E55613" w:rsidRDefault="00E55613" w:rsidP="00E55613">
      <w:pPr>
        <w:pStyle w:val="TextoNormalSangraFrancesa"/>
        <w:rPr>
          <w:rStyle w:val="TextoNormalCaracter"/>
        </w:rPr>
      </w:pPr>
      <w:bookmarkStart w:id="1055" w:name="DESCRIPTORALFABETICO368"/>
      <w:r w:rsidRPr="00E55613">
        <w:rPr>
          <w:rStyle w:val="TextoNormalNegritaCaracter"/>
        </w:rPr>
        <w:t>Naturaleza jurídica de los decretos-leyes</w:t>
      </w:r>
      <w:bookmarkEnd w:id="1055"/>
      <w:r w:rsidRPr="00E55613">
        <w:rPr>
          <w:rStyle w:val="TextoNormalCaracter"/>
        </w:rPr>
        <w:t xml:space="preserve">, Sentencia </w:t>
      </w:r>
      <w:hyperlink w:anchor="SENTENCIA_2024_11" w:history="1">
        <w:r w:rsidRPr="00E55613">
          <w:rPr>
            <w:rStyle w:val="TextoNormalCaracter"/>
          </w:rPr>
          <w:t>11/2024</w:t>
        </w:r>
      </w:hyperlink>
      <w:r w:rsidRPr="00E55613">
        <w:rPr>
          <w:rStyle w:val="TextoNormalCaracter"/>
        </w:rPr>
        <w:t>, ff. 2 a 4.</w:t>
      </w:r>
    </w:p>
    <w:p w14:paraId="441AEBCA" w14:textId="62517E12" w:rsidR="00E55613" w:rsidRPr="00E55613" w:rsidRDefault="00E55613" w:rsidP="00E55613">
      <w:pPr>
        <w:pStyle w:val="TextoNormalSangraFrancesa"/>
        <w:rPr>
          <w:rStyle w:val="TextoNormalCaracter"/>
        </w:rPr>
      </w:pPr>
      <w:bookmarkStart w:id="1056" w:name="DESCRIPTORALFABETICO180"/>
      <w:r w:rsidRPr="00E55613">
        <w:rPr>
          <w:rStyle w:val="TextoNormalNegritaCaracter"/>
        </w:rPr>
        <w:t>Negativa judicial al acatamiento de la doctrina constitucional</w:t>
      </w:r>
      <w:bookmarkEnd w:id="1056"/>
      <w:r w:rsidRPr="00E55613">
        <w:rPr>
          <w:rStyle w:val="TextoNormalCaracter"/>
        </w:rPr>
        <w:t xml:space="preserve">, Sentencias </w:t>
      </w:r>
      <w:hyperlink w:anchor="SENTENCIA_2024_27" w:history="1">
        <w:r w:rsidRPr="00E55613">
          <w:rPr>
            <w:rStyle w:val="TextoNormalCaracter"/>
          </w:rPr>
          <w:t>27/2024</w:t>
        </w:r>
      </w:hyperlink>
      <w:r w:rsidRPr="00E55613">
        <w:rPr>
          <w:rStyle w:val="TextoNormalCaracter"/>
        </w:rPr>
        <w:t xml:space="preserve">, f. 2; </w:t>
      </w:r>
      <w:hyperlink w:anchor="SENTENCIA_2024_78" w:history="1">
        <w:r w:rsidRPr="00E55613">
          <w:rPr>
            <w:rStyle w:val="TextoNormalCaracter"/>
          </w:rPr>
          <w:t>78/2024</w:t>
        </w:r>
      </w:hyperlink>
      <w:r w:rsidRPr="00E55613">
        <w:rPr>
          <w:rStyle w:val="TextoNormalCaracter"/>
        </w:rPr>
        <w:t>, f. único.</w:t>
      </w:r>
    </w:p>
    <w:p w14:paraId="1D578DED" w14:textId="2AC10048" w:rsidR="00E55613" w:rsidRPr="00E55613" w:rsidRDefault="00E55613" w:rsidP="00E55613">
      <w:pPr>
        <w:pStyle w:val="TextoNormalSangraFrancesa"/>
        <w:rPr>
          <w:rStyle w:val="TextoNormalCaracter"/>
        </w:rPr>
      </w:pPr>
      <w:bookmarkStart w:id="1057" w:name="DESCRIPTORALFABETICO118"/>
      <w:r w:rsidRPr="00E55613">
        <w:rPr>
          <w:rStyle w:val="TextoNormalNegritaCaracter"/>
        </w:rPr>
        <w:t>Neutralidad ideológica</w:t>
      </w:r>
      <w:bookmarkEnd w:id="1057"/>
      <w:r w:rsidRPr="00E55613">
        <w:rPr>
          <w:rStyle w:val="TextoNormalCaracter"/>
        </w:rPr>
        <w:t xml:space="preserve">, Sentencia </w:t>
      </w:r>
      <w:hyperlink w:anchor="SENTENCIA_2024_89" w:history="1">
        <w:r w:rsidRPr="00E55613">
          <w:rPr>
            <w:rStyle w:val="TextoNormalCaracter"/>
          </w:rPr>
          <w:t>89/2024</w:t>
        </w:r>
      </w:hyperlink>
      <w:r w:rsidRPr="00E55613">
        <w:rPr>
          <w:rStyle w:val="TextoNormalCaracter"/>
        </w:rPr>
        <w:t>, f. 2.</w:t>
      </w:r>
    </w:p>
    <w:p w14:paraId="64BAEA7E" w14:textId="7A8477F2" w:rsidR="00E55613" w:rsidRPr="00E55613" w:rsidRDefault="00E55613" w:rsidP="00E55613">
      <w:pPr>
        <w:pStyle w:val="TextoNormalSangraFrancesa"/>
        <w:rPr>
          <w:rStyle w:val="TextoNormalCaracter"/>
        </w:rPr>
      </w:pPr>
      <w:bookmarkStart w:id="1058" w:name="DESCRIPTORALFABETICO1"/>
      <w:r w:rsidRPr="00E55613">
        <w:rPr>
          <w:rStyle w:val="TextoNormalNegritaCaracter"/>
        </w:rPr>
        <w:t>Normas atributivas de competencias</w:t>
      </w:r>
      <w:bookmarkEnd w:id="1058"/>
      <w:r w:rsidRPr="00E55613">
        <w:rPr>
          <w:rStyle w:val="TextoNormalCaracter"/>
        </w:rPr>
        <w:t xml:space="preserve">, Sentencias </w:t>
      </w:r>
      <w:hyperlink w:anchor="SENTENCIA_2024_19" w:history="1">
        <w:r w:rsidRPr="00E55613">
          <w:rPr>
            <w:rStyle w:val="TextoNormalCaracter"/>
          </w:rPr>
          <w:t>19/2024</w:t>
        </w:r>
      </w:hyperlink>
      <w:r w:rsidRPr="00E55613">
        <w:rPr>
          <w:rStyle w:val="TextoNormalCaracter"/>
        </w:rPr>
        <w:t xml:space="preserve">, f. 4; </w:t>
      </w:r>
      <w:hyperlink w:anchor="SENTENCIA_2024_32" w:history="1">
        <w:r w:rsidRPr="00E55613">
          <w:rPr>
            <w:rStyle w:val="TextoNormalCaracter"/>
          </w:rPr>
          <w:t>32/2024</w:t>
        </w:r>
      </w:hyperlink>
      <w:r w:rsidRPr="00E55613">
        <w:rPr>
          <w:rStyle w:val="TextoNormalCaracter"/>
        </w:rPr>
        <w:t>, f. 1.</w:t>
      </w:r>
    </w:p>
    <w:p w14:paraId="4C0C71BA" w14:textId="5FAA61D5" w:rsidR="00E55613" w:rsidRPr="00E55613" w:rsidRDefault="00E55613" w:rsidP="00E55613">
      <w:pPr>
        <w:pStyle w:val="TextoNormalSangraFrancesa"/>
        <w:rPr>
          <w:rStyle w:val="TextoNormalCaracter"/>
        </w:rPr>
      </w:pPr>
      <w:bookmarkStart w:id="1059" w:name="DESCRIPTORALFABETICO481"/>
      <w:r w:rsidRPr="00E55613">
        <w:rPr>
          <w:rStyle w:val="TextoNormalNegritaCaracter"/>
        </w:rPr>
        <w:t>Nueva valoración de la prueba en segunda instancia</w:t>
      </w:r>
      <w:bookmarkEnd w:id="1059"/>
      <w:r w:rsidRPr="00E55613">
        <w:rPr>
          <w:rStyle w:val="TextoNormalCaracter"/>
        </w:rPr>
        <w:t xml:space="preserve">, Sentencias </w:t>
      </w:r>
      <w:hyperlink w:anchor="SENTENCIA_2024_72" w:history="1">
        <w:r w:rsidRPr="00E55613">
          <w:rPr>
            <w:rStyle w:val="TextoNormalCaracter"/>
          </w:rPr>
          <w:t>72/2024</w:t>
        </w:r>
      </w:hyperlink>
      <w:r w:rsidRPr="00E55613">
        <w:rPr>
          <w:rStyle w:val="TextoNormalCaracter"/>
        </w:rPr>
        <w:t xml:space="preserve">, f. 6; </w:t>
      </w:r>
      <w:hyperlink w:anchor="SENTENCIA_2024_77" w:history="1">
        <w:r w:rsidRPr="00E55613">
          <w:rPr>
            <w:rStyle w:val="TextoNormalCaracter"/>
          </w:rPr>
          <w:t>77/2024</w:t>
        </w:r>
      </w:hyperlink>
      <w:r w:rsidRPr="00E55613">
        <w:rPr>
          <w:rStyle w:val="TextoNormalCaracter"/>
        </w:rPr>
        <w:t>, ff. 1, 4.</w:t>
      </w:r>
    </w:p>
    <w:p w14:paraId="1B691D3C" w14:textId="0AF09E44" w:rsidR="00E55613" w:rsidRPr="00E55613" w:rsidRDefault="00E55613" w:rsidP="00E55613">
      <w:pPr>
        <w:pStyle w:val="TextoNormalSangraFrancesa"/>
        <w:rPr>
          <w:rStyle w:val="TextoNormalCaracter"/>
        </w:rPr>
      </w:pPr>
      <w:bookmarkStart w:id="1060" w:name="DESCRIPTORALFABETICO192"/>
      <w:r w:rsidRPr="00E55613">
        <w:rPr>
          <w:rStyle w:val="TextoNormalNegritaCaracter"/>
        </w:rPr>
        <w:t>Nulidad de sentencia de casación</w:t>
      </w:r>
      <w:bookmarkEnd w:id="1060"/>
      <w:r w:rsidRPr="00E55613">
        <w:rPr>
          <w:rStyle w:val="TextoNormalCaracter"/>
        </w:rPr>
        <w:t xml:space="preserve">, Sentencia </w:t>
      </w:r>
      <w:hyperlink w:anchor="SENTENCIA_2024_9" w:history="1">
        <w:r w:rsidRPr="00E55613">
          <w:rPr>
            <w:rStyle w:val="TextoNormalCaracter"/>
          </w:rPr>
          <w:t>9/2024</w:t>
        </w:r>
      </w:hyperlink>
      <w:r w:rsidRPr="00E55613">
        <w:rPr>
          <w:rStyle w:val="TextoNormalCaracter"/>
        </w:rPr>
        <w:t>, ff. 5 y 6, VP I, VP II.</w:t>
      </w:r>
    </w:p>
    <w:p w14:paraId="6F927387" w14:textId="79AFE307" w:rsidR="00E55613" w:rsidRPr="00E55613" w:rsidRDefault="00E55613" w:rsidP="00E55613">
      <w:pPr>
        <w:pStyle w:val="TextoNormalSangraFrancesa"/>
        <w:rPr>
          <w:rStyle w:val="TextoNormalCaracter"/>
        </w:rPr>
      </w:pPr>
      <w:bookmarkStart w:id="1061" w:name="DESCRIPTORALFABETICO193"/>
      <w:r w:rsidRPr="00E55613">
        <w:rPr>
          <w:rStyle w:val="TextoNormalNegritaCaracter"/>
        </w:rPr>
        <w:t>Nulidad de sentencia penal</w:t>
      </w:r>
      <w:bookmarkEnd w:id="1061"/>
      <w:r w:rsidRPr="00E55613">
        <w:rPr>
          <w:rStyle w:val="TextoNormalCaracter"/>
        </w:rPr>
        <w:t xml:space="preserve">, Sentencia </w:t>
      </w:r>
      <w:hyperlink w:anchor="SENTENCIA_2024_80" w:history="1">
        <w:r w:rsidRPr="00E55613">
          <w:rPr>
            <w:rStyle w:val="TextoNormalCaracter"/>
          </w:rPr>
          <w:t>80/2024</w:t>
        </w:r>
      </w:hyperlink>
      <w:r w:rsidRPr="00E55613">
        <w:rPr>
          <w:rStyle w:val="TextoNormalCaracter"/>
        </w:rPr>
        <w:t>, ff. 5 y 6.</w:t>
      </w:r>
    </w:p>
    <w:p w14:paraId="76A62EAE" w14:textId="57122E98" w:rsidR="00E55613" w:rsidRDefault="00E55613" w:rsidP="00E55613">
      <w:pPr>
        <w:pStyle w:val="TextoNormalSangraFrancesa"/>
      </w:pPr>
    </w:p>
    <w:p w14:paraId="4806C4C5" w14:textId="77777777" w:rsidR="00E55613" w:rsidRDefault="00E55613" w:rsidP="00E55613">
      <w:pPr>
        <w:pStyle w:val="TextoNormalSangraFrancesa"/>
      </w:pPr>
    </w:p>
    <w:p w14:paraId="6ABFC8D0" w14:textId="77777777" w:rsidR="00E55613" w:rsidRDefault="00E55613" w:rsidP="00E55613">
      <w:pPr>
        <w:pStyle w:val="TextoNormalNegritaCentrado"/>
      </w:pPr>
      <w:r>
        <w:t>O</w:t>
      </w:r>
    </w:p>
    <w:p w14:paraId="385D2FB1" w14:textId="69FB5A30" w:rsidR="00E55613" w:rsidRDefault="00E55613" w:rsidP="00E55613">
      <w:pPr>
        <w:pStyle w:val="TextoNormalNegritaCentrado"/>
      </w:pPr>
    </w:p>
    <w:p w14:paraId="56B4CBF7" w14:textId="77777777" w:rsidR="00E55613" w:rsidRPr="00E55613" w:rsidRDefault="00E55613" w:rsidP="00E55613">
      <w:pPr>
        <w:pStyle w:val="TextoNormalSangraFrancesa"/>
        <w:rPr>
          <w:rStyle w:val="TextoNormalCaracter"/>
        </w:rPr>
      </w:pPr>
      <w:bookmarkStart w:id="1062" w:name="DESCRIPTORALFABETICO120"/>
      <w:r w:rsidRPr="00E55613">
        <w:rPr>
          <w:rStyle w:val="TextoNormalNegritaCaracter"/>
        </w:rPr>
        <w:t>Objeción de conciencia</w:t>
      </w:r>
      <w:bookmarkEnd w:id="1062"/>
      <w:r w:rsidRPr="00E55613">
        <w:rPr>
          <w:rStyle w:val="TextoNormalCaracter"/>
        </w:rPr>
        <w:t xml:space="preserve">, </w:t>
      </w:r>
    </w:p>
    <w:p w14:paraId="04D5D427" w14:textId="367F5C06" w:rsidR="00E55613" w:rsidRPr="00E55613" w:rsidRDefault="00E55613" w:rsidP="00E55613">
      <w:pPr>
        <w:pStyle w:val="TextoNormalSangraFrancesa"/>
        <w:rPr>
          <w:rStyle w:val="TextoNormalCaracter"/>
        </w:rPr>
      </w:pPr>
      <w:r w:rsidRPr="00E55613">
        <w:rPr>
          <w:rStyle w:val="TextoNormalCursivaCaracter"/>
        </w:rPr>
        <w:t xml:space="preserve">    Concepto, </w:t>
      </w:r>
      <w:r w:rsidRPr="00E55613">
        <w:rPr>
          <w:rStyle w:val="TextoNormalCaracter"/>
        </w:rPr>
        <w:t xml:space="preserve">Sentencia </w:t>
      </w:r>
      <w:hyperlink w:anchor="SENTENCIA_2024_92" w:history="1">
        <w:r w:rsidRPr="00E55613">
          <w:rPr>
            <w:rStyle w:val="TextoNormalCaracter"/>
          </w:rPr>
          <w:t>92/2024</w:t>
        </w:r>
      </w:hyperlink>
      <w:r w:rsidRPr="00E55613">
        <w:rPr>
          <w:rStyle w:val="TextoNormalCaracter"/>
        </w:rPr>
        <w:t>, ff. 8 y 9, VP II.</w:t>
      </w:r>
    </w:p>
    <w:p w14:paraId="5D8B6832" w14:textId="13491B28" w:rsidR="00E55613" w:rsidRPr="00E55613" w:rsidRDefault="00E55613" w:rsidP="00E55613">
      <w:pPr>
        <w:pStyle w:val="TextoNormalSangraFrancesa"/>
        <w:rPr>
          <w:rStyle w:val="TextoNormalCaracter"/>
        </w:rPr>
      </w:pPr>
      <w:bookmarkStart w:id="1063" w:name="DESCRIPTORALFABETICO121"/>
      <w:r w:rsidRPr="00E55613">
        <w:rPr>
          <w:rStyle w:val="TextoNormalNegritaCaracter"/>
        </w:rPr>
        <w:t>Objeción de conciencia a la interrupción voluntaria del embarazo</w:t>
      </w:r>
      <w:bookmarkEnd w:id="1063"/>
      <w:r w:rsidRPr="00E55613">
        <w:rPr>
          <w:rStyle w:val="TextoNormalCaracter"/>
        </w:rPr>
        <w:t xml:space="preserve">, Sentencia </w:t>
      </w:r>
      <w:hyperlink w:anchor="SENTENCIA_2024_92" w:history="1">
        <w:r w:rsidRPr="00E55613">
          <w:rPr>
            <w:rStyle w:val="TextoNormalCaracter"/>
          </w:rPr>
          <w:t>92/2024</w:t>
        </w:r>
      </w:hyperlink>
      <w:r w:rsidRPr="00E55613">
        <w:rPr>
          <w:rStyle w:val="TextoNormalCaracter"/>
        </w:rPr>
        <w:t>, ff. 8 y 9.</w:t>
      </w:r>
    </w:p>
    <w:p w14:paraId="26C7D4D4" w14:textId="3B02A1BB" w:rsidR="00E55613" w:rsidRPr="00E55613" w:rsidRDefault="00E55613" w:rsidP="00E55613">
      <w:pPr>
        <w:pStyle w:val="TextoNormalSangraFrancesa"/>
        <w:rPr>
          <w:rStyle w:val="TextoNormalCaracter"/>
        </w:rPr>
      </w:pPr>
      <w:bookmarkStart w:id="1064" w:name="DESCRIPTORALFABETICO170"/>
      <w:r w:rsidRPr="00E55613">
        <w:rPr>
          <w:rStyle w:val="TextoNormalNegritaCaracter"/>
        </w:rPr>
        <w:t>Objeto del recurso de amparo</w:t>
      </w:r>
      <w:bookmarkEnd w:id="1064"/>
      <w:r w:rsidRPr="00E55613">
        <w:rPr>
          <w:rStyle w:val="TextoNormalCaracter"/>
        </w:rPr>
        <w:t xml:space="preserve">, Sentencia </w:t>
      </w:r>
      <w:hyperlink w:anchor="SENTENCIA_2024_55" w:history="1">
        <w:r w:rsidRPr="00E55613">
          <w:rPr>
            <w:rStyle w:val="TextoNormalCaracter"/>
          </w:rPr>
          <w:t>55/2024</w:t>
        </w:r>
      </w:hyperlink>
      <w:r w:rsidRPr="00E55613">
        <w:rPr>
          <w:rStyle w:val="TextoNormalCaracter"/>
        </w:rPr>
        <w:t>, f. 2.</w:t>
      </w:r>
    </w:p>
    <w:p w14:paraId="7217C423" w14:textId="7E24B5EC" w:rsidR="00E55613" w:rsidRPr="00E55613" w:rsidRDefault="00E55613" w:rsidP="00E55613">
      <w:pPr>
        <w:pStyle w:val="TextoNormalSangraFrancesa"/>
        <w:rPr>
          <w:rStyle w:val="TextoNormalCaracter"/>
        </w:rPr>
      </w:pPr>
      <w:bookmarkStart w:id="1065" w:name="DESCRIPTORALFABETICO409"/>
      <w:r w:rsidRPr="00E55613">
        <w:rPr>
          <w:rStyle w:val="TextoNormalNegritaCaracter"/>
        </w:rPr>
        <w:t>Obstaculización</w:t>
      </w:r>
      <w:bookmarkEnd w:id="1065"/>
      <w:r w:rsidRPr="00E55613">
        <w:rPr>
          <w:rStyle w:val="TextoNormalCaracter"/>
        </w:rPr>
        <w:t xml:space="preserve">, Sentencia </w:t>
      </w:r>
      <w:hyperlink w:anchor="SENTENCIA_2024_75" w:history="1">
        <w:r w:rsidRPr="00E55613">
          <w:rPr>
            <w:rStyle w:val="TextoNormalCaracter"/>
          </w:rPr>
          <w:t>75/2024</w:t>
        </w:r>
      </w:hyperlink>
      <w:r w:rsidRPr="00E55613">
        <w:rPr>
          <w:rStyle w:val="TextoNormalCaracter"/>
        </w:rPr>
        <w:t>, f. 4.</w:t>
      </w:r>
    </w:p>
    <w:p w14:paraId="1086B3D1" w14:textId="5113127A" w:rsidR="00E55613" w:rsidRPr="00E55613" w:rsidRDefault="00E55613" w:rsidP="00E55613">
      <w:pPr>
        <w:pStyle w:val="TextoNormalSangraFrancesa"/>
        <w:rPr>
          <w:rStyle w:val="TextoNormalCaracter"/>
        </w:rPr>
      </w:pPr>
      <w:bookmarkStart w:id="1066" w:name="DESCRIPTORALFABETICO471"/>
      <w:r w:rsidRPr="00E55613">
        <w:rPr>
          <w:rStyle w:val="TextoNormalNegritaCaracter"/>
        </w:rPr>
        <w:t>Omisión de trámite de audiencia</w:t>
      </w:r>
      <w:bookmarkEnd w:id="1066"/>
      <w:r w:rsidRPr="00E55613">
        <w:rPr>
          <w:rStyle w:val="TextoNormalCaracter"/>
        </w:rPr>
        <w:t xml:space="preserve">, Sentencia </w:t>
      </w:r>
      <w:hyperlink w:anchor="SENTENCIA_2024_85" w:history="1">
        <w:r w:rsidRPr="00E55613">
          <w:rPr>
            <w:rStyle w:val="TextoNormalCaracter"/>
          </w:rPr>
          <w:t>85/2024</w:t>
        </w:r>
      </w:hyperlink>
      <w:r w:rsidRPr="00E55613">
        <w:rPr>
          <w:rStyle w:val="TextoNormalCaracter"/>
        </w:rPr>
        <w:t>, ff. 2 y 3.</w:t>
      </w:r>
    </w:p>
    <w:p w14:paraId="55811670" w14:textId="2451CB35" w:rsidR="00E55613" w:rsidRPr="00E55613" w:rsidRDefault="00E55613" w:rsidP="00E55613">
      <w:pPr>
        <w:pStyle w:val="TextoNormalSangraFrancesa"/>
        <w:rPr>
          <w:rStyle w:val="TextoNormalCaracter"/>
        </w:rPr>
      </w:pPr>
      <w:bookmarkStart w:id="1067" w:name="DESCRIPTORALFABETICO280"/>
      <w:r w:rsidRPr="00E55613">
        <w:rPr>
          <w:rStyle w:val="TextoNormalNegritaCaracter"/>
        </w:rPr>
        <w:t>Opciones políticas</w:t>
      </w:r>
      <w:bookmarkEnd w:id="1067"/>
      <w:r w:rsidRPr="00E55613">
        <w:rPr>
          <w:rStyle w:val="TextoNormalCaracter"/>
        </w:rPr>
        <w:t xml:space="preserve">, Sentencia </w:t>
      </w:r>
      <w:hyperlink w:anchor="SENTENCIA_2024_92" w:history="1">
        <w:r w:rsidRPr="00E55613">
          <w:rPr>
            <w:rStyle w:val="TextoNormalCaracter"/>
          </w:rPr>
          <w:t>92/2024</w:t>
        </w:r>
      </w:hyperlink>
      <w:r w:rsidRPr="00E55613">
        <w:rPr>
          <w:rStyle w:val="TextoNormalCaracter"/>
        </w:rPr>
        <w:t>, ff. 4 y 6, VP III.</w:t>
      </w:r>
    </w:p>
    <w:p w14:paraId="652B39A6" w14:textId="64E7B7DF" w:rsidR="00E55613" w:rsidRPr="00E55613" w:rsidRDefault="00E55613" w:rsidP="00E55613">
      <w:pPr>
        <w:pStyle w:val="TextoNormalSangraFrancesa"/>
        <w:rPr>
          <w:rStyle w:val="TextoNormalCaracter"/>
        </w:rPr>
      </w:pPr>
      <w:bookmarkStart w:id="1068" w:name="DESCRIPTORALFABETICO484"/>
      <w:r w:rsidRPr="00E55613">
        <w:rPr>
          <w:rStyle w:val="TextoNormalNegritaCaracter"/>
        </w:rPr>
        <w:t>Orden de busca y captura</w:t>
      </w:r>
      <w:bookmarkEnd w:id="1068"/>
      <w:r w:rsidRPr="00E55613">
        <w:rPr>
          <w:rStyle w:val="TextoNormalCaracter"/>
        </w:rPr>
        <w:t xml:space="preserve">, Sentencia </w:t>
      </w:r>
      <w:hyperlink w:anchor="SENTENCIA_2024_86" w:history="1">
        <w:r w:rsidRPr="00E55613">
          <w:rPr>
            <w:rStyle w:val="TextoNormalCaracter"/>
          </w:rPr>
          <w:t>86/2024</w:t>
        </w:r>
      </w:hyperlink>
      <w:r w:rsidRPr="00E55613">
        <w:rPr>
          <w:rStyle w:val="TextoNormalCaracter"/>
        </w:rPr>
        <w:t>, f. 3.</w:t>
      </w:r>
    </w:p>
    <w:p w14:paraId="61EEE260" w14:textId="1C9A43E4" w:rsidR="00E55613" w:rsidRDefault="00E55613" w:rsidP="00E55613">
      <w:pPr>
        <w:pStyle w:val="TextoNormalSangraFrancesa"/>
      </w:pPr>
    </w:p>
    <w:p w14:paraId="2F48D26B" w14:textId="77777777" w:rsidR="00E55613" w:rsidRDefault="00E55613" w:rsidP="00E55613">
      <w:pPr>
        <w:pStyle w:val="TextoNormalSangraFrancesa"/>
      </w:pPr>
    </w:p>
    <w:p w14:paraId="26890FD6" w14:textId="77777777" w:rsidR="00E55613" w:rsidRDefault="00E55613" w:rsidP="00E55613">
      <w:pPr>
        <w:pStyle w:val="TextoNormalNegritaCentrado"/>
      </w:pPr>
      <w:r>
        <w:t>P</w:t>
      </w:r>
    </w:p>
    <w:p w14:paraId="67A624DA" w14:textId="6BE0B4E8" w:rsidR="00E55613" w:rsidRDefault="00E55613" w:rsidP="00E55613">
      <w:pPr>
        <w:pStyle w:val="TextoNormalNegritaCentrado"/>
      </w:pPr>
    </w:p>
    <w:p w14:paraId="2242EFC2" w14:textId="77FD60D6" w:rsidR="00E55613" w:rsidRPr="00E55613" w:rsidRDefault="00E55613" w:rsidP="00E55613">
      <w:pPr>
        <w:pStyle w:val="TextoNormalSangraFrancesa"/>
        <w:rPr>
          <w:rStyle w:val="TextoNormalCaracter"/>
        </w:rPr>
      </w:pPr>
      <w:bookmarkStart w:id="1069" w:name="DESCRIPTORALFABETICO244"/>
      <w:r w:rsidRPr="00E55613">
        <w:rPr>
          <w:rStyle w:val="TextoNormalNegritaCaracter"/>
        </w:rPr>
        <w:t>Parlamento de Andalucía</w:t>
      </w:r>
      <w:bookmarkEnd w:id="1069"/>
      <w:r w:rsidRPr="00E55613">
        <w:rPr>
          <w:rStyle w:val="TextoNormalCaracter"/>
        </w:rPr>
        <w:t xml:space="preserve">, Sentencia </w:t>
      </w:r>
      <w:hyperlink w:anchor="SENTENCIA_2024_93" w:history="1">
        <w:r w:rsidRPr="00E55613">
          <w:rPr>
            <w:rStyle w:val="TextoNormalCaracter"/>
          </w:rPr>
          <w:t>93/2024</w:t>
        </w:r>
      </w:hyperlink>
      <w:r w:rsidRPr="00E55613">
        <w:rPr>
          <w:rStyle w:val="TextoNormalCaracter"/>
        </w:rPr>
        <w:t>, f. 4, VP II.</w:t>
      </w:r>
    </w:p>
    <w:p w14:paraId="153747A1" w14:textId="547DABE2" w:rsidR="00E55613" w:rsidRPr="00E55613" w:rsidRDefault="00E55613" w:rsidP="00E55613">
      <w:pPr>
        <w:pStyle w:val="TextoNormalSangraFrancesa"/>
        <w:rPr>
          <w:rStyle w:val="TextoNormalCaracter"/>
        </w:rPr>
      </w:pPr>
      <w:bookmarkStart w:id="1070" w:name="DESCRIPTORALFABETICO245"/>
      <w:r w:rsidRPr="00E55613">
        <w:rPr>
          <w:rStyle w:val="TextoNormalNegritaCaracter"/>
        </w:rPr>
        <w:t>Parlamento de Cataluña</w:t>
      </w:r>
      <w:bookmarkEnd w:id="1070"/>
      <w:r w:rsidRPr="00E55613">
        <w:rPr>
          <w:rStyle w:val="TextoNormalCaracter"/>
        </w:rPr>
        <w:t xml:space="preserve">, Sentencia </w:t>
      </w:r>
      <w:hyperlink w:anchor="SENTENCIA_2024_86" w:history="1">
        <w:r w:rsidRPr="00E55613">
          <w:rPr>
            <w:rStyle w:val="TextoNormalCaracter"/>
          </w:rPr>
          <w:t>86/2024</w:t>
        </w:r>
      </w:hyperlink>
      <w:r w:rsidRPr="00E55613">
        <w:rPr>
          <w:rStyle w:val="TextoNormalCaracter"/>
        </w:rPr>
        <w:t>, f. 3.</w:t>
      </w:r>
    </w:p>
    <w:p w14:paraId="3B0A5E03" w14:textId="6BF315E3" w:rsidR="00E55613" w:rsidRPr="00E55613" w:rsidRDefault="00E55613" w:rsidP="00E55613">
      <w:pPr>
        <w:pStyle w:val="TextoNormalSangraFrancesa"/>
        <w:rPr>
          <w:rStyle w:val="TextoNormalCaracter"/>
        </w:rPr>
      </w:pPr>
      <w:bookmarkStart w:id="1071" w:name="DESCRIPTORALFABETICO202"/>
      <w:r w:rsidRPr="00E55613">
        <w:rPr>
          <w:rStyle w:val="TextoNormalNegritaCaracter"/>
        </w:rPr>
        <w:t>Partidos políticos</w:t>
      </w:r>
      <w:bookmarkEnd w:id="1071"/>
      <w:r w:rsidRPr="00E55613">
        <w:rPr>
          <w:rStyle w:val="TextoNormalCaracter"/>
        </w:rPr>
        <w:t xml:space="preserve">, Sentencias </w:t>
      </w:r>
      <w:hyperlink w:anchor="SENTENCIA_2024_44" w:history="1">
        <w:r w:rsidRPr="00E55613">
          <w:rPr>
            <w:rStyle w:val="TextoNormalCaracter"/>
          </w:rPr>
          <w:t>44/2024</w:t>
        </w:r>
      </w:hyperlink>
      <w:r w:rsidRPr="00E55613">
        <w:rPr>
          <w:rStyle w:val="TextoNormalCaracter"/>
        </w:rPr>
        <w:t xml:space="preserve">; </w:t>
      </w:r>
      <w:hyperlink w:anchor="SENTENCIA_2024_69" w:history="1">
        <w:r w:rsidRPr="00E55613">
          <w:rPr>
            <w:rStyle w:val="TextoNormalCaracter"/>
          </w:rPr>
          <w:t>69/2024</w:t>
        </w:r>
      </w:hyperlink>
      <w:r w:rsidRPr="00E55613">
        <w:rPr>
          <w:rStyle w:val="TextoNormalCaracter"/>
        </w:rPr>
        <w:t>, f. 1.</w:t>
      </w:r>
    </w:p>
    <w:p w14:paraId="33E9A1BE" w14:textId="0342DFA2" w:rsidR="00E55613" w:rsidRPr="00E55613" w:rsidRDefault="00E55613" w:rsidP="00E55613">
      <w:pPr>
        <w:pStyle w:val="TextoNormalSangraFrancesa"/>
        <w:rPr>
          <w:rStyle w:val="TextoNormalCaracter"/>
        </w:rPr>
      </w:pPr>
      <w:bookmarkStart w:id="1072" w:name="DESCRIPTORALFABETICO322"/>
      <w:r w:rsidRPr="00E55613">
        <w:rPr>
          <w:rStyle w:val="TextoNormalNegritaCaracter"/>
        </w:rPr>
        <w:t>Patria potestad</w:t>
      </w:r>
      <w:bookmarkEnd w:id="1072"/>
      <w:r w:rsidRPr="00E55613">
        <w:rPr>
          <w:rStyle w:val="TextoNormalCaracter"/>
        </w:rPr>
        <w:t xml:space="preserve">, Sentencia </w:t>
      </w:r>
      <w:hyperlink w:anchor="SENTENCIA_2024_26" w:history="1">
        <w:r w:rsidRPr="00E55613">
          <w:rPr>
            <w:rStyle w:val="TextoNormalCaracter"/>
          </w:rPr>
          <w:t>26/2024</w:t>
        </w:r>
      </w:hyperlink>
      <w:r w:rsidRPr="00E55613">
        <w:rPr>
          <w:rStyle w:val="TextoNormalCaracter"/>
        </w:rPr>
        <w:t>, f. 1.</w:t>
      </w:r>
    </w:p>
    <w:p w14:paraId="76E7691E" w14:textId="13C304DE" w:rsidR="00E55613" w:rsidRPr="00E55613" w:rsidRDefault="00E55613" w:rsidP="00E55613">
      <w:pPr>
        <w:pStyle w:val="TextoNormalSangraFrancesa"/>
        <w:rPr>
          <w:rStyle w:val="TextoNormalCaracter"/>
        </w:rPr>
      </w:pPr>
      <w:bookmarkStart w:id="1073" w:name="DESCRIPTORALFABETICO392"/>
      <w:r w:rsidRPr="00E55613">
        <w:rPr>
          <w:rStyle w:val="TextoNormalNegritaCaracter"/>
        </w:rPr>
        <w:t>Penas accesorias</w:t>
      </w:r>
      <w:bookmarkEnd w:id="1073"/>
      <w:r w:rsidRPr="00E55613">
        <w:rPr>
          <w:rStyle w:val="TextoNormalCaracter"/>
        </w:rPr>
        <w:t xml:space="preserve">, Sentencias </w:t>
      </w:r>
      <w:hyperlink w:anchor="SENTENCIA_2024_8" w:history="1">
        <w:r w:rsidRPr="00E55613">
          <w:rPr>
            <w:rStyle w:val="TextoNormalCaracter"/>
          </w:rPr>
          <w:t>8/2024</w:t>
        </w:r>
      </w:hyperlink>
      <w:r w:rsidRPr="00E55613">
        <w:rPr>
          <w:rStyle w:val="TextoNormalCaracter"/>
        </w:rPr>
        <w:t xml:space="preserve">, f. 6; </w:t>
      </w:r>
      <w:hyperlink w:anchor="SENTENCIA_2024_18" w:history="1">
        <w:r w:rsidRPr="00E55613">
          <w:rPr>
            <w:rStyle w:val="TextoNormalCaracter"/>
          </w:rPr>
          <w:t>18/2024</w:t>
        </w:r>
      </w:hyperlink>
      <w:r w:rsidRPr="00E55613">
        <w:rPr>
          <w:rStyle w:val="TextoNormalCaracter"/>
        </w:rPr>
        <w:t>, f. único.</w:t>
      </w:r>
    </w:p>
    <w:p w14:paraId="40A209FD" w14:textId="78992111" w:rsidR="00E55613" w:rsidRPr="00E55613" w:rsidRDefault="00E55613" w:rsidP="00E55613">
      <w:pPr>
        <w:pStyle w:val="TextoNormalSangraFrancesa"/>
        <w:rPr>
          <w:rStyle w:val="TextoNormalCaracter"/>
        </w:rPr>
      </w:pPr>
      <w:bookmarkStart w:id="1074" w:name="DESCRIPTORALFABETICO395"/>
      <w:r w:rsidRPr="00E55613">
        <w:rPr>
          <w:rStyle w:val="TextoNormalNegritaCaracter"/>
        </w:rPr>
        <w:t>Penas privativas de libertad</w:t>
      </w:r>
      <w:bookmarkEnd w:id="1074"/>
      <w:r w:rsidRPr="00E55613">
        <w:rPr>
          <w:rStyle w:val="TextoNormalCaracter"/>
        </w:rPr>
        <w:t xml:space="preserve">, Sentencias </w:t>
      </w:r>
      <w:hyperlink w:anchor="SENTENCIA_2024_39" w:history="1">
        <w:r w:rsidRPr="00E55613">
          <w:rPr>
            <w:rStyle w:val="TextoNormalCaracter"/>
          </w:rPr>
          <w:t>39/2024</w:t>
        </w:r>
      </w:hyperlink>
      <w:r w:rsidRPr="00E55613">
        <w:rPr>
          <w:rStyle w:val="TextoNormalCaracter"/>
        </w:rPr>
        <w:t xml:space="preserve">, f. 1; </w:t>
      </w:r>
      <w:hyperlink w:anchor="SENTENCIA_2024_70" w:history="1">
        <w:r w:rsidRPr="00E55613">
          <w:rPr>
            <w:rStyle w:val="TextoNormalCaracter"/>
          </w:rPr>
          <w:t>70/2024</w:t>
        </w:r>
      </w:hyperlink>
      <w:r w:rsidRPr="00E55613">
        <w:rPr>
          <w:rStyle w:val="TextoNormalCaracter"/>
        </w:rPr>
        <w:t xml:space="preserve">, f. 1; </w:t>
      </w:r>
      <w:hyperlink w:anchor="SENTENCIA_2024_78" w:history="1">
        <w:r w:rsidRPr="00E55613">
          <w:rPr>
            <w:rStyle w:val="TextoNormalCaracter"/>
          </w:rPr>
          <w:t>78/2024</w:t>
        </w:r>
      </w:hyperlink>
      <w:r w:rsidRPr="00E55613">
        <w:rPr>
          <w:rStyle w:val="TextoNormalCaracter"/>
        </w:rPr>
        <w:t>, f. único.</w:t>
      </w:r>
    </w:p>
    <w:p w14:paraId="6EAEEEB7" w14:textId="0C5B03E2" w:rsidR="00E55613" w:rsidRPr="00E55613" w:rsidRDefault="00E55613" w:rsidP="00E55613">
      <w:pPr>
        <w:pStyle w:val="TextoNormalSangraFrancesa"/>
        <w:rPr>
          <w:rStyle w:val="TextoNormalCaracter"/>
        </w:rPr>
      </w:pPr>
      <w:bookmarkStart w:id="1075" w:name="DESCRIPTORALFABETICO396"/>
      <w:r w:rsidRPr="00E55613">
        <w:rPr>
          <w:rStyle w:val="TextoNormalNegritaCaracter"/>
        </w:rPr>
        <w:t>Penas restrictivas de derechos</w:t>
      </w:r>
      <w:bookmarkEnd w:id="1075"/>
      <w:r w:rsidRPr="00E55613">
        <w:rPr>
          <w:rStyle w:val="TextoNormalCaracter"/>
        </w:rPr>
        <w:t xml:space="preserve">, Sentencias </w:t>
      </w:r>
      <w:hyperlink w:anchor="SENTENCIA_2024_8" w:history="1">
        <w:r w:rsidRPr="00E55613">
          <w:rPr>
            <w:rStyle w:val="TextoNormalCaracter"/>
          </w:rPr>
          <w:t>8/2024</w:t>
        </w:r>
      </w:hyperlink>
      <w:r w:rsidRPr="00E55613">
        <w:rPr>
          <w:rStyle w:val="TextoNormalCaracter"/>
        </w:rPr>
        <w:t xml:space="preserve">, f. 6; </w:t>
      </w:r>
      <w:hyperlink w:anchor="SENTENCIA_2024_18" w:history="1">
        <w:r w:rsidRPr="00E55613">
          <w:rPr>
            <w:rStyle w:val="TextoNormalCaracter"/>
          </w:rPr>
          <w:t>18/2024</w:t>
        </w:r>
      </w:hyperlink>
      <w:r w:rsidRPr="00E55613">
        <w:rPr>
          <w:rStyle w:val="TextoNormalCaracter"/>
        </w:rPr>
        <w:t>, f. único.</w:t>
      </w:r>
    </w:p>
    <w:p w14:paraId="3F8C4406" w14:textId="2EACC31B" w:rsidR="00E55613" w:rsidRPr="00E55613" w:rsidRDefault="00E55613" w:rsidP="00E55613">
      <w:pPr>
        <w:pStyle w:val="TextoNormalSangraFrancesa"/>
        <w:rPr>
          <w:rStyle w:val="TextoNormalCaracter"/>
        </w:rPr>
      </w:pPr>
      <w:bookmarkStart w:id="1076" w:name="DESCRIPTORALFABETICO320"/>
      <w:r w:rsidRPr="00E55613">
        <w:rPr>
          <w:rStyle w:val="TextoNormalNegritaCaracter"/>
        </w:rPr>
        <w:t>Pensión alimenticia</w:t>
      </w:r>
      <w:bookmarkEnd w:id="1076"/>
      <w:r w:rsidRPr="00E55613">
        <w:rPr>
          <w:rStyle w:val="TextoNormalCaracter"/>
        </w:rPr>
        <w:t xml:space="preserve">, Sentencia </w:t>
      </w:r>
      <w:hyperlink w:anchor="SENTENCIA_2024_2" w:history="1">
        <w:r w:rsidRPr="00E55613">
          <w:rPr>
            <w:rStyle w:val="TextoNormalCaracter"/>
          </w:rPr>
          <w:t>2/2024</w:t>
        </w:r>
      </w:hyperlink>
      <w:r w:rsidRPr="00E55613">
        <w:rPr>
          <w:rStyle w:val="TextoNormalCaracter"/>
        </w:rPr>
        <w:t>, f. 3.</w:t>
      </w:r>
    </w:p>
    <w:p w14:paraId="1A16DA63" w14:textId="1AB10312" w:rsidR="00E55613" w:rsidRPr="00E55613" w:rsidRDefault="00E55613" w:rsidP="00E55613">
      <w:pPr>
        <w:pStyle w:val="TextoNormalSangraFrancesa"/>
        <w:rPr>
          <w:rStyle w:val="TextoNormalCaracter"/>
        </w:rPr>
      </w:pPr>
      <w:bookmarkStart w:id="1077" w:name="DESCRIPTORALFABETICO243"/>
      <w:r w:rsidRPr="00E55613">
        <w:rPr>
          <w:rStyle w:val="TextoNormalNegritaCaracter"/>
        </w:rPr>
        <w:t>Pérdida de la condición de parlamentario</w:t>
      </w:r>
      <w:bookmarkEnd w:id="1077"/>
      <w:r w:rsidRPr="00E55613">
        <w:rPr>
          <w:rStyle w:val="TextoNormalCaracter"/>
        </w:rPr>
        <w:t xml:space="preserve">, Sentencias </w:t>
      </w:r>
      <w:hyperlink w:anchor="SENTENCIA_2024_18" w:history="1">
        <w:r w:rsidRPr="00E55613">
          <w:rPr>
            <w:rStyle w:val="TextoNormalCaracter"/>
          </w:rPr>
          <w:t>18/2024</w:t>
        </w:r>
      </w:hyperlink>
      <w:r w:rsidRPr="00E55613">
        <w:rPr>
          <w:rStyle w:val="TextoNormalCaracter"/>
        </w:rPr>
        <w:t xml:space="preserve">, f. único; </w:t>
      </w:r>
      <w:hyperlink w:anchor="SENTENCIA_2024_62" w:history="1">
        <w:r w:rsidRPr="00E55613">
          <w:rPr>
            <w:rStyle w:val="TextoNormalCaracter"/>
          </w:rPr>
          <w:t>62/2024</w:t>
        </w:r>
      </w:hyperlink>
      <w:r w:rsidRPr="00E55613">
        <w:rPr>
          <w:rStyle w:val="TextoNormalCaracter"/>
        </w:rPr>
        <w:t>, ff. 1 y 2.</w:t>
      </w:r>
    </w:p>
    <w:p w14:paraId="7E106B3B" w14:textId="6C6651D0" w:rsidR="00E55613" w:rsidRPr="00E55613" w:rsidRDefault="00E55613" w:rsidP="00E55613">
      <w:pPr>
        <w:pStyle w:val="TextoNormalSangraFrancesa"/>
        <w:rPr>
          <w:rStyle w:val="TextoNormalCaracter"/>
        </w:rPr>
      </w:pPr>
      <w:bookmarkStart w:id="1078" w:name="DESCRIPTORALFABETICO144"/>
      <w:r w:rsidRPr="00E55613">
        <w:rPr>
          <w:rStyle w:val="TextoNormalNegritaCaracter"/>
        </w:rPr>
        <w:t>Pérdida sobrevenida de objeto del proceso constitucional</w:t>
      </w:r>
      <w:bookmarkEnd w:id="1078"/>
      <w:r w:rsidRPr="00E55613">
        <w:rPr>
          <w:rStyle w:val="TextoNormalCaracter"/>
        </w:rPr>
        <w:t xml:space="preserve">, Sentencias </w:t>
      </w:r>
      <w:hyperlink w:anchor="SENTENCIA_2024_20" w:history="1">
        <w:r w:rsidRPr="00E55613">
          <w:rPr>
            <w:rStyle w:val="TextoNormalCaracter"/>
          </w:rPr>
          <w:t>20/2024</w:t>
        </w:r>
      </w:hyperlink>
      <w:r w:rsidRPr="00E55613">
        <w:rPr>
          <w:rStyle w:val="TextoNormalCaracter"/>
        </w:rPr>
        <w:t xml:space="preserve">, f. 2; </w:t>
      </w:r>
      <w:hyperlink w:anchor="SENTENCIA_2024_31" w:history="1">
        <w:r w:rsidRPr="00E55613">
          <w:rPr>
            <w:rStyle w:val="TextoNormalCaracter"/>
          </w:rPr>
          <w:t>31/2024</w:t>
        </w:r>
      </w:hyperlink>
      <w:r w:rsidRPr="00E55613">
        <w:rPr>
          <w:rStyle w:val="TextoNormalCaracter"/>
        </w:rPr>
        <w:t xml:space="preserve">, f. único; </w:t>
      </w:r>
      <w:hyperlink w:anchor="SENTENCIA_2024_45" w:history="1">
        <w:r w:rsidRPr="00E55613">
          <w:rPr>
            <w:rStyle w:val="TextoNormalCaracter"/>
          </w:rPr>
          <w:t>45/2024</w:t>
        </w:r>
      </w:hyperlink>
      <w:r w:rsidRPr="00E55613">
        <w:rPr>
          <w:rStyle w:val="TextoNormalCaracter"/>
        </w:rPr>
        <w:t xml:space="preserve">, f. 2; </w:t>
      </w:r>
      <w:hyperlink w:anchor="SENTENCIA_2024_62" w:history="1">
        <w:r w:rsidRPr="00E55613">
          <w:rPr>
            <w:rStyle w:val="TextoNormalCaracter"/>
          </w:rPr>
          <w:t>62/2024</w:t>
        </w:r>
      </w:hyperlink>
      <w:r w:rsidRPr="00E55613">
        <w:rPr>
          <w:rStyle w:val="TextoNormalCaracter"/>
        </w:rPr>
        <w:t xml:space="preserve">, f. 2; </w:t>
      </w:r>
      <w:hyperlink w:anchor="SENTENCIA_2024_64" w:history="1">
        <w:r w:rsidRPr="00E55613">
          <w:rPr>
            <w:rStyle w:val="TextoNormalCaracter"/>
          </w:rPr>
          <w:t>64/2024</w:t>
        </w:r>
      </w:hyperlink>
      <w:r w:rsidRPr="00E55613">
        <w:rPr>
          <w:rStyle w:val="TextoNormalCaracter"/>
        </w:rPr>
        <w:t>, f. único.</w:t>
      </w:r>
    </w:p>
    <w:p w14:paraId="6B4201A9" w14:textId="5A4370F4" w:rsidR="00E55613" w:rsidRPr="00E55613" w:rsidRDefault="00E55613" w:rsidP="00E55613">
      <w:pPr>
        <w:pStyle w:val="TextoNormalSangraFrancesa"/>
        <w:rPr>
          <w:rStyle w:val="TextoNormalCaracter"/>
        </w:rPr>
      </w:pPr>
      <w:bookmarkStart w:id="1079" w:name="DESCRIPTORALFABETICO145"/>
      <w:r w:rsidRPr="00E55613">
        <w:rPr>
          <w:rStyle w:val="TextoNormalNegritaCaracter"/>
        </w:rPr>
        <w:t>Pérdida sobrevenida de objeto por declaración de inconstitucionalidad de la norma</w:t>
      </w:r>
      <w:bookmarkEnd w:id="1079"/>
      <w:r w:rsidRPr="00E55613">
        <w:rPr>
          <w:rStyle w:val="TextoNormalCaracter"/>
        </w:rPr>
        <w:t xml:space="preserve">, Sentencias </w:t>
      </w:r>
      <w:hyperlink w:anchor="SENTENCIA_2024_16" w:history="1">
        <w:r w:rsidRPr="00E55613">
          <w:rPr>
            <w:rStyle w:val="TextoNormalCaracter"/>
          </w:rPr>
          <w:t>16/2024</w:t>
        </w:r>
      </w:hyperlink>
      <w:r w:rsidRPr="00E55613">
        <w:rPr>
          <w:rStyle w:val="TextoNormalCaracter"/>
        </w:rPr>
        <w:t xml:space="preserve">, f. 2; </w:t>
      </w:r>
      <w:hyperlink w:anchor="SENTENCIA_2024_73" w:history="1">
        <w:r w:rsidRPr="00E55613">
          <w:rPr>
            <w:rStyle w:val="TextoNormalCaracter"/>
          </w:rPr>
          <w:t>73/2024</w:t>
        </w:r>
      </w:hyperlink>
      <w:r w:rsidRPr="00E55613">
        <w:rPr>
          <w:rStyle w:val="TextoNormalCaracter"/>
        </w:rPr>
        <w:t xml:space="preserve">, f. 2; </w:t>
      </w:r>
      <w:hyperlink w:anchor="SENTENCIA_2024_74" w:history="1">
        <w:r w:rsidRPr="00E55613">
          <w:rPr>
            <w:rStyle w:val="TextoNormalCaracter"/>
          </w:rPr>
          <w:t>74/2024</w:t>
        </w:r>
      </w:hyperlink>
      <w:r w:rsidRPr="00E55613">
        <w:rPr>
          <w:rStyle w:val="TextoNormalCaracter"/>
        </w:rPr>
        <w:t>, f. 2.</w:t>
      </w:r>
    </w:p>
    <w:p w14:paraId="039DC6F5" w14:textId="66A656C5" w:rsidR="00E55613" w:rsidRPr="00E55613" w:rsidRDefault="00E55613" w:rsidP="00E55613">
      <w:pPr>
        <w:pStyle w:val="TextoNormalSangraFrancesa"/>
        <w:rPr>
          <w:rStyle w:val="TextoNormalCaracter"/>
        </w:rPr>
      </w:pPr>
      <w:bookmarkStart w:id="1080" w:name="DESCRIPTORALFABETICO146"/>
      <w:r w:rsidRPr="00E55613">
        <w:rPr>
          <w:rStyle w:val="TextoNormalNegritaCaracter"/>
        </w:rPr>
        <w:t>Pérdida sobrevenida de objeto por derogación de la norma</w:t>
      </w:r>
      <w:bookmarkEnd w:id="1080"/>
      <w:r w:rsidRPr="00E55613">
        <w:rPr>
          <w:rStyle w:val="TextoNormalCaracter"/>
        </w:rPr>
        <w:t xml:space="preserve">, Sentencias </w:t>
      </w:r>
      <w:hyperlink w:anchor="SENTENCIA_2024_29" w:history="1">
        <w:r w:rsidRPr="00E55613">
          <w:rPr>
            <w:rStyle w:val="TextoNormalCaracter"/>
          </w:rPr>
          <w:t>29/2024</w:t>
        </w:r>
      </w:hyperlink>
      <w:r w:rsidRPr="00E55613">
        <w:rPr>
          <w:rStyle w:val="TextoNormalCaracter"/>
        </w:rPr>
        <w:t xml:space="preserve">, f. 2; </w:t>
      </w:r>
      <w:hyperlink w:anchor="SENTENCIA_2024_67" w:history="1">
        <w:r w:rsidRPr="00E55613">
          <w:rPr>
            <w:rStyle w:val="TextoNormalCaracter"/>
          </w:rPr>
          <w:t>67/2024</w:t>
        </w:r>
      </w:hyperlink>
      <w:r w:rsidRPr="00E55613">
        <w:rPr>
          <w:rStyle w:val="TextoNormalCaracter"/>
        </w:rPr>
        <w:t xml:space="preserve">, VP; </w:t>
      </w:r>
      <w:hyperlink w:anchor="SENTENCIA_2024_91" w:history="1">
        <w:r w:rsidRPr="00E55613">
          <w:rPr>
            <w:rStyle w:val="TextoNormalCaracter"/>
          </w:rPr>
          <w:t>91/2024</w:t>
        </w:r>
      </w:hyperlink>
      <w:r w:rsidRPr="00E55613">
        <w:rPr>
          <w:rStyle w:val="TextoNormalCaracter"/>
        </w:rPr>
        <w:t>, f. 2.</w:t>
      </w:r>
    </w:p>
    <w:p w14:paraId="0B978A6E" w14:textId="2D201C68" w:rsidR="00E55613" w:rsidRPr="00E55613" w:rsidRDefault="00E55613" w:rsidP="00E55613">
      <w:pPr>
        <w:pStyle w:val="TextoNormalSangraFrancesa"/>
        <w:rPr>
          <w:rStyle w:val="TextoNormalCaracter"/>
        </w:rPr>
      </w:pPr>
      <w:bookmarkStart w:id="1081" w:name="DESCRIPTORALFABETICO147"/>
      <w:r w:rsidRPr="00E55613">
        <w:rPr>
          <w:rStyle w:val="TextoNormalNegritaCaracter"/>
        </w:rPr>
        <w:lastRenderedPageBreak/>
        <w:t>Pérdida sobrevenida de objeto por modificación de la norma</w:t>
      </w:r>
      <w:bookmarkEnd w:id="1081"/>
      <w:r w:rsidRPr="00E55613">
        <w:rPr>
          <w:rStyle w:val="TextoNormalCaracter"/>
        </w:rPr>
        <w:t xml:space="preserve">, Sentencias </w:t>
      </w:r>
      <w:hyperlink w:anchor="SENTENCIA_2024_15" w:history="1">
        <w:r w:rsidRPr="00E55613">
          <w:rPr>
            <w:rStyle w:val="TextoNormalCaracter"/>
          </w:rPr>
          <w:t>15/2024</w:t>
        </w:r>
      </w:hyperlink>
      <w:r w:rsidRPr="00E55613">
        <w:rPr>
          <w:rStyle w:val="TextoNormalCaracter"/>
        </w:rPr>
        <w:t xml:space="preserve">, f. 2, VP II; </w:t>
      </w:r>
      <w:hyperlink w:anchor="SENTENCIA_2024_65" w:history="1">
        <w:r w:rsidRPr="00E55613">
          <w:rPr>
            <w:rStyle w:val="TextoNormalCaracter"/>
          </w:rPr>
          <w:t>65/2024</w:t>
        </w:r>
      </w:hyperlink>
      <w:r w:rsidRPr="00E55613">
        <w:rPr>
          <w:rStyle w:val="TextoNormalCaracter"/>
        </w:rPr>
        <w:t>, ff. 2, 3 y 5.</w:t>
      </w:r>
    </w:p>
    <w:p w14:paraId="6EB2335E" w14:textId="377F26A9" w:rsidR="00E55613" w:rsidRPr="00E55613" w:rsidRDefault="00E55613" w:rsidP="00E55613">
      <w:pPr>
        <w:pStyle w:val="TextoNormalSangraFrancesa"/>
        <w:rPr>
          <w:rStyle w:val="TextoNormalCaracter"/>
        </w:rPr>
      </w:pPr>
      <w:bookmarkStart w:id="1082" w:name="DESCRIPTORALFABETICO416"/>
      <w:r w:rsidRPr="00E55613">
        <w:rPr>
          <w:rStyle w:val="TextoNormalNegritaCaracter"/>
        </w:rPr>
        <w:t>Personas con discapacidad intelectual</w:t>
      </w:r>
      <w:bookmarkEnd w:id="1082"/>
      <w:r w:rsidRPr="00E55613">
        <w:rPr>
          <w:rStyle w:val="TextoNormalCaracter"/>
        </w:rPr>
        <w:t xml:space="preserve">, Sentencias </w:t>
      </w:r>
      <w:hyperlink w:anchor="SENTENCIA_2024_4" w:history="1">
        <w:r w:rsidRPr="00E55613">
          <w:rPr>
            <w:rStyle w:val="TextoNormalCaracter"/>
          </w:rPr>
          <w:t>4/2024</w:t>
        </w:r>
      </w:hyperlink>
      <w:r w:rsidRPr="00E55613">
        <w:rPr>
          <w:rStyle w:val="TextoNormalCaracter"/>
        </w:rPr>
        <w:t xml:space="preserve">, f. 1; </w:t>
      </w:r>
      <w:hyperlink w:anchor="SENTENCIA_2024_71" w:history="1">
        <w:r w:rsidRPr="00E55613">
          <w:rPr>
            <w:rStyle w:val="TextoNormalCaracter"/>
          </w:rPr>
          <w:t>71/2024</w:t>
        </w:r>
      </w:hyperlink>
      <w:r w:rsidRPr="00E55613">
        <w:rPr>
          <w:rStyle w:val="TextoNormalCaracter"/>
        </w:rPr>
        <w:t>, f. único.</w:t>
      </w:r>
    </w:p>
    <w:p w14:paraId="16D4C25A" w14:textId="530CB252" w:rsidR="00E55613" w:rsidRPr="00E55613" w:rsidRDefault="00E55613" w:rsidP="00E55613">
      <w:pPr>
        <w:pStyle w:val="TextoNormalSangraFrancesa"/>
        <w:rPr>
          <w:rStyle w:val="TextoNormalCaracter"/>
        </w:rPr>
      </w:pPr>
      <w:bookmarkStart w:id="1083" w:name="DESCRIPTORALFABETICO412"/>
      <w:r w:rsidRPr="00E55613">
        <w:rPr>
          <w:rStyle w:val="TextoNormalNegritaCaracter"/>
        </w:rPr>
        <w:t>Personas trans</w:t>
      </w:r>
      <w:bookmarkEnd w:id="1083"/>
      <w:r w:rsidRPr="00E55613">
        <w:rPr>
          <w:rStyle w:val="TextoNormalCaracter"/>
        </w:rPr>
        <w:t xml:space="preserve">, Sentencias </w:t>
      </w:r>
      <w:hyperlink w:anchor="SENTENCIA_2024_44" w:history="1">
        <w:r w:rsidRPr="00E55613">
          <w:rPr>
            <w:rStyle w:val="TextoNormalCaracter"/>
          </w:rPr>
          <w:t>44/2024</w:t>
        </w:r>
      </w:hyperlink>
      <w:r w:rsidRPr="00E55613">
        <w:rPr>
          <w:rStyle w:val="TextoNormalCaracter"/>
        </w:rPr>
        <w:t xml:space="preserve">, ff. 3 y 4; </w:t>
      </w:r>
      <w:hyperlink w:anchor="SENTENCIA_2024_81" w:history="1">
        <w:r w:rsidRPr="00E55613">
          <w:rPr>
            <w:rStyle w:val="TextoNormalCaracter"/>
          </w:rPr>
          <w:t>81/2024</w:t>
        </w:r>
      </w:hyperlink>
      <w:r w:rsidRPr="00E55613">
        <w:rPr>
          <w:rStyle w:val="TextoNormalCaracter"/>
        </w:rPr>
        <w:t>, ff. 1, 3, 4.</w:t>
      </w:r>
    </w:p>
    <w:p w14:paraId="32F36AEE" w14:textId="66C3ACC8" w:rsidR="00E55613" w:rsidRPr="00E55613" w:rsidRDefault="00E55613" w:rsidP="00E55613">
      <w:pPr>
        <w:pStyle w:val="TextoNormalSangraFrancesa"/>
        <w:rPr>
          <w:rStyle w:val="TextoNormalCaracter"/>
        </w:rPr>
      </w:pPr>
      <w:bookmarkStart w:id="1084" w:name="DESCRIPTORALFABETICO341"/>
      <w:r w:rsidRPr="00E55613">
        <w:rPr>
          <w:rStyle w:val="TextoNormalNegritaCaracter"/>
        </w:rPr>
        <w:t>Pertenencia a organización terrorista</w:t>
      </w:r>
      <w:bookmarkEnd w:id="1084"/>
      <w:r w:rsidRPr="00E55613">
        <w:rPr>
          <w:rStyle w:val="TextoNormalCaracter"/>
        </w:rPr>
        <w:t xml:space="preserve">, Sentencia </w:t>
      </w:r>
      <w:hyperlink w:anchor="SENTENCIA_2024_9" w:history="1">
        <w:r w:rsidRPr="00E55613">
          <w:rPr>
            <w:rStyle w:val="TextoNormalCaracter"/>
          </w:rPr>
          <w:t>9/2024</w:t>
        </w:r>
      </w:hyperlink>
      <w:r w:rsidRPr="00E55613">
        <w:rPr>
          <w:rStyle w:val="TextoNormalCaracter"/>
        </w:rPr>
        <w:t>, f. 1.</w:t>
      </w:r>
    </w:p>
    <w:p w14:paraId="7AE5FB04" w14:textId="61B74A97" w:rsidR="00E55613" w:rsidRPr="00E55613" w:rsidRDefault="00E55613" w:rsidP="00E55613">
      <w:pPr>
        <w:pStyle w:val="TextoNormalSangraFrancesa"/>
        <w:rPr>
          <w:rStyle w:val="TextoNormalCaracter"/>
        </w:rPr>
      </w:pPr>
      <w:bookmarkStart w:id="1085" w:name="DESCRIPTORALFABETICO164"/>
      <w:r w:rsidRPr="00E55613">
        <w:rPr>
          <w:rStyle w:val="TextoNormalNegritaCaracter"/>
        </w:rPr>
        <w:t>Pervivencia del objeto del recurso de inconstitucionalidad</w:t>
      </w:r>
      <w:bookmarkEnd w:id="1085"/>
      <w:r w:rsidRPr="00E55613">
        <w:rPr>
          <w:rStyle w:val="TextoNormalCaracter"/>
        </w:rPr>
        <w:t xml:space="preserve">, Sentencia </w:t>
      </w:r>
      <w:hyperlink w:anchor="SENTENCIA_2024_67" w:history="1">
        <w:r w:rsidRPr="00E55613">
          <w:rPr>
            <w:rStyle w:val="TextoNormalCaracter"/>
          </w:rPr>
          <w:t>67/2024</w:t>
        </w:r>
      </w:hyperlink>
      <w:r w:rsidRPr="00E55613">
        <w:rPr>
          <w:rStyle w:val="TextoNormalCaracter"/>
        </w:rPr>
        <w:t>, f. 2.</w:t>
      </w:r>
    </w:p>
    <w:p w14:paraId="4371B647" w14:textId="78D2571E" w:rsidR="00E55613" w:rsidRPr="00E55613" w:rsidRDefault="00E55613" w:rsidP="00E55613">
      <w:pPr>
        <w:pStyle w:val="TextoNormalSangraFrancesa"/>
        <w:rPr>
          <w:rStyle w:val="TextoNormalCaracter"/>
        </w:rPr>
      </w:pPr>
      <w:bookmarkStart w:id="1086" w:name="DESCRIPTORALFABETICO415"/>
      <w:r w:rsidRPr="00E55613">
        <w:rPr>
          <w:rStyle w:val="TextoNormalNegritaCaracter"/>
        </w:rPr>
        <w:t>Pesca marítima</w:t>
      </w:r>
      <w:bookmarkEnd w:id="1086"/>
      <w:r w:rsidRPr="00E55613">
        <w:rPr>
          <w:rStyle w:val="TextoNormalCaracter"/>
        </w:rPr>
        <w:t xml:space="preserve">, Sentencia </w:t>
      </w:r>
      <w:hyperlink w:anchor="SENTENCIA_2024_68" w:history="1">
        <w:r w:rsidRPr="00E55613">
          <w:rPr>
            <w:rStyle w:val="TextoNormalCaracter"/>
          </w:rPr>
          <w:t>68/2024</w:t>
        </w:r>
      </w:hyperlink>
      <w:r w:rsidRPr="00E55613">
        <w:rPr>
          <w:rStyle w:val="TextoNormalCaracter"/>
        </w:rPr>
        <w:t>, f. 5.</w:t>
      </w:r>
    </w:p>
    <w:p w14:paraId="7AF69EA5" w14:textId="586710BE" w:rsidR="00E55613" w:rsidRPr="00E55613" w:rsidRDefault="00E55613" w:rsidP="00E55613">
      <w:pPr>
        <w:pStyle w:val="TextoNormalSangraFrancesa"/>
        <w:rPr>
          <w:rStyle w:val="TextoNormalCaracter"/>
        </w:rPr>
      </w:pPr>
      <w:bookmarkStart w:id="1087" w:name="DESCRIPTORALFABETICO279"/>
      <w:r w:rsidRPr="00E55613">
        <w:rPr>
          <w:rStyle w:val="TextoNormalNegritaCaracter"/>
        </w:rPr>
        <w:t>Pluralismo político</w:t>
      </w:r>
      <w:bookmarkEnd w:id="1087"/>
      <w:r w:rsidRPr="00E55613">
        <w:rPr>
          <w:rStyle w:val="TextoNormalCaracter"/>
        </w:rPr>
        <w:t xml:space="preserve">, Sentencias </w:t>
      </w:r>
      <w:hyperlink w:anchor="SENTENCIA_2024_89" w:history="1">
        <w:r w:rsidRPr="00E55613">
          <w:rPr>
            <w:rStyle w:val="TextoNormalCaracter"/>
          </w:rPr>
          <w:t>89/2024</w:t>
        </w:r>
      </w:hyperlink>
      <w:r w:rsidRPr="00E55613">
        <w:rPr>
          <w:rStyle w:val="TextoNormalCaracter"/>
        </w:rPr>
        <w:t xml:space="preserve">, f. 2; </w:t>
      </w:r>
      <w:hyperlink w:anchor="SENTENCIA_2024_92" w:history="1">
        <w:r w:rsidRPr="00E55613">
          <w:rPr>
            <w:rStyle w:val="TextoNormalCaracter"/>
          </w:rPr>
          <w:t>92/2024</w:t>
        </w:r>
      </w:hyperlink>
      <w:r w:rsidRPr="00E55613">
        <w:rPr>
          <w:rStyle w:val="TextoNormalCaracter"/>
        </w:rPr>
        <w:t>, ff. 3 y 5.</w:t>
      </w:r>
    </w:p>
    <w:p w14:paraId="3AC1B9D1" w14:textId="3EB794E8" w:rsidR="00E55613" w:rsidRPr="00E55613" w:rsidRDefault="00E55613" w:rsidP="00E55613">
      <w:pPr>
        <w:pStyle w:val="TextoNormalSangraFrancesa"/>
        <w:rPr>
          <w:rStyle w:val="TextoNormalCaracter"/>
        </w:rPr>
      </w:pPr>
      <w:bookmarkStart w:id="1088" w:name="DESCRIPTORALFABETICO276"/>
      <w:r w:rsidRPr="00E55613">
        <w:rPr>
          <w:rStyle w:val="TextoNormalNegritaCaracter"/>
        </w:rPr>
        <w:t>Poder constituyente</w:t>
      </w:r>
      <w:bookmarkEnd w:id="1088"/>
      <w:r w:rsidRPr="00E55613">
        <w:rPr>
          <w:rStyle w:val="TextoNormalCaracter"/>
        </w:rPr>
        <w:t xml:space="preserve">, Sentencia </w:t>
      </w:r>
      <w:hyperlink w:anchor="SENTENCIA_2024_15" w:history="1">
        <w:r w:rsidRPr="00E55613">
          <w:rPr>
            <w:rStyle w:val="TextoNormalCaracter"/>
          </w:rPr>
          <w:t>15/2024</w:t>
        </w:r>
      </w:hyperlink>
      <w:r w:rsidRPr="00E55613">
        <w:rPr>
          <w:rStyle w:val="TextoNormalCaracter"/>
        </w:rPr>
        <w:t>, f. 5.</w:t>
      </w:r>
    </w:p>
    <w:p w14:paraId="3987B8C1" w14:textId="58D0297F" w:rsidR="00E55613" w:rsidRPr="00E55613" w:rsidRDefault="00E55613" w:rsidP="00E55613">
      <w:pPr>
        <w:pStyle w:val="TextoNormalSangraFrancesa"/>
        <w:rPr>
          <w:rStyle w:val="TextoNormalCaracter"/>
        </w:rPr>
      </w:pPr>
      <w:bookmarkStart w:id="1089" w:name="DESCRIPTORALFABETICO330"/>
      <w:r w:rsidRPr="00E55613">
        <w:rPr>
          <w:rStyle w:val="TextoNormalNegritaCaracter"/>
        </w:rPr>
        <w:t>Policía local</w:t>
      </w:r>
      <w:bookmarkEnd w:id="1089"/>
      <w:r w:rsidRPr="00E55613">
        <w:rPr>
          <w:rStyle w:val="TextoNormalCaracter"/>
        </w:rPr>
        <w:t xml:space="preserve">, Sentencia </w:t>
      </w:r>
      <w:hyperlink w:anchor="SENTENCIA_2024_40" w:history="1">
        <w:r w:rsidRPr="00E55613">
          <w:rPr>
            <w:rStyle w:val="TextoNormalCaracter"/>
          </w:rPr>
          <w:t>40/2024</w:t>
        </w:r>
      </w:hyperlink>
      <w:r w:rsidRPr="00E55613">
        <w:rPr>
          <w:rStyle w:val="TextoNormalCaracter"/>
        </w:rPr>
        <w:t>, f. 3.</w:t>
      </w:r>
    </w:p>
    <w:p w14:paraId="235C243E" w14:textId="14EC7A65" w:rsidR="00E55613" w:rsidRPr="00E55613" w:rsidRDefault="00E55613" w:rsidP="00E55613">
      <w:pPr>
        <w:pStyle w:val="TextoNormalSangraFrancesa"/>
        <w:rPr>
          <w:rStyle w:val="TextoNormalCaracter"/>
        </w:rPr>
      </w:pPr>
      <w:bookmarkStart w:id="1090" w:name="DESCRIPTORALFABETICO331"/>
      <w:r w:rsidRPr="00E55613">
        <w:rPr>
          <w:rStyle w:val="TextoNormalNegritaCaracter"/>
        </w:rPr>
        <w:t>Policía nacional</w:t>
      </w:r>
      <w:bookmarkEnd w:id="1090"/>
      <w:r w:rsidRPr="00E55613">
        <w:rPr>
          <w:rStyle w:val="TextoNormalCaracter"/>
        </w:rPr>
        <w:t xml:space="preserve">, Sentencia </w:t>
      </w:r>
      <w:hyperlink w:anchor="SENTENCIA_2024_40" w:history="1">
        <w:r w:rsidRPr="00E55613">
          <w:rPr>
            <w:rStyle w:val="TextoNormalCaracter"/>
          </w:rPr>
          <w:t>40/2024</w:t>
        </w:r>
      </w:hyperlink>
      <w:r w:rsidRPr="00E55613">
        <w:rPr>
          <w:rStyle w:val="TextoNormalCaracter"/>
        </w:rPr>
        <w:t>, ff. 3 y 4.</w:t>
      </w:r>
    </w:p>
    <w:p w14:paraId="0898802B" w14:textId="49A2711A" w:rsidR="00E55613" w:rsidRPr="00E55613" w:rsidRDefault="00E55613" w:rsidP="00E55613">
      <w:pPr>
        <w:pStyle w:val="TextoNormalSangraFrancesa"/>
        <w:rPr>
          <w:rStyle w:val="TextoNormalCaracter"/>
        </w:rPr>
      </w:pPr>
      <w:bookmarkStart w:id="1091" w:name="DESCRIPTORALFABETICO256"/>
      <w:r w:rsidRPr="00E55613">
        <w:rPr>
          <w:rStyle w:val="TextoNormalNegritaCaracter"/>
        </w:rPr>
        <w:t>Política de perspectiva de género</w:t>
      </w:r>
      <w:bookmarkEnd w:id="1091"/>
      <w:r w:rsidRPr="00E55613">
        <w:rPr>
          <w:rStyle w:val="TextoNormalCaracter"/>
        </w:rPr>
        <w:t xml:space="preserve">, Sentencias </w:t>
      </w:r>
      <w:hyperlink w:anchor="SENTENCIA_2024_89" w:history="1">
        <w:r w:rsidRPr="00E55613">
          <w:rPr>
            <w:rStyle w:val="TextoNormalCaracter"/>
          </w:rPr>
          <w:t>89/2024</w:t>
        </w:r>
      </w:hyperlink>
      <w:r w:rsidRPr="00E55613">
        <w:rPr>
          <w:rStyle w:val="TextoNormalCaracter"/>
        </w:rPr>
        <w:t xml:space="preserve">, f. 2; </w:t>
      </w:r>
      <w:hyperlink w:anchor="SENTENCIA_2024_92" w:history="1">
        <w:r w:rsidRPr="00E55613">
          <w:rPr>
            <w:rStyle w:val="TextoNormalCaracter"/>
          </w:rPr>
          <w:t>92/2024</w:t>
        </w:r>
      </w:hyperlink>
      <w:r w:rsidRPr="00E55613">
        <w:rPr>
          <w:rStyle w:val="TextoNormalCaracter"/>
        </w:rPr>
        <w:t>, f. 3, VP III.</w:t>
      </w:r>
    </w:p>
    <w:p w14:paraId="0EE68024" w14:textId="780D08AD" w:rsidR="00E55613" w:rsidRPr="00E55613" w:rsidRDefault="00E55613" w:rsidP="00E55613">
      <w:pPr>
        <w:pStyle w:val="TextoNormalSangraFrancesa"/>
        <w:rPr>
          <w:rStyle w:val="TextoNormalCaracter"/>
        </w:rPr>
      </w:pPr>
      <w:bookmarkStart w:id="1092" w:name="DESCRIPTORALFABETICO127"/>
      <w:r w:rsidRPr="00E55613">
        <w:rPr>
          <w:rStyle w:val="TextoNormalNegritaCaracter"/>
        </w:rPr>
        <w:t>Ponderación de derechos fundamentales</w:t>
      </w:r>
      <w:bookmarkEnd w:id="1092"/>
      <w:r w:rsidRPr="00E55613">
        <w:rPr>
          <w:rStyle w:val="TextoNormalCaracter"/>
        </w:rPr>
        <w:t xml:space="preserve">, Sentencia </w:t>
      </w:r>
      <w:hyperlink w:anchor="SENTENCIA_2024_26" w:history="1">
        <w:r w:rsidRPr="00E55613">
          <w:rPr>
            <w:rStyle w:val="TextoNormalCaracter"/>
          </w:rPr>
          <w:t>26/2024</w:t>
        </w:r>
      </w:hyperlink>
      <w:r w:rsidRPr="00E55613">
        <w:rPr>
          <w:rStyle w:val="TextoNormalCaracter"/>
        </w:rPr>
        <w:t>, ff. 2 y 5, VP I.</w:t>
      </w:r>
    </w:p>
    <w:p w14:paraId="0552D385" w14:textId="4C5244EC" w:rsidR="00E55613" w:rsidRPr="00E55613" w:rsidRDefault="00E55613" w:rsidP="00E55613">
      <w:pPr>
        <w:pStyle w:val="TextoNormalSangraFrancesa"/>
        <w:rPr>
          <w:rStyle w:val="TextoNormalCaracter"/>
        </w:rPr>
      </w:pPr>
      <w:bookmarkStart w:id="1093" w:name="DESCRIPTORALFABETICO269"/>
      <w:r w:rsidRPr="00E55613">
        <w:rPr>
          <w:rStyle w:val="TextoNormalNegritaCaracter"/>
        </w:rPr>
        <w:t>Ponderación de las circunstancias</w:t>
      </w:r>
      <w:bookmarkEnd w:id="1093"/>
      <w:r w:rsidRPr="00E55613">
        <w:rPr>
          <w:rStyle w:val="TextoNormalCaracter"/>
        </w:rPr>
        <w:t xml:space="preserve">, Sentencia </w:t>
      </w:r>
      <w:hyperlink w:anchor="SENTENCIA_2024_82" w:history="1">
        <w:r w:rsidRPr="00E55613">
          <w:rPr>
            <w:rStyle w:val="TextoNormalCaracter"/>
          </w:rPr>
          <w:t>82/2024</w:t>
        </w:r>
      </w:hyperlink>
      <w:r w:rsidRPr="00E55613">
        <w:rPr>
          <w:rStyle w:val="TextoNormalCaracter"/>
        </w:rPr>
        <w:t>, f. 3.</w:t>
      </w:r>
    </w:p>
    <w:p w14:paraId="2A931C5B" w14:textId="495E5079" w:rsidR="00E55613" w:rsidRPr="00E55613" w:rsidRDefault="00E55613" w:rsidP="00E55613">
      <w:pPr>
        <w:pStyle w:val="TextoNormalSangraFrancesa"/>
        <w:rPr>
          <w:rStyle w:val="TextoNormalCaracter"/>
        </w:rPr>
      </w:pPr>
      <w:bookmarkStart w:id="1094" w:name="DESCRIPTORALFABETICO474"/>
      <w:r w:rsidRPr="00E55613">
        <w:rPr>
          <w:rStyle w:val="TextoNormalNegritaCaracter"/>
        </w:rPr>
        <w:t>Práctica de prueba</w:t>
      </w:r>
      <w:bookmarkEnd w:id="1094"/>
      <w:r w:rsidRPr="00E55613">
        <w:rPr>
          <w:rStyle w:val="TextoNormalCaracter"/>
        </w:rPr>
        <w:t xml:space="preserve">, Sentencias </w:t>
      </w:r>
      <w:hyperlink w:anchor="SENTENCIA_2024_72" w:history="1">
        <w:r w:rsidRPr="00E55613">
          <w:rPr>
            <w:rStyle w:val="TextoNormalCaracter"/>
          </w:rPr>
          <w:t>72/2024</w:t>
        </w:r>
      </w:hyperlink>
      <w:r w:rsidRPr="00E55613">
        <w:rPr>
          <w:rStyle w:val="TextoNormalCaracter"/>
        </w:rPr>
        <w:t xml:space="preserve">, ff. 4, 6, VP; </w:t>
      </w:r>
      <w:hyperlink w:anchor="SENTENCIA_2024_77" w:history="1">
        <w:r w:rsidRPr="00E55613">
          <w:rPr>
            <w:rStyle w:val="TextoNormalCaracter"/>
          </w:rPr>
          <w:t>77/2024</w:t>
        </w:r>
      </w:hyperlink>
      <w:r w:rsidRPr="00E55613">
        <w:rPr>
          <w:rStyle w:val="TextoNormalCaracter"/>
        </w:rPr>
        <w:t>, ff. 1 y 4.</w:t>
      </w:r>
    </w:p>
    <w:p w14:paraId="247BE5EA" w14:textId="4A83BA6D" w:rsidR="00E55613" w:rsidRPr="00E55613" w:rsidRDefault="00E55613" w:rsidP="00E55613">
      <w:pPr>
        <w:pStyle w:val="TextoNormalSangraFrancesa"/>
        <w:rPr>
          <w:rStyle w:val="TextoNormalCaracter"/>
        </w:rPr>
      </w:pPr>
      <w:bookmarkStart w:id="1095" w:name="DESCRIPTORALFABETICO388"/>
      <w:r w:rsidRPr="00E55613">
        <w:rPr>
          <w:rStyle w:val="TextoNormalNegritaCaracter"/>
        </w:rPr>
        <w:t>Preámbulo de textos legales</w:t>
      </w:r>
      <w:bookmarkEnd w:id="1095"/>
      <w:r w:rsidRPr="00E55613">
        <w:rPr>
          <w:rStyle w:val="TextoNormalCaracter"/>
        </w:rPr>
        <w:t xml:space="preserve">, Sentencia </w:t>
      </w:r>
      <w:hyperlink w:anchor="SENTENCIA_2024_7" w:history="1">
        <w:r w:rsidRPr="00E55613">
          <w:rPr>
            <w:rStyle w:val="TextoNormalCaracter"/>
          </w:rPr>
          <w:t>7/2024</w:t>
        </w:r>
      </w:hyperlink>
      <w:r w:rsidRPr="00E55613">
        <w:rPr>
          <w:rStyle w:val="TextoNormalCaracter"/>
        </w:rPr>
        <w:t>, f. 4.</w:t>
      </w:r>
    </w:p>
    <w:p w14:paraId="4C9E9D12" w14:textId="6D9A1D25" w:rsidR="00E55613" w:rsidRPr="00E55613" w:rsidRDefault="00E55613" w:rsidP="00E55613">
      <w:pPr>
        <w:pStyle w:val="TextoNormalSangraFrancesa"/>
        <w:rPr>
          <w:rStyle w:val="TextoNormalCaracter"/>
        </w:rPr>
      </w:pPr>
      <w:bookmarkStart w:id="1096" w:name="DESCRIPTORALFABETICO449"/>
      <w:r w:rsidRPr="00E55613">
        <w:rPr>
          <w:rStyle w:val="TextoNormalNegritaCaracter"/>
        </w:rPr>
        <w:t>Prescripción de acción penal</w:t>
      </w:r>
      <w:bookmarkEnd w:id="1096"/>
      <w:r w:rsidRPr="00E55613">
        <w:rPr>
          <w:rStyle w:val="TextoNormalCaracter"/>
        </w:rPr>
        <w:t xml:space="preserve">, Sentencia </w:t>
      </w:r>
      <w:hyperlink w:anchor="SENTENCIA_2024_34" w:history="1">
        <w:r w:rsidRPr="00E55613">
          <w:rPr>
            <w:rStyle w:val="TextoNormalCaracter"/>
          </w:rPr>
          <w:t>34/2024</w:t>
        </w:r>
      </w:hyperlink>
      <w:r w:rsidRPr="00E55613">
        <w:rPr>
          <w:rStyle w:val="TextoNormalCaracter"/>
        </w:rPr>
        <w:t>, f. 6.</w:t>
      </w:r>
    </w:p>
    <w:p w14:paraId="13968BA9" w14:textId="40C8A6CB" w:rsidR="00E55613" w:rsidRPr="00E55613" w:rsidRDefault="00E55613" w:rsidP="00E55613">
      <w:pPr>
        <w:pStyle w:val="TextoNormalSangraFrancesa"/>
        <w:rPr>
          <w:rStyle w:val="TextoNormalCaracter"/>
        </w:rPr>
      </w:pPr>
      <w:r w:rsidRPr="00E55613">
        <w:rPr>
          <w:rStyle w:val="TextoNormalCaracter"/>
        </w:rPr>
        <w:t xml:space="preserve">    Auto </w:t>
      </w:r>
      <w:hyperlink w:anchor="AUTO_2024_57" w:history="1">
        <w:r w:rsidRPr="00E55613">
          <w:rPr>
            <w:rStyle w:val="TextoNormalCaracter"/>
          </w:rPr>
          <w:t>57/2024</w:t>
        </w:r>
      </w:hyperlink>
      <w:r w:rsidRPr="00E55613">
        <w:rPr>
          <w:rStyle w:val="TextoNormalCaracter"/>
        </w:rPr>
        <w:t>, ff. 4 y 5, VP II.</w:t>
      </w:r>
    </w:p>
    <w:p w14:paraId="30717FC4" w14:textId="1CF1EE42" w:rsidR="00E55613" w:rsidRPr="00E55613" w:rsidRDefault="00E55613" w:rsidP="00E55613">
      <w:pPr>
        <w:pStyle w:val="TextoNormalSangraFrancesa"/>
        <w:rPr>
          <w:rStyle w:val="TextoNormalCaracter"/>
        </w:rPr>
      </w:pPr>
      <w:bookmarkStart w:id="1097" w:name="DESCRIPTORALFABETICO344"/>
      <w:r w:rsidRPr="00E55613">
        <w:rPr>
          <w:rStyle w:val="TextoNormalNegritaCaracter"/>
        </w:rPr>
        <w:t>Prescripción de delitos</w:t>
      </w:r>
      <w:bookmarkEnd w:id="1097"/>
      <w:r w:rsidRPr="00E55613">
        <w:rPr>
          <w:rStyle w:val="TextoNormalCaracter"/>
        </w:rPr>
        <w:t xml:space="preserve">, Auto </w:t>
      </w:r>
      <w:hyperlink w:anchor="AUTO_2024_57" w:history="1">
        <w:r w:rsidRPr="00E55613">
          <w:rPr>
            <w:rStyle w:val="TextoNormalCaracter"/>
          </w:rPr>
          <w:t>57/2024</w:t>
        </w:r>
      </w:hyperlink>
      <w:r w:rsidRPr="00E55613">
        <w:rPr>
          <w:rStyle w:val="TextoNormalCaracter"/>
        </w:rPr>
        <w:t>, ff. 4 y 5, VP II.</w:t>
      </w:r>
    </w:p>
    <w:p w14:paraId="3E5FD2E4" w14:textId="3DDA39B9" w:rsidR="00E55613" w:rsidRPr="00E55613" w:rsidRDefault="00E55613" w:rsidP="00E55613">
      <w:pPr>
        <w:pStyle w:val="TextoNormalSangraFrancesa"/>
        <w:rPr>
          <w:rStyle w:val="TextoNormalCaracter"/>
        </w:rPr>
      </w:pPr>
      <w:bookmarkStart w:id="1098" w:name="DESCRIPTORALFABETICO369"/>
      <w:r w:rsidRPr="00E55613">
        <w:rPr>
          <w:rStyle w:val="TextoNormalNegritaCaracter"/>
        </w:rPr>
        <w:t>Presupuesto habilitante</w:t>
      </w:r>
      <w:bookmarkEnd w:id="1098"/>
      <w:r w:rsidRPr="00E55613">
        <w:rPr>
          <w:rStyle w:val="TextoNormalCaracter"/>
        </w:rPr>
        <w:t xml:space="preserve">, Sentencias </w:t>
      </w:r>
      <w:hyperlink w:anchor="SENTENCIA_2024_7" w:history="1">
        <w:r w:rsidRPr="00E55613">
          <w:rPr>
            <w:rStyle w:val="TextoNormalCaracter"/>
          </w:rPr>
          <w:t>7/2024</w:t>
        </w:r>
      </w:hyperlink>
      <w:r w:rsidRPr="00E55613">
        <w:rPr>
          <w:rStyle w:val="TextoNormalCaracter"/>
        </w:rPr>
        <w:t xml:space="preserve">, f. 3; </w:t>
      </w:r>
      <w:hyperlink w:anchor="SENTENCIA_2024_20" w:history="1">
        <w:r w:rsidRPr="00E55613">
          <w:rPr>
            <w:rStyle w:val="TextoNormalCaracter"/>
          </w:rPr>
          <w:t>20/2024</w:t>
        </w:r>
      </w:hyperlink>
      <w:r w:rsidRPr="00E55613">
        <w:rPr>
          <w:rStyle w:val="TextoNormalCaracter"/>
        </w:rPr>
        <w:t>, f. 3.</w:t>
      </w:r>
    </w:p>
    <w:p w14:paraId="204D90DD" w14:textId="6C991608" w:rsidR="00E55613" w:rsidRPr="00E55613" w:rsidRDefault="00E55613" w:rsidP="00E55613">
      <w:pPr>
        <w:pStyle w:val="TextoNormalSangraFrancesa"/>
        <w:rPr>
          <w:rStyle w:val="TextoNormalCaracter"/>
        </w:rPr>
      </w:pPr>
      <w:bookmarkStart w:id="1099" w:name="DESCRIPTORALFABETICO24"/>
      <w:r w:rsidRPr="00E55613">
        <w:rPr>
          <w:rStyle w:val="TextoNormalNegritaCaracter"/>
        </w:rPr>
        <w:t>Presupuestos de las Comunidades Autónomas</w:t>
      </w:r>
      <w:bookmarkEnd w:id="1099"/>
      <w:r w:rsidRPr="00E55613">
        <w:rPr>
          <w:rStyle w:val="TextoNormalCaracter"/>
        </w:rPr>
        <w:t xml:space="preserve">, Sentencia </w:t>
      </w:r>
      <w:hyperlink w:anchor="SENTENCIA_2024_93" w:history="1">
        <w:r w:rsidRPr="00E55613">
          <w:rPr>
            <w:rStyle w:val="TextoNormalCaracter"/>
          </w:rPr>
          <w:t>93/2024</w:t>
        </w:r>
      </w:hyperlink>
      <w:r w:rsidRPr="00E55613">
        <w:rPr>
          <w:rStyle w:val="TextoNormalCaracter"/>
        </w:rPr>
        <w:t>, ff. 2 y 4, VP I.</w:t>
      </w:r>
    </w:p>
    <w:p w14:paraId="1384CF2B" w14:textId="7253BD5C" w:rsidR="00E55613" w:rsidRPr="00E55613" w:rsidRDefault="00E55613" w:rsidP="00E55613">
      <w:pPr>
        <w:pStyle w:val="TextoNormalSangraFrancesa"/>
        <w:rPr>
          <w:rStyle w:val="TextoNormalCaracter"/>
        </w:rPr>
      </w:pPr>
      <w:bookmarkStart w:id="1100" w:name="DESCRIPTORALFABETICO340"/>
      <w:r w:rsidRPr="00E55613">
        <w:rPr>
          <w:rStyle w:val="TextoNormalNegritaCaracter"/>
        </w:rPr>
        <w:t>Prevaricación</w:t>
      </w:r>
      <w:bookmarkEnd w:id="1100"/>
      <w:r w:rsidRPr="00E55613">
        <w:rPr>
          <w:rStyle w:val="TextoNormalCaracter"/>
        </w:rPr>
        <w:t xml:space="preserve">, Sentencias </w:t>
      </w:r>
      <w:hyperlink w:anchor="SENTENCIA_2024_90" w:history="1">
        <w:r w:rsidRPr="00E55613">
          <w:rPr>
            <w:rStyle w:val="TextoNormalCaracter"/>
          </w:rPr>
          <w:t>90/2024</w:t>
        </w:r>
      </w:hyperlink>
      <w:r w:rsidRPr="00E55613">
        <w:rPr>
          <w:rStyle w:val="TextoNormalCaracter"/>
        </w:rPr>
        <w:t xml:space="preserve">, f. 1; </w:t>
      </w:r>
      <w:hyperlink w:anchor="SENTENCIA_2024_93" w:history="1">
        <w:r w:rsidRPr="00E55613">
          <w:rPr>
            <w:rStyle w:val="TextoNormalCaracter"/>
          </w:rPr>
          <w:t>93/2024</w:t>
        </w:r>
      </w:hyperlink>
      <w:r w:rsidRPr="00E55613">
        <w:rPr>
          <w:rStyle w:val="TextoNormalCaracter"/>
        </w:rPr>
        <w:t>, ff. 2 y 4.</w:t>
      </w:r>
    </w:p>
    <w:p w14:paraId="1136AADB" w14:textId="65BE4A81" w:rsidR="00E55613" w:rsidRPr="00E55613" w:rsidRDefault="00E55613" w:rsidP="00E55613">
      <w:pPr>
        <w:pStyle w:val="TextoNormalSangraFrancesa"/>
        <w:rPr>
          <w:rStyle w:val="TextoNormalCaracter"/>
        </w:rPr>
      </w:pPr>
      <w:bookmarkStart w:id="1101" w:name="DESCRIPTORALFABETICO487"/>
      <w:r w:rsidRPr="00E55613">
        <w:rPr>
          <w:rStyle w:val="TextoNormalNegritaCaracter"/>
        </w:rPr>
        <w:t>Principio acusatorio</w:t>
      </w:r>
      <w:bookmarkEnd w:id="1101"/>
      <w:r w:rsidRPr="00E55613">
        <w:rPr>
          <w:rStyle w:val="TextoNormalCaracter"/>
        </w:rPr>
        <w:t xml:space="preserve">, Sentencia </w:t>
      </w:r>
      <w:hyperlink w:anchor="SENTENCIA_2024_42" w:history="1">
        <w:r w:rsidRPr="00E55613">
          <w:rPr>
            <w:rStyle w:val="TextoNormalCaracter"/>
          </w:rPr>
          <w:t>42/2024</w:t>
        </w:r>
      </w:hyperlink>
      <w:r w:rsidRPr="00E55613">
        <w:rPr>
          <w:rStyle w:val="TextoNormalCaracter"/>
        </w:rPr>
        <w:t>, f. 5.</w:t>
      </w:r>
    </w:p>
    <w:p w14:paraId="2BA892EE" w14:textId="64E283B3" w:rsidR="00E55613" w:rsidRPr="00E55613" w:rsidRDefault="00E55613" w:rsidP="00E55613">
      <w:pPr>
        <w:pStyle w:val="TextoNormalSangraFrancesa"/>
        <w:rPr>
          <w:rStyle w:val="TextoNormalCaracter"/>
        </w:rPr>
      </w:pPr>
      <w:bookmarkStart w:id="1102" w:name="DESCRIPTORALFABETICO253"/>
      <w:r w:rsidRPr="00E55613">
        <w:rPr>
          <w:rStyle w:val="TextoNormalNegritaCaracter"/>
        </w:rPr>
        <w:t>Principio de aconfesionalidad del Estado</w:t>
      </w:r>
      <w:bookmarkEnd w:id="1102"/>
      <w:r w:rsidRPr="00E55613">
        <w:rPr>
          <w:rStyle w:val="TextoNormalCaracter"/>
        </w:rPr>
        <w:t xml:space="preserve">, Sentencia </w:t>
      </w:r>
      <w:hyperlink w:anchor="SENTENCIA_2024_26" w:history="1">
        <w:r w:rsidRPr="00E55613">
          <w:rPr>
            <w:rStyle w:val="TextoNormalCaracter"/>
          </w:rPr>
          <w:t>26/2024</w:t>
        </w:r>
      </w:hyperlink>
      <w:r w:rsidRPr="00E55613">
        <w:rPr>
          <w:rStyle w:val="TextoNormalCaracter"/>
        </w:rPr>
        <w:t>, ff. 2 y 5, VP I.</w:t>
      </w:r>
    </w:p>
    <w:p w14:paraId="47DCF1EF" w14:textId="77777777" w:rsidR="00E55613" w:rsidRPr="00E55613" w:rsidRDefault="00E55613" w:rsidP="00E55613">
      <w:pPr>
        <w:pStyle w:val="TextoNormalSangraFrancesa"/>
        <w:rPr>
          <w:rStyle w:val="TextoNormalCaracter"/>
        </w:rPr>
      </w:pPr>
      <w:bookmarkStart w:id="1103" w:name="DESCRIPTORALFABETICO27"/>
      <w:r w:rsidRPr="00E55613">
        <w:rPr>
          <w:rStyle w:val="TextoNormalNegritaCaracter"/>
        </w:rPr>
        <w:t>Principio de capacidad económica</w:t>
      </w:r>
      <w:bookmarkEnd w:id="1103"/>
      <w:r w:rsidRPr="00E55613">
        <w:rPr>
          <w:rStyle w:val="TextoNormalCaracter"/>
        </w:rPr>
        <w:t xml:space="preserve">, </w:t>
      </w:r>
    </w:p>
    <w:p w14:paraId="081DE334" w14:textId="4972823D" w:rsidR="00E55613" w:rsidRPr="00E55613" w:rsidRDefault="00E55613" w:rsidP="00E55613">
      <w:pPr>
        <w:pStyle w:val="TextoNormalSangraFrancesa"/>
        <w:rPr>
          <w:rStyle w:val="TextoNormalCaracter"/>
        </w:rPr>
      </w:pPr>
      <w:r w:rsidRPr="00E55613">
        <w:rPr>
          <w:rStyle w:val="TextoNormalCursivaCaracter"/>
        </w:rPr>
        <w:t xml:space="preserve">    Vulnerado, </w:t>
      </w:r>
      <w:r w:rsidRPr="00E55613">
        <w:rPr>
          <w:rStyle w:val="TextoNormalCaracter"/>
        </w:rPr>
        <w:t xml:space="preserve">Sentencia </w:t>
      </w:r>
      <w:hyperlink w:anchor="SENTENCIA_2024_46" w:history="1">
        <w:r w:rsidRPr="00E55613">
          <w:rPr>
            <w:rStyle w:val="TextoNormalCaracter"/>
          </w:rPr>
          <w:t>46/2024</w:t>
        </w:r>
      </w:hyperlink>
      <w:r w:rsidRPr="00E55613">
        <w:rPr>
          <w:rStyle w:val="TextoNormalCaracter"/>
        </w:rPr>
        <w:t>, f. 3.</w:t>
      </w:r>
    </w:p>
    <w:p w14:paraId="5B960DF5" w14:textId="1442BACD" w:rsidR="00E55613" w:rsidRPr="00E55613" w:rsidRDefault="00E55613" w:rsidP="00E55613">
      <w:pPr>
        <w:pStyle w:val="TextoNormalSangraFrancesa"/>
        <w:rPr>
          <w:rStyle w:val="TextoNormalCaracter"/>
        </w:rPr>
      </w:pPr>
      <w:bookmarkStart w:id="1104" w:name="DESCRIPTORALFABETICO488"/>
      <w:r w:rsidRPr="00E55613">
        <w:rPr>
          <w:rStyle w:val="TextoNormalNegritaCaracter"/>
        </w:rPr>
        <w:t>Principio de contradicción</w:t>
      </w:r>
      <w:bookmarkEnd w:id="1104"/>
      <w:r w:rsidRPr="00E55613">
        <w:rPr>
          <w:rStyle w:val="TextoNormalCaracter"/>
        </w:rPr>
        <w:t xml:space="preserve">, Sentencia </w:t>
      </w:r>
      <w:hyperlink w:anchor="SENTENCIA_2024_77" w:history="1">
        <w:r w:rsidRPr="00E55613">
          <w:rPr>
            <w:rStyle w:val="TextoNormalCaracter"/>
          </w:rPr>
          <w:t>77/2024</w:t>
        </w:r>
      </w:hyperlink>
      <w:r w:rsidRPr="00E55613">
        <w:rPr>
          <w:rStyle w:val="TextoNormalCaracter"/>
        </w:rPr>
        <w:t>, f. 4.</w:t>
      </w:r>
    </w:p>
    <w:p w14:paraId="10155B41" w14:textId="061F9766" w:rsidR="00E55613" w:rsidRPr="00E55613" w:rsidRDefault="00E55613" w:rsidP="00E55613">
      <w:pPr>
        <w:pStyle w:val="TextoNormalSangraFrancesa"/>
        <w:rPr>
          <w:rStyle w:val="TextoNormalCaracter"/>
        </w:rPr>
      </w:pPr>
      <w:bookmarkStart w:id="1105" w:name="DESCRIPTORALFABETICO355"/>
      <w:r w:rsidRPr="00E55613">
        <w:rPr>
          <w:rStyle w:val="TextoNormalNegritaCaracter"/>
        </w:rPr>
        <w:t>Principio de efectividad del Derecho de la Unión Europea</w:t>
      </w:r>
      <w:bookmarkEnd w:id="1105"/>
      <w:r w:rsidRPr="00E55613">
        <w:rPr>
          <w:rStyle w:val="TextoNormalCaracter"/>
        </w:rPr>
        <w:t xml:space="preserve">, Sentencia </w:t>
      </w:r>
      <w:hyperlink w:anchor="SENTENCIA_2024_54" w:history="1">
        <w:r w:rsidRPr="00E55613">
          <w:rPr>
            <w:rStyle w:val="TextoNormalCaracter"/>
          </w:rPr>
          <w:t>54/2024</w:t>
        </w:r>
      </w:hyperlink>
      <w:r w:rsidRPr="00E55613">
        <w:rPr>
          <w:rStyle w:val="TextoNormalCaracter"/>
        </w:rPr>
        <w:t>, ff. 2 y 3.</w:t>
      </w:r>
    </w:p>
    <w:p w14:paraId="4B218C0A" w14:textId="5E592CE8" w:rsidR="00E55613" w:rsidRPr="00E55613" w:rsidRDefault="00E55613" w:rsidP="00E55613">
      <w:pPr>
        <w:pStyle w:val="TextoNormalSangraFrancesa"/>
        <w:rPr>
          <w:rStyle w:val="TextoNormalCaracter"/>
        </w:rPr>
      </w:pPr>
      <w:bookmarkStart w:id="1106" w:name="DESCRIPTORALFABETICO255"/>
      <w:r w:rsidRPr="00E55613">
        <w:rPr>
          <w:rStyle w:val="TextoNormalNegritaCaracter"/>
        </w:rPr>
        <w:t>Principio de igualdad</w:t>
      </w:r>
      <w:bookmarkEnd w:id="1106"/>
      <w:r w:rsidRPr="00E55613">
        <w:rPr>
          <w:rStyle w:val="TextoNormalCaracter"/>
        </w:rPr>
        <w:t xml:space="preserve">, Sentencias </w:t>
      </w:r>
      <w:hyperlink w:anchor="SENTENCIA_2024_25" w:history="1">
        <w:r w:rsidRPr="00E55613">
          <w:rPr>
            <w:rStyle w:val="TextoNormalCaracter"/>
          </w:rPr>
          <w:t>25/2024</w:t>
        </w:r>
      </w:hyperlink>
      <w:r w:rsidRPr="00E55613">
        <w:rPr>
          <w:rStyle w:val="TextoNormalCaracter"/>
        </w:rPr>
        <w:t xml:space="preserve">, ff. 11 y 12; </w:t>
      </w:r>
      <w:hyperlink w:anchor="SENTENCIA_2024_88" w:history="1">
        <w:r w:rsidRPr="00E55613">
          <w:rPr>
            <w:rStyle w:val="TextoNormalCaracter"/>
          </w:rPr>
          <w:t>88/2024</w:t>
        </w:r>
      </w:hyperlink>
      <w:r w:rsidRPr="00E55613">
        <w:rPr>
          <w:rStyle w:val="TextoNormalCaracter"/>
        </w:rPr>
        <w:t>, f. 7.</w:t>
      </w:r>
    </w:p>
    <w:p w14:paraId="2B567310" w14:textId="7695BEFE" w:rsidR="00E55613" w:rsidRPr="00E55613" w:rsidRDefault="00E55613" w:rsidP="00E55613">
      <w:pPr>
        <w:pStyle w:val="TextoNormalSangraFrancesa"/>
        <w:rPr>
          <w:rStyle w:val="TextoNormalCaracter"/>
        </w:rPr>
      </w:pPr>
      <w:bookmarkStart w:id="1107" w:name="DESCRIPTORALFABETICO489"/>
      <w:r w:rsidRPr="00E55613">
        <w:rPr>
          <w:rStyle w:val="TextoNormalNegritaCaracter"/>
        </w:rPr>
        <w:t>Principio de inmediación</w:t>
      </w:r>
      <w:bookmarkEnd w:id="1107"/>
      <w:r w:rsidRPr="00E55613">
        <w:rPr>
          <w:rStyle w:val="TextoNormalCaracter"/>
        </w:rPr>
        <w:t xml:space="preserve">, Sentencia </w:t>
      </w:r>
      <w:hyperlink w:anchor="SENTENCIA_2024_80" w:history="1">
        <w:r w:rsidRPr="00E55613">
          <w:rPr>
            <w:rStyle w:val="TextoNormalCaracter"/>
          </w:rPr>
          <w:t>80/2024</w:t>
        </w:r>
      </w:hyperlink>
      <w:r w:rsidRPr="00E55613">
        <w:rPr>
          <w:rStyle w:val="TextoNormalCaracter"/>
        </w:rPr>
        <w:t>, ff. 4 a 6.</w:t>
      </w:r>
    </w:p>
    <w:p w14:paraId="77EE3B40" w14:textId="0A1E12C8" w:rsidR="00E55613" w:rsidRPr="00E55613" w:rsidRDefault="00E55613" w:rsidP="00E55613">
      <w:pPr>
        <w:pStyle w:val="TextoNormalSangraFrancesa"/>
        <w:rPr>
          <w:rStyle w:val="TextoNormalCaracter"/>
        </w:rPr>
      </w:pPr>
      <w:bookmarkStart w:id="1108" w:name="DESCRIPTORALFABETICO258"/>
      <w:r w:rsidRPr="00E55613">
        <w:rPr>
          <w:rStyle w:val="TextoNormalNegritaCaracter"/>
        </w:rPr>
        <w:t>Principio de justicia tributaria</w:t>
      </w:r>
      <w:bookmarkEnd w:id="1108"/>
      <w:r w:rsidRPr="00E55613">
        <w:rPr>
          <w:rStyle w:val="TextoNormalCaracter"/>
        </w:rPr>
        <w:t xml:space="preserve">, Sentencia </w:t>
      </w:r>
      <w:hyperlink w:anchor="SENTENCIA_2024_11" w:history="1">
        <w:r w:rsidRPr="00E55613">
          <w:rPr>
            <w:rStyle w:val="TextoNormalCaracter"/>
          </w:rPr>
          <w:t>11/2024</w:t>
        </w:r>
      </w:hyperlink>
      <w:r w:rsidRPr="00E55613">
        <w:rPr>
          <w:rStyle w:val="TextoNormalCaracter"/>
        </w:rPr>
        <w:t>, VP.</w:t>
      </w:r>
    </w:p>
    <w:p w14:paraId="000DF2DF" w14:textId="06275303" w:rsidR="00E55613" w:rsidRPr="00E55613" w:rsidRDefault="00E55613" w:rsidP="00E55613">
      <w:pPr>
        <w:pStyle w:val="TextoNormalSangraFrancesa"/>
        <w:rPr>
          <w:rStyle w:val="TextoNormalCaracter"/>
        </w:rPr>
      </w:pPr>
      <w:bookmarkStart w:id="1109" w:name="DESCRIPTORALFABETICO505"/>
      <w:r w:rsidRPr="00E55613">
        <w:rPr>
          <w:rStyle w:val="TextoNormalNegritaCaracter"/>
        </w:rPr>
        <w:t>Principio de la doble incriminación</w:t>
      </w:r>
      <w:bookmarkEnd w:id="1109"/>
      <w:r w:rsidRPr="00E55613">
        <w:rPr>
          <w:rStyle w:val="TextoNormalCaracter"/>
        </w:rPr>
        <w:t xml:space="preserve">, Sentencias </w:t>
      </w:r>
      <w:hyperlink w:anchor="SENTENCIA_2024_43" w:history="1">
        <w:r w:rsidRPr="00E55613">
          <w:rPr>
            <w:rStyle w:val="TextoNormalCaracter"/>
          </w:rPr>
          <w:t>43/2024</w:t>
        </w:r>
      </w:hyperlink>
      <w:r w:rsidRPr="00E55613">
        <w:rPr>
          <w:rStyle w:val="TextoNormalCaracter"/>
        </w:rPr>
        <w:t xml:space="preserve">, f. 6, VP; </w:t>
      </w:r>
      <w:hyperlink w:anchor="SENTENCIA_2024_57" w:history="1">
        <w:r w:rsidRPr="00E55613">
          <w:rPr>
            <w:rStyle w:val="TextoNormalCaracter"/>
          </w:rPr>
          <w:t>57/2024</w:t>
        </w:r>
      </w:hyperlink>
      <w:r w:rsidRPr="00E55613">
        <w:rPr>
          <w:rStyle w:val="TextoNormalCaracter"/>
        </w:rPr>
        <w:t>, f. 6.</w:t>
      </w:r>
    </w:p>
    <w:p w14:paraId="3A05B99D" w14:textId="49ACBD30" w:rsidR="00E55613" w:rsidRPr="00E55613" w:rsidRDefault="00E55613" w:rsidP="00E55613">
      <w:pPr>
        <w:pStyle w:val="TextoNormalSangraFrancesa"/>
        <w:rPr>
          <w:rStyle w:val="TextoNormalCaracter"/>
        </w:rPr>
      </w:pPr>
      <w:bookmarkStart w:id="1110" w:name="DESCRIPTORALFABETICO259"/>
      <w:r w:rsidRPr="00E55613">
        <w:rPr>
          <w:rStyle w:val="TextoNormalNegritaCaracter"/>
        </w:rPr>
        <w:t>Principio de legalidad</w:t>
      </w:r>
      <w:bookmarkEnd w:id="1110"/>
      <w:r w:rsidRPr="00E55613">
        <w:rPr>
          <w:rStyle w:val="TextoNormalCaracter"/>
        </w:rPr>
        <w:t xml:space="preserve">, Sentencias </w:t>
      </w:r>
      <w:hyperlink w:anchor="SENTENCIA_2024_25" w:history="1">
        <w:r w:rsidRPr="00E55613">
          <w:rPr>
            <w:rStyle w:val="TextoNormalCaracter"/>
          </w:rPr>
          <w:t>25/2024</w:t>
        </w:r>
      </w:hyperlink>
      <w:r w:rsidRPr="00E55613">
        <w:rPr>
          <w:rStyle w:val="TextoNormalCaracter"/>
        </w:rPr>
        <w:t xml:space="preserve">, f. 11; </w:t>
      </w:r>
      <w:hyperlink w:anchor="SENTENCIA_2024_89" w:history="1">
        <w:r w:rsidRPr="00E55613">
          <w:rPr>
            <w:rStyle w:val="TextoNormalCaracter"/>
          </w:rPr>
          <w:t>89/2024</w:t>
        </w:r>
      </w:hyperlink>
      <w:r w:rsidRPr="00E55613">
        <w:rPr>
          <w:rStyle w:val="TextoNormalCaracter"/>
        </w:rPr>
        <w:t>, f. 5.</w:t>
      </w:r>
    </w:p>
    <w:p w14:paraId="281C3C44" w14:textId="67F6EDB8" w:rsidR="00E55613" w:rsidRPr="00E55613" w:rsidRDefault="00E55613" w:rsidP="00E55613">
      <w:pPr>
        <w:pStyle w:val="TextoNormalSangraFrancesa"/>
        <w:rPr>
          <w:rStyle w:val="TextoNormalCaracter"/>
        </w:rPr>
      </w:pPr>
      <w:bookmarkStart w:id="1111" w:name="DESCRIPTORALFABETICO506"/>
      <w:r w:rsidRPr="00E55613">
        <w:rPr>
          <w:rStyle w:val="TextoNormalNegritaCaracter"/>
        </w:rPr>
        <w:t>Principio de legalidad extradicional</w:t>
      </w:r>
      <w:bookmarkEnd w:id="1111"/>
      <w:r w:rsidRPr="00E55613">
        <w:rPr>
          <w:rStyle w:val="TextoNormalCaracter"/>
        </w:rPr>
        <w:t xml:space="preserve">, Sentencia </w:t>
      </w:r>
      <w:hyperlink w:anchor="SENTENCIA_2024_42" w:history="1">
        <w:r w:rsidRPr="00E55613">
          <w:rPr>
            <w:rStyle w:val="TextoNormalCaracter"/>
          </w:rPr>
          <w:t>42/2024</w:t>
        </w:r>
      </w:hyperlink>
      <w:r w:rsidRPr="00E55613">
        <w:rPr>
          <w:rStyle w:val="TextoNormalCaracter"/>
        </w:rPr>
        <w:t>, f. 5.</w:t>
      </w:r>
    </w:p>
    <w:p w14:paraId="5607358F" w14:textId="51AA2359" w:rsidR="00E55613" w:rsidRPr="00E55613" w:rsidRDefault="00E55613" w:rsidP="00E55613">
      <w:pPr>
        <w:pStyle w:val="TextoNormalSangraFrancesa"/>
        <w:rPr>
          <w:rStyle w:val="TextoNormalCaracter"/>
        </w:rPr>
      </w:pPr>
      <w:bookmarkStart w:id="1112" w:name="DESCRIPTORALFABETICO260"/>
      <w:r w:rsidRPr="00E55613">
        <w:rPr>
          <w:rStyle w:val="TextoNormalNegritaCaracter"/>
        </w:rPr>
        <w:t>Principio de legalidad penal</w:t>
      </w:r>
      <w:bookmarkEnd w:id="1112"/>
      <w:r w:rsidRPr="00E55613">
        <w:rPr>
          <w:rStyle w:val="TextoNormalCaracter"/>
        </w:rPr>
        <w:t xml:space="preserve">, Sentencias </w:t>
      </w:r>
      <w:hyperlink w:anchor="SENTENCIA_2024_34" w:history="1">
        <w:r w:rsidRPr="00E55613">
          <w:rPr>
            <w:rStyle w:val="TextoNormalCaracter"/>
          </w:rPr>
          <w:t>34/2024</w:t>
        </w:r>
      </w:hyperlink>
      <w:r w:rsidRPr="00E55613">
        <w:rPr>
          <w:rStyle w:val="TextoNormalCaracter"/>
        </w:rPr>
        <w:t xml:space="preserve">, f. 6; </w:t>
      </w:r>
      <w:hyperlink w:anchor="SENTENCIA_2024_75" w:history="1">
        <w:r w:rsidRPr="00E55613">
          <w:rPr>
            <w:rStyle w:val="TextoNormalCaracter"/>
          </w:rPr>
          <w:t>75/2024</w:t>
        </w:r>
      </w:hyperlink>
      <w:r w:rsidRPr="00E55613">
        <w:rPr>
          <w:rStyle w:val="TextoNormalCaracter"/>
        </w:rPr>
        <w:t>, f. 3, VP II.</w:t>
      </w:r>
    </w:p>
    <w:p w14:paraId="45622681" w14:textId="7350713B" w:rsidR="00E55613" w:rsidRPr="00E55613" w:rsidRDefault="00E55613" w:rsidP="00E55613">
      <w:pPr>
        <w:pStyle w:val="TextoNormalSangraFrancesa"/>
        <w:rPr>
          <w:rStyle w:val="TextoNormalCaracter"/>
        </w:rPr>
      </w:pPr>
      <w:r w:rsidRPr="00E55613">
        <w:rPr>
          <w:rStyle w:val="TextoNormalCursivaCaracter"/>
        </w:rPr>
        <w:t xml:space="preserve">    Respetado, </w:t>
      </w:r>
      <w:r w:rsidRPr="00E55613">
        <w:rPr>
          <w:rStyle w:val="TextoNormalCaracter"/>
        </w:rPr>
        <w:t xml:space="preserve">Auto </w:t>
      </w:r>
      <w:hyperlink w:anchor="AUTO_2024_57" w:history="1">
        <w:r w:rsidRPr="00E55613">
          <w:rPr>
            <w:rStyle w:val="TextoNormalCaracter"/>
          </w:rPr>
          <w:t>57/2024</w:t>
        </w:r>
      </w:hyperlink>
      <w:r w:rsidRPr="00E55613">
        <w:rPr>
          <w:rStyle w:val="TextoNormalCaracter"/>
        </w:rPr>
        <w:t>, ff. 4 y 5, VP II.</w:t>
      </w:r>
    </w:p>
    <w:p w14:paraId="05C5F307" w14:textId="02C6CF17" w:rsidR="00E55613" w:rsidRPr="00E55613" w:rsidRDefault="00E55613" w:rsidP="00E55613">
      <w:pPr>
        <w:pStyle w:val="TextoNormalSangraFrancesa"/>
        <w:rPr>
          <w:rStyle w:val="TextoNormalCaracter"/>
        </w:rPr>
      </w:pPr>
      <w:bookmarkStart w:id="1113" w:name="DESCRIPTORALFABETICO263"/>
      <w:r w:rsidRPr="00E55613">
        <w:rPr>
          <w:rStyle w:val="TextoNormalNegritaCaracter"/>
        </w:rPr>
        <w:t>Principio de legalidad sancionadora</w:t>
      </w:r>
      <w:bookmarkEnd w:id="1113"/>
      <w:r w:rsidRPr="00E55613">
        <w:rPr>
          <w:rStyle w:val="TextoNormalCaracter"/>
        </w:rPr>
        <w:t xml:space="preserve">, Sentencias </w:t>
      </w:r>
      <w:hyperlink w:anchor="SENTENCIA_2024_69" w:history="1">
        <w:r w:rsidRPr="00E55613">
          <w:rPr>
            <w:rStyle w:val="TextoNormalCaracter"/>
          </w:rPr>
          <w:t>69/2024</w:t>
        </w:r>
      </w:hyperlink>
      <w:r w:rsidRPr="00E55613">
        <w:rPr>
          <w:rStyle w:val="TextoNormalCaracter"/>
        </w:rPr>
        <w:t xml:space="preserve">, ff. 3 a 6; </w:t>
      </w:r>
      <w:hyperlink w:anchor="SENTENCIA_2024_74" w:history="1">
        <w:r w:rsidRPr="00E55613">
          <w:rPr>
            <w:rStyle w:val="TextoNormalCaracter"/>
          </w:rPr>
          <w:t>74/2024</w:t>
        </w:r>
      </w:hyperlink>
      <w:r w:rsidRPr="00E55613">
        <w:rPr>
          <w:rStyle w:val="TextoNormalCaracter"/>
        </w:rPr>
        <w:t>, f. 1.</w:t>
      </w:r>
    </w:p>
    <w:p w14:paraId="2437BABB" w14:textId="0073B5A0" w:rsidR="00E55613" w:rsidRPr="00E55613" w:rsidRDefault="00E55613" w:rsidP="00E55613">
      <w:pPr>
        <w:pStyle w:val="TextoNormalSangraFrancesa"/>
        <w:rPr>
          <w:rStyle w:val="TextoNormalCaracter"/>
        </w:rPr>
      </w:pPr>
      <w:bookmarkStart w:id="1114" w:name="DESCRIPTORALFABETICO347"/>
      <w:r w:rsidRPr="00E55613">
        <w:rPr>
          <w:rStyle w:val="TextoNormalNegritaCaracter"/>
        </w:rPr>
        <w:t>Principio de no regresión</w:t>
      </w:r>
      <w:bookmarkEnd w:id="1114"/>
      <w:r w:rsidRPr="00E55613">
        <w:rPr>
          <w:rStyle w:val="TextoNormalCaracter"/>
        </w:rPr>
        <w:t xml:space="preserve">, Sentencia </w:t>
      </w:r>
      <w:hyperlink w:anchor="SENTENCIA_2024_25" w:history="1">
        <w:r w:rsidRPr="00E55613">
          <w:rPr>
            <w:rStyle w:val="TextoNormalCaracter"/>
          </w:rPr>
          <w:t>25/2024</w:t>
        </w:r>
      </w:hyperlink>
      <w:r w:rsidRPr="00E55613">
        <w:rPr>
          <w:rStyle w:val="TextoNormalCaracter"/>
        </w:rPr>
        <w:t>, ff. 11 y 13.</w:t>
      </w:r>
    </w:p>
    <w:p w14:paraId="7C987D69" w14:textId="34204733" w:rsidR="00E55613" w:rsidRPr="00E55613" w:rsidRDefault="00E55613" w:rsidP="00E55613">
      <w:pPr>
        <w:pStyle w:val="TextoNormalSangraFrancesa"/>
        <w:rPr>
          <w:rStyle w:val="TextoNormalCaracter"/>
        </w:rPr>
      </w:pPr>
      <w:bookmarkStart w:id="1115" w:name="DESCRIPTORALFABETICO356"/>
      <w:r w:rsidRPr="00E55613">
        <w:rPr>
          <w:rStyle w:val="TextoNormalNegritaCaracter"/>
        </w:rPr>
        <w:t>Principio de primacía del Derecho de la Unión Europea</w:t>
      </w:r>
      <w:bookmarkEnd w:id="1115"/>
      <w:r w:rsidRPr="00E55613">
        <w:rPr>
          <w:rStyle w:val="TextoNormalCaracter"/>
        </w:rPr>
        <w:t xml:space="preserve">, Sentencias </w:t>
      </w:r>
      <w:hyperlink w:anchor="SENTENCIA_2024_27" w:history="1">
        <w:r w:rsidRPr="00E55613">
          <w:rPr>
            <w:rStyle w:val="TextoNormalCaracter"/>
          </w:rPr>
          <w:t>27/2024</w:t>
        </w:r>
      </w:hyperlink>
      <w:r w:rsidRPr="00E55613">
        <w:rPr>
          <w:rStyle w:val="TextoNormalCaracter"/>
        </w:rPr>
        <w:t xml:space="preserve">, ff. 1 a 3; </w:t>
      </w:r>
      <w:hyperlink w:anchor="SENTENCIA_2024_38" w:history="1">
        <w:r w:rsidRPr="00E55613">
          <w:rPr>
            <w:rStyle w:val="TextoNormalCaracter"/>
          </w:rPr>
          <w:t>38/2024</w:t>
        </w:r>
      </w:hyperlink>
      <w:r w:rsidRPr="00E55613">
        <w:rPr>
          <w:rStyle w:val="TextoNormalCaracter"/>
        </w:rPr>
        <w:t>, ff. 2 y 3.</w:t>
      </w:r>
    </w:p>
    <w:p w14:paraId="15BE96D3" w14:textId="23239C9F" w:rsidR="00E55613" w:rsidRPr="00E55613" w:rsidRDefault="00E55613" w:rsidP="00E55613">
      <w:pPr>
        <w:pStyle w:val="TextoNormalSangraFrancesa"/>
        <w:rPr>
          <w:rStyle w:val="TextoNormalCaracter"/>
        </w:rPr>
      </w:pPr>
      <w:bookmarkStart w:id="1116" w:name="DESCRIPTORALFABETICO268"/>
      <w:r w:rsidRPr="00E55613">
        <w:rPr>
          <w:rStyle w:val="TextoNormalNegritaCaracter"/>
        </w:rPr>
        <w:t>Principio de proporcionalidad</w:t>
      </w:r>
      <w:bookmarkEnd w:id="1116"/>
      <w:r w:rsidRPr="00E55613">
        <w:rPr>
          <w:rStyle w:val="TextoNormalCaracter"/>
        </w:rPr>
        <w:t xml:space="preserve">, Sentencias </w:t>
      </w:r>
      <w:hyperlink w:anchor="SENTENCIA_2024_2" w:history="1">
        <w:r w:rsidRPr="00E55613">
          <w:rPr>
            <w:rStyle w:val="TextoNormalCaracter"/>
          </w:rPr>
          <w:t>2/2024</w:t>
        </w:r>
      </w:hyperlink>
      <w:r w:rsidRPr="00E55613">
        <w:rPr>
          <w:rStyle w:val="TextoNormalCaracter"/>
        </w:rPr>
        <w:t xml:space="preserve">, ff. 1 a 3; </w:t>
      </w:r>
      <w:hyperlink w:anchor="SENTENCIA_2024_49" w:history="1">
        <w:r w:rsidRPr="00E55613">
          <w:rPr>
            <w:rStyle w:val="TextoNormalCaracter"/>
          </w:rPr>
          <w:t>49/2024</w:t>
        </w:r>
      </w:hyperlink>
      <w:r w:rsidRPr="00E55613">
        <w:rPr>
          <w:rStyle w:val="TextoNormalCaracter"/>
        </w:rPr>
        <w:t xml:space="preserve">, f. 3; </w:t>
      </w:r>
      <w:hyperlink w:anchor="SENTENCIA_2024_69" w:history="1">
        <w:r w:rsidRPr="00E55613">
          <w:rPr>
            <w:rStyle w:val="TextoNormalCaracter"/>
          </w:rPr>
          <w:t>69/2024</w:t>
        </w:r>
      </w:hyperlink>
      <w:r w:rsidRPr="00E55613">
        <w:rPr>
          <w:rStyle w:val="TextoNormalCaracter"/>
        </w:rPr>
        <w:t xml:space="preserve">, ff. 3 a 6; </w:t>
      </w:r>
      <w:hyperlink w:anchor="SENTENCIA_2024_74" w:history="1">
        <w:r w:rsidRPr="00E55613">
          <w:rPr>
            <w:rStyle w:val="TextoNormalCaracter"/>
          </w:rPr>
          <w:t>74/2024</w:t>
        </w:r>
      </w:hyperlink>
      <w:r w:rsidRPr="00E55613">
        <w:rPr>
          <w:rStyle w:val="TextoNormalCaracter"/>
        </w:rPr>
        <w:t xml:space="preserve">, f. 1; </w:t>
      </w:r>
      <w:hyperlink w:anchor="SENTENCIA_2024_75" w:history="1">
        <w:r w:rsidRPr="00E55613">
          <w:rPr>
            <w:rStyle w:val="TextoNormalCaracter"/>
          </w:rPr>
          <w:t>75/2024</w:t>
        </w:r>
      </w:hyperlink>
      <w:r w:rsidRPr="00E55613">
        <w:rPr>
          <w:rStyle w:val="TextoNormalCaracter"/>
        </w:rPr>
        <w:t xml:space="preserve">, f. 5, VP I, VP II; </w:t>
      </w:r>
      <w:hyperlink w:anchor="SENTENCIA_2024_87" w:history="1">
        <w:r w:rsidRPr="00E55613">
          <w:rPr>
            <w:rStyle w:val="TextoNormalCaracter"/>
          </w:rPr>
          <w:t>87/2024</w:t>
        </w:r>
      </w:hyperlink>
      <w:r w:rsidRPr="00E55613">
        <w:rPr>
          <w:rStyle w:val="TextoNormalCaracter"/>
        </w:rPr>
        <w:t>, f. 4, VP III.</w:t>
      </w:r>
    </w:p>
    <w:p w14:paraId="366B1E64" w14:textId="2620488D" w:rsidR="00E55613" w:rsidRPr="00E55613" w:rsidRDefault="00E55613" w:rsidP="00E55613">
      <w:pPr>
        <w:pStyle w:val="TextoNormalSangraFrancesa"/>
        <w:rPr>
          <w:rStyle w:val="TextoNormalCaracter"/>
        </w:rPr>
      </w:pPr>
      <w:bookmarkStart w:id="1117" w:name="DESCRIPTORALFABETICO270"/>
      <w:r w:rsidRPr="00E55613">
        <w:rPr>
          <w:rStyle w:val="TextoNormalNegritaCaracter"/>
        </w:rPr>
        <w:t>Principio de proporcionalidad de las penas</w:t>
      </w:r>
      <w:bookmarkEnd w:id="1117"/>
      <w:r w:rsidRPr="00E55613">
        <w:rPr>
          <w:rStyle w:val="TextoNormalCaracter"/>
        </w:rPr>
        <w:t xml:space="preserve">, Sentencia </w:t>
      </w:r>
      <w:hyperlink w:anchor="SENTENCIA_2024_8" w:history="1">
        <w:r w:rsidRPr="00E55613">
          <w:rPr>
            <w:rStyle w:val="TextoNormalCaracter"/>
          </w:rPr>
          <w:t>8/2024</w:t>
        </w:r>
      </w:hyperlink>
      <w:r w:rsidRPr="00E55613">
        <w:rPr>
          <w:rStyle w:val="TextoNormalCaracter"/>
        </w:rPr>
        <w:t>, f. 6, VP I.</w:t>
      </w:r>
    </w:p>
    <w:p w14:paraId="56F81844" w14:textId="48BD79F6" w:rsidR="00E55613" w:rsidRPr="00E55613" w:rsidRDefault="00E55613" w:rsidP="00E55613">
      <w:pPr>
        <w:pStyle w:val="TextoNormalSangraFrancesa"/>
        <w:rPr>
          <w:rStyle w:val="TextoNormalCaracter"/>
        </w:rPr>
      </w:pPr>
      <w:bookmarkStart w:id="1118" w:name="DESCRIPTORALFABETICO271"/>
      <w:r w:rsidRPr="00E55613">
        <w:rPr>
          <w:rStyle w:val="TextoNormalNegritaCaracter"/>
        </w:rPr>
        <w:t>Principio de seguridad jurídica</w:t>
      </w:r>
      <w:bookmarkEnd w:id="1118"/>
      <w:r w:rsidRPr="00E55613">
        <w:rPr>
          <w:rStyle w:val="TextoNormalCaracter"/>
        </w:rPr>
        <w:t xml:space="preserve">, Sentencias </w:t>
      </w:r>
      <w:hyperlink w:anchor="SENTENCIA_2024_2" w:history="1">
        <w:r w:rsidRPr="00E55613">
          <w:rPr>
            <w:rStyle w:val="TextoNormalCaracter"/>
          </w:rPr>
          <w:t>2/2024</w:t>
        </w:r>
      </w:hyperlink>
      <w:r w:rsidRPr="00E55613">
        <w:rPr>
          <w:rStyle w:val="TextoNormalCaracter"/>
        </w:rPr>
        <w:t xml:space="preserve">, ff. 1 a 3; </w:t>
      </w:r>
      <w:hyperlink w:anchor="SENTENCIA_2024_11" w:history="1">
        <w:r w:rsidRPr="00E55613">
          <w:rPr>
            <w:rStyle w:val="TextoNormalCaracter"/>
          </w:rPr>
          <w:t>11/2024</w:t>
        </w:r>
      </w:hyperlink>
      <w:r w:rsidRPr="00E55613">
        <w:rPr>
          <w:rStyle w:val="TextoNormalCaracter"/>
        </w:rPr>
        <w:t xml:space="preserve">, VP; </w:t>
      </w:r>
      <w:hyperlink w:anchor="SENTENCIA_2024_25" w:history="1">
        <w:r w:rsidRPr="00E55613">
          <w:rPr>
            <w:rStyle w:val="TextoNormalCaracter"/>
          </w:rPr>
          <w:t>25/2024</w:t>
        </w:r>
      </w:hyperlink>
      <w:r w:rsidRPr="00E55613">
        <w:rPr>
          <w:rStyle w:val="TextoNormalCaracter"/>
        </w:rPr>
        <w:t xml:space="preserve">, ff. 1, 5, 7; </w:t>
      </w:r>
      <w:hyperlink w:anchor="SENTENCIA_2024_46" w:history="1">
        <w:r w:rsidRPr="00E55613">
          <w:rPr>
            <w:rStyle w:val="TextoNormalCaracter"/>
          </w:rPr>
          <w:t>46/2024</w:t>
        </w:r>
      </w:hyperlink>
      <w:r w:rsidRPr="00E55613">
        <w:rPr>
          <w:rStyle w:val="TextoNormalCaracter"/>
        </w:rPr>
        <w:t xml:space="preserve">, f. 4, VP; </w:t>
      </w:r>
      <w:hyperlink w:anchor="SENTENCIA_2024_65" w:history="1">
        <w:r w:rsidRPr="00E55613">
          <w:rPr>
            <w:rStyle w:val="TextoNormalCaracter"/>
          </w:rPr>
          <w:t>65/2024</w:t>
        </w:r>
      </w:hyperlink>
      <w:r w:rsidRPr="00E55613">
        <w:rPr>
          <w:rStyle w:val="TextoNormalCaracter"/>
        </w:rPr>
        <w:t xml:space="preserve">, f. 5; </w:t>
      </w:r>
      <w:hyperlink w:anchor="SENTENCIA_2024_73" w:history="1">
        <w:r w:rsidRPr="00E55613">
          <w:rPr>
            <w:rStyle w:val="TextoNormalCaracter"/>
          </w:rPr>
          <w:t>73/2024</w:t>
        </w:r>
      </w:hyperlink>
      <w:r w:rsidRPr="00E55613">
        <w:rPr>
          <w:rStyle w:val="TextoNormalCaracter"/>
        </w:rPr>
        <w:t xml:space="preserve">, f. 1; </w:t>
      </w:r>
      <w:hyperlink w:anchor="SENTENCIA_2024_79" w:history="1">
        <w:r w:rsidRPr="00E55613">
          <w:rPr>
            <w:rStyle w:val="TextoNormalCaracter"/>
          </w:rPr>
          <w:t>79/2024</w:t>
        </w:r>
      </w:hyperlink>
      <w:r w:rsidRPr="00E55613">
        <w:rPr>
          <w:rStyle w:val="TextoNormalCaracter"/>
        </w:rPr>
        <w:t>, f. 2.</w:t>
      </w:r>
    </w:p>
    <w:p w14:paraId="50602108" w14:textId="3A9CA880" w:rsidR="00E55613" w:rsidRPr="00E55613" w:rsidRDefault="00E55613" w:rsidP="00E55613">
      <w:pPr>
        <w:pStyle w:val="TextoNormalSangraFrancesa"/>
        <w:rPr>
          <w:rStyle w:val="TextoNormalCaracter"/>
        </w:rPr>
      </w:pPr>
      <w:r w:rsidRPr="00E55613">
        <w:rPr>
          <w:rStyle w:val="TextoNormalCursivaCaracter"/>
        </w:rPr>
        <w:t xml:space="preserve">    Respetado, </w:t>
      </w:r>
      <w:r w:rsidRPr="00E55613">
        <w:rPr>
          <w:rStyle w:val="TextoNormalCaracter"/>
        </w:rPr>
        <w:t xml:space="preserve">Sentencias </w:t>
      </w:r>
      <w:hyperlink w:anchor="SENTENCIA_2024_75" w:history="1">
        <w:r w:rsidRPr="00E55613">
          <w:rPr>
            <w:rStyle w:val="TextoNormalCaracter"/>
          </w:rPr>
          <w:t>75/2024</w:t>
        </w:r>
      </w:hyperlink>
      <w:r w:rsidRPr="00E55613">
        <w:rPr>
          <w:rStyle w:val="TextoNormalCaracter"/>
        </w:rPr>
        <w:t xml:space="preserve">, f. 3; </w:t>
      </w:r>
      <w:hyperlink w:anchor="SENTENCIA_2024_92" w:history="1">
        <w:r w:rsidRPr="00E55613">
          <w:rPr>
            <w:rStyle w:val="TextoNormalCaracter"/>
          </w:rPr>
          <w:t>92/2024</w:t>
        </w:r>
      </w:hyperlink>
      <w:r w:rsidRPr="00E55613">
        <w:rPr>
          <w:rStyle w:val="TextoNormalCaracter"/>
        </w:rPr>
        <w:t>, f. 2, VP IV.</w:t>
      </w:r>
    </w:p>
    <w:p w14:paraId="09EB79FC" w14:textId="77777777" w:rsidR="00E55613" w:rsidRPr="00E55613" w:rsidRDefault="00E55613" w:rsidP="00E55613">
      <w:pPr>
        <w:pStyle w:val="TextoNormalSangraFrancesa"/>
        <w:rPr>
          <w:rStyle w:val="TextoNormalCaracter"/>
        </w:rPr>
      </w:pPr>
      <w:bookmarkStart w:id="1119" w:name="DESCRIPTORALFABETICO266"/>
      <w:r w:rsidRPr="00E55613">
        <w:rPr>
          <w:rStyle w:val="TextoNormalNegritaCaracter"/>
        </w:rPr>
        <w:t>Principio de taxatividad</w:t>
      </w:r>
      <w:bookmarkEnd w:id="1119"/>
      <w:r w:rsidRPr="00E55613">
        <w:rPr>
          <w:rStyle w:val="TextoNormalCaracter"/>
        </w:rPr>
        <w:t xml:space="preserve">, </w:t>
      </w:r>
    </w:p>
    <w:p w14:paraId="2B2DB105" w14:textId="6D82B7C0" w:rsidR="00E55613" w:rsidRPr="00E55613" w:rsidRDefault="00E55613" w:rsidP="00E55613">
      <w:pPr>
        <w:pStyle w:val="TextoNormalSangraFrancesa"/>
        <w:rPr>
          <w:rStyle w:val="TextoNormalCaracter"/>
        </w:rPr>
      </w:pPr>
      <w:r w:rsidRPr="00E55613">
        <w:rPr>
          <w:rStyle w:val="TextoNormalCursivaCaracter"/>
        </w:rPr>
        <w:t xml:space="preserve">    Respetado, </w:t>
      </w:r>
      <w:r w:rsidRPr="00E55613">
        <w:rPr>
          <w:rStyle w:val="TextoNormalCaracter"/>
        </w:rPr>
        <w:t xml:space="preserve">Sentencia </w:t>
      </w:r>
      <w:hyperlink w:anchor="SENTENCIA_2024_75" w:history="1">
        <w:r w:rsidRPr="00E55613">
          <w:rPr>
            <w:rStyle w:val="TextoNormalCaracter"/>
          </w:rPr>
          <w:t>75/2024</w:t>
        </w:r>
      </w:hyperlink>
      <w:r w:rsidRPr="00E55613">
        <w:rPr>
          <w:rStyle w:val="TextoNormalCaracter"/>
        </w:rPr>
        <w:t>, ff. 2 a 4, VP II.</w:t>
      </w:r>
    </w:p>
    <w:p w14:paraId="67923B51" w14:textId="6153BA8D" w:rsidR="00E55613" w:rsidRPr="00E55613" w:rsidRDefault="00E55613" w:rsidP="00E55613">
      <w:pPr>
        <w:pStyle w:val="TextoNormalSangraFrancesa"/>
        <w:rPr>
          <w:rStyle w:val="TextoNormalCaracter"/>
        </w:rPr>
      </w:pPr>
      <w:bookmarkStart w:id="1120" w:name="DESCRIPTORALFABETICO267"/>
      <w:r w:rsidRPr="00E55613">
        <w:rPr>
          <w:rStyle w:val="TextoNormalNegritaCaracter"/>
        </w:rPr>
        <w:lastRenderedPageBreak/>
        <w:t>Principio de taxatividad en el ámbito sancionador</w:t>
      </w:r>
      <w:bookmarkEnd w:id="1120"/>
      <w:r w:rsidRPr="00E55613">
        <w:rPr>
          <w:rStyle w:val="TextoNormalCaracter"/>
        </w:rPr>
        <w:t xml:space="preserve">, Sentencia </w:t>
      </w:r>
      <w:hyperlink w:anchor="SENTENCIA_2024_8" w:history="1">
        <w:r w:rsidRPr="00E55613">
          <w:rPr>
            <w:rStyle w:val="TextoNormalCaracter"/>
          </w:rPr>
          <w:t>8/2024</w:t>
        </w:r>
      </w:hyperlink>
      <w:r w:rsidRPr="00E55613">
        <w:rPr>
          <w:rStyle w:val="TextoNormalCaracter"/>
        </w:rPr>
        <w:t>, f. 6.</w:t>
      </w:r>
    </w:p>
    <w:p w14:paraId="75AF9FFA" w14:textId="76070F99" w:rsidR="00E55613" w:rsidRPr="00E55613" w:rsidRDefault="00E55613" w:rsidP="00E55613">
      <w:pPr>
        <w:pStyle w:val="TextoNormalSangraFrancesa"/>
        <w:rPr>
          <w:rStyle w:val="TextoNormalCaracter"/>
        </w:rPr>
      </w:pPr>
      <w:bookmarkStart w:id="1121" w:name="DESCRIPTORALFABETICO273"/>
      <w:r w:rsidRPr="00E55613">
        <w:rPr>
          <w:rStyle w:val="TextoNormalNegritaCaracter"/>
        </w:rPr>
        <w:t>Principio democrático</w:t>
      </w:r>
      <w:bookmarkEnd w:id="1121"/>
      <w:r w:rsidRPr="00E55613">
        <w:rPr>
          <w:rStyle w:val="TextoNormalCaracter"/>
        </w:rPr>
        <w:t xml:space="preserve">, Sentencia </w:t>
      </w:r>
      <w:hyperlink w:anchor="SENTENCIA_2024_25" w:history="1">
        <w:r w:rsidRPr="00E55613">
          <w:rPr>
            <w:rStyle w:val="TextoNormalCaracter"/>
          </w:rPr>
          <w:t>25/2024</w:t>
        </w:r>
      </w:hyperlink>
      <w:r w:rsidRPr="00E55613">
        <w:rPr>
          <w:rStyle w:val="TextoNormalCaracter"/>
        </w:rPr>
        <w:t>, f. 11.</w:t>
      </w:r>
    </w:p>
    <w:p w14:paraId="10DC70D1" w14:textId="6E78D5E0" w:rsidR="00E55613" w:rsidRPr="00E55613" w:rsidRDefault="00E55613" w:rsidP="00E55613">
      <w:pPr>
        <w:pStyle w:val="TextoNormalSangraFrancesa"/>
        <w:rPr>
          <w:rStyle w:val="TextoNormalCaracter"/>
        </w:rPr>
      </w:pPr>
      <w:bookmarkStart w:id="1122" w:name="DESCRIPTORALFABETICO274"/>
      <w:r w:rsidRPr="00E55613">
        <w:rPr>
          <w:rStyle w:val="TextoNormalNegritaCaracter"/>
        </w:rPr>
        <w:t>Principio non bis in idem</w:t>
      </w:r>
      <w:bookmarkEnd w:id="1122"/>
      <w:r w:rsidRPr="00E55613">
        <w:rPr>
          <w:rStyle w:val="TextoNormalCaracter"/>
        </w:rPr>
        <w:t xml:space="preserve">, Sentencia </w:t>
      </w:r>
      <w:hyperlink w:anchor="SENTENCIA_2024_43" w:history="1">
        <w:r w:rsidRPr="00E55613">
          <w:rPr>
            <w:rStyle w:val="TextoNormalCaracter"/>
          </w:rPr>
          <w:t>43/2024</w:t>
        </w:r>
      </w:hyperlink>
      <w:r w:rsidRPr="00E55613">
        <w:rPr>
          <w:rStyle w:val="TextoNormalCaracter"/>
        </w:rPr>
        <w:t>, f. 6.</w:t>
      </w:r>
    </w:p>
    <w:p w14:paraId="66F4AE39" w14:textId="6B6CA9AE" w:rsidR="00E55613" w:rsidRPr="00E55613" w:rsidRDefault="00E55613" w:rsidP="00E55613">
      <w:pPr>
        <w:pStyle w:val="TextoNormalSangraFrancesa"/>
        <w:rPr>
          <w:rStyle w:val="TextoNormalCaracter"/>
        </w:rPr>
      </w:pPr>
      <w:r w:rsidRPr="00E55613">
        <w:rPr>
          <w:rStyle w:val="TextoNormalCursivaCaracter"/>
        </w:rPr>
        <w:t xml:space="preserve">    Doctrina constitucional, </w:t>
      </w:r>
      <w:r w:rsidRPr="00E55613">
        <w:rPr>
          <w:rStyle w:val="TextoNormalCaracter"/>
        </w:rPr>
        <w:t xml:space="preserve">Sentencia </w:t>
      </w:r>
      <w:hyperlink w:anchor="SENTENCIA_2024_9" w:history="1">
        <w:r w:rsidRPr="00E55613">
          <w:rPr>
            <w:rStyle w:val="TextoNormalCaracter"/>
          </w:rPr>
          <w:t>9/2024</w:t>
        </w:r>
      </w:hyperlink>
      <w:r w:rsidRPr="00E55613">
        <w:rPr>
          <w:rStyle w:val="TextoNormalCaracter"/>
        </w:rPr>
        <w:t>, f. 3, VP II.</w:t>
      </w:r>
    </w:p>
    <w:p w14:paraId="22AB61C0" w14:textId="5BB009E3" w:rsidR="00E55613" w:rsidRPr="00E55613" w:rsidRDefault="00E55613" w:rsidP="00E55613">
      <w:pPr>
        <w:pStyle w:val="TextoNormalSangraFrancesa"/>
        <w:rPr>
          <w:rStyle w:val="TextoNormalCaracter"/>
        </w:rPr>
      </w:pPr>
      <w:r w:rsidRPr="00E55613">
        <w:rPr>
          <w:rStyle w:val="TextoNormalCursivaCaracter"/>
        </w:rPr>
        <w:t xml:space="preserve">    Vulnerado, </w:t>
      </w:r>
      <w:r w:rsidRPr="00E55613">
        <w:rPr>
          <w:rStyle w:val="TextoNormalCaracter"/>
        </w:rPr>
        <w:t xml:space="preserve">Sentencia </w:t>
      </w:r>
      <w:hyperlink w:anchor="SENTENCIA_2024_9" w:history="1">
        <w:r w:rsidRPr="00E55613">
          <w:rPr>
            <w:rStyle w:val="TextoNormalCaracter"/>
          </w:rPr>
          <w:t>9/2024</w:t>
        </w:r>
      </w:hyperlink>
      <w:r w:rsidRPr="00E55613">
        <w:rPr>
          <w:rStyle w:val="TextoNormalCaracter"/>
        </w:rPr>
        <w:t>, ff. 5 y 6, VP I, VP II.</w:t>
      </w:r>
    </w:p>
    <w:p w14:paraId="2C0E6ACC" w14:textId="7D23347F" w:rsidR="00E55613" w:rsidRPr="00E55613" w:rsidRDefault="00E55613" w:rsidP="00E55613">
      <w:pPr>
        <w:pStyle w:val="TextoNormalSangraFrancesa"/>
        <w:rPr>
          <w:rStyle w:val="TextoNormalCaracter"/>
        </w:rPr>
      </w:pPr>
      <w:bookmarkStart w:id="1123" w:name="DESCRIPTORALFABETICO58"/>
      <w:r w:rsidRPr="00E55613">
        <w:rPr>
          <w:rStyle w:val="TextoNormalNegritaCaracter"/>
        </w:rPr>
        <w:t>Privación de libertad</w:t>
      </w:r>
      <w:bookmarkEnd w:id="1123"/>
      <w:r w:rsidRPr="00E55613">
        <w:rPr>
          <w:rStyle w:val="TextoNormalCaracter"/>
        </w:rPr>
        <w:t xml:space="preserve">, Sentencia </w:t>
      </w:r>
      <w:hyperlink w:anchor="SENTENCIA_2024_85" w:history="1">
        <w:r w:rsidRPr="00E55613">
          <w:rPr>
            <w:rStyle w:val="TextoNormalCaracter"/>
          </w:rPr>
          <w:t>85/2024</w:t>
        </w:r>
      </w:hyperlink>
      <w:r w:rsidRPr="00E55613">
        <w:rPr>
          <w:rStyle w:val="TextoNormalCaracter"/>
        </w:rPr>
        <w:t>, ff. 1 a 4.</w:t>
      </w:r>
    </w:p>
    <w:p w14:paraId="0CA23A32" w14:textId="5CF8C96C" w:rsidR="00E55613" w:rsidRPr="00E55613" w:rsidRDefault="00E55613" w:rsidP="00E55613">
      <w:pPr>
        <w:pStyle w:val="TextoNormalSangraFrancesa"/>
        <w:rPr>
          <w:rStyle w:val="TextoNormalCaracter"/>
        </w:rPr>
      </w:pPr>
      <w:bookmarkStart w:id="1124" w:name="DESCRIPTORALFABETICO227"/>
      <w:r w:rsidRPr="00E55613">
        <w:rPr>
          <w:rStyle w:val="TextoNormalNegritaCaracter"/>
        </w:rPr>
        <w:t>Procedimiento de lectura única</w:t>
      </w:r>
      <w:bookmarkEnd w:id="1124"/>
      <w:r w:rsidRPr="00E55613">
        <w:rPr>
          <w:rStyle w:val="TextoNormalCaracter"/>
        </w:rPr>
        <w:t xml:space="preserve">, Sentencia </w:t>
      </w:r>
      <w:hyperlink w:anchor="SENTENCIA_2024_29" w:history="1">
        <w:r w:rsidRPr="00E55613">
          <w:rPr>
            <w:rStyle w:val="TextoNormalCaracter"/>
          </w:rPr>
          <w:t>29/2024</w:t>
        </w:r>
      </w:hyperlink>
      <w:r w:rsidRPr="00E55613">
        <w:rPr>
          <w:rStyle w:val="TextoNormalCaracter"/>
        </w:rPr>
        <w:t>, f. 1.</w:t>
      </w:r>
    </w:p>
    <w:p w14:paraId="213AF19C" w14:textId="1C3F9FBF" w:rsidR="00E55613" w:rsidRPr="00E55613" w:rsidRDefault="00E55613" w:rsidP="00E55613">
      <w:pPr>
        <w:pStyle w:val="TextoNormalSangraFrancesa"/>
        <w:rPr>
          <w:rStyle w:val="TextoNormalCaracter"/>
        </w:rPr>
      </w:pPr>
      <w:bookmarkStart w:id="1125" w:name="DESCRIPTORALFABETICO277"/>
      <w:r w:rsidRPr="00E55613">
        <w:rPr>
          <w:rStyle w:val="TextoNormalNegritaCaracter"/>
        </w:rPr>
        <w:t>Procedimiento de reforma constitucional</w:t>
      </w:r>
      <w:bookmarkEnd w:id="1125"/>
      <w:r w:rsidRPr="00E55613">
        <w:rPr>
          <w:rStyle w:val="TextoNormalCaracter"/>
        </w:rPr>
        <w:t xml:space="preserve">, Sentencia </w:t>
      </w:r>
      <w:hyperlink w:anchor="SENTENCIA_2024_15" w:history="1">
        <w:r w:rsidRPr="00E55613">
          <w:rPr>
            <w:rStyle w:val="TextoNormalCaracter"/>
          </w:rPr>
          <w:t>15/2024</w:t>
        </w:r>
      </w:hyperlink>
      <w:r w:rsidRPr="00E55613">
        <w:rPr>
          <w:rStyle w:val="TextoNormalCaracter"/>
        </w:rPr>
        <w:t>, ff. 3 a 6.</w:t>
      </w:r>
    </w:p>
    <w:p w14:paraId="0D4B7147" w14:textId="04E9AF10" w:rsidR="00E55613" w:rsidRPr="00E55613" w:rsidRDefault="00E55613" w:rsidP="00E55613">
      <w:pPr>
        <w:pStyle w:val="TextoNormalSangraFrancesa"/>
        <w:rPr>
          <w:rStyle w:val="TextoNormalCaracter"/>
        </w:rPr>
      </w:pPr>
      <w:bookmarkStart w:id="1126" w:name="DESCRIPTORALFABETICO228"/>
      <w:r w:rsidRPr="00E55613">
        <w:rPr>
          <w:rStyle w:val="TextoNormalNegritaCaracter"/>
        </w:rPr>
        <w:t>Procedimiento legislativo de urgencia</w:t>
      </w:r>
      <w:bookmarkEnd w:id="1126"/>
      <w:r w:rsidRPr="00E55613">
        <w:rPr>
          <w:rStyle w:val="TextoNormalCaracter"/>
        </w:rPr>
        <w:t xml:space="preserve">, Sentencias </w:t>
      </w:r>
      <w:hyperlink w:anchor="SENTENCIA_2024_15" w:history="1">
        <w:r w:rsidRPr="00E55613">
          <w:rPr>
            <w:rStyle w:val="TextoNormalCaracter"/>
          </w:rPr>
          <w:t>15/2024</w:t>
        </w:r>
      </w:hyperlink>
      <w:r w:rsidRPr="00E55613">
        <w:rPr>
          <w:rStyle w:val="TextoNormalCaracter"/>
        </w:rPr>
        <w:t xml:space="preserve">, ff. 2 y 3, VP II; </w:t>
      </w:r>
      <w:hyperlink w:anchor="SENTENCIA_2024_25" w:history="1">
        <w:r w:rsidRPr="00E55613">
          <w:rPr>
            <w:rStyle w:val="TextoNormalCaracter"/>
          </w:rPr>
          <w:t>25/2024</w:t>
        </w:r>
      </w:hyperlink>
      <w:r w:rsidRPr="00E55613">
        <w:rPr>
          <w:rStyle w:val="TextoNormalCaracter"/>
        </w:rPr>
        <w:t xml:space="preserve">, f. 3; </w:t>
      </w:r>
      <w:hyperlink w:anchor="SENTENCIA_2024_30" w:history="1">
        <w:r w:rsidRPr="00E55613">
          <w:rPr>
            <w:rStyle w:val="TextoNormalCaracter"/>
          </w:rPr>
          <w:t>30/2024</w:t>
        </w:r>
      </w:hyperlink>
      <w:r w:rsidRPr="00E55613">
        <w:rPr>
          <w:rStyle w:val="TextoNormalCaracter"/>
        </w:rPr>
        <w:t>, ff. 1, 3 y 4.</w:t>
      </w:r>
    </w:p>
    <w:p w14:paraId="7BD2A072" w14:textId="63820DFE" w:rsidR="00E55613" w:rsidRPr="00E55613" w:rsidRDefault="00E55613" w:rsidP="00E55613">
      <w:pPr>
        <w:pStyle w:val="TextoNormalSangraFrancesa"/>
        <w:rPr>
          <w:rStyle w:val="TextoNormalCaracter"/>
        </w:rPr>
      </w:pPr>
      <w:bookmarkStart w:id="1127" w:name="DESCRIPTORALFABETICO501"/>
      <w:r w:rsidRPr="00E55613">
        <w:rPr>
          <w:rStyle w:val="TextoNormalNegritaCaracter"/>
        </w:rPr>
        <w:t>Proceso de ejecución hipotecaria</w:t>
      </w:r>
      <w:bookmarkEnd w:id="1127"/>
      <w:r w:rsidRPr="00E55613">
        <w:rPr>
          <w:rStyle w:val="TextoNormalCaracter"/>
        </w:rPr>
        <w:t xml:space="preserve">, Sentencias </w:t>
      </w:r>
      <w:hyperlink w:anchor="SENTENCIA_2024_12" w:history="1">
        <w:r w:rsidRPr="00E55613">
          <w:rPr>
            <w:rStyle w:val="TextoNormalCaracter"/>
          </w:rPr>
          <w:t>12/2024</w:t>
        </w:r>
      </w:hyperlink>
      <w:r w:rsidRPr="00E55613">
        <w:rPr>
          <w:rStyle w:val="TextoNormalCaracter"/>
        </w:rPr>
        <w:t xml:space="preserve">, f. 1; </w:t>
      </w:r>
      <w:hyperlink w:anchor="SENTENCIA_2024_27" w:history="1">
        <w:r w:rsidRPr="00E55613">
          <w:rPr>
            <w:rStyle w:val="TextoNormalCaracter"/>
          </w:rPr>
          <w:t>27/2024</w:t>
        </w:r>
      </w:hyperlink>
      <w:r w:rsidRPr="00E55613">
        <w:rPr>
          <w:rStyle w:val="TextoNormalCaracter"/>
        </w:rPr>
        <w:t>, f. 1.</w:t>
      </w:r>
    </w:p>
    <w:p w14:paraId="67E79AE6" w14:textId="1968D3FD" w:rsidR="00E55613" w:rsidRPr="00E55613" w:rsidRDefault="00E55613" w:rsidP="00E55613">
      <w:pPr>
        <w:pStyle w:val="TextoNormalSangraFrancesa"/>
        <w:rPr>
          <w:rStyle w:val="TextoNormalCaracter"/>
        </w:rPr>
      </w:pPr>
      <w:bookmarkStart w:id="1128" w:name="DESCRIPTORALFABETICO126"/>
      <w:r w:rsidRPr="00E55613">
        <w:rPr>
          <w:rStyle w:val="TextoNormalNegritaCaracter"/>
        </w:rPr>
        <w:t>Proporcionalidad de las medidas restrictivas de derechos fundamentales</w:t>
      </w:r>
      <w:bookmarkEnd w:id="1128"/>
      <w:r w:rsidRPr="00E55613">
        <w:rPr>
          <w:rStyle w:val="TextoNormalCaracter"/>
        </w:rPr>
        <w:t xml:space="preserve">, Sentencia </w:t>
      </w:r>
      <w:hyperlink w:anchor="SENTENCIA_2024_26" w:history="1">
        <w:r w:rsidRPr="00E55613">
          <w:rPr>
            <w:rStyle w:val="TextoNormalCaracter"/>
          </w:rPr>
          <w:t>26/2024</w:t>
        </w:r>
      </w:hyperlink>
      <w:r w:rsidRPr="00E55613">
        <w:rPr>
          <w:rStyle w:val="TextoNormalCaracter"/>
        </w:rPr>
        <w:t>, f. 2.</w:t>
      </w:r>
    </w:p>
    <w:p w14:paraId="532663C2" w14:textId="1441DC74" w:rsidR="00E55613" w:rsidRPr="00E55613" w:rsidRDefault="00E55613" w:rsidP="00E55613">
      <w:pPr>
        <w:pStyle w:val="TextoNormalSangraFrancesa"/>
        <w:rPr>
          <w:rStyle w:val="TextoNormalCaracter"/>
        </w:rPr>
      </w:pPr>
      <w:bookmarkStart w:id="1129" w:name="DESCRIPTORALFABETICO297"/>
      <w:r w:rsidRPr="00E55613">
        <w:rPr>
          <w:rStyle w:val="TextoNormalNegritaCaracter"/>
        </w:rPr>
        <w:t>Proporcionalidad de las sanciones administrativas</w:t>
      </w:r>
      <w:bookmarkEnd w:id="1129"/>
      <w:r w:rsidRPr="00E55613">
        <w:rPr>
          <w:rStyle w:val="TextoNormalCaracter"/>
        </w:rPr>
        <w:t xml:space="preserve">, Sentencia </w:t>
      </w:r>
      <w:hyperlink w:anchor="SENTENCIA_2024_69" w:history="1">
        <w:r w:rsidRPr="00E55613">
          <w:rPr>
            <w:rStyle w:val="TextoNormalCaracter"/>
          </w:rPr>
          <w:t>69/2024</w:t>
        </w:r>
      </w:hyperlink>
      <w:r w:rsidRPr="00E55613">
        <w:rPr>
          <w:rStyle w:val="TextoNormalCaracter"/>
        </w:rPr>
        <w:t>, ff. 3 a 6.</w:t>
      </w:r>
    </w:p>
    <w:p w14:paraId="20ECDFCF" w14:textId="2EBA9275" w:rsidR="00E55613" w:rsidRPr="00E55613" w:rsidRDefault="00E55613" w:rsidP="00E55613">
      <w:pPr>
        <w:pStyle w:val="TextoNormalSangraFrancesa"/>
        <w:rPr>
          <w:rStyle w:val="TextoNormalCaracter"/>
        </w:rPr>
      </w:pPr>
      <w:bookmarkStart w:id="1130" w:name="DESCRIPTORALFABETICO230"/>
      <w:r w:rsidRPr="00E55613">
        <w:rPr>
          <w:rStyle w:val="TextoNormalNegritaCaracter"/>
        </w:rPr>
        <w:t>Proposición de ley</w:t>
      </w:r>
      <w:bookmarkEnd w:id="1130"/>
      <w:r w:rsidRPr="00E55613">
        <w:rPr>
          <w:rStyle w:val="TextoNormalCaracter"/>
        </w:rPr>
        <w:t xml:space="preserve">, Sentencias </w:t>
      </w:r>
      <w:hyperlink w:anchor="SENTENCIA_2024_15" w:history="1">
        <w:r w:rsidRPr="00E55613">
          <w:rPr>
            <w:rStyle w:val="TextoNormalCaracter"/>
          </w:rPr>
          <w:t>15/2024</w:t>
        </w:r>
      </w:hyperlink>
      <w:r w:rsidRPr="00E55613">
        <w:rPr>
          <w:rStyle w:val="TextoNormalCaracter"/>
        </w:rPr>
        <w:t xml:space="preserve">, ff. 2 y 3, VP II; </w:t>
      </w:r>
      <w:hyperlink w:anchor="SENTENCIA_2024_30" w:history="1">
        <w:r w:rsidRPr="00E55613">
          <w:rPr>
            <w:rStyle w:val="TextoNormalCaracter"/>
          </w:rPr>
          <w:t>30/2024</w:t>
        </w:r>
      </w:hyperlink>
      <w:r w:rsidRPr="00E55613">
        <w:rPr>
          <w:rStyle w:val="TextoNormalCaracter"/>
        </w:rPr>
        <w:t>, f. 1.</w:t>
      </w:r>
    </w:p>
    <w:p w14:paraId="64A12A1A" w14:textId="668C352E" w:rsidR="00E55613" w:rsidRPr="00E55613" w:rsidRDefault="00E55613" w:rsidP="00E55613">
      <w:pPr>
        <w:pStyle w:val="TextoNormalSangraFrancesa"/>
        <w:rPr>
          <w:rStyle w:val="TextoNormalCaracter"/>
        </w:rPr>
      </w:pPr>
      <w:bookmarkStart w:id="1131" w:name="DESCRIPTORALFABETICO190"/>
      <w:r w:rsidRPr="00E55613">
        <w:rPr>
          <w:rStyle w:val="TextoNormalNegritaCaracter"/>
        </w:rPr>
        <w:t>Protección de datos de carácter personal en las resoluciones del Tribunal Constitucional</w:t>
      </w:r>
      <w:bookmarkEnd w:id="1131"/>
      <w:r w:rsidRPr="00E55613">
        <w:rPr>
          <w:rStyle w:val="TextoNormalCaracter"/>
        </w:rPr>
        <w:t xml:space="preserve">, Sentencia </w:t>
      </w:r>
      <w:hyperlink w:anchor="SENTENCIA_2024_80" w:history="1">
        <w:r w:rsidRPr="00E55613">
          <w:rPr>
            <w:rStyle w:val="TextoNormalCaracter"/>
          </w:rPr>
          <w:t>80/2024</w:t>
        </w:r>
      </w:hyperlink>
      <w:r w:rsidRPr="00E55613">
        <w:rPr>
          <w:rStyle w:val="TextoNormalCaracter"/>
        </w:rPr>
        <w:t>, f. 3.</w:t>
      </w:r>
    </w:p>
    <w:p w14:paraId="66A92767" w14:textId="69D2300E" w:rsidR="00E55613" w:rsidRPr="00E55613" w:rsidRDefault="00E55613" w:rsidP="00E55613">
      <w:pPr>
        <w:pStyle w:val="TextoNormalSangraFrancesa"/>
        <w:rPr>
          <w:rStyle w:val="TextoNormalCaracter"/>
        </w:rPr>
      </w:pPr>
      <w:bookmarkStart w:id="1132" w:name="DESCRIPTORALFABETICO324"/>
      <w:r w:rsidRPr="00E55613">
        <w:rPr>
          <w:rStyle w:val="TextoNormalNegritaCaracter"/>
        </w:rPr>
        <w:t>Protección de la familia</w:t>
      </w:r>
      <w:bookmarkEnd w:id="1132"/>
      <w:r w:rsidRPr="00E55613">
        <w:rPr>
          <w:rStyle w:val="TextoNormalCaracter"/>
        </w:rPr>
        <w:t xml:space="preserve">, Sentencias </w:t>
      </w:r>
      <w:hyperlink w:anchor="SENTENCIA_2024_28" w:history="1">
        <w:r w:rsidRPr="00E55613">
          <w:rPr>
            <w:rStyle w:val="TextoNormalCaracter"/>
          </w:rPr>
          <w:t>28/2024</w:t>
        </w:r>
      </w:hyperlink>
      <w:r w:rsidRPr="00E55613">
        <w:rPr>
          <w:rStyle w:val="TextoNormalCaracter"/>
        </w:rPr>
        <w:t xml:space="preserve">, ff. 4 y 5; </w:t>
      </w:r>
      <w:hyperlink w:anchor="SENTENCIA_2024_53" w:history="1">
        <w:r w:rsidRPr="00E55613">
          <w:rPr>
            <w:rStyle w:val="TextoNormalCaracter"/>
          </w:rPr>
          <w:t>53/2024</w:t>
        </w:r>
      </w:hyperlink>
      <w:r w:rsidRPr="00E55613">
        <w:rPr>
          <w:rStyle w:val="TextoNormalCaracter"/>
        </w:rPr>
        <w:t>, ff. 3 y 4.</w:t>
      </w:r>
    </w:p>
    <w:p w14:paraId="5938A89D" w14:textId="06123AD7" w:rsidR="00E55613" w:rsidRPr="00E55613" w:rsidRDefault="00E55613" w:rsidP="00E55613">
      <w:pPr>
        <w:pStyle w:val="TextoNormalSangraFrancesa"/>
        <w:rPr>
          <w:rStyle w:val="TextoNormalCaracter"/>
        </w:rPr>
      </w:pPr>
      <w:bookmarkStart w:id="1133" w:name="DESCRIPTORALFABETICO295"/>
      <w:r w:rsidRPr="00E55613">
        <w:rPr>
          <w:rStyle w:val="TextoNormalNegritaCaracter"/>
        </w:rPr>
        <w:t>Protección del consumidor</w:t>
      </w:r>
      <w:bookmarkEnd w:id="1133"/>
      <w:r w:rsidRPr="00E55613">
        <w:rPr>
          <w:rStyle w:val="TextoNormalCaracter"/>
        </w:rPr>
        <w:t xml:space="preserve">, Sentencia </w:t>
      </w:r>
      <w:hyperlink w:anchor="SENTENCIA_2024_54" w:history="1">
        <w:r w:rsidRPr="00E55613">
          <w:rPr>
            <w:rStyle w:val="TextoNormalCaracter"/>
          </w:rPr>
          <w:t>54/2024</w:t>
        </w:r>
      </w:hyperlink>
      <w:r w:rsidRPr="00E55613">
        <w:rPr>
          <w:rStyle w:val="TextoNormalCaracter"/>
        </w:rPr>
        <w:t>, ff. 2 y 3.</w:t>
      </w:r>
    </w:p>
    <w:p w14:paraId="6670B7FC" w14:textId="6D6AC7A8" w:rsidR="00E55613" w:rsidRPr="00E55613" w:rsidRDefault="00E55613" w:rsidP="00E55613">
      <w:pPr>
        <w:pStyle w:val="TextoNormalSangraFrancesa"/>
        <w:rPr>
          <w:rStyle w:val="TextoNormalCaracter"/>
        </w:rPr>
      </w:pPr>
      <w:bookmarkStart w:id="1134" w:name="DESCRIPTORALFABETICO345"/>
      <w:r w:rsidRPr="00E55613">
        <w:rPr>
          <w:rStyle w:val="TextoNormalNegritaCaracter"/>
        </w:rPr>
        <w:t>Protección del medio ambiente</w:t>
      </w:r>
      <w:bookmarkEnd w:id="1134"/>
      <w:r w:rsidRPr="00E55613">
        <w:rPr>
          <w:rStyle w:val="TextoNormalCaracter"/>
        </w:rPr>
        <w:t xml:space="preserve">, Sentencia </w:t>
      </w:r>
      <w:hyperlink w:anchor="SENTENCIA_2024_68" w:history="1">
        <w:r w:rsidRPr="00E55613">
          <w:rPr>
            <w:rStyle w:val="TextoNormalCaracter"/>
          </w:rPr>
          <w:t>68/2024</w:t>
        </w:r>
      </w:hyperlink>
      <w:r w:rsidRPr="00E55613">
        <w:rPr>
          <w:rStyle w:val="TextoNormalCaracter"/>
        </w:rPr>
        <w:t>, ff. 5, 6, 8, 9, VP.</w:t>
      </w:r>
    </w:p>
    <w:p w14:paraId="0C3567F1" w14:textId="2F8AFD5C" w:rsidR="00E55613" w:rsidRPr="00E55613" w:rsidRDefault="00E55613" w:rsidP="00E55613">
      <w:pPr>
        <w:pStyle w:val="TextoNormalSangraFrancesa"/>
        <w:rPr>
          <w:rStyle w:val="TextoNormalCaracter"/>
        </w:rPr>
      </w:pPr>
      <w:bookmarkStart w:id="1135" w:name="DESCRIPTORALFABETICO226"/>
      <w:r w:rsidRPr="00E55613">
        <w:rPr>
          <w:rStyle w:val="TextoNormalNegritaCaracter"/>
        </w:rPr>
        <w:t>Proyectos de ley</w:t>
      </w:r>
      <w:bookmarkEnd w:id="1135"/>
      <w:r w:rsidRPr="00E55613">
        <w:rPr>
          <w:rStyle w:val="TextoNormalCaracter"/>
        </w:rPr>
        <w:t xml:space="preserve">, Sentencias </w:t>
      </w:r>
      <w:hyperlink w:anchor="SENTENCIA_2024_15" w:history="1">
        <w:r w:rsidRPr="00E55613">
          <w:rPr>
            <w:rStyle w:val="TextoNormalCaracter"/>
          </w:rPr>
          <w:t>15/2024</w:t>
        </w:r>
      </w:hyperlink>
      <w:r w:rsidRPr="00E55613">
        <w:rPr>
          <w:rStyle w:val="TextoNormalCaracter"/>
        </w:rPr>
        <w:t xml:space="preserve">, ff. 2 y 3, VP II; </w:t>
      </w:r>
      <w:hyperlink w:anchor="SENTENCIA_2024_93" w:history="1">
        <w:r w:rsidRPr="00E55613">
          <w:rPr>
            <w:rStyle w:val="TextoNormalCaracter"/>
          </w:rPr>
          <w:t>93/2024</w:t>
        </w:r>
      </w:hyperlink>
      <w:r w:rsidRPr="00E55613">
        <w:rPr>
          <w:rStyle w:val="TextoNormalCaracter"/>
        </w:rPr>
        <w:t>, ff. 2 y 4, VP I, VP II.</w:t>
      </w:r>
    </w:p>
    <w:p w14:paraId="28B74F7D" w14:textId="612F3637" w:rsidR="00E55613" w:rsidRPr="00E55613" w:rsidRDefault="00E55613" w:rsidP="00E55613">
      <w:pPr>
        <w:pStyle w:val="TextoNormalSangraFrancesa"/>
        <w:rPr>
          <w:rStyle w:val="TextoNormalCaracter"/>
        </w:rPr>
      </w:pPr>
      <w:bookmarkStart w:id="1136" w:name="DESCRIPTORALFABETICO476"/>
      <w:r w:rsidRPr="00E55613">
        <w:rPr>
          <w:rStyle w:val="TextoNormalNegritaCaracter"/>
        </w:rPr>
        <w:t>Prueba de alcoholemia</w:t>
      </w:r>
      <w:bookmarkEnd w:id="1136"/>
      <w:r w:rsidRPr="00E55613">
        <w:rPr>
          <w:rStyle w:val="TextoNormalCaracter"/>
        </w:rPr>
        <w:t xml:space="preserve">, Sentencia </w:t>
      </w:r>
      <w:hyperlink w:anchor="SENTENCIA_2024_40" w:history="1">
        <w:r w:rsidRPr="00E55613">
          <w:rPr>
            <w:rStyle w:val="TextoNormalCaracter"/>
          </w:rPr>
          <w:t>40/2024</w:t>
        </w:r>
      </w:hyperlink>
      <w:r w:rsidRPr="00E55613">
        <w:rPr>
          <w:rStyle w:val="TextoNormalCaracter"/>
        </w:rPr>
        <w:t>, ff. 3 a 5.</w:t>
      </w:r>
    </w:p>
    <w:p w14:paraId="55D4C97F" w14:textId="04B9F1AE" w:rsidR="00E55613" w:rsidRPr="00E55613" w:rsidRDefault="00E55613" w:rsidP="00E55613">
      <w:pPr>
        <w:pStyle w:val="TextoNormalSangraFrancesa"/>
        <w:rPr>
          <w:rStyle w:val="TextoNormalCaracter"/>
        </w:rPr>
      </w:pPr>
      <w:bookmarkStart w:id="1137" w:name="DESCRIPTORALFABETICO478"/>
      <w:r w:rsidRPr="00E55613">
        <w:rPr>
          <w:rStyle w:val="TextoNormalNegritaCaracter"/>
        </w:rPr>
        <w:t>Pruebas obtenidas con vulneración de derechos fundamentales</w:t>
      </w:r>
      <w:bookmarkEnd w:id="1137"/>
      <w:r w:rsidRPr="00E55613">
        <w:rPr>
          <w:rStyle w:val="TextoNormalCaracter"/>
        </w:rPr>
        <w:t xml:space="preserve">, Sentencia </w:t>
      </w:r>
      <w:hyperlink w:anchor="SENTENCIA_2024_40" w:history="1">
        <w:r w:rsidRPr="00E55613">
          <w:rPr>
            <w:rStyle w:val="TextoNormalCaracter"/>
          </w:rPr>
          <w:t>40/2024</w:t>
        </w:r>
      </w:hyperlink>
      <w:r w:rsidRPr="00E55613">
        <w:rPr>
          <w:rStyle w:val="TextoNormalCaracter"/>
        </w:rPr>
        <w:t>, f. 5, VP.</w:t>
      </w:r>
    </w:p>
    <w:p w14:paraId="07FAF646" w14:textId="7A0CBDA8" w:rsidR="00E55613" w:rsidRDefault="00E55613" w:rsidP="00E55613">
      <w:pPr>
        <w:pStyle w:val="TextoNormalSangraFrancesa"/>
      </w:pPr>
    </w:p>
    <w:p w14:paraId="07F65CCF" w14:textId="77777777" w:rsidR="00E55613" w:rsidRDefault="00E55613" w:rsidP="00E55613">
      <w:pPr>
        <w:pStyle w:val="TextoNormalSangraFrancesa"/>
      </w:pPr>
    </w:p>
    <w:p w14:paraId="517A8039" w14:textId="77777777" w:rsidR="00E55613" w:rsidRDefault="00E55613" w:rsidP="00E55613">
      <w:pPr>
        <w:pStyle w:val="TextoNormalNegritaCentrado"/>
      </w:pPr>
      <w:r>
        <w:t>R</w:t>
      </w:r>
    </w:p>
    <w:p w14:paraId="0B4FD37B" w14:textId="1070C677" w:rsidR="00E55613" w:rsidRDefault="00E55613" w:rsidP="00E55613">
      <w:pPr>
        <w:pStyle w:val="TextoNormalNegritaCentrado"/>
      </w:pPr>
    </w:p>
    <w:p w14:paraId="1890038A" w14:textId="3F945B8F" w:rsidR="00E55613" w:rsidRPr="00E55613" w:rsidRDefault="00E55613" w:rsidP="00E55613">
      <w:pPr>
        <w:pStyle w:val="TextoNormalSangraFrancesa"/>
        <w:rPr>
          <w:rStyle w:val="TextoNormalCaracter"/>
        </w:rPr>
      </w:pPr>
      <w:bookmarkStart w:id="1138" w:name="DESCRIPTORALFABETICO423"/>
      <w:r w:rsidRPr="00E55613">
        <w:rPr>
          <w:rStyle w:val="TextoNormalNegritaCaracter"/>
        </w:rPr>
        <w:t>Rechazo de tratamiento médico</w:t>
      </w:r>
      <w:bookmarkEnd w:id="1138"/>
      <w:r w:rsidRPr="00E55613">
        <w:rPr>
          <w:rStyle w:val="TextoNormalCaracter"/>
        </w:rPr>
        <w:t xml:space="preserve">, Sentencia </w:t>
      </w:r>
      <w:hyperlink w:anchor="SENTENCIA_2024_4" w:history="1">
        <w:r w:rsidRPr="00E55613">
          <w:rPr>
            <w:rStyle w:val="TextoNormalCaracter"/>
          </w:rPr>
          <w:t>4/2024</w:t>
        </w:r>
      </w:hyperlink>
      <w:r w:rsidRPr="00E55613">
        <w:rPr>
          <w:rStyle w:val="TextoNormalCaracter"/>
        </w:rPr>
        <w:t>, f. 3.</w:t>
      </w:r>
    </w:p>
    <w:p w14:paraId="10A80CEC" w14:textId="6A5D69E1" w:rsidR="00E55613" w:rsidRPr="00E55613" w:rsidRDefault="00E55613" w:rsidP="00E55613">
      <w:pPr>
        <w:pStyle w:val="TextoNormalSangraFrancesa"/>
        <w:rPr>
          <w:rStyle w:val="TextoNormalCaracter"/>
        </w:rPr>
      </w:pPr>
      <w:bookmarkStart w:id="1139" w:name="DESCRIPTORALFABETICO439"/>
      <w:r w:rsidRPr="00E55613">
        <w:rPr>
          <w:rStyle w:val="TextoNormalNegritaCaracter"/>
        </w:rPr>
        <w:t>Reconocimiento de relación laboral</w:t>
      </w:r>
      <w:bookmarkEnd w:id="1139"/>
      <w:r w:rsidRPr="00E55613">
        <w:rPr>
          <w:rStyle w:val="TextoNormalCaracter"/>
        </w:rPr>
        <w:t xml:space="preserve">, Sentencia </w:t>
      </w:r>
      <w:hyperlink w:anchor="SENTENCIA_2024_81" w:history="1">
        <w:r w:rsidRPr="00E55613">
          <w:rPr>
            <w:rStyle w:val="TextoNormalCaracter"/>
          </w:rPr>
          <w:t>81/2024</w:t>
        </w:r>
      </w:hyperlink>
      <w:r w:rsidRPr="00E55613">
        <w:rPr>
          <w:rStyle w:val="TextoNormalCaracter"/>
        </w:rPr>
        <w:t>, f. 1.</w:t>
      </w:r>
    </w:p>
    <w:p w14:paraId="7DE5CC87" w14:textId="1D0B8AB6" w:rsidR="00E55613" w:rsidRPr="00E55613" w:rsidRDefault="00E55613" w:rsidP="00E55613">
      <w:pPr>
        <w:pStyle w:val="TextoNormalSangraFrancesa"/>
        <w:rPr>
          <w:rStyle w:val="TextoNormalCaracter"/>
        </w:rPr>
      </w:pPr>
      <w:bookmarkStart w:id="1140" w:name="DESCRIPTORALFABETICO173"/>
      <w:r w:rsidRPr="00E55613">
        <w:rPr>
          <w:rStyle w:val="TextoNormalNegritaCaracter"/>
        </w:rPr>
        <w:t>Recurso contra resoluciones de la presidencia del Congreso</w:t>
      </w:r>
      <w:bookmarkEnd w:id="1140"/>
      <w:r w:rsidRPr="00E55613">
        <w:rPr>
          <w:rStyle w:val="TextoNormalCaracter"/>
        </w:rPr>
        <w:t xml:space="preserve">, Sentencia </w:t>
      </w:r>
      <w:hyperlink w:anchor="SENTENCIA_2024_18" w:history="1">
        <w:r w:rsidRPr="00E55613">
          <w:rPr>
            <w:rStyle w:val="TextoNormalCaracter"/>
          </w:rPr>
          <w:t>18/2024</w:t>
        </w:r>
      </w:hyperlink>
      <w:r w:rsidRPr="00E55613">
        <w:rPr>
          <w:rStyle w:val="TextoNormalCaracter"/>
        </w:rPr>
        <w:t>, f. único.</w:t>
      </w:r>
    </w:p>
    <w:p w14:paraId="0B430768" w14:textId="0E90C63E" w:rsidR="00E55613" w:rsidRPr="00E55613" w:rsidRDefault="00E55613" w:rsidP="00E55613">
      <w:pPr>
        <w:pStyle w:val="TextoNormalSangraFrancesa"/>
        <w:rPr>
          <w:rStyle w:val="TextoNormalCaracter"/>
        </w:rPr>
      </w:pPr>
      <w:bookmarkStart w:id="1141" w:name="DESCRIPTORALFABETICO492"/>
      <w:r w:rsidRPr="00E55613">
        <w:rPr>
          <w:rStyle w:val="TextoNormalNegritaCaracter"/>
        </w:rPr>
        <w:t>Recurso de reposición</w:t>
      </w:r>
      <w:bookmarkEnd w:id="1141"/>
      <w:r w:rsidRPr="00E55613">
        <w:rPr>
          <w:rStyle w:val="TextoNormalCaracter"/>
        </w:rPr>
        <w:t xml:space="preserve">, Auto </w:t>
      </w:r>
      <w:hyperlink w:anchor="AUTO_2024_8" w:history="1">
        <w:r w:rsidRPr="00E55613">
          <w:rPr>
            <w:rStyle w:val="TextoNormalCaracter"/>
          </w:rPr>
          <w:t>8/2024</w:t>
        </w:r>
      </w:hyperlink>
      <w:r w:rsidRPr="00E55613">
        <w:rPr>
          <w:rStyle w:val="TextoNormalCaracter"/>
        </w:rPr>
        <w:t>, f. 1.</w:t>
      </w:r>
    </w:p>
    <w:p w14:paraId="48A74E22" w14:textId="5E9541F2" w:rsidR="00E55613" w:rsidRPr="00E55613" w:rsidRDefault="00E55613" w:rsidP="00E55613">
      <w:pPr>
        <w:pStyle w:val="TextoNormalSangraFrancesa"/>
        <w:rPr>
          <w:rStyle w:val="TextoNormalCaracter"/>
        </w:rPr>
      </w:pPr>
      <w:bookmarkStart w:id="1142" w:name="DESCRIPTORALFABETICO495"/>
      <w:r w:rsidRPr="00E55613">
        <w:rPr>
          <w:rStyle w:val="TextoNormalNegritaCaracter"/>
        </w:rPr>
        <w:t>Recurso de súplica no manifiestamente improcedente</w:t>
      </w:r>
      <w:bookmarkEnd w:id="1142"/>
      <w:r w:rsidRPr="00E55613">
        <w:rPr>
          <w:rStyle w:val="TextoNormalCaracter"/>
        </w:rPr>
        <w:t xml:space="preserve">, Sentencia </w:t>
      </w:r>
      <w:hyperlink w:anchor="SENTENCIA_2024_3" w:history="1">
        <w:r w:rsidRPr="00E55613">
          <w:rPr>
            <w:rStyle w:val="TextoNormalCaracter"/>
          </w:rPr>
          <w:t>3/2024</w:t>
        </w:r>
      </w:hyperlink>
      <w:r w:rsidRPr="00E55613">
        <w:rPr>
          <w:rStyle w:val="TextoNormalCaracter"/>
        </w:rPr>
        <w:t>, ff. 3 y 4.</w:t>
      </w:r>
    </w:p>
    <w:p w14:paraId="18BCC74F" w14:textId="216972F1" w:rsidR="00E55613" w:rsidRPr="00E55613" w:rsidRDefault="00E55613" w:rsidP="00E55613">
      <w:pPr>
        <w:pStyle w:val="TextoNormalSangraFrancesa"/>
        <w:rPr>
          <w:rStyle w:val="TextoNormalCaracter"/>
        </w:rPr>
      </w:pPr>
      <w:bookmarkStart w:id="1143" w:name="DESCRIPTORALFABETICO176"/>
      <w:r w:rsidRPr="00E55613">
        <w:rPr>
          <w:rStyle w:val="TextoNormalNegritaCaracter"/>
        </w:rPr>
        <w:t>Recurso efectivo</w:t>
      </w:r>
      <w:bookmarkEnd w:id="1143"/>
      <w:r w:rsidRPr="00E55613">
        <w:rPr>
          <w:rStyle w:val="TextoNormalCaracter"/>
        </w:rPr>
        <w:t xml:space="preserve">, Sentencia </w:t>
      </w:r>
      <w:hyperlink w:anchor="SENTENCIA_2024_66" w:history="1">
        <w:r w:rsidRPr="00E55613">
          <w:rPr>
            <w:rStyle w:val="TextoNormalCaracter"/>
          </w:rPr>
          <w:t>66/2024</w:t>
        </w:r>
      </w:hyperlink>
      <w:r w:rsidRPr="00E55613">
        <w:rPr>
          <w:rStyle w:val="TextoNormalCaracter"/>
        </w:rPr>
        <w:t>, f. 3.</w:t>
      </w:r>
    </w:p>
    <w:p w14:paraId="702AD392" w14:textId="06AFD125" w:rsidR="00E55613" w:rsidRPr="00E55613" w:rsidRDefault="00E55613" w:rsidP="00E55613">
      <w:pPr>
        <w:pStyle w:val="TextoNormalSangraFrancesa"/>
        <w:rPr>
          <w:rStyle w:val="TextoNormalCaracter"/>
        </w:rPr>
      </w:pPr>
      <w:bookmarkStart w:id="1144" w:name="DESCRIPTORALFABETICO490"/>
      <w:r w:rsidRPr="00E55613">
        <w:rPr>
          <w:rStyle w:val="TextoNormalNegritaCaracter"/>
        </w:rPr>
        <w:t>Recursos judiciales</w:t>
      </w:r>
      <w:bookmarkEnd w:id="1144"/>
      <w:r w:rsidRPr="00E55613">
        <w:rPr>
          <w:rStyle w:val="TextoNormalCaracter"/>
        </w:rPr>
        <w:t xml:space="preserve">, Sentencias </w:t>
      </w:r>
      <w:hyperlink w:anchor="SENTENCIA_2024_23" w:history="1">
        <w:r w:rsidRPr="00E55613">
          <w:rPr>
            <w:rStyle w:val="TextoNormalCaracter"/>
          </w:rPr>
          <w:t>23/2024</w:t>
        </w:r>
      </w:hyperlink>
      <w:r w:rsidRPr="00E55613">
        <w:rPr>
          <w:rStyle w:val="TextoNormalCaracter"/>
        </w:rPr>
        <w:t xml:space="preserve">, f. 2; </w:t>
      </w:r>
      <w:hyperlink w:anchor="SENTENCIA_2024_47" w:history="1">
        <w:r w:rsidRPr="00E55613">
          <w:rPr>
            <w:rStyle w:val="TextoNormalCaracter"/>
          </w:rPr>
          <w:t>47/2024</w:t>
        </w:r>
      </w:hyperlink>
      <w:r w:rsidRPr="00E55613">
        <w:rPr>
          <w:rStyle w:val="TextoNormalCaracter"/>
        </w:rPr>
        <w:t>, f. 3.</w:t>
      </w:r>
    </w:p>
    <w:p w14:paraId="0B0CF312" w14:textId="58CBF601" w:rsidR="00E55613" w:rsidRPr="00E55613" w:rsidRDefault="00E55613" w:rsidP="00E55613">
      <w:pPr>
        <w:pStyle w:val="TextoNormalSangraFrancesa"/>
        <w:rPr>
          <w:rStyle w:val="TextoNormalCaracter"/>
        </w:rPr>
      </w:pPr>
      <w:bookmarkStart w:id="1145" w:name="DESCRIPTORALFABETICO325"/>
      <w:r w:rsidRPr="00E55613">
        <w:rPr>
          <w:rStyle w:val="TextoNormalNegritaCaracter"/>
        </w:rPr>
        <w:t>Régimen de visitas a los hijos</w:t>
      </w:r>
      <w:bookmarkEnd w:id="1145"/>
      <w:r w:rsidRPr="00E55613">
        <w:rPr>
          <w:rStyle w:val="TextoNormalCaracter"/>
        </w:rPr>
        <w:t xml:space="preserve">, Sentencia </w:t>
      </w:r>
      <w:hyperlink w:anchor="SENTENCIA_2024_53" w:history="1">
        <w:r w:rsidRPr="00E55613">
          <w:rPr>
            <w:rStyle w:val="TextoNormalCaracter"/>
          </w:rPr>
          <w:t>53/2024</w:t>
        </w:r>
      </w:hyperlink>
      <w:r w:rsidRPr="00E55613">
        <w:rPr>
          <w:rStyle w:val="TextoNormalCaracter"/>
        </w:rPr>
        <w:t>, ff. 3 a 4.</w:t>
      </w:r>
    </w:p>
    <w:p w14:paraId="755E8464" w14:textId="5B3DF87D" w:rsidR="00E55613" w:rsidRPr="00E55613" w:rsidRDefault="00E55613" w:rsidP="00E55613">
      <w:pPr>
        <w:pStyle w:val="TextoNormalSangraFrancesa"/>
        <w:rPr>
          <w:rStyle w:val="TextoNormalCaracter"/>
        </w:rPr>
      </w:pPr>
      <w:bookmarkStart w:id="1146" w:name="DESCRIPTORALFABETICO427"/>
      <w:r w:rsidRPr="00E55613">
        <w:rPr>
          <w:rStyle w:val="TextoNormalNegritaCaracter"/>
        </w:rPr>
        <w:t>Régimen económico de la Seguridad Social</w:t>
      </w:r>
      <w:bookmarkEnd w:id="1146"/>
      <w:r w:rsidRPr="00E55613">
        <w:rPr>
          <w:rStyle w:val="TextoNormalCaracter"/>
        </w:rPr>
        <w:t xml:space="preserve">, Sentencias </w:t>
      </w:r>
      <w:hyperlink w:anchor="SENTENCIA_2024_19" w:history="1">
        <w:r w:rsidRPr="00E55613">
          <w:rPr>
            <w:rStyle w:val="TextoNormalCaracter"/>
          </w:rPr>
          <w:t>19/2024</w:t>
        </w:r>
      </w:hyperlink>
      <w:r w:rsidRPr="00E55613">
        <w:rPr>
          <w:rStyle w:val="TextoNormalCaracter"/>
        </w:rPr>
        <w:t xml:space="preserve">, f. 3; </w:t>
      </w:r>
      <w:hyperlink w:anchor="SENTENCIA_2024_32" w:history="1">
        <w:r w:rsidRPr="00E55613">
          <w:rPr>
            <w:rStyle w:val="TextoNormalCaracter"/>
          </w:rPr>
          <w:t>32/2024</w:t>
        </w:r>
      </w:hyperlink>
      <w:r w:rsidRPr="00E55613">
        <w:rPr>
          <w:rStyle w:val="TextoNormalCaracter"/>
        </w:rPr>
        <w:t>, f. 1.</w:t>
      </w:r>
    </w:p>
    <w:p w14:paraId="39158A56" w14:textId="303ED1C6" w:rsidR="00E55613" w:rsidRPr="00E55613" w:rsidRDefault="00E55613" w:rsidP="00E55613">
      <w:pPr>
        <w:pStyle w:val="TextoNormalSangraFrancesa"/>
        <w:rPr>
          <w:rStyle w:val="TextoNormalCaracter"/>
        </w:rPr>
      </w:pPr>
      <w:bookmarkStart w:id="1147" w:name="DESCRIPTORALFABETICO314"/>
      <w:r w:rsidRPr="00E55613">
        <w:rPr>
          <w:rStyle w:val="TextoNormalNegritaCaracter"/>
        </w:rPr>
        <w:t>Régimen minero</w:t>
      </w:r>
      <w:bookmarkEnd w:id="1147"/>
      <w:r w:rsidRPr="00E55613">
        <w:rPr>
          <w:rStyle w:val="TextoNormalCaracter"/>
        </w:rPr>
        <w:t xml:space="preserve">, Sentencia </w:t>
      </w:r>
      <w:hyperlink w:anchor="SENTENCIA_2024_25" w:history="1">
        <w:r w:rsidRPr="00E55613">
          <w:rPr>
            <w:rStyle w:val="TextoNormalCaracter"/>
          </w:rPr>
          <w:t>25/2024</w:t>
        </w:r>
      </w:hyperlink>
      <w:r w:rsidRPr="00E55613">
        <w:rPr>
          <w:rStyle w:val="TextoNormalCaracter"/>
        </w:rPr>
        <w:t>, ff. 5, 6, 10.</w:t>
      </w:r>
    </w:p>
    <w:p w14:paraId="4273C33B" w14:textId="48D589F0" w:rsidR="00E55613" w:rsidRPr="00E55613" w:rsidRDefault="00E55613" w:rsidP="00E55613">
      <w:pPr>
        <w:pStyle w:val="TextoNormalSangraFrancesa"/>
        <w:rPr>
          <w:rStyle w:val="TextoNormalCaracter"/>
        </w:rPr>
      </w:pPr>
      <w:bookmarkStart w:id="1148" w:name="DESCRIPTORALFABETICO247"/>
      <w:r w:rsidRPr="00E55613">
        <w:rPr>
          <w:rStyle w:val="TextoNormalNegritaCaracter"/>
        </w:rPr>
        <w:t>Reglamentos parlamentarios</w:t>
      </w:r>
      <w:bookmarkEnd w:id="1148"/>
      <w:r w:rsidRPr="00E55613">
        <w:rPr>
          <w:rStyle w:val="TextoNormalCaracter"/>
        </w:rPr>
        <w:t xml:space="preserve">, Sentencia </w:t>
      </w:r>
      <w:hyperlink w:anchor="SENTENCIA_2024_86" w:history="1">
        <w:r w:rsidRPr="00E55613">
          <w:rPr>
            <w:rStyle w:val="TextoNormalCaracter"/>
          </w:rPr>
          <w:t>86/2024</w:t>
        </w:r>
      </w:hyperlink>
      <w:r w:rsidRPr="00E55613">
        <w:rPr>
          <w:rStyle w:val="TextoNormalCaracter"/>
        </w:rPr>
        <w:t>, f. 3.</w:t>
      </w:r>
    </w:p>
    <w:p w14:paraId="38D7B725" w14:textId="3433C329" w:rsidR="00E55613" w:rsidRPr="00E55613" w:rsidRDefault="00E55613" w:rsidP="00E55613">
      <w:pPr>
        <w:pStyle w:val="TextoNormalSangraFrancesa"/>
        <w:rPr>
          <w:rStyle w:val="TextoNormalCaracter"/>
        </w:rPr>
      </w:pPr>
      <w:bookmarkStart w:id="1149" w:name="DESCRIPTORALFABETICO430"/>
      <w:r w:rsidRPr="00E55613">
        <w:rPr>
          <w:rStyle w:val="TextoNormalNegritaCaracter"/>
        </w:rPr>
        <w:t>Relevancia constitucional de los sindicatos</w:t>
      </w:r>
      <w:bookmarkEnd w:id="1149"/>
      <w:r w:rsidRPr="00E55613">
        <w:rPr>
          <w:rStyle w:val="TextoNormalCaracter"/>
        </w:rPr>
        <w:t xml:space="preserve">, Sentencia </w:t>
      </w:r>
      <w:hyperlink w:anchor="SENTENCIA_2024_63" w:history="1">
        <w:r w:rsidRPr="00E55613">
          <w:rPr>
            <w:rStyle w:val="TextoNormalCaracter"/>
          </w:rPr>
          <w:t>63/2024</w:t>
        </w:r>
      </w:hyperlink>
      <w:r w:rsidRPr="00E55613">
        <w:rPr>
          <w:rStyle w:val="TextoNormalCaracter"/>
        </w:rPr>
        <w:t>, f. 4.</w:t>
      </w:r>
    </w:p>
    <w:p w14:paraId="298225E1" w14:textId="74562A6C" w:rsidR="00E55613" w:rsidRPr="00E55613" w:rsidRDefault="00E55613" w:rsidP="00E55613">
      <w:pPr>
        <w:pStyle w:val="TextoNormalSangraFrancesa"/>
        <w:rPr>
          <w:rStyle w:val="TextoNormalCaracter"/>
        </w:rPr>
      </w:pPr>
      <w:bookmarkStart w:id="1150" w:name="DESCRIPTORALFABETICO181"/>
      <w:r w:rsidRPr="00E55613">
        <w:rPr>
          <w:rStyle w:val="TextoNormalNegritaCaracter"/>
        </w:rPr>
        <w:t>Repercusión política del asunto</w:t>
      </w:r>
      <w:bookmarkEnd w:id="1150"/>
      <w:r w:rsidRPr="00E55613">
        <w:rPr>
          <w:rStyle w:val="TextoNormalCaracter"/>
        </w:rPr>
        <w:t xml:space="preserve">, Sentencia </w:t>
      </w:r>
      <w:hyperlink w:anchor="SENTENCIA_2024_86" w:history="1">
        <w:r w:rsidRPr="00E55613">
          <w:rPr>
            <w:rStyle w:val="TextoNormalCaracter"/>
          </w:rPr>
          <w:t>86/2024</w:t>
        </w:r>
      </w:hyperlink>
      <w:r w:rsidRPr="00E55613">
        <w:rPr>
          <w:rStyle w:val="TextoNormalCaracter"/>
        </w:rPr>
        <w:t>, f. 2.</w:t>
      </w:r>
    </w:p>
    <w:p w14:paraId="389C7733" w14:textId="2A1D874F" w:rsidR="00E55613" w:rsidRPr="00E55613" w:rsidRDefault="00E55613" w:rsidP="00E55613">
      <w:pPr>
        <w:pStyle w:val="TextoNormalSangraFrancesa"/>
        <w:rPr>
          <w:rStyle w:val="TextoNormalCaracter"/>
        </w:rPr>
      </w:pPr>
      <w:r w:rsidRPr="00E55613">
        <w:rPr>
          <w:rStyle w:val="TextoNormalCaracter"/>
        </w:rPr>
        <w:t xml:space="preserve">    Auto </w:t>
      </w:r>
      <w:hyperlink w:anchor="AUTO_2024_47" w:history="1">
        <w:r w:rsidRPr="00E55613">
          <w:rPr>
            <w:rStyle w:val="TextoNormalCaracter"/>
          </w:rPr>
          <w:t>47/2024</w:t>
        </w:r>
      </w:hyperlink>
      <w:r w:rsidRPr="00E55613">
        <w:rPr>
          <w:rStyle w:val="TextoNormalCaracter"/>
        </w:rPr>
        <w:t>, f. 2.</w:t>
      </w:r>
    </w:p>
    <w:p w14:paraId="1A960DB2" w14:textId="5F855D45" w:rsidR="00E55613" w:rsidRPr="00E55613" w:rsidRDefault="00E55613" w:rsidP="00E55613">
      <w:pPr>
        <w:pStyle w:val="TextoNormalSangraFrancesa"/>
        <w:rPr>
          <w:rStyle w:val="TextoNormalCaracter"/>
        </w:rPr>
      </w:pPr>
      <w:bookmarkStart w:id="1151" w:name="DESCRIPTORALFABETICO182"/>
      <w:r w:rsidRPr="00E55613">
        <w:rPr>
          <w:rStyle w:val="TextoNormalNegritaCaracter"/>
        </w:rPr>
        <w:t>Repercusión social o económica del asunto</w:t>
      </w:r>
      <w:bookmarkEnd w:id="1151"/>
      <w:r w:rsidRPr="00E55613">
        <w:rPr>
          <w:rStyle w:val="TextoNormalCaracter"/>
        </w:rPr>
        <w:t xml:space="preserve">, Sentencias </w:t>
      </w:r>
      <w:hyperlink w:anchor="SENTENCIA_2024_1" w:history="1">
        <w:r w:rsidRPr="00E55613">
          <w:rPr>
            <w:rStyle w:val="TextoNormalCaracter"/>
          </w:rPr>
          <w:t>1/2024</w:t>
        </w:r>
      </w:hyperlink>
      <w:r w:rsidRPr="00E55613">
        <w:rPr>
          <w:rStyle w:val="TextoNormalCaracter"/>
        </w:rPr>
        <w:t xml:space="preserve">, f. 1; </w:t>
      </w:r>
      <w:hyperlink w:anchor="SENTENCIA_2024_8" w:history="1">
        <w:r w:rsidRPr="00E55613">
          <w:rPr>
            <w:rStyle w:val="TextoNormalCaracter"/>
          </w:rPr>
          <w:t>8/2024</w:t>
        </w:r>
      </w:hyperlink>
      <w:r w:rsidRPr="00E55613">
        <w:rPr>
          <w:rStyle w:val="TextoNormalCaracter"/>
        </w:rPr>
        <w:t xml:space="preserve">, f. 2; </w:t>
      </w:r>
      <w:hyperlink w:anchor="SENTENCIA_2024_85" w:history="1">
        <w:r w:rsidRPr="00E55613">
          <w:rPr>
            <w:rStyle w:val="TextoNormalCaracter"/>
          </w:rPr>
          <w:t>85/2024</w:t>
        </w:r>
      </w:hyperlink>
      <w:r w:rsidRPr="00E55613">
        <w:rPr>
          <w:rStyle w:val="TextoNormalCaracter"/>
        </w:rPr>
        <w:t>, f. 1.</w:t>
      </w:r>
    </w:p>
    <w:p w14:paraId="0DC7B85F" w14:textId="2C2C695C" w:rsidR="00E55613" w:rsidRPr="00E55613" w:rsidRDefault="00E55613" w:rsidP="00E55613">
      <w:pPr>
        <w:pStyle w:val="TextoNormalSangraFrancesa"/>
        <w:rPr>
          <w:rStyle w:val="TextoNormalCaracter"/>
        </w:rPr>
      </w:pPr>
      <w:bookmarkStart w:id="1152" w:name="DESCRIPTORALFABETICO431"/>
      <w:r w:rsidRPr="00E55613">
        <w:rPr>
          <w:rStyle w:val="TextoNormalNegritaCaracter"/>
        </w:rPr>
        <w:t>Representación institucional de los sindicatos</w:t>
      </w:r>
      <w:bookmarkEnd w:id="1152"/>
      <w:r w:rsidRPr="00E55613">
        <w:rPr>
          <w:rStyle w:val="TextoNormalCaracter"/>
        </w:rPr>
        <w:t xml:space="preserve">, Sentencia </w:t>
      </w:r>
      <w:hyperlink w:anchor="SENTENCIA_2024_63" w:history="1">
        <w:r w:rsidRPr="00E55613">
          <w:rPr>
            <w:rStyle w:val="TextoNormalCaracter"/>
          </w:rPr>
          <w:t>63/2024</w:t>
        </w:r>
      </w:hyperlink>
      <w:r w:rsidRPr="00E55613">
        <w:rPr>
          <w:rStyle w:val="TextoNormalCaracter"/>
        </w:rPr>
        <w:t>, ff. 4 y 5.</w:t>
      </w:r>
    </w:p>
    <w:p w14:paraId="2A8A352B" w14:textId="0CB54F97" w:rsidR="00E55613" w:rsidRPr="00E55613" w:rsidRDefault="00E55613" w:rsidP="00E55613">
      <w:pPr>
        <w:pStyle w:val="TextoNormalSangraFrancesa"/>
        <w:rPr>
          <w:rStyle w:val="TextoNormalCaracter"/>
        </w:rPr>
      </w:pPr>
      <w:bookmarkStart w:id="1153" w:name="DESCRIPTORALFABETICO373"/>
      <w:r w:rsidRPr="00E55613">
        <w:rPr>
          <w:rStyle w:val="TextoNormalNegritaCaracter"/>
        </w:rPr>
        <w:t>Reproducción de normas estatales</w:t>
      </w:r>
      <w:bookmarkEnd w:id="1153"/>
      <w:r w:rsidRPr="00E55613">
        <w:rPr>
          <w:rStyle w:val="TextoNormalCaracter"/>
        </w:rPr>
        <w:t xml:space="preserve">, Sentencias </w:t>
      </w:r>
      <w:hyperlink w:anchor="SENTENCIA_2024_68" w:history="1">
        <w:r w:rsidRPr="00E55613">
          <w:rPr>
            <w:rStyle w:val="TextoNormalCaracter"/>
          </w:rPr>
          <w:t>68/2024</w:t>
        </w:r>
      </w:hyperlink>
      <w:r w:rsidRPr="00E55613">
        <w:rPr>
          <w:rStyle w:val="TextoNormalCaracter"/>
        </w:rPr>
        <w:t xml:space="preserve">, ff. 2 y 8; </w:t>
      </w:r>
      <w:hyperlink w:anchor="SENTENCIA_2024_76" w:history="1">
        <w:r w:rsidRPr="00E55613">
          <w:rPr>
            <w:rStyle w:val="TextoNormalCaracter"/>
          </w:rPr>
          <w:t>76/2024</w:t>
        </w:r>
      </w:hyperlink>
      <w:r w:rsidRPr="00E55613">
        <w:rPr>
          <w:rStyle w:val="TextoNormalCaracter"/>
        </w:rPr>
        <w:t>, f. 5, VP.</w:t>
      </w:r>
    </w:p>
    <w:p w14:paraId="235957B2" w14:textId="2A58419C" w:rsidR="00E55613" w:rsidRPr="00E55613" w:rsidRDefault="00E55613" w:rsidP="00E55613">
      <w:pPr>
        <w:pStyle w:val="TextoNormalSangraFrancesa"/>
        <w:rPr>
          <w:rStyle w:val="TextoNormalCaracter"/>
        </w:rPr>
      </w:pPr>
      <w:bookmarkStart w:id="1154" w:name="DESCRIPTORALFABETICO372"/>
      <w:r w:rsidRPr="00E55613">
        <w:rPr>
          <w:rStyle w:val="TextoNormalNegritaCaracter"/>
        </w:rPr>
        <w:t>Requisitos de los decretos-leyes</w:t>
      </w:r>
      <w:bookmarkEnd w:id="1154"/>
      <w:r w:rsidRPr="00E55613">
        <w:rPr>
          <w:rStyle w:val="TextoNormalCaracter"/>
        </w:rPr>
        <w:t xml:space="preserve">, Sentencia </w:t>
      </w:r>
      <w:hyperlink w:anchor="SENTENCIA_2024_20" w:history="1">
        <w:r w:rsidRPr="00E55613">
          <w:rPr>
            <w:rStyle w:val="TextoNormalCaracter"/>
          </w:rPr>
          <w:t>20/2024</w:t>
        </w:r>
      </w:hyperlink>
      <w:r w:rsidRPr="00E55613">
        <w:rPr>
          <w:rStyle w:val="TextoNormalCaracter"/>
        </w:rPr>
        <w:t>, f. 3.</w:t>
      </w:r>
    </w:p>
    <w:p w14:paraId="2E3F9850" w14:textId="429093C5" w:rsidR="00E55613" w:rsidRPr="00E55613" w:rsidRDefault="00E55613" w:rsidP="00E55613">
      <w:pPr>
        <w:pStyle w:val="TextoNormalSangraFrancesa"/>
        <w:rPr>
          <w:rStyle w:val="TextoNormalCaracter"/>
        </w:rPr>
      </w:pPr>
      <w:bookmarkStart w:id="1155" w:name="DESCRIPTORALFABETICO456"/>
      <w:r w:rsidRPr="00E55613">
        <w:rPr>
          <w:rStyle w:val="TextoNormalNegritaCaracter"/>
        </w:rPr>
        <w:lastRenderedPageBreak/>
        <w:t>Requisitos del emplazamiento</w:t>
      </w:r>
      <w:bookmarkEnd w:id="1155"/>
      <w:r w:rsidRPr="00E55613">
        <w:rPr>
          <w:rStyle w:val="TextoNormalCaracter"/>
        </w:rPr>
        <w:t xml:space="preserve">, Sentencia </w:t>
      </w:r>
      <w:hyperlink w:anchor="SENTENCIA_2024_84" w:history="1">
        <w:r w:rsidRPr="00E55613">
          <w:rPr>
            <w:rStyle w:val="TextoNormalCaracter"/>
          </w:rPr>
          <w:t>84/2024</w:t>
        </w:r>
      </w:hyperlink>
      <w:r w:rsidRPr="00E55613">
        <w:rPr>
          <w:rStyle w:val="TextoNormalCaracter"/>
        </w:rPr>
        <w:t>, f. 2.</w:t>
      </w:r>
    </w:p>
    <w:p w14:paraId="3B4DF60A" w14:textId="25160AE3" w:rsidR="00E55613" w:rsidRPr="00E55613" w:rsidRDefault="00E55613" w:rsidP="00E55613">
      <w:pPr>
        <w:pStyle w:val="TextoNormalSangraFrancesa"/>
        <w:rPr>
          <w:rStyle w:val="TextoNormalCaracter"/>
        </w:rPr>
      </w:pPr>
      <w:bookmarkStart w:id="1156" w:name="DESCRIPTORALFABETICO496"/>
      <w:r w:rsidRPr="00E55613">
        <w:rPr>
          <w:rStyle w:val="TextoNormalNegritaCaracter"/>
        </w:rPr>
        <w:t>Requisitos procesales</w:t>
      </w:r>
      <w:bookmarkEnd w:id="1156"/>
      <w:r w:rsidRPr="00E55613">
        <w:rPr>
          <w:rStyle w:val="TextoNormalCaracter"/>
        </w:rPr>
        <w:t xml:space="preserve">, Sentencia </w:t>
      </w:r>
      <w:hyperlink w:anchor="SENTENCIA_2024_55" w:history="1">
        <w:r w:rsidRPr="00E55613">
          <w:rPr>
            <w:rStyle w:val="TextoNormalCaracter"/>
          </w:rPr>
          <w:t>55/2024</w:t>
        </w:r>
      </w:hyperlink>
      <w:r w:rsidRPr="00E55613">
        <w:rPr>
          <w:rStyle w:val="TextoNormalCaracter"/>
        </w:rPr>
        <w:t>, ff. 1, 3 y 4.</w:t>
      </w:r>
    </w:p>
    <w:p w14:paraId="671DB30A" w14:textId="5FE520D7" w:rsidR="00E55613" w:rsidRPr="00E55613" w:rsidRDefault="00E55613" w:rsidP="00E55613">
      <w:pPr>
        <w:pStyle w:val="TextoNormalSangraFrancesa"/>
        <w:rPr>
          <w:rStyle w:val="TextoNormalCaracter"/>
        </w:rPr>
      </w:pPr>
      <w:bookmarkStart w:id="1157" w:name="DESCRIPTORALFABETICO158"/>
      <w:r w:rsidRPr="00E55613">
        <w:rPr>
          <w:rStyle w:val="TextoNormalNegritaCaracter"/>
        </w:rPr>
        <w:t>Requisitos procesales de la cuestión de inconstitucionalidad</w:t>
      </w:r>
      <w:bookmarkEnd w:id="1157"/>
      <w:r w:rsidRPr="00E55613">
        <w:rPr>
          <w:rStyle w:val="TextoNormalCaracter"/>
        </w:rPr>
        <w:t xml:space="preserve">, Auto </w:t>
      </w:r>
      <w:hyperlink w:anchor="AUTO_2024_20" w:history="1">
        <w:r w:rsidRPr="00E55613">
          <w:rPr>
            <w:rStyle w:val="TextoNormalCaracter"/>
          </w:rPr>
          <w:t>20/2024</w:t>
        </w:r>
      </w:hyperlink>
      <w:r w:rsidRPr="00E55613">
        <w:rPr>
          <w:rStyle w:val="TextoNormalCaracter"/>
        </w:rPr>
        <w:t>, f. 4.</w:t>
      </w:r>
    </w:p>
    <w:p w14:paraId="3AC272A1" w14:textId="221A4D38" w:rsidR="00E55613" w:rsidRPr="00E55613" w:rsidRDefault="00E55613" w:rsidP="00E55613">
      <w:pPr>
        <w:pStyle w:val="TextoNormalSangraFrancesa"/>
        <w:rPr>
          <w:rStyle w:val="TextoNormalCaracter"/>
        </w:rPr>
      </w:pPr>
      <w:bookmarkStart w:id="1158" w:name="DESCRIPTORALFABETICO386"/>
      <w:r w:rsidRPr="00E55613">
        <w:rPr>
          <w:rStyle w:val="TextoNormalNegritaCaracter"/>
        </w:rPr>
        <w:t>Reserva de ley orgánica</w:t>
      </w:r>
      <w:bookmarkEnd w:id="1158"/>
      <w:r w:rsidRPr="00E55613">
        <w:rPr>
          <w:rStyle w:val="TextoNormalCaracter"/>
        </w:rPr>
        <w:t xml:space="preserve">, Sentencias </w:t>
      </w:r>
      <w:hyperlink w:anchor="SENTENCIA_2024_15" w:history="1">
        <w:r w:rsidRPr="00E55613">
          <w:rPr>
            <w:rStyle w:val="TextoNormalCaracter"/>
          </w:rPr>
          <w:t>15/2024</w:t>
        </w:r>
      </w:hyperlink>
      <w:r w:rsidRPr="00E55613">
        <w:rPr>
          <w:rStyle w:val="TextoNormalCaracter"/>
        </w:rPr>
        <w:t xml:space="preserve">, f. 3; </w:t>
      </w:r>
      <w:hyperlink w:anchor="SENTENCIA_2024_44" w:history="1">
        <w:r w:rsidRPr="00E55613">
          <w:rPr>
            <w:rStyle w:val="TextoNormalCaracter"/>
          </w:rPr>
          <w:t>44/2024</w:t>
        </w:r>
      </w:hyperlink>
      <w:r w:rsidRPr="00E55613">
        <w:rPr>
          <w:rStyle w:val="TextoNormalCaracter"/>
        </w:rPr>
        <w:t xml:space="preserve">, ff. 2, 3, 5, 6, VP I, VP II; </w:t>
      </w:r>
      <w:hyperlink w:anchor="SENTENCIA_2024_89" w:history="1">
        <w:r w:rsidRPr="00E55613">
          <w:rPr>
            <w:rStyle w:val="TextoNormalCaracter"/>
          </w:rPr>
          <w:t>89/2024</w:t>
        </w:r>
      </w:hyperlink>
      <w:r w:rsidRPr="00E55613">
        <w:rPr>
          <w:rStyle w:val="TextoNormalCaracter"/>
        </w:rPr>
        <w:t>, f. 4, VP I, VP II, VP III.</w:t>
      </w:r>
    </w:p>
    <w:p w14:paraId="3D3999BD" w14:textId="77777777" w:rsidR="00E55613" w:rsidRPr="00E55613" w:rsidRDefault="00E55613" w:rsidP="00E55613">
      <w:pPr>
        <w:pStyle w:val="TextoNormalSangraFrancesa"/>
        <w:rPr>
          <w:rStyle w:val="TextoNormalCaracter"/>
        </w:rPr>
      </w:pPr>
      <w:bookmarkStart w:id="1159" w:name="DESCRIPTORALFABETICO387"/>
      <w:r w:rsidRPr="00E55613">
        <w:rPr>
          <w:rStyle w:val="TextoNormalNegritaCaracter"/>
        </w:rPr>
        <w:t>Reserva de ley tributaria</w:t>
      </w:r>
      <w:bookmarkEnd w:id="1159"/>
      <w:r w:rsidRPr="00E55613">
        <w:rPr>
          <w:rStyle w:val="TextoNormalCaracter"/>
        </w:rPr>
        <w:t xml:space="preserve">, </w:t>
      </w:r>
    </w:p>
    <w:p w14:paraId="3C5307E3" w14:textId="33D3D3AC" w:rsidR="00E55613" w:rsidRPr="00E55613" w:rsidRDefault="00E55613" w:rsidP="00E55613">
      <w:pPr>
        <w:pStyle w:val="TextoNormalSangraFrancesa"/>
        <w:rPr>
          <w:rStyle w:val="TextoNormalCaracter"/>
        </w:rPr>
      </w:pPr>
      <w:r w:rsidRPr="00E55613">
        <w:rPr>
          <w:rStyle w:val="TextoNormalCursivaCaracter"/>
        </w:rPr>
        <w:t xml:space="preserve">    Naturaleza, </w:t>
      </w:r>
      <w:r w:rsidRPr="00E55613">
        <w:rPr>
          <w:rStyle w:val="TextoNormalCaracter"/>
        </w:rPr>
        <w:t xml:space="preserve">Sentencia </w:t>
      </w:r>
      <w:hyperlink w:anchor="SENTENCIA_2024_11" w:history="1">
        <w:r w:rsidRPr="00E55613">
          <w:rPr>
            <w:rStyle w:val="TextoNormalCaracter"/>
          </w:rPr>
          <w:t>11/2024</w:t>
        </w:r>
      </w:hyperlink>
      <w:r w:rsidRPr="00E55613">
        <w:rPr>
          <w:rStyle w:val="TextoNormalCaracter"/>
        </w:rPr>
        <w:t>, f. 2.</w:t>
      </w:r>
    </w:p>
    <w:p w14:paraId="48073D12" w14:textId="212CE209" w:rsidR="00E55613" w:rsidRPr="00E55613" w:rsidRDefault="00E55613" w:rsidP="00E55613">
      <w:pPr>
        <w:pStyle w:val="TextoNormalSangraFrancesa"/>
        <w:rPr>
          <w:rStyle w:val="TextoNormalCaracter"/>
        </w:rPr>
      </w:pPr>
      <w:bookmarkStart w:id="1160" w:name="DESCRIPTORALFABETICO82"/>
      <w:r w:rsidRPr="00E55613">
        <w:rPr>
          <w:rStyle w:val="TextoNormalNegritaCaracter"/>
        </w:rPr>
        <w:t>Resolución fundada en Derecho</w:t>
      </w:r>
      <w:bookmarkEnd w:id="1160"/>
      <w:r w:rsidRPr="00E55613">
        <w:rPr>
          <w:rStyle w:val="TextoNormalCaracter"/>
        </w:rPr>
        <w:t xml:space="preserve">, Sentencias </w:t>
      </w:r>
      <w:hyperlink w:anchor="SENTENCIA_2024_47" w:history="1">
        <w:r w:rsidRPr="00E55613">
          <w:rPr>
            <w:rStyle w:val="TextoNormalCaracter"/>
          </w:rPr>
          <w:t>47/2024</w:t>
        </w:r>
      </w:hyperlink>
      <w:r w:rsidRPr="00E55613">
        <w:rPr>
          <w:rStyle w:val="TextoNormalCaracter"/>
        </w:rPr>
        <w:t xml:space="preserve">, ff. 3 y 4; </w:t>
      </w:r>
      <w:hyperlink w:anchor="SENTENCIA_2024_48" w:history="1">
        <w:r w:rsidRPr="00E55613">
          <w:rPr>
            <w:rStyle w:val="TextoNormalCaracter"/>
          </w:rPr>
          <w:t>48/2024</w:t>
        </w:r>
      </w:hyperlink>
      <w:r w:rsidRPr="00E55613">
        <w:rPr>
          <w:rStyle w:val="TextoNormalCaracter"/>
        </w:rPr>
        <w:t xml:space="preserve">, f. 3; </w:t>
      </w:r>
      <w:hyperlink w:anchor="SENTENCIA_2024_54" w:history="1">
        <w:r w:rsidRPr="00E55613">
          <w:rPr>
            <w:rStyle w:val="TextoNormalCaracter"/>
          </w:rPr>
          <w:t>54/2024</w:t>
        </w:r>
      </w:hyperlink>
      <w:r w:rsidRPr="00E55613">
        <w:rPr>
          <w:rStyle w:val="TextoNormalCaracter"/>
        </w:rPr>
        <w:t xml:space="preserve">, ff. 2 y 3; </w:t>
      </w:r>
      <w:hyperlink w:anchor="SENTENCIA_2024_72" w:history="1">
        <w:r w:rsidRPr="00E55613">
          <w:rPr>
            <w:rStyle w:val="TextoNormalCaracter"/>
          </w:rPr>
          <w:t>72/2024</w:t>
        </w:r>
      </w:hyperlink>
      <w:r w:rsidRPr="00E55613">
        <w:rPr>
          <w:rStyle w:val="TextoNormalCaracter"/>
        </w:rPr>
        <w:t xml:space="preserve">, ff. 1, 3 y 6, VP; </w:t>
      </w:r>
      <w:hyperlink w:anchor="SENTENCIA_2024_77" w:history="1">
        <w:r w:rsidRPr="00E55613">
          <w:rPr>
            <w:rStyle w:val="TextoNormalCaracter"/>
          </w:rPr>
          <w:t>77/2024</w:t>
        </w:r>
      </w:hyperlink>
      <w:r w:rsidRPr="00E55613">
        <w:rPr>
          <w:rStyle w:val="TextoNormalCaracter"/>
        </w:rPr>
        <w:t>, f. 4.</w:t>
      </w:r>
    </w:p>
    <w:p w14:paraId="3BD675E0" w14:textId="1F3789CF" w:rsidR="00E55613" w:rsidRPr="00E55613" w:rsidRDefault="00E55613" w:rsidP="00E55613">
      <w:pPr>
        <w:pStyle w:val="TextoNormalSangraFrancesa"/>
        <w:rPr>
          <w:rStyle w:val="TextoNormalCaracter"/>
        </w:rPr>
      </w:pPr>
      <w:r w:rsidRPr="00E55613">
        <w:rPr>
          <w:rStyle w:val="TextoNormalCursivaCaracter"/>
        </w:rPr>
        <w:t xml:space="preserve">    Vulnerado, </w:t>
      </w:r>
      <w:r w:rsidRPr="00E55613">
        <w:rPr>
          <w:rStyle w:val="TextoNormalCaracter"/>
        </w:rPr>
        <w:t xml:space="preserve">Sentencias </w:t>
      </w:r>
      <w:hyperlink w:anchor="SENTENCIA_2024_27" w:history="1">
        <w:r w:rsidRPr="00E55613">
          <w:rPr>
            <w:rStyle w:val="TextoNormalCaracter"/>
          </w:rPr>
          <w:t>27/2024</w:t>
        </w:r>
      </w:hyperlink>
      <w:r w:rsidRPr="00E55613">
        <w:rPr>
          <w:rStyle w:val="TextoNormalCaracter"/>
        </w:rPr>
        <w:t xml:space="preserve">, f. 4; </w:t>
      </w:r>
      <w:hyperlink w:anchor="SENTENCIA_2024_82" w:history="1">
        <w:r w:rsidRPr="00E55613">
          <w:rPr>
            <w:rStyle w:val="TextoNormalCaracter"/>
          </w:rPr>
          <w:t>82/2024</w:t>
        </w:r>
      </w:hyperlink>
      <w:r w:rsidRPr="00E55613">
        <w:rPr>
          <w:rStyle w:val="TextoNormalCaracter"/>
        </w:rPr>
        <w:t>, ff. 3 y 4.</w:t>
      </w:r>
    </w:p>
    <w:p w14:paraId="76A50978" w14:textId="2581433E" w:rsidR="00E55613" w:rsidRPr="00E55613" w:rsidRDefault="00E55613" w:rsidP="00E55613">
      <w:pPr>
        <w:pStyle w:val="TextoNormalSangraFrancesa"/>
        <w:rPr>
          <w:rStyle w:val="TextoNormalCaracter"/>
        </w:rPr>
      </w:pPr>
      <w:bookmarkStart w:id="1161" w:name="DESCRIPTORALFABETICO419"/>
      <w:r w:rsidRPr="00E55613">
        <w:rPr>
          <w:rStyle w:val="TextoNormalNegritaCaracter"/>
        </w:rPr>
        <w:t>Responsabilidad civil derivada de delito</w:t>
      </w:r>
      <w:bookmarkEnd w:id="1161"/>
      <w:r w:rsidRPr="00E55613">
        <w:rPr>
          <w:rStyle w:val="TextoNormalCaracter"/>
        </w:rPr>
        <w:t xml:space="preserve">, Sentencias </w:t>
      </w:r>
      <w:hyperlink w:anchor="SENTENCIA_2024_39" w:history="1">
        <w:r w:rsidRPr="00E55613">
          <w:rPr>
            <w:rStyle w:val="TextoNormalCaracter"/>
          </w:rPr>
          <w:t>39/2024</w:t>
        </w:r>
      </w:hyperlink>
      <w:r w:rsidRPr="00E55613">
        <w:rPr>
          <w:rStyle w:val="TextoNormalCaracter"/>
        </w:rPr>
        <w:t xml:space="preserve">, f. 1; </w:t>
      </w:r>
      <w:hyperlink w:anchor="SENTENCIA_2024_70" w:history="1">
        <w:r w:rsidRPr="00E55613">
          <w:rPr>
            <w:rStyle w:val="TextoNormalCaracter"/>
          </w:rPr>
          <w:t>70/2024</w:t>
        </w:r>
      </w:hyperlink>
      <w:r w:rsidRPr="00E55613">
        <w:rPr>
          <w:rStyle w:val="TextoNormalCaracter"/>
        </w:rPr>
        <w:t xml:space="preserve">, f. 1; </w:t>
      </w:r>
      <w:hyperlink w:anchor="SENTENCIA_2024_78" w:history="1">
        <w:r w:rsidRPr="00E55613">
          <w:rPr>
            <w:rStyle w:val="TextoNormalCaracter"/>
          </w:rPr>
          <w:t>78/2024</w:t>
        </w:r>
      </w:hyperlink>
      <w:r w:rsidRPr="00E55613">
        <w:rPr>
          <w:rStyle w:val="TextoNormalCaracter"/>
        </w:rPr>
        <w:t>, f. único.</w:t>
      </w:r>
    </w:p>
    <w:p w14:paraId="08EEB88E" w14:textId="1A94AC9C" w:rsidR="00E55613" w:rsidRPr="00E55613" w:rsidRDefault="00E55613" w:rsidP="00E55613">
      <w:pPr>
        <w:pStyle w:val="TextoNormalSangraFrancesa"/>
        <w:rPr>
          <w:rStyle w:val="TextoNormalCaracter"/>
        </w:rPr>
      </w:pPr>
      <w:bookmarkStart w:id="1162" w:name="DESCRIPTORALFABETICO459"/>
      <w:r w:rsidRPr="00E55613">
        <w:rPr>
          <w:rStyle w:val="TextoNormalNegritaCaracter"/>
        </w:rPr>
        <w:t>Retroacción de actuaciones judiciales</w:t>
      </w:r>
      <w:bookmarkEnd w:id="1162"/>
      <w:r w:rsidRPr="00E55613">
        <w:rPr>
          <w:rStyle w:val="TextoNormalCaracter"/>
        </w:rPr>
        <w:t xml:space="preserve">, Sentencia </w:t>
      </w:r>
      <w:hyperlink w:anchor="SENTENCIA_2024_9" w:history="1">
        <w:r w:rsidRPr="00E55613">
          <w:rPr>
            <w:rStyle w:val="TextoNormalCaracter"/>
          </w:rPr>
          <w:t>9/2024</w:t>
        </w:r>
      </w:hyperlink>
      <w:r w:rsidRPr="00E55613">
        <w:rPr>
          <w:rStyle w:val="TextoNormalCaracter"/>
        </w:rPr>
        <w:t>, ff. 1 y 5, VP II.</w:t>
      </w:r>
    </w:p>
    <w:p w14:paraId="122DB79E" w14:textId="6C697389" w:rsidR="00E55613" w:rsidRPr="00E55613" w:rsidRDefault="00E55613" w:rsidP="00E55613">
      <w:pPr>
        <w:pStyle w:val="TextoNormalSangraFrancesa"/>
        <w:rPr>
          <w:rStyle w:val="TextoNormalCaracter"/>
        </w:rPr>
      </w:pPr>
      <w:bookmarkStart w:id="1163" w:name="DESCRIPTORALFABETICO464"/>
      <w:r w:rsidRPr="00E55613">
        <w:rPr>
          <w:rStyle w:val="TextoNormalNegritaCaracter"/>
        </w:rPr>
        <w:t>Revisión de diligencias de ordenación</w:t>
      </w:r>
      <w:bookmarkEnd w:id="1163"/>
      <w:r w:rsidRPr="00E55613">
        <w:rPr>
          <w:rStyle w:val="TextoNormalCaracter"/>
        </w:rPr>
        <w:t xml:space="preserve">, Autos </w:t>
      </w:r>
      <w:hyperlink w:anchor="AUTO_2024_8" w:history="1">
        <w:r w:rsidRPr="00E55613">
          <w:rPr>
            <w:rStyle w:val="TextoNormalCaracter"/>
          </w:rPr>
          <w:t>8/2024</w:t>
        </w:r>
      </w:hyperlink>
      <w:r w:rsidRPr="00E55613">
        <w:rPr>
          <w:rStyle w:val="TextoNormalCaracter"/>
        </w:rPr>
        <w:t xml:space="preserve">, f. 1; </w:t>
      </w:r>
      <w:hyperlink w:anchor="AUTO_2024_17" w:history="1">
        <w:r w:rsidRPr="00E55613">
          <w:rPr>
            <w:rStyle w:val="TextoNormalCaracter"/>
          </w:rPr>
          <w:t>17/2024</w:t>
        </w:r>
      </w:hyperlink>
      <w:r w:rsidRPr="00E55613">
        <w:rPr>
          <w:rStyle w:val="TextoNormalCaracter"/>
        </w:rPr>
        <w:t>, f. 1.</w:t>
      </w:r>
    </w:p>
    <w:p w14:paraId="510AFCF1" w14:textId="5CFB74C8" w:rsidR="00E55613" w:rsidRPr="00E55613" w:rsidRDefault="00E55613" w:rsidP="00E55613">
      <w:pPr>
        <w:pStyle w:val="TextoNormalSangraFrancesa"/>
        <w:rPr>
          <w:rStyle w:val="TextoNormalCaracter"/>
        </w:rPr>
      </w:pPr>
      <w:bookmarkStart w:id="1164" w:name="DESCRIPTORALFABETICO516"/>
      <w:r w:rsidRPr="00E55613">
        <w:rPr>
          <w:rStyle w:val="TextoNormalNegritaCaracter"/>
        </w:rPr>
        <w:t>Revocación de sentencia absolutoria</w:t>
      </w:r>
      <w:bookmarkEnd w:id="1164"/>
      <w:r w:rsidRPr="00E55613">
        <w:rPr>
          <w:rStyle w:val="TextoNormalCaracter"/>
        </w:rPr>
        <w:t xml:space="preserve">, Sentencias </w:t>
      </w:r>
      <w:hyperlink w:anchor="SENTENCIA_2024_72" w:history="1">
        <w:r w:rsidRPr="00E55613">
          <w:rPr>
            <w:rStyle w:val="TextoNormalCaracter"/>
          </w:rPr>
          <w:t>72/2024</w:t>
        </w:r>
      </w:hyperlink>
      <w:r w:rsidRPr="00E55613">
        <w:rPr>
          <w:rStyle w:val="TextoNormalCaracter"/>
        </w:rPr>
        <w:t xml:space="preserve">, ff. 1, 3 y 6, VP; </w:t>
      </w:r>
      <w:hyperlink w:anchor="SENTENCIA_2024_77" w:history="1">
        <w:r w:rsidRPr="00E55613">
          <w:rPr>
            <w:rStyle w:val="TextoNormalCaracter"/>
          </w:rPr>
          <w:t>77/2024</w:t>
        </w:r>
      </w:hyperlink>
      <w:r w:rsidRPr="00E55613">
        <w:rPr>
          <w:rStyle w:val="TextoNormalCaracter"/>
        </w:rPr>
        <w:t>, f. 4.</w:t>
      </w:r>
    </w:p>
    <w:p w14:paraId="32F79C6B" w14:textId="17A5DC8E" w:rsidR="00E55613" w:rsidRDefault="00E55613" w:rsidP="00E55613">
      <w:pPr>
        <w:pStyle w:val="TextoNormalSangraFrancesa"/>
      </w:pPr>
    </w:p>
    <w:p w14:paraId="09EBB548" w14:textId="77777777" w:rsidR="00E55613" w:rsidRDefault="00E55613" w:rsidP="00E55613">
      <w:pPr>
        <w:pStyle w:val="TextoNormalSangraFrancesa"/>
      </w:pPr>
    </w:p>
    <w:p w14:paraId="155E0200" w14:textId="77777777" w:rsidR="00E55613" w:rsidRDefault="00E55613" w:rsidP="00E55613">
      <w:pPr>
        <w:pStyle w:val="TextoNormalNegritaCentrado"/>
      </w:pPr>
      <w:r>
        <w:t>S</w:t>
      </w:r>
    </w:p>
    <w:p w14:paraId="14884C51" w14:textId="4BE46E08" w:rsidR="00E55613" w:rsidRDefault="00E55613" w:rsidP="00E55613">
      <w:pPr>
        <w:pStyle w:val="TextoNormalNegritaCentrado"/>
      </w:pPr>
    </w:p>
    <w:p w14:paraId="5334CF22" w14:textId="4E61D96A" w:rsidR="00E55613" w:rsidRPr="00E55613" w:rsidRDefault="00E55613" w:rsidP="00E55613">
      <w:pPr>
        <w:pStyle w:val="TextoNormalSangraFrancesa"/>
        <w:rPr>
          <w:rStyle w:val="TextoNormalCaracter"/>
        </w:rPr>
      </w:pPr>
      <w:bookmarkStart w:id="1165" w:name="DESCRIPTORALFABETICO440"/>
      <w:r w:rsidRPr="00E55613">
        <w:rPr>
          <w:rStyle w:val="TextoNormalNegritaCaracter"/>
        </w:rPr>
        <w:t>Salarios de tramitación</w:t>
      </w:r>
      <w:bookmarkEnd w:id="1165"/>
      <w:r w:rsidRPr="00E55613">
        <w:rPr>
          <w:rStyle w:val="TextoNormalCaracter"/>
        </w:rPr>
        <w:t xml:space="preserve">, Sentencia </w:t>
      </w:r>
      <w:hyperlink w:anchor="SENTENCIA_2024_22" w:history="1">
        <w:r w:rsidRPr="00E55613">
          <w:rPr>
            <w:rStyle w:val="TextoNormalCaracter"/>
          </w:rPr>
          <w:t>22/2024</w:t>
        </w:r>
      </w:hyperlink>
      <w:r w:rsidRPr="00E55613">
        <w:rPr>
          <w:rStyle w:val="TextoNormalCaracter"/>
        </w:rPr>
        <w:t>, f. 1.</w:t>
      </w:r>
    </w:p>
    <w:p w14:paraId="1093E640" w14:textId="6B329785" w:rsidR="00E55613" w:rsidRPr="00E55613" w:rsidRDefault="00E55613" w:rsidP="00E55613">
      <w:pPr>
        <w:pStyle w:val="TextoNormalSangraFrancesa"/>
        <w:rPr>
          <w:rStyle w:val="TextoNormalCaracter"/>
        </w:rPr>
      </w:pPr>
      <w:bookmarkStart w:id="1166" w:name="DESCRIPTORALFABETICO148"/>
      <w:r w:rsidRPr="00E55613">
        <w:rPr>
          <w:rStyle w:val="TextoNormalNegritaCaracter"/>
        </w:rPr>
        <w:t>Satisfacción extraprocesal de la pretensión constitucional</w:t>
      </w:r>
      <w:bookmarkEnd w:id="1166"/>
      <w:r w:rsidRPr="00E55613">
        <w:rPr>
          <w:rStyle w:val="TextoNormalCaracter"/>
        </w:rPr>
        <w:t xml:space="preserve">, Sentencias </w:t>
      </w:r>
      <w:hyperlink w:anchor="SENTENCIA_2024_31" w:history="1">
        <w:r w:rsidRPr="00E55613">
          <w:rPr>
            <w:rStyle w:val="TextoNormalCaracter"/>
          </w:rPr>
          <w:t>31/2024</w:t>
        </w:r>
      </w:hyperlink>
      <w:r w:rsidRPr="00E55613">
        <w:rPr>
          <w:rStyle w:val="TextoNormalCaracter"/>
        </w:rPr>
        <w:t xml:space="preserve">, f. único; </w:t>
      </w:r>
      <w:hyperlink w:anchor="SENTENCIA_2024_45" w:history="1">
        <w:r w:rsidRPr="00E55613">
          <w:rPr>
            <w:rStyle w:val="TextoNormalCaracter"/>
          </w:rPr>
          <w:t>45/2024</w:t>
        </w:r>
      </w:hyperlink>
      <w:r w:rsidRPr="00E55613">
        <w:rPr>
          <w:rStyle w:val="TextoNormalCaracter"/>
        </w:rPr>
        <w:t xml:space="preserve">, f. 2; </w:t>
      </w:r>
      <w:hyperlink w:anchor="SENTENCIA_2024_64" w:history="1">
        <w:r w:rsidRPr="00E55613">
          <w:rPr>
            <w:rStyle w:val="TextoNormalCaracter"/>
          </w:rPr>
          <w:t>64/2024</w:t>
        </w:r>
      </w:hyperlink>
      <w:r w:rsidRPr="00E55613">
        <w:rPr>
          <w:rStyle w:val="TextoNormalCaracter"/>
        </w:rPr>
        <w:t>, f. único.</w:t>
      </w:r>
    </w:p>
    <w:p w14:paraId="5FB1B039" w14:textId="0C8530AF" w:rsidR="00E55613" w:rsidRPr="00E55613" w:rsidRDefault="00E55613" w:rsidP="00E55613">
      <w:pPr>
        <w:pStyle w:val="TextoNormalSangraFrancesa"/>
        <w:rPr>
          <w:rStyle w:val="TextoNormalCaracter"/>
        </w:rPr>
      </w:pPr>
      <w:bookmarkStart w:id="1167" w:name="DESCRIPTORALFABETICO441"/>
      <w:r w:rsidRPr="00E55613">
        <w:rPr>
          <w:rStyle w:val="TextoNormalNegritaCaracter"/>
        </w:rPr>
        <w:t>Seguridad vial</w:t>
      </w:r>
      <w:bookmarkEnd w:id="1167"/>
      <w:r w:rsidRPr="00E55613">
        <w:rPr>
          <w:rStyle w:val="TextoNormalCaracter"/>
        </w:rPr>
        <w:t xml:space="preserve">, Sentencia </w:t>
      </w:r>
      <w:hyperlink w:anchor="SENTENCIA_2024_40" w:history="1">
        <w:r w:rsidRPr="00E55613">
          <w:rPr>
            <w:rStyle w:val="TextoNormalCaracter"/>
          </w:rPr>
          <w:t>40/2024</w:t>
        </w:r>
      </w:hyperlink>
      <w:r w:rsidRPr="00E55613">
        <w:rPr>
          <w:rStyle w:val="TextoNormalCaracter"/>
        </w:rPr>
        <w:t>, ff. 1 a 5.</w:t>
      </w:r>
    </w:p>
    <w:p w14:paraId="47C2005F" w14:textId="1EDFB8F4" w:rsidR="00E55613" w:rsidRPr="00E55613" w:rsidRDefault="00E55613" w:rsidP="00E55613">
      <w:pPr>
        <w:pStyle w:val="TextoNormalSangraFrancesa"/>
        <w:rPr>
          <w:rStyle w:val="TextoNormalCaracter"/>
        </w:rPr>
      </w:pPr>
      <w:bookmarkStart w:id="1168" w:name="DESCRIPTORALFABETICO379"/>
      <w:r w:rsidRPr="00E55613">
        <w:rPr>
          <w:rStyle w:val="TextoNormalNegritaCaracter"/>
        </w:rPr>
        <w:t>Selección arbitraria de la norma</w:t>
      </w:r>
      <w:bookmarkEnd w:id="1168"/>
      <w:r w:rsidRPr="00E55613">
        <w:rPr>
          <w:rStyle w:val="TextoNormalCaracter"/>
        </w:rPr>
        <w:t xml:space="preserve">, Sentencia </w:t>
      </w:r>
      <w:hyperlink w:anchor="SENTENCIA_2024_27" w:history="1">
        <w:r w:rsidRPr="00E55613">
          <w:rPr>
            <w:rStyle w:val="TextoNormalCaracter"/>
          </w:rPr>
          <w:t>27/2024</w:t>
        </w:r>
      </w:hyperlink>
      <w:r w:rsidRPr="00E55613">
        <w:rPr>
          <w:rStyle w:val="TextoNormalCaracter"/>
        </w:rPr>
        <w:t>, f. 3.</w:t>
      </w:r>
    </w:p>
    <w:p w14:paraId="64966F90" w14:textId="1E450451" w:rsidR="00E55613" w:rsidRPr="00E55613" w:rsidRDefault="00E55613" w:rsidP="00E55613">
      <w:pPr>
        <w:pStyle w:val="TextoNormalSangraFrancesa"/>
        <w:rPr>
          <w:rStyle w:val="TextoNormalCaracter"/>
        </w:rPr>
      </w:pPr>
      <w:bookmarkStart w:id="1169" w:name="DESCRIPTORALFABETICO354"/>
      <w:r w:rsidRPr="00E55613">
        <w:rPr>
          <w:rStyle w:val="TextoNormalNegritaCaracter"/>
        </w:rPr>
        <w:t>Selección e interpretación del Derecho de la Unión Europea por el Juez nacional</w:t>
      </w:r>
      <w:bookmarkEnd w:id="1169"/>
      <w:r w:rsidRPr="00E55613">
        <w:rPr>
          <w:rStyle w:val="TextoNormalCaracter"/>
        </w:rPr>
        <w:t xml:space="preserve">, Sentencia </w:t>
      </w:r>
      <w:hyperlink w:anchor="SENTENCIA_2024_27" w:history="1">
        <w:r w:rsidRPr="00E55613">
          <w:rPr>
            <w:rStyle w:val="TextoNormalCaracter"/>
          </w:rPr>
          <w:t>27/2024</w:t>
        </w:r>
      </w:hyperlink>
      <w:r w:rsidRPr="00E55613">
        <w:rPr>
          <w:rStyle w:val="TextoNormalCaracter"/>
        </w:rPr>
        <w:t>, f. 3.</w:t>
      </w:r>
    </w:p>
    <w:p w14:paraId="2ABB3AE1" w14:textId="1EFA553B" w:rsidR="00E55613" w:rsidRPr="00E55613" w:rsidRDefault="00E55613" w:rsidP="00E55613">
      <w:pPr>
        <w:pStyle w:val="TextoNormalSangraFrancesa"/>
        <w:rPr>
          <w:rStyle w:val="TextoNormalCaracter"/>
        </w:rPr>
      </w:pPr>
      <w:bookmarkStart w:id="1170" w:name="DESCRIPTORALFABETICO515"/>
      <w:r w:rsidRPr="00E55613">
        <w:rPr>
          <w:rStyle w:val="TextoNormalNegritaCaracter"/>
        </w:rPr>
        <w:t>Sentencia penal firme</w:t>
      </w:r>
      <w:bookmarkEnd w:id="1170"/>
      <w:r w:rsidRPr="00E55613">
        <w:rPr>
          <w:rStyle w:val="TextoNormalCaracter"/>
        </w:rPr>
        <w:t xml:space="preserve">, Sentencia </w:t>
      </w:r>
      <w:hyperlink w:anchor="SENTENCIA_2024_62" w:history="1">
        <w:r w:rsidRPr="00E55613">
          <w:rPr>
            <w:rStyle w:val="TextoNormalCaracter"/>
          </w:rPr>
          <w:t>62/2024</w:t>
        </w:r>
      </w:hyperlink>
      <w:r w:rsidRPr="00E55613">
        <w:rPr>
          <w:rStyle w:val="TextoNormalCaracter"/>
        </w:rPr>
        <w:t>, f. 2.</w:t>
      </w:r>
    </w:p>
    <w:p w14:paraId="745FF78B" w14:textId="58ABE62F" w:rsidR="00E55613" w:rsidRPr="00E55613" w:rsidRDefault="00E55613" w:rsidP="00E55613">
      <w:pPr>
        <w:pStyle w:val="TextoNormalSangraFrancesa"/>
        <w:rPr>
          <w:rStyle w:val="TextoNormalCaracter"/>
        </w:rPr>
      </w:pPr>
      <w:bookmarkStart w:id="1171" w:name="DESCRIPTORALFABETICO278"/>
      <w:r w:rsidRPr="00E55613">
        <w:rPr>
          <w:rStyle w:val="TextoNormalNegritaCaracter"/>
        </w:rPr>
        <w:t>Separación de poderes</w:t>
      </w:r>
      <w:bookmarkEnd w:id="1171"/>
      <w:r w:rsidRPr="00E55613">
        <w:rPr>
          <w:rStyle w:val="TextoNormalCaracter"/>
        </w:rPr>
        <w:t xml:space="preserve">, Sentencias </w:t>
      </w:r>
      <w:hyperlink w:anchor="SENTENCIA_2024_15" w:history="1">
        <w:r w:rsidRPr="00E55613">
          <w:rPr>
            <w:rStyle w:val="TextoNormalCaracter"/>
          </w:rPr>
          <w:t>15/2024</w:t>
        </w:r>
      </w:hyperlink>
      <w:r w:rsidRPr="00E55613">
        <w:rPr>
          <w:rStyle w:val="TextoNormalCaracter"/>
        </w:rPr>
        <w:t xml:space="preserve">, ff. 4 y 5; </w:t>
      </w:r>
      <w:hyperlink w:anchor="SENTENCIA_2024_93" w:history="1">
        <w:r w:rsidRPr="00E55613">
          <w:rPr>
            <w:rStyle w:val="TextoNormalCaracter"/>
          </w:rPr>
          <w:t>93/2024</w:t>
        </w:r>
      </w:hyperlink>
      <w:r w:rsidRPr="00E55613">
        <w:rPr>
          <w:rStyle w:val="TextoNormalCaracter"/>
        </w:rPr>
        <w:t>, f. 4.</w:t>
      </w:r>
    </w:p>
    <w:p w14:paraId="6022045E" w14:textId="7E85B2C3" w:rsidR="00E55613" w:rsidRPr="00E55613" w:rsidRDefault="00E55613" w:rsidP="00E55613">
      <w:pPr>
        <w:pStyle w:val="TextoNormalSangraFrancesa"/>
        <w:rPr>
          <w:rStyle w:val="TextoNormalCaracter"/>
        </w:rPr>
      </w:pPr>
      <w:bookmarkStart w:id="1172" w:name="DESCRIPTORALFABETICO301"/>
      <w:r w:rsidRPr="00E55613">
        <w:rPr>
          <w:rStyle w:val="TextoNormalNegritaCaracter"/>
        </w:rPr>
        <w:t>Servidumbre de protección de costas</w:t>
      </w:r>
      <w:bookmarkEnd w:id="1172"/>
      <w:r w:rsidRPr="00E55613">
        <w:rPr>
          <w:rStyle w:val="TextoNormalCaracter"/>
        </w:rPr>
        <w:t xml:space="preserve">, Sentencias </w:t>
      </w:r>
      <w:hyperlink w:anchor="SENTENCIA_2024_68" w:history="1">
        <w:r w:rsidRPr="00E55613">
          <w:rPr>
            <w:rStyle w:val="TextoNormalCaracter"/>
          </w:rPr>
          <w:t>68/2024</w:t>
        </w:r>
      </w:hyperlink>
      <w:r w:rsidRPr="00E55613">
        <w:rPr>
          <w:rStyle w:val="TextoNormalCaracter"/>
        </w:rPr>
        <w:t xml:space="preserve">, ff. 6 a 8, 10, 11; </w:t>
      </w:r>
      <w:hyperlink w:anchor="SENTENCIA_2024_76" w:history="1">
        <w:r w:rsidRPr="00E55613">
          <w:rPr>
            <w:rStyle w:val="TextoNormalCaracter"/>
          </w:rPr>
          <w:t>76/2024</w:t>
        </w:r>
      </w:hyperlink>
      <w:r w:rsidRPr="00E55613">
        <w:rPr>
          <w:rStyle w:val="TextoNormalCaracter"/>
        </w:rPr>
        <w:t>, f. 3, VP.</w:t>
      </w:r>
    </w:p>
    <w:p w14:paraId="663BC495" w14:textId="23C8B6E4" w:rsidR="00E55613" w:rsidRPr="00E55613" w:rsidRDefault="00E55613" w:rsidP="00E55613">
      <w:pPr>
        <w:pStyle w:val="TextoNormalSangraFrancesa"/>
        <w:rPr>
          <w:rStyle w:val="TextoNormalCaracter"/>
        </w:rPr>
      </w:pPr>
      <w:bookmarkStart w:id="1173" w:name="DESCRIPTORALFABETICO433"/>
      <w:r w:rsidRPr="00E55613">
        <w:rPr>
          <w:rStyle w:val="TextoNormalNegritaCaracter"/>
        </w:rPr>
        <w:t>Sindicatos más representativos</w:t>
      </w:r>
      <w:bookmarkEnd w:id="1173"/>
      <w:r w:rsidRPr="00E55613">
        <w:rPr>
          <w:rStyle w:val="TextoNormalCaracter"/>
        </w:rPr>
        <w:t xml:space="preserve">, Sentencia </w:t>
      </w:r>
      <w:hyperlink w:anchor="SENTENCIA_2024_63" w:history="1">
        <w:r w:rsidRPr="00E55613">
          <w:rPr>
            <w:rStyle w:val="TextoNormalCaracter"/>
          </w:rPr>
          <w:t>63/2024</w:t>
        </w:r>
      </w:hyperlink>
      <w:r w:rsidRPr="00E55613">
        <w:rPr>
          <w:rStyle w:val="TextoNormalCaracter"/>
        </w:rPr>
        <w:t>, ff. 1, 4, 5.</w:t>
      </w:r>
    </w:p>
    <w:p w14:paraId="23B3A480" w14:textId="4FE792DF" w:rsidR="00E55613" w:rsidRPr="00E55613" w:rsidRDefault="00E55613" w:rsidP="00E55613">
      <w:pPr>
        <w:pStyle w:val="TextoNormalSangraFrancesa"/>
        <w:rPr>
          <w:rStyle w:val="TextoNormalCaracter"/>
        </w:rPr>
      </w:pPr>
      <w:bookmarkStart w:id="1174" w:name="DESCRIPTORALFABETICO310"/>
      <w:r w:rsidRPr="00E55613">
        <w:rPr>
          <w:rStyle w:val="TextoNormalNegritaCaracter"/>
        </w:rPr>
        <w:t>Sistema dual en centros formativos y en empresas</w:t>
      </w:r>
      <w:bookmarkEnd w:id="1174"/>
      <w:r w:rsidRPr="00E55613">
        <w:rPr>
          <w:rStyle w:val="TextoNormalCaracter"/>
        </w:rPr>
        <w:t xml:space="preserve">, Sentencia </w:t>
      </w:r>
      <w:hyperlink w:anchor="SENTENCIA_2024_63" w:history="1">
        <w:r w:rsidRPr="00E55613">
          <w:rPr>
            <w:rStyle w:val="TextoNormalCaracter"/>
          </w:rPr>
          <w:t>63/2024</w:t>
        </w:r>
      </w:hyperlink>
      <w:r w:rsidRPr="00E55613">
        <w:rPr>
          <w:rStyle w:val="TextoNormalCaracter"/>
        </w:rPr>
        <w:t>, ff. 3 y 5.</w:t>
      </w:r>
    </w:p>
    <w:p w14:paraId="03DE6FFB" w14:textId="181B63D3" w:rsidR="00E55613" w:rsidRPr="00E55613" w:rsidRDefault="00E55613" w:rsidP="00E55613">
      <w:pPr>
        <w:pStyle w:val="TextoNormalSangraFrancesa"/>
        <w:rPr>
          <w:rStyle w:val="TextoNormalCaracter"/>
        </w:rPr>
      </w:pPr>
      <w:bookmarkStart w:id="1175" w:name="DESCRIPTORALFABETICO465"/>
      <w:r w:rsidRPr="00E55613">
        <w:rPr>
          <w:rStyle w:val="TextoNormalNegritaCaracter"/>
        </w:rPr>
        <w:t>Sistemas de imposición de costas</w:t>
      </w:r>
      <w:bookmarkEnd w:id="1175"/>
      <w:r w:rsidRPr="00E55613">
        <w:rPr>
          <w:rStyle w:val="TextoNormalCaracter"/>
        </w:rPr>
        <w:t xml:space="preserve">, Sentencia </w:t>
      </w:r>
      <w:hyperlink w:anchor="SENTENCIA_2024_54" w:history="1">
        <w:r w:rsidRPr="00E55613">
          <w:rPr>
            <w:rStyle w:val="TextoNormalCaracter"/>
          </w:rPr>
          <w:t>54/2024</w:t>
        </w:r>
      </w:hyperlink>
      <w:r w:rsidRPr="00E55613">
        <w:rPr>
          <w:rStyle w:val="TextoNormalCaracter"/>
        </w:rPr>
        <w:t>, ff. 1 a 3.</w:t>
      </w:r>
    </w:p>
    <w:p w14:paraId="3F483407" w14:textId="1588357C" w:rsidR="00E55613" w:rsidRPr="00E55613" w:rsidRDefault="00E55613" w:rsidP="00E55613">
      <w:pPr>
        <w:pStyle w:val="TextoNormalSangraFrancesa"/>
        <w:rPr>
          <w:rStyle w:val="TextoNormalCaracter"/>
        </w:rPr>
      </w:pPr>
      <w:bookmarkStart w:id="1176" w:name="DESCRIPTORALFABETICO497"/>
      <w:r w:rsidRPr="00E55613">
        <w:rPr>
          <w:rStyle w:val="TextoNormalNegritaCaracter"/>
        </w:rPr>
        <w:t>Sobreseimiento provisional</w:t>
      </w:r>
      <w:bookmarkEnd w:id="1176"/>
      <w:r w:rsidRPr="00E55613">
        <w:rPr>
          <w:rStyle w:val="TextoNormalCaracter"/>
        </w:rPr>
        <w:t xml:space="preserve">, Sentencias </w:t>
      </w:r>
      <w:hyperlink w:anchor="SENTENCIA_2024_1" w:history="1">
        <w:r w:rsidRPr="00E55613">
          <w:rPr>
            <w:rStyle w:val="TextoNormalCaracter"/>
          </w:rPr>
          <w:t>1/2024</w:t>
        </w:r>
      </w:hyperlink>
      <w:r w:rsidRPr="00E55613">
        <w:rPr>
          <w:rStyle w:val="TextoNormalCaracter"/>
        </w:rPr>
        <w:t xml:space="preserve">, ff. 2 a 5; </w:t>
      </w:r>
      <w:hyperlink w:anchor="SENTENCIA_2024_33" w:history="1">
        <w:r w:rsidRPr="00E55613">
          <w:rPr>
            <w:rStyle w:val="TextoNormalCaracter"/>
          </w:rPr>
          <w:t>33/2024</w:t>
        </w:r>
      </w:hyperlink>
      <w:r w:rsidRPr="00E55613">
        <w:rPr>
          <w:rStyle w:val="TextoNormalCaracter"/>
        </w:rPr>
        <w:t>, ff. 1 a 5.</w:t>
      </w:r>
    </w:p>
    <w:p w14:paraId="42909302" w14:textId="579D7224" w:rsidR="00E55613" w:rsidRPr="00E55613" w:rsidRDefault="00E55613" w:rsidP="00E55613">
      <w:pPr>
        <w:pStyle w:val="TextoNormalSangraFrancesa"/>
        <w:rPr>
          <w:rStyle w:val="TextoNormalCaracter"/>
        </w:rPr>
      </w:pPr>
      <w:bookmarkStart w:id="1177" w:name="DESCRIPTORALFABETICO467"/>
      <w:r w:rsidRPr="00E55613">
        <w:rPr>
          <w:rStyle w:val="TextoNormalNegritaCaracter"/>
        </w:rPr>
        <w:t>Subsanación de defectos procesales</w:t>
      </w:r>
      <w:bookmarkEnd w:id="1177"/>
      <w:r w:rsidRPr="00E55613">
        <w:rPr>
          <w:rStyle w:val="TextoNormalCaracter"/>
        </w:rPr>
        <w:t xml:space="preserve">, Sentencia </w:t>
      </w:r>
      <w:hyperlink w:anchor="SENTENCIA_2024_55" w:history="1">
        <w:r w:rsidRPr="00E55613">
          <w:rPr>
            <w:rStyle w:val="TextoNormalCaracter"/>
          </w:rPr>
          <w:t>55/2024</w:t>
        </w:r>
      </w:hyperlink>
      <w:r w:rsidRPr="00E55613">
        <w:rPr>
          <w:rStyle w:val="TextoNormalCaracter"/>
        </w:rPr>
        <w:t>, ff. 1, 3 y 4.</w:t>
      </w:r>
    </w:p>
    <w:p w14:paraId="5932DF53" w14:textId="643EE261" w:rsidR="00E55613" w:rsidRPr="00E55613" w:rsidRDefault="00E55613" w:rsidP="00E55613">
      <w:pPr>
        <w:pStyle w:val="TextoNormalSangraFrancesa"/>
        <w:rPr>
          <w:rStyle w:val="TextoNormalCaracter"/>
        </w:rPr>
      </w:pPr>
      <w:bookmarkStart w:id="1178" w:name="DESCRIPTORALFABETICO475"/>
      <w:r w:rsidRPr="00E55613">
        <w:rPr>
          <w:rStyle w:val="TextoNormalNegritaCaracter"/>
        </w:rPr>
        <w:t>Subsunción de hechos probados</w:t>
      </w:r>
      <w:bookmarkEnd w:id="1178"/>
      <w:r w:rsidRPr="00E55613">
        <w:rPr>
          <w:rStyle w:val="TextoNormalCaracter"/>
        </w:rPr>
        <w:t xml:space="preserve">, Sentencia </w:t>
      </w:r>
      <w:hyperlink w:anchor="SENTENCIA_2024_93" w:history="1">
        <w:r w:rsidRPr="00E55613">
          <w:rPr>
            <w:rStyle w:val="TextoNormalCaracter"/>
          </w:rPr>
          <w:t>93/2024</w:t>
        </w:r>
      </w:hyperlink>
      <w:r w:rsidRPr="00E55613">
        <w:rPr>
          <w:rStyle w:val="TextoNormalCaracter"/>
        </w:rPr>
        <w:t>, f. 4, VP I.</w:t>
      </w:r>
    </w:p>
    <w:p w14:paraId="0D3BB3D3" w14:textId="509A57BE" w:rsidR="00E55613" w:rsidRPr="00E55613" w:rsidRDefault="00E55613" w:rsidP="00E55613">
      <w:pPr>
        <w:pStyle w:val="TextoNormalSangraFrancesa"/>
        <w:rPr>
          <w:rStyle w:val="TextoNormalCaracter"/>
        </w:rPr>
      </w:pPr>
      <w:bookmarkStart w:id="1179" w:name="DESCRIPTORALFABETICO326"/>
      <w:r w:rsidRPr="00E55613">
        <w:rPr>
          <w:rStyle w:val="TextoNormalNegritaCaracter"/>
        </w:rPr>
        <w:t>Subvenciones públicas</w:t>
      </w:r>
      <w:bookmarkEnd w:id="1179"/>
      <w:r w:rsidRPr="00E55613">
        <w:rPr>
          <w:rStyle w:val="TextoNormalCaracter"/>
        </w:rPr>
        <w:t xml:space="preserve">, Sentencia </w:t>
      </w:r>
      <w:hyperlink w:anchor="SENTENCIA_2024_93" w:history="1">
        <w:r w:rsidRPr="00E55613">
          <w:rPr>
            <w:rStyle w:val="TextoNormalCaracter"/>
          </w:rPr>
          <w:t>93/2024</w:t>
        </w:r>
      </w:hyperlink>
      <w:r w:rsidRPr="00E55613">
        <w:rPr>
          <w:rStyle w:val="TextoNormalCaracter"/>
        </w:rPr>
        <w:t>, f. 1, VP I, VP II.</w:t>
      </w:r>
    </w:p>
    <w:p w14:paraId="062B44BA" w14:textId="1CD58D12" w:rsidR="00E55613" w:rsidRPr="00E55613" w:rsidRDefault="00E55613" w:rsidP="00E55613">
      <w:pPr>
        <w:pStyle w:val="TextoNormalSangraFrancesa"/>
        <w:rPr>
          <w:rStyle w:val="TextoNormalCaracter"/>
        </w:rPr>
      </w:pPr>
      <w:bookmarkStart w:id="1180" w:name="DESCRIPTORALFABETICO349"/>
      <w:r w:rsidRPr="00E55613">
        <w:rPr>
          <w:rStyle w:val="TextoNormalNegritaCaracter"/>
        </w:rPr>
        <w:t>Suelo rural</w:t>
      </w:r>
      <w:bookmarkEnd w:id="1180"/>
      <w:r w:rsidRPr="00E55613">
        <w:rPr>
          <w:rStyle w:val="TextoNormalCaracter"/>
        </w:rPr>
        <w:t xml:space="preserve">, Sentencia </w:t>
      </w:r>
      <w:hyperlink w:anchor="SENTENCIA_2024_25" w:history="1">
        <w:r w:rsidRPr="00E55613">
          <w:rPr>
            <w:rStyle w:val="TextoNormalCaracter"/>
          </w:rPr>
          <w:t>25/2024</w:t>
        </w:r>
      </w:hyperlink>
      <w:r w:rsidRPr="00E55613">
        <w:rPr>
          <w:rStyle w:val="TextoNormalCaracter"/>
        </w:rPr>
        <w:t>, ff. 6 y 7.</w:t>
      </w:r>
    </w:p>
    <w:p w14:paraId="130EBC4D" w14:textId="2D8A02E4" w:rsidR="00E55613" w:rsidRPr="00E55613" w:rsidRDefault="00E55613" w:rsidP="00E55613">
      <w:pPr>
        <w:pStyle w:val="TextoNormalSangraFrancesa"/>
        <w:rPr>
          <w:rStyle w:val="TextoNormalCaracter"/>
        </w:rPr>
      </w:pPr>
      <w:bookmarkStart w:id="1181" w:name="DESCRIPTORALFABETICO350"/>
      <w:r w:rsidRPr="00E55613">
        <w:rPr>
          <w:rStyle w:val="TextoNormalNegritaCaracter"/>
        </w:rPr>
        <w:t>Suelo urbanizable</w:t>
      </w:r>
      <w:bookmarkEnd w:id="1181"/>
      <w:r w:rsidRPr="00E55613">
        <w:rPr>
          <w:rStyle w:val="TextoNormalCaracter"/>
        </w:rPr>
        <w:t xml:space="preserve">, Sentencia </w:t>
      </w:r>
      <w:hyperlink w:anchor="SENTENCIA_2024_25" w:history="1">
        <w:r w:rsidRPr="00E55613">
          <w:rPr>
            <w:rStyle w:val="TextoNormalCaracter"/>
          </w:rPr>
          <w:t>25/2024</w:t>
        </w:r>
      </w:hyperlink>
      <w:r w:rsidRPr="00E55613">
        <w:rPr>
          <w:rStyle w:val="TextoNormalCaracter"/>
        </w:rPr>
        <w:t>, f. 13.</w:t>
      </w:r>
    </w:p>
    <w:p w14:paraId="31A92C22" w14:textId="6F683987" w:rsidR="00E55613" w:rsidRPr="00E55613" w:rsidRDefault="00E55613" w:rsidP="00E55613">
      <w:pPr>
        <w:pStyle w:val="TextoNormalSangraFrancesa"/>
        <w:rPr>
          <w:rStyle w:val="TextoNormalCaracter"/>
        </w:rPr>
      </w:pPr>
      <w:bookmarkStart w:id="1182" w:name="DESCRIPTORALFABETICO351"/>
      <w:r w:rsidRPr="00E55613">
        <w:rPr>
          <w:rStyle w:val="TextoNormalNegritaCaracter"/>
        </w:rPr>
        <w:t>Suelo urbano</w:t>
      </w:r>
      <w:bookmarkEnd w:id="1182"/>
      <w:r w:rsidRPr="00E55613">
        <w:rPr>
          <w:rStyle w:val="TextoNormalCaracter"/>
        </w:rPr>
        <w:t xml:space="preserve">, Sentencia </w:t>
      </w:r>
      <w:hyperlink w:anchor="SENTENCIA_2024_25" w:history="1">
        <w:r w:rsidRPr="00E55613">
          <w:rPr>
            <w:rStyle w:val="TextoNormalCaracter"/>
          </w:rPr>
          <w:t>25/2024</w:t>
        </w:r>
      </w:hyperlink>
      <w:r w:rsidRPr="00E55613">
        <w:rPr>
          <w:rStyle w:val="TextoNormalCaracter"/>
        </w:rPr>
        <w:t>, ff. 12 y 13.</w:t>
      </w:r>
    </w:p>
    <w:p w14:paraId="19BDF2F3" w14:textId="14ACCDC5" w:rsidR="00E55613" w:rsidRPr="00E55613" w:rsidRDefault="00E55613" w:rsidP="00E55613">
      <w:pPr>
        <w:pStyle w:val="TextoNormalSangraFrancesa"/>
        <w:rPr>
          <w:rStyle w:val="TextoNormalCaracter"/>
        </w:rPr>
      </w:pPr>
      <w:bookmarkStart w:id="1183" w:name="DESCRIPTORALFABETICO108"/>
      <w:r w:rsidRPr="00E55613">
        <w:rPr>
          <w:rStyle w:val="TextoNormalNegritaCaracter"/>
        </w:rPr>
        <w:t>Sufragio pasivo</w:t>
      </w:r>
      <w:bookmarkEnd w:id="1183"/>
      <w:r w:rsidRPr="00E55613">
        <w:rPr>
          <w:rStyle w:val="TextoNormalCaracter"/>
        </w:rPr>
        <w:t xml:space="preserve">, Sentencia </w:t>
      </w:r>
      <w:hyperlink w:anchor="SENTENCIA_2024_50" w:history="1">
        <w:r w:rsidRPr="00E55613">
          <w:rPr>
            <w:rStyle w:val="TextoNormalCaracter"/>
          </w:rPr>
          <w:t>50/2024</w:t>
        </w:r>
      </w:hyperlink>
      <w:r w:rsidRPr="00E55613">
        <w:rPr>
          <w:rStyle w:val="TextoNormalCaracter"/>
        </w:rPr>
        <w:t>, f. 4.</w:t>
      </w:r>
    </w:p>
    <w:p w14:paraId="38A6FF45" w14:textId="1936EDD9" w:rsidR="00E55613" w:rsidRPr="00E55613" w:rsidRDefault="00E55613" w:rsidP="00E55613">
      <w:pPr>
        <w:pStyle w:val="TextoNormalSangraFrancesa"/>
        <w:rPr>
          <w:rStyle w:val="TextoNormalCaracter"/>
        </w:rPr>
      </w:pPr>
      <w:bookmarkStart w:id="1184" w:name="DESCRIPTORALFABETICO410"/>
      <w:r w:rsidRPr="00E55613">
        <w:rPr>
          <w:rStyle w:val="TextoNormalNegritaCaracter"/>
        </w:rPr>
        <w:t>Sujeto pasivo de la violencia doméstica o de género</w:t>
      </w:r>
      <w:bookmarkEnd w:id="1184"/>
      <w:r w:rsidRPr="00E55613">
        <w:rPr>
          <w:rStyle w:val="TextoNormalCaracter"/>
        </w:rPr>
        <w:t xml:space="preserve">, Sentencia </w:t>
      </w:r>
      <w:hyperlink w:anchor="SENTENCIA_2024_44" w:history="1">
        <w:r w:rsidRPr="00E55613">
          <w:rPr>
            <w:rStyle w:val="TextoNormalCaracter"/>
          </w:rPr>
          <w:t>44/2024</w:t>
        </w:r>
      </w:hyperlink>
      <w:r w:rsidRPr="00E55613">
        <w:rPr>
          <w:rStyle w:val="TextoNormalCaracter"/>
        </w:rPr>
        <w:t>, f. 3, VP I.</w:t>
      </w:r>
    </w:p>
    <w:p w14:paraId="0B53EB6A" w14:textId="07BE32F5" w:rsidR="00E55613" w:rsidRPr="00E55613" w:rsidRDefault="00E55613" w:rsidP="00E55613">
      <w:pPr>
        <w:pStyle w:val="TextoNormalSangraFrancesa"/>
        <w:rPr>
          <w:rStyle w:val="TextoNormalCaracter"/>
        </w:rPr>
      </w:pPr>
      <w:bookmarkStart w:id="1185" w:name="DESCRIPTORALFABETICO317"/>
      <w:r w:rsidRPr="00E55613">
        <w:rPr>
          <w:rStyle w:val="TextoNormalNegritaCaracter"/>
        </w:rPr>
        <w:t>Suspensión cautelar de la expulsión</w:t>
      </w:r>
      <w:bookmarkEnd w:id="1185"/>
      <w:r w:rsidRPr="00E55613">
        <w:rPr>
          <w:rStyle w:val="TextoNormalCaracter"/>
        </w:rPr>
        <w:t xml:space="preserve">, Auto </w:t>
      </w:r>
      <w:hyperlink w:anchor="AUTO_2024_36" w:history="1">
        <w:r w:rsidRPr="00E55613">
          <w:rPr>
            <w:rStyle w:val="TextoNormalCaracter"/>
          </w:rPr>
          <w:t>36/2024</w:t>
        </w:r>
      </w:hyperlink>
      <w:r w:rsidRPr="00E55613">
        <w:rPr>
          <w:rStyle w:val="TextoNormalCaracter"/>
        </w:rPr>
        <w:t>, ff. 1 a 3.</w:t>
      </w:r>
    </w:p>
    <w:p w14:paraId="377F3186" w14:textId="77777777" w:rsidR="00E55613" w:rsidRPr="00E55613" w:rsidRDefault="00E55613" w:rsidP="00E55613">
      <w:pPr>
        <w:pStyle w:val="TextoNormalSangraFrancesa"/>
        <w:rPr>
          <w:rStyle w:val="TextoNormalCaracter"/>
        </w:rPr>
      </w:pPr>
      <w:bookmarkStart w:id="1186" w:name="DESCRIPTORALFABETICO133"/>
      <w:r w:rsidRPr="00E55613">
        <w:rPr>
          <w:rStyle w:val="TextoNormalNegritaCaracter"/>
        </w:rPr>
        <w:t>Suspensión cautelar de resoluciones administrativas</w:t>
      </w:r>
      <w:bookmarkEnd w:id="1186"/>
      <w:r w:rsidRPr="00E55613">
        <w:rPr>
          <w:rStyle w:val="TextoNormalCaracter"/>
        </w:rPr>
        <w:t xml:space="preserve">, </w:t>
      </w:r>
    </w:p>
    <w:p w14:paraId="0F946629" w14:textId="2C559E3A" w:rsidR="00E55613" w:rsidRPr="00E55613" w:rsidRDefault="00E55613" w:rsidP="00E55613">
      <w:pPr>
        <w:pStyle w:val="TextoNormalSangraFrancesa"/>
        <w:rPr>
          <w:rStyle w:val="TextoNormalCaracter"/>
        </w:rPr>
      </w:pPr>
      <w:r w:rsidRPr="00E55613">
        <w:rPr>
          <w:rStyle w:val="TextoNormalCursivaCaracter"/>
        </w:rPr>
        <w:t xml:space="preserve">    Suspende, </w:t>
      </w:r>
      <w:r w:rsidRPr="00E55613">
        <w:rPr>
          <w:rStyle w:val="TextoNormalCaracter"/>
        </w:rPr>
        <w:t xml:space="preserve">Auto </w:t>
      </w:r>
      <w:hyperlink w:anchor="AUTO_2024_36" w:history="1">
        <w:r w:rsidRPr="00E55613">
          <w:rPr>
            <w:rStyle w:val="TextoNormalCaracter"/>
          </w:rPr>
          <w:t>36/2024</w:t>
        </w:r>
      </w:hyperlink>
      <w:r w:rsidRPr="00E55613">
        <w:rPr>
          <w:rStyle w:val="TextoNormalCaracter"/>
        </w:rPr>
        <w:t>, ff. 1 a 3.</w:t>
      </w:r>
    </w:p>
    <w:p w14:paraId="72D35F4D" w14:textId="77777777" w:rsidR="00E55613" w:rsidRPr="00E55613" w:rsidRDefault="00E55613" w:rsidP="00E55613">
      <w:pPr>
        <w:pStyle w:val="TextoNormalSangraFrancesa"/>
        <w:rPr>
          <w:rStyle w:val="TextoNormalCaracter"/>
        </w:rPr>
      </w:pPr>
      <w:bookmarkStart w:id="1187" w:name="DESCRIPTORALFABETICO135"/>
      <w:r w:rsidRPr="00E55613">
        <w:rPr>
          <w:rStyle w:val="TextoNormalNegritaCaracter"/>
        </w:rPr>
        <w:t>Suspensión cautelar de resoluciones civiles</w:t>
      </w:r>
      <w:bookmarkEnd w:id="1187"/>
      <w:r w:rsidRPr="00E55613">
        <w:rPr>
          <w:rStyle w:val="TextoNormalCaracter"/>
        </w:rPr>
        <w:t xml:space="preserve">, </w:t>
      </w:r>
    </w:p>
    <w:p w14:paraId="7C3DB915" w14:textId="354DA3A5" w:rsidR="00E55613" w:rsidRPr="00E55613" w:rsidRDefault="00E55613" w:rsidP="00E55613">
      <w:pPr>
        <w:pStyle w:val="TextoNormalSangraFrancesa"/>
        <w:rPr>
          <w:rStyle w:val="TextoNormalCaracter"/>
        </w:rPr>
      </w:pPr>
      <w:r w:rsidRPr="00E55613">
        <w:rPr>
          <w:rStyle w:val="TextoNormalCursivaCaracter"/>
        </w:rPr>
        <w:t xml:space="preserve">    No suspende, </w:t>
      </w:r>
      <w:r w:rsidRPr="00E55613">
        <w:rPr>
          <w:rStyle w:val="TextoNormalCaracter"/>
        </w:rPr>
        <w:t xml:space="preserve">Autos </w:t>
      </w:r>
      <w:hyperlink w:anchor="AUTO_2024_15" w:history="1">
        <w:r w:rsidRPr="00E55613">
          <w:rPr>
            <w:rStyle w:val="TextoNormalCaracter"/>
          </w:rPr>
          <w:t>15/2024</w:t>
        </w:r>
      </w:hyperlink>
      <w:r w:rsidRPr="00E55613">
        <w:rPr>
          <w:rStyle w:val="TextoNormalCaracter"/>
        </w:rPr>
        <w:t xml:space="preserve">, f. 5; </w:t>
      </w:r>
      <w:hyperlink w:anchor="AUTO_2024_54" w:history="1">
        <w:r w:rsidRPr="00E55613">
          <w:rPr>
            <w:rStyle w:val="TextoNormalCaracter"/>
          </w:rPr>
          <w:t>54/2024</w:t>
        </w:r>
      </w:hyperlink>
      <w:r w:rsidRPr="00E55613">
        <w:rPr>
          <w:rStyle w:val="TextoNormalCaracter"/>
        </w:rPr>
        <w:t xml:space="preserve">, f. 2; </w:t>
      </w:r>
      <w:hyperlink w:anchor="AUTO_2024_55" w:history="1">
        <w:r w:rsidRPr="00E55613">
          <w:rPr>
            <w:rStyle w:val="TextoNormalCaracter"/>
          </w:rPr>
          <w:t>55/2024</w:t>
        </w:r>
      </w:hyperlink>
      <w:r w:rsidRPr="00E55613">
        <w:rPr>
          <w:rStyle w:val="TextoNormalCaracter"/>
        </w:rPr>
        <w:t>, f. 3.</w:t>
      </w:r>
    </w:p>
    <w:p w14:paraId="69E32783" w14:textId="77777777" w:rsidR="00E55613" w:rsidRPr="00E55613" w:rsidRDefault="00E55613" w:rsidP="00E55613">
      <w:pPr>
        <w:pStyle w:val="TextoNormalSangraFrancesa"/>
        <w:rPr>
          <w:rStyle w:val="TextoNormalCaracter"/>
        </w:rPr>
      </w:pPr>
      <w:bookmarkStart w:id="1188" w:name="DESCRIPTORALFABETICO136"/>
      <w:r w:rsidRPr="00E55613">
        <w:rPr>
          <w:rStyle w:val="TextoNormalNegritaCaracter"/>
        </w:rPr>
        <w:t>Suspensión cautelar de resoluciones penales</w:t>
      </w:r>
      <w:bookmarkEnd w:id="1188"/>
      <w:r w:rsidRPr="00E55613">
        <w:rPr>
          <w:rStyle w:val="TextoNormalCaracter"/>
        </w:rPr>
        <w:t xml:space="preserve">, </w:t>
      </w:r>
    </w:p>
    <w:p w14:paraId="2CB891F6" w14:textId="1371CC86" w:rsidR="00E55613" w:rsidRPr="00E55613" w:rsidRDefault="00E55613" w:rsidP="00E55613">
      <w:pPr>
        <w:pStyle w:val="TextoNormalSangraFrancesa"/>
        <w:rPr>
          <w:rStyle w:val="TextoNormalCaracter"/>
        </w:rPr>
      </w:pPr>
      <w:r w:rsidRPr="00E55613">
        <w:rPr>
          <w:rStyle w:val="TextoNormalCursivaCaracter"/>
        </w:rPr>
        <w:lastRenderedPageBreak/>
        <w:t xml:space="preserve">    No suspende, </w:t>
      </w:r>
      <w:r w:rsidRPr="00E55613">
        <w:rPr>
          <w:rStyle w:val="TextoNormalCaracter"/>
        </w:rPr>
        <w:t xml:space="preserve">Auto </w:t>
      </w:r>
      <w:hyperlink w:anchor="AUTO_2024_53" w:history="1">
        <w:r w:rsidRPr="00E55613">
          <w:rPr>
            <w:rStyle w:val="TextoNormalCaracter"/>
          </w:rPr>
          <w:t>53/2024</w:t>
        </w:r>
      </w:hyperlink>
      <w:r w:rsidRPr="00E55613">
        <w:rPr>
          <w:rStyle w:val="TextoNormalCaracter"/>
        </w:rPr>
        <w:t>, f. 4.</w:t>
      </w:r>
    </w:p>
    <w:p w14:paraId="14EF90DD" w14:textId="78233075" w:rsidR="00E55613" w:rsidRPr="00E55613" w:rsidRDefault="00E55613" w:rsidP="00E55613">
      <w:pPr>
        <w:pStyle w:val="TextoNormalSangraFrancesa"/>
        <w:rPr>
          <w:rStyle w:val="TextoNormalCaracter"/>
        </w:rPr>
      </w:pPr>
      <w:r w:rsidRPr="00E55613">
        <w:rPr>
          <w:rStyle w:val="TextoNormalCursivaCaracter"/>
        </w:rPr>
        <w:t xml:space="preserve">    Suspende, </w:t>
      </w:r>
      <w:r w:rsidRPr="00E55613">
        <w:rPr>
          <w:rStyle w:val="TextoNormalCaracter"/>
        </w:rPr>
        <w:t xml:space="preserve">Auto </w:t>
      </w:r>
      <w:hyperlink w:anchor="AUTO_2024_19" w:history="1">
        <w:r w:rsidRPr="00E55613">
          <w:rPr>
            <w:rStyle w:val="TextoNormalCaracter"/>
          </w:rPr>
          <w:t>19/2024</w:t>
        </w:r>
      </w:hyperlink>
      <w:r w:rsidRPr="00E55613">
        <w:rPr>
          <w:rStyle w:val="TextoNormalCaracter"/>
        </w:rPr>
        <w:t>, ff. 2 y 3.</w:t>
      </w:r>
    </w:p>
    <w:p w14:paraId="19363D47" w14:textId="36D54EE2" w:rsidR="00E55613" w:rsidRPr="00E55613" w:rsidRDefault="00E55613" w:rsidP="00E55613">
      <w:pPr>
        <w:pStyle w:val="TextoNormalSangraFrancesa"/>
        <w:rPr>
          <w:rStyle w:val="TextoNormalCaracter"/>
        </w:rPr>
      </w:pPr>
      <w:r w:rsidRPr="00E55613">
        <w:rPr>
          <w:rStyle w:val="TextoNormalCursivaCaracter"/>
        </w:rPr>
        <w:t xml:space="preserve">    Suspende parcialmente, </w:t>
      </w:r>
      <w:r w:rsidRPr="00E55613">
        <w:rPr>
          <w:rStyle w:val="TextoNormalCaracter"/>
        </w:rPr>
        <w:t xml:space="preserve">Auto </w:t>
      </w:r>
      <w:hyperlink w:anchor="AUTO_2024_27" w:history="1">
        <w:r w:rsidRPr="00E55613">
          <w:rPr>
            <w:rStyle w:val="TextoNormalCaracter"/>
          </w:rPr>
          <w:t>27/2024</w:t>
        </w:r>
      </w:hyperlink>
      <w:r w:rsidRPr="00E55613">
        <w:rPr>
          <w:rStyle w:val="TextoNormalCaracter"/>
        </w:rPr>
        <w:t>, f. 3.</w:t>
      </w:r>
    </w:p>
    <w:p w14:paraId="6BBC8614" w14:textId="77777777" w:rsidR="00E55613" w:rsidRPr="00E55613" w:rsidRDefault="00E55613" w:rsidP="00E55613">
      <w:pPr>
        <w:pStyle w:val="TextoNormalSangraFrancesa"/>
        <w:rPr>
          <w:rStyle w:val="TextoNormalCaracter"/>
        </w:rPr>
      </w:pPr>
      <w:bookmarkStart w:id="1189" w:name="DESCRIPTORALFABETICO137"/>
      <w:r w:rsidRPr="00E55613">
        <w:rPr>
          <w:rStyle w:val="TextoNormalNegritaCaracter"/>
        </w:rPr>
        <w:t>Suspensión cautelar de sentencias penales</w:t>
      </w:r>
      <w:bookmarkEnd w:id="1189"/>
      <w:r w:rsidRPr="00E55613">
        <w:rPr>
          <w:rStyle w:val="TextoNormalCaracter"/>
        </w:rPr>
        <w:t xml:space="preserve">, </w:t>
      </w:r>
    </w:p>
    <w:p w14:paraId="456AB0E9" w14:textId="666617B7" w:rsidR="00E55613" w:rsidRPr="00E55613" w:rsidRDefault="00E55613" w:rsidP="00E55613">
      <w:pPr>
        <w:pStyle w:val="TextoNormalSangraFrancesa"/>
        <w:rPr>
          <w:rStyle w:val="TextoNormalCaracter"/>
        </w:rPr>
      </w:pPr>
      <w:r w:rsidRPr="00E55613">
        <w:rPr>
          <w:rStyle w:val="TextoNormalCursivaCaracter"/>
        </w:rPr>
        <w:t xml:space="preserve">    Suspende, </w:t>
      </w:r>
      <w:r w:rsidRPr="00E55613">
        <w:rPr>
          <w:rStyle w:val="TextoNormalCaracter"/>
        </w:rPr>
        <w:t xml:space="preserve">Auto </w:t>
      </w:r>
      <w:hyperlink w:anchor="AUTO_2024_4" w:history="1">
        <w:r w:rsidRPr="00E55613">
          <w:rPr>
            <w:rStyle w:val="TextoNormalCaracter"/>
          </w:rPr>
          <w:t>4/2024</w:t>
        </w:r>
      </w:hyperlink>
      <w:r w:rsidRPr="00E55613">
        <w:rPr>
          <w:rStyle w:val="TextoNormalCaracter"/>
        </w:rPr>
        <w:t>, ff.1 a 3.</w:t>
      </w:r>
    </w:p>
    <w:p w14:paraId="26BBB7FE" w14:textId="7F5DF786" w:rsidR="00E55613" w:rsidRPr="00E55613" w:rsidRDefault="00E55613" w:rsidP="00E55613">
      <w:pPr>
        <w:pStyle w:val="TextoNormalSangraFrancesa"/>
        <w:rPr>
          <w:rStyle w:val="TextoNormalCaracter"/>
        </w:rPr>
      </w:pPr>
      <w:bookmarkStart w:id="1190" w:name="DESCRIPTORALFABETICO391"/>
      <w:r w:rsidRPr="00E55613">
        <w:rPr>
          <w:rStyle w:val="TextoNormalNegritaCaracter"/>
        </w:rPr>
        <w:t>Suspensión condicionada al pago de una cantidad</w:t>
      </w:r>
      <w:bookmarkEnd w:id="1190"/>
      <w:r w:rsidRPr="00E55613">
        <w:rPr>
          <w:rStyle w:val="TextoNormalCaracter"/>
        </w:rPr>
        <w:t xml:space="preserve">, Sentencias </w:t>
      </w:r>
      <w:hyperlink w:anchor="SENTENCIA_2024_39" w:history="1">
        <w:r w:rsidRPr="00E55613">
          <w:rPr>
            <w:rStyle w:val="TextoNormalCaracter"/>
          </w:rPr>
          <w:t>39/2024</w:t>
        </w:r>
      </w:hyperlink>
      <w:r w:rsidRPr="00E55613">
        <w:rPr>
          <w:rStyle w:val="TextoNormalCaracter"/>
        </w:rPr>
        <w:t xml:space="preserve">, f. 1; </w:t>
      </w:r>
      <w:hyperlink w:anchor="SENTENCIA_2024_70" w:history="1">
        <w:r w:rsidRPr="00E55613">
          <w:rPr>
            <w:rStyle w:val="TextoNormalCaracter"/>
          </w:rPr>
          <w:t>70/2024</w:t>
        </w:r>
      </w:hyperlink>
      <w:r w:rsidRPr="00E55613">
        <w:rPr>
          <w:rStyle w:val="TextoNormalCaracter"/>
        </w:rPr>
        <w:t xml:space="preserve">, f. 1; </w:t>
      </w:r>
      <w:hyperlink w:anchor="SENTENCIA_2024_78" w:history="1">
        <w:r w:rsidRPr="00E55613">
          <w:rPr>
            <w:rStyle w:val="TextoNormalCaracter"/>
          </w:rPr>
          <w:t>78/2024</w:t>
        </w:r>
      </w:hyperlink>
      <w:r w:rsidRPr="00E55613">
        <w:rPr>
          <w:rStyle w:val="TextoNormalCaracter"/>
        </w:rPr>
        <w:t>, f. único.</w:t>
      </w:r>
    </w:p>
    <w:p w14:paraId="7472D702" w14:textId="5F58F86C" w:rsidR="00E55613" w:rsidRPr="00E55613" w:rsidRDefault="00E55613" w:rsidP="00E55613">
      <w:pPr>
        <w:pStyle w:val="TextoNormalSangraFrancesa"/>
        <w:rPr>
          <w:rStyle w:val="TextoNormalCaracter"/>
        </w:rPr>
      </w:pPr>
      <w:bookmarkStart w:id="1191" w:name="DESCRIPTORALFABETICO469"/>
      <w:r w:rsidRPr="00E55613">
        <w:rPr>
          <w:rStyle w:val="TextoNormalNegritaCaracter"/>
        </w:rPr>
        <w:t>Suspensión de ejecución de sentencia</w:t>
      </w:r>
      <w:bookmarkEnd w:id="1191"/>
      <w:r w:rsidRPr="00E55613">
        <w:rPr>
          <w:rStyle w:val="TextoNormalCaracter"/>
        </w:rPr>
        <w:t xml:space="preserve">, Auto </w:t>
      </w:r>
      <w:hyperlink w:anchor="AUTO_2024_40" w:history="1">
        <w:r w:rsidRPr="00E55613">
          <w:rPr>
            <w:rStyle w:val="TextoNormalCaracter"/>
          </w:rPr>
          <w:t>40/2024</w:t>
        </w:r>
      </w:hyperlink>
      <w:r w:rsidRPr="00E55613">
        <w:rPr>
          <w:rStyle w:val="TextoNormalCaracter"/>
        </w:rPr>
        <w:t>, ff. 1 a 3.</w:t>
      </w:r>
    </w:p>
    <w:p w14:paraId="0B630911" w14:textId="24EDA032" w:rsidR="00E55613" w:rsidRPr="00E55613" w:rsidRDefault="00E55613" w:rsidP="00E55613">
      <w:pPr>
        <w:pStyle w:val="TextoNormalSangraFrancesa"/>
        <w:rPr>
          <w:rStyle w:val="TextoNormalCaracter"/>
        </w:rPr>
      </w:pPr>
      <w:bookmarkStart w:id="1192" w:name="DESCRIPTORALFABETICO390"/>
      <w:r w:rsidRPr="00E55613">
        <w:rPr>
          <w:rStyle w:val="TextoNormalNegritaCaracter"/>
        </w:rPr>
        <w:t>Suspensión de la ejecución de la pena</w:t>
      </w:r>
      <w:bookmarkEnd w:id="1192"/>
      <w:r w:rsidRPr="00E55613">
        <w:rPr>
          <w:rStyle w:val="TextoNormalCaracter"/>
        </w:rPr>
        <w:t xml:space="preserve">, Sentencias </w:t>
      </w:r>
      <w:hyperlink w:anchor="SENTENCIA_2024_70" w:history="1">
        <w:r w:rsidRPr="00E55613">
          <w:rPr>
            <w:rStyle w:val="TextoNormalCaracter"/>
          </w:rPr>
          <w:t>70/2024</w:t>
        </w:r>
      </w:hyperlink>
      <w:r w:rsidRPr="00E55613">
        <w:rPr>
          <w:rStyle w:val="TextoNormalCaracter"/>
        </w:rPr>
        <w:t xml:space="preserve">, f. 1; </w:t>
      </w:r>
      <w:hyperlink w:anchor="SENTENCIA_2024_78" w:history="1">
        <w:r w:rsidRPr="00E55613">
          <w:rPr>
            <w:rStyle w:val="TextoNormalCaracter"/>
          </w:rPr>
          <w:t>78/2024</w:t>
        </w:r>
      </w:hyperlink>
      <w:r w:rsidRPr="00E55613">
        <w:rPr>
          <w:rStyle w:val="TextoNormalCaracter"/>
        </w:rPr>
        <w:t>, f. único.</w:t>
      </w:r>
    </w:p>
    <w:p w14:paraId="669523E4" w14:textId="5E2F5AD2" w:rsidR="00E55613" w:rsidRPr="00E55613" w:rsidRDefault="00E55613" w:rsidP="00E55613">
      <w:pPr>
        <w:pStyle w:val="TextoNormalSangraFrancesa"/>
        <w:rPr>
          <w:rStyle w:val="TextoNormalCaracter"/>
        </w:rPr>
      </w:pPr>
      <w:bookmarkStart w:id="1193" w:name="DESCRIPTORALFABETICO511"/>
      <w:r w:rsidRPr="00E55613">
        <w:rPr>
          <w:rStyle w:val="TextoNormalNegritaCaracter"/>
        </w:rPr>
        <w:t>Suspensión del juicio oral</w:t>
      </w:r>
      <w:bookmarkEnd w:id="1193"/>
      <w:r w:rsidRPr="00E55613">
        <w:rPr>
          <w:rStyle w:val="TextoNormalCaracter"/>
        </w:rPr>
        <w:t xml:space="preserve">, Auto </w:t>
      </w:r>
      <w:hyperlink w:anchor="AUTO_2024_4" w:history="1">
        <w:r w:rsidRPr="00E55613">
          <w:rPr>
            <w:rStyle w:val="TextoNormalCaracter"/>
          </w:rPr>
          <w:t>4/2024</w:t>
        </w:r>
      </w:hyperlink>
      <w:r w:rsidRPr="00E55613">
        <w:rPr>
          <w:rStyle w:val="TextoNormalCaracter"/>
        </w:rPr>
        <w:t>, ff. 1 a 3.</w:t>
      </w:r>
    </w:p>
    <w:p w14:paraId="4702B043" w14:textId="45F6C741" w:rsidR="00E55613" w:rsidRPr="00E55613" w:rsidRDefault="00E55613" w:rsidP="00E55613">
      <w:pPr>
        <w:pStyle w:val="TextoNormalSangraFrancesa"/>
        <w:rPr>
          <w:rStyle w:val="TextoNormalCaracter"/>
        </w:rPr>
      </w:pPr>
      <w:bookmarkStart w:id="1194" w:name="DESCRIPTORALFABETICO397"/>
      <w:r w:rsidRPr="00E55613">
        <w:rPr>
          <w:rStyle w:val="TextoNormalNegritaCaracter"/>
        </w:rPr>
        <w:t>Sustitución de la pena</w:t>
      </w:r>
      <w:bookmarkEnd w:id="1194"/>
      <w:r w:rsidRPr="00E55613">
        <w:rPr>
          <w:rStyle w:val="TextoNormalCaracter"/>
        </w:rPr>
        <w:t xml:space="preserve">, Sentencia </w:t>
      </w:r>
      <w:hyperlink w:anchor="SENTENCIA_2024_8" w:history="1">
        <w:r w:rsidRPr="00E55613">
          <w:rPr>
            <w:rStyle w:val="TextoNormalCaracter"/>
          </w:rPr>
          <w:t>8/2024</w:t>
        </w:r>
      </w:hyperlink>
      <w:r w:rsidRPr="00E55613">
        <w:rPr>
          <w:rStyle w:val="TextoNormalCaracter"/>
        </w:rPr>
        <w:t>, f. 6.</w:t>
      </w:r>
    </w:p>
    <w:p w14:paraId="1EC602D7" w14:textId="767A25A2" w:rsidR="00E55613" w:rsidRDefault="00E55613" w:rsidP="00E55613">
      <w:pPr>
        <w:pStyle w:val="TextoNormalSangraFrancesa"/>
      </w:pPr>
    </w:p>
    <w:p w14:paraId="670DFAEE" w14:textId="77777777" w:rsidR="00E55613" w:rsidRDefault="00E55613" w:rsidP="00E55613">
      <w:pPr>
        <w:pStyle w:val="TextoNormalSangraFrancesa"/>
      </w:pPr>
    </w:p>
    <w:p w14:paraId="70975582" w14:textId="77777777" w:rsidR="00E55613" w:rsidRDefault="00E55613" w:rsidP="00E55613">
      <w:pPr>
        <w:pStyle w:val="TextoNormalNegritaCentrado"/>
      </w:pPr>
      <w:r>
        <w:t>T</w:t>
      </w:r>
    </w:p>
    <w:p w14:paraId="7C075E5F" w14:textId="41BC51B5" w:rsidR="00E55613" w:rsidRDefault="00E55613" w:rsidP="00E55613">
      <w:pPr>
        <w:pStyle w:val="TextoNormalNegritaCentrado"/>
      </w:pPr>
    </w:p>
    <w:p w14:paraId="0D0268D1" w14:textId="4CD8802A" w:rsidR="00E55613" w:rsidRPr="00E55613" w:rsidRDefault="00E55613" w:rsidP="00E55613">
      <w:pPr>
        <w:pStyle w:val="TextoNormalSangraFrancesa"/>
        <w:rPr>
          <w:rStyle w:val="TextoNormalCaracter"/>
        </w:rPr>
      </w:pPr>
      <w:bookmarkStart w:id="1195" w:name="DESCRIPTORALFABETICO172"/>
      <w:r w:rsidRPr="00E55613">
        <w:rPr>
          <w:rStyle w:val="TextoNormalNegritaCaracter"/>
        </w:rPr>
        <w:t>Temporaneidad del recurso de amparo</w:t>
      </w:r>
      <w:bookmarkEnd w:id="1195"/>
      <w:r w:rsidRPr="00E55613">
        <w:rPr>
          <w:rStyle w:val="TextoNormalCaracter"/>
        </w:rPr>
        <w:t xml:space="preserve">, Sentencia </w:t>
      </w:r>
      <w:hyperlink w:anchor="SENTENCIA_2024_50" w:history="1">
        <w:r w:rsidRPr="00E55613">
          <w:rPr>
            <w:rStyle w:val="TextoNormalCaracter"/>
          </w:rPr>
          <w:t>50/2024</w:t>
        </w:r>
      </w:hyperlink>
      <w:r w:rsidRPr="00E55613">
        <w:rPr>
          <w:rStyle w:val="TextoNormalCaracter"/>
        </w:rPr>
        <w:t>, f. 2.</w:t>
      </w:r>
    </w:p>
    <w:p w14:paraId="1CACC45F" w14:textId="384CD707" w:rsidR="00E55613" w:rsidRPr="00E55613" w:rsidRDefault="00E55613" w:rsidP="00E55613">
      <w:pPr>
        <w:pStyle w:val="TextoNormalSangraFrancesa"/>
        <w:rPr>
          <w:rStyle w:val="TextoNormalCaracter"/>
        </w:rPr>
      </w:pPr>
      <w:bookmarkStart w:id="1196" w:name="DESCRIPTORALFABETICO429"/>
      <w:r w:rsidRPr="00E55613">
        <w:rPr>
          <w:rStyle w:val="TextoNormalNegritaCaracter"/>
        </w:rPr>
        <w:t>Tesorería General de la Seguridad Social</w:t>
      </w:r>
      <w:bookmarkEnd w:id="1196"/>
      <w:r w:rsidRPr="00E55613">
        <w:rPr>
          <w:rStyle w:val="TextoNormalCaracter"/>
        </w:rPr>
        <w:t xml:space="preserve">, Sentencias </w:t>
      </w:r>
      <w:hyperlink w:anchor="SENTENCIA_2024_19" w:history="1">
        <w:r w:rsidRPr="00E55613">
          <w:rPr>
            <w:rStyle w:val="TextoNormalCaracter"/>
          </w:rPr>
          <w:t>19/2024</w:t>
        </w:r>
      </w:hyperlink>
      <w:r w:rsidRPr="00E55613">
        <w:rPr>
          <w:rStyle w:val="TextoNormalCaracter"/>
        </w:rPr>
        <w:t xml:space="preserve">, f. 4; </w:t>
      </w:r>
      <w:hyperlink w:anchor="SENTENCIA_2024_32" w:history="1">
        <w:r w:rsidRPr="00E55613">
          <w:rPr>
            <w:rStyle w:val="TextoNormalCaracter"/>
          </w:rPr>
          <w:t>32/2024</w:t>
        </w:r>
      </w:hyperlink>
      <w:r w:rsidRPr="00E55613">
        <w:rPr>
          <w:rStyle w:val="TextoNormalCaracter"/>
        </w:rPr>
        <w:t>, f. 2.</w:t>
      </w:r>
    </w:p>
    <w:p w14:paraId="4A6907AF" w14:textId="0318C8C3" w:rsidR="00E55613" w:rsidRPr="00E55613" w:rsidRDefault="00E55613" w:rsidP="00E55613">
      <w:pPr>
        <w:pStyle w:val="TextoNormalSangraFrancesa"/>
        <w:rPr>
          <w:rStyle w:val="TextoNormalCaracter"/>
        </w:rPr>
      </w:pPr>
      <w:bookmarkStart w:id="1197" w:name="DESCRIPTORALFABETICO272"/>
      <w:r w:rsidRPr="00E55613">
        <w:rPr>
          <w:rStyle w:val="TextoNormalNegritaCaracter"/>
        </w:rPr>
        <w:t>Tipos penales</w:t>
      </w:r>
      <w:bookmarkEnd w:id="1197"/>
      <w:r w:rsidRPr="00E55613">
        <w:rPr>
          <w:rStyle w:val="TextoNormalCaracter"/>
        </w:rPr>
        <w:t xml:space="preserve">, Sentencia </w:t>
      </w:r>
      <w:hyperlink w:anchor="SENTENCIA_2024_44" w:history="1">
        <w:r w:rsidRPr="00E55613">
          <w:rPr>
            <w:rStyle w:val="TextoNormalCaracter"/>
          </w:rPr>
          <w:t>44/2024</w:t>
        </w:r>
      </w:hyperlink>
      <w:r w:rsidRPr="00E55613">
        <w:rPr>
          <w:rStyle w:val="TextoNormalCaracter"/>
        </w:rPr>
        <w:t>, f. 3.</w:t>
      </w:r>
    </w:p>
    <w:p w14:paraId="0DF05DC1" w14:textId="2BCE5963" w:rsidR="00E55613" w:rsidRPr="00E55613" w:rsidRDefault="00E55613" w:rsidP="00E55613">
      <w:pPr>
        <w:pStyle w:val="TextoNormalSangraFrancesa"/>
        <w:rPr>
          <w:rStyle w:val="TextoNormalCaracter"/>
        </w:rPr>
      </w:pPr>
      <w:bookmarkStart w:id="1198" w:name="DESCRIPTORALFABETICO128"/>
      <w:r w:rsidRPr="00E55613">
        <w:rPr>
          <w:rStyle w:val="TextoNormalNegritaCaracter"/>
        </w:rPr>
        <w:t>Titularidad por los menores de edad</w:t>
      </w:r>
      <w:bookmarkEnd w:id="1198"/>
      <w:r w:rsidRPr="00E55613">
        <w:rPr>
          <w:rStyle w:val="TextoNormalCaracter"/>
        </w:rPr>
        <w:t xml:space="preserve">, Sentencia </w:t>
      </w:r>
      <w:hyperlink w:anchor="SENTENCIA_2024_92" w:history="1">
        <w:r w:rsidRPr="00E55613">
          <w:rPr>
            <w:rStyle w:val="TextoNormalCaracter"/>
          </w:rPr>
          <w:t>92/2024</w:t>
        </w:r>
      </w:hyperlink>
      <w:r w:rsidRPr="00E55613">
        <w:rPr>
          <w:rStyle w:val="TextoNormalCaracter"/>
        </w:rPr>
        <w:t>, f. 6.</w:t>
      </w:r>
    </w:p>
    <w:p w14:paraId="264DB774" w14:textId="00909D28" w:rsidR="00E55613" w:rsidRPr="00E55613" w:rsidRDefault="00E55613" w:rsidP="00E55613">
      <w:pPr>
        <w:pStyle w:val="TextoNormalSangraFrancesa"/>
        <w:rPr>
          <w:rStyle w:val="TextoNormalCaracter"/>
        </w:rPr>
      </w:pPr>
      <w:bookmarkStart w:id="1199" w:name="DESCRIPTORALFABETICO6"/>
      <w:r w:rsidRPr="00E55613">
        <w:rPr>
          <w:rStyle w:val="TextoNormalNegritaCaracter"/>
        </w:rPr>
        <w:t>Títulos competenciales</w:t>
      </w:r>
      <w:bookmarkEnd w:id="1199"/>
      <w:r w:rsidRPr="00E55613">
        <w:rPr>
          <w:rStyle w:val="TextoNormalCaracter"/>
        </w:rPr>
        <w:t xml:space="preserve">, Sentencia </w:t>
      </w:r>
      <w:hyperlink w:anchor="SENTENCIA_2024_19" w:history="1">
        <w:r w:rsidRPr="00E55613">
          <w:rPr>
            <w:rStyle w:val="TextoNormalCaracter"/>
          </w:rPr>
          <w:t>19/2024</w:t>
        </w:r>
      </w:hyperlink>
      <w:r w:rsidRPr="00E55613">
        <w:rPr>
          <w:rStyle w:val="TextoNormalCaracter"/>
        </w:rPr>
        <w:t>, ff. 1, 3 y 5.</w:t>
      </w:r>
    </w:p>
    <w:p w14:paraId="12DC032C" w14:textId="6CDA457A" w:rsidR="00E55613" w:rsidRPr="00E55613" w:rsidRDefault="00E55613" w:rsidP="00E55613">
      <w:pPr>
        <w:pStyle w:val="TextoNormalSangraFrancesa"/>
        <w:rPr>
          <w:rStyle w:val="TextoNormalCaracter"/>
        </w:rPr>
      </w:pPr>
      <w:bookmarkStart w:id="1200" w:name="DESCRIPTORALFABETICO342"/>
      <w:r w:rsidRPr="00E55613">
        <w:rPr>
          <w:rStyle w:val="TextoNormalNegritaCaracter"/>
        </w:rPr>
        <w:t>Torturas</w:t>
      </w:r>
      <w:bookmarkEnd w:id="1200"/>
      <w:r w:rsidRPr="00E55613">
        <w:rPr>
          <w:rStyle w:val="TextoNormalCaracter"/>
        </w:rPr>
        <w:t xml:space="preserve">, Auto </w:t>
      </w:r>
      <w:hyperlink w:anchor="AUTO_2024_57" w:history="1">
        <w:r w:rsidRPr="00E55613">
          <w:rPr>
            <w:rStyle w:val="TextoNormalCaracter"/>
          </w:rPr>
          <w:t>57/2024</w:t>
        </w:r>
      </w:hyperlink>
      <w:r w:rsidRPr="00E55613">
        <w:rPr>
          <w:rStyle w:val="TextoNormalCaracter"/>
        </w:rPr>
        <w:t>, f. 1.</w:t>
      </w:r>
    </w:p>
    <w:p w14:paraId="0B132C1F" w14:textId="1561FC28" w:rsidR="00E55613" w:rsidRPr="00E55613" w:rsidRDefault="00E55613" w:rsidP="00E55613">
      <w:pPr>
        <w:pStyle w:val="TextoNormalSangraFrancesa"/>
        <w:rPr>
          <w:rStyle w:val="TextoNormalCaracter"/>
        </w:rPr>
      </w:pPr>
      <w:bookmarkStart w:id="1201" w:name="DESCRIPTORALFABETICO229"/>
      <w:r w:rsidRPr="00E55613">
        <w:rPr>
          <w:rStyle w:val="TextoNormalNegritaCaracter"/>
        </w:rPr>
        <w:t>Tramitación parlamentaria</w:t>
      </w:r>
      <w:bookmarkEnd w:id="1201"/>
      <w:r w:rsidRPr="00E55613">
        <w:rPr>
          <w:rStyle w:val="TextoNormalCaracter"/>
        </w:rPr>
        <w:t xml:space="preserve">, Sentencias </w:t>
      </w:r>
      <w:hyperlink w:anchor="SENTENCIA_2024_15" w:history="1">
        <w:r w:rsidRPr="00E55613">
          <w:rPr>
            <w:rStyle w:val="TextoNormalCaracter"/>
          </w:rPr>
          <w:t>15/2024</w:t>
        </w:r>
      </w:hyperlink>
      <w:r w:rsidRPr="00E55613">
        <w:rPr>
          <w:rStyle w:val="TextoNormalCaracter"/>
        </w:rPr>
        <w:t xml:space="preserve">, ff. 2 y 3, VP II; </w:t>
      </w:r>
      <w:hyperlink w:anchor="SENTENCIA_2024_30" w:history="1">
        <w:r w:rsidRPr="00E55613">
          <w:rPr>
            <w:rStyle w:val="TextoNormalCaracter"/>
          </w:rPr>
          <w:t>30/2024</w:t>
        </w:r>
      </w:hyperlink>
      <w:r w:rsidRPr="00E55613">
        <w:rPr>
          <w:rStyle w:val="TextoNormalCaracter"/>
        </w:rPr>
        <w:t>, ff. 1 a 4, VP I, VP II.</w:t>
      </w:r>
    </w:p>
    <w:p w14:paraId="58482158" w14:textId="2F6A7EC6" w:rsidR="00E55613" w:rsidRPr="00E55613" w:rsidRDefault="00E55613" w:rsidP="00E55613">
      <w:pPr>
        <w:pStyle w:val="TextoNormalSangraFrancesa"/>
        <w:rPr>
          <w:rStyle w:val="TextoNormalCaracter"/>
        </w:rPr>
      </w:pPr>
      <w:bookmarkStart w:id="1202" w:name="DESCRIPTORALFABETICO157"/>
      <w:r w:rsidRPr="00E55613">
        <w:rPr>
          <w:rStyle w:val="TextoNormalNegritaCaracter"/>
        </w:rPr>
        <w:t>Trámite de audiencia a las partes defectuoso</w:t>
      </w:r>
      <w:bookmarkEnd w:id="1202"/>
      <w:r w:rsidRPr="00E55613">
        <w:rPr>
          <w:rStyle w:val="TextoNormalCaracter"/>
        </w:rPr>
        <w:t xml:space="preserve">, Auto </w:t>
      </w:r>
      <w:hyperlink w:anchor="AUTO_2024_20" w:history="1">
        <w:r w:rsidRPr="00E55613">
          <w:rPr>
            <w:rStyle w:val="TextoNormalCaracter"/>
          </w:rPr>
          <w:t>20/2024</w:t>
        </w:r>
      </w:hyperlink>
      <w:r w:rsidRPr="00E55613">
        <w:rPr>
          <w:rStyle w:val="TextoNormalCaracter"/>
        </w:rPr>
        <w:t>, f. 3.</w:t>
      </w:r>
    </w:p>
    <w:p w14:paraId="457D92DF" w14:textId="4B56162C" w:rsidR="00E55613" w:rsidRPr="00E55613" w:rsidRDefault="00E55613" w:rsidP="00E55613">
      <w:pPr>
        <w:pStyle w:val="TextoNormalSangraFrancesa"/>
        <w:rPr>
          <w:rStyle w:val="TextoNormalCaracter"/>
        </w:rPr>
      </w:pPr>
      <w:bookmarkStart w:id="1203" w:name="DESCRIPTORALFABETICO442"/>
      <w:r w:rsidRPr="00E55613">
        <w:rPr>
          <w:rStyle w:val="TextoNormalNegritaCaracter"/>
        </w:rPr>
        <w:t>Transporte de viajeros por carretera</w:t>
      </w:r>
      <w:bookmarkEnd w:id="1203"/>
      <w:r w:rsidRPr="00E55613">
        <w:rPr>
          <w:rStyle w:val="TextoNormalCaracter"/>
        </w:rPr>
        <w:t xml:space="preserve">, Sentencia </w:t>
      </w:r>
      <w:hyperlink w:anchor="SENTENCIA_2024_88" w:history="1">
        <w:r w:rsidRPr="00E55613">
          <w:rPr>
            <w:rStyle w:val="TextoNormalCaracter"/>
          </w:rPr>
          <w:t>88/2024</w:t>
        </w:r>
      </w:hyperlink>
      <w:r w:rsidRPr="00E55613">
        <w:rPr>
          <w:rStyle w:val="TextoNormalCaracter"/>
        </w:rPr>
        <w:t>, f. 1.</w:t>
      </w:r>
    </w:p>
    <w:p w14:paraId="5D14B8B6" w14:textId="107EA9F2" w:rsidR="00E55613" w:rsidRPr="00E55613" w:rsidRDefault="00E55613" w:rsidP="00E55613">
      <w:pPr>
        <w:pStyle w:val="TextoNormalSangraFrancesa"/>
        <w:rPr>
          <w:rStyle w:val="TextoNormalCaracter"/>
        </w:rPr>
      </w:pPr>
      <w:bookmarkStart w:id="1204" w:name="DESCRIPTORALFABETICO443"/>
      <w:r w:rsidRPr="00E55613">
        <w:rPr>
          <w:rStyle w:val="TextoNormalNegritaCaracter"/>
        </w:rPr>
        <w:t>Transporte urbano</w:t>
      </w:r>
      <w:bookmarkEnd w:id="1204"/>
      <w:r w:rsidRPr="00E55613">
        <w:rPr>
          <w:rStyle w:val="TextoNormalCaracter"/>
        </w:rPr>
        <w:t xml:space="preserve">, Sentencia </w:t>
      </w:r>
      <w:hyperlink w:anchor="SENTENCIA_2024_88" w:history="1">
        <w:r w:rsidRPr="00E55613">
          <w:rPr>
            <w:rStyle w:val="TextoNormalCaracter"/>
          </w:rPr>
          <w:t>88/2024</w:t>
        </w:r>
      </w:hyperlink>
      <w:r w:rsidRPr="00E55613">
        <w:rPr>
          <w:rStyle w:val="TextoNormalCaracter"/>
        </w:rPr>
        <w:t>, f. 1.</w:t>
      </w:r>
    </w:p>
    <w:p w14:paraId="531B424A" w14:textId="33DA9EFA" w:rsidR="00E55613" w:rsidRPr="00E55613" w:rsidRDefault="00E55613" w:rsidP="00E55613">
      <w:pPr>
        <w:pStyle w:val="TextoNormalSangraFrancesa"/>
        <w:rPr>
          <w:rStyle w:val="TextoNormalCaracter"/>
        </w:rPr>
      </w:pPr>
      <w:bookmarkStart w:id="1205" w:name="DESCRIPTORALFABETICO357"/>
      <w:r w:rsidRPr="00E55613">
        <w:rPr>
          <w:rStyle w:val="TextoNormalNegritaCaracter"/>
        </w:rPr>
        <w:t>Transposición de directivas de la Unión Europea</w:t>
      </w:r>
      <w:bookmarkEnd w:id="1205"/>
      <w:r w:rsidRPr="00E55613">
        <w:rPr>
          <w:rStyle w:val="TextoNormalCaracter"/>
        </w:rPr>
        <w:t xml:space="preserve">, Sentencia </w:t>
      </w:r>
      <w:hyperlink w:anchor="SENTENCIA_2024_65" w:history="1">
        <w:r w:rsidRPr="00E55613">
          <w:rPr>
            <w:rStyle w:val="TextoNormalCaracter"/>
          </w:rPr>
          <w:t>65/2024</w:t>
        </w:r>
      </w:hyperlink>
      <w:r w:rsidRPr="00E55613">
        <w:rPr>
          <w:rStyle w:val="TextoNormalCaracter"/>
        </w:rPr>
        <w:t>, f. 4.</w:t>
      </w:r>
    </w:p>
    <w:p w14:paraId="6BF488C5" w14:textId="25610457" w:rsidR="00E55613" w:rsidRPr="00E55613" w:rsidRDefault="00E55613" w:rsidP="00E55613">
      <w:pPr>
        <w:pStyle w:val="TextoNormalSangraFrancesa"/>
        <w:rPr>
          <w:rStyle w:val="TextoNormalCaracter"/>
        </w:rPr>
      </w:pPr>
      <w:bookmarkStart w:id="1206" w:name="DESCRIPTORALFABETICO359"/>
      <w:r w:rsidRPr="00E55613">
        <w:rPr>
          <w:rStyle w:val="TextoNormalNegritaCaracter"/>
        </w:rPr>
        <w:t>Tratados internacionales</w:t>
      </w:r>
      <w:bookmarkEnd w:id="1206"/>
      <w:r w:rsidRPr="00E55613">
        <w:rPr>
          <w:rStyle w:val="TextoNormalCaracter"/>
        </w:rPr>
        <w:t xml:space="preserve">, Sentencia </w:t>
      </w:r>
      <w:hyperlink w:anchor="SENTENCIA_2024_48" w:history="1">
        <w:r w:rsidRPr="00E55613">
          <w:rPr>
            <w:rStyle w:val="TextoNormalCaracter"/>
          </w:rPr>
          <w:t>48/2024</w:t>
        </w:r>
      </w:hyperlink>
      <w:r w:rsidRPr="00E55613">
        <w:rPr>
          <w:rStyle w:val="TextoNormalCaracter"/>
        </w:rPr>
        <w:t>, f. 2.</w:t>
      </w:r>
    </w:p>
    <w:p w14:paraId="3A1D5592" w14:textId="786BD245" w:rsidR="00E55613" w:rsidRPr="00E55613" w:rsidRDefault="00E55613" w:rsidP="00E55613">
      <w:pPr>
        <w:pStyle w:val="TextoNormalSangraFrancesa"/>
        <w:rPr>
          <w:rStyle w:val="TextoNormalCaracter"/>
        </w:rPr>
      </w:pPr>
      <w:bookmarkStart w:id="1207" w:name="DESCRIPTORALFABETICO360"/>
      <w:r w:rsidRPr="00E55613">
        <w:rPr>
          <w:rStyle w:val="TextoNormalNegritaCaracter"/>
        </w:rPr>
        <w:t>Tratados internacionales ratificados por España</w:t>
      </w:r>
      <w:bookmarkEnd w:id="1207"/>
      <w:r w:rsidRPr="00E55613">
        <w:rPr>
          <w:rStyle w:val="TextoNormalCaracter"/>
        </w:rPr>
        <w:t xml:space="preserve">, Auto </w:t>
      </w:r>
      <w:hyperlink w:anchor="AUTO_2024_57" w:history="1">
        <w:r w:rsidRPr="00E55613">
          <w:rPr>
            <w:rStyle w:val="TextoNormalCaracter"/>
          </w:rPr>
          <w:t>57/2024</w:t>
        </w:r>
      </w:hyperlink>
      <w:r w:rsidRPr="00E55613">
        <w:rPr>
          <w:rStyle w:val="TextoNormalCaracter"/>
        </w:rPr>
        <w:t>, VP II.</w:t>
      </w:r>
    </w:p>
    <w:p w14:paraId="34C2D66E" w14:textId="77777777" w:rsidR="00E55613" w:rsidRPr="00E55613" w:rsidRDefault="00E55613" w:rsidP="00E55613">
      <w:pPr>
        <w:pStyle w:val="TextoNormalSangraFrancesa"/>
        <w:rPr>
          <w:rStyle w:val="TextoNormalCaracter"/>
        </w:rPr>
      </w:pPr>
      <w:bookmarkStart w:id="1208" w:name="DESCRIPTORALFABETICO49"/>
      <w:r w:rsidRPr="00E55613">
        <w:rPr>
          <w:rStyle w:val="TextoNormalNegritaCaracter"/>
        </w:rPr>
        <w:t>Tratos inhumanos o degradantes</w:t>
      </w:r>
      <w:bookmarkEnd w:id="1208"/>
      <w:r w:rsidRPr="00E55613">
        <w:rPr>
          <w:rStyle w:val="TextoNormalCaracter"/>
        </w:rPr>
        <w:t xml:space="preserve">, </w:t>
      </w:r>
    </w:p>
    <w:p w14:paraId="5397F4DA" w14:textId="71CB91CC" w:rsidR="00E55613" w:rsidRPr="00E55613" w:rsidRDefault="00E55613" w:rsidP="00E55613">
      <w:pPr>
        <w:pStyle w:val="TextoNormalSangraFrancesa"/>
        <w:rPr>
          <w:rStyle w:val="TextoNormalCaracter"/>
        </w:rPr>
      </w:pPr>
      <w:r w:rsidRPr="00E55613">
        <w:rPr>
          <w:rStyle w:val="TextoNormalCursivaCaracter"/>
        </w:rPr>
        <w:t xml:space="preserve">    Doctrina constitucional, </w:t>
      </w:r>
      <w:r w:rsidRPr="00E55613">
        <w:rPr>
          <w:rStyle w:val="TextoNormalCaracter"/>
        </w:rPr>
        <w:t xml:space="preserve">Sentencias </w:t>
      </w:r>
      <w:hyperlink w:anchor="SENTENCIA_2024_1" w:history="1">
        <w:r w:rsidRPr="00E55613">
          <w:rPr>
            <w:rStyle w:val="TextoNormalCaracter"/>
          </w:rPr>
          <w:t>1/2024</w:t>
        </w:r>
      </w:hyperlink>
      <w:r w:rsidRPr="00E55613">
        <w:rPr>
          <w:rStyle w:val="TextoNormalCaracter"/>
        </w:rPr>
        <w:t xml:space="preserve">, f. 2; </w:t>
      </w:r>
      <w:hyperlink w:anchor="SENTENCIA_2024_33" w:history="1">
        <w:r w:rsidRPr="00E55613">
          <w:rPr>
            <w:rStyle w:val="TextoNormalCaracter"/>
          </w:rPr>
          <w:t>33/2024</w:t>
        </w:r>
      </w:hyperlink>
      <w:r w:rsidRPr="00E55613">
        <w:rPr>
          <w:rStyle w:val="TextoNormalCaracter"/>
        </w:rPr>
        <w:t>, f. 2.</w:t>
      </w:r>
    </w:p>
    <w:p w14:paraId="24ED7247" w14:textId="0A3B4B60" w:rsidR="00E55613" w:rsidRPr="00E55613" w:rsidRDefault="00E55613" w:rsidP="00E55613">
      <w:pPr>
        <w:pStyle w:val="TextoNormalSangraFrancesa"/>
        <w:rPr>
          <w:rStyle w:val="TextoNormalCaracter"/>
        </w:rPr>
      </w:pPr>
      <w:bookmarkStart w:id="1209" w:name="DESCRIPTORALFABETICO201"/>
      <w:r w:rsidRPr="00E55613">
        <w:rPr>
          <w:rStyle w:val="TextoNormalNegritaCaracter"/>
        </w:rPr>
        <w:t>Tribunal de Cuentas</w:t>
      </w:r>
      <w:bookmarkEnd w:id="1209"/>
      <w:r w:rsidRPr="00E55613">
        <w:rPr>
          <w:rStyle w:val="TextoNormalCaracter"/>
        </w:rPr>
        <w:t xml:space="preserve">, Sentencia </w:t>
      </w:r>
      <w:hyperlink w:anchor="SENTENCIA_2024_69" w:history="1">
        <w:r w:rsidRPr="00E55613">
          <w:rPr>
            <w:rStyle w:val="TextoNormalCaracter"/>
          </w:rPr>
          <w:t>69/2024</w:t>
        </w:r>
      </w:hyperlink>
      <w:r w:rsidRPr="00E55613">
        <w:rPr>
          <w:rStyle w:val="TextoNormalCaracter"/>
        </w:rPr>
        <w:t>, f. 1.</w:t>
      </w:r>
    </w:p>
    <w:p w14:paraId="4B4F820E" w14:textId="3978D2BA" w:rsidR="00E55613" w:rsidRPr="00E55613" w:rsidRDefault="00E55613" w:rsidP="00E55613">
      <w:pPr>
        <w:pStyle w:val="TextoNormalSangraFrancesa"/>
        <w:rPr>
          <w:rStyle w:val="TextoNormalCaracter"/>
        </w:rPr>
      </w:pPr>
      <w:bookmarkStart w:id="1210" w:name="DESCRIPTORALFABETICO83"/>
      <w:r w:rsidRPr="00E55613">
        <w:rPr>
          <w:rStyle w:val="TextoNormalNegritaCaracter"/>
        </w:rPr>
        <w:t>Tutela judicial cautelar</w:t>
      </w:r>
      <w:bookmarkEnd w:id="1210"/>
      <w:r w:rsidRPr="00E55613">
        <w:rPr>
          <w:rStyle w:val="TextoNormalCaracter"/>
        </w:rPr>
        <w:t xml:space="preserve">, Sentencia </w:t>
      </w:r>
      <w:hyperlink w:anchor="SENTENCIA_2024_62" w:history="1">
        <w:r w:rsidRPr="00E55613">
          <w:rPr>
            <w:rStyle w:val="TextoNormalCaracter"/>
          </w:rPr>
          <w:t>62/2024</w:t>
        </w:r>
      </w:hyperlink>
      <w:r w:rsidRPr="00E55613">
        <w:rPr>
          <w:rStyle w:val="TextoNormalCaracter"/>
        </w:rPr>
        <w:t>, ff. 1 y 2.</w:t>
      </w:r>
    </w:p>
    <w:p w14:paraId="4032EC10" w14:textId="2E67485A" w:rsidR="00E55613" w:rsidRDefault="00E55613" w:rsidP="00E55613">
      <w:pPr>
        <w:pStyle w:val="TextoNormalSangraFrancesa"/>
      </w:pPr>
    </w:p>
    <w:p w14:paraId="06B49444" w14:textId="77777777" w:rsidR="00E55613" w:rsidRDefault="00E55613" w:rsidP="00E55613">
      <w:pPr>
        <w:pStyle w:val="TextoNormalSangraFrancesa"/>
      </w:pPr>
    </w:p>
    <w:p w14:paraId="4034929F" w14:textId="77777777" w:rsidR="00E55613" w:rsidRDefault="00E55613" w:rsidP="00E55613">
      <w:pPr>
        <w:pStyle w:val="TextoNormalNegritaCentrado"/>
      </w:pPr>
      <w:r>
        <w:t>V</w:t>
      </w:r>
    </w:p>
    <w:p w14:paraId="4A145019" w14:textId="0851ABB2" w:rsidR="00E55613" w:rsidRDefault="00E55613" w:rsidP="00E55613">
      <w:pPr>
        <w:pStyle w:val="TextoNormalNegritaCentrado"/>
      </w:pPr>
    </w:p>
    <w:p w14:paraId="570ABACA" w14:textId="4684BD43" w:rsidR="00E55613" w:rsidRPr="00E55613" w:rsidRDefault="00E55613" w:rsidP="00E55613">
      <w:pPr>
        <w:pStyle w:val="TextoNormalSangraFrancesa"/>
        <w:rPr>
          <w:rStyle w:val="TextoNormalCaracter"/>
        </w:rPr>
      </w:pPr>
      <w:bookmarkStart w:id="1211" w:name="DESCRIPTORALFABETICO425"/>
      <w:r w:rsidRPr="00E55613">
        <w:rPr>
          <w:rStyle w:val="TextoNormalNegritaCaracter"/>
        </w:rPr>
        <w:t>Vacunación</w:t>
      </w:r>
      <w:bookmarkEnd w:id="1211"/>
      <w:r w:rsidRPr="00E55613">
        <w:rPr>
          <w:rStyle w:val="TextoNormalCaracter"/>
        </w:rPr>
        <w:t xml:space="preserve">, Sentencias </w:t>
      </w:r>
      <w:hyperlink w:anchor="SENTENCIA_2024_4" w:history="1">
        <w:r w:rsidRPr="00E55613">
          <w:rPr>
            <w:rStyle w:val="TextoNormalCaracter"/>
          </w:rPr>
          <w:t>4/2024</w:t>
        </w:r>
      </w:hyperlink>
      <w:r w:rsidRPr="00E55613">
        <w:rPr>
          <w:rStyle w:val="TextoNormalCaracter"/>
        </w:rPr>
        <w:t xml:space="preserve">, f. 1; </w:t>
      </w:r>
      <w:hyperlink w:anchor="SENTENCIA_2024_5" w:history="1">
        <w:r w:rsidRPr="00E55613">
          <w:rPr>
            <w:rStyle w:val="TextoNormalCaracter"/>
          </w:rPr>
          <w:t>5/2024</w:t>
        </w:r>
      </w:hyperlink>
      <w:r w:rsidRPr="00E55613">
        <w:rPr>
          <w:rStyle w:val="TextoNormalCaracter"/>
        </w:rPr>
        <w:t xml:space="preserve">, f. 3; </w:t>
      </w:r>
      <w:hyperlink w:anchor="SENTENCIA_2024_6" w:history="1">
        <w:r w:rsidRPr="00E55613">
          <w:rPr>
            <w:rStyle w:val="TextoNormalCaracter"/>
          </w:rPr>
          <w:t>6/2024</w:t>
        </w:r>
      </w:hyperlink>
      <w:r w:rsidRPr="00E55613">
        <w:rPr>
          <w:rStyle w:val="TextoNormalCaracter"/>
        </w:rPr>
        <w:t xml:space="preserve">, f. 3; </w:t>
      </w:r>
      <w:hyperlink w:anchor="SENTENCIA_2024_13" w:history="1">
        <w:r w:rsidRPr="00E55613">
          <w:rPr>
            <w:rStyle w:val="TextoNormalCaracter"/>
          </w:rPr>
          <w:t>13/2024</w:t>
        </w:r>
      </w:hyperlink>
      <w:r w:rsidRPr="00E55613">
        <w:rPr>
          <w:rStyle w:val="TextoNormalCaracter"/>
        </w:rPr>
        <w:t xml:space="preserve">, f. 3; </w:t>
      </w:r>
      <w:hyperlink w:anchor="SENTENCIA_2024_14" w:history="1">
        <w:r w:rsidRPr="00E55613">
          <w:rPr>
            <w:rStyle w:val="TextoNormalCaracter"/>
          </w:rPr>
          <w:t>14/2024</w:t>
        </w:r>
      </w:hyperlink>
      <w:r w:rsidRPr="00E55613">
        <w:rPr>
          <w:rStyle w:val="TextoNormalCaracter"/>
        </w:rPr>
        <w:t xml:space="preserve">, f. 4; </w:t>
      </w:r>
      <w:hyperlink w:anchor="SENTENCIA_2024_24" w:history="1">
        <w:r w:rsidRPr="00E55613">
          <w:rPr>
            <w:rStyle w:val="TextoNormalCaracter"/>
          </w:rPr>
          <w:t>24/2024</w:t>
        </w:r>
      </w:hyperlink>
      <w:r w:rsidRPr="00E55613">
        <w:rPr>
          <w:rStyle w:val="TextoNormalCaracter"/>
        </w:rPr>
        <w:t xml:space="preserve">, f. 3; </w:t>
      </w:r>
      <w:hyperlink w:anchor="SENTENCIA_2024_41" w:history="1">
        <w:r w:rsidRPr="00E55613">
          <w:rPr>
            <w:rStyle w:val="TextoNormalCaracter"/>
          </w:rPr>
          <w:t>41/2024</w:t>
        </w:r>
      </w:hyperlink>
      <w:r w:rsidRPr="00E55613">
        <w:rPr>
          <w:rStyle w:val="TextoNormalCaracter"/>
        </w:rPr>
        <w:t xml:space="preserve">, f. 1; </w:t>
      </w:r>
      <w:hyperlink w:anchor="SENTENCIA_2024_56" w:history="1">
        <w:r w:rsidRPr="00E55613">
          <w:rPr>
            <w:rStyle w:val="TextoNormalCaracter"/>
          </w:rPr>
          <w:t>56/2024</w:t>
        </w:r>
      </w:hyperlink>
      <w:r w:rsidRPr="00E55613">
        <w:rPr>
          <w:rStyle w:val="TextoNormalCaracter"/>
        </w:rPr>
        <w:t xml:space="preserve">, f. 3; </w:t>
      </w:r>
      <w:hyperlink w:anchor="SENTENCIA_2024_58" w:history="1">
        <w:r w:rsidRPr="00E55613">
          <w:rPr>
            <w:rStyle w:val="TextoNormalCaracter"/>
          </w:rPr>
          <w:t>58/2024</w:t>
        </w:r>
      </w:hyperlink>
      <w:r w:rsidRPr="00E55613">
        <w:rPr>
          <w:rStyle w:val="TextoNormalCaracter"/>
        </w:rPr>
        <w:t xml:space="preserve">, f. 3; </w:t>
      </w:r>
      <w:hyperlink w:anchor="SENTENCIA_2024_59" w:history="1">
        <w:r w:rsidRPr="00E55613">
          <w:rPr>
            <w:rStyle w:val="TextoNormalCaracter"/>
          </w:rPr>
          <w:t>59/2024</w:t>
        </w:r>
      </w:hyperlink>
      <w:r w:rsidRPr="00E55613">
        <w:rPr>
          <w:rStyle w:val="TextoNormalCaracter"/>
        </w:rPr>
        <w:t xml:space="preserve">, f. 3; </w:t>
      </w:r>
      <w:hyperlink w:anchor="SENTENCIA_2024_60" w:history="1">
        <w:r w:rsidRPr="00E55613">
          <w:rPr>
            <w:rStyle w:val="TextoNormalCaracter"/>
          </w:rPr>
          <w:t>60/2024</w:t>
        </w:r>
      </w:hyperlink>
      <w:r w:rsidRPr="00E55613">
        <w:rPr>
          <w:rStyle w:val="TextoNormalCaracter"/>
        </w:rPr>
        <w:t xml:space="preserve">, f. 3; </w:t>
      </w:r>
      <w:hyperlink w:anchor="SENTENCIA_2024_71" w:history="1">
        <w:r w:rsidRPr="00E55613">
          <w:rPr>
            <w:rStyle w:val="TextoNormalCaracter"/>
          </w:rPr>
          <w:t>71/2024</w:t>
        </w:r>
      </w:hyperlink>
      <w:r w:rsidRPr="00E55613">
        <w:rPr>
          <w:rStyle w:val="TextoNormalCaracter"/>
        </w:rPr>
        <w:t xml:space="preserve">, f. único; </w:t>
      </w:r>
      <w:hyperlink w:anchor="SENTENCIA_2024_83" w:history="1">
        <w:r w:rsidRPr="00E55613">
          <w:rPr>
            <w:rStyle w:val="TextoNormalCaracter"/>
          </w:rPr>
          <w:t>83/2024</w:t>
        </w:r>
      </w:hyperlink>
      <w:r w:rsidRPr="00E55613">
        <w:rPr>
          <w:rStyle w:val="TextoNormalCaracter"/>
        </w:rPr>
        <w:t>, f. 3.</w:t>
      </w:r>
    </w:p>
    <w:p w14:paraId="283488A5" w14:textId="1C37B5AA" w:rsidR="00E55613" w:rsidRPr="00E55613" w:rsidRDefault="00E55613" w:rsidP="00E55613">
      <w:pPr>
        <w:pStyle w:val="TextoNormalSangraFrancesa"/>
        <w:rPr>
          <w:rStyle w:val="TextoNormalCaracter"/>
        </w:rPr>
      </w:pPr>
      <w:bookmarkStart w:id="1212" w:name="DESCRIPTORALFABETICO482"/>
      <w:r w:rsidRPr="00E55613">
        <w:rPr>
          <w:rStyle w:val="TextoNormalNegritaCaracter"/>
        </w:rPr>
        <w:t>Valor probatorio de diligencias policiales</w:t>
      </w:r>
      <w:bookmarkEnd w:id="1212"/>
      <w:r w:rsidRPr="00E55613">
        <w:rPr>
          <w:rStyle w:val="TextoNormalCaracter"/>
        </w:rPr>
        <w:t xml:space="preserve">, Sentencia </w:t>
      </w:r>
      <w:hyperlink w:anchor="SENTENCIA_2024_87" w:history="1">
        <w:r w:rsidRPr="00E55613">
          <w:rPr>
            <w:rStyle w:val="TextoNormalCaracter"/>
          </w:rPr>
          <w:t>87/2024</w:t>
        </w:r>
      </w:hyperlink>
      <w:r w:rsidRPr="00E55613">
        <w:rPr>
          <w:rStyle w:val="TextoNormalCaracter"/>
        </w:rPr>
        <w:t>, f. 3, VP III.</w:t>
      </w:r>
    </w:p>
    <w:p w14:paraId="728DD54F" w14:textId="1D7F178A" w:rsidR="00E55613" w:rsidRPr="00E55613" w:rsidRDefault="00E55613" w:rsidP="00E55613">
      <w:pPr>
        <w:pStyle w:val="TextoNormalSangraFrancesa"/>
        <w:rPr>
          <w:rStyle w:val="TextoNormalCaracter"/>
        </w:rPr>
      </w:pPr>
      <w:bookmarkStart w:id="1213" w:name="DESCRIPTORALFABETICO414"/>
      <w:r w:rsidRPr="00E55613">
        <w:rPr>
          <w:rStyle w:val="TextoNormalNegritaCaracter"/>
        </w:rPr>
        <w:t>Viabilidad del feto</w:t>
      </w:r>
      <w:bookmarkEnd w:id="1213"/>
      <w:r w:rsidRPr="00E55613">
        <w:rPr>
          <w:rStyle w:val="TextoNormalCaracter"/>
        </w:rPr>
        <w:t xml:space="preserve">, Sentencia </w:t>
      </w:r>
      <w:hyperlink w:anchor="SENTENCIA_2024_92" w:history="1">
        <w:r w:rsidRPr="00E55613">
          <w:rPr>
            <w:rStyle w:val="TextoNormalCaracter"/>
          </w:rPr>
          <w:t>92/2024</w:t>
        </w:r>
      </w:hyperlink>
      <w:r w:rsidRPr="00E55613">
        <w:rPr>
          <w:rStyle w:val="TextoNormalCaracter"/>
        </w:rPr>
        <w:t>, f. 8, VP III.</w:t>
      </w:r>
    </w:p>
    <w:p w14:paraId="747BA05B" w14:textId="4D39D078" w:rsidR="00E55613" w:rsidRPr="00E55613" w:rsidRDefault="00E55613" w:rsidP="00E55613">
      <w:pPr>
        <w:pStyle w:val="TextoNormalSangraFrancesa"/>
        <w:rPr>
          <w:rStyle w:val="TextoNormalCaracter"/>
        </w:rPr>
      </w:pPr>
      <w:bookmarkStart w:id="1214" w:name="DESCRIPTORALFABETICO231"/>
      <w:r w:rsidRPr="00E55613">
        <w:rPr>
          <w:rStyle w:val="TextoNormalNegritaCaracter"/>
        </w:rPr>
        <w:t>Vicios en el procedimiento legislativo</w:t>
      </w:r>
      <w:bookmarkEnd w:id="1214"/>
      <w:r w:rsidRPr="00E55613">
        <w:rPr>
          <w:rStyle w:val="TextoNormalCaracter"/>
        </w:rPr>
        <w:t xml:space="preserve">, Sentencia </w:t>
      </w:r>
      <w:hyperlink w:anchor="SENTENCIA_2024_15" w:history="1">
        <w:r w:rsidRPr="00E55613">
          <w:rPr>
            <w:rStyle w:val="TextoNormalCaracter"/>
          </w:rPr>
          <w:t>15/2024</w:t>
        </w:r>
      </w:hyperlink>
      <w:r w:rsidRPr="00E55613">
        <w:rPr>
          <w:rStyle w:val="TextoNormalCaracter"/>
        </w:rPr>
        <w:t>, ff. 2 a 7.</w:t>
      </w:r>
    </w:p>
    <w:p w14:paraId="7B579398" w14:textId="3A517EC5" w:rsidR="00E55613" w:rsidRPr="00E55613" w:rsidRDefault="00E55613" w:rsidP="00E55613">
      <w:pPr>
        <w:pStyle w:val="TextoNormalSangraFrancesa"/>
        <w:rPr>
          <w:rStyle w:val="TextoNormalCaracter"/>
        </w:rPr>
      </w:pPr>
      <w:bookmarkStart w:id="1215" w:name="DESCRIPTORALFABETICO343"/>
      <w:r w:rsidRPr="00E55613">
        <w:rPr>
          <w:rStyle w:val="TextoNormalNegritaCaracter"/>
        </w:rPr>
        <w:t>Violencia de género</w:t>
      </w:r>
      <w:bookmarkEnd w:id="1215"/>
      <w:r w:rsidRPr="00E55613">
        <w:rPr>
          <w:rStyle w:val="TextoNormalCaracter"/>
        </w:rPr>
        <w:t xml:space="preserve">, Sentencias </w:t>
      </w:r>
      <w:hyperlink w:anchor="SENTENCIA_2024_44" w:history="1">
        <w:r w:rsidRPr="00E55613">
          <w:rPr>
            <w:rStyle w:val="TextoNormalCaracter"/>
          </w:rPr>
          <w:t>44/2024</w:t>
        </w:r>
      </w:hyperlink>
      <w:r w:rsidRPr="00E55613">
        <w:rPr>
          <w:rStyle w:val="TextoNormalCaracter"/>
        </w:rPr>
        <w:t xml:space="preserve">, ff. 1 a 6, VP I; </w:t>
      </w:r>
      <w:hyperlink w:anchor="SENTENCIA_2024_48" w:history="1">
        <w:r w:rsidRPr="00E55613">
          <w:rPr>
            <w:rStyle w:val="TextoNormalCaracter"/>
          </w:rPr>
          <w:t>48/2024</w:t>
        </w:r>
      </w:hyperlink>
      <w:r w:rsidRPr="00E55613">
        <w:rPr>
          <w:rStyle w:val="TextoNormalCaracter"/>
        </w:rPr>
        <w:t>, ff. 1 y 5, VP II.</w:t>
      </w:r>
    </w:p>
    <w:p w14:paraId="193E1DA4" w14:textId="1C7078F6" w:rsidR="00E55613" w:rsidRPr="00E55613" w:rsidRDefault="00E55613" w:rsidP="00E55613">
      <w:pPr>
        <w:pStyle w:val="TextoNormalSangraFrancesa"/>
        <w:rPr>
          <w:rStyle w:val="TextoNormalCaracter"/>
        </w:rPr>
      </w:pPr>
      <w:bookmarkStart w:id="1216" w:name="DESCRIPTORALFABETICO411"/>
      <w:r w:rsidRPr="00E55613">
        <w:rPr>
          <w:rStyle w:val="TextoNormalNegritaCaracter"/>
        </w:rPr>
        <w:t>Violencia sobre la mujer</w:t>
      </w:r>
      <w:bookmarkEnd w:id="1216"/>
      <w:r w:rsidRPr="00E55613">
        <w:rPr>
          <w:rStyle w:val="TextoNormalCaracter"/>
        </w:rPr>
        <w:t xml:space="preserve">, Sentencia </w:t>
      </w:r>
      <w:hyperlink w:anchor="SENTENCIA_2024_44" w:history="1">
        <w:r w:rsidRPr="00E55613">
          <w:rPr>
            <w:rStyle w:val="TextoNormalCaracter"/>
          </w:rPr>
          <w:t>44/2024</w:t>
        </w:r>
      </w:hyperlink>
      <w:r w:rsidRPr="00E55613">
        <w:rPr>
          <w:rStyle w:val="TextoNormalCaracter"/>
        </w:rPr>
        <w:t>, ff. 1 a 6, VP I.</w:t>
      </w:r>
    </w:p>
    <w:p w14:paraId="40F683B4" w14:textId="5A98AB3C" w:rsidR="00E55613" w:rsidRPr="00E55613" w:rsidRDefault="00E55613" w:rsidP="00E55613">
      <w:pPr>
        <w:pStyle w:val="TextoNormalSangraFrancesa"/>
        <w:rPr>
          <w:rStyle w:val="TextoNormalCaracter"/>
        </w:rPr>
      </w:pPr>
      <w:bookmarkStart w:id="1217" w:name="DESCRIPTORALFABETICO444"/>
      <w:r w:rsidRPr="00E55613">
        <w:rPr>
          <w:rStyle w:val="TextoNormalNegritaCaracter"/>
        </w:rPr>
        <w:t>Vivienda</w:t>
      </w:r>
      <w:bookmarkEnd w:id="1217"/>
      <w:r w:rsidRPr="00E55613">
        <w:rPr>
          <w:rStyle w:val="TextoNormalCaracter"/>
        </w:rPr>
        <w:t xml:space="preserve">, Sentencia </w:t>
      </w:r>
      <w:hyperlink w:anchor="SENTENCIA_2024_79" w:history="1">
        <w:r w:rsidRPr="00E55613">
          <w:rPr>
            <w:rStyle w:val="TextoNormalCaracter"/>
          </w:rPr>
          <w:t>79/2024</w:t>
        </w:r>
      </w:hyperlink>
      <w:r w:rsidRPr="00E55613">
        <w:rPr>
          <w:rStyle w:val="TextoNormalCaracter"/>
        </w:rPr>
        <w:t>, f. 1.</w:t>
      </w:r>
    </w:p>
    <w:p w14:paraId="1D2372BA" w14:textId="130CBEC0" w:rsidR="00E55613" w:rsidRPr="00E55613" w:rsidRDefault="00E55613" w:rsidP="00E55613">
      <w:pPr>
        <w:pStyle w:val="TextoNormalSangraFrancesa"/>
        <w:rPr>
          <w:rStyle w:val="TextoNormalCaracter"/>
        </w:rPr>
      </w:pPr>
      <w:bookmarkStart w:id="1218" w:name="DESCRIPTORALFABETICO446"/>
      <w:r w:rsidRPr="00E55613">
        <w:rPr>
          <w:rStyle w:val="TextoNormalNegritaCaracter"/>
        </w:rPr>
        <w:t>Viviendas de protección oficial</w:t>
      </w:r>
      <w:bookmarkEnd w:id="1218"/>
      <w:r w:rsidRPr="00E55613">
        <w:rPr>
          <w:rStyle w:val="TextoNormalCaracter"/>
        </w:rPr>
        <w:t xml:space="preserve">, Sentencia </w:t>
      </w:r>
      <w:hyperlink w:anchor="SENTENCIA_2024_79" w:history="1">
        <w:r w:rsidRPr="00E55613">
          <w:rPr>
            <w:rStyle w:val="TextoNormalCaracter"/>
          </w:rPr>
          <w:t>79/2024</w:t>
        </w:r>
      </w:hyperlink>
      <w:r w:rsidRPr="00E55613">
        <w:rPr>
          <w:rStyle w:val="TextoNormalCaracter"/>
        </w:rPr>
        <w:t>, f. 7.</w:t>
      </w:r>
    </w:p>
    <w:p w14:paraId="409B9B62" w14:textId="6B72F7AE" w:rsidR="00E55613" w:rsidRPr="00E55613" w:rsidRDefault="00E55613" w:rsidP="00E55613">
      <w:pPr>
        <w:pStyle w:val="TextoNormalSangraFrancesa"/>
        <w:rPr>
          <w:rStyle w:val="TextoNormalCaracter"/>
        </w:rPr>
      </w:pPr>
      <w:bookmarkStart w:id="1219" w:name="DESCRIPTORALFABETICO447"/>
      <w:r w:rsidRPr="00E55613">
        <w:rPr>
          <w:rStyle w:val="TextoNormalNegritaCaracter"/>
        </w:rPr>
        <w:t>Viviendas destinadas a fines sociales</w:t>
      </w:r>
      <w:bookmarkEnd w:id="1219"/>
      <w:r w:rsidRPr="00E55613">
        <w:rPr>
          <w:rStyle w:val="TextoNormalCaracter"/>
        </w:rPr>
        <w:t xml:space="preserve">, Sentencia </w:t>
      </w:r>
      <w:hyperlink w:anchor="SENTENCIA_2024_79" w:history="1">
        <w:r w:rsidRPr="00E55613">
          <w:rPr>
            <w:rStyle w:val="TextoNormalCaracter"/>
          </w:rPr>
          <w:t>79/2024</w:t>
        </w:r>
      </w:hyperlink>
      <w:r w:rsidRPr="00E55613">
        <w:rPr>
          <w:rStyle w:val="TextoNormalCaracter"/>
        </w:rPr>
        <w:t>, f. 8.</w:t>
      </w:r>
    </w:p>
    <w:p w14:paraId="3CCFE90B" w14:textId="3C0446B6" w:rsidR="00E55613" w:rsidRPr="00E55613" w:rsidRDefault="00E55613" w:rsidP="00E55613">
      <w:pPr>
        <w:pStyle w:val="TextoNormalSangraFrancesa"/>
        <w:rPr>
          <w:rStyle w:val="TextoNormalCaracter"/>
        </w:rPr>
      </w:pPr>
      <w:bookmarkStart w:id="1220" w:name="DESCRIPTORALFABETICO248"/>
      <w:r w:rsidRPr="00E55613">
        <w:rPr>
          <w:rStyle w:val="TextoNormalNegritaCaracter"/>
        </w:rPr>
        <w:lastRenderedPageBreak/>
        <w:t>Votaciones parlamentarias</w:t>
      </w:r>
      <w:bookmarkEnd w:id="1220"/>
      <w:r w:rsidRPr="00E55613">
        <w:rPr>
          <w:rStyle w:val="TextoNormalCaracter"/>
        </w:rPr>
        <w:t xml:space="preserve">, Sentencia </w:t>
      </w:r>
      <w:hyperlink w:anchor="SENTENCIA_2024_86" w:history="1">
        <w:r w:rsidRPr="00E55613">
          <w:rPr>
            <w:rStyle w:val="TextoNormalCaracter"/>
          </w:rPr>
          <w:t>86/2024</w:t>
        </w:r>
      </w:hyperlink>
      <w:r w:rsidRPr="00E55613">
        <w:rPr>
          <w:rStyle w:val="TextoNormalCaracter"/>
        </w:rPr>
        <w:t>, f. 3.</w:t>
      </w:r>
    </w:p>
    <w:p w14:paraId="2EF46077" w14:textId="33EAB6CB" w:rsidR="00E55613" w:rsidRPr="00E55613" w:rsidRDefault="00E55613" w:rsidP="00E55613">
      <w:pPr>
        <w:pStyle w:val="TextoNormalSangraFrancesa"/>
        <w:rPr>
          <w:rStyle w:val="TextoNormalCaracter"/>
        </w:rPr>
      </w:pPr>
      <w:bookmarkStart w:id="1221" w:name="DESCRIPTORALFABETICO194"/>
      <w:r w:rsidRPr="00E55613">
        <w:rPr>
          <w:rStyle w:val="TextoNormalNegritaCaracter"/>
        </w:rPr>
        <w:t>Voto particular, formulado uno</w:t>
      </w:r>
      <w:bookmarkEnd w:id="1221"/>
      <w:r w:rsidRPr="00E55613">
        <w:rPr>
          <w:rStyle w:val="TextoNormalCaracter"/>
        </w:rPr>
        <w:t xml:space="preserve">, Sentencias </w:t>
      </w:r>
      <w:hyperlink w:anchor="SENTENCIA_2024_7" w:history="1">
        <w:r w:rsidRPr="00E55613">
          <w:rPr>
            <w:rStyle w:val="TextoNormalCaracter"/>
          </w:rPr>
          <w:t>7/2024</w:t>
        </w:r>
      </w:hyperlink>
      <w:r w:rsidRPr="00E55613">
        <w:rPr>
          <w:rStyle w:val="TextoNormalCaracter"/>
        </w:rPr>
        <w:t xml:space="preserve">; </w:t>
      </w:r>
      <w:hyperlink w:anchor="SENTENCIA_2024_10" w:history="1">
        <w:r w:rsidRPr="00E55613">
          <w:rPr>
            <w:rStyle w:val="TextoNormalCaracter"/>
          </w:rPr>
          <w:t>10/2024</w:t>
        </w:r>
      </w:hyperlink>
      <w:r w:rsidRPr="00E55613">
        <w:rPr>
          <w:rStyle w:val="TextoNormalCaracter"/>
        </w:rPr>
        <w:t xml:space="preserve">; </w:t>
      </w:r>
      <w:hyperlink w:anchor="SENTENCIA_2024_11" w:history="1">
        <w:r w:rsidRPr="00E55613">
          <w:rPr>
            <w:rStyle w:val="TextoNormalCaracter"/>
          </w:rPr>
          <w:t>11/2024</w:t>
        </w:r>
      </w:hyperlink>
      <w:r w:rsidRPr="00E55613">
        <w:rPr>
          <w:rStyle w:val="TextoNormalCaracter"/>
        </w:rPr>
        <w:t xml:space="preserve">; </w:t>
      </w:r>
      <w:hyperlink w:anchor="SENTENCIA_2024_18" w:history="1">
        <w:r w:rsidRPr="00E55613">
          <w:rPr>
            <w:rStyle w:val="TextoNormalCaracter"/>
          </w:rPr>
          <w:t>18/2024</w:t>
        </w:r>
      </w:hyperlink>
      <w:r w:rsidRPr="00E55613">
        <w:rPr>
          <w:rStyle w:val="TextoNormalCaracter"/>
        </w:rPr>
        <w:t xml:space="preserve">; </w:t>
      </w:r>
      <w:hyperlink w:anchor="SENTENCIA_2024_20" w:history="1">
        <w:r w:rsidRPr="00E55613">
          <w:rPr>
            <w:rStyle w:val="TextoNormalCaracter"/>
          </w:rPr>
          <w:t>20/2024</w:t>
        </w:r>
      </w:hyperlink>
      <w:r w:rsidRPr="00E55613">
        <w:rPr>
          <w:rStyle w:val="TextoNormalCaracter"/>
        </w:rPr>
        <w:t xml:space="preserve">; </w:t>
      </w:r>
      <w:hyperlink w:anchor="SENTENCIA_2024_28" w:history="1">
        <w:r w:rsidRPr="00E55613">
          <w:rPr>
            <w:rStyle w:val="TextoNormalCaracter"/>
          </w:rPr>
          <w:t>28/2024</w:t>
        </w:r>
      </w:hyperlink>
      <w:r w:rsidRPr="00E55613">
        <w:rPr>
          <w:rStyle w:val="TextoNormalCaracter"/>
        </w:rPr>
        <w:t xml:space="preserve">; </w:t>
      </w:r>
      <w:hyperlink w:anchor="SENTENCIA_2024_35" w:history="1">
        <w:r w:rsidRPr="00E55613">
          <w:rPr>
            <w:rStyle w:val="TextoNormalCaracter"/>
          </w:rPr>
          <w:t>35/2024</w:t>
        </w:r>
      </w:hyperlink>
      <w:r w:rsidRPr="00E55613">
        <w:rPr>
          <w:rStyle w:val="TextoNormalCaracter"/>
        </w:rPr>
        <w:t xml:space="preserve">; </w:t>
      </w:r>
      <w:hyperlink w:anchor="SENTENCIA_2024_37" w:history="1">
        <w:r w:rsidRPr="00E55613">
          <w:rPr>
            <w:rStyle w:val="TextoNormalCaracter"/>
          </w:rPr>
          <w:t>37/2024</w:t>
        </w:r>
      </w:hyperlink>
      <w:r w:rsidRPr="00E55613">
        <w:rPr>
          <w:rStyle w:val="TextoNormalCaracter"/>
        </w:rPr>
        <w:t xml:space="preserve">; </w:t>
      </w:r>
      <w:hyperlink w:anchor="SENTENCIA_2024_40" w:history="1">
        <w:r w:rsidRPr="00E55613">
          <w:rPr>
            <w:rStyle w:val="TextoNormalCaracter"/>
          </w:rPr>
          <w:t>40/2024</w:t>
        </w:r>
      </w:hyperlink>
      <w:r w:rsidRPr="00E55613">
        <w:rPr>
          <w:rStyle w:val="TextoNormalCaracter"/>
        </w:rPr>
        <w:t xml:space="preserve">; </w:t>
      </w:r>
      <w:hyperlink w:anchor="SENTENCIA_2024_42" w:history="1">
        <w:r w:rsidRPr="00E55613">
          <w:rPr>
            <w:rStyle w:val="TextoNormalCaracter"/>
          </w:rPr>
          <w:t>42/2024</w:t>
        </w:r>
      </w:hyperlink>
      <w:r w:rsidRPr="00E55613">
        <w:rPr>
          <w:rStyle w:val="TextoNormalCaracter"/>
        </w:rPr>
        <w:t xml:space="preserve">; </w:t>
      </w:r>
      <w:hyperlink w:anchor="SENTENCIA_2024_43" w:history="1">
        <w:r w:rsidRPr="00E55613">
          <w:rPr>
            <w:rStyle w:val="TextoNormalCaracter"/>
          </w:rPr>
          <w:t>43/2024</w:t>
        </w:r>
      </w:hyperlink>
      <w:r w:rsidRPr="00E55613">
        <w:rPr>
          <w:rStyle w:val="TextoNormalCaracter"/>
        </w:rPr>
        <w:t xml:space="preserve">; </w:t>
      </w:r>
      <w:hyperlink w:anchor="SENTENCIA_2024_46" w:history="1">
        <w:r w:rsidRPr="00E55613">
          <w:rPr>
            <w:rStyle w:val="TextoNormalCaracter"/>
          </w:rPr>
          <w:t>46/2024</w:t>
        </w:r>
      </w:hyperlink>
      <w:r w:rsidRPr="00E55613">
        <w:rPr>
          <w:rStyle w:val="TextoNormalCaracter"/>
        </w:rPr>
        <w:t xml:space="preserve">; </w:t>
      </w:r>
      <w:hyperlink w:anchor="SENTENCIA_2024_61" w:history="1">
        <w:r w:rsidRPr="00E55613">
          <w:rPr>
            <w:rStyle w:val="TextoNormalCaracter"/>
          </w:rPr>
          <w:t>61/2024</w:t>
        </w:r>
      </w:hyperlink>
      <w:r w:rsidRPr="00E55613">
        <w:rPr>
          <w:rStyle w:val="TextoNormalCaracter"/>
        </w:rPr>
        <w:t xml:space="preserve">; </w:t>
      </w:r>
      <w:hyperlink w:anchor="SENTENCIA_2024_67" w:history="1">
        <w:r w:rsidRPr="00E55613">
          <w:rPr>
            <w:rStyle w:val="TextoNormalCaracter"/>
          </w:rPr>
          <w:t>67/2024</w:t>
        </w:r>
      </w:hyperlink>
      <w:r w:rsidRPr="00E55613">
        <w:rPr>
          <w:rStyle w:val="TextoNormalCaracter"/>
        </w:rPr>
        <w:t xml:space="preserve">; </w:t>
      </w:r>
      <w:hyperlink w:anchor="SENTENCIA_2024_68" w:history="1">
        <w:r w:rsidRPr="00E55613">
          <w:rPr>
            <w:rStyle w:val="TextoNormalCaracter"/>
          </w:rPr>
          <w:t>68/2024</w:t>
        </w:r>
      </w:hyperlink>
      <w:r w:rsidRPr="00E55613">
        <w:rPr>
          <w:rStyle w:val="TextoNormalCaracter"/>
        </w:rPr>
        <w:t xml:space="preserve">; </w:t>
      </w:r>
      <w:hyperlink w:anchor="SENTENCIA_2024_72" w:history="1">
        <w:r w:rsidRPr="00E55613">
          <w:rPr>
            <w:rStyle w:val="TextoNormalCaracter"/>
          </w:rPr>
          <w:t>72/2024</w:t>
        </w:r>
      </w:hyperlink>
      <w:r w:rsidRPr="00E55613">
        <w:rPr>
          <w:rStyle w:val="TextoNormalCaracter"/>
        </w:rPr>
        <w:t xml:space="preserve">; </w:t>
      </w:r>
      <w:hyperlink w:anchor="SENTENCIA_2024_76" w:history="1">
        <w:r w:rsidRPr="00E55613">
          <w:rPr>
            <w:rStyle w:val="TextoNormalCaracter"/>
          </w:rPr>
          <w:t>76/2024</w:t>
        </w:r>
      </w:hyperlink>
      <w:r w:rsidRPr="00E55613">
        <w:rPr>
          <w:rStyle w:val="TextoNormalCaracter"/>
        </w:rPr>
        <w:t xml:space="preserve">; </w:t>
      </w:r>
      <w:hyperlink w:anchor="SENTENCIA_2024_79" w:history="1">
        <w:r w:rsidRPr="00E55613">
          <w:rPr>
            <w:rStyle w:val="TextoNormalCaracter"/>
          </w:rPr>
          <w:t>79/2024</w:t>
        </w:r>
      </w:hyperlink>
      <w:r w:rsidRPr="00E55613">
        <w:rPr>
          <w:rStyle w:val="TextoNormalCaracter"/>
        </w:rPr>
        <w:t>.</w:t>
      </w:r>
    </w:p>
    <w:p w14:paraId="7F2F6897" w14:textId="018AD55B" w:rsidR="00E55613" w:rsidRPr="00E55613" w:rsidRDefault="00E55613" w:rsidP="00E55613">
      <w:pPr>
        <w:pStyle w:val="TextoNormalSangraFrancesa"/>
        <w:rPr>
          <w:rStyle w:val="TextoNormalCaracter"/>
        </w:rPr>
      </w:pPr>
      <w:r w:rsidRPr="00E55613">
        <w:rPr>
          <w:rStyle w:val="TextoNormalCaracter"/>
        </w:rPr>
        <w:t xml:space="preserve">    Autos </w:t>
      </w:r>
      <w:hyperlink w:anchor="AUTO_2024_24" w:history="1">
        <w:r w:rsidRPr="00E55613">
          <w:rPr>
            <w:rStyle w:val="TextoNormalCaracter"/>
          </w:rPr>
          <w:t>24/2024</w:t>
        </w:r>
      </w:hyperlink>
      <w:r w:rsidRPr="00E55613">
        <w:rPr>
          <w:rStyle w:val="TextoNormalCaracter"/>
        </w:rPr>
        <w:t xml:space="preserve">; </w:t>
      </w:r>
      <w:hyperlink w:anchor="AUTO_2024_47" w:history="1">
        <w:r w:rsidRPr="00E55613">
          <w:rPr>
            <w:rStyle w:val="TextoNormalCaracter"/>
          </w:rPr>
          <w:t>47/2024</w:t>
        </w:r>
      </w:hyperlink>
      <w:r w:rsidRPr="00E55613">
        <w:rPr>
          <w:rStyle w:val="TextoNormalCaracter"/>
        </w:rPr>
        <w:t>.</w:t>
      </w:r>
    </w:p>
    <w:p w14:paraId="68DA664A" w14:textId="64318A12" w:rsidR="00E55613" w:rsidRPr="00E55613" w:rsidRDefault="00E55613" w:rsidP="00E55613">
      <w:pPr>
        <w:pStyle w:val="TextoNormalSangraFrancesa"/>
        <w:rPr>
          <w:rStyle w:val="TextoNormalCaracter"/>
        </w:rPr>
      </w:pPr>
      <w:bookmarkStart w:id="1222" w:name="DESCRIPTORALFABETICO250"/>
      <w:r w:rsidRPr="00E55613">
        <w:rPr>
          <w:rStyle w:val="TextoNormalNegritaCaracter"/>
        </w:rPr>
        <w:t>Voto telemático</w:t>
      </w:r>
      <w:bookmarkEnd w:id="1222"/>
      <w:r w:rsidRPr="00E55613">
        <w:rPr>
          <w:rStyle w:val="TextoNormalCaracter"/>
        </w:rPr>
        <w:t xml:space="preserve">, Sentencia </w:t>
      </w:r>
      <w:hyperlink w:anchor="SENTENCIA_2024_86" w:history="1">
        <w:r w:rsidRPr="00E55613">
          <w:rPr>
            <w:rStyle w:val="TextoNormalCaracter"/>
          </w:rPr>
          <w:t>86/2024</w:t>
        </w:r>
      </w:hyperlink>
      <w:r w:rsidRPr="00E55613">
        <w:rPr>
          <w:rStyle w:val="TextoNormalCaracter"/>
        </w:rPr>
        <w:t>, f. 3.</w:t>
      </w:r>
    </w:p>
    <w:p w14:paraId="6A91F382" w14:textId="2E08CAA7" w:rsidR="00E55613" w:rsidRPr="00E55613" w:rsidRDefault="00E55613" w:rsidP="00E55613">
      <w:pPr>
        <w:pStyle w:val="TextoNormalSangraFrancesa"/>
        <w:rPr>
          <w:rStyle w:val="TextoNormalCaracter"/>
        </w:rPr>
      </w:pPr>
      <w:bookmarkStart w:id="1223" w:name="DESCRIPTORALFABETICO195"/>
      <w:r w:rsidRPr="00E55613">
        <w:rPr>
          <w:rStyle w:val="TextoNormalNegritaCaracter"/>
        </w:rPr>
        <w:t>Votos particulares, formulados cuatro</w:t>
      </w:r>
      <w:bookmarkEnd w:id="1223"/>
      <w:r w:rsidRPr="00E55613">
        <w:rPr>
          <w:rStyle w:val="TextoNormalCaracter"/>
        </w:rPr>
        <w:t xml:space="preserve">, Sentencias </w:t>
      </w:r>
      <w:hyperlink w:anchor="SENTENCIA_2024_87" w:history="1">
        <w:r w:rsidRPr="00E55613">
          <w:rPr>
            <w:rStyle w:val="TextoNormalCaracter"/>
          </w:rPr>
          <w:t>87/2024</w:t>
        </w:r>
      </w:hyperlink>
      <w:r w:rsidRPr="00E55613">
        <w:rPr>
          <w:rStyle w:val="TextoNormalCaracter"/>
        </w:rPr>
        <w:t xml:space="preserve">; </w:t>
      </w:r>
      <w:hyperlink w:anchor="SENTENCIA_2024_92" w:history="1">
        <w:r w:rsidRPr="00E55613">
          <w:rPr>
            <w:rStyle w:val="TextoNormalCaracter"/>
          </w:rPr>
          <w:t>92/2024</w:t>
        </w:r>
      </w:hyperlink>
      <w:r w:rsidRPr="00E55613">
        <w:rPr>
          <w:rStyle w:val="TextoNormalCaracter"/>
        </w:rPr>
        <w:t>.</w:t>
      </w:r>
    </w:p>
    <w:p w14:paraId="23EB2963" w14:textId="3217F155" w:rsidR="00E55613" w:rsidRPr="00E55613" w:rsidRDefault="00E55613" w:rsidP="00E55613">
      <w:pPr>
        <w:pStyle w:val="TextoNormalSangraFrancesa"/>
        <w:rPr>
          <w:rStyle w:val="TextoNormalCaracter"/>
        </w:rPr>
      </w:pPr>
      <w:bookmarkStart w:id="1224" w:name="DESCRIPTORALFABETICO196"/>
      <w:r w:rsidRPr="00E55613">
        <w:rPr>
          <w:rStyle w:val="TextoNormalNegritaCaracter"/>
        </w:rPr>
        <w:t xml:space="preserve">Votos particulares, formulados dos </w:t>
      </w:r>
      <w:bookmarkEnd w:id="1224"/>
      <w:r w:rsidRPr="00E55613">
        <w:rPr>
          <w:rStyle w:val="TextoNormalCaracter"/>
        </w:rPr>
        <w:t xml:space="preserve">, Sentencias </w:t>
      </w:r>
      <w:hyperlink w:anchor="SENTENCIA_2024_8" w:history="1">
        <w:r w:rsidRPr="00E55613">
          <w:rPr>
            <w:rStyle w:val="TextoNormalCaracter"/>
          </w:rPr>
          <w:t>8/2024</w:t>
        </w:r>
      </w:hyperlink>
      <w:r w:rsidRPr="00E55613">
        <w:rPr>
          <w:rStyle w:val="TextoNormalCaracter"/>
        </w:rPr>
        <w:t xml:space="preserve">; </w:t>
      </w:r>
      <w:hyperlink w:anchor="SENTENCIA_2024_9" w:history="1">
        <w:r w:rsidRPr="00E55613">
          <w:rPr>
            <w:rStyle w:val="TextoNormalCaracter"/>
          </w:rPr>
          <w:t>9/2024</w:t>
        </w:r>
      </w:hyperlink>
      <w:r w:rsidRPr="00E55613">
        <w:rPr>
          <w:rStyle w:val="TextoNormalCaracter"/>
        </w:rPr>
        <w:t xml:space="preserve">; </w:t>
      </w:r>
      <w:hyperlink w:anchor="SENTENCIA_2024_15" w:history="1">
        <w:r w:rsidRPr="00E55613">
          <w:rPr>
            <w:rStyle w:val="TextoNormalCaracter"/>
          </w:rPr>
          <w:t>15/2024</w:t>
        </w:r>
      </w:hyperlink>
      <w:r w:rsidRPr="00E55613">
        <w:rPr>
          <w:rStyle w:val="TextoNormalCaracter"/>
        </w:rPr>
        <w:t xml:space="preserve">; </w:t>
      </w:r>
      <w:hyperlink w:anchor="SENTENCIA_2024_26" w:history="1">
        <w:r w:rsidRPr="00E55613">
          <w:rPr>
            <w:rStyle w:val="TextoNormalCaracter"/>
          </w:rPr>
          <w:t>26/2024</w:t>
        </w:r>
      </w:hyperlink>
      <w:r w:rsidRPr="00E55613">
        <w:rPr>
          <w:rStyle w:val="TextoNormalCaracter"/>
        </w:rPr>
        <w:t xml:space="preserve">; </w:t>
      </w:r>
      <w:hyperlink w:anchor="SENTENCIA_2024_30" w:history="1">
        <w:r w:rsidRPr="00E55613">
          <w:rPr>
            <w:rStyle w:val="TextoNormalCaracter"/>
          </w:rPr>
          <w:t>30/2024</w:t>
        </w:r>
      </w:hyperlink>
      <w:r w:rsidRPr="00E55613">
        <w:rPr>
          <w:rStyle w:val="TextoNormalCaracter"/>
        </w:rPr>
        <w:t xml:space="preserve">; </w:t>
      </w:r>
      <w:hyperlink w:anchor="SENTENCIA_2024_44" w:history="1">
        <w:r w:rsidRPr="00E55613">
          <w:rPr>
            <w:rStyle w:val="TextoNormalCaracter"/>
          </w:rPr>
          <w:t>44/2024</w:t>
        </w:r>
      </w:hyperlink>
      <w:r w:rsidRPr="00E55613">
        <w:rPr>
          <w:rStyle w:val="TextoNormalCaracter"/>
        </w:rPr>
        <w:t xml:space="preserve">; </w:t>
      </w:r>
      <w:hyperlink w:anchor="SENTENCIA_2024_48" w:history="1">
        <w:r w:rsidRPr="00E55613">
          <w:rPr>
            <w:rStyle w:val="TextoNormalCaracter"/>
          </w:rPr>
          <w:t>48/2024</w:t>
        </w:r>
      </w:hyperlink>
      <w:r w:rsidRPr="00E55613">
        <w:rPr>
          <w:rStyle w:val="TextoNormalCaracter"/>
        </w:rPr>
        <w:t xml:space="preserve">; </w:t>
      </w:r>
      <w:hyperlink w:anchor="SENTENCIA_2024_93" w:history="1">
        <w:r w:rsidRPr="00E55613">
          <w:rPr>
            <w:rStyle w:val="TextoNormalCaracter"/>
          </w:rPr>
          <w:t>93/2024</w:t>
        </w:r>
      </w:hyperlink>
      <w:r w:rsidRPr="00E55613">
        <w:rPr>
          <w:rStyle w:val="TextoNormalCaracter"/>
        </w:rPr>
        <w:t>.</w:t>
      </w:r>
    </w:p>
    <w:p w14:paraId="0EA3F342" w14:textId="243A9F67" w:rsidR="00E55613" w:rsidRPr="00E55613" w:rsidRDefault="00E55613" w:rsidP="00E55613">
      <w:pPr>
        <w:pStyle w:val="TextoNormalSangraFrancesa"/>
        <w:rPr>
          <w:rStyle w:val="TextoNormalCaracter"/>
        </w:rPr>
      </w:pPr>
      <w:r w:rsidRPr="00E55613">
        <w:rPr>
          <w:rStyle w:val="TextoNormalCaracter"/>
        </w:rPr>
        <w:t xml:space="preserve">    Auto </w:t>
      </w:r>
      <w:hyperlink w:anchor="AUTO_2024_57" w:history="1">
        <w:r w:rsidRPr="00E55613">
          <w:rPr>
            <w:rStyle w:val="TextoNormalCaracter"/>
          </w:rPr>
          <w:t>57/2024</w:t>
        </w:r>
      </w:hyperlink>
      <w:r w:rsidRPr="00E55613">
        <w:rPr>
          <w:rStyle w:val="TextoNormalCaracter"/>
        </w:rPr>
        <w:t>.</w:t>
      </w:r>
    </w:p>
    <w:p w14:paraId="29C74AD4" w14:textId="340360E5" w:rsidR="00E55613" w:rsidRPr="00E55613" w:rsidRDefault="00E55613" w:rsidP="00E55613">
      <w:pPr>
        <w:pStyle w:val="TextoNormalSangraFrancesa"/>
        <w:rPr>
          <w:rStyle w:val="TextoNormalCaracter"/>
        </w:rPr>
      </w:pPr>
      <w:bookmarkStart w:id="1225" w:name="DESCRIPTORALFABETICO197"/>
      <w:r w:rsidRPr="00E55613">
        <w:rPr>
          <w:rStyle w:val="TextoNormalNegritaCaracter"/>
        </w:rPr>
        <w:t>Votos particulares, formulados tres</w:t>
      </w:r>
      <w:bookmarkEnd w:id="1225"/>
      <w:r w:rsidRPr="00E55613">
        <w:rPr>
          <w:rStyle w:val="TextoNormalCaracter"/>
        </w:rPr>
        <w:t xml:space="preserve">, Sentencias </w:t>
      </w:r>
      <w:hyperlink w:anchor="SENTENCIA_2024_75" w:history="1">
        <w:r w:rsidRPr="00E55613">
          <w:rPr>
            <w:rStyle w:val="TextoNormalCaracter"/>
          </w:rPr>
          <w:t>75/2024</w:t>
        </w:r>
      </w:hyperlink>
      <w:r w:rsidRPr="00E55613">
        <w:rPr>
          <w:rStyle w:val="TextoNormalCaracter"/>
        </w:rPr>
        <w:t xml:space="preserve">, VP I, VP II, VP III; </w:t>
      </w:r>
      <w:hyperlink w:anchor="SENTENCIA_2024_89" w:history="1">
        <w:r w:rsidRPr="00E55613">
          <w:rPr>
            <w:rStyle w:val="TextoNormalCaracter"/>
          </w:rPr>
          <w:t>89/2024</w:t>
        </w:r>
      </w:hyperlink>
      <w:r w:rsidRPr="00E55613">
        <w:rPr>
          <w:rStyle w:val="TextoNormalCaracter"/>
        </w:rPr>
        <w:t>.</w:t>
      </w:r>
    </w:p>
    <w:p w14:paraId="4D3F6BB8" w14:textId="17747C77" w:rsidR="00E55613" w:rsidRPr="00E55613" w:rsidRDefault="00E55613" w:rsidP="00E55613">
      <w:pPr>
        <w:pStyle w:val="TextoNormalSangraFrancesa"/>
        <w:rPr>
          <w:rStyle w:val="TextoNormalCaracter"/>
        </w:rPr>
      </w:pPr>
      <w:bookmarkStart w:id="1226" w:name="DESCRIPTORALFABETICO183"/>
      <w:r w:rsidRPr="00E55613">
        <w:rPr>
          <w:rStyle w:val="TextoNormalNegritaCaracter"/>
        </w:rPr>
        <w:t>Vulneración de derechos fundamentales en la interpretación jurisprudencial de la ley</w:t>
      </w:r>
      <w:bookmarkEnd w:id="1226"/>
      <w:r w:rsidRPr="00E55613">
        <w:rPr>
          <w:rStyle w:val="TextoNormalCaracter"/>
        </w:rPr>
        <w:t xml:space="preserve">, Sentencia </w:t>
      </w:r>
      <w:hyperlink w:anchor="SENTENCIA_2024_22" w:history="1">
        <w:r w:rsidRPr="00E55613">
          <w:rPr>
            <w:rStyle w:val="TextoNormalCaracter"/>
          </w:rPr>
          <w:t>22/2024</w:t>
        </w:r>
      </w:hyperlink>
      <w:r w:rsidRPr="00E55613">
        <w:rPr>
          <w:rStyle w:val="TextoNormalCaracter"/>
        </w:rPr>
        <w:t>, f. 2.</w:t>
      </w:r>
    </w:p>
    <w:p w14:paraId="6D7EBDC2" w14:textId="50E84A52" w:rsidR="00E55613" w:rsidRDefault="00E55613">
      <w:pPr>
        <w:spacing w:after="160" w:line="259" w:lineRule="auto"/>
        <w:rPr>
          <w:rFonts w:ascii="Times New Roman" w:eastAsia="Times New Roman" w:hAnsi="Times New Roman" w:cs="Times New Roman"/>
          <w:sz w:val="24"/>
          <w:szCs w:val="24"/>
          <w:lang w:eastAsia="es-ES"/>
        </w:rPr>
      </w:pPr>
      <w:r>
        <w:br w:type="page"/>
      </w:r>
    </w:p>
    <w:p w14:paraId="7A780121" w14:textId="77777777" w:rsidR="00E55613" w:rsidRDefault="00E55613" w:rsidP="00E55613">
      <w:pPr>
        <w:pStyle w:val="TextoNormalSangraFrancesa"/>
      </w:pPr>
    </w:p>
    <w:p w14:paraId="747E732D" w14:textId="77777777" w:rsidR="00256CA1" w:rsidRDefault="00256CA1" w:rsidP="00256CA1">
      <w:pPr>
        <w:pStyle w:val="TextoNormalSangraFrancesa"/>
      </w:pPr>
    </w:p>
    <w:p w14:paraId="7A5E95D5" w14:textId="77777777" w:rsidR="00256CA1" w:rsidRDefault="00256CA1" w:rsidP="00256CA1">
      <w:pPr>
        <w:pStyle w:val="TextoNormalSangraFrancesa"/>
      </w:pPr>
    </w:p>
    <w:p w14:paraId="36EE3539" w14:textId="77777777" w:rsidR="00256CA1" w:rsidRDefault="00256CA1" w:rsidP="00256CA1">
      <w:pPr>
        <w:pStyle w:val="TextoNormalSangraFrancesa"/>
      </w:pPr>
    </w:p>
    <w:p w14:paraId="24360815" w14:textId="77777777" w:rsidR="00256CA1" w:rsidRDefault="00256CA1" w:rsidP="00256CA1">
      <w:pPr>
        <w:pStyle w:val="TextoNormalSangraFrancesa"/>
      </w:pPr>
    </w:p>
    <w:p w14:paraId="1645A47F" w14:textId="77777777" w:rsidR="00256CA1" w:rsidRDefault="00256CA1" w:rsidP="00256CA1">
      <w:pPr>
        <w:pStyle w:val="TextoNormalSangraFrancesa"/>
      </w:pPr>
    </w:p>
    <w:p w14:paraId="725C5B98" w14:textId="77777777" w:rsidR="00256CA1" w:rsidRDefault="00256CA1" w:rsidP="00256CA1">
      <w:pPr>
        <w:pStyle w:val="TextoNormalSangraFrancesa"/>
      </w:pPr>
    </w:p>
    <w:p w14:paraId="2580FD2C" w14:textId="77777777" w:rsidR="00256CA1" w:rsidRDefault="00256CA1" w:rsidP="00256CA1">
      <w:pPr>
        <w:pStyle w:val="TextoNormalSangraFrancesa"/>
      </w:pPr>
    </w:p>
    <w:p w14:paraId="3384470D" w14:textId="77777777" w:rsidR="00256CA1" w:rsidRDefault="00256CA1" w:rsidP="00256CA1">
      <w:pPr>
        <w:pStyle w:val="Ttulondice"/>
      </w:pPr>
      <w:bookmarkStart w:id="1227" w:name="ACRONIMOS"/>
      <w:r>
        <w:t>8. ABREVIATURAS Y ACRÓNIMOS</w:t>
      </w:r>
    </w:p>
    <w:bookmarkEnd w:id="1227"/>
    <w:p w14:paraId="42269870" w14:textId="5DB2E83D" w:rsidR="00256CA1" w:rsidRDefault="00256CA1" w:rsidP="00256CA1">
      <w:pPr>
        <w:pStyle w:val="Ttulondice"/>
      </w:pPr>
    </w:p>
    <w:p w14:paraId="32374D58" w14:textId="77777777" w:rsidR="00256CA1" w:rsidRDefault="00256CA1" w:rsidP="00256CA1">
      <w:pPr>
        <w:pStyle w:val="Ttulondice"/>
      </w:pPr>
    </w:p>
    <w:p w14:paraId="044A1BBD" w14:textId="77777777" w:rsidR="00256CA1" w:rsidRDefault="00256CA1" w:rsidP="00256CA1">
      <w:pPr>
        <w:pStyle w:val="Ttulondice"/>
      </w:pPr>
    </w:p>
    <w:p w14:paraId="487383D1" w14:textId="77777777" w:rsidR="00256CA1" w:rsidRDefault="00256CA1" w:rsidP="00256CA1">
      <w:pPr>
        <w:pStyle w:val="Ttulondice"/>
      </w:pPr>
    </w:p>
    <w:p w14:paraId="2610D304" w14:textId="77777777" w:rsidR="00256CA1" w:rsidRDefault="00256CA1" w:rsidP="00256CA1">
      <w:pPr>
        <w:pStyle w:val="TextoAbreviaturas"/>
      </w:pPr>
      <w:r>
        <w:t>§</w:t>
      </w:r>
      <w:r>
        <w:tab/>
        <w:t>Parágrafo (usual en SSTEDH)</w:t>
      </w:r>
    </w:p>
    <w:p w14:paraId="2D086035" w14:textId="77777777" w:rsidR="00256CA1" w:rsidRDefault="00256CA1" w:rsidP="00256CA1">
      <w:pPr>
        <w:pStyle w:val="TextoAbreviaturas"/>
      </w:pPr>
      <w:r>
        <w:t>AEAT</w:t>
      </w:r>
      <w:r>
        <w:tab/>
        <w:t>Agencia estatal de la administración tributaria</w:t>
      </w:r>
    </w:p>
    <w:p w14:paraId="64E0B595" w14:textId="77777777" w:rsidR="00256CA1" w:rsidRDefault="00256CA1" w:rsidP="00256CA1">
      <w:pPr>
        <w:pStyle w:val="TextoAbreviaturas"/>
      </w:pPr>
      <w:r>
        <w:t>ATC</w:t>
      </w:r>
      <w:r>
        <w:tab/>
        <w:t>Auto del Tribunal Constitucional</w:t>
      </w:r>
    </w:p>
    <w:p w14:paraId="0D9AA1B1" w14:textId="77777777" w:rsidR="00256CA1" w:rsidRDefault="00256CA1" w:rsidP="00256CA1">
      <w:pPr>
        <w:pStyle w:val="TextoAbreviaturas"/>
      </w:pPr>
      <w:r>
        <w:t>ATS</w:t>
      </w:r>
      <w:r>
        <w:tab/>
        <w:t>Auto del Tribunal Supremo</w:t>
      </w:r>
    </w:p>
    <w:p w14:paraId="0B9A5589" w14:textId="77777777" w:rsidR="00256CA1" w:rsidRDefault="00256CA1" w:rsidP="00256CA1">
      <w:pPr>
        <w:pStyle w:val="TextoAbreviaturas"/>
      </w:pPr>
      <w:r>
        <w:t>BOCM</w:t>
      </w:r>
      <w:r>
        <w:tab/>
        <w:t>Boletín Oficial de la Comunidad de Madrid</w:t>
      </w:r>
    </w:p>
    <w:p w14:paraId="155F3CD1" w14:textId="77777777" w:rsidR="00256CA1" w:rsidRDefault="00256CA1" w:rsidP="00256CA1">
      <w:pPr>
        <w:pStyle w:val="TextoAbreviaturas"/>
      </w:pPr>
      <w:r>
        <w:t>BOE</w:t>
      </w:r>
      <w:r>
        <w:tab/>
        <w:t>Boletín Oficial del Estado</w:t>
      </w:r>
    </w:p>
    <w:p w14:paraId="12AD3DF8" w14:textId="77777777" w:rsidR="00256CA1" w:rsidRDefault="00256CA1" w:rsidP="00256CA1">
      <w:pPr>
        <w:pStyle w:val="TextoAbreviaturas"/>
      </w:pPr>
      <w:r>
        <w:t>BOJA</w:t>
      </w:r>
      <w:r>
        <w:tab/>
        <w:t>Boletín Oficial de la Junta de Andalucía</w:t>
      </w:r>
    </w:p>
    <w:p w14:paraId="300441AC" w14:textId="77777777" w:rsidR="00256CA1" w:rsidRDefault="00256CA1" w:rsidP="00256CA1">
      <w:pPr>
        <w:pStyle w:val="TextoAbreviaturas"/>
      </w:pPr>
      <w:r>
        <w:t>CC</w:t>
      </w:r>
      <w:r>
        <w:tab/>
        <w:t>Código civil</w:t>
      </w:r>
    </w:p>
    <w:p w14:paraId="27E8A767" w14:textId="77777777" w:rsidR="00256CA1" w:rsidRDefault="00256CA1" w:rsidP="00256CA1">
      <w:pPr>
        <w:pStyle w:val="TextoAbreviaturas"/>
      </w:pPr>
      <w:r>
        <w:t>CDFUE</w:t>
      </w:r>
      <w:r>
        <w:tab/>
        <w:t>Carta de los derechos fundamentales de la Unión Europea</w:t>
      </w:r>
    </w:p>
    <w:p w14:paraId="454B25E7" w14:textId="77777777" w:rsidR="00256CA1" w:rsidRDefault="00256CA1" w:rsidP="00256CA1">
      <w:pPr>
        <w:pStyle w:val="TextoAbreviaturas"/>
      </w:pPr>
      <w:r>
        <w:t>CE</w:t>
      </w:r>
      <w:r>
        <w:tab/>
        <w:t>Constitución española</w:t>
      </w:r>
    </w:p>
    <w:p w14:paraId="4D2120DD" w14:textId="77777777" w:rsidR="00256CA1" w:rsidRDefault="00256CA1" w:rsidP="00256CA1">
      <w:pPr>
        <w:pStyle w:val="TextoAbreviaturas"/>
      </w:pPr>
      <w:r>
        <w:t>CEDH</w:t>
      </w:r>
      <w:r>
        <w:tab/>
        <w:t>Convenio europeo para la protección de los derechos humanos y de las libertades fundamentales</w:t>
      </w:r>
    </w:p>
    <w:p w14:paraId="2A011572" w14:textId="77777777" w:rsidR="00256CA1" w:rsidRDefault="00256CA1" w:rsidP="00256CA1">
      <w:pPr>
        <w:pStyle w:val="TextoAbreviaturas"/>
      </w:pPr>
      <w:r>
        <w:t>CEE</w:t>
      </w:r>
      <w:r>
        <w:tab/>
        <w:t>Comunidad Económica Europea</w:t>
      </w:r>
    </w:p>
    <w:p w14:paraId="4B7A9592" w14:textId="77777777" w:rsidR="00256CA1" w:rsidRDefault="00256CA1" w:rsidP="00256CA1">
      <w:pPr>
        <w:pStyle w:val="TextoAbreviaturas"/>
      </w:pPr>
      <w:r>
        <w:t>CGPJ</w:t>
      </w:r>
      <w:r>
        <w:tab/>
        <w:t>Consejo General del Poder Judicial</w:t>
      </w:r>
    </w:p>
    <w:p w14:paraId="2C5897E1" w14:textId="77777777" w:rsidR="00256CA1" w:rsidRDefault="00256CA1" w:rsidP="00256CA1">
      <w:pPr>
        <w:pStyle w:val="TextoAbreviaturas"/>
      </w:pPr>
      <w:r>
        <w:t>CP</w:t>
      </w:r>
      <w:r>
        <w:tab/>
        <w:t>Código penal</w:t>
      </w:r>
    </w:p>
    <w:p w14:paraId="0AC9A4A2" w14:textId="77777777" w:rsidR="00256CA1" w:rsidRDefault="00256CA1" w:rsidP="00256CA1">
      <w:pPr>
        <w:pStyle w:val="TextoAbreviaturas"/>
      </w:pPr>
      <w:r>
        <w:t>CPM</w:t>
      </w:r>
      <w:r>
        <w:tab/>
        <w:t>Código penal militar</w:t>
      </w:r>
    </w:p>
    <w:p w14:paraId="3CDD87B4" w14:textId="77777777" w:rsidR="00256CA1" w:rsidRDefault="00256CA1" w:rsidP="00256CA1">
      <w:pPr>
        <w:pStyle w:val="TextoAbreviaturas"/>
      </w:pPr>
      <w:r>
        <w:t>DNI</w:t>
      </w:r>
      <w:r>
        <w:tab/>
        <w:t>Documento Nacional de Identidad</w:t>
      </w:r>
    </w:p>
    <w:p w14:paraId="7DC1A2AD" w14:textId="77777777" w:rsidR="00256CA1" w:rsidRDefault="00256CA1" w:rsidP="00256CA1">
      <w:pPr>
        <w:pStyle w:val="TextoAbreviaturas"/>
      </w:pPr>
      <w:r>
        <w:t>DOUE</w:t>
      </w:r>
      <w:r>
        <w:tab/>
        <w:t>Diario Oficial de la Unión Europea</w:t>
      </w:r>
    </w:p>
    <w:p w14:paraId="642B899F" w14:textId="77777777" w:rsidR="00256CA1" w:rsidRDefault="00256CA1" w:rsidP="00256CA1">
      <w:pPr>
        <w:pStyle w:val="TextoAbreviaturas"/>
      </w:pPr>
      <w:r>
        <w:t>EAAnd</w:t>
      </w:r>
      <w:r>
        <w:tab/>
        <w:t>Estatuto de Autonomía para Andalucía</w:t>
      </w:r>
    </w:p>
    <w:p w14:paraId="7B1D841C" w14:textId="77777777" w:rsidR="00256CA1" w:rsidRDefault="00256CA1" w:rsidP="00256CA1">
      <w:pPr>
        <w:pStyle w:val="TextoAbreviaturas"/>
      </w:pPr>
      <w:r>
        <w:t>EAC</w:t>
      </w:r>
      <w:r>
        <w:tab/>
        <w:t>Estatuto de Autonomía de Cataluña</w:t>
      </w:r>
    </w:p>
    <w:p w14:paraId="1A8F88DD" w14:textId="77777777" w:rsidR="00256CA1" w:rsidRDefault="00256CA1" w:rsidP="00256CA1">
      <w:pPr>
        <w:pStyle w:val="TextoAbreviaturas"/>
      </w:pPr>
      <w:r>
        <w:t>EAG</w:t>
      </w:r>
      <w:r>
        <w:tab/>
        <w:t>Estatuto de Autonomía para Galicia</w:t>
      </w:r>
    </w:p>
    <w:p w14:paraId="4DC76E03" w14:textId="77777777" w:rsidR="00256CA1" w:rsidRDefault="00256CA1" w:rsidP="00256CA1">
      <w:pPr>
        <w:pStyle w:val="TextoAbreviaturas"/>
      </w:pPr>
      <w:r>
        <w:t>EAM</w:t>
      </w:r>
      <w:r>
        <w:tab/>
        <w:t>Estatuto de Autonomía de la Comunidad de Madrid</w:t>
      </w:r>
    </w:p>
    <w:p w14:paraId="5E7E5A6E" w14:textId="77777777" w:rsidR="00256CA1" w:rsidRDefault="00256CA1" w:rsidP="00256CA1">
      <w:pPr>
        <w:pStyle w:val="TextoAbreviaturas"/>
      </w:pPr>
      <w:r>
        <w:t>EAPV</w:t>
      </w:r>
      <w:r>
        <w:tab/>
        <w:t>Estatuto de Autonomía para el País Vasco</w:t>
      </w:r>
    </w:p>
    <w:p w14:paraId="2999B684" w14:textId="77777777" w:rsidR="00256CA1" w:rsidRDefault="00256CA1" w:rsidP="00256CA1">
      <w:pPr>
        <w:pStyle w:val="TextoAbreviaturas"/>
      </w:pPr>
      <w:r>
        <w:t>ERC</w:t>
      </w:r>
      <w:r>
        <w:tab/>
        <w:t>Esquerra Republicana de Catalunya</w:t>
      </w:r>
    </w:p>
    <w:p w14:paraId="5F408CD5" w14:textId="77777777" w:rsidR="00256CA1" w:rsidRDefault="00256CA1" w:rsidP="00256CA1">
      <w:pPr>
        <w:pStyle w:val="TextoAbreviaturas"/>
      </w:pPr>
      <w:r>
        <w:t>ERE</w:t>
      </w:r>
      <w:r>
        <w:tab/>
        <w:t>Expediente de regulación de empleo</w:t>
      </w:r>
    </w:p>
    <w:p w14:paraId="7C0C8D6F" w14:textId="77777777" w:rsidR="00256CA1" w:rsidRDefault="00256CA1" w:rsidP="00256CA1">
      <w:pPr>
        <w:pStyle w:val="TextoAbreviaturas"/>
      </w:pPr>
      <w:r>
        <w:t>FJ</w:t>
      </w:r>
      <w:r>
        <w:tab/>
        <w:t>Fundamento jurídico</w:t>
      </w:r>
    </w:p>
    <w:p w14:paraId="37745366" w14:textId="77777777" w:rsidR="00256CA1" w:rsidRDefault="00256CA1" w:rsidP="00256CA1">
      <w:pPr>
        <w:pStyle w:val="TextoAbreviaturas"/>
      </w:pPr>
      <w:r>
        <w:t>FOGASA</w:t>
      </w:r>
      <w:r>
        <w:tab/>
        <w:t>Fondo de Garantía Salarial</w:t>
      </w:r>
    </w:p>
    <w:p w14:paraId="3B91AD5E" w14:textId="77777777" w:rsidR="00256CA1" w:rsidRDefault="00256CA1" w:rsidP="00256CA1">
      <w:pPr>
        <w:pStyle w:val="TextoAbreviaturas"/>
      </w:pPr>
      <w:r>
        <w:t>IDEA</w:t>
      </w:r>
      <w:r>
        <w:tab/>
        <w:t>Instituto para la Diversificación y Ahorro de la Energía</w:t>
      </w:r>
    </w:p>
    <w:p w14:paraId="7DA7A0C7" w14:textId="77777777" w:rsidR="00256CA1" w:rsidRDefault="00256CA1" w:rsidP="00256CA1">
      <w:pPr>
        <w:pStyle w:val="TextoAbreviaturas"/>
      </w:pPr>
      <w:r>
        <w:t>IIVTNU</w:t>
      </w:r>
      <w:r>
        <w:tab/>
        <w:t>Impuesto sobre el incremento del valor de los terrenos de naturaleza urbana</w:t>
      </w:r>
    </w:p>
    <w:p w14:paraId="6793F7B6" w14:textId="77777777" w:rsidR="00256CA1" w:rsidRDefault="00256CA1" w:rsidP="00256CA1">
      <w:pPr>
        <w:pStyle w:val="TextoAbreviaturas"/>
      </w:pPr>
      <w:r>
        <w:t>INE</w:t>
      </w:r>
      <w:r>
        <w:tab/>
        <w:t>Instituto Nacional de Estadística</w:t>
      </w:r>
    </w:p>
    <w:p w14:paraId="7FA798AB" w14:textId="77777777" w:rsidR="00256CA1" w:rsidRDefault="00256CA1" w:rsidP="00256CA1">
      <w:pPr>
        <w:pStyle w:val="TextoAbreviaturas"/>
      </w:pPr>
      <w:r>
        <w:t>INSS</w:t>
      </w:r>
      <w:r>
        <w:tab/>
        <w:t>Instituto Nacional de la Seguridad Social</w:t>
      </w:r>
    </w:p>
    <w:p w14:paraId="6086D7BF" w14:textId="77777777" w:rsidR="00256CA1" w:rsidRDefault="00256CA1" w:rsidP="00256CA1">
      <w:pPr>
        <w:pStyle w:val="TextoAbreviaturas"/>
      </w:pPr>
      <w:r>
        <w:lastRenderedPageBreak/>
        <w:t>IPC</w:t>
      </w:r>
      <w:r>
        <w:tab/>
        <w:t>Índice de precios al consumo</w:t>
      </w:r>
    </w:p>
    <w:p w14:paraId="15609C7F" w14:textId="77777777" w:rsidR="00256CA1" w:rsidRDefault="00256CA1" w:rsidP="00256CA1">
      <w:pPr>
        <w:pStyle w:val="TextoAbreviaturas"/>
      </w:pPr>
      <w:r>
        <w:t>IRPF</w:t>
      </w:r>
      <w:r>
        <w:tab/>
        <w:t>Impuesto sobre la renta de las personas físicas</w:t>
      </w:r>
    </w:p>
    <w:p w14:paraId="028269B5" w14:textId="77777777" w:rsidR="00256CA1" w:rsidRDefault="00256CA1" w:rsidP="00256CA1">
      <w:pPr>
        <w:pStyle w:val="TextoAbreviaturas"/>
      </w:pPr>
      <w:r>
        <w:t>IU</w:t>
      </w:r>
      <w:r>
        <w:tab/>
        <w:t>Izquierda Unida</w:t>
      </w:r>
    </w:p>
    <w:p w14:paraId="5A715295" w14:textId="77777777" w:rsidR="00256CA1" w:rsidRDefault="00256CA1" w:rsidP="00256CA1">
      <w:pPr>
        <w:pStyle w:val="TextoAbreviaturas"/>
      </w:pPr>
      <w:r>
        <w:t>IVA</w:t>
      </w:r>
      <w:r>
        <w:tab/>
        <w:t>Impuesto sobre el valor añadido</w:t>
      </w:r>
    </w:p>
    <w:p w14:paraId="466E3F30" w14:textId="77777777" w:rsidR="00256CA1" w:rsidRDefault="00256CA1" w:rsidP="00256CA1">
      <w:pPr>
        <w:pStyle w:val="TextoAbreviaturas"/>
      </w:pPr>
      <w:r>
        <w:t>LA</w:t>
      </w:r>
      <w:r>
        <w:tab/>
        <w:t>Ley de aguas (Ley de arbitraje para SSTC 17/2021, 55/2021, 65/2021, 79/2022, 146/2024 y ATC 1/2023)</w:t>
      </w:r>
    </w:p>
    <w:p w14:paraId="7B2DDD5C" w14:textId="77777777" w:rsidR="00256CA1" w:rsidRDefault="00256CA1" w:rsidP="00256CA1">
      <w:pPr>
        <w:pStyle w:val="TextoAbreviaturas"/>
      </w:pPr>
      <w:r>
        <w:t>LAU</w:t>
      </w:r>
      <w:r>
        <w:tab/>
        <w:t>Ley de arrendamientos urbanos</w:t>
      </w:r>
    </w:p>
    <w:p w14:paraId="5FD37A50" w14:textId="77777777" w:rsidR="00256CA1" w:rsidRDefault="00256CA1" w:rsidP="00256CA1">
      <w:pPr>
        <w:pStyle w:val="TextoAbreviaturas"/>
      </w:pPr>
      <w:r>
        <w:t>LBRL</w:t>
      </w:r>
      <w:r>
        <w:tab/>
        <w:t>Ley reguladora de las bases de régimen local</w:t>
      </w:r>
    </w:p>
    <w:p w14:paraId="56D4E089" w14:textId="77777777" w:rsidR="00256CA1" w:rsidRDefault="00256CA1" w:rsidP="00256CA1">
      <w:pPr>
        <w:pStyle w:val="TextoAbreviaturas"/>
      </w:pPr>
      <w:r>
        <w:t>LC</w:t>
      </w:r>
      <w:r>
        <w:tab/>
        <w:t>Ley de costas</w:t>
      </w:r>
    </w:p>
    <w:p w14:paraId="0CB08821" w14:textId="77777777" w:rsidR="00256CA1" w:rsidRDefault="00256CA1" w:rsidP="00256CA1">
      <w:pPr>
        <w:pStyle w:val="TextoAbreviaturas"/>
      </w:pPr>
      <w:r>
        <w:t>LCSP</w:t>
      </w:r>
      <w:r>
        <w:tab/>
        <w:t>Ley de contratos del sector público</w:t>
      </w:r>
    </w:p>
    <w:p w14:paraId="60DF4C4E" w14:textId="77777777" w:rsidR="00256CA1" w:rsidRDefault="00256CA1" w:rsidP="00256CA1">
      <w:pPr>
        <w:pStyle w:val="TextoAbreviaturas"/>
      </w:pPr>
      <w:r>
        <w:t>LEC</w:t>
      </w:r>
      <w:r>
        <w:tab/>
        <w:t>Ley de enjuiciamiento civil</w:t>
      </w:r>
    </w:p>
    <w:p w14:paraId="0B723ADA" w14:textId="77777777" w:rsidR="00256CA1" w:rsidRDefault="00256CA1" w:rsidP="00256CA1">
      <w:pPr>
        <w:pStyle w:val="TextoAbreviaturas"/>
      </w:pPr>
      <w:r>
        <w:t>LECrim</w:t>
      </w:r>
      <w:r>
        <w:tab/>
        <w:t>Ley de enjuiciamiento criminal</w:t>
      </w:r>
    </w:p>
    <w:p w14:paraId="3B449B20" w14:textId="77777777" w:rsidR="00256CA1" w:rsidRDefault="00256CA1" w:rsidP="00256CA1">
      <w:pPr>
        <w:pStyle w:val="TextoAbreviaturas"/>
      </w:pPr>
      <w:r>
        <w:t>LEP</w:t>
      </w:r>
      <w:r>
        <w:tab/>
        <w:t>Ley de extradición pasiva</w:t>
      </w:r>
    </w:p>
    <w:p w14:paraId="4C5306E7" w14:textId="77777777" w:rsidR="00256CA1" w:rsidRDefault="00256CA1" w:rsidP="00256CA1">
      <w:pPr>
        <w:pStyle w:val="TextoAbreviaturas"/>
      </w:pPr>
      <w:r>
        <w:t>LET</w:t>
      </w:r>
      <w:r>
        <w:tab/>
        <w:t>Ley del estatuto de los trabajadores</w:t>
      </w:r>
    </w:p>
    <w:p w14:paraId="1ECB2F40" w14:textId="77777777" w:rsidR="00256CA1" w:rsidRDefault="00256CA1" w:rsidP="00256CA1">
      <w:pPr>
        <w:pStyle w:val="TextoAbreviaturas"/>
      </w:pPr>
      <w:r>
        <w:t>LGP</w:t>
      </w:r>
      <w:r>
        <w:tab/>
        <w:t>Ley general presupuestaria</w:t>
      </w:r>
    </w:p>
    <w:p w14:paraId="757EA198" w14:textId="77777777" w:rsidR="00256CA1" w:rsidRDefault="00256CA1" w:rsidP="00256CA1">
      <w:pPr>
        <w:pStyle w:val="TextoAbreviaturas"/>
      </w:pPr>
      <w:r>
        <w:t>LGT</w:t>
      </w:r>
      <w:r>
        <w:tab/>
        <w:t>Ley general tributaria</w:t>
      </w:r>
    </w:p>
    <w:p w14:paraId="12BCD9FB" w14:textId="77777777" w:rsidR="00256CA1" w:rsidRDefault="00256CA1" w:rsidP="00256CA1">
      <w:pPr>
        <w:pStyle w:val="TextoAbreviaturas"/>
      </w:pPr>
      <w:r>
        <w:t>LH</w:t>
      </w:r>
      <w:r>
        <w:tab/>
        <w:t>Ley hipotecaria</w:t>
      </w:r>
    </w:p>
    <w:p w14:paraId="7BC8C74F" w14:textId="77777777" w:rsidR="00256CA1" w:rsidRDefault="00256CA1" w:rsidP="00256CA1">
      <w:pPr>
        <w:pStyle w:val="TextoAbreviaturas"/>
      </w:pPr>
      <w:r>
        <w:t>LIS</w:t>
      </w:r>
      <w:r>
        <w:tab/>
        <w:t>Ley del impuesto sobre sociedades</w:t>
      </w:r>
    </w:p>
    <w:p w14:paraId="57602180" w14:textId="77777777" w:rsidR="00256CA1" w:rsidRDefault="00256CA1" w:rsidP="00256CA1">
      <w:pPr>
        <w:pStyle w:val="TextoAbreviaturas"/>
      </w:pPr>
      <w:r>
        <w:t>LJCA</w:t>
      </w:r>
      <w:r>
        <w:tab/>
        <w:t>Ley reguladora de la jurisdicción contencioso-administrativa</w:t>
      </w:r>
    </w:p>
    <w:p w14:paraId="7750C595" w14:textId="77777777" w:rsidR="00256CA1" w:rsidRDefault="00256CA1" w:rsidP="00256CA1">
      <w:pPr>
        <w:pStyle w:val="TextoAbreviaturas"/>
      </w:pPr>
      <w:r>
        <w:t>LJS</w:t>
      </w:r>
      <w:r>
        <w:tab/>
        <w:t>Ley reguladora de la jurisdicción social</w:t>
      </w:r>
    </w:p>
    <w:p w14:paraId="1993372B" w14:textId="77777777" w:rsidR="00256CA1" w:rsidRDefault="00256CA1" w:rsidP="00256CA1">
      <w:pPr>
        <w:pStyle w:val="TextoAbreviaturas"/>
      </w:pPr>
      <w:r>
        <w:t>LOAPA</w:t>
      </w:r>
      <w:r>
        <w:tab/>
        <w:t>Ley Orgánica de armonización del proceso autonómico</w:t>
      </w:r>
    </w:p>
    <w:p w14:paraId="02F89257" w14:textId="77777777" w:rsidR="00256CA1" w:rsidRDefault="00256CA1" w:rsidP="00256CA1">
      <w:pPr>
        <w:pStyle w:val="TextoAbreviaturas"/>
      </w:pPr>
      <w:r>
        <w:t>LOE</w:t>
      </w:r>
      <w:r>
        <w:tab/>
        <w:t>Ley Orgánica de educación</w:t>
      </w:r>
    </w:p>
    <w:p w14:paraId="7DFDAE58" w14:textId="77777777" w:rsidR="00256CA1" w:rsidRDefault="00256CA1" w:rsidP="00256CA1">
      <w:pPr>
        <w:pStyle w:val="TextoAbreviaturas"/>
      </w:pPr>
      <w:r>
        <w:t>LOEx</w:t>
      </w:r>
      <w:r>
        <w:tab/>
        <w:t>Ley Orgánica sobre derechos y libertades de los extranjeros en España y su integración social</w:t>
      </w:r>
    </w:p>
    <w:p w14:paraId="7CCDC358" w14:textId="77777777" w:rsidR="00256CA1" w:rsidRDefault="00256CA1" w:rsidP="00256CA1">
      <w:pPr>
        <w:pStyle w:val="TextoAbreviaturas"/>
      </w:pPr>
      <w:r>
        <w:t>LOGP</w:t>
      </w:r>
      <w:r>
        <w:tab/>
        <w:t>Ley Orgánica general penitenciaria</w:t>
      </w:r>
    </w:p>
    <w:p w14:paraId="2DAF2020" w14:textId="77777777" w:rsidR="00256CA1" w:rsidRDefault="00256CA1" w:rsidP="00256CA1">
      <w:pPr>
        <w:pStyle w:val="TextoAbreviaturas"/>
      </w:pPr>
      <w:r>
        <w:t>LOHC</w:t>
      </w:r>
      <w:r>
        <w:tab/>
        <w:t>Ley Orgánica de regulación del procedimiento de</w:t>
      </w:r>
      <w:r w:rsidRPr="00256CA1">
        <w:rPr>
          <w:rStyle w:val="TextoNormalCursivaCaracter"/>
        </w:rPr>
        <w:t xml:space="preserve"> habeas corpus</w:t>
      </w:r>
    </w:p>
    <w:p w14:paraId="79B1F1B0" w14:textId="77777777" w:rsidR="00256CA1" w:rsidRDefault="00256CA1" w:rsidP="00256CA1">
      <w:pPr>
        <w:pStyle w:val="TextoAbreviaturas"/>
      </w:pPr>
      <w:r>
        <w:t>LOIMH</w:t>
      </w:r>
      <w:r>
        <w:tab/>
        <w:t>Ley Orgánica para la igualdad efectiva de mujeres y hombres</w:t>
      </w:r>
    </w:p>
    <w:p w14:paraId="4EDE0448" w14:textId="77777777" w:rsidR="00256CA1" w:rsidRDefault="00256CA1" w:rsidP="00256CA1">
      <w:pPr>
        <w:pStyle w:val="TextoAbreviaturas"/>
      </w:pPr>
      <w:r>
        <w:t>LOLR</w:t>
      </w:r>
      <w:r>
        <w:tab/>
        <w:t>Ley Orgánica de libertad religiosa</w:t>
      </w:r>
    </w:p>
    <w:p w14:paraId="3EF694E4" w14:textId="77777777" w:rsidR="00256CA1" w:rsidRDefault="00256CA1" w:rsidP="00256CA1">
      <w:pPr>
        <w:pStyle w:val="TextoAbreviaturas"/>
      </w:pPr>
      <w:r>
        <w:t>LOLS</w:t>
      </w:r>
      <w:r>
        <w:tab/>
        <w:t>Ley Orgánica de libertad sindical</w:t>
      </w:r>
    </w:p>
    <w:p w14:paraId="5C43DC10" w14:textId="77777777" w:rsidR="00256CA1" w:rsidRDefault="00256CA1" w:rsidP="00256CA1">
      <w:pPr>
        <w:pStyle w:val="TextoAbreviaturas"/>
      </w:pPr>
      <w:r>
        <w:t>LOMCE</w:t>
      </w:r>
      <w:r>
        <w:tab/>
        <w:t>Ley Orgánica para la mejora de la calidad educativa</w:t>
      </w:r>
    </w:p>
    <w:p w14:paraId="7B2739A8" w14:textId="77777777" w:rsidR="00256CA1" w:rsidRDefault="00256CA1" w:rsidP="00256CA1">
      <w:pPr>
        <w:pStyle w:val="TextoAbreviaturas"/>
      </w:pPr>
      <w:r>
        <w:t>LOPJ</w:t>
      </w:r>
      <w:r>
        <w:tab/>
        <w:t>Ley Orgánica del Poder Judicial</w:t>
      </w:r>
    </w:p>
    <w:p w14:paraId="61229C62" w14:textId="77777777" w:rsidR="00256CA1" w:rsidRDefault="00256CA1" w:rsidP="00256CA1">
      <w:pPr>
        <w:pStyle w:val="TextoAbreviaturas"/>
      </w:pPr>
      <w:r>
        <w:t>LORAFNA</w:t>
      </w:r>
      <w:r>
        <w:tab/>
        <w:t>Ley Orgánica de reintegración y amejoramiento del régimen foral de Navarra</w:t>
      </w:r>
    </w:p>
    <w:p w14:paraId="1BBF742D" w14:textId="77777777" w:rsidR="00256CA1" w:rsidRDefault="00256CA1" w:rsidP="00256CA1">
      <w:pPr>
        <w:pStyle w:val="TextoAbreviaturas"/>
      </w:pPr>
      <w:r>
        <w:t>LOREG</w:t>
      </w:r>
      <w:r>
        <w:tab/>
        <w:t>Ley Orgánica del régimen electoral general</w:t>
      </w:r>
    </w:p>
    <w:p w14:paraId="5B47CF4E" w14:textId="77777777" w:rsidR="00256CA1" w:rsidRDefault="00256CA1" w:rsidP="00256CA1">
      <w:pPr>
        <w:pStyle w:val="TextoAbreviaturas"/>
      </w:pPr>
      <w:r>
        <w:t>LOTC</w:t>
      </w:r>
      <w:r>
        <w:tab/>
        <w:t>Ley Orgánica del Tribunal Constitucional</w:t>
      </w:r>
    </w:p>
    <w:p w14:paraId="7F8CC83D" w14:textId="77777777" w:rsidR="00256CA1" w:rsidRDefault="00256CA1" w:rsidP="00256CA1">
      <w:pPr>
        <w:pStyle w:val="TextoAbreviaturas"/>
      </w:pPr>
      <w:r>
        <w:t>LOTT</w:t>
      </w:r>
      <w:r>
        <w:tab/>
        <w:t>Ley de ordenación de los transportes terrestres</w:t>
      </w:r>
    </w:p>
    <w:p w14:paraId="221049B9" w14:textId="77777777" w:rsidR="00256CA1" w:rsidRDefault="00256CA1" w:rsidP="00256CA1">
      <w:pPr>
        <w:pStyle w:val="TextoAbreviaturas"/>
      </w:pPr>
      <w:r>
        <w:t>LOVG</w:t>
      </w:r>
      <w:r>
        <w:tab/>
        <w:t>Ley Orgánica de medidas de protección integral contra la violencia de género</w:t>
      </w:r>
    </w:p>
    <w:p w14:paraId="7A07B6A7" w14:textId="77777777" w:rsidR="00256CA1" w:rsidRDefault="00256CA1" w:rsidP="00256CA1">
      <w:pPr>
        <w:pStyle w:val="TextoAbreviaturas"/>
      </w:pPr>
      <w:r>
        <w:t>LPACAP</w:t>
      </w:r>
      <w:r>
        <w:tab/>
        <w:t>Ley del procedimiento administrativo común de las administraciones públicas</w:t>
      </w:r>
    </w:p>
    <w:p w14:paraId="640CC62B" w14:textId="77777777" w:rsidR="00256CA1" w:rsidRDefault="00256CA1" w:rsidP="00256CA1">
      <w:pPr>
        <w:pStyle w:val="TextoAbreviaturas"/>
      </w:pPr>
      <w:r>
        <w:t>LPL</w:t>
      </w:r>
      <w:r>
        <w:tab/>
        <w:t>Ley de procedimiento laboral</w:t>
      </w:r>
    </w:p>
    <w:p w14:paraId="57B30BC5" w14:textId="77777777" w:rsidR="00256CA1" w:rsidRDefault="00256CA1" w:rsidP="00256CA1">
      <w:pPr>
        <w:pStyle w:val="TextoAbreviaturas"/>
      </w:pPr>
      <w:r>
        <w:t>LPNB</w:t>
      </w:r>
      <w:r>
        <w:tab/>
        <w:t>Ley de patrimonio natural y biodiversidad</w:t>
      </w:r>
    </w:p>
    <w:p w14:paraId="5AA9188D" w14:textId="77777777" w:rsidR="00256CA1" w:rsidRDefault="00256CA1" w:rsidP="00256CA1">
      <w:pPr>
        <w:pStyle w:val="TextoAbreviaturas"/>
      </w:pPr>
      <w:r>
        <w:t>LRC</w:t>
      </w:r>
      <w:r>
        <w:tab/>
        <w:t>Ley sobre responsabilidad civil y seguro en la circulación de vehículos a motor (Decreto 632/1968, de 21 de marzo, redactado por la Ley 30/1995, de 8 de noviembre)</w:t>
      </w:r>
    </w:p>
    <w:p w14:paraId="16B85105" w14:textId="77777777" w:rsidR="00256CA1" w:rsidRDefault="00256CA1" w:rsidP="00256CA1">
      <w:pPr>
        <w:pStyle w:val="TextoAbreviaturas"/>
      </w:pPr>
      <w:r>
        <w:t>LRSV</w:t>
      </w:r>
      <w:r>
        <w:tab/>
        <w:t>Ley sobre régimen del suelo y valoraciones</w:t>
      </w:r>
    </w:p>
    <w:p w14:paraId="662D86ED" w14:textId="77777777" w:rsidR="00256CA1" w:rsidRDefault="00256CA1" w:rsidP="00256CA1">
      <w:pPr>
        <w:pStyle w:val="TextoAbreviaturas"/>
      </w:pPr>
      <w:r>
        <w:t>LSE</w:t>
      </w:r>
      <w:r>
        <w:tab/>
        <w:t>Ley del sector eléctrico</w:t>
      </w:r>
    </w:p>
    <w:p w14:paraId="4F9E66A9" w14:textId="77777777" w:rsidR="00256CA1" w:rsidRDefault="00256CA1" w:rsidP="00256CA1">
      <w:pPr>
        <w:pStyle w:val="TextoAbreviaturas"/>
      </w:pPr>
      <w:r>
        <w:t>OIT</w:t>
      </w:r>
      <w:r>
        <w:tab/>
        <w:t>Organización Internacional del Trabajo</w:t>
      </w:r>
    </w:p>
    <w:p w14:paraId="706755A6" w14:textId="77777777" w:rsidR="00256CA1" w:rsidRDefault="00256CA1" w:rsidP="00256CA1">
      <w:pPr>
        <w:pStyle w:val="TextoAbreviaturas"/>
      </w:pPr>
      <w:r>
        <w:lastRenderedPageBreak/>
        <w:t>OMS</w:t>
      </w:r>
      <w:r>
        <w:tab/>
        <w:t>Organización Mundial de la Salud</w:t>
      </w:r>
    </w:p>
    <w:p w14:paraId="540C224D" w14:textId="77777777" w:rsidR="00256CA1" w:rsidRDefault="00256CA1" w:rsidP="00256CA1">
      <w:pPr>
        <w:pStyle w:val="TextoAbreviaturas"/>
      </w:pPr>
      <w:r>
        <w:t>ONU</w:t>
      </w:r>
      <w:r>
        <w:tab/>
        <w:t>Organización de Naciones Unidas</w:t>
      </w:r>
    </w:p>
    <w:p w14:paraId="5FB75B18" w14:textId="77777777" w:rsidR="00256CA1" w:rsidRDefault="00256CA1" w:rsidP="00256CA1">
      <w:pPr>
        <w:pStyle w:val="TextoAbreviaturas"/>
      </w:pPr>
      <w:r>
        <w:t>PIDCP</w:t>
      </w:r>
      <w:r>
        <w:tab/>
        <w:t>Pacto internacional de derechos civiles y políticos</w:t>
      </w:r>
    </w:p>
    <w:p w14:paraId="6D7AAF4D" w14:textId="77777777" w:rsidR="00256CA1" w:rsidRDefault="00256CA1" w:rsidP="00256CA1">
      <w:pPr>
        <w:pStyle w:val="TextoAbreviaturas"/>
      </w:pPr>
      <w:r>
        <w:t>PNV</w:t>
      </w:r>
      <w:r>
        <w:tab/>
        <w:t>Partido Nacionalista Vasco</w:t>
      </w:r>
    </w:p>
    <w:p w14:paraId="5C2F4557" w14:textId="77777777" w:rsidR="00256CA1" w:rsidRDefault="00256CA1" w:rsidP="00256CA1">
      <w:pPr>
        <w:pStyle w:val="TextoAbreviaturas"/>
      </w:pPr>
      <w:r>
        <w:t>PP</w:t>
      </w:r>
      <w:r>
        <w:tab/>
        <w:t>Partido Popular</w:t>
      </w:r>
    </w:p>
    <w:p w14:paraId="71CC4B64" w14:textId="77777777" w:rsidR="00256CA1" w:rsidRDefault="00256CA1" w:rsidP="00256CA1">
      <w:pPr>
        <w:pStyle w:val="TextoAbreviaturas"/>
      </w:pPr>
      <w:r>
        <w:t>PSOE</w:t>
      </w:r>
      <w:r>
        <w:tab/>
        <w:t>Partido Socialista Obrero Español</w:t>
      </w:r>
    </w:p>
    <w:p w14:paraId="7FBFE1FD" w14:textId="77777777" w:rsidR="00256CA1" w:rsidRDefault="00256CA1" w:rsidP="00256CA1">
      <w:pPr>
        <w:pStyle w:val="TextoAbreviaturas"/>
      </w:pPr>
      <w:r>
        <w:t>RAE</w:t>
      </w:r>
      <w:r>
        <w:tab/>
        <w:t>Real Academia Española</w:t>
      </w:r>
    </w:p>
    <w:p w14:paraId="6B1EBBBC" w14:textId="77777777" w:rsidR="00256CA1" w:rsidRDefault="00256CA1" w:rsidP="00256CA1">
      <w:pPr>
        <w:pStyle w:val="TextoAbreviaturas"/>
      </w:pPr>
      <w:r>
        <w:t>RAM</w:t>
      </w:r>
      <w:r>
        <w:tab/>
        <w:t>Reglamento de la Asamblea de Madrid</w:t>
      </w:r>
    </w:p>
    <w:p w14:paraId="3E22C5AA" w14:textId="77777777" w:rsidR="00256CA1" w:rsidRDefault="00256CA1" w:rsidP="00256CA1">
      <w:pPr>
        <w:pStyle w:val="TextoAbreviaturas"/>
      </w:pPr>
      <w:r>
        <w:t>RCD</w:t>
      </w:r>
      <w:r>
        <w:tab/>
        <w:t>Reglamento del Congreso de los Diputados</w:t>
      </w:r>
    </w:p>
    <w:p w14:paraId="566B9C99" w14:textId="77777777" w:rsidR="00256CA1" w:rsidRDefault="00256CA1" w:rsidP="00256CA1">
      <w:pPr>
        <w:pStyle w:val="TextoAbreviaturas"/>
      </w:pPr>
      <w:r>
        <w:t>RGC</w:t>
      </w:r>
      <w:r>
        <w:tab/>
        <w:t>Reglamento general de carreteras (Reglamento general de costas para STC 68/2024)</w:t>
      </w:r>
    </w:p>
    <w:p w14:paraId="61406935" w14:textId="77777777" w:rsidR="00256CA1" w:rsidRDefault="00256CA1" w:rsidP="00256CA1">
      <w:pPr>
        <w:pStyle w:val="TextoAbreviaturas"/>
      </w:pPr>
      <w:r>
        <w:t>RPA</w:t>
      </w:r>
      <w:r>
        <w:tab/>
        <w:t>Reglamento del Parlamento de Andalucía</w:t>
      </w:r>
    </w:p>
    <w:p w14:paraId="57FFE80D" w14:textId="77777777" w:rsidR="00256CA1" w:rsidRDefault="00256CA1" w:rsidP="00256CA1">
      <w:pPr>
        <w:pStyle w:val="TextoAbreviaturas"/>
      </w:pPr>
      <w:r>
        <w:t>RPC</w:t>
      </w:r>
      <w:r>
        <w:tab/>
        <w:t>Reglamento del Parlamento de Cataluña</w:t>
      </w:r>
    </w:p>
    <w:p w14:paraId="5ADE7EC3" w14:textId="77777777" w:rsidR="00256CA1" w:rsidRDefault="00256CA1" w:rsidP="00256CA1">
      <w:pPr>
        <w:pStyle w:val="TextoAbreviaturas"/>
      </w:pPr>
      <w:r>
        <w:t>SAREB</w:t>
      </w:r>
      <w:r>
        <w:tab/>
        <w:t>Sociedad de gestión de activos procedentes de la reestructuración bancaria</w:t>
      </w:r>
    </w:p>
    <w:p w14:paraId="1FDE249B" w14:textId="77777777" w:rsidR="00256CA1" w:rsidRDefault="00256CA1" w:rsidP="00256CA1">
      <w:pPr>
        <w:pStyle w:val="TextoAbreviaturas"/>
      </w:pPr>
      <w:r>
        <w:t>SEPE</w:t>
      </w:r>
      <w:r>
        <w:tab/>
        <w:t>Servicio público de Empleo Estatal</w:t>
      </w:r>
    </w:p>
    <w:p w14:paraId="42554474" w14:textId="77777777" w:rsidR="00256CA1" w:rsidRDefault="00256CA1" w:rsidP="00256CA1">
      <w:pPr>
        <w:pStyle w:val="TextoAbreviaturas"/>
      </w:pPr>
      <w:r>
        <w:t>SSTJUE</w:t>
      </w:r>
      <w:r>
        <w:tab/>
        <w:t>Sentencias del Tribunal de Justicia de la Unión Europea</w:t>
      </w:r>
    </w:p>
    <w:p w14:paraId="56120ED2" w14:textId="77777777" w:rsidR="00256CA1" w:rsidRDefault="00256CA1" w:rsidP="00256CA1">
      <w:pPr>
        <w:pStyle w:val="TextoAbreviaturas"/>
      </w:pPr>
      <w:r>
        <w:t>STC</w:t>
      </w:r>
      <w:r>
        <w:tab/>
        <w:t>Sentencia del Tribunal Constitucional</w:t>
      </w:r>
    </w:p>
    <w:p w14:paraId="7D2E6BD6" w14:textId="77777777" w:rsidR="00256CA1" w:rsidRDefault="00256CA1" w:rsidP="00256CA1">
      <w:pPr>
        <w:pStyle w:val="TextoAbreviaturas"/>
      </w:pPr>
      <w:r>
        <w:t>SSTC</w:t>
      </w:r>
      <w:r>
        <w:tab/>
        <w:t>Sentencias del Tribunal Constitucional</w:t>
      </w:r>
    </w:p>
    <w:p w14:paraId="2EBFD708" w14:textId="77777777" w:rsidR="00256CA1" w:rsidRDefault="00256CA1" w:rsidP="00256CA1">
      <w:pPr>
        <w:pStyle w:val="TextoAbreviaturas"/>
      </w:pPr>
      <w:r>
        <w:t>STEDH</w:t>
      </w:r>
      <w:r>
        <w:tab/>
        <w:t>Sentencia del Tribunal Europeo de Derechos Humanos</w:t>
      </w:r>
    </w:p>
    <w:p w14:paraId="035F238D" w14:textId="77777777" w:rsidR="00256CA1" w:rsidRDefault="00256CA1" w:rsidP="00256CA1">
      <w:pPr>
        <w:pStyle w:val="TextoAbreviaturas"/>
      </w:pPr>
      <w:r>
        <w:t>SSTEDH</w:t>
      </w:r>
      <w:r>
        <w:tab/>
        <w:t>Sentencias del Tribunal Europeo de Derechos Humanos</w:t>
      </w:r>
    </w:p>
    <w:p w14:paraId="636505CD" w14:textId="77777777" w:rsidR="00256CA1" w:rsidRDefault="00256CA1" w:rsidP="00256CA1">
      <w:pPr>
        <w:pStyle w:val="TextoAbreviaturas"/>
      </w:pPr>
      <w:r>
        <w:t>STJUE</w:t>
      </w:r>
      <w:r>
        <w:tab/>
        <w:t>Sentencia del Tribunal de Justicia de la Unión Europea</w:t>
      </w:r>
    </w:p>
    <w:p w14:paraId="75313858" w14:textId="77777777" w:rsidR="00256CA1" w:rsidRDefault="00256CA1" w:rsidP="00256CA1">
      <w:pPr>
        <w:pStyle w:val="TextoAbreviaturas"/>
      </w:pPr>
      <w:r>
        <w:t>STS</w:t>
      </w:r>
      <w:r>
        <w:tab/>
        <w:t>Sentencia del Tribunal Supremo</w:t>
      </w:r>
    </w:p>
    <w:p w14:paraId="2D828152" w14:textId="77777777" w:rsidR="00256CA1" w:rsidRDefault="00256CA1" w:rsidP="00256CA1">
      <w:pPr>
        <w:pStyle w:val="TextoAbreviaturas"/>
      </w:pPr>
      <w:r>
        <w:t>SSTS</w:t>
      </w:r>
      <w:r>
        <w:tab/>
        <w:t>Sentencias del Tribunal Supremo</w:t>
      </w:r>
    </w:p>
    <w:p w14:paraId="0358A373" w14:textId="77777777" w:rsidR="00256CA1" w:rsidRDefault="00256CA1" w:rsidP="00256CA1">
      <w:pPr>
        <w:pStyle w:val="TextoAbreviaturas"/>
      </w:pPr>
      <w:r>
        <w:t>TFUE</w:t>
      </w:r>
      <w:r>
        <w:tab/>
        <w:t>Tratado de funcionamiento de la Unión Europea</w:t>
      </w:r>
    </w:p>
    <w:p w14:paraId="3523BA35" w14:textId="77777777" w:rsidR="00256CA1" w:rsidRDefault="00256CA1" w:rsidP="00256CA1">
      <w:pPr>
        <w:pStyle w:val="TextoAbreviaturas"/>
      </w:pPr>
      <w:r>
        <w:t>TGSS</w:t>
      </w:r>
      <w:r>
        <w:tab/>
        <w:t>Tesorería General de la Seguridad Social</w:t>
      </w:r>
    </w:p>
    <w:p w14:paraId="36FDE6F3" w14:textId="77777777" w:rsidR="00256CA1" w:rsidRDefault="00256CA1" w:rsidP="00256CA1">
      <w:pPr>
        <w:pStyle w:val="TextoAbreviaturas"/>
      </w:pPr>
      <w:r>
        <w:t>TRLHL</w:t>
      </w:r>
      <w:r>
        <w:tab/>
        <w:t>Texto refundido de la Ley reguladora de las haciendas locales</w:t>
      </w:r>
    </w:p>
    <w:p w14:paraId="7C363AD4" w14:textId="77777777" w:rsidR="00256CA1" w:rsidRDefault="00256CA1" w:rsidP="00256CA1">
      <w:pPr>
        <w:pStyle w:val="TextoAbreviaturas"/>
      </w:pPr>
      <w:r>
        <w:t>TRLSRU</w:t>
      </w:r>
      <w:r>
        <w:tab/>
        <w:t>Texto refundido de la ley de suelo y rehabilitación urbana</w:t>
      </w:r>
    </w:p>
    <w:p w14:paraId="6E964236" w14:textId="77777777" w:rsidR="00256CA1" w:rsidRDefault="00256CA1" w:rsidP="00256CA1">
      <w:pPr>
        <w:pStyle w:val="TextoAbreviaturas"/>
      </w:pPr>
      <w:r>
        <w:t>TUE</w:t>
      </w:r>
      <w:r>
        <w:tab/>
        <w:t>Tratado de la Unión Europea</w:t>
      </w:r>
    </w:p>
    <w:p w14:paraId="644C0497" w14:textId="77777777" w:rsidR="00256CA1" w:rsidRDefault="00256CA1" w:rsidP="00256CA1">
      <w:pPr>
        <w:pStyle w:val="TextoAbreviaturas"/>
      </w:pPr>
      <w:r>
        <w:t>UDYCO</w:t>
      </w:r>
      <w:r>
        <w:tab/>
        <w:t>Unidad de Droga y Crimen Organizado</w:t>
      </w:r>
    </w:p>
    <w:p w14:paraId="7687628D" w14:textId="77777777" w:rsidR="00256CA1" w:rsidRDefault="00256CA1" w:rsidP="00256CA1">
      <w:pPr>
        <w:pStyle w:val="TextoAbreviaturas"/>
      </w:pPr>
      <w:r>
        <w:t>UNESCO</w:t>
      </w:r>
      <w:r>
        <w:tab/>
        <w:t>Organización de las Naciones Unidas para la educación, la ciencia y la cultura</w:t>
      </w:r>
    </w:p>
    <w:p w14:paraId="281F158F" w14:textId="77777777" w:rsidR="00256CA1" w:rsidRDefault="00256CA1" w:rsidP="00256CA1">
      <w:pPr>
        <w:pStyle w:val="TextoAbreviaturas"/>
      </w:pPr>
      <w:r>
        <w:t>USO</w:t>
      </w:r>
      <w:r>
        <w:tab/>
        <w:t>Unión Sindical Obrera</w:t>
      </w:r>
    </w:p>
    <w:p w14:paraId="251E23AA" w14:textId="104AFED6" w:rsidR="00256CA1" w:rsidRDefault="00256CA1" w:rsidP="00256CA1">
      <w:pPr>
        <w:pStyle w:val="TextoAbreviaturas"/>
      </w:pPr>
    </w:p>
    <w:sectPr w:rsidR="00256CA1" w:rsidSect="00B7708F">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E4849" w14:textId="77777777" w:rsidR="009D7677" w:rsidRDefault="009D7677" w:rsidP="009D7677">
      <w:pPr>
        <w:spacing w:after="0" w:line="240" w:lineRule="auto"/>
      </w:pPr>
      <w:r>
        <w:separator/>
      </w:r>
    </w:p>
  </w:endnote>
  <w:endnote w:type="continuationSeparator" w:id="0">
    <w:p w14:paraId="3C019DC2" w14:textId="77777777" w:rsidR="009D7677" w:rsidRDefault="009D7677" w:rsidP="009D7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0"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1D300" w14:textId="77777777" w:rsidR="00B7708F" w:rsidRDefault="00B7708F" w:rsidP="00B7708F">
    <w:pPr>
      <w:pStyle w:val="Piedepgina"/>
      <w:framePr w:wrap="around"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p w14:paraId="62D727E8" w14:textId="77777777" w:rsidR="009D7677" w:rsidRDefault="009D7677" w:rsidP="00B7708F">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88629" w14:textId="5A568EA9" w:rsidR="00B7708F" w:rsidRDefault="00B7708F" w:rsidP="00B7708F">
    <w:pPr>
      <w:pStyle w:val="Piedepgina"/>
      <w:framePr w:wrap="around"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p>
  <w:p w14:paraId="1C53305A" w14:textId="77777777" w:rsidR="009D7677" w:rsidRDefault="009D7677" w:rsidP="00B7708F">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F4E60" w14:textId="77777777" w:rsidR="009D7677" w:rsidRDefault="009D76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7E639" w14:textId="77777777" w:rsidR="009D7677" w:rsidRDefault="009D7677" w:rsidP="009D7677">
      <w:pPr>
        <w:spacing w:after="0" w:line="240" w:lineRule="auto"/>
      </w:pPr>
      <w:r>
        <w:separator/>
      </w:r>
    </w:p>
  </w:footnote>
  <w:footnote w:type="continuationSeparator" w:id="0">
    <w:p w14:paraId="0AC90E6F" w14:textId="77777777" w:rsidR="009D7677" w:rsidRDefault="009D7677" w:rsidP="009D76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CB9EC" w14:textId="77777777" w:rsidR="009D7677" w:rsidRDefault="009D767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A8604" w14:textId="0B8656D8" w:rsidR="009D7677" w:rsidRDefault="00B7708F" w:rsidP="00B7708F">
    <w:pPr>
      <w:pStyle w:val="Cabecera"/>
    </w:pPr>
    <w:r>
      <w:t>JURISPRUDENCIA CONSTITUCIONAL - Tomo: enero a junio 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0D568" w14:textId="77777777" w:rsidR="009D7677" w:rsidRDefault="009D767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5B236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9DC71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A66FA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DBC52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3035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21885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B416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1694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8A627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62E6C58"/>
    <w:lvl w:ilvl="0">
      <w:start w:val="1"/>
      <w:numFmt w:val="bullet"/>
      <w:lvlText w:val=""/>
      <w:lvlJc w:val="left"/>
      <w:pPr>
        <w:tabs>
          <w:tab w:val="num" w:pos="360"/>
        </w:tabs>
        <w:ind w:left="360" w:hanging="360"/>
      </w:pPr>
      <w:rPr>
        <w:rFonts w:ascii="Symbol" w:hAnsi="Symbol" w:hint="default"/>
      </w:rPr>
    </w:lvl>
  </w:abstractNum>
  <w:num w:numId="1" w16cid:durableId="105273859">
    <w:abstractNumId w:val="8"/>
  </w:num>
  <w:num w:numId="2" w16cid:durableId="469520590">
    <w:abstractNumId w:val="3"/>
  </w:num>
  <w:num w:numId="3" w16cid:durableId="1977568726">
    <w:abstractNumId w:val="2"/>
  </w:num>
  <w:num w:numId="4" w16cid:durableId="1325473113">
    <w:abstractNumId w:val="1"/>
  </w:num>
  <w:num w:numId="5" w16cid:durableId="1235581629">
    <w:abstractNumId w:val="0"/>
  </w:num>
  <w:num w:numId="6" w16cid:durableId="1076584589">
    <w:abstractNumId w:val="9"/>
  </w:num>
  <w:num w:numId="7" w16cid:durableId="1856844391">
    <w:abstractNumId w:val="7"/>
  </w:num>
  <w:num w:numId="8" w16cid:durableId="38012604">
    <w:abstractNumId w:val="6"/>
  </w:num>
  <w:num w:numId="9" w16cid:durableId="1211066197">
    <w:abstractNumId w:val="5"/>
  </w:num>
  <w:num w:numId="10" w16cid:durableId="20301769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attachedTemplate r:id="rId1"/>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25B5A"/>
    <w:rsid w:val="00256CA1"/>
    <w:rsid w:val="00475600"/>
    <w:rsid w:val="0055058D"/>
    <w:rsid w:val="00576A90"/>
    <w:rsid w:val="005D4837"/>
    <w:rsid w:val="00601EEA"/>
    <w:rsid w:val="00625B5A"/>
    <w:rsid w:val="009D7677"/>
    <w:rsid w:val="00A32CA0"/>
    <w:rsid w:val="00A36835"/>
    <w:rsid w:val="00B7708F"/>
    <w:rsid w:val="00E5561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11696D"/>
  <w15:chartTrackingRefBased/>
  <w15:docId w15:val="{32FE84D6-DAFB-44DD-8E3D-AE4DCECFF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5B5A"/>
    <w:pPr>
      <w:spacing w:after="200" w:line="276" w:lineRule="auto"/>
    </w:pPr>
    <w:rPr>
      <w:kern w:val="0"/>
    </w:rPr>
  </w:style>
  <w:style w:type="paragraph" w:styleId="Ttulo1">
    <w:name w:val="heading 1"/>
    <w:basedOn w:val="Normal"/>
    <w:next w:val="Normal"/>
    <w:link w:val="Ttulo1Car"/>
    <w:uiPriority w:val="9"/>
    <w:rsid w:val="00625B5A"/>
    <w:pPr>
      <w:keepNext/>
      <w:keepLines/>
      <w:spacing w:before="480" w:after="0" w:line="240" w:lineRule="auto"/>
      <w:jc w:val="both"/>
      <w:outlineLvl w:val="0"/>
    </w:pPr>
    <w:rPr>
      <w:rFonts w:asciiTheme="majorHAnsi" w:eastAsiaTheme="majorEastAsia" w:hAnsiTheme="majorHAnsi" w:cstheme="majorBidi"/>
      <w:b/>
      <w:bCs/>
      <w:color w:val="0F4761" w:themeColor="accent1" w:themeShade="BF"/>
      <w:sz w:val="28"/>
      <w:szCs w:val="28"/>
      <w:lang w:eastAsia="es-ES"/>
    </w:rPr>
  </w:style>
  <w:style w:type="paragraph" w:styleId="Ttulo2">
    <w:name w:val="heading 2"/>
    <w:basedOn w:val="Normal"/>
    <w:next w:val="Normal"/>
    <w:link w:val="Ttulo2Car"/>
    <w:uiPriority w:val="9"/>
    <w:semiHidden/>
    <w:rsid w:val="00625B5A"/>
    <w:pPr>
      <w:keepNext/>
      <w:keepLines/>
      <w:spacing w:before="200" w:after="0" w:line="240" w:lineRule="auto"/>
      <w:jc w:val="both"/>
      <w:outlineLvl w:val="1"/>
    </w:pPr>
    <w:rPr>
      <w:rFonts w:asciiTheme="majorHAnsi" w:eastAsiaTheme="majorEastAsia" w:hAnsiTheme="majorHAnsi" w:cstheme="majorBidi"/>
      <w:b/>
      <w:bCs/>
      <w:color w:val="156082" w:themeColor="accent1"/>
      <w:sz w:val="26"/>
      <w:szCs w:val="26"/>
      <w:lang w:eastAsia="es-ES"/>
    </w:rPr>
  </w:style>
  <w:style w:type="paragraph" w:styleId="Ttulo3">
    <w:name w:val="heading 3"/>
    <w:basedOn w:val="Normal"/>
    <w:next w:val="Normal"/>
    <w:link w:val="Ttulo3Car"/>
    <w:uiPriority w:val="9"/>
    <w:semiHidden/>
    <w:unhideWhenUsed/>
    <w:qFormat/>
    <w:rsid w:val="00625B5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25B5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rsid w:val="00625B5A"/>
    <w:pPr>
      <w:keepNext/>
      <w:keepLines/>
      <w:spacing w:before="200" w:after="0" w:line="240" w:lineRule="auto"/>
      <w:jc w:val="both"/>
      <w:outlineLvl w:val="4"/>
    </w:pPr>
    <w:rPr>
      <w:rFonts w:asciiTheme="majorHAnsi" w:eastAsiaTheme="majorEastAsia" w:hAnsiTheme="majorHAnsi" w:cstheme="majorBidi"/>
      <w:color w:val="0A2F40" w:themeColor="accent1" w:themeShade="7F"/>
      <w:sz w:val="24"/>
      <w:szCs w:val="24"/>
      <w:lang w:eastAsia="es-ES"/>
    </w:rPr>
  </w:style>
  <w:style w:type="paragraph" w:styleId="Ttulo6">
    <w:name w:val="heading 6"/>
    <w:basedOn w:val="Normal"/>
    <w:next w:val="Normal"/>
    <w:link w:val="Ttulo6Car"/>
    <w:uiPriority w:val="9"/>
    <w:semiHidden/>
    <w:unhideWhenUsed/>
    <w:qFormat/>
    <w:rsid w:val="00625B5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qFormat/>
    <w:rsid w:val="00625B5A"/>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625B5A"/>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625B5A"/>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rsid w:val="00625B5A"/>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rsid w:val="00625B5A"/>
  </w:style>
  <w:style w:type="character" w:customStyle="1" w:styleId="Ttulo1Car">
    <w:name w:val="Título 1 Car"/>
    <w:basedOn w:val="Fuentedeprrafopredeter"/>
    <w:link w:val="Ttulo1"/>
    <w:uiPriority w:val="9"/>
    <w:rsid w:val="00625B5A"/>
    <w:rPr>
      <w:rFonts w:asciiTheme="majorHAnsi" w:eastAsiaTheme="majorEastAsia" w:hAnsiTheme="majorHAnsi" w:cstheme="majorBidi"/>
      <w:b/>
      <w:bCs/>
      <w:color w:val="0F4761" w:themeColor="accent1" w:themeShade="BF"/>
      <w:kern w:val="0"/>
      <w:sz w:val="28"/>
      <w:szCs w:val="28"/>
      <w:lang w:eastAsia="es-ES"/>
    </w:rPr>
  </w:style>
  <w:style w:type="character" w:customStyle="1" w:styleId="Ttulo2Car">
    <w:name w:val="Título 2 Car"/>
    <w:basedOn w:val="Fuentedeprrafopredeter"/>
    <w:link w:val="Ttulo2"/>
    <w:uiPriority w:val="9"/>
    <w:semiHidden/>
    <w:rsid w:val="00625B5A"/>
    <w:rPr>
      <w:rFonts w:asciiTheme="majorHAnsi" w:eastAsiaTheme="majorEastAsia" w:hAnsiTheme="majorHAnsi" w:cstheme="majorBidi"/>
      <w:b/>
      <w:bCs/>
      <w:color w:val="156082" w:themeColor="accent1"/>
      <w:kern w:val="0"/>
      <w:sz w:val="26"/>
      <w:szCs w:val="26"/>
      <w:lang w:eastAsia="es-ES"/>
    </w:rPr>
  </w:style>
  <w:style w:type="character" w:customStyle="1" w:styleId="Ttulo3Car">
    <w:name w:val="Título 3 Car"/>
    <w:basedOn w:val="Fuentedeprrafopredeter"/>
    <w:link w:val="Ttulo3"/>
    <w:uiPriority w:val="9"/>
    <w:semiHidden/>
    <w:rsid w:val="00625B5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25B5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25B5A"/>
    <w:rPr>
      <w:rFonts w:asciiTheme="majorHAnsi" w:eastAsiaTheme="majorEastAsia" w:hAnsiTheme="majorHAnsi" w:cstheme="majorBidi"/>
      <w:color w:val="0A2F40" w:themeColor="accent1" w:themeShade="7F"/>
      <w:kern w:val="0"/>
      <w:sz w:val="24"/>
      <w:szCs w:val="24"/>
      <w:lang w:eastAsia="es-ES"/>
    </w:rPr>
  </w:style>
  <w:style w:type="character" w:customStyle="1" w:styleId="Ttulo6Car">
    <w:name w:val="Título 6 Car"/>
    <w:basedOn w:val="Fuentedeprrafopredeter"/>
    <w:link w:val="Ttulo6"/>
    <w:uiPriority w:val="9"/>
    <w:semiHidden/>
    <w:rsid w:val="00625B5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25B5A"/>
    <w:rPr>
      <w:rFonts w:asciiTheme="majorHAnsi" w:eastAsiaTheme="majorEastAsia" w:hAnsiTheme="majorHAnsi" w:cstheme="majorBidi"/>
      <w:i/>
      <w:iCs/>
      <w:color w:val="404040" w:themeColor="text1" w:themeTint="BF"/>
      <w:kern w:val="0"/>
    </w:rPr>
  </w:style>
  <w:style w:type="character" w:customStyle="1" w:styleId="Ttulo8Car">
    <w:name w:val="Título 8 Car"/>
    <w:basedOn w:val="Fuentedeprrafopredeter"/>
    <w:link w:val="Ttulo8"/>
    <w:uiPriority w:val="9"/>
    <w:semiHidden/>
    <w:rsid w:val="00625B5A"/>
    <w:rPr>
      <w:rFonts w:asciiTheme="majorHAnsi" w:eastAsiaTheme="majorEastAsia" w:hAnsiTheme="majorHAnsi" w:cstheme="majorBidi"/>
      <w:color w:val="404040" w:themeColor="text1" w:themeTint="BF"/>
      <w:kern w:val="0"/>
      <w:sz w:val="20"/>
      <w:szCs w:val="20"/>
    </w:rPr>
  </w:style>
  <w:style w:type="character" w:customStyle="1" w:styleId="Ttulo9Car">
    <w:name w:val="Título 9 Car"/>
    <w:basedOn w:val="Fuentedeprrafopredeter"/>
    <w:link w:val="Ttulo9"/>
    <w:uiPriority w:val="9"/>
    <w:semiHidden/>
    <w:rsid w:val="00625B5A"/>
    <w:rPr>
      <w:rFonts w:asciiTheme="majorHAnsi" w:eastAsiaTheme="majorEastAsia" w:hAnsiTheme="majorHAnsi" w:cstheme="majorBidi"/>
      <w:i/>
      <w:iCs/>
      <w:color w:val="404040" w:themeColor="text1" w:themeTint="BF"/>
      <w:kern w:val="0"/>
      <w:sz w:val="20"/>
      <w:szCs w:val="20"/>
    </w:rPr>
  </w:style>
  <w:style w:type="paragraph" w:styleId="Ttulo">
    <w:name w:val="Title"/>
    <w:basedOn w:val="Normal"/>
    <w:next w:val="Normal"/>
    <w:link w:val="TtuloCar"/>
    <w:uiPriority w:val="10"/>
    <w:qFormat/>
    <w:rsid w:val="00625B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25B5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25B5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25B5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25B5A"/>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625B5A"/>
    <w:rPr>
      <w:i/>
      <w:iCs/>
      <w:color w:val="404040" w:themeColor="text1" w:themeTint="BF"/>
      <w:kern w:val="0"/>
    </w:rPr>
  </w:style>
  <w:style w:type="paragraph" w:styleId="Prrafodelista">
    <w:name w:val="List Paragraph"/>
    <w:basedOn w:val="Normal"/>
    <w:uiPriority w:val="34"/>
    <w:qFormat/>
    <w:rsid w:val="00625B5A"/>
    <w:pPr>
      <w:ind w:left="720"/>
      <w:contextualSpacing/>
    </w:pPr>
  </w:style>
  <w:style w:type="character" w:styleId="nfasisintenso">
    <w:name w:val="Intense Emphasis"/>
    <w:basedOn w:val="Fuentedeprrafopredeter"/>
    <w:uiPriority w:val="21"/>
    <w:qFormat/>
    <w:rsid w:val="00625B5A"/>
    <w:rPr>
      <w:i/>
      <w:iCs/>
      <w:color w:val="0F4761" w:themeColor="accent1" w:themeShade="BF"/>
    </w:rPr>
  </w:style>
  <w:style w:type="paragraph" w:styleId="Citadestacada">
    <w:name w:val="Intense Quote"/>
    <w:basedOn w:val="Normal"/>
    <w:next w:val="Normal"/>
    <w:link w:val="CitadestacadaCar"/>
    <w:uiPriority w:val="30"/>
    <w:qFormat/>
    <w:rsid w:val="00625B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25B5A"/>
    <w:rPr>
      <w:i/>
      <w:iCs/>
      <w:color w:val="0F4761" w:themeColor="accent1" w:themeShade="BF"/>
    </w:rPr>
  </w:style>
  <w:style w:type="character" w:styleId="Referenciaintensa">
    <w:name w:val="Intense Reference"/>
    <w:basedOn w:val="Fuentedeprrafopredeter"/>
    <w:uiPriority w:val="32"/>
    <w:qFormat/>
    <w:rsid w:val="00625B5A"/>
    <w:rPr>
      <w:b/>
      <w:bCs/>
      <w:smallCaps/>
      <w:color w:val="0F4761" w:themeColor="accent1" w:themeShade="BF"/>
      <w:spacing w:val="5"/>
    </w:rPr>
  </w:style>
  <w:style w:type="paragraph" w:styleId="Sinespaciado">
    <w:name w:val="No Spacing"/>
    <w:uiPriority w:val="1"/>
    <w:rsid w:val="00625B5A"/>
    <w:pPr>
      <w:spacing w:after="0" w:line="240" w:lineRule="auto"/>
    </w:pPr>
    <w:rPr>
      <w:kern w:val="0"/>
    </w:rPr>
  </w:style>
  <w:style w:type="paragraph" w:styleId="Textocomentario">
    <w:name w:val="annotation text"/>
    <w:basedOn w:val="Normal"/>
    <w:link w:val="TextocomentarioCar"/>
    <w:uiPriority w:val="99"/>
    <w:semiHidden/>
    <w:rsid w:val="00625B5A"/>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625B5A"/>
    <w:rPr>
      <w:rFonts w:ascii="Times New Roman" w:eastAsia="Times New Roman" w:hAnsi="Times New Roman" w:cs="Times New Roman"/>
      <w:kern w:val="0"/>
      <w:sz w:val="20"/>
      <w:szCs w:val="20"/>
      <w:lang w:eastAsia="es-ES"/>
    </w:rPr>
  </w:style>
  <w:style w:type="paragraph" w:styleId="Continuarlista4">
    <w:name w:val="List Continue 4"/>
    <w:basedOn w:val="Normal"/>
    <w:uiPriority w:val="99"/>
    <w:semiHidden/>
    <w:rsid w:val="00625B5A"/>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625B5A"/>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625B5A"/>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625B5A"/>
    <w:rPr>
      <w:rFonts w:ascii="Times New Roman" w:eastAsia="Times New Roman" w:hAnsi="Times New Roman" w:cs="Times New Roman"/>
      <w:b/>
      <w:kern w:val="0"/>
      <w:sz w:val="24"/>
      <w:szCs w:val="24"/>
      <w:lang w:eastAsia="es-ES"/>
    </w:rPr>
  </w:style>
  <w:style w:type="character" w:customStyle="1" w:styleId="TextoNormalCaracter">
    <w:name w:val="Texto Normal Caracter"/>
    <w:basedOn w:val="Fuentedeprrafopredeter"/>
    <w:uiPriority w:val="1"/>
    <w:qFormat/>
    <w:rsid w:val="00625B5A"/>
    <w:rPr>
      <w:rFonts w:ascii="Times New Roman" w:hAnsi="Times New Roman"/>
      <w:i w:val="0"/>
      <w:sz w:val="24"/>
    </w:rPr>
  </w:style>
  <w:style w:type="character" w:customStyle="1" w:styleId="TtuloBOECar">
    <w:name w:val="Título BOE Car"/>
    <w:basedOn w:val="Fuentedeprrafopredeter"/>
    <w:link w:val="TtuloBOE"/>
    <w:rsid w:val="00625B5A"/>
    <w:rPr>
      <w:rFonts w:ascii="Times New Roman" w:eastAsia="Times New Roman" w:hAnsi="Times New Roman" w:cs="Times New Roman"/>
      <w:i/>
      <w:kern w:val="0"/>
      <w:sz w:val="24"/>
      <w:szCs w:val="24"/>
      <w:lang w:eastAsia="es-ES"/>
    </w:rPr>
  </w:style>
  <w:style w:type="character" w:customStyle="1" w:styleId="TextoNormalCursivaCaracter">
    <w:name w:val="Texto Normal Cursiva Caracter"/>
    <w:basedOn w:val="TextoNormalCaracter"/>
    <w:uiPriority w:val="1"/>
    <w:qFormat/>
    <w:rsid w:val="00625B5A"/>
    <w:rPr>
      <w:rFonts w:ascii="Times New Roman" w:hAnsi="Times New Roman"/>
      <w:i/>
      <w:sz w:val="24"/>
    </w:rPr>
  </w:style>
  <w:style w:type="paragraph" w:customStyle="1" w:styleId="Extracto">
    <w:name w:val="Extracto"/>
    <w:basedOn w:val="Normal"/>
    <w:link w:val="ExtractoCar"/>
    <w:qFormat/>
    <w:rsid w:val="00625B5A"/>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625B5A"/>
    <w:rPr>
      <w:rFonts w:ascii="Times New Roman" w:eastAsia="Times New Roman" w:hAnsi="Times New Roman" w:cs="Times New Roman"/>
      <w:b/>
      <w:color w:val="000000"/>
      <w:kern w:val="0"/>
      <w:sz w:val="24"/>
      <w:szCs w:val="24"/>
      <w:lang w:eastAsia="es-ES"/>
    </w:rPr>
  </w:style>
  <w:style w:type="paragraph" w:customStyle="1" w:styleId="TextoNormal">
    <w:name w:val="Texto Normal"/>
    <w:basedOn w:val="Normal"/>
    <w:link w:val="TextoNormalCar"/>
    <w:qFormat/>
    <w:rsid w:val="00625B5A"/>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625B5A"/>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625B5A"/>
    <w:rPr>
      <w:rFonts w:ascii="Times New Roman" w:eastAsia="Times New Roman" w:hAnsi="Times New Roman" w:cs="Times New Roman"/>
      <w:kern w:val="0"/>
      <w:sz w:val="24"/>
      <w:szCs w:val="24"/>
      <w:lang w:eastAsia="es-ES"/>
    </w:rPr>
  </w:style>
  <w:style w:type="character" w:customStyle="1" w:styleId="TextoNormalCentradoCar">
    <w:name w:val="Texto Normal Centrado Car"/>
    <w:basedOn w:val="Fuentedeprrafopredeter"/>
    <w:link w:val="TextoNormalCentrado"/>
    <w:rsid w:val="00625B5A"/>
    <w:rPr>
      <w:rFonts w:ascii="Times New Roman" w:eastAsia="Times New Roman" w:hAnsi="Times New Roman" w:cs="Times New Roman"/>
      <w:kern w:val="0"/>
      <w:sz w:val="24"/>
      <w:szCs w:val="24"/>
      <w:lang w:eastAsia="es-ES"/>
    </w:rPr>
  </w:style>
  <w:style w:type="paragraph" w:customStyle="1" w:styleId="TextoNormalNegritaCentrado">
    <w:name w:val="Texto Normal Negrita Centrado"/>
    <w:basedOn w:val="Normal"/>
    <w:link w:val="TextoNormalNegritaCentradoCar"/>
    <w:qFormat/>
    <w:rsid w:val="00625B5A"/>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625B5A"/>
    <w:rPr>
      <w:rFonts w:ascii="Times New Roman" w:eastAsia="Times New Roman" w:hAnsi="Times New Roman" w:cs="Times New Roman"/>
      <w:b/>
      <w:kern w:val="0"/>
      <w:sz w:val="26"/>
      <w:szCs w:val="24"/>
      <w:lang w:eastAsia="es-ES"/>
    </w:rPr>
  </w:style>
  <w:style w:type="paragraph" w:customStyle="1" w:styleId="CabeceraApartado">
    <w:name w:val="Cabecera Apartado"/>
    <w:basedOn w:val="Normal"/>
    <w:link w:val="CabeceraApartadoCar"/>
    <w:qFormat/>
    <w:rsid w:val="00625B5A"/>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625B5A"/>
    <w:rPr>
      <w:rFonts w:ascii="Times New Roman" w:eastAsia="Times New Roman" w:hAnsi="Times New Roman" w:cs="Times New Roman"/>
      <w:kern w:val="0"/>
      <w:sz w:val="48"/>
      <w:szCs w:val="24"/>
      <w:lang w:eastAsia="es-ES"/>
    </w:rPr>
  </w:style>
  <w:style w:type="paragraph" w:customStyle="1" w:styleId="CabeceraApartadoDerecha">
    <w:name w:val="Cabecera Apartado Derecha"/>
    <w:basedOn w:val="Normal"/>
    <w:link w:val="CabeceraApartadoDerechaCar"/>
    <w:qFormat/>
    <w:rsid w:val="00625B5A"/>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625B5A"/>
    <w:pPr>
      <w:keepNext/>
      <w:tabs>
        <w:tab w:val="right" w:leader="dot" w:pos="8080"/>
        <w:tab w:val="right" w:pos="8789"/>
      </w:tabs>
      <w:spacing w:after="0" w:line="240" w:lineRule="auto"/>
      <w:ind w:right="758"/>
      <w:jc w:val="both"/>
    </w:pPr>
    <w:rPr>
      <w:rFonts w:ascii="Times New Roman" w:eastAsia="Times New Roman" w:hAnsi="Times New Roman" w:cs="Times New Roman"/>
      <w:b/>
      <w:sz w:val="24"/>
      <w:szCs w:val="24"/>
      <w:lang w:eastAsia="es-ES"/>
    </w:rPr>
  </w:style>
  <w:style w:type="character" w:customStyle="1" w:styleId="CabeceraApartadoDerechaCar">
    <w:name w:val="Cabecera Apartado Derecha Car"/>
    <w:basedOn w:val="Fuentedeprrafopredeter"/>
    <w:link w:val="CabeceraApartadoDerecha"/>
    <w:rsid w:val="00625B5A"/>
    <w:rPr>
      <w:rFonts w:ascii="Times New Roman" w:eastAsia="Times New Roman" w:hAnsi="Times New Roman" w:cs="Times New Roman"/>
      <w:kern w:val="0"/>
      <w:sz w:val="48"/>
      <w:szCs w:val="24"/>
      <w:lang w:eastAsia="es-ES"/>
    </w:rPr>
  </w:style>
  <w:style w:type="paragraph" w:customStyle="1" w:styleId="EntradandiceAuto">
    <w:name w:val="Entrada Índice Auto"/>
    <w:basedOn w:val="Normal"/>
    <w:link w:val="EntradandiceAutoCar"/>
    <w:qFormat/>
    <w:rsid w:val="00625B5A"/>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625B5A"/>
    <w:rPr>
      <w:rFonts w:ascii="Times New Roman" w:eastAsia="Times New Roman" w:hAnsi="Times New Roman" w:cs="Times New Roman"/>
      <w:b/>
      <w:kern w:val="0"/>
      <w:sz w:val="24"/>
      <w:szCs w:val="24"/>
      <w:lang w:eastAsia="es-ES"/>
    </w:rPr>
  </w:style>
  <w:style w:type="character" w:customStyle="1" w:styleId="EntradandiceAutoCar">
    <w:name w:val="Entrada Índice Auto Car"/>
    <w:basedOn w:val="Fuentedeprrafopredeter"/>
    <w:link w:val="EntradandiceAuto"/>
    <w:rsid w:val="00625B5A"/>
    <w:rPr>
      <w:rFonts w:ascii="Times New Roman" w:eastAsia="Times New Roman" w:hAnsi="Times New Roman" w:cs="Times New Roman"/>
      <w:kern w:val="0"/>
      <w:sz w:val="24"/>
      <w:szCs w:val="24"/>
      <w:lang w:eastAsia="es-ES"/>
    </w:rPr>
  </w:style>
  <w:style w:type="paragraph" w:customStyle="1" w:styleId="TtuloAbreviaturas">
    <w:name w:val="Título Abreviaturas"/>
    <w:basedOn w:val="Normal"/>
    <w:link w:val="TtuloAbreviaturasCar"/>
    <w:qFormat/>
    <w:rsid w:val="00625B5A"/>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625B5A"/>
    <w:rPr>
      <w:rFonts w:ascii="Times New Roman" w:eastAsia="Times New Roman" w:hAnsi="Times New Roman" w:cs="Times New Roman"/>
      <w:kern w:val="0"/>
      <w:sz w:val="32"/>
      <w:szCs w:val="32"/>
      <w:lang w:eastAsia="es-ES"/>
    </w:rPr>
  </w:style>
  <w:style w:type="paragraph" w:customStyle="1" w:styleId="ParrafoNormal">
    <w:name w:val="Parrafo Normal"/>
    <w:basedOn w:val="Normal"/>
    <w:link w:val="ParrafoNormalCar"/>
    <w:qFormat/>
    <w:rsid w:val="00625B5A"/>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625B5A"/>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625B5A"/>
    <w:rPr>
      <w:rFonts w:ascii="Times New Roman" w:eastAsia="Times New Roman" w:hAnsi="Times New Roman" w:cs="Times New Roman"/>
      <w:kern w:val="0"/>
      <w:sz w:val="24"/>
      <w:szCs w:val="24"/>
      <w:lang w:eastAsia="es-ES"/>
    </w:rPr>
  </w:style>
  <w:style w:type="paragraph" w:customStyle="1" w:styleId="Ttulondice">
    <w:name w:val="Título Índice"/>
    <w:basedOn w:val="Normal"/>
    <w:link w:val="TtulondiceCar"/>
    <w:qFormat/>
    <w:rsid w:val="00625B5A"/>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625B5A"/>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625B5A"/>
    <w:rPr>
      <w:rFonts w:ascii="Times New Roman" w:eastAsia="Times New Roman" w:hAnsi="Times New Roman" w:cs="Times New Roman"/>
      <w:kern w:val="0"/>
      <w:sz w:val="40"/>
      <w:szCs w:val="24"/>
      <w:lang w:eastAsia="es-ES"/>
    </w:rPr>
  </w:style>
  <w:style w:type="character" w:customStyle="1" w:styleId="TextoNormalNegritaCaracter">
    <w:name w:val="Texto Normal Negrita Caracter"/>
    <w:basedOn w:val="Fuentedeprrafopredeter"/>
    <w:uiPriority w:val="1"/>
    <w:qFormat/>
    <w:rsid w:val="00625B5A"/>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625B5A"/>
    <w:rPr>
      <w:rFonts w:ascii="Times New Roman" w:eastAsia="Times New Roman" w:hAnsi="Times New Roman" w:cs="Times New Roman"/>
      <w:b/>
      <w:i/>
      <w:kern w:val="0"/>
      <w:sz w:val="24"/>
      <w:szCs w:val="24"/>
      <w:lang w:eastAsia="es-ES"/>
    </w:rPr>
  </w:style>
  <w:style w:type="paragraph" w:customStyle="1" w:styleId="TextoNormalNegrita">
    <w:name w:val="Texto Normal Negrita"/>
    <w:basedOn w:val="Normal"/>
    <w:link w:val="TextoNormalNegritaCar"/>
    <w:qFormat/>
    <w:rsid w:val="00625B5A"/>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625B5A"/>
    <w:rPr>
      <w:rFonts w:ascii="Times New Roman" w:eastAsia="Times New Roman" w:hAnsi="Times New Roman" w:cs="Times New Roman"/>
      <w:b/>
      <w:kern w:val="0"/>
      <w:sz w:val="24"/>
      <w:szCs w:val="24"/>
      <w:lang w:eastAsia="es-ES"/>
    </w:rPr>
  </w:style>
  <w:style w:type="paragraph" w:customStyle="1" w:styleId="IndiceNivel1">
    <w:name w:val="Indice Nivel 1"/>
    <w:basedOn w:val="Normal"/>
    <w:link w:val="IndiceNivel1Car"/>
    <w:qFormat/>
    <w:rsid w:val="00625B5A"/>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625B5A"/>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625B5A"/>
    <w:rPr>
      <w:rFonts w:ascii="Times New Roman" w:eastAsia="Times New Roman" w:hAnsi="Times New Roman" w:cs="Times New Roman"/>
      <w:kern w:val="0"/>
      <w:sz w:val="24"/>
      <w:szCs w:val="24"/>
      <w:lang w:eastAsia="es-ES"/>
    </w:rPr>
  </w:style>
  <w:style w:type="character" w:customStyle="1" w:styleId="IndiceNivel2Car">
    <w:name w:val="Indice Nivel 2 Car"/>
    <w:basedOn w:val="Fuentedeprrafopredeter"/>
    <w:link w:val="IndiceNivel2"/>
    <w:rsid w:val="00625B5A"/>
    <w:rPr>
      <w:rFonts w:ascii="Times New Roman" w:eastAsia="Times New Roman" w:hAnsi="Times New Roman" w:cs="Times New Roman"/>
      <w:kern w:val="0"/>
      <w:sz w:val="24"/>
      <w:szCs w:val="24"/>
      <w:lang w:eastAsia="es-ES"/>
    </w:rPr>
  </w:style>
  <w:style w:type="paragraph" w:customStyle="1" w:styleId="SntesisDescriptiva">
    <w:name w:val="Síntesis Descriptiva"/>
    <w:basedOn w:val="ParrafoNormal"/>
    <w:link w:val="SntesisDescriptivaCar"/>
    <w:qFormat/>
    <w:rsid w:val="00625B5A"/>
  </w:style>
  <w:style w:type="paragraph" w:customStyle="1" w:styleId="SntesisAnaltica">
    <w:name w:val="Síntesis Analítica"/>
    <w:basedOn w:val="ParrafoNormal"/>
    <w:link w:val="SntesisAnalticaCar"/>
    <w:qFormat/>
    <w:rsid w:val="00625B5A"/>
    <w:rPr>
      <w:i/>
    </w:rPr>
  </w:style>
  <w:style w:type="character" w:customStyle="1" w:styleId="ParrafoNormalCar">
    <w:name w:val="Parrafo Normal Car"/>
    <w:basedOn w:val="Fuentedeprrafopredeter"/>
    <w:link w:val="ParrafoNormal"/>
    <w:rsid w:val="00625B5A"/>
    <w:rPr>
      <w:rFonts w:ascii="Times New Roman" w:eastAsia="Times New Roman" w:hAnsi="Times New Roman" w:cs="Times New Roman"/>
      <w:kern w:val="0"/>
      <w:sz w:val="24"/>
      <w:szCs w:val="24"/>
      <w:lang w:eastAsia="es-ES"/>
    </w:rPr>
  </w:style>
  <w:style w:type="character" w:customStyle="1" w:styleId="SntesisDescriptivaCar">
    <w:name w:val="Síntesis Descriptiva Car"/>
    <w:basedOn w:val="ParrafoNormalCar"/>
    <w:link w:val="SntesisDescriptiva"/>
    <w:rsid w:val="00625B5A"/>
    <w:rPr>
      <w:rFonts w:ascii="Times New Roman" w:eastAsia="Times New Roman" w:hAnsi="Times New Roman" w:cs="Times New Roman"/>
      <w:kern w:val="0"/>
      <w:sz w:val="24"/>
      <w:szCs w:val="24"/>
      <w:lang w:eastAsia="es-ES"/>
    </w:rPr>
  </w:style>
  <w:style w:type="character" w:customStyle="1" w:styleId="SntesisAnalticaCar">
    <w:name w:val="Síntesis Analítica Car"/>
    <w:basedOn w:val="ParrafoNormalCar"/>
    <w:link w:val="SntesisAnaltica"/>
    <w:rsid w:val="00625B5A"/>
    <w:rPr>
      <w:rFonts w:ascii="Times New Roman" w:eastAsia="Times New Roman" w:hAnsi="Times New Roman" w:cs="Times New Roman"/>
      <w:i/>
      <w:kern w:val="0"/>
      <w:sz w:val="24"/>
      <w:szCs w:val="24"/>
      <w:lang w:eastAsia="es-ES"/>
    </w:rPr>
  </w:style>
  <w:style w:type="paragraph" w:customStyle="1" w:styleId="TextoNormalSangraFrancesa">
    <w:name w:val="Texto Normal Sangría Francesa"/>
    <w:basedOn w:val="Normal"/>
    <w:link w:val="TextoNormalSangraFrancesaCar"/>
    <w:qFormat/>
    <w:rsid w:val="00625B5A"/>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625B5A"/>
    <w:rPr>
      <w:rFonts w:ascii="Times New Roman" w:eastAsia="Times New Roman" w:hAnsi="Times New Roman" w:cs="Times New Roman"/>
      <w:kern w:val="0"/>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625B5A"/>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625B5A"/>
    <w:rPr>
      <w:rFonts w:ascii="Times New Roman" w:eastAsia="Times New Roman" w:hAnsi="Times New Roman" w:cs="Times New Roman"/>
      <w:kern w:val="0"/>
      <w:sz w:val="24"/>
      <w:szCs w:val="24"/>
      <w:lang w:eastAsia="es-ES"/>
    </w:rPr>
  </w:style>
  <w:style w:type="paragraph" w:styleId="Textodeglobo">
    <w:name w:val="Balloon Text"/>
    <w:basedOn w:val="Normal"/>
    <w:link w:val="TextodegloboCar"/>
    <w:uiPriority w:val="99"/>
    <w:semiHidden/>
    <w:unhideWhenUsed/>
    <w:rsid w:val="00625B5A"/>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625B5A"/>
    <w:rPr>
      <w:rFonts w:ascii="Tahoma" w:eastAsia="Times New Roman" w:hAnsi="Tahoma" w:cs="Tahoma"/>
      <w:kern w:val="0"/>
      <w:sz w:val="16"/>
      <w:szCs w:val="16"/>
      <w:lang w:eastAsia="es-ES"/>
    </w:rPr>
  </w:style>
  <w:style w:type="paragraph" w:customStyle="1" w:styleId="Portada1">
    <w:name w:val="Portada 1"/>
    <w:basedOn w:val="Normal"/>
    <w:link w:val="Portada1Car"/>
    <w:qFormat/>
    <w:rsid w:val="00625B5A"/>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625B5A"/>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625B5A"/>
    <w:rPr>
      <w:rFonts w:ascii="Times New Roman" w:eastAsia="Times New Roman" w:hAnsi="Times New Roman" w:cs="Times New Roman"/>
      <w:kern w:val="0"/>
      <w:sz w:val="32"/>
      <w:szCs w:val="24"/>
      <w:lang w:eastAsia="es-ES"/>
    </w:rPr>
  </w:style>
  <w:style w:type="paragraph" w:customStyle="1" w:styleId="PortadaPrincipal">
    <w:name w:val="Portada Principal"/>
    <w:basedOn w:val="Normal"/>
    <w:link w:val="PortadaPrincipalCar"/>
    <w:qFormat/>
    <w:rsid w:val="00625B5A"/>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625B5A"/>
    <w:rPr>
      <w:rFonts w:ascii="Times New Roman" w:eastAsia="Times New Roman" w:hAnsi="Times New Roman" w:cs="Times New Roman"/>
      <w:kern w:val="0"/>
      <w:sz w:val="24"/>
      <w:szCs w:val="24"/>
      <w:lang w:eastAsia="es-ES"/>
    </w:rPr>
  </w:style>
  <w:style w:type="character" w:customStyle="1" w:styleId="PortadaPrincipalCar">
    <w:name w:val="Portada Principal Car"/>
    <w:basedOn w:val="Fuentedeprrafopredeter"/>
    <w:link w:val="PortadaPrincipal"/>
    <w:rsid w:val="00625B5A"/>
    <w:rPr>
      <w:rFonts w:ascii="Times New Roman" w:eastAsia="Times New Roman" w:hAnsi="Times New Roman" w:cs="Times New Roman"/>
      <w:kern w:val="0"/>
      <w:sz w:val="96"/>
      <w:szCs w:val="24"/>
      <w:lang w:eastAsia="es-ES"/>
    </w:rPr>
  </w:style>
  <w:style w:type="paragraph" w:customStyle="1" w:styleId="EntradaSumario">
    <w:name w:val="Entrada Sumario"/>
    <w:basedOn w:val="Normal"/>
    <w:link w:val="EntradaSumarioCar"/>
    <w:qFormat/>
    <w:rsid w:val="00625B5A"/>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625B5A"/>
    <w:rPr>
      <w:rFonts w:ascii="Times New Roman" w:hAnsi="Times New Roman"/>
      <w:kern w:val="0"/>
      <w:sz w:val="24"/>
    </w:rPr>
  </w:style>
  <w:style w:type="paragraph" w:customStyle="1" w:styleId="Prueba">
    <w:name w:val="Prueba"/>
    <w:basedOn w:val="Normal"/>
    <w:link w:val="PruebaCar"/>
    <w:qFormat/>
    <w:rsid w:val="00625B5A"/>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625B5A"/>
    <w:rPr>
      <w:rFonts w:ascii="Times New Roman" w:hAnsi="Times New Roman" w:cs="Times New Roman"/>
      <w:kern w:val="0"/>
      <w:sz w:val="24"/>
      <w:szCs w:val="24"/>
    </w:rPr>
  </w:style>
  <w:style w:type="paragraph" w:customStyle="1" w:styleId="Paginas">
    <w:name w:val="Paginas"/>
    <w:basedOn w:val="Prueba"/>
    <w:link w:val="PaginasCar"/>
    <w:qFormat/>
    <w:rsid w:val="00625B5A"/>
  </w:style>
  <w:style w:type="character" w:customStyle="1" w:styleId="PaginasCar">
    <w:name w:val="Paginas Car"/>
    <w:basedOn w:val="PruebaCar"/>
    <w:link w:val="Paginas"/>
    <w:rsid w:val="00625B5A"/>
    <w:rPr>
      <w:rFonts w:ascii="Times New Roman" w:hAnsi="Times New Roman" w:cs="Times New Roman"/>
      <w:kern w:val="0"/>
      <w:sz w:val="24"/>
      <w:szCs w:val="24"/>
    </w:rPr>
  </w:style>
  <w:style w:type="paragraph" w:customStyle="1" w:styleId="SangriaFrancesaArticulo">
    <w:name w:val="Sangria Francesa Articulo"/>
    <w:basedOn w:val="ParrafoNormal"/>
    <w:link w:val="SangriaFrancesaArticuloCar"/>
    <w:qFormat/>
    <w:rsid w:val="00625B5A"/>
    <w:pPr>
      <w:ind w:left="568" w:hanging="284"/>
    </w:pPr>
  </w:style>
  <w:style w:type="paragraph" w:customStyle="1" w:styleId="SangriaIzquierdaArticulo">
    <w:name w:val="Sangria Izquierda Articulo"/>
    <w:basedOn w:val="SangriaFrancesaArticulo"/>
    <w:link w:val="SangriaIzquierdaArticuloCar"/>
    <w:qFormat/>
    <w:rsid w:val="00625B5A"/>
    <w:pPr>
      <w:ind w:firstLine="0"/>
    </w:pPr>
  </w:style>
  <w:style w:type="character" w:customStyle="1" w:styleId="SangriaFrancesaArticuloCar">
    <w:name w:val="Sangria Francesa Articulo Car"/>
    <w:basedOn w:val="ParrafoNormalCar"/>
    <w:link w:val="SangriaFrancesaArticulo"/>
    <w:rsid w:val="00625B5A"/>
    <w:rPr>
      <w:rFonts w:ascii="Times New Roman" w:eastAsia="Times New Roman" w:hAnsi="Times New Roman" w:cs="Times New Roman"/>
      <w:kern w:val="0"/>
      <w:sz w:val="24"/>
      <w:szCs w:val="24"/>
      <w:lang w:eastAsia="es-ES"/>
    </w:rPr>
  </w:style>
  <w:style w:type="character" w:customStyle="1" w:styleId="SangriaIzquierdaArticuloCar">
    <w:name w:val="Sangria Izquierda Articulo Car"/>
    <w:basedOn w:val="SangriaFrancesaArticuloCar"/>
    <w:link w:val="SangriaIzquierdaArticulo"/>
    <w:rsid w:val="00625B5A"/>
    <w:rPr>
      <w:rFonts w:ascii="Times New Roman" w:eastAsia="Times New Roman" w:hAnsi="Times New Roman" w:cs="Times New Roman"/>
      <w:kern w:val="0"/>
      <w:sz w:val="24"/>
      <w:szCs w:val="24"/>
      <w:lang w:eastAsia="es-ES"/>
    </w:rPr>
  </w:style>
  <w:style w:type="paragraph" w:customStyle="1" w:styleId="DescriptoresJerarquicoNegrita">
    <w:name w:val="Descriptores Jerarquico Negrita"/>
    <w:basedOn w:val="TextoNormalNegrita"/>
    <w:link w:val="DescriptoresJerarquicoNegritaCar"/>
    <w:qFormat/>
    <w:rsid w:val="00625B5A"/>
    <w:pPr>
      <w:tabs>
        <w:tab w:val="left" w:pos="1134"/>
      </w:tabs>
      <w:ind w:left="-567"/>
    </w:pPr>
  </w:style>
  <w:style w:type="character" w:customStyle="1" w:styleId="DescriptoresJerarquicoNegritaCar">
    <w:name w:val="Descriptores Jerarquico Negrita Car"/>
    <w:basedOn w:val="TextoNormalNegritaCar"/>
    <w:link w:val="DescriptoresJerarquicoNegrita"/>
    <w:rsid w:val="00625B5A"/>
    <w:rPr>
      <w:rFonts w:ascii="Times New Roman" w:eastAsia="Times New Roman" w:hAnsi="Times New Roman" w:cs="Times New Roman"/>
      <w:b/>
      <w:kern w:val="0"/>
      <w:sz w:val="24"/>
      <w:szCs w:val="24"/>
      <w:lang w:eastAsia="es-ES"/>
    </w:rPr>
  </w:style>
  <w:style w:type="paragraph" w:customStyle="1" w:styleId="Notaalpie">
    <w:name w:val="Nota al pie"/>
    <w:basedOn w:val="TextoNormal"/>
    <w:qFormat/>
    <w:rsid w:val="00625B5A"/>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625B5A"/>
    <w:rPr>
      <w:rFonts w:ascii="Times New Roman" w:hAnsi="Times New Roman"/>
      <w:b/>
      <w:i/>
      <w:sz w:val="24"/>
    </w:rPr>
  </w:style>
  <w:style w:type="paragraph" w:customStyle="1" w:styleId="EntradandiceSumario">
    <w:name w:val="Entrada Índice Sumario"/>
    <w:basedOn w:val="EntradandiceSentencia"/>
    <w:qFormat/>
    <w:rsid w:val="00625B5A"/>
    <w:pPr>
      <w:tabs>
        <w:tab w:val="clear" w:pos="8080"/>
        <w:tab w:val="right" w:leader="dot" w:pos="7371"/>
      </w:tabs>
      <w:spacing w:line="260" w:lineRule="exact"/>
      <w:ind w:right="0"/>
    </w:pPr>
    <w:rPr>
      <w:b w:val="0"/>
    </w:rPr>
  </w:style>
  <w:style w:type="paragraph" w:customStyle="1" w:styleId="FechasPortadaGaceta">
    <w:name w:val="Fechas Portada Gaceta"/>
    <w:basedOn w:val="Normal"/>
    <w:qFormat/>
    <w:rsid w:val="00625B5A"/>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625B5A"/>
    <w:pPr>
      <w:jc w:val="center"/>
    </w:pPr>
    <w:rPr>
      <w:rFonts w:ascii="Bodoni MT Condensed" w:hAnsi="Bodoni MT Condensed"/>
      <w:b/>
      <w:i/>
      <w:color w:val="A6A6A6" w:themeColor="background1" w:themeShade="A6"/>
      <w:sz w:val="68"/>
    </w:rPr>
  </w:style>
  <w:style w:type="character" w:customStyle="1" w:styleId="TtuloPrincipalGacetaCar">
    <w:name w:val="Título Principal Gaceta Car"/>
    <w:basedOn w:val="Fuentedeprrafopredeter"/>
    <w:link w:val="TtuloPrincipalGaceta"/>
    <w:rsid w:val="00625B5A"/>
    <w:rPr>
      <w:rFonts w:ascii="Bodoni MT Condensed" w:hAnsi="Bodoni MT Condensed"/>
      <w:b/>
      <w:i/>
      <w:color w:val="A6A6A6" w:themeColor="background1" w:themeShade="A6"/>
      <w:kern w:val="0"/>
      <w:sz w:val="68"/>
    </w:rPr>
  </w:style>
  <w:style w:type="character" w:customStyle="1" w:styleId="SntesisDescriptivaTtulo">
    <w:name w:val="Síntesis Descriptiva Título"/>
    <w:basedOn w:val="Fuentedeprrafopredeter"/>
    <w:uiPriority w:val="1"/>
    <w:qFormat/>
    <w:rsid w:val="00625B5A"/>
    <w:rPr>
      <w:rFonts w:ascii="Times New Roman" w:hAnsi="Times New Roman"/>
      <w:color w:val="A7599E"/>
      <w:sz w:val="24"/>
    </w:rPr>
  </w:style>
  <w:style w:type="character" w:customStyle="1" w:styleId="SntesisAnalticaTtulo">
    <w:name w:val="Síntesis Analítica Título"/>
    <w:basedOn w:val="SntesisDescriptivaTtulo"/>
    <w:uiPriority w:val="1"/>
    <w:qFormat/>
    <w:rsid w:val="00625B5A"/>
    <w:rPr>
      <w:rFonts w:ascii="Times New Roman" w:hAnsi="Times New Roman"/>
      <w:i w:val="0"/>
      <w:color w:val="A7599E"/>
      <w:sz w:val="24"/>
    </w:rPr>
  </w:style>
  <w:style w:type="paragraph" w:customStyle="1" w:styleId="CabeceraGaceta">
    <w:name w:val="Cabecera Gaceta"/>
    <w:next w:val="Normal"/>
    <w:link w:val="CabeceraGacetaCar"/>
    <w:qFormat/>
    <w:rsid w:val="00625B5A"/>
    <w:pPr>
      <w:pBdr>
        <w:top w:val="single" w:sz="4" w:space="10" w:color="A7599E"/>
        <w:bottom w:val="single" w:sz="4" w:space="10" w:color="A7599E"/>
      </w:pBdr>
      <w:spacing w:after="200" w:line="276" w:lineRule="auto"/>
      <w:contextualSpacing/>
    </w:pPr>
    <w:rPr>
      <w:rFonts w:ascii="Batang" w:hAnsi="Batang"/>
      <w:color w:val="000000" w:themeColor="text1"/>
      <w:kern w:val="0"/>
      <w:sz w:val="20"/>
    </w:rPr>
  </w:style>
  <w:style w:type="character" w:customStyle="1" w:styleId="CabeceraGacetaCar">
    <w:name w:val="Cabecera Gaceta Car"/>
    <w:basedOn w:val="Fuentedeprrafopredeter"/>
    <w:link w:val="CabeceraGaceta"/>
    <w:rsid w:val="00625B5A"/>
    <w:rPr>
      <w:rFonts w:ascii="Batang" w:hAnsi="Batang"/>
      <w:color w:val="000000" w:themeColor="text1"/>
      <w:kern w:val="0"/>
      <w:sz w:val="20"/>
    </w:rPr>
  </w:style>
  <w:style w:type="paragraph" w:customStyle="1" w:styleId="TextoNormalSeparacionUltimoParrafo">
    <w:name w:val="Texto Normal Separacion Ultimo Parrafo"/>
    <w:basedOn w:val="TextoNormal"/>
    <w:qFormat/>
    <w:rsid w:val="00625B5A"/>
    <w:pPr>
      <w:spacing w:after="1800"/>
    </w:pPr>
  </w:style>
  <w:style w:type="character" w:styleId="nfasis">
    <w:name w:val="Emphasis"/>
    <w:basedOn w:val="Fuentedeprrafopredeter"/>
    <w:uiPriority w:val="20"/>
    <w:qFormat/>
    <w:rsid w:val="00625B5A"/>
    <w:rPr>
      <w:i/>
      <w:iCs/>
    </w:rPr>
  </w:style>
  <w:style w:type="character" w:styleId="Hipervnculo">
    <w:name w:val="Hyperlink"/>
    <w:basedOn w:val="Fuentedeprrafopredeter"/>
    <w:uiPriority w:val="99"/>
    <w:unhideWhenUsed/>
    <w:rsid w:val="00625B5A"/>
    <w:rPr>
      <w:b w:val="0"/>
      <w:color w:val="000000" w:themeColor="text1"/>
      <w:u w:val="none"/>
    </w:rPr>
  </w:style>
  <w:style w:type="paragraph" w:customStyle="1" w:styleId="SntesisDescriptivaConSeparacion">
    <w:name w:val="Síntesis Descriptiva Con Separacion"/>
    <w:basedOn w:val="SntesisDescriptiva"/>
    <w:qFormat/>
    <w:rsid w:val="00625B5A"/>
    <w:pPr>
      <w:spacing w:after="600"/>
    </w:pPr>
  </w:style>
  <w:style w:type="paragraph" w:customStyle="1" w:styleId="SntesisAnalticaConSeparacin">
    <w:name w:val="Síntesis Analítica Con Separación"/>
    <w:basedOn w:val="SntesisAnaltica"/>
    <w:qFormat/>
    <w:rsid w:val="00625B5A"/>
    <w:pPr>
      <w:spacing w:after="600"/>
    </w:pPr>
  </w:style>
  <w:style w:type="paragraph" w:customStyle="1" w:styleId="TtuloListado">
    <w:name w:val="Título Listado"/>
    <w:basedOn w:val="TextoNormal"/>
    <w:qFormat/>
    <w:rsid w:val="00625B5A"/>
    <w:pPr>
      <w:spacing w:line="360" w:lineRule="auto"/>
      <w:jc w:val="center"/>
    </w:pPr>
    <w:rPr>
      <w:b/>
      <w:u w:val="single"/>
    </w:rPr>
  </w:style>
  <w:style w:type="paragraph" w:customStyle="1" w:styleId="TextoNormalCentradoCursiva">
    <w:name w:val="Texto Normal Centrado Cursiva"/>
    <w:basedOn w:val="TextoNormalCentrado"/>
    <w:qFormat/>
    <w:rsid w:val="00625B5A"/>
    <w:rPr>
      <w:i/>
    </w:rPr>
  </w:style>
  <w:style w:type="paragraph" w:customStyle="1" w:styleId="TextoConBorde">
    <w:name w:val="Texto Con Borde"/>
    <w:qFormat/>
    <w:rsid w:val="00625B5A"/>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cs="Times New Roman"/>
      <w:i/>
      <w:kern w:val="0"/>
      <w:sz w:val="24"/>
      <w:szCs w:val="24"/>
      <w:lang w:eastAsia="es-ES"/>
    </w:rPr>
  </w:style>
  <w:style w:type="paragraph" w:customStyle="1" w:styleId="TtuloSecundarioGaceta">
    <w:name w:val="Título Secundario Gaceta"/>
    <w:basedOn w:val="TtuloPrincipalGaceta"/>
    <w:qFormat/>
    <w:rsid w:val="00625B5A"/>
    <w:rPr>
      <w:sz w:val="148"/>
    </w:rPr>
  </w:style>
  <w:style w:type="paragraph" w:customStyle="1" w:styleId="TextoNormalNegritaCentradoSubrayado">
    <w:name w:val="Texto Normal Negrita Centrado Subrayado"/>
    <w:basedOn w:val="TextoNormalNegritaCentrado"/>
    <w:qFormat/>
    <w:rsid w:val="00625B5A"/>
    <w:rPr>
      <w:sz w:val="28"/>
      <w:u w:val="single"/>
    </w:rPr>
  </w:style>
  <w:style w:type="paragraph" w:customStyle="1" w:styleId="TextoIndiceNivel2">
    <w:name w:val="TextoIndice Nivel2"/>
    <w:basedOn w:val="TextoNormalNegritaCentrado"/>
    <w:qFormat/>
    <w:rsid w:val="00625B5A"/>
    <w:rPr>
      <w:sz w:val="36"/>
    </w:rPr>
  </w:style>
  <w:style w:type="character" w:customStyle="1" w:styleId="TextoNormalNegritaCentradoSombreado">
    <w:name w:val="Texto Normal Negrita Centrado Sombreado"/>
    <w:basedOn w:val="TextoNormalNegritaCaracter"/>
    <w:uiPriority w:val="1"/>
    <w:qFormat/>
    <w:rsid w:val="00625B5A"/>
    <w:rPr>
      <w:rFonts w:ascii="Times New Roman" w:hAnsi="Times New Roman"/>
      <w:b/>
      <w:sz w:val="32"/>
      <w:bdr w:val="none" w:sz="0" w:space="0" w:color="auto"/>
      <w:shd w:val="clear" w:color="auto" w:fill="E8E8E8" w:themeFill="background2"/>
    </w:rPr>
  </w:style>
  <w:style w:type="paragraph" w:customStyle="1" w:styleId="TextoNormalNegritaCursivandice">
    <w:name w:val="Texto Normal Negrita Cursiva Índice"/>
    <w:basedOn w:val="TextoNormalNegritaCursiva"/>
    <w:link w:val="TextoNormalNegritaCursivandiceCar"/>
    <w:qFormat/>
    <w:rsid w:val="00625B5A"/>
    <w:rPr>
      <w:sz w:val="26"/>
    </w:rPr>
  </w:style>
  <w:style w:type="character" w:customStyle="1" w:styleId="ndiceJerrquicoDescriptor">
    <w:name w:val="Índice Jerárquico Descriptor"/>
    <w:basedOn w:val="TextoNormalCar"/>
    <w:uiPriority w:val="1"/>
    <w:qFormat/>
    <w:rsid w:val="00625B5A"/>
    <w:rPr>
      <w:rFonts w:ascii="Times New Roman" w:eastAsia="Times New Roman" w:hAnsi="Times New Roman" w:cs="Times New Roman"/>
      <w:kern w:val="0"/>
      <w:sz w:val="18"/>
      <w:szCs w:val="24"/>
      <w:lang w:eastAsia="es-ES"/>
    </w:rPr>
  </w:style>
  <w:style w:type="character" w:customStyle="1" w:styleId="ndiceJerrquicoDescriptorNegrita">
    <w:name w:val="Índice Jerárquico Descriptor Negrita"/>
    <w:basedOn w:val="ndiceJerrquicoDescriptor"/>
    <w:uiPriority w:val="1"/>
    <w:qFormat/>
    <w:rsid w:val="00625B5A"/>
    <w:rPr>
      <w:rFonts w:ascii="Times New Roman" w:eastAsia="Times New Roman" w:hAnsi="Times New Roman" w:cs="Times New Roman"/>
      <w:b/>
      <w:kern w:val="0"/>
      <w:sz w:val="18"/>
      <w:szCs w:val="24"/>
      <w:lang w:eastAsia="es-ES"/>
    </w:rPr>
  </w:style>
  <w:style w:type="paragraph" w:customStyle="1" w:styleId="DescriptoresJerarquicoNegritaTitulo">
    <w:name w:val="Descriptores Jerarquico Negrita Titulo"/>
    <w:basedOn w:val="DescriptoresJerarquicoNegrita"/>
    <w:qFormat/>
    <w:rsid w:val="00625B5A"/>
    <w:pPr>
      <w:ind w:left="0"/>
    </w:pPr>
    <w:rPr>
      <w:sz w:val="28"/>
    </w:rPr>
  </w:style>
  <w:style w:type="character" w:styleId="Hipervnculovisitado">
    <w:name w:val="FollowedHyperlink"/>
    <w:basedOn w:val="Fuentedeprrafopredeter"/>
    <w:uiPriority w:val="99"/>
    <w:semiHidden/>
    <w:unhideWhenUsed/>
    <w:rsid w:val="00625B5A"/>
    <w:rPr>
      <w:color w:val="auto"/>
      <w:u w:val="none"/>
    </w:rPr>
  </w:style>
  <w:style w:type="paragraph" w:customStyle="1" w:styleId="EntradandiceSumarioNivel2">
    <w:name w:val="Entrada Índice Sumario Nivel2"/>
    <w:basedOn w:val="EntradandiceSumario"/>
    <w:qFormat/>
    <w:rsid w:val="00625B5A"/>
    <w:pPr>
      <w:spacing w:line="240" w:lineRule="exact"/>
      <w:ind w:firstLine="113"/>
    </w:pPr>
    <w:rPr>
      <w:sz w:val="23"/>
    </w:rPr>
  </w:style>
  <w:style w:type="paragraph" w:customStyle="1" w:styleId="TtuloSumariondices">
    <w:name w:val="Título Sumario Índices"/>
    <w:basedOn w:val="TextoNormal"/>
    <w:qFormat/>
    <w:rsid w:val="00625B5A"/>
    <w:pPr>
      <w:ind w:firstLine="0"/>
      <w:jc w:val="center"/>
    </w:pPr>
    <w:rPr>
      <w:sz w:val="32"/>
    </w:rPr>
  </w:style>
  <w:style w:type="paragraph" w:styleId="Cierre">
    <w:name w:val="Closing"/>
    <w:basedOn w:val="Normal"/>
    <w:link w:val="CierreCar"/>
    <w:uiPriority w:val="99"/>
    <w:unhideWhenUsed/>
    <w:rsid w:val="00625B5A"/>
    <w:pPr>
      <w:spacing w:after="0" w:line="240" w:lineRule="auto"/>
      <w:ind w:left="4252"/>
    </w:pPr>
  </w:style>
  <w:style w:type="character" w:customStyle="1" w:styleId="CierreCar">
    <w:name w:val="Cierre Car"/>
    <w:basedOn w:val="Fuentedeprrafopredeter"/>
    <w:link w:val="Cierre"/>
    <w:uiPriority w:val="99"/>
    <w:rsid w:val="00625B5A"/>
    <w:rPr>
      <w:kern w:val="0"/>
    </w:rPr>
  </w:style>
  <w:style w:type="paragraph" w:customStyle="1" w:styleId="Cabecera">
    <w:name w:val="Cabecera"/>
    <w:link w:val="CabeceraCar"/>
    <w:qFormat/>
    <w:rsid w:val="00625B5A"/>
    <w:pPr>
      <w:pBdr>
        <w:bottom w:val="single" w:sz="4" w:space="1" w:color="538135"/>
      </w:pBdr>
      <w:spacing w:after="200" w:line="276" w:lineRule="auto"/>
    </w:pPr>
    <w:rPr>
      <w:rFonts w:ascii="Arial" w:hAnsi="Arial"/>
      <w:b/>
      <w:iCs/>
      <w:color w:val="538135"/>
      <w:kern w:val="0"/>
      <w:sz w:val="20"/>
    </w:rPr>
  </w:style>
  <w:style w:type="character" w:customStyle="1" w:styleId="CabeceraCar">
    <w:name w:val="Cabecera Car"/>
    <w:basedOn w:val="Fuentedeprrafopredeter"/>
    <w:link w:val="Cabecera"/>
    <w:rsid w:val="00625B5A"/>
    <w:rPr>
      <w:rFonts w:ascii="Arial" w:hAnsi="Arial"/>
      <w:b/>
      <w:iCs/>
      <w:color w:val="538135"/>
      <w:kern w:val="0"/>
      <w:sz w:val="20"/>
    </w:rPr>
  </w:style>
  <w:style w:type="paragraph" w:customStyle="1" w:styleId="TtuloSumarioResoluciones">
    <w:name w:val="Título Sumario Resoluciones"/>
    <w:basedOn w:val="TextoNormal"/>
    <w:link w:val="TtuloSumarioResolucionesCar"/>
    <w:qFormat/>
    <w:rsid w:val="00625B5A"/>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625B5A"/>
    <w:rPr>
      <w:rFonts w:ascii="Times New Roman" w:eastAsia="Times New Roman" w:hAnsi="Times New Roman" w:cs="Times New Roman"/>
      <w:color w:val="404040" w:themeColor="text1" w:themeTint="BF"/>
      <w:kern w:val="0"/>
      <w:sz w:val="32"/>
      <w:szCs w:val="24"/>
      <w:lang w:eastAsia="es-ES"/>
    </w:rPr>
  </w:style>
  <w:style w:type="character" w:customStyle="1" w:styleId="NumeroAFNegritaCaracter">
    <w:name w:val="NumeroAF Negrita Caracter"/>
    <w:basedOn w:val="TextoNormalNegritaCaracter"/>
    <w:uiPriority w:val="1"/>
    <w:qFormat/>
    <w:rsid w:val="00625B5A"/>
    <w:rPr>
      <w:rFonts w:ascii="Times New Roman" w:hAnsi="Times New Roman"/>
      <w:b/>
      <w:color w:val="538135"/>
      <w:sz w:val="32"/>
    </w:rPr>
  </w:style>
  <w:style w:type="paragraph" w:customStyle="1" w:styleId="Portada3">
    <w:name w:val="Portada 3"/>
    <w:basedOn w:val="NormalWeb"/>
    <w:link w:val="Portada3Car"/>
    <w:qFormat/>
    <w:rsid w:val="00625B5A"/>
    <w:pPr>
      <w:jc w:val="center"/>
    </w:pPr>
  </w:style>
  <w:style w:type="paragraph" w:styleId="NormalWeb">
    <w:name w:val="Normal (Web)"/>
    <w:basedOn w:val="Normal"/>
    <w:link w:val="NormalWebCar"/>
    <w:uiPriority w:val="99"/>
    <w:semiHidden/>
    <w:unhideWhenUsed/>
    <w:rsid w:val="00625B5A"/>
    <w:rPr>
      <w:rFonts w:ascii="Times New Roman" w:hAnsi="Times New Roman" w:cs="Times New Roman"/>
      <w:sz w:val="24"/>
      <w:szCs w:val="24"/>
    </w:rPr>
  </w:style>
  <w:style w:type="character" w:customStyle="1" w:styleId="NormalWebCar">
    <w:name w:val="Normal (Web) Car"/>
    <w:basedOn w:val="Fuentedeprrafopredeter"/>
    <w:link w:val="NormalWeb"/>
    <w:uiPriority w:val="99"/>
    <w:semiHidden/>
    <w:rsid w:val="00625B5A"/>
    <w:rPr>
      <w:rFonts w:ascii="Times New Roman" w:hAnsi="Times New Roman" w:cs="Times New Roman"/>
      <w:kern w:val="0"/>
      <w:sz w:val="24"/>
      <w:szCs w:val="24"/>
    </w:rPr>
  </w:style>
  <w:style w:type="character" w:customStyle="1" w:styleId="Portada3Car">
    <w:name w:val="Portada 3 Car"/>
    <w:basedOn w:val="NormalWebCar"/>
    <w:link w:val="Portada3"/>
    <w:rsid w:val="00625B5A"/>
    <w:rPr>
      <w:rFonts w:ascii="Times New Roman" w:hAnsi="Times New Roman" w:cs="Times New Roman"/>
      <w:kern w:val="0"/>
      <w:sz w:val="24"/>
      <w:szCs w:val="24"/>
    </w:rPr>
  </w:style>
  <w:style w:type="paragraph" w:customStyle="1" w:styleId="EntradandiceAutoContenidoEspecifico">
    <w:name w:val="Entrada Índice Auto Contenido Especifico"/>
    <w:basedOn w:val="EntradaSumario"/>
    <w:link w:val="EntradandiceAutoContenidoEspecificoCar"/>
    <w:qFormat/>
    <w:rsid w:val="00625B5A"/>
    <w:pPr>
      <w:spacing w:before="240"/>
    </w:pPr>
  </w:style>
  <w:style w:type="character" w:customStyle="1" w:styleId="EntradandiceAutoContenidoEspecificoCar">
    <w:name w:val="Entrada Índice Auto Contenido Especifico Car"/>
    <w:basedOn w:val="EntradaSumarioCar"/>
    <w:link w:val="EntradandiceAutoContenidoEspecifico"/>
    <w:rsid w:val="00625B5A"/>
    <w:rPr>
      <w:rFonts w:ascii="Times New Roman" w:hAnsi="Times New Roman"/>
      <w:kern w:val="0"/>
      <w:sz w:val="24"/>
    </w:rPr>
  </w:style>
  <w:style w:type="paragraph" w:customStyle="1" w:styleId="TextoNormalNegritaCursivaSubrayadondice">
    <w:name w:val="Texto Normal Negrita Cursiva Subrayado Índice"/>
    <w:basedOn w:val="TextoNormalNegritaCursivandice"/>
    <w:link w:val="TextoNormalNegritaCursivaSubrayadondiceCar"/>
    <w:qFormat/>
    <w:rsid w:val="00625B5A"/>
    <w:rPr>
      <w:b w:val="0"/>
      <w:i w:val="0"/>
      <w:u w:val="single"/>
    </w:rPr>
  </w:style>
  <w:style w:type="character" w:customStyle="1" w:styleId="TextoNormalNegritaCursivaSubrayadondiceCaracter">
    <w:name w:val="Texto Normal Negrita Cursiva Subrayado Índice Caracter"/>
    <w:basedOn w:val="TextoNormalCar"/>
    <w:uiPriority w:val="1"/>
    <w:qFormat/>
    <w:rsid w:val="00625B5A"/>
    <w:rPr>
      <w:rFonts w:ascii="Times New Roman" w:eastAsia="Times New Roman" w:hAnsi="Times New Roman" w:cs="Times New Roman"/>
      <w:kern w:val="0"/>
      <w:sz w:val="26"/>
      <w:szCs w:val="24"/>
      <w:u w:val="single"/>
      <w:lang w:eastAsia="es-ES"/>
    </w:rPr>
  </w:style>
  <w:style w:type="character" w:customStyle="1" w:styleId="TextoNormalNegritaCursivandiceCar">
    <w:name w:val="Texto Normal Negrita Cursiva Índice Car"/>
    <w:basedOn w:val="TextoNormalNegritaCursivaCar"/>
    <w:link w:val="TextoNormalNegritaCursivandice"/>
    <w:rsid w:val="00625B5A"/>
    <w:rPr>
      <w:rFonts w:ascii="Times New Roman" w:eastAsia="Times New Roman" w:hAnsi="Times New Roman" w:cs="Times New Roman"/>
      <w:b/>
      <w:i/>
      <w:kern w:val="0"/>
      <w:sz w:val="26"/>
      <w:szCs w:val="24"/>
      <w:lang w:eastAsia="es-ES"/>
    </w:rPr>
  </w:style>
  <w:style w:type="character" w:customStyle="1" w:styleId="TextoNormalNegritaCursivaSubrayadondiceCar">
    <w:name w:val="Texto Normal Negrita Cursiva Subrayado Índice Car"/>
    <w:basedOn w:val="TextoNormalNegritaCursivandiceCar"/>
    <w:link w:val="TextoNormalNegritaCursivaSubrayadondice"/>
    <w:rsid w:val="00625B5A"/>
    <w:rPr>
      <w:rFonts w:ascii="Times New Roman" w:eastAsia="Times New Roman" w:hAnsi="Times New Roman" w:cs="Times New Roman"/>
      <w:b w:val="0"/>
      <w:i w:val="0"/>
      <w:kern w:val="0"/>
      <w:sz w:val="26"/>
      <w:szCs w:val="24"/>
      <w:u w:val="single"/>
      <w:lang w:eastAsia="es-ES"/>
    </w:rPr>
  </w:style>
  <w:style w:type="paragraph" w:styleId="Encabezado">
    <w:name w:val="header"/>
    <w:basedOn w:val="Normal"/>
    <w:link w:val="EncabezadoCar"/>
    <w:uiPriority w:val="99"/>
    <w:unhideWhenUsed/>
    <w:rsid w:val="009D767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D7677"/>
    <w:rPr>
      <w:kern w:val="0"/>
    </w:rPr>
  </w:style>
  <w:style w:type="paragraph" w:styleId="Piedepgina">
    <w:name w:val="footer"/>
    <w:basedOn w:val="Normal"/>
    <w:link w:val="PiedepginaCar"/>
    <w:uiPriority w:val="99"/>
    <w:unhideWhenUsed/>
    <w:rsid w:val="009D767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D7677"/>
    <w:rPr>
      <w:kern w:val="0"/>
    </w:rPr>
  </w:style>
  <w:style w:type="character" w:styleId="Mencinsinresolver">
    <w:name w:val="Unresolved Mention"/>
    <w:basedOn w:val="Fuentedeprrafopredeter"/>
    <w:uiPriority w:val="99"/>
    <w:semiHidden/>
    <w:unhideWhenUsed/>
    <w:rsid w:val="00601EEA"/>
    <w:rPr>
      <w:color w:val="605E5C"/>
      <w:shd w:val="clear" w:color="auto" w:fill="E1DFDD"/>
    </w:rPr>
  </w:style>
  <w:style w:type="character" w:styleId="Nmerodepgina">
    <w:name w:val="page number"/>
    <w:basedOn w:val="Fuentedeprrafopredeter"/>
    <w:uiPriority w:val="99"/>
    <w:semiHidden/>
    <w:unhideWhenUsed/>
    <w:rsid w:val="00B770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ribunalconstitucional.es\tribunaldfs\hj_documentos\GeneracionTomoVerde\Plantilla\1753689893Resolu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1753689893Resolucion.dotx</Template>
  <TotalTime>119</TotalTime>
  <Pages>2710</Pages>
  <Words>1437883</Words>
  <Characters>7448238</Characters>
  <Application>Microsoft Office Word</Application>
  <DocSecurity>0</DocSecurity>
  <Lines>130670</Lines>
  <Paragraphs>25316</Paragraphs>
  <ScaleCrop>false</ScaleCrop>
  <HeadingPairs>
    <vt:vector size="2" baseType="variant">
      <vt:variant>
        <vt:lpstr>Título</vt:lpstr>
      </vt:variant>
      <vt:variant>
        <vt:i4>1</vt:i4>
      </vt:variant>
    </vt:vector>
  </HeadingPairs>
  <TitlesOfParts>
    <vt:vector size="1" baseType="lpstr">
      <vt:lpstr/>
    </vt:vector>
  </TitlesOfParts>
  <Manager>TC</Manager>
  <Company>TC</Company>
  <LinksUpToDate>false</LinksUpToDate>
  <CharactersWithSpaces>8860805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Tomo 114</dc:title>
  <dc:subject>Tomo 114</dc:subject>
  <dc:creator>Tribunal Constitucional</dc:creator>
  <cp:keywords/>
  <dc:description>Tomo 114</dc:description>
  <cp:lastModifiedBy>CORDERO MOLANO, María Victoria</cp:lastModifiedBy>
  <cp:revision>8</cp:revision>
  <cp:lastPrinted>2025-07-28T10:00:00Z</cp:lastPrinted>
  <dcterms:created xsi:type="dcterms:W3CDTF">2025-07-28T08:04:00Z</dcterms:created>
  <dcterms:modified xsi:type="dcterms:W3CDTF">2025-07-28T10:03:00Z</dcterms:modified>
</cp:coreProperties>
</file>